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Override PartName="/word/footer2407.xml" ContentType="application/vnd.openxmlformats-officedocument.wordprocessingml.footer+xml"/>
  <Override PartName="/word/footer2410.xml" ContentType="application/vnd.openxmlformats-officedocument.wordprocessingml.footer+xml"/>
  <Override PartName="/word/footer2413.xml" ContentType="application/vnd.openxmlformats-officedocument.wordprocessingml.footer+xml"/>
  <Override PartName="/word/footer2416.xml" ContentType="application/vnd.openxmlformats-officedocument.wordprocessingml.footer+xml"/>
  <Override PartName="/word/footer2419.xml" ContentType="application/vnd.openxmlformats-officedocument.wordprocessingml.footer+xml"/>
  <Override PartName="/word/footer2422.xml" ContentType="application/vnd.openxmlformats-officedocument.wordprocessingml.footer+xml"/>
  <Override PartName="/word/footer2425.xml" ContentType="application/vnd.openxmlformats-officedocument.wordprocessingml.footer+xml"/>
  <Override PartName="/word/footer2428.xml" ContentType="application/vnd.openxmlformats-officedocument.wordprocessingml.footer+xml"/>
  <Override PartName="/word/footer2431.xml" ContentType="application/vnd.openxmlformats-officedocument.wordprocessingml.footer+xml"/>
  <Override PartName="/word/footer2434.xml" ContentType="application/vnd.openxmlformats-officedocument.wordprocessingml.footer+xml"/>
  <Override PartName="/word/footer2437.xml" ContentType="application/vnd.openxmlformats-officedocument.wordprocessingml.footer+xml"/>
  <Override PartName="/word/footer2440.xml" ContentType="application/vnd.openxmlformats-officedocument.wordprocessingml.footer+xml"/>
  <Override PartName="/word/footer2443.xml" ContentType="application/vnd.openxmlformats-officedocument.wordprocessingml.footer+xml"/>
  <Override PartName="/word/footer2446.xml" ContentType="application/vnd.openxmlformats-officedocument.wordprocessingml.footer+xml"/>
  <Override PartName="/word/footer2449.xml" ContentType="application/vnd.openxmlformats-officedocument.wordprocessingml.footer+xml"/>
  <Override PartName="/word/footer2452.xml" ContentType="application/vnd.openxmlformats-officedocument.wordprocessingml.footer+xml"/>
  <Override PartName="/word/footer2455.xml" ContentType="application/vnd.openxmlformats-officedocument.wordprocessingml.footer+xml"/>
  <Override PartName="/word/footer2458.xml" ContentType="application/vnd.openxmlformats-officedocument.wordprocessingml.footer+xml"/>
  <Override PartName="/word/footer2461.xml" ContentType="application/vnd.openxmlformats-officedocument.wordprocessingml.footer+xml"/>
  <Override PartName="/word/footer2464.xml" ContentType="application/vnd.openxmlformats-officedocument.wordprocessingml.footer+xml"/>
  <Override PartName="/word/footer2467.xml" ContentType="application/vnd.openxmlformats-officedocument.wordprocessingml.footer+xml"/>
  <Override PartName="/word/footer2470.xml" ContentType="application/vnd.openxmlformats-officedocument.wordprocessingml.footer+xml"/>
  <Override PartName="/word/footer2473.xml" ContentType="application/vnd.openxmlformats-officedocument.wordprocessingml.footer+xml"/>
  <Override PartName="/word/footer2476.xml" ContentType="application/vnd.openxmlformats-officedocument.wordprocessingml.footer+xml"/>
  <Override PartName="/word/footer2479.xml" ContentType="application/vnd.openxmlformats-officedocument.wordprocessingml.footer+xml"/>
  <Override PartName="/word/footer2482.xml" ContentType="application/vnd.openxmlformats-officedocument.wordprocessingml.footer+xml"/>
  <Override PartName="/word/footer2485.xml" ContentType="application/vnd.openxmlformats-officedocument.wordprocessingml.footer+xml"/>
  <Override PartName="/word/footer2488.xml" ContentType="application/vnd.openxmlformats-officedocument.wordprocessingml.footer+xml"/>
  <Override PartName="/word/footer2491.xml" ContentType="application/vnd.openxmlformats-officedocument.wordprocessingml.footer+xml"/>
  <Override PartName="/word/footer2494.xml" ContentType="application/vnd.openxmlformats-officedocument.wordprocessingml.footer+xml"/>
  <Override PartName="/word/footer2497.xml" ContentType="application/vnd.openxmlformats-officedocument.wordprocessingml.footer+xml"/>
  <Override PartName="/word/footer2500.xml" ContentType="application/vnd.openxmlformats-officedocument.wordprocessingml.footer+xml"/>
  <Override PartName="/word/footer2503.xml" ContentType="application/vnd.openxmlformats-officedocument.wordprocessingml.footer+xml"/>
  <Override PartName="/word/footer2506.xml" ContentType="application/vnd.openxmlformats-officedocument.wordprocessingml.footer+xml"/>
  <Override PartName="/word/footer2509.xml" ContentType="application/vnd.openxmlformats-officedocument.wordprocessingml.footer+xml"/>
  <Override PartName="/word/footer2512.xml" ContentType="application/vnd.openxmlformats-officedocument.wordprocessingml.footer+xml"/>
  <Override PartName="/word/footer2515.xml" ContentType="application/vnd.openxmlformats-officedocument.wordprocessingml.footer+xml"/>
  <Override PartName="/word/footer2518.xml" ContentType="application/vnd.openxmlformats-officedocument.wordprocessingml.footer+xml"/>
  <Override PartName="/word/footer2521.xml" ContentType="application/vnd.openxmlformats-officedocument.wordprocessingml.footer+xml"/>
  <Override PartName="/word/footer2524.xml" ContentType="application/vnd.openxmlformats-officedocument.wordprocessingml.footer+xml"/>
  <Override PartName="/word/footer2527.xml" ContentType="application/vnd.openxmlformats-officedocument.wordprocessingml.footer+xml"/>
  <Override PartName="/word/footer2530.xml" ContentType="application/vnd.openxmlformats-officedocument.wordprocessingml.footer+xml"/>
  <Override PartName="/word/footer2533.xml" ContentType="application/vnd.openxmlformats-officedocument.wordprocessingml.footer+xml"/>
  <Override PartName="/word/footer2536.xml" ContentType="application/vnd.openxmlformats-officedocument.wordprocessingml.footer+xml"/>
  <Override PartName="/word/footer2539.xml" ContentType="application/vnd.openxmlformats-officedocument.wordprocessingml.footer+xml"/>
  <Override PartName="/word/footer2542.xml" ContentType="application/vnd.openxmlformats-officedocument.wordprocessingml.footer+xml"/>
  <Override PartName="/word/footer2545.xml" ContentType="application/vnd.openxmlformats-officedocument.wordprocessingml.footer+xml"/>
  <Override PartName="/word/footer2548.xml" ContentType="application/vnd.openxmlformats-officedocument.wordprocessingml.footer+xml"/>
  <Override PartName="/word/footer2551.xml" ContentType="application/vnd.openxmlformats-officedocument.wordprocessingml.footer+xml"/>
  <Override PartName="/word/footer2554.xml" ContentType="application/vnd.openxmlformats-officedocument.wordprocessingml.footer+xml"/>
  <Override PartName="/word/footer2557.xml" ContentType="application/vnd.openxmlformats-officedocument.wordprocessingml.footer+xml"/>
  <Override PartName="/word/footer2560.xml" ContentType="application/vnd.openxmlformats-officedocument.wordprocessingml.footer+xml"/>
  <Override PartName="/word/footer2563.xml" ContentType="application/vnd.openxmlformats-officedocument.wordprocessingml.footer+xml"/>
  <Override PartName="/word/footer2566.xml" ContentType="application/vnd.openxmlformats-officedocument.wordprocessingml.footer+xml"/>
  <Override PartName="/word/footer2569.xml" ContentType="application/vnd.openxmlformats-officedocument.wordprocessingml.footer+xml"/>
  <Override PartName="/word/footer2572.xml" ContentType="application/vnd.openxmlformats-officedocument.wordprocessingml.footer+xml"/>
  <Override PartName="/word/footer2575.xml" ContentType="application/vnd.openxmlformats-officedocument.wordprocessingml.footer+xml"/>
  <Override PartName="/word/footer2578.xml" ContentType="application/vnd.openxmlformats-officedocument.wordprocessingml.footer+xml"/>
  <Override PartName="/word/footer2581.xml" ContentType="application/vnd.openxmlformats-officedocument.wordprocessingml.footer+xml"/>
  <Override PartName="/word/footer2584.xml" ContentType="application/vnd.openxmlformats-officedocument.wordprocessingml.footer+xml"/>
  <Override PartName="/word/footer2587.xml" ContentType="application/vnd.openxmlformats-officedocument.wordprocessingml.footer+xml"/>
  <Override PartName="/word/footer2590.xml" ContentType="application/vnd.openxmlformats-officedocument.wordprocessingml.footer+xml"/>
  <Override PartName="/word/footer2593.xml" ContentType="application/vnd.openxmlformats-officedocument.wordprocessingml.footer+xml"/>
  <Override PartName="/word/footer2596.xml" ContentType="application/vnd.openxmlformats-officedocument.wordprocessingml.footer+xml"/>
  <Override PartName="/word/footer2599.xml" ContentType="application/vnd.openxmlformats-officedocument.wordprocessingml.footer+xml"/>
  <Override PartName="/word/footer2602.xml" ContentType="application/vnd.openxmlformats-officedocument.wordprocessingml.footer+xml"/>
  <Override PartName="/word/footer2605.xml" ContentType="application/vnd.openxmlformats-officedocument.wordprocessingml.footer+xml"/>
  <Override PartName="/word/footer2608.xml" ContentType="application/vnd.openxmlformats-officedocument.wordprocessingml.footer+xml"/>
  <Override PartName="/word/footer2611.xml" ContentType="application/vnd.openxmlformats-officedocument.wordprocessingml.footer+xml"/>
  <Override PartName="/word/footer2614.xml" ContentType="application/vnd.openxmlformats-officedocument.wordprocessingml.footer+xml"/>
  <Override PartName="/word/footer2617.xml" ContentType="application/vnd.openxmlformats-officedocument.wordprocessingml.footer+xml"/>
  <Override PartName="/word/footer2620.xml" ContentType="application/vnd.openxmlformats-officedocument.wordprocessingml.footer+xml"/>
  <Override PartName="/word/footer2623.xml" ContentType="application/vnd.openxmlformats-officedocument.wordprocessingml.footer+xml"/>
  <Override PartName="/word/footer2626.xml" ContentType="application/vnd.openxmlformats-officedocument.wordprocessingml.footer+xml"/>
  <Override PartName="/word/footer2629.xml" ContentType="application/vnd.openxmlformats-officedocument.wordprocessingml.footer+xml"/>
  <Override PartName="/word/footer2632.xml" ContentType="application/vnd.openxmlformats-officedocument.wordprocessingml.footer+xml"/>
  <Override PartName="/word/footer2635.xml" ContentType="application/vnd.openxmlformats-officedocument.wordprocessingml.footer+xml"/>
  <Override PartName="/word/footer2638.xml" ContentType="application/vnd.openxmlformats-officedocument.wordprocessingml.footer+xml"/>
  <Override PartName="/word/footer2641.xml" ContentType="application/vnd.openxmlformats-officedocument.wordprocessingml.footer+xml"/>
  <Override PartName="/word/footer2644.xml" ContentType="application/vnd.openxmlformats-officedocument.wordprocessingml.footer+xml"/>
  <Override PartName="/word/footer2647.xml" ContentType="application/vnd.openxmlformats-officedocument.wordprocessingml.footer+xml"/>
  <Override PartName="/word/footer2650.xml" ContentType="application/vnd.openxmlformats-officedocument.wordprocessingml.footer+xml"/>
  <Override PartName="/word/footer2653.xml" ContentType="application/vnd.openxmlformats-officedocument.wordprocessingml.footer+xml"/>
  <Override PartName="/word/footer2656.xml" ContentType="application/vnd.openxmlformats-officedocument.wordprocessingml.footer+xml"/>
  <Override PartName="/word/footer2659.xml" ContentType="application/vnd.openxmlformats-officedocument.wordprocessingml.footer+xml"/>
  <Override PartName="/word/footer2662.xml" ContentType="application/vnd.openxmlformats-officedocument.wordprocessingml.footer+xml"/>
  <Override PartName="/word/footer2665.xml" ContentType="application/vnd.openxmlformats-officedocument.wordprocessingml.footer+xml"/>
  <Override PartName="/word/footer2668.xml" ContentType="application/vnd.openxmlformats-officedocument.wordprocessingml.footer+xml"/>
  <Override PartName="/word/footer2671.xml" ContentType="application/vnd.openxmlformats-officedocument.wordprocessingml.footer+xml"/>
  <Override PartName="/word/footer2674.xml" ContentType="application/vnd.openxmlformats-officedocument.wordprocessingml.footer+xml"/>
  <Override PartName="/word/footer2677.xml" ContentType="application/vnd.openxmlformats-officedocument.wordprocessingml.footer+xml"/>
  <Override PartName="/word/footer2680.xml" ContentType="application/vnd.openxmlformats-officedocument.wordprocessingml.footer+xml"/>
  <Override PartName="/word/footer2683.xml" ContentType="application/vnd.openxmlformats-officedocument.wordprocessingml.footer+xml"/>
  <Override PartName="/word/footer2686.xml" ContentType="application/vnd.openxmlformats-officedocument.wordprocessingml.footer+xml"/>
  <Override PartName="/word/footer2689.xml" ContentType="application/vnd.openxmlformats-officedocument.wordprocessingml.footer+xml"/>
  <Override PartName="/word/footer2692.xml" ContentType="application/vnd.openxmlformats-officedocument.wordprocessingml.footer+xml"/>
  <Override PartName="/word/footer2695.xml" ContentType="application/vnd.openxmlformats-officedocument.wordprocessingml.footer+xml"/>
  <Override PartName="/word/footer2698.xml" ContentType="application/vnd.openxmlformats-officedocument.wordprocessingml.footer+xml"/>
  <Override PartName="/word/footer2701.xml" ContentType="application/vnd.openxmlformats-officedocument.wordprocessingml.footer+xml"/>
  <Override PartName="/word/footer2704.xml" ContentType="application/vnd.openxmlformats-officedocument.wordprocessingml.footer+xml"/>
  <Override PartName="/word/footer2707.xml" ContentType="application/vnd.openxmlformats-officedocument.wordprocessingml.footer+xml"/>
  <Override PartName="/word/footer2710.xml" ContentType="application/vnd.openxmlformats-officedocument.wordprocessingml.footer+xml"/>
  <Override PartName="/word/footer2713.xml" ContentType="application/vnd.openxmlformats-officedocument.wordprocessingml.footer+xml"/>
  <Override PartName="/word/footer2716.xml" ContentType="application/vnd.openxmlformats-officedocument.wordprocessingml.footer+xml"/>
  <Override PartName="/word/footer2719.xml" ContentType="application/vnd.openxmlformats-officedocument.wordprocessingml.footer+xml"/>
  <Override PartName="/word/footer2722.xml" ContentType="application/vnd.openxmlformats-officedocument.wordprocessingml.footer+xml"/>
  <Override PartName="/word/footer2725.xml" ContentType="application/vnd.openxmlformats-officedocument.wordprocessingml.footer+xml"/>
  <Override PartName="/word/footer2728.xml" ContentType="application/vnd.openxmlformats-officedocument.wordprocessingml.footer+xml"/>
  <Override PartName="/word/footer2731.xml" ContentType="application/vnd.openxmlformats-officedocument.wordprocessingml.footer+xml"/>
  <Override PartName="/word/footer2734.xml" ContentType="application/vnd.openxmlformats-officedocument.wordprocessingml.footer+xml"/>
  <Override PartName="/word/footer2737.xml" ContentType="application/vnd.openxmlformats-officedocument.wordprocessingml.footer+xml"/>
  <Override PartName="/word/footer2740.xml" ContentType="application/vnd.openxmlformats-officedocument.wordprocessingml.footer+xml"/>
  <Override PartName="/word/footer2743.xml" ContentType="application/vnd.openxmlformats-officedocument.wordprocessingml.footer+xml"/>
  <Override PartName="/word/footer2746.xml" ContentType="application/vnd.openxmlformats-officedocument.wordprocessingml.footer+xml"/>
  <Override PartName="/word/footer2749.xml" ContentType="application/vnd.openxmlformats-officedocument.wordprocessingml.footer+xml"/>
  <Override PartName="/word/footer2752.xml" ContentType="application/vnd.openxmlformats-officedocument.wordprocessingml.footer+xml"/>
  <Override PartName="/word/footer2755.xml" ContentType="application/vnd.openxmlformats-officedocument.wordprocessingml.footer+xml"/>
  <Override PartName="/word/footer2758.xml" ContentType="application/vnd.openxmlformats-officedocument.wordprocessingml.footer+xml"/>
  <Override PartName="/word/footer2761.xml" ContentType="application/vnd.openxmlformats-officedocument.wordprocessingml.footer+xml"/>
  <Override PartName="/word/footer2764.xml" ContentType="application/vnd.openxmlformats-officedocument.wordprocessingml.footer+xml"/>
  <Override PartName="/word/footer2767.xml" ContentType="application/vnd.openxmlformats-officedocument.wordprocessingml.footer+xml"/>
  <Override PartName="/word/footer2770.xml" ContentType="application/vnd.openxmlformats-officedocument.wordprocessingml.footer+xml"/>
  <Override PartName="/word/footer2773.xml" ContentType="application/vnd.openxmlformats-officedocument.wordprocessingml.footer+xml"/>
  <Override PartName="/word/footer2776.xml" ContentType="application/vnd.openxmlformats-officedocument.wordprocessingml.footer+xml"/>
  <Override PartName="/word/footer2779.xml" ContentType="application/vnd.openxmlformats-officedocument.wordprocessingml.footer+xml"/>
  <Override PartName="/word/footer2782.xml" ContentType="application/vnd.openxmlformats-officedocument.wordprocessingml.footer+xml"/>
  <Override PartName="/word/footer2785.xml" ContentType="application/vnd.openxmlformats-officedocument.wordprocessingml.footer+xml"/>
  <Override PartName="/word/footer2788.xml" ContentType="application/vnd.openxmlformats-officedocument.wordprocessingml.footer+xml"/>
  <Override PartName="/word/footer2791.xml" ContentType="application/vnd.openxmlformats-officedocument.wordprocessingml.footer+xml"/>
  <Override PartName="/word/footer2794.xml" ContentType="application/vnd.openxmlformats-officedocument.wordprocessingml.footer+xml"/>
  <Override PartName="/word/footer2797.xml" ContentType="application/vnd.openxmlformats-officedocument.wordprocessingml.footer+xml"/>
  <Override PartName="/word/footer2800.xml" ContentType="application/vnd.openxmlformats-officedocument.wordprocessingml.footer+xml"/>
  <Override PartName="/word/footer2803.xml" ContentType="application/vnd.openxmlformats-officedocument.wordprocessingml.footer+xml"/>
  <Override PartName="/word/footer2806.xml" ContentType="application/vnd.openxmlformats-officedocument.wordprocessingml.footer+xml"/>
  <Override PartName="/word/footer2809.xml" ContentType="application/vnd.openxmlformats-officedocument.wordprocessingml.footer+xml"/>
  <Override PartName="/word/footer2812.xml" ContentType="application/vnd.openxmlformats-officedocument.wordprocessingml.footer+xml"/>
  <Override PartName="/word/footer2815.xml" ContentType="application/vnd.openxmlformats-officedocument.wordprocessingml.footer+xml"/>
  <Override PartName="/word/footer2818.xml" ContentType="application/vnd.openxmlformats-officedocument.wordprocessingml.footer+xml"/>
  <Override PartName="/word/footer2821.xml" ContentType="application/vnd.openxmlformats-officedocument.wordprocessingml.footer+xml"/>
  <Override PartName="/word/footer2824.xml" ContentType="application/vnd.openxmlformats-officedocument.wordprocessingml.footer+xml"/>
  <Override PartName="/word/footer2827.xml" ContentType="application/vnd.openxmlformats-officedocument.wordprocessingml.footer+xml"/>
  <Override PartName="/word/footer2830.xml" ContentType="application/vnd.openxmlformats-officedocument.wordprocessingml.footer+xml"/>
  <Override PartName="/word/footer2833.xml" ContentType="application/vnd.openxmlformats-officedocument.wordprocessingml.footer+xml"/>
  <Override PartName="/word/footer2836.xml" ContentType="application/vnd.openxmlformats-officedocument.wordprocessingml.footer+xml"/>
  <Override PartName="/word/footer2839.xml" ContentType="application/vnd.openxmlformats-officedocument.wordprocessingml.footer+xml"/>
  <Override PartName="/word/footer2842.xml" ContentType="application/vnd.openxmlformats-officedocument.wordprocessingml.footer+xml"/>
  <Override PartName="/word/footer2845.xml" ContentType="application/vnd.openxmlformats-officedocument.wordprocessingml.footer+xml"/>
  <Override PartName="/word/footer2848.xml" ContentType="application/vnd.openxmlformats-officedocument.wordprocessingml.footer+xml"/>
  <Override PartName="/word/footer2851.xml" ContentType="application/vnd.openxmlformats-officedocument.wordprocessingml.footer+xml"/>
  <Override PartName="/word/footer2854.xml" ContentType="application/vnd.openxmlformats-officedocument.wordprocessingml.footer+xml"/>
  <Override PartName="/word/footer2857.xml" ContentType="application/vnd.openxmlformats-officedocument.wordprocessingml.footer+xml"/>
  <Override PartName="/word/footer2860.xml" ContentType="application/vnd.openxmlformats-officedocument.wordprocessingml.footer+xml"/>
  <Override PartName="/word/footer2863.xml" ContentType="application/vnd.openxmlformats-officedocument.wordprocessingml.footer+xml"/>
  <Override PartName="/word/footer2866.xml" ContentType="application/vnd.openxmlformats-officedocument.wordprocessingml.footer+xml"/>
  <Override PartName="/word/footer2869.xml" ContentType="application/vnd.openxmlformats-officedocument.wordprocessingml.footer+xml"/>
  <Override PartName="/word/footer2872.xml" ContentType="application/vnd.openxmlformats-officedocument.wordprocessingml.footer+xml"/>
  <Override PartName="/word/footer2875.xml" ContentType="application/vnd.openxmlformats-officedocument.wordprocessingml.footer+xml"/>
  <Override PartName="/word/footer2878.xml" ContentType="application/vnd.openxmlformats-officedocument.wordprocessingml.footer+xml"/>
  <Override PartName="/word/footer2881.xml" ContentType="application/vnd.openxmlformats-officedocument.wordprocessingml.footer+xml"/>
  <Override PartName="/word/footer2884.xml" ContentType="application/vnd.openxmlformats-officedocument.wordprocessingml.footer+xml"/>
  <Override PartName="/word/footer2887.xml" ContentType="application/vnd.openxmlformats-officedocument.wordprocessingml.footer+xml"/>
  <Override PartName="/word/footer2890.xml" ContentType="application/vnd.openxmlformats-officedocument.wordprocessingml.footer+xml"/>
  <Override PartName="/word/footer2893.xml" ContentType="application/vnd.openxmlformats-officedocument.wordprocessingml.footer+xml"/>
  <Override PartName="/word/footer2896.xml" ContentType="application/vnd.openxmlformats-officedocument.wordprocessingml.footer+xml"/>
  <Override PartName="/word/footer2899.xml" ContentType="application/vnd.openxmlformats-officedocument.wordprocessingml.footer+xml"/>
  <Override PartName="/word/footer2902.xml" ContentType="application/vnd.openxmlformats-officedocument.wordprocessingml.footer+xml"/>
  <Override PartName="/word/footer2905.xml" ContentType="application/vnd.openxmlformats-officedocument.wordprocessingml.footer+xml"/>
  <Override PartName="/word/footer2908.xml" ContentType="application/vnd.openxmlformats-officedocument.wordprocessingml.footer+xml"/>
  <Override PartName="/word/footer2911.xml" ContentType="application/vnd.openxmlformats-officedocument.wordprocessingml.footer+xml"/>
  <Override PartName="/word/footer2914.xml" ContentType="application/vnd.openxmlformats-officedocument.wordprocessingml.footer+xml"/>
  <Override PartName="/word/footer2917.xml" ContentType="application/vnd.openxmlformats-officedocument.wordprocessingml.footer+xml"/>
  <Override PartName="/word/footer2920.xml" ContentType="application/vnd.openxmlformats-officedocument.wordprocessingml.footer+xml"/>
  <Override PartName="/word/footer2923.xml" ContentType="application/vnd.openxmlformats-officedocument.wordprocessingml.footer+xml"/>
  <Override PartName="/word/footer2926.xml" ContentType="application/vnd.openxmlformats-officedocument.wordprocessingml.footer+xml"/>
  <Override PartName="/word/footer2929.xml" ContentType="application/vnd.openxmlformats-officedocument.wordprocessingml.footer+xml"/>
  <Override PartName="/word/footer2932.xml" ContentType="application/vnd.openxmlformats-officedocument.wordprocessingml.footer+xml"/>
  <Override PartName="/word/footer2935.xml" ContentType="application/vnd.openxmlformats-officedocument.wordprocessingml.footer+xml"/>
  <Override PartName="/word/footer2938.xml" ContentType="application/vnd.openxmlformats-officedocument.wordprocessingml.footer+xml"/>
  <Override PartName="/word/footer2941.xml" ContentType="application/vnd.openxmlformats-officedocument.wordprocessingml.footer+xml"/>
  <Override PartName="/word/footer2944.xml" ContentType="application/vnd.openxmlformats-officedocument.wordprocessingml.footer+xml"/>
  <Override PartName="/word/footer2947.xml" ContentType="application/vnd.openxmlformats-officedocument.wordprocessingml.footer+xml"/>
  <Override PartName="/word/footer2950.xml" ContentType="application/vnd.openxmlformats-officedocument.wordprocessingml.footer+xml"/>
  <Override PartName="/word/footer2953.xml" ContentType="application/vnd.openxmlformats-officedocument.wordprocessingml.footer+xml"/>
  <Override PartName="/word/footer2956.xml" ContentType="application/vnd.openxmlformats-officedocument.wordprocessingml.footer+xml"/>
  <Override PartName="/word/footer2959.xml" ContentType="application/vnd.openxmlformats-officedocument.wordprocessingml.footer+xml"/>
  <Override PartName="/word/footer2962.xml" ContentType="application/vnd.openxmlformats-officedocument.wordprocessingml.footer+xml"/>
  <Override PartName="/word/footer2965.xml" ContentType="application/vnd.openxmlformats-officedocument.wordprocessingml.footer+xml"/>
  <Override PartName="/word/footer2968.xml" ContentType="application/vnd.openxmlformats-officedocument.wordprocessingml.footer+xml"/>
  <Override PartName="/word/footer2971.xml" ContentType="application/vnd.openxmlformats-officedocument.wordprocessingml.footer+xml"/>
  <Override PartName="/word/footer2974.xml" ContentType="application/vnd.openxmlformats-officedocument.wordprocessingml.footer+xml"/>
  <Override PartName="/word/footer2977.xml" ContentType="application/vnd.openxmlformats-officedocument.wordprocessingml.footer+xml"/>
  <Override PartName="/word/footer2980.xml" ContentType="application/vnd.openxmlformats-officedocument.wordprocessingml.footer+xml"/>
  <Override PartName="/word/footer2983.xml" ContentType="application/vnd.openxmlformats-officedocument.wordprocessingml.footer+xml"/>
  <Override PartName="/word/footer2986.xml" ContentType="application/vnd.openxmlformats-officedocument.wordprocessingml.footer+xml"/>
  <Override PartName="/word/footer2989.xml" ContentType="application/vnd.openxmlformats-officedocument.wordprocessingml.footer+xml"/>
  <Override PartName="/word/footer2992.xml" ContentType="application/vnd.openxmlformats-officedocument.wordprocessingml.footer+xml"/>
  <Override PartName="/word/footer2995.xml" ContentType="application/vnd.openxmlformats-officedocument.wordprocessingml.footer+xml"/>
  <Override PartName="/word/footer2998.xml" ContentType="application/vnd.openxmlformats-officedocument.wordprocessingml.footer+xml"/>
  <Override PartName="/word/footer3001.xml" ContentType="application/vnd.openxmlformats-officedocument.wordprocessingml.footer+xml"/>
  <Override PartName="/word/footer3004.xml" ContentType="application/vnd.openxmlformats-officedocument.wordprocessingml.footer+xml"/>
  <Override PartName="/word/footer3007.xml" ContentType="application/vnd.openxmlformats-officedocument.wordprocessingml.footer+xml"/>
  <Override PartName="/word/footer3010.xml" ContentType="application/vnd.openxmlformats-officedocument.wordprocessingml.footer+xml"/>
  <Override PartName="/word/footer3013.xml" ContentType="application/vnd.openxmlformats-officedocument.wordprocessingml.footer+xml"/>
  <Override PartName="/word/footer3016.xml" ContentType="application/vnd.openxmlformats-officedocument.wordprocessingml.footer+xml"/>
  <Override PartName="/word/footer3019.xml" ContentType="application/vnd.openxmlformats-officedocument.wordprocessingml.footer+xml"/>
  <Override PartName="/word/footer3022.xml" ContentType="application/vnd.openxmlformats-officedocument.wordprocessingml.footer+xml"/>
  <Override PartName="/word/footer3025.xml" ContentType="application/vnd.openxmlformats-officedocument.wordprocessingml.footer+xml"/>
  <Override PartName="/word/footer3028.xml" ContentType="application/vnd.openxmlformats-officedocument.wordprocessingml.footer+xml"/>
  <Override PartName="/word/footer3031.xml" ContentType="application/vnd.openxmlformats-officedocument.wordprocessingml.footer+xml"/>
  <Override PartName="/word/footer3034.xml" ContentType="application/vnd.openxmlformats-officedocument.wordprocessingml.footer+xml"/>
  <Override PartName="/word/footer3037.xml" ContentType="application/vnd.openxmlformats-officedocument.wordprocessingml.footer+xml"/>
  <Override PartName="/word/footer3040.xml" ContentType="application/vnd.openxmlformats-officedocument.wordprocessingml.footer+xml"/>
  <Override PartName="/word/footer3043.xml" ContentType="application/vnd.openxmlformats-officedocument.wordprocessingml.footer+xml"/>
  <Override PartName="/word/footer3046.xml" ContentType="application/vnd.openxmlformats-officedocument.wordprocessingml.footer+xml"/>
  <Override PartName="/word/footer3049.xml" ContentType="application/vnd.openxmlformats-officedocument.wordprocessingml.footer+xml"/>
  <Override PartName="/word/footer3052.xml" ContentType="application/vnd.openxmlformats-officedocument.wordprocessingml.footer+xml"/>
  <Override PartName="/word/footer3055.xml" ContentType="application/vnd.openxmlformats-officedocument.wordprocessingml.footer+xml"/>
  <Override PartName="/word/footer3058.xml" ContentType="application/vnd.openxmlformats-officedocument.wordprocessingml.footer+xml"/>
  <Override PartName="/word/footer3061.xml" ContentType="application/vnd.openxmlformats-officedocument.wordprocessingml.footer+xml"/>
  <Override PartName="/word/footer3064.xml" ContentType="application/vnd.openxmlformats-officedocument.wordprocessingml.footer+xml"/>
  <Override PartName="/word/footer3067.xml" ContentType="application/vnd.openxmlformats-officedocument.wordprocessingml.footer+xml"/>
  <Override PartName="/word/footer3070.xml" ContentType="application/vnd.openxmlformats-officedocument.wordprocessingml.footer+xml"/>
  <Override PartName="/word/footer3073.xml" ContentType="application/vnd.openxmlformats-officedocument.wordprocessingml.footer+xml"/>
  <Override PartName="/word/footer3076.xml" ContentType="application/vnd.openxmlformats-officedocument.wordprocessingml.footer+xml"/>
  <Override PartName="/word/footer3079.xml" ContentType="application/vnd.openxmlformats-officedocument.wordprocessingml.footer+xml"/>
  <Override PartName="/word/footer3082.xml" ContentType="application/vnd.openxmlformats-officedocument.wordprocessingml.footer+xml"/>
  <Override PartName="/word/footer3085.xml" ContentType="application/vnd.openxmlformats-officedocument.wordprocessingml.footer+xml"/>
  <Override PartName="/word/footer3088.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فهرستگان نسخه های خطی ایران فنخا جلد 3 ارجاع- اشیاء</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رموز و اختصارات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آوانگاری و اختصارات</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ارجاع</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ارجاع  المتعلمين / نحو / فارسی</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ارجن گیتا / ادبیات / فارسی</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ارجوزه / نحو</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الارجوزة الجديدة / فقه، شعر / عربي</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ارجوزة فى الاجتهاد والاخبار / اصول فقه / عربي</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ارجوزة فى اصالة البراءة / شعر، اصول فقه / عربی</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ارجوزة في توصيف منظومة دلائل الخيرات / شعر / عربی</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ارجوزة في الرجال / شعر، رجال / عربی</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ارجوزة فى علم اشكال الشعباذ = ارجوزة في [الشعبذة] و الرمل / رمل / عربی</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ارجوزة فى علم المنطق = القصيدة المصرعة= القصيدة المزدوجة = ميزان النظر = الزجز المنطقى /منطق / عربی</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ارجوزة فى الفلك = صور الكواكب = ارجوزة فی- الكواكب / هیئت / عربی – فارسی</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ارجوزة فى الوصايا = نصائح طبية منظومة / طب/عربی</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ارجوزة القارب / شعر / عربي</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ارجوزة المعارف الخمسة / كلام و اعتقادات، شعر</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ارداویراف / شعر / فارسی</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ارداویراف / شعر / فارسی</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ارداویراف (منتخب) / شعر / فارسی</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ارداویراف نامه / ادبیات / فارسی</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ارداویراف نامه = ویراف نامه / کلام و اعتقادات / فارسی</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ارداویراف نامه / فارسی</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ارداویراف نامه (منظوم) / شعر / فارسی</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اردستان از دیدگاه سخنوران / تاریخ / فارسی</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اردستان نگینی بر انگشتر کویر / جغرافیا / فارسی</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اردشیر نامه = اردشیر و عذرا / داستان / عبری</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اردوکشی 1870 و 1871 م / تاریخ / فارسی</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اردونامه حکیم سلطان بوسعید / شعر / فارسی</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اردوی همایون تشکیلاتی / تاریخ جنگ / ترکی</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اردیبهشت نامه / ،شعر تاریخ پیامبراکرم (صلّی اللَّهِ علیه وَ آلِهِ وَ سَلَّمَ ) / فارسی</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الارزاق = تقدير الارزاق / فلسفه / عربی</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الارزاق (القول في) / عربي</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ارزش دانش / اصول فقه / فارسی</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ارزش و بزرگواری حضرت پیغمبر اسلام(صلّی اللَّهِ علیه وَ آلِهِ وَ سَلَّمَ ) / اصول فقه / فارسی</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ارژنگ ماچین / خط / فارسی</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ار سطر خس فى جرمى النيرين / هیئت / عربی</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الارشاد = الزهد = جواب ابی سعید ابی الخیر /  پاسخ پرسش ها / عربی</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الارشاد / نحو / عربي</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ارشاد = جامع المسائل في فقه الامامية / فقه / فارسی</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الارشاد</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الارشاد / نحو / عربي</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ارشاد / عرفان و تصوف / عربی</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الارشاد / کلام و اعتقادات، فقه / عربی</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الارشاد / عربی</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ارشاد الاذهان الى احكام الایمان / فقه / عربی</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ارشاد الاذهان الى احكام الایمان (ترجمه) / فقه /فارسی</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ارشاد الاذهان الى احكام الایمان (ترجمه) / فقه / فارسی</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ارشاد الاذهان الى احكام الایمان (ترجمه) / فقه /فارسی</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ارشاد الاذهان الى احكام الايمان (ترجمه) / فقه/ فارسی</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ارشاد اذهان در امامت ائمه انام (علیه السّلام) / کلام و اعتقادات امامت / فارسی</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ارشاد الاذهان في تجويد القرآن / تجويد / عربی</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ارشاد الافاضل الى مطالب الرسائل / اصول فقه / عربی</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الارشاد الى الاولاد / كيميا / عربي</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الارشاد الى علم الاعراب / نحو / عربي</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الارشاد الى نجاة العباد / عرفان و تصوف / عربی</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إرشاد الأنام إلى شرح فيض الملك العلام / فقه / عربی</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ارشاد الانام فى ختمية سيد الانام / کلام و اعتقادات / فارسی</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ارشاد اهل الانابة الى وجوه الحل في شرب الطابة / فقه / عربی</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ارشاد الجاهلين / متفرقه / فارسی</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ارشاد الحاير الى تخطيط فضل الداير / هیئت /عربی</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ارشاد الحنفاء فى وصف الخلفاء / كلام و اعتقادات / فارسی و عربی</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ارشاد الحنفا فى وصف الخلفا / تاریخ معصومین / فارسی</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ارشاد الخبير البصير الى تحقيق الحال في ابي بصير = ترجمة ابى بصير = تحقيق احوال ابی بصیر / رجال / عربی</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ارشاد الخلایق مظفری / تاریخ پیامبراکرم(صلّی اللَّهِ علیه وَ آلِهِ وَ سَلَّمَ  / فارسی</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ارشاد در علم اسطرلاب = پنجاه باب در اسطرلاب / اسطرلاب - فارسی</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ارشاد در علم اسطرلاب (مختصر) / اسطرلاب / فارسی</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ارشاد الزایرین / حدیث، اخلاق / فارسی</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ارشاد الزراعة = علم الحراثة / كشاورزی / فارسی</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ارشاد الزراعة = فلاحت / کشاورزی - فارسی</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ارشاد السارى لشرح صحيح البخاری / حدیث / عربی</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ارشاد السالک فی شرح دليل الناسك / فقه / عربی</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ارشاد السالكين / عرفان و تصوف / فارسی</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ارشاد السالكين / عرفان و تصوف / فارسی</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ارشاد السالكين / عرفان و تصوف / فارسی</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ارشاد السالکین / عرفان و تصوف / فارسی</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ارشاد السالكين / عرفان و تصوف / فارسی</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ارشاد السالکین / عرفان و تصوف / فارسی</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ارشاد السالكين / عرفان و تصوف / فارسی</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ارشاد السائل الى اصول المسائل / هيئت /عربي</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ارشاد الصالحين / فقه / فارسی</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ارشاد الصفيه / اردو</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ارشاد الصواب = رموز قراء / قرائت / عربی</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ارشاد الضال = المتعصب للآل فرقة الناجية / كلام و اعتقادات / فارسی</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ارشاد الطالب الى منظومة الكواكب / اصول فقه / عربی</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ارشاد الطالبین / عرفان و تصوف / فارسی</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ارشاد الطالبین / فقه، شعر / فارسی</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ارشاد الطالبین / عرفان و تصوف / فارسی</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ارشاد الطالبین / عرفان و تصوف / فارسی</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ارشاد الطالبین / عرفان و تصوف / فارسی</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ارشاد الطالبین / عرفان و تصوف / فارسی</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ارشاد الطالبین / عرفان و تصوف / فارسی</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ارشاد الطالبين / فارسی</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إرشاد الطالبين إلى أقرب الطرق باليقين / متفرقه / عربی</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إرشاد الطالبين إلى نهج المسترشدين / كلام و اعتقادات / عربی</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ارشاد الطالبین فی اصول الدین / کلام و اعتقادات / فارسی</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ارشاد الطالبين وبدرقة السالکین / عرفان و تصوف</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ارشاد الطريقة و مفتاح الشريعة / عرفان و تصوف / فارسی</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ارشاد الطلاب / حساب / عربی</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ارشاد طلاب الحقائق الى معرفة سنن خير الخلائق / درایه / عربی</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ارشاد الطلبة الى شواهد الطيبة / قرائت / عربي</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ارشاد العارف النبيل / علوم قرآن / عربی</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ارشاد العباد / کلام و اعتقادات عرفان و تصوف /فارسی</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ارشاد العبادات / فقه / فارسی</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ارشاد العباد الى احكام الذبح و الاصطياد / فقه / اردو</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ارشاد العباد فى فضل الجهاد / حدیث / عربی</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ارشاد العباد فی فضل الجهاد / فقه / عربي</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ارشاد العباد فی کشف واجب الاعتقاد / كلام و اعتقادات / فارسی</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ارشاد العشاق / شعر / فارسی</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ارشاد العقل السليم الى مزايا الكتاب الكريم = التفسير / تفسير / عربي</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ارشاد العمودى الى شواهد المكودي / نحو / عربي</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ارشاد العوام / کلام و اعتقادات / فارسی</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ارشاد العوام / شعر / فارسی</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ارشاد الغافلين / کلام و اعتقادات / عربی</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ارشاد الغافلین / اخلاق / فارسی</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ارشاد الغافلين فى اخبار الائمة الطاهرين / حديث / عربی</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ارشاد الغاوی فی مسالک الحاوى / فقه / عربي</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الارشاد فى احوال الصاحب الکافی / تراجم / عربی</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الارشاد فى الانشاء / انشاء / فارسی</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الارشاد في تفسير القرآن / تفسیر / عربی</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الارشاد في علم الميزان = ارشاد المتعلم الى الطريق / منطق / عربي</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الارشاد فى علم النحو / نحو / عربي</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الارشاد في معرفة حجج الله على العباد / تاريخ معصومین / عربی</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الارشاد (ترجمه) / تاریخ معصومین / فارسی</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الارشاد (ترجمه) / تاریخ معصومین / فارسی</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ارشاد القاری / تجوید / فارسی</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ارشاد القاصد الى اسنى المقاصد / چند دانشی / عربی</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ارشاد القاصد (مختصر) / فهرست / عربی</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ارشاد القلوب الى الصواب المنجى من عمل به من اليم العقاب / حدیث / عربی</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ارشاد القلوب ترجمه و شرح) / حدیث / فارسی</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ارشاد القلوب (ترجمه و تلخیص) / داستان / فارسی</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ارشاد القلوب (منتخب) / حدیث / عربی</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الارشاد لمصالح الانفس والاجساد / طب / عربی</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ارشاد المبتدی / عرفان و تصوف / فارسی</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ارشاد المبتدی / صرف / فارسی</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ارشاد المبتدى و تذكرة المنتهى / تجويد / عربي</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ارشاد المبتدئين / تجوید / فارسی</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ارشاد المبتدئين / فارسى</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ارشاد المبتدئين / فقه / عربي</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ارشاد المبتدئين / ادبيات / فارسي</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ارشاد المتحيرين في امر الدين / کلام و اعتقادات / عربي و فارسي</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ارشاد المتعلمين / آداب و سنن / فارسی</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ارشاد (مجله) (ترکی) / مجله / ترکی – فارسی</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ارشاد المريد الى المراد = مراد نامه / کلام و اعتقادات / ترکی</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ارشاد المریدین / عرفان و تصوف / عربی</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ارشاد المريدين / عرفان و تصوف، شعر / فارسی</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ارشاد المريدين / عرفان و تصوف / فارسی</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ارشاد المریدین / عرفان و تصوف / فارسی</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ارشاد المسائل الى اصول المسائل معروف به شرح رساله ستینی در هندسه و ریاضی / هیئت</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ارشاد المستبصر = الاستخارة / استخاره - عربی</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ارشاد المسترشدین / کلام و اعتقادات / عربی</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ارشاد المسترشدین / فقه / فارسی</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ارشاد المسترشدین / فقه/ فارسی</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ارشاد المسترشدين فى معرفة الضرورى من احكام الدین / فقه / فارسی</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ارشاد المسترشدين و هداية الطالبين = واجب الاعتقاد / كلام و اعتقادات / عربی</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ارشاد المستمع / کلام و اعتقادات / فارسی</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ارشاد المسلمين = ترجمه عقاید اهل اسلام / کلام اعتقادات / فارسی</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ارشاد المصنف و ارغام المعتنف / کلام و اعتقادات / عربی و فارسی</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ارشاد المضلین / کلام و اعتقادات / فارسی</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ارشاد المضلين فى اخبار الانبياء المرسلين و فضائل الائمة / كلام و اعتقادات / عربی</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ارشاد المضلين فى نبوة خاتم النبيين = منتخب مفتاح النبوة = مختصر اثبات النبوة / كلام و اعتقادات / فارسی</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ارشاد الملوک / اخلاق / ترکی و عربی</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ارشاد الملوک فی سیر السلوک / کلام و اعتقادات / فارسی</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ارشاد المؤمنين / فقه / فارسی</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ارشاد المؤمنين / فقه / عربي</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ارشاد المؤمنين / فقه / فارسی</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ارشاد المؤمنين / فقه / فارسی</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ارشاد المؤمنین / کلام و اعتقادات / فارسی</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ارشاد المؤمنين / عرفان و تصوف / فارسی</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ارشاد المؤمنين / فقه / فارسی</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ارشاد المؤمنين / عرفان و تصوف / فارسی</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ارشاد المؤمنين فى مختصر هداية الطالبين / كلام اعتقادات / فارسی</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الارشاد (منتخب) / تاریخ معصومین / عربی</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ارشاد نامه = قصیده رائيه / شعر / فارسی</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ارشاد نامه = اجازه تلقین ذکر و روایت / عرفان و تصوف / فارسی</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ارشاد نامه / عرفان و تصوف / فارسی</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ارشاد نامه / تراجم / فارسی</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ارشاد نامه = اجازه و ارشاد نامه = اجازه طریقت /اجازات - فارسی</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ارشاد نامه / عرفان و تصوف / فارسی</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ارشاد نامه / نامه نگاری / فارسی</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ارشاد نامه / عرفان و تصوف / فارسی</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ارشاد نامه / تراجم / فارسی</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ارشاد نامه / عرفان و تصوف / فارسی</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ارشاد النبوية الى السعادة الابدية / كلام و اعتقادات / فارسی</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ارشاد النقاد الى تيسير الاجتهاد / حدیث / عربي</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ارشاد الواعظين و تذكرة الذاكرین = روح الجنان / گوناگون / فارسی</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ارشاد الوزراء / حکومت و سیاست – فارسی</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ارشاد الولد / شعر / فارسی</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الارشاد الهادى الى سبيل الرشاد / فقه / عربی</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ارشاد الهادى فى النحو / نحو / عربي</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الارشادية / اخلاق / فارسی</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ارضاع احدى الأختين ولد الأخرى / فقه / عربي</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ارغام اللئام فى كسر الأصنام / کلام و اعتقادات / فارسی</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ارقام ایام جمعه ها / هیئت / فارسی</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ارقام جمع و خرج گیلان / اسناد / فارسی</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ارقامی که. .. / اسناد / فارسی</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ارقعه نوع (ازقنوغ) / طالع بینی / فارسی</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الاركان الاربعة فى الحجر / كيميا / عربي</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ارکان الایمان / کلام و اعتقادات / فارسی</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ارکان توحید / تاریخ معصومین / فارسی</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اركان ثلاثة / کلام و اعتقادات / فارسی</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ارکان حرب / فنون نظامی / فارسی</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اركان الحكمة / عرفان و تصوف / فارسی</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الاركانية / كيميا / عربي - فارسی</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ارمغان / ادبیات / فارسی</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ارمغان / فارسی</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ارمغان الباكين فى مناقب آل یاسین / مقتل تاریخ / معصومین / فارسی</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ارمغان مظفری / ادبیات / فارسی</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ارمغان ندیم / شعر / فارسی</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ارمغان هندی / رمل / فارسی</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ارمغانی طوس / گوناگون / فارسی</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ارواح / متفرقه / فارسی</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الارواح / شعر / فارسی</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ارواح / حدیث / فارسی</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ارواح ائمه ... / کلام و اعتقادات / فارسی</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الارواح بعد الموت / کلام و اعتقادات / عربی</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الارواح في البرزخ / کلام و اعتقادات / عربی</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ارهاض اللغة = لغت زیرک / لغت / عربی</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ازاحة الاباطيل = رد ينابيع الاسلام / کلام و اعتقادات/ فارسی</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ازاحة الاشكال عن عبارات الاعتزال / كلام و اعتقادات / عربی</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ازاحة الاوهام / کلام و اعتقادات / فارسی</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ازاحة الشکوک فی تملک المملوك / فقه / عربی</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ازاحة العلة عن شرف حقيقة العزلة / عرفان و تصوف / عربی</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ازاحة العلة فى معرفة القبلة / فقه / عربي</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ازاحة و اراحة / اصول فقه / عربی</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ازالة الارتياب فى وجوب الحجاب / فقه / فارسی</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ازالة الاوهام عن اشتباهات العوام في الاسماء و الاعلام / ادبیات / عربی</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ازالة الخفاء عن خلافة الخلفاء / كلام و اعتقادات / فارسی</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ازالة القناع عن وجوه السماع = نغمه عشاق / عرفا وتصوف / فارسی</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از اهر المحیی و اشراق انوار ادب الضيا / شعر / عربی</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از پکن تا پاریس / سفرنامه، دعا / فارسی</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از خط جمال الدین اسکافی / عربی</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از خط سید صفی الدین محمد بن معد موسوی / حدیث / عربی</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ازدواج روح و جسد / کیمیا / عربی</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ازدواج و نکاح / فقه / عربی - فارسی</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الازدهار في عقد الشعرا من الآثار / گوناگون / عربی</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از سازمان ملل متفق چه نتیجه تواند / فارسی</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از سخنان ابراهیم خواص</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از عقاب تزار به بیرق سرخ / داستان / فارسی</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از علاج مسیحا / طب / فارسی</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از کتاب شمس المعارف</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از کشکول شیخ بهایی</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ازگذشته ها / ادبیات / فارسی</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الازل / عرفان و تصوف / عربی</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ازلية النفس وبقائها = بقاء النفس / فلسفه / عربي</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الازمان و ذكر ما يستعمل فی کل وقت و آن / عربی</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از مجمع الحکایات / داستان / فارسی</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الازمنة و الامكنة / هيئت / عربي</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الازمنة و الامكنة / دائرة المعارف، هيئت / عربي</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الازمنة و الشهور الرومية / هيئت / عربي</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ازواج النبی / تاریخ پیامبراکرم (صلّی اللَّهِ علیه وَ آلِهِ وَ سَلَّمَ ) / عربی</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الازهار = المجموع / اخلاق / عربی</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الازهار = رياض الازهار / ادبیات / عربی</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ازهار الافكار في جواهر الاحجار / طبیعیات / عربی</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الازهار البديعة فى علم الطبيعة / طبيعيات / عربي</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ازهار بستان الناظرين فى اخبار الاولین و الاخرين / تاریخ پیامبران - عربی</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ازهار الربيع و غاية الاماني في شرح الجواهر الرفيع و دوحة المعاني / بديع / عربي</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ازهار الرياض / گوناگون / عربی</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ازهار الریاض / گوناگون / عربی</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ازهار الرياض / گوناگون / فارسی</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ازهار العروش فى اخبار الحبوش / حدیث / عربي</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الازهار في فقه الأئمة الأطهار / فقه / عربي</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الازهار فيما جاء فى امام الابرار و اولاده الائمة الاطهار / فضایل و مناقب / عربی</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ازهار گلشن = درة التاج = شرح گلشن راز / عرفان وتصوف، شعر / فارسی</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ازهار مثنوی و انوار معنوی / ادبیات / فارسی</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الازهار و مجمع الانوار / کلام و اعتقادات / فارسی</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ازهاق الباطل / کلام و اعتقادات / عربی</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ازهاق الباطل / کلام و اعتقادات / فارسی</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ازهاق الباطل فى رد شبهة الفرقة الوهابية / كلام و اعتقادات / عربی</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از هر دری سخنی / تاریخ / فارسی</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از هر گلی برگی / شعر / فارسی</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اساتید قرائت قراء / قرائت، تجوید / عربی</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الاساس = الخمسة و ثمانون باباً / هيئت/ عربي</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اساس الاجتهاد / فقه / عربي</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اساس الاحکام / اصول فقه / عربی</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اساس الاحكام النجومية (ترجمه) / هیئت / فارسی</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اساس الادیان / ادیان و مذاهب / فارسی</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اساس الادیان (منتخب) / ادیان و مذاهب / فارسی</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اساس الإسلام / كلام و اعتقادات، فقه / فارسی</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اساس الاصول / اصول فقه / عربی</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اساس الاصول (ترجمه) / اصول فقه / فارسی</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اساس الاصول / اصول فقه / عربی</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اساس الاقتباس / منطق / فارسی</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اساس الاقتباس = اوائل التحرير = البیان و الانشاء / اخلاق / عربی</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اساس الایمان / کلام و اعتقادات / فارسی</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اساس الایمان (منتخب) / تاریخ معصومین / فارسی</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اساس البلاغة = اساس اللغة ومقياس البلاغة / لغت / عربی</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اساس التأويل / کلام و اعتقادات / عربی</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اساس التوحيد / فلسفه / فارسی</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اساس الدین / کلام و اعتقادات / عربی</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اساس الدين لتحصيل اليقين / حدیث / عربی</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اساس السياسة فى تأسيس الرياسة / حکومت وسیاست / فارسی</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اساس العلوم / نحو / فارسی و عربی</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اساس العلوم شیخ ملکی / لغت / فارسی، عربی</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اساس الفضل / معانی بیان / فارسی</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الاساس فى مناقب بنى العباس / حدیث / عربی</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اساس القواعد فى اصول الفوائد / حساب / عربي</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اساس الكمال / گوناگون / فارسی</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اساس (... لات) في قمع الجهالات / كلام و اعتقادات / عربی</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الأساس لأنساب الناس / انساب / عربي</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الاساس لعقائد الاكياس فى معرفة رب العالمين / كلام و اعتقادات / عربی</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اساس المبانی - ترجمه حرز الامانی / قرائت / فارسی</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اساس المصلى / فقه / فارسی</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اساس معرفت / عرفان و تصوف / فارسی</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اساسنامه تشکیلات اداری ایران در سال 1332 ه ق) / متفرقه / فارسی</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اساسنامه شراکت عمومی امتعه ایران (چاپ سنگی) / حقوق / فارسی</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اساسنامه کتابخانه آستان قدس / اسناد / فارسی</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اساسنامه هیئت امناء آستان قدس رضوی / اسناد / عربی و فارسی</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اساسنامه هیئت امناء آستان قدس رضوی / متفرقه</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اساس النجاة ومنية البغاة فى شرح اخبار الهداة = اربعین ملا قاسم / شرح حدیث / عربی</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اساس الوحدانية و مبنى الفردانية / عرفان و تصوف / عربی</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اساس و شرایط بانک دیگر که برقرار خواهد شد = بانک خیالی / قانون / فارسی</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الاساليب الخلابة في ردع ابن حزم / کلام و اعتقادات/ عربی</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الاسامی / طب / عربی</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اسامی / متفرقه / فارسی</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اسامی اجزاء انسان / لغت / فارسی</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اسامی اجزاء مدرسه / متفرقه / فارسی</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اسامی ادویه / طب / فارسی</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اسامی ادویه از رفائيل و يوحنا / طب</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اسامی اسبان سوقانی / متفرقه / فارسی</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اسامی اشکال 16 گانه / فارسی</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اسامى الذين نزل فيهم القرآن الحكيم / تفسير / عربی</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اسامی اماکن حجاز / جغرافيا / فارسی</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اسامی انبیاء مرسل / تاریخ پیامبران - عربی</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اسامی اوزان و اکیال به ترتیب حروف معجم = اوزان عرف / متفرقه / فارسی</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اسامی ائمه / تاریخ معصومین / فارسی</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اسامی ائمه اثنا عشر / تاریخ معصومین / فارسی</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اسامی ائمه اثنی عشریه / تاریخ معصومین / فارسی</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اسامی ائمه اطهار و اولاد ایشان عليهم السلام / تاريخ معصومین / فارسی</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اسامی بروج / هیئت / عربی</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اسامی پرندگان / حیوان شناسی / فارسی</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اسامی تألیفات سید حسین / متفرقه</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اسامی چهارده معصوم / تاریخ معصومین / فارسی</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اسامی حضرت پیامبر / تاریخ پیامبراکرم (صلّی اللَّهِ علیه وَ آلِهِ وَ سَلَّمَ ) / فارسی</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اسامی داروها / بهداشت / فارسی</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اسامی ده قسم چینی آلات با وصف آنها / طبیعیات / فارسی</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اسامی الرجال المتكررة فى الاسناد / رجال / عربي</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اسامی ساعات اللیل و النهار / متفرقه / عربی</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اسامی ساعات روز / متفرقه / عربی</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اسامی سور القرآن و ترتيبها / علوم قرآن / عربی</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اسامی سور قرآن (منظومه در) / شعر، تجوید / فارسی</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اسامی سور قرآنی / علوم قرآن</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اسامی شهور عربيه / متفرقه / عربی</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اسامی صاحب منصبان و سربازان توپخانه / اسناد / فارسی</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اسامی صاحب منصبان و سربازان دو فوج جلالی/ اسناد / فارسی</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اسامی صاحب منصبان و سربازان فوج جلال ناصری / اسناد / فارسی</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اسامی صاحب منصبان و سربازان فوج چهارمحالی / اسناد / فارسی</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اسامی و جیره صاحب منصبان و سربازان فوج درجزین و جیره آنها / اسناد / فارسی</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اسامی صاحب منصبان و سربازان فوج فریدنی / اسناد / فارسی</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اسامی صاحب منصبان و سربازان فوج کزازی و سربندی و جیره آنها / اسناد / فارسی</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اسامی صاحب منصبان و سربازان فوج محمود ناصری / اسناد / فارسی</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اسامی صنایع / صنعت / فارسی</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اسامی علماء و مشاهیر در فنون / تاریخ / عربی</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اسامی علمای شیعه / تراجم</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اسامی فوج بزچلو / اسناد / فارسی</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اسامی فوج فتح ناصری / اسناد / فارسی</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اسامی قاریان / قرائت</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اسامی القراء / قرائت، تجوید / فارسی</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اسامی قراء با رموز آنها (جدول) / قرائت / عربی، فارسی</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اسامی قراء عشره با اسامی روات و ارقام ايشان / قرائت-</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اسامی قراء مقدمه ای در / قرائت / فارسی</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اسامی قراء و راویان / قرائت / عربی</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اسامی قراء و علامات ایشان / قرائت</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اسامی کسانی که در غزوه بدر حضور داشته اند  / تاریخ اسلام</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اسامی کسانیکه نص بر ائمه اثنى عشر عليهم السلام   ذکر نموده اند / تراجم / عربی</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اسامی که لفظهای او را جمع کنند / علوم غریبه/ فارسی</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اسامی گوشه های علم موسیقی / موسیقی / فارسی</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اسامی گیاهان به زبان آرامی / کشاورزی</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اسامی ماههای رومی و فارسی و عربی / هیئت /  فارسی</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اسامی مزینه / تراجم / فارسی</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اسامی مشترکین روزنامه فرهنگ / اسناد / فارسی</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اسامی مصدقين / كيميا / فارسی</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اسامی مؤنثی که علامت تانیث ندارند / ادبیات / عربی</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اسامی المعصومين (جدول) / تاریخ معصومین</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اسامی النسابين / انساب / عربی</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اسامی نمایندگان مجلس شورای ملی از دوره  1تا ۲۳ / اسناد / فارسی</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اسامی و اصطلاحات کره جغرافیائی / هیئت / فارسی</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اسامی و القاب چهارده معصوم عليهم السلام /تاريخ  معصومین / فارسی</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اسامی و القاب چهارده معصوم عليهم السلام / تاريخ  معصومین / فارسی</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الاسامی و الکنی / رجال / عربی</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اسامی وضاع الحديث / رجال / عربي</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اسامی و مخارج فوج فراهانی / اسناد / فارسی</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اسامی و مشخصات سربازان فوج گلپایگان / اسناد  / فارسی</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اسامی و مشخصات صاحب منصبان و سربازان فوج جلالی / اسناد / فارسی</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اسامی و مشخصات صاحب منصبان و سربازان فوج  چهارمحالی / اسناد / فارسی</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اسامی و مقرری فوج مخصوص کزازی / اسناد /  فارسی</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اسامی و مواجب صاحب منصبان و سربازان فوج  ظفر مهندسی کردستان / اسناد / فارسی</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اس انقلاب (ترجمه) / تاریخ / فارسی</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الاسانيد الحيوية فى الاحاديث النبوية / حديث / عربی</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اسانيد القراء / اجازات / عربي</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اسانید صدوق / رجال / عربی</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اسانید صدوق / رجال / عربی</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اسانید کتاب من لا يحضره الفقيه / رجال / عربي</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اسئله اثنی عشریه / کلام و اعتقادات / فارسی</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اسئلة بشر اليهودى / کلام و اعتقادات / عربی</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الاسئلة البهية مع الاجوبة الجلية / نحو / عربي</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الاسئلة الحموية / فقه / عربي</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اسئله خواجه نصیر از شیخ جمال الدین جليل /  نامه نگاری / عربی</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اسئله طوالع / پیشگویی /فارسی</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اسئلة قاضي القضاة هرات = پرسش از خواجه  طوسی / پاسخ پرسش ها / عربی</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اسئلة القرآن و اجوبتها = انموذج جليل / تفسیر / عربی</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اسئلة القرآن و اجوبتها / تفسیر / عربی</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اسئلة القرآن و اجوبتها / تفسیر / عربی</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اسئلة القونوي عن الطوسى = مسائل القونوي  = المفاوضات / فلسفه / عربی – فارسی</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الاسئلة المائة / گوناگون / عربی</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الاسئلة و الاجوبة / پاسخ پرسش ها / عربی</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الاسئلة والاجوبة - رسالة لم صار / فلسفه / عربي</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الاسئلة و الاجوبة / كلام و اعتقادات / عربي</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الاسئلة والاجوبة / نامه نگاری / فارسی</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الاسئلة و الاجوبة / فقه / عربي</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اسئلة و اجوبة / گوناگون / فارسی</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الاسئلة والاجوبة / چنددانشی / عربی</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اسئلة و اجوبة / كلام و اعتقادات / عربی</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الاسئلة والاجوبة / ادبیات / عربي</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الاسئلة و الاجوبة / فقه / عربي</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الاسئلة و الاجوبة / فقه / عربي</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اسئلة و اجوبة / كلام و اعتقادات / فارسی</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الاسئلة و الاجوبة / فقه / عربي</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الاسئلة و الاجوبة / پاسخ پرسشها / عربی</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الاسئلة و الاجوبة / كلام و اعتقادات / عربی</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الاسئلة والاجوبة / عرفان و تصوف، پاسخ پرسش ها / عربی</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الاسئلة و الاجوبة / فقه، پاسخ پرسشها / عربیکا</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الاسئلة و الاجوبة / فلسفه، پاسخ پرسشها / عربی</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الاسئلة و الاجوبة / پاسخ پرسش ها / عربی</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اسئلة و اجوبة / فلسفه / عربی</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الاسئلة و الاجوبة / پاسخ پرسش ها / عربی</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الاسئلة والاجوبة / كلام و اعتقادات، پاسخ پرسشها / عربی</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الاسئلة و الاجوبة / فقه / عربي</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الاسئلة و الاجوبة / كلام و اعتقادات / عربی و فارسی</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الاسئلة و الاجوبة / پاسخ پرسش ها / فارسی</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الاسئلة و الاجوبة / پاسخ پرسشها / فارسی</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الاسئلة و الاجوبة / پاسخ پرسش ها / فارسی</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الاسئلة و الاجوبة (امين الدوله) = پاسخ طوسی  درباره تنفس / طب / عربی</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الاسئلة والاجوبة على شرح الشمسية / منطق / عربي</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اسئلة و اجوبة فى بيان العقل / پاسخ پرسشها /فارسی</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اسباب اجابت دعا / کلام و اعتقادات / فارسی</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اسباب الاشياء / طب / فارسی</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اسباب اعتلال المملكة و معالجاته / حکومت و سیاست /  عربی</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اسباب الامراض = الاسباب و العلامات / طب / عربی</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اسباب التدوية / طب / فارسى</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اسباب التدوية / طب / فارسى</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اسباب حدوث الحروف = معرفة حدوث الحروف  = مخارج الحروف = مخارج الصوت / فلسفه / عربي</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اسباب الرعد والبرق / طبیعیات / عربی</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اسباب روزی و فقر / اخلاق / فارسی</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الاسباب الصادة عن ادراك الصواب / فلسفه / عربي</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اسباب الضمان و مسقطاته / فقه / عربی</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اسباب العلاقات / طب / فارسی</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الاسباب المضعفة للبصر ثلاثة عشر / طب / عربي</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اسباب مهندسی = علم بکار بردن اسباب مهندسی /  ریاضیات / فارسی</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اسباب النزول / علوم قرآن / عربی</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اسباب النزول / علوم قرآن / عربی</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اسباب النزول / علوم قرآن / عربی</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الاسباب و العلامات = المعالجات الايلاقية = الطب الايلاقى = مختصر القانون / طب / عربي</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الاسباب والعلامات = اسباب العلل و علاجها و  علاماتها / طب / عربي</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الاسباب و العلامات (ترجمه) / طب / فارسی</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الاسباب و العلامات (ترجمه) / طب / فارسی</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الاسباب و العلامات (ترجمه) / طب / فارسی</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الاسباب و العلامات (ترجمه) / طب / فارسی</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الاسباب و العلامات (مختصر) / طب / عربی</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اسباب و علامات و اوجاع مفاصل و نقرس و طریقه معالجه آنها / طب / عربی</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اسباغ المنة فى انهار الجنة / كلام و اعتقادات / عربي</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اسباغ النائل بتحقيق المسائل / فقه / اردو</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اسبال المطر على قصب الشكر / ادبیات / عربي</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الاسبال لكساء على النساء / گوناگون / عربی</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اسبان پادشاهی (بیان مجملی از) / متفرقه / فارسی</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اسب نامه = فرس نامه / حیوان شناسی / فارسی</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اسب نامه = فرس نامه / حیوان شناسی / فارسی</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اسب نامه / حیوان شناسی / فارسی</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اسب نامه = فرس نامه / حیوان شناسی / فارسی</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اسب نامه (منظوم) / شعر، حیوان شناسی /فارسی</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اسب نامه هندی / حیوان شناسی / فارسی</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اسب و انواع آن / حیوان شناسی / فارسی</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الاسبوعية فى الاعمال الخيرية / دعا / فارسى</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استاد افضل مهابادی / تراجم / فارسی</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استاد سلمانی / آداب و سنن / ترکی</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استاد مجید وکیل مجلس انتخاب میکند / فارسی</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استبداد (رساله در) / سیاست و حکومت / فارسی</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صدرالاستبداد و المستبد / حکومت و سیاست / عربی</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استبراء الامة الباكرة / فقه / عربي</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استبصار الاخبار = جامع اسرار العلماء = جامع الاحادیث و الاقوال = الجامع الكبير / شرح حدیث / عربی</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الاستبصار فى النص على الائمة الاطهار / كلام و  اعتقادات و حدیث / عربی</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الاستبصار فى انساب الانصار / انساب / عربي</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الاستبصار فيما اختلف من الاخبار / حدیث / عربي</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الاستبصار (منتخب) / فقه / عربی</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الاستتباعية / فقه / عربي</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الاستثناء / متفرقه / عربی</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الاستثناء / نحو / عربي</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الاستثناء المتعاقب للجمل / اصول فقه / عربی</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الاستثناء المعقب للجمل / اصول فقه / عربی</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الاستثناآت المسلسلة / ادبیات / عربي</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استجابة الدعاء = تحرى وقت ترجى فيه اجابة الدعاء والتضرع الى الله تعالى من جهة التنجيم (رسـاله فی) / هيأت، دعا / عربي</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استجابت دعا / دعا / فارسی</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استجابت دعا = آداب دعا / دعا / فارسی</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استجابة الدعاء / فلسفه / عربي</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استجازة انفدها بعض الفضلاء الى اصفهان / متفرقه /  عربی</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استجلاب ارتقاء الغرف بحب اقرباء الرسول ذوى  الشرف / فضایل و مناقب / عربی</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استحالة اتحاد البارى مع المخلوقات / كلام و اعتقادات/ عربی</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استحالة الكبريت و الزرنيخ / کیمیا / عربي</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استحباب التختم بالعقيق / فقه / عربي</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استحباب السورة بعد الحمد = قرائة سورة بعد الحمد او آية / فقه / عربی</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استحباب تختم / آداب و سنن / فارسی</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استحباب تعزیه اهل البیت و صفت تغلیظ یمین بر  کافر و مسلم / فقه</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استحباب حضور ولی و شاهد در نکاح دائم زن /  فقه / عربی</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استحباب رفع اليدين حال القنوت في الصلوات  الخمس / فقه / عربي</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استحباب شهادة على بن ابى طالب فی الاذان و  الاقامة / فقه / عربي</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استحباب مزاح / فقه / فارسی</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الاستحسان / حديث</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استحضار الارواح / علوم غریبه / عربی</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استحقاق الهاشمى بالام للخمس / فقه / عربي</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استحکام / فقه / فارسی</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الاستخارة / استخاره / عربی</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الاستخارة / استخاره / عربي</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استخاره = فالنامه / استخاره / عربی</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استخاره / استخاره / فارسی</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الاستخارة / استخاره / عربی</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الاستخارة / استخاره / عربی</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استخاره / استخاره / فارسی</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الاستخارة / استخاره / عربي</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الاستخارة / استخاره / فارسی</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استخاره / استخاره / فارسی</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الاستخارة / استخاره / عربی</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الاستخارة / استخاره / عربی</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الاستخارة = آیاتی از قرآن جهت استخاره / استخـاره / عربی</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الاستخارة / استخاره / عربي</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استخاره / استخاره / فارسی</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استخاره = فالنامه قرآن/ استخاره / فارسی</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استخاره / دعا / فارسی و عربی</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استخاره با تسبیح / استخاره / عربی</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استخاره با تسبیح نقل از شیخ بهاء الدين / استخاره  / عربی</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استخاره با قرآن و ... / استخاره / فارسی</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استخاره با قرآن/ استخاره / فارسی</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الاستخارة بالقرآن / استخاره / عربی</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استخاره به طریق حروف / استخاره / فارسی</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استخاره (جدول) / استخاره / عربی</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استخاره جعفری = فال نامه / استخاره / فارسی</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استخاره دانیال پیامبر / استخاره / فارسی</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استخاره در سفر / استخاره / فارسی</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استخاره ذات الرقاع / استخاره / عربي</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استخاره معتبر طریق) / استخاره / فارسی</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استخاره نامه / استخاره / فارسی</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استخاره نامه / استخاره / فارسی</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الاستخارة والقرعة / استخاره / عربي</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الاستخدام / بديع / عربي</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استخراج ابعاد الكواكب / هيئت / عربي</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استخراجات - الاستخراج فى طلب العمر و  الهيلاج / هيئت / فارسی</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استخراجات / هیئت / فارسی</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استخراجات المطر الحساب / ریاضیات / فارسی</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استخراجات برهانات (فائده در) / طب / فارس</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استخراجات نجومی / هیئت / فارسی</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استخراج الاجذار المتضاعفة المتوالية/ رياضيات عربي</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استخراج احکام / فارسی</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استخراج احکام طالع شهریار و شهزادگان / اختربینی  / فارسی</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استخراج اسامی از جفر جامع / جفر / فارسی</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استخراج اسامی ائمه از آیه تطهیر = تأویل آیه  تطهير = الزبر و البينات / علوم قرآن / عربی - فارسی</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استخراج الاسئلة و اظهار الاجوبة / جفر / عربي</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استخراج اسماء الله / جفر / فارسی</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استخراج اسماء و اخبار / جفر / فارسی</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استخراج امور ماضیه در دو طریقه / علوم غریبه / فارسی</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استخراج انحراف بلاد از مکه / هیئت / فارسی</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استخراج اوساط کواکب سبعه / هیئت / فارسی</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استخراج الاوساط المحققه / فارسی و عربی</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استخراج اوساط نیرین / هیئت / فارسی</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استخراج بعد سمت فضل الدائر على خط زوال  البلد / هیئت / فارسی و عربی</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استخراج بعد مرکز قمر / هیئت / فارسی</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استخراج التاريخ القبطى من العربي / هیئت / عربی</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استخراج تقاویم / تقویم / فارسی</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استخراج تقاویم / هیئت / فارسی</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استخراج تقویم / هیئت / فارسی</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استخراج تقویم / هیئت / فارسی</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استخراج تقویم / هیئت / ترکی</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استخراج تقویم / تقویم / فارسی</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استخراج تقویم قمر و زحل و عطارد (جدول) /  هیئت / فارسی</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استخراج التقويم والتاريخ / هیئت / عربی</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استخراج تقویم و تعدیل شمس / هیئت / فارسی</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استخراج تقویم یکساله شمسی (جدول) /تقويم /فارسی</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استخراج تقویم یکساله شمسی (جدول) / تقویم/ فارسی</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استخراج تناسب الاعداد الستة / رياضيات / عربي</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استخراج جدول لگاریتم / ریاضیات / فارسی</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استخراج جواب سؤال ها از جدول جفر جامع = استخراج ما في الضمير = استخراج ضمیر / علوم غریبه / فارسی</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استخراج جواهر المعادن الفضة والذهب / كيميا  / عربی</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استخراج جيب = استخراج جيب واحدة باعمال المؤسسة على قواعد الهندسية و الحسابية / رياضيات / عربي</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استخراج حرکات سيارات / هیئت / فارسی</w:t>
        </w:r>
        <w:r>
          <w:tab/>
        </w:r>
        <w:r>
          <w:fldChar w:fldCharType="begin"/>
        </w:r>
        <w:r>
          <w:instrText xml:space="preserve">PAGEREF 584 \h</w:instrText>
        </w:r>
        <w:r>
          <w:fldChar w:fldCharType="end"/>
        </w:r>
      </w:hyperlink>
    </w:p>
    <w:p>
      <w:pPr>
        <w:tabs>
          <w:tab w:val="right" w:leader="dot" w:pos="9062"/>
        </w:tabs>
        <w:ind w:left="440"/>
      </w:pPr>
      <w:hyperlink w:anchor="_Toc585" w:history="1">
        <w:r>
          <w:rPr>
            <w:rFonts w:ascii="IRNazanin" w:hAnsi="IRNazanin" w:eastAsia="IRNazanin" w:cs="IRNazanin"/>
            <w:color w:val="111111"/>
            <w:sz w:val="22"/>
            <w:szCs w:val="22"/>
            <w:b w:val="0"/>
            <w:bCs w:val="0"/>
            <w:i w:val="0"/>
            <w:iCs w:val="0"/>
          </w:rPr>
          <w:t>استخراج خط نصف النهار / هیئت / عربي</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استخراج خط نصف النهار و معرفت سمت قبله= تحفه حاتمیه = قبله آفاق / هیئت / فارسی</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استخراج خطين من خطين / ریاضیات / عربی</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استخراج الخفايا من آیتین / علوم غریبه / عربی</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استخراج دفين / فارسی</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استخراج دقایق حضیض اختلاف منظر القمر  المستعملة فى المجسطی / هیئت / عربی</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استخراج الدهن و الصبغ و عمل شمسی و قمری  /كيميا / عربی - فارسی</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استخراج رصد / هیئت / فارسی</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استخراج رمل / رمل / عربی</w:t>
        </w:r>
        <w:r>
          <w:tab/>
        </w:r>
        <w:r>
          <w:fldChar w:fldCharType="begin"/>
        </w:r>
        <w:r>
          <w:instrText xml:space="preserve">PAGEREF 593 \h</w:instrText>
        </w:r>
        <w:r>
          <w:fldChar w:fldCharType="end"/>
        </w:r>
      </w:hyperlink>
    </w:p>
    <w:p>
      <w:pPr>
        <w:tabs>
          <w:tab w:val="right" w:leader="dot" w:pos="9062"/>
        </w:tabs>
        <w:ind w:left="440"/>
      </w:pPr>
      <w:hyperlink w:anchor="_Toc594" w:history="1">
        <w:r>
          <w:rPr>
            <w:rFonts w:ascii="IRNazanin" w:hAnsi="IRNazanin" w:eastAsia="IRNazanin" w:cs="IRNazanin"/>
            <w:color w:val="111111"/>
            <w:sz w:val="22"/>
            <w:szCs w:val="22"/>
            <w:b w:val="0"/>
            <w:bCs w:val="0"/>
            <w:i w:val="0"/>
            <w:iCs w:val="0"/>
          </w:rPr>
          <w:t>استخراج ساعات و معرفت ایام مشهوره /هیئت / فارسی</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استخراج سمت القبله / هیئت / عربی</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استخراج سمت قبله / هیئت / فارسی</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استخراج سمت قبله / هیئت / فارسی</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استخراج سهام از مجمل الاصول / هیئت / فارسی</w:t>
        </w:r>
        <w:r>
          <w:tab/>
        </w:r>
        <w:r>
          <w:fldChar w:fldCharType="begin"/>
        </w:r>
        <w:r>
          <w:instrText xml:space="preserve">PAGEREF 598 \h</w:instrText>
        </w:r>
        <w:r>
          <w:fldChar w:fldCharType="end"/>
        </w:r>
      </w:hyperlink>
    </w:p>
    <w:p>
      <w:pPr>
        <w:tabs>
          <w:tab w:val="right" w:leader="dot" w:pos="9062"/>
        </w:tabs>
        <w:ind w:left="440"/>
      </w:pPr>
      <w:hyperlink w:anchor="_Toc599" w:history="1">
        <w:r>
          <w:rPr>
            <w:rFonts w:ascii="IRNazanin" w:hAnsi="IRNazanin" w:eastAsia="IRNazanin" w:cs="IRNazanin"/>
            <w:color w:val="111111"/>
            <w:sz w:val="22"/>
            <w:szCs w:val="22"/>
            <w:b w:val="0"/>
            <w:bCs w:val="0"/>
            <w:i w:val="0"/>
            <w:iCs w:val="0"/>
          </w:rPr>
          <w:t>استخراج شاه نعمة الله / شعر / فارسی</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استخراج شؤون / پیشگویی/ عربی</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استخراج الشهور / رياضيات / عربي</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استخراج ضلع المسبع / رياضيات / عربي</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استخراج ضمیر / هیئت / عربی</w:t>
        </w:r>
        <w:r>
          <w:tab/>
        </w:r>
        <w:r>
          <w:fldChar w:fldCharType="begin"/>
        </w:r>
        <w:r>
          <w:instrText xml:space="preserve">PAGEREF 603 \h</w:instrText>
        </w:r>
        <w:r>
          <w:fldChar w:fldCharType="end"/>
        </w:r>
      </w:hyperlink>
    </w:p>
    <w:p>
      <w:pPr>
        <w:tabs>
          <w:tab w:val="right" w:leader="dot" w:pos="9062"/>
        </w:tabs>
        <w:ind w:left="440"/>
      </w:pPr>
      <w:hyperlink w:anchor="_Toc604" w:history="1">
        <w:r>
          <w:rPr>
            <w:rFonts w:ascii="IRNazanin" w:hAnsi="IRNazanin" w:eastAsia="IRNazanin" w:cs="IRNazanin"/>
            <w:color w:val="111111"/>
            <w:sz w:val="22"/>
            <w:szCs w:val="22"/>
            <w:b w:val="0"/>
            <w:bCs w:val="0"/>
            <w:i w:val="0"/>
            <w:iCs w:val="0"/>
          </w:rPr>
          <w:t>استخراج ضمير = الخبى و الضمير / هیئت / فارسی</w:t>
        </w:r>
        <w:r>
          <w:tab/>
        </w:r>
        <w:r>
          <w:fldChar w:fldCharType="begin"/>
        </w:r>
        <w:r>
          <w:instrText xml:space="preserve">PAGEREF 604 \h</w:instrText>
        </w:r>
        <w:r>
          <w:fldChar w:fldCharType="end"/>
        </w:r>
      </w:hyperlink>
    </w:p>
    <w:p>
      <w:pPr>
        <w:tabs>
          <w:tab w:val="right" w:leader="dot" w:pos="9062"/>
        </w:tabs>
        <w:ind w:left="440"/>
      </w:pPr>
      <w:hyperlink w:anchor="_Toc605" w:history="1">
        <w:r>
          <w:rPr>
            <w:rFonts w:ascii="IRNazanin" w:hAnsi="IRNazanin" w:eastAsia="IRNazanin" w:cs="IRNazanin"/>
            <w:color w:val="111111"/>
            <w:sz w:val="22"/>
            <w:szCs w:val="22"/>
            <w:b w:val="0"/>
            <w:bCs w:val="0"/>
            <w:i w:val="0"/>
            <w:iCs w:val="0"/>
          </w:rPr>
          <w:t>استخراج ضمیر / هیئت / عربی</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استخراج ضمیر / هیئت / فارسی</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استخراج ضمیر / هیئت / عربی</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استخراج طالع / هیئت / فارسی</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استخراج طالع تحویل شمس / هیئت / فارسی</w:t>
        </w:r>
        <w:r>
          <w:tab/>
        </w:r>
        <w:r>
          <w:fldChar w:fldCharType="begin"/>
        </w:r>
        <w:r>
          <w:instrText xml:space="preserve">PAGEREF 609 \h</w:instrText>
        </w:r>
        <w:r>
          <w:fldChar w:fldCharType="end"/>
        </w:r>
      </w:hyperlink>
    </w:p>
    <w:p>
      <w:pPr>
        <w:tabs>
          <w:tab w:val="right" w:leader="dot" w:pos="9062"/>
        </w:tabs>
        <w:ind w:left="440"/>
      </w:pPr>
      <w:hyperlink w:anchor="_Toc610" w:history="1">
        <w:r>
          <w:rPr>
            <w:rFonts w:ascii="IRNazanin" w:hAnsi="IRNazanin" w:eastAsia="IRNazanin" w:cs="IRNazanin"/>
            <w:color w:val="111111"/>
            <w:sz w:val="22"/>
            <w:szCs w:val="22"/>
            <w:b w:val="0"/>
            <w:bCs w:val="0"/>
            <w:i w:val="0"/>
            <w:iCs w:val="0"/>
          </w:rPr>
          <w:t>استخراج طالع تحویل شمس / هیئت / فارسی</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استخراج طالع مظفرالدین شاه / هیئت / فارسی</w:t>
        </w:r>
        <w:r>
          <w:tab/>
        </w:r>
        <w:r>
          <w:fldChar w:fldCharType="begin"/>
        </w:r>
        <w:r>
          <w:instrText xml:space="preserve">PAGEREF 611 \h</w:instrText>
        </w:r>
        <w:r>
          <w:fldChar w:fldCharType="end"/>
        </w:r>
      </w:hyperlink>
    </w:p>
    <w:p>
      <w:pPr>
        <w:tabs>
          <w:tab w:val="right" w:leader="dot" w:pos="9062"/>
        </w:tabs>
        <w:ind w:left="440"/>
      </w:pPr>
      <w:hyperlink w:anchor="_Toc612" w:history="1">
        <w:r>
          <w:rPr>
            <w:rFonts w:ascii="IRNazanin" w:hAnsi="IRNazanin" w:eastAsia="IRNazanin" w:cs="IRNazanin"/>
            <w:color w:val="111111"/>
            <w:sz w:val="22"/>
            <w:szCs w:val="22"/>
            <w:b w:val="0"/>
            <w:bCs w:val="0"/>
            <w:i w:val="0"/>
            <w:iCs w:val="0"/>
          </w:rPr>
          <w:t>استخراج طالع مولود / هیئت / فارسی</w:t>
        </w:r>
        <w:r>
          <w:tab/>
        </w:r>
        <w:r>
          <w:fldChar w:fldCharType="begin"/>
        </w:r>
        <w:r>
          <w:instrText xml:space="preserve">PAGEREF 612 \h</w:instrText>
        </w:r>
        <w:r>
          <w:fldChar w:fldCharType="end"/>
        </w:r>
      </w:hyperlink>
    </w:p>
    <w:p>
      <w:pPr>
        <w:tabs>
          <w:tab w:val="right" w:leader="dot" w:pos="9062"/>
        </w:tabs>
        <w:ind w:left="440"/>
      </w:pPr>
      <w:hyperlink w:anchor="_Toc613" w:history="1">
        <w:r>
          <w:rPr>
            <w:rFonts w:ascii="IRNazanin" w:hAnsi="IRNazanin" w:eastAsia="IRNazanin" w:cs="IRNazanin"/>
            <w:color w:val="111111"/>
            <w:sz w:val="22"/>
            <w:szCs w:val="22"/>
            <w:b w:val="0"/>
            <w:bCs w:val="0"/>
            <w:i w:val="0"/>
            <w:iCs w:val="0"/>
          </w:rPr>
          <w:t>استخراج طالع مولود / هیئت / فارسی</w:t>
        </w:r>
        <w:r>
          <w:tab/>
        </w:r>
        <w:r>
          <w:fldChar w:fldCharType="begin"/>
        </w:r>
        <w:r>
          <w:instrText xml:space="preserve">PAGEREF 613 \h</w:instrText>
        </w:r>
        <w:r>
          <w:fldChar w:fldCharType="end"/>
        </w:r>
      </w:hyperlink>
    </w:p>
    <w:p>
      <w:pPr>
        <w:tabs>
          <w:tab w:val="right" w:leader="dot" w:pos="9062"/>
        </w:tabs>
        <w:ind w:left="440"/>
      </w:pPr>
      <w:hyperlink w:anchor="_Toc614" w:history="1">
        <w:r>
          <w:rPr>
            <w:rFonts w:ascii="IRNazanin" w:hAnsi="IRNazanin" w:eastAsia="IRNazanin" w:cs="IRNazanin"/>
            <w:color w:val="111111"/>
            <w:sz w:val="22"/>
            <w:szCs w:val="22"/>
            <w:b w:val="0"/>
            <w:bCs w:val="0"/>
            <w:i w:val="0"/>
            <w:iCs w:val="0"/>
          </w:rPr>
          <w:t>استخراج طالع مولود / هیئت / فارسی</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استخراج طالع مولود و غیر آن / اختر بینی / فارسی</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استخراج طول و عرض بلدان / جغرافیا / فارسی</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استخراج عرض اقلیم رویت / هیئت / فارسی</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استخراج عناصر به چند طریق / فارسی</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استخراج العدد المضمر (مقالة في) / كلام و اعتقادات / عربی</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استخراج العقاقير من السلم / كيميا / عربي</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استخراج غایت تعدیل قمر / هیئت / فارسی</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استخراج غایت تعدیل قمر / هیئت / فارسی</w:t>
        </w:r>
        <w:r>
          <w:tab/>
        </w:r>
        <w:r>
          <w:fldChar w:fldCharType="begin"/>
        </w:r>
        <w:r>
          <w:instrText xml:space="preserve">PAGEREF 622 \h</w:instrText>
        </w:r>
        <w:r>
          <w:fldChar w:fldCharType="end"/>
        </w:r>
      </w:hyperlink>
    </w:p>
    <w:p>
      <w:pPr>
        <w:tabs>
          <w:tab w:val="right" w:leader="dot" w:pos="9062"/>
        </w:tabs>
        <w:ind w:left="440"/>
      </w:pPr>
      <w:hyperlink w:anchor="_Toc623" w:history="1">
        <w:r>
          <w:rPr>
            <w:rFonts w:ascii="IRNazanin" w:hAnsi="IRNazanin" w:eastAsia="IRNazanin" w:cs="IRNazanin"/>
            <w:color w:val="111111"/>
            <w:sz w:val="22"/>
            <w:szCs w:val="22"/>
            <w:b w:val="0"/>
            <w:bCs w:val="0"/>
            <w:i w:val="0"/>
            <w:iCs w:val="0"/>
          </w:rPr>
          <w:t>استخراج غره ماه (جدول) / هیئت / فارسی</w:t>
        </w:r>
        <w:r>
          <w:tab/>
        </w:r>
        <w:r>
          <w:fldChar w:fldCharType="begin"/>
        </w:r>
        <w:r>
          <w:instrText xml:space="preserve">PAGEREF 623 \h</w:instrText>
        </w:r>
        <w:r>
          <w:fldChar w:fldCharType="end"/>
        </w:r>
      </w:hyperlink>
    </w:p>
    <w:p>
      <w:pPr>
        <w:tabs>
          <w:tab w:val="right" w:leader="dot" w:pos="9062"/>
        </w:tabs>
        <w:ind w:left="440"/>
      </w:pPr>
      <w:hyperlink w:anchor="_Toc624" w:history="1">
        <w:r>
          <w:rPr>
            <w:rFonts w:ascii="IRNazanin" w:hAnsi="IRNazanin" w:eastAsia="IRNazanin" w:cs="IRNazanin"/>
            <w:color w:val="111111"/>
            <w:sz w:val="22"/>
            <w:szCs w:val="22"/>
            <w:b w:val="0"/>
            <w:bCs w:val="0"/>
            <w:i w:val="0"/>
            <w:iCs w:val="0"/>
          </w:rPr>
          <w:t>استخراج فى السؤال و الجواب / عربي</w:t>
        </w:r>
        <w:r>
          <w:tab/>
        </w:r>
        <w:r>
          <w:fldChar w:fldCharType="begin"/>
        </w:r>
        <w:r>
          <w:instrText xml:space="preserve">PAGEREF 624 \h</w:instrText>
        </w:r>
        <w:r>
          <w:fldChar w:fldCharType="end"/>
        </w:r>
      </w:hyperlink>
    </w:p>
    <w:p>
      <w:pPr>
        <w:tabs>
          <w:tab w:val="right" w:leader="dot" w:pos="9062"/>
        </w:tabs>
        <w:ind w:left="440"/>
      </w:pPr>
      <w:hyperlink w:anchor="_Toc625" w:history="1">
        <w:r>
          <w:rPr>
            <w:rFonts w:ascii="IRNazanin" w:hAnsi="IRNazanin" w:eastAsia="IRNazanin" w:cs="IRNazanin"/>
            <w:color w:val="111111"/>
            <w:sz w:val="22"/>
            <w:szCs w:val="22"/>
            <w:b w:val="0"/>
            <w:bCs w:val="0"/>
            <w:i w:val="0"/>
            <w:iCs w:val="0"/>
          </w:rPr>
          <w:t>استخراج القسى من الاوتار و الاوتار من القسى/  موسیقی / عربی</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استخراج قمر / هیئت</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استخراج کسوف / هیئت / فارسی</w:t>
        </w:r>
        <w:r>
          <w:tab/>
        </w:r>
        <w:r>
          <w:fldChar w:fldCharType="begin"/>
        </w:r>
        <w:r>
          <w:instrText xml:space="preserve">PAGEREF 627 \h</w:instrText>
        </w:r>
        <w:r>
          <w:fldChar w:fldCharType="end"/>
        </w:r>
      </w:hyperlink>
    </w:p>
    <w:p>
      <w:pPr>
        <w:tabs>
          <w:tab w:val="right" w:leader="dot" w:pos="9062"/>
        </w:tabs>
        <w:ind w:left="440"/>
      </w:pPr>
      <w:hyperlink w:anchor="_Toc628" w:history="1">
        <w:r>
          <w:rPr>
            <w:rFonts w:ascii="IRNazanin" w:hAnsi="IRNazanin" w:eastAsia="IRNazanin" w:cs="IRNazanin"/>
            <w:color w:val="111111"/>
            <w:sz w:val="22"/>
            <w:szCs w:val="22"/>
            <w:b w:val="0"/>
            <w:bCs w:val="0"/>
            <w:i w:val="0"/>
            <w:iCs w:val="0"/>
          </w:rPr>
          <w:t>استخراج کسوف / هیئت / فارسی</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استخراج کسوف آفتاب به طول کاشان / هیئت /  فارسی</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استخراج الماء القراح من الحجر / كيميا / عربي</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استخراج الماء القراح من الحجر / كيميا / عربي</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استخراج ما بين مركزى الشمس و موضوع اوجها / هیئت / عربی</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استخراج مجهول / علوم غریبه / عربی</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استخراج المجهولات العددية / رياضيات / عربي</w:t>
        </w:r>
        <w:r>
          <w:tab/>
        </w:r>
        <w:r>
          <w:fldChar w:fldCharType="begin"/>
        </w:r>
        <w:r>
          <w:instrText xml:space="preserve">PAGEREF 634 \h</w:instrText>
        </w:r>
        <w:r>
          <w:fldChar w:fldCharType="end"/>
        </w:r>
      </w:hyperlink>
    </w:p>
    <w:p>
      <w:pPr>
        <w:tabs>
          <w:tab w:val="right" w:leader="dot" w:pos="9062"/>
        </w:tabs>
        <w:ind w:left="440"/>
      </w:pPr>
      <w:hyperlink w:anchor="_Toc635" w:history="1">
        <w:r>
          <w:rPr>
            <w:rFonts w:ascii="IRNazanin" w:hAnsi="IRNazanin" w:eastAsia="IRNazanin" w:cs="IRNazanin"/>
            <w:color w:val="111111"/>
            <w:sz w:val="22"/>
            <w:szCs w:val="22"/>
            <w:b w:val="0"/>
            <w:bCs w:val="0"/>
            <w:i w:val="0"/>
            <w:iCs w:val="0"/>
          </w:rPr>
          <w:t>استخراج المجهولات العددية / رياضيات / عربي</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استخراج مسألة المجسم المكافی / ریاضیات / عربی</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استخراج مسأله غامض هندسی / هندسه / فارسی و عربی</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استخراج المسائل بالخطاء = ملحقات شمسیه / فلسفه / عربی</w:t>
        </w:r>
        <w:r>
          <w:tab/>
        </w:r>
        <w:r>
          <w:fldChar w:fldCharType="begin"/>
        </w:r>
        <w:r>
          <w:instrText xml:space="preserve">PAGEREF 638 \h</w:instrText>
        </w:r>
        <w:r>
          <w:fldChar w:fldCharType="end"/>
        </w:r>
      </w:hyperlink>
    </w:p>
    <w:p>
      <w:pPr>
        <w:tabs>
          <w:tab w:val="right" w:leader="dot" w:pos="9062"/>
        </w:tabs>
        <w:ind w:left="440"/>
      </w:pPr>
      <w:hyperlink w:anchor="_Toc639" w:history="1">
        <w:r>
          <w:rPr>
            <w:rFonts w:ascii="IRNazanin" w:hAnsi="IRNazanin" w:eastAsia="IRNazanin" w:cs="IRNazanin"/>
            <w:color w:val="111111"/>
            <w:sz w:val="22"/>
            <w:szCs w:val="22"/>
            <w:b w:val="0"/>
            <w:bCs w:val="0"/>
            <w:i w:val="0"/>
            <w:iCs w:val="0"/>
          </w:rPr>
          <w:t>استخراج مسائل عددی / ریاضیات / فارسی</w:t>
        </w:r>
        <w:r>
          <w:tab/>
        </w:r>
        <w:r>
          <w:fldChar w:fldCharType="begin"/>
        </w:r>
        <w:r>
          <w:instrText xml:space="preserve">PAGEREF 639 \h</w:instrText>
        </w:r>
        <w:r>
          <w:fldChar w:fldCharType="end"/>
        </w:r>
      </w:hyperlink>
    </w:p>
    <w:p>
      <w:pPr>
        <w:tabs>
          <w:tab w:val="right" w:leader="dot" w:pos="9062"/>
        </w:tabs>
        <w:ind w:left="440"/>
      </w:pPr>
      <w:hyperlink w:anchor="_Toc640" w:history="1">
        <w:r>
          <w:rPr>
            <w:rFonts w:ascii="IRNazanin" w:hAnsi="IRNazanin" w:eastAsia="IRNazanin" w:cs="IRNazanin"/>
            <w:color w:val="111111"/>
            <w:sz w:val="22"/>
            <w:szCs w:val="22"/>
            <w:b w:val="0"/>
            <w:bCs w:val="0"/>
            <w:i w:val="0"/>
            <w:iCs w:val="0"/>
          </w:rPr>
          <w:t>استخراج المضمر / هیئت، ریاضیات / عربی</w:t>
        </w:r>
        <w:r>
          <w:tab/>
        </w:r>
        <w:r>
          <w:fldChar w:fldCharType="begin"/>
        </w:r>
        <w:r>
          <w:instrText xml:space="preserve">PAGEREF 640 \h</w:instrText>
        </w:r>
        <w:r>
          <w:fldChar w:fldCharType="end"/>
        </w:r>
      </w:hyperlink>
    </w:p>
    <w:p>
      <w:pPr>
        <w:tabs>
          <w:tab w:val="right" w:leader="dot" w:pos="9062"/>
        </w:tabs>
        <w:ind w:left="440"/>
      </w:pPr>
      <w:hyperlink w:anchor="_Toc641" w:history="1">
        <w:r>
          <w:rPr>
            <w:rFonts w:ascii="IRNazanin" w:hAnsi="IRNazanin" w:eastAsia="IRNazanin" w:cs="IRNazanin"/>
            <w:color w:val="111111"/>
            <w:sz w:val="22"/>
            <w:szCs w:val="22"/>
            <w:b w:val="0"/>
            <w:bCs w:val="0"/>
            <w:i w:val="0"/>
            <w:iCs w:val="0"/>
          </w:rPr>
          <w:t>استخراج المضمر / رياضيات / عربي</w:t>
        </w:r>
        <w:r>
          <w:tab/>
        </w:r>
        <w:r>
          <w:fldChar w:fldCharType="begin"/>
        </w:r>
        <w:r>
          <w:instrText xml:space="preserve">PAGEREF 641 \h</w:instrText>
        </w:r>
        <w:r>
          <w:fldChar w:fldCharType="end"/>
        </w:r>
      </w:hyperlink>
    </w:p>
    <w:p>
      <w:pPr>
        <w:tabs>
          <w:tab w:val="right" w:leader="dot" w:pos="9062"/>
        </w:tabs>
        <w:ind w:left="440"/>
      </w:pPr>
      <w:hyperlink w:anchor="_Toc642" w:history="1">
        <w:r>
          <w:rPr>
            <w:rFonts w:ascii="IRNazanin" w:hAnsi="IRNazanin" w:eastAsia="IRNazanin" w:cs="IRNazanin"/>
            <w:color w:val="111111"/>
            <w:sz w:val="22"/>
            <w:szCs w:val="22"/>
            <w:b w:val="0"/>
            <w:bCs w:val="0"/>
            <w:i w:val="0"/>
            <w:iCs w:val="0"/>
          </w:rPr>
          <w:t>استخراج المقدار المجهول / ریاضیات / فارسی و عربی</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استخراج مطالب و مقاصد / فارسی</w:t>
        </w:r>
        <w:r>
          <w:tab/>
        </w:r>
        <w:r>
          <w:fldChar w:fldCharType="begin"/>
        </w:r>
        <w:r>
          <w:instrText xml:space="preserve">PAGEREF 643 \h</w:instrText>
        </w:r>
        <w:r>
          <w:fldChar w:fldCharType="end"/>
        </w:r>
      </w:hyperlink>
    </w:p>
    <w:p>
      <w:pPr>
        <w:tabs>
          <w:tab w:val="right" w:leader="dot" w:pos="9062"/>
        </w:tabs>
        <w:ind w:left="440"/>
      </w:pPr>
      <w:hyperlink w:anchor="_Toc644" w:history="1">
        <w:r>
          <w:rPr>
            <w:rFonts w:ascii="IRNazanin" w:hAnsi="IRNazanin" w:eastAsia="IRNazanin" w:cs="IRNazanin"/>
            <w:color w:val="111111"/>
            <w:sz w:val="22"/>
            <w:szCs w:val="22"/>
            <w:b w:val="0"/>
            <w:bCs w:val="0"/>
            <w:i w:val="0"/>
            <w:iCs w:val="0"/>
          </w:rPr>
          <w:t>استخراج مطلوب / جفر / فارسی</w:t>
        </w:r>
        <w:r>
          <w:tab/>
        </w:r>
        <w:r>
          <w:fldChar w:fldCharType="begin"/>
        </w:r>
        <w:r>
          <w:instrText xml:space="preserve">PAGEREF 644 \h</w:instrText>
        </w:r>
        <w:r>
          <w:fldChar w:fldCharType="end"/>
        </w:r>
      </w:hyperlink>
    </w:p>
    <w:p>
      <w:pPr>
        <w:tabs>
          <w:tab w:val="right" w:leader="dot" w:pos="9062"/>
        </w:tabs>
        <w:ind w:left="440"/>
      </w:pPr>
      <w:hyperlink w:anchor="_Toc645" w:history="1">
        <w:r>
          <w:rPr>
            <w:rFonts w:ascii="IRNazanin" w:hAnsi="IRNazanin" w:eastAsia="IRNazanin" w:cs="IRNazanin"/>
            <w:color w:val="111111"/>
            <w:sz w:val="22"/>
            <w:szCs w:val="22"/>
            <w:b w:val="0"/>
            <w:bCs w:val="0"/>
            <w:i w:val="0"/>
            <w:iCs w:val="0"/>
          </w:rPr>
          <w:t>استخراج المعما / معما / عربي</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استخراج مقادير المجهولة في باب الاقرار / فقه /  عربی</w:t>
        </w:r>
        <w:r>
          <w:tab/>
        </w:r>
        <w:r>
          <w:fldChar w:fldCharType="begin"/>
        </w:r>
        <w:r>
          <w:instrText xml:space="preserve">PAGEREF 646 \h</w:instrText>
        </w:r>
        <w:r>
          <w:fldChar w:fldCharType="end"/>
        </w:r>
      </w:hyperlink>
    </w:p>
    <w:p>
      <w:pPr>
        <w:tabs>
          <w:tab w:val="right" w:leader="dot" w:pos="9062"/>
        </w:tabs>
        <w:ind w:left="440"/>
      </w:pPr>
      <w:hyperlink w:anchor="_Toc647" w:history="1">
        <w:r>
          <w:rPr>
            <w:rFonts w:ascii="IRNazanin" w:hAnsi="IRNazanin" w:eastAsia="IRNazanin" w:cs="IRNazanin"/>
            <w:color w:val="111111"/>
            <w:sz w:val="22"/>
            <w:szCs w:val="22"/>
            <w:b w:val="0"/>
            <w:bCs w:val="0"/>
            <w:i w:val="0"/>
            <w:iCs w:val="0"/>
          </w:rPr>
          <w:t>استخراج ملح / کیمیا / فارسی</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استخراج مواليد = استخراج طالع مواليد = شرح  استخراج المواليد / اختربینی / فارسی</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استخراج موکلات / علوم غریبه / فارسی</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استخراج مولد النبی(صلّی اللَّهِ علیه وَ آلِهِ وَ سَلَّمَ )/ تاریخ پیامبر(صلّی اللَّهِ علیه وَ آلِهِ وَ سَلَّمَ )/ عربی</w:t>
        </w:r>
        <w:r>
          <w:tab/>
        </w:r>
        <w:r>
          <w:fldChar w:fldCharType="begin"/>
        </w:r>
        <w:r>
          <w:instrText xml:space="preserve">PAGEREF 650 \h</w:instrText>
        </w:r>
        <w:r>
          <w:fldChar w:fldCharType="end"/>
        </w:r>
      </w:hyperlink>
    </w:p>
    <w:p>
      <w:pPr>
        <w:tabs>
          <w:tab w:val="right" w:leader="dot" w:pos="9062"/>
        </w:tabs>
        <w:ind w:left="440"/>
      </w:pPr>
      <w:hyperlink w:anchor="_Toc651" w:history="1">
        <w:r>
          <w:rPr>
            <w:rFonts w:ascii="IRNazanin" w:hAnsi="IRNazanin" w:eastAsia="IRNazanin" w:cs="IRNazanin"/>
            <w:color w:val="111111"/>
            <w:sz w:val="22"/>
            <w:szCs w:val="22"/>
            <w:b w:val="0"/>
            <w:bCs w:val="0"/>
            <w:i w:val="0"/>
            <w:iCs w:val="0"/>
          </w:rPr>
          <w:t>استخراج مولود محمد بن حسن قمی/ طالع بینی/ فارسی</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استخراج نام معین الدین محمد / جفر / فارسی</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استخراج نامها / رمل / فارسی</w:t>
        </w:r>
        <w:r>
          <w:tab/>
        </w:r>
        <w:r>
          <w:fldChar w:fldCharType="begin"/>
        </w:r>
        <w:r>
          <w:instrText xml:space="preserve">PAGEREF 653 \h</w:instrText>
        </w:r>
        <w:r>
          <w:fldChar w:fldCharType="end"/>
        </w:r>
      </w:hyperlink>
    </w:p>
    <w:p>
      <w:pPr>
        <w:tabs>
          <w:tab w:val="right" w:leader="dot" w:pos="9062"/>
        </w:tabs>
        <w:ind w:left="440"/>
      </w:pPr>
      <w:hyperlink w:anchor="_Toc654" w:history="1">
        <w:r>
          <w:rPr>
            <w:rFonts w:ascii="IRNazanin" w:hAnsi="IRNazanin" w:eastAsia="IRNazanin" w:cs="IRNazanin"/>
            <w:color w:val="111111"/>
            <w:sz w:val="22"/>
            <w:szCs w:val="22"/>
            <w:b w:val="0"/>
            <w:bCs w:val="0"/>
            <w:i w:val="0"/>
            <w:iCs w:val="0"/>
          </w:rPr>
          <w:t>استخراج نصف النهار / هيئت</w:t>
        </w:r>
        <w:r>
          <w:tab/>
        </w:r>
        <w:r>
          <w:fldChar w:fldCharType="begin"/>
        </w:r>
        <w:r>
          <w:instrText xml:space="preserve">PAGEREF 654 \h</w:instrText>
        </w:r>
        <w:r>
          <w:fldChar w:fldCharType="end"/>
        </w:r>
      </w:hyperlink>
    </w:p>
    <w:p>
      <w:pPr>
        <w:tabs>
          <w:tab w:val="right" w:leader="dot" w:pos="9062"/>
        </w:tabs>
        <w:ind w:left="440"/>
      </w:pPr>
      <w:hyperlink w:anchor="_Toc655" w:history="1">
        <w:r>
          <w:rPr>
            <w:rFonts w:ascii="IRNazanin" w:hAnsi="IRNazanin" w:eastAsia="IRNazanin" w:cs="IRNazanin"/>
            <w:color w:val="111111"/>
            <w:sz w:val="22"/>
            <w:szCs w:val="22"/>
            <w:b w:val="0"/>
            <w:bCs w:val="0"/>
            <w:i w:val="0"/>
            <w:iCs w:val="0"/>
          </w:rPr>
          <w:t>استخراج وتر ثلث قوس از وتر قوس / ریاضیات /  فارسی</w:t>
        </w:r>
        <w:r>
          <w:tab/>
        </w:r>
        <w:r>
          <w:fldChar w:fldCharType="begin"/>
        </w:r>
        <w:r>
          <w:instrText xml:space="preserve">PAGEREF 655 \h</w:instrText>
        </w:r>
        <w:r>
          <w:fldChar w:fldCharType="end"/>
        </w:r>
      </w:hyperlink>
    </w:p>
    <w:p>
      <w:pPr>
        <w:tabs>
          <w:tab w:val="right" w:leader="dot" w:pos="9062"/>
        </w:tabs>
        <w:ind w:left="440"/>
      </w:pPr>
      <w:hyperlink w:anchor="_Toc656" w:history="1">
        <w:r>
          <w:rPr>
            <w:rFonts w:ascii="IRNazanin" w:hAnsi="IRNazanin" w:eastAsia="IRNazanin" w:cs="IRNazanin"/>
            <w:color w:val="111111"/>
            <w:sz w:val="22"/>
            <w:szCs w:val="22"/>
            <w:b w:val="0"/>
            <w:bCs w:val="0"/>
            <w:i w:val="0"/>
            <w:iCs w:val="0"/>
          </w:rPr>
          <w:t>استخراج و تعدیل نصف النهار = تقویم (رساله در ) / ریاضیات / فارسی</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استخراج و قاعده وقایا / فارسی</w:t>
        </w:r>
        <w:r>
          <w:tab/>
        </w:r>
        <w:r>
          <w:fldChar w:fldCharType="begin"/>
        </w:r>
        <w:r>
          <w:instrText xml:space="preserve">PAGEREF 657 \h</w:instrText>
        </w:r>
        <w:r>
          <w:fldChar w:fldCharType="end"/>
        </w:r>
      </w:hyperlink>
    </w:p>
    <w:p>
      <w:pPr>
        <w:tabs>
          <w:tab w:val="right" w:leader="dot" w:pos="9062"/>
        </w:tabs>
        <w:ind w:left="440"/>
      </w:pPr>
      <w:hyperlink w:anchor="_Toc658" w:history="1">
        <w:r>
          <w:rPr>
            <w:rFonts w:ascii="IRNazanin" w:hAnsi="IRNazanin" w:eastAsia="IRNazanin" w:cs="IRNazanin"/>
            <w:color w:val="111111"/>
            <w:sz w:val="22"/>
            <w:szCs w:val="22"/>
            <w:b w:val="0"/>
            <w:bCs w:val="0"/>
            <w:i w:val="0"/>
            <w:iCs w:val="0"/>
          </w:rPr>
          <w:t>استخراج هلال رمضان / هیئت / فارسی</w:t>
        </w:r>
        <w:r>
          <w:tab/>
        </w:r>
        <w:r>
          <w:fldChar w:fldCharType="begin"/>
        </w:r>
        <w:r>
          <w:instrText xml:space="preserve">PAGEREF 658 \h</w:instrText>
        </w:r>
        <w:r>
          <w:fldChar w:fldCharType="end"/>
        </w:r>
      </w:hyperlink>
    </w:p>
    <w:p>
      <w:pPr>
        <w:tabs>
          <w:tab w:val="right" w:leader="dot" w:pos="9062"/>
        </w:tabs>
        <w:ind w:left="440"/>
      </w:pPr>
      <w:hyperlink w:anchor="_Toc659" w:history="1">
        <w:r>
          <w:rPr>
            <w:rFonts w:ascii="IRNazanin" w:hAnsi="IRNazanin" w:eastAsia="IRNazanin" w:cs="IRNazanin"/>
            <w:color w:val="111111"/>
            <w:sz w:val="22"/>
            <w:szCs w:val="22"/>
            <w:b w:val="0"/>
            <w:bCs w:val="0"/>
            <w:i w:val="0"/>
            <w:iCs w:val="0"/>
          </w:rPr>
          <w:t>استخراج یومیه و احکام ضروریه / طبیعیات / فارسی</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استخلاصیه / شعر / فارسی</w:t>
        </w:r>
        <w:r>
          <w:tab/>
        </w:r>
        <w:r>
          <w:fldChar w:fldCharType="begin"/>
        </w:r>
        <w:r>
          <w:instrText xml:space="preserve">PAGEREF 660 \h</w:instrText>
        </w:r>
        <w:r>
          <w:fldChar w:fldCharType="end"/>
        </w:r>
      </w:hyperlink>
    </w:p>
    <w:p>
      <w:pPr>
        <w:tabs>
          <w:tab w:val="right" w:leader="dot" w:pos="9062"/>
        </w:tabs>
        <w:ind w:left="440"/>
      </w:pPr>
      <w:hyperlink w:anchor="_Toc661" w:history="1">
        <w:r>
          <w:rPr>
            <w:rFonts w:ascii="IRNazanin" w:hAnsi="IRNazanin" w:eastAsia="IRNazanin" w:cs="IRNazanin"/>
            <w:color w:val="111111"/>
            <w:sz w:val="22"/>
            <w:szCs w:val="22"/>
            <w:b w:val="0"/>
            <w:bCs w:val="0"/>
            <w:i w:val="0"/>
            <w:iCs w:val="0"/>
          </w:rPr>
          <w:t>الاستخلاف (رسالة في) / فقه / عربی</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الاستدراج / کلام و اعتقادات / عربی</w:t>
        </w:r>
        <w:r>
          <w:tab/>
        </w:r>
        <w:r>
          <w:fldChar w:fldCharType="begin"/>
        </w:r>
        <w:r>
          <w:instrText xml:space="preserve">PAGEREF 662 \h</w:instrText>
        </w:r>
        <w:r>
          <w:fldChar w:fldCharType="end"/>
        </w:r>
      </w:hyperlink>
    </w:p>
    <w:p>
      <w:pPr>
        <w:tabs>
          <w:tab w:val="right" w:leader="dot" w:pos="9062"/>
        </w:tabs>
        <w:ind w:left="440"/>
      </w:pPr>
      <w:hyperlink w:anchor="_Toc663" w:history="1">
        <w:r>
          <w:rPr>
            <w:rFonts w:ascii="IRNazanin" w:hAnsi="IRNazanin" w:eastAsia="IRNazanin" w:cs="IRNazanin"/>
            <w:color w:val="111111"/>
            <w:sz w:val="22"/>
            <w:szCs w:val="22"/>
            <w:b w:val="0"/>
            <w:bCs w:val="0"/>
            <w:i w:val="0"/>
            <w:iCs w:val="0"/>
          </w:rPr>
          <w:t>الاستدراک = ذیل اکمال الكمال = اكمال  الاكمال / رجال / عربي</w:t>
        </w:r>
        <w:r>
          <w:tab/>
        </w:r>
        <w:r>
          <w:fldChar w:fldCharType="begin"/>
        </w:r>
        <w:r>
          <w:instrText xml:space="preserve">PAGEREF 663 \h</w:instrText>
        </w:r>
        <w:r>
          <w:fldChar w:fldCharType="end"/>
        </w:r>
      </w:hyperlink>
    </w:p>
    <w:p>
      <w:pPr>
        <w:tabs>
          <w:tab w:val="right" w:leader="dot" w:pos="9062"/>
        </w:tabs>
        <w:ind w:left="440"/>
      </w:pPr>
      <w:hyperlink w:anchor="_Toc664" w:history="1">
        <w:r>
          <w:rPr>
            <w:rFonts w:ascii="IRNazanin" w:hAnsi="IRNazanin" w:eastAsia="IRNazanin" w:cs="IRNazanin"/>
            <w:color w:val="111111"/>
            <w:sz w:val="22"/>
            <w:szCs w:val="22"/>
            <w:b w:val="0"/>
            <w:bCs w:val="0"/>
            <w:i w:val="0"/>
            <w:iCs w:val="0"/>
          </w:rPr>
          <w:t>استدراكات ابن الخشاب علی مقامات الحریری و  جواب ابن بری / ادبیات / عربی</w:t>
        </w:r>
        <w:r>
          <w:tab/>
        </w:r>
        <w:r>
          <w:fldChar w:fldCharType="begin"/>
        </w:r>
        <w:r>
          <w:instrText xml:space="preserve">PAGEREF 664 \h</w:instrText>
        </w:r>
        <w:r>
          <w:fldChar w:fldCharType="end"/>
        </w:r>
      </w:hyperlink>
    </w:p>
    <w:p>
      <w:pPr>
        <w:tabs>
          <w:tab w:val="right" w:leader="dot" w:pos="9062"/>
        </w:tabs>
        <w:ind w:left="440"/>
      </w:pPr>
      <w:hyperlink w:anchor="_Toc665" w:history="1">
        <w:r>
          <w:rPr>
            <w:rFonts w:ascii="IRNazanin" w:hAnsi="IRNazanin" w:eastAsia="IRNazanin" w:cs="IRNazanin"/>
            <w:color w:val="111111"/>
            <w:sz w:val="22"/>
            <w:szCs w:val="22"/>
            <w:b w:val="0"/>
            <w:bCs w:val="0"/>
            <w:i w:val="0"/>
            <w:iCs w:val="0"/>
          </w:rPr>
          <w:t>الاستدراک علی سیبویه في كتاب الأبنية / نحو /  عربی</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الاستدراک علی کتاب الحجة / نحو / عربي</w:t>
        </w:r>
        <w:r>
          <w:tab/>
        </w:r>
        <w:r>
          <w:fldChar w:fldCharType="begin"/>
        </w:r>
        <w:r>
          <w:instrText xml:space="preserve">PAGEREF 666 \h</w:instrText>
        </w:r>
        <w:r>
          <w:fldChar w:fldCharType="end"/>
        </w:r>
      </w:hyperlink>
    </w:p>
    <w:p>
      <w:pPr>
        <w:tabs>
          <w:tab w:val="right" w:leader="dot" w:pos="9062"/>
        </w:tabs>
        <w:ind w:left="440"/>
      </w:pPr>
      <w:hyperlink w:anchor="_Toc667" w:history="1">
        <w:r>
          <w:rPr>
            <w:rFonts w:ascii="IRNazanin" w:hAnsi="IRNazanin" w:eastAsia="IRNazanin" w:cs="IRNazanin"/>
            <w:color w:val="111111"/>
            <w:sz w:val="22"/>
            <w:szCs w:val="22"/>
            <w:b w:val="0"/>
            <w:bCs w:val="0"/>
            <w:i w:val="0"/>
            <w:iCs w:val="0"/>
          </w:rPr>
          <w:t>استدلال الاحكام / فقه / فارسی</w:t>
        </w:r>
        <w:r>
          <w:tab/>
        </w:r>
        <w:r>
          <w:fldChar w:fldCharType="begin"/>
        </w:r>
        <w:r>
          <w:instrText xml:space="preserve">PAGEREF 667 \h</w:instrText>
        </w:r>
        <w:r>
          <w:fldChar w:fldCharType="end"/>
        </w:r>
      </w:hyperlink>
    </w:p>
    <w:p>
      <w:pPr>
        <w:tabs>
          <w:tab w:val="right" w:leader="dot" w:pos="9062"/>
        </w:tabs>
        <w:ind w:left="440"/>
      </w:pPr>
      <w:hyperlink w:anchor="_Toc668" w:history="1">
        <w:r>
          <w:rPr>
            <w:rFonts w:ascii="IRNazanin" w:hAnsi="IRNazanin" w:eastAsia="IRNazanin" w:cs="IRNazanin"/>
            <w:color w:val="111111"/>
            <w:sz w:val="22"/>
            <w:szCs w:val="22"/>
            <w:b w:val="0"/>
            <w:bCs w:val="0"/>
            <w:i w:val="0"/>
            <w:iCs w:val="0"/>
          </w:rPr>
          <w:t>استدلاليه / شعر بهائیت / فارسی</w:t>
        </w:r>
        <w:r>
          <w:tab/>
        </w:r>
        <w:r>
          <w:fldChar w:fldCharType="begin"/>
        </w:r>
        <w:r>
          <w:instrText xml:space="preserve">PAGEREF 668 \h</w:instrText>
        </w:r>
        <w:r>
          <w:fldChar w:fldCharType="end"/>
        </w:r>
      </w:hyperlink>
    </w:p>
    <w:p>
      <w:pPr>
        <w:tabs>
          <w:tab w:val="right" w:leader="dot" w:pos="9062"/>
        </w:tabs>
        <w:ind w:left="440"/>
      </w:pPr>
      <w:hyperlink w:anchor="_Toc669" w:history="1">
        <w:r>
          <w:rPr>
            <w:rFonts w:ascii="IRNazanin" w:hAnsi="IRNazanin" w:eastAsia="IRNazanin" w:cs="IRNazanin"/>
            <w:color w:val="111111"/>
            <w:sz w:val="22"/>
            <w:szCs w:val="22"/>
            <w:b w:val="0"/>
            <w:bCs w:val="0"/>
            <w:i w:val="0"/>
            <w:iCs w:val="0"/>
          </w:rPr>
          <w:t>استدلالیه / کلام و اعتقادات / فارسی و عربی</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الاستشارة من القرآن / علوم غریبه / عربی</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استشفاء از تربت امام حسین (علیه السّلام) / حدیث / عربی و  فارسی</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استشهاد / اسناد / فارسی</w:t>
        </w:r>
        <w:r>
          <w:tab/>
        </w:r>
        <w:r>
          <w:fldChar w:fldCharType="begin"/>
        </w:r>
        <w:r>
          <w:instrText xml:space="preserve">PAGEREF 672 \h</w:instrText>
        </w:r>
        <w:r>
          <w:fldChar w:fldCharType="end"/>
        </w:r>
      </w:hyperlink>
    </w:p>
    <w:p>
      <w:pPr>
        <w:tabs>
          <w:tab w:val="right" w:leader="dot" w:pos="9062"/>
        </w:tabs>
        <w:ind w:left="440"/>
      </w:pPr>
      <w:hyperlink w:anchor="_Toc673" w:history="1">
        <w:r>
          <w:rPr>
            <w:rFonts w:ascii="IRNazanin" w:hAnsi="IRNazanin" w:eastAsia="IRNazanin" w:cs="IRNazanin"/>
            <w:color w:val="111111"/>
            <w:sz w:val="22"/>
            <w:szCs w:val="22"/>
            <w:b w:val="0"/>
            <w:bCs w:val="0"/>
            <w:i w:val="0"/>
            <w:iCs w:val="0"/>
          </w:rPr>
          <w:t>الاستصحاب / استصحاب - عربی</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الاستصحاب / استصحاب / عربی</w:t>
        </w:r>
        <w:r>
          <w:tab/>
        </w:r>
        <w:r>
          <w:fldChar w:fldCharType="begin"/>
        </w:r>
        <w:r>
          <w:instrText xml:space="preserve">PAGEREF 674 \h</w:instrText>
        </w:r>
        <w:r>
          <w:fldChar w:fldCharType="end"/>
        </w:r>
      </w:hyperlink>
    </w:p>
    <w:p>
      <w:pPr>
        <w:tabs>
          <w:tab w:val="right" w:leader="dot" w:pos="9062"/>
        </w:tabs>
        <w:ind w:left="440"/>
      </w:pPr>
      <w:hyperlink w:anchor="_Toc675" w:history="1">
        <w:r>
          <w:rPr>
            <w:rFonts w:ascii="IRNazanin" w:hAnsi="IRNazanin" w:eastAsia="IRNazanin" w:cs="IRNazanin"/>
            <w:color w:val="111111"/>
            <w:sz w:val="22"/>
            <w:szCs w:val="22"/>
            <w:b w:val="0"/>
            <w:bCs w:val="0"/>
            <w:i w:val="0"/>
            <w:iCs w:val="0"/>
          </w:rPr>
          <w:t>الاستصحاب / استصحاب / عربی</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الاستصحاب / اصول فقه / عربی</w:t>
        </w:r>
        <w:r>
          <w:tab/>
        </w:r>
        <w:r>
          <w:fldChar w:fldCharType="begin"/>
        </w:r>
        <w:r>
          <w:instrText xml:space="preserve">PAGEREF 676 \h</w:instrText>
        </w:r>
        <w:r>
          <w:fldChar w:fldCharType="end"/>
        </w:r>
      </w:hyperlink>
    </w:p>
    <w:p>
      <w:pPr>
        <w:tabs>
          <w:tab w:val="right" w:leader="dot" w:pos="9062"/>
        </w:tabs>
        <w:ind w:left="440"/>
      </w:pPr>
      <w:hyperlink w:anchor="_Toc677" w:history="1">
        <w:r>
          <w:rPr>
            <w:rFonts w:ascii="IRNazanin" w:hAnsi="IRNazanin" w:eastAsia="IRNazanin" w:cs="IRNazanin"/>
            <w:color w:val="111111"/>
            <w:sz w:val="22"/>
            <w:szCs w:val="22"/>
            <w:b w:val="0"/>
            <w:bCs w:val="0"/>
            <w:i w:val="0"/>
            <w:iCs w:val="0"/>
          </w:rPr>
          <w:t>الاستصحاب / استصحاب / عربی</w:t>
        </w:r>
        <w:r>
          <w:tab/>
        </w:r>
        <w:r>
          <w:fldChar w:fldCharType="begin"/>
        </w:r>
        <w:r>
          <w:instrText xml:space="preserve">PAGEREF 677 \h</w:instrText>
        </w:r>
        <w:r>
          <w:fldChar w:fldCharType="end"/>
        </w:r>
      </w:hyperlink>
    </w:p>
    <w:p>
      <w:pPr>
        <w:tabs>
          <w:tab w:val="right" w:leader="dot" w:pos="9062"/>
        </w:tabs>
        <w:ind w:left="440"/>
      </w:pPr>
      <w:hyperlink w:anchor="_Toc678" w:history="1">
        <w:r>
          <w:rPr>
            <w:rFonts w:ascii="IRNazanin" w:hAnsi="IRNazanin" w:eastAsia="IRNazanin" w:cs="IRNazanin"/>
            <w:color w:val="111111"/>
            <w:sz w:val="22"/>
            <w:szCs w:val="22"/>
            <w:b w:val="0"/>
            <w:bCs w:val="0"/>
            <w:i w:val="0"/>
            <w:iCs w:val="0"/>
          </w:rPr>
          <w:t>الاستصحاب / استصحاب / عربی</w:t>
        </w:r>
        <w:r>
          <w:tab/>
        </w:r>
        <w:r>
          <w:fldChar w:fldCharType="begin"/>
        </w:r>
        <w:r>
          <w:instrText xml:space="preserve">PAGEREF 678 \h</w:instrText>
        </w:r>
        <w:r>
          <w:fldChar w:fldCharType="end"/>
        </w:r>
      </w:hyperlink>
    </w:p>
    <w:p>
      <w:pPr>
        <w:tabs>
          <w:tab w:val="right" w:leader="dot" w:pos="9062"/>
        </w:tabs>
        <w:ind w:left="440"/>
      </w:pPr>
      <w:hyperlink w:anchor="_Toc679" w:history="1">
        <w:r>
          <w:rPr>
            <w:rFonts w:ascii="IRNazanin" w:hAnsi="IRNazanin" w:eastAsia="IRNazanin" w:cs="IRNazanin"/>
            <w:color w:val="111111"/>
            <w:sz w:val="22"/>
            <w:szCs w:val="22"/>
            <w:b w:val="0"/>
            <w:bCs w:val="0"/>
            <w:i w:val="0"/>
            <w:iCs w:val="0"/>
          </w:rPr>
          <w:t>الاستصحاب / استصحاب / عربی</w:t>
        </w:r>
        <w:r>
          <w:tab/>
        </w:r>
        <w:r>
          <w:fldChar w:fldCharType="begin"/>
        </w:r>
        <w:r>
          <w:instrText xml:space="preserve">PAGEREF 679 \h</w:instrText>
        </w:r>
        <w:r>
          <w:fldChar w:fldCharType="end"/>
        </w:r>
      </w:hyperlink>
    </w:p>
    <w:p>
      <w:pPr>
        <w:tabs>
          <w:tab w:val="right" w:leader="dot" w:pos="9062"/>
        </w:tabs>
        <w:ind w:left="440"/>
      </w:pPr>
      <w:hyperlink w:anchor="_Toc680" w:history="1">
        <w:r>
          <w:rPr>
            <w:rFonts w:ascii="IRNazanin" w:hAnsi="IRNazanin" w:eastAsia="IRNazanin" w:cs="IRNazanin"/>
            <w:color w:val="111111"/>
            <w:sz w:val="22"/>
            <w:szCs w:val="22"/>
            <w:b w:val="0"/>
            <w:bCs w:val="0"/>
            <w:i w:val="0"/>
            <w:iCs w:val="0"/>
          </w:rPr>
          <w:t>الاستصحاب / استصحاب / عربی</w:t>
        </w:r>
        <w:r>
          <w:tab/>
        </w:r>
        <w:r>
          <w:fldChar w:fldCharType="begin"/>
        </w:r>
        <w:r>
          <w:instrText xml:space="preserve">PAGEREF 680 \h</w:instrText>
        </w:r>
        <w:r>
          <w:fldChar w:fldCharType="end"/>
        </w:r>
      </w:hyperlink>
    </w:p>
    <w:p>
      <w:pPr>
        <w:tabs>
          <w:tab w:val="right" w:leader="dot" w:pos="9062"/>
        </w:tabs>
        <w:ind w:left="440"/>
      </w:pPr>
      <w:hyperlink w:anchor="_Toc681" w:history="1">
        <w:r>
          <w:rPr>
            <w:rFonts w:ascii="IRNazanin" w:hAnsi="IRNazanin" w:eastAsia="IRNazanin" w:cs="IRNazanin"/>
            <w:color w:val="111111"/>
            <w:sz w:val="22"/>
            <w:szCs w:val="22"/>
            <w:b w:val="0"/>
            <w:bCs w:val="0"/>
            <w:i w:val="0"/>
            <w:iCs w:val="0"/>
          </w:rPr>
          <w:t>الاستصحاب / استصحاب / عربی</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الاستصحاب / استصحاب / عربی</w:t>
        </w:r>
        <w:r>
          <w:tab/>
        </w:r>
        <w:r>
          <w:fldChar w:fldCharType="begin"/>
        </w:r>
        <w:r>
          <w:instrText xml:space="preserve">PAGEREF 682 \h</w:instrText>
        </w:r>
        <w:r>
          <w:fldChar w:fldCharType="end"/>
        </w:r>
      </w:hyperlink>
    </w:p>
    <w:p>
      <w:pPr>
        <w:tabs>
          <w:tab w:val="right" w:leader="dot" w:pos="9062"/>
        </w:tabs>
        <w:ind w:left="440"/>
      </w:pPr>
      <w:hyperlink w:anchor="_Toc683" w:history="1">
        <w:r>
          <w:rPr>
            <w:rFonts w:ascii="IRNazanin" w:hAnsi="IRNazanin" w:eastAsia="IRNazanin" w:cs="IRNazanin"/>
            <w:color w:val="111111"/>
            <w:sz w:val="22"/>
            <w:szCs w:val="22"/>
            <w:b w:val="0"/>
            <w:bCs w:val="0"/>
            <w:i w:val="0"/>
            <w:iCs w:val="0"/>
          </w:rPr>
          <w:t>الاستصحاب / استصحاب / عربی</w:t>
        </w:r>
        <w:r>
          <w:tab/>
        </w:r>
        <w:r>
          <w:fldChar w:fldCharType="begin"/>
        </w:r>
        <w:r>
          <w:instrText xml:space="preserve">PAGEREF 683 \h</w:instrText>
        </w:r>
        <w:r>
          <w:fldChar w:fldCharType="end"/>
        </w:r>
      </w:hyperlink>
    </w:p>
    <w:p>
      <w:pPr>
        <w:tabs>
          <w:tab w:val="right" w:leader="dot" w:pos="9062"/>
        </w:tabs>
        <w:ind w:left="440"/>
      </w:pPr>
      <w:hyperlink w:anchor="_Toc684" w:history="1">
        <w:r>
          <w:rPr>
            <w:rFonts w:ascii="IRNazanin" w:hAnsi="IRNazanin" w:eastAsia="IRNazanin" w:cs="IRNazanin"/>
            <w:color w:val="111111"/>
            <w:sz w:val="22"/>
            <w:szCs w:val="22"/>
            <w:b w:val="0"/>
            <w:bCs w:val="0"/>
            <w:i w:val="0"/>
            <w:iCs w:val="0"/>
          </w:rPr>
          <w:t>الاستصحاب / استصحاب / عربی</w:t>
        </w:r>
        <w:r>
          <w:tab/>
        </w:r>
        <w:r>
          <w:fldChar w:fldCharType="begin"/>
        </w:r>
        <w:r>
          <w:instrText xml:space="preserve">PAGEREF 684 \h</w:instrText>
        </w:r>
        <w:r>
          <w:fldChar w:fldCharType="end"/>
        </w:r>
      </w:hyperlink>
    </w:p>
    <w:p>
      <w:pPr>
        <w:tabs>
          <w:tab w:val="right" w:leader="dot" w:pos="9062"/>
        </w:tabs>
        <w:ind w:left="440"/>
      </w:pPr>
      <w:hyperlink w:anchor="_Toc685" w:history="1">
        <w:r>
          <w:rPr>
            <w:rFonts w:ascii="IRNazanin" w:hAnsi="IRNazanin" w:eastAsia="IRNazanin" w:cs="IRNazanin"/>
            <w:color w:val="111111"/>
            <w:sz w:val="22"/>
            <w:szCs w:val="22"/>
            <w:b w:val="0"/>
            <w:bCs w:val="0"/>
            <w:i w:val="0"/>
            <w:iCs w:val="0"/>
          </w:rPr>
          <w:t>الاستصحاب / استصحاب / عربی</w:t>
        </w:r>
        <w:r>
          <w:tab/>
        </w:r>
        <w:r>
          <w:fldChar w:fldCharType="begin"/>
        </w:r>
        <w:r>
          <w:instrText xml:space="preserve">PAGEREF 685 \h</w:instrText>
        </w:r>
        <w:r>
          <w:fldChar w:fldCharType="end"/>
        </w:r>
      </w:hyperlink>
    </w:p>
    <w:p>
      <w:pPr>
        <w:tabs>
          <w:tab w:val="right" w:leader="dot" w:pos="9062"/>
        </w:tabs>
        <w:ind w:left="440"/>
      </w:pPr>
      <w:hyperlink w:anchor="_Toc686" w:history="1">
        <w:r>
          <w:rPr>
            <w:rFonts w:ascii="IRNazanin" w:hAnsi="IRNazanin" w:eastAsia="IRNazanin" w:cs="IRNazanin"/>
            <w:color w:val="111111"/>
            <w:sz w:val="22"/>
            <w:szCs w:val="22"/>
            <w:b w:val="0"/>
            <w:bCs w:val="0"/>
            <w:i w:val="0"/>
            <w:iCs w:val="0"/>
          </w:rPr>
          <w:t>الاستصحاب / استصحاب / عربی</w:t>
        </w:r>
        <w:r>
          <w:tab/>
        </w:r>
        <w:r>
          <w:fldChar w:fldCharType="begin"/>
        </w:r>
        <w:r>
          <w:instrText xml:space="preserve">PAGEREF 686 \h</w:instrText>
        </w:r>
        <w:r>
          <w:fldChar w:fldCharType="end"/>
        </w:r>
      </w:hyperlink>
    </w:p>
    <w:p>
      <w:pPr>
        <w:tabs>
          <w:tab w:val="right" w:leader="dot" w:pos="9062"/>
        </w:tabs>
        <w:ind w:left="440"/>
      </w:pPr>
      <w:hyperlink w:anchor="_Toc687" w:history="1">
        <w:r>
          <w:rPr>
            <w:rFonts w:ascii="IRNazanin" w:hAnsi="IRNazanin" w:eastAsia="IRNazanin" w:cs="IRNazanin"/>
            <w:color w:val="111111"/>
            <w:sz w:val="22"/>
            <w:szCs w:val="22"/>
            <w:b w:val="0"/>
            <w:bCs w:val="0"/>
            <w:i w:val="0"/>
            <w:iCs w:val="0"/>
          </w:rPr>
          <w:t>الاستصحاب / استصحاب / عربی</w:t>
        </w:r>
        <w:r>
          <w:tab/>
        </w:r>
        <w:r>
          <w:fldChar w:fldCharType="begin"/>
        </w:r>
        <w:r>
          <w:instrText xml:space="preserve">PAGEREF 687 \h</w:instrText>
        </w:r>
        <w:r>
          <w:fldChar w:fldCharType="end"/>
        </w:r>
      </w:hyperlink>
    </w:p>
    <w:p>
      <w:pPr>
        <w:tabs>
          <w:tab w:val="right" w:leader="dot" w:pos="9062"/>
        </w:tabs>
        <w:ind w:left="440"/>
      </w:pPr>
      <w:hyperlink w:anchor="_Toc688" w:history="1">
        <w:r>
          <w:rPr>
            <w:rFonts w:ascii="IRNazanin" w:hAnsi="IRNazanin" w:eastAsia="IRNazanin" w:cs="IRNazanin"/>
            <w:color w:val="111111"/>
            <w:sz w:val="22"/>
            <w:szCs w:val="22"/>
            <w:b w:val="0"/>
            <w:bCs w:val="0"/>
            <w:i w:val="0"/>
            <w:iCs w:val="0"/>
          </w:rPr>
          <w:t>الاستصحاب / استصحاب / عربی</w:t>
        </w:r>
        <w:r>
          <w:tab/>
        </w:r>
        <w:r>
          <w:fldChar w:fldCharType="begin"/>
        </w:r>
        <w:r>
          <w:instrText xml:space="preserve">PAGEREF 688 \h</w:instrText>
        </w:r>
        <w:r>
          <w:fldChar w:fldCharType="end"/>
        </w:r>
      </w:hyperlink>
    </w:p>
    <w:p>
      <w:pPr>
        <w:tabs>
          <w:tab w:val="right" w:leader="dot" w:pos="9062"/>
        </w:tabs>
        <w:ind w:left="440"/>
      </w:pPr>
      <w:hyperlink w:anchor="_Toc689" w:history="1">
        <w:r>
          <w:rPr>
            <w:rFonts w:ascii="IRNazanin" w:hAnsi="IRNazanin" w:eastAsia="IRNazanin" w:cs="IRNazanin"/>
            <w:color w:val="111111"/>
            <w:sz w:val="22"/>
            <w:szCs w:val="22"/>
            <w:b w:val="0"/>
            <w:bCs w:val="0"/>
            <w:i w:val="0"/>
            <w:iCs w:val="0"/>
          </w:rPr>
          <w:t>الاستصحاب / استصحاب / عربی</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الاستصحاب (تقريرات) / اصول فقه / عربی</w:t>
        </w:r>
        <w:r>
          <w:tab/>
        </w:r>
        <w:r>
          <w:fldChar w:fldCharType="begin"/>
        </w:r>
        <w:r>
          <w:instrText xml:space="preserve">PAGEREF 690 \h</w:instrText>
        </w:r>
        <w:r>
          <w:fldChar w:fldCharType="end"/>
        </w:r>
      </w:hyperlink>
    </w:p>
    <w:p>
      <w:pPr>
        <w:tabs>
          <w:tab w:val="right" w:leader="dot" w:pos="9062"/>
        </w:tabs>
        <w:ind w:left="440"/>
      </w:pPr>
      <w:hyperlink w:anchor="_Toc691" w:history="1">
        <w:r>
          <w:rPr>
            <w:rFonts w:ascii="IRNazanin" w:hAnsi="IRNazanin" w:eastAsia="IRNazanin" w:cs="IRNazanin"/>
            <w:color w:val="111111"/>
            <w:sz w:val="22"/>
            <w:szCs w:val="22"/>
            <w:b w:val="0"/>
            <w:bCs w:val="0"/>
            <w:i w:val="0"/>
            <w:iCs w:val="0"/>
          </w:rPr>
          <w:t>استصحاب / اصول فقه / عربی</w:t>
        </w:r>
        <w:r>
          <w:tab/>
        </w:r>
        <w:r>
          <w:fldChar w:fldCharType="begin"/>
        </w:r>
        <w:r>
          <w:instrText xml:space="preserve">PAGEREF 691 \h</w:instrText>
        </w:r>
        <w:r>
          <w:fldChar w:fldCharType="end"/>
        </w:r>
      </w:hyperlink>
    </w:p>
    <w:p>
      <w:pPr>
        <w:tabs>
          <w:tab w:val="right" w:leader="dot" w:pos="9062"/>
        </w:tabs>
        <w:ind w:left="440"/>
      </w:pPr>
      <w:hyperlink w:anchor="_Toc692" w:history="1">
        <w:r>
          <w:rPr>
            <w:rFonts w:ascii="IRNazanin" w:hAnsi="IRNazanin" w:eastAsia="IRNazanin" w:cs="IRNazanin"/>
            <w:color w:val="111111"/>
            <w:sz w:val="22"/>
            <w:szCs w:val="22"/>
            <w:b w:val="0"/>
            <w:bCs w:val="0"/>
            <w:i w:val="0"/>
            <w:iCs w:val="0"/>
          </w:rPr>
          <w:t>الاستصحاب / استصحاب / عربی</w:t>
        </w:r>
        <w:r>
          <w:tab/>
        </w:r>
        <w:r>
          <w:fldChar w:fldCharType="begin"/>
        </w:r>
        <w:r>
          <w:instrText xml:space="preserve">PAGEREF 692 \h</w:instrText>
        </w:r>
        <w:r>
          <w:fldChar w:fldCharType="end"/>
        </w:r>
      </w:hyperlink>
    </w:p>
    <w:p>
      <w:pPr>
        <w:tabs>
          <w:tab w:val="right" w:leader="dot" w:pos="9062"/>
        </w:tabs>
        <w:ind w:left="440"/>
      </w:pPr>
      <w:hyperlink w:anchor="_Toc693" w:history="1">
        <w:r>
          <w:rPr>
            <w:rFonts w:ascii="IRNazanin" w:hAnsi="IRNazanin" w:eastAsia="IRNazanin" w:cs="IRNazanin"/>
            <w:color w:val="111111"/>
            <w:sz w:val="22"/>
            <w:szCs w:val="22"/>
            <w:b w:val="0"/>
            <w:bCs w:val="0"/>
            <w:i w:val="0"/>
            <w:iCs w:val="0"/>
          </w:rPr>
          <w:t>الاستصحاب / استصحاب / عربی</w:t>
        </w:r>
        <w:r>
          <w:tab/>
        </w:r>
        <w:r>
          <w:fldChar w:fldCharType="begin"/>
        </w:r>
        <w:r>
          <w:instrText xml:space="preserve">PAGEREF 693 \h</w:instrText>
        </w:r>
        <w:r>
          <w:fldChar w:fldCharType="end"/>
        </w:r>
      </w:hyperlink>
    </w:p>
    <w:p>
      <w:pPr>
        <w:tabs>
          <w:tab w:val="right" w:leader="dot" w:pos="9062"/>
        </w:tabs>
        <w:ind w:left="440"/>
      </w:pPr>
      <w:hyperlink w:anchor="_Toc694" w:history="1">
        <w:r>
          <w:rPr>
            <w:rFonts w:ascii="IRNazanin" w:hAnsi="IRNazanin" w:eastAsia="IRNazanin" w:cs="IRNazanin"/>
            <w:color w:val="111111"/>
            <w:sz w:val="22"/>
            <w:szCs w:val="22"/>
            <w:b w:val="0"/>
            <w:bCs w:val="0"/>
            <w:i w:val="0"/>
            <w:iCs w:val="0"/>
          </w:rPr>
          <w:t>الاستصحاب = محجة العلماء / استصحاب / عربي</w:t>
        </w:r>
        <w:r>
          <w:tab/>
        </w:r>
        <w:r>
          <w:fldChar w:fldCharType="begin"/>
        </w:r>
        <w:r>
          <w:instrText xml:space="preserve">PAGEREF 694 \h</w:instrText>
        </w:r>
        <w:r>
          <w:fldChar w:fldCharType="end"/>
        </w:r>
      </w:hyperlink>
    </w:p>
    <w:p>
      <w:pPr>
        <w:tabs>
          <w:tab w:val="right" w:leader="dot" w:pos="9062"/>
        </w:tabs>
        <w:ind w:left="440"/>
      </w:pPr>
      <w:hyperlink w:anchor="_Toc695" w:history="1">
        <w:r>
          <w:rPr>
            <w:rFonts w:ascii="IRNazanin" w:hAnsi="IRNazanin" w:eastAsia="IRNazanin" w:cs="IRNazanin"/>
            <w:color w:val="111111"/>
            <w:sz w:val="22"/>
            <w:szCs w:val="22"/>
            <w:b w:val="0"/>
            <w:bCs w:val="0"/>
            <w:i w:val="0"/>
            <w:iCs w:val="0"/>
          </w:rPr>
          <w:t>استصحاب / اصول فقه / عربی</w:t>
        </w:r>
        <w:r>
          <w:tab/>
        </w:r>
        <w:r>
          <w:fldChar w:fldCharType="begin"/>
        </w:r>
        <w:r>
          <w:instrText xml:space="preserve">PAGEREF 695 \h</w:instrText>
        </w:r>
        <w:r>
          <w:fldChar w:fldCharType="end"/>
        </w:r>
      </w:hyperlink>
    </w:p>
    <w:p>
      <w:pPr>
        <w:tabs>
          <w:tab w:val="right" w:leader="dot" w:pos="9062"/>
        </w:tabs>
        <w:ind w:left="440"/>
      </w:pPr>
      <w:hyperlink w:anchor="_Toc696" w:history="1">
        <w:r>
          <w:rPr>
            <w:rFonts w:ascii="IRNazanin" w:hAnsi="IRNazanin" w:eastAsia="IRNazanin" w:cs="IRNazanin"/>
            <w:color w:val="111111"/>
            <w:sz w:val="22"/>
            <w:szCs w:val="22"/>
            <w:b w:val="0"/>
            <w:bCs w:val="0"/>
            <w:i w:val="0"/>
            <w:iCs w:val="0"/>
          </w:rPr>
          <w:t>الاستصحاب / استصحاب / عربی</w:t>
        </w:r>
        <w:r>
          <w:tab/>
        </w:r>
        <w:r>
          <w:fldChar w:fldCharType="begin"/>
        </w:r>
        <w:r>
          <w:instrText xml:space="preserve">PAGEREF 696 \h</w:instrText>
        </w:r>
        <w:r>
          <w:fldChar w:fldCharType="end"/>
        </w:r>
      </w:hyperlink>
    </w:p>
    <w:p>
      <w:pPr>
        <w:tabs>
          <w:tab w:val="right" w:leader="dot" w:pos="9062"/>
        </w:tabs>
        <w:ind w:left="440"/>
      </w:pPr>
      <w:hyperlink w:anchor="_Toc697" w:history="1">
        <w:r>
          <w:rPr>
            <w:rFonts w:ascii="IRNazanin" w:hAnsi="IRNazanin" w:eastAsia="IRNazanin" w:cs="IRNazanin"/>
            <w:color w:val="111111"/>
            <w:sz w:val="22"/>
            <w:szCs w:val="22"/>
            <w:b w:val="0"/>
            <w:bCs w:val="0"/>
            <w:i w:val="0"/>
            <w:iCs w:val="0"/>
          </w:rPr>
          <w:t>الاستصحاب / استصحاب / عربی</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الاستصحاب / استصحاب / عربی</w:t>
        </w:r>
        <w:r>
          <w:tab/>
        </w:r>
        <w:r>
          <w:fldChar w:fldCharType="begin"/>
        </w:r>
        <w:r>
          <w:instrText xml:space="preserve">PAGEREF 698 \h</w:instrText>
        </w:r>
        <w:r>
          <w:fldChar w:fldCharType="end"/>
        </w:r>
      </w:hyperlink>
    </w:p>
    <w:p>
      <w:pPr>
        <w:tabs>
          <w:tab w:val="right" w:leader="dot" w:pos="9062"/>
        </w:tabs>
        <w:ind w:left="440"/>
      </w:pPr>
      <w:hyperlink w:anchor="_Toc699" w:history="1">
        <w:r>
          <w:rPr>
            <w:rFonts w:ascii="IRNazanin" w:hAnsi="IRNazanin" w:eastAsia="IRNazanin" w:cs="IRNazanin"/>
            <w:color w:val="111111"/>
            <w:sz w:val="22"/>
            <w:szCs w:val="22"/>
            <w:b w:val="0"/>
            <w:bCs w:val="0"/>
            <w:i w:val="0"/>
            <w:iCs w:val="0"/>
          </w:rPr>
          <w:t>الاستصحاب / استصحاب / عربی</w:t>
        </w:r>
        <w:r>
          <w:tab/>
        </w:r>
        <w:r>
          <w:fldChar w:fldCharType="begin"/>
        </w:r>
        <w:r>
          <w:instrText xml:space="preserve">PAGEREF 699 \h</w:instrText>
        </w:r>
        <w:r>
          <w:fldChar w:fldCharType="end"/>
        </w:r>
      </w:hyperlink>
    </w:p>
    <w:p>
      <w:pPr>
        <w:tabs>
          <w:tab w:val="right" w:leader="dot" w:pos="9062"/>
        </w:tabs>
        <w:ind w:left="440"/>
      </w:pPr>
      <w:hyperlink w:anchor="_Toc700" w:history="1">
        <w:r>
          <w:rPr>
            <w:rFonts w:ascii="IRNazanin" w:hAnsi="IRNazanin" w:eastAsia="IRNazanin" w:cs="IRNazanin"/>
            <w:color w:val="111111"/>
            <w:sz w:val="22"/>
            <w:szCs w:val="22"/>
            <w:b w:val="0"/>
            <w:bCs w:val="0"/>
            <w:i w:val="0"/>
            <w:iCs w:val="0"/>
          </w:rPr>
          <w:t>الاستصحاب / استصحاب / عربی</w:t>
        </w:r>
        <w:r>
          <w:tab/>
        </w:r>
        <w:r>
          <w:fldChar w:fldCharType="begin"/>
        </w:r>
        <w:r>
          <w:instrText xml:space="preserve">PAGEREF 700 \h</w:instrText>
        </w:r>
        <w:r>
          <w:fldChar w:fldCharType="end"/>
        </w:r>
      </w:hyperlink>
    </w:p>
    <w:p>
      <w:pPr>
        <w:tabs>
          <w:tab w:val="right" w:leader="dot" w:pos="9062"/>
        </w:tabs>
        <w:ind w:left="440"/>
      </w:pPr>
      <w:hyperlink w:anchor="_Toc701" w:history="1">
        <w:r>
          <w:rPr>
            <w:rFonts w:ascii="IRNazanin" w:hAnsi="IRNazanin" w:eastAsia="IRNazanin" w:cs="IRNazanin"/>
            <w:color w:val="111111"/>
            <w:sz w:val="22"/>
            <w:szCs w:val="22"/>
            <w:b w:val="0"/>
            <w:bCs w:val="0"/>
            <w:i w:val="0"/>
            <w:iCs w:val="0"/>
          </w:rPr>
          <w:t>الاستصحاب / استصحاب / عربی</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الاستصحابية / استصحاب / عربي</w:t>
        </w:r>
        <w:r>
          <w:tab/>
        </w:r>
        <w:r>
          <w:fldChar w:fldCharType="begin"/>
        </w:r>
        <w:r>
          <w:instrText xml:space="preserve">PAGEREF 702 \h</w:instrText>
        </w:r>
        <w:r>
          <w:fldChar w:fldCharType="end"/>
        </w:r>
      </w:hyperlink>
    </w:p>
    <w:p>
      <w:pPr>
        <w:tabs>
          <w:tab w:val="right" w:leader="dot" w:pos="9062"/>
        </w:tabs>
        <w:ind w:left="440"/>
      </w:pPr>
      <w:hyperlink w:anchor="_Toc703" w:history="1">
        <w:r>
          <w:rPr>
            <w:rFonts w:ascii="IRNazanin" w:hAnsi="IRNazanin" w:eastAsia="IRNazanin" w:cs="IRNazanin"/>
            <w:color w:val="111111"/>
            <w:sz w:val="22"/>
            <w:szCs w:val="22"/>
            <w:b w:val="0"/>
            <w:bCs w:val="0"/>
            <w:i w:val="0"/>
            <w:iCs w:val="0"/>
          </w:rPr>
          <w:t>الاستطاعة و الاختيار / فلسفه / عربي</w:t>
        </w:r>
        <w:r>
          <w:tab/>
        </w:r>
        <w:r>
          <w:fldChar w:fldCharType="begin"/>
        </w:r>
        <w:r>
          <w:instrText xml:space="preserve">PAGEREF 703 \h</w:instrText>
        </w:r>
        <w:r>
          <w:fldChar w:fldCharType="end"/>
        </w:r>
      </w:hyperlink>
    </w:p>
    <w:p>
      <w:pPr>
        <w:tabs>
          <w:tab w:val="right" w:leader="dot" w:pos="9062"/>
        </w:tabs>
        <w:ind w:left="440"/>
      </w:pPr>
      <w:hyperlink w:anchor="_Toc704" w:history="1">
        <w:r>
          <w:rPr>
            <w:rFonts w:ascii="IRNazanin" w:hAnsi="IRNazanin" w:eastAsia="IRNazanin" w:cs="IRNazanin"/>
            <w:color w:val="111111"/>
            <w:sz w:val="22"/>
            <w:szCs w:val="22"/>
            <w:b w:val="0"/>
            <w:bCs w:val="0"/>
            <w:i w:val="0"/>
            <w:iCs w:val="0"/>
          </w:rPr>
          <w:t>الاستظهار / فقه / عربي</w:t>
        </w:r>
        <w:r>
          <w:tab/>
        </w:r>
        <w:r>
          <w:fldChar w:fldCharType="begin"/>
        </w:r>
        <w:r>
          <w:instrText xml:space="preserve">PAGEREF 704 \h</w:instrText>
        </w:r>
        <w:r>
          <w:fldChar w:fldCharType="end"/>
        </w:r>
      </w:hyperlink>
    </w:p>
    <w:p>
      <w:pPr>
        <w:tabs>
          <w:tab w:val="right" w:leader="dot" w:pos="9062"/>
        </w:tabs>
        <w:ind w:left="440"/>
      </w:pPr>
      <w:hyperlink w:anchor="_Toc705" w:history="1">
        <w:r>
          <w:rPr>
            <w:rFonts w:ascii="IRNazanin" w:hAnsi="IRNazanin" w:eastAsia="IRNazanin" w:cs="IRNazanin"/>
            <w:color w:val="111111"/>
            <w:sz w:val="22"/>
            <w:szCs w:val="22"/>
            <w:b w:val="0"/>
            <w:bCs w:val="0"/>
            <w:i w:val="0"/>
            <w:iCs w:val="0"/>
          </w:rPr>
          <w:t>الاستظهار / فقه / عربي</w:t>
        </w:r>
        <w:r>
          <w:tab/>
        </w:r>
        <w:r>
          <w:fldChar w:fldCharType="begin"/>
        </w:r>
        <w:r>
          <w:instrText xml:space="preserve">PAGEREF 705 \h</w:instrText>
        </w:r>
        <w:r>
          <w:fldChar w:fldCharType="end"/>
        </w:r>
      </w:hyperlink>
    </w:p>
    <w:p>
      <w:pPr>
        <w:tabs>
          <w:tab w:val="right" w:leader="dot" w:pos="9062"/>
        </w:tabs>
        <w:ind w:left="440"/>
      </w:pPr>
      <w:hyperlink w:anchor="_Toc706" w:history="1">
        <w:r>
          <w:rPr>
            <w:rFonts w:ascii="IRNazanin" w:hAnsi="IRNazanin" w:eastAsia="IRNazanin" w:cs="IRNazanin"/>
            <w:color w:val="111111"/>
            <w:sz w:val="22"/>
            <w:szCs w:val="22"/>
            <w:b w:val="0"/>
            <w:bCs w:val="0"/>
            <w:i w:val="0"/>
            <w:iCs w:val="0"/>
          </w:rPr>
          <w:t>الاستعاذة فى الصلوات / حدیث / عربی</w:t>
        </w:r>
        <w:r>
          <w:tab/>
        </w:r>
        <w:r>
          <w:fldChar w:fldCharType="begin"/>
        </w:r>
        <w:r>
          <w:instrText xml:space="preserve">PAGEREF 706 \h</w:instrText>
        </w:r>
        <w:r>
          <w:fldChar w:fldCharType="end"/>
        </w:r>
      </w:hyperlink>
    </w:p>
    <w:p>
      <w:pPr>
        <w:tabs>
          <w:tab w:val="right" w:leader="dot" w:pos="9062"/>
        </w:tabs>
        <w:ind w:left="440"/>
      </w:pPr>
      <w:hyperlink w:anchor="_Toc707" w:history="1">
        <w:r>
          <w:rPr>
            <w:rFonts w:ascii="IRNazanin" w:hAnsi="IRNazanin" w:eastAsia="IRNazanin" w:cs="IRNazanin"/>
            <w:color w:val="111111"/>
            <w:sz w:val="22"/>
            <w:szCs w:val="22"/>
            <w:b w:val="0"/>
            <w:bCs w:val="0"/>
            <w:i w:val="0"/>
            <w:iCs w:val="0"/>
          </w:rPr>
          <w:t>الاستعارات / معانی بیان / عربی</w:t>
        </w:r>
        <w:r>
          <w:tab/>
        </w:r>
        <w:r>
          <w:fldChar w:fldCharType="begin"/>
        </w:r>
        <w:r>
          <w:instrText xml:space="preserve">PAGEREF 707 \h</w:instrText>
        </w:r>
        <w:r>
          <w:fldChar w:fldCharType="end"/>
        </w:r>
      </w:hyperlink>
    </w:p>
    <w:p>
      <w:pPr>
        <w:tabs>
          <w:tab w:val="right" w:leader="dot" w:pos="9062"/>
        </w:tabs>
        <w:ind w:left="440"/>
      </w:pPr>
      <w:hyperlink w:anchor="_Toc708" w:history="1">
        <w:r>
          <w:rPr>
            <w:rFonts w:ascii="IRNazanin" w:hAnsi="IRNazanin" w:eastAsia="IRNazanin" w:cs="IRNazanin"/>
            <w:color w:val="111111"/>
            <w:sz w:val="22"/>
            <w:szCs w:val="22"/>
            <w:b w:val="0"/>
            <w:bCs w:val="0"/>
            <w:i w:val="0"/>
            <w:iCs w:val="0"/>
          </w:rPr>
          <w:t>الاستعارات - رسالة فى المجاز والاستعارة / بلاغت /  عربی</w:t>
        </w:r>
        <w:r>
          <w:tab/>
        </w:r>
        <w:r>
          <w:fldChar w:fldCharType="begin"/>
        </w:r>
        <w:r>
          <w:instrText xml:space="preserve">PAGEREF 708 \h</w:instrText>
        </w:r>
        <w:r>
          <w:fldChar w:fldCharType="end"/>
        </w:r>
      </w:hyperlink>
    </w:p>
    <w:p>
      <w:pPr>
        <w:tabs>
          <w:tab w:val="right" w:leader="dot" w:pos="9062"/>
        </w:tabs>
        <w:ind w:left="440"/>
      </w:pPr>
      <w:hyperlink w:anchor="_Toc709" w:history="1">
        <w:r>
          <w:rPr>
            <w:rFonts w:ascii="IRNazanin" w:hAnsi="IRNazanin" w:eastAsia="IRNazanin" w:cs="IRNazanin"/>
            <w:color w:val="111111"/>
            <w:sz w:val="22"/>
            <w:szCs w:val="22"/>
            <w:b w:val="0"/>
            <w:bCs w:val="0"/>
            <w:i w:val="0"/>
            <w:iCs w:val="0"/>
          </w:rPr>
          <w:t>استعارات / لغت / فارسی</w:t>
        </w:r>
        <w:r>
          <w:tab/>
        </w:r>
        <w:r>
          <w:fldChar w:fldCharType="begin"/>
        </w:r>
        <w:r>
          <w:instrText xml:space="preserve">PAGEREF 709 \h</w:instrText>
        </w:r>
        <w:r>
          <w:fldChar w:fldCharType="end"/>
        </w:r>
      </w:hyperlink>
    </w:p>
    <w:p>
      <w:pPr>
        <w:tabs>
          <w:tab w:val="right" w:leader="dot" w:pos="9062"/>
        </w:tabs>
        <w:ind w:left="440"/>
      </w:pPr>
      <w:hyperlink w:anchor="_Toc710" w:history="1">
        <w:r>
          <w:rPr>
            <w:rFonts w:ascii="IRNazanin" w:hAnsi="IRNazanin" w:eastAsia="IRNazanin" w:cs="IRNazanin"/>
            <w:color w:val="111111"/>
            <w:sz w:val="22"/>
            <w:szCs w:val="22"/>
            <w:b w:val="0"/>
            <w:bCs w:val="0"/>
            <w:i w:val="0"/>
            <w:iCs w:val="0"/>
          </w:rPr>
          <w:t>الاستعارات و اقسامها / معانی بیان / عربی</w:t>
        </w:r>
        <w:r>
          <w:tab/>
        </w:r>
        <w:r>
          <w:fldChar w:fldCharType="begin"/>
        </w:r>
        <w:r>
          <w:instrText xml:space="preserve">PAGEREF 710 \h</w:instrText>
        </w:r>
        <w:r>
          <w:fldChar w:fldCharType="end"/>
        </w:r>
      </w:hyperlink>
    </w:p>
    <w:p>
      <w:pPr>
        <w:tabs>
          <w:tab w:val="right" w:leader="dot" w:pos="9062"/>
        </w:tabs>
        <w:ind w:left="440"/>
      </w:pPr>
      <w:hyperlink w:anchor="_Toc711" w:history="1">
        <w:r>
          <w:rPr>
            <w:rFonts w:ascii="IRNazanin" w:hAnsi="IRNazanin" w:eastAsia="IRNazanin" w:cs="IRNazanin"/>
            <w:color w:val="111111"/>
            <w:sz w:val="22"/>
            <w:szCs w:val="22"/>
            <w:b w:val="0"/>
            <w:bCs w:val="0"/>
            <w:i w:val="0"/>
            <w:iCs w:val="0"/>
          </w:rPr>
          <w:t>الاستعارة = فرائد العوائد في معانى الاستعارة و  اقسامها = الرسالة السمرقندية = الفريدة =رسالة الاستعارة و العقود - فرائد الفوائد = بلوغ الارب = فوائد العوائد / بلاغت / عربي</w:t>
        </w:r>
        <w:r>
          <w:tab/>
        </w:r>
        <w:r>
          <w:fldChar w:fldCharType="begin"/>
        </w:r>
        <w:r>
          <w:instrText xml:space="preserve">PAGEREF 711 \h</w:instrText>
        </w:r>
        <w:r>
          <w:fldChar w:fldCharType="end"/>
        </w:r>
      </w:hyperlink>
    </w:p>
    <w:p>
      <w:pPr>
        <w:tabs>
          <w:tab w:val="right" w:leader="dot" w:pos="9062"/>
        </w:tabs>
        <w:ind w:left="440"/>
      </w:pPr>
      <w:hyperlink w:anchor="_Toc712" w:history="1">
        <w:r>
          <w:rPr>
            <w:rFonts w:ascii="IRNazanin" w:hAnsi="IRNazanin" w:eastAsia="IRNazanin" w:cs="IRNazanin"/>
            <w:color w:val="111111"/>
            <w:sz w:val="22"/>
            <w:szCs w:val="22"/>
            <w:b w:val="0"/>
            <w:bCs w:val="0"/>
            <w:i w:val="0"/>
            <w:iCs w:val="0"/>
          </w:rPr>
          <w:t>الاستعارة / بلاغت / عربي</w:t>
        </w:r>
        <w:r>
          <w:tab/>
        </w:r>
        <w:r>
          <w:fldChar w:fldCharType="begin"/>
        </w:r>
        <w:r>
          <w:instrText xml:space="preserve">PAGEREF 712 \h</w:instrText>
        </w:r>
        <w:r>
          <w:fldChar w:fldCharType="end"/>
        </w:r>
      </w:hyperlink>
    </w:p>
    <w:p>
      <w:pPr>
        <w:tabs>
          <w:tab w:val="right" w:leader="dot" w:pos="9062"/>
        </w:tabs>
        <w:ind w:left="440"/>
      </w:pPr>
      <w:hyperlink w:anchor="_Toc713" w:history="1">
        <w:r>
          <w:rPr>
            <w:rFonts w:ascii="IRNazanin" w:hAnsi="IRNazanin" w:eastAsia="IRNazanin" w:cs="IRNazanin"/>
            <w:color w:val="111111"/>
            <w:sz w:val="22"/>
            <w:szCs w:val="22"/>
            <w:b w:val="0"/>
            <w:bCs w:val="0"/>
            <w:i w:val="0"/>
            <w:iCs w:val="0"/>
          </w:rPr>
          <w:t>الاستعارة / معانی بیان / عربی</w:t>
        </w:r>
        <w:r>
          <w:tab/>
        </w:r>
        <w:r>
          <w:fldChar w:fldCharType="begin"/>
        </w:r>
        <w:r>
          <w:instrText xml:space="preserve">PAGEREF 713 \h</w:instrText>
        </w:r>
        <w:r>
          <w:fldChar w:fldCharType="end"/>
        </w:r>
      </w:hyperlink>
    </w:p>
    <w:p>
      <w:pPr>
        <w:tabs>
          <w:tab w:val="right" w:leader="dot" w:pos="9062"/>
        </w:tabs>
        <w:ind w:left="440"/>
      </w:pPr>
      <w:hyperlink w:anchor="_Toc714" w:history="1">
        <w:r>
          <w:rPr>
            <w:rFonts w:ascii="IRNazanin" w:hAnsi="IRNazanin" w:eastAsia="IRNazanin" w:cs="IRNazanin"/>
            <w:color w:val="111111"/>
            <w:sz w:val="22"/>
            <w:szCs w:val="22"/>
            <w:b w:val="0"/>
            <w:bCs w:val="0"/>
            <w:i w:val="0"/>
            <w:iCs w:val="0"/>
          </w:rPr>
          <w:t>الاستعارة و المجاز / معانی بیان / عربی</w:t>
        </w:r>
        <w:r>
          <w:tab/>
        </w:r>
        <w:r>
          <w:fldChar w:fldCharType="begin"/>
        </w:r>
        <w:r>
          <w:instrText xml:space="preserve">PAGEREF 714 \h</w:instrText>
        </w:r>
        <w:r>
          <w:fldChar w:fldCharType="end"/>
        </w:r>
      </w:hyperlink>
    </w:p>
    <w:p>
      <w:pPr>
        <w:tabs>
          <w:tab w:val="right" w:leader="dot" w:pos="9062"/>
        </w:tabs>
        <w:ind w:left="440"/>
      </w:pPr>
      <w:hyperlink w:anchor="_Toc715" w:history="1">
        <w:r>
          <w:rPr>
            <w:rFonts w:ascii="IRNazanin" w:hAnsi="IRNazanin" w:eastAsia="IRNazanin" w:cs="IRNazanin"/>
            <w:color w:val="111111"/>
            <w:sz w:val="22"/>
            <w:szCs w:val="22"/>
            <w:b w:val="0"/>
            <w:bCs w:val="0"/>
            <w:i w:val="0"/>
            <w:iCs w:val="0"/>
          </w:rPr>
          <w:t>الاستعلاء = معنى الاستعلاء (رسالة في) / عربي</w:t>
        </w:r>
        <w:r>
          <w:tab/>
        </w:r>
        <w:r>
          <w:fldChar w:fldCharType="begin"/>
        </w:r>
        <w:r>
          <w:instrText xml:space="preserve">PAGEREF 715 \h</w:instrText>
        </w:r>
        <w:r>
          <w:fldChar w:fldCharType="end"/>
        </w:r>
      </w:hyperlink>
    </w:p>
    <w:p>
      <w:pPr>
        <w:tabs>
          <w:tab w:val="right" w:leader="dot" w:pos="9062"/>
        </w:tabs>
        <w:ind w:left="440"/>
      </w:pPr>
      <w:hyperlink w:anchor="_Toc716" w:history="1">
        <w:r>
          <w:rPr>
            <w:rFonts w:ascii="IRNazanin" w:hAnsi="IRNazanin" w:eastAsia="IRNazanin" w:cs="IRNazanin"/>
            <w:color w:val="111111"/>
            <w:sz w:val="22"/>
            <w:szCs w:val="22"/>
            <w:b w:val="0"/>
            <w:bCs w:val="0"/>
            <w:i w:val="0"/>
            <w:iCs w:val="0"/>
          </w:rPr>
          <w:t>استعلام درجه حرارت / طب / فارسی</w:t>
        </w:r>
        <w:r>
          <w:tab/>
        </w:r>
        <w:r>
          <w:fldChar w:fldCharType="begin"/>
        </w:r>
        <w:r>
          <w:instrText xml:space="preserve">PAGEREF 716 \h</w:instrText>
        </w:r>
        <w:r>
          <w:fldChar w:fldCharType="end"/>
        </w:r>
      </w:hyperlink>
    </w:p>
    <w:p>
      <w:pPr>
        <w:tabs>
          <w:tab w:val="right" w:leader="dot" w:pos="9062"/>
        </w:tabs>
        <w:ind w:left="440"/>
      </w:pPr>
      <w:hyperlink w:anchor="_Toc717" w:history="1">
        <w:r>
          <w:rPr>
            <w:rFonts w:ascii="IRNazanin" w:hAnsi="IRNazanin" w:eastAsia="IRNazanin" w:cs="IRNazanin"/>
            <w:color w:val="111111"/>
            <w:sz w:val="22"/>
            <w:szCs w:val="22"/>
            <w:b w:val="0"/>
            <w:bCs w:val="0"/>
            <w:i w:val="0"/>
            <w:iCs w:val="0"/>
          </w:rPr>
          <w:t>استعلام طريق الصدوق / رجال / عربي</w:t>
        </w:r>
        <w:r>
          <w:tab/>
        </w:r>
        <w:r>
          <w:fldChar w:fldCharType="begin"/>
        </w:r>
        <w:r>
          <w:instrText xml:space="preserve">PAGEREF 717 \h</w:instrText>
        </w:r>
        <w:r>
          <w:fldChar w:fldCharType="end"/>
        </w:r>
      </w:hyperlink>
    </w:p>
    <w:p>
      <w:pPr>
        <w:tabs>
          <w:tab w:val="right" w:leader="dot" w:pos="9062"/>
        </w:tabs>
        <w:ind w:left="440"/>
      </w:pPr>
      <w:hyperlink w:anchor="_Toc718" w:history="1">
        <w:r>
          <w:rPr>
            <w:rFonts w:ascii="IRNazanin" w:hAnsi="IRNazanin" w:eastAsia="IRNazanin" w:cs="IRNazanin"/>
            <w:color w:val="111111"/>
            <w:sz w:val="22"/>
            <w:szCs w:val="22"/>
            <w:b w:val="0"/>
            <w:bCs w:val="0"/>
            <w:i w:val="0"/>
            <w:iCs w:val="0"/>
          </w:rPr>
          <w:t>استعلام مقادیر مجهوله نظر به مقادیر معلومه /  ریاضیات / فارسی</w:t>
        </w:r>
        <w:r>
          <w:tab/>
        </w:r>
        <w:r>
          <w:fldChar w:fldCharType="begin"/>
        </w:r>
        <w:r>
          <w:instrText xml:space="preserve">PAGEREF 718 \h</w:instrText>
        </w:r>
        <w:r>
          <w:fldChar w:fldCharType="end"/>
        </w:r>
      </w:hyperlink>
    </w:p>
    <w:p>
      <w:pPr>
        <w:tabs>
          <w:tab w:val="right" w:leader="dot" w:pos="9062"/>
        </w:tabs>
        <w:ind w:left="440"/>
      </w:pPr>
      <w:hyperlink w:anchor="_Toc719" w:history="1">
        <w:r>
          <w:rPr>
            <w:rFonts w:ascii="IRNazanin" w:hAnsi="IRNazanin" w:eastAsia="IRNazanin" w:cs="IRNazanin"/>
            <w:color w:val="111111"/>
            <w:sz w:val="22"/>
            <w:szCs w:val="22"/>
            <w:b w:val="0"/>
            <w:bCs w:val="0"/>
            <w:i w:val="0"/>
            <w:iCs w:val="0"/>
          </w:rPr>
          <w:t>استعمالات حروف تهجی / ادبیات / فارسی</w:t>
        </w:r>
        <w:r>
          <w:tab/>
        </w:r>
        <w:r>
          <w:fldChar w:fldCharType="begin"/>
        </w:r>
        <w:r>
          <w:instrText xml:space="preserve">PAGEREF 719 \h</w:instrText>
        </w:r>
        <w:r>
          <w:fldChar w:fldCharType="end"/>
        </w:r>
      </w:hyperlink>
    </w:p>
    <w:p>
      <w:pPr>
        <w:tabs>
          <w:tab w:val="right" w:leader="dot" w:pos="9062"/>
        </w:tabs>
        <w:ind w:left="440"/>
      </w:pPr>
      <w:hyperlink w:anchor="_Toc720" w:history="1">
        <w:r>
          <w:rPr>
            <w:rFonts w:ascii="IRNazanin" w:hAnsi="IRNazanin" w:eastAsia="IRNazanin" w:cs="IRNazanin"/>
            <w:color w:val="111111"/>
            <w:sz w:val="22"/>
            <w:szCs w:val="22"/>
            <w:b w:val="0"/>
            <w:bCs w:val="0"/>
            <w:i w:val="0"/>
            <w:iCs w:val="0"/>
          </w:rPr>
          <w:t>استعمال اسباب نی ود / طبیعیات / فارسی</w:t>
        </w:r>
        <w:r>
          <w:tab/>
        </w:r>
        <w:r>
          <w:fldChar w:fldCharType="begin"/>
        </w:r>
        <w:r>
          <w:instrText xml:space="preserve">PAGEREF 720 \h</w:instrText>
        </w:r>
        <w:r>
          <w:fldChar w:fldCharType="end"/>
        </w:r>
      </w:hyperlink>
    </w:p>
    <w:p>
      <w:pPr>
        <w:tabs>
          <w:tab w:val="right" w:leader="dot" w:pos="9062"/>
        </w:tabs>
        <w:ind w:left="440"/>
      </w:pPr>
      <w:hyperlink w:anchor="_Toc721" w:history="1">
        <w:r>
          <w:rPr>
            <w:rFonts w:ascii="IRNazanin" w:hAnsi="IRNazanin" w:eastAsia="IRNazanin" w:cs="IRNazanin"/>
            <w:color w:val="111111"/>
            <w:sz w:val="22"/>
            <w:szCs w:val="22"/>
            <w:b w:val="0"/>
            <w:bCs w:val="0"/>
            <w:i w:val="0"/>
            <w:iCs w:val="0"/>
          </w:rPr>
          <w:t>استعمال الاسطرلاب / اسطرلاب - عربی</w:t>
        </w:r>
        <w:r>
          <w:tab/>
        </w:r>
        <w:r>
          <w:fldChar w:fldCharType="begin"/>
        </w:r>
        <w:r>
          <w:instrText xml:space="preserve">PAGEREF 721 \h</w:instrText>
        </w:r>
        <w:r>
          <w:fldChar w:fldCharType="end"/>
        </w:r>
      </w:hyperlink>
    </w:p>
    <w:p>
      <w:pPr>
        <w:tabs>
          <w:tab w:val="right" w:leader="dot" w:pos="9062"/>
        </w:tabs>
        <w:ind w:left="440"/>
      </w:pPr>
      <w:hyperlink w:anchor="_Toc722" w:history="1">
        <w:r>
          <w:rPr>
            <w:rFonts w:ascii="IRNazanin" w:hAnsi="IRNazanin" w:eastAsia="IRNazanin" w:cs="IRNazanin"/>
            <w:color w:val="111111"/>
            <w:sz w:val="22"/>
            <w:szCs w:val="22"/>
            <w:b w:val="0"/>
            <w:bCs w:val="0"/>
            <w:i w:val="0"/>
            <w:iCs w:val="0"/>
          </w:rPr>
          <w:t>استعمال السعوط للصائم / فقه / عربي</w:t>
        </w:r>
        <w:r>
          <w:tab/>
        </w:r>
        <w:r>
          <w:fldChar w:fldCharType="begin"/>
        </w:r>
        <w:r>
          <w:instrText xml:space="preserve">PAGEREF 722 \h</w:instrText>
        </w:r>
        <w:r>
          <w:fldChar w:fldCharType="end"/>
        </w:r>
      </w:hyperlink>
    </w:p>
    <w:p>
      <w:pPr>
        <w:tabs>
          <w:tab w:val="right" w:leader="dot" w:pos="9062"/>
        </w:tabs>
        <w:ind w:left="440"/>
      </w:pPr>
      <w:hyperlink w:anchor="_Toc723" w:history="1">
        <w:r>
          <w:rPr>
            <w:rFonts w:ascii="IRNazanin" w:hAnsi="IRNazanin" w:eastAsia="IRNazanin" w:cs="IRNazanin"/>
            <w:color w:val="111111"/>
            <w:sz w:val="22"/>
            <w:szCs w:val="22"/>
            <w:b w:val="0"/>
            <w:bCs w:val="0"/>
            <w:i w:val="0"/>
            <w:iCs w:val="0"/>
          </w:rPr>
          <w:t>استعمال العلم / عرفان و تصوف</w:t>
        </w:r>
        <w:r>
          <w:tab/>
        </w:r>
        <w:r>
          <w:fldChar w:fldCharType="begin"/>
        </w:r>
        <w:r>
          <w:instrText xml:space="preserve">PAGEREF 723 \h</w:instrText>
        </w:r>
        <w:r>
          <w:fldChar w:fldCharType="end"/>
        </w:r>
      </w:hyperlink>
    </w:p>
    <w:p>
      <w:pPr>
        <w:tabs>
          <w:tab w:val="right" w:leader="dot" w:pos="9062"/>
        </w:tabs>
        <w:ind w:left="440"/>
      </w:pPr>
      <w:hyperlink w:anchor="_Toc724" w:history="1">
        <w:r>
          <w:rPr>
            <w:rFonts w:ascii="IRNazanin" w:hAnsi="IRNazanin" w:eastAsia="IRNazanin" w:cs="IRNazanin"/>
            <w:color w:val="111111"/>
            <w:sz w:val="22"/>
            <w:szCs w:val="22"/>
            <w:b w:val="0"/>
            <w:bCs w:val="0"/>
            <w:i w:val="0"/>
            <w:iCs w:val="0"/>
          </w:rPr>
          <w:t>استعمال اللفظ المشترک / فقه و اصول / عربی</w:t>
        </w:r>
        <w:r>
          <w:tab/>
        </w:r>
        <w:r>
          <w:fldChar w:fldCharType="begin"/>
        </w:r>
        <w:r>
          <w:instrText xml:space="preserve">PAGEREF 724 \h</w:instrText>
        </w:r>
        <w:r>
          <w:fldChar w:fldCharType="end"/>
        </w:r>
      </w:hyperlink>
    </w:p>
    <w:p>
      <w:pPr>
        <w:tabs>
          <w:tab w:val="right" w:leader="dot" w:pos="9062"/>
        </w:tabs>
        <w:ind w:left="440"/>
      </w:pPr>
      <w:hyperlink w:anchor="_Toc725" w:history="1">
        <w:r>
          <w:rPr>
            <w:rFonts w:ascii="IRNazanin" w:hAnsi="IRNazanin" w:eastAsia="IRNazanin" w:cs="IRNazanin"/>
            <w:color w:val="111111"/>
            <w:sz w:val="22"/>
            <w:szCs w:val="22"/>
            <w:b w:val="0"/>
            <w:bCs w:val="0"/>
            <w:i w:val="0"/>
            <w:iCs w:val="0"/>
          </w:rPr>
          <w:t>استعمال ساعتهای طلا و نقره / فقه / فارسی</w:t>
        </w:r>
        <w:r>
          <w:tab/>
        </w:r>
        <w:r>
          <w:fldChar w:fldCharType="begin"/>
        </w:r>
        <w:r>
          <w:instrText xml:space="preserve">PAGEREF 725 \h</w:instrText>
        </w:r>
        <w:r>
          <w:fldChar w:fldCharType="end"/>
        </w:r>
      </w:hyperlink>
    </w:p>
    <w:p>
      <w:pPr>
        <w:tabs>
          <w:tab w:val="right" w:leader="dot" w:pos="9062"/>
        </w:tabs>
        <w:ind w:left="440"/>
      </w:pPr>
      <w:hyperlink w:anchor="_Toc726" w:history="1">
        <w:r>
          <w:rPr>
            <w:rFonts w:ascii="IRNazanin" w:hAnsi="IRNazanin" w:eastAsia="IRNazanin" w:cs="IRNazanin"/>
            <w:color w:val="111111"/>
            <w:sz w:val="22"/>
            <w:szCs w:val="22"/>
            <w:b w:val="0"/>
            <w:bCs w:val="0"/>
            <w:i w:val="0"/>
            <w:iCs w:val="0"/>
          </w:rPr>
          <w:t>استعمال مشترک در اکثر از یک معنا / اصول فقه / عربی</w:t>
        </w:r>
        <w:r>
          <w:tab/>
        </w:r>
        <w:r>
          <w:fldChar w:fldCharType="begin"/>
        </w:r>
        <w:r>
          <w:instrText xml:space="preserve">PAGEREF 726 \h</w:instrText>
        </w:r>
        <w:r>
          <w:fldChar w:fldCharType="end"/>
        </w:r>
      </w:hyperlink>
    </w:p>
    <w:p>
      <w:pPr>
        <w:tabs>
          <w:tab w:val="right" w:leader="dot" w:pos="9062"/>
        </w:tabs>
        <w:ind w:left="440"/>
      </w:pPr>
      <w:hyperlink w:anchor="_Toc727" w:history="1">
        <w:r>
          <w:rPr>
            <w:rFonts w:ascii="IRNazanin" w:hAnsi="IRNazanin" w:eastAsia="IRNazanin" w:cs="IRNazanin"/>
            <w:color w:val="111111"/>
            <w:sz w:val="22"/>
            <w:szCs w:val="22"/>
            <w:b w:val="0"/>
            <w:bCs w:val="0"/>
            <w:i w:val="0"/>
            <w:iCs w:val="0"/>
          </w:rPr>
          <w:t>الاستغاثة / مواعظ / عربي</w:t>
        </w:r>
        <w:r>
          <w:tab/>
        </w:r>
        <w:r>
          <w:fldChar w:fldCharType="begin"/>
        </w:r>
        <w:r>
          <w:instrText xml:space="preserve">PAGEREF 727 \h</w:instrText>
        </w:r>
        <w:r>
          <w:fldChar w:fldCharType="end"/>
        </w:r>
      </w:hyperlink>
    </w:p>
    <w:p>
      <w:pPr>
        <w:tabs>
          <w:tab w:val="right" w:leader="dot" w:pos="9062"/>
        </w:tabs>
        <w:ind w:left="440"/>
      </w:pPr>
      <w:hyperlink w:anchor="_Toc728" w:history="1">
        <w:r>
          <w:rPr>
            <w:rFonts w:ascii="IRNazanin" w:hAnsi="IRNazanin" w:eastAsia="IRNazanin" w:cs="IRNazanin"/>
            <w:color w:val="111111"/>
            <w:sz w:val="22"/>
            <w:szCs w:val="22"/>
            <w:b w:val="0"/>
            <w:bCs w:val="0"/>
            <w:i w:val="0"/>
            <w:iCs w:val="0"/>
          </w:rPr>
          <w:t>الاستغاثة الى المهدى / دعا / عربي</w:t>
        </w:r>
        <w:r>
          <w:tab/>
        </w:r>
        <w:r>
          <w:fldChar w:fldCharType="begin"/>
        </w:r>
        <w:r>
          <w:instrText xml:space="preserve">PAGEREF 728 \h</w:instrText>
        </w:r>
        <w:r>
          <w:fldChar w:fldCharType="end"/>
        </w:r>
      </w:hyperlink>
    </w:p>
    <w:p>
      <w:pPr>
        <w:tabs>
          <w:tab w:val="right" w:leader="dot" w:pos="9062"/>
        </w:tabs>
        <w:ind w:left="440"/>
      </w:pPr>
      <w:hyperlink w:anchor="_Toc729" w:history="1">
        <w:r>
          <w:rPr>
            <w:rFonts w:ascii="IRNazanin" w:hAnsi="IRNazanin" w:eastAsia="IRNazanin" w:cs="IRNazanin"/>
            <w:color w:val="111111"/>
            <w:sz w:val="22"/>
            <w:szCs w:val="22"/>
            <w:b w:val="0"/>
            <w:bCs w:val="0"/>
            <w:i w:val="0"/>
            <w:iCs w:val="0"/>
          </w:rPr>
          <w:t>الاستغاثة فى بدع الثلاثة = كتاب البدع = البدع  المحدثة = الاغاثة / كلام و اعتقادات / عربی</w:t>
        </w:r>
        <w:r>
          <w:tab/>
        </w:r>
        <w:r>
          <w:fldChar w:fldCharType="begin"/>
        </w:r>
        <w:r>
          <w:instrText xml:space="preserve">PAGEREF 729 \h</w:instrText>
        </w:r>
        <w:r>
          <w:fldChar w:fldCharType="end"/>
        </w:r>
      </w:hyperlink>
    </w:p>
    <w:p>
      <w:pPr>
        <w:tabs>
          <w:tab w:val="right" w:leader="dot" w:pos="9062"/>
        </w:tabs>
        <w:ind w:left="440"/>
      </w:pPr>
      <w:hyperlink w:anchor="_Toc730" w:history="1">
        <w:r>
          <w:rPr>
            <w:rFonts w:ascii="IRNazanin" w:hAnsi="IRNazanin" w:eastAsia="IRNazanin" w:cs="IRNazanin"/>
            <w:color w:val="111111"/>
            <w:sz w:val="22"/>
            <w:szCs w:val="22"/>
            <w:b w:val="0"/>
            <w:bCs w:val="0"/>
            <w:i w:val="0"/>
            <w:iCs w:val="0"/>
          </w:rPr>
          <w:t>الاستغفارات / عربي</w:t>
        </w:r>
        <w:r>
          <w:tab/>
        </w:r>
        <w:r>
          <w:fldChar w:fldCharType="begin"/>
        </w:r>
        <w:r>
          <w:instrText xml:space="preserve">PAGEREF 730 \h</w:instrText>
        </w:r>
        <w:r>
          <w:fldChar w:fldCharType="end"/>
        </w:r>
      </w:hyperlink>
    </w:p>
    <w:p>
      <w:pPr>
        <w:tabs>
          <w:tab w:val="right" w:leader="dot" w:pos="9062"/>
        </w:tabs>
        <w:ind w:left="440"/>
      </w:pPr>
      <w:hyperlink w:anchor="_Toc731" w:history="1">
        <w:r>
          <w:rPr>
            <w:rFonts w:ascii="IRNazanin" w:hAnsi="IRNazanin" w:eastAsia="IRNazanin" w:cs="IRNazanin"/>
            <w:color w:val="111111"/>
            <w:sz w:val="22"/>
            <w:szCs w:val="22"/>
            <w:b w:val="0"/>
            <w:bCs w:val="0"/>
            <w:i w:val="0"/>
            <w:iCs w:val="0"/>
          </w:rPr>
          <w:t>استغفار (منظوم) / فقه / فارسی</w:t>
        </w:r>
        <w:r>
          <w:tab/>
        </w:r>
        <w:r>
          <w:fldChar w:fldCharType="begin"/>
        </w:r>
        <w:r>
          <w:instrText xml:space="preserve">PAGEREF 731 \h</w:instrText>
        </w:r>
        <w:r>
          <w:fldChar w:fldCharType="end"/>
        </w:r>
      </w:hyperlink>
    </w:p>
    <w:p>
      <w:pPr>
        <w:tabs>
          <w:tab w:val="right" w:leader="dot" w:pos="9062"/>
        </w:tabs>
        <w:ind w:left="440"/>
      </w:pPr>
      <w:hyperlink w:anchor="_Toc732" w:history="1">
        <w:r>
          <w:rPr>
            <w:rFonts w:ascii="IRNazanin" w:hAnsi="IRNazanin" w:eastAsia="IRNazanin" w:cs="IRNazanin"/>
            <w:color w:val="111111"/>
            <w:sz w:val="22"/>
            <w:szCs w:val="22"/>
            <w:b w:val="0"/>
            <w:bCs w:val="0"/>
            <w:i w:val="0"/>
            <w:iCs w:val="0"/>
          </w:rPr>
          <w:t>استغفار نامه / متفرقه / عربی</w:t>
        </w:r>
        <w:r>
          <w:tab/>
        </w:r>
        <w:r>
          <w:fldChar w:fldCharType="begin"/>
        </w:r>
        <w:r>
          <w:instrText xml:space="preserve">PAGEREF 732 \h</w:instrText>
        </w:r>
        <w:r>
          <w:fldChar w:fldCharType="end"/>
        </w:r>
      </w:hyperlink>
    </w:p>
    <w:p>
      <w:pPr>
        <w:tabs>
          <w:tab w:val="right" w:leader="dot" w:pos="9062"/>
        </w:tabs>
        <w:ind w:left="440"/>
      </w:pPr>
      <w:hyperlink w:anchor="_Toc733" w:history="1">
        <w:r>
          <w:rPr>
            <w:rFonts w:ascii="IRNazanin" w:hAnsi="IRNazanin" w:eastAsia="IRNazanin" w:cs="IRNazanin"/>
            <w:color w:val="111111"/>
            <w:sz w:val="22"/>
            <w:szCs w:val="22"/>
            <w:b w:val="0"/>
            <w:bCs w:val="0"/>
            <w:i w:val="0"/>
            <w:iCs w:val="0"/>
          </w:rPr>
          <w:t>استغفار نامه و مناجات نامه / شعر / فارسی</w:t>
        </w:r>
        <w:r>
          <w:tab/>
        </w:r>
        <w:r>
          <w:fldChar w:fldCharType="begin"/>
        </w:r>
        <w:r>
          <w:instrText xml:space="preserve">PAGEREF 733 \h</w:instrText>
        </w:r>
        <w:r>
          <w:fldChar w:fldCharType="end"/>
        </w:r>
      </w:hyperlink>
    </w:p>
    <w:p>
      <w:pPr>
        <w:tabs>
          <w:tab w:val="right" w:leader="dot" w:pos="9062"/>
        </w:tabs>
        <w:ind w:left="440"/>
      </w:pPr>
      <w:hyperlink w:anchor="_Toc734" w:history="1">
        <w:r>
          <w:rPr>
            <w:rFonts w:ascii="IRNazanin" w:hAnsi="IRNazanin" w:eastAsia="IRNazanin" w:cs="IRNazanin"/>
            <w:color w:val="111111"/>
            <w:sz w:val="22"/>
            <w:szCs w:val="22"/>
            <w:b w:val="0"/>
            <w:bCs w:val="0"/>
            <w:i w:val="0"/>
            <w:iCs w:val="0"/>
          </w:rPr>
          <w:t>الاستغناء في علوم الدین / تفسیر / عربی</w:t>
        </w:r>
        <w:r>
          <w:tab/>
        </w:r>
        <w:r>
          <w:fldChar w:fldCharType="begin"/>
        </w:r>
        <w:r>
          <w:instrText xml:space="preserve">PAGEREF 734 \h</w:instrText>
        </w:r>
        <w:r>
          <w:fldChar w:fldCharType="end"/>
        </w:r>
      </w:hyperlink>
    </w:p>
    <w:p>
      <w:pPr>
        <w:tabs>
          <w:tab w:val="right" w:leader="dot" w:pos="9062"/>
        </w:tabs>
        <w:ind w:left="440"/>
      </w:pPr>
      <w:hyperlink w:anchor="_Toc735" w:history="1">
        <w:r>
          <w:rPr>
            <w:rFonts w:ascii="IRNazanin" w:hAnsi="IRNazanin" w:eastAsia="IRNazanin" w:cs="IRNazanin"/>
            <w:color w:val="111111"/>
            <w:sz w:val="22"/>
            <w:szCs w:val="22"/>
            <w:b w:val="0"/>
            <w:bCs w:val="0"/>
            <w:i w:val="0"/>
            <w:iCs w:val="0"/>
          </w:rPr>
          <w:t>استفاده از ماء مبارک / متفرقه</w:t>
        </w:r>
        <w:r>
          <w:tab/>
        </w:r>
        <w:r>
          <w:fldChar w:fldCharType="begin"/>
        </w:r>
        <w:r>
          <w:instrText xml:space="preserve">PAGEREF 735 \h</w:instrText>
        </w:r>
        <w:r>
          <w:fldChar w:fldCharType="end"/>
        </w:r>
      </w:hyperlink>
    </w:p>
    <w:p>
      <w:pPr>
        <w:tabs>
          <w:tab w:val="right" w:leader="dot" w:pos="9062"/>
        </w:tabs>
        <w:ind w:left="440"/>
      </w:pPr>
      <w:hyperlink w:anchor="_Toc736" w:history="1">
        <w:r>
          <w:rPr>
            <w:rFonts w:ascii="IRNazanin" w:hAnsi="IRNazanin" w:eastAsia="IRNazanin" w:cs="IRNazanin"/>
            <w:color w:val="111111"/>
            <w:sz w:val="22"/>
            <w:szCs w:val="22"/>
            <w:b w:val="0"/>
            <w:bCs w:val="0"/>
            <w:i w:val="0"/>
            <w:iCs w:val="0"/>
          </w:rPr>
          <w:t>الاستفاضة / اصول فقه عربی</w:t>
        </w:r>
        <w:r>
          <w:tab/>
        </w:r>
        <w:r>
          <w:fldChar w:fldCharType="begin"/>
        </w:r>
        <w:r>
          <w:instrText xml:space="preserve">PAGEREF 736 \h</w:instrText>
        </w:r>
        <w:r>
          <w:fldChar w:fldCharType="end"/>
        </w:r>
      </w:hyperlink>
    </w:p>
    <w:p>
      <w:pPr>
        <w:tabs>
          <w:tab w:val="right" w:leader="dot" w:pos="9062"/>
        </w:tabs>
        <w:ind w:left="440"/>
      </w:pPr>
      <w:hyperlink w:anchor="_Toc737" w:history="1">
        <w:r>
          <w:rPr>
            <w:rFonts w:ascii="IRNazanin" w:hAnsi="IRNazanin" w:eastAsia="IRNazanin" w:cs="IRNazanin"/>
            <w:color w:val="111111"/>
            <w:sz w:val="22"/>
            <w:szCs w:val="22"/>
            <w:b w:val="0"/>
            <w:bCs w:val="0"/>
            <w:i w:val="0"/>
            <w:iCs w:val="0"/>
          </w:rPr>
          <w:t>استفتاء / فقه / عربی</w:t>
        </w:r>
        <w:r>
          <w:tab/>
        </w:r>
        <w:r>
          <w:fldChar w:fldCharType="begin"/>
        </w:r>
        <w:r>
          <w:instrText xml:space="preserve">PAGEREF 737 \h</w:instrText>
        </w:r>
        <w:r>
          <w:fldChar w:fldCharType="end"/>
        </w:r>
      </w:hyperlink>
    </w:p>
    <w:p>
      <w:pPr>
        <w:tabs>
          <w:tab w:val="right" w:leader="dot" w:pos="9062"/>
        </w:tabs>
        <w:ind w:left="440"/>
      </w:pPr>
      <w:hyperlink w:anchor="_Toc738" w:history="1">
        <w:r>
          <w:rPr>
            <w:rFonts w:ascii="IRNazanin" w:hAnsi="IRNazanin" w:eastAsia="IRNazanin" w:cs="IRNazanin"/>
            <w:color w:val="111111"/>
            <w:sz w:val="22"/>
            <w:szCs w:val="22"/>
            <w:b w:val="0"/>
            <w:bCs w:val="0"/>
            <w:i w:val="0"/>
            <w:iCs w:val="0"/>
          </w:rPr>
          <w:t>استفتاء از ابوالسعود افندی درباره قتل طایفه قزل باش / فقه / ترکی</w:t>
        </w:r>
        <w:r>
          <w:tab/>
        </w:r>
        <w:r>
          <w:fldChar w:fldCharType="begin"/>
        </w:r>
        <w:r>
          <w:instrText xml:space="preserve">PAGEREF 738 \h</w:instrText>
        </w:r>
        <w:r>
          <w:fldChar w:fldCharType="end"/>
        </w:r>
      </w:hyperlink>
    </w:p>
    <w:p>
      <w:pPr>
        <w:tabs>
          <w:tab w:val="right" w:leader="dot" w:pos="9062"/>
        </w:tabs>
        <w:ind w:left="440"/>
      </w:pPr>
      <w:hyperlink w:anchor="_Toc739" w:history="1">
        <w:r>
          <w:rPr>
            <w:rFonts w:ascii="IRNazanin" w:hAnsi="IRNazanin" w:eastAsia="IRNazanin" w:cs="IRNazanin"/>
            <w:color w:val="111111"/>
            <w:sz w:val="22"/>
            <w:szCs w:val="22"/>
            <w:b w:val="0"/>
            <w:bCs w:val="0"/>
            <w:i w:val="0"/>
            <w:iCs w:val="0"/>
          </w:rPr>
          <w:t>استفتاء من  فضلاء نیشابور / ادبیات / عربی</w:t>
        </w:r>
        <w:r>
          <w:tab/>
        </w:r>
        <w:r>
          <w:fldChar w:fldCharType="begin"/>
        </w:r>
        <w:r>
          <w:instrText xml:space="preserve">PAGEREF 739 \h</w:instrText>
        </w:r>
        <w:r>
          <w:fldChar w:fldCharType="end"/>
        </w:r>
      </w:hyperlink>
    </w:p>
    <w:p>
      <w:pPr>
        <w:tabs>
          <w:tab w:val="right" w:leader="dot" w:pos="9062"/>
        </w:tabs>
        <w:ind w:left="440"/>
      </w:pPr>
      <w:hyperlink w:anchor="_Toc740" w:history="1">
        <w:r>
          <w:rPr>
            <w:rFonts w:ascii="IRNazanin" w:hAnsi="IRNazanin" w:eastAsia="IRNazanin" w:cs="IRNazanin"/>
            <w:color w:val="111111"/>
            <w:sz w:val="22"/>
            <w:szCs w:val="22"/>
            <w:b w:val="0"/>
            <w:bCs w:val="0"/>
            <w:i w:val="0"/>
            <w:iCs w:val="0"/>
          </w:rPr>
          <w:t>استفتاء من فضلاء نیشابور / ادبیات / عربی</w:t>
        </w:r>
        <w:r>
          <w:tab/>
        </w:r>
        <w:r>
          <w:fldChar w:fldCharType="begin"/>
        </w:r>
        <w:r>
          <w:instrText xml:space="preserve">PAGEREF 740 \h</w:instrText>
        </w:r>
        <w:r>
          <w:fldChar w:fldCharType="end"/>
        </w:r>
      </w:hyperlink>
    </w:p>
    <w:p>
      <w:pPr>
        <w:tabs>
          <w:tab w:val="right" w:leader="dot" w:pos="9062"/>
        </w:tabs>
        <w:ind w:left="440"/>
      </w:pPr>
      <w:hyperlink w:anchor="_Toc741" w:history="1">
        <w:r>
          <w:rPr>
            <w:rFonts w:ascii="IRNazanin" w:hAnsi="IRNazanin" w:eastAsia="IRNazanin" w:cs="IRNazanin"/>
            <w:color w:val="111111"/>
            <w:sz w:val="22"/>
            <w:szCs w:val="22"/>
            <w:b w:val="0"/>
            <w:bCs w:val="0"/>
            <w:i w:val="0"/>
            <w:iCs w:val="0"/>
          </w:rPr>
          <w:t>الاستفتاء و الجواب / فقه / عربی</w:t>
        </w:r>
        <w:r>
          <w:tab/>
        </w:r>
        <w:r>
          <w:fldChar w:fldCharType="begin"/>
        </w:r>
        <w:r>
          <w:instrText xml:space="preserve">PAGEREF 741 \h</w:instrText>
        </w:r>
        <w:r>
          <w:fldChar w:fldCharType="end"/>
        </w:r>
      </w:hyperlink>
    </w:p>
    <w:p>
      <w:pPr>
        <w:tabs>
          <w:tab w:val="right" w:leader="dot" w:pos="9062"/>
        </w:tabs>
        <w:ind w:left="440"/>
      </w:pPr>
      <w:hyperlink w:anchor="_Toc742" w:history="1">
        <w:r>
          <w:rPr>
            <w:rFonts w:ascii="IRNazanin" w:hAnsi="IRNazanin" w:eastAsia="IRNazanin" w:cs="IRNazanin"/>
            <w:color w:val="111111"/>
            <w:sz w:val="22"/>
            <w:szCs w:val="22"/>
            <w:b w:val="0"/>
            <w:bCs w:val="0"/>
            <w:i w:val="0"/>
            <w:iCs w:val="0"/>
          </w:rPr>
          <w:t>استفتائات / پاسخ پرسش ها / عربی</w:t>
        </w:r>
        <w:r>
          <w:tab/>
        </w:r>
        <w:r>
          <w:fldChar w:fldCharType="begin"/>
        </w:r>
        <w:r>
          <w:instrText xml:space="preserve">PAGEREF 742 \h</w:instrText>
        </w:r>
        <w:r>
          <w:fldChar w:fldCharType="end"/>
        </w:r>
      </w:hyperlink>
    </w:p>
    <w:p>
      <w:pPr>
        <w:tabs>
          <w:tab w:val="right" w:leader="dot" w:pos="9062"/>
        </w:tabs>
        <w:ind w:left="440"/>
      </w:pPr>
      <w:hyperlink w:anchor="_Toc743" w:history="1">
        <w:r>
          <w:rPr>
            <w:rFonts w:ascii="IRNazanin" w:hAnsi="IRNazanin" w:eastAsia="IRNazanin" w:cs="IRNazanin"/>
            <w:color w:val="111111"/>
            <w:sz w:val="22"/>
            <w:szCs w:val="22"/>
            <w:b w:val="0"/>
            <w:bCs w:val="0"/>
            <w:i w:val="0"/>
            <w:iCs w:val="0"/>
          </w:rPr>
          <w:t>استفتائات / فقه / ترکی</w:t>
        </w:r>
        <w:r>
          <w:tab/>
        </w:r>
        <w:r>
          <w:fldChar w:fldCharType="begin"/>
        </w:r>
        <w:r>
          <w:instrText xml:space="preserve">PAGEREF 743 \h</w:instrText>
        </w:r>
        <w:r>
          <w:fldChar w:fldCharType="end"/>
        </w:r>
      </w:hyperlink>
    </w:p>
    <w:p>
      <w:pPr>
        <w:tabs>
          <w:tab w:val="right" w:leader="dot" w:pos="9062"/>
        </w:tabs>
        <w:ind w:left="440"/>
      </w:pPr>
      <w:hyperlink w:anchor="_Toc744" w:history="1">
        <w:r>
          <w:rPr>
            <w:rFonts w:ascii="IRNazanin" w:hAnsi="IRNazanin" w:eastAsia="IRNazanin" w:cs="IRNazanin"/>
            <w:color w:val="111111"/>
            <w:sz w:val="22"/>
            <w:szCs w:val="22"/>
            <w:b w:val="0"/>
            <w:bCs w:val="0"/>
            <w:i w:val="0"/>
            <w:iCs w:val="0"/>
          </w:rPr>
          <w:t>استفتائات علامه مجلسی = فتاوای فقهی = سؤال  و جواب / فقه / فارسی</w:t>
        </w:r>
        <w:r>
          <w:tab/>
        </w:r>
        <w:r>
          <w:fldChar w:fldCharType="begin"/>
        </w:r>
        <w:r>
          <w:instrText xml:space="preserve">PAGEREF 744 \h</w:instrText>
        </w:r>
        <w:r>
          <w:fldChar w:fldCharType="end"/>
        </w:r>
      </w:hyperlink>
    </w:p>
    <w:p>
      <w:pPr>
        <w:tabs>
          <w:tab w:val="right" w:leader="dot" w:pos="9062"/>
        </w:tabs>
        <w:ind w:left="440"/>
      </w:pPr>
      <w:hyperlink w:anchor="_Toc745" w:history="1">
        <w:r>
          <w:rPr>
            <w:rFonts w:ascii="IRNazanin" w:hAnsi="IRNazanin" w:eastAsia="IRNazanin" w:cs="IRNazanin"/>
            <w:color w:val="111111"/>
            <w:sz w:val="22"/>
            <w:szCs w:val="22"/>
            <w:b w:val="0"/>
            <w:bCs w:val="0"/>
            <w:i w:val="0"/>
            <w:iCs w:val="0"/>
          </w:rPr>
          <w:t>استفتائات فقهی / فقه / ترکی و عربی</w:t>
        </w:r>
        <w:r>
          <w:tab/>
        </w:r>
        <w:r>
          <w:fldChar w:fldCharType="begin"/>
        </w:r>
        <w:r>
          <w:instrText xml:space="preserve">PAGEREF 745 \h</w:instrText>
        </w:r>
        <w:r>
          <w:fldChar w:fldCharType="end"/>
        </w:r>
      </w:hyperlink>
    </w:p>
    <w:p>
      <w:pPr>
        <w:tabs>
          <w:tab w:val="right" w:leader="dot" w:pos="9062"/>
        </w:tabs>
        <w:ind w:left="440"/>
      </w:pPr>
      <w:hyperlink w:anchor="_Toc746" w:history="1">
        <w:r>
          <w:rPr>
            <w:rFonts w:ascii="IRNazanin" w:hAnsi="IRNazanin" w:eastAsia="IRNazanin" w:cs="IRNazanin"/>
            <w:color w:val="111111"/>
            <w:sz w:val="22"/>
            <w:szCs w:val="22"/>
            <w:b w:val="0"/>
            <w:bCs w:val="0"/>
            <w:i w:val="0"/>
            <w:iCs w:val="0"/>
          </w:rPr>
          <w:t>استفسار / امامت / فارسی</w:t>
        </w:r>
        <w:r>
          <w:tab/>
        </w:r>
        <w:r>
          <w:fldChar w:fldCharType="begin"/>
        </w:r>
        <w:r>
          <w:instrText xml:space="preserve">PAGEREF 746 \h</w:instrText>
        </w:r>
        <w:r>
          <w:fldChar w:fldCharType="end"/>
        </w:r>
      </w:hyperlink>
    </w:p>
    <w:p>
      <w:pPr>
        <w:tabs>
          <w:tab w:val="right" w:leader="dot" w:pos="9062"/>
        </w:tabs>
        <w:ind w:left="440"/>
      </w:pPr>
      <w:hyperlink w:anchor="_Toc747" w:history="1">
        <w:r>
          <w:rPr>
            <w:rFonts w:ascii="IRNazanin" w:hAnsi="IRNazanin" w:eastAsia="IRNazanin" w:cs="IRNazanin"/>
            <w:color w:val="111111"/>
            <w:sz w:val="22"/>
            <w:szCs w:val="22"/>
            <w:b w:val="0"/>
            <w:bCs w:val="0"/>
            <w:i w:val="0"/>
            <w:iCs w:val="0"/>
          </w:rPr>
          <w:t>استفسار کیفیت بعضی مقدمات حیرت انگیز / متفرقه /  فارسی</w:t>
        </w:r>
        <w:r>
          <w:tab/>
        </w:r>
        <w:r>
          <w:fldChar w:fldCharType="begin"/>
        </w:r>
        <w:r>
          <w:instrText xml:space="preserve">PAGEREF 747 \h</w:instrText>
        </w:r>
        <w:r>
          <w:fldChar w:fldCharType="end"/>
        </w:r>
      </w:hyperlink>
    </w:p>
    <w:p>
      <w:pPr>
        <w:tabs>
          <w:tab w:val="right" w:leader="dot" w:pos="9062"/>
        </w:tabs>
        <w:ind w:left="440"/>
      </w:pPr>
      <w:hyperlink w:anchor="_Toc748" w:history="1">
        <w:r>
          <w:rPr>
            <w:rFonts w:ascii="IRNazanin" w:hAnsi="IRNazanin" w:eastAsia="IRNazanin" w:cs="IRNazanin"/>
            <w:color w:val="111111"/>
            <w:sz w:val="22"/>
            <w:szCs w:val="22"/>
            <w:b w:val="0"/>
            <w:bCs w:val="0"/>
            <w:i w:val="0"/>
            <w:iCs w:val="0"/>
          </w:rPr>
          <w:t>الاستقامة (منتخب ) / عرفان و تصوف / عربی</w:t>
        </w:r>
        <w:r>
          <w:tab/>
        </w:r>
        <w:r>
          <w:fldChar w:fldCharType="begin"/>
        </w:r>
        <w:r>
          <w:instrText xml:space="preserve">PAGEREF 748 \h</w:instrText>
        </w:r>
        <w:r>
          <w:fldChar w:fldCharType="end"/>
        </w:r>
      </w:hyperlink>
    </w:p>
    <w:p>
      <w:pPr>
        <w:tabs>
          <w:tab w:val="right" w:leader="dot" w:pos="9062"/>
        </w:tabs>
        <w:ind w:left="440"/>
      </w:pPr>
      <w:hyperlink w:anchor="_Toc749" w:history="1">
        <w:r>
          <w:rPr>
            <w:rFonts w:ascii="IRNazanin" w:hAnsi="IRNazanin" w:eastAsia="IRNazanin" w:cs="IRNazanin"/>
            <w:color w:val="111111"/>
            <w:sz w:val="22"/>
            <w:szCs w:val="22"/>
            <w:b w:val="0"/>
            <w:bCs w:val="0"/>
            <w:i w:val="0"/>
            <w:iCs w:val="0"/>
          </w:rPr>
          <w:t>استقامة الشريعة بطريقة الحقيقة / عرفان و تصوف / فارسی</w:t>
        </w:r>
        <w:r>
          <w:tab/>
        </w:r>
        <w:r>
          <w:fldChar w:fldCharType="begin"/>
        </w:r>
        <w:r>
          <w:instrText xml:space="preserve">PAGEREF 749 \h</w:instrText>
        </w:r>
        <w:r>
          <w:fldChar w:fldCharType="end"/>
        </w:r>
      </w:hyperlink>
    </w:p>
    <w:p>
      <w:pPr>
        <w:tabs>
          <w:tab w:val="right" w:leader="dot" w:pos="9062"/>
        </w:tabs>
        <w:ind w:left="440"/>
      </w:pPr>
      <w:hyperlink w:anchor="_Toc750" w:history="1">
        <w:r>
          <w:rPr>
            <w:rFonts w:ascii="IRNazanin" w:hAnsi="IRNazanin" w:eastAsia="IRNazanin" w:cs="IRNazanin"/>
            <w:color w:val="111111"/>
            <w:sz w:val="22"/>
            <w:szCs w:val="22"/>
            <w:b w:val="0"/>
            <w:bCs w:val="0"/>
            <w:i w:val="0"/>
            <w:iCs w:val="0"/>
          </w:rPr>
          <w:t>الاستقبال = قبله نما / فقه | فارسی</w:t>
        </w:r>
        <w:r>
          <w:tab/>
        </w:r>
        <w:r>
          <w:fldChar w:fldCharType="begin"/>
        </w:r>
        <w:r>
          <w:instrText xml:space="preserve">PAGEREF 750 \h</w:instrText>
        </w:r>
        <w:r>
          <w:fldChar w:fldCharType="end"/>
        </w:r>
      </w:hyperlink>
    </w:p>
    <w:p>
      <w:pPr>
        <w:tabs>
          <w:tab w:val="right" w:leader="dot" w:pos="9062"/>
        </w:tabs>
        <w:ind w:left="440"/>
      </w:pPr>
      <w:hyperlink w:anchor="_Toc751" w:history="1">
        <w:r>
          <w:rPr>
            <w:rFonts w:ascii="IRNazanin" w:hAnsi="IRNazanin" w:eastAsia="IRNazanin" w:cs="IRNazanin"/>
            <w:color w:val="111111"/>
            <w:sz w:val="22"/>
            <w:szCs w:val="22"/>
            <w:b w:val="0"/>
            <w:bCs w:val="0"/>
            <w:i w:val="0"/>
            <w:iCs w:val="0"/>
          </w:rPr>
          <w:t>استقبال القبلة / فقه / عربي</w:t>
        </w:r>
        <w:r>
          <w:tab/>
        </w:r>
        <w:r>
          <w:fldChar w:fldCharType="begin"/>
        </w:r>
        <w:r>
          <w:instrText xml:space="preserve">PAGEREF 751 \h</w:instrText>
        </w:r>
        <w:r>
          <w:fldChar w:fldCharType="end"/>
        </w:r>
      </w:hyperlink>
    </w:p>
    <w:p>
      <w:pPr>
        <w:tabs>
          <w:tab w:val="right" w:leader="dot" w:pos="9062"/>
        </w:tabs>
        <w:ind w:left="440"/>
      </w:pPr>
      <w:hyperlink w:anchor="_Toc752" w:history="1">
        <w:r>
          <w:rPr>
            <w:rFonts w:ascii="IRNazanin" w:hAnsi="IRNazanin" w:eastAsia="IRNazanin" w:cs="IRNazanin"/>
            <w:color w:val="111111"/>
            <w:sz w:val="22"/>
            <w:szCs w:val="22"/>
            <w:b w:val="0"/>
            <w:bCs w:val="0"/>
            <w:i w:val="0"/>
            <w:iCs w:val="0"/>
          </w:rPr>
          <w:t>استقبال های شعری / شعر / فارسی</w:t>
        </w:r>
        <w:r>
          <w:tab/>
        </w:r>
        <w:r>
          <w:fldChar w:fldCharType="begin"/>
        </w:r>
        <w:r>
          <w:instrText xml:space="preserve">PAGEREF 752 \h</w:instrText>
        </w:r>
        <w:r>
          <w:fldChar w:fldCharType="end"/>
        </w:r>
      </w:hyperlink>
    </w:p>
    <w:p>
      <w:pPr>
        <w:tabs>
          <w:tab w:val="right" w:leader="dot" w:pos="9062"/>
        </w:tabs>
        <w:ind w:left="440"/>
      </w:pPr>
      <w:hyperlink w:anchor="_Toc753" w:history="1">
        <w:r>
          <w:rPr>
            <w:rFonts w:ascii="IRNazanin" w:hAnsi="IRNazanin" w:eastAsia="IRNazanin" w:cs="IRNazanin"/>
            <w:color w:val="111111"/>
            <w:sz w:val="22"/>
            <w:szCs w:val="22"/>
            <w:b w:val="0"/>
            <w:bCs w:val="0"/>
            <w:i w:val="0"/>
            <w:iCs w:val="0"/>
          </w:rPr>
          <w:t>الاستقراء / منطق / عربي</w:t>
        </w:r>
        <w:r>
          <w:tab/>
        </w:r>
        <w:r>
          <w:fldChar w:fldCharType="begin"/>
        </w:r>
        <w:r>
          <w:instrText xml:space="preserve">PAGEREF 753 \h</w:instrText>
        </w:r>
        <w:r>
          <w:fldChar w:fldCharType="end"/>
        </w:r>
      </w:hyperlink>
    </w:p>
    <w:p>
      <w:pPr>
        <w:tabs>
          <w:tab w:val="right" w:leader="dot" w:pos="9062"/>
        </w:tabs>
        <w:ind w:left="440"/>
      </w:pPr>
      <w:hyperlink w:anchor="_Toc754" w:history="1">
        <w:r>
          <w:rPr>
            <w:rFonts w:ascii="IRNazanin" w:hAnsi="IRNazanin" w:eastAsia="IRNazanin" w:cs="IRNazanin"/>
            <w:color w:val="111111"/>
            <w:sz w:val="22"/>
            <w:szCs w:val="22"/>
            <w:b w:val="0"/>
            <w:bCs w:val="0"/>
            <w:i w:val="0"/>
            <w:iCs w:val="0"/>
          </w:rPr>
          <w:t>استقراض روس از بانکهای فرنگستان / اقتصاد / فارسی</w:t>
        </w:r>
        <w:r>
          <w:tab/>
        </w:r>
        <w:r>
          <w:fldChar w:fldCharType="begin"/>
        </w:r>
        <w:r>
          <w:instrText xml:space="preserve">PAGEREF 754 \h</w:instrText>
        </w:r>
        <w:r>
          <w:fldChar w:fldCharType="end"/>
        </w:r>
      </w:hyperlink>
    </w:p>
    <w:p>
      <w:pPr>
        <w:tabs>
          <w:tab w:val="right" w:leader="dot" w:pos="9062"/>
        </w:tabs>
        <w:ind w:left="440"/>
      </w:pPr>
      <w:hyperlink w:anchor="_Toc755" w:history="1">
        <w:r>
          <w:rPr>
            <w:rFonts w:ascii="IRNazanin" w:hAnsi="IRNazanin" w:eastAsia="IRNazanin" w:cs="IRNazanin"/>
            <w:color w:val="111111"/>
            <w:sz w:val="22"/>
            <w:szCs w:val="22"/>
            <w:b w:val="0"/>
            <w:bCs w:val="0"/>
            <w:i w:val="0"/>
            <w:iCs w:val="0"/>
          </w:rPr>
          <w:t>الاستقصاء / ریاضیات / عربی</w:t>
        </w:r>
        <w:r>
          <w:tab/>
        </w:r>
        <w:r>
          <w:fldChar w:fldCharType="begin"/>
        </w:r>
        <w:r>
          <w:instrText xml:space="preserve">PAGEREF 755 \h</w:instrText>
        </w:r>
        <w:r>
          <w:fldChar w:fldCharType="end"/>
        </w:r>
      </w:hyperlink>
    </w:p>
    <w:p>
      <w:pPr>
        <w:tabs>
          <w:tab w:val="right" w:leader="dot" w:pos="9062"/>
        </w:tabs>
        <w:ind w:left="440"/>
      </w:pPr>
      <w:hyperlink w:anchor="_Toc756" w:history="1">
        <w:r>
          <w:rPr>
            <w:rFonts w:ascii="IRNazanin" w:hAnsi="IRNazanin" w:eastAsia="IRNazanin" w:cs="IRNazanin"/>
            <w:color w:val="111111"/>
            <w:sz w:val="22"/>
            <w:szCs w:val="22"/>
            <w:b w:val="0"/>
            <w:bCs w:val="0"/>
            <w:i w:val="0"/>
            <w:iCs w:val="0"/>
          </w:rPr>
          <w:t>استقصاء الاجتهاد / فقه / عربي</w:t>
        </w:r>
        <w:r>
          <w:tab/>
        </w:r>
        <w:r>
          <w:fldChar w:fldCharType="begin"/>
        </w:r>
        <w:r>
          <w:instrText xml:space="preserve">PAGEREF 756 \h</w:instrText>
        </w:r>
        <w:r>
          <w:fldChar w:fldCharType="end"/>
        </w:r>
      </w:hyperlink>
    </w:p>
    <w:p>
      <w:pPr>
        <w:tabs>
          <w:tab w:val="right" w:leader="dot" w:pos="9062"/>
        </w:tabs>
        <w:ind w:left="440"/>
      </w:pPr>
      <w:hyperlink w:anchor="_Toc757" w:history="1">
        <w:r>
          <w:rPr>
            <w:rFonts w:ascii="IRNazanin" w:hAnsi="IRNazanin" w:eastAsia="IRNazanin" w:cs="IRNazanin"/>
            <w:color w:val="111111"/>
            <w:sz w:val="22"/>
            <w:szCs w:val="22"/>
            <w:b w:val="0"/>
            <w:bCs w:val="0"/>
            <w:i w:val="0"/>
            <w:iCs w:val="0"/>
          </w:rPr>
          <w:t>استقصاء الاعتبار في شرح الاستبصار / شرح حديث /  عربی</w:t>
        </w:r>
        <w:r>
          <w:tab/>
        </w:r>
        <w:r>
          <w:fldChar w:fldCharType="begin"/>
        </w:r>
        <w:r>
          <w:instrText xml:space="preserve">PAGEREF 757 \h</w:instrText>
        </w:r>
        <w:r>
          <w:fldChar w:fldCharType="end"/>
        </w:r>
      </w:hyperlink>
    </w:p>
    <w:p>
      <w:pPr>
        <w:tabs>
          <w:tab w:val="right" w:leader="dot" w:pos="9062"/>
        </w:tabs>
        <w:ind w:left="440"/>
      </w:pPr>
      <w:hyperlink w:anchor="_Toc758" w:history="1">
        <w:r>
          <w:rPr>
            <w:rFonts w:ascii="IRNazanin" w:hAnsi="IRNazanin" w:eastAsia="IRNazanin" w:cs="IRNazanin"/>
            <w:color w:val="111111"/>
            <w:sz w:val="22"/>
            <w:szCs w:val="22"/>
            <w:b w:val="0"/>
            <w:bCs w:val="0"/>
            <w:i w:val="0"/>
            <w:iCs w:val="0"/>
          </w:rPr>
          <w:t>استقصاء الافحام و استيفاء الانتقام في نقض منتهىالكلام / کلام و اعتقادات / فارسی و عربی</w:t>
        </w:r>
        <w:r>
          <w:tab/>
        </w:r>
        <w:r>
          <w:fldChar w:fldCharType="begin"/>
        </w:r>
        <w:r>
          <w:instrText xml:space="preserve">PAGEREF 758 \h</w:instrText>
        </w:r>
        <w:r>
          <w:fldChar w:fldCharType="end"/>
        </w:r>
      </w:hyperlink>
    </w:p>
    <w:p>
      <w:pPr>
        <w:tabs>
          <w:tab w:val="right" w:leader="dot" w:pos="9062"/>
        </w:tabs>
        <w:ind w:left="440"/>
      </w:pPr>
      <w:hyperlink w:anchor="_Toc759" w:history="1">
        <w:r>
          <w:rPr>
            <w:rFonts w:ascii="IRNazanin" w:hAnsi="IRNazanin" w:eastAsia="IRNazanin" w:cs="IRNazanin"/>
            <w:color w:val="111111"/>
            <w:sz w:val="22"/>
            <w:szCs w:val="22"/>
            <w:b w:val="0"/>
            <w:bCs w:val="0"/>
            <w:i w:val="0"/>
            <w:iCs w:val="0"/>
          </w:rPr>
          <w:t>استقصاء النظر / فقه / عربي</w:t>
        </w:r>
        <w:r>
          <w:tab/>
        </w:r>
        <w:r>
          <w:fldChar w:fldCharType="begin"/>
        </w:r>
        <w:r>
          <w:instrText xml:space="preserve">PAGEREF 759 \h</w:instrText>
        </w:r>
        <w:r>
          <w:fldChar w:fldCharType="end"/>
        </w:r>
      </w:hyperlink>
    </w:p>
    <w:p>
      <w:pPr>
        <w:tabs>
          <w:tab w:val="right" w:leader="dot" w:pos="9062"/>
        </w:tabs>
        <w:ind w:left="440"/>
      </w:pPr>
      <w:hyperlink w:anchor="_Toc760" w:history="1">
        <w:r>
          <w:rPr>
            <w:rFonts w:ascii="IRNazanin" w:hAnsi="IRNazanin" w:eastAsia="IRNazanin" w:cs="IRNazanin"/>
            <w:color w:val="111111"/>
            <w:sz w:val="22"/>
            <w:szCs w:val="22"/>
            <w:b w:val="0"/>
            <w:bCs w:val="0"/>
            <w:i w:val="0"/>
            <w:iCs w:val="0"/>
          </w:rPr>
          <w:t>استقصاء النظر في البحث عن القضاء والقدر= استقصاء البحث و النظر في مسائل القضاء و القدر / كلام  و اعتقادات / عربی</w:t>
        </w:r>
        <w:r>
          <w:tab/>
        </w:r>
        <w:r>
          <w:fldChar w:fldCharType="begin"/>
        </w:r>
        <w:r>
          <w:instrText xml:space="preserve">PAGEREF 760 \h</w:instrText>
        </w:r>
        <w:r>
          <w:fldChar w:fldCharType="end"/>
        </w:r>
      </w:hyperlink>
    </w:p>
    <w:p>
      <w:pPr>
        <w:tabs>
          <w:tab w:val="right" w:leader="dot" w:pos="9062"/>
        </w:tabs>
        <w:ind w:left="440"/>
      </w:pPr>
      <w:hyperlink w:anchor="_Toc761" w:history="1">
        <w:r>
          <w:rPr>
            <w:rFonts w:ascii="IRNazanin" w:hAnsi="IRNazanin" w:eastAsia="IRNazanin" w:cs="IRNazanin"/>
            <w:color w:val="111111"/>
            <w:sz w:val="22"/>
            <w:szCs w:val="22"/>
            <w:b w:val="0"/>
            <w:bCs w:val="0"/>
            <w:i w:val="0"/>
            <w:iCs w:val="0"/>
          </w:rPr>
          <w:t>استقلال الباكرة البالغة الرشيدة في تزويج نفسها /  فقه / عربی</w:t>
        </w:r>
        <w:r>
          <w:tab/>
        </w:r>
        <w:r>
          <w:fldChar w:fldCharType="begin"/>
        </w:r>
        <w:r>
          <w:instrText xml:space="preserve">PAGEREF 761 \h</w:instrText>
        </w:r>
        <w:r>
          <w:fldChar w:fldCharType="end"/>
        </w:r>
      </w:hyperlink>
    </w:p>
    <w:p>
      <w:pPr>
        <w:tabs>
          <w:tab w:val="right" w:leader="dot" w:pos="9062"/>
        </w:tabs>
        <w:ind w:left="440"/>
      </w:pPr>
      <w:hyperlink w:anchor="_Toc762" w:history="1">
        <w:r>
          <w:rPr>
            <w:rFonts w:ascii="IRNazanin" w:hAnsi="IRNazanin" w:eastAsia="IRNazanin" w:cs="IRNazanin"/>
            <w:color w:val="111111"/>
            <w:sz w:val="22"/>
            <w:szCs w:val="22"/>
            <w:b w:val="0"/>
            <w:bCs w:val="0"/>
            <w:i w:val="0"/>
            <w:iCs w:val="0"/>
          </w:rPr>
          <w:t>استقلال گمرکی ایران / تاریخ / فارسی</w:t>
        </w:r>
        <w:r>
          <w:tab/>
        </w:r>
        <w:r>
          <w:fldChar w:fldCharType="begin"/>
        </w:r>
        <w:r>
          <w:instrText xml:space="preserve">PAGEREF 762 \h</w:instrText>
        </w:r>
        <w:r>
          <w:fldChar w:fldCharType="end"/>
        </w:r>
      </w:hyperlink>
    </w:p>
    <w:p>
      <w:pPr>
        <w:tabs>
          <w:tab w:val="right" w:leader="dot" w:pos="9062"/>
        </w:tabs>
        <w:ind w:left="440"/>
      </w:pPr>
      <w:hyperlink w:anchor="_Toc763" w:history="1">
        <w:r>
          <w:rPr>
            <w:rFonts w:ascii="IRNazanin" w:hAnsi="IRNazanin" w:eastAsia="IRNazanin" w:cs="IRNazanin"/>
            <w:color w:val="111111"/>
            <w:sz w:val="22"/>
            <w:szCs w:val="22"/>
            <w:b w:val="0"/>
            <w:bCs w:val="0"/>
            <w:i w:val="0"/>
            <w:iCs w:val="0"/>
          </w:rPr>
          <w:t>استلام الحجر / عربي</w:t>
        </w:r>
        <w:r>
          <w:tab/>
        </w:r>
        <w:r>
          <w:fldChar w:fldCharType="begin"/>
        </w:r>
        <w:r>
          <w:instrText xml:space="preserve">PAGEREF 763 \h</w:instrText>
        </w:r>
        <w:r>
          <w:fldChar w:fldCharType="end"/>
        </w:r>
      </w:hyperlink>
    </w:p>
    <w:p>
      <w:pPr>
        <w:tabs>
          <w:tab w:val="right" w:leader="dot" w:pos="9062"/>
        </w:tabs>
        <w:ind w:left="440"/>
      </w:pPr>
      <w:hyperlink w:anchor="_Toc764" w:history="1">
        <w:r>
          <w:rPr>
            <w:rFonts w:ascii="IRNazanin" w:hAnsi="IRNazanin" w:eastAsia="IRNazanin" w:cs="IRNazanin"/>
            <w:color w:val="111111"/>
            <w:sz w:val="22"/>
            <w:szCs w:val="22"/>
            <w:b w:val="0"/>
            <w:bCs w:val="0"/>
            <w:i w:val="0"/>
            <w:iCs w:val="0"/>
          </w:rPr>
          <w:t>استمرار الحجة / كلام و اعتقادات / عربی</w:t>
        </w:r>
        <w:r>
          <w:tab/>
        </w:r>
        <w:r>
          <w:fldChar w:fldCharType="begin"/>
        </w:r>
        <w:r>
          <w:instrText xml:space="preserve">PAGEREF 764 \h</w:instrText>
        </w:r>
        <w:r>
          <w:fldChar w:fldCharType="end"/>
        </w:r>
      </w:hyperlink>
    </w:p>
    <w:p>
      <w:pPr>
        <w:tabs>
          <w:tab w:val="right" w:leader="dot" w:pos="9062"/>
        </w:tabs>
        <w:ind w:left="440"/>
      </w:pPr>
      <w:hyperlink w:anchor="_Toc765" w:history="1">
        <w:r>
          <w:rPr>
            <w:rFonts w:ascii="IRNazanin" w:hAnsi="IRNazanin" w:eastAsia="IRNazanin" w:cs="IRNazanin"/>
            <w:color w:val="111111"/>
            <w:sz w:val="22"/>
            <w:szCs w:val="22"/>
            <w:b w:val="0"/>
            <w:bCs w:val="0"/>
            <w:i w:val="0"/>
            <w:iCs w:val="0"/>
          </w:rPr>
          <w:t>استنباط الاحكام = كيفية استنباط الاحكام / اصول فقه / عربی</w:t>
        </w:r>
        <w:r>
          <w:tab/>
        </w:r>
        <w:r>
          <w:fldChar w:fldCharType="begin"/>
        </w:r>
        <w:r>
          <w:instrText xml:space="preserve">PAGEREF 765 \h</w:instrText>
        </w:r>
        <w:r>
          <w:fldChar w:fldCharType="end"/>
        </w:r>
      </w:hyperlink>
    </w:p>
    <w:p>
      <w:pPr>
        <w:tabs>
          <w:tab w:val="right" w:leader="dot" w:pos="9062"/>
        </w:tabs>
        <w:ind w:left="440"/>
      </w:pPr>
      <w:hyperlink w:anchor="_Toc766" w:history="1">
        <w:r>
          <w:rPr>
            <w:rFonts w:ascii="IRNazanin" w:hAnsi="IRNazanin" w:eastAsia="IRNazanin" w:cs="IRNazanin"/>
            <w:color w:val="111111"/>
            <w:sz w:val="22"/>
            <w:szCs w:val="22"/>
            <w:b w:val="0"/>
            <w:bCs w:val="0"/>
            <w:i w:val="0"/>
            <w:iCs w:val="0"/>
          </w:rPr>
          <w:t>استنباط حقايق الكتب السماوية المنزلة على نبينا  / عرفان و تصوف / عربی</w:t>
        </w:r>
        <w:r>
          <w:tab/>
        </w:r>
        <w:r>
          <w:fldChar w:fldCharType="begin"/>
        </w:r>
        <w:r>
          <w:instrText xml:space="preserve">PAGEREF 766 \h</w:instrText>
        </w:r>
        <w:r>
          <w:fldChar w:fldCharType="end"/>
        </w:r>
      </w:hyperlink>
    </w:p>
    <w:p>
      <w:pPr>
        <w:tabs>
          <w:tab w:val="right" w:leader="dot" w:pos="9062"/>
        </w:tabs>
        <w:ind w:left="440"/>
      </w:pPr>
      <w:hyperlink w:anchor="_Toc767" w:history="1">
        <w:r>
          <w:rPr>
            <w:rFonts w:ascii="IRNazanin" w:hAnsi="IRNazanin" w:eastAsia="IRNazanin" w:cs="IRNazanin"/>
            <w:color w:val="111111"/>
            <w:sz w:val="22"/>
            <w:szCs w:val="22"/>
            <w:b w:val="0"/>
            <w:bCs w:val="0"/>
            <w:i w:val="0"/>
            <w:iCs w:val="0"/>
          </w:rPr>
          <w:t>استنتاج حجية الظن الاطمينانی / اصول فقه / عربی</w:t>
        </w:r>
        <w:r>
          <w:tab/>
        </w:r>
        <w:r>
          <w:fldChar w:fldCharType="begin"/>
        </w:r>
        <w:r>
          <w:instrText xml:space="preserve">PAGEREF 767 \h</w:instrText>
        </w:r>
        <w:r>
          <w:fldChar w:fldCharType="end"/>
        </w:r>
      </w:hyperlink>
    </w:p>
    <w:p>
      <w:pPr>
        <w:tabs>
          <w:tab w:val="right" w:leader="dot" w:pos="9062"/>
        </w:tabs>
        <w:ind w:left="440"/>
      </w:pPr>
      <w:hyperlink w:anchor="_Toc768" w:history="1">
        <w:r>
          <w:rPr>
            <w:rFonts w:ascii="IRNazanin" w:hAnsi="IRNazanin" w:eastAsia="IRNazanin" w:cs="IRNazanin"/>
            <w:color w:val="111111"/>
            <w:sz w:val="22"/>
            <w:szCs w:val="22"/>
            <w:b w:val="0"/>
            <w:bCs w:val="0"/>
            <w:i w:val="0"/>
            <w:iCs w:val="0"/>
          </w:rPr>
          <w:t>الاستنجاء / فقه / عربی</w:t>
        </w:r>
        <w:r>
          <w:tab/>
        </w:r>
        <w:r>
          <w:fldChar w:fldCharType="begin"/>
        </w:r>
        <w:r>
          <w:instrText xml:space="preserve">PAGEREF 768 \h</w:instrText>
        </w:r>
        <w:r>
          <w:fldChar w:fldCharType="end"/>
        </w:r>
      </w:hyperlink>
    </w:p>
    <w:p>
      <w:pPr>
        <w:tabs>
          <w:tab w:val="right" w:leader="dot" w:pos="9062"/>
        </w:tabs>
        <w:ind w:left="440"/>
      </w:pPr>
      <w:hyperlink w:anchor="_Toc769" w:history="1">
        <w:r>
          <w:rPr>
            <w:rFonts w:ascii="IRNazanin" w:hAnsi="IRNazanin" w:eastAsia="IRNazanin" w:cs="IRNazanin"/>
            <w:color w:val="111111"/>
            <w:sz w:val="22"/>
            <w:szCs w:val="22"/>
            <w:b w:val="0"/>
            <w:bCs w:val="0"/>
            <w:i w:val="0"/>
            <w:iCs w:val="0"/>
          </w:rPr>
          <w:t>الاستنجاء بالعظم و الروث / فقه / عربی</w:t>
        </w:r>
        <w:r>
          <w:tab/>
        </w:r>
        <w:r>
          <w:fldChar w:fldCharType="begin"/>
        </w:r>
        <w:r>
          <w:instrText xml:space="preserve">PAGEREF 769 \h</w:instrText>
        </w:r>
        <w:r>
          <w:fldChar w:fldCharType="end"/>
        </w:r>
      </w:hyperlink>
    </w:p>
    <w:p>
      <w:pPr>
        <w:tabs>
          <w:tab w:val="right" w:leader="dot" w:pos="9062"/>
        </w:tabs>
        <w:ind w:left="440"/>
      </w:pPr>
      <w:hyperlink w:anchor="_Toc770" w:history="1">
        <w:r>
          <w:rPr>
            <w:rFonts w:ascii="IRNazanin" w:hAnsi="IRNazanin" w:eastAsia="IRNazanin" w:cs="IRNazanin"/>
            <w:color w:val="111111"/>
            <w:sz w:val="22"/>
            <w:szCs w:val="22"/>
            <w:b w:val="0"/>
            <w:bCs w:val="0"/>
            <w:i w:val="0"/>
            <w:iCs w:val="0"/>
          </w:rPr>
          <w:t>استنساخ بحر الانساب / ادبیات / فارسی</w:t>
        </w:r>
        <w:r>
          <w:tab/>
        </w:r>
        <w:r>
          <w:fldChar w:fldCharType="begin"/>
        </w:r>
        <w:r>
          <w:instrText xml:space="preserve">PAGEREF 770 \h</w:instrText>
        </w:r>
        <w:r>
          <w:fldChar w:fldCharType="end"/>
        </w:r>
      </w:hyperlink>
    </w:p>
    <w:p>
      <w:pPr>
        <w:tabs>
          <w:tab w:val="right" w:leader="dot" w:pos="9062"/>
        </w:tabs>
        <w:ind w:left="440"/>
      </w:pPr>
      <w:hyperlink w:anchor="_Toc771" w:history="1">
        <w:r>
          <w:rPr>
            <w:rFonts w:ascii="IRNazanin" w:hAnsi="IRNazanin" w:eastAsia="IRNazanin" w:cs="IRNazanin"/>
            <w:color w:val="111111"/>
            <w:sz w:val="22"/>
            <w:szCs w:val="22"/>
            <w:b w:val="0"/>
            <w:bCs w:val="0"/>
            <w:i w:val="0"/>
            <w:iCs w:val="0"/>
          </w:rPr>
          <w:t>استوا نامه / تفسیر / فارسی</w:t>
        </w:r>
        <w:r>
          <w:tab/>
        </w:r>
        <w:r>
          <w:fldChar w:fldCharType="begin"/>
        </w:r>
        <w:r>
          <w:instrText xml:space="preserve">PAGEREF 771 \h</w:instrText>
        </w:r>
        <w:r>
          <w:fldChar w:fldCharType="end"/>
        </w:r>
      </w:hyperlink>
    </w:p>
    <w:p>
      <w:pPr>
        <w:tabs>
          <w:tab w:val="right" w:leader="dot" w:pos="9062"/>
        </w:tabs>
        <w:ind w:left="440"/>
      </w:pPr>
      <w:hyperlink w:anchor="_Toc772" w:history="1">
        <w:r>
          <w:rPr>
            <w:rFonts w:ascii="IRNazanin" w:hAnsi="IRNazanin" w:eastAsia="IRNazanin" w:cs="IRNazanin"/>
            <w:color w:val="111111"/>
            <w:sz w:val="22"/>
            <w:szCs w:val="22"/>
            <w:b w:val="0"/>
            <w:bCs w:val="0"/>
            <w:i w:val="0"/>
            <w:iCs w:val="0"/>
          </w:rPr>
          <w:t>الاستيجار / فقه / عربي</w:t>
        </w:r>
        <w:r>
          <w:tab/>
        </w:r>
        <w:r>
          <w:fldChar w:fldCharType="begin"/>
        </w:r>
        <w:r>
          <w:instrText xml:space="preserve">PAGEREF 772 \h</w:instrText>
        </w:r>
        <w:r>
          <w:fldChar w:fldCharType="end"/>
        </w:r>
      </w:hyperlink>
    </w:p>
    <w:p>
      <w:pPr>
        <w:tabs>
          <w:tab w:val="right" w:leader="dot" w:pos="9062"/>
        </w:tabs>
        <w:ind w:left="440"/>
      </w:pPr>
      <w:hyperlink w:anchor="_Toc773" w:history="1">
        <w:r>
          <w:rPr>
            <w:rFonts w:ascii="IRNazanin" w:hAnsi="IRNazanin" w:eastAsia="IRNazanin" w:cs="IRNazanin"/>
            <w:color w:val="111111"/>
            <w:sz w:val="22"/>
            <w:szCs w:val="22"/>
            <w:b w:val="0"/>
            <w:bCs w:val="0"/>
            <w:i w:val="0"/>
            <w:iCs w:val="0"/>
          </w:rPr>
          <w:t>الاستيجار على تعليم القرآن / فقه، علوم قرآن / عربی</w:t>
        </w:r>
        <w:r>
          <w:tab/>
        </w:r>
        <w:r>
          <w:fldChar w:fldCharType="begin"/>
        </w:r>
        <w:r>
          <w:instrText xml:space="preserve">PAGEREF 773 \h</w:instrText>
        </w:r>
        <w:r>
          <w:fldChar w:fldCharType="end"/>
        </w:r>
      </w:hyperlink>
    </w:p>
    <w:p>
      <w:pPr>
        <w:tabs>
          <w:tab w:val="right" w:leader="dot" w:pos="9062"/>
        </w:tabs>
        <w:ind w:left="440"/>
      </w:pPr>
      <w:hyperlink w:anchor="_Toc774" w:history="1">
        <w:r>
          <w:rPr>
            <w:rFonts w:ascii="IRNazanin" w:hAnsi="IRNazanin" w:eastAsia="IRNazanin" w:cs="IRNazanin"/>
            <w:color w:val="111111"/>
            <w:sz w:val="22"/>
            <w:szCs w:val="22"/>
            <w:b w:val="0"/>
            <w:bCs w:val="0"/>
            <w:i w:val="0"/>
            <w:iCs w:val="0"/>
          </w:rPr>
          <w:t>الاستيعاب / هیئت / عربی</w:t>
        </w:r>
        <w:r>
          <w:tab/>
        </w:r>
        <w:r>
          <w:fldChar w:fldCharType="begin"/>
        </w:r>
        <w:r>
          <w:instrText xml:space="preserve">PAGEREF 774 \h</w:instrText>
        </w:r>
        <w:r>
          <w:fldChar w:fldCharType="end"/>
        </w:r>
      </w:hyperlink>
    </w:p>
    <w:p>
      <w:pPr>
        <w:tabs>
          <w:tab w:val="right" w:leader="dot" w:pos="9062"/>
        </w:tabs>
        <w:ind w:left="440"/>
      </w:pPr>
      <w:hyperlink w:anchor="_Toc775" w:history="1">
        <w:r>
          <w:rPr>
            <w:rFonts w:ascii="IRNazanin" w:hAnsi="IRNazanin" w:eastAsia="IRNazanin" w:cs="IRNazanin"/>
            <w:color w:val="111111"/>
            <w:sz w:val="22"/>
            <w:szCs w:val="22"/>
            <w:b w:val="0"/>
            <w:bCs w:val="0"/>
            <w:i w:val="0"/>
            <w:iCs w:val="0"/>
          </w:rPr>
          <w:t>الاستيعاب فى الاسطرلاب = استيعاب الوجوه  الممكنة فى صنعة الاسطرلاب / اسطرلاب / عربی</w:t>
        </w:r>
        <w:r>
          <w:tab/>
        </w:r>
        <w:r>
          <w:fldChar w:fldCharType="begin"/>
        </w:r>
        <w:r>
          <w:instrText xml:space="preserve">PAGEREF 775 \h</w:instrText>
        </w:r>
        <w:r>
          <w:fldChar w:fldCharType="end"/>
        </w:r>
      </w:hyperlink>
    </w:p>
    <w:p>
      <w:pPr>
        <w:tabs>
          <w:tab w:val="right" w:leader="dot" w:pos="9062"/>
        </w:tabs>
        <w:ind w:left="440"/>
      </w:pPr>
      <w:hyperlink w:anchor="_Toc776" w:history="1">
        <w:r>
          <w:rPr>
            <w:rFonts w:ascii="IRNazanin" w:hAnsi="IRNazanin" w:eastAsia="IRNazanin" w:cs="IRNazanin"/>
            <w:color w:val="111111"/>
            <w:sz w:val="22"/>
            <w:szCs w:val="22"/>
            <w:b w:val="0"/>
            <w:bCs w:val="0"/>
            <w:i w:val="0"/>
            <w:iCs w:val="0"/>
          </w:rPr>
          <w:t>الاستيعاب في معرفة الاصحاب / رجال / عربي</w:t>
        </w:r>
        <w:r>
          <w:tab/>
        </w:r>
        <w:r>
          <w:fldChar w:fldCharType="begin"/>
        </w:r>
        <w:r>
          <w:instrText xml:space="preserve">PAGEREF 776 \h</w:instrText>
        </w:r>
        <w:r>
          <w:fldChar w:fldCharType="end"/>
        </w:r>
      </w:hyperlink>
    </w:p>
    <w:p>
      <w:pPr>
        <w:tabs>
          <w:tab w:val="right" w:leader="dot" w:pos="9062"/>
        </w:tabs>
        <w:ind w:left="440"/>
      </w:pPr>
      <w:hyperlink w:anchor="_Toc777" w:history="1">
        <w:r>
          <w:rPr>
            <w:rFonts w:ascii="IRNazanin" w:hAnsi="IRNazanin" w:eastAsia="IRNazanin" w:cs="IRNazanin"/>
            <w:color w:val="111111"/>
            <w:sz w:val="22"/>
            <w:szCs w:val="22"/>
            <w:b w:val="0"/>
            <w:bCs w:val="0"/>
            <w:i w:val="0"/>
            <w:iCs w:val="0"/>
          </w:rPr>
          <w:t>الاستيعاب من كتاب / کلام و اعتقادات / عربی</w:t>
        </w:r>
        <w:r>
          <w:tab/>
        </w:r>
        <w:r>
          <w:fldChar w:fldCharType="begin"/>
        </w:r>
        <w:r>
          <w:instrText xml:space="preserve">PAGEREF 777 \h</w:instrText>
        </w:r>
        <w:r>
          <w:fldChar w:fldCharType="end"/>
        </w:r>
      </w:hyperlink>
    </w:p>
    <w:p>
      <w:pPr>
        <w:tabs>
          <w:tab w:val="right" w:leader="dot" w:pos="9062"/>
        </w:tabs>
        <w:ind w:left="440"/>
      </w:pPr>
      <w:hyperlink w:anchor="_Toc778" w:history="1">
        <w:r>
          <w:rPr>
            <w:rFonts w:ascii="IRNazanin" w:hAnsi="IRNazanin" w:eastAsia="IRNazanin" w:cs="IRNazanin"/>
            <w:color w:val="111111"/>
            <w:sz w:val="22"/>
            <w:szCs w:val="22"/>
            <w:b w:val="0"/>
            <w:bCs w:val="0"/>
            <w:i w:val="0"/>
            <w:iCs w:val="0"/>
          </w:rPr>
          <w:t>الاستيفاء / رياضيات / عربی</w:t>
        </w:r>
        <w:r>
          <w:tab/>
        </w:r>
        <w:r>
          <w:fldChar w:fldCharType="begin"/>
        </w:r>
        <w:r>
          <w:instrText xml:space="preserve">PAGEREF 778 \h</w:instrText>
        </w:r>
        <w:r>
          <w:fldChar w:fldCharType="end"/>
        </w:r>
      </w:hyperlink>
    </w:p>
    <w:p>
      <w:pPr>
        <w:tabs>
          <w:tab w:val="right" w:leader="dot" w:pos="9062"/>
        </w:tabs>
        <w:ind w:left="440"/>
      </w:pPr>
      <w:hyperlink w:anchor="_Toc779" w:history="1">
        <w:r>
          <w:rPr>
            <w:rFonts w:ascii="IRNazanin" w:hAnsi="IRNazanin" w:eastAsia="IRNazanin" w:cs="IRNazanin"/>
            <w:color w:val="111111"/>
            <w:sz w:val="22"/>
            <w:szCs w:val="22"/>
            <w:b w:val="0"/>
            <w:bCs w:val="0"/>
            <w:i w:val="0"/>
            <w:iCs w:val="0"/>
          </w:rPr>
          <w:t>استيفاء المنقول فيما يصح ان يدعى به من المجهول / عربي</w:t>
        </w:r>
        <w:r>
          <w:tab/>
        </w:r>
        <w:r>
          <w:fldChar w:fldCharType="begin"/>
        </w:r>
        <w:r>
          <w:instrText xml:space="preserve">PAGEREF 779 \h</w:instrText>
        </w:r>
        <w:r>
          <w:fldChar w:fldCharType="end"/>
        </w:r>
      </w:hyperlink>
    </w:p>
    <w:p>
      <w:pPr>
        <w:tabs>
          <w:tab w:val="right" w:leader="dot" w:pos="9062"/>
        </w:tabs>
        <w:ind w:left="440"/>
      </w:pPr>
      <w:hyperlink w:anchor="_Toc780" w:history="1">
        <w:r>
          <w:rPr>
            <w:rFonts w:ascii="IRNazanin" w:hAnsi="IRNazanin" w:eastAsia="IRNazanin" w:cs="IRNazanin"/>
            <w:color w:val="111111"/>
            <w:sz w:val="22"/>
            <w:szCs w:val="22"/>
            <w:b w:val="0"/>
            <w:bCs w:val="0"/>
            <w:i w:val="0"/>
            <w:iCs w:val="0"/>
          </w:rPr>
          <w:t>استيفاء المهمات / فقه / عربي</w:t>
        </w:r>
        <w:r>
          <w:tab/>
        </w:r>
        <w:r>
          <w:fldChar w:fldCharType="begin"/>
        </w:r>
        <w:r>
          <w:instrText xml:space="preserve">PAGEREF 780 \h</w:instrText>
        </w:r>
        <w:r>
          <w:fldChar w:fldCharType="end"/>
        </w:r>
      </w:hyperlink>
    </w:p>
    <w:p>
      <w:pPr>
        <w:tabs>
          <w:tab w:val="right" w:leader="dot" w:pos="9062"/>
        </w:tabs>
        <w:ind w:left="440"/>
      </w:pPr>
      <w:hyperlink w:anchor="_Toc781" w:history="1">
        <w:r>
          <w:rPr>
            <w:rFonts w:ascii="IRNazanin" w:hAnsi="IRNazanin" w:eastAsia="IRNazanin" w:cs="IRNazanin"/>
            <w:color w:val="111111"/>
            <w:sz w:val="22"/>
            <w:szCs w:val="22"/>
            <w:b w:val="0"/>
            <w:bCs w:val="0"/>
            <w:i w:val="0"/>
            <w:iCs w:val="0"/>
          </w:rPr>
          <w:t>استيفاء المهمات فی العبادات و المعاملات / فقه /  عربی</w:t>
        </w:r>
        <w:r>
          <w:tab/>
        </w:r>
        <w:r>
          <w:fldChar w:fldCharType="begin"/>
        </w:r>
        <w:r>
          <w:instrText xml:space="preserve">PAGEREF 781 \h</w:instrText>
        </w:r>
        <w:r>
          <w:fldChar w:fldCharType="end"/>
        </w:r>
      </w:hyperlink>
    </w:p>
    <w:p>
      <w:pPr>
        <w:tabs>
          <w:tab w:val="right" w:leader="dot" w:pos="9062"/>
        </w:tabs>
        <w:ind w:left="440"/>
      </w:pPr>
      <w:hyperlink w:anchor="_Toc782" w:history="1">
        <w:r>
          <w:rPr>
            <w:rFonts w:ascii="IRNazanin" w:hAnsi="IRNazanin" w:eastAsia="IRNazanin" w:cs="IRNazanin"/>
            <w:color w:val="111111"/>
            <w:sz w:val="22"/>
            <w:szCs w:val="22"/>
            <w:b w:val="0"/>
            <w:bCs w:val="0"/>
            <w:i w:val="0"/>
            <w:iCs w:val="0"/>
          </w:rPr>
          <w:t>اسحاق بن عمار / رجال / عربی</w:t>
        </w:r>
        <w:r>
          <w:tab/>
        </w:r>
        <w:r>
          <w:fldChar w:fldCharType="begin"/>
        </w:r>
        <w:r>
          <w:instrText xml:space="preserve">PAGEREF 782 \h</w:instrText>
        </w:r>
        <w:r>
          <w:fldChar w:fldCharType="end"/>
        </w:r>
      </w:hyperlink>
    </w:p>
    <w:p>
      <w:pPr>
        <w:tabs>
          <w:tab w:val="right" w:leader="dot" w:pos="9062"/>
        </w:tabs>
        <w:ind w:left="440"/>
      </w:pPr>
      <w:hyperlink w:anchor="_Toc783" w:history="1">
        <w:r>
          <w:rPr>
            <w:rFonts w:ascii="IRNazanin" w:hAnsi="IRNazanin" w:eastAsia="IRNazanin" w:cs="IRNazanin"/>
            <w:color w:val="111111"/>
            <w:sz w:val="22"/>
            <w:szCs w:val="22"/>
            <w:b w:val="0"/>
            <w:bCs w:val="0"/>
            <w:i w:val="0"/>
            <w:iCs w:val="0"/>
          </w:rPr>
          <w:t>اسحاقیه / کلام و اعتقادات / فارسی</w:t>
        </w:r>
        <w:r>
          <w:tab/>
        </w:r>
        <w:r>
          <w:fldChar w:fldCharType="begin"/>
        </w:r>
        <w:r>
          <w:instrText xml:space="preserve">PAGEREF 783 \h</w:instrText>
        </w:r>
        <w:r>
          <w:fldChar w:fldCharType="end"/>
        </w:r>
      </w:hyperlink>
    </w:p>
    <w:p>
      <w:pPr>
        <w:tabs>
          <w:tab w:val="right" w:leader="dot" w:pos="9062"/>
        </w:tabs>
        <w:ind w:left="440"/>
      </w:pPr>
      <w:hyperlink w:anchor="_Toc784" w:history="1">
        <w:r>
          <w:rPr>
            <w:rFonts w:ascii="IRNazanin" w:hAnsi="IRNazanin" w:eastAsia="IRNazanin" w:cs="IRNazanin"/>
            <w:color w:val="111111"/>
            <w:sz w:val="22"/>
            <w:szCs w:val="22"/>
            <w:b w:val="0"/>
            <w:bCs w:val="0"/>
            <w:i w:val="0"/>
            <w:iCs w:val="0"/>
          </w:rPr>
          <w:t>اسد الغابه (مختصر) / رجال / عربی</w:t>
        </w:r>
        <w:r>
          <w:tab/>
        </w:r>
        <w:r>
          <w:fldChar w:fldCharType="begin"/>
        </w:r>
        <w:r>
          <w:instrText xml:space="preserve">PAGEREF 784 \h</w:instrText>
        </w:r>
        <w:r>
          <w:fldChar w:fldCharType="end"/>
        </w:r>
      </w:hyperlink>
    </w:p>
    <w:p>
      <w:pPr>
        <w:tabs>
          <w:tab w:val="right" w:leader="dot" w:pos="9062"/>
        </w:tabs>
        <w:ind w:left="440"/>
      </w:pPr>
      <w:hyperlink w:anchor="_Toc785" w:history="1">
        <w:r>
          <w:rPr>
            <w:rFonts w:ascii="IRNazanin" w:hAnsi="IRNazanin" w:eastAsia="IRNazanin" w:cs="IRNazanin"/>
            <w:color w:val="111111"/>
            <w:sz w:val="22"/>
            <w:szCs w:val="22"/>
            <w:b w:val="0"/>
            <w:bCs w:val="0"/>
            <w:i w:val="0"/>
            <w:iCs w:val="0"/>
          </w:rPr>
          <w:t>اسد الغابة فى معرفة الصحابة (ترجمه) / تراجم / فارسی</w:t>
        </w:r>
        <w:r>
          <w:tab/>
        </w:r>
        <w:r>
          <w:fldChar w:fldCharType="begin"/>
        </w:r>
        <w:r>
          <w:instrText xml:space="preserve">PAGEREF 785 \h</w:instrText>
        </w:r>
        <w:r>
          <w:fldChar w:fldCharType="end"/>
        </w:r>
      </w:hyperlink>
    </w:p>
    <w:p>
      <w:pPr>
        <w:tabs>
          <w:tab w:val="right" w:leader="dot" w:pos="9062"/>
        </w:tabs>
        <w:ind w:left="440"/>
      </w:pPr>
      <w:hyperlink w:anchor="_Toc786" w:history="1">
        <w:r>
          <w:rPr>
            <w:rFonts w:ascii="IRNazanin" w:hAnsi="IRNazanin" w:eastAsia="IRNazanin" w:cs="IRNazanin"/>
            <w:color w:val="111111"/>
            <w:sz w:val="22"/>
            <w:szCs w:val="22"/>
            <w:b w:val="0"/>
            <w:bCs w:val="0"/>
            <w:i w:val="0"/>
            <w:iCs w:val="0"/>
          </w:rPr>
          <w:t>الاسدية فى انساب العلوية / انساب / فارسی</w:t>
        </w:r>
        <w:r>
          <w:tab/>
        </w:r>
        <w:r>
          <w:fldChar w:fldCharType="begin"/>
        </w:r>
        <w:r>
          <w:instrText xml:space="preserve">PAGEREF 786 \h</w:instrText>
        </w:r>
        <w:r>
          <w:fldChar w:fldCharType="end"/>
        </w:r>
      </w:hyperlink>
    </w:p>
    <w:p>
      <w:pPr>
        <w:tabs>
          <w:tab w:val="right" w:leader="dot" w:pos="9062"/>
        </w:tabs>
        <w:ind w:left="440"/>
      </w:pPr>
      <w:hyperlink w:anchor="_Toc787" w:history="1">
        <w:r>
          <w:rPr>
            <w:rFonts w:ascii="IRNazanin" w:hAnsi="IRNazanin" w:eastAsia="IRNazanin" w:cs="IRNazanin"/>
            <w:color w:val="111111"/>
            <w:sz w:val="22"/>
            <w:szCs w:val="22"/>
            <w:b w:val="0"/>
            <w:bCs w:val="0"/>
            <w:i w:val="0"/>
            <w:iCs w:val="0"/>
          </w:rPr>
          <w:t>الاسراء الى المقام الاسراء / عرفان و تصوف / عربی</w:t>
        </w:r>
        <w:r>
          <w:tab/>
        </w:r>
        <w:r>
          <w:fldChar w:fldCharType="begin"/>
        </w:r>
        <w:r>
          <w:instrText xml:space="preserve">PAGEREF 787 \h</w:instrText>
        </w:r>
        <w:r>
          <w:fldChar w:fldCharType="end"/>
        </w:r>
      </w:hyperlink>
    </w:p>
    <w:p>
      <w:pPr>
        <w:tabs>
          <w:tab w:val="right" w:leader="dot" w:pos="9062"/>
        </w:tabs>
        <w:ind w:left="440"/>
      </w:pPr>
      <w:hyperlink w:anchor="_Toc788" w:history="1">
        <w:r>
          <w:rPr>
            <w:rFonts w:ascii="IRNazanin" w:hAnsi="IRNazanin" w:eastAsia="IRNazanin" w:cs="IRNazanin"/>
            <w:color w:val="111111"/>
            <w:sz w:val="22"/>
            <w:szCs w:val="22"/>
            <w:b w:val="0"/>
            <w:bCs w:val="0"/>
            <w:i w:val="0"/>
            <w:iCs w:val="0"/>
          </w:rPr>
          <w:t>الاسرار / كيميا / عربي</w:t>
        </w:r>
        <w:r>
          <w:tab/>
        </w:r>
        <w:r>
          <w:fldChar w:fldCharType="begin"/>
        </w:r>
        <w:r>
          <w:instrText xml:space="preserve">PAGEREF 788 \h</w:instrText>
        </w:r>
        <w:r>
          <w:fldChar w:fldCharType="end"/>
        </w:r>
      </w:hyperlink>
    </w:p>
    <w:p>
      <w:pPr>
        <w:tabs>
          <w:tab w:val="right" w:leader="dot" w:pos="9062"/>
        </w:tabs>
        <w:ind w:left="440"/>
      </w:pPr>
      <w:hyperlink w:anchor="_Toc789" w:history="1">
        <w:r>
          <w:rPr>
            <w:rFonts w:ascii="IRNazanin" w:hAnsi="IRNazanin" w:eastAsia="IRNazanin" w:cs="IRNazanin"/>
            <w:color w:val="111111"/>
            <w:sz w:val="22"/>
            <w:szCs w:val="22"/>
            <w:b w:val="0"/>
            <w:bCs w:val="0"/>
            <w:i w:val="0"/>
            <w:iCs w:val="0"/>
          </w:rPr>
          <w:t>اسرار / عرفان و تصوف / فارسی</w:t>
        </w:r>
        <w:r>
          <w:tab/>
        </w:r>
        <w:r>
          <w:fldChar w:fldCharType="begin"/>
        </w:r>
        <w:r>
          <w:instrText xml:space="preserve">PAGEREF 789 \h</w:instrText>
        </w:r>
        <w:r>
          <w:fldChar w:fldCharType="end"/>
        </w:r>
      </w:hyperlink>
    </w:p>
    <w:p>
      <w:pPr>
        <w:tabs>
          <w:tab w:val="right" w:leader="dot" w:pos="9062"/>
        </w:tabs>
        <w:ind w:left="440"/>
      </w:pPr>
      <w:hyperlink w:anchor="_Toc790" w:history="1">
        <w:r>
          <w:rPr>
            <w:rFonts w:ascii="IRNazanin" w:hAnsi="IRNazanin" w:eastAsia="IRNazanin" w:cs="IRNazanin"/>
            <w:color w:val="111111"/>
            <w:sz w:val="22"/>
            <w:szCs w:val="22"/>
            <w:b w:val="0"/>
            <w:bCs w:val="0"/>
            <w:i w:val="0"/>
            <w:iCs w:val="0"/>
          </w:rPr>
          <w:t>الاسرار / عرفان و تصوف / عربی</w:t>
        </w:r>
        <w:r>
          <w:tab/>
        </w:r>
        <w:r>
          <w:fldChar w:fldCharType="begin"/>
        </w:r>
        <w:r>
          <w:instrText xml:space="preserve">PAGEREF 790 \h</w:instrText>
        </w:r>
        <w:r>
          <w:fldChar w:fldCharType="end"/>
        </w:r>
      </w:hyperlink>
    </w:p>
    <w:p>
      <w:pPr>
        <w:tabs>
          <w:tab w:val="right" w:leader="dot" w:pos="9062"/>
        </w:tabs>
        <w:ind w:left="440"/>
      </w:pPr>
      <w:hyperlink w:anchor="_Toc791" w:history="1">
        <w:r>
          <w:rPr>
            <w:rFonts w:ascii="IRNazanin" w:hAnsi="IRNazanin" w:eastAsia="IRNazanin" w:cs="IRNazanin"/>
            <w:color w:val="111111"/>
            <w:sz w:val="22"/>
            <w:szCs w:val="22"/>
            <w:b w:val="0"/>
            <w:bCs w:val="0"/>
            <w:i w:val="0"/>
            <w:iCs w:val="0"/>
          </w:rPr>
          <w:t>الاسرار / كيميا / عربي</w:t>
        </w:r>
        <w:r>
          <w:tab/>
        </w:r>
        <w:r>
          <w:fldChar w:fldCharType="begin"/>
        </w:r>
        <w:r>
          <w:instrText xml:space="preserve">PAGEREF 791 \h</w:instrText>
        </w:r>
        <w:r>
          <w:fldChar w:fldCharType="end"/>
        </w:r>
      </w:hyperlink>
    </w:p>
    <w:p>
      <w:pPr>
        <w:tabs>
          <w:tab w:val="right" w:leader="dot" w:pos="9062"/>
        </w:tabs>
        <w:ind w:left="440"/>
      </w:pPr>
      <w:hyperlink w:anchor="_Toc792" w:history="1">
        <w:r>
          <w:rPr>
            <w:rFonts w:ascii="IRNazanin" w:hAnsi="IRNazanin" w:eastAsia="IRNazanin" w:cs="IRNazanin"/>
            <w:color w:val="111111"/>
            <w:sz w:val="22"/>
            <w:szCs w:val="22"/>
            <w:b w:val="0"/>
            <w:bCs w:val="0"/>
            <w:i w:val="0"/>
            <w:iCs w:val="0"/>
          </w:rPr>
          <w:t>اسرار الآيات / عرفان و تصوف / فارسی</w:t>
        </w:r>
        <w:r>
          <w:tab/>
        </w:r>
        <w:r>
          <w:fldChar w:fldCharType="begin"/>
        </w:r>
        <w:r>
          <w:instrText xml:space="preserve">PAGEREF 792 \h</w:instrText>
        </w:r>
        <w:r>
          <w:fldChar w:fldCharType="end"/>
        </w:r>
      </w:hyperlink>
    </w:p>
    <w:p>
      <w:pPr>
        <w:tabs>
          <w:tab w:val="right" w:leader="dot" w:pos="9062"/>
        </w:tabs>
        <w:ind w:left="440"/>
      </w:pPr>
      <w:hyperlink w:anchor="_Toc793" w:history="1">
        <w:r>
          <w:rPr>
            <w:rFonts w:ascii="IRNazanin" w:hAnsi="IRNazanin" w:eastAsia="IRNazanin" w:cs="IRNazanin"/>
            <w:color w:val="111111"/>
            <w:sz w:val="22"/>
            <w:szCs w:val="22"/>
            <w:b w:val="0"/>
            <w:bCs w:val="0"/>
            <w:i w:val="0"/>
            <w:iCs w:val="0"/>
          </w:rPr>
          <w:t>اسرار الآیات و انوار البينات / تفسیر / عربی</w:t>
        </w:r>
        <w:r>
          <w:tab/>
        </w:r>
        <w:r>
          <w:fldChar w:fldCharType="begin"/>
        </w:r>
        <w:r>
          <w:instrText xml:space="preserve">PAGEREF 793 \h</w:instrText>
        </w:r>
        <w:r>
          <w:fldChar w:fldCharType="end"/>
        </w:r>
      </w:hyperlink>
    </w:p>
    <w:p>
      <w:pPr>
        <w:tabs>
          <w:tab w:val="right" w:leader="dot" w:pos="9062"/>
        </w:tabs>
        <w:ind w:left="440"/>
      </w:pPr>
      <w:hyperlink w:anchor="_Toc794" w:history="1">
        <w:r>
          <w:rPr>
            <w:rFonts w:ascii="IRNazanin" w:hAnsi="IRNazanin" w:eastAsia="IRNazanin" w:cs="IRNazanin"/>
            <w:color w:val="111111"/>
            <w:sz w:val="22"/>
            <w:szCs w:val="22"/>
            <w:b w:val="0"/>
            <w:bCs w:val="0"/>
            <w:i w:val="0"/>
            <w:iCs w:val="0"/>
          </w:rPr>
          <w:t>اسرار ابتلاء الاولیاء / تاریخ معصومین / فارسی</w:t>
        </w:r>
        <w:r>
          <w:tab/>
        </w:r>
        <w:r>
          <w:fldChar w:fldCharType="begin"/>
        </w:r>
        <w:r>
          <w:instrText xml:space="preserve">PAGEREF 794 \h</w:instrText>
        </w:r>
        <w:r>
          <w:fldChar w:fldCharType="end"/>
        </w:r>
      </w:hyperlink>
    </w:p>
    <w:p>
      <w:pPr>
        <w:tabs>
          <w:tab w:val="right" w:leader="dot" w:pos="9062"/>
        </w:tabs>
        <w:ind w:left="440"/>
      </w:pPr>
      <w:hyperlink w:anchor="_Toc795" w:history="1">
        <w:r>
          <w:rPr>
            <w:rFonts w:ascii="IRNazanin" w:hAnsi="IRNazanin" w:eastAsia="IRNazanin" w:cs="IRNazanin"/>
            <w:color w:val="111111"/>
            <w:sz w:val="22"/>
            <w:szCs w:val="22"/>
            <w:b w:val="0"/>
            <w:bCs w:val="0"/>
            <w:i w:val="0"/>
            <w:iCs w:val="0"/>
          </w:rPr>
          <w:t>اسرار الابرار / تراجم / فارسی</w:t>
        </w:r>
        <w:r>
          <w:tab/>
        </w:r>
        <w:r>
          <w:fldChar w:fldCharType="begin"/>
        </w:r>
        <w:r>
          <w:instrText xml:space="preserve">PAGEREF 795 \h</w:instrText>
        </w:r>
        <w:r>
          <w:fldChar w:fldCharType="end"/>
        </w:r>
      </w:hyperlink>
    </w:p>
    <w:p>
      <w:pPr>
        <w:tabs>
          <w:tab w:val="right" w:leader="dot" w:pos="9062"/>
        </w:tabs>
        <w:ind w:left="440"/>
      </w:pPr>
      <w:hyperlink w:anchor="_Toc796" w:history="1">
        <w:r>
          <w:rPr>
            <w:rFonts w:ascii="IRNazanin" w:hAnsi="IRNazanin" w:eastAsia="IRNazanin" w:cs="IRNazanin"/>
            <w:color w:val="111111"/>
            <w:sz w:val="22"/>
            <w:szCs w:val="22"/>
            <w:b w:val="0"/>
            <w:bCs w:val="0"/>
            <w:i w:val="0"/>
            <w:iCs w:val="0"/>
          </w:rPr>
          <w:t>اسرار الابرار و اخبار الاخیار / عرفان و تصوف / فارسی</w:t>
        </w:r>
        <w:r>
          <w:tab/>
        </w:r>
        <w:r>
          <w:fldChar w:fldCharType="begin"/>
        </w:r>
        <w:r>
          <w:instrText xml:space="preserve">PAGEREF 796 \h</w:instrText>
        </w:r>
        <w:r>
          <w:fldChar w:fldCharType="end"/>
        </w:r>
      </w:hyperlink>
    </w:p>
    <w:p>
      <w:pPr>
        <w:tabs>
          <w:tab w:val="right" w:leader="dot" w:pos="9062"/>
        </w:tabs>
        <w:ind w:left="440"/>
      </w:pPr>
      <w:hyperlink w:anchor="_Toc797" w:history="1">
        <w:r>
          <w:rPr>
            <w:rFonts w:ascii="IRNazanin" w:hAnsi="IRNazanin" w:eastAsia="IRNazanin" w:cs="IRNazanin"/>
            <w:color w:val="111111"/>
            <w:sz w:val="22"/>
            <w:szCs w:val="22"/>
            <w:b w:val="0"/>
            <w:bCs w:val="0"/>
            <w:i w:val="0"/>
            <w:iCs w:val="0"/>
          </w:rPr>
          <w:t>اسرار الاخيار و الابرار / عرفان و تصوف / فارسی</w:t>
        </w:r>
        <w:r>
          <w:tab/>
        </w:r>
        <w:r>
          <w:fldChar w:fldCharType="begin"/>
        </w:r>
        <w:r>
          <w:instrText xml:space="preserve">PAGEREF 797 \h</w:instrText>
        </w:r>
        <w:r>
          <w:fldChar w:fldCharType="end"/>
        </w:r>
      </w:hyperlink>
    </w:p>
    <w:p>
      <w:pPr>
        <w:tabs>
          <w:tab w:val="right" w:leader="dot" w:pos="9062"/>
        </w:tabs>
        <w:ind w:left="440"/>
      </w:pPr>
      <w:hyperlink w:anchor="_Toc798" w:history="1">
        <w:r>
          <w:rPr>
            <w:rFonts w:ascii="IRNazanin" w:hAnsi="IRNazanin" w:eastAsia="IRNazanin" w:cs="IRNazanin"/>
            <w:color w:val="111111"/>
            <w:sz w:val="22"/>
            <w:szCs w:val="22"/>
            <w:b w:val="0"/>
            <w:bCs w:val="0"/>
            <w:i w:val="0"/>
            <w:iCs w:val="0"/>
          </w:rPr>
          <w:t>اسرار الاذکار / عرفان و تصوف / فارسی</w:t>
        </w:r>
        <w:r>
          <w:tab/>
        </w:r>
        <w:r>
          <w:fldChar w:fldCharType="begin"/>
        </w:r>
        <w:r>
          <w:instrText xml:space="preserve">PAGEREF 798 \h</w:instrText>
        </w:r>
        <w:r>
          <w:fldChar w:fldCharType="end"/>
        </w:r>
      </w:hyperlink>
    </w:p>
    <w:p>
      <w:pPr>
        <w:tabs>
          <w:tab w:val="right" w:leader="dot" w:pos="9062"/>
        </w:tabs>
        <w:ind w:left="440"/>
      </w:pPr>
      <w:hyperlink w:anchor="_Toc799" w:history="1">
        <w:r>
          <w:rPr>
            <w:rFonts w:ascii="IRNazanin" w:hAnsi="IRNazanin" w:eastAsia="IRNazanin" w:cs="IRNazanin"/>
            <w:color w:val="111111"/>
            <w:sz w:val="22"/>
            <w:szCs w:val="22"/>
            <w:b w:val="0"/>
            <w:bCs w:val="0"/>
            <w:i w:val="0"/>
            <w:iCs w:val="0"/>
          </w:rPr>
          <w:t>اسرار الاصول / اصول فقه / عربی</w:t>
        </w:r>
        <w:r>
          <w:tab/>
        </w:r>
        <w:r>
          <w:fldChar w:fldCharType="begin"/>
        </w:r>
        <w:r>
          <w:instrText xml:space="preserve">PAGEREF 799 \h</w:instrText>
        </w:r>
        <w:r>
          <w:fldChar w:fldCharType="end"/>
        </w:r>
      </w:hyperlink>
    </w:p>
    <w:p>
      <w:pPr>
        <w:tabs>
          <w:tab w:val="right" w:leader="dot" w:pos="9062"/>
        </w:tabs>
        <w:ind w:left="440"/>
      </w:pPr>
      <w:hyperlink w:anchor="_Toc800" w:history="1">
        <w:r>
          <w:rPr>
            <w:rFonts w:ascii="IRNazanin" w:hAnsi="IRNazanin" w:eastAsia="IRNazanin" w:cs="IRNazanin"/>
            <w:color w:val="111111"/>
            <w:sz w:val="22"/>
            <w:szCs w:val="22"/>
            <w:b w:val="0"/>
            <w:bCs w:val="0"/>
            <w:i w:val="0"/>
            <w:iCs w:val="0"/>
          </w:rPr>
          <w:t>اسرار الاطباء / طب / فارسی</w:t>
        </w:r>
        <w:r>
          <w:tab/>
        </w:r>
        <w:r>
          <w:fldChar w:fldCharType="begin"/>
        </w:r>
        <w:r>
          <w:instrText xml:space="preserve">PAGEREF 800 \h</w:instrText>
        </w:r>
        <w:r>
          <w:fldChar w:fldCharType="end"/>
        </w:r>
      </w:hyperlink>
    </w:p>
    <w:p>
      <w:pPr>
        <w:tabs>
          <w:tab w:val="right" w:leader="dot" w:pos="9062"/>
        </w:tabs>
        <w:ind w:left="440"/>
      </w:pPr>
      <w:hyperlink w:anchor="_Toc801" w:history="1">
        <w:r>
          <w:rPr>
            <w:rFonts w:ascii="IRNazanin" w:hAnsi="IRNazanin" w:eastAsia="IRNazanin" w:cs="IRNazanin"/>
            <w:color w:val="111111"/>
            <w:sz w:val="22"/>
            <w:szCs w:val="22"/>
            <w:b w:val="0"/>
            <w:bCs w:val="0"/>
            <w:i w:val="0"/>
            <w:iCs w:val="0"/>
          </w:rPr>
          <w:t>الاسرار الاعظم / علوم غریبه / عربی</w:t>
        </w:r>
        <w:r>
          <w:tab/>
        </w:r>
        <w:r>
          <w:fldChar w:fldCharType="begin"/>
        </w:r>
        <w:r>
          <w:instrText xml:space="preserve">PAGEREF 801 \h</w:instrText>
        </w:r>
        <w:r>
          <w:fldChar w:fldCharType="end"/>
        </w:r>
      </w:hyperlink>
    </w:p>
    <w:p>
      <w:pPr>
        <w:tabs>
          <w:tab w:val="right" w:leader="dot" w:pos="9062"/>
        </w:tabs>
        <w:ind w:left="440"/>
      </w:pPr>
      <w:hyperlink w:anchor="_Toc802" w:history="1">
        <w:r>
          <w:rPr>
            <w:rFonts w:ascii="IRNazanin" w:hAnsi="IRNazanin" w:eastAsia="IRNazanin" w:cs="IRNazanin"/>
            <w:color w:val="111111"/>
            <w:sz w:val="22"/>
            <w:szCs w:val="22"/>
            <w:b w:val="0"/>
            <w:bCs w:val="0"/>
            <w:i w:val="0"/>
            <w:iCs w:val="0"/>
          </w:rPr>
          <w:t>الاسرار الالهية / كيميا / عربي</w:t>
        </w:r>
        <w:r>
          <w:tab/>
        </w:r>
        <w:r>
          <w:fldChar w:fldCharType="begin"/>
        </w:r>
        <w:r>
          <w:instrText xml:space="preserve">PAGEREF 802 \h</w:instrText>
        </w:r>
        <w:r>
          <w:fldChar w:fldCharType="end"/>
        </w:r>
      </w:hyperlink>
    </w:p>
    <w:p>
      <w:pPr>
        <w:tabs>
          <w:tab w:val="right" w:leader="dot" w:pos="9062"/>
        </w:tabs>
        <w:ind w:left="440"/>
      </w:pPr>
      <w:hyperlink w:anchor="_Toc803" w:history="1">
        <w:r>
          <w:rPr>
            <w:rFonts w:ascii="IRNazanin" w:hAnsi="IRNazanin" w:eastAsia="IRNazanin" w:cs="IRNazanin"/>
            <w:color w:val="111111"/>
            <w:sz w:val="22"/>
            <w:szCs w:val="22"/>
            <w:b w:val="0"/>
            <w:bCs w:val="0"/>
            <w:i w:val="0"/>
            <w:iCs w:val="0"/>
          </w:rPr>
          <w:t>الاسرار الالهية / فلسفه / عربي</w:t>
        </w:r>
        <w:r>
          <w:tab/>
        </w:r>
        <w:r>
          <w:fldChar w:fldCharType="begin"/>
        </w:r>
        <w:r>
          <w:instrText xml:space="preserve">PAGEREF 803 \h</w:instrText>
        </w:r>
        <w:r>
          <w:fldChar w:fldCharType="end"/>
        </w:r>
      </w:hyperlink>
    </w:p>
    <w:p>
      <w:pPr>
        <w:tabs>
          <w:tab w:val="right" w:leader="dot" w:pos="9062"/>
        </w:tabs>
        <w:ind w:left="440"/>
      </w:pPr>
      <w:hyperlink w:anchor="_Toc804" w:history="1">
        <w:r>
          <w:rPr>
            <w:rFonts w:ascii="IRNazanin" w:hAnsi="IRNazanin" w:eastAsia="IRNazanin" w:cs="IRNazanin"/>
            <w:color w:val="111111"/>
            <w:sz w:val="22"/>
            <w:szCs w:val="22"/>
            <w:b w:val="0"/>
            <w:bCs w:val="0"/>
            <w:i w:val="0"/>
            <w:iCs w:val="0"/>
          </w:rPr>
          <w:t>اسرار الامامة = اسرار الائمة / كلام و اعتقادات / عربی</w:t>
        </w:r>
        <w:r>
          <w:tab/>
        </w:r>
        <w:r>
          <w:fldChar w:fldCharType="begin"/>
        </w:r>
        <w:r>
          <w:instrText xml:space="preserve">PAGEREF 804 \h</w:instrText>
        </w:r>
        <w:r>
          <w:fldChar w:fldCharType="end"/>
        </w:r>
      </w:hyperlink>
    </w:p>
    <w:p>
      <w:pPr>
        <w:tabs>
          <w:tab w:val="right" w:leader="dot" w:pos="9062"/>
        </w:tabs>
        <w:ind w:left="440"/>
      </w:pPr>
      <w:hyperlink w:anchor="_Toc805" w:history="1">
        <w:r>
          <w:rPr>
            <w:rFonts w:ascii="IRNazanin" w:hAnsi="IRNazanin" w:eastAsia="IRNazanin" w:cs="IRNazanin"/>
            <w:color w:val="111111"/>
            <w:sz w:val="22"/>
            <w:szCs w:val="22"/>
            <w:b w:val="0"/>
            <w:bCs w:val="0"/>
            <w:i w:val="0"/>
            <w:iCs w:val="0"/>
          </w:rPr>
          <w:t>اسرار امیرالمؤمنین / فضایل و مناقب / عربی</w:t>
        </w:r>
        <w:r>
          <w:tab/>
        </w:r>
        <w:r>
          <w:fldChar w:fldCharType="begin"/>
        </w:r>
        <w:r>
          <w:instrText xml:space="preserve">PAGEREF 805 \h</w:instrText>
        </w:r>
        <w:r>
          <w:fldChar w:fldCharType="end"/>
        </w:r>
      </w:hyperlink>
    </w:p>
    <w:p>
      <w:pPr>
        <w:tabs>
          <w:tab w:val="right" w:leader="dot" w:pos="9062"/>
        </w:tabs>
        <w:ind w:left="440"/>
      </w:pPr>
      <w:hyperlink w:anchor="_Toc806" w:history="1">
        <w:r>
          <w:rPr>
            <w:rFonts w:ascii="IRNazanin" w:hAnsi="IRNazanin" w:eastAsia="IRNazanin" w:cs="IRNazanin"/>
            <w:color w:val="111111"/>
            <w:sz w:val="22"/>
            <w:szCs w:val="22"/>
            <w:b w:val="0"/>
            <w:bCs w:val="0"/>
            <w:i w:val="0"/>
            <w:iCs w:val="0"/>
          </w:rPr>
          <w:t>اسرار امیرالمؤمنين (الفصل الثاني في) / فضایل و  مناقب / عربی</w:t>
        </w:r>
        <w:r>
          <w:tab/>
        </w:r>
        <w:r>
          <w:fldChar w:fldCharType="begin"/>
        </w:r>
        <w:r>
          <w:instrText xml:space="preserve">PAGEREF 806 \h</w:instrText>
        </w:r>
        <w:r>
          <w:fldChar w:fldCharType="end"/>
        </w:r>
      </w:hyperlink>
    </w:p>
    <w:p>
      <w:pPr>
        <w:tabs>
          <w:tab w:val="right" w:leader="dot" w:pos="9062"/>
        </w:tabs>
        <w:ind w:left="440"/>
      </w:pPr>
      <w:hyperlink w:anchor="_Toc807" w:history="1">
        <w:r>
          <w:rPr>
            <w:rFonts w:ascii="IRNazanin" w:hAnsi="IRNazanin" w:eastAsia="IRNazanin" w:cs="IRNazanin"/>
            <w:color w:val="111111"/>
            <w:sz w:val="22"/>
            <w:szCs w:val="22"/>
            <w:b w:val="0"/>
            <w:bCs w:val="0"/>
            <w:i w:val="0"/>
            <w:iCs w:val="0"/>
          </w:rPr>
          <w:t>اسرار الانبیاء و انوار الاصفیاء / حدیث - فارسی</w:t>
        </w:r>
        <w:r>
          <w:tab/>
        </w:r>
        <w:r>
          <w:fldChar w:fldCharType="begin"/>
        </w:r>
        <w:r>
          <w:instrText xml:space="preserve">PAGEREF 807 \h</w:instrText>
        </w:r>
        <w:r>
          <w:fldChar w:fldCharType="end"/>
        </w:r>
      </w:hyperlink>
    </w:p>
    <w:p>
      <w:pPr>
        <w:tabs>
          <w:tab w:val="right" w:leader="dot" w:pos="9062"/>
        </w:tabs>
        <w:ind w:left="440"/>
      </w:pPr>
      <w:hyperlink w:anchor="_Toc808" w:history="1">
        <w:r>
          <w:rPr>
            <w:rFonts w:ascii="IRNazanin" w:hAnsi="IRNazanin" w:eastAsia="IRNazanin" w:cs="IRNazanin"/>
            <w:color w:val="111111"/>
            <w:sz w:val="22"/>
            <w:szCs w:val="22"/>
            <w:b w:val="0"/>
            <w:bCs w:val="0"/>
            <w:i w:val="0"/>
            <w:iCs w:val="0"/>
          </w:rPr>
          <w:t>اسرار الانوار الالهية / عرفان و تصوف / عربی</w:t>
        </w:r>
        <w:r>
          <w:tab/>
        </w:r>
        <w:r>
          <w:fldChar w:fldCharType="begin"/>
        </w:r>
        <w:r>
          <w:instrText xml:space="preserve">PAGEREF 808 \h</w:instrText>
        </w:r>
        <w:r>
          <w:fldChar w:fldCharType="end"/>
        </w:r>
      </w:hyperlink>
    </w:p>
    <w:p>
      <w:pPr>
        <w:tabs>
          <w:tab w:val="right" w:leader="dot" w:pos="9062"/>
        </w:tabs>
        <w:ind w:left="440"/>
      </w:pPr>
      <w:hyperlink w:anchor="_Toc809" w:history="1">
        <w:r>
          <w:rPr>
            <w:rFonts w:ascii="IRNazanin" w:hAnsi="IRNazanin" w:eastAsia="IRNazanin" w:cs="IRNazanin"/>
            <w:color w:val="111111"/>
            <w:sz w:val="22"/>
            <w:szCs w:val="22"/>
            <w:b w:val="0"/>
            <w:bCs w:val="0"/>
            <w:i w:val="0"/>
            <w:iCs w:val="0"/>
          </w:rPr>
          <w:t>اسرار الانوار فى مناقب ائمة الاطهار = رساله  لاهوتیه و مقاله ملکوتیه / شعر / فارسی</w:t>
        </w:r>
        <w:r>
          <w:tab/>
        </w:r>
        <w:r>
          <w:fldChar w:fldCharType="begin"/>
        </w:r>
        <w:r>
          <w:instrText xml:space="preserve">PAGEREF 809 \h</w:instrText>
        </w:r>
        <w:r>
          <w:fldChar w:fldCharType="end"/>
        </w:r>
      </w:hyperlink>
    </w:p>
    <w:p>
      <w:pPr>
        <w:tabs>
          <w:tab w:val="right" w:leader="dot" w:pos="9062"/>
        </w:tabs>
        <w:ind w:left="440"/>
      </w:pPr>
      <w:hyperlink w:anchor="_Toc810" w:history="1">
        <w:r>
          <w:rPr>
            <w:rFonts w:ascii="IRNazanin" w:hAnsi="IRNazanin" w:eastAsia="IRNazanin" w:cs="IRNazanin"/>
            <w:color w:val="111111"/>
            <w:sz w:val="22"/>
            <w:szCs w:val="22"/>
            <w:b w:val="0"/>
            <w:bCs w:val="0"/>
            <w:i w:val="0"/>
            <w:iCs w:val="0"/>
          </w:rPr>
          <w:t>اسرار الاولیاء / عرفان و تصوف / فارسی</w:t>
        </w:r>
        <w:r>
          <w:tab/>
        </w:r>
        <w:r>
          <w:fldChar w:fldCharType="begin"/>
        </w:r>
        <w:r>
          <w:instrText xml:space="preserve">PAGEREF 810 \h</w:instrText>
        </w:r>
        <w:r>
          <w:fldChar w:fldCharType="end"/>
        </w:r>
      </w:hyperlink>
    </w:p>
    <w:p>
      <w:pPr>
        <w:tabs>
          <w:tab w:val="right" w:leader="dot" w:pos="9062"/>
        </w:tabs>
        <w:ind w:left="440"/>
      </w:pPr>
      <w:hyperlink w:anchor="_Toc811" w:history="1">
        <w:r>
          <w:rPr>
            <w:rFonts w:ascii="IRNazanin" w:hAnsi="IRNazanin" w:eastAsia="IRNazanin" w:cs="IRNazanin"/>
            <w:color w:val="111111"/>
            <w:sz w:val="22"/>
            <w:szCs w:val="22"/>
            <w:b w:val="0"/>
            <w:bCs w:val="0"/>
            <w:i w:val="0"/>
            <w:iCs w:val="0"/>
          </w:rPr>
          <w:t>اسرار الائمة / كلام و اعتقادات / عربی</w:t>
        </w:r>
        <w:r>
          <w:tab/>
        </w:r>
        <w:r>
          <w:fldChar w:fldCharType="begin"/>
        </w:r>
        <w:r>
          <w:instrText xml:space="preserve">PAGEREF 811 \h</w:instrText>
        </w:r>
        <w:r>
          <w:fldChar w:fldCharType="end"/>
        </w:r>
      </w:hyperlink>
    </w:p>
    <w:p>
      <w:pPr>
        <w:tabs>
          <w:tab w:val="right" w:leader="dot" w:pos="9062"/>
        </w:tabs>
        <w:ind w:left="440"/>
      </w:pPr>
      <w:hyperlink w:anchor="_Toc812" w:history="1">
        <w:r>
          <w:rPr>
            <w:rFonts w:ascii="IRNazanin" w:hAnsi="IRNazanin" w:eastAsia="IRNazanin" w:cs="IRNazanin"/>
            <w:color w:val="111111"/>
            <w:sz w:val="22"/>
            <w:szCs w:val="22"/>
            <w:b w:val="0"/>
            <w:bCs w:val="0"/>
            <w:i w:val="0"/>
            <w:iCs w:val="0"/>
          </w:rPr>
          <w:t>اسرار برخی از اشکال و طلسمات و ادعیه / علوم غریبه / فارسی</w:t>
        </w:r>
        <w:r>
          <w:tab/>
        </w:r>
        <w:r>
          <w:fldChar w:fldCharType="begin"/>
        </w:r>
        <w:r>
          <w:instrText xml:space="preserve">PAGEREF 812 \h</w:instrText>
        </w:r>
        <w:r>
          <w:fldChar w:fldCharType="end"/>
        </w:r>
      </w:hyperlink>
    </w:p>
    <w:p>
      <w:pPr>
        <w:tabs>
          <w:tab w:val="right" w:leader="dot" w:pos="9062"/>
        </w:tabs>
        <w:ind w:left="440"/>
      </w:pPr>
      <w:hyperlink w:anchor="_Toc813" w:history="1">
        <w:r>
          <w:rPr>
            <w:rFonts w:ascii="IRNazanin" w:hAnsi="IRNazanin" w:eastAsia="IRNazanin" w:cs="IRNazanin"/>
            <w:color w:val="111111"/>
            <w:sz w:val="22"/>
            <w:szCs w:val="22"/>
            <w:b w:val="0"/>
            <w:bCs w:val="0"/>
            <w:i w:val="0"/>
            <w:iCs w:val="0"/>
          </w:rPr>
          <w:t>اسرار بسمله / شعر / فارسی</w:t>
        </w:r>
        <w:r>
          <w:tab/>
        </w:r>
        <w:r>
          <w:fldChar w:fldCharType="begin"/>
        </w:r>
        <w:r>
          <w:instrText xml:space="preserve">PAGEREF 813 \h</w:instrText>
        </w:r>
        <w:r>
          <w:fldChar w:fldCharType="end"/>
        </w:r>
      </w:hyperlink>
    </w:p>
    <w:p>
      <w:pPr>
        <w:tabs>
          <w:tab w:val="right" w:leader="dot" w:pos="9062"/>
        </w:tabs>
        <w:ind w:left="440"/>
      </w:pPr>
      <w:hyperlink w:anchor="_Toc814" w:history="1">
        <w:r>
          <w:rPr>
            <w:rFonts w:ascii="IRNazanin" w:hAnsi="IRNazanin" w:eastAsia="IRNazanin" w:cs="IRNazanin"/>
            <w:color w:val="111111"/>
            <w:sz w:val="22"/>
            <w:szCs w:val="22"/>
            <w:b w:val="0"/>
            <w:bCs w:val="0"/>
            <w:i w:val="0"/>
            <w:iCs w:val="0"/>
          </w:rPr>
          <w:t>اسرار بسمله/ عرفان و تصوف / عربی</w:t>
        </w:r>
        <w:r>
          <w:tab/>
        </w:r>
        <w:r>
          <w:fldChar w:fldCharType="begin"/>
        </w:r>
        <w:r>
          <w:instrText xml:space="preserve">PAGEREF 814 \h</w:instrText>
        </w:r>
        <w:r>
          <w:fldChar w:fldCharType="end"/>
        </w:r>
      </w:hyperlink>
    </w:p>
    <w:p>
      <w:pPr>
        <w:tabs>
          <w:tab w:val="right" w:leader="dot" w:pos="9062"/>
        </w:tabs>
        <w:ind w:left="440"/>
      </w:pPr>
      <w:hyperlink w:anchor="_Toc815" w:history="1">
        <w:r>
          <w:rPr>
            <w:rFonts w:ascii="IRNazanin" w:hAnsi="IRNazanin" w:eastAsia="IRNazanin" w:cs="IRNazanin"/>
            <w:color w:val="111111"/>
            <w:sz w:val="22"/>
            <w:szCs w:val="22"/>
            <w:b w:val="0"/>
            <w:bCs w:val="0"/>
            <w:i w:val="0"/>
            <w:iCs w:val="0"/>
          </w:rPr>
          <w:t>اسرار بسمله / علوم قرآن - فارسی</w:t>
        </w:r>
        <w:r>
          <w:tab/>
        </w:r>
        <w:r>
          <w:fldChar w:fldCharType="begin"/>
        </w:r>
        <w:r>
          <w:instrText xml:space="preserve">PAGEREF 815 \h</w:instrText>
        </w:r>
        <w:r>
          <w:fldChar w:fldCharType="end"/>
        </w:r>
      </w:hyperlink>
    </w:p>
    <w:p>
      <w:pPr>
        <w:tabs>
          <w:tab w:val="right" w:leader="dot" w:pos="9062"/>
        </w:tabs>
        <w:ind w:left="440"/>
      </w:pPr>
      <w:hyperlink w:anchor="_Toc816" w:history="1">
        <w:r>
          <w:rPr>
            <w:rFonts w:ascii="IRNazanin" w:hAnsi="IRNazanin" w:eastAsia="IRNazanin" w:cs="IRNazanin"/>
            <w:color w:val="111111"/>
            <w:sz w:val="22"/>
            <w:szCs w:val="22"/>
            <w:b w:val="0"/>
            <w:bCs w:val="0"/>
            <w:i w:val="0"/>
            <w:iCs w:val="0"/>
          </w:rPr>
          <w:t>اسرار ترن آبی رنگ / داستان / فارسی</w:t>
        </w:r>
        <w:r>
          <w:tab/>
        </w:r>
        <w:r>
          <w:fldChar w:fldCharType="begin"/>
        </w:r>
        <w:r>
          <w:instrText xml:space="preserve">PAGEREF 816 \h</w:instrText>
        </w:r>
        <w:r>
          <w:fldChar w:fldCharType="end"/>
        </w:r>
      </w:hyperlink>
    </w:p>
    <w:p>
      <w:pPr>
        <w:tabs>
          <w:tab w:val="right" w:leader="dot" w:pos="9062"/>
        </w:tabs>
        <w:ind w:left="440"/>
      </w:pPr>
      <w:hyperlink w:anchor="_Toc817" w:history="1">
        <w:r>
          <w:rPr>
            <w:rFonts w:ascii="IRNazanin" w:hAnsi="IRNazanin" w:eastAsia="IRNazanin" w:cs="IRNazanin"/>
            <w:color w:val="111111"/>
            <w:sz w:val="22"/>
            <w:szCs w:val="22"/>
            <w:b w:val="0"/>
            <w:bCs w:val="0"/>
            <w:i w:val="0"/>
            <w:iCs w:val="0"/>
          </w:rPr>
          <w:t>اسرار التصوف و خواص الحروف / عرفان و تصوف /  فارسی</w:t>
        </w:r>
        <w:r>
          <w:tab/>
        </w:r>
        <w:r>
          <w:fldChar w:fldCharType="begin"/>
        </w:r>
        <w:r>
          <w:instrText xml:space="preserve">PAGEREF 817 \h</w:instrText>
        </w:r>
        <w:r>
          <w:fldChar w:fldCharType="end"/>
        </w:r>
      </w:hyperlink>
    </w:p>
    <w:p>
      <w:pPr>
        <w:tabs>
          <w:tab w:val="right" w:leader="dot" w:pos="9062"/>
        </w:tabs>
        <w:ind w:left="440"/>
      </w:pPr>
      <w:hyperlink w:anchor="_Toc818" w:history="1">
        <w:r>
          <w:rPr>
            <w:rFonts w:ascii="IRNazanin" w:hAnsi="IRNazanin" w:eastAsia="IRNazanin" w:cs="IRNazanin"/>
            <w:color w:val="111111"/>
            <w:sz w:val="22"/>
            <w:szCs w:val="22"/>
            <w:b w:val="0"/>
            <w:bCs w:val="0"/>
            <w:i w:val="0"/>
            <w:iCs w:val="0"/>
          </w:rPr>
          <w:t>اسرار تلگراف بی سیم / صنعت / فارسی</w:t>
        </w:r>
        <w:r>
          <w:tab/>
        </w:r>
        <w:r>
          <w:fldChar w:fldCharType="begin"/>
        </w:r>
        <w:r>
          <w:instrText xml:space="preserve">PAGEREF 818 \h</w:instrText>
        </w:r>
        <w:r>
          <w:fldChar w:fldCharType="end"/>
        </w:r>
      </w:hyperlink>
    </w:p>
    <w:p>
      <w:pPr>
        <w:tabs>
          <w:tab w:val="right" w:leader="dot" w:pos="9062"/>
        </w:tabs>
        <w:ind w:left="440"/>
      </w:pPr>
      <w:hyperlink w:anchor="_Toc819" w:history="1">
        <w:r>
          <w:rPr>
            <w:rFonts w:ascii="IRNazanin" w:hAnsi="IRNazanin" w:eastAsia="IRNazanin" w:cs="IRNazanin"/>
            <w:color w:val="111111"/>
            <w:sz w:val="22"/>
            <w:szCs w:val="22"/>
            <w:b w:val="0"/>
            <w:bCs w:val="0"/>
            <w:i w:val="0"/>
            <w:iCs w:val="0"/>
          </w:rPr>
          <w:t>اسرار التنزیل و انوار التأویل / چند دانشی / عربی</w:t>
        </w:r>
        <w:r>
          <w:tab/>
        </w:r>
        <w:r>
          <w:fldChar w:fldCharType="begin"/>
        </w:r>
        <w:r>
          <w:instrText xml:space="preserve">PAGEREF 819 \h</w:instrText>
        </w:r>
        <w:r>
          <w:fldChar w:fldCharType="end"/>
        </w:r>
      </w:hyperlink>
    </w:p>
    <w:p>
      <w:pPr>
        <w:tabs>
          <w:tab w:val="right" w:leader="dot" w:pos="9062"/>
        </w:tabs>
        <w:ind w:left="440"/>
      </w:pPr>
      <w:hyperlink w:anchor="_Toc820" w:history="1">
        <w:r>
          <w:rPr>
            <w:rFonts w:ascii="IRNazanin" w:hAnsi="IRNazanin" w:eastAsia="IRNazanin" w:cs="IRNazanin"/>
            <w:color w:val="111111"/>
            <w:sz w:val="22"/>
            <w:szCs w:val="22"/>
            <w:b w:val="0"/>
            <w:bCs w:val="0"/>
            <w:i w:val="0"/>
            <w:iCs w:val="0"/>
          </w:rPr>
          <w:t>اسرار التوحید = بیان توحید / عرفان و تصوف / فارسی</w:t>
        </w:r>
        <w:r>
          <w:tab/>
        </w:r>
        <w:r>
          <w:fldChar w:fldCharType="begin"/>
        </w:r>
        <w:r>
          <w:instrText xml:space="preserve">PAGEREF 820 \h</w:instrText>
        </w:r>
        <w:r>
          <w:fldChar w:fldCharType="end"/>
        </w:r>
      </w:hyperlink>
    </w:p>
    <w:p>
      <w:pPr>
        <w:tabs>
          <w:tab w:val="right" w:leader="dot" w:pos="9062"/>
        </w:tabs>
        <w:ind w:left="440"/>
      </w:pPr>
      <w:hyperlink w:anchor="_Toc821" w:history="1">
        <w:r>
          <w:rPr>
            <w:rFonts w:ascii="IRNazanin" w:hAnsi="IRNazanin" w:eastAsia="IRNazanin" w:cs="IRNazanin"/>
            <w:color w:val="111111"/>
            <w:sz w:val="22"/>
            <w:szCs w:val="22"/>
            <w:b w:val="0"/>
            <w:bCs w:val="0"/>
            <w:i w:val="0"/>
            <w:iCs w:val="0"/>
          </w:rPr>
          <w:t>اسرار التوحيد / عرفان و تصوف / عربی</w:t>
        </w:r>
        <w:r>
          <w:tab/>
        </w:r>
        <w:r>
          <w:fldChar w:fldCharType="begin"/>
        </w:r>
        <w:r>
          <w:instrText xml:space="preserve">PAGEREF 821 \h</w:instrText>
        </w:r>
        <w:r>
          <w:fldChar w:fldCharType="end"/>
        </w:r>
      </w:hyperlink>
    </w:p>
    <w:p>
      <w:pPr>
        <w:tabs>
          <w:tab w:val="right" w:leader="dot" w:pos="9062"/>
        </w:tabs>
        <w:ind w:left="440"/>
      </w:pPr>
      <w:hyperlink w:anchor="_Toc822" w:history="1">
        <w:r>
          <w:rPr>
            <w:rFonts w:ascii="IRNazanin" w:hAnsi="IRNazanin" w:eastAsia="IRNazanin" w:cs="IRNazanin"/>
            <w:color w:val="111111"/>
            <w:sz w:val="22"/>
            <w:szCs w:val="22"/>
            <w:b w:val="0"/>
            <w:bCs w:val="0"/>
            <w:i w:val="0"/>
            <w:iCs w:val="0"/>
          </w:rPr>
          <w:t>اسرار التوحيد / عربي</w:t>
        </w:r>
        <w:r>
          <w:tab/>
        </w:r>
        <w:r>
          <w:fldChar w:fldCharType="begin"/>
        </w:r>
        <w:r>
          <w:instrText xml:space="preserve">PAGEREF 822 \h</w:instrText>
        </w:r>
        <w:r>
          <w:fldChar w:fldCharType="end"/>
        </w:r>
      </w:hyperlink>
    </w:p>
    <w:p>
      <w:pPr>
        <w:tabs>
          <w:tab w:val="right" w:leader="dot" w:pos="9062"/>
        </w:tabs>
        <w:ind w:left="440"/>
      </w:pPr>
      <w:hyperlink w:anchor="_Toc823" w:history="1">
        <w:r>
          <w:rPr>
            <w:rFonts w:ascii="IRNazanin" w:hAnsi="IRNazanin" w:eastAsia="IRNazanin" w:cs="IRNazanin"/>
            <w:color w:val="111111"/>
            <w:sz w:val="22"/>
            <w:szCs w:val="22"/>
            <w:b w:val="0"/>
            <w:bCs w:val="0"/>
            <w:i w:val="0"/>
            <w:iCs w:val="0"/>
          </w:rPr>
          <w:t>اسرار التوحيد فى مقامات الشيخ ابی سعید / عرفان  و تصوف, تراجم / فارسی</w:t>
        </w:r>
        <w:r>
          <w:tab/>
        </w:r>
        <w:r>
          <w:fldChar w:fldCharType="begin"/>
        </w:r>
        <w:r>
          <w:instrText xml:space="preserve">PAGEREF 823 \h</w:instrText>
        </w:r>
        <w:r>
          <w:fldChar w:fldCharType="end"/>
        </w:r>
      </w:hyperlink>
    </w:p>
    <w:p>
      <w:pPr>
        <w:tabs>
          <w:tab w:val="right" w:leader="dot" w:pos="9062"/>
        </w:tabs>
        <w:ind w:left="440"/>
      </w:pPr>
      <w:hyperlink w:anchor="_Toc824" w:history="1">
        <w:r>
          <w:rPr>
            <w:rFonts w:ascii="IRNazanin" w:hAnsi="IRNazanin" w:eastAsia="IRNazanin" w:cs="IRNazanin"/>
            <w:color w:val="111111"/>
            <w:sz w:val="22"/>
            <w:szCs w:val="22"/>
            <w:b w:val="0"/>
            <w:bCs w:val="0"/>
            <w:i w:val="0"/>
            <w:iCs w:val="0"/>
          </w:rPr>
          <w:t>اسرار التوحيد والنبوة والولاية و المعاد / عرفان و  تصوف / فارسی</w:t>
        </w:r>
        <w:r>
          <w:tab/>
        </w:r>
        <w:r>
          <w:fldChar w:fldCharType="begin"/>
        </w:r>
        <w:r>
          <w:instrText xml:space="preserve">PAGEREF 824 \h</w:instrText>
        </w:r>
        <w:r>
          <w:fldChar w:fldCharType="end"/>
        </w:r>
      </w:hyperlink>
    </w:p>
    <w:p>
      <w:pPr>
        <w:tabs>
          <w:tab w:val="right" w:leader="dot" w:pos="9062"/>
        </w:tabs>
        <w:ind w:left="440"/>
      </w:pPr>
      <w:hyperlink w:anchor="_Toc825" w:history="1">
        <w:r>
          <w:rPr>
            <w:rFonts w:ascii="IRNazanin" w:hAnsi="IRNazanin" w:eastAsia="IRNazanin" w:cs="IRNazanin"/>
            <w:color w:val="111111"/>
            <w:sz w:val="22"/>
            <w:szCs w:val="22"/>
            <w:b w:val="0"/>
            <w:bCs w:val="0"/>
            <w:i w:val="0"/>
            <w:iCs w:val="0"/>
          </w:rPr>
          <w:t>اسرار جانکاه / تاریخ معصومین / فارسی</w:t>
        </w:r>
        <w:r>
          <w:tab/>
        </w:r>
        <w:r>
          <w:fldChar w:fldCharType="begin"/>
        </w:r>
        <w:r>
          <w:instrText xml:space="preserve">PAGEREF 825 \h</w:instrText>
        </w:r>
        <w:r>
          <w:fldChar w:fldCharType="end"/>
        </w:r>
      </w:hyperlink>
    </w:p>
    <w:p>
      <w:pPr>
        <w:tabs>
          <w:tab w:val="right" w:leader="dot" w:pos="9062"/>
        </w:tabs>
        <w:ind w:left="440"/>
      </w:pPr>
      <w:hyperlink w:anchor="_Toc826" w:history="1">
        <w:r>
          <w:rPr>
            <w:rFonts w:ascii="IRNazanin" w:hAnsi="IRNazanin" w:eastAsia="IRNazanin" w:cs="IRNazanin"/>
            <w:color w:val="111111"/>
            <w:sz w:val="22"/>
            <w:szCs w:val="22"/>
            <w:b w:val="0"/>
            <w:bCs w:val="0"/>
            <w:i w:val="0"/>
            <w:iCs w:val="0"/>
          </w:rPr>
          <w:t>اسرار الجفر / جفر / فارسی</w:t>
        </w:r>
        <w:r>
          <w:tab/>
        </w:r>
        <w:r>
          <w:fldChar w:fldCharType="begin"/>
        </w:r>
        <w:r>
          <w:instrText xml:space="preserve">PAGEREF 826 \h</w:instrText>
        </w:r>
        <w:r>
          <w:fldChar w:fldCharType="end"/>
        </w:r>
      </w:hyperlink>
    </w:p>
    <w:p>
      <w:pPr>
        <w:tabs>
          <w:tab w:val="right" w:leader="dot" w:pos="9062"/>
        </w:tabs>
        <w:ind w:left="440"/>
      </w:pPr>
      <w:hyperlink w:anchor="_Toc827" w:history="1">
        <w:r>
          <w:rPr>
            <w:rFonts w:ascii="IRNazanin" w:hAnsi="IRNazanin" w:eastAsia="IRNazanin" w:cs="IRNazanin"/>
            <w:color w:val="111111"/>
            <w:sz w:val="22"/>
            <w:szCs w:val="22"/>
            <w:b w:val="0"/>
            <w:bCs w:val="0"/>
            <w:i w:val="0"/>
            <w:iCs w:val="0"/>
          </w:rPr>
          <w:t>اسرار جنگل سیاه / داستان / فارسی</w:t>
        </w:r>
        <w:r>
          <w:tab/>
        </w:r>
        <w:r>
          <w:fldChar w:fldCharType="begin"/>
        </w:r>
        <w:r>
          <w:instrText xml:space="preserve">PAGEREF 827 \h</w:instrText>
        </w:r>
        <w:r>
          <w:fldChar w:fldCharType="end"/>
        </w:r>
      </w:hyperlink>
    </w:p>
    <w:p>
      <w:pPr>
        <w:tabs>
          <w:tab w:val="right" w:leader="dot" w:pos="9062"/>
        </w:tabs>
        <w:ind w:left="440"/>
      </w:pPr>
      <w:hyperlink w:anchor="_Toc828" w:history="1">
        <w:r>
          <w:rPr>
            <w:rFonts w:ascii="IRNazanin" w:hAnsi="IRNazanin" w:eastAsia="IRNazanin" w:cs="IRNazanin"/>
            <w:color w:val="111111"/>
            <w:sz w:val="22"/>
            <w:szCs w:val="22"/>
            <w:b w:val="0"/>
            <w:bCs w:val="0"/>
            <w:i w:val="0"/>
            <w:iCs w:val="0"/>
          </w:rPr>
          <w:t>اسرار الحج / فقه / عربي</w:t>
        </w:r>
        <w:r>
          <w:tab/>
        </w:r>
        <w:r>
          <w:fldChar w:fldCharType="begin"/>
        </w:r>
        <w:r>
          <w:instrText xml:space="preserve">PAGEREF 828 \h</w:instrText>
        </w:r>
        <w:r>
          <w:fldChar w:fldCharType="end"/>
        </w:r>
      </w:hyperlink>
    </w:p>
    <w:p>
      <w:pPr>
        <w:tabs>
          <w:tab w:val="right" w:leader="dot" w:pos="9062"/>
        </w:tabs>
        <w:ind w:left="440"/>
      </w:pPr>
      <w:hyperlink w:anchor="_Toc829" w:history="1">
        <w:r>
          <w:rPr>
            <w:rFonts w:ascii="IRNazanin" w:hAnsi="IRNazanin" w:eastAsia="IRNazanin" w:cs="IRNazanin"/>
            <w:color w:val="111111"/>
            <w:sz w:val="22"/>
            <w:szCs w:val="22"/>
            <w:b w:val="0"/>
            <w:bCs w:val="0"/>
            <w:i w:val="0"/>
            <w:iCs w:val="0"/>
          </w:rPr>
          <w:t>اسرار الحج / فلسفه احکام -</w:t>
        </w:r>
        <w:r>
          <w:tab/>
        </w:r>
        <w:r>
          <w:fldChar w:fldCharType="begin"/>
        </w:r>
        <w:r>
          <w:instrText xml:space="preserve">PAGEREF 829 \h</w:instrText>
        </w:r>
        <w:r>
          <w:fldChar w:fldCharType="end"/>
        </w:r>
      </w:hyperlink>
    </w:p>
    <w:p>
      <w:pPr>
        <w:tabs>
          <w:tab w:val="right" w:leader="dot" w:pos="9062"/>
        </w:tabs>
        <w:ind w:left="440"/>
      </w:pPr>
      <w:hyperlink w:anchor="_Toc830" w:history="1">
        <w:r>
          <w:rPr>
            <w:rFonts w:ascii="IRNazanin" w:hAnsi="IRNazanin" w:eastAsia="IRNazanin" w:cs="IRNazanin"/>
            <w:color w:val="111111"/>
            <w:sz w:val="22"/>
            <w:szCs w:val="22"/>
            <w:b w:val="0"/>
            <w:bCs w:val="0"/>
            <w:i w:val="0"/>
            <w:iCs w:val="0"/>
          </w:rPr>
          <w:t>اسرار الحروف = علم الحروف / علوم غریبه / عربی</w:t>
        </w:r>
        <w:r>
          <w:tab/>
        </w:r>
        <w:r>
          <w:fldChar w:fldCharType="begin"/>
        </w:r>
        <w:r>
          <w:instrText xml:space="preserve">PAGEREF 830 \h</w:instrText>
        </w:r>
        <w:r>
          <w:fldChar w:fldCharType="end"/>
        </w:r>
      </w:hyperlink>
    </w:p>
    <w:p>
      <w:pPr>
        <w:tabs>
          <w:tab w:val="right" w:leader="dot" w:pos="9062"/>
        </w:tabs>
        <w:ind w:left="440"/>
      </w:pPr>
      <w:hyperlink w:anchor="_Toc831" w:history="1">
        <w:r>
          <w:rPr>
            <w:rFonts w:ascii="IRNazanin" w:hAnsi="IRNazanin" w:eastAsia="IRNazanin" w:cs="IRNazanin"/>
            <w:color w:val="111111"/>
            <w:sz w:val="22"/>
            <w:szCs w:val="22"/>
            <w:b w:val="0"/>
            <w:bCs w:val="0"/>
            <w:i w:val="0"/>
            <w:iCs w:val="0"/>
          </w:rPr>
          <w:t>اسرار الحروف / جفر / عربي</w:t>
        </w:r>
        <w:r>
          <w:tab/>
        </w:r>
        <w:r>
          <w:fldChar w:fldCharType="begin"/>
        </w:r>
        <w:r>
          <w:instrText xml:space="preserve">PAGEREF 831 \h</w:instrText>
        </w:r>
        <w:r>
          <w:fldChar w:fldCharType="end"/>
        </w:r>
      </w:hyperlink>
    </w:p>
    <w:p>
      <w:pPr>
        <w:tabs>
          <w:tab w:val="right" w:leader="dot" w:pos="9062"/>
        </w:tabs>
        <w:ind w:left="440"/>
      </w:pPr>
      <w:hyperlink w:anchor="_Toc832" w:history="1">
        <w:r>
          <w:rPr>
            <w:rFonts w:ascii="IRNazanin" w:hAnsi="IRNazanin" w:eastAsia="IRNazanin" w:cs="IRNazanin"/>
            <w:color w:val="111111"/>
            <w:sz w:val="22"/>
            <w:szCs w:val="22"/>
            <w:b w:val="0"/>
            <w:bCs w:val="0"/>
            <w:i w:val="0"/>
            <w:iCs w:val="0"/>
          </w:rPr>
          <w:t>اسرار الحروف / علوم غریبه، شعر / فارسی</w:t>
        </w:r>
        <w:r>
          <w:tab/>
        </w:r>
        <w:r>
          <w:fldChar w:fldCharType="begin"/>
        </w:r>
        <w:r>
          <w:instrText xml:space="preserve">PAGEREF 832 \h</w:instrText>
        </w:r>
        <w:r>
          <w:fldChar w:fldCharType="end"/>
        </w:r>
      </w:hyperlink>
    </w:p>
    <w:p>
      <w:pPr>
        <w:tabs>
          <w:tab w:val="right" w:leader="dot" w:pos="9062"/>
        </w:tabs>
        <w:ind w:left="440"/>
      </w:pPr>
      <w:hyperlink w:anchor="_Toc833" w:history="1">
        <w:r>
          <w:rPr>
            <w:rFonts w:ascii="IRNazanin" w:hAnsi="IRNazanin" w:eastAsia="IRNazanin" w:cs="IRNazanin"/>
            <w:color w:val="111111"/>
            <w:sz w:val="22"/>
            <w:szCs w:val="22"/>
            <w:b w:val="0"/>
            <w:bCs w:val="0"/>
            <w:i w:val="0"/>
            <w:iCs w:val="0"/>
          </w:rPr>
          <w:t>اسرار الحروف / علوم غریبه / عربی</w:t>
        </w:r>
        <w:r>
          <w:tab/>
        </w:r>
        <w:r>
          <w:fldChar w:fldCharType="begin"/>
        </w:r>
        <w:r>
          <w:instrText xml:space="preserve">PAGEREF 833 \h</w:instrText>
        </w:r>
        <w:r>
          <w:fldChar w:fldCharType="end"/>
        </w:r>
      </w:hyperlink>
    </w:p>
    <w:p>
      <w:pPr>
        <w:tabs>
          <w:tab w:val="right" w:leader="dot" w:pos="9062"/>
        </w:tabs>
        <w:ind w:left="440"/>
      </w:pPr>
      <w:hyperlink w:anchor="_Toc834" w:history="1">
        <w:r>
          <w:rPr>
            <w:rFonts w:ascii="IRNazanin" w:hAnsi="IRNazanin" w:eastAsia="IRNazanin" w:cs="IRNazanin"/>
            <w:color w:val="111111"/>
            <w:sz w:val="22"/>
            <w:szCs w:val="22"/>
            <w:b w:val="0"/>
            <w:bCs w:val="0"/>
            <w:i w:val="0"/>
            <w:iCs w:val="0"/>
          </w:rPr>
          <w:t>اسرار الحروف / علوم غریبه / فارسی</w:t>
        </w:r>
        <w:r>
          <w:tab/>
        </w:r>
        <w:r>
          <w:fldChar w:fldCharType="begin"/>
        </w:r>
        <w:r>
          <w:instrText xml:space="preserve">PAGEREF 834 \h</w:instrText>
        </w:r>
        <w:r>
          <w:fldChar w:fldCharType="end"/>
        </w:r>
      </w:hyperlink>
    </w:p>
    <w:p>
      <w:pPr>
        <w:tabs>
          <w:tab w:val="right" w:leader="dot" w:pos="9062"/>
        </w:tabs>
        <w:ind w:left="440"/>
      </w:pPr>
      <w:hyperlink w:anchor="_Toc835" w:history="1">
        <w:r>
          <w:rPr>
            <w:rFonts w:ascii="IRNazanin" w:hAnsi="IRNazanin" w:eastAsia="IRNazanin" w:cs="IRNazanin"/>
            <w:color w:val="111111"/>
            <w:sz w:val="22"/>
            <w:szCs w:val="22"/>
            <w:b w:val="0"/>
            <w:bCs w:val="0"/>
            <w:i w:val="0"/>
            <w:iCs w:val="0"/>
          </w:rPr>
          <w:t>اسرار الحروف / علوم غریبه / فارسی</w:t>
        </w:r>
        <w:r>
          <w:tab/>
        </w:r>
        <w:r>
          <w:fldChar w:fldCharType="begin"/>
        </w:r>
        <w:r>
          <w:instrText xml:space="preserve">PAGEREF 835 \h</w:instrText>
        </w:r>
        <w:r>
          <w:fldChar w:fldCharType="end"/>
        </w:r>
      </w:hyperlink>
    </w:p>
    <w:p>
      <w:pPr>
        <w:tabs>
          <w:tab w:val="right" w:leader="dot" w:pos="9062"/>
        </w:tabs>
        <w:ind w:left="440"/>
      </w:pPr>
      <w:hyperlink w:anchor="_Toc836" w:history="1">
        <w:r>
          <w:rPr>
            <w:rFonts w:ascii="IRNazanin" w:hAnsi="IRNazanin" w:eastAsia="IRNazanin" w:cs="IRNazanin"/>
            <w:color w:val="111111"/>
            <w:sz w:val="22"/>
            <w:szCs w:val="22"/>
            <w:b w:val="0"/>
            <w:bCs w:val="0"/>
            <w:i w:val="0"/>
            <w:iCs w:val="0"/>
          </w:rPr>
          <w:t>اسرار الحروف (ترجمه) / عرفان و تصوف / فارسی</w:t>
        </w:r>
        <w:r>
          <w:tab/>
        </w:r>
        <w:r>
          <w:fldChar w:fldCharType="begin"/>
        </w:r>
        <w:r>
          <w:instrText xml:space="preserve">PAGEREF 836 \h</w:instrText>
        </w:r>
        <w:r>
          <w:fldChar w:fldCharType="end"/>
        </w:r>
      </w:hyperlink>
    </w:p>
    <w:p>
      <w:pPr>
        <w:tabs>
          <w:tab w:val="right" w:leader="dot" w:pos="9062"/>
        </w:tabs>
        <w:ind w:left="440"/>
      </w:pPr>
      <w:hyperlink w:anchor="_Toc837" w:history="1">
        <w:r>
          <w:rPr>
            <w:rFonts w:ascii="IRNazanin" w:hAnsi="IRNazanin" w:eastAsia="IRNazanin" w:cs="IRNazanin"/>
            <w:color w:val="111111"/>
            <w:sz w:val="22"/>
            <w:szCs w:val="22"/>
            <w:b w:val="0"/>
            <w:bCs w:val="0"/>
            <w:i w:val="0"/>
            <w:iCs w:val="0"/>
          </w:rPr>
          <w:t>اسرار الحروف و الاعداد / عرفان و تصوف / عربی</w:t>
        </w:r>
        <w:r>
          <w:tab/>
        </w:r>
        <w:r>
          <w:fldChar w:fldCharType="begin"/>
        </w:r>
        <w:r>
          <w:instrText xml:space="preserve">PAGEREF 837 \h</w:instrText>
        </w:r>
        <w:r>
          <w:fldChar w:fldCharType="end"/>
        </w:r>
      </w:hyperlink>
    </w:p>
    <w:p>
      <w:pPr>
        <w:tabs>
          <w:tab w:val="right" w:leader="dot" w:pos="9062"/>
        </w:tabs>
        <w:ind w:left="440"/>
      </w:pPr>
      <w:hyperlink w:anchor="_Toc838" w:history="1">
        <w:r>
          <w:rPr>
            <w:rFonts w:ascii="IRNazanin" w:hAnsi="IRNazanin" w:eastAsia="IRNazanin" w:cs="IRNazanin"/>
            <w:color w:val="111111"/>
            <w:sz w:val="22"/>
            <w:szCs w:val="22"/>
            <w:b w:val="0"/>
            <w:bCs w:val="0"/>
            <w:i w:val="0"/>
            <w:iCs w:val="0"/>
          </w:rPr>
          <w:t>اسرار حروف و وجود / متفرقه / فارسی</w:t>
        </w:r>
        <w:r>
          <w:tab/>
        </w:r>
        <w:r>
          <w:fldChar w:fldCharType="begin"/>
        </w:r>
        <w:r>
          <w:instrText xml:space="preserve">PAGEREF 838 \h</w:instrText>
        </w:r>
        <w:r>
          <w:fldChar w:fldCharType="end"/>
        </w:r>
      </w:hyperlink>
    </w:p>
    <w:p>
      <w:pPr>
        <w:tabs>
          <w:tab w:val="right" w:leader="dot" w:pos="9062"/>
        </w:tabs>
        <w:ind w:left="440"/>
      </w:pPr>
      <w:hyperlink w:anchor="_Toc839" w:history="1">
        <w:r>
          <w:rPr>
            <w:rFonts w:ascii="IRNazanin" w:hAnsi="IRNazanin" w:eastAsia="IRNazanin" w:cs="IRNazanin"/>
            <w:color w:val="111111"/>
            <w:sz w:val="22"/>
            <w:szCs w:val="22"/>
            <w:b w:val="0"/>
            <w:bCs w:val="0"/>
            <w:i w:val="0"/>
            <w:iCs w:val="0"/>
          </w:rPr>
          <w:t>الاسرار الحسينيه</w:t>
        </w:r>
        <w:r>
          <w:tab/>
        </w:r>
        <w:r>
          <w:fldChar w:fldCharType="begin"/>
        </w:r>
        <w:r>
          <w:instrText xml:space="preserve">PAGEREF 839 \h</w:instrText>
        </w:r>
        <w:r>
          <w:fldChar w:fldCharType="end"/>
        </w:r>
      </w:hyperlink>
    </w:p>
    <w:p>
      <w:pPr>
        <w:tabs>
          <w:tab w:val="right" w:leader="dot" w:pos="9062"/>
        </w:tabs>
        <w:ind w:left="440"/>
      </w:pPr>
      <w:hyperlink w:anchor="_Toc840" w:history="1">
        <w:r>
          <w:rPr>
            <w:rFonts w:ascii="IRNazanin" w:hAnsi="IRNazanin" w:eastAsia="IRNazanin" w:cs="IRNazanin"/>
            <w:color w:val="111111"/>
            <w:sz w:val="22"/>
            <w:szCs w:val="22"/>
            <w:b w:val="0"/>
            <w:bCs w:val="0"/>
            <w:i w:val="0"/>
            <w:iCs w:val="0"/>
          </w:rPr>
          <w:t>اسرار الحكم = حقایق الاسرار و دقایق الابرار / طب / فارسی</w:t>
        </w:r>
        <w:r>
          <w:tab/>
        </w:r>
        <w:r>
          <w:fldChar w:fldCharType="begin"/>
        </w:r>
        <w:r>
          <w:instrText xml:space="preserve">PAGEREF 840 \h</w:instrText>
        </w:r>
        <w:r>
          <w:fldChar w:fldCharType="end"/>
        </w:r>
      </w:hyperlink>
    </w:p>
    <w:p>
      <w:pPr>
        <w:tabs>
          <w:tab w:val="right" w:leader="dot" w:pos="9062"/>
        </w:tabs>
        <w:ind w:left="440"/>
      </w:pPr>
      <w:hyperlink w:anchor="_Toc841" w:history="1">
        <w:r>
          <w:rPr>
            <w:rFonts w:ascii="IRNazanin" w:hAnsi="IRNazanin" w:eastAsia="IRNazanin" w:cs="IRNazanin"/>
            <w:color w:val="111111"/>
            <w:sz w:val="22"/>
            <w:szCs w:val="22"/>
            <w:b w:val="0"/>
            <w:bCs w:val="0"/>
            <w:i w:val="0"/>
            <w:iCs w:val="0"/>
          </w:rPr>
          <w:t>اسرار الحكمة / كيميا / عربي</w:t>
        </w:r>
        <w:r>
          <w:tab/>
        </w:r>
        <w:r>
          <w:fldChar w:fldCharType="begin"/>
        </w:r>
        <w:r>
          <w:instrText xml:space="preserve">PAGEREF 841 \h</w:instrText>
        </w:r>
        <w:r>
          <w:fldChar w:fldCharType="end"/>
        </w:r>
      </w:hyperlink>
    </w:p>
    <w:p>
      <w:pPr>
        <w:tabs>
          <w:tab w:val="right" w:leader="dot" w:pos="9062"/>
        </w:tabs>
        <w:ind w:left="440"/>
      </w:pPr>
      <w:hyperlink w:anchor="_Toc842" w:history="1">
        <w:r>
          <w:rPr>
            <w:rFonts w:ascii="IRNazanin" w:hAnsi="IRNazanin" w:eastAsia="IRNazanin" w:cs="IRNazanin"/>
            <w:color w:val="111111"/>
            <w:sz w:val="22"/>
            <w:szCs w:val="22"/>
            <w:b w:val="0"/>
            <w:bCs w:val="0"/>
            <w:i w:val="0"/>
            <w:iCs w:val="0"/>
          </w:rPr>
          <w:t>اسرار الحكم في المفتتح و المختتم / فلسفه / فارسي</w:t>
        </w:r>
        <w:r>
          <w:tab/>
        </w:r>
        <w:r>
          <w:fldChar w:fldCharType="begin"/>
        </w:r>
        <w:r>
          <w:instrText xml:space="preserve">PAGEREF 842 \h</w:instrText>
        </w:r>
        <w:r>
          <w:fldChar w:fldCharType="end"/>
        </w:r>
      </w:hyperlink>
    </w:p>
    <w:p>
      <w:pPr>
        <w:tabs>
          <w:tab w:val="right" w:leader="dot" w:pos="9062"/>
        </w:tabs>
        <w:ind w:left="440"/>
      </w:pPr>
      <w:hyperlink w:anchor="_Toc843" w:history="1">
        <w:r>
          <w:rPr>
            <w:rFonts w:ascii="IRNazanin" w:hAnsi="IRNazanin" w:eastAsia="IRNazanin" w:cs="IRNazanin"/>
            <w:color w:val="111111"/>
            <w:sz w:val="22"/>
            <w:szCs w:val="22"/>
            <w:b w:val="0"/>
            <w:bCs w:val="0"/>
            <w:i w:val="0"/>
            <w:iCs w:val="0"/>
          </w:rPr>
          <w:t>اسرار حکمیه / فلسفه / فارسی</w:t>
        </w:r>
        <w:r>
          <w:tab/>
        </w:r>
        <w:r>
          <w:fldChar w:fldCharType="begin"/>
        </w:r>
        <w:r>
          <w:instrText xml:space="preserve">PAGEREF 843 \h</w:instrText>
        </w:r>
        <w:r>
          <w:fldChar w:fldCharType="end"/>
        </w:r>
      </w:hyperlink>
    </w:p>
    <w:p>
      <w:pPr>
        <w:tabs>
          <w:tab w:val="right" w:leader="dot" w:pos="9062"/>
        </w:tabs>
        <w:ind w:left="440"/>
      </w:pPr>
      <w:hyperlink w:anchor="_Toc844" w:history="1">
        <w:r>
          <w:rPr>
            <w:rFonts w:ascii="IRNazanin" w:hAnsi="IRNazanin" w:eastAsia="IRNazanin" w:cs="IRNazanin"/>
            <w:color w:val="111111"/>
            <w:sz w:val="22"/>
            <w:szCs w:val="22"/>
            <w:b w:val="0"/>
            <w:bCs w:val="0"/>
            <w:i w:val="0"/>
            <w:iCs w:val="0"/>
          </w:rPr>
          <w:t>الاسرار الخفية فى العلوم العقيلة / فلسفه / عربي</w:t>
        </w:r>
        <w:r>
          <w:tab/>
        </w:r>
        <w:r>
          <w:fldChar w:fldCharType="begin"/>
        </w:r>
        <w:r>
          <w:instrText xml:space="preserve">PAGEREF 844 \h</w:instrText>
        </w:r>
        <w:r>
          <w:fldChar w:fldCharType="end"/>
        </w:r>
      </w:hyperlink>
    </w:p>
    <w:p>
      <w:pPr>
        <w:tabs>
          <w:tab w:val="right" w:leader="dot" w:pos="9062"/>
        </w:tabs>
        <w:ind w:left="440"/>
      </w:pPr>
      <w:hyperlink w:anchor="_Toc845" w:history="1">
        <w:r>
          <w:rPr>
            <w:rFonts w:ascii="IRNazanin" w:hAnsi="IRNazanin" w:eastAsia="IRNazanin" w:cs="IRNazanin"/>
            <w:color w:val="111111"/>
            <w:sz w:val="22"/>
            <w:szCs w:val="22"/>
            <w:b w:val="0"/>
            <w:bCs w:val="0"/>
            <w:i w:val="0"/>
            <w:iCs w:val="0"/>
          </w:rPr>
          <w:t>الاسرار الخفية فى معرفة الشهور الرومية / هيئت / عم</w:t>
        </w:r>
        <w:r>
          <w:tab/>
        </w:r>
        <w:r>
          <w:fldChar w:fldCharType="begin"/>
        </w:r>
        <w:r>
          <w:instrText xml:space="preserve">PAGEREF 845 \h</w:instrText>
        </w:r>
        <w:r>
          <w:fldChar w:fldCharType="end"/>
        </w:r>
      </w:hyperlink>
    </w:p>
    <w:p>
      <w:pPr>
        <w:tabs>
          <w:tab w:val="right" w:leader="dot" w:pos="9062"/>
        </w:tabs>
        <w:ind w:left="440"/>
      </w:pPr>
      <w:hyperlink w:anchor="_Toc846" w:history="1">
        <w:r>
          <w:rPr>
            <w:rFonts w:ascii="IRNazanin" w:hAnsi="IRNazanin" w:eastAsia="IRNazanin" w:cs="IRNazanin"/>
            <w:color w:val="111111"/>
            <w:sz w:val="22"/>
            <w:szCs w:val="22"/>
            <w:b w:val="0"/>
            <w:bCs w:val="0"/>
            <w:i w:val="0"/>
            <w:iCs w:val="0"/>
          </w:rPr>
          <w:t>اسرار خلقت منتخب) / ادبیات / فارسی</w:t>
        </w:r>
        <w:r>
          <w:tab/>
        </w:r>
        <w:r>
          <w:fldChar w:fldCharType="begin"/>
        </w:r>
        <w:r>
          <w:instrText xml:space="preserve">PAGEREF 846 \h</w:instrText>
        </w:r>
        <w:r>
          <w:fldChar w:fldCharType="end"/>
        </w:r>
      </w:hyperlink>
    </w:p>
    <w:p>
      <w:pPr>
        <w:tabs>
          <w:tab w:val="right" w:leader="dot" w:pos="9062"/>
        </w:tabs>
        <w:ind w:left="440"/>
      </w:pPr>
      <w:hyperlink w:anchor="_Toc847" w:history="1">
        <w:r>
          <w:rPr>
            <w:rFonts w:ascii="IRNazanin" w:hAnsi="IRNazanin" w:eastAsia="IRNazanin" w:cs="IRNazanin"/>
            <w:color w:val="111111"/>
            <w:sz w:val="22"/>
            <w:szCs w:val="22"/>
            <w:b w:val="0"/>
            <w:bCs w:val="0"/>
            <w:i w:val="0"/>
            <w:iCs w:val="0"/>
          </w:rPr>
          <w:t>اسرار دعای سحر / شرح دعا</w:t>
        </w:r>
        <w:r>
          <w:tab/>
        </w:r>
        <w:r>
          <w:fldChar w:fldCharType="begin"/>
        </w:r>
        <w:r>
          <w:instrText xml:space="preserve">PAGEREF 847 \h</w:instrText>
        </w:r>
        <w:r>
          <w:fldChar w:fldCharType="end"/>
        </w:r>
      </w:hyperlink>
    </w:p>
    <w:p>
      <w:pPr>
        <w:tabs>
          <w:tab w:val="right" w:leader="dot" w:pos="9062"/>
        </w:tabs>
        <w:ind w:left="440"/>
      </w:pPr>
      <w:hyperlink w:anchor="_Toc848" w:history="1">
        <w:r>
          <w:rPr>
            <w:rFonts w:ascii="IRNazanin" w:hAnsi="IRNazanin" w:eastAsia="IRNazanin" w:cs="IRNazanin"/>
            <w:color w:val="111111"/>
            <w:sz w:val="22"/>
            <w:szCs w:val="22"/>
            <w:b w:val="0"/>
            <w:bCs w:val="0"/>
            <w:i w:val="0"/>
            <w:iCs w:val="0"/>
          </w:rPr>
          <w:t>اسرار الدعوة / دعا / فارسى</w:t>
        </w:r>
        <w:r>
          <w:tab/>
        </w:r>
        <w:r>
          <w:fldChar w:fldCharType="begin"/>
        </w:r>
        <w:r>
          <w:instrText xml:space="preserve">PAGEREF 848 \h</w:instrText>
        </w:r>
        <w:r>
          <w:fldChar w:fldCharType="end"/>
        </w:r>
      </w:hyperlink>
    </w:p>
    <w:p>
      <w:pPr>
        <w:tabs>
          <w:tab w:val="right" w:leader="dot" w:pos="9062"/>
        </w:tabs>
        <w:ind w:left="440"/>
      </w:pPr>
      <w:hyperlink w:anchor="_Toc849" w:history="1">
        <w:r>
          <w:rPr>
            <w:rFonts w:ascii="IRNazanin" w:hAnsi="IRNazanin" w:eastAsia="IRNazanin" w:cs="IRNazanin"/>
            <w:color w:val="111111"/>
            <w:sz w:val="22"/>
            <w:szCs w:val="22"/>
            <w:b w:val="0"/>
            <w:bCs w:val="0"/>
            <w:i w:val="0"/>
            <w:iCs w:val="0"/>
          </w:rPr>
          <w:t>اسرار الدقائق = شرح حدیث «من عرف نفسه فقـد عرف ربه / کلام و اعتقادات / عربی</w:t>
        </w:r>
        <w:r>
          <w:tab/>
        </w:r>
        <w:r>
          <w:fldChar w:fldCharType="begin"/>
        </w:r>
        <w:r>
          <w:instrText xml:space="preserve">PAGEREF 849 \h</w:instrText>
        </w:r>
        <w:r>
          <w:fldChar w:fldCharType="end"/>
        </w:r>
      </w:hyperlink>
    </w:p>
    <w:p>
      <w:pPr>
        <w:tabs>
          <w:tab w:val="right" w:leader="dot" w:pos="9062"/>
        </w:tabs>
        <w:ind w:left="440"/>
      </w:pPr>
      <w:hyperlink w:anchor="_Toc850" w:history="1">
        <w:r>
          <w:rPr>
            <w:rFonts w:ascii="IRNazanin" w:hAnsi="IRNazanin" w:eastAsia="IRNazanin" w:cs="IRNazanin"/>
            <w:color w:val="111111"/>
            <w:sz w:val="22"/>
            <w:szCs w:val="22"/>
            <w:b w:val="0"/>
            <w:bCs w:val="0"/>
            <w:i w:val="0"/>
            <w:iCs w:val="0"/>
          </w:rPr>
          <w:t>اسرار دل / عرفان و تصوف / فارسی</w:t>
        </w:r>
        <w:r>
          <w:tab/>
        </w:r>
        <w:r>
          <w:fldChar w:fldCharType="begin"/>
        </w:r>
        <w:r>
          <w:instrText xml:space="preserve">PAGEREF 850 \h</w:instrText>
        </w:r>
        <w:r>
          <w:fldChar w:fldCharType="end"/>
        </w:r>
      </w:hyperlink>
    </w:p>
    <w:p>
      <w:pPr>
        <w:tabs>
          <w:tab w:val="right" w:leader="dot" w:pos="9062"/>
        </w:tabs>
        <w:ind w:left="440"/>
      </w:pPr>
      <w:hyperlink w:anchor="_Toc851" w:history="1">
        <w:r>
          <w:rPr>
            <w:rFonts w:ascii="IRNazanin" w:hAnsi="IRNazanin" w:eastAsia="IRNazanin" w:cs="IRNazanin"/>
            <w:color w:val="111111"/>
            <w:sz w:val="22"/>
            <w:szCs w:val="22"/>
            <w:b w:val="0"/>
            <w:bCs w:val="0"/>
            <w:i w:val="0"/>
            <w:iCs w:val="0"/>
          </w:rPr>
          <w:t>اسرار دل / شعر / فارسی</w:t>
        </w:r>
        <w:r>
          <w:tab/>
        </w:r>
        <w:r>
          <w:fldChar w:fldCharType="begin"/>
        </w:r>
        <w:r>
          <w:instrText xml:space="preserve">PAGEREF 851 \h</w:instrText>
        </w:r>
        <w:r>
          <w:fldChar w:fldCharType="end"/>
        </w:r>
      </w:hyperlink>
    </w:p>
    <w:p>
      <w:pPr>
        <w:tabs>
          <w:tab w:val="right" w:leader="dot" w:pos="9062"/>
        </w:tabs>
        <w:ind w:left="440"/>
      </w:pPr>
      <w:hyperlink w:anchor="_Toc852" w:history="1">
        <w:r>
          <w:rPr>
            <w:rFonts w:ascii="IRNazanin" w:hAnsi="IRNazanin" w:eastAsia="IRNazanin" w:cs="IRNazanin"/>
            <w:color w:val="111111"/>
            <w:sz w:val="22"/>
            <w:szCs w:val="22"/>
            <w:b w:val="0"/>
            <w:bCs w:val="0"/>
            <w:i w:val="0"/>
            <w:iCs w:val="0"/>
          </w:rPr>
          <w:t>اسرار دل و جان / عرفان و تصوف، شعر / فارسی</w:t>
        </w:r>
        <w:r>
          <w:tab/>
        </w:r>
        <w:r>
          <w:fldChar w:fldCharType="begin"/>
        </w:r>
        <w:r>
          <w:instrText xml:space="preserve">PAGEREF 852 \h</w:instrText>
        </w:r>
        <w:r>
          <w:fldChar w:fldCharType="end"/>
        </w:r>
      </w:hyperlink>
    </w:p>
    <w:p>
      <w:pPr>
        <w:tabs>
          <w:tab w:val="right" w:leader="dot" w:pos="9062"/>
        </w:tabs>
        <w:ind w:left="440"/>
      </w:pPr>
      <w:hyperlink w:anchor="_Toc853" w:history="1">
        <w:r>
          <w:rPr>
            <w:rFonts w:ascii="IRNazanin" w:hAnsi="IRNazanin" w:eastAsia="IRNazanin" w:cs="IRNazanin"/>
            <w:color w:val="111111"/>
            <w:sz w:val="22"/>
            <w:szCs w:val="22"/>
            <w:b w:val="0"/>
            <w:bCs w:val="0"/>
            <w:i w:val="0"/>
            <w:iCs w:val="0"/>
          </w:rPr>
          <w:t>الاسرار الربانی / عرفان و تصوف / فارسی</w:t>
        </w:r>
        <w:r>
          <w:tab/>
        </w:r>
        <w:r>
          <w:fldChar w:fldCharType="begin"/>
        </w:r>
        <w:r>
          <w:instrText xml:space="preserve">PAGEREF 853 \h</w:instrText>
        </w:r>
        <w:r>
          <w:fldChar w:fldCharType="end"/>
        </w:r>
      </w:hyperlink>
    </w:p>
    <w:p>
      <w:pPr>
        <w:tabs>
          <w:tab w:val="right" w:leader="dot" w:pos="9062"/>
        </w:tabs>
        <w:ind w:left="440"/>
      </w:pPr>
      <w:hyperlink w:anchor="_Toc854" w:history="1">
        <w:r>
          <w:rPr>
            <w:rFonts w:ascii="IRNazanin" w:hAnsi="IRNazanin" w:eastAsia="IRNazanin" w:cs="IRNazanin"/>
            <w:color w:val="111111"/>
            <w:sz w:val="22"/>
            <w:szCs w:val="22"/>
            <w:b w:val="0"/>
            <w:bCs w:val="0"/>
            <w:i w:val="0"/>
            <w:iCs w:val="0"/>
          </w:rPr>
          <w:t>اسرار الربانية فى منقبة الائمة الالهيه / فلسفه /عربي</w:t>
        </w:r>
        <w:r>
          <w:tab/>
        </w:r>
        <w:r>
          <w:fldChar w:fldCharType="begin"/>
        </w:r>
        <w:r>
          <w:instrText xml:space="preserve">PAGEREF 854 \h</w:instrText>
        </w:r>
        <w:r>
          <w:fldChar w:fldCharType="end"/>
        </w:r>
      </w:hyperlink>
    </w:p>
    <w:p>
      <w:pPr>
        <w:tabs>
          <w:tab w:val="right" w:leader="dot" w:pos="9062"/>
        </w:tabs>
        <w:ind w:left="440"/>
      </w:pPr>
      <w:hyperlink w:anchor="_Toc855" w:history="1">
        <w:r>
          <w:rPr>
            <w:rFonts w:ascii="IRNazanin" w:hAnsi="IRNazanin" w:eastAsia="IRNazanin" w:cs="IRNazanin"/>
            <w:color w:val="111111"/>
            <w:sz w:val="22"/>
            <w:szCs w:val="22"/>
            <w:b w:val="0"/>
            <w:bCs w:val="0"/>
            <w:i w:val="0"/>
            <w:iCs w:val="0"/>
          </w:rPr>
          <w:t>اسرار الرجال / طب / عربي</w:t>
        </w:r>
        <w:r>
          <w:tab/>
        </w:r>
        <w:r>
          <w:fldChar w:fldCharType="begin"/>
        </w:r>
        <w:r>
          <w:instrText xml:space="preserve">PAGEREF 855 \h</w:instrText>
        </w:r>
        <w:r>
          <w:fldChar w:fldCharType="end"/>
        </w:r>
      </w:hyperlink>
    </w:p>
    <w:p>
      <w:pPr>
        <w:tabs>
          <w:tab w:val="right" w:leader="dot" w:pos="9062"/>
        </w:tabs>
        <w:ind w:left="440"/>
      </w:pPr>
      <w:hyperlink w:anchor="_Toc856" w:history="1">
        <w:r>
          <w:rPr>
            <w:rFonts w:ascii="IRNazanin" w:hAnsi="IRNazanin" w:eastAsia="IRNazanin" w:cs="IRNazanin"/>
            <w:color w:val="111111"/>
            <w:sz w:val="22"/>
            <w:szCs w:val="22"/>
            <w:b w:val="0"/>
            <w:bCs w:val="0"/>
            <w:i w:val="0"/>
            <w:iCs w:val="0"/>
          </w:rPr>
          <w:t>الاسرار الرضوية فى بيان غوامض مسائل الحكمة  الالهية / فلسفه / فارسی</w:t>
        </w:r>
        <w:r>
          <w:tab/>
        </w:r>
        <w:r>
          <w:fldChar w:fldCharType="begin"/>
        </w:r>
        <w:r>
          <w:instrText xml:space="preserve">PAGEREF 856 \h</w:instrText>
        </w:r>
        <w:r>
          <w:fldChar w:fldCharType="end"/>
        </w:r>
      </w:hyperlink>
    </w:p>
    <w:p>
      <w:pPr>
        <w:tabs>
          <w:tab w:val="right" w:leader="dot" w:pos="9062"/>
        </w:tabs>
        <w:ind w:left="440"/>
      </w:pPr>
      <w:hyperlink w:anchor="_Toc857" w:history="1">
        <w:r>
          <w:rPr>
            <w:rFonts w:ascii="IRNazanin" w:hAnsi="IRNazanin" w:eastAsia="IRNazanin" w:cs="IRNazanin"/>
            <w:color w:val="111111"/>
            <w:sz w:val="22"/>
            <w:szCs w:val="22"/>
            <w:b w:val="0"/>
            <w:bCs w:val="0"/>
            <w:i w:val="0"/>
            <w:iCs w:val="0"/>
          </w:rPr>
          <w:t>اسرار الرمل / رمل / فارسی</w:t>
        </w:r>
        <w:r>
          <w:tab/>
        </w:r>
        <w:r>
          <w:fldChar w:fldCharType="begin"/>
        </w:r>
        <w:r>
          <w:instrText xml:space="preserve">PAGEREF 857 \h</w:instrText>
        </w:r>
        <w:r>
          <w:fldChar w:fldCharType="end"/>
        </w:r>
      </w:hyperlink>
    </w:p>
    <w:p>
      <w:pPr>
        <w:tabs>
          <w:tab w:val="right" w:leader="dot" w:pos="9062"/>
        </w:tabs>
        <w:ind w:left="440"/>
      </w:pPr>
      <w:hyperlink w:anchor="_Toc858" w:history="1">
        <w:r>
          <w:rPr>
            <w:rFonts w:ascii="IRNazanin" w:hAnsi="IRNazanin" w:eastAsia="IRNazanin" w:cs="IRNazanin"/>
            <w:color w:val="111111"/>
            <w:sz w:val="22"/>
            <w:szCs w:val="22"/>
            <w:b w:val="0"/>
            <w:bCs w:val="0"/>
            <w:i w:val="0"/>
            <w:iCs w:val="0"/>
          </w:rPr>
          <w:t>اسرار رموز / شعر / فارسی</w:t>
        </w:r>
        <w:r>
          <w:tab/>
        </w:r>
        <w:r>
          <w:fldChar w:fldCharType="begin"/>
        </w:r>
        <w:r>
          <w:instrText xml:space="preserve">PAGEREF 858 \h</w:instrText>
        </w:r>
        <w:r>
          <w:fldChar w:fldCharType="end"/>
        </w:r>
      </w:hyperlink>
    </w:p>
    <w:p>
      <w:pPr>
        <w:tabs>
          <w:tab w:val="right" w:leader="dot" w:pos="9062"/>
        </w:tabs>
        <w:ind w:left="440"/>
      </w:pPr>
      <w:hyperlink w:anchor="_Toc859" w:history="1">
        <w:r>
          <w:rPr>
            <w:rFonts w:ascii="IRNazanin" w:hAnsi="IRNazanin" w:eastAsia="IRNazanin" w:cs="IRNazanin"/>
            <w:color w:val="111111"/>
            <w:sz w:val="22"/>
            <w:szCs w:val="22"/>
            <w:b w:val="0"/>
            <w:bCs w:val="0"/>
            <w:i w:val="0"/>
            <w:iCs w:val="0"/>
          </w:rPr>
          <w:t>اسرار الرموز فى الجفر الجامع / جفر / عربی و فارسی</w:t>
        </w:r>
        <w:r>
          <w:tab/>
        </w:r>
        <w:r>
          <w:fldChar w:fldCharType="begin"/>
        </w:r>
        <w:r>
          <w:instrText xml:space="preserve">PAGEREF 859 \h</w:instrText>
        </w:r>
        <w:r>
          <w:fldChar w:fldCharType="end"/>
        </w:r>
      </w:hyperlink>
    </w:p>
    <w:p>
      <w:pPr>
        <w:tabs>
          <w:tab w:val="right" w:leader="dot" w:pos="9062"/>
        </w:tabs>
        <w:ind w:left="440"/>
      </w:pPr>
      <w:hyperlink w:anchor="_Toc860" w:history="1">
        <w:r>
          <w:rPr>
            <w:rFonts w:ascii="IRNazanin" w:hAnsi="IRNazanin" w:eastAsia="IRNazanin" w:cs="IRNazanin"/>
            <w:color w:val="111111"/>
            <w:sz w:val="22"/>
            <w:szCs w:val="22"/>
            <w:b w:val="0"/>
            <w:bCs w:val="0"/>
            <w:i w:val="0"/>
            <w:iCs w:val="0"/>
          </w:rPr>
          <w:t>اسرار الزكاة والصوم والحج / فلسفه احکام / عربی</w:t>
        </w:r>
        <w:r>
          <w:tab/>
        </w:r>
        <w:r>
          <w:fldChar w:fldCharType="begin"/>
        </w:r>
        <w:r>
          <w:instrText xml:space="preserve">PAGEREF 860 \h</w:instrText>
        </w:r>
        <w:r>
          <w:fldChar w:fldCharType="end"/>
        </w:r>
      </w:hyperlink>
    </w:p>
    <w:p>
      <w:pPr>
        <w:tabs>
          <w:tab w:val="right" w:leader="dot" w:pos="9062"/>
        </w:tabs>
        <w:ind w:left="440"/>
      </w:pPr>
      <w:hyperlink w:anchor="_Toc861" w:history="1">
        <w:r>
          <w:rPr>
            <w:rFonts w:ascii="IRNazanin" w:hAnsi="IRNazanin" w:eastAsia="IRNazanin" w:cs="IRNazanin"/>
            <w:color w:val="111111"/>
            <w:sz w:val="22"/>
            <w:szCs w:val="22"/>
            <w:b w:val="0"/>
            <w:bCs w:val="0"/>
            <w:i w:val="0"/>
            <w:iCs w:val="0"/>
          </w:rPr>
          <w:t>اسرار سبعه / کیمیا / فارسی</w:t>
        </w:r>
        <w:r>
          <w:tab/>
        </w:r>
        <w:r>
          <w:fldChar w:fldCharType="begin"/>
        </w:r>
        <w:r>
          <w:instrText xml:space="preserve">PAGEREF 861 \h</w:instrText>
        </w:r>
        <w:r>
          <w:fldChar w:fldCharType="end"/>
        </w:r>
      </w:hyperlink>
    </w:p>
    <w:p>
      <w:pPr>
        <w:tabs>
          <w:tab w:val="right" w:leader="dot" w:pos="9062"/>
        </w:tabs>
        <w:ind w:left="440"/>
      </w:pPr>
      <w:hyperlink w:anchor="_Toc862" w:history="1">
        <w:r>
          <w:rPr>
            <w:rFonts w:ascii="IRNazanin" w:hAnsi="IRNazanin" w:eastAsia="IRNazanin" w:cs="IRNazanin"/>
            <w:color w:val="111111"/>
            <w:sz w:val="22"/>
            <w:szCs w:val="22"/>
            <w:b w:val="0"/>
            <w:bCs w:val="0"/>
            <w:i w:val="0"/>
            <w:iCs w:val="0"/>
          </w:rPr>
          <w:t>اسرار سر / شعر / ترکی - فارسی</w:t>
        </w:r>
        <w:r>
          <w:tab/>
        </w:r>
        <w:r>
          <w:fldChar w:fldCharType="begin"/>
        </w:r>
        <w:r>
          <w:instrText xml:space="preserve">PAGEREF 862 \h</w:instrText>
        </w:r>
        <w:r>
          <w:fldChar w:fldCharType="end"/>
        </w:r>
      </w:hyperlink>
    </w:p>
    <w:p>
      <w:pPr>
        <w:tabs>
          <w:tab w:val="right" w:leader="dot" w:pos="9062"/>
        </w:tabs>
        <w:ind w:left="440"/>
      </w:pPr>
      <w:hyperlink w:anchor="_Toc863" w:history="1">
        <w:r>
          <w:rPr>
            <w:rFonts w:ascii="IRNazanin" w:hAnsi="IRNazanin" w:eastAsia="IRNazanin" w:cs="IRNazanin"/>
            <w:color w:val="111111"/>
            <w:sz w:val="22"/>
            <w:szCs w:val="22"/>
            <w:b w:val="0"/>
            <w:bCs w:val="0"/>
            <w:i w:val="0"/>
            <w:iCs w:val="0"/>
          </w:rPr>
          <w:t>اسرار سر الهی / جفر / فارسی</w:t>
        </w:r>
        <w:r>
          <w:tab/>
        </w:r>
        <w:r>
          <w:fldChar w:fldCharType="begin"/>
        </w:r>
        <w:r>
          <w:instrText xml:space="preserve">PAGEREF 863 \h</w:instrText>
        </w:r>
        <w:r>
          <w:fldChar w:fldCharType="end"/>
        </w:r>
      </w:hyperlink>
    </w:p>
    <w:p>
      <w:pPr>
        <w:tabs>
          <w:tab w:val="right" w:leader="dot" w:pos="9062"/>
        </w:tabs>
        <w:ind w:left="440"/>
      </w:pPr>
      <w:hyperlink w:anchor="_Toc864" w:history="1">
        <w:r>
          <w:rPr>
            <w:rFonts w:ascii="IRNazanin" w:hAnsi="IRNazanin" w:eastAsia="IRNazanin" w:cs="IRNazanin"/>
            <w:color w:val="111111"/>
            <w:sz w:val="22"/>
            <w:szCs w:val="22"/>
            <w:b w:val="0"/>
            <w:bCs w:val="0"/>
            <w:i w:val="0"/>
            <w:iCs w:val="0"/>
          </w:rPr>
          <w:t>اسرار السلوک / عرفان و تصوف / فارسی</w:t>
        </w:r>
        <w:r>
          <w:tab/>
        </w:r>
        <w:r>
          <w:fldChar w:fldCharType="begin"/>
        </w:r>
        <w:r>
          <w:instrText xml:space="preserve">PAGEREF 864 \h</w:instrText>
        </w:r>
        <w:r>
          <w:fldChar w:fldCharType="end"/>
        </w:r>
      </w:hyperlink>
    </w:p>
    <w:p>
      <w:pPr>
        <w:tabs>
          <w:tab w:val="right" w:leader="dot" w:pos="9062"/>
        </w:tabs>
        <w:ind w:left="440"/>
      </w:pPr>
      <w:hyperlink w:anchor="_Toc865" w:history="1">
        <w:r>
          <w:rPr>
            <w:rFonts w:ascii="IRNazanin" w:hAnsi="IRNazanin" w:eastAsia="IRNazanin" w:cs="IRNazanin"/>
            <w:color w:val="111111"/>
            <w:sz w:val="22"/>
            <w:szCs w:val="22"/>
            <w:b w:val="0"/>
            <w:bCs w:val="0"/>
            <w:i w:val="0"/>
            <w:iCs w:val="0"/>
          </w:rPr>
          <w:t>اسرار سوره فاتحه و توحید / فقه / فارسی</w:t>
        </w:r>
        <w:r>
          <w:tab/>
        </w:r>
        <w:r>
          <w:fldChar w:fldCharType="begin"/>
        </w:r>
        <w:r>
          <w:instrText xml:space="preserve">PAGEREF 865 \h</w:instrText>
        </w:r>
        <w:r>
          <w:fldChar w:fldCharType="end"/>
        </w:r>
      </w:hyperlink>
    </w:p>
    <w:p>
      <w:pPr>
        <w:tabs>
          <w:tab w:val="right" w:leader="dot" w:pos="9062"/>
        </w:tabs>
        <w:ind w:left="440"/>
      </w:pPr>
      <w:hyperlink w:anchor="_Toc866" w:history="1">
        <w:r>
          <w:rPr>
            <w:rFonts w:ascii="IRNazanin" w:hAnsi="IRNazanin" w:eastAsia="IRNazanin" w:cs="IRNazanin"/>
            <w:color w:val="111111"/>
            <w:sz w:val="22"/>
            <w:szCs w:val="22"/>
            <w:b w:val="0"/>
            <w:bCs w:val="0"/>
            <w:i w:val="0"/>
            <w:iCs w:val="0"/>
          </w:rPr>
          <w:t>اسرار سیاسی / حکومت و سیاست / فارسی</w:t>
        </w:r>
        <w:r>
          <w:tab/>
        </w:r>
        <w:r>
          <w:fldChar w:fldCharType="begin"/>
        </w:r>
        <w:r>
          <w:instrText xml:space="preserve">PAGEREF 866 \h</w:instrText>
        </w:r>
        <w:r>
          <w:fldChar w:fldCharType="end"/>
        </w:r>
      </w:hyperlink>
    </w:p>
    <w:p>
      <w:pPr>
        <w:tabs>
          <w:tab w:val="right" w:leader="dot" w:pos="9062"/>
        </w:tabs>
        <w:ind w:left="440"/>
      </w:pPr>
      <w:hyperlink w:anchor="_Toc867" w:history="1">
        <w:r>
          <w:rPr>
            <w:rFonts w:ascii="IRNazanin" w:hAnsi="IRNazanin" w:eastAsia="IRNazanin" w:cs="IRNazanin"/>
            <w:color w:val="111111"/>
            <w:sz w:val="22"/>
            <w:szCs w:val="22"/>
            <w:b w:val="0"/>
            <w:bCs w:val="0"/>
            <w:i w:val="0"/>
            <w:iCs w:val="0"/>
          </w:rPr>
          <w:t>اسرار الشريعة / عرفان و تصوف / عربی</w:t>
        </w:r>
        <w:r>
          <w:tab/>
        </w:r>
        <w:r>
          <w:fldChar w:fldCharType="begin"/>
        </w:r>
        <w:r>
          <w:instrText xml:space="preserve">PAGEREF 867 \h</w:instrText>
        </w:r>
        <w:r>
          <w:fldChar w:fldCharType="end"/>
        </w:r>
      </w:hyperlink>
    </w:p>
    <w:p>
      <w:pPr>
        <w:tabs>
          <w:tab w:val="right" w:leader="dot" w:pos="9062"/>
        </w:tabs>
        <w:ind w:left="440"/>
      </w:pPr>
      <w:hyperlink w:anchor="_Toc868" w:history="1">
        <w:r>
          <w:rPr>
            <w:rFonts w:ascii="IRNazanin" w:hAnsi="IRNazanin" w:eastAsia="IRNazanin" w:cs="IRNazanin"/>
            <w:color w:val="111111"/>
            <w:sz w:val="22"/>
            <w:szCs w:val="22"/>
            <w:b w:val="0"/>
            <w:bCs w:val="0"/>
            <w:i w:val="0"/>
            <w:iCs w:val="0"/>
          </w:rPr>
          <w:t>اسرار الشهادة = يازده مجلس / تاریخ معصومین / فارسی</w:t>
        </w:r>
        <w:r>
          <w:tab/>
        </w:r>
        <w:r>
          <w:fldChar w:fldCharType="begin"/>
        </w:r>
        <w:r>
          <w:instrText xml:space="preserve">PAGEREF 868 \h</w:instrText>
        </w:r>
        <w:r>
          <w:fldChar w:fldCharType="end"/>
        </w:r>
      </w:hyperlink>
    </w:p>
    <w:p>
      <w:pPr>
        <w:tabs>
          <w:tab w:val="right" w:leader="dot" w:pos="9062"/>
        </w:tabs>
        <w:ind w:left="440"/>
      </w:pPr>
      <w:hyperlink w:anchor="_Toc869" w:history="1">
        <w:r>
          <w:rPr>
            <w:rFonts w:ascii="IRNazanin" w:hAnsi="IRNazanin" w:eastAsia="IRNazanin" w:cs="IRNazanin"/>
            <w:color w:val="111111"/>
            <w:sz w:val="22"/>
            <w:szCs w:val="22"/>
            <w:b w:val="0"/>
            <w:bCs w:val="0"/>
            <w:i w:val="0"/>
            <w:iCs w:val="0"/>
          </w:rPr>
          <w:t>اسرار الشهادة = سر الحقيقة في وقعة الطفوف  = الشهادة / مقتل كلام و اعتقادات تاریخ معصومین / عربی</w:t>
        </w:r>
        <w:r>
          <w:tab/>
        </w:r>
        <w:r>
          <w:fldChar w:fldCharType="begin"/>
        </w:r>
        <w:r>
          <w:instrText xml:space="preserve">PAGEREF 869 \h</w:instrText>
        </w:r>
        <w:r>
          <w:fldChar w:fldCharType="end"/>
        </w:r>
      </w:hyperlink>
    </w:p>
    <w:p>
      <w:pPr>
        <w:tabs>
          <w:tab w:val="right" w:leader="dot" w:pos="9062"/>
        </w:tabs>
        <w:ind w:left="440"/>
      </w:pPr>
      <w:hyperlink w:anchor="_Toc870" w:history="1">
        <w:r>
          <w:rPr>
            <w:rFonts w:ascii="IRNazanin" w:hAnsi="IRNazanin" w:eastAsia="IRNazanin" w:cs="IRNazanin"/>
            <w:color w:val="111111"/>
            <w:sz w:val="22"/>
            <w:szCs w:val="22"/>
            <w:b w:val="0"/>
            <w:bCs w:val="0"/>
            <w:i w:val="0"/>
            <w:iCs w:val="0"/>
          </w:rPr>
          <w:t>اسرار الشهادة (ترجمه) / کلام و اعتقادات / فارسی</w:t>
        </w:r>
        <w:r>
          <w:tab/>
        </w:r>
        <w:r>
          <w:fldChar w:fldCharType="begin"/>
        </w:r>
        <w:r>
          <w:instrText xml:space="preserve">PAGEREF 870 \h</w:instrText>
        </w:r>
        <w:r>
          <w:fldChar w:fldCharType="end"/>
        </w:r>
      </w:hyperlink>
    </w:p>
    <w:p>
      <w:pPr>
        <w:tabs>
          <w:tab w:val="right" w:leader="dot" w:pos="9062"/>
        </w:tabs>
        <w:ind w:left="440"/>
      </w:pPr>
      <w:hyperlink w:anchor="_Toc871" w:history="1">
        <w:r>
          <w:rPr>
            <w:rFonts w:ascii="IRNazanin" w:hAnsi="IRNazanin" w:eastAsia="IRNazanin" w:cs="IRNazanin"/>
            <w:color w:val="111111"/>
            <w:sz w:val="22"/>
            <w:szCs w:val="22"/>
            <w:b w:val="0"/>
            <w:bCs w:val="0"/>
            <w:i w:val="0"/>
            <w:iCs w:val="0"/>
          </w:rPr>
          <w:t>اسرار الشهادة (ترجمه) / تاریخ / فارسی</w:t>
        </w:r>
        <w:r>
          <w:tab/>
        </w:r>
        <w:r>
          <w:fldChar w:fldCharType="begin"/>
        </w:r>
        <w:r>
          <w:instrText xml:space="preserve">PAGEREF 871 \h</w:instrText>
        </w:r>
        <w:r>
          <w:fldChar w:fldCharType="end"/>
        </w:r>
      </w:hyperlink>
    </w:p>
    <w:p>
      <w:pPr>
        <w:tabs>
          <w:tab w:val="right" w:leader="dot" w:pos="9062"/>
        </w:tabs>
        <w:ind w:left="440"/>
      </w:pPr>
      <w:hyperlink w:anchor="_Toc872" w:history="1">
        <w:r>
          <w:rPr>
            <w:rFonts w:ascii="IRNazanin" w:hAnsi="IRNazanin" w:eastAsia="IRNazanin" w:cs="IRNazanin"/>
            <w:color w:val="111111"/>
            <w:sz w:val="22"/>
            <w:szCs w:val="22"/>
            <w:b w:val="0"/>
            <w:bCs w:val="0"/>
            <w:i w:val="0"/>
            <w:iCs w:val="0"/>
          </w:rPr>
          <w:t>اسرار الشهادة = اكسير العبادات في اسرار  الشهادات / تاریخ معصومین / عربی</w:t>
        </w:r>
        <w:r>
          <w:tab/>
        </w:r>
        <w:r>
          <w:fldChar w:fldCharType="begin"/>
        </w:r>
        <w:r>
          <w:instrText xml:space="preserve">PAGEREF 872 \h</w:instrText>
        </w:r>
        <w:r>
          <w:fldChar w:fldCharType="end"/>
        </w:r>
      </w:hyperlink>
    </w:p>
    <w:p>
      <w:pPr>
        <w:tabs>
          <w:tab w:val="right" w:leader="dot" w:pos="9062"/>
        </w:tabs>
        <w:ind w:left="440"/>
      </w:pPr>
      <w:hyperlink w:anchor="_Toc873" w:history="1">
        <w:r>
          <w:rPr>
            <w:rFonts w:ascii="IRNazanin" w:hAnsi="IRNazanin" w:eastAsia="IRNazanin" w:cs="IRNazanin"/>
            <w:color w:val="111111"/>
            <w:sz w:val="22"/>
            <w:szCs w:val="22"/>
            <w:b w:val="0"/>
            <w:bCs w:val="0"/>
            <w:i w:val="0"/>
            <w:iCs w:val="0"/>
          </w:rPr>
          <w:t>أسرار الشهادة / شعر / فارسی</w:t>
        </w:r>
        <w:r>
          <w:tab/>
        </w:r>
        <w:r>
          <w:fldChar w:fldCharType="begin"/>
        </w:r>
        <w:r>
          <w:instrText xml:space="preserve">PAGEREF 873 \h</w:instrText>
        </w:r>
        <w:r>
          <w:fldChar w:fldCharType="end"/>
        </w:r>
      </w:hyperlink>
    </w:p>
    <w:p>
      <w:pPr>
        <w:tabs>
          <w:tab w:val="right" w:leader="dot" w:pos="9062"/>
        </w:tabs>
        <w:ind w:left="440"/>
      </w:pPr>
      <w:hyperlink w:anchor="_Toc874" w:history="1">
        <w:r>
          <w:rPr>
            <w:rFonts w:ascii="IRNazanin" w:hAnsi="IRNazanin" w:eastAsia="IRNazanin" w:cs="IRNazanin"/>
            <w:color w:val="111111"/>
            <w:sz w:val="22"/>
            <w:szCs w:val="22"/>
            <w:b w:val="0"/>
            <w:bCs w:val="0"/>
            <w:i w:val="0"/>
            <w:iCs w:val="0"/>
          </w:rPr>
          <w:t>اسرار الشهادة / تاریخ معصومین / عربی</w:t>
        </w:r>
        <w:r>
          <w:tab/>
        </w:r>
        <w:r>
          <w:fldChar w:fldCharType="begin"/>
        </w:r>
        <w:r>
          <w:instrText xml:space="preserve">PAGEREF 874 \h</w:instrText>
        </w:r>
        <w:r>
          <w:fldChar w:fldCharType="end"/>
        </w:r>
      </w:hyperlink>
    </w:p>
    <w:p>
      <w:pPr>
        <w:tabs>
          <w:tab w:val="right" w:leader="dot" w:pos="9062"/>
        </w:tabs>
        <w:ind w:left="440"/>
      </w:pPr>
      <w:hyperlink w:anchor="_Toc875" w:history="1">
        <w:r>
          <w:rPr>
            <w:rFonts w:ascii="IRNazanin" w:hAnsi="IRNazanin" w:eastAsia="IRNazanin" w:cs="IRNazanin"/>
            <w:color w:val="111111"/>
            <w:sz w:val="22"/>
            <w:szCs w:val="22"/>
            <w:b w:val="0"/>
            <w:bCs w:val="0"/>
            <w:i w:val="0"/>
            <w:iCs w:val="0"/>
          </w:rPr>
          <w:t>اسرار الشهادة / كلام و اعتقادات / عربی</w:t>
        </w:r>
        <w:r>
          <w:tab/>
        </w:r>
        <w:r>
          <w:fldChar w:fldCharType="begin"/>
        </w:r>
        <w:r>
          <w:instrText xml:space="preserve">PAGEREF 875 \h</w:instrText>
        </w:r>
        <w:r>
          <w:fldChar w:fldCharType="end"/>
        </w:r>
      </w:hyperlink>
    </w:p>
    <w:p>
      <w:pPr>
        <w:tabs>
          <w:tab w:val="right" w:leader="dot" w:pos="9062"/>
        </w:tabs>
        <w:ind w:left="440"/>
      </w:pPr>
      <w:hyperlink w:anchor="_Toc876" w:history="1">
        <w:r>
          <w:rPr>
            <w:rFonts w:ascii="IRNazanin" w:hAnsi="IRNazanin" w:eastAsia="IRNazanin" w:cs="IRNazanin"/>
            <w:color w:val="111111"/>
            <w:sz w:val="22"/>
            <w:szCs w:val="22"/>
            <w:b w:val="0"/>
            <w:bCs w:val="0"/>
            <w:i w:val="0"/>
            <w:iCs w:val="0"/>
          </w:rPr>
          <w:t>اسرار الشهادة / تاریخ معصومین / عربی</w:t>
        </w:r>
        <w:r>
          <w:tab/>
        </w:r>
        <w:r>
          <w:fldChar w:fldCharType="begin"/>
        </w:r>
        <w:r>
          <w:instrText xml:space="preserve">PAGEREF 876 \h</w:instrText>
        </w:r>
        <w:r>
          <w:fldChar w:fldCharType="end"/>
        </w:r>
      </w:hyperlink>
    </w:p>
    <w:p>
      <w:pPr>
        <w:tabs>
          <w:tab w:val="right" w:leader="dot" w:pos="9062"/>
        </w:tabs>
        <w:ind w:left="440"/>
      </w:pPr>
      <w:hyperlink w:anchor="_Toc877" w:history="1">
        <w:r>
          <w:rPr>
            <w:rFonts w:ascii="IRNazanin" w:hAnsi="IRNazanin" w:eastAsia="IRNazanin" w:cs="IRNazanin"/>
            <w:color w:val="111111"/>
            <w:sz w:val="22"/>
            <w:szCs w:val="22"/>
            <w:b w:val="0"/>
            <w:bCs w:val="0"/>
            <w:i w:val="0"/>
            <w:iCs w:val="0"/>
          </w:rPr>
          <w:t>اسرار الشهاده / متفرقه / فارسی</w:t>
        </w:r>
        <w:r>
          <w:tab/>
        </w:r>
        <w:r>
          <w:fldChar w:fldCharType="begin"/>
        </w:r>
        <w:r>
          <w:instrText xml:space="preserve">PAGEREF 877 \h</w:instrText>
        </w:r>
        <w:r>
          <w:fldChar w:fldCharType="end"/>
        </w:r>
      </w:hyperlink>
    </w:p>
    <w:p>
      <w:pPr>
        <w:tabs>
          <w:tab w:val="right" w:leader="dot" w:pos="9062"/>
        </w:tabs>
        <w:ind w:left="440"/>
      </w:pPr>
      <w:hyperlink w:anchor="_Toc878" w:history="1">
        <w:r>
          <w:rPr>
            <w:rFonts w:ascii="IRNazanin" w:hAnsi="IRNazanin" w:eastAsia="IRNazanin" w:cs="IRNazanin"/>
            <w:color w:val="111111"/>
            <w:sz w:val="22"/>
            <w:szCs w:val="22"/>
            <w:b w:val="0"/>
            <w:bCs w:val="0"/>
            <w:i w:val="0"/>
            <w:iCs w:val="0"/>
          </w:rPr>
          <w:t>اسرار الشهود فى معرفة الحق المعبود / عرفان و  تصوف شعر / فارسی</w:t>
        </w:r>
        <w:r>
          <w:tab/>
        </w:r>
        <w:r>
          <w:fldChar w:fldCharType="begin"/>
        </w:r>
        <w:r>
          <w:instrText xml:space="preserve">PAGEREF 878 \h</w:instrText>
        </w:r>
        <w:r>
          <w:fldChar w:fldCharType="end"/>
        </w:r>
      </w:hyperlink>
    </w:p>
    <w:p>
      <w:pPr>
        <w:tabs>
          <w:tab w:val="right" w:leader="dot" w:pos="9062"/>
        </w:tabs>
        <w:ind w:left="440"/>
      </w:pPr>
      <w:hyperlink w:anchor="_Toc879" w:history="1">
        <w:r>
          <w:rPr>
            <w:rFonts w:ascii="IRNazanin" w:hAnsi="IRNazanin" w:eastAsia="IRNazanin" w:cs="IRNazanin"/>
            <w:color w:val="111111"/>
            <w:sz w:val="22"/>
            <w:szCs w:val="22"/>
            <w:b w:val="0"/>
            <w:bCs w:val="0"/>
            <w:i w:val="0"/>
            <w:iCs w:val="0"/>
          </w:rPr>
          <w:t>اسرار الصلاة / فلسفه احکام / عربی</w:t>
        </w:r>
        <w:r>
          <w:tab/>
        </w:r>
        <w:r>
          <w:fldChar w:fldCharType="begin"/>
        </w:r>
        <w:r>
          <w:instrText xml:space="preserve">PAGEREF 879 \h</w:instrText>
        </w:r>
        <w:r>
          <w:fldChar w:fldCharType="end"/>
        </w:r>
      </w:hyperlink>
    </w:p>
    <w:p>
      <w:pPr>
        <w:tabs>
          <w:tab w:val="right" w:leader="dot" w:pos="9062"/>
        </w:tabs>
        <w:ind w:left="440"/>
      </w:pPr>
      <w:hyperlink w:anchor="_Toc880" w:history="1">
        <w:r>
          <w:rPr>
            <w:rFonts w:ascii="IRNazanin" w:hAnsi="IRNazanin" w:eastAsia="IRNazanin" w:cs="IRNazanin"/>
            <w:color w:val="111111"/>
            <w:sz w:val="22"/>
            <w:szCs w:val="22"/>
            <w:b w:val="0"/>
            <w:bCs w:val="0"/>
            <w:i w:val="0"/>
            <w:iCs w:val="0"/>
          </w:rPr>
          <w:t>اسرار الصلاة / عرفان و تصوف / فارسی</w:t>
        </w:r>
        <w:r>
          <w:tab/>
        </w:r>
        <w:r>
          <w:fldChar w:fldCharType="begin"/>
        </w:r>
        <w:r>
          <w:instrText xml:space="preserve">PAGEREF 880 \h</w:instrText>
        </w:r>
        <w:r>
          <w:fldChar w:fldCharType="end"/>
        </w:r>
      </w:hyperlink>
    </w:p>
    <w:p>
      <w:pPr>
        <w:tabs>
          <w:tab w:val="right" w:leader="dot" w:pos="9062"/>
        </w:tabs>
        <w:ind w:left="440"/>
      </w:pPr>
      <w:hyperlink w:anchor="_Toc881" w:history="1">
        <w:r>
          <w:rPr>
            <w:rFonts w:ascii="IRNazanin" w:hAnsi="IRNazanin" w:eastAsia="IRNazanin" w:cs="IRNazanin"/>
            <w:color w:val="111111"/>
            <w:sz w:val="22"/>
            <w:szCs w:val="22"/>
            <w:b w:val="0"/>
            <w:bCs w:val="0"/>
            <w:i w:val="0"/>
            <w:iCs w:val="0"/>
          </w:rPr>
          <w:t>اسرار الصلاة / فلسفه احكام,عرفان و تصوف / فارسی</w:t>
        </w:r>
        <w:r>
          <w:tab/>
        </w:r>
        <w:r>
          <w:fldChar w:fldCharType="begin"/>
        </w:r>
        <w:r>
          <w:instrText xml:space="preserve">PAGEREF 881 \h</w:instrText>
        </w:r>
        <w:r>
          <w:fldChar w:fldCharType="end"/>
        </w:r>
      </w:hyperlink>
    </w:p>
    <w:p>
      <w:pPr>
        <w:tabs>
          <w:tab w:val="right" w:leader="dot" w:pos="9062"/>
        </w:tabs>
        <w:ind w:left="440"/>
      </w:pPr>
      <w:hyperlink w:anchor="_Toc882" w:history="1">
        <w:r>
          <w:rPr>
            <w:rFonts w:ascii="IRNazanin" w:hAnsi="IRNazanin" w:eastAsia="IRNazanin" w:cs="IRNazanin"/>
            <w:color w:val="111111"/>
            <w:sz w:val="22"/>
            <w:szCs w:val="22"/>
            <w:b w:val="0"/>
            <w:bCs w:val="0"/>
            <w:i w:val="0"/>
            <w:iCs w:val="0"/>
          </w:rPr>
          <w:t>اسرار الصلاة / فلسفه احکام / عربی</w:t>
        </w:r>
        <w:r>
          <w:tab/>
        </w:r>
        <w:r>
          <w:fldChar w:fldCharType="begin"/>
        </w:r>
        <w:r>
          <w:instrText xml:space="preserve">PAGEREF 882 \h</w:instrText>
        </w:r>
        <w:r>
          <w:fldChar w:fldCharType="end"/>
        </w:r>
      </w:hyperlink>
    </w:p>
    <w:p>
      <w:pPr>
        <w:tabs>
          <w:tab w:val="right" w:leader="dot" w:pos="9062"/>
        </w:tabs>
        <w:ind w:left="440"/>
      </w:pPr>
      <w:hyperlink w:anchor="_Toc883" w:history="1">
        <w:r>
          <w:rPr>
            <w:rFonts w:ascii="IRNazanin" w:hAnsi="IRNazanin" w:eastAsia="IRNazanin" w:cs="IRNazanin"/>
            <w:color w:val="111111"/>
            <w:sz w:val="22"/>
            <w:szCs w:val="22"/>
            <w:b w:val="0"/>
            <w:bCs w:val="0"/>
            <w:i w:val="0"/>
            <w:iCs w:val="0"/>
          </w:rPr>
          <w:t>اسرار الصلاة = اسرار العبادات / فلسفه احکام / عربی</w:t>
        </w:r>
        <w:r>
          <w:tab/>
        </w:r>
        <w:r>
          <w:fldChar w:fldCharType="begin"/>
        </w:r>
        <w:r>
          <w:instrText xml:space="preserve">PAGEREF 883 \h</w:instrText>
        </w:r>
        <w:r>
          <w:fldChar w:fldCharType="end"/>
        </w:r>
      </w:hyperlink>
    </w:p>
    <w:p>
      <w:pPr>
        <w:tabs>
          <w:tab w:val="right" w:leader="dot" w:pos="9062"/>
        </w:tabs>
        <w:ind w:left="440"/>
      </w:pPr>
      <w:hyperlink w:anchor="_Toc884" w:history="1">
        <w:r>
          <w:rPr>
            <w:rFonts w:ascii="IRNazanin" w:hAnsi="IRNazanin" w:eastAsia="IRNazanin" w:cs="IRNazanin"/>
            <w:color w:val="111111"/>
            <w:sz w:val="22"/>
            <w:szCs w:val="22"/>
            <w:b w:val="0"/>
            <w:bCs w:val="0"/>
            <w:i w:val="0"/>
            <w:iCs w:val="0"/>
          </w:rPr>
          <w:t>اسرار الصلاة = ترجمة الصلات = اسرار جزئیه نماز  / فلسفه احکام / فارسی</w:t>
        </w:r>
        <w:r>
          <w:tab/>
        </w:r>
        <w:r>
          <w:fldChar w:fldCharType="begin"/>
        </w:r>
        <w:r>
          <w:instrText xml:space="preserve">PAGEREF 884 \h</w:instrText>
        </w:r>
        <w:r>
          <w:fldChar w:fldCharType="end"/>
        </w:r>
      </w:hyperlink>
    </w:p>
    <w:p>
      <w:pPr>
        <w:tabs>
          <w:tab w:val="right" w:leader="dot" w:pos="9062"/>
        </w:tabs>
        <w:ind w:left="440"/>
      </w:pPr>
      <w:hyperlink w:anchor="_Toc885" w:history="1">
        <w:r>
          <w:rPr>
            <w:rFonts w:ascii="IRNazanin" w:hAnsi="IRNazanin" w:eastAsia="IRNazanin" w:cs="IRNazanin"/>
            <w:color w:val="111111"/>
            <w:sz w:val="22"/>
            <w:szCs w:val="22"/>
            <w:b w:val="0"/>
            <w:bCs w:val="0"/>
            <w:i w:val="0"/>
            <w:iCs w:val="0"/>
          </w:rPr>
          <w:t>اسرار الصلاة - مرآة الهداة في كشف اسرار  الصلوة / فلسفه احکام / فارسی</w:t>
        </w:r>
        <w:r>
          <w:tab/>
        </w:r>
        <w:r>
          <w:fldChar w:fldCharType="begin"/>
        </w:r>
        <w:r>
          <w:instrText xml:space="preserve">PAGEREF 885 \h</w:instrText>
        </w:r>
        <w:r>
          <w:fldChar w:fldCharType="end"/>
        </w:r>
      </w:hyperlink>
    </w:p>
    <w:p>
      <w:pPr>
        <w:tabs>
          <w:tab w:val="right" w:leader="dot" w:pos="9062"/>
        </w:tabs>
        <w:ind w:left="440"/>
      </w:pPr>
      <w:hyperlink w:anchor="_Toc886" w:history="1">
        <w:r>
          <w:rPr>
            <w:rFonts w:ascii="IRNazanin" w:hAnsi="IRNazanin" w:eastAsia="IRNazanin" w:cs="IRNazanin"/>
            <w:color w:val="111111"/>
            <w:sz w:val="22"/>
            <w:szCs w:val="22"/>
            <w:b w:val="0"/>
            <w:bCs w:val="0"/>
            <w:i w:val="0"/>
            <w:iCs w:val="0"/>
          </w:rPr>
          <w:t>اسرار الصلاة / فلسفه احکام / فارسی</w:t>
        </w:r>
        <w:r>
          <w:tab/>
        </w:r>
        <w:r>
          <w:fldChar w:fldCharType="begin"/>
        </w:r>
        <w:r>
          <w:instrText xml:space="preserve">PAGEREF 886 \h</w:instrText>
        </w:r>
        <w:r>
          <w:fldChar w:fldCharType="end"/>
        </w:r>
      </w:hyperlink>
    </w:p>
    <w:p>
      <w:pPr>
        <w:tabs>
          <w:tab w:val="right" w:leader="dot" w:pos="9062"/>
        </w:tabs>
        <w:ind w:left="440"/>
      </w:pPr>
      <w:hyperlink w:anchor="_Toc887" w:history="1">
        <w:r>
          <w:rPr>
            <w:rFonts w:ascii="IRNazanin" w:hAnsi="IRNazanin" w:eastAsia="IRNazanin" w:cs="IRNazanin"/>
            <w:color w:val="111111"/>
            <w:sz w:val="22"/>
            <w:szCs w:val="22"/>
            <w:b w:val="0"/>
            <w:bCs w:val="0"/>
            <w:i w:val="0"/>
            <w:iCs w:val="0"/>
          </w:rPr>
          <w:t>اسرار الصلاة / فقه / عربی</w:t>
        </w:r>
        <w:r>
          <w:tab/>
        </w:r>
        <w:r>
          <w:fldChar w:fldCharType="begin"/>
        </w:r>
        <w:r>
          <w:instrText xml:space="preserve">PAGEREF 887 \h</w:instrText>
        </w:r>
        <w:r>
          <w:fldChar w:fldCharType="end"/>
        </w:r>
      </w:hyperlink>
    </w:p>
    <w:p>
      <w:pPr>
        <w:tabs>
          <w:tab w:val="right" w:leader="dot" w:pos="9062"/>
        </w:tabs>
        <w:ind w:left="440"/>
      </w:pPr>
      <w:hyperlink w:anchor="_Toc888" w:history="1">
        <w:r>
          <w:rPr>
            <w:rFonts w:ascii="IRNazanin" w:hAnsi="IRNazanin" w:eastAsia="IRNazanin" w:cs="IRNazanin"/>
            <w:color w:val="111111"/>
            <w:sz w:val="22"/>
            <w:szCs w:val="22"/>
            <w:b w:val="0"/>
            <w:bCs w:val="0"/>
            <w:i w:val="0"/>
            <w:iCs w:val="0"/>
          </w:rPr>
          <w:t>اسرار الصلاة / فلسفه احکام / فارسی</w:t>
        </w:r>
        <w:r>
          <w:tab/>
        </w:r>
        <w:r>
          <w:fldChar w:fldCharType="begin"/>
        </w:r>
        <w:r>
          <w:instrText xml:space="preserve">PAGEREF 888 \h</w:instrText>
        </w:r>
        <w:r>
          <w:fldChar w:fldCharType="end"/>
        </w:r>
      </w:hyperlink>
    </w:p>
    <w:p>
      <w:pPr>
        <w:tabs>
          <w:tab w:val="right" w:leader="dot" w:pos="9062"/>
        </w:tabs>
        <w:ind w:left="440"/>
      </w:pPr>
      <w:hyperlink w:anchor="_Toc889" w:history="1">
        <w:r>
          <w:rPr>
            <w:rFonts w:ascii="IRNazanin" w:hAnsi="IRNazanin" w:eastAsia="IRNazanin" w:cs="IRNazanin"/>
            <w:color w:val="111111"/>
            <w:sz w:val="22"/>
            <w:szCs w:val="22"/>
            <w:b w:val="0"/>
            <w:bCs w:val="0"/>
            <w:i w:val="0"/>
            <w:iCs w:val="0"/>
          </w:rPr>
          <w:t>اسرار الصلاة / فلسفه احکام / عربی</w:t>
        </w:r>
        <w:r>
          <w:tab/>
        </w:r>
        <w:r>
          <w:fldChar w:fldCharType="begin"/>
        </w:r>
        <w:r>
          <w:instrText xml:space="preserve">PAGEREF 889 \h</w:instrText>
        </w:r>
        <w:r>
          <w:fldChar w:fldCharType="end"/>
        </w:r>
      </w:hyperlink>
    </w:p>
    <w:p>
      <w:pPr>
        <w:tabs>
          <w:tab w:val="right" w:leader="dot" w:pos="9062"/>
        </w:tabs>
        <w:ind w:left="440"/>
      </w:pPr>
      <w:hyperlink w:anchor="_Toc890" w:history="1">
        <w:r>
          <w:rPr>
            <w:rFonts w:ascii="IRNazanin" w:hAnsi="IRNazanin" w:eastAsia="IRNazanin" w:cs="IRNazanin"/>
            <w:color w:val="111111"/>
            <w:sz w:val="22"/>
            <w:szCs w:val="22"/>
            <w:b w:val="0"/>
            <w:bCs w:val="0"/>
            <w:i w:val="0"/>
            <w:iCs w:val="0"/>
          </w:rPr>
          <w:t>اسرار الصلاة / عرفان و تصوف / فارسی</w:t>
        </w:r>
        <w:r>
          <w:tab/>
        </w:r>
        <w:r>
          <w:fldChar w:fldCharType="begin"/>
        </w:r>
        <w:r>
          <w:instrText xml:space="preserve">PAGEREF 890 \h</w:instrText>
        </w:r>
        <w:r>
          <w:fldChar w:fldCharType="end"/>
        </w:r>
      </w:hyperlink>
    </w:p>
    <w:p>
      <w:pPr>
        <w:tabs>
          <w:tab w:val="right" w:leader="dot" w:pos="9062"/>
        </w:tabs>
        <w:ind w:left="440"/>
      </w:pPr>
      <w:hyperlink w:anchor="_Toc891" w:history="1">
        <w:r>
          <w:rPr>
            <w:rFonts w:ascii="IRNazanin" w:hAnsi="IRNazanin" w:eastAsia="IRNazanin" w:cs="IRNazanin"/>
            <w:color w:val="111111"/>
            <w:sz w:val="22"/>
            <w:szCs w:val="22"/>
            <w:b w:val="0"/>
            <w:bCs w:val="0"/>
            <w:i w:val="0"/>
            <w:iCs w:val="0"/>
          </w:rPr>
          <w:t>اسرار الصلاة (ترجمه) / فلسفه احکام / فارسی</w:t>
        </w:r>
        <w:r>
          <w:tab/>
        </w:r>
        <w:r>
          <w:fldChar w:fldCharType="begin"/>
        </w:r>
        <w:r>
          <w:instrText xml:space="preserve">PAGEREF 891 \h</w:instrText>
        </w:r>
        <w:r>
          <w:fldChar w:fldCharType="end"/>
        </w:r>
      </w:hyperlink>
    </w:p>
    <w:p>
      <w:pPr>
        <w:tabs>
          <w:tab w:val="right" w:leader="dot" w:pos="9062"/>
        </w:tabs>
        <w:ind w:left="440"/>
      </w:pPr>
      <w:hyperlink w:anchor="_Toc892" w:history="1">
        <w:r>
          <w:rPr>
            <w:rFonts w:ascii="IRNazanin" w:hAnsi="IRNazanin" w:eastAsia="IRNazanin" w:cs="IRNazanin"/>
            <w:color w:val="111111"/>
            <w:sz w:val="22"/>
            <w:szCs w:val="22"/>
            <w:b w:val="0"/>
            <w:bCs w:val="0"/>
            <w:i w:val="0"/>
            <w:iCs w:val="0"/>
          </w:rPr>
          <w:t>اسرار الصلاة (ترجمه) / فلسفه احکام / فارسی</w:t>
        </w:r>
        <w:r>
          <w:tab/>
        </w:r>
        <w:r>
          <w:fldChar w:fldCharType="begin"/>
        </w:r>
        <w:r>
          <w:instrText xml:space="preserve">PAGEREF 892 \h</w:instrText>
        </w:r>
        <w:r>
          <w:fldChar w:fldCharType="end"/>
        </w:r>
      </w:hyperlink>
    </w:p>
    <w:p>
      <w:pPr>
        <w:tabs>
          <w:tab w:val="right" w:leader="dot" w:pos="9062"/>
        </w:tabs>
        <w:ind w:left="440"/>
      </w:pPr>
      <w:hyperlink w:anchor="_Toc893" w:history="1">
        <w:r>
          <w:rPr>
            <w:rFonts w:ascii="IRNazanin" w:hAnsi="IRNazanin" w:eastAsia="IRNazanin" w:cs="IRNazanin"/>
            <w:color w:val="111111"/>
            <w:sz w:val="22"/>
            <w:szCs w:val="22"/>
            <w:b w:val="0"/>
            <w:bCs w:val="0"/>
            <w:i w:val="0"/>
            <w:iCs w:val="0"/>
          </w:rPr>
          <w:t>اسرار الصلاة (ترجمه) / فلسفه و کلام / فارسی</w:t>
        </w:r>
        <w:r>
          <w:tab/>
        </w:r>
        <w:r>
          <w:fldChar w:fldCharType="begin"/>
        </w:r>
        <w:r>
          <w:instrText xml:space="preserve">PAGEREF 893 \h</w:instrText>
        </w:r>
        <w:r>
          <w:fldChar w:fldCharType="end"/>
        </w:r>
      </w:hyperlink>
    </w:p>
    <w:p>
      <w:pPr>
        <w:tabs>
          <w:tab w:val="right" w:leader="dot" w:pos="9062"/>
        </w:tabs>
        <w:ind w:left="440"/>
      </w:pPr>
      <w:hyperlink w:anchor="_Toc894" w:history="1">
        <w:r>
          <w:rPr>
            <w:rFonts w:ascii="IRNazanin" w:hAnsi="IRNazanin" w:eastAsia="IRNazanin" w:cs="IRNazanin"/>
            <w:color w:val="111111"/>
            <w:sz w:val="22"/>
            <w:szCs w:val="22"/>
            <w:b w:val="0"/>
            <w:bCs w:val="0"/>
            <w:i w:val="0"/>
            <w:iCs w:val="0"/>
          </w:rPr>
          <w:t>اسرار الصلاة (منتخب) / فلسفه احکام / عربی</w:t>
        </w:r>
        <w:r>
          <w:tab/>
        </w:r>
        <w:r>
          <w:fldChar w:fldCharType="begin"/>
        </w:r>
        <w:r>
          <w:instrText xml:space="preserve">PAGEREF 894 \h</w:instrText>
        </w:r>
        <w:r>
          <w:fldChar w:fldCharType="end"/>
        </w:r>
      </w:hyperlink>
    </w:p>
    <w:p>
      <w:pPr>
        <w:tabs>
          <w:tab w:val="right" w:leader="dot" w:pos="9062"/>
        </w:tabs>
        <w:ind w:left="440"/>
      </w:pPr>
      <w:hyperlink w:anchor="_Toc895" w:history="1">
        <w:r>
          <w:rPr>
            <w:rFonts w:ascii="IRNazanin" w:hAnsi="IRNazanin" w:eastAsia="IRNazanin" w:cs="IRNazanin"/>
            <w:color w:val="111111"/>
            <w:sz w:val="22"/>
            <w:szCs w:val="22"/>
            <w:b w:val="0"/>
            <w:bCs w:val="0"/>
            <w:i w:val="0"/>
            <w:iCs w:val="0"/>
          </w:rPr>
          <w:t>اسرار الصنايع / منطق / فارسی</w:t>
        </w:r>
        <w:r>
          <w:tab/>
        </w:r>
        <w:r>
          <w:fldChar w:fldCharType="begin"/>
        </w:r>
        <w:r>
          <w:instrText xml:space="preserve">PAGEREF 895 \h</w:instrText>
        </w:r>
        <w:r>
          <w:fldChar w:fldCharType="end"/>
        </w:r>
      </w:hyperlink>
    </w:p>
    <w:p>
      <w:pPr>
        <w:tabs>
          <w:tab w:val="right" w:leader="dot" w:pos="9062"/>
        </w:tabs>
        <w:ind w:left="440"/>
      </w:pPr>
      <w:hyperlink w:anchor="_Toc896" w:history="1">
        <w:r>
          <w:rPr>
            <w:rFonts w:ascii="IRNazanin" w:hAnsi="IRNazanin" w:eastAsia="IRNazanin" w:cs="IRNazanin"/>
            <w:color w:val="111111"/>
            <w:sz w:val="22"/>
            <w:szCs w:val="22"/>
            <w:b w:val="0"/>
            <w:bCs w:val="0"/>
            <w:i w:val="0"/>
            <w:iCs w:val="0"/>
          </w:rPr>
          <w:t>اسرار الصنعة / كيميا / فارسى</w:t>
        </w:r>
        <w:r>
          <w:tab/>
        </w:r>
        <w:r>
          <w:fldChar w:fldCharType="begin"/>
        </w:r>
        <w:r>
          <w:instrText xml:space="preserve">PAGEREF 896 \h</w:instrText>
        </w:r>
        <w:r>
          <w:fldChar w:fldCharType="end"/>
        </w:r>
      </w:hyperlink>
    </w:p>
    <w:p>
      <w:pPr>
        <w:tabs>
          <w:tab w:val="right" w:leader="dot" w:pos="9062"/>
        </w:tabs>
        <w:ind w:left="440"/>
      </w:pPr>
      <w:hyperlink w:anchor="_Toc897" w:history="1">
        <w:r>
          <w:rPr>
            <w:rFonts w:ascii="IRNazanin" w:hAnsi="IRNazanin" w:eastAsia="IRNazanin" w:cs="IRNazanin"/>
            <w:color w:val="111111"/>
            <w:sz w:val="22"/>
            <w:szCs w:val="22"/>
            <w:b w:val="0"/>
            <w:bCs w:val="0"/>
            <w:i w:val="0"/>
            <w:iCs w:val="0"/>
          </w:rPr>
          <w:t>اسرار الصنعة / كيميا / فارسى</w:t>
        </w:r>
        <w:r>
          <w:tab/>
        </w:r>
        <w:r>
          <w:fldChar w:fldCharType="begin"/>
        </w:r>
        <w:r>
          <w:instrText xml:space="preserve">PAGEREF 897 \h</w:instrText>
        </w:r>
        <w:r>
          <w:fldChar w:fldCharType="end"/>
        </w:r>
      </w:hyperlink>
    </w:p>
    <w:p>
      <w:pPr>
        <w:tabs>
          <w:tab w:val="right" w:leader="dot" w:pos="9062"/>
        </w:tabs>
        <w:ind w:left="440"/>
      </w:pPr>
      <w:hyperlink w:anchor="_Toc898" w:history="1">
        <w:r>
          <w:rPr>
            <w:rFonts w:ascii="IRNazanin" w:hAnsi="IRNazanin" w:eastAsia="IRNazanin" w:cs="IRNazanin"/>
            <w:color w:val="111111"/>
            <w:sz w:val="22"/>
            <w:szCs w:val="22"/>
            <w:b w:val="0"/>
            <w:bCs w:val="0"/>
            <w:i w:val="0"/>
            <w:iCs w:val="0"/>
          </w:rPr>
          <w:t>اسرار الطالع / فارسی</w:t>
        </w:r>
        <w:r>
          <w:tab/>
        </w:r>
        <w:r>
          <w:fldChar w:fldCharType="begin"/>
        </w:r>
        <w:r>
          <w:instrText xml:space="preserve">PAGEREF 898 \h</w:instrText>
        </w:r>
        <w:r>
          <w:fldChar w:fldCharType="end"/>
        </w:r>
      </w:hyperlink>
    </w:p>
    <w:p>
      <w:pPr>
        <w:tabs>
          <w:tab w:val="right" w:leader="dot" w:pos="9062"/>
        </w:tabs>
        <w:ind w:left="440"/>
      </w:pPr>
      <w:hyperlink w:anchor="_Toc899" w:history="1">
        <w:r>
          <w:rPr>
            <w:rFonts w:ascii="IRNazanin" w:hAnsi="IRNazanin" w:eastAsia="IRNazanin" w:cs="IRNazanin"/>
            <w:color w:val="111111"/>
            <w:sz w:val="22"/>
            <w:szCs w:val="22"/>
            <w:b w:val="0"/>
            <w:bCs w:val="0"/>
            <w:i w:val="0"/>
            <w:iCs w:val="0"/>
          </w:rPr>
          <w:t>اسرار الطبايع / طب / فارسی</w:t>
        </w:r>
        <w:r>
          <w:tab/>
        </w:r>
        <w:r>
          <w:fldChar w:fldCharType="begin"/>
        </w:r>
        <w:r>
          <w:instrText xml:space="preserve">PAGEREF 899 \h</w:instrText>
        </w:r>
        <w:r>
          <w:fldChar w:fldCharType="end"/>
        </w:r>
      </w:hyperlink>
    </w:p>
    <w:p>
      <w:pPr>
        <w:tabs>
          <w:tab w:val="right" w:leader="dot" w:pos="9062"/>
        </w:tabs>
        <w:ind w:left="440"/>
      </w:pPr>
      <w:hyperlink w:anchor="_Toc900" w:history="1">
        <w:r>
          <w:rPr>
            <w:rFonts w:ascii="IRNazanin" w:hAnsi="IRNazanin" w:eastAsia="IRNazanin" w:cs="IRNazanin"/>
            <w:color w:val="111111"/>
            <w:sz w:val="22"/>
            <w:szCs w:val="22"/>
            <w:b w:val="0"/>
            <w:bCs w:val="0"/>
            <w:i w:val="0"/>
            <w:iCs w:val="0"/>
          </w:rPr>
          <w:t>اسرار طریقت و معرفت / عرفان و تصوف / فارسی</w:t>
        </w:r>
        <w:r>
          <w:tab/>
        </w:r>
        <w:r>
          <w:fldChar w:fldCharType="begin"/>
        </w:r>
        <w:r>
          <w:instrText xml:space="preserve">PAGEREF 900 \h</w:instrText>
        </w:r>
        <w:r>
          <w:fldChar w:fldCharType="end"/>
        </w:r>
      </w:hyperlink>
    </w:p>
    <w:p>
      <w:pPr>
        <w:tabs>
          <w:tab w:val="right" w:leader="dot" w:pos="9062"/>
        </w:tabs>
        <w:ind w:left="440"/>
      </w:pPr>
      <w:hyperlink w:anchor="_Toc901" w:history="1">
        <w:r>
          <w:rPr>
            <w:rFonts w:ascii="IRNazanin" w:hAnsi="IRNazanin" w:eastAsia="IRNazanin" w:cs="IRNazanin"/>
            <w:color w:val="111111"/>
            <w:sz w:val="22"/>
            <w:szCs w:val="22"/>
            <w:b w:val="0"/>
            <w:bCs w:val="0"/>
            <w:i w:val="0"/>
            <w:iCs w:val="0"/>
          </w:rPr>
          <w:t>اسرار العارفين / عرفان و تصوف / فارسی</w:t>
        </w:r>
        <w:r>
          <w:tab/>
        </w:r>
        <w:r>
          <w:fldChar w:fldCharType="begin"/>
        </w:r>
        <w:r>
          <w:instrText xml:space="preserve">PAGEREF 901 \h</w:instrText>
        </w:r>
        <w:r>
          <w:fldChar w:fldCharType="end"/>
        </w:r>
      </w:hyperlink>
    </w:p>
    <w:p>
      <w:pPr>
        <w:tabs>
          <w:tab w:val="right" w:leader="dot" w:pos="9062"/>
        </w:tabs>
        <w:ind w:left="440"/>
      </w:pPr>
      <w:hyperlink w:anchor="_Toc902" w:history="1">
        <w:r>
          <w:rPr>
            <w:rFonts w:ascii="IRNazanin" w:hAnsi="IRNazanin" w:eastAsia="IRNazanin" w:cs="IRNazanin"/>
            <w:color w:val="111111"/>
            <w:sz w:val="22"/>
            <w:szCs w:val="22"/>
            <w:b w:val="0"/>
            <w:bCs w:val="0"/>
            <w:i w:val="0"/>
            <w:iCs w:val="0"/>
          </w:rPr>
          <w:t>اسرار العارفين فى سير الطالبين / عرفان و تصوف / عربی</w:t>
        </w:r>
        <w:r>
          <w:tab/>
        </w:r>
        <w:r>
          <w:fldChar w:fldCharType="begin"/>
        </w:r>
        <w:r>
          <w:instrText xml:space="preserve">PAGEREF 902 \h</w:instrText>
        </w:r>
        <w:r>
          <w:fldChar w:fldCharType="end"/>
        </w:r>
      </w:hyperlink>
    </w:p>
    <w:p>
      <w:pPr>
        <w:tabs>
          <w:tab w:val="right" w:leader="dot" w:pos="9062"/>
        </w:tabs>
        <w:ind w:left="440"/>
      </w:pPr>
      <w:hyperlink w:anchor="_Toc903" w:history="1">
        <w:r>
          <w:rPr>
            <w:rFonts w:ascii="IRNazanin" w:hAnsi="IRNazanin" w:eastAsia="IRNazanin" w:cs="IRNazanin"/>
            <w:color w:val="111111"/>
            <w:sz w:val="22"/>
            <w:szCs w:val="22"/>
            <w:b w:val="0"/>
            <w:bCs w:val="0"/>
            <w:i w:val="0"/>
            <w:iCs w:val="0"/>
          </w:rPr>
          <w:t>اسرار العارفین فی مراثی و معارف حيوة سيد  المرسلين / تاریخ معصومین / فارسی</w:t>
        </w:r>
        <w:r>
          <w:tab/>
        </w:r>
        <w:r>
          <w:fldChar w:fldCharType="begin"/>
        </w:r>
        <w:r>
          <w:instrText xml:space="preserve">PAGEREF 903 \h</w:instrText>
        </w:r>
        <w:r>
          <w:fldChar w:fldCharType="end"/>
        </w:r>
      </w:hyperlink>
    </w:p>
    <w:p>
      <w:pPr>
        <w:tabs>
          <w:tab w:val="right" w:leader="dot" w:pos="9062"/>
        </w:tabs>
        <w:ind w:left="440"/>
      </w:pPr>
      <w:hyperlink w:anchor="_Toc904" w:history="1">
        <w:r>
          <w:rPr>
            <w:rFonts w:ascii="IRNazanin" w:hAnsi="IRNazanin" w:eastAsia="IRNazanin" w:cs="IRNazanin"/>
            <w:color w:val="111111"/>
            <w:sz w:val="22"/>
            <w:szCs w:val="22"/>
            <w:b w:val="0"/>
            <w:bCs w:val="0"/>
            <w:i w:val="0"/>
            <w:iCs w:val="0"/>
          </w:rPr>
          <w:t>اسرار العارفین و انوار السالكين / اخلاق / عربی</w:t>
        </w:r>
        <w:r>
          <w:tab/>
        </w:r>
        <w:r>
          <w:fldChar w:fldCharType="begin"/>
        </w:r>
        <w:r>
          <w:instrText xml:space="preserve">PAGEREF 904 \h</w:instrText>
        </w:r>
        <w:r>
          <w:fldChar w:fldCharType="end"/>
        </w:r>
      </w:hyperlink>
    </w:p>
    <w:p>
      <w:pPr>
        <w:tabs>
          <w:tab w:val="right" w:leader="dot" w:pos="9062"/>
        </w:tabs>
        <w:ind w:left="440"/>
      </w:pPr>
      <w:hyperlink w:anchor="_Toc905" w:history="1">
        <w:r>
          <w:rPr>
            <w:rFonts w:ascii="IRNazanin" w:hAnsi="IRNazanin" w:eastAsia="IRNazanin" w:cs="IRNazanin"/>
            <w:color w:val="111111"/>
            <w:sz w:val="22"/>
            <w:szCs w:val="22"/>
            <w:b w:val="0"/>
            <w:bCs w:val="0"/>
            <w:i w:val="0"/>
            <w:iCs w:val="0"/>
          </w:rPr>
          <w:t>اسرار العارفین و سراج العالمین و برهان العاشقین  / عرفان و تصوف / فارسی</w:t>
        </w:r>
        <w:r>
          <w:tab/>
        </w:r>
        <w:r>
          <w:fldChar w:fldCharType="begin"/>
        </w:r>
        <w:r>
          <w:instrText xml:space="preserve">PAGEREF 905 \h</w:instrText>
        </w:r>
        <w:r>
          <w:fldChar w:fldCharType="end"/>
        </w:r>
      </w:hyperlink>
    </w:p>
    <w:p>
      <w:pPr>
        <w:tabs>
          <w:tab w:val="right" w:leader="dot" w:pos="9062"/>
        </w:tabs>
        <w:ind w:left="440"/>
      </w:pPr>
      <w:hyperlink w:anchor="_Toc906" w:history="1">
        <w:r>
          <w:rPr>
            <w:rFonts w:ascii="IRNazanin" w:hAnsi="IRNazanin" w:eastAsia="IRNazanin" w:cs="IRNazanin"/>
            <w:color w:val="111111"/>
            <w:sz w:val="22"/>
            <w:szCs w:val="22"/>
            <w:b w:val="0"/>
            <w:bCs w:val="0"/>
            <w:i w:val="0"/>
            <w:iCs w:val="0"/>
          </w:rPr>
          <w:t>اسرار العبادات / عرفان و تصوف / فارسی</w:t>
        </w:r>
        <w:r>
          <w:tab/>
        </w:r>
        <w:r>
          <w:fldChar w:fldCharType="begin"/>
        </w:r>
        <w:r>
          <w:instrText xml:space="preserve">PAGEREF 906 \h</w:instrText>
        </w:r>
        <w:r>
          <w:fldChar w:fldCharType="end"/>
        </w:r>
      </w:hyperlink>
    </w:p>
    <w:p>
      <w:pPr>
        <w:tabs>
          <w:tab w:val="right" w:leader="dot" w:pos="9062"/>
        </w:tabs>
        <w:ind w:left="440"/>
      </w:pPr>
      <w:hyperlink w:anchor="_Toc907" w:history="1">
        <w:r>
          <w:rPr>
            <w:rFonts w:ascii="IRNazanin" w:hAnsi="IRNazanin" w:eastAsia="IRNazanin" w:cs="IRNazanin"/>
            <w:color w:val="111111"/>
            <w:sz w:val="22"/>
            <w:szCs w:val="22"/>
            <w:b w:val="0"/>
            <w:bCs w:val="0"/>
            <w:i w:val="0"/>
            <w:iCs w:val="0"/>
          </w:rPr>
          <w:t>اسرار العبادات / فلسفه احکام / عربی</w:t>
        </w:r>
        <w:r>
          <w:tab/>
        </w:r>
        <w:r>
          <w:fldChar w:fldCharType="begin"/>
        </w:r>
        <w:r>
          <w:instrText xml:space="preserve">PAGEREF 907 \h</w:instrText>
        </w:r>
        <w:r>
          <w:fldChar w:fldCharType="end"/>
        </w:r>
      </w:hyperlink>
    </w:p>
    <w:p>
      <w:pPr>
        <w:tabs>
          <w:tab w:val="right" w:leader="dot" w:pos="9062"/>
        </w:tabs>
        <w:ind w:left="440"/>
      </w:pPr>
      <w:hyperlink w:anchor="_Toc908" w:history="1">
        <w:r>
          <w:rPr>
            <w:rFonts w:ascii="IRNazanin" w:hAnsi="IRNazanin" w:eastAsia="IRNazanin" w:cs="IRNazanin"/>
            <w:color w:val="111111"/>
            <w:sz w:val="22"/>
            <w:szCs w:val="22"/>
            <w:b w:val="0"/>
            <w:bCs w:val="0"/>
            <w:i w:val="0"/>
            <w:iCs w:val="0"/>
          </w:rPr>
          <w:t>اسرار العبادات / فلسفه احکام / عربی</w:t>
        </w:r>
        <w:r>
          <w:tab/>
        </w:r>
        <w:r>
          <w:fldChar w:fldCharType="begin"/>
        </w:r>
        <w:r>
          <w:instrText xml:space="preserve">PAGEREF 908 \h</w:instrText>
        </w:r>
        <w:r>
          <w:fldChar w:fldCharType="end"/>
        </w:r>
      </w:hyperlink>
    </w:p>
    <w:p>
      <w:pPr>
        <w:tabs>
          <w:tab w:val="right" w:leader="dot" w:pos="9062"/>
        </w:tabs>
        <w:ind w:left="440"/>
      </w:pPr>
      <w:hyperlink w:anchor="_Toc909" w:history="1">
        <w:r>
          <w:rPr>
            <w:rFonts w:ascii="IRNazanin" w:hAnsi="IRNazanin" w:eastAsia="IRNazanin" w:cs="IRNazanin"/>
            <w:color w:val="111111"/>
            <w:sz w:val="22"/>
            <w:szCs w:val="22"/>
            <w:b w:val="0"/>
            <w:bCs w:val="0"/>
            <w:i w:val="0"/>
            <w:iCs w:val="0"/>
          </w:rPr>
          <w:t>اسرار العبادات / عرفان و تصوف / عربی</w:t>
        </w:r>
        <w:r>
          <w:tab/>
        </w:r>
        <w:r>
          <w:fldChar w:fldCharType="begin"/>
        </w:r>
        <w:r>
          <w:instrText xml:space="preserve">PAGEREF 909 \h</w:instrText>
        </w:r>
        <w:r>
          <w:fldChar w:fldCharType="end"/>
        </w:r>
      </w:hyperlink>
    </w:p>
    <w:p>
      <w:pPr>
        <w:tabs>
          <w:tab w:val="right" w:leader="dot" w:pos="9062"/>
        </w:tabs>
        <w:ind w:left="440"/>
      </w:pPr>
      <w:hyperlink w:anchor="_Toc910" w:history="1">
        <w:r>
          <w:rPr>
            <w:rFonts w:ascii="IRNazanin" w:hAnsi="IRNazanin" w:eastAsia="IRNazanin" w:cs="IRNazanin"/>
            <w:color w:val="111111"/>
            <w:sz w:val="22"/>
            <w:szCs w:val="22"/>
            <w:b w:val="0"/>
            <w:bCs w:val="0"/>
            <w:i w:val="0"/>
            <w:iCs w:val="0"/>
          </w:rPr>
          <w:t>اسرار العبادات / فلسفه احکام / فارسی</w:t>
        </w:r>
        <w:r>
          <w:tab/>
        </w:r>
        <w:r>
          <w:fldChar w:fldCharType="begin"/>
        </w:r>
        <w:r>
          <w:instrText xml:space="preserve">PAGEREF 910 \h</w:instrText>
        </w:r>
        <w:r>
          <w:fldChar w:fldCharType="end"/>
        </w:r>
      </w:hyperlink>
    </w:p>
    <w:p>
      <w:pPr>
        <w:tabs>
          <w:tab w:val="right" w:leader="dot" w:pos="9062"/>
        </w:tabs>
        <w:ind w:left="440"/>
      </w:pPr>
      <w:hyperlink w:anchor="_Toc911" w:history="1">
        <w:r>
          <w:rPr>
            <w:rFonts w:ascii="IRNazanin" w:hAnsi="IRNazanin" w:eastAsia="IRNazanin" w:cs="IRNazanin"/>
            <w:color w:val="111111"/>
            <w:sz w:val="22"/>
            <w:szCs w:val="22"/>
            <w:b w:val="0"/>
            <w:bCs w:val="0"/>
            <w:i w:val="0"/>
            <w:iCs w:val="0"/>
          </w:rPr>
          <w:t>اسرار عبادات / عرفان و تصوف / فارسی</w:t>
        </w:r>
        <w:r>
          <w:tab/>
        </w:r>
        <w:r>
          <w:fldChar w:fldCharType="begin"/>
        </w:r>
        <w:r>
          <w:instrText xml:space="preserve">PAGEREF 911 \h</w:instrText>
        </w:r>
        <w:r>
          <w:fldChar w:fldCharType="end"/>
        </w:r>
      </w:hyperlink>
    </w:p>
    <w:p>
      <w:pPr>
        <w:tabs>
          <w:tab w:val="right" w:leader="dot" w:pos="9062"/>
        </w:tabs>
        <w:ind w:left="440"/>
      </w:pPr>
      <w:hyperlink w:anchor="_Toc912" w:history="1">
        <w:r>
          <w:rPr>
            <w:rFonts w:ascii="IRNazanin" w:hAnsi="IRNazanin" w:eastAsia="IRNazanin" w:cs="IRNazanin"/>
            <w:color w:val="111111"/>
            <w:sz w:val="22"/>
            <w:szCs w:val="22"/>
            <w:b w:val="0"/>
            <w:bCs w:val="0"/>
            <w:i w:val="0"/>
            <w:iCs w:val="0"/>
          </w:rPr>
          <w:t>اسرار العبادة = اجوبة مسائل العشرين / كلام و  اعتقادات / عربی</w:t>
        </w:r>
        <w:r>
          <w:tab/>
        </w:r>
        <w:r>
          <w:fldChar w:fldCharType="begin"/>
        </w:r>
        <w:r>
          <w:instrText xml:space="preserve">PAGEREF 912 \h</w:instrText>
        </w:r>
        <w:r>
          <w:fldChar w:fldCharType="end"/>
        </w:r>
      </w:hyperlink>
    </w:p>
    <w:p>
      <w:pPr>
        <w:tabs>
          <w:tab w:val="right" w:leader="dot" w:pos="9062"/>
        </w:tabs>
        <w:ind w:left="440"/>
      </w:pPr>
      <w:hyperlink w:anchor="_Toc913" w:history="1">
        <w:r>
          <w:rPr>
            <w:rFonts w:ascii="IRNazanin" w:hAnsi="IRNazanin" w:eastAsia="IRNazanin" w:cs="IRNazanin"/>
            <w:color w:val="111111"/>
            <w:sz w:val="22"/>
            <w:szCs w:val="22"/>
            <w:b w:val="0"/>
            <w:bCs w:val="0"/>
            <w:i w:val="0"/>
            <w:iCs w:val="0"/>
          </w:rPr>
          <w:t>اسرار العبادة (ترجمه) / کلام و اعتقادات /فارسی</w:t>
        </w:r>
        <w:r>
          <w:tab/>
        </w:r>
        <w:r>
          <w:fldChar w:fldCharType="begin"/>
        </w:r>
        <w:r>
          <w:instrText xml:space="preserve">PAGEREF 913 \h</w:instrText>
        </w:r>
        <w:r>
          <w:fldChar w:fldCharType="end"/>
        </w:r>
      </w:hyperlink>
    </w:p>
    <w:p>
      <w:pPr>
        <w:tabs>
          <w:tab w:val="right" w:leader="dot" w:pos="9062"/>
        </w:tabs>
        <w:ind w:left="440"/>
      </w:pPr>
      <w:hyperlink w:anchor="_Toc914" w:history="1">
        <w:r>
          <w:rPr>
            <w:rFonts w:ascii="IRNazanin" w:hAnsi="IRNazanin" w:eastAsia="IRNazanin" w:cs="IRNazanin"/>
            <w:color w:val="111111"/>
            <w:sz w:val="22"/>
            <w:szCs w:val="22"/>
            <w:b w:val="0"/>
            <w:bCs w:val="0"/>
            <w:i w:val="0"/>
            <w:iCs w:val="0"/>
          </w:rPr>
          <w:t>اسرار العباده و اسرار الشهاده / فلسفه احکام / عربی</w:t>
        </w:r>
        <w:r>
          <w:tab/>
        </w:r>
        <w:r>
          <w:fldChar w:fldCharType="begin"/>
        </w:r>
        <w:r>
          <w:instrText xml:space="preserve">PAGEREF 914 \h</w:instrText>
        </w:r>
        <w:r>
          <w:fldChar w:fldCharType="end"/>
        </w:r>
      </w:hyperlink>
    </w:p>
    <w:p>
      <w:pPr>
        <w:tabs>
          <w:tab w:val="right" w:leader="dot" w:pos="9062"/>
        </w:tabs>
        <w:ind w:left="440"/>
      </w:pPr>
      <w:hyperlink w:anchor="_Toc915" w:history="1">
        <w:r>
          <w:rPr>
            <w:rFonts w:ascii="IRNazanin" w:hAnsi="IRNazanin" w:eastAsia="IRNazanin" w:cs="IRNazanin"/>
            <w:color w:val="111111"/>
            <w:sz w:val="22"/>
            <w:szCs w:val="22"/>
            <w:b w:val="0"/>
            <w:bCs w:val="0"/>
            <w:i w:val="0"/>
            <w:iCs w:val="0"/>
          </w:rPr>
          <w:t>اسرار العربية / نحو / عربي</w:t>
        </w:r>
        <w:r>
          <w:tab/>
        </w:r>
        <w:r>
          <w:fldChar w:fldCharType="begin"/>
        </w:r>
        <w:r>
          <w:instrText xml:space="preserve">PAGEREF 915 \h</w:instrText>
        </w:r>
        <w:r>
          <w:fldChar w:fldCharType="end"/>
        </w:r>
      </w:hyperlink>
    </w:p>
    <w:p>
      <w:pPr>
        <w:tabs>
          <w:tab w:val="right" w:leader="dot" w:pos="9062"/>
        </w:tabs>
        <w:ind w:left="440"/>
      </w:pPr>
      <w:hyperlink w:anchor="_Toc916" w:history="1">
        <w:r>
          <w:rPr>
            <w:rFonts w:ascii="IRNazanin" w:hAnsi="IRNazanin" w:eastAsia="IRNazanin" w:cs="IRNazanin"/>
            <w:color w:val="111111"/>
            <w:sz w:val="22"/>
            <w:szCs w:val="22"/>
            <w:b w:val="0"/>
            <w:bCs w:val="0"/>
            <w:i w:val="0"/>
            <w:iCs w:val="0"/>
          </w:rPr>
          <w:t>اسرار العربية / نحو / عربي</w:t>
        </w:r>
        <w:r>
          <w:tab/>
        </w:r>
        <w:r>
          <w:fldChar w:fldCharType="begin"/>
        </w:r>
        <w:r>
          <w:instrText xml:space="preserve">PAGEREF 916 \h</w:instrText>
        </w:r>
        <w:r>
          <w:fldChar w:fldCharType="end"/>
        </w:r>
      </w:hyperlink>
    </w:p>
    <w:p>
      <w:pPr>
        <w:tabs>
          <w:tab w:val="right" w:leader="dot" w:pos="9062"/>
        </w:tabs>
        <w:ind w:left="440"/>
      </w:pPr>
      <w:hyperlink w:anchor="_Toc917" w:history="1">
        <w:r>
          <w:rPr>
            <w:rFonts w:ascii="IRNazanin" w:hAnsi="IRNazanin" w:eastAsia="IRNazanin" w:cs="IRNazanin"/>
            <w:color w:val="111111"/>
            <w:sz w:val="22"/>
            <w:szCs w:val="22"/>
            <w:b w:val="0"/>
            <w:bCs w:val="0"/>
            <w:i w:val="0"/>
            <w:iCs w:val="0"/>
          </w:rPr>
          <w:t>اسرار العقود / فقه / فارسی</w:t>
        </w:r>
        <w:r>
          <w:tab/>
        </w:r>
        <w:r>
          <w:fldChar w:fldCharType="begin"/>
        </w:r>
        <w:r>
          <w:instrText xml:space="preserve">PAGEREF 917 \h</w:instrText>
        </w:r>
        <w:r>
          <w:fldChar w:fldCharType="end"/>
        </w:r>
      </w:hyperlink>
    </w:p>
    <w:p>
      <w:pPr>
        <w:tabs>
          <w:tab w:val="right" w:leader="dot" w:pos="9062"/>
        </w:tabs>
        <w:ind w:left="440"/>
      </w:pPr>
      <w:hyperlink w:anchor="_Toc918" w:history="1">
        <w:r>
          <w:rPr>
            <w:rFonts w:ascii="IRNazanin" w:hAnsi="IRNazanin" w:eastAsia="IRNazanin" w:cs="IRNazanin"/>
            <w:color w:val="111111"/>
            <w:sz w:val="22"/>
            <w:szCs w:val="22"/>
            <w:b w:val="0"/>
            <w:bCs w:val="0"/>
            <w:i w:val="0"/>
            <w:iCs w:val="0"/>
          </w:rPr>
          <w:t>اسرار علم التصوف / عرفان و تصوف / فارسی</w:t>
        </w:r>
        <w:r>
          <w:tab/>
        </w:r>
        <w:r>
          <w:fldChar w:fldCharType="begin"/>
        </w:r>
        <w:r>
          <w:instrText xml:space="preserve">PAGEREF 918 \h</w:instrText>
        </w:r>
        <w:r>
          <w:fldChar w:fldCharType="end"/>
        </w:r>
      </w:hyperlink>
    </w:p>
    <w:p>
      <w:pPr>
        <w:tabs>
          <w:tab w:val="right" w:leader="dot" w:pos="9062"/>
        </w:tabs>
        <w:ind w:left="440"/>
      </w:pPr>
      <w:hyperlink w:anchor="_Toc919" w:history="1">
        <w:r>
          <w:rPr>
            <w:rFonts w:ascii="IRNazanin" w:hAnsi="IRNazanin" w:eastAsia="IRNazanin" w:cs="IRNazanin"/>
            <w:color w:val="111111"/>
            <w:sz w:val="22"/>
            <w:szCs w:val="22"/>
            <w:b w:val="0"/>
            <w:bCs w:val="0"/>
            <w:i w:val="0"/>
            <w:iCs w:val="0"/>
          </w:rPr>
          <w:t>اسرار العلوم / علوم غریبه / فارسی</w:t>
        </w:r>
        <w:r>
          <w:tab/>
        </w:r>
        <w:r>
          <w:fldChar w:fldCharType="begin"/>
        </w:r>
        <w:r>
          <w:instrText xml:space="preserve">PAGEREF 919 \h</w:instrText>
        </w:r>
        <w:r>
          <w:fldChar w:fldCharType="end"/>
        </w:r>
      </w:hyperlink>
    </w:p>
    <w:p>
      <w:pPr>
        <w:tabs>
          <w:tab w:val="right" w:leader="dot" w:pos="9062"/>
        </w:tabs>
        <w:ind w:left="440"/>
      </w:pPr>
      <w:hyperlink w:anchor="_Toc920" w:history="1">
        <w:r>
          <w:rPr>
            <w:rFonts w:ascii="IRNazanin" w:hAnsi="IRNazanin" w:eastAsia="IRNazanin" w:cs="IRNazanin"/>
            <w:color w:val="111111"/>
            <w:sz w:val="22"/>
            <w:szCs w:val="22"/>
            <w:b w:val="0"/>
            <w:bCs w:val="0"/>
            <w:i w:val="0"/>
            <w:iCs w:val="0"/>
          </w:rPr>
          <w:t>اسرار غیب / شعر / فارسی</w:t>
        </w:r>
        <w:r>
          <w:tab/>
        </w:r>
        <w:r>
          <w:fldChar w:fldCharType="begin"/>
        </w:r>
        <w:r>
          <w:instrText xml:space="preserve">PAGEREF 920 \h</w:instrText>
        </w:r>
        <w:r>
          <w:fldChar w:fldCharType="end"/>
        </w:r>
      </w:hyperlink>
    </w:p>
    <w:p>
      <w:pPr>
        <w:tabs>
          <w:tab w:val="right" w:leader="dot" w:pos="9062"/>
        </w:tabs>
        <w:ind w:left="440"/>
      </w:pPr>
      <w:hyperlink w:anchor="_Toc921" w:history="1">
        <w:r>
          <w:rPr>
            <w:rFonts w:ascii="IRNazanin" w:hAnsi="IRNazanin" w:eastAsia="IRNazanin" w:cs="IRNazanin"/>
            <w:color w:val="111111"/>
            <w:sz w:val="22"/>
            <w:szCs w:val="22"/>
            <w:b w:val="0"/>
            <w:bCs w:val="0"/>
            <w:i w:val="0"/>
            <w:iCs w:val="0"/>
          </w:rPr>
          <w:t>اسرار الغيبية لاسباب المدنية = نصيحت نامه منهاج تمدن و مفتاح ترقی = مدنیت (کتاب) / حکومت  و سیاست / فارسی</w:t>
        </w:r>
        <w:r>
          <w:tab/>
        </w:r>
        <w:r>
          <w:fldChar w:fldCharType="begin"/>
        </w:r>
        <w:r>
          <w:instrText xml:space="preserve">PAGEREF 921 \h</w:instrText>
        </w:r>
        <w:r>
          <w:fldChar w:fldCharType="end"/>
        </w:r>
      </w:hyperlink>
    </w:p>
    <w:p>
      <w:pPr>
        <w:tabs>
          <w:tab w:val="right" w:leader="dot" w:pos="9062"/>
        </w:tabs>
        <w:ind w:left="440"/>
      </w:pPr>
      <w:hyperlink w:anchor="_Toc922" w:history="1">
        <w:r>
          <w:rPr>
            <w:rFonts w:ascii="IRNazanin" w:hAnsi="IRNazanin" w:eastAsia="IRNazanin" w:cs="IRNazanin"/>
            <w:color w:val="111111"/>
            <w:sz w:val="22"/>
            <w:szCs w:val="22"/>
            <w:b w:val="0"/>
            <w:bCs w:val="0"/>
            <w:i w:val="0"/>
            <w:iCs w:val="0"/>
          </w:rPr>
          <w:t>اسرار الغيوب / ادبیات / فارسی</w:t>
        </w:r>
        <w:r>
          <w:tab/>
        </w:r>
        <w:r>
          <w:fldChar w:fldCharType="begin"/>
        </w:r>
        <w:r>
          <w:instrText xml:space="preserve">PAGEREF 922 \h</w:instrText>
        </w:r>
        <w:r>
          <w:fldChar w:fldCharType="end"/>
        </w:r>
      </w:hyperlink>
    </w:p>
    <w:p>
      <w:pPr>
        <w:tabs>
          <w:tab w:val="right" w:leader="dot" w:pos="9062"/>
        </w:tabs>
        <w:ind w:left="440"/>
      </w:pPr>
      <w:hyperlink w:anchor="_Toc923" w:history="1">
        <w:r>
          <w:rPr>
            <w:rFonts w:ascii="IRNazanin" w:hAnsi="IRNazanin" w:eastAsia="IRNazanin" w:cs="IRNazanin"/>
            <w:color w:val="111111"/>
            <w:sz w:val="22"/>
            <w:szCs w:val="22"/>
            <w:b w:val="0"/>
            <w:bCs w:val="0"/>
            <w:i w:val="0"/>
            <w:iCs w:val="0"/>
          </w:rPr>
          <w:t>اسرار الغيوب = ماسه بلوچیه = اسرار الغيب / علوم  غریبه / فارسی</w:t>
        </w:r>
        <w:r>
          <w:tab/>
        </w:r>
        <w:r>
          <w:fldChar w:fldCharType="begin"/>
        </w:r>
        <w:r>
          <w:instrText xml:space="preserve">PAGEREF 923 \h</w:instrText>
        </w:r>
        <w:r>
          <w:fldChar w:fldCharType="end"/>
        </w:r>
      </w:hyperlink>
    </w:p>
    <w:p>
      <w:pPr>
        <w:tabs>
          <w:tab w:val="right" w:leader="dot" w:pos="9062"/>
        </w:tabs>
        <w:ind w:left="440"/>
      </w:pPr>
      <w:hyperlink w:anchor="_Toc924" w:history="1">
        <w:r>
          <w:rPr>
            <w:rFonts w:ascii="IRNazanin" w:hAnsi="IRNazanin" w:eastAsia="IRNazanin" w:cs="IRNazanin"/>
            <w:color w:val="111111"/>
            <w:sz w:val="22"/>
            <w:szCs w:val="22"/>
            <w:b w:val="0"/>
            <w:bCs w:val="0"/>
            <w:i w:val="0"/>
            <w:iCs w:val="0"/>
          </w:rPr>
          <w:t>اسرار الغيوب / فقه / فارسی</w:t>
        </w:r>
        <w:r>
          <w:tab/>
        </w:r>
        <w:r>
          <w:fldChar w:fldCharType="begin"/>
        </w:r>
        <w:r>
          <w:instrText xml:space="preserve">PAGEREF 924 \h</w:instrText>
        </w:r>
        <w:r>
          <w:fldChar w:fldCharType="end"/>
        </w:r>
      </w:hyperlink>
    </w:p>
    <w:p>
      <w:pPr>
        <w:tabs>
          <w:tab w:val="right" w:leader="dot" w:pos="9062"/>
        </w:tabs>
        <w:ind w:left="440"/>
      </w:pPr>
      <w:hyperlink w:anchor="_Toc925" w:history="1">
        <w:r>
          <w:rPr>
            <w:rFonts w:ascii="IRNazanin" w:hAnsi="IRNazanin" w:eastAsia="IRNazanin" w:cs="IRNazanin"/>
            <w:color w:val="111111"/>
            <w:sz w:val="22"/>
            <w:szCs w:val="22"/>
            <w:b w:val="0"/>
            <w:bCs w:val="0"/>
            <w:i w:val="0"/>
            <w:iCs w:val="0"/>
          </w:rPr>
          <w:t>اسرار الفاتحة (رسالة فی) / تفسیر / عربی</w:t>
        </w:r>
        <w:r>
          <w:tab/>
        </w:r>
        <w:r>
          <w:fldChar w:fldCharType="begin"/>
        </w:r>
        <w:r>
          <w:instrText xml:space="preserve">PAGEREF 925 \h</w:instrText>
        </w:r>
        <w:r>
          <w:fldChar w:fldCharType="end"/>
        </w:r>
      </w:hyperlink>
    </w:p>
    <w:p>
      <w:pPr>
        <w:tabs>
          <w:tab w:val="right" w:leader="dot" w:pos="9062"/>
        </w:tabs>
        <w:ind w:left="440"/>
      </w:pPr>
      <w:hyperlink w:anchor="_Toc926" w:history="1">
        <w:r>
          <w:rPr>
            <w:rFonts w:ascii="IRNazanin" w:hAnsi="IRNazanin" w:eastAsia="IRNazanin" w:cs="IRNazanin"/>
            <w:color w:val="111111"/>
            <w:sz w:val="22"/>
            <w:szCs w:val="22"/>
            <w:b w:val="0"/>
            <w:bCs w:val="0"/>
            <w:i w:val="0"/>
            <w:iCs w:val="0"/>
          </w:rPr>
          <w:t>اسرار فراموشخانه / متفرقه / فارسی</w:t>
        </w:r>
        <w:r>
          <w:tab/>
        </w:r>
        <w:r>
          <w:fldChar w:fldCharType="begin"/>
        </w:r>
        <w:r>
          <w:instrText xml:space="preserve">PAGEREF 926 \h</w:instrText>
        </w:r>
        <w:r>
          <w:fldChar w:fldCharType="end"/>
        </w:r>
      </w:hyperlink>
    </w:p>
    <w:p>
      <w:pPr>
        <w:tabs>
          <w:tab w:val="right" w:leader="dot" w:pos="9062"/>
        </w:tabs>
        <w:ind w:left="440"/>
      </w:pPr>
      <w:hyperlink w:anchor="_Toc927" w:history="1">
        <w:r>
          <w:rPr>
            <w:rFonts w:ascii="IRNazanin" w:hAnsi="IRNazanin" w:eastAsia="IRNazanin" w:cs="IRNazanin"/>
            <w:color w:val="111111"/>
            <w:sz w:val="22"/>
            <w:szCs w:val="22"/>
            <w:b w:val="0"/>
            <w:bCs w:val="0"/>
            <w:i w:val="0"/>
            <w:iCs w:val="0"/>
          </w:rPr>
          <w:t>اسرار الفقراء / عرفان و تصوف / فارسی</w:t>
        </w:r>
        <w:r>
          <w:tab/>
        </w:r>
        <w:r>
          <w:fldChar w:fldCharType="begin"/>
        </w:r>
        <w:r>
          <w:instrText xml:space="preserve">PAGEREF 927 \h</w:instrText>
        </w:r>
        <w:r>
          <w:fldChar w:fldCharType="end"/>
        </w:r>
      </w:hyperlink>
    </w:p>
    <w:p>
      <w:pPr>
        <w:tabs>
          <w:tab w:val="right" w:leader="dot" w:pos="9062"/>
        </w:tabs>
        <w:ind w:left="440"/>
      </w:pPr>
      <w:hyperlink w:anchor="_Toc928" w:history="1">
        <w:r>
          <w:rPr>
            <w:rFonts w:ascii="IRNazanin" w:hAnsi="IRNazanin" w:eastAsia="IRNazanin" w:cs="IRNazanin"/>
            <w:color w:val="111111"/>
            <w:sz w:val="22"/>
            <w:szCs w:val="22"/>
            <w:b w:val="0"/>
            <w:bCs w:val="0"/>
            <w:i w:val="0"/>
            <w:iCs w:val="0"/>
          </w:rPr>
          <w:t>اسرار الفلک = کتاب ابن وحشيه / هیئت / عربی</w:t>
        </w:r>
        <w:r>
          <w:tab/>
        </w:r>
        <w:r>
          <w:fldChar w:fldCharType="begin"/>
        </w:r>
        <w:r>
          <w:instrText xml:space="preserve">PAGEREF 928 \h</w:instrText>
        </w:r>
        <w:r>
          <w:fldChar w:fldCharType="end"/>
        </w:r>
      </w:hyperlink>
    </w:p>
    <w:p>
      <w:pPr>
        <w:tabs>
          <w:tab w:val="right" w:leader="dot" w:pos="9062"/>
        </w:tabs>
        <w:ind w:left="440"/>
      </w:pPr>
      <w:hyperlink w:anchor="_Toc929" w:history="1">
        <w:r>
          <w:rPr>
            <w:rFonts w:ascii="IRNazanin" w:hAnsi="IRNazanin" w:eastAsia="IRNazanin" w:cs="IRNazanin"/>
            <w:color w:val="111111"/>
            <w:sz w:val="22"/>
            <w:szCs w:val="22"/>
            <w:b w:val="0"/>
            <w:bCs w:val="0"/>
            <w:i w:val="0"/>
            <w:iCs w:val="0"/>
          </w:rPr>
          <w:t>اسرار الفلك فى احكام النجوم / هيئت / عربي</w:t>
        </w:r>
        <w:r>
          <w:tab/>
        </w:r>
        <w:r>
          <w:fldChar w:fldCharType="begin"/>
        </w:r>
        <w:r>
          <w:instrText xml:space="preserve">PAGEREF 929 \h</w:instrText>
        </w:r>
        <w:r>
          <w:fldChar w:fldCharType="end"/>
        </w:r>
      </w:hyperlink>
    </w:p>
    <w:p>
      <w:pPr>
        <w:tabs>
          <w:tab w:val="right" w:leader="dot" w:pos="9062"/>
        </w:tabs>
        <w:ind w:left="440"/>
      </w:pPr>
      <w:hyperlink w:anchor="_Toc930" w:history="1">
        <w:r>
          <w:rPr>
            <w:rFonts w:ascii="IRNazanin" w:hAnsi="IRNazanin" w:eastAsia="IRNazanin" w:cs="IRNazanin"/>
            <w:color w:val="111111"/>
            <w:sz w:val="22"/>
            <w:szCs w:val="22"/>
            <w:b w:val="0"/>
            <w:bCs w:val="0"/>
            <w:i w:val="0"/>
            <w:iCs w:val="0"/>
          </w:rPr>
          <w:t>اسرار فلک و انوار ملک (الف) / هیئت / فارسی</w:t>
        </w:r>
        <w:r>
          <w:tab/>
        </w:r>
        <w:r>
          <w:fldChar w:fldCharType="begin"/>
        </w:r>
        <w:r>
          <w:instrText xml:space="preserve">PAGEREF 930 \h</w:instrText>
        </w:r>
        <w:r>
          <w:fldChar w:fldCharType="end"/>
        </w:r>
      </w:hyperlink>
    </w:p>
    <w:p>
      <w:pPr>
        <w:tabs>
          <w:tab w:val="right" w:leader="dot" w:pos="9062"/>
        </w:tabs>
        <w:ind w:left="440"/>
      </w:pPr>
      <w:hyperlink w:anchor="_Toc931" w:history="1">
        <w:r>
          <w:rPr>
            <w:rFonts w:ascii="IRNazanin" w:hAnsi="IRNazanin" w:eastAsia="IRNazanin" w:cs="IRNazanin"/>
            <w:color w:val="111111"/>
            <w:sz w:val="22"/>
            <w:szCs w:val="22"/>
            <w:b w:val="0"/>
            <w:bCs w:val="0"/>
            <w:i w:val="0"/>
            <w:iCs w:val="0"/>
          </w:rPr>
          <w:t>الاسرار في خواص دماغ الانسان / طب / عربی</w:t>
        </w:r>
        <w:r>
          <w:tab/>
        </w:r>
        <w:r>
          <w:fldChar w:fldCharType="begin"/>
        </w:r>
        <w:r>
          <w:instrText xml:space="preserve">PAGEREF 931 \h</w:instrText>
        </w:r>
        <w:r>
          <w:fldChar w:fldCharType="end"/>
        </w:r>
      </w:hyperlink>
    </w:p>
    <w:p>
      <w:pPr>
        <w:tabs>
          <w:tab w:val="right" w:leader="dot" w:pos="9062"/>
        </w:tabs>
        <w:ind w:left="440"/>
      </w:pPr>
      <w:hyperlink w:anchor="_Toc932" w:history="1">
        <w:r>
          <w:rPr>
            <w:rFonts w:ascii="IRNazanin" w:hAnsi="IRNazanin" w:eastAsia="IRNazanin" w:cs="IRNazanin"/>
            <w:color w:val="111111"/>
            <w:sz w:val="22"/>
            <w:szCs w:val="22"/>
            <w:b w:val="0"/>
            <w:bCs w:val="0"/>
            <w:i w:val="0"/>
            <w:iCs w:val="0"/>
          </w:rPr>
          <w:t>اسرار القابلية / عرفان و تصوف / فارسی</w:t>
        </w:r>
        <w:r>
          <w:tab/>
        </w:r>
        <w:r>
          <w:fldChar w:fldCharType="begin"/>
        </w:r>
        <w:r>
          <w:instrText xml:space="preserve">PAGEREF 932 \h</w:instrText>
        </w:r>
        <w:r>
          <w:fldChar w:fldCharType="end"/>
        </w:r>
      </w:hyperlink>
    </w:p>
    <w:p>
      <w:pPr>
        <w:tabs>
          <w:tab w:val="right" w:leader="dot" w:pos="9062"/>
        </w:tabs>
        <w:ind w:left="440"/>
      </w:pPr>
      <w:hyperlink w:anchor="_Toc933" w:history="1">
        <w:r>
          <w:rPr>
            <w:rFonts w:ascii="IRNazanin" w:hAnsi="IRNazanin" w:eastAsia="IRNazanin" w:cs="IRNazanin"/>
            <w:color w:val="111111"/>
            <w:sz w:val="22"/>
            <w:szCs w:val="22"/>
            <w:b w:val="0"/>
            <w:bCs w:val="0"/>
            <w:i w:val="0"/>
            <w:iCs w:val="0"/>
          </w:rPr>
          <w:t>اسرار قاسمی / علوم غریبه / فارسی</w:t>
        </w:r>
        <w:r>
          <w:tab/>
        </w:r>
        <w:r>
          <w:fldChar w:fldCharType="begin"/>
        </w:r>
        <w:r>
          <w:instrText xml:space="preserve">PAGEREF 933 \h</w:instrText>
        </w:r>
        <w:r>
          <w:fldChar w:fldCharType="end"/>
        </w:r>
      </w:hyperlink>
    </w:p>
    <w:p>
      <w:pPr>
        <w:tabs>
          <w:tab w:val="right" w:leader="dot" w:pos="9062"/>
        </w:tabs>
        <w:ind w:left="440"/>
      </w:pPr>
      <w:hyperlink w:anchor="_Toc934" w:history="1">
        <w:r>
          <w:rPr>
            <w:rFonts w:ascii="IRNazanin" w:hAnsi="IRNazanin" w:eastAsia="IRNazanin" w:cs="IRNazanin"/>
            <w:color w:val="111111"/>
            <w:sz w:val="22"/>
            <w:szCs w:val="22"/>
            <w:b w:val="0"/>
            <w:bCs w:val="0"/>
            <w:i w:val="0"/>
            <w:iCs w:val="0"/>
          </w:rPr>
          <w:t>اسرار القرآن / تفسیر / عربی</w:t>
        </w:r>
        <w:r>
          <w:tab/>
        </w:r>
        <w:r>
          <w:fldChar w:fldCharType="begin"/>
        </w:r>
        <w:r>
          <w:instrText xml:space="preserve">PAGEREF 934 \h</w:instrText>
        </w:r>
        <w:r>
          <w:fldChar w:fldCharType="end"/>
        </w:r>
      </w:hyperlink>
    </w:p>
    <w:p>
      <w:pPr>
        <w:tabs>
          <w:tab w:val="right" w:leader="dot" w:pos="9062"/>
        </w:tabs>
        <w:ind w:left="440"/>
      </w:pPr>
      <w:hyperlink w:anchor="_Toc935" w:history="1">
        <w:r>
          <w:rPr>
            <w:rFonts w:ascii="IRNazanin" w:hAnsi="IRNazanin" w:eastAsia="IRNazanin" w:cs="IRNazanin"/>
            <w:color w:val="111111"/>
            <w:sz w:val="22"/>
            <w:szCs w:val="22"/>
            <w:b w:val="0"/>
            <w:bCs w:val="0"/>
            <w:i w:val="0"/>
            <w:iCs w:val="0"/>
          </w:rPr>
          <w:t>اسرار القلوب / عرفان و تصوف / عربی و فارسی</w:t>
        </w:r>
        <w:r>
          <w:tab/>
        </w:r>
        <w:r>
          <w:fldChar w:fldCharType="begin"/>
        </w:r>
        <w:r>
          <w:instrText xml:space="preserve">PAGEREF 935 \h</w:instrText>
        </w:r>
        <w:r>
          <w:fldChar w:fldCharType="end"/>
        </w:r>
      </w:hyperlink>
    </w:p>
    <w:p>
      <w:pPr>
        <w:tabs>
          <w:tab w:val="right" w:leader="dot" w:pos="9062"/>
        </w:tabs>
        <w:ind w:left="440"/>
      </w:pPr>
      <w:hyperlink w:anchor="_Toc936" w:history="1">
        <w:r>
          <w:rPr>
            <w:rFonts w:ascii="IRNazanin" w:hAnsi="IRNazanin" w:eastAsia="IRNazanin" w:cs="IRNazanin"/>
            <w:color w:val="111111"/>
            <w:sz w:val="22"/>
            <w:szCs w:val="22"/>
            <w:b w:val="0"/>
            <w:bCs w:val="0"/>
            <w:i w:val="0"/>
            <w:iCs w:val="0"/>
          </w:rPr>
          <w:t>اسرار القلوب / علوم غریبه / فارسی</w:t>
        </w:r>
        <w:r>
          <w:tab/>
        </w:r>
        <w:r>
          <w:fldChar w:fldCharType="begin"/>
        </w:r>
        <w:r>
          <w:instrText xml:space="preserve">PAGEREF 936 \h</w:instrText>
        </w:r>
        <w:r>
          <w:fldChar w:fldCharType="end"/>
        </w:r>
      </w:hyperlink>
    </w:p>
    <w:p>
      <w:pPr>
        <w:tabs>
          <w:tab w:val="right" w:leader="dot" w:pos="9062"/>
        </w:tabs>
        <w:ind w:left="440"/>
      </w:pPr>
      <w:hyperlink w:anchor="_Toc937" w:history="1">
        <w:r>
          <w:rPr>
            <w:rFonts w:ascii="IRNazanin" w:hAnsi="IRNazanin" w:eastAsia="IRNazanin" w:cs="IRNazanin"/>
            <w:color w:val="111111"/>
            <w:sz w:val="22"/>
            <w:szCs w:val="22"/>
            <w:b w:val="0"/>
            <w:bCs w:val="0"/>
            <w:i w:val="0"/>
            <w:iCs w:val="0"/>
          </w:rPr>
          <w:t>اسرار القلوب / عرفان و تصوف / عربی</w:t>
        </w:r>
        <w:r>
          <w:tab/>
        </w:r>
        <w:r>
          <w:fldChar w:fldCharType="begin"/>
        </w:r>
        <w:r>
          <w:instrText xml:space="preserve">PAGEREF 937 \h</w:instrText>
        </w:r>
        <w:r>
          <w:fldChar w:fldCharType="end"/>
        </w:r>
      </w:hyperlink>
    </w:p>
    <w:p>
      <w:pPr>
        <w:tabs>
          <w:tab w:val="right" w:leader="dot" w:pos="9062"/>
        </w:tabs>
        <w:ind w:left="440"/>
      </w:pPr>
      <w:hyperlink w:anchor="_Toc938" w:history="1">
        <w:r>
          <w:rPr>
            <w:rFonts w:ascii="IRNazanin" w:hAnsi="IRNazanin" w:eastAsia="IRNazanin" w:cs="IRNazanin"/>
            <w:color w:val="111111"/>
            <w:sz w:val="22"/>
            <w:szCs w:val="22"/>
            <w:b w:val="0"/>
            <w:bCs w:val="0"/>
            <w:i w:val="0"/>
            <w:iCs w:val="0"/>
          </w:rPr>
          <w:t>اسرار قلوب العارفين / متفرقه / عربی و فارسی</w:t>
        </w:r>
        <w:r>
          <w:tab/>
        </w:r>
        <w:r>
          <w:fldChar w:fldCharType="begin"/>
        </w:r>
        <w:r>
          <w:instrText xml:space="preserve">PAGEREF 938 \h</w:instrText>
        </w:r>
        <w:r>
          <w:fldChar w:fldCharType="end"/>
        </w:r>
      </w:hyperlink>
    </w:p>
    <w:p>
      <w:pPr>
        <w:tabs>
          <w:tab w:val="right" w:leader="dot" w:pos="9062"/>
        </w:tabs>
        <w:ind w:left="440"/>
      </w:pPr>
      <w:hyperlink w:anchor="_Toc939" w:history="1">
        <w:r>
          <w:rPr>
            <w:rFonts w:ascii="IRNazanin" w:hAnsi="IRNazanin" w:eastAsia="IRNazanin" w:cs="IRNazanin"/>
            <w:color w:val="111111"/>
            <w:sz w:val="22"/>
            <w:szCs w:val="22"/>
            <w:b w:val="0"/>
            <w:bCs w:val="0"/>
            <w:i w:val="0"/>
            <w:iCs w:val="0"/>
          </w:rPr>
          <w:t>اسرار القلوب فى اوصاف المحبوب / تفسیر - فارسی</w:t>
        </w:r>
        <w:r>
          <w:tab/>
        </w:r>
        <w:r>
          <w:fldChar w:fldCharType="begin"/>
        </w:r>
        <w:r>
          <w:instrText xml:space="preserve">PAGEREF 939 \h</w:instrText>
        </w:r>
        <w:r>
          <w:fldChar w:fldCharType="end"/>
        </w:r>
      </w:hyperlink>
    </w:p>
    <w:p>
      <w:pPr>
        <w:tabs>
          <w:tab w:val="right" w:leader="dot" w:pos="9062"/>
        </w:tabs>
        <w:ind w:left="440"/>
      </w:pPr>
      <w:hyperlink w:anchor="_Toc940" w:history="1">
        <w:r>
          <w:rPr>
            <w:rFonts w:ascii="IRNazanin" w:hAnsi="IRNazanin" w:eastAsia="IRNazanin" w:cs="IRNazanin"/>
            <w:color w:val="111111"/>
            <w:sz w:val="22"/>
            <w:szCs w:val="22"/>
            <w:b w:val="0"/>
            <w:bCs w:val="0"/>
            <w:i w:val="0"/>
            <w:iCs w:val="0"/>
          </w:rPr>
          <w:t>اسرار کلمه علمیه / اردو</w:t>
        </w:r>
        <w:r>
          <w:tab/>
        </w:r>
        <w:r>
          <w:fldChar w:fldCharType="begin"/>
        </w:r>
        <w:r>
          <w:instrText xml:space="preserve">PAGEREF 940 \h</w:instrText>
        </w:r>
        <w:r>
          <w:fldChar w:fldCharType="end"/>
        </w:r>
      </w:hyperlink>
    </w:p>
    <w:p>
      <w:pPr>
        <w:tabs>
          <w:tab w:val="right" w:leader="dot" w:pos="9062"/>
        </w:tabs>
        <w:ind w:left="440"/>
      </w:pPr>
      <w:hyperlink w:anchor="_Toc941" w:history="1">
        <w:r>
          <w:rPr>
            <w:rFonts w:ascii="IRNazanin" w:hAnsi="IRNazanin" w:eastAsia="IRNazanin" w:cs="IRNazanin"/>
            <w:color w:val="111111"/>
            <w:sz w:val="22"/>
            <w:szCs w:val="22"/>
            <w:b w:val="0"/>
            <w:bCs w:val="0"/>
            <w:i w:val="0"/>
            <w:iCs w:val="0"/>
          </w:rPr>
          <w:t>اسرار اللغة (مختصر) / ادبیات / عربي</w:t>
        </w:r>
        <w:r>
          <w:tab/>
        </w:r>
        <w:r>
          <w:fldChar w:fldCharType="begin"/>
        </w:r>
        <w:r>
          <w:instrText xml:space="preserve">PAGEREF 941 \h</w:instrText>
        </w:r>
        <w:r>
          <w:fldChar w:fldCharType="end"/>
        </w:r>
      </w:hyperlink>
    </w:p>
    <w:p>
      <w:pPr>
        <w:tabs>
          <w:tab w:val="right" w:leader="dot" w:pos="9062"/>
        </w:tabs>
        <w:ind w:left="440"/>
      </w:pPr>
      <w:hyperlink w:anchor="_Toc942" w:history="1">
        <w:r>
          <w:rPr>
            <w:rFonts w:ascii="IRNazanin" w:hAnsi="IRNazanin" w:eastAsia="IRNazanin" w:cs="IRNazanin"/>
            <w:color w:val="111111"/>
            <w:sz w:val="22"/>
            <w:szCs w:val="22"/>
            <w:b w:val="0"/>
            <w:bCs w:val="0"/>
            <w:i w:val="0"/>
            <w:iCs w:val="0"/>
          </w:rPr>
          <w:t>الاسرار المرفوعة فى الاخبار الموضوعة= الموضوعات الكبرى = الاحاديث الموضوعة / حديث /  عربی</w:t>
        </w:r>
        <w:r>
          <w:tab/>
        </w:r>
        <w:r>
          <w:fldChar w:fldCharType="begin"/>
        </w:r>
        <w:r>
          <w:instrText xml:space="preserve">PAGEREF 942 \h</w:instrText>
        </w:r>
        <w:r>
          <w:fldChar w:fldCharType="end"/>
        </w:r>
      </w:hyperlink>
    </w:p>
    <w:p>
      <w:pPr>
        <w:tabs>
          <w:tab w:val="right" w:leader="dot" w:pos="9062"/>
        </w:tabs>
        <w:ind w:left="440"/>
      </w:pPr>
      <w:hyperlink w:anchor="_Toc943" w:history="1">
        <w:r>
          <w:rPr>
            <w:rFonts w:ascii="IRNazanin" w:hAnsi="IRNazanin" w:eastAsia="IRNazanin" w:cs="IRNazanin"/>
            <w:color w:val="111111"/>
            <w:sz w:val="22"/>
            <w:szCs w:val="22"/>
            <w:b w:val="0"/>
            <w:bCs w:val="0"/>
            <w:i w:val="0"/>
            <w:iCs w:val="0"/>
          </w:rPr>
          <w:t>اسرار المصائب / تاریخ معصومین / فارسی</w:t>
        </w:r>
        <w:r>
          <w:tab/>
        </w:r>
        <w:r>
          <w:fldChar w:fldCharType="begin"/>
        </w:r>
        <w:r>
          <w:instrText xml:space="preserve">PAGEREF 943 \h</w:instrText>
        </w:r>
        <w:r>
          <w:fldChar w:fldCharType="end"/>
        </w:r>
      </w:hyperlink>
    </w:p>
    <w:p>
      <w:pPr>
        <w:tabs>
          <w:tab w:val="right" w:leader="dot" w:pos="9062"/>
        </w:tabs>
        <w:ind w:left="440"/>
      </w:pPr>
      <w:hyperlink w:anchor="_Toc944" w:history="1">
        <w:r>
          <w:rPr>
            <w:rFonts w:ascii="IRNazanin" w:hAnsi="IRNazanin" w:eastAsia="IRNazanin" w:cs="IRNazanin"/>
            <w:color w:val="111111"/>
            <w:sz w:val="22"/>
            <w:szCs w:val="22"/>
            <w:b w:val="0"/>
            <w:bCs w:val="0"/>
            <w:i w:val="0"/>
            <w:iCs w:val="0"/>
          </w:rPr>
          <w:t>اسرار المصائب و نکات النوائب / تاریخ معصومین / عربی</w:t>
        </w:r>
        <w:r>
          <w:tab/>
        </w:r>
        <w:r>
          <w:fldChar w:fldCharType="begin"/>
        </w:r>
        <w:r>
          <w:instrText xml:space="preserve">PAGEREF 944 \h</w:instrText>
        </w:r>
        <w:r>
          <w:fldChar w:fldCharType="end"/>
        </w:r>
      </w:hyperlink>
    </w:p>
    <w:p>
      <w:pPr>
        <w:tabs>
          <w:tab w:val="right" w:leader="dot" w:pos="9062"/>
        </w:tabs>
        <w:ind w:left="440"/>
      </w:pPr>
      <w:hyperlink w:anchor="_Toc945" w:history="1">
        <w:r>
          <w:rPr>
            <w:rFonts w:ascii="IRNazanin" w:hAnsi="IRNazanin" w:eastAsia="IRNazanin" w:cs="IRNazanin"/>
            <w:color w:val="111111"/>
            <w:sz w:val="22"/>
            <w:szCs w:val="22"/>
            <w:b w:val="0"/>
            <w:bCs w:val="0"/>
            <w:i w:val="0"/>
            <w:iCs w:val="0"/>
          </w:rPr>
          <w:t>اسرار المطالب و نخبة الفوائد في الشرح على  الفرائد / اصول فقه / عربی</w:t>
        </w:r>
        <w:r>
          <w:tab/>
        </w:r>
        <w:r>
          <w:fldChar w:fldCharType="begin"/>
        </w:r>
        <w:r>
          <w:instrText xml:space="preserve">PAGEREF 945 \h</w:instrText>
        </w:r>
        <w:r>
          <w:fldChar w:fldCharType="end"/>
        </w:r>
      </w:hyperlink>
    </w:p>
    <w:p>
      <w:pPr>
        <w:tabs>
          <w:tab w:val="right" w:leader="dot" w:pos="9062"/>
        </w:tabs>
        <w:ind w:left="440"/>
      </w:pPr>
      <w:hyperlink w:anchor="_Toc946" w:history="1">
        <w:r>
          <w:rPr>
            <w:rFonts w:ascii="IRNazanin" w:hAnsi="IRNazanin" w:eastAsia="IRNazanin" w:cs="IRNazanin"/>
            <w:color w:val="111111"/>
            <w:sz w:val="22"/>
            <w:szCs w:val="22"/>
            <w:b w:val="0"/>
            <w:bCs w:val="0"/>
            <w:i w:val="0"/>
            <w:iCs w:val="0"/>
          </w:rPr>
          <w:t>اسرار معنی قوله عليه السلام «من حفظ على امتى  اربعين حديثا» / شرح حدیث / عربی</w:t>
        </w:r>
        <w:r>
          <w:tab/>
        </w:r>
        <w:r>
          <w:fldChar w:fldCharType="begin"/>
        </w:r>
        <w:r>
          <w:instrText xml:space="preserve">PAGEREF 946 \h</w:instrText>
        </w:r>
        <w:r>
          <w:fldChar w:fldCharType="end"/>
        </w:r>
      </w:hyperlink>
    </w:p>
    <w:p>
      <w:pPr>
        <w:tabs>
          <w:tab w:val="right" w:leader="dot" w:pos="9062"/>
        </w:tabs>
        <w:ind w:left="440"/>
      </w:pPr>
      <w:hyperlink w:anchor="_Toc947" w:history="1">
        <w:r>
          <w:rPr>
            <w:rFonts w:ascii="IRNazanin" w:hAnsi="IRNazanin" w:eastAsia="IRNazanin" w:cs="IRNazanin"/>
            <w:color w:val="111111"/>
            <w:sz w:val="22"/>
            <w:szCs w:val="22"/>
            <w:b w:val="0"/>
            <w:bCs w:val="0"/>
            <w:i w:val="0"/>
            <w:iCs w:val="0"/>
          </w:rPr>
          <w:t>اسرار مفاتیح / رمل / فارسی</w:t>
        </w:r>
        <w:r>
          <w:tab/>
        </w:r>
        <w:r>
          <w:fldChar w:fldCharType="begin"/>
        </w:r>
        <w:r>
          <w:instrText xml:space="preserve">PAGEREF 947 \h</w:instrText>
        </w:r>
        <w:r>
          <w:fldChar w:fldCharType="end"/>
        </w:r>
      </w:hyperlink>
    </w:p>
    <w:p>
      <w:pPr>
        <w:tabs>
          <w:tab w:val="right" w:leader="dot" w:pos="9062"/>
        </w:tabs>
        <w:ind w:left="440"/>
      </w:pPr>
      <w:hyperlink w:anchor="_Toc948" w:history="1">
        <w:r>
          <w:rPr>
            <w:rFonts w:ascii="IRNazanin" w:hAnsi="IRNazanin" w:eastAsia="IRNazanin" w:cs="IRNazanin"/>
            <w:color w:val="111111"/>
            <w:sz w:val="22"/>
            <w:szCs w:val="22"/>
            <w:b w:val="0"/>
            <w:bCs w:val="0"/>
            <w:i w:val="0"/>
            <w:iCs w:val="0"/>
          </w:rPr>
          <w:t>اسرار المفاتيح / رمل / فارسی</w:t>
        </w:r>
        <w:r>
          <w:tab/>
        </w:r>
        <w:r>
          <w:fldChar w:fldCharType="begin"/>
        </w:r>
        <w:r>
          <w:instrText xml:space="preserve">PAGEREF 948 \h</w:instrText>
        </w:r>
        <w:r>
          <w:fldChar w:fldCharType="end"/>
        </w:r>
      </w:hyperlink>
    </w:p>
    <w:p>
      <w:pPr>
        <w:tabs>
          <w:tab w:val="right" w:leader="dot" w:pos="9062"/>
        </w:tabs>
        <w:ind w:left="440"/>
      </w:pPr>
      <w:hyperlink w:anchor="_Toc949" w:history="1">
        <w:r>
          <w:rPr>
            <w:rFonts w:ascii="IRNazanin" w:hAnsi="IRNazanin" w:eastAsia="IRNazanin" w:cs="IRNazanin"/>
            <w:color w:val="111111"/>
            <w:sz w:val="22"/>
            <w:szCs w:val="22"/>
            <w:b w:val="0"/>
            <w:bCs w:val="0"/>
            <w:i w:val="0"/>
            <w:iCs w:val="0"/>
          </w:rPr>
          <w:t>اسرار المفاتيح / رمل / فارسی</w:t>
        </w:r>
        <w:r>
          <w:tab/>
        </w:r>
        <w:r>
          <w:fldChar w:fldCharType="begin"/>
        </w:r>
        <w:r>
          <w:instrText xml:space="preserve">PAGEREF 949 \h</w:instrText>
        </w:r>
        <w:r>
          <w:fldChar w:fldCharType="end"/>
        </w:r>
      </w:hyperlink>
    </w:p>
    <w:p>
      <w:pPr>
        <w:tabs>
          <w:tab w:val="right" w:leader="dot" w:pos="9062"/>
        </w:tabs>
        <w:ind w:left="440"/>
      </w:pPr>
      <w:hyperlink w:anchor="_Toc950" w:history="1">
        <w:r>
          <w:rPr>
            <w:rFonts w:ascii="IRNazanin" w:hAnsi="IRNazanin" w:eastAsia="IRNazanin" w:cs="IRNazanin"/>
            <w:color w:val="111111"/>
            <w:sz w:val="22"/>
            <w:szCs w:val="22"/>
            <w:b w:val="0"/>
            <w:bCs w:val="0"/>
            <w:i w:val="0"/>
            <w:iCs w:val="0"/>
          </w:rPr>
          <w:t>اسرار المفاتيح / رمل / فارسی</w:t>
        </w:r>
        <w:r>
          <w:tab/>
        </w:r>
        <w:r>
          <w:fldChar w:fldCharType="begin"/>
        </w:r>
        <w:r>
          <w:instrText xml:space="preserve">PAGEREF 950 \h</w:instrText>
        </w:r>
        <w:r>
          <w:fldChar w:fldCharType="end"/>
        </w:r>
      </w:hyperlink>
    </w:p>
    <w:p>
      <w:pPr>
        <w:tabs>
          <w:tab w:val="right" w:leader="dot" w:pos="9062"/>
        </w:tabs>
        <w:ind w:left="440"/>
      </w:pPr>
      <w:hyperlink w:anchor="_Toc951" w:history="1">
        <w:r>
          <w:rPr>
            <w:rFonts w:ascii="IRNazanin" w:hAnsi="IRNazanin" w:eastAsia="IRNazanin" w:cs="IRNazanin"/>
            <w:color w:val="111111"/>
            <w:sz w:val="22"/>
            <w:szCs w:val="22"/>
            <w:b w:val="0"/>
            <w:bCs w:val="0"/>
            <w:i w:val="0"/>
            <w:iCs w:val="0"/>
          </w:rPr>
          <w:t>اسرار المفاتيح / رمل / فارسی</w:t>
        </w:r>
        <w:r>
          <w:tab/>
        </w:r>
        <w:r>
          <w:fldChar w:fldCharType="begin"/>
        </w:r>
        <w:r>
          <w:instrText xml:space="preserve">PAGEREF 951 \h</w:instrText>
        </w:r>
        <w:r>
          <w:fldChar w:fldCharType="end"/>
        </w:r>
      </w:hyperlink>
    </w:p>
    <w:p>
      <w:pPr>
        <w:tabs>
          <w:tab w:val="right" w:leader="dot" w:pos="9062"/>
        </w:tabs>
        <w:ind w:left="440"/>
      </w:pPr>
      <w:hyperlink w:anchor="_Toc952" w:history="1">
        <w:r>
          <w:rPr>
            <w:rFonts w:ascii="IRNazanin" w:hAnsi="IRNazanin" w:eastAsia="IRNazanin" w:cs="IRNazanin"/>
            <w:color w:val="111111"/>
            <w:sz w:val="22"/>
            <w:szCs w:val="22"/>
            <w:b w:val="0"/>
            <w:bCs w:val="0"/>
            <w:i w:val="0"/>
            <w:iCs w:val="0"/>
          </w:rPr>
          <w:t>اسرار المكارم / شرح دعا / عربي</w:t>
        </w:r>
        <w:r>
          <w:tab/>
        </w:r>
        <w:r>
          <w:fldChar w:fldCharType="begin"/>
        </w:r>
        <w:r>
          <w:instrText xml:space="preserve">PAGEREF 952 \h</w:instrText>
        </w:r>
        <w:r>
          <w:fldChar w:fldCharType="end"/>
        </w:r>
      </w:hyperlink>
    </w:p>
    <w:p>
      <w:pPr>
        <w:tabs>
          <w:tab w:val="right" w:leader="dot" w:pos="9062"/>
        </w:tabs>
        <w:ind w:left="440"/>
      </w:pPr>
      <w:hyperlink w:anchor="_Toc953" w:history="1">
        <w:r>
          <w:rPr>
            <w:rFonts w:ascii="IRNazanin" w:hAnsi="IRNazanin" w:eastAsia="IRNazanin" w:cs="IRNazanin"/>
            <w:color w:val="111111"/>
            <w:sz w:val="22"/>
            <w:szCs w:val="22"/>
            <w:b w:val="0"/>
            <w:bCs w:val="0"/>
            <w:i w:val="0"/>
            <w:iCs w:val="0"/>
          </w:rPr>
          <w:t>الاسرار المكنونة و الانوار المخزونة / عربي</w:t>
        </w:r>
        <w:r>
          <w:tab/>
        </w:r>
        <w:r>
          <w:fldChar w:fldCharType="begin"/>
        </w:r>
        <w:r>
          <w:instrText xml:space="preserve">PAGEREF 953 \h</w:instrText>
        </w:r>
        <w:r>
          <w:fldChar w:fldCharType="end"/>
        </w:r>
      </w:hyperlink>
    </w:p>
    <w:p>
      <w:pPr>
        <w:tabs>
          <w:tab w:val="right" w:leader="dot" w:pos="9062"/>
        </w:tabs>
        <w:ind w:left="440"/>
      </w:pPr>
      <w:hyperlink w:anchor="_Toc954" w:history="1">
        <w:r>
          <w:rPr>
            <w:rFonts w:ascii="IRNazanin" w:hAnsi="IRNazanin" w:eastAsia="IRNazanin" w:cs="IRNazanin"/>
            <w:color w:val="111111"/>
            <w:sz w:val="22"/>
            <w:szCs w:val="22"/>
            <w:b w:val="0"/>
            <w:bCs w:val="0"/>
            <w:i w:val="0"/>
            <w:iCs w:val="0"/>
          </w:rPr>
          <w:t>اسرار الملكوت / هیئت / عربی</w:t>
        </w:r>
        <w:r>
          <w:tab/>
        </w:r>
        <w:r>
          <w:fldChar w:fldCharType="begin"/>
        </w:r>
        <w:r>
          <w:instrText xml:space="preserve">PAGEREF 954 \h</w:instrText>
        </w:r>
        <w:r>
          <w:fldChar w:fldCharType="end"/>
        </w:r>
      </w:hyperlink>
    </w:p>
    <w:p>
      <w:pPr>
        <w:tabs>
          <w:tab w:val="right" w:leader="dot" w:pos="9062"/>
        </w:tabs>
        <w:ind w:left="440"/>
      </w:pPr>
      <w:hyperlink w:anchor="_Toc955" w:history="1">
        <w:r>
          <w:rPr>
            <w:rFonts w:ascii="IRNazanin" w:hAnsi="IRNazanin" w:eastAsia="IRNazanin" w:cs="IRNazanin"/>
            <w:color w:val="111111"/>
            <w:sz w:val="22"/>
            <w:szCs w:val="22"/>
            <w:b w:val="0"/>
            <w:bCs w:val="0"/>
            <w:i w:val="0"/>
            <w:iCs w:val="0"/>
          </w:rPr>
          <w:t>اسرار مناسك الحج / فلسفه احکام / عربی</w:t>
        </w:r>
        <w:r>
          <w:tab/>
        </w:r>
        <w:r>
          <w:fldChar w:fldCharType="begin"/>
        </w:r>
        <w:r>
          <w:instrText xml:space="preserve">PAGEREF 955 \h</w:instrText>
        </w:r>
        <w:r>
          <w:fldChar w:fldCharType="end"/>
        </w:r>
      </w:hyperlink>
    </w:p>
    <w:p>
      <w:pPr>
        <w:tabs>
          <w:tab w:val="right" w:leader="dot" w:pos="9062"/>
        </w:tabs>
        <w:ind w:left="440"/>
      </w:pPr>
      <w:hyperlink w:anchor="_Toc956" w:history="1">
        <w:r>
          <w:rPr>
            <w:rFonts w:ascii="IRNazanin" w:hAnsi="IRNazanin" w:eastAsia="IRNazanin" w:cs="IRNazanin"/>
            <w:color w:val="111111"/>
            <w:sz w:val="22"/>
            <w:szCs w:val="22"/>
            <w:b w:val="0"/>
            <w:bCs w:val="0"/>
            <w:i w:val="0"/>
            <w:iCs w:val="0"/>
          </w:rPr>
          <w:t>اسرار المواعظ / اخلاق / فارسی</w:t>
        </w:r>
        <w:r>
          <w:tab/>
        </w:r>
        <w:r>
          <w:fldChar w:fldCharType="begin"/>
        </w:r>
        <w:r>
          <w:instrText xml:space="preserve">PAGEREF 956 \h</w:instrText>
        </w:r>
        <w:r>
          <w:fldChar w:fldCharType="end"/>
        </w:r>
      </w:hyperlink>
    </w:p>
    <w:p>
      <w:pPr>
        <w:tabs>
          <w:tab w:val="right" w:leader="dot" w:pos="9062"/>
        </w:tabs>
        <w:ind w:left="440"/>
      </w:pPr>
      <w:hyperlink w:anchor="_Toc957" w:history="1">
        <w:r>
          <w:rPr>
            <w:rFonts w:ascii="IRNazanin" w:hAnsi="IRNazanin" w:eastAsia="IRNazanin" w:cs="IRNazanin"/>
            <w:color w:val="111111"/>
            <w:sz w:val="22"/>
            <w:szCs w:val="22"/>
            <w:b w:val="0"/>
            <w:bCs w:val="0"/>
            <w:i w:val="0"/>
            <w:iCs w:val="0"/>
          </w:rPr>
          <w:t>اسرار مهر النبوة بين كتفى النبى / عرفان و تصوف /عربی</w:t>
        </w:r>
        <w:r>
          <w:tab/>
        </w:r>
        <w:r>
          <w:fldChar w:fldCharType="begin"/>
        </w:r>
        <w:r>
          <w:instrText xml:space="preserve">PAGEREF 957 \h</w:instrText>
        </w:r>
        <w:r>
          <w:fldChar w:fldCharType="end"/>
        </w:r>
      </w:hyperlink>
    </w:p>
    <w:p>
      <w:pPr>
        <w:tabs>
          <w:tab w:val="right" w:leader="dot" w:pos="9062"/>
        </w:tabs>
        <w:ind w:left="440"/>
      </w:pPr>
      <w:hyperlink w:anchor="_Toc958" w:history="1">
        <w:r>
          <w:rPr>
            <w:rFonts w:ascii="IRNazanin" w:hAnsi="IRNazanin" w:eastAsia="IRNazanin" w:cs="IRNazanin"/>
            <w:color w:val="111111"/>
            <w:sz w:val="22"/>
            <w:szCs w:val="22"/>
            <w:b w:val="0"/>
            <w:bCs w:val="0"/>
            <w:i w:val="0"/>
            <w:iCs w:val="0"/>
          </w:rPr>
          <w:t>اسرار نام خدا جل جلاله / ادبیات / اردو</w:t>
        </w:r>
        <w:r>
          <w:tab/>
        </w:r>
        <w:r>
          <w:fldChar w:fldCharType="begin"/>
        </w:r>
        <w:r>
          <w:instrText xml:space="preserve">PAGEREF 958 \h</w:instrText>
        </w:r>
        <w:r>
          <w:fldChar w:fldCharType="end"/>
        </w:r>
      </w:hyperlink>
    </w:p>
    <w:p>
      <w:pPr>
        <w:tabs>
          <w:tab w:val="right" w:leader="dot" w:pos="9062"/>
        </w:tabs>
        <w:ind w:left="440"/>
      </w:pPr>
      <w:hyperlink w:anchor="_Toc959" w:history="1">
        <w:r>
          <w:rPr>
            <w:rFonts w:ascii="IRNazanin" w:hAnsi="IRNazanin" w:eastAsia="IRNazanin" w:cs="IRNazanin"/>
            <w:color w:val="111111"/>
            <w:sz w:val="22"/>
            <w:szCs w:val="22"/>
            <w:b w:val="0"/>
            <w:bCs w:val="0"/>
            <w:i w:val="0"/>
            <w:iCs w:val="0"/>
          </w:rPr>
          <w:t>اسرار نامه / شعر / فارسی</w:t>
        </w:r>
        <w:r>
          <w:tab/>
        </w:r>
        <w:r>
          <w:fldChar w:fldCharType="begin"/>
        </w:r>
        <w:r>
          <w:instrText xml:space="preserve">PAGEREF 959 \h</w:instrText>
        </w:r>
        <w:r>
          <w:fldChar w:fldCharType="end"/>
        </w:r>
      </w:hyperlink>
    </w:p>
    <w:p>
      <w:pPr>
        <w:tabs>
          <w:tab w:val="right" w:leader="dot" w:pos="9062"/>
        </w:tabs>
        <w:ind w:left="440"/>
      </w:pPr>
      <w:hyperlink w:anchor="_Toc960" w:history="1">
        <w:r>
          <w:rPr>
            <w:rFonts w:ascii="IRNazanin" w:hAnsi="IRNazanin" w:eastAsia="IRNazanin" w:cs="IRNazanin"/>
            <w:color w:val="111111"/>
            <w:sz w:val="22"/>
            <w:szCs w:val="22"/>
            <w:b w:val="0"/>
            <w:bCs w:val="0"/>
            <w:i w:val="0"/>
            <w:iCs w:val="0"/>
          </w:rPr>
          <w:t>اسرار نامه / شعر / فارسی</w:t>
        </w:r>
        <w:r>
          <w:tab/>
        </w:r>
        <w:r>
          <w:fldChar w:fldCharType="begin"/>
        </w:r>
        <w:r>
          <w:instrText xml:space="preserve">PAGEREF 960 \h</w:instrText>
        </w:r>
        <w:r>
          <w:fldChar w:fldCharType="end"/>
        </w:r>
      </w:hyperlink>
    </w:p>
    <w:p>
      <w:pPr>
        <w:tabs>
          <w:tab w:val="right" w:leader="dot" w:pos="9062"/>
        </w:tabs>
        <w:ind w:left="440"/>
      </w:pPr>
      <w:hyperlink w:anchor="_Toc961" w:history="1">
        <w:r>
          <w:rPr>
            <w:rFonts w:ascii="IRNazanin" w:hAnsi="IRNazanin" w:eastAsia="IRNazanin" w:cs="IRNazanin"/>
            <w:color w:val="111111"/>
            <w:sz w:val="22"/>
            <w:szCs w:val="22"/>
            <w:b w:val="0"/>
            <w:bCs w:val="0"/>
            <w:i w:val="0"/>
            <w:iCs w:val="0"/>
          </w:rPr>
          <w:t>اسرار النبوه / تاريخ / فارسی</w:t>
        </w:r>
        <w:r>
          <w:tab/>
        </w:r>
        <w:r>
          <w:fldChar w:fldCharType="begin"/>
        </w:r>
        <w:r>
          <w:instrText xml:space="preserve">PAGEREF 961 \h</w:instrText>
        </w:r>
        <w:r>
          <w:fldChar w:fldCharType="end"/>
        </w:r>
      </w:hyperlink>
    </w:p>
    <w:p>
      <w:pPr>
        <w:tabs>
          <w:tab w:val="right" w:leader="dot" w:pos="9062"/>
        </w:tabs>
        <w:ind w:left="440"/>
      </w:pPr>
      <w:hyperlink w:anchor="_Toc962" w:history="1">
        <w:r>
          <w:rPr>
            <w:rFonts w:ascii="IRNazanin" w:hAnsi="IRNazanin" w:eastAsia="IRNazanin" w:cs="IRNazanin"/>
            <w:color w:val="111111"/>
            <w:sz w:val="22"/>
            <w:szCs w:val="22"/>
            <w:b w:val="0"/>
            <w:bCs w:val="0"/>
            <w:i w:val="0"/>
            <w:iCs w:val="0"/>
          </w:rPr>
          <w:t>اسرار النبی محمد (صلّی اللَّهِ علیه وَ آلِهِ وَ سَلَّمَ ) / تاریخ پیامبراکرم (صلّی اللَّهِ علیه وَ آلِهِ وَ سَلَّمَ ) / عربی</w:t>
        </w:r>
        <w:r>
          <w:tab/>
        </w:r>
        <w:r>
          <w:fldChar w:fldCharType="begin"/>
        </w:r>
        <w:r>
          <w:instrText xml:space="preserve">PAGEREF 962 \h</w:instrText>
        </w:r>
        <w:r>
          <w:fldChar w:fldCharType="end"/>
        </w:r>
      </w:hyperlink>
    </w:p>
    <w:p>
      <w:pPr>
        <w:tabs>
          <w:tab w:val="right" w:leader="dot" w:pos="9062"/>
        </w:tabs>
        <w:ind w:left="440"/>
      </w:pPr>
      <w:hyperlink w:anchor="_Toc963" w:history="1">
        <w:r>
          <w:rPr>
            <w:rFonts w:ascii="IRNazanin" w:hAnsi="IRNazanin" w:eastAsia="IRNazanin" w:cs="IRNazanin"/>
            <w:color w:val="111111"/>
            <w:sz w:val="22"/>
            <w:szCs w:val="22"/>
            <w:b w:val="0"/>
            <w:bCs w:val="0"/>
            <w:i w:val="0"/>
            <w:iCs w:val="0"/>
          </w:rPr>
          <w:t>اسرار النجوم = احكام النجوم = کتاب اسرار / هیئت  / عربی</w:t>
        </w:r>
        <w:r>
          <w:tab/>
        </w:r>
        <w:r>
          <w:fldChar w:fldCharType="begin"/>
        </w:r>
        <w:r>
          <w:instrText xml:space="preserve">PAGEREF 963 \h</w:instrText>
        </w:r>
        <w:r>
          <w:fldChar w:fldCharType="end"/>
        </w:r>
      </w:hyperlink>
    </w:p>
    <w:p>
      <w:pPr>
        <w:tabs>
          <w:tab w:val="right" w:leader="dot" w:pos="9062"/>
        </w:tabs>
        <w:ind w:left="440"/>
      </w:pPr>
      <w:hyperlink w:anchor="_Toc964" w:history="1">
        <w:r>
          <w:rPr>
            <w:rFonts w:ascii="IRNazanin" w:hAnsi="IRNazanin" w:eastAsia="IRNazanin" w:cs="IRNazanin"/>
            <w:color w:val="111111"/>
            <w:sz w:val="22"/>
            <w:szCs w:val="22"/>
            <w:b w:val="0"/>
            <w:bCs w:val="0"/>
            <w:i w:val="0"/>
            <w:iCs w:val="0"/>
          </w:rPr>
          <w:t>اسرار النجوم (ترجمه) = صد باب اسکندری / هیئت  / فارسی</w:t>
        </w:r>
        <w:r>
          <w:tab/>
        </w:r>
        <w:r>
          <w:fldChar w:fldCharType="begin"/>
        </w:r>
        <w:r>
          <w:instrText xml:space="preserve">PAGEREF 964 \h</w:instrText>
        </w:r>
        <w:r>
          <w:fldChar w:fldCharType="end"/>
        </w:r>
      </w:hyperlink>
    </w:p>
    <w:p>
      <w:pPr>
        <w:tabs>
          <w:tab w:val="right" w:leader="dot" w:pos="9062"/>
        </w:tabs>
        <w:ind w:left="440"/>
      </w:pPr>
      <w:hyperlink w:anchor="_Toc965" w:history="1">
        <w:r>
          <w:rPr>
            <w:rFonts w:ascii="IRNazanin" w:hAnsi="IRNazanin" w:eastAsia="IRNazanin" w:cs="IRNazanin"/>
            <w:color w:val="111111"/>
            <w:sz w:val="22"/>
            <w:szCs w:val="22"/>
            <w:b w:val="0"/>
            <w:bCs w:val="0"/>
            <w:i w:val="0"/>
            <w:iCs w:val="0"/>
          </w:rPr>
          <w:t>اسرار النجوم / هيئت / عربي</w:t>
        </w:r>
        <w:r>
          <w:tab/>
        </w:r>
        <w:r>
          <w:fldChar w:fldCharType="begin"/>
        </w:r>
        <w:r>
          <w:instrText xml:space="preserve">PAGEREF 965 \h</w:instrText>
        </w:r>
        <w:r>
          <w:fldChar w:fldCharType="end"/>
        </w:r>
      </w:hyperlink>
    </w:p>
    <w:p>
      <w:pPr>
        <w:tabs>
          <w:tab w:val="right" w:leader="dot" w:pos="9062"/>
        </w:tabs>
        <w:ind w:left="440"/>
      </w:pPr>
      <w:hyperlink w:anchor="_Toc966" w:history="1">
        <w:r>
          <w:rPr>
            <w:rFonts w:ascii="IRNazanin" w:hAnsi="IRNazanin" w:eastAsia="IRNazanin" w:cs="IRNazanin"/>
            <w:color w:val="111111"/>
            <w:sz w:val="22"/>
            <w:szCs w:val="22"/>
            <w:b w:val="0"/>
            <w:bCs w:val="0"/>
            <w:i w:val="0"/>
            <w:iCs w:val="0"/>
          </w:rPr>
          <w:t>اسرار النجوم (ترجمه) / هیئت / فارسی</w:t>
        </w:r>
        <w:r>
          <w:tab/>
        </w:r>
        <w:r>
          <w:fldChar w:fldCharType="begin"/>
        </w:r>
        <w:r>
          <w:instrText xml:space="preserve">PAGEREF 966 \h</w:instrText>
        </w:r>
        <w:r>
          <w:fldChar w:fldCharType="end"/>
        </w:r>
      </w:hyperlink>
    </w:p>
    <w:p>
      <w:pPr>
        <w:tabs>
          <w:tab w:val="right" w:leader="dot" w:pos="9062"/>
        </w:tabs>
        <w:ind w:left="440"/>
      </w:pPr>
      <w:hyperlink w:anchor="_Toc967" w:history="1">
        <w:r>
          <w:rPr>
            <w:rFonts w:ascii="IRNazanin" w:hAnsi="IRNazanin" w:eastAsia="IRNazanin" w:cs="IRNazanin"/>
            <w:color w:val="111111"/>
            <w:sz w:val="22"/>
            <w:szCs w:val="22"/>
            <w:b w:val="0"/>
            <w:bCs w:val="0"/>
            <w:i w:val="0"/>
            <w:iCs w:val="0"/>
          </w:rPr>
          <w:t>اسرار النجوم / هيئت / عربي</w:t>
        </w:r>
        <w:r>
          <w:tab/>
        </w:r>
        <w:r>
          <w:fldChar w:fldCharType="begin"/>
        </w:r>
        <w:r>
          <w:instrText xml:space="preserve">PAGEREF 967 \h</w:instrText>
        </w:r>
        <w:r>
          <w:fldChar w:fldCharType="end"/>
        </w:r>
      </w:hyperlink>
    </w:p>
    <w:p>
      <w:pPr>
        <w:tabs>
          <w:tab w:val="right" w:leader="dot" w:pos="9062"/>
        </w:tabs>
        <w:ind w:left="440"/>
      </w:pPr>
      <w:hyperlink w:anchor="_Toc968" w:history="1">
        <w:r>
          <w:rPr>
            <w:rFonts w:ascii="IRNazanin" w:hAnsi="IRNazanin" w:eastAsia="IRNazanin" w:cs="IRNazanin"/>
            <w:color w:val="111111"/>
            <w:sz w:val="22"/>
            <w:szCs w:val="22"/>
            <w:b w:val="0"/>
            <w:bCs w:val="0"/>
            <w:i w:val="0"/>
            <w:iCs w:val="0"/>
          </w:rPr>
          <w:t>اسرار النجوم (مختصر) = مختصر الاسرار = مختصـر اسرار النجوم / هيئت / عربي</w:t>
        </w:r>
        <w:r>
          <w:tab/>
        </w:r>
        <w:r>
          <w:fldChar w:fldCharType="begin"/>
        </w:r>
        <w:r>
          <w:instrText xml:space="preserve">PAGEREF 968 \h</w:instrText>
        </w:r>
        <w:r>
          <w:fldChar w:fldCharType="end"/>
        </w:r>
      </w:hyperlink>
    </w:p>
    <w:p>
      <w:pPr>
        <w:tabs>
          <w:tab w:val="right" w:leader="dot" w:pos="9062"/>
        </w:tabs>
        <w:ind w:left="440"/>
      </w:pPr>
      <w:hyperlink w:anchor="_Toc969" w:history="1">
        <w:r>
          <w:rPr>
            <w:rFonts w:ascii="IRNazanin" w:hAnsi="IRNazanin" w:eastAsia="IRNazanin" w:cs="IRNazanin"/>
            <w:color w:val="111111"/>
            <w:sz w:val="22"/>
            <w:szCs w:val="22"/>
            <w:b w:val="0"/>
            <w:bCs w:val="0"/>
            <w:i w:val="0"/>
            <w:iCs w:val="0"/>
          </w:rPr>
          <w:t>اسرار النساء / طب / عربي</w:t>
        </w:r>
        <w:r>
          <w:tab/>
        </w:r>
        <w:r>
          <w:fldChar w:fldCharType="begin"/>
        </w:r>
        <w:r>
          <w:instrText xml:space="preserve">PAGEREF 969 \h</w:instrText>
        </w:r>
        <w:r>
          <w:fldChar w:fldCharType="end"/>
        </w:r>
      </w:hyperlink>
    </w:p>
    <w:p>
      <w:pPr>
        <w:tabs>
          <w:tab w:val="right" w:leader="dot" w:pos="9062"/>
        </w:tabs>
        <w:ind w:left="440"/>
      </w:pPr>
      <w:hyperlink w:anchor="_Toc970" w:history="1">
        <w:r>
          <w:rPr>
            <w:rFonts w:ascii="IRNazanin" w:hAnsi="IRNazanin" w:eastAsia="IRNazanin" w:cs="IRNazanin"/>
            <w:color w:val="111111"/>
            <w:sz w:val="22"/>
            <w:szCs w:val="22"/>
            <w:b w:val="0"/>
            <w:bCs w:val="0"/>
            <w:i w:val="0"/>
            <w:iCs w:val="0"/>
          </w:rPr>
          <w:t>اسرار النساء / طب / فارسی</w:t>
        </w:r>
        <w:r>
          <w:tab/>
        </w:r>
        <w:r>
          <w:fldChar w:fldCharType="begin"/>
        </w:r>
        <w:r>
          <w:instrText xml:space="preserve">PAGEREF 970 \h</w:instrText>
        </w:r>
        <w:r>
          <w:fldChar w:fldCharType="end"/>
        </w:r>
      </w:hyperlink>
    </w:p>
    <w:p>
      <w:pPr>
        <w:tabs>
          <w:tab w:val="right" w:leader="dot" w:pos="9062"/>
        </w:tabs>
        <w:ind w:left="440"/>
      </w:pPr>
      <w:hyperlink w:anchor="_Toc971" w:history="1">
        <w:r>
          <w:rPr>
            <w:rFonts w:ascii="IRNazanin" w:hAnsi="IRNazanin" w:eastAsia="IRNazanin" w:cs="IRNazanin"/>
            <w:color w:val="111111"/>
            <w:sz w:val="22"/>
            <w:szCs w:val="22"/>
            <w:b w:val="0"/>
            <w:bCs w:val="0"/>
            <w:i w:val="0"/>
            <w:iCs w:val="0"/>
          </w:rPr>
          <w:t>اسرار النقاط = رساله رملیه / رمل / عربی</w:t>
        </w:r>
        <w:r>
          <w:tab/>
        </w:r>
        <w:r>
          <w:fldChar w:fldCharType="begin"/>
        </w:r>
        <w:r>
          <w:instrText xml:space="preserve">PAGEREF 971 \h</w:instrText>
        </w:r>
        <w:r>
          <w:fldChar w:fldCharType="end"/>
        </w:r>
      </w:hyperlink>
    </w:p>
    <w:p>
      <w:pPr>
        <w:tabs>
          <w:tab w:val="right" w:leader="dot" w:pos="9062"/>
        </w:tabs>
        <w:ind w:left="440"/>
      </w:pPr>
      <w:hyperlink w:anchor="_Toc972" w:history="1">
        <w:r>
          <w:rPr>
            <w:rFonts w:ascii="IRNazanin" w:hAnsi="IRNazanin" w:eastAsia="IRNazanin" w:cs="IRNazanin"/>
            <w:color w:val="111111"/>
            <w:sz w:val="22"/>
            <w:szCs w:val="22"/>
            <w:b w:val="0"/>
            <w:bCs w:val="0"/>
            <w:i w:val="0"/>
            <w:iCs w:val="0"/>
          </w:rPr>
          <w:t>اسرار نقطه / عرفان و تصوف / فارسی</w:t>
        </w:r>
        <w:r>
          <w:tab/>
        </w:r>
        <w:r>
          <w:fldChar w:fldCharType="begin"/>
        </w:r>
        <w:r>
          <w:instrText xml:space="preserve">PAGEREF 972 \h</w:instrText>
        </w:r>
        <w:r>
          <w:fldChar w:fldCharType="end"/>
        </w:r>
      </w:hyperlink>
    </w:p>
    <w:p>
      <w:pPr>
        <w:tabs>
          <w:tab w:val="right" w:leader="dot" w:pos="9062"/>
        </w:tabs>
        <w:ind w:left="440"/>
      </w:pPr>
      <w:hyperlink w:anchor="_Toc973" w:history="1">
        <w:r>
          <w:rPr>
            <w:rFonts w:ascii="IRNazanin" w:hAnsi="IRNazanin" w:eastAsia="IRNazanin" w:cs="IRNazanin"/>
            <w:color w:val="111111"/>
            <w:sz w:val="22"/>
            <w:szCs w:val="22"/>
            <w:b w:val="0"/>
            <w:bCs w:val="0"/>
            <w:i w:val="0"/>
            <w:iCs w:val="0"/>
          </w:rPr>
          <w:t>اسرار نقطه و حروف / بهائیت / فارسی</w:t>
        </w:r>
        <w:r>
          <w:tab/>
        </w:r>
        <w:r>
          <w:fldChar w:fldCharType="begin"/>
        </w:r>
        <w:r>
          <w:instrText xml:space="preserve">PAGEREF 973 \h</w:instrText>
        </w:r>
        <w:r>
          <w:fldChar w:fldCharType="end"/>
        </w:r>
      </w:hyperlink>
    </w:p>
    <w:p>
      <w:pPr>
        <w:tabs>
          <w:tab w:val="right" w:leader="dot" w:pos="9062"/>
        </w:tabs>
        <w:ind w:left="440"/>
      </w:pPr>
      <w:hyperlink w:anchor="_Toc974" w:history="1">
        <w:r>
          <w:rPr>
            <w:rFonts w:ascii="IRNazanin" w:hAnsi="IRNazanin" w:eastAsia="IRNazanin" w:cs="IRNazanin"/>
            <w:color w:val="111111"/>
            <w:sz w:val="22"/>
            <w:szCs w:val="22"/>
            <w:b w:val="0"/>
            <w:bCs w:val="0"/>
            <w:i w:val="0"/>
            <w:iCs w:val="0"/>
          </w:rPr>
          <w:t>اسرار النكات / عرفان و تصوف / فارسی</w:t>
        </w:r>
        <w:r>
          <w:tab/>
        </w:r>
        <w:r>
          <w:fldChar w:fldCharType="begin"/>
        </w:r>
        <w:r>
          <w:instrText xml:space="preserve">PAGEREF 974 \h</w:instrText>
        </w:r>
        <w:r>
          <w:fldChar w:fldCharType="end"/>
        </w:r>
      </w:hyperlink>
    </w:p>
    <w:p>
      <w:pPr>
        <w:tabs>
          <w:tab w:val="right" w:leader="dot" w:pos="9062"/>
        </w:tabs>
        <w:ind w:left="440"/>
      </w:pPr>
      <w:hyperlink w:anchor="_Toc975" w:history="1">
        <w:r>
          <w:rPr>
            <w:rFonts w:ascii="IRNazanin" w:hAnsi="IRNazanin" w:eastAsia="IRNazanin" w:cs="IRNazanin"/>
            <w:color w:val="111111"/>
            <w:sz w:val="22"/>
            <w:szCs w:val="22"/>
            <w:b w:val="0"/>
            <w:bCs w:val="0"/>
            <w:i w:val="0"/>
            <w:iCs w:val="0"/>
          </w:rPr>
          <w:t>اسرار النكاح / طب، اخلاق / عربی</w:t>
        </w:r>
        <w:r>
          <w:tab/>
        </w:r>
        <w:r>
          <w:fldChar w:fldCharType="begin"/>
        </w:r>
        <w:r>
          <w:instrText xml:space="preserve">PAGEREF 975 \h</w:instrText>
        </w:r>
        <w:r>
          <w:fldChar w:fldCharType="end"/>
        </w:r>
      </w:hyperlink>
    </w:p>
    <w:p>
      <w:pPr>
        <w:tabs>
          <w:tab w:val="right" w:leader="dot" w:pos="9062"/>
        </w:tabs>
        <w:ind w:left="440"/>
      </w:pPr>
      <w:hyperlink w:anchor="_Toc976" w:history="1">
        <w:r>
          <w:rPr>
            <w:rFonts w:ascii="IRNazanin" w:hAnsi="IRNazanin" w:eastAsia="IRNazanin" w:cs="IRNazanin"/>
            <w:color w:val="111111"/>
            <w:sz w:val="22"/>
            <w:szCs w:val="22"/>
            <w:b w:val="0"/>
            <w:bCs w:val="0"/>
            <w:i w:val="0"/>
            <w:iCs w:val="0"/>
          </w:rPr>
          <w:t>اسرار النکاح = اسرار النساء / طب / فارسی</w:t>
        </w:r>
        <w:r>
          <w:tab/>
        </w:r>
        <w:r>
          <w:fldChar w:fldCharType="begin"/>
        </w:r>
        <w:r>
          <w:instrText xml:space="preserve">PAGEREF 976 \h</w:instrText>
        </w:r>
        <w:r>
          <w:fldChar w:fldCharType="end"/>
        </w:r>
      </w:hyperlink>
    </w:p>
    <w:p>
      <w:pPr>
        <w:tabs>
          <w:tab w:val="right" w:leader="dot" w:pos="9062"/>
        </w:tabs>
        <w:ind w:left="440"/>
      </w:pPr>
      <w:hyperlink w:anchor="_Toc977" w:history="1">
        <w:r>
          <w:rPr>
            <w:rFonts w:ascii="IRNazanin" w:hAnsi="IRNazanin" w:eastAsia="IRNazanin" w:cs="IRNazanin"/>
            <w:color w:val="111111"/>
            <w:sz w:val="22"/>
            <w:szCs w:val="22"/>
            <w:b w:val="0"/>
            <w:bCs w:val="0"/>
            <w:i w:val="0"/>
            <w:iCs w:val="0"/>
          </w:rPr>
          <w:t>اسرار النكاح / فقه، اخلاق / فارسی</w:t>
        </w:r>
        <w:r>
          <w:tab/>
        </w:r>
        <w:r>
          <w:fldChar w:fldCharType="begin"/>
        </w:r>
        <w:r>
          <w:instrText xml:space="preserve">PAGEREF 977 \h</w:instrText>
        </w:r>
        <w:r>
          <w:fldChar w:fldCharType="end"/>
        </w:r>
      </w:hyperlink>
    </w:p>
    <w:p>
      <w:pPr>
        <w:tabs>
          <w:tab w:val="right" w:leader="dot" w:pos="9062"/>
        </w:tabs>
        <w:ind w:left="440"/>
      </w:pPr>
      <w:hyperlink w:anchor="_Toc978" w:history="1">
        <w:r>
          <w:rPr>
            <w:rFonts w:ascii="IRNazanin" w:hAnsi="IRNazanin" w:eastAsia="IRNazanin" w:cs="IRNazanin"/>
            <w:color w:val="111111"/>
            <w:sz w:val="22"/>
            <w:szCs w:val="22"/>
            <w:b w:val="0"/>
            <w:bCs w:val="0"/>
            <w:i w:val="0"/>
            <w:iCs w:val="0"/>
          </w:rPr>
          <w:t>اسرار النكاح و الزوجية (رسالة في) / فقه / عربي</w:t>
        </w:r>
        <w:r>
          <w:tab/>
        </w:r>
        <w:r>
          <w:fldChar w:fldCharType="begin"/>
        </w:r>
        <w:r>
          <w:instrText xml:space="preserve">PAGEREF 978 \h</w:instrText>
        </w:r>
        <w:r>
          <w:fldChar w:fldCharType="end"/>
        </w:r>
      </w:hyperlink>
    </w:p>
    <w:p>
      <w:pPr>
        <w:tabs>
          <w:tab w:val="right" w:leader="dot" w:pos="9062"/>
        </w:tabs>
        <w:ind w:left="440"/>
      </w:pPr>
      <w:hyperlink w:anchor="_Toc979" w:history="1">
        <w:r>
          <w:rPr>
            <w:rFonts w:ascii="IRNazanin" w:hAnsi="IRNazanin" w:eastAsia="IRNazanin" w:cs="IRNazanin"/>
            <w:color w:val="111111"/>
            <w:sz w:val="22"/>
            <w:szCs w:val="22"/>
            <w:b w:val="0"/>
            <w:bCs w:val="0"/>
            <w:i w:val="0"/>
            <w:iCs w:val="0"/>
          </w:rPr>
          <w:t>اسرار نماز / عرفان و تصوف / فارسی</w:t>
        </w:r>
        <w:r>
          <w:tab/>
        </w:r>
        <w:r>
          <w:fldChar w:fldCharType="begin"/>
        </w:r>
        <w:r>
          <w:instrText xml:space="preserve">PAGEREF 979 \h</w:instrText>
        </w:r>
        <w:r>
          <w:fldChar w:fldCharType="end"/>
        </w:r>
      </w:hyperlink>
    </w:p>
    <w:p>
      <w:pPr>
        <w:tabs>
          <w:tab w:val="right" w:leader="dot" w:pos="9062"/>
        </w:tabs>
        <w:ind w:left="440"/>
      </w:pPr>
      <w:hyperlink w:anchor="_Toc980" w:history="1">
        <w:r>
          <w:rPr>
            <w:rFonts w:ascii="IRNazanin" w:hAnsi="IRNazanin" w:eastAsia="IRNazanin" w:cs="IRNazanin"/>
            <w:color w:val="111111"/>
            <w:sz w:val="22"/>
            <w:szCs w:val="22"/>
            <w:b w:val="0"/>
            <w:bCs w:val="0"/>
            <w:i w:val="0"/>
            <w:iCs w:val="0"/>
          </w:rPr>
          <w:t>اسرار نماز و ترجمه ادعیه آن / فلسفه احکام / اردو</w:t>
        </w:r>
        <w:r>
          <w:tab/>
        </w:r>
        <w:r>
          <w:fldChar w:fldCharType="begin"/>
        </w:r>
        <w:r>
          <w:instrText xml:space="preserve">PAGEREF 980 \h</w:instrText>
        </w:r>
        <w:r>
          <w:fldChar w:fldCharType="end"/>
        </w:r>
      </w:hyperlink>
    </w:p>
    <w:p>
      <w:pPr>
        <w:tabs>
          <w:tab w:val="right" w:leader="dot" w:pos="9062"/>
        </w:tabs>
        <w:ind w:left="440"/>
      </w:pPr>
      <w:hyperlink w:anchor="_Toc981" w:history="1">
        <w:r>
          <w:rPr>
            <w:rFonts w:ascii="IRNazanin" w:hAnsi="IRNazanin" w:eastAsia="IRNazanin" w:cs="IRNazanin"/>
            <w:color w:val="111111"/>
            <w:sz w:val="22"/>
            <w:szCs w:val="22"/>
            <w:b w:val="0"/>
            <w:bCs w:val="0"/>
            <w:i w:val="0"/>
            <w:iCs w:val="0"/>
          </w:rPr>
          <w:t>الاسرار و اثنی عشریه ترجمه و مختصر / کیمیا / فارسی</w:t>
        </w:r>
        <w:r>
          <w:tab/>
        </w:r>
        <w:r>
          <w:fldChar w:fldCharType="begin"/>
        </w:r>
        <w:r>
          <w:instrText xml:space="preserve">PAGEREF 981 \h</w:instrText>
        </w:r>
        <w:r>
          <w:fldChar w:fldCharType="end"/>
        </w:r>
      </w:hyperlink>
    </w:p>
    <w:p>
      <w:pPr>
        <w:tabs>
          <w:tab w:val="right" w:leader="dot" w:pos="9062"/>
        </w:tabs>
        <w:ind w:left="440"/>
      </w:pPr>
      <w:hyperlink w:anchor="_Toc982" w:history="1">
        <w:r>
          <w:rPr>
            <w:rFonts w:ascii="IRNazanin" w:hAnsi="IRNazanin" w:eastAsia="IRNazanin" w:cs="IRNazanin"/>
            <w:color w:val="111111"/>
            <w:sz w:val="22"/>
            <w:szCs w:val="22"/>
            <w:b w:val="0"/>
            <w:bCs w:val="0"/>
            <w:i w:val="0"/>
            <w:iCs w:val="0"/>
          </w:rPr>
          <w:t>اسرار الوجود = ترجمه ليوردور / طبیعیات / فارسی</w:t>
        </w:r>
        <w:r>
          <w:tab/>
        </w:r>
        <w:r>
          <w:fldChar w:fldCharType="begin"/>
        </w:r>
        <w:r>
          <w:instrText xml:space="preserve">PAGEREF 982 \h</w:instrText>
        </w:r>
        <w:r>
          <w:fldChar w:fldCharType="end"/>
        </w:r>
      </w:hyperlink>
    </w:p>
    <w:p>
      <w:pPr>
        <w:tabs>
          <w:tab w:val="right" w:leader="dot" w:pos="9062"/>
        </w:tabs>
        <w:ind w:left="440"/>
      </w:pPr>
      <w:hyperlink w:anchor="_Toc983" w:history="1">
        <w:r>
          <w:rPr>
            <w:rFonts w:ascii="IRNazanin" w:hAnsi="IRNazanin" w:eastAsia="IRNazanin" w:cs="IRNazanin"/>
            <w:color w:val="111111"/>
            <w:sz w:val="22"/>
            <w:szCs w:val="22"/>
            <w:b w:val="0"/>
            <w:bCs w:val="0"/>
            <w:i w:val="0"/>
            <w:iCs w:val="0"/>
          </w:rPr>
          <w:t>اسرار الوجود فى معرفة المعبود / کلام و اعتقادات /  فارسی</w:t>
        </w:r>
        <w:r>
          <w:tab/>
        </w:r>
        <w:r>
          <w:fldChar w:fldCharType="begin"/>
        </w:r>
        <w:r>
          <w:instrText xml:space="preserve">PAGEREF 983 \h</w:instrText>
        </w:r>
        <w:r>
          <w:fldChar w:fldCharType="end"/>
        </w:r>
      </w:hyperlink>
    </w:p>
    <w:p>
      <w:pPr>
        <w:tabs>
          <w:tab w:val="right" w:leader="dot" w:pos="9062"/>
        </w:tabs>
        <w:ind w:left="440"/>
      </w:pPr>
      <w:hyperlink w:anchor="_Toc984" w:history="1">
        <w:r>
          <w:rPr>
            <w:rFonts w:ascii="IRNazanin" w:hAnsi="IRNazanin" w:eastAsia="IRNazanin" w:cs="IRNazanin"/>
            <w:color w:val="111111"/>
            <w:sz w:val="22"/>
            <w:szCs w:val="22"/>
            <w:b w:val="0"/>
            <w:bCs w:val="0"/>
            <w:i w:val="0"/>
            <w:iCs w:val="0"/>
          </w:rPr>
          <w:t>اسرار الوحى / عرفان و تصوف، شرح حدیث / فارسی</w:t>
        </w:r>
        <w:r>
          <w:tab/>
        </w:r>
        <w:r>
          <w:fldChar w:fldCharType="begin"/>
        </w:r>
        <w:r>
          <w:instrText xml:space="preserve">PAGEREF 984 \h</w:instrText>
        </w:r>
        <w:r>
          <w:fldChar w:fldCharType="end"/>
        </w:r>
      </w:hyperlink>
    </w:p>
    <w:p>
      <w:pPr>
        <w:tabs>
          <w:tab w:val="right" w:leader="dot" w:pos="9062"/>
        </w:tabs>
        <w:ind w:left="440"/>
      </w:pPr>
      <w:hyperlink w:anchor="_Toc985" w:history="1">
        <w:r>
          <w:rPr>
            <w:rFonts w:ascii="IRNazanin" w:hAnsi="IRNazanin" w:eastAsia="IRNazanin" w:cs="IRNazanin"/>
            <w:color w:val="111111"/>
            <w:sz w:val="22"/>
            <w:szCs w:val="22"/>
            <w:b w:val="0"/>
            <w:bCs w:val="0"/>
            <w:i w:val="0"/>
            <w:iCs w:val="0"/>
          </w:rPr>
          <w:t>اسرار الوحى / عرفان و تصوف / عربی</w:t>
        </w:r>
        <w:r>
          <w:tab/>
        </w:r>
        <w:r>
          <w:fldChar w:fldCharType="begin"/>
        </w:r>
        <w:r>
          <w:instrText xml:space="preserve">PAGEREF 985 \h</w:instrText>
        </w:r>
        <w:r>
          <w:fldChar w:fldCharType="end"/>
        </w:r>
      </w:hyperlink>
    </w:p>
    <w:p>
      <w:pPr>
        <w:tabs>
          <w:tab w:val="right" w:leader="dot" w:pos="9062"/>
        </w:tabs>
        <w:ind w:left="440"/>
      </w:pPr>
      <w:hyperlink w:anchor="_Toc986" w:history="1">
        <w:r>
          <w:rPr>
            <w:rFonts w:ascii="IRNazanin" w:hAnsi="IRNazanin" w:eastAsia="IRNazanin" w:cs="IRNazanin"/>
            <w:color w:val="111111"/>
            <w:sz w:val="22"/>
            <w:szCs w:val="22"/>
            <w:b w:val="0"/>
            <w:bCs w:val="0"/>
            <w:i w:val="0"/>
            <w:iCs w:val="0"/>
          </w:rPr>
          <w:t>اسرار و خواص حروف و اسماء و اشیاء / علوم غریبه /  عربی</w:t>
        </w:r>
        <w:r>
          <w:tab/>
        </w:r>
        <w:r>
          <w:fldChar w:fldCharType="begin"/>
        </w:r>
        <w:r>
          <w:instrText xml:space="preserve">PAGEREF 986 \h</w:instrText>
        </w:r>
        <w:r>
          <w:fldChar w:fldCharType="end"/>
        </w:r>
      </w:hyperlink>
    </w:p>
    <w:p>
      <w:pPr>
        <w:tabs>
          <w:tab w:val="right" w:leader="dot" w:pos="9062"/>
        </w:tabs>
        <w:ind w:left="440"/>
      </w:pPr>
      <w:hyperlink w:anchor="_Toc987" w:history="1">
        <w:r>
          <w:rPr>
            <w:rFonts w:ascii="IRNazanin" w:hAnsi="IRNazanin" w:eastAsia="IRNazanin" w:cs="IRNazanin"/>
            <w:color w:val="111111"/>
            <w:sz w:val="22"/>
            <w:szCs w:val="22"/>
            <w:b w:val="0"/>
            <w:bCs w:val="0"/>
            <w:i w:val="0"/>
            <w:iCs w:val="0"/>
          </w:rPr>
          <w:t>اسرار و فلسفه نماز / فلسفه احکام / فارسی</w:t>
        </w:r>
        <w:r>
          <w:tab/>
        </w:r>
        <w:r>
          <w:fldChar w:fldCharType="begin"/>
        </w:r>
        <w:r>
          <w:instrText xml:space="preserve">PAGEREF 987 \h</w:instrText>
        </w:r>
        <w:r>
          <w:fldChar w:fldCharType="end"/>
        </w:r>
      </w:hyperlink>
    </w:p>
    <w:p>
      <w:pPr>
        <w:tabs>
          <w:tab w:val="right" w:leader="dot" w:pos="9062"/>
        </w:tabs>
        <w:ind w:left="440"/>
      </w:pPr>
      <w:hyperlink w:anchor="_Toc988" w:history="1">
        <w:r>
          <w:rPr>
            <w:rFonts w:ascii="IRNazanin" w:hAnsi="IRNazanin" w:eastAsia="IRNazanin" w:cs="IRNazanin"/>
            <w:color w:val="111111"/>
            <w:sz w:val="22"/>
            <w:szCs w:val="22"/>
            <w:b w:val="0"/>
            <w:bCs w:val="0"/>
            <w:i w:val="0"/>
            <w:iCs w:val="0"/>
          </w:rPr>
          <w:t>اسرار الولایه / شعر / فارسی</w:t>
        </w:r>
        <w:r>
          <w:tab/>
        </w:r>
        <w:r>
          <w:fldChar w:fldCharType="begin"/>
        </w:r>
        <w:r>
          <w:instrText xml:space="preserve">PAGEREF 988 \h</w:instrText>
        </w:r>
        <w:r>
          <w:fldChar w:fldCharType="end"/>
        </w:r>
      </w:hyperlink>
    </w:p>
    <w:p>
      <w:pPr>
        <w:tabs>
          <w:tab w:val="right" w:leader="dot" w:pos="9062"/>
        </w:tabs>
        <w:ind w:left="440"/>
      </w:pPr>
      <w:hyperlink w:anchor="_Toc989" w:history="1">
        <w:r>
          <w:rPr>
            <w:rFonts w:ascii="IRNazanin" w:hAnsi="IRNazanin" w:eastAsia="IRNazanin" w:cs="IRNazanin"/>
            <w:color w:val="111111"/>
            <w:sz w:val="22"/>
            <w:szCs w:val="22"/>
            <w:b w:val="0"/>
            <w:bCs w:val="0"/>
            <w:i w:val="0"/>
            <w:iCs w:val="0"/>
          </w:rPr>
          <w:t>اسرار الولاية / كلام و اعتقادات / فارسی</w:t>
        </w:r>
        <w:r>
          <w:tab/>
        </w:r>
        <w:r>
          <w:fldChar w:fldCharType="begin"/>
        </w:r>
        <w:r>
          <w:instrText xml:space="preserve">PAGEREF 989 \h</w:instrText>
        </w:r>
        <w:r>
          <w:fldChar w:fldCharType="end"/>
        </w:r>
      </w:hyperlink>
    </w:p>
    <w:p>
      <w:pPr>
        <w:tabs>
          <w:tab w:val="right" w:leader="dot" w:pos="9062"/>
        </w:tabs>
        <w:ind w:left="440"/>
      </w:pPr>
      <w:hyperlink w:anchor="_Toc990" w:history="1">
        <w:r>
          <w:rPr>
            <w:rFonts w:ascii="IRNazanin" w:hAnsi="IRNazanin" w:eastAsia="IRNazanin" w:cs="IRNazanin"/>
            <w:color w:val="111111"/>
            <w:sz w:val="22"/>
            <w:szCs w:val="22"/>
            <w:b w:val="0"/>
            <w:bCs w:val="0"/>
            <w:i w:val="0"/>
            <w:iCs w:val="0"/>
          </w:rPr>
          <w:t>اسرار ولایت / عرفان و تصوف / فارسی</w:t>
        </w:r>
        <w:r>
          <w:tab/>
        </w:r>
        <w:r>
          <w:fldChar w:fldCharType="begin"/>
        </w:r>
        <w:r>
          <w:instrText xml:space="preserve">PAGEREF 990 \h</w:instrText>
        </w:r>
        <w:r>
          <w:fldChar w:fldCharType="end"/>
        </w:r>
      </w:hyperlink>
    </w:p>
    <w:p>
      <w:pPr>
        <w:tabs>
          <w:tab w:val="right" w:leader="dot" w:pos="9062"/>
        </w:tabs>
        <w:ind w:left="440"/>
      </w:pPr>
      <w:hyperlink w:anchor="_Toc991" w:history="1">
        <w:r>
          <w:rPr>
            <w:rFonts w:ascii="IRNazanin" w:hAnsi="IRNazanin" w:eastAsia="IRNazanin" w:cs="IRNazanin"/>
            <w:color w:val="111111"/>
            <w:sz w:val="22"/>
            <w:szCs w:val="22"/>
            <w:b w:val="0"/>
            <w:bCs w:val="0"/>
            <w:i w:val="0"/>
            <w:iCs w:val="0"/>
          </w:rPr>
          <w:t>اسرار الهداية / تاريخ / فارسی</w:t>
        </w:r>
        <w:r>
          <w:tab/>
        </w:r>
        <w:r>
          <w:fldChar w:fldCharType="begin"/>
        </w:r>
        <w:r>
          <w:instrText xml:space="preserve">PAGEREF 991 \h</w:instrText>
        </w:r>
        <w:r>
          <w:fldChar w:fldCharType="end"/>
        </w:r>
      </w:hyperlink>
    </w:p>
    <w:p>
      <w:pPr>
        <w:tabs>
          <w:tab w:val="right" w:leader="dot" w:pos="9062"/>
        </w:tabs>
        <w:ind w:left="440"/>
      </w:pPr>
      <w:hyperlink w:anchor="_Toc992" w:history="1">
        <w:r>
          <w:rPr>
            <w:rFonts w:ascii="IRNazanin" w:hAnsi="IRNazanin" w:eastAsia="IRNazanin" w:cs="IRNazanin"/>
            <w:color w:val="111111"/>
            <w:sz w:val="22"/>
            <w:szCs w:val="22"/>
            <w:b w:val="0"/>
            <w:bCs w:val="0"/>
            <w:i w:val="0"/>
            <w:iCs w:val="0"/>
          </w:rPr>
          <w:t>اسرار هزار رساله / فارسی</w:t>
        </w:r>
        <w:r>
          <w:tab/>
        </w:r>
        <w:r>
          <w:fldChar w:fldCharType="begin"/>
        </w:r>
        <w:r>
          <w:instrText xml:space="preserve">PAGEREF 992 \h</w:instrText>
        </w:r>
        <w:r>
          <w:fldChar w:fldCharType="end"/>
        </w:r>
      </w:hyperlink>
    </w:p>
    <w:p>
      <w:pPr>
        <w:tabs>
          <w:tab w:val="right" w:leader="dot" w:pos="9062"/>
        </w:tabs>
        <w:ind w:left="440"/>
      </w:pPr>
      <w:hyperlink w:anchor="_Toc993" w:history="1">
        <w:r>
          <w:rPr>
            <w:rFonts w:ascii="IRNazanin" w:hAnsi="IRNazanin" w:eastAsia="IRNazanin" w:cs="IRNazanin"/>
            <w:color w:val="111111"/>
            <w:sz w:val="22"/>
            <w:szCs w:val="22"/>
            <w:b w:val="0"/>
            <w:bCs w:val="0"/>
            <w:i w:val="0"/>
            <w:iCs w:val="0"/>
          </w:rPr>
          <w:t>اسرار الیقین فی مقامات العارفین / عرفان و تصوف / عربی</w:t>
        </w:r>
        <w:r>
          <w:tab/>
        </w:r>
        <w:r>
          <w:fldChar w:fldCharType="begin"/>
        </w:r>
        <w:r>
          <w:instrText xml:space="preserve">PAGEREF 993 \h</w:instrText>
        </w:r>
        <w:r>
          <w:fldChar w:fldCharType="end"/>
        </w:r>
      </w:hyperlink>
    </w:p>
    <w:p>
      <w:pPr>
        <w:tabs>
          <w:tab w:val="right" w:leader="dot" w:pos="9062"/>
        </w:tabs>
        <w:ind w:left="440"/>
      </w:pPr>
      <w:hyperlink w:anchor="_Toc994" w:history="1">
        <w:r>
          <w:rPr>
            <w:rFonts w:ascii="IRNazanin" w:hAnsi="IRNazanin" w:eastAsia="IRNazanin" w:cs="IRNazanin"/>
            <w:color w:val="111111"/>
            <w:sz w:val="22"/>
            <w:szCs w:val="22"/>
            <w:b w:val="0"/>
            <w:bCs w:val="0"/>
            <w:i w:val="0"/>
            <w:iCs w:val="0"/>
          </w:rPr>
          <w:t>اسرار الیقین محمد شاهی / کلام و اعتقادات / فارسی</w:t>
        </w:r>
        <w:r>
          <w:tab/>
        </w:r>
        <w:r>
          <w:fldChar w:fldCharType="begin"/>
        </w:r>
        <w:r>
          <w:instrText xml:space="preserve">PAGEREF 994 \h</w:instrText>
        </w:r>
        <w:r>
          <w:fldChar w:fldCharType="end"/>
        </w:r>
      </w:hyperlink>
    </w:p>
    <w:p>
      <w:pPr>
        <w:tabs>
          <w:tab w:val="right" w:leader="dot" w:pos="9062"/>
        </w:tabs>
        <w:ind w:left="440"/>
      </w:pPr>
      <w:hyperlink w:anchor="_Toc995" w:history="1">
        <w:r>
          <w:rPr>
            <w:rFonts w:ascii="IRNazanin" w:hAnsi="IRNazanin" w:eastAsia="IRNazanin" w:cs="IRNazanin"/>
            <w:color w:val="111111"/>
            <w:sz w:val="22"/>
            <w:szCs w:val="22"/>
            <w:b w:val="0"/>
            <w:bCs w:val="0"/>
            <w:i w:val="0"/>
            <w:iCs w:val="0"/>
          </w:rPr>
          <w:t>الاسراف / فقه / عربی</w:t>
        </w:r>
        <w:r>
          <w:tab/>
        </w:r>
        <w:r>
          <w:fldChar w:fldCharType="begin"/>
        </w:r>
        <w:r>
          <w:instrText xml:space="preserve">PAGEREF 995 \h</w:instrText>
        </w:r>
        <w:r>
          <w:fldChar w:fldCharType="end"/>
        </w:r>
      </w:hyperlink>
    </w:p>
    <w:p>
      <w:pPr>
        <w:tabs>
          <w:tab w:val="right" w:leader="dot" w:pos="9062"/>
        </w:tabs>
        <w:ind w:left="440"/>
      </w:pPr>
      <w:hyperlink w:anchor="_Toc996" w:history="1">
        <w:r>
          <w:rPr>
            <w:rFonts w:ascii="IRNazanin" w:hAnsi="IRNazanin" w:eastAsia="IRNazanin" w:cs="IRNazanin"/>
            <w:color w:val="111111"/>
            <w:sz w:val="22"/>
            <w:szCs w:val="22"/>
            <w:b w:val="0"/>
            <w:bCs w:val="0"/>
            <w:i w:val="0"/>
            <w:iCs w:val="0"/>
          </w:rPr>
          <w:t>الاسرائيلية الدامغة / كلام و اعتقادات / عربي</w:t>
        </w:r>
        <w:r>
          <w:tab/>
        </w:r>
        <w:r>
          <w:fldChar w:fldCharType="begin"/>
        </w:r>
        <w:r>
          <w:instrText xml:space="preserve">PAGEREF 996 \h</w:instrText>
        </w:r>
        <w:r>
          <w:fldChar w:fldCharType="end"/>
        </w:r>
      </w:hyperlink>
    </w:p>
    <w:p>
      <w:pPr>
        <w:tabs>
          <w:tab w:val="right" w:leader="dot" w:pos="9062"/>
        </w:tabs>
        <w:ind w:left="440"/>
      </w:pPr>
      <w:hyperlink w:anchor="_Toc997" w:history="1">
        <w:r>
          <w:rPr>
            <w:rFonts w:ascii="IRNazanin" w:hAnsi="IRNazanin" w:eastAsia="IRNazanin" w:cs="IRNazanin"/>
            <w:color w:val="111111"/>
            <w:sz w:val="22"/>
            <w:szCs w:val="22"/>
            <w:b w:val="0"/>
            <w:bCs w:val="0"/>
            <w:i w:val="0"/>
            <w:iCs w:val="0"/>
          </w:rPr>
          <w:t>الاسرب = كتاب الاسرب / كيميا / عربي</w:t>
        </w:r>
        <w:r>
          <w:tab/>
        </w:r>
        <w:r>
          <w:fldChar w:fldCharType="begin"/>
        </w:r>
        <w:r>
          <w:instrText xml:space="preserve">PAGEREF 997 \h</w:instrText>
        </w:r>
        <w:r>
          <w:fldChar w:fldCharType="end"/>
        </w:r>
      </w:hyperlink>
    </w:p>
    <w:p>
      <w:pPr>
        <w:tabs>
          <w:tab w:val="right" w:leader="dot" w:pos="9062"/>
        </w:tabs>
        <w:ind w:left="440"/>
      </w:pPr>
      <w:hyperlink w:anchor="_Toc998" w:history="1">
        <w:r>
          <w:rPr>
            <w:rFonts w:ascii="IRNazanin" w:hAnsi="IRNazanin" w:eastAsia="IRNazanin" w:cs="IRNazanin"/>
            <w:color w:val="111111"/>
            <w:sz w:val="22"/>
            <w:szCs w:val="22"/>
            <w:b w:val="0"/>
            <w:bCs w:val="0"/>
            <w:i w:val="0"/>
            <w:iCs w:val="0"/>
          </w:rPr>
          <w:t>الاسرب (ترجمه) / کیمیا / فارسی</w:t>
        </w:r>
        <w:r>
          <w:tab/>
        </w:r>
        <w:r>
          <w:fldChar w:fldCharType="begin"/>
        </w:r>
        <w:r>
          <w:instrText xml:space="preserve">PAGEREF 998 \h</w:instrText>
        </w:r>
        <w:r>
          <w:fldChar w:fldCharType="end"/>
        </w:r>
      </w:hyperlink>
    </w:p>
    <w:p>
      <w:pPr>
        <w:tabs>
          <w:tab w:val="right" w:leader="dot" w:pos="9062"/>
        </w:tabs>
        <w:ind w:left="440"/>
      </w:pPr>
      <w:hyperlink w:anchor="_Toc999" w:history="1">
        <w:r>
          <w:rPr>
            <w:rFonts w:ascii="IRNazanin" w:hAnsi="IRNazanin" w:eastAsia="IRNazanin" w:cs="IRNazanin"/>
            <w:color w:val="111111"/>
            <w:sz w:val="22"/>
            <w:szCs w:val="22"/>
            <w:b w:val="0"/>
            <w:bCs w:val="0"/>
            <w:i w:val="0"/>
            <w:iCs w:val="0"/>
          </w:rPr>
          <w:t>الاسرب / كيميا / عربي</w:t>
        </w:r>
        <w:r>
          <w:tab/>
        </w:r>
        <w:r>
          <w:fldChar w:fldCharType="begin"/>
        </w:r>
        <w:r>
          <w:instrText xml:space="preserve">PAGEREF 999 \h</w:instrText>
        </w:r>
        <w:r>
          <w:fldChar w:fldCharType="end"/>
        </w:r>
      </w:hyperlink>
    </w:p>
    <w:p>
      <w:pPr>
        <w:tabs>
          <w:tab w:val="right" w:leader="dot" w:pos="9062"/>
        </w:tabs>
        <w:ind w:left="440"/>
      </w:pPr>
      <w:hyperlink w:anchor="_Toc1000" w:history="1">
        <w:r>
          <w:rPr>
            <w:rFonts w:ascii="IRNazanin" w:hAnsi="IRNazanin" w:eastAsia="IRNazanin" w:cs="IRNazanin"/>
            <w:color w:val="111111"/>
            <w:sz w:val="22"/>
            <w:szCs w:val="22"/>
            <w:b w:val="0"/>
            <w:bCs w:val="0"/>
            <w:i w:val="0"/>
            <w:iCs w:val="0"/>
          </w:rPr>
          <w:t>اسرة الكف (رساله) / علوم غریبه / عربی</w:t>
        </w:r>
        <w:r>
          <w:tab/>
        </w:r>
        <w:r>
          <w:fldChar w:fldCharType="begin"/>
        </w:r>
        <w:r>
          <w:instrText xml:space="preserve">PAGEREF 1000 \h</w:instrText>
        </w:r>
        <w:r>
          <w:fldChar w:fldCharType="end"/>
        </w:r>
      </w:hyperlink>
    </w:p>
    <w:p>
      <w:pPr>
        <w:tabs>
          <w:tab w:val="right" w:leader="dot" w:pos="9062"/>
        </w:tabs>
        <w:ind w:left="440"/>
      </w:pPr>
      <w:hyperlink w:anchor="_Toc1001" w:history="1">
        <w:r>
          <w:rPr>
            <w:rFonts w:ascii="IRNazanin" w:hAnsi="IRNazanin" w:eastAsia="IRNazanin" w:cs="IRNazanin"/>
            <w:color w:val="111111"/>
            <w:sz w:val="22"/>
            <w:szCs w:val="22"/>
            <w:b w:val="0"/>
            <w:bCs w:val="0"/>
            <w:i w:val="0"/>
            <w:iCs w:val="0"/>
          </w:rPr>
          <w:t>اسس الاصول / اصول فقه / عربی</w:t>
        </w:r>
        <w:r>
          <w:tab/>
        </w:r>
        <w:r>
          <w:fldChar w:fldCharType="begin"/>
        </w:r>
        <w:r>
          <w:instrText xml:space="preserve">PAGEREF 1001 \h</w:instrText>
        </w:r>
        <w:r>
          <w:fldChar w:fldCharType="end"/>
        </w:r>
      </w:hyperlink>
    </w:p>
    <w:p>
      <w:pPr>
        <w:tabs>
          <w:tab w:val="right" w:leader="dot" w:pos="9062"/>
        </w:tabs>
        <w:ind w:left="440"/>
      </w:pPr>
      <w:hyperlink w:anchor="_Toc1002" w:history="1">
        <w:r>
          <w:rPr>
            <w:rFonts w:ascii="IRNazanin" w:hAnsi="IRNazanin" w:eastAsia="IRNazanin" w:cs="IRNazanin"/>
            <w:color w:val="111111"/>
            <w:sz w:val="22"/>
            <w:szCs w:val="22"/>
            <w:b w:val="0"/>
            <w:bCs w:val="0"/>
            <w:i w:val="0"/>
            <w:iCs w:val="0"/>
          </w:rPr>
          <w:t>اسطر غيبيه / عرفان و تصوف / فارسی</w:t>
        </w:r>
        <w:r>
          <w:tab/>
        </w:r>
        <w:r>
          <w:fldChar w:fldCharType="begin"/>
        </w:r>
        <w:r>
          <w:instrText xml:space="preserve">PAGEREF 1002 \h</w:instrText>
        </w:r>
        <w:r>
          <w:fldChar w:fldCharType="end"/>
        </w:r>
      </w:hyperlink>
    </w:p>
    <w:p>
      <w:pPr>
        <w:tabs>
          <w:tab w:val="right" w:leader="dot" w:pos="9062"/>
        </w:tabs>
        <w:ind w:left="440"/>
      </w:pPr>
      <w:hyperlink w:anchor="_Toc1003" w:history="1">
        <w:r>
          <w:rPr>
            <w:rFonts w:ascii="IRNazanin" w:hAnsi="IRNazanin" w:eastAsia="IRNazanin" w:cs="IRNazanin"/>
            <w:color w:val="111111"/>
            <w:sz w:val="22"/>
            <w:szCs w:val="22"/>
            <w:b w:val="0"/>
            <w:bCs w:val="0"/>
            <w:i w:val="0"/>
            <w:iCs w:val="0"/>
          </w:rPr>
          <w:t>الاسطرلاب / اسطرلاب / عربی</w:t>
        </w:r>
        <w:r>
          <w:tab/>
        </w:r>
        <w:r>
          <w:fldChar w:fldCharType="begin"/>
        </w:r>
        <w:r>
          <w:instrText xml:space="preserve">PAGEREF 1003 \h</w:instrText>
        </w:r>
        <w:r>
          <w:fldChar w:fldCharType="end"/>
        </w:r>
      </w:hyperlink>
    </w:p>
    <w:p>
      <w:pPr>
        <w:tabs>
          <w:tab w:val="right" w:leader="dot" w:pos="9062"/>
        </w:tabs>
        <w:ind w:left="440"/>
      </w:pPr>
      <w:hyperlink w:anchor="_Toc1004" w:history="1">
        <w:r>
          <w:rPr>
            <w:rFonts w:ascii="IRNazanin" w:hAnsi="IRNazanin" w:eastAsia="IRNazanin" w:cs="IRNazanin"/>
            <w:color w:val="111111"/>
            <w:sz w:val="22"/>
            <w:szCs w:val="22"/>
            <w:b w:val="0"/>
            <w:bCs w:val="0"/>
            <w:i w:val="0"/>
            <w:iCs w:val="0"/>
          </w:rPr>
          <w:t>الاسطرلاب = العمل بالاسطرلاب / اسطرلاب / عربی</w:t>
        </w:r>
        <w:r>
          <w:tab/>
        </w:r>
        <w:r>
          <w:fldChar w:fldCharType="begin"/>
        </w:r>
        <w:r>
          <w:instrText xml:space="preserve">PAGEREF 1004 \h</w:instrText>
        </w:r>
        <w:r>
          <w:fldChar w:fldCharType="end"/>
        </w:r>
      </w:hyperlink>
    </w:p>
    <w:p>
      <w:pPr>
        <w:tabs>
          <w:tab w:val="right" w:leader="dot" w:pos="9062"/>
        </w:tabs>
        <w:ind w:left="440"/>
      </w:pPr>
      <w:hyperlink w:anchor="_Toc1005" w:history="1">
        <w:r>
          <w:rPr>
            <w:rFonts w:ascii="IRNazanin" w:hAnsi="IRNazanin" w:eastAsia="IRNazanin" w:cs="IRNazanin"/>
            <w:color w:val="111111"/>
            <w:sz w:val="22"/>
            <w:szCs w:val="22"/>
            <w:b w:val="0"/>
            <w:bCs w:val="0"/>
            <w:i w:val="0"/>
            <w:iCs w:val="0"/>
          </w:rPr>
          <w:t>الاسطرلاب / اسطرلاب / فارسی</w:t>
        </w:r>
        <w:r>
          <w:tab/>
        </w:r>
        <w:r>
          <w:fldChar w:fldCharType="begin"/>
        </w:r>
        <w:r>
          <w:instrText xml:space="preserve">PAGEREF 1005 \h</w:instrText>
        </w:r>
        <w:r>
          <w:fldChar w:fldCharType="end"/>
        </w:r>
      </w:hyperlink>
    </w:p>
    <w:p>
      <w:pPr>
        <w:tabs>
          <w:tab w:val="right" w:leader="dot" w:pos="9062"/>
        </w:tabs>
        <w:ind w:left="440"/>
      </w:pPr>
      <w:hyperlink w:anchor="_Toc1006" w:history="1">
        <w:r>
          <w:rPr>
            <w:rFonts w:ascii="IRNazanin" w:hAnsi="IRNazanin" w:eastAsia="IRNazanin" w:cs="IRNazanin"/>
            <w:color w:val="111111"/>
            <w:sz w:val="22"/>
            <w:szCs w:val="22"/>
            <w:b w:val="0"/>
            <w:bCs w:val="0"/>
            <w:i w:val="0"/>
            <w:iCs w:val="0"/>
          </w:rPr>
          <w:t>الاسطرلاب / اسطرلاب / عربی</w:t>
        </w:r>
        <w:r>
          <w:tab/>
        </w:r>
        <w:r>
          <w:fldChar w:fldCharType="begin"/>
        </w:r>
        <w:r>
          <w:instrText xml:space="preserve">PAGEREF 1006 \h</w:instrText>
        </w:r>
        <w:r>
          <w:fldChar w:fldCharType="end"/>
        </w:r>
      </w:hyperlink>
    </w:p>
    <w:p>
      <w:pPr>
        <w:tabs>
          <w:tab w:val="right" w:leader="dot" w:pos="9062"/>
        </w:tabs>
        <w:ind w:left="440"/>
      </w:pPr>
      <w:hyperlink w:anchor="_Toc1007" w:history="1">
        <w:r>
          <w:rPr>
            <w:rFonts w:ascii="IRNazanin" w:hAnsi="IRNazanin" w:eastAsia="IRNazanin" w:cs="IRNazanin"/>
            <w:color w:val="111111"/>
            <w:sz w:val="22"/>
            <w:szCs w:val="22"/>
            <w:b w:val="0"/>
            <w:bCs w:val="0"/>
            <w:i w:val="0"/>
            <w:iCs w:val="0"/>
          </w:rPr>
          <w:t>الاسطرلاب = صنعة الاسطرلاب / اسطرلاب / عربی</w:t>
        </w:r>
        <w:r>
          <w:tab/>
        </w:r>
        <w:r>
          <w:fldChar w:fldCharType="begin"/>
        </w:r>
        <w:r>
          <w:instrText xml:space="preserve">PAGEREF 1007 \h</w:instrText>
        </w:r>
        <w:r>
          <w:fldChar w:fldCharType="end"/>
        </w:r>
      </w:hyperlink>
    </w:p>
    <w:p>
      <w:pPr>
        <w:tabs>
          <w:tab w:val="right" w:leader="dot" w:pos="9062"/>
        </w:tabs>
        <w:ind w:left="440"/>
      </w:pPr>
      <w:hyperlink w:anchor="_Toc1008" w:history="1">
        <w:r>
          <w:rPr>
            <w:rFonts w:ascii="IRNazanin" w:hAnsi="IRNazanin" w:eastAsia="IRNazanin" w:cs="IRNazanin"/>
            <w:color w:val="111111"/>
            <w:sz w:val="22"/>
            <w:szCs w:val="22"/>
            <w:b w:val="0"/>
            <w:bCs w:val="0"/>
            <w:i w:val="0"/>
            <w:iCs w:val="0"/>
          </w:rPr>
          <w:t>الاسطرلاب = معرفة الاسطرلاب = علم الاسطرلاب /  اسطرلاب / عربی</w:t>
        </w:r>
        <w:r>
          <w:tab/>
        </w:r>
        <w:r>
          <w:fldChar w:fldCharType="begin"/>
        </w:r>
        <w:r>
          <w:instrText xml:space="preserve">PAGEREF 1008 \h</w:instrText>
        </w:r>
        <w:r>
          <w:fldChar w:fldCharType="end"/>
        </w:r>
      </w:hyperlink>
    </w:p>
    <w:p>
      <w:pPr>
        <w:tabs>
          <w:tab w:val="right" w:leader="dot" w:pos="9062"/>
        </w:tabs>
        <w:ind w:left="440"/>
      </w:pPr>
      <w:hyperlink w:anchor="_Toc1009" w:history="1">
        <w:r>
          <w:rPr>
            <w:rFonts w:ascii="IRNazanin" w:hAnsi="IRNazanin" w:eastAsia="IRNazanin" w:cs="IRNazanin"/>
            <w:color w:val="111111"/>
            <w:sz w:val="22"/>
            <w:szCs w:val="22"/>
            <w:b w:val="0"/>
            <w:bCs w:val="0"/>
            <w:i w:val="0"/>
            <w:iCs w:val="0"/>
          </w:rPr>
          <w:t>الاسطرلاب = اربعة فصول / اسطرلاب / عربي</w:t>
        </w:r>
        <w:r>
          <w:tab/>
        </w:r>
        <w:r>
          <w:fldChar w:fldCharType="begin"/>
        </w:r>
        <w:r>
          <w:instrText xml:space="preserve">PAGEREF 1009 \h</w:instrText>
        </w:r>
        <w:r>
          <w:fldChar w:fldCharType="end"/>
        </w:r>
      </w:hyperlink>
    </w:p>
    <w:p>
      <w:pPr>
        <w:tabs>
          <w:tab w:val="right" w:leader="dot" w:pos="9062"/>
        </w:tabs>
        <w:ind w:left="440"/>
      </w:pPr>
      <w:hyperlink w:anchor="_Toc1010" w:history="1">
        <w:r>
          <w:rPr>
            <w:rFonts w:ascii="IRNazanin" w:hAnsi="IRNazanin" w:eastAsia="IRNazanin" w:cs="IRNazanin"/>
            <w:color w:val="111111"/>
            <w:sz w:val="22"/>
            <w:szCs w:val="22"/>
            <w:b w:val="0"/>
            <w:bCs w:val="0"/>
            <w:i w:val="0"/>
            <w:iCs w:val="0"/>
          </w:rPr>
          <w:t>الاسطرلاب = العمل بالاسطرلاب / اسطرلاب /عربی</w:t>
        </w:r>
        <w:r>
          <w:tab/>
        </w:r>
        <w:r>
          <w:fldChar w:fldCharType="begin"/>
        </w:r>
        <w:r>
          <w:instrText xml:space="preserve">PAGEREF 1010 \h</w:instrText>
        </w:r>
        <w:r>
          <w:fldChar w:fldCharType="end"/>
        </w:r>
      </w:hyperlink>
    </w:p>
    <w:p>
      <w:pPr>
        <w:tabs>
          <w:tab w:val="right" w:leader="dot" w:pos="9062"/>
        </w:tabs>
        <w:ind w:left="440"/>
      </w:pPr>
      <w:hyperlink w:anchor="_Toc1011" w:history="1">
        <w:r>
          <w:rPr>
            <w:rFonts w:ascii="IRNazanin" w:hAnsi="IRNazanin" w:eastAsia="IRNazanin" w:cs="IRNazanin"/>
            <w:color w:val="111111"/>
            <w:sz w:val="22"/>
            <w:szCs w:val="22"/>
            <w:b w:val="0"/>
            <w:bCs w:val="0"/>
            <w:i w:val="0"/>
            <w:iCs w:val="0"/>
          </w:rPr>
          <w:t>الاسطرلاب = العمل بالاسطرلاب / اسطرلاب / عربی</w:t>
        </w:r>
        <w:r>
          <w:tab/>
        </w:r>
        <w:r>
          <w:fldChar w:fldCharType="begin"/>
        </w:r>
        <w:r>
          <w:instrText xml:space="preserve">PAGEREF 1011 \h</w:instrText>
        </w:r>
        <w:r>
          <w:fldChar w:fldCharType="end"/>
        </w:r>
      </w:hyperlink>
    </w:p>
    <w:p>
      <w:pPr>
        <w:tabs>
          <w:tab w:val="right" w:leader="dot" w:pos="9062"/>
        </w:tabs>
        <w:ind w:left="440"/>
      </w:pPr>
      <w:hyperlink w:anchor="_Toc1012" w:history="1">
        <w:r>
          <w:rPr>
            <w:rFonts w:ascii="IRNazanin" w:hAnsi="IRNazanin" w:eastAsia="IRNazanin" w:cs="IRNazanin"/>
            <w:color w:val="111111"/>
            <w:sz w:val="22"/>
            <w:szCs w:val="22"/>
            <w:b w:val="0"/>
            <w:bCs w:val="0"/>
            <w:i w:val="0"/>
            <w:iCs w:val="0"/>
          </w:rPr>
          <w:t>الاسطرلاب / هیئت / عربی</w:t>
        </w:r>
        <w:r>
          <w:tab/>
        </w:r>
        <w:r>
          <w:fldChar w:fldCharType="begin"/>
        </w:r>
        <w:r>
          <w:instrText xml:space="preserve">PAGEREF 1012 \h</w:instrText>
        </w:r>
        <w:r>
          <w:fldChar w:fldCharType="end"/>
        </w:r>
      </w:hyperlink>
    </w:p>
    <w:p>
      <w:pPr>
        <w:tabs>
          <w:tab w:val="right" w:leader="dot" w:pos="9062"/>
        </w:tabs>
        <w:ind w:left="440"/>
      </w:pPr>
      <w:hyperlink w:anchor="_Toc1013" w:history="1">
        <w:r>
          <w:rPr>
            <w:rFonts w:ascii="IRNazanin" w:hAnsi="IRNazanin" w:eastAsia="IRNazanin" w:cs="IRNazanin"/>
            <w:color w:val="111111"/>
            <w:sz w:val="22"/>
            <w:szCs w:val="22"/>
            <w:b w:val="0"/>
            <w:bCs w:val="0"/>
            <w:i w:val="0"/>
            <w:iCs w:val="0"/>
          </w:rPr>
          <w:t>الاسطرلاب / اسطرلاب / عربی</w:t>
        </w:r>
        <w:r>
          <w:tab/>
        </w:r>
        <w:r>
          <w:fldChar w:fldCharType="begin"/>
        </w:r>
        <w:r>
          <w:instrText xml:space="preserve">PAGEREF 1013 \h</w:instrText>
        </w:r>
        <w:r>
          <w:fldChar w:fldCharType="end"/>
        </w:r>
      </w:hyperlink>
    </w:p>
    <w:p>
      <w:pPr>
        <w:tabs>
          <w:tab w:val="right" w:leader="dot" w:pos="9062"/>
        </w:tabs>
        <w:ind w:left="440"/>
      </w:pPr>
      <w:hyperlink w:anchor="_Toc1014" w:history="1">
        <w:r>
          <w:rPr>
            <w:rFonts w:ascii="IRNazanin" w:hAnsi="IRNazanin" w:eastAsia="IRNazanin" w:cs="IRNazanin"/>
            <w:color w:val="111111"/>
            <w:sz w:val="22"/>
            <w:szCs w:val="22"/>
            <w:b w:val="0"/>
            <w:bCs w:val="0"/>
            <w:i w:val="0"/>
            <w:iCs w:val="0"/>
          </w:rPr>
          <w:t>الاسطرلاب = بیست باب / اسطرلاب / فارسی</w:t>
        </w:r>
        <w:r>
          <w:tab/>
        </w:r>
        <w:r>
          <w:fldChar w:fldCharType="begin"/>
        </w:r>
        <w:r>
          <w:instrText xml:space="preserve">PAGEREF 1014 \h</w:instrText>
        </w:r>
        <w:r>
          <w:fldChar w:fldCharType="end"/>
        </w:r>
      </w:hyperlink>
    </w:p>
    <w:p>
      <w:pPr>
        <w:tabs>
          <w:tab w:val="right" w:leader="dot" w:pos="9062"/>
        </w:tabs>
        <w:ind w:left="440"/>
      </w:pPr>
      <w:hyperlink w:anchor="_Toc1015" w:history="1">
        <w:r>
          <w:rPr>
            <w:rFonts w:ascii="IRNazanin" w:hAnsi="IRNazanin" w:eastAsia="IRNazanin" w:cs="IRNazanin"/>
            <w:color w:val="111111"/>
            <w:sz w:val="22"/>
            <w:szCs w:val="22"/>
            <w:b w:val="0"/>
            <w:bCs w:val="0"/>
            <w:i w:val="0"/>
            <w:iCs w:val="0"/>
          </w:rPr>
          <w:t>الاسطرلاب / اسطرلاب / فارسی</w:t>
        </w:r>
        <w:r>
          <w:tab/>
        </w:r>
        <w:r>
          <w:fldChar w:fldCharType="begin"/>
        </w:r>
        <w:r>
          <w:instrText xml:space="preserve">PAGEREF 1015 \h</w:instrText>
        </w:r>
        <w:r>
          <w:fldChar w:fldCharType="end"/>
        </w:r>
      </w:hyperlink>
    </w:p>
    <w:p>
      <w:pPr>
        <w:tabs>
          <w:tab w:val="right" w:leader="dot" w:pos="9062"/>
        </w:tabs>
        <w:ind w:left="440"/>
      </w:pPr>
      <w:hyperlink w:anchor="_Toc1016" w:history="1">
        <w:r>
          <w:rPr>
            <w:rFonts w:ascii="IRNazanin" w:hAnsi="IRNazanin" w:eastAsia="IRNazanin" w:cs="IRNazanin"/>
            <w:color w:val="111111"/>
            <w:sz w:val="22"/>
            <w:szCs w:val="22"/>
            <w:b w:val="0"/>
            <w:bCs w:val="0"/>
            <w:i w:val="0"/>
            <w:iCs w:val="0"/>
          </w:rPr>
          <w:t>الاسطرلاب = منظومه در معرفت اسطرلاب / شعر ،  اسطرلاب / فارسی</w:t>
        </w:r>
        <w:r>
          <w:tab/>
        </w:r>
        <w:r>
          <w:fldChar w:fldCharType="begin"/>
        </w:r>
        <w:r>
          <w:instrText xml:space="preserve">PAGEREF 1016 \h</w:instrText>
        </w:r>
        <w:r>
          <w:fldChar w:fldCharType="end"/>
        </w:r>
      </w:hyperlink>
    </w:p>
    <w:p>
      <w:pPr>
        <w:tabs>
          <w:tab w:val="right" w:leader="dot" w:pos="9062"/>
        </w:tabs>
        <w:ind w:left="440"/>
      </w:pPr>
      <w:hyperlink w:anchor="_Toc1017" w:history="1">
        <w:r>
          <w:rPr>
            <w:rFonts w:ascii="IRNazanin" w:hAnsi="IRNazanin" w:eastAsia="IRNazanin" w:cs="IRNazanin"/>
            <w:color w:val="111111"/>
            <w:sz w:val="22"/>
            <w:szCs w:val="22"/>
            <w:b w:val="0"/>
            <w:bCs w:val="0"/>
            <w:i w:val="0"/>
            <w:iCs w:val="0"/>
          </w:rPr>
          <w:t>الاسطرلاب / اسطرلاب / فارسی</w:t>
        </w:r>
        <w:r>
          <w:tab/>
        </w:r>
        <w:r>
          <w:fldChar w:fldCharType="begin"/>
        </w:r>
        <w:r>
          <w:instrText xml:space="preserve">PAGEREF 1017 \h</w:instrText>
        </w:r>
        <w:r>
          <w:fldChar w:fldCharType="end"/>
        </w:r>
      </w:hyperlink>
    </w:p>
    <w:p>
      <w:pPr>
        <w:tabs>
          <w:tab w:val="right" w:leader="dot" w:pos="9062"/>
        </w:tabs>
        <w:ind w:left="440"/>
      </w:pPr>
      <w:hyperlink w:anchor="_Toc1018" w:history="1">
        <w:r>
          <w:rPr>
            <w:rFonts w:ascii="IRNazanin" w:hAnsi="IRNazanin" w:eastAsia="IRNazanin" w:cs="IRNazanin"/>
            <w:color w:val="111111"/>
            <w:sz w:val="22"/>
            <w:szCs w:val="22"/>
            <w:b w:val="0"/>
            <w:bCs w:val="0"/>
            <w:i w:val="0"/>
            <w:iCs w:val="0"/>
          </w:rPr>
          <w:t>الاسطرلاب / اسطرلاب / ترکی</w:t>
        </w:r>
        <w:r>
          <w:tab/>
        </w:r>
        <w:r>
          <w:fldChar w:fldCharType="begin"/>
        </w:r>
        <w:r>
          <w:instrText xml:space="preserve">PAGEREF 1018 \h</w:instrText>
        </w:r>
        <w:r>
          <w:fldChar w:fldCharType="end"/>
        </w:r>
      </w:hyperlink>
    </w:p>
    <w:p>
      <w:pPr>
        <w:tabs>
          <w:tab w:val="right" w:leader="dot" w:pos="9062"/>
        </w:tabs>
        <w:ind w:left="440"/>
      </w:pPr>
      <w:hyperlink w:anchor="_Toc1019" w:history="1">
        <w:r>
          <w:rPr>
            <w:rFonts w:ascii="IRNazanin" w:hAnsi="IRNazanin" w:eastAsia="IRNazanin" w:cs="IRNazanin"/>
            <w:color w:val="111111"/>
            <w:sz w:val="22"/>
            <w:szCs w:val="22"/>
            <w:b w:val="0"/>
            <w:bCs w:val="0"/>
            <w:i w:val="0"/>
            <w:iCs w:val="0"/>
          </w:rPr>
          <w:t>اسطرلاب / اسطرلاب / فارسی</w:t>
        </w:r>
        <w:r>
          <w:tab/>
        </w:r>
        <w:r>
          <w:fldChar w:fldCharType="begin"/>
        </w:r>
        <w:r>
          <w:instrText xml:space="preserve">PAGEREF 1019 \h</w:instrText>
        </w:r>
        <w:r>
          <w:fldChar w:fldCharType="end"/>
        </w:r>
      </w:hyperlink>
    </w:p>
    <w:p>
      <w:pPr>
        <w:tabs>
          <w:tab w:val="right" w:leader="dot" w:pos="9062"/>
        </w:tabs>
        <w:ind w:left="440"/>
      </w:pPr>
      <w:hyperlink w:anchor="_Toc1020" w:history="1">
        <w:r>
          <w:rPr>
            <w:rFonts w:ascii="IRNazanin" w:hAnsi="IRNazanin" w:eastAsia="IRNazanin" w:cs="IRNazanin"/>
            <w:color w:val="111111"/>
            <w:sz w:val="22"/>
            <w:szCs w:val="22"/>
            <w:b w:val="0"/>
            <w:bCs w:val="0"/>
            <w:i w:val="0"/>
            <w:iCs w:val="0"/>
          </w:rPr>
          <w:t>الاسطرلاب / اسطرلاب / عربی</w:t>
        </w:r>
        <w:r>
          <w:tab/>
        </w:r>
        <w:r>
          <w:fldChar w:fldCharType="begin"/>
        </w:r>
        <w:r>
          <w:instrText xml:space="preserve">PAGEREF 1020 \h</w:instrText>
        </w:r>
        <w:r>
          <w:fldChar w:fldCharType="end"/>
        </w:r>
      </w:hyperlink>
    </w:p>
    <w:p>
      <w:pPr>
        <w:tabs>
          <w:tab w:val="right" w:leader="dot" w:pos="9062"/>
        </w:tabs>
        <w:ind w:left="440"/>
      </w:pPr>
      <w:hyperlink w:anchor="_Toc1021" w:history="1">
        <w:r>
          <w:rPr>
            <w:rFonts w:ascii="IRNazanin" w:hAnsi="IRNazanin" w:eastAsia="IRNazanin" w:cs="IRNazanin"/>
            <w:color w:val="111111"/>
            <w:sz w:val="22"/>
            <w:szCs w:val="22"/>
            <w:b w:val="0"/>
            <w:bCs w:val="0"/>
            <w:i w:val="0"/>
            <w:iCs w:val="0"/>
          </w:rPr>
          <w:t>الاسطرلاب / اسطرلاب / فارسی</w:t>
        </w:r>
        <w:r>
          <w:tab/>
        </w:r>
        <w:r>
          <w:fldChar w:fldCharType="begin"/>
        </w:r>
        <w:r>
          <w:instrText xml:space="preserve">PAGEREF 1021 \h</w:instrText>
        </w:r>
        <w:r>
          <w:fldChar w:fldCharType="end"/>
        </w:r>
      </w:hyperlink>
    </w:p>
    <w:p>
      <w:pPr>
        <w:tabs>
          <w:tab w:val="right" w:leader="dot" w:pos="9062"/>
        </w:tabs>
        <w:ind w:left="440"/>
      </w:pPr>
      <w:hyperlink w:anchor="_Toc1022" w:history="1">
        <w:r>
          <w:rPr>
            <w:rFonts w:ascii="IRNazanin" w:hAnsi="IRNazanin" w:eastAsia="IRNazanin" w:cs="IRNazanin"/>
            <w:color w:val="111111"/>
            <w:sz w:val="22"/>
            <w:szCs w:val="22"/>
            <w:b w:val="0"/>
            <w:bCs w:val="0"/>
            <w:i w:val="0"/>
            <w:iCs w:val="0"/>
          </w:rPr>
          <w:t>الاسطرلاب / اسطرلاب / فارسی</w:t>
        </w:r>
        <w:r>
          <w:tab/>
        </w:r>
        <w:r>
          <w:fldChar w:fldCharType="begin"/>
        </w:r>
        <w:r>
          <w:instrText xml:space="preserve">PAGEREF 1022 \h</w:instrText>
        </w:r>
        <w:r>
          <w:fldChar w:fldCharType="end"/>
        </w:r>
      </w:hyperlink>
    </w:p>
    <w:p>
      <w:pPr>
        <w:tabs>
          <w:tab w:val="right" w:leader="dot" w:pos="9062"/>
        </w:tabs>
        <w:ind w:left="440"/>
      </w:pPr>
      <w:hyperlink w:anchor="_Toc1023" w:history="1">
        <w:r>
          <w:rPr>
            <w:rFonts w:ascii="IRNazanin" w:hAnsi="IRNazanin" w:eastAsia="IRNazanin" w:cs="IRNazanin"/>
            <w:color w:val="111111"/>
            <w:sz w:val="22"/>
            <w:szCs w:val="22"/>
            <w:b w:val="0"/>
            <w:bCs w:val="0"/>
            <w:i w:val="0"/>
            <w:iCs w:val="0"/>
          </w:rPr>
          <w:t>الاسطرلاب = صنعت اسطرلاب / اسطرلاب / فارسی</w:t>
        </w:r>
        <w:r>
          <w:tab/>
        </w:r>
        <w:r>
          <w:fldChar w:fldCharType="begin"/>
        </w:r>
        <w:r>
          <w:instrText xml:space="preserve">PAGEREF 1023 \h</w:instrText>
        </w:r>
        <w:r>
          <w:fldChar w:fldCharType="end"/>
        </w:r>
      </w:hyperlink>
    </w:p>
    <w:p>
      <w:pPr>
        <w:tabs>
          <w:tab w:val="right" w:leader="dot" w:pos="9062"/>
        </w:tabs>
        <w:ind w:left="440"/>
      </w:pPr>
      <w:hyperlink w:anchor="_Toc1024" w:history="1">
        <w:r>
          <w:rPr>
            <w:rFonts w:ascii="IRNazanin" w:hAnsi="IRNazanin" w:eastAsia="IRNazanin" w:cs="IRNazanin"/>
            <w:color w:val="111111"/>
            <w:sz w:val="22"/>
            <w:szCs w:val="22"/>
            <w:b w:val="0"/>
            <w:bCs w:val="0"/>
            <w:i w:val="0"/>
            <w:iCs w:val="0"/>
          </w:rPr>
          <w:t>الاسطرلاب / اسطرلاب / فارسی</w:t>
        </w:r>
        <w:r>
          <w:tab/>
        </w:r>
        <w:r>
          <w:fldChar w:fldCharType="begin"/>
        </w:r>
        <w:r>
          <w:instrText xml:space="preserve">PAGEREF 1024 \h</w:instrText>
        </w:r>
        <w:r>
          <w:fldChar w:fldCharType="end"/>
        </w:r>
      </w:hyperlink>
    </w:p>
    <w:p>
      <w:pPr>
        <w:tabs>
          <w:tab w:val="right" w:leader="dot" w:pos="9062"/>
        </w:tabs>
        <w:ind w:left="440"/>
      </w:pPr>
      <w:hyperlink w:anchor="_Toc1025" w:history="1">
        <w:r>
          <w:rPr>
            <w:rFonts w:ascii="IRNazanin" w:hAnsi="IRNazanin" w:eastAsia="IRNazanin" w:cs="IRNazanin"/>
            <w:color w:val="111111"/>
            <w:sz w:val="22"/>
            <w:szCs w:val="22"/>
            <w:b w:val="0"/>
            <w:bCs w:val="0"/>
            <w:i w:val="0"/>
            <w:iCs w:val="0"/>
          </w:rPr>
          <w:t>الاسطرلاب / اسطرلاب / فارسی</w:t>
        </w:r>
        <w:r>
          <w:tab/>
        </w:r>
        <w:r>
          <w:fldChar w:fldCharType="begin"/>
        </w:r>
        <w:r>
          <w:instrText xml:space="preserve">PAGEREF 1025 \h</w:instrText>
        </w:r>
        <w:r>
          <w:fldChar w:fldCharType="end"/>
        </w:r>
      </w:hyperlink>
    </w:p>
    <w:p>
      <w:pPr>
        <w:tabs>
          <w:tab w:val="right" w:leader="dot" w:pos="9062"/>
        </w:tabs>
        <w:ind w:left="440"/>
      </w:pPr>
      <w:hyperlink w:anchor="_Toc1026" w:history="1">
        <w:r>
          <w:rPr>
            <w:rFonts w:ascii="IRNazanin" w:hAnsi="IRNazanin" w:eastAsia="IRNazanin" w:cs="IRNazanin"/>
            <w:color w:val="111111"/>
            <w:sz w:val="22"/>
            <w:szCs w:val="22"/>
            <w:b w:val="0"/>
            <w:bCs w:val="0"/>
            <w:i w:val="0"/>
            <w:iCs w:val="0"/>
          </w:rPr>
          <w:t>الاسطرلاب / اسطرلاب / عربی</w:t>
        </w:r>
        <w:r>
          <w:tab/>
        </w:r>
        <w:r>
          <w:fldChar w:fldCharType="begin"/>
        </w:r>
        <w:r>
          <w:instrText xml:space="preserve">PAGEREF 1026 \h</w:instrText>
        </w:r>
        <w:r>
          <w:fldChar w:fldCharType="end"/>
        </w:r>
      </w:hyperlink>
    </w:p>
    <w:p>
      <w:pPr>
        <w:tabs>
          <w:tab w:val="right" w:leader="dot" w:pos="9062"/>
        </w:tabs>
        <w:ind w:left="440"/>
      </w:pPr>
      <w:hyperlink w:anchor="_Toc1027" w:history="1">
        <w:r>
          <w:rPr>
            <w:rFonts w:ascii="IRNazanin" w:hAnsi="IRNazanin" w:eastAsia="IRNazanin" w:cs="IRNazanin"/>
            <w:color w:val="111111"/>
            <w:sz w:val="22"/>
            <w:szCs w:val="22"/>
            <w:b w:val="0"/>
            <w:bCs w:val="0"/>
            <w:i w:val="0"/>
            <w:iCs w:val="0"/>
          </w:rPr>
          <w:t>الاسطرلاب = شصت باب / اسطرلاب / عربی</w:t>
        </w:r>
        <w:r>
          <w:tab/>
        </w:r>
        <w:r>
          <w:fldChar w:fldCharType="begin"/>
        </w:r>
        <w:r>
          <w:instrText xml:space="preserve">PAGEREF 1027 \h</w:instrText>
        </w:r>
        <w:r>
          <w:fldChar w:fldCharType="end"/>
        </w:r>
      </w:hyperlink>
    </w:p>
    <w:p>
      <w:pPr>
        <w:tabs>
          <w:tab w:val="right" w:leader="dot" w:pos="9062"/>
        </w:tabs>
        <w:ind w:left="440"/>
      </w:pPr>
      <w:hyperlink w:anchor="_Toc1028" w:history="1">
        <w:r>
          <w:rPr>
            <w:rFonts w:ascii="IRNazanin" w:hAnsi="IRNazanin" w:eastAsia="IRNazanin" w:cs="IRNazanin"/>
            <w:color w:val="111111"/>
            <w:sz w:val="22"/>
            <w:szCs w:val="22"/>
            <w:b w:val="0"/>
            <w:bCs w:val="0"/>
            <w:i w:val="0"/>
            <w:iCs w:val="0"/>
          </w:rPr>
          <w:t>الاسطرلاب / اسطرلاب / عربی</w:t>
        </w:r>
        <w:r>
          <w:tab/>
        </w:r>
        <w:r>
          <w:fldChar w:fldCharType="begin"/>
        </w:r>
        <w:r>
          <w:instrText xml:space="preserve">PAGEREF 1028 \h</w:instrText>
        </w:r>
        <w:r>
          <w:fldChar w:fldCharType="end"/>
        </w:r>
      </w:hyperlink>
    </w:p>
    <w:p>
      <w:pPr>
        <w:tabs>
          <w:tab w:val="right" w:leader="dot" w:pos="9062"/>
        </w:tabs>
        <w:ind w:left="440"/>
      </w:pPr>
      <w:hyperlink w:anchor="_Toc1029" w:history="1">
        <w:r>
          <w:rPr>
            <w:rFonts w:ascii="IRNazanin" w:hAnsi="IRNazanin" w:eastAsia="IRNazanin" w:cs="IRNazanin"/>
            <w:color w:val="111111"/>
            <w:sz w:val="22"/>
            <w:szCs w:val="22"/>
            <w:b w:val="0"/>
            <w:bCs w:val="0"/>
            <w:i w:val="0"/>
            <w:iCs w:val="0"/>
          </w:rPr>
          <w:t>الاسطرلاب / اسطرلاب / فارسی</w:t>
        </w:r>
        <w:r>
          <w:tab/>
        </w:r>
        <w:r>
          <w:fldChar w:fldCharType="begin"/>
        </w:r>
        <w:r>
          <w:instrText xml:space="preserve">PAGEREF 1029 \h</w:instrText>
        </w:r>
        <w:r>
          <w:fldChar w:fldCharType="end"/>
        </w:r>
      </w:hyperlink>
    </w:p>
    <w:p>
      <w:pPr>
        <w:tabs>
          <w:tab w:val="right" w:leader="dot" w:pos="9062"/>
        </w:tabs>
        <w:ind w:left="440"/>
      </w:pPr>
      <w:hyperlink w:anchor="_Toc1030" w:history="1">
        <w:r>
          <w:rPr>
            <w:rFonts w:ascii="IRNazanin" w:hAnsi="IRNazanin" w:eastAsia="IRNazanin" w:cs="IRNazanin"/>
            <w:color w:val="111111"/>
            <w:sz w:val="22"/>
            <w:szCs w:val="22"/>
            <w:b w:val="0"/>
            <w:bCs w:val="0"/>
            <w:i w:val="0"/>
            <w:iCs w:val="0"/>
          </w:rPr>
          <w:t>الاسطرلاب / اسطرلاب / فارسی</w:t>
        </w:r>
        <w:r>
          <w:tab/>
        </w:r>
        <w:r>
          <w:fldChar w:fldCharType="begin"/>
        </w:r>
        <w:r>
          <w:instrText xml:space="preserve">PAGEREF 1030 \h</w:instrText>
        </w:r>
        <w:r>
          <w:fldChar w:fldCharType="end"/>
        </w:r>
      </w:hyperlink>
    </w:p>
    <w:p>
      <w:pPr>
        <w:tabs>
          <w:tab w:val="right" w:leader="dot" w:pos="9062"/>
        </w:tabs>
        <w:ind w:left="440"/>
      </w:pPr>
      <w:hyperlink w:anchor="_Toc1031" w:history="1">
        <w:r>
          <w:rPr>
            <w:rFonts w:ascii="IRNazanin" w:hAnsi="IRNazanin" w:eastAsia="IRNazanin" w:cs="IRNazanin"/>
            <w:color w:val="111111"/>
            <w:sz w:val="22"/>
            <w:szCs w:val="22"/>
            <w:b w:val="0"/>
            <w:bCs w:val="0"/>
            <w:i w:val="0"/>
            <w:iCs w:val="0"/>
          </w:rPr>
          <w:t>الاسطرلاب / شعر اسطرلاب / فارسی</w:t>
        </w:r>
        <w:r>
          <w:tab/>
        </w:r>
        <w:r>
          <w:fldChar w:fldCharType="begin"/>
        </w:r>
        <w:r>
          <w:instrText xml:space="preserve">PAGEREF 1031 \h</w:instrText>
        </w:r>
        <w:r>
          <w:fldChar w:fldCharType="end"/>
        </w:r>
      </w:hyperlink>
    </w:p>
    <w:p>
      <w:pPr>
        <w:tabs>
          <w:tab w:val="right" w:leader="dot" w:pos="9062"/>
        </w:tabs>
        <w:ind w:left="440"/>
      </w:pPr>
      <w:hyperlink w:anchor="_Toc1032" w:history="1">
        <w:r>
          <w:rPr>
            <w:rFonts w:ascii="IRNazanin" w:hAnsi="IRNazanin" w:eastAsia="IRNazanin" w:cs="IRNazanin"/>
            <w:color w:val="111111"/>
            <w:sz w:val="22"/>
            <w:szCs w:val="22"/>
            <w:b w:val="0"/>
            <w:bCs w:val="0"/>
            <w:i w:val="0"/>
            <w:iCs w:val="0"/>
          </w:rPr>
          <w:t>الاسطرلاب = الصفيحة الاسطرلابية / اسطرلاب / عربي</w:t>
        </w:r>
        <w:r>
          <w:tab/>
        </w:r>
        <w:r>
          <w:fldChar w:fldCharType="begin"/>
        </w:r>
        <w:r>
          <w:instrText xml:space="preserve">PAGEREF 1032 \h</w:instrText>
        </w:r>
        <w:r>
          <w:fldChar w:fldCharType="end"/>
        </w:r>
      </w:hyperlink>
    </w:p>
    <w:p>
      <w:pPr>
        <w:tabs>
          <w:tab w:val="right" w:leader="dot" w:pos="9062"/>
        </w:tabs>
        <w:ind w:left="440"/>
      </w:pPr>
      <w:hyperlink w:anchor="_Toc1033" w:history="1">
        <w:r>
          <w:rPr>
            <w:rFonts w:ascii="IRNazanin" w:hAnsi="IRNazanin" w:eastAsia="IRNazanin" w:cs="IRNazanin"/>
            <w:color w:val="111111"/>
            <w:sz w:val="22"/>
            <w:szCs w:val="22"/>
            <w:b w:val="0"/>
            <w:bCs w:val="0"/>
            <w:i w:val="0"/>
            <w:iCs w:val="0"/>
          </w:rPr>
          <w:t>الاسطرلاب = الاسطرلاب الشمالی / اسطرلاب / عربی</w:t>
        </w:r>
        <w:r>
          <w:tab/>
        </w:r>
        <w:r>
          <w:fldChar w:fldCharType="begin"/>
        </w:r>
        <w:r>
          <w:instrText xml:space="preserve">PAGEREF 1033 \h</w:instrText>
        </w:r>
        <w:r>
          <w:fldChar w:fldCharType="end"/>
        </w:r>
      </w:hyperlink>
    </w:p>
    <w:p>
      <w:pPr>
        <w:tabs>
          <w:tab w:val="right" w:leader="dot" w:pos="9062"/>
        </w:tabs>
        <w:ind w:left="440"/>
      </w:pPr>
      <w:hyperlink w:anchor="_Toc1034" w:history="1">
        <w:r>
          <w:rPr>
            <w:rFonts w:ascii="IRNazanin" w:hAnsi="IRNazanin" w:eastAsia="IRNazanin" w:cs="IRNazanin"/>
            <w:color w:val="111111"/>
            <w:sz w:val="22"/>
            <w:szCs w:val="22"/>
            <w:b w:val="0"/>
            <w:bCs w:val="0"/>
            <w:i w:val="0"/>
            <w:iCs w:val="0"/>
          </w:rPr>
          <w:t>الاسطرلاب / اسطرلاب / عربی</w:t>
        </w:r>
        <w:r>
          <w:tab/>
        </w:r>
        <w:r>
          <w:fldChar w:fldCharType="begin"/>
        </w:r>
        <w:r>
          <w:instrText xml:space="preserve">PAGEREF 1034 \h</w:instrText>
        </w:r>
        <w:r>
          <w:fldChar w:fldCharType="end"/>
        </w:r>
      </w:hyperlink>
    </w:p>
    <w:p>
      <w:pPr>
        <w:tabs>
          <w:tab w:val="right" w:leader="dot" w:pos="9062"/>
        </w:tabs>
        <w:ind w:left="440"/>
      </w:pPr>
      <w:hyperlink w:anchor="_Toc1035" w:history="1">
        <w:r>
          <w:rPr>
            <w:rFonts w:ascii="IRNazanin" w:hAnsi="IRNazanin" w:eastAsia="IRNazanin" w:cs="IRNazanin"/>
            <w:color w:val="111111"/>
            <w:sz w:val="22"/>
            <w:szCs w:val="22"/>
            <w:b w:val="0"/>
            <w:bCs w:val="0"/>
            <w:i w:val="0"/>
            <w:iCs w:val="0"/>
          </w:rPr>
          <w:t>اسطرلاب = علم رسم خطوط اسطرلاب / اسطرلاب  / فارسی</w:t>
        </w:r>
        <w:r>
          <w:tab/>
        </w:r>
        <w:r>
          <w:fldChar w:fldCharType="begin"/>
        </w:r>
        <w:r>
          <w:instrText xml:space="preserve">PAGEREF 1035 \h</w:instrText>
        </w:r>
        <w:r>
          <w:fldChar w:fldCharType="end"/>
        </w:r>
      </w:hyperlink>
    </w:p>
    <w:p>
      <w:pPr>
        <w:tabs>
          <w:tab w:val="right" w:leader="dot" w:pos="9062"/>
        </w:tabs>
        <w:ind w:left="440"/>
      </w:pPr>
      <w:hyperlink w:anchor="_Toc1036" w:history="1">
        <w:r>
          <w:rPr>
            <w:rFonts w:ascii="IRNazanin" w:hAnsi="IRNazanin" w:eastAsia="IRNazanin" w:cs="IRNazanin"/>
            <w:color w:val="111111"/>
            <w:sz w:val="22"/>
            <w:szCs w:val="22"/>
            <w:b w:val="0"/>
            <w:bCs w:val="0"/>
            <w:i w:val="0"/>
            <w:iCs w:val="0"/>
          </w:rPr>
          <w:t>اسطرلاب / اسطرلاب / فارسی</w:t>
        </w:r>
        <w:r>
          <w:tab/>
        </w:r>
        <w:r>
          <w:fldChar w:fldCharType="begin"/>
        </w:r>
        <w:r>
          <w:instrText xml:space="preserve">PAGEREF 1036 \h</w:instrText>
        </w:r>
        <w:r>
          <w:fldChar w:fldCharType="end"/>
        </w:r>
      </w:hyperlink>
    </w:p>
    <w:p>
      <w:pPr>
        <w:tabs>
          <w:tab w:val="right" w:leader="dot" w:pos="9062"/>
        </w:tabs>
        <w:ind w:left="440"/>
      </w:pPr>
      <w:hyperlink w:anchor="_Toc1037" w:history="1">
        <w:r>
          <w:rPr>
            <w:rFonts w:ascii="IRNazanin" w:hAnsi="IRNazanin" w:eastAsia="IRNazanin" w:cs="IRNazanin"/>
            <w:color w:val="111111"/>
            <w:sz w:val="22"/>
            <w:szCs w:val="22"/>
            <w:b w:val="0"/>
            <w:bCs w:val="0"/>
            <w:i w:val="0"/>
            <w:iCs w:val="0"/>
          </w:rPr>
          <w:t>اسطرلاب / اسطرلاب / فارسی</w:t>
        </w:r>
        <w:r>
          <w:tab/>
        </w:r>
        <w:r>
          <w:fldChar w:fldCharType="begin"/>
        </w:r>
        <w:r>
          <w:instrText xml:space="preserve">PAGEREF 1037 \h</w:instrText>
        </w:r>
        <w:r>
          <w:fldChar w:fldCharType="end"/>
        </w:r>
      </w:hyperlink>
    </w:p>
    <w:p>
      <w:pPr>
        <w:tabs>
          <w:tab w:val="right" w:leader="dot" w:pos="9062"/>
        </w:tabs>
        <w:ind w:left="440"/>
      </w:pPr>
      <w:hyperlink w:anchor="_Toc1038" w:history="1">
        <w:r>
          <w:rPr>
            <w:rFonts w:ascii="IRNazanin" w:hAnsi="IRNazanin" w:eastAsia="IRNazanin" w:cs="IRNazanin"/>
            <w:color w:val="111111"/>
            <w:sz w:val="22"/>
            <w:szCs w:val="22"/>
            <w:b w:val="0"/>
            <w:bCs w:val="0"/>
            <w:i w:val="0"/>
            <w:iCs w:val="0"/>
          </w:rPr>
          <w:t>اسطرلاب / هیئت / فارسی</w:t>
        </w:r>
        <w:r>
          <w:tab/>
        </w:r>
        <w:r>
          <w:fldChar w:fldCharType="begin"/>
        </w:r>
        <w:r>
          <w:instrText xml:space="preserve">PAGEREF 1038 \h</w:instrText>
        </w:r>
        <w:r>
          <w:fldChar w:fldCharType="end"/>
        </w:r>
      </w:hyperlink>
    </w:p>
    <w:p>
      <w:pPr>
        <w:tabs>
          <w:tab w:val="right" w:leader="dot" w:pos="9062"/>
        </w:tabs>
        <w:ind w:left="440"/>
      </w:pPr>
      <w:hyperlink w:anchor="_Toc1039" w:history="1">
        <w:r>
          <w:rPr>
            <w:rFonts w:ascii="IRNazanin" w:hAnsi="IRNazanin" w:eastAsia="IRNazanin" w:cs="IRNazanin"/>
            <w:color w:val="111111"/>
            <w:sz w:val="22"/>
            <w:szCs w:val="22"/>
            <w:b w:val="0"/>
            <w:bCs w:val="0"/>
            <w:i w:val="0"/>
            <w:iCs w:val="0"/>
          </w:rPr>
          <w:t>اسطرلاب / اسطرلاب / فارسی</w:t>
        </w:r>
        <w:r>
          <w:tab/>
        </w:r>
        <w:r>
          <w:fldChar w:fldCharType="begin"/>
        </w:r>
        <w:r>
          <w:instrText xml:space="preserve">PAGEREF 1039 \h</w:instrText>
        </w:r>
        <w:r>
          <w:fldChar w:fldCharType="end"/>
        </w:r>
      </w:hyperlink>
    </w:p>
    <w:p>
      <w:pPr>
        <w:tabs>
          <w:tab w:val="right" w:leader="dot" w:pos="9062"/>
        </w:tabs>
        <w:ind w:left="440"/>
      </w:pPr>
      <w:hyperlink w:anchor="_Toc1040" w:history="1">
        <w:r>
          <w:rPr>
            <w:rFonts w:ascii="IRNazanin" w:hAnsi="IRNazanin" w:eastAsia="IRNazanin" w:cs="IRNazanin"/>
            <w:color w:val="111111"/>
            <w:sz w:val="22"/>
            <w:szCs w:val="22"/>
            <w:b w:val="0"/>
            <w:bCs w:val="0"/>
            <w:i w:val="0"/>
            <w:iCs w:val="0"/>
          </w:rPr>
          <w:t>اسطرلاب = سی و هشت باب اسطرلاب / اسطرلاب/ فارسی</w:t>
        </w:r>
        <w:r>
          <w:tab/>
        </w:r>
        <w:r>
          <w:fldChar w:fldCharType="begin"/>
        </w:r>
        <w:r>
          <w:instrText xml:space="preserve">PAGEREF 1040 \h</w:instrText>
        </w:r>
        <w:r>
          <w:fldChar w:fldCharType="end"/>
        </w:r>
      </w:hyperlink>
    </w:p>
    <w:p>
      <w:pPr>
        <w:tabs>
          <w:tab w:val="right" w:leader="dot" w:pos="9062"/>
        </w:tabs>
        <w:ind w:left="440"/>
      </w:pPr>
      <w:hyperlink w:anchor="_Toc1041" w:history="1">
        <w:r>
          <w:rPr>
            <w:rFonts w:ascii="IRNazanin" w:hAnsi="IRNazanin" w:eastAsia="IRNazanin" w:cs="IRNazanin"/>
            <w:color w:val="111111"/>
            <w:sz w:val="22"/>
            <w:szCs w:val="22"/>
            <w:b w:val="0"/>
            <w:bCs w:val="0"/>
            <w:i w:val="0"/>
            <w:iCs w:val="0"/>
          </w:rPr>
          <w:t>الاسطرلاب / اسطرلاب / عربی</w:t>
        </w:r>
        <w:r>
          <w:tab/>
        </w:r>
        <w:r>
          <w:fldChar w:fldCharType="begin"/>
        </w:r>
        <w:r>
          <w:instrText xml:space="preserve">PAGEREF 1041 \h</w:instrText>
        </w:r>
        <w:r>
          <w:fldChar w:fldCharType="end"/>
        </w:r>
      </w:hyperlink>
    </w:p>
    <w:p>
      <w:pPr>
        <w:tabs>
          <w:tab w:val="right" w:leader="dot" w:pos="9062"/>
        </w:tabs>
        <w:ind w:left="440"/>
      </w:pPr>
      <w:hyperlink w:anchor="_Toc1042" w:history="1">
        <w:r>
          <w:rPr>
            <w:rFonts w:ascii="IRNazanin" w:hAnsi="IRNazanin" w:eastAsia="IRNazanin" w:cs="IRNazanin"/>
            <w:color w:val="111111"/>
            <w:sz w:val="22"/>
            <w:szCs w:val="22"/>
            <w:b w:val="0"/>
            <w:bCs w:val="0"/>
            <w:i w:val="0"/>
            <w:iCs w:val="0"/>
          </w:rPr>
          <w:t>اسطرلاب / اسطرلاب / فارسی</w:t>
        </w:r>
        <w:r>
          <w:tab/>
        </w:r>
        <w:r>
          <w:fldChar w:fldCharType="begin"/>
        </w:r>
        <w:r>
          <w:instrText xml:space="preserve">PAGEREF 1042 \h</w:instrText>
        </w:r>
        <w:r>
          <w:fldChar w:fldCharType="end"/>
        </w:r>
      </w:hyperlink>
    </w:p>
    <w:p>
      <w:pPr>
        <w:tabs>
          <w:tab w:val="right" w:leader="dot" w:pos="9062"/>
        </w:tabs>
        <w:ind w:left="440"/>
      </w:pPr>
      <w:hyperlink w:anchor="_Toc1043" w:history="1">
        <w:r>
          <w:rPr>
            <w:rFonts w:ascii="IRNazanin" w:hAnsi="IRNazanin" w:eastAsia="IRNazanin" w:cs="IRNazanin"/>
            <w:color w:val="111111"/>
            <w:sz w:val="22"/>
            <w:szCs w:val="22"/>
            <w:b w:val="0"/>
            <w:bCs w:val="0"/>
            <w:i w:val="0"/>
            <w:iCs w:val="0"/>
          </w:rPr>
          <w:t>اسطرلاب آفاقی / اسطرلاب / فارسی</w:t>
        </w:r>
        <w:r>
          <w:tab/>
        </w:r>
        <w:r>
          <w:fldChar w:fldCharType="begin"/>
        </w:r>
        <w:r>
          <w:instrText xml:space="preserve">PAGEREF 1043 \h</w:instrText>
        </w:r>
        <w:r>
          <w:fldChar w:fldCharType="end"/>
        </w:r>
      </w:hyperlink>
    </w:p>
    <w:p>
      <w:pPr>
        <w:tabs>
          <w:tab w:val="right" w:leader="dot" w:pos="9062"/>
        </w:tabs>
        <w:ind w:left="440"/>
      </w:pPr>
      <w:hyperlink w:anchor="_Toc1044" w:history="1">
        <w:r>
          <w:rPr>
            <w:rFonts w:ascii="IRNazanin" w:hAnsi="IRNazanin" w:eastAsia="IRNazanin" w:cs="IRNazanin"/>
            <w:color w:val="111111"/>
            <w:sz w:val="22"/>
            <w:szCs w:val="22"/>
            <w:b w:val="0"/>
            <w:bCs w:val="0"/>
            <w:i w:val="0"/>
            <w:iCs w:val="0"/>
          </w:rPr>
          <w:t>الاسطرلاب الاكرى / اسطرلاب / عربی</w:t>
        </w:r>
        <w:r>
          <w:tab/>
        </w:r>
        <w:r>
          <w:fldChar w:fldCharType="begin"/>
        </w:r>
        <w:r>
          <w:instrText xml:space="preserve">PAGEREF 1044 \h</w:instrText>
        </w:r>
        <w:r>
          <w:fldChar w:fldCharType="end"/>
        </w:r>
      </w:hyperlink>
    </w:p>
    <w:p>
      <w:pPr>
        <w:tabs>
          <w:tab w:val="right" w:leader="dot" w:pos="9062"/>
        </w:tabs>
        <w:ind w:left="440"/>
      </w:pPr>
      <w:hyperlink w:anchor="_Toc1045" w:history="1">
        <w:r>
          <w:rPr>
            <w:rFonts w:ascii="IRNazanin" w:hAnsi="IRNazanin" w:eastAsia="IRNazanin" w:cs="IRNazanin"/>
            <w:color w:val="111111"/>
            <w:sz w:val="22"/>
            <w:szCs w:val="22"/>
            <w:b w:val="0"/>
            <w:bCs w:val="0"/>
            <w:i w:val="0"/>
            <w:iCs w:val="0"/>
          </w:rPr>
          <w:t>اسطرلاب زورقی / اسطرلاب / فارسی</w:t>
        </w:r>
        <w:r>
          <w:tab/>
        </w:r>
        <w:r>
          <w:fldChar w:fldCharType="begin"/>
        </w:r>
        <w:r>
          <w:instrText xml:space="preserve">PAGEREF 1045 \h</w:instrText>
        </w:r>
        <w:r>
          <w:fldChar w:fldCharType="end"/>
        </w:r>
      </w:hyperlink>
    </w:p>
    <w:p>
      <w:pPr>
        <w:tabs>
          <w:tab w:val="right" w:leader="dot" w:pos="9062"/>
        </w:tabs>
        <w:ind w:left="440"/>
      </w:pPr>
      <w:hyperlink w:anchor="_Toc1046" w:history="1">
        <w:r>
          <w:rPr>
            <w:rFonts w:ascii="IRNazanin" w:hAnsi="IRNazanin" w:eastAsia="IRNazanin" w:cs="IRNazanin"/>
            <w:color w:val="111111"/>
            <w:sz w:val="22"/>
            <w:szCs w:val="22"/>
            <w:b w:val="0"/>
            <w:bCs w:val="0"/>
            <w:i w:val="0"/>
            <w:iCs w:val="0"/>
          </w:rPr>
          <w:t>اسطرلاب زورقی / اسطرلاب / فارسی</w:t>
        </w:r>
        <w:r>
          <w:tab/>
        </w:r>
        <w:r>
          <w:fldChar w:fldCharType="begin"/>
        </w:r>
        <w:r>
          <w:instrText xml:space="preserve">PAGEREF 1046 \h</w:instrText>
        </w:r>
        <w:r>
          <w:fldChar w:fldCharType="end"/>
        </w:r>
      </w:hyperlink>
    </w:p>
    <w:p>
      <w:pPr>
        <w:tabs>
          <w:tab w:val="right" w:leader="dot" w:pos="9062"/>
        </w:tabs>
        <w:ind w:left="440"/>
      </w:pPr>
      <w:hyperlink w:anchor="_Toc1047" w:history="1">
        <w:r>
          <w:rPr>
            <w:rFonts w:ascii="IRNazanin" w:hAnsi="IRNazanin" w:eastAsia="IRNazanin" w:cs="IRNazanin"/>
            <w:color w:val="111111"/>
            <w:sz w:val="22"/>
            <w:szCs w:val="22"/>
            <w:b w:val="0"/>
            <w:bCs w:val="0"/>
            <w:i w:val="0"/>
            <w:iCs w:val="0"/>
          </w:rPr>
          <w:t>اسطرلاب زورقی / اسطرلاب / فارسی</w:t>
        </w:r>
        <w:r>
          <w:tab/>
        </w:r>
        <w:r>
          <w:fldChar w:fldCharType="begin"/>
        </w:r>
        <w:r>
          <w:instrText xml:space="preserve">PAGEREF 1047 \h</w:instrText>
        </w:r>
        <w:r>
          <w:fldChar w:fldCharType="end"/>
        </w:r>
      </w:hyperlink>
    </w:p>
    <w:p>
      <w:pPr>
        <w:tabs>
          <w:tab w:val="right" w:leader="dot" w:pos="9062"/>
        </w:tabs>
        <w:ind w:left="440"/>
      </w:pPr>
      <w:hyperlink w:anchor="_Toc1048" w:history="1">
        <w:r>
          <w:rPr>
            <w:rFonts w:ascii="IRNazanin" w:hAnsi="IRNazanin" w:eastAsia="IRNazanin" w:cs="IRNazanin"/>
            <w:color w:val="111111"/>
            <w:sz w:val="22"/>
            <w:szCs w:val="22"/>
            <w:b w:val="0"/>
            <w:bCs w:val="0"/>
            <w:i w:val="0"/>
            <w:iCs w:val="0"/>
          </w:rPr>
          <w:t>اسطرلاب شمالی / اسطرلاب</w:t>
        </w:r>
        <w:r>
          <w:tab/>
        </w:r>
        <w:r>
          <w:fldChar w:fldCharType="begin"/>
        </w:r>
        <w:r>
          <w:instrText xml:space="preserve">PAGEREF 1048 \h</w:instrText>
        </w:r>
        <w:r>
          <w:fldChar w:fldCharType="end"/>
        </w:r>
      </w:hyperlink>
    </w:p>
    <w:p>
      <w:pPr>
        <w:tabs>
          <w:tab w:val="right" w:leader="dot" w:pos="9062"/>
        </w:tabs>
        <w:ind w:left="440"/>
      </w:pPr>
      <w:hyperlink w:anchor="_Toc1049" w:history="1">
        <w:r>
          <w:rPr>
            <w:rFonts w:ascii="IRNazanin" w:hAnsi="IRNazanin" w:eastAsia="IRNazanin" w:cs="IRNazanin"/>
            <w:color w:val="111111"/>
            <w:sz w:val="22"/>
            <w:szCs w:val="22"/>
            <w:b w:val="0"/>
            <w:bCs w:val="0"/>
            <w:i w:val="0"/>
            <w:iCs w:val="0"/>
          </w:rPr>
          <w:t>اسطرلاب شمالی و جنوبی = بیست باب دراسطرلاب / اسطرلاب / فارسی</w:t>
        </w:r>
        <w:r>
          <w:tab/>
        </w:r>
        <w:r>
          <w:fldChar w:fldCharType="begin"/>
        </w:r>
        <w:r>
          <w:instrText xml:space="preserve">PAGEREF 1049 \h</w:instrText>
        </w:r>
        <w:r>
          <w:fldChar w:fldCharType="end"/>
        </w:r>
      </w:hyperlink>
    </w:p>
    <w:p>
      <w:pPr>
        <w:tabs>
          <w:tab w:val="right" w:leader="dot" w:pos="9062"/>
        </w:tabs>
        <w:ind w:left="440"/>
      </w:pPr>
      <w:hyperlink w:anchor="_Toc1050" w:history="1">
        <w:r>
          <w:rPr>
            <w:rFonts w:ascii="IRNazanin" w:hAnsi="IRNazanin" w:eastAsia="IRNazanin" w:cs="IRNazanin"/>
            <w:color w:val="111111"/>
            <w:sz w:val="22"/>
            <w:szCs w:val="22"/>
            <w:b w:val="0"/>
            <w:bCs w:val="0"/>
            <w:i w:val="0"/>
            <w:iCs w:val="0"/>
          </w:rPr>
          <w:t>اسطرلاب شمالی و جنوبی / اسطرلاب / فارسی</w:t>
        </w:r>
        <w:r>
          <w:tab/>
        </w:r>
        <w:r>
          <w:fldChar w:fldCharType="begin"/>
        </w:r>
        <w:r>
          <w:instrText xml:space="preserve">PAGEREF 1050 \h</w:instrText>
        </w:r>
        <w:r>
          <w:fldChar w:fldCharType="end"/>
        </w:r>
      </w:hyperlink>
    </w:p>
    <w:p>
      <w:pPr>
        <w:tabs>
          <w:tab w:val="right" w:leader="dot" w:pos="9062"/>
        </w:tabs>
        <w:ind w:left="440"/>
      </w:pPr>
      <w:hyperlink w:anchor="_Toc1051" w:history="1">
        <w:r>
          <w:rPr>
            <w:rFonts w:ascii="IRNazanin" w:hAnsi="IRNazanin" w:eastAsia="IRNazanin" w:cs="IRNazanin"/>
            <w:color w:val="111111"/>
            <w:sz w:val="22"/>
            <w:szCs w:val="22"/>
            <w:b w:val="0"/>
            <w:bCs w:val="0"/>
            <w:i w:val="0"/>
            <w:iCs w:val="0"/>
          </w:rPr>
          <w:t>الاسطرلاب الصناعی / اسطرلاب / عربی</w:t>
        </w:r>
        <w:r>
          <w:tab/>
        </w:r>
        <w:r>
          <w:fldChar w:fldCharType="begin"/>
        </w:r>
        <w:r>
          <w:instrText xml:space="preserve">PAGEREF 1051 \h</w:instrText>
        </w:r>
        <w:r>
          <w:fldChar w:fldCharType="end"/>
        </w:r>
      </w:hyperlink>
    </w:p>
    <w:p>
      <w:pPr>
        <w:tabs>
          <w:tab w:val="right" w:leader="dot" w:pos="9062"/>
        </w:tabs>
        <w:ind w:left="440"/>
      </w:pPr>
      <w:hyperlink w:anchor="_Toc1052" w:history="1">
        <w:r>
          <w:rPr>
            <w:rFonts w:ascii="IRNazanin" w:hAnsi="IRNazanin" w:eastAsia="IRNazanin" w:cs="IRNazanin"/>
            <w:color w:val="111111"/>
            <w:sz w:val="22"/>
            <w:szCs w:val="22"/>
            <w:b w:val="0"/>
            <w:bCs w:val="0"/>
            <w:i w:val="0"/>
            <w:iCs w:val="0"/>
          </w:rPr>
          <w:t>اسطرلاب کروی = ارتفاع آفتاب و ستارگان  = بیست باب / اسطرلاب / فارسی</w:t>
        </w:r>
        <w:r>
          <w:tab/>
        </w:r>
        <w:r>
          <w:fldChar w:fldCharType="begin"/>
        </w:r>
        <w:r>
          <w:instrText xml:space="preserve">PAGEREF 1052 \h</w:instrText>
        </w:r>
        <w:r>
          <w:fldChar w:fldCharType="end"/>
        </w:r>
      </w:hyperlink>
    </w:p>
    <w:p>
      <w:pPr>
        <w:tabs>
          <w:tab w:val="right" w:leader="dot" w:pos="9062"/>
        </w:tabs>
        <w:ind w:left="440"/>
      </w:pPr>
      <w:hyperlink w:anchor="_Toc1053" w:history="1">
        <w:r>
          <w:rPr>
            <w:rFonts w:ascii="IRNazanin" w:hAnsi="IRNazanin" w:eastAsia="IRNazanin" w:cs="IRNazanin"/>
            <w:color w:val="111111"/>
            <w:sz w:val="22"/>
            <w:szCs w:val="22"/>
            <w:b w:val="0"/>
            <w:bCs w:val="0"/>
            <w:i w:val="0"/>
            <w:iCs w:val="0"/>
          </w:rPr>
          <w:t>اسطرلاب کری / اسطرلاب / فارسی</w:t>
        </w:r>
        <w:r>
          <w:tab/>
        </w:r>
        <w:r>
          <w:fldChar w:fldCharType="begin"/>
        </w:r>
        <w:r>
          <w:instrText xml:space="preserve">PAGEREF 1053 \h</w:instrText>
        </w:r>
        <w:r>
          <w:fldChar w:fldCharType="end"/>
        </w:r>
      </w:hyperlink>
    </w:p>
    <w:p>
      <w:pPr>
        <w:tabs>
          <w:tab w:val="right" w:leader="dot" w:pos="9062"/>
        </w:tabs>
        <w:ind w:left="440"/>
      </w:pPr>
      <w:hyperlink w:anchor="_Toc1054" w:history="1">
        <w:r>
          <w:rPr>
            <w:rFonts w:ascii="IRNazanin" w:hAnsi="IRNazanin" w:eastAsia="IRNazanin" w:cs="IRNazanin"/>
            <w:color w:val="111111"/>
            <w:sz w:val="22"/>
            <w:szCs w:val="22"/>
            <w:b w:val="0"/>
            <w:bCs w:val="0"/>
            <w:i w:val="0"/>
            <w:iCs w:val="0"/>
          </w:rPr>
          <w:t>اسطرلاب کشفی / اسطرلاب / فارسی</w:t>
        </w:r>
        <w:r>
          <w:tab/>
        </w:r>
        <w:r>
          <w:fldChar w:fldCharType="begin"/>
        </w:r>
        <w:r>
          <w:instrText xml:space="preserve">PAGEREF 1054 \h</w:instrText>
        </w:r>
        <w:r>
          <w:fldChar w:fldCharType="end"/>
        </w:r>
      </w:hyperlink>
    </w:p>
    <w:p>
      <w:pPr>
        <w:tabs>
          <w:tab w:val="right" w:leader="dot" w:pos="9062"/>
        </w:tabs>
        <w:ind w:left="440"/>
      </w:pPr>
      <w:hyperlink w:anchor="_Toc1055" w:history="1">
        <w:r>
          <w:rPr>
            <w:rFonts w:ascii="IRNazanin" w:hAnsi="IRNazanin" w:eastAsia="IRNazanin" w:cs="IRNazanin"/>
            <w:color w:val="111111"/>
            <w:sz w:val="22"/>
            <w:szCs w:val="22"/>
            <w:b w:val="0"/>
            <w:bCs w:val="0"/>
            <w:i w:val="0"/>
            <w:iCs w:val="0"/>
          </w:rPr>
          <w:t>اسطرلاب کهن / اسطرلاب</w:t>
        </w:r>
        <w:r>
          <w:tab/>
        </w:r>
        <w:r>
          <w:fldChar w:fldCharType="begin"/>
        </w:r>
        <w:r>
          <w:instrText xml:space="preserve">PAGEREF 1055 \h</w:instrText>
        </w:r>
        <w:r>
          <w:fldChar w:fldCharType="end"/>
        </w:r>
      </w:hyperlink>
    </w:p>
    <w:p>
      <w:pPr>
        <w:tabs>
          <w:tab w:val="right" w:leader="dot" w:pos="9062"/>
        </w:tabs>
        <w:ind w:left="440"/>
      </w:pPr>
      <w:hyperlink w:anchor="_Toc1056" w:history="1">
        <w:r>
          <w:rPr>
            <w:rFonts w:ascii="IRNazanin" w:hAnsi="IRNazanin" w:eastAsia="IRNazanin" w:cs="IRNazanin"/>
            <w:color w:val="111111"/>
            <w:sz w:val="22"/>
            <w:szCs w:val="22"/>
            <w:b w:val="0"/>
            <w:bCs w:val="0"/>
            <w:i w:val="0"/>
            <w:iCs w:val="0"/>
          </w:rPr>
          <w:t>اسطرلاب مسرطن / اسطرلاب / فارسی</w:t>
        </w:r>
        <w:r>
          <w:tab/>
        </w:r>
        <w:r>
          <w:fldChar w:fldCharType="begin"/>
        </w:r>
        <w:r>
          <w:instrText xml:space="preserve">PAGEREF 1056 \h</w:instrText>
        </w:r>
        <w:r>
          <w:fldChar w:fldCharType="end"/>
        </w:r>
      </w:hyperlink>
    </w:p>
    <w:p>
      <w:pPr>
        <w:tabs>
          <w:tab w:val="right" w:leader="dot" w:pos="9062"/>
        </w:tabs>
        <w:ind w:left="440"/>
      </w:pPr>
      <w:hyperlink w:anchor="_Toc1057" w:history="1">
        <w:r>
          <w:rPr>
            <w:rFonts w:ascii="IRNazanin" w:hAnsi="IRNazanin" w:eastAsia="IRNazanin" w:cs="IRNazanin"/>
            <w:color w:val="111111"/>
            <w:sz w:val="22"/>
            <w:szCs w:val="22"/>
            <w:b w:val="0"/>
            <w:bCs w:val="0"/>
            <w:i w:val="0"/>
            <w:iCs w:val="0"/>
          </w:rPr>
          <w:t>الاسطرلاب المسرطن / اسطرلاب / عربی</w:t>
        </w:r>
        <w:r>
          <w:tab/>
        </w:r>
        <w:r>
          <w:fldChar w:fldCharType="begin"/>
        </w:r>
        <w:r>
          <w:instrText xml:space="preserve">PAGEREF 1057 \h</w:instrText>
        </w:r>
        <w:r>
          <w:fldChar w:fldCharType="end"/>
        </w:r>
      </w:hyperlink>
    </w:p>
    <w:p>
      <w:pPr>
        <w:tabs>
          <w:tab w:val="right" w:leader="dot" w:pos="9062"/>
        </w:tabs>
        <w:ind w:left="440"/>
      </w:pPr>
      <w:hyperlink w:anchor="_Toc1058" w:history="1">
        <w:r>
          <w:rPr>
            <w:rFonts w:ascii="IRNazanin" w:hAnsi="IRNazanin" w:eastAsia="IRNazanin" w:cs="IRNazanin"/>
            <w:color w:val="111111"/>
            <w:sz w:val="22"/>
            <w:szCs w:val="22"/>
            <w:b w:val="0"/>
            <w:bCs w:val="0"/>
            <w:i w:val="0"/>
            <w:iCs w:val="0"/>
          </w:rPr>
          <w:t>اسطرلاب مسطح = آغاز و انجام = صفیحه  اسطرلاب مسطح= جام جهان نما / اسطرلاب / فارسی</w:t>
        </w:r>
        <w:r>
          <w:tab/>
        </w:r>
        <w:r>
          <w:fldChar w:fldCharType="begin"/>
        </w:r>
        <w:r>
          <w:instrText xml:space="preserve">PAGEREF 1058 \h</w:instrText>
        </w:r>
        <w:r>
          <w:fldChar w:fldCharType="end"/>
        </w:r>
      </w:hyperlink>
    </w:p>
    <w:p>
      <w:pPr>
        <w:tabs>
          <w:tab w:val="right" w:leader="dot" w:pos="9062"/>
        </w:tabs>
        <w:ind w:left="440"/>
      </w:pPr>
      <w:hyperlink w:anchor="_Toc1059" w:history="1">
        <w:r>
          <w:rPr>
            <w:rFonts w:ascii="IRNazanin" w:hAnsi="IRNazanin" w:eastAsia="IRNazanin" w:cs="IRNazanin"/>
            <w:color w:val="111111"/>
            <w:sz w:val="22"/>
            <w:szCs w:val="22"/>
            <w:b w:val="0"/>
            <w:bCs w:val="0"/>
            <w:i w:val="0"/>
            <w:iCs w:val="0"/>
          </w:rPr>
          <w:t>اسطرلاب مسطح / هیئت / فارسی</w:t>
        </w:r>
        <w:r>
          <w:tab/>
        </w:r>
        <w:r>
          <w:fldChar w:fldCharType="begin"/>
        </w:r>
        <w:r>
          <w:instrText xml:space="preserve">PAGEREF 1059 \h</w:instrText>
        </w:r>
        <w:r>
          <w:fldChar w:fldCharType="end"/>
        </w:r>
      </w:hyperlink>
    </w:p>
    <w:p>
      <w:pPr>
        <w:tabs>
          <w:tab w:val="right" w:leader="dot" w:pos="9062"/>
        </w:tabs>
        <w:ind w:left="440"/>
      </w:pPr>
      <w:hyperlink w:anchor="_Toc1060" w:history="1">
        <w:r>
          <w:rPr>
            <w:rFonts w:ascii="IRNazanin" w:hAnsi="IRNazanin" w:eastAsia="IRNazanin" w:cs="IRNazanin"/>
            <w:color w:val="111111"/>
            <w:sz w:val="22"/>
            <w:szCs w:val="22"/>
            <w:b w:val="0"/>
            <w:bCs w:val="0"/>
            <w:i w:val="0"/>
            <w:iCs w:val="0"/>
          </w:rPr>
          <w:t>الاسطرلاب المغنی / اسطرلاب / عربی</w:t>
        </w:r>
        <w:r>
          <w:tab/>
        </w:r>
        <w:r>
          <w:fldChar w:fldCharType="begin"/>
        </w:r>
        <w:r>
          <w:instrText xml:space="preserve">PAGEREF 1060 \h</w:instrText>
        </w:r>
        <w:r>
          <w:fldChar w:fldCharType="end"/>
        </w:r>
      </w:hyperlink>
    </w:p>
    <w:p>
      <w:pPr>
        <w:tabs>
          <w:tab w:val="right" w:leader="dot" w:pos="9062"/>
        </w:tabs>
        <w:ind w:left="440"/>
      </w:pPr>
      <w:hyperlink w:anchor="_Toc1061" w:history="1">
        <w:r>
          <w:rPr>
            <w:rFonts w:ascii="IRNazanin" w:hAnsi="IRNazanin" w:eastAsia="IRNazanin" w:cs="IRNazanin"/>
            <w:color w:val="111111"/>
            <w:sz w:val="22"/>
            <w:szCs w:val="22"/>
            <w:b w:val="0"/>
            <w:bCs w:val="0"/>
            <w:i w:val="0"/>
            <w:iCs w:val="0"/>
          </w:rPr>
          <w:t>الاسطرلاب (منظوم) / اسطرلاب / عربی</w:t>
        </w:r>
        <w:r>
          <w:tab/>
        </w:r>
        <w:r>
          <w:fldChar w:fldCharType="begin"/>
        </w:r>
        <w:r>
          <w:instrText xml:space="preserve">PAGEREF 1061 \h</w:instrText>
        </w:r>
        <w:r>
          <w:fldChar w:fldCharType="end"/>
        </w:r>
      </w:hyperlink>
    </w:p>
    <w:p>
      <w:pPr>
        <w:tabs>
          <w:tab w:val="right" w:leader="dot" w:pos="9062"/>
        </w:tabs>
        <w:ind w:left="440"/>
      </w:pPr>
      <w:hyperlink w:anchor="_Toc1062" w:history="1">
        <w:r>
          <w:rPr>
            <w:rFonts w:ascii="IRNazanin" w:hAnsi="IRNazanin" w:eastAsia="IRNazanin" w:cs="IRNazanin"/>
            <w:color w:val="111111"/>
            <w:sz w:val="22"/>
            <w:szCs w:val="22"/>
            <w:b w:val="0"/>
            <w:bCs w:val="0"/>
            <w:i w:val="0"/>
            <w:iCs w:val="0"/>
          </w:rPr>
          <w:t>اسطرلاب (منظوم) / شعر ، اسطرلاب / فارسی</w:t>
        </w:r>
        <w:r>
          <w:tab/>
        </w:r>
        <w:r>
          <w:fldChar w:fldCharType="begin"/>
        </w:r>
        <w:r>
          <w:instrText xml:space="preserve">PAGEREF 1062 \h</w:instrText>
        </w:r>
        <w:r>
          <w:fldChar w:fldCharType="end"/>
        </w:r>
      </w:hyperlink>
    </w:p>
    <w:p>
      <w:pPr>
        <w:tabs>
          <w:tab w:val="right" w:leader="dot" w:pos="9062"/>
        </w:tabs>
        <w:ind w:left="440"/>
      </w:pPr>
      <w:hyperlink w:anchor="_Toc1063" w:history="1">
        <w:r>
          <w:rPr>
            <w:rFonts w:ascii="IRNazanin" w:hAnsi="IRNazanin" w:eastAsia="IRNazanin" w:cs="IRNazanin"/>
            <w:color w:val="111111"/>
            <w:sz w:val="22"/>
            <w:szCs w:val="22"/>
            <w:b w:val="0"/>
            <w:bCs w:val="0"/>
            <w:i w:val="0"/>
            <w:iCs w:val="0"/>
          </w:rPr>
          <w:t>اسطرلاب (منظوم) / شعر، اسطرلاب / فارسی</w:t>
        </w:r>
        <w:r>
          <w:tab/>
        </w:r>
        <w:r>
          <w:fldChar w:fldCharType="begin"/>
        </w:r>
        <w:r>
          <w:instrText xml:space="preserve">PAGEREF 1063 \h</w:instrText>
        </w:r>
        <w:r>
          <w:fldChar w:fldCharType="end"/>
        </w:r>
      </w:hyperlink>
    </w:p>
    <w:p>
      <w:pPr>
        <w:tabs>
          <w:tab w:val="right" w:leader="dot" w:pos="9062"/>
        </w:tabs>
        <w:ind w:left="440"/>
      </w:pPr>
      <w:hyperlink w:anchor="_Toc1064" w:history="1">
        <w:r>
          <w:rPr>
            <w:rFonts w:ascii="IRNazanin" w:hAnsi="IRNazanin" w:eastAsia="IRNazanin" w:cs="IRNazanin"/>
            <w:color w:val="111111"/>
            <w:sz w:val="22"/>
            <w:szCs w:val="22"/>
            <w:b w:val="0"/>
            <w:bCs w:val="0"/>
            <w:i w:val="0"/>
            <w:iCs w:val="0"/>
          </w:rPr>
          <w:t>اسطرلاب (منظوم) / شعر، اسطرلاب / فارسی</w:t>
        </w:r>
        <w:r>
          <w:tab/>
        </w:r>
        <w:r>
          <w:fldChar w:fldCharType="begin"/>
        </w:r>
        <w:r>
          <w:instrText xml:space="preserve">PAGEREF 1064 \h</w:instrText>
        </w:r>
        <w:r>
          <w:fldChar w:fldCharType="end"/>
        </w:r>
      </w:hyperlink>
    </w:p>
    <w:p>
      <w:pPr>
        <w:tabs>
          <w:tab w:val="right" w:leader="dot" w:pos="9062"/>
        </w:tabs>
        <w:ind w:left="440"/>
      </w:pPr>
      <w:hyperlink w:anchor="_Toc1065" w:history="1">
        <w:r>
          <w:rPr>
            <w:rFonts w:ascii="IRNazanin" w:hAnsi="IRNazanin" w:eastAsia="IRNazanin" w:cs="IRNazanin"/>
            <w:color w:val="111111"/>
            <w:sz w:val="22"/>
            <w:szCs w:val="22"/>
            <w:b w:val="0"/>
            <w:bCs w:val="0"/>
            <w:i w:val="0"/>
            <w:iCs w:val="0"/>
          </w:rPr>
          <w:t>اسطرلاب و معرفت ربع / اسطرلاب</w:t>
        </w:r>
        <w:r>
          <w:tab/>
        </w:r>
        <w:r>
          <w:fldChar w:fldCharType="begin"/>
        </w:r>
        <w:r>
          <w:instrText xml:space="preserve">PAGEREF 1065 \h</w:instrText>
        </w:r>
        <w:r>
          <w:fldChar w:fldCharType="end"/>
        </w:r>
      </w:hyperlink>
    </w:p>
    <w:p>
      <w:pPr>
        <w:tabs>
          <w:tab w:val="right" w:leader="dot" w:pos="9062"/>
        </w:tabs>
        <w:ind w:left="440"/>
      </w:pPr>
      <w:hyperlink w:anchor="_Toc1066" w:history="1">
        <w:r>
          <w:rPr>
            <w:rFonts w:ascii="IRNazanin" w:hAnsi="IRNazanin" w:eastAsia="IRNazanin" w:cs="IRNazanin"/>
            <w:color w:val="111111"/>
            <w:sz w:val="22"/>
            <w:szCs w:val="22"/>
            <w:b w:val="0"/>
            <w:bCs w:val="0"/>
            <w:i w:val="0"/>
            <w:iCs w:val="0"/>
          </w:rPr>
          <w:t>اسطره (رساله) (در</w:t>
        </w:r>
        <w:r>
          <w:tab/>
        </w:r>
        <w:r>
          <w:fldChar w:fldCharType="begin"/>
        </w:r>
        <w:r>
          <w:instrText xml:space="preserve">PAGEREF 1066 \h</w:instrText>
        </w:r>
        <w:r>
          <w:fldChar w:fldCharType="end"/>
        </w:r>
      </w:hyperlink>
    </w:p>
    <w:p>
      <w:pPr>
        <w:tabs>
          <w:tab w:val="right" w:leader="dot" w:pos="9062"/>
        </w:tabs>
        <w:ind w:left="440"/>
      </w:pPr>
      <w:hyperlink w:anchor="_Toc1067" w:history="1">
        <w:r>
          <w:rPr>
            <w:rFonts w:ascii="IRNazanin" w:hAnsi="IRNazanin" w:eastAsia="IRNazanin" w:cs="IRNazanin"/>
            <w:color w:val="111111"/>
            <w:sz w:val="22"/>
            <w:szCs w:val="22"/>
            <w:b w:val="0"/>
            <w:bCs w:val="0"/>
            <w:i w:val="0"/>
            <w:iCs w:val="0"/>
          </w:rPr>
          <w:t>الاسطقسات = مختصر وجيز في الاسطقسات / طب / عربی</w:t>
        </w:r>
        <w:r>
          <w:tab/>
        </w:r>
        <w:r>
          <w:fldChar w:fldCharType="begin"/>
        </w:r>
        <w:r>
          <w:instrText xml:space="preserve">PAGEREF 1067 \h</w:instrText>
        </w:r>
        <w:r>
          <w:fldChar w:fldCharType="end"/>
        </w:r>
      </w:hyperlink>
    </w:p>
    <w:p>
      <w:pPr>
        <w:tabs>
          <w:tab w:val="right" w:leader="dot" w:pos="9062"/>
        </w:tabs>
        <w:ind w:left="440"/>
      </w:pPr>
      <w:hyperlink w:anchor="_Toc1068" w:history="1">
        <w:r>
          <w:rPr>
            <w:rFonts w:ascii="IRNazanin" w:hAnsi="IRNazanin" w:eastAsia="IRNazanin" w:cs="IRNazanin"/>
            <w:color w:val="111111"/>
            <w:sz w:val="22"/>
            <w:szCs w:val="22"/>
            <w:b w:val="0"/>
            <w:bCs w:val="0"/>
            <w:i w:val="0"/>
            <w:iCs w:val="0"/>
          </w:rPr>
          <w:t>الاسطقسات / كيميا / عربی</w:t>
        </w:r>
        <w:r>
          <w:tab/>
        </w:r>
        <w:r>
          <w:fldChar w:fldCharType="begin"/>
        </w:r>
        <w:r>
          <w:instrText xml:space="preserve">PAGEREF 1068 \h</w:instrText>
        </w:r>
        <w:r>
          <w:fldChar w:fldCharType="end"/>
        </w:r>
      </w:hyperlink>
    </w:p>
    <w:p>
      <w:pPr>
        <w:tabs>
          <w:tab w:val="right" w:leader="dot" w:pos="9062"/>
        </w:tabs>
        <w:ind w:left="440"/>
      </w:pPr>
      <w:hyperlink w:anchor="_Toc1069" w:history="1">
        <w:r>
          <w:rPr>
            <w:rFonts w:ascii="IRNazanin" w:hAnsi="IRNazanin" w:eastAsia="IRNazanin" w:cs="IRNazanin"/>
            <w:color w:val="111111"/>
            <w:sz w:val="22"/>
            <w:szCs w:val="22"/>
            <w:b w:val="0"/>
            <w:bCs w:val="0"/>
            <w:i w:val="0"/>
            <w:iCs w:val="0"/>
          </w:rPr>
          <w:t>الاسطقسات / طبیعیات / عربی</w:t>
        </w:r>
        <w:r>
          <w:tab/>
        </w:r>
        <w:r>
          <w:fldChar w:fldCharType="begin"/>
        </w:r>
        <w:r>
          <w:instrText xml:space="preserve">PAGEREF 1069 \h</w:instrText>
        </w:r>
        <w:r>
          <w:fldChar w:fldCharType="end"/>
        </w:r>
      </w:hyperlink>
    </w:p>
    <w:p>
      <w:pPr>
        <w:tabs>
          <w:tab w:val="right" w:leader="dot" w:pos="9062"/>
        </w:tabs>
        <w:ind w:left="440"/>
      </w:pPr>
      <w:hyperlink w:anchor="_Toc1070" w:history="1">
        <w:r>
          <w:rPr>
            <w:rFonts w:ascii="IRNazanin" w:hAnsi="IRNazanin" w:eastAsia="IRNazanin" w:cs="IRNazanin"/>
            <w:color w:val="111111"/>
            <w:sz w:val="22"/>
            <w:szCs w:val="22"/>
            <w:b w:val="0"/>
            <w:bCs w:val="0"/>
            <w:i w:val="0"/>
            <w:iCs w:val="0"/>
          </w:rPr>
          <w:t>الاسطقسات على رأى بقراط = شرح القول في  الاسطقسات على رأی بقراط / طب / عربی</w:t>
        </w:r>
        <w:r>
          <w:tab/>
        </w:r>
        <w:r>
          <w:fldChar w:fldCharType="begin"/>
        </w:r>
        <w:r>
          <w:instrText xml:space="preserve">PAGEREF 1070 \h</w:instrText>
        </w:r>
        <w:r>
          <w:fldChar w:fldCharType="end"/>
        </w:r>
      </w:hyperlink>
    </w:p>
    <w:p>
      <w:pPr>
        <w:tabs>
          <w:tab w:val="right" w:leader="dot" w:pos="9062"/>
        </w:tabs>
        <w:ind w:left="440"/>
      </w:pPr>
      <w:hyperlink w:anchor="_Toc1071" w:history="1">
        <w:r>
          <w:rPr>
            <w:rFonts w:ascii="IRNazanin" w:hAnsi="IRNazanin" w:eastAsia="IRNazanin" w:cs="IRNazanin"/>
            <w:color w:val="111111"/>
            <w:sz w:val="22"/>
            <w:szCs w:val="22"/>
            <w:b w:val="0"/>
            <w:bCs w:val="0"/>
            <w:i w:val="0"/>
            <w:iCs w:val="0"/>
          </w:rPr>
          <w:t>الاسطقسات على رأى بقراط (جوامع) = جوامع  کتاب الاسطقسات على رأی بقراط / طب / عربی</w:t>
        </w:r>
        <w:r>
          <w:tab/>
        </w:r>
        <w:r>
          <w:fldChar w:fldCharType="begin"/>
        </w:r>
        <w:r>
          <w:instrText xml:space="preserve">PAGEREF 1071 \h</w:instrText>
        </w:r>
        <w:r>
          <w:fldChar w:fldCharType="end"/>
        </w:r>
      </w:hyperlink>
    </w:p>
    <w:p>
      <w:pPr>
        <w:tabs>
          <w:tab w:val="right" w:leader="dot" w:pos="9062"/>
        </w:tabs>
        <w:ind w:left="440"/>
      </w:pPr>
      <w:hyperlink w:anchor="_Toc1072" w:history="1">
        <w:r>
          <w:rPr>
            <w:rFonts w:ascii="IRNazanin" w:hAnsi="IRNazanin" w:eastAsia="IRNazanin" w:cs="IRNazanin"/>
            <w:color w:val="111111"/>
            <w:sz w:val="22"/>
            <w:szCs w:val="22"/>
            <w:b w:val="0"/>
            <w:bCs w:val="0"/>
            <w:i w:val="0"/>
            <w:iCs w:val="0"/>
          </w:rPr>
          <w:t>اسطقس الاس الاول = اسطقس الاس على رأى  الفلاسفة / كيميا / عربي</w:t>
        </w:r>
        <w:r>
          <w:tab/>
        </w:r>
        <w:r>
          <w:fldChar w:fldCharType="begin"/>
        </w:r>
        <w:r>
          <w:instrText xml:space="preserve">PAGEREF 1072 \h</w:instrText>
        </w:r>
        <w:r>
          <w:fldChar w:fldCharType="end"/>
        </w:r>
      </w:hyperlink>
    </w:p>
    <w:p>
      <w:pPr>
        <w:tabs>
          <w:tab w:val="right" w:leader="dot" w:pos="9062"/>
        </w:tabs>
        <w:ind w:left="440"/>
      </w:pPr>
      <w:hyperlink w:anchor="_Toc1073" w:history="1">
        <w:r>
          <w:rPr>
            <w:rFonts w:ascii="IRNazanin" w:hAnsi="IRNazanin" w:eastAsia="IRNazanin" w:cs="IRNazanin"/>
            <w:color w:val="111111"/>
            <w:sz w:val="22"/>
            <w:szCs w:val="22"/>
            <w:b w:val="0"/>
            <w:bCs w:val="0"/>
            <w:i w:val="0"/>
            <w:iCs w:val="0"/>
          </w:rPr>
          <w:t>اسطقس الاس الثانى - اسطقس الاس على رأى  الديانة / كيميا / عربي</w:t>
        </w:r>
        <w:r>
          <w:tab/>
        </w:r>
        <w:r>
          <w:fldChar w:fldCharType="begin"/>
        </w:r>
        <w:r>
          <w:instrText xml:space="preserve">PAGEREF 1073 \h</w:instrText>
        </w:r>
        <w:r>
          <w:fldChar w:fldCharType="end"/>
        </w:r>
      </w:hyperlink>
    </w:p>
    <w:p>
      <w:pPr>
        <w:tabs>
          <w:tab w:val="right" w:leader="dot" w:pos="9062"/>
        </w:tabs>
        <w:ind w:left="440"/>
      </w:pPr>
      <w:hyperlink w:anchor="_Toc1074" w:history="1">
        <w:r>
          <w:rPr>
            <w:rFonts w:ascii="IRNazanin" w:hAnsi="IRNazanin" w:eastAsia="IRNazanin" w:cs="IRNazanin"/>
            <w:color w:val="111111"/>
            <w:sz w:val="22"/>
            <w:szCs w:val="22"/>
            <w:b w:val="0"/>
            <w:bCs w:val="0"/>
            <w:i w:val="0"/>
            <w:iCs w:val="0"/>
          </w:rPr>
          <w:t>اسطقس الاس الثالث = اسطقس الاس على رأى  اهل الصناعة / كيميا / عربي</w:t>
        </w:r>
        <w:r>
          <w:tab/>
        </w:r>
        <w:r>
          <w:fldChar w:fldCharType="begin"/>
        </w:r>
        <w:r>
          <w:instrText xml:space="preserve">PAGEREF 1074 \h</w:instrText>
        </w:r>
        <w:r>
          <w:fldChar w:fldCharType="end"/>
        </w:r>
      </w:hyperlink>
    </w:p>
    <w:p>
      <w:pPr>
        <w:tabs>
          <w:tab w:val="right" w:leader="dot" w:pos="9062"/>
        </w:tabs>
        <w:ind w:left="440"/>
      </w:pPr>
      <w:hyperlink w:anchor="_Toc1075" w:history="1">
        <w:r>
          <w:rPr>
            <w:rFonts w:ascii="IRNazanin" w:hAnsi="IRNazanin" w:eastAsia="IRNazanin" w:cs="IRNazanin"/>
            <w:color w:val="111111"/>
            <w:sz w:val="22"/>
            <w:szCs w:val="22"/>
            <w:b w:val="0"/>
            <w:bCs w:val="0"/>
            <w:i w:val="0"/>
            <w:iCs w:val="0"/>
          </w:rPr>
          <w:t>الاسطنبولية فى الواجبات العينية = ما لا يسع  المكلف جهله / فقه / عربی</w:t>
        </w:r>
        <w:r>
          <w:tab/>
        </w:r>
        <w:r>
          <w:fldChar w:fldCharType="begin"/>
        </w:r>
        <w:r>
          <w:instrText xml:space="preserve">PAGEREF 1075 \h</w:instrText>
        </w:r>
        <w:r>
          <w:fldChar w:fldCharType="end"/>
        </w:r>
      </w:hyperlink>
    </w:p>
    <w:p>
      <w:pPr>
        <w:tabs>
          <w:tab w:val="right" w:leader="dot" w:pos="9062"/>
        </w:tabs>
        <w:ind w:left="440"/>
      </w:pPr>
      <w:hyperlink w:anchor="_Toc1076" w:history="1">
        <w:r>
          <w:rPr>
            <w:rFonts w:ascii="IRNazanin" w:hAnsi="IRNazanin" w:eastAsia="IRNazanin" w:cs="IRNazanin"/>
            <w:color w:val="111111"/>
            <w:sz w:val="22"/>
            <w:szCs w:val="22"/>
            <w:b w:val="0"/>
            <w:bCs w:val="0"/>
            <w:i w:val="0"/>
            <w:iCs w:val="0"/>
          </w:rPr>
          <w:t>الاسعار / هیئت / عربی</w:t>
        </w:r>
        <w:r>
          <w:tab/>
        </w:r>
        <w:r>
          <w:fldChar w:fldCharType="begin"/>
        </w:r>
        <w:r>
          <w:instrText xml:space="preserve">PAGEREF 1076 \h</w:instrText>
        </w:r>
        <w:r>
          <w:fldChar w:fldCharType="end"/>
        </w:r>
      </w:hyperlink>
    </w:p>
    <w:p>
      <w:pPr>
        <w:tabs>
          <w:tab w:val="right" w:leader="dot" w:pos="9062"/>
        </w:tabs>
        <w:ind w:left="440"/>
      </w:pPr>
      <w:hyperlink w:anchor="_Toc1077" w:history="1">
        <w:r>
          <w:rPr>
            <w:rFonts w:ascii="IRNazanin" w:hAnsi="IRNazanin" w:eastAsia="IRNazanin" w:cs="IRNazanin"/>
            <w:color w:val="111111"/>
            <w:sz w:val="22"/>
            <w:szCs w:val="22"/>
            <w:b w:val="0"/>
            <w:bCs w:val="0"/>
            <w:i w:val="0"/>
            <w:iCs w:val="0"/>
          </w:rPr>
          <w:t>اسعار / هیئت / فارسی</w:t>
        </w:r>
        <w:r>
          <w:tab/>
        </w:r>
        <w:r>
          <w:fldChar w:fldCharType="begin"/>
        </w:r>
        <w:r>
          <w:instrText xml:space="preserve">PAGEREF 1077 \h</w:instrText>
        </w:r>
        <w:r>
          <w:fldChar w:fldCharType="end"/>
        </w:r>
      </w:hyperlink>
    </w:p>
    <w:p>
      <w:pPr>
        <w:tabs>
          <w:tab w:val="right" w:leader="dot" w:pos="9062"/>
        </w:tabs>
        <w:ind w:left="440"/>
      </w:pPr>
      <w:hyperlink w:anchor="_Toc1078" w:history="1">
        <w:r>
          <w:rPr>
            <w:rFonts w:ascii="IRNazanin" w:hAnsi="IRNazanin" w:eastAsia="IRNazanin" w:cs="IRNazanin"/>
            <w:color w:val="111111"/>
            <w:sz w:val="22"/>
            <w:szCs w:val="22"/>
            <w:b w:val="0"/>
            <w:bCs w:val="0"/>
            <w:i w:val="0"/>
            <w:iCs w:val="0"/>
          </w:rPr>
          <w:t>الاسعاف بالجواب عن مسئلة الاشراف / فضایل و مناقب /  عربی</w:t>
        </w:r>
        <w:r>
          <w:tab/>
        </w:r>
        <w:r>
          <w:fldChar w:fldCharType="begin"/>
        </w:r>
        <w:r>
          <w:instrText xml:space="preserve">PAGEREF 1078 \h</w:instrText>
        </w:r>
        <w:r>
          <w:fldChar w:fldCharType="end"/>
        </w:r>
      </w:hyperlink>
    </w:p>
    <w:p>
      <w:pPr>
        <w:tabs>
          <w:tab w:val="right" w:leader="dot" w:pos="9062"/>
        </w:tabs>
        <w:ind w:left="440"/>
      </w:pPr>
      <w:hyperlink w:anchor="_Toc1079" w:history="1">
        <w:r>
          <w:rPr>
            <w:rFonts w:ascii="IRNazanin" w:hAnsi="IRNazanin" w:eastAsia="IRNazanin" w:cs="IRNazanin"/>
            <w:color w:val="111111"/>
            <w:sz w:val="22"/>
            <w:szCs w:val="22"/>
            <w:b w:val="0"/>
            <w:bCs w:val="0"/>
            <w:i w:val="0"/>
            <w:iCs w:val="0"/>
          </w:rPr>
          <w:t>اسعاف الراغبين فى سيرة المصطفى و فضائل أهل  بيته الطاهرين / تاریخ معصومین / عربی</w:t>
        </w:r>
        <w:r>
          <w:tab/>
        </w:r>
        <w:r>
          <w:fldChar w:fldCharType="begin"/>
        </w:r>
        <w:r>
          <w:instrText xml:space="preserve">PAGEREF 1079 \h</w:instrText>
        </w:r>
        <w:r>
          <w:fldChar w:fldCharType="end"/>
        </w:r>
      </w:hyperlink>
    </w:p>
    <w:p>
      <w:pPr>
        <w:tabs>
          <w:tab w:val="right" w:leader="dot" w:pos="9062"/>
        </w:tabs>
        <w:ind w:left="440"/>
      </w:pPr>
      <w:hyperlink w:anchor="_Toc1080" w:history="1">
        <w:r>
          <w:rPr>
            <w:rFonts w:ascii="IRNazanin" w:hAnsi="IRNazanin" w:eastAsia="IRNazanin" w:cs="IRNazanin"/>
            <w:color w:val="111111"/>
            <w:sz w:val="22"/>
            <w:szCs w:val="22"/>
            <w:b w:val="0"/>
            <w:bCs w:val="0"/>
            <w:i w:val="0"/>
            <w:iCs w:val="0"/>
          </w:rPr>
          <w:t>الاسعاف الشواهد / ادبیات / عربي</w:t>
        </w:r>
        <w:r>
          <w:tab/>
        </w:r>
        <w:r>
          <w:fldChar w:fldCharType="begin"/>
        </w:r>
        <w:r>
          <w:instrText xml:space="preserve">PAGEREF 1080 \h</w:instrText>
        </w:r>
        <w:r>
          <w:fldChar w:fldCharType="end"/>
        </w:r>
      </w:hyperlink>
    </w:p>
    <w:p>
      <w:pPr>
        <w:tabs>
          <w:tab w:val="right" w:leader="dot" w:pos="9062"/>
        </w:tabs>
        <w:ind w:left="440"/>
      </w:pPr>
      <w:hyperlink w:anchor="_Toc1081" w:history="1">
        <w:r>
          <w:rPr>
            <w:rFonts w:ascii="IRNazanin" w:hAnsi="IRNazanin" w:eastAsia="IRNazanin" w:cs="IRNazanin"/>
            <w:color w:val="111111"/>
            <w:sz w:val="22"/>
            <w:szCs w:val="22"/>
            <w:b w:val="0"/>
            <w:bCs w:val="0"/>
            <w:i w:val="0"/>
            <w:iCs w:val="0"/>
          </w:rPr>
          <w:t>الاسعاف فى شرح ابیات القاضی و الکشاف / ادبیات/ عربی</w:t>
        </w:r>
        <w:r>
          <w:tab/>
        </w:r>
        <w:r>
          <w:fldChar w:fldCharType="begin"/>
        </w:r>
        <w:r>
          <w:instrText xml:space="preserve">PAGEREF 1081 \h</w:instrText>
        </w:r>
        <w:r>
          <w:fldChar w:fldCharType="end"/>
        </w:r>
      </w:hyperlink>
    </w:p>
    <w:p>
      <w:pPr>
        <w:tabs>
          <w:tab w:val="right" w:leader="dot" w:pos="9062"/>
        </w:tabs>
        <w:ind w:left="440"/>
      </w:pPr>
      <w:hyperlink w:anchor="_Toc1082" w:history="1">
        <w:r>
          <w:rPr>
            <w:rFonts w:ascii="IRNazanin" w:hAnsi="IRNazanin" w:eastAsia="IRNazanin" w:cs="IRNazanin"/>
            <w:color w:val="111111"/>
            <w:sz w:val="22"/>
            <w:szCs w:val="22"/>
            <w:b w:val="0"/>
            <w:bCs w:val="0"/>
            <w:i w:val="0"/>
            <w:iCs w:val="0"/>
          </w:rPr>
          <w:t>الاسعاف فی شرح ابیات القاضی و الکشاف  (منتخب) / ادبیات / عربی</w:t>
        </w:r>
        <w:r>
          <w:tab/>
        </w:r>
        <w:r>
          <w:fldChar w:fldCharType="begin"/>
        </w:r>
        <w:r>
          <w:instrText xml:space="preserve">PAGEREF 1082 \h</w:instrText>
        </w:r>
        <w:r>
          <w:fldChar w:fldCharType="end"/>
        </w:r>
      </w:hyperlink>
    </w:p>
    <w:p>
      <w:pPr>
        <w:tabs>
          <w:tab w:val="right" w:leader="dot" w:pos="9062"/>
        </w:tabs>
        <w:ind w:left="440"/>
      </w:pPr>
      <w:hyperlink w:anchor="_Toc1083" w:history="1">
        <w:r>
          <w:rPr>
            <w:rFonts w:ascii="IRNazanin" w:hAnsi="IRNazanin" w:eastAsia="IRNazanin" w:cs="IRNazanin"/>
            <w:color w:val="111111"/>
            <w:sz w:val="22"/>
            <w:szCs w:val="22"/>
            <w:b w:val="0"/>
            <w:bCs w:val="0"/>
            <w:i w:val="0"/>
            <w:iCs w:val="0"/>
          </w:rPr>
          <w:t>اسعاف المرضى / طب / عربي</w:t>
        </w:r>
        <w:r>
          <w:tab/>
        </w:r>
        <w:r>
          <w:fldChar w:fldCharType="begin"/>
        </w:r>
        <w:r>
          <w:instrText xml:space="preserve">PAGEREF 1083 \h</w:instrText>
        </w:r>
        <w:r>
          <w:fldChar w:fldCharType="end"/>
        </w:r>
      </w:hyperlink>
    </w:p>
    <w:p>
      <w:pPr>
        <w:tabs>
          <w:tab w:val="right" w:leader="dot" w:pos="9062"/>
        </w:tabs>
        <w:ind w:left="440"/>
      </w:pPr>
      <w:hyperlink w:anchor="_Toc1084" w:history="1">
        <w:r>
          <w:rPr>
            <w:rFonts w:ascii="IRNazanin" w:hAnsi="IRNazanin" w:eastAsia="IRNazanin" w:cs="IRNazanin"/>
            <w:color w:val="111111"/>
            <w:sz w:val="22"/>
            <w:szCs w:val="22"/>
            <w:b w:val="0"/>
            <w:bCs w:val="0"/>
            <w:i w:val="0"/>
            <w:iCs w:val="0"/>
          </w:rPr>
          <w:t>اسفار العارفين = الاسفار الاربعة / عرفان و تصوف / عربی</w:t>
        </w:r>
        <w:r>
          <w:tab/>
        </w:r>
        <w:r>
          <w:fldChar w:fldCharType="begin"/>
        </w:r>
        <w:r>
          <w:instrText xml:space="preserve">PAGEREF 1084 \h</w:instrText>
        </w:r>
        <w:r>
          <w:fldChar w:fldCharType="end"/>
        </w:r>
      </w:hyperlink>
    </w:p>
    <w:p>
      <w:pPr>
        <w:tabs>
          <w:tab w:val="right" w:leader="dot" w:pos="9062"/>
        </w:tabs>
        <w:ind w:left="440"/>
      </w:pPr>
      <w:hyperlink w:anchor="_Toc1085" w:history="1">
        <w:r>
          <w:rPr>
            <w:rFonts w:ascii="IRNazanin" w:hAnsi="IRNazanin" w:eastAsia="IRNazanin" w:cs="IRNazanin"/>
            <w:color w:val="111111"/>
            <w:sz w:val="22"/>
            <w:szCs w:val="22"/>
            <w:b w:val="0"/>
            <w:bCs w:val="0"/>
            <w:i w:val="0"/>
            <w:iCs w:val="0"/>
          </w:rPr>
          <w:t>الاسفار عن اصل الاستخاره / استخاره / عربی</w:t>
        </w:r>
        <w:r>
          <w:tab/>
        </w:r>
        <w:r>
          <w:fldChar w:fldCharType="begin"/>
        </w:r>
        <w:r>
          <w:instrText xml:space="preserve">PAGEREF 1085 \h</w:instrText>
        </w:r>
        <w:r>
          <w:fldChar w:fldCharType="end"/>
        </w:r>
      </w:hyperlink>
    </w:p>
    <w:p>
      <w:pPr>
        <w:tabs>
          <w:tab w:val="right" w:leader="dot" w:pos="9062"/>
        </w:tabs>
        <w:ind w:left="440"/>
      </w:pPr>
      <w:hyperlink w:anchor="_Toc1086" w:history="1">
        <w:r>
          <w:rPr>
            <w:rFonts w:ascii="IRNazanin" w:hAnsi="IRNazanin" w:eastAsia="IRNazanin" w:cs="IRNazanin"/>
            <w:color w:val="111111"/>
            <w:sz w:val="22"/>
            <w:szCs w:val="22"/>
            <w:b w:val="0"/>
            <w:bCs w:val="0"/>
            <w:i w:val="0"/>
            <w:iCs w:val="0"/>
          </w:rPr>
          <w:t>الاسفار عن قلم الاظفار / حدیث / عربی</w:t>
        </w:r>
        <w:r>
          <w:tab/>
        </w:r>
        <w:r>
          <w:fldChar w:fldCharType="begin"/>
        </w:r>
        <w:r>
          <w:instrText xml:space="preserve">PAGEREF 1086 \h</w:instrText>
        </w:r>
        <w:r>
          <w:fldChar w:fldCharType="end"/>
        </w:r>
      </w:hyperlink>
    </w:p>
    <w:p>
      <w:pPr>
        <w:tabs>
          <w:tab w:val="right" w:leader="dot" w:pos="9062"/>
        </w:tabs>
        <w:ind w:left="440"/>
      </w:pPr>
      <w:hyperlink w:anchor="_Toc1087" w:history="1">
        <w:r>
          <w:rPr>
            <w:rFonts w:ascii="IRNazanin" w:hAnsi="IRNazanin" w:eastAsia="IRNazanin" w:cs="IRNazanin"/>
            <w:color w:val="111111"/>
            <w:sz w:val="22"/>
            <w:szCs w:val="22"/>
            <w:b w:val="0"/>
            <w:bCs w:val="0"/>
            <w:i w:val="0"/>
            <w:iCs w:val="0"/>
          </w:rPr>
          <w:t>الاسفار عن نتايج الاسفار / عرفان و تصوف / عربی</w:t>
        </w:r>
        <w:r>
          <w:tab/>
        </w:r>
        <w:r>
          <w:fldChar w:fldCharType="begin"/>
        </w:r>
        <w:r>
          <w:instrText xml:space="preserve">PAGEREF 1087 \h</w:instrText>
        </w:r>
        <w:r>
          <w:fldChar w:fldCharType="end"/>
        </w:r>
      </w:hyperlink>
    </w:p>
    <w:p>
      <w:pPr>
        <w:tabs>
          <w:tab w:val="right" w:leader="dot" w:pos="9062"/>
        </w:tabs>
        <w:ind w:left="440"/>
      </w:pPr>
      <w:hyperlink w:anchor="_Toc1088" w:history="1">
        <w:r>
          <w:rPr>
            <w:rFonts w:ascii="IRNazanin" w:hAnsi="IRNazanin" w:eastAsia="IRNazanin" w:cs="IRNazanin"/>
            <w:color w:val="111111"/>
            <w:sz w:val="22"/>
            <w:szCs w:val="22"/>
            <w:b w:val="0"/>
            <w:bCs w:val="0"/>
            <w:i w:val="0"/>
            <w:iCs w:val="0"/>
          </w:rPr>
          <w:t>اسفراین / جغرافیا، تاریخ ایران / فارسی</w:t>
        </w:r>
        <w:r>
          <w:tab/>
        </w:r>
        <w:r>
          <w:fldChar w:fldCharType="begin"/>
        </w:r>
        <w:r>
          <w:instrText xml:space="preserve">PAGEREF 1088 \h</w:instrText>
        </w:r>
        <w:r>
          <w:fldChar w:fldCharType="end"/>
        </w:r>
      </w:hyperlink>
    </w:p>
    <w:p>
      <w:pPr>
        <w:tabs>
          <w:tab w:val="right" w:leader="dot" w:pos="9062"/>
        </w:tabs>
        <w:ind w:left="440"/>
      </w:pPr>
      <w:hyperlink w:anchor="_Toc1089" w:history="1">
        <w:r>
          <w:rPr>
            <w:rFonts w:ascii="IRNazanin" w:hAnsi="IRNazanin" w:eastAsia="IRNazanin" w:cs="IRNazanin"/>
            <w:color w:val="111111"/>
            <w:sz w:val="22"/>
            <w:szCs w:val="22"/>
            <w:b w:val="0"/>
            <w:bCs w:val="0"/>
            <w:i w:val="0"/>
            <w:iCs w:val="0"/>
          </w:rPr>
          <w:t>اسقاط العدة / فقه / عربی</w:t>
        </w:r>
        <w:r>
          <w:tab/>
        </w:r>
        <w:r>
          <w:fldChar w:fldCharType="begin"/>
        </w:r>
        <w:r>
          <w:instrText xml:space="preserve">PAGEREF 1089 \h</w:instrText>
        </w:r>
        <w:r>
          <w:fldChar w:fldCharType="end"/>
        </w:r>
      </w:hyperlink>
    </w:p>
    <w:p>
      <w:pPr>
        <w:tabs>
          <w:tab w:val="right" w:leader="dot" w:pos="9062"/>
        </w:tabs>
        <w:ind w:left="440"/>
      </w:pPr>
      <w:hyperlink w:anchor="_Toc1090" w:history="1">
        <w:r>
          <w:rPr>
            <w:rFonts w:ascii="IRNazanin" w:hAnsi="IRNazanin" w:eastAsia="IRNazanin" w:cs="IRNazanin"/>
            <w:color w:val="111111"/>
            <w:sz w:val="22"/>
            <w:szCs w:val="22"/>
            <w:b w:val="0"/>
            <w:bCs w:val="0"/>
            <w:i w:val="0"/>
            <w:iCs w:val="0"/>
          </w:rPr>
          <w:t>اسقاط همزة الوصل في الحكاية / نحو / عربي</w:t>
        </w:r>
        <w:r>
          <w:tab/>
        </w:r>
        <w:r>
          <w:fldChar w:fldCharType="begin"/>
        </w:r>
        <w:r>
          <w:instrText xml:space="preserve">PAGEREF 1090 \h</w:instrText>
        </w:r>
        <w:r>
          <w:fldChar w:fldCharType="end"/>
        </w:r>
      </w:hyperlink>
    </w:p>
    <w:p>
      <w:pPr>
        <w:tabs>
          <w:tab w:val="right" w:leader="dot" w:pos="9062"/>
        </w:tabs>
        <w:ind w:left="440"/>
      </w:pPr>
      <w:hyperlink w:anchor="_Toc1091" w:history="1">
        <w:r>
          <w:rPr>
            <w:rFonts w:ascii="IRNazanin" w:hAnsi="IRNazanin" w:eastAsia="IRNazanin" w:cs="IRNazanin"/>
            <w:color w:val="111111"/>
            <w:sz w:val="22"/>
            <w:szCs w:val="22"/>
            <w:b w:val="0"/>
            <w:bCs w:val="0"/>
            <w:i w:val="0"/>
            <w:iCs w:val="0"/>
          </w:rPr>
          <w:t>اسکناس / متفرقه / فارسی</w:t>
        </w:r>
        <w:r>
          <w:tab/>
        </w:r>
        <w:r>
          <w:fldChar w:fldCharType="begin"/>
        </w:r>
        <w:r>
          <w:instrText xml:space="preserve">PAGEREF 1091 \h</w:instrText>
        </w:r>
        <w:r>
          <w:fldChar w:fldCharType="end"/>
        </w:r>
      </w:hyperlink>
    </w:p>
    <w:p>
      <w:pPr>
        <w:tabs>
          <w:tab w:val="right" w:leader="dot" w:pos="9062"/>
        </w:tabs>
        <w:ind w:left="440"/>
      </w:pPr>
      <w:hyperlink w:anchor="_Toc1092" w:history="1">
        <w:r>
          <w:rPr>
            <w:rFonts w:ascii="IRNazanin" w:hAnsi="IRNazanin" w:eastAsia="IRNazanin" w:cs="IRNazanin"/>
            <w:color w:val="111111"/>
            <w:sz w:val="22"/>
            <w:szCs w:val="22"/>
            <w:b w:val="0"/>
            <w:bCs w:val="0"/>
            <w:i w:val="0"/>
            <w:iCs w:val="0"/>
          </w:rPr>
          <w:t>اسکندر / داستان / فارسی</w:t>
        </w:r>
        <w:r>
          <w:tab/>
        </w:r>
        <w:r>
          <w:fldChar w:fldCharType="begin"/>
        </w:r>
        <w:r>
          <w:instrText xml:space="preserve">PAGEREF 1092 \h</w:instrText>
        </w:r>
        <w:r>
          <w:fldChar w:fldCharType="end"/>
        </w:r>
      </w:hyperlink>
    </w:p>
    <w:p>
      <w:pPr>
        <w:tabs>
          <w:tab w:val="right" w:leader="dot" w:pos="9062"/>
        </w:tabs>
        <w:ind w:left="440"/>
      </w:pPr>
      <w:hyperlink w:anchor="_Toc1093" w:history="1">
        <w:r>
          <w:rPr>
            <w:rFonts w:ascii="IRNazanin" w:hAnsi="IRNazanin" w:eastAsia="IRNazanin" w:cs="IRNazanin"/>
            <w:color w:val="111111"/>
            <w:sz w:val="22"/>
            <w:szCs w:val="22"/>
            <w:b w:val="0"/>
            <w:bCs w:val="0"/>
            <w:i w:val="0"/>
            <w:iCs w:val="0"/>
          </w:rPr>
          <w:t>اسکندر بدخمه شاهان - اسکندر و دخمه شاهان  / داستان / فارسی</w:t>
        </w:r>
        <w:r>
          <w:tab/>
        </w:r>
        <w:r>
          <w:fldChar w:fldCharType="begin"/>
        </w:r>
        <w:r>
          <w:instrText xml:space="preserve">PAGEREF 1093 \h</w:instrText>
        </w:r>
        <w:r>
          <w:fldChar w:fldCharType="end"/>
        </w:r>
      </w:hyperlink>
    </w:p>
    <w:p>
      <w:pPr>
        <w:tabs>
          <w:tab w:val="right" w:leader="dot" w:pos="9062"/>
        </w:tabs>
        <w:ind w:left="440"/>
      </w:pPr>
      <w:hyperlink w:anchor="_Toc1094" w:history="1">
        <w:r>
          <w:rPr>
            <w:rFonts w:ascii="IRNazanin" w:hAnsi="IRNazanin" w:eastAsia="IRNazanin" w:cs="IRNazanin"/>
            <w:color w:val="111111"/>
            <w:sz w:val="22"/>
            <w:szCs w:val="22"/>
            <w:b w:val="0"/>
            <w:bCs w:val="0"/>
            <w:i w:val="0"/>
            <w:iCs w:val="0"/>
          </w:rPr>
          <w:t>اسکندر نامه / داستان / فارسی</w:t>
        </w:r>
        <w:r>
          <w:tab/>
        </w:r>
        <w:r>
          <w:fldChar w:fldCharType="begin"/>
        </w:r>
        <w:r>
          <w:instrText xml:space="preserve">PAGEREF 1094 \h</w:instrText>
        </w:r>
        <w:r>
          <w:fldChar w:fldCharType="end"/>
        </w:r>
      </w:hyperlink>
    </w:p>
    <w:p>
      <w:pPr>
        <w:tabs>
          <w:tab w:val="right" w:leader="dot" w:pos="9062"/>
        </w:tabs>
        <w:ind w:left="440"/>
      </w:pPr>
      <w:hyperlink w:anchor="_Toc1095" w:history="1">
        <w:r>
          <w:rPr>
            <w:rFonts w:ascii="IRNazanin" w:hAnsi="IRNazanin" w:eastAsia="IRNazanin" w:cs="IRNazanin"/>
            <w:color w:val="111111"/>
            <w:sz w:val="22"/>
            <w:szCs w:val="22"/>
            <w:b w:val="0"/>
            <w:bCs w:val="0"/>
            <w:i w:val="0"/>
            <w:iCs w:val="0"/>
          </w:rPr>
          <w:t>اسکندرنامه = شرف نامه = اقبال نامه / شعر، تاریخ ایراد  - فارسی</w:t>
        </w:r>
        <w:r>
          <w:tab/>
        </w:r>
        <w:r>
          <w:fldChar w:fldCharType="begin"/>
        </w:r>
        <w:r>
          <w:instrText xml:space="preserve">PAGEREF 1095 \h</w:instrText>
        </w:r>
        <w:r>
          <w:fldChar w:fldCharType="end"/>
        </w:r>
      </w:hyperlink>
    </w:p>
    <w:p>
      <w:pPr>
        <w:tabs>
          <w:tab w:val="right" w:leader="dot" w:pos="9062"/>
        </w:tabs>
        <w:ind w:left="440"/>
      </w:pPr>
      <w:hyperlink w:anchor="_Toc1096" w:history="1">
        <w:r>
          <w:rPr>
            <w:rFonts w:ascii="IRNazanin" w:hAnsi="IRNazanin" w:eastAsia="IRNazanin" w:cs="IRNazanin"/>
            <w:color w:val="111111"/>
            <w:sz w:val="22"/>
            <w:szCs w:val="22"/>
            <w:b w:val="0"/>
            <w:bCs w:val="0"/>
            <w:i w:val="0"/>
            <w:iCs w:val="0"/>
          </w:rPr>
          <w:t>اسكندرنامه / شعر / تركي</w:t>
        </w:r>
        <w:r>
          <w:tab/>
        </w:r>
        <w:r>
          <w:fldChar w:fldCharType="begin"/>
        </w:r>
        <w:r>
          <w:instrText xml:space="preserve">PAGEREF 1096 \h</w:instrText>
        </w:r>
        <w:r>
          <w:fldChar w:fldCharType="end"/>
        </w:r>
      </w:hyperlink>
    </w:p>
    <w:p>
      <w:pPr>
        <w:tabs>
          <w:tab w:val="right" w:leader="dot" w:pos="9062"/>
        </w:tabs>
        <w:ind w:left="440"/>
      </w:pPr>
      <w:hyperlink w:anchor="_Toc1097" w:history="1">
        <w:r>
          <w:rPr>
            <w:rFonts w:ascii="IRNazanin" w:hAnsi="IRNazanin" w:eastAsia="IRNazanin" w:cs="IRNazanin"/>
            <w:color w:val="111111"/>
            <w:sz w:val="22"/>
            <w:szCs w:val="22"/>
            <w:b w:val="0"/>
            <w:bCs w:val="0"/>
            <w:i w:val="0"/>
            <w:iCs w:val="0"/>
          </w:rPr>
          <w:t>اسكندرنامه / شعر، تاريخ ايران / فارسی</w:t>
        </w:r>
        <w:r>
          <w:tab/>
        </w:r>
        <w:r>
          <w:fldChar w:fldCharType="begin"/>
        </w:r>
        <w:r>
          <w:instrText xml:space="preserve">PAGEREF 1097 \h</w:instrText>
        </w:r>
        <w:r>
          <w:fldChar w:fldCharType="end"/>
        </w:r>
      </w:hyperlink>
    </w:p>
    <w:p>
      <w:pPr>
        <w:tabs>
          <w:tab w:val="right" w:leader="dot" w:pos="9062"/>
        </w:tabs>
        <w:ind w:left="440"/>
      </w:pPr>
      <w:hyperlink w:anchor="_Toc1098" w:history="1">
        <w:r>
          <w:rPr>
            <w:rFonts w:ascii="IRNazanin" w:hAnsi="IRNazanin" w:eastAsia="IRNazanin" w:cs="IRNazanin"/>
            <w:color w:val="111111"/>
            <w:sz w:val="22"/>
            <w:szCs w:val="22"/>
            <w:b w:val="0"/>
            <w:bCs w:val="0"/>
            <w:i w:val="0"/>
            <w:iCs w:val="0"/>
          </w:rPr>
          <w:t>اسكندرنامه / داستان / فارسی</w:t>
        </w:r>
        <w:r>
          <w:tab/>
        </w:r>
        <w:r>
          <w:fldChar w:fldCharType="begin"/>
        </w:r>
        <w:r>
          <w:instrText xml:space="preserve">PAGEREF 1098 \h</w:instrText>
        </w:r>
        <w:r>
          <w:fldChar w:fldCharType="end"/>
        </w:r>
      </w:hyperlink>
    </w:p>
    <w:p>
      <w:pPr>
        <w:tabs>
          <w:tab w:val="right" w:leader="dot" w:pos="9062"/>
        </w:tabs>
        <w:ind w:left="440"/>
      </w:pPr>
      <w:hyperlink w:anchor="_Toc1099" w:history="1">
        <w:r>
          <w:rPr>
            <w:rFonts w:ascii="IRNazanin" w:hAnsi="IRNazanin" w:eastAsia="IRNazanin" w:cs="IRNazanin"/>
            <w:color w:val="111111"/>
            <w:sz w:val="22"/>
            <w:szCs w:val="22"/>
            <w:b w:val="0"/>
            <w:bCs w:val="0"/>
            <w:i w:val="0"/>
            <w:iCs w:val="0"/>
          </w:rPr>
          <w:t>اسكندرنامه / تاريخ ايران / فارسی</w:t>
        </w:r>
        <w:r>
          <w:tab/>
        </w:r>
        <w:r>
          <w:fldChar w:fldCharType="begin"/>
        </w:r>
        <w:r>
          <w:instrText xml:space="preserve">PAGEREF 1099 \h</w:instrText>
        </w:r>
        <w:r>
          <w:fldChar w:fldCharType="end"/>
        </w:r>
      </w:hyperlink>
    </w:p>
    <w:p>
      <w:pPr>
        <w:tabs>
          <w:tab w:val="right" w:leader="dot" w:pos="9062"/>
        </w:tabs>
        <w:ind w:left="440"/>
      </w:pPr>
      <w:hyperlink w:anchor="_Toc1100" w:history="1">
        <w:r>
          <w:rPr>
            <w:rFonts w:ascii="IRNazanin" w:hAnsi="IRNazanin" w:eastAsia="IRNazanin" w:cs="IRNazanin"/>
            <w:color w:val="111111"/>
            <w:sz w:val="22"/>
            <w:szCs w:val="22"/>
            <w:b w:val="0"/>
            <w:bCs w:val="0"/>
            <w:i w:val="0"/>
            <w:iCs w:val="0"/>
          </w:rPr>
          <w:t>اسكندرنامه = كلام ارسطاليس / تاريخ / عربی</w:t>
        </w:r>
        <w:r>
          <w:tab/>
        </w:r>
        <w:r>
          <w:fldChar w:fldCharType="begin"/>
        </w:r>
        <w:r>
          <w:instrText xml:space="preserve">PAGEREF 1100 \h</w:instrText>
        </w:r>
        <w:r>
          <w:fldChar w:fldCharType="end"/>
        </w:r>
      </w:hyperlink>
    </w:p>
    <w:p>
      <w:pPr>
        <w:tabs>
          <w:tab w:val="right" w:leader="dot" w:pos="9062"/>
        </w:tabs>
        <w:ind w:left="440"/>
      </w:pPr>
      <w:hyperlink w:anchor="_Toc1101" w:history="1">
        <w:r>
          <w:rPr>
            <w:rFonts w:ascii="IRNazanin" w:hAnsi="IRNazanin" w:eastAsia="IRNazanin" w:cs="IRNazanin"/>
            <w:color w:val="111111"/>
            <w:sz w:val="22"/>
            <w:szCs w:val="22"/>
            <w:b w:val="0"/>
            <w:bCs w:val="0"/>
            <w:i w:val="0"/>
            <w:iCs w:val="0"/>
          </w:rPr>
          <w:t>اسكندرنامه / داستان / فارسي</w:t>
        </w:r>
        <w:r>
          <w:tab/>
        </w:r>
        <w:r>
          <w:fldChar w:fldCharType="begin"/>
        </w:r>
        <w:r>
          <w:instrText xml:space="preserve">PAGEREF 1101 \h</w:instrText>
        </w:r>
        <w:r>
          <w:fldChar w:fldCharType="end"/>
        </w:r>
      </w:hyperlink>
    </w:p>
    <w:p>
      <w:pPr>
        <w:tabs>
          <w:tab w:val="right" w:leader="dot" w:pos="9062"/>
        </w:tabs>
        <w:ind w:left="440"/>
      </w:pPr>
      <w:hyperlink w:anchor="_Toc1102" w:history="1">
        <w:r>
          <w:rPr>
            <w:rFonts w:ascii="IRNazanin" w:hAnsi="IRNazanin" w:eastAsia="IRNazanin" w:cs="IRNazanin"/>
            <w:color w:val="111111"/>
            <w:sz w:val="22"/>
            <w:szCs w:val="22"/>
            <w:b w:val="0"/>
            <w:bCs w:val="0"/>
            <w:i w:val="0"/>
            <w:iCs w:val="0"/>
          </w:rPr>
          <w:t>اسكندرنامه / داستان / فارسی</w:t>
        </w:r>
        <w:r>
          <w:tab/>
        </w:r>
        <w:r>
          <w:fldChar w:fldCharType="begin"/>
        </w:r>
        <w:r>
          <w:instrText xml:space="preserve">PAGEREF 1102 \h</w:instrText>
        </w:r>
        <w:r>
          <w:fldChar w:fldCharType="end"/>
        </w:r>
      </w:hyperlink>
    </w:p>
    <w:p>
      <w:pPr>
        <w:tabs>
          <w:tab w:val="right" w:leader="dot" w:pos="9062"/>
        </w:tabs>
        <w:ind w:left="440"/>
      </w:pPr>
      <w:hyperlink w:anchor="_Toc1103" w:history="1">
        <w:r>
          <w:rPr>
            <w:rFonts w:ascii="IRNazanin" w:hAnsi="IRNazanin" w:eastAsia="IRNazanin" w:cs="IRNazanin"/>
            <w:color w:val="111111"/>
            <w:sz w:val="22"/>
            <w:szCs w:val="22"/>
            <w:b w:val="0"/>
            <w:bCs w:val="0"/>
            <w:i w:val="0"/>
            <w:iCs w:val="0"/>
          </w:rPr>
          <w:t>اسكندرنامه حروفی / شعر / فارسی</w:t>
        </w:r>
        <w:r>
          <w:tab/>
        </w:r>
        <w:r>
          <w:fldChar w:fldCharType="begin"/>
        </w:r>
        <w:r>
          <w:instrText xml:space="preserve">PAGEREF 1103 \h</w:instrText>
        </w:r>
        <w:r>
          <w:fldChar w:fldCharType="end"/>
        </w:r>
      </w:hyperlink>
    </w:p>
    <w:p>
      <w:pPr>
        <w:tabs>
          <w:tab w:val="right" w:leader="dot" w:pos="9062"/>
        </w:tabs>
        <w:ind w:left="440"/>
      </w:pPr>
      <w:hyperlink w:anchor="_Toc1104" w:history="1">
        <w:r>
          <w:rPr>
            <w:rFonts w:ascii="IRNazanin" w:hAnsi="IRNazanin" w:eastAsia="IRNazanin" w:cs="IRNazanin"/>
            <w:color w:val="111111"/>
            <w:sz w:val="22"/>
            <w:szCs w:val="22"/>
            <w:b w:val="0"/>
            <w:bCs w:val="0"/>
            <w:i w:val="0"/>
            <w:iCs w:val="0"/>
          </w:rPr>
          <w:t>اسكندرنامه ناصری / داستان / فارسی</w:t>
        </w:r>
        <w:r>
          <w:tab/>
        </w:r>
        <w:r>
          <w:fldChar w:fldCharType="begin"/>
        </w:r>
        <w:r>
          <w:instrText xml:space="preserve">PAGEREF 1104 \h</w:instrText>
        </w:r>
        <w:r>
          <w:fldChar w:fldCharType="end"/>
        </w:r>
      </w:hyperlink>
    </w:p>
    <w:p>
      <w:pPr>
        <w:tabs>
          <w:tab w:val="right" w:leader="dot" w:pos="9062"/>
        </w:tabs>
        <w:ind w:left="440"/>
      </w:pPr>
      <w:hyperlink w:anchor="_Toc1105" w:history="1">
        <w:r>
          <w:rPr>
            <w:rFonts w:ascii="IRNazanin" w:hAnsi="IRNazanin" w:eastAsia="IRNazanin" w:cs="IRNazanin"/>
            <w:color w:val="111111"/>
            <w:sz w:val="22"/>
            <w:szCs w:val="22"/>
            <w:b w:val="0"/>
            <w:bCs w:val="0"/>
            <w:i w:val="0"/>
            <w:iCs w:val="0"/>
          </w:rPr>
          <w:t>اسكندر و دارا / شعر / فارسي</w:t>
        </w:r>
        <w:r>
          <w:tab/>
        </w:r>
        <w:r>
          <w:fldChar w:fldCharType="begin"/>
        </w:r>
        <w:r>
          <w:instrText xml:space="preserve">PAGEREF 1105 \h</w:instrText>
        </w:r>
        <w:r>
          <w:fldChar w:fldCharType="end"/>
        </w:r>
      </w:hyperlink>
    </w:p>
    <w:p>
      <w:pPr>
        <w:tabs>
          <w:tab w:val="right" w:leader="dot" w:pos="9062"/>
        </w:tabs>
        <w:ind w:left="440"/>
      </w:pPr>
      <w:hyperlink w:anchor="_Toc1106" w:history="1">
        <w:r>
          <w:rPr>
            <w:rFonts w:ascii="IRNazanin" w:hAnsi="IRNazanin" w:eastAsia="IRNazanin" w:cs="IRNazanin"/>
            <w:color w:val="111111"/>
            <w:sz w:val="22"/>
            <w:szCs w:val="22"/>
            <w:b w:val="0"/>
            <w:bCs w:val="0"/>
            <w:i w:val="0"/>
            <w:iCs w:val="0"/>
          </w:rPr>
          <w:t>اسكندريه = جواب سؤالات اسكندر = پرسش و پاسخ = مبدأ و معاد = اصول دين / كلام و اعتقادات / فارسی</w:t>
        </w:r>
        <w:r>
          <w:tab/>
        </w:r>
        <w:r>
          <w:fldChar w:fldCharType="begin"/>
        </w:r>
        <w:r>
          <w:instrText xml:space="preserve">PAGEREF 1106 \h</w:instrText>
        </w:r>
        <w:r>
          <w:fldChar w:fldCharType="end"/>
        </w:r>
      </w:hyperlink>
    </w:p>
    <w:p>
      <w:pPr>
        <w:tabs>
          <w:tab w:val="right" w:leader="dot" w:pos="9062"/>
        </w:tabs>
        <w:ind w:left="440"/>
      </w:pPr>
      <w:hyperlink w:anchor="_Toc1107" w:history="1">
        <w:r>
          <w:rPr>
            <w:rFonts w:ascii="IRNazanin" w:hAnsi="IRNazanin" w:eastAsia="IRNazanin" w:cs="IRNazanin"/>
            <w:color w:val="111111"/>
            <w:sz w:val="22"/>
            <w:szCs w:val="22"/>
            <w:b w:val="0"/>
            <w:bCs w:val="0"/>
            <w:i w:val="0"/>
            <w:iCs w:val="0"/>
          </w:rPr>
          <w:t>اسکندریه / تاریخ / فارسی</w:t>
        </w:r>
        <w:r>
          <w:tab/>
        </w:r>
        <w:r>
          <w:fldChar w:fldCharType="begin"/>
        </w:r>
        <w:r>
          <w:instrText xml:space="preserve">PAGEREF 1107 \h</w:instrText>
        </w:r>
        <w:r>
          <w:fldChar w:fldCharType="end"/>
        </w:r>
      </w:hyperlink>
    </w:p>
    <w:p>
      <w:pPr>
        <w:tabs>
          <w:tab w:val="right" w:leader="dot" w:pos="9062"/>
        </w:tabs>
        <w:ind w:left="440"/>
      </w:pPr>
      <w:hyperlink w:anchor="_Toc1108" w:history="1">
        <w:r>
          <w:rPr>
            <w:rFonts w:ascii="IRNazanin" w:hAnsi="IRNazanin" w:eastAsia="IRNazanin" w:cs="IRNazanin"/>
            <w:color w:val="111111"/>
            <w:sz w:val="22"/>
            <w:szCs w:val="22"/>
            <w:b w:val="0"/>
            <w:bCs w:val="0"/>
            <w:i w:val="0"/>
            <w:iCs w:val="0"/>
          </w:rPr>
          <w:t>اسکندریه / طب / فارسی</w:t>
        </w:r>
        <w:r>
          <w:tab/>
        </w:r>
        <w:r>
          <w:fldChar w:fldCharType="begin"/>
        </w:r>
        <w:r>
          <w:instrText xml:space="preserve">PAGEREF 1108 \h</w:instrText>
        </w:r>
        <w:r>
          <w:fldChar w:fldCharType="end"/>
        </w:r>
      </w:hyperlink>
    </w:p>
    <w:p>
      <w:pPr>
        <w:tabs>
          <w:tab w:val="right" w:leader="dot" w:pos="9062"/>
        </w:tabs>
        <w:ind w:left="440"/>
      </w:pPr>
      <w:hyperlink w:anchor="_Toc1109" w:history="1">
        <w:r>
          <w:rPr>
            <w:rFonts w:ascii="IRNazanin" w:hAnsi="IRNazanin" w:eastAsia="IRNazanin" w:cs="IRNazanin"/>
            <w:color w:val="111111"/>
            <w:sz w:val="22"/>
            <w:szCs w:val="22"/>
            <w:b w:val="0"/>
            <w:bCs w:val="0"/>
            <w:i w:val="0"/>
            <w:iCs w:val="0"/>
          </w:rPr>
          <w:t>اسلام آوردن سلمان فارسی / تاریخ / فارسی</w:t>
        </w:r>
        <w:r>
          <w:tab/>
        </w:r>
        <w:r>
          <w:fldChar w:fldCharType="begin"/>
        </w:r>
        <w:r>
          <w:instrText xml:space="preserve">PAGEREF 1109 \h</w:instrText>
        </w:r>
        <w:r>
          <w:fldChar w:fldCharType="end"/>
        </w:r>
      </w:hyperlink>
    </w:p>
    <w:p>
      <w:pPr>
        <w:tabs>
          <w:tab w:val="right" w:leader="dot" w:pos="9062"/>
        </w:tabs>
        <w:ind w:left="440"/>
      </w:pPr>
      <w:hyperlink w:anchor="_Toc1110" w:history="1">
        <w:r>
          <w:rPr>
            <w:rFonts w:ascii="IRNazanin" w:hAnsi="IRNazanin" w:eastAsia="IRNazanin" w:cs="IRNazanin"/>
            <w:color w:val="111111"/>
            <w:sz w:val="22"/>
            <w:szCs w:val="22"/>
            <w:b w:val="0"/>
            <w:bCs w:val="0"/>
            <w:i w:val="0"/>
            <w:iCs w:val="0"/>
          </w:rPr>
          <w:t>اسلام ابی طالب / کلام و اعتقادات / عربی</w:t>
        </w:r>
        <w:r>
          <w:tab/>
        </w:r>
        <w:r>
          <w:fldChar w:fldCharType="begin"/>
        </w:r>
        <w:r>
          <w:instrText xml:space="preserve">PAGEREF 1110 \h</w:instrText>
        </w:r>
        <w:r>
          <w:fldChar w:fldCharType="end"/>
        </w:r>
      </w:hyperlink>
    </w:p>
    <w:p>
      <w:pPr>
        <w:tabs>
          <w:tab w:val="right" w:leader="dot" w:pos="9062"/>
        </w:tabs>
        <w:ind w:left="440"/>
      </w:pPr>
      <w:hyperlink w:anchor="_Toc1111" w:history="1">
        <w:r>
          <w:rPr>
            <w:rFonts w:ascii="IRNazanin" w:hAnsi="IRNazanin" w:eastAsia="IRNazanin" w:cs="IRNazanin"/>
            <w:color w:val="111111"/>
            <w:sz w:val="22"/>
            <w:szCs w:val="22"/>
            <w:b w:val="0"/>
            <w:bCs w:val="0"/>
            <w:i w:val="0"/>
            <w:iCs w:val="0"/>
          </w:rPr>
          <w:t>اسلام العوام / کلام و اعتقادات / فارسی</w:t>
        </w:r>
        <w:r>
          <w:tab/>
        </w:r>
        <w:r>
          <w:fldChar w:fldCharType="begin"/>
        </w:r>
        <w:r>
          <w:instrText xml:space="preserve">PAGEREF 1111 \h</w:instrText>
        </w:r>
        <w:r>
          <w:fldChar w:fldCharType="end"/>
        </w:r>
      </w:hyperlink>
    </w:p>
    <w:p>
      <w:pPr>
        <w:tabs>
          <w:tab w:val="right" w:leader="dot" w:pos="9062"/>
        </w:tabs>
        <w:ind w:left="440"/>
      </w:pPr>
      <w:hyperlink w:anchor="_Toc1112" w:history="1">
        <w:r>
          <w:rPr>
            <w:rFonts w:ascii="IRNazanin" w:hAnsi="IRNazanin" w:eastAsia="IRNazanin" w:cs="IRNazanin"/>
            <w:color w:val="111111"/>
            <w:sz w:val="22"/>
            <w:szCs w:val="22"/>
            <w:b w:val="0"/>
            <w:bCs w:val="0"/>
            <w:i w:val="0"/>
            <w:iCs w:val="0"/>
          </w:rPr>
          <w:t>اسلام خالد بن ولید / تاریخ / عربی</w:t>
        </w:r>
        <w:r>
          <w:tab/>
        </w:r>
        <w:r>
          <w:fldChar w:fldCharType="begin"/>
        </w:r>
        <w:r>
          <w:instrText xml:space="preserve">PAGEREF 1112 \h</w:instrText>
        </w:r>
        <w:r>
          <w:fldChar w:fldCharType="end"/>
        </w:r>
      </w:hyperlink>
    </w:p>
    <w:p>
      <w:pPr>
        <w:tabs>
          <w:tab w:val="right" w:leader="dot" w:pos="9062"/>
        </w:tabs>
        <w:ind w:left="440"/>
      </w:pPr>
      <w:hyperlink w:anchor="_Toc1113" w:history="1">
        <w:r>
          <w:rPr>
            <w:rFonts w:ascii="IRNazanin" w:hAnsi="IRNazanin" w:eastAsia="IRNazanin" w:cs="IRNazanin"/>
            <w:color w:val="111111"/>
            <w:sz w:val="22"/>
            <w:szCs w:val="22"/>
            <w:b w:val="0"/>
            <w:bCs w:val="0"/>
            <w:i w:val="0"/>
            <w:iCs w:val="0"/>
          </w:rPr>
          <w:t>الاسلام كلية الشيعة / كلام و اعتقادات / عربی</w:t>
        </w:r>
        <w:r>
          <w:tab/>
        </w:r>
        <w:r>
          <w:fldChar w:fldCharType="begin"/>
        </w:r>
        <w:r>
          <w:instrText xml:space="preserve">PAGEREF 1113 \h</w:instrText>
        </w:r>
        <w:r>
          <w:fldChar w:fldCharType="end"/>
        </w:r>
      </w:hyperlink>
    </w:p>
    <w:p>
      <w:pPr>
        <w:tabs>
          <w:tab w:val="right" w:leader="dot" w:pos="9062"/>
        </w:tabs>
        <w:ind w:left="440"/>
      </w:pPr>
      <w:hyperlink w:anchor="_Toc1114" w:history="1">
        <w:r>
          <w:rPr>
            <w:rFonts w:ascii="IRNazanin" w:hAnsi="IRNazanin" w:eastAsia="IRNazanin" w:cs="IRNazanin"/>
            <w:color w:val="111111"/>
            <w:sz w:val="22"/>
            <w:szCs w:val="22"/>
            <w:b w:val="0"/>
            <w:bCs w:val="0"/>
            <w:i w:val="0"/>
            <w:iCs w:val="0"/>
          </w:rPr>
          <w:t>الاسلام و الایمان / کلام و اعتقادات / عربی</w:t>
        </w:r>
        <w:r>
          <w:tab/>
        </w:r>
        <w:r>
          <w:fldChar w:fldCharType="begin"/>
        </w:r>
        <w:r>
          <w:instrText xml:space="preserve">PAGEREF 1114 \h</w:instrText>
        </w:r>
        <w:r>
          <w:fldChar w:fldCharType="end"/>
        </w:r>
      </w:hyperlink>
    </w:p>
    <w:p>
      <w:pPr>
        <w:tabs>
          <w:tab w:val="right" w:leader="dot" w:pos="9062"/>
        </w:tabs>
        <w:ind w:left="440"/>
      </w:pPr>
      <w:hyperlink w:anchor="_Toc1115" w:history="1">
        <w:r>
          <w:rPr>
            <w:rFonts w:ascii="IRNazanin" w:hAnsi="IRNazanin" w:eastAsia="IRNazanin" w:cs="IRNazanin"/>
            <w:color w:val="111111"/>
            <w:sz w:val="22"/>
            <w:szCs w:val="22"/>
            <w:b w:val="0"/>
            <w:bCs w:val="0"/>
            <w:i w:val="0"/>
            <w:iCs w:val="0"/>
          </w:rPr>
          <w:t>اسلام و ایران / فارسی</w:t>
        </w:r>
        <w:r>
          <w:tab/>
        </w:r>
        <w:r>
          <w:fldChar w:fldCharType="begin"/>
        </w:r>
        <w:r>
          <w:instrText xml:space="preserve">PAGEREF 1115 \h</w:instrText>
        </w:r>
        <w:r>
          <w:fldChar w:fldCharType="end"/>
        </w:r>
      </w:hyperlink>
    </w:p>
    <w:p>
      <w:pPr>
        <w:tabs>
          <w:tab w:val="right" w:leader="dot" w:pos="9062"/>
        </w:tabs>
        <w:ind w:left="440"/>
      </w:pPr>
      <w:hyperlink w:anchor="_Toc1116" w:history="1">
        <w:r>
          <w:rPr>
            <w:rFonts w:ascii="IRNazanin" w:hAnsi="IRNazanin" w:eastAsia="IRNazanin" w:cs="IRNazanin"/>
            <w:color w:val="111111"/>
            <w:sz w:val="22"/>
            <w:szCs w:val="22"/>
            <w:b w:val="0"/>
            <w:bCs w:val="0"/>
            <w:i w:val="0"/>
            <w:iCs w:val="0"/>
          </w:rPr>
          <w:t>اسلام و موسیقی / موسیقی / فارسی</w:t>
        </w:r>
        <w:r>
          <w:tab/>
        </w:r>
        <w:r>
          <w:fldChar w:fldCharType="begin"/>
        </w:r>
        <w:r>
          <w:instrText xml:space="preserve">PAGEREF 1116 \h</w:instrText>
        </w:r>
        <w:r>
          <w:fldChar w:fldCharType="end"/>
        </w:r>
      </w:hyperlink>
    </w:p>
    <w:p>
      <w:pPr>
        <w:tabs>
          <w:tab w:val="right" w:leader="dot" w:pos="9062"/>
        </w:tabs>
        <w:ind w:left="440"/>
      </w:pPr>
      <w:hyperlink w:anchor="_Toc1117" w:history="1">
        <w:r>
          <w:rPr>
            <w:rFonts w:ascii="IRNazanin" w:hAnsi="IRNazanin" w:eastAsia="IRNazanin" w:cs="IRNazanin"/>
            <w:color w:val="111111"/>
            <w:sz w:val="22"/>
            <w:szCs w:val="22"/>
            <w:b w:val="0"/>
            <w:bCs w:val="0"/>
            <w:i w:val="0"/>
            <w:iCs w:val="0"/>
          </w:rPr>
          <w:t>اسلام و هیئت / هیئت / فارسی</w:t>
        </w:r>
        <w:r>
          <w:tab/>
        </w:r>
        <w:r>
          <w:fldChar w:fldCharType="begin"/>
        </w:r>
        <w:r>
          <w:instrText xml:space="preserve">PAGEREF 1117 \h</w:instrText>
        </w:r>
        <w:r>
          <w:fldChar w:fldCharType="end"/>
        </w:r>
      </w:hyperlink>
    </w:p>
    <w:p>
      <w:pPr>
        <w:tabs>
          <w:tab w:val="right" w:leader="dot" w:pos="9062"/>
        </w:tabs>
        <w:ind w:left="440"/>
      </w:pPr>
      <w:hyperlink w:anchor="_Toc1118" w:history="1">
        <w:r>
          <w:rPr>
            <w:rFonts w:ascii="IRNazanin" w:hAnsi="IRNazanin" w:eastAsia="IRNazanin" w:cs="IRNazanin"/>
            <w:color w:val="111111"/>
            <w:sz w:val="22"/>
            <w:szCs w:val="22"/>
            <w:b w:val="0"/>
            <w:bCs w:val="0"/>
            <w:i w:val="0"/>
            <w:iCs w:val="0"/>
          </w:rPr>
          <w:t>اسلامیه / شعر / فارسی</w:t>
        </w:r>
        <w:r>
          <w:tab/>
        </w:r>
        <w:r>
          <w:fldChar w:fldCharType="begin"/>
        </w:r>
        <w:r>
          <w:instrText xml:space="preserve">PAGEREF 1118 \h</w:instrText>
        </w:r>
        <w:r>
          <w:fldChar w:fldCharType="end"/>
        </w:r>
      </w:hyperlink>
    </w:p>
    <w:p>
      <w:pPr>
        <w:tabs>
          <w:tab w:val="right" w:leader="dot" w:pos="9062"/>
        </w:tabs>
        <w:ind w:left="440"/>
      </w:pPr>
      <w:hyperlink w:anchor="_Toc1119" w:history="1">
        <w:r>
          <w:rPr>
            <w:rFonts w:ascii="IRNazanin" w:hAnsi="IRNazanin" w:eastAsia="IRNazanin" w:cs="IRNazanin"/>
            <w:color w:val="111111"/>
            <w:sz w:val="22"/>
            <w:szCs w:val="22"/>
            <w:b w:val="0"/>
            <w:bCs w:val="0"/>
            <w:i w:val="0"/>
            <w:iCs w:val="0"/>
          </w:rPr>
          <w:t>اسلحه آتشین / کلام و اعتقادات / فارسی</w:t>
        </w:r>
        <w:r>
          <w:tab/>
        </w:r>
        <w:r>
          <w:fldChar w:fldCharType="begin"/>
        </w:r>
        <w:r>
          <w:instrText xml:space="preserve">PAGEREF 1119 \h</w:instrText>
        </w:r>
        <w:r>
          <w:fldChar w:fldCharType="end"/>
        </w:r>
      </w:hyperlink>
    </w:p>
    <w:p>
      <w:pPr>
        <w:tabs>
          <w:tab w:val="right" w:leader="dot" w:pos="9062"/>
        </w:tabs>
        <w:ind w:left="440"/>
      </w:pPr>
      <w:hyperlink w:anchor="_Toc1120" w:history="1">
        <w:r>
          <w:rPr>
            <w:rFonts w:ascii="IRNazanin" w:hAnsi="IRNazanin" w:eastAsia="IRNazanin" w:cs="IRNazanin"/>
            <w:color w:val="111111"/>
            <w:sz w:val="22"/>
            <w:szCs w:val="22"/>
            <w:b w:val="0"/>
            <w:bCs w:val="0"/>
            <w:i w:val="0"/>
            <w:iCs w:val="0"/>
          </w:rPr>
          <w:t>اسلحه شناسی / صنعت / فارسی</w:t>
        </w:r>
        <w:r>
          <w:tab/>
        </w:r>
        <w:r>
          <w:fldChar w:fldCharType="begin"/>
        </w:r>
        <w:r>
          <w:instrText xml:space="preserve">PAGEREF 1120 \h</w:instrText>
        </w:r>
        <w:r>
          <w:fldChar w:fldCharType="end"/>
        </w:r>
      </w:hyperlink>
    </w:p>
    <w:p>
      <w:pPr>
        <w:tabs>
          <w:tab w:val="right" w:leader="dot" w:pos="9062"/>
        </w:tabs>
        <w:ind w:left="440"/>
      </w:pPr>
      <w:hyperlink w:anchor="_Toc1121" w:history="1">
        <w:r>
          <w:rPr>
            <w:rFonts w:ascii="IRNazanin" w:hAnsi="IRNazanin" w:eastAsia="IRNazanin" w:cs="IRNazanin"/>
            <w:color w:val="111111"/>
            <w:sz w:val="22"/>
            <w:szCs w:val="22"/>
            <w:b w:val="0"/>
            <w:bCs w:val="0"/>
            <w:i w:val="0"/>
            <w:iCs w:val="0"/>
          </w:rPr>
          <w:t>اسلحه شناسی (توپ) / فنون نظامی / فارسی</w:t>
        </w:r>
        <w:r>
          <w:tab/>
        </w:r>
        <w:r>
          <w:fldChar w:fldCharType="begin"/>
        </w:r>
        <w:r>
          <w:instrText xml:space="preserve">PAGEREF 1121 \h</w:instrText>
        </w:r>
        <w:r>
          <w:fldChar w:fldCharType="end"/>
        </w:r>
      </w:hyperlink>
    </w:p>
    <w:p>
      <w:pPr>
        <w:tabs>
          <w:tab w:val="right" w:leader="dot" w:pos="9062"/>
        </w:tabs>
        <w:ind w:left="440"/>
      </w:pPr>
      <w:hyperlink w:anchor="_Toc1122" w:history="1">
        <w:r>
          <w:rPr>
            <w:rFonts w:ascii="IRNazanin" w:hAnsi="IRNazanin" w:eastAsia="IRNazanin" w:cs="IRNazanin"/>
            <w:color w:val="111111"/>
            <w:sz w:val="22"/>
            <w:szCs w:val="22"/>
            <w:b w:val="0"/>
            <w:bCs w:val="0"/>
            <w:i w:val="0"/>
            <w:iCs w:val="0"/>
          </w:rPr>
          <w:t>الاسلوب الحكيم / بلاغت / عربي</w:t>
        </w:r>
        <w:r>
          <w:tab/>
        </w:r>
        <w:r>
          <w:fldChar w:fldCharType="begin"/>
        </w:r>
        <w:r>
          <w:instrText xml:space="preserve">PAGEREF 1122 \h</w:instrText>
        </w:r>
        <w:r>
          <w:fldChar w:fldCharType="end"/>
        </w:r>
      </w:hyperlink>
    </w:p>
    <w:p>
      <w:pPr>
        <w:tabs>
          <w:tab w:val="right" w:leader="dot" w:pos="9062"/>
        </w:tabs>
        <w:ind w:left="440"/>
      </w:pPr>
      <w:hyperlink w:anchor="_Toc1123" w:history="1">
        <w:r>
          <w:rPr>
            <w:rFonts w:ascii="IRNazanin" w:hAnsi="IRNazanin" w:eastAsia="IRNazanin" w:cs="IRNazanin"/>
            <w:color w:val="111111"/>
            <w:sz w:val="22"/>
            <w:szCs w:val="22"/>
            <w:b w:val="0"/>
            <w:bCs w:val="0"/>
            <w:i w:val="0"/>
            <w:iCs w:val="0"/>
          </w:rPr>
          <w:t>اسلوب السلوک و مطلوب الملوك / فقه / فارسی</w:t>
        </w:r>
        <w:r>
          <w:tab/>
        </w:r>
        <w:r>
          <w:fldChar w:fldCharType="begin"/>
        </w:r>
        <w:r>
          <w:instrText xml:space="preserve">PAGEREF 1123 \h</w:instrText>
        </w:r>
        <w:r>
          <w:fldChar w:fldCharType="end"/>
        </w:r>
      </w:hyperlink>
    </w:p>
    <w:p>
      <w:pPr>
        <w:tabs>
          <w:tab w:val="right" w:leader="dot" w:pos="9062"/>
        </w:tabs>
        <w:ind w:left="440"/>
      </w:pPr>
      <w:hyperlink w:anchor="_Toc1124" w:history="1">
        <w:r>
          <w:rPr>
            <w:rFonts w:ascii="IRNazanin" w:hAnsi="IRNazanin" w:eastAsia="IRNazanin" w:cs="IRNazanin"/>
            <w:color w:val="111111"/>
            <w:sz w:val="22"/>
            <w:szCs w:val="22"/>
            <w:b w:val="0"/>
            <w:bCs w:val="0"/>
            <w:i w:val="0"/>
            <w:iCs w:val="0"/>
          </w:rPr>
          <w:t>الاسماء / لغت / عربی به فارسی</w:t>
        </w:r>
        <w:r>
          <w:tab/>
        </w:r>
        <w:r>
          <w:fldChar w:fldCharType="begin"/>
        </w:r>
        <w:r>
          <w:instrText xml:space="preserve">PAGEREF 1124 \h</w:instrText>
        </w:r>
        <w:r>
          <w:fldChar w:fldCharType="end"/>
        </w:r>
      </w:hyperlink>
    </w:p>
    <w:p>
      <w:pPr>
        <w:tabs>
          <w:tab w:val="right" w:leader="dot" w:pos="9062"/>
        </w:tabs>
        <w:ind w:left="440"/>
      </w:pPr>
      <w:hyperlink w:anchor="_Toc1125" w:history="1">
        <w:r>
          <w:rPr>
            <w:rFonts w:ascii="IRNazanin" w:hAnsi="IRNazanin" w:eastAsia="IRNazanin" w:cs="IRNazanin"/>
            <w:color w:val="111111"/>
            <w:sz w:val="22"/>
            <w:szCs w:val="22"/>
            <w:b w:val="0"/>
            <w:bCs w:val="0"/>
            <w:i w:val="0"/>
            <w:iCs w:val="0"/>
          </w:rPr>
          <w:t>اسماء ائمه / تاریخ معصومین / فارسی</w:t>
        </w:r>
        <w:r>
          <w:tab/>
        </w:r>
        <w:r>
          <w:fldChar w:fldCharType="begin"/>
        </w:r>
        <w:r>
          <w:instrText xml:space="preserve">PAGEREF 1125 \h</w:instrText>
        </w:r>
        <w:r>
          <w:fldChar w:fldCharType="end"/>
        </w:r>
      </w:hyperlink>
    </w:p>
    <w:p>
      <w:pPr>
        <w:tabs>
          <w:tab w:val="right" w:leader="dot" w:pos="9062"/>
        </w:tabs>
        <w:ind w:left="440"/>
      </w:pPr>
      <w:hyperlink w:anchor="_Toc1126" w:history="1">
        <w:r>
          <w:rPr>
            <w:rFonts w:ascii="IRNazanin" w:hAnsi="IRNazanin" w:eastAsia="IRNazanin" w:cs="IRNazanin"/>
            <w:color w:val="111111"/>
            <w:sz w:val="22"/>
            <w:szCs w:val="22"/>
            <w:b w:val="0"/>
            <w:bCs w:val="0"/>
            <w:i w:val="0"/>
            <w:iCs w:val="0"/>
          </w:rPr>
          <w:t>اسماء ائمة القراء العشر ورواتهم وطرقهم / قرائت /  عربی</w:t>
        </w:r>
        <w:r>
          <w:tab/>
        </w:r>
        <w:r>
          <w:fldChar w:fldCharType="begin"/>
        </w:r>
        <w:r>
          <w:instrText xml:space="preserve">PAGEREF 1126 \h</w:instrText>
        </w:r>
        <w:r>
          <w:fldChar w:fldCharType="end"/>
        </w:r>
      </w:hyperlink>
    </w:p>
    <w:p>
      <w:pPr>
        <w:tabs>
          <w:tab w:val="right" w:leader="dot" w:pos="9062"/>
        </w:tabs>
        <w:ind w:left="440"/>
      </w:pPr>
      <w:hyperlink w:anchor="_Toc1127" w:history="1">
        <w:r>
          <w:rPr>
            <w:rFonts w:ascii="IRNazanin" w:hAnsi="IRNazanin" w:eastAsia="IRNazanin" w:cs="IRNazanin"/>
            <w:color w:val="111111"/>
            <w:sz w:val="22"/>
            <w:szCs w:val="22"/>
            <w:b w:val="0"/>
            <w:bCs w:val="0"/>
            <w:i w:val="0"/>
            <w:iCs w:val="0"/>
          </w:rPr>
          <w:t>اسماء الائمة المعصومين بالحروف الابجد = استخراج اسماء ائمة / علوم غريبه / عربي</w:t>
        </w:r>
        <w:r>
          <w:tab/>
        </w:r>
        <w:r>
          <w:fldChar w:fldCharType="begin"/>
        </w:r>
        <w:r>
          <w:instrText xml:space="preserve">PAGEREF 1127 \h</w:instrText>
        </w:r>
        <w:r>
          <w:fldChar w:fldCharType="end"/>
        </w:r>
      </w:hyperlink>
    </w:p>
    <w:p>
      <w:pPr>
        <w:tabs>
          <w:tab w:val="right" w:leader="dot" w:pos="9062"/>
        </w:tabs>
        <w:ind w:left="440"/>
      </w:pPr>
      <w:hyperlink w:anchor="_Toc1128" w:history="1">
        <w:r>
          <w:rPr>
            <w:rFonts w:ascii="IRNazanin" w:hAnsi="IRNazanin" w:eastAsia="IRNazanin" w:cs="IRNazanin"/>
            <w:color w:val="111111"/>
            <w:sz w:val="22"/>
            <w:szCs w:val="22"/>
            <w:b w:val="0"/>
            <w:bCs w:val="0"/>
            <w:i w:val="0"/>
            <w:iCs w:val="0"/>
          </w:rPr>
          <w:t>اسماء الائمة عليهم السلام / تاریخ پیامبراکرم (صلّی اللَّهِ علیه وَ آلِهِ وَ سَلَّمَ ) / عربی</w:t>
        </w:r>
        <w:r>
          <w:tab/>
        </w:r>
        <w:r>
          <w:fldChar w:fldCharType="begin"/>
        </w:r>
        <w:r>
          <w:instrText xml:space="preserve">PAGEREF 1128 \h</w:instrText>
        </w:r>
        <w:r>
          <w:fldChar w:fldCharType="end"/>
        </w:r>
      </w:hyperlink>
    </w:p>
    <w:p>
      <w:pPr>
        <w:tabs>
          <w:tab w:val="right" w:leader="dot" w:pos="9062"/>
        </w:tabs>
        <w:ind w:left="440"/>
      </w:pPr>
      <w:hyperlink w:anchor="_Toc1129" w:history="1">
        <w:r>
          <w:rPr>
            <w:rFonts w:ascii="IRNazanin" w:hAnsi="IRNazanin" w:eastAsia="IRNazanin" w:cs="IRNazanin"/>
            <w:color w:val="111111"/>
            <w:sz w:val="22"/>
            <w:szCs w:val="22"/>
            <w:b w:val="0"/>
            <w:bCs w:val="0"/>
            <w:i w:val="0"/>
            <w:iCs w:val="0"/>
          </w:rPr>
          <w:t>اسماء اباها به اصطلاح صوفیان / عرفان و تصوف / فارسی</w:t>
        </w:r>
        <w:r>
          <w:tab/>
        </w:r>
        <w:r>
          <w:fldChar w:fldCharType="begin"/>
        </w:r>
        <w:r>
          <w:instrText xml:space="preserve">PAGEREF 1129 \h</w:instrText>
        </w:r>
        <w:r>
          <w:fldChar w:fldCharType="end"/>
        </w:r>
      </w:hyperlink>
    </w:p>
    <w:p>
      <w:pPr>
        <w:tabs>
          <w:tab w:val="right" w:leader="dot" w:pos="9062"/>
        </w:tabs>
        <w:ind w:left="440"/>
      </w:pPr>
      <w:hyperlink w:anchor="_Toc1130" w:history="1">
        <w:r>
          <w:rPr>
            <w:rFonts w:ascii="IRNazanin" w:hAnsi="IRNazanin" w:eastAsia="IRNazanin" w:cs="IRNazanin"/>
            <w:color w:val="111111"/>
            <w:sz w:val="22"/>
            <w:szCs w:val="22"/>
            <w:b w:val="0"/>
            <w:bCs w:val="0"/>
            <w:i w:val="0"/>
            <w:iCs w:val="0"/>
          </w:rPr>
          <w:t>اسماء ادريسية و قاموس قدرت و  .. / اسماء الله / فارسی</w:t>
        </w:r>
        <w:r>
          <w:tab/>
        </w:r>
        <w:r>
          <w:fldChar w:fldCharType="begin"/>
        </w:r>
        <w:r>
          <w:instrText xml:space="preserve">PAGEREF 1130 \h</w:instrText>
        </w:r>
        <w:r>
          <w:fldChar w:fldCharType="end"/>
        </w:r>
      </w:hyperlink>
    </w:p>
    <w:p>
      <w:pPr>
        <w:tabs>
          <w:tab w:val="right" w:leader="dot" w:pos="9062"/>
        </w:tabs>
        <w:ind w:left="440"/>
      </w:pPr>
      <w:hyperlink w:anchor="_Toc1131" w:history="1">
        <w:r>
          <w:rPr>
            <w:rFonts w:ascii="IRNazanin" w:hAnsi="IRNazanin" w:eastAsia="IRNazanin" w:cs="IRNazanin"/>
            <w:color w:val="111111"/>
            <w:sz w:val="22"/>
            <w:szCs w:val="22"/>
            <w:b w:val="0"/>
            <w:bCs w:val="0"/>
            <w:i w:val="0"/>
            <w:iCs w:val="0"/>
          </w:rPr>
          <w:t>اسماء الادوية / طب / عربي</w:t>
        </w:r>
        <w:r>
          <w:tab/>
        </w:r>
        <w:r>
          <w:fldChar w:fldCharType="begin"/>
        </w:r>
        <w:r>
          <w:instrText xml:space="preserve">PAGEREF 1131 \h</w:instrText>
        </w:r>
        <w:r>
          <w:fldChar w:fldCharType="end"/>
        </w:r>
      </w:hyperlink>
    </w:p>
    <w:p>
      <w:pPr>
        <w:tabs>
          <w:tab w:val="right" w:leader="dot" w:pos="9062"/>
        </w:tabs>
        <w:ind w:left="440"/>
      </w:pPr>
      <w:hyperlink w:anchor="_Toc1132" w:history="1">
        <w:r>
          <w:rPr>
            <w:rFonts w:ascii="IRNazanin" w:hAnsi="IRNazanin" w:eastAsia="IRNazanin" w:cs="IRNazanin"/>
            <w:color w:val="111111"/>
            <w:sz w:val="22"/>
            <w:szCs w:val="22"/>
            <w:b w:val="0"/>
            <w:bCs w:val="0"/>
            <w:i w:val="0"/>
            <w:iCs w:val="0"/>
          </w:rPr>
          <w:t>اسماء الادوية بالالسنة المختلفة / طب</w:t>
        </w:r>
        <w:r>
          <w:tab/>
        </w:r>
        <w:r>
          <w:fldChar w:fldCharType="begin"/>
        </w:r>
        <w:r>
          <w:instrText xml:space="preserve">PAGEREF 1132 \h</w:instrText>
        </w:r>
        <w:r>
          <w:fldChar w:fldCharType="end"/>
        </w:r>
      </w:hyperlink>
    </w:p>
    <w:p>
      <w:pPr>
        <w:tabs>
          <w:tab w:val="right" w:leader="dot" w:pos="9062"/>
        </w:tabs>
        <w:ind w:left="440"/>
      </w:pPr>
      <w:hyperlink w:anchor="_Toc1133" w:history="1">
        <w:r>
          <w:rPr>
            <w:rFonts w:ascii="IRNazanin" w:hAnsi="IRNazanin" w:eastAsia="IRNazanin" w:cs="IRNazanin"/>
            <w:color w:val="111111"/>
            <w:sz w:val="22"/>
            <w:szCs w:val="22"/>
            <w:b w:val="0"/>
            <w:bCs w:val="0"/>
            <w:i w:val="0"/>
            <w:iCs w:val="0"/>
          </w:rPr>
          <w:t>اسماء الأدويه (مختصر) / طب / عربی</w:t>
        </w:r>
        <w:r>
          <w:tab/>
        </w:r>
        <w:r>
          <w:fldChar w:fldCharType="begin"/>
        </w:r>
        <w:r>
          <w:instrText xml:space="preserve">PAGEREF 1133 \h</w:instrText>
        </w:r>
        <w:r>
          <w:fldChar w:fldCharType="end"/>
        </w:r>
      </w:hyperlink>
    </w:p>
    <w:p>
      <w:pPr>
        <w:tabs>
          <w:tab w:val="right" w:leader="dot" w:pos="9062"/>
        </w:tabs>
        <w:ind w:left="440"/>
      </w:pPr>
      <w:hyperlink w:anchor="_Toc1134" w:history="1">
        <w:r>
          <w:rPr>
            <w:rFonts w:ascii="IRNazanin" w:hAnsi="IRNazanin" w:eastAsia="IRNazanin" w:cs="IRNazanin"/>
            <w:color w:val="111111"/>
            <w:sz w:val="22"/>
            <w:szCs w:val="22"/>
            <w:b w:val="0"/>
            <w:bCs w:val="0"/>
            <w:i w:val="0"/>
            <w:iCs w:val="0"/>
          </w:rPr>
          <w:t>اسماء الاسد / لغت / عربي</w:t>
        </w:r>
        <w:r>
          <w:tab/>
        </w:r>
        <w:r>
          <w:fldChar w:fldCharType="begin"/>
        </w:r>
        <w:r>
          <w:instrText xml:space="preserve">PAGEREF 1134 \h</w:instrText>
        </w:r>
        <w:r>
          <w:fldChar w:fldCharType="end"/>
        </w:r>
      </w:hyperlink>
    </w:p>
    <w:p>
      <w:pPr>
        <w:tabs>
          <w:tab w:val="right" w:leader="dot" w:pos="9062"/>
        </w:tabs>
        <w:ind w:left="440"/>
      </w:pPr>
      <w:hyperlink w:anchor="_Toc1135" w:history="1">
        <w:r>
          <w:rPr>
            <w:rFonts w:ascii="IRNazanin" w:hAnsi="IRNazanin" w:eastAsia="IRNazanin" w:cs="IRNazanin"/>
            <w:color w:val="111111"/>
            <w:sz w:val="22"/>
            <w:szCs w:val="22"/>
            <w:b w:val="0"/>
            <w:bCs w:val="0"/>
            <w:i w:val="0"/>
            <w:iCs w:val="0"/>
          </w:rPr>
          <w:t>اسماء اصحاب بدر = اسماء اهل البدر / تاریخ اسلام /  عربی</w:t>
        </w:r>
        <w:r>
          <w:tab/>
        </w:r>
        <w:r>
          <w:fldChar w:fldCharType="begin"/>
        </w:r>
        <w:r>
          <w:instrText xml:space="preserve">PAGEREF 1135 \h</w:instrText>
        </w:r>
        <w:r>
          <w:fldChar w:fldCharType="end"/>
        </w:r>
      </w:hyperlink>
    </w:p>
    <w:p>
      <w:pPr>
        <w:tabs>
          <w:tab w:val="right" w:leader="dot" w:pos="9062"/>
        </w:tabs>
        <w:ind w:left="440"/>
      </w:pPr>
      <w:hyperlink w:anchor="_Toc1136" w:history="1">
        <w:r>
          <w:rPr>
            <w:rFonts w:ascii="IRNazanin" w:hAnsi="IRNazanin" w:eastAsia="IRNazanin" w:cs="IRNazanin"/>
            <w:color w:val="111111"/>
            <w:sz w:val="22"/>
            <w:szCs w:val="22"/>
            <w:b w:val="0"/>
            <w:bCs w:val="0"/>
            <w:i w:val="0"/>
            <w:iCs w:val="0"/>
          </w:rPr>
          <w:t>اسماء اصحاب بدر / رجال / عربی</w:t>
        </w:r>
        <w:r>
          <w:tab/>
        </w:r>
        <w:r>
          <w:fldChar w:fldCharType="begin"/>
        </w:r>
        <w:r>
          <w:instrText xml:space="preserve">PAGEREF 1136 \h</w:instrText>
        </w:r>
        <w:r>
          <w:fldChar w:fldCharType="end"/>
        </w:r>
      </w:hyperlink>
    </w:p>
    <w:p>
      <w:pPr>
        <w:tabs>
          <w:tab w:val="right" w:leader="dot" w:pos="9062"/>
        </w:tabs>
        <w:ind w:left="440"/>
      </w:pPr>
      <w:hyperlink w:anchor="_Toc1137" w:history="1">
        <w:r>
          <w:rPr>
            <w:rFonts w:ascii="IRNazanin" w:hAnsi="IRNazanin" w:eastAsia="IRNazanin" w:cs="IRNazanin"/>
            <w:color w:val="111111"/>
            <w:sz w:val="22"/>
            <w:szCs w:val="22"/>
            <w:b w:val="0"/>
            <w:bCs w:val="0"/>
            <w:i w:val="0"/>
            <w:iCs w:val="0"/>
          </w:rPr>
          <w:t>اسماء اصحاب بدر / شعر، رجال / عربی</w:t>
        </w:r>
        <w:r>
          <w:tab/>
        </w:r>
        <w:r>
          <w:fldChar w:fldCharType="begin"/>
        </w:r>
        <w:r>
          <w:instrText xml:space="preserve">PAGEREF 1137 \h</w:instrText>
        </w:r>
        <w:r>
          <w:fldChar w:fldCharType="end"/>
        </w:r>
      </w:hyperlink>
    </w:p>
    <w:p>
      <w:pPr>
        <w:tabs>
          <w:tab w:val="right" w:leader="dot" w:pos="9062"/>
        </w:tabs>
        <w:ind w:left="440"/>
      </w:pPr>
      <w:hyperlink w:anchor="_Toc1138" w:history="1">
        <w:r>
          <w:rPr>
            <w:rFonts w:ascii="IRNazanin" w:hAnsi="IRNazanin" w:eastAsia="IRNazanin" w:cs="IRNazanin"/>
            <w:color w:val="111111"/>
            <w:sz w:val="22"/>
            <w:szCs w:val="22"/>
            <w:b w:val="0"/>
            <w:bCs w:val="0"/>
            <w:i w:val="0"/>
            <w:iCs w:val="0"/>
          </w:rPr>
          <w:t>اسماء اصحاب البدرية - شجرة صحابة بدر / رجال /  عربی</w:t>
        </w:r>
        <w:r>
          <w:tab/>
        </w:r>
        <w:r>
          <w:fldChar w:fldCharType="begin"/>
        </w:r>
        <w:r>
          <w:instrText xml:space="preserve">PAGEREF 1138 \h</w:instrText>
        </w:r>
        <w:r>
          <w:fldChar w:fldCharType="end"/>
        </w:r>
      </w:hyperlink>
    </w:p>
    <w:p>
      <w:pPr>
        <w:tabs>
          <w:tab w:val="right" w:leader="dot" w:pos="9062"/>
        </w:tabs>
        <w:ind w:left="440"/>
      </w:pPr>
      <w:hyperlink w:anchor="_Toc1139" w:history="1">
        <w:r>
          <w:rPr>
            <w:rFonts w:ascii="IRNazanin" w:hAnsi="IRNazanin" w:eastAsia="IRNazanin" w:cs="IRNazanin"/>
            <w:color w:val="111111"/>
            <w:sz w:val="22"/>
            <w:szCs w:val="22"/>
            <w:b w:val="0"/>
            <w:bCs w:val="0"/>
            <w:i w:val="0"/>
            <w:iCs w:val="0"/>
          </w:rPr>
          <w:t>اسماء اصحاب الكهف / تاریخ / عربی</w:t>
        </w:r>
        <w:r>
          <w:tab/>
        </w:r>
        <w:r>
          <w:fldChar w:fldCharType="begin"/>
        </w:r>
        <w:r>
          <w:instrText xml:space="preserve">PAGEREF 1139 \h</w:instrText>
        </w:r>
        <w:r>
          <w:fldChar w:fldCharType="end"/>
        </w:r>
      </w:hyperlink>
    </w:p>
    <w:p>
      <w:pPr>
        <w:tabs>
          <w:tab w:val="right" w:leader="dot" w:pos="9062"/>
        </w:tabs>
        <w:ind w:left="440"/>
      </w:pPr>
      <w:hyperlink w:anchor="_Toc1140" w:history="1">
        <w:r>
          <w:rPr>
            <w:rFonts w:ascii="IRNazanin" w:hAnsi="IRNazanin" w:eastAsia="IRNazanin" w:cs="IRNazanin"/>
            <w:color w:val="111111"/>
            <w:sz w:val="22"/>
            <w:szCs w:val="22"/>
            <w:b w:val="0"/>
            <w:bCs w:val="0"/>
            <w:i w:val="0"/>
            <w:iCs w:val="0"/>
          </w:rPr>
          <w:t>اسماء الاطفال المقتولين ظلما / تاريخ / فارسی</w:t>
        </w:r>
        <w:r>
          <w:tab/>
        </w:r>
        <w:r>
          <w:fldChar w:fldCharType="begin"/>
        </w:r>
        <w:r>
          <w:instrText xml:space="preserve">PAGEREF 1140 \h</w:instrText>
        </w:r>
        <w:r>
          <w:fldChar w:fldCharType="end"/>
        </w:r>
      </w:hyperlink>
    </w:p>
    <w:p>
      <w:pPr>
        <w:tabs>
          <w:tab w:val="right" w:leader="dot" w:pos="9062"/>
        </w:tabs>
        <w:ind w:left="440"/>
      </w:pPr>
      <w:hyperlink w:anchor="_Toc1141" w:history="1">
        <w:r>
          <w:rPr>
            <w:rFonts w:ascii="IRNazanin" w:hAnsi="IRNazanin" w:eastAsia="IRNazanin" w:cs="IRNazanin"/>
            <w:color w:val="111111"/>
            <w:sz w:val="22"/>
            <w:szCs w:val="22"/>
            <w:b w:val="0"/>
            <w:bCs w:val="0"/>
            <w:i w:val="0"/>
            <w:iCs w:val="0"/>
          </w:rPr>
          <w:t>اسماء الله / اسماء الله / عربی</w:t>
        </w:r>
        <w:r>
          <w:tab/>
        </w:r>
        <w:r>
          <w:fldChar w:fldCharType="begin"/>
        </w:r>
        <w:r>
          <w:instrText xml:space="preserve">PAGEREF 1141 \h</w:instrText>
        </w:r>
        <w:r>
          <w:fldChar w:fldCharType="end"/>
        </w:r>
      </w:hyperlink>
    </w:p>
    <w:p>
      <w:pPr>
        <w:tabs>
          <w:tab w:val="right" w:leader="dot" w:pos="9062"/>
        </w:tabs>
        <w:ind w:left="440"/>
      </w:pPr>
      <w:hyperlink w:anchor="_Toc1142" w:history="1">
        <w:r>
          <w:rPr>
            <w:rFonts w:ascii="IRNazanin" w:hAnsi="IRNazanin" w:eastAsia="IRNazanin" w:cs="IRNazanin"/>
            <w:color w:val="111111"/>
            <w:sz w:val="22"/>
            <w:szCs w:val="22"/>
            <w:b w:val="0"/>
            <w:bCs w:val="0"/>
            <w:i w:val="0"/>
            <w:iCs w:val="0"/>
          </w:rPr>
          <w:t>اسماء الله الحسنى وصفاته العلى / اسماء الله /عربی، فارسی</w:t>
        </w:r>
        <w:r>
          <w:tab/>
        </w:r>
        <w:r>
          <w:fldChar w:fldCharType="begin"/>
        </w:r>
        <w:r>
          <w:instrText xml:space="preserve">PAGEREF 1142 \h</w:instrText>
        </w:r>
        <w:r>
          <w:fldChar w:fldCharType="end"/>
        </w:r>
      </w:hyperlink>
    </w:p>
    <w:p>
      <w:pPr>
        <w:tabs>
          <w:tab w:val="right" w:leader="dot" w:pos="9062"/>
        </w:tabs>
        <w:ind w:left="440"/>
      </w:pPr>
      <w:hyperlink w:anchor="_Toc1143" w:history="1">
        <w:r>
          <w:rPr>
            <w:rFonts w:ascii="IRNazanin" w:hAnsi="IRNazanin" w:eastAsia="IRNazanin" w:cs="IRNazanin"/>
            <w:color w:val="111111"/>
            <w:sz w:val="22"/>
            <w:szCs w:val="22"/>
            <w:b w:val="0"/>
            <w:bCs w:val="0"/>
            <w:i w:val="0"/>
            <w:iCs w:val="0"/>
          </w:rPr>
          <w:t>اسماء الله تعالی / اسماء الله / فارسی</w:t>
        </w:r>
        <w:r>
          <w:tab/>
        </w:r>
        <w:r>
          <w:fldChar w:fldCharType="begin"/>
        </w:r>
        <w:r>
          <w:instrText xml:space="preserve">PAGEREF 1143 \h</w:instrText>
        </w:r>
        <w:r>
          <w:fldChar w:fldCharType="end"/>
        </w:r>
      </w:hyperlink>
    </w:p>
    <w:p>
      <w:pPr>
        <w:tabs>
          <w:tab w:val="right" w:leader="dot" w:pos="9062"/>
        </w:tabs>
        <w:ind w:left="440"/>
      </w:pPr>
      <w:hyperlink w:anchor="_Toc1144" w:history="1">
        <w:r>
          <w:rPr>
            <w:rFonts w:ascii="IRNazanin" w:hAnsi="IRNazanin" w:eastAsia="IRNazanin" w:cs="IRNazanin"/>
            <w:color w:val="111111"/>
            <w:sz w:val="22"/>
            <w:szCs w:val="22"/>
            <w:b w:val="0"/>
            <w:bCs w:val="0"/>
            <w:i w:val="0"/>
            <w:iCs w:val="0"/>
          </w:rPr>
          <w:t>اسماء الله (جدول) / اسماء الله / عربي</w:t>
        </w:r>
        <w:r>
          <w:tab/>
        </w:r>
        <w:r>
          <w:fldChar w:fldCharType="begin"/>
        </w:r>
        <w:r>
          <w:instrText xml:space="preserve">PAGEREF 1144 \h</w:instrText>
        </w:r>
        <w:r>
          <w:fldChar w:fldCharType="end"/>
        </w:r>
      </w:hyperlink>
    </w:p>
    <w:p>
      <w:pPr>
        <w:tabs>
          <w:tab w:val="right" w:leader="dot" w:pos="9062"/>
        </w:tabs>
        <w:ind w:left="440"/>
      </w:pPr>
      <w:hyperlink w:anchor="_Toc1145" w:history="1">
        <w:r>
          <w:rPr>
            <w:rFonts w:ascii="IRNazanin" w:hAnsi="IRNazanin" w:eastAsia="IRNazanin" w:cs="IRNazanin"/>
            <w:color w:val="111111"/>
            <w:sz w:val="22"/>
            <w:szCs w:val="22"/>
            <w:b w:val="0"/>
            <w:bCs w:val="0"/>
            <w:i w:val="0"/>
            <w:iCs w:val="0"/>
          </w:rPr>
          <w:t>اسماء الله (جدول) / اسماء الله / عربی</w:t>
        </w:r>
        <w:r>
          <w:tab/>
        </w:r>
        <w:r>
          <w:fldChar w:fldCharType="begin"/>
        </w:r>
        <w:r>
          <w:instrText xml:space="preserve">PAGEREF 1145 \h</w:instrText>
        </w:r>
        <w:r>
          <w:fldChar w:fldCharType="end"/>
        </w:r>
      </w:hyperlink>
    </w:p>
    <w:p>
      <w:pPr>
        <w:tabs>
          <w:tab w:val="right" w:leader="dot" w:pos="9062"/>
        </w:tabs>
        <w:ind w:left="440"/>
      </w:pPr>
      <w:hyperlink w:anchor="_Toc1146" w:history="1">
        <w:r>
          <w:rPr>
            <w:rFonts w:ascii="IRNazanin" w:hAnsi="IRNazanin" w:eastAsia="IRNazanin" w:cs="IRNazanin"/>
            <w:color w:val="111111"/>
            <w:sz w:val="22"/>
            <w:szCs w:val="22"/>
            <w:b w:val="0"/>
            <w:bCs w:val="0"/>
            <w:i w:val="0"/>
            <w:iCs w:val="0"/>
          </w:rPr>
          <w:t>اسماء امير المؤمنين / حدیث / عربی</w:t>
        </w:r>
        <w:r>
          <w:tab/>
        </w:r>
        <w:r>
          <w:fldChar w:fldCharType="begin"/>
        </w:r>
        <w:r>
          <w:instrText xml:space="preserve">PAGEREF 1146 \h</w:instrText>
        </w:r>
        <w:r>
          <w:fldChar w:fldCharType="end"/>
        </w:r>
      </w:hyperlink>
    </w:p>
    <w:p>
      <w:pPr>
        <w:tabs>
          <w:tab w:val="right" w:leader="dot" w:pos="9062"/>
        </w:tabs>
        <w:ind w:left="440"/>
      </w:pPr>
      <w:hyperlink w:anchor="_Toc1147" w:history="1">
        <w:r>
          <w:rPr>
            <w:rFonts w:ascii="IRNazanin" w:hAnsi="IRNazanin" w:eastAsia="IRNazanin" w:cs="IRNazanin"/>
            <w:color w:val="111111"/>
            <w:sz w:val="22"/>
            <w:szCs w:val="22"/>
            <w:b w:val="0"/>
            <w:bCs w:val="0"/>
            <w:i w:val="0"/>
            <w:iCs w:val="0"/>
          </w:rPr>
          <w:t>اسماء الانبياء في القرآن / شعر / عربی</w:t>
        </w:r>
        <w:r>
          <w:tab/>
        </w:r>
        <w:r>
          <w:fldChar w:fldCharType="begin"/>
        </w:r>
        <w:r>
          <w:instrText xml:space="preserve">PAGEREF 1147 \h</w:instrText>
        </w:r>
        <w:r>
          <w:fldChar w:fldCharType="end"/>
        </w:r>
      </w:hyperlink>
    </w:p>
    <w:p>
      <w:pPr>
        <w:tabs>
          <w:tab w:val="right" w:leader="dot" w:pos="9062"/>
        </w:tabs>
        <w:ind w:left="440"/>
      </w:pPr>
      <w:hyperlink w:anchor="_Toc1148" w:history="1">
        <w:r>
          <w:rPr>
            <w:rFonts w:ascii="IRNazanin" w:hAnsi="IRNazanin" w:eastAsia="IRNazanin" w:cs="IRNazanin"/>
            <w:color w:val="111111"/>
            <w:sz w:val="22"/>
            <w:szCs w:val="22"/>
            <w:b w:val="0"/>
            <w:bCs w:val="0"/>
            <w:i w:val="0"/>
            <w:iCs w:val="0"/>
          </w:rPr>
          <w:t>اسماء انبياء المرسلین / تاریخ پیامبران</w:t>
        </w:r>
        <w:r>
          <w:tab/>
        </w:r>
        <w:r>
          <w:fldChar w:fldCharType="begin"/>
        </w:r>
        <w:r>
          <w:instrText xml:space="preserve">PAGEREF 1148 \h</w:instrText>
        </w:r>
        <w:r>
          <w:fldChar w:fldCharType="end"/>
        </w:r>
      </w:hyperlink>
    </w:p>
    <w:p>
      <w:pPr>
        <w:tabs>
          <w:tab w:val="right" w:leader="dot" w:pos="9062"/>
        </w:tabs>
        <w:ind w:left="440"/>
      </w:pPr>
      <w:hyperlink w:anchor="_Toc1149" w:history="1">
        <w:r>
          <w:rPr>
            <w:rFonts w:ascii="IRNazanin" w:hAnsi="IRNazanin" w:eastAsia="IRNazanin" w:cs="IRNazanin"/>
            <w:color w:val="111111"/>
            <w:sz w:val="22"/>
            <w:szCs w:val="22"/>
            <w:b w:val="0"/>
            <w:bCs w:val="0"/>
            <w:i w:val="0"/>
            <w:iCs w:val="0"/>
          </w:rPr>
          <w:t>اسماء البونى و النزهة و الحمى / عربي</w:t>
        </w:r>
        <w:r>
          <w:tab/>
        </w:r>
        <w:r>
          <w:fldChar w:fldCharType="begin"/>
        </w:r>
        <w:r>
          <w:instrText xml:space="preserve">PAGEREF 1149 \h</w:instrText>
        </w:r>
        <w:r>
          <w:fldChar w:fldCharType="end"/>
        </w:r>
      </w:hyperlink>
    </w:p>
    <w:p>
      <w:pPr>
        <w:tabs>
          <w:tab w:val="right" w:leader="dot" w:pos="9062"/>
        </w:tabs>
        <w:ind w:left="440"/>
      </w:pPr>
      <w:hyperlink w:anchor="_Toc1150" w:history="1">
        <w:r>
          <w:rPr>
            <w:rFonts w:ascii="IRNazanin" w:hAnsi="IRNazanin" w:eastAsia="IRNazanin" w:cs="IRNazanin"/>
            <w:color w:val="111111"/>
            <w:sz w:val="22"/>
            <w:szCs w:val="22"/>
            <w:b w:val="0"/>
            <w:bCs w:val="0"/>
            <w:i w:val="0"/>
            <w:iCs w:val="0"/>
          </w:rPr>
          <w:t>اسماء تاریخ فارسیان و نوروز و مهرجان از کتاب  پهلوی / ادبیات / فارسی</w:t>
        </w:r>
        <w:r>
          <w:tab/>
        </w:r>
        <w:r>
          <w:fldChar w:fldCharType="begin"/>
        </w:r>
        <w:r>
          <w:instrText xml:space="preserve">PAGEREF 1150 \h</w:instrText>
        </w:r>
        <w:r>
          <w:fldChar w:fldCharType="end"/>
        </w:r>
      </w:hyperlink>
    </w:p>
    <w:p>
      <w:pPr>
        <w:tabs>
          <w:tab w:val="right" w:leader="dot" w:pos="9062"/>
        </w:tabs>
        <w:ind w:left="440"/>
      </w:pPr>
      <w:hyperlink w:anchor="_Toc1151" w:history="1">
        <w:r>
          <w:rPr>
            <w:rFonts w:ascii="IRNazanin" w:hAnsi="IRNazanin" w:eastAsia="IRNazanin" w:cs="IRNazanin"/>
            <w:color w:val="111111"/>
            <w:sz w:val="22"/>
            <w:szCs w:val="22"/>
            <w:b w:val="0"/>
            <w:bCs w:val="0"/>
            <w:i w:val="0"/>
            <w:iCs w:val="0"/>
          </w:rPr>
          <w:t>الاسماء التي لا تدخلها الالف و اللام / لغت / عربی</w:t>
        </w:r>
        <w:r>
          <w:tab/>
        </w:r>
        <w:r>
          <w:fldChar w:fldCharType="begin"/>
        </w:r>
        <w:r>
          <w:instrText xml:space="preserve">PAGEREF 1151 \h</w:instrText>
        </w:r>
        <w:r>
          <w:fldChar w:fldCharType="end"/>
        </w:r>
      </w:hyperlink>
    </w:p>
    <w:p>
      <w:pPr>
        <w:tabs>
          <w:tab w:val="right" w:leader="dot" w:pos="9062"/>
        </w:tabs>
        <w:ind w:left="440"/>
      </w:pPr>
      <w:hyperlink w:anchor="_Toc1152" w:history="1">
        <w:r>
          <w:rPr>
            <w:rFonts w:ascii="IRNazanin" w:hAnsi="IRNazanin" w:eastAsia="IRNazanin" w:cs="IRNazanin"/>
            <w:color w:val="111111"/>
            <w:sz w:val="22"/>
            <w:szCs w:val="22"/>
            <w:b w:val="0"/>
            <w:bCs w:val="0"/>
            <w:i w:val="0"/>
            <w:iCs w:val="0"/>
          </w:rPr>
          <w:t>الاسماء التي لا تدخلها الالف و اللام / نحو / عربی</w:t>
        </w:r>
        <w:r>
          <w:tab/>
        </w:r>
        <w:r>
          <w:fldChar w:fldCharType="begin"/>
        </w:r>
        <w:r>
          <w:instrText xml:space="preserve">PAGEREF 1152 \h</w:instrText>
        </w:r>
        <w:r>
          <w:fldChar w:fldCharType="end"/>
        </w:r>
      </w:hyperlink>
    </w:p>
    <w:p>
      <w:pPr>
        <w:tabs>
          <w:tab w:val="right" w:leader="dot" w:pos="9062"/>
        </w:tabs>
        <w:ind w:left="440"/>
      </w:pPr>
      <w:hyperlink w:anchor="_Toc1153" w:history="1">
        <w:r>
          <w:rPr>
            <w:rFonts w:ascii="IRNazanin" w:hAnsi="IRNazanin" w:eastAsia="IRNazanin" w:cs="IRNazanin"/>
            <w:color w:val="111111"/>
            <w:sz w:val="22"/>
            <w:szCs w:val="22"/>
            <w:b w:val="0"/>
            <w:bCs w:val="0"/>
            <w:i w:val="0"/>
            <w:iCs w:val="0"/>
          </w:rPr>
          <w:t>اسماء الجبال والمياه و الادوية و الاماكن / جغرافيا /  عربی</w:t>
        </w:r>
        <w:r>
          <w:tab/>
        </w:r>
        <w:r>
          <w:fldChar w:fldCharType="begin"/>
        </w:r>
        <w:r>
          <w:instrText xml:space="preserve">PAGEREF 1153 \h</w:instrText>
        </w:r>
        <w:r>
          <w:fldChar w:fldCharType="end"/>
        </w:r>
      </w:hyperlink>
    </w:p>
    <w:p>
      <w:pPr>
        <w:tabs>
          <w:tab w:val="right" w:leader="dot" w:pos="9062"/>
        </w:tabs>
        <w:ind w:left="440"/>
      </w:pPr>
      <w:hyperlink w:anchor="_Toc1154" w:history="1">
        <w:r>
          <w:rPr>
            <w:rFonts w:ascii="IRNazanin" w:hAnsi="IRNazanin" w:eastAsia="IRNazanin" w:cs="IRNazanin"/>
            <w:color w:val="111111"/>
            <w:sz w:val="22"/>
            <w:szCs w:val="22"/>
            <w:b w:val="0"/>
            <w:bCs w:val="0"/>
            <w:i w:val="0"/>
            <w:iCs w:val="0"/>
          </w:rPr>
          <w:t>اسماء جلاله الهی / اسماء الله /عربی</w:t>
        </w:r>
        <w:r>
          <w:tab/>
        </w:r>
        <w:r>
          <w:fldChar w:fldCharType="begin"/>
        </w:r>
        <w:r>
          <w:instrText xml:space="preserve">PAGEREF 1154 \h</w:instrText>
        </w:r>
        <w:r>
          <w:fldChar w:fldCharType="end"/>
        </w:r>
      </w:hyperlink>
    </w:p>
    <w:p>
      <w:pPr>
        <w:tabs>
          <w:tab w:val="right" w:leader="dot" w:pos="9062"/>
        </w:tabs>
        <w:ind w:left="440"/>
      </w:pPr>
      <w:hyperlink w:anchor="_Toc1155" w:history="1">
        <w:r>
          <w:rPr>
            <w:rFonts w:ascii="IRNazanin" w:hAnsi="IRNazanin" w:eastAsia="IRNazanin" w:cs="IRNazanin"/>
            <w:color w:val="111111"/>
            <w:sz w:val="22"/>
            <w:szCs w:val="22"/>
            <w:b w:val="0"/>
            <w:bCs w:val="0"/>
            <w:i w:val="0"/>
            <w:iCs w:val="0"/>
          </w:rPr>
          <w:t>اسماء جملة من علماء الامامية / رجال / عربي</w:t>
        </w:r>
        <w:r>
          <w:tab/>
        </w:r>
        <w:r>
          <w:fldChar w:fldCharType="begin"/>
        </w:r>
        <w:r>
          <w:instrText xml:space="preserve">PAGEREF 1155 \h</w:instrText>
        </w:r>
        <w:r>
          <w:fldChar w:fldCharType="end"/>
        </w:r>
      </w:hyperlink>
    </w:p>
    <w:p>
      <w:pPr>
        <w:tabs>
          <w:tab w:val="right" w:leader="dot" w:pos="9062"/>
        </w:tabs>
        <w:ind w:left="440"/>
      </w:pPr>
      <w:hyperlink w:anchor="_Toc1156" w:history="1">
        <w:r>
          <w:rPr>
            <w:rFonts w:ascii="IRNazanin" w:hAnsi="IRNazanin" w:eastAsia="IRNazanin" w:cs="IRNazanin"/>
            <w:color w:val="111111"/>
            <w:sz w:val="22"/>
            <w:szCs w:val="22"/>
            <w:b w:val="0"/>
            <w:bCs w:val="0"/>
            <w:i w:val="0"/>
            <w:iCs w:val="0"/>
          </w:rPr>
          <w:t>اسماء چهارده معصوم / تاریخ معصومین / فارسی</w:t>
        </w:r>
        <w:r>
          <w:tab/>
        </w:r>
        <w:r>
          <w:fldChar w:fldCharType="begin"/>
        </w:r>
        <w:r>
          <w:instrText xml:space="preserve">PAGEREF 1156 \h</w:instrText>
        </w:r>
        <w:r>
          <w:fldChar w:fldCharType="end"/>
        </w:r>
      </w:hyperlink>
    </w:p>
    <w:p>
      <w:pPr>
        <w:tabs>
          <w:tab w:val="right" w:leader="dot" w:pos="9062"/>
        </w:tabs>
        <w:ind w:left="440"/>
      </w:pPr>
      <w:hyperlink w:anchor="_Toc1157" w:history="1">
        <w:r>
          <w:rPr>
            <w:rFonts w:ascii="IRNazanin" w:hAnsi="IRNazanin" w:eastAsia="IRNazanin" w:cs="IRNazanin"/>
            <w:color w:val="111111"/>
            <w:sz w:val="22"/>
            <w:szCs w:val="22"/>
            <w:b w:val="0"/>
            <w:bCs w:val="0"/>
            <w:i w:val="0"/>
            <w:iCs w:val="0"/>
          </w:rPr>
          <w:t>اسماء الحسنی = اسماء الله تعالی = خواص اسماء  الحسنى / اسماء الله / فارسی</w:t>
        </w:r>
        <w:r>
          <w:tab/>
        </w:r>
        <w:r>
          <w:fldChar w:fldCharType="begin"/>
        </w:r>
        <w:r>
          <w:instrText xml:space="preserve">PAGEREF 1157 \h</w:instrText>
        </w:r>
        <w:r>
          <w:fldChar w:fldCharType="end"/>
        </w:r>
      </w:hyperlink>
    </w:p>
    <w:p>
      <w:pPr>
        <w:tabs>
          <w:tab w:val="right" w:leader="dot" w:pos="9062"/>
        </w:tabs>
        <w:ind w:left="440"/>
      </w:pPr>
      <w:hyperlink w:anchor="_Toc1158" w:history="1">
        <w:r>
          <w:rPr>
            <w:rFonts w:ascii="IRNazanin" w:hAnsi="IRNazanin" w:eastAsia="IRNazanin" w:cs="IRNazanin"/>
            <w:color w:val="111111"/>
            <w:sz w:val="22"/>
            <w:szCs w:val="22"/>
            <w:b w:val="0"/>
            <w:bCs w:val="0"/>
            <w:i w:val="0"/>
            <w:iCs w:val="0"/>
          </w:rPr>
          <w:t>الاسماء الحسنى = اسماء الله / اسماء الله / عربی - فارسی</w:t>
        </w:r>
        <w:r>
          <w:tab/>
        </w:r>
        <w:r>
          <w:fldChar w:fldCharType="begin"/>
        </w:r>
        <w:r>
          <w:instrText xml:space="preserve">PAGEREF 1158 \h</w:instrText>
        </w:r>
        <w:r>
          <w:fldChar w:fldCharType="end"/>
        </w:r>
      </w:hyperlink>
    </w:p>
    <w:p>
      <w:pPr>
        <w:tabs>
          <w:tab w:val="right" w:leader="dot" w:pos="9062"/>
        </w:tabs>
        <w:ind w:left="440"/>
      </w:pPr>
      <w:hyperlink w:anchor="_Toc1159" w:history="1">
        <w:r>
          <w:rPr>
            <w:rFonts w:ascii="IRNazanin" w:hAnsi="IRNazanin" w:eastAsia="IRNazanin" w:cs="IRNazanin"/>
            <w:color w:val="111111"/>
            <w:sz w:val="22"/>
            <w:szCs w:val="22"/>
            <w:b w:val="0"/>
            <w:bCs w:val="0"/>
            <w:i w:val="0"/>
            <w:iCs w:val="0"/>
          </w:rPr>
          <w:t>الاسماء الحسنی / اسماء الله / فارسی</w:t>
        </w:r>
        <w:r>
          <w:tab/>
        </w:r>
        <w:r>
          <w:fldChar w:fldCharType="begin"/>
        </w:r>
        <w:r>
          <w:instrText xml:space="preserve">PAGEREF 1159 \h</w:instrText>
        </w:r>
        <w:r>
          <w:fldChar w:fldCharType="end"/>
        </w:r>
      </w:hyperlink>
    </w:p>
    <w:p>
      <w:pPr>
        <w:tabs>
          <w:tab w:val="right" w:leader="dot" w:pos="9062"/>
        </w:tabs>
        <w:ind w:left="440"/>
      </w:pPr>
      <w:hyperlink w:anchor="_Toc1160" w:history="1">
        <w:r>
          <w:rPr>
            <w:rFonts w:ascii="IRNazanin" w:hAnsi="IRNazanin" w:eastAsia="IRNazanin" w:cs="IRNazanin"/>
            <w:color w:val="111111"/>
            <w:sz w:val="22"/>
            <w:szCs w:val="22"/>
            <w:b w:val="0"/>
            <w:bCs w:val="0"/>
            <w:i w:val="0"/>
            <w:iCs w:val="0"/>
          </w:rPr>
          <w:t>الاسماء الحسنی / اسماء الله / فارسی</w:t>
        </w:r>
        <w:r>
          <w:tab/>
        </w:r>
        <w:r>
          <w:fldChar w:fldCharType="begin"/>
        </w:r>
        <w:r>
          <w:instrText xml:space="preserve">PAGEREF 1160 \h</w:instrText>
        </w:r>
        <w:r>
          <w:fldChar w:fldCharType="end"/>
        </w:r>
      </w:hyperlink>
    </w:p>
    <w:p>
      <w:pPr>
        <w:tabs>
          <w:tab w:val="right" w:leader="dot" w:pos="9062"/>
        </w:tabs>
        <w:ind w:left="440"/>
      </w:pPr>
      <w:hyperlink w:anchor="_Toc1161" w:history="1">
        <w:r>
          <w:rPr>
            <w:rFonts w:ascii="IRNazanin" w:hAnsi="IRNazanin" w:eastAsia="IRNazanin" w:cs="IRNazanin"/>
            <w:color w:val="111111"/>
            <w:sz w:val="22"/>
            <w:szCs w:val="22"/>
            <w:b w:val="0"/>
            <w:bCs w:val="0"/>
            <w:i w:val="0"/>
            <w:iCs w:val="0"/>
          </w:rPr>
          <w:t>الاسماء الحسنی / اسماء الله / فارسی</w:t>
        </w:r>
        <w:r>
          <w:tab/>
        </w:r>
        <w:r>
          <w:fldChar w:fldCharType="begin"/>
        </w:r>
        <w:r>
          <w:instrText xml:space="preserve">PAGEREF 1161 \h</w:instrText>
        </w:r>
        <w:r>
          <w:fldChar w:fldCharType="end"/>
        </w:r>
      </w:hyperlink>
    </w:p>
    <w:p>
      <w:pPr>
        <w:tabs>
          <w:tab w:val="right" w:leader="dot" w:pos="9062"/>
        </w:tabs>
        <w:ind w:left="440"/>
      </w:pPr>
      <w:hyperlink w:anchor="_Toc1162" w:history="1">
        <w:r>
          <w:rPr>
            <w:rFonts w:ascii="IRNazanin" w:hAnsi="IRNazanin" w:eastAsia="IRNazanin" w:cs="IRNazanin"/>
            <w:color w:val="111111"/>
            <w:sz w:val="22"/>
            <w:szCs w:val="22"/>
            <w:b w:val="0"/>
            <w:bCs w:val="0"/>
            <w:i w:val="0"/>
            <w:iCs w:val="0"/>
          </w:rPr>
          <w:t>الاسماء الحسنى = اسماء الله / اسماء الله / فارسی</w:t>
        </w:r>
        <w:r>
          <w:tab/>
        </w:r>
        <w:r>
          <w:fldChar w:fldCharType="begin"/>
        </w:r>
        <w:r>
          <w:instrText xml:space="preserve">PAGEREF 1162 \h</w:instrText>
        </w:r>
        <w:r>
          <w:fldChar w:fldCharType="end"/>
        </w:r>
      </w:hyperlink>
    </w:p>
    <w:p>
      <w:pPr>
        <w:tabs>
          <w:tab w:val="right" w:leader="dot" w:pos="9062"/>
        </w:tabs>
        <w:ind w:left="440"/>
      </w:pPr>
      <w:hyperlink w:anchor="_Toc1163" w:history="1">
        <w:r>
          <w:rPr>
            <w:rFonts w:ascii="IRNazanin" w:hAnsi="IRNazanin" w:eastAsia="IRNazanin" w:cs="IRNazanin"/>
            <w:color w:val="111111"/>
            <w:sz w:val="22"/>
            <w:szCs w:val="22"/>
            <w:b w:val="0"/>
            <w:bCs w:val="0"/>
            <w:i w:val="0"/>
            <w:iCs w:val="0"/>
          </w:rPr>
          <w:t>الاسماء الحسنى / علوم غریبه، اسماء الله / عربی</w:t>
        </w:r>
        <w:r>
          <w:tab/>
        </w:r>
        <w:r>
          <w:fldChar w:fldCharType="begin"/>
        </w:r>
        <w:r>
          <w:instrText xml:space="preserve">PAGEREF 1163 \h</w:instrText>
        </w:r>
        <w:r>
          <w:fldChar w:fldCharType="end"/>
        </w:r>
      </w:hyperlink>
    </w:p>
    <w:p>
      <w:pPr>
        <w:tabs>
          <w:tab w:val="right" w:leader="dot" w:pos="9062"/>
        </w:tabs>
        <w:ind w:left="440"/>
      </w:pPr>
      <w:hyperlink w:anchor="_Toc1164" w:history="1">
        <w:r>
          <w:rPr>
            <w:rFonts w:ascii="IRNazanin" w:hAnsi="IRNazanin" w:eastAsia="IRNazanin" w:cs="IRNazanin"/>
            <w:color w:val="111111"/>
            <w:sz w:val="22"/>
            <w:szCs w:val="22"/>
            <w:b w:val="0"/>
            <w:bCs w:val="0"/>
            <w:i w:val="0"/>
            <w:iCs w:val="0"/>
          </w:rPr>
          <w:t>الاسماء الحسنى / اسماء الله / عربی و فارسی</w:t>
        </w:r>
        <w:r>
          <w:tab/>
        </w:r>
        <w:r>
          <w:fldChar w:fldCharType="begin"/>
        </w:r>
        <w:r>
          <w:instrText xml:space="preserve">PAGEREF 1164 \h</w:instrText>
        </w:r>
        <w:r>
          <w:fldChar w:fldCharType="end"/>
        </w:r>
      </w:hyperlink>
    </w:p>
    <w:p>
      <w:pPr>
        <w:tabs>
          <w:tab w:val="right" w:leader="dot" w:pos="9062"/>
        </w:tabs>
        <w:ind w:left="440"/>
      </w:pPr>
      <w:hyperlink w:anchor="_Toc1165" w:history="1">
        <w:r>
          <w:rPr>
            <w:rFonts w:ascii="IRNazanin" w:hAnsi="IRNazanin" w:eastAsia="IRNazanin" w:cs="IRNazanin"/>
            <w:color w:val="111111"/>
            <w:sz w:val="22"/>
            <w:szCs w:val="22"/>
            <w:b w:val="0"/>
            <w:bCs w:val="0"/>
            <w:i w:val="0"/>
            <w:iCs w:val="0"/>
          </w:rPr>
          <w:t>اسماء خلفاء عباسی / تاریخ / عربی</w:t>
        </w:r>
        <w:r>
          <w:tab/>
        </w:r>
        <w:r>
          <w:fldChar w:fldCharType="begin"/>
        </w:r>
        <w:r>
          <w:instrText xml:space="preserve">PAGEREF 1165 \h</w:instrText>
        </w:r>
        <w:r>
          <w:fldChar w:fldCharType="end"/>
        </w:r>
      </w:hyperlink>
    </w:p>
    <w:p>
      <w:pPr>
        <w:tabs>
          <w:tab w:val="right" w:leader="dot" w:pos="9062"/>
        </w:tabs>
        <w:ind w:left="440"/>
      </w:pPr>
      <w:hyperlink w:anchor="_Toc1166" w:history="1">
        <w:r>
          <w:rPr>
            <w:rFonts w:ascii="IRNazanin" w:hAnsi="IRNazanin" w:eastAsia="IRNazanin" w:cs="IRNazanin"/>
            <w:color w:val="111111"/>
            <w:sz w:val="22"/>
            <w:szCs w:val="22"/>
            <w:b w:val="0"/>
            <w:bCs w:val="0"/>
            <w:i w:val="0"/>
            <w:iCs w:val="0"/>
          </w:rPr>
          <w:t>اسماء الخمر / ادبیات / عربي</w:t>
        </w:r>
        <w:r>
          <w:tab/>
        </w:r>
        <w:r>
          <w:fldChar w:fldCharType="begin"/>
        </w:r>
        <w:r>
          <w:instrText xml:space="preserve">PAGEREF 1166 \h</w:instrText>
        </w:r>
        <w:r>
          <w:fldChar w:fldCharType="end"/>
        </w:r>
      </w:hyperlink>
    </w:p>
    <w:p>
      <w:pPr>
        <w:tabs>
          <w:tab w:val="right" w:leader="dot" w:pos="9062"/>
        </w:tabs>
        <w:ind w:left="440"/>
      </w:pPr>
      <w:hyperlink w:anchor="_Toc1167" w:history="1">
        <w:r>
          <w:rPr>
            <w:rFonts w:ascii="IRNazanin" w:hAnsi="IRNazanin" w:eastAsia="IRNazanin" w:cs="IRNazanin"/>
            <w:color w:val="111111"/>
            <w:sz w:val="22"/>
            <w:szCs w:val="22"/>
            <w:b w:val="0"/>
            <w:bCs w:val="0"/>
            <w:i w:val="0"/>
            <w:iCs w:val="0"/>
          </w:rPr>
          <w:t>اسماء الخيل و فوارسها من العرب / متفرقه / عربي</w:t>
        </w:r>
        <w:r>
          <w:tab/>
        </w:r>
        <w:r>
          <w:fldChar w:fldCharType="begin"/>
        </w:r>
        <w:r>
          <w:instrText xml:space="preserve">PAGEREF 1167 \h</w:instrText>
        </w:r>
        <w:r>
          <w:fldChar w:fldCharType="end"/>
        </w:r>
      </w:hyperlink>
    </w:p>
    <w:p>
      <w:pPr>
        <w:tabs>
          <w:tab w:val="right" w:leader="dot" w:pos="9062"/>
        </w:tabs>
        <w:ind w:left="440"/>
      </w:pPr>
      <w:hyperlink w:anchor="_Toc1168" w:history="1">
        <w:r>
          <w:rPr>
            <w:rFonts w:ascii="IRNazanin" w:hAnsi="IRNazanin" w:eastAsia="IRNazanin" w:cs="IRNazanin"/>
            <w:color w:val="111111"/>
            <w:sz w:val="22"/>
            <w:szCs w:val="22"/>
            <w:b w:val="0"/>
            <w:bCs w:val="0"/>
            <w:i w:val="0"/>
            <w:iCs w:val="0"/>
          </w:rPr>
          <w:t>اسماء الرجال = طبقات الشافعية / رجال / عربي</w:t>
        </w:r>
        <w:r>
          <w:tab/>
        </w:r>
        <w:r>
          <w:fldChar w:fldCharType="begin"/>
        </w:r>
        <w:r>
          <w:instrText xml:space="preserve">PAGEREF 1168 \h</w:instrText>
        </w:r>
        <w:r>
          <w:fldChar w:fldCharType="end"/>
        </w:r>
      </w:hyperlink>
    </w:p>
    <w:p>
      <w:pPr>
        <w:tabs>
          <w:tab w:val="right" w:leader="dot" w:pos="9062"/>
        </w:tabs>
        <w:ind w:left="440"/>
      </w:pPr>
      <w:hyperlink w:anchor="_Toc1169" w:history="1">
        <w:r>
          <w:rPr>
            <w:rFonts w:ascii="IRNazanin" w:hAnsi="IRNazanin" w:eastAsia="IRNazanin" w:cs="IRNazanin"/>
            <w:color w:val="111111"/>
            <w:sz w:val="22"/>
            <w:szCs w:val="22"/>
            <w:b w:val="0"/>
            <w:bCs w:val="0"/>
            <w:i w:val="0"/>
            <w:iCs w:val="0"/>
          </w:rPr>
          <w:t>اسماء رجال الصحيحين / رجال / عربي</w:t>
        </w:r>
        <w:r>
          <w:tab/>
        </w:r>
        <w:r>
          <w:fldChar w:fldCharType="begin"/>
        </w:r>
        <w:r>
          <w:instrText xml:space="preserve">PAGEREF 1169 \h</w:instrText>
        </w:r>
        <w:r>
          <w:fldChar w:fldCharType="end"/>
        </w:r>
      </w:hyperlink>
    </w:p>
    <w:p>
      <w:pPr>
        <w:tabs>
          <w:tab w:val="right" w:leader="dot" w:pos="9062"/>
        </w:tabs>
        <w:ind w:left="440"/>
      </w:pPr>
      <w:hyperlink w:anchor="_Toc1170" w:history="1">
        <w:r>
          <w:rPr>
            <w:rFonts w:ascii="IRNazanin" w:hAnsi="IRNazanin" w:eastAsia="IRNazanin" w:cs="IRNazanin"/>
            <w:color w:val="111111"/>
            <w:sz w:val="22"/>
            <w:szCs w:val="22"/>
            <w:b w:val="0"/>
            <w:bCs w:val="0"/>
            <w:i w:val="0"/>
            <w:iCs w:val="0"/>
          </w:rPr>
          <w:t>اسماء رجال المشكاة = اسماء الرجال فى مشكاة المصابیح / رجال / عربی</w:t>
        </w:r>
        <w:r>
          <w:tab/>
        </w:r>
        <w:r>
          <w:fldChar w:fldCharType="begin"/>
        </w:r>
        <w:r>
          <w:instrText xml:space="preserve">PAGEREF 1170 \h</w:instrText>
        </w:r>
        <w:r>
          <w:fldChar w:fldCharType="end"/>
        </w:r>
      </w:hyperlink>
    </w:p>
    <w:p>
      <w:pPr>
        <w:tabs>
          <w:tab w:val="right" w:leader="dot" w:pos="9062"/>
        </w:tabs>
        <w:ind w:left="440"/>
      </w:pPr>
      <w:hyperlink w:anchor="_Toc1171" w:history="1">
        <w:r>
          <w:rPr>
            <w:rFonts w:ascii="IRNazanin" w:hAnsi="IRNazanin" w:eastAsia="IRNazanin" w:cs="IRNazanin"/>
            <w:color w:val="111111"/>
            <w:sz w:val="22"/>
            <w:szCs w:val="22"/>
            <w:b w:val="0"/>
            <w:bCs w:val="0"/>
            <w:i w:val="0"/>
            <w:iCs w:val="0"/>
          </w:rPr>
          <w:t>اسماء الرسل / دعا / عربي</w:t>
        </w:r>
        <w:r>
          <w:tab/>
        </w:r>
        <w:r>
          <w:fldChar w:fldCharType="begin"/>
        </w:r>
        <w:r>
          <w:instrText xml:space="preserve">PAGEREF 1171 \h</w:instrText>
        </w:r>
        <w:r>
          <w:fldChar w:fldCharType="end"/>
        </w:r>
      </w:hyperlink>
    </w:p>
    <w:p>
      <w:pPr>
        <w:tabs>
          <w:tab w:val="right" w:leader="dot" w:pos="9062"/>
        </w:tabs>
        <w:ind w:left="440"/>
      </w:pPr>
      <w:hyperlink w:anchor="_Toc1172" w:history="1">
        <w:r>
          <w:rPr>
            <w:rFonts w:ascii="IRNazanin" w:hAnsi="IRNazanin" w:eastAsia="IRNazanin" w:cs="IRNazanin"/>
            <w:color w:val="111111"/>
            <w:sz w:val="22"/>
            <w:szCs w:val="22"/>
            <w:b w:val="0"/>
            <w:bCs w:val="0"/>
            <w:i w:val="0"/>
            <w:iCs w:val="0"/>
          </w:rPr>
          <w:t>اسماء الرسوم المرسومة على الالة المسماة  بالاسطرلاب / اسطرلاب / عربی</w:t>
        </w:r>
        <w:r>
          <w:tab/>
        </w:r>
        <w:r>
          <w:fldChar w:fldCharType="begin"/>
        </w:r>
        <w:r>
          <w:instrText xml:space="preserve">PAGEREF 1172 \h</w:instrText>
        </w:r>
        <w:r>
          <w:fldChar w:fldCharType="end"/>
        </w:r>
      </w:hyperlink>
    </w:p>
    <w:p>
      <w:pPr>
        <w:tabs>
          <w:tab w:val="right" w:leader="dot" w:pos="9062"/>
        </w:tabs>
        <w:ind w:left="440"/>
      </w:pPr>
      <w:hyperlink w:anchor="_Toc1173" w:history="1">
        <w:r>
          <w:rPr>
            <w:rFonts w:ascii="IRNazanin" w:hAnsi="IRNazanin" w:eastAsia="IRNazanin" w:cs="IRNazanin"/>
            <w:color w:val="111111"/>
            <w:sz w:val="22"/>
            <w:szCs w:val="22"/>
            <w:b w:val="0"/>
            <w:bCs w:val="0"/>
            <w:i w:val="0"/>
            <w:iCs w:val="0"/>
          </w:rPr>
          <w:t>اسماء السبعة الأقطاب / تراجم / عربي</w:t>
        </w:r>
        <w:r>
          <w:tab/>
        </w:r>
        <w:r>
          <w:fldChar w:fldCharType="begin"/>
        </w:r>
        <w:r>
          <w:instrText xml:space="preserve">PAGEREF 1173 \h</w:instrText>
        </w:r>
        <w:r>
          <w:fldChar w:fldCharType="end"/>
        </w:r>
      </w:hyperlink>
    </w:p>
    <w:p>
      <w:pPr>
        <w:tabs>
          <w:tab w:val="right" w:leader="dot" w:pos="9062"/>
        </w:tabs>
        <w:ind w:left="440"/>
      </w:pPr>
      <w:hyperlink w:anchor="_Toc1174" w:history="1">
        <w:r>
          <w:rPr>
            <w:rFonts w:ascii="IRNazanin" w:hAnsi="IRNazanin" w:eastAsia="IRNazanin" w:cs="IRNazanin"/>
            <w:color w:val="111111"/>
            <w:sz w:val="22"/>
            <w:szCs w:val="22"/>
            <w:b w:val="0"/>
            <w:bCs w:val="0"/>
            <w:i w:val="0"/>
            <w:iCs w:val="0"/>
          </w:rPr>
          <w:t>اسماء سورة الفاتحة / علوم قرآن / عربی</w:t>
        </w:r>
        <w:r>
          <w:tab/>
        </w:r>
        <w:r>
          <w:fldChar w:fldCharType="begin"/>
        </w:r>
        <w:r>
          <w:instrText xml:space="preserve">PAGEREF 1174 \h</w:instrText>
        </w:r>
        <w:r>
          <w:fldChar w:fldCharType="end"/>
        </w:r>
      </w:hyperlink>
    </w:p>
    <w:p>
      <w:pPr>
        <w:tabs>
          <w:tab w:val="right" w:leader="dot" w:pos="9062"/>
        </w:tabs>
        <w:ind w:left="440"/>
      </w:pPr>
      <w:hyperlink w:anchor="_Toc1175" w:history="1">
        <w:r>
          <w:rPr>
            <w:rFonts w:ascii="IRNazanin" w:hAnsi="IRNazanin" w:eastAsia="IRNazanin" w:cs="IRNazanin"/>
            <w:color w:val="111111"/>
            <w:sz w:val="22"/>
            <w:szCs w:val="22"/>
            <w:b w:val="0"/>
            <w:bCs w:val="0"/>
            <w:i w:val="0"/>
            <w:iCs w:val="0"/>
          </w:rPr>
          <w:t>الاسماء الشمخوثية / علوم غريبه / عربي</w:t>
        </w:r>
        <w:r>
          <w:tab/>
        </w:r>
        <w:r>
          <w:fldChar w:fldCharType="begin"/>
        </w:r>
        <w:r>
          <w:instrText xml:space="preserve">PAGEREF 1175 \h</w:instrText>
        </w:r>
        <w:r>
          <w:fldChar w:fldCharType="end"/>
        </w:r>
      </w:hyperlink>
    </w:p>
    <w:p>
      <w:pPr>
        <w:tabs>
          <w:tab w:val="right" w:leader="dot" w:pos="9062"/>
        </w:tabs>
        <w:ind w:left="440"/>
      </w:pPr>
      <w:hyperlink w:anchor="_Toc1176" w:history="1">
        <w:r>
          <w:rPr>
            <w:rFonts w:ascii="IRNazanin" w:hAnsi="IRNazanin" w:eastAsia="IRNazanin" w:cs="IRNazanin"/>
            <w:color w:val="111111"/>
            <w:sz w:val="22"/>
            <w:szCs w:val="22"/>
            <w:b w:val="0"/>
            <w:bCs w:val="0"/>
            <w:i w:val="0"/>
            <w:iCs w:val="0"/>
          </w:rPr>
          <w:t>اسماء شهور رومیه موافق فصول / متفرقه / فارسی</w:t>
        </w:r>
        <w:r>
          <w:tab/>
        </w:r>
        <w:r>
          <w:fldChar w:fldCharType="begin"/>
        </w:r>
        <w:r>
          <w:instrText xml:space="preserve">PAGEREF 1176 \h</w:instrText>
        </w:r>
        <w:r>
          <w:fldChar w:fldCharType="end"/>
        </w:r>
      </w:hyperlink>
    </w:p>
    <w:p>
      <w:pPr>
        <w:tabs>
          <w:tab w:val="right" w:leader="dot" w:pos="9062"/>
        </w:tabs>
        <w:ind w:left="440"/>
      </w:pPr>
      <w:hyperlink w:anchor="_Toc1177" w:history="1">
        <w:r>
          <w:rPr>
            <w:rFonts w:ascii="IRNazanin" w:hAnsi="IRNazanin" w:eastAsia="IRNazanin" w:cs="IRNazanin"/>
            <w:color w:val="111111"/>
            <w:sz w:val="22"/>
            <w:szCs w:val="22"/>
            <w:b w:val="0"/>
            <w:bCs w:val="0"/>
            <w:i w:val="0"/>
            <w:iCs w:val="0"/>
          </w:rPr>
          <w:t>اسماء الشياطين في سورة الفاتحة / قرائت / عربي</w:t>
        </w:r>
        <w:r>
          <w:tab/>
        </w:r>
        <w:r>
          <w:fldChar w:fldCharType="begin"/>
        </w:r>
        <w:r>
          <w:instrText xml:space="preserve">PAGEREF 1177 \h</w:instrText>
        </w:r>
        <w:r>
          <w:fldChar w:fldCharType="end"/>
        </w:r>
      </w:hyperlink>
    </w:p>
    <w:p>
      <w:pPr>
        <w:tabs>
          <w:tab w:val="right" w:leader="dot" w:pos="9062"/>
        </w:tabs>
        <w:ind w:left="440"/>
      </w:pPr>
      <w:hyperlink w:anchor="_Toc1178" w:history="1">
        <w:r>
          <w:rPr>
            <w:rFonts w:ascii="IRNazanin" w:hAnsi="IRNazanin" w:eastAsia="IRNazanin" w:cs="IRNazanin"/>
            <w:color w:val="111111"/>
            <w:sz w:val="22"/>
            <w:szCs w:val="22"/>
            <w:b w:val="0"/>
            <w:bCs w:val="0"/>
            <w:i w:val="0"/>
            <w:iCs w:val="0"/>
          </w:rPr>
          <w:t>اسماء الضعفاء و الواضعين / رجال / عربی</w:t>
        </w:r>
        <w:r>
          <w:tab/>
        </w:r>
        <w:r>
          <w:fldChar w:fldCharType="begin"/>
        </w:r>
        <w:r>
          <w:instrText xml:space="preserve">PAGEREF 1178 \h</w:instrText>
        </w:r>
        <w:r>
          <w:fldChar w:fldCharType="end"/>
        </w:r>
      </w:hyperlink>
    </w:p>
    <w:p>
      <w:pPr>
        <w:tabs>
          <w:tab w:val="right" w:leader="dot" w:pos="9062"/>
        </w:tabs>
        <w:ind w:left="440"/>
      </w:pPr>
      <w:hyperlink w:anchor="_Toc1179" w:history="1">
        <w:r>
          <w:rPr>
            <w:rFonts w:ascii="IRNazanin" w:hAnsi="IRNazanin" w:eastAsia="IRNazanin" w:cs="IRNazanin"/>
            <w:color w:val="111111"/>
            <w:sz w:val="22"/>
            <w:szCs w:val="22"/>
            <w:b w:val="0"/>
            <w:bCs w:val="0"/>
            <w:i w:val="0"/>
            <w:iCs w:val="0"/>
          </w:rPr>
          <w:t>اسماء عالم / فلسفه / فارسی</w:t>
        </w:r>
        <w:r>
          <w:tab/>
        </w:r>
        <w:r>
          <w:fldChar w:fldCharType="begin"/>
        </w:r>
        <w:r>
          <w:instrText xml:space="preserve">PAGEREF 1179 \h</w:instrText>
        </w:r>
        <w:r>
          <w:fldChar w:fldCharType="end"/>
        </w:r>
      </w:hyperlink>
    </w:p>
    <w:p>
      <w:pPr>
        <w:tabs>
          <w:tab w:val="right" w:leader="dot" w:pos="9062"/>
        </w:tabs>
        <w:ind w:left="440"/>
      </w:pPr>
      <w:hyperlink w:anchor="_Toc1180" w:history="1">
        <w:r>
          <w:rPr>
            <w:rFonts w:ascii="IRNazanin" w:hAnsi="IRNazanin" w:eastAsia="IRNazanin" w:cs="IRNazanin"/>
            <w:color w:val="111111"/>
            <w:sz w:val="22"/>
            <w:szCs w:val="22"/>
            <w:b w:val="0"/>
            <w:bCs w:val="0"/>
            <w:i w:val="0"/>
            <w:iCs w:val="0"/>
          </w:rPr>
          <w:t>اسماء غير معرف بالف و لام / صرف / فارسی</w:t>
        </w:r>
        <w:r>
          <w:tab/>
        </w:r>
        <w:r>
          <w:fldChar w:fldCharType="begin"/>
        </w:r>
        <w:r>
          <w:instrText xml:space="preserve">PAGEREF 1180 \h</w:instrText>
        </w:r>
        <w:r>
          <w:fldChar w:fldCharType="end"/>
        </w:r>
      </w:hyperlink>
    </w:p>
    <w:p>
      <w:pPr>
        <w:tabs>
          <w:tab w:val="right" w:leader="dot" w:pos="9062"/>
        </w:tabs>
        <w:ind w:left="440"/>
      </w:pPr>
      <w:hyperlink w:anchor="_Toc1181" w:history="1">
        <w:r>
          <w:rPr>
            <w:rFonts w:ascii="IRNazanin" w:hAnsi="IRNazanin" w:eastAsia="IRNazanin" w:cs="IRNazanin"/>
            <w:color w:val="111111"/>
            <w:sz w:val="22"/>
            <w:szCs w:val="22"/>
            <w:b w:val="0"/>
            <w:bCs w:val="0"/>
            <w:i w:val="0"/>
            <w:iCs w:val="0"/>
          </w:rPr>
          <w:t>اسماء القراء / قرائت / عربی</w:t>
        </w:r>
        <w:r>
          <w:tab/>
        </w:r>
        <w:r>
          <w:fldChar w:fldCharType="begin"/>
        </w:r>
        <w:r>
          <w:instrText xml:space="preserve">PAGEREF 1181 \h</w:instrText>
        </w:r>
        <w:r>
          <w:fldChar w:fldCharType="end"/>
        </w:r>
      </w:hyperlink>
    </w:p>
    <w:p>
      <w:pPr>
        <w:tabs>
          <w:tab w:val="right" w:leader="dot" w:pos="9062"/>
        </w:tabs>
        <w:ind w:left="440"/>
      </w:pPr>
      <w:hyperlink w:anchor="_Toc1182" w:history="1">
        <w:r>
          <w:rPr>
            <w:rFonts w:ascii="IRNazanin" w:hAnsi="IRNazanin" w:eastAsia="IRNazanin" w:cs="IRNazanin"/>
            <w:color w:val="111111"/>
            <w:sz w:val="22"/>
            <w:szCs w:val="22"/>
            <w:b w:val="0"/>
            <w:bCs w:val="0"/>
            <w:i w:val="0"/>
            <w:iCs w:val="0"/>
          </w:rPr>
          <w:t>اسماء القراء العشرة (جدول) / قرائت / عربی</w:t>
        </w:r>
        <w:r>
          <w:tab/>
        </w:r>
        <w:r>
          <w:fldChar w:fldCharType="begin"/>
        </w:r>
        <w:r>
          <w:instrText xml:space="preserve">PAGEREF 1182 \h</w:instrText>
        </w:r>
        <w:r>
          <w:fldChar w:fldCharType="end"/>
        </w:r>
      </w:hyperlink>
    </w:p>
    <w:p>
      <w:pPr>
        <w:tabs>
          <w:tab w:val="right" w:leader="dot" w:pos="9062"/>
        </w:tabs>
        <w:ind w:left="440"/>
      </w:pPr>
      <w:hyperlink w:anchor="_Toc1183" w:history="1">
        <w:r>
          <w:rPr>
            <w:rFonts w:ascii="IRNazanin" w:hAnsi="IRNazanin" w:eastAsia="IRNazanin" w:cs="IRNazanin"/>
            <w:color w:val="111111"/>
            <w:sz w:val="22"/>
            <w:szCs w:val="22"/>
            <w:b w:val="0"/>
            <w:bCs w:val="0"/>
            <w:i w:val="0"/>
            <w:iCs w:val="0"/>
          </w:rPr>
          <w:t>اسماء الكتب الموجودة فى الازهر/ فهرست / عربی</w:t>
        </w:r>
        <w:r>
          <w:tab/>
        </w:r>
        <w:r>
          <w:fldChar w:fldCharType="begin"/>
        </w:r>
        <w:r>
          <w:instrText xml:space="preserve">PAGEREF 1183 \h</w:instrText>
        </w:r>
        <w:r>
          <w:fldChar w:fldCharType="end"/>
        </w:r>
      </w:hyperlink>
    </w:p>
    <w:p>
      <w:pPr>
        <w:tabs>
          <w:tab w:val="right" w:leader="dot" w:pos="9062"/>
        </w:tabs>
        <w:ind w:left="440"/>
      </w:pPr>
      <w:hyperlink w:anchor="_Toc1184" w:history="1">
        <w:r>
          <w:rPr>
            <w:rFonts w:ascii="IRNazanin" w:hAnsi="IRNazanin" w:eastAsia="IRNazanin" w:cs="IRNazanin"/>
            <w:color w:val="111111"/>
            <w:sz w:val="22"/>
            <w:szCs w:val="22"/>
            <w:b w:val="0"/>
            <w:bCs w:val="0"/>
            <w:i w:val="0"/>
            <w:iCs w:val="0"/>
          </w:rPr>
          <w:t>اسماء کلمه توحيد / اسماء الله / فارسی</w:t>
        </w:r>
        <w:r>
          <w:tab/>
        </w:r>
        <w:r>
          <w:fldChar w:fldCharType="begin"/>
        </w:r>
        <w:r>
          <w:instrText xml:space="preserve">PAGEREF 1184 \h</w:instrText>
        </w:r>
        <w:r>
          <w:fldChar w:fldCharType="end"/>
        </w:r>
      </w:hyperlink>
    </w:p>
    <w:p>
      <w:pPr>
        <w:tabs>
          <w:tab w:val="right" w:leader="dot" w:pos="9062"/>
        </w:tabs>
        <w:ind w:left="440"/>
      </w:pPr>
      <w:hyperlink w:anchor="_Toc1185" w:history="1">
        <w:r>
          <w:rPr>
            <w:rFonts w:ascii="IRNazanin" w:hAnsi="IRNazanin" w:eastAsia="IRNazanin" w:cs="IRNazanin"/>
            <w:color w:val="111111"/>
            <w:sz w:val="22"/>
            <w:szCs w:val="22"/>
            <w:b w:val="0"/>
            <w:bCs w:val="0"/>
            <w:i w:val="0"/>
            <w:iCs w:val="0"/>
          </w:rPr>
          <w:t>اسماء اللغة در شرح غزوات حضرت امیر / تاریخ  معصومین / فارسی</w:t>
        </w:r>
        <w:r>
          <w:tab/>
        </w:r>
        <w:r>
          <w:fldChar w:fldCharType="begin"/>
        </w:r>
        <w:r>
          <w:instrText xml:space="preserve">PAGEREF 1185 \h</w:instrText>
        </w:r>
        <w:r>
          <w:fldChar w:fldCharType="end"/>
        </w:r>
      </w:hyperlink>
    </w:p>
    <w:p>
      <w:pPr>
        <w:tabs>
          <w:tab w:val="right" w:leader="dot" w:pos="9062"/>
        </w:tabs>
        <w:ind w:left="440"/>
      </w:pPr>
      <w:hyperlink w:anchor="_Toc1186" w:history="1">
        <w:r>
          <w:rPr>
            <w:rFonts w:ascii="IRNazanin" w:hAnsi="IRNazanin" w:eastAsia="IRNazanin" w:cs="IRNazanin"/>
            <w:color w:val="111111"/>
            <w:sz w:val="22"/>
            <w:szCs w:val="22"/>
            <w:b w:val="0"/>
            <w:bCs w:val="0"/>
            <w:i w:val="0"/>
            <w:iCs w:val="0"/>
          </w:rPr>
          <w:t>الأسماء المبهمة فى الأنباء المحكمة / رجال / عربي</w:t>
        </w:r>
        <w:r>
          <w:tab/>
        </w:r>
        <w:r>
          <w:fldChar w:fldCharType="begin"/>
        </w:r>
        <w:r>
          <w:instrText xml:space="preserve">PAGEREF 1186 \h</w:instrText>
        </w:r>
        <w:r>
          <w:fldChar w:fldCharType="end"/>
        </w:r>
      </w:hyperlink>
    </w:p>
    <w:p>
      <w:pPr>
        <w:tabs>
          <w:tab w:val="right" w:leader="dot" w:pos="9062"/>
        </w:tabs>
        <w:ind w:left="440"/>
      </w:pPr>
      <w:hyperlink w:anchor="_Toc1187" w:history="1">
        <w:r>
          <w:rPr>
            <w:rFonts w:ascii="IRNazanin" w:hAnsi="IRNazanin" w:eastAsia="IRNazanin" w:cs="IRNazanin"/>
            <w:color w:val="111111"/>
            <w:sz w:val="22"/>
            <w:szCs w:val="22"/>
            <w:b w:val="0"/>
            <w:bCs w:val="0"/>
            <w:i w:val="0"/>
            <w:iCs w:val="0"/>
          </w:rPr>
          <w:t>الاسماء المتفقة الكتابة المختلفة المعنى / لغت / عربي  /فارسی</w:t>
        </w:r>
        <w:r>
          <w:tab/>
        </w:r>
        <w:r>
          <w:fldChar w:fldCharType="begin"/>
        </w:r>
        <w:r>
          <w:instrText xml:space="preserve">PAGEREF 1187 \h</w:instrText>
        </w:r>
        <w:r>
          <w:fldChar w:fldCharType="end"/>
        </w:r>
      </w:hyperlink>
    </w:p>
    <w:p>
      <w:pPr>
        <w:tabs>
          <w:tab w:val="right" w:leader="dot" w:pos="9062"/>
        </w:tabs>
        <w:ind w:left="440"/>
      </w:pPr>
      <w:hyperlink w:anchor="_Toc1188" w:history="1">
        <w:r>
          <w:rPr>
            <w:rFonts w:ascii="IRNazanin" w:hAnsi="IRNazanin" w:eastAsia="IRNazanin" w:cs="IRNazanin"/>
            <w:color w:val="111111"/>
            <w:sz w:val="22"/>
            <w:szCs w:val="22"/>
            <w:b w:val="0"/>
            <w:bCs w:val="0"/>
            <w:i w:val="0"/>
            <w:iCs w:val="0"/>
          </w:rPr>
          <w:t>اسماء متوافقة العدد / رياضيات</w:t>
        </w:r>
        <w:r>
          <w:tab/>
        </w:r>
        <w:r>
          <w:fldChar w:fldCharType="begin"/>
        </w:r>
        <w:r>
          <w:instrText xml:space="preserve">PAGEREF 1188 \h</w:instrText>
        </w:r>
        <w:r>
          <w:fldChar w:fldCharType="end"/>
        </w:r>
      </w:hyperlink>
    </w:p>
    <w:p>
      <w:pPr>
        <w:tabs>
          <w:tab w:val="right" w:leader="dot" w:pos="9062"/>
        </w:tabs>
        <w:ind w:left="440"/>
      </w:pPr>
      <w:hyperlink w:anchor="_Toc1189" w:history="1">
        <w:r>
          <w:rPr>
            <w:rFonts w:ascii="IRNazanin" w:hAnsi="IRNazanin" w:eastAsia="IRNazanin" w:cs="IRNazanin"/>
            <w:color w:val="111111"/>
            <w:sz w:val="22"/>
            <w:szCs w:val="22"/>
            <w:b w:val="0"/>
            <w:bCs w:val="0"/>
            <w:i w:val="0"/>
            <w:iCs w:val="0"/>
          </w:rPr>
          <w:t>اسماء المدن والبلدان المعروفة / جغرافيا / عربي</w:t>
        </w:r>
        <w:r>
          <w:tab/>
        </w:r>
        <w:r>
          <w:fldChar w:fldCharType="begin"/>
        </w:r>
        <w:r>
          <w:instrText xml:space="preserve">PAGEREF 1189 \h</w:instrText>
        </w:r>
        <w:r>
          <w:fldChar w:fldCharType="end"/>
        </w:r>
      </w:hyperlink>
    </w:p>
    <w:p>
      <w:pPr>
        <w:tabs>
          <w:tab w:val="right" w:leader="dot" w:pos="9062"/>
        </w:tabs>
        <w:ind w:left="440"/>
      </w:pPr>
      <w:hyperlink w:anchor="_Toc1190" w:history="1">
        <w:r>
          <w:rPr>
            <w:rFonts w:ascii="IRNazanin" w:hAnsi="IRNazanin" w:eastAsia="IRNazanin" w:cs="IRNazanin"/>
            <w:color w:val="111111"/>
            <w:sz w:val="22"/>
            <w:szCs w:val="22"/>
            <w:b w:val="0"/>
            <w:bCs w:val="0"/>
            <w:i w:val="0"/>
            <w:iCs w:val="0"/>
          </w:rPr>
          <w:t>اسماء المشهورين من العلماء / تراجم / عربي</w:t>
        </w:r>
        <w:r>
          <w:tab/>
        </w:r>
        <w:r>
          <w:fldChar w:fldCharType="begin"/>
        </w:r>
        <w:r>
          <w:instrText xml:space="preserve">PAGEREF 1190 \h</w:instrText>
        </w:r>
        <w:r>
          <w:fldChar w:fldCharType="end"/>
        </w:r>
      </w:hyperlink>
    </w:p>
    <w:p>
      <w:pPr>
        <w:tabs>
          <w:tab w:val="right" w:leader="dot" w:pos="9062"/>
        </w:tabs>
        <w:ind w:left="440"/>
      </w:pPr>
      <w:hyperlink w:anchor="_Toc1191" w:history="1">
        <w:r>
          <w:rPr>
            <w:rFonts w:ascii="IRNazanin" w:hAnsi="IRNazanin" w:eastAsia="IRNazanin" w:cs="IRNazanin"/>
            <w:color w:val="111111"/>
            <w:sz w:val="22"/>
            <w:szCs w:val="22"/>
            <w:b w:val="0"/>
            <w:bCs w:val="0"/>
            <w:i w:val="0"/>
            <w:iCs w:val="0"/>
          </w:rPr>
          <w:t>اسماء من استبصر من العلماء / رجال / عربي</w:t>
        </w:r>
        <w:r>
          <w:tab/>
        </w:r>
        <w:r>
          <w:fldChar w:fldCharType="begin"/>
        </w:r>
        <w:r>
          <w:instrText xml:space="preserve">PAGEREF 1191 \h</w:instrText>
        </w:r>
        <w:r>
          <w:fldChar w:fldCharType="end"/>
        </w:r>
      </w:hyperlink>
    </w:p>
    <w:p>
      <w:pPr>
        <w:tabs>
          <w:tab w:val="right" w:leader="dot" w:pos="9062"/>
        </w:tabs>
        <w:ind w:left="440"/>
      </w:pPr>
      <w:hyperlink w:anchor="_Toc1192" w:history="1">
        <w:r>
          <w:rPr>
            <w:rFonts w:ascii="IRNazanin" w:hAnsi="IRNazanin" w:eastAsia="IRNazanin" w:cs="IRNazanin"/>
            <w:color w:val="111111"/>
            <w:sz w:val="22"/>
            <w:szCs w:val="22"/>
            <w:b w:val="0"/>
            <w:bCs w:val="0"/>
            <w:i w:val="0"/>
            <w:iCs w:val="0"/>
          </w:rPr>
          <w:t>الاسماء المؤنثة / عربي</w:t>
        </w:r>
        <w:r>
          <w:tab/>
        </w:r>
        <w:r>
          <w:fldChar w:fldCharType="begin"/>
        </w:r>
        <w:r>
          <w:instrText xml:space="preserve">PAGEREF 1192 \h</w:instrText>
        </w:r>
        <w:r>
          <w:fldChar w:fldCharType="end"/>
        </w:r>
      </w:hyperlink>
    </w:p>
    <w:p>
      <w:pPr>
        <w:tabs>
          <w:tab w:val="right" w:leader="dot" w:pos="9062"/>
        </w:tabs>
        <w:ind w:left="440"/>
      </w:pPr>
      <w:hyperlink w:anchor="_Toc1193" w:history="1">
        <w:r>
          <w:rPr>
            <w:rFonts w:ascii="IRNazanin" w:hAnsi="IRNazanin" w:eastAsia="IRNazanin" w:cs="IRNazanin"/>
            <w:color w:val="111111"/>
            <w:sz w:val="22"/>
            <w:szCs w:val="22"/>
            <w:b w:val="0"/>
            <w:bCs w:val="0"/>
            <w:i w:val="0"/>
            <w:iCs w:val="0"/>
          </w:rPr>
          <w:t>اسماء مونث سماعی (منظوم) / صرف، شعر / عربی</w:t>
        </w:r>
        <w:r>
          <w:tab/>
        </w:r>
        <w:r>
          <w:fldChar w:fldCharType="begin"/>
        </w:r>
        <w:r>
          <w:instrText xml:space="preserve">PAGEREF 1193 \h</w:instrText>
        </w:r>
        <w:r>
          <w:fldChar w:fldCharType="end"/>
        </w:r>
      </w:hyperlink>
    </w:p>
    <w:p>
      <w:pPr>
        <w:tabs>
          <w:tab w:val="right" w:leader="dot" w:pos="9062"/>
        </w:tabs>
        <w:ind w:left="440"/>
      </w:pPr>
      <w:hyperlink w:anchor="_Toc1194" w:history="1">
        <w:r>
          <w:rPr>
            <w:rFonts w:ascii="IRNazanin" w:hAnsi="IRNazanin" w:eastAsia="IRNazanin" w:cs="IRNazanin"/>
            <w:color w:val="111111"/>
            <w:sz w:val="22"/>
            <w:szCs w:val="22"/>
            <w:b w:val="0"/>
            <w:bCs w:val="0"/>
            <w:i w:val="0"/>
            <w:iCs w:val="0"/>
          </w:rPr>
          <w:t>الاسماء المؤنثة السماعية / صرف / عربي</w:t>
        </w:r>
        <w:r>
          <w:tab/>
        </w:r>
        <w:r>
          <w:fldChar w:fldCharType="begin"/>
        </w:r>
        <w:r>
          <w:instrText xml:space="preserve">PAGEREF 1194 \h</w:instrText>
        </w:r>
        <w:r>
          <w:fldChar w:fldCharType="end"/>
        </w:r>
      </w:hyperlink>
    </w:p>
    <w:p>
      <w:pPr>
        <w:tabs>
          <w:tab w:val="right" w:leader="dot" w:pos="9062"/>
        </w:tabs>
        <w:ind w:left="440"/>
      </w:pPr>
      <w:hyperlink w:anchor="_Toc1195" w:history="1">
        <w:r>
          <w:rPr>
            <w:rFonts w:ascii="IRNazanin" w:hAnsi="IRNazanin" w:eastAsia="IRNazanin" w:cs="IRNazanin"/>
            <w:color w:val="111111"/>
            <w:sz w:val="22"/>
            <w:szCs w:val="22"/>
            <w:b w:val="0"/>
            <w:bCs w:val="0"/>
            <w:i w:val="0"/>
            <w:iCs w:val="0"/>
          </w:rPr>
          <w:t>الاسماء المونثة السماعية (قصيدة في) / صرف، شعر  / عربی</w:t>
        </w:r>
        <w:r>
          <w:tab/>
        </w:r>
        <w:r>
          <w:fldChar w:fldCharType="begin"/>
        </w:r>
        <w:r>
          <w:instrText xml:space="preserve">PAGEREF 1195 \h</w:instrText>
        </w:r>
        <w:r>
          <w:fldChar w:fldCharType="end"/>
        </w:r>
      </w:hyperlink>
    </w:p>
    <w:p>
      <w:pPr>
        <w:tabs>
          <w:tab w:val="right" w:leader="dot" w:pos="9062"/>
        </w:tabs>
        <w:ind w:left="440"/>
      </w:pPr>
      <w:hyperlink w:anchor="_Toc1196" w:history="1">
        <w:r>
          <w:rPr>
            <w:rFonts w:ascii="IRNazanin" w:hAnsi="IRNazanin" w:eastAsia="IRNazanin" w:cs="IRNazanin"/>
            <w:color w:val="111111"/>
            <w:sz w:val="22"/>
            <w:szCs w:val="22"/>
            <w:b w:val="0"/>
            <w:bCs w:val="0"/>
            <w:i w:val="0"/>
            <w:iCs w:val="0"/>
          </w:rPr>
          <w:t>اسماء النبی و اهل بیته (علیه السّلام) / متفرقه / عربی</w:t>
        </w:r>
        <w:r>
          <w:tab/>
        </w:r>
        <w:r>
          <w:fldChar w:fldCharType="begin"/>
        </w:r>
        <w:r>
          <w:instrText xml:space="preserve">PAGEREF 1196 \h</w:instrText>
        </w:r>
        <w:r>
          <w:fldChar w:fldCharType="end"/>
        </w:r>
      </w:hyperlink>
    </w:p>
    <w:p>
      <w:pPr>
        <w:tabs>
          <w:tab w:val="right" w:leader="dot" w:pos="9062"/>
        </w:tabs>
        <w:ind w:left="440"/>
      </w:pPr>
      <w:hyperlink w:anchor="_Toc1197" w:history="1">
        <w:r>
          <w:rPr>
            <w:rFonts w:ascii="IRNazanin" w:hAnsi="IRNazanin" w:eastAsia="IRNazanin" w:cs="IRNazanin"/>
            <w:color w:val="111111"/>
            <w:sz w:val="22"/>
            <w:szCs w:val="22"/>
            <w:b w:val="0"/>
            <w:bCs w:val="0"/>
            <w:i w:val="0"/>
            <w:iCs w:val="0"/>
          </w:rPr>
          <w:t>الاسماء و الصفات / کلام و اعتقادات / عربی</w:t>
        </w:r>
        <w:r>
          <w:tab/>
        </w:r>
        <w:r>
          <w:fldChar w:fldCharType="begin"/>
        </w:r>
        <w:r>
          <w:instrText xml:space="preserve">PAGEREF 1197 \h</w:instrText>
        </w:r>
        <w:r>
          <w:fldChar w:fldCharType="end"/>
        </w:r>
      </w:hyperlink>
    </w:p>
    <w:p>
      <w:pPr>
        <w:tabs>
          <w:tab w:val="right" w:leader="dot" w:pos="9062"/>
        </w:tabs>
        <w:ind w:left="440"/>
      </w:pPr>
      <w:hyperlink w:anchor="_Toc1198" w:history="1">
        <w:r>
          <w:rPr>
            <w:rFonts w:ascii="IRNazanin" w:hAnsi="IRNazanin" w:eastAsia="IRNazanin" w:cs="IRNazanin"/>
            <w:color w:val="111111"/>
            <w:sz w:val="22"/>
            <w:szCs w:val="22"/>
            <w:b w:val="0"/>
            <w:bCs w:val="0"/>
            <w:i w:val="0"/>
            <w:iCs w:val="0"/>
          </w:rPr>
          <w:t>الاسماء و الصفات الالهية / كلام و اعتقادات / عربی</w:t>
        </w:r>
        <w:r>
          <w:tab/>
        </w:r>
        <w:r>
          <w:fldChar w:fldCharType="begin"/>
        </w:r>
        <w:r>
          <w:instrText xml:space="preserve">PAGEREF 1198 \h</w:instrText>
        </w:r>
        <w:r>
          <w:fldChar w:fldCharType="end"/>
        </w:r>
      </w:hyperlink>
    </w:p>
    <w:p>
      <w:pPr>
        <w:tabs>
          <w:tab w:val="right" w:leader="dot" w:pos="9062"/>
        </w:tabs>
        <w:ind w:left="440"/>
      </w:pPr>
      <w:hyperlink w:anchor="_Toc1199" w:history="1">
        <w:r>
          <w:rPr>
            <w:rFonts w:ascii="IRNazanin" w:hAnsi="IRNazanin" w:eastAsia="IRNazanin" w:cs="IRNazanin"/>
            <w:color w:val="111111"/>
            <w:sz w:val="22"/>
            <w:szCs w:val="22"/>
            <w:b w:val="0"/>
            <w:bCs w:val="0"/>
            <w:i w:val="0"/>
            <w:iCs w:val="0"/>
          </w:rPr>
          <w:t>الاسماء و الصفات (مختصر) / حدیث / عربی</w:t>
        </w:r>
        <w:r>
          <w:tab/>
        </w:r>
        <w:r>
          <w:fldChar w:fldCharType="begin"/>
        </w:r>
        <w:r>
          <w:instrText xml:space="preserve">PAGEREF 1199 \h</w:instrText>
        </w:r>
        <w:r>
          <w:fldChar w:fldCharType="end"/>
        </w:r>
      </w:hyperlink>
    </w:p>
    <w:p>
      <w:pPr>
        <w:tabs>
          <w:tab w:val="right" w:leader="dot" w:pos="9062"/>
        </w:tabs>
        <w:ind w:left="440"/>
      </w:pPr>
      <w:hyperlink w:anchor="_Toc1200" w:history="1">
        <w:r>
          <w:rPr>
            <w:rFonts w:ascii="IRNazanin" w:hAnsi="IRNazanin" w:eastAsia="IRNazanin" w:cs="IRNazanin"/>
            <w:color w:val="111111"/>
            <w:sz w:val="22"/>
            <w:szCs w:val="22"/>
            <w:b w:val="0"/>
            <w:bCs w:val="0"/>
            <w:i w:val="0"/>
            <w:iCs w:val="0"/>
          </w:rPr>
          <w:t>اسماء و القاب معصومین / تاریخ / فارسی</w:t>
        </w:r>
        <w:r>
          <w:tab/>
        </w:r>
        <w:r>
          <w:fldChar w:fldCharType="begin"/>
        </w:r>
        <w:r>
          <w:instrText xml:space="preserve">PAGEREF 1200 \h</w:instrText>
        </w:r>
        <w:r>
          <w:fldChar w:fldCharType="end"/>
        </w:r>
      </w:hyperlink>
    </w:p>
    <w:p>
      <w:pPr>
        <w:tabs>
          <w:tab w:val="right" w:leader="dot" w:pos="9062"/>
        </w:tabs>
        <w:ind w:left="440"/>
      </w:pPr>
      <w:hyperlink w:anchor="_Toc1201" w:history="1">
        <w:r>
          <w:rPr>
            <w:rFonts w:ascii="IRNazanin" w:hAnsi="IRNazanin" w:eastAsia="IRNazanin" w:cs="IRNazanin"/>
            <w:color w:val="111111"/>
            <w:sz w:val="22"/>
            <w:szCs w:val="22"/>
            <w:b w:val="0"/>
            <w:bCs w:val="0"/>
            <w:i w:val="0"/>
            <w:iCs w:val="0"/>
          </w:rPr>
          <w:t>اسماء و عزائم و طلسمات / علوم غریبه / عربی</w:t>
        </w:r>
        <w:r>
          <w:tab/>
        </w:r>
        <w:r>
          <w:fldChar w:fldCharType="begin"/>
        </w:r>
        <w:r>
          <w:instrText xml:space="preserve">PAGEREF 1201 \h</w:instrText>
        </w:r>
        <w:r>
          <w:fldChar w:fldCharType="end"/>
        </w:r>
      </w:hyperlink>
    </w:p>
    <w:p>
      <w:pPr>
        <w:tabs>
          <w:tab w:val="right" w:leader="dot" w:pos="9062"/>
        </w:tabs>
        <w:ind w:left="440"/>
      </w:pPr>
      <w:hyperlink w:anchor="_Toc1202" w:history="1">
        <w:r>
          <w:rPr>
            <w:rFonts w:ascii="IRNazanin" w:hAnsi="IRNazanin" w:eastAsia="IRNazanin" w:cs="IRNazanin"/>
            <w:color w:val="111111"/>
            <w:sz w:val="22"/>
            <w:szCs w:val="22"/>
            <w:b w:val="0"/>
            <w:bCs w:val="0"/>
            <w:i w:val="0"/>
            <w:iCs w:val="0"/>
          </w:rPr>
          <w:t>أسمار الأنوار - أسمار الأسرار / عرفان و تصوف / فارسی</w:t>
        </w:r>
        <w:r>
          <w:tab/>
        </w:r>
        <w:r>
          <w:fldChar w:fldCharType="begin"/>
        </w:r>
        <w:r>
          <w:instrText xml:space="preserve">PAGEREF 1202 \h</w:instrText>
        </w:r>
        <w:r>
          <w:fldChar w:fldCharType="end"/>
        </w:r>
      </w:hyperlink>
    </w:p>
    <w:p>
      <w:pPr>
        <w:tabs>
          <w:tab w:val="right" w:leader="dot" w:pos="9062"/>
        </w:tabs>
        <w:ind w:left="440"/>
      </w:pPr>
      <w:hyperlink w:anchor="_Toc1203" w:history="1">
        <w:r>
          <w:rPr>
            <w:rFonts w:ascii="IRNazanin" w:hAnsi="IRNazanin" w:eastAsia="IRNazanin" w:cs="IRNazanin"/>
            <w:color w:val="111111"/>
            <w:sz w:val="22"/>
            <w:szCs w:val="22"/>
            <w:b w:val="0"/>
            <w:bCs w:val="0"/>
            <w:i w:val="0"/>
            <w:iCs w:val="0"/>
          </w:rPr>
          <w:t>اسماع الصم فى اثبات الشرف من قبل الأم / متفرقه /  عربی</w:t>
        </w:r>
        <w:r>
          <w:tab/>
        </w:r>
        <w:r>
          <w:fldChar w:fldCharType="begin"/>
        </w:r>
        <w:r>
          <w:instrText xml:space="preserve">PAGEREF 1203 \h</w:instrText>
        </w:r>
        <w:r>
          <w:fldChar w:fldCharType="end"/>
        </w:r>
      </w:hyperlink>
    </w:p>
    <w:p>
      <w:pPr>
        <w:tabs>
          <w:tab w:val="right" w:leader="dot" w:pos="9062"/>
        </w:tabs>
        <w:ind w:left="440"/>
      </w:pPr>
      <w:hyperlink w:anchor="_Toc1204" w:history="1">
        <w:r>
          <w:rPr>
            <w:rFonts w:ascii="IRNazanin" w:hAnsi="IRNazanin" w:eastAsia="IRNazanin" w:cs="IRNazanin"/>
            <w:color w:val="111111"/>
            <w:sz w:val="22"/>
            <w:szCs w:val="22"/>
            <w:b w:val="0"/>
            <w:bCs w:val="0"/>
            <w:i w:val="0"/>
            <w:iCs w:val="0"/>
          </w:rPr>
          <w:t>اسماعیل ذبیح الله / شعر / فارسی</w:t>
        </w:r>
        <w:r>
          <w:tab/>
        </w:r>
        <w:r>
          <w:fldChar w:fldCharType="begin"/>
        </w:r>
        <w:r>
          <w:instrText xml:space="preserve">PAGEREF 1204 \h</w:instrText>
        </w:r>
        <w:r>
          <w:fldChar w:fldCharType="end"/>
        </w:r>
      </w:hyperlink>
    </w:p>
    <w:p>
      <w:pPr>
        <w:tabs>
          <w:tab w:val="right" w:leader="dot" w:pos="9062"/>
        </w:tabs>
        <w:ind w:left="440"/>
      </w:pPr>
      <w:hyperlink w:anchor="_Toc1205" w:history="1">
        <w:r>
          <w:rPr>
            <w:rFonts w:ascii="IRNazanin" w:hAnsi="IRNazanin" w:eastAsia="IRNazanin" w:cs="IRNazanin"/>
            <w:color w:val="111111"/>
            <w:sz w:val="22"/>
            <w:szCs w:val="22"/>
            <w:b w:val="0"/>
            <w:bCs w:val="0"/>
            <w:i w:val="0"/>
            <w:iCs w:val="0"/>
          </w:rPr>
          <w:t>اسماعیلی / فارسی</w:t>
        </w:r>
        <w:r>
          <w:tab/>
        </w:r>
        <w:r>
          <w:fldChar w:fldCharType="begin"/>
        </w:r>
        <w:r>
          <w:instrText xml:space="preserve">PAGEREF 1205 \h</w:instrText>
        </w:r>
        <w:r>
          <w:fldChar w:fldCharType="end"/>
        </w:r>
      </w:hyperlink>
    </w:p>
    <w:p>
      <w:pPr>
        <w:tabs>
          <w:tab w:val="right" w:leader="dot" w:pos="9062"/>
        </w:tabs>
        <w:ind w:left="440"/>
      </w:pPr>
      <w:hyperlink w:anchor="_Toc1206" w:history="1">
        <w:r>
          <w:rPr>
            <w:rFonts w:ascii="IRNazanin" w:hAnsi="IRNazanin" w:eastAsia="IRNazanin" w:cs="IRNazanin"/>
            <w:color w:val="111111"/>
            <w:sz w:val="22"/>
            <w:szCs w:val="22"/>
            <w:b w:val="0"/>
            <w:bCs w:val="0"/>
            <w:i w:val="0"/>
            <w:iCs w:val="0"/>
          </w:rPr>
          <w:t>اسماعیلی (منظومه) / شعر / فارسی</w:t>
        </w:r>
        <w:r>
          <w:tab/>
        </w:r>
        <w:r>
          <w:fldChar w:fldCharType="begin"/>
        </w:r>
        <w:r>
          <w:instrText xml:space="preserve">PAGEREF 1206 \h</w:instrText>
        </w:r>
        <w:r>
          <w:fldChar w:fldCharType="end"/>
        </w:r>
      </w:hyperlink>
    </w:p>
    <w:p>
      <w:pPr>
        <w:tabs>
          <w:tab w:val="right" w:leader="dot" w:pos="9062"/>
        </w:tabs>
        <w:ind w:left="440"/>
      </w:pPr>
      <w:hyperlink w:anchor="_Toc1207" w:history="1">
        <w:r>
          <w:rPr>
            <w:rFonts w:ascii="IRNazanin" w:hAnsi="IRNazanin" w:eastAsia="IRNazanin" w:cs="IRNazanin"/>
            <w:color w:val="111111"/>
            <w:sz w:val="22"/>
            <w:szCs w:val="22"/>
            <w:b w:val="0"/>
            <w:bCs w:val="0"/>
            <w:i w:val="0"/>
            <w:iCs w:val="0"/>
          </w:rPr>
          <w:t>اسماعیلی (منظومه) / پاسخ پرسش ها / فارسی</w:t>
        </w:r>
        <w:r>
          <w:tab/>
        </w:r>
        <w:r>
          <w:fldChar w:fldCharType="begin"/>
        </w:r>
        <w:r>
          <w:instrText xml:space="preserve">PAGEREF 1207 \h</w:instrText>
        </w:r>
        <w:r>
          <w:fldChar w:fldCharType="end"/>
        </w:r>
      </w:hyperlink>
    </w:p>
    <w:p>
      <w:pPr>
        <w:tabs>
          <w:tab w:val="right" w:leader="dot" w:pos="9062"/>
        </w:tabs>
        <w:ind w:left="440"/>
      </w:pPr>
      <w:hyperlink w:anchor="_Toc1208" w:history="1">
        <w:r>
          <w:rPr>
            <w:rFonts w:ascii="IRNazanin" w:hAnsi="IRNazanin" w:eastAsia="IRNazanin" w:cs="IRNazanin"/>
            <w:color w:val="111111"/>
            <w:sz w:val="22"/>
            <w:szCs w:val="22"/>
            <w:b w:val="0"/>
            <w:bCs w:val="0"/>
            <w:i w:val="0"/>
            <w:iCs w:val="0"/>
          </w:rPr>
          <w:t>اسماعیلیه / ادیان و مذاهب / فارسی</w:t>
        </w:r>
        <w:r>
          <w:tab/>
        </w:r>
        <w:r>
          <w:fldChar w:fldCharType="begin"/>
        </w:r>
        <w:r>
          <w:instrText xml:space="preserve">PAGEREF 1208 \h</w:instrText>
        </w:r>
        <w:r>
          <w:fldChar w:fldCharType="end"/>
        </w:r>
      </w:hyperlink>
    </w:p>
    <w:p>
      <w:pPr>
        <w:tabs>
          <w:tab w:val="right" w:leader="dot" w:pos="9062"/>
        </w:tabs>
        <w:ind w:left="440"/>
      </w:pPr>
      <w:hyperlink w:anchor="_Toc1209" w:history="1">
        <w:r>
          <w:rPr>
            <w:rFonts w:ascii="IRNazanin" w:hAnsi="IRNazanin" w:eastAsia="IRNazanin" w:cs="IRNazanin"/>
            <w:color w:val="111111"/>
            <w:sz w:val="22"/>
            <w:szCs w:val="22"/>
            <w:b w:val="0"/>
            <w:bCs w:val="0"/>
            <w:i w:val="0"/>
            <w:iCs w:val="0"/>
          </w:rPr>
          <w:t>الاسم الاعظم / اسماء الله /عربي</w:t>
        </w:r>
        <w:r>
          <w:tab/>
        </w:r>
        <w:r>
          <w:fldChar w:fldCharType="begin"/>
        </w:r>
        <w:r>
          <w:instrText xml:space="preserve">PAGEREF 1209 \h</w:instrText>
        </w:r>
        <w:r>
          <w:fldChar w:fldCharType="end"/>
        </w:r>
      </w:hyperlink>
    </w:p>
    <w:p>
      <w:pPr>
        <w:tabs>
          <w:tab w:val="right" w:leader="dot" w:pos="9062"/>
        </w:tabs>
        <w:ind w:left="440"/>
      </w:pPr>
      <w:hyperlink w:anchor="_Toc1210" w:history="1">
        <w:r>
          <w:rPr>
            <w:rFonts w:ascii="IRNazanin" w:hAnsi="IRNazanin" w:eastAsia="IRNazanin" w:cs="IRNazanin"/>
            <w:color w:val="111111"/>
            <w:sz w:val="22"/>
            <w:szCs w:val="22"/>
            <w:b w:val="0"/>
            <w:bCs w:val="0"/>
            <w:i w:val="0"/>
            <w:iCs w:val="0"/>
          </w:rPr>
          <w:t>الاسم الاعظم / اسماء الله /عربي</w:t>
        </w:r>
        <w:r>
          <w:tab/>
        </w:r>
        <w:r>
          <w:fldChar w:fldCharType="begin"/>
        </w:r>
        <w:r>
          <w:instrText xml:space="preserve">PAGEREF 1210 \h</w:instrText>
        </w:r>
        <w:r>
          <w:fldChar w:fldCharType="end"/>
        </w:r>
      </w:hyperlink>
    </w:p>
    <w:p>
      <w:pPr>
        <w:tabs>
          <w:tab w:val="right" w:leader="dot" w:pos="9062"/>
        </w:tabs>
        <w:ind w:left="440"/>
      </w:pPr>
      <w:hyperlink w:anchor="_Toc1211" w:history="1">
        <w:r>
          <w:rPr>
            <w:rFonts w:ascii="IRNazanin" w:hAnsi="IRNazanin" w:eastAsia="IRNazanin" w:cs="IRNazanin"/>
            <w:color w:val="111111"/>
            <w:sz w:val="22"/>
            <w:szCs w:val="22"/>
            <w:b w:val="0"/>
            <w:bCs w:val="0"/>
            <w:i w:val="0"/>
            <w:iCs w:val="0"/>
          </w:rPr>
          <w:t>الاسم الاعظم / اسماء الله /عربی و فارسی</w:t>
        </w:r>
        <w:r>
          <w:tab/>
        </w:r>
        <w:r>
          <w:fldChar w:fldCharType="begin"/>
        </w:r>
        <w:r>
          <w:instrText xml:space="preserve">PAGEREF 1211 \h</w:instrText>
        </w:r>
        <w:r>
          <w:fldChar w:fldCharType="end"/>
        </w:r>
      </w:hyperlink>
    </w:p>
    <w:p>
      <w:pPr>
        <w:tabs>
          <w:tab w:val="right" w:leader="dot" w:pos="9062"/>
        </w:tabs>
        <w:ind w:left="440"/>
      </w:pPr>
      <w:hyperlink w:anchor="_Toc1212" w:history="1">
        <w:r>
          <w:rPr>
            <w:rFonts w:ascii="IRNazanin" w:hAnsi="IRNazanin" w:eastAsia="IRNazanin" w:cs="IRNazanin"/>
            <w:color w:val="111111"/>
            <w:sz w:val="22"/>
            <w:szCs w:val="22"/>
            <w:b w:val="0"/>
            <w:bCs w:val="0"/>
            <w:i w:val="0"/>
            <w:iCs w:val="0"/>
          </w:rPr>
          <w:t>الاسم الاعظم و تحقيقات ما يتعلق به / اسماء الله / عربی</w:t>
        </w:r>
        <w:r>
          <w:tab/>
        </w:r>
        <w:r>
          <w:fldChar w:fldCharType="begin"/>
        </w:r>
        <w:r>
          <w:instrText xml:space="preserve">PAGEREF 1212 \h</w:instrText>
        </w:r>
        <w:r>
          <w:fldChar w:fldCharType="end"/>
        </w:r>
      </w:hyperlink>
    </w:p>
    <w:p>
      <w:pPr>
        <w:tabs>
          <w:tab w:val="right" w:leader="dot" w:pos="9062"/>
        </w:tabs>
        <w:ind w:left="440"/>
      </w:pPr>
      <w:hyperlink w:anchor="_Toc1213" w:history="1">
        <w:r>
          <w:rPr>
            <w:rFonts w:ascii="IRNazanin" w:hAnsi="IRNazanin" w:eastAsia="IRNazanin" w:cs="IRNazanin"/>
            <w:color w:val="111111"/>
            <w:sz w:val="22"/>
            <w:szCs w:val="22"/>
            <w:b w:val="0"/>
            <w:bCs w:val="0"/>
            <w:i w:val="0"/>
            <w:iCs w:val="0"/>
          </w:rPr>
          <w:t>اسم الجنس و علم الجنس / نحو / عربي</w:t>
        </w:r>
        <w:r>
          <w:tab/>
        </w:r>
        <w:r>
          <w:fldChar w:fldCharType="begin"/>
        </w:r>
        <w:r>
          <w:instrText xml:space="preserve">PAGEREF 1213 \h</w:instrText>
        </w:r>
        <w:r>
          <w:fldChar w:fldCharType="end"/>
        </w:r>
      </w:hyperlink>
    </w:p>
    <w:p>
      <w:pPr>
        <w:tabs>
          <w:tab w:val="right" w:leader="dot" w:pos="9062"/>
        </w:tabs>
        <w:ind w:left="440"/>
      </w:pPr>
      <w:hyperlink w:anchor="_Toc1214" w:history="1">
        <w:r>
          <w:rPr>
            <w:rFonts w:ascii="IRNazanin" w:hAnsi="IRNazanin" w:eastAsia="IRNazanin" w:cs="IRNazanin"/>
            <w:color w:val="111111"/>
            <w:sz w:val="22"/>
            <w:szCs w:val="22"/>
            <w:b w:val="0"/>
            <w:bCs w:val="0"/>
            <w:i w:val="0"/>
            <w:iCs w:val="0"/>
          </w:rPr>
          <w:t>الاسم الحقيقى عين المسمى / کلام و اعتقادات / فارسی</w:t>
        </w:r>
        <w:r>
          <w:tab/>
        </w:r>
        <w:r>
          <w:fldChar w:fldCharType="begin"/>
        </w:r>
        <w:r>
          <w:instrText xml:space="preserve">PAGEREF 1214 \h</w:instrText>
        </w:r>
        <w:r>
          <w:fldChar w:fldCharType="end"/>
        </w:r>
      </w:hyperlink>
    </w:p>
    <w:p>
      <w:pPr>
        <w:tabs>
          <w:tab w:val="right" w:leader="dot" w:pos="9062"/>
        </w:tabs>
        <w:ind w:left="440"/>
      </w:pPr>
      <w:hyperlink w:anchor="_Toc1215" w:history="1">
        <w:r>
          <w:rPr>
            <w:rFonts w:ascii="IRNazanin" w:hAnsi="IRNazanin" w:eastAsia="IRNazanin" w:cs="IRNazanin"/>
            <w:color w:val="111111"/>
            <w:sz w:val="22"/>
            <w:szCs w:val="22"/>
            <w:b w:val="0"/>
            <w:bCs w:val="0"/>
            <w:i w:val="0"/>
            <w:iCs w:val="0"/>
          </w:rPr>
          <w:t>اسم النبي في التوراة و الانجيل و الزبور / متفرقه /  عربی</w:t>
        </w:r>
        <w:r>
          <w:tab/>
        </w:r>
        <w:r>
          <w:fldChar w:fldCharType="begin"/>
        </w:r>
        <w:r>
          <w:instrText xml:space="preserve">PAGEREF 1215 \h</w:instrText>
        </w:r>
        <w:r>
          <w:fldChar w:fldCharType="end"/>
        </w:r>
      </w:hyperlink>
    </w:p>
    <w:p>
      <w:pPr>
        <w:tabs>
          <w:tab w:val="right" w:leader="dot" w:pos="9062"/>
        </w:tabs>
        <w:ind w:left="440"/>
      </w:pPr>
      <w:hyperlink w:anchor="_Toc1216" w:history="1">
        <w:r>
          <w:rPr>
            <w:rFonts w:ascii="IRNazanin" w:hAnsi="IRNazanin" w:eastAsia="IRNazanin" w:cs="IRNazanin"/>
            <w:color w:val="111111"/>
            <w:sz w:val="22"/>
            <w:szCs w:val="22"/>
            <w:b w:val="0"/>
            <w:bCs w:val="0"/>
            <w:i w:val="0"/>
            <w:iCs w:val="0"/>
          </w:rPr>
          <w:t>اسما و القاب چهارده معصوم / تاریخ معصومین / فارسی</w:t>
        </w:r>
        <w:r>
          <w:tab/>
        </w:r>
        <w:r>
          <w:fldChar w:fldCharType="begin"/>
        </w:r>
        <w:r>
          <w:instrText xml:space="preserve">PAGEREF 1216 \h</w:instrText>
        </w:r>
        <w:r>
          <w:fldChar w:fldCharType="end"/>
        </w:r>
      </w:hyperlink>
    </w:p>
    <w:p>
      <w:pPr>
        <w:tabs>
          <w:tab w:val="right" w:leader="dot" w:pos="9062"/>
        </w:tabs>
        <w:ind w:left="440"/>
      </w:pPr>
      <w:hyperlink w:anchor="_Toc1217" w:history="1">
        <w:r>
          <w:rPr>
            <w:rFonts w:ascii="IRNazanin" w:hAnsi="IRNazanin" w:eastAsia="IRNazanin" w:cs="IRNazanin"/>
            <w:color w:val="111111"/>
            <w:sz w:val="22"/>
            <w:szCs w:val="22"/>
            <w:b w:val="0"/>
            <w:bCs w:val="0"/>
            <w:i w:val="0"/>
            <w:iCs w:val="0"/>
          </w:rPr>
          <w:t>اسم اولاد ناصرالدین شاه / تاریخ ایران / فارسی</w:t>
        </w:r>
        <w:r>
          <w:tab/>
        </w:r>
        <w:r>
          <w:fldChar w:fldCharType="begin"/>
        </w:r>
        <w:r>
          <w:instrText xml:space="preserve">PAGEREF 1217 \h</w:instrText>
        </w:r>
        <w:r>
          <w:fldChar w:fldCharType="end"/>
        </w:r>
      </w:hyperlink>
    </w:p>
    <w:p>
      <w:pPr>
        <w:tabs>
          <w:tab w:val="right" w:leader="dot" w:pos="9062"/>
        </w:tabs>
        <w:ind w:left="440"/>
      </w:pPr>
      <w:hyperlink w:anchor="_Toc1218" w:history="1">
        <w:r>
          <w:rPr>
            <w:rFonts w:ascii="IRNazanin" w:hAnsi="IRNazanin" w:eastAsia="IRNazanin" w:cs="IRNazanin"/>
            <w:color w:val="111111"/>
            <w:sz w:val="22"/>
            <w:szCs w:val="22"/>
            <w:b w:val="0"/>
            <w:bCs w:val="0"/>
            <w:i w:val="0"/>
            <w:iCs w:val="0"/>
          </w:rPr>
          <w:t>اسمای کاسه در عربی / ادبیات / فارسی</w:t>
        </w:r>
        <w:r>
          <w:tab/>
        </w:r>
        <w:r>
          <w:fldChar w:fldCharType="begin"/>
        </w:r>
        <w:r>
          <w:instrText xml:space="preserve">PAGEREF 1218 \h</w:instrText>
        </w:r>
        <w:r>
          <w:fldChar w:fldCharType="end"/>
        </w:r>
      </w:hyperlink>
    </w:p>
    <w:p>
      <w:pPr>
        <w:tabs>
          <w:tab w:val="right" w:leader="dot" w:pos="9062"/>
        </w:tabs>
        <w:ind w:left="440"/>
      </w:pPr>
      <w:hyperlink w:anchor="_Toc1219" w:history="1">
        <w:r>
          <w:rPr>
            <w:rFonts w:ascii="IRNazanin" w:hAnsi="IRNazanin" w:eastAsia="IRNazanin" w:cs="IRNazanin"/>
            <w:color w:val="111111"/>
            <w:sz w:val="22"/>
            <w:szCs w:val="22"/>
            <w:b w:val="0"/>
            <w:bCs w:val="0"/>
            <w:i w:val="0"/>
            <w:iCs w:val="0"/>
          </w:rPr>
          <w:t>اسمع البديع / حدیث / فارسی</w:t>
        </w:r>
        <w:r>
          <w:tab/>
        </w:r>
        <w:r>
          <w:fldChar w:fldCharType="begin"/>
        </w:r>
        <w:r>
          <w:instrText xml:space="preserve">PAGEREF 1219 \h</w:instrText>
        </w:r>
        <w:r>
          <w:fldChar w:fldCharType="end"/>
        </w:r>
      </w:hyperlink>
    </w:p>
    <w:p>
      <w:pPr>
        <w:tabs>
          <w:tab w:val="right" w:leader="dot" w:pos="9062"/>
        </w:tabs>
        <w:ind w:left="440"/>
      </w:pPr>
      <w:hyperlink w:anchor="_Toc1220" w:history="1">
        <w:r>
          <w:rPr>
            <w:rFonts w:ascii="IRNazanin" w:hAnsi="IRNazanin" w:eastAsia="IRNazanin" w:cs="IRNazanin"/>
            <w:color w:val="111111"/>
            <w:sz w:val="22"/>
            <w:szCs w:val="22"/>
            <w:b w:val="0"/>
            <w:bCs w:val="0"/>
            <w:i w:val="0"/>
            <w:iCs w:val="0"/>
          </w:rPr>
          <w:t>الاسم و المسمى / ادبیات / عربی</w:t>
        </w:r>
        <w:r>
          <w:tab/>
        </w:r>
        <w:r>
          <w:fldChar w:fldCharType="begin"/>
        </w:r>
        <w:r>
          <w:instrText xml:space="preserve">PAGEREF 1220 \h</w:instrText>
        </w:r>
        <w:r>
          <w:fldChar w:fldCharType="end"/>
        </w:r>
      </w:hyperlink>
    </w:p>
    <w:p>
      <w:pPr>
        <w:tabs>
          <w:tab w:val="right" w:leader="dot" w:pos="9062"/>
        </w:tabs>
        <w:ind w:left="440"/>
      </w:pPr>
      <w:hyperlink w:anchor="_Toc1221" w:history="1">
        <w:r>
          <w:rPr>
            <w:rFonts w:ascii="IRNazanin" w:hAnsi="IRNazanin" w:eastAsia="IRNazanin" w:cs="IRNazanin"/>
            <w:color w:val="111111"/>
            <w:sz w:val="22"/>
            <w:szCs w:val="22"/>
            <w:b w:val="0"/>
            <w:bCs w:val="0"/>
            <w:i w:val="0"/>
            <w:iCs w:val="0"/>
          </w:rPr>
          <w:t>الاسمى فى الاسماء / لغت / عربي</w:t>
        </w:r>
        <w:r>
          <w:tab/>
        </w:r>
        <w:r>
          <w:fldChar w:fldCharType="begin"/>
        </w:r>
        <w:r>
          <w:instrText xml:space="preserve">PAGEREF 1221 \h</w:instrText>
        </w:r>
        <w:r>
          <w:fldChar w:fldCharType="end"/>
        </w:r>
      </w:hyperlink>
    </w:p>
    <w:p>
      <w:pPr>
        <w:tabs>
          <w:tab w:val="right" w:leader="dot" w:pos="9062"/>
        </w:tabs>
        <w:ind w:left="440"/>
      </w:pPr>
      <w:hyperlink w:anchor="_Toc1222" w:history="1">
        <w:r>
          <w:rPr>
            <w:rFonts w:ascii="IRNazanin" w:hAnsi="IRNazanin" w:eastAsia="IRNazanin" w:cs="IRNazanin"/>
            <w:color w:val="111111"/>
            <w:sz w:val="22"/>
            <w:szCs w:val="22"/>
            <w:b w:val="0"/>
            <w:bCs w:val="0"/>
            <w:i w:val="0"/>
            <w:iCs w:val="0"/>
          </w:rPr>
          <w:t>الاسناد / اسناد / عربی</w:t>
        </w:r>
        <w:r>
          <w:tab/>
        </w:r>
        <w:r>
          <w:fldChar w:fldCharType="begin"/>
        </w:r>
        <w:r>
          <w:instrText xml:space="preserve">PAGEREF 1222 \h</w:instrText>
        </w:r>
        <w:r>
          <w:fldChar w:fldCharType="end"/>
        </w:r>
      </w:hyperlink>
    </w:p>
    <w:p>
      <w:pPr>
        <w:tabs>
          <w:tab w:val="right" w:leader="dot" w:pos="9062"/>
        </w:tabs>
        <w:ind w:left="440"/>
      </w:pPr>
      <w:hyperlink w:anchor="_Toc1223" w:history="1">
        <w:r>
          <w:rPr>
            <w:rFonts w:ascii="IRNazanin" w:hAnsi="IRNazanin" w:eastAsia="IRNazanin" w:cs="IRNazanin"/>
            <w:color w:val="111111"/>
            <w:sz w:val="22"/>
            <w:szCs w:val="22"/>
            <w:b w:val="0"/>
            <w:bCs w:val="0"/>
            <w:i w:val="0"/>
            <w:iCs w:val="0"/>
          </w:rPr>
          <w:t>اسناد / دعا / عربی</w:t>
        </w:r>
        <w:r>
          <w:tab/>
        </w:r>
        <w:r>
          <w:fldChar w:fldCharType="begin"/>
        </w:r>
        <w:r>
          <w:instrText xml:space="preserve">PAGEREF 1223 \h</w:instrText>
        </w:r>
        <w:r>
          <w:fldChar w:fldCharType="end"/>
        </w:r>
      </w:hyperlink>
    </w:p>
    <w:p>
      <w:pPr>
        <w:tabs>
          <w:tab w:val="right" w:leader="dot" w:pos="9062"/>
        </w:tabs>
        <w:ind w:left="440"/>
      </w:pPr>
      <w:hyperlink w:anchor="_Toc1224" w:history="1">
        <w:r>
          <w:rPr>
            <w:rFonts w:ascii="IRNazanin" w:hAnsi="IRNazanin" w:eastAsia="IRNazanin" w:cs="IRNazanin"/>
            <w:color w:val="111111"/>
            <w:sz w:val="22"/>
            <w:szCs w:val="22"/>
            <w:b w:val="0"/>
            <w:bCs w:val="0"/>
            <w:i w:val="0"/>
            <w:iCs w:val="0"/>
          </w:rPr>
          <w:t>اسناد / اسناد / فارسی</w:t>
        </w:r>
        <w:r>
          <w:tab/>
        </w:r>
        <w:r>
          <w:fldChar w:fldCharType="begin"/>
        </w:r>
        <w:r>
          <w:instrText xml:space="preserve">PAGEREF 1224 \h</w:instrText>
        </w:r>
        <w:r>
          <w:fldChar w:fldCharType="end"/>
        </w:r>
      </w:hyperlink>
    </w:p>
    <w:p>
      <w:pPr>
        <w:tabs>
          <w:tab w:val="right" w:leader="dot" w:pos="9062"/>
        </w:tabs>
        <w:ind w:left="440"/>
      </w:pPr>
      <w:hyperlink w:anchor="_Toc1225" w:history="1">
        <w:r>
          <w:rPr>
            <w:rFonts w:ascii="IRNazanin" w:hAnsi="IRNazanin" w:eastAsia="IRNazanin" w:cs="IRNazanin"/>
            <w:color w:val="111111"/>
            <w:sz w:val="22"/>
            <w:szCs w:val="22"/>
            <w:b w:val="0"/>
            <w:bCs w:val="0"/>
            <w:i w:val="0"/>
            <w:iCs w:val="0"/>
          </w:rPr>
          <w:t>اسناد آستانه امامزاده عبدالعظیم در شهرری / اسـناد / فارسی</w:t>
        </w:r>
        <w:r>
          <w:tab/>
        </w:r>
        <w:r>
          <w:fldChar w:fldCharType="begin"/>
        </w:r>
        <w:r>
          <w:instrText xml:space="preserve">PAGEREF 1225 \h</w:instrText>
        </w:r>
        <w:r>
          <w:fldChar w:fldCharType="end"/>
        </w:r>
      </w:hyperlink>
    </w:p>
    <w:p>
      <w:pPr>
        <w:tabs>
          <w:tab w:val="right" w:leader="dot" w:pos="9062"/>
        </w:tabs>
        <w:ind w:left="440"/>
      </w:pPr>
      <w:hyperlink w:anchor="_Toc1226" w:history="1">
        <w:r>
          <w:rPr>
            <w:rFonts w:ascii="IRNazanin" w:hAnsi="IRNazanin" w:eastAsia="IRNazanin" w:cs="IRNazanin"/>
            <w:color w:val="111111"/>
            <w:sz w:val="22"/>
            <w:szCs w:val="22"/>
            <w:b w:val="0"/>
            <w:bCs w:val="0"/>
            <w:i w:val="0"/>
            <w:iCs w:val="0"/>
          </w:rPr>
          <w:t>اسناد آستانه درویش تاج الدین حسن ابی الحسین  ولی / اسناد / فارسی</w:t>
        </w:r>
        <w:r>
          <w:tab/>
        </w:r>
        <w:r>
          <w:fldChar w:fldCharType="begin"/>
        </w:r>
        <w:r>
          <w:instrText xml:space="preserve">PAGEREF 1226 \h</w:instrText>
        </w:r>
        <w:r>
          <w:fldChar w:fldCharType="end"/>
        </w:r>
      </w:hyperlink>
    </w:p>
    <w:p>
      <w:pPr>
        <w:tabs>
          <w:tab w:val="right" w:leader="dot" w:pos="9062"/>
        </w:tabs>
        <w:ind w:left="440"/>
      </w:pPr>
      <w:hyperlink w:anchor="_Toc1227" w:history="1">
        <w:r>
          <w:rPr>
            <w:rFonts w:ascii="IRNazanin" w:hAnsi="IRNazanin" w:eastAsia="IRNazanin" w:cs="IRNazanin"/>
            <w:color w:val="111111"/>
            <w:sz w:val="22"/>
            <w:szCs w:val="22"/>
            <w:b w:val="0"/>
            <w:bCs w:val="0"/>
            <w:i w:val="0"/>
            <w:iCs w:val="0"/>
          </w:rPr>
          <w:t>اسناد آیات بزرگوار / اسناد / عربی – فارسی</w:t>
        </w:r>
        <w:r>
          <w:tab/>
        </w:r>
        <w:r>
          <w:fldChar w:fldCharType="begin"/>
        </w:r>
        <w:r>
          <w:instrText xml:space="preserve">PAGEREF 1227 \h</w:instrText>
        </w:r>
        <w:r>
          <w:fldChar w:fldCharType="end"/>
        </w:r>
      </w:hyperlink>
    </w:p>
    <w:p>
      <w:pPr>
        <w:tabs>
          <w:tab w:val="right" w:leader="dot" w:pos="9062"/>
        </w:tabs>
        <w:ind w:left="440"/>
      </w:pPr>
      <w:hyperlink w:anchor="_Toc1228" w:history="1">
        <w:r>
          <w:rPr>
            <w:rFonts w:ascii="IRNazanin" w:hAnsi="IRNazanin" w:eastAsia="IRNazanin" w:cs="IRNazanin"/>
            <w:color w:val="111111"/>
            <w:sz w:val="22"/>
            <w:szCs w:val="22"/>
            <w:b w:val="0"/>
            <w:bCs w:val="0"/>
            <w:i w:val="0"/>
            <w:iCs w:val="0"/>
          </w:rPr>
          <w:t>اسناد احتشام الدوله / اسناد / فارسی</w:t>
        </w:r>
        <w:r>
          <w:tab/>
        </w:r>
        <w:r>
          <w:fldChar w:fldCharType="begin"/>
        </w:r>
        <w:r>
          <w:instrText xml:space="preserve">PAGEREF 1228 \h</w:instrText>
        </w:r>
        <w:r>
          <w:fldChar w:fldCharType="end"/>
        </w:r>
      </w:hyperlink>
    </w:p>
    <w:p>
      <w:pPr>
        <w:tabs>
          <w:tab w:val="right" w:leader="dot" w:pos="9062"/>
        </w:tabs>
        <w:ind w:left="440"/>
      </w:pPr>
      <w:hyperlink w:anchor="_Toc1229" w:history="1">
        <w:r>
          <w:rPr>
            <w:rFonts w:ascii="IRNazanin" w:hAnsi="IRNazanin" w:eastAsia="IRNazanin" w:cs="IRNazanin"/>
            <w:color w:val="111111"/>
            <w:sz w:val="22"/>
            <w:szCs w:val="22"/>
            <w:b w:val="0"/>
            <w:bCs w:val="0"/>
            <w:i w:val="0"/>
            <w:iCs w:val="0"/>
          </w:rPr>
          <w:t>اسناد احزاب سیاسی ایران / اسناد / فارسی</w:t>
        </w:r>
        <w:r>
          <w:tab/>
        </w:r>
        <w:r>
          <w:fldChar w:fldCharType="begin"/>
        </w:r>
        <w:r>
          <w:instrText xml:space="preserve">PAGEREF 1229 \h</w:instrText>
        </w:r>
        <w:r>
          <w:fldChar w:fldCharType="end"/>
        </w:r>
      </w:hyperlink>
    </w:p>
    <w:p>
      <w:pPr>
        <w:tabs>
          <w:tab w:val="right" w:leader="dot" w:pos="9062"/>
        </w:tabs>
        <w:ind w:left="440"/>
      </w:pPr>
      <w:hyperlink w:anchor="_Toc1230" w:history="1">
        <w:r>
          <w:rPr>
            <w:rFonts w:ascii="IRNazanin" w:hAnsi="IRNazanin" w:eastAsia="IRNazanin" w:cs="IRNazanin"/>
            <w:color w:val="111111"/>
            <w:sz w:val="22"/>
            <w:szCs w:val="22"/>
            <w:b w:val="0"/>
            <w:bCs w:val="0"/>
            <w:i w:val="0"/>
            <w:iCs w:val="0"/>
          </w:rPr>
          <w:t>اسناد اداری دانشگاه / اسناد / فارسی</w:t>
        </w:r>
        <w:r>
          <w:tab/>
        </w:r>
        <w:r>
          <w:fldChar w:fldCharType="begin"/>
        </w:r>
        <w:r>
          <w:instrText xml:space="preserve">PAGEREF 1230 \h</w:instrText>
        </w:r>
        <w:r>
          <w:fldChar w:fldCharType="end"/>
        </w:r>
      </w:hyperlink>
    </w:p>
    <w:p>
      <w:pPr>
        <w:tabs>
          <w:tab w:val="right" w:leader="dot" w:pos="9062"/>
        </w:tabs>
        <w:ind w:left="440"/>
      </w:pPr>
      <w:hyperlink w:anchor="_Toc1231" w:history="1">
        <w:r>
          <w:rPr>
            <w:rFonts w:ascii="IRNazanin" w:hAnsi="IRNazanin" w:eastAsia="IRNazanin" w:cs="IRNazanin"/>
            <w:color w:val="111111"/>
            <w:sz w:val="22"/>
            <w:szCs w:val="22"/>
            <w:b w:val="0"/>
            <w:bCs w:val="0"/>
            <w:i w:val="0"/>
            <w:iCs w:val="0"/>
          </w:rPr>
          <w:t>اسناد ادعية السر / اجازات / عربي</w:t>
        </w:r>
        <w:r>
          <w:tab/>
        </w:r>
        <w:r>
          <w:fldChar w:fldCharType="begin"/>
        </w:r>
        <w:r>
          <w:instrText xml:space="preserve">PAGEREF 1231 \h</w:instrText>
        </w:r>
        <w:r>
          <w:fldChar w:fldCharType="end"/>
        </w:r>
      </w:hyperlink>
    </w:p>
    <w:p>
      <w:pPr>
        <w:tabs>
          <w:tab w:val="right" w:leader="dot" w:pos="9062"/>
        </w:tabs>
        <w:ind w:left="440"/>
      </w:pPr>
      <w:hyperlink w:anchor="_Toc1232" w:history="1">
        <w:r>
          <w:rPr>
            <w:rFonts w:ascii="IRNazanin" w:hAnsi="IRNazanin" w:eastAsia="IRNazanin" w:cs="IRNazanin"/>
            <w:color w:val="111111"/>
            <w:sz w:val="22"/>
            <w:szCs w:val="22"/>
            <w:b w:val="0"/>
            <w:bCs w:val="0"/>
            <w:i w:val="0"/>
            <w:iCs w:val="0"/>
          </w:rPr>
          <w:t>اسناد استرآباد / اسناد / فارسی</w:t>
        </w:r>
        <w:r>
          <w:tab/>
        </w:r>
        <w:r>
          <w:fldChar w:fldCharType="begin"/>
        </w:r>
        <w:r>
          <w:instrText xml:space="preserve">PAGEREF 1232 \h</w:instrText>
        </w:r>
        <w:r>
          <w:fldChar w:fldCharType="end"/>
        </w:r>
      </w:hyperlink>
    </w:p>
    <w:p>
      <w:pPr>
        <w:tabs>
          <w:tab w:val="right" w:leader="dot" w:pos="9062"/>
        </w:tabs>
        <w:ind w:left="440"/>
      </w:pPr>
      <w:hyperlink w:anchor="_Toc1233" w:history="1">
        <w:r>
          <w:rPr>
            <w:rFonts w:ascii="IRNazanin" w:hAnsi="IRNazanin" w:eastAsia="IRNazanin" w:cs="IRNazanin"/>
            <w:color w:val="111111"/>
            <w:sz w:val="22"/>
            <w:szCs w:val="22"/>
            <w:b w:val="0"/>
            <w:bCs w:val="0"/>
            <w:i w:val="0"/>
            <w:iCs w:val="0"/>
          </w:rPr>
          <w:t>اسناد الاحادیث / رجال / عربی</w:t>
        </w:r>
        <w:r>
          <w:tab/>
        </w:r>
        <w:r>
          <w:fldChar w:fldCharType="begin"/>
        </w:r>
        <w:r>
          <w:instrText xml:space="preserve">PAGEREF 1233 \h</w:instrText>
        </w:r>
        <w:r>
          <w:fldChar w:fldCharType="end"/>
        </w:r>
      </w:hyperlink>
    </w:p>
    <w:p>
      <w:pPr>
        <w:tabs>
          <w:tab w:val="right" w:leader="dot" w:pos="9062"/>
        </w:tabs>
        <w:ind w:left="440"/>
      </w:pPr>
      <w:hyperlink w:anchor="_Toc1234" w:history="1">
        <w:r>
          <w:rPr>
            <w:rFonts w:ascii="IRNazanin" w:hAnsi="IRNazanin" w:eastAsia="IRNazanin" w:cs="IRNazanin"/>
            <w:color w:val="111111"/>
            <w:sz w:val="22"/>
            <w:szCs w:val="22"/>
            <w:b w:val="0"/>
            <w:bCs w:val="0"/>
            <w:i w:val="0"/>
            <w:iCs w:val="0"/>
          </w:rPr>
          <w:t>اسناد املاک نیشابور و طوس و سبزوار / اسناد / فارس</w:t>
        </w:r>
        <w:r>
          <w:tab/>
        </w:r>
        <w:r>
          <w:fldChar w:fldCharType="begin"/>
        </w:r>
        <w:r>
          <w:instrText xml:space="preserve">PAGEREF 1234 \h</w:instrText>
        </w:r>
        <w:r>
          <w:fldChar w:fldCharType="end"/>
        </w:r>
      </w:hyperlink>
    </w:p>
    <w:p>
      <w:pPr>
        <w:tabs>
          <w:tab w:val="right" w:leader="dot" w:pos="9062"/>
        </w:tabs>
        <w:ind w:left="440"/>
      </w:pPr>
      <w:hyperlink w:anchor="_Toc1235" w:history="1">
        <w:r>
          <w:rPr>
            <w:rFonts w:ascii="IRNazanin" w:hAnsi="IRNazanin" w:eastAsia="IRNazanin" w:cs="IRNazanin"/>
            <w:color w:val="111111"/>
            <w:sz w:val="22"/>
            <w:szCs w:val="22"/>
            <w:b w:val="0"/>
            <w:bCs w:val="0"/>
            <w:i w:val="0"/>
            <w:iCs w:val="0"/>
          </w:rPr>
          <w:t>اسناد امین الدوله فرخ خان / اسناد / فارسی</w:t>
        </w:r>
        <w:r>
          <w:tab/>
        </w:r>
        <w:r>
          <w:fldChar w:fldCharType="begin"/>
        </w:r>
        <w:r>
          <w:instrText xml:space="preserve">PAGEREF 1235 \h</w:instrText>
        </w:r>
        <w:r>
          <w:fldChar w:fldCharType="end"/>
        </w:r>
      </w:hyperlink>
    </w:p>
    <w:p>
      <w:pPr>
        <w:tabs>
          <w:tab w:val="right" w:leader="dot" w:pos="9062"/>
        </w:tabs>
        <w:ind w:left="440"/>
      </w:pPr>
      <w:hyperlink w:anchor="_Toc1236" w:history="1">
        <w:r>
          <w:rPr>
            <w:rFonts w:ascii="IRNazanin" w:hAnsi="IRNazanin" w:eastAsia="IRNazanin" w:cs="IRNazanin"/>
            <w:color w:val="111111"/>
            <w:sz w:val="22"/>
            <w:szCs w:val="22"/>
            <w:b w:val="0"/>
            <w:bCs w:val="0"/>
            <w:i w:val="0"/>
            <w:iCs w:val="0"/>
          </w:rPr>
          <w:t>اسناد انجمن ایالتی آذر بایجان / اسناد / فارسی</w:t>
        </w:r>
        <w:r>
          <w:tab/>
        </w:r>
        <w:r>
          <w:fldChar w:fldCharType="begin"/>
        </w:r>
        <w:r>
          <w:instrText xml:space="preserve">PAGEREF 1236 \h</w:instrText>
        </w:r>
        <w:r>
          <w:fldChar w:fldCharType="end"/>
        </w:r>
      </w:hyperlink>
    </w:p>
    <w:p>
      <w:pPr>
        <w:tabs>
          <w:tab w:val="right" w:leader="dot" w:pos="9062"/>
        </w:tabs>
        <w:ind w:left="440"/>
      </w:pPr>
      <w:hyperlink w:anchor="_Toc1237" w:history="1">
        <w:r>
          <w:rPr>
            <w:rFonts w:ascii="IRNazanin" w:hAnsi="IRNazanin" w:eastAsia="IRNazanin" w:cs="IRNazanin"/>
            <w:color w:val="111111"/>
            <w:sz w:val="22"/>
            <w:szCs w:val="22"/>
            <w:b w:val="0"/>
            <w:bCs w:val="0"/>
            <w:i w:val="0"/>
            <w:iCs w:val="0"/>
          </w:rPr>
          <w:t>اسناد اوراد فتحیه / عرفان و تصوف / فارسی</w:t>
        </w:r>
        <w:r>
          <w:tab/>
        </w:r>
        <w:r>
          <w:fldChar w:fldCharType="begin"/>
        </w:r>
        <w:r>
          <w:instrText xml:space="preserve">PAGEREF 1237 \h</w:instrText>
        </w:r>
        <w:r>
          <w:fldChar w:fldCharType="end"/>
        </w:r>
      </w:hyperlink>
    </w:p>
    <w:p>
      <w:pPr>
        <w:tabs>
          <w:tab w:val="right" w:leader="dot" w:pos="9062"/>
        </w:tabs>
        <w:ind w:left="440"/>
      </w:pPr>
      <w:hyperlink w:anchor="_Toc1238" w:history="1">
        <w:r>
          <w:rPr>
            <w:rFonts w:ascii="IRNazanin" w:hAnsi="IRNazanin" w:eastAsia="IRNazanin" w:cs="IRNazanin"/>
            <w:color w:val="111111"/>
            <w:sz w:val="22"/>
            <w:szCs w:val="22"/>
            <w:b w:val="0"/>
            <w:bCs w:val="0"/>
            <w:i w:val="0"/>
            <w:iCs w:val="0"/>
          </w:rPr>
          <w:t>اسناد ایرانی گاردان / اسناد / فارسی</w:t>
        </w:r>
        <w:r>
          <w:tab/>
        </w:r>
        <w:r>
          <w:fldChar w:fldCharType="begin"/>
        </w:r>
        <w:r>
          <w:instrText xml:space="preserve">PAGEREF 1238 \h</w:instrText>
        </w:r>
        <w:r>
          <w:fldChar w:fldCharType="end"/>
        </w:r>
      </w:hyperlink>
    </w:p>
    <w:p>
      <w:pPr>
        <w:tabs>
          <w:tab w:val="right" w:leader="dot" w:pos="9062"/>
        </w:tabs>
        <w:ind w:left="440"/>
      </w:pPr>
      <w:hyperlink w:anchor="_Toc1239" w:history="1">
        <w:r>
          <w:rPr>
            <w:rFonts w:ascii="IRNazanin" w:hAnsi="IRNazanin" w:eastAsia="IRNazanin" w:cs="IRNazanin"/>
            <w:color w:val="111111"/>
            <w:sz w:val="22"/>
            <w:szCs w:val="22"/>
            <w:b w:val="0"/>
            <w:bCs w:val="0"/>
            <w:i w:val="0"/>
            <w:iCs w:val="0"/>
          </w:rPr>
          <w:t>اسناد پلتیکی مملکت مصر = امور مملکت مصر  = امور دولت مصر / اسناد / فارسی</w:t>
        </w:r>
        <w:r>
          <w:tab/>
        </w:r>
        <w:r>
          <w:fldChar w:fldCharType="begin"/>
        </w:r>
        <w:r>
          <w:instrText xml:space="preserve">PAGEREF 1239 \h</w:instrText>
        </w:r>
        <w:r>
          <w:fldChar w:fldCharType="end"/>
        </w:r>
      </w:hyperlink>
    </w:p>
    <w:p>
      <w:pPr>
        <w:tabs>
          <w:tab w:val="right" w:leader="dot" w:pos="9062"/>
        </w:tabs>
        <w:ind w:left="440"/>
      </w:pPr>
      <w:hyperlink w:anchor="_Toc1240" w:history="1">
        <w:r>
          <w:rPr>
            <w:rFonts w:ascii="IRNazanin" w:hAnsi="IRNazanin" w:eastAsia="IRNazanin" w:cs="IRNazanin"/>
            <w:color w:val="111111"/>
            <w:sz w:val="22"/>
            <w:szCs w:val="22"/>
            <w:b w:val="0"/>
            <w:bCs w:val="0"/>
            <w:i w:val="0"/>
            <w:iCs w:val="0"/>
          </w:rPr>
          <w:t>اسناد پلتیکی مملکت مصر = امور مملکت مصر =  امور دولت مصر / اسناد / فارسی</w:t>
        </w:r>
        <w:r>
          <w:tab/>
        </w:r>
        <w:r>
          <w:fldChar w:fldCharType="begin"/>
        </w:r>
        <w:r>
          <w:instrText xml:space="preserve">PAGEREF 1240 \h</w:instrText>
        </w:r>
        <w:r>
          <w:fldChar w:fldCharType="end"/>
        </w:r>
      </w:hyperlink>
    </w:p>
    <w:p>
      <w:pPr>
        <w:tabs>
          <w:tab w:val="right" w:leader="dot" w:pos="9062"/>
        </w:tabs>
        <w:ind w:left="440"/>
      </w:pPr>
      <w:hyperlink w:anchor="_Toc1241" w:history="1">
        <w:r>
          <w:rPr>
            <w:rFonts w:ascii="IRNazanin" w:hAnsi="IRNazanin" w:eastAsia="IRNazanin" w:cs="IRNazanin"/>
            <w:color w:val="111111"/>
            <w:sz w:val="22"/>
            <w:szCs w:val="22"/>
            <w:b w:val="0"/>
            <w:bCs w:val="0"/>
            <w:i w:val="0"/>
            <w:iCs w:val="0"/>
          </w:rPr>
          <w:t>اسناد پنجاه و پنج آیه / علوم قرآن / فارسی</w:t>
        </w:r>
        <w:r>
          <w:tab/>
        </w:r>
        <w:r>
          <w:fldChar w:fldCharType="begin"/>
        </w:r>
        <w:r>
          <w:instrText xml:space="preserve">PAGEREF 1241 \h</w:instrText>
        </w:r>
        <w:r>
          <w:fldChar w:fldCharType="end"/>
        </w:r>
      </w:hyperlink>
    </w:p>
    <w:p>
      <w:pPr>
        <w:tabs>
          <w:tab w:val="right" w:leader="dot" w:pos="9062"/>
        </w:tabs>
        <w:ind w:left="440"/>
      </w:pPr>
      <w:hyperlink w:anchor="_Toc1242" w:history="1">
        <w:r>
          <w:rPr>
            <w:rFonts w:ascii="IRNazanin" w:hAnsi="IRNazanin" w:eastAsia="IRNazanin" w:cs="IRNazanin"/>
            <w:color w:val="111111"/>
            <w:sz w:val="22"/>
            <w:szCs w:val="22"/>
            <w:b w:val="0"/>
            <w:bCs w:val="0"/>
            <w:i w:val="0"/>
            <w:iCs w:val="0"/>
          </w:rPr>
          <w:t>اسناد تاریخی / اسناد / فارسی</w:t>
        </w:r>
        <w:r>
          <w:tab/>
        </w:r>
        <w:r>
          <w:fldChar w:fldCharType="begin"/>
        </w:r>
        <w:r>
          <w:instrText xml:space="preserve">PAGEREF 1242 \h</w:instrText>
        </w:r>
        <w:r>
          <w:fldChar w:fldCharType="end"/>
        </w:r>
      </w:hyperlink>
    </w:p>
    <w:p>
      <w:pPr>
        <w:tabs>
          <w:tab w:val="right" w:leader="dot" w:pos="9062"/>
        </w:tabs>
        <w:ind w:left="440"/>
      </w:pPr>
      <w:hyperlink w:anchor="_Toc1243" w:history="1">
        <w:r>
          <w:rPr>
            <w:rFonts w:ascii="IRNazanin" w:hAnsi="IRNazanin" w:eastAsia="IRNazanin" w:cs="IRNazanin"/>
            <w:color w:val="111111"/>
            <w:sz w:val="22"/>
            <w:szCs w:val="22"/>
            <w:b w:val="0"/>
            <w:bCs w:val="0"/>
            <w:i w:val="0"/>
            <w:iCs w:val="0"/>
          </w:rPr>
          <w:t>اسناد تاریخی ایران و دولتهای دیگر / اسناد / فارسی</w:t>
        </w:r>
        <w:r>
          <w:tab/>
        </w:r>
        <w:r>
          <w:fldChar w:fldCharType="begin"/>
        </w:r>
        <w:r>
          <w:instrText xml:space="preserve">PAGEREF 1243 \h</w:instrText>
        </w:r>
        <w:r>
          <w:fldChar w:fldCharType="end"/>
        </w:r>
      </w:hyperlink>
    </w:p>
    <w:p>
      <w:pPr>
        <w:tabs>
          <w:tab w:val="right" w:leader="dot" w:pos="9062"/>
        </w:tabs>
        <w:ind w:left="440"/>
      </w:pPr>
      <w:hyperlink w:anchor="_Toc1244" w:history="1">
        <w:r>
          <w:rPr>
            <w:rFonts w:ascii="IRNazanin" w:hAnsi="IRNazanin" w:eastAsia="IRNazanin" w:cs="IRNazanin"/>
            <w:color w:val="111111"/>
            <w:sz w:val="22"/>
            <w:szCs w:val="22"/>
            <w:b w:val="0"/>
            <w:bCs w:val="0"/>
            <w:i w:val="0"/>
            <w:iCs w:val="0"/>
          </w:rPr>
          <w:t>اسناد تاریخی و سیاسی / اسناد / فارسی</w:t>
        </w:r>
        <w:r>
          <w:tab/>
        </w:r>
        <w:r>
          <w:fldChar w:fldCharType="begin"/>
        </w:r>
        <w:r>
          <w:instrText xml:space="preserve">PAGEREF 1244 \h</w:instrText>
        </w:r>
        <w:r>
          <w:fldChar w:fldCharType="end"/>
        </w:r>
      </w:hyperlink>
    </w:p>
    <w:p>
      <w:pPr>
        <w:tabs>
          <w:tab w:val="right" w:leader="dot" w:pos="9062"/>
        </w:tabs>
        <w:ind w:left="440"/>
      </w:pPr>
      <w:hyperlink w:anchor="_Toc1245" w:history="1">
        <w:r>
          <w:rPr>
            <w:rFonts w:ascii="IRNazanin" w:hAnsi="IRNazanin" w:eastAsia="IRNazanin" w:cs="IRNazanin"/>
            <w:color w:val="111111"/>
            <w:sz w:val="22"/>
            <w:szCs w:val="22"/>
            <w:b w:val="0"/>
            <w:bCs w:val="0"/>
            <w:i w:val="0"/>
            <w:iCs w:val="0"/>
          </w:rPr>
          <w:t>اسناد تقی زاده / اسناد / فارسی</w:t>
        </w:r>
        <w:r>
          <w:tab/>
        </w:r>
        <w:r>
          <w:fldChar w:fldCharType="begin"/>
        </w:r>
        <w:r>
          <w:instrText xml:space="preserve">PAGEREF 1245 \h</w:instrText>
        </w:r>
        <w:r>
          <w:fldChar w:fldCharType="end"/>
        </w:r>
      </w:hyperlink>
    </w:p>
    <w:p>
      <w:pPr>
        <w:tabs>
          <w:tab w:val="right" w:leader="dot" w:pos="9062"/>
        </w:tabs>
        <w:ind w:left="440"/>
      </w:pPr>
      <w:hyperlink w:anchor="_Toc1246" w:history="1">
        <w:r>
          <w:rPr>
            <w:rFonts w:ascii="IRNazanin" w:hAnsi="IRNazanin" w:eastAsia="IRNazanin" w:cs="IRNazanin"/>
            <w:color w:val="111111"/>
            <w:sz w:val="22"/>
            <w:szCs w:val="22"/>
            <w:b w:val="0"/>
            <w:bCs w:val="0"/>
            <w:i w:val="0"/>
            <w:iCs w:val="0"/>
          </w:rPr>
          <w:t>اسناد ثبت شده در محضر شرعی / اسناد / فارسی</w:t>
        </w:r>
        <w:r>
          <w:tab/>
        </w:r>
        <w:r>
          <w:fldChar w:fldCharType="begin"/>
        </w:r>
        <w:r>
          <w:instrText xml:space="preserve">PAGEREF 1246 \h</w:instrText>
        </w:r>
        <w:r>
          <w:fldChar w:fldCharType="end"/>
        </w:r>
      </w:hyperlink>
    </w:p>
    <w:p>
      <w:pPr>
        <w:tabs>
          <w:tab w:val="right" w:leader="dot" w:pos="9062"/>
        </w:tabs>
        <w:ind w:left="440"/>
      </w:pPr>
      <w:hyperlink w:anchor="_Toc1247" w:history="1">
        <w:r>
          <w:rPr>
            <w:rFonts w:ascii="IRNazanin" w:hAnsi="IRNazanin" w:eastAsia="IRNazanin" w:cs="IRNazanin"/>
            <w:color w:val="111111"/>
            <w:sz w:val="22"/>
            <w:szCs w:val="22"/>
            <w:b w:val="0"/>
            <w:bCs w:val="0"/>
            <w:i w:val="0"/>
            <w:iCs w:val="0"/>
          </w:rPr>
          <w:t>اسناد جمع و خرج / اسناد / فارسی</w:t>
        </w:r>
        <w:r>
          <w:tab/>
        </w:r>
        <w:r>
          <w:fldChar w:fldCharType="begin"/>
        </w:r>
        <w:r>
          <w:instrText xml:space="preserve">PAGEREF 1247 \h</w:instrText>
        </w:r>
        <w:r>
          <w:fldChar w:fldCharType="end"/>
        </w:r>
      </w:hyperlink>
    </w:p>
    <w:p>
      <w:pPr>
        <w:tabs>
          <w:tab w:val="right" w:leader="dot" w:pos="9062"/>
        </w:tabs>
        <w:ind w:left="440"/>
      </w:pPr>
      <w:hyperlink w:anchor="_Toc1248" w:history="1">
        <w:r>
          <w:rPr>
            <w:rFonts w:ascii="IRNazanin" w:hAnsi="IRNazanin" w:eastAsia="IRNazanin" w:cs="IRNazanin"/>
            <w:color w:val="111111"/>
            <w:sz w:val="22"/>
            <w:szCs w:val="22"/>
            <w:b w:val="0"/>
            <w:bCs w:val="0"/>
            <w:i w:val="0"/>
            <w:iCs w:val="0"/>
          </w:rPr>
          <w:t>اسناد جمع و خرج و تلگرافات شوكت الدوله /  اسناد / فارسی</w:t>
        </w:r>
        <w:r>
          <w:tab/>
        </w:r>
        <w:r>
          <w:fldChar w:fldCharType="begin"/>
        </w:r>
        <w:r>
          <w:instrText xml:space="preserve">PAGEREF 1248 \h</w:instrText>
        </w:r>
        <w:r>
          <w:fldChar w:fldCharType="end"/>
        </w:r>
      </w:hyperlink>
    </w:p>
    <w:p>
      <w:pPr>
        <w:tabs>
          <w:tab w:val="right" w:leader="dot" w:pos="9062"/>
        </w:tabs>
        <w:ind w:left="440"/>
      </w:pPr>
      <w:hyperlink w:anchor="_Toc1249" w:history="1">
        <w:r>
          <w:rPr>
            <w:rFonts w:ascii="IRNazanin" w:hAnsi="IRNazanin" w:eastAsia="IRNazanin" w:cs="IRNazanin"/>
            <w:color w:val="111111"/>
            <w:sz w:val="22"/>
            <w:szCs w:val="22"/>
            <w:b w:val="0"/>
            <w:bCs w:val="0"/>
            <w:i w:val="0"/>
            <w:iCs w:val="0"/>
          </w:rPr>
          <w:t>اسناد جمع و خرج و مواجب و مستمری اشخاص و صاحب منصبان نظامی و  ...  / اسناد / فارسی</w:t>
        </w:r>
        <w:r>
          <w:tab/>
        </w:r>
        <w:r>
          <w:fldChar w:fldCharType="begin"/>
        </w:r>
        <w:r>
          <w:instrText xml:space="preserve">PAGEREF 1249 \h</w:instrText>
        </w:r>
        <w:r>
          <w:fldChar w:fldCharType="end"/>
        </w:r>
      </w:hyperlink>
    </w:p>
    <w:p>
      <w:pPr>
        <w:tabs>
          <w:tab w:val="right" w:leader="dot" w:pos="9062"/>
        </w:tabs>
        <w:ind w:left="440"/>
      </w:pPr>
      <w:hyperlink w:anchor="_Toc1250" w:history="1">
        <w:r>
          <w:rPr>
            <w:rFonts w:ascii="IRNazanin" w:hAnsi="IRNazanin" w:eastAsia="IRNazanin" w:cs="IRNazanin"/>
            <w:color w:val="111111"/>
            <w:sz w:val="22"/>
            <w:szCs w:val="22"/>
            <w:b w:val="0"/>
            <w:bCs w:val="0"/>
            <w:i w:val="0"/>
            <w:iCs w:val="0"/>
          </w:rPr>
          <w:t>اسناد جمع و خرج یزد / اسناد / فارسی</w:t>
        </w:r>
        <w:r>
          <w:tab/>
        </w:r>
        <w:r>
          <w:fldChar w:fldCharType="begin"/>
        </w:r>
        <w:r>
          <w:instrText xml:space="preserve">PAGEREF 1250 \h</w:instrText>
        </w:r>
        <w:r>
          <w:fldChar w:fldCharType="end"/>
        </w:r>
      </w:hyperlink>
    </w:p>
    <w:p>
      <w:pPr>
        <w:tabs>
          <w:tab w:val="right" w:leader="dot" w:pos="9062"/>
        </w:tabs>
        <w:ind w:left="440"/>
      </w:pPr>
      <w:hyperlink w:anchor="_Toc1251" w:history="1">
        <w:r>
          <w:rPr>
            <w:rFonts w:ascii="IRNazanin" w:hAnsi="IRNazanin" w:eastAsia="IRNazanin" w:cs="IRNazanin"/>
            <w:color w:val="111111"/>
            <w:sz w:val="22"/>
            <w:szCs w:val="22"/>
            <w:b w:val="0"/>
            <w:bCs w:val="0"/>
            <w:i w:val="0"/>
            <w:iCs w:val="0"/>
          </w:rPr>
          <w:t>اسناد چاپی و خطی / اسناد / فارسی</w:t>
        </w:r>
        <w:r>
          <w:tab/>
        </w:r>
        <w:r>
          <w:fldChar w:fldCharType="begin"/>
        </w:r>
        <w:r>
          <w:instrText xml:space="preserve">PAGEREF 1251 \h</w:instrText>
        </w:r>
        <w:r>
          <w:fldChar w:fldCharType="end"/>
        </w:r>
      </w:hyperlink>
    </w:p>
    <w:p>
      <w:pPr>
        <w:tabs>
          <w:tab w:val="right" w:leader="dot" w:pos="9062"/>
        </w:tabs>
        <w:ind w:left="440"/>
      </w:pPr>
      <w:hyperlink w:anchor="_Toc1252" w:history="1">
        <w:r>
          <w:rPr>
            <w:rFonts w:ascii="IRNazanin" w:hAnsi="IRNazanin" w:eastAsia="IRNazanin" w:cs="IRNazanin"/>
            <w:color w:val="111111"/>
            <w:sz w:val="22"/>
            <w:szCs w:val="22"/>
            <w:b w:val="0"/>
            <w:bCs w:val="0"/>
            <w:i w:val="0"/>
            <w:iCs w:val="0"/>
          </w:rPr>
          <w:t>اسناد حروفات کلام الله ربانی سبحانی و مناجات  حروفات کلام الله / عرفان و تصوف</w:t>
        </w:r>
        <w:r>
          <w:tab/>
        </w:r>
        <w:r>
          <w:fldChar w:fldCharType="begin"/>
        </w:r>
        <w:r>
          <w:instrText xml:space="preserve">PAGEREF 1252 \h</w:instrText>
        </w:r>
        <w:r>
          <w:fldChar w:fldCharType="end"/>
        </w:r>
      </w:hyperlink>
    </w:p>
    <w:p>
      <w:pPr>
        <w:tabs>
          <w:tab w:val="right" w:leader="dot" w:pos="9062"/>
        </w:tabs>
        <w:ind w:left="440"/>
      </w:pPr>
      <w:hyperlink w:anchor="_Toc1253" w:history="1">
        <w:r>
          <w:rPr>
            <w:rFonts w:ascii="IRNazanin" w:hAnsi="IRNazanin" w:eastAsia="IRNazanin" w:cs="IRNazanin"/>
            <w:color w:val="111111"/>
            <w:sz w:val="22"/>
            <w:szCs w:val="22"/>
            <w:b w:val="0"/>
            <w:bCs w:val="0"/>
            <w:i w:val="0"/>
            <w:iCs w:val="0"/>
          </w:rPr>
          <w:t>اسناد حزب عامیون / اسناد / فارسی</w:t>
        </w:r>
        <w:r>
          <w:tab/>
        </w:r>
        <w:r>
          <w:fldChar w:fldCharType="begin"/>
        </w:r>
        <w:r>
          <w:instrText xml:space="preserve">PAGEREF 1253 \h</w:instrText>
        </w:r>
        <w:r>
          <w:fldChar w:fldCharType="end"/>
        </w:r>
      </w:hyperlink>
    </w:p>
    <w:p>
      <w:pPr>
        <w:tabs>
          <w:tab w:val="right" w:leader="dot" w:pos="9062"/>
        </w:tabs>
        <w:ind w:left="440"/>
      </w:pPr>
      <w:hyperlink w:anchor="_Toc1254" w:history="1">
        <w:r>
          <w:rPr>
            <w:rFonts w:ascii="IRNazanin" w:hAnsi="IRNazanin" w:eastAsia="IRNazanin" w:cs="IRNazanin"/>
            <w:color w:val="111111"/>
            <w:sz w:val="22"/>
            <w:szCs w:val="22"/>
            <w:b w:val="0"/>
            <w:bCs w:val="0"/>
            <w:i w:val="0"/>
            <w:iCs w:val="0"/>
          </w:rPr>
          <w:t>اسناد حسین میرزا جلال الدوله / اسناد / فارسی</w:t>
        </w:r>
        <w:r>
          <w:tab/>
        </w:r>
        <w:r>
          <w:fldChar w:fldCharType="begin"/>
        </w:r>
        <w:r>
          <w:instrText xml:space="preserve">PAGEREF 1254 \h</w:instrText>
        </w:r>
        <w:r>
          <w:fldChar w:fldCharType="end"/>
        </w:r>
      </w:hyperlink>
    </w:p>
    <w:p>
      <w:pPr>
        <w:tabs>
          <w:tab w:val="right" w:leader="dot" w:pos="9062"/>
        </w:tabs>
        <w:ind w:left="440"/>
      </w:pPr>
      <w:hyperlink w:anchor="_Toc1255" w:history="1">
        <w:r>
          <w:rPr>
            <w:rFonts w:ascii="IRNazanin" w:hAnsi="IRNazanin" w:eastAsia="IRNazanin" w:cs="IRNazanin"/>
            <w:color w:val="111111"/>
            <w:sz w:val="22"/>
            <w:szCs w:val="22"/>
            <w:b w:val="0"/>
            <w:bCs w:val="0"/>
            <w:i w:val="0"/>
            <w:iCs w:val="0"/>
          </w:rPr>
          <w:t>اسناد حلية رسول الله / تاریخ پیامبراکرم (صلّی اللَّهِ علیه وَ آلِهِ وَ سَلَّمَ ) / فارسی</w:t>
        </w:r>
        <w:r>
          <w:tab/>
        </w:r>
        <w:r>
          <w:fldChar w:fldCharType="begin"/>
        </w:r>
        <w:r>
          <w:instrText xml:space="preserve">PAGEREF 1255 \h</w:instrText>
        </w:r>
        <w:r>
          <w:fldChar w:fldCharType="end"/>
        </w:r>
      </w:hyperlink>
    </w:p>
    <w:p>
      <w:pPr>
        <w:tabs>
          <w:tab w:val="right" w:leader="dot" w:pos="9062"/>
        </w:tabs>
        <w:ind w:left="440"/>
      </w:pPr>
      <w:hyperlink w:anchor="_Toc1256" w:history="1">
        <w:r>
          <w:rPr>
            <w:rFonts w:ascii="IRNazanin" w:hAnsi="IRNazanin" w:eastAsia="IRNazanin" w:cs="IRNazanin"/>
            <w:color w:val="111111"/>
            <w:sz w:val="22"/>
            <w:szCs w:val="22"/>
            <w:b w:val="0"/>
            <w:bCs w:val="0"/>
            <w:i w:val="0"/>
            <w:iCs w:val="0"/>
          </w:rPr>
          <w:t>اسناد حلیه پیامبر اکرم (صلّی اللَّهِ علیه وَ آلِهِ وَ سَلَّمَ ) / عرفان وتصوف / فارسی</w:t>
        </w:r>
        <w:r>
          <w:tab/>
        </w:r>
        <w:r>
          <w:fldChar w:fldCharType="begin"/>
        </w:r>
        <w:r>
          <w:instrText xml:space="preserve">PAGEREF 1256 \h</w:instrText>
        </w:r>
        <w:r>
          <w:fldChar w:fldCharType="end"/>
        </w:r>
      </w:hyperlink>
    </w:p>
    <w:p>
      <w:pPr>
        <w:tabs>
          <w:tab w:val="right" w:leader="dot" w:pos="9062"/>
        </w:tabs>
        <w:ind w:left="440"/>
      </w:pPr>
      <w:hyperlink w:anchor="_Toc1257" w:history="1">
        <w:r>
          <w:rPr>
            <w:rFonts w:ascii="IRNazanin" w:hAnsi="IRNazanin" w:eastAsia="IRNazanin" w:cs="IRNazanin"/>
            <w:color w:val="111111"/>
            <w:sz w:val="22"/>
            <w:szCs w:val="22"/>
            <w:b w:val="0"/>
            <w:bCs w:val="0"/>
            <w:i w:val="0"/>
            <w:iCs w:val="0"/>
          </w:rPr>
          <w:t>اسناد خاتم / علوم غریبه / فارسی</w:t>
        </w:r>
        <w:r>
          <w:tab/>
        </w:r>
        <w:r>
          <w:fldChar w:fldCharType="begin"/>
        </w:r>
        <w:r>
          <w:instrText xml:space="preserve">PAGEREF 1257 \h</w:instrText>
        </w:r>
        <w:r>
          <w:fldChar w:fldCharType="end"/>
        </w:r>
      </w:hyperlink>
    </w:p>
    <w:p>
      <w:pPr>
        <w:tabs>
          <w:tab w:val="right" w:leader="dot" w:pos="9062"/>
        </w:tabs>
        <w:ind w:left="440"/>
      </w:pPr>
      <w:hyperlink w:anchor="_Toc1258" w:history="1">
        <w:r>
          <w:rPr>
            <w:rFonts w:ascii="IRNazanin" w:hAnsi="IRNazanin" w:eastAsia="IRNazanin" w:cs="IRNazanin"/>
            <w:color w:val="111111"/>
            <w:sz w:val="22"/>
            <w:szCs w:val="22"/>
            <w:b w:val="0"/>
            <w:bCs w:val="0"/>
            <w:i w:val="0"/>
            <w:iCs w:val="0"/>
          </w:rPr>
          <w:t>اسناد خاندان افشار آذربایجان / اسناد / فارسی</w:t>
        </w:r>
        <w:r>
          <w:tab/>
        </w:r>
        <w:r>
          <w:fldChar w:fldCharType="begin"/>
        </w:r>
        <w:r>
          <w:instrText xml:space="preserve">PAGEREF 1258 \h</w:instrText>
        </w:r>
        <w:r>
          <w:fldChar w:fldCharType="end"/>
        </w:r>
      </w:hyperlink>
    </w:p>
    <w:p>
      <w:pPr>
        <w:tabs>
          <w:tab w:val="right" w:leader="dot" w:pos="9062"/>
        </w:tabs>
        <w:ind w:left="440"/>
      </w:pPr>
      <w:hyperlink w:anchor="_Toc1259" w:history="1">
        <w:r>
          <w:rPr>
            <w:rFonts w:ascii="IRNazanin" w:hAnsi="IRNazanin" w:eastAsia="IRNazanin" w:cs="IRNazanin"/>
            <w:color w:val="111111"/>
            <w:sz w:val="22"/>
            <w:szCs w:val="22"/>
            <w:b w:val="0"/>
            <w:bCs w:val="0"/>
            <w:i w:val="0"/>
            <w:iCs w:val="0"/>
          </w:rPr>
          <w:t>اسناد خاندان میرزا بزرگ / اسناد / فارسی</w:t>
        </w:r>
        <w:r>
          <w:tab/>
        </w:r>
        <w:r>
          <w:fldChar w:fldCharType="begin"/>
        </w:r>
        <w:r>
          <w:instrText xml:space="preserve">PAGEREF 1259 \h</w:instrText>
        </w:r>
        <w:r>
          <w:fldChar w:fldCharType="end"/>
        </w:r>
      </w:hyperlink>
    </w:p>
    <w:p>
      <w:pPr>
        <w:tabs>
          <w:tab w:val="right" w:leader="dot" w:pos="9062"/>
        </w:tabs>
        <w:ind w:left="440"/>
      </w:pPr>
      <w:hyperlink w:anchor="_Toc1260" w:history="1">
        <w:r>
          <w:rPr>
            <w:rFonts w:ascii="IRNazanin" w:hAnsi="IRNazanin" w:eastAsia="IRNazanin" w:cs="IRNazanin"/>
            <w:color w:val="111111"/>
            <w:sz w:val="22"/>
            <w:szCs w:val="22"/>
            <w:b w:val="0"/>
            <w:bCs w:val="0"/>
            <w:i w:val="0"/>
            <w:iCs w:val="0"/>
          </w:rPr>
          <w:t>اسناد خاندان نصر الله سلطان لاریجانی و ... / اسناد /  فارسی</w:t>
        </w:r>
        <w:r>
          <w:tab/>
        </w:r>
        <w:r>
          <w:fldChar w:fldCharType="begin"/>
        </w:r>
        <w:r>
          <w:instrText xml:space="preserve">PAGEREF 1260 \h</w:instrText>
        </w:r>
        <w:r>
          <w:fldChar w:fldCharType="end"/>
        </w:r>
      </w:hyperlink>
    </w:p>
    <w:p>
      <w:pPr>
        <w:tabs>
          <w:tab w:val="right" w:leader="dot" w:pos="9062"/>
        </w:tabs>
        <w:ind w:left="440"/>
      </w:pPr>
      <w:hyperlink w:anchor="_Toc1261" w:history="1">
        <w:r>
          <w:rPr>
            <w:rFonts w:ascii="IRNazanin" w:hAnsi="IRNazanin" w:eastAsia="IRNazanin" w:cs="IRNazanin"/>
            <w:color w:val="111111"/>
            <w:sz w:val="22"/>
            <w:szCs w:val="22"/>
            <w:b w:val="0"/>
            <w:bCs w:val="0"/>
            <w:i w:val="0"/>
            <w:iCs w:val="0"/>
          </w:rPr>
          <w:t>اسناد خراسان و مشهد / اسناد / فارسی</w:t>
        </w:r>
        <w:r>
          <w:tab/>
        </w:r>
        <w:r>
          <w:fldChar w:fldCharType="begin"/>
        </w:r>
        <w:r>
          <w:instrText xml:space="preserve">PAGEREF 1261 \h</w:instrText>
        </w:r>
        <w:r>
          <w:fldChar w:fldCharType="end"/>
        </w:r>
      </w:hyperlink>
    </w:p>
    <w:p>
      <w:pPr>
        <w:tabs>
          <w:tab w:val="right" w:leader="dot" w:pos="9062"/>
        </w:tabs>
        <w:ind w:left="440"/>
      </w:pPr>
      <w:hyperlink w:anchor="_Toc1262" w:history="1">
        <w:r>
          <w:rPr>
            <w:rFonts w:ascii="IRNazanin" w:hAnsi="IRNazanin" w:eastAsia="IRNazanin" w:cs="IRNazanin"/>
            <w:color w:val="111111"/>
            <w:sz w:val="22"/>
            <w:szCs w:val="22"/>
            <w:b w:val="0"/>
            <w:bCs w:val="0"/>
            <w:i w:val="0"/>
            <w:iCs w:val="0"/>
          </w:rPr>
          <w:t>اسناد خرج اصفهان / اسناد / فارسی</w:t>
        </w:r>
        <w:r>
          <w:tab/>
        </w:r>
        <w:r>
          <w:fldChar w:fldCharType="begin"/>
        </w:r>
        <w:r>
          <w:instrText xml:space="preserve">PAGEREF 1262 \h</w:instrText>
        </w:r>
        <w:r>
          <w:fldChar w:fldCharType="end"/>
        </w:r>
      </w:hyperlink>
    </w:p>
    <w:p>
      <w:pPr>
        <w:tabs>
          <w:tab w:val="right" w:leader="dot" w:pos="9062"/>
        </w:tabs>
        <w:ind w:left="440"/>
      </w:pPr>
      <w:hyperlink w:anchor="_Toc1263" w:history="1">
        <w:r>
          <w:rPr>
            <w:rFonts w:ascii="IRNazanin" w:hAnsi="IRNazanin" w:eastAsia="IRNazanin" w:cs="IRNazanin"/>
            <w:color w:val="111111"/>
            <w:sz w:val="22"/>
            <w:szCs w:val="22"/>
            <w:b w:val="0"/>
            <w:bCs w:val="0"/>
            <w:i w:val="0"/>
            <w:iCs w:val="0"/>
          </w:rPr>
          <w:t>اسناد خرج بروجرد و / اسناد / فارسی</w:t>
        </w:r>
        <w:r>
          <w:tab/>
        </w:r>
        <w:r>
          <w:fldChar w:fldCharType="begin"/>
        </w:r>
        <w:r>
          <w:instrText xml:space="preserve">PAGEREF 1263 \h</w:instrText>
        </w:r>
        <w:r>
          <w:fldChar w:fldCharType="end"/>
        </w:r>
      </w:hyperlink>
    </w:p>
    <w:p>
      <w:pPr>
        <w:tabs>
          <w:tab w:val="right" w:leader="dot" w:pos="9062"/>
        </w:tabs>
        <w:ind w:left="440"/>
      </w:pPr>
      <w:hyperlink w:anchor="_Toc1264" w:history="1">
        <w:r>
          <w:rPr>
            <w:rFonts w:ascii="IRNazanin" w:hAnsi="IRNazanin" w:eastAsia="IRNazanin" w:cs="IRNazanin"/>
            <w:color w:val="111111"/>
            <w:sz w:val="22"/>
            <w:szCs w:val="22"/>
            <w:b w:val="0"/>
            <w:bCs w:val="0"/>
            <w:i w:val="0"/>
            <w:iCs w:val="0"/>
          </w:rPr>
          <w:t>اسناد خرج دیوانی کردستان / اسناد / فارسی</w:t>
        </w:r>
        <w:r>
          <w:tab/>
        </w:r>
        <w:r>
          <w:fldChar w:fldCharType="begin"/>
        </w:r>
        <w:r>
          <w:instrText xml:space="preserve">PAGEREF 1264 \h</w:instrText>
        </w:r>
        <w:r>
          <w:fldChar w:fldCharType="end"/>
        </w:r>
      </w:hyperlink>
    </w:p>
    <w:p>
      <w:pPr>
        <w:tabs>
          <w:tab w:val="right" w:leader="dot" w:pos="9062"/>
        </w:tabs>
        <w:ind w:left="440"/>
      </w:pPr>
      <w:hyperlink w:anchor="_Toc1265" w:history="1">
        <w:r>
          <w:rPr>
            <w:rFonts w:ascii="IRNazanin" w:hAnsi="IRNazanin" w:eastAsia="IRNazanin" w:cs="IRNazanin"/>
            <w:color w:val="111111"/>
            <w:sz w:val="22"/>
            <w:szCs w:val="22"/>
            <w:b w:val="0"/>
            <w:bCs w:val="0"/>
            <w:i w:val="0"/>
            <w:iCs w:val="0"/>
          </w:rPr>
          <w:t>اسناد خرج دیوانی کرمانشاهان / اسناد / فارسی</w:t>
        </w:r>
        <w:r>
          <w:tab/>
        </w:r>
        <w:r>
          <w:fldChar w:fldCharType="begin"/>
        </w:r>
        <w:r>
          <w:instrText xml:space="preserve">PAGEREF 1265 \h</w:instrText>
        </w:r>
        <w:r>
          <w:fldChar w:fldCharType="end"/>
        </w:r>
      </w:hyperlink>
    </w:p>
    <w:p>
      <w:pPr>
        <w:tabs>
          <w:tab w:val="right" w:leader="dot" w:pos="9062"/>
        </w:tabs>
        <w:ind w:left="440"/>
      </w:pPr>
      <w:hyperlink w:anchor="_Toc1266" w:history="1">
        <w:r>
          <w:rPr>
            <w:rFonts w:ascii="IRNazanin" w:hAnsi="IRNazanin" w:eastAsia="IRNazanin" w:cs="IRNazanin"/>
            <w:color w:val="111111"/>
            <w:sz w:val="22"/>
            <w:szCs w:val="22"/>
            <w:b w:val="0"/>
            <w:bCs w:val="0"/>
            <w:i w:val="0"/>
            <w:iCs w:val="0"/>
          </w:rPr>
          <w:t>اسناد خرج عراق و محلات و ... / اسناد / فارسی</w:t>
        </w:r>
        <w:r>
          <w:tab/>
        </w:r>
        <w:r>
          <w:fldChar w:fldCharType="begin"/>
        </w:r>
        <w:r>
          <w:instrText xml:space="preserve">PAGEREF 1266 \h</w:instrText>
        </w:r>
        <w:r>
          <w:fldChar w:fldCharType="end"/>
        </w:r>
      </w:hyperlink>
    </w:p>
    <w:p>
      <w:pPr>
        <w:tabs>
          <w:tab w:val="right" w:leader="dot" w:pos="9062"/>
        </w:tabs>
        <w:ind w:left="440"/>
      </w:pPr>
      <w:hyperlink w:anchor="_Toc1267" w:history="1">
        <w:r>
          <w:rPr>
            <w:rFonts w:ascii="IRNazanin" w:hAnsi="IRNazanin" w:eastAsia="IRNazanin" w:cs="IRNazanin"/>
            <w:color w:val="111111"/>
            <w:sz w:val="22"/>
            <w:szCs w:val="22"/>
            <w:b w:val="0"/>
            <w:bCs w:val="0"/>
            <w:i w:val="0"/>
            <w:iCs w:val="0"/>
          </w:rPr>
          <w:t>اسناد خرج عربستان در سال ۱۳۰۲ / اسناد / فارسی</w:t>
        </w:r>
        <w:r>
          <w:tab/>
        </w:r>
        <w:r>
          <w:fldChar w:fldCharType="begin"/>
        </w:r>
        <w:r>
          <w:instrText xml:space="preserve">PAGEREF 1267 \h</w:instrText>
        </w:r>
        <w:r>
          <w:fldChar w:fldCharType="end"/>
        </w:r>
      </w:hyperlink>
    </w:p>
    <w:p>
      <w:pPr>
        <w:tabs>
          <w:tab w:val="right" w:leader="dot" w:pos="9062"/>
        </w:tabs>
        <w:ind w:left="440"/>
      </w:pPr>
      <w:hyperlink w:anchor="_Toc1268" w:history="1">
        <w:r>
          <w:rPr>
            <w:rFonts w:ascii="IRNazanin" w:hAnsi="IRNazanin" w:eastAsia="IRNazanin" w:cs="IRNazanin"/>
            <w:color w:val="111111"/>
            <w:sz w:val="22"/>
            <w:szCs w:val="22"/>
            <w:b w:val="0"/>
            <w:bCs w:val="0"/>
            <w:i w:val="0"/>
            <w:iCs w:val="0"/>
          </w:rPr>
          <w:t>اسناد خرج فارس / اسناد / فارسی</w:t>
        </w:r>
        <w:r>
          <w:tab/>
        </w:r>
        <w:r>
          <w:fldChar w:fldCharType="begin"/>
        </w:r>
        <w:r>
          <w:instrText xml:space="preserve">PAGEREF 1268 \h</w:instrText>
        </w:r>
        <w:r>
          <w:fldChar w:fldCharType="end"/>
        </w:r>
      </w:hyperlink>
    </w:p>
    <w:p>
      <w:pPr>
        <w:tabs>
          <w:tab w:val="right" w:leader="dot" w:pos="9062"/>
        </w:tabs>
        <w:ind w:left="440"/>
      </w:pPr>
      <w:hyperlink w:anchor="_Toc1269" w:history="1">
        <w:r>
          <w:rPr>
            <w:rFonts w:ascii="IRNazanin" w:hAnsi="IRNazanin" w:eastAsia="IRNazanin" w:cs="IRNazanin"/>
            <w:color w:val="111111"/>
            <w:sz w:val="22"/>
            <w:szCs w:val="22"/>
            <w:b w:val="0"/>
            <w:bCs w:val="0"/>
            <w:i w:val="0"/>
            <w:iCs w:val="0"/>
          </w:rPr>
          <w:t>اسناد خرج کمره / اسناد / فارسی</w:t>
        </w:r>
        <w:r>
          <w:tab/>
        </w:r>
        <w:r>
          <w:fldChar w:fldCharType="begin"/>
        </w:r>
        <w:r>
          <w:instrText xml:space="preserve">PAGEREF 1269 \h</w:instrText>
        </w:r>
        <w:r>
          <w:fldChar w:fldCharType="end"/>
        </w:r>
      </w:hyperlink>
    </w:p>
    <w:p>
      <w:pPr>
        <w:tabs>
          <w:tab w:val="right" w:leader="dot" w:pos="9062"/>
        </w:tabs>
        <w:ind w:left="440"/>
      </w:pPr>
      <w:hyperlink w:anchor="_Toc1270" w:history="1">
        <w:r>
          <w:rPr>
            <w:rFonts w:ascii="IRNazanin" w:hAnsi="IRNazanin" w:eastAsia="IRNazanin" w:cs="IRNazanin"/>
            <w:color w:val="111111"/>
            <w:sz w:val="22"/>
            <w:szCs w:val="22"/>
            <w:b w:val="0"/>
            <w:bCs w:val="0"/>
            <w:i w:val="0"/>
            <w:iCs w:val="0"/>
          </w:rPr>
          <w:t>اسناد خرج گلپایگان / اسناد / فارسی</w:t>
        </w:r>
        <w:r>
          <w:tab/>
        </w:r>
        <w:r>
          <w:fldChar w:fldCharType="begin"/>
        </w:r>
        <w:r>
          <w:instrText xml:space="preserve">PAGEREF 1270 \h</w:instrText>
        </w:r>
        <w:r>
          <w:fldChar w:fldCharType="end"/>
        </w:r>
      </w:hyperlink>
    </w:p>
    <w:p>
      <w:pPr>
        <w:tabs>
          <w:tab w:val="right" w:leader="dot" w:pos="9062"/>
        </w:tabs>
        <w:ind w:left="440"/>
      </w:pPr>
      <w:hyperlink w:anchor="_Toc1271" w:history="1">
        <w:r>
          <w:rPr>
            <w:rFonts w:ascii="IRNazanin" w:hAnsi="IRNazanin" w:eastAsia="IRNazanin" w:cs="IRNazanin"/>
            <w:color w:val="111111"/>
            <w:sz w:val="22"/>
            <w:szCs w:val="22"/>
            <w:b w:val="0"/>
            <w:bCs w:val="0"/>
            <w:i w:val="0"/>
            <w:iCs w:val="0"/>
          </w:rPr>
          <w:t>اسناد خرج گلپایگان و خوانسار / اسناد / فارسی</w:t>
        </w:r>
        <w:r>
          <w:tab/>
        </w:r>
        <w:r>
          <w:fldChar w:fldCharType="begin"/>
        </w:r>
        <w:r>
          <w:instrText xml:space="preserve">PAGEREF 1271 \h</w:instrText>
        </w:r>
        <w:r>
          <w:fldChar w:fldCharType="end"/>
        </w:r>
      </w:hyperlink>
    </w:p>
    <w:p>
      <w:pPr>
        <w:tabs>
          <w:tab w:val="right" w:leader="dot" w:pos="9062"/>
        </w:tabs>
        <w:ind w:left="440"/>
      </w:pPr>
      <w:hyperlink w:anchor="_Toc1272" w:history="1">
        <w:r>
          <w:rPr>
            <w:rFonts w:ascii="IRNazanin" w:hAnsi="IRNazanin" w:eastAsia="IRNazanin" w:cs="IRNazanin"/>
            <w:color w:val="111111"/>
            <w:sz w:val="22"/>
            <w:szCs w:val="22"/>
            <w:b w:val="0"/>
            <w:bCs w:val="0"/>
            <w:i w:val="0"/>
            <w:iCs w:val="0"/>
          </w:rPr>
          <w:t>اسناد خرج لرستان / اسناد / فارسی</w:t>
        </w:r>
        <w:r>
          <w:tab/>
        </w:r>
        <w:r>
          <w:fldChar w:fldCharType="begin"/>
        </w:r>
        <w:r>
          <w:instrText xml:space="preserve">PAGEREF 1272 \h</w:instrText>
        </w:r>
        <w:r>
          <w:fldChar w:fldCharType="end"/>
        </w:r>
      </w:hyperlink>
    </w:p>
    <w:p>
      <w:pPr>
        <w:tabs>
          <w:tab w:val="right" w:leader="dot" w:pos="9062"/>
        </w:tabs>
        <w:ind w:left="440"/>
      </w:pPr>
      <w:hyperlink w:anchor="_Toc1273" w:history="1">
        <w:r>
          <w:rPr>
            <w:rFonts w:ascii="IRNazanin" w:hAnsi="IRNazanin" w:eastAsia="IRNazanin" w:cs="IRNazanin"/>
            <w:color w:val="111111"/>
            <w:sz w:val="22"/>
            <w:szCs w:val="22"/>
            <w:b w:val="0"/>
            <w:bCs w:val="0"/>
            <w:i w:val="0"/>
            <w:iCs w:val="0"/>
          </w:rPr>
          <w:t>اسناد خرج لوی ئیل املاک موضوعه حاجی ذکاءالدوله و بهاء الممالک / اسناد / فارسی</w:t>
        </w:r>
        <w:r>
          <w:tab/>
        </w:r>
        <w:r>
          <w:fldChar w:fldCharType="begin"/>
        </w:r>
        <w:r>
          <w:instrText xml:space="preserve">PAGEREF 1273 \h</w:instrText>
        </w:r>
        <w:r>
          <w:fldChar w:fldCharType="end"/>
        </w:r>
      </w:hyperlink>
    </w:p>
    <w:p>
      <w:pPr>
        <w:tabs>
          <w:tab w:val="right" w:leader="dot" w:pos="9062"/>
        </w:tabs>
        <w:ind w:left="440"/>
      </w:pPr>
      <w:hyperlink w:anchor="_Toc1274" w:history="1">
        <w:r>
          <w:rPr>
            <w:rFonts w:ascii="IRNazanin" w:hAnsi="IRNazanin" w:eastAsia="IRNazanin" w:cs="IRNazanin"/>
            <w:color w:val="111111"/>
            <w:sz w:val="22"/>
            <w:szCs w:val="22"/>
            <w:b w:val="0"/>
            <w:bCs w:val="0"/>
            <w:i w:val="0"/>
            <w:iCs w:val="0"/>
          </w:rPr>
          <w:t>اسناد خرج مستمریات عراق در سال ۱۳۰۳ / اسناد / فارسی</w:t>
        </w:r>
        <w:r>
          <w:tab/>
        </w:r>
        <w:r>
          <w:fldChar w:fldCharType="begin"/>
        </w:r>
        <w:r>
          <w:instrText xml:space="preserve">PAGEREF 1274 \h</w:instrText>
        </w:r>
        <w:r>
          <w:fldChar w:fldCharType="end"/>
        </w:r>
      </w:hyperlink>
    </w:p>
    <w:p>
      <w:pPr>
        <w:tabs>
          <w:tab w:val="right" w:leader="dot" w:pos="9062"/>
        </w:tabs>
        <w:ind w:left="440"/>
      </w:pPr>
      <w:hyperlink w:anchor="_Toc1275" w:history="1">
        <w:r>
          <w:rPr>
            <w:rFonts w:ascii="IRNazanin" w:hAnsi="IRNazanin" w:eastAsia="IRNazanin" w:cs="IRNazanin"/>
            <w:color w:val="111111"/>
            <w:sz w:val="22"/>
            <w:szCs w:val="22"/>
            <w:b w:val="0"/>
            <w:bCs w:val="0"/>
            <w:i w:val="0"/>
            <w:iCs w:val="0"/>
          </w:rPr>
          <w:t>اسناد خرج موضوعه اشخاص / اسناد / فارسی</w:t>
        </w:r>
        <w:r>
          <w:tab/>
        </w:r>
        <w:r>
          <w:fldChar w:fldCharType="begin"/>
        </w:r>
        <w:r>
          <w:instrText xml:space="preserve">PAGEREF 1275 \h</w:instrText>
        </w:r>
        <w:r>
          <w:fldChar w:fldCharType="end"/>
        </w:r>
      </w:hyperlink>
    </w:p>
    <w:p>
      <w:pPr>
        <w:tabs>
          <w:tab w:val="right" w:leader="dot" w:pos="9062"/>
        </w:tabs>
        <w:ind w:left="440"/>
      </w:pPr>
      <w:hyperlink w:anchor="_Toc1276" w:history="1">
        <w:r>
          <w:rPr>
            <w:rFonts w:ascii="IRNazanin" w:hAnsi="IRNazanin" w:eastAsia="IRNazanin" w:cs="IRNazanin"/>
            <w:color w:val="111111"/>
            <w:sz w:val="22"/>
            <w:szCs w:val="22"/>
            <w:b w:val="0"/>
            <w:bCs w:val="0"/>
            <w:i w:val="0"/>
            <w:iCs w:val="0"/>
          </w:rPr>
          <w:t>اسناد خرج و مالیات و فروعات بروجرد و ... / اسناد / فارسی</w:t>
        </w:r>
        <w:r>
          <w:tab/>
        </w:r>
        <w:r>
          <w:fldChar w:fldCharType="begin"/>
        </w:r>
        <w:r>
          <w:instrText xml:space="preserve">PAGEREF 1276 \h</w:instrText>
        </w:r>
        <w:r>
          <w:fldChar w:fldCharType="end"/>
        </w:r>
      </w:hyperlink>
    </w:p>
    <w:p>
      <w:pPr>
        <w:tabs>
          <w:tab w:val="right" w:leader="dot" w:pos="9062"/>
        </w:tabs>
        <w:ind w:left="440"/>
      </w:pPr>
      <w:hyperlink w:anchor="_Toc1277" w:history="1">
        <w:r>
          <w:rPr>
            <w:rFonts w:ascii="IRNazanin" w:hAnsi="IRNazanin" w:eastAsia="IRNazanin" w:cs="IRNazanin"/>
            <w:color w:val="111111"/>
            <w:sz w:val="22"/>
            <w:szCs w:val="22"/>
            <w:b w:val="0"/>
            <w:bCs w:val="0"/>
            <w:i w:val="0"/>
            <w:iCs w:val="0"/>
          </w:rPr>
          <w:t>اسناد خرج و مستمریات دارالسلطنه اصفهان / اسناد / فارسی</w:t>
        </w:r>
        <w:r>
          <w:tab/>
        </w:r>
        <w:r>
          <w:fldChar w:fldCharType="begin"/>
        </w:r>
        <w:r>
          <w:instrText xml:space="preserve">PAGEREF 1277 \h</w:instrText>
        </w:r>
        <w:r>
          <w:fldChar w:fldCharType="end"/>
        </w:r>
      </w:hyperlink>
    </w:p>
    <w:p>
      <w:pPr>
        <w:tabs>
          <w:tab w:val="right" w:leader="dot" w:pos="9062"/>
        </w:tabs>
        <w:ind w:left="440"/>
      </w:pPr>
      <w:hyperlink w:anchor="_Toc1278" w:history="1">
        <w:r>
          <w:rPr>
            <w:rFonts w:ascii="IRNazanin" w:hAnsi="IRNazanin" w:eastAsia="IRNazanin" w:cs="IRNazanin"/>
            <w:color w:val="111111"/>
            <w:sz w:val="22"/>
            <w:szCs w:val="22"/>
            <w:b w:val="0"/>
            <w:bCs w:val="0"/>
            <w:i w:val="0"/>
            <w:iCs w:val="0"/>
          </w:rPr>
          <w:t>اسناد خرج و مستمریات گلپایگان و خوانسار / اسناد  / فارسی</w:t>
        </w:r>
        <w:r>
          <w:tab/>
        </w:r>
        <w:r>
          <w:fldChar w:fldCharType="begin"/>
        </w:r>
        <w:r>
          <w:instrText xml:space="preserve">PAGEREF 1278 \h</w:instrText>
        </w:r>
        <w:r>
          <w:fldChar w:fldCharType="end"/>
        </w:r>
      </w:hyperlink>
    </w:p>
    <w:p>
      <w:pPr>
        <w:tabs>
          <w:tab w:val="right" w:leader="dot" w:pos="9062"/>
        </w:tabs>
        <w:ind w:left="440"/>
      </w:pPr>
      <w:hyperlink w:anchor="_Toc1279" w:history="1">
        <w:r>
          <w:rPr>
            <w:rFonts w:ascii="IRNazanin" w:hAnsi="IRNazanin" w:eastAsia="IRNazanin" w:cs="IRNazanin"/>
            <w:color w:val="111111"/>
            <w:sz w:val="22"/>
            <w:szCs w:val="22"/>
            <w:b w:val="0"/>
            <w:bCs w:val="0"/>
            <w:i w:val="0"/>
            <w:iCs w:val="0"/>
          </w:rPr>
          <w:t>اسناد خرج و وجوه تقدیمی...  / اسناد / فارسی</w:t>
        </w:r>
        <w:r>
          <w:tab/>
        </w:r>
        <w:r>
          <w:fldChar w:fldCharType="begin"/>
        </w:r>
        <w:r>
          <w:instrText xml:space="preserve">PAGEREF 1279 \h</w:instrText>
        </w:r>
        <w:r>
          <w:fldChar w:fldCharType="end"/>
        </w:r>
      </w:hyperlink>
    </w:p>
    <w:p>
      <w:pPr>
        <w:tabs>
          <w:tab w:val="right" w:leader="dot" w:pos="9062"/>
        </w:tabs>
        <w:ind w:left="440"/>
      </w:pPr>
      <w:hyperlink w:anchor="_Toc1280" w:history="1">
        <w:r>
          <w:rPr>
            <w:rFonts w:ascii="IRNazanin" w:hAnsi="IRNazanin" w:eastAsia="IRNazanin" w:cs="IRNazanin"/>
            <w:color w:val="111111"/>
            <w:sz w:val="22"/>
            <w:szCs w:val="22"/>
            <w:b w:val="0"/>
            <w:bCs w:val="0"/>
            <w:i w:val="0"/>
            <w:iCs w:val="0"/>
          </w:rPr>
          <w:t>اسناد خرج ها / اسناد / فارسی</w:t>
        </w:r>
        <w:r>
          <w:tab/>
        </w:r>
        <w:r>
          <w:fldChar w:fldCharType="begin"/>
        </w:r>
        <w:r>
          <w:instrText xml:space="preserve">PAGEREF 1280 \h</w:instrText>
        </w:r>
        <w:r>
          <w:fldChar w:fldCharType="end"/>
        </w:r>
      </w:hyperlink>
    </w:p>
    <w:p>
      <w:pPr>
        <w:tabs>
          <w:tab w:val="right" w:leader="dot" w:pos="9062"/>
        </w:tabs>
        <w:ind w:left="440"/>
      </w:pPr>
      <w:hyperlink w:anchor="_Toc1281" w:history="1">
        <w:r>
          <w:rPr>
            <w:rFonts w:ascii="IRNazanin" w:hAnsi="IRNazanin" w:eastAsia="IRNazanin" w:cs="IRNazanin"/>
            <w:color w:val="111111"/>
            <w:sz w:val="22"/>
            <w:szCs w:val="22"/>
            <w:b w:val="0"/>
            <w:bCs w:val="0"/>
            <w:i w:val="0"/>
            <w:iCs w:val="0"/>
          </w:rPr>
          <w:t>اسناد خرج یزد / اسناد / فارسی</w:t>
        </w:r>
        <w:r>
          <w:tab/>
        </w:r>
        <w:r>
          <w:fldChar w:fldCharType="begin"/>
        </w:r>
        <w:r>
          <w:instrText xml:space="preserve">PAGEREF 1281 \h</w:instrText>
        </w:r>
        <w:r>
          <w:fldChar w:fldCharType="end"/>
        </w:r>
      </w:hyperlink>
    </w:p>
    <w:p>
      <w:pPr>
        <w:tabs>
          <w:tab w:val="right" w:leader="dot" w:pos="9062"/>
        </w:tabs>
        <w:ind w:left="440"/>
      </w:pPr>
      <w:hyperlink w:anchor="_Toc1282" w:history="1">
        <w:r>
          <w:rPr>
            <w:rFonts w:ascii="IRNazanin" w:hAnsi="IRNazanin" w:eastAsia="IRNazanin" w:cs="IRNazanin"/>
            <w:color w:val="111111"/>
            <w:sz w:val="22"/>
            <w:szCs w:val="22"/>
            <w:b w:val="0"/>
            <w:bCs w:val="0"/>
            <w:i w:val="0"/>
            <w:iCs w:val="0"/>
          </w:rPr>
          <w:t>اسناد درباره سید جمال الدین اسد آبادی / تاریخ  / فارسی</w:t>
        </w:r>
        <w:r>
          <w:tab/>
        </w:r>
        <w:r>
          <w:fldChar w:fldCharType="begin"/>
        </w:r>
        <w:r>
          <w:instrText xml:space="preserve">PAGEREF 1282 \h</w:instrText>
        </w:r>
        <w:r>
          <w:fldChar w:fldCharType="end"/>
        </w:r>
      </w:hyperlink>
    </w:p>
    <w:p>
      <w:pPr>
        <w:tabs>
          <w:tab w:val="right" w:leader="dot" w:pos="9062"/>
        </w:tabs>
        <w:ind w:left="440"/>
      </w:pPr>
      <w:hyperlink w:anchor="_Toc1283" w:history="1">
        <w:r>
          <w:rPr>
            <w:rFonts w:ascii="IRNazanin" w:hAnsi="IRNazanin" w:eastAsia="IRNazanin" w:cs="IRNazanin"/>
            <w:color w:val="111111"/>
            <w:sz w:val="22"/>
            <w:szCs w:val="22"/>
            <w:b w:val="0"/>
            <w:bCs w:val="0"/>
            <w:i w:val="0"/>
            <w:iCs w:val="0"/>
          </w:rPr>
          <w:t>اسناد درباره سید جمال الدین افغانی / اسناد / فارسـی</w:t>
        </w:r>
        <w:r>
          <w:tab/>
        </w:r>
        <w:r>
          <w:fldChar w:fldCharType="begin"/>
        </w:r>
        <w:r>
          <w:instrText xml:space="preserve">PAGEREF 1283 \h</w:instrText>
        </w:r>
        <w:r>
          <w:fldChar w:fldCharType="end"/>
        </w:r>
      </w:hyperlink>
    </w:p>
    <w:p>
      <w:pPr>
        <w:tabs>
          <w:tab w:val="right" w:leader="dot" w:pos="9062"/>
        </w:tabs>
        <w:ind w:left="440"/>
      </w:pPr>
      <w:hyperlink w:anchor="_Toc1284" w:history="1">
        <w:r>
          <w:rPr>
            <w:rFonts w:ascii="IRNazanin" w:hAnsi="IRNazanin" w:eastAsia="IRNazanin" w:cs="IRNazanin"/>
            <w:color w:val="111111"/>
            <w:sz w:val="22"/>
            <w:szCs w:val="22"/>
            <w:b w:val="0"/>
            <w:bCs w:val="0"/>
            <w:i w:val="0"/>
            <w:iCs w:val="0"/>
          </w:rPr>
          <w:t>اسناد در بیان نود و نه نام باریتعالی جل جلاله /  اسماء الله / فارسی</w:t>
        </w:r>
        <w:r>
          <w:tab/>
        </w:r>
        <w:r>
          <w:fldChar w:fldCharType="begin"/>
        </w:r>
        <w:r>
          <w:instrText xml:space="preserve">PAGEREF 1284 \h</w:instrText>
        </w:r>
        <w:r>
          <w:fldChar w:fldCharType="end"/>
        </w:r>
      </w:hyperlink>
    </w:p>
    <w:p>
      <w:pPr>
        <w:tabs>
          <w:tab w:val="right" w:leader="dot" w:pos="9062"/>
        </w:tabs>
        <w:ind w:left="440"/>
      </w:pPr>
      <w:hyperlink w:anchor="_Toc1285" w:history="1">
        <w:r>
          <w:rPr>
            <w:rFonts w:ascii="IRNazanin" w:hAnsi="IRNazanin" w:eastAsia="IRNazanin" w:cs="IRNazanin"/>
            <w:color w:val="111111"/>
            <w:sz w:val="22"/>
            <w:szCs w:val="22"/>
            <w:b w:val="0"/>
            <w:bCs w:val="0"/>
            <w:i w:val="0"/>
            <w:iCs w:val="0"/>
          </w:rPr>
          <w:t>اسناد دعاء السمات / دعا / عربي</w:t>
        </w:r>
        <w:r>
          <w:tab/>
        </w:r>
        <w:r>
          <w:fldChar w:fldCharType="begin"/>
        </w:r>
        <w:r>
          <w:instrText xml:space="preserve">PAGEREF 1285 \h</w:instrText>
        </w:r>
        <w:r>
          <w:fldChar w:fldCharType="end"/>
        </w:r>
      </w:hyperlink>
    </w:p>
    <w:p>
      <w:pPr>
        <w:tabs>
          <w:tab w:val="right" w:leader="dot" w:pos="9062"/>
        </w:tabs>
        <w:ind w:left="440"/>
      </w:pPr>
      <w:hyperlink w:anchor="_Toc1286" w:history="1">
        <w:r>
          <w:rPr>
            <w:rFonts w:ascii="IRNazanin" w:hAnsi="IRNazanin" w:eastAsia="IRNazanin" w:cs="IRNazanin"/>
            <w:color w:val="111111"/>
            <w:sz w:val="22"/>
            <w:szCs w:val="22"/>
            <w:b w:val="0"/>
            <w:bCs w:val="0"/>
            <w:i w:val="0"/>
            <w:iCs w:val="0"/>
          </w:rPr>
          <w:t>اسناد دعاء صنمی قریش / دعا / عربی</w:t>
        </w:r>
        <w:r>
          <w:tab/>
        </w:r>
        <w:r>
          <w:fldChar w:fldCharType="begin"/>
        </w:r>
        <w:r>
          <w:instrText xml:space="preserve">PAGEREF 1286 \h</w:instrText>
        </w:r>
        <w:r>
          <w:fldChar w:fldCharType="end"/>
        </w:r>
      </w:hyperlink>
    </w:p>
    <w:p>
      <w:pPr>
        <w:tabs>
          <w:tab w:val="right" w:leader="dot" w:pos="9062"/>
        </w:tabs>
        <w:ind w:left="440"/>
      </w:pPr>
      <w:hyperlink w:anchor="_Toc1287" w:history="1">
        <w:r>
          <w:rPr>
            <w:rFonts w:ascii="IRNazanin" w:hAnsi="IRNazanin" w:eastAsia="IRNazanin" w:cs="IRNazanin"/>
            <w:color w:val="111111"/>
            <w:sz w:val="22"/>
            <w:szCs w:val="22"/>
            <w:b w:val="0"/>
            <w:bCs w:val="0"/>
            <w:i w:val="0"/>
            <w:iCs w:val="0"/>
          </w:rPr>
          <w:t>اسناد دعای سریانی / دعا / عربی</w:t>
        </w:r>
        <w:r>
          <w:tab/>
        </w:r>
        <w:r>
          <w:fldChar w:fldCharType="begin"/>
        </w:r>
        <w:r>
          <w:instrText xml:space="preserve">PAGEREF 1287 \h</w:instrText>
        </w:r>
        <w:r>
          <w:fldChar w:fldCharType="end"/>
        </w:r>
      </w:hyperlink>
    </w:p>
    <w:p>
      <w:pPr>
        <w:tabs>
          <w:tab w:val="right" w:leader="dot" w:pos="9062"/>
        </w:tabs>
        <w:ind w:left="440"/>
      </w:pPr>
      <w:hyperlink w:anchor="_Toc1288" w:history="1">
        <w:r>
          <w:rPr>
            <w:rFonts w:ascii="IRNazanin" w:hAnsi="IRNazanin" w:eastAsia="IRNazanin" w:cs="IRNazanin"/>
            <w:color w:val="111111"/>
            <w:sz w:val="22"/>
            <w:szCs w:val="22"/>
            <w:b w:val="0"/>
            <w:bCs w:val="0"/>
            <w:i w:val="0"/>
            <w:iCs w:val="0"/>
          </w:rPr>
          <w:t>اسناد دعای صیفی و دعای اعتصام / دعا / فارسی</w:t>
        </w:r>
        <w:r>
          <w:tab/>
        </w:r>
        <w:r>
          <w:fldChar w:fldCharType="begin"/>
        </w:r>
        <w:r>
          <w:instrText xml:space="preserve">PAGEREF 1288 \h</w:instrText>
        </w:r>
        <w:r>
          <w:fldChar w:fldCharType="end"/>
        </w:r>
      </w:hyperlink>
    </w:p>
    <w:p>
      <w:pPr>
        <w:tabs>
          <w:tab w:val="right" w:leader="dot" w:pos="9062"/>
        </w:tabs>
        <w:ind w:left="440"/>
      </w:pPr>
      <w:hyperlink w:anchor="_Toc1289" w:history="1">
        <w:r>
          <w:rPr>
            <w:rFonts w:ascii="IRNazanin" w:hAnsi="IRNazanin" w:eastAsia="IRNazanin" w:cs="IRNazanin"/>
            <w:color w:val="111111"/>
            <w:sz w:val="22"/>
            <w:szCs w:val="22"/>
            <w:b w:val="0"/>
            <w:bCs w:val="0"/>
            <w:i w:val="0"/>
            <w:iCs w:val="0"/>
          </w:rPr>
          <w:t>اسناد دعای عشرات / دعا / فارسی و عربی</w:t>
        </w:r>
        <w:r>
          <w:tab/>
        </w:r>
        <w:r>
          <w:fldChar w:fldCharType="begin"/>
        </w:r>
        <w:r>
          <w:instrText xml:space="preserve">PAGEREF 1289 \h</w:instrText>
        </w:r>
        <w:r>
          <w:fldChar w:fldCharType="end"/>
        </w:r>
      </w:hyperlink>
    </w:p>
    <w:p>
      <w:pPr>
        <w:tabs>
          <w:tab w:val="right" w:leader="dot" w:pos="9062"/>
        </w:tabs>
        <w:ind w:left="440"/>
      </w:pPr>
      <w:hyperlink w:anchor="_Toc1290" w:history="1">
        <w:r>
          <w:rPr>
            <w:rFonts w:ascii="IRNazanin" w:hAnsi="IRNazanin" w:eastAsia="IRNazanin" w:cs="IRNazanin"/>
            <w:color w:val="111111"/>
            <w:sz w:val="22"/>
            <w:szCs w:val="22"/>
            <w:b w:val="0"/>
            <w:bCs w:val="0"/>
            <w:i w:val="0"/>
            <w:iCs w:val="0"/>
          </w:rPr>
          <w:t>اسناد دوازده نام باری تعالی / عرفان و تصوف / فارسی</w:t>
        </w:r>
        <w:r>
          <w:tab/>
        </w:r>
        <w:r>
          <w:fldChar w:fldCharType="begin"/>
        </w:r>
        <w:r>
          <w:instrText xml:space="preserve">PAGEREF 1290 \h</w:instrText>
        </w:r>
        <w:r>
          <w:fldChar w:fldCharType="end"/>
        </w:r>
      </w:hyperlink>
    </w:p>
    <w:p>
      <w:pPr>
        <w:tabs>
          <w:tab w:val="right" w:leader="dot" w:pos="9062"/>
        </w:tabs>
        <w:ind w:left="440"/>
      </w:pPr>
      <w:hyperlink w:anchor="_Toc1291" w:history="1">
        <w:r>
          <w:rPr>
            <w:rFonts w:ascii="IRNazanin" w:hAnsi="IRNazanin" w:eastAsia="IRNazanin" w:cs="IRNazanin"/>
            <w:color w:val="111111"/>
            <w:sz w:val="22"/>
            <w:szCs w:val="22"/>
            <w:b w:val="0"/>
            <w:bCs w:val="0"/>
            <w:i w:val="0"/>
            <w:iCs w:val="0"/>
          </w:rPr>
          <w:t>اسناد دوران قاجار / اسناد / فارسی</w:t>
        </w:r>
        <w:r>
          <w:tab/>
        </w:r>
        <w:r>
          <w:fldChar w:fldCharType="begin"/>
        </w:r>
        <w:r>
          <w:instrText xml:space="preserve">PAGEREF 1291 \h</w:instrText>
        </w:r>
        <w:r>
          <w:fldChar w:fldCharType="end"/>
        </w:r>
      </w:hyperlink>
    </w:p>
    <w:p>
      <w:pPr>
        <w:tabs>
          <w:tab w:val="right" w:leader="dot" w:pos="9062"/>
        </w:tabs>
        <w:ind w:left="440"/>
      </w:pPr>
      <w:hyperlink w:anchor="_Toc1292" w:history="1">
        <w:r>
          <w:rPr>
            <w:rFonts w:ascii="IRNazanin" w:hAnsi="IRNazanin" w:eastAsia="IRNazanin" w:cs="IRNazanin"/>
            <w:color w:val="111111"/>
            <w:sz w:val="22"/>
            <w:szCs w:val="22"/>
            <w:b w:val="0"/>
            <w:bCs w:val="0"/>
            <w:i w:val="0"/>
            <w:iCs w:val="0"/>
          </w:rPr>
          <w:t>اسناد دولتی / اسناد / فارسی</w:t>
        </w:r>
        <w:r>
          <w:tab/>
        </w:r>
        <w:r>
          <w:fldChar w:fldCharType="begin"/>
        </w:r>
        <w:r>
          <w:instrText xml:space="preserve">PAGEREF 1292 \h</w:instrText>
        </w:r>
        <w:r>
          <w:fldChar w:fldCharType="end"/>
        </w:r>
      </w:hyperlink>
    </w:p>
    <w:p>
      <w:pPr>
        <w:tabs>
          <w:tab w:val="right" w:leader="dot" w:pos="9062"/>
        </w:tabs>
        <w:ind w:left="440"/>
      </w:pPr>
      <w:hyperlink w:anchor="_Toc1293" w:history="1">
        <w:r>
          <w:rPr>
            <w:rFonts w:ascii="IRNazanin" w:hAnsi="IRNazanin" w:eastAsia="IRNazanin" w:cs="IRNazanin"/>
            <w:color w:val="111111"/>
            <w:sz w:val="22"/>
            <w:szCs w:val="22"/>
            <w:b w:val="0"/>
            <w:bCs w:val="0"/>
            <w:i w:val="0"/>
            <w:iCs w:val="0"/>
          </w:rPr>
          <w:t>اسناد دولتی / اسناد / فارسی</w:t>
        </w:r>
        <w:r>
          <w:tab/>
        </w:r>
        <w:r>
          <w:fldChar w:fldCharType="begin"/>
        </w:r>
        <w:r>
          <w:instrText xml:space="preserve">PAGEREF 1293 \h</w:instrText>
        </w:r>
        <w:r>
          <w:fldChar w:fldCharType="end"/>
        </w:r>
      </w:hyperlink>
    </w:p>
    <w:p>
      <w:pPr>
        <w:tabs>
          <w:tab w:val="right" w:leader="dot" w:pos="9062"/>
        </w:tabs>
        <w:ind w:left="440"/>
      </w:pPr>
      <w:hyperlink w:anchor="_Toc1294" w:history="1">
        <w:r>
          <w:rPr>
            <w:rFonts w:ascii="IRNazanin" w:hAnsi="IRNazanin" w:eastAsia="IRNazanin" w:cs="IRNazanin"/>
            <w:color w:val="111111"/>
            <w:sz w:val="22"/>
            <w:szCs w:val="22"/>
            <w:b w:val="0"/>
            <w:bCs w:val="0"/>
            <w:i w:val="0"/>
            <w:iCs w:val="0"/>
          </w:rPr>
          <w:t>اسناد دولتی / اسناد / فارسی</w:t>
        </w:r>
        <w:r>
          <w:tab/>
        </w:r>
        <w:r>
          <w:fldChar w:fldCharType="begin"/>
        </w:r>
        <w:r>
          <w:instrText xml:space="preserve">PAGEREF 1294 \h</w:instrText>
        </w:r>
        <w:r>
          <w:fldChar w:fldCharType="end"/>
        </w:r>
      </w:hyperlink>
    </w:p>
    <w:p>
      <w:pPr>
        <w:tabs>
          <w:tab w:val="right" w:leader="dot" w:pos="9062"/>
        </w:tabs>
        <w:ind w:left="440"/>
      </w:pPr>
      <w:hyperlink w:anchor="_Toc1295" w:history="1">
        <w:r>
          <w:rPr>
            <w:rFonts w:ascii="IRNazanin" w:hAnsi="IRNazanin" w:eastAsia="IRNazanin" w:cs="IRNazanin"/>
            <w:color w:val="111111"/>
            <w:sz w:val="22"/>
            <w:szCs w:val="22"/>
            <w:b w:val="0"/>
            <w:bCs w:val="0"/>
            <w:i w:val="0"/>
            <w:iCs w:val="0"/>
          </w:rPr>
          <w:t>اسناد روابط ایران و اسپانیا / اسناد / انگلیسی</w:t>
        </w:r>
        <w:r>
          <w:tab/>
        </w:r>
        <w:r>
          <w:fldChar w:fldCharType="begin"/>
        </w:r>
        <w:r>
          <w:instrText xml:space="preserve">PAGEREF 1295 \h</w:instrText>
        </w:r>
        <w:r>
          <w:fldChar w:fldCharType="end"/>
        </w:r>
      </w:hyperlink>
    </w:p>
    <w:p>
      <w:pPr>
        <w:tabs>
          <w:tab w:val="right" w:leader="dot" w:pos="9062"/>
        </w:tabs>
        <w:ind w:left="440"/>
      </w:pPr>
      <w:hyperlink w:anchor="_Toc1296" w:history="1">
        <w:r>
          <w:rPr>
            <w:rFonts w:ascii="IRNazanin" w:hAnsi="IRNazanin" w:eastAsia="IRNazanin" w:cs="IRNazanin"/>
            <w:color w:val="111111"/>
            <w:sz w:val="22"/>
            <w:szCs w:val="22"/>
            <w:b w:val="0"/>
            <w:bCs w:val="0"/>
            <w:i w:val="0"/>
            <w:iCs w:val="0"/>
          </w:rPr>
          <w:t>اسناد روایتی محمد باقر بیرجندی / رجال / عربی</w:t>
        </w:r>
        <w:r>
          <w:tab/>
        </w:r>
        <w:r>
          <w:fldChar w:fldCharType="begin"/>
        </w:r>
        <w:r>
          <w:instrText xml:space="preserve">PAGEREF 1296 \h</w:instrText>
        </w:r>
        <w:r>
          <w:fldChar w:fldCharType="end"/>
        </w:r>
      </w:hyperlink>
    </w:p>
    <w:p>
      <w:pPr>
        <w:tabs>
          <w:tab w:val="right" w:leader="dot" w:pos="9062"/>
        </w:tabs>
        <w:ind w:left="440"/>
      </w:pPr>
      <w:hyperlink w:anchor="_Toc1297" w:history="1">
        <w:r>
          <w:rPr>
            <w:rFonts w:ascii="IRNazanin" w:hAnsi="IRNazanin" w:eastAsia="IRNazanin" w:cs="IRNazanin"/>
            <w:color w:val="111111"/>
            <w:sz w:val="22"/>
            <w:szCs w:val="22"/>
            <w:b w:val="0"/>
            <w:bCs w:val="0"/>
            <w:i w:val="0"/>
            <w:iCs w:val="0"/>
          </w:rPr>
          <w:t>اسناد روزگار قاجار / اسناد / فارسی</w:t>
        </w:r>
        <w:r>
          <w:tab/>
        </w:r>
        <w:r>
          <w:fldChar w:fldCharType="begin"/>
        </w:r>
        <w:r>
          <w:instrText xml:space="preserve">PAGEREF 1297 \h</w:instrText>
        </w:r>
        <w:r>
          <w:fldChar w:fldCharType="end"/>
        </w:r>
      </w:hyperlink>
    </w:p>
    <w:p>
      <w:pPr>
        <w:tabs>
          <w:tab w:val="right" w:leader="dot" w:pos="9062"/>
        </w:tabs>
        <w:ind w:left="440"/>
      </w:pPr>
      <w:hyperlink w:anchor="_Toc1298" w:history="1">
        <w:r>
          <w:rPr>
            <w:rFonts w:ascii="IRNazanin" w:hAnsi="IRNazanin" w:eastAsia="IRNazanin" w:cs="IRNazanin"/>
            <w:color w:val="111111"/>
            <w:sz w:val="22"/>
            <w:szCs w:val="22"/>
            <w:b w:val="0"/>
            <w:bCs w:val="0"/>
            <w:i w:val="0"/>
            <w:iCs w:val="0"/>
          </w:rPr>
          <w:t>اسناد سامع الدعاء / اسناد / عربي</w:t>
        </w:r>
        <w:r>
          <w:tab/>
        </w:r>
        <w:r>
          <w:fldChar w:fldCharType="begin"/>
        </w:r>
        <w:r>
          <w:instrText xml:space="preserve">PAGEREF 1298 \h</w:instrText>
        </w:r>
        <w:r>
          <w:fldChar w:fldCharType="end"/>
        </w:r>
      </w:hyperlink>
    </w:p>
    <w:p>
      <w:pPr>
        <w:tabs>
          <w:tab w:val="right" w:leader="dot" w:pos="9062"/>
        </w:tabs>
        <w:ind w:left="440"/>
      </w:pPr>
      <w:hyperlink w:anchor="_Toc1299" w:history="1">
        <w:r>
          <w:rPr>
            <w:rFonts w:ascii="IRNazanin" w:hAnsi="IRNazanin" w:eastAsia="IRNazanin" w:cs="IRNazanin"/>
            <w:color w:val="111111"/>
            <w:sz w:val="22"/>
            <w:szCs w:val="22"/>
            <w:b w:val="0"/>
            <w:bCs w:val="0"/>
            <w:i w:val="0"/>
            <w:iCs w:val="0"/>
          </w:rPr>
          <w:t>اسناد سلسله ذهبیه / عرفان و تصوف / فارسی</w:t>
        </w:r>
        <w:r>
          <w:tab/>
        </w:r>
        <w:r>
          <w:fldChar w:fldCharType="begin"/>
        </w:r>
        <w:r>
          <w:instrText xml:space="preserve">PAGEREF 1299 \h</w:instrText>
        </w:r>
        <w:r>
          <w:fldChar w:fldCharType="end"/>
        </w:r>
      </w:hyperlink>
    </w:p>
    <w:p>
      <w:pPr>
        <w:tabs>
          <w:tab w:val="right" w:leader="dot" w:pos="9062"/>
        </w:tabs>
        <w:ind w:left="440"/>
      </w:pPr>
      <w:hyperlink w:anchor="_Toc1300" w:history="1">
        <w:r>
          <w:rPr>
            <w:rFonts w:ascii="IRNazanin" w:hAnsi="IRNazanin" w:eastAsia="IRNazanin" w:cs="IRNazanin"/>
            <w:color w:val="111111"/>
            <w:sz w:val="22"/>
            <w:szCs w:val="22"/>
            <w:b w:val="0"/>
            <w:bCs w:val="0"/>
            <w:i w:val="0"/>
            <w:iCs w:val="0"/>
          </w:rPr>
          <w:t>اسناد سیاسی و اداری / اسناد / فارسی</w:t>
        </w:r>
        <w:r>
          <w:tab/>
        </w:r>
        <w:r>
          <w:fldChar w:fldCharType="begin"/>
        </w:r>
        <w:r>
          <w:instrText xml:space="preserve">PAGEREF 1300 \h</w:instrText>
        </w:r>
        <w:r>
          <w:fldChar w:fldCharType="end"/>
        </w:r>
      </w:hyperlink>
    </w:p>
    <w:p>
      <w:pPr>
        <w:tabs>
          <w:tab w:val="right" w:leader="dot" w:pos="9062"/>
        </w:tabs>
        <w:ind w:left="440"/>
      </w:pPr>
      <w:hyperlink w:anchor="_Toc1301" w:history="1">
        <w:r>
          <w:rPr>
            <w:rFonts w:ascii="IRNazanin" w:hAnsi="IRNazanin" w:eastAsia="IRNazanin" w:cs="IRNazanin"/>
            <w:color w:val="111111"/>
            <w:sz w:val="22"/>
            <w:szCs w:val="22"/>
            <w:b w:val="0"/>
            <w:bCs w:val="0"/>
            <w:i w:val="0"/>
            <w:iCs w:val="0"/>
          </w:rPr>
          <w:t>اسناد سید جمال الدین افغانی / اسناد / فارسی</w:t>
        </w:r>
        <w:r>
          <w:tab/>
        </w:r>
        <w:r>
          <w:fldChar w:fldCharType="begin"/>
        </w:r>
        <w:r>
          <w:instrText xml:space="preserve">PAGEREF 1301 \h</w:instrText>
        </w:r>
        <w:r>
          <w:fldChar w:fldCharType="end"/>
        </w:r>
      </w:hyperlink>
    </w:p>
    <w:p>
      <w:pPr>
        <w:tabs>
          <w:tab w:val="right" w:leader="dot" w:pos="9062"/>
        </w:tabs>
        <w:ind w:left="440"/>
      </w:pPr>
      <w:hyperlink w:anchor="_Toc1302" w:history="1">
        <w:r>
          <w:rPr>
            <w:rFonts w:ascii="IRNazanin" w:hAnsi="IRNazanin" w:eastAsia="IRNazanin" w:cs="IRNazanin"/>
            <w:color w:val="111111"/>
            <w:sz w:val="22"/>
            <w:szCs w:val="22"/>
            <w:b w:val="0"/>
            <w:bCs w:val="0"/>
            <w:i w:val="0"/>
            <w:iCs w:val="0"/>
          </w:rPr>
          <w:t>اسناد ظهیرالدوله / اسناد / فارسی</w:t>
        </w:r>
        <w:r>
          <w:tab/>
        </w:r>
        <w:r>
          <w:fldChar w:fldCharType="begin"/>
        </w:r>
        <w:r>
          <w:instrText xml:space="preserve">PAGEREF 1302 \h</w:instrText>
        </w:r>
        <w:r>
          <w:fldChar w:fldCharType="end"/>
        </w:r>
      </w:hyperlink>
    </w:p>
    <w:p>
      <w:pPr>
        <w:tabs>
          <w:tab w:val="right" w:leader="dot" w:pos="9062"/>
        </w:tabs>
        <w:ind w:left="440"/>
      </w:pPr>
      <w:hyperlink w:anchor="_Toc1303" w:history="1">
        <w:r>
          <w:rPr>
            <w:rFonts w:ascii="IRNazanin" w:hAnsi="IRNazanin" w:eastAsia="IRNazanin" w:cs="IRNazanin"/>
            <w:color w:val="111111"/>
            <w:sz w:val="22"/>
            <w:szCs w:val="22"/>
            <w:b w:val="0"/>
            <w:bCs w:val="0"/>
            <w:i w:val="0"/>
            <w:iCs w:val="0"/>
          </w:rPr>
          <w:t>اسناد عهدنامه حضرت رسول (صلّی اللَّهِ علیه وَ آلِهِ وَ سَلَّمَ ) / عربی، فارسی</w:t>
        </w:r>
        <w:r>
          <w:tab/>
        </w:r>
        <w:r>
          <w:fldChar w:fldCharType="begin"/>
        </w:r>
        <w:r>
          <w:instrText xml:space="preserve">PAGEREF 1303 \h</w:instrText>
        </w:r>
        <w:r>
          <w:fldChar w:fldCharType="end"/>
        </w:r>
      </w:hyperlink>
    </w:p>
    <w:p>
      <w:pPr>
        <w:tabs>
          <w:tab w:val="right" w:leader="dot" w:pos="9062"/>
        </w:tabs>
        <w:ind w:left="440"/>
      </w:pPr>
      <w:hyperlink w:anchor="_Toc1304" w:history="1">
        <w:r>
          <w:rPr>
            <w:rFonts w:ascii="IRNazanin" w:hAnsi="IRNazanin" w:eastAsia="IRNazanin" w:cs="IRNazanin"/>
            <w:color w:val="111111"/>
            <w:sz w:val="22"/>
            <w:szCs w:val="22"/>
            <w:b w:val="0"/>
            <w:bCs w:val="0"/>
            <w:i w:val="0"/>
            <w:iCs w:val="0"/>
          </w:rPr>
          <w:t>اسناد فرخ خان امین الدوله / اسناد / فارسی</w:t>
        </w:r>
        <w:r>
          <w:tab/>
        </w:r>
        <w:r>
          <w:fldChar w:fldCharType="begin"/>
        </w:r>
        <w:r>
          <w:instrText xml:space="preserve">PAGEREF 1304 \h</w:instrText>
        </w:r>
        <w:r>
          <w:fldChar w:fldCharType="end"/>
        </w:r>
      </w:hyperlink>
    </w:p>
    <w:p>
      <w:pPr>
        <w:tabs>
          <w:tab w:val="right" w:leader="dot" w:pos="9062"/>
        </w:tabs>
        <w:ind w:left="440"/>
      </w:pPr>
      <w:hyperlink w:anchor="_Toc1305" w:history="1">
        <w:r>
          <w:rPr>
            <w:rFonts w:ascii="IRNazanin" w:hAnsi="IRNazanin" w:eastAsia="IRNazanin" w:cs="IRNazanin"/>
            <w:color w:val="111111"/>
            <w:sz w:val="22"/>
            <w:szCs w:val="22"/>
            <w:b w:val="0"/>
            <w:bCs w:val="0"/>
            <w:i w:val="0"/>
            <w:iCs w:val="0"/>
          </w:rPr>
          <w:t>اسناد فرقه خاکسار / اسناد / فارسی</w:t>
        </w:r>
        <w:r>
          <w:tab/>
        </w:r>
        <w:r>
          <w:fldChar w:fldCharType="begin"/>
        </w:r>
        <w:r>
          <w:instrText xml:space="preserve">PAGEREF 1305 \h</w:instrText>
        </w:r>
        <w:r>
          <w:fldChar w:fldCharType="end"/>
        </w:r>
      </w:hyperlink>
    </w:p>
    <w:p>
      <w:pPr>
        <w:tabs>
          <w:tab w:val="right" w:leader="dot" w:pos="9062"/>
        </w:tabs>
        <w:ind w:left="440"/>
      </w:pPr>
      <w:hyperlink w:anchor="_Toc1306" w:history="1">
        <w:r>
          <w:rPr>
            <w:rFonts w:ascii="IRNazanin" w:hAnsi="IRNazanin" w:eastAsia="IRNazanin" w:cs="IRNazanin"/>
            <w:color w:val="111111"/>
            <w:sz w:val="22"/>
            <w:szCs w:val="22"/>
            <w:b w:val="0"/>
            <w:bCs w:val="0"/>
            <w:i w:val="0"/>
            <w:iCs w:val="0"/>
          </w:rPr>
          <w:t>اسناد قاجاری / اسناد / فارسی</w:t>
        </w:r>
        <w:r>
          <w:tab/>
        </w:r>
        <w:r>
          <w:fldChar w:fldCharType="begin"/>
        </w:r>
        <w:r>
          <w:instrText xml:space="preserve">PAGEREF 1306 \h</w:instrText>
        </w:r>
        <w:r>
          <w:fldChar w:fldCharType="end"/>
        </w:r>
      </w:hyperlink>
    </w:p>
    <w:p>
      <w:pPr>
        <w:tabs>
          <w:tab w:val="right" w:leader="dot" w:pos="9062"/>
        </w:tabs>
        <w:ind w:left="440"/>
      </w:pPr>
      <w:hyperlink w:anchor="_Toc1307" w:history="1">
        <w:r>
          <w:rPr>
            <w:rFonts w:ascii="IRNazanin" w:hAnsi="IRNazanin" w:eastAsia="IRNazanin" w:cs="IRNazanin"/>
            <w:color w:val="111111"/>
            <w:sz w:val="22"/>
            <w:szCs w:val="22"/>
            <w:b w:val="0"/>
            <w:bCs w:val="0"/>
            <w:i w:val="0"/>
            <w:iCs w:val="0"/>
          </w:rPr>
          <w:t>اسناد قرائت آخوند ملا محمد صادق قاری / قرائت / عربی</w:t>
        </w:r>
        <w:r>
          <w:tab/>
        </w:r>
        <w:r>
          <w:fldChar w:fldCharType="begin"/>
        </w:r>
        <w:r>
          <w:instrText xml:space="preserve">PAGEREF 1307 \h</w:instrText>
        </w:r>
        <w:r>
          <w:fldChar w:fldCharType="end"/>
        </w:r>
      </w:hyperlink>
    </w:p>
    <w:p>
      <w:pPr>
        <w:tabs>
          <w:tab w:val="right" w:leader="dot" w:pos="9062"/>
        </w:tabs>
        <w:ind w:left="440"/>
      </w:pPr>
      <w:hyperlink w:anchor="_Toc1308" w:history="1">
        <w:r>
          <w:rPr>
            <w:rFonts w:ascii="IRNazanin" w:hAnsi="IRNazanin" w:eastAsia="IRNazanin" w:cs="IRNazanin"/>
            <w:color w:val="111111"/>
            <w:sz w:val="22"/>
            <w:szCs w:val="22"/>
            <w:b w:val="0"/>
            <w:bCs w:val="0"/>
            <w:i w:val="0"/>
            <w:iCs w:val="0"/>
          </w:rPr>
          <w:t>اسناد قرائت ابن جزری / اجازات / عربی</w:t>
        </w:r>
        <w:r>
          <w:tab/>
        </w:r>
        <w:r>
          <w:fldChar w:fldCharType="begin"/>
        </w:r>
        <w:r>
          <w:instrText xml:space="preserve">PAGEREF 1308 \h</w:instrText>
        </w:r>
        <w:r>
          <w:fldChar w:fldCharType="end"/>
        </w:r>
      </w:hyperlink>
    </w:p>
    <w:p>
      <w:pPr>
        <w:tabs>
          <w:tab w:val="right" w:leader="dot" w:pos="9062"/>
        </w:tabs>
        <w:ind w:left="440"/>
      </w:pPr>
      <w:hyperlink w:anchor="_Toc1309" w:history="1">
        <w:r>
          <w:rPr>
            <w:rFonts w:ascii="IRNazanin" w:hAnsi="IRNazanin" w:eastAsia="IRNazanin" w:cs="IRNazanin"/>
            <w:color w:val="111111"/>
            <w:sz w:val="22"/>
            <w:szCs w:val="22"/>
            <w:b w:val="0"/>
            <w:bCs w:val="0"/>
            <w:i w:val="0"/>
            <w:iCs w:val="0"/>
          </w:rPr>
          <w:t>اسناد قرارداد ۱۹۱۹ / اسناد / فارسی</w:t>
        </w:r>
        <w:r>
          <w:tab/>
        </w:r>
        <w:r>
          <w:fldChar w:fldCharType="begin"/>
        </w:r>
        <w:r>
          <w:instrText xml:space="preserve">PAGEREF 1309 \h</w:instrText>
        </w:r>
        <w:r>
          <w:fldChar w:fldCharType="end"/>
        </w:r>
      </w:hyperlink>
    </w:p>
    <w:p>
      <w:pPr>
        <w:tabs>
          <w:tab w:val="right" w:leader="dot" w:pos="9062"/>
        </w:tabs>
        <w:ind w:left="440"/>
      </w:pPr>
      <w:hyperlink w:anchor="_Toc1310" w:history="1">
        <w:r>
          <w:rPr>
            <w:rFonts w:ascii="IRNazanin" w:hAnsi="IRNazanin" w:eastAsia="IRNazanin" w:cs="IRNazanin"/>
            <w:color w:val="111111"/>
            <w:sz w:val="22"/>
            <w:szCs w:val="22"/>
            <w:b w:val="0"/>
            <w:bCs w:val="0"/>
            <w:i w:val="0"/>
            <w:iCs w:val="0"/>
          </w:rPr>
          <w:t>اسناد قصیده برده / شعر / فارسی</w:t>
        </w:r>
        <w:r>
          <w:tab/>
        </w:r>
        <w:r>
          <w:fldChar w:fldCharType="begin"/>
        </w:r>
        <w:r>
          <w:instrText xml:space="preserve">PAGEREF 1310 \h</w:instrText>
        </w:r>
        <w:r>
          <w:fldChar w:fldCharType="end"/>
        </w:r>
      </w:hyperlink>
    </w:p>
    <w:p>
      <w:pPr>
        <w:tabs>
          <w:tab w:val="right" w:leader="dot" w:pos="9062"/>
        </w:tabs>
        <w:ind w:left="440"/>
      </w:pPr>
      <w:hyperlink w:anchor="_Toc1311" w:history="1">
        <w:r>
          <w:rPr>
            <w:rFonts w:ascii="IRNazanin" w:hAnsi="IRNazanin" w:eastAsia="IRNazanin" w:cs="IRNazanin"/>
            <w:color w:val="111111"/>
            <w:sz w:val="22"/>
            <w:szCs w:val="22"/>
            <w:b w:val="0"/>
            <w:bCs w:val="0"/>
            <w:i w:val="0"/>
            <w:iCs w:val="0"/>
          </w:rPr>
          <w:t>اسناد کتاب سیری در تصوف / عرفان و تصوف / فارسی</w:t>
        </w:r>
        <w:r>
          <w:tab/>
        </w:r>
        <w:r>
          <w:fldChar w:fldCharType="begin"/>
        </w:r>
        <w:r>
          <w:instrText xml:space="preserve">PAGEREF 1311 \h</w:instrText>
        </w:r>
        <w:r>
          <w:fldChar w:fldCharType="end"/>
        </w:r>
      </w:hyperlink>
    </w:p>
    <w:p>
      <w:pPr>
        <w:tabs>
          <w:tab w:val="right" w:leader="dot" w:pos="9062"/>
        </w:tabs>
        <w:ind w:left="440"/>
      </w:pPr>
      <w:hyperlink w:anchor="_Toc1312" w:history="1">
        <w:r>
          <w:rPr>
            <w:rFonts w:ascii="IRNazanin" w:hAnsi="IRNazanin" w:eastAsia="IRNazanin" w:cs="IRNazanin"/>
            <w:color w:val="111111"/>
            <w:sz w:val="22"/>
            <w:szCs w:val="22"/>
            <w:b w:val="0"/>
            <w:bCs w:val="0"/>
            <w:i w:val="0"/>
            <w:iCs w:val="0"/>
          </w:rPr>
          <w:t>اسناد الكتب الاربعة / رجال / عربي</w:t>
        </w:r>
        <w:r>
          <w:tab/>
        </w:r>
        <w:r>
          <w:fldChar w:fldCharType="begin"/>
        </w:r>
        <w:r>
          <w:instrText xml:space="preserve">PAGEREF 1312 \h</w:instrText>
        </w:r>
        <w:r>
          <w:fldChar w:fldCharType="end"/>
        </w:r>
      </w:hyperlink>
    </w:p>
    <w:p>
      <w:pPr>
        <w:tabs>
          <w:tab w:val="right" w:leader="dot" w:pos="9062"/>
        </w:tabs>
        <w:ind w:left="440"/>
      </w:pPr>
      <w:hyperlink w:anchor="_Toc1313" w:history="1">
        <w:r>
          <w:rPr>
            <w:rFonts w:ascii="IRNazanin" w:hAnsi="IRNazanin" w:eastAsia="IRNazanin" w:cs="IRNazanin"/>
            <w:color w:val="111111"/>
            <w:sz w:val="22"/>
            <w:szCs w:val="22"/>
            <w:b w:val="0"/>
            <w:bCs w:val="0"/>
            <w:i w:val="0"/>
            <w:iCs w:val="0"/>
          </w:rPr>
          <w:t>اسناد گرگان / اسناد / فارسی</w:t>
        </w:r>
        <w:r>
          <w:tab/>
        </w:r>
        <w:r>
          <w:fldChar w:fldCharType="begin"/>
        </w:r>
        <w:r>
          <w:instrText xml:space="preserve">PAGEREF 1313 \h</w:instrText>
        </w:r>
        <w:r>
          <w:fldChar w:fldCharType="end"/>
        </w:r>
      </w:hyperlink>
    </w:p>
    <w:p>
      <w:pPr>
        <w:tabs>
          <w:tab w:val="right" w:leader="dot" w:pos="9062"/>
        </w:tabs>
        <w:ind w:left="440"/>
      </w:pPr>
      <w:hyperlink w:anchor="_Toc1314" w:history="1">
        <w:r>
          <w:rPr>
            <w:rFonts w:ascii="IRNazanin" w:hAnsi="IRNazanin" w:eastAsia="IRNazanin" w:cs="IRNazanin"/>
            <w:color w:val="111111"/>
            <w:sz w:val="22"/>
            <w:szCs w:val="22"/>
            <w:b w:val="0"/>
            <w:bCs w:val="0"/>
            <w:i w:val="0"/>
            <w:iCs w:val="0"/>
          </w:rPr>
          <w:t>اسناد مأموریت فرخ خان امین الدوله / اسناد / فارسی</w:t>
        </w:r>
        <w:r>
          <w:tab/>
        </w:r>
        <w:r>
          <w:fldChar w:fldCharType="begin"/>
        </w:r>
        <w:r>
          <w:instrText xml:space="preserve">PAGEREF 1314 \h</w:instrText>
        </w:r>
        <w:r>
          <w:fldChar w:fldCharType="end"/>
        </w:r>
      </w:hyperlink>
    </w:p>
    <w:p>
      <w:pPr>
        <w:tabs>
          <w:tab w:val="right" w:leader="dot" w:pos="9062"/>
        </w:tabs>
        <w:ind w:left="440"/>
      </w:pPr>
      <w:hyperlink w:anchor="_Toc1315" w:history="1">
        <w:r>
          <w:rPr>
            <w:rFonts w:ascii="IRNazanin" w:hAnsi="IRNazanin" w:eastAsia="IRNazanin" w:cs="IRNazanin"/>
            <w:color w:val="111111"/>
            <w:sz w:val="22"/>
            <w:szCs w:val="22"/>
            <w:b w:val="0"/>
            <w:bCs w:val="0"/>
            <w:i w:val="0"/>
            <w:iCs w:val="0"/>
          </w:rPr>
          <w:t>اسناد محضری / اسناد / فارسی</w:t>
        </w:r>
        <w:r>
          <w:tab/>
        </w:r>
        <w:r>
          <w:fldChar w:fldCharType="begin"/>
        </w:r>
        <w:r>
          <w:instrText xml:space="preserve">PAGEREF 1315 \h</w:instrText>
        </w:r>
        <w:r>
          <w:fldChar w:fldCharType="end"/>
        </w:r>
      </w:hyperlink>
    </w:p>
    <w:p>
      <w:pPr>
        <w:tabs>
          <w:tab w:val="right" w:leader="dot" w:pos="9062"/>
        </w:tabs>
        <w:ind w:left="440"/>
      </w:pPr>
      <w:hyperlink w:anchor="_Toc1316" w:history="1">
        <w:r>
          <w:rPr>
            <w:rFonts w:ascii="IRNazanin" w:hAnsi="IRNazanin" w:eastAsia="IRNazanin" w:cs="IRNazanin"/>
            <w:color w:val="111111"/>
            <w:sz w:val="22"/>
            <w:szCs w:val="22"/>
            <w:b w:val="0"/>
            <w:bCs w:val="0"/>
            <w:i w:val="0"/>
            <w:iCs w:val="0"/>
          </w:rPr>
          <w:t>اسناد مشيخة التهذيب و الفقيه / رجال / عربی</w:t>
        </w:r>
        <w:r>
          <w:tab/>
        </w:r>
        <w:r>
          <w:fldChar w:fldCharType="begin"/>
        </w:r>
        <w:r>
          <w:instrText xml:space="preserve">PAGEREF 1316 \h</w:instrText>
        </w:r>
        <w:r>
          <w:fldChar w:fldCharType="end"/>
        </w:r>
      </w:hyperlink>
    </w:p>
    <w:p>
      <w:pPr>
        <w:tabs>
          <w:tab w:val="right" w:leader="dot" w:pos="9062"/>
        </w:tabs>
        <w:ind w:left="440"/>
      </w:pPr>
      <w:hyperlink w:anchor="_Toc1317" w:history="1">
        <w:r>
          <w:rPr>
            <w:rFonts w:ascii="IRNazanin" w:hAnsi="IRNazanin" w:eastAsia="IRNazanin" w:cs="IRNazanin"/>
            <w:color w:val="111111"/>
            <w:sz w:val="22"/>
            <w:szCs w:val="22"/>
            <w:b w:val="0"/>
            <w:bCs w:val="0"/>
            <w:i w:val="0"/>
            <w:iCs w:val="0"/>
          </w:rPr>
          <w:t>اسناد معاون الدوله / اسناد / فارسی</w:t>
        </w:r>
        <w:r>
          <w:tab/>
        </w:r>
        <w:r>
          <w:fldChar w:fldCharType="begin"/>
        </w:r>
        <w:r>
          <w:instrText xml:space="preserve">PAGEREF 1317 \h</w:instrText>
        </w:r>
        <w:r>
          <w:fldChar w:fldCharType="end"/>
        </w:r>
      </w:hyperlink>
    </w:p>
    <w:p>
      <w:pPr>
        <w:tabs>
          <w:tab w:val="right" w:leader="dot" w:pos="9062"/>
        </w:tabs>
        <w:ind w:left="440"/>
      </w:pPr>
      <w:hyperlink w:anchor="_Toc1318" w:history="1">
        <w:r>
          <w:rPr>
            <w:rFonts w:ascii="IRNazanin" w:hAnsi="IRNazanin" w:eastAsia="IRNazanin" w:cs="IRNazanin"/>
            <w:color w:val="111111"/>
            <w:sz w:val="22"/>
            <w:szCs w:val="22"/>
            <w:b w:val="0"/>
            <w:bCs w:val="0"/>
            <w:i w:val="0"/>
            <w:iCs w:val="0"/>
          </w:rPr>
          <w:t>اسناد مفصله راجع به دستورالعمل قوی ئیل آذربایجان و مراسلات و اسناد مالی دوره قاجار / اسناد / فارسی</w:t>
        </w:r>
        <w:r>
          <w:tab/>
        </w:r>
        <w:r>
          <w:fldChar w:fldCharType="begin"/>
        </w:r>
        <w:r>
          <w:instrText xml:space="preserve">PAGEREF 1318 \h</w:instrText>
        </w:r>
        <w:r>
          <w:fldChar w:fldCharType="end"/>
        </w:r>
      </w:hyperlink>
    </w:p>
    <w:p>
      <w:pPr>
        <w:tabs>
          <w:tab w:val="right" w:leader="dot" w:pos="9062"/>
        </w:tabs>
        <w:ind w:left="440"/>
      </w:pPr>
      <w:hyperlink w:anchor="_Toc1319" w:history="1">
        <w:r>
          <w:rPr>
            <w:rFonts w:ascii="IRNazanin" w:hAnsi="IRNazanin" w:eastAsia="IRNazanin" w:cs="IRNazanin"/>
            <w:color w:val="111111"/>
            <w:sz w:val="22"/>
            <w:szCs w:val="22"/>
            <w:b w:val="0"/>
            <w:bCs w:val="0"/>
            <w:i w:val="0"/>
            <w:iCs w:val="0"/>
          </w:rPr>
          <w:t>اسناد مهر سلیمان / اسناد / فارسی</w:t>
        </w:r>
        <w:r>
          <w:tab/>
        </w:r>
        <w:r>
          <w:fldChar w:fldCharType="begin"/>
        </w:r>
        <w:r>
          <w:instrText xml:space="preserve">PAGEREF 1319 \h</w:instrText>
        </w:r>
        <w:r>
          <w:fldChar w:fldCharType="end"/>
        </w:r>
      </w:hyperlink>
    </w:p>
    <w:p>
      <w:pPr>
        <w:tabs>
          <w:tab w:val="right" w:leader="dot" w:pos="9062"/>
        </w:tabs>
        <w:ind w:left="440"/>
      </w:pPr>
      <w:hyperlink w:anchor="_Toc1320" w:history="1">
        <w:r>
          <w:rPr>
            <w:rFonts w:ascii="IRNazanin" w:hAnsi="IRNazanin" w:eastAsia="IRNazanin" w:cs="IRNazanin"/>
            <w:color w:val="111111"/>
            <w:sz w:val="22"/>
            <w:szCs w:val="22"/>
            <w:b w:val="0"/>
            <w:bCs w:val="0"/>
            <w:i w:val="0"/>
            <w:iCs w:val="0"/>
          </w:rPr>
          <w:t>اسناد میرزا عیسی خان وزیر / اسناد / فارسی</w:t>
        </w:r>
        <w:r>
          <w:tab/>
        </w:r>
        <w:r>
          <w:fldChar w:fldCharType="begin"/>
        </w:r>
        <w:r>
          <w:instrText xml:space="preserve">PAGEREF 1320 \h</w:instrText>
        </w:r>
        <w:r>
          <w:fldChar w:fldCharType="end"/>
        </w:r>
      </w:hyperlink>
    </w:p>
    <w:p>
      <w:pPr>
        <w:tabs>
          <w:tab w:val="right" w:leader="dot" w:pos="9062"/>
        </w:tabs>
        <w:ind w:left="440"/>
      </w:pPr>
      <w:hyperlink w:anchor="_Toc1321" w:history="1">
        <w:r>
          <w:rPr>
            <w:rFonts w:ascii="IRNazanin" w:hAnsi="IRNazanin" w:eastAsia="IRNazanin" w:cs="IRNazanin"/>
            <w:color w:val="111111"/>
            <w:sz w:val="22"/>
            <w:szCs w:val="22"/>
            <w:b w:val="0"/>
            <w:bCs w:val="0"/>
            <w:i w:val="0"/>
            <w:iCs w:val="0"/>
          </w:rPr>
          <w:t>اسناد میرزا مصطفی خان معینی / اسناد / فارسی</w:t>
        </w:r>
        <w:r>
          <w:tab/>
        </w:r>
        <w:r>
          <w:fldChar w:fldCharType="begin"/>
        </w:r>
        <w:r>
          <w:instrText xml:space="preserve">PAGEREF 1321 \h</w:instrText>
        </w:r>
        <w:r>
          <w:fldChar w:fldCharType="end"/>
        </w:r>
      </w:hyperlink>
    </w:p>
    <w:p>
      <w:pPr>
        <w:tabs>
          <w:tab w:val="right" w:leader="dot" w:pos="9062"/>
        </w:tabs>
        <w:ind w:left="440"/>
      </w:pPr>
      <w:hyperlink w:anchor="_Toc1322" w:history="1">
        <w:r>
          <w:rPr>
            <w:rFonts w:ascii="IRNazanin" w:hAnsi="IRNazanin" w:eastAsia="IRNazanin" w:cs="IRNazanin"/>
            <w:color w:val="111111"/>
            <w:sz w:val="22"/>
            <w:szCs w:val="22"/>
            <w:b w:val="0"/>
            <w:bCs w:val="0"/>
            <w:i w:val="0"/>
            <w:iCs w:val="0"/>
          </w:rPr>
          <w:t>اسناد و اوراق / اسناد / فارسی</w:t>
        </w:r>
        <w:r>
          <w:tab/>
        </w:r>
        <w:r>
          <w:fldChar w:fldCharType="begin"/>
        </w:r>
        <w:r>
          <w:instrText xml:space="preserve">PAGEREF 1322 \h</w:instrText>
        </w:r>
        <w:r>
          <w:fldChar w:fldCharType="end"/>
        </w:r>
      </w:hyperlink>
    </w:p>
    <w:p>
      <w:pPr>
        <w:tabs>
          <w:tab w:val="right" w:leader="dot" w:pos="9062"/>
        </w:tabs>
        <w:ind w:left="440"/>
      </w:pPr>
      <w:hyperlink w:anchor="_Toc1323" w:history="1">
        <w:r>
          <w:rPr>
            <w:rFonts w:ascii="IRNazanin" w:hAnsi="IRNazanin" w:eastAsia="IRNazanin" w:cs="IRNazanin"/>
            <w:color w:val="111111"/>
            <w:sz w:val="22"/>
            <w:szCs w:val="22"/>
            <w:b w:val="0"/>
            <w:bCs w:val="0"/>
            <w:i w:val="0"/>
            <w:iCs w:val="0"/>
          </w:rPr>
          <w:t>اسناد و تلگرافهای زمان قاجار / اسناد / فارسی</w:t>
        </w:r>
        <w:r>
          <w:tab/>
        </w:r>
        <w:r>
          <w:fldChar w:fldCharType="begin"/>
        </w:r>
        <w:r>
          <w:instrText xml:space="preserve">PAGEREF 1323 \h</w:instrText>
        </w:r>
        <w:r>
          <w:fldChar w:fldCharType="end"/>
        </w:r>
      </w:hyperlink>
    </w:p>
    <w:p>
      <w:pPr>
        <w:tabs>
          <w:tab w:val="right" w:leader="dot" w:pos="9062"/>
        </w:tabs>
        <w:ind w:left="440"/>
      </w:pPr>
      <w:hyperlink w:anchor="_Toc1324" w:history="1">
        <w:r>
          <w:rPr>
            <w:rFonts w:ascii="IRNazanin" w:hAnsi="IRNazanin" w:eastAsia="IRNazanin" w:cs="IRNazanin"/>
            <w:color w:val="111111"/>
            <w:sz w:val="22"/>
            <w:szCs w:val="22"/>
            <w:b w:val="0"/>
            <w:bCs w:val="0"/>
            <w:i w:val="0"/>
            <w:iCs w:val="0"/>
          </w:rPr>
          <w:t>اسناد و جزوه های حزب ملیون / اسناد / فارسی</w:t>
        </w:r>
        <w:r>
          <w:tab/>
        </w:r>
        <w:r>
          <w:fldChar w:fldCharType="begin"/>
        </w:r>
        <w:r>
          <w:instrText xml:space="preserve">PAGEREF 1324 \h</w:instrText>
        </w:r>
        <w:r>
          <w:fldChar w:fldCharType="end"/>
        </w:r>
      </w:hyperlink>
    </w:p>
    <w:p>
      <w:pPr>
        <w:tabs>
          <w:tab w:val="right" w:leader="dot" w:pos="9062"/>
        </w:tabs>
        <w:ind w:left="440"/>
      </w:pPr>
      <w:hyperlink w:anchor="_Toc1325" w:history="1">
        <w:r>
          <w:rPr>
            <w:rFonts w:ascii="IRNazanin" w:hAnsi="IRNazanin" w:eastAsia="IRNazanin" w:cs="IRNazanin"/>
            <w:color w:val="111111"/>
            <w:sz w:val="22"/>
            <w:szCs w:val="22"/>
            <w:b w:val="0"/>
            <w:bCs w:val="0"/>
            <w:i w:val="0"/>
            <w:iCs w:val="0"/>
          </w:rPr>
          <w:t>اسناد و خرج بروجرد / اسناد / فارسی</w:t>
        </w:r>
        <w:r>
          <w:tab/>
        </w:r>
        <w:r>
          <w:fldChar w:fldCharType="begin"/>
        </w:r>
        <w:r>
          <w:instrText xml:space="preserve">PAGEREF 1325 \h</w:instrText>
        </w:r>
        <w:r>
          <w:fldChar w:fldCharType="end"/>
        </w:r>
      </w:hyperlink>
    </w:p>
    <w:p>
      <w:pPr>
        <w:tabs>
          <w:tab w:val="right" w:leader="dot" w:pos="9062"/>
        </w:tabs>
        <w:ind w:left="440"/>
      </w:pPr>
      <w:hyperlink w:anchor="_Toc1326" w:history="1">
        <w:r>
          <w:rPr>
            <w:rFonts w:ascii="IRNazanin" w:hAnsi="IRNazanin" w:eastAsia="IRNazanin" w:cs="IRNazanin"/>
            <w:color w:val="111111"/>
            <w:sz w:val="22"/>
            <w:szCs w:val="22"/>
            <w:b w:val="0"/>
            <w:bCs w:val="0"/>
            <w:i w:val="0"/>
            <w:iCs w:val="0"/>
          </w:rPr>
          <w:t>اسناد و خرج کرمانشاهان / اسناد / فارسی</w:t>
        </w:r>
        <w:r>
          <w:tab/>
        </w:r>
        <w:r>
          <w:fldChar w:fldCharType="begin"/>
        </w:r>
        <w:r>
          <w:instrText xml:space="preserve">PAGEREF 1326 \h</w:instrText>
        </w:r>
        <w:r>
          <w:fldChar w:fldCharType="end"/>
        </w:r>
      </w:hyperlink>
    </w:p>
    <w:p>
      <w:pPr>
        <w:tabs>
          <w:tab w:val="right" w:leader="dot" w:pos="9062"/>
        </w:tabs>
        <w:ind w:left="440"/>
      </w:pPr>
      <w:hyperlink w:anchor="_Toc1327" w:history="1">
        <w:r>
          <w:rPr>
            <w:rFonts w:ascii="IRNazanin" w:hAnsi="IRNazanin" w:eastAsia="IRNazanin" w:cs="IRNazanin"/>
            <w:color w:val="111111"/>
            <w:sz w:val="22"/>
            <w:szCs w:val="22"/>
            <w:b w:val="0"/>
            <w:bCs w:val="0"/>
            <w:i w:val="0"/>
            <w:iCs w:val="0"/>
          </w:rPr>
          <w:t>اسناد و خرج مستمریات اصفهان / اسناد / فارسی</w:t>
        </w:r>
        <w:r>
          <w:tab/>
        </w:r>
        <w:r>
          <w:fldChar w:fldCharType="begin"/>
        </w:r>
        <w:r>
          <w:instrText xml:space="preserve">PAGEREF 1327 \h</w:instrText>
        </w:r>
        <w:r>
          <w:fldChar w:fldCharType="end"/>
        </w:r>
      </w:hyperlink>
    </w:p>
    <w:p>
      <w:pPr>
        <w:tabs>
          <w:tab w:val="right" w:leader="dot" w:pos="9062"/>
        </w:tabs>
        <w:ind w:left="440"/>
      </w:pPr>
      <w:hyperlink w:anchor="_Toc1328" w:history="1">
        <w:r>
          <w:rPr>
            <w:rFonts w:ascii="IRNazanin" w:hAnsi="IRNazanin" w:eastAsia="IRNazanin" w:cs="IRNazanin"/>
            <w:color w:val="111111"/>
            <w:sz w:val="22"/>
            <w:szCs w:val="22"/>
            <w:b w:val="0"/>
            <w:bCs w:val="0"/>
            <w:i w:val="0"/>
            <w:iCs w:val="0"/>
          </w:rPr>
          <w:t>اسناد وزارت امور خارجه آلمان به زبان و خط اروپایی / اسناد / انگلیسی</w:t>
        </w:r>
        <w:r>
          <w:tab/>
        </w:r>
        <w:r>
          <w:fldChar w:fldCharType="begin"/>
        </w:r>
        <w:r>
          <w:instrText xml:space="preserve">PAGEREF 1328 \h</w:instrText>
        </w:r>
        <w:r>
          <w:fldChar w:fldCharType="end"/>
        </w:r>
      </w:hyperlink>
    </w:p>
    <w:p>
      <w:pPr>
        <w:tabs>
          <w:tab w:val="right" w:leader="dot" w:pos="9062"/>
        </w:tabs>
        <w:ind w:left="440"/>
      </w:pPr>
      <w:hyperlink w:anchor="_Toc1329" w:history="1">
        <w:r>
          <w:rPr>
            <w:rFonts w:ascii="IRNazanin" w:hAnsi="IRNazanin" w:eastAsia="IRNazanin" w:cs="IRNazanin"/>
            <w:color w:val="111111"/>
            <w:sz w:val="22"/>
            <w:szCs w:val="22"/>
            <w:b w:val="0"/>
            <w:bCs w:val="0"/>
            <w:i w:val="0"/>
            <w:iCs w:val="0"/>
          </w:rPr>
          <w:t>اسناد وزارت خارجه / اسناد / فارسی</w:t>
        </w:r>
        <w:r>
          <w:tab/>
        </w:r>
        <w:r>
          <w:fldChar w:fldCharType="begin"/>
        </w:r>
        <w:r>
          <w:instrText xml:space="preserve">PAGEREF 1329 \h</w:instrText>
        </w:r>
        <w:r>
          <w:fldChar w:fldCharType="end"/>
        </w:r>
      </w:hyperlink>
    </w:p>
    <w:p>
      <w:pPr>
        <w:tabs>
          <w:tab w:val="right" w:leader="dot" w:pos="9062"/>
        </w:tabs>
        <w:ind w:left="440"/>
      </w:pPr>
      <w:hyperlink w:anchor="_Toc1330" w:history="1">
        <w:r>
          <w:rPr>
            <w:rFonts w:ascii="IRNazanin" w:hAnsi="IRNazanin" w:eastAsia="IRNazanin" w:cs="IRNazanin"/>
            <w:color w:val="111111"/>
            <w:sz w:val="22"/>
            <w:szCs w:val="22"/>
            <w:b w:val="0"/>
            <w:bCs w:val="0"/>
            <w:i w:val="0"/>
            <w:iCs w:val="0"/>
          </w:rPr>
          <w:t>اسناد و شرح سرخ باد / متفرقه / فارسی</w:t>
        </w:r>
        <w:r>
          <w:tab/>
        </w:r>
        <w:r>
          <w:fldChar w:fldCharType="begin"/>
        </w:r>
        <w:r>
          <w:instrText xml:space="preserve">PAGEREF 1330 \h</w:instrText>
        </w:r>
        <w:r>
          <w:fldChar w:fldCharType="end"/>
        </w:r>
      </w:hyperlink>
    </w:p>
    <w:p>
      <w:pPr>
        <w:tabs>
          <w:tab w:val="right" w:leader="dot" w:pos="9062"/>
        </w:tabs>
        <w:ind w:left="440"/>
      </w:pPr>
      <w:hyperlink w:anchor="_Toc1331" w:history="1">
        <w:r>
          <w:rPr>
            <w:rFonts w:ascii="IRNazanin" w:hAnsi="IRNazanin" w:eastAsia="IRNazanin" w:cs="IRNazanin"/>
            <w:color w:val="111111"/>
            <w:sz w:val="22"/>
            <w:szCs w:val="22"/>
            <w:b w:val="0"/>
            <w:bCs w:val="0"/>
            <w:i w:val="0"/>
            <w:iCs w:val="0"/>
          </w:rPr>
          <w:t>اسناد و شرح کلام قرثيا / متفرقه / فارسی</w:t>
        </w:r>
        <w:r>
          <w:tab/>
        </w:r>
        <w:r>
          <w:fldChar w:fldCharType="begin"/>
        </w:r>
        <w:r>
          <w:instrText xml:space="preserve">PAGEREF 1331 \h</w:instrText>
        </w:r>
        <w:r>
          <w:fldChar w:fldCharType="end"/>
        </w:r>
      </w:hyperlink>
    </w:p>
    <w:p>
      <w:pPr>
        <w:tabs>
          <w:tab w:val="right" w:leader="dot" w:pos="9062"/>
        </w:tabs>
        <w:ind w:left="440"/>
      </w:pPr>
      <w:hyperlink w:anchor="_Toc1332" w:history="1">
        <w:r>
          <w:rPr>
            <w:rFonts w:ascii="IRNazanin" w:hAnsi="IRNazanin" w:eastAsia="IRNazanin" w:cs="IRNazanin"/>
            <w:color w:val="111111"/>
            <w:sz w:val="22"/>
            <w:szCs w:val="22"/>
            <w:b w:val="0"/>
            <w:bCs w:val="0"/>
            <w:i w:val="0"/>
            <w:iCs w:val="0"/>
          </w:rPr>
          <w:t>اسناد و عکسهای ایل خواجه وند / اسناد / فارسی</w:t>
        </w:r>
        <w:r>
          <w:tab/>
        </w:r>
        <w:r>
          <w:fldChar w:fldCharType="begin"/>
        </w:r>
        <w:r>
          <w:instrText xml:space="preserve">PAGEREF 1332 \h</w:instrText>
        </w:r>
        <w:r>
          <w:fldChar w:fldCharType="end"/>
        </w:r>
      </w:hyperlink>
    </w:p>
    <w:p>
      <w:pPr>
        <w:tabs>
          <w:tab w:val="right" w:leader="dot" w:pos="9062"/>
        </w:tabs>
        <w:ind w:left="440"/>
      </w:pPr>
      <w:hyperlink w:anchor="_Toc1333" w:history="1">
        <w:r>
          <w:rPr>
            <w:rFonts w:ascii="IRNazanin" w:hAnsi="IRNazanin" w:eastAsia="IRNazanin" w:cs="IRNazanin"/>
            <w:color w:val="111111"/>
            <w:sz w:val="22"/>
            <w:szCs w:val="22"/>
            <w:b w:val="0"/>
            <w:bCs w:val="0"/>
            <w:i w:val="0"/>
            <w:iCs w:val="0"/>
          </w:rPr>
          <w:t>اسناد و فرامین ولایت اندیجان در ازبکستان / اسناد - فارسی</w:t>
        </w:r>
        <w:r>
          <w:tab/>
        </w:r>
        <w:r>
          <w:fldChar w:fldCharType="begin"/>
        </w:r>
        <w:r>
          <w:instrText xml:space="preserve">PAGEREF 1333 \h</w:instrText>
        </w:r>
        <w:r>
          <w:fldChar w:fldCharType="end"/>
        </w:r>
      </w:hyperlink>
    </w:p>
    <w:p>
      <w:pPr>
        <w:tabs>
          <w:tab w:val="right" w:leader="dot" w:pos="9062"/>
        </w:tabs>
        <w:ind w:left="440"/>
      </w:pPr>
      <w:hyperlink w:anchor="_Toc1334" w:history="1">
        <w:r>
          <w:rPr>
            <w:rFonts w:ascii="IRNazanin" w:hAnsi="IRNazanin" w:eastAsia="IRNazanin" w:cs="IRNazanin"/>
            <w:color w:val="111111"/>
            <w:sz w:val="22"/>
            <w:szCs w:val="22"/>
            <w:b w:val="0"/>
            <w:bCs w:val="0"/>
            <w:i w:val="0"/>
            <w:iCs w:val="0"/>
          </w:rPr>
          <w:t>اسناد و قراردادها و عهدنامه های سیاسی مربوط  به ایران با دول خارجه / اسناد / فارسی</w:t>
        </w:r>
        <w:r>
          <w:tab/>
        </w:r>
        <w:r>
          <w:fldChar w:fldCharType="begin"/>
        </w:r>
        <w:r>
          <w:instrText xml:space="preserve">PAGEREF 1334 \h</w:instrText>
        </w:r>
        <w:r>
          <w:fldChar w:fldCharType="end"/>
        </w:r>
      </w:hyperlink>
    </w:p>
    <w:p>
      <w:pPr>
        <w:tabs>
          <w:tab w:val="right" w:leader="dot" w:pos="9062"/>
        </w:tabs>
        <w:ind w:left="440"/>
      </w:pPr>
      <w:hyperlink w:anchor="_Toc1335" w:history="1">
        <w:r>
          <w:rPr>
            <w:rFonts w:ascii="IRNazanin" w:hAnsi="IRNazanin" w:eastAsia="IRNazanin" w:cs="IRNazanin"/>
            <w:color w:val="111111"/>
            <w:sz w:val="22"/>
            <w:szCs w:val="22"/>
            <w:b w:val="0"/>
            <w:bCs w:val="0"/>
            <w:i w:val="0"/>
            <w:iCs w:val="0"/>
          </w:rPr>
          <w:t>اسناد وقف / اسناد / فارسی</w:t>
        </w:r>
        <w:r>
          <w:tab/>
        </w:r>
        <w:r>
          <w:fldChar w:fldCharType="begin"/>
        </w:r>
        <w:r>
          <w:instrText xml:space="preserve">PAGEREF 1335 \h</w:instrText>
        </w:r>
        <w:r>
          <w:fldChar w:fldCharType="end"/>
        </w:r>
      </w:hyperlink>
    </w:p>
    <w:p>
      <w:pPr>
        <w:tabs>
          <w:tab w:val="right" w:leader="dot" w:pos="9062"/>
        </w:tabs>
        <w:ind w:left="440"/>
      </w:pPr>
      <w:hyperlink w:anchor="_Toc1336" w:history="1">
        <w:r>
          <w:rPr>
            <w:rFonts w:ascii="IRNazanin" w:hAnsi="IRNazanin" w:eastAsia="IRNazanin" w:cs="IRNazanin"/>
            <w:color w:val="111111"/>
            <w:sz w:val="22"/>
            <w:szCs w:val="22"/>
            <w:b w:val="0"/>
            <w:bCs w:val="0"/>
            <w:i w:val="0"/>
            <w:iCs w:val="0"/>
          </w:rPr>
          <w:t>اسناد وقف امام زاده ابراهیم / اسناد / فارسی</w:t>
        </w:r>
        <w:r>
          <w:tab/>
        </w:r>
        <w:r>
          <w:fldChar w:fldCharType="begin"/>
        </w:r>
        <w:r>
          <w:instrText xml:space="preserve">PAGEREF 1336 \h</w:instrText>
        </w:r>
        <w:r>
          <w:fldChar w:fldCharType="end"/>
        </w:r>
      </w:hyperlink>
    </w:p>
    <w:p>
      <w:pPr>
        <w:tabs>
          <w:tab w:val="right" w:leader="dot" w:pos="9062"/>
        </w:tabs>
        <w:ind w:left="440"/>
      </w:pPr>
      <w:hyperlink w:anchor="_Toc1337" w:history="1">
        <w:r>
          <w:rPr>
            <w:rFonts w:ascii="IRNazanin" w:hAnsi="IRNazanin" w:eastAsia="IRNazanin" w:cs="IRNazanin"/>
            <w:color w:val="111111"/>
            <w:sz w:val="22"/>
            <w:szCs w:val="22"/>
            <w:b w:val="0"/>
            <w:bCs w:val="0"/>
            <w:i w:val="0"/>
            <w:iCs w:val="0"/>
          </w:rPr>
          <w:t>اسناد وقف بی بی هیبت / اسناد / فارسی</w:t>
        </w:r>
        <w:r>
          <w:tab/>
        </w:r>
        <w:r>
          <w:fldChar w:fldCharType="begin"/>
        </w:r>
        <w:r>
          <w:instrText xml:space="preserve">PAGEREF 1337 \h</w:instrText>
        </w:r>
        <w:r>
          <w:fldChar w:fldCharType="end"/>
        </w:r>
      </w:hyperlink>
    </w:p>
    <w:p>
      <w:pPr>
        <w:tabs>
          <w:tab w:val="right" w:leader="dot" w:pos="9062"/>
        </w:tabs>
        <w:ind w:left="440"/>
      </w:pPr>
      <w:hyperlink w:anchor="_Toc1338" w:history="1">
        <w:r>
          <w:rPr>
            <w:rFonts w:ascii="IRNazanin" w:hAnsi="IRNazanin" w:eastAsia="IRNazanin" w:cs="IRNazanin"/>
            <w:color w:val="111111"/>
            <w:sz w:val="22"/>
            <w:szCs w:val="22"/>
            <w:b w:val="0"/>
            <w:bCs w:val="0"/>
            <w:i w:val="0"/>
            <w:iCs w:val="0"/>
          </w:rPr>
          <w:t>اسناد وقف نامه های شاهرود و دامغان و گرگان /  اسناد / فارسی</w:t>
        </w:r>
        <w:r>
          <w:tab/>
        </w:r>
        <w:r>
          <w:fldChar w:fldCharType="begin"/>
        </w:r>
        <w:r>
          <w:instrText xml:space="preserve">PAGEREF 1338 \h</w:instrText>
        </w:r>
        <w:r>
          <w:fldChar w:fldCharType="end"/>
        </w:r>
      </w:hyperlink>
    </w:p>
    <w:p>
      <w:pPr>
        <w:tabs>
          <w:tab w:val="right" w:leader="dot" w:pos="9062"/>
        </w:tabs>
        <w:ind w:left="440"/>
      </w:pPr>
      <w:hyperlink w:anchor="_Toc1339" w:history="1">
        <w:r>
          <w:rPr>
            <w:rFonts w:ascii="IRNazanin" w:hAnsi="IRNazanin" w:eastAsia="IRNazanin" w:cs="IRNazanin"/>
            <w:color w:val="111111"/>
            <w:sz w:val="22"/>
            <w:szCs w:val="22"/>
            <w:b w:val="0"/>
            <w:bCs w:val="0"/>
            <w:i w:val="0"/>
            <w:iCs w:val="0"/>
          </w:rPr>
          <w:t>اسناد و مدارک / اسناد / فارسی</w:t>
        </w:r>
        <w:r>
          <w:tab/>
        </w:r>
        <w:r>
          <w:fldChar w:fldCharType="begin"/>
        </w:r>
        <w:r>
          <w:instrText xml:space="preserve">PAGEREF 1339 \h</w:instrText>
        </w:r>
        <w:r>
          <w:fldChar w:fldCharType="end"/>
        </w:r>
      </w:hyperlink>
    </w:p>
    <w:p>
      <w:pPr>
        <w:tabs>
          <w:tab w:val="right" w:leader="dot" w:pos="9062"/>
        </w:tabs>
        <w:ind w:left="440"/>
      </w:pPr>
      <w:hyperlink w:anchor="_Toc1340" w:history="1">
        <w:r>
          <w:rPr>
            <w:rFonts w:ascii="IRNazanin" w:hAnsi="IRNazanin" w:eastAsia="IRNazanin" w:cs="IRNazanin"/>
            <w:color w:val="111111"/>
            <w:sz w:val="22"/>
            <w:szCs w:val="22"/>
            <w:b w:val="0"/>
            <w:bCs w:val="0"/>
            <w:i w:val="0"/>
            <w:iCs w:val="0"/>
          </w:rPr>
          <w:t>اسناد و مدارک تاریخی / اسناد / فارسی</w:t>
        </w:r>
        <w:r>
          <w:tab/>
        </w:r>
        <w:r>
          <w:fldChar w:fldCharType="begin"/>
        </w:r>
        <w:r>
          <w:instrText xml:space="preserve">PAGEREF 1340 \h</w:instrText>
        </w:r>
        <w:r>
          <w:fldChar w:fldCharType="end"/>
        </w:r>
      </w:hyperlink>
    </w:p>
    <w:p>
      <w:pPr>
        <w:tabs>
          <w:tab w:val="right" w:leader="dot" w:pos="9062"/>
        </w:tabs>
        <w:ind w:left="440"/>
      </w:pPr>
      <w:hyperlink w:anchor="_Toc1341" w:history="1">
        <w:r>
          <w:rPr>
            <w:rFonts w:ascii="IRNazanin" w:hAnsi="IRNazanin" w:eastAsia="IRNazanin" w:cs="IRNazanin"/>
            <w:color w:val="111111"/>
            <w:sz w:val="22"/>
            <w:szCs w:val="22"/>
            <w:b w:val="0"/>
            <w:bCs w:val="0"/>
            <w:i w:val="0"/>
            <w:iCs w:val="0"/>
          </w:rPr>
          <w:t>اسناد و مکاتبات و یادداشتها / اسناد / فارسی</w:t>
        </w:r>
        <w:r>
          <w:tab/>
        </w:r>
        <w:r>
          <w:fldChar w:fldCharType="begin"/>
        </w:r>
        <w:r>
          <w:instrText xml:space="preserve">PAGEREF 1341 \h</w:instrText>
        </w:r>
        <w:r>
          <w:fldChar w:fldCharType="end"/>
        </w:r>
      </w:hyperlink>
    </w:p>
    <w:p>
      <w:pPr>
        <w:tabs>
          <w:tab w:val="right" w:leader="dot" w:pos="9062"/>
        </w:tabs>
        <w:ind w:left="440"/>
      </w:pPr>
      <w:hyperlink w:anchor="_Toc1342" w:history="1">
        <w:r>
          <w:rPr>
            <w:rFonts w:ascii="IRNazanin" w:hAnsi="IRNazanin" w:eastAsia="IRNazanin" w:cs="IRNazanin"/>
            <w:color w:val="111111"/>
            <w:sz w:val="22"/>
            <w:szCs w:val="22"/>
            <w:b w:val="0"/>
            <w:bCs w:val="0"/>
            <w:i w:val="0"/>
            <w:iCs w:val="0"/>
          </w:rPr>
          <w:t>اسناد و مکاتبات و یادداشتها / اسناد / فارسی</w:t>
        </w:r>
        <w:r>
          <w:tab/>
        </w:r>
        <w:r>
          <w:fldChar w:fldCharType="begin"/>
        </w:r>
        <w:r>
          <w:instrText xml:space="preserve">PAGEREF 1342 \h</w:instrText>
        </w:r>
        <w:r>
          <w:fldChar w:fldCharType="end"/>
        </w:r>
      </w:hyperlink>
    </w:p>
    <w:p>
      <w:pPr>
        <w:tabs>
          <w:tab w:val="right" w:leader="dot" w:pos="9062"/>
        </w:tabs>
        <w:ind w:left="440"/>
      </w:pPr>
      <w:hyperlink w:anchor="_Toc1343" w:history="1">
        <w:r>
          <w:rPr>
            <w:rFonts w:ascii="IRNazanin" w:hAnsi="IRNazanin" w:eastAsia="IRNazanin" w:cs="IRNazanin"/>
            <w:color w:val="111111"/>
            <w:sz w:val="22"/>
            <w:szCs w:val="22"/>
            <w:b w:val="0"/>
            <w:bCs w:val="0"/>
            <w:i w:val="0"/>
            <w:iCs w:val="0"/>
          </w:rPr>
          <w:t>اسناد هرات / اسناد / فارسی</w:t>
        </w:r>
        <w:r>
          <w:tab/>
        </w:r>
        <w:r>
          <w:fldChar w:fldCharType="begin"/>
        </w:r>
        <w:r>
          <w:instrText xml:space="preserve">PAGEREF 1343 \h</w:instrText>
        </w:r>
        <w:r>
          <w:fldChar w:fldCharType="end"/>
        </w:r>
      </w:hyperlink>
    </w:p>
    <w:p>
      <w:pPr>
        <w:tabs>
          <w:tab w:val="right" w:leader="dot" w:pos="9062"/>
        </w:tabs>
        <w:ind w:left="440"/>
      </w:pPr>
      <w:hyperlink w:anchor="_Toc1344" w:history="1">
        <w:r>
          <w:rPr>
            <w:rFonts w:ascii="IRNazanin" w:hAnsi="IRNazanin" w:eastAsia="IRNazanin" w:cs="IRNazanin"/>
            <w:color w:val="111111"/>
            <w:sz w:val="22"/>
            <w:szCs w:val="22"/>
            <w:b w:val="0"/>
            <w:bCs w:val="0"/>
            <w:i w:val="0"/>
            <w:iCs w:val="0"/>
          </w:rPr>
          <w:t>اسناد هزار و یک نام حضرت حق سبحانه و تعالی  / / اسماء الله</w:t>
        </w:r>
        <w:r>
          <w:tab/>
        </w:r>
        <w:r>
          <w:fldChar w:fldCharType="begin"/>
        </w:r>
        <w:r>
          <w:instrText xml:space="preserve">PAGEREF 1344 \h</w:instrText>
        </w:r>
        <w:r>
          <w:fldChar w:fldCharType="end"/>
        </w:r>
      </w:hyperlink>
    </w:p>
    <w:p>
      <w:pPr>
        <w:tabs>
          <w:tab w:val="right" w:leader="dot" w:pos="9062"/>
        </w:tabs>
        <w:ind w:left="440"/>
      </w:pPr>
      <w:hyperlink w:anchor="_Toc1345" w:history="1">
        <w:r>
          <w:rPr>
            <w:rFonts w:ascii="IRNazanin" w:hAnsi="IRNazanin" w:eastAsia="IRNazanin" w:cs="IRNazanin"/>
            <w:color w:val="111111"/>
            <w:sz w:val="22"/>
            <w:szCs w:val="22"/>
            <w:b w:val="0"/>
            <w:bCs w:val="0"/>
            <w:i w:val="0"/>
            <w:iCs w:val="0"/>
          </w:rPr>
          <w:t>اسناد همدم السلطنه / اسناد/ فارسی</w:t>
        </w:r>
        <w:r>
          <w:tab/>
        </w:r>
        <w:r>
          <w:fldChar w:fldCharType="begin"/>
        </w:r>
        <w:r>
          <w:instrText xml:space="preserve">PAGEREF 1345 \h</w:instrText>
        </w:r>
        <w:r>
          <w:fldChar w:fldCharType="end"/>
        </w:r>
      </w:hyperlink>
    </w:p>
    <w:p>
      <w:pPr>
        <w:tabs>
          <w:tab w:val="right" w:leader="dot" w:pos="9062"/>
        </w:tabs>
        <w:ind w:left="440"/>
      </w:pPr>
      <w:hyperlink w:anchor="_Toc1346" w:history="1">
        <w:r>
          <w:rPr>
            <w:rFonts w:ascii="IRNazanin" w:hAnsi="IRNazanin" w:eastAsia="IRNazanin" w:cs="IRNazanin"/>
            <w:color w:val="111111"/>
            <w:sz w:val="22"/>
            <w:szCs w:val="22"/>
            <w:b w:val="0"/>
            <w:bCs w:val="0"/>
            <w:i w:val="0"/>
            <w:iCs w:val="0"/>
          </w:rPr>
          <w:t>الاسنان الاربعة (ارجوزة) / طب، شعر / عربي</w:t>
        </w:r>
        <w:r>
          <w:tab/>
        </w:r>
        <w:r>
          <w:fldChar w:fldCharType="begin"/>
        </w:r>
        <w:r>
          <w:instrText xml:space="preserve">PAGEREF 1346 \h</w:instrText>
        </w:r>
        <w:r>
          <w:fldChar w:fldCharType="end"/>
        </w:r>
      </w:hyperlink>
    </w:p>
    <w:p>
      <w:pPr>
        <w:tabs>
          <w:tab w:val="right" w:leader="dot" w:pos="9062"/>
        </w:tabs>
        <w:ind w:left="440"/>
      </w:pPr>
      <w:hyperlink w:anchor="_Toc1347" w:history="1">
        <w:r>
          <w:rPr>
            <w:rFonts w:ascii="IRNazanin" w:hAnsi="IRNazanin" w:eastAsia="IRNazanin" w:cs="IRNazanin"/>
            <w:color w:val="111111"/>
            <w:sz w:val="22"/>
            <w:szCs w:val="22"/>
            <w:b w:val="0"/>
            <w:bCs w:val="0"/>
            <w:i w:val="0"/>
            <w:iCs w:val="0"/>
          </w:rPr>
          <w:t>اسنی العقائد فى اشرف المطالب و ازلف المقاصد  / كلام و اعتقادات / عربی</w:t>
        </w:r>
        <w:r>
          <w:tab/>
        </w:r>
        <w:r>
          <w:fldChar w:fldCharType="begin"/>
        </w:r>
        <w:r>
          <w:instrText xml:space="preserve">PAGEREF 1347 \h</w:instrText>
        </w:r>
        <w:r>
          <w:fldChar w:fldCharType="end"/>
        </w:r>
      </w:hyperlink>
    </w:p>
    <w:p>
      <w:pPr>
        <w:tabs>
          <w:tab w:val="right" w:leader="dot" w:pos="9062"/>
        </w:tabs>
        <w:ind w:left="440"/>
      </w:pPr>
      <w:hyperlink w:anchor="_Toc1348" w:history="1">
        <w:r>
          <w:rPr>
            <w:rFonts w:ascii="IRNazanin" w:hAnsi="IRNazanin" w:eastAsia="IRNazanin" w:cs="IRNazanin"/>
            <w:color w:val="111111"/>
            <w:sz w:val="22"/>
            <w:szCs w:val="22"/>
            <w:b w:val="0"/>
            <w:bCs w:val="0"/>
            <w:i w:val="0"/>
            <w:iCs w:val="0"/>
          </w:rPr>
          <w:t>اسنى المطالب فى شرح الروض الطالب / فقه / عرب</w:t>
        </w:r>
        <w:r>
          <w:tab/>
        </w:r>
        <w:r>
          <w:fldChar w:fldCharType="begin"/>
        </w:r>
        <w:r>
          <w:instrText xml:space="preserve">PAGEREF 1348 \h</w:instrText>
        </w:r>
        <w:r>
          <w:fldChar w:fldCharType="end"/>
        </w:r>
      </w:hyperlink>
    </w:p>
    <w:p>
      <w:pPr>
        <w:tabs>
          <w:tab w:val="right" w:leader="dot" w:pos="9062"/>
        </w:tabs>
        <w:ind w:left="440"/>
      </w:pPr>
      <w:hyperlink w:anchor="_Toc1349" w:history="1">
        <w:r>
          <w:rPr>
            <w:rFonts w:ascii="IRNazanin" w:hAnsi="IRNazanin" w:eastAsia="IRNazanin" w:cs="IRNazanin"/>
            <w:color w:val="111111"/>
            <w:sz w:val="22"/>
            <w:szCs w:val="22"/>
            <w:b w:val="0"/>
            <w:bCs w:val="0"/>
            <w:i w:val="0"/>
            <w:iCs w:val="0"/>
          </w:rPr>
          <w:t>اسنى المطالب فى فضائل علی بن ابی طالب /  تاریخ/ عربی</w:t>
        </w:r>
        <w:r>
          <w:tab/>
        </w:r>
        <w:r>
          <w:fldChar w:fldCharType="begin"/>
        </w:r>
        <w:r>
          <w:instrText xml:space="preserve">PAGEREF 1349 \h</w:instrText>
        </w:r>
        <w:r>
          <w:fldChar w:fldCharType="end"/>
        </w:r>
      </w:hyperlink>
    </w:p>
    <w:p>
      <w:pPr>
        <w:tabs>
          <w:tab w:val="right" w:leader="dot" w:pos="9062"/>
        </w:tabs>
        <w:ind w:left="440"/>
      </w:pPr>
      <w:hyperlink w:anchor="_Toc1350" w:history="1">
        <w:r>
          <w:rPr>
            <w:rFonts w:ascii="IRNazanin" w:hAnsi="IRNazanin" w:eastAsia="IRNazanin" w:cs="IRNazanin"/>
            <w:color w:val="111111"/>
            <w:sz w:val="22"/>
            <w:szCs w:val="22"/>
            <w:b w:val="0"/>
            <w:bCs w:val="0"/>
            <w:i w:val="0"/>
            <w:iCs w:val="0"/>
          </w:rPr>
          <w:t>اسنى المقاصد و اعذب الموارد = المشيخة الفخریة / / رجال / عربی</w:t>
        </w:r>
        <w:r>
          <w:tab/>
        </w:r>
        <w:r>
          <w:fldChar w:fldCharType="begin"/>
        </w:r>
        <w:r>
          <w:instrText xml:space="preserve">PAGEREF 1350 \h</w:instrText>
        </w:r>
        <w:r>
          <w:fldChar w:fldCharType="end"/>
        </w:r>
      </w:hyperlink>
    </w:p>
    <w:p>
      <w:pPr>
        <w:tabs>
          <w:tab w:val="right" w:leader="dot" w:pos="9062"/>
        </w:tabs>
        <w:ind w:left="440"/>
      </w:pPr>
      <w:hyperlink w:anchor="_Toc1351" w:history="1">
        <w:r>
          <w:rPr>
            <w:rFonts w:ascii="IRNazanin" w:hAnsi="IRNazanin" w:eastAsia="IRNazanin" w:cs="IRNazanin"/>
            <w:color w:val="111111"/>
            <w:sz w:val="22"/>
            <w:szCs w:val="22"/>
            <w:b w:val="0"/>
            <w:bCs w:val="0"/>
            <w:i w:val="0"/>
            <w:iCs w:val="0"/>
          </w:rPr>
          <w:t>اسنى المناقب و رياض الفضائل فی مناقب اقدم  الامة / فضایل و مناقب / عربی</w:t>
        </w:r>
        <w:r>
          <w:tab/>
        </w:r>
        <w:r>
          <w:fldChar w:fldCharType="begin"/>
        </w:r>
        <w:r>
          <w:instrText xml:space="preserve">PAGEREF 1351 \h</w:instrText>
        </w:r>
        <w:r>
          <w:fldChar w:fldCharType="end"/>
        </w:r>
      </w:hyperlink>
    </w:p>
    <w:p>
      <w:pPr>
        <w:tabs>
          <w:tab w:val="right" w:leader="dot" w:pos="9062"/>
        </w:tabs>
        <w:ind w:left="440"/>
      </w:pPr>
      <w:hyperlink w:anchor="_Toc1352" w:history="1">
        <w:r>
          <w:rPr>
            <w:rFonts w:ascii="IRNazanin" w:hAnsi="IRNazanin" w:eastAsia="IRNazanin" w:cs="IRNazanin"/>
            <w:color w:val="111111"/>
            <w:sz w:val="22"/>
            <w:szCs w:val="22"/>
            <w:b w:val="0"/>
            <w:bCs w:val="0"/>
            <w:i w:val="0"/>
            <w:iCs w:val="0"/>
          </w:rPr>
          <w:t>اسنى الوسائل / فقه / فارسی و عربی</w:t>
        </w:r>
        <w:r>
          <w:tab/>
        </w:r>
        <w:r>
          <w:fldChar w:fldCharType="begin"/>
        </w:r>
        <w:r>
          <w:instrText xml:space="preserve">PAGEREF 1352 \h</w:instrText>
        </w:r>
        <w:r>
          <w:fldChar w:fldCharType="end"/>
        </w:r>
      </w:hyperlink>
    </w:p>
    <w:p>
      <w:pPr>
        <w:tabs>
          <w:tab w:val="right" w:leader="dot" w:pos="9062"/>
        </w:tabs>
        <w:ind w:left="440"/>
      </w:pPr>
      <w:hyperlink w:anchor="_Toc1353" w:history="1">
        <w:r>
          <w:rPr>
            <w:rFonts w:ascii="IRNazanin" w:hAnsi="IRNazanin" w:eastAsia="IRNazanin" w:cs="IRNazanin"/>
            <w:color w:val="111111"/>
            <w:sz w:val="22"/>
            <w:szCs w:val="22"/>
            <w:b w:val="0"/>
            <w:bCs w:val="0"/>
            <w:i w:val="0"/>
            <w:iCs w:val="0"/>
          </w:rPr>
          <w:t>اسهال / طب / فارسی</w:t>
        </w:r>
        <w:r>
          <w:tab/>
        </w:r>
        <w:r>
          <w:fldChar w:fldCharType="begin"/>
        </w:r>
        <w:r>
          <w:instrText xml:space="preserve">PAGEREF 1353 \h</w:instrText>
        </w:r>
        <w:r>
          <w:fldChar w:fldCharType="end"/>
        </w:r>
      </w:hyperlink>
    </w:p>
    <w:p>
      <w:pPr>
        <w:tabs>
          <w:tab w:val="right" w:leader="dot" w:pos="9062"/>
        </w:tabs>
        <w:ind w:left="440"/>
      </w:pPr>
      <w:hyperlink w:anchor="_Toc1354" w:history="1">
        <w:r>
          <w:rPr>
            <w:rFonts w:ascii="IRNazanin" w:hAnsi="IRNazanin" w:eastAsia="IRNazanin" w:cs="IRNazanin"/>
            <w:color w:val="111111"/>
            <w:sz w:val="22"/>
            <w:szCs w:val="22"/>
            <w:b w:val="0"/>
            <w:bCs w:val="0"/>
            <w:i w:val="0"/>
            <w:iCs w:val="0"/>
          </w:rPr>
          <w:t>اسهال / طب / فارسی</w:t>
        </w:r>
        <w:r>
          <w:tab/>
        </w:r>
        <w:r>
          <w:fldChar w:fldCharType="begin"/>
        </w:r>
        <w:r>
          <w:instrText xml:space="preserve">PAGEREF 1354 \h</w:instrText>
        </w:r>
        <w:r>
          <w:fldChar w:fldCharType="end"/>
        </w:r>
      </w:hyperlink>
    </w:p>
    <w:p>
      <w:pPr>
        <w:tabs>
          <w:tab w:val="right" w:leader="dot" w:pos="9062"/>
        </w:tabs>
        <w:ind w:left="440"/>
      </w:pPr>
      <w:hyperlink w:anchor="_Toc1355" w:history="1">
        <w:r>
          <w:rPr>
            <w:rFonts w:ascii="IRNazanin" w:hAnsi="IRNazanin" w:eastAsia="IRNazanin" w:cs="IRNazanin"/>
            <w:color w:val="111111"/>
            <w:sz w:val="22"/>
            <w:szCs w:val="22"/>
            <w:b w:val="0"/>
            <w:bCs w:val="0"/>
            <w:i w:val="0"/>
            <w:iCs w:val="0"/>
          </w:rPr>
          <w:t>اسهالیه / طب / فارسی</w:t>
        </w:r>
        <w:r>
          <w:tab/>
        </w:r>
        <w:r>
          <w:fldChar w:fldCharType="begin"/>
        </w:r>
        <w:r>
          <w:instrText xml:space="preserve">PAGEREF 1355 \h</w:instrText>
        </w:r>
        <w:r>
          <w:fldChar w:fldCharType="end"/>
        </w:r>
      </w:hyperlink>
    </w:p>
    <w:p>
      <w:pPr>
        <w:tabs>
          <w:tab w:val="right" w:leader="dot" w:pos="9062"/>
        </w:tabs>
        <w:ind w:left="440"/>
      </w:pPr>
      <w:hyperlink w:anchor="_Toc1356" w:history="1">
        <w:r>
          <w:rPr>
            <w:rFonts w:ascii="IRNazanin" w:hAnsi="IRNazanin" w:eastAsia="IRNazanin" w:cs="IRNazanin"/>
            <w:color w:val="111111"/>
            <w:sz w:val="22"/>
            <w:szCs w:val="22"/>
            <w:b w:val="0"/>
            <w:bCs w:val="0"/>
            <w:i w:val="0"/>
            <w:iCs w:val="0"/>
          </w:rPr>
          <w:t>اشاراة الرموز المعدودة الى عدة المدة التي هي  الغاية / جفر / عربي</w:t>
        </w:r>
        <w:r>
          <w:tab/>
        </w:r>
        <w:r>
          <w:fldChar w:fldCharType="begin"/>
        </w:r>
        <w:r>
          <w:instrText xml:space="preserve">PAGEREF 1356 \h</w:instrText>
        </w:r>
        <w:r>
          <w:fldChar w:fldCharType="end"/>
        </w:r>
      </w:hyperlink>
    </w:p>
    <w:p>
      <w:pPr>
        <w:tabs>
          <w:tab w:val="right" w:leader="dot" w:pos="9062"/>
        </w:tabs>
        <w:ind w:left="440"/>
      </w:pPr>
      <w:hyperlink w:anchor="_Toc1357" w:history="1">
        <w:r>
          <w:rPr>
            <w:rFonts w:ascii="IRNazanin" w:hAnsi="IRNazanin" w:eastAsia="IRNazanin" w:cs="IRNazanin"/>
            <w:color w:val="111111"/>
            <w:sz w:val="22"/>
            <w:szCs w:val="22"/>
            <w:b w:val="0"/>
            <w:bCs w:val="0"/>
            <w:i w:val="0"/>
            <w:iCs w:val="0"/>
          </w:rPr>
          <w:t>الاشارات / كلام و اعتقادات / عربی</w:t>
        </w:r>
        <w:r>
          <w:tab/>
        </w:r>
        <w:r>
          <w:fldChar w:fldCharType="begin"/>
        </w:r>
        <w:r>
          <w:instrText xml:space="preserve">PAGEREF 1357 \h</w:instrText>
        </w:r>
        <w:r>
          <w:fldChar w:fldCharType="end"/>
        </w:r>
      </w:hyperlink>
    </w:p>
    <w:p>
      <w:pPr>
        <w:tabs>
          <w:tab w:val="right" w:leader="dot" w:pos="9062"/>
        </w:tabs>
        <w:ind w:left="440"/>
      </w:pPr>
      <w:hyperlink w:anchor="_Toc1358" w:history="1">
        <w:r>
          <w:rPr>
            <w:rFonts w:ascii="IRNazanin" w:hAnsi="IRNazanin" w:eastAsia="IRNazanin" w:cs="IRNazanin"/>
            <w:color w:val="111111"/>
            <w:sz w:val="22"/>
            <w:szCs w:val="22"/>
            <w:b w:val="0"/>
            <w:bCs w:val="0"/>
            <w:i w:val="0"/>
            <w:iCs w:val="0"/>
          </w:rPr>
          <w:t>اشارات / ریاضیات / فارسی</w:t>
        </w:r>
        <w:r>
          <w:tab/>
        </w:r>
        <w:r>
          <w:fldChar w:fldCharType="begin"/>
        </w:r>
        <w:r>
          <w:instrText xml:space="preserve">PAGEREF 1358 \h</w:instrText>
        </w:r>
        <w:r>
          <w:fldChar w:fldCharType="end"/>
        </w:r>
      </w:hyperlink>
    </w:p>
    <w:p>
      <w:pPr>
        <w:tabs>
          <w:tab w:val="right" w:leader="dot" w:pos="9062"/>
        </w:tabs>
        <w:ind w:left="440"/>
      </w:pPr>
      <w:hyperlink w:anchor="_Toc1359" w:history="1">
        <w:r>
          <w:rPr>
            <w:rFonts w:ascii="IRNazanin" w:hAnsi="IRNazanin" w:eastAsia="IRNazanin" w:cs="IRNazanin"/>
            <w:color w:val="111111"/>
            <w:sz w:val="22"/>
            <w:szCs w:val="22"/>
            <w:b w:val="0"/>
            <w:bCs w:val="0"/>
            <w:i w:val="0"/>
            <w:iCs w:val="0"/>
          </w:rPr>
          <w:t>الاشارات = تحقیق علم توحید و تطابق آفاق و  انفس / عرفان و تصوف / عربی و فارسی</w:t>
        </w:r>
        <w:r>
          <w:tab/>
        </w:r>
        <w:r>
          <w:fldChar w:fldCharType="begin"/>
        </w:r>
        <w:r>
          <w:instrText xml:space="preserve">PAGEREF 1359 \h</w:instrText>
        </w:r>
        <w:r>
          <w:fldChar w:fldCharType="end"/>
        </w:r>
      </w:hyperlink>
    </w:p>
    <w:p>
      <w:pPr>
        <w:tabs>
          <w:tab w:val="right" w:leader="dot" w:pos="9062"/>
        </w:tabs>
        <w:ind w:left="440"/>
      </w:pPr>
      <w:hyperlink w:anchor="_Toc1360" w:history="1">
        <w:r>
          <w:rPr>
            <w:rFonts w:ascii="IRNazanin" w:hAnsi="IRNazanin" w:eastAsia="IRNazanin" w:cs="IRNazanin"/>
            <w:color w:val="111111"/>
            <w:sz w:val="22"/>
            <w:szCs w:val="22"/>
            <w:b w:val="0"/>
            <w:bCs w:val="0"/>
            <w:i w:val="0"/>
            <w:iCs w:val="0"/>
          </w:rPr>
          <w:t>اشارات اسرار الحكما / کیمیا / عربی و فارسی</w:t>
        </w:r>
        <w:r>
          <w:tab/>
        </w:r>
        <w:r>
          <w:fldChar w:fldCharType="begin"/>
        </w:r>
        <w:r>
          <w:instrText xml:space="preserve">PAGEREF 1360 \h</w:instrText>
        </w:r>
        <w:r>
          <w:fldChar w:fldCharType="end"/>
        </w:r>
      </w:hyperlink>
    </w:p>
    <w:p>
      <w:pPr>
        <w:tabs>
          <w:tab w:val="right" w:leader="dot" w:pos="9062"/>
        </w:tabs>
        <w:ind w:left="440"/>
      </w:pPr>
      <w:hyperlink w:anchor="_Toc1361" w:history="1">
        <w:r>
          <w:rPr>
            <w:rFonts w:ascii="IRNazanin" w:hAnsi="IRNazanin" w:eastAsia="IRNazanin" w:cs="IRNazanin"/>
            <w:color w:val="111111"/>
            <w:sz w:val="22"/>
            <w:szCs w:val="22"/>
            <w:b w:val="0"/>
            <w:bCs w:val="0"/>
            <w:i w:val="0"/>
            <w:iCs w:val="0"/>
          </w:rPr>
          <w:t>اشارات اسرار الحكماء فى امارات حكم الكيميا  (مختصر) = آراء المذاهب / كيميا / عربي</w:t>
        </w:r>
        <w:r>
          <w:tab/>
        </w:r>
        <w:r>
          <w:fldChar w:fldCharType="begin"/>
        </w:r>
        <w:r>
          <w:instrText xml:space="preserve">PAGEREF 1361 \h</w:instrText>
        </w:r>
        <w:r>
          <w:fldChar w:fldCharType="end"/>
        </w:r>
      </w:hyperlink>
    </w:p>
    <w:p>
      <w:pPr>
        <w:tabs>
          <w:tab w:val="right" w:leader="dot" w:pos="9062"/>
        </w:tabs>
        <w:ind w:left="440"/>
      </w:pPr>
      <w:hyperlink w:anchor="_Toc1362" w:history="1">
        <w:r>
          <w:rPr>
            <w:rFonts w:ascii="IRNazanin" w:hAnsi="IRNazanin" w:eastAsia="IRNazanin" w:cs="IRNazanin"/>
            <w:color w:val="111111"/>
            <w:sz w:val="22"/>
            <w:szCs w:val="22"/>
            <w:b w:val="0"/>
            <w:bCs w:val="0"/>
            <w:i w:val="0"/>
            <w:iCs w:val="0"/>
          </w:rPr>
          <w:t>الاشارات الاثنى عشرية العلویه / کلام و اعتقادات / فارسی</w:t>
        </w:r>
        <w:r>
          <w:tab/>
        </w:r>
        <w:r>
          <w:fldChar w:fldCharType="begin"/>
        </w:r>
        <w:r>
          <w:instrText xml:space="preserve">PAGEREF 1362 \h</w:instrText>
        </w:r>
        <w:r>
          <w:fldChar w:fldCharType="end"/>
        </w:r>
      </w:hyperlink>
    </w:p>
    <w:p>
      <w:pPr>
        <w:tabs>
          <w:tab w:val="right" w:leader="dot" w:pos="9062"/>
        </w:tabs>
        <w:ind w:left="440"/>
      </w:pPr>
      <w:hyperlink w:anchor="_Toc1363" w:history="1">
        <w:r>
          <w:rPr>
            <w:rFonts w:ascii="IRNazanin" w:hAnsi="IRNazanin" w:eastAsia="IRNazanin" w:cs="IRNazanin"/>
            <w:color w:val="111111"/>
            <w:sz w:val="22"/>
            <w:szCs w:val="22"/>
            <w:b w:val="0"/>
            <w:bCs w:val="0"/>
            <w:i w:val="0"/>
            <w:iCs w:val="0"/>
          </w:rPr>
          <w:t>اشارات الاصول / اصول فقه / عربی</w:t>
        </w:r>
        <w:r>
          <w:tab/>
        </w:r>
        <w:r>
          <w:fldChar w:fldCharType="begin"/>
        </w:r>
        <w:r>
          <w:instrText xml:space="preserve">PAGEREF 1363 \h</w:instrText>
        </w:r>
        <w:r>
          <w:fldChar w:fldCharType="end"/>
        </w:r>
      </w:hyperlink>
    </w:p>
    <w:p>
      <w:pPr>
        <w:tabs>
          <w:tab w:val="right" w:leader="dot" w:pos="9062"/>
        </w:tabs>
        <w:ind w:left="440"/>
      </w:pPr>
      <w:hyperlink w:anchor="_Toc1364" w:history="1">
        <w:r>
          <w:rPr>
            <w:rFonts w:ascii="IRNazanin" w:hAnsi="IRNazanin" w:eastAsia="IRNazanin" w:cs="IRNazanin"/>
            <w:color w:val="111111"/>
            <w:sz w:val="22"/>
            <w:szCs w:val="22"/>
            <w:b w:val="0"/>
            <w:bCs w:val="0"/>
            <w:i w:val="0"/>
            <w:iCs w:val="0"/>
          </w:rPr>
          <w:t>اشارات الاصول (ارجوزة) / كلام و اعتقادات، شعر / عربی</w:t>
        </w:r>
        <w:r>
          <w:tab/>
        </w:r>
        <w:r>
          <w:fldChar w:fldCharType="begin"/>
        </w:r>
        <w:r>
          <w:instrText xml:space="preserve">PAGEREF 1364 \h</w:instrText>
        </w:r>
        <w:r>
          <w:fldChar w:fldCharType="end"/>
        </w:r>
      </w:hyperlink>
    </w:p>
    <w:p>
      <w:pPr>
        <w:tabs>
          <w:tab w:val="right" w:leader="dot" w:pos="9062"/>
        </w:tabs>
        <w:ind w:left="440"/>
      </w:pPr>
      <w:hyperlink w:anchor="_Toc1365" w:history="1">
        <w:r>
          <w:rPr>
            <w:rFonts w:ascii="IRNazanin" w:hAnsi="IRNazanin" w:eastAsia="IRNazanin" w:cs="IRNazanin"/>
            <w:color w:val="111111"/>
            <w:sz w:val="22"/>
            <w:szCs w:val="22"/>
            <w:b w:val="0"/>
            <w:bCs w:val="0"/>
            <w:i w:val="0"/>
            <w:iCs w:val="0"/>
          </w:rPr>
          <w:t>الاشارات الى معرفة الزيارات = الزيارات في  صحيح الروایات / زیارات / عربی</w:t>
        </w:r>
        <w:r>
          <w:tab/>
        </w:r>
        <w:r>
          <w:fldChar w:fldCharType="begin"/>
        </w:r>
        <w:r>
          <w:instrText xml:space="preserve">PAGEREF 1365 \h</w:instrText>
        </w:r>
        <w:r>
          <w:fldChar w:fldCharType="end"/>
        </w:r>
      </w:hyperlink>
    </w:p>
    <w:p>
      <w:pPr>
        <w:tabs>
          <w:tab w:val="right" w:leader="dot" w:pos="9062"/>
        </w:tabs>
        <w:ind w:left="440"/>
      </w:pPr>
      <w:hyperlink w:anchor="_Toc1366" w:history="1">
        <w:r>
          <w:rPr>
            <w:rFonts w:ascii="IRNazanin" w:hAnsi="IRNazanin" w:eastAsia="IRNazanin" w:cs="IRNazanin"/>
            <w:color w:val="111111"/>
            <w:sz w:val="22"/>
            <w:szCs w:val="22"/>
            <w:b w:val="0"/>
            <w:bCs w:val="0"/>
            <w:i w:val="0"/>
            <w:iCs w:val="0"/>
          </w:rPr>
          <w:t>اشارات التفسير فى بشارات التذكير المستخرج من  تفسير العتيق / تفسیر / عربي</w:t>
        </w:r>
        <w:r>
          <w:tab/>
        </w:r>
        <w:r>
          <w:fldChar w:fldCharType="begin"/>
        </w:r>
        <w:r>
          <w:instrText xml:space="preserve">PAGEREF 1366 \h</w:instrText>
        </w:r>
        <w:r>
          <w:fldChar w:fldCharType="end"/>
        </w:r>
      </w:hyperlink>
    </w:p>
    <w:p>
      <w:pPr>
        <w:tabs>
          <w:tab w:val="right" w:leader="dot" w:pos="9062"/>
        </w:tabs>
        <w:ind w:left="440"/>
      </w:pPr>
      <w:hyperlink w:anchor="_Toc1367" w:history="1">
        <w:r>
          <w:rPr>
            <w:rFonts w:ascii="IRNazanin" w:hAnsi="IRNazanin" w:eastAsia="IRNazanin" w:cs="IRNazanin"/>
            <w:color w:val="111111"/>
            <w:sz w:val="22"/>
            <w:szCs w:val="22"/>
            <w:b w:val="0"/>
            <w:bCs w:val="0"/>
            <w:i w:val="0"/>
            <w:iCs w:val="0"/>
          </w:rPr>
          <w:t>اشارات حامدی / عرفان و تصوف / فارسی</w:t>
        </w:r>
        <w:r>
          <w:tab/>
        </w:r>
        <w:r>
          <w:fldChar w:fldCharType="begin"/>
        </w:r>
        <w:r>
          <w:instrText xml:space="preserve">PAGEREF 1367 \h</w:instrText>
        </w:r>
        <w:r>
          <w:fldChar w:fldCharType="end"/>
        </w:r>
      </w:hyperlink>
    </w:p>
    <w:p>
      <w:pPr>
        <w:tabs>
          <w:tab w:val="right" w:leader="dot" w:pos="9062"/>
        </w:tabs>
        <w:ind w:left="440"/>
      </w:pPr>
      <w:hyperlink w:anchor="_Toc1368" w:history="1">
        <w:r>
          <w:rPr>
            <w:rFonts w:ascii="IRNazanin" w:hAnsi="IRNazanin" w:eastAsia="IRNazanin" w:cs="IRNazanin"/>
            <w:color w:val="111111"/>
            <w:sz w:val="22"/>
            <w:szCs w:val="22"/>
            <w:b w:val="0"/>
            <w:bCs w:val="0"/>
            <w:i w:val="0"/>
            <w:iCs w:val="0"/>
          </w:rPr>
          <w:t>اشارات حسینیه = اشارات حسینی / شعر, تاریخ معصومین  / فارسی</w:t>
        </w:r>
        <w:r>
          <w:tab/>
        </w:r>
        <w:r>
          <w:fldChar w:fldCharType="begin"/>
        </w:r>
        <w:r>
          <w:instrText xml:space="preserve">PAGEREF 1368 \h</w:instrText>
        </w:r>
        <w:r>
          <w:fldChar w:fldCharType="end"/>
        </w:r>
      </w:hyperlink>
    </w:p>
    <w:p>
      <w:pPr>
        <w:tabs>
          <w:tab w:val="right" w:leader="dot" w:pos="9062"/>
        </w:tabs>
        <w:ind w:left="440"/>
      </w:pPr>
      <w:hyperlink w:anchor="_Toc1369" w:history="1">
        <w:r>
          <w:rPr>
            <w:rFonts w:ascii="IRNazanin" w:hAnsi="IRNazanin" w:eastAsia="IRNazanin" w:cs="IRNazanin"/>
            <w:color w:val="111111"/>
            <w:sz w:val="22"/>
            <w:szCs w:val="22"/>
            <w:b w:val="0"/>
            <w:bCs w:val="0"/>
            <w:i w:val="0"/>
            <w:iCs w:val="0"/>
          </w:rPr>
          <w:t>اشارات الحسنيه فى معارف الحقة اليقينه = اشارت  عبدالله / کلام و اعتقادات / فارسی</w:t>
        </w:r>
        <w:r>
          <w:tab/>
        </w:r>
        <w:r>
          <w:fldChar w:fldCharType="begin"/>
        </w:r>
        <w:r>
          <w:instrText xml:space="preserve">PAGEREF 1369 \h</w:instrText>
        </w:r>
        <w:r>
          <w:fldChar w:fldCharType="end"/>
        </w:r>
      </w:hyperlink>
    </w:p>
    <w:p>
      <w:pPr>
        <w:tabs>
          <w:tab w:val="right" w:leader="dot" w:pos="9062"/>
        </w:tabs>
        <w:ind w:left="440"/>
      </w:pPr>
      <w:hyperlink w:anchor="_Toc1370" w:history="1">
        <w:r>
          <w:rPr>
            <w:rFonts w:ascii="IRNazanin" w:hAnsi="IRNazanin" w:eastAsia="IRNazanin" w:cs="IRNazanin"/>
            <w:color w:val="111111"/>
            <w:sz w:val="22"/>
            <w:szCs w:val="22"/>
            <w:b w:val="0"/>
            <w:bCs w:val="0"/>
            <w:i w:val="0"/>
            <w:iCs w:val="0"/>
          </w:rPr>
          <w:t>اشارات دیوان حافظ/ عرفان و تصوف / فارسی</w:t>
        </w:r>
        <w:r>
          <w:tab/>
        </w:r>
        <w:r>
          <w:fldChar w:fldCharType="begin"/>
        </w:r>
        <w:r>
          <w:instrText xml:space="preserve">PAGEREF 1370 \h</w:instrText>
        </w:r>
        <w:r>
          <w:fldChar w:fldCharType="end"/>
        </w:r>
      </w:hyperlink>
    </w:p>
    <w:p>
      <w:pPr>
        <w:tabs>
          <w:tab w:val="right" w:leader="dot" w:pos="9062"/>
        </w:tabs>
        <w:ind w:left="440"/>
      </w:pPr>
      <w:hyperlink w:anchor="_Toc1371" w:history="1">
        <w:r>
          <w:rPr>
            <w:rFonts w:ascii="IRNazanin" w:hAnsi="IRNazanin" w:eastAsia="IRNazanin" w:cs="IRNazanin"/>
            <w:color w:val="111111"/>
            <w:sz w:val="22"/>
            <w:szCs w:val="22"/>
            <w:b w:val="0"/>
            <w:bCs w:val="0"/>
            <w:i w:val="0"/>
            <w:iCs w:val="0"/>
          </w:rPr>
          <w:t>اشارات رموز فی آیات کلام رب العالمين / تفسیر/ فارسی</w:t>
        </w:r>
        <w:r>
          <w:tab/>
        </w:r>
        <w:r>
          <w:fldChar w:fldCharType="begin"/>
        </w:r>
        <w:r>
          <w:instrText xml:space="preserve">PAGEREF 1371 \h</w:instrText>
        </w:r>
        <w:r>
          <w:fldChar w:fldCharType="end"/>
        </w:r>
      </w:hyperlink>
    </w:p>
    <w:p>
      <w:pPr>
        <w:tabs>
          <w:tab w:val="right" w:leader="dot" w:pos="9062"/>
        </w:tabs>
        <w:ind w:left="440"/>
      </w:pPr>
      <w:hyperlink w:anchor="_Toc1372" w:history="1">
        <w:r>
          <w:rPr>
            <w:rFonts w:ascii="IRNazanin" w:hAnsi="IRNazanin" w:eastAsia="IRNazanin" w:cs="IRNazanin"/>
            <w:color w:val="111111"/>
            <w:sz w:val="22"/>
            <w:szCs w:val="22"/>
            <w:b w:val="0"/>
            <w:bCs w:val="0"/>
            <w:i w:val="0"/>
            <w:iCs w:val="0"/>
          </w:rPr>
          <w:t>اشارات شریفه و لطایف رموزات لطیفه = شیخ و  مرید / شعر / فارسی</w:t>
        </w:r>
        <w:r>
          <w:tab/>
        </w:r>
        <w:r>
          <w:fldChar w:fldCharType="begin"/>
        </w:r>
        <w:r>
          <w:instrText xml:space="preserve">PAGEREF 1372 \h</w:instrText>
        </w:r>
        <w:r>
          <w:fldChar w:fldCharType="end"/>
        </w:r>
      </w:hyperlink>
    </w:p>
    <w:p>
      <w:pPr>
        <w:tabs>
          <w:tab w:val="right" w:leader="dot" w:pos="9062"/>
        </w:tabs>
        <w:ind w:left="440"/>
      </w:pPr>
      <w:hyperlink w:anchor="_Toc1373" w:history="1">
        <w:r>
          <w:rPr>
            <w:rFonts w:ascii="IRNazanin" w:hAnsi="IRNazanin" w:eastAsia="IRNazanin" w:cs="IRNazanin"/>
            <w:color w:val="111111"/>
            <w:sz w:val="22"/>
            <w:szCs w:val="22"/>
            <w:b w:val="0"/>
            <w:bCs w:val="0"/>
            <w:i w:val="0"/>
            <w:iCs w:val="0"/>
          </w:rPr>
          <w:t>اشارات الصوفية / عرفان و تصوف / عربی</w:t>
        </w:r>
        <w:r>
          <w:tab/>
        </w:r>
        <w:r>
          <w:fldChar w:fldCharType="begin"/>
        </w:r>
        <w:r>
          <w:instrText xml:space="preserve">PAGEREF 1373 \h</w:instrText>
        </w:r>
        <w:r>
          <w:fldChar w:fldCharType="end"/>
        </w:r>
      </w:hyperlink>
    </w:p>
    <w:p>
      <w:pPr>
        <w:tabs>
          <w:tab w:val="right" w:leader="dot" w:pos="9062"/>
        </w:tabs>
        <w:ind w:left="440"/>
      </w:pPr>
      <w:hyperlink w:anchor="_Toc1374" w:history="1">
        <w:r>
          <w:rPr>
            <w:rFonts w:ascii="IRNazanin" w:hAnsi="IRNazanin" w:eastAsia="IRNazanin" w:cs="IRNazanin"/>
            <w:color w:val="111111"/>
            <w:sz w:val="22"/>
            <w:szCs w:val="22"/>
            <w:b w:val="0"/>
            <w:bCs w:val="0"/>
            <w:i w:val="0"/>
            <w:iCs w:val="0"/>
          </w:rPr>
          <w:t>الاشارات العرشية فى المصائب الحسينية / تاريخ  معصومین / فارسی</w:t>
        </w:r>
        <w:r>
          <w:tab/>
        </w:r>
        <w:r>
          <w:fldChar w:fldCharType="begin"/>
        </w:r>
        <w:r>
          <w:instrText xml:space="preserve">PAGEREF 1374 \h</w:instrText>
        </w:r>
        <w:r>
          <w:fldChar w:fldCharType="end"/>
        </w:r>
      </w:hyperlink>
    </w:p>
    <w:p>
      <w:pPr>
        <w:tabs>
          <w:tab w:val="right" w:leader="dot" w:pos="9062"/>
        </w:tabs>
        <w:ind w:left="440"/>
      </w:pPr>
      <w:hyperlink w:anchor="_Toc1375" w:history="1">
        <w:r>
          <w:rPr>
            <w:rFonts w:ascii="IRNazanin" w:hAnsi="IRNazanin" w:eastAsia="IRNazanin" w:cs="IRNazanin"/>
            <w:color w:val="111111"/>
            <w:sz w:val="22"/>
            <w:szCs w:val="22"/>
            <w:b w:val="0"/>
            <w:bCs w:val="0"/>
            <w:i w:val="0"/>
            <w:iCs w:val="0"/>
          </w:rPr>
          <w:t>الاشارات العمرية في حل ابيات الشاطبية / قرائت /  عربی</w:t>
        </w:r>
        <w:r>
          <w:tab/>
        </w:r>
        <w:r>
          <w:fldChar w:fldCharType="begin"/>
        </w:r>
        <w:r>
          <w:instrText xml:space="preserve">PAGEREF 1375 \h</w:instrText>
        </w:r>
        <w:r>
          <w:fldChar w:fldCharType="end"/>
        </w:r>
      </w:hyperlink>
    </w:p>
    <w:p>
      <w:pPr>
        <w:tabs>
          <w:tab w:val="right" w:leader="dot" w:pos="9062"/>
        </w:tabs>
        <w:ind w:left="440"/>
      </w:pPr>
      <w:hyperlink w:anchor="_Toc1376" w:history="1">
        <w:r>
          <w:rPr>
            <w:rFonts w:ascii="IRNazanin" w:hAnsi="IRNazanin" w:eastAsia="IRNazanin" w:cs="IRNazanin"/>
            <w:color w:val="111111"/>
            <w:sz w:val="22"/>
            <w:szCs w:val="22"/>
            <w:b w:val="0"/>
            <w:bCs w:val="0"/>
            <w:i w:val="0"/>
            <w:iCs w:val="0"/>
          </w:rPr>
          <w:t>اشارات فاتحة الكتاب / عرفان و تصوف / فارسی</w:t>
        </w:r>
        <w:r>
          <w:tab/>
        </w:r>
        <w:r>
          <w:fldChar w:fldCharType="begin"/>
        </w:r>
        <w:r>
          <w:instrText xml:space="preserve">PAGEREF 1376 \h</w:instrText>
        </w:r>
        <w:r>
          <w:fldChar w:fldCharType="end"/>
        </w:r>
      </w:hyperlink>
    </w:p>
    <w:p>
      <w:pPr>
        <w:tabs>
          <w:tab w:val="right" w:leader="dot" w:pos="9062"/>
        </w:tabs>
        <w:ind w:left="440"/>
      </w:pPr>
      <w:hyperlink w:anchor="_Toc1377" w:history="1">
        <w:r>
          <w:rPr>
            <w:rFonts w:ascii="IRNazanin" w:hAnsi="IRNazanin" w:eastAsia="IRNazanin" w:cs="IRNazanin"/>
            <w:color w:val="111111"/>
            <w:sz w:val="22"/>
            <w:szCs w:val="22"/>
            <w:b w:val="0"/>
            <w:bCs w:val="0"/>
            <w:i w:val="0"/>
            <w:iCs w:val="0"/>
          </w:rPr>
          <w:t>اشارات الفقه / فقه / عربی</w:t>
        </w:r>
        <w:r>
          <w:tab/>
        </w:r>
        <w:r>
          <w:fldChar w:fldCharType="begin"/>
        </w:r>
        <w:r>
          <w:instrText xml:space="preserve">PAGEREF 1377 \h</w:instrText>
        </w:r>
        <w:r>
          <w:fldChar w:fldCharType="end"/>
        </w:r>
      </w:hyperlink>
    </w:p>
    <w:p>
      <w:pPr>
        <w:tabs>
          <w:tab w:val="right" w:leader="dot" w:pos="9062"/>
        </w:tabs>
        <w:ind w:left="440"/>
      </w:pPr>
      <w:hyperlink w:anchor="_Toc1378" w:history="1">
        <w:r>
          <w:rPr>
            <w:rFonts w:ascii="IRNazanin" w:hAnsi="IRNazanin" w:eastAsia="IRNazanin" w:cs="IRNazanin"/>
            <w:color w:val="111111"/>
            <w:sz w:val="22"/>
            <w:szCs w:val="22"/>
            <w:b w:val="0"/>
            <w:bCs w:val="0"/>
            <w:i w:val="0"/>
            <w:iCs w:val="0"/>
          </w:rPr>
          <w:t>اشارات الفقه / فقه / عربی</w:t>
        </w:r>
        <w:r>
          <w:tab/>
        </w:r>
        <w:r>
          <w:fldChar w:fldCharType="begin"/>
        </w:r>
        <w:r>
          <w:instrText xml:space="preserve">PAGEREF 1378 \h</w:instrText>
        </w:r>
        <w:r>
          <w:fldChar w:fldCharType="end"/>
        </w:r>
      </w:hyperlink>
    </w:p>
    <w:p>
      <w:pPr>
        <w:tabs>
          <w:tab w:val="right" w:leader="dot" w:pos="9062"/>
        </w:tabs>
        <w:ind w:left="440"/>
      </w:pPr>
      <w:hyperlink w:anchor="_Toc1379" w:history="1">
        <w:r>
          <w:rPr>
            <w:rFonts w:ascii="IRNazanin" w:hAnsi="IRNazanin" w:eastAsia="IRNazanin" w:cs="IRNazanin"/>
            <w:color w:val="111111"/>
            <w:sz w:val="22"/>
            <w:szCs w:val="22"/>
            <w:b w:val="0"/>
            <w:bCs w:val="0"/>
            <w:i w:val="0"/>
            <w:iCs w:val="0"/>
          </w:rPr>
          <w:t>اشارات الفقه = رموز واجبات نماز و روزه / فقه / فارسی</w:t>
        </w:r>
        <w:r>
          <w:tab/>
        </w:r>
        <w:r>
          <w:fldChar w:fldCharType="begin"/>
        </w:r>
        <w:r>
          <w:instrText xml:space="preserve">PAGEREF 1379 \h</w:instrText>
        </w:r>
        <w:r>
          <w:fldChar w:fldCharType="end"/>
        </w:r>
      </w:hyperlink>
    </w:p>
    <w:p>
      <w:pPr>
        <w:tabs>
          <w:tab w:val="right" w:leader="dot" w:pos="9062"/>
        </w:tabs>
        <w:ind w:left="440"/>
      </w:pPr>
      <w:hyperlink w:anchor="_Toc1380" w:history="1">
        <w:r>
          <w:rPr>
            <w:rFonts w:ascii="IRNazanin" w:hAnsi="IRNazanin" w:eastAsia="IRNazanin" w:cs="IRNazanin"/>
            <w:color w:val="111111"/>
            <w:sz w:val="22"/>
            <w:szCs w:val="22"/>
            <w:b w:val="0"/>
            <w:bCs w:val="0"/>
            <w:i w:val="0"/>
            <w:iCs w:val="0"/>
          </w:rPr>
          <w:t>اشارات الفقه / فقه عربی</w:t>
        </w:r>
        <w:r>
          <w:tab/>
        </w:r>
        <w:r>
          <w:fldChar w:fldCharType="begin"/>
        </w:r>
        <w:r>
          <w:instrText xml:space="preserve">PAGEREF 1380 \h</w:instrText>
        </w:r>
        <w:r>
          <w:fldChar w:fldCharType="end"/>
        </w:r>
      </w:hyperlink>
    </w:p>
    <w:p>
      <w:pPr>
        <w:tabs>
          <w:tab w:val="right" w:leader="dot" w:pos="9062"/>
        </w:tabs>
        <w:ind w:left="440"/>
      </w:pPr>
      <w:hyperlink w:anchor="_Toc1381" w:history="1">
        <w:r>
          <w:rPr>
            <w:rFonts w:ascii="IRNazanin" w:hAnsi="IRNazanin" w:eastAsia="IRNazanin" w:cs="IRNazanin"/>
            <w:color w:val="111111"/>
            <w:sz w:val="22"/>
            <w:szCs w:val="22"/>
            <w:b w:val="0"/>
            <w:bCs w:val="0"/>
            <w:i w:val="0"/>
            <w:iCs w:val="0"/>
          </w:rPr>
          <w:t>الاشارات فى علم العبارات / خوابگزاری / عربی</w:t>
        </w:r>
        <w:r>
          <w:tab/>
        </w:r>
        <w:r>
          <w:fldChar w:fldCharType="begin"/>
        </w:r>
        <w:r>
          <w:instrText xml:space="preserve">PAGEREF 1381 \h</w:instrText>
        </w:r>
        <w:r>
          <w:fldChar w:fldCharType="end"/>
        </w:r>
      </w:hyperlink>
    </w:p>
    <w:p>
      <w:pPr>
        <w:tabs>
          <w:tab w:val="right" w:leader="dot" w:pos="9062"/>
        </w:tabs>
        <w:ind w:left="440"/>
      </w:pPr>
      <w:hyperlink w:anchor="_Toc1382" w:history="1">
        <w:r>
          <w:rPr>
            <w:rFonts w:ascii="IRNazanin" w:hAnsi="IRNazanin" w:eastAsia="IRNazanin" w:cs="IRNazanin"/>
            <w:color w:val="111111"/>
            <w:sz w:val="22"/>
            <w:szCs w:val="22"/>
            <w:b w:val="0"/>
            <w:bCs w:val="0"/>
            <w:i w:val="0"/>
            <w:iCs w:val="0"/>
          </w:rPr>
          <w:t>اشارات القرآن فی علم الانسان / عرفان و تصوف / عربی</w:t>
        </w:r>
        <w:r>
          <w:tab/>
        </w:r>
        <w:r>
          <w:fldChar w:fldCharType="begin"/>
        </w:r>
        <w:r>
          <w:instrText xml:space="preserve">PAGEREF 1382 \h</w:instrText>
        </w:r>
        <w:r>
          <w:fldChar w:fldCharType="end"/>
        </w:r>
      </w:hyperlink>
    </w:p>
    <w:p>
      <w:pPr>
        <w:tabs>
          <w:tab w:val="right" w:leader="dot" w:pos="9062"/>
        </w:tabs>
        <w:ind w:left="440"/>
      </w:pPr>
      <w:hyperlink w:anchor="_Toc1383" w:history="1">
        <w:r>
          <w:rPr>
            <w:rFonts w:ascii="IRNazanin" w:hAnsi="IRNazanin" w:eastAsia="IRNazanin" w:cs="IRNazanin"/>
            <w:color w:val="111111"/>
            <w:sz w:val="22"/>
            <w:szCs w:val="22"/>
            <w:b w:val="0"/>
            <w:bCs w:val="0"/>
            <w:i w:val="0"/>
            <w:iCs w:val="0"/>
          </w:rPr>
          <w:t>اشارات الكليل فى كشف رموز منظومة فسوة الفصيل = لقلق الكليل فى كشف رموز فسوة الفصيل  / ادبیات / فارسی</w:t>
        </w:r>
        <w:r>
          <w:tab/>
        </w:r>
        <w:r>
          <w:fldChar w:fldCharType="begin"/>
        </w:r>
        <w:r>
          <w:instrText xml:space="preserve">PAGEREF 1383 \h</w:instrText>
        </w:r>
        <w:r>
          <w:fldChar w:fldCharType="end"/>
        </w:r>
      </w:hyperlink>
    </w:p>
    <w:p>
      <w:pPr>
        <w:tabs>
          <w:tab w:val="right" w:leader="dot" w:pos="9062"/>
        </w:tabs>
        <w:ind w:left="440"/>
      </w:pPr>
      <w:hyperlink w:anchor="_Toc1384" w:history="1">
        <w:r>
          <w:rPr>
            <w:rFonts w:ascii="IRNazanin" w:hAnsi="IRNazanin" w:eastAsia="IRNazanin" w:cs="IRNazanin"/>
            <w:color w:val="111111"/>
            <w:sz w:val="22"/>
            <w:szCs w:val="22"/>
            <w:b w:val="0"/>
            <w:bCs w:val="0"/>
            <w:i w:val="0"/>
            <w:iCs w:val="0"/>
          </w:rPr>
          <w:t>اشارات لحماية المتصوفة / عرفان و تصوف / عربی</w:t>
        </w:r>
        <w:r>
          <w:tab/>
        </w:r>
        <w:r>
          <w:fldChar w:fldCharType="begin"/>
        </w:r>
        <w:r>
          <w:instrText xml:space="preserve">PAGEREF 1384 \h</w:instrText>
        </w:r>
        <w:r>
          <w:fldChar w:fldCharType="end"/>
        </w:r>
      </w:hyperlink>
    </w:p>
    <w:p>
      <w:pPr>
        <w:tabs>
          <w:tab w:val="right" w:leader="dot" w:pos="9062"/>
        </w:tabs>
        <w:ind w:left="440"/>
      </w:pPr>
      <w:hyperlink w:anchor="_Toc1385" w:history="1">
        <w:r>
          <w:rPr>
            <w:rFonts w:ascii="IRNazanin" w:hAnsi="IRNazanin" w:eastAsia="IRNazanin" w:cs="IRNazanin"/>
            <w:color w:val="111111"/>
            <w:sz w:val="22"/>
            <w:szCs w:val="22"/>
            <w:b w:val="0"/>
            <w:bCs w:val="0"/>
            <w:i w:val="0"/>
            <w:iCs w:val="0"/>
          </w:rPr>
          <w:t>اشارات لطائف الاشارات - حاشية الاشارات / فلسفه / عربی</w:t>
        </w:r>
        <w:r>
          <w:tab/>
        </w:r>
        <w:r>
          <w:fldChar w:fldCharType="begin"/>
        </w:r>
        <w:r>
          <w:instrText xml:space="preserve">PAGEREF 1385 \h</w:instrText>
        </w:r>
        <w:r>
          <w:fldChar w:fldCharType="end"/>
        </w:r>
      </w:hyperlink>
    </w:p>
    <w:p>
      <w:pPr>
        <w:tabs>
          <w:tab w:val="right" w:leader="dot" w:pos="9062"/>
        </w:tabs>
        <w:ind w:left="440"/>
      </w:pPr>
      <w:hyperlink w:anchor="_Toc1386" w:history="1">
        <w:r>
          <w:rPr>
            <w:rFonts w:ascii="IRNazanin" w:hAnsi="IRNazanin" w:eastAsia="IRNazanin" w:cs="IRNazanin"/>
            <w:color w:val="111111"/>
            <w:sz w:val="22"/>
            <w:szCs w:val="22"/>
            <w:b w:val="0"/>
            <w:bCs w:val="0"/>
            <w:i w:val="0"/>
            <w:iCs w:val="0"/>
          </w:rPr>
          <w:t>اشارات النباتات والحيوانات / اخلاق / عربی</w:t>
        </w:r>
        <w:r>
          <w:tab/>
        </w:r>
        <w:r>
          <w:fldChar w:fldCharType="begin"/>
        </w:r>
        <w:r>
          <w:instrText xml:space="preserve">PAGEREF 1386 \h</w:instrText>
        </w:r>
        <w:r>
          <w:fldChar w:fldCharType="end"/>
        </w:r>
      </w:hyperlink>
    </w:p>
    <w:p>
      <w:pPr>
        <w:tabs>
          <w:tab w:val="right" w:leader="dot" w:pos="9062"/>
        </w:tabs>
        <w:ind w:left="440"/>
      </w:pPr>
      <w:hyperlink w:anchor="_Toc1387" w:history="1">
        <w:r>
          <w:rPr>
            <w:rFonts w:ascii="IRNazanin" w:hAnsi="IRNazanin" w:eastAsia="IRNazanin" w:cs="IRNazanin"/>
            <w:color w:val="111111"/>
            <w:sz w:val="22"/>
            <w:szCs w:val="22"/>
            <w:b w:val="0"/>
            <w:bCs w:val="0"/>
            <w:i w:val="0"/>
            <w:iCs w:val="0"/>
          </w:rPr>
          <w:t>الاشارات والتنبيهات / فلسفه / عربي</w:t>
        </w:r>
        <w:r>
          <w:tab/>
        </w:r>
        <w:r>
          <w:fldChar w:fldCharType="begin"/>
        </w:r>
        <w:r>
          <w:instrText xml:space="preserve">PAGEREF 1387 \h</w:instrText>
        </w:r>
        <w:r>
          <w:fldChar w:fldCharType="end"/>
        </w:r>
      </w:hyperlink>
    </w:p>
    <w:p>
      <w:pPr>
        <w:tabs>
          <w:tab w:val="right" w:leader="dot" w:pos="9062"/>
        </w:tabs>
        <w:ind w:left="440"/>
      </w:pPr>
      <w:hyperlink w:anchor="_Toc1388" w:history="1">
        <w:r>
          <w:rPr>
            <w:rFonts w:ascii="IRNazanin" w:hAnsi="IRNazanin" w:eastAsia="IRNazanin" w:cs="IRNazanin"/>
            <w:color w:val="111111"/>
            <w:sz w:val="22"/>
            <w:szCs w:val="22"/>
            <w:b w:val="0"/>
            <w:bCs w:val="0"/>
            <w:i w:val="0"/>
            <w:iCs w:val="0"/>
          </w:rPr>
          <w:t>الاشارات و التنبيهات (ترجمه) / فلسفه / فارسی</w:t>
        </w:r>
        <w:r>
          <w:tab/>
        </w:r>
        <w:r>
          <w:fldChar w:fldCharType="begin"/>
        </w:r>
        <w:r>
          <w:instrText xml:space="preserve">PAGEREF 1388 \h</w:instrText>
        </w:r>
        <w:r>
          <w:fldChar w:fldCharType="end"/>
        </w:r>
      </w:hyperlink>
    </w:p>
    <w:p>
      <w:pPr>
        <w:tabs>
          <w:tab w:val="right" w:leader="dot" w:pos="9062"/>
        </w:tabs>
        <w:ind w:left="440"/>
      </w:pPr>
      <w:hyperlink w:anchor="_Toc1389" w:history="1">
        <w:r>
          <w:rPr>
            <w:rFonts w:ascii="IRNazanin" w:hAnsi="IRNazanin" w:eastAsia="IRNazanin" w:cs="IRNazanin"/>
            <w:color w:val="111111"/>
            <w:sz w:val="22"/>
            <w:szCs w:val="22"/>
            <w:b w:val="0"/>
            <w:bCs w:val="0"/>
            <w:i w:val="0"/>
            <w:iCs w:val="0"/>
          </w:rPr>
          <w:t>الاشارات و التنبيهات (ترجمه) / فلسفه / فارسی</w:t>
        </w:r>
        <w:r>
          <w:tab/>
        </w:r>
        <w:r>
          <w:fldChar w:fldCharType="begin"/>
        </w:r>
        <w:r>
          <w:instrText xml:space="preserve">PAGEREF 1389 \h</w:instrText>
        </w:r>
        <w:r>
          <w:fldChar w:fldCharType="end"/>
        </w:r>
      </w:hyperlink>
    </w:p>
    <w:p>
      <w:pPr>
        <w:tabs>
          <w:tab w:val="right" w:leader="dot" w:pos="9062"/>
        </w:tabs>
        <w:ind w:left="440"/>
      </w:pPr>
      <w:hyperlink w:anchor="_Toc1390" w:history="1">
        <w:r>
          <w:rPr>
            <w:rFonts w:ascii="IRNazanin" w:hAnsi="IRNazanin" w:eastAsia="IRNazanin" w:cs="IRNazanin"/>
            <w:color w:val="111111"/>
            <w:sz w:val="22"/>
            <w:szCs w:val="22"/>
            <w:b w:val="0"/>
            <w:bCs w:val="0"/>
            <w:i w:val="0"/>
            <w:iCs w:val="0"/>
          </w:rPr>
          <w:t>الاشارات و التنبيهات (ترجمه) / منطق، فلسفه / فارسی</w:t>
        </w:r>
        <w:r>
          <w:tab/>
        </w:r>
        <w:r>
          <w:fldChar w:fldCharType="begin"/>
        </w:r>
        <w:r>
          <w:instrText xml:space="preserve">PAGEREF 1390 \h</w:instrText>
        </w:r>
        <w:r>
          <w:fldChar w:fldCharType="end"/>
        </w:r>
      </w:hyperlink>
    </w:p>
    <w:p>
      <w:pPr>
        <w:tabs>
          <w:tab w:val="right" w:leader="dot" w:pos="9062"/>
        </w:tabs>
        <w:ind w:left="440"/>
      </w:pPr>
      <w:hyperlink w:anchor="_Toc1391" w:history="1">
        <w:r>
          <w:rPr>
            <w:rFonts w:ascii="IRNazanin" w:hAnsi="IRNazanin" w:eastAsia="IRNazanin" w:cs="IRNazanin"/>
            <w:color w:val="111111"/>
            <w:sz w:val="22"/>
            <w:szCs w:val="22"/>
            <w:b w:val="0"/>
            <w:bCs w:val="0"/>
            <w:i w:val="0"/>
            <w:iCs w:val="0"/>
          </w:rPr>
          <w:t>الاشارات و التنبيهات (ترجمه) / فلسفه / فارسی</w:t>
        </w:r>
        <w:r>
          <w:tab/>
        </w:r>
        <w:r>
          <w:fldChar w:fldCharType="begin"/>
        </w:r>
        <w:r>
          <w:instrText xml:space="preserve">PAGEREF 1391 \h</w:instrText>
        </w:r>
        <w:r>
          <w:fldChar w:fldCharType="end"/>
        </w:r>
      </w:hyperlink>
    </w:p>
    <w:p>
      <w:pPr>
        <w:tabs>
          <w:tab w:val="right" w:leader="dot" w:pos="9062"/>
        </w:tabs>
        <w:ind w:left="440"/>
      </w:pPr>
      <w:hyperlink w:anchor="_Toc1392" w:history="1">
        <w:r>
          <w:rPr>
            <w:rFonts w:ascii="IRNazanin" w:hAnsi="IRNazanin" w:eastAsia="IRNazanin" w:cs="IRNazanin"/>
            <w:color w:val="111111"/>
            <w:sz w:val="22"/>
            <w:szCs w:val="22"/>
            <w:b w:val="0"/>
            <w:bCs w:val="0"/>
            <w:i w:val="0"/>
            <w:iCs w:val="0"/>
          </w:rPr>
          <w:t>الاشارات و النصوص / کلام و اعتقادات / عربی</w:t>
        </w:r>
        <w:r>
          <w:tab/>
        </w:r>
        <w:r>
          <w:fldChar w:fldCharType="begin"/>
        </w:r>
        <w:r>
          <w:instrText xml:space="preserve">PAGEREF 1392 \h</w:instrText>
        </w:r>
        <w:r>
          <w:fldChar w:fldCharType="end"/>
        </w:r>
      </w:hyperlink>
    </w:p>
    <w:p>
      <w:pPr>
        <w:tabs>
          <w:tab w:val="right" w:leader="dot" w:pos="9062"/>
        </w:tabs>
        <w:ind w:left="440"/>
      </w:pPr>
      <w:hyperlink w:anchor="_Toc1393" w:history="1">
        <w:r>
          <w:rPr>
            <w:rFonts w:ascii="IRNazanin" w:hAnsi="IRNazanin" w:eastAsia="IRNazanin" w:cs="IRNazanin"/>
            <w:color w:val="111111"/>
            <w:sz w:val="22"/>
            <w:szCs w:val="22"/>
            <w:b w:val="0"/>
            <w:bCs w:val="0"/>
            <w:i w:val="0"/>
            <w:iCs w:val="0"/>
          </w:rPr>
          <w:t>الاشارة الى علم المنطق = الاشارة في المنطق  = تعاليق المنطق / منطق / عربي</w:t>
        </w:r>
        <w:r>
          <w:tab/>
        </w:r>
        <w:r>
          <w:fldChar w:fldCharType="begin"/>
        </w:r>
        <w:r>
          <w:instrText xml:space="preserve">PAGEREF 1393 \h</w:instrText>
        </w:r>
        <w:r>
          <w:fldChar w:fldCharType="end"/>
        </w:r>
      </w:hyperlink>
    </w:p>
    <w:p>
      <w:pPr>
        <w:tabs>
          <w:tab w:val="right" w:leader="dot" w:pos="9062"/>
        </w:tabs>
        <w:ind w:left="440"/>
      </w:pPr>
      <w:hyperlink w:anchor="_Toc1394" w:history="1">
        <w:r>
          <w:rPr>
            <w:rFonts w:ascii="IRNazanin" w:hAnsi="IRNazanin" w:eastAsia="IRNazanin" w:cs="IRNazanin"/>
            <w:color w:val="111111"/>
            <w:sz w:val="22"/>
            <w:szCs w:val="22"/>
            <w:b w:val="0"/>
            <w:bCs w:val="0"/>
            <w:i w:val="0"/>
            <w:iCs w:val="0"/>
          </w:rPr>
          <w:t>الاشارة الى ما فى شرح رسالة الدراية من الفوائد و  المطالب / عربي</w:t>
        </w:r>
        <w:r>
          <w:tab/>
        </w:r>
        <w:r>
          <w:fldChar w:fldCharType="begin"/>
        </w:r>
        <w:r>
          <w:instrText xml:space="preserve">PAGEREF 1394 \h</w:instrText>
        </w:r>
        <w:r>
          <w:fldChar w:fldCharType="end"/>
        </w:r>
      </w:hyperlink>
    </w:p>
    <w:p>
      <w:pPr>
        <w:tabs>
          <w:tab w:val="right" w:leader="dot" w:pos="9062"/>
        </w:tabs>
        <w:ind w:left="440"/>
      </w:pPr>
      <w:hyperlink w:anchor="_Toc1395" w:history="1">
        <w:r>
          <w:rPr>
            <w:rFonts w:ascii="IRNazanin" w:hAnsi="IRNazanin" w:eastAsia="IRNazanin" w:cs="IRNazanin"/>
            <w:color w:val="111111"/>
            <w:sz w:val="22"/>
            <w:szCs w:val="22"/>
            <w:b w:val="0"/>
            <w:bCs w:val="0"/>
            <w:i w:val="0"/>
            <w:iCs w:val="0"/>
          </w:rPr>
          <w:t>اشارة التدهين للتزيين على وجه اليقين / فقه / عربی</w:t>
        </w:r>
        <w:r>
          <w:tab/>
        </w:r>
        <w:r>
          <w:fldChar w:fldCharType="begin"/>
        </w:r>
        <w:r>
          <w:instrText xml:space="preserve">PAGEREF 1395 \h</w:instrText>
        </w:r>
        <w:r>
          <w:fldChar w:fldCharType="end"/>
        </w:r>
      </w:hyperlink>
    </w:p>
    <w:p>
      <w:pPr>
        <w:tabs>
          <w:tab w:val="right" w:leader="dot" w:pos="9062"/>
        </w:tabs>
        <w:ind w:left="440"/>
      </w:pPr>
      <w:hyperlink w:anchor="_Toc1396" w:history="1">
        <w:r>
          <w:rPr>
            <w:rFonts w:ascii="IRNazanin" w:hAnsi="IRNazanin" w:eastAsia="IRNazanin" w:cs="IRNazanin"/>
            <w:color w:val="111111"/>
            <w:sz w:val="22"/>
            <w:szCs w:val="22"/>
            <w:b w:val="0"/>
            <w:bCs w:val="0"/>
            <w:i w:val="0"/>
            <w:iCs w:val="0"/>
          </w:rPr>
          <w:t>اشارة السبق الى معرفة الحق فی اصول الدین و فروعه العبادية / فقه / عربي</w:t>
        </w:r>
        <w:r>
          <w:tab/>
        </w:r>
        <w:r>
          <w:fldChar w:fldCharType="begin"/>
        </w:r>
        <w:r>
          <w:instrText xml:space="preserve">PAGEREF 1396 \h</w:instrText>
        </w:r>
        <w:r>
          <w:fldChar w:fldCharType="end"/>
        </w:r>
      </w:hyperlink>
    </w:p>
    <w:p>
      <w:pPr>
        <w:tabs>
          <w:tab w:val="right" w:leader="dot" w:pos="9062"/>
        </w:tabs>
        <w:ind w:left="440"/>
      </w:pPr>
      <w:hyperlink w:anchor="_Toc1397" w:history="1">
        <w:r>
          <w:rPr>
            <w:rFonts w:ascii="IRNazanin" w:hAnsi="IRNazanin" w:eastAsia="IRNazanin" w:cs="IRNazanin"/>
            <w:color w:val="111111"/>
            <w:sz w:val="22"/>
            <w:szCs w:val="22"/>
            <w:b w:val="0"/>
            <w:bCs w:val="0"/>
            <w:i w:val="0"/>
            <w:iCs w:val="0"/>
          </w:rPr>
          <w:t>الاشارة الكاملة فى النية / فقه / عربي</w:t>
        </w:r>
        <w:r>
          <w:tab/>
        </w:r>
        <w:r>
          <w:fldChar w:fldCharType="begin"/>
        </w:r>
        <w:r>
          <w:instrText xml:space="preserve">PAGEREF 1397 \h</w:instrText>
        </w:r>
        <w:r>
          <w:fldChar w:fldCharType="end"/>
        </w:r>
      </w:hyperlink>
    </w:p>
    <w:p>
      <w:pPr>
        <w:tabs>
          <w:tab w:val="right" w:leader="dot" w:pos="9062"/>
        </w:tabs>
        <w:ind w:left="440"/>
      </w:pPr>
      <w:hyperlink w:anchor="_Toc1398" w:history="1">
        <w:r>
          <w:rPr>
            <w:rFonts w:ascii="IRNazanin" w:hAnsi="IRNazanin" w:eastAsia="IRNazanin" w:cs="IRNazanin"/>
            <w:color w:val="111111"/>
            <w:sz w:val="22"/>
            <w:szCs w:val="22"/>
            <w:b w:val="0"/>
            <w:bCs w:val="0"/>
            <w:i w:val="0"/>
            <w:iCs w:val="0"/>
          </w:rPr>
          <w:t>اشارة وبشارة = الكشف عن القراءات السبع = رسالة فى اختلاف القراآت و دفع شبهة التحريف / علوم قرآن / عربی</w:t>
        </w:r>
        <w:r>
          <w:tab/>
        </w:r>
        <w:r>
          <w:fldChar w:fldCharType="begin"/>
        </w:r>
        <w:r>
          <w:instrText xml:space="preserve">PAGEREF 1398 \h</w:instrText>
        </w:r>
        <w:r>
          <w:fldChar w:fldCharType="end"/>
        </w:r>
      </w:hyperlink>
    </w:p>
    <w:p>
      <w:pPr>
        <w:tabs>
          <w:tab w:val="right" w:leader="dot" w:pos="9062"/>
        </w:tabs>
        <w:ind w:left="440"/>
      </w:pPr>
      <w:hyperlink w:anchor="_Toc1399" w:history="1">
        <w:r>
          <w:rPr>
            <w:rFonts w:ascii="IRNazanin" w:hAnsi="IRNazanin" w:eastAsia="IRNazanin" w:cs="IRNazanin"/>
            <w:color w:val="111111"/>
            <w:sz w:val="22"/>
            <w:szCs w:val="22"/>
            <w:b w:val="0"/>
            <w:bCs w:val="0"/>
            <w:i w:val="0"/>
            <w:iCs w:val="0"/>
          </w:rPr>
          <w:t>اشارتیه / ادبیات / فارسی</w:t>
        </w:r>
        <w:r>
          <w:tab/>
        </w:r>
        <w:r>
          <w:fldChar w:fldCharType="begin"/>
        </w:r>
        <w:r>
          <w:instrText xml:space="preserve">PAGEREF 1399 \h</w:instrText>
        </w:r>
        <w:r>
          <w:fldChar w:fldCharType="end"/>
        </w:r>
      </w:hyperlink>
    </w:p>
    <w:p>
      <w:pPr>
        <w:tabs>
          <w:tab w:val="right" w:leader="dot" w:pos="9062"/>
        </w:tabs>
        <w:ind w:left="440"/>
      </w:pPr>
      <w:hyperlink w:anchor="_Toc1400" w:history="1">
        <w:r>
          <w:rPr>
            <w:rFonts w:ascii="IRNazanin" w:hAnsi="IRNazanin" w:eastAsia="IRNazanin" w:cs="IRNazanin"/>
            <w:color w:val="111111"/>
            <w:sz w:val="22"/>
            <w:szCs w:val="22"/>
            <w:b w:val="0"/>
            <w:bCs w:val="0"/>
            <w:i w:val="0"/>
            <w:iCs w:val="0"/>
          </w:rPr>
          <w:t>الاشباه والنظائر / فقه / عربی</w:t>
        </w:r>
        <w:r>
          <w:tab/>
        </w:r>
        <w:r>
          <w:fldChar w:fldCharType="begin"/>
        </w:r>
        <w:r>
          <w:instrText xml:space="preserve">PAGEREF 1400 \h</w:instrText>
        </w:r>
        <w:r>
          <w:fldChar w:fldCharType="end"/>
        </w:r>
      </w:hyperlink>
    </w:p>
    <w:p>
      <w:pPr>
        <w:tabs>
          <w:tab w:val="right" w:leader="dot" w:pos="9062"/>
        </w:tabs>
        <w:ind w:left="440"/>
      </w:pPr>
      <w:hyperlink w:anchor="_Toc1401" w:history="1">
        <w:r>
          <w:rPr>
            <w:rFonts w:ascii="IRNazanin" w:hAnsi="IRNazanin" w:eastAsia="IRNazanin" w:cs="IRNazanin"/>
            <w:color w:val="111111"/>
            <w:sz w:val="22"/>
            <w:szCs w:val="22"/>
            <w:b w:val="0"/>
            <w:bCs w:val="0"/>
            <w:i w:val="0"/>
            <w:iCs w:val="0"/>
          </w:rPr>
          <w:t>الاشباه والنظائر / فقه / عربی</w:t>
        </w:r>
        <w:r>
          <w:tab/>
        </w:r>
        <w:r>
          <w:fldChar w:fldCharType="begin"/>
        </w:r>
        <w:r>
          <w:instrText xml:space="preserve">PAGEREF 1401 \h</w:instrText>
        </w:r>
        <w:r>
          <w:fldChar w:fldCharType="end"/>
        </w:r>
      </w:hyperlink>
    </w:p>
    <w:p>
      <w:pPr>
        <w:tabs>
          <w:tab w:val="right" w:leader="dot" w:pos="9062"/>
        </w:tabs>
        <w:ind w:left="440"/>
      </w:pPr>
      <w:hyperlink w:anchor="_Toc1402" w:history="1">
        <w:r>
          <w:rPr>
            <w:rFonts w:ascii="IRNazanin" w:hAnsi="IRNazanin" w:eastAsia="IRNazanin" w:cs="IRNazanin"/>
            <w:color w:val="111111"/>
            <w:sz w:val="22"/>
            <w:szCs w:val="22"/>
            <w:b w:val="0"/>
            <w:bCs w:val="0"/>
            <w:i w:val="0"/>
            <w:iCs w:val="0"/>
          </w:rPr>
          <w:t>الاشباه والنظائر / فقه / عربی</w:t>
        </w:r>
        <w:r>
          <w:tab/>
        </w:r>
        <w:r>
          <w:fldChar w:fldCharType="begin"/>
        </w:r>
        <w:r>
          <w:instrText xml:space="preserve">PAGEREF 1402 \h</w:instrText>
        </w:r>
        <w:r>
          <w:fldChar w:fldCharType="end"/>
        </w:r>
      </w:hyperlink>
    </w:p>
    <w:p>
      <w:pPr>
        <w:tabs>
          <w:tab w:val="right" w:leader="dot" w:pos="9062"/>
        </w:tabs>
        <w:ind w:left="440"/>
      </w:pPr>
      <w:hyperlink w:anchor="_Toc1403" w:history="1">
        <w:r>
          <w:rPr>
            <w:rFonts w:ascii="IRNazanin" w:hAnsi="IRNazanin" w:eastAsia="IRNazanin" w:cs="IRNazanin"/>
            <w:color w:val="111111"/>
            <w:sz w:val="22"/>
            <w:szCs w:val="22"/>
            <w:b w:val="0"/>
            <w:bCs w:val="0"/>
            <w:i w:val="0"/>
            <w:iCs w:val="0"/>
          </w:rPr>
          <w:t>الاشباه والنظائر الفقهية على مذهب الحنفية  = الاشباه والنظائر فى الفروع / فقه / عربي</w:t>
        </w:r>
        <w:r>
          <w:tab/>
        </w:r>
        <w:r>
          <w:fldChar w:fldCharType="begin"/>
        </w:r>
        <w:r>
          <w:instrText xml:space="preserve">PAGEREF 1403 \h</w:instrText>
        </w:r>
        <w:r>
          <w:fldChar w:fldCharType="end"/>
        </w:r>
      </w:hyperlink>
    </w:p>
    <w:p>
      <w:pPr>
        <w:tabs>
          <w:tab w:val="right" w:leader="dot" w:pos="9062"/>
        </w:tabs>
        <w:ind w:left="440"/>
      </w:pPr>
      <w:hyperlink w:anchor="_Toc1404" w:history="1">
        <w:r>
          <w:rPr>
            <w:rFonts w:ascii="IRNazanin" w:hAnsi="IRNazanin" w:eastAsia="IRNazanin" w:cs="IRNazanin"/>
            <w:color w:val="111111"/>
            <w:sz w:val="22"/>
            <w:szCs w:val="22"/>
            <w:b w:val="0"/>
            <w:bCs w:val="0"/>
            <w:i w:val="0"/>
            <w:iCs w:val="0"/>
          </w:rPr>
          <w:t>الاشباه والنظائر فى النحو / نحو / عربي</w:t>
        </w:r>
        <w:r>
          <w:tab/>
        </w:r>
        <w:r>
          <w:fldChar w:fldCharType="begin"/>
        </w:r>
        <w:r>
          <w:instrText xml:space="preserve">PAGEREF 1404 \h</w:instrText>
        </w:r>
        <w:r>
          <w:fldChar w:fldCharType="end"/>
        </w:r>
      </w:hyperlink>
    </w:p>
    <w:p>
      <w:pPr>
        <w:tabs>
          <w:tab w:val="right" w:leader="dot" w:pos="9062"/>
        </w:tabs>
        <w:ind w:left="440"/>
      </w:pPr>
      <w:hyperlink w:anchor="_Toc1405" w:history="1">
        <w:r>
          <w:rPr>
            <w:rFonts w:ascii="IRNazanin" w:hAnsi="IRNazanin" w:eastAsia="IRNazanin" w:cs="IRNazanin"/>
            <w:color w:val="111111"/>
            <w:sz w:val="22"/>
            <w:szCs w:val="22"/>
            <w:b w:val="0"/>
            <w:bCs w:val="0"/>
            <w:i w:val="0"/>
            <w:iCs w:val="0"/>
          </w:rPr>
          <w:t>الاشباه والنظائر (مختصر) / نحو / عربی</w:t>
        </w:r>
        <w:r>
          <w:tab/>
        </w:r>
        <w:r>
          <w:fldChar w:fldCharType="begin"/>
        </w:r>
        <w:r>
          <w:instrText xml:space="preserve">PAGEREF 1405 \h</w:instrText>
        </w:r>
        <w:r>
          <w:fldChar w:fldCharType="end"/>
        </w:r>
      </w:hyperlink>
    </w:p>
    <w:p>
      <w:pPr>
        <w:tabs>
          <w:tab w:val="right" w:leader="dot" w:pos="9062"/>
        </w:tabs>
        <w:ind w:left="440"/>
      </w:pPr>
      <w:hyperlink w:anchor="_Toc1406" w:history="1">
        <w:r>
          <w:rPr>
            <w:rFonts w:ascii="IRNazanin" w:hAnsi="IRNazanin" w:eastAsia="IRNazanin" w:cs="IRNazanin"/>
            <w:color w:val="111111"/>
            <w:sz w:val="22"/>
            <w:szCs w:val="22"/>
            <w:b w:val="0"/>
            <w:bCs w:val="0"/>
            <w:i w:val="0"/>
            <w:iCs w:val="0"/>
          </w:rPr>
          <w:t>الاشباه والنظائر (منتخب) / نحو / عربی</w:t>
        </w:r>
        <w:r>
          <w:tab/>
        </w:r>
        <w:r>
          <w:fldChar w:fldCharType="begin"/>
        </w:r>
        <w:r>
          <w:instrText xml:space="preserve">PAGEREF 1406 \h</w:instrText>
        </w:r>
        <w:r>
          <w:fldChar w:fldCharType="end"/>
        </w:r>
      </w:hyperlink>
    </w:p>
    <w:p>
      <w:pPr>
        <w:tabs>
          <w:tab w:val="right" w:leader="dot" w:pos="9062"/>
        </w:tabs>
        <w:ind w:left="440"/>
      </w:pPr>
      <w:hyperlink w:anchor="_Toc1407" w:history="1">
        <w:r>
          <w:rPr>
            <w:rFonts w:ascii="IRNazanin" w:hAnsi="IRNazanin" w:eastAsia="IRNazanin" w:cs="IRNazanin"/>
            <w:color w:val="111111"/>
            <w:sz w:val="22"/>
            <w:szCs w:val="22"/>
            <w:b w:val="0"/>
            <w:bCs w:val="0"/>
            <w:i w:val="0"/>
            <w:iCs w:val="0"/>
          </w:rPr>
          <w:t>الاشتراط (رساله) / اصول فقه / عربی</w:t>
        </w:r>
        <w:r>
          <w:tab/>
        </w:r>
        <w:r>
          <w:fldChar w:fldCharType="begin"/>
        </w:r>
        <w:r>
          <w:instrText xml:space="preserve">PAGEREF 1407 \h</w:instrText>
        </w:r>
        <w:r>
          <w:fldChar w:fldCharType="end"/>
        </w:r>
      </w:hyperlink>
    </w:p>
    <w:p>
      <w:pPr>
        <w:tabs>
          <w:tab w:val="right" w:leader="dot" w:pos="9062"/>
        </w:tabs>
        <w:ind w:left="440"/>
      </w:pPr>
      <w:hyperlink w:anchor="_Toc1408" w:history="1">
        <w:r>
          <w:rPr>
            <w:rFonts w:ascii="IRNazanin" w:hAnsi="IRNazanin" w:eastAsia="IRNazanin" w:cs="IRNazanin"/>
            <w:color w:val="111111"/>
            <w:sz w:val="22"/>
            <w:szCs w:val="22"/>
            <w:b w:val="0"/>
            <w:bCs w:val="0"/>
            <w:i w:val="0"/>
            <w:iCs w:val="0"/>
          </w:rPr>
          <w:t>اشتراط صحة الصوم الواجب بالغسل من الجنابة  / فقه / عربی</w:t>
        </w:r>
        <w:r>
          <w:tab/>
        </w:r>
        <w:r>
          <w:fldChar w:fldCharType="begin"/>
        </w:r>
        <w:r>
          <w:instrText xml:space="preserve">PAGEREF 1408 \h</w:instrText>
        </w:r>
        <w:r>
          <w:fldChar w:fldCharType="end"/>
        </w:r>
      </w:hyperlink>
    </w:p>
    <w:p>
      <w:pPr>
        <w:tabs>
          <w:tab w:val="right" w:leader="dot" w:pos="9062"/>
        </w:tabs>
        <w:ind w:left="440"/>
      </w:pPr>
      <w:hyperlink w:anchor="_Toc1409" w:history="1">
        <w:r>
          <w:rPr>
            <w:rFonts w:ascii="IRNazanin" w:hAnsi="IRNazanin" w:eastAsia="IRNazanin" w:cs="IRNazanin"/>
            <w:color w:val="111111"/>
            <w:sz w:val="22"/>
            <w:szCs w:val="22"/>
            <w:b w:val="0"/>
            <w:bCs w:val="0"/>
            <w:i w:val="0"/>
            <w:iCs w:val="0"/>
          </w:rPr>
          <w:t>الاشتراک / اصول فقه / عربی</w:t>
        </w:r>
        <w:r>
          <w:tab/>
        </w:r>
        <w:r>
          <w:fldChar w:fldCharType="begin"/>
        </w:r>
        <w:r>
          <w:instrText xml:space="preserve">PAGEREF 1409 \h</w:instrText>
        </w:r>
        <w:r>
          <w:fldChar w:fldCharType="end"/>
        </w:r>
      </w:hyperlink>
    </w:p>
    <w:p>
      <w:pPr>
        <w:tabs>
          <w:tab w:val="right" w:leader="dot" w:pos="9062"/>
        </w:tabs>
        <w:ind w:left="440"/>
      </w:pPr>
      <w:hyperlink w:anchor="_Toc1410" w:history="1">
        <w:r>
          <w:rPr>
            <w:rFonts w:ascii="IRNazanin" w:hAnsi="IRNazanin" w:eastAsia="IRNazanin" w:cs="IRNazanin"/>
            <w:color w:val="111111"/>
            <w:sz w:val="22"/>
            <w:szCs w:val="22"/>
            <w:b w:val="0"/>
            <w:bCs w:val="0"/>
            <w:i w:val="0"/>
            <w:iCs w:val="0"/>
          </w:rPr>
          <w:t>اشتراک اسم العجوز منظومه) / شعر / عربی</w:t>
        </w:r>
        <w:r>
          <w:tab/>
        </w:r>
        <w:r>
          <w:fldChar w:fldCharType="begin"/>
        </w:r>
        <w:r>
          <w:instrText xml:space="preserve">PAGEREF 1410 \h</w:instrText>
        </w:r>
        <w:r>
          <w:fldChar w:fldCharType="end"/>
        </w:r>
      </w:hyperlink>
    </w:p>
    <w:p>
      <w:pPr>
        <w:tabs>
          <w:tab w:val="right" w:leader="dot" w:pos="9062"/>
        </w:tabs>
        <w:ind w:left="440"/>
      </w:pPr>
      <w:hyperlink w:anchor="_Toc1411" w:history="1">
        <w:r>
          <w:rPr>
            <w:rFonts w:ascii="IRNazanin" w:hAnsi="IRNazanin" w:eastAsia="IRNazanin" w:cs="IRNazanin"/>
            <w:color w:val="111111"/>
            <w:sz w:val="22"/>
            <w:szCs w:val="22"/>
            <w:b w:val="0"/>
            <w:bCs w:val="0"/>
            <w:i w:val="0"/>
            <w:iCs w:val="0"/>
          </w:rPr>
          <w:t>اشتراک الالفاظ / اصول فقه / عربی</w:t>
        </w:r>
        <w:r>
          <w:tab/>
        </w:r>
        <w:r>
          <w:fldChar w:fldCharType="begin"/>
        </w:r>
        <w:r>
          <w:instrText xml:space="preserve">PAGEREF 1411 \h</w:instrText>
        </w:r>
        <w:r>
          <w:fldChar w:fldCharType="end"/>
        </w:r>
      </w:hyperlink>
    </w:p>
    <w:p>
      <w:pPr>
        <w:tabs>
          <w:tab w:val="right" w:leader="dot" w:pos="9062"/>
        </w:tabs>
        <w:ind w:left="440"/>
      </w:pPr>
      <w:hyperlink w:anchor="_Toc1412" w:history="1">
        <w:r>
          <w:rPr>
            <w:rFonts w:ascii="IRNazanin" w:hAnsi="IRNazanin" w:eastAsia="IRNazanin" w:cs="IRNazanin"/>
            <w:color w:val="111111"/>
            <w:sz w:val="22"/>
            <w:szCs w:val="22"/>
            <w:b w:val="0"/>
            <w:bCs w:val="0"/>
            <w:i w:val="0"/>
            <w:iCs w:val="0"/>
          </w:rPr>
          <w:t>اشتراک امرین / اصول فقه / عربی</w:t>
        </w:r>
        <w:r>
          <w:tab/>
        </w:r>
        <w:r>
          <w:fldChar w:fldCharType="begin"/>
        </w:r>
        <w:r>
          <w:instrText xml:space="preserve">PAGEREF 1412 \h</w:instrText>
        </w:r>
        <w:r>
          <w:fldChar w:fldCharType="end"/>
        </w:r>
      </w:hyperlink>
    </w:p>
    <w:p>
      <w:pPr>
        <w:tabs>
          <w:tab w:val="right" w:leader="dot" w:pos="9062"/>
        </w:tabs>
        <w:ind w:left="440"/>
      </w:pPr>
      <w:hyperlink w:anchor="_Toc1413" w:history="1">
        <w:r>
          <w:rPr>
            <w:rFonts w:ascii="IRNazanin" w:hAnsi="IRNazanin" w:eastAsia="IRNazanin" w:cs="IRNazanin"/>
            <w:color w:val="111111"/>
            <w:sz w:val="22"/>
            <w:szCs w:val="22"/>
            <w:b w:val="0"/>
            <w:bCs w:val="0"/>
            <w:i w:val="0"/>
            <w:iCs w:val="0"/>
          </w:rPr>
          <w:t>الاشتراک فی الاصول / اصول فقه / عربی</w:t>
        </w:r>
        <w:r>
          <w:tab/>
        </w:r>
        <w:r>
          <w:fldChar w:fldCharType="begin"/>
        </w:r>
        <w:r>
          <w:instrText xml:space="preserve">PAGEREF 1413 \h</w:instrText>
        </w:r>
        <w:r>
          <w:fldChar w:fldCharType="end"/>
        </w:r>
      </w:hyperlink>
    </w:p>
    <w:p>
      <w:pPr>
        <w:tabs>
          <w:tab w:val="right" w:leader="dot" w:pos="9062"/>
        </w:tabs>
        <w:ind w:left="440"/>
      </w:pPr>
      <w:hyperlink w:anchor="_Toc1414" w:history="1">
        <w:r>
          <w:rPr>
            <w:rFonts w:ascii="IRNazanin" w:hAnsi="IRNazanin" w:eastAsia="IRNazanin" w:cs="IRNazanin"/>
            <w:color w:val="111111"/>
            <w:sz w:val="22"/>
            <w:szCs w:val="22"/>
            <w:b w:val="0"/>
            <w:bCs w:val="0"/>
            <w:i w:val="0"/>
            <w:iCs w:val="0"/>
          </w:rPr>
          <w:t>اشتراک الوجود / فلسفه / عربي</w:t>
        </w:r>
        <w:r>
          <w:tab/>
        </w:r>
        <w:r>
          <w:fldChar w:fldCharType="begin"/>
        </w:r>
        <w:r>
          <w:instrText xml:space="preserve">PAGEREF 1414 \h</w:instrText>
        </w:r>
        <w:r>
          <w:fldChar w:fldCharType="end"/>
        </w:r>
      </w:hyperlink>
    </w:p>
    <w:p>
      <w:pPr>
        <w:tabs>
          <w:tab w:val="right" w:leader="dot" w:pos="9062"/>
        </w:tabs>
        <w:ind w:left="440"/>
      </w:pPr>
      <w:hyperlink w:anchor="_Toc1415" w:history="1">
        <w:r>
          <w:rPr>
            <w:rFonts w:ascii="IRNazanin" w:hAnsi="IRNazanin" w:eastAsia="IRNazanin" w:cs="IRNazanin"/>
            <w:color w:val="111111"/>
            <w:sz w:val="22"/>
            <w:szCs w:val="22"/>
            <w:b w:val="0"/>
            <w:bCs w:val="0"/>
            <w:i w:val="0"/>
            <w:iCs w:val="0"/>
          </w:rPr>
          <w:t>اشتراک الوجود و الموجود / فلسفه / عربی</w:t>
        </w:r>
        <w:r>
          <w:tab/>
        </w:r>
        <w:r>
          <w:fldChar w:fldCharType="begin"/>
        </w:r>
        <w:r>
          <w:instrText xml:space="preserve">PAGEREF 1415 \h</w:instrText>
        </w:r>
        <w:r>
          <w:fldChar w:fldCharType="end"/>
        </w:r>
      </w:hyperlink>
    </w:p>
    <w:p>
      <w:pPr>
        <w:tabs>
          <w:tab w:val="right" w:leader="dot" w:pos="9062"/>
        </w:tabs>
        <w:ind w:left="440"/>
      </w:pPr>
      <w:hyperlink w:anchor="_Toc1416" w:history="1">
        <w:r>
          <w:rPr>
            <w:rFonts w:ascii="IRNazanin" w:hAnsi="IRNazanin" w:eastAsia="IRNazanin" w:cs="IRNazanin"/>
            <w:color w:val="111111"/>
            <w:sz w:val="22"/>
            <w:szCs w:val="22"/>
            <w:b w:val="0"/>
            <w:bCs w:val="0"/>
            <w:i w:val="0"/>
            <w:iCs w:val="0"/>
          </w:rPr>
          <w:t>اشتراک و تداخل اعداد / ریاضیات / فارسی</w:t>
        </w:r>
        <w:r>
          <w:tab/>
        </w:r>
        <w:r>
          <w:fldChar w:fldCharType="begin"/>
        </w:r>
        <w:r>
          <w:instrText xml:space="preserve">PAGEREF 1416 \h</w:instrText>
        </w:r>
        <w:r>
          <w:fldChar w:fldCharType="end"/>
        </w:r>
      </w:hyperlink>
    </w:p>
    <w:p>
      <w:pPr>
        <w:tabs>
          <w:tab w:val="right" w:leader="dot" w:pos="9062"/>
        </w:tabs>
        <w:ind w:left="440"/>
      </w:pPr>
      <w:hyperlink w:anchor="_Toc1417" w:history="1">
        <w:r>
          <w:rPr>
            <w:rFonts w:ascii="IRNazanin" w:hAnsi="IRNazanin" w:eastAsia="IRNazanin" w:cs="IRNazanin"/>
            <w:color w:val="111111"/>
            <w:sz w:val="22"/>
            <w:szCs w:val="22"/>
            <w:b w:val="0"/>
            <w:bCs w:val="0"/>
            <w:i w:val="0"/>
            <w:iCs w:val="0"/>
          </w:rPr>
          <w:t>اشتر نامه / شعر / فارسی</w:t>
        </w:r>
        <w:r>
          <w:tab/>
        </w:r>
        <w:r>
          <w:fldChar w:fldCharType="begin"/>
        </w:r>
        <w:r>
          <w:instrText xml:space="preserve">PAGEREF 1417 \h</w:instrText>
        </w:r>
        <w:r>
          <w:fldChar w:fldCharType="end"/>
        </w:r>
      </w:hyperlink>
    </w:p>
    <w:p>
      <w:pPr>
        <w:tabs>
          <w:tab w:val="right" w:leader="dot" w:pos="9062"/>
        </w:tabs>
        <w:ind w:left="440"/>
      </w:pPr>
      <w:hyperlink w:anchor="_Toc1418" w:history="1">
        <w:r>
          <w:rPr>
            <w:rFonts w:ascii="IRNazanin" w:hAnsi="IRNazanin" w:eastAsia="IRNazanin" w:cs="IRNazanin"/>
            <w:color w:val="111111"/>
            <w:sz w:val="22"/>
            <w:szCs w:val="22"/>
            <w:b w:val="0"/>
            <w:bCs w:val="0"/>
            <w:i w:val="0"/>
            <w:iCs w:val="0"/>
          </w:rPr>
          <w:t>اشتر نامه / شعر / فارسی</w:t>
        </w:r>
        <w:r>
          <w:tab/>
        </w:r>
        <w:r>
          <w:fldChar w:fldCharType="begin"/>
        </w:r>
        <w:r>
          <w:instrText xml:space="preserve">PAGEREF 1418 \h</w:instrText>
        </w:r>
        <w:r>
          <w:fldChar w:fldCharType="end"/>
        </w:r>
      </w:hyperlink>
    </w:p>
    <w:p>
      <w:pPr>
        <w:tabs>
          <w:tab w:val="right" w:leader="dot" w:pos="9062"/>
        </w:tabs>
        <w:ind w:left="440"/>
      </w:pPr>
      <w:hyperlink w:anchor="_Toc1419" w:history="1">
        <w:r>
          <w:rPr>
            <w:rFonts w:ascii="IRNazanin" w:hAnsi="IRNazanin" w:eastAsia="IRNazanin" w:cs="IRNazanin"/>
            <w:color w:val="111111"/>
            <w:sz w:val="22"/>
            <w:szCs w:val="22"/>
            <w:b w:val="0"/>
            <w:bCs w:val="0"/>
            <w:i w:val="0"/>
            <w:iCs w:val="0"/>
          </w:rPr>
          <w:t>اشتر نامه / شعر / فارسی</w:t>
        </w:r>
        <w:r>
          <w:tab/>
        </w:r>
        <w:r>
          <w:fldChar w:fldCharType="begin"/>
        </w:r>
        <w:r>
          <w:instrText xml:space="preserve">PAGEREF 1419 \h</w:instrText>
        </w:r>
        <w:r>
          <w:fldChar w:fldCharType="end"/>
        </w:r>
      </w:hyperlink>
    </w:p>
    <w:p>
      <w:pPr>
        <w:tabs>
          <w:tab w:val="right" w:leader="dot" w:pos="9062"/>
        </w:tabs>
        <w:ind w:left="440"/>
      </w:pPr>
      <w:hyperlink w:anchor="_Toc1420" w:history="1">
        <w:r>
          <w:rPr>
            <w:rFonts w:ascii="IRNazanin" w:hAnsi="IRNazanin" w:eastAsia="IRNazanin" w:cs="IRNazanin"/>
            <w:color w:val="111111"/>
            <w:sz w:val="22"/>
            <w:szCs w:val="22"/>
            <w:b w:val="0"/>
            <w:bCs w:val="0"/>
            <w:i w:val="0"/>
            <w:iCs w:val="0"/>
          </w:rPr>
          <w:t>الاشتقاق / صرف / عربی</w:t>
        </w:r>
        <w:r>
          <w:tab/>
        </w:r>
        <w:r>
          <w:fldChar w:fldCharType="begin"/>
        </w:r>
        <w:r>
          <w:instrText xml:space="preserve">PAGEREF 1420 \h</w:instrText>
        </w:r>
        <w:r>
          <w:fldChar w:fldCharType="end"/>
        </w:r>
      </w:hyperlink>
    </w:p>
    <w:p>
      <w:pPr>
        <w:tabs>
          <w:tab w:val="right" w:leader="dot" w:pos="9062"/>
        </w:tabs>
        <w:ind w:left="440"/>
      </w:pPr>
      <w:hyperlink w:anchor="_Toc1421" w:history="1">
        <w:r>
          <w:rPr>
            <w:rFonts w:ascii="IRNazanin" w:hAnsi="IRNazanin" w:eastAsia="IRNazanin" w:cs="IRNazanin"/>
            <w:color w:val="111111"/>
            <w:sz w:val="22"/>
            <w:szCs w:val="22"/>
            <w:b w:val="0"/>
            <w:bCs w:val="0"/>
            <w:i w:val="0"/>
            <w:iCs w:val="0"/>
          </w:rPr>
          <w:t>الاشتقاق / لغت / عربي</w:t>
        </w:r>
        <w:r>
          <w:tab/>
        </w:r>
        <w:r>
          <w:fldChar w:fldCharType="begin"/>
        </w:r>
        <w:r>
          <w:instrText xml:space="preserve">PAGEREF 1421 \h</w:instrText>
        </w:r>
        <w:r>
          <w:fldChar w:fldCharType="end"/>
        </w:r>
      </w:hyperlink>
    </w:p>
    <w:p>
      <w:pPr>
        <w:tabs>
          <w:tab w:val="right" w:leader="dot" w:pos="9062"/>
        </w:tabs>
        <w:ind w:left="440"/>
      </w:pPr>
      <w:hyperlink w:anchor="_Toc1422" w:history="1">
        <w:r>
          <w:rPr>
            <w:rFonts w:ascii="IRNazanin" w:hAnsi="IRNazanin" w:eastAsia="IRNazanin" w:cs="IRNazanin"/>
            <w:color w:val="111111"/>
            <w:sz w:val="22"/>
            <w:szCs w:val="22"/>
            <w:b w:val="0"/>
            <w:bCs w:val="0"/>
            <w:i w:val="0"/>
            <w:iCs w:val="0"/>
          </w:rPr>
          <w:t>اشتقاق / ادبیات / عربی</w:t>
        </w:r>
        <w:r>
          <w:tab/>
        </w:r>
        <w:r>
          <w:fldChar w:fldCharType="begin"/>
        </w:r>
        <w:r>
          <w:instrText xml:space="preserve">PAGEREF 1422 \h</w:instrText>
        </w:r>
        <w:r>
          <w:fldChar w:fldCharType="end"/>
        </w:r>
      </w:hyperlink>
    </w:p>
    <w:p>
      <w:pPr>
        <w:tabs>
          <w:tab w:val="right" w:leader="dot" w:pos="9062"/>
        </w:tabs>
        <w:ind w:left="440"/>
      </w:pPr>
      <w:hyperlink w:anchor="_Toc1423" w:history="1">
        <w:r>
          <w:rPr>
            <w:rFonts w:ascii="IRNazanin" w:hAnsi="IRNazanin" w:eastAsia="IRNazanin" w:cs="IRNazanin"/>
            <w:color w:val="111111"/>
            <w:sz w:val="22"/>
            <w:szCs w:val="22"/>
            <w:b w:val="0"/>
            <w:bCs w:val="0"/>
            <w:i w:val="0"/>
            <w:iCs w:val="0"/>
          </w:rPr>
          <w:t>الاشتقاق / ادبیات / عربی</w:t>
        </w:r>
        <w:r>
          <w:tab/>
        </w:r>
        <w:r>
          <w:fldChar w:fldCharType="begin"/>
        </w:r>
        <w:r>
          <w:instrText xml:space="preserve">PAGEREF 1423 \h</w:instrText>
        </w:r>
        <w:r>
          <w:fldChar w:fldCharType="end"/>
        </w:r>
      </w:hyperlink>
    </w:p>
    <w:p>
      <w:pPr>
        <w:tabs>
          <w:tab w:val="right" w:leader="dot" w:pos="9062"/>
        </w:tabs>
        <w:ind w:left="440"/>
      </w:pPr>
      <w:hyperlink w:anchor="_Toc1424" w:history="1">
        <w:r>
          <w:rPr>
            <w:rFonts w:ascii="IRNazanin" w:hAnsi="IRNazanin" w:eastAsia="IRNazanin" w:cs="IRNazanin"/>
            <w:color w:val="111111"/>
            <w:sz w:val="22"/>
            <w:szCs w:val="22"/>
            <w:b w:val="0"/>
            <w:bCs w:val="0"/>
            <w:i w:val="0"/>
            <w:iCs w:val="0"/>
          </w:rPr>
          <w:t>اشتقاق / صرف / فارسی</w:t>
        </w:r>
        <w:r>
          <w:tab/>
        </w:r>
        <w:r>
          <w:fldChar w:fldCharType="begin"/>
        </w:r>
        <w:r>
          <w:instrText xml:space="preserve">PAGEREF 1424 \h</w:instrText>
        </w:r>
        <w:r>
          <w:fldChar w:fldCharType="end"/>
        </w:r>
      </w:hyperlink>
    </w:p>
    <w:p>
      <w:pPr>
        <w:tabs>
          <w:tab w:val="right" w:leader="dot" w:pos="9062"/>
        </w:tabs>
        <w:ind w:left="440"/>
      </w:pPr>
      <w:hyperlink w:anchor="_Toc1425" w:history="1">
        <w:r>
          <w:rPr>
            <w:rFonts w:ascii="IRNazanin" w:hAnsi="IRNazanin" w:eastAsia="IRNazanin" w:cs="IRNazanin"/>
            <w:color w:val="111111"/>
            <w:sz w:val="22"/>
            <w:szCs w:val="22"/>
            <w:b w:val="0"/>
            <w:bCs w:val="0"/>
            <w:i w:val="0"/>
            <w:iCs w:val="0"/>
          </w:rPr>
          <w:t>اشتقاق (رساله) / ادبیات / عربی</w:t>
        </w:r>
        <w:r>
          <w:tab/>
        </w:r>
        <w:r>
          <w:fldChar w:fldCharType="begin"/>
        </w:r>
        <w:r>
          <w:instrText xml:space="preserve">PAGEREF 1425 \h</w:instrText>
        </w:r>
        <w:r>
          <w:fldChar w:fldCharType="end"/>
        </w:r>
      </w:hyperlink>
    </w:p>
    <w:p>
      <w:pPr>
        <w:tabs>
          <w:tab w:val="right" w:leader="dot" w:pos="9062"/>
        </w:tabs>
        <w:ind w:left="440"/>
      </w:pPr>
      <w:hyperlink w:anchor="_Toc1426" w:history="1">
        <w:r>
          <w:rPr>
            <w:rFonts w:ascii="IRNazanin" w:hAnsi="IRNazanin" w:eastAsia="IRNazanin" w:cs="IRNazanin"/>
            <w:color w:val="111111"/>
            <w:sz w:val="22"/>
            <w:szCs w:val="22"/>
            <w:b w:val="0"/>
            <w:bCs w:val="0"/>
            <w:i w:val="0"/>
            <w:iCs w:val="0"/>
          </w:rPr>
          <w:t>الاشتقاقية = اجوبة مسائل السيد حسن رضا الأعرجى الهندى = رسالة الاشتقاق / پاسخ پرسش ها / عربی</w:t>
        </w:r>
        <w:r>
          <w:tab/>
        </w:r>
        <w:r>
          <w:fldChar w:fldCharType="begin"/>
        </w:r>
        <w:r>
          <w:instrText xml:space="preserve">PAGEREF 1426 \h</w:instrText>
        </w:r>
        <w:r>
          <w:fldChar w:fldCharType="end"/>
        </w:r>
      </w:hyperlink>
    </w:p>
    <w:p>
      <w:pPr>
        <w:tabs>
          <w:tab w:val="right" w:leader="dot" w:pos="9062"/>
        </w:tabs>
        <w:ind w:left="440"/>
      </w:pPr>
      <w:hyperlink w:anchor="_Toc1427" w:history="1">
        <w:r>
          <w:rPr>
            <w:rFonts w:ascii="IRNazanin" w:hAnsi="IRNazanin" w:eastAsia="IRNazanin" w:cs="IRNazanin"/>
            <w:color w:val="111111"/>
            <w:sz w:val="22"/>
            <w:szCs w:val="22"/>
            <w:b w:val="0"/>
            <w:bCs w:val="0"/>
            <w:i w:val="0"/>
            <w:iCs w:val="0"/>
          </w:rPr>
          <w:t>اشتهارنامه / عرفان و تصوف / فارسی</w:t>
        </w:r>
        <w:r>
          <w:tab/>
        </w:r>
        <w:r>
          <w:fldChar w:fldCharType="begin"/>
        </w:r>
        <w:r>
          <w:instrText xml:space="preserve">PAGEREF 1427 \h</w:instrText>
        </w:r>
        <w:r>
          <w:fldChar w:fldCharType="end"/>
        </w:r>
      </w:hyperlink>
    </w:p>
    <w:p>
      <w:pPr>
        <w:tabs>
          <w:tab w:val="right" w:leader="dot" w:pos="9062"/>
        </w:tabs>
        <w:ind w:left="440"/>
      </w:pPr>
      <w:hyperlink w:anchor="_Toc1428" w:history="1">
        <w:r>
          <w:rPr>
            <w:rFonts w:ascii="IRNazanin" w:hAnsi="IRNazanin" w:eastAsia="IRNazanin" w:cs="IRNazanin"/>
            <w:color w:val="111111"/>
            <w:sz w:val="22"/>
            <w:szCs w:val="22"/>
            <w:b w:val="0"/>
            <w:bCs w:val="0"/>
            <w:i w:val="0"/>
            <w:iCs w:val="0"/>
          </w:rPr>
          <w:t>اشتهارنامه آدمیت / حکومت و سیاست / فارسی</w:t>
        </w:r>
        <w:r>
          <w:tab/>
        </w:r>
        <w:r>
          <w:fldChar w:fldCharType="begin"/>
        </w:r>
        <w:r>
          <w:instrText xml:space="preserve">PAGEREF 1428 \h</w:instrText>
        </w:r>
        <w:r>
          <w:fldChar w:fldCharType="end"/>
        </w:r>
      </w:hyperlink>
    </w:p>
    <w:p>
      <w:pPr>
        <w:tabs>
          <w:tab w:val="right" w:leader="dot" w:pos="9062"/>
        </w:tabs>
        <w:ind w:left="440"/>
      </w:pPr>
      <w:hyperlink w:anchor="_Toc1429" w:history="1">
        <w:r>
          <w:rPr>
            <w:rFonts w:ascii="IRNazanin" w:hAnsi="IRNazanin" w:eastAsia="IRNazanin" w:cs="IRNazanin"/>
            <w:color w:val="111111"/>
            <w:sz w:val="22"/>
            <w:szCs w:val="22"/>
            <w:b w:val="0"/>
            <w:bCs w:val="0"/>
            <w:i w:val="0"/>
            <w:iCs w:val="0"/>
          </w:rPr>
          <w:t>اشجار خلد / عرفان و تصوف، ادبیات / فارسی</w:t>
        </w:r>
        <w:r>
          <w:tab/>
        </w:r>
        <w:r>
          <w:fldChar w:fldCharType="begin"/>
        </w:r>
        <w:r>
          <w:instrText xml:space="preserve">PAGEREF 1429 \h</w:instrText>
        </w:r>
        <w:r>
          <w:fldChar w:fldCharType="end"/>
        </w:r>
      </w:hyperlink>
    </w:p>
    <w:p>
      <w:pPr>
        <w:tabs>
          <w:tab w:val="right" w:leader="dot" w:pos="9062"/>
        </w:tabs>
        <w:ind w:left="440"/>
      </w:pPr>
      <w:hyperlink w:anchor="_Toc1430" w:history="1">
        <w:r>
          <w:rPr>
            <w:rFonts w:ascii="IRNazanin" w:hAnsi="IRNazanin" w:eastAsia="IRNazanin" w:cs="IRNazanin"/>
            <w:color w:val="111111"/>
            <w:sz w:val="22"/>
            <w:szCs w:val="22"/>
            <w:b w:val="0"/>
            <w:bCs w:val="0"/>
            <w:i w:val="0"/>
            <w:iCs w:val="0"/>
          </w:rPr>
          <w:t>اشجار و اثمار = اثمار و اشجار = ثمره و شجره /  هیئت / فارسی</w:t>
        </w:r>
        <w:r>
          <w:tab/>
        </w:r>
        <w:r>
          <w:fldChar w:fldCharType="begin"/>
        </w:r>
        <w:r>
          <w:instrText xml:space="preserve">PAGEREF 1430 \h</w:instrText>
        </w:r>
        <w:r>
          <w:fldChar w:fldCharType="end"/>
        </w:r>
      </w:hyperlink>
    </w:p>
    <w:p>
      <w:pPr>
        <w:tabs>
          <w:tab w:val="right" w:leader="dot" w:pos="9062"/>
        </w:tabs>
        <w:ind w:left="440"/>
      </w:pPr>
      <w:hyperlink w:anchor="_Toc1431" w:history="1">
        <w:r>
          <w:rPr>
            <w:rFonts w:ascii="IRNazanin" w:hAnsi="IRNazanin" w:eastAsia="IRNazanin" w:cs="IRNazanin"/>
            <w:color w:val="111111"/>
            <w:sz w:val="22"/>
            <w:szCs w:val="22"/>
            <w:b w:val="0"/>
            <w:bCs w:val="0"/>
            <w:i w:val="0"/>
            <w:iCs w:val="0"/>
          </w:rPr>
          <w:t>اشجار و اثمار / هیئت / فارسی</w:t>
        </w:r>
        <w:r>
          <w:tab/>
        </w:r>
        <w:r>
          <w:fldChar w:fldCharType="begin"/>
        </w:r>
        <w:r>
          <w:instrText xml:space="preserve">PAGEREF 1431 \h</w:instrText>
        </w:r>
        <w:r>
          <w:fldChar w:fldCharType="end"/>
        </w:r>
      </w:hyperlink>
    </w:p>
    <w:p>
      <w:pPr>
        <w:tabs>
          <w:tab w:val="right" w:leader="dot" w:pos="9062"/>
        </w:tabs>
        <w:ind w:left="440"/>
      </w:pPr>
      <w:hyperlink w:anchor="_Toc1432" w:history="1">
        <w:r>
          <w:rPr>
            <w:rFonts w:ascii="IRNazanin" w:hAnsi="IRNazanin" w:eastAsia="IRNazanin" w:cs="IRNazanin"/>
            <w:color w:val="111111"/>
            <w:sz w:val="22"/>
            <w:szCs w:val="22"/>
            <w:b w:val="0"/>
            <w:bCs w:val="0"/>
            <w:i w:val="0"/>
            <w:iCs w:val="0"/>
          </w:rPr>
          <w:t>اشجار و اثمار الرمل / علوم غریبه / فارسی</w:t>
        </w:r>
        <w:r>
          <w:tab/>
        </w:r>
        <w:r>
          <w:fldChar w:fldCharType="begin"/>
        </w:r>
        <w:r>
          <w:instrText xml:space="preserve">PAGEREF 1432 \h</w:instrText>
        </w:r>
        <w:r>
          <w:fldChar w:fldCharType="end"/>
        </w:r>
      </w:hyperlink>
    </w:p>
    <w:p>
      <w:pPr>
        <w:tabs>
          <w:tab w:val="right" w:leader="dot" w:pos="9062"/>
        </w:tabs>
        <w:ind w:left="440"/>
      </w:pPr>
      <w:hyperlink w:anchor="_Toc1433" w:history="1">
        <w:r>
          <w:rPr>
            <w:rFonts w:ascii="IRNazanin" w:hAnsi="IRNazanin" w:eastAsia="IRNazanin" w:cs="IRNazanin"/>
            <w:color w:val="111111"/>
            <w:sz w:val="22"/>
            <w:szCs w:val="22"/>
            <w:b w:val="0"/>
            <w:bCs w:val="0"/>
            <w:i w:val="0"/>
            <w:iCs w:val="0"/>
          </w:rPr>
          <w:t>اشجار و اثمار (ترجمه) / هیئت / ترکی</w:t>
        </w:r>
        <w:r>
          <w:tab/>
        </w:r>
        <w:r>
          <w:fldChar w:fldCharType="begin"/>
        </w:r>
        <w:r>
          <w:instrText xml:space="preserve">PAGEREF 1433 \h</w:instrText>
        </w:r>
        <w:r>
          <w:fldChar w:fldCharType="end"/>
        </w:r>
      </w:hyperlink>
    </w:p>
    <w:p>
      <w:pPr>
        <w:tabs>
          <w:tab w:val="right" w:leader="dot" w:pos="9062"/>
        </w:tabs>
        <w:ind w:left="440"/>
      </w:pPr>
      <w:hyperlink w:anchor="_Toc1434" w:history="1">
        <w:r>
          <w:rPr>
            <w:rFonts w:ascii="IRNazanin" w:hAnsi="IRNazanin" w:eastAsia="IRNazanin" w:cs="IRNazanin"/>
            <w:color w:val="111111"/>
            <w:sz w:val="22"/>
            <w:szCs w:val="22"/>
            <w:b w:val="0"/>
            <w:bCs w:val="0"/>
            <w:i w:val="0"/>
            <w:iCs w:val="0"/>
          </w:rPr>
          <w:t>اشجار و احجار / طبیعیات / فارسی</w:t>
        </w:r>
        <w:r>
          <w:tab/>
        </w:r>
        <w:r>
          <w:fldChar w:fldCharType="begin"/>
        </w:r>
        <w:r>
          <w:instrText xml:space="preserve">PAGEREF 1434 \h</w:instrText>
        </w:r>
        <w:r>
          <w:fldChar w:fldCharType="end"/>
        </w:r>
      </w:hyperlink>
    </w:p>
    <w:p>
      <w:pPr>
        <w:tabs>
          <w:tab w:val="right" w:leader="dot" w:pos="9062"/>
        </w:tabs>
        <w:ind w:left="440"/>
      </w:pPr>
      <w:hyperlink w:anchor="_Toc1435" w:history="1">
        <w:r>
          <w:rPr>
            <w:rFonts w:ascii="IRNazanin" w:hAnsi="IRNazanin" w:eastAsia="IRNazanin" w:cs="IRNazanin"/>
            <w:color w:val="111111"/>
            <w:sz w:val="22"/>
            <w:szCs w:val="22"/>
            <w:b w:val="0"/>
            <w:bCs w:val="0"/>
            <w:i w:val="0"/>
            <w:iCs w:val="0"/>
          </w:rPr>
          <w:t>اشجار هداية المجيزين في طرق الرواية للمحدثين / رجال / عربی</w:t>
        </w:r>
        <w:r>
          <w:tab/>
        </w:r>
        <w:r>
          <w:fldChar w:fldCharType="begin"/>
        </w:r>
        <w:r>
          <w:instrText xml:space="preserve">PAGEREF 1435 \h</w:instrText>
        </w:r>
        <w:r>
          <w:fldChar w:fldCharType="end"/>
        </w:r>
      </w:hyperlink>
    </w:p>
    <w:p>
      <w:pPr>
        <w:tabs>
          <w:tab w:val="right" w:leader="dot" w:pos="9062"/>
        </w:tabs>
        <w:ind w:left="440"/>
      </w:pPr>
      <w:hyperlink w:anchor="_Toc1436" w:history="1">
        <w:r>
          <w:rPr>
            <w:rFonts w:ascii="IRNazanin" w:hAnsi="IRNazanin" w:eastAsia="IRNazanin" w:cs="IRNazanin"/>
            <w:color w:val="111111"/>
            <w:sz w:val="22"/>
            <w:szCs w:val="22"/>
            <w:b w:val="0"/>
            <w:bCs w:val="0"/>
            <w:i w:val="0"/>
            <w:iCs w:val="0"/>
          </w:rPr>
          <w:t>اشراط الساعة / كلام و اعتقادات / عربی</w:t>
        </w:r>
        <w:r>
          <w:tab/>
        </w:r>
        <w:r>
          <w:fldChar w:fldCharType="begin"/>
        </w:r>
        <w:r>
          <w:instrText xml:space="preserve">PAGEREF 1436 \h</w:instrText>
        </w:r>
        <w:r>
          <w:fldChar w:fldCharType="end"/>
        </w:r>
      </w:hyperlink>
    </w:p>
    <w:p>
      <w:pPr>
        <w:tabs>
          <w:tab w:val="right" w:leader="dot" w:pos="9062"/>
        </w:tabs>
        <w:ind w:left="440"/>
      </w:pPr>
      <w:hyperlink w:anchor="_Toc1437" w:history="1">
        <w:r>
          <w:rPr>
            <w:rFonts w:ascii="IRNazanin" w:hAnsi="IRNazanin" w:eastAsia="IRNazanin" w:cs="IRNazanin"/>
            <w:color w:val="111111"/>
            <w:sz w:val="22"/>
            <w:szCs w:val="22"/>
            <w:b w:val="0"/>
            <w:bCs w:val="0"/>
            <w:i w:val="0"/>
            <w:iCs w:val="0"/>
          </w:rPr>
          <w:t>اشراط الساعة / كلام و اعتقادات / فارسی</w:t>
        </w:r>
        <w:r>
          <w:tab/>
        </w:r>
        <w:r>
          <w:fldChar w:fldCharType="begin"/>
        </w:r>
        <w:r>
          <w:instrText xml:space="preserve">PAGEREF 1437 \h</w:instrText>
        </w:r>
        <w:r>
          <w:fldChar w:fldCharType="end"/>
        </w:r>
      </w:hyperlink>
    </w:p>
    <w:p>
      <w:pPr>
        <w:tabs>
          <w:tab w:val="right" w:leader="dot" w:pos="9062"/>
        </w:tabs>
        <w:ind w:left="440"/>
      </w:pPr>
      <w:hyperlink w:anchor="_Toc1438" w:history="1">
        <w:r>
          <w:rPr>
            <w:rFonts w:ascii="IRNazanin" w:hAnsi="IRNazanin" w:eastAsia="IRNazanin" w:cs="IRNazanin"/>
            <w:color w:val="111111"/>
            <w:sz w:val="22"/>
            <w:szCs w:val="22"/>
            <w:b w:val="0"/>
            <w:bCs w:val="0"/>
            <w:i w:val="0"/>
            <w:iCs w:val="0"/>
          </w:rPr>
          <w:t>الاشراف على اعلى الشرف في التعريف برجال  سند البخارى من طريق الشريف أبى على بن أبى  الشرف / علوم حدیث / عربی</w:t>
        </w:r>
        <w:r>
          <w:tab/>
        </w:r>
        <w:r>
          <w:fldChar w:fldCharType="begin"/>
        </w:r>
        <w:r>
          <w:instrText xml:space="preserve">PAGEREF 1438 \h</w:instrText>
        </w:r>
        <w:r>
          <w:fldChar w:fldCharType="end"/>
        </w:r>
      </w:hyperlink>
    </w:p>
    <w:p>
      <w:pPr>
        <w:tabs>
          <w:tab w:val="right" w:leader="dot" w:pos="9062"/>
        </w:tabs>
        <w:ind w:left="440"/>
      </w:pPr>
      <w:hyperlink w:anchor="_Toc1439" w:history="1">
        <w:r>
          <w:rPr>
            <w:rFonts w:ascii="IRNazanin" w:hAnsi="IRNazanin" w:eastAsia="IRNazanin" w:cs="IRNazanin"/>
            <w:color w:val="111111"/>
            <w:sz w:val="22"/>
            <w:szCs w:val="22"/>
            <w:b w:val="0"/>
            <w:bCs w:val="0"/>
            <w:i w:val="0"/>
            <w:iCs w:val="0"/>
          </w:rPr>
          <w:t>الاشراف على سيادة الاشراف = سيادة الاشراف= تحقيق معنى السيد و السيادة (رسالة فى) / كلام و اعتقادات / عربی</w:t>
        </w:r>
        <w:r>
          <w:tab/>
        </w:r>
        <w:r>
          <w:fldChar w:fldCharType="begin"/>
        </w:r>
        <w:r>
          <w:instrText xml:space="preserve">PAGEREF 1439 \h</w:instrText>
        </w:r>
        <w:r>
          <w:fldChar w:fldCharType="end"/>
        </w:r>
      </w:hyperlink>
    </w:p>
    <w:p>
      <w:pPr>
        <w:tabs>
          <w:tab w:val="right" w:leader="dot" w:pos="9062"/>
        </w:tabs>
        <w:ind w:left="440"/>
      </w:pPr>
      <w:hyperlink w:anchor="_Toc1440" w:history="1">
        <w:r>
          <w:rPr>
            <w:rFonts w:ascii="IRNazanin" w:hAnsi="IRNazanin" w:eastAsia="IRNazanin" w:cs="IRNazanin"/>
            <w:color w:val="111111"/>
            <w:sz w:val="22"/>
            <w:szCs w:val="22"/>
            <w:b w:val="0"/>
            <w:bCs w:val="0"/>
            <w:i w:val="0"/>
            <w:iCs w:val="0"/>
          </w:rPr>
          <w:t>الاشراف على فضل الأشراف / فضایل و مناقب / عربی</w:t>
        </w:r>
        <w:r>
          <w:tab/>
        </w:r>
        <w:r>
          <w:fldChar w:fldCharType="begin"/>
        </w:r>
        <w:r>
          <w:instrText xml:space="preserve">PAGEREF 1440 \h</w:instrText>
        </w:r>
        <w:r>
          <w:fldChar w:fldCharType="end"/>
        </w:r>
      </w:hyperlink>
    </w:p>
    <w:p>
      <w:pPr>
        <w:tabs>
          <w:tab w:val="right" w:leader="dot" w:pos="9062"/>
        </w:tabs>
        <w:ind w:left="440"/>
      </w:pPr>
      <w:hyperlink w:anchor="_Toc1441" w:history="1">
        <w:r>
          <w:rPr>
            <w:rFonts w:ascii="IRNazanin" w:hAnsi="IRNazanin" w:eastAsia="IRNazanin" w:cs="IRNazanin"/>
            <w:color w:val="111111"/>
            <w:sz w:val="22"/>
            <w:szCs w:val="22"/>
            <w:b w:val="0"/>
            <w:bCs w:val="0"/>
            <w:i w:val="0"/>
            <w:iCs w:val="0"/>
          </w:rPr>
          <w:t>الإشراف على مذاهب الأشراف / فقه / عربي</w:t>
        </w:r>
        <w:r>
          <w:tab/>
        </w:r>
        <w:r>
          <w:fldChar w:fldCharType="begin"/>
        </w:r>
        <w:r>
          <w:instrText xml:space="preserve">PAGEREF 1441 \h</w:instrText>
        </w:r>
        <w:r>
          <w:fldChar w:fldCharType="end"/>
        </w:r>
      </w:hyperlink>
    </w:p>
    <w:p>
      <w:pPr>
        <w:tabs>
          <w:tab w:val="right" w:leader="dot" w:pos="9062"/>
        </w:tabs>
        <w:ind w:left="440"/>
      </w:pPr>
      <w:hyperlink w:anchor="_Toc1442" w:history="1">
        <w:r>
          <w:rPr>
            <w:rFonts w:ascii="IRNazanin" w:hAnsi="IRNazanin" w:eastAsia="IRNazanin" w:cs="IRNazanin"/>
            <w:color w:val="111111"/>
            <w:sz w:val="22"/>
            <w:szCs w:val="22"/>
            <w:b w:val="0"/>
            <w:bCs w:val="0"/>
            <w:i w:val="0"/>
            <w:iCs w:val="0"/>
          </w:rPr>
          <w:t>الاشراف على مذاهب الاشراف = اجماع الائمة  الاربعة واختلافهم / فقه / عربی</w:t>
        </w:r>
        <w:r>
          <w:tab/>
        </w:r>
        <w:r>
          <w:fldChar w:fldCharType="begin"/>
        </w:r>
        <w:r>
          <w:instrText xml:space="preserve">PAGEREF 1442 \h</w:instrText>
        </w:r>
        <w:r>
          <w:fldChar w:fldCharType="end"/>
        </w:r>
      </w:hyperlink>
    </w:p>
    <w:p>
      <w:pPr>
        <w:tabs>
          <w:tab w:val="right" w:leader="dot" w:pos="9062"/>
        </w:tabs>
        <w:ind w:left="440"/>
      </w:pPr>
      <w:hyperlink w:anchor="_Toc1443" w:history="1">
        <w:r>
          <w:rPr>
            <w:rFonts w:ascii="IRNazanin" w:hAnsi="IRNazanin" w:eastAsia="IRNazanin" w:cs="IRNazanin"/>
            <w:color w:val="111111"/>
            <w:sz w:val="22"/>
            <w:szCs w:val="22"/>
            <w:b w:val="0"/>
            <w:bCs w:val="0"/>
            <w:i w:val="0"/>
            <w:iCs w:val="0"/>
          </w:rPr>
          <w:t>الاشراف على معرفة الاطراف / حدیث / عربی</w:t>
        </w:r>
        <w:r>
          <w:tab/>
        </w:r>
        <w:r>
          <w:fldChar w:fldCharType="begin"/>
        </w:r>
        <w:r>
          <w:instrText xml:space="preserve">PAGEREF 1443 \h</w:instrText>
        </w:r>
        <w:r>
          <w:fldChar w:fldCharType="end"/>
        </w:r>
      </w:hyperlink>
    </w:p>
    <w:p>
      <w:pPr>
        <w:tabs>
          <w:tab w:val="right" w:leader="dot" w:pos="9062"/>
        </w:tabs>
        <w:ind w:left="440"/>
      </w:pPr>
      <w:hyperlink w:anchor="_Toc1444" w:history="1">
        <w:r>
          <w:rPr>
            <w:rFonts w:ascii="IRNazanin" w:hAnsi="IRNazanin" w:eastAsia="IRNazanin" w:cs="IRNazanin"/>
            <w:color w:val="111111"/>
            <w:sz w:val="22"/>
            <w:szCs w:val="22"/>
            <w:b w:val="0"/>
            <w:bCs w:val="0"/>
            <w:i w:val="0"/>
            <w:iCs w:val="0"/>
          </w:rPr>
          <w:t>الاشراف فى عامة فرايض اهل الاسلام / فقه / عربی</w:t>
        </w:r>
        <w:r>
          <w:tab/>
        </w:r>
        <w:r>
          <w:fldChar w:fldCharType="begin"/>
        </w:r>
        <w:r>
          <w:instrText xml:space="preserve">PAGEREF 1444 \h</w:instrText>
        </w:r>
        <w:r>
          <w:fldChar w:fldCharType="end"/>
        </w:r>
      </w:hyperlink>
    </w:p>
    <w:p>
      <w:pPr>
        <w:tabs>
          <w:tab w:val="right" w:leader="dot" w:pos="9062"/>
        </w:tabs>
        <w:ind w:left="440"/>
      </w:pPr>
      <w:hyperlink w:anchor="_Toc1445" w:history="1">
        <w:r>
          <w:rPr>
            <w:rFonts w:ascii="IRNazanin" w:hAnsi="IRNazanin" w:eastAsia="IRNazanin" w:cs="IRNazanin"/>
            <w:color w:val="111111"/>
            <w:sz w:val="22"/>
            <w:szCs w:val="22"/>
            <w:b w:val="0"/>
            <w:bCs w:val="0"/>
            <w:i w:val="0"/>
            <w:iCs w:val="0"/>
          </w:rPr>
          <w:t>اشراقات / عرفان و تصوف / فارسی</w:t>
        </w:r>
        <w:r>
          <w:tab/>
        </w:r>
        <w:r>
          <w:fldChar w:fldCharType="begin"/>
        </w:r>
        <w:r>
          <w:instrText xml:space="preserve">PAGEREF 1445 \h</w:instrText>
        </w:r>
        <w:r>
          <w:fldChar w:fldCharType="end"/>
        </w:r>
      </w:hyperlink>
    </w:p>
    <w:p>
      <w:pPr>
        <w:tabs>
          <w:tab w:val="right" w:leader="dot" w:pos="9062"/>
        </w:tabs>
        <w:ind w:left="440"/>
      </w:pPr>
      <w:hyperlink w:anchor="_Toc1446" w:history="1">
        <w:r>
          <w:rPr>
            <w:rFonts w:ascii="IRNazanin" w:hAnsi="IRNazanin" w:eastAsia="IRNazanin" w:cs="IRNazanin"/>
            <w:color w:val="111111"/>
            <w:sz w:val="22"/>
            <w:szCs w:val="22"/>
            <w:b w:val="0"/>
            <w:bCs w:val="0"/>
            <w:i w:val="0"/>
            <w:iCs w:val="0"/>
          </w:rPr>
          <w:t>اشراقات / بهائیت / فارسی</w:t>
        </w:r>
        <w:r>
          <w:tab/>
        </w:r>
        <w:r>
          <w:fldChar w:fldCharType="begin"/>
        </w:r>
        <w:r>
          <w:instrText xml:space="preserve">PAGEREF 1446 \h</w:instrText>
        </w:r>
        <w:r>
          <w:fldChar w:fldCharType="end"/>
        </w:r>
      </w:hyperlink>
    </w:p>
    <w:p>
      <w:pPr>
        <w:tabs>
          <w:tab w:val="right" w:leader="dot" w:pos="9062"/>
        </w:tabs>
        <w:ind w:left="440"/>
      </w:pPr>
      <w:hyperlink w:anchor="_Toc1447" w:history="1">
        <w:r>
          <w:rPr>
            <w:rFonts w:ascii="IRNazanin" w:hAnsi="IRNazanin" w:eastAsia="IRNazanin" w:cs="IRNazanin"/>
            <w:color w:val="111111"/>
            <w:sz w:val="22"/>
            <w:szCs w:val="22"/>
            <w:b w:val="0"/>
            <w:bCs w:val="0"/>
            <w:i w:val="0"/>
            <w:iCs w:val="0"/>
          </w:rPr>
          <w:t>اشراقات الرضوية / فلسفه / عربي</w:t>
        </w:r>
        <w:r>
          <w:tab/>
        </w:r>
        <w:r>
          <w:fldChar w:fldCharType="begin"/>
        </w:r>
        <w:r>
          <w:instrText xml:space="preserve">PAGEREF 1447 \h</w:instrText>
        </w:r>
        <w:r>
          <w:fldChar w:fldCharType="end"/>
        </w:r>
      </w:hyperlink>
    </w:p>
    <w:p>
      <w:pPr>
        <w:tabs>
          <w:tab w:val="right" w:leader="dot" w:pos="9062"/>
        </w:tabs>
        <w:ind w:left="440"/>
      </w:pPr>
      <w:hyperlink w:anchor="_Toc1448" w:history="1">
        <w:r>
          <w:rPr>
            <w:rFonts w:ascii="IRNazanin" w:hAnsi="IRNazanin" w:eastAsia="IRNazanin" w:cs="IRNazanin"/>
            <w:color w:val="111111"/>
            <w:sz w:val="22"/>
            <w:szCs w:val="22"/>
            <w:b w:val="0"/>
            <w:bCs w:val="0"/>
            <w:i w:val="0"/>
            <w:iCs w:val="0"/>
          </w:rPr>
          <w:t>اشراق الاصباح فى مناقب الخمسة الاشباح / فضايل و  مناقب - عربی</w:t>
        </w:r>
        <w:r>
          <w:tab/>
        </w:r>
        <w:r>
          <w:fldChar w:fldCharType="begin"/>
        </w:r>
        <w:r>
          <w:instrText xml:space="preserve">PAGEREF 1448 \h</w:instrText>
        </w:r>
        <w:r>
          <w:fldChar w:fldCharType="end"/>
        </w:r>
      </w:hyperlink>
    </w:p>
    <w:p>
      <w:pPr>
        <w:tabs>
          <w:tab w:val="right" w:leader="dot" w:pos="9062"/>
        </w:tabs>
        <w:ind w:left="440"/>
      </w:pPr>
      <w:hyperlink w:anchor="_Toc1449" w:history="1">
        <w:r>
          <w:rPr>
            <w:rFonts w:ascii="IRNazanin" w:hAnsi="IRNazanin" w:eastAsia="IRNazanin" w:cs="IRNazanin"/>
            <w:color w:val="111111"/>
            <w:sz w:val="22"/>
            <w:szCs w:val="22"/>
            <w:b w:val="0"/>
            <w:bCs w:val="0"/>
            <w:i w:val="0"/>
            <w:iCs w:val="0"/>
          </w:rPr>
          <w:t>اشراق الانوار في علم الاحكام / هیئت / فارسی</w:t>
        </w:r>
        <w:r>
          <w:tab/>
        </w:r>
        <w:r>
          <w:fldChar w:fldCharType="begin"/>
        </w:r>
        <w:r>
          <w:instrText xml:space="preserve">PAGEREF 1449 \h</w:instrText>
        </w:r>
        <w:r>
          <w:fldChar w:fldCharType="end"/>
        </w:r>
      </w:hyperlink>
    </w:p>
    <w:p>
      <w:pPr>
        <w:tabs>
          <w:tab w:val="right" w:leader="dot" w:pos="9062"/>
        </w:tabs>
        <w:ind w:left="440"/>
      </w:pPr>
      <w:hyperlink w:anchor="_Toc1450" w:history="1">
        <w:r>
          <w:rPr>
            <w:rFonts w:ascii="IRNazanin" w:hAnsi="IRNazanin" w:eastAsia="IRNazanin" w:cs="IRNazanin"/>
            <w:color w:val="111111"/>
            <w:sz w:val="22"/>
            <w:szCs w:val="22"/>
            <w:b w:val="0"/>
            <w:bCs w:val="0"/>
            <w:i w:val="0"/>
            <w:iCs w:val="0"/>
          </w:rPr>
          <w:t>اشراق البدور / هیئت / عربي</w:t>
        </w:r>
        <w:r>
          <w:tab/>
        </w:r>
        <w:r>
          <w:fldChar w:fldCharType="begin"/>
        </w:r>
        <w:r>
          <w:instrText xml:space="preserve">PAGEREF 1450 \h</w:instrText>
        </w:r>
        <w:r>
          <w:fldChar w:fldCharType="end"/>
        </w:r>
      </w:hyperlink>
    </w:p>
    <w:p>
      <w:pPr>
        <w:tabs>
          <w:tab w:val="right" w:leader="dot" w:pos="9062"/>
        </w:tabs>
        <w:ind w:left="440"/>
      </w:pPr>
      <w:hyperlink w:anchor="_Toc1451" w:history="1">
        <w:r>
          <w:rPr>
            <w:rFonts w:ascii="IRNazanin" w:hAnsi="IRNazanin" w:eastAsia="IRNazanin" w:cs="IRNazanin"/>
            <w:color w:val="111111"/>
            <w:sz w:val="22"/>
            <w:szCs w:val="22"/>
            <w:b w:val="0"/>
            <w:bCs w:val="0"/>
            <w:i w:val="0"/>
            <w:iCs w:val="0"/>
          </w:rPr>
          <w:t>اشراق التواريخ - تلخيص التواريخ / تاريخ / عربي</w:t>
        </w:r>
        <w:r>
          <w:tab/>
        </w:r>
        <w:r>
          <w:fldChar w:fldCharType="begin"/>
        </w:r>
        <w:r>
          <w:instrText xml:space="preserve">PAGEREF 1451 \h</w:instrText>
        </w:r>
        <w:r>
          <w:fldChar w:fldCharType="end"/>
        </w:r>
      </w:hyperlink>
    </w:p>
    <w:p>
      <w:pPr>
        <w:tabs>
          <w:tab w:val="right" w:leader="dot" w:pos="9062"/>
        </w:tabs>
        <w:ind w:left="440"/>
      </w:pPr>
      <w:hyperlink w:anchor="_Toc1452" w:history="1">
        <w:r>
          <w:rPr>
            <w:rFonts w:ascii="IRNazanin" w:hAnsi="IRNazanin" w:eastAsia="IRNazanin" w:cs="IRNazanin"/>
            <w:color w:val="111111"/>
            <w:sz w:val="22"/>
            <w:szCs w:val="22"/>
            <w:b w:val="0"/>
            <w:bCs w:val="0"/>
            <w:i w:val="0"/>
            <w:iCs w:val="0"/>
          </w:rPr>
          <w:t>اشراق الحق من مطلع الصدق / کلام و اعتقادات / عربی</w:t>
        </w:r>
        <w:r>
          <w:tab/>
        </w:r>
        <w:r>
          <w:fldChar w:fldCharType="begin"/>
        </w:r>
        <w:r>
          <w:instrText xml:space="preserve">PAGEREF 1452 \h</w:instrText>
        </w:r>
        <w:r>
          <w:fldChar w:fldCharType="end"/>
        </w:r>
      </w:hyperlink>
    </w:p>
    <w:p>
      <w:pPr>
        <w:tabs>
          <w:tab w:val="right" w:leader="dot" w:pos="9062"/>
        </w:tabs>
        <w:ind w:left="440"/>
      </w:pPr>
      <w:hyperlink w:anchor="_Toc1453" w:history="1">
        <w:r>
          <w:rPr>
            <w:rFonts w:ascii="IRNazanin" w:hAnsi="IRNazanin" w:eastAsia="IRNazanin" w:cs="IRNazanin"/>
            <w:color w:val="111111"/>
            <w:sz w:val="22"/>
            <w:szCs w:val="22"/>
            <w:b w:val="0"/>
            <w:bCs w:val="0"/>
            <w:i w:val="0"/>
            <w:iCs w:val="0"/>
          </w:rPr>
          <w:t>اشراق السياحة / سفرنامه / فارسی</w:t>
        </w:r>
        <w:r>
          <w:tab/>
        </w:r>
        <w:r>
          <w:fldChar w:fldCharType="begin"/>
        </w:r>
        <w:r>
          <w:instrText xml:space="preserve">PAGEREF 1453 \h</w:instrText>
        </w:r>
        <w:r>
          <w:fldChar w:fldCharType="end"/>
        </w:r>
      </w:hyperlink>
    </w:p>
    <w:p>
      <w:pPr>
        <w:tabs>
          <w:tab w:val="right" w:leader="dot" w:pos="9062"/>
        </w:tabs>
        <w:ind w:left="440"/>
      </w:pPr>
      <w:hyperlink w:anchor="_Toc1454" w:history="1">
        <w:r>
          <w:rPr>
            <w:rFonts w:ascii="IRNazanin" w:hAnsi="IRNazanin" w:eastAsia="IRNazanin" w:cs="IRNazanin"/>
            <w:color w:val="111111"/>
            <w:sz w:val="22"/>
            <w:szCs w:val="22"/>
            <w:b w:val="0"/>
            <w:bCs w:val="0"/>
            <w:i w:val="0"/>
            <w:iCs w:val="0"/>
          </w:rPr>
          <w:t>الاشراق في مطلع الاحقاق / کلام و اعتقادات / عربی</w:t>
        </w:r>
        <w:r>
          <w:tab/>
        </w:r>
        <w:r>
          <w:fldChar w:fldCharType="begin"/>
        </w:r>
        <w:r>
          <w:instrText xml:space="preserve">PAGEREF 1454 \h</w:instrText>
        </w:r>
        <w:r>
          <w:fldChar w:fldCharType="end"/>
        </w:r>
      </w:hyperlink>
    </w:p>
    <w:p>
      <w:pPr>
        <w:tabs>
          <w:tab w:val="right" w:leader="dot" w:pos="9062"/>
        </w:tabs>
        <w:ind w:left="440"/>
      </w:pPr>
      <w:hyperlink w:anchor="_Toc1455" w:history="1">
        <w:r>
          <w:rPr>
            <w:rFonts w:ascii="IRNazanin" w:hAnsi="IRNazanin" w:eastAsia="IRNazanin" w:cs="IRNazanin"/>
            <w:color w:val="111111"/>
            <w:sz w:val="22"/>
            <w:szCs w:val="22"/>
            <w:b w:val="0"/>
            <w:bCs w:val="0"/>
            <w:i w:val="0"/>
            <w:iCs w:val="0"/>
          </w:rPr>
          <w:t>اشراق اللاهوت فى شرح كتاب الياقوت / كلام و  اعتقادات / عربی</w:t>
        </w:r>
        <w:r>
          <w:tab/>
        </w:r>
        <w:r>
          <w:fldChar w:fldCharType="begin"/>
        </w:r>
        <w:r>
          <w:instrText xml:space="preserve">PAGEREF 1455 \h</w:instrText>
        </w:r>
        <w:r>
          <w:fldChar w:fldCharType="end"/>
        </w:r>
      </w:hyperlink>
    </w:p>
    <w:p>
      <w:pPr>
        <w:tabs>
          <w:tab w:val="right" w:leader="dot" w:pos="9062"/>
        </w:tabs>
        <w:ind w:left="440"/>
      </w:pPr>
      <w:hyperlink w:anchor="_Toc1456" w:history="1">
        <w:r>
          <w:rPr>
            <w:rFonts w:ascii="IRNazanin" w:hAnsi="IRNazanin" w:eastAsia="IRNazanin" w:cs="IRNazanin"/>
            <w:color w:val="111111"/>
            <w:sz w:val="22"/>
            <w:szCs w:val="22"/>
            <w:b w:val="0"/>
            <w:bCs w:val="0"/>
            <w:i w:val="0"/>
            <w:iCs w:val="0"/>
          </w:rPr>
          <w:t>اشراق اللاهوت فى نقد شرح الياقوت = شرح انوار  الملكوت في شرح الياقوت / کلام و اعتقادات / عربی</w:t>
        </w:r>
        <w:r>
          <w:tab/>
        </w:r>
        <w:r>
          <w:fldChar w:fldCharType="begin"/>
        </w:r>
        <w:r>
          <w:instrText xml:space="preserve">PAGEREF 1456 \h</w:instrText>
        </w:r>
        <w:r>
          <w:fldChar w:fldCharType="end"/>
        </w:r>
      </w:hyperlink>
    </w:p>
    <w:p>
      <w:pPr>
        <w:tabs>
          <w:tab w:val="right" w:leader="dot" w:pos="9062"/>
        </w:tabs>
        <w:ind w:left="440"/>
      </w:pPr>
      <w:hyperlink w:anchor="_Toc1457" w:history="1">
        <w:r>
          <w:rPr>
            <w:rFonts w:ascii="IRNazanin" w:hAnsi="IRNazanin" w:eastAsia="IRNazanin" w:cs="IRNazanin"/>
            <w:color w:val="111111"/>
            <w:sz w:val="22"/>
            <w:szCs w:val="22"/>
            <w:b w:val="0"/>
            <w:bCs w:val="0"/>
            <w:i w:val="0"/>
            <w:iCs w:val="0"/>
          </w:rPr>
          <w:t>اشراق النيرين / عرفان و تصوف / فارسی</w:t>
        </w:r>
        <w:r>
          <w:tab/>
        </w:r>
        <w:r>
          <w:fldChar w:fldCharType="begin"/>
        </w:r>
        <w:r>
          <w:instrText xml:space="preserve">PAGEREF 1457 \h</w:instrText>
        </w:r>
        <w:r>
          <w:fldChar w:fldCharType="end"/>
        </w:r>
      </w:hyperlink>
    </w:p>
    <w:p>
      <w:pPr>
        <w:tabs>
          <w:tab w:val="right" w:leader="dot" w:pos="9062"/>
        </w:tabs>
        <w:ind w:left="440"/>
      </w:pPr>
      <w:hyperlink w:anchor="_Toc1458" w:history="1">
        <w:r>
          <w:rPr>
            <w:rFonts w:ascii="IRNazanin" w:hAnsi="IRNazanin" w:eastAsia="IRNazanin" w:cs="IRNazanin"/>
            <w:color w:val="111111"/>
            <w:sz w:val="22"/>
            <w:szCs w:val="22"/>
            <w:b w:val="0"/>
            <w:bCs w:val="0"/>
            <w:i w:val="0"/>
            <w:iCs w:val="0"/>
          </w:rPr>
          <w:t>اشراق هياكل النور لكشف ظلمات شواكل الغرور  / فلسفه / عربی</w:t>
        </w:r>
        <w:r>
          <w:tab/>
        </w:r>
        <w:r>
          <w:fldChar w:fldCharType="begin"/>
        </w:r>
        <w:r>
          <w:instrText xml:space="preserve">PAGEREF 1458 \h</w:instrText>
        </w:r>
        <w:r>
          <w:fldChar w:fldCharType="end"/>
        </w:r>
      </w:hyperlink>
    </w:p>
    <w:p>
      <w:pPr>
        <w:tabs>
          <w:tab w:val="right" w:leader="dot" w:pos="9062"/>
        </w:tabs>
        <w:ind w:left="440"/>
      </w:pPr>
      <w:hyperlink w:anchor="_Toc1459" w:history="1">
        <w:r>
          <w:rPr>
            <w:rFonts w:ascii="IRNazanin" w:hAnsi="IRNazanin" w:eastAsia="IRNazanin" w:cs="IRNazanin"/>
            <w:color w:val="111111"/>
            <w:sz w:val="22"/>
            <w:szCs w:val="22"/>
            <w:b w:val="0"/>
            <w:bCs w:val="0"/>
            <w:i w:val="0"/>
            <w:iCs w:val="0"/>
          </w:rPr>
          <w:t>اشرف الانشاء = بهجة المصطفی / ادبیات / فارسی</w:t>
        </w:r>
        <w:r>
          <w:tab/>
        </w:r>
        <w:r>
          <w:fldChar w:fldCharType="begin"/>
        </w:r>
        <w:r>
          <w:instrText xml:space="preserve">PAGEREF 1459 \h</w:instrText>
        </w:r>
        <w:r>
          <w:fldChar w:fldCharType="end"/>
        </w:r>
      </w:hyperlink>
    </w:p>
    <w:p>
      <w:pPr>
        <w:tabs>
          <w:tab w:val="right" w:leader="dot" w:pos="9062"/>
        </w:tabs>
        <w:ind w:left="440"/>
      </w:pPr>
      <w:hyperlink w:anchor="_Toc1460" w:history="1">
        <w:r>
          <w:rPr>
            <w:rFonts w:ascii="IRNazanin" w:hAnsi="IRNazanin" w:eastAsia="IRNazanin" w:cs="IRNazanin"/>
            <w:color w:val="111111"/>
            <w:sz w:val="22"/>
            <w:szCs w:val="22"/>
            <w:b w:val="0"/>
            <w:bCs w:val="0"/>
            <w:i w:val="0"/>
            <w:iCs w:val="0"/>
          </w:rPr>
          <w:t>اشرف التواريخ / تاریخ ایران / فارسی</w:t>
        </w:r>
        <w:r>
          <w:tab/>
        </w:r>
        <w:r>
          <w:fldChar w:fldCharType="begin"/>
        </w:r>
        <w:r>
          <w:instrText xml:space="preserve">PAGEREF 1460 \h</w:instrText>
        </w:r>
        <w:r>
          <w:fldChar w:fldCharType="end"/>
        </w:r>
      </w:hyperlink>
    </w:p>
    <w:p>
      <w:pPr>
        <w:tabs>
          <w:tab w:val="right" w:leader="dot" w:pos="9062"/>
        </w:tabs>
        <w:ind w:left="440"/>
      </w:pPr>
      <w:hyperlink w:anchor="_Toc1461" w:history="1">
        <w:r>
          <w:rPr>
            <w:rFonts w:ascii="IRNazanin" w:hAnsi="IRNazanin" w:eastAsia="IRNazanin" w:cs="IRNazanin"/>
            <w:color w:val="111111"/>
            <w:sz w:val="22"/>
            <w:szCs w:val="22"/>
            <w:b w:val="0"/>
            <w:bCs w:val="0"/>
            <w:i w:val="0"/>
            <w:iCs w:val="0"/>
          </w:rPr>
          <w:t>اشرف التواريخ / تاریخ ایران / فارسی</w:t>
        </w:r>
        <w:r>
          <w:tab/>
        </w:r>
        <w:r>
          <w:fldChar w:fldCharType="begin"/>
        </w:r>
        <w:r>
          <w:instrText xml:space="preserve">PAGEREF 1461 \h</w:instrText>
        </w:r>
        <w:r>
          <w:fldChar w:fldCharType="end"/>
        </w:r>
      </w:hyperlink>
    </w:p>
    <w:p>
      <w:pPr>
        <w:tabs>
          <w:tab w:val="right" w:leader="dot" w:pos="9062"/>
        </w:tabs>
        <w:ind w:left="440"/>
      </w:pPr>
      <w:hyperlink w:anchor="_Toc1462" w:history="1">
        <w:r>
          <w:rPr>
            <w:rFonts w:ascii="IRNazanin" w:hAnsi="IRNazanin" w:eastAsia="IRNazanin" w:cs="IRNazanin"/>
            <w:color w:val="111111"/>
            <w:sz w:val="22"/>
            <w:szCs w:val="22"/>
            <w:b w:val="0"/>
            <w:bCs w:val="0"/>
            <w:i w:val="0"/>
            <w:iCs w:val="0"/>
          </w:rPr>
          <w:t>اشرف التواريخ / تاریخ معصومین / فارسی</w:t>
        </w:r>
        <w:r>
          <w:tab/>
        </w:r>
        <w:r>
          <w:fldChar w:fldCharType="begin"/>
        </w:r>
        <w:r>
          <w:instrText xml:space="preserve">PAGEREF 1462 \h</w:instrText>
        </w:r>
        <w:r>
          <w:fldChar w:fldCharType="end"/>
        </w:r>
      </w:hyperlink>
    </w:p>
    <w:p>
      <w:pPr>
        <w:tabs>
          <w:tab w:val="right" w:leader="dot" w:pos="9062"/>
        </w:tabs>
        <w:ind w:left="440"/>
      </w:pPr>
      <w:hyperlink w:anchor="_Toc1463" w:history="1">
        <w:r>
          <w:rPr>
            <w:rFonts w:ascii="IRNazanin" w:hAnsi="IRNazanin" w:eastAsia="IRNazanin" w:cs="IRNazanin"/>
            <w:color w:val="111111"/>
            <w:sz w:val="22"/>
            <w:szCs w:val="22"/>
            <w:b w:val="0"/>
            <w:bCs w:val="0"/>
            <w:i w:val="0"/>
            <w:iCs w:val="0"/>
          </w:rPr>
          <w:t>اشرف المجربات / طب / فارسی</w:t>
        </w:r>
        <w:r>
          <w:tab/>
        </w:r>
        <w:r>
          <w:fldChar w:fldCharType="begin"/>
        </w:r>
        <w:r>
          <w:instrText xml:space="preserve">PAGEREF 1463 \h</w:instrText>
        </w:r>
        <w:r>
          <w:fldChar w:fldCharType="end"/>
        </w:r>
      </w:hyperlink>
    </w:p>
    <w:p>
      <w:pPr>
        <w:tabs>
          <w:tab w:val="right" w:leader="dot" w:pos="9062"/>
        </w:tabs>
        <w:ind w:left="440"/>
      </w:pPr>
      <w:hyperlink w:anchor="_Toc1464" w:history="1">
        <w:r>
          <w:rPr>
            <w:rFonts w:ascii="IRNazanin" w:hAnsi="IRNazanin" w:eastAsia="IRNazanin" w:cs="IRNazanin"/>
            <w:color w:val="111111"/>
            <w:sz w:val="22"/>
            <w:szCs w:val="22"/>
            <w:b w:val="0"/>
            <w:bCs w:val="0"/>
            <w:i w:val="0"/>
            <w:iCs w:val="0"/>
          </w:rPr>
          <w:t>اشرف المحصول / اصول فقه / عربی</w:t>
        </w:r>
        <w:r>
          <w:tab/>
        </w:r>
        <w:r>
          <w:fldChar w:fldCharType="begin"/>
        </w:r>
        <w:r>
          <w:instrText xml:space="preserve">PAGEREF 1464 \h</w:instrText>
        </w:r>
        <w:r>
          <w:fldChar w:fldCharType="end"/>
        </w:r>
      </w:hyperlink>
    </w:p>
    <w:p>
      <w:pPr>
        <w:tabs>
          <w:tab w:val="right" w:leader="dot" w:pos="9062"/>
        </w:tabs>
        <w:ind w:left="440"/>
      </w:pPr>
      <w:hyperlink w:anchor="_Toc1465" w:history="1">
        <w:r>
          <w:rPr>
            <w:rFonts w:ascii="IRNazanin" w:hAnsi="IRNazanin" w:eastAsia="IRNazanin" w:cs="IRNazanin"/>
            <w:color w:val="111111"/>
            <w:sz w:val="22"/>
            <w:szCs w:val="22"/>
            <w:b w:val="0"/>
            <w:bCs w:val="0"/>
            <w:i w:val="0"/>
            <w:iCs w:val="0"/>
          </w:rPr>
          <w:t>اشرف المعجزات / عربي</w:t>
        </w:r>
        <w:r>
          <w:tab/>
        </w:r>
        <w:r>
          <w:fldChar w:fldCharType="begin"/>
        </w:r>
        <w:r>
          <w:instrText xml:space="preserve">PAGEREF 1465 \h</w:instrText>
        </w:r>
        <w:r>
          <w:fldChar w:fldCharType="end"/>
        </w:r>
      </w:hyperlink>
    </w:p>
    <w:p>
      <w:pPr>
        <w:tabs>
          <w:tab w:val="right" w:leader="dot" w:pos="9062"/>
        </w:tabs>
        <w:ind w:left="440"/>
      </w:pPr>
      <w:hyperlink w:anchor="_Toc1466" w:history="1">
        <w:r>
          <w:rPr>
            <w:rFonts w:ascii="IRNazanin" w:hAnsi="IRNazanin" w:eastAsia="IRNazanin" w:cs="IRNazanin"/>
            <w:color w:val="111111"/>
            <w:sz w:val="22"/>
            <w:szCs w:val="22"/>
            <w:b w:val="0"/>
            <w:bCs w:val="0"/>
            <w:i w:val="0"/>
            <w:iCs w:val="0"/>
          </w:rPr>
          <w:t>اشرف المعجزات (ترجمه) / فارسی</w:t>
        </w:r>
        <w:r>
          <w:tab/>
        </w:r>
        <w:r>
          <w:fldChar w:fldCharType="begin"/>
        </w:r>
        <w:r>
          <w:instrText xml:space="preserve">PAGEREF 1466 \h</w:instrText>
        </w:r>
        <w:r>
          <w:fldChar w:fldCharType="end"/>
        </w:r>
      </w:hyperlink>
    </w:p>
    <w:p>
      <w:pPr>
        <w:tabs>
          <w:tab w:val="right" w:leader="dot" w:pos="9062"/>
        </w:tabs>
        <w:ind w:left="440"/>
      </w:pPr>
      <w:hyperlink w:anchor="_Toc1467" w:history="1">
        <w:r>
          <w:rPr>
            <w:rFonts w:ascii="IRNazanin" w:hAnsi="IRNazanin" w:eastAsia="IRNazanin" w:cs="IRNazanin"/>
            <w:color w:val="111111"/>
            <w:sz w:val="22"/>
            <w:szCs w:val="22"/>
            <w:b w:val="0"/>
            <w:bCs w:val="0"/>
            <w:i w:val="0"/>
            <w:iCs w:val="0"/>
          </w:rPr>
          <w:t>اشرف الوسائل الى فهم الشمائل / تاریخ پیامبر اکرم(صلّی اللَّهِ علیه وَ آلِهِ وَ سَلَّمَ )/ عربی</w:t>
        </w:r>
        <w:r>
          <w:tab/>
        </w:r>
        <w:r>
          <w:fldChar w:fldCharType="begin"/>
        </w:r>
        <w:r>
          <w:instrText xml:space="preserve">PAGEREF 1467 \h</w:instrText>
        </w:r>
        <w:r>
          <w:fldChar w:fldCharType="end"/>
        </w:r>
      </w:hyperlink>
    </w:p>
    <w:p>
      <w:pPr>
        <w:tabs>
          <w:tab w:val="right" w:leader="dot" w:pos="9062"/>
        </w:tabs>
        <w:ind w:left="440"/>
      </w:pPr>
      <w:hyperlink w:anchor="_Toc1468" w:history="1">
        <w:r>
          <w:rPr>
            <w:rFonts w:ascii="IRNazanin" w:hAnsi="IRNazanin" w:eastAsia="IRNazanin" w:cs="IRNazanin"/>
            <w:color w:val="111111"/>
            <w:sz w:val="22"/>
            <w:szCs w:val="22"/>
            <w:b w:val="0"/>
            <w:bCs w:val="0"/>
            <w:i w:val="0"/>
            <w:iCs w:val="0"/>
          </w:rPr>
          <w:t>اشرفیات / نحو، شعر / عربی</w:t>
        </w:r>
        <w:r>
          <w:tab/>
        </w:r>
        <w:r>
          <w:fldChar w:fldCharType="begin"/>
        </w:r>
        <w:r>
          <w:instrText xml:space="preserve">PAGEREF 1468 \h</w:instrText>
        </w:r>
        <w:r>
          <w:fldChar w:fldCharType="end"/>
        </w:r>
      </w:hyperlink>
    </w:p>
    <w:p>
      <w:pPr>
        <w:tabs>
          <w:tab w:val="right" w:leader="dot" w:pos="9062"/>
        </w:tabs>
        <w:ind w:left="440"/>
      </w:pPr>
      <w:hyperlink w:anchor="_Toc1469" w:history="1">
        <w:r>
          <w:rPr>
            <w:rFonts w:ascii="IRNazanin" w:hAnsi="IRNazanin" w:eastAsia="IRNazanin" w:cs="IRNazanin"/>
            <w:color w:val="111111"/>
            <w:sz w:val="22"/>
            <w:szCs w:val="22"/>
            <w:b w:val="0"/>
            <w:bCs w:val="0"/>
            <w:i w:val="0"/>
            <w:iCs w:val="0"/>
          </w:rPr>
          <w:t>اشرفیه = رد رساله حل اختلاف / کلام و اعتقادات /  فارسی</w:t>
        </w:r>
        <w:r>
          <w:tab/>
        </w:r>
        <w:r>
          <w:fldChar w:fldCharType="begin"/>
        </w:r>
        <w:r>
          <w:instrText xml:space="preserve">PAGEREF 1469 \h</w:instrText>
        </w:r>
        <w:r>
          <w:fldChar w:fldCharType="end"/>
        </w:r>
      </w:hyperlink>
    </w:p>
    <w:p>
      <w:pPr>
        <w:tabs>
          <w:tab w:val="right" w:leader="dot" w:pos="9062"/>
        </w:tabs>
        <w:ind w:left="440"/>
      </w:pPr>
      <w:hyperlink w:anchor="_Toc1470" w:history="1">
        <w:r>
          <w:rPr>
            <w:rFonts w:ascii="IRNazanin" w:hAnsi="IRNazanin" w:eastAsia="IRNazanin" w:cs="IRNazanin"/>
            <w:color w:val="111111"/>
            <w:sz w:val="22"/>
            <w:szCs w:val="22"/>
            <w:b w:val="0"/>
            <w:bCs w:val="0"/>
            <w:i w:val="0"/>
            <w:iCs w:val="0"/>
          </w:rPr>
          <w:t>اشعار / شعر / عربی</w:t>
        </w:r>
        <w:r>
          <w:tab/>
        </w:r>
        <w:r>
          <w:fldChar w:fldCharType="begin"/>
        </w:r>
        <w:r>
          <w:instrText xml:space="preserve">PAGEREF 1470 \h</w:instrText>
        </w:r>
        <w:r>
          <w:fldChar w:fldCharType="end"/>
        </w:r>
      </w:hyperlink>
    </w:p>
    <w:p>
      <w:pPr>
        <w:tabs>
          <w:tab w:val="right" w:leader="dot" w:pos="9062"/>
        </w:tabs>
        <w:ind w:left="440"/>
      </w:pPr>
      <w:hyperlink w:anchor="_Toc1471" w:history="1">
        <w:r>
          <w:rPr>
            <w:rFonts w:ascii="IRNazanin" w:hAnsi="IRNazanin" w:eastAsia="IRNazanin" w:cs="IRNazanin"/>
            <w:color w:val="111111"/>
            <w:sz w:val="22"/>
            <w:szCs w:val="22"/>
            <w:b w:val="0"/>
            <w:bCs w:val="0"/>
            <w:i w:val="0"/>
            <w:iCs w:val="0"/>
          </w:rPr>
          <w:t>اشعار / شعر / اردو</w:t>
        </w:r>
        <w:r>
          <w:tab/>
        </w:r>
        <w:r>
          <w:fldChar w:fldCharType="begin"/>
        </w:r>
        <w:r>
          <w:instrText xml:space="preserve">PAGEREF 1471 \h</w:instrText>
        </w:r>
        <w:r>
          <w:fldChar w:fldCharType="end"/>
        </w:r>
      </w:hyperlink>
    </w:p>
    <w:p>
      <w:pPr>
        <w:tabs>
          <w:tab w:val="right" w:leader="dot" w:pos="9062"/>
        </w:tabs>
        <w:ind w:left="440"/>
      </w:pPr>
      <w:hyperlink w:anchor="_Toc1472" w:history="1">
        <w:r>
          <w:rPr>
            <w:rFonts w:ascii="IRNazanin" w:hAnsi="IRNazanin" w:eastAsia="IRNazanin" w:cs="IRNazanin"/>
            <w:color w:val="111111"/>
            <w:sz w:val="22"/>
            <w:szCs w:val="22"/>
            <w:b w:val="0"/>
            <w:bCs w:val="0"/>
            <w:i w:val="0"/>
            <w:iCs w:val="0"/>
          </w:rPr>
          <w:t>اشعار / شعر / پشتو</w:t>
        </w:r>
        <w:r>
          <w:tab/>
        </w:r>
        <w:r>
          <w:fldChar w:fldCharType="begin"/>
        </w:r>
        <w:r>
          <w:instrText xml:space="preserve">PAGEREF 1472 \h</w:instrText>
        </w:r>
        <w:r>
          <w:fldChar w:fldCharType="end"/>
        </w:r>
      </w:hyperlink>
    </w:p>
    <w:p>
      <w:pPr>
        <w:tabs>
          <w:tab w:val="right" w:leader="dot" w:pos="9062"/>
        </w:tabs>
        <w:ind w:left="440"/>
      </w:pPr>
      <w:hyperlink w:anchor="_Toc1473" w:history="1">
        <w:r>
          <w:rPr>
            <w:rFonts w:ascii="IRNazanin" w:hAnsi="IRNazanin" w:eastAsia="IRNazanin" w:cs="IRNazanin"/>
            <w:color w:val="111111"/>
            <w:sz w:val="22"/>
            <w:szCs w:val="22"/>
            <w:b w:val="0"/>
            <w:bCs w:val="0"/>
            <w:i w:val="0"/>
            <w:iCs w:val="0"/>
          </w:rPr>
          <w:t>اشعار / شعر / ترکی</w:t>
        </w:r>
        <w:r>
          <w:tab/>
        </w:r>
        <w:r>
          <w:fldChar w:fldCharType="begin"/>
        </w:r>
        <w:r>
          <w:instrText xml:space="preserve">PAGEREF 1473 \h</w:instrText>
        </w:r>
        <w:r>
          <w:fldChar w:fldCharType="end"/>
        </w:r>
      </w:hyperlink>
    </w:p>
    <w:p>
      <w:pPr>
        <w:tabs>
          <w:tab w:val="right" w:leader="dot" w:pos="9062"/>
        </w:tabs>
        <w:ind w:left="440"/>
      </w:pPr>
      <w:hyperlink w:anchor="_Toc1474" w:history="1">
        <w:r>
          <w:rPr>
            <w:rFonts w:ascii="IRNazanin" w:hAnsi="IRNazanin" w:eastAsia="IRNazanin" w:cs="IRNazanin"/>
            <w:color w:val="111111"/>
            <w:sz w:val="22"/>
            <w:szCs w:val="22"/>
            <w:b w:val="0"/>
            <w:bCs w:val="0"/>
            <w:i w:val="0"/>
            <w:iCs w:val="0"/>
          </w:rPr>
          <w:t>اشعار / شعر / عربی</w:t>
        </w:r>
        <w:r>
          <w:tab/>
        </w:r>
        <w:r>
          <w:fldChar w:fldCharType="begin"/>
        </w:r>
        <w:r>
          <w:instrText xml:space="preserve">PAGEREF 1474 \h</w:instrText>
        </w:r>
        <w:r>
          <w:fldChar w:fldCharType="end"/>
        </w:r>
      </w:hyperlink>
    </w:p>
    <w:p>
      <w:pPr>
        <w:tabs>
          <w:tab w:val="right" w:leader="dot" w:pos="9062"/>
        </w:tabs>
        <w:ind w:left="440"/>
      </w:pPr>
      <w:hyperlink w:anchor="_Toc1475" w:history="1">
        <w:r>
          <w:rPr>
            <w:rFonts w:ascii="IRNazanin" w:hAnsi="IRNazanin" w:eastAsia="IRNazanin" w:cs="IRNazanin"/>
            <w:color w:val="111111"/>
            <w:sz w:val="22"/>
            <w:szCs w:val="22"/>
            <w:b w:val="0"/>
            <w:bCs w:val="0"/>
            <w:i w:val="0"/>
            <w:iCs w:val="0"/>
          </w:rPr>
          <w:t>اشعار / شعر / فارسی</w:t>
        </w:r>
        <w:r>
          <w:tab/>
        </w:r>
        <w:r>
          <w:fldChar w:fldCharType="begin"/>
        </w:r>
        <w:r>
          <w:instrText xml:space="preserve">PAGEREF 1475 \h</w:instrText>
        </w:r>
        <w:r>
          <w:fldChar w:fldCharType="end"/>
        </w:r>
      </w:hyperlink>
    </w:p>
    <w:p>
      <w:pPr>
        <w:tabs>
          <w:tab w:val="right" w:leader="dot" w:pos="9062"/>
        </w:tabs>
        <w:ind w:left="440"/>
      </w:pPr>
      <w:hyperlink w:anchor="_Toc1476" w:history="1">
        <w:r>
          <w:rPr>
            <w:rFonts w:ascii="IRNazanin" w:hAnsi="IRNazanin" w:eastAsia="IRNazanin" w:cs="IRNazanin"/>
            <w:color w:val="111111"/>
            <w:sz w:val="22"/>
            <w:szCs w:val="22"/>
            <w:b w:val="0"/>
            <w:bCs w:val="0"/>
            <w:i w:val="0"/>
            <w:iCs w:val="0"/>
          </w:rPr>
          <w:t>اشعار / شعر / فارسی و اردواجم</w:t>
        </w:r>
        <w:r>
          <w:tab/>
        </w:r>
        <w:r>
          <w:fldChar w:fldCharType="begin"/>
        </w:r>
        <w:r>
          <w:instrText xml:space="preserve">PAGEREF 1476 \h</w:instrText>
        </w:r>
        <w:r>
          <w:fldChar w:fldCharType="end"/>
        </w:r>
      </w:hyperlink>
    </w:p>
    <w:p>
      <w:pPr>
        <w:tabs>
          <w:tab w:val="right" w:leader="dot" w:pos="9062"/>
        </w:tabs>
        <w:ind w:left="440"/>
      </w:pPr>
      <w:hyperlink w:anchor="_Toc1477" w:history="1">
        <w:r>
          <w:rPr>
            <w:rFonts w:ascii="IRNazanin" w:hAnsi="IRNazanin" w:eastAsia="IRNazanin" w:cs="IRNazanin"/>
            <w:color w:val="111111"/>
            <w:sz w:val="22"/>
            <w:szCs w:val="22"/>
            <w:b w:val="0"/>
            <w:bCs w:val="0"/>
            <w:i w:val="0"/>
            <w:iCs w:val="0"/>
          </w:rPr>
          <w:t>اشعار / شعر / فارسی و ترکی</w:t>
        </w:r>
        <w:r>
          <w:tab/>
        </w:r>
        <w:r>
          <w:fldChar w:fldCharType="begin"/>
        </w:r>
        <w:r>
          <w:instrText xml:space="preserve">PAGEREF 1477 \h</w:instrText>
        </w:r>
        <w:r>
          <w:fldChar w:fldCharType="end"/>
        </w:r>
      </w:hyperlink>
    </w:p>
    <w:p>
      <w:pPr>
        <w:tabs>
          <w:tab w:val="right" w:leader="dot" w:pos="9062"/>
        </w:tabs>
        <w:ind w:left="440"/>
      </w:pPr>
      <w:hyperlink w:anchor="_Toc1478" w:history="1">
        <w:r>
          <w:rPr>
            <w:rFonts w:ascii="IRNazanin" w:hAnsi="IRNazanin" w:eastAsia="IRNazanin" w:cs="IRNazanin"/>
            <w:color w:val="111111"/>
            <w:sz w:val="22"/>
            <w:szCs w:val="22"/>
            <w:b w:val="0"/>
            <w:bCs w:val="0"/>
            <w:i w:val="0"/>
            <w:iCs w:val="0"/>
          </w:rPr>
          <w:t>اشعار / شعر / فارسی و عربی</w:t>
        </w:r>
        <w:r>
          <w:tab/>
        </w:r>
        <w:r>
          <w:fldChar w:fldCharType="begin"/>
        </w:r>
        <w:r>
          <w:instrText xml:space="preserve">PAGEREF 1478 \h</w:instrText>
        </w:r>
        <w:r>
          <w:fldChar w:fldCharType="end"/>
        </w:r>
      </w:hyperlink>
    </w:p>
    <w:p>
      <w:pPr>
        <w:tabs>
          <w:tab w:val="right" w:leader="dot" w:pos="9062"/>
        </w:tabs>
        <w:ind w:left="440"/>
      </w:pPr>
      <w:hyperlink w:anchor="_Toc1479" w:history="1">
        <w:r>
          <w:rPr>
            <w:rFonts w:ascii="IRNazanin" w:hAnsi="IRNazanin" w:eastAsia="IRNazanin" w:cs="IRNazanin"/>
            <w:color w:val="111111"/>
            <w:sz w:val="22"/>
            <w:szCs w:val="22"/>
            <w:b w:val="0"/>
            <w:bCs w:val="0"/>
            <w:i w:val="0"/>
            <w:iCs w:val="0"/>
          </w:rPr>
          <w:t>اشعار / شعر / فارسی، عربی، ترکی</w:t>
        </w:r>
        <w:r>
          <w:tab/>
        </w:r>
        <w:r>
          <w:fldChar w:fldCharType="begin"/>
        </w:r>
        <w:r>
          <w:instrText xml:space="preserve">PAGEREF 1479 \h</w:instrText>
        </w:r>
        <w:r>
          <w:fldChar w:fldCharType="end"/>
        </w:r>
      </w:hyperlink>
    </w:p>
    <w:p>
      <w:pPr>
        <w:tabs>
          <w:tab w:val="right" w:leader="dot" w:pos="9062"/>
        </w:tabs>
        <w:ind w:left="440"/>
      </w:pPr>
      <w:hyperlink w:anchor="_Toc1480" w:history="1">
        <w:r>
          <w:rPr>
            <w:rFonts w:ascii="IRNazanin" w:hAnsi="IRNazanin" w:eastAsia="IRNazanin" w:cs="IRNazanin"/>
            <w:color w:val="111111"/>
            <w:sz w:val="22"/>
            <w:szCs w:val="22"/>
            <w:b w:val="0"/>
            <w:bCs w:val="0"/>
            <w:i w:val="0"/>
            <w:iCs w:val="0"/>
          </w:rPr>
          <w:t>اشعار / شعر / کردی</w:t>
        </w:r>
        <w:r>
          <w:tab/>
        </w:r>
        <w:r>
          <w:fldChar w:fldCharType="begin"/>
        </w:r>
        <w:r>
          <w:instrText xml:space="preserve">PAGEREF 1480 \h</w:instrText>
        </w:r>
        <w:r>
          <w:fldChar w:fldCharType="end"/>
        </w:r>
      </w:hyperlink>
    </w:p>
    <w:p>
      <w:pPr>
        <w:tabs>
          <w:tab w:val="right" w:leader="dot" w:pos="9062"/>
        </w:tabs>
        <w:ind w:left="440"/>
      </w:pPr>
      <w:hyperlink w:anchor="_Toc1481" w:history="1">
        <w:r>
          <w:rPr>
            <w:rFonts w:ascii="IRNazanin" w:hAnsi="IRNazanin" w:eastAsia="IRNazanin" w:cs="IRNazanin"/>
            <w:color w:val="111111"/>
            <w:sz w:val="22"/>
            <w:szCs w:val="22"/>
            <w:b w:val="0"/>
            <w:bCs w:val="0"/>
            <w:i w:val="0"/>
            <w:iCs w:val="0"/>
          </w:rPr>
          <w:t>اشعار / شعر / کردی و فارسی</w:t>
        </w:r>
        <w:r>
          <w:tab/>
        </w:r>
        <w:r>
          <w:fldChar w:fldCharType="begin"/>
        </w:r>
        <w:r>
          <w:instrText xml:space="preserve">PAGEREF 1481 \h</w:instrText>
        </w:r>
        <w:r>
          <w:fldChar w:fldCharType="end"/>
        </w:r>
      </w:hyperlink>
    </w:p>
    <w:p>
      <w:pPr>
        <w:tabs>
          <w:tab w:val="right" w:leader="dot" w:pos="9062"/>
        </w:tabs>
        <w:ind w:left="440"/>
      </w:pPr>
      <w:hyperlink w:anchor="_Toc1482" w:history="1">
        <w:r>
          <w:rPr>
            <w:rFonts w:ascii="IRNazanin" w:hAnsi="IRNazanin" w:eastAsia="IRNazanin" w:cs="IRNazanin"/>
            <w:color w:val="111111"/>
            <w:sz w:val="22"/>
            <w:szCs w:val="22"/>
            <w:b w:val="0"/>
            <w:bCs w:val="0"/>
            <w:i w:val="0"/>
            <w:iCs w:val="0"/>
          </w:rPr>
          <w:t>اشعار با ترجمه) / شعر / عربی</w:t>
        </w:r>
        <w:r>
          <w:tab/>
        </w:r>
        <w:r>
          <w:fldChar w:fldCharType="begin"/>
        </w:r>
        <w:r>
          <w:instrText xml:space="preserve">PAGEREF 1482 \h</w:instrText>
        </w:r>
        <w:r>
          <w:fldChar w:fldCharType="end"/>
        </w:r>
      </w:hyperlink>
    </w:p>
    <w:p>
      <w:pPr>
        <w:tabs>
          <w:tab w:val="right" w:leader="dot" w:pos="9062"/>
        </w:tabs>
        <w:ind w:left="440"/>
      </w:pPr>
      <w:hyperlink w:anchor="_Toc1483" w:history="1">
        <w:r>
          <w:rPr>
            <w:rFonts w:ascii="IRNazanin" w:hAnsi="IRNazanin" w:eastAsia="IRNazanin" w:cs="IRNazanin"/>
            <w:color w:val="111111"/>
            <w:sz w:val="22"/>
            <w:szCs w:val="22"/>
            <w:b w:val="0"/>
            <w:bCs w:val="0"/>
            <w:i w:val="0"/>
            <w:iCs w:val="0"/>
          </w:rPr>
          <w:t>اشعار ابن سینا (ترجمه) / شعر / فارسی</w:t>
        </w:r>
        <w:r>
          <w:tab/>
        </w:r>
        <w:r>
          <w:fldChar w:fldCharType="begin"/>
        </w:r>
        <w:r>
          <w:instrText xml:space="preserve">PAGEREF 1483 \h</w:instrText>
        </w:r>
        <w:r>
          <w:fldChar w:fldCharType="end"/>
        </w:r>
      </w:hyperlink>
    </w:p>
    <w:p>
      <w:pPr>
        <w:tabs>
          <w:tab w:val="right" w:leader="dot" w:pos="9062"/>
        </w:tabs>
        <w:ind w:left="440"/>
      </w:pPr>
      <w:hyperlink w:anchor="_Toc1484" w:history="1">
        <w:r>
          <w:rPr>
            <w:rFonts w:ascii="IRNazanin" w:hAnsi="IRNazanin" w:eastAsia="IRNazanin" w:cs="IRNazanin"/>
            <w:color w:val="111111"/>
            <w:sz w:val="22"/>
            <w:szCs w:val="22"/>
            <w:b w:val="0"/>
            <w:bCs w:val="0"/>
            <w:i w:val="0"/>
            <w:iCs w:val="0"/>
          </w:rPr>
          <w:t>اشعار ابی طالب / شعر / عربی</w:t>
        </w:r>
        <w:r>
          <w:tab/>
        </w:r>
        <w:r>
          <w:fldChar w:fldCharType="begin"/>
        </w:r>
        <w:r>
          <w:instrText xml:space="preserve">PAGEREF 1484 \h</w:instrText>
        </w:r>
        <w:r>
          <w:fldChar w:fldCharType="end"/>
        </w:r>
      </w:hyperlink>
    </w:p>
    <w:p>
      <w:pPr>
        <w:tabs>
          <w:tab w:val="right" w:leader="dot" w:pos="9062"/>
        </w:tabs>
        <w:ind w:left="440"/>
      </w:pPr>
      <w:hyperlink w:anchor="_Toc1485" w:history="1">
        <w:r>
          <w:rPr>
            <w:rFonts w:ascii="IRNazanin" w:hAnsi="IRNazanin" w:eastAsia="IRNazanin" w:cs="IRNazanin"/>
            <w:color w:val="111111"/>
            <w:sz w:val="22"/>
            <w:szCs w:val="22"/>
            <w:b w:val="0"/>
            <w:bCs w:val="0"/>
            <w:i w:val="0"/>
            <w:iCs w:val="0"/>
          </w:rPr>
          <w:t>اشعار اسدی طوسی و فردوسی (منتخب) / شعر /  فارسی</w:t>
        </w:r>
        <w:r>
          <w:tab/>
        </w:r>
        <w:r>
          <w:fldChar w:fldCharType="begin"/>
        </w:r>
        <w:r>
          <w:instrText xml:space="preserve">PAGEREF 1485 \h</w:instrText>
        </w:r>
        <w:r>
          <w:fldChar w:fldCharType="end"/>
        </w:r>
      </w:hyperlink>
    </w:p>
    <w:p>
      <w:pPr>
        <w:tabs>
          <w:tab w:val="right" w:leader="dot" w:pos="9062"/>
        </w:tabs>
        <w:ind w:left="440"/>
      </w:pPr>
      <w:hyperlink w:anchor="_Toc1486" w:history="1">
        <w:r>
          <w:rPr>
            <w:rFonts w:ascii="IRNazanin" w:hAnsi="IRNazanin" w:eastAsia="IRNazanin" w:cs="IRNazanin"/>
            <w:color w:val="111111"/>
            <w:sz w:val="22"/>
            <w:szCs w:val="22"/>
            <w:b w:val="0"/>
            <w:bCs w:val="0"/>
            <w:i w:val="0"/>
            <w:iCs w:val="0"/>
          </w:rPr>
          <w:t>اشعار اسکندرنامه / شعر / فارسی</w:t>
        </w:r>
        <w:r>
          <w:tab/>
        </w:r>
        <w:r>
          <w:fldChar w:fldCharType="begin"/>
        </w:r>
        <w:r>
          <w:instrText xml:space="preserve">PAGEREF 1486 \h</w:instrText>
        </w:r>
        <w:r>
          <w:fldChar w:fldCharType="end"/>
        </w:r>
      </w:hyperlink>
    </w:p>
    <w:p>
      <w:pPr>
        <w:tabs>
          <w:tab w:val="right" w:leader="dot" w:pos="9062"/>
        </w:tabs>
        <w:ind w:left="440"/>
      </w:pPr>
      <w:hyperlink w:anchor="_Toc1487" w:history="1">
        <w:r>
          <w:rPr>
            <w:rFonts w:ascii="IRNazanin" w:hAnsi="IRNazanin" w:eastAsia="IRNazanin" w:cs="IRNazanin"/>
            <w:color w:val="111111"/>
            <w:sz w:val="22"/>
            <w:szCs w:val="22"/>
            <w:b w:val="0"/>
            <w:bCs w:val="0"/>
            <w:i w:val="0"/>
            <w:iCs w:val="0"/>
          </w:rPr>
          <w:t>اشعار الحسن بن علی (علیه السّلام) / شعر / عربی</w:t>
        </w:r>
        <w:r>
          <w:tab/>
        </w:r>
        <w:r>
          <w:fldChar w:fldCharType="begin"/>
        </w:r>
        <w:r>
          <w:instrText xml:space="preserve">PAGEREF 1487 \h</w:instrText>
        </w:r>
        <w:r>
          <w:fldChar w:fldCharType="end"/>
        </w:r>
      </w:hyperlink>
    </w:p>
    <w:p>
      <w:pPr>
        <w:tabs>
          <w:tab w:val="right" w:leader="dot" w:pos="9062"/>
        </w:tabs>
        <w:ind w:left="440"/>
      </w:pPr>
      <w:hyperlink w:anchor="_Toc1488" w:history="1">
        <w:r>
          <w:rPr>
            <w:rFonts w:ascii="IRNazanin" w:hAnsi="IRNazanin" w:eastAsia="IRNazanin" w:cs="IRNazanin"/>
            <w:color w:val="111111"/>
            <w:sz w:val="22"/>
            <w:szCs w:val="22"/>
            <w:b w:val="0"/>
            <w:bCs w:val="0"/>
            <w:i w:val="0"/>
            <w:iCs w:val="0"/>
          </w:rPr>
          <w:t>اشعار روحی کرمانی / شعر / فارسی</w:t>
        </w:r>
        <w:r>
          <w:tab/>
        </w:r>
        <w:r>
          <w:fldChar w:fldCharType="begin"/>
        </w:r>
        <w:r>
          <w:instrText xml:space="preserve">PAGEREF 1488 \h</w:instrText>
        </w:r>
        <w:r>
          <w:fldChar w:fldCharType="end"/>
        </w:r>
      </w:hyperlink>
    </w:p>
    <w:p>
      <w:pPr>
        <w:tabs>
          <w:tab w:val="right" w:leader="dot" w:pos="9062"/>
        </w:tabs>
        <w:ind w:left="440"/>
      </w:pPr>
      <w:hyperlink w:anchor="_Toc1489" w:history="1">
        <w:r>
          <w:rPr>
            <w:rFonts w:ascii="IRNazanin" w:hAnsi="IRNazanin" w:eastAsia="IRNazanin" w:cs="IRNazanin"/>
            <w:color w:val="111111"/>
            <w:sz w:val="22"/>
            <w:szCs w:val="22"/>
            <w:b w:val="0"/>
            <w:bCs w:val="0"/>
            <w:i w:val="0"/>
            <w:iCs w:val="0"/>
          </w:rPr>
          <w:t>الأشعار الشواهد في التفسير الموضح الحدادي /   ادبیات / عربی</w:t>
        </w:r>
        <w:r>
          <w:tab/>
        </w:r>
        <w:r>
          <w:fldChar w:fldCharType="begin"/>
        </w:r>
        <w:r>
          <w:instrText xml:space="preserve">PAGEREF 1489 \h</w:instrText>
        </w:r>
        <w:r>
          <w:fldChar w:fldCharType="end"/>
        </w:r>
      </w:hyperlink>
    </w:p>
    <w:p>
      <w:pPr>
        <w:tabs>
          <w:tab w:val="right" w:leader="dot" w:pos="9062"/>
        </w:tabs>
        <w:ind w:left="440"/>
      </w:pPr>
      <w:hyperlink w:anchor="_Toc1490" w:history="1">
        <w:r>
          <w:rPr>
            <w:rFonts w:ascii="IRNazanin" w:hAnsi="IRNazanin" w:eastAsia="IRNazanin" w:cs="IRNazanin"/>
            <w:color w:val="111111"/>
            <w:sz w:val="22"/>
            <w:szCs w:val="22"/>
            <w:b w:val="0"/>
            <w:bCs w:val="0"/>
            <w:i w:val="0"/>
            <w:iCs w:val="0"/>
          </w:rPr>
          <w:t>الأشعار الشواهد من الطريقة الرضوية / ادبيات / عربي</w:t>
        </w:r>
        <w:r>
          <w:tab/>
        </w:r>
        <w:r>
          <w:fldChar w:fldCharType="begin"/>
        </w:r>
        <w:r>
          <w:instrText xml:space="preserve">PAGEREF 1490 \h</w:instrText>
        </w:r>
        <w:r>
          <w:fldChar w:fldCharType="end"/>
        </w:r>
      </w:hyperlink>
    </w:p>
    <w:p>
      <w:pPr>
        <w:tabs>
          <w:tab w:val="right" w:leader="dot" w:pos="9062"/>
        </w:tabs>
        <w:ind w:left="440"/>
      </w:pPr>
      <w:hyperlink w:anchor="_Toc1491" w:history="1">
        <w:r>
          <w:rPr>
            <w:rFonts w:ascii="IRNazanin" w:hAnsi="IRNazanin" w:eastAsia="IRNazanin" w:cs="IRNazanin"/>
            <w:color w:val="111111"/>
            <w:sz w:val="22"/>
            <w:szCs w:val="22"/>
            <w:b w:val="0"/>
            <w:bCs w:val="0"/>
            <w:i w:val="0"/>
            <w:iCs w:val="0"/>
          </w:rPr>
          <w:t>الاشعار الغريبة / شعر / عربي</w:t>
        </w:r>
        <w:r>
          <w:tab/>
        </w:r>
        <w:r>
          <w:fldChar w:fldCharType="begin"/>
        </w:r>
        <w:r>
          <w:instrText xml:space="preserve">PAGEREF 1491 \h</w:instrText>
        </w:r>
        <w:r>
          <w:fldChar w:fldCharType="end"/>
        </w:r>
      </w:hyperlink>
    </w:p>
    <w:p>
      <w:pPr>
        <w:tabs>
          <w:tab w:val="right" w:leader="dot" w:pos="9062"/>
        </w:tabs>
        <w:ind w:left="440"/>
      </w:pPr>
      <w:hyperlink w:anchor="_Toc1492" w:history="1">
        <w:r>
          <w:rPr>
            <w:rFonts w:ascii="IRNazanin" w:hAnsi="IRNazanin" w:eastAsia="IRNazanin" w:cs="IRNazanin"/>
            <w:color w:val="111111"/>
            <w:sz w:val="22"/>
            <w:szCs w:val="22"/>
            <w:b w:val="0"/>
            <w:bCs w:val="0"/>
            <w:i w:val="0"/>
            <w:iCs w:val="0"/>
          </w:rPr>
          <w:t>اشعار تذکره شعرا (منتخب) = مشوش نامه / شعر / فارسی</w:t>
        </w:r>
        <w:r>
          <w:tab/>
        </w:r>
        <w:r>
          <w:fldChar w:fldCharType="begin"/>
        </w:r>
        <w:r>
          <w:instrText xml:space="preserve">PAGEREF 1492 \h</w:instrText>
        </w:r>
        <w:r>
          <w:fldChar w:fldCharType="end"/>
        </w:r>
      </w:hyperlink>
    </w:p>
    <w:p>
      <w:pPr>
        <w:tabs>
          <w:tab w:val="right" w:leader="dot" w:pos="9062"/>
        </w:tabs>
        <w:ind w:left="440"/>
      </w:pPr>
      <w:hyperlink w:anchor="_Toc1493" w:history="1">
        <w:r>
          <w:rPr>
            <w:rFonts w:ascii="IRNazanin" w:hAnsi="IRNazanin" w:eastAsia="IRNazanin" w:cs="IRNazanin"/>
            <w:color w:val="111111"/>
            <w:sz w:val="22"/>
            <w:szCs w:val="22"/>
            <w:b w:val="0"/>
            <w:bCs w:val="0"/>
            <w:i w:val="0"/>
            <w:iCs w:val="0"/>
          </w:rPr>
          <w:t>اشعار حضرت ابوطالب (رساله) / شعر / عربی</w:t>
        </w:r>
        <w:r>
          <w:tab/>
        </w:r>
        <w:r>
          <w:fldChar w:fldCharType="begin"/>
        </w:r>
        <w:r>
          <w:instrText xml:space="preserve">PAGEREF 1493 \h</w:instrText>
        </w:r>
        <w:r>
          <w:fldChar w:fldCharType="end"/>
        </w:r>
      </w:hyperlink>
    </w:p>
    <w:p>
      <w:pPr>
        <w:tabs>
          <w:tab w:val="right" w:leader="dot" w:pos="9062"/>
        </w:tabs>
        <w:ind w:left="440"/>
      </w:pPr>
      <w:hyperlink w:anchor="_Toc1494" w:history="1">
        <w:r>
          <w:rPr>
            <w:rFonts w:ascii="IRNazanin" w:hAnsi="IRNazanin" w:eastAsia="IRNazanin" w:cs="IRNazanin"/>
            <w:color w:val="111111"/>
            <w:sz w:val="22"/>
            <w:szCs w:val="22"/>
            <w:b w:val="0"/>
            <w:bCs w:val="0"/>
            <w:i w:val="0"/>
            <w:iCs w:val="0"/>
          </w:rPr>
          <w:t>اشعار در مدح محمد علوی / شعر / فارسی</w:t>
        </w:r>
        <w:r>
          <w:tab/>
        </w:r>
        <w:r>
          <w:fldChar w:fldCharType="begin"/>
        </w:r>
        <w:r>
          <w:instrText xml:space="preserve">PAGEREF 1494 \h</w:instrText>
        </w:r>
        <w:r>
          <w:fldChar w:fldCharType="end"/>
        </w:r>
      </w:hyperlink>
    </w:p>
    <w:p>
      <w:pPr>
        <w:tabs>
          <w:tab w:val="right" w:leader="dot" w:pos="9062"/>
        </w:tabs>
        <w:ind w:left="440"/>
      </w:pPr>
      <w:hyperlink w:anchor="_Toc1495" w:history="1">
        <w:r>
          <w:rPr>
            <w:rFonts w:ascii="IRNazanin" w:hAnsi="IRNazanin" w:eastAsia="IRNazanin" w:cs="IRNazanin"/>
            <w:color w:val="111111"/>
            <w:sz w:val="22"/>
            <w:szCs w:val="22"/>
            <w:b w:val="0"/>
            <w:bCs w:val="0"/>
            <w:i w:val="0"/>
            <w:iCs w:val="0"/>
          </w:rPr>
          <w:t>اشعار (دیباچه) / ادبیات / فارسی</w:t>
        </w:r>
        <w:r>
          <w:tab/>
        </w:r>
        <w:r>
          <w:fldChar w:fldCharType="begin"/>
        </w:r>
        <w:r>
          <w:instrText xml:space="preserve">PAGEREF 1495 \h</w:instrText>
        </w:r>
        <w:r>
          <w:fldChar w:fldCharType="end"/>
        </w:r>
      </w:hyperlink>
    </w:p>
    <w:p>
      <w:pPr>
        <w:tabs>
          <w:tab w:val="right" w:leader="dot" w:pos="9062"/>
        </w:tabs>
        <w:ind w:left="440"/>
      </w:pPr>
      <w:hyperlink w:anchor="_Toc1496" w:history="1">
        <w:r>
          <w:rPr>
            <w:rFonts w:ascii="IRNazanin" w:hAnsi="IRNazanin" w:eastAsia="IRNazanin" w:cs="IRNazanin"/>
            <w:color w:val="111111"/>
            <w:sz w:val="22"/>
            <w:szCs w:val="22"/>
            <w:b w:val="0"/>
            <w:bCs w:val="0"/>
            <w:i w:val="0"/>
            <w:iCs w:val="0"/>
          </w:rPr>
          <w:t>اشعار «ز منزلات هوس گر برون نهی قدمی» / شـعر / فارسی</w:t>
        </w:r>
        <w:r>
          <w:tab/>
        </w:r>
        <w:r>
          <w:fldChar w:fldCharType="begin"/>
        </w:r>
        <w:r>
          <w:instrText xml:space="preserve">PAGEREF 1496 \h</w:instrText>
        </w:r>
        <w:r>
          <w:fldChar w:fldCharType="end"/>
        </w:r>
      </w:hyperlink>
    </w:p>
    <w:p>
      <w:pPr>
        <w:tabs>
          <w:tab w:val="right" w:leader="dot" w:pos="9062"/>
        </w:tabs>
        <w:ind w:left="440"/>
      </w:pPr>
      <w:hyperlink w:anchor="_Toc1497" w:history="1">
        <w:r>
          <w:rPr>
            <w:rFonts w:ascii="IRNazanin" w:hAnsi="IRNazanin" w:eastAsia="IRNazanin" w:cs="IRNazanin"/>
            <w:color w:val="111111"/>
            <w:sz w:val="22"/>
            <w:szCs w:val="22"/>
            <w:b w:val="0"/>
            <w:bCs w:val="0"/>
            <w:i w:val="0"/>
            <w:iCs w:val="0"/>
          </w:rPr>
          <w:t>اشعار شعرای اربعه / شعر / عربی</w:t>
        </w:r>
        <w:r>
          <w:tab/>
        </w:r>
        <w:r>
          <w:fldChar w:fldCharType="begin"/>
        </w:r>
        <w:r>
          <w:instrText xml:space="preserve">PAGEREF 1497 \h</w:instrText>
        </w:r>
        <w:r>
          <w:fldChar w:fldCharType="end"/>
        </w:r>
      </w:hyperlink>
    </w:p>
    <w:p>
      <w:pPr>
        <w:tabs>
          <w:tab w:val="right" w:leader="dot" w:pos="9062"/>
        </w:tabs>
        <w:ind w:left="440"/>
      </w:pPr>
      <w:hyperlink w:anchor="_Toc1498" w:history="1">
        <w:r>
          <w:rPr>
            <w:rFonts w:ascii="IRNazanin" w:hAnsi="IRNazanin" w:eastAsia="IRNazanin" w:cs="IRNazanin"/>
            <w:color w:val="111111"/>
            <w:sz w:val="22"/>
            <w:szCs w:val="22"/>
            <w:b w:val="0"/>
            <w:bCs w:val="0"/>
            <w:i w:val="0"/>
            <w:iCs w:val="0"/>
          </w:rPr>
          <w:t>اشعار شکاری - مرثیه های شکاری / مراثی، شعر / فارسی</w:t>
        </w:r>
        <w:r>
          <w:tab/>
        </w:r>
        <w:r>
          <w:fldChar w:fldCharType="begin"/>
        </w:r>
        <w:r>
          <w:instrText xml:space="preserve">PAGEREF 1498 \h</w:instrText>
        </w:r>
        <w:r>
          <w:fldChar w:fldCharType="end"/>
        </w:r>
      </w:hyperlink>
    </w:p>
    <w:p>
      <w:pPr>
        <w:tabs>
          <w:tab w:val="right" w:leader="dot" w:pos="9062"/>
        </w:tabs>
        <w:ind w:left="440"/>
      </w:pPr>
      <w:hyperlink w:anchor="_Toc1499" w:history="1">
        <w:r>
          <w:rPr>
            <w:rFonts w:ascii="IRNazanin" w:hAnsi="IRNazanin" w:eastAsia="IRNazanin" w:cs="IRNazanin"/>
            <w:color w:val="111111"/>
            <w:sz w:val="22"/>
            <w:szCs w:val="22"/>
            <w:b w:val="0"/>
            <w:bCs w:val="0"/>
            <w:i w:val="0"/>
            <w:iCs w:val="0"/>
          </w:rPr>
          <w:t>اشعار شمسه و قهقهه / شعر / فارسی</w:t>
        </w:r>
        <w:r>
          <w:tab/>
        </w:r>
        <w:r>
          <w:fldChar w:fldCharType="begin"/>
        </w:r>
        <w:r>
          <w:instrText xml:space="preserve">PAGEREF 1499 \h</w:instrText>
        </w:r>
        <w:r>
          <w:fldChar w:fldCharType="end"/>
        </w:r>
      </w:hyperlink>
    </w:p>
    <w:p>
      <w:pPr>
        <w:tabs>
          <w:tab w:val="right" w:leader="dot" w:pos="9062"/>
        </w:tabs>
        <w:ind w:left="440"/>
      </w:pPr>
      <w:hyperlink w:anchor="_Toc1500" w:history="1">
        <w:r>
          <w:rPr>
            <w:rFonts w:ascii="IRNazanin" w:hAnsi="IRNazanin" w:eastAsia="IRNazanin" w:cs="IRNazanin"/>
            <w:color w:val="111111"/>
            <w:sz w:val="22"/>
            <w:szCs w:val="22"/>
            <w:b w:val="0"/>
            <w:bCs w:val="0"/>
            <w:i w:val="0"/>
            <w:iCs w:val="0"/>
          </w:rPr>
          <w:t>اشعار طغرائی در کیمیا (ترجمه) / کیمیا / فارسی</w:t>
        </w:r>
        <w:r>
          <w:tab/>
        </w:r>
        <w:r>
          <w:fldChar w:fldCharType="begin"/>
        </w:r>
        <w:r>
          <w:instrText xml:space="preserve">PAGEREF 1500 \h</w:instrText>
        </w:r>
        <w:r>
          <w:fldChar w:fldCharType="end"/>
        </w:r>
      </w:hyperlink>
    </w:p>
    <w:p>
      <w:pPr>
        <w:tabs>
          <w:tab w:val="right" w:leader="dot" w:pos="9062"/>
        </w:tabs>
        <w:ind w:left="440"/>
      </w:pPr>
      <w:hyperlink w:anchor="_Toc1501" w:history="1">
        <w:r>
          <w:rPr>
            <w:rFonts w:ascii="IRNazanin" w:hAnsi="IRNazanin" w:eastAsia="IRNazanin" w:cs="IRNazanin"/>
            <w:color w:val="111111"/>
            <w:sz w:val="22"/>
            <w:szCs w:val="22"/>
            <w:b w:val="0"/>
            <w:bCs w:val="0"/>
            <w:i w:val="0"/>
            <w:iCs w:val="0"/>
          </w:rPr>
          <w:t>اشعار فانی / شعر / فارسی، عربی، ترکی</w:t>
        </w:r>
        <w:r>
          <w:tab/>
        </w:r>
        <w:r>
          <w:fldChar w:fldCharType="begin"/>
        </w:r>
        <w:r>
          <w:instrText xml:space="preserve">PAGEREF 1501 \h</w:instrText>
        </w:r>
        <w:r>
          <w:fldChar w:fldCharType="end"/>
        </w:r>
      </w:hyperlink>
    </w:p>
    <w:p>
      <w:pPr>
        <w:tabs>
          <w:tab w:val="right" w:leader="dot" w:pos="9062"/>
        </w:tabs>
        <w:ind w:left="440"/>
      </w:pPr>
      <w:hyperlink w:anchor="_Toc1502" w:history="1">
        <w:r>
          <w:rPr>
            <w:rFonts w:ascii="IRNazanin" w:hAnsi="IRNazanin" w:eastAsia="IRNazanin" w:cs="IRNazanin"/>
            <w:color w:val="111111"/>
            <w:sz w:val="22"/>
            <w:szCs w:val="22"/>
            <w:b w:val="0"/>
            <w:bCs w:val="0"/>
            <w:i w:val="0"/>
            <w:iCs w:val="0"/>
          </w:rPr>
          <w:t>اشعار فتح الله خان کاشانی / شعر / فارسی</w:t>
        </w:r>
        <w:r>
          <w:tab/>
        </w:r>
        <w:r>
          <w:fldChar w:fldCharType="begin"/>
        </w:r>
        <w:r>
          <w:instrText xml:space="preserve">PAGEREF 1502 \h</w:instrText>
        </w:r>
        <w:r>
          <w:fldChar w:fldCharType="end"/>
        </w:r>
      </w:hyperlink>
    </w:p>
    <w:p>
      <w:pPr>
        <w:tabs>
          <w:tab w:val="right" w:leader="dot" w:pos="9062"/>
        </w:tabs>
        <w:ind w:left="440"/>
      </w:pPr>
      <w:hyperlink w:anchor="_Toc1503" w:history="1">
        <w:r>
          <w:rPr>
            <w:rFonts w:ascii="IRNazanin" w:hAnsi="IRNazanin" w:eastAsia="IRNazanin" w:cs="IRNazanin"/>
            <w:color w:val="111111"/>
            <w:sz w:val="22"/>
            <w:szCs w:val="22"/>
            <w:b w:val="0"/>
            <w:bCs w:val="0"/>
            <w:i w:val="0"/>
            <w:iCs w:val="0"/>
          </w:rPr>
          <w:t>اشعار فیاض / شعر / فارسی</w:t>
        </w:r>
        <w:r>
          <w:tab/>
        </w:r>
        <w:r>
          <w:fldChar w:fldCharType="begin"/>
        </w:r>
        <w:r>
          <w:instrText xml:space="preserve">PAGEREF 1503 \h</w:instrText>
        </w:r>
        <w:r>
          <w:fldChar w:fldCharType="end"/>
        </w:r>
      </w:hyperlink>
    </w:p>
    <w:p>
      <w:pPr>
        <w:tabs>
          <w:tab w:val="right" w:leader="dot" w:pos="9062"/>
        </w:tabs>
        <w:ind w:left="440"/>
      </w:pPr>
      <w:hyperlink w:anchor="_Toc1504" w:history="1">
        <w:r>
          <w:rPr>
            <w:rFonts w:ascii="IRNazanin" w:hAnsi="IRNazanin" w:eastAsia="IRNazanin" w:cs="IRNazanin"/>
            <w:color w:val="111111"/>
            <w:sz w:val="22"/>
            <w:szCs w:val="22"/>
            <w:b w:val="0"/>
            <w:bCs w:val="0"/>
            <w:i w:val="0"/>
            <w:iCs w:val="0"/>
          </w:rPr>
          <w:t>اشعار فى الرياض و النهار / ادبیات / عربی</w:t>
        </w:r>
        <w:r>
          <w:tab/>
        </w:r>
        <w:r>
          <w:fldChar w:fldCharType="begin"/>
        </w:r>
        <w:r>
          <w:instrText xml:space="preserve">PAGEREF 1504 \h</w:instrText>
        </w:r>
        <w:r>
          <w:fldChar w:fldCharType="end"/>
        </w:r>
      </w:hyperlink>
    </w:p>
    <w:p>
      <w:pPr>
        <w:tabs>
          <w:tab w:val="right" w:leader="dot" w:pos="9062"/>
        </w:tabs>
        <w:ind w:left="440"/>
      </w:pPr>
      <w:hyperlink w:anchor="_Toc1505" w:history="1">
        <w:r>
          <w:rPr>
            <w:rFonts w:ascii="IRNazanin" w:hAnsi="IRNazanin" w:eastAsia="IRNazanin" w:cs="IRNazanin"/>
            <w:color w:val="111111"/>
            <w:sz w:val="22"/>
            <w:szCs w:val="22"/>
            <w:b w:val="0"/>
            <w:bCs w:val="0"/>
            <w:i w:val="0"/>
            <w:iCs w:val="0"/>
          </w:rPr>
          <w:t>اشعار فى ورود الكتاب من الاحباب / شعر / عربي</w:t>
        </w:r>
        <w:r>
          <w:tab/>
        </w:r>
        <w:r>
          <w:fldChar w:fldCharType="begin"/>
        </w:r>
        <w:r>
          <w:instrText xml:space="preserve">PAGEREF 1505 \h</w:instrText>
        </w:r>
        <w:r>
          <w:fldChar w:fldCharType="end"/>
        </w:r>
      </w:hyperlink>
    </w:p>
    <w:p>
      <w:pPr>
        <w:tabs>
          <w:tab w:val="right" w:leader="dot" w:pos="9062"/>
        </w:tabs>
        <w:ind w:left="440"/>
      </w:pPr>
      <w:hyperlink w:anchor="_Toc1506" w:history="1">
        <w:r>
          <w:rPr>
            <w:rFonts w:ascii="IRNazanin" w:hAnsi="IRNazanin" w:eastAsia="IRNazanin" w:cs="IRNazanin"/>
            <w:color w:val="111111"/>
            <w:sz w:val="22"/>
            <w:szCs w:val="22"/>
            <w:b w:val="0"/>
            <w:bCs w:val="0"/>
            <w:i w:val="0"/>
            <w:iCs w:val="0"/>
          </w:rPr>
          <w:t>اشعار کتاب رموز حمزه / شعر / فارسی</w:t>
        </w:r>
        <w:r>
          <w:tab/>
        </w:r>
        <w:r>
          <w:fldChar w:fldCharType="begin"/>
        </w:r>
        <w:r>
          <w:instrText xml:space="preserve">PAGEREF 1506 \h</w:instrText>
        </w:r>
        <w:r>
          <w:fldChar w:fldCharType="end"/>
        </w:r>
      </w:hyperlink>
    </w:p>
    <w:p>
      <w:pPr>
        <w:tabs>
          <w:tab w:val="right" w:leader="dot" w:pos="9062"/>
        </w:tabs>
        <w:ind w:left="440"/>
      </w:pPr>
      <w:hyperlink w:anchor="_Toc1507" w:history="1">
        <w:r>
          <w:rPr>
            <w:rFonts w:ascii="IRNazanin" w:hAnsi="IRNazanin" w:eastAsia="IRNazanin" w:cs="IRNazanin"/>
            <w:color w:val="111111"/>
            <w:sz w:val="22"/>
            <w:szCs w:val="22"/>
            <w:b w:val="0"/>
            <w:bCs w:val="0"/>
            <w:i w:val="0"/>
            <w:iCs w:val="0"/>
          </w:rPr>
          <w:t>اشعار (گردآوری) / شعر / عربی</w:t>
        </w:r>
        <w:r>
          <w:tab/>
        </w:r>
        <w:r>
          <w:fldChar w:fldCharType="begin"/>
        </w:r>
        <w:r>
          <w:instrText xml:space="preserve">PAGEREF 1507 \h</w:instrText>
        </w:r>
        <w:r>
          <w:fldChar w:fldCharType="end"/>
        </w:r>
      </w:hyperlink>
    </w:p>
    <w:p>
      <w:pPr>
        <w:tabs>
          <w:tab w:val="right" w:leader="dot" w:pos="9062"/>
        </w:tabs>
        <w:ind w:left="440"/>
      </w:pPr>
      <w:hyperlink w:anchor="_Toc1508" w:history="1">
        <w:r>
          <w:rPr>
            <w:rFonts w:ascii="IRNazanin" w:hAnsi="IRNazanin" w:eastAsia="IRNazanin" w:cs="IRNazanin"/>
            <w:color w:val="111111"/>
            <w:sz w:val="22"/>
            <w:szCs w:val="22"/>
            <w:b w:val="0"/>
            <w:bCs w:val="0"/>
            <w:i w:val="0"/>
            <w:iCs w:val="0"/>
          </w:rPr>
          <w:t>اشعار / شعر / عربی</w:t>
        </w:r>
        <w:r>
          <w:tab/>
        </w:r>
        <w:r>
          <w:fldChar w:fldCharType="begin"/>
        </w:r>
        <w:r>
          <w:instrText xml:space="preserve">PAGEREF 1508 \h</w:instrText>
        </w:r>
        <w:r>
          <w:fldChar w:fldCharType="end"/>
        </w:r>
      </w:hyperlink>
    </w:p>
    <w:p>
      <w:pPr>
        <w:tabs>
          <w:tab w:val="right" w:leader="dot" w:pos="9062"/>
        </w:tabs>
        <w:ind w:left="440"/>
      </w:pPr>
      <w:hyperlink w:anchor="_Toc1509" w:history="1">
        <w:r>
          <w:rPr>
            <w:rFonts w:ascii="IRNazanin" w:hAnsi="IRNazanin" w:eastAsia="IRNazanin" w:cs="IRNazanin"/>
            <w:color w:val="111111"/>
            <w:sz w:val="22"/>
            <w:szCs w:val="22"/>
            <w:b w:val="0"/>
            <w:bCs w:val="0"/>
            <w:i w:val="0"/>
            <w:iCs w:val="0"/>
          </w:rPr>
          <w:t>اشعار (گردآوری) / شعر /عربی</w:t>
        </w:r>
        <w:r>
          <w:tab/>
        </w:r>
        <w:r>
          <w:fldChar w:fldCharType="begin"/>
        </w:r>
        <w:r>
          <w:instrText xml:space="preserve">PAGEREF 1509 \h</w:instrText>
        </w:r>
        <w:r>
          <w:fldChar w:fldCharType="end"/>
        </w:r>
      </w:hyperlink>
    </w:p>
    <w:p>
      <w:pPr>
        <w:tabs>
          <w:tab w:val="right" w:leader="dot" w:pos="9062"/>
        </w:tabs>
        <w:ind w:left="440"/>
      </w:pPr>
      <w:hyperlink w:anchor="_Toc1510" w:history="1">
        <w:r>
          <w:rPr>
            <w:rFonts w:ascii="IRNazanin" w:hAnsi="IRNazanin" w:eastAsia="IRNazanin" w:cs="IRNazanin"/>
            <w:color w:val="111111"/>
            <w:sz w:val="22"/>
            <w:szCs w:val="22"/>
            <w:b w:val="0"/>
            <w:bCs w:val="0"/>
            <w:i w:val="0"/>
            <w:iCs w:val="0"/>
          </w:rPr>
          <w:t>اشعار / شعر / فارسی و عربی</w:t>
        </w:r>
        <w:r>
          <w:tab/>
        </w:r>
        <w:r>
          <w:fldChar w:fldCharType="begin"/>
        </w:r>
        <w:r>
          <w:instrText xml:space="preserve">PAGEREF 1510 \h</w:instrText>
        </w:r>
        <w:r>
          <w:fldChar w:fldCharType="end"/>
        </w:r>
      </w:hyperlink>
    </w:p>
    <w:p>
      <w:pPr>
        <w:tabs>
          <w:tab w:val="right" w:leader="dot" w:pos="9062"/>
        </w:tabs>
        <w:ind w:left="440"/>
      </w:pPr>
      <w:hyperlink w:anchor="_Toc1511" w:history="1">
        <w:r>
          <w:rPr>
            <w:rFonts w:ascii="IRNazanin" w:hAnsi="IRNazanin" w:eastAsia="IRNazanin" w:cs="IRNazanin"/>
            <w:color w:val="111111"/>
            <w:sz w:val="22"/>
            <w:szCs w:val="22"/>
            <w:b w:val="0"/>
            <w:bCs w:val="0"/>
            <w:i w:val="0"/>
            <w:iCs w:val="0"/>
          </w:rPr>
          <w:t>اشعار (گردآوری) / شعر / فارسی</w:t>
        </w:r>
        <w:r>
          <w:tab/>
        </w:r>
        <w:r>
          <w:fldChar w:fldCharType="begin"/>
        </w:r>
        <w:r>
          <w:instrText xml:space="preserve">PAGEREF 1511 \h</w:instrText>
        </w:r>
        <w:r>
          <w:fldChar w:fldCharType="end"/>
        </w:r>
      </w:hyperlink>
    </w:p>
    <w:p>
      <w:pPr>
        <w:tabs>
          <w:tab w:val="right" w:leader="dot" w:pos="9062"/>
        </w:tabs>
        <w:ind w:left="440"/>
      </w:pPr>
      <w:hyperlink w:anchor="_Toc1512" w:history="1">
        <w:r>
          <w:rPr>
            <w:rFonts w:ascii="IRNazanin" w:hAnsi="IRNazanin" w:eastAsia="IRNazanin" w:cs="IRNazanin"/>
            <w:color w:val="111111"/>
            <w:sz w:val="22"/>
            <w:szCs w:val="22"/>
            <w:b w:val="0"/>
            <w:bCs w:val="0"/>
            <w:i w:val="0"/>
            <w:iCs w:val="0"/>
          </w:rPr>
          <w:t>اشعار / شعر / فارسی</w:t>
        </w:r>
        <w:r>
          <w:tab/>
        </w:r>
        <w:r>
          <w:fldChar w:fldCharType="begin"/>
        </w:r>
        <w:r>
          <w:instrText xml:space="preserve">PAGEREF 1512 \h</w:instrText>
        </w:r>
        <w:r>
          <w:fldChar w:fldCharType="end"/>
        </w:r>
      </w:hyperlink>
    </w:p>
    <w:p>
      <w:pPr>
        <w:tabs>
          <w:tab w:val="right" w:leader="dot" w:pos="9062"/>
        </w:tabs>
        <w:ind w:left="440"/>
      </w:pPr>
      <w:hyperlink w:anchor="_Toc1513" w:history="1">
        <w:r>
          <w:rPr>
            <w:rFonts w:ascii="IRNazanin" w:hAnsi="IRNazanin" w:eastAsia="IRNazanin" w:cs="IRNazanin"/>
            <w:color w:val="111111"/>
            <w:sz w:val="22"/>
            <w:szCs w:val="22"/>
            <w:b w:val="0"/>
            <w:bCs w:val="0"/>
            <w:i w:val="0"/>
            <w:iCs w:val="0"/>
          </w:rPr>
          <w:t>اشعار (گردآوری) / شعر / فارسی</w:t>
        </w:r>
        <w:r>
          <w:tab/>
        </w:r>
        <w:r>
          <w:fldChar w:fldCharType="begin"/>
        </w:r>
        <w:r>
          <w:instrText xml:space="preserve">PAGEREF 1513 \h</w:instrText>
        </w:r>
        <w:r>
          <w:fldChar w:fldCharType="end"/>
        </w:r>
      </w:hyperlink>
    </w:p>
    <w:p>
      <w:pPr>
        <w:tabs>
          <w:tab w:val="right" w:leader="dot" w:pos="9062"/>
        </w:tabs>
        <w:ind w:left="440"/>
      </w:pPr>
      <w:hyperlink w:anchor="_Toc1514" w:history="1">
        <w:r>
          <w:rPr>
            <w:rFonts w:ascii="IRNazanin" w:hAnsi="IRNazanin" w:eastAsia="IRNazanin" w:cs="IRNazanin"/>
            <w:color w:val="111111"/>
            <w:sz w:val="22"/>
            <w:szCs w:val="22"/>
            <w:b w:val="0"/>
            <w:bCs w:val="0"/>
            <w:i w:val="0"/>
            <w:iCs w:val="0"/>
          </w:rPr>
          <w:t>اشعار / شعر / فارسی</w:t>
        </w:r>
        <w:r>
          <w:tab/>
        </w:r>
        <w:r>
          <w:fldChar w:fldCharType="begin"/>
        </w:r>
        <w:r>
          <w:instrText xml:space="preserve">PAGEREF 1514 \h</w:instrText>
        </w:r>
        <w:r>
          <w:fldChar w:fldCharType="end"/>
        </w:r>
      </w:hyperlink>
    </w:p>
    <w:p>
      <w:pPr>
        <w:tabs>
          <w:tab w:val="right" w:leader="dot" w:pos="9062"/>
        </w:tabs>
        <w:ind w:left="440"/>
      </w:pPr>
      <w:hyperlink w:anchor="_Toc1515" w:history="1">
        <w:r>
          <w:rPr>
            <w:rFonts w:ascii="IRNazanin" w:hAnsi="IRNazanin" w:eastAsia="IRNazanin" w:cs="IRNazanin"/>
            <w:color w:val="111111"/>
            <w:sz w:val="22"/>
            <w:szCs w:val="22"/>
            <w:b w:val="0"/>
            <w:bCs w:val="0"/>
            <w:i w:val="0"/>
            <w:iCs w:val="0"/>
          </w:rPr>
          <w:t>اشعار / شعر / فارسی</w:t>
        </w:r>
        <w:r>
          <w:tab/>
        </w:r>
        <w:r>
          <w:fldChar w:fldCharType="begin"/>
        </w:r>
        <w:r>
          <w:instrText xml:space="preserve">PAGEREF 1515 \h</w:instrText>
        </w:r>
        <w:r>
          <w:fldChar w:fldCharType="end"/>
        </w:r>
      </w:hyperlink>
    </w:p>
    <w:p>
      <w:pPr>
        <w:tabs>
          <w:tab w:val="right" w:leader="dot" w:pos="9062"/>
        </w:tabs>
        <w:ind w:left="440"/>
      </w:pPr>
      <w:hyperlink w:anchor="_Toc1516" w:history="1">
        <w:r>
          <w:rPr>
            <w:rFonts w:ascii="IRNazanin" w:hAnsi="IRNazanin" w:eastAsia="IRNazanin" w:cs="IRNazanin"/>
            <w:color w:val="111111"/>
            <w:sz w:val="22"/>
            <w:szCs w:val="22"/>
            <w:b w:val="0"/>
            <w:bCs w:val="0"/>
            <w:i w:val="0"/>
            <w:iCs w:val="0"/>
          </w:rPr>
          <w:t>اشعار (گردآوری) / شعر / فارسی</w:t>
        </w:r>
        <w:r>
          <w:tab/>
        </w:r>
        <w:r>
          <w:fldChar w:fldCharType="begin"/>
        </w:r>
        <w:r>
          <w:instrText xml:space="preserve">PAGEREF 1516 \h</w:instrText>
        </w:r>
        <w:r>
          <w:fldChar w:fldCharType="end"/>
        </w:r>
      </w:hyperlink>
    </w:p>
    <w:p>
      <w:pPr>
        <w:tabs>
          <w:tab w:val="right" w:leader="dot" w:pos="9062"/>
        </w:tabs>
        <w:ind w:left="440"/>
      </w:pPr>
      <w:hyperlink w:anchor="_Toc1517" w:history="1">
        <w:r>
          <w:rPr>
            <w:rFonts w:ascii="IRNazanin" w:hAnsi="IRNazanin" w:eastAsia="IRNazanin" w:cs="IRNazanin"/>
            <w:color w:val="111111"/>
            <w:sz w:val="22"/>
            <w:szCs w:val="22"/>
            <w:b w:val="0"/>
            <w:bCs w:val="0"/>
            <w:i w:val="0"/>
            <w:iCs w:val="0"/>
          </w:rPr>
          <w:t>اشعار (گردآوری) / شعر / فارسی</w:t>
        </w:r>
        <w:r>
          <w:tab/>
        </w:r>
        <w:r>
          <w:fldChar w:fldCharType="begin"/>
        </w:r>
        <w:r>
          <w:instrText xml:space="preserve">PAGEREF 1517 \h</w:instrText>
        </w:r>
        <w:r>
          <w:fldChar w:fldCharType="end"/>
        </w:r>
      </w:hyperlink>
    </w:p>
    <w:p>
      <w:pPr>
        <w:tabs>
          <w:tab w:val="right" w:leader="dot" w:pos="9062"/>
        </w:tabs>
        <w:ind w:left="440"/>
      </w:pPr>
      <w:hyperlink w:anchor="_Toc1518" w:history="1">
        <w:r>
          <w:rPr>
            <w:rFonts w:ascii="IRNazanin" w:hAnsi="IRNazanin" w:eastAsia="IRNazanin" w:cs="IRNazanin"/>
            <w:color w:val="111111"/>
            <w:sz w:val="22"/>
            <w:szCs w:val="22"/>
            <w:b w:val="0"/>
            <w:bCs w:val="0"/>
            <w:i w:val="0"/>
            <w:iCs w:val="0"/>
          </w:rPr>
          <w:t>اشعار (گردآوری) / شعر / فارسی</w:t>
        </w:r>
        <w:r>
          <w:tab/>
        </w:r>
        <w:r>
          <w:fldChar w:fldCharType="begin"/>
        </w:r>
        <w:r>
          <w:instrText xml:space="preserve">PAGEREF 1518 \h</w:instrText>
        </w:r>
        <w:r>
          <w:fldChar w:fldCharType="end"/>
        </w:r>
      </w:hyperlink>
    </w:p>
    <w:p>
      <w:pPr>
        <w:tabs>
          <w:tab w:val="right" w:leader="dot" w:pos="9062"/>
        </w:tabs>
        <w:ind w:left="440"/>
      </w:pPr>
      <w:hyperlink w:anchor="_Toc1519" w:history="1">
        <w:r>
          <w:rPr>
            <w:rFonts w:ascii="IRNazanin" w:hAnsi="IRNazanin" w:eastAsia="IRNazanin" w:cs="IRNazanin"/>
            <w:color w:val="111111"/>
            <w:sz w:val="22"/>
            <w:szCs w:val="22"/>
            <w:b w:val="0"/>
            <w:bCs w:val="0"/>
            <w:i w:val="0"/>
            <w:iCs w:val="0"/>
          </w:rPr>
          <w:t>اشعار / شعر / فارسی</w:t>
        </w:r>
        <w:r>
          <w:tab/>
        </w:r>
        <w:r>
          <w:fldChar w:fldCharType="begin"/>
        </w:r>
        <w:r>
          <w:instrText xml:space="preserve">PAGEREF 1519 \h</w:instrText>
        </w:r>
        <w:r>
          <w:fldChar w:fldCharType="end"/>
        </w:r>
      </w:hyperlink>
    </w:p>
    <w:p>
      <w:pPr>
        <w:tabs>
          <w:tab w:val="right" w:leader="dot" w:pos="9062"/>
        </w:tabs>
        <w:ind w:left="440"/>
      </w:pPr>
      <w:hyperlink w:anchor="_Toc1520" w:history="1">
        <w:r>
          <w:rPr>
            <w:rFonts w:ascii="IRNazanin" w:hAnsi="IRNazanin" w:eastAsia="IRNazanin" w:cs="IRNazanin"/>
            <w:color w:val="111111"/>
            <w:sz w:val="22"/>
            <w:szCs w:val="22"/>
            <w:b w:val="0"/>
            <w:bCs w:val="0"/>
            <w:i w:val="0"/>
            <w:iCs w:val="0"/>
          </w:rPr>
          <w:t>اشعار (گردآوری) / شعر / فارسی</w:t>
        </w:r>
        <w:r>
          <w:tab/>
        </w:r>
        <w:r>
          <w:fldChar w:fldCharType="begin"/>
        </w:r>
        <w:r>
          <w:instrText xml:space="preserve">PAGEREF 1520 \h</w:instrText>
        </w:r>
        <w:r>
          <w:fldChar w:fldCharType="end"/>
        </w:r>
      </w:hyperlink>
    </w:p>
    <w:p>
      <w:pPr>
        <w:tabs>
          <w:tab w:val="right" w:leader="dot" w:pos="9062"/>
        </w:tabs>
        <w:ind w:left="440"/>
      </w:pPr>
      <w:hyperlink w:anchor="_Toc1521" w:history="1">
        <w:r>
          <w:rPr>
            <w:rFonts w:ascii="IRNazanin" w:hAnsi="IRNazanin" w:eastAsia="IRNazanin" w:cs="IRNazanin"/>
            <w:color w:val="111111"/>
            <w:sz w:val="22"/>
            <w:szCs w:val="22"/>
            <w:b w:val="0"/>
            <w:bCs w:val="0"/>
            <w:i w:val="0"/>
            <w:iCs w:val="0"/>
          </w:rPr>
          <w:t>اشعار (گردآوری) / شعر / فارسی</w:t>
        </w:r>
        <w:r>
          <w:tab/>
        </w:r>
        <w:r>
          <w:fldChar w:fldCharType="begin"/>
        </w:r>
        <w:r>
          <w:instrText xml:space="preserve">PAGEREF 1521 \h</w:instrText>
        </w:r>
        <w:r>
          <w:fldChar w:fldCharType="end"/>
        </w:r>
      </w:hyperlink>
    </w:p>
    <w:p>
      <w:pPr>
        <w:tabs>
          <w:tab w:val="right" w:leader="dot" w:pos="9062"/>
        </w:tabs>
        <w:ind w:left="440"/>
      </w:pPr>
      <w:hyperlink w:anchor="_Toc1522" w:history="1">
        <w:r>
          <w:rPr>
            <w:rFonts w:ascii="IRNazanin" w:hAnsi="IRNazanin" w:eastAsia="IRNazanin" w:cs="IRNazanin"/>
            <w:color w:val="111111"/>
            <w:sz w:val="22"/>
            <w:szCs w:val="22"/>
            <w:b w:val="0"/>
            <w:bCs w:val="0"/>
            <w:i w:val="0"/>
            <w:iCs w:val="0"/>
          </w:rPr>
          <w:t>اشعار (گردآوری) / شعر / ترکی، فارسی</w:t>
        </w:r>
        <w:r>
          <w:tab/>
        </w:r>
        <w:r>
          <w:fldChar w:fldCharType="begin"/>
        </w:r>
        <w:r>
          <w:instrText xml:space="preserve">PAGEREF 1522 \h</w:instrText>
        </w:r>
        <w:r>
          <w:fldChar w:fldCharType="end"/>
        </w:r>
      </w:hyperlink>
    </w:p>
    <w:p>
      <w:pPr>
        <w:tabs>
          <w:tab w:val="right" w:leader="dot" w:pos="9062"/>
        </w:tabs>
        <w:ind w:left="440"/>
      </w:pPr>
      <w:hyperlink w:anchor="_Toc1523" w:history="1">
        <w:r>
          <w:rPr>
            <w:rFonts w:ascii="IRNazanin" w:hAnsi="IRNazanin" w:eastAsia="IRNazanin" w:cs="IRNazanin"/>
            <w:color w:val="111111"/>
            <w:sz w:val="22"/>
            <w:szCs w:val="22"/>
            <w:b w:val="0"/>
            <w:bCs w:val="0"/>
            <w:i w:val="0"/>
            <w:iCs w:val="0"/>
          </w:rPr>
          <w:t>اشعار (گردآوری) / شعر / فارسی</w:t>
        </w:r>
        <w:r>
          <w:tab/>
        </w:r>
        <w:r>
          <w:fldChar w:fldCharType="begin"/>
        </w:r>
        <w:r>
          <w:instrText xml:space="preserve">PAGEREF 1523 \h</w:instrText>
        </w:r>
        <w:r>
          <w:fldChar w:fldCharType="end"/>
        </w:r>
      </w:hyperlink>
    </w:p>
    <w:p>
      <w:pPr>
        <w:tabs>
          <w:tab w:val="right" w:leader="dot" w:pos="9062"/>
        </w:tabs>
        <w:ind w:left="440"/>
      </w:pPr>
      <w:hyperlink w:anchor="_Toc1524" w:history="1">
        <w:r>
          <w:rPr>
            <w:rFonts w:ascii="IRNazanin" w:hAnsi="IRNazanin" w:eastAsia="IRNazanin" w:cs="IRNazanin"/>
            <w:color w:val="111111"/>
            <w:sz w:val="22"/>
            <w:szCs w:val="22"/>
            <w:b w:val="0"/>
            <w:bCs w:val="0"/>
            <w:i w:val="0"/>
            <w:iCs w:val="0"/>
          </w:rPr>
          <w:t>اشعار (گردآوری) / شعر /عربی</w:t>
        </w:r>
        <w:r>
          <w:tab/>
        </w:r>
        <w:r>
          <w:fldChar w:fldCharType="begin"/>
        </w:r>
        <w:r>
          <w:instrText xml:space="preserve">PAGEREF 1524 \h</w:instrText>
        </w:r>
        <w:r>
          <w:fldChar w:fldCharType="end"/>
        </w:r>
      </w:hyperlink>
    </w:p>
    <w:p>
      <w:pPr>
        <w:tabs>
          <w:tab w:val="right" w:leader="dot" w:pos="9062"/>
        </w:tabs>
        <w:ind w:left="440"/>
      </w:pPr>
      <w:hyperlink w:anchor="_Toc1525" w:history="1">
        <w:r>
          <w:rPr>
            <w:rFonts w:ascii="IRNazanin" w:hAnsi="IRNazanin" w:eastAsia="IRNazanin" w:cs="IRNazanin"/>
            <w:color w:val="111111"/>
            <w:sz w:val="22"/>
            <w:szCs w:val="22"/>
            <w:b w:val="0"/>
            <w:bCs w:val="0"/>
            <w:i w:val="0"/>
            <w:iCs w:val="0"/>
          </w:rPr>
          <w:t>اشعار (گردآوری) / شعر / فارسی</w:t>
        </w:r>
        <w:r>
          <w:tab/>
        </w:r>
        <w:r>
          <w:fldChar w:fldCharType="begin"/>
        </w:r>
        <w:r>
          <w:instrText xml:space="preserve">PAGEREF 1525 \h</w:instrText>
        </w:r>
        <w:r>
          <w:fldChar w:fldCharType="end"/>
        </w:r>
      </w:hyperlink>
    </w:p>
    <w:p>
      <w:pPr>
        <w:tabs>
          <w:tab w:val="right" w:leader="dot" w:pos="9062"/>
        </w:tabs>
        <w:ind w:left="440"/>
      </w:pPr>
      <w:hyperlink w:anchor="_Toc1526" w:history="1">
        <w:r>
          <w:rPr>
            <w:rFonts w:ascii="IRNazanin" w:hAnsi="IRNazanin" w:eastAsia="IRNazanin" w:cs="IRNazanin"/>
            <w:color w:val="111111"/>
            <w:sz w:val="22"/>
            <w:szCs w:val="22"/>
            <w:b w:val="0"/>
            <w:bCs w:val="0"/>
            <w:i w:val="0"/>
            <w:iCs w:val="0"/>
          </w:rPr>
          <w:t>اشعار / شعر / فارسی</w:t>
        </w:r>
        <w:r>
          <w:tab/>
        </w:r>
        <w:r>
          <w:fldChar w:fldCharType="begin"/>
        </w:r>
        <w:r>
          <w:instrText xml:space="preserve">PAGEREF 1526 \h</w:instrText>
        </w:r>
        <w:r>
          <w:fldChar w:fldCharType="end"/>
        </w:r>
      </w:hyperlink>
    </w:p>
    <w:p>
      <w:pPr>
        <w:tabs>
          <w:tab w:val="right" w:leader="dot" w:pos="9062"/>
        </w:tabs>
        <w:ind w:left="440"/>
      </w:pPr>
      <w:hyperlink w:anchor="_Toc1527" w:history="1">
        <w:r>
          <w:rPr>
            <w:rFonts w:ascii="IRNazanin" w:hAnsi="IRNazanin" w:eastAsia="IRNazanin" w:cs="IRNazanin"/>
            <w:color w:val="111111"/>
            <w:sz w:val="22"/>
            <w:szCs w:val="22"/>
            <w:b w:val="0"/>
            <w:bCs w:val="0"/>
            <w:i w:val="0"/>
            <w:iCs w:val="0"/>
          </w:rPr>
          <w:t>اشعار (گردآوری) / شعر /عربی</w:t>
        </w:r>
        <w:r>
          <w:tab/>
        </w:r>
        <w:r>
          <w:fldChar w:fldCharType="begin"/>
        </w:r>
        <w:r>
          <w:instrText xml:space="preserve">PAGEREF 1527 \h</w:instrText>
        </w:r>
        <w:r>
          <w:fldChar w:fldCharType="end"/>
        </w:r>
      </w:hyperlink>
    </w:p>
    <w:p>
      <w:pPr>
        <w:tabs>
          <w:tab w:val="right" w:leader="dot" w:pos="9062"/>
        </w:tabs>
        <w:ind w:left="440"/>
      </w:pPr>
      <w:hyperlink w:anchor="_Toc1528" w:history="1">
        <w:r>
          <w:rPr>
            <w:rFonts w:ascii="IRNazanin" w:hAnsi="IRNazanin" w:eastAsia="IRNazanin" w:cs="IRNazanin"/>
            <w:color w:val="111111"/>
            <w:sz w:val="22"/>
            <w:szCs w:val="22"/>
            <w:b w:val="0"/>
            <w:bCs w:val="0"/>
            <w:i w:val="0"/>
            <w:iCs w:val="0"/>
          </w:rPr>
          <w:t>اشعار (گردآوری) / شعر / فارسی</w:t>
        </w:r>
        <w:r>
          <w:tab/>
        </w:r>
        <w:r>
          <w:fldChar w:fldCharType="begin"/>
        </w:r>
        <w:r>
          <w:instrText xml:space="preserve">PAGEREF 1528 \h</w:instrText>
        </w:r>
        <w:r>
          <w:fldChar w:fldCharType="end"/>
        </w:r>
      </w:hyperlink>
    </w:p>
    <w:p>
      <w:pPr>
        <w:tabs>
          <w:tab w:val="right" w:leader="dot" w:pos="9062"/>
        </w:tabs>
        <w:ind w:left="440"/>
      </w:pPr>
      <w:hyperlink w:anchor="_Toc1529" w:history="1">
        <w:r>
          <w:rPr>
            <w:rFonts w:ascii="IRNazanin" w:hAnsi="IRNazanin" w:eastAsia="IRNazanin" w:cs="IRNazanin"/>
            <w:color w:val="111111"/>
            <w:sz w:val="22"/>
            <w:szCs w:val="22"/>
            <w:b w:val="0"/>
            <w:bCs w:val="0"/>
            <w:i w:val="0"/>
            <w:iCs w:val="0"/>
          </w:rPr>
          <w:t>اشعار (گردآوری) / شعر / عربی</w:t>
        </w:r>
        <w:r>
          <w:tab/>
        </w:r>
        <w:r>
          <w:fldChar w:fldCharType="begin"/>
        </w:r>
        <w:r>
          <w:instrText xml:space="preserve">PAGEREF 1529 \h</w:instrText>
        </w:r>
        <w:r>
          <w:fldChar w:fldCharType="end"/>
        </w:r>
      </w:hyperlink>
    </w:p>
    <w:p>
      <w:pPr>
        <w:tabs>
          <w:tab w:val="right" w:leader="dot" w:pos="9062"/>
        </w:tabs>
        <w:ind w:left="440"/>
      </w:pPr>
      <w:hyperlink w:anchor="_Toc1530" w:history="1">
        <w:r>
          <w:rPr>
            <w:rFonts w:ascii="IRNazanin" w:hAnsi="IRNazanin" w:eastAsia="IRNazanin" w:cs="IRNazanin"/>
            <w:color w:val="111111"/>
            <w:sz w:val="22"/>
            <w:szCs w:val="22"/>
            <w:b w:val="0"/>
            <w:bCs w:val="0"/>
            <w:i w:val="0"/>
            <w:iCs w:val="0"/>
          </w:rPr>
          <w:t>اشعار (گردآوری) / شعر / فارسی</w:t>
        </w:r>
        <w:r>
          <w:tab/>
        </w:r>
        <w:r>
          <w:fldChar w:fldCharType="begin"/>
        </w:r>
        <w:r>
          <w:instrText xml:space="preserve">PAGEREF 1530 \h</w:instrText>
        </w:r>
        <w:r>
          <w:fldChar w:fldCharType="end"/>
        </w:r>
      </w:hyperlink>
    </w:p>
    <w:p>
      <w:pPr>
        <w:tabs>
          <w:tab w:val="right" w:leader="dot" w:pos="9062"/>
        </w:tabs>
        <w:ind w:left="440"/>
      </w:pPr>
      <w:hyperlink w:anchor="_Toc1531" w:history="1">
        <w:r>
          <w:rPr>
            <w:rFonts w:ascii="IRNazanin" w:hAnsi="IRNazanin" w:eastAsia="IRNazanin" w:cs="IRNazanin"/>
            <w:color w:val="111111"/>
            <w:sz w:val="22"/>
            <w:szCs w:val="22"/>
            <w:b w:val="0"/>
            <w:bCs w:val="0"/>
            <w:i w:val="0"/>
            <w:iCs w:val="0"/>
          </w:rPr>
          <w:t>اشعار / شعر / عربی و فارسی</w:t>
        </w:r>
        <w:r>
          <w:tab/>
        </w:r>
        <w:r>
          <w:fldChar w:fldCharType="begin"/>
        </w:r>
        <w:r>
          <w:instrText xml:space="preserve">PAGEREF 1531 \h</w:instrText>
        </w:r>
        <w:r>
          <w:fldChar w:fldCharType="end"/>
        </w:r>
      </w:hyperlink>
    </w:p>
    <w:p>
      <w:pPr>
        <w:tabs>
          <w:tab w:val="right" w:leader="dot" w:pos="9062"/>
        </w:tabs>
        <w:ind w:left="440"/>
      </w:pPr>
      <w:hyperlink w:anchor="_Toc1532" w:history="1">
        <w:r>
          <w:rPr>
            <w:rFonts w:ascii="IRNazanin" w:hAnsi="IRNazanin" w:eastAsia="IRNazanin" w:cs="IRNazanin"/>
            <w:color w:val="111111"/>
            <w:sz w:val="22"/>
            <w:szCs w:val="22"/>
            <w:b w:val="0"/>
            <w:bCs w:val="0"/>
            <w:i w:val="0"/>
            <w:iCs w:val="0"/>
          </w:rPr>
          <w:t>اشعار (گردآوری) / شعر / فارسی</w:t>
        </w:r>
        <w:r>
          <w:tab/>
        </w:r>
        <w:r>
          <w:fldChar w:fldCharType="begin"/>
        </w:r>
        <w:r>
          <w:instrText xml:space="preserve">PAGEREF 1532 \h</w:instrText>
        </w:r>
        <w:r>
          <w:fldChar w:fldCharType="end"/>
        </w:r>
      </w:hyperlink>
    </w:p>
    <w:p>
      <w:pPr>
        <w:tabs>
          <w:tab w:val="right" w:leader="dot" w:pos="9062"/>
        </w:tabs>
        <w:ind w:left="440"/>
      </w:pPr>
      <w:hyperlink w:anchor="_Toc1533" w:history="1">
        <w:r>
          <w:rPr>
            <w:rFonts w:ascii="IRNazanin" w:hAnsi="IRNazanin" w:eastAsia="IRNazanin" w:cs="IRNazanin"/>
            <w:color w:val="111111"/>
            <w:sz w:val="22"/>
            <w:szCs w:val="22"/>
            <w:b w:val="0"/>
            <w:bCs w:val="0"/>
            <w:i w:val="0"/>
            <w:iCs w:val="0"/>
          </w:rPr>
          <w:t>اشعار (گردآوری) / شعر / فارسی</w:t>
        </w:r>
        <w:r>
          <w:tab/>
        </w:r>
        <w:r>
          <w:fldChar w:fldCharType="begin"/>
        </w:r>
        <w:r>
          <w:instrText xml:space="preserve">PAGEREF 1533 \h</w:instrText>
        </w:r>
        <w:r>
          <w:fldChar w:fldCharType="end"/>
        </w:r>
      </w:hyperlink>
    </w:p>
    <w:p>
      <w:pPr>
        <w:tabs>
          <w:tab w:val="right" w:leader="dot" w:pos="9062"/>
        </w:tabs>
        <w:ind w:left="440"/>
      </w:pPr>
      <w:hyperlink w:anchor="_Toc1534" w:history="1">
        <w:r>
          <w:rPr>
            <w:rFonts w:ascii="IRNazanin" w:hAnsi="IRNazanin" w:eastAsia="IRNazanin" w:cs="IRNazanin"/>
            <w:color w:val="111111"/>
            <w:sz w:val="22"/>
            <w:szCs w:val="22"/>
            <w:b w:val="0"/>
            <w:bCs w:val="0"/>
            <w:i w:val="0"/>
            <w:iCs w:val="0"/>
          </w:rPr>
          <w:t>اشعار (گردآوری) / شعر / فارسی</w:t>
        </w:r>
        <w:r>
          <w:tab/>
        </w:r>
        <w:r>
          <w:fldChar w:fldCharType="begin"/>
        </w:r>
        <w:r>
          <w:instrText xml:space="preserve">PAGEREF 1534 \h</w:instrText>
        </w:r>
        <w:r>
          <w:fldChar w:fldCharType="end"/>
        </w:r>
      </w:hyperlink>
    </w:p>
    <w:p>
      <w:pPr>
        <w:tabs>
          <w:tab w:val="right" w:leader="dot" w:pos="9062"/>
        </w:tabs>
        <w:ind w:left="440"/>
      </w:pPr>
      <w:hyperlink w:anchor="_Toc1535" w:history="1">
        <w:r>
          <w:rPr>
            <w:rFonts w:ascii="IRNazanin" w:hAnsi="IRNazanin" w:eastAsia="IRNazanin" w:cs="IRNazanin"/>
            <w:color w:val="111111"/>
            <w:sz w:val="22"/>
            <w:szCs w:val="22"/>
            <w:b w:val="0"/>
            <w:bCs w:val="0"/>
            <w:i w:val="0"/>
            <w:iCs w:val="0"/>
          </w:rPr>
          <w:t>اشعار (گردآوری) / شعر / فارسی</w:t>
        </w:r>
        <w:r>
          <w:tab/>
        </w:r>
        <w:r>
          <w:fldChar w:fldCharType="begin"/>
        </w:r>
        <w:r>
          <w:instrText xml:space="preserve">PAGEREF 1535 \h</w:instrText>
        </w:r>
        <w:r>
          <w:fldChar w:fldCharType="end"/>
        </w:r>
      </w:hyperlink>
    </w:p>
    <w:p>
      <w:pPr>
        <w:tabs>
          <w:tab w:val="right" w:leader="dot" w:pos="9062"/>
        </w:tabs>
        <w:ind w:left="440"/>
      </w:pPr>
      <w:hyperlink w:anchor="_Toc1536" w:history="1">
        <w:r>
          <w:rPr>
            <w:rFonts w:ascii="IRNazanin" w:hAnsi="IRNazanin" w:eastAsia="IRNazanin" w:cs="IRNazanin"/>
            <w:color w:val="111111"/>
            <w:sz w:val="22"/>
            <w:szCs w:val="22"/>
            <w:b w:val="0"/>
            <w:bCs w:val="0"/>
            <w:i w:val="0"/>
            <w:iCs w:val="0"/>
          </w:rPr>
          <w:t>اشعار (گردآوری) / گوناگون / فارسی</w:t>
        </w:r>
        <w:r>
          <w:tab/>
        </w:r>
        <w:r>
          <w:fldChar w:fldCharType="begin"/>
        </w:r>
        <w:r>
          <w:instrText xml:space="preserve">PAGEREF 1536 \h</w:instrText>
        </w:r>
        <w:r>
          <w:fldChar w:fldCharType="end"/>
        </w:r>
      </w:hyperlink>
    </w:p>
    <w:p>
      <w:pPr>
        <w:tabs>
          <w:tab w:val="right" w:leader="dot" w:pos="9062"/>
        </w:tabs>
        <w:ind w:left="440"/>
      </w:pPr>
      <w:hyperlink w:anchor="_Toc1537" w:history="1">
        <w:r>
          <w:rPr>
            <w:rFonts w:ascii="IRNazanin" w:hAnsi="IRNazanin" w:eastAsia="IRNazanin" w:cs="IRNazanin"/>
            <w:color w:val="111111"/>
            <w:sz w:val="22"/>
            <w:szCs w:val="22"/>
            <w:b w:val="0"/>
            <w:bCs w:val="0"/>
            <w:i w:val="0"/>
            <w:iCs w:val="0"/>
          </w:rPr>
          <w:t>اشعار (گردآوری) / شعر /عربی</w:t>
        </w:r>
        <w:r>
          <w:tab/>
        </w:r>
        <w:r>
          <w:fldChar w:fldCharType="begin"/>
        </w:r>
        <w:r>
          <w:instrText xml:space="preserve">PAGEREF 1537 \h</w:instrText>
        </w:r>
        <w:r>
          <w:fldChar w:fldCharType="end"/>
        </w:r>
      </w:hyperlink>
    </w:p>
    <w:p>
      <w:pPr>
        <w:tabs>
          <w:tab w:val="right" w:leader="dot" w:pos="9062"/>
        </w:tabs>
        <w:ind w:left="440"/>
      </w:pPr>
      <w:hyperlink w:anchor="_Toc1538" w:history="1">
        <w:r>
          <w:rPr>
            <w:rFonts w:ascii="IRNazanin" w:hAnsi="IRNazanin" w:eastAsia="IRNazanin" w:cs="IRNazanin"/>
            <w:color w:val="111111"/>
            <w:sz w:val="22"/>
            <w:szCs w:val="22"/>
            <w:b w:val="0"/>
            <w:bCs w:val="0"/>
            <w:i w:val="0"/>
            <w:iCs w:val="0"/>
          </w:rPr>
          <w:t>اشعار (گردآوری) / شعر / فارسی</w:t>
        </w:r>
        <w:r>
          <w:tab/>
        </w:r>
        <w:r>
          <w:fldChar w:fldCharType="begin"/>
        </w:r>
        <w:r>
          <w:instrText xml:space="preserve">PAGEREF 1538 \h</w:instrText>
        </w:r>
        <w:r>
          <w:fldChar w:fldCharType="end"/>
        </w:r>
      </w:hyperlink>
    </w:p>
    <w:p>
      <w:pPr>
        <w:tabs>
          <w:tab w:val="right" w:leader="dot" w:pos="9062"/>
        </w:tabs>
        <w:ind w:left="440"/>
      </w:pPr>
      <w:hyperlink w:anchor="_Toc1539" w:history="1">
        <w:r>
          <w:rPr>
            <w:rFonts w:ascii="IRNazanin" w:hAnsi="IRNazanin" w:eastAsia="IRNazanin" w:cs="IRNazanin"/>
            <w:color w:val="111111"/>
            <w:sz w:val="22"/>
            <w:szCs w:val="22"/>
            <w:b w:val="0"/>
            <w:bCs w:val="0"/>
            <w:i w:val="0"/>
            <w:iCs w:val="0"/>
          </w:rPr>
          <w:t>اشعار (گردآوری) / شعر / فارسی</w:t>
        </w:r>
        <w:r>
          <w:tab/>
        </w:r>
        <w:r>
          <w:fldChar w:fldCharType="begin"/>
        </w:r>
        <w:r>
          <w:instrText xml:space="preserve">PAGEREF 1539 \h</w:instrText>
        </w:r>
        <w:r>
          <w:fldChar w:fldCharType="end"/>
        </w:r>
      </w:hyperlink>
    </w:p>
    <w:p>
      <w:pPr>
        <w:tabs>
          <w:tab w:val="right" w:leader="dot" w:pos="9062"/>
        </w:tabs>
        <w:ind w:left="440"/>
      </w:pPr>
      <w:hyperlink w:anchor="_Toc1540" w:history="1">
        <w:r>
          <w:rPr>
            <w:rFonts w:ascii="IRNazanin" w:hAnsi="IRNazanin" w:eastAsia="IRNazanin" w:cs="IRNazanin"/>
            <w:color w:val="111111"/>
            <w:sz w:val="22"/>
            <w:szCs w:val="22"/>
            <w:b w:val="0"/>
            <w:bCs w:val="0"/>
            <w:i w:val="0"/>
            <w:iCs w:val="0"/>
          </w:rPr>
          <w:t>اشعار (گردآوری) / شعر / فارسی</w:t>
        </w:r>
        <w:r>
          <w:tab/>
        </w:r>
        <w:r>
          <w:fldChar w:fldCharType="begin"/>
        </w:r>
        <w:r>
          <w:instrText xml:space="preserve">PAGEREF 1540 \h</w:instrText>
        </w:r>
        <w:r>
          <w:fldChar w:fldCharType="end"/>
        </w:r>
      </w:hyperlink>
    </w:p>
    <w:p>
      <w:pPr>
        <w:tabs>
          <w:tab w:val="right" w:leader="dot" w:pos="9062"/>
        </w:tabs>
        <w:ind w:left="440"/>
      </w:pPr>
      <w:hyperlink w:anchor="_Toc1541" w:history="1">
        <w:r>
          <w:rPr>
            <w:rFonts w:ascii="IRNazanin" w:hAnsi="IRNazanin" w:eastAsia="IRNazanin" w:cs="IRNazanin"/>
            <w:color w:val="111111"/>
            <w:sz w:val="22"/>
            <w:szCs w:val="22"/>
            <w:b w:val="0"/>
            <w:bCs w:val="0"/>
            <w:i w:val="0"/>
            <w:iCs w:val="0"/>
          </w:rPr>
          <w:t>اشعار (گردآوری) / شعر / فارسی</w:t>
        </w:r>
        <w:r>
          <w:tab/>
        </w:r>
        <w:r>
          <w:fldChar w:fldCharType="begin"/>
        </w:r>
        <w:r>
          <w:instrText xml:space="preserve">PAGEREF 1541 \h</w:instrText>
        </w:r>
        <w:r>
          <w:fldChar w:fldCharType="end"/>
        </w:r>
      </w:hyperlink>
    </w:p>
    <w:p>
      <w:pPr>
        <w:tabs>
          <w:tab w:val="right" w:leader="dot" w:pos="9062"/>
        </w:tabs>
        <w:ind w:left="440"/>
      </w:pPr>
      <w:hyperlink w:anchor="_Toc1542" w:history="1">
        <w:r>
          <w:rPr>
            <w:rFonts w:ascii="IRNazanin" w:hAnsi="IRNazanin" w:eastAsia="IRNazanin" w:cs="IRNazanin"/>
            <w:color w:val="111111"/>
            <w:sz w:val="22"/>
            <w:szCs w:val="22"/>
            <w:b w:val="0"/>
            <w:bCs w:val="0"/>
            <w:i w:val="0"/>
            <w:iCs w:val="0"/>
          </w:rPr>
          <w:t>اشعار (گردآوری) / شعر / فارسی</w:t>
        </w:r>
        <w:r>
          <w:tab/>
        </w:r>
        <w:r>
          <w:fldChar w:fldCharType="begin"/>
        </w:r>
        <w:r>
          <w:instrText xml:space="preserve">PAGEREF 1542 \h</w:instrText>
        </w:r>
        <w:r>
          <w:fldChar w:fldCharType="end"/>
        </w:r>
      </w:hyperlink>
    </w:p>
    <w:p>
      <w:pPr>
        <w:tabs>
          <w:tab w:val="right" w:leader="dot" w:pos="9062"/>
        </w:tabs>
        <w:ind w:left="440"/>
      </w:pPr>
      <w:hyperlink w:anchor="_Toc1543" w:history="1">
        <w:r>
          <w:rPr>
            <w:rFonts w:ascii="IRNazanin" w:hAnsi="IRNazanin" w:eastAsia="IRNazanin" w:cs="IRNazanin"/>
            <w:color w:val="111111"/>
            <w:sz w:val="22"/>
            <w:szCs w:val="22"/>
            <w:b w:val="0"/>
            <w:bCs w:val="0"/>
            <w:i w:val="0"/>
            <w:iCs w:val="0"/>
          </w:rPr>
          <w:t>اشعار (گردآوری) / شعر / فارسی</w:t>
        </w:r>
        <w:r>
          <w:tab/>
        </w:r>
        <w:r>
          <w:fldChar w:fldCharType="begin"/>
        </w:r>
        <w:r>
          <w:instrText xml:space="preserve">PAGEREF 1543 \h</w:instrText>
        </w:r>
        <w:r>
          <w:fldChar w:fldCharType="end"/>
        </w:r>
      </w:hyperlink>
    </w:p>
    <w:p>
      <w:pPr>
        <w:tabs>
          <w:tab w:val="right" w:leader="dot" w:pos="9062"/>
        </w:tabs>
        <w:ind w:left="440"/>
      </w:pPr>
      <w:hyperlink w:anchor="_Toc1544" w:history="1">
        <w:r>
          <w:rPr>
            <w:rFonts w:ascii="IRNazanin" w:hAnsi="IRNazanin" w:eastAsia="IRNazanin" w:cs="IRNazanin"/>
            <w:color w:val="111111"/>
            <w:sz w:val="22"/>
            <w:szCs w:val="22"/>
            <w:b w:val="0"/>
            <w:bCs w:val="0"/>
            <w:i w:val="0"/>
            <w:iCs w:val="0"/>
          </w:rPr>
          <w:t>اشعار (گردآوری) / شعر / فارسی</w:t>
        </w:r>
        <w:r>
          <w:tab/>
        </w:r>
        <w:r>
          <w:fldChar w:fldCharType="begin"/>
        </w:r>
        <w:r>
          <w:instrText xml:space="preserve">PAGEREF 1544 \h</w:instrText>
        </w:r>
        <w:r>
          <w:fldChar w:fldCharType="end"/>
        </w:r>
      </w:hyperlink>
    </w:p>
    <w:p>
      <w:pPr>
        <w:tabs>
          <w:tab w:val="right" w:leader="dot" w:pos="9062"/>
        </w:tabs>
        <w:ind w:left="440"/>
      </w:pPr>
      <w:hyperlink w:anchor="_Toc1545" w:history="1">
        <w:r>
          <w:rPr>
            <w:rFonts w:ascii="IRNazanin" w:hAnsi="IRNazanin" w:eastAsia="IRNazanin" w:cs="IRNazanin"/>
            <w:color w:val="111111"/>
            <w:sz w:val="22"/>
            <w:szCs w:val="22"/>
            <w:b w:val="0"/>
            <w:bCs w:val="0"/>
            <w:i w:val="0"/>
            <w:iCs w:val="0"/>
          </w:rPr>
          <w:t>اشعار (گردآوری) / شعر / فارسی</w:t>
        </w:r>
        <w:r>
          <w:tab/>
        </w:r>
        <w:r>
          <w:fldChar w:fldCharType="begin"/>
        </w:r>
        <w:r>
          <w:instrText xml:space="preserve">PAGEREF 1545 \h</w:instrText>
        </w:r>
        <w:r>
          <w:fldChar w:fldCharType="end"/>
        </w:r>
      </w:hyperlink>
    </w:p>
    <w:p>
      <w:pPr>
        <w:tabs>
          <w:tab w:val="right" w:leader="dot" w:pos="9062"/>
        </w:tabs>
        <w:ind w:left="440"/>
      </w:pPr>
      <w:hyperlink w:anchor="_Toc1546" w:history="1">
        <w:r>
          <w:rPr>
            <w:rFonts w:ascii="IRNazanin" w:hAnsi="IRNazanin" w:eastAsia="IRNazanin" w:cs="IRNazanin"/>
            <w:color w:val="111111"/>
            <w:sz w:val="22"/>
            <w:szCs w:val="22"/>
            <w:b w:val="0"/>
            <w:bCs w:val="0"/>
            <w:i w:val="0"/>
            <w:iCs w:val="0"/>
          </w:rPr>
          <w:t>اشعار (گردآوری) / شعر / عربی</w:t>
        </w:r>
        <w:r>
          <w:tab/>
        </w:r>
        <w:r>
          <w:fldChar w:fldCharType="begin"/>
        </w:r>
        <w:r>
          <w:instrText xml:space="preserve">PAGEREF 1546 \h</w:instrText>
        </w:r>
        <w:r>
          <w:fldChar w:fldCharType="end"/>
        </w:r>
      </w:hyperlink>
    </w:p>
    <w:p>
      <w:pPr>
        <w:tabs>
          <w:tab w:val="right" w:leader="dot" w:pos="9062"/>
        </w:tabs>
        <w:ind w:left="440"/>
      </w:pPr>
      <w:hyperlink w:anchor="_Toc1547" w:history="1">
        <w:r>
          <w:rPr>
            <w:rFonts w:ascii="IRNazanin" w:hAnsi="IRNazanin" w:eastAsia="IRNazanin" w:cs="IRNazanin"/>
            <w:color w:val="111111"/>
            <w:sz w:val="22"/>
            <w:szCs w:val="22"/>
            <w:b w:val="0"/>
            <w:bCs w:val="0"/>
            <w:i w:val="0"/>
            <w:iCs w:val="0"/>
          </w:rPr>
          <w:t>اشعار (گردآوری) / شعر / فارسی</w:t>
        </w:r>
        <w:r>
          <w:tab/>
        </w:r>
        <w:r>
          <w:fldChar w:fldCharType="begin"/>
        </w:r>
        <w:r>
          <w:instrText xml:space="preserve">PAGEREF 1547 \h</w:instrText>
        </w:r>
        <w:r>
          <w:fldChar w:fldCharType="end"/>
        </w:r>
      </w:hyperlink>
    </w:p>
    <w:p>
      <w:pPr>
        <w:tabs>
          <w:tab w:val="right" w:leader="dot" w:pos="9062"/>
        </w:tabs>
        <w:ind w:left="440"/>
      </w:pPr>
      <w:hyperlink w:anchor="_Toc1548" w:history="1">
        <w:r>
          <w:rPr>
            <w:rFonts w:ascii="IRNazanin" w:hAnsi="IRNazanin" w:eastAsia="IRNazanin" w:cs="IRNazanin"/>
            <w:color w:val="111111"/>
            <w:sz w:val="22"/>
            <w:szCs w:val="22"/>
            <w:b w:val="0"/>
            <w:bCs w:val="0"/>
            <w:i w:val="0"/>
            <w:iCs w:val="0"/>
          </w:rPr>
          <w:t>اشعار (گردآوری) / شعر / فارسی</w:t>
        </w:r>
        <w:r>
          <w:tab/>
        </w:r>
        <w:r>
          <w:fldChar w:fldCharType="begin"/>
        </w:r>
        <w:r>
          <w:instrText xml:space="preserve">PAGEREF 1548 \h</w:instrText>
        </w:r>
        <w:r>
          <w:fldChar w:fldCharType="end"/>
        </w:r>
      </w:hyperlink>
    </w:p>
    <w:p>
      <w:pPr>
        <w:tabs>
          <w:tab w:val="right" w:leader="dot" w:pos="9062"/>
        </w:tabs>
        <w:ind w:left="440"/>
      </w:pPr>
      <w:hyperlink w:anchor="_Toc1549" w:history="1">
        <w:r>
          <w:rPr>
            <w:rFonts w:ascii="IRNazanin" w:hAnsi="IRNazanin" w:eastAsia="IRNazanin" w:cs="IRNazanin"/>
            <w:color w:val="111111"/>
            <w:sz w:val="22"/>
            <w:szCs w:val="22"/>
            <w:b w:val="0"/>
            <w:bCs w:val="0"/>
            <w:i w:val="0"/>
            <w:iCs w:val="0"/>
          </w:rPr>
          <w:t>اشعار (گردآوری) / شعر / فارسی</w:t>
        </w:r>
        <w:r>
          <w:tab/>
        </w:r>
        <w:r>
          <w:fldChar w:fldCharType="begin"/>
        </w:r>
        <w:r>
          <w:instrText xml:space="preserve">PAGEREF 1549 \h</w:instrText>
        </w:r>
        <w:r>
          <w:fldChar w:fldCharType="end"/>
        </w:r>
      </w:hyperlink>
    </w:p>
    <w:p>
      <w:pPr>
        <w:tabs>
          <w:tab w:val="right" w:leader="dot" w:pos="9062"/>
        </w:tabs>
        <w:ind w:left="440"/>
      </w:pPr>
      <w:hyperlink w:anchor="_Toc1550" w:history="1">
        <w:r>
          <w:rPr>
            <w:rFonts w:ascii="IRNazanin" w:hAnsi="IRNazanin" w:eastAsia="IRNazanin" w:cs="IRNazanin"/>
            <w:color w:val="111111"/>
            <w:sz w:val="22"/>
            <w:szCs w:val="22"/>
            <w:b w:val="0"/>
            <w:bCs w:val="0"/>
            <w:i w:val="0"/>
            <w:iCs w:val="0"/>
          </w:rPr>
          <w:t>اشعار (گردآوری) / شعر / عربی</w:t>
        </w:r>
        <w:r>
          <w:tab/>
        </w:r>
        <w:r>
          <w:fldChar w:fldCharType="begin"/>
        </w:r>
        <w:r>
          <w:instrText xml:space="preserve">PAGEREF 1550 \h</w:instrText>
        </w:r>
        <w:r>
          <w:fldChar w:fldCharType="end"/>
        </w:r>
      </w:hyperlink>
    </w:p>
    <w:p>
      <w:pPr>
        <w:tabs>
          <w:tab w:val="right" w:leader="dot" w:pos="9062"/>
        </w:tabs>
        <w:ind w:left="440"/>
      </w:pPr>
      <w:hyperlink w:anchor="_Toc1551" w:history="1">
        <w:r>
          <w:rPr>
            <w:rFonts w:ascii="IRNazanin" w:hAnsi="IRNazanin" w:eastAsia="IRNazanin" w:cs="IRNazanin"/>
            <w:color w:val="111111"/>
            <w:sz w:val="22"/>
            <w:szCs w:val="22"/>
            <w:b w:val="0"/>
            <w:bCs w:val="0"/>
            <w:i w:val="0"/>
            <w:iCs w:val="0"/>
          </w:rPr>
          <w:t>اشعار (گردآوری) / شعر / فارسی</w:t>
        </w:r>
        <w:r>
          <w:tab/>
        </w:r>
        <w:r>
          <w:fldChar w:fldCharType="begin"/>
        </w:r>
        <w:r>
          <w:instrText xml:space="preserve">PAGEREF 1551 \h</w:instrText>
        </w:r>
        <w:r>
          <w:fldChar w:fldCharType="end"/>
        </w:r>
      </w:hyperlink>
    </w:p>
    <w:p>
      <w:pPr>
        <w:tabs>
          <w:tab w:val="right" w:leader="dot" w:pos="9062"/>
        </w:tabs>
        <w:ind w:left="440"/>
      </w:pPr>
      <w:hyperlink w:anchor="_Toc1552" w:history="1">
        <w:r>
          <w:rPr>
            <w:rFonts w:ascii="IRNazanin" w:hAnsi="IRNazanin" w:eastAsia="IRNazanin" w:cs="IRNazanin"/>
            <w:color w:val="111111"/>
            <w:sz w:val="22"/>
            <w:szCs w:val="22"/>
            <w:b w:val="0"/>
            <w:bCs w:val="0"/>
            <w:i w:val="0"/>
            <w:iCs w:val="0"/>
          </w:rPr>
          <w:t>اشعار (گردآوری) / شعر /عربی</w:t>
        </w:r>
        <w:r>
          <w:tab/>
        </w:r>
        <w:r>
          <w:fldChar w:fldCharType="begin"/>
        </w:r>
        <w:r>
          <w:instrText xml:space="preserve">PAGEREF 1552 \h</w:instrText>
        </w:r>
        <w:r>
          <w:fldChar w:fldCharType="end"/>
        </w:r>
      </w:hyperlink>
    </w:p>
    <w:p>
      <w:pPr>
        <w:tabs>
          <w:tab w:val="right" w:leader="dot" w:pos="9062"/>
        </w:tabs>
        <w:ind w:left="440"/>
      </w:pPr>
      <w:hyperlink w:anchor="_Toc1553" w:history="1">
        <w:r>
          <w:rPr>
            <w:rFonts w:ascii="IRNazanin" w:hAnsi="IRNazanin" w:eastAsia="IRNazanin" w:cs="IRNazanin"/>
            <w:color w:val="111111"/>
            <w:sz w:val="22"/>
            <w:szCs w:val="22"/>
            <w:b w:val="0"/>
            <w:bCs w:val="0"/>
            <w:i w:val="0"/>
            <w:iCs w:val="0"/>
          </w:rPr>
          <w:t>اشعار (گردآوری) / شعر / فارسی</w:t>
        </w:r>
        <w:r>
          <w:tab/>
        </w:r>
        <w:r>
          <w:fldChar w:fldCharType="begin"/>
        </w:r>
        <w:r>
          <w:instrText xml:space="preserve">PAGEREF 1553 \h</w:instrText>
        </w:r>
        <w:r>
          <w:fldChar w:fldCharType="end"/>
        </w:r>
      </w:hyperlink>
    </w:p>
    <w:p>
      <w:pPr>
        <w:tabs>
          <w:tab w:val="right" w:leader="dot" w:pos="9062"/>
        </w:tabs>
        <w:ind w:left="440"/>
      </w:pPr>
      <w:hyperlink w:anchor="_Toc1554" w:history="1">
        <w:r>
          <w:rPr>
            <w:rFonts w:ascii="IRNazanin" w:hAnsi="IRNazanin" w:eastAsia="IRNazanin" w:cs="IRNazanin"/>
            <w:color w:val="111111"/>
            <w:sz w:val="22"/>
            <w:szCs w:val="22"/>
            <w:b w:val="0"/>
            <w:bCs w:val="0"/>
            <w:i w:val="0"/>
            <w:iCs w:val="0"/>
          </w:rPr>
          <w:t>اشعار (گردآوری) / شعر / فارسی</w:t>
        </w:r>
        <w:r>
          <w:tab/>
        </w:r>
        <w:r>
          <w:fldChar w:fldCharType="begin"/>
        </w:r>
        <w:r>
          <w:instrText xml:space="preserve">PAGEREF 1554 \h</w:instrText>
        </w:r>
        <w:r>
          <w:fldChar w:fldCharType="end"/>
        </w:r>
      </w:hyperlink>
    </w:p>
    <w:p>
      <w:pPr>
        <w:tabs>
          <w:tab w:val="right" w:leader="dot" w:pos="9062"/>
        </w:tabs>
        <w:ind w:left="440"/>
      </w:pPr>
      <w:hyperlink w:anchor="_Toc1555" w:history="1">
        <w:r>
          <w:rPr>
            <w:rFonts w:ascii="IRNazanin" w:hAnsi="IRNazanin" w:eastAsia="IRNazanin" w:cs="IRNazanin"/>
            <w:color w:val="111111"/>
            <w:sz w:val="22"/>
            <w:szCs w:val="22"/>
            <w:b w:val="0"/>
            <w:bCs w:val="0"/>
            <w:i w:val="0"/>
            <w:iCs w:val="0"/>
          </w:rPr>
          <w:t>اشعار (گردآوری) / شعر / عربی</w:t>
        </w:r>
        <w:r>
          <w:tab/>
        </w:r>
        <w:r>
          <w:fldChar w:fldCharType="begin"/>
        </w:r>
        <w:r>
          <w:instrText xml:space="preserve">PAGEREF 1555 \h</w:instrText>
        </w:r>
        <w:r>
          <w:fldChar w:fldCharType="end"/>
        </w:r>
      </w:hyperlink>
    </w:p>
    <w:p>
      <w:pPr>
        <w:tabs>
          <w:tab w:val="right" w:leader="dot" w:pos="9062"/>
        </w:tabs>
        <w:ind w:left="440"/>
      </w:pPr>
      <w:hyperlink w:anchor="_Toc1556" w:history="1">
        <w:r>
          <w:rPr>
            <w:rFonts w:ascii="IRNazanin" w:hAnsi="IRNazanin" w:eastAsia="IRNazanin" w:cs="IRNazanin"/>
            <w:color w:val="111111"/>
            <w:sz w:val="22"/>
            <w:szCs w:val="22"/>
            <w:b w:val="0"/>
            <w:bCs w:val="0"/>
            <w:i w:val="0"/>
            <w:iCs w:val="0"/>
          </w:rPr>
          <w:t>اشعار / شعر / فارسی</w:t>
        </w:r>
        <w:r>
          <w:tab/>
        </w:r>
        <w:r>
          <w:fldChar w:fldCharType="begin"/>
        </w:r>
        <w:r>
          <w:instrText xml:space="preserve">PAGEREF 1556 \h</w:instrText>
        </w:r>
        <w:r>
          <w:fldChar w:fldCharType="end"/>
        </w:r>
      </w:hyperlink>
    </w:p>
    <w:p>
      <w:pPr>
        <w:tabs>
          <w:tab w:val="right" w:leader="dot" w:pos="9062"/>
        </w:tabs>
        <w:ind w:left="440"/>
      </w:pPr>
      <w:hyperlink w:anchor="_Toc1557" w:history="1">
        <w:r>
          <w:rPr>
            <w:rFonts w:ascii="IRNazanin" w:hAnsi="IRNazanin" w:eastAsia="IRNazanin" w:cs="IRNazanin"/>
            <w:color w:val="111111"/>
            <w:sz w:val="22"/>
            <w:szCs w:val="22"/>
            <w:b w:val="0"/>
            <w:bCs w:val="0"/>
            <w:i w:val="0"/>
            <w:iCs w:val="0"/>
          </w:rPr>
          <w:t>اشعار (گردآوری) / شعر / فارسی</w:t>
        </w:r>
        <w:r>
          <w:tab/>
        </w:r>
        <w:r>
          <w:fldChar w:fldCharType="begin"/>
        </w:r>
        <w:r>
          <w:instrText xml:space="preserve">PAGEREF 1557 \h</w:instrText>
        </w:r>
        <w:r>
          <w:fldChar w:fldCharType="end"/>
        </w:r>
      </w:hyperlink>
    </w:p>
    <w:p>
      <w:pPr>
        <w:tabs>
          <w:tab w:val="right" w:leader="dot" w:pos="9062"/>
        </w:tabs>
        <w:ind w:left="440"/>
      </w:pPr>
      <w:hyperlink w:anchor="_Toc1558" w:history="1">
        <w:r>
          <w:rPr>
            <w:rFonts w:ascii="IRNazanin" w:hAnsi="IRNazanin" w:eastAsia="IRNazanin" w:cs="IRNazanin"/>
            <w:color w:val="111111"/>
            <w:sz w:val="22"/>
            <w:szCs w:val="22"/>
            <w:b w:val="0"/>
            <w:bCs w:val="0"/>
            <w:i w:val="0"/>
            <w:iCs w:val="0"/>
          </w:rPr>
          <w:t>اشعار (گردآوری) / شعر / فارسی</w:t>
        </w:r>
        <w:r>
          <w:tab/>
        </w:r>
        <w:r>
          <w:fldChar w:fldCharType="begin"/>
        </w:r>
        <w:r>
          <w:instrText xml:space="preserve">PAGEREF 1558 \h</w:instrText>
        </w:r>
        <w:r>
          <w:fldChar w:fldCharType="end"/>
        </w:r>
      </w:hyperlink>
    </w:p>
    <w:p>
      <w:pPr>
        <w:tabs>
          <w:tab w:val="right" w:leader="dot" w:pos="9062"/>
        </w:tabs>
        <w:ind w:left="440"/>
      </w:pPr>
      <w:hyperlink w:anchor="_Toc1559" w:history="1">
        <w:r>
          <w:rPr>
            <w:rFonts w:ascii="IRNazanin" w:hAnsi="IRNazanin" w:eastAsia="IRNazanin" w:cs="IRNazanin"/>
            <w:color w:val="111111"/>
            <w:sz w:val="22"/>
            <w:szCs w:val="22"/>
            <w:b w:val="0"/>
            <w:bCs w:val="0"/>
            <w:i w:val="0"/>
            <w:iCs w:val="0"/>
          </w:rPr>
          <w:t>اشعار (گردآوری) / شعر / فارسی</w:t>
        </w:r>
        <w:r>
          <w:tab/>
        </w:r>
        <w:r>
          <w:fldChar w:fldCharType="begin"/>
        </w:r>
        <w:r>
          <w:instrText xml:space="preserve">PAGEREF 1559 \h</w:instrText>
        </w:r>
        <w:r>
          <w:fldChar w:fldCharType="end"/>
        </w:r>
      </w:hyperlink>
    </w:p>
    <w:p>
      <w:pPr>
        <w:tabs>
          <w:tab w:val="right" w:leader="dot" w:pos="9062"/>
        </w:tabs>
        <w:ind w:left="440"/>
      </w:pPr>
      <w:hyperlink w:anchor="_Toc1560" w:history="1">
        <w:r>
          <w:rPr>
            <w:rFonts w:ascii="IRNazanin" w:hAnsi="IRNazanin" w:eastAsia="IRNazanin" w:cs="IRNazanin"/>
            <w:color w:val="111111"/>
            <w:sz w:val="22"/>
            <w:szCs w:val="22"/>
            <w:b w:val="0"/>
            <w:bCs w:val="0"/>
            <w:i w:val="0"/>
            <w:iCs w:val="0"/>
          </w:rPr>
          <w:t>اشعار / شعر / فارسی</w:t>
        </w:r>
        <w:r>
          <w:tab/>
        </w:r>
        <w:r>
          <w:fldChar w:fldCharType="begin"/>
        </w:r>
        <w:r>
          <w:instrText xml:space="preserve">PAGEREF 1560 \h</w:instrText>
        </w:r>
        <w:r>
          <w:fldChar w:fldCharType="end"/>
        </w:r>
      </w:hyperlink>
    </w:p>
    <w:p>
      <w:pPr>
        <w:tabs>
          <w:tab w:val="right" w:leader="dot" w:pos="9062"/>
        </w:tabs>
        <w:ind w:left="440"/>
      </w:pPr>
      <w:hyperlink w:anchor="_Toc1561" w:history="1">
        <w:r>
          <w:rPr>
            <w:rFonts w:ascii="IRNazanin" w:hAnsi="IRNazanin" w:eastAsia="IRNazanin" w:cs="IRNazanin"/>
            <w:color w:val="111111"/>
            <w:sz w:val="22"/>
            <w:szCs w:val="22"/>
            <w:b w:val="0"/>
            <w:bCs w:val="0"/>
            <w:i w:val="0"/>
            <w:iCs w:val="0"/>
          </w:rPr>
          <w:t>اشعار (گردآوری) / شعر / فارسی</w:t>
        </w:r>
        <w:r>
          <w:tab/>
        </w:r>
        <w:r>
          <w:fldChar w:fldCharType="begin"/>
        </w:r>
        <w:r>
          <w:instrText xml:space="preserve">PAGEREF 1561 \h</w:instrText>
        </w:r>
        <w:r>
          <w:fldChar w:fldCharType="end"/>
        </w:r>
      </w:hyperlink>
    </w:p>
    <w:p>
      <w:pPr>
        <w:tabs>
          <w:tab w:val="right" w:leader="dot" w:pos="9062"/>
        </w:tabs>
        <w:ind w:left="440"/>
      </w:pPr>
      <w:hyperlink w:anchor="_Toc1562" w:history="1">
        <w:r>
          <w:rPr>
            <w:rFonts w:ascii="IRNazanin" w:hAnsi="IRNazanin" w:eastAsia="IRNazanin" w:cs="IRNazanin"/>
            <w:color w:val="111111"/>
            <w:sz w:val="22"/>
            <w:szCs w:val="22"/>
            <w:b w:val="0"/>
            <w:bCs w:val="0"/>
            <w:i w:val="0"/>
            <w:iCs w:val="0"/>
          </w:rPr>
          <w:t>اشعار (گردآوری) / شعر / عربی</w:t>
        </w:r>
        <w:r>
          <w:tab/>
        </w:r>
        <w:r>
          <w:fldChar w:fldCharType="begin"/>
        </w:r>
        <w:r>
          <w:instrText xml:space="preserve">PAGEREF 1562 \h</w:instrText>
        </w:r>
        <w:r>
          <w:fldChar w:fldCharType="end"/>
        </w:r>
      </w:hyperlink>
    </w:p>
    <w:p>
      <w:pPr>
        <w:tabs>
          <w:tab w:val="right" w:leader="dot" w:pos="9062"/>
        </w:tabs>
        <w:ind w:left="440"/>
      </w:pPr>
      <w:hyperlink w:anchor="_Toc1563" w:history="1">
        <w:r>
          <w:rPr>
            <w:rFonts w:ascii="IRNazanin" w:hAnsi="IRNazanin" w:eastAsia="IRNazanin" w:cs="IRNazanin"/>
            <w:color w:val="111111"/>
            <w:sz w:val="22"/>
            <w:szCs w:val="22"/>
            <w:b w:val="0"/>
            <w:bCs w:val="0"/>
            <w:i w:val="0"/>
            <w:iCs w:val="0"/>
          </w:rPr>
          <w:t>اشعار (گردآوری) / شعر / فارسی، عربی</w:t>
        </w:r>
        <w:r>
          <w:tab/>
        </w:r>
        <w:r>
          <w:fldChar w:fldCharType="begin"/>
        </w:r>
        <w:r>
          <w:instrText xml:space="preserve">PAGEREF 1563 \h</w:instrText>
        </w:r>
        <w:r>
          <w:fldChar w:fldCharType="end"/>
        </w:r>
      </w:hyperlink>
    </w:p>
    <w:p>
      <w:pPr>
        <w:tabs>
          <w:tab w:val="right" w:leader="dot" w:pos="9062"/>
        </w:tabs>
        <w:ind w:left="440"/>
      </w:pPr>
      <w:hyperlink w:anchor="_Toc1564" w:history="1">
        <w:r>
          <w:rPr>
            <w:rFonts w:ascii="IRNazanin" w:hAnsi="IRNazanin" w:eastAsia="IRNazanin" w:cs="IRNazanin"/>
            <w:color w:val="111111"/>
            <w:sz w:val="22"/>
            <w:szCs w:val="22"/>
            <w:b w:val="0"/>
            <w:bCs w:val="0"/>
            <w:i w:val="0"/>
            <w:iCs w:val="0"/>
          </w:rPr>
          <w:t>اشعار (گردآوری) / شعر / فارسی</w:t>
        </w:r>
        <w:r>
          <w:tab/>
        </w:r>
        <w:r>
          <w:fldChar w:fldCharType="begin"/>
        </w:r>
        <w:r>
          <w:instrText xml:space="preserve">PAGEREF 1564 \h</w:instrText>
        </w:r>
        <w:r>
          <w:fldChar w:fldCharType="end"/>
        </w:r>
      </w:hyperlink>
    </w:p>
    <w:p>
      <w:pPr>
        <w:tabs>
          <w:tab w:val="right" w:leader="dot" w:pos="9062"/>
        </w:tabs>
        <w:ind w:left="440"/>
      </w:pPr>
      <w:hyperlink w:anchor="_Toc1565" w:history="1">
        <w:r>
          <w:rPr>
            <w:rFonts w:ascii="IRNazanin" w:hAnsi="IRNazanin" w:eastAsia="IRNazanin" w:cs="IRNazanin"/>
            <w:color w:val="111111"/>
            <w:sz w:val="22"/>
            <w:szCs w:val="22"/>
            <w:b w:val="0"/>
            <w:bCs w:val="0"/>
            <w:i w:val="0"/>
            <w:iCs w:val="0"/>
          </w:rPr>
          <w:t>اشعار = جنگ شعاع / شعر / فارسی</w:t>
        </w:r>
        <w:r>
          <w:tab/>
        </w:r>
        <w:r>
          <w:fldChar w:fldCharType="begin"/>
        </w:r>
        <w:r>
          <w:instrText xml:space="preserve">PAGEREF 1565 \h</w:instrText>
        </w:r>
        <w:r>
          <w:fldChar w:fldCharType="end"/>
        </w:r>
      </w:hyperlink>
    </w:p>
    <w:p>
      <w:pPr>
        <w:tabs>
          <w:tab w:val="right" w:leader="dot" w:pos="9062"/>
        </w:tabs>
        <w:ind w:left="440"/>
      </w:pPr>
      <w:hyperlink w:anchor="_Toc1566" w:history="1">
        <w:r>
          <w:rPr>
            <w:rFonts w:ascii="IRNazanin" w:hAnsi="IRNazanin" w:eastAsia="IRNazanin" w:cs="IRNazanin"/>
            <w:color w:val="111111"/>
            <w:sz w:val="22"/>
            <w:szCs w:val="22"/>
            <w:b w:val="0"/>
            <w:bCs w:val="0"/>
            <w:i w:val="0"/>
            <w:iCs w:val="0"/>
          </w:rPr>
          <w:t>اشعار (گردآوری) / شعر /عربی</w:t>
        </w:r>
        <w:r>
          <w:tab/>
        </w:r>
        <w:r>
          <w:fldChar w:fldCharType="begin"/>
        </w:r>
        <w:r>
          <w:instrText xml:space="preserve">PAGEREF 1566 \h</w:instrText>
        </w:r>
        <w:r>
          <w:fldChar w:fldCharType="end"/>
        </w:r>
      </w:hyperlink>
    </w:p>
    <w:p>
      <w:pPr>
        <w:tabs>
          <w:tab w:val="right" w:leader="dot" w:pos="9062"/>
        </w:tabs>
        <w:ind w:left="440"/>
      </w:pPr>
      <w:hyperlink w:anchor="_Toc1567" w:history="1">
        <w:r>
          <w:rPr>
            <w:rFonts w:ascii="IRNazanin" w:hAnsi="IRNazanin" w:eastAsia="IRNazanin" w:cs="IRNazanin"/>
            <w:color w:val="111111"/>
            <w:sz w:val="22"/>
            <w:szCs w:val="22"/>
            <w:b w:val="0"/>
            <w:bCs w:val="0"/>
            <w:i w:val="0"/>
            <w:iCs w:val="0"/>
          </w:rPr>
          <w:t>اشعار / شعر / فارسی</w:t>
        </w:r>
        <w:r>
          <w:tab/>
        </w:r>
        <w:r>
          <w:fldChar w:fldCharType="begin"/>
        </w:r>
        <w:r>
          <w:instrText xml:space="preserve">PAGEREF 1567 \h</w:instrText>
        </w:r>
        <w:r>
          <w:fldChar w:fldCharType="end"/>
        </w:r>
      </w:hyperlink>
    </w:p>
    <w:p>
      <w:pPr>
        <w:tabs>
          <w:tab w:val="right" w:leader="dot" w:pos="9062"/>
        </w:tabs>
        <w:ind w:left="440"/>
      </w:pPr>
      <w:hyperlink w:anchor="_Toc1568" w:history="1">
        <w:r>
          <w:rPr>
            <w:rFonts w:ascii="IRNazanin" w:hAnsi="IRNazanin" w:eastAsia="IRNazanin" w:cs="IRNazanin"/>
            <w:color w:val="111111"/>
            <w:sz w:val="22"/>
            <w:szCs w:val="22"/>
            <w:b w:val="0"/>
            <w:bCs w:val="0"/>
            <w:i w:val="0"/>
            <w:iCs w:val="0"/>
          </w:rPr>
          <w:t>اشعار (گردآوری) / شعر / فارسی</w:t>
        </w:r>
        <w:r>
          <w:tab/>
        </w:r>
        <w:r>
          <w:fldChar w:fldCharType="begin"/>
        </w:r>
        <w:r>
          <w:instrText xml:space="preserve">PAGEREF 1568 \h</w:instrText>
        </w:r>
        <w:r>
          <w:fldChar w:fldCharType="end"/>
        </w:r>
      </w:hyperlink>
    </w:p>
    <w:p>
      <w:pPr>
        <w:tabs>
          <w:tab w:val="right" w:leader="dot" w:pos="9062"/>
        </w:tabs>
        <w:ind w:left="440"/>
      </w:pPr>
      <w:hyperlink w:anchor="_Toc1569" w:history="1">
        <w:r>
          <w:rPr>
            <w:rFonts w:ascii="IRNazanin" w:hAnsi="IRNazanin" w:eastAsia="IRNazanin" w:cs="IRNazanin"/>
            <w:color w:val="111111"/>
            <w:sz w:val="22"/>
            <w:szCs w:val="22"/>
            <w:b w:val="0"/>
            <w:bCs w:val="0"/>
            <w:i w:val="0"/>
            <w:iCs w:val="0"/>
          </w:rPr>
          <w:t>اشعار (گردآوری) / شعر / فارسی</w:t>
        </w:r>
        <w:r>
          <w:tab/>
        </w:r>
        <w:r>
          <w:fldChar w:fldCharType="begin"/>
        </w:r>
        <w:r>
          <w:instrText xml:space="preserve">PAGEREF 1569 \h</w:instrText>
        </w:r>
        <w:r>
          <w:fldChar w:fldCharType="end"/>
        </w:r>
      </w:hyperlink>
    </w:p>
    <w:p>
      <w:pPr>
        <w:tabs>
          <w:tab w:val="right" w:leader="dot" w:pos="9062"/>
        </w:tabs>
        <w:ind w:left="440"/>
      </w:pPr>
      <w:hyperlink w:anchor="_Toc1570" w:history="1">
        <w:r>
          <w:rPr>
            <w:rFonts w:ascii="IRNazanin" w:hAnsi="IRNazanin" w:eastAsia="IRNazanin" w:cs="IRNazanin"/>
            <w:color w:val="111111"/>
            <w:sz w:val="22"/>
            <w:szCs w:val="22"/>
            <w:b w:val="0"/>
            <w:bCs w:val="0"/>
            <w:i w:val="0"/>
            <w:iCs w:val="0"/>
          </w:rPr>
          <w:t>اشعار گردآوری) / شعر / فارسی</w:t>
        </w:r>
        <w:r>
          <w:tab/>
        </w:r>
        <w:r>
          <w:fldChar w:fldCharType="begin"/>
        </w:r>
        <w:r>
          <w:instrText xml:space="preserve">PAGEREF 1570 \h</w:instrText>
        </w:r>
        <w:r>
          <w:fldChar w:fldCharType="end"/>
        </w:r>
      </w:hyperlink>
    </w:p>
    <w:p>
      <w:pPr>
        <w:tabs>
          <w:tab w:val="right" w:leader="dot" w:pos="9062"/>
        </w:tabs>
        <w:ind w:left="440"/>
      </w:pPr>
      <w:hyperlink w:anchor="_Toc1571" w:history="1">
        <w:r>
          <w:rPr>
            <w:rFonts w:ascii="IRNazanin" w:hAnsi="IRNazanin" w:eastAsia="IRNazanin" w:cs="IRNazanin"/>
            <w:color w:val="111111"/>
            <w:sz w:val="22"/>
            <w:szCs w:val="22"/>
            <w:b w:val="0"/>
            <w:bCs w:val="0"/>
            <w:i w:val="0"/>
            <w:iCs w:val="0"/>
          </w:rPr>
          <w:t>اشعار (گردآوری) / شعر / فارسی</w:t>
        </w:r>
        <w:r>
          <w:tab/>
        </w:r>
        <w:r>
          <w:fldChar w:fldCharType="begin"/>
        </w:r>
        <w:r>
          <w:instrText xml:space="preserve">PAGEREF 1571 \h</w:instrText>
        </w:r>
        <w:r>
          <w:fldChar w:fldCharType="end"/>
        </w:r>
      </w:hyperlink>
    </w:p>
    <w:p>
      <w:pPr>
        <w:tabs>
          <w:tab w:val="right" w:leader="dot" w:pos="9062"/>
        </w:tabs>
        <w:ind w:left="440"/>
      </w:pPr>
      <w:hyperlink w:anchor="_Toc1572" w:history="1">
        <w:r>
          <w:rPr>
            <w:rFonts w:ascii="IRNazanin" w:hAnsi="IRNazanin" w:eastAsia="IRNazanin" w:cs="IRNazanin"/>
            <w:color w:val="111111"/>
            <w:sz w:val="22"/>
            <w:szCs w:val="22"/>
            <w:b w:val="0"/>
            <w:bCs w:val="0"/>
            <w:i w:val="0"/>
            <w:iCs w:val="0"/>
          </w:rPr>
          <w:t>اشعار (گردآوری) / شعر / فارسی</w:t>
        </w:r>
        <w:r>
          <w:tab/>
        </w:r>
        <w:r>
          <w:fldChar w:fldCharType="begin"/>
        </w:r>
        <w:r>
          <w:instrText xml:space="preserve">PAGEREF 1572 \h</w:instrText>
        </w:r>
        <w:r>
          <w:fldChar w:fldCharType="end"/>
        </w:r>
      </w:hyperlink>
    </w:p>
    <w:p>
      <w:pPr>
        <w:tabs>
          <w:tab w:val="right" w:leader="dot" w:pos="9062"/>
        </w:tabs>
        <w:ind w:left="440"/>
      </w:pPr>
      <w:hyperlink w:anchor="_Toc1573" w:history="1">
        <w:r>
          <w:rPr>
            <w:rFonts w:ascii="IRNazanin" w:hAnsi="IRNazanin" w:eastAsia="IRNazanin" w:cs="IRNazanin"/>
            <w:color w:val="111111"/>
            <w:sz w:val="22"/>
            <w:szCs w:val="22"/>
            <w:b w:val="0"/>
            <w:bCs w:val="0"/>
            <w:i w:val="0"/>
            <w:iCs w:val="0"/>
          </w:rPr>
          <w:t>اشعار (گردآوری) / شعر / فارسی</w:t>
        </w:r>
        <w:r>
          <w:tab/>
        </w:r>
        <w:r>
          <w:fldChar w:fldCharType="begin"/>
        </w:r>
        <w:r>
          <w:instrText xml:space="preserve">PAGEREF 1573 \h</w:instrText>
        </w:r>
        <w:r>
          <w:fldChar w:fldCharType="end"/>
        </w:r>
      </w:hyperlink>
    </w:p>
    <w:p>
      <w:pPr>
        <w:tabs>
          <w:tab w:val="right" w:leader="dot" w:pos="9062"/>
        </w:tabs>
        <w:ind w:left="440"/>
      </w:pPr>
      <w:hyperlink w:anchor="_Toc1574" w:history="1">
        <w:r>
          <w:rPr>
            <w:rFonts w:ascii="IRNazanin" w:hAnsi="IRNazanin" w:eastAsia="IRNazanin" w:cs="IRNazanin"/>
            <w:color w:val="111111"/>
            <w:sz w:val="22"/>
            <w:szCs w:val="22"/>
            <w:b w:val="0"/>
            <w:bCs w:val="0"/>
            <w:i w:val="0"/>
            <w:iCs w:val="0"/>
          </w:rPr>
          <w:t>اشعار (گردآوری) / شعر / فارسی</w:t>
        </w:r>
        <w:r>
          <w:tab/>
        </w:r>
        <w:r>
          <w:fldChar w:fldCharType="begin"/>
        </w:r>
        <w:r>
          <w:instrText xml:space="preserve">PAGEREF 1574 \h</w:instrText>
        </w:r>
        <w:r>
          <w:fldChar w:fldCharType="end"/>
        </w:r>
      </w:hyperlink>
    </w:p>
    <w:p>
      <w:pPr>
        <w:tabs>
          <w:tab w:val="right" w:leader="dot" w:pos="9062"/>
        </w:tabs>
        <w:ind w:left="440"/>
      </w:pPr>
      <w:hyperlink w:anchor="_Toc1575" w:history="1">
        <w:r>
          <w:rPr>
            <w:rFonts w:ascii="IRNazanin" w:hAnsi="IRNazanin" w:eastAsia="IRNazanin" w:cs="IRNazanin"/>
            <w:color w:val="111111"/>
            <w:sz w:val="22"/>
            <w:szCs w:val="22"/>
            <w:b w:val="0"/>
            <w:bCs w:val="0"/>
            <w:i w:val="0"/>
            <w:iCs w:val="0"/>
          </w:rPr>
          <w:t>اشعار (گردآوری) / گوناگون / فارسی</w:t>
        </w:r>
        <w:r>
          <w:tab/>
        </w:r>
        <w:r>
          <w:fldChar w:fldCharType="begin"/>
        </w:r>
        <w:r>
          <w:instrText xml:space="preserve">PAGEREF 1575 \h</w:instrText>
        </w:r>
        <w:r>
          <w:fldChar w:fldCharType="end"/>
        </w:r>
      </w:hyperlink>
    </w:p>
    <w:p>
      <w:pPr>
        <w:tabs>
          <w:tab w:val="right" w:leader="dot" w:pos="9062"/>
        </w:tabs>
        <w:ind w:left="440"/>
      </w:pPr>
      <w:hyperlink w:anchor="_Toc1576" w:history="1">
        <w:r>
          <w:rPr>
            <w:rFonts w:ascii="IRNazanin" w:hAnsi="IRNazanin" w:eastAsia="IRNazanin" w:cs="IRNazanin"/>
            <w:color w:val="111111"/>
            <w:sz w:val="22"/>
            <w:szCs w:val="22"/>
            <w:b w:val="0"/>
            <w:bCs w:val="0"/>
            <w:i w:val="0"/>
            <w:iCs w:val="0"/>
          </w:rPr>
          <w:t>اشعار (گردآوری) / شعر / فارسی</w:t>
        </w:r>
        <w:r>
          <w:tab/>
        </w:r>
        <w:r>
          <w:fldChar w:fldCharType="begin"/>
        </w:r>
        <w:r>
          <w:instrText xml:space="preserve">PAGEREF 1576 \h</w:instrText>
        </w:r>
        <w:r>
          <w:fldChar w:fldCharType="end"/>
        </w:r>
      </w:hyperlink>
    </w:p>
    <w:p>
      <w:pPr>
        <w:tabs>
          <w:tab w:val="right" w:leader="dot" w:pos="9062"/>
        </w:tabs>
        <w:ind w:left="440"/>
      </w:pPr>
      <w:hyperlink w:anchor="_Toc1577" w:history="1">
        <w:r>
          <w:rPr>
            <w:rFonts w:ascii="IRNazanin" w:hAnsi="IRNazanin" w:eastAsia="IRNazanin" w:cs="IRNazanin"/>
            <w:color w:val="111111"/>
            <w:sz w:val="22"/>
            <w:szCs w:val="22"/>
            <w:b w:val="0"/>
            <w:bCs w:val="0"/>
            <w:i w:val="0"/>
            <w:iCs w:val="0"/>
          </w:rPr>
          <w:t>اشعار (گردآوری) / شعر / فارسی</w:t>
        </w:r>
        <w:r>
          <w:tab/>
        </w:r>
        <w:r>
          <w:fldChar w:fldCharType="begin"/>
        </w:r>
        <w:r>
          <w:instrText xml:space="preserve">PAGEREF 1577 \h</w:instrText>
        </w:r>
        <w:r>
          <w:fldChar w:fldCharType="end"/>
        </w:r>
      </w:hyperlink>
    </w:p>
    <w:p>
      <w:pPr>
        <w:tabs>
          <w:tab w:val="right" w:leader="dot" w:pos="9062"/>
        </w:tabs>
        <w:ind w:left="440"/>
      </w:pPr>
      <w:hyperlink w:anchor="_Toc1578" w:history="1">
        <w:r>
          <w:rPr>
            <w:rFonts w:ascii="IRNazanin" w:hAnsi="IRNazanin" w:eastAsia="IRNazanin" w:cs="IRNazanin"/>
            <w:color w:val="111111"/>
            <w:sz w:val="22"/>
            <w:szCs w:val="22"/>
            <w:b w:val="0"/>
            <w:bCs w:val="0"/>
            <w:i w:val="0"/>
            <w:iCs w:val="0"/>
          </w:rPr>
          <w:t>اشعار (گردآوری) / شعر / فارسی</w:t>
        </w:r>
        <w:r>
          <w:tab/>
        </w:r>
        <w:r>
          <w:fldChar w:fldCharType="begin"/>
        </w:r>
        <w:r>
          <w:instrText xml:space="preserve">PAGEREF 1578 \h</w:instrText>
        </w:r>
        <w:r>
          <w:fldChar w:fldCharType="end"/>
        </w:r>
      </w:hyperlink>
    </w:p>
    <w:p>
      <w:pPr>
        <w:tabs>
          <w:tab w:val="right" w:leader="dot" w:pos="9062"/>
        </w:tabs>
        <w:ind w:left="440"/>
      </w:pPr>
      <w:hyperlink w:anchor="_Toc1579" w:history="1">
        <w:r>
          <w:rPr>
            <w:rFonts w:ascii="IRNazanin" w:hAnsi="IRNazanin" w:eastAsia="IRNazanin" w:cs="IRNazanin"/>
            <w:color w:val="111111"/>
            <w:sz w:val="22"/>
            <w:szCs w:val="22"/>
            <w:b w:val="0"/>
            <w:bCs w:val="0"/>
            <w:i w:val="0"/>
            <w:iCs w:val="0"/>
          </w:rPr>
          <w:t>اشعار (گردآوری) / شعر / فارسی</w:t>
        </w:r>
        <w:r>
          <w:tab/>
        </w:r>
        <w:r>
          <w:fldChar w:fldCharType="begin"/>
        </w:r>
        <w:r>
          <w:instrText xml:space="preserve">PAGEREF 1579 \h</w:instrText>
        </w:r>
        <w:r>
          <w:fldChar w:fldCharType="end"/>
        </w:r>
      </w:hyperlink>
    </w:p>
    <w:p>
      <w:pPr>
        <w:tabs>
          <w:tab w:val="right" w:leader="dot" w:pos="9062"/>
        </w:tabs>
        <w:ind w:left="440"/>
      </w:pPr>
      <w:hyperlink w:anchor="_Toc1580" w:history="1">
        <w:r>
          <w:rPr>
            <w:rFonts w:ascii="IRNazanin" w:hAnsi="IRNazanin" w:eastAsia="IRNazanin" w:cs="IRNazanin"/>
            <w:color w:val="111111"/>
            <w:sz w:val="22"/>
            <w:szCs w:val="22"/>
            <w:b w:val="0"/>
            <w:bCs w:val="0"/>
            <w:i w:val="0"/>
            <w:iCs w:val="0"/>
          </w:rPr>
          <w:t>اشعار (گردآوری) / شعر /عربی</w:t>
        </w:r>
        <w:r>
          <w:tab/>
        </w:r>
        <w:r>
          <w:fldChar w:fldCharType="begin"/>
        </w:r>
        <w:r>
          <w:instrText xml:space="preserve">PAGEREF 1580 \h</w:instrText>
        </w:r>
        <w:r>
          <w:fldChar w:fldCharType="end"/>
        </w:r>
      </w:hyperlink>
    </w:p>
    <w:p>
      <w:pPr>
        <w:tabs>
          <w:tab w:val="right" w:leader="dot" w:pos="9062"/>
        </w:tabs>
        <w:ind w:left="440"/>
      </w:pPr>
      <w:hyperlink w:anchor="_Toc1581" w:history="1">
        <w:r>
          <w:rPr>
            <w:rFonts w:ascii="IRNazanin" w:hAnsi="IRNazanin" w:eastAsia="IRNazanin" w:cs="IRNazanin"/>
            <w:color w:val="111111"/>
            <w:sz w:val="22"/>
            <w:szCs w:val="22"/>
            <w:b w:val="0"/>
            <w:bCs w:val="0"/>
            <w:i w:val="0"/>
            <w:iCs w:val="0"/>
          </w:rPr>
          <w:t>اشعار (گردآوری) / شعر / فارسی</w:t>
        </w:r>
        <w:r>
          <w:tab/>
        </w:r>
        <w:r>
          <w:fldChar w:fldCharType="begin"/>
        </w:r>
        <w:r>
          <w:instrText xml:space="preserve">PAGEREF 1581 \h</w:instrText>
        </w:r>
        <w:r>
          <w:fldChar w:fldCharType="end"/>
        </w:r>
      </w:hyperlink>
    </w:p>
    <w:p>
      <w:pPr>
        <w:tabs>
          <w:tab w:val="right" w:leader="dot" w:pos="9062"/>
        </w:tabs>
        <w:ind w:left="440"/>
      </w:pPr>
      <w:hyperlink w:anchor="_Toc1582" w:history="1">
        <w:r>
          <w:rPr>
            <w:rFonts w:ascii="IRNazanin" w:hAnsi="IRNazanin" w:eastAsia="IRNazanin" w:cs="IRNazanin"/>
            <w:color w:val="111111"/>
            <w:sz w:val="22"/>
            <w:szCs w:val="22"/>
            <w:b w:val="0"/>
            <w:bCs w:val="0"/>
            <w:i w:val="0"/>
            <w:iCs w:val="0"/>
          </w:rPr>
          <w:t>اشعار (گردآوری) / مراثی,شعر / فارسی</w:t>
        </w:r>
        <w:r>
          <w:tab/>
        </w:r>
        <w:r>
          <w:fldChar w:fldCharType="begin"/>
        </w:r>
        <w:r>
          <w:instrText xml:space="preserve">PAGEREF 1582 \h</w:instrText>
        </w:r>
        <w:r>
          <w:fldChar w:fldCharType="end"/>
        </w:r>
      </w:hyperlink>
    </w:p>
    <w:p>
      <w:pPr>
        <w:tabs>
          <w:tab w:val="right" w:leader="dot" w:pos="9062"/>
        </w:tabs>
        <w:ind w:left="440"/>
      </w:pPr>
      <w:hyperlink w:anchor="_Toc1583" w:history="1">
        <w:r>
          <w:rPr>
            <w:rFonts w:ascii="IRNazanin" w:hAnsi="IRNazanin" w:eastAsia="IRNazanin" w:cs="IRNazanin"/>
            <w:color w:val="111111"/>
            <w:sz w:val="22"/>
            <w:szCs w:val="22"/>
            <w:b w:val="0"/>
            <w:bCs w:val="0"/>
            <w:i w:val="0"/>
            <w:iCs w:val="0"/>
          </w:rPr>
          <w:t>اشعار / شعر / عربی</w:t>
        </w:r>
        <w:r>
          <w:tab/>
        </w:r>
        <w:r>
          <w:fldChar w:fldCharType="begin"/>
        </w:r>
        <w:r>
          <w:instrText xml:space="preserve">PAGEREF 1583 \h</w:instrText>
        </w:r>
        <w:r>
          <w:fldChar w:fldCharType="end"/>
        </w:r>
      </w:hyperlink>
    </w:p>
    <w:p>
      <w:pPr>
        <w:tabs>
          <w:tab w:val="right" w:leader="dot" w:pos="9062"/>
        </w:tabs>
        <w:ind w:left="440"/>
      </w:pPr>
      <w:hyperlink w:anchor="_Toc1584" w:history="1">
        <w:r>
          <w:rPr>
            <w:rFonts w:ascii="IRNazanin" w:hAnsi="IRNazanin" w:eastAsia="IRNazanin" w:cs="IRNazanin"/>
            <w:color w:val="111111"/>
            <w:sz w:val="22"/>
            <w:szCs w:val="22"/>
            <w:b w:val="0"/>
            <w:bCs w:val="0"/>
            <w:i w:val="0"/>
            <w:iCs w:val="0"/>
          </w:rPr>
          <w:t>اشعار / شعر / عربی</w:t>
        </w:r>
        <w:r>
          <w:tab/>
        </w:r>
        <w:r>
          <w:fldChar w:fldCharType="begin"/>
        </w:r>
        <w:r>
          <w:instrText xml:space="preserve">PAGEREF 1584 \h</w:instrText>
        </w:r>
        <w:r>
          <w:fldChar w:fldCharType="end"/>
        </w:r>
      </w:hyperlink>
    </w:p>
    <w:p>
      <w:pPr>
        <w:tabs>
          <w:tab w:val="right" w:leader="dot" w:pos="9062"/>
        </w:tabs>
        <w:ind w:left="440"/>
      </w:pPr>
      <w:hyperlink w:anchor="_Toc1585" w:history="1">
        <w:r>
          <w:rPr>
            <w:rFonts w:ascii="IRNazanin" w:hAnsi="IRNazanin" w:eastAsia="IRNazanin" w:cs="IRNazanin"/>
            <w:color w:val="111111"/>
            <w:sz w:val="22"/>
            <w:szCs w:val="22"/>
            <w:b w:val="0"/>
            <w:bCs w:val="0"/>
            <w:i w:val="0"/>
            <w:iCs w:val="0"/>
          </w:rPr>
          <w:t>اشعار (گردآوری) / شعر /عربی</w:t>
        </w:r>
        <w:r>
          <w:tab/>
        </w:r>
        <w:r>
          <w:fldChar w:fldCharType="begin"/>
        </w:r>
        <w:r>
          <w:instrText xml:space="preserve">PAGEREF 1585 \h</w:instrText>
        </w:r>
        <w:r>
          <w:fldChar w:fldCharType="end"/>
        </w:r>
      </w:hyperlink>
    </w:p>
    <w:p>
      <w:pPr>
        <w:tabs>
          <w:tab w:val="right" w:leader="dot" w:pos="9062"/>
        </w:tabs>
        <w:ind w:left="440"/>
      </w:pPr>
      <w:hyperlink w:anchor="_Toc1586" w:history="1">
        <w:r>
          <w:rPr>
            <w:rFonts w:ascii="IRNazanin" w:hAnsi="IRNazanin" w:eastAsia="IRNazanin" w:cs="IRNazanin"/>
            <w:color w:val="111111"/>
            <w:sz w:val="22"/>
            <w:szCs w:val="22"/>
            <w:b w:val="0"/>
            <w:bCs w:val="0"/>
            <w:i w:val="0"/>
            <w:iCs w:val="0"/>
          </w:rPr>
          <w:t>اشعار (گردآوری) / شعر / فارسی</w:t>
        </w:r>
        <w:r>
          <w:tab/>
        </w:r>
        <w:r>
          <w:fldChar w:fldCharType="begin"/>
        </w:r>
        <w:r>
          <w:instrText xml:space="preserve">PAGEREF 1586 \h</w:instrText>
        </w:r>
        <w:r>
          <w:fldChar w:fldCharType="end"/>
        </w:r>
      </w:hyperlink>
    </w:p>
    <w:p>
      <w:pPr>
        <w:tabs>
          <w:tab w:val="right" w:leader="dot" w:pos="9062"/>
        </w:tabs>
        <w:ind w:left="440"/>
      </w:pPr>
      <w:hyperlink w:anchor="_Toc1587" w:history="1">
        <w:r>
          <w:rPr>
            <w:rFonts w:ascii="IRNazanin" w:hAnsi="IRNazanin" w:eastAsia="IRNazanin" w:cs="IRNazanin"/>
            <w:color w:val="111111"/>
            <w:sz w:val="22"/>
            <w:szCs w:val="22"/>
            <w:b w:val="0"/>
            <w:bCs w:val="0"/>
            <w:i w:val="0"/>
            <w:iCs w:val="0"/>
          </w:rPr>
          <w:t>اشعار (گردآوری) / شعر / فارسی</w:t>
        </w:r>
        <w:r>
          <w:tab/>
        </w:r>
        <w:r>
          <w:fldChar w:fldCharType="begin"/>
        </w:r>
        <w:r>
          <w:instrText xml:space="preserve">PAGEREF 1587 \h</w:instrText>
        </w:r>
        <w:r>
          <w:fldChar w:fldCharType="end"/>
        </w:r>
      </w:hyperlink>
    </w:p>
    <w:p>
      <w:pPr>
        <w:tabs>
          <w:tab w:val="right" w:leader="dot" w:pos="9062"/>
        </w:tabs>
        <w:ind w:left="440"/>
      </w:pPr>
      <w:hyperlink w:anchor="_Toc1588" w:history="1">
        <w:r>
          <w:rPr>
            <w:rFonts w:ascii="IRNazanin" w:hAnsi="IRNazanin" w:eastAsia="IRNazanin" w:cs="IRNazanin"/>
            <w:color w:val="111111"/>
            <w:sz w:val="22"/>
            <w:szCs w:val="22"/>
            <w:b w:val="0"/>
            <w:bCs w:val="0"/>
            <w:i w:val="0"/>
            <w:iCs w:val="0"/>
          </w:rPr>
          <w:t>اشعار (گردآوری) / شعر / فارسی</w:t>
        </w:r>
        <w:r>
          <w:tab/>
        </w:r>
        <w:r>
          <w:fldChar w:fldCharType="begin"/>
        </w:r>
        <w:r>
          <w:instrText xml:space="preserve">PAGEREF 1588 \h</w:instrText>
        </w:r>
        <w:r>
          <w:fldChar w:fldCharType="end"/>
        </w:r>
      </w:hyperlink>
    </w:p>
    <w:p>
      <w:pPr>
        <w:tabs>
          <w:tab w:val="right" w:leader="dot" w:pos="9062"/>
        </w:tabs>
        <w:ind w:left="440"/>
      </w:pPr>
      <w:hyperlink w:anchor="_Toc1589" w:history="1">
        <w:r>
          <w:rPr>
            <w:rFonts w:ascii="IRNazanin" w:hAnsi="IRNazanin" w:eastAsia="IRNazanin" w:cs="IRNazanin"/>
            <w:color w:val="111111"/>
            <w:sz w:val="22"/>
            <w:szCs w:val="22"/>
            <w:b w:val="0"/>
            <w:bCs w:val="0"/>
            <w:i w:val="0"/>
            <w:iCs w:val="0"/>
          </w:rPr>
          <w:t>اشعار (گردآوری) / شعر / فارسی</w:t>
        </w:r>
        <w:r>
          <w:tab/>
        </w:r>
        <w:r>
          <w:fldChar w:fldCharType="begin"/>
        </w:r>
        <w:r>
          <w:instrText xml:space="preserve">PAGEREF 1589 \h</w:instrText>
        </w:r>
        <w:r>
          <w:fldChar w:fldCharType="end"/>
        </w:r>
      </w:hyperlink>
    </w:p>
    <w:p>
      <w:pPr>
        <w:tabs>
          <w:tab w:val="right" w:leader="dot" w:pos="9062"/>
        </w:tabs>
        <w:ind w:left="440"/>
      </w:pPr>
      <w:hyperlink w:anchor="_Toc1590" w:history="1">
        <w:r>
          <w:rPr>
            <w:rFonts w:ascii="IRNazanin" w:hAnsi="IRNazanin" w:eastAsia="IRNazanin" w:cs="IRNazanin"/>
            <w:color w:val="111111"/>
            <w:sz w:val="22"/>
            <w:szCs w:val="22"/>
            <w:b w:val="0"/>
            <w:bCs w:val="0"/>
            <w:i w:val="0"/>
            <w:iCs w:val="0"/>
          </w:rPr>
          <w:t>اشعار (گردآوری) / شعر / فارسی</w:t>
        </w:r>
        <w:r>
          <w:tab/>
        </w:r>
        <w:r>
          <w:fldChar w:fldCharType="begin"/>
        </w:r>
        <w:r>
          <w:instrText xml:space="preserve">PAGEREF 1590 \h</w:instrText>
        </w:r>
        <w:r>
          <w:fldChar w:fldCharType="end"/>
        </w:r>
      </w:hyperlink>
    </w:p>
    <w:p>
      <w:pPr>
        <w:tabs>
          <w:tab w:val="right" w:leader="dot" w:pos="9062"/>
        </w:tabs>
        <w:ind w:left="440"/>
      </w:pPr>
      <w:hyperlink w:anchor="_Toc1591" w:history="1">
        <w:r>
          <w:rPr>
            <w:rFonts w:ascii="IRNazanin" w:hAnsi="IRNazanin" w:eastAsia="IRNazanin" w:cs="IRNazanin"/>
            <w:color w:val="111111"/>
            <w:sz w:val="22"/>
            <w:szCs w:val="22"/>
            <w:b w:val="0"/>
            <w:bCs w:val="0"/>
            <w:i w:val="0"/>
            <w:iCs w:val="0"/>
          </w:rPr>
          <w:t>اشعار (گردآوری) / شعر / فارسی</w:t>
        </w:r>
        <w:r>
          <w:tab/>
        </w:r>
        <w:r>
          <w:fldChar w:fldCharType="begin"/>
        </w:r>
        <w:r>
          <w:instrText xml:space="preserve">PAGEREF 1591 \h</w:instrText>
        </w:r>
        <w:r>
          <w:fldChar w:fldCharType="end"/>
        </w:r>
      </w:hyperlink>
    </w:p>
    <w:p>
      <w:pPr>
        <w:tabs>
          <w:tab w:val="right" w:leader="dot" w:pos="9062"/>
        </w:tabs>
        <w:ind w:left="440"/>
      </w:pPr>
      <w:hyperlink w:anchor="_Toc1592" w:history="1">
        <w:r>
          <w:rPr>
            <w:rFonts w:ascii="IRNazanin" w:hAnsi="IRNazanin" w:eastAsia="IRNazanin" w:cs="IRNazanin"/>
            <w:color w:val="111111"/>
            <w:sz w:val="22"/>
            <w:szCs w:val="22"/>
            <w:b w:val="0"/>
            <w:bCs w:val="0"/>
            <w:i w:val="0"/>
            <w:iCs w:val="0"/>
          </w:rPr>
          <w:t>اشعار (گردآوری) / شعر / فارسی</w:t>
        </w:r>
        <w:r>
          <w:tab/>
        </w:r>
        <w:r>
          <w:fldChar w:fldCharType="begin"/>
        </w:r>
        <w:r>
          <w:instrText xml:space="preserve">PAGEREF 1592 \h</w:instrText>
        </w:r>
        <w:r>
          <w:fldChar w:fldCharType="end"/>
        </w:r>
      </w:hyperlink>
    </w:p>
    <w:p>
      <w:pPr>
        <w:tabs>
          <w:tab w:val="right" w:leader="dot" w:pos="9062"/>
        </w:tabs>
        <w:ind w:left="440"/>
      </w:pPr>
      <w:hyperlink w:anchor="_Toc1593" w:history="1">
        <w:r>
          <w:rPr>
            <w:rFonts w:ascii="IRNazanin" w:hAnsi="IRNazanin" w:eastAsia="IRNazanin" w:cs="IRNazanin"/>
            <w:color w:val="111111"/>
            <w:sz w:val="22"/>
            <w:szCs w:val="22"/>
            <w:b w:val="0"/>
            <w:bCs w:val="0"/>
            <w:i w:val="0"/>
            <w:iCs w:val="0"/>
          </w:rPr>
          <w:t>اشعار (گردآوری) / شعر / عربی</w:t>
        </w:r>
        <w:r>
          <w:tab/>
        </w:r>
        <w:r>
          <w:fldChar w:fldCharType="begin"/>
        </w:r>
        <w:r>
          <w:instrText xml:space="preserve">PAGEREF 1593 \h</w:instrText>
        </w:r>
        <w:r>
          <w:fldChar w:fldCharType="end"/>
        </w:r>
      </w:hyperlink>
    </w:p>
    <w:p>
      <w:pPr>
        <w:tabs>
          <w:tab w:val="right" w:leader="dot" w:pos="9062"/>
        </w:tabs>
        <w:ind w:left="440"/>
      </w:pPr>
      <w:hyperlink w:anchor="_Toc1594" w:history="1">
        <w:r>
          <w:rPr>
            <w:rFonts w:ascii="IRNazanin" w:hAnsi="IRNazanin" w:eastAsia="IRNazanin" w:cs="IRNazanin"/>
            <w:color w:val="111111"/>
            <w:sz w:val="22"/>
            <w:szCs w:val="22"/>
            <w:b w:val="0"/>
            <w:bCs w:val="0"/>
            <w:i w:val="0"/>
            <w:iCs w:val="0"/>
          </w:rPr>
          <w:t>اشعار لطيفة تناسب المكاتبات ... / شعر / عربي</w:t>
        </w:r>
        <w:r>
          <w:tab/>
        </w:r>
        <w:r>
          <w:fldChar w:fldCharType="begin"/>
        </w:r>
        <w:r>
          <w:instrText xml:space="preserve">PAGEREF 1594 \h</w:instrText>
        </w:r>
        <w:r>
          <w:fldChar w:fldCharType="end"/>
        </w:r>
      </w:hyperlink>
    </w:p>
    <w:p>
      <w:pPr>
        <w:tabs>
          <w:tab w:val="right" w:leader="dot" w:pos="9062"/>
        </w:tabs>
        <w:ind w:left="440"/>
      </w:pPr>
      <w:hyperlink w:anchor="_Toc1595" w:history="1">
        <w:r>
          <w:rPr>
            <w:rFonts w:ascii="IRNazanin" w:hAnsi="IRNazanin" w:eastAsia="IRNazanin" w:cs="IRNazanin"/>
            <w:color w:val="111111"/>
            <w:sz w:val="22"/>
            <w:szCs w:val="22"/>
            <w:b w:val="0"/>
            <w:bCs w:val="0"/>
            <w:i w:val="0"/>
            <w:iCs w:val="0"/>
          </w:rPr>
          <w:t>اشعار مراسم شاهچراغ / گوناگون / فارسی</w:t>
        </w:r>
        <w:r>
          <w:tab/>
        </w:r>
        <w:r>
          <w:fldChar w:fldCharType="begin"/>
        </w:r>
        <w:r>
          <w:instrText xml:space="preserve">PAGEREF 1595 \h</w:instrText>
        </w:r>
        <w:r>
          <w:fldChar w:fldCharType="end"/>
        </w:r>
      </w:hyperlink>
    </w:p>
    <w:p>
      <w:pPr>
        <w:tabs>
          <w:tab w:val="right" w:leader="dot" w:pos="9062"/>
        </w:tabs>
        <w:ind w:left="440"/>
      </w:pPr>
      <w:hyperlink w:anchor="_Toc1596" w:history="1">
        <w:r>
          <w:rPr>
            <w:rFonts w:ascii="IRNazanin" w:hAnsi="IRNazanin" w:eastAsia="IRNazanin" w:cs="IRNazanin"/>
            <w:color w:val="111111"/>
            <w:sz w:val="22"/>
            <w:szCs w:val="22"/>
            <w:b w:val="0"/>
            <w:bCs w:val="0"/>
            <w:i w:val="0"/>
            <w:iCs w:val="0"/>
          </w:rPr>
          <w:t>اشعار مسعودی (منتخب) / شعر / فارسی</w:t>
        </w:r>
        <w:r>
          <w:tab/>
        </w:r>
        <w:r>
          <w:fldChar w:fldCharType="begin"/>
        </w:r>
        <w:r>
          <w:instrText xml:space="preserve">PAGEREF 1596 \h</w:instrText>
        </w:r>
        <w:r>
          <w:fldChar w:fldCharType="end"/>
        </w:r>
      </w:hyperlink>
    </w:p>
    <w:p>
      <w:pPr>
        <w:tabs>
          <w:tab w:val="right" w:leader="dot" w:pos="9062"/>
        </w:tabs>
        <w:ind w:left="440"/>
      </w:pPr>
      <w:hyperlink w:anchor="_Toc1597" w:history="1">
        <w:r>
          <w:rPr>
            <w:rFonts w:ascii="IRNazanin" w:hAnsi="IRNazanin" w:eastAsia="IRNazanin" w:cs="IRNazanin"/>
            <w:color w:val="111111"/>
            <w:sz w:val="22"/>
            <w:szCs w:val="22"/>
            <w:b w:val="0"/>
            <w:bCs w:val="0"/>
            <w:i w:val="0"/>
            <w:iCs w:val="0"/>
          </w:rPr>
          <w:t>اشعار معمیات / معما، شعر / عربی</w:t>
        </w:r>
        <w:r>
          <w:tab/>
        </w:r>
        <w:r>
          <w:fldChar w:fldCharType="begin"/>
        </w:r>
        <w:r>
          <w:instrText xml:space="preserve">PAGEREF 1597 \h</w:instrText>
        </w:r>
        <w:r>
          <w:fldChar w:fldCharType="end"/>
        </w:r>
      </w:hyperlink>
    </w:p>
    <w:p>
      <w:pPr>
        <w:tabs>
          <w:tab w:val="right" w:leader="dot" w:pos="9062"/>
        </w:tabs>
        <w:ind w:left="440"/>
      </w:pPr>
      <w:hyperlink w:anchor="_Toc1598" w:history="1">
        <w:r>
          <w:rPr>
            <w:rFonts w:ascii="IRNazanin" w:hAnsi="IRNazanin" w:eastAsia="IRNazanin" w:cs="IRNazanin"/>
            <w:color w:val="111111"/>
            <w:sz w:val="22"/>
            <w:szCs w:val="22"/>
            <w:b w:val="0"/>
            <w:bCs w:val="0"/>
            <w:i w:val="0"/>
            <w:iCs w:val="0"/>
          </w:rPr>
          <w:t>اشعار مقتل ابی مخنف / شعر, تاریخ / عربی</w:t>
        </w:r>
        <w:r>
          <w:tab/>
        </w:r>
        <w:r>
          <w:fldChar w:fldCharType="begin"/>
        </w:r>
        <w:r>
          <w:instrText xml:space="preserve">PAGEREF 1598 \h</w:instrText>
        </w:r>
        <w:r>
          <w:fldChar w:fldCharType="end"/>
        </w:r>
      </w:hyperlink>
    </w:p>
    <w:p>
      <w:pPr>
        <w:tabs>
          <w:tab w:val="right" w:leader="dot" w:pos="9062"/>
        </w:tabs>
        <w:ind w:left="440"/>
      </w:pPr>
      <w:hyperlink w:anchor="_Toc1599" w:history="1">
        <w:r>
          <w:rPr>
            <w:rFonts w:ascii="IRNazanin" w:hAnsi="IRNazanin" w:eastAsia="IRNazanin" w:cs="IRNazanin"/>
            <w:color w:val="111111"/>
            <w:sz w:val="22"/>
            <w:szCs w:val="22"/>
            <w:b w:val="0"/>
            <w:bCs w:val="0"/>
            <w:i w:val="0"/>
            <w:iCs w:val="0"/>
          </w:rPr>
          <w:t>اشعار ملا صالحا / شعر / فارسی</w:t>
        </w:r>
        <w:r>
          <w:tab/>
        </w:r>
        <w:r>
          <w:fldChar w:fldCharType="begin"/>
        </w:r>
        <w:r>
          <w:instrText xml:space="preserve">PAGEREF 1599 \h</w:instrText>
        </w:r>
        <w:r>
          <w:fldChar w:fldCharType="end"/>
        </w:r>
      </w:hyperlink>
    </w:p>
    <w:p>
      <w:pPr>
        <w:tabs>
          <w:tab w:val="right" w:leader="dot" w:pos="9062"/>
        </w:tabs>
        <w:ind w:left="440"/>
      </w:pPr>
      <w:hyperlink w:anchor="_Toc1600" w:history="1">
        <w:r>
          <w:rPr>
            <w:rFonts w:ascii="IRNazanin" w:hAnsi="IRNazanin" w:eastAsia="IRNazanin" w:cs="IRNazanin"/>
            <w:color w:val="111111"/>
            <w:sz w:val="22"/>
            <w:szCs w:val="22"/>
            <w:b w:val="0"/>
            <w:bCs w:val="0"/>
            <w:i w:val="0"/>
            <w:iCs w:val="0"/>
          </w:rPr>
          <w:t>اشعار منتخب با ترجمه (منظوم) / شعر / عربی و فارسی</w:t>
        </w:r>
        <w:r>
          <w:tab/>
        </w:r>
        <w:r>
          <w:fldChar w:fldCharType="begin"/>
        </w:r>
        <w:r>
          <w:instrText xml:space="preserve">PAGEREF 1600 \h</w:instrText>
        </w:r>
        <w:r>
          <w:fldChar w:fldCharType="end"/>
        </w:r>
      </w:hyperlink>
    </w:p>
    <w:p>
      <w:pPr>
        <w:tabs>
          <w:tab w:val="right" w:leader="dot" w:pos="9062"/>
        </w:tabs>
        <w:ind w:left="440"/>
      </w:pPr>
      <w:hyperlink w:anchor="_Toc1601" w:history="1">
        <w:r>
          <w:rPr>
            <w:rFonts w:ascii="IRNazanin" w:hAnsi="IRNazanin" w:eastAsia="IRNazanin" w:cs="IRNazanin"/>
            <w:color w:val="111111"/>
            <w:sz w:val="22"/>
            <w:szCs w:val="22"/>
            <w:b w:val="0"/>
            <w:bCs w:val="0"/>
            <w:i w:val="0"/>
            <w:iCs w:val="0"/>
          </w:rPr>
          <w:t>اشعار مولانا ولی دشت بیاضی / شعر / فارسی</w:t>
        </w:r>
        <w:r>
          <w:tab/>
        </w:r>
        <w:r>
          <w:fldChar w:fldCharType="begin"/>
        </w:r>
        <w:r>
          <w:instrText xml:space="preserve">PAGEREF 1601 \h</w:instrText>
        </w:r>
        <w:r>
          <w:fldChar w:fldCharType="end"/>
        </w:r>
      </w:hyperlink>
    </w:p>
    <w:p>
      <w:pPr>
        <w:tabs>
          <w:tab w:val="right" w:leader="dot" w:pos="9062"/>
        </w:tabs>
        <w:ind w:left="440"/>
      </w:pPr>
      <w:hyperlink w:anchor="_Toc1602" w:history="1">
        <w:r>
          <w:rPr>
            <w:rFonts w:ascii="IRNazanin" w:hAnsi="IRNazanin" w:eastAsia="IRNazanin" w:cs="IRNazanin"/>
            <w:color w:val="111111"/>
            <w:sz w:val="22"/>
            <w:szCs w:val="22"/>
            <w:b w:val="0"/>
            <w:bCs w:val="0"/>
            <w:i w:val="0"/>
            <w:iCs w:val="0"/>
          </w:rPr>
          <w:t>اشعار نظیری / شعر - فارسی</w:t>
        </w:r>
        <w:r>
          <w:tab/>
        </w:r>
        <w:r>
          <w:fldChar w:fldCharType="begin"/>
        </w:r>
        <w:r>
          <w:instrText xml:space="preserve">PAGEREF 1602 \h</w:instrText>
        </w:r>
        <w:r>
          <w:fldChar w:fldCharType="end"/>
        </w:r>
      </w:hyperlink>
    </w:p>
    <w:p>
      <w:pPr>
        <w:tabs>
          <w:tab w:val="right" w:leader="dot" w:pos="9062"/>
        </w:tabs>
        <w:ind w:left="440"/>
      </w:pPr>
      <w:hyperlink w:anchor="_Toc1603" w:history="1">
        <w:r>
          <w:rPr>
            <w:rFonts w:ascii="IRNazanin" w:hAnsi="IRNazanin" w:eastAsia="IRNazanin" w:cs="IRNazanin"/>
            <w:color w:val="111111"/>
            <w:sz w:val="22"/>
            <w:szCs w:val="22"/>
            <w:b w:val="0"/>
            <w:bCs w:val="0"/>
            <w:i w:val="0"/>
            <w:iCs w:val="0"/>
          </w:rPr>
          <w:t>اشعار و احادیث / گوناگون / فارسی</w:t>
        </w:r>
        <w:r>
          <w:tab/>
        </w:r>
        <w:r>
          <w:fldChar w:fldCharType="begin"/>
        </w:r>
        <w:r>
          <w:instrText xml:space="preserve">PAGEREF 1603 \h</w:instrText>
        </w:r>
        <w:r>
          <w:fldChar w:fldCharType="end"/>
        </w:r>
      </w:hyperlink>
    </w:p>
    <w:p>
      <w:pPr>
        <w:tabs>
          <w:tab w:val="right" w:leader="dot" w:pos="9062"/>
        </w:tabs>
        <w:ind w:left="440"/>
      </w:pPr>
      <w:hyperlink w:anchor="_Toc1604" w:history="1">
        <w:r>
          <w:rPr>
            <w:rFonts w:ascii="IRNazanin" w:hAnsi="IRNazanin" w:eastAsia="IRNazanin" w:cs="IRNazanin"/>
            <w:color w:val="111111"/>
            <w:sz w:val="22"/>
            <w:szCs w:val="22"/>
            <w:b w:val="0"/>
            <w:bCs w:val="0"/>
            <w:i w:val="0"/>
            <w:iCs w:val="0"/>
          </w:rPr>
          <w:t>اشعار و احادیث / شعر، حدیث / عربی</w:t>
        </w:r>
        <w:r>
          <w:tab/>
        </w:r>
        <w:r>
          <w:fldChar w:fldCharType="begin"/>
        </w:r>
        <w:r>
          <w:instrText xml:space="preserve">PAGEREF 1604 \h</w:instrText>
        </w:r>
        <w:r>
          <w:fldChar w:fldCharType="end"/>
        </w:r>
      </w:hyperlink>
    </w:p>
    <w:p>
      <w:pPr>
        <w:tabs>
          <w:tab w:val="right" w:leader="dot" w:pos="9062"/>
        </w:tabs>
        <w:ind w:left="440"/>
      </w:pPr>
      <w:hyperlink w:anchor="_Toc1605" w:history="1">
        <w:r>
          <w:rPr>
            <w:rFonts w:ascii="IRNazanin" w:hAnsi="IRNazanin" w:eastAsia="IRNazanin" w:cs="IRNazanin"/>
            <w:color w:val="111111"/>
            <w:sz w:val="22"/>
            <w:szCs w:val="22"/>
            <w:b w:val="0"/>
            <w:bCs w:val="0"/>
            <w:i w:val="0"/>
            <w:iCs w:val="0"/>
          </w:rPr>
          <w:t>اشعار و احادیث / شعر, حدیث / عربی و فارسی</w:t>
        </w:r>
        <w:r>
          <w:tab/>
        </w:r>
        <w:r>
          <w:fldChar w:fldCharType="begin"/>
        </w:r>
        <w:r>
          <w:instrText xml:space="preserve">PAGEREF 1605 \h</w:instrText>
        </w:r>
        <w:r>
          <w:fldChar w:fldCharType="end"/>
        </w:r>
      </w:hyperlink>
    </w:p>
    <w:p>
      <w:pPr>
        <w:tabs>
          <w:tab w:val="right" w:leader="dot" w:pos="9062"/>
        </w:tabs>
        <w:ind w:left="440"/>
      </w:pPr>
      <w:hyperlink w:anchor="_Toc1606" w:history="1">
        <w:r>
          <w:rPr>
            <w:rFonts w:ascii="IRNazanin" w:hAnsi="IRNazanin" w:eastAsia="IRNazanin" w:cs="IRNazanin"/>
            <w:color w:val="111111"/>
            <w:sz w:val="22"/>
            <w:szCs w:val="22"/>
            <w:b w:val="0"/>
            <w:bCs w:val="0"/>
            <w:i w:val="0"/>
            <w:iCs w:val="0"/>
          </w:rPr>
          <w:t>اشعار و ادعیه / متفرقه / فارسی</w:t>
        </w:r>
        <w:r>
          <w:tab/>
        </w:r>
        <w:r>
          <w:fldChar w:fldCharType="begin"/>
        </w:r>
        <w:r>
          <w:instrText xml:space="preserve">PAGEREF 1606 \h</w:instrText>
        </w:r>
        <w:r>
          <w:fldChar w:fldCharType="end"/>
        </w:r>
      </w:hyperlink>
    </w:p>
    <w:p>
      <w:pPr>
        <w:tabs>
          <w:tab w:val="right" w:leader="dot" w:pos="9062"/>
        </w:tabs>
        <w:ind w:left="440"/>
      </w:pPr>
      <w:hyperlink w:anchor="_Toc1607" w:history="1">
        <w:r>
          <w:rPr>
            <w:rFonts w:ascii="IRNazanin" w:hAnsi="IRNazanin" w:eastAsia="IRNazanin" w:cs="IRNazanin"/>
            <w:color w:val="111111"/>
            <w:sz w:val="22"/>
            <w:szCs w:val="22"/>
            <w:b w:val="0"/>
            <w:bCs w:val="0"/>
            <w:i w:val="0"/>
            <w:iCs w:val="0"/>
          </w:rPr>
          <w:t>اشعار و ادعیه / شعر، دعا / عربی – فارسی</w:t>
        </w:r>
        <w:r>
          <w:tab/>
        </w:r>
        <w:r>
          <w:fldChar w:fldCharType="begin"/>
        </w:r>
        <w:r>
          <w:instrText xml:space="preserve">PAGEREF 1607 \h</w:instrText>
        </w:r>
        <w:r>
          <w:fldChar w:fldCharType="end"/>
        </w:r>
      </w:hyperlink>
    </w:p>
    <w:p>
      <w:pPr>
        <w:tabs>
          <w:tab w:val="right" w:leader="dot" w:pos="9062"/>
        </w:tabs>
        <w:ind w:left="440"/>
      </w:pPr>
      <w:hyperlink w:anchor="_Toc1608" w:history="1">
        <w:r>
          <w:rPr>
            <w:rFonts w:ascii="IRNazanin" w:hAnsi="IRNazanin" w:eastAsia="IRNazanin" w:cs="IRNazanin"/>
            <w:color w:val="111111"/>
            <w:sz w:val="22"/>
            <w:szCs w:val="22"/>
            <w:b w:val="0"/>
            <w:bCs w:val="0"/>
            <w:i w:val="0"/>
            <w:iCs w:val="0"/>
          </w:rPr>
          <w:t>اشعار و اسناد صفویه / شعر ، اسناد / فارسی</w:t>
        </w:r>
        <w:r>
          <w:tab/>
        </w:r>
        <w:r>
          <w:fldChar w:fldCharType="begin"/>
        </w:r>
        <w:r>
          <w:instrText xml:space="preserve">PAGEREF 1608 \h</w:instrText>
        </w:r>
        <w:r>
          <w:fldChar w:fldCharType="end"/>
        </w:r>
      </w:hyperlink>
    </w:p>
    <w:p>
      <w:pPr>
        <w:tabs>
          <w:tab w:val="right" w:leader="dot" w:pos="9062"/>
        </w:tabs>
        <w:ind w:left="440"/>
      </w:pPr>
      <w:hyperlink w:anchor="_Toc1609" w:history="1">
        <w:r>
          <w:rPr>
            <w:rFonts w:ascii="IRNazanin" w:hAnsi="IRNazanin" w:eastAsia="IRNazanin" w:cs="IRNazanin"/>
            <w:color w:val="111111"/>
            <w:sz w:val="22"/>
            <w:szCs w:val="22"/>
            <w:b w:val="0"/>
            <w:bCs w:val="0"/>
            <w:i w:val="0"/>
            <w:iCs w:val="0"/>
          </w:rPr>
          <w:t>اشعار و امثال / ادبیات / عربی</w:t>
        </w:r>
        <w:r>
          <w:tab/>
        </w:r>
        <w:r>
          <w:fldChar w:fldCharType="begin"/>
        </w:r>
        <w:r>
          <w:instrText xml:space="preserve">PAGEREF 1609 \h</w:instrText>
        </w:r>
        <w:r>
          <w:fldChar w:fldCharType="end"/>
        </w:r>
      </w:hyperlink>
    </w:p>
    <w:p>
      <w:pPr>
        <w:tabs>
          <w:tab w:val="right" w:leader="dot" w:pos="9062"/>
        </w:tabs>
        <w:ind w:left="440"/>
      </w:pPr>
      <w:hyperlink w:anchor="_Toc1610" w:history="1">
        <w:r>
          <w:rPr>
            <w:rFonts w:ascii="IRNazanin" w:hAnsi="IRNazanin" w:eastAsia="IRNazanin" w:cs="IRNazanin"/>
            <w:color w:val="111111"/>
            <w:sz w:val="22"/>
            <w:szCs w:val="22"/>
            <w:b w:val="0"/>
            <w:bCs w:val="0"/>
            <w:i w:val="0"/>
            <w:iCs w:val="0"/>
          </w:rPr>
          <w:t>اشعار و تراجم (منتخب) / شعر, تراجم / فارسی</w:t>
        </w:r>
        <w:r>
          <w:tab/>
        </w:r>
        <w:r>
          <w:fldChar w:fldCharType="begin"/>
        </w:r>
        <w:r>
          <w:instrText xml:space="preserve">PAGEREF 1610 \h</w:instrText>
        </w:r>
        <w:r>
          <w:fldChar w:fldCharType="end"/>
        </w:r>
      </w:hyperlink>
    </w:p>
    <w:p>
      <w:pPr>
        <w:tabs>
          <w:tab w:val="right" w:leader="dot" w:pos="9062"/>
        </w:tabs>
        <w:ind w:left="440"/>
      </w:pPr>
      <w:hyperlink w:anchor="_Toc1611" w:history="1">
        <w:r>
          <w:rPr>
            <w:rFonts w:ascii="IRNazanin" w:hAnsi="IRNazanin" w:eastAsia="IRNazanin" w:cs="IRNazanin"/>
            <w:color w:val="111111"/>
            <w:sz w:val="22"/>
            <w:szCs w:val="22"/>
            <w:b w:val="0"/>
            <w:bCs w:val="0"/>
            <w:i w:val="0"/>
            <w:iCs w:val="0"/>
          </w:rPr>
          <w:t>اشعار و حالات / شعر / فارسی</w:t>
        </w:r>
        <w:r>
          <w:tab/>
        </w:r>
        <w:r>
          <w:fldChar w:fldCharType="begin"/>
        </w:r>
        <w:r>
          <w:instrText xml:space="preserve">PAGEREF 1611 \h</w:instrText>
        </w:r>
        <w:r>
          <w:fldChar w:fldCharType="end"/>
        </w:r>
      </w:hyperlink>
    </w:p>
    <w:p>
      <w:pPr>
        <w:tabs>
          <w:tab w:val="right" w:leader="dot" w:pos="9062"/>
        </w:tabs>
        <w:ind w:left="440"/>
      </w:pPr>
      <w:hyperlink w:anchor="_Toc1612" w:history="1">
        <w:r>
          <w:rPr>
            <w:rFonts w:ascii="IRNazanin" w:hAnsi="IRNazanin" w:eastAsia="IRNazanin" w:cs="IRNazanin"/>
            <w:color w:val="111111"/>
            <w:sz w:val="22"/>
            <w:szCs w:val="22"/>
            <w:b w:val="0"/>
            <w:bCs w:val="0"/>
            <w:i w:val="0"/>
            <w:iCs w:val="0"/>
          </w:rPr>
          <w:t>اشعار و حکایات / شعر، داستان / فارسی</w:t>
        </w:r>
        <w:r>
          <w:tab/>
        </w:r>
        <w:r>
          <w:fldChar w:fldCharType="begin"/>
        </w:r>
        <w:r>
          <w:instrText xml:space="preserve">PAGEREF 1612 \h</w:instrText>
        </w:r>
        <w:r>
          <w:fldChar w:fldCharType="end"/>
        </w:r>
      </w:hyperlink>
    </w:p>
    <w:p>
      <w:pPr>
        <w:tabs>
          <w:tab w:val="right" w:leader="dot" w:pos="9062"/>
        </w:tabs>
        <w:ind w:left="440"/>
      </w:pPr>
      <w:hyperlink w:anchor="_Toc1613" w:history="1">
        <w:r>
          <w:rPr>
            <w:rFonts w:ascii="IRNazanin" w:hAnsi="IRNazanin" w:eastAsia="IRNazanin" w:cs="IRNazanin"/>
            <w:color w:val="111111"/>
            <w:sz w:val="22"/>
            <w:szCs w:val="22"/>
            <w:b w:val="0"/>
            <w:bCs w:val="0"/>
            <w:i w:val="0"/>
            <w:iCs w:val="0"/>
          </w:rPr>
          <w:t>اشعار و حکایات / شعر، داستان / عربی</w:t>
        </w:r>
        <w:r>
          <w:tab/>
        </w:r>
        <w:r>
          <w:fldChar w:fldCharType="begin"/>
        </w:r>
        <w:r>
          <w:instrText xml:space="preserve">PAGEREF 1613 \h</w:instrText>
        </w:r>
        <w:r>
          <w:fldChar w:fldCharType="end"/>
        </w:r>
      </w:hyperlink>
    </w:p>
    <w:p>
      <w:pPr>
        <w:tabs>
          <w:tab w:val="right" w:leader="dot" w:pos="9062"/>
        </w:tabs>
        <w:ind w:left="440"/>
      </w:pPr>
      <w:hyperlink w:anchor="_Toc1614" w:history="1">
        <w:r>
          <w:rPr>
            <w:rFonts w:ascii="IRNazanin" w:hAnsi="IRNazanin" w:eastAsia="IRNazanin" w:cs="IRNazanin"/>
            <w:color w:val="111111"/>
            <w:sz w:val="22"/>
            <w:szCs w:val="22"/>
            <w:b w:val="0"/>
            <w:bCs w:val="0"/>
            <w:i w:val="0"/>
            <w:iCs w:val="0"/>
          </w:rPr>
          <w:t>اشعار و حکایات / شعر، داستان / فارسی</w:t>
        </w:r>
        <w:r>
          <w:tab/>
        </w:r>
        <w:r>
          <w:fldChar w:fldCharType="begin"/>
        </w:r>
        <w:r>
          <w:instrText xml:space="preserve">PAGEREF 1614 \h</w:instrText>
        </w:r>
        <w:r>
          <w:fldChar w:fldCharType="end"/>
        </w:r>
      </w:hyperlink>
    </w:p>
    <w:p>
      <w:pPr>
        <w:tabs>
          <w:tab w:val="right" w:leader="dot" w:pos="9062"/>
        </w:tabs>
        <w:ind w:left="440"/>
      </w:pPr>
      <w:hyperlink w:anchor="_Toc1615" w:history="1">
        <w:r>
          <w:rPr>
            <w:rFonts w:ascii="IRNazanin" w:hAnsi="IRNazanin" w:eastAsia="IRNazanin" w:cs="IRNazanin"/>
            <w:color w:val="111111"/>
            <w:sz w:val="22"/>
            <w:szCs w:val="22"/>
            <w:b w:val="0"/>
            <w:bCs w:val="0"/>
            <w:i w:val="0"/>
            <w:iCs w:val="0"/>
          </w:rPr>
          <w:t>اشعار و خاطرات = جنگ یادداشت مانند / گوناگو ن / فارسی</w:t>
        </w:r>
        <w:r>
          <w:tab/>
        </w:r>
        <w:r>
          <w:fldChar w:fldCharType="begin"/>
        </w:r>
        <w:r>
          <w:instrText xml:space="preserve">PAGEREF 1615 \h</w:instrText>
        </w:r>
        <w:r>
          <w:fldChar w:fldCharType="end"/>
        </w:r>
      </w:hyperlink>
    </w:p>
    <w:p>
      <w:pPr>
        <w:tabs>
          <w:tab w:val="right" w:leader="dot" w:pos="9062"/>
        </w:tabs>
        <w:ind w:left="440"/>
      </w:pPr>
      <w:hyperlink w:anchor="_Toc1616" w:history="1">
        <w:r>
          <w:rPr>
            <w:rFonts w:ascii="IRNazanin" w:hAnsi="IRNazanin" w:eastAsia="IRNazanin" w:cs="IRNazanin"/>
            <w:color w:val="111111"/>
            <w:sz w:val="22"/>
            <w:szCs w:val="22"/>
            <w:b w:val="0"/>
            <w:bCs w:val="0"/>
            <w:i w:val="0"/>
            <w:iCs w:val="0"/>
          </w:rPr>
          <w:t>اشعار و شرح آن / ادبیات / عربی</w:t>
        </w:r>
        <w:r>
          <w:tab/>
        </w:r>
        <w:r>
          <w:fldChar w:fldCharType="begin"/>
        </w:r>
        <w:r>
          <w:instrText xml:space="preserve">PAGEREF 1616 \h</w:instrText>
        </w:r>
        <w:r>
          <w:fldChar w:fldCharType="end"/>
        </w:r>
      </w:hyperlink>
    </w:p>
    <w:p>
      <w:pPr>
        <w:tabs>
          <w:tab w:val="right" w:leader="dot" w:pos="9062"/>
        </w:tabs>
        <w:ind w:left="440"/>
      </w:pPr>
      <w:hyperlink w:anchor="_Toc1617" w:history="1">
        <w:r>
          <w:rPr>
            <w:rFonts w:ascii="IRNazanin" w:hAnsi="IRNazanin" w:eastAsia="IRNazanin" w:cs="IRNazanin"/>
            <w:color w:val="111111"/>
            <w:sz w:val="22"/>
            <w:szCs w:val="22"/>
            <w:b w:val="0"/>
            <w:bCs w:val="0"/>
            <w:i w:val="0"/>
            <w:iCs w:val="0"/>
          </w:rPr>
          <w:t>اشعار و عبارات عربی گلستان با ترجمه / ادبیات /  عربی</w:t>
        </w:r>
        <w:r>
          <w:tab/>
        </w:r>
        <w:r>
          <w:fldChar w:fldCharType="begin"/>
        </w:r>
        <w:r>
          <w:instrText xml:space="preserve">PAGEREF 1617 \h</w:instrText>
        </w:r>
        <w:r>
          <w:fldChar w:fldCharType="end"/>
        </w:r>
      </w:hyperlink>
    </w:p>
    <w:p>
      <w:pPr>
        <w:tabs>
          <w:tab w:val="right" w:leader="dot" w:pos="9062"/>
        </w:tabs>
        <w:ind w:left="440"/>
      </w:pPr>
      <w:hyperlink w:anchor="_Toc1618" w:history="1">
        <w:r>
          <w:rPr>
            <w:rFonts w:ascii="IRNazanin" w:hAnsi="IRNazanin" w:eastAsia="IRNazanin" w:cs="IRNazanin"/>
            <w:color w:val="111111"/>
            <w:sz w:val="22"/>
            <w:szCs w:val="22"/>
            <w:b w:val="0"/>
            <w:bCs w:val="0"/>
            <w:i w:val="0"/>
            <w:iCs w:val="0"/>
          </w:rPr>
          <w:t>اشعار و غزلیات سيد الحكماء لاریجانی / شعر / فارسی</w:t>
        </w:r>
        <w:r>
          <w:tab/>
        </w:r>
        <w:r>
          <w:fldChar w:fldCharType="begin"/>
        </w:r>
        <w:r>
          <w:instrText xml:space="preserve">PAGEREF 1618 \h</w:instrText>
        </w:r>
        <w:r>
          <w:fldChar w:fldCharType="end"/>
        </w:r>
      </w:hyperlink>
    </w:p>
    <w:p>
      <w:pPr>
        <w:tabs>
          <w:tab w:val="right" w:leader="dot" w:pos="9062"/>
        </w:tabs>
        <w:ind w:left="440"/>
      </w:pPr>
      <w:hyperlink w:anchor="_Toc1619" w:history="1">
        <w:r>
          <w:rPr>
            <w:rFonts w:ascii="IRNazanin" w:hAnsi="IRNazanin" w:eastAsia="IRNazanin" w:cs="IRNazanin"/>
            <w:color w:val="111111"/>
            <w:sz w:val="22"/>
            <w:szCs w:val="22"/>
            <w:b w:val="0"/>
            <w:bCs w:val="0"/>
            <w:i w:val="0"/>
            <w:iCs w:val="0"/>
          </w:rPr>
          <w:t>اشعار و مراثی / شعر / فارسی</w:t>
        </w:r>
        <w:r>
          <w:tab/>
        </w:r>
        <w:r>
          <w:fldChar w:fldCharType="begin"/>
        </w:r>
        <w:r>
          <w:instrText xml:space="preserve">PAGEREF 1619 \h</w:instrText>
        </w:r>
        <w:r>
          <w:fldChar w:fldCharType="end"/>
        </w:r>
      </w:hyperlink>
    </w:p>
    <w:p>
      <w:pPr>
        <w:tabs>
          <w:tab w:val="right" w:leader="dot" w:pos="9062"/>
        </w:tabs>
        <w:ind w:left="440"/>
      </w:pPr>
      <w:hyperlink w:anchor="_Toc1620" w:history="1">
        <w:r>
          <w:rPr>
            <w:rFonts w:ascii="IRNazanin" w:hAnsi="IRNazanin" w:eastAsia="IRNazanin" w:cs="IRNazanin"/>
            <w:color w:val="111111"/>
            <w:sz w:val="22"/>
            <w:szCs w:val="22"/>
            <w:b w:val="0"/>
            <w:bCs w:val="0"/>
            <w:i w:val="0"/>
            <w:iCs w:val="0"/>
          </w:rPr>
          <w:t>اشعار و مطالب ادبی / ادبیات / فارسی و عربی</w:t>
        </w:r>
        <w:r>
          <w:tab/>
        </w:r>
        <w:r>
          <w:fldChar w:fldCharType="begin"/>
        </w:r>
        <w:r>
          <w:instrText xml:space="preserve">PAGEREF 1620 \h</w:instrText>
        </w:r>
        <w:r>
          <w:fldChar w:fldCharType="end"/>
        </w:r>
      </w:hyperlink>
    </w:p>
    <w:p>
      <w:pPr>
        <w:tabs>
          <w:tab w:val="right" w:leader="dot" w:pos="9062"/>
        </w:tabs>
        <w:ind w:left="440"/>
      </w:pPr>
      <w:hyperlink w:anchor="_Toc1621" w:history="1">
        <w:r>
          <w:rPr>
            <w:rFonts w:ascii="IRNazanin" w:hAnsi="IRNazanin" w:eastAsia="IRNazanin" w:cs="IRNazanin"/>
            <w:color w:val="111111"/>
            <w:sz w:val="22"/>
            <w:szCs w:val="22"/>
            <w:b w:val="0"/>
            <w:bCs w:val="0"/>
            <w:i w:val="0"/>
            <w:iCs w:val="0"/>
          </w:rPr>
          <w:t>اشعار و مطالب عرفانی / عرفان و تصوف، شعر / فارسی</w:t>
        </w:r>
        <w:r>
          <w:tab/>
        </w:r>
        <w:r>
          <w:fldChar w:fldCharType="begin"/>
        </w:r>
        <w:r>
          <w:instrText xml:space="preserve">PAGEREF 1621 \h</w:instrText>
        </w:r>
        <w:r>
          <w:fldChar w:fldCharType="end"/>
        </w:r>
      </w:hyperlink>
    </w:p>
    <w:p>
      <w:pPr>
        <w:tabs>
          <w:tab w:val="right" w:leader="dot" w:pos="9062"/>
        </w:tabs>
        <w:ind w:left="440"/>
      </w:pPr>
      <w:hyperlink w:anchor="_Toc1622" w:history="1">
        <w:r>
          <w:rPr>
            <w:rFonts w:ascii="IRNazanin" w:hAnsi="IRNazanin" w:eastAsia="IRNazanin" w:cs="IRNazanin"/>
            <w:color w:val="111111"/>
            <w:sz w:val="22"/>
            <w:szCs w:val="22"/>
            <w:b w:val="0"/>
            <w:bCs w:val="0"/>
            <w:i w:val="0"/>
            <w:iCs w:val="0"/>
          </w:rPr>
          <w:t>اشعار و منتخبات / گوناگون</w:t>
        </w:r>
        <w:r>
          <w:tab/>
        </w:r>
        <w:r>
          <w:fldChar w:fldCharType="begin"/>
        </w:r>
        <w:r>
          <w:instrText xml:space="preserve">PAGEREF 1622 \h</w:instrText>
        </w:r>
        <w:r>
          <w:fldChar w:fldCharType="end"/>
        </w:r>
      </w:hyperlink>
    </w:p>
    <w:p>
      <w:pPr>
        <w:tabs>
          <w:tab w:val="right" w:leader="dot" w:pos="9062"/>
        </w:tabs>
        <w:ind w:left="440"/>
      </w:pPr>
      <w:hyperlink w:anchor="_Toc1623" w:history="1">
        <w:r>
          <w:rPr>
            <w:rFonts w:ascii="IRNazanin" w:hAnsi="IRNazanin" w:eastAsia="IRNazanin" w:cs="IRNazanin"/>
            <w:color w:val="111111"/>
            <w:sz w:val="22"/>
            <w:szCs w:val="22"/>
            <w:b w:val="0"/>
            <w:bCs w:val="0"/>
            <w:i w:val="0"/>
            <w:iCs w:val="0"/>
          </w:rPr>
          <w:t>اشعار و منشآت / ادبیات / عربی</w:t>
        </w:r>
        <w:r>
          <w:tab/>
        </w:r>
        <w:r>
          <w:fldChar w:fldCharType="begin"/>
        </w:r>
        <w:r>
          <w:instrText xml:space="preserve">PAGEREF 1623 \h</w:instrText>
        </w:r>
        <w:r>
          <w:fldChar w:fldCharType="end"/>
        </w:r>
      </w:hyperlink>
    </w:p>
    <w:p>
      <w:pPr>
        <w:tabs>
          <w:tab w:val="right" w:leader="dot" w:pos="9062"/>
        </w:tabs>
        <w:ind w:left="440"/>
      </w:pPr>
      <w:hyperlink w:anchor="_Toc1624" w:history="1">
        <w:r>
          <w:rPr>
            <w:rFonts w:ascii="IRNazanin" w:hAnsi="IRNazanin" w:eastAsia="IRNazanin" w:cs="IRNazanin"/>
            <w:color w:val="111111"/>
            <w:sz w:val="22"/>
            <w:szCs w:val="22"/>
            <w:b w:val="0"/>
            <w:bCs w:val="0"/>
            <w:i w:val="0"/>
            <w:iCs w:val="0"/>
          </w:rPr>
          <w:t>اشعار و منشآت / ادبیات / فارسی</w:t>
        </w:r>
        <w:r>
          <w:tab/>
        </w:r>
        <w:r>
          <w:fldChar w:fldCharType="begin"/>
        </w:r>
        <w:r>
          <w:instrText xml:space="preserve">PAGEREF 1624 \h</w:instrText>
        </w:r>
        <w:r>
          <w:fldChar w:fldCharType="end"/>
        </w:r>
      </w:hyperlink>
    </w:p>
    <w:p>
      <w:pPr>
        <w:tabs>
          <w:tab w:val="right" w:leader="dot" w:pos="9062"/>
        </w:tabs>
        <w:ind w:left="440"/>
      </w:pPr>
      <w:hyperlink w:anchor="_Toc1625" w:history="1">
        <w:r>
          <w:rPr>
            <w:rFonts w:ascii="IRNazanin" w:hAnsi="IRNazanin" w:eastAsia="IRNazanin" w:cs="IRNazanin"/>
            <w:color w:val="111111"/>
            <w:sz w:val="22"/>
            <w:szCs w:val="22"/>
            <w:b w:val="0"/>
            <w:bCs w:val="0"/>
            <w:i w:val="0"/>
            <w:iCs w:val="0"/>
          </w:rPr>
          <w:t>اشعار و منشآت / نامه نگاری, شعر / فارسی</w:t>
        </w:r>
        <w:r>
          <w:tab/>
        </w:r>
        <w:r>
          <w:fldChar w:fldCharType="begin"/>
        </w:r>
        <w:r>
          <w:instrText xml:space="preserve">PAGEREF 1625 \h</w:instrText>
        </w:r>
        <w:r>
          <w:fldChar w:fldCharType="end"/>
        </w:r>
      </w:hyperlink>
    </w:p>
    <w:p>
      <w:pPr>
        <w:tabs>
          <w:tab w:val="right" w:leader="dot" w:pos="9062"/>
        </w:tabs>
        <w:ind w:left="440"/>
      </w:pPr>
      <w:hyperlink w:anchor="_Toc1626" w:history="1">
        <w:r>
          <w:rPr>
            <w:rFonts w:ascii="IRNazanin" w:hAnsi="IRNazanin" w:eastAsia="IRNazanin" w:cs="IRNazanin"/>
            <w:color w:val="111111"/>
            <w:sz w:val="22"/>
            <w:szCs w:val="22"/>
            <w:b w:val="0"/>
            <w:bCs w:val="0"/>
            <w:i w:val="0"/>
            <w:iCs w:val="0"/>
          </w:rPr>
          <w:t>اشعار و منشآت / ادبیات / فارسی</w:t>
        </w:r>
        <w:r>
          <w:tab/>
        </w:r>
        <w:r>
          <w:fldChar w:fldCharType="begin"/>
        </w:r>
        <w:r>
          <w:instrText xml:space="preserve">PAGEREF 1626 \h</w:instrText>
        </w:r>
        <w:r>
          <w:fldChar w:fldCharType="end"/>
        </w:r>
      </w:hyperlink>
    </w:p>
    <w:p>
      <w:pPr>
        <w:tabs>
          <w:tab w:val="right" w:leader="dot" w:pos="9062"/>
        </w:tabs>
        <w:ind w:left="440"/>
      </w:pPr>
      <w:hyperlink w:anchor="_Toc1627" w:history="1">
        <w:r>
          <w:rPr>
            <w:rFonts w:ascii="IRNazanin" w:hAnsi="IRNazanin" w:eastAsia="IRNazanin" w:cs="IRNazanin"/>
            <w:color w:val="111111"/>
            <w:sz w:val="22"/>
            <w:szCs w:val="22"/>
            <w:b w:val="0"/>
            <w:bCs w:val="0"/>
            <w:i w:val="0"/>
            <w:iCs w:val="0"/>
          </w:rPr>
          <w:t>اشعار و منشآت / گوناگون / ترکی، فارسی</w:t>
        </w:r>
        <w:r>
          <w:tab/>
        </w:r>
        <w:r>
          <w:fldChar w:fldCharType="begin"/>
        </w:r>
        <w:r>
          <w:instrText xml:space="preserve">PAGEREF 1627 \h</w:instrText>
        </w:r>
        <w:r>
          <w:fldChar w:fldCharType="end"/>
        </w:r>
      </w:hyperlink>
    </w:p>
    <w:p>
      <w:pPr>
        <w:tabs>
          <w:tab w:val="right" w:leader="dot" w:pos="9062"/>
        </w:tabs>
        <w:ind w:left="440"/>
      </w:pPr>
      <w:hyperlink w:anchor="_Toc1628" w:history="1">
        <w:r>
          <w:rPr>
            <w:rFonts w:ascii="IRNazanin" w:hAnsi="IRNazanin" w:eastAsia="IRNazanin" w:cs="IRNazanin"/>
            <w:color w:val="111111"/>
            <w:sz w:val="22"/>
            <w:szCs w:val="22"/>
            <w:b w:val="0"/>
            <w:bCs w:val="0"/>
            <w:i w:val="0"/>
            <w:iCs w:val="0"/>
          </w:rPr>
          <w:t>اشعار و منشآت / ادبیات / عربی، فارسی</w:t>
        </w:r>
        <w:r>
          <w:tab/>
        </w:r>
        <w:r>
          <w:fldChar w:fldCharType="begin"/>
        </w:r>
        <w:r>
          <w:instrText xml:space="preserve">PAGEREF 1628 \h</w:instrText>
        </w:r>
        <w:r>
          <w:fldChar w:fldCharType="end"/>
        </w:r>
      </w:hyperlink>
    </w:p>
    <w:p>
      <w:pPr>
        <w:tabs>
          <w:tab w:val="right" w:leader="dot" w:pos="9062"/>
        </w:tabs>
        <w:ind w:left="440"/>
      </w:pPr>
      <w:hyperlink w:anchor="_Toc1629" w:history="1">
        <w:r>
          <w:rPr>
            <w:rFonts w:ascii="IRNazanin" w:hAnsi="IRNazanin" w:eastAsia="IRNazanin" w:cs="IRNazanin"/>
            <w:color w:val="111111"/>
            <w:sz w:val="22"/>
            <w:szCs w:val="22"/>
            <w:b w:val="0"/>
            <w:bCs w:val="0"/>
            <w:i w:val="0"/>
            <w:iCs w:val="0"/>
          </w:rPr>
          <w:t>اشعار و منشآت / ادبیات / فارسی</w:t>
        </w:r>
        <w:r>
          <w:tab/>
        </w:r>
        <w:r>
          <w:fldChar w:fldCharType="begin"/>
        </w:r>
        <w:r>
          <w:instrText xml:space="preserve">PAGEREF 1629 \h</w:instrText>
        </w:r>
        <w:r>
          <w:fldChar w:fldCharType="end"/>
        </w:r>
      </w:hyperlink>
    </w:p>
    <w:p>
      <w:pPr>
        <w:tabs>
          <w:tab w:val="right" w:leader="dot" w:pos="9062"/>
        </w:tabs>
        <w:ind w:left="440"/>
      </w:pPr>
      <w:hyperlink w:anchor="_Toc1630" w:history="1">
        <w:r>
          <w:rPr>
            <w:rFonts w:ascii="IRNazanin" w:hAnsi="IRNazanin" w:eastAsia="IRNazanin" w:cs="IRNazanin"/>
            <w:color w:val="111111"/>
            <w:sz w:val="22"/>
            <w:szCs w:val="22"/>
            <w:b w:val="0"/>
            <w:bCs w:val="0"/>
            <w:i w:val="0"/>
            <w:iCs w:val="0"/>
          </w:rPr>
          <w:t>اشعار و مهملات = جنگ / گوناگون / فارسی</w:t>
        </w:r>
        <w:r>
          <w:tab/>
        </w:r>
        <w:r>
          <w:fldChar w:fldCharType="begin"/>
        </w:r>
        <w:r>
          <w:instrText xml:space="preserve">PAGEREF 1630 \h</w:instrText>
        </w:r>
        <w:r>
          <w:fldChar w:fldCharType="end"/>
        </w:r>
      </w:hyperlink>
    </w:p>
    <w:p>
      <w:pPr>
        <w:tabs>
          <w:tab w:val="right" w:leader="dot" w:pos="9062"/>
        </w:tabs>
        <w:ind w:left="440"/>
      </w:pPr>
      <w:hyperlink w:anchor="_Toc1631" w:history="1">
        <w:r>
          <w:rPr>
            <w:rFonts w:ascii="IRNazanin" w:hAnsi="IRNazanin" w:eastAsia="IRNazanin" w:cs="IRNazanin"/>
            <w:color w:val="111111"/>
            <w:sz w:val="22"/>
            <w:szCs w:val="22"/>
            <w:b w:val="0"/>
            <w:bCs w:val="0"/>
            <w:i w:val="0"/>
            <w:iCs w:val="0"/>
          </w:rPr>
          <w:t>اشعار و یادداشت های پراکنده / ادبیات فارسی</w:t>
        </w:r>
        <w:r>
          <w:tab/>
        </w:r>
        <w:r>
          <w:fldChar w:fldCharType="begin"/>
        </w:r>
        <w:r>
          <w:instrText xml:space="preserve">PAGEREF 1631 \h</w:instrText>
        </w:r>
        <w:r>
          <w:fldChar w:fldCharType="end"/>
        </w:r>
      </w:hyperlink>
    </w:p>
    <w:p>
      <w:pPr>
        <w:tabs>
          <w:tab w:val="right" w:leader="dot" w:pos="9062"/>
        </w:tabs>
        <w:ind w:left="440"/>
      </w:pPr>
      <w:hyperlink w:anchor="_Toc1632" w:history="1">
        <w:r>
          <w:rPr>
            <w:rFonts w:ascii="IRNazanin" w:hAnsi="IRNazanin" w:eastAsia="IRNazanin" w:cs="IRNazanin"/>
            <w:color w:val="111111"/>
            <w:sz w:val="22"/>
            <w:szCs w:val="22"/>
            <w:b w:val="0"/>
            <w:bCs w:val="0"/>
            <w:i w:val="0"/>
            <w:iCs w:val="0"/>
          </w:rPr>
          <w:t>اشعاری از بدخشی / شعر / فارسی</w:t>
        </w:r>
        <w:r>
          <w:tab/>
        </w:r>
        <w:r>
          <w:fldChar w:fldCharType="begin"/>
        </w:r>
        <w:r>
          <w:instrText xml:space="preserve">PAGEREF 1632 \h</w:instrText>
        </w:r>
        <w:r>
          <w:fldChar w:fldCharType="end"/>
        </w:r>
      </w:hyperlink>
    </w:p>
    <w:p>
      <w:pPr>
        <w:tabs>
          <w:tab w:val="right" w:leader="dot" w:pos="9062"/>
        </w:tabs>
        <w:ind w:left="440"/>
      </w:pPr>
      <w:hyperlink w:anchor="_Toc1633" w:history="1">
        <w:r>
          <w:rPr>
            <w:rFonts w:ascii="IRNazanin" w:hAnsi="IRNazanin" w:eastAsia="IRNazanin" w:cs="IRNazanin"/>
            <w:color w:val="111111"/>
            <w:sz w:val="22"/>
            <w:szCs w:val="22"/>
            <w:b w:val="0"/>
            <w:bCs w:val="0"/>
            <w:i w:val="0"/>
            <w:iCs w:val="0"/>
          </w:rPr>
          <w:t>الاشعة البدرية فى اقتفاء انوار آثار الجعفرية / فقه  / عربی</w:t>
        </w:r>
        <w:r>
          <w:tab/>
        </w:r>
        <w:r>
          <w:fldChar w:fldCharType="begin"/>
        </w:r>
        <w:r>
          <w:instrText xml:space="preserve">PAGEREF 1633 \h</w:instrText>
        </w:r>
        <w:r>
          <w:fldChar w:fldCharType="end"/>
        </w:r>
      </w:hyperlink>
    </w:p>
    <w:p>
      <w:pPr>
        <w:tabs>
          <w:tab w:val="right" w:leader="dot" w:pos="9062"/>
        </w:tabs>
        <w:ind w:left="440"/>
      </w:pPr>
      <w:hyperlink w:anchor="_Toc1634" w:history="1">
        <w:r>
          <w:rPr>
            <w:rFonts w:ascii="IRNazanin" w:hAnsi="IRNazanin" w:eastAsia="IRNazanin" w:cs="IRNazanin"/>
            <w:color w:val="111111"/>
            <w:sz w:val="22"/>
            <w:szCs w:val="22"/>
            <w:b w:val="0"/>
            <w:bCs w:val="0"/>
            <w:i w:val="0"/>
            <w:iCs w:val="0"/>
          </w:rPr>
          <w:t>اشعة الشمس / اصول فقه / عربی</w:t>
        </w:r>
        <w:r>
          <w:tab/>
        </w:r>
        <w:r>
          <w:fldChar w:fldCharType="begin"/>
        </w:r>
        <w:r>
          <w:instrText xml:space="preserve">PAGEREF 1634 \h</w:instrText>
        </w:r>
        <w:r>
          <w:fldChar w:fldCharType="end"/>
        </w:r>
      </w:hyperlink>
    </w:p>
    <w:p>
      <w:pPr>
        <w:tabs>
          <w:tab w:val="right" w:leader="dot" w:pos="9062"/>
        </w:tabs>
        <w:ind w:left="440"/>
      </w:pPr>
      <w:hyperlink w:anchor="_Toc1635" w:history="1">
        <w:r>
          <w:rPr>
            <w:rFonts w:ascii="IRNazanin" w:hAnsi="IRNazanin" w:eastAsia="IRNazanin" w:cs="IRNazanin"/>
            <w:color w:val="111111"/>
            <w:sz w:val="22"/>
            <w:szCs w:val="22"/>
            <w:b w:val="0"/>
            <w:bCs w:val="0"/>
            <w:i w:val="0"/>
            <w:iCs w:val="0"/>
          </w:rPr>
          <w:t>اشعة اللمعات = شرح لمعات = حقايق لمعات / عرفان و تصوف / فارسی</w:t>
        </w:r>
        <w:r>
          <w:tab/>
        </w:r>
        <w:r>
          <w:fldChar w:fldCharType="begin"/>
        </w:r>
        <w:r>
          <w:instrText xml:space="preserve">PAGEREF 1635 \h</w:instrText>
        </w:r>
        <w:r>
          <w:fldChar w:fldCharType="end"/>
        </w:r>
      </w:hyperlink>
    </w:p>
    <w:p>
      <w:pPr>
        <w:tabs>
          <w:tab w:val="right" w:leader="dot" w:pos="9062"/>
        </w:tabs>
        <w:ind w:left="440"/>
      </w:pPr>
      <w:hyperlink w:anchor="_Toc1636" w:history="1">
        <w:r>
          <w:rPr>
            <w:rFonts w:ascii="IRNazanin" w:hAnsi="IRNazanin" w:eastAsia="IRNazanin" w:cs="IRNazanin"/>
            <w:color w:val="111111"/>
            <w:sz w:val="22"/>
            <w:szCs w:val="22"/>
            <w:b w:val="0"/>
            <w:bCs w:val="0"/>
            <w:i w:val="0"/>
            <w:iCs w:val="0"/>
          </w:rPr>
          <w:t>اشعة اللمعات فى شرح المشكاة = شرح مشكاة المصابيح / شرح حدیث / فارسی و عربی</w:t>
        </w:r>
        <w:r>
          <w:tab/>
        </w:r>
        <w:r>
          <w:fldChar w:fldCharType="begin"/>
        </w:r>
        <w:r>
          <w:instrText xml:space="preserve">PAGEREF 1636 \h</w:instrText>
        </w:r>
        <w:r>
          <w:fldChar w:fldCharType="end"/>
        </w:r>
      </w:hyperlink>
    </w:p>
    <w:p>
      <w:pPr>
        <w:tabs>
          <w:tab w:val="right" w:leader="dot" w:pos="9062"/>
        </w:tabs>
        <w:ind w:left="440"/>
      </w:pPr>
      <w:hyperlink w:anchor="_Toc1637" w:history="1">
        <w:r>
          <w:rPr>
            <w:rFonts w:ascii="IRNazanin" w:hAnsi="IRNazanin" w:eastAsia="IRNazanin" w:cs="IRNazanin"/>
            <w:color w:val="111111"/>
            <w:sz w:val="22"/>
            <w:szCs w:val="22"/>
            <w:b w:val="0"/>
            <w:bCs w:val="0"/>
            <w:i w:val="0"/>
            <w:iCs w:val="0"/>
          </w:rPr>
          <w:t>اشعة اللوايح / عرفان و تصوف / فارسی</w:t>
        </w:r>
        <w:r>
          <w:tab/>
        </w:r>
        <w:r>
          <w:fldChar w:fldCharType="begin"/>
        </w:r>
        <w:r>
          <w:instrText xml:space="preserve">PAGEREF 1637 \h</w:instrText>
        </w:r>
        <w:r>
          <w:fldChar w:fldCharType="end"/>
        </w:r>
      </w:hyperlink>
    </w:p>
    <w:p>
      <w:pPr>
        <w:tabs>
          <w:tab w:val="right" w:leader="dot" w:pos="9062"/>
        </w:tabs>
        <w:ind w:left="440"/>
      </w:pPr>
      <w:hyperlink w:anchor="_Toc1638" w:history="1">
        <w:r>
          <w:rPr>
            <w:rFonts w:ascii="IRNazanin" w:hAnsi="IRNazanin" w:eastAsia="IRNazanin" w:cs="IRNazanin"/>
            <w:color w:val="111111"/>
            <w:sz w:val="22"/>
            <w:szCs w:val="22"/>
            <w:b w:val="0"/>
            <w:bCs w:val="0"/>
            <w:i w:val="0"/>
            <w:iCs w:val="0"/>
          </w:rPr>
          <w:t>اشعة المصابيح / فقه / عربي</w:t>
        </w:r>
        <w:r>
          <w:tab/>
        </w:r>
        <w:r>
          <w:fldChar w:fldCharType="begin"/>
        </w:r>
        <w:r>
          <w:instrText xml:space="preserve">PAGEREF 1638 \h</w:instrText>
        </w:r>
        <w:r>
          <w:fldChar w:fldCharType="end"/>
        </w:r>
      </w:hyperlink>
    </w:p>
    <w:p>
      <w:pPr>
        <w:tabs>
          <w:tab w:val="right" w:leader="dot" w:pos="9062"/>
        </w:tabs>
        <w:ind w:left="440"/>
      </w:pPr>
      <w:hyperlink w:anchor="_Toc1639" w:history="1">
        <w:r>
          <w:rPr>
            <w:rFonts w:ascii="IRNazanin" w:hAnsi="IRNazanin" w:eastAsia="IRNazanin" w:cs="IRNazanin"/>
            <w:color w:val="111111"/>
            <w:sz w:val="22"/>
            <w:szCs w:val="22"/>
            <w:b w:val="0"/>
            <w:bCs w:val="0"/>
            <w:i w:val="0"/>
            <w:iCs w:val="0"/>
          </w:rPr>
          <w:t>الاشعثيات = جعفريات / حدیث / عربی</w:t>
        </w:r>
        <w:r>
          <w:tab/>
        </w:r>
        <w:r>
          <w:fldChar w:fldCharType="begin"/>
        </w:r>
        <w:r>
          <w:instrText xml:space="preserve">PAGEREF 1639 \h</w:instrText>
        </w:r>
        <w:r>
          <w:fldChar w:fldCharType="end"/>
        </w:r>
      </w:hyperlink>
    </w:p>
    <w:p>
      <w:pPr>
        <w:tabs>
          <w:tab w:val="right" w:leader="dot" w:pos="9062"/>
        </w:tabs>
        <w:ind w:left="440"/>
      </w:pPr>
      <w:hyperlink w:anchor="_Toc1640" w:history="1">
        <w:r>
          <w:rPr>
            <w:rFonts w:ascii="IRNazanin" w:hAnsi="IRNazanin" w:eastAsia="IRNazanin" w:cs="IRNazanin"/>
            <w:color w:val="111111"/>
            <w:sz w:val="22"/>
            <w:szCs w:val="22"/>
            <w:b w:val="0"/>
            <w:bCs w:val="0"/>
            <w:i w:val="0"/>
            <w:iCs w:val="0"/>
          </w:rPr>
          <w:t>الاشعثيات = الجعفريات (منتخب) / حدیث / عربی</w:t>
        </w:r>
        <w:r>
          <w:tab/>
        </w:r>
        <w:r>
          <w:fldChar w:fldCharType="begin"/>
        </w:r>
        <w:r>
          <w:instrText xml:space="preserve">PAGEREF 1640 \h</w:instrText>
        </w:r>
        <w:r>
          <w:fldChar w:fldCharType="end"/>
        </w:r>
      </w:hyperlink>
    </w:p>
    <w:p>
      <w:pPr>
        <w:tabs>
          <w:tab w:val="right" w:leader="dot" w:pos="9062"/>
        </w:tabs>
        <w:ind w:left="440"/>
      </w:pPr>
      <w:hyperlink w:anchor="_Toc1641" w:history="1">
        <w:r>
          <w:rPr>
            <w:rFonts w:ascii="IRNazanin" w:hAnsi="IRNazanin" w:eastAsia="IRNazanin" w:cs="IRNazanin"/>
            <w:color w:val="111111"/>
            <w:sz w:val="22"/>
            <w:szCs w:val="22"/>
            <w:b w:val="0"/>
            <w:bCs w:val="0"/>
            <w:i w:val="0"/>
            <w:iCs w:val="0"/>
          </w:rPr>
          <w:t>اشعه کواکب / هیئت / فارسی</w:t>
        </w:r>
        <w:r>
          <w:tab/>
        </w:r>
        <w:r>
          <w:fldChar w:fldCharType="begin"/>
        </w:r>
        <w:r>
          <w:instrText xml:space="preserve">PAGEREF 1641 \h</w:instrText>
        </w:r>
        <w:r>
          <w:fldChar w:fldCharType="end"/>
        </w:r>
      </w:hyperlink>
    </w:p>
    <w:p>
      <w:pPr>
        <w:tabs>
          <w:tab w:val="right" w:leader="dot" w:pos="9062"/>
        </w:tabs>
        <w:ind w:left="440"/>
      </w:pPr>
      <w:hyperlink w:anchor="_Toc1642" w:history="1">
        <w:r>
          <w:rPr>
            <w:rFonts w:ascii="IRNazanin" w:hAnsi="IRNazanin" w:eastAsia="IRNazanin" w:cs="IRNazanin"/>
            <w:color w:val="111111"/>
            <w:sz w:val="22"/>
            <w:szCs w:val="22"/>
            <w:b w:val="0"/>
            <w:bCs w:val="0"/>
            <w:i w:val="0"/>
            <w:iCs w:val="0"/>
          </w:rPr>
          <w:t>الاشقرية / حديث / عربي</w:t>
        </w:r>
        <w:r>
          <w:tab/>
        </w:r>
        <w:r>
          <w:fldChar w:fldCharType="begin"/>
        </w:r>
        <w:r>
          <w:instrText xml:space="preserve">PAGEREF 1642 \h</w:instrText>
        </w:r>
        <w:r>
          <w:fldChar w:fldCharType="end"/>
        </w:r>
      </w:hyperlink>
    </w:p>
    <w:p>
      <w:pPr>
        <w:tabs>
          <w:tab w:val="right" w:leader="dot" w:pos="9062"/>
        </w:tabs>
        <w:ind w:left="440"/>
      </w:pPr>
      <w:hyperlink w:anchor="_Toc1643" w:history="1">
        <w:r>
          <w:rPr>
            <w:rFonts w:ascii="IRNazanin" w:hAnsi="IRNazanin" w:eastAsia="IRNazanin" w:cs="IRNazanin"/>
            <w:color w:val="111111"/>
            <w:sz w:val="22"/>
            <w:szCs w:val="22"/>
            <w:b w:val="0"/>
            <w:bCs w:val="0"/>
            <w:i w:val="0"/>
            <w:iCs w:val="0"/>
          </w:rPr>
          <w:t>اشکال اربعة / منطق / فارسی</w:t>
        </w:r>
        <w:r>
          <w:tab/>
        </w:r>
        <w:r>
          <w:fldChar w:fldCharType="begin"/>
        </w:r>
        <w:r>
          <w:instrText xml:space="preserve">PAGEREF 1643 \h</w:instrText>
        </w:r>
        <w:r>
          <w:fldChar w:fldCharType="end"/>
        </w:r>
      </w:hyperlink>
    </w:p>
    <w:p>
      <w:pPr>
        <w:tabs>
          <w:tab w:val="right" w:leader="dot" w:pos="9062"/>
        </w:tabs>
        <w:ind w:left="440"/>
      </w:pPr>
      <w:hyperlink w:anchor="_Toc1644" w:history="1">
        <w:r>
          <w:rPr>
            <w:rFonts w:ascii="IRNazanin" w:hAnsi="IRNazanin" w:eastAsia="IRNazanin" w:cs="IRNazanin"/>
            <w:color w:val="111111"/>
            <w:sz w:val="22"/>
            <w:szCs w:val="22"/>
            <w:b w:val="0"/>
            <w:bCs w:val="0"/>
            <w:i w:val="0"/>
            <w:iCs w:val="0"/>
          </w:rPr>
          <w:t>الأشكال الاربعة / منطق / عربي</w:t>
        </w:r>
        <w:r>
          <w:tab/>
        </w:r>
        <w:r>
          <w:fldChar w:fldCharType="begin"/>
        </w:r>
        <w:r>
          <w:instrText xml:space="preserve">PAGEREF 1644 \h</w:instrText>
        </w:r>
        <w:r>
          <w:fldChar w:fldCharType="end"/>
        </w:r>
      </w:hyperlink>
    </w:p>
    <w:p>
      <w:pPr>
        <w:tabs>
          <w:tab w:val="right" w:leader="dot" w:pos="9062"/>
        </w:tabs>
        <w:ind w:left="440"/>
      </w:pPr>
      <w:hyperlink w:anchor="_Toc1645" w:history="1">
        <w:r>
          <w:rPr>
            <w:rFonts w:ascii="IRNazanin" w:hAnsi="IRNazanin" w:eastAsia="IRNazanin" w:cs="IRNazanin"/>
            <w:color w:val="111111"/>
            <w:sz w:val="22"/>
            <w:szCs w:val="22"/>
            <w:b w:val="0"/>
            <w:bCs w:val="0"/>
            <w:i w:val="0"/>
            <w:iCs w:val="0"/>
          </w:rPr>
          <w:t>اشکال بر علم تفصیلی ازلی / فلسفه / عربی</w:t>
        </w:r>
        <w:r>
          <w:tab/>
        </w:r>
        <w:r>
          <w:fldChar w:fldCharType="begin"/>
        </w:r>
        <w:r>
          <w:instrText xml:space="preserve">PAGEREF 1645 \h</w:instrText>
        </w:r>
        <w:r>
          <w:fldChar w:fldCharType="end"/>
        </w:r>
      </w:hyperlink>
    </w:p>
    <w:p>
      <w:pPr>
        <w:tabs>
          <w:tab w:val="right" w:leader="dot" w:pos="9062"/>
        </w:tabs>
        <w:ind w:left="440"/>
      </w:pPr>
      <w:hyperlink w:anchor="_Toc1646" w:history="1">
        <w:r>
          <w:rPr>
            <w:rFonts w:ascii="IRNazanin" w:hAnsi="IRNazanin" w:eastAsia="IRNazanin" w:cs="IRNazanin"/>
            <w:color w:val="111111"/>
            <w:sz w:val="22"/>
            <w:szCs w:val="22"/>
            <w:b w:val="0"/>
            <w:bCs w:val="0"/>
            <w:i w:val="0"/>
            <w:iCs w:val="0"/>
          </w:rPr>
          <w:t>اشکال بیضی / هندسه / فارسی</w:t>
        </w:r>
        <w:r>
          <w:tab/>
        </w:r>
        <w:r>
          <w:fldChar w:fldCharType="begin"/>
        </w:r>
        <w:r>
          <w:instrText xml:space="preserve">PAGEREF 1646 \h</w:instrText>
        </w:r>
        <w:r>
          <w:fldChar w:fldCharType="end"/>
        </w:r>
      </w:hyperlink>
    </w:p>
    <w:p>
      <w:pPr>
        <w:tabs>
          <w:tab w:val="right" w:leader="dot" w:pos="9062"/>
        </w:tabs>
        <w:ind w:left="440"/>
      </w:pPr>
      <w:hyperlink w:anchor="_Toc1647" w:history="1">
        <w:r>
          <w:rPr>
            <w:rFonts w:ascii="IRNazanin" w:hAnsi="IRNazanin" w:eastAsia="IRNazanin" w:cs="IRNazanin"/>
            <w:color w:val="111111"/>
            <w:sz w:val="22"/>
            <w:szCs w:val="22"/>
            <w:b w:val="0"/>
            <w:bCs w:val="0"/>
            <w:i w:val="0"/>
            <w:iCs w:val="0"/>
          </w:rPr>
          <w:t>اشكال التأسيس / هندسه / عربي</w:t>
        </w:r>
        <w:r>
          <w:tab/>
        </w:r>
        <w:r>
          <w:fldChar w:fldCharType="begin"/>
        </w:r>
        <w:r>
          <w:instrText xml:space="preserve">PAGEREF 1647 \h</w:instrText>
        </w:r>
        <w:r>
          <w:fldChar w:fldCharType="end"/>
        </w:r>
      </w:hyperlink>
    </w:p>
    <w:p>
      <w:pPr>
        <w:tabs>
          <w:tab w:val="right" w:leader="dot" w:pos="9062"/>
        </w:tabs>
        <w:ind w:left="440"/>
      </w:pPr>
      <w:hyperlink w:anchor="_Toc1648" w:history="1">
        <w:r>
          <w:rPr>
            <w:rFonts w:ascii="IRNazanin" w:hAnsi="IRNazanin" w:eastAsia="IRNazanin" w:cs="IRNazanin"/>
            <w:color w:val="111111"/>
            <w:sz w:val="22"/>
            <w:szCs w:val="22"/>
            <w:b w:val="0"/>
            <w:bCs w:val="0"/>
            <w:i w:val="0"/>
            <w:iCs w:val="0"/>
          </w:rPr>
          <w:t>اشكال التأسيس / رياضيات / عربي</w:t>
        </w:r>
        <w:r>
          <w:tab/>
        </w:r>
        <w:r>
          <w:fldChar w:fldCharType="begin"/>
        </w:r>
        <w:r>
          <w:instrText xml:space="preserve">PAGEREF 1648 \h</w:instrText>
        </w:r>
        <w:r>
          <w:fldChar w:fldCharType="end"/>
        </w:r>
      </w:hyperlink>
    </w:p>
    <w:p>
      <w:pPr>
        <w:tabs>
          <w:tab w:val="right" w:leader="dot" w:pos="9062"/>
        </w:tabs>
        <w:ind w:left="440"/>
      </w:pPr>
      <w:hyperlink w:anchor="_Toc1649" w:history="1">
        <w:r>
          <w:rPr>
            <w:rFonts w:ascii="IRNazanin" w:hAnsi="IRNazanin" w:eastAsia="IRNazanin" w:cs="IRNazanin"/>
            <w:color w:val="111111"/>
            <w:sz w:val="22"/>
            <w:szCs w:val="22"/>
            <w:b w:val="0"/>
            <w:bCs w:val="0"/>
            <w:i w:val="0"/>
            <w:iCs w:val="0"/>
          </w:rPr>
          <w:t>اشكال التأسيس (مختصر) = مدعیات اشکال التأسيس / هندسه / عربی</w:t>
        </w:r>
        <w:r>
          <w:tab/>
        </w:r>
        <w:r>
          <w:fldChar w:fldCharType="begin"/>
        </w:r>
        <w:r>
          <w:instrText xml:space="preserve">PAGEREF 1649 \h</w:instrText>
        </w:r>
        <w:r>
          <w:fldChar w:fldCharType="end"/>
        </w:r>
      </w:hyperlink>
    </w:p>
    <w:p>
      <w:pPr>
        <w:tabs>
          <w:tab w:val="right" w:leader="dot" w:pos="9062"/>
        </w:tabs>
        <w:ind w:left="440"/>
      </w:pPr>
      <w:hyperlink w:anchor="_Toc1650" w:history="1">
        <w:r>
          <w:rPr>
            <w:rFonts w:ascii="IRNazanin" w:hAnsi="IRNazanin" w:eastAsia="IRNazanin" w:cs="IRNazanin"/>
            <w:color w:val="111111"/>
            <w:sz w:val="22"/>
            <w:szCs w:val="22"/>
            <w:b w:val="0"/>
            <w:bCs w:val="0"/>
            <w:i w:val="0"/>
            <w:iCs w:val="0"/>
          </w:rPr>
          <w:t>اشكال الرمل / ریاضیات / فارسی</w:t>
        </w:r>
        <w:r>
          <w:tab/>
        </w:r>
        <w:r>
          <w:fldChar w:fldCharType="begin"/>
        </w:r>
        <w:r>
          <w:instrText xml:space="preserve">PAGEREF 1650 \h</w:instrText>
        </w:r>
        <w:r>
          <w:fldChar w:fldCharType="end"/>
        </w:r>
      </w:hyperlink>
    </w:p>
    <w:p>
      <w:pPr>
        <w:tabs>
          <w:tab w:val="right" w:leader="dot" w:pos="9062"/>
        </w:tabs>
        <w:ind w:left="440"/>
      </w:pPr>
      <w:hyperlink w:anchor="_Toc1651" w:history="1">
        <w:r>
          <w:rPr>
            <w:rFonts w:ascii="IRNazanin" w:hAnsi="IRNazanin" w:eastAsia="IRNazanin" w:cs="IRNazanin"/>
            <w:color w:val="111111"/>
            <w:sz w:val="22"/>
            <w:szCs w:val="22"/>
            <w:b w:val="0"/>
            <w:bCs w:val="0"/>
            <w:i w:val="0"/>
            <w:iCs w:val="0"/>
          </w:rPr>
          <w:t>أشكال الرمل = رمل = شرح زبدة الرمل / رمل /  فارسی</w:t>
        </w:r>
        <w:r>
          <w:tab/>
        </w:r>
        <w:r>
          <w:fldChar w:fldCharType="begin"/>
        </w:r>
        <w:r>
          <w:instrText xml:space="preserve">PAGEREF 1651 \h</w:instrText>
        </w:r>
        <w:r>
          <w:fldChar w:fldCharType="end"/>
        </w:r>
      </w:hyperlink>
    </w:p>
    <w:p>
      <w:pPr>
        <w:tabs>
          <w:tab w:val="right" w:leader="dot" w:pos="9062"/>
        </w:tabs>
        <w:ind w:left="440"/>
      </w:pPr>
      <w:hyperlink w:anchor="_Toc1652" w:history="1">
        <w:r>
          <w:rPr>
            <w:rFonts w:ascii="IRNazanin" w:hAnsi="IRNazanin" w:eastAsia="IRNazanin" w:cs="IRNazanin"/>
            <w:color w:val="111111"/>
            <w:sz w:val="22"/>
            <w:szCs w:val="22"/>
            <w:b w:val="0"/>
            <w:bCs w:val="0"/>
            <w:i w:val="0"/>
            <w:iCs w:val="0"/>
          </w:rPr>
          <w:t>اشکال صفحه ها از عدد اول الی ششم / متفرقه / فارسی</w:t>
        </w:r>
        <w:r>
          <w:tab/>
        </w:r>
        <w:r>
          <w:fldChar w:fldCharType="begin"/>
        </w:r>
        <w:r>
          <w:instrText xml:space="preserve">PAGEREF 1652 \h</w:instrText>
        </w:r>
        <w:r>
          <w:fldChar w:fldCharType="end"/>
        </w:r>
      </w:hyperlink>
    </w:p>
    <w:p>
      <w:pPr>
        <w:tabs>
          <w:tab w:val="right" w:leader="dot" w:pos="9062"/>
        </w:tabs>
        <w:ind w:left="440"/>
      </w:pPr>
      <w:hyperlink w:anchor="_Toc1653" w:history="1">
        <w:r>
          <w:rPr>
            <w:rFonts w:ascii="IRNazanin" w:hAnsi="IRNazanin" w:eastAsia="IRNazanin" w:cs="IRNazanin"/>
            <w:color w:val="111111"/>
            <w:sz w:val="22"/>
            <w:szCs w:val="22"/>
            <w:b w:val="0"/>
            <w:bCs w:val="0"/>
            <w:i w:val="0"/>
            <w:iCs w:val="0"/>
          </w:rPr>
          <w:t>اشکال طلسمی / علوم غریبه / فارسی</w:t>
        </w:r>
        <w:r>
          <w:tab/>
        </w:r>
        <w:r>
          <w:fldChar w:fldCharType="begin"/>
        </w:r>
        <w:r>
          <w:instrText xml:space="preserve">PAGEREF 1653 \h</w:instrText>
        </w:r>
        <w:r>
          <w:fldChar w:fldCharType="end"/>
        </w:r>
      </w:hyperlink>
    </w:p>
    <w:p>
      <w:pPr>
        <w:tabs>
          <w:tab w:val="right" w:leader="dot" w:pos="9062"/>
        </w:tabs>
        <w:ind w:left="440"/>
      </w:pPr>
      <w:hyperlink w:anchor="_Toc1654" w:history="1">
        <w:r>
          <w:rPr>
            <w:rFonts w:ascii="IRNazanin" w:hAnsi="IRNazanin" w:eastAsia="IRNazanin" w:cs="IRNazanin"/>
            <w:color w:val="111111"/>
            <w:sz w:val="22"/>
            <w:szCs w:val="22"/>
            <w:b w:val="0"/>
            <w:bCs w:val="0"/>
            <w:i w:val="0"/>
            <w:iCs w:val="0"/>
          </w:rPr>
          <w:t>اشکال العالم (ترجمه) / جغرافیا / فارسی</w:t>
        </w:r>
        <w:r>
          <w:tab/>
        </w:r>
        <w:r>
          <w:fldChar w:fldCharType="begin"/>
        </w:r>
        <w:r>
          <w:instrText xml:space="preserve">PAGEREF 1654 \h</w:instrText>
        </w:r>
        <w:r>
          <w:fldChar w:fldCharType="end"/>
        </w:r>
      </w:hyperlink>
    </w:p>
    <w:p>
      <w:pPr>
        <w:tabs>
          <w:tab w:val="right" w:leader="dot" w:pos="9062"/>
        </w:tabs>
        <w:ind w:left="440"/>
      </w:pPr>
      <w:hyperlink w:anchor="_Toc1655" w:history="1">
        <w:r>
          <w:rPr>
            <w:rFonts w:ascii="IRNazanin" w:hAnsi="IRNazanin" w:eastAsia="IRNazanin" w:cs="IRNazanin"/>
            <w:color w:val="111111"/>
            <w:sz w:val="22"/>
            <w:szCs w:val="22"/>
            <w:b w:val="0"/>
            <w:bCs w:val="0"/>
            <w:i w:val="0"/>
            <w:iCs w:val="0"/>
          </w:rPr>
          <w:t>الاشكال الكرية / رياضيات / عربي</w:t>
        </w:r>
        <w:r>
          <w:tab/>
        </w:r>
        <w:r>
          <w:fldChar w:fldCharType="begin"/>
        </w:r>
        <w:r>
          <w:instrText xml:space="preserve">PAGEREF 1655 \h</w:instrText>
        </w:r>
        <w:r>
          <w:fldChar w:fldCharType="end"/>
        </w:r>
      </w:hyperlink>
    </w:p>
    <w:p>
      <w:pPr>
        <w:tabs>
          <w:tab w:val="right" w:leader="dot" w:pos="9062"/>
        </w:tabs>
        <w:ind w:left="440"/>
      </w:pPr>
      <w:hyperlink w:anchor="_Toc1656" w:history="1">
        <w:r>
          <w:rPr>
            <w:rFonts w:ascii="IRNazanin" w:hAnsi="IRNazanin" w:eastAsia="IRNazanin" w:cs="IRNazanin"/>
            <w:color w:val="111111"/>
            <w:sz w:val="22"/>
            <w:szCs w:val="22"/>
            <w:b w:val="0"/>
            <w:bCs w:val="0"/>
            <w:i w:val="0"/>
            <w:iCs w:val="0"/>
          </w:rPr>
          <w:t>اشکال ماه و نقصان و زیادت نور آن / هیئت / فارسی</w:t>
        </w:r>
        <w:r>
          <w:tab/>
        </w:r>
        <w:r>
          <w:fldChar w:fldCharType="begin"/>
        </w:r>
        <w:r>
          <w:instrText xml:space="preserve">PAGEREF 1656 \h</w:instrText>
        </w:r>
        <w:r>
          <w:fldChar w:fldCharType="end"/>
        </w:r>
      </w:hyperlink>
    </w:p>
    <w:p>
      <w:pPr>
        <w:tabs>
          <w:tab w:val="right" w:leader="dot" w:pos="9062"/>
        </w:tabs>
        <w:ind w:left="440"/>
      </w:pPr>
      <w:hyperlink w:anchor="_Toc1657" w:history="1">
        <w:r>
          <w:rPr>
            <w:rFonts w:ascii="IRNazanin" w:hAnsi="IRNazanin" w:eastAsia="IRNazanin" w:cs="IRNazanin"/>
            <w:color w:val="111111"/>
            <w:sz w:val="22"/>
            <w:szCs w:val="22"/>
            <w:b w:val="0"/>
            <w:bCs w:val="0"/>
            <w:i w:val="0"/>
            <w:iCs w:val="0"/>
          </w:rPr>
          <w:t>الاشكال المجسمة التى يحيط بها كرة تنقسم الى قسمين / هیئت / عربی</w:t>
        </w:r>
        <w:r>
          <w:tab/>
        </w:r>
        <w:r>
          <w:fldChar w:fldCharType="begin"/>
        </w:r>
        <w:r>
          <w:instrText xml:space="preserve">PAGEREF 1657 \h</w:instrText>
        </w:r>
        <w:r>
          <w:fldChar w:fldCharType="end"/>
        </w:r>
      </w:hyperlink>
    </w:p>
    <w:p>
      <w:pPr>
        <w:tabs>
          <w:tab w:val="right" w:leader="dot" w:pos="9062"/>
        </w:tabs>
        <w:ind w:left="440"/>
      </w:pPr>
      <w:hyperlink w:anchor="_Toc1658" w:history="1">
        <w:r>
          <w:rPr>
            <w:rFonts w:ascii="IRNazanin" w:hAnsi="IRNazanin" w:eastAsia="IRNazanin" w:cs="IRNazanin"/>
            <w:color w:val="111111"/>
            <w:sz w:val="22"/>
            <w:szCs w:val="22"/>
            <w:b w:val="0"/>
            <w:bCs w:val="0"/>
            <w:i w:val="0"/>
            <w:iCs w:val="0"/>
          </w:rPr>
          <w:t>اشکال مهر نبوت / متفرقه / فارسی</w:t>
        </w:r>
        <w:r>
          <w:tab/>
        </w:r>
        <w:r>
          <w:fldChar w:fldCharType="begin"/>
        </w:r>
        <w:r>
          <w:instrText xml:space="preserve">PAGEREF 1658 \h</w:instrText>
        </w:r>
        <w:r>
          <w:fldChar w:fldCharType="end"/>
        </w:r>
      </w:hyperlink>
    </w:p>
    <w:p>
      <w:pPr>
        <w:tabs>
          <w:tab w:val="right" w:leader="dot" w:pos="9062"/>
        </w:tabs>
        <w:ind w:left="440"/>
      </w:pPr>
      <w:hyperlink w:anchor="_Toc1659" w:history="1">
        <w:r>
          <w:rPr>
            <w:rFonts w:ascii="IRNazanin" w:hAnsi="IRNazanin" w:eastAsia="IRNazanin" w:cs="IRNazanin"/>
            <w:color w:val="111111"/>
            <w:sz w:val="22"/>
            <w:szCs w:val="22"/>
            <w:b w:val="0"/>
            <w:bCs w:val="0"/>
            <w:i w:val="0"/>
            <w:iCs w:val="0"/>
          </w:rPr>
          <w:t>اشكال الميزان / منطق / فارسی</w:t>
        </w:r>
        <w:r>
          <w:tab/>
        </w:r>
        <w:r>
          <w:fldChar w:fldCharType="begin"/>
        </w:r>
        <w:r>
          <w:instrText xml:space="preserve">PAGEREF 1659 \h</w:instrText>
        </w:r>
        <w:r>
          <w:fldChar w:fldCharType="end"/>
        </w:r>
      </w:hyperlink>
    </w:p>
    <w:p>
      <w:pPr>
        <w:tabs>
          <w:tab w:val="right" w:leader="dot" w:pos="9062"/>
        </w:tabs>
        <w:ind w:left="440"/>
      </w:pPr>
      <w:hyperlink w:anchor="_Toc1660" w:history="1">
        <w:r>
          <w:rPr>
            <w:rFonts w:ascii="IRNazanin" w:hAnsi="IRNazanin" w:eastAsia="IRNazanin" w:cs="IRNazanin"/>
            <w:color w:val="111111"/>
            <w:sz w:val="22"/>
            <w:szCs w:val="22"/>
            <w:b w:val="0"/>
            <w:bCs w:val="0"/>
            <w:i w:val="0"/>
            <w:iCs w:val="0"/>
          </w:rPr>
          <w:t>اشکال هیوی و فوائد متنوعه / هیئت / فارسی</w:t>
        </w:r>
        <w:r>
          <w:tab/>
        </w:r>
        <w:r>
          <w:fldChar w:fldCharType="begin"/>
        </w:r>
        <w:r>
          <w:instrText xml:space="preserve">PAGEREF 1660 \h</w:instrText>
        </w:r>
        <w:r>
          <w:fldChar w:fldCharType="end"/>
        </w:r>
      </w:hyperlink>
    </w:p>
    <w:p>
      <w:pPr>
        <w:tabs>
          <w:tab w:val="right" w:leader="dot" w:pos="9062"/>
        </w:tabs>
        <w:ind w:left="440"/>
      </w:pPr>
      <w:hyperlink w:anchor="_Toc1661" w:history="1">
        <w:r>
          <w:rPr>
            <w:rFonts w:ascii="IRNazanin" w:hAnsi="IRNazanin" w:eastAsia="IRNazanin" w:cs="IRNazanin"/>
            <w:color w:val="111111"/>
            <w:sz w:val="22"/>
            <w:szCs w:val="22"/>
            <w:b w:val="0"/>
            <w:bCs w:val="0"/>
            <w:i w:val="0"/>
            <w:iCs w:val="0"/>
          </w:rPr>
          <w:t>الاشکنوانیه / شعر / عربی</w:t>
        </w:r>
        <w:r>
          <w:tab/>
        </w:r>
        <w:r>
          <w:fldChar w:fldCharType="begin"/>
        </w:r>
        <w:r>
          <w:instrText xml:space="preserve">PAGEREF 1661 \h</w:instrText>
        </w:r>
        <w:r>
          <w:fldChar w:fldCharType="end"/>
        </w:r>
      </w:hyperlink>
    </w:p>
    <w:p>
      <w:pPr>
        <w:tabs>
          <w:tab w:val="right" w:leader="dot" w:pos="9062"/>
        </w:tabs>
        <w:ind w:left="440"/>
      </w:pPr>
      <w:hyperlink w:anchor="_Toc1662" w:history="1">
        <w:r>
          <w:rPr>
            <w:rFonts w:ascii="IRNazanin" w:hAnsi="IRNazanin" w:eastAsia="IRNazanin" w:cs="IRNazanin"/>
            <w:color w:val="111111"/>
            <w:sz w:val="22"/>
            <w:szCs w:val="22"/>
            <w:b w:val="0"/>
            <w:bCs w:val="0"/>
            <w:i w:val="0"/>
            <w:iCs w:val="0"/>
          </w:rPr>
          <w:t>اشمام و روم و اسکان (فائده در بیان / فارسی</w:t>
        </w:r>
        <w:r>
          <w:tab/>
        </w:r>
        <w:r>
          <w:fldChar w:fldCharType="begin"/>
        </w:r>
        <w:r>
          <w:instrText xml:space="preserve">PAGEREF 1662 \h</w:instrText>
        </w:r>
        <w:r>
          <w:fldChar w:fldCharType="end"/>
        </w:r>
      </w:hyperlink>
    </w:p>
    <w:p>
      <w:pPr>
        <w:tabs>
          <w:tab w:val="right" w:leader="dot" w:pos="9062"/>
        </w:tabs>
        <w:ind w:left="440"/>
      </w:pPr>
      <w:hyperlink w:anchor="_Toc1663" w:history="1">
        <w:r>
          <w:rPr>
            <w:rFonts w:ascii="IRNazanin" w:hAnsi="IRNazanin" w:eastAsia="IRNazanin" w:cs="IRNazanin"/>
            <w:color w:val="111111"/>
            <w:sz w:val="22"/>
            <w:szCs w:val="22"/>
            <w:b w:val="0"/>
            <w:bCs w:val="0"/>
            <w:i w:val="0"/>
            <w:iCs w:val="0"/>
          </w:rPr>
          <w:t>الاشهاد في الطلاق / فقه / عربي</w:t>
        </w:r>
        <w:r>
          <w:tab/>
        </w:r>
        <w:r>
          <w:fldChar w:fldCharType="begin"/>
        </w:r>
        <w:r>
          <w:instrText xml:space="preserve">PAGEREF 1663 \h</w:instrText>
        </w:r>
        <w:r>
          <w:fldChar w:fldCharType="end"/>
        </w:r>
      </w:hyperlink>
    </w:p>
    <w:p>
      <w:pPr>
        <w:tabs>
          <w:tab w:val="right" w:leader="dot" w:pos="9062"/>
        </w:tabs>
        <w:ind w:left="440"/>
      </w:pPr>
      <w:hyperlink w:anchor="_Toc1664" w:history="1">
        <w:r>
          <w:rPr>
            <w:rFonts w:ascii="IRNazanin" w:hAnsi="IRNazanin" w:eastAsia="IRNazanin" w:cs="IRNazanin"/>
            <w:color w:val="111111"/>
            <w:sz w:val="22"/>
            <w:szCs w:val="22"/>
            <w:b w:val="0"/>
            <w:bCs w:val="0"/>
            <w:i w:val="0"/>
            <w:iCs w:val="0"/>
          </w:rPr>
          <w:t>اشهر اللغات / لغت / فارسی</w:t>
        </w:r>
        <w:r>
          <w:tab/>
        </w:r>
        <w:r>
          <w:fldChar w:fldCharType="begin"/>
        </w:r>
        <w:r>
          <w:instrText xml:space="preserve">PAGEREF 1664 \h</w:instrText>
        </w:r>
        <w:r>
          <w:fldChar w:fldCharType="end"/>
        </w:r>
      </w:hyperlink>
    </w:p>
    <w:p>
      <w:pPr>
        <w:tabs>
          <w:tab w:val="right" w:leader="dot" w:pos="9062"/>
        </w:tabs>
        <w:ind w:left="440"/>
      </w:pPr>
      <w:hyperlink w:anchor="_Toc1665" w:history="1">
        <w:r>
          <w:rPr>
            <w:rFonts w:ascii="IRNazanin" w:hAnsi="IRNazanin" w:eastAsia="IRNazanin" w:cs="IRNazanin"/>
            <w:color w:val="111111"/>
            <w:sz w:val="22"/>
            <w:szCs w:val="22"/>
            <w:b w:val="0"/>
            <w:bCs w:val="0"/>
            <w:i w:val="0"/>
            <w:iCs w:val="0"/>
          </w:rPr>
          <w:t>الاشياء المقوية للشعر / طب / فارسی-عربی</w:t>
        </w:r>
        <w:r>
          <w:tab/>
        </w:r>
        <w:r>
          <w:fldChar w:fldCharType="begin"/>
        </w:r>
        <w:r>
          <w:instrText xml:space="preserve">PAGEREF 1665 \h</w:instrText>
        </w:r>
        <w:r>
          <w:fldChar w:fldCharType="end"/>
        </w:r>
      </w:hyperlink>
    </w:p>
    <w:p>
      <w:pPr>
        <w:tabs>
          <w:tab w:val="right" w:leader="dot" w:pos="9062"/>
        </w:tabs>
        <w:ind w:left="440"/>
      </w:pPr>
      <w:hyperlink w:anchor="_Toc1666" w:history="1">
        <w:r>
          <w:rPr>
            <w:rFonts w:ascii="IRNazanin" w:hAnsi="IRNazanin" w:eastAsia="IRNazanin" w:cs="IRNazanin"/>
            <w:color w:val="111111"/>
            <w:sz w:val="22"/>
            <w:szCs w:val="22"/>
            <w:b w:val="0"/>
            <w:bCs w:val="0"/>
            <w:i w:val="0"/>
            <w:iCs w:val="0"/>
          </w:rPr>
          <w:t>اشیاء متفرقه (رساله در) / متفرقه / فارسی</w:t>
        </w:r>
        <w:r>
          <w:tab/>
        </w:r>
        <w:r>
          <w:fldChar w:fldCharType="begin"/>
        </w:r>
        <w:r>
          <w:instrText xml:space="preserve">PAGEREF 1666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20365_259944"/>
    <w:bookmarkEnd w:id="0"/>
    <w:p>
      <w:pPr>
        <w:pStyle w:val="Heading2"/>
      </w:pPr>
      <w:bookmarkStart w:id="479" w:name="_Toc1"/>
      <w:r>
        <w:t>مشخصات کتاب</w:t>
      </w:r>
      <w:bookmarkEnd w:id="479"/>
    </w:p>
    <w:p>
      <w:pPr>
        <w:pStyle w:val="BookText"/>
      </w:pPr>
      <w:r>
        <w:rPr>
          <w:rFonts w:ascii="IRNazanin" w:hAnsi="IRNazanin" w:eastAsia="IRNazanin" w:cs="IRNazanin"/>
          <w:lang w:bidi="fa-IR"/>
          <w:color w:val="111111"/>
          <w:sz w:val="28"/>
          <w:szCs w:val="28"/>
          <w:rtl/>
        </w:rPr>
        <w:t xml:space="preserve">سرشناسه: درایتی، مصطفی 1334- گرد آورنده</w:t>
      </w:r>
    </w:p>
    <w:p>
      <w:pPr>
        <w:pStyle w:val="BookText"/>
      </w:pPr>
      <w:r>
        <w:rPr>
          <w:rFonts w:ascii="IRNazanin" w:hAnsi="IRNazanin" w:eastAsia="IRNazanin" w:cs="IRNazanin"/>
          <w:lang w:bidi="fa-IR"/>
          <w:color w:val="111111"/>
          <w:sz w:val="28"/>
          <w:szCs w:val="28"/>
          <w:rtl/>
        </w:rPr>
        <w:t xml:space="preserve">عنوان و نام پدیدآور:فهرستگان نسخه های خطی ایران (فنخا)/ به کوشش مصطفی درایتی.</w:t>
      </w:r>
    </w:p>
    <w:p>
      <w:pPr>
        <w:pStyle w:val="BookText"/>
      </w:pPr>
      <w:r>
        <w:rPr>
          <w:rFonts w:ascii="IRNazanin" w:hAnsi="IRNazanin" w:eastAsia="IRNazanin" w:cs="IRNazanin"/>
          <w:lang w:bidi="fa-IR"/>
          <w:color w:val="111111"/>
          <w:sz w:val="28"/>
          <w:szCs w:val="28"/>
          <w:rtl/>
        </w:rPr>
        <w:t xml:space="preserve">مشخصات نشر : :تهران سازمان اسناد و کتابخانه ملی جمهوری اسلامی ایران 1390.</w:t>
      </w:r>
    </w:p>
    <w:p>
      <w:pPr>
        <w:pStyle w:val="BookText"/>
      </w:pPr>
      <w:r>
        <w:rPr>
          <w:rFonts w:ascii="IRNazanin" w:hAnsi="IRNazanin" w:eastAsia="IRNazanin" w:cs="IRNazanin"/>
          <w:lang w:bidi="fa-IR"/>
          <w:color w:val="111111"/>
          <w:sz w:val="28"/>
          <w:szCs w:val="28"/>
          <w:rtl/>
        </w:rPr>
        <w:t xml:space="preserve">مشخصات ظاهری :ج</w:t>
      </w:r>
    </w:p>
    <w:p>
      <w:pPr>
        <w:pStyle w:val="BookText"/>
      </w:pPr>
      <w:r>
        <w:rPr>
          <w:rFonts w:ascii="IRNazanin" w:hAnsi="IRNazanin" w:eastAsia="IRNazanin" w:cs="IRNazanin"/>
          <w:lang w:bidi="fa-IR"/>
          <w:color w:val="111111"/>
          <w:sz w:val="28"/>
          <w:szCs w:val="28"/>
          <w:rtl/>
        </w:rPr>
        <w:t xml:space="preserve">شابک :دوره 9 - 271- 466- 978؛ ج3: 0- 274- 446- 964- 978</w:t>
      </w:r>
    </w:p>
    <w:p>
      <w:pPr>
        <w:pStyle w:val="BookText"/>
      </w:pPr>
      <w:r>
        <w:rPr>
          <w:rFonts w:ascii="IRNazanin" w:hAnsi="IRNazanin" w:eastAsia="IRNazanin" w:cs="IRNazanin"/>
          <w:lang w:bidi="fa-IR"/>
          <w:color w:val="111111"/>
          <w:sz w:val="28"/>
          <w:szCs w:val="28"/>
          <w:rtl/>
        </w:rPr>
        <w:t xml:space="preserve">وضعیت فهرست نویسی: فيپا</w:t>
      </w:r>
    </w:p>
    <w:p>
      <w:pPr>
        <w:pStyle w:val="BookText"/>
      </w:pPr>
      <w:r>
        <w:rPr>
          <w:rFonts w:ascii="IRNazanin" w:hAnsi="IRNazanin" w:eastAsia="IRNazanin" w:cs="IRNazanin"/>
          <w:lang w:bidi="fa-IR"/>
          <w:color w:val="111111"/>
          <w:sz w:val="28"/>
          <w:szCs w:val="28"/>
          <w:rtl/>
        </w:rPr>
        <w:t xml:space="preserve">مندرجات : ج 3.ارجاع - اشیاء</w:t>
      </w:r>
    </w:p>
    <w:p>
      <w:pPr>
        <w:pStyle w:val="BookText"/>
      </w:pPr>
      <w:r>
        <w:rPr>
          <w:rFonts w:ascii="IRNazanin" w:hAnsi="IRNazanin" w:eastAsia="IRNazanin" w:cs="IRNazanin"/>
          <w:lang w:bidi="fa-IR"/>
          <w:color w:val="111111"/>
          <w:sz w:val="28"/>
          <w:szCs w:val="28"/>
          <w:rtl/>
        </w:rPr>
        <w:t xml:space="preserve">موضوع : نسخه های --ایران - فهرستگان ها</w:t>
      </w:r>
    </w:p>
    <w:p>
      <w:pPr>
        <w:pStyle w:val="BookText"/>
      </w:pPr>
      <w:r>
        <w:rPr>
          <w:rFonts w:ascii="IRNazanin" w:hAnsi="IRNazanin" w:eastAsia="IRNazanin" w:cs="IRNazanin"/>
          <w:lang w:bidi="fa-IR"/>
          <w:color w:val="111111"/>
          <w:sz w:val="28"/>
          <w:szCs w:val="28"/>
          <w:rtl/>
        </w:rPr>
        <w:t xml:space="preserve">شناسه افزوده: سازمان اسناد و کتابخانه های ملی جمهوری اسلامی ایران</w:t>
      </w:r>
    </w:p>
    <w:p>
      <w:pPr>
        <w:pStyle w:val="BookText"/>
      </w:pPr>
      <w:r>
        <w:rPr>
          <w:rFonts w:ascii="IRNazanin" w:hAnsi="IRNazanin" w:eastAsia="IRNazanin" w:cs="IRNazanin"/>
          <w:lang w:bidi="fa-IR"/>
          <w:color w:val="111111"/>
          <w:sz w:val="28"/>
          <w:szCs w:val="28"/>
          <w:rtl/>
        </w:rPr>
        <w:t xml:space="preserve">رده بندی کنگره: 361390د الف/ 6620.</w:t>
      </w:r>
      <w:r>
        <w:rPr>
          <w:rFonts w:ascii="Times New Roman" w:hAnsi="Times New Roman" w:eastAsia="Times New Roman" w:cs="Times New Roman"/>
          <w:lang w:val="en-US" w:bidi="en-US"/>
          <w:color w:val="111111"/>
          <w:sz w:val="28"/>
          <w:szCs w:val="28"/>
          <w:rtl/>
        </w:rPr>
        <w:t xml:space="preserve">z</w:t>
      </w:r>
    </w:p>
    <w:p>
      <w:pPr>
        <w:pStyle w:val="BookText"/>
      </w:pPr>
      <w:r>
        <w:rPr>
          <w:rFonts w:ascii="IRNazanin" w:hAnsi="IRNazanin" w:eastAsia="IRNazanin" w:cs="IRNazanin"/>
          <w:lang w:bidi="fa-IR"/>
          <w:color w:val="111111"/>
          <w:sz w:val="28"/>
          <w:szCs w:val="28"/>
          <w:rtl/>
        </w:rPr>
        <w:t xml:space="preserve">رده بندی دیویی: 31/ 100</w:t>
      </w:r>
    </w:p>
    <w:p>
      <w:pPr>
        <w:pStyle w:val="BookText"/>
      </w:pPr>
      <w:r>
        <w:rPr>
          <w:rFonts w:ascii="IRNazanin" w:hAnsi="IRNazanin" w:eastAsia="IRNazanin" w:cs="IRNazanin"/>
          <w:lang w:bidi="fa-IR"/>
          <w:color w:val="111111"/>
          <w:sz w:val="28"/>
          <w:szCs w:val="28"/>
          <w:rtl/>
        </w:rPr>
        <w:t xml:space="preserve">شماره کتابشناسی ملی: 2596708</w:t>
      </w:r>
    </w:p>
    <w:p>
      <w:pPr>
        <w:pStyle w:val="Heading2"/>
      </w:pPr>
      <w:bookmarkStart w:id="480" w:name="_Toc2"/>
      <w:r>
        <w:t>اشاره</w:t>
      </w:r>
      <w:bookmarkEnd w:id="48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سازمان اسناد کتابخانه ملی جمهوری اسلامی ایران</w:t>
      </w:r>
    </w:p>
    <w:p>
      <w:pPr>
        <w:pStyle w:val="BookText"/>
      </w:pPr>
      <w:r>
        <w:rPr>
          <w:rFonts w:ascii="IRNazanin" w:hAnsi="IRNazanin" w:eastAsia="IRNazanin" w:cs="IRNazanin"/>
          <w:lang w:bidi="fa-IR"/>
          <w:color w:val="111111"/>
          <w:sz w:val="28"/>
          <w:szCs w:val="28"/>
          <w:rtl/>
        </w:rPr>
        <w:t xml:space="preserve">فهرستگانه نسخه های خطی ایران (فنخا)</w:t>
      </w:r>
    </w:p>
    <w:p>
      <w:pPr>
        <w:pStyle w:val="BookText"/>
      </w:pPr>
      <w:r>
        <w:rPr>
          <w:rFonts w:ascii="IRNazanin" w:hAnsi="IRNazanin" w:eastAsia="IRNazanin" w:cs="IRNazanin"/>
          <w:lang w:bidi="fa-IR"/>
          <w:color w:val="111111"/>
          <w:sz w:val="28"/>
          <w:szCs w:val="28"/>
          <w:rtl/>
        </w:rPr>
        <w:t xml:space="preserve">جلد سوم</w:t>
      </w:r>
    </w:p>
    <w:p>
      <w:pPr>
        <w:pStyle w:val="BookText"/>
      </w:pPr>
      <w:r>
        <w:rPr>
          <w:rFonts w:ascii="IRNazanin" w:hAnsi="IRNazanin" w:eastAsia="IRNazanin" w:cs="IRNazanin"/>
          <w:lang w:bidi="fa-IR"/>
          <w:color w:val="111111"/>
          <w:sz w:val="28"/>
          <w:szCs w:val="28"/>
          <w:rtl/>
        </w:rPr>
        <w:t xml:space="preserve">ارجاع- اشیاء</w:t>
      </w:r>
    </w:p>
    <w:p>
      <w:pPr>
        <w:pStyle w:val="BookText"/>
      </w:pPr>
      <w:r>
        <w:rPr>
          <w:rFonts w:ascii="IRNazanin" w:hAnsi="IRNazanin" w:eastAsia="IRNazanin" w:cs="IRNazanin"/>
          <w:lang w:bidi="fa-IR"/>
          <w:color w:val="111111"/>
          <w:sz w:val="28"/>
          <w:szCs w:val="28"/>
          <w:rtl/>
        </w:rPr>
        <w:t xml:space="preserve">به کوشش: مصطفى درایتی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نسخه شناسی/1</w:t>
      </w:r>
    </w:p>
    <w:p>
      <w:pPr>
        <w:pStyle w:val="BookText"/>
      </w:pPr>
      <w:r>
        <w:rPr>
          <w:rFonts w:ascii="IRNazanin" w:hAnsi="IRNazanin" w:eastAsia="IRNazanin" w:cs="IRNazanin"/>
          <w:lang w:bidi="fa-IR"/>
          <w:color w:val="111111"/>
          <w:sz w:val="28"/>
          <w:szCs w:val="28"/>
          <w:rtl/>
        </w:rPr>
        <w:t xml:space="preserve">سازمان اسناد کتابخانه ملی جمهوری اسلامی</w:t>
      </w:r>
    </w:p>
    <w:p>
      <w:pPr>
        <w:pStyle w:val="BookText"/>
      </w:pPr>
      <w:r>
        <w:rPr>
          <w:rFonts w:ascii="IRNazanin" w:hAnsi="IRNazanin" w:eastAsia="IRNazanin" w:cs="IRNazanin"/>
          <w:lang w:bidi="fa-IR"/>
          <w:color w:val="111111"/>
          <w:sz w:val="28"/>
          <w:szCs w:val="28"/>
          <w:rtl/>
        </w:rPr>
        <w:t xml:space="preserve">فهرستگان نسخه های خطی ایران (فنخا)</w:t>
      </w:r>
    </w:p>
    <w:p>
      <w:pPr>
        <w:pStyle w:val="BookText"/>
      </w:pPr>
      <w:r>
        <w:rPr>
          <w:rFonts w:ascii="IRNazanin" w:hAnsi="IRNazanin" w:eastAsia="IRNazanin" w:cs="IRNazanin"/>
          <w:lang w:bidi="fa-IR"/>
          <w:color w:val="111111"/>
          <w:sz w:val="28"/>
          <w:szCs w:val="28"/>
          <w:rtl/>
        </w:rPr>
        <w:t xml:space="preserve">مولف: مصطفی درایتی:</w:t>
      </w:r>
      <w:r>
        <w:rPr>
          <w:rFonts w:ascii="Times New Roman" w:hAnsi="Times New Roman" w:eastAsia="Times New Roman" w:cs="Times New Roman"/>
          <w:lang w:val="en-US" w:bidi="en-US"/>
          <w:color w:val="111111"/>
          <w:sz w:val="28"/>
          <w:szCs w:val="28"/>
          <w:rtl/>
        </w:rPr>
        <w:t xml:space="preserve">Derayatimostafa@yahoo.com</w:t>
      </w:r>
    </w:p>
    <w:p>
      <w:pPr>
        <w:pStyle w:val="BookText"/>
      </w:pPr>
      <w:r>
        <w:rPr>
          <w:rFonts w:ascii="IRNazanin" w:hAnsi="IRNazanin" w:eastAsia="IRNazanin" w:cs="IRNazanin"/>
          <w:lang w:bidi="fa-IR"/>
          <w:color w:val="111111"/>
          <w:sz w:val="28"/>
          <w:szCs w:val="28"/>
          <w:rtl/>
        </w:rPr>
        <w:t xml:space="preserve">ویراستار: دکتر مجتبی درایتی</w:t>
      </w:r>
    </w:p>
    <w:p>
      <w:pPr>
        <w:pStyle w:val="BookText"/>
      </w:pPr>
      <w:r>
        <w:rPr>
          <w:rFonts w:ascii="IRNazanin" w:hAnsi="IRNazanin" w:eastAsia="IRNazanin" w:cs="IRNazanin"/>
          <w:lang w:bidi="fa-IR"/>
          <w:color w:val="111111"/>
          <w:sz w:val="28"/>
          <w:szCs w:val="28"/>
          <w:rtl/>
        </w:rPr>
        <w:t xml:space="preserve">چاپ اول: 1390</w:t>
      </w:r>
    </w:p>
    <w:p>
      <w:pPr>
        <w:pStyle w:val="BookText"/>
      </w:pPr>
      <w:r>
        <w:rPr>
          <w:rFonts w:ascii="IRNazanin" w:hAnsi="IRNazanin" w:eastAsia="IRNazanin" w:cs="IRNazanin"/>
          <w:lang w:bidi="fa-IR"/>
          <w:color w:val="111111"/>
          <w:sz w:val="28"/>
          <w:szCs w:val="28"/>
          <w:rtl/>
        </w:rPr>
        <w:t xml:space="preserve">ناشر:سازمان اسناد و کتابخانه ملی جمهوری اسلامی ایران</w:t>
      </w:r>
    </w:p>
    <w:p>
      <w:pPr>
        <w:pStyle w:val="BookText"/>
      </w:pPr>
      <w:r>
        <w:rPr>
          <w:rFonts w:ascii="IRNazanin" w:hAnsi="IRNazanin" w:eastAsia="IRNazanin" w:cs="IRNazanin"/>
          <w:lang w:bidi="fa-IR"/>
          <w:color w:val="111111"/>
          <w:sz w:val="28"/>
          <w:szCs w:val="28"/>
          <w:rtl/>
        </w:rPr>
        <w:t xml:space="preserve">شمارگان: 1000 نسخه</w:t>
      </w:r>
    </w:p>
    <w:p>
      <w:pPr>
        <w:pStyle w:val="BookText"/>
      </w:pPr>
      <w:r>
        <w:rPr>
          <w:rFonts w:ascii="IRNazanin" w:hAnsi="IRNazanin" w:eastAsia="IRNazanin" w:cs="IRNazanin"/>
          <w:lang w:bidi="fa-IR"/>
          <w:color w:val="111111"/>
          <w:sz w:val="28"/>
          <w:szCs w:val="28"/>
          <w:rtl/>
        </w:rPr>
        <w:t xml:space="preserve">مديريت فني و كامپيوتر:مهندس امين رشيدي، مهندس محبوبه درايتی</w:t>
      </w:r>
    </w:p>
    <w:p>
      <w:pPr>
        <w:pStyle w:val="BookText"/>
      </w:pPr>
      <w:r>
        <w:rPr>
          <w:rFonts w:ascii="IRNazanin" w:hAnsi="IRNazanin" w:eastAsia="IRNazanin" w:cs="IRNazanin"/>
          <w:lang w:bidi="fa-IR"/>
          <w:color w:val="111111"/>
          <w:sz w:val="28"/>
          <w:szCs w:val="28"/>
          <w:rtl/>
        </w:rPr>
        <w:t xml:space="preserve">آماده سازي اطلاعات : علی عليزاده يزدی، حسين متدين طوسی</w:t>
      </w:r>
    </w:p>
    <w:p>
      <w:pPr>
        <w:pStyle w:val="BookText"/>
      </w:pPr>
      <w:r>
        <w:rPr>
          <w:rFonts w:ascii="IRNazanin" w:hAnsi="IRNazanin" w:eastAsia="IRNazanin" w:cs="IRNazanin"/>
          <w:lang w:bidi="fa-IR"/>
          <w:color w:val="111111"/>
          <w:sz w:val="28"/>
          <w:szCs w:val="28"/>
          <w:rtl/>
        </w:rPr>
        <w:t xml:space="preserve">تقي چيت ساز يزدی، ابراهيم ملكی، عباسعلی عليزاده يزدی</w:t>
      </w:r>
    </w:p>
    <w:p>
      <w:pPr>
        <w:pStyle w:val="BookText"/>
      </w:pPr>
      <w:r>
        <w:rPr>
          <w:rFonts w:ascii="IRNazanin" w:hAnsi="IRNazanin" w:eastAsia="IRNazanin" w:cs="IRNazanin"/>
          <w:lang w:bidi="fa-IR"/>
          <w:color w:val="111111"/>
          <w:sz w:val="28"/>
          <w:szCs w:val="28"/>
          <w:rtl/>
        </w:rPr>
        <w:t xml:space="preserve">تايپ و تصحيح:طاهره موسوی فر، سميرا عابد پور،مليحه فولادی، مليحه اسلامی</w:t>
      </w:r>
    </w:p>
    <w:p>
      <w:pPr>
        <w:pStyle w:val="BookText"/>
      </w:pPr>
      <w:r>
        <w:rPr>
          <w:rFonts w:ascii="IRNazanin" w:hAnsi="IRNazanin" w:eastAsia="IRNazanin" w:cs="IRNazanin"/>
          <w:lang w:bidi="fa-IR"/>
          <w:color w:val="111111"/>
          <w:sz w:val="28"/>
          <w:szCs w:val="28"/>
          <w:rtl/>
        </w:rPr>
        <w:t xml:space="preserve">طرح روي جلد: برگرفته از جلد نسخه خطی كليات سعدی دورۀ صفوی</w:t>
      </w:r>
    </w:p>
    <w:p>
      <w:pPr>
        <w:pStyle w:val="BookText"/>
      </w:pPr>
      <w:r>
        <w:rPr>
          <w:rFonts w:ascii="IRNazanin" w:hAnsi="IRNazanin" w:eastAsia="IRNazanin" w:cs="IRNazanin"/>
          <w:lang w:bidi="fa-IR"/>
          <w:color w:val="111111"/>
          <w:sz w:val="28"/>
          <w:szCs w:val="28"/>
          <w:rtl/>
        </w:rPr>
        <w:t xml:space="preserve">با شماره ثبت 19165كتابخانه ملی</w:t>
      </w:r>
    </w:p>
    <w:p>
      <w:pPr>
        <w:pStyle w:val="BookText"/>
      </w:pPr>
      <w:r>
        <w:rPr>
          <w:rFonts w:ascii="IRNazanin" w:hAnsi="IRNazanin" w:eastAsia="IRNazanin" w:cs="IRNazanin"/>
          <w:lang w:bidi="fa-IR"/>
          <w:color w:val="111111"/>
          <w:sz w:val="28"/>
          <w:szCs w:val="28"/>
          <w:rtl/>
        </w:rPr>
        <w:t xml:space="preserve">خوشنويسی روی جلد: مهدی فلاح</w:t>
      </w:r>
    </w:p>
    <w:p>
      <w:pPr>
        <w:pStyle w:val="BookText"/>
      </w:pPr>
      <w:r>
        <w:rPr>
          <w:rFonts w:ascii="IRNazanin" w:hAnsi="IRNazanin" w:eastAsia="IRNazanin" w:cs="IRNazanin"/>
          <w:lang w:bidi="fa-IR"/>
          <w:color w:val="111111"/>
          <w:sz w:val="28"/>
          <w:szCs w:val="28"/>
          <w:rtl/>
        </w:rPr>
        <w:t xml:space="preserve">صفحه آرايی: مهندس محبوبه درايتی</w:t>
      </w:r>
    </w:p>
    <w:p>
      <w:pPr>
        <w:pStyle w:val="BookText"/>
      </w:pPr>
      <w:r>
        <w:rPr>
          <w:rFonts w:ascii="IRNazanin" w:hAnsi="IRNazanin" w:eastAsia="IRNazanin" w:cs="IRNazanin"/>
          <w:lang w:bidi="fa-IR"/>
          <w:color w:val="111111"/>
          <w:sz w:val="28"/>
          <w:szCs w:val="28"/>
          <w:rtl/>
        </w:rPr>
        <w:t xml:space="preserve">ناظرچاپ: نصرت ا... اميرآبادی</w:t>
      </w:r>
    </w:p>
    <w:p>
      <w:pPr>
        <w:pStyle w:val="BookText"/>
      </w:pPr>
      <w:r>
        <w:rPr>
          <w:rFonts w:ascii="IRNazanin" w:hAnsi="IRNazanin" w:eastAsia="IRNazanin" w:cs="IRNazanin"/>
          <w:lang w:bidi="fa-IR"/>
          <w:color w:val="111111"/>
          <w:sz w:val="28"/>
          <w:szCs w:val="28"/>
          <w:rtl/>
        </w:rPr>
        <w:t xml:space="preserve">چاپ و صحافی: قلم قم</w:t>
      </w:r>
    </w:p>
    <w:p>
      <w:pPr>
        <w:pStyle w:val="BookText"/>
      </w:pPr>
      <w:r>
        <w:rPr>
          <w:rFonts w:ascii="IRNazanin" w:hAnsi="IRNazanin" w:eastAsia="IRNazanin" w:cs="IRNazanin"/>
          <w:lang w:bidi="fa-IR"/>
          <w:color w:val="111111"/>
          <w:sz w:val="28"/>
          <w:szCs w:val="28"/>
          <w:rtl/>
        </w:rPr>
        <w:t xml:space="preserve">نشاني: تهران بزرگراه شـهيد حقانی (غرب به شرق)،بعد از ايسـتگاه مترو، بلوار كتابخانه ملی</w:t>
      </w:r>
    </w:p>
    <w:p>
      <w:pPr>
        <w:pStyle w:val="BookText"/>
      </w:pPr>
      <w:r>
        <w:rPr>
          <w:rFonts w:ascii="IRNazanin" w:hAnsi="IRNazanin" w:eastAsia="IRNazanin" w:cs="IRNazanin"/>
          <w:lang w:bidi="fa-IR"/>
          <w:color w:val="111111"/>
          <w:sz w:val="28"/>
          <w:szCs w:val="28"/>
          <w:rtl/>
        </w:rPr>
        <w:t xml:space="preserve">بعد از ایستگتلفن :فروشگاه 81623318-15</w:t>
      </w:r>
    </w:p>
    <w:p>
      <w:pPr>
        <w:pStyle w:val="BookText"/>
      </w:pPr>
      <w:r>
        <w:rPr>
          <w:rFonts w:ascii="IRNazanin" w:hAnsi="IRNazanin" w:eastAsia="IRNazanin" w:cs="IRNazanin"/>
          <w:lang w:bidi="fa-IR"/>
          <w:color w:val="111111"/>
          <w:sz w:val="28"/>
          <w:szCs w:val="28"/>
          <w:rtl/>
        </w:rPr>
        <w:t xml:space="preserve">تهران فروشگاه:81623318- 81623315- 88941946: دورنگار:88947496</w:t>
      </w:r>
    </w:p>
    <w:p>
      <w:pPr>
        <w:pStyle w:val="BookText"/>
      </w:pPr>
      <w:r>
        <w:rPr>
          <w:rFonts w:ascii="IRNazanin" w:hAnsi="IRNazanin" w:eastAsia="IRNazanin" w:cs="IRNazanin"/>
          <w:lang w:bidi="fa-IR"/>
          <w:color w:val="111111"/>
          <w:sz w:val="28"/>
          <w:szCs w:val="28"/>
          <w:rtl/>
        </w:rPr>
        <w:t xml:space="preserve">وب سایت : </w:t>
      </w:r>
      <w:r>
        <w:rPr>
          <w:rFonts w:ascii="Times New Roman" w:hAnsi="Times New Roman" w:eastAsia="Times New Roman" w:cs="Times New Roman"/>
          <w:lang w:val="en-US" w:bidi="en-US"/>
          <w:color w:val="111111"/>
          <w:sz w:val="28"/>
          <w:szCs w:val="28"/>
          <w:rtl/>
        </w:rPr>
        <w:t xml:space="preserve">www.nlai.ir / </w:t>
      </w:r>
      <w:r>
        <w:rPr>
          <w:rFonts w:ascii="IRNazanin" w:hAnsi="IRNazanin" w:eastAsia="IRNazanin" w:cs="IRNazanin"/>
          <w:lang w:bidi="fa-IR"/>
          <w:color w:val="111111"/>
          <w:sz w:val="28"/>
          <w:szCs w:val="28"/>
          <w:rtl/>
        </w:rPr>
        <w:t xml:space="preserve">پست الکترونیک:</w:t>
      </w:r>
      <w:r>
        <w:rPr>
          <w:rFonts w:ascii="Times New Roman" w:hAnsi="Times New Roman" w:eastAsia="Times New Roman" w:cs="Times New Roman"/>
          <w:lang w:val="en-US" w:bidi="en-US"/>
          <w:color w:val="111111"/>
          <w:sz w:val="28"/>
          <w:szCs w:val="28"/>
          <w:rtl/>
        </w:rPr>
        <w:t xml:space="preserve">Publication@nlai.ir</w:t>
      </w:r>
    </w:p>
    <w:p>
      <w:pPr>
        <w:pStyle w:val="BookText"/>
      </w:pPr>
      <w:r>
        <w:rPr>
          <w:rFonts w:ascii="IRNazanin" w:hAnsi="IRNazanin" w:eastAsia="IRNazanin" w:cs="IRNazanin"/>
          <w:lang w:bidi="fa-IR"/>
          <w:color w:val="111111"/>
          <w:sz w:val="28"/>
          <w:szCs w:val="28"/>
          <w:rtl/>
        </w:rPr>
        <w:t xml:space="preserve">مركز الوثائق والمکتبة الوطنیة في الجمهوریة الاسلامیة الایرانیة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الفهرس الموحّد</w:t>
      </w:r>
    </w:p>
    <w:p>
      <w:pPr>
        <w:pStyle w:val="BookText"/>
      </w:pPr>
      <w:r>
        <w:rPr>
          <w:rFonts w:ascii="IRNazanin" w:hAnsi="IRNazanin" w:eastAsia="IRNazanin" w:cs="IRNazanin"/>
          <w:lang w:bidi="fa-IR"/>
          <w:color w:val="111111"/>
          <w:sz w:val="28"/>
          <w:szCs w:val="28"/>
          <w:rtl/>
        </w:rPr>
        <w:t xml:space="preserve">للمخطوطات الایرانیة</w:t>
      </w:r>
    </w:p>
    <w:p>
      <w:pPr>
        <w:pStyle w:val="BookText"/>
      </w:pPr>
      <w:r>
        <w:rPr>
          <w:rFonts w:ascii="IRNazanin" w:hAnsi="IRNazanin" w:eastAsia="IRNazanin" w:cs="IRNazanin"/>
          <w:lang w:bidi="fa-IR"/>
          <w:color w:val="111111"/>
          <w:sz w:val="28"/>
          <w:szCs w:val="28"/>
          <w:rtl/>
        </w:rPr>
        <w:t xml:space="preserve">المجلد الثالث</w:t>
      </w:r>
    </w:p>
    <w:p>
      <w:pPr>
        <w:pStyle w:val="BookText"/>
      </w:pPr>
      <w:r>
        <w:rPr>
          <w:rFonts w:ascii="IRNazanin" w:hAnsi="IRNazanin" w:eastAsia="IRNazanin" w:cs="IRNazanin"/>
          <w:lang w:bidi="fa-IR"/>
          <w:color w:val="111111"/>
          <w:sz w:val="28"/>
          <w:szCs w:val="28"/>
          <w:rtl/>
        </w:rPr>
        <w:t xml:space="preserve">اعداد: مصطفی الدرایتی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20365_259950"/>
    <w:bookmarkEnd w:id="1"/>
    <w:p>
      <w:pPr>
        <w:pStyle w:val="Heading2"/>
      </w:pPr>
      <w:bookmarkStart w:id="481" w:name="_Toc3"/>
      <w:r>
        <w:t>رموز و اختصارات</w:t>
      </w:r>
      <w:bookmarkEnd w:id="481"/>
    </w:p>
    <w:p>
      <w:pPr>
        <w:pStyle w:val="BookText"/>
      </w:pPr>
      <w:r>
        <w:rPr>
          <w:rFonts w:ascii="IRNazanin" w:hAnsi="IRNazanin" w:eastAsia="IRNazanin" w:cs="IRNazanin"/>
          <w:lang w:bidi="fa-IR"/>
          <w:color w:val="111111"/>
          <w:sz w:val="28"/>
          <w:szCs w:val="28"/>
          <w:rtl/>
        </w:rPr>
        <w:t xml:space="preserve">«آتشی: مجموعه آقای سید علی آتشی در یزد</w:t>
      </w:r>
    </w:p>
    <w:p>
      <w:pPr>
        <w:pStyle w:val="BookText"/>
      </w:pPr>
      <w:r>
        <w:rPr>
          <w:rFonts w:ascii="IRNazanin" w:hAnsi="IRNazanin" w:eastAsia="IRNazanin" w:cs="IRNazanin"/>
          <w:lang w:bidi="fa-IR"/>
          <w:color w:val="111111"/>
          <w:sz w:val="28"/>
          <w:szCs w:val="28"/>
          <w:rtl/>
        </w:rPr>
        <w:t xml:space="preserve">«آثار ملی: کتابخانه آثار ملی کاشان</w:t>
      </w:r>
    </w:p>
    <w:p>
      <w:pPr>
        <w:pStyle w:val="BookText"/>
      </w:pPr>
      <w:r>
        <w:rPr>
          <w:rFonts w:ascii="IRNazanin" w:hAnsi="IRNazanin" w:eastAsia="IRNazanin" w:cs="IRNazanin"/>
          <w:lang w:bidi="fa-IR"/>
          <w:color w:val="111111"/>
          <w:sz w:val="28"/>
          <w:szCs w:val="28"/>
          <w:rtl/>
        </w:rPr>
        <w:t xml:space="preserve">«آغاز برابر: آغاز برابر نمونه کتاب</w:t>
      </w:r>
    </w:p>
    <w:p>
      <w:pPr>
        <w:pStyle w:val="BookText"/>
      </w:pPr>
      <w:r>
        <w:rPr>
          <w:rFonts w:ascii="IRNazanin" w:hAnsi="IRNazanin" w:eastAsia="IRNazanin" w:cs="IRNazanin"/>
          <w:lang w:bidi="fa-IR"/>
          <w:color w:val="111111"/>
          <w:sz w:val="28"/>
          <w:szCs w:val="28"/>
          <w:rtl/>
        </w:rPr>
        <w:t xml:space="preserve">«آغاز و انجام: برابر آغاز و انجام برابر نمونه کتاب</w:t>
      </w:r>
    </w:p>
    <w:p>
      <w:pPr>
        <w:pStyle w:val="BookText"/>
      </w:pPr>
      <w:r>
        <w:rPr>
          <w:rFonts w:ascii="IRNazanin" w:hAnsi="IRNazanin" w:eastAsia="IRNazanin" w:cs="IRNazanin"/>
          <w:lang w:bidi="fa-IR"/>
          <w:color w:val="111111"/>
          <w:sz w:val="28"/>
          <w:szCs w:val="28"/>
          <w:rtl/>
        </w:rPr>
        <w:t xml:space="preserve">«احتمالاً غیر همانند: در مورد نسخه های فاقد مؤلف به کار رفته است که نام مشترک دارند و ما به احتمال آنها را متفاوت میدانیم</w:t>
      </w:r>
    </w:p>
    <w:p>
      <w:pPr>
        <w:pStyle w:val="BookText"/>
      </w:pPr>
      <w:r>
        <w:rPr>
          <w:rFonts w:ascii="IRNazanin" w:hAnsi="IRNazanin" w:eastAsia="IRNazanin" w:cs="IRNazanin"/>
          <w:lang w:bidi="fa-IR"/>
          <w:color w:val="111111"/>
          <w:sz w:val="28"/>
          <w:szCs w:val="28"/>
          <w:rtl/>
        </w:rPr>
        <w:t xml:space="preserve">«احتمالاً همانند: در مورد نسخه های فاقد مؤلف به کار رفته که نام مشترک دارند ولی ما احتمال میدهیم برخی از آنها یک اثر است ولی مطمئن نیستیم</w:t>
      </w:r>
    </w:p>
    <w:p>
      <w:pPr>
        <w:pStyle w:val="BookText"/>
      </w:pPr>
      <w:r>
        <w:rPr>
          <w:rFonts w:ascii="IRNazanin" w:hAnsi="IRNazanin" w:eastAsia="IRNazanin" w:cs="IRNazanin"/>
          <w:lang w:bidi="fa-IR"/>
          <w:color w:val="111111"/>
          <w:sz w:val="28"/>
          <w:szCs w:val="28"/>
          <w:rtl/>
        </w:rPr>
        <w:t xml:space="preserve">«احتمالاً بعضا همانند: در مورد نسخه هایی به کار رفته که نام مؤلف آنها معلوم نیست ولی نام مشترک دارند و تعدادی نسخه به این نام معرفی شده است و برخی از آنها احتمال می رود یک کتاب باشند ولی مطمئن نیستیم</w:t>
      </w:r>
    </w:p>
    <w:p>
      <w:pPr>
        <w:pStyle w:val="BookText"/>
      </w:pPr>
      <w:r>
        <w:rPr>
          <w:rFonts w:ascii="IRNazanin" w:hAnsi="IRNazanin" w:eastAsia="IRNazanin" w:cs="IRNazanin"/>
          <w:lang w:bidi="fa-IR"/>
          <w:color w:val="111111"/>
          <w:sz w:val="28"/>
          <w:szCs w:val="28"/>
          <w:rtl/>
        </w:rPr>
        <w:t xml:space="preserve">«ادبیات با نام شهر :تهران کتابخانه دانشکده ادبیات دانشگاه تهران با نام شهر مشهد کتابخانه دانشکده ادبیات دانشگاه فردوسی مشهد؛ با نام شهر اصفهان: دانشکده ادبیات دانشگاه اصفهان:</w:t>
      </w:r>
    </w:p>
    <w:p>
      <w:pPr>
        <w:pStyle w:val="BookText"/>
      </w:pPr>
      <w:r>
        <w:rPr>
          <w:rFonts w:ascii="IRNazanin" w:hAnsi="IRNazanin" w:eastAsia="IRNazanin" w:cs="IRNazanin"/>
          <w:lang w:bidi="fa-IR"/>
          <w:color w:val="111111"/>
          <w:sz w:val="28"/>
          <w:szCs w:val="28"/>
          <w:rtl/>
        </w:rPr>
        <w:t xml:space="preserve">«اصغر زاده: مجموعه اصغر زاده</w:t>
      </w:r>
    </w:p>
    <w:p>
      <w:pPr>
        <w:pStyle w:val="BookText"/>
      </w:pPr>
      <w:r>
        <w:rPr>
          <w:rFonts w:ascii="IRNazanin" w:hAnsi="IRNazanin" w:eastAsia="IRNazanin" w:cs="IRNazanin"/>
          <w:lang w:bidi="fa-IR"/>
          <w:color w:val="111111"/>
          <w:sz w:val="28"/>
          <w:szCs w:val="28"/>
          <w:rtl/>
        </w:rPr>
        <w:t xml:space="preserve">الفبائی فهرست الفبائی نسخه های خطی کتابخانه آستان قدس رضوی</w:t>
      </w:r>
    </w:p>
    <w:p>
      <w:pPr>
        <w:pStyle w:val="BookText"/>
      </w:pPr>
      <w:r>
        <w:rPr>
          <w:rFonts w:ascii="IRNazanin" w:hAnsi="IRNazanin" w:eastAsia="IRNazanin" w:cs="IRNazanin"/>
          <w:lang w:bidi="fa-IR"/>
          <w:color w:val="111111"/>
          <w:sz w:val="28"/>
          <w:szCs w:val="28"/>
          <w:rtl/>
        </w:rPr>
        <w:t xml:space="preserve">«الهیات با نام شهر :تهران کتابخانه دانشکده الهیات دانشگاه تهران با نام شهر مشهد: دانشکده الهیات دانشگاه فردوسی مشهد.</w:t>
      </w:r>
    </w:p>
    <w:p>
      <w:pPr>
        <w:pStyle w:val="BookText"/>
      </w:pPr>
      <w:r>
        <w:rPr>
          <w:rFonts w:ascii="IRNazanin" w:hAnsi="IRNazanin" w:eastAsia="IRNazanin" w:cs="IRNazanin"/>
          <w:lang w:bidi="fa-IR"/>
          <w:color w:val="111111"/>
          <w:sz w:val="28"/>
          <w:szCs w:val="28"/>
          <w:rtl/>
        </w:rPr>
        <w:t xml:space="preserve">«امام جمعه: کتابخانه امام جمعه زنجان</w:t>
      </w:r>
    </w:p>
    <w:p>
      <w:pPr>
        <w:pStyle w:val="BookText"/>
      </w:pPr>
      <w:r>
        <w:rPr>
          <w:rFonts w:ascii="IRNazanin" w:hAnsi="IRNazanin" w:eastAsia="IRNazanin" w:cs="IRNazanin"/>
          <w:lang w:bidi="fa-IR"/>
          <w:color w:val="111111"/>
          <w:sz w:val="28"/>
          <w:szCs w:val="28"/>
          <w:rtl/>
        </w:rPr>
        <w:t xml:space="preserve">«امام صادق مدرسه امام صادق چالوس و مدرسه امام صادق قزوین و کتابخانه مؤسسه امام صادق قم و کتابخانه حوزه علمیه امام صادق اردکان یزد. که هر کدام با قرینه نام شهر قبل از آن قابل تشخیص است.</w:t>
      </w:r>
    </w:p>
    <w:p>
      <w:pPr>
        <w:pStyle w:val="BookText"/>
      </w:pPr>
      <w:r>
        <w:rPr>
          <w:rFonts w:ascii="IRNazanin" w:hAnsi="IRNazanin" w:eastAsia="IRNazanin" w:cs="IRNazanin"/>
          <w:lang w:bidi="fa-IR"/>
          <w:color w:val="111111"/>
          <w:sz w:val="28"/>
          <w:szCs w:val="28"/>
          <w:rtl/>
        </w:rPr>
        <w:t xml:space="preserve">«امام عصر: کتابخانه مدرسه امام عصر شیراز</w:t>
      </w:r>
    </w:p>
    <w:p>
      <w:pPr>
        <w:pStyle w:val="BookText"/>
      </w:pPr>
      <w:r>
        <w:rPr>
          <w:rFonts w:ascii="IRNazanin" w:hAnsi="IRNazanin" w:eastAsia="IRNazanin" w:cs="IRNazanin"/>
          <w:lang w:bidi="fa-IR"/>
          <w:color w:val="111111"/>
          <w:sz w:val="28"/>
          <w:szCs w:val="28"/>
          <w:rtl/>
        </w:rPr>
        <w:t xml:space="preserve">«امام هادی: کتابخانه عمومی امام هادی در مشهد</w:t>
      </w:r>
    </w:p>
    <w:p>
      <w:pPr>
        <w:pStyle w:val="BookText"/>
      </w:pPr>
      <w:r>
        <w:rPr>
          <w:rFonts w:ascii="IRNazanin" w:hAnsi="IRNazanin" w:eastAsia="IRNazanin" w:cs="IRNazanin"/>
          <w:lang w:bidi="fa-IR"/>
          <w:color w:val="111111"/>
          <w:sz w:val="28"/>
          <w:szCs w:val="28"/>
          <w:rtl/>
        </w:rPr>
        <w:t xml:space="preserve">«امیر کبیر: کتابخانه امیر کبیر در باغشاه فین</w:t>
      </w:r>
    </w:p>
    <w:p>
      <w:pPr>
        <w:pStyle w:val="BookText"/>
      </w:pPr>
      <w:r>
        <w:rPr>
          <w:rFonts w:ascii="IRNazanin" w:hAnsi="IRNazanin" w:eastAsia="IRNazanin" w:cs="IRNazanin"/>
          <w:lang w:bidi="fa-IR"/>
          <w:color w:val="111111"/>
          <w:sz w:val="28"/>
          <w:szCs w:val="28"/>
          <w:rtl/>
        </w:rPr>
        <w:t xml:space="preserve">«امیرالمؤمنین: کتابخانه امیرالمؤمنین بشرویه</w:t>
      </w:r>
    </w:p>
    <w:p>
      <w:pPr>
        <w:pStyle w:val="BookText"/>
      </w:pPr>
      <w:r>
        <w:rPr>
          <w:rFonts w:ascii="IRNazanin" w:hAnsi="IRNazanin" w:eastAsia="IRNazanin" w:cs="IRNazanin"/>
          <w:lang w:bidi="fa-IR"/>
          <w:color w:val="111111"/>
          <w:sz w:val="28"/>
          <w:szCs w:val="28"/>
          <w:rtl/>
        </w:rPr>
        <w:t xml:space="preserve">«انجام :برابر انجام برابر نمونه کتاب.</w:t>
      </w:r>
    </w:p>
    <w:p>
      <w:pPr>
        <w:pStyle w:val="BookText"/>
      </w:pPr>
      <w:r>
        <w:rPr>
          <w:rFonts w:ascii="IRNazanin" w:hAnsi="IRNazanin" w:eastAsia="IRNazanin" w:cs="IRNazanin"/>
          <w:lang w:bidi="fa-IR"/>
          <w:color w:val="111111"/>
          <w:sz w:val="28"/>
          <w:szCs w:val="28"/>
          <w:rtl/>
        </w:rPr>
        <w:t xml:space="preserve">«اندازه: اندازه صفحه</w:t>
      </w:r>
    </w:p>
    <w:p>
      <w:pPr>
        <w:pStyle w:val="BookText"/>
      </w:pPr>
      <w:r>
        <w:rPr>
          <w:rFonts w:ascii="IRNazanin" w:hAnsi="IRNazanin" w:eastAsia="IRNazanin" w:cs="IRNazanin"/>
          <w:lang w:bidi="fa-IR"/>
          <w:color w:val="111111"/>
          <w:sz w:val="28"/>
          <w:szCs w:val="28"/>
          <w:rtl/>
        </w:rPr>
        <w:t xml:space="preserve">«اوراق عتیق: مجموعه ای به همین نام که به کوشش محمد حسین حکیم از طریق کتابخانه مجلس شورای اسلامی منتشر شده است.</w:t>
      </w:r>
    </w:p>
    <w:p>
      <w:pPr>
        <w:pStyle w:val="BookText"/>
      </w:pPr>
      <w:r>
        <w:rPr>
          <w:rFonts w:ascii="IRNazanin" w:hAnsi="IRNazanin" w:eastAsia="IRNazanin" w:cs="IRNazanin"/>
          <w:lang w:bidi="fa-IR"/>
          <w:color w:val="111111"/>
          <w:sz w:val="28"/>
          <w:szCs w:val="28"/>
          <w:rtl/>
        </w:rPr>
        <w:t xml:space="preserve">«اهدائی ف: فهرست نسخه های خطی اهدائی رهبری به آستان قدس رضوی تالیف رضا استادی</w:t>
      </w:r>
    </w:p>
    <w:p>
      <w:pPr>
        <w:pStyle w:val="BookText"/>
      </w:pPr>
      <w:r>
        <w:rPr>
          <w:rFonts w:ascii="IRNazanin" w:hAnsi="IRNazanin" w:eastAsia="IRNazanin" w:cs="IRNazanin"/>
          <w:lang w:bidi="fa-IR"/>
          <w:color w:val="111111"/>
          <w:sz w:val="28"/>
          <w:szCs w:val="28"/>
          <w:rtl/>
        </w:rPr>
        <w:t xml:space="preserve">اهدائی رهبر مجموعه فهارس نسخه های خطی اهدائی رهبری به آستان قدس رضوی که چندین جلد آن منتشر شده است.</w:t>
      </w:r>
    </w:p>
    <w:p>
      <w:pPr>
        <w:pStyle w:val="BookText"/>
      </w:pPr>
      <w:r>
        <w:rPr>
          <w:rFonts w:ascii="IRNazanin" w:hAnsi="IRNazanin" w:eastAsia="IRNazanin" w:cs="IRNazanin"/>
          <w:lang w:bidi="fa-IR"/>
          <w:color w:val="111111"/>
          <w:sz w:val="28"/>
          <w:szCs w:val="28"/>
          <w:rtl/>
        </w:rPr>
        <w:t xml:space="preserve">«بی تا: بدون تاریخ کتابت.</w:t>
      </w:r>
    </w:p>
    <w:p>
      <w:pPr>
        <w:pStyle w:val="BookText"/>
      </w:pPr>
      <w:r>
        <w:rPr>
          <w:rFonts w:ascii="IRNazanin" w:hAnsi="IRNazanin" w:eastAsia="IRNazanin" w:cs="IRNazanin"/>
          <w:lang w:bidi="fa-IR"/>
          <w:color w:val="111111"/>
          <w:sz w:val="28"/>
          <w:szCs w:val="28"/>
          <w:rtl/>
        </w:rPr>
        <w:t xml:space="preserve">«بی کا: بدون كاتب.</w:t>
      </w:r>
    </w:p>
    <w:p>
      <w:pPr>
        <w:pStyle w:val="BookText"/>
      </w:pPr>
      <w:r>
        <w:rPr>
          <w:rFonts w:ascii="IRNazanin" w:hAnsi="IRNazanin" w:eastAsia="IRNazanin" w:cs="IRNazanin"/>
          <w:lang w:bidi="fa-IR"/>
          <w:color w:val="111111"/>
          <w:sz w:val="28"/>
          <w:szCs w:val="28"/>
          <w:rtl/>
        </w:rPr>
        <w:t xml:space="preserve">« پ: پشت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تاریخ کتابت.</w:t>
      </w:r>
    </w:p>
    <w:p>
      <w:pPr>
        <w:pStyle w:val="BookText"/>
      </w:pPr>
      <w:r>
        <w:rPr>
          <w:rFonts w:ascii="IRNazanin" w:hAnsi="IRNazanin" w:eastAsia="IRNazanin" w:cs="IRNazanin"/>
          <w:lang w:bidi="fa-IR"/>
          <w:color w:val="111111"/>
          <w:sz w:val="28"/>
          <w:szCs w:val="28"/>
          <w:rtl/>
        </w:rPr>
        <w:t xml:space="preserve">«جا: محل کتابت</w:t>
      </w:r>
    </w:p>
    <w:p>
      <w:pPr>
        <w:pStyle w:val="BookText"/>
      </w:pPr>
      <w:r>
        <w:rPr>
          <w:rFonts w:ascii="IRNazanin" w:hAnsi="IRNazanin" w:eastAsia="IRNazanin" w:cs="IRNazanin"/>
          <w:lang w:bidi="fa-IR"/>
          <w:color w:val="111111"/>
          <w:sz w:val="28"/>
          <w:szCs w:val="28"/>
          <w:rtl/>
        </w:rPr>
        <w:t xml:space="preserve">«چهل ستون: مدرسه چهل ستون تهران</w:t>
      </w:r>
    </w:p>
    <w:p>
      <w:pPr>
        <w:pStyle w:val="BookText"/>
      </w:pPr>
      <w:r>
        <w:rPr>
          <w:rFonts w:ascii="IRNazanin" w:hAnsi="IRNazanin" w:eastAsia="IRNazanin" w:cs="IRNazanin"/>
          <w:lang w:bidi="fa-IR"/>
          <w:color w:val="111111"/>
          <w:sz w:val="28"/>
          <w:szCs w:val="28"/>
          <w:rtl/>
        </w:rPr>
        <w:t xml:space="preserve">«حجتیه: کتابخانه مدرسه حجتیه</w:t>
      </w:r>
    </w:p>
    <w:p>
      <w:pPr>
        <w:pStyle w:val="BookText"/>
      </w:pPr>
      <w:r>
        <w:rPr>
          <w:rFonts w:ascii="IRNazanin" w:hAnsi="IRNazanin" w:eastAsia="IRNazanin" w:cs="IRNazanin"/>
          <w:lang w:bidi="fa-IR"/>
          <w:color w:val="111111"/>
          <w:sz w:val="28"/>
          <w:szCs w:val="28"/>
          <w:rtl/>
        </w:rPr>
        <w:t xml:space="preserve">«حججی: کتابخانه آیه الله حججی نجف آباد</w:t>
      </w:r>
    </w:p>
    <w:p>
      <w:pPr>
        <w:pStyle w:val="BookText"/>
      </w:pPr>
      <w:r>
        <w:rPr>
          <w:rFonts w:ascii="IRNazanin" w:hAnsi="IRNazanin" w:eastAsia="IRNazanin" w:cs="IRNazanin"/>
          <w:lang w:bidi="fa-IR"/>
          <w:color w:val="111111"/>
          <w:sz w:val="28"/>
          <w:szCs w:val="28"/>
          <w:rtl/>
        </w:rPr>
        <w:t xml:space="preserve">«حقوق: دانشکده حقوق دانشگاه تهران</w:t>
      </w:r>
    </w:p>
    <w:p>
      <w:pPr>
        <w:pStyle w:val="BookText"/>
      </w:pPr>
      <w:r>
        <w:rPr>
          <w:rFonts w:ascii="IRNazanin" w:hAnsi="IRNazanin" w:eastAsia="IRNazanin" w:cs="IRNazanin"/>
          <w:lang w:bidi="fa-IR"/>
          <w:color w:val="111111"/>
          <w:sz w:val="28"/>
          <w:szCs w:val="28"/>
          <w:rtl/>
        </w:rPr>
        <w:t xml:space="preserve">«حوزه علمیه: حوزه علمیه آشتیان</w:t>
      </w:r>
    </w:p>
    <w:p>
      <w:pPr>
        <w:pStyle w:val="BookText"/>
      </w:pPr>
      <w:r>
        <w:rPr>
          <w:rFonts w:ascii="IRNazanin" w:hAnsi="IRNazanin" w:eastAsia="IRNazanin" w:cs="IRNazanin"/>
          <w:lang w:bidi="fa-IR"/>
          <w:color w:val="111111"/>
          <w:sz w:val="28"/>
          <w:szCs w:val="28"/>
          <w:rtl/>
        </w:rPr>
        <w:t xml:space="preserve">«خاتم الانبیاء: کتابخانه مدرسه خاتم الانبیاء (صدر) بابل</w:t>
      </w:r>
    </w:p>
    <w:p>
      <w:pPr>
        <w:pStyle w:val="BookText"/>
      </w:pPr>
      <w:r>
        <w:rPr>
          <w:rFonts w:ascii="IRNazanin" w:hAnsi="IRNazanin" w:eastAsia="IRNazanin" w:cs="IRNazanin"/>
          <w:lang w:bidi="fa-IR"/>
          <w:color w:val="111111"/>
          <w:sz w:val="28"/>
          <w:szCs w:val="28"/>
          <w:rtl/>
        </w:rPr>
        <w:t xml:space="preserve">«دائرة المعارف: کتابخانه مرکز دائره المعارف بزرگ سلامی</w:t>
      </w:r>
    </w:p>
    <w:p>
      <w:pPr>
        <w:pStyle w:val="BookText"/>
      </w:pPr>
      <w:r>
        <w:rPr>
          <w:rFonts w:ascii="IRNazanin" w:hAnsi="IRNazanin" w:eastAsia="IRNazanin" w:cs="IRNazanin"/>
          <w:lang w:bidi="fa-IR"/>
          <w:color w:val="111111"/>
          <w:sz w:val="28"/>
          <w:szCs w:val="28"/>
          <w:rtl/>
        </w:rPr>
        <w:t xml:space="preserve">«دار الحدیث: کتابخانه مرکز دار الحدیث در قم</w:t>
      </w:r>
    </w:p>
    <w:p>
      <w:pPr>
        <w:pStyle w:val="BookText"/>
      </w:pPr>
      <w:r>
        <w:rPr>
          <w:rFonts w:ascii="IRNazanin" w:hAnsi="IRNazanin" w:eastAsia="IRNazanin" w:cs="IRNazanin"/>
          <w:lang w:bidi="fa-IR"/>
          <w:color w:val="111111"/>
          <w:sz w:val="28"/>
          <w:szCs w:val="28"/>
          <w:rtl/>
        </w:rPr>
        <w:t xml:space="preserve">«دانشگاه: کتابخانه مرکزی دانشگاه تهران</w:t>
      </w:r>
    </w:p>
    <w:p>
      <w:pPr>
        <w:pStyle w:val="BookText"/>
      </w:pPr>
      <w:r>
        <w:rPr>
          <w:rFonts w:ascii="IRNazanin" w:hAnsi="IRNazanin" w:eastAsia="IRNazanin" w:cs="IRNazanin"/>
          <w:lang w:bidi="fa-IR"/>
          <w:color w:val="111111"/>
          <w:sz w:val="28"/>
          <w:szCs w:val="28"/>
          <w:rtl/>
        </w:rPr>
        <w:t xml:space="preserve">«د.ث: به معنای دفتر ثبت کتابخانه مجلس شورای اسلامی است.</w:t>
      </w:r>
    </w:p>
    <w:p>
      <w:pPr>
        <w:pStyle w:val="BookText"/>
      </w:pPr>
      <w:r>
        <w:rPr>
          <w:rFonts w:ascii="IRNazanin" w:hAnsi="IRNazanin" w:eastAsia="IRNazanin" w:cs="IRNazanin"/>
          <w:lang w:bidi="fa-IR"/>
          <w:color w:val="111111"/>
          <w:sz w:val="28"/>
          <w:szCs w:val="28"/>
          <w:rtl/>
        </w:rPr>
        <w:t xml:space="preserve">«دهگان: مجموعه ابراهیم دهگان اراک.</w:t>
      </w:r>
    </w:p>
    <w:p>
      <w:pPr>
        <w:pStyle w:val="BookText"/>
      </w:pPr>
      <w:r>
        <w:rPr>
          <w:rFonts w:ascii="IRNazanin" w:hAnsi="IRNazanin" w:eastAsia="IRNazanin" w:cs="IRNazanin"/>
          <w:lang w:bidi="fa-IR"/>
          <w:color w:val="111111"/>
          <w:sz w:val="28"/>
          <w:szCs w:val="28"/>
          <w:rtl/>
        </w:rPr>
        <w:t xml:space="preserve">«دیانی: کتابخانه شیخ محمد علی دیانی بیرجند</w:t>
      </w:r>
    </w:p>
    <w:p>
      <w:pPr>
        <w:pStyle w:val="BookText"/>
      </w:pPr>
      <w:r>
        <w:rPr>
          <w:rFonts w:ascii="IRNazanin" w:hAnsi="IRNazanin" w:eastAsia="IRNazanin" w:cs="IRNazanin"/>
          <w:lang w:bidi="fa-IR"/>
          <w:color w:val="111111"/>
          <w:sz w:val="28"/>
          <w:szCs w:val="28"/>
          <w:rtl/>
        </w:rPr>
        <w:t xml:space="preserve">«لذكاء، يحيى: مجموعه ذکاء یحیی</w:t>
      </w:r>
    </w:p>
    <w:p>
      <w:pPr>
        <w:pStyle w:val="BookText"/>
      </w:pPr>
      <w:r>
        <w:rPr>
          <w:rFonts w:ascii="IRNazanin" w:hAnsi="IRNazanin" w:eastAsia="IRNazanin" w:cs="IRNazanin"/>
          <w:lang w:bidi="fa-IR"/>
          <w:color w:val="111111"/>
          <w:sz w:val="28"/>
          <w:szCs w:val="28"/>
          <w:rtl/>
        </w:rPr>
        <w:t xml:space="preserve">«ر: رو</w:t>
      </w:r>
    </w:p>
    <w:p>
      <w:pPr>
        <w:pStyle w:val="BookText"/>
      </w:pPr>
      <w:r>
        <w:rPr>
          <w:rFonts w:ascii="IRNazanin" w:hAnsi="IRNazanin" w:eastAsia="IRNazanin" w:cs="IRNazanin"/>
          <w:lang w:bidi="fa-IR"/>
          <w:color w:val="111111"/>
          <w:sz w:val="28"/>
          <w:szCs w:val="28"/>
          <w:rtl/>
        </w:rPr>
        <w:t xml:space="preserve">«رایانه: رایانه کتابخانه ملی ایران و کتابخانه آستان قدس رضوی و در مواردی کتابخانه مسجد گوهرشاد. لاز به ذکر است که شماره بعد از آن در مورد کتابخانه ملی غیر قابل پیگیری است و منظور شماره صفحاتی است که متن پیاده شده فایل آن می باشد که در اختیار ماست و برای کنترل کار خود مامی باشد.</w:t>
      </w:r>
    </w:p>
    <w:p>
      <w:pPr>
        <w:pStyle w:val="BookText"/>
      </w:pPr>
      <w:r>
        <w:rPr>
          <w:rFonts w:ascii="IRNazanin" w:hAnsi="IRNazanin" w:eastAsia="IRNazanin" w:cs="IRNazanin"/>
          <w:lang w:bidi="fa-IR"/>
          <w:color w:val="111111"/>
          <w:sz w:val="28"/>
          <w:szCs w:val="28"/>
          <w:rtl/>
        </w:rPr>
        <w:t xml:space="preserve">«رضوی: کتابخانه مرکزی آستان قدس رضوی</w:t>
      </w:r>
    </w:p>
    <w:p>
      <w:pPr>
        <w:pStyle w:val="BookText"/>
      </w:pPr>
      <w:r>
        <w:rPr>
          <w:rFonts w:ascii="IRNazanin" w:hAnsi="IRNazanin" w:eastAsia="IRNazanin" w:cs="IRNazanin"/>
          <w:lang w:bidi="fa-IR"/>
          <w:color w:val="111111"/>
          <w:sz w:val="28"/>
          <w:szCs w:val="28"/>
          <w:rtl/>
        </w:rPr>
        <w:t xml:space="preserve">«روضاتی: مجموعه شخصی سید احمد روضاتی</w:t>
      </w:r>
    </w:p>
    <w:p>
      <w:pPr>
        <w:pStyle w:val="BookText"/>
      </w:pPr>
      <w:r>
        <w:rPr>
          <w:rFonts w:ascii="IRNazanin" w:hAnsi="IRNazanin" w:eastAsia="IRNazanin" w:cs="IRNazanin"/>
          <w:lang w:bidi="fa-IR"/>
          <w:color w:val="111111"/>
          <w:sz w:val="28"/>
          <w:szCs w:val="28"/>
          <w:rtl/>
        </w:rPr>
        <w:t xml:space="preserve">«سپهسالار: کتابخانه مدرسه عالی شهید مطهری (سپهسالار)</w:t>
      </w:r>
    </w:p>
    <w:p>
      <w:pPr>
        <w:pStyle w:val="BookText"/>
      </w:pPr>
      <w:r>
        <w:rPr>
          <w:rFonts w:ascii="IRNazanin" w:hAnsi="IRNazanin" w:eastAsia="IRNazanin" w:cs="IRNazanin"/>
          <w:lang w:bidi="fa-IR"/>
          <w:color w:val="111111"/>
          <w:sz w:val="28"/>
          <w:szCs w:val="28"/>
          <w:rtl/>
        </w:rPr>
        <w:t xml:space="preserve">«سریزدی: کتابخانه مسجد حظیره (سریزدی)</w:t>
      </w:r>
    </w:p>
    <w:p>
      <w:pPr>
        <w:pStyle w:val="BookText"/>
      </w:pPr>
      <w:r>
        <w:rPr>
          <w:rFonts w:ascii="IRNazanin" w:hAnsi="IRNazanin" w:eastAsia="IRNazanin" w:cs="IRNazanin"/>
          <w:lang w:bidi="fa-IR"/>
          <w:color w:val="111111"/>
          <w:sz w:val="28"/>
          <w:szCs w:val="28"/>
          <w:rtl/>
        </w:rPr>
        <w:t xml:space="preserve">«سعید نفیسی: نسخه های خطی مرحوم سعید نفیسی</w:t>
      </w:r>
    </w:p>
    <w:p>
      <w:pPr>
        <w:pStyle w:val="BookText"/>
      </w:pPr>
      <w:r>
        <w:rPr>
          <w:rFonts w:ascii="IRNazanin" w:hAnsi="IRNazanin" w:eastAsia="IRNazanin" w:cs="IRNazanin"/>
          <w:lang w:bidi="fa-IR"/>
          <w:color w:val="111111"/>
          <w:sz w:val="28"/>
          <w:szCs w:val="28"/>
          <w:rtl/>
        </w:rPr>
        <w:t xml:space="preserve">«سم: سانتیمتر</w:t>
      </w:r>
    </w:p>
    <w:p>
      <w:pPr>
        <w:pStyle w:val="BookText"/>
      </w:pPr>
      <w:r>
        <w:rPr>
          <w:rFonts w:ascii="IRNazanin" w:hAnsi="IRNazanin" w:eastAsia="IRNazanin" w:cs="IRNazanin"/>
          <w:lang w:bidi="fa-IR"/>
          <w:color w:val="111111"/>
          <w:sz w:val="28"/>
          <w:szCs w:val="28"/>
          <w:rtl/>
        </w:rPr>
        <w:t xml:space="preserve">«سناف: فهرست نسخه های خطی کتابخانه مجلس سنا (که مجموعه آن به کتابخانه مجلس شورای اسلامی منتقل شده است.</w:t>
      </w:r>
    </w:p>
    <w:p>
      <w:pPr>
        <w:pStyle w:val="BookText"/>
      </w:pPr>
      <w:r>
        <w:rPr>
          <w:rFonts w:ascii="IRNazanin" w:hAnsi="IRNazanin" w:eastAsia="IRNazanin" w:cs="IRNazanin"/>
          <w:lang w:bidi="fa-IR"/>
          <w:color w:val="111111"/>
          <w:sz w:val="28"/>
          <w:szCs w:val="28"/>
          <w:rtl/>
        </w:rPr>
        <w:t xml:space="preserve">«سلطنتی: کتابخانه کاخ گلستان (سلطنتی)</w:t>
      </w:r>
    </w:p>
    <w:p>
      <w:pPr>
        <w:pStyle w:val="BookText"/>
      </w:pPr>
      <w:r>
        <w:rPr>
          <w:rFonts w:ascii="IRNazanin" w:hAnsi="IRNazanin" w:eastAsia="IRNazanin" w:cs="IRNazanin"/>
          <w:lang w:bidi="fa-IR"/>
          <w:color w:val="111111"/>
          <w:sz w:val="28"/>
          <w:szCs w:val="28"/>
          <w:rtl/>
        </w:rPr>
        <w:t xml:space="preserve">«شاهچراغ: کتابخانه آستانه حضرت شاهچراغ شیراز</w:t>
      </w:r>
    </w:p>
    <w:p>
      <w:pPr>
        <w:pStyle w:val="BookText"/>
      </w:pPr>
      <w:r>
        <w:rPr>
          <w:rFonts w:ascii="IRNazanin" w:hAnsi="IRNazanin" w:eastAsia="IRNazanin" w:cs="IRNazanin"/>
          <w:lang w:bidi="fa-IR"/>
          <w:color w:val="111111"/>
          <w:sz w:val="28"/>
          <w:szCs w:val="28"/>
          <w:rtl/>
        </w:rPr>
        <w:t xml:space="preserve">«شیخ علی حیدر: مکتبه شیخ علی حیدر (مؤید)، این مجموعه شخصی که ظاهراً هنگام جنگ کویت توسط صاحب آن از کویت به ایران منتقل شده بود ابتدا در قم نگهداری می شد و بعد دچار مشکلاتی شد و معلوم نبود در چه محلی نگهداری می شود آخرین اطلاع این است که این مجموعه به شهر مشهد و به آستان قدس رضوی انتقال یافته است و ضمن مجموعه اهدائی رهبری نگهداری می شود.</w:t>
      </w:r>
    </w:p>
    <w:p>
      <w:pPr>
        <w:pStyle w:val="BookText"/>
      </w:pPr>
      <w:r>
        <w:rPr>
          <w:rFonts w:ascii="IRNazanin" w:hAnsi="IRNazanin" w:eastAsia="IRNazanin" w:cs="IRNazanin"/>
          <w:lang w:bidi="fa-IR"/>
          <w:color w:val="111111"/>
          <w:sz w:val="28"/>
          <w:szCs w:val="28"/>
          <w:rtl/>
        </w:rPr>
        <w:t xml:space="preserve">«ص: صفحه</w:t>
      </w:r>
    </w:p>
    <w:p>
      <w:pPr>
        <w:pStyle w:val="BookText"/>
      </w:pPr>
      <w:r>
        <w:rPr>
          <w:rFonts w:ascii="IRNazanin" w:hAnsi="IRNazanin" w:eastAsia="IRNazanin" w:cs="IRNazanin"/>
          <w:lang w:bidi="fa-IR"/>
          <w:color w:val="111111"/>
          <w:sz w:val="28"/>
          <w:szCs w:val="28"/>
          <w:rtl/>
        </w:rPr>
        <w:t xml:space="preserve">«صادقیه: کتابخانه مدرسه فتحعلی بیگ(صادقیه) دامغان</w:t>
      </w:r>
    </w:p>
    <w:p>
      <w:pPr>
        <w:pStyle w:val="BookText"/>
      </w:pPr>
      <w:r>
        <w:rPr>
          <w:rFonts w:ascii="IRNazanin" w:hAnsi="IRNazanin" w:eastAsia="IRNazanin" w:cs="IRNazanin"/>
          <w:lang w:bidi="fa-IR"/>
          <w:color w:val="111111"/>
          <w:sz w:val="28"/>
          <w:szCs w:val="28"/>
          <w:rtl/>
        </w:rPr>
        <w:t xml:space="preserve">«طبسی: کتابخانه طبسی حائری در قم</w:t>
      </w:r>
    </w:p>
    <w:p>
      <w:pPr>
        <w:pStyle w:val="BookText"/>
      </w:pPr>
      <w:r>
        <w:rPr>
          <w:rFonts w:ascii="IRNazanin" w:hAnsi="IRNazanin" w:eastAsia="IRNazanin" w:cs="IRNazanin"/>
          <w:lang w:bidi="fa-IR"/>
          <w:color w:val="111111"/>
          <w:sz w:val="28"/>
          <w:szCs w:val="28"/>
          <w:rtl/>
        </w:rPr>
        <w:t xml:space="preserve">«عبدالعظیم: آستان مقدس حضرت عبدالعظیم در شهر ری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«عکسی: این تعبیر در دو جا به کار رفته است یکی در کنار شماره برخی از نسخه ها که به معنای آن است که نسخه عکسی است و بایدبرای یافتن نسخه در کتابخانه معرفی شده، به عکسی بودن توجه شود؛ و دوم در معرفی مأخذ است که منظور فهرست عکسی آن کتابخانه می باشد.</w:t>
      </w:r>
    </w:p>
    <w:p>
      <w:pPr>
        <w:pStyle w:val="BookText"/>
      </w:pPr>
      <w:r>
        <w:rPr>
          <w:rFonts w:ascii="IRNazanin" w:hAnsi="IRNazanin" w:eastAsia="IRNazanin" w:cs="IRNazanin"/>
          <w:lang w:bidi="fa-IR"/>
          <w:color w:val="111111"/>
          <w:sz w:val="28"/>
          <w:szCs w:val="28"/>
          <w:rtl/>
        </w:rPr>
        <w:t xml:space="preserve">«علامه طباطبائی: کتابخانه علامه طباطبائی شیراز که نام شیراز در قبل از آن آمده است.</w:t>
      </w:r>
    </w:p>
    <w:p>
      <w:pPr>
        <w:pStyle w:val="BookText"/>
      </w:pPr>
      <w:r>
        <w:rPr>
          <w:rFonts w:ascii="IRNazanin" w:hAnsi="IRNazanin" w:eastAsia="IRNazanin" w:cs="IRNazanin"/>
          <w:lang w:bidi="fa-IR"/>
          <w:color w:val="111111"/>
          <w:sz w:val="28"/>
          <w:szCs w:val="28"/>
          <w:rtl/>
        </w:rPr>
        <w:t xml:space="preserve">«علامه طباطبائی مکتبه علامه طباطبائی قم که نام شهر قم در قبل از آن آمده است.</w:t>
      </w:r>
    </w:p>
    <w:p>
      <w:pPr>
        <w:pStyle w:val="BookText"/>
      </w:pPr>
      <w:r>
        <w:rPr>
          <w:rFonts w:ascii="IRNazanin" w:hAnsi="IRNazanin" w:eastAsia="IRNazanin" w:cs="IRNazanin"/>
          <w:lang w:bidi="fa-IR"/>
          <w:color w:val="111111"/>
          <w:sz w:val="28"/>
          <w:szCs w:val="28"/>
          <w:rtl/>
        </w:rPr>
        <w:t xml:space="preserve">«علوم پزشکی: کتابخانه دانشگاه علوم پزشکی تهران</w:t>
      </w:r>
    </w:p>
    <w:p>
      <w:pPr>
        <w:pStyle w:val="BookText"/>
      </w:pPr>
      <w:r>
        <w:rPr>
          <w:rFonts w:ascii="IRNazanin" w:hAnsi="IRNazanin" w:eastAsia="IRNazanin" w:cs="IRNazanin"/>
          <w:lang w:bidi="fa-IR"/>
          <w:color w:val="111111"/>
          <w:sz w:val="28"/>
          <w:szCs w:val="28"/>
          <w:rtl/>
        </w:rPr>
        <w:t xml:space="preserve">«عمومی ساری: کتابخانه عمومی ساری</w:t>
      </w:r>
    </w:p>
    <w:p>
      <w:pPr>
        <w:pStyle w:val="BookText"/>
      </w:pPr>
      <w:r>
        <w:rPr>
          <w:rFonts w:ascii="IRNazanin" w:hAnsi="IRNazanin" w:eastAsia="IRNazanin" w:cs="IRNazanin"/>
          <w:lang w:bidi="fa-IR"/>
          <w:color w:val="111111"/>
          <w:sz w:val="28"/>
          <w:szCs w:val="28"/>
          <w:rtl/>
        </w:rPr>
        <w:t xml:space="preserve">«عمومی: با کلمه قبل سمنان کتابخانه عمومی سمنان</w:t>
      </w:r>
    </w:p>
    <w:p>
      <w:pPr>
        <w:pStyle w:val="BookText"/>
      </w:pPr>
      <w:r>
        <w:rPr>
          <w:rFonts w:ascii="IRNazanin" w:hAnsi="IRNazanin" w:eastAsia="IRNazanin" w:cs="IRNazanin"/>
          <w:lang w:bidi="fa-IR"/>
          <w:color w:val="111111"/>
          <w:sz w:val="28"/>
          <w:szCs w:val="28"/>
          <w:rtl/>
        </w:rPr>
        <w:t xml:space="preserve">«عمومی: با کلمه قبل مراغه کتابخانه عمومی مراغه</w:t>
      </w:r>
    </w:p>
    <w:p>
      <w:pPr>
        <w:pStyle w:val="BookText"/>
      </w:pPr>
      <w:r>
        <w:rPr>
          <w:rFonts w:ascii="IRNazanin" w:hAnsi="IRNazanin" w:eastAsia="IRNazanin" w:cs="IRNazanin"/>
          <w:lang w:bidi="fa-IR"/>
          <w:color w:val="111111"/>
          <w:sz w:val="28"/>
          <w:szCs w:val="28"/>
          <w:rtl/>
        </w:rPr>
        <w:t xml:space="preserve">«غیر همانند: در مورد نسخه هایی که نام آنها یکی است ولی نسخه ها متفاوت است و به دلیل صرفه جویی و جلوگیری از تکرار، نام مکرر آنها حذف شده است.</w:t>
      </w:r>
    </w:p>
    <w:p>
      <w:pPr>
        <w:pStyle w:val="BookText"/>
      </w:pPr>
      <w:r>
        <w:rPr>
          <w:rFonts w:ascii="IRNazanin" w:hAnsi="IRNazanin" w:eastAsia="IRNazanin" w:cs="IRNazanin"/>
          <w:lang w:bidi="fa-IR"/>
          <w:color w:val="111111"/>
          <w:sz w:val="28"/>
          <w:szCs w:val="28"/>
          <w:rtl/>
        </w:rPr>
        <w:t xml:space="preserve">«ف: این رمز در مورد مأخذ به کار رفته است و هنگامی که برای یک کتابخانه فهرستی به نام همان کتابخانه به صورت مستقل منتشر شده باشد، نام مأخذ آن با رمز «ف» به معنای فهرست، به کار رفته است و اگر نام مأخذ با نام کتابخانه متفاوت باشد، نام مأخذ ذکر شده است.</w:t>
      </w:r>
    </w:p>
    <w:p>
      <w:pPr>
        <w:pStyle w:val="BookText"/>
      </w:pPr>
      <w:r>
        <w:rPr>
          <w:rFonts w:ascii="IRNazanin" w:hAnsi="IRNazanin" w:eastAsia="IRNazanin" w:cs="IRNazanin"/>
          <w:lang w:bidi="fa-IR"/>
          <w:color w:val="111111"/>
          <w:sz w:val="28"/>
          <w:szCs w:val="28"/>
          <w:rtl/>
        </w:rPr>
        <w:t xml:space="preserve">«فاضل: کتابخانه آیه الله فاضل خوانساری</w:t>
      </w:r>
    </w:p>
    <w:p>
      <w:pPr>
        <w:pStyle w:val="BookText"/>
      </w:pPr>
      <w:r>
        <w:rPr>
          <w:rFonts w:ascii="IRNazanin" w:hAnsi="IRNazanin" w:eastAsia="IRNazanin" w:cs="IRNazanin"/>
          <w:lang w:bidi="fa-IR"/>
          <w:color w:val="111111"/>
          <w:sz w:val="28"/>
          <w:szCs w:val="28"/>
          <w:rtl/>
        </w:rPr>
        <w:t xml:space="preserve">«فاضل قائینی: کتابخانه فاضل قائینی قم</w:t>
      </w:r>
    </w:p>
    <w:p>
      <w:pPr>
        <w:pStyle w:val="BookText"/>
      </w:pPr>
      <w:r>
        <w:rPr>
          <w:rFonts w:ascii="IRNazanin" w:hAnsi="IRNazanin" w:eastAsia="IRNazanin" w:cs="IRNazanin"/>
          <w:lang w:bidi="fa-IR"/>
          <w:color w:val="111111"/>
          <w:sz w:val="28"/>
          <w:szCs w:val="28"/>
          <w:rtl/>
        </w:rPr>
        <w:t xml:space="preserve">«فرهاد معتمد: مجموعه فرهاد معتمد</w:t>
      </w:r>
    </w:p>
    <w:p>
      <w:pPr>
        <w:pStyle w:val="BookText"/>
      </w:pPr>
      <w:r>
        <w:rPr>
          <w:rFonts w:ascii="IRNazanin" w:hAnsi="IRNazanin" w:eastAsia="IRNazanin" w:cs="IRNazanin"/>
          <w:lang w:bidi="fa-IR"/>
          <w:color w:val="111111"/>
          <w:sz w:val="28"/>
          <w:szCs w:val="28"/>
          <w:rtl/>
        </w:rPr>
        <w:t xml:space="preserve">«فرهنگ و هنر: کتابخانه فرهنگ و هنر مشهد</w:t>
      </w:r>
    </w:p>
    <w:p>
      <w:pPr>
        <w:pStyle w:val="BookText"/>
      </w:pPr>
      <w:r>
        <w:rPr>
          <w:rFonts w:ascii="IRNazanin" w:hAnsi="IRNazanin" w:eastAsia="IRNazanin" w:cs="IRNazanin"/>
          <w:lang w:bidi="fa-IR"/>
          <w:color w:val="111111"/>
          <w:sz w:val="28"/>
          <w:szCs w:val="28"/>
          <w:rtl/>
        </w:rPr>
        <w:t xml:space="preserve">«فرهنگ و ارشاد: کتابخانه فرهنگ و ارشاد اسلامی کاشان</w:t>
      </w:r>
    </w:p>
    <w:p>
      <w:pPr>
        <w:pStyle w:val="BookText"/>
      </w:pPr>
      <w:r>
        <w:rPr>
          <w:rFonts w:ascii="IRNazanin" w:hAnsi="IRNazanin" w:eastAsia="IRNazanin" w:cs="IRNazanin"/>
          <w:lang w:bidi="fa-IR"/>
          <w:color w:val="111111"/>
          <w:sz w:val="28"/>
          <w:szCs w:val="28"/>
          <w:rtl/>
        </w:rPr>
        <w:t xml:space="preserve">«فیاض: مجموعه دکتر علی اکبر فیاض</w:t>
      </w:r>
    </w:p>
    <w:p>
      <w:pPr>
        <w:pStyle w:val="BookText"/>
      </w:pPr>
      <w:r>
        <w:rPr>
          <w:rFonts w:ascii="IRNazanin" w:hAnsi="IRNazanin" w:eastAsia="IRNazanin" w:cs="IRNazanin"/>
          <w:lang w:bidi="fa-IR"/>
          <w:color w:val="111111"/>
          <w:sz w:val="28"/>
          <w:szCs w:val="28"/>
          <w:rtl/>
        </w:rPr>
        <w:t xml:space="preserve">«فیضیه: کتابخانه مدرسه فیضیه قم</w:t>
      </w:r>
    </w:p>
    <w:p>
      <w:pPr>
        <w:pStyle w:val="BookText"/>
      </w:pPr>
      <w:r>
        <w:rPr>
          <w:rFonts w:ascii="IRNazanin" w:hAnsi="IRNazanin" w:eastAsia="IRNazanin" w:cs="IRNazanin"/>
          <w:lang w:bidi="fa-IR"/>
          <w:color w:val="111111"/>
          <w:sz w:val="28"/>
          <w:szCs w:val="28"/>
          <w:rtl/>
        </w:rPr>
        <w:t xml:space="preserve">«فیلمها: فهرست فیلم های کتابخانه مرکزی دانشگاه تهران</w:t>
      </w:r>
    </w:p>
    <w:p>
      <w:pPr>
        <w:pStyle w:val="BookText"/>
      </w:pPr>
      <w:r>
        <w:rPr>
          <w:rFonts w:ascii="IRNazanin" w:hAnsi="IRNazanin" w:eastAsia="IRNazanin" w:cs="IRNazanin"/>
          <w:lang w:bidi="fa-IR"/>
          <w:color w:val="111111"/>
          <w:sz w:val="28"/>
          <w:szCs w:val="28"/>
          <w:rtl/>
        </w:rPr>
        <w:t xml:space="preserve">«قاضی طباطبائی: مجموعه محمد علی قاضی طباطبائی تبریز</w:t>
      </w:r>
    </w:p>
    <w:p>
      <w:pPr>
        <w:pStyle w:val="BookText"/>
      </w:pPr>
      <w:r>
        <w:rPr>
          <w:rFonts w:ascii="IRNazanin" w:hAnsi="IRNazanin" w:eastAsia="IRNazanin" w:cs="IRNazanin"/>
          <w:lang w:bidi="fa-IR"/>
          <w:color w:val="111111"/>
          <w:sz w:val="28"/>
          <w:szCs w:val="28"/>
          <w:rtl/>
        </w:rPr>
        <w:t xml:space="preserve">«قمر بنی هاشم: کتابخانه قمر بنی هاشم دامغان</w:t>
      </w:r>
    </w:p>
    <w:p>
      <w:pPr>
        <w:pStyle w:val="BookText"/>
      </w:pPr>
      <w:r>
        <w:rPr>
          <w:rFonts w:ascii="IRNazanin" w:hAnsi="IRNazanin" w:eastAsia="IRNazanin" w:cs="IRNazanin"/>
          <w:lang w:bidi="fa-IR"/>
          <w:color w:val="111111"/>
          <w:sz w:val="28"/>
          <w:szCs w:val="28"/>
          <w:rtl/>
        </w:rPr>
        <w:t xml:space="preserve">«کا: کاتب</w:t>
      </w:r>
    </w:p>
    <w:p>
      <w:pPr>
        <w:pStyle w:val="BookText"/>
      </w:pPr>
      <w:r>
        <w:rPr>
          <w:rFonts w:ascii="IRNazanin" w:hAnsi="IRNazanin" w:eastAsia="IRNazanin" w:cs="IRNazanin"/>
          <w:lang w:bidi="fa-IR"/>
          <w:color w:val="111111"/>
          <w:sz w:val="28"/>
          <w:szCs w:val="28"/>
          <w:rtl/>
        </w:rPr>
        <w:t xml:space="preserve">«کاتب = مؤلف: نسخه به خط مؤلف .است</w:t>
      </w:r>
    </w:p>
    <w:p>
      <w:pPr>
        <w:pStyle w:val="BookText"/>
      </w:pPr>
      <w:r>
        <w:rPr>
          <w:rFonts w:ascii="IRNazanin" w:hAnsi="IRNazanin" w:eastAsia="IRNazanin" w:cs="IRNazanin"/>
          <w:lang w:bidi="fa-IR"/>
          <w:color w:val="111111"/>
          <w:sz w:val="28"/>
          <w:szCs w:val="28"/>
          <w:rtl/>
        </w:rPr>
        <w:t xml:space="preserve">«کاظمینی: کتابخانه میرزا محمد کاظمینی</w:t>
      </w:r>
    </w:p>
    <w:p>
      <w:pPr>
        <w:pStyle w:val="BookText"/>
      </w:pPr>
      <w:r>
        <w:rPr>
          <w:rFonts w:ascii="IRNazanin" w:hAnsi="IRNazanin" w:eastAsia="IRNazanin" w:cs="IRNazanin"/>
          <w:lang w:bidi="fa-IR"/>
          <w:color w:val="111111"/>
          <w:sz w:val="28"/>
          <w:szCs w:val="28"/>
          <w:rtl/>
        </w:rPr>
        <w:t xml:space="preserve">«گ: برگ.</w:t>
      </w:r>
    </w:p>
    <w:p>
      <w:pPr>
        <w:pStyle w:val="BookText"/>
      </w:pPr>
      <w:r>
        <w:rPr>
          <w:rFonts w:ascii="IRNazanin" w:hAnsi="IRNazanin" w:eastAsia="IRNazanin" w:cs="IRNazanin"/>
          <w:lang w:bidi="fa-IR"/>
          <w:color w:val="111111"/>
          <w:sz w:val="28"/>
          <w:szCs w:val="28"/>
          <w:rtl/>
        </w:rPr>
        <w:t xml:space="preserve">«گلپایگانی: کتابخانه عمومی حضرت آیه الله العظمی گلپایگان.</w:t>
      </w:r>
    </w:p>
    <w:p>
      <w:pPr>
        <w:pStyle w:val="BookText"/>
      </w:pPr>
      <w:r>
        <w:rPr>
          <w:rFonts w:ascii="IRNazanin" w:hAnsi="IRNazanin" w:eastAsia="IRNazanin" w:cs="IRNazanin"/>
          <w:lang w:bidi="fa-IR"/>
          <w:color w:val="111111"/>
          <w:sz w:val="28"/>
          <w:szCs w:val="28"/>
          <w:rtl/>
        </w:rPr>
        <w:t xml:space="preserve">«گوهرشاد: کتابخانه مسجد جامع گوهر شاد.</w:t>
      </w:r>
    </w:p>
    <w:p>
      <w:pPr>
        <w:pStyle w:val="BookText"/>
      </w:pPr>
      <w:r>
        <w:rPr>
          <w:rFonts w:ascii="IRNazanin" w:hAnsi="IRNazanin" w:eastAsia="IRNazanin" w:cs="IRNazanin"/>
          <w:lang w:bidi="fa-IR"/>
          <w:color w:val="111111"/>
          <w:sz w:val="28"/>
          <w:szCs w:val="28"/>
          <w:rtl/>
        </w:rPr>
        <w:t xml:space="preserve">«مجلس: کتابخانه موزه و مرکز اسناد مجلس شورای اسلامی</w:t>
      </w:r>
    </w:p>
    <w:p>
      <w:pPr>
        <w:pStyle w:val="BookText"/>
      </w:pPr>
      <w:r>
        <w:rPr>
          <w:rFonts w:ascii="IRNazanin" w:hAnsi="IRNazanin" w:eastAsia="IRNazanin" w:cs="IRNazanin"/>
          <w:lang w:bidi="fa-IR"/>
          <w:color w:val="111111"/>
          <w:sz w:val="28"/>
          <w:szCs w:val="28"/>
          <w:rtl/>
        </w:rPr>
        <w:t xml:space="preserve">«محدث ارموی مخ: فهرست مجموعه نسخه های خطی محدث ،ارموی، مخطوط</w:t>
      </w:r>
    </w:p>
    <w:p>
      <w:pPr>
        <w:pStyle w:val="BookText"/>
      </w:pPr>
      <w:r>
        <w:rPr>
          <w:rFonts w:ascii="IRNazanin" w:hAnsi="IRNazanin" w:eastAsia="IRNazanin" w:cs="IRNazanin"/>
          <w:lang w:bidi="fa-IR"/>
          <w:color w:val="111111"/>
          <w:sz w:val="28"/>
          <w:szCs w:val="28"/>
          <w:rtl/>
        </w:rPr>
        <w:t xml:space="preserve">«محمد هلال: کتابخانه امامزاده محمد هلال آران کاشان، مخطوط.</w:t>
      </w:r>
    </w:p>
    <w:p>
      <w:pPr>
        <w:pStyle w:val="BookText"/>
      </w:pPr>
      <w:r>
        <w:rPr>
          <w:rFonts w:ascii="IRNazanin" w:hAnsi="IRNazanin" w:eastAsia="IRNazanin" w:cs="IRNazanin"/>
          <w:lang w:bidi="fa-IR"/>
          <w:color w:val="111111"/>
          <w:sz w:val="28"/>
          <w:szCs w:val="28"/>
          <w:rtl/>
        </w:rPr>
        <w:t xml:space="preserve">«مختصرف: فهرست مختصر نسخه های خطی مجلس شورای اسلامی که در سال 1387 منتشر شده است.</w:t>
      </w:r>
    </w:p>
    <w:p>
      <w:pPr>
        <w:pStyle w:val="BookText"/>
      </w:pPr>
      <w:r>
        <w:rPr>
          <w:rFonts w:ascii="IRNazanin" w:hAnsi="IRNazanin" w:eastAsia="IRNazanin" w:cs="IRNazanin"/>
          <w:lang w:bidi="fa-IR"/>
          <w:color w:val="111111"/>
          <w:sz w:val="28"/>
          <w:szCs w:val="28"/>
          <w:rtl/>
        </w:rPr>
        <w:t xml:space="preserve">«مخ: به معنای مخطوط بودن فهرست می باشد.</w:t>
      </w:r>
    </w:p>
    <w:p>
      <w:pPr>
        <w:pStyle w:val="BookText"/>
      </w:pPr>
      <w:r>
        <w:rPr>
          <w:rFonts w:ascii="IRNazanin" w:hAnsi="IRNazanin" w:eastAsia="IRNazanin" w:cs="IRNazanin"/>
          <w:lang w:bidi="fa-IR"/>
          <w:color w:val="111111"/>
          <w:sz w:val="28"/>
          <w:szCs w:val="28"/>
          <w:rtl/>
        </w:rPr>
        <w:t xml:space="preserve">« مدارک فرهنگی: سازمان مدارک فرهنگی انقلاب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«مدرسه غرب: کتابخانه مدرسه غرب همدان</w:t>
      </w:r>
    </w:p>
    <w:p>
      <w:pPr>
        <w:pStyle w:val="BookText"/>
      </w:pPr>
      <w:r>
        <w:rPr>
          <w:rFonts w:ascii="IRNazanin" w:hAnsi="IRNazanin" w:eastAsia="IRNazanin" w:cs="IRNazanin"/>
          <w:lang w:bidi="fa-IR"/>
          <w:color w:val="111111"/>
          <w:sz w:val="28"/>
          <w:szCs w:val="28"/>
          <w:rtl/>
        </w:rPr>
        <w:t xml:space="preserve">«مدرسی: کتابخانه سید محمد مدرسی در یزد</w:t>
      </w:r>
    </w:p>
    <w:p>
      <w:pPr>
        <w:pStyle w:val="BookText"/>
      </w:pPr>
      <w:r>
        <w:rPr>
          <w:rFonts w:ascii="IRNazanin" w:hAnsi="IRNazanin" w:eastAsia="IRNazanin" w:cs="IRNazanin"/>
          <w:lang w:bidi="fa-IR"/>
          <w:color w:val="111111"/>
          <w:sz w:val="28"/>
          <w:szCs w:val="28"/>
          <w:rtl/>
        </w:rPr>
        <w:t xml:space="preserve">«مرعشی: کتابخانه عمومی آیه الله العظمی مرعشی نجفی</w:t>
      </w:r>
    </w:p>
    <w:p>
      <w:pPr>
        <w:pStyle w:val="BookText"/>
      </w:pPr>
      <w:r>
        <w:rPr>
          <w:rFonts w:ascii="IRNazanin" w:hAnsi="IRNazanin" w:eastAsia="IRNazanin" w:cs="IRNazanin"/>
          <w:lang w:bidi="fa-IR"/>
          <w:color w:val="111111"/>
          <w:sz w:val="28"/>
          <w:szCs w:val="28"/>
          <w:rtl/>
        </w:rPr>
        <w:t xml:space="preserve">«مرکز احیاء: مرکز احیاء میراث اسلامی، قم.</w:t>
      </w:r>
    </w:p>
    <w:p>
      <w:pPr>
        <w:pStyle w:val="BookText"/>
      </w:pPr>
      <w:r>
        <w:rPr>
          <w:rFonts w:ascii="IRNazanin" w:hAnsi="IRNazanin" w:eastAsia="IRNazanin" w:cs="IRNazanin"/>
          <w:lang w:bidi="fa-IR"/>
          <w:color w:val="111111"/>
          <w:sz w:val="28"/>
          <w:szCs w:val="28"/>
          <w:rtl/>
        </w:rPr>
        <w:t xml:space="preserve">«مرکز مطالعات: کتابخانه پژوهشگاه علوم و تحقیقات اسلامی قم</w:t>
      </w:r>
    </w:p>
    <w:p>
      <w:pPr>
        <w:pStyle w:val="BookText"/>
      </w:pPr>
      <w:r>
        <w:rPr>
          <w:rFonts w:ascii="IRNazanin" w:hAnsi="IRNazanin" w:eastAsia="IRNazanin" w:cs="IRNazanin"/>
          <w:lang w:bidi="fa-IR"/>
          <w:color w:val="111111"/>
          <w:sz w:val="28"/>
          <w:szCs w:val="28"/>
          <w:rtl/>
        </w:rPr>
        <w:t xml:space="preserve">«مروی: کتابخانه مدرسه مروی تهران</w:t>
      </w:r>
    </w:p>
    <w:p>
      <w:pPr>
        <w:pStyle w:val="BookText"/>
      </w:pPr>
      <w:r>
        <w:rPr>
          <w:rFonts w:ascii="IRNazanin" w:hAnsi="IRNazanin" w:eastAsia="IRNazanin" w:cs="IRNazanin"/>
          <w:lang w:bidi="fa-IR"/>
          <w:color w:val="111111"/>
          <w:sz w:val="28"/>
          <w:szCs w:val="28"/>
          <w:rtl/>
        </w:rPr>
        <w:t xml:space="preserve">«مسجد اعظم: کتابخانه مسجد اعظم قم</w:t>
      </w:r>
    </w:p>
    <w:p>
      <w:pPr>
        <w:pStyle w:val="BookText"/>
      </w:pPr>
      <w:r>
        <w:rPr>
          <w:rFonts w:ascii="IRNazanin" w:hAnsi="IRNazanin" w:eastAsia="IRNazanin" w:cs="IRNazanin"/>
          <w:lang w:bidi="fa-IR"/>
          <w:color w:val="111111"/>
          <w:sz w:val="28"/>
          <w:szCs w:val="28"/>
          <w:rtl/>
        </w:rPr>
        <w:t xml:space="preserve">«مطالعات فرهنگی: کتابخانه (پژوهشگاه) مؤسسه مطالعات و تحقیقات فرهنگی</w:t>
      </w:r>
    </w:p>
    <w:p>
      <w:pPr>
        <w:pStyle w:val="BookText"/>
      </w:pPr>
      <w:r>
        <w:rPr>
          <w:rFonts w:ascii="IRNazanin" w:hAnsi="IRNazanin" w:eastAsia="IRNazanin" w:cs="IRNazanin"/>
          <w:lang w:bidi="fa-IR"/>
          <w:color w:val="111111"/>
          <w:sz w:val="28"/>
          <w:szCs w:val="28"/>
          <w:rtl/>
        </w:rPr>
        <w:t xml:space="preserve">«معصومیه: آستان مقدسه حضرت معصومه علیها سلام</w:t>
      </w:r>
    </w:p>
    <w:p>
      <w:pPr>
        <w:pStyle w:val="BookText"/>
      </w:pPr>
      <w:r>
        <w:rPr>
          <w:rFonts w:ascii="IRNazanin" w:hAnsi="IRNazanin" w:eastAsia="IRNazanin" w:cs="IRNazanin"/>
          <w:lang w:bidi="fa-IR"/>
          <w:color w:val="111111"/>
          <w:sz w:val="28"/>
          <w:szCs w:val="28"/>
          <w:rtl/>
        </w:rPr>
        <w:t xml:space="preserve">«مفتاح: مجموعه محمد حسین مفتاح</w:t>
      </w:r>
    </w:p>
    <w:p>
      <w:pPr>
        <w:pStyle w:val="BookText"/>
      </w:pPr>
      <w:r>
        <w:rPr>
          <w:rFonts w:ascii="IRNazanin" w:hAnsi="IRNazanin" w:eastAsia="IRNazanin" w:cs="IRNazanin"/>
          <w:lang w:bidi="fa-IR"/>
          <w:color w:val="111111"/>
          <w:sz w:val="28"/>
          <w:szCs w:val="28"/>
          <w:rtl/>
        </w:rPr>
        <w:t xml:space="preserve">«ملک: کتابخانه ملک</w:t>
      </w:r>
    </w:p>
    <w:p>
      <w:pPr>
        <w:pStyle w:val="BookText"/>
      </w:pPr>
      <w:r>
        <w:rPr>
          <w:rFonts w:ascii="IRNazanin" w:hAnsi="IRNazanin" w:eastAsia="IRNazanin" w:cs="IRNazanin"/>
          <w:lang w:bidi="fa-IR"/>
          <w:color w:val="111111"/>
          <w:sz w:val="28"/>
          <w:szCs w:val="28"/>
          <w:rtl/>
        </w:rPr>
        <w:t xml:space="preserve">«ملی: با نام قبلی تهران: کتابخانه ملی ایران با نام قبلی شیراز: کتابخانه ملی شیراز ؛با نام قبلی :تبریز: کتابخانه ملی تبریز.</w:t>
      </w:r>
    </w:p>
    <w:p>
      <w:pPr>
        <w:pStyle w:val="BookText"/>
      </w:pPr>
      <w:r>
        <w:rPr>
          <w:rFonts w:ascii="IRNazanin" w:hAnsi="IRNazanin" w:eastAsia="IRNazanin" w:cs="IRNazanin"/>
          <w:lang w:bidi="fa-IR"/>
          <w:color w:val="111111"/>
          <w:sz w:val="28"/>
          <w:szCs w:val="28"/>
          <w:rtl/>
        </w:rPr>
        <w:t xml:space="preserve">«مهدوی: مجموعه دکتر اصغر مهدوی</w:t>
      </w:r>
    </w:p>
    <w:p>
      <w:pPr>
        <w:pStyle w:val="BookText"/>
      </w:pPr>
      <w:r>
        <w:rPr>
          <w:rFonts w:ascii="IRNazanin" w:hAnsi="IRNazanin" w:eastAsia="IRNazanin" w:cs="IRNazanin"/>
          <w:lang w:bidi="fa-IR"/>
          <w:color w:val="111111"/>
          <w:sz w:val="28"/>
          <w:szCs w:val="28"/>
          <w:rtl/>
        </w:rPr>
        <w:t xml:space="preserve">«موزه ملی: کتابخانه موزه ملی ایران (موزه ایران باستان)</w:t>
      </w:r>
    </w:p>
    <w:p>
      <w:pPr>
        <w:pStyle w:val="BookText"/>
      </w:pPr>
      <w:r>
        <w:rPr>
          <w:rFonts w:ascii="IRNazanin" w:hAnsi="IRNazanin" w:eastAsia="IRNazanin" w:cs="IRNazanin"/>
          <w:lang w:bidi="fa-IR"/>
          <w:color w:val="111111"/>
          <w:sz w:val="28"/>
          <w:szCs w:val="28"/>
          <w:rtl/>
        </w:rPr>
        <w:t xml:space="preserve">«مؤسسه آیه الله بروجردی: مؤسسه حضرت آیه الله العظمی بروجردی.</w:t>
      </w:r>
    </w:p>
    <w:p>
      <w:pPr>
        <w:pStyle w:val="BookText"/>
      </w:pPr>
      <w:r>
        <w:rPr>
          <w:rFonts w:ascii="IRNazanin" w:hAnsi="IRNazanin" w:eastAsia="IRNazanin" w:cs="IRNazanin"/>
          <w:lang w:bidi="fa-IR"/>
          <w:color w:val="111111"/>
          <w:sz w:val="28"/>
          <w:szCs w:val="28"/>
          <w:rtl/>
        </w:rPr>
        <w:t xml:space="preserve">«مولوی: عبد المجید مولوی (قسمتی از این مجموعه به کتابخانه دانشکده الهیات دانشگاه فردسی مشهد منتقل شده است).</w:t>
      </w:r>
    </w:p>
    <w:p>
      <w:pPr>
        <w:pStyle w:val="BookText"/>
      </w:pPr>
      <w:r>
        <w:rPr>
          <w:rFonts w:ascii="IRNazanin" w:hAnsi="IRNazanin" w:eastAsia="IRNazanin" w:cs="IRNazanin"/>
          <w:lang w:bidi="fa-IR"/>
          <w:color w:val="111111"/>
          <w:sz w:val="28"/>
          <w:szCs w:val="28"/>
          <w:rtl/>
        </w:rPr>
        <w:t xml:space="preserve">«مینوی: مجتبی مینوی</w:t>
      </w:r>
    </w:p>
    <w:p>
      <w:pPr>
        <w:pStyle w:val="BookText"/>
      </w:pPr>
      <w:r>
        <w:rPr>
          <w:rFonts w:ascii="IRNazanin" w:hAnsi="IRNazanin" w:eastAsia="IRNazanin" w:cs="IRNazanin"/>
          <w:lang w:bidi="fa-IR"/>
          <w:color w:val="111111"/>
          <w:sz w:val="28"/>
          <w:szCs w:val="28"/>
          <w:rtl/>
        </w:rPr>
        <w:t xml:space="preserve">«نجومی:مجموعه سید مرتضی نجومی</w:t>
      </w:r>
    </w:p>
    <w:p>
      <w:pPr>
        <w:pStyle w:val="BookText"/>
      </w:pPr>
      <w:r>
        <w:rPr>
          <w:rFonts w:ascii="IRNazanin" w:hAnsi="IRNazanin" w:eastAsia="IRNazanin" w:cs="IRNazanin"/>
          <w:lang w:bidi="fa-IR"/>
          <w:color w:val="111111"/>
          <w:sz w:val="28"/>
          <w:szCs w:val="28"/>
          <w:rtl/>
        </w:rPr>
        <w:t xml:space="preserve">«نسخه پژوهی: مجموعه ای با همین عنوان که چند شماره از آن از طرف کتابخانه مجلس شورای اسلامی و به کوشش ابوالفضل حافظیان منتشر شده است.</w:t>
      </w:r>
    </w:p>
    <w:p>
      <w:pPr>
        <w:pStyle w:val="BookText"/>
      </w:pPr>
      <w:r>
        <w:rPr>
          <w:rFonts w:ascii="IRNazanin" w:hAnsi="IRNazanin" w:eastAsia="IRNazanin" w:cs="IRNazanin"/>
          <w:lang w:bidi="fa-IR"/>
          <w:color w:val="111111"/>
          <w:sz w:val="28"/>
          <w:szCs w:val="28"/>
          <w:rtl/>
        </w:rPr>
        <w:t xml:space="preserve">«نشریه: نشریه کتابخانه مرکزی دانشگاه تهران</w:t>
      </w:r>
    </w:p>
    <w:p>
      <w:pPr>
        <w:pStyle w:val="BookText"/>
      </w:pPr>
      <w:r>
        <w:rPr>
          <w:rFonts w:ascii="IRNazanin" w:hAnsi="IRNazanin" w:eastAsia="IRNazanin" w:cs="IRNazanin"/>
          <w:lang w:bidi="fa-IR"/>
          <w:color w:val="111111"/>
          <w:sz w:val="28"/>
          <w:szCs w:val="28"/>
          <w:rtl/>
        </w:rPr>
        <w:t xml:space="preserve">«نک: این علامت به معنای «نگاه کنید» می باشد و در موارد ارجاع به کار رفته است. ارجاع دو گونه است: گاهی عنوان ارجاع داده شده کلاً در جای دیگری که راهنمائی شده ثبت شده است و گاهی قسمتی از عنوان ارجاعی در محل دیگری ثبت شده است که در واقع به معنای نیز «نگاه کنید» می باشد</w:t>
      </w:r>
    </w:p>
    <w:p>
      <w:pPr>
        <w:pStyle w:val="BookText"/>
      </w:pPr>
      <w:r>
        <w:rPr>
          <w:rFonts w:ascii="IRNazanin" w:hAnsi="IRNazanin" w:eastAsia="IRNazanin" w:cs="IRNazanin"/>
          <w:lang w:bidi="fa-IR"/>
          <w:color w:val="111111"/>
          <w:sz w:val="28"/>
          <w:szCs w:val="28"/>
          <w:rtl/>
        </w:rPr>
        <w:t xml:space="preserve">«نواب: کتابخانه مدرسه نواب مشهد</w:t>
      </w:r>
    </w:p>
    <w:p>
      <w:pPr>
        <w:pStyle w:val="BookText"/>
      </w:pPr>
      <w:r>
        <w:rPr>
          <w:rFonts w:ascii="IRNazanin" w:hAnsi="IRNazanin" w:eastAsia="IRNazanin" w:cs="IRNazanin"/>
          <w:lang w:bidi="fa-IR"/>
          <w:color w:val="111111"/>
          <w:sz w:val="28"/>
          <w:szCs w:val="28"/>
          <w:rtl/>
        </w:rPr>
        <w:t xml:space="preserve">«نمازی: کتابخانه مدرسه نمازی خوی</w:t>
      </w:r>
    </w:p>
    <w:p>
      <w:pPr>
        <w:pStyle w:val="BookText"/>
      </w:pPr>
      <w:r>
        <w:rPr>
          <w:rFonts w:ascii="IRNazanin" w:hAnsi="IRNazanin" w:eastAsia="IRNazanin" w:cs="IRNazanin"/>
          <w:lang w:bidi="fa-IR"/>
          <w:color w:val="111111"/>
          <w:sz w:val="28"/>
          <w:szCs w:val="28"/>
          <w:rtl/>
        </w:rPr>
        <w:t xml:space="preserve">«نوربخش: کتابخانه نوربخش (خانقاه نعمت اللهی تهران )</w:t>
      </w:r>
    </w:p>
    <w:p>
      <w:pPr>
        <w:pStyle w:val="BookText"/>
      </w:pPr>
      <w:r>
        <w:rPr>
          <w:rFonts w:ascii="IRNazanin" w:hAnsi="IRNazanin" w:eastAsia="IRNazanin" w:cs="IRNazanin"/>
          <w:lang w:bidi="fa-IR"/>
          <w:color w:val="111111"/>
          <w:sz w:val="28"/>
          <w:szCs w:val="28"/>
          <w:rtl/>
        </w:rPr>
        <w:t xml:space="preserve">«وابسته به: این اصطلاح در جایی به کار رفته که کتاب معرفی شده به اثری دیگر وابسته است و بیشتر در مورد شرح ها، حاشیه ها، تعلیقه ها، منتخب ها، مختصرها، گزیده ها، و ترجمه ها به کار رفته است و نام کامل اثر اصلی همراه با نام مؤلف آن معرفی شده است و در صورت نیاز می توانید به اثر اصلی مراجعه کنید.</w:t>
      </w:r>
    </w:p>
    <w:p>
      <w:pPr>
        <w:pStyle w:val="BookText"/>
      </w:pPr>
      <w:r>
        <w:rPr>
          <w:rFonts w:ascii="IRNazanin" w:hAnsi="IRNazanin" w:eastAsia="IRNazanin" w:cs="IRNazanin"/>
          <w:lang w:bidi="fa-IR"/>
          <w:color w:val="111111"/>
          <w:sz w:val="28"/>
          <w:szCs w:val="28"/>
          <w:rtl/>
        </w:rPr>
        <w:t xml:space="preserve">«وزیری: کتابخانه وزیری یزد</w:t>
      </w:r>
    </w:p>
    <w:p>
      <w:pPr>
        <w:pStyle w:val="BookText"/>
      </w:pPr>
      <w:r>
        <w:rPr>
          <w:rFonts w:ascii="IRNazanin" w:hAnsi="IRNazanin" w:eastAsia="IRNazanin" w:cs="IRNazanin"/>
          <w:lang w:bidi="fa-IR"/>
          <w:color w:val="111111"/>
          <w:sz w:val="28"/>
          <w:szCs w:val="28"/>
          <w:rtl/>
        </w:rPr>
        <w:t xml:space="preserve">«همانند: این کلمه در جایی به کار رفته، که اثرمعرفی شده فاقد نام مؤلف است و چند نسخه از آن در کشور وجود دارد و به معنای آن است که نسخه ها یک اثر است.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2" w:name="pg20365_259954"/>
    <w:bookmarkEnd w:id="2"/>
    <w:p>
      <w:pPr>
        <w:pStyle w:val="Heading2"/>
      </w:pPr>
      <w:bookmarkStart w:id="482" w:name="_Toc4"/>
      <w:r>
        <w:t>آوانگاری و اختصارات</w:t>
      </w:r>
      <w:bookmarkEnd w:id="482"/>
    </w:p>
    <w:p>
      <w:pPr>
        <w:pStyle w:val="BookText"/>
      </w:pPr>
      <w:r>
        <w:rPr>
          <w:rFonts w:ascii="IRNazanin" w:hAnsi="IRNazanin" w:eastAsia="IRNazanin" w:cs="IRNazanin"/>
          <w:lang w:bidi="fa-IR"/>
          <w:color w:val="111111"/>
          <w:sz w:val="28"/>
          <w:szCs w:val="28"/>
          <w:rtl/>
        </w:rPr>
        <w:t xml:space="preserve">در آوانگاري عناوين كتابها چند نكته هست كه بايد يادآوري شود:</w:t>
      </w:r>
    </w:p>
    <w:p>
      <w:pPr>
        <w:pStyle w:val="BookText"/>
      </w:pPr>
      <w:r>
        <w:rPr>
          <w:rFonts w:ascii="IRNazanin" w:hAnsi="IRNazanin" w:eastAsia="IRNazanin" w:cs="IRNazanin"/>
          <w:lang w:bidi="fa-IR"/>
          <w:color w:val="111111"/>
          <w:sz w:val="28"/>
          <w:szCs w:val="28"/>
          <w:rtl/>
        </w:rPr>
        <w:t xml:space="preserve">1-در آوانگاري فقط حروفي كه تلفظ ميشوند، ضبط مي گردند. مثال: آداب الشريعة =</w:t>
      </w:r>
      <w:r>
        <w:rPr>
          <w:rFonts w:ascii="Times New Roman" w:hAnsi="Times New Roman" w:eastAsia="Times New Roman" w:cs="Times New Roman"/>
          <w:lang w:val="en-US" w:bidi="en-US"/>
          <w:color w:val="111111"/>
          <w:sz w:val="28"/>
          <w:szCs w:val="28"/>
          <w:rtl/>
        </w:rPr>
        <w:t xml:space="preserve">ādāb-oš šarī‘a</w:t>
      </w:r>
    </w:p>
    <w:p>
      <w:pPr>
        <w:pStyle w:val="BookText"/>
      </w:pPr>
      <w:r>
        <w:rPr>
          <w:rFonts w:ascii="IRNazanin" w:hAnsi="IRNazanin" w:eastAsia="IRNazanin" w:cs="IRNazanin"/>
          <w:lang w:bidi="fa-IR"/>
          <w:color w:val="111111"/>
          <w:sz w:val="28"/>
          <w:szCs w:val="28"/>
          <w:rtl/>
        </w:rPr>
        <w:t xml:space="preserve">2-عنوان كتاب هاي فارسي با تلفظ فارسي و عنوان كتابهاي عربي با تلفظ عربي آوانگاري شده اند.</w:t>
      </w:r>
    </w:p>
    <w:p>
      <w:pPr>
        <w:pStyle w:val="BookText"/>
      </w:pPr>
      <w:r>
        <w:rPr>
          <w:rFonts w:ascii="Amiri" w:hAnsi="Amiri" w:eastAsia="Amiri" w:cs="Amiri"/>
          <w:lang w:bidi="ar-SA"/>
          <w:color w:val="111111"/>
          <w:sz w:val="28"/>
          <w:szCs w:val="28"/>
          <w:rtl/>
        </w:rPr>
        <w:t xml:space="preserve">مثال: آداب صوفيه =</w:t>
      </w:r>
      <w:r>
        <w:rPr>
          <w:rFonts w:ascii="Times New Roman" w:hAnsi="Times New Roman" w:eastAsia="Times New Roman" w:cs="Times New Roman"/>
          <w:lang w:val="en-US" w:bidi="en-US"/>
          <w:color w:val="111111"/>
          <w:sz w:val="28"/>
          <w:szCs w:val="28"/>
          <w:rtl/>
        </w:rPr>
        <w:t xml:space="preserve">ādāb-e sūfīye</w:t>
      </w:r>
    </w:p>
    <w:p>
      <w:pPr>
        <w:pStyle w:val="BookText"/>
      </w:pPr>
      <w:r>
        <w:rPr>
          <w:rFonts w:ascii="Amiri" w:hAnsi="Amiri" w:eastAsia="Amiri" w:cs="Amiri"/>
          <w:lang w:bidi="ar-SA"/>
          <w:color w:val="111111"/>
          <w:sz w:val="28"/>
          <w:szCs w:val="28"/>
          <w:rtl/>
        </w:rPr>
        <w:t xml:space="preserve">آداب الصوفية=</w:t>
      </w:r>
      <w:r>
        <w:rPr>
          <w:rFonts w:ascii="Times New Roman" w:hAnsi="Times New Roman" w:eastAsia="Times New Roman" w:cs="Times New Roman"/>
          <w:lang w:val="en-US" w:bidi="en-US"/>
          <w:color w:val="111111"/>
          <w:sz w:val="28"/>
          <w:szCs w:val="28"/>
          <w:rtl/>
        </w:rPr>
        <w:t xml:space="preserve">ādāb-uṣ ṣūfīya</w:t>
      </w:r>
    </w:p>
    <w:p>
      <w:pPr>
        <w:pStyle w:val="BookText"/>
      </w:pPr>
      <w:r>
        <w:rPr>
          <w:rFonts w:ascii="IRNazanin" w:hAnsi="IRNazanin" w:eastAsia="IRNazanin" w:cs="IRNazanin"/>
          <w:lang w:bidi="fa-IR"/>
          <w:color w:val="111111"/>
          <w:sz w:val="28"/>
          <w:szCs w:val="28"/>
          <w:rtl/>
        </w:rPr>
        <w:t xml:space="preserve">3-كلمات و تركيباتي كه از زبانهاي ديگر (از جمله عربي) به فارسي وارد گرديده، با تلفظ متداول در فارسي ضبط شده است.</w:t>
      </w:r>
    </w:p>
    <w:p>
      <w:pPr>
        <w:pStyle w:val="BookText"/>
      </w:pPr>
      <w:r>
        <w:rPr>
          <w:rFonts w:ascii="IRNazanin" w:hAnsi="IRNazanin" w:eastAsia="IRNazanin" w:cs="IRNazanin"/>
          <w:lang w:bidi="fa-IR"/>
          <w:color w:val="111111"/>
          <w:sz w:val="28"/>
          <w:szCs w:val="28"/>
          <w:rtl/>
        </w:rPr>
        <w:t xml:space="preserve">مثال: اسطرلاب =</w:t>
      </w:r>
      <w:r>
        <w:rPr>
          <w:rFonts w:ascii="Times New Roman" w:hAnsi="Times New Roman" w:eastAsia="Times New Roman" w:cs="Times New Roman"/>
          <w:lang w:val="en-US" w:bidi="en-US"/>
          <w:color w:val="111111"/>
          <w:sz w:val="28"/>
          <w:szCs w:val="28"/>
          <w:rtl/>
        </w:rPr>
        <w:t xml:space="preserve">ostorlāb</w:t>
      </w:r>
    </w:p>
    <w:p>
      <w:pPr>
        <w:pStyle w:val="BookText"/>
      </w:pPr>
      <w:r>
        <w:rPr>
          <w:rFonts w:ascii="IRNazanin" w:hAnsi="IRNazanin" w:eastAsia="IRNazanin" w:cs="IRNazanin"/>
          <w:lang w:bidi="fa-IR"/>
          <w:color w:val="111111"/>
          <w:sz w:val="28"/>
          <w:szCs w:val="28"/>
          <w:rtl/>
        </w:rPr>
        <w:t xml:space="preserve">ابواب الجنان=</w:t>
      </w:r>
      <w:r>
        <w:rPr>
          <w:rFonts w:ascii="Times New Roman" w:hAnsi="Times New Roman" w:eastAsia="Times New Roman" w:cs="Times New Roman"/>
          <w:lang w:val="en-US" w:bidi="en-US"/>
          <w:color w:val="111111"/>
          <w:sz w:val="28"/>
          <w:szCs w:val="28"/>
          <w:rtl/>
        </w:rPr>
        <w:t xml:space="preserve">jenān ol-abvāb</w:t>
      </w:r>
    </w:p>
    <w:p>
      <w:pPr>
        <w:pStyle w:val="BookText"/>
      </w:pPr>
      <w:r>
        <w:rPr>
          <w:rFonts w:ascii="IRNazanin" w:hAnsi="IRNazanin" w:eastAsia="IRNazanin" w:cs="IRNazanin"/>
          <w:lang w:bidi="fa-IR"/>
          <w:color w:val="111111"/>
          <w:sz w:val="28"/>
          <w:szCs w:val="28"/>
          <w:rtl/>
        </w:rPr>
        <w:t xml:space="preserve">4-چون در آوانگاري مقصود فقط نشان دادن تلفظ كلمات است، حروف اول عناوين مانند ديگر حروف كوچك نوشته شده است.</w:t>
      </w:r>
    </w:p>
    <w:p>
      <w:pPr>
        <w:pStyle w:val="BookText"/>
      </w:pPr>
      <w:r>
        <w:rPr>
          <w:rFonts w:ascii="IRNazanin" w:hAnsi="IRNazanin" w:eastAsia="IRNazanin" w:cs="IRNazanin"/>
          <w:lang w:bidi="fa-IR"/>
          <w:color w:val="111111"/>
          <w:sz w:val="28"/>
          <w:szCs w:val="28"/>
          <w:rtl/>
        </w:rPr>
        <w:t xml:space="preserve">5-براي آوانگاري كلماتي كه بارها تكرار شده اند، از اختصار استفاده شده است.</w:t>
      </w:r>
    </w:p>
    <w:p>
      <w:pPr>
        <w:pStyle w:val="BookText"/>
      </w:pPr>
      <w:r>
        <w:rPr>
          <w:rFonts w:ascii="IRNazanin" w:hAnsi="IRNazanin" w:eastAsia="IRNazanin" w:cs="IRNazanin"/>
          <w:lang w:bidi="fa-IR"/>
          <w:color w:val="111111"/>
          <w:sz w:val="28"/>
          <w:szCs w:val="28"/>
          <w:rtl/>
        </w:rPr>
        <w:t xml:space="preserve">الف: آوانگاری کلمات و ترکیبات فارسی:</w:t>
      </w:r>
    </w:p>
    <w:p>
      <w:pPr>
        <w:pStyle w:val="BookText"/>
      </w:pPr>
      <w:r>
        <w:rPr>
          <w:rFonts w:ascii="IRNazanin" w:hAnsi="IRNazanin" w:eastAsia="IRNazanin" w:cs="IRNazanin"/>
          <w:lang w:bidi="fa-IR"/>
          <w:color w:val="111111"/>
          <w:sz w:val="28"/>
          <w:szCs w:val="28"/>
          <w:rtl/>
        </w:rPr>
        <w:t xml:space="preserve">1.مصوت ها:</w:t>
      </w:r>
    </w:p>
    <w:p>
      <w:pPr>
        <w:pStyle w:val="BookText"/>
      </w:pPr>
      <w:r>
        <w:rPr>
          <w:rFonts w:ascii="IRNazanin" w:hAnsi="IRNazanin" w:eastAsia="IRNazanin" w:cs="IRNazanin"/>
          <w:lang w:bidi="fa-IR"/>
          <w:color w:val="111111"/>
          <w:sz w:val="28"/>
          <w:szCs w:val="28"/>
          <w:rtl/>
        </w:rPr>
        <w:t xml:space="preserve">2.مصوت ها: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آوانگاری کلمات و ترکیبات عربی:</w:t>
      </w:r>
    </w:p>
    <w:p>
      <w:pPr>
        <w:pStyle w:val="BookText"/>
      </w:pPr>
      <w:r>
        <w:rPr>
          <w:rFonts w:ascii="IRNazanin" w:hAnsi="IRNazanin" w:eastAsia="IRNazanin" w:cs="IRNazanin"/>
          <w:lang w:bidi="fa-IR"/>
          <w:color w:val="111111"/>
          <w:sz w:val="28"/>
          <w:szCs w:val="28"/>
          <w:rtl/>
        </w:rPr>
        <w:t xml:space="preserve">1.مصوت:</w:t>
      </w:r>
    </w:p>
    <w:p>
      <w:pPr>
        <w:pStyle w:val="BookText"/>
      </w:pPr>
      <w:r>
        <w:rPr>
          <w:rFonts w:ascii="IRNazanin" w:hAnsi="IRNazanin" w:eastAsia="IRNazanin" w:cs="IRNazanin"/>
          <w:lang w:bidi="fa-IR"/>
          <w:color w:val="111111"/>
          <w:sz w:val="28"/>
          <w:szCs w:val="28"/>
          <w:rtl/>
        </w:rPr>
        <w:t xml:space="preserve">2.صامت ها: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20365_259956"/>
    <w:bookmarkEnd w:id="3"/>
    <w:p>
      <w:pPr>
        <w:pStyle w:val="Heading2"/>
      </w:pPr>
      <w:bookmarkStart w:id="483" w:name="_Toc5"/>
      <w:r>
        <w:t>ارجاع</w:t>
      </w:r>
      <w:bookmarkEnd w:id="483"/>
    </w:p>
    <w:p>
      <w:pPr>
        <w:pStyle w:val="Heading3"/>
      </w:pPr>
      <w:bookmarkStart w:id="484" w:name="_Toc6"/>
      <w:r>
        <w:t>ارجاع  المتعلمين / نحو / فارسی</w:t>
      </w:r>
      <w:bookmarkEnd w:id="484"/>
    </w:p>
    <w:p>
      <w:pPr>
        <w:pStyle w:val="BookText"/>
      </w:pPr>
      <w:r>
        <w:rPr>
          <w:rFonts w:ascii="Times New Roman" w:hAnsi="Times New Roman" w:eastAsia="Times New Roman" w:cs="Times New Roman"/>
          <w:lang w:val="en-US" w:bidi="en-US"/>
          <w:color w:val="111111"/>
          <w:sz w:val="28"/>
          <w:szCs w:val="28"/>
          <w:rtl/>
        </w:rPr>
        <w:t xml:space="preserve">erjā‘-ol-mote‘allemīn</w:t>
      </w:r>
    </w:p>
    <w:p>
      <w:pPr>
        <w:pStyle w:val="BookText"/>
      </w:pPr>
      <w:r>
        <w:rPr>
          <w:rFonts w:ascii="IRNazanin" w:hAnsi="IRNazanin" w:eastAsia="IRNazanin" w:cs="IRNazanin"/>
          <w:lang w:bidi="fa-IR"/>
          <w:color w:val="111111"/>
          <w:sz w:val="28"/>
          <w:szCs w:val="28"/>
          <w:rtl/>
        </w:rPr>
        <w:t xml:space="preserve">هروی، محمد امین</w:t>
      </w:r>
    </w:p>
    <w:p>
      <w:pPr>
        <w:pStyle w:val="BookText"/>
      </w:pPr>
      <w:r>
        <w:rPr>
          <w:rFonts w:ascii="Times New Roman" w:hAnsi="Times New Roman" w:eastAsia="Times New Roman" w:cs="Times New Roman"/>
          <w:lang w:val="en-US" w:bidi="en-US"/>
          <w:color w:val="111111"/>
          <w:sz w:val="28"/>
          <w:szCs w:val="28"/>
          <w:rtl/>
        </w:rPr>
        <w:t xml:space="preserve">heravī, mohammad amīn</w:t>
      </w:r>
    </w:p>
    <w:p>
      <w:pPr>
        <w:pStyle w:val="BookText"/>
      </w:pPr>
      <w:r>
        <w:rPr>
          <w:rFonts w:ascii="IRNazanin" w:hAnsi="IRNazanin" w:eastAsia="IRNazanin" w:cs="IRNazanin"/>
          <w:lang w:bidi="fa-IR"/>
          <w:color w:val="111111"/>
          <w:sz w:val="28"/>
          <w:szCs w:val="28"/>
          <w:rtl/>
        </w:rPr>
        <w:t xml:space="preserve">وابسته به الكافية فى النحو = المقدمة الكافية فى النحو = كافیة ذوى الادب في علم كلام العرب؛ ابن حاجب عثمان بن عمر ( 570 - 646 )</w:t>
      </w:r>
    </w:p>
    <w:p>
      <w:pPr>
        <w:pStyle w:val="BookText"/>
      </w:pPr>
      <w:r>
        <w:rPr>
          <w:rFonts w:ascii="IRNazanin" w:hAnsi="IRNazanin" w:eastAsia="IRNazanin" w:cs="IRNazanin"/>
          <w:lang w:bidi="fa-IR"/>
          <w:color w:val="111111"/>
          <w:sz w:val="28"/>
          <w:szCs w:val="28"/>
          <w:rtl/>
        </w:rPr>
        <w:t xml:space="preserve">رساله ای در شرح کافیه .است اسم کتاب تاریخ تألیف آن است.</w:t>
      </w:r>
    </w:p>
    <w:p>
      <w:pPr>
        <w:pStyle w:val="BookText"/>
      </w:pPr>
      <w:r>
        <w:rPr>
          <w:rFonts w:ascii="IRNazanin" w:hAnsi="IRNazanin" w:eastAsia="IRNazanin" w:cs="IRNazanin"/>
          <w:lang w:bidi="fa-IR"/>
          <w:color w:val="111111"/>
          <w:sz w:val="28"/>
          <w:szCs w:val="28"/>
          <w:rtl/>
        </w:rPr>
        <w:t xml:space="preserve">تهران ملک شماره نسخه: 3559</w:t>
      </w:r>
    </w:p>
    <w:p>
      <w:pPr>
        <w:pStyle w:val="BookText"/>
      </w:pPr>
      <w:r>
        <w:rPr>
          <w:rFonts w:ascii="IRNazanin" w:hAnsi="IRNazanin" w:eastAsia="IRNazanin" w:cs="IRNazanin"/>
          <w:lang w:bidi="fa-IR"/>
          <w:color w:val="111111"/>
          <w:sz w:val="28"/>
          <w:szCs w:val="28"/>
          <w:rtl/>
        </w:rPr>
        <w:t xml:space="preserve">آغاز: بسمله ای از کلمه اسمت آرایش هر ،کلام، فعل جميلت مسندالیه خاص و عام؛ انجام: که او را صفت کرده باشند به یاء است.</w:t>
      </w:r>
    </w:p>
    <w:p>
      <w:pPr>
        <w:pStyle w:val="BookText"/>
      </w:pPr>
      <w:r>
        <w:rPr>
          <w:rFonts w:ascii="IRNazanin" w:hAnsi="IRNazanin" w:eastAsia="IRNazanin" w:cs="IRNazanin"/>
          <w:lang w:bidi="fa-IR"/>
          <w:color w:val="111111"/>
          <w:sz w:val="28"/>
          <w:szCs w:val="28"/>
          <w:rtl/>
        </w:rPr>
        <w:t xml:space="preserve">خط: نستعلیق، بی کا، تا: اوایل قرن 10؛ کاغذ: ،ترمه :جلد: میشن ضربی قهوه ای، 125گ، 17 سطر ،اندازه: 12/9</w:t>
      </w:r>
      <w:r>
        <w:rPr>
          <w:rFonts w:ascii="Times New Roman" w:hAnsi="Times New Roman" w:eastAsia="Times New Roman" w:cs="Times New Roman"/>
          <w:lang w:val="en-US" w:bidi="en-US"/>
          <w:color w:val="111111"/>
          <w:sz w:val="28"/>
          <w:szCs w:val="28"/>
          <w:rtl/>
        </w:rPr>
        <w:t xml:space="preserve">×17/8</w:t>
      </w:r>
      <w:r>
        <w:rPr>
          <w:rFonts w:ascii="IRNazanin" w:hAnsi="IRNazanin" w:eastAsia="IRNazanin" w:cs="IRNazanin"/>
          <w:lang w:bidi="fa-IR"/>
          <w:color w:val="111111"/>
          <w:sz w:val="28"/>
          <w:szCs w:val="28"/>
          <w:rtl/>
        </w:rPr>
        <w:t xml:space="preserve">سم : [ف: 2 - 20 ]</w:t>
      </w:r>
    </w:p>
    <w:p>
      <w:pPr>
        <w:pStyle w:val="Heading3"/>
      </w:pPr>
      <w:bookmarkStart w:id="485" w:name="_Toc7"/>
      <w:r>
        <w:t>ارجن گیتا / ادبیات / فارسی</w:t>
      </w:r>
      <w:bookmarkEnd w:id="485"/>
    </w:p>
    <w:p>
      <w:pPr>
        <w:pStyle w:val="BookText"/>
      </w:pPr>
      <w:r>
        <w:rPr>
          <w:rFonts w:ascii="Times New Roman" w:hAnsi="Times New Roman" w:eastAsia="Times New Roman" w:cs="Times New Roman"/>
          <w:lang w:val="en-US" w:bidi="en-US"/>
          <w:color w:val="111111"/>
          <w:sz w:val="28"/>
          <w:szCs w:val="28"/>
          <w:rtl/>
        </w:rPr>
        <w:t xml:space="preserve">arjon gītā</w:t>
      </w:r>
    </w:p>
    <w:p>
      <w:pPr>
        <w:pStyle w:val="BookText"/>
      </w:pPr>
      <w:r>
        <w:rPr>
          <w:rFonts w:ascii="IRNazanin" w:hAnsi="IRNazanin" w:eastAsia="IRNazanin" w:cs="IRNazanin"/>
          <w:lang w:bidi="fa-IR"/>
          <w:color w:val="111111"/>
          <w:sz w:val="28"/>
          <w:szCs w:val="28"/>
          <w:rtl/>
        </w:rPr>
        <w:t xml:space="preserve">ترجمه بهگود گیتا از هندی کهن به فارسی از ابوالفضل به درخواست سلطان اکبر. جز آنچه ریو (59/1) یاد کرده است.</w:t>
      </w:r>
    </w:p>
    <w:p>
      <w:pPr>
        <w:pStyle w:val="BookText"/>
      </w:pPr>
      <w:r>
        <w:rPr>
          <w:rFonts w:ascii="IRNazanin" w:hAnsi="IRNazanin" w:eastAsia="IRNazanin" w:cs="IRNazanin"/>
          <w:lang w:bidi="fa-IR"/>
          <w:color w:val="111111"/>
          <w:sz w:val="28"/>
          <w:szCs w:val="28"/>
          <w:rtl/>
        </w:rPr>
        <w:t xml:space="preserve">تهران دانشگاه؛ شماره نسخه : 1236/51-ف و 1338/51-ف</w:t>
      </w:r>
    </w:p>
    <w:p>
      <w:pPr>
        <w:pStyle w:val="BookText"/>
      </w:pPr>
      <w:r>
        <w:rPr>
          <w:rFonts w:ascii="IRNazanin" w:hAnsi="IRNazanin" w:eastAsia="IRNazanin" w:cs="IRNazanin"/>
          <w:lang w:bidi="fa-IR"/>
          <w:color w:val="111111"/>
          <w:sz w:val="28"/>
          <w:szCs w:val="28"/>
          <w:rtl/>
        </w:rPr>
        <w:t xml:space="preserve">نسخه اصل: بادلیان 69 </w:t>
      </w:r>
      <w:r>
        <w:rPr>
          <w:rFonts w:ascii="Times New Roman" w:hAnsi="Times New Roman" w:eastAsia="Times New Roman" w:cs="Times New Roman"/>
          <w:lang w:val="en-US" w:bidi="en-US"/>
          <w:color w:val="111111"/>
          <w:sz w:val="28"/>
          <w:szCs w:val="28"/>
          <w:rtl/>
        </w:rPr>
        <w:t xml:space="preserve">add </w:t>
      </w:r>
      <w:r>
        <w:rPr>
          <w:rFonts w:ascii="IRNazanin" w:hAnsi="IRNazanin" w:eastAsia="IRNazanin" w:cs="IRNazanin"/>
          <w:lang w:bidi="fa-IR"/>
          <w:color w:val="111111"/>
          <w:sz w:val="28"/>
          <w:szCs w:val="28"/>
          <w:rtl/>
        </w:rPr>
        <w:t xml:space="preserve">اوزلی ( 1241)؛ بی کا ،بی تا [فیلم ها-  ف: 1 - 587]</w:t>
      </w:r>
    </w:p>
    <w:p>
      <w:pPr>
        <w:pStyle w:val="Heading3"/>
      </w:pPr>
      <w:bookmarkStart w:id="486" w:name="_Toc8"/>
      <w:r>
        <w:t>ارجوزه / نحو</w:t>
      </w:r>
      <w:bookmarkEnd w:id="486"/>
    </w:p>
    <w:p>
      <w:pPr>
        <w:pStyle w:val="BookText"/>
      </w:pPr>
      <w:r>
        <w:rPr>
          <w:rFonts w:ascii="Times New Roman" w:hAnsi="Times New Roman" w:eastAsia="Times New Roman" w:cs="Times New Roman"/>
          <w:lang w:val="en-US" w:bidi="en-US"/>
          <w:color w:val="111111"/>
          <w:sz w:val="28"/>
          <w:szCs w:val="28"/>
          <w:rtl/>
        </w:rPr>
        <w:t xml:space="preserve">urjūza</w:t>
      </w:r>
    </w:p>
    <w:p>
      <w:pPr>
        <w:pStyle w:val="BookText"/>
      </w:pPr>
      <w:r>
        <w:rPr>
          <w:rFonts w:ascii="IRNazanin" w:hAnsi="IRNazanin" w:eastAsia="IRNazanin" w:cs="IRNazanin"/>
          <w:lang w:bidi="fa-IR"/>
          <w:color w:val="111111"/>
          <w:sz w:val="28"/>
          <w:szCs w:val="28"/>
          <w:rtl/>
        </w:rPr>
        <w:t xml:space="preserve">رضوی محمد تقی بن محمد مؤمن، - 1270</w:t>
      </w:r>
    </w:p>
    <w:p>
      <w:pPr>
        <w:pStyle w:val="BookText"/>
      </w:pPr>
      <w:r>
        <w:rPr>
          <w:rFonts w:ascii="Times New Roman" w:hAnsi="Times New Roman" w:eastAsia="Times New Roman" w:cs="Times New Roman"/>
          <w:lang w:val="en-US" w:bidi="en-US"/>
          <w:color w:val="111111"/>
          <w:sz w:val="28"/>
          <w:szCs w:val="28"/>
          <w:rtl/>
        </w:rPr>
        <w:t xml:space="preserve">( -1270)razavī, mohammad taqī ebn-e mohammad mo’men</w:t>
      </w:r>
    </w:p>
    <w:p>
      <w:pPr>
        <w:pStyle w:val="BookText"/>
      </w:pPr>
      <w:r>
        <w:rPr>
          <w:rFonts w:ascii="IRNazanin" w:hAnsi="IRNazanin" w:eastAsia="IRNazanin" w:cs="IRNazanin"/>
          <w:lang w:bidi="fa-IR"/>
          <w:color w:val="111111"/>
          <w:sz w:val="28"/>
          <w:szCs w:val="28"/>
          <w:rtl/>
        </w:rPr>
        <w:t xml:space="preserve">مشهد؛ مدرسه آیة الله خوئی؛ شماره نسخه: 225/2</w:t>
      </w:r>
    </w:p>
    <w:p>
      <w:pPr>
        <w:pStyle w:val="BookText"/>
      </w:pPr>
      <w:r>
        <w:rPr>
          <w:rFonts w:ascii="IRNazanin" w:hAnsi="IRNazanin" w:eastAsia="IRNazanin" w:cs="IRNazanin"/>
          <w:lang w:bidi="fa-IR"/>
          <w:color w:val="111111"/>
          <w:sz w:val="28"/>
          <w:szCs w:val="28"/>
          <w:rtl/>
        </w:rPr>
        <w:t xml:space="preserve">بی کا، تا: روزگار سراینده [اوراق عتيق 1 - 255]</w:t>
      </w:r>
    </w:p>
    <w:p>
      <w:pPr>
        <w:pStyle w:val="BookText"/>
      </w:pPr>
      <w:r>
        <w:rPr>
          <w:rFonts w:ascii="IRNazanin" w:hAnsi="IRNazanin" w:eastAsia="IRNazanin" w:cs="IRNazanin"/>
          <w:lang w:bidi="fa-IR"/>
          <w:color w:val="111111"/>
          <w:sz w:val="28"/>
          <w:szCs w:val="28"/>
          <w:rtl/>
        </w:rPr>
        <w:t xml:space="preserve">«ارجوزه ابن سینا » نصيحت ذى القرنين</w:t>
      </w:r>
    </w:p>
    <w:p>
      <w:pPr>
        <w:pStyle w:val="BookText"/>
      </w:pPr>
      <w:r>
        <w:rPr>
          <w:rFonts w:ascii="Amiri" w:hAnsi="Amiri" w:eastAsia="Amiri" w:cs="Amiri"/>
          <w:lang w:bidi="ar-SA"/>
          <w:color w:val="111111"/>
          <w:sz w:val="28"/>
          <w:szCs w:val="28"/>
          <w:rtl/>
        </w:rPr>
        <w:t xml:space="preserve">«ارجوزة الالفية » صفوة الزبد</w:t>
      </w:r>
    </w:p>
    <w:p>
      <w:pPr>
        <w:pStyle w:val="BookText"/>
      </w:pPr>
      <w:r>
        <w:rPr>
          <w:rFonts w:ascii="Amiri" w:hAnsi="Amiri" w:eastAsia="Amiri" w:cs="Amiri"/>
          <w:lang w:bidi="ar-SA"/>
          <w:color w:val="111111"/>
          <w:sz w:val="28"/>
          <w:szCs w:val="28"/>
          <w:rtl/>
        </w:rPr>
        <w:t xml:space="preserve">«ارجوزة الفية فى التجويد » التجويد (ارجوزة)</w:t>
      </w:r>
    </w:p>
    <w:p>
      <w:pPr>
        <w:pStyle w:val="BookText"/>
      </w:pPr>
      <w:r>
        <w:rPr>
          <w:rFonts w:ascii="Amiri" w:hAnsi="Amiri" w:eastAsia="Amiri" w:cs="Amiri"/>
          <w:lang w:bidi="ar-SA"/>
          <w:color w:val="111111"/>
          <w:sz w:val="28"/>
          <w:szCs w:val="28"/>
          <w:rtl/>
        </w:rPr>
        <w:t xml:space="preserve">«ارجوزة توق اذ استطمعت ادخال مطعم » كليات الطب</w:t>
      </w:r>
    </w:p>
    <w:p>
      <w:pPr>
        <w:pStyle w:val="Heading3"/>
      </w:pPr>
      <w:bookmarkStart w:id="487" w:name="_Toc9"/>
      <w:r>
        <w:t>الارجوزة الجديدة / فقه، شعر / عربي</w:t>
      </w:r>
      <w:bookmarkEnd w:id="487"/>
    </w:p>
    <w:p>
      <w:pPr>
        <w:pStyle w:val="BookText"/>
      </w:pPr>
      <w:r>
        <w:rPr>
          <w:rFonts w:ascii="Times New Roman" w:hAnsi="Times New Roman" w:eastAsia="Times New Roman" w:cs="Times New Roman"/>
          <w:lang w:val="en-US" w:bidi="en-US"/>
          <w:color w:val="111111"/>
          <w:sz w:val="28"/>
          <w:szCs w:val="28"/>
          <w:rtl/>
        </w:rPr>
        <w:t xml:space="preserve">al-urjūzat-ul-jadīda</w:t>
      </w:r>
    </w:p>
    <w:p>
      <w:pPr>
        <w:pStyle w:val="BookText"/>
      </w:pPr>
      <w:r>
        <w:rPr>
          <w:rFonts w:ascii="IRNazanin" w:hAnsi="IRNazanin" w:eastAsia="IRNazanin" w:cs="IRNazanin"/>
          <w:lang w:bidi="fa-IR"/>
          <w:color w:val="111111"/>
          <w:sz w:val="28"/>
          <w:szCs w:val="28"/>
          <w:rtl/>
        </w:rPr>
        <w:t xml:space="preserve">مولوی، موسی</w:t>
      </w:r>
    </w:p>
    <w:p>
      <w:pPr>
        <w:pStyle w:val="BookText"/>
      </w:pPr>
      <w:r>
        <w:rPr>
          <w:rFonts w:ascii="Times New Roman" w:hAnsi="Times New Roman" w:eastAsia="Times New Roman" w:cs="Times New Roman"/>
          <w:lang w:val="en-US" w:bidi="en-US"/>
          <w:color w:val="111111"/>
          <w:sz w:val="28"/>
          <w:szCs w:val="28"/>
          <w:rtl/>
        </w:rPr>
        <w:t xml:space="preserve">mowlavī, mūsā</w:t>
      </w:r>
    </w:p>
    <w:p>
      <w:pPr>
        <w:pStyle w:val="BookText"/>
      </w:pPr>
      <w:r>
        <w:rPr>
          <w:rFonts w:ascii="IRNazanin" w:hAnsi="IRNazanin" w:eastAsia="IRNazanin" w:cs="IRNazanin"/>
          <w:lang w:bidi="fa-IR"/>
          <w:color w:val="111111"/>
          <w:sz w:val="28"/>
          <w:szCs w:val="28"/>
          <w:rtl/>
        </w:rPr>
        <w:t xml:space="preserve">ارجوزه ای است در ارث و موانع آن و مستحقین و طبقات آن و بنابر مذهب حنفیه سروده شده در حال مرض و در 5 ماه مشتمل بر 553 بيت بیت که در 1148ق موافق جمله «ارجوزة مفيدة»  به اتمام رسیده است.</w:t>
      </w:r>
    </w:p>
    <w:p>
      <w:pPr>
        <w:pStyle w:val="BookText"/>
      </w:pPr>
      <w:r>
        <w:rPr>
          <w:rFonts w:ascii="IRNazanin" w:hAnsi="IRNazanin" w:eastAsia="IRNazanin" w:cs="IRNazanin"/>
          <w:lang w:bidi="fa-IR"/>
          <w:color w:val="111111"/>
          <w:sz w:val="28"/>
          <w:szCs w:val="28"/>
          <w:rtl/>
        </w:rPr>
        <w:t xml:space="preserve">تهران؛ مجلس؛ شماره نسخه: 8650</w:t>
      </w:r>
    </w:p>
    <w:p>
      <w:pPr>
        <w:pStyle w:val="BookText"/>
      </w:pPr>
      <w:r>
        <w:rPr>
          <w:rFonts w:ascii="IRNazanin" w:hAnsi="IRNazanin" w:eastAsia="IRNazanin" w:cs="IRNazanin"/>
          <w:lang w:bidi="fa-IR"/>
          <w:color w:val="111111"/>
          <w:sz w:val="28"/>
          <w:szCs w:val="28"/>
          <w:rtl/>
        </w:rPr>
        <w:t xml:space="preserve">آغاز: باسم الا له العالم العلام *** مقدر . .. / الحمد لله على الافضال *** مغتنم الاقوال و الافعال؛ انجام: فالحمد لله على التمام *** و صل يا رب على التهامي / محمد خیر نبی مرسل ***الآل و  و الصحب اولى التفضل</w:t>
      </w:r>
    </w:p>
    <w:p>
      <w:pPr>
        <w:pStyle w:val="BookText"/>
      </w:pPr>
      <w:r>
        <w:rPr>
          <w:rFonts w:ascii="IRNazanin" w:hAnsi="IRNazanin" w:eastAsia="IRNazanin" w:cs="IRNazanin"/>
          <w:lang w:bidi="fa-IR"/>
          <w:color w:val="111111"/>
          <w:sz w:val="28"/>
          <w:szCs w:val="28"/>
          <w:rtl/>
        </w:rPr>
        <w:t xml:space="preserve">خط: نسخ معرب، بی کا، تا: قرن 12؛ مجدول، دارای سرلوح ،مرصف، در دو برگ پایانی اشعاری از کاتب حسن مدابغی در کتاب روی برگ اول نام کتاب و ناظم و یادداشت دعایی پراکنده و مهر بیضوی وقف کتاب که محو شده در برگ ما قبل آخر مهر وقف کتاب از مؤلف در برگ پایانی یادداشتی از سید حسین در سفارش به فرزندش محمد به سال 1211ق؛ جلد: مقوایی، عطف تیماج قهوه ای ی 22گ، 15 سطر ، اندازه: 13</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28 - 184]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4" w:name="pg20365_259957"/>
    <w:bookmarkEnd w:id="4"/>
    <w:p>
      <w:pPr>
        <w:pStyle w:val="BookText"/>
      </w:pPr>
      <w:r>
        <w:rPr>
          <w:rFonts w:ascii="Amiri" w:hAnsi="Amiri" w:eastAsia="Amiri" w:cs="Amiri"/>
          <w:lang w:bidi="ar-SA"/>
          <w:color w:val="111111"/>
          <w:sz w:val="28"/>
          <w:szCs w:val="28"/>
          <w:rtl/>
        </w:rPr>
        <w:t xml:space="preserve">«ارجوزة الخط » رمح الخط في نظم رسم الخط</w:t>
      </w:r>
    </w:p>
    <w:p>
      <w:pPr>
        <w:pStyle w:val="BookText"/>
      </w:pPr>
      <w:r>
        <w:rPr>
          <w:rFonts w:ascii="Amiri" w:hAnsi="Amiri" w:eastAsia="Amiri" w:cs="Amiri"/>
          <w:lang w:bidi="ar-SA"/>
          <w:color w:val="111111"/>
          <w:sz w:val="28"/>
          <w:szCs w:val="28"/>
          <w:rtl/>
        </w:rPr>
        <w:t xml:space="preserve">«ارجوزة السيتائية » مجموعه</w:t>
      </w:r>
    </w:p>
    <w:p>
      <w:pPr>
        <w:pStyle w:val="BookText"/>
      </w:pPr>
      <w:r>
        <w:rPr>
          <w:rFonts w:ascii="Amiri" w:hAnsi="Amiri" w:eastAsia="Amiri" w:cs="Amiri"/>
          <w:lang w:bidi="ar-SA"/>
          <w:color w:val="111111"/>
          <w:sz w:val="28"/>
          <w:szCs w:val="28"/>
          <w:rtl/>
        </w:rPr>
        <w:t xml:space="preserve">«ارجوزة عصمة الأذهان » عصمة الأذهان</w:t>
      </w:r>
    </w:p>
    <w:p>
      <w:pPr>
        <w:pStyle w:val="Heading3"/>
      </w:pPr>
      <w:bookmarkStart w:id="488" w:name="_Toc10"/>
      <w:r>
        <w:t>ارجوزة فى الاجتهاد والاخبار / اصول فقه / عربي</w:t>
      </w:r>
      <w:bookmarkEnd w:id="488"/>
    </w:p>
    <w:p>
      <w:pPr>
        <w:pStyle w:val="BookText"/>
      </w:pPr>
      <w:r>
        <w:rPr>
          <w:rFonts w:ascii="Times New Roman" w:hAnsi="Times New Roman" w:eastAsia="Times New Roman" w:cs="Times New Roman"/>
          <w:lang w:val="en-US" w:bidi="en-US"/>
          <w:color w:val="111111"/>
          <w:sz w:val="28"/>
          <w:szCs w:val="28"/>
          <w:rtl/>
        </w:rPr>
        <w:t xml:space="preserve">urjūzat-un fi-l ijtihād wa-l axbār</w:t>
      </w:r>
    </w:p>
    <w:p>
      <w:pPr>
        <w:pStyle w:val="BookText"/>
      </w:pPr>
      <w:r>
        <w:rPr>
          <w:rFonts w:ascii="IRNazanin" w:hAnsi="IRNazanin" w:eastAsia="IRNazanin" w:cs="IRNazanin"/>
          <w:lang w:bidi="fa-IR"/>
          <w:color w:val="111111"/>
          <w:sz w:val="28"/>
          <w:szCs w:val="28"/>
          <w:rtl/>
        </w:rPr>
        <w:t xml:space="preserve">اخباری ،بحرانی، حسین بن محمد ،</w:t>
      </w:r>
    </w:p>
    <w:p>
      <w:pPr>
        <w:pStyle w:val="BookText"/>
      </w:pPr>
      <w:r>
        <w:rPr>
          <w:rFonts w:ascii="Times New Roman" w:hAnsi="Times New Roman" w:eastAsia="Times New Roman" w:cs="Times New Roman"/>
          <w:lang w:val="en-US" w:bidi="en-US"/>
          <w:color w:val="111111"/>
          <w:sz w:val="28"/>
          <w:szCs w:val="28"/>
          <w:rtl/>
        </w:rPr>
        <w:t xml:space="preserve">axbārī bahrānī, hoseyn ebn-e mohammad</w:t>
      </w:r>
    </w:p>
    <w:p>
      <w:pPr>
        <w:pStyle w:val="BookText"/>
      </w:pPr>
      <w:r>
        <w:rPr>
          <w:rFonts w:ascii="IRNazanin" w:hAnsi="IRNazanin" w:eastAsia="IRNazanin" w:cs="IRNazanin"/>
          <w:lang w:bidi="fa-IR"/>
          <w:color w:val="111111"/>
          <w:sz w:val="28"/>
          <w:szCs w:val="28"/>
          <w:rtl/>
        </w:rPr>
        <w:t xml:space="preserve">همان منظومه ای است که میرزا محمد اخباری در فائده هشتم از «مصادر الانوار» خود آورده است در رد محمد هندی سنی مشتمل بر 160 بیت.</w:t>
      </w:r>
    </w:p>
    <w:p>
      <w:pPr>
        <w:pStyle w:val="BookText"/>
      </w:pPr>
      <w:r>
        <w:rPr>
          <w:rFonts w:ascii="IRNazanin" w:hAnsi="IRNazanin" w:eastAsia="IRNazanin" w:cs="IRNazanin"/>
          <w:lang w:bidi="fa-IR"/>
          <w:color w:val="111111"/>
          <w:sz w:val="28"/>
          <w:szCs w:val="28"/>
          <w:rtl/>
        </w:rPr>
        <w:t xml:space="preserve">تهران؛ مجلس؛ شماره نسخه: 8744/3</w:t>
      </w:r>
    </w:p>
    <w:p>
      <w:pPr>
        <w:pStyle w:val="BookText"/>
      </w:pPr>
      <w:r>
        <w:rPr>
          <w:rFonts w:ascii="IRNazanin" w:hAnsi="IRNazanin" w:eastAsia="IRNazanin" w:cs="IRNazanin"/>
          <w:lang w:bidi="fa-IR"/>
          <w:color w:val="111111"/>
          <w:sz w:val="28"/>
          <w:szCs w:val="28"/>
          <w:rtl/>
        </w:rPr>
        <w:t xml:space="preserve">آغاز بسم الا له الخلق ذى الجلال *** و الطول و الافضال النوال؛ انجام: و التابعين لهم و الشيعة *** ما دامت الشيعة لهم مطیعه</w:t>
      </w:r>
    </w:p>
    <w:p>
      <w:pPr>
        <w:pStyle w:val="BookText"/>
      </w:pPr>
      <w:r>
        <w:rPr>
          <w:rFonts w:ascii="IRNazanin" w:hAnsi="IRNazanin" w:eastAsia="IRNazanin" w:cs="IRNazanin"/>
          <w:lang w:bidi="fa-IR"/>
          <w:color w:val="111111"/>
          <w:sz w:val="28"/>
          <w:szCs w:val="28"/>
          <w:rtl/>
        </w:rPr>
        <w:t xml:space="preserve">خط: نسخ، بی کا، بی تا: جلد: تیماج قهوه ای 4گ( 93پ-97 پ) ، اندازه: 10</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28 - 239]</w:t>
      </w:r>
    </w:p>
    <w:p>
      <w:pPr>
        <w:pStyle w:val="BookText"/>
      </w:pPr>
      <w:r>
        <w:rPr>
          <w:rFonts w:ascii="Amiri" w:hAnsi="Amiri" w:eastAsia="Amiri" w:cs="Amiri"/>
          <w:lang w:bidi="ar-SA"/>
          <w:color w:val="111111"/>
          <w:sz w:val="28"/>
          <w:szCs w:val="28"/>
          <w:rtl/>
        </w:rPr>
        <w:t xml:space="preserve">«ارجوزة فى الاسطرلاب » عروة الاسطرلاب</w:t>
      </w:r>
    </w:p>
    <w:p>
      <w:pPr>
        <w:pStyle w:val="Heading3"/>
      </w:pPr>
      <w:bookmarkStart w:id="489" w:name="_Toc11"/>
      <w:r>
        <w:t>ارجوزة فى اصالة البراءة / شعر، اصول فقه / عربی</w:t>
      </w:r>
      <w:bookmarkEnd w:id="489"/>
    </w:p>
    <w:p>
      <w:pPr>
        <w:pStyle w:val="BookText"/>
      </w:pPr>
      <w:r>
        <w:rPr>
          <w:rFonts w:ascii="Times New Roman" w:hAnsi="Times New Roman" w:eastAsia="Times New Roman" w:cs="Times New Roman"/>
          <w:lang w:val="en-US" w:bidi="en-US"/>
          <w:color w:val="111111"/>
          <w:sz w:val="28"/>
          <w:szCs w:val="28"/>
          <w:rtl/>
        </w:rPr>
        <w:t xml:space="preserve">uzat-un fi isalat-il bara'a</w:t>
      </w:r>
    </w:p>
    <w:p>
      <w:pPr>
        <w:pStyle w:val="BookText"/>
      </w:pPr>
      <w:r>
        <w:rPr>
          <w:rFonts w:ascii="IRNazanin" w:hAnsi="IRNazanin" w:eastAsia="IRNazanin" w:cs="IRNazanin"/>
          <w:lang w:bidi="fa-IR"/>
          <w:color w:val="111111"/>
          <w:sz w:val="28"/>
          <w:szCs w:val="28"/>
          <w:rtl/>
        </w:rPr>
        <w:t xml:space="preserve">؟ دامغانی محمد باقر بن علی اکبر ق 14 قمری</w:t>
      </w:r>
    </w:p>
    <w:p>
      <w:pPr>
        <w:pStyle w:val="BookText"/>
      </w:pPr>
      <w:r>
        <w:rPr>
          <w:rFonts w:ascii="Times New Roman" w:hAnsi="Times New Roman" w:eastAsia="Times New Roman" w:cs="Times New Roman"/>
          <w:lang w:val="en-US" w:bidi="en-US"/>
          <w:color w:val="111111"/>
          <w:sz w:val="28"/>
          <w:szCs w:val="28"/>
          <w:rtl/>
        </w:rPr>
        <w:t xml:space="preserve">dāmqānī, mohammad bāqer ebn-e ‘alī akbar ( - 20c)</w:t>
      </w:r>
    </w:p>
    <w:p>
      <w:pPr>
        <w:pStyle w:val="BookText"/>
      </w:pPr>
      <w:r>
        <w:rPr>
          <w:rFonts w:ascii="IRNazanin" w:hAnsi="IRNazanin" w:eastAsia="IRNazanin" w:cs="IRNazanin"/>
          <w:lang w:bidi="fa-IR"/>
          <w:color w:val="111111"/>
          <w:sz w:val="28"/>
          <w:szCs w:val="28"/>
          <w:rtl/>
        </w:rPr>
        <w:t xml:space="preserve">این ارجوزه در نسخه کتابخانه امیر المؤمنين نجف در میان ارجوزه ها و رساله های محمد باقر دامغانی کتابت شده و بدین جهت مرحوم سید عبدالعزیز طباطبایی در فهرست آن کتابخانه احتمال داده اند مؤلف کتاب همو باشد. در نسخه نامی از مؤلف نیست اما او در پایان از یکی از کتاب هایش نام برده است: «و منهم الراقي الى المدارج *** محقق العلوم فى المعارج / و منهم المحقق الخونساری *** بحشره الله مع الابرار / و منهم المحقق القمي في *** طى القوانين بتحقيق وفي / و منهم المحقق الاستاد *** من فى العلوم به الاستناد / و قيل بالتقديم لاشتغال *** لاثبات استصحابه للحال / وليس في تقديم مثبت على *** ناف دلیل يحسن التعولا / ما قيل من تقديم متبوع على *** تابعه حررته مفصلا / في زبر الموسوم بالمطالع *** ان شئت حق الامر ثم طالع[مكتبة امير المومنين 80/1]</w:t>
      </w:r>
    </w:p>
    <w:p>
      <w:pPr>
        <w:pStyle w:val="BookText"/>
      </w:pPr>
      <w:r>
        <w:rPr>
          <w:rFonts w:ascii="IRNazanin" w:hAnsi="IRNazanin" w:eastAsia="IRNazanin" w:cs="IRNazanin"/>
          <w:lang w:bidi="fa-IR"/>
          <w:color w:val="111111"/>
          <w:sz w:val="28"/>
          <w:szCs w:val="28"/>
          <w:rtl/>
        </w:rPr>
        <w:t xml:space="preserve">تهران؛ مجلس؛ شماره نسخه: 8910/5</w:t>
      </w:r>
    </w:p>
    <w:p>
      <w:pPr>
        <w:pStyle w:val="BookText"/>
      </w:pPr>
      <w:r>
        <w:rPr>
          <w:rFonts w:ascii="IRNazanin" w:hAnsi="IRNazanin" w:eastAsia="IRNazanin" w:cs="IRNazanin"/>
          <w:lang w:bidi="fa-IR"/>
          <w:color w:val="111111"/>
          <w:sz w:val="28"/>
          <w:szCs w:val="28"/>
          <w:rtl/>
        </w:rPr>
        <w:t xml:space="preserve">آغاز: من جملة الادلة العقلية *** قاعدة البراءة الاصلية / و هي دل عليه العقل قد *** دل عليها ما من الشرع ورد / و الاصل استصحابا اقصد منه فى*** اصل البراءة بغير لا يفي؛ انجام: اذ نیة اليقين و الاخفاف مع *** حبر فجهل احتياطها منع / ذا الحكم معلوم من الشرع و لا *** يخفى على الحاوى به مفصلاً</w:t>
      </w:r>
    </w:p>
    <w:p>
      <w:pPr>
        <w:pStyle w:val="BookText"/>
      </w:pPr>
      <w:r>
        <w:rPr>
          <w:rFonts w:ascii="IRNazanin" w:hAnsi="IRNazanin" w:eastAsia="IRNazanin" w:cs="IRNazanin"/>
          <w:lang w:bidi="fa-IR"/>
          <w:color w:val="111111"/>
          <w:sz w:val="28"/>
          <w:szCs w:val="28"/>
          <w:rtl/>
        </w:rPr>
        <w:t xml:space="preserve">خط: نسخ، بی کا، تا: 1256ق؛ ته نقش دار با عبارت </w:t>
      </w:r>
      <w:r>
        <w:rPr>
          <w:rFonts w:ascii="Times New Roman" w:hAnsi="Times New Roman" w:eastAsia="Times New Roman" w:cs="Times New Roman"/>
          <w:lang w:val="en-US" w:bidi="en-US"/>
          <w:color w:val="111111"/>
          <w:sz w:val="28"/>
          <w:szCs w:val="28"/>
          <w:rtl/>
        </w:rPr>
        <w:t xml:space="preserve">GHECGHI GIOVPNNI </w:t>
      </w:r>
      <w:r>
        <w:rPr>
          <w:rFonts w:ascii="IRNazanin" w:hAnsi="IRNazanin" w:eastAsia="IRNazanin" w:cs="IRNazanin"/>
          <w:lang w:bidi="fa-IR"/>
          <w:color w:val="111111"/>
          <w:sz w:val="28"/>
          <w:szCs w:val="28"/>
          <w:rtl/>
        </w:rPr>
        <w:t xml:space="preserve">کاغذ: فرنگی نخودی آهار مهره، جلد: میشن مشکی مجدول گرهی 5گ (83ر- 87پ) ، 13 سطر (8</w:t>
      </w:r>
      <w:r>
        <w:rPr>
          <w:rFonts w:ascii="Times New Roman" w:hAnsi="Times New Roman" w:eastAsia="Times New Roman" w:cs="Times New Roman"/>
          <w:lang w:val="en-US" w:bidi="en-US"/>
          <w:color w:val="111111"/>
          <w:sz w:val="28"/>
          <w:szCs w:val="28"/>
          <w:rtl/>
        </w:rPr>
        <w:t xml:space="preserve">×12/5)</w:t>
      </w:r>
      <w:r>
        <w:rPr>
          <w:rFonts w:ascii="IRNazanin" w:hAnsi="IRNazanin" w:eastAsia="IRNazanin" w:cs="IRNazanin"/>
          <w:lang w:bidi="fa-IR"/>
          <w:color w:val="111111"/>
          <w:sz w:val="28"/>
          <w:szCs w:val="28"/>
          <w:rtl/>
        </w:rPr>
        <w:t xml:space="preserve">، :اندازه 14/9</w:t>
      </w:r>
      <w:r>
        <w:rPr>
          <w:rFonts w:ascii="Times New Roman" w:hAnsi="Times New Roman" w:eastAsia="Times New Roman" w:cs="Times New Roman"/>
          <w:lang w:val="en-US" w:bidi="en-US"/>
          <w:color w:val="111111"/>
          <w:sz w:val="28"/>
          <w:szCs w:val="28"/>
          <w:rtl/>
        </w:rPr>
        <w:t xml:space="preserve">×21/6</w:t>
      </w:r>
      <w:r>
        <w:rPr>
          <w:rFonts w:ascii="IRNazanin" w:hAnsi="IRNazanin" w:eastAsia="IRNazanin" w:cs="IRNazanin"/>
          <w:lang w:bidi="fa-IR"/>
          <w:color w:val="111111"/>
          <w:sz w:val="28"/>
          <w:szCs w:val="28"/>
          <w:rtl/>
        </w:rPr>
        <w:t xml:space="preserve">سم [ف: 29/1 - 305]</w:t>
      </w:r>
    </w:p>
    <w:p>
      <w:pPr>
        <w:pStyle w:val="BookText"/>
      </w:pPr>
      <w:r>
        <w:rPr>
          <w:rFonts w:ascii="Amiri" w:hAnsi="Amiri" w:eastAsia="Amiri" w:cs="Amiri"/>
          <w:lang w:bidi="ar-SA"/>
          <w:color w:val="111111"/>
          <w:sz w:val="28"/>
          <w:szCs w:val="28"/>
          <w:rtl/>
        </w:rPr>
        <w:t xml:space="preserve">«ارجوزة في اصحاب الاجماع » اصحاب الاجماع</w:t>
      </w:r>
    </w:p>
    <w:p>
      <w:pPr>
        <w:pStyle w:val="BookText"/>
      </w:pPr>
      <w:r>
        <w:rPr>
          <w:rFonts w:ascii="Amiri" w:hAnsi="Amiri" w:eastAsia="Amiri" w:cs="Amiri"/>
          <w:lang w:bidi="ar-SA"/>
          <w:color w:val="111111"/>
          <w:sz w:val="28"/>
          <w:szCs w:val="28"/>
          <w:rtl/>
        </w:rPr>
        <w:t xml:space="preserve">«ارجوزة فى اصول الدين » التحفة</w:t>
      </w:r>
    </w:p>
    <w:p>
      <w:pPr>
        <w:pStyle w:val="BookText"/>
      </w:pPr>
      <w:r>
        <w:rPr>
          <w:rFonts w:ascii="Amiri" w:hAnsi="Amiri" w:eastAsia="Amiri" w:cs="Amiri"/>
          <w:lang w:bidi="ar-SA"/>
          <w:color w:val="111111"/>
          <w:sz w:val="28"/>
          <w:szCs w:val="28"/>
          <w:rtl/>
        </w:rPr>
        <w:t xml:space="preserve">«ارجوزة في اصول الفقه » الدرة المنظمة</w:t>
      </w:r>
    </w:p>
    <w:p>
      <w:pPr>
        <w:pStyle w:val="BookText"/>
      </w:pPr>
      <w:r>
        <w:rPr>
          <w:rFonts w:ascii="Amiri" w:hAnsi="Amiri" w:eastAsia="Amiri" w:cs="Amiri"/>
          <w:lang w:bidi="ar-SA"/>
          <w:color w:val="111111"/>
          <w:sz w:val="28"/>
          <w:szCs w:val="28"/>
          <w:rtl/>
        </w:rPr>
        <w:t xml:space="preserve">«ارجوزة فى اصول الفقه»  الدرة البهية</w:t>
      </w:r>
    </w:p>
    <w:p>
      <w:pPr>
        <w:pStyle w:val="BookText"/>
      </w:pPr>
      <w:r>
        <w:rPr>
          <w:rFonts w:ascii="Amiri" w:hAnsi="Amiri" w:eastAsia="Amiri" w:cs="Amiri"/>
          <w:lang w:bidi="ar-SA"/>
          <w:color w:val="111111"/>
          <w:sz w:val="28"/>
          <w:szCs w:val="28"/>
          <w:rtl/>
        </w:rPr>
        <w:t xml:space="preserve">«ارجوزة في الايام الشريفة المندوب فيها الصوم »منهج السلامة فيما يتأكد صيامه</w:t>
      </w:r>
    </w:p>
    <w:p>
      <w:pPr>
        <w:pStyle w:val="BookText"/>
      </w:pPr>
      <w:r>
        <w:rPr>
          <w:rFonts w:ascii="Amiri" w:hAnsi="Amiri" w:eastAsia="Amiri" w:cs="Amiri"/>
          <w:lang w:bidi="ar-SA"/>
          <w:color w:val="111111"/>
          <w:sz w:val="28"/>
          <w:szCs w:val="28"/>
          <w:rtl/>
        </w:rPr>
        <w:t xml:space="preserve">«ارجوزة في التجويد » تفسير</w:t>
      </w:r>
    </w:p>
    <w:p>
      <w:pPr>
        <w:pStyle w:val="BookText"/>
      </w:pPr>
      <w:r>
        <w:rPr>
          <w:rFonts w:ascii="Amiri" w:hAnsi="Amiri" w:eastAsia="Amiri" w:cs="Amiri"/>
          <w:lang w:bidi="ar-SA"/>
          <w:color w:val="111111"/>
          <w:sz w:val="28"/>
          <w:szCs w:val="28"/>
          <w:rtl/>
        </w:rPr>
        <w:t xml:space="preserve">«ارجوزة فى التجويد » المقدمة الجزرية</w:t>
      </w:r>
    </w:p>
    <w:p>
      <w:pPr>
        <w:pStyle w:val="Heading3"/>
      </w:pPr>
      <w:bookmarkStart w:id="490" w:name="_Toc12"/>
      <w:r>
        <w:t>ارجوزة في توصيف منظومة دلائل الخيرات / شعر / عربی</w:t>
      </w:r>
      <w:bookmarkEnd w:id="490"/>
    </w:p>
    <w:p>
      <w:pPr>
        <w:pStyle w:val="BookText"/>
      </w:pPr>
      <w:r>
        <w:rPr>
          <w:rFonts w:ascii="Times New Roman" w:hAnsi="Times New Roman" w:eastAsia="Times New Roman" w:cs="Times New Roman"/>
          <w:lang w:val="en-US" w:bidi="en-US"/>
          <w:color w:val="111111"/>
          <w:sz w:val="28"/>
          <w:szCs w:val="28"/>
          <w:rtl/>
        </w:rPr>
        <w:t xml:space="preserve">urjūzat-un fī tawṣīf-i manẓūmat-i dalāyil-il xayrāt</w:t>
      </w:r>
    </w:p>
    <w:p>
      <w:pPr>
        <w:pStyle w:val="BookText"/>
      </w:pPr>
      <w:r>
        <w:rPr>
          <w:rFonts w:ascii="IRNazanin" w:hAnsi="IRNazanin" w:eastAsia="IRNazanin" w:cs="IRNazanin"/>
          <w:lang w:bidi="fa-IR"/>
          <w:color w:val="111111"/>
          <w:sz w:val="28"/>
          <w:szCs w:val="28"/>
          <w:rtl/>
        </w:rPr>
        <w:t xml:space="preserve">حائری شیرازی، محمد تقی</w:t>
      </w:r>
    </w:p>
    <w:p>
      <w:pPr>
        <w:pStyle w:val="BookText"/>
      </w:pPr>
      <w:r>
        <w:rPr>
          <w:rFonts w:ascii="Times New Roman" w:hAnsi="Times New Roman" w:eastAsia="Times New Roman" w:cs="Times New Roman"/>
          <w:lang w:val="en-US" w:bidi="en-US"/>
          <w:color w:val="111111"/>
          <w:sz w:val="28"/>
          <w:szCs w:val="28"/>
          <w:rtl/>
        </w:rPr>
        <w:t xml:space="preserve">hā’erī šīrāzī, mohammad taqī</w:t>
      </w:r>
    </w:p>
    <w:p>
      <w:pPr>
        <w:pStyle w:val="BookText"/>
      </w:pPr>
      <w:r>
        <w:rPr>
          <w:rFonts w:ascii="IRNazanin" w:hAnsi="IRNazanin" w:eastAsia="IRNazanin" w:cs="IRNazanin"/>
          <w:lang w:bidi="fa-IR"/>
          <w:color w:val="111111"/>
          <w:sz w:val="28"/>
          <w:szCs w:val="28"/>
          <w:rtl/>
        </w:rPr>
        <w:t xml:space="preserve">ارجوزه ای است در 60 بیت در توصیف منظومه.</w:t>
      </w:r>
    </w:p>
    <w:p>
      <w:pPr>
        <w:pStyle w:val="BookText"/>
      </w:pPr>
      <w:r>
        <w:rPr>
          <w:rFonts w:ascii="IRNazanin" w:hAnsi="IRNazanin" w:eastAsia="IRNazanin" w:cs="IRNazanin"/>
          <w:lang w:bidi="fa-IR"/>
          <w:color w:val="111111"/>
          <w:sz w:val="28"/>
          <w:szCs w:val="28"/>
          <w:rtl/>
        </w:rPr>
        <w:t xml:space="preserve">اراک؛ دهگان؛ شماره نسخه: 129/3</w:t>
      </w:r>
    </w:p>
    <w:p>
      <w:pPr>
        <w:pStyle w:val="BookText"/>
      </w:pPr>
      <w:r>
        <w:rPr>
          <w:rFonts w:ascii="IRNazanin" w:hAnsi="IRNazanin" w:eastAsia="IRNazanin" w:cs="IRNazanin"/>
          <w:lang w:bidi="fa-IR"/>
          <w:color w:val="111111"/>
          <w:sz w:val="28"/>
          <w:szCs w:val="28"/>
          <w:rtl/>
        </w:rPr>
        <w:t xml:space="preserve">آغاز قد صیرالدین قرير العين *** دلائل الخيرات في الفين؛ انجام: متصلا فی اول و آخر *** مطرداً في باطن و ظاهر</w:t>
      </w:r>
    </w:p>
    <w:p>
      <w:pPr>
        <w:pStyle w:val="BookText"/>
      </w:pPr>
      <w:r>
        <w:rPr>
          <w:rFonts w:ascii="IRNazanin" w:hAnsi="IRNazanin" w:eastAsia="IRNazanin" w:cs="IRNazanin"/>
          <w:lang w:bidi="fa-IR"/>
          <w:color w:val="111111"/>
          <w:sz w:val="28"/>
          <w:szCs w:val="28"/>
          <w:rtl/>
        </w:rPr>
        <w:t xml:space="preserve">خط: نسخ و نستعلیق، بی کا، بی تا؛ کاغذ: شیری، جلد: مقوا با رویه نایلون صورتی 2گ (152 پ 153ر)، قطع رقعی اندازه: 11</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[ف: 1 - 142]</w:t>
      </w:r>
    </w:p>
    <w:p>
      <w:pPr>
        <w:pStyle w:val="BookText"/>
      </w:pPr>
      <w:r>
        <w:rPr>
          <w:rFonts w:ascii="Amiri" w:hAnsi="Amiri" w:eastAsia="Amiri" w:cs="Amiri"/>
          <w:lang w:bidi="ar-SA"/>
          <w:color w:val="111111"/>
          <w:sz w:val="28"/>
          <w:szCs w:val="28"/>
          <w:rtl/>
        </w:rPr>
        <w:t xml:space="preserve">«ارجوزة فى الخواص » الطب (ارجوزة )</w:t>
      </w:r>
    </w:p>
    <w:p>
      <w:pPr>
        <w:pStyle w:val="BookText"/>
      </w:pPr>
      <w:r>
        <w:rPr>
          <w:rFonts w:ascii="Amiri" w:hAnsi="Amiri" w:eastAsia="Amiri" w:cs="Amiri"/>
          <w:lang w:bidi="ar-SA"/>
          <w:color w:val="111111"/>
          <w:sz w:val="28"/>
          <w:szCs w:val="28"/>
          <w:rtl/>
        </w:rPr>
        <w:t xml:space="preserve">«ارجوزة في الخواص » المجربات من الاحكام النجومية و القواعد الطبية</w:t>
      </w:r>
    </w:p>
    <w:p>
      <w:pPr>
        <w:pStyle w:val="BookText"/>
      </w:pPr>
      <w:r>
        <w:rPr>
          <w:rFonts w:ascii="Amiri" w:hAnsi="Amiri" w:eastAsia="Amiri" w:cs="Amiri"/>
          <w:lang w:bidi="ar-SA"/>
          <w:color w:val="111111"/>
          <w:sz w:val="28"/>
          <w:szCs w:val="28"/>
          <w:rtl/>
        </w:rPr>
        <w:t xml:space="preserve">«ارجوزة فى الدراية » الهدية المكية</w:t>
      </w:r>
    </w:p>
    <w:p>
      <w:pPr>
        <w:pStyle w:val="BookText"/>
      </w:pPr>
      <w:r>
        <w:rPr>
          <w:rFonts w:ascii="Amiri" w:hAnsi="Amiri" w:eastAsia="Amiri" w:cs="Amiri"/>
          <w:lang w:bidi="ar-SA"/>
          <w:color w:val="111111"/>
          <w:sz w:val="28"/>
          <w:szCs w:val="28"/>
          <w:rtl/>
        </w:rPr>
        <w:t xml:space="preserve">«ارجوزة فى الديات » مقادير الديات</w:t>
      </w:r>
    </w:p>
    <w:p>
      <w:pPr>
        <w:pStyle w:val="Heading3"/>
      </w:pPr>
      <w:bookmarkStart w:id="491" w:name="_Toc13"/>
      <w:r>
        <w:t>ارجوزة في الرجال / شعر، رجال / عربی</w:t>
      </w:r>
      <w:bookmarkEnd w:id="491"/>
    </w:p>
    <w:p>
      <w:pPr>
        <w:pStyle w:val="BookText"/>
      </w:pPr>
      <w:r>
        <w:rPr>
          <w:rFonts w:ascii="Times New Roman" w:hAnsi="Times New Roman" w:eastAsia="Times New Roman" w:cs="Times New Roman"/>
          <w:lang w:val="en-US" w:bidi="en-US"/>
          <w:color w:val="111111"/>
          <w:sz w:val="28"/>
          <w:szCs w:val="28"/>
          <w:rtl/>
        </w:rPr>
        <w:t xml:space="preserve">urjūzat-un fi-r rijāl</w:t>
      </w:r>
    </w:p>
    <w:p>
      <w:pPr>
        <w:pStyle w:val="BookText"/>
      </w:pPr>
      <w:r>
        <w:rPr>
          <w:rFonts w:ascii="IRNazanin" w:hAnsi="IRNazanin" w:eastAsia="IRNazanin" w:cs="IRNazanin"/>
          <w:lang w:bidi="fa-IR"/>
          <w:color w:val="111111"/>
          <w:sz w:val="28"/>
          <w:szCs w:val="28"/>
          <w:rtl/>
        </w:rPr>
        <w:t xml:space="preserve">تهران؛ سپهسالار؛ شماره نسخه: 1874/2</w:t>
      </w:r>
    </w:p>
    <w:p>
      <w:pPr>
        <w:pStyle w:val="BookText"/>
      </w:pPr>
      <w:r>
        <w:rPr>
          <w:rFonts w:ascii="IRNazanin" w:hAnsi="IRNazanin" w:eastAsia="IRNazanin" w:cs="IRNazanin"/>
          <w:lang w:bidi="fa-IR"/>
          <w:color w:val="111111"/>
          <w:sz w:val="28"/>
          <w:szCs w:val="28"/>
          <w:rtl/>
        </w:rPr>
        <w:t xml:space="preserve">بی کا،بی تا؛ کاغذ: اصفهانی جلد چرمی 19 سطر ، قطع : خشتی ،</w:t>
      </w:r>
    </w:p>
    <w:p>
      <w:pPr>
        <w:pStyle w:val="BookText"/>
      </w:pPr>
      <w:r>
        <w:rPr>
          <w:rFonts w:ascii="IRNazanin" w:hAnsi="IRNazanin" w:eastAsia="IRNazanin" w:cs="IRNazanin"/>
          <w:lang w:bidi="fa-IR"/>
          <w:color w:val="111111"/>
          <w:sz w:val="28"/>
          <w:szCs w:val="28"/>
          <w:rtl/>
        </w:rPr>
        <w:t xml:space="preserve">:اندازه: 19</w:t>
      </w:r>
      <w:r>
        <w:rPr>
          <w:rFonts w:ascii="Times New Roman" w:hAnsi="Times New Roman" w:eastAsia="Times New Roman" w:cs="Times New Roman"/>
          <w:lang w:val="en-US" w:bidi="en-US"/>
          <w:color w:val="111111"/>
          <w:sz w:val="28"/>
          <w:szCs w:val="28"/>
          <w:rtl/>
        </w:rPr>
        <w:t xml:space="preserve">×25</w:t>
      </w:r>
      <w:r>
        <w:rPr>
          <w:rFonts w:ascii="IRNazanin" w:hAnsi="IRNazanin" w:eastAsia="IRNazanin" w:cs="IRNazanin"/>
          <w:lang w:bidi="fa-IR"/>
          <w:color w:val="111111"/>
          <w:sz w:val="28"/>
          <w:szCs w:val="28"/>
          <w:rtl/>
        </w:rPr>
        <w:t xml:space="preserve">سم [ف: 5 - 5]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5" w:name="pg20365_259958"/>
    <w:bookmarkEnd w:id="5"/>
    <w:p>
      <w:pPr>
        <w:pStyle w:val="BookText"/>
      </w:pPr>
      <w:r>
        <w:rPr>
          <w:rFonts w:ascii="Amiri" w:hAnsi="Amiri" w:eastAsia="Amiri" w:cs="Amiri"/>
          <w:lang w:bidi="ar-SA"/>
          <w:color w:val="111111"/>
          <w:sz w:val="28"/>
          <w:szCs w:val="28"/>
          <w:rtl/>
        </w:rPr>
        <w:t xml:space="preserve">«ارجوزة فى الرضاع » الرضاعية</w:t>
      </w:r>
    </w:p>
    <w:p>
      <w:pPr>
        <w:pStyle w:val="BookText"/>
      </w:pPr>
      <w:r>
        <w:rPr>
          <w:rFonts w:ascii="Amiri" w:hAnsi="Amiri" w:eastAsia="Amiri" w:cs="Amiri"/>
          <w:lang w:bidi="ar-SA"/>
          <w:color w:val="111111"/>
          <w:sz w:val="28"/>
          <w:szCs w:val="28"/>
          <w:rtl/>
        </w:rPr>
        <w:t xml:space="preserve">«ارجوزة في السور المكية و المدنية» ( نزول القرآن (ارجوزة)</w:t>
      </w:r>
    </w:p>
    <w:p>
      <w:pPr>
        <w:pStyle w:val="BookText"/>
      </w:pPr>
      <w:r>
        <w:rPr>
          <w:rFonts w:ascii="IRNazanin" w:hAnsi="IRNazanin" w:eastAsia="IRNazanin" w:cs="IRNazanin"/>
          <w:lang w:bidi="fa-IR"/>
          <w:color w:val="111111"/>
          <w:sz w:val="28"/>
          <w:szCs w:val="28"/>
          <w:rtl/>
        </w:rPr>
        <w:t xml:space="preserve">«ارجوزة فى شرح الياقوت فى علم الكلام » الاصول الكلامیة (ارجوزة)</w:t>
      </w:r>
    </w:p>
    <w:p>
      <w:pPr>
        <w:pStyle w:val="BookText"/>
      </w:pPr>
      <w:r>
        <w:rPr>
          <w:rFonts w:ascii="Amiri" w:hAnsi="Amiri" w:eastAsia="Amiri" w:cs="Amiri"/>
          <w:lang w:bidi="ar-SA"/>
          <w:color w:val="111111"/>
          <w:sz w:val="28"/>
          <w:szCs w:val="28"/>
          <w:rtl/>
        </w:rPr>
        <w:t xml:space="preserve">«ارجوزة فى [الشعبذة] و الرمل » ارجوزة في علم اشكال الشعباذ</w:t>
      </w:r>
    </w:p>
    <w:p>
      <w:pPr>
        <w:pStyle w:val="BookText"/>
      </w:pPr>
      <w:r>
        <w:rPr>
          <w:rFonts w:ascii="Amiri" w:hAnsi="Amiri" w:eastAsia="Amiri" w:cs="Amiri"/>
          <w:lang w:bidi="ar-SA"/>
          <w:color w:val="111111"/>
          <w:sz w:val="28"/>
          <w:szCs w:val="28"/>
          <w:rtl/>
        </w:rPr>
        <w:t xml:space="preserve">«ارجوزة في الصرف » نظم الآلي</w:t>
      </w:r>
    </w:p>
    <w:p>
      <w:pPr>
        <w:pStyle w:val="BookText"/>
      </w:pPr>
      <w:r>
        <w:rPr>
          <w:rFonts w:ascii="Amiri" w:hAnsi="Amiri" w:eastAsia="Amiri" w:cs="Amiri"/>
          <w:lang w:bidi="ar-SA"/>
          <w:color w:val="111111"/>
          <w:sz w:val="28"/>
          <w:szCs w:val="28"/>
          <w:rtl/>
        </w:rPr>
        <w:t xml:space="preserve">«ارجوزة فى الصور الفلكية » نظم صور الكواكب</w:t>
      </w:r>
    </w:p>
    <w:p>
      <w:pPr>
        <w:pStyle w:val="BookText"/>
      </w:pPr>
      <w:r>
        <w:rPr>
          <w:rFonts w:ascii="Amiri" w:hAnsi="Amiri" w:eastAsia="Amiri" w:cs="Amiri"/>
          <w:lang w:bidi="ar-SA"/>
          <w:color w:val="111111"/>
          <w:sz w:val="28"/>
          <w:szCs w:val="28"/>
          <w:rtl/>
        </w:rPr>
        <w:t xml:space="preserve">«ارجوزة فى الطب»  الطب (ارجوزة )</w:t>
      </w:r>
    </w:p>
    <w:p>
      <w:pPr>
        <w:pStyle w:val="BookText"/>
      </w:pPr>
      <w:r>
        <w:rPr>
          <w:rFonts w:ascii="Amiri" w:hAnsi="Amiri" w:eastAsia="Amiri" w:cs="Amiri"/>
          <w:lang w:bidi="ar-SA"/>
          <w:color w:val="111111"/>
          <w:sz w:val="28"/>
          <w:szCs w:val="28"/>
          <w:rtl/>
        </w:rPr>
        <w:t xml:space="preserve">«ارجوزة في الطب»  المجربات من الاحكام النجومية القواعد الطبية</w:t>
      </w:r>
    </w:p>
    <w:p>
      <w:pPr>
        <w:pStyle w:val="BookText"/>
      </w:pPr>
      <w:r>
        <w:rPr>
          <w:rFonts w:ascii="Amiri" w:hAnsi="Amiri" w:eastAsia="Amiri" w:cs="Amiri"/>
          <w:lang w:bidi="ar-SA"/>
          <w:color w:val="111111"/>
          <w:sz w:val="28"/>
          <w:szCs w:val="28"/>
          <w:rtl/>
        </w:rPr>
        <w:t xml:space="preserve">«ارجوزة فى العدد » منظومة في العدد</w:t>
      </w:r>
    </w:p>
    <w:p>
      <w:pPr>
        <w:pStyle w:val="Heading3"/>
      </w:pPr>
      <w:bookmarkStart w:id="492" w:name="_Toc14"/>
      <w:r>
        <w:t>ارجوزة فى علم اشكال الشعباذ = ارجوزة في [الشعبذة] و الرمل / رمل / عربی</w:t>
      </w:r>
      <w:bookmarkEnd w:id="492"/>
    </w:p>
    <w:p>
      <w:pPr>
        <w:pStyle w:val="BookText"/>
      </w:pPr>
      <w:r>
        <w:rPr>
          <w:rFonts w:ascii="Times New Roman" w:hAnsi="Times New Roman" w:eastAsia="Times New Roman" w:cs="Times New Roman"/>
          <w:lang w:val="en-US" w:bidi="en-US"/>
          <w:color w:val="111111"/>
          <w:sz w:val="28"/>
          <w:szCs w:val="28"/>
          <w:rtl/>
        </w:rPr>
        <w:t xml:space="preserve">urjūzat-un fī ‘ilm-i aškāl-iš ša‘bāḏ = urjūzat-un fi-š</w:t>
      </w:r>
    </w:p>
    <w:p>
      <w:pPr>
        <w:pStyle w:val="BookText"/>
      </w:pPr>
      <w:r>
        <w:rPr>
          <w:rFonts w:ascii="Times New Roman" w:hAnsi="Times New Roman" w:eastAsia="Times New Roman" w:cs="Times New Roman"/>
          <w:lang w:val="en-US" w:bidi="en-US"/>
          <w:color w:val="111111"/>
          <w:sz w:val="28"/>
          <w:szCs w:val="28"/>
          <w:rtl/>
        </w:rPr>
        <w:t xml:space="preserve">ša‘baḏa wa-r raml</w:t>
      </w:r>
    </w:p>
    <w:p>
      <w:pPr>
        <w:pStyle w:val="BookText"/>
      </w:pPr>
      <w:r>
        <w:rPr>
          <w:rFonts w:ascii="IRNazanin" w:hAnsi="IRNazanin" w:eastAsia="IRNazanin" w:cs="IRNazanin"/>
          <w:lang w:bidi="fa-IR"/>
          <w:color w:val="111111"/>
          <w:sz w:val="28"/>
          <w:szCs w:val="28"/>
          <w:rtl/>
        </w:rPr>
        <w:t xml:space="preserve">امینی محمد، ق 12 قمری</w:t>
      </w:r>
    </w:p>
    <w:p>
      <w:pPr>
        <w:pStyle w:val="BookText"/>
      </w:pPr>
      <w:r>
        <w:rPr>
          <w:rFonts w:ascii="Times New Roman" w:hAnsi="Times New Roman" w:eastAsia="Times New Roman" w:cs="Times New Roman"/>
          <w:lang w:val="en-US" w:bidi="en-US"/>
          <w:color w:val="111111"/>
          <w:sz w:val="28"/>
          <w:szCs w:val="28"/>
          <w:rtl/>
        </w:rPr>
        <w:t xml:space="preserve">amīnī, mohammad ( - 18c)</w:t>
      </w:r>
    </w:p>
    <w:p>
      <w:pPr>
        <w:pStyle w:val="BookText"/>
      </w:pPr>
      <w:r>
        <w:rPr>
          <w:rFonts w:ascii="IRNazanin" w:hAnsi="IRNazanin" w:eastAsia="IRNazanin" w:cs="IRNazanin"/>
          <w:lang w:bidi="fa-IR"/>
          <w:color w:val="111111"/>
          <w:sz w:val="28"/>
          <w:szCs w:val="28"/>
          <w:rtl/>
        </w:rPr>
        <w:t xml:space="preserve">منظومه ای است در 27 بیت، در شعبده و رمل سراینده در آغاز آن چنین آورده است: «فايدة تتضمن علم اشكال الشعباذ من نظم الفقير. .. احمد ربی عدد الرمال *** فى حالى الصحة و الاعلال/ بعد هاك صورة الشعباذ *** لتفهم الحكم بلا استاذ / نظماً اتی كالكوكب النهارى *** من الامينى على الاسرار / ان رمت تدرى ای عضو الما *** و ممم هذا فاضرب الرمل لما ... ». این منظومه را سراینده در سال 1106ق سروده است. ناظم ،آن مالک نسخه نیز بوده و تملک  وی به سال 1102ق در پشت برگ آغازین نخستین رساله این مجموعه آمده است.</w:t>
      </w:r>
    </w:p>
    <w:p>
      <w:pPr>
        <w:pStyle w:val="BookText"/>
      </w:pPr>
      <w:r>
        <w:rPr>
          <w:rFonts w:ascii="IRNazanin" w:hAnsi="IRNazanin" w:eastAsia="IRNazanin" w:cs="IRNazanin"/>
          <w:lang w:bidi="fa-IR"/>
          <w:color w:val="111111"/>
          <w:sz w:val="28"/>
          <w:szCs w:val="28"/>
          <w:rtl/>
        </w:rPr>
        <w:t xml:space="preserve">قم؛ مرعشی؛ شماره نسخه: 15176/3</w:t>
      </w:r>
    </w:p>
    <w:p>
      <w:pPr>
        <w:pStyle w:val="BookText"/>
      </w:pPr>
      <w:r>
        <w:rPr>
          <w:rFonts w:ascii="Amiri" w:hAnsi="Amiri" w:eastAsia="Amiri" w:cs="Amiri"/>
          <w:lang w:bidi="ar-SA"/>
          <w:color w:val="111111"/>
          <w:sz w:val="28"/>
          <w:szCs w:val="28"/>
          <w:rtl/>
        </w:rPr>
        <w:t xml:space="preserve">آغاز: احمد ربي عدد الرمال *** فى حالى الصحة والاعلال ؛انجام: قد تمت الارجوزة الغربية*** عجيبة في غاية العذوبة/ الحمد لله على الختام*** ثم صلاة الله بالسلام.</w:t>
      </w:r>
    </w:p>
    <w:p>
      <w:pPr>
        <w:pStyle w:val="BookText"/>
      </w:pPr>
      <w:r>
        <w:rPr>
          <w:rFonts w:ascii="IRNazanin" w:hAnsi="IRNazanin" w:eastAsia="IRNazanin" w:cs="IRNazanin"/>
          <w:lang w:bidi="fa-IR"/>
          <w:color w:val="111111"/>
          <w:sz w:val="28"/>
          <w:szCs w:val="28"/>
          <w:rtl/>
        </w:rPr>
        <w:t xml:space="preserve">خط: نسخ، کاتب = مؤلف بی تا؛ ترقیمه در آغاز نسخه: «فایدة تتضمن علم اشكال الشعباذ من نظم الفقير الى الله تعالى محمد الامينى نسبة الحنفى مذهباً عفى عنه» ، ترقیمه در پایان نسخه: «تمت بحمد الله تعالى وعونه فى سنة 1106 یادداشتی در 13 محرم الحرام در پایان؛ کاغذ: فرنگی جلد: تیماج قهوه ای ضربی ترنج 21</w:t>
      </w:r>
      <w:r>
        <w:rPr>
          <w:rFonts w:ascii="Times New Roman" w:hAnsi="Times New Roman" w:eastAsia="Times New Roman" w:cs="Times New Roman"/>
          <w:lang w:val="en-US" w:bidi="en-US"/>
          <w:color w:val="111111"/>
          <w:sz w:val="28"/>
          <w:szCs w:val="28"/>
          <w:rtl/>
        </w:rPr>
        <w:t xml:space="preserve">×5/51</w:t>
      </w:r>
      <w:r>
        <w:rPr>
          <w:rFonts w:ascii="IRNazanin" w:hAnsi="IRNazanin" w:eastAsia="IRNazanin" w:cs="IRNazanin"/>
          <w:lang w:bidi="fa-IR"/>
          <w:color w:val="111111"/>
          <w:sz w:val="28"/>
          <w:szCs w:val="28"/>
          <w:rtl/>
        </w:rPr>
        <w:t xml:space="preserve">، 2گ (170-169)، جمعاً 27 سطر ، اندازه: 15/5</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38 - 531]</w:t>
      </w:r>
    </w:p>
    <w:p>
      <w:pPr>
        <w:pStyle w:val="Heading3"/>
      </w:pPr>
      <w:bookmarkStart w:id="493" w:name="_Toc15"/>
      <w:r>
        <w:t>ارجوزة فى علم المنطق = القصيدة المصرعة= القصيدة المزدوجة = ميزان النظر = الزجز المنطقى /منطق / عربی</w:t>
      </w:r>
      <w:bookmarkEnd w:id="493"/>
    </w:p>
    <w:p>
      <w:pPr>
        <w:pStyle w:val="BookText"/>
      </w:pPr>
      <w:r>
        <w:rPr>
          <w:rFonts w:ascii="Times New Roman" w:hAnsi="Times New Roman" w:eastAsia="Times New Roman" w:cs="Times New Roman"/>
          <w:lang w:val="en-US" w:bidi="en-US"/>
          <w:color w:val="111111"/>
          <w:sz w:val="28"/>
          <w:szCs w:val="28"/>
          <w:rtl/>
        </w:rPr>
        <w:t xml:space="preserve">urjūzat-un fi 'ilm-il mantiq = al-qaṣīdat-ul muṣra‘a =</w:t>
      </w:r>
    </w:p>
    <w:p>
      <w:pPr>
        <w:pStyle w:val="BookText"/>
      </w:pPr>
      <w:r>
        <w:rPr>
          <w:rFonts w:ascii="Times New Roman" w:hAnsi="Times New Roman" w:eastAsia="Times New Roman" w:cs="Times New Roman"/>
          <w:lang w:val="en-US" w:bidi="en-US"/>
          <w:color w:val="111111"/>
          <w:sz w:val="28"/>
          <w:szCs w:val="28"/>
          <w:rtl/>
        </w:rPr>
        <w:t xml:space="preserve">al-qaṣīdat-ul muzdawaja = mīzān-un naṇar = az-zajz-ul mantiqi</w:t>
      </w:r>
    </w:p>
    <w:p>
      <w:pPr>
        <w:pStyle w:val="BookText"/>
      </w:pPr>
      <w:r>
        <w:rPr>
          <w:rFonts w:ascii="IRNazanin" w:hAnsi="IRNazanin" w:eastAsia="IRNazanin" w:cs="IRNazanin"/>
          <w:lang w:bidi="fa-IR"/>
          <w:color w:val="111111"/>
          <w:sz w:val="28"/>
          <w:szCs w:val="28"/>
          <w:rtl/>
        </w:rPr>
        <w:t xml:space="preserve">ابن سينا حسین بن عبدالله 370؟ - 428 قمری</w:t>
      </w:r>
    </w:p>
    <w:p>
      <w:pPr>
        <w:pStyle w:val="BookText"/>
      </w:pPr>
      <w:r>
        <w:rPr>
          <w:rFonts w:ascii="Times New Roman" w:hAnsi="Times New Roman" w:eastAsia="Times New Roman" w:cs="Times New Roman"/>
          <w:lang w:val="en-US" w:bidi="en-US"/>
          <w:color w:val="111111"/>
          <w:sz w:val="28"/>
          <w:szCs w:val="28"/>
          <w:rtl/>
        </w:rPr>
        <w:t xml:space="preserve">(981 - 1038)ebn-e sīnā, hoseyn ebn-e ‘abd-ol-lāh</w:t>
      </w:r>
    </w:p>
    <w:p>
      <w:pPr>
        <w:pStyle w:val="BookText"/>
      </w:pPr>
      <w:r>
        <w:rPr>
          <w:rFonts w:ascii="IRNazanin" w:hAnsi="IRNazanin" w:eastAsia="IRNazanin" w:cs="IRNazanin"/>
          <w:lang w:bidi="fa-IR"/>
          <w:color w:val="111111"/>
          <w:sz w:val="28"/>
          <w:szCs w:val="28"/>
          <w:rtl/>
        </w:rPr>
        <w:t xml:space="preserve">در آن آمده: «قد سال الشيخ الرئيس السهل *** ذاك الذي تم لديه الفضل» نیز «فیاعلی اجعله ظهر القلب *** حتى اذا بلغت سن اللب».</w:t>
      </w:r>
    </w:p>
    <w:p>
      <w:pPr>
        <w:pStyle w:val="BookText"/>
      </w:pPr>
      <w:r>
        <w:rPr>
          <w:rFonts w:ascii="Amiri" w:hAnsi="Amiri" w:eastAsia="Amiri" w:cs="Amiri"/>
          <w:lang w:bidi="ar-SA"/>
          <w:color w:val="111111"/>
          <w:sz w:val="28"/>
          <w:szCs w:val="28"/>
          <w:rtl/>
        </w:rPr>
        <w:t xml:space="preserve">آغاز: الحمد لله لذى لعبده *** نيل السنا لا له في حمده</w:t>
      </w:r>
    </w:p>
    <w:p>
      <w:pPr>
        <w:pStyle w:val="BookText"/>
      </w:pPr>
      <w:r>
        <w:rPr>
          <w:rFonts w:ascii="Amiri" w:hAnsi="Amiri" w:eastAsia="Amiri" w:cs="Amiri"/>
          <w:lang w:bidi="ar-SA"/>
          <w:color w:val="111111"/>
          <w:sz w:val="28"/>
          <w:szCs w:val="28"/>
          <w:rtl/>
        </w:rPr>
        <w:t xml:space="preserve">انجام: لما حددناه فحد ناقص *** او هو رسم ناقص لا خالص / فلنختم الآن الكتاب حسبما *** فقد نظما العلم فيه نظما</w:t>
      </w:r>
    </w:p>
    <w:p>
      <w:pPr>
        <w:pStyle w:val="BookText"/>
      </w:pPr>
      <w:r>
        <w:rPr>
          <w:rFonts w:ascii="IRNazanin" w:hAnsi="IRNazanin" w:eastAsia="IRNazanin" w:cs="IRNazanin"/>
          <w:lang w:bidi="fa-IR"/>
          <w:color w:val="111111"/>
          <w:sz w:val="28"/>
          <w:szCs w:val="28"/>
          <w:rtl/>
        </w:rPr>
        <w:t xml:space="preserve">چاپ: تهران، مكتبة الجعفری، بی تا؛ در منطق المشرقيين (قاهره: 1910م) شرح و حواشی:</w:t>
      </w:r>
    </w:p>
    <w:p>
      <w:pPr>
        <w:pStyle w:val="BookText"/>
      </w:pPr>
      <w:r>
        <w:rPr>
          <w:rFonts w:ascii="IRNazanin" w:hAnsi="IRNazanin" w:eastAsia="IRNazanin" w:cs="IRNazanin"/>
          <w:lang w:bidi="fa-IR"/>
          <w:color w:val="111111"/>
          <w:sz w:val="28"/>
          <w:szCs w:val="28"/>
          <w:rtl/>
        </w:rPr>
        <w:t xml:space="preserve">1-شرح ارجوزة المنطق سلامه ابراهیم بن احمد (12-)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دانشگاه؛ شماره نسخه: 2106/5</w:t>
      </w:r>
    </w:p>
    <w:p>
      <w:pPr>
        <w:pStyle w:val="BookText"/>
      </w:pPr>
      <w:r>
        <w:rPr>
          <w:rFonts w:ascii="IRNazanin" w:hAnsi="IRNazanin" w:eastAsia="IRNazanin" w:cs="IRNazanin"/>
          <w:lang w:bidi="fa-IR"/>
          <w:color w:val="111111"/>
          <w:sz w:val="28"/>
          <w:szCs w:val="28"/>
          <w:rtl/>
        </w:rPr>
        <w:t xml:space="preserve">خط: نستعلیق بی کا، تا: قرن 11 :کاغذ: سپاهانی، جلد: تیماج تریاکی ،مقوایی 8گ (129 پ (136ر) ، 19 سطر (4/5</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9</w:t>
      </w:r>
      <w:r>
        <w:rPr>
          <w:rFonts w:ascii="Times New Roman" w:hAnsi="Times New Roman" w:eastAsia="Times New Roman" w:cs="Times New Roman"/>
          <w:lang w:val="en-US" w:bidi="en-US"/>
          <w:color w:val="111111"/>
          <w:sz w:val="28"/>
          <w:szCs w:val="28"/>
          <w:rtl/>
        </w:rPr>
        <w:t xml:space="preserve">×19/5</w:t>
      </w:r>
      <w:r>
        <w:rPr>
          <w:rFonts w:ascii="IRNazanin" w:hAnsi="IRNazanin" w:eastAsia="IRNazanin" w:cs="IRNazanin"/>
          <w:lang w:bidi="fa-IR"/>
          <w:color w:val="111111"/>
          <w:sz w:val="28"/>
          <w:szCs w:val="28"/>
          <w:rtl/>
        </w:rPr>
        <w:t xml:space="preserve">سم [ف: 8 - 741]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دانشگاه، شماره نسخه: 3134/5</w:t>
      </w:r>
    </w:p>
    <w:p>
      <w:pPr>
        <w:pStyle w:val="BookText"/>
      </w:pPr>
      <w:r>
        <w:rPr>
          <w:rFonts w:ascii="IRNazanin" w:hAnsi="IRNazanin" w:eastAsia="IRNazanin" w:cs="IRNazanin"/>
          <w:lang w:bidi="fa-IR"/>
          <w:color w:val="111111"/>
          <w:sz w:val="28"/>
          <w:szCs w:val="28"/>
          <w:rtl/>
        </w:rPr>
        <w:t xml:space="preserve">آغاز: بسمله و به توکلی و الحمد الله رب العالمين. .. هذه رسالة منظومة فى المنطق للشيخ الرئيس حجة الحق ابى على الحسين بن عبدالله بن سينا كتبها الى الشيخ الرئيس الفاضل سهل نور الله مضجعها وقد كان اليه منه الابيات.</w:t>
      </w:r>
    </w:p>
    <w:p>
      <w:pPr>
        <w:pStyle w:val="BookText"/>
      </w:pPr>
      <w:r>
        <w:rPr>
          <w:rFonts w:ascii="IRNazanin" w:hAnsi="IRNazanin" w:eastAsia="IRNazanin" w:cs="IRNazanin"/>
          <w:lang w:bidi="fa-IR"/>
          <w:color w:val="111111"/>
          <w:sz w:val="28"/>
          <w:szCs w:val="28"/>
          <w:rtl/>
        </w:rPr>
        <w:t xml:space="preserve">کا: نعمة الله سبزواری اردبیلی، تا: 1031ق؛ کاغذ: سپاهانی، جلد: تیماج سرخ ضربی زرکوب 17گ (215-232)، 20 سطر (5</w:t>
      </w: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 اندازه: 9/5</w:t>
      </w:r>
      <w:r>
        <w:rPr>
          <w:rFonts w:ascii="Times New Roman" w:hAnsi="Times New Roman" w:eastAsia="Times New Roman" w:cs="Times New Roman"/>
          <w:lang w:val="en-US" w:bidi="en-US"/>
          <w:color w:val="111111"/>
          <w:sz w:val="28"/>
          <w:szCs w:val="28"/>
          <w:rtl/>
        </w:rPr>
        <w:t xml:space="preserve">×19/5</w:t>
      </w:r>
      <w:r>
        <w:rPr>
          <w:rFonts w:ascii="IRNazanin" w:hAnsi="IRNazanin" w:eastAsia="IRNazanin" w:cs="IRNazanin"/>
          <w:lang w:bidi="fa-IR"/>
          <w:color w:val="111111"/>
          <w:sz w:val="28"/>
          <w:szCs w:val="28"/>
          <w:rtl/>
        </w:rPr>
        <w:t xml:space="preserve">سم [ف: 11 - 2085]</w:t>
      </w:r>
    </w:p>
    <w:p>
      <w:pPr>
        <w:pStyle w:val="BookText"/>
      </w:pPr>
      <w:r>
        <w:rPr>
          <w:rFonts w:ascii="IRNazanin" w:hAnsi="IRNazanin" w:eastAsia="IRNazanin" w:cs="IRNazanin"/>
          <w:lang w:bidi="fa-IR"/>
          <w:color w:val="111111"/>
          <w:sz w:val="28"/>
          <w:szCs w:val="28"/>
          <w:rtl/>
        </w:rPr>
        <w:t xml:space="preserve">3.تهران؛ دانشگاه؛ شماره نسخه: 8168/2</w:t>
      </w:r>
    </w:p>
    <w:p>
      <w:pPr>
        <w:pStyle w:val="BookText"/>
      </w:pPr>
      <w:r>
        <w:rPr>
          <w:rFonts w:ascii="IRNazanin" w:hAnsi="IRNazanin" w:eastAsia="IRNazanin" w:cs="IRNazanin"/>
          <w:lang w:bidi="fa-IR"/>
          <w:color w:val="111111"/>
          <w:sz w:val="28"/>
          <w:szCs w:val="28"/>
          <w:rtl/>
        </w:rPr>
        <w:t xml:space="preserve">خط ،نسخ، بی کا، تا: قرن 12 :کاغذ: سمرقندی، جلد: تیماج مشکی ضربی منقوش 21 سطر (12/5</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 قطع وزیری، اندازه: 17</w:t>
      </w:r>
      <w:r>
        <w:rPr>
          <w:rFonts w:ascii="Times New Roman" w:hAnsi="Times New Roman" w:eastAsia="Times New Roman" w:cs="Times New Roman"/>
          <w:lang w:val="en-US" w:bidi="en-US"/>
          <w:color w:val="111111"/>
          <w:sz w:val="28"/>
          <w:szCs w:val="28"/>
          <w:rtl/>
        </w:rPr>
        <w:t xml:space="preserve">×27</w:t>
      </w:r>
      <w:r>
        <w:rPr>
          <w:rFonts w:ascii="IRNazanin" w:hAnsi="IRNazanin" w:eastAsia="IRNazanin" w:cs="IRNazanin"/>
          <w:lang w:bidi="fa-IR"/>
          <w:color w:val="111111"/>
          <w:sz w:val="28"/>
          <w:szCs w:val="28"/>
          <w:rtl/>
        </w:rPr>
        <w:t xml:space="preserve">سم [ف: 17 - 46]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تهران؛ مجلس؛ شماره نسخه: 15877/4</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محمدرضا حاجی محمود اصفهانی تا: قرن 13 ؛ رکابه دار؛ جلد: تیماج سرخ 7 ص (192-198)، 25 سطر ، اندازه: 19</w:t>
      </w:r>
      <w:r>
        <w:rPr>
          <w:rFonts w:ascii="Times New Roman" w:hAnsi="Times New Roman" w:eastAsia="Times New Roman" w:cs="Times New Roman"/>
          <w:lang w:val="en-US" w:bidi="en-US"/>
          <w:color w:val="111111"/>
          <w:sz w:val="28"/>
          <w:szCs w:val="28"/>
          <w:rtl/>
        </w:rPr>
        <w:t xml:space="preserve">×30 </w:t>
      </w:r>
      <w:r>
        <w:rPr>
          <w:rFonts w:ascii="IRNazanin" w:hAnsi="IRNazanin" w:eastAsia="IRNazanin" w:cs="IRNazanin"/>
          <w:lang w:bidi="fa-IR"/>
          <w:color w:val="111111"/>
          <w:sz w:val="28"/>
          <w:szCs w:val="28"/>
          <w:rtl/>
        </w:rPr>
        <w:t xml:space="preserve">سم [ف: 44 - 111]</w:t>
      </w:r>
    </w:p>
    <w:p>
      <w:pPr>
        <w:pStyle w:val="BookText"/>
      </w:pPr>
      <w:r>
        <w:rPr>
          <w:rFonts w:ascii="IRNazanin" w:hAnsi="IRNazanin" w:eastAsia="IRNazanin" w:cs="IRNazanin"/>
          <w:lang w:bidi="fa-IR"/>
          <w:color w:val="111111"/>
          <w:sz w:val="28"/>
          <w:szCs w:val="28"/>
          <w:rtl/>
        </w:rPr>
        <w:t xml:space="preserve">5.تهران؛ دانشگاه؛ شماره نسخه: 1149/54</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تعلیق، بی کا، بی تا: کاغذ: سمرقندی کلفت، جلد: تیماج تریاکی ضربی مقوایی 3گ (330 ر -332پ)، 31 سطر ، اندازه:13</w:t>
      </w:r>
      <w:r>
        <w:rPr>
          <w:rFonts w:ascii="Times New Roman" w:hAnsi="Times New Roman" w:eastAsia="Times New Roman" w:cs="Times New Roman"/>
          <w:lang w:val="en-US" w:bidi="en-US"/>
          <w:color w:val="111111"/>
          <w:sz w:val="28"/>
          <w:szCs w:val="28"/>
          <w:rtl/>
        </w:rPr>
        <w:t xml:space="preserve">×23</w:t>
      </w:r>
      <w:r>
        <w:rPr>
          <w:rFonts w:ascii="IRNazanin" w:hAnsi="IRNazanin" w:eastAsia="IRNazanin" w:cs="IRNazanin"/>
          <w:lang w:bidi="fa-IR"/>
          <w:color w:val="111111"/>
          <w:sz w:val="28"/>
          <w:szCs w:val="28"/>
          <w:rtl/>
        </w:rPr>
        <w:t xml:space="preserve">سم [ف: 6 - 2423]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6" w:name="pg20365_259959"/>
    <w:bookmarkEnd w:id="6"/>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تهران؛ دانشگاه؛ شماره نسخه: 2264/33-ف</w:t>
      </w:r>
    </w:p>
    <w:p>
      <w:pPr>
        <w:pStyle w:val="BookText"/>
      </w:pPr>
      <w:r>
        <w:rPr>
          <w:rFonts w:ascii="IRNazanin" w:hAnsi="IRNazanin" w:eastAsia="IRNazanin" w:cs="IRNazanin"/>
          <w:lang w:bidi="fa-IR"/>
          <w:color w:val="111111"/>
          <w:sz w:val="28"/>
          <w:szCs w:val="28"/>
          <w:rtl/>
        </w:rPr>
        <w:t xml:space="preserve">نسخه اصل: ایاصوفیاش 4829 ؛بی کا بی تا[ فیلم ها-ف: 1-663 ]</w:t>
      </w:r>
    </w:p>
    <w:p>
      <w:pPr>
        <w:pStyle w:val="BookText"/>
      </w:pPr>
      <w:r>
        <w:rPr>
          <w:rFonts w:ascii="IRNazanin" w:hAnsi="IRNazanin" w:eastAsia="IRNazanin" w:cs="IRNazanin"/>
          <w:lang w:bidi="fa-IR"/>
          <w:color w:val="111111"/>
          <w:sz w:val="28"/>
          <w:szCs w:val="28"/>
          <w:rtl/>
        </w:rPr>
        <w:t xml:space="preserve">7.تهران؛ دانشگاه؛ شماره نسخه: 1686/5- ف</w:t>
      </w:r>
    </w:p>
    <w:p>
      <w:pPr>
        <w:pStyle w:val="BookText"/>
      </w:pPr>
      <w:r>
        <w:rPr>
          <w:rFonts w:ascii="IRNazanin" w:hAnsi="IRNazanin" w:eastAsia="IRNazanin" w:cs="IRNazanin"/>
          <w:lang w:bidi="fa-IR"/>
          <w:color w:val="111111"/>
          <w:sz w:val="28"/>
          <w:szCs w:val="28"/>
          <w:rtl/>
        </w:rPr>
        <w:t xml:space="preserve">نسخه اصل: لیدن 184 .</w:t>
      </w:r>
      <w:r>
        <w:rPr>
          <w:rFonts w:ascii="Times New Roman" w:hAnsi="Times New Roman" w:eastAsia="Times New Roman" w:cs="Times New Roman"/>
          <w:lang w:val="en-US" w:bidi="en-US"/>
          <w:color w:val="111111"/>
          <w:sz w:val="28"/>
          <w:szCs w:val="28"/>
          <w:rtl/>
        </w:rPr>
        <w:t xml:space="preserve">cod. or (</w:t>
      </w:r>
      <w:r>
        <w:rPr>
          <w:rFonts w:ascii="IRNazanin" w:hAnsi="IRNazanin" w:eastAsia="IRNazanin" w:cs="IRNazanin"/>
          <w:lang w:bidi="fa-IR"/>
          <w:color w:val="111111"/>
          <w:sz w:val="28"/>
          <w:szCs w:val="28"/>
          <w:rtl/>
        </w:rPr>
        <w:t xml:space="preserve">ش 1458)  بی کا، بی تا: [فیلم ها:</w:t>
      </w:r>
    </w:p>
    <w:p>
      <w:pPr>
        <w:pStyle w:val="BookText"/>
      </w:pPr>
      <w:r>
        <w:rPr>
          <w:rFonts w:ascii="IRNazanin" w:hAnsi="IRNazanin" w:eastAsia="IRNazanin" w:cs="IRNazanin"/>
          <w:lang w:bidi="fa-IR"/>
          <w:color w:val="111111"/>
          <w:sz w:val="28"/>
          <w:szCs w:val="28"/>
          <w:rtl/>
        </w:rPr>
        <w:t xml:space="preserve">ف: 1 - 626]</w:t>
      </w:r>
    </w:p>
    <w:p>
      <w:pPr>
        <w:pStyle w:val="BookText"/>
      </w:pPr>
      <w:r>
        <w:rPr>
          <w:rFonts w:ascii="Amiri" w:hAnsi="Amiri" w:eastAsia="Amiri" w:cs="Amiri"/>
          <w:lang w:bidi="ar-SA"/>
          <w:color w:val="111111"/>
          <w:sz w:val="28"/>
          <w:szCs w:val="28"/>
          <w:rtl/>
        </w:rPr>
        <w:t xml:space="preserve">« ارجوزة فى الفقه » نظم القواعد الاحام</w:t>
      </w:r>
    </w:p>
    <w:p>
      <w:pPr>
        <w:pStyle w:val="BookText"/>
      </w:pPr>
      <w:r>
        <w:rPr>
          <w:rFonts w:ascii="Amiri" w:hAnsi="Amiri" w:eastAsia="Amiri" w:cs="Amiri"/>
          <w:lang w:bidi="ar-SA"/>
          <w:color w:val="111111"/>
          <w:sz w:val="28"/>
          <w:szCs w:val="28"/>
          <w:rtl/>
        </w:rPr>
        <w:t xml:space="preserve">«ارجوزة فى الفقه » زبد الفقه</w:t>
      </w:r>
    </w:p>
    <w:p>
      <w:pPr>
        <w:pStyle w:val="Heading3"/>
      </w:pPr>
      <w:bookmarkStart w:id="494" w:name="_Toc16"/>
      <w:r>
        <w:t>ارجوزة فى الفلك = صور الكواكب = ارجوزة فی- الكواكب / هیئت / عربی – فارسی</w:t>
      </w:r>
      <w:bookmarkEnd w:id="494"/>
    </w:p>
    <w:p>
      <w:pPr>
        <w:pStyle w:val="BookText"/>
      </w:pPr>
      <w:r>
        <w:rPr>
          <w:rFonts w:ascii="Times New Roman" w:hAnsi="Times New Roman" w:eastAsia="Times New Roman" w:cs="Times New Roman"/>
          <w:lang w:val="en-US" w:bidi="en-US"/>
          <w:color w:val="111111"/>
          <w:sz w:val="28"/>
          <w:szCs w:val="28"/>
          <w:rtl/>
        </w:rPr>
        <w:t xml:space="preserve">urjūzat-un fi-l falak = ṣuwar-ul kawākib = urjūzat-un</w:t>
      </w:r>
    </w:p>
    <w:p>
      <w:pPr>
        <w:pStyle w:val="BookText"/>
      </w:pPr>
      <w:r>
        <w:rPr>
          <w:rFonts w:ascii="Times New Roman" w:hAnsi="Times New Roman" w:eastAsia="Times New Roman" w:cs="Times New Roman"/>
          <w:lang w:val="en-US" w:bidi="en-US"/>
          <w:color w:val="111111"/>
          <w:sz w:val="28"/>
          <w:szCs w:val="28"/>
          <w:rtl/>
        </w:rPr>
        <w:t xml:space="preserve">fi-l kawākib</w:t>
      </w:r>
    </w:p>
    <w:p>
      <w:pPr>
        <w:pStyle w:val="BookText"/>
      </w:pPr>
      <w:r>
        <w:rPr>
          <w:rFonts w:ascii="IRNazanin" w:hAnsi="IRNazanin" w:eastAsia="IRNazanin" w:cs="IRNazanin"/>
          <w:lang w:bidi="fa-IR"/>
          <w:color w:val="111111"/>
          <w:sz w:val="28"/>
          <w:szCs w:val="28"/>
          <w:rtl/>
        </w:rPr>
        <w:t xml:space="preserve">صوفی، عبدالرحمن بن عمر، 291 - 376 قمری</w:t>
      </w:r>
    </w:p>
    <w:p>
      <w:pPr>
        <w:pStyle w:val="BookText"/>
      </w:pPr>
      <w:r>
        <w:rPr>
          <w:rFonts w:ascii="Times New Roman" w:hAnsi="Times New Roman" w:eastAsia="Times New Roman" w:cs="Times New Roman"/>
          <w:lang w:val="en-US" w:bidi="en-US"/>
          <w:color w:val="111111"/>
          <w:sz w:val="28"/>
          <w:szCs w:val="28"/>
          <w:rtl/>
        </w:rPr>
        <w:t xml:space="preserve">(905 - 987)sūfī, ‘abd-or-rahmān ebn-e ‘omar</w:t>
      </w:r>
    </w:p>
    <w:p>
      <w:pPr>
        <w:pStyle w:val="BookText"/>
      </w:pPr>
      <w:r>
        <w:rPr>
          <w:rFonts w:ascii="IRNazanin" w:hAnsi="IRNazanin" w:eastAsia="IRNazanin" w:cs="IRNazanin"/>
          <w:lang w:bidi="fa-IR"/>
          <w:color w:val="111111"/>
          <w:sz w:val="28"/>
          <w:szCs w:val="28"/>
          <w:rtl/>
        </w:rPr>
        <w:t xml:space="preserve">از «ابوالحسن الصوفی» که بایستی عبدالرحمان بن عمر بن سهل صوفی رازی باشد. آغاز نسخه حاضر افتاده و نام منظومه پایانه «رساله ابی الحسن الصوفی» آمده است. ارجوزه ای است به عربی و در میانه بندهایی به فارسی گزارش گونه و مصور.</w:t>
      </w:r>
    </w:p>
    <w:p>
      <w:pPr>
        <w:pStyle w:val="BookText"/>
      </w:pPr>
      <w:r>
        <w:rPr>
          <w:rFonts w:ascii="IRNazanin" w:hAnsi="IRNazanin" w:eastAsia="IRNazanin" w:cs="IRNazanin"/>
          <w:lang w:bidi="fa-IR"/>
          <w:color w:val="111111"/>
          <w:sz w:val="28"/>
          <w:szCs w:val="28"/>
          <w:rtl/>
        </w:rPr>
        <w:t xml:space="preserve">برای نشانی: «صورت الحوت. فقد ذكرنا صورت البروج *** هاهنا نبدى بالخروج / الى نجوم صورت الجنوب *** فنذكر الان على الترتيب. اوهن حيوان مجرى ذو [؟].» جای دیگر «صور الكرسى دهم شمالی» و ابتدای این صورت او درجه پنجاه دقیقه پیش آینده.</w:t>
      </w:r>
    </w:p>
    <w:p>
      <w:pPr>
        <w:pStyle w:val="BookText"/>
      </w:pPr>
      <w:r>
        <w:rPr>
          <w:rFonts w:ascii="IRNazanin" w:hAnsi="IRNazanin" w:eastAsia="IRNazanin" w:cs="IRNazanin"/>
          <w:lang w:bidi="fa-IR"/>
          <w:color w:val="111111"/>
          <w:sz w:val="28"/>
          <w:szCs w:val="28"/>
          <w:rtl/>
        </w:rPr>
        <w:t xml:space="preserve">چاپ: بیروت، دار الآفاق الجديدة، 31ص، 1401ق.</w:t>
      </w:r>
    </w:p>
    <w:p>
      <w:pPr>
        <w:pStyle w:val="BookText"/>
      </w:pPr>
      <w:r>
        <w:rPr>
          <w:rFonts w:ascii="IRNazanin" w:hAnsi="IRNazanin" w:eastAsia="IRNazanin" w:cs="IRNazanin"/>
          <w:lang w:bidi="fa-IR"/>
          <w:color w:val="111111"/>
          <w:sz w:val="28"/>
          <w:szCs w:val="28"/>
          <w:rtl/>
        </w:rPr>
        <w:t xml:space="preserve">[زرکلی 319/3 ضمن برشمردن چند کارش از «ارجوزة فى الفلك» به نام «صور الكواكب السماويه» نام برده است؛ حاجی خلیفه 1084/2 از «صور الكواكب» او که برای عضدالدوله (دیلمی) نگاشته یاد می کند ،بغدادی هدیه- 814/2 که دو کار او در این زمینه یاد می کند: «ارجوزة فى الكواكب الثابة» «الكواكب مصور» ،نسخه در دست می تواند همان ارجوزه باشد.]</w:t>
      </w:r>
    </w:p>
    <w:p>
      <w:pPr>
        <w:pStyle w:val="BookText"/>
      </w:pPr>
      <w:r>
        <w:rPr>
          <w:rFonts w:ascii="IRNazanin" w:hAnsi="IRNazanin" w:eastAsia="IRNazanin" w:cs="IRNazanin"/>
          <w:lang w:bidi="fa-IR"/>
          <w:color w:val="111111"/>
          <w:sz w:val="28"/>
          <w:szCs w:val="28"/>
          <w:rtl/>
        </w:rPr>
        <w:t xml:space="preserve">تهران؛ دائرة المعارف؛ شماره نسخه: 202/23 عکسی</w:t>
      </w:r>
    </w:p>
    <w:p>
      <w:pPr>
        <w:pStyle w:val="BookText"/>
      </w:pPr>
      <w:r>
        <w:rPr>
          <w:rFonts w:ascii="Amiri" w:hAnsi="Amiri" w:eastAsia="Amiri" w:cs="Amiri"/>
          <w:lang w:bidi="ar-SA"/>
          <w:color w:val="111111"/>
          <w:sz w:val="28"/>
          <w:szCs w:val="28"/>
          <w:rtl/>
        </w:rPr>
        <w:t xml:space="preserve">آغاز: صورت الدب الأصغر. افق الشمالي. و بعد القديم المنشرة.</w:t>
      </w:r>
    </w:p>
    <w:p>
      <w:pPr>
        <w:pStyle w:val="BookText"/>
      </w:pPr>
      <w:r>
        <w:rPr>
          <w:rFonts w:ascii="IRNazanin" w:hAnsi="IRNazanin" w:eastAsia="IRNazanin" w:cs="IRNazanin"/>
          <w:lang w:bidi="fa-IR"/>
          <w:color w:val="111111"/>
          <w:sz w:val="28"/>
          <w:szCs w:val="28"/>
          <w:rtl/>
        </w:rPr>
        <w:t xml:space="preserve">این شش دقیقه جوزاست تا سیزده درجه سلطان. كواكب تتبعها كثيرة *** اجرامها زاهرة منيرة؛ انجام: يعرفها الاعراب مالنحوية*** يعبونها متروكة من دونه / بذكره و الدنا في كيته *** فليجعها عدت من لريه. تمت الرسالة ابى الحسن الصوفى (رح) و الحمد وحدة والصلاة والسلام على سيدنا محمد آله</w:t>
      </w:r>
    </w:p>
    <w:p>
      <w:pPr>
        <w:pStyle w:val="BookText"/>
      </w:pPr>
      <w:r>
        <w:rPr>
          <w:rFonts w:ascii="Amiri" w:hAnsi="Amiri" w:eastAsia="Amiri" w:cs="Amiri"/>
          <w:lang w:bidi="ar-SA"/>
          <w:color w:val="111111"/>
          <w:sz w:val="28"/>
          <w:szCs w:val="28"/>
          <w:rtl/>
        </w:rPr>
        <w:t xml:space="preserve">اجمعين.</w:t>
      </w:r>
    </w:p>
    <w:p>
      <w:pPr>
        <w:pStyle w:val="BookText"/>
      </w:pPr>
      <w:r>
        <w:rPr>
          <w:rFonts w:ascii="IRNazanin" w:hAnsi="IRNazanin" w:eastAsia="IRNazanin" w:cs="IRNazanin"/>
          <w:lang w:bidi="fa-IR"/>
          <w:color w:val="111111"/>
          <w:sz w:val="28"/>
          <w:szCs w:val="28"/>
          <w:rtl/>
        </w:rPr>
        <w:t xml:space="preserve">اصل نسخه: گنج بخشش 745 ؛خط: نستعلیق تحریری، بی کا، قرن 11 و 12؛ نستعلیق تحریری شکسته آمیز [ عکسی ف: 2-17]</w:t>
      </w:r>
    </w:p>
    <w:p>
      <w:pPr>
        <w:pStyle w:val="BookText"/>
      </w:pPr>
      <w:r>
        <w:rPr>
          <w:rFonts w:ascii="Amiri" w:hAnsi="Amiri" w:eastAsia="Amiri" w:cs="Amiri"/>
          <w:lang w:bidi="ar-SA"/>
          <w:color w:val="111111"/>
          <w:sz w:val="28"/>
          <w:szCs w:val="28"/>
          <w:rtl/>
        </w:rPr>
        <w:t xml:space="preserve">« ارجوزة فى الكواكب » ارجوزة في الفلكب</w:t>
      </w:r>
    </w:p>
    <w:p>
      <w:pPr>
        <w:pStyle w:val="BookText"/>
      </w:pPr>
      <w:r>
        <w:rPr>
          <w:rFonts w:ascii="Amiri" w:hAnsi="Amiri" w:eastAsia="Amiri" w:cs="Amiri"/>
          <w:lang w:bidi="ar-SA"/>
          <w:color w:val="111111"/>
          <w:sz w:val="28"/>
          <w:szCs w:val="28"/>
          <w:rtl/>
        </w:rPr>
        <w:t xml:space="preserve">«ارجوزة فى المثلثات اللغوية » المنظومة السنية في بيان الاسماء اللغوية</w:t>
      </w:r>
    </w:p>
    <w:p>
      <w:pPr>
        <w:pStyle w:val="BookText"/>
      </w:pPr>
      <w:r>
        <w:rPr>
          <w:rFonts w:ascii="Amiri" w:hAnsi="Amiri" w:eastAsia="Amiri" w:cs="Amiri"/>
          <w:lang w:bidi="ar-SA"/>
          <w:color w:val="111111"/>
          <w:sz w:val="28"/>
          <w:szCs w:val="28"/>
          <w:rtl/>
        </w:rPr>
        <w:t xml:space="preserve">«ارجوزة فى المنطق » الشريفية</w:t>
      </w:r>
    </w:p>
    <w:p>
      <w:pPr>
        <w:pStyle w:val="BookText"/>
      </w:pPr>
      <w:r>
        <w:rPr>
          <w:rFonts w:ascii="Amiri" w:hAnsi="Amiri" w:eastAsia="Amiri" w:cs="Amiri"/>
          <w:lang w:bidi="ar-SA"/>
          <w:color w:val="111111"/>
          <w:sz w:val="28"/>
          <w:szCs w:val="28"/>
          <w:rtl/>
        </w:rPr>
        <w:t xml:space="preserve">«ارجوزة فى المنطق » تحفة المبتدى</w:t>
      </w:r>
    </w:p>
    <w:p>
      <w:pPr>
        <w:pStyle w:val="BookText"/>
      </w:pPr>
      <w:r>
        <w:rPr>
          <w:rFonts w:ascii="Amiri" w:hAnsi="Amiri" w:eastAsia="Amiri" w:cs="Amiri"/>
          <w:lang w:bidi="ar-SA"/>
          <w:color w:val="111111"/>
          <w:sz w:val="28"/>
          <w:szCs w:val="28"/>
          <w:rtl/>
        </w:rPr>
        <w:t xml:space="preserve">«ارجوزة فى الميراث » خلاصة الابحاث في مسائل الميراث</w:t>
      </w:r>
    </w:p>
    <w:p>
      <w:pPr>
        <w:pStyle w:val="BookText"/>
      </w:pPr>
      <w:r>
        <w:rPr>
          <w:rFonts w:ascii="IRNazanin" w:hAnsi="IRNazanin" w:eastAsia="IRNazanin" w:cs="IRNazanin"/>
          <w:lang w:bidi="fa-IR"/>
          <w:color w:val="111111"/>
          <w:sz w:val="28"/>
          <w:szCs w:val="28"/>
          <w:rtl/>
        </w:rPr>
        <w:t xml:space="preserve">«ارجوزة فى الميراث » فرهنگ لغت</w:t>
      </w:r>
    </w:p>
    <w:p>
      <w:pPr>
        <w:pStyle w:val="BookText"/>
      </w:pPr>
      <w:r>
        <w:rPr>
          <w:rFonts w:ascii="IRNazanin" w:hAnsi="IRNazanin" w:eastAsia="IRNazanin" w:cs="IRNazanin"/>
          <w:lang w:bidi="fa-IR"/>
          <w:color w:val="111111"/>
          <w:sz w:val="28"/>
          <w:szCs w:val="28"/>
          <w:rtl/>
        </w:rPr>
        <w:t xml:space="preserve">«ارجوزة فى مواليد الائمة ووفياتهم و مناقبهم » تاریخ المعصومين</w:t>
      </w:r>
    </w:p>
    <w:p>
      <w:pPr>
        <w:pStyle w:val="BookText"/>
      </w:pPr>
      <w:r>
        <w:rPr>
          <w:rFonts w:ascii="Amiri" w:hAnsi="Amiri" w:eastAsia="Amiri" w:cs="Amiri"/>
          <w:lang w:bidi="ar-SA"/>
          <w:color w:val="111111"/>
          <w:sz w:val="28"/>
          <w:szCs w:val="28"/>
          <w:rtl/>
        </w:rPr>
        <w:t xml:space="preserve">« ارجوزة في النجوم » منازل القمر (ارجوزة)</w:t>
      </w:r>
    </w:p>
    <w:p>
      <w:pPr>
        <w:pStyle w:val="BookText"/>
      </w:pPr>
      <w:r>
        <w:rPr>
          <w:rFonts w:ascii="Amiri" w:hAnsi="Amiri" w:eastAsia="Amiri" w:cs="Amiri"/>
          <w:lang w:bidi="ar-SA"/>
          <w:color w:val="111111"/>
          <w:sz w:val="28"/>
          <w:szCs w:val="28"/>
          <w:rtl/>
        </w:rPr>
        <w:t xml:space="preserve">«ارجوزة فى النحو » الالفية في الاعراب</w:t>
      </w:r>
    </w:p>
    <w:p>
      <w:pPr>
        <w:pStyle w:val="BookText"/>
      </w:pPr>
      <w:r>
        <w:rPr>
          <w:rFonts w:ascii="Amiri" w:hAnsi="Amiri" w:eastAsia="Amiri" w:cs="Amiri"/>
          <w:lang w:bidi="ar-SA"/>
          <w:color w:val="111111"/>
          <w:sz w:val="28"/>
          <w:szCs w:val="28"/>
          <w:rtl/>
        </w:rPr>
        <w:t xml:space="preserve">«ارجوزة فى النحو » الالفية</w:t>
      </w:r>
    </w:p>
    <w:p>
      <w:pPr>
        <w:pStyle w:val="BookText"/>
      </w:pPr>
      <w:r>
        <w:rPr>
          <w:rFonts w:ascii="Amiri" w:hAnsi="Amiri" w:eastAsia="Amiri" w:cs="Amiri"/>
          <w:lang w:bidi="ar-SA"/>
          <w:color w:val="111111"/>
          <w:sz w:val="28"/>
          <w:szCs w:val="28"/>
          <w:rtl/>
        </w:rPr>
        <w:t xml:space="preserve">«ارجوزه فى النحو » منظومه في الحروف</w:t>
      </w:r>
    </w:p>
    <w:p>
      <w:pPr>
        <w:pStyle w:val="Heading3"/>
      </w:pPr>
      <w:bookmarkStart w:id="495" w:name="_Toc17"/>
      <w:r>
        <w:t>ارجوزة فى الوصايا = نصائح طبية منظومة / طب/عربی</w:t>
      </w:r>
      <w:bookmarkEnd w:id="495"/>
    </w:p>
    <w:p>
      <w:pPr>
        <w:pStyle w:val="BookText"/>
      </w:pPr>
      <w:r>
        <w:rPr>
          <w:rFonts w:ascii="Times New Roman" w:hAnsi="Times New Roman" w:eastAsia="Times New Roman" w:cs="Times New Roman"/>
          <w:lang w:val="en-US" w:bidi="en-US"/>
          <w:color w:val="111111"/>
          <w:sz w:val="28"/>
          <w:szCs w:val="28"/>
          <w:rtl/>
        </w:rPr>
        <w:t xml:space="preserve">urjūzat-un fi-l waṣāyā = naṣāyiḥ-un ṭibbīyat-un</w:t>
      </w:r>
    </w:p>
    <w:p>
      <w:pPr>
        <w:pStyle w:val="BookText"/>
      </w:pPr>
      <w:r>
        <w:rPr>
          <w:rFonts w:ascii="Times New Roman" w:hAnsi="Times New Roman" w:eastAsia="Times New Roman" w:cs="Times New Roman"/>
          <w:lang w:val="en-US" w:bidi="en-US"/>
          <w:color w:val="111111"/>
          <w:sz w:val="28"/>
          <w:szCs w:val="28"/>
          <w:rtl/>
        </w:rPr>
        <w:t xml:space="preserve">manẓūma</w:t>
      </w:r>
    </w:p>
    <w:p>
      <w:pPr>
        <w:pStyle w:val="BookText"/>
      </w:pPr>
      <w:r>
        <w:rPr>
          <w:rFonts w:ascii="IRNazanin" w:hAnsi="IRNazanin" w:eastAsia="IRNazanin" w:cs="IRNazanin"/>
          <w:lang w:bidi="fa-IR"/>
          <w:color w:val="111111"/>
          <w:sz w:val="28"/>
          <w:szCs w:val="28"/>
          <w:rtl/>
        </w:rPr>
        <w:t xml:space="preserve">ابن سينا حسین بن عبد الله 370؟ - 428 قمری</w:t>
      </w:r>
    </w:p>
    <w:p>
      <w:pPr>
        <w:pStyle w:val="BookText"/>
      </w:pPr>
      <w:r>
        <w:rPr>
          <w:rFonts w:ascii="Times New Roman" w:hAnsi="Times New Roman" w:eastAsia="Times New Roman" w:cs="Times New Roman"/>
          <w:lang w:val="en-US" w:bidi="en-US"/>
          <w:color w:val="111111"/>
          <w:sz w:val="28"/>
          <w:szCs w:val="28"/>
          <w:rtl/>
        </w:rPr>
        <w:t xml:space="preserve">(981 - 1038)ebn-e sīnā, hoseyn ebn-e 'abd-ol-lah</w:t>
      </w:r>
    </w:p>
    <w:p>
      <w:pPr>
        <w:pStyle w:val="BookText"/>
      </w:pPr>
      <w:r>
        <w:rPr>
          <w:rFonts w:ascii="IRNazanin" w:hAnsi="IRNazanin" w:eastAsia="IRNazanin" w:cs="IRNazanin"/>
          <w:lang w:bidi="fa-IR"/>
          <w:color w:val="111111"/>
          <w:sz w:val="28"/>
          <w:szCs w:val="28"/>
          <w:rtl/>
        </w:rPr>
        <w:t xml:space="preserve">منظومه ای در ابیات مختلف در بیان دستورات طبی که خود تجربه کرده و نیز آثار و خواص رؤیت برخی ستاره ها و کواکب بیان این که دیدن فلان کوکب و ستاره چه تاثیر و خاصیتی بر جای می گذارد. قنواتی به شماره 113 و مهدوی در صفحه 27 فهرست خود آن را یاد کرده اند.</w:t>
      </w:r>
    </w:p>
    <w:p>
      <w:pPr>
        <w:pStyle w:val="BookText"/>
      </w:pPr>
      <w:r>
        <w:rPr>
          <w:rFonts w:ascii="IRNazanin" w:hAnsi="IRNazanin" w:eastAsia="IRNazanin" w:cs="IRNazanin"/>
          <w:lang w:bidi="fa-IR"/>
          <w:color w:val="111111"/>
          <w:sz w:val="28"/>
          <w:szCs w:val="28"/>
          <w:rtl/>
        </w:rPr>
        <w:t xml:space="preserve">[مخطوطات الطب الاسلامي 57 ؛ الذريعة 495/1 ؛مصنفات ابن سینا: 27؛ مجمع علمى العراقى 248/3 و 267/3؛ الطب الصيدلية ص 18 و 19 و 20 و 21 الاوقاف العامة موصل 241/2 ؛فهرستواره منزوی 3996/5 همانجا 3656</w:t>
      </w:r>
    </w:p>
    <w:p>
      <w:pPr>
        <w:pStyle w:val="BookText"/>
      </w:pPr>
      <w:r>
        <w:rPr>
          <w:rFonts w:ascii="IRNazanin" w:hAnsi="IRNazanin" w:eastAsia="IRNazanin" w:cs="IRNazanin"/>
          <w:lang w:bidi="fa-IR"/>
          <w:color w:val="111111"/>
          <w:sz w:val="28"/>
          <w:szCs w:val="28"/>
          <w:rtl/>
        </w:rPr>
        <w:t xml:space="preserve">«طب منظوم ارجوزه»]</w:t>
      </w:r>
    </w:p>
    <w:p>
      <w:pPr>
        <w:pStyle w:val="BookText"/>
      </w:pPr>
      <w:r>
        <w:rPr>
          <w:rFonts w:ascii="IRNazanin" w:hAnsi="IRNazanin" w:eastAsia="IRNazanin" w:cs="IRNazanin"/>
          <w:lang w:bidi="fa-IR"/>
          <w:color w:val="111111"/>
          <w:sz w:val="28"/>
          <w:szCs w:val="28"/>
          <w:rtl/>
        </w:rPr>
        <w:t xml:space="preserve">تهران؛ دانشگاه؛ شماره نسخه: 1149/47</w:t>
      </w:r>
    </w:p>
    <w:p>
      <w:pPr>
        <w:pStyle w:val="BookText"/>
      </w:pPr>
      <w:r>
        <w:rPr>
          <w:rFonts w:ascii="IRNazanin" w:hAnsi="IRNazanin" w:eastAsia="IRNazanin" w:cs="IRNazanin"/>
          <w:lang w:bidi="fa-IR"/>
          <w:color w:val="111111"/>
          <w:sz w:val="28"/>
          <w:szCs w:val="28"/>
          <w:rtl/>
        </w:rPr>
        <w:t xml:space="preserve">آغاز: بسمله اول یوم تنزل الشمس الحمل *** تشرب ماء فاترا على عجل / و ان تدع فيه شراب الورد *** تامن من الحمى و نغص البرد؛ انجام: و ضف اليها رطل سكرى *** مبتل بدهن لوز اخضر / و طيبه الانس مع النكاح *** مع كل كاعبة رداح. (تمت ارجوزة الشيخ الرئيس ابن سينا بحمدالله و عونه و حسن توفیقه)</w:t>
      </w:r>
    </w:p>
    <w:p>
      <w:pPr>
        <w:pStyle w:val="BookText"/>
      </w:pPr>
      <w:r>
        <w:rPr>
          <w:rFonts w:ascii="IRNazanin" w:hAnsi="IRNazanin" w:eastAsia="IRNazanin" w:cs="IRNazanin"/>
          <w:lang w:bidi="fa-IR"/>
          <w:color w:val="111111"/>
          <w:sz w:val="28"/>
          <w:szCs w:val="28"/>
          <w:rtl/>
        </w:rPr>
        <w:t xml:space="preserve">خط: تعلیق بی کا، بی تا: کاغذ: سمرقندی کلفت، جلد» تیماج تریاکی ضربی مقوایی 1گ( 315 پ و ر)، 31 سطر ، اندازه: 13 </w:t>
      </w:r>
      <w:r>
        <w:rPr>
          <w:rFonts w:ascii="Times New Roman" w:hAnsi="Times New Roman" w:eastAsia="Times New Roman" w:cs="Times New Roman"/>
          <w:lang w:val="en-US" w:bidi="en-US"/>
          <w:color w:val="111111"/>
          <w:sz w:val="28"/>
          <w:szCs w:val="28"/>
          <w:rtl/>
        </w:rPr>
        <w:t xml:space="preserve">×23</w:t>
      </w:r>
      <w:r>
        <w:rPr>
          <w:rFonts w:ascii="IRNazanin" w:hAnsi="IRNazanin" w:eastAsia="IRNazanin" w:cs="IRNazanin"/>
          <w:lang w:bidi="fa-IR"/>
          <w:color w:val="111111"/>
          <w:sz w:val="28"/>
          <w:szCs w:val="28"/>
          <w:rtl/>
        </w:rPr>
        <w:t xml:space="preserve">سم [ف: 6 - 2420]</w:t>
      </w:r>
    </w:p>
    <w:p>
      <w:pPr>
        <w:pStyle w:val="Heading3"/>
      </w:pPr>
      <w:bookmarkStart w:id="496" w:name="_Toc18"/>
      <w:r>
        <w:t>ارجوزة القارب / شعر / عربي</w:t>
      </w:r>
      <w:bookmarkEnd w:id="496"/>
    </w:p>
    <w:p>
      <w:pPr>
        <w:pStyle w:val="BookText"/>
      </w:pPr>
      <w:r>
        <w:rPr>
          <w:rFonts w:ascii="Times New Roman" w:hAnsi="Times New Roman" w:eastAsia="Times New Roman" w:cs="Times New Roman"/>
          <w:lang w:val="en-US" w:bidi="en-US"/>
          <w:color w:val="111111"/>
          <w:sz w:val="28"/>
          <w:szCs w:val="28"/>
          <w:rtl/>
        </w:rPr>
        <w:t xml:space="preserve">urjūzat-ul-qārib</w:t>
      </w:r>
    </w:p>
    <w:p>
      <w:pPr>
        <w:pStyle w:val="BookText"/>
      </w:pPr>
      <w:r>
        <w:rPr>
          <w:rFonts w:ascii="IRNazanin" w:hAnsi="IRNazanin" w:eastAsia="IRNazanin" w:cs="IRNazanin"/>
          <w:lang w:bidi="fa-IR"/>
          <w:color w:val="111111"/>
          <w:sz w:val="28"/>
          <w:szCs w:val="28"/>
          <w:rtl/>
        </w:rPr>
        <w:t xml:space="preserve">منسوب به علی بن ابی طالب (علیه السّلام)، امام اول، - 40 قمری</w:t>
      </w:r>
    </w:p>
    <w:p>
      <w:pPr>
        <w:pStyle w:val="BookText"/>
      </w:pPr>
      <w:r>
        <w:rPr>
          <w:rFonts w:ascii="Times New Roman" w:hAnsi="Times New Roman" w:eastAsia="Times New Roman" w:cs="Times New Roman"/>
          <w:lang w:val="en-US" w:bidi="en-US"/>
          <w:color w:val="111111"/>
          <w:sz w:val="28"/>
          <w:szCs w:val="28"/>
          <w:rtl/>
        </w:rPr>
        <w:t xml:space="preserve">(-661)'alī ebn-e abī tāleb, emām-e avval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7" w:name="pg20365_259960"/>
    <w:bookmarkEnd w:id="7"/>
    <w:p>
      <w:pPr>
        <w:pStyle w:val="BookText"/>
      </w:pPr>
      <w:r>
        <w:rPr>
          <w:rFonts w:ascii="IRNazanin" w:hAnsi="IRNazanin" w:eastAsia="IRNazanin" w:cs="IRNazanin"/>
          <w:lang w:bidi="fa-IR"/>
          <w:color w:val="111111"/>
          <w:sz w:val="28"/>
          <w:szCs w:val="28"/>
          <w:rtl/>
        </w:rPr>
        <w:t xml:space="preserve">متن کامل ارجوزه القارب منسوب به امام علی بن ابی طالب(علیه السّلام)</w:t>
      </w:r>
    </w:p>
    <w:p>
      <w:pPr>
        <w:pStyle w:val="BookText"/>
      </w:pPr>
      <w:r>
        <w:rPr>
          <w:rFonts w:ascii="IRNazanin" w:hAnsi="IRNazanin" w:eastAsia="IRNazanin" w:cs="IRNazanin"/>
          <w:lang w:bidi="fa-IR"/>
          <w:color w:val="111111"/>
          <w:sz w:val="28"/>
          <w:szCs w:val="28"/>
          <w:rtl/>
        </w:rPr>
        <w:t xml:space="preserve">این منظومه داری 49 بیت است .</w:t>
      </w:r>
    </w:p>
    <w:p>
      <w:pPr>
        <w:pStyle w:val="BookText"/>
      </w:pPr>
      <w:r>
        <w:rPr>
          <w:rFonts w:ascii="IRNazanin" w:hAnsi="IRNazanin" w:eastAsia="IRNazanin" w:cs="IRNazanin"/>
          <w:lang w:bidi="fa-IR"/>
          <w:color w:val="111111"/>
          <w:sz w:val="28"/>
          <w:szCs w:val="28"/>
          <w:rtl/>
        </w:rPr>
        <w:t xml:space="preserve">تهران؛ مجلس؛ شماره :نسخه : 370/1-طباطبائی</w:t>
      </w:r>
    </w:p>
    <w:p>
      <w:pPr>
        <w:pStyle w:val="BookText"/>
      </w:pPr>
      <w:r>
        <w:rPr>
          <w:rFonts w:ascii="Amiri" w:hAnsi="Amiri" w:eastAsia="Amiri" w:cs="Amiri"/>
          <w:lang w:bidi="ar-SA"/>
          <w:color w:val="111111"/>
          <w:sz w:val="28"/>
          <w:szCs w:val="28"/>
          <w:rtl/>
        </w:rPr>
        <w:t xml:space="preserve">آغاز: الشرطين فهو راس الحمل *** اذا بدا في وقته المعتدل ؛</w:t>
      </w:r>
    </w:p>
    <w:p>
      <w:pPr>
        <w:pStyle w:val="BookText"/>
      </w:pPr>
      <w:r>
        <w:rPr>
          <w:rFonts w:ascii="Amiri" w:hAnsi="Amiri" w:eastAsia="Amiri" w:cs="Amiri"/>
          <w:lang w:bidi="ar-SA"/>
          <w:color w:val="111111"/>
          <w:sz w:val="28"/>
          <w:szCs w:val="28"/>
          <w:rtl/>
        </w:rPr>
        <w:t xml:space="preserve">انجام: هذالذي قرره اهل الرصد *** عن الامام المرتضى لقد ورد/ والحمد لله على ما انعما *** ثم له الشكر على ما الهما</w:t>
      </w:r>
    </w:p>
    <w:p>
      <w:pPr>
        <w:pStyle w:val="BookText"/>
      </w:pPr>
      <w:r>
        <w:rPr>
          <w:rFonts w:ascii="IRNazanin" w:hAnsi="IRNazanin" w:eastAsia="IRNazanin" w:cs="IRNazanin"/>
          <w:lang w:bidi="fa-IR"/>
          <w:color w:val="111111"/>
          <w:sz w:val="28"/>
          <w:szCs w:val="28"/>
          <w:rtl/>
        </w:rPr>
        <w:t xml:space="preserve">بی،کا، تا: قرن 12؛ در ضمن «النبذة السنيه . ..» آمده است[ف: 22 - 128 ]</w:t>
      </w:r>
    </w:p>
    <w:p>
      <w:pPr>
        <w:pStyle w:val="BookText"/>
      </w:pPr>
      <w:r>
        <w:rPr>
          <w:rFonts w:ascii="Amiri" w:hAnsi="Amiri" w:eastAsia="Amiri" w:cs="Amiri"/>
          <w:lang w:bidi="ar-SA"/>
          <w:color w:val="111111"/>
          <w:sz w:val="28"/>
          <w:szCs w:val="28"/>
          <w:rtl/>
        </w:rPr>
        <w:t xml:space="preserve">«ارجوزة كلامية » التحفة</w:t>
      </w:r>
    </w:p>
    <w:p>
      <w:pPr>
        <w:pStyle w:val="BookText"/>
      </w:pPr>
      <w:r>
        <w:rPr>
          <w:rFonts w:ascii="Amiri" w:hAnsi="Amiri" w:eastAsia="Amiri" w:cs="Amiri"/>
          <w:lang w:bidi="ar-SA"/>
          <w:color w:val="111111"/>
          <w:sz w:val="28"/>
          <w:szCs w:val="28"/>
          <w:rtl/>
        </w:rPr>
        <w:t xml:space="preserve">«ارجوزة مخبرية » مخبرية</w:t>
      </w:r>
    </w:p>
    <w:p>
      <w:pPr>
        <w:pStyle w:val="Heading3"/>
      </w:pPr>
      <w:bookmarkStart w:id="497" w:name="_Toc19"/>
      <w:r>
        <w:t>ارجوزة المعارف الخمسة / كلام و اعتقادات، شعر</w:t>
      </w:r>
      <w:bookmarkEnd w:id="497"/>
    </w:p>
    <w:p>
      <w:pPr>
        <w:pStyle w:val="BookText"/>
      </w:pPr>
      <w:r>
        <w:rPr>
          <w:rFonts w:ascii="Times New Roman" w:hAnsi="Times New Roman" w:eastAsia="Times New Roman" w:cs="Times New Roman"/>
          <w:lang w:val="en-US" w:bidi="en-US"/>
          <w:color w:val="111111"/>
          <w:sz w:val="28"/>
          <w:szCs w:val="28"/>
          <w:rtl/>
        </w:rPr>
        <w:t xml:space="preserve">urjūzat-ul ma‘ārif-il xamsa</w:t>
      </w:r>
    </w:p>
    <w:p>
      <w:pPr>
        <w:pStyle w:val="BookText"/>
      </w:pPr>
      <w:r>
        <w:rPr>
          <w:rFonts w:ascii="IRNazanin" w:hAnsi="IRNazanin" w:eastAsia="IRNazanin" w:cs="IRNazanin"/>
          <w:lang w:bidi="fa-IR"/>
          <w:color w:val="111111"/>
          <w:sz w:val="28"/>
          <w:szCs w:val="28"/>
          <w:rtl/>
        </w:rPr>
        <w:t xml:space="preserve">دمیثانی، حسن بن محمد</w:t>
      </w:r>
    </w:p>
    <w:p>
      <w:pPr>
        <w:pStyle w:val="BookText"/>
      </w:pPr>
      <w:r>
        <w:rPr>
          <w:rFonts w:ascii="Times New Roman" w:hAnsi="Times New Roman" w:eastAsia="Times New Roman" w:cs="Times New Roman"/>
          <w:lang w:val="en-US" w:bidi="en-US"/>
          <w:color w:val="111111"/>
          <w:sz w:val="28"/>
          <w:szCs w:val="28"/>
          <w:rtl/>
        </w:rPr>
        <w:t xml:space="preserve">damīsānī, hasan ebn-e mohammad</w:t>
      </w:r>
    </w:p>
    <w:p>
      <w:pPr>
        <w:pStyle w:val="BookText"/>
      </w:pPr>
      <w:r>
        <w:rPr>
          <w:rFonts w:ascii="IRNazanin" w:hAnsi="IRNazanin" w:eastAsia="IRNazanin" w:cs="IRNazanin"/>
          <w:lang w:bidi="fa-IR"/>
          <w:color w:val="111111"/>
          <w:sz w:val="28"/>
          <w:szCs w:val="28"/>
          <w:rtl/>
        </w:rPr>
        <w:t xml:space="preserve">قم؛ مرعشی؛ شماره نسخه: 10106/2</w:t>
      </w:r>
    </w:p>
    <w:p>
      <w:pPr>
        <w:pStyle w:val="BookText"/>
      </w:pPr>
      <w:r>
        <w:rPr>
          <w:rFonts w:ascii="IRNazanin" w:hAnsi="IRNazanin" w:eastAsia="IRNazanin" w:cs="IRNazanin"/>
          <w:lang w:bidi="fa-IR"/>
          <w:color w:val="111111"/>
          <w:sz w:val="28"/>
          <w:szCs w:val="28"/>
          <w:rtl/>
        </w:rPr>
        <w:t xml:space="preserve">كا: على بن عباس بحرانی ،کرزکانی، تا: 1268ق؛ کاغذ: فرنگی ، قطع: وزیری [میراث شهاب: س8ش 2 - 20]</w:t>
      </w:r>
    </w:p>
    <w:p>
      <w:pPr>
        <w:pStyle w:val="Heading3"/>
      </w:pPr>
      <w:bookmarkStart w:id="498" w:name="_Toc20"/>
      <w:r>
        <w:t>ارداویراف / شعر / فارسی</w:t>
      </w:r>
      <w:bookmarkEnd w:id="498"/>
    </w:p>
    <w:p>
      <w:pPr>
        <w:pStyle w:val="BookText"/>
      </w:pPr>
      <w:r>
        <w:rPr>
          <w:rFonts w:ascii="Times New Roman" w:hAnsi="Times New Roman" w:eastAsia="Times New Roman" w:cs="Times New Roman"/>
          <w:lang w:val="en-US" w:bidi="en-US"/>
          <w:color w:val="111111"/>
          <w:sz w:val="28"/>
          <w:szCs w:val="28"/>
          <w:rtl/>
        </w:rPr>
        <w:t xml:space="preserve">ardāvīrāf</w:t>
      </w:r>
    </w:p>
    <w:p>
      <w:pPr>
        <w:pStyle w:val="BookText"/>
      </w:pPr>
      <w:r>
        <w:rPr>
          <w:rFonts w:ascii="IRNazanin" w:hAnsi="IRNazanin" w:eastAsia="IRNazanin" w:cs="IRNazanin"/>
          <w:lang w:bidi="fa-IR"/>
          <w:color w:val="111111"/>
          <w:sz w:val="28"/>
          <w:szCs w:val="28"/>
          <w:rtl/>
        </w:rPr>
        <w:t xml:space="preserve">انوشیروان پوران مرزبان ق 11 قمری</w:t>
      </w:r>
    </w:p>
    <w:p>
      <w:pPr>
        <w:pStyle w:val="BookText"/>
      </w:pPr>
      <w:r>
        <w:rPr>
          <w:rFonts w:ascii="Times New Roman" w:hAnsi="Times New Roman" w:eastAsia="Times New Roman" w:cs="Times New Roman"/>
          <w:lang w:val="en-US" w:bidi="en-US"/>
          <w:color w:val="111111"/>
          <w:sz w:val="28"/>
          <w:szCs w:val="28"/>
          <w:rtl/>
        </w:rPr>
        <w:t xml:space="preserve">anūšīravān pūrān-e marzbān ( - 17c)</w:t>
      </w:r>
    </w:p>
    <w:p>
      <w:pPr>
        <w:pStyle w:val="BookText"/>
      </w:pPr>
      <w:r>
        <w:rPr>
          <w:rFonts w:ascii="IRNazanin" w:hAnsi="IRNazanin" w:eastAsia="IRNazanin" w:cs="IRNazanin"/>
          <w:lang w:bidi="fa-IR"/>
          <w:color w:val="111111"/>
          <w:sz w:val="28"/>
          <w:szCs w:val="28"/>
          <w:rtl/>
        </w:rPr>
        <w:t xml:space="preserve">[فهرستواره منزوی 130/10]</w:t>
      </w:r>
    </w:p>
    <w:p>
      <w:pPr>
        <w:pStyle w:val="BookText"/>
      </w:pPr>
      <w:r>
        <w:rPr>
          <w:rFonts w:ascii="IRNazanin" w:hAnsi="IRNazanin" w:eastAsia="IRNazanin" w:cs="IRNazanin"/>
          <w:lang w:bidi="fa-IR"/>
          <w:color w:val="111111"/>
          <w:sz w:val="28"/>
          <w:szCs w:val="28"/>
          <w:rtl/>
        </w:rPr>
        <w:t xml:space="preserve">تهران؛ مجلس؛ شماره نسخه: 13842/30</w:t>
      </w:r>
    </w:p>
    <w:p>
      <w:pPr>
        <w:pStyle w:val="BookText"/>
      </w:pPr>
      <w:r>
        <w:rPr>
          <w:rFonts w:ascii="IRNazanin" w:hAnsi="IRNazanin" w:eastAsia="IRNazanin" w:cs="IRNazanin"/>
          <w:lang w:bidi="fa-IR"/>
          <w:color w:val="111111"/>
          <w:sz w:val="28"/>
          <w:szCs w:val="28"/>
          <w:rtl/>
        </w:rPr>
        <w:t xml:space="preserve">آغاز: بنام آن خداوند جهاندار*** کنم آغاز از دین نغز گفتار</w:t>
      </w:r>
    </w:p>
    <w:p>
      <w:pPr>
        <w:pStyle w:val="BookText"/>
      </w:pPr>
      <w:r>
        <w:rPr>
          <w:rFonts w:ascii="IRNazanin" w:hAnsi="IRNazanin" w:eastAsia="IRNazanin" w:cs="IRNazanin"/>
          <w:lang w:bidi="fa-IR"/>
          <w:color w:val="111111"/>
          <w:sz w:val="28"/>
          <w:szCs w:val="28"/>
          <w:rtl/>
        </w:rPr>
        <w:t xml:space="preserve">از روایت بهمن پونچیه ؛ خط: نستعلیق بی کا، تا: 1036ق؛ مقوایی آبی عطف ،پارچه 7گ (192 پ-199پ)، 18 سطر [ ف: 37 - 406 ]</w:t>
      </w:r>
    </w:p>
    <w:p>
      <w:pPr>
        <w:pStyle w:val="Heading3"/>
      </w:pPr>
      <w:bookmarkStart w:id="499" w:name="_Toc21"/>
      <w:r>
        <w:t>ارداویراف / شعر / فارسی</w:t>
      </w:r>
      <w:bookmarkEnd w:id="499"/>
    </w:p>
    <w:p>
      <w:pPr>
        <w:pStyle w:val="BookText"/>
      </w:pPr>
      <w:r>
        <w:rPr>
          <w:rFonts w:ascii="Times New Roman" w:hAnsi="Times New Roman" w:eastAsia="Times New Roman" w:cs="Times New Roman"/>
          <w:lang w:val="en-US" w:bidi="en-US"/>
          <w:color w:val="111111"/>
          <w:sz w:val="28"/>
          <w:szCs w:val="28"/>
          <w:rtl/>
        </w:rPr>
        <w:t xml:space="preserve">ardāvīrāf</w:t>
      </w:r>
    </w:p>
    <w:p>
      <w:pPr>
        <w:pStyle w:val="BookText"/>
      </w:pPr>
      <w:r>
        <w:rPr>
          <w:rFonts w:ascii="IRNazanin" w:hAnsi="IRNazanin" w:eastAsia="IRNazanin" w:cs="IRNazanin"/>
          <w:lang w:bidi="fa-IR"/>
          <w:color w:val="111111"/>
          <w:sz w:val="28"/>
          <w:szCs w:val="28"/>
          <w:rtl/>
        </w:rPr>
        <w:t xml:space="preserve">در این مثنوی که حدود هزار و پانصد بیت است داستان یافتن اردشیر ارداویراف را و برانگیختن شاه وی را برای نشر دین دیدن اردا عوالم بالا را و به بهشت راه یافتن وی و دیدن متنعمین را در بهشت و گناهکاران را در دوزخ و عروج او به ملأ اعلی، نظم کشیده شده است و در آن از دین زردشت ستایش می شود.</w:t>
      </w:r>
    </w:p>
    <w:p>
      <w:pPr>
        <w:pStyle w:val="BookText"/>
      </w:pPr>
      <w:r>
        <w:rPr>
          <w:rFonts w:ascii="IRNazanin" w:hAnsi="IRNazanin" w:eastAsia="IRNazanin" w:cs="IRNazanin"/>
          <w:lang w:bidi="fa-IR"/>
          <w:color w:val="111111"/>
          <w:sz w:val="28"/>
          <w:szCs w:val="28"/>
          <w:rtl/>
        </w:rPr>
        <w:t xml:space="preserve">قم؛ مرعشی؛ شماره نسخه 8040</w:t>
      </w:r>
    </w:p>
    <w:p>
      <w:pPr>
        <w:pStyle w:val="BookText"/>
      </w:pPr>
      <w:r>
        <w:rPr>
          <w:rFonts w:ascii="IRNazanin" w:hAnsi="IRNazanin" w:eastAsia="IRNazanin" w:cs="IRNazanin"/>
          <w:lang w:bidi="fa-IR"/>
          <w:color w:val="111111"/>
          <w:sz w:val="28"/>
          <w:szCs w:val="28"/>
          <w:rtl/>
        </w:rPr>
        <w:t xml:space="preserve">آغاز: شهنشاه اردشیر از فردادار *** گرفت آن پادشاهی را سزاوار / همه نیکی ز عدل پادشه دان *** همیشه شاه عادل باد شادان؛</w:t>
      </w:r>
    </w:p>
    <w:p>
      <w:pPr>
        <w:pStyle w:val="BookText"/>
      </w:pPr>
      <w:r>
        <w:rPr>
          <w:rFonts w:ascii="IRNazanin" w:hAnsi="IRNazanin" w:eastAsia="IRNazanin" w:cs="IRNazanin"/>
          <w:lang w:bidi="fa-IR"/>
          <w:color w:val="111111"/>
          <w:sz w:val="28"/>
          <w:szCs w:val="28"/>
          <w:rtl/>
        </w:rPr>
        <w:t xml:space="preserve">انجام: تمام شد قصه اردا ویراف *** زهمت موبد زرتشت دل صاف</w:t>
      </w:r>
    </w:p>
    <w:p>
      <w:pPr>
        <w:pStyle w:val="BookText"/>
      </w:pPr>
      <w:r>
        <w:rPr>
          <w:rFonts w:ascii="IRNazanin" w:hAnsi="IRNazanin" w:eastAsia="IRNazanin" w:cs="IRNazanin"/>
          <w:lang w:bidi="fa-IR"/>
          <w:color w:val="111111"/>
          <w:sz w:val="28"/>
          <w:szCs w:val="28"/>
          <w:rtl/>
        </w:rPr>
        <w:t xml:space="preserve">خط: نستعلیق، بی کا، تا: قرن 10؛ روی برگ اول مهر کتابخانه مهندس بغایری و برگه کتابخانه صنیع الدوله محمدحسن خان دیده می شود؛ جلد: تیماج قهوه ای 55 گ، 13 سطر ، اندازه: 12/5</w:t>
      </w:r>
      <w:r>
        <w:rPr>
          <w:rFonts w:ascii="Times New Roman" w:hAnsi="Times New Roman" w:eastAsia="Times New Roman" w:cs="Times New Roman"/>
          <w:lang w:val="en-US" w:bidi="en-US"/>
          <w:color w:val="111111"/>
          <w:sz w:val="28"/>
          <w:szCs w:val="28"/>
          <w:rtl/>
        </w:rPr>
        <w:t xml:space="preserve">×18/5</w:t>
      </w:r>
      <w:r>
        <w:rPr>
          <w:rFonts w:ascii="IRNazanin" w:hAnsi="IRNazanin" w:eastAsia="IRNazanin" w:cs="IRNazanin"/>
          <w:lang w:bidi="fa-IR"/>
          <w:color w:val="111111"/>
          <w:sz w:val="28"/>
          <w:szCs w:val="28"/>
          <w:rtl/>
        </w:rPr>
        <w:t xml:space="preserve">سم [ف: 21 - 47]</w:t>
      </w:r>
    </w:p>
    <w:p>
      <w:pPr>
        <w:pStyle w:val="Heading3"/>
      </w:pPr>
      <w:bookmarkStart w:id="500" w:name="_Toc22"/>
      <w:r>
        <w:t>ارداویراف (منتخب) / شعر / فارسی</w:t>
      </w:r>
      <w:bookmarkEnd w:id="500"/>
    </w:p>
    <w:p>
      <w:pPr>
        <w:pStyle w:val="BookText"/>
      </w:pPr>
      <w:r>
        <w:rPr>
          <w:rFonts w:ascii="Times New Roman" w:hAnsi="Times New Roman" w:eastAsia="Times New Roman" w:cs="Times New Roman"/>
          <w:lang w:val="en-US" w:bidi="en-US"/>
          <w:color w:val="111111"/>
          <w:sz w:val="28"/>
          <w:szCs w:val="28"/>
          <w:rtl/>
        </w:rPr>
        <w:t xml:space="preserve">ardāvīrāf (mn.)</w:t>
      </w:r>
    </w:p>
    <w:p>
      <w:pPr>
        <w:pStyle w:val="BookText"/>
      </w:pPr>
      <w:r>
        <w:rPr>
          <w:rFonts w:ascii="IRNazanin" w:hAnsi="IRNazanin" w:eastAsia="IRNazanin" w:cs="IRNazanin"/>
          <w:lang w:bidi="fa-IR"/>
          <w:color w:val="111111"/>
          <w:sz w:val="28"/>
          <w:szCs w:val="28"/>
          <w:rtl/>
        </w:rPr>
        <w:t xml:space="preserve">تهران؛ مجلس؛ شماره نسخه: 13742/14</w:t>
      </w:r>
    </w:p>
    <w:p>
      <w:pPr>
        <w:pStyle w:val="BookText"/>
      </w:pPr>
      <w:r>
        <w:rPr>
          <w:rFonts w:ascii="IRNazanin" w:hAnsi="IRNazanin" w:eastAsia="IRNazanin" w:cs="IRNazanin"/>
          <w:lang w:bidi="fa-IR"/>
          <w:color w:val="111111"/>
          <w:sz w:val="28"/>
          <w:szCs w:val="28"/>
          <w:rtl/>
        </w:rPr>
        <w:t xml:space="preserve">آغاز: چنین گوید همی ویراف دیندار ***که در مینو چو دیدم اینچنین کار / یکایک حالها معلوم کردم *** هماه پاداشها مفهوم کردم؛</w:t>
      </w:r>
    </w:p>
    <w:p>
      <w:pPr>
        <w:pStyle w:val="BookText"/>
      </w:pPr>
      <w:r>
        <w:rPr>
          <w:rFonts w:ascii="IRNazanin" w:hAnsi="IRNazanin" w:eastAsia="IRNazanin" w:cs="IRNazanin"/>
          <w:lang w:bidi="fa-IR"/>
          <w:color w:val="111111"/>
          <w:sz w:val="28"/>
          <w:szCs w:val="28"/>
          <w:rtl/>
        </w:rPr>
        <w:t xml:space="preserve">خط: نستعلیق، بی کا، تا: 1190ق؛ جلد: پارچه ای مشکی عطف گوشه تیماج 81گ (98ر-179پ)، 21 سطر [ف: 37 - 278]</w:t>
      </w:r>
    </w:p>
    <w:p>
      <w:pPr>
        <w:pStyle w:val="Heading3"/>
      </w:pPr>
      <w:bookmarkStart w:id="501" w:name="_Toc23"/>
      <w:r>
        <w:t>ارداویراف نامه / ادبیات / فارسی</w:t>
      </w:r>
      <w:bookmarkEnd w:id="501"/>
    </w:p>
    <w:p>
      <w:pPr>
        <w:pStyle w:val="BookText"/>
      </w:pPr>
      <w:r>
        <w:rPr>
          <w:rFonts w:ascii="Times New Roman" w:hAnsi="Times New Roman" w:eastAsia="Times New Roman" w:cs="Times New Roman"/>
          <w:lang w:val="en-US" w:bidi="en-US"/>
          <w:color w:val="111111"/>
          <w:sz w:val="28"/>
          <w:szCs w:val="28"/>
          <w:rtl/>
        </w:rPr>
        <w:t xml:space="preserve">ardāvīrāf nāme</w:t>
      </w:r>
    </w:p>
    <w:p>
      <w:pPr>
        <w:pStyle w:val="BookText"/>
      </w:pPr>
      <w:r>
        <w:rPr>
          <w:rFonts w:ascii="IRNazanin" w:hAnsi="IRNazanin" w:eastAsia="IRNazanin" w:cs="IRNazanin"/>
          <w:lang w:bidi="fa-IR"/>
          <w:color w:val="111111"/>
          <w:sz w:val="28"/>
          <w:szCs w:val="28"/>
          <w:rtl/>
        </w:rPr>
        <w:t xml:space="preserve">زرتشت بهرام پژدو</w:t>
      </w:r>
    </w:p>
    <w:p>
      <w:pPr>
        <w:pStyle w:val="BookText"/>
      </w:pPr>
      <w:r>
        <w:rPr>
          <w:rFonts w:ascii="Times New Roman" w:hAnsi="Times New Roman" w:eastAsia="Times New Roman" w:cs="Times New Roman"/>
          <w:lang w:val="en-US" w:bidi="en-US"/>
          <w:color w:val="111111"/>
          <w:sz w:val="28"/>
          <w:szCs w:val="28"/>
          <w:rtl/>
        </w:rPr>
        <w:t xml:space="preserve">zartošt bahrām paždū</w:t>
      </w:r>
    </w:p>
    <w:p>
      <w:pPr>
        <w:pStyle w:val="BookText"/>
      </w:pPr>
      <w:r>
        <w:rPr>
          <w:rFonts w:ascii="IRNazanin" w:hAnsi="IRNazanin" w:eastAsia="IRNazanin" w:cs="IRNazanin"/>
          <w:lang w:bidi="fa-IR"/>
          <w:color w:val="111111"/>
          <w:sz w:val="28"/>
          <w:szCs w:val="28"/>
          <w:rtl/>
        </w:rPr>
        <w:t xml:space="preserve">به نظم فارسی با متن پهلوی</w:t>
      </w:r>
    </w:p>
    <w:p>
      <w:pPr>
        <w:pStyle w:val="BookText"/>
      </w:pPr>
      <w:r>
        <w:rPr>
          <w:rFonts w:ascii="IRNazanin" w:hAnsi="IRNazanin" w:eastAsia="IRNazanin" w:cs="IRNazanin"/>
          <w:lang w:bidi="fa-IR"/>
          <w:color w:val="111111"/>
          <w:sz w:val="28"/>
          <w:szCs w:val="28"/>
          <w:rtl/>
        </w:rPr>
        <w:t xml:space="preserve">تهران؛ دانشگاه؛ شماره نسخه: 1298-ف</w:t>
      </w:r>
    </w:p>
    <w:p>
      <w:pPr>
        <w:pStyle w:val="BookText"/>
      </w:pPr>
      <w:r>
        <w:rPr>
          <w:rFonts w:ascii="IRNazanin" w:hAnsi="IRNazanin" w:eastAsia="IRNazanin" w:cs="IRNazanin"/>
          <w:lang w:bidi="fa-IR"/>
          <w:color w:val="111111"/>
          <w:sz w:val="28"/>
          <w:szCs w:val="28"/>
          <w:rtl/>
        </w:rPr>
        <w:t xml:space="preserve">خط: نستعليق :کا: هیربدزاده هیربد خورشید پسر اسفندیار پسر  رستم، تا روز خردادماه بهمن 1047ق؛ 159گ، 15 سطر [فيلم ها - ف: 1 - 9]</w:t>
      </w:r>
    </w:p>
    <w:p>
      <w:pPr>
        <w:pStyle w:val="Heading3"/>
      </w:pPr>
      <w:bookmarkStart w:id="502" w:name="_Toc24"/>
      <w:r>
        <w:t>ارداویراف نامه = ویراف نامه / کلام و اعتقادات / فارسی</w:t>
      </w:r>
      <w:bookmarkEnd w:id="502"/>
    </w:p>
    <w:p>
      <w:pPr>
        <w:pStyle w:val="BookText"/>
      </w:pPr>
      <w:r>
        <w:rPr>
          <w:rFonts w:ascii="Times New Roman" w:hAnsi="Times New Roman" w:eastAsia="Times New Roman" w:cs="Times New Roman"/>
          <w:lang w:val="en-US" w:bidi="en-US"/>
          <w:color w:val="111111"/>
          <w:sz w:val="28"/>
          <w:szCs w:val="28"/>
          <w:rtl/>
        </w:rPr>
        <w:t xml:space="preserve">ardāvīrāf name = vīrāf name</w:t>
      </w:r>
    </w:p>
    <w:p>
      <w:pPr>
        <w:pStyle w:val="BookText"/>
      </w:pPr>
      <w:r>
        <w:rPr>
          <w:rFonts w:ascii="IRNazanin" w:hAnsi="IRNazanin" w:eastAsia="IRNazanin" w:cs="IRNazanin"/>
          <w:lang w:bidi="fa-IR"/>
          <w:color w:val="111111"/>
          <w:sz w:val="28"/>
          <w:szCs w:val="28"/>
          <w:rtl/>
        </w:rPr>
        <w:t xml:space="preserve">نام کتابی به زبان پهلوی که در آن شرح معراج ارداویراف دستور مندرج است. نام این کتاب به پهلوی «آردای ویراف نامک» است. کتاب مزبور در مجموع دارای 8800 کلمه و شامل 101 فصل است که هر فصل آن به چند بند تقسیم می شود در نسخه حاضر این کتاب توسط مترجمی ناشناس به فارسی برگردانده شده است.</w:t>
      </w:r>
    </w:p>
    <w:p>
      <w:pPr>
        <w:pStyle w:val="BookText"/>
      </w:pPr>
      <w:r>
        <w:rPr>
          <w:rFonts w:ascii="IRNazanin" w:hAnsi="IRNazanin" w:eastAsia="IRNazanin" w:cs="IRNazanin"/>
          <w:lang w:bidi="fa-IR"/>
          <w:color w:val="111111"/>
          <w:sz w:val="28"/>
          <w:szCs w:val="28"/>
          <w:rtl/>
        </w:rPr>
        <w:t xml:space="preserve">تهران؛ مجلس؛ شماره نسخه: 13589/1</w:t>
      </w:r>
    </w:p>
    <w:p>
      <w:pPr>
        <w:pStyle w:val="BookText"/>
      </w:pPr>
      <w:r>
        <w:rPr>
          <w:rFonts w:ascii="IRNazanin" w:hAnsi="IRNazanin" w:eastAsia="IRNazanin" w:cs="IRNazanin"/>
          <w:lang w:bidi="fa-IR"/>
          <w:color w:val="111111"/>
          <w:sz w:val="28"/>
          <w:szCs w:val="28"/>
          <w:rtl/>
        </w:rPr>
        <w:t xml:space="preserve">آغاز: چون اردشیر بابکان به پادشاهی نشسته بود پادشاه ... دین را بکشت و جهان را زادشمن خالی کرد و آرمیده شد و دستوران و موبدان که در آن رزگاربودند همه را به نزدیک خویش خواند؛</w:t>
      </w:r>
    </w:p>
    <w:p>
      <w:pPr>
        <w:pStyle w:val="BookText"/>
      </w:pPr>
      <w:r>
        <w:rPr>
          <w:rFonts w:ascii="IRNazanin" w:hAnsi="IRNazanin" w:eastAsia="IRNazanin" w:cs="IRNazanin"/>
          <w:lang w:bidi="fa-IR"/>
          <w:color w:val="111111"/>
          <w:sz w:val="28"/>
          <w:szCs w:val="28"/>
          <w:rtl/>
        </w:rPr>
        <w:t xml:space="preserve">انجام: بلاهای اهریمنی از ما دور کناد باد صواب</w:t>
      </w:r>
    </w:p>
    <w:p>
      <w:pPr>
        <w:pStyle w:val="BookText"/>
      </w:pPr>
      <w:r>
        <w:rPr>
          <w:rFonts w:ascii="IRNazanin" w:hAnsi="IRNazanin" w:eastAsia="IRNazanin" w:cs="IRNazanin"/>
          <w:lang w:bidi="fa-IR"/>
          <w:color w:val="111111"/>
          <w:sz w:val="28"/>
          <w:szCs w:val="28"/>
          <w:rtl/>
        </w:rPr>
        <w:t xml:space="preserve">خط: نستعلیق، بی کا، بی تا؛ مجدول؛ جلد: گالینگور  سبز، 27گ،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8" w:name="pg20365_259961"/>
    <w:bookmarkEnd w:id="8"/>
    <w:p>
      <w:pPr>
        <w:pStyle w:val="BookText"/>
      </w:pPr>
      <w:r>
        <w:rPr>
          <w:rFonts w:ascii="IRNazanin" w:hAnsi="IRNazanin" w:eastAsia="IRNazanin" w:cs="IRNazanin"/>
          <w:lang w:bidi="fa-IR"/>
          <w:color w:val="111111"/>
          <w:sz w:val="28"/>
          <w:szCs w:val="28"/>
          <w:rtl/>
        </w:rPr>
        <w:t xml:space="preserve">17 سطر ، اندازه: 20</w:t>
      </w:r>
      <w:r>
        <w:rPr>
          <w:rFonts w:ascii="Times New Roman" w:hAnsi="Times New Roman" w:eastAsia="Times New Roman" w:cs="Times New Roman"/>
          <w:lang w:val="en-US" w:bidi="en-US"/>
          <w:color w:val="111111"/>
          <w:sz w:val="28"/>
          <w:szCs w:val="28"/>
          <w:rtl/>
        </w:rPr>
        <w:t xml:space="preserve">×23/5</w:t>
      </w:r>
      <w:r>
        <w:rPr>
          <w:rFonts w:ascii="IRNazanin" w:hAnsi="IRNazanin" w:eastAsia="IRNazanin" w:cs="IRNazanin"/>
          <w:lang w:bidi="fa-IR"/>
          <w:color w:val="111111"/>
          <w:sz w:val="28"/>
          <w:szCs w:val="28"/>
          <w:rtl/>
        </w:rPr>
        <w:t xml:space="preserve">سم [ف: 37 - 103]</w:t>
      </w:r>
    </w:p>
    <w:p>
      <w:pPr>
        <w:pStyle w:val="Heading3"/>
      </w:pPr>
      <w:bookmarkStart w:id="503" w:name="_Toc25"/>
      <w:r>
        <w:t>ارداویراف نامه / فارسی</w:t>
      </w:r>
      <w:bookmarkEnd w:id="503"/>
    </w:p>
    <w:p>
      <w:pPr>
        <w:pStyle w:val="BookText"/>
      </w:pPr>
      <w:r>
        <w:rPr>
          <w:rFonts w:ascii="Times New Roman" w:hAnsi="Times New Roman" w:eastAsia="Times New Roman" w:cs="Times New Roman"/>
          <w:lang w:val="en-US" w:bidi="en-US"/>
          <w:color w:val="111111"/>
          <w:sz w:val="28"/>
          <w:szCs w:val="28"/>
          <w:rtl/>
        </w:rPr>
        <w:t xml:space="preserve">lāvīrāf name</w:t>
      </w:r>
    </w:p>
    <w:p>
      <w:pPr>
        <w:pStyle w:val="BookText"/>
      </w:pPr>
      <w:r>
        <w:rPr>
          <w:rFonts w:ascii="IRNazanin" w:hAnsi="IRNazanin" w:eastAsia="IRNazanin" w:cs="IRNazanin"/>
          <w:lang w:bidi="fa-IR"/>
          <w:color w:val="111111"/>
          <w:sz w:val="28"/>
          <w:szCs w:val="28"/>
          <w:rtl/>
        </w:rPr>
        <w:t xml:space="preserve">تهران؛ دانشگاه؛ شماره نسخه: 914/4-ف</w:t>
      </w:r>
    </w:p>
    <w:p>
      <w:pPr>
        <w:pStyle w:val="BookText"/>
      </w:pPr>
      <w:r>
        <w:rPr>
          <w:rFonts w:ascii="IRNazanin" w:hAnsi="IRNazanin" w:eastAsia="IRNazanin" w:cs="IRNazanin"/>
          <w:lang w:bidi="fa-IR"/>
          <w:color w:val="111111"/>
          <w:sz w:val="28"/>
          <w:szCs w:val="28"/>
          <w:rtl/>
        </w:rPr>
        <w:t xml:space="preserve">نسخه اصل: پاریس 1022 .</w:t>
      </w:r>
      <w:r>
        <w:rPr>
          <w:rFonts w:ascii="Times New Roman" w:hAnsi="Times New Roman" w:eastAsia="Times New Roman" w:cs="Times New Roman"/>
          <w:lang w:val="en-US" w:bidi="en-US"/>
          <w:color w:val="111111"/>
          <w:sz w:val="28"/>
          <w:szCs w:val="28"/>
          <w:rtl/>
        </w:rPr>
        <w:t xml:space="preserve">p .s (</w:t>
      </w:r>
      <w:r>
        <w:rPr>
          <w:rFonts w:ascii="IRNazanin" w:hAnsi="IRNazanin" w:eastAsia="IRNazanin" w:cs="IRNazanin"/>
          <w:lang w:bidi="fa-IR"/>
          <w:color w:val="111111"/>
          <w:sz w:val="28"/>
          <w:szCs w:val="28"/>
          <w:rtl/>
        </w:rPr>
        <w:t xml:space="preserve">بلوشه ش 209 ).یا تماشای او دوزخ را؛ خط: نستعلیق بی کا، بی تا: 15 سطر [ فيلم ها -ف: 1 - 547]</w:t>
      </w:r>
    </w:p>
    <w:p>
      <w:pPr>
        <w:pStyle w:val="Heading3"/>
      </w:pPr>
      <w:bookmarkStart w:id="504" w:name="_Toc26"/>
      <w:r>
        <w:t>ارداویراف نامه (منظوم) / شعر / فارسی</w:t>
      </w:r>
      <w:bookmarkEnd w:id="504"/>
    </w:p>
    <w:p>
      <w:pPr>
        <w:pStyle w:val="BookText"/>
      </w:pPr>
      <w:r>
        <w:rPr>
          <w:rFonts w:ascii="Times New Roman" w:hAnsi="Times New Roman" w:eastAsia="Times New Roman" w:cs="Times New Roman"/>
          <w:lang w:val="en-US" w:bidi="en-US"/>
          <w:color w:val="111111"/>
          <w:sz w:val="28"/>
          <w:szCs w:val="28"/>
          <w:rtl/>
        </w:rPr>
        <w:t xml:space="preserve">ardāvīrāf nāme (manzūm)</w:t>
      </w:r>
    </w:p>
    <w:p>
      <w:pPr>
        <w:pStyle w:val="BookText"/>
      </w:pPr>
      <w:r>
        <w:rPr>
          <w:rFonts w:ascii="IRNazanin" w:hAnsi="IRNazanin" w:eastAsia="IRNazanin" w:cs="IRNazanin"/>
          <w:lang w:bidi="fa-IR"/>
          <w:color w:val="111111"/>
          <w:sz w:val="28"/>
          <w:szCs w:val="28"/>
          <w:rtl/>
        </w:rPr>
        <w:t xml:space="preserve">شیراز؛ بغایری، عبدالرزاق؛ شماره نسخه:بدون شماره</w:t>
      </w:r>
    </w:p>
    <w:p>
      <w:pPr>
        <w:pStyle w:val="BookText"/>
      </w:pPr>
      <w:r>
        <w:rPr>
          <w:rFonts w:ascii="IRNazanin" w:hAnsi="IRNazanin" w:eastAsia="IRNazanin" w:cs="IRNazanin"/>
          <w:lang w:bidi="fa-IR"/>
          <w:color w:val="111111"/>
          <w:sz w:val="28"/>
          <w:szCs w:val="28"/>
          <w:rtl/>
        </w:rPr>
        <w:t xml:space="preserve">بی کا، تا: قرن 13؛ نسخه ناقص است [ میراث اسلامی 5 - 566]</w:t>
      </w:r>
    </w:p>
    <w:p>
      <w:pPr>
        <w:pStyle w:val="BookText"/>
      </w:pPr>
      <w:r>
        <w:rPr>
          <w:rFonts w:ascii="IRNazanin" w:hAnsi="IRNazanin" w:eastAsia="IRNazanin" w:cs="IRNazanin"/>
          <w:lang w:bidi="fa-IR"/>
          <w:color w:val="111111"/>
          <w:sz w:val="28"/>
          <w:szCs w:val="28"/>
          <w:rtl/>
        </w:rPr>
        <w:t xml:space="preserve">«اردستان » بیوگرافی اطباء و پزشکان اردستان</w:t>
      </w:r>
    </w:p>
    <w:p>
      <w:pPr>
        <w:pStyle w:val="BookText"/>
      </w:pPr>
      <w:r>
        <w:rPr>
          <w:rFonts w:ascii="IRNazanin" w:hAnsi="IRNazanin" w:eastAsia="IRNazanin" w:cs="IRNazanin"/>
          <w:lang w:bidi="fa-IR"/>
          <w:color w:val="111111"/>
          <w:sz w:val="28"/>
          <w:szCs w:val="28"/>
          <w:rtl/>
        </w:rPr>
        <w:t xml:space="preserve">«اردستان » آشنایی با احوال و آثار خوشنویسان و خطاط اردستان</w:t>
      </w:r>
    </w:p>
    <w:p>
      <w:pPr>
        <w:pStyle w:val="BookText"/>
      </w:pPr>
      <w:r>
        <w:rPr>
          <w:rFonts w:ascii="IRNazanin" w:hAnsi="IRNazanin" w:eastAsia="IRNazanin" w:cs="IRNazanin"/>
          <w:lang w:bidi="fa-IR"/>
          <w:color w:val="111111"/>
          <w:sz w:val="28"/>
          <w:szCs w:val="28"/>
          <w:rtl/>
        </w:rPr>
        <w:t xml:space="preserve">«اردستان » آشنایی با مناطق استان اصفهان «اردستان»</w:t>
      </w:r>
    </w:p>
    <w:p>
      <w:pPr>
        <w:pStyle w:val="Heading3"/>
      </w:pPr>
      <w:bookmarkStart w:id="505" w:name="_Toc27"/>
      <w:r>
        <w:t>اردستان از دیدگاه سخنوران / تاریخ / فارسی</w:t>
      </w:r>
      <w:bookmarkEnd w:id="505"/>
    </w:p>
    <w:p>
      <w:pPr>
        <w:pStyle w:val="BookText"/>
      </w:pPr>
      <w:r>
        <w:rPr>
          <w:rFonts w:ascii="Times New Roman" w:hAnsi="Times New Roman" w:eastAsia="Times New Roman" w:cs="Times New Roman"/>
          <w:lang w:val="en-US" w:bidi="en-US"/>
          <w:color w:val="111111"/>
          <w:sz w:val="28"/>
          <w:szCs w:val="28"/>
          <w:rtl/>
        </w:rPr>
        <w:t xml:space="preserve">ardestān az dīdgāh-e soxanvarān</w:t>
      </w:r>
    </w:p>
    <w:p>
      <w:pPr>
        <w:pStyle w:val="BookText"/>
      </w:pPr>
      <w:r>
        <w:rPr>
          <w:rFonts w:ascii="IRNazanin" w:hAnsi="IRNazanin" w:eastAsia="IRNazanin" w:cs="IRNazanin"/>
          <w:lang w:bidi="fa-IR"/>
          <w:color w:val="111111"/>
          <w:sz w:val="28"/>
          <w:szCs w:val="28"/>
          <w:rtl/>
        </w:rPr>
        <w:t xml:space="preserve">شفیعی اردستانی، مرتضی بن احمد ق 14 شمسی</w:t>
      </w:r>
    </w:p>
    <w:p>
      <w:pPr>
        <w:pStyle w:val="BookText"/>
      </w:pPr>
      <w:r>
        <w:rPr>
          <w:rFonts w:ascii="Times New Roman" w:hAnsi="Times New Roman" w:eastAsia="Times New Roman" w:cs="Times New Roman"/>
          <w:lang w:val="en-US" w:bidi="en-US"/>
          <w:color w:val="111111"/>
          <w:sz w:val="28"/>
          <w:szCs w:val="28"/>
          <w:rtl/>
        </w:rPr>
        <w:t xml:space="preserve">šafī‘ī ardestānī, morteza ebn-e ahmad ( - 20c)</w:t>
      </w:r>
    </w:p>
    <w:p>
      <w:pPr>
        <w:pStyle w:val="BookText"/>
      </w:pPr>
      <w:r>
        <w:rPr>
          <w:rFonts w:ascii="IRNazanin" w:hAnsi="IRNazanin" w:eastAsia="IRNazanin" w:cs="IRNazanin"/>
          <w:lang w:bidi="fa-IR"/>
          <w:color w:val="111111"/>
          <w:sz w:val="28"/>
          <w:szCs w:val="28"/>
          <w:rtl/>
        </w:rPr>
        <w:t xml:space="preserve">درباره شهر اردستان و موقعیت جغرافیایی آن و همچنین رجال معروف این شهر اعم از شاعران و عالمان می باشد. مؤلف کتاب را از روز شنبه 15 فروردین سال 1377 شمسی آغاز نموده است.</w:t>
      </w:r>
    </w:p>
    <w:p>
      <w:pPr>
        <w:pStyle w:val="BookText"/>
      </w:pPr>
      <w:r>
        <w:rPr>
          <w:rFonts w:ascii="IRNazanin" w:hAnsi="IRNazanin" w:eastAsia="IRNazanin" w:cs="IRNazanin"/>
          <w:lang w:bidi="fa-IR"/>
          <w:color w:val="111111"/>
          <w:sz w:val="28"/>
          <w:szCs w:val="28"/>
          <w:rtl/>
        </w:rPr>
        <w:t xml:space="preserve">قم؛ مرعشی؛ شماره نسخه: 12558</w:t>
      </w:r>
    </w:p>
    <w:p>
      <w:pPr>
        <w:pStyle w:val="BookText"/>
      </w:pPr>
      <w:r>
        <w:rPr>
          <w:rFonts w:ascii="IRNazanin" w:hAnsi="IRNazanin" w:eastAsia="IRNazanin" w:cs="IRNazanin"/>
          <w:lang w:bidi="fa-IR"/>
          <w:color w:val="111111"/>
          <w:sz w:val="28"/>
          <w:szCs w:val="28"/>
          <w:rtl/>
        </w:rPr>
        <w:t xml:space="preserve">آغاز: بهرکاری که خواهی کرد اول بر زبان آورد *** مبارک نام رحمان را تبارک ربنا الأعلا؛ انجام: گر بهم بر زرده بینی خط  من عیب مکن*** که مرا محنت ایام بهم برزده است</w:t>
      </w:r>
    </w:p>
    <w:p>
      <w:pPr>
        <w:pStyle w:val="BookText"/>
      </w:pPr>
      <w:r>
        <w:rPr>
          <w:rFonts w:ascii="IRNazanin" w:hAnsi="IRNazanin" w:eastAsia="IRNazanin" w:cs="IRNazanin"/>
          <w:lang w:bidi="fa-IR"/>
          <w:color w:val="111111"/>
          <w:sz w:val="28"/>
          <w:szCs w:val="28"/>
          <w:rtl/>
        </w:rPr>
        <w:t xml:space="preserve">كاتب = مؤلف :تا اردیبهشت 1377ق؛ در پایان فهرست دیگر آثار مؤلف و نیز فهرست مطالب کتاب آمده است، بیشتر صفحه دارای پاورقی می باشد؛ کاغذ: جدید خط ،دار :جلد: مشمعی قهوه ای با مقوا اندازه: 50گ 1-20 سطر (19</w:t>
      </w:r>
      <w:r>
        <w:rPr>
          <w:rFonts w:ascii="Times New Roman" w:hAnsi="Times New Roman" w:eastAsia="Times New Roman" w:cs="Times New Roman"/>
          <w:lang w:val="en-US" w:bidi="en-US"/>
          <w:color w:val="111111"/>
          <w:sz w:val="28"/>
          <w:szCs w:val="28"/>
          <w:rtl/>
        </w:rPr>
        <w:t xml:space="preserve">×25)</w:t>
      </w:r>
      <w:r>
        <w:rPr>
          <w:rFonts w:ascii="IRNazanin" w:hAnsi="IRNazanin" w:eastAsia="IRNazanin" w:cs="IRNazanin"/>
          <w:lang w:bidi="fa-IR"/>
          <w:color w:val="111111"/>
          <w:sz w:val="28"/>
          <w:szCs w:val="28"/>
          <w:rtl/>
        </w:rPr>
        <w:t xml:space="preserve">، اندازه: 20/5</w:t>
      </w:r>
      <w:r>
        <w:rPr>
          <w:rFonts w:ascii="Times New Roman" w:hAnsi="Times New Roman" w:eastAsia="Times New Roman" w:cs="Times New Roman"/>
          <w:lang w:val="en-US" w:bidi="en-US"/>
          <w:color w:val="111111"/>
          <w:sz w:val="28"/>
          <w:szCs w:val="28"/>
          <w:rtl/>
        </w:rPr>
        <w:t xml:space="preserve">×29</w:t>
      </w:r>
      <w:r>
        <w:rPr>
          <w:rFonts w:ascii="IRNazanin" w:hAnsi="IRNazanin" w:eastAsia="IRNazanin" w:cs="IRNazanin"/>
          <w:lang w:bidi="fa-IR"/>
          <w:color w:val="111111"/>
          <w:sz w:val="28"/>
          <w:szCs w:val="28"/>
          <w:rtl/>
        </w:rPr>
        <w:t xml:space="preserve">سم [ف: 31 - 639]</w:t>
      </w:r>
    </w:p>
    <w:p>
      <w:pPr>
        <w:pStyle w:val="Heading3"/>
      </w:pPr>
      <w:bookmarkStart w:id="506" w:name="_Toc28"/>
      <w:r>
        <w:t>اردستان نگینی بر انگشتر کویر / جغرافیا / فارسی</w:t>
      </w:r>
      <w:bookmarkEnd w:id="506"/>
    </w:p>
    <w:p>
      <w:pPr>
        <w:pStyle w:val="BookText"/>
      </w:pPr>
      <w:r>
        <w:rPr>
          <w:rFonts w:ascii="Times New Roman" w:hAnsi="Times New Roman" w:eastAsia="Times New Roman" w:cs="Times New Roman"/>
          <w:lang w:val="en-US" w:bidi="en-US"/>
          <w:color w:val="111111"/>
          <w:sz w:val="28"/>
          <w:szCs w:val="28"/>
          <w:rtl/>
        </w:rPr>
        <w:t xml:space="preserve">ardestān negīnī bar angoštar-e kavīr</w:t>
      </w:r>
    </w:p>
    <w:p>
      <w:pPr>
        <w:pStyle w:val="BookText"/>
      </w:pPr>
      <w:r>
        <w:rPr>
          <w:rFonts w:ascii="IRNazanin" w:hAnsi="IRNazanin" w:eastAsia="IRNazanin" w:cs="IRNazanin"/>
          <w:lang w:bidi="fa-IR"/>
          <w:color w:val="111111"/>
          <w:sz w:val="28"/>
          <w:szCs w:val="28"/>
          <w:rtl/>
        </w:rPr>
        <w:t xml:space="preserve">شفیعی اردستانی مرتضی بن احمد ق 14شمسی</w:t>
      </w:r>
    </w:p>
    <w:p>
      <w:pPr>
        <w:pStyle w:val="BookText"/>
      </w:pPr>
      <w:r>
        <w:rPr>
          <w:rFonts w:ascii="Times New Roman" w:hAnsi="Times New Roman" w:eastAsia="Times New Roman" w:cs="Times New Roman"/>
          <w:lang w:val="en-US" w:bidi="en-US"/>
          <w:color w:val="111111"/>
          <w:sz w:val="28"/>
          <w:szCs w:val="28"/>
          <w:rtl/>
        </w:rPr>
        <w:t xml:space="preserve">šafī‘ī ardestānī, morteza ebn-e ahmad ( - 20c)</w:t>
      </w:r>
    </w:p>
    <w:p>
      <w:pPr>
        <w:pStyle w:val="BookText"/>
      </w:pPr>
      <w:r>
        <w:rPr>
          <w:rFonts w:ascii="IRNazanin" w:hAnsi="IRNazanin" w:eastAsia="IRNazanin" w:cs="IRNazanin"/>
          <w:lang w:bidi="fa-IR"/>
          <w:color w:val="111111"/>
          <w:sz w:val="28"/>
          <w:szCs w:val="28"/>
          <w:rtl/>
        </w:rPr>
        <w:t xml:space="preserve">تاریخ و جغرافیای نسبتاً مفصل شهرستان اردستان و توابع آن و شرح حال برخی از بزرگان و نام آوران آن مرز و بوم می باشد که به تاریخ 1369/7/1ش به پایان رسیده و شامل نه فصل است: 1. جغرافیای تاریخی اردستان؛ 2 اوضاع طبیعی و جغرافیایی اردستان .3 جغرافیای سیاسی اردستان .4 موقعیت شهرهای اردستان و زواره؛ 5 وزرا و امرا و بزرگان اردستان؛ 6 عرفا و حكما و فلاسفه و ریاضی دانان اردستان؛ 7 علما ودانشمندان و خوشنویسان اردستان؛ 8. آموزش و پرورش اردستان؛ 9. اطبا و پزشکان اردستان.</w:t>
      </w:r>
    </w:p>
    <w:p>
      <w:pPr>
        <w:pStyle w:val="BookText"/>
      </w:pPr>
      <w:r>
        <w:rPr>
          <w:rFonts w:ascii="IRNazanin" w:hAnsi="IRNazanin" w:eastAsia="IRNazanin" w:cs="IRNazanin"/>
          <w:lang w:bidi="fa-IR"/>
          <w:color w:val="111111"/>
          <w:sz w:val="28"/>
          <w:szCs w:val="28"/>
          <w:rtl/>
        </w:rPr>
        <w:t xml:space="preserve">قم؛ مرعشی؛ شماره نسخه: 8229</w:t>
      </w:r>
    </w:p>
    <w:p>
      <w:pPr>
        <w:pStyle w:val="BookText"/>
      </w:pPr>
      <w:r>
        <w:rPr>
          <w:rFonts w:ascii="IRNazanin" w:hAnsi="IRNazanin" w:eastAsia="IRNazanin" w:cs="IRNazanin"/>
          <w:lang w:bidi="fa-IR"/>
          <w:color w:val="111111"/>
          <w:sz w:val="28"/>
          <w:szCs w:val="28"/>
          <w:rtl/>
        </w:rPr>
        <w:t xml:space="preserve">خط: نستعليق، كاتب = مؤلف بی تا؛ دارای چند کلیشه از آثار باستانی؛ جلد: تیماج ،مشکی، 134گ، مختلف السطر ، اندازه: 22</w:t>
      </w:r>
      <w:r>
        <w:rPr>
          <w:rFonts w:ascii="Times New Roman" w:hAnsi="Times New Roman" w:eastAsia="Times New Roman" w:cs="Times New Roman"/>
          <w:lang w:val="en-US" w:bidi="en-US"/>
          <w:color w:val="111111"/>
          <w:sz w:val="28"/>
          <w:szCs w:val="28"/>
          <w:rtl/>
        </w:rPr>
        <w:t xml:space="preserve">×32</w:t>
      </w:r>
      <w:r>
        <w:rPr>
          <w:rFonts w:ascii="IRNazanin" w:hAnsi="IRNazanin" w:eastAsia="IRNazanin" w:cs="IRNazanin"/>
          <w:lang w:bidi="fa-IR"/>
          <w:color w:val="111111"/>
          <w:sz w:val="28"/>
          <w:szCs w:val="28"/>
          <w:rtl/>
        </w:rPr>
        <w:t xml:space="preserve">سم [ف: 21 - 191]</w:t>
      </w:r>
    </w:p>
    <w:p>
      <w:pPr>
        <w:pStyle w:val="Heading3"/>
      </w:pPr>
      <w:bookmarkStart w:id="507" w:name="_Toc29"/>
      <w:r>
        <w:t>اردشیر نامه = اردشیر و عذرا / داستان / عبری</w:t>
      </w:r>
      <w:bookmarkEnd w:id="507"/>
    </w:p>
    <w:p>
      <w:pPr>
        <w:pStyle w:val="BookText"/>
      </w:pPr>
      <w:r>
        <w:rPr>
          <w:rFonts w:ascii="Times New Roman" w:hAnsi="Times New Roman" w:eastAsia="Times New Roman" w:cs="Times New Roman"/>
          <w:lang w:val="en-US" w:bidi="en-US"/>
          <w:color w:val="111111"/>
          <w:sz w:val="28"/>
          <w:szCs w:val="28"/>
          <w:rtl/>
        </w:rPr>
        <w:t xml:space="preserve">ardešīr nāme = ardešīr va ‘azrā</w:t>
      </w:r>
    </w:p>
    <w:p>
      <w:pPr>
        <w:pStyle w:val="BookText"/>
      </w:pPr>
      <w:r>
        <w:rPr>
          <w:rFonts w:ascii="IRNazanin" w:hAnsi="IRNazanin" w:eastAsia="IRNazanin" w:cs="IRNazanin"/>
          <w:lang w:bidi="fa-IR"/>
          <w:color w:val="111111"/>
          <w:sz w:val="28"/>
          <w:szCs w:val="28"/>
          <w:rtl/>
        </w:rPr>
        <w:t xml:space="preserve">مولانا شاهین شیرازی</w:t>
      </w:r>
    </w:p>
    <w:p>
      <w:pPr>
        <w:pStyle w:val="BookText"/>
      </w:pPr>
      <w:r>
        <w:rPr>
          <w:rFonts w:ascii="Times New Roman" w:hAnsi="Times New Roman" w:eastAsia="Times New Roman" w:cs="Times New Roman"/>
          <w:lang w:val="en-US" w:bidi="en-US"/>
          <w:color w:val="111111"/>
          <w:sz w:val="28"/>
          <w:szCs w:val="28"/>
          <w:rtl/>
        </w:rPr>
        <w:t xml:space="preserve">mowlānā šāhīn-e šīrāzī</w:t>
      </w:r>
    </w:p>
    <w:p>
      <w:pPr>
        <w:pStyle w:val="BookText"/>
      </w:pPr>
      <w:r>
        <w:rPr>
          <w:rFonts w:ascii="IRNazanin" w:hAnsi="IRNazanin" w:eastAsia="IRNazanin" w:cs="IRNazanin"/>
          <w:lang w:bidi="fa-IR"/>
          <w:color w:val="111111"/>
          <w:sz w:val="28"/>
          <w:szCs w:val="28"/>
          <w:rtl/>
        </w:rPr>
        <w:t xml:space="preserve">دارای بیش از سی مجلس سرگذشت شاهین در «مدایح المعتمدیه» آمده است.</w:t>
      </w:r>
    </w:p>
    <w:p>
      <w:pPr>
        <w:pStyle w:val="BookText"/>
      </w:pPr>
      <w:r>
        <w:rPr>
          <w:rFonts w:ascii="IRNazanin" w:hAnsi="IRNazanin" w:eastAsia="IRNazanin" w:cs="IRNazanin"/>
          <w:lang w:bidi="fa-IR"/>
          <w:color w:val="111111"/>
          <w:sz w:val="28"/>
          <w:szCs w:val="28"/>
          <w:rtl/>
        </w:rPr>
        <w:t xml:space="preserve">چاپ: 22 فصل آن را </w:t>
      </w:r>
      <w:r>
        <w:rPr>
          <w:rFonts w:ascii="Times New Roman" w:hAnsi="Times New Roman" w:eastAsia="Times New Roman" w:cs="Times New Roman"/>
          <w:lang w:val="en-US" w:bidi="en-US"/>
          <w:color w:val="111111"/>
          <w:sz w:val="28"/>
          <w:szCs w:val="28"/>
          <w:rtl/>
        </w:rPr>
        <w:t xml:space="preserve">Dorotha Bliesk </w:t>
      </w:r>
      <w:r>
        <w:rPr>
          <w:rFonts w:ascii="IRNazanin" w:hAnsi="IRNazanin" w:eastAsia="IRNazanin" w:cs="IRNazanin"/>
          <w:lang w:bidi="fa-IR"/>
          <w:color w:val="111111"/>
          <w:sz w:val="28"/>
          <w:szCs w:val="28"/>
          <w:rtl/>
        </w:rPr>
        <w:t xml:space="preserve">با ترجمه و مقدمه آلمانی چاپ کرده است</w:t>
      </w:r>
    </w:p>
    <w:p>
      <w:pPr>
        <w:pStyle w:val="BookText"/>
      </w:pPr>
      <w:r>
        <w:rPr>
          <w:rFonts w:ascii="IRNazanin" w:hAnsi="IRNazanin" w:eastAsia="IRNazanin" w:cs="IRNazanin"/>
          <w:lang w:bidi="fa-IR"/>
          <w:color w:val="111111"/>
          <w:sz w:val="28"/>
          <w:szCs w:val="28"/>
          <w:rtl/>
        </w:rPr>
        <w:t xml:space="preserve">هنر و مردم 38/76-40؛ گفتار را خر در </w:t>
      </w:r>
      <w:r>
        <w:rPr>
          <w:rFonts w:ascii="Times New Roman" w:hAnsi="Times New Roman" w:eastAsia="Times New Roman" w:cs="Times New Roman"/>
          <w:lang w:val="en-US" w:bidi="en-US"/>
          <w:color w:val="111111"/>
          <w:sz w:val="28"/>
          <w:szCs w:val="28"/>
          <w:rtl/>
        </w:rPr>
        <w:t xml:space="preserve">rej </w:t>
      </w:r>
      <w:r>
        <w:rPr>
          <w:rFonts w:ascii="IRNazanin" w:hAnsi="IRNazanin" w:eastAsia="IRNazanin" w:cs="IRNazanin"/>
          <w:lang w:bidi="fa-IR"/>
          <w:color w:val="111111"/>
          <w:sz w:val="28"/>
          <w:szCs w:val="28"/>
          <w:rtl/>
        </w:rPr>
        <w:t xml:space="preserve">به عنوان یهودیان در ایران در ده 17 و 18 از روی سالنامه منظوم بابی بن لطف و بابی بن فرهاد در 7-1906، ش 77/ 52- 97و 234-271 و ش 53/85 - 110 و گفتار او در </w:t>
      </w:r>
      <w:r>
        <w:rPr>
          <w:rFonts w:ascii="Times New Roman" w:hAnsi="Times New Roman" w:eastAsia="Times New Roman" w:cs="Times New Roman"/>
          <w:lang w:val="en-US" w:bidi="en-US"/>
          <w:color w:val="111111"/>
          <w:sz w:val="28"/>
          <w:szCs w:val="28"/>
          <w:rtl/>
        </w:rPr>
        <w:t xml:space="preserve">rej </w:t>
      </w:r>
      <w:r>
        <w:rPr>
          <w:rFonts w:ascii="IRNazanin" w:hAnsi="IRNazanin" w:eastAsia="IRNazanin" w:cs="IRNazanin"/>
          <w:lang w:bidi="fa-IR"/>
          <w:color w:val="111111"/>
          <w:sz w:val="28"/>
          <w:szCs w:val="28"/>
          <w:rtl/>
        </w:rPr>
        <w:t xml:space="preserve">در 1908 جلد 55/249 - 280 و گویا هم در 65/523</w:t>
      </w:r>
      <w:r>
        <w:rPr>
          <w:rFonts w:ascii="Times New Roman" w:hAnsi="Times New Roman" w:eastAsia="Times New Roman" w:cs="Times New Roman"/>
          <w:lang w:val="en-US" w:bidi="en-US"/>
          <w:color w:val="111111"/>
          <w:sz w:val="28"/>
          <w:szCs w:val="28"/>
          <w:rtl/>
        </w:rPr>
        <w:t xml:space="preserve">zdmg-535 </w:t>
      </w:r>
      <w:r>
        <w:rPr>
          <w:rFonts w:ascii="IRNazanin" w:hAnsi="IRNazanin" w:eastAsia="IRNazanin" w:cs="IRNazanin"/>
          <w:lang w:bidi="fa-IR"/>
          <w:color w:val="111111"/>
          <w:sz w:val="28"/>
          <w:szCs w:val="28"/>
          <w:rtl/>
        </w:rPr>
        <w:t xml:space="preserve">سال 1911]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دانشگاه؛ شماره نسخه: 984-ف و 1183 -ف</w:t>
      </w:r>
    </w:p>
    <w:p>
      <w:pPr>
        <w:pStyle w:val="BookText"/>
      </w:pPr>
      <w:r>
        <w:rPr>
          <w:rFonts w:ascii="IRNazanin" w:hAnsi="IRNazanin" w:eastAsia="IRNazanin" w:cs="IRNazanin"/>
          <w:lang w:bidi="fa-IR"/>
          <w:color w:val="111111"/>
          <w:sz w:val="28"/>
          <w:szCs w:val="28"/>
          <w:rtl/>
        </w:rPr>
        <w:t xml:space="preserve">نسخه اصل: توبینگن 1680 </w:t>
      </w:r>
      <w:r>
        <w:rPr>
          <w:rFonts w:ascii="Times New Roman" w:hAnsi="Times New Roman" w:eastAsia="Times New Roman" w:cs="Times New Roman"/>
          <w:lang w:val="en-US" w:bidi="en-US"/>
          <w:color w:val="111111"/>
          <w:sz w:val="28"/>
          <w:szCs w:val="28"/>
          <w:rtl/>
        </w:rPr>
        <w:t xml:space="preserve">Ms. Orient Qu</w:t>
      </w:r>
      <w:r>
        <w:rPr>
          <w:rFonts w:ascii="IRNazanin" w:hAnsi="IRNazanin" w:eastAsia="IRNazanin" w:cs="IRNazanin"/>
          <w:lang w:bidi="fa-IR"/>
          <w:color w:val="111111"/>
          <w:sz w:val="28"/>
          <w:szCs w:val="28"/>
          <w:rtl/>
        </w:rPr>
        <w:t xml:space="preserve">؛ بی کا، بی تا [فیلم ها - ف: 2 - 4 ]</w:t>
      </w:r>
    </w:p>
    <w:p>
      <w:pPr>
        <w:pStyle w:val="BookText"/>
      </w:pPr>
      <w:r>
        <w:rPr>
          <w:rFonts w:ascii="IRNazanin" w:hAnsi="IRNazanin" w:eastAsia="IRNazanin" w:cs="IRNazanin"/>
          <w:lang w:bidi="fa-IR"/>
          <w:color w:val="111111"/>
          <w:sz w:val="28"/>
          <w:szCs w:val="28"/>
          <w:rtl/>
        </w:rPr>
        <w:t xml:space="preserve">2.تهران؛ دانشگاه؛ شماره نسخه: 3252-ف</w:t>
      </w:r>
    </w:p>
    <w:p>
      <w:pPr>
        <w:pStyle w:val="BookText"/>
      </w:pPr>
      <w:r>
        <w:rPr>
          <w:rFonts w:ascii="IRNazanin" w:hAnsi="IRNazanin" w:eastAsia="IRNazanin" w:cs="IRNazanin"/>
          <w:lang w:bidi="fa-IR"/>
          <w:color w:val="111111"/>
          <w:sz w:val="28"/>
          <w:szCs w:val="28"/>
          <w:rtl/>
        </w:rPr>
        <w:t xml:space="preserve">نسخه اصل: از روی چاپی چاپ دروتثا بلیسک (</w:t>
      </w:r>
      <w:r>
        <w:rPr>
          <w:rFonts w:ascii="Times New Roman" w:hAnsi="Times New Roman" w:eastAsia="Times New Roman" w:cs="Times New Roman"/>
          <w:lang w:val="en-US" w:bidi="en-US"/>
          <w:color w:val="111111"/>
          <w:sz w:val="28"/>
          <w:szCs w:val="28"/>
          <w:rtl/>
        </w:rPr>
        <w:t xml:space="preserve">Bliesk)</w:t>
      </w:r>
    </w:p>
    <w:p>
      <w:pPr>
        <w:pStyle w:val="BookText"/>
      </w:pPr>
      <w:r>
        <w:rPr>
          <w:rFonts w:ascii="IRNazanin" w:hAnsi="IRNazanin" w:eastAsia="IRNazanin" w:cs="IRNazanin"/>
          <w:lang w:bidi="fa-IR"/>
          <w:color w:val="111111"/>
          <w:sz w:val="28"/>
          <w:szCs w:val="28"/>
          <w:rtl/>
        </w:rPr>
        <w:t xml:space="preserve">بی کا، بی تا [ فیلم ها - ف: 2 - 108]</w:t>
      </w:r>
    </w:p>
    <w:p>
      <w:pPr>
        <w:pStyle w:val="BookText"/>
      </w:pPr>
      <w:r>
        <w:rPr>
          <w:rFonts w:ascii="IRNazanin" w:hAnsi="IRNazanin" w:eastAsia="IRNazanin" w:cs="IRNazanin"/>
          <w:lang w:bidi="fa-IR"/>
          <w:color w:val="111111"/>
          <w:sz w:val="28"/>
          <w:szCs w:val="28"/>
          <w:rtl/>
        </w:rPr>
        <w:t xml:space="preserve">«اردشیر و عذرا » اردشیر نامه</w:t>
      </w:r>
    </w:p>
    <w:p>
      <w:pPr>
        <w:pStyle w:val="Heading3"/>
      </w:pPr>
      <w:bookmarkStart w:id="508" w:name="_Toc30"/>
      <w:r>
        <w:t>اردوکشی 1870 و 1871 م / تاریخ / فارسی</w:t>
      </w:r>
      <w:bookmarkEnd w:id="508"/>
    </w:p>
    <w:p>
      <w:pPr>
        <w:pStyle w:val="BookText"/>
      </w:pPr>
      <w:r>
        <w:rPr>
          <w:rFonts w:ascii="Times New Roman" w:hAnsi="Times New Roman" w:eastAsia="Times New Roman" w:cs="Times New Roman"/>
          <w:lang w:val="en-US" w:bidi="en-US"/>
          <w:color w:val="111111"/>
          <w:sz w:val="28"/>
          <w:szCs w:val="28"/>
          <w:rtl/>
        </w:rPr>
        <w:t xml:space="preserve">ordukešī-ye 1870 va 1871 m</w:t>
      </w:r>
    </w:p>
    <w:p>
      <w:pPr>
        <w:pStyle w:val="BookText"/>
      </w:pPr>
      <w:r>
        <w:rPr>
          <w:rFonts w:ascii="IRNazanin" w:hAnsi="IRNazanin" w:eastAsia="IRNazanin" w:cs="IRNazanin"/>
          <w:lang w:bidi="fa-IR"/>
          <w:color w:val="111111"/>
          <w:sz w:val="28"/>
          <w:szCs w:val="28"/>
          <w:rtl/>
        </w:rPr>
        <w:t xml:space="preserve">حسینی ،تبریزی محمد مهدی بن یوسف، ق 13 قمری</w:t>
      </w:r>
    </w:p>
    <w:p>
      <w:pPr>
        <w:pStyle w:val="BookText"/>
      </w:pPr>
      <w:r>
        <w:rPr>
          <w:rFonts w:ascii="Times New Roman" w:hAnsi="Times New Roman" w:eastAsia="Times New Roman" w:cs="Times New Roman"/>
          <w:lang w:val="en-US" w:bidi="en-US"/>
          <w:color w:val="111111"/>
          <w:sz w:val="28"/>
          <w:szCs w:val="28"/>
          <w:rtl/>
        </w:rPr>
        <w:t xml:space="preserve">hoseynī tabrīzī, mohammad mahdī ebn-e yusof (-19c)</w:t>
      </w:r>
    </w:p>
    <w:p>
      <w:pPr>
        <w:pStyle w:val="BookText"/>
      </w:pPr>
      <w:r>
        <w:rPr>
          <w:rFonts w:ascii="IRNazanin" w:hAnsi="IRNazanin" w:eastAsia="IRNazanin" w:cs="IRNazanin"/>
          <w:lang w:bidi="fa-IR"/>
          <w:color w:val="111111"/>
          <w:sz w:val="28"/>
          <w:szCs w:val="28"/>
          <w:rtl/>
        </w:rPr>
        <w:t xml:space="preserve">تاریخ تألیف: سه شنبه 20 جمادی الاول 1288 ق.</w:t>
      </w:r>
    </w:p>
    <w:p>
      <w:pPr>
        <w:pStyle w:val="BookText"/>
      </w:pPr>
      <w:r>
        <w:rPr>
          <w:rFonts w:ascii="IRNazanin" w:hAnsi="IRNazanin" w:eastAsia="IRNazanin" w:cs="IRNazanin"/>
          <w:lang w:bidi="fa-IR"/>
          <w:color w:val="111111"/>
          <w:sz w:val="28"/>
          <w:szCs w:val="28"/>
          <w:rtl/>
        </w:rPr>
        <w:t xml:space="preserve">این رساله به طور مفصل به جنگ بین دولتین فرانسه و پروس می پردازد، جنگی که از ماه ژوئیه1870 شروع می شود و تا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9" w:name="pg20365_259962"/>
    <w:bookmarkEnd w:id="9"/>
    <w:p>
      <w:pPr>
        <w:pStyle w:val="BookText"/>
      </w:pPr>
      <w:r>
        <w:rPr>
          <w:rFonts w:ascii="IRNazanin" w:hAnsi="IRNazanin" w:eastAsia="IRNazanin" w:cs="IRNazanin"/>
          <w:lang w:bidi="fa-IR"/>
          <w:color w:val="111111"/>
          <w:sz w:val="28"/>
          <w:szCs w:val="28"/>
          <w:rtl/>
        </w:rPr>
        <w:t xml:space="preserve">آوریل 1871م طول می کشد و سرانجام با شکست فرانسه پایان می پذیرد. در آن از کمون فرانسه و بازگشت ناپلئون سوم بر اریکه سلطنت نیز سخن می رود.</w:t>
      </w:r>
    </w:p>
    <w:p>
      <w:pPr>
        <w:pStyle w:val="BookText"/>
      </w:pPr>
      <w:r>
        <w:rPr>
          <w:rFonts w:ascii="IRNazanin" w:hAnsi="IRNazanin" w:eastAsia="IRNazanin" w:cs="IRNazanin"/>
          <w:lang w:bidi="fa-IR"/>
          <w:color w:val="111111"/>
          <w:sz w:val="28"/>
          <w:szCs w:val="28"/>
          <w:rtl/>
        </w:rPr>
        <w:t xml:space="preserve">تهران؛ ملی؛ شماره نسخه: 228</w:t>
      </w:r>
    </w:p>
    <w:p>
      <w:pPr>
        <w:pStyle w:val="BookText"/>
      </w:pPr>
      <w:r>
        <w:rPr>
          <w:rFonts w:ascii="IRNazanin" w:hAnsi="IRNazanin" w:eastAsia="IRNazanin" w:cs="IRNazanin"/>
          <w:lang w:bidi="fa-IR"/>
          <w:color w:val="111111"/>
          <w:sz w:val="28"/>
          <w:szCs w:val="28"/>
          <w:rtl/>
        </w:rPr>
        <w:t xml:space="preserve">آغاز: بعد از آنکه ملت اسپانیول بتاریخ ماه سبطامبر فرانسوی سال هزار و هشتصد و شصت و هشت عیسوی مطابق سنه 1285 هجری شورش نموده ملکه الیزابت را بیرون کردند؛ انجام: و واقع بزرگ... از ماه ژوئیه هزار و هشتصد و هفتاد تا ماه آوریل هزا و هفتاد و یک عیسوی اتفاق افتاد بصوب مقصد اختتام</w:t>
      </w:r>
    </w:p>
    <w:p>
      <w:pPr>
        <w:pStyle w:val="BookText"/>
      </w:pPr>
      <w:r>
        <w:rPr>
          <w:rFonts w:ascii="IRNazanin" w:hAnsi="IRNazanin" w:eastAsia="IRNazanin" w:cs="IRNazanin"/>
          <w:lang w:bidi="fa-IR"/>
          <w:color w:val="111111"/>
          <w:sz w:val="28"/>
          <w:szCs w:val="28"/>
          <w:rtl/>
        </w:rPr>
        <w:t xml:space="preserve">صرف عنان نماید مأمول آنکه اگر ارباب ذکاء بسهو و خطائی برخورند بگزلک عفو بحک و اصلاح آن مبادرت فرمایند انسان منشأ نسیان است</w:t>
      </w:r>
    </w:p>
    <w:p>
      <w:pPr>
        <w:pStyle w:val="BookText"/>
      </w:pPr>
      <w:r>
        <w:rPr>
          <w:rFonts w:ascii="IRNazanin" w:hAnsi="IRNazanin" w:eastAsia="IRNazanin" w:cs="IRNazanin"/>
          <w:lang w:bidi="fa-IR"/>
          <w:color w:val="111111"/>
          <w:sz w:val="28"/>
          <w:szCs w:val="28"/>
          <w:rtl/>
        </w:rPr>
        <w:t xml:space="preserve">خط: نستعليق، كا: محمد مهدی ابن علی ابن يوسف الحسین تبریزی، تا: سه شنبه دهه دوم جمادی الاول 1288ق،جا: پطرزبورغ؛ در صفحه اول به خط ناصرالدین شاه نوشته شده كتاب تماماً ملاحظه شد؛ :کاغذ: فرنگی :جلد پارچه قرمز 101گ، 15 سطر (10</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 اندازه: 20</w:t>
      </w:r>
      <w:r>
        <w:rPr>
          <w:rFonts w:ascii="Times New Roman" w:hAnsi="Times New Roman" w:eastAsia="Times New Roman" w:cs="Times New Roman"/>
          <w:lang w:val="en-US" w:bidi="en-US"/>
          <w:color w:val="111111"/>
          <w:sz w:val="28"/>
          <w:szCs w:val="28"/>
          <w:rtl/>
        </w:rPr>
        <w:t xml:space="preserve">×25</w:t>
      </w:r>
      <w:r>
        <w:rPr>
          <w:rFonts w:ascii="IRNazanin" w:hAnsi="IRNazanin" w:eastAsia="IRNazanin" w:cs="IRNazanin"/>
          <w:lang w:bidi="fa-IR"/>
          <w:color w:val="111111"/>
          <w:sz w:val="28"/>
          <w:szCs w:val="28"/>
          <w:rtl/>
        </w:rPr>
        <w:t xml:space="preserve">سم [ف: 1 - 234]</w:t>
      </w:r>
    </w:p>
    <w:p>
      <w:pPr>
        <w:pStyle w:val="Heading3"/>
      </w:pPr>
      <w:bookmarkStart w:id="509" w:name="_Toc31"/>
      <w:r>
        <w:t>اردونامه حکیم سلطان بوسعید / شعر / فارسی</w:t>
      </w:r>
      <w:bookmarkEnd w:id="509"/>
    </w:p>
    <w:p>
      <w:pPr>
        <w:pStyle w:val="BookText"/>
      </w:pPr>
      <w:r>
        <w:rPr>
          <w:rFonts w:ascii="Times New Roman" w:hAnsi="Times New Roman" w:eastAsia="Times New Roman" w:cs="Times New Roman"/>
          <w:lang w:val="en-US" w:bidi="en-US"/>
          <w:color w:val="111111"/>
          <w:sz w:val="28"/>
          <w:szCs w:val="28"/>
          <w:rtl/>
        </w:rPr>
        <w:t xml:space="preserve">ordū-nāme-ye hakīm soltān bū-sa‘īd</w:t>
      </w:r>
    </w:p>
    <w:p>
      <w:pPr>
        <w:pStyle w:val="BookText"/>
      </w:pPr>
      <w:r>
        <w:rPr>
          <w:rFonts w:ascii="IRNazanin" w:hAnsi="IRNazanin" w:eastAsia="IRNazanin" w:cs="IRNazanin"/>
          <w:lang w:bidi="fa-IR"/>
          <w:color w:val="111111"/>
          <w:sz w:val="28"/>
          <w:szCs w:val="28"/>
          <w:rtl/>
        </w:rPr>
        <w:t xml:space="preserve">تهران؛ دانشگاه؛ شماره نسخه: 6225/72-ف</w:t>
      </w:r>
    </w:p>
    <w:p>
      <w:pPr>
        <w:pStyle w:val="BookText"/>
      </w:pPr>
      <w:r>
        <w:rPr>
          <w:rFonts w:ascii="IRNazanin" w:hAnsi="IRNazanin" w:eastAsia="IRNazanin" w:cs="IRNazanin"/>
          <w:lang w:bidi="fa-IR"/>
          <w:color w:val="111111"/>
          <w:sz w:val="28"/>
          <w:szCs w:val="28"/>
          <w:rtl/>
        </w:rPr>
        <w:t xml:space="preserve">بی کا، بی تا [فیلم ها - ف 3 - 212]</w:t>
      </w:r>
    </w:p>
    <w:p>
      <w:pPr>
        <w:pStyle w:val="Heading3"/>
      </w:pPr>
      <w:bookmarkStart w:id="510" w:name="_Toc32"/>
      <w:r>
        <w:t>اردوی همایون تشکیلاتی / تاریخ جنگ / ترکی</w:t>
      </w:r>
      <w:bookmarkEnd w:id="510"/>
    </w:p>
    <w:p>
      <w:pPr>
        <w:pStyle w:val="BookText"/>
      </w:pPr>
      <w:r>
        <w:rPr>
          <w:rFonts w:ascii="Times New Roman" w:hAnsi="Times New Roman" w:eastAsia="Times New Roman" w:cs="Times New Roman"/>
          <w:lang w:val="en-US" w:bidi="en-US"/>
          <w:color w:val="111111"/>
          <w:sz w:val="28"/>
          <w:szCs w:val="28"/>
          <w:rtl/>
        </w:rPr>
        <w:t xml:space="preserve">ordū-ye homāyūn-e taškīlātī</w:t>
      </w:r>
    </w:p>
    <w:p>
      <w:pPr>
        <w:pStyle w:val="BookText"/>
      </w:pPr>
      <w:r>
        <w:rPr>
          <w:rFonts w:ascii="IRNazanin" w:hAnsi="IRNazanin" w:eastAsia="IRNazanin" w:cs="IRNazanin"/>
          <w:lang w:bidi="fa-IR"/>
          <w:color w:val="111111"/>
          <w:sz w:val="28"/>
          <w:szCs w:val="28"/>
          <w:rtl/>
        </w:rPr>
        <w:t xml:space="preserve">در موضوع علوم جنگی</w:t>
      </w:r>
    </w:p>
    <w:p>
      <w:pPr>
        <w:pStyle w:val="BookText"/>
      </w:pPr>
      <w:r>
        <w:rPr>
          <w:rFonts w:ascii="IRNazanin" w:hAnsi="IRNazanin" w:eastAsia="IRNazanin" w:cs="IRNazanin"/>
          <w:lang w:bidi="fa-IR"/>
          <w:color w:val="111111"/>
          <w:sz w:val="28"/>
          <w:szCs w:val="28"/>
          <w:rtl/>
        </w:rPr>
        <w:t xml:space="preserve">مشهد؛ رضوی؛ شماره نسخه: 29181</w:t>
      </w:r>
    </w:p>
    <w:p>
      <w:pPr>
        <w:pStyle w:val="BookText"/>
      </w:pPr>
      <w:r>
        <w:rPr>
          <w:rFonts w:ascii="IRNazanin" w:hAnsi="IRNazanin" w:eastAsia="IRNazanin" w:cs="IRNazanin"/>
          <w:lang w:bidi="fa-IR"/>
          <w:color w:val="111111"/>
          <w:sz w:val="28"/>
          <w:szCs w:val="28"/>
          <w:rtl/>
        </w:rPr>
        <w:t xml:space="preserve">آغاز: اوردوی همایون تشکیلاتی دولت علیه عثمانه؛انجام: 4 بایراقدار 5 باثلا اسکی 6 آخچی فرسة 7 صاقه باشی.</w:t>
      </w:r>
    </w:p>
    <w:p>
      <w:pPr>
        <w:pStyle w:val="BookText"/>
      </w:pPr>
      <w:r>
        <w:rPr>
          <w:rFonts w:ascii="IRNazanin" w:hAnsi="IRNazanin" w:eastAsia="IRNazanin" w:cs="IRNazanin"/>
          <w:lang w:bidi="fa-IR"/>
          <w:color w:val="111111"/>
          <w:sz w:val="28"/>
          <w:szCs w:val="28"/>
          <w:rtl/>
        </w:rPr>
        <w:t xml:space="preserve">خط: نسخ، بی کا، تا: 1329ق؛ افتادگی: انجام [رایانه]</w:t>
      </w:r>
    </w:p>
    <w:p>
      <w:pPr>
        <w:pStyle w:val="Heading3"/>
      </w:pPr>
      <w:bookmarkStart w:id="511" w:name="_Toc33"/>
      <w:r>
        <w:t>اردیبهشت نامه / ،شعر تاریخ پیامبراکرم (صلّی اللَّهِ علیه وَ آلِهِ وَ سَلَّمَ ) / فارسی</w:t>
      </w:r>
      <w:bookmarkEnd w:id="511"/>
    </w:p>
    <w:p>
      <w:pPr>
        <w:pStyle w:val="BookText"/>
      </w:pPr>
      <w:r>
        <w:rPr>
          <w:rFonts w:ascii="Times New Roman" w:hAnsi="Times New Roman" w:eastAsia="Times New Roman" w:cs="Times New Roman"/>
          <w:lang w:val="en-US" w:bidi="en-US"/>
          <w:color w:val="111111"/>
          <w:sz w:val="28"/>
          <w:szCs w:val="28"/>
          <w:rtl/>
        </w:rPr>
        <w:t xml:space="preserve">ordībehešt-nāme</w:t>
      </w:r>
    </w:p>
    <w:p>
      <w:pPr>
        <w:pStyle w:val="BookText"/>
      </w:pPr>
      <w:r>
        <w:rPr>
          <w:rFonts w:ascii="IRNazanin" w:hAnsi="IRNazanin" w:eastAsia="IRNazanin" w:cs="IRNazanin"/>
          <w:lang w:bidi="fa-IR"/>
          <w:color w:val="111111"/>
          <w:sz w:val="28"/>
          <w:szCs w:val="28"/>
          <w:rtl/>
        </w:rPr>
        <w:t xml:space="preserve">،سروش محمد علی بن قنبر علی 1238 - 1285 قمری</w:t>
      </w:r>
    </w:p>
    <w:p>
      <w:pPr>
        <w:pStyle w:val="BookText"/>
      </w:pPr>
      <w:r>
        <w:rPr>
          <w:rFonts w:ascii="Times New Roman" w:hAnsi="Times New Roman" w:eastAsia="Times New Roman" w:cs="Times New Roman"/>
          <w:lang w:val="en-US" w:bidi="en-US"/>
          <w:color w:val="111111"/>
          <w:sz w:val="28"/>
          <w:szCs w:val="28"/>
          <w:rtl/>
        </w:rPr>
        <w:t xml:space="preserve">(1823 - 1869)sorūš, mohammad ‘alī ebn-e qanbar ‘alī</w:t>
      </w:r>
    </w:p>
    <w:p>
      <w:pPr>
        <w:pStyle w:val="BookText"/>
      </w:pPr>
      <w:r>
        <w:rPr>
          <w:rFonts w:ascii="IRNazanin" w:hAnsi="IRNazanin" w:eastAsia="IRNazanin" w:cs="IRNazanin"/>
          <w:lang w:bidi="fa-IR"/>
          <w:color w:val="111111"/>
          <w:sz w:val="28"/>
          <w:szCs w:val="28"/>
          <w:rtl/>
        </w:rPr>
        <w:t xml:space="preserve">مثنوی است در سرگذشت پیامبر از زمان زادن تا بعثت و وفات سپس شرح حال یکایک دوازده امام شیعه، مؤلف می گوید: «سخن از علی گوی و پیغمبرا *** در آن یازده شاه دین پرورا».</w:t>
      </w:r>
    </w:p>
    <w:p>
      <w:pPr>
        <w:pStyle w:val="BookText"/>
      </w:pPr>
      <w:r>
        <w:rPr>
          <w:rFonts w:ascii="IRNazanin" w:hAnsi="IRNazanin" w:eastAsia="IRNazanin" w:cs="IRNazanin"/>
          <w:lang w:bidi="fa-IR"/>
          <w:color w:val="111111"/>
          <w:sz w:val="28"/>
          <w:szCs w:val="28"/>
          <w:rtl/>
        </w:rPr>
        <w:t xml:space="preserve">وی این مثنوی را در چهل سالگی به نام شاه روزگار خود سروده است (مجمع الفصحا 2/184) و درباره آن نام آن می گوید: « کنم نام این نامه اردی بهشت*** بیارایم او را چو خرم بهشت»</w:t>
      </w:r>
    </w:p>
    <w:p>
      <w:pPr>
        <w:pStyle w:val="BookText"/>
      </w:pPr>
      <w:r>
        <w:rPr>
          <w:rFonts w:ascii="IRNazanin" w:hAnsi="IRNazanin" w:eastAsia="IRNazanin" w:cs="IRNazanin"/>
          <w:lang w:bidi="fa-IR"/>
          <w:color w:val="111111"/>
          <w:sz w:val="28"/>
          <w:szCs w:val="28"/>
          <w:rtl/>
        </w:rPr>
        <w:t xml:space="preserve">آغاز: ابر پاک یزدان فراوان سپاس*** که ما را ز اهریمنان داشت پاس.</w:t>
      </w:r>
    </w:p>
    <w:p>
      <w:pPr>
        <w:pStyle w:val="BookText"/>
      </w:pPr>
      <w:r>
        <w:rPr>
          <w:rFonts w:ascii="IRNazanin" w:hAnsi="IRNazanin" w:eastAsia="IRNazanin" w:cs="IRNazanin"/>
          <w:lang w:bidi="fa-IR"/>
          <w:color w:val="111111"/>
          <w:sz w:val="28"/>
          <w:szCs w:val="28"/>
          <w:rtl/>
        </w:rPr>
        <w:t xml:space="preserve">انجام: رساندم بسر انکه این داستان *** که بود از گل آراسته بوستان.</w:t>
      </w:r>
    </w:p>
    <w:p>
      <w:pPr>
        <w:pStyle w:val="BookText"/>
      </w:pPr>
      <w:r>
        <w:rPr>
          <w:rFonts w:ascii="IRNazanin" w:hAnsi="IRNazanin" w:eastAsia="IRNazanin" w:cs="IRNazanin"/>
          <w:lang w:bidi="fa-IR"/>
          <w:color w:val="111111"/>
          <w:sz w:val="28"/>
          <w:szCs w:val="28"/>
          <w:rtl/>
        </w:rPr>
        <w:t xml:space="preserve">[فهرستواره منزوی (130/10 و 1543/3]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ملی؛ شماره نسخه: 1327</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،خوش، بی کا، تا: قرن 13؛ جا: تهران؛ کاغذ: فرنگی :جلد: تيماج قرمز ،مقوایی 115گ 21 سطر (14</w:t>
      </w:r>
      <w:r>
        <w:rPr>
          <w:rFonts w:ascii="Times New Roman" w:hAnsi="Times New Roman" w:eastAsia="Times New Roman" w:cs="Times New Roman"/>
          <w:lang w:val="en-US" w:bidi="en-US"/>
          <w:color w:val="111111"/>
          <w:sz w:val="28"/>
          <w:szCs w:val="28"/>
          <w:rtl/>
        </w:rPr>
        <w:t xml:space="preserve">×25)</w:t>
      </w:r>
      <w:r>
        <w:rPr>
          <w:rFonts w:ascii="IRNazanin" w:hAnsi="IRNazanin" w:eastAsia="IRNazanin" w:cs="IRNazanin"/>
          <w:lang w:bidi="fa-IR"/>
          <w:color w:val="111111"/>
          <w:sz w:val="28"/>
          <w:szCs w:val="28"/>
          <w:rtl/>
        </w:rPr>
        <w:t xml:space="preserve">، اندازه: 21</w:t>
      </w:r>
      <w:r>
        <w:rPr>
          <w:rFonts w:ascii="Times New Roman" w:hAnsi="Times New Roman" w:eastAsia="Times New Roman" w:cs="Times New Roman"/>
          <w:lang w:val="en-US" w:bidi="en-US"/>
          <w:color w:val="111111"/>
          <w:sz w:val="28"/>
          <w:szCs w:val="28"/>
          <w:rtl/>
        </w:rPr>
        <w:t xml:space="preserve">×34/5</w:t>
      </w:r>
      <w:r>
        <w:rPr>
          <w:rFonts w:ascii="IRNazanin" w:hAnsi="IRNazanin" w:eastAsia="IRNazanin" w:cs="IRNazanin"/>
          <w:lang w:bidi="fa-IR"/>
          <w:color w:val="111111"/>
          <w:sz w:val="28"/>
          <w:szCs w:val="28"/>
          <w:rtl/>
        </w:rPr>
        <w:t xml:space="preserve">سم [ف: 3 - 389]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ادبیات؛ شماره نسخه: 34 - ب</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قرن 13 ؛کاغذ: فرنگی، جلد: تیماج سبز ضربی، 120 گ، 20 سطر (14</w:t>
      </w:r>
      <w:r>
        <w:rPr>
          <w:rFonts w:ascii="Times New Roman" w:hAnsi="Times New Roman" w:eastAsia="Times New Roman" w:cs="Times New Roman"/>
          <w:lang w:val="en-US" w:bidi="en-US"/>
          <w:color w:val="111111"/>
          <w:sz w:val="28"/>
          <w:szCs w:val="28"/>
          <w:rtl/>
        </w:rPr>
        <w:t xml:space="preserve">×25)</w:t>
      </w:r>
      <w:r>
        <w:rPr>
          <w:rFonts w:ascii="IRNazanin" w:hAnsi="IRNazanin" w:eastAsia="IRNazanin" w:cs="IRNazanin"/>
          <w:lang w:bidi="fa-IR"/>
          <w:color w:val="111111"/>
          <w:sz w:val="28"/>
          <w:szCs w:val="28"/>
          <w:rtl/>
        </w:rPr>
        <w:t xml:space="preserve">، اندازه: 21 </w:t>
      </w:r>
      <w:r>
        <w:rPr>
          <w:rFonts w:ascii="Times New Roman" w:hAnsi="Times New Roman" w:eastAsia="Times New Roman" w:cs="Times New Roman"/>
          <w:lang w:val="en-US" w:bidi="en-US"/>
          <w:color w:val="111111"/>
          <w:sz w:val="28"/>
          <w:szCs w:val="28"/>
          <w:rtl/>
        </w:rPr>
        <w:t xml:space="preserve">×34</w:t>
      </w:r>
      <w:r>
        <w:rPr>
          <w:rFonts w:ascii="IRNazanin" w:hAnsi="IRNazanin" w:eastAsia="IRNazanin" w:cs="IRNazanin"/>
          <w:lang w:bidi="fa-IR"/>
          <w:color w:val="111111"/>
          <w:sz w:val="28"/>
          <w:szCs w:val="28"/>
          <w:rtl/>
        </w:rPr>
        <w:t xml:space="preserve">سم [ف: 1 - 23]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سلطنتی؛ شماره نسخه: 559</w:t>
      </w:r>
    </w:p>
    <w:p>
      <w:pPr>
        <w:pStyle w:val="BookText"/>
      </w:pPr>
      <w:r>
        <w:rPr>
          <w:rFonts w:ascii="IRNazanin" w:hAnsi="IRNazanin" w:eastAsia="IRNazanin" w:cs="IRNazanin"/>
          <w:lang w:bidi="fa-IR"/>
          <w:color w:val="111111"/>
          <w:sz w:val="28"/>
          <w:szCs w:val="28"/>
          <w:rtl/>
        </w:rPr>
        <w:t xml:space="preserve">آغاز: برابر؛ انجام بود تا جهانرا بهار و تموز *** جهان پادشاه باد آئین فروز</w:t>
      </w:r>
    </w:p>
    <w:p>
      <w:pPr>
        <w:pStyle w:val="BookText"/>
      </w:pPr>
      <w:r>
        <w:rPr>
          <w:rFonts w:ascii="IRNazanin" w:hAnsi="IRNazanin" w:eastAsia="IRNazanin" w:cs="IRNazanin"/>
          <w:lang w:bidi="fa-IR"/>
          <w:color w:val="111111"/>
          <w:sz w:val="28"/>
          <w:szCs w:val="28"/>
          <w:rtl/>
        </w:rPr>
        <w:t xml:space="preserve">خط: نستعلیق، بی کا، بی تا؛ مجدول مذهب، با سرلوح مذهب مرصع؛ کاغذ: ترمه جلد: مقوای روغنی بوم گل ماشی منقش به گل و بوته الوان دارای چهار لچکی مذهب در حاشیه زمینه مشکی دانه تسبیحی طلایی بینهما یک حاشیه زمینه قهوه ای منقش به ریسه گل و غنچه الوان با پیچک های طلایی، 255ص، 19 سطر ، قطع وزیری اندازه: 21/4</w:t>
      </w:r>
      <w:r>
        <w:rPr>
          <w:rFonts w:ascii="Times New Roman" w:hAnsi="Times New Roman" w:eastAsia="Times New Roman" w:cs="Times New Roman"/>
          <w:lang w:val="en-US" w:bidi="en-US"/>
          <w:color w:val="111111"/>
          <w:sz w:val="28"/>
          <w:szCs w:val="28"/>
          <w:rtl/>
        </w:rPr>
        <w:t xml:space="preserve">×35</w:t>
      </w:r>
      <w:r>
        <w:rPr>
          <w:rFonts w:ascii="IRNazanin" w:hAnsi="IRNazanin" w:eastAsia="IRNazanin" w:cs="IRNazanin"/>
          <w:lang w:bidi="fa-IR"/>
          <w:color w:val="111111"/>
          <w:sz w:val="28"/>
          <w:szCs w:val="28"/>
          <w:rtl/>
        </w:rPr>
        <w:t xml:space="preserve">سم [ف: 3 - 493]</w:t>
      </w:r>
    </w:p>
    <w:p>
      <w:pPr>
        <w:pStyle w:val="Heading3"/>
      </w:pPr>
      <w:bookmarkStart w:id="512" w:name="_Toc34"/>
      <w:r>
        <w:t>الارزاق = تقدير الارزاق / فلسفه / عربی</w:t>
      </w:r>
      <w:bookmarkEnd w:id="512"/>
    </w:p>
    <w:p>
      <w:pPr>
        <w:pStyle w:val="BookText"/>
      </w:pPr>
      <w:r>
        <w:rPr>
          <w:rFonts w:ascii="Times New Roman" w:hAnsi="Times New Roman" w:eastAsia="Times New Roman" w:cs="Times New Roman"/>
          <w:lang w:val="en-US" w:bidi="en-US"/>
          <w:color w:val="111111"/>
          <w:sz w:val="28"/>
          <w:szCs w:val="28"/>
          <w:rtl/>
        </w:rPr>
        <w:t xml:space="preserve">al-arzāq = taqdīr-ul arzāq</w:t>
      </w:r>
    </w:p>
    <w:p>
      <w:pPr>
        <w:pStyle w:val="BookText"/>
      </w:pPr>
      <w:r>
        <w:rPr>
          <w:rFonts w:ascii="IRNazanin" w:hAnsi="IRNazanin" w:eastAsia="IRNazanin" w:cs="IRNazanin"/>
          <w:lang w:bidi="fa-IR"/>
          <w:color w:val="111111"/>
          <w:sz w:val="28"/>
          <w:szCs w:val="28"/>
          <w:rtl/>
        </w:rPr>
        <w:t xml:space="preserve">ابن سينا، حسین بن عبد الله 370؟ - 428 قمری</w:t>
      </w:r>
    </w:p>
    <w:p>
      <w:pPr>
        <w:pStyle w:val="BookText"/>
      </w:pPr>
      <w:r>
        <w:rPr>
          <w:rFonts w:ascii="Times New Roman" w:hAnsi="Times New Roman" w:eastAsia="Times New Roman" w:cs="Times New Roman"/>
          <w:lang w:val="en-US" w:bidi="en-US"/>
          <w:color w:val="111111"/>
          <w:sz w:val="28"/>
          <w:szCs w:val="28"/>
          <w:rtl/>
        </w:rPr>
        <w:t xml:space="preserve">(981 - 1038)ebn-e sīnā, hoseyn ebn-e ‘abd-ol-lāh</w:t>
      </w:r>
    </w:p>
    <w:p>
      <w:pPr>
        <w:pStyle w:val="BookText"/>
      </w:pPr>
      <w:r>
        <w:rPr>
          <w:rFonts w:ascii="IRNazanin" w:hAnsi="IRNazanin" w:eastAsia="IRNazanin" w:cs="IRNazanin"/>
          <w:lang w:bidi="fa-IR"/>
          <w:color w:val="111111"/>
          <w:sz w:val="28"/>
          <w:szCs w:val="28"/>
          <w:rtl/>
        </w:rPr>
        <w:t xml:space="preserve">گویا به درخواست ابوسعید ابی الخیر</w:t>
      </w:r>
    </w:p>
    <w:p>
      <w:pPr>
        <w:pStyle w:val="BookText"/>
      </w:pPr>
      <w:r>
        <w:rPr>
          <w:rFonts w:ascii="IRNazanin" w:hAnsi="IRNazanin" w:eastAsia="IRNazanin" w:cs="IRNazanin"/>
          <w:lang w:bidi="fa-IR"/>
          <w:color w:val="111111"/>
          <w:sz w:val="28"/>
          <w:szCs w:val="28"/>
          <w:rtl/>
        </w:rPr>
        <w:t xml:space="preserve">رساله ای است در بیان حکمت اختلاف تقدیر مردم در رزق تفاوت آنها در روزی که در پاسخ به چگونگی عدالت در ارزاق کافری ثروتمند چون سهل بن مطران، و مؤمنان بینوا (؟) نوشته شده است. دکتر مهدوی از نسخه ایاصوفیه نقل می کند که به جای کلمه شیخ الرئيس نام كامل ابن سینا را دارد و از نسخه «احمد ثالث» این عبارت را می افزاید که: «بالتماس الشيخ ابى سعيد بن ابي الخير». آغاز: بسمله هذه رسالة فى الأرزاق أثبتت مما جرت بين الشيخ الرئيس و بين جدلى معاصر له ثم هذبها الشيخ غاية التهذيب.</w:t>
      </w:r>
    </w:p>
    <w:p>
      <w:pPr>
        <w:pStyle w:val="BookText"/>
      </w:pPr>
      <w:r>
        <w:rPr>
          <w:rFonts w:ascii="Amiri" w:hAnsi="Amiri" w:eastAsia="Amiri" w:cs="Amiri"/>
          <w:lang w:bidi="ar-SA"/>
          <w:color w:val="111111"/>
          <w:sz w:val="28"/>
          <w:szCs w:val="28"/>
          <w:rtl/>
        </w:rPr>
        <w:t xml:space="preserve">الحمد لله و نعوذ بالله من علم يسلمنا إلى الجهل بعدله و الجمود بفضله ان كثيرا ممن لم يستطع ال سطر في الشأن</w:t>
      </w:r>
    </w:p>
    <w:p>
      <w:pPr>
        <w:pStyle w:val="BookText"/>
      </w:pPr>
      <w:r>
        <w:rPr>
          <w:rFonts w:ascii="Amiri" w:hAnsi="Amiri" w:eastAsia="Amiri" w:cs="Amiri"/>
          <w:lang w:bidi="ar-SA"/>
          <w:color w:val="111111"/>
          <w:sz w:val="28"/>
          <w:szCs w:val="28"/>
          <w:rtl/>
        </w:rPr>
        <w:t xml:space="preserve">انجام: ما يطول القول استخراجه حتى لا يوجد من العالم شيئى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باطل.</w:t>
      </w:r>
    </w:p>
    <w:p>
      <w:pPr>
        <w:pStyle w:val="BookText"/>
      </w:pPr>
      <w:r>
        <w:rPr>
          <w:rFonts w:ascii="IRNazanin" w:hAnsi="IRNazanin" w:eastAsia="IRNazanin" w:cs="IRNazanin"/>
          <w:lang w:bidi="fa-IR"/>
          <w:color w:val="111111"/>
          <w:sz w:val="28"/>
          <w:szCs w:val="28"/>
          <w:rtl/>
        </w:rPr>
        <w:t xml:space="preserve">چاپ: با تحقیق و تصحیح ریتر در مجله المجمع العلمى العربی (مجلد 25 ، ج 2 ، 1369 ه- ) در دمشق سوریه</w:t>
      </w:r>
    </w:p>
    <w:p>
      <w:pPr>
        <w:pStyle w:val="BookText"/>
      </w:pPr>
      <w:r>
        <w:rPr>
          <w:rFonts w:ascii="IRNazanin" w:hAnsi="IRNazanin" w:eastAsia="IRNazanin" w:cs="IRNazanin"/>
          <w:lang w:bidi="fa-IR"/>
          <w:color w:val="111111"/>
          <w:sz w:val="28"/>
          <w:szCs w:val="28"/>
          <w:rtl/>
        </w:rPr>
        <w:t xml:space="preserve">[فهرست نسخههای مصنفات ابن سینا، یحیی مهدوی، 1333ش، 28]</w:t>
      </w:r>
    </w:p>
    <w:p>
      <w:pPr>
        <w:pStyle w:val="BookText"/>
      </w:pPr>
      <w:r>
        <w:rPr>
          <w:rFonts w:ascii="IRNazanin" w:hAnsi="IRNazanin" w:eastAsia="IRNazanin" w:cs="IRNazanin"/>
          <w:lang w:bidi="fa-IR"/>
          <w:color w:val="111111"/>
          <w:sz w:val="28"/>
          <w:szCs w:val="28"/>
          <w:rtl/>
        </w:rPr>
        <w:t xml:space="preserve">1 . قم؛ مرعشی؛ شماره نسخه: 1457/16 عکسی</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نسخه اصل: گویا در کتابخانه دانشگاه پرینستون آمریکا؛ بی کا،تا: قرن 7؛ 3 ص (155-157) عکسی ف: 4 - 309]</w:t>
      </w:r>
    </w:p>
    <w:p>
      <w:pPr>
        <w:pStyle w:val="BookText"/>
      </w:pPr>
      <w:r>
        <w:rPr>
          <w:rFonts w:ascii="IRNazanin" w:hAnsi="IRNazanin" w:eastAsia="IRNazanin" w:cs="IRNazanin"/>
          <w:lang w:bidi="fa-IR"/>
          <w:color w:val="111111"/>
          <w:sz w:val="28"/>
          <w:szCs w:val="28"/>
          <w:rtl/>
        </w:rPr>
        <w:t xml:space="preserve">2.تهران؛ دانشگاه؛ شماره نسخه: 274/2-ف</w:t>
      </w:r>
    </w:p>
    <w:p>
      <w:pPr>
        <w:pStyle w:val="BookText"/>
      </w:pPr>
      <w:r>
        <w:rPr>
          <w:rFonts w:ascii="IRNazanin" w:hAnsi="IRNazanin" w:eastAsia="IRNazanin" w:cs="IRNazanin"/>
          <w:lang w:bidi="fa-IR"/>
          <w:color w:val="111111"/>
          <w:sz w:val="28"/>
          <w:szCs w:val="28"/>
          <w:rtl/>
        </w:rPr>
        <w:t xml:space="preserve">نسخه اصل: اسماعيل صائب ش 4605؛ خط: نسخ، بی کا، 696 ق؛ 19 سطر [فيلم ها - ف: 1 - 448]</w:t>
      </w:r>
    </w:p>
    <w:p>
      <w:pPr>
        <w:pStyle w:val="BookText"/>
      </w:pPr>
      <w:r>
        <w:rPr>
          <w:rFonts w:ascii="IRNazanin" w:hAnsi="IRNazanin" w:eastAsia="IRNazanin" w:cs="IRNazanin"/>
          <w:lang w:bidi="fa-IR"/>
          <w:color w:val="111111"/>
          <w:sz w:val="28"/>
          <w:szCs w:val="28"/>
          <w:rtl/>
        </w:rPr>
        <w:t xml:space="preserve">3.تهران؛ مجلس؛ شماره نسخه: 14/17</w:t>
      </w:r>
    </w:p>
    <w:p>
      <w:pPr>
        <w:pStyle w:val="BookText"/>
      </w:pPr>
      <w:r>
        <w:rPr>
          <w:rFonts w:ascii="IRNazanin" w:hAnsi="IRNazanin" w:eastAsia="IRNazanin" w:cs="IRNazanin"/>
          <w:lang w:bidi="fa-IR"/>
          <w:color w:val="111111"/>
          <w:sz w:val="28"/>
          <w:szCs w:val="28"/>
          <w:rtl/>
        </w:rPr>
        <w:t xml:space="preserve">خط: نستعلیق بی،کا تا: قرن 10 و 11؛ کاغذ: سفید :جلد: تیماج مشکی یک لا، 6 ص( 127-133)، 20 سطر (7</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14</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[سنا - ف: 1 - 7]</w:t>
      </w:r>
    </w:p>
    <w:p>
      <w:pPr>
        <w:pStyle w:val="BookText"/>
      </w:pPr>
      <w:r>
        <w:rPr>
          <w:rFonts w:ascii="IRNazanin" w:hAnsi="IRNazanin" w:eastAsia="IRNazanin" w:cs="IRNazanin"/>
          <w:lang w:bidi="fa-IR"/>
          <w:color w:val="111111"/>
          <w:sz w:val="28"/>
          <w:szCs w:val="28"/>
          <w:rtl/>
        </w:rPr>
        <w:t xml:space="preserve">4.مشهد؛ رضوی؛ شماره نسخه: 22678</w:t>
      </w:r>
    </w:p>
    <w:p>
      <w:pPr>
        <w:pStyle w:val="BookText"/>
      </w:pPr>
      <w:r>
        <w:rPr>
          <w:rFonts w:ascii="Amiri" w:hAnsi="Amiri" w:eastAsia="Amiri" w:cs="Amiri"/>
          <w:lang w:bidi="ar-SA"/>
          <w:color w:val="111111"/>
          <w:sz w:val="28"/>
          <w:szCs w:val="28"/>
          <w:rtl/>
        </w:rPr>
        <w:t xml:space="preserve">آغاز: برابر؛ انجام للشيخ الرئيس ابن سينا رحمه الله عليه</w:t>
      </w:r>
    </w:p>
    <w:p>
      <w:pPr>
        <w:pStyle w:val="BookText"/>
      </w:pPr>
      <w:r>
        <w:rPr>
          <w:rFonts w:ascii="IRNazanin" w:hAnsi="IRNazanin" w:eastAsia="IRNazanin" w:cs="IRNazanin"/>
          <w:lang w:bidi="fa-IR"/>
          <w:color w:val="111111"/>
          <w:sz w:val="28"/>
          <w:szCs w:val="28"/>
          <w:rtl/>
        </w:rPr>
        <w:t xml:space="preserve">خط: نسخ بی کا، تا: قرن 11 [رایانه]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تهران؛ دانشگاه؛ شماره نسخه: 2441/6</w:t>
      </w:r>
    </w:p>
    <w:p>
      <w:pPr>
        <w:pStyle w:val="BookText"/>
      </w:pPr>
      <w:r>
        <w:rPr>
          <w:rFonts w:ascii="IRNazanin" w:hAnsi="IRNazanin" w:eastAsia="IRNazanin" w:cs="IRNazanin"/>
          <w:lang w:bidi="fa-IR"/>
          <w:color w:val="111111"/>
          <w:sz w:val="28"/>
          <w:szCs w:val="28"/>
          <w:rtl/>
        </w:rPr>
        <w:t xml:space="preserve">خط: نستعليق، كا: عبدالرشید، تا: قرن 11 ؛ کاغذ ،سپاهانی جلد تیماج تریاکی ضربی زرکوب، 4 ص (94-97)، 25 سطر (8/5</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 اندازه: 15</w:t>
      </w:r>
      <w:r>
        <w:rPr>
          <w:rFonts w:ascii="Times New Roman" w:hAnsi="Times New Roman" w:eastAsia="Times New Roman" w:cs="Times New Roman"/>
          <w:lang w:val="en-US" w:bidi="en-US"/>
          <w:color w:val="111111"/>
          <w:sz w:val="28"/>
          <w:szCs w:val="28"/>
          <w:rtl/>
        </w:rPr>
        <w:t xml:space="preserve">× 24/5</w:t>
      </w:r>
      <w:r>
        <w:rPr>
          <w:rFonts w:ascii="IRNazanin" w:hAnsi="IRNazanin" w:eastAsia="IRNazanin" w:cs="IRNazanin"/>
          <w:lang w:bidi="fa-IR"/>
          <w:color w:val="111111"/>
          <w:sz w:val="28"/>
          <w:szCs w:val="28"/>
          <w:rtl/>
        </w:rPr>
        <w:t xml:space="preserve">سم [ف: 9 - 1120]</w:t>
      </w:r>
    </w:p>
    <w:p>
      <w:pPr>
        <w:pStyle w:val="BookText"/>
      </w:pPr>
      <w:r>
        <w:rPr>
          <w:rFonts w:ascii="IRNazanin" w:hAnsi="IRNazanin" w:eastAsia="IRNazanin" w:cs="IRNazanin"/>
          <w:lang w:bidi="fa-IR"/>
          <w:color w:val="111111"/>
          <w:sz w:val="28"/>
          <w:szCs w:val="28"/>
          <w:rtl/>
        </w:rPr>
        <w:t xml:space="preserve">6.تهران؛ مجلس؛ شماره نسخه: 1219/15</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،ریز بی کا، تا: 1046ق؛ کاغذ: فرنگی نازک و کهنه :جلد: تیماج مشکی، 5 ص (186-190) ، 23 سطر ، قطع: وزیری، اندازه: 12/5</w:t>
      </w:r>
      <w:r>
        <w:rPr>
          <w:rFonts w:ascii="Times New Roman" w:hAnsi="Times New Roman" w:eastAsia="Times New Roman" w:cs="Times New Roman"/>
          <w:lang w:val="en-US" w:bidi="en-US"/>
          <w:color w:val="111111"/>
          <w:sz w:val="28"/>
          <w:szCs w:val="28"/>
          <w:rtl/>
        </w:rPr>
        <w:t xml:space="preserve">×25</w:t>
      </w:r>
      <w:r>
        <w:rPr>
          <w:rFonts w:ascii="IRNazanin" w:hAnsi="IRNazanin" w:eastAsia="IRNazanin" w:cs="IRNazanin"/>
          <w:lang w:bidi="fa-IR"/>
          <w:color w:val="111111"/>
          <w:sz w:val="28"/>
          <w:szCs w:val="28"/>
          <w:rtl/>
        </w:rPr>
        <w:t xml:space="preserve">سم [ف: 4 - 149]</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اصفهان؛ دانشگاه؛ شماره نسخه: 280/7</w:t>
      </w:r>
    </w:p>
    <w:p>
      <w:pPr>
        <w:pStyle w:val="BookText"/>
      </w:pPr>
      <w:r>
        <w:rPr>
          <w:rFonts w:ascii="IRNazanin" w:hAnsi="IRNazanin" w:eastAsia="IRNazanin" w:cs="IRNazanin"/>
          <w:lang w:bidi="fa-IR"/>
          <w:color w:val="111111"/>
          <w:sz w:val="28"/>
          <w:szCs w:val="28"/>
          <w:rtl/>
        </w:rPr>
        <w:t xml:space="preserve">بی کا، تا: 1048ق [ نشریه: 11 - 936]</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اصفهان؛ دانشگاه؛ شماره نسخه: 346/5</w:t>
      </w:r>
    </w:p>
    <w:p>
      <w:pPr>
        <w:pStyle w:val="BookText"/>
      </w:pPr>
      <w:r>
        <w:rPr>
          <w:rFonts w:ascii="IRNazanin" w:hAnsi="IRNazanin" w:eastAsia="IRNazanin" w:cs="IRNazanin"/>
          <w:lang w:bidi="fa-IR"/>
          <w:color w:val="111111"/>
          <w:sz w:val="28"/>
          <w:szCs w:val="28"/>
          <w:rtl/>
        </w:rPr>
        <w:t xml:space="preserve">خط: نستعلیق، بی کا، تا: 1048ق؛ مصحح؛ جلد: تيماج عنابی، 3گ (71پ-73پ) ، اندازه:9</w:t>
      </w:r>
      <w:r>
        <w:rPr>
          <w:rFonts w:ascii="Times New Roman" w:hAnsi="Times New Roman" w:eastAsia="Times New Roman" w:cs="Times New Roman"/>
          <w:lang w:val="en-US" w:bidi="en-US"/>
          <w:color w:val="111111"/>
          <w:sz w:val="28"/>
          <w:szCs w:val="28"/>
          <w:rtl/>
        </w:rPr>
        <w:t xml:space="preserve">× 19</w:t>
      </w:r>
      <w:r>
        <w:rPr>
          <w:rFonts w:ascii="IRNazanin" w:hAnsi="IRNazanin" w:eastAsia="IRNazanin" w:cs="IRNazanin"/>
          <w:lang w:bidi="fa-IR"/>
          <w:color w:val="111111"/>
          <w:sz w:val="28"/>
          <w:szCs w:val="28"/>
          <w:rtl/>
        </w:rPr>
        <w:t xml:space="preserve">سم [ف: 1 - 250]</w:t>
      </w:r>
    </w:p>
    <w:p>
      <w:pPr>
        <w:pStyle w:val="BookText"/>
      </w:pPr>
      <w:r>
        <w:rPr>
          <w:rFonts w:ascii="IRNazanin" w:hAnsi="IRNazanin" w:eastAsia="IRNazanin" w:cs="IRNazanin"/>
          <w:lang w:bidi="fa-IR"/>
          <w:color w:val="111111"/>
          <w:sz w:val="28"/>
          <w:szCs w:val="28"/>
          <w:rtl/>
        </w:rPr>
        <w:t xml:space="preserve">اصفهان؛ ادبیات؛ شماره نسخه: 29/4</w:t>
      </w:r>
    </w:p>
    <w:p>
      <w:pPr>
        <w:pStyle w:val="BookText"/>
      </w:pPr>
      <w:r>
        <w:rPr>
          <w:rFonts w:ascii="IRNazanin" w:hAnsi="IRNazanin" w:eastAsia="IRNazanin" w:cs="IRNazanin"/>
          <w:lang w:bidi="fa-IR"/>
          <w:color w:val="111111"/>
          <w:sz w:val="28"/>
          <w:szCs w:val="28"/>
          <w:rtl/>
        </w:rPr>
        <w:t xml:space="preserve">همان نسخه بالا :نشریه 4 - 479]</w:t>
      </w:r>
    </w:p>
    <w:p>
      <w:pPr>
        <w:pStyle w:val="BookText"/>
      </w:pPr>
      <w:r>
        <w:rPr>
          <w:rFonts w:ascii="IRNazanin" w:hAnsi="IRNazanin" w:eastAsia="IRNazanin" w:cs="IRNazanin"/>
          <w:lang w:bidi="fa-IR"/>
          <w:color w:val="111111"/>
          <w:sz w:val="28"/>
          <w:szCs w:val="28"/>
          <w:rtl/>
        </w:rPr>
        <w:t xml:space="preserve">تهران؛ دانشگاه؛ شماره نسخه : 2508/5-ف</w:t>
      </w:r>
    </w:p>
    <w:p>
      <w:pPr>
        <w:pStyle w:val="BookText"/>
      </w:pPr>
      <w:r>
        <w:rPr>
          <w:rFonts w:ascii="Amiri" w:hAnsi="Amiri" w:eastAsia="Amiri" w:cs="Amiri"/>
          <w:lang w:bidi="ar-SA"/>
          <w:color w:val="111111"/>
          <w:sz w:val="28"/>
          <w:szCs w:val="28"/>
          <w:rtl/>
        </w:rPr>
        <w:t xml:space="preserve">نسخه اصل: همان نسخه بالا [فيلم ها - ف: 1 - 706]</w:t>
      </w:r>
    </w:p>
    <w:p>
      <w:pPr>
        <w:pStyle w:val="BookText"/>
      </w:pPr>
      <w:r>
        <w:rPr>
          <w:rFonts w:ascii="IRNazanin" w:hAnsi="IRNazanin" w:eastAsia="IRNazanin" w:cs="IRNazanin"/>
          <w:lang w:bidi="fa-IR"/>
          <w:color w:val="111111"/>
          <w:sz w:val="28"/>
          <w:szCs w:val="28"/>
          <w:rtl/>
        </w:rPr>
        <w:t xml:space="preserve">9.قم؛ مرعشی؛ شماره نسخه: 286/11</w:t>
      </w:r>
    </w:p>
    <w:p>
      <w:pPr>
        <w:pStyle w:val="BookText"/>
      </w:pPr>
      <w:r>
        <w:rPr>
          <w:rFonts w:ascii="IRNazanin" w:hAnsi="IRNazanin" w:eastAsia="IRNazanin" w:cs="IRNazanin"/>
          <w:lang w:bidi="fa-IR"/>
          <w:color w:val="111111"/>
          <w:sz w:val="28"/>
          <w:szCs w:val="28"/>
          <w:rtl/>
        </w:rPr>
        <w:t xml:space="preserve">آغاز: و کتب قدس الله روحه، إليه سمعت من الشيخ الزكي القاسم الفضل بن محمود المتطبب، أدام الله عزه، أنه جرت مناظرة بين مولانا الشيخ الرئيس أفضل المتأخرين جمع الله له شمل السرور. .. فأجاب الشيخ الرئيس، أعلى الله درجته، و قال: جری بینی و بین واحدمن .. بسم الله الرحمن الرحيم، رب وفق و أعن،الحمد لله و نعوذ بالله من علم يسلمنا إلى الجهل بعدله و الجحود لفضله أن كثيراً ممن لم يستطع النظر؛ انجام: برابر</w:t>
      </w:r>
    </w:p>
    <w:p>
      <w:pPr>
        <w:pStyle w:val="BookText"/>
      </w:pPr>
      <w:r>
        <w:rPr>
          <w:rFonts w:ascii="IRNazanin" w:hAnsi="IRNazanin" w:eastAsia="IRNazanin" w:cs="IRNazanin"/>
          <w:lang w:bidi="fa-IR"/>
          <w:color w:val="111111"/>
          <w:sz w:val="28"/>
          <w:szCs w:val="28"/>
          <w:rtl/>
        </w:rPr>
        <w:t xml:space="preserve">خط: نستعلیق :کا: شاه مراد بن نقد على فراهانی ورامینی، تا: 1072ق؛ کاغذ: شرقی ،نخودی :جلد: تیماج مشکی 2گ (37ر- 38پ)، 27 سطر ، اندازه: 18</w:t>
      </w:r>
      <w:r>
        <w:rPr>
          <w:rFonts w:ascii="Times New Roman" w:hAnsi="Times New Roman" w:eastAsia="Times New Roman" w:cs="Times New Roman"/>
          <w:lang w:val="en-US" w:bidi="en-US"/>
          <w:color w:val="111111"/>
          <w:sz w:val="28"/>
          <w:szCs w:val="28"/>
          <w:rtl/>
        </w:rPr>
        <w:t xml:space="preserve">×27/5 </w:t>
      </w:r>
      <w:r>
        <w:rPr>
          <w:rFonts w:ascii="Amiri" w:hAnsi="Amiri" w:eastAsia="Amiri" w:cs="Amiri"/>
          <w:lang w:bidi="ar-SA"/>
          <w:color w:val="111111"/>
          <w:sz w:val="28"/>
          <w:szCs w:val="28"/>
          <w:rtl/>
        </w:rPr>
        <w:t xml:space="preserve">سم [ ميراث شهاب: 42 - 119]</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قم؛ مرعشی؛ شماره نسخه: 286/58</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رساله حاضر نسخه دوم «رسالة فى الارزاق» در این مجموعه است، با این فرق که نسخه حاضر فاقد بخشی از مقدمه کتاب می باشد؛خط: نستعلیق، کا: شاه مراد بن نقد علی فراهانی ورامینی، تا: 1072ق؛ کاغذ: شرقی ،نخودی جلد: تیماج مشکی ضربی، 3گ (266پ- 268 ر ) ، 27 سطر ، اندازه: 18</w:t>
      </w:r>
      <w:r>
        <w:rPr>
          <w:rFonts w:ascii="Times New Roman" w:hAnsi="Times New Roman" w:eastAsia="Times New Roman" w:cs="Times New Roman"/>
          <w:lang w:val="en-US" w:bidi="en-US"/>
          <w:color w:val="111111"/>
          <w:sz w:val="28"/>
          <w:szCs w:val="28"/>
          <w:rtl/>
        </w:rPr>
        <w:t xml:space="preserve">×27/5</w:t>
      </w:r>
      <w:r>
        <w:rPr>
          <w:rFonts w:ascii="Amiri" w:hAnsi="Amiri" w:eastAsia="Amiri" w:cs="Amiri"/>
          <w:lang w:bidi="ar-SA"/>
          <w:color w:val="111111"/>
          <w:sz w:val="28"/>
          <w:szCs w:val="28"/>
          <w:rtl/>
        </w:rPr>
        <w:t xml:space="preserve">سم [ ميراث شهاب: 42 - 141]</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قم؛ مرعشی؛ شماره نسخه: 13096/12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ابوالقاسم حسینی فرزند میرزا عزیز، تا: قرن 13 ؛ محشی، کاغذ: فرنگی آهار مهره، 3گ (103 پ - 105ر)، 33 سطر ، اندازه: 15</w:t>
      </w:r>
      <w:r>
        <w:rPr>
          <w:rFonts w:ascii="Times New Roman" w:hAnsi="Times New Roman" w:eastAsia="Times New Roman" w:cs="Times New Roman"/>
          <w:lang w:val="en-US" w:bidi="en-US"/>
          <w:color w:val="111111"/>
          <w:sz w:val="28"/>
          <w:szCs w:val="28"/>
          <w:rtl/>
        </w:rPr>
        <w:t xml:space="preserve">×27</w:t>
      </w:r>
      <w:r>
        <w:rPr>
          <w:rFonts w:ascii="IRNazanin" w:hAnsi="IRNazanin" w:eastAsia="IRNazanin" w:cs="IRNazanin"/>
          <w:lang w:bidi="fa-IR"/>
          <w:color w:val="111111"/>
          <w:sz w:val="28"/>
          <w:szCs w:val="28"/>
          <w:rtl/>
        </w:rPr>
        <w:t xml:space="preserve">سم [ف: 33 - 175]</w:t>
      </w:r>
    </w:p>
    <w:p>
      <w:pPr>
        <w:pStyle w:val="BookText"/>
      </w:pPr>
      <w:r>
        <w:rPr>
          <w:rFonts w:ascii="IRNazanin" w:hAnsi="IRNazanin" w:eastAsia="IRNazanin" w:cs="IRNazanin"/>
          <w:lang w:bidi="fa-IR"/>
          <w:color w:val="111111"/>
          <w:sz w:val="28"/>
          <w:szCs w:val="28"/>
          <w:rtl/>
        </w:rPr>
        <w:t xml:space="preserve">12 قم؛ مرعشی؛ شماره نسخه: 15113/23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سید اسدالله صفوی ماسالی مصطفوی، تا: قرن 14؛ مصحح؛ کاغذ: فرنگی 3گ (71-73)، 25 سطر ، اندازه: 8</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سم [ف: 38 - 309]</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تهران؛ مجلس؛ شماره نسخه: 6511/6</w:t>
      </w:r>
    </w:p>
    <w:p>
      <w:pPr>
        <w:pStyle w:val="BookText"/>
      </w:pPr>
      <w:r>
        <w:rPr>
          <w:rFonts w:ascii="IRNazanin" w:hAnsi="IRNazanin" w:eastAsia="IRNazanin" w:cs="IRNazanin"/>
          <w:lang w:bidi="fa-IR"/>
          <w:color w:val="111111"/>
          <w:sz w:val="28"/>
          <w:szCs w:val="28"/>
          <w:rtl/>
        </w:rPr>
        <w:t xml:space="preserve">خط: نستعلیق، بی کا، بی تا؛ مصحح؛ جلد: مقوایی ابر و باد عطف تیماج قهوه ای، 1گ (23 ر - 24پ) اندازه: 14/5</w:t>
      </w:r>
      <w:r>
        <w:rPr>
          <w:rFonts w:ascii="Times New Roman" w:hAnsi="Times New Roman" w:eastAsia="Times New Roman" w:cs="Times New Roman"/>
          <w:lang w:val="en-US" w:bidi="en-US"/>
          <w:color w:val="111111"/>
          <w:sz w:val="28"/>
          <w:szCs w:val="28"/>
          <w:rtl/>
        </w:rPr>
        <w:t xml:space="preserve">×22/5</w:t>
      </w:r>
      <w:r>
        <w:rPr>
          <w:rFonts w:ascii="IRNazanin" w:hAnsi="IRNazanin" w:eastAsia="IRNazanin" w:cs="IRNazanin"/>
          <w:lang w:bidi="fa-IR"/>
          <w:color w:val="111111"/>
          <w:sz w:val="28"/>
          <w:szCs w:val="28"/>
          <w:rtl/>
        </w:rPr>
        <w:t xml:space="preserve">سم [ف: 20- 87]</w:t>
      </w:r>
    </w:p>
    <w:p>
      <w:pPr>
        <w:pStyle w:val="BookText"/>
      </w:pPr>
      <w:r>
        <w:rPr>
          <w:rFonts w:ascii="IRNazanin" w:hAnsi="IRNazanin" w:eastAsia="IRNazanin" w:cs="IRNazanin"/>
          <w:lang w:bidi="fa-IR"/>
          <w:color w:val="111111"/>
          <w:sz w:val="28"/>
          <w:szCs w:val="28"/>
          <w:rtl/>
        </w:rPr>
        <w:t xml:space="preserve">14 . همدان؛ مدرسه غرب؛ شماره نسخه: 4752/7</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نام مؤلف و کتاب به قرینه آغاز و انجام نسخه تعیین شد؛ خط: شکسته نستعلیق، بی کا، بی تا؛ قطع: ربعی :ف: 1541]</w:t>
      </w:r>
    </w:p>
    <w:p>
      <w:pPr>
        <w:pStyle w:val="BookText"/>
      </w:pPr>
      <w:r>
        <w:rPr>
          <w:rFonts w:ascii="IRNazanin" w:hAnsi="IRNazanin" w:eastAsia="IRNazanin" w:cs="IRNazanin"/>
          <w:lang w:bidi="fa-IR"/>
          <w:color w:val="111111"/>
          <w:sz w:val="28"/>
          <w:szCs w:val="28"/>
          <w:rtl/>
        </w:rPr>
        <w:t xml:space="preserve">15 تهران؛ ملک؛ شماره نسخه: 6169/10</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کاغذ: فستقی، جلد: میشن آبی، 2گ (151 ر - (153 پ) ، 24 سطر ، اندازه:15</w:t>
      </w:r>
      <w:r>
        <w:rPr>
          <w:rFonts w:ascii="Times New Roman" w:hAnsi="Times New Roman" w:eastAsia="Times New Roman" w:cs="Times New Roman"/>
          <w:lang w:val="en-US" w:bidi="en-US"/>
          <w:color w:val="111111"/>
          <w:sz w:val="28"/>
          <w:szCs w:val="28"/>
          <w:rtl/>
        </w:rPr>
        <w:t xml:space="preserve">×21/2 </w:t>
      </w:r>
      <w:r>
        <w:rPr>
          <w:rFonts w:ascii="IRNazanin" w:hAnsi="IRNazanin" w:eastAsia="IRNazanin" w:cs="IRNazanin"/>
          <w:lang w:bidi="fa-IR"/>
          <w:color w:val="111111"/>
          <w:sz w:val="28"/>
          <w:szCs w:val="28"/>
          <w:rtl/>
        </w:rPr>
        <w:t xml:space="preserve">سم [ف: 9 - 209]</w:t>
      </w:r>
    </w:p>
    <w:p>
      <w:pPr>
        <w:pStyle w:val="BookText"/>
      </w:pPr>
      <w:r>
        <w:rPr>
          <w:rFonts w:ascii="IRNazanin" w:hAnsi="IRNazanin" w:eastAsia="IRNazanin" w:cs="IRNazanin"/>
          <w:lang w:bidi="fa-IR"/>
          <w:color w:val="111111"/>
          <w:sz w:val="28"/>
          <w:szCs w:val="28"/>
          <w:rtl/>
        </w:rPr>
        <w:t xml:space="preserve">16.تهران؛ ملی؛ شماره نسخه: 2222/3</w:t>
      </w:r>
    </w:p>
    <w:p>
      <w:pPr>
        <w:pStyle w:val="BookText"/>
      </w:pPr>
      <w:r>
        <w:rPr>
          <w:rFonts w:ascii="IRNazanin" w:hAnsi="IRNazanin" w:eastAsia="IRNazanin" w:cs="IRNazanin"/>
          <w:lang w:bidi="fa-IR"/>
          <w:color w:val="111111"/>
          <w:sz w:val="28"/>
          <w:szCs w:val="28"/>
          <w:rtl/>
        </w:rPr>
        <w:t xml:space="preserve">آغاز: هذه رسالة في الارزاق، اثبت مما جرى بين الشيخ الرئيس و بين جدلی معاصر له، ثم هذبها الشيخ غاية التهذيب. الحمدلله و نعوذ بالله من علم يسلمنا الى الجهل بعدله و الجحود بفضله؛ انجام: برابر</w:t>
      </w:r>
    </w:p>
    <w:p>
      <w:pPr>
        <w:pStyle w:val="BookText"/>
      </w:pPr>
      <w:r>
        <w:rPr>
          <w:rFonts w:ascii="IRNazanin" w:hAnsi="IRNazanin" w:eastAsia="IRNazanin" w:cs="IRNazanin"/>
          <w:lang w:bidi="fa-IR"/>
          <w:color w:val="111111"/>
          <w:sz w:val="28"/>
          <w:szCs w:val="28"/>
          <w:rtl/>
        </w:rPr>
        <w:t xml:space="preserve">بی کا، بی تا؛ کاغذ: فرنگی ،زرد 4گ( 17پ-20پ)، 17 سطر [ف: 11 - 579]</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قم؛ مرعشی؛ شماره نسخه: 7036/15</w:t>
      </w:r>
    </w:p>
    <w:p>
      <w:pPr>
        <w:pStyle w:val="BookText"/>
      </w:pPr>
      <w:r>
        <w:rPr>
          <w:rFonts w:ascii="IRNazanin" w:hAnsi="IRNazanin" w:eastAsia="IRNazanin" w:cs="IRNazanin"/>
          <w:lang w:bidi="fa-IR"/>
          <w:color w:val="111111"/>
          <w:sz w:val="28"/>
          <w:szCs w:val="28"/>
          <w:rtl/>
        </w:rPr>
        <w:t xml:space="preserve">خط: نسخ و نستعلیق، بی کا، بی تا؛ جلد: تیماج قهوه ای، 2گ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0" w:name="pg20365_259964"/>
    <w:bookmarkEnd w:id="10"/>
    <w:p>
      <w:pPr>
        <w:pStyle w:val="BookText"/>
      </w:pPr>
      <w:r>
        <w:rPr>
          <w:rFonts w:ascii="IRNazanin" w:hAnsi="IRNazanin" w:eastAsia="IRNazanin" w:cs="IRNazanin"/>
          <w:lang w:bidi="fa-IR"/>
          <w:color w:val="111111"/>
          <w:sz w:val="28"/>
          <w:szCs w:val="28"/>
          <w:rtl/>
        </w:rPr>
        <w:t xml:space="preserve">(146ر -147ر)، اندازه 18/5</w:t>
      </w:r>
      <w:r>
        <w:rPr>
          <w:rFonts w:ascii="Times New Roman" w:hAnsi="Times New Roman" w:eastAsia="Times New Roman" w:cs="Times New Roman"/>
          <w:lang w:val="en-US" w:bidi="en-US"/>
          <w:color w:val="111111"/>
          <w:sz w:val="28"/>
          <w:szCs w:val="28"/>
          <w:rtl/>
        </w:rPr>
        <w:t xml:space="preserve">×30</w:t>
      </w:r>
      <w:r>
        <w:rPr>
          <w:rFonts w:ascii="IRNazanin" w:hAnsi="IRNazanin" w:eastAsia="IRNazanin" w:cs="IRNazanin"/>
          <w:lang w:bidi="fa-IR"/>
          <w:color w:val="111111"/>
          <w:sz w:val="28"/>
          <w:szCs w:val="28"/>
          <w:rtl/>
        </w:rPr>
        <w:t xml:space="preserve">سم [ف : 18 - 200]</w:t>
      </w:r>
    </w:p>
    <w:p>
      <w:pPr>
        <w:pStyle w:val="BookText"/>
      </w:pPr>
      <w:r>
        <w:rPr>
          <w:rFonts w:ascii="IRNazanin" w:hAnsi="IRNazanin" w:eastAsia="IRNazanin" w:cs="IRNazanin"/>
          <w:lang w:bidi="fa-IR"/>
          <w:color w:val="111111"/>
          <w:sz w:val="28"/>
          <w:szCs w:val="28"/>
          <w:rtl/>
        </w:rPr>
        <w:t xml:space="preserve">18 قم؛ مرعشی؛ شماره نسخه: 4250/6</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ولی الله تفریشی، بی تا؛ جلد: تیماج قهوه ای ضربی، 6گ (105 پ - 110ر) ، اندازه: 13/5</w:t>
      </w:r>
      <w:r>
        <w:rPr>
          <w:rFonts w:ascii="Times New Roman" w:hAnsi="Times New Roman" w:eastAsia="Times New Roman" w:cs="Times New Roman"/>
          <w:lang w:val="en-US" w:bidi="en-US"/>
          <w:color w:val="111111"/>
          <w:sz w:val="28"/>
          <w:szCs w:val="28"/>
          <w:rtl/>
        </w:rPr>
        <w:t xml:space="preserve">× 19</w:t>
      </w:r>
      <w:r>
        <w:rPr>
          <w:rFonts w:ascii="IRNazanin" w:hAnsi="IRNazanin" w:eastAsia="IRNazanin" w:cs="IRNazanin"/>
          <w:lang w:bidi="fa-IR"/>
          <w:color w:val="111111"/>
          <w:sz w:val="28"/>
          <w:szCs w:val="28"/>
          <w:rtl/>
        </w:rPr>
        <w:t xml:space="preserve">سم [ف: 11-250]</w:t>
      </w:r>
    </w:p>
    <w:p>
      <w:pPr>
        <w:pStyle w:val="BookText"/>
      </w:pPr>
      <w:r>
        <w:rPr>
          <w:rFonts w:ascii="IRNazanin" w:hAnsi="IRNazanin" w:eastAsia="IRNazanin" w:cs="IRNazanin"/>
          <w:lang w:bidi="fa-IR"/>
          <w:color w:val="111111"/>
          <w:sz w:val="28"/>
          <w:szCs w:val="28"/>
          <w:rtl/>
        </w:rPr>
        <w:t xml:space="preserve">19.تهران؛ دانشگاه؛ شماره نسخه : 438/1-ف</w:t>
      </w:r>
    </w:p>
    <w:p>
      <w:pPr>
        <w:pStyle w:val="BookText"/>
      </w:pPr>
      <w:r>
        <w:rPr>
          <w:rFonts w:ascii="IRNazanin" w:hAnsi="IRNazanin" w:eastAsia="IRNazanin" w:cs="IRNazanin"/>
          <w:lang w:bidi="fa-IR"/>
          <w:color w:val="111111"/>
          <w:sz w:val="28"/>
          <w:szCs w:val="28"/>
          <w:rtl/>
        </w:rPr>
        <w:t xml:space="preserve">نسخه اصل: ایاصوفیا ش 4853؛ بی کا، بی تا؛ 7گ (7- 14) [فیلم ها - - ف: 1 - 472]</w:t>
      </w:r>
    </w:p>
    <w:p>
      <w:pPr>
        <w:pStyle w:val="BookText"/>
      </w:pPr>
      <w:r>
        <w:rPr>
          <w:rFonts w:ascii="IRNazanin" w:hAnsi="IRNazanin" w:eastAsia="IRNazanin" w:cs="IRNazanin"/>
          <w:lang w:bidi="fa-IR"/>
          <w:color w:val="111111"/>
          <w:sz w:val="28"/>
          <w:szCs w:val="28"/>
          <w:rtl/>
        </w:rPr>
        <w:t xml:space="preserve">20.تهران؛ دانشگاه؛ شماره نسخه: 1149/71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تعلیق، بی کا، بی تا :کاغذ: سمرقندی ،کلفت جلد: تیماج تریاکی ضربی مقوایی 383گ (3ر-384ر)، 31 سطر ، اندازه: 13</w:t>
      </w:r>
      <w:r>
        <w:rPr>
          <w:rFonts w:ascii="Times New Roman" w:hAnsi="Times New Roman" w:eastAsia="Times New Roman" w:cs="Times New Roman"/>
          <w:lang w:val="en-US" w:bidi="en-US"/>
          <w:color w:val="111111"/>
          <w:sz w:val="28"/>
          <w:szCs w:val="28"/>
          <w:rtl/>
        </w:rPr>
        <w:t xml:space="preserve">×23</w:t>
      </w:r>
      <w:r>
        <w:rPr>
          <w:rFonts w:ascii="IRNazanin" w:hAnsi="IRNazanin" w:eastAsia="IRNazanin" w:cs="IRNazanin"/>
          <w:lang w:bidi="fa-IR"/>
          <w:color w:val="111111"/>
          <w:sz w:val="28"/>
          <w:szCs w:val="28"/>
          <w:rtl/>
        </w:rPr>
        <w:t xml:space="preserve">سم [ف: 6 - 2434]</w:t>
      </w:r>
    </w:p>
    <w:p>
      <w:pPr>
        <w:pStyle w:val="BookText"/>
      </w:pPr>
      <w:r>
        <w:rPr>
          <w:rFonts w:ascii="IRNazanin" w:hAnsi="IRNazanin" w:eastAsia="IRNazanin" w:cs="IRNazanin"/>
          <w:lang w:bidi="fa-IR"/>
          <w:color w:val="111111"/>
          <w:sz w:val="28"/>
          <w:szCs w:val="28"/>
          <w:rtl/>
        </w:rPr>
        <w:t xml:space="preserve">21.تهران؛ ادبیات؛ شماره نسخه: 1/ 215 - ج</w:t>
      </w:r>
    </w:p>
    <w:p>
      <w:pPr>
        <w:pStyle w:val="BookText"/>
      </w:pPr>
      <w:r>
        <w:rPr>
          <w:rFonts w:ascii="IRNazanin" w:hAnsi="IRNazanin" w:eastAsia="IRNazanin" w:cs="IRNazanin"/>
          <w:lang w:bidi="fa-IR"/>
          <w:color w:val="111111"/>
          <w:sz w:val="28"/>
          <w:szCs w:val="28"/>
          <w:rtl/>
        </w:rPr>
        <w:t xml:space="preserve">بی کا، بی تا؛ در عنوان نسخه ما آمده «رد الشيخ الرئيس لقول احد معاصر يه فى الارزاق» در برگ( 60 پ- 61ر ) فهرست شریع حلی است؛ 2 گ (58پ- 60پ) [ف: 1 - 23]</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مشهد؛ رضوی؛ شماره نسخه: 544</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در سه ستون به طور چلیپا، مجدول، مذهب، 2 ص؛ واقف: نائینی اندازه: 26</w:t>
      </w:r>
      <w:r>
        <w:rPr>
          <w:rFonts w:ascii="Times New Roman" w:hAnsi="Times New Roman" w:eastAsia="Times New Roman" w:cs="Times New Roman"/>
          <w:lang w:val="en-US" w:bidi="en-US"/>
          <w:color w:val="111111"/>
          <w:sz w:val="28"/>
          <w:szCs w:val="28"/>
          <w:rtl/>
        </w:rPr>
        <w:t xml:space="preserve">× 43</w:t>
      </w:r>
      <w:r>
        <w:rPr>
          <w:rFonts w:ascii="IRNazanin" w:hAnsi="IRNazanin" w:eastAsia="IRNazanin" w:cs="IRNazanin"/>
          <w:lang w:bidi="fa-IR"/>
          <w:color w:val="111111"/>
          <w:sz w:val="28"/>
          <w:szCs w:val="28"/>
          <w:rtl/>
        </w:rPr>
        <w:t xml:space="preserve">سم [ف 4 -109]</w:t>
      </w:r>
    </w:p>
    <w:p>
      <w:pPr>
        <w:pStyle w:val="Heading3"/>
      </w:pPr>
      <w:bookmarkStart w:id="513" w:name="_Toc35"/>
      <w:r>
        <w:t>الارزاق (القول في) / عربي</w:t>
      </w:r>
      <w:bookmarkEnd w:id="513"/>
    </w:p>
    <w:p>
      <w:pPr>
        <w:pStyle w:val="BookText"/>
      </w:pPr>
      <w:r>
        <w:rPr>
          <w:rFonts w:ascii="Times New Roman" w:hAnsi="Times New Roman" w:eastAsia="Times New Roman" w:cs="Times New Roman"/>
          <w:lang w:val="en-US" w:bidi="en-US"/>
          <w:color w:val="111111"/>
          <w:sz w:val="28"/>
          <w:szCs w:val="28"/>
          <w:rtl/>
        </w:rPr>
        <w:t xml:space="preserve">al-arzāq (al-qawl fī)</w:t>
      </w:r>
    </w:p>
    <w:p>
      <w:pPr>
        <w:pStyle w:val="BookText"/>
      </w:pPr>
      <w:r>
        <w:rPr>
          <w:rFonts w:ascii="IRNazanin" w:hAnsi="IRNazanin" w:eastAsia="IRNazanin" w:cs="IRNazanin"/>
          <w:lang w:bidi="fa-IR"/>
          <w:color w:val="111111"/>
          <w:sz w:val="28"/>
          <w:szCs w:val="28"/>
          <w:rtl/>
        </w:rPr>
        <w:t xml:space="preserve">تهران؛ دانشگاه؛ شماره نسخه : 6616/27</w:t>
      </w:r>
    </w:p>
    <w:p>
      <w:pPr>
        <w:pStyle w:val="BookText"/>
      </w:pPr>
      <w:r>
        <w:rPr>
          <w:rFonts w:ascii="IRNazanin" w:hAnsi="IRNazanin" w:eastAsia="IRNazanin" w:cs="IRNazanin"/>
          <w:lang w:bidi="fa-IR"/>
          <w:color w:val="111111"/>
          <w:sz w:val="28"/>
          <w:szCs w:val="28"/>
          <w:rtl/>
        </w:rPr>
        <w:t xml:space="preserve">باید جزو کتابی باشد؛ خط: نسخ، کا: احمد ،سروی، تا: ربیع الاول 1071ق؛ کاغذ: سپاهانی، جلد: تیماج تریاکی ضربی مقوایی، 1گ (111ر-112پ)، 27 سطر (10</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 قطع: رحلی، اندازه : 18</w:t>
      </w:r>
      <w:r>
        <w:rPr>
          <w:rFonts w:ascii="Times New Roman" w:hAnsi="Times New Roman" w:eastAsia="Times New Roman" w:cs="Times New Roman"/>
          <w:lang w:val="en-US" w:bidi="en-US"/>
          <w:color w:val="111111"/>
          <w:sz w:val="28"/>
          <w:szCs w:val="28"/>
          <w:rtl/>
        </w:rPr>
        <w:t xml:space="preserve">×31</w:t>
      </w:r>
      <w:r>
        <w:rPr>
          <w:rFonts w:ascii="IRNazanin" w:hAnsi="IRNazanin" w:eastAsia="IRNazanin" w:cs="IRNazanin"/>
          <w:lang w:bidi="fa-IR"/>
          <w:color w:val="111111"/>
          <w:sz w:val="28"/>
          <w:szCs w:val="28"/>
          <w:rtl/>
        </w:rPr>
        <w:t xml:space="preserve">سم [ف: 16 - 310]</w:t>
      </w:r>
    </w:p>
    <w:p>
      <w:pPr>
        <w:pStyle w:val="Heading3"/>
      </w:pPr>
      <w:bookmarkStart w:id="514" w:name="_Toc36"/>
      <w:r>
        <w:t>ارزش دانش / اصول فقه / فارسی</w:t>
      </w:r>
      <w:bookmarkEnd w:id="514"/>
    </w:p>
    <w:p>
      <w:pPr>
        <w:pStyle w:val="BookText"/>
      </w:pPr>
      <w:r>
        <w:rPr>
          <w:rFonts w:ascii="IRNazanin" w:hAnsi="IRNazanin" w:eastAsia="IRNazanin" w:cs="IRNazanin"/>
          <w:lang w:bidi="fa-IR"/>
          <w:color w:val="111111"/>
          <w:sz w:val="28"/>
          <w:szCs w:val="28"/>
          <w:rtl/>
        </w:rPr>
        <w:t xml:space="preserve">طواری ،یزدی، عباس بن محمد، ق 15 قمری</w:t>
      </w:r>
    </w:p>
    <w:p>
      <w:pPr>
        <w:pStyle w:val="BookText"/>
      </w:pPr>
      <w:r>
        <w:rPr>
          <w:rFonts w:ascii="Times New Roman" w:hAnsi="Times New Roman" w:eastAsia="Times New Roman" w:cs="Times New Roman"/>
          <w:lang w:val="en-US" w:bidi="en-US"/>
          <w:color w:val="111111"/>
          <w:sz w:val="28"/>
          <w:szCs w:val="28"/>
          <w:rtl/>
        </w:rPr>
        <w:t xml:space="preserve">avārī yazdī, ‘abbās-e bn-e mohammad ( - 21c)</w:t>
      </w:r>
    </w:p>
    <w:p>
      <w:pPr>
        <w:pStyle w:val="BookText"/>
      </w:pPr>
      <w:r>
        <w:rPr>
          <w:rFonts w:ascii="IRNazanin" w:hAnsi="IRNazanin" w:eastAsia="IRNazanin" w:cs="IRNazanin"/>
          <w:lang w:bidi="fa-IR"/>
          <w:color w:val="111111"/>
          <w:sz w:val="28"/>
          <w:szCs w:val="28"/>
          <w:rtl/>
        </w:rPr>
        <w:t xml:space="preserve">یزد؛ وزیری؛ شماره نسخه: 4230</w:t>
      </w:r>
    </w:p>
    <w:p>
      <w:pPr>
        <w:pStyle w:val="BookText"/>
      </w:pPr>
      <w:r>
        <w:rPr>
          <w:rFonts w:ascii="IRNazanin" w:hAnsi="IRNazanin" w:eastAsia="IRNazanin" w:cs="IRNazanin"/>
          <w:lang w:bidi="fa-IR"/>
          <w:color w:val="111111"/>
          <w:sz w:val="28"/>
          <w:szCs w:val="28"/>
          <w:rtl/>
        </w:rPr>
        <w:t xml:space="preserve">كاتب = مؤلف، تا: 1409ق [ نشریه: 13 - 378]</w:t>
      </w:r>
    </w:p>
    <w:p>
      <w:pPr>
        <w:pStyle w:val="Heading3"/>
      </w:pPr>
      <w:bookmarkStart w:id="515" w:name="_Toc37"/>
      <w:r>
        <w:t>ارزش و بزرگواری حضرت پیغمبر اسلام(صلّی اللَّهِ علیه وَ آلِهِ وَ سَلَّمَ ) / اصول فقه / فارسی</w:t>
      </w:r>
      <w:bookmarkEnd w:id="515"/>
    </w:p>
    <w:p>
      <w:pPr>
        <w:pStyle w:val="BookText"/>
      </w:pPr>
      <w:r>
        <w:rPr>
          <w:rFonts w:ascii="Times New Roman" w:hAnsi="Times New Roman" w:eastAsia="Times New Roman" w:cs="Times New Roman"/>
          <w:lang w:val="en-US" w:bidi="en-US"/>
          <w:color w:val="111111"/>
          <w:sz w:val="28"/>
          <w:szCs w:val="28"/>
          <w:rtl/>
        </w:rPr>
        <w:t xml:space="preserve">arzeš va bozorgvārī-ye hazrat-e peyqambar-e eslām</w:t>
      </w:r>
    </w:p>
    <w:p>
      <w:pPr>
        <w:pStyle w:val="BookText"/>
      </w:pPr>
      <w:r>
        <w:rPr>
          <w:rFonts w:ascii="IRNazanin" w:hAnsi="IRNazanin" w:eastAsia="IRNazanin" w:cs="IRNazanin"/>
          <w:lang w:bidi="fa-IR"/>
          <w:color w:val="111111"/>
          <w:sz w:val="28"/>
          <w:szCs w:val="28"/>
          <w:rtl/>
        </w:rPr>
        <w:t xml:space="preserve">طواری ،یزدی عباس بن محمد ق 15 قمری</w:t>
      </w:r>
    </w:p>
    <w:p>
      <w:pPr>
        <w:pStyle w:val="BookText"/>
      </w:pPr>
      <w:r>
        <w:rPr>
          <w:rFonts w:ascii="Times New Roman" w:hAnsi="Times New Roman" w:eastAsia="Times New Roman" w:cs="Times New Roman"/>
          <w:lang w:val="en-US" w:bidi="en-US"/>
          <w:color w:val="111111"/>
          <w:sz w:val="28"/>
          <w:szCs w:val="28"/>
          <w:rtl/>
        </w:rPr>
        <w:t xml:space="preserve">tavārī yazdī, ‘abbās-e bn-e mohammad (-21c)</w:t>
      </w:r>
    </w:p>
    <w:p>
      <w:pPr>
        <w:pStyle w:val="BookText"/>
      </w:pPr>
      <w:r>
        <w:rPr>
          <w:rFonts w:ascii="IRNazanin" w:hAnsi="IRNazanin" w:eastAsia="IRNazanin" w:cs="IRNazanin"/>
          <w:lang w:bidi="fa-IR"/>
          <w:color w:val="111111"/>
          <w:sz w:val="28"/>
          <w:szCs w:val="28"/>
          <w:rtl/>
        </w:rPr>
        <w:t xml:space="preserve">یزد؛ وزیری؛ شماره نسخه: 4228</w:t>
      </w:r>
    </w:p>
    <w:p>
      <w:pPr>
        <w:pStyle w:val="BookText"/>
      </w:pPr>
      <w:r>
        <w:rPr>
          <w:rFonts w:ascii="IRNazanin" w:hAnsi="IRNazanin" w:eastAsia="IRNazanin" w:cs="IRNazanin"/>
          <w:lang w:bidi="fa-IR"/>
          <w:color w:val="111111"/>
          <w:sz w:val="28"/>
          <w:szCs w:val="28"/>
          <w:rtl/>
        </w:rPr>
        <w:t xml:space="preserve">كاتب = مؤلف، تا: 1408ق [نشریه: 13 - 378]</w:t>
      </w:r>
    </w:p>
    <w:p>
      <w:pPr>
        <w:pStyle w:val="Heading3"/>
      </w:pPr>
      <w:bookmarkStart w:id="516" w:name="_Toc38"/>
      <w:r>
        <w:t>ارژنگ ماچین / خط / فارسی</w:t>
      </w:r>
      <w:bookmarkEnd w:id="516"/>
    </w:p>
    <w:p>
      <w:pPr>
        <w:pStyle w:val="BookText"/>
      </w:pPr>
      <w:r>
        <w:rPr>
          <w:rFonts w:ascii="Times New Roman" w:hAnsi="Times New Roman" w:eastAsia="Times New Roman" w:cs="Times New Roman"/>
          <w:lang w:val="en-US" w:bidi="en-US"/>
          <w:color w:val="111111"/>
          <w:sz w:val="28"/>
          <w:szCs w:val="28"/>
          <w:rtl/>
        </w:rPr>
        <w:t xml:space="preserve">aržang-e mācīn</w:t>
      </w:r>
    </w:p>
    <w:p>
      <w:pPr>
        <w:pStyle w:val="BookText"/>
      </w:pPr>
      <w:r>
        <w:rPr>
          <w:rFonts w:ascii="IRNazanin" w:hAnsi="IRNazanin" w:eastAsia="IRNazanin" w:cs="IRNazanin"/>
          <w:lang w:bidi="fa-IR"/>
          <w:color w:val="111111"/>
          <w:sz w:val="28"/>
          <w:szCs w:val="28"/>
          <w:rtl/>
        </w:rPr>
        <w:t xml:space="preserve">در رسم الخط چندین زبان پس از کلیاتی درباره خوش نویسان، با عنوان های: شمار فارسی شمار ،عربی، خط تكرى، خط مبدل،خط دوم به طور شکسته، شکسته ریحان، قسم اول از قواعد ارژنگ ،ماچین، شکسته ریحان، قسم دوم از قواعد ارژنگ ماچین، خط سرو، خط تقریری از قواعد ارژنگ ماچین، خط گلزار از قواعد ارژنگ ماچین، خط عبرانی.</w:t>
      </w:r>
    </w:p>
    <w:p>
      <w:pPr>
        <w:pStyle w:val="BookText"/>
      </w:pPr>
      <w:r>
        <w:rPr>
          <w:rFonts w:ascii="IRNazanin" w:hAnsi="IRNazanin" w:eastAsia="IRNazanin" w:cs="IRNazanin"/>
          <w:lang w:bidi="fa-IR"/>
          <w:color w:val="111111"/>
          <w:sz w:val="28"/>
          <w:szCs w:val="28"/>
          <w:rtl/>
        </w:rPr>
        <w:t xml:space="preserve">قم؛ مرکز احیاء؛ شماره نسخه: 2047</w:t>
      </w:r>
    </w:p>
    <w:p>
      <w:pPr>
        <w:pStyle w:val="BookText"/>
      </w:pPr>
      <w:r>
        <w:rPr>
          <w:rFonts w:ascii="IRNazanin" w:hAnsi="IRNazanin" w:eastAsia="IRNazanin" w:cs="IRNazanin"/>
          <w:lang w:bidi="fa-IR"/>
          <w:color w:val="111111"/>
          <w:sz w:val="28"/>
          <w:szCs w:val="28"/>
          <w:rtl/>
        </w:rPr>
        <w:t xml:space="preserve">آغاز: قاعده خط مبدل قسم اول این است که پانزده حروف نقطه دار است: ب ت ث ج خ ذ ز ش ض ظ غ ف ق ن</w:t>
      </w:r>
    </w:p>
    <w:p>
      <w:pPr>
        <w:pStyle w:val="BookText"/>
      </w:pPr>
      <w:r>
        <w:rPr>
          <w:rFonts w:ascii="IRNazanin" w:hAnsi="IRNazanin" w:eastAsia="IRNazanin" w:cs="IRNazanin"/>
          <w:lang w:bidi="fa-IR"/>
          <w:color w:val="111111"/>
          <w:sz w:val="28"/>
          <w:szCs w:val="28"/>
          <w:rtl/>
        </w:rPr>
        <w:t xml:space="preserve">نسخه اصل: کتابخانه گنج بخش، پاکستان 2495. خط: نستعليق اردو، بی کا، تا: قرن 13؛ 84 ص [ عکسی ف: 6 - 70]</w:t>
      </w:r>
    </w:p>
    <w:p>
      <w:pPr>
        <w:pStyle w:val="Heading3"/>
      </w:pPr>
      <w:bookmarkStart w:id="517" w:name="_Toc39"/>
      <w:r>
        <w:t>ار سطر خس فى جرمى النيرين / هیئت / عربی</w:t>
      </w:r>
      <w:bookmarkEnd w:id="517"/>
    </w:p>
    <w:p>
      <w:pPr>
        <w:pStyle w:val="BookText"/>
      </w:pPr>
      <w:r>
        <w:rPr>
          <w:rFonts w:ascii="Times New Roman" w:hAnsi="Times New Roman" w:eastAsia="Times New Roman" w:cs="Times New Roman"/>
          <w:lang w:val="en-US" w:bidi="en-US"/>
          <w:color w:val="111111"/>
          <w:sz w:val="28"/>
          <w:szCs w:val="28"/>
          <w:rtl/>
        </w:rPr>
        <w:t xml:space="preserve">arisṭarxus fi jirami-yin nayyirīn</w:t>
      </w:r>
    </w:p>
    <w:p>
      <w:pPr>
        <w:pStyle w:val="BookText"/>
      </w:pPr>
      <w:r>
        <w:rPr>
          <w:rFonts w:ascii="IRNazanin" w:hAnsi="IRNazanin" w:eastAsia="IRNazanin" w:cs="IRNazanin"/>
          <w:lang w:bidi="fa-IR"/>
          <w:color w:val="111111"/>
          <w:sz w:val="28"/>
          <w:szCs w:val="28"/>
          <w:rtl/>
        </w:rPr>
        <w:t xml:space="preserve">تهران؛ ملک؛ شماره نسخه: 687/2</w:t>
      </w:r>
    </w:p>
    <w:p>
      <w:pPr>
        <w:pStyle w:val="BookText"/>
      </w:pPr>
      <w:r>
        <w:rPr>
          <w:rFonts w:ascii="IRNazanin" w:hAnsi="IRNazanin" w:eastAsia="IRNazanin" w:cs="IRNazanin"/>
          <w:lang w:bidi="fa-IR"/>
          <w:color w:val="111111"/>
          <w:sz w:val="28"/>
          <w:szCs w:val="28"/>
          <w:rtl/>
        </w:rPr>
        <w:t xml:space="preserve">ترجمه قسطا بن لوقا و اصلاح کندی؛ خط: نسخ، کا: منصور بن معین، تا: یک شنبه 6 شعبان 881ق، جا: هرات؛ كاغذ: ترمه ،خطاطی ،جلد: میشن ،لاکی 10گ (4پ-14ر)، اندازه:17</w:t>
      </w:r>
      <w:r>
        <w:rPr>
          <w:rFonts w:ascii="Times New Roman" w:hAnsi="Times New Roman" w:eastAsia="Times New Roman" w:cs="Times New Roman"/>
          <w:lang w:val="en-US" w:bidi="en-US"/>
          <w:color w:val="111111"/>
          <w:sz w:val="28"/>
          <w:szCs w:val="28"/>
          <w:rtl/>
        </w:rPr>
        <w:t xml:space="preserve">×17/6</w:t>
      </w:r>
      <w:r>
        <w:rPr>
          <w:rFonts w:ascii="IRNazanin" w:hAnsi="IRNazanin" w:eastAsia="IRNazanin" w:cs="IRNazanin"/>
          <w:lang w:bidi="fa-IR"/>
          <w:color w:val="111111"/>
          <w:sz w:val="28"/>
          <w:szCs w:val="28"/>
          <w:rtl/>
        </w:rPr>
        <w:t xml:space="preserve">سم [ف: 5 - 146]</w:t>
      </w:r>
    </w:p>
    <w:p>
      <w:pPr>
        <w:pStyle w:val="BookText"/>
      </w:pPr>
      <w:r>
        <w:rPr>
          <w:rFonts w:ascii="IRNazanin" w:hAnsi="IRNazanin" w:eastAsia="IRNazanin" w:cs="IRNazanin"/>
          <w:lang w:bidi="fa-IR"/>
          <w:color w:val="111111"/>
          <w:sz w:val="28"/>
          <w:szCs w:val="28"/>
          <w:rtl/>
        </w:rPr>
        <w:t xml:space="preserve">«الارشاد » ارشاد الغاوي في مسالك الحاوی</w:t>
      </w:r>
    </w:p>
    <w:p>
      <w:pPr>
        <w:pStyle w:val="BookText"/>
      </w:pPr>
      <w:r>
        <w:rPr>
          <w:rFonts w:ascii="Amiri" w:hAnsi="Amiri" w:eastAsia="Amiri" w:cs="Amiri"/>
          <w:lang w:bidi="ar-SA"/>
          <w:color w:val="111111"/>
          <w:sz w:val="28"/>
          <w:szCs w:val="28"/>
          <w:rtl/>
        </w:rPr>
        <w:t xml:space="preserve">«ارشاد » الزبدة فى الفقه</w:t>
      </w:r>
    </w:p>
    <w:p>
      <w:pPr>
        <w:pStyle w:val="BookText"/>
      </w:pPr>
      <w:r>
        <w:rPr>
          <w:rFonts w:ascii="IRNazanin" w:hAnsi="IRNazanin" w:eastAsia="IRNazanin" w:cs="IRNazanin"/>
          <w:lang w:bidi="fa-IR"/>
          <w:color w:val="111111"/>
          <w:sz w:val="28"/>
          <w:szCs w:val="28"/>
          <w:rtl/>
        </w:rPr>
        <w:t xml:space="preserve">«ارشاد » فقه شاهی</w:t>
      </w:r>
    </w:p>
    <w:p>
      <w:pPr>
        <w:pStyle w:val="BookText"/>
      </w:pPr>
      <w:r>
        <w:rPr>
          <w:rFonts w:ascii="Amiri" w:hAnsi="Amiri" w:eastAsia="Amiri" w:cs="Amiri"/>
          <w:lang w:bidi="ar-SA"/>
          <w:color w:val="111111"/>
          <w:sz w:val="28"/>
          <w:szCs w:val="28"/>
          <w:rtl/>
        </w:rPr>
        <w:t xml:space="preserve">«ارشاد » جامع المسائل في فقه الامامية</w:t>
      </w:r>
    </w:p>
    <w:p>
      <w:pPr>
        <w:pStyle w:val="Heading3"/>
      </w:pPr>
      <w:bookmarkStart w:id="518" w:name="_Toc40"/>
      <w:r>
        <w:t>الارشاد = الزهد = جواب ابی سعید ابی الخیر /  پاسخ پرسش ها / عربی</w:t>
      </w:r>
      <w:bookmarkEnd w:id="518"/>
    </w:p>
    <w:p>
      <w:pPr>
        <w:pStyle w:val="BookText"/>
      </w:pPr>
      <w:r>
        <w:rPr>
          <w:rFonts w:ascii="Times New Roman" w:hAnsi="Times New Roman" w:eastAsia="Times New Roman" w:cs="Times New Roman"/>
          <w:lang w:val="en-US" w:bidi="en-US"/>
          <w:color w:val="111111"/>
          <w:sz w:val="28"/>
          <w:szCs w:val="28"/>
          <w:rtl/>
        </w:rPr>
        <w:t xml:space="preserve">al-iršād = az-zuhd = jawāb-u abī-sa‘īd abi-l-xayr</w:t>
      </w:r>
    </w:p>
    <w:p>
      <w:pPr>
        <w:pStyle w:val="BookText"/>
      </w:pPr>
      <w:r>
        <w:rPr>
          <w:rFonts w:ascii="IRNazanin" w:hAnsi="IRNazanin" w:eastAsia="IRNazanin" w:cs="IRNazanin"/>
          <w:lang w:bidi="fa-IR"/>
          <w:color w:val="111111"/>
          <w:sz w:val="28"/>
          <w:szCs w:val="28"/>
          <w:rtl/>
        </w:rPr>
        <w:t xml:space="preserve">ابن سینا، حسین بن عبدالله ،370؟ - 428 قمری</w:t>
      </w:r>
    </w:p>
    <w:p>
      <w:pPr>
        <w:pStyle w:val="BookText"/>
      </w:pPr>
      <w:r>
        <w:rPr>
          <w:rFonts w:ascii="Times New Roman" w:hAnsi="Times New Roman" w:eastAsia="Times New Roman" w:cs="Times New Roman"/>
          <w:lang w:val="en-US" w:bidi="en-US"/>
          <w:color w:val="111111"/>
          <w:sz w:val="28"/>
          <w:szCs w:val="28"/>
          <w:rtl/>
        </w:rPr>
        <w:t xml:space="preserve">(981 - 1038)ebn-e sīnā, hoseyn ebn-e 'abd-ol-lāh</w:t>
      </w:r>
    </w:p>
    <w:p>
      <w:pPr>
        <w:pStyle w:val="BookText"/>
      </w:pPr>
      <w:r>
        <w:rPr>
          <w:rFonts w:ascii="IRNazanin" w:hAnsi="IRNazanin" w:eastAsia="IRNazanin" w:cs="IRNazanin"/>
          <w:lang w:bidi="fa-IR"/>
          <w:color w:val="111111"/>
          <w:sz w:val="28"/>
          <w:szCs w:val="28"/>
          <w:rtl/>
        </w:rPr>
        <w:t xml:space="preserve">پاسخ پرسشی است از ابوسعید ابوالخیر که می پرسد راه را به من بنما و شیخ می گوید در کفر حقیقی شو و از اسلام مجازی بیرون آی. اینجا است که ابوسعید در «مفاتیح» یا «مصابیح» خود نوشت این سخن مرا بدان جای که مردمان با پرستش صدهزار ساله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1" w:name="pg20365_259965"/>
    <w:bookmarkEnd w:id="11"/>
    <w:p>
      <w:pPr>
        <w:pStyle w:val="BookText"/>
      </w:pPr>
      <w:r>
        <w:rPr>
          <w:rFonts w:ascii="IRNazanin" w:hAnsi="IRNazanin" w:eastAsia="IRNazanin" w:cs="IRNazanin"/>
          <w:lang w:bidi="fa-IR"/>
          <w:color w:val="111111"/>
          <w:sz w:val="28"/>
          <w:szCs w:val="28"/>
          <w:rtl/>
        </w:rPr>
        <w:t xml:space="preserve">می رسند رسانده است این پرسش و پاسخ مرموز را سعد الملة الدین کازرونی گزارش کرده است و در آن از قرآن و گفته حلاج «كفرت بدين الله و الكفر واجب لدى و عند المسلمین قبیح» و بیت پارسی «بحور بهشتم همی وعده دادند *** چه جای بهشت است وصل و لقا کو» گواه آورده است. همچنین دانشمندی دیگر نیز آن را گزارش کرده است. لوئی ماسینیون در «متون» ص 189-90از «زبدة» عین القضات همدانی از روی نگارشی از احمد غزالی (راوی ابوسعید) همه این پرسش و پاسخ را آورده و قنواتی در ش 256 نیز این گفتگو را آورده است.</w:t>
      </w:r>
    </w:p>
    <w:p>
      <w:pPr>
        <w:pStyle w:val="BookText"/>
      </w:pPr>
      <w:r>
        <w:rPr>
          <w:rFonts w:ascii="IRNazanin" w:hAnsi="IRNazanin" w:eastAsia="IRNazanin" w:cs="IRNazanin"/>
          <w:lang w:bidi="fa-IR"/>
          <w:color w:val="111111"/>
          <w:sz w:val="28"/>
          <w:szCs w:val="28"/>
          <w:rtl/>
        </w:rPr>
        <w:t xml:space="preserve">آغاز: كتب الشيخ الامام قطب الانام .. ابوسعيد ابن ابى الخير الشيخ قدوة العلماء المحققين. .. الحكيم ابى على ابن عبدالله سينا. .. فتوجه و قال في كتابه اليه ارشدنى فكتب الشيخ فی جوابه بهذه العبارة الدخول فى الكفر الحقيقى و الخروج عن الاسلام المجازى و ان لا يلتفت الا بما كام وراء الشخوص الثلاثة حتى تكون مسلما و كافرا</w:t>
      </w:r>
    </w:p>
    <w:p>
      <w:pPr>
        <w:pStyle w:val="BookText"/>
      </w:pPr>
      <w:r>
        <w:rPr>
          <w:rFonts w:ascii="IRNazanin" w:hAnsi="IRNazanin" w:eastAsia="IRNazanin" w:cs="IRNazanin"/>
          <w:lang w:bidi="fa-IR"/>
          <w:color w:val="111111"/>
          <w:sz w:val="28"/>
          <w:szCs w:val="28"/>
          <w:rtl/>
        </w:rPr>
        <w:t xml:space="preserve">انجام: فانك تعلم ان لاقيامة لك و لابعد (فقد) لك من جمیع الموجودين (الموجودات) فاورد الشيخ ابوسعيد. .. في كتابة المصابيح (المفاتيح) اوصلنى هذه الكلمات الى ما اوصل اليه عمر مأته الف سنة من العبادة.</w:t>
      </w:r>
    </w:p>
    <w:p>
      <w:pPr>
        <w:pStyle w:val="BookText"/>
      </w:pPr>
      <w:r>
        <w:rPr>
          <w:rFonts w:ascii="Amiri" w:hAnsi="Amiri" w:eastAsia="Amiri" w:cs="Amiri"/>
          <w:lang w:bidi="ar-SA"/>
          <w:color w:val="111111"/>
          <w:sz w:val="28"/>
          <w:szCs w:val="28"/>
          <w:rtl/>
        </w:rPr>
        <w:t xml:space="preserve">[مهدوى ص 9 مكتبة اميرالمومنين 316/1]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مجلس؛ شماره نسخه: 11711/6</w:t>
      </w:r>
    </w:p>
    <w:p>
      <w:pPr>
        <w:pStyle w:val="BookText"/>
      </w:pPr>
      <w:r>
        <w:rPr>
          <w:rFonts w:ascii="IRNazanin" w:hAnsi="IRNazanin" w:eastAsia="IRNazanin" w:cs="IRNazanin"/>
          <w:lang w:bidi="fa-IR"/>
          <w:color w:val="111111"/>
          <w:sz w:val="28"/>
          <w:szCs w:val="28"/>
          <w:rtl/>
        </w:rPr>
        <w:t xml:space="preserve">آغاز: بسمله الحمد لوليه والصلوة على نبيه. اما بعد فقد كتب الشيخ ابوسعيد بن ابی الخیر قدس سره ابي الشيخ ابى على عبدالله بن سينا فقال في كتابه ارشدنى مكتب الرئيس فى جوابه الدخول فى الكفر الحقيقى اى فى مرتبة سر المحبة فى عين الجمع عن غیر؛ انجام: و كل عدد اعتبر فهو في ضمنه او هو ضعفه بعضهم عبر عن نهاية العدد بالف الالف و هو جامع الاعداد و الغیر المتناهية و اختار الشيخ رح هذا القسم الله الحمد وحده تمت الرسالة</w:t>
      </w:r>
    </w:p>
    <w:p>
      <w:pPr>
        <w:pStyle w:val="BookText"/>
      </w:pPr>
      <w:r>
        <w:rPr>
          <w:rFonts w:ascii="IRNazanin" w:hAnsi="IRNazanin" w:eastAsia="IRNazanin" w:cs="IRNazanin"/>
          <w:lang w:bidi="fa-IR"/>
          <w:color w:val="111111"/>
          <w:sz w:val="28"/>
          <w:szCs w:val="28"/>
          <w:rtl/>
        </w:rPr>
        <w:t xml:space="preserve">خط: نستعلیق، بی کا، بی تا :واقف: شادروان یحیی ،معرفت تار وقف 1365، 2گ (60-62)،23سطر، اندازه: 8</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34 - 52]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دانشگاه؛ شماره نسخه: 339/8</w:t>
      </w:r>
    </w:p>
    <w:p>
      <w:pPr>
        <w:pStyle w:val="BookText"/>
      </w:pPr>
      <w:r>
        <w:rPr>
          <w:rFonts w:ascii="IRNazanin" w:hAnsi="IRNazanin" w:eastAsia="IRNazanin" w:cs="IRNazanin"/>
          <w:lang w:bidi="fa-IR"/>
          <w:color w:val="111111"/>
          <w:sz w:val="28"/>
          <w:szCs w:val="28"/>
          <w:rtl/>
        </w:rPr>
        <w:t xml:space="preserve">آغاز: (متن برابر گزارش کازرونی:) كتب المولى الفاض الكامل سعدالملة و الدين الكازرونى (الكانوني) رحمه الله في حل هذه الكلمات و ما توفیقی الا بالله عليه توكلت و اليه انیب اعلم ایها الخائض فى لجج هذه الحجج الا يتيسر لك سلوك هذه الطریقة الا بالدخول فى الكفر الحقيقي؛ انجام: (انجام متن:) برابر، (انجام  گزارش:) فهذا ما سخ به الوقت و جاربه الحال وساعد عليه الزمان</w:t>
      </w:r>
    </w:p>
    <w:p>
      <w:pPr>
        <w:pStyle w:val="BookText"/>
      </w:pPr>
      <w:r>
        <w:rPr>
          <w:rFonts w:ascii="Amiri" w:hAnsi="Amiri" w:eastAsia="Amiri" w:cs="Amiri"/>
          <w:lang w:bidi="ar-SA"/>
          <w:color w:val="111111"/>
          <w:sz w:val="28"/>
          <w:szCs w:val="28"/>
          <w:rtl/>
        </w:rPr>
        <w:t xml:space="preserve">و اليه المستعان وعليه التكلان والصلوة على محمد و آله.</w:t>
      </w:r>
    </w:p>
    <w:p>
      <w:pPr>
        <w:pStyle w:val="BookText"/>
      </w:pPr>
      <w:r>
        <w:rPr>
          <w:rFonts w:ascii="IRNazanin" w:hAnsi="IRNazanin" w:eastAsia="IRNazanin" w:cs="IRNazanin"/>
          <w:lang w:bidi="fa-IR"/>
          <w:color w:val="111111"/>
          <w:sz w:val="28"/>
          <w:szCs w:val="28"/>
          <w:rtl/>
        </w:rPr>
        <w:t xml:space="preserve">همراه با گزارش کازرونی است؛ خط: شکسته تعلیق بی نقطه، بی کا، بی تا؛ 1گ (62 روپ) [ف: 3 - 175]</w:t>
      </w:r>
    </w:p>
    <w:p>
      <w:pPr>
        <w:pStyle w:val="BookText"/>
      </w:pPr>
      <w:r>
        <w:rPr>
          <w:rFonts w:ascii="IRNazanin" w:hAnsi="IRNazanin" w:eastAsia="IRNazanin" w:cs="IRNazanin"/>
          <w:lang w:bidi="fa-IR"/>
          <w:color w:val="111111"/>
          <w:sz w:val="28"/>
          <w:szCs w:val="28"/>
          <w:rtl/>
        </w:rPr>
        <w:t xml:space="preserve">3.تهران؛ دانشگاه؛ شماره نسخه: 339/18</w:t>
      </w:r>
    </w:p>
    <w:p>
      <w:pPr>
        <w:pStyle w:val="BookText"/>
      </w:pPr>
      <w:r>
        <w:rPr>
          <w:rFonts w:ascii="IRNazanin" w:hAnsi="IRNazanin" w:eastAsia="IRNazanin" w:cs="IRNazanin"/>
          <w:lang w:bidi="fa-IR"/>
          <w:color w:val="111111"/>
          <w:sz w:val="28"/>
          <w:szCs w:val="28"/>
          <w:rtl/>
        </w:rPr>
        <w:t xml:space="preserve">آغاز (متن) برابر (آغاز گزارش بر عبارت شيخ (و ان كنت تحت هذا فانت مشرک مسلم)): ای و ان كنت بعد ذلك جامعا لمرتبتى الاطلاق و النقييد فانت مشرک مسلم؛ انجام (متن) برابر،( انجام گزارش:) فهو العماء المطلق وفقنا الله للنجاة في هذه المراتب العلية بمنه وجوده.</w:t>
      </w:r>
    </w:p>
    <w:p>
      <w:pPr>
        <w:pStyle w:val="BookText"/>
      </w:pPr>
      <w:r>
        <w:rPr>
          <w:rFonts w:ascii="IRNazanin" w:hAnsi="IRNazanin" w:eastAsia="IRNazanin" w:cs="IRNazanin"/>
          <w:lang w:bidi="fa-IR"/>
          <w:color w:val="111111"/>
          <w:sz w:val="28"/>
          <w:szCs w:val="28"/>
          <w:rtl/>
        </w:rPr>
        <w:t xml:space="preserve">پرسش و پاسخ در آن با گزارشی است که از کازرونی نیست؛ خط:شکسته تعلیق، بی کا، بی تا: 1گ (72پ) [ف: 3 - 176]</w:t>
      </w:r>
    </w:p>
    <w:p>
      <w:pPr>
        <w:pStyle w:val="BookText"/>
      </w:pPr>
      <w:r>
        <w:rPr>
          <w:rFonts w:ascii="IRNazanin" w:hAnsi="IRNazanin" w:eastAsia="IRNazanin" w:cs="IRNazanin"/>
          <w:lang w:bidi="fa-IR"/>
          <w:color w:val="111111"/>
          <w:sz w:val="28"/>
          <w:szCs w:val="28"/>
          <w:rtl/>
        </w:rPr>
        <w:t xml:space="preserve">4.تهران؛ دانشگاه؛ شماره نسخه: 2016/28-ف</w:t>
      </w:r>
    </w:p>
    <w:p>
      <w:pPr>
        <w:pStyle w:val="BookText"/>
      </w:pPr>
      <w:r>
        <w:rPr>
          <w:rFonts w:ascii="IRNazanin" w:hAnsi="IRNazanin" w:eastAsia="IRNazanin" w:cs="IRNazanin"/>
          <w:lang w:bidi="fa-IR"/>
          <w:color w:val="111111"/>
          <w:sz w:val="28"/>
          <w:szCs w:val="28"/>
          <w:rtl/>
        </w:rPr>
        <w:t xml:space="preserve">نسخه اصل: آغاز و انجام چند نسخه از کتابخانه های یوگسلاوی؛</w:t>
      </w:r>
    </w:p>
    <w:p>
      <w:pPr>
        <w:pStyle w:val="BookText"/>
      </w:pPr>
      <w:r>
        <w:rPr>
          <w:rFonts w:ascii="IRNazanin" w:hAnsi="IRNazanin" w:eastAsia="IRNazanin" w:cs="IRNazanin"/>
          <w:lang w:bidi="fa-IR"/>
          <w:color w:val="111111"/>
          <w:sz w:val="28"/>
          <w:szCs w:val="28"/>
          <w:rtl/>
        </w:rPr>
        <w:t xml:space="preserve">بی کا، بی تا [فیلم ها - ف: 1 - 638]</w:t>
      </w:r>
    </w:p>
    <w:p>
      <w:pPr>
        <w:pStyle w:val="Heading3"/>
      </w:pPr>
      <w:bookmarkStart w:id="519" w:name="_Toc41"/>
      <w:r>
        <w:t>الارشاد / نحو / عربي</w:t>
      </w:r>
      <w:bookmarkEnd w:id="519"/>
    </w:p>
    <w:p>
      <w:pPr>
        <w:pStyle w:val="BookText"/>
      </w:pPr>
      <w:r>
        <w:rPr>
          <w:rFonts w:ascii="Times New Roman" w:hAnsi="Times New Roman" w:eastAsia="Times New Roman" w:cs="Times New Roman"/>
          <w:lang w:val="en-US" w:bidi="en-US"/>
          <w:color w:val="111111"/>
          <w:sz w:val="28"/>
          <w:szCs w:val="28"/>
          <w:rtl/>
        </w:rPr>
        <w:t xml:space="preserve">al-iršād</w:t>
      </w:r>
    </w:p>
    <w:p>
      <w:pPr>
        <w:pStyle w:val="BookText"/>
      </w:pPr>
      <w:r>
        <w:rPr>
          <w:rFonts w:ascii="IRNazanin" w:hAnsi="IRNazanin" w:eastAsia="IRNazanin" w:cs="IRNazanin"/>
          <w:lang w:bidi="fa-IR"/>
          <w:color w:val="111111"/>
          <w:sz w:val="28"/>
          <w:szCs w:val="28"/>
          <w:rtl/>
        </w:rPr>
        <w:t xml:space="preserve">دولت آبادی احمد بن شمس الدين - 849؟ قمری</w:t>
      </w:r>
    </w:p>
    <w:p>
      <w:pPr>
        <w:pStyle w:val="BookText"/>
      </w:pPr>
      <w:r>
        <w:rPr>
          <w:rFonts w:ascii="Times New Roman" w:hAnsi="Times New Roman" w:eastAsia="Times New Roman" w:cs="Times New Roman"/>
          <w:lang w:val="en-US" w:bidi="en-US"/>
          <w:color w:val="111111"/>
          <w:sz w:val="28"/>
          <w:szCs w:val="28"/>
          <w:rtl/>
        </w:rPr>
        <w:t xml:space="preserve">(- 1446)dowlat-ābādī, ahmad ebn-e šams-od-dīn</w:t>
      </w:r>
    </w:p>
    <w:p>
      <w:pPr>
        <w:pStyle w:val="BookText"/>
      </w:pPr>
      <w:r>
        <w:rPr>
          <w:rFonts w:ascii="IRNazanin" w:hAnsi="IRNazanin" w:eastAsia="IRNazanin" w:cs="IRNazanin"/>
          <w:lang w:bidi="fa-IR"/>
          <w:color w:val="111111"/>
          <w:sz w:val="28"/>
          <w:szCs w:val="28"/>
          <w:rtl/>
        </w:rPr>
        <w:t xml:space="preserve">مؤلف از شاگردان قاضی عبدالمقتدر بن قاضی رکن الدین شریحی کندی است که شرحی بر «کافیه» ابن حاجب و شرحی نیز بر قصیده برده کعب بن زهیر نوشته است.</w:t>
      </w:r>
    </w:p>
    <w:p>
      <w:pPr>
        <w:pStyle w:val="BookText"/>
      </w:pPr>
      <w:r>
        <w:rPr>
          <w:rFonts w:ascii="IRNazanin" w:hAnsi="IRNazanin" w:eastAsia="IRNazanin" w:cs="IRNazanin"/>
          <w:lang w:bidi="fa-IR"/>
          <w:color w:val="111111"/>
          <w:sz w:val="28"/>
          <w:szCs w:val="28"/>
          <w:rtl/>
        </w:rPr>
        <w:t xml:space="preserve">آغاز: بسمله الحمدلله كما يحب ويرضى و الصلوة على رسوله محمد وآله كما يجرى و بعد فیقول اضعف عبادالله الولى الهادى شهاب بن شمس</w:t>
      </w:r>
    </w:p>
    <w:p>
      <w:pPr>
        <w:pStyle w:val="BookText"/>
      </w:pPr>
      <w:r>
        <w:rPr>
          <w:rFonts w:ascii="Amiri" w:hAnsi="Amiri" w:eastAsia="Amiri" w:cs="Amiri"/>
          <w:lang w:bidi="ar-SA"/>
          <w:color w:val="111111"/>
          <w:sz w:val="28"/>
          <w:szCs w:val="28"/>
          <w:rtl/>
        </w:rPr>
        <w:t xml:space="preserve">انجام كتاب: للصورة التي بها يتعلق الافادة التامة و يصلح عليه السكوت.</w:t>
      </w:r>
    </w:p>
    <w:p>
      <w:pPr>
        <w:pStyle w:val="BookText"/>
      </w:pPr>
      <w:r>
        <w:rPr>
          <w:rFonts w:ascii="IRNazanin" w:hAnsi="IRNazanin" w:eastAsia="IRNazanin" w:cs="IRNazanin"/>
          <w:lang w:bidi="fa-IR"/>
          <w:color w:val="111111"/>
          <w:sz w:val="28"/>
          <w:szCs w:val="28"/>
          <w:rtl/>
        </w:rPr>
        <w:t xml:space="preserve">1.مشهد؛ رضوی؛ شماره نسخه: 27004</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جلی ،خوش بی کا، تا: 940ق [رایانه ]</w:t>
      </w:r>
    </w:p>
    <w:p>
      <w:pPr>
        <w:pStyle w:val="BookText"/>
      </w:pPr>
      <w:r>
        <w:rPr>
          <w:rFonts w:ascii="IRNazanin" w:hAnsi="IRNazanin" w:eastAsia="IRNazanin" w:cs="IRNazanin"/>
          <w:lang w:bidi="fa-IR"/>
          <w:color w:val="111111"/>
          <w:sz w:val="28"/>
          <w:szCs w:val="28"/>
          <w:rtl/>
        </w:rPr>
        <w:t xml:space="preserve">2.مشهد؛ رضوی؛ شماره نسخه: 3778</w:t>
      </w:r>
    </w:p>
    <w:p>
      <w:pPr>
        <w:pStyle w:val="BookText"/>
      </w:pPr>
      <w:r>
        <w:rPr>
          <w:rFonts w:ascii="IRNazanin" w:hAnsi="IRNazanin" w:eastAsia="IRNazanin" w:cs="IRNazanin"/>
          <w:lang w:bidi="fa-IR"/>
          <w:color w:val="111111"/>
          <w:sz w:val="28"/>
          <w:szCs w:val="28"/>
          <w:rtl/>
        </w:rPr>
        <w:t xml:space="preserve">آغاز: فی النحو تعمقت في تهذيبه كل التعمق و تألفت في ترتيبه حق التأنق . (كذا)؛ انجام: برابر</w:t>
      </w:r>
    </w:p>
    <w:p>
      <w:pPr>
        <w:pStyle w:val="BookText"/>
      </w:pPr>
      <w:r>
        <w:rPr>
          <w:rFonts w:ascii="IRNazanin" w:hAnsi="IRNazanin" w:eastAsia="IRNazanin" w:cs="IRNazanin"/>
          <w:lang w:bidi="fa-IR"/>
          <w:color w:val="111111"/>
          <w:sz w:val="28"/>
          <w:szCs w:val="28"/>
          <w:rtl/>
        </w:rPr>
        <w:t xml:space="preserve">خط: نسخ بی کا، تا: قرن 10؛ افتادگی: آغاز (یکی دو صفحه) و تمام خطبه و مقداری از دیباچه را فاقد است؛ محشی؛ واقف ابن خاتون 1067ق؛ کاغذ: حنایی :جلد: تیماج قهوه ای ضربی ترنج ،دار، 144گ، 7 سطر ، اندازه: 15</w:t>
      </w:r>
      <w:r>
        <w:rPr>
          <w:rFonts w:ascii="Times New Roman" w:hAnsi="Times New Roman" w:eastAsia="Times New Roman" w:cs="Times New Roman"/>
          <w:lang w:val="en-US" w:bidi="en-US"/>
          <w:color w:val="111111"/>
          <w:sz w:val="28"/>
          <w:szCs w:val="28"/>
          <w:rtl/>
        </w:rPr>
        <w:t xml:space="preserve">×24</w:t>
      </w:r>
      <w:r>
        <w:rPr>
          <w:rFonts w:ascii="IRNazanin" w:hAnsi="IRNazanin" w:eastAsia="IRNazanin" w:cs="IRNazanin"/>
          <w:lang w:bidi="fa-IR"/>
          <w:color w:val="111111"/>
          <w:sz w:val="28"/>
          <w:szCs w:val="28"/>
          <w:rtl/>
        </w:rPr>
        <w:t xml:space="preserve">سم [ف: 12 - 2]</w:t>
      </w:r>
    </w:p>
    <w:p>
      <w:pPr>
        <w:pStyle w:val="BookText"/>
      </w:pPr>
      <w:r>
        <w:rPr>
          <w:rFonts w:ascii="IRNazanin" w:hAnsi="IRNazanin" w:eastAsia="IRNazanin" w:cs="IRNazanin"/>
          <w:lang w:bidi="fa-IR"/>
          <w:color w:val="111111"/>
          <w:sz w:val="28"/>
          <w:szCs w:val="28"/>
          <w:rtl/>
        </w:rPr>
        <w:t xml:space="preserve">3.بشرویه؛ امیرالمؤمنین؛ شماره نسخه 105</w:t>
      </w:r>
    </w:p>
    <w:p>
      <w:pPr>
        <w:pStyle w:val="BookText"/>
      </w:pPr>
      <w:r>
        <w:rPr>
          <w:rFonts w:ascii="Amiri" w:hAnsi="Amiri" w:eastAsia="Amiri" w:cs="Amiri"/>
          <w:lang w:bidi="ar-SA"/>
          <w:color w:val="111111"/>
          <w:sz w:val="28"/>
          <w:szCs w:val="28"/>
          <w:rtl/>
        </w:rPr>
        <w:t xml:space="preserve">آغاز: برابر؛ انجام: او حرف استفهام او .... حرف ثانى و ما يلتزم للاعتماد الاخفش</w:t>
      </w:r>
    </w:p>
    <w:p>
      <w:pPr>
        <w:pStyle w:val="BookText"/>
      </w:pPr>
      <w:r>
        <w:rPr>
          <w:rFonts w:ascii="IRNazanin" w:hAnsi="IRNazanin" w:eastAsia="IRNazanin" w:cs="IRNazanin"/>
          <w:lang w:bidi="fa-IR"/>
          <w:color w:val="111111"/>
          <w:sz w:val="28"/>
          <w:szCs w:val="28"/>
          <w:rtl/>
        </w:rPr>
        <w:t xml:space="preserve">خط: نسخ، بی کا، بی تا؛ افتادگی: انجام؛ محشی؛ جلد: تیماج مشکی سوخت ترنج ،مجدول 81گ، 8 سطر ، اندازه: 11</w:t>
      </w:r>
      <w:r>
        <w:rPr>
          <w:rFonts w:ascii="Times New Roman" w:hAnsi="Times New Roman" w:eastAsia="Times New Roman" w:cs="Times New Roman"/>
          <w:lang w:val="en-US" w:bidi="en-US"/>
          <w:color w:val="111111"/>
          <w:sz w:val="28"/>
          <w:szCs w:val="28"/>
          <w:rtl/>
        </w:rPr>
        <w:t xml:space="preserve">×17/5</w:t>
      </w:r>
      <w:r>
        <w:rPr>
          <w:rFonts w:ascii="IRNazanin" w:hAnsi="IRNazanin" w:eastAsia="IRNazanin" w:cs="IRNazanin"/>
          <w:lang w:bidi="fa-IR"/>
          <w:color w:val="111111"/>
          <w:sz w:val="28"/>
          <w:szCs w:val="28"/>
          <w:rtl/>
        </w:rPr>
        <w:t xml:space="preserve">سم [مخ ]</w:t>
      </w:r>
    </w:p>
    <w:p>
      <w:pPr>
        <w:pStyle w:val="Heading3"/>
      </w:pPr>
      <w:bookmarkStart w:id="520" w:name="_Toc42"/>
      <w:r>
        <w:t>ارشاد = جامع المسائل في فقه الامامية / فقه / فارسی</w:t>
      </w:r>
      <w:bookmarkEnd w:id="520"/>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eršād = jāme‘-ol-masā’el fī feqh-el-emāmīye</w:t>
      </w:r>
    </w:p>
    <w:p>
      <w:pPr>
        <w:pStyle w:val="BookText"/>
      </w:pPr>
      <w:r>
        <w:rPr>
          <w:rFonts w:ascii="IRNazanin" w:hAnsi="IRNazanin" w:eastAsia="IRNazanin" w:cs="IRNazanin"/>
          <w:lang w:bidi="fa-IR"/>
          <w:color w:val="111111"/>
          <w:sz w:val="28"/>
          <w:szCs w:val="28"/>
          <w:rtl/>
        </w:rPr>
        <w:t xml:space="preserve">مقدس اردبیلی احمد بن محمد - 993 قمری</w:t>
      </w:r>
    </w:p>
    <w:p>
      <w:pPr>
        <w:pStyle w:val="BookText"/>
      </w:pPr>
      <w:r>
        <w:rPr>
          <w:rFonts w:ascii="Times New Roman" w:hAnsi="Times New Roman" w:eastAsia="Times New Roman" w:cs="Times New Roman"/>
          <w:lang w:val="en-US" w:bidi="en-US"/>
          <w:color w:val="111111"/>
          <w:sz w:val="28"/>
          <w:szCs w:val="28"/>
          <w:rtl/>
        </w:rPr>
        <w:t xml:space="preserve">( - 1585) moqaddas-e ardabīlī, ahmad ebn-e mohammad</w:t>
      </w:r>
    </w:p>
    <w:p>
      <w:pPr>
        <w:pStyle w:val="BookText"/>
      </w:pPr>
      <w:r>
        <w:rPr>
          <w:rFonts w:ascii="IRNazanin" w:hAnsi="IRNazanin" w:eastAsia="IRNazanin" w:cs="IRNazanin"/>
          <w:lang w:bidi="fa-IR"/>
          <w:color w:val="111111"/>
          <w:sz w:val="28"/>
          <w:szCs w:val="28"/>
          <w:rtl/>
        </w:rPr>
        <w:t xml:space="preserve">فقه فتوایی شیعی مختصر نیکویی است که از مقدس اردبیلی پنداشته شده و در بیشتر فهارس ناشناس آمده و برخی از فردی نامعلوم به نام علی کاشانی دانسته اند برگرفته از کتب فقها، هجده «کتاب» و هر کدام دارای چند «باب» کتاب الصلاه، دارای سی و سه باب؛ کتاب زكاة و خمس، دارای ده باب؛ کتاب صوم، دارای هشت باب؛ کتاب حج، دارای هشت باب؛ کتاب جهاد، دارای پنج باب؛ کتاب تجارت، دارای مقدمه و نه باب؛ کتاب هبه و وقف و صدقه، دارای چهار باب؛ کتاب دین  و توابع آن، دارای ده باب؛ كتاب الاجاره و توابع آن، دارای دوازده باب؛ کتاب وصیت و توابع آن، دارای مقدمه و چهار باب؛ کتاب نکاح، دارای یازده باب؛ کتاب ،فراق، دارای پنج نوع؛ کتاب صید و کشتار، دارای سه باب؛ کتاب میراث، دارای مقدمه وسه باب؛ کتاب قضا و شهادات، دارای شش باب؛ کتاب حدود، دارای نه باب؛ کتاب قتل و دیات، دارای مقدمه و پانزده باب.</w:t>
      </w:r>
    </w:p>
    <w:p>
      <w:pPr>
        <w:pStyle w:val="BookText"/>
      </w:pPr>
      <w:r>
        <w:rPr>
          <w:rFonts w:ascii="IRNazanin" w:hAnsi="IRNazanin" w:eastAsia="IRNazanin" w:cs="IRNazanin"/>
          <w:lang w:bidi="fa-IR"/>
          <w:color w:val="111111"/>
          <w:sz w:val="28"/>
          <w:szCs w:val="28"/>
          <w:rtl/>
        </w:rPr>
        <w:t xml:space="preserve">آغاز: بسمله الحمد لله العلى الذى اجتبى حبيبه المجتبى و اصطفی صفيه المصطفى على كافة الرسل وسائر الانبياء و الشكر لاولی الذى اعلى شأن الولى التقى المقتدى و الوصى الرضى المرتضی على عامة الامم وجملةالاوصيا صلى الله عليهما و آلهما الذین بمتابعتهم فاز الاحباء و بمخالفتهم هلك الاعداء صلوة تملاء الارض و السماء و بعد پوشیده نماند که بنابر اشارة (ت) واجب الاطاعه لازم الانقیاد این اوراق مشتمل بر مسائل فقه حقه امامیه از کتب فقه موثوقه معمولة بها منتخب و مترجم شده مع اعتراف الفقير بالعجز. .. و قدم الاهم على غيره. كتاب الطهارة وتوابع آن هفت باب است. باب اول در احکام آبها. بدانکه هر یک از وضو و غسل و ازاله نجاست (نجاسات اول) بآب مطلق پاک روا است همچو آب چشمها و رودها و اما آب مضاف همچو گلاب و سایر آبهائی که (آبها که) از فشردن گیاهی حاصل شود مثل عرق بید و آب انگور و آب باقلا و مانند آن و آب ممزوج مثل شوربا و گلاب و آب زعفران و مانند آن چون مزج آب به چیزی بحیثیتی رسد که توان گفت که آب نیست وضو و غسل بآن صحیح نباشد و ازاله نجاست نکند (بآن نتوان کردن).</w:t>
      </w:r>
    </w:p>
    <w:p>
      <w:pPr>
        <w:pStyle w:val="BookText"/>
      </w:pPr>
      <w:r>
        <w:rPr>
          <w:rFonts w:ascii="IRNazanin" w:hAnsi="IRNazanin" w:eastAsia="IRNazanin" w:cs="IRNazanin"/>
          <w:lang w:bidi="fa-IR"/>
          <w:color w:val="111111"/>
          <w:sz w:val="28"/>
          <w:szCs w:val="28"/>
          <w:rtl/>
        </w:rPr>
        <w:t xml:space="preserve">انجام: و اگر قاتلان متعدد باشند لازم شود بر هر یک کفاره كامله الحمد لله رب العالمين والصلوة و السلام على المرسلين و آله الطاهرين.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همدان؛ مدرسه غرب همدان؛ شماره نسخه: 1400</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در فهرست ناشناس؛ خط: نستعلیق، بی کا، تا: ربیع الثانی 963ق، جا: یزد [رشت و همدان : ف: -1253]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دانشگاه؛ شماره نسخه: 771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این نسخه در بیست کتاب است؛ خط: نسخ، كا: سلطان علی بن حسن علی، تا: 1 رجب 969ق؛ افتادگی: میانه (میان برگ های 3 و 4 یک برگ ندارد( برابر با س 15 گ 5ر-س 14 گ 6پ ش 936 دانشگاه) نیز میان برگ های 207 و 208 در پایان حدود و آغاز قصاص و دیات یک برگی کم دارد (برابر با س 18 گ 144پ- س 3 گ 145 پ همان شماره))؛ محشی با نشانه «منه» و «12» به نستعلیق، این نسخه با نسخه 936 دانشگاه اندکی جدایی دارد و فهرست هجده کتاب در آن نیست و طهارت یک کتاب جدا و در 7 باب و صلوه کتابی دیگر و در 17 باب به شماره آمده است ولی در 936 آن دو یک کتاب و در 33 باب گذارده شده است، همانا نگارنده این فقه فارسی هر که بوده دو بار و دو گونه آن را به نگارش در آورده و آن دو در بخش بندی هم یکی نیستند از اینها گذشته یک کتاب بیش نیستند و از یک کس. این هم شود که نسخه 771 درست برابر است با نسخه 2710 کتابخانه ملک است؛ کاغذ: ترمه ، جلد: تیماج مشکی ضربی مقوایی، 222گ، 19 سطر (10/5</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اندازه 15</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5 - 1769]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قم؛ طبسی حائری؛ شماره نسخه: 838</w:t>
      </w:r>
    </w:p>
    <w:p>
      <w:pPr>
        <w:pStyle w:val="BookText"/>
      </w:pPr>
      <w:r>
        <w:rPr>
          <w:rFonts w:ascii="IRNazanin" w:hAnsi="IRNazanin" w:eastAsia="IRNazanin" w:cs="IRNazanin"/>
          <w:lang w:bidi="fa-IR"/>
          <w:color w:val="111111"/>
          <w:sz w:val="28"/>
          <w:szCs w:val="28"/>
          <w:rtl/>
        </w:rPr>
        <w:t xml:space="preserve">آغاز: برابر؛ انجام: روز عیدی از زنان قريش در مسجد الحرام جمع شده بودند ناگاه یهودی</w:t>
      </w:r>
    </w:p>
    <w:p>
      <w:pPr>
        <w:pStyle w:val="BookText"/>
      </w:pPr>
      <w:r>
        <w:rPr>
          <w:rFonts w:ascii="IRNazanin" w:hAnsi="IRNazanin" w:eastAsia="IRNazanin" w:cs="IRNazanin"/>
          <w:lang w:bidi="fa-IR"/>
          <w:color w:val="111111"/>
          <w:sz w:val="28"/>
          <w:szCs w:val="28"/>
          <w:rtl/>
        </w:rPr>
        <w:t xml:space="preserve">در فهرست از علی کاشانی دانسته شده که ممکن است کاتب باشد؛ خط: نستعلیق، بی کا، تا: قرن 11 ؛ افتادگی: انجام؛ مجدول، در اول نسخه تعداد ابیات کتاب 14000 بیت است؛ تملک: محمد هادی حسینی به سال 1095 که در بلده آن را خریداری نموده است؛ جلد: تیماج 316گ 21 سطر ، اندازه: 17</w:t>
      </w:r>
      <w:r>
        <w:rPr>
          <w:rFonts w:ascii="Times New Roman" w:hAnsi="Times New Roman" w:eastAsia="Times New Roman" w:cs="Times New Roman"/>
          <w:lang w:val="en-US" w:bidi="en-US"/>
          <w:color w:val="111111"/>
          <w:sz w:val="28"/>
          <w:szCs w:val="28"/>
          <w:rtl/>
        </w:rPr>
        <w:t xml:space="preserve">×27</w:t>
      </w:r>
      <w:r>
        <w:rPr>
          <w:rFonts w:ascii="IRNazanin" w:hAnsi="IRNazanin" w:eastAsia="IRNazanin" w:cs="IRNazanin"/>
          <w:lang w:bidi="fa-IR"/>
          <w:color w:val="111111"/>
          <w:sz w:val="28"/>
          <w:szCs w:val="28"/>
          <w:rtl/>
        </w:rPr>
        <w:t xml:space="preserve">سم [ف مخ: 1- 153]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دامغان؛ صادقیه؛ شماره نسخه: 182</w:t>
      </w:r>
    </w:p>
    <w:p>
      <w:pPr>
        <w:pStyle w:val="BookText"/>
      </w:pPr>
      <w:r>
        <w:rPr>
          <w:rFonts w:ascii="IRNazanin" w:hAnsi="IRNazanin" w:eastAsia="IRNazanin" w:cs="IRNazanin"/>
          <w:lang w:bidi="fa-IR"/>
          <w:color w:val="111111"/>
          <w:sz w:val="28"/>
          <w:szCs w:val="28"/>
          <w:rtl/>
        </w:rPr>
        <w:t xml:space="preserve">آغاز: برابر؛ انجام:ضرورتی برو گذارده باشد و قصاص را که عمد بوده باشد و دیه اگر خطا</w:t>
      </w:r>
    </w:p>
    <w:p>
      <w:pPr>
        <w:pStyle w:val="BookText"/>
      </w:pPr>
      <w:r>
        <w:rPr>
          <w:rFonts w:ascii="IRNazanin" w:hAnsi="IRNazanin" w:eastAsia="IRNazanin" w:cs="IRNazanin"/>
          <w:lang w:bidi="fa-IR"/>
          <w:color w:val="111111"/>
          <w:sz w:val="28"/>
          <w:szCs w:val="28"/>
          <w:rtl/>
        </w:rPr>
        <w:t xml:space="preserve">از ابتداء تا اوایل باب 11 از کتاب قتل و دیات در کفاره قتل واجب. نام مؤلف به قرینه آغاز نسخه تعیین شد؛ خط: نسخ و نستعلیق، بی کا، تا: قرن 10 یا 11؛ افتادگی: انجام؛ مصحح؛تملک: «ملا میرزا؛ جلد: تیماج قرمز،270گ، 19 سطر ، اندازه " 12</w:t>
      </w:r>
      <w:r>
        <w:rPr>
          <w:rFonts w:ascii="Times New Roman" w:hAnsi="Times New Roman" w:eastAsia="Times New Roman" w:cs="Times New Roman"/>
          <w:lang w:val="en-US" w:bidi="en-US"/>
          <w:color w:val="111111"/>
          <w:sz w:val="28"/>
          <w:szCs w:val="28"/>
          <w:rtl/>
        </w:rPr>
        <w:t xml:space="preserve">×17/5</w:t>
      </w:r>
      <w:r>
        <w:rPr>
          <w:rFonts w:ascii="IRNazanin" w:hAnsi="IRNazanin" w:eastAsia="IRNazanin" w:cs="IRNazanin"/>
          <w:lang w:bidi="fa-IR"/>
          <w:color w:val="111111"/>
          <w:sz w:val="28"/>
          <w:szCs w:val="28"/>
          <w:rtl/>
        </w:rPr>
        <w:t xml:space="preserve">سم [ف: 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یزد؛ وزیری؛ شماره نسخه: 33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1070ق؛ مجدول، مذهب؛ جلد: مقوایی تیماج زرد ضربی 351گ 15 سطر (10</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اندازه: 17</w:t>
      </w:r>
      <w:r>
        <w:rPr>
          <w:rFonts w:ascii="Times New Roman" w:hAnsi="Times New Roman" w:eastAsia="Times New Roman" w:cs="Times New Roman"/>
          <w:lang w:val="en-US" w:bidi="en-US"/>
          <w:color w:val="111111"/>
          <w:sz w:val="28"/>
          <w:szCs w:val="28"/>
          <w:rtl/>
        </w:rPr>
        <w:t xml:space="preserve">× 27</w:t>
      </w:r>
      <w:r>
        <w:rPr>
          <w:rFonts w:ascii="IRNazanin" w:hAnsi="IRNazanin" w:eastAsia="IRNazanin" w:cs="IRNazanin"/>
          <w:lang w:bidi="fa-IR"/>
          <w:color w:val="111111"/>
          <w:sz w:val="28"/>
          <w:szCs w:val="28"/>
          <w:rtl/>
        </w:rPr>
        <w:t xml:space="preserve">سم [ف: 1 - 44]</w:t>
      </w:r>
    </w:p>
    <w:p>
      <w:pPr>
        <w:pStyle w:val="BookText"/>
      </w:pPr>
      <w:r>
        <w:rPr>
          <w:rFonts w:ascii="IRNazanin" w:hAnsi="IRNazanin" w:eastAsia="IRNazanin" w:cs="IRNazanin"/>
          <w:lang w:bidi="fa-IR"/>
          <w:color w:val="111111"/>
          <w:sz w:val="28"/>
          <w:szCs w:val="28"/>
          <w:rtl/>
        </w:rPr>
        <w:t xml:space="preserve">6.تهران؛ دانشگاه؛ شماره نسخه 723/1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2" w:name="pg20365_259967"/>
    <w:bookmarkEnd w:id="12"/>
    <w:p>
      <w:pPr>
        <w:pStyle w:val="BookText"/>
      </w:pPr>
      <w:r>
        <w:rPr>
          <w:rFonts w:ascii="IRNazanin" w:hAnsi="IRNazanin" w:eastAsia="IRNazanin" w:cs="IRNazanin"/>
          <w:lang w:bidi="fa-IR"/>
          <w:color w:val="111111"/>
          <w:sz w:val="28"/>
          <w:szCs w:val="28"/>
          <w:rtl/>
        </w:rPr>
        <w:t xml:space="preserve">آغاز: بسم الله خير الاسماء. كتاب ارشاد اول کتاب تجارت. و آن مقد(مه) است و نه باب. اما مقدمه در بیان کسب معاش و آن سه فصل است. فصل اول در فضیلت کسب بدانکه سنت است کسب معاش حلال و در آن فضل بسیار است و ثواب بزرگ؛ انجام: باب در امر معروف و نهی منکر واجب است امر بمعروف و نهی از منکر بهفت شرط و اگر کسی قاضی شود از قبل پادشاه ظالم جایز است که حد زند یا تعزیر نماید باعتقاد نیابت از قبل امام اگر استحقاق آنرا داشته باشد</w:t>
      </w:r>
    </w:p>
    <w:p>
      <w:pPr>
        <w:pStyle w:val="BookText"/>
      </w:pPr>
      <w:r>
        <w:rPr>
          <w:rFonts w:ascii="IRNazanin" w:hAnsi="IRNazanin" w:eastAsia="IRNazanin" w:cs="IRNazanin"/>
          <w:lang w:bidi="fa-IR"/>
          <w:color w:val="111111"/>
          <w:sz w:val="28"/>
          <w:szCs w:val="28"/>
          <w:rtl/>
        </w:rPr>
        <w:t xml:space="preserve">شامل: کتاب های تجارت و هبه و دین و اجاره ووصیت و میراث و نکاح و فراق و عتق و نذر و عهد و يمين و كفارت و صيد شکار و طعام و قضا و جهاد. در این نسخه میراث که باید پیش از قضا و شهادات باشد پیش از نکاح گذارده شده، این نسخه دارای تجارت تا دیات می باشد برابر است باگ 68 پ-222 پ ش 771 دانشگاه و گ 51 پ-155 پ ش 936 و کتاب جهاد آن گ 180 پ - 185ر که باید پیش از تجارت باشد برابر است با گ 65ر-68 پ ش 771 و گ 49ر-51رش 936؛ خط: نسخ،کا: مهدى بن مولانا محمد علی ابن عبدالخالق؛ تا: رجب 1072ق؛ پایان دارد: «تمت الكتاب. این کتاب ارشاد از روی کتاب مولانا عبدالرزاق قادری نوشته شد به تاریخ شهر رجب المرجب سنه 1072- این نوشتم تا بماند یادگار *** من نمانم خط بماند یادگار.</w:t>
      </w:r>
    </w:p>
    <w:p>
      <w:pPr>
        <w:pStyle w:val="BookText"/>
      </w:pPr>
      <w:r>
        <w:rPr>
          <w:rFonts w:ascii="IRNazanin" w:hAnsi="IRNazanin" w:eastAsia="IRNazanin" w:cs="IRNazanin"/>
          <w:lang w:bidi="fa-IR"/>
          <w:color w:val="111111"/>
          <w:sz w:val="28"/>
          <w:szCs w:val="28"/>
          <w:rtl/>
        </w:rPr>
        <w:t xml:space="preserve">كتبه العبد الاقل الخلائق مهدى بن مولانا محمد على عبدالخالق»؛ فهرست باب ها به خط ملا محمد بن ابراهيم ابو زید آبادی در گ 1ر هست، نام نویسنده در گ 180 ر و در دیات هم هست و دارد: «تمام شد شرح ارشاد در عاشر شهر جمادى الثانى سنه 1080 (در نسخه 100080) كاتبه العبد الاقل  ابن مولانا محمد على مهدى ابن مولانا المرحوم ملا عبد الخالق ابوزید آبادی»؛ کاغذ: سمرقندی، جلد: تیماج زرد تازه 188گ (1پ- 180ر)  ، 14 سطر (9</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 اندازه: 16 </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سم [ف: 5 - 1763]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قم؛ مرکز احیاء؛ شماره نسخه: 154</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نام مؤلف به قرینه آغاز نسخه تعیین شد؛ خط: نستعلیق، کا: آتچلن اعلی بن مراد خان بیک، تا: یک شنبه 6 جمادىالاول 1108 ق؛جلد: تیماج قهوه ای 195گ 20 سطر ، اندازه: 19</w:t>
      </w:r>
      <w:r>
        <w:rPr>
          <w:rFonts w:ascii="Times New Roman" w:hAnsi="Times New Roman" w:eastAsia="Times New Roman" w:cs="Times New Roman"/>
          <w:lang w:val="en-US" w:bidi="en-US"/>
          <w:color w:val="111111"/>
          <w:sz w:val="28"/>
          <w:szCs w:val="28"/>
          <w:rtl/>
        </w:rPr>
        <w:t xml:space="preserve">×28/5</w:t>
      </w:r>
      <w:r>
        <w:rPr>
          <w:rFonts w:ascii="IRNazanin" w:hAnsi="IRNazanin" w:eastAsia="IRNazanin" w:cs="IRNazanin"/>
          <w:lang w:bidi="fa-IR"/>
          <w:color w:val="111111"/>
          <w:sz w:val="28"/>
          <w:szCs w:val="28"/>
          <w:rtl/>
        </w:rPr>
        <w:t xml:space="preserve">سم [ ف: 1- 220]</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تهران؛ دانشگاه؛ شماره نسخه: 936</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در هجده کتاب که در دیباچه هست؛ خط: نسخ، کا: محمد رحیم شیرازی، تا: 12 رمضان 1129ق، جا: شهر داله بنگاله که از شهرهای بنگاله که جهانگیر نگر نامیده می شده؛ دارای حاشیه هایی با نشان «12» «5» به نستعلیق در 155 پ دارد: «تاریخ تولد نورچشمی میرزا عبدالرحیم روز پنج شنبه 5 رجب توشقان ئیل در تهران 1296» تاریخ وفات میر محمد باقر داماد «عروس مهر و مه را مرده داماد» تاریخ فوت ملا محمد باقر مجلسی «باقر علم روان شد بجنان»،</w:t>
      </w:r>
    </w:p>
    <w:p>
      <w:pPr>
        <w:pStyle w:val="BookText"/>
      </w:pPr>
      <w:r>
        <w:rPr>
          <w:rFonts w:ascii="IRNazanin" w:hAnsi="IRNazanin" w:eastAsia="IRNazanin" w:cs="IRNazanin"/>
          <w:lang w:bidi="fa-IR"/>
          <w:color w:val="111111"/>
          <w:sz w:val="28"/>
          <w:szCs w:val="28"/>
          <w:rtl/>
        </w:rPr>
        <w:t xml:space="preserve">تاريخ وفات شيخ بهاء الدين محمد عاملی «شروع شد بی سر و پا تاج از سرفضل اوفتاد»؛ مهر: «لا اله الا الله الملك الحق المبين محمد صادق» و «صبح صادق گشت از لطف الهی آشکار و «محمد صادق» کاغذ: ترمه ،جلد: تیماج سرخ ضربی مقوایی 155گ، 26 سطر (10</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 اندازه: 15</w:t>
      </w:r>
      <w:r>
        <w:rPr>
          <w:rFonts w:ascii="Times New Roman" w:hAnsi="Times New Roman" w:eastAsia="Times New Roman" w:cs="Times New Roman"/>
          <w:lang w:val="en-US" w:bidi="en-US"/>
          <w:color w:val="111111"/>
          <w:sz w:val="28"/>
          <w:szCs w:val="28"/>
          <w:rtl/>
        </w:rPr>
        <w:t xml:space="preserve">×25</w:t>
      </w:r>
      <w:r>
        <w:rPr>
          <w:rFonts w:ascii="IRNazanin" w:hAnsi="IRNazanin" w:eastAsia="IRNazanin" w:cs="IRNazanin"/>
          <w:lang w:bidi="fa-IR"/>
          <w:color w:val="111111"/>
          <w:sz w:val="28"/>
          <w:szCs w:val="28"/>
          <w:rtl/>
        </w:rPr>
        <w:t xml:space="preserve">سم [ف: 5 - 1770]</w:t>
      </w:r>
    </w:p>
    <w:p>
      <w:pPr>
        <w:pStyle w:val="BookText"/>
      </w:pPr>
      <w:r>
        <w:rPr>
          <w:rFonts w:ascii="IRNazanin" w:hAnsi="IRNazanin" w:eastAsia="IRNazanin" w:cs="IRNazanin"/>
          <w:lang w:bidi="fa-IR"/>
          <w:color w:val="111111"/>
          <w:sz w:val="28"/>
          <w:szCs w:val="28"/>
          <w:rtl/>
        </w:rPr>
        <w:t xml:space="preserve">9 بابل؛ مدرسه خاتم الانبیاء (صدر)؛ شماره نسخه: 95</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در فهرست ناشناس؛ خط: نستعلیق، کا: ابوالحسن بن محمد طیب، :تا: 27 شعبان 1217ق؛ چند باب از کتاب جامع عباسی شیخ بهایی (باب هفتم تا شانزدهم) ضمیمه کتاب می باشد؛ جلد: تیماج مشکی، 359گ، 23 سطر ، اندازه: 18</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سم [ف مخ: 72]</w:t>
      </w:r>
    </w:p>
    <w:p>
      <w:pPr>
        <w:pStyle w:val="BookText"/>
      </w:pPr>
      <w:r>
        <w:rPr>
          <w:rFonts w:ascii="IRNazanin" w:hAnsi="IRNazanin" w:eastAsia="IRNazanin" w:cs="IRNazanin"/>
          <w:lang w:bidi="fa-IR"/>
          <w:color w:val="111111"/>
          <w:sz w:val="28"/>
          <w:szCs w:val="28"/>
          <w:rtl/>
        </w:rPr>
        <w:t xml:space="preserve">قم؛ مرکز احیاء؛ شماره نسخه: 1724/1</w:t>
      </w:r>
    </w:p>
    <w:p>
      <w:pPr>
        <w:pStyle w:val="BookText"/>
      </w:pPr>
      <w:r>
        <w:rPr>
          <w:rFonts w:ascii="IRNazanin" w:hAnsi="IRNazanin" w:eastAsia="IRNazanin" w:cs="IRNazanin"/>
          <w:lang w:bidi="fa-IR"/>
          <w:color w:val="111111"/>
          <w:sz w:val="28"/>
          <w:szCs w:val="28"/>
          <w:rtl/>
        </w:rPr>
        <w:t xml:space="preserve">نسخه اصل: همان نسخه بالا [عکسی ف 5 - 180]</w:t>
      </w:r>
    </w:p>
    <w:p>
      <w:pPr>
        <w:pStyle w:val="BookText"/>
      </w:pPr>
      <w:r>
        <w:rPr>
          <w:rFonts w:ascii="IRNazanin" w:hAnsi="IRNazanin" w:eastAsia="IRNazanin" w:cs="IRNazanin"/>
          <w:lang w:bidi="fa-IR"/>
          <w:color w:val="111111"/>
          <w:sz w:val="28"/>
          <w:szCs w:val="28"/>
          <w:rtl/>
        </w:rPr>
        <w:t xml:space="preserve">10.یزد؛ وزیری؛ شماره نسخه: 3090/2</w:t>
      </w:r>
    </w:p>
    <w:p>
      <w:pPr>
        <w:pStyle w:val="BookText"/>
      </w:pPr>
      <w:r>
        <w:rPr>
          <w:rFonts w:ascii="IRNazanin" w:hAnsi="IRNazanin" w:eastAsia="IRNazanin" w:cs="IRNazanin"/>
          <w:lang w:bidi="fa-IR"/>
          <w:color w:val="111111"/>
          <w:sz w:val="28"/>
          <w:szCs w:val="28"/>
          <w:rtl/>
        </w:rPr>
        <w:t xml:space="preserve">آغاز: برابر؛ انجام: موجود: فاعله باشد یا مفعول.</w:t>
      </w:r>
    </w:p>
    <w:p>
      <w:pPr>
        <w:pStyle w:val="BookText"/>
      </w:pPr>
      <w:r>
        <w:rPr>
          <w:rFonts w:ascii="IRNazanin" w:hAnsi="IRNazanin" w:eastAsia="IRNazanin" w:cs="IRNazanin"/>
          <w:lang w:bidi="fa-IR"/>
          <w:color w:val="111111"/>
          <w:sz w:val="28"/>
          <w:szCs w:val="28"/>
          <w:rtl/>
        </w:rPr>
        <w:t xml:space="preserve">در فهرست با عنوان «فقه فارسی»، بدون نام مؤلف؛ خط: نستعليق، بی کا بی تا؛ افتادگی: انجام؛ کاغذ: سمرقندی، جلد: تیماج مشکی، 101 ص( 107-6) ، اندازه: 17</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5 - 1529]</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قم؛ مرعشی؛ شماره نسخه: 6176</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بدون نام مؤلف؛ خط: نستعلیق، کا: سید افضل، تا: 10 جمادی الثانى 22 جلوس محمد ،شاهی به دستور میر ولی فیاض؛ مصحح، محشی؛ جلد: تیماج قهوه ای، 426گ ، 13 سطر ، اندازه: 15</w:t>
      </w:r>
      <w:r>
        <w:rPr>
          <w:rFonts w:ascii="Times New Roman" w:hAnsi="Times New Roman" w:eastAsia="Times New Roman" w:cs="Times New Roman"/>
          <w:lang w:val="en-US" w:bidi="en-US"/>
          <w:color w:val="111111"/>
          <w:sz w:val="28"/>
          <w:szCs w:val="28"/>
          <w:rtl/>
        </w:rPr>
        <w:t xml:space="preserve">×24</w:t>
      </w:r>
      <w:r>
        <w:rPr>
          <w:rFonts w:ascii="IRNazanin" w:hAnsi="IRNazanin" w:eastAsia="IRNazanin" w:cs="IRNazanin"/>
          <w:lang w:bidi="fa-IR"/>
          <w:color w:val="111111"/>
          <w:sz w:val="28"/>
          <w:szCs w:val="28"/>
          <w:rtl/>
        </w:rPr>
        <w:t xml:space="preserve">سم [ف: 16 - 174]</w:t>
      </w:r>
    </w:p>
    <w:p>
      <w:pPr>
        <w:pStyle w:val="Heading3"/>
      </w:pPr>
      <w:bookmarkStart w:id="521" w:name="_Toc43"/>
      <w:r>
        <w:t>الارشاد</w:t>
      </w:r>
      <w:bookmarkEnd w:id="521"/>
    </w:p>
    <w:p>
      <w:pPr>
        <w:pStyle w:val="BookText"/>
      </w:pPr>
      <w:r>
        <w:rPr>
          <w:rFonts w:ascii="Times New Roman" w:hAnsi="Times New Roman" w:eastAsia="Times New Roman" w:cs="Times New Roman"/>
          <w:lang w:val="en-US" w:bidi="en-US"/>
          <w:color w:val="111111"/>
          <w:sz w:val="28"/>
          <w:szCs w:val="28"/>
          <w:rtl/>
        </w:rPr>
        <w:t xml:space="preserve">al-iršād</w:t>
      </w:r>
    </w:p>
    <w:p>
      <w:pPr>
        <w:pStyle w:val="BookText"/>
      </w:pPr>
      <w:r>
        <w:rPr>
          <w:rFonts w:ascii="IRNazanin" w:hAnsi="IRNazanin" w:eastAsia="IRNazanin" w:cs="IRNazanin"/>
          <w:lang w:bidi="fa-IR"/>
          <w:color w:val="111111"/>
          <w:sz w:val="28"/>
          <w:szCs w:val="28"/>
          <w:rtl/>
        </w:rPr>
        <w:t xml:space="preserve">تهران ملی شماره نسخه: 18181</w:t>
      </w:r>
    </w:p>
    <w:p>
      <w:pPr>
        <w:pStyle w:val="BookText"/>
      </w:pPr>
      <w:r>
        <w:rPr>
          <w:rFonts w:ascii="IRNazanin" w:hAnsi="IRNazanin" w:eastAsia="IRNazanin" w:cs="IRNazanin"/>
          <w:lang w:bidi="fa-IR"/>
          <w:color w:val="111111"/>
          <w:sz w:val="28"/>
          <w:szCs w:val="28"/>
          <w:rtl/>
        </w:rPr>
        <w:t xml:space="preserve">بی کا، تا: 1312ق؛ انتقالی از کتابخانه پهلوی - مجموعه نوازی؛ 86گ، اندازه: 13/3</w:t>
      </w:r>
      <w:r>
        <w:rPr>
          <w:rFonts w:ascii="Times New Roman" w:hAnsi="Times New Roman" w:eastAsia="Times New Roman" w:cs="Times New Roman"/>
          <w:lang w:val="en-US" w:bidi="en-US"/>
          <w:color w:val="111111"/>
          <w:sz w:val="28"/>
          <w:szCs w:val="28"/>
          <w:rtl/>
        </w:rPr>
        <w:t xml:space="preserve">×20/9</w:t>
      </w:r>
      <w:r>
        <w:rPr>
          <w:rFonts w:ascii="IRNazanin" w:hAnsi="IRNazanin" w:eastAsia="IRNazanin" w:cs="IRNazanin"/>
          <w:lang w:bidi="fa-IR"/>
          <w:color w:val="111111"/>
          <w:sz w:val="28"/>
          <w:szCs w:val="28"/>
          <w:rtl/>
        </w:rPr>
        <w:t xml:space="preserve">سم [رایانه]</w:t>
      </w:r>
    </w:p>
    <w:p>
      <w:pPr>
        <w:pStyle w:val="Heading3"/>
      </w:pPr>
      <w:bookmarkStart w:id="522" w:name="_Toc44"/>
      <w:r>
        <w:t>الارشاد / نحو / عربي</w:t>
      </w:r>
      <w:bookmarkEnd w:id="522"/>
    </w:p>
    <w:p>
      <w:pPr>
        <w:pStyle w:val="BookText"/>
      </w:pPr>
      <w:r>
        <w:rPr>
          <w:rFonts w:ascii="Times New Roman" w:hAnsi="Times New Roman" w:eastAsia="Times New Roman" w:cs="Times New Roman"/>
          <w:lang w:val="en-US" w:bidi="en-US"/>
          <w:color w:val="111111"/>
          <w:sz w:val="28"/>
          <w:szCs w:val="28"/>
          <w:rtl/>
        </w:rPr>
        <w:t xml:space="preserve">al-iršād</w:t>
      </w:r>
    </w:p>
    <w:p>
      <w:pPr>
        <w:pStyle w:val="BookText"/>
      </w:pPr>
      <w:r>
        <w:rPr>
          <w:rFonts w:ascii="IRNazanin" w:hAnsi="IRNazanin" w:eastAsia="IRNazanin" w:cs="IRNazanin"/>
          <w:lang w:bidi="fa-IR"/>
          <w:color w:val="111111"/>
          <w:sz w:val="28"/>
          <w:szCs w:val="28"/>
          <w:rtl/>
        </w:rPr>
        <w:t xml:space="preserve">یزد؛ وزیری؛ شماره نسخه: 2234/3</w:t>
      </w:r>
    </w:p>
    <w:p>
      <w:pPr>
        <w:pStyle w:val="BookText"/>
      </w:pPr>
      <w:r>
        <w:rPr>
          <w:rFonts w:ascii="Amiri" w:hAnsi="Amiri" w:eastAsia="Amiri" w:cs="Amiri"/>
          <w:lang w:bidi="ar-SA"/>
          <w:color w:val="111111"/>
          <w:sz w:val="28"/>
          <w:szCs w:val="28"/>
          <w:rtl/>
        </w:rPr>
        <w:t xml:space="preserve">آغاز: بسمله حمدله فهذا مختصر في علم النحو سميته بالارشاد</w:t>
      </w:r>
    </w:p>
    <w:p>
      <w:pPr>
        <w:pStyle w:val="BookText"/>
      </w:pPr>
      <w:r>
        <w:rPr>
          <w:rFonts w:ascii="IRNazanin" w:hAnsi="IRNazanin" w:eastAsia="IRNazanin" w:cs="IRNazanin"/>
          <w:lang w:bidi="fa-IR"/>
          <w:color w:val="111111"/>
          <w:sz w:val="28"/>
          <w:szCs w:val="28"/>
          <w:rtl/>
        </w:rPr>
        <w:t xml:space="preserve">خط: نسخ، کا: محمد بن سلیمان، تا: شوال 968ق؛ افتادگی: وسط؛ شماره عمومی 15063، اهدایی مؤسس؛ کاغذ: مختلف، جلد: تیماج مشکی، 8گ (35-43) اندازه: 11</w:t>
      </w:r>
      <w:r>
        <w:rPr>
          <w:rFonts w:ascii="Times New Roman" w:hAnsi="Times New Roman" w:eastAsia="Times New Roman" w:cs="Times New Roman"/>
          <w:lang w:val="en-US" w:bidi="en-US"/>
          <w:color w:val="111111"/>
          <w:sz w:val="28"/>
          <w:szCs w:val="28"/>
          <w:rtl/>
        </w:rPr>
        <w:t xml:space="preserve">× 16</w:t>
      </w:r>
      <w:r>
        <w:rPr>
          <w:rFonts w:ascii="IRNazanin" w:hAnsi="IRNazanin" w:eastAsia="IRNazanin" w:cs="IRNazanin"/>
          <w:lang w:bidi="fa-IR"/>
          <w:color w:val="111111"/>
          <w:sz w:val="28"/>
          <w:szCs w:val="28"/>
          <w:rtl/>
        </w:rPr>
        <w:t xml:space="preserve">سم [ف: 4 - 1212]</w:t>
      </w:r>
    </w:p>
    <w:p>
      <w:pPr>
        <w:pStyle w:val="Heading3"/>
      </w:pPr>
      <w:bookmarkStart w:id="523" w:name="_Toc45"/>
      <w:r>
        <w:t>ارشاد / عرفان و تصوف / عربی</w:t>
      </w:r>
      <w:bookmarkEnd w:id="523"/>
    </w:p>
    <w:p>
      <w:pPr>
        <w:pStyle w:val="BookText"/>
      </w:pPr>
      <w:r>
        <w:rPr>
          <w:rFonts w:ascii="Times New Roman" w:hAnsi="Times New Roman" w:eastAsia="Times New Roman" w:cs="Times New Roman"/>
          <w:lang w:val="en-US" w:bidi="en-US"/>
          <w:color w:val="111111"/>
          <w:sz w:val="28"/>
          <w:szCs w:val="28"/>
          <w:rtl/>
        </w:rPr>
        <w:t xml:space="preserve">iršād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3" w:name="pg20365_259968"/>
    <w:bookmarkEnd w:id="13"/>
    <w:p>
      <w:pPr>
        <w:pStyle w:val="BookText"/>
      </w:pPr>
      <w:r>
        <w:rPr>
          <w:rFonts w:ascii="IRNazanin" w:hAnsi="IRNazanin" w:eastAsia="IRNazanin" w:cs="IRNazanin"/>
          <w:lang w:bidi="fa-IR"/>
          <w:color w:val="111111"/>
          <w:sz w:val="28"/>
          <w:szCs w:val="28"/>
          <w:rtl/>
        </w:rPr>
        <w:t xml:space="preserve">مشهد رضوی شماره نسخه: 18656</w:t>
      </w:r>
    </w:p>
    <w:p>
      <w:pPr>
        <w:pStyle w:val="BookText"/>
      </w:pPr>
      <w:r>
        <w:rPr>
          <w:rFonts w:ascii="Amiri" w:hAnsi="Amiri" w:eastAsia="Amiri" w:cs="Amiri"/>
          <w:lang w:bidi="ar-SA"/>
          <w:color w:val="111111"/>
          <w:sz w:val="28"/>
          <w:szCs w:val="28"/>
          <w:rtl/>
        </w:rPr>
        <w:t xml:space="preserve">آغاز: بسمله الحمد لله الذي هدانا لهذا وما كنا لنهتدى؛ انجام:  ولايسع هذا المختصر كتبه من هذا تم</w:t>
      </w:r>
    </w:p>
    <w:p>
      <w:pPr>
        <w:pStyle w:val="BookText"/>
      </w:pPr>
      <w:r>
        <w:rPr>
          <w:rFonts w:ascii="IRNazanin" w:hAnsi="IRNazanin" w:eastAsia="IRNazanin" w:cs="IRNazanin"/>
          <w:lang w:bidi="fa-IR"/>
          <w:color w:val="111111"/>
          <w:sz w:val="28"/>
          <w:szCs w:val="28"/>
          <w:rtl/>
        </w:rPr>
        <w:t xml:space="preserve">خط: نستعلیق، بی کا، تا: قرن 11 [ رایانه]</w:t>
      </w:r>
    </w:p>
    <w:p>
      <w:pPr>
        <w:pStyle w:val="Heading3"/>
      </w:pPr>
      <w:bookmarkStart w:id="524" w:name="_Toc46"/>
      <w:r>
        <w:t>الارشاد / کلام و اعتقادات، فقه / عربی</w:t>
      </w:r>
      <w:bookmarkEnd w:id="524"/>
    </w:p>
    <w:p>
      <w:pPr>
        <w:pStyle w:val="BookText"/>
      </w:pPr>
      <w:r>
        <w:rPr>
          <w:rFonts w:ascii="Times New Roman" w:hAnsi="Times New Roman" w:eastAsia="Times New Roman" w:cs="Times New Roman"/>
          <w:lang w:val="en-US" w:bidi="en-US"/>
          <w:color w:val="111111"/>
          <w:sz w:val="28"/>
          <w:szCs w:val="28"/>
          <w:rtl/>
        </w:rPr>
        <w:t xml:space="preserve">al-iršād</w:t>
      </w:r>
    </w:p>
    <w:p>
      <w:pPr>
        <w:pStyle w:val="BookText"/>
      </w:pPr>
      <w:r>
        <w:rPr>
          <w:rFonts w:ascii="IRNazanin" w:hAnsi="IRNazanin" w:eastAsia="IRNazanin" w:cs="IRNazanin"/>
          <w:lang w:bidi="fa-IR"/>
          <w:color w:val="111111"/>
          <w:sz w:val="28"/>
          <w:szCs w:val="28"/>
          <w:rtl/>
        </w:rPr>
        <w:t xml:space="preserve">مختصری است در اعتقادات و احکام نماز و روزه و زکات حج بر طبق مذهب ابی حنیفه، مشتمل بر مقدمه ای بسیار کوتا دو کتاب اول اعتقادات و دوم احکام در پنج باب و خاتمه ای دراحكام صدقات.</w:t>
      </w:r>
    </w:p>
    <w:p>
      <w:pPr>
        <w:pStyle w:val="BookText"/>
      </w:pPr>
      <w:r>
        <w:rPr>
          <w:rFonts w:ascii="IRNazanin" w:hAnsi="IRNazanin" w:eastAsia="IRNazanin" w:cs="IRNazanin"/>
          <w:lang w:bidi="fa-IR"/>
          <w:color w:val="111111"/>
          <w:sz w:val="28"/>
          <w:szCs w:val="28"/>
          <w:rtl/>
        </w:rPr>
        <w:t xml:space="preserve">قم؛ مرعشی؛ شماره نسخه: 4257/7</w:t>
      </w:r>
    </w:p>
    <w:p>
      <w:pPr>
        <w:pStyle w:val="BookText"/>
      </w:pPr>
      <w:r>
        <w:rPr>
          <w:rFonts w:ascii="IRNazanin" w:hAnsi="IRNazanin" w:eastAsia="IRNazanin" w:cs="IRNazanin"/>
          <w:lang w:bidi="fa-IR"/>
          <w:color w:val="111111"/>
          <w:sz w:val="28"/>
          <w:szCs w:val="28"/>
          <w:rtl/>
        </w:rPr>
        <w:t xml:space="preserve">آغاز: الحمد لله الهادى الى الصراط المستقيم و الصلاة على من خصه الله بالخلق العظيم؛ انجام: و ينبغى للرجال أن يجیب و ان لم يفعل اثم ولا يرفع شيئاً و لا يعطى سائلا الا باذن صاحبها.</w:t>
      </w:r>
    </w:p>
    <w:p>
      <w:pPr>
        <w:pStyle w:val="BookText"/>
      </w:pPr>
      <w:r>
        <w:rPr>
          <w:rFonts w:ascii="IRNazanin" w:hAnsi="IRNazanin" w:eastAsia="IRNazanin" w:cs="IRNazanin"/>
          <w:lang w:bidi="fa-IR"/>
          <w:color w:val="111111"/>
          <w:sz w:val="28"/>
          <w:szCs w:val="28"/>
          <w:rtl/>
        </w:rPr>
        <w:t xml:space="preserve">خط: نسخ، بی کا، تا: قرن 13؛ جلد: مقوایی عطف پارچه مشکی، 10 گ ( 55 پ-64ر) ، 21 سطر ، اندازه: 14</w:t>
      </w:r>
      <w:r>
        <w:rPr>
          <w:rFonts w:ascii="Times New Roman" w:hAnsi="Times New Roman" w:eastAsia="Times New Roman" w:cs="Times New Roman"/>
          <w:lang w:val="en-US" w:bidi="en-US"/>
          <w:color w:val="111111"/>
          <w:sz w:val="28"/>
          <w:szCs w:val="28"/>
          <w:rtl/>
        </w:rPr>
        <w:t xml:space="preserve">× 19</w:t>
      </w:r>
      <w:r>
        <w:rPr>
          <w:rFonts w:ascii="IRNazanin" w:hAnsi="IRNazanin" w:eastAsia="IRNazanin" w:cs="IRNazanin"/>
          <w:lang w:bidi="fa-IR"/>
          <w:color w:val="111111"/>
          <w:sz w:val="28"/>
          <w:szCs w:val="28"/>
          <w:rtl/>
        </w:rPr>
        <w:t xml:space="preserve">سم :[ف: 11 - 259]</w:t>
      </w:r>
    </w:p>
    <w:p>
      <w:pPr>
        <w:pStyle w:val="Heading3"/>
      </w:pPr>
      <w:bookmarkStart w:id="525" w:name="_Toc47"/>
      <w:r>
        <w:t>الارشاد / عربی</w:t>
      </w:r>
      <w:bookmarkEnd w:id="525"/>
    </w:p>
    <w:p>
      <w:pPr>
        <w:pStyle w:val="BookText"/>
      </w:pPr>
      <w:r>
        <w:rPr>
          <w:rFonts w:ascii="Times New Roman" w:hAnsi="Times New Roman" w:eastAsia="Times New Roman" w:cs="Times New Roman"/>
          <w:lang w:val="en-US" w:bidi="en-US"/>
          <w:color w:val="111111"/>
          <w:sz w:val="28"/>
          <w:szCs w:val="28"/>
          <w:rtl/>
        </w:rPr>
        <w:t xml:space="preserve">al-iršād</w:t>
      </w:r>
    </w:p>
    <w:p>
      <w:pPr>
        <w:pStyle w:val="BookText"/>
      </w:pPr>
      <w:r>
        <w:rPr>
          <w:rFonts w:ascii="IRNazanin" w:hAnsi="IRNazanin" w:eastAsia="IRNazanin" w:cs="IRNazanin"/>
          <w:lang w:bidi="fa-IR"/>
          <w:color w:val="111111"/>
          <w:sz w:val="28"/>
          <w:szCs w:val="28"/>
          <w:rtl/>
        </w:rPr>
        <w:t xml:space="preserve">تهران؛ ملی؛ شماره نسخه: 20711</w:t>
      </w:r>
    </w:p>
    <w:p>
      <w:pPr>
        <w:pStyle w:val="BookText"/>
      </w:pPr>
      <w:r>
        <w:rPr>
          <w:rFonts w:ascii="IRNazanin" w:hAnsi="IRNazanin" w:eastAsia="IRNazanin" w:cs="IRNazanin"/>
          <w:lang w:bidi="fa-IR"/>
          <w:color w:val="111111"/>
          <w:sz w:val="28"/>
          <w:szCs w:val="28"/>
          <w:rtl/>
        </w:rPr>
        <w:t xml:space="preserve">بی کا، تا: 1255ق؛ خریداری از مصطفی حسینی [رایانه]</w:t>
      </w:r>
    </w:p>
    <w:p>
      <w:pPr>
        <w:pStyle w:val="Heading3"/>
      </w:pPr>
      <w:bookmarkStart w:id="526" w:name="_Toc48"/>
      <w:r>
        <w:t>ارشاد الاذهان الى احكام الایمان / فقه / عربی</w:t>
      </w:r>
      <w:bookmarkEnd w:id="526"/>
    </w:p>
    <w:p>
      <w:pPr>
        <w:pStyle w:val="BookText"/>
      </w:pPr>
      <w:r>
        <w:rPr>
          <w:rFonts w:ascii="Times New Roman" w:hAnsi="Times New Roman" w:eastAsia="Times New Roman" w:cs="Times New Roman"/>
          <w:lang w:val="en-US" w:bidi="en-US"/>
          <w:color w:val="111111"/>
          <w:sz w:val="28"/>
          <w:szCs w:val="28"/>
          <w:rtl/>
        </w:rPr>
        <w:t xml:space="preserve">iršād-ul-aḏhān ila aḥkām-il-īmān</w:t>
      </w:r>
    </w:p>
    <w:p>
      <w:pPr>
        <w:pStyle w:val="BookText"/>
      </w:pPr>
      <w:r>
        <w:rPr>
          <w:rFonts w:ascii="IRNazanin" w:hAnsi="IRNazanin" w:eastAsia="IRNazanin" w:cs="IRNazanin"/>
          <w:lang w:bidi="fa-IR"/>
          <w:color w:val="111111"/>
          <w:sz w:val="28"/>
          <w:szCs w:val="28"/>
          <w:rtl/>
        </w:rPr>
        <w:t xml:space="preserve">علامه حلی حسن بن ،یوسف، 648 - 726 قمری</w:t>
      </w:r>
    </w:p>
    <w:p>
      <w:pPr>
        <w:pStyle w:val="BookText"/>
      </w:pPr>
      <w:r>
        <w:rPr>
          <w:rFonts w:ascii="Times New Roman" w:hAnsi="Times New Roman" w:eastAsia="Times New Roman" w:cs="Times New Roman"/>
          <w:lang w:val="en-US" w:bidi="en-US"/>
          <w:color w:val="111111"/>
          <w:sz w:val="28"/>
          <w:szCs w:val="28"/>
          <w:rtl/>
        </w:rPr>
        <w:t xml:space="preserve">(1251 - 1326)‘allāme-ye hellī</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hasan ebn-e yūsof</w:t>
      </w:r>
    </w:p>
    <w:p>
      <w:pPr>
        <w:pStyle w:val="BookText"/>
      </w:pPr>
      <w:r>
        <w:rPr>
          <w:rFonts w:ascii="IRNazanin" w:hAnsi="IRNazanin" w:eastAsia="IRNazanin" w:cs="IRNazanin"/>
          <w:lang w:bidi="fa-IR"/>
          <w:color w:val="111111"/>
          <w:sz w:val="28"/>
          <w:szCs w:val="28"/>
          <w:rtl/>
        </w:rPr>
        <w:t xml:space="preserve">تاریخ تأليف: 11 شوال 696ق؛ به تقاضای فرزندش فخر المحققين</w:t>
      </w:r>
    </w:p>
    <w:p>
      <w:pPr>
        <w:pStyle w:val="BookText"/>
      </w:pPr>
      <w:r>
        <w:rPr>
          <w:rFonts w:ascii="IRNazanin" w:hAnsi="IRNazanin" w:eastAsia="IRNazanin" w:cs="IRNazanin"/>
          <w:lang w:bidi="fa-IR"/>
          <w:color w:val="111111"/>
          <w:sz w:val="28"/>
          <w:szCs w:val="28"/>
          <w:rtl/>
        </w:rPr>
        <w:t xml:space="preserve">یکی از آثار فقهی معروف علامه حلی است که با متنی استوار طهارت تا دیات را در پانزده هزار مسئله سامان داده و فقها بر شروح و حواشی فروانی نوشته اند. «در مقدمه ای فقه شیعه » (ص (48) و به ضبط «الذریعه» بالغ بر 49 شرح و حاشیه از معرفی شده است و ما آن را تا 90 شرح حاشیه، تعلیقه و ترجمه افزایش داده ایم و این جز آثاری است که در ایران نسخه ندارد در منابع دیگر معرفی شده است.</w:t>
      </w:r>
    </w:p>
    <w:p>
      <w:pPr>
        <w:pStyle w:val="BookText"/>
      </w:pPr>
      <w:r>
        <w:rPr>
          <w:rFonts w:ascii="Amiri" w:hAnsi="Amiri" w:eastAsia="Amiri" w:cs="Amiri"/>
          <w:lang w:bidi="ar-SA"/>
          <w:color w:val="111111"/>
          <w:sz w:val="28"/>
          <w:szCs w:val="28"/>
          <w:rtl/>
        </w:rPr>
        <w:t xml:space="preserve">آغاز: بسمله الحمد لله المتفرد بالقدم والدوام المتنزه عن مشابهه الاعراض و الاجسام المتفضل بسوابغ الانعام. .. أما بعد فان الله تعالى كما أوجب على الولد طاعة أبويه كذلك أوجب</w:t>
      </w:r>
    </w:p>
    <w:p>
      <w:pPr>
        <w:pStyle w:val="BookText"/>
      </w:pPr>
      <w:r>
        <w:rPr>
          <w:rFonts w:ascii="IRNazanin" w:hAnsi="IRNazanin" w:eastAsia="IRNazanin" w:cs="IRNazanin"/>
          <w:lang w:bidi="fa-IR"/>
          <w:color w:val="111111"/>
          <w:sz w:val="28"/>
          <w:szCs w:val="28"/>
          <w:rtl/>
        </w:rPr>
        <w:t xml:space="preserve">انجام: و من أراد التوسط فعليه بما أفدناه فى التحرير أو تذکرة الفقهاء أو قواعد الاحكام او غير ذلك من كتبنا و الله الموفق لکل خير. تمت</w:t>
      </w:r>
    </w:p>
    <w:p>
      <w:pPr>
        <w:pStyle w:val="BookText"/>
      </w:pPr>
      <w:r>
        <w:rPr>
          <w:rFonts w:ascii="IRNazanin" w:hAnsi="IRNazanin" w:eastAsia="IRNazanin" w:cs="IRNazanin"/>
          <w:lang w:bidi="fa-IR"/>
          <w:color w:val="111111"/>
          <w:sz w:val="28"/>
          <w:szCs w:val="28"/>
          <w:rtl/>
        </w:rPr>
        <w:t xml:space="preserve">چاپ: ایران ،قم ،تحقیق فارس حسون، مؤسسة النشر الاسلامى، دو جلد، 1410ق</w:t>
      </w:r>
    </w:p>
    <w:p>
      <w:pPr>
        <w:pStyle w:val="BookText"/>
      </w:pPr>
      <w:r>
        <w:rPr>
          <w:rFonts w:ascii="Amiri" w:hAnsi="Amiri" w:eastAsia="Amiri" w:cs="Amiri"/>
          <w:lang w:bidi="ar-SA"/>
          <w:color w:val="111111"/>
          <w:sz w:val="28"/>
          <w:szCs w:val="28"/>
          <w:rtl/>
        </w:rPr>
        <w:t xml:space="preserve">[الذريعه 510/1؛ كشف الحجب 29؛ ايضاح المكنون 58/1؛ هدية العارفين284/1 ]</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Amiri" w:hAnsi="Amiri" w:eastAsia="Amiri" w:cs="Amiri"/>
          <w:lang w:bidi="ar-SA"/>
          <w:color w:val="111111"/>
          <w:sz w:val="28"/>
          <w:szCs w:val="28"/>
          <w:rtl/>
        </w:rPr>
        <w:t xml:space="preserve">1-حاشية ارشاد الاذهان الى احكام الايمان؛ فخر المحققين، محمد بن حسن (771-682)</w:t>
      </w:r>
    </w:p>
    <w:p>
      <w:pPr>
        <w:pStyle w:val="BookText"/>
      </w:pPr>
      <w:r>
        <w:rPr>
          <w:rFonts w:ascii="IRNazanin" w:hAnsi="IRNazanin" w:eastAsia="IRNazanin" w:cs="IRNazanin"/>
          <w:lang w:bidi="fa-IR"/>
          <w:color w:val="111111"/>
          <w:sz w:val="28"/>
          <w:szCs w:val="28"/>
          <w:rtl/>
        </w:rPr>
        <w:t xml:space="preserve">2- غاية المراد في شرح نكت الارشاد = شرح الارشاد = غاية المراد في شرح الارشاد = نكت الارشاد؛ شهید اول، محمد بن مکی (734- 786)</w:t>
      </w:r>
    </w:p>
    <w:p>
      <w:pPr>
        <w:pStyle w:val="BookText"/>
      </w:pPr>
      <w:r>
        <w:rPr>
          <w:rFonts w:ascii="IRNazanin" w:hAnsi="IRNazanin" w:eastAsia="IRNazanin" w:cs="IRNazanin"/>
          <w:lang w:bidi="fa-IR"/>
          <w:color w:val="111111"/>
          <w:sz w:val="28"/>
          <w:szCs w:val="28"/>
          <w:rtl/>
        </w:rPr>
        <w:t xml:space="preserve">3- درر النقاد فى شرح الارشاد = شرح ارشاد الاذهان؛ عتایقی، عبد الرحمن بن محمد (699-790)</w:t>
      </w:r>
    </w:p>
    <w:p>
      <w:pPr>
        <w:pStyle w:val="BookText"/>
      </w:pPr>
      <w:r>
        <w:rPr>
          <w:rFonts w:ascii="IRNazanin" w:hAnsi="IRNazanin" w:eastAsia="IRNazanin" w:cs="IRNazanin"/>
          <w:lang w:bidi="fa-IR"/>
          <w:color w:val="111111"/>
          <w:sz w:val="28"/>
          <w:szCs w:val="28"/>
          <w:rtl/>
        </w:rPr>
        <w:t xml:space="preserve">4- حاشية ارشاد الاذهان فى احكام الايمان؛ نیلی، علی بن یوسف (- 8</w:t>
      </w:r>
    </w:p>
    <w:p>
      <w:pPr>
        <w:pStyle w:val="BookText"/>
      </w:pPr>
      <w:r>
        <w:rPr>
          <w:rFonts w:ascii="IRNazanin" w:hAnsi="IRNazanin" w:eastAsia="IRNazanin" w:cs="IRNazanin"/>
          <w:lang w:bidi="fa-IR"/>
          <w:color w:val="111111"/>
          <w:sz w:val="28"/>
          <w:szCs w:val="28"/>
          <w:rtl/>
        </w:rPr>
        <w:t xml:space="preserve">5- خلاصة التنقيح فى المذاهب الحق الصحيح؛ احسائی، احمد بن فهد (9-)</w:t>
      </w:r>
    </w:p>
    <w:p>
      <w:pPr>
        <w:pStyle w:val="BookText"/>
      </w:pPr>
      <w:r>
        <w:rPr>
          <w:rFonts w:ascii="IRNazanin" w:hAnsi="IRNazanin" w:eastAsia="IRNazanin" w:cs="IRNazanin"/>
          <w:lang w:bidi="fa-IR"/>
          <w:color w:val="111111"/>
          <w:sz w:val="28"/>
          <w:szCs w:val="28"/>
          <w:rtl/>
        </w:rPr>
        <w:t xml:space="preserve">6- حاشية ارشاد الاذهان؛ محقق کرکی، علی بن حسین(890- 940)</w:t>
      </w:r>
    </w:p>
    <w:p>
      <w:pPr>
        <w:pStyle w:val="BookText"/>
      </w:pPr>
      <w:r>
        <w:rPr>
          <w:rFonts w:ascii="IRNazanin" w:hAnsi="IRNazanin" w:eastAsia="IRNazanin" w:cs="IRNazanin"/>
          <w:lang w:bidi="fa-IR"/>
          <w:color w:val="111111"/>
          <w:sz w:val="28"/>
          <w:szCs w:val="28"/>
          <w:rtl/>
        </w:rPr>
        <w:t xml:space="preserve">7-الهادى الى الرشاد في شرح الارشاد؛ قطيفی بحرانی، ابراهیم بن</w:t>
      </w:r>
    </w:p>
    <w:p>
      <w:pPr>
        <w:pStyle w:val="BookText"/>
      </w:pPr>
      <w:r>
        <w:rPr>
          <w:rFonts w:ascii="IRNazanin" w:hAnsi="IRNazanin" w:eastAsia="IRNazanin" w:cs="IRNazanin"/>
          <w:lang w:bidi="fa-IR"/>
          <w:color w:val="111111"/>
          <w:sz w:val="28"/>
          <w:szCs w:val="28"/>
          <w:rtl/>
        </w:rPr>
        <w:t xml:space="preserve">سلیمان (-950)</w:t>
      </w:r>
    </w:p>
    <w:p>
      <w:pPr>
        <w:pStyle w:val="BookText"/>
      </w:pPr>
      <w:r>
        <w:rPr>
          <w:rFonts w:ascii="IRNazanin" w:hAnsi="IRNazanin" w:eastAsia="IRNazanin" w:cs="IRNazanin"/>
          <w:lang w:bidi="fa-IR"/>
          <w:color w:val="111111"/>
          <w:sz w:val="28"/>
          <w:szCs w:val="28"/>
          <w:rtl/>
        </w:rPr>
        <w:t xml:space="preserve">8- تعليقة على ارشاد الاذهان؛ قطیفی ،بحرانی، ابراهیم بن سلیمان (- 950 )</w:t>
      </w:r>
    </w:p>
    <w:p>
      <w:pPr>
        <w:pStyle w:val="BookText"/>
      </w:pPr>
      <w:r>
        <w:rPr>
          <w:rFonts w:ascii="IRNazanin" w:hAnsi="IRNazanin" w:eastAsia="IRNazanin" w:cs="IRNazanin"/>
          <w:lang w:bidi="fa-IR"/>
          <w:color w:val="111111"/>
          <w:sz w:val="28"/>
          <w:szCs w:val="28"/>
          <w:rtl/>
        </w:rPr>
        <w:t xml:space="preserve">9- حاشية ارشاد الاذهان؛ شهید ثانی، زین الدین بن على (911- 965)</w:t>
      </w:r>
    </w:p>
    <w:p>
      <w:pPr>
        <w:pStyle w:val="BookText"/>
      </w:pPr>
      <w:r>
        <w:rPr>
          <w:rFonts w:ascii="IRNazanin" w:hAnsi="IRNazanin" w:eastAsia="IRNazanin" w:cs="IRNazanin"/>
          <w:lang w:bidi="fa-IR"/>
          <w:color w:val="111111"/>
          <w:sz w:val="28"/>
          <w:szCs w:val="28"/>
          <w:rtl/>
        </w:rPr>
        <w:t xml:space="preserve">10- روض الجنان فی شرح ارشاد الاذهان شهید ثانی، زین الدین بن  على (911- 965)</w:t>
      </w:r>
    </w:p>
    <w:p>
      <w:pPr>
        <w:pStyle w:val="BookText"/>
      </w:pPr>
      <w:r>
        <w:rPr>
          <w:rFonts w:ascii="IRNazanin" w:hAnsi="IRNazanin" w:eastAsia="IRNazanin" w:cs="IRNazanin"/>
          <w:lang w:bidi="fa-IR"/>
          <w:color w:val="111111"/>
          <w:sz w:val="28"/>
          <w:szCs w:val="28"/>
          <w:rtl/>
        </w:rPr>
        <w:t xml:space="preserve">11- مجمع البيان في شرح ارشاد الاذهان؛ ابن صائغ، علی بن حسین (- 980)</w:t>
      </w:r>
    </w:p>
    <w:p>
      <w:pPr>
        <w:pStyle w:val="BookText"/>
      </w:pPr>
      <w:r>
        <w:rPr>
          <w:rFonts w:ascii="IRNazanin" w:hAnsi="IRNazanin" w:eastAsia="IRNazanin" w:cs="IRNazanin"/>
          <w:lang w:bidi="fa-IR"/>
          <w:color w:val="111111"/>
          <w:sz w:val="28"/>
          <w:szCs w:val="28"/>
          <w:rtl/>
        </w:rPr>
        <w:t xml:space="preserve">12- شرح ارشاد الاذهان = منهج السداد = شرح علائی؛ کرکی، عبدالعالی بن علی (929-993)</w:t>
      </w:r>
    </w:p>
    <w:p>
      <w:pPr>
        <w:pStyle w:val="BookText"/>
      </w:pPr>
      <w:r>
        <w:rPr>
          <w:rFonts w:ascii="IRNazanin" w:hAnsi="IRNazanin" w:eastAsia="IRNazanin" w:cs="IRNazanin"/>
          <w:lang w:bidi="fa-IR"/>
          <w:color w:val="111111"/>
          <w:sz w:val="28"/>
          <w:szCs w:val="28"/>
          <w:rtl/>
        </w:rPr>
        <w:t xml:space="preserve">13 - مجمع الفائدة و البرهان فى شرح ارشاد الاذهان = شرح ارشاد؛ مقدس اردبیلی احمد بن محمد (-993)</w:t>
      </w:r>
    </w:p>
    <w:p>
      <w:pPr>
        <w:pStyle w:val="BookText"/>
      </w:pPr>
      <w:r>
        <w:rPr>
          <w:rFonts w:ascii="IRNazanin" w:hAnsi="IRNazanin" w:eastAsia="IRNazanin" w:cs="IRNazanin"/>
          <w:lang w:bidi="fa-IR"/>
          <w:color w:val="111111"/>
          <w:sz w:val="28"/>
          <w:szCs w:val="28"/>
          <w:rtl/>
        </w:rPr>
        <w:t xml:space="preserve">14 - حاشية ارشاد الاذهان (کتاب الميراث) ؛ اصفهانی، ملک محمد بن حسین (-10)</w:t>
      </w:r>
    </w:p>
    <w:p>
      <w:pPr>
        <w:pStyle w:val="BookText"/>
      </w:pPr>
      <w:r>
        <w:rPr>
          <w:rFonts w:ascii="IRNazanin" w:hAnsi="IRNazanin" w:eastAsia="IRNazanin" w:cs="IRNazanin"/>
          <w:lang w:bidi="fa-IR"/>
          <w:color w:val="111111"/>
          <w:sz w:val="28"/>
          <w:szCs w:val="28"/>
          <w:rtl/>
        </w:rPr>
        <w:t xml:space="preserve">15- برهان السداد في شرح الارشاد عاملی، محمد بن احمد (1008-)</w:t>
      </w:r>
    </w:p>
    <w:p>
      <w:pPr>
        <w:pStyle w:val="BookText"/>
      </w:pPr>
      <w:r>
        <w:rPr>
          <w:rFonts w:ascii="IRNazanin" w:hAnsi="IRNazanin" w:eastAsia="IRNazanin" w:cs="IRNazanin"/>
          <w:lang w:bidi="fa-IR"/>
          <w:color w:val="111111"/>
          <w:sz w:val="28"/>
          <w:szCs w:val="28"/>
          <w:rtl/>
        </w:rPr>
        <w:t xml:space="preserve">16- الاقتصاد في شرح الارشاد = خطبه شرح ارشاد؛ جزایری، عبدالنبی بن سعد (-1021)</w:t>
      </w:r>
    </w:p>
    <w:p>
      <w:pPr>
        <w:pStyle w:val="BookText"/>
      </w:pPr>
      <w:r>
        <w:rPr>
          <w:rFonts w:ascii="IRNazanin" w:hAnsi="IRNazanin" w:eastAsia="IRNazanin" w:cs="IRNazanin"/>
          <w:lang w:bidi="fa-IR"/>
          <w:color w:val="111111"/>
          <w:sz w:val="28"/>
          <w:szCs w:val="28"/>
          <w:rtl/>
        </w:rPr>
        <w:t xml:space="preserve">17- حاشية ارشاد الاذهان؛ میسی، لطف الله بن عبدالكريم (-1032)</w:t>
      </w:r>
    </w:p>
    <w:p>
      <w:pPr>
        <w:pStyle w:val="BookText"/>
      </w:pPr>
      <w:r>
        <w:rPr>
          <w:rFonts w:ascii="IRNazanin" w:hAnsi="IRNazanin" w:eastAsia="IRNazanin" w:cs="IRNazanin"/>
          <w:lang w:bidi="fa-IR"/>
          <w:color w:val="111111"/>
          <w:sz w:val="28"/>
          <w:szCs w:val="28"/>
          <w:rtl/>
        </w:rPr>
        <w:t xml:space="preserve">18- شرح ارشاد الاذهان ،تونی عبد الله بن محمد ( - 1071)</w:t>
      </w:r>
    </w:p>
    <w:p>
      <w:pPr>
        <w:pStyle w:val="BookText"/>
      </w:pPr>
      <w:r>
        <w:rPr>
          <w:rFonts w:ascii="IRNazanin" w:hAnsi="IRNazanin" w:eastAsia="IRNazanin" w:cs="IRNazanin"/>
          <w:lang w:bidi="fa-IR"/>
          <w:color w:val="111111"/>
          <w:sz w:val="28"/>
          <w:szCs w:val="28"/>
          <w:rtl/>
        </w:rPr>
        <w:t xml:space="preserve">19- الجمع بين الاخبار = حاشية الذخيرة؛ محقق سبزواری، محمد باقر بن محمد مؤمن (1017-1090)</w:t>
      </w:r>
    </w:p>
    <w:p>
      <w:pPr>
        <w:pStyle w:val="BookText"/>
      </w:pPr>
      <w:r>
        <w:rPr>
          <w:rFonts w:ascii="IRNazanin" w:hAnsi="IRNazanin" w:eastAsia="IRNazanin" w:cs="IRNazanin"/>
          <w:lang w:bidi="fa-IR"/>
          <w:color w:val="111111"/>
          <w:sz w:val="28"/>
          <w:szCs w:val="28"/>
          <w:rtl/>
        </w:rPr>
        <w:t xml:space="preserve">20- ذخيرة المعاد في شرح الارشاد؛ محقق سبزواری، محمد باقر بن محمد مؤمن (1017-1090)</w:t>
      </w:r>
    </w:p>
    <w:p>
      <w:pPr>
        <w:pStyle w:val="BookText"/>
      </w:pPr>
      <w:r>
        <w:rPr>
          <w:rFonts w:ascii="IRNazanin" w:hAnsi="IRNazanin" w:eastAsia="IRNazanin" w:cs="IRNazanin"/>
          <w:lang w:bidi="fa-IR"/>
          <w:color w:val="111111"/>
          <w:sz w:val="28"/>
          <w:szCs w:val="28"/>
          <w:rtl/>
        </w:rPr>
        <w:t xml:space="preserve">21- ثمرة الجنان في شرح ارشاد الاذهان طبسی، محمد بن محمود (- 11)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22 - حاشية ارشاد الاذهان ،بحرانی سلیمان بن عبدالله (1075-1121)</w:t>
      </w:r>
    </w:p>
    <w:p>
      <w:pPr>
        <w:pStyle w:val="BookText"/>
      </w:pPr>
      <w:r>
        <w:rPr>
          <w:rFonts w:ascii="IRNazanin" w:hAnsi="IRNazanin" w:eastAsia="IRNazanin" w:cs="IRNazanin"/>
          <w:lang w:bidi="fa-IR"/>
          <w:color w:val="111111"/>
          <w:sz w:val="28"/>
          <w:szCs w:val="28"/>
          <w:rtl/>
        </w:rPr>
        <w:t xml:space="preserve">23 - الحاشيه على ذخیرة المعاد؛ گیلانی اصفهانی، حسین بن حسن</w:t>
      </w:r>
    </w:p>
    <w:p>
      <w:pPr>
        <w:pStyle w:val="BookText"/>
      </w:pPr>
      <w:r>
        <w:rPr>
          <w:rFonts w:ascii="Times New Roman" w:hAnsi="Times New Roman" w:eastAsia="Times New Roman" w:cs="Times New Roman"/>
          <w:lang w:val="en-US" w:bidi="en-US"/>
          <w:color w:val="111111"/>
          <w:sz w:val="28"/>
          <w:szCs w:val="28"/>
          <w:rtl/>
        </w:rPr>
        <w:t xml:space="preserve">(-1129)</w:t>
      </w:r>
    </w:p>
    <w:p>
      <w:pPr>
        <w:pStyle w:val="BookText"/>
      </w:pPr>
      <w:r>
        <w:rPr>
          <w:rFonts w:ascii="IRNazanin" w:hAnsi="IRNazanin" w:eastAsia="IRNazanin" w:cs="IRNazanin"/>
          <w:lang w:bidi="fa-IR"/>
          <w:color w:val="111111"/>
          <w:sz w:val="28"/>
          <w:szCs w:val="28"/>
          <w:rtl/>
        </w:rPr>
        <w:t xml:space="preserve">24-حاشية ارشاد الاذهان ،ساروی محمد علی بن محمد رضا (- 1193)</w:t>
      </w:r>
    </w:p>
    <w:p>
      <w:pPr>
        <w:pStyle w:val="BookText"/>
      </w:pPr>
      <w:r>
        <w:rPr>
          <w:rFonts w:ascii="IRNazanin" w:hAnsi="IRNazanin" w:eastAsia="IRNazanin" w:cs="IRNazanin"/>
          <w:lang w:bidi="fa-IR"/>
          <w:color w:val="111111"/>
          <w:sz w:val="28"/>
          <w:szCs w:val="28"/>
          <w:rtl/>
        </w:rPr>
        <w:t xml:space="preserve">25- حاشية على بحث القراءة من ارشاد الاذهان ،ساروی محمد علی بن محمد رضا (-1193)</w:t>
      </w:r>
    </w:p>
    <w:p>
      <w:pPr>
        <w:pStyle w:val="BookText"/>
      </w:pPr>
      <w:r>
        <w:rPr>
          <w:rFonts w:ascii="Amiri" w:hAnsi="Amiri" w:eastAsia="Amiri" w:cs="Amiri"/>
          <w:lang w:bidi="ar-SA"/>
          <w:color w:val="111111"/>
          <w:sz w:val="28"/>
          <w:szCs w:val="28"/>
          <w:rtl/>
        </w:rPr>
        <w:t xml:space="preserve">26- حاشية مجمع الفائدة و البرهان = حاشية شرح الارشاد؛ وحيدبهبهاني، محمد باقر بن محمد اكمل (1118-1205)</w:t>
      </w:r>
    </w:p>
    <w:p>
      <w:pPr>
        <w:pStyle w:val="BookText"/>
      </w:pPr>
      <w:r>
        <w:rPr>
          <w:rFonts w:ascii="IRNazanin" w:hAnsi="IRNazanin" w:eastAsia="IRNazanin" w:cs="IRNazanin"/>
          <w:lang w:bidi="fa-IR"/>
          <w:color w:val="111111"/>
          <w:sz w:val="28"/>
          <w:szCs w:val="28"/>
          <w:rtl/>
        </w:rPr>
        <w:t xml:space="preserve">27 - اصالة الطهارة - الاصل طهارة الاشياء = الاصل فى الاشياء الطهارة = حاشية ذخيرة المعاد في شرح الارشاد؛ وحید بهبهانی، محمد باقر بن محمد اکمل (1118 - 12 الجمع بين الاخبار المتعارضة = حاشية الذخیرة = حاشية ذخيرة المعاد في شرح الارشاد؛ وحید بهبهانی محمد باقر بن محمد اكمل (1118-1205)</w:t>
      </w:r>
    </w:p>
    <w:p>
      <w:pPr>
        <w:pStyle w:val="BookText"/>
      </w:pPr>
      <w:r>
        <w:rPr>
          <w:rFonts w:ascii="IRNazanin" w:hAnsi="IRNazanin" w:eastAsia="IRNazanin" w:cs="IRNazanin"/>
          <w:lang w:bidi="fa-IR"/>
          <w:color w:val="111111"/>
          <w:sz w:val="28"/>
          <w:szCs w:val="28"/>
          <w:rtl/>
        </w:rPr>
        <w:t xml:space="preserve">28-مستقصى الاجتهاد في شرح ذخيرة المعاد؛ قزوینی، حسین بن محمد ابراهيم (1126-1208)</w:t>
      </w:r>
    </w:p>
    <w:p>
      <w:pPr>
        <w:pStyle w:val="BookText"/>
      </w:pPr>
      <w:r>
        <w:rPr>
          <w:rFonts w:ascii="IRNazanin" w:hAnsi="IRNazanin" w:eastAsia="IRNazanin" w:cs="IRNazanin"/>
          <w:lang w:bidi="fa-IR"/>
          <w:color w:val="111111"/>
          <w:sz w:val="28"/>
          <w:szCs w:val="28"/>
          <w:rtl/>
        </w:rPr>
        <w:t xml:space="preserve">29-دلائل العباد في شرح الارشاد؛ نوری، محمد تقی بن علی محمد (1201- 1263)</w:t>
      </w:r>
    </w:p>
    <w:p>
      <w:pPr>
        <w:pStyle w:val="BookText"/>
      </w:pPr>
      <w:r>
        <w:rPr>
          <w:rFonts w:ascii="IRNazanin" w:hAnsi="IRNazanin" w:eastAsia="IRNazanin" w:cs="IRNazanin"/>
          <w:lang w:bidi="fa-IR"/>
          <w:color w:val="111111"/>
          <w:sz w:val="28"/>
          <w:szCs w:val="28"/>
          <w:rtl/>
        </w:rPr>
        <w:t xml:space="preserve">30.مهجة الفؤاد في شرح الارشاد؛ موسوی اصفهانی، حسن بن محمد</w:t>
      </w:r>
    </w:p>
    <w:p>
      <w:pPr>
        <w:pStyle w:val="BookText"/>
      </w:pPr>
      <w:r>
        <w:rPr>
          <w:rFonts w:ascii="IRNazanin" w:hAnsi="IRNazanin" w:eastAsia="IRNazanin" w:cs="IRNazanin"/>
          <w:lang w:bidi="fa-IR"/>
          <w:color w:val="111111"/>
          <w:sz w:val="28"/>
          <w:szCs w:val="28"/>
          <w:rtl/>
        </w:rPr>
        <w:t xml:space="preserve">(١٢٦٣-١٢٠٧)</w:t>
      </w:r>
    </w:p>
    <w:p>
      <w:pPr>
        <w:pStyle w:val="BookText"/>
      </w:pPr>
      <w:r>
        <w:rPr>
          <w:rFonts w:ascii="IRNazanin" w:hAnsi="IRNazanin" w:eastAsia="IRNazanin" w:cs="IRNazanin"/>
          <w:lang w:bidi="fa-IR"/>
          <w:color w:val="111111"/>
          <w:sz w:val="28"/>
          <w:szCs w:val="28"/>
          <w:rtl/>
        </w:rPr>
        <w:t xml:space="preserve">31-مهجة الفؤاد فى شرح الارشاد موسوی اصفهانی، حسن بن تقى (1207-1263)</w:t>
      </w:r>
    </w:p>
    <w:p>
      <w:pPr>
        <w:pStyle w:val="BookText"/>
      </w:pPr>
      <w:r>
        <w:rPr>
          <w:rFonts w:ascii="IRNazanin" w:hAnsi="IRNazanin" w:eastAsia="IRNazanin" w:cs="IRNazanin"/>
          <w:lang w:bidi="fa-IR"/>
          <w:color w:val="111111"/>
          <w:sz w:val="28"/>
          <w:szCs w:val="28"/>
          <w:rtl/>
        </w:rPr>
        <w:t xml:space="preserve">31-منهج الرشاد في شرح الارشاد؛ تبریزی، احمد بن لطفعلی (- 1265 )</w:t>
      </w:r>
    </w:p>
    <w:p>
      <w:pPr>
        <w:pStyle w:val="BookText"/>
      </w:pPr>
      <w:r>
        <w:rPr>
          <w:rFonts w:ascii="IRNazanin" w:hAnsi="IRNazanin" w:eastAsia="IRNazanin" w:cs="IRNazanin"/>
          <w:lang w:bidi="fa-IR"/>
          <w:color w:val="111111"/>
          <w:sz w:val="28"/>
          <w:szCs w:val="28"/>
          <w:rtl/>
        </w:rPr>
        <w:t xml:space="preserve">32-شرح ارشاد الاذهان خوانساری، علی اکبر بن ابراهیم (-1271)</w:t>
      </w:r>
    </w:p>
    <w:p>
      <w:pPr>
        <w:pStyle w:val="BookText"/>
      </w:pPr>
      <w:r>
        <w:rPr>
          <w:rFonts w:ascii="IRNazanin" w:hAnsi="IRNazanin" w:eastAsia="IRNazanin" w:cs="IRNazanin"/>
          <w:lang w:bidi="fa-IR"/>
          <w:color w:val="111111"/>
          <w:sz w:val="28"/>
          <w:szCs w:val="28"/>
          <w:rtl/>
        </w:rPr>
        <w:t xml:space="preserve">33- غنيمة المعاد في شرح الارشاد؛ برغانی، محمد صالح بن محمد (-1271 )</w:t>
      </w:r>
    </w:p>
    <w:p>
      <w:pPr>
        <w:pStyle w:val="BookText"/>
      </w:pPr>
      <w:r>
        <w:rPr>
          <w:rFonts w:ascii="IRNazanin" w:hAnsi="IRNazanin" w:eastAsia="IRNazanin" w:cs="IRNazanin"/>
          <w:lang w:bidi="fa-IR"/>
          <w:color w:val="111111"/>
          <w:sz w:val="28"/>
          <w:szCs w:val="28"/>
          <w:rtl/>
        </w:rPr>
        <w:t xml:space="preserve">34- مسلك الراشدين فى احكام الدين؛ برغانی، محمد صالح بن محمد (-1271)</w:t>
      </w:r>
    </w:p>
    <w:p>
      <w:pPr>
        <w:pStyle w:val="BookText"/>
      </w:pPr>
      <w:r>
        <w:rPr>
          <w:rFonts w:ascii="IRNazanin" w:hAnsi="IRNazanin" w:eastAsia="IRNazanin" w:cs="IRNazanin"/>
          <w:lang w:bidi="fa-IR"/>
          <w:color w:val="111111"/>
          <w:sz w:val="28"/>
          <w:szCs w:val="28"/>
          <w:rtl/>
        </w:rPr>
        <w:t xml:space="preserve">35 حاشية مسلك الراشدين فى احكام الدین؛ برغانی، محمد صالح بن محمد (-1271)</w:t>
      </w:r>
    </w:p>
    <w:p>
      <w:pPr>
        <w:pStyle w:val="BookText"/>
      </w:pPr>
      <w:r>
        <w:rPr>
          <w:rFonts w:ascii="IRNazanin" w:hAnsi="IRNazanin" w:eastAsia="IRNazanin" w:cs="IRNazanin"/>
          <w:lang w:bidi="fa-IR"/>
          <w:color w:val="111111"/>
          <w:sz w:val="28"/>
          <w:szCs w:val="28"/>
          <w:rtl/>
        </w:rPr>
        <w:t xml:space="preserve">36- شرح ارشاد الاذهان = القضاء ،انصاری، مرتضی بن محمد امین (1214-1281)</w:t>
      </w:r>
    </w:p>
    <w:p>
      <w:pPr>
        <w:pStyle w:val="BookText"/>
      </w:pPr>
      <w:r>
        <w:rPr>
          <w:rFonts w:ascii="IRNazanin" w:hAnsi="IRNazanin" w:eastAsia="IRNazanin" w:cs="IRNazanin"/>
          <w:lang w:bidi="fa-IR"/>
          <w:color w:val="111111"/>
          <w:sz w:val="28"/>
          <w:szCs w:val="28"/>
          <w:rtl/>
        </w:rPr>
        <w:t xml:space="preserve">37- شرح ارشاد الاذهان = الوصايا ،انصاری، مرتضی بن محمد امین (1214 - 1281)</w:t>
      </w:r>
    </w:p>
    <w:p>
      <w:pPr>
        <w:pStyle w:val="BookText"/>
      </w:pPr>
      <w:r>
        <w:rPr>
          <w:rFonts w:ascii="IRNazanin" w:hAnsi="IRNazanin" w:eastAsia="IRNazanin" w:cs="IRNazanin"/>
          <w:lang w:bidi="fa-IR"/>
          <w:color w:val="111111"/>
          <w:sz w:val="28"/>
          <w:szCs w:val="28"/>
          <w:rtl/>
        </w:rPr>
        <w:t xml:space="preserve">38- - النكاح انصاری، مرتضی بن محمد امین (1214-1281)</w:t>
      </w:r>
    </w:p>
    <w:p>
      <w:pPr>
        <w:pStyle w:val="BookText"/>
      </w:pPr>
      <w:r>
        <w:rPr>
          <w:rFonts w:ascii="IRNazanin" w:hAnsi="IRNazanin" w:eastAsia="IRNazanin" w:cs="IRNazanin"/>
          <w:lang w:bidi="fa-IR"/>
          <w:color w:val="111111"/>
          <w:sz w:val="28"/>
          <w:szCs w:val="28"/>
          <w:rtl/>
        </w:rPr>
        <w:t xml:space="preserve">39- التحريم من جهة المصاهرة ،انصاری، مرتضی بن محمد امین (1214-1281)</w:t>
      </w:r>
    </w:p>
    <w:p>
      <w:pPr>
        <w:pStyle w:val="BookText"/>
      </w:pPr>
      <w:r>
        <w:rPr>
          <w:rFonts w:ascii="IRNazanin" w:hAnsi="IRNazanin" w:eastAsia="IRNazanin" w:cs="IRNazanin"/>
          <w:lang w:bidi="fa-IR"/>
          <w:color w:val="111111"/>
          <w:sz w:val="28"/>
          <w:szCs w:val="28"/>
          <w:rtl/>
        </w:rPr>
        <w:t xml:space="preserve">40-شرح ارشاد الاذهان = الطهارة ،انصاری مرتضی بن محمد امین (1214 - 1281)</w:t>
      </w:r>
    </w:p>
    <w:p>
      <w:pPr>
        <w:pStyle w:val="BookText"/>
      </w:pPr>
      <w:r>
        <w:rPr>
          <w:rFonts w:ascii="IRNazanin" w:hAnsi="IRNazanin" w:eastAsia="IRNazanin" w:cs="IRNazanin"/>
          <w:lang w:bidi="fa-IR"/>
          <w:color w:val="111111"/>
          <w:sz w:val="28"/>
          <w:szCs w:val="28"/>
          <w:rtl/>
        </w:rPr>
        <w:t xml:space="preserve">41-شرح ارشاد الاذهان= الخمس انصاری، مرتضی بن محمد امین (1281 - 1214)</w:t>
      </w:r>
    </w:p>
    <w:p>
      <w:pPr>
        <w:pStyle w:val="BookText"/>
      </w:pPr>
      <w:r>
        <w:rPr>
          <w:rFonts w:ascii="Amiri" w:hAnsi="Amiri" w:eastAsia="Amiri" w:cs="Amiri"/>
          <w:lang w:bidi="ar-SA"/>
          <w:color w:val="111111"/>
          <w:sz w:val="28"/>
          <w:szCs w:val="28"/>
          <w:rtl/>
        </w:rPr>
        <w:t xml:space="preserve">42- منهج الرشاد الى احكام الدين و الايمان في شرح ارشاد الازهان؛</w:t>
      </w:r>
    </w:p>
    <w:p>
      <w:pPr>
        <w:pStyle w:val="BookText"/>
      </w:pPr>
      <w:r>
        <w:rPr>
          <w:rFonts w:ascii="IRNazanin" w:hAnsi="IRNazanin" w:eastAsia="IRNazanin" w:cs="IRNazanin"/>
          <w:lang w:bidi="fa-IR"/>
          <w:color w:val="111111"/>
          <w:sz w:val="28"/>
          <w:szCs w:val="28"/>
          <w:rtl/>
        </w:rPr>
        <w:t xml:space="preserve">کرباسی، محمد جعفر بن محمد ابراهيم (-1292)</w:t>
      </w:r>
    </w:p>
    <w:p>
      <w:pPr>
        <w:pStyle w:val="BookText"/>
      </w:pPr>
      <w:r>
        <w:rPr>
          <w:rFonts w:ascii="IRNazanin" w:hAnsi="IRNazanin" w:eastAsia="IRNazanin" w:cs="IRNazanin"/>
          <w:lang w:bidi="fa-IR"/>
          <w:color w:val="111111"/>
          <w:sz w:val="28"/>
          <w:szCs w:val="28"/>
          <w:rtl/>
        </w:rPr>
        <w:t xml:space="preserve">43- طريقة الرشاد في شرح الارشاد؛ طبری، محمد کاظم بن رضا ( - 13 )</w:t>
      </w:r>
    </w:p>
    <w:p>
      <w:pPr>
        <w:pStyle w:val="BookText"/>
      </w:pPr>
      <w:r>
        <w:rPr>
          <w:rFonts w:ascii="IRNazanin" w:hAnsi="IRNazanin" w:eastAsia="IRNazanin" w:cs="IRNazanin"/>
          <w:lang w:bidi="fa-IR"/>
          <w:color w:val="111111"/>
          <w:sz w:val="28"/>
          <w:szCs w:val="28"/>
          <w:rtl/>
        </w:rPr>
        <w:t xml:space="preserve">44 - منهج السداد فی شرح الارشاد؛ مختار گلپایگانی، احمد بن علی (13-)</w:t>
      </w:r>
    </w:p>
    <w:p>
      <w:pPr>
        <w:pStyle w:val="BookText"/>
      </w:pPr>
      <w:r>
        <w:rPr>
          <w:rFonts w:ascii="IRNazanin" w:hAnsi="IRNazanin" w:eastAsia="IRNazanin" w:cs="IRNazanin"/>
          <w:lang w:bidi="fa-IR"/>
          <w:color w:val="111111"/>
          <w:sz w:val="28"/>
          <w:szCs w:val="28"/>
          <w:rtl/>
        </w:rPr>
        <w:t xml:space="preserve">45- شرح ارشاد الاذهان؛ حسینی ،خویی محمد هادی بن محمد باقر (13-)</w:t>
      </w:r>
    </w:p>
    <w:p>
      <w:pPr>
        <w:pStyle w:val="BookText"/>
      </w:pPr>
      <w:r>
        <w:rPr>
          <w:rFonts w:ascii="IRNazanin" w:hAnsi="IRNazanin" w:eastAsia="IRNazanin" w:cs="IRNazanin"/>
          <w:lang w:bidi="fa-IR"/>
          <w:color w:val="111111"/>
          <w:sz w:val="28"/>
          <w:szCs w:val="28"/>
          <w:rtl/>
        </w:rPr>
        <w:t xml:space="preserve">46- دلائل العباد (منتخب)؛ کجوری، اسماعیل (13-)</w:t>
      </w:r>
    </w:p>
    <w:p>
      <w:pPr>
        <w:pStyle w:val="BookText"/>
      </w:pPr>
      <w:r>
        <w:rPr>
          <w:rFonts w:ascii="IRNazanin" w:hAnsi="IRNazanin" w:eastAsia="IRNazanin" w:cs="IRNazanin"/>
          <w:lang w:bidi="fa-IR"/>
          <w:color w:val="111111"/>
          <w:sz w:val="28"/>
          <w:szCs w:val="28"/>
          <w:rtl/>
        </w:rPr>
        <w:t xml:space="preserve">47 - تنقیح البیان؛ حسینی استرآبادی، نصر الله بن حسن(-13)</w:t>
      </w:r>
    </w:p>
    <w:p>
      <w:pPr>
        <w:pStyle w:val="BookText"/>
      </w:pPr>
      <w:r>
        <w:rPr>
          <w:rFonts w:ascii="Amiri" w:hAnsi="Amiri" w:eastAsia="Amiri" w:cs="Amiri"/>
          <w:lang w:bidi="ar-SA"/>
          <w:color w:val="111111"/>
          <w:sz w:val="28"/>
          <w:szCs w:val="28"/>
          <w:rtl/>
        </w:rPr>
        <w:t xml:space="preserve">48 - الدرر المنظومة؛ تنكابنى محمد بن محمد طاهر (13-)</w:t>
      </w:r>
    </w:p>
    <w:p>
      <w:pPr>
        <w:pStyle w:val="BookText"/>
      </w:pPr>
      <w:r>
        <w:rPr>
          <w:rFonts w:ascii="IRNazanin" w:hAnsi="IRNazanin" w:eastAsia="IRNazanin" w:cs="IRNazanin"/>
          <w:lang w:bidi="fa-IR"/>
          <w:color w:val="111111"/>
          <w:sz w:val="28"/>
          <w:szCs w:val="28"/>
          <w:rtl/>
        </w:rPr>
        <w:t xml:space="preserve">49- نهج السداد فى شرح ،الارشاد؛ تبریزی، محمد رضا بن محمد باقر (-13)</w:t>
      </w:r>
    </w:p>
    <w:p>
      <w:pPr>
        <w:pStyle w:val="BookText"/>
      </w:pPr>
      <w:r>
        <w:rPr>
          <w:rFonts w:ascii="IRNazanin" w:hAnsi="IRNazanin" w:eastAsia="IRNazanin" w:cs="IRNazanin"/>
          <w:lang w:bidi="fa-IR"/>
          <w:color w:val="111111"/>
          <w:sz w:val="28"/>
          <w:szCs w:val="28"/>
          <w:rtl/>
        </w:rPr>
        <w:t xml:space="preserve">50- شرح كتاب الحج من ارشاد الاذهان؛ برغانی، محمد حسن بن محمد صالح (-13)</w:t>
      </w:r>
    </w:p>
    <w:p>
      <w:pPr>
        <w:pStyle w:val="BookText"/>
      </w:pPr>
      <w:r>
        <w:rPr>
          <w:rFonts w:ascii="IRNazanin" w:hAnsi="IRNazanin" w:eastAsia="IRNazanin" w:cs="IRNazanin"/>
          <w:lang w:bidi="fa-IR"/>
          <w:color w:val="111111"/>
          <w:sz w:val="28"/>
          <w:szCs w:val="28"/>
          <w:rtl/>
        </w:rPr>
        <w:t xml:space="preserve">51-شرح ارشاد الاذهان قراچه داغی، محمد بن محمد علی (13-)</w:t>
      </w:r>
    </w:p>
    <w:p>
      <w:pPr>
        <w:pStyle w:val="BookText"/>
      </w:pPr>
      <w:r>
        <w:rPr>
          <w:rFonts w:ascii="IRNazanin" w:hAnsi="IRNazanin" w:eastAsia="IRNazanin" w:cs="IRNazanin"/>
          <w:lang w:bidi="fa-IR"/>
          <w:color w:val="111111"/>
          <w:sz w:val="28"/>
          <w:szCs w:val="28"/>
          <w:rtl/>
        </w:rPr>
        <w:t xml:space="preserve">52 - الحائرية؛ يزدی ابوالحسن (-13)</w:t>
      </w:r>
    </w:p>
    <w:p>
      <w:pPr>
        <w:pStyle w:val="BookText"/>
      </w:pPr>
      <w:r>
        <w:rPr>
          <w:rFonts w:ascii="IRNazanin" w:hAnsi="IRNazanin" w:eastAsia="IRNazanin" w:cs="IRNazanin"/>
          <w:lang w:bidi="fa-IR"/>
          <w:color w:val="111111"/>
          <w:sz w:val="28"/>
          <w:szCs w:val="28"/>
          <w:rtl/>
        </w:rPr>
        <w:t xml:space="preserve">53- معتضد الشيعة فى احكام الشريعة ؛ حاج ملا محمد بن علی (13-)</w:t>
      </w:r>
    </w:p>
    <w:p>
      <w:pPr>
        <w:pStyle w:val="BookText"/>
      </w:pPr>
      <w:r>
        <w:rPr>
          <w:rFonts w:ascii="Amiri" w:hAnsi="Amiri" w:eastAsia="Amiri" w:cs="Amiri"/>
          <w:lang w:bidi="ar-SA"/>
          <w:color w:val="111111"/>
          <w:sz w:val="28"/>
          <w:szCs w:val="28"/>
          <w:rtl/>
        </w:rPr>
        <w:t xml:space="preserve">54- كنز الفوائد؛ آخوند ملا مؤمن(-13)</w:t>
      </w:r>
    </w:p>
    <w:p>
      <w:pPr>
        <w:pStyle w:val="BookText"/>
      </w:pPr>
      <w:r>
        <w:rPr>
          <w:rFonts w:ascii="IRNazanin" w:hAnsi="IRNazanin" w:eastAsia="IRNazanin" w:cs="IRNazanin"/>
          <w:lang w:bidi="fa-IR"/>
          <w:color w:val="111111"/>
          <w:sz w:val="28"/>
          <w:szCs w:val="28"/>
          <w:rtl/>
        </w:rPr>
        <w:t xml:space="preserve">55-ذخيرة المعاد في شرح الارشاد ؛ كبير مدرسی، علی (-1316)</w:t>
      </w:r>
    </w:p>
    <w:p>
      <w:pPr>
        <w:pStyle w:val="BookText"/>
      </w:pPr>
      <w:r>
        <w:rPr>
          <w:rFonts w:ascii="IRNazanin" w:hAnsi="IRNazanin" w:eastAsia="IRNazanin" w:cs="IRNazanin"/>
          <w:lang w:bidi="fa-IR"/>
          <w:color w:val="111111"/>
          <w:sz w:val="28"/>
          <w:szCs w:val="28"/>
          <w:rtl/>
        </w:rPr>
        <w:t xml:space="preserve">56- نهج الرشاد في شرح الارشاد؛ عاملی آرانی کاشانی، احمد بن محمد علی (1281-1369)</w:t>
      </w:r>
    </w:p>
    <w:p>
      <w:pPr>
        <w:pStyle w:val="BookText"/>
      </w:pPr>
      <w:r>
        <w:rPr>
          <w:rFonts w:ascii="IRNazanin" w:hAnsi="IRNazanin" w:eastAsia="IRNazanin" w:cs="IRNazanin"/>
          <w:lang w:bidi="fa-IR"/>
          <w:color w:val="111111"/>
          <w:sz w:val="28"/>
          <w:szCs w:val="28"/>
          <w:rtl/>
        </w:rPr>
        <w:t xml:space="preserve">57- هداية الفروع في شرح الارشاد؛ دامغانی، محمد باقر بن علی اکبر (14 - )</w:t>
      </w:r>
    </w:p>
    <w:p>
      <w:pPr>
        <w:pStyle w:val="BookText"/>
      </w:pPr>
      <w:r>
        <w:rPr>
          <w:rFonts w:ascii="IRNazanin" w:hAnsi="IRNazanin" w:eastAsia="IRNazanin" w:cs="IRNazanin"/>
          <w:lang w:bidi="fa-IR"/>
          <w:color w:val="111111"/>
          <w:sz w:val="28"/>
          <w:szCs w:val="28"/>
          <w:rtl/>
        </w:rPr>
        <w:t xml:space="preserve">58- جامع البرهان في شرح ارشاد الأذهان؛ مارندرانی، مهدى بن هادى (14-)</w:t>
      </w:r>
    </w:p>
    <w:p>
      <w:pPr>
        <w:pStyle w:val="BookText"/>
      </w:pPr>
      <w:r>
        <w:rPr>
          <w:rFonts w:ascii="IRNazanin" w:hAnsi="IRNazanin" w:eastAsia="IRNazanin" w:cs="IRNazanin"/>
          <w:lang w:bidi="fa-IR"/>
          <w:color w:val="111111"/>
          <w:sz w:val="28"/>
          <w:szCs w:val="28"/>
          <w:rtl/>
        </w:rPr>
        <w:t xml:space="preserve">59 - الارث = ترجمه كتاب الميراث ارشاد الاذهان؛ انصاری،  عبد السلام</w:t>
      </w:r>
    </w:p>
    <w:p>
      <w:pPr>
        <w:pStyle w:val="BookText"/>
      </w:pPr>
      <w:r>
        <w:rPr>
          <w:rFonts w:ascii="IRNazanin" w:hAnsi="IRNazanin" w:eastAsia="IRNazanin" w:cs="IRNazanin"/>
          <w:lang w:bidi="fa-IR"/>
          <w:color w:val="111111"/>
          <w:sz w:val="28"/>
          <w:szCs w:val="28"/>
          <w:rtl/>
        </w:rPr>
        <w:t xml:space="preserve">60- شرح ارشاد الاذهان؛ صايغ عاملی، علی</w:t>
      </w:r>
    </w:p>
    <w:p>
      <w:pPr>
        <w:pStyle w:val="BookText"/>
      </w:pPr>
      <w:r>
        <w:rPr>
          <w:rFonts w:ascii="IRNazanin" w:hAnsi="IRNazanin" w:eastAsia="IRNazanin" w:cs="IRNazanin"/>
          <w:lang w:bidi="fa-IR"/>
          <w:color w:val="111111"/>
          <w:sz w:val="28"/>
          <w:szCs w:val="28"/>
          <w:rtl/>
        </w:rPr>
        <w:t xml:space="preserve">61-ارشاد الاذهان الى احكام الايمان (ترجمه)؛ طوسی، علی بن حسن</w:t>
      </w:r>
    </w:p>
    <w:p>
      <w:pPr>
        <w:pStyle w:val="BookText"/>
      </w:pPr>
      <w:r>
        <w:rPr>
          <w:rFonts w:ascii="Amiri" w:hAnsi="Amiri" w:eastAsia="Amiri" w:cs="Amiri"/>
          <w:lang w:bidi="ar-SA"/>
          <w:color w:val="111111"/>
          <w:sz w:val="28"/>
          <w:szCs w:val="28"/>
          <w:rtl/>
        </w:rPr>
        <w:t xml:space="preserve">62- تحصيل المراد مما استصعبت من عبارات الارشاد؛ ناشناس</w:t>
      </w:r>
    </w:p>
    <w:p>
      <w:pPr>
        <w:pStyle w:val="BookText"/>
      </w:pPr>
      <w:r>
        <w:rPr>
          <w:rFonts w:ascii="Amiri" w:hAnsi="Amiri" w:eastAsia="Amiri" w:cs="Amiri"/>
          <w:lang w:bidi="ar-SA"/>
          <w:color w:val="111111"/>
          <w:sz w:val="28"/>
          <w:szCs w:val="28"/>
          <w:rtl/>
        </w:rPr>
        <w:t xml:space="preserve">63 - معتضد الشيعة في احكام الشريعة؛ ناشناس</w:t>
      </w:r>
    </w:p>
    <w:p>
      <w:pPr>
        <w:pStyle w:val="BookText"/>
      </w:pPr>
      <w:r>
        <w:rPr>
          <w:rFonts w:ascii="IRNazanin" w:hAnsi="IRNazanin" w:eastAsia="IRNazanin" w:cs="IRNazanin"/>
          <w:lang w:bidi="fa-IR"/>
          <w:color w:val="111111"/>
          <w:sz w:val="28"/>
          <w:szCs w:val="28"/>
          <w:rtl/>
        </w:rPr>
        <w:t xml:space="preserve">64- شرح ارشاد الاذهان؛ ناشناس</w:t>
      </w:r>
    </w:p>
    <w:p>
      <w:pPr>
        <w:pStyle w:val="BookText"/>
      </w:pPr>
      <w:r>
        <w:rPr>
          <w:rFonts w:ascii="IRNazanin" w:hAnsi="IRNazanin" w:eastAsia="IRNazanin" w:cs="IRNazanin"/>
          <w:lang w:bidi="fa-IR"/>
          <w:color w:val="111111"/>
          <w:sz w:val="28"/>
          <w:szCs w:val="28"/>
          <w:rtl/>
        </w:rPr>
        <w:t xml:space="preserve">65-حواشی ارشاد الاذهان ناشناس</w:t>
      </w:r>
    </w:p>
    <w:p>
      <w:pPr>
        <w:pStyle w:val="BookText"/>
      </w:pPr>
      <w:r>
        <w:rPr>
          <w:rFonts w:ascii="Amiri" w:hAnsi="Amiri" w:eastAsia="Amiri" w:cs="Amiri"/>
          <w:lang w:bidi="ar-SA"/>
          <w:color w:val="111111"/>
          <w:sz w:val="28"/>
          <w:szCs w:val="28"/>
          <w:rtl/>
        </w:rPr>
        <w:t xml:space="preserve">66 - حاشية ارشاد الاذهان؛ ناشناس</w:t>
      </w:r>
    </w:p>
    <w:p>
      <w:pPr>
        <w:pStyle w:val="BookText"/>
      </w:pPr>
      <w:r>
        <w:rPr>
          <w:rFonts w:ascii="IRNazanin" w:hAnsi="IRNazanin" w:eastAsia="IRNazanin" w:cs="IRNazanin"/>
          <w:lang w:bidi="fa-IR"/>
          <w:color w:val="111111"/>
          <w:sz w:val="28"/>
          <w:szCs w:val="28"/>
          <w:rtl/>
        </w:rPr>
        <w:t xml:space="preserve">67- شرح ارشاد الاذهان؛ ناشناس</w:t>
      </w:r>
    </w:p>
    <w:p>
      <w:pPr>
        <w:pStyle w:val="BookText"/>
      </w:pPr>
      <w:r>
        <w:rPr>
          <w:rFonts w:ascii="Amiri" w:hAnsi="Amiri" w:eastAsia="Amiri" w:cs="Amiri"/>
          <w:lang w:bidi="ar-SA"/>
          <w:color w:val="111111"/>
          <w:sz w:val="28"/>
          <w:szCs w:val="28"/>
          <w:rtl/>
        </w:rPr>
        <w:t xml:space="preserve">68 - شرح إرشاد الأذهان = حاشية إرشاد الأذهان؛ ناشناس</w:t>
      </w:r>
    </w:p>
    <w:p>
      <w:pPr>
        <w:pStyle w:val="BookText"/>
      </w:pPr>
      <w:r>
        <w:rPr>
          <w:rFonts w:ascii="Amiri" w:hAnsi="Amiri" w:eastAsia="Amiri" w:cs="Amiri"/>
          <w:lang w:bidi="ar-SA"/>
          <w:color w:val="111111"/>
          <w:sz w:val="28"/>
          <w:szCs w:val="28"/>
          <w:rtl/>
        </w:rPr>
        <w:t xml:space="preserve">69- شرح مقدمة ارشاد الاذهان؛ ناشناس</w:t>
      </w:r>
    </w:p>
    <w:p>
      <w:pPr>
        <w:pStyle w:val="BookText"/>
      </w:pPr>
      <w:r>
        <w:rPr>
          <w:rFonts w:ascii="Amiri" w:hAnsi="Amiri" w:eastAsia="Amiri" w:cs="Amiri"/>
          <w:lang w:bidi="ar-SA"/>
          <w:color w:val="111111"/>
          <w:sz w:val="28"/>
          <w:szCs w:val="28"/>
          <w:rtl/>
        </w:rPr>
        <w:t xml:space="preserve">70-حاشية الارشاد؛ ناشناس</w:t>
      </w:r>
    </w:p>
    <w:p>
      <w:pPr>
        <w:pStyle w:val="BookText"/>
      </w:pPr>
      <w:r>
        <w:rPr>
          <w:rFonts w:ascii="IRNazanin" w:hAnsi="IRNazanin" w:eastAsia="IRNazanin" w:cs="IRNazanin"/>
          <w:lang w:bidi="fa-IR"/>
          <w:color w:val="111111"/>
          <w:sz w:val="28"/>
          <w:szCs w:val="28"/>
          <w:rtl/>
        </w:rPr>
        <w:t xml:space="preserve">71- ارشاد الاذهان الى احكام الایمان (ترجمه)؛ ناشناس.</w:t>
      </w:r>
    </w:p>
    <w:p>
      <w:pPr>
        <w:pStyle w:val="BookText"/>
      </w:pPr>
      <w:r>
        <w:rPr>
          <w:rFonts w:ascii="IRNazanin" w:hAnsi="IRNazanin" w:eastAsia="IRNazanin" w:cs="IRNazanin"/>
          <w:lang w:bidi="fa-IR"/>
          <w:color w:val="111111"/>
          <w:sz w:val="28"/>
          <w:szCs w:val="28"/>
          <w:rtl/>
        </w:rPr>
        <w:t xml:space="preserve">1 مشهد؛ رضوی؛ شماره نسخه: 2222</w:t>
      </w:r>
    </w:p>
    <w:p>
      <w:pPr>
        <w:pStyle w:val="BookText"/>
      </w:pPr>
      <w:r>
        <w:rPr>
          <w:rFonts w:ascii="Amiri" w:hAnsi="Amiri" w:eastAsia="Amiri" w:cs="Amiri"/>
          <w:lang w:bidi="ar-SA"/>
          <w:color w:val="111111"/>
          <w:sz w:val="28"/>
          <w:szCs w:val="28"/>
          <w:rtl/>
        </w:rPr>
        <w:t xml:space="preserve">آغاز: برابر؛ انجام: فهذا خلاصة ما افدناه في هذا الكتاب و من اراد التطويل بذكر الفروع و الأدلة و ذكر الخلاف فعليه بكتابنا المسمى بمنتهى المطلب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ابتدای طهارت تا پایان دیات؛ خط: نسخ مشکول، کا: زین الدين على بن اسماعيل بن ابراهيم بن فتوح، تا: 11رجب 701ق؛ کاتب نسخه را نزد مؤلف از ابتدا تا انتها قراءت ،نموده، بلاغ های او در موارد متعدد و همچنین دستخط اجازه اش به نامبرده پشت اول در 12 رجب 701 دیده می شود، محشی؛ واقف:  جبرئیل، 1037؛ کاغذ: حنایی، جلد: تیماج مشکی، 174گ، 19سطر ، اندازه: 12</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21/1 -67]</w:t>
      </w:r>
    </w:p>
    <w:p>
      <w:pPr>
        <w:pStyle w:val="BookText"/>
      </w:pPr>
      <w:r>
        <w:rPr>
          <w:rFonts w:ascii="IRNazanin" w:hAnsi="IRNazanin" w:eastAsia="IRNazanin" w:cs="IRNazanin"/>
          <w:lang w:bidi="fa-IR"/>
          <w:color w:val="111111"/>
          <w:sz w:val="28"/>
          <w:szCs w:val="28"/>
          <w:rtl/>
        </w:rPr>
        <w:t xml:space="preserve">2 . تهران؛ مجلس؛ شماره نسخه: 4941/2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نستعليق، كا: حسین بن محمد بن علی علوی طوسی، تا: رمضان 704ق جا: حله؛ در 1297 به کتابخانه فرهاد میرزا وارد شده، دارای یادداشت لطفعلی به تاریخ 1341؛ تملک: محمد بن على الشهير بابن خاتون العاملي [ف: 14 - 171]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قم؛ مرعشی؛ شماره نسخه: 4357</w:t>
      </w:r>
    </w:p>
    <w:p>
      <w:pPr>
        <w:pStyle w:val="BookText"/>
      </w:pPr>
      <w:r>
        <w:rPr>
          <w:rFonts w:ascii="IRNazanin" w:hAnsi="IRNazanin" w:eastAsia="IRNazanin" w:cs="IRNazanin"/>
          <w:lang w:bidi="fa-IR"/>
          <w:color w:val="111111"/>
          <w:sz w:val="28"/>
          <w:szCs w:val="28"/>
          <w:rtl/>
        </w:rPr>
        <w:t xml:space="preserve">خط: نسخ ،نازیبا، کا: حسن شیعی سبزواری، تا: غره ذیقعده 728ق، مصحح، قبل از کتاب دو برگ دارای مسئله ای به خط حسن بن حسين بن مطر است؛ تملک: محمد باقر بن محمد تقی اصفهانی به تاریخ رجب 1324، شجاع بن علی حسینی به تاریخ 2صفر 971؛ جلد: تیماج ،قرمز، 199گ، 26 سطر ، اندازه: 7</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[ف: 11 - 355]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تهران؛ مجلس؛ شماره نسخه: 2870/1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کهن، کا: برهان بن حسین بن محمد، تا: جمعه 12 ربیع الثاني 730ق؛ کاغذ: پنبه ای سفید، جلد: تیماج مشکی، 168ص (170-2)، 21 سطر ، قطع: رقعی، اندازه: 14</w:t>
      </w:r>
      <w:r>
        <w:rPr>
          <w:rFonts w:ascii="Times New Roman" w:hAnsi="Times New Roman" w:eastAsia="Times New Roman" w:cs="Times New Roman"/>
          <w:lang w:val="en-US" w:bidi="en-US"/>
          <w:color w:val="111111"/>
          <w:sz w:val="28"/>
          <w:szCs w:val="28"/>
          <w:rtl/>
        </w:rPr>
        <w:t xml:space="preserve">×18/5</w:t>
      </w:r>
      <w:r>
        <w:rPr>
          <w:rFonts w:ascii="IRNazanin" w:hAnsi="IRNazanin" w:eastAsia="IRNazanin" w:cs="IRNazanin"/>
          <w:lang w:bidi="fa-IR"/>
          <w:color w:val="111111"/>
          <w:sz w:val="28"/>
          <w:szCs w:val="28"/>
          <w:rtl/>
        </w:rPr>
        <w:t xml:space="preserve">سم [ف: 10 - 218]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یزد؛ وزیری؛ شماره نسخه: 4176</w:t>
      </w:r>
    </w:p>
    <w:p>
      <w:pPr>
        <w:pStyle w:val="BookText"/>
      </w:pPr>
      <w:r>
        <w:rPr>
          <w:rFonts w:ascii="IRNazanin" w:hAnsi="IRNazanin" w:eastAsia="IRNazanin" w:cs="IRNazanin"/>
          <w:lang w:bidi="fa-IR"/>
          <w:color w:val="111111"/>
          <w:sz w:val="28"/>
          <w:szCs w:val="28"/>
          <w:rtl/>
        </w:rPr>
        <w:t xml:space="preserve">بی کا، تا: 730 ق [ نشریه: 13 - 373]</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شیراز؛ شاهچراغ؛ شماره نسخه: 415</w:t>
      </w:r>
    </w:p>
    <w:p>
      <w:pPr>
        <w:pStyle w:val="BookText"/>
      </w:pPr>
      <w:r>
        <w:rPr>
          <w:rFonts w:ascii="IRNazanin" w:hAnsi="IRNazanin" w:eastAsia="IRNazanin" w:cs="IRNazanin"/>
          <w:lang w:bidi="fa-IR"/>
          <w:color w:val="111111"/>
          <w:sz w:val="28"/>
          <w:szCs w:val="28"/>
          <w:rtl/>
        </w:rPr>
        <w:t xml:space="preserve">آغاز و انجام: برابر، تم الكتاب. .. على يد. .. محمد بن حسین مدرس جامع الشهراني العاملي. .. شهر ربيع الآخرمن شهور سنه اربعین و سبعمائة هجريه...</w:t>
      </w:r>
    </w:p>
    <w:p>
      <w:pPr>
        <w:pStyle w:val="BookText"/>
      </w:pPr>
      <w:r>
        <w:rPr>
          <w:rFonts w:ascii="IRNazanin" w:hAnsi="IRNazanin" w:eastAsia="IRNazanin" w:cs="IRNazanin"/>
          <w:lang w:bidi="fa-IR"/>
          <w:color w:val="111111"/>
          <w:sz w:val="28"/>
          <w:szCs w:val="28"/>
          <w:rtl/>
        </w:rPr>
        <w:t xml:space="preserve">خط: نسخ ،کهن، كا: محمد بن حسين،تا:ربیع الثانی 740ق؛ محشی؛ کاغذ: نخودی ،کلفت، جلد: مقوا با کاغذ آبی، 136گ، 18 سطر (10</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 اندازه: 9</w:t>
      </w:r>
      <w:r>
        <w:rPr>
          <w:rFonts w:ascii="Times New Roman" w:hAnsi="Times New Roman" w:eastAsia="Times New Roman" w:cs="Times New Roman"/>
          <w:lang w:val="en-US" w:bidi="en-US"/>
          <w:color w:val="111111"/>
          <w:sz w:val="28"/>
          <w:szCs w:val="28"/>
          <w:rtl/>
        </w:rPr>
        <w:t xml:space="preserve">×27</w:t>
      </w:r>
      <w:r>
        <w:rPr>
          <w:rFonts w:ascii="IRNazanin" w:hAnsi="IRNazanin" w:eastAsia="IRNazanin" w:cs="IRNazanin"/>
          <w:lang w:bidi="fa-IR"/>
          <w:color w:val="111111"/>
          <w:sz w:val="28"/>
          <w:szCs w:val="28"/>
          <w:rtl/>
        </w:rPr>
        <w:t xml:space="preserve">سم [ف: 2 - 7]</w:t>
      </w:r>
    </w:p>
    <w:p>
      <w:pPr>
        <w:pStyle w:val="BookText"/>
      </w:pPr>
      <w:r>
        <w:rPr>
          <w:rFonts w:ascii="IRNazanin" w:hAnsi="IRNazanin" w:eastAsia="IRNazanin" w:cs="IRNazanin"/>
          <w:lang w:bidi="fa-IR"/>
          <w:color w:val="111111"/>
          <w:sz w:val="28"/>
          <w:szCs w:val="28"/>
          <w:rtl/>
        </w:rPr>
        <w:t xml:space="preserve">7.تبریز؛ ملی؛ شماره نسخه: 3377</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مجد الدين بن شرف بن مغیث الدین اصفهانی، 751ق؛ اول و آخر و حواشی کتاب پر از یادداشت های فقهی است از قبیل «قال المرتضى لا يصح صلوة العشاء قبل ذهاب الحمرة المغربیة» و « المطهرات ستة عشر...»؛ جلد: چرمی سیاه، 211گ، 17سطر ، اندازه: 12/5</w:t>
      </w:r>
      <w:r>
        <w:rPr>
          <w:rFonts w:ascii="Times New Roman" w:hAnsi="Times New Roman" w:eastAsia="Times New Roman" w:cs="Times New Roman"/>
          <w:lang w:val="en-US" w:bidi="en-US"/>
          <w:color w:val="111111"/>
          <w:sz w:val="28"/>
          <w:szCs w:val="28"/>
          <w:rtl/>
        </w:rPr>
        <w:t xml:space="preserve">×18/5 [</w:t>
      </w:r>
      <w:r>
        <w:rPr>
          <w:rFonts w:ascii="IRNazanin" w:hAnsi="IRNazanin" w:eastAsia="IRNazanin" w:cs="IRNazanin"/>
          <w:lang w:bidi="fa-IR"/>
          <w:color w:val="111111"/>
          <w:sz w:val="28"/>
          <w:szCs w:val="28"/>
          <w:rtl/>
        </w:rPr>
        <w:t xml:space="preserve">ف: 1 - 46]</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تهران؛ مجلس؛ شماره نسخه: 7060</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محمود بن حسن بن على بن حسن حلى رامهرمزی ،تا: شنبه 16 ذيحجه 752ق، جا: حله؛ دارای حواشی با نشان «ظ»؛ واقف: آخوند ملاعلی کنی، شنبه 8 رجب 1267 با مهر بیضوی؛ جلد: تیماج قهوه ای ضربی با ترنج، 209گ، 17 سطر ، اندازه: 15</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سم [ف: 25 - 71]</w:t>
      </w:r>
    </w:p>
    <w:p>
      <w:pPr>
        <w:pStyle w:val="BookText"/>
      </w:pPr>
      <w:r>
        <w:rPr>
          <w:rFonts w:ascii="IRNazanin" w:hAnsi="IRNazanin" w:eastAsia="IRNazanin" w:cs="IRNazanin"/>
          <w:lang w:bidi="fa-IR"/>
          <w:color w:val="111111"/>
          <w:sz w:val="28"/>
          <w:szCs w:val="28"/>
          <w:rtl/>
        </w:rPr>
        <w:t xml:space="preserve">9.قم؛ مرعشی؛ شماره نسخه: 11127</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شنبه 17 رجب 752ق؛ 752ق مصحح ،کاغذ:  شرقی، جلد: مشمعی قهوه ای عطف تیماج قهوه ای، 158گ، 19 سطر (7</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13</w:t>
      </w:r>
      <w:r>
        <w:rPr>
          <w:rFonts w:ascii="Times New Roman" w:hAnsi="Times New Roman" w:eastAsia="Times New Roman" w:cs="Times New Roman"/>
          <w:lang w:val="en-US" w:bidi="en-US"/>
          <w:color w:val="111111"/>
          <w:sz w:val="28"/>
          <w:szCs w:val="28"/>
          <w:rtl/>
        </w:rPr>
        <w:t xml:space="preserve">×18/5</w:t>
      </w:r>
      <w:r>
        <w:rPr>
          <w:rFonts w:ascii="IRNazanin" w:hAnsi="IRNazanin" w:eastAsia="IRNazanin" w:cs="IRNazanin"/>
          <w:lang w:bidi="fa-IR"/>
          <w:color w:val="111111"/>
          <w:sz w:val="28"/>
          <w:szCs w:val="28"/>
          <w:rtl/>
        </w:rPr>
        <w:t xml:space="preserve">سم [ف: 28 - 195]</w:t>
      </w:r>
    </w:p>
    <w:p>
      <w:pPr>
        <w:pStyle w:val="BookText"/>
      </w:pPr>
      <w:r>
        <w:rPr>
          <w:rFonts w:ascii="IRNazanin" w:hAnsi="IRNazanin" w:eastAsia="IRNazanin" w:cs="IRNazanin"/>
          <w:lang w:bidi="fa-IR"/>
          <w:color w:val="111111"/>
          <w:sz w:val="28"/>
          <w:szCs w:val="28"/>
          <w:rtl/>
        </w:rPr>
        <w:t xml:space="preserve">10 . قم؛ مرکز احیاء؛ شماره نسخه: 2003</w:t>
      </w:r>
    </w:p>
    <w:p>
      <w:pPr>
        <w:pStyle w:val="BookText"/>
      </w:pPr>
      <w:r>
        <w:rPr>
          <w:rFonts w:ascii="IRNazanin" w:hAnsi="IRNazanin" w:eastAsia="IRNazanin" w:cs="IRNazanin"/>
          <w:lang w:bidi="fa-IR"/>
          <w:color w:val="111111"/>
          <w:sz w:val="28"/>
          <w:szCs w:val="28"/>
          <w:rtl/>
        </w:rPr>
        <w:t xml:space="preserve">نسخه اصل: کتابخانه امیر المومنين عليه السلام نجف اشرف؛ خط: نسخ، بی کا، تا: چهارشنبه 12 شعبان 757ق؛ مصحح، روی اجازه ای از فخر المحققین جهت نظام الدین محمد بن يوسف بن على بن الحسن در 14 ذیحجه 757 در حله، در برگ   پایانی نیز آنهایی از همو در همان تاریخ و یادداشت مقابله ای با نسخه اصل در سلخ ذیقعده 857 دیده می شود، دارای حواشی بسیار مفصل برخی به خط فخرالمحققین با عنوان «محمد بن المطهر»، روی برگ قاعده ای فقهی به نقل از فخرالمحققین؛ تملک: عبدالوحید بن نعمت الله گیلانی که کتاب را به سال 1048 در لاهور خریده محمد بن يوسف (ظاهراً كاتب نسخه)؛ 338ص [ عکسی ف 6-7]</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تهران؛ دانشگاه؛ شماره نسخه: 3665</w:t>
      </w:r>
    </w:p>
    <w:p>
      <w:pPr>
        <w:pStyle w:val="BookText"/>
      </w:pPr>
      <w:r>
        <w:rPr>
          <w:rFonts w:ascii="IRNazanin" w:hAnsi="IRNazanin" w:eastAsia="IRNazanin" w:cs="IRNazanin"/>
          <w:lang w:bidi="fa-IR"/>
          <w:color w:val="111111"/>
          <w:sz w:val="28"/>
          <w:szCs w:val="28"/>
          <w:rtl/>
        </w:rPr>
        <w:t xml:space="preserve">خط : نسخ کا: جعفر بن علی بن محمد، تا: شنبه صفر 764ق؛ :افتادگی آغاز: با اجازه انهاء 10 رمضان 764 از اسکندر بن مهدی قمی ،استرابادی اندکی پیش از «المقصد الثاني في الجماعة» حواشی ،دارد با بلاغ قرائت کاغذ: سمرقندی، جلد: تیماج تریاکی ضربی ،مقوایی 191گ 16 سطر (7</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w:t>
      </w:r>
    </w:p>
    <w:p>
      <w:pPr>
        <w:pStyle w:val="BookText"/>
      </w:pPr>
      <w:r>
        <w:rPr>
          <w:rFonts w:ascii="Times New Roman" w:hAnsi="Times New Roman" w:eastAsia="Times New Roman" w:cs="Times New Roman"/>
          <w:lang w:val="en-US" w:bidi="en-US"/>
          <w:color w:val="111111"/>
          <w:sz w:val="28"/>
          <w:szCs w:val="28"/>
          <w:rtl/>
        </w:rPr>
        <w:t xml:space="preserve">13×20</w:t>
      </w:r>
      <w:r>
        <w:rPr>
          <w:rFonts w:ascii="IRNazanin" w:hAnsi="IRNazanin" w:eastAsia="IRNazanin" w:cs="IRNazanin"/>
          <w:lang w:bidi="fa-IR"/>
          <w:color w:val="111111"/>
          <w:sz w:val="28"/>
          <w:szCs w:val="28"/>
          <w:rtl/>
        </w:rPr>
        <w:t xml:space="preserve">سم [ف: 12 - 2675]</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خوانسار؛ فاضل شماره نسخه: 1</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،كا: سعيد بن جعفر بن رستم جرجانی، تا: اواخر</w:t>
      </w:r>
    </w:p>
    <w:p>
      <w:pPr>
        <w:pStyle w:val="BookText"/>
      </w:pPr>
      <w:r>
        <w:rPr>
          <w:rFonts w:ascii="IRNazanin" w:hAnsi="IRNazanin" w:eastAsia="IRNazanin" w:cs="IRNazanin"/>
          <w:lang w:bidi="fa-IR"/>
          <w:color w:val="111111"/>
          <w:sz w:val="28"/>
          <w:szCs w:val="28"/>
          <w:rtl/>
        </w:rPr>
        <w:t xml:space="preserve">جمادی الثانی 772ق؛ محشی از کتب فقهی، لغوی و. ...، با علامت ،بلاغ بعضی از حواشی با عبارت «سمع من استادى حسن علی سلمه الله» در برگ آخر یادداشتی در ولادت و وفات علامه حلی؛ مهر «عبده «حسین» (بيضى)، «الفقير الى الله الصمد عبده بهاء الدین محمد (بیضی) با خط شیخ آقا بزرگ بالای آن که از شیخ بهائی می داند؛ تملک: علی بن فخر الدين الداعي الحسنى الاستر آبادی با مهر دائری نام وی جلد: تیماج مشکی ضربی مجدول، 216گ، 17 سطر ، اندازه: 12</w:t>
      </w:r>
      <w:r>
        <w:rPr>
          <w:rFonts w:ascii="Times New Roman" w:hAnsi="Times New Roman" w:eastAsia="Times New Roman" w:cs="Times New Roman"/>
          <w:lang w:val="en-US" w:bidi="en-US"/>
          <w:color w:val="111111"/>
          <w:sz w:val="28"/>
          <w:szCs w:val="28"/>
          <w:rtl/>
        </w:rPr>
        <w:t xml:space="preserve">×18/5</w:t>
      </w:r>
      <w:r>
        <w:rPr>
          <w:rFonts w:ascii="IRNazanin" w:hAnsi="IRNazanin" w:eastAsia="IRNazanin" w:cs="IRNazanin"/>
          <w:lang w:bidi="fa-IR"/>
          <w:color w:val="111111"/>
          <w:sz w:val="28"/>
          <w:szCs w:val="28"/>
          <w:rtl/>
        </w:rPr>
        <w:t xml:space="preserve">سم [ف: 1 - 7]</w:t>
      </w:r>
    </w:p>
    <w:p>
      <w:pPr>
        <w:pStyle w:val="BookText"/>
      </w:pPr>
      <w:r>
        <w:rPr>
          <w:rFonts w:ascii="IRNazanin" w:hAnsi="IRNazanin" w:eastAsia="IRNazanin" w:cs="IRNazanin"/>
          <w:lang w:bidi="fa-IR"/>
          <w:color w:val="111111"/>
          <w:sz w:val="28"/>
          <w:szCs w:val="28"/>
          <w:rtl/>
        </w:rPr>
        <w:t xml:space="preserve">قم؛ مرکز احیاء؛ شماره نسخه: 121</w:t>
      </w:r>
    </w:p>
    <w:p>
      <w:pPr>
        <w:pStyle w:val="BookText"/>
      </w:pPr>
      <w:r>
        <w:rPr>
          <w:rFonts w:ascii="IRNazanin" w:hAnsi="IRNazanin" w:eastAsia="IRNazanin" w:cs="IRNazanin"/>
          <w:lang w:bidi="fa-IR"/>
          <w:color w:val="111111"/>
          <w:sz w:val="28"/>
          <w:szCs w:val="28"/>
          <w:rtl/>
        </w:rPr>
        <w:t xml:space="preserve">نسخه اصل: همان نسخه بالا [ عکسی ف: 1 - 143]</w:t>
      </w:r>
    </w:p>
    <w:p>
      <w:pPr>
        <w:pStyle w:val="BookText"/>
      </w:pPr>
      <w:r>
        <w:rPr>
          <w:rFonts w:ascii="IRNazanin" w:hAnsi="IRNazanin" w:eastAsia="IRNazanin" w:cs="IRNazanin"/>
          <w:lang w:bidi="fa-IR"/>
          <w:color w:val="111111"/>
          <w:sz w:val="28"/>
          <w:szCs w:val="28"/>
          <w:rtl/>
        </w:rPr>
        <w:t xml:space="preserve">13 . قم؛ مرعشی؛ شماره نسخه: 7534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 نسخ، بی کا: تا: شوال 794ق؛ مصحح؛ محشی؛ جلد: تیماج ،زرد، 232گ، 15 سطر ، اندازه: 12/5</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19 - 229]</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قم؛ مرعشی؛ شماره نسخه: 6719</w:t>
      </w:r>
    </w:p>
    <w:p>
      <w:pPr>
        <w:pStyle w:val="BookText"/>
      </w:pPr>
      <w:r>
        <w:rPr>
          <w:rFonts w:ascii="IRNazanin" w:hAnsi="IRNazanin" w:eastAsia="IRNazanin" w:cs="IRNazanin"/>
          <w:lang w:bidi="fa-IR"/>
          <w:color w:val="111111"/>
          <w:sz w:val="28"/>
          <w:szCs w:val="28"/>
          <w:rtl/>
        </w:rPr>
        <w:t xml:space="preserve">کتاب طهارت و صلاة؛ خط: نسخ ،بی کا: تا: 799ق؛ مصحح، محشی؛ تملک: محمد علی بن فخر الدين محمد، احمد بن ياس :جلد تیماج قهوه ای، 147گ 20 سطر ، اندازه: 18</w:t>
      </w:r>
      <w:r>
        <w:rPr>
          <w:rFonts w:ascii="Times New Roman" w:hAnsi="Times New Roman" w:eastAsia="Times New Roman" w:cs="Times New Roman"/>
          <w:lang w:val="en-US" w:bidi="en-US"/>
          <w:color w:val="111111"/>
          <w:sz w:val="28"/>
          <w:szCs w:val="28"/>
          <w:rtl/>
        </w:rPr>
        <w:t xml:space="preserve">×24/5</w:t>
      </w:r>
      <w:r>
        <w:rPr>
          <w:rFonts w:ascii="IRNazanin" w:hAnsi="IRNazanin" w:eastAsia="IRNazanin" w:cs="IRNazanin"/>
          <w:lang w:bidi="fa-IR"/>
          <w:color w:val="111111"/>
          <w:sz w:val="28"/>
          <w:szCs w:val="28"/>
          <w:rtl/>
        </w:rPr>
        <w:t xml:space="preserve">سم [ 17 - - 276 ]</w:t>
      </w:r>
    </w:p>
    <w:p>
      <w:pPr>
        <w:pStyle w:val="BookText"/>
      </w:pPr>
      <w:r>
        <w:rPr>
          <w:rFonts w:ascii="IRNazanin" w:hAnsi="IRNazanin" w:eastAsia="IRNazanin" w:cs="IRNazanin"/>
          <w:lang w:bidi="fa-IR"/>
          <w:color w:val="111111"/>
          <w:sz w:val="28"/>
          <w:szCs w:val="28"/>
          <w:rtl/>
        </w:rPr>
        <w:t xml:space="preserve">15.قم؛ مرعشی؛ شماره نسخه: 6282</w:t>
      </w:r>
    </w:p>
    <w:p>
      <w:pPr>
        <w:pStyle w:val="BookText"/>
      </w:pPr>
      <w:r>
        <w:rPr>
          <w:rFonts w:ascii="IRNazanin" w:hAnsi="IRNazanin" w:eastAsia="IRNazanin" w:cs="IRNazanin"/>
          <w:lang w:bidi="fa-IR"/>
          <w:color w:val="111111"/>
          <w:sz w:val="28"/>
          <w:szCs w:val="28"/>
          <w:rtl/>
        </w:rPr>
        <w:t xml:space="preserve">انجام: فهذا خلاصة ما افدناه فى هذا الكتاب ومن اراد التطویل بذكر الفروع و الادلة</w:t>
      </w:r>
    </w:p>
    <w:p>
      <w:pPr>
        <w:pStyle w:val="BookText"/>
      </w:pPr>
      <w:r>
        <w:rPr>
          <w:rFonts w:ascii="IRNazanin" w:hAnsi="IRNazanin" w:eastAsia="IRNazanin" w:cs="IRNazanin"/>
          <w:lang w:bidi="fa-IR"/>
          <w:color w:val="111111"/>
          <w:sz w:val="28"/>
          <w:szCs w:val="28"/>
          <w:rtl/>
        </w:rPr>
        <w:t xml:space="preserve">خط: نسخ معرب، بی کا، تا: قرن 9 افتادگی: انجام؛مصحح، ،محشی سه صفحه قبل از کتاب دارای مطالب متفرقه؛ تملک: على بن عز الدین صايغ ؛جلد: مقوایی عطف تیماج سبز، 206گ 16 سطر ، اندازه: 17</w:t>
      </w:r>
      <w:r>
        <w:rPr>
          <w:rFonts w:ascii="Times New Roman" w:hAnsi="Times New Roman" w:eastAsia="Times New Roman" w:cs="Times New Roman"/>
          <w:lang w:val="en-US" w:bidi="en-US"/>
          <w:color w:val="111111"/>
          <w:sz w:val="28"/>
          <w:szCs w:val="28"/>
          <w:rtl/>
        </w:rPr>
        <w:t xml:space="preserve">×25/5</w:t>
      </w:r>
      <w:r>
        <w:rPr>
          <w:rFonts w:ascii="IRNazanin" w:hAnsi="IRNazanin" w:eastAsia="IRNazanin" w:cs="IRNazanin"/>
          <w:lang w:bidi="fa-IR"/>
          <w:color w:val="111111"/>
          <w:sz w:val="28"/>
          <w:szCs w:val="28"/>
          <w:rtl/>
        </w:rPr>
        <w:t xml:space="preserve">سم [ف: 16 - 255]</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قم؛ مرعشی؛ شماره نسخه: 12878</w:t>
      </w:r>
    </w:p>
    <w:p>
      <w:pPr>
        <w:pStyle w:val="BookText"/>
      </w:pPr>
      <w:r>
        <w:rPr>
          <w:rFonts w:ascii="Amiri" w:hAnsi="Amiri" w:eastAsia="Amiri" w:cs="Amiri"/>
          <w:lang w:bidi="ar-SA"/>
          <w:color w:val="111111"/>
          <w:sz w:val="28"/>
          <w:szCs w:val="28"/>
          <w:rtl/>
        </w:rPr>
        <w:t xml:space="preserve">آغاز برابر؛ انجام: و مع تعدد الجنايات تتعددد الديات و ان اتحد الجانى فلو سرت جنايته أو قتل قبل الاندمال تداخلت فهذا خلاصة ما أفدناه فى هذا الكتاب.</w:t>
      </w:r>
    </w:p>
    <w:p>
      <w:pPr>
        <w:pStyle w:val="BookText"/>
      </w:pPr>
      <w:r>
        <w:rPr>
          <w:rFonts w:ascii="IRNazanin" w:hAnsi="IRNazanin" w:eastAsia="IRNazanin" w:cs="IRNazanin"/>
          <w:lang w:bidi="fa-IR"/>
          <w:color w:val="111111"/>
          <w:sz w:val="28"/>
          <w:szCs w:val="28"/>
          <w:rtl/>
        </w:rPr>
        <w:t xml:space="preserve">خط: نسخ، بی کا ؛تا: قرن 9 ،مصحح با عبارت «بلغت قرائة و الله تعالى و ثم بلغت قرائة أيده الله تعالی» دوبار مقابله شده است، دارای حواشی با نشان «م- د،ه» ؛ در صفحه پایانی نسخه آمده است «انهاه أدام الله توفيقه و سهل الى سبل الخيرات طريقه قرأة فهماً و استشراحاً وفقه الله و أيانا لمراضيه والعمل بطاعته و اجتناب نواهيه و ذلك في عدة مجالس آخرها نهار الاربعاء لاربع عشرة ليلة خلت م شهر رجب الاصب من شهور سنة ثمان وثلاثين تسمائة و كتب والده احمد بن خاتون بن لطف الله حامداً مصلیاً مسلماً مستغفراً» در پشت برگ انجام اجازه ای در 2 صفحه شیخ نعمت الله بن احمد بن محمد بن خاتون العاملی به فرزند شيخ جمال الدين احمد به سال 957ه آمده که آیت الله مرعشی نجفی نیز با برگی الصاقی به این اجازه اشاره نموده اند؛ کا: شرقی، جلد: تیماج قهوه ای با ترنج ،ضربی 231گ 15 سم (9</w:t>
      </w:r>
      <w:r>
        <w:rPr>
          <w:rFonts w:ascii="Times New Roman" w:hAnsi="Times New Roman" w:eastAsia="Times New Roman" w:cs="Times New Roman"/>
          <w:lang w:val="en-US" w:bidi="en-US"/>
          <w:color w:val="111111"/>
          <w:sz w:val="28"/>
          <w:szCs w:val="28"/>
          <w:rtl/>
        </w:rPr>
        <w:t xml:space="preserve">×12/5) </w:t>
      </w:r>
      <w:r>
        <w:rPr>
          <w:rFonts w:ascii="IRNazanin" w:hAnsi="IRNazanin" w:eastAsia="IRNazanin" w:cs="IRNazanin"/>
          <w:lang w:bidi="fa-IR"/>
          <w:color w:val="111111"/>
          <w:sz w:val="28"/>
          <w:szCs w:val="28"/>
          <w:rtl/>
        </w:rPr>
        <w:t xml:space="preserve">اندازه 13</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:[ف 32 - 671]</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قم؛ مرعشی؛ شماره نسخه: 12000</w:t>
      </w:r>
    </w:p>
    <w:p>
      <w:pPr>
        <w:pStyle w:val="BookText"/>
      </w:pPr>
      <w:r>
        <w:rPr>
          <w:rFonts w:ascii="Amiri" w:hAnsi="Amiri" w:eastAsia="Amiri" w:cs="Amiri"/>
          <w:lang w:bidi="ar-SA"/>
          <w:color w:val="111111"/>
          <w:sz w:val="28"/>
          <w:szCs w:val="28"/>
          <w:rtl/>
        </w:rPr>
        <w:t xml:space="preserve">آغاز: تعالى من أنبيائه و أوصيائه. ... كتاب الطهارة و النظرفي أقسامها و أسبابها؛ انجام: أو تذكرة الفقهاء أو قواعد الأحكام غير ذلك من كتبنا و الله الموفق لكل خير و الحمد لله رب العالمين.</w:t>
      </w:r>
    </w:p>
    <w:p>
      <w:pPr>
        <w:pStyle w:val="BookText"/>
      </w:pPr>
      <w:r>
        <w:rPr>
          <w:rFonts w:ascii="IRNazanin" w:hAnsi="IRNazanin" w:eastAsia="IRNazanin" w:cs="IRNazanin"/>
          <w:lang w:bidi="fa-IR"/>
          <w:color w:val="111111"/>
          <w:sz w:val="28"/>
          <w:szCs w:val="28"/>
          <w:rtl/>
        </w:rPr>
        <w:t xml:space="preserve">خط: نسخ و ثلث و نستعلیق، بی کا، تا: جمعه 10 صفر قرن افتادگی: آغاز ؛از روی نسخه اصل، مصحح، دارای حواشی نسبتاً فراوان با نشانه ای «12»، «شهید»، « ع ،ل»، «منه رحمه الله»، «ف ع عفى عنه» و نقل از کتاب های شرایع و قواعد تملک: یادداشت تملکی با این عبارات « ... الكمالات... مرداد ماه جلالی سیچقان ئيل موافق. .. شهر ربيع الاول سنه 959 تسع و خمسين فتسعمائة پنج ساعت... روز مذکور گذشته بود بطالع سرطان امید که.... القمر باشد. محمد و آله الطيبين الطاهرين المعصومين. ..، «عبادالله بن علی بن عبدالله ... »؛ کاغذ ،شرقی جلد: تیماج زرشکی تیره مجدول به زر محو شده عطف تیماج قهوه ای، 210گ، 15 سطر(7/5</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 اندازه: 12</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 [ف: 30 - 341]</w:t>
      </w:r>
    </w:p>
    <w:p>
      <w:pPr>
        <w:pStyle w:val="BookText"/>
      </w:pPr>
      <w:r>
        <w:rPr>
          <w:rFonts w:ascii="IRNazanin" w:hAnsi="IRNazanin" w:eastAsia="IRNazanin" w:cs="IRNazanin"/>
          <w:lang w:bidi="fa-IR"/>
          <w:color w:val="111111"/>
          <w:sz w:val="28"/>
          <w:szCs w:val="28"/>
          <w:rtl/>
        </w:rPr>
        <w:t xml:space="preserve">18 مشهد؛ رضوی؛ شماره نسخه: 16917</w:t>
      </w:r>
    </w:p>
    <w:p>
      <w:pPr>
        <w:pStyle w:val="BookText"/>
      </w:pPr>
      <w:r>
        <w:rPr>
          <w:rFonts w:ascii="Amiri" w:hAnsi="Amiri" w:eastAsia="Amiri" w:cs="Amiri"/>
          <w:lang w:bidi="ar-SA"/>
          <w:color w:val="111111"/>
          <w:sz w:val="28"/>
          <w:szCs w:val="28"/>
          <w:rtl/>
        </w:rPr>
        <w:t xml:space="preserve">آغاز: مصلوب بعد ثلاثة و للتوبة وصلوة الحاجة ودخول الحرم؛ انجام: برابر</w:t>
      </w:r>
    </w:p>
    <w:p>
      <w:pPr>
        <w:pStyle w:val="BookText"/>
      </w:pPr>
      <w:r>
        <w:rPr>
          <w:rFonts w:ascii="IRNazanin" w:hAnsi="IRNazanin" w:eastAsia="IRNazanin" w:cs="IRNazanin"/>
          <w:lang w:bidi="fa-IR"/>
          <w:color w:val="111111"/>
          <w:sz w:val="28"/>
          <w:szCs w:val="28"/>
          <w:rtl/>
        </w:rPr>
        <w:t xml:space="preserve">خط: نسخ، بی کا، تا: اواخر قرن 9 افتادگی: آغاز (یک برگ)؛ دارای حواشی اغلب با نشان «ع ل»، دارای بلاغ از علی بن عبدالعالی معروف به محقق کرکی و همچنین انهاء و اجازه ایشان به عبدالعلی بن نورالدین علی نور استرآبادی در سال 929 در پایان نسخه؛ ارسالی از دانشگاه علوم اسلامی رضوی؛ کاغذ: حنایی :جلد: میشن قهوه ای، 131گ، 23 سطر ، اندازه: 17/6</w:t>
      </w:r>
      <w:r>
        <w:rPr>
          <w:rFonts w:ascii="Times New Roman" w:hAnsi="Times New Roman" w:eastAsia="Times New Roman" w:cs="Times New Roman"/>
          <w:lang w:val="en-US" w:bidi="en-US"/>
          <w:color w:val="111111"/>
          <w:sz w:val="28"/>
          <w:szCs w:val="28"/>
          <w:rtl/>
        </w:rPr>
        <w:t xml:space="preserve">×25/7</w:t>
      </w:r>
      <w:r>
        <w:rPr>
          <w:rFonts w:ascii="IRNazanin" w:hAnsi="IRNazanin" w:eastAsia="IRNazanin" w:cs="IRNazanin"/>
          <w:lang w:bidi="fa-IR"/>
          <w:color w:val="111111"/>
          <w:sz w:val="28"/>
          <w:szCs w:val="28"/>
          <w:rtl/>
        </w:rPr>
        <w:t xml:space="preserve">سم [ف: 21/1 - 97]</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تهران؛ ملی؛ شماره نسخه: 3888</w:t>
      </w:r>
    </w:p>
    <w:p>
      <w:pPr>
        <w:pStyle w:val="BookText"/>
      </w:pPr>
      <w:r>
        <w:rPr>
          <w:rFonts w:ascii="IRNazanin" w:hAnsi="IRNazanin" w:eastAsia="IRNazanin" w:cs="IRNazanin"/>
          <w:lang w:bidi="fa-IR"/>
          <w:color w:val="111111"/>
          <w:sz w:val="28"/>
          <w:szCs w:val="28"/>
          <w:rtl/>
        </w:rPr>
        <w:t xml:space="preserve">آغاز: و اوصیائه عليهم افضل الصلوات و اكمل التحيات... كتاب الطهاره ( برابر سطر پنجم صفحه 12 نسخه شماره 1531 ملی)؛ انجام: و عليه ثلث ديه الثانى و على الثانى ثلثاديه و على الثالث ديه الرابع (مطابق سطر هشتم صفحه471 نسخه شماره 1531)</w:t>
      </w:r>
    </w:p>
    <w:p>
      <w:pPr>
        <w:pStyle w:val="BookText"/>
      </w:pPr>
      <w:r>
        <w:rPr>
          <w:rFonts w:ascii="IRNazanin" w:hAnsi="IRNazanin" w:eastAsia="IRNazanin" w:cs="IRNazanin"/>
          <w:lang w:bidi="fa-IR"/>
          <w:color w:val="111111"/>
          <w:sz w:val="28"/>
          <w:szCs w:val="28"/>
          <w:rtl/>
        </w:rPr>
        <w:t xml:space="preserve">خط: نستعلیق و نسخ ،خوش، بی کا، تا: قرن 9 یا 10؛ افتادگی: آغاز و انجام؛ محشی با نشان «شرح لمعه، ع ل، س، ح ل، تحریر شرایع و صدرالدین سلمه الله که گویا صدر الدین قمی ( 1100 - (1165 باشد و در زمان زنده بودن او نوشته شده است نیز در حاشیه نشان «شرح ،نکت، ش ز، یع، یب، ح ز یب، شرح ارشاد، مختصر شرایع، شرح یب، بیان، عبدالعالی» چند جا دیده می شود، بلاغ تصحیح با عبارت «بلغ سماعا ایده الله تعالى» و «بلغ قراءه ایده الله تعالى :کاغذ اصفهانی ،نخودی :جلد: مقوا رویه تیماج زرد مجدول با ترنج و سرترنج ضربی، 261گ، 11 سطر (9</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17/5</w:t>
      </w:r>
      <w:r>
        <w:rPr>
          <w:rFonts w:ascii="Times New Roman" w:hAnsi="Times New Roman" w:eastAsia="Times New Roman" w:cs="Times New Roman"/>
          <w:lang w:val="en-US" w:bidi="en-US"/>
          <w:color w:val="111111"/>
          <w:sz w:val="28"/>
          <w:szCs w:val="28"/>
          <w:rtl/>
        </w:rPr>
        <w:t xml:space="preserve">×22/5</w:t>
      </w:r>
      <w:r>
        <w:rPr>
          <w:rFonts w:ascii="IRNazanin" w:hAnsi="IRNazanin" w:eastAsia="IRNazanin" w:cs="IRNazanin"/>
          <w:lang w:bidi="fa-IR"/>
          <w:color w:val="111111"/>
          <w:sz w:val="28"/>
          <w:szCs w:val="28"/>
          <w:rtl/>
        </w:rPr>
        <w:t xml:space="preserve">سم [ف: 17-141]</w:t>
      </w:r>
    </w:p>
    <w:p>
      <w:pPr>
        <w:pStyle w:val="BookText"/>
      </w:pPr>
      <w:r>
        <w:rPr>
          <w:rFonts w:ascii="IRNazanin" w:hAnsi="IRNazanin" w:eastAsia="IRNazanin" w:cs="IRNazanin"/>
          <w:lang w:bidi="fa-IR"/>
          <w:color w:val="111111"/>
          <w:sz w:val="28"/>
          <w:szCs w:val="28"/>
          <w:rtl/>
        </w:rPr>
        <w:t xml:space="preserve">20.تهران؛ ملک شماره نسخه: 2320</w:t>
      </w:r>
    </w:p>
    <w:p>
      <w:pPr>
        <w:pStyle w:val="BookText"/>
      </w:pPr>
      <w:r>
        <w:rPr>
          <w:rFonts w:ascii="IRNazanin" w:hAnsi="IRNazanin" w:eastAsia="IRNazanin" w:cs="IRNazanin"/>
          <w:lang w:bidi="fa-IR"/>
          <w:color w:val="111111"/>
          <w:sz w:val="28"/>
          <w:szCs w:val="28"/>
          <w:rtl/>
        </w:rPr>
        <w:t xml:space="preserve">خط: نسخ معرب، بی کا، تا: قرن 9 افتادگی: آغاز و انجام؛ محشی؛ کاغذ: دولت ،آبادی :جلد: میشن قهوه ای، 187گ 21 سطر ،اندازه 11/5</w:t>
      </w:r>
      <w:r>
        <w:rPr>
          <w:rFonts w:ascii="Times New Roman" w:hAnsi="Times New Roman" w:eastAsia="Times New Roman" w:cs="Times New Roman"/>
          <w:lang w:val="en-US" w:bidi="en-US"/>
          <w:color w:val="111111"/>
          <w:sz w:val="28"/>
          <w:szCs w:val="28"/>
          <w:rtl/>
        </w:rPr>
        <w:t xml:space="preserve">×21/6 </w:t>
      </w:r>
      <w:r>
        <w:rPr>
          <w:rFonts w:ascii="IRNazanin" w:hAnsi="IRNazanin" w:eastAsia="IRNazanin" w:cs="IRNazanin"/>
          <w:lang w:bidi="fa-IR"/>
          <w:color w:val="111111"/>
          <w:sz w:val="28"/>
          <w:szCs w:val="28"/>
          <w:rtl/>
        </w:rPr>
        <w:t xml:space="preserve">سم [ف: 1 - 26]</w:t>
      </w:r>
    </w:p>
    <w:p>
      <w:pPr>
        <w:pStyle w:val="BookText"/>
      </w:pPr>
      <w:r>
        <w:rPr>
          <w:rFonts w:ascii="IRNazanin" w:hAnsi="IRNazanin" w:eastAsia="IRNazanin" w:cs="IRNazanin"/>
          <w:lang w:bidi="fa-IR"/>
          <w:color w:val="111111"/>
          <w:sz w:val="28"/>
          <w:szCs w:val="28"/>
          <w:rtl/>
        </w:rPr>
        <w:t xml:space="preserve">21.تهران؛ مجلس؛ شماره نسخه: 4645/1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 نسخ، بی کا، تا: قرن 9 کاغذ: ،اصفهانی، جلد: تیماج مقوایی قهوه ای وسط گل و بته ،زرد 23 سطر (10/5</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اندازه : 17/5</w:t>
      </w:r>
      <w:r>
        <w:rPr>
          <w:rFonts w:ascii="Times New Roman" w:hAnsi="Times New Roman" w:eastAsia="Times New Roman" w:cs="Times New Roman"/>
          <w:lang w:val="en-US" w:bidi="en-US"/>
          <w:color w:val="111111"/>
          <w:sz w:val="28"/>
          <w:szCs w:val="28"/>
          <w:rtl/>
        </w:rPr>
        <w:t xml:space="preserve">×25/3</w:t>
      </w:r>
      <w:r>
        <w:rPr>
          <w:rFonts w:ascii="IRNazanin" w:hAnsi="IRNazanin" w:eastAsia="IRNazanin" w:cs="IRNazanin"/>
          <w:lang w:bidi="fa-IR"/>
          <w:color w:val="111111"/>
          <w:sz w:val="28"/>
          <w:szCs w:val="28"/>
          <w:rtl/>
        </w:rPr>
        <w:t xml:space="preserve">سم [ف 13 - 33]</w:t>
      </w:r>
    </w:p>
    <w:p>
      <w:pPr>
        <w:pStyle w:val="BookText"/>
      </w:pPr>
      <w:r>
        <w:rPr>
          <w:rFonts w:ascii="Amiri" w:hAnsi="Amiri" w:eastAsia="Amiri" w:cs="Amiri"/>
          <w:lang w:bidi="ar-SA"/>
          <w:color w:val="111111"/>
          <w:sz w:val="28"/>
          <w:szCs w:val="28"/>
          <w:rtl/>
        </w:rPr>
        <w:t xml:space="preserve">22.تهران؛ دائرة المعارف؛ شماره نسخه: 71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در المقصد الخامس فى دية المنافع افتاده است؛ خط: نسخ خوش، بی کا، تا: قرن 9؛ افتادگی: وسط با سرلوح، محشی، مجدول؛ تملک: عبدالعلی بن نصیر الجیلانی با نشان مهر او؛ جلد تيماج،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قرمز، 169گ 19 سطر (9</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اندازه: 16</w:t>
      </w:r>
      <w:r>
        <w:rPr>
          <w:rFonts w:ascii="Times New Roman" w:hAnsi="Times New Roman" w:eastAsia="Times New Roman" w:cs="Times New Roman"/>
          <w:lang w:val="en-US" w:bidi="en-US"/>
          <w:color w:val="111111"/>
          <w:sz w:val="28"/>
          <w:szCs w:val="28"/>
          <w:rtl/>
        </w:rPr>
        <w:t xml:space="preserve">×28</w:t>
      </w:r>
      <w:r>
        <w:rPr>
          <w:rFonts w:ascii="IRNazanin" w:hAnsi="IRNazanin" w:eastAsia="IRNazanin" w:cs="IRNazanin"/>
          <w:lang w:bidi="fa-IR"/>
          <w:color w:val="111111"/>
          <w:sz w:val="28"/>
          <w:szCs w:val="28"/>
          <w:rtl/>
        </w:rPr>
        <w:t xml:space="preserve">سم [ف: 1 - 14]</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اصفهان؛ مدرسه صدر بازار؛ شماره نسخه: 892</w:t>
      </w:r>
    </w:p>
    <w:p>
      <w:pPr>
        <w:pStyle w:val="BookText"/>
      </w:pPr>
      <w:r>
        <w:rPr>
          <w:rFonts w:ascii="IRNazanin" w:hAnsi="IRNazanin" w:eastAsia="IRNazanin" w:cs="IRNazanin"/>
          <w:lang w:bidi="fa-IR"/>
          <w:color w:val="111111"/>
          <w:sz w:val="28"/>
          <w:szCs w:val="28"/>
          <w:rtl/>
        </w:rPr>
        <w:t xml:space="preserve">آغاز: المتقدم استأنف و ذو الجبيرة ينزعها أو يكرر الماء حتی يصل ألى البشرة ان تمكن و الا مسح عليها</w:t>
      </w:r>
    </w:p>
    <w:p>
      <w:pPr>
        <w:pStyle w:val="BookText"/>
      </w:pPr>
      <w:r>
        <w:rPr>
          <w:rFonts w:ascii="IRNazanin" w:hAnsi="IRNazanin" w:eastAsia="IRNazanin" w:cs="IRNazanin"/>
          <w:lang w:bidi="fa-IR"/>
          <w:color w:val="111111"/>
          <w:sz w:val="28"/>
          <w:szCs w:val="28"/>
          <w:rtl/>
        </w:rPr>
        <w:t xml:space="preserve">خط: نسخ، بی کا، تا: قرن 8 یا 9 ق؛ افتادگی: آغاز: مصحح،در بیشتر برگ ها عبارت «ثم بلع شيخنا الفاضل ايده الله تعالى» محشی؛ جلد: مقوایی 142گ 21 سطر ، اندازه: 18 </w:t>
      </w:r>
      <w:r>
        <w:rPr>
          <w:rFonts w:ascii="Times New Roman" w:hAnsi="Times New Roman" w:eastAsia="Times New Roman" w:cs="Times New Roman"/>
          <w:lang w:val="en-US" w:bidi="en-US"/>
          <w:color w:val="111111"/>
          <w:sz w:val="28"/>
          <w:szCs w:val="28"/>
          <w:rtl/>
        </w:rPr>
        <w:t xml:space="preserve">×26</w:t>
      </w:r>
      <w:r>
        <w:rPr>
          <w:rFonts w:ascii="IRNazanin" w:hAnsi="IRNazanin" w:eastAsia="IRNazanin" w:cs="IRNazanin"/>
          <w:lang w:bidi="fa-IR"/>
          <w:color w:val="111111"/>
          <w:sz w:val="28"/>
          <w:szCs w:val="28"/>
          <w:rtl/>
        </w:rPr>
        <w:t xml:space="preserve">سم [</w:t>
      </w:r>
    </w:p>
    <w:p>
      <w:pPr>
        <w:pStyle w:val="BookText"/>
      </w:pPr>
      <w:r>
        <w:rPr>
          <w:rFonts w:ascii="IRNazanin" w:hAnsi="IRNazanin" w:eastAsia="IRNazanin" w:cs="IRNazanin"/>
          <w:lang w:bidi="fa-IR"/>
          <w:color w:val="111111"/>
          <w:sz w:val="28"/>
          <w:szCs w:val="28"/>
          <w:rtl/>
        </w:rPr>
        <w:t xml:space="preserve">[ف: 3- 666]</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تهران؛ دانشگاه؛ شماره نسخه: 3560</w:t>
      </w:r>
    </w:p>
    <w:p>
      <w:pPr>
        <w:pStyle w:val="BookText"/>
      </w:pPr>
      <w:r>
        <w:rPr>
          <w:rFonts w:ascii="IRNazanin" w:hAnsi="IRNazanin" w:eastAsia="IRNazanin" w:cs="IRNazanin"/>
          <w:lang w:bidi="fa-IR"/>
          <w:color w:val="111111"/>
          <w:sz w:val="28"/>
          <w:szCs w:val="28"/>
          <w:rtl/>
        </w:rPr>
        <w:t xml:space="preserve">خط: نستعلیق، بی کا، تا: قرن 8 و 9 در این نسخه پرسشی که از پسر مؤلف درباره پاره ای از عبارات و رموز مؤلف در قواعد کرده اند و پاسخ او از روی خط او ،هست محشی با نشان «منه» با بندی از پسر مؤلف و بندی از تنقیح و پراکنده های دیگر در آغاز و به خط تازه تر؛ کاغذ: سمرقندی، جلد: تیماج زرد مقوایی، 120گ ، 17 سطر (7</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،اندازه: 12 </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سم [ ف : 12 - 2580 ]</w:t>
      </w:r>
    </w:p>
    <w:p>
      <w:pPr>
        <w:pStyle w:val="BookText"/>
      </w:pPr>
      <w:r>
        <w:rPr>
          <w:rFonts w:ascii="IRNazanin" w:hAnsi="IRNazanin" w:eastAsia="IRNazanin" w:cs="IRNazanin"/>
          <w:lang w:bidi="fa-IR"/>
          <w:color w:val="111111"/>
          <w:sz w:val="28"/>
          <w:szCs w:val="28"/>
          <w:rtl/>
        </w:rPr>
        <w:t xml:space="preserve">25.قم؛ مرعشی؛ شماره نسخه: 10624</w:t>
      </w:r>
    </w:p>
    <w:p>
      <w:pPr>
        <w:pStyle w:val="BookText"/>
      </w:pPr>
      <w:r>
        <w:rPr>
          <w:rFonts w:ascii="IRNazanin" w:hAnsi="IRNazanin" w:eastAsia="IRNazanin" w:cs="IRNazanin"/>
          <w:lang w:bidi="fa-IR"/>
          <w:color w:val="111111"/>
          <w:sz w:val="28"/>
          <w:szCs w:val="28"/>
          <w:rtl/>
        </w:rPr>
        <w:t xml:space="preserve">بی کا، تا: قرن 9؛ مصحح، محشی، تملک: آیت الله شیخ عباس شیخ حسن بلاغی نجفی از علمای بزرگ سده 14 در نجف</w:t>
      </w:r>
    </w:p>
    <w:p>
      <w:pPr>
        <w:pStyle w:val="BookText"/>
      </w:pPr>
      <w:r>
        <w:rPr>
          <w:rFonts w:ascii="IRNazanin" w:hAnsi="IRNazanin" w:eastAsia="IRNazanin" w:cs="IRNazanin"/>
          <w:lang w:bidi="fa-IR"/>
          <w:color w:val="111111"/>
          <w:sz w:val="28"/>
          <w:szCs w:val="28"/>
          <w:rtl/>
        </w:rPr>
        <w:t xml:space="preserve">اشرف، قطع: جیبی [میراث شهاب: س9ش 2 - 4]</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آران کاشان؛ محمد هلال؛ شماره نسخه:117</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 نسخ، كا: علی بن حیدر ،حسینی، تا: سه شنبه سلخ جمادی الثاني 807ق مصحح محشی، 26 صفحه از صفحات او نونویسی شده اند، تملک و یادداشتهایی با تاریخ 903ق برگ های ،آخر سه برگ آخر مسائلی از ارث به خط ناسخ به تاریخ سال 807 و چند یادداشت متفرقه بعضاً به سال 977 جلد: تیماج قهوه ای، 263گ، 14 سطر [ف مخ: - 10]</w:t>
      </w:r>
    </w:p>
    <w:p>
      <w:pPr>
        <w:pStyle w:val="BookText"/>
      </w:pPr>
      <w:r>
        <w:rPr>
          <w:rFonts w:ascii="IRNazanin" w:hAnsi="IRNazanin" w:eastAsia="IRNazanin" w:cs="IRNazanin"/>
          <w:lang w:bidi="fa-IR"/>
          <w:color w:val="111111"/>
          <w:sz w:val="28"/>
          <w:szCs w:val="28"/>
          <w:rtl/>
        </w:rPr>
        <w:t xml:space="preserve">27 . قم؛ مرکز احیاء؛ شماره نسخه: 820</w:t>
      </w:r>
    </w:p>
    <w:p>
      <w:pPr>
        <w:pStyle w:val="BookText"/>
      </w:pPr>
      <w:r>
        <w:rPr>
          <w:rFonts w:ascii="IRNazanin" w:hAnsi="IRNazanin" w:eastAsia="IRNazanin" w:cs="IRNazanin"/>
          <w:lang w:bidi="fa-IR"/>
          <w:color w:val="111111"/>
          <w:sz w:val="28"/>
          <w:szCs w:val="28"/>
          <w:rtl/>
        </w:rPr>
        <w:t xml:space="preserve">نسخه اصل: همان نسخه بالا [عکسی ف: 3 - 19]</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قم؛ مرعشی؛ شماره نسخه: 2805</w:t>
      </w:r>
    </w:p>
    <w:p>
      <w:pPr>
        <w:pStyle w:val="BookText"/>
      </w:pPr>
      <w:r>
        <w:rPr>
          <w:rFonts w:ascii="Amiri" w:hAnsi="Amiri" w:eastAsia="Amiri" w:cs="Amiri"/>
          <w:lang w:bidi="ar-SA"/>
          <w:color w:val="111111"/>
          <w:sz w:val="28"/>
          <w:szCs w:val="28"/>
          <w:rtl/>
        </w:rPr>
        <w:t xml:space="preserve">آغاز: تطهيره بالغسل أو مس قطعة ذات عظم أبينت منه</w:t>
      </w:r>
    </w:p>
    <w:p>
      <w:pPr>
        <w:pStyle w:val="BookText"/>
      </w:pPr>
      <w:r>
        <w:rPr>
          <w:rFonts w:ascii="IRNazanin" w:hAnsi="IRNazanin" w:eastAsia="IRNazanin" w:cs="IRNazanin"/>
          <w:lang w:bidi="fa-IR"/>
          <w:color w:val="111111"/>
          <w:sz w:val="28"/>
          <w:szCs w:val="28"/>
          <w:rtl/>
        </w:rPr>
        <w:t xml:space="preserve">خط: نسخ، كا: هبة الله بن محمد استرآبادی تلفائی، تا: دوشنبه ذیقعده 830ق به جهت سعدالدین بن مجدالدین بن فضل مقیم مشهد مقدس؛ افتادگی: آغاز مجدول، مصحح، محشی:جلد: مقوایی عطف ،پارچه ای، 162گ، 15 سطر 13/5</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8 - 7]</w:t>
      </w:r>
    </w:p>
    <w:p>
      <w:pPr>
        <w:pStyle w:val="BookText"/>
      </w:pPr>
      <w:r>
        <w:rPr>
          <w:rFonts w:ascii="IRNazanin" w:hAnsi="IRNazanin" w:eastAsia="IRNazanin" w:cs="IRNazanin"/>
          <w:lang w:bidi="fa-IR"/>
          <w:color w:val="111111"/>
          <w:sz w:val="28"/>
          <w:szCs w:val="28"/>
          <w:rtl/>
        </w:rPr>
        <w:t xml:space="preserve">29.تهران؛ دانشگاه؛ شماره نسخه: 722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حدود 837ق؛ دارای حواشی با نشان های «ح ا ب» و «حسن بن حمزه حسینی» و بی نشانه و روی یک نواخت بودن خط باید همه حاشیه ها از همین حسینی باشد و تصحیحاتی که از روی خط حلی در آن آمده از همو ،است، پس نسخه باید نزدک 837 نوشته باشد؛ برگ 146 شرح شرایع است نه از این کتاب کاغذ: سمرقندی، جلد: تیماج مشکی مقوایی، 224گ، 15 سطر (9</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اندازه: 13</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[ف: 5 - 1771]</w:t>
      </w:r>
    </w:p>
    <w:p>
      <w:pPr>
        <w:pStyle w:val="BookText"/>
      </w:pPr>
      <w:r>
        <w:rPr>
          <w:rFonts w:ascii="IRNazanin" w:hAnsi="IRNazanin" w:eastAsia="IRNazanin" w:cs="IRNazanin"/>
          <w:lang w:bidi="fa-IR"/>
          <w:color w:val="111111"/>
          <w:sz w:val="28"/>
          <w:szCs w:val="28"/>
          <w:rtl/>
        </w:rPr>
        <w:t xml:space="preserve">30.قم؛ مرعشی؛ شماره نسخه: 4408</w:t>
      </w:r>
    </w:p>
    <w:p>
      <w:pPr>
        <w:pStyle w:val="BookText"/>
      </w:pPr>
      <w:r>
        <w:rPr>
          <w:rFonts w:ascii="IRNazanin" w:hAnsi="IRNazanin" w:eastAsia="IRNazanin" w:cs="IRNazanin"/>
          <w:lang w:bidi="fa-IR"/>
          <w:color w:val="111111"/>
          <w:sz w:val="28"/>
          <w:szCs w:val="28"/>
          <w:rtl/>
        </w:rPr>
        <w:t xml:space="preserve">خط: نسخ، نسخ، کا: محمد بن على سيف الدين جرجانی، تا: پنج شنبه 15 ربيع الثانى 854ق؛ مصحح محشی و دارای علامت بلاغ، روی ، برگ اول چند یادداشت فقهی از کاتب نسخه در برگی پس از کتاب صورت اجازه علامه حلی که برای حسین بن محمد على علوی حسینی به تاریخ سلخ ذیحجه 704 نوشته آمده است؛ تملك: لطفعلی بن محمد كاظم؛ جلد: تیماج قهوه ای، 215گ، 17 سطر ، اندازه: 13</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سم [ف: 12 - 10]</w:t>
      </w:r>
    </w:p>
    <w:p>
      <w:pPr>
        <w:pStyle w:val="BookText"/>
      </w:pPr>
      <w:r>
        <w:rPr>
          <w:rFonts w:ascii="IRNazanin" w:hAnsi="IRNazanin" w:eastAsia="IRNazanin" w:cs="IRNazanin"/>
          <w:lang w:bidi="fa-IR"/>
          <w:color w:val="111111"/>
          <w:sz w:val="28"/>
          <w:szCs w:val="28"/>
          <w:rtl/>
        </w:rPr>
        <w:t xml:space="preserve">31.قم؛ مرعشی؛ شماره نسخه: 961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محمد بن عبدالحمید جرجانی، تا: 18 ربيع الاول 866ق؛ مصحح محشی؛ تملک: سید مرتضی بن محمد حسینی قمی، علی بن عبدالعالی (کرکی یا میسی)؛ جلد: تیماج قهوه ای، 303گ، 13 سطر ، اندازه: 12/5</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سم [ف: 3 - 153]</w:t>
      </w:r>
    </w:p>
    <w:p>
      <w:pPr>
        <w:pStyle w:val="BookText"/>
      </w:pPr>
      <w:r>
        <w:rPr>
          <w:rFonts w:ascii="IRNazanin" w:hAnsi="IRNazanin" w:eastAsia="IRNazanin" w:cs="IRNazanin"/>
          <w:lang w:bidi="fa-IR"/>
          <w:color w:val="111111"/>
          <w:sz w:val="28"/>
          <w:szCs w:val="28"/>
          <w:rtl/>
        </w:rPr>
        <w:t xml:space="preserve">32.قم؛ مرعشی؛ شماره نسخه: 1487</w:t>
      </w:r>
    </w:p>
    <w:p>
      <w:pPr>
        <w:pStyle w:val="BookText"/>
      </w:pPr>
      <w:r>
        <w:rPr>
          <w:rFonts w:ascii="Amiri" w:hAnsi="Amiri" w:eastAsia="Amiri" w:cs="Amiri"/>
          <w:lang w:bidi="ar-SA"/>
          <w:color w:val="111111"/>
          <w:sz w:val="28"/>
          <w:szCs w:val="28"/>
          <w:rtl/>
        </w:rPr>
        <w:t xml:space="preserve">انجام: و فى الصوت الدية و ان ابطل حركة اللسان، و في الذوق الدية</w:t>
      </w:r>
    </w:p>
    <w:p>
      <w:pPr>
        <w:pStyle w:val="BookText"/>
      </w:pPr>
      <w:r>
        <w:rPr>
          <w:rFonts w:ascii="IRNazanin" w:hAnsi="IRNazanin" w:eastAsia="IRNazanin" w:cs="IRNazanin"/>
          <w:lang w:bidi="fa-IR"/>
          <w:color w:val="111111"/>
          <w:sz w:val="28"/>
          <w:szCs w:val="28"/>
          <w:rtl/>
        </w:rPr>
        <w:t xml:space="preserve">خط: نسخ، معرب، بی کا، تا: با تاریخ 870ق؛ افتادگی :انجام؛ نسخه قدیم و نفیس، مصحح ،محشی دارای علامت بلاغ قبل از کتاب صفحه است دارای مطالب متفرقه و یادداشتی متضمن تاریخ کتابت نسخه 870( گویا) به جهت از بین رفتن برگ های آخر تاریخ نیز از بین رفته است وقفنامه کتاب به تاریخ 1086؛ مهر: «يا قاسم الارزاق» (هشت گوشه) «انا مدينة العلم و على بابها» (بیضی)؛ تملک: شاهمیر بن حاجی محمد، محمد قاسم با مهر العبد الاثم محمد قاسم (بیضی) علی بن عید کاظمی؛ جلد: مقوایی عطف تیماج ،مشکی، 194گ، 16 سطر ، اندازه: 13</w:t>
      </w:r>
      <w:r>
        <w:rPr>
          <w:rFonts w:ascii="Times New Roman" w:hAnsi="Times New Roman" w:eastAsia="Times New Roman" w:cs="Times New Roman"/>
          <w:lang w:val="en-US" w:bidi="en-US"/>
          <w:color w:val="111111"/>
          <w:sz w:val="28"/>
          <w:szCs w:val="28"/>
          <w:rtl/>
        </w:rPr>
        <w:t xml:space="preserve">× 22/5 </w:t>
      </w:r>
      <w:r>
        <w:rPr>
          <w:rFonts w:ascii="IRNazanin" w:hAnsi="IRNazanin" w:eastAsia="IRNazanin" w:cs="IRNazanin"/>
          <w:lang w:bidi="fa-IR"/>
          <w:color w:val="111111"/>
          <w:sz w:val="28"/>
          <w:szCs w:val="28"/>
          <w:rtl/>
        </w:rPr>
        <w:t xml:space="preserve">سم [ف: 4 - 284]</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قم؛ مرعشی؛ شماره نسخه: 11646</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 نسخ ،کا، اسماعیل فرزند ،نعیم تا: چهارشنبه اواخر شوال 882ق، مصحح، محشی؛ مهر محمد امین الله»(بیضی)؛ کاغذ: خانبالغ :جلد: تیماج مشکی مجدول ضربی؛ 238گ، 16 سطر (17/5</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 اندازه: 12/5</w:t>
      </w:r>
      <w:r>
        <w:rPr>
          <w:rFonts w:ascii="Times New Roman" w:hAnsi="Times New Roman" w:eastAsia="Times New Roman" w:cs="Times New Roman"/>
          <w:lang w:val="en-US" w:bidi="en-US"/>
          <w:color w:val="111111"/>
          <w:sz w:val="28"/>
          <w:szCs w:val="28"/>
          <w:rtl/>
        </w:rPr>
        <w:t xml:space="preserve">× 23</w:t>
      </w:r>
      <w:r>
        <w:rPr>
          <w:rFonts w:ascii="IRNazanin" w:hAnsi="IRNazanin" w:eastAsia="IRNazanin" w:cs="IRNazanin"/>
          <w:lang w:bidi="fa-IR"/>
          <w:color w:val="111111"/>
          <w:sz w:val="28"/>
          <w:szCs w:val="28"/>
          <w:rtl/>
        </w:rPr>
        <w:t xml:space="preserve">سم [ف: 29 - 414]</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مشهد؛ رضوی؛ شماره نسخه: 9814</w:t>
      </w:r>
    </w:p>
    <w:p>
      <w:pPr>
        <w:pStyle w:val="BookText"/>
      </w:pPr>
      <w:r>
        <w:rPr>
          <w:rFonts w:ascii="Amiri" w:hAnsi="Amiri" w:eastAsia="Amiri" w:cs="Amiri"/>
          <w:lang w:bidi="ar-SA"/>
          <w:color w:val="111111"/>
          <w:sz w:val="28"/>
          <w:szCs w:val="28"/>
          <w:rtl/>
        </w:rPr>
        <w:t xml:space="preserve">آغاز: و الطواف الواجبين و مس كتابة القرآن ان وجب؛ انجام: برابر</w:t>
      </w:r>
    </w:p>
    <w:p>
      <w:pPr>
        <w:pStyle w:val="BookText"/>
      </w:pPr>
      <w:r>
        <w:rPr>
          <w:rFonts w:ascii="IRNazanin" w:hAnsi="IRNazanin" w:eastAsia="IRNazanin" w:cs="IRNazanin"/>
          <w:lang w:bidi="fa-IR"/>
          <w:color w:val="111111"/>
          <w:sz w:val="28"/>
          <w:szCs w:val="28"/>
          <w:rtl/>
        </w:rPr>
        <w:t xml:space="preserve">خط : نسخ،کا،  صالح بن عماد بن زهیری، تا: چهارشنبه 5 شعبان 890ق؛ افتادگی: آغاز (یک یا دو برگ)؛ محشی، دارای بلاغ و انهاء از احمد بن حسن شطیبی در 961ق مذیل به یک برگ در مسایل متفرقه فقهی واقف: خان بابا ،مشار، اردیبهشت 1346؛ کاغذ: نخودی آهار مهره، جلد: مقوا عطف و گوشه میشن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قهوه ای، 219گ، 15 سطر ، اندازه:15</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سم [ف: 21/1 - 92]</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مشهد؛ رضوی؛ شماره نسخه: 16586</w:t>
      </w:r>
    </w:p>
    <w:p>
      <w:pPr>
        <w:pStyle w:val="BookText"/>
      </w:pPr>
      <w:r>
        <w:rPr>
          <w:rFonts w:ascii="Amiri" w:hAnsi="Amiri" w:eastAsia="Amiri" w:cs="Amiri"/>
          <w:lang w:bidi="ar-SA"/>
          <w:color w:val="111111"/>
          <w:sz w:val="28"/>
          <w:szCs w:val="28"/>
          <w:rtl/>
        </w:rPr>
        <w:t xml:space="preserve">آغاز: برابر؛ انجام: ثم كلما حصل شيء عتق بنسبته و لو حم- بعد التدبير</w:t>
      </w:r>
    </w:p>
    <w:p>
      <w:pPr>
        <w:pStyle w:val="BookText"/>
      </w:pPr>
      <w:r>
        <w:rPr>
          <w:rFonts w:ascii="IRNazanin" w:hAnsi="IRNazanin" w:eastAsia="IRNazanin" w:cs="IRNazanin"/>
          <w:lang w:bidi="fa-IR"/>
          <w:color w:val="111111"/>
          <w:sz w:val="28"/>
          <w:szCs w:val="28"/>
          <w:rtl/>
        </w:rPr>
        <w:t xml:space="preserve">خط: نستعلیق، بی کا، تا: حدود قرن 10؛ افتادگی: انجام؛ محشی با رموز مختلف؛ واقف: محمد باقر مدرسی، تاریخ وقف:1176ق :کاغذ: حنایی آهار مهره ،جلد: میشن قهوه ای 210 گ، 15سطر :اندازه: 11/6</w:t>
      </w:r>
      <w:r>
        <w:rPr>
          <w:rFonts w:ascii="Times New Roman" w:hAnsi="Times New Roman" w:eastAsia="Times New Roman" w:cs="Times New Roman"/>
          <w:lang w:val="en-US" w:bidi="en-US"/>
          <w:color w:val="111111"/>
          <w:sz w:val="28"/>
          <w:szCs w:val="28"/>
          <w:rtl/>
        </w:rPr>
        <w:t xml:space="preserve">×22/8</w:t>
      </w:r>
      <w:r>
        <w:rPr>
          <w:rFonts w:ascii="IRNazanin" w:hAnsi="IRNazanin" w:eastAsia="IRNazanin" w:cs="IRNazanin"/>
          <w:lang w:bidi="fa-IR"/>
          <w:color w:val="111111"/>
          <w:sz w:val="28"/>
          <w:szCs w:val="28"/>
          <w:rtl/>
        </w:rPr>
        <w:t xml:space="preserve">سم [ف: 21/1 - 89]</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مشهد؛ رضوی؛ شماره نسخه: 16920</w:t>
      </w:r>
    </w:p>
    <w:p>
      <w:pPr>
        <w:pStyle w:val="BookText"/>
      </w:pPr>
      <w:r>
        <w:rPr>
          <w:rFonts w:ascii="Amiri" w:hAnsi="Amiri" w:eastAsia="Amiri" w:cs="Amiri"/>
          <w:lang w:bidi="ar-SA"/>
          <w:color w:val="111111"/>
          <w:sz w:val="28"/>
          <w:szCs w:val="28"/>
          <w:rtl/>
        </w:rPr>
        <w:t xml:space="preserve">آغاز: برابر؛ انجام: و مع تعدد الجنايات يتعدد الديات. .. او  قتل قبل</w:t>
      </w:r>
    </w:p>
    <w:p>
      <w:pPr>
        <w:pStyle w:val="BookText"/>
      </w:pPr>
      <w:r>
        <w:rPr>
          <w:rFonts w:ascii="IRNazanin" w:hAnsi="IRNazanin" w:eastAsia="IRNazanin" w:cs="IRNazanin"/>
          <w:lang w:bidi="fa-IR"/>
          <w:color w:val="111111"/>
          <w:sz w:val="28"/>
          <w:szCs w:val="28"/>
          <w:rtl/>
        </w:rPr>
        <w:t xml:space="preserve">خط: نسخ، بی کا؛ تا: قرن 10؛ افتادگی: انجام؛ مصحح، محشی، مقابله شده؛ ارسالی از دانشگاه علوم اسلامی رضوی در مهر 1368؛ كاغذ: حنایی، جلد: تیماج مشکی ضربی با ترنج سرترنج، 178گ، 19 سطر ، اندازه: 14</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سم [ف: 21/1 – 89]</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مشهد؛ رضوی؛ شماره نسخه: 7427</w:t>
      </w:r>
    </w:p>
    <w:p>
      <w:pPr>
        <w:pStyle w:val="BookText"/>
      </w:pPr>
      <w:r>
        <w:rPr>
          <w:rFonts w:ascii="Amiri" w:hAnsi="Amiri" w:eastAsia="Amiri" w:cs="Amiri"/>
          <w:lang w:bidi="ar-SA"/>
          <w:color w:val="111111"/>
          <w:sz w:val="28"/>
          <w:szCs w:val="28"/>
          <w:rtl/>
        </w:rPr>
        <w:t xml:space="preserve">آغاز: برابر؛ انجام: و لو لم تفرطابان غلبهما الهواء فلاضمان و يضمن صاحب الواقعة اذا.</w:t>
      </w:r>
    </w:p>
    <w:p>
      <w:pPr>
        <w:pStyle w:val="BookText"/>
      </w:pPr>
      <w:r>
        <w:rPr>
          <w:rFonts w:ascii="IRNazanin" w:hAnsi="IRNazanin" w:eastAsia="IRNazanin" w:cs="IRNazanin"/>
          <w:lang w:bidi="fa-IR"/>
          <w:color w:val="111111"/>
          <w:sz w:val="28"/>
          <w:szCs w:val="28"/>
          <w:rtl/>
        </w:rPr>
        <w:t xml:space="preserve">خط: نسخ، بی کا، تا: قرن 10؛ افتادگی: انجام؛ مصحح، کاغذ: حنایی ،جلد: میشن ،مشکی، 241گ ، 15 سطر ، اندازه: 16/5</w:t>
      </w:r>
      <w:r>
        <w:rPr>
          <w:rFonts w:ascii="Times New Roman" w:hAnsi="Times New Roman" w:eastAsia="Times New Roman" w:cs="Times New Roman"/>
          <w:lang w:val="en-US" w:bidi="en-US"/>
          <w:color w:val="111111"/>
          <w:sz w:val="28"/>
          <w:szCs w:val="28"/>
          <w:rtl/>
        </w:rPr>
        <w:t xml:space="preserve">× 25 </w:t>
      </w:r>
      <w:r>
        <w:rPr>
          <w:rFonts w:ascii="IRNazanin" w:hAnsi="IRNazanin" w:eastAsia="IRNazanin" w:cs="IRNazanin"/>
          <w:lang w:bidi="fa-IR"/>
          <w:color w:val="111111"/>
          <w:sz w:val="28"/>
          <w:szCs w:val="28"/>
          <w:rtl/>
        </w:rPr>
        <w:t xml:space="preserve">سم :[ف 21/1-90]</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قم؛ مرعشی؛ شماره نسخه: 11654</w:t>
      </w:r>
    </w:p>
    <w:p>
      <w:pPr>
        <w:pStyle w:val="BookText"/>
      </w:pPr>
      <w:r>
        <w:rPr>
          <w:rFonts w:ascii="IRNazanin" w:hAnsi="IRNazanin" w:eastAsia="IRNazanin" w:cs="IRNazanin"/>
          <w:lang w:bidi="fa-IR"/>
          <w:color w:val="111111"/>
          <w:sz w:val="28"/>
          <w:szCs w:val="28"/>
          <w:rtl/>
        </w:rPr>
        <w:t xml:space="preserve">آغاز: برابر؛ انجام: و فی جوارجه و شجاجه بحسب ذلك،   يصرف في وجوه البر لا الوارث و قال المرتضى لبيت المال الحمد لله أولاً وآخراً.</w:t>
      </w:r>
    </w:p>
    <w:p>
      <w:pPr>
        <w:pStyle w:val="BookText"/>
      </w:pPr>
      <w:r>
        <w:rPr>
          <w:rFonts w:ascii="IRNazanin" w:hAnsi="IRNazanin" w:eastAsia="IRNazanin" w:cs="IRNazanin"/>
          <w:lang w:bidi="fa-IR"/>
          <w:color w:val="111111"/>
          <w:sz w:val="28"/>
          <w:szCs w:val="28"/>
          <w:rtl/>
        </w:rPr>
        <w:t xml:space="preserve">از آغاز کتاب طهارت تا پایان دیات؛ خط: نستعلیق، بی کا، اواخر قرن 10؛ مصحح محشی، مقابله شده «ثم بلغ سماعاً ایده تعالی»؛ مهر: «عبده الراجي محمد كريم الرضوى» ((مربع) كاغذ: سمرقندی، جلد: مشمعی قهوه ای با مقوا عطف تیماج مشكی، 210گ، 21 سطر (6/5</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 اندازه: 12/5</w:t>
      </w:r>
      <w:r>
        <w:rPr>
          <w:rFonts w:ascii="Times New Roman" w:hAnsi="Times New Roman" w:eastAsia="Times New Roman" w:cs="Times New Roman"/>
          <w:lang w:val="en-US" w:bidi="en-US"/>
          <w:color w:val="111111"/>
          <w:sz w:val="28"/>
          <w:szCs w:val="28"/>
          <w:rtl/>
        </w:rPr>
        <w:t xml:space="preserve">×23/5</w:t>
      </w:r>
      <w:r>
        <w:rPr>
          <w:rFonts w:ascii="IRNazanin" w:hAnsi="IRNazanin" w:eastAsia="IRNazanin" w:cs="IRNazanin"/>
          <w:lang w:bidi="fa-IR"/>
          <w:color w:val="111111"/>
          <w:sz w:val="28"/>
          <w:szCs w:val="28"/>
          <w:rtl/>
        </w:rPr>
        <w:t xml:space="preserve">سم [ف: 29- 430]</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قزوین؛ امام صادق؛ شماره نسخه: 264</w:t>
      </w:r>
    </w:p>
    <w:p>
      <w:pPr>
        <w:pStyle w:val="BookText"/>
      </w:pPr>
      <w:r>
        <w:rPr>
          <w:rFonts w:ascii="IRNazanin" w:hAnsi="IRNazanin" w:eastAsia="IRNazanin" w:cs="IRNazanin"/>
          <w:lang w:bidi="fa-IR"/>
          <w:color w:val="111111"/>
          <w:sz w:val="28"/>
          <w:szCs w:val="28"/>
          <w:rtl/>
        </w:rPr>
        <w:t xml:space="preserve">کامل؛ خط: نسخ، بی کا، تا: قرن 10؛ برگ هایی از اول و آخر نونویسی شده و تاریخ 1271 دارد، محشی، مصحح جلد: تیماج قهوه ای با ترنج و لچکی 260گ، 17 سطر [ف: 1 - 28]</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دامغان؛ صادقیه شماره نسخه: 82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قرن 10؛ مصحح، محشی، در برگ آخر امضای بلاغ بدون نام در 3 رمضان 1071 در بر برگ دوم چند  یادداشت متفرقه به سال 1231   و 1244 ؛تملک: «محمدرضا خدایی»، «ابوالحسن بن ابوالفضل»؛ جلد: تیماج مشکی ضربی، 145گ، 16 سطر ، اندازه: 13</w:t>
      </w:r>
      <w:r>
        <w:rPr>
          <w:rFonts w:ascii="Times New Roman" w:hAnsi="Times New Roman" w:eastAsia="Times New Roman" w:cs="Times New Roman"/>
          <w:lang w:val="en-US" w:bidi="en-US"/>
          <w:color w:val="111111"/>
          <w:sz w:val="28"/>
          <w:szCs w:val="28"/>
          <w:rtl/>
        </w:rPr>
        <w:t xml:space="preserve">× 24</w:t>
      </w:r>
      <w:r>
        <w:rPr>
          <w:rFonts w:ascii="IRNazanin" w:hAnsi="IRNazanin" w:eastAsia="IRNazanin" w:cs="IRNazanin"/>
          <w:lang w:bidi="fa-IR"/>
          <w:color w:val="111111"/>
          <w:sz w:val="28"/>
          <w:szCs w:val="28"/>
          <w:rtl/>
        </w:rPr>
        <w:t xml:space="preserve">سم [ف: - 10]</w:t>
      </w:r>
    </w:p>
    <w:p>
      <w:pPr>
        <w:pStyle w:val="BookText"/>
      </w:pPr>
      <w:r>
        <w:rPr>
          <w:rFonts w:ascii="IRNazanin" w:hAnsi="IRNazanin" w:eastAsia="IRNazanin" w:cs="IRNazanin"/>
          <w:lang w:bidi="fa-IR"/>
          <w:color w:val="111111"/>
          <w:sz w:val="28"/>
          <w:szCs w:val="28"/>
          <w:rtl/>
        </w:rPr>
        <w:t xml:space="preserve">41.تهران؛ ملی؛ شماره نسخه: 2295</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متوسط،بی کا، تا: قرن 10؛ در کرانه پایین گ 97 ر به خامه قرن یازدهم از شهید ثانی (911-966) یاد می کند، دارای حواشی با نشان «معتبر»، «ع ل»، «شرایع»، «من لا يحضر» و «تنقيح»؛ :کاغذ: بغدادی نخودی کلفت :جلد: چرم یک لا قهوه ای ضربی جدول و کلچه های زیر و ،فشاری ،97گ، 24 - 26 سطر (13</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اندازه: 17</w:t>
      </w:r>
      <w:r>
        <w:rPr>
          <w:rFonts w:ascii="Times New Roman" w:hAnsi="Times New Roman" w:eastAsia="Times New Roman" w:cs="Times New Roman"/>
          <w:lang w:val="en-US" w:bidi="en-US"/>
          <w:color w:val="111111"/>
          <w:sz w:val="28"/>
          <w:szCs w:val="28"/>
          <w:rtl/>
        </w:rPr>
        <w:t xml:space="preserve">× 23</w:t>
      </w:r>
      <w:r>
        <w:rPr>
          <w:rFonts w:ascii="IRNazanin" w:hAnsi="IRNazanin" w:eastAsia="IRNazanin" w:cs="IRNazanin"/>
          <w:lang w:bidi="fa-IR"/>
          <w:color w:val="111111"/>
          <w:sz w:val="28"/>
          <w:szCs w:val="28"/>
          <w:rtl/>
        </w:rPr>
        <w:t xml:space="preserve">سم [ف: 11 - 742]</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یزد؛ وزیری؛ شماره نسخه: 1254</w:t>
      </w:r>
    </w:p>
    <w:p>
      <w:pPr>
        <w:pStyle w:val="BookText"/>
      </w:pPr>
      <w:r>
        <w:rPr>
          <w:rFonts w:ascii="IRNazanin" w:hAnsi="IRNazanin" w:eastAsia="IRNazanin" w:cs="IRNazanin"/>
          <w:lang w:bidi="fa-IR"/>
          <w:color w:val="111111"/>
          <w:sz w:val="28"/>
          <w:szCs w:val="28"/>
          <w:rtl/>
        </w:rPr>
        <w:t xml:space="preserve">كامل؛ خط: نسخ، بی کا، تا: قرن 10؛ اهدایی شیخ جلال آیت اللهی؛ کاغذ: اصفهانی ،جلد: مقوایی 210گ، 15 سطر (7</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اندازه: 12</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 [ ف : 13 - 907]</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خوانسار؛ فاضل؛ شماره نسخه: 301</w:t>
      </w:r>
    </w:p>
    <w:p>
      <w:pPr>
        <w:pStyle w:val="BookText"/>
      </w:pPr>
      <w:r>
        <w:rPr>
          <w:rFonts w:ascii="IRNazanin" w:hAnsi="IRNazanin" w:eastAsia="IRNazanin" w:cs="IRNazanin"/>
          <w:lang w:bidi="fa-IR"/>
          <w:color w:val="111111"/>
          <w:sz w:val="28"/>
          <w:szCs w:val="28"/>
          <w:rtl/>
        </w:rPr>
        <w:t xml:space="preserve">خط: نسخ و نستعلیق، بی کا، تا: قرن 10؛ مصحح، دارای حواشی از کتب علامه؛ جلد: تیماج مشکی بدون مقوا، 186گ، مختلف السطر ، اندازه:15/5</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 [ف: 2 - 19]</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اصفهان؛ روضاتی؛ شماره نسخه: 149</w:t>
      </w:r>
    </w:p>
    <w:p>
      <w:pPr>
        <w:pStyle w:val="BookText"/>
      </w:pPr>
      <w:r>
        <w:rPr>
          <w:rFonts w:ascii="Amiri" w:hAnsi="Amiri" w:eastAsia="Amiri" w:cs="Amiri"/>
          <w:lang w:bidi="ar-SA"/>
          <w:color w:val="111111"/>
          <w:sz w:val="28"/>
          <w:szCs w:val="28"/>
          <w:rtl/>
        </w:rPr>
        <w:t xml:space="preserve">آغاز: الحاستين و الجنون و الإغماء والسكر ؛ انجام: المقصد السادس في الشجاج و فى الحارصة و هي التي تقشر الجلد.</w:t>
      </w:r>
    </w:p>
    <w:p>
      <w:pPr>
        <w:pStyle w:val="BookText"/>
      </w:pPr>
      <w:r>
        <w:rPr>
          <w:rFonts w:ascii="IRNazanin" w:hAnsi="IRNazanin" w:eastAsia="IRNazanin" w:cs="IRNazanin"/>
          <w:lang w:bidi="fa-IR"/>
          <w:color w:val="111111"/>
          <w:sz w:val="28"/>
          <w:szCs w:val="28"/>
          <w:rtl/>
        </w:rPr>
        <w:t xml:space="preserve">خط: نسخ، بی کا، تا: قرن 10؛ افتادگی: آغاز و انجام؛ محشی نقل از «ع ل» و دیگران؛ 15 سطر ، اندازه: 12</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- 102]</w:t>
      </w:r>
    </w:p>
    <w:p>
      <w:pPr>
        <w:pStyle w:val="BookText"/>
      </w:pPr>
      <w:r>
        <w:rPr>
          <w:rFonts w:ascii="IRNazanin" w:hAnsi="IRNazanin" w:eastAsia="IRNazanin" w:cs="IRNazanin"/>
          <w:lang w:bidi="fa-IR"/>
          <w:color w:val="111111"/>
          <w:sz w:val="28"/>
          <w:szCs w:val="28"/>
          <w:rtl/>
        </w:rPr>
        <w:t xml:space="preserve">45.. قم؛ زنجانی (آیة الله)؛ شماره نسخه: 47</w:t>
      </w:r>
    </w:p>
    <w:p>
      <w:pPr>
        <w:pStyle w:val="BookText"/>
      </w:pPr>
      <w:r>
        <w:rPr>
          <w:rFonts w:ascii="IRNazanin" w:hAnsi="IRNazanin" w:eastAsia="IRNazanin" w:cs="IRNazanin"/>
          <w:lang w:bidi="fa-IR"/>
          <w:color w:val="111111"/>
          <w:sz w:val="28"/>
          <w:szCs w:val="28"/>
          <w:rtl/>
        </w:rPr>
        <w:t xml:space="preserve">خط: نسخ، بی کا، تا: قرن 10 ؛ افتادگی: انجام (در دیات)؛ دارای حواشی با نشان «منه»، «شیخ جعفر» «شهيد رحمه الله» و «ع ل على الشرايع» قطع وزیری [چند نسخه -ف: - 206]</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اصفهان؛ دانشگاه؛ شماره نسخه: 465</w:t>
      </w:r>
    </w:p>
    <w:p>
      <w:pPr>
        <w:pStyle w:val="BookText"/>
      </w:pPr>
      <w:r>
        <w:rPr>
          <w:rFonts w:ascii="Amiri" w:hAnsi="Amiri" w:eastAsia="Amiri" w:cs="Amiri"/>
          <w:lang w:bidi="ar-SA"/>
          <w:color w:val="111111"/>
          <w:sz w:val="28"/>
          <w:szCs w:val="28"/>
          <w:rtl/>
        </w:rPr>
        <w:t xml:space="preserve">انجام: و في الحاجبين و شعر الرأس و للحية القصاص و ان نبت فالارش خاصة وان خيف ذهاب منفعة البيضة.</w:t>
      </w:r>
    </w:p>
    <w:p>
      <w:pPr>
        <w:pStyle w:val="BookText"/>
      </w:pPr>
      <w:r>
        <w:rPr>
          <w:rFonts w:ascii="IRNazanin" w:hAnsi="IRNazanin" w:eastAsia="IRNazanin" w:cs="IRNazanin"/>
          <w:lang w:bidi="fa-IR"/>
          <w:color w:val="111111"/>
          <w:sz w:val="28"/>
          <w:szCs w:val="28"/>
          <w:rtl/>
        </w:rPr>
        <w:t xml:space="preserve">خط: نسخ، بی کا، تا: قرن 10؛ افتادگی: انجام؛ مصحح، محشی؛ مهر «يا اميرالمؤمنين حیدر »(بیضی)؛ 239گ، 15 سطر ، اندازه: 13</w:t>
      </w:r>
      <w:r>
        <w:rPr>
          <w:rFonts w:ascii="Times New Roman" w:hAnsi="Times New Roman" w:eastAsia="Times New Roman" w:cs="Times New Roman"/>
          <w:lang w:val="en-US" w:bidi="en-US"/>
          <w:color w:val="111111"/>
          <w:sz w:val="28"/>
          <w:szCs w:val="28"/>
          <w:rtl/>
        </w:rPr>
        <w:t xml:space="preserve">× 24</w:t>
      </w:r>
      <w:r>
        <w:rPr>
          <w:rFonts w:ascii="IRNazanin" w:hAnsi="IRNazanin" w:eastAsia="IRNazanin" w:cs="IRNazanin"/>
          <w:lang w:bidi="fa-IR"/>
          <w:color w:val="111111"/>
          <w:sz w:val="28"/>
          <w:szCs w:val="28"/>
          <w:rtl/>
        </w:rPr>
        <w:t xml:space="preserve">سم [ف: 2 - 370]</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قم؛ مرعشی؛ شماره نسخه: 15220</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10؛ ترقیمه در برگ نونویس: «قد فرغت من تسويد هذه في يوم الاحد شهر ربيع الثاني من شهور سنة 1256»، محشی با نشان «ه»، «2»، «فخرالدین» و غیر آن، با نشان «ثلم بلغ سماعاً وفقه الله تعالی» مقابله گردیده، مصحح، مجدول؛ مهر: «افوض امرى الى الله الغنى. ..» (مستطيل)؛ کاغذ:شرقی، جلد: تیماج قهوه ای ضربی با ترنج و سرترنج و لچک، 143گ، 19 سطر (10</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اندازه 24</w:t>
      </w:r>
      <w:r>
        <w:rPr>
          <w:rFonts w:ascii="Times New Roman" w:hAnsi="Times New Roman" w:eastAsia="Times New Roman" w:cs="Times New Roman"/>
          <w:lang w:val="en-US" w:bidi="en-US"/>
          <w:color w:val="111111"/>
          <w:sz w:val="28"/>
          <w:szCs w:val="28"/>
          <w:rtl/>
        </w:rPr>
        <w:t xml:space="preserve">×26</w:t>
      </w:r>
      <w:r>
        <w:rPr>
          <w:rFonts w:ascii="IRNazanin" w:hAnsi="IRNazanin" w:eastAsia="IRNazanin" w:cs="IRNazanin"/>
          <w:lang w:bidi="fa-IR"/>
          <w:color w:val="111111"/>
          <w:sz w:val="28"/>
          <w:szCs w:val="28"/>
          <w:rtl/>
        </w:rPr>
        <w:t xml:space="preserve">سم [ف: 38 - 632]</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تهران الهیات شماره نسخه: 273</w:t>
      </w:r>
    </w:p>
    <w:p>
      <w:pPr>
        <w:pStyle w:val="BookText"/>
      </w:pPr>
      <w:r>
        <w:rPr>
          <w:rFonts w:ascii="IRNazanin" w:hAnsi="IRNazanin" w:eastAsia="IRNazanin" w:cs="IRNazanin"/>
          <w:lang w:bidi="fa-IR"/>
          <w:color w:val="111111"/>
          <w:sz w:val="28"/>
          <w:szCs w:val="28"/>
          <w:rtl/>
        </w:rPr>
        <w:t xml:space="preserve">خط: نستعلیق، بی کا، تا: قرن 9 و 10؛ افتادگی: انجام؛ محشی بانشانه«ع ل،تم كلامه قدس سره تذکره، ذكرى، المهذب، القواعد تحريره، منه» در برگ ار تا 25ر پراکنده هایی است: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طریق رمل ،نخود حرز برای حفظ از شر جن و انس، اقسام اغسال واجبه، تحقیق در ماهیت ،شیاع روایت کل امر ذى بال... شر. درباره آن و وجه تسمیه برخی ازپیغمبران بیانی در اشرفیت رسول از نبی خطبه ،نکاح شرحی درباره «ما اذا ظن النجاسة الثوب» و فهرست کتاب، شرح رموز نام های علماء، اقسام فقه فهرست کتاب بیانی درباره صاع سرگذشت علامه و پراکنده های دیگر ،در پایان نسب شاه اسماعیل صفوی و گواهی سماع نزد علی بن حسین استاد آبادی و صورت خط محمد عبدالعالی (گواهی وقف شمس الدين محمد بن ناصرالدین علی این کتاب )را و بنده ای پراکنده عربی و فارسی بسیار سودمند در 19 برگ نخستین چنانکه یاد شده است پراکنده ها است و آنها است: «سلسله ارشاد حضرت شاه دین پناه» که از برادر علی پادشاه از پدرش سلطان شاه صدر از شیخ جنید از پدر خواجه علی از پدرش سلطان صدرالدین موسی از پدرش سلام شیخ صفی الدین اسحق از شیخ زاهد ابراهیم گیلانی از سید جمال الدین تبریزی (؟) از شهاب الدین اهری از رکن الدین بخاری قطب الدین ابهری از ابی نجیب هروی از وجیه الدین از شیخ احمد از محمد اسوی دینوری از ممشاد دینوری از جنید بغدادی از سری سقطی از معروف کرخی از امام علی رضا گرفته است.و گویند که معروف کرخی از داود طائی از حبیب اعجمی از حسن بصری از علی بن ابی طالب گرفته است. ولی درست نیست زیرا که معروف کرخی کودکی نصرانی بوده و به دست امام اسلام آورده است (نوشته جمال الدین عبدالله گرگانی در پیرام هرات آغاز رجب 919) سپس فهرست ارشاد است به همین خط، با یادداشت هایی به فارسی و عربی درباره همین کتاب آنگاه رموز نام های فقها است، سپس اجازه ابراهیم بن سلمان قطیفی به ملا عبدالمجید و گواهی این که او کتاب الارشاد را نزد من خوانده</w:t>
      </w:r>
    </w:p>
    <w:p>
      <w:pPr>
        <w:pStyle w:val="BookText"/>
      </w:pPr>
      <w:r>
        <w:rPr>
          <w:rFonts w:ascii="IRNazanin" w:hAnsi="IRNazanin" w:eastAsia="IRNazanin" w:cs="IRNazanin"/>
          <w:lang w:bidi="fa-IR"/>
          <w:color w:val="111111"/>
          <w:sz w:val="28"/>
          <w:szCs w:val="28"/>
          <w:rtl/>
        </w:rPr>
        <w:t xml:space="preserve">است، این اجازه را او در پشت نسخه «نظاما عبدالمجيدا» نوشته بود و از خط او نقل شده است، پس از این جا پاسخ هایی است گویا از کرکی به پرسش های فقهی که در پایان یکی از آنها آمده «حرره محمد الحسينی» سپس دنباله اجازه علی بن حسن استرآبادی و گواهی او بر این که سید امیر عبدالحی آن را از آن آغاز تا کتاب الفراق خوانده است و این اجازه از خط او نقل شده و از دعایی که نویسنده می کند بر می آید که مجیز در آن زمان زنده بوده است، پس از این از این آمده که نسخه را الصاحب الاعظم الدستور الاكرم الاعلم نویسانده و بر زایران مشهد کربلا وقف و تولیت پس از خودش و فرزندان خود به خادمان آن مشهد برگزار کرده است ، پس از این نسب شاه اسماعیل آمده تا به موسی کاظم روی کتاب مولانا باقر ملازم حضرت نقابت پناهی جمالا محمد روی خط نقابت پناهی و در پایان آمده «هذا مطابق لكتب الانشاء صحیح حرره جمال الدين بن عبدالله الحسينى الجرجانى اوتیا کتابهما بیمینهما» پس از اینها پراکنده های تاریخی و مذهبی ادبی است و از آنها است شجره نسب سید شمس الدین محمد بن حسن بن علی و صورت وقف نامه ای که محمد بن عبدالعالی کرکی در پشت نسخه مجلد سوم كتاب «المختلف» نوشته و گواهی داده که آن را حاجی شمس الدین محمد بن ناصرالدین علی بر خود او وقف کرده است این صورت وقف نامه به خط شاگرد او است که باید همان جمال الدین گرگانی باشد، سپس یک انشای فارسی است به همین خط و دارای اشعار فارسی و در پایان این یکی :آمده «ما نظمه الحقير على بن طي سائلا الدعاء من سیده مالكه الامير عبدالحی ادیم ظله على المسلمين بمحمد وآله الطاهرين نقلت من ظهر كتاب حضرة المخدوم بالاطلاق»، سپس پاسخ پرسش های فقهی است به عربی گویا از کرکی و گویا ناقص است؛ کاغذ: سمرقندی 277گ 17 سطر (6/5</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،:اندازه: 13</w:t>
      </w:r>
      <w:r>
        <w:rPr>
          <w:rFonts w:ascii="Times New Roman" w:hAnsi="Times New Roman" w:eastAsia="Times New Roman" w:cs="Times New Roman"/>
          <w:lang w:val="en-US" w:bidi="en-US"/>
          <w:color w:val="111111"/>
          <w:sz w:val="28"/>
          <w:szCs w:val="28"/>
          <w:rtl/>
        </w:rPr>
        <w:t xml:space="preserve">×18/5</w:t>
      </w:r>
      <w:r>
        <w:rPr>
          <w:rFonts w:ascii="IRNazanin" w:hAnsi="IRNazanin" w:eastAsia="IRNazanin" w:cs="IRNazanin"/>
          <w:lang w:bidi="fa-IR"/>
          <w:color w:val="111111"/>
          <w:sz w:val="28"/>
          <w:szCs w:val="28"/>
          <w:rtl/>
        </w:rPr>
        <w:t xml:space="preserve">سم [ف - 450]</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تهران؛ ملی؛ شماره نسخه: 2564</w:t>
      </w:r>
    </w:p>
    <w:p>
      <w:pPr>
        <w:pStyle w:val="BookText"/>
      </w:pPr>
      <w:r>
        <w:rPr>
          <w:rFonts w:ascii="IRNazanin" w:hAnsi="IRNazanin" w:eastAsia="IRNazanin" w:cs="IRNazanin"/>
          <w:lang w:bidi="fa-IR"/>
          <w:color w:val="111111"/>
          <w:sz w:val="28"/>
          <w:szCs w:val="28"/>
          <w:rtl/>
        </w:rPr>
        <w:t xml:space="preserve">خط: نسخ، بی کا، تا: قرن 9 و 10؛ افتادگی: انجام؛ مصحح، محشی با نشان «ع -ل» و «ه»، از برگ 205 تا 214 و بخشی از اوراق 16 تا 38 مطالب کتاب در سال 1121 توسط عزیز حسنی ترمیم و بازنویسی شده مهر: «عبده میرزا محمد الحسينى»، «عبد العظيم الحسینی»، «عبده میر ابراهیم»؛ کاغذ: اصفهانی (و فرنگی در اوراق الحاقی و ترمیمی)، جلد: تیماج تریاکی ضربی با ترنج و سرترنج با گل و بوته یک ،لا 214گ، 19 سطر (8</w:t>
      </w:r>
      <w:r>
        <w:rPr>
          <w:rFonts w:ascii="Times New Roman" w:hAnsi="Times New Roman" w:eastAsia="Times New Roman" w:cs="Times New Roman"/>
          <w:lang w:val="en-US" w:bidi="en-US"/>
          <w:color w:val="111111"/>
          <w:sz w:val="28"/>
          <w:szCs w:val="28"/>
          <w:rtl/>
        </w:rPr>
        <w:t xml:space="preserve">×11/5)</w:t>
      </w:r>
      <w:r>
        <w:rPr>
          <w:rFonts w:ascii="IRNazanin" w:hAnsi="IRNazanin" w:eastAsia="IRNazanin" w:cs="IRNazanin"/>
          <w:lang w:bidi="fa-IR"/>
          <w:color w:val="111111"/>
          <w:sz w:val="28"/>
          <w:szCs w:val="28"/>
          <w:rtl/>
        </w:rPr>
        <w:t xml:space="preserve">، اندازه: 11/5</w:t>
      </w:r>
      <w:r>
        <w:rPr>
          <w:rFonts w:ascii="Times New Roman" w:hAnsi="Times New Roman" w:eastAsia="Times New Roman" w:cs="Times New Roman"/>
          <w:lang w:val="en-US" w:bidi="en-US"/>
          <w:color w:val="111111"/>
          <w:sz w:val="28"/>
          <w:szCs w:val="28"/>
          <w:rtl/>
        </w:rPr>
        <w:t xml:space="preserve">×17/5</w:t>
      </w:r>
      <w:r>
        <w:rPr>
          <w:rFonts w:ascii="IRNazanin" w:hAnsi="IRNazanin" w:eastAsia="IRNazanin" w:cs="IRNazanin"/>
          <w:lang w:bidi="fa-IR"/>
          <w:color w:val="111111"/>
          <w:sz w:val="28"/>
          <w:szCs w:val="28"/>
          <w:rtl/>
        </w:rPr>
        <w:t xml:space="preserve">سم [ف: 12 - 486]</w:t>
      </w:r>
    </w:p>
    <w:p>
      <w:pPr>
        <w:pStyle w:val="BookText"/>
      </w:pPr>
      <w:r>
        <w:rPr>
          <w:rFonts w:ascii="IRNazanin" w:hAnsi="IRNazanin" w:eastAsia="IRNazanin" w:cs="IRNazanin"/>
          <w:lang w:bidi="fa-IR"/>
          <w:color w:val="111111"/>
          <w:sz w:val="28"/>
          <w:szCs w:val="28"/>
          <w:rtl/>
        </w:rPr>
        <w:t xml:space="preserve">50.مشهد؛ نواب؛ شماره نسخه: 349</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خوش، بی کا، تا: قرن 10؛ مصحح، محشی تاریخ تولد مورخ 1035ق دارای یک سرلوح به شیوه مکتب هرات، مجدول؛ تملک: محمد جعفر بن اسحاق رضوی خادم از اولاد موسى المبرقع، با مهر او «محمد جعفر بن اسحاق الرضوى الخادم» (بيضى)؛ واقف: حاجیه ،فصیحه، 10 جمادی الاول 1120ق؛ کاغذ نوعی ،ترمه جلد: تیماج سرخ ضربی، 239گ، 16 سطر (7</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اندازه: 15</w:t>
      </w:r>
      <w:r>
        <w:rPr>
          <w:rFonts w:ascii="Times New Roman" w:hAnsi="Times New Roman" w:eastAsia="Times New Roman" w:cs="Times New Roman"/>
          <w:lang w:val="en-US" w:bidi="en-US"/>
          <w:color w:val="111111"/>
          <w:sz w:val="28"/>
          <w:szCs w:val="28"/>
          <w:rtl/>
        </w:rPr>
        <w:t xml:space="preserve">×25/5</w:t>
      </w:r>
      <w:r>
        <w:rPr>
          <w:rFonts w:ascii="IRNazanin" w:hAnsi="IRNazanin" w:eastAsia="IRNazanin" w:cs="IRNazanin"/>
          <w:lang w:bidi="fa-IR"/>
          <w:color w:val="111111"/>
          <w:sz w:val="28"/>
          <w:szCs w:val="28"/>
          <w:rtl/>
        </w:rPr>
        <w:t xml:space="preserve">سم [ف: 349]</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مشهد؛ گوهر شاد؛ شماره نسخه: 1614</w:t>
      </w:r>
    </w:p>
    <w:p>
      <w:pPr>
        <w:pStyle w:val="BookText"/>
      </w:pPr>
      <w:r>
        <w:rPr>
          <w:rFonts w:ascii="IRNazanin" w:hAnsi="IRNazanin" w:eastAsia="IRNazanin" w:cs="IRNazanin"/>
          <w:lang w:bidi="fa-IR"/>
          <w:color w:val="111111"/>
          <w:sz w:val="28"/>
          <w:szCs w:val="28"/>
          <w:rtl/>
        </w:rPr>
        <w:t xml:space="preserve">آغاز و انجام : برابر</w:t>
      </w:r>
    </w:p>
    <w:p>
      <w:pPr>
        <w:pStyle w:val="BookText"/>
      </w:pPr>
      <w:r>
        <w:rPr>
          <w:rFonts w:ascii="IRNazanin" w:hAnsi="IRNazanin" w:eastAsia="IRNazanin" w:cs="IRNazanin"/>
          <w:lang w:bidi="fa-IR"/>
          <w:color w:val="111111"/>
          <w:sz w:val="28"/>
          <w:szCs w:val="28"/>
          <w:rtl/>
        </w:rPr>
        <w:t xml:space="preserve">خط: نسخ خوش، بی کا، تا: قرن 10؛ محشی دارای چندین بلاغ متعلق به یکی از علما و احتمالاً شیخ بهائی از ابتدا 4 برگ و از انتها یک برگ نونویس؛ واقف: سید سعید طباطبایی، 1332؛ کاغذ: حنایی آهار مهره :جلد: میشن ،مشکی، 212گ، 17 سطر ، قطع ربعی اندازه: 13</w:t>
      </w:r>
      <w:r>
        <w:rPr>
          <w:rFonts w:ascii="Times New Roman" w:hAnsi="Times New Roman" w:eastAsia="Times New Roman" w:cs="Times New Roman"/>
          <w:lang w:val="en-US" w:bidi="en-US"/>
          <w:color w:val="111111"/>
          <w:sz w:val="28"/>
          <w:szCs w:val="28"/>
          <w:rtl/>
        </w:rPr>
        <w:t xml:space="preserve">×19/5</w:t>
      </w:r>
      <w:r>
        <w:rPr>
          <w:rFonts w:ascii="IRNazanin" w:hAnsi="IRNazanin" w:eastAsia="IRNazanin" w:cs="IRNazanin"/>
          <w:lang w:bidi="fa-IR"/>
          <w:color w:val="111111"/>
          <w:sz w:val="28"/>
          <w:szCs w:val="28"/>
          <w:rtl/>
        </w:rPr>
        <w:t xml:space="preserve">سم [ف: 5 - 23]</w:t>
      </w:r>
    </w:p>
    <w:p>
      <w:pPr>
        <w:pStyle w:val="BookText"/>
      </w:pPr>
      <w:r>
        <w:rPr>
          <w:rFonts w:ascii="IRNazanin" w:hAnsi="IRNazanin" w:eastAsia="IRNazanin" w:cs="IRNazanin"/>
          <w:lang w:bidi="fa-IR"/>
          <w:color w:val="111111"/>
          <w:sz w:val="28"/>
          <w:szCs w:val="28"/>
          <w:rtl/>
        </w:rPr>
        <w:t xml:space="preserve">52.شیراز؛ علامه طباطبائی؛ شماره نسخه: 281</w:t>
      </w:r>
    </w:p>
    <w:p>
      <w:pPr>
        <w:pStyle w:val="BookText"/>
      </w:pPr>
      <w:r>
        <w:rPr>
          <w:rFonts w:ascii="IRNazanin" w:hAnsi="IRNazanin" w:eastAsia="IRNazanin" w:cs="IRNazanin"/>
          <w:lang w:bidi="fa-IR"/>
          <w:color w:val="111111"/>
          <w:sz w:val="28"/>
          <w:szCs w:val="28"/>
          <w:rtl/>
        </w:rPr>
        <w:t xml:space="preserve">خط: نستعلیق، بی کا، تا: قرن 10 مصحح، محشی اندازه: 18</w:t>
      </w:r>
      <w:r>
        <w:rPr>
          <w:rFonts w:ascii="Times New Roman" w:hAnsi="Times New Roman" w:eastAsia="Times New Roman" w:cs="Times New Roman"/>
          <w:lang w:val="en-US" w:bidi="en-US"/>
          <w:color w:val="111111"/>
          <w:sz w:val="28"/>
          <w:szCs w:val="28"/>
          <w:rtl/>
        </w:rPr>
        <w:t xml:space="preserve">×25</w:t>
      </w:r>
      <w:r>
        <w:rPr>
          <w:rFonts w:ascii="IRNazanin" w:hAnsi="IRNazanin" w:eastAsia="IRNazanin" w:cs="IRNazanin"/>
          <w:lang w:bidi="fa-IR"/>
          <w:color w:val="111111"/>
          <w:sz w:val="28"/>
          <w:szCs w:val="28"/>
          <w:rtl/>
        </w:rPr>
        <w:t xml:space="preserve">سم [نسخه پژوهی: 2 - 111]</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تهران؛ مجلس؛ شماره نسخه: 11412/1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قبل از 903ق؛ افتادگی: انجام؛ محشی؛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تملک صفی الدین طریحی نجفی با مهر «صفی الدین طریح 1079 »،(بیضی) فخر الدين بن محمد علی طریح مسلمی نجفی مهر «عبده فخرالدین 1054» (مدور) مجدالدین طریح با مهر «عبده مجدالدین طریح» (بیضی)، محب الدين طريح؛ جلد: مقوا 220 گ، 15 سطر ،اندازه: 16</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33/2 - 117]</w:t>
      </w:r>
    </w:p>
    <w:p>
      <w:pPr>
        <w:pStyle w:val="BookText"/>
      </w:pPr>
      <w:r>
        <w:rPr>
          <w:rFonts w:ascii="IRNazanin" w:hAnsi="IRNazanin" w:eastAsia="IRNazanin" w:cs="IRNazanin"/>
          <w:lang w:bidi="fa-IR"/>
          <w:color w:val="111111"/>
          <w:sz w:val="28"/>
          <w:szCs w:val="28"/>
          <w:rtl/>
        </w:rPr>
        <w:t xml:space="preserve">54 . تهران؛ مجلس؛ شماره نسخه: 9679</w:t>
      </w:r>
    </w:p>
    <w:p>
      <w:pPr>
        <w:pStyle w:val="BookText"/>
      </w:pPr>
      <w:r>
        <w:rPr>
          <w:rFonts w:ascii="IRNazanin" w:hAnsi="IRNazanin" w:eastAsia="IRNazanin" w:cs="IRNazanin"/>
          <w:lang w:bidi="fa-IR"/>
          <w:color w:val="111111"/>
          <w:sz w:val="28"/>
          <w:szCs w:val="28"/>
          <w:rtl/>
        </w:rPr>
        <w:t xml:space="preserve">خط: نسخ، بی کا، تا: پنج شنبه سلخ جمادی الاول 904 ق؛ برگ های ابتدای نسخه نونویس است، بلاغ قرائت به خط شه بهایی در آخر نسخه آمده «هو الله تعالى بلغ قرائة من البداية النهاية تحقيقا و تدقیقا ایده الله تعالى و وفقه لارتقاء مدارج الكمال و هو عزالدين السيد حسين بن السيد حيدر الكركي العاملي فی سنة 1020 العشرين بعد الالف كتبه بيده الانية محمد المشتهر ببهاء الدين العاملي عفی عنه، محشی با نشان «ع ل» و «شرح لمعه» زین الدین، در آخر نسخه چند برگ از انتهای کتابی است در خاتمه اش خطبة المتقين را آورده به خط ابونصر بن ابوسعید شریف در دهه اول ربیع الاول 951، تملک: فضل الله زنجانی 1345؛ جلد: تیماج قهوه ای با ترنج و سرترنج، 245گ، 15 سطر اندازه: 14</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31 - 48]</w:t>
      </w:r>
    </w:p>
    <w:p>
      <w:pPr>
        <w:pStyle w:val="BookText"/>
      </w:pPr>
      <w:r>
        <w:rPr>
          <w:rFonts w:ascii="IRNazanin" w:hAnsi="IRNazanin" w:eastAsia="IRNazanin" w:cs="IRNazanin"/>
          <w:lang w:bidi="fa-IR"/>
          <w:color w:val="111111"/>
          <w:sz w:val="28"/>
          <w:szCs w:val="28"/>
          <w:rtl/>
        </w:rPr>
        <w:t xml:space="preserve">55 . قم؛ مرکز احیاء؛ شماره نسخه: 3124</w:t>
      </w:r>
    </w:p>
    <w:p>
      <w:pPr>
        <w:pStyle w:val="BookText"/>
      </w:pPr>
      <w:r>
        <w:rPr>
          <w:rFonts w:ascii="IRNazanin" w:hAnsi="IRNazanin" w:eastAsia="IRNazanin" w:cs="IRNazanin"/>
          <w:lang w:bidi="fa-IR"/>
          <w:color w:val="111111"/>
          <w:sz w:val="28"/>
          <w:szCs w:val="28"/>
          <w:rtl/>
        </w:rPr>
        <w:t xml:space="preserve">خط: نسخ، کا، يوسف بن محمد خلخالی تا 23 ربیع الاول ،مصحح ،محشی وقف نامه کتاب به سال 1096؛ جلد: تیماج مشکی، 251گ، 15 سطر ، اندازه 12</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[محدث ارموی مخ: 1 - 110]</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یزد؛ سریزدی؛ شماره نسخه: 266</w:t>
      </w:r>
    </w:p>
    <w:p>
      <w:pPr>
        <w:pStyle w:val="BookText"/>
      </w:pPr>
      <w:r>
        <w:rPr>
          <w:rFonts w:ascii="IRNazanin" w:hAnsi="IRNazanin" w:eastAsia="IRNazanin" w:cs="IRNazanin"/>
          <w:lang w:bidi="fa-IR"/>
          <w:color w:val="111111"/>
          <w:sz w:val="28"/>
          <w:szCs w:val="28"/>
          <w:rtl/>
        </w:rPr>
        <w:t xml:space="preserve">خط: نسخ، کا: عبدالغفار بن نظام الدین سابق، تا: 10 صفر 908ق(پایان جزء اول) و 20 ربیع الثانی 908 (پایان کتاب) جا: مدرسه خاتونیه دمشق (پایان جزء اول) و بلاد جبل عامل در روستای عیناثه در خدمت استادش شیخ احمد بن محمد بن خاتون (پایان کتاب)؛ مصحح، محشی، در بر محشی، در برگ پایانی جزء اول و برگ پایانی کتاب انهائی از شیخ احمد بن محمد بن خاتون عینائی جهت کاتب در روز جمعه 6 شعبان ،908 روی برگ اول فائده ای فقهی و یادداشتی رجالی؛ تملک: احمد بن محمد بن احمد مشهور ابن خاتون عاملی مکی؛ جلد: پارچه ای خاکستری عطف گوشه ها تیماج مشکی 241گ، 16 سطر ، اندازه: 16</w:t>
      </w:r>
      <w:r>
        <w:rPr>
          <w:rFonts w:ascii="Times New Roman" w:hAnsi="Times New Roman" w:eastAsia="Times New Roman" w:cs="Times New Roman"/>
          <w:lang w:val="en-US" w:bidi="en-US"/>
          <w:color w:val="111111"/>
          <w:sz w:val="28"/>
          <w:szCs w:val="28"/>
          <w:rtl/>
        </w:rPr>
        <w:t xml:space="preserve">×25</w:t>
      </w:r>
      <w:r>
        <w:rPr>
          <w:rFonts w:ascii="IRNazanin" w:hAnsi="IRNazanin" w:eastAsia="IRNazanin" w:cs="IRNazanin"/>
          <w:lang w:bidi="fa-IR"/>
          <w:color w:val="111111"/>
          <w:sz w:val="28"/>
          <w:szCs w:val="28"/>
          <w:rtl/>
        </w:rPr>
        <w:t xml:space="preserve">سم [ ف: 1- 211]</w:t>
      </w:r>
    </w:p>
    <w:p>
      <w:pPr>
        <w:pStyle w:val="BookText"/>
      </w:pPr>
      <w:r>
        <w:rPr>
          <w:rFonts w:ascii="IRNazanin" w:hAnsi="IRNazanin" w:eastAsia="IRNazanin" w:cs="IRNazanin"/>
          <w:lang w:bidi="fa-IR"/>
          <w:color w:val="111111"/>
          <w:sz w:val="28"/>
          <w:szCs w:val="28"/>
          <w:rtl/>
        </w:rPr>
        <w:t xml:space="preserve">57 مشهد؛ الهیات؛ شماره نسخه: 471/1</w:t>
      </w:r>
    </w:p>
    <w:p>
      <w:pPr>
        <w:pStyle w:val="BookText"/>
      </w:pPr>
      <w:r>
        <w:rPr>
          <w:rFonts w:ascii="IRNazanin" w:hAnsi="IRNazanin" w:eastAsia="IRNazanin" w:cs="IRNazanin"/>
          <w:lang w:bidi="fa-IR"/>
          <w:color w:val="111111"/>
          <w:sz w:val="28"/>
          <w:szCs w:val="28"/>
          <w:rtl/>
        </w:rPr>
        <w:t xml:space="preserve">خط: نسخ، کا: نعمت الله، تا: 913ق؛ مصحح، ، مقابله شده؛ 14 سطر (8</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ف: 1 - 296]</w:t>
      </w:r>
    </w:p>
    <w:p>
      <w:pPr>
        <w:pStyle w:val="BookText"/>
      </w:pPr>
      <w:r>
        <w:rPr>
          <w:rFonts w:ascii="IRNazanin" w:hAnsi="IRNazanin" w:eastAsia="IRNazanin" w:cs="IRNazanin"/>
          <w:lang w:bidi="fa-IR"/>
          <w:color w:val="111111"/>
          <w:sz w:val="28"/>
          <w:szCs w:val="28"/>
          <w:rtl/>
        </w:rPr>
        <w:t xml:space="preserve">58 قزوین؛ امام صادق؛ شماره نسخه: 124</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فاضل بن بحربن فیاض اسدی، تا: چهارشنبه 5 ربیع الاول 913 ق؛ محشی؛ جلد: تیماج قهوه ای با ترنج بزرگ و گل باسر 250گ، 19 سطر [ف: 1 - 27]</w:t>
      </w:r>
    </w:p>
    <w:p>
      <w:pPr>
        <w:pStyle w:val="BookText"/>
      </w:pPr>
      <w:r>
        <w:rPr>
          <w:rFonts w:ascii="IRNazanin" w:hAnsi="IRNazanin" w:eastAsia="IRNazanin" w:cs="IRNazanin"/>
          <w:lang w:bidi="fa-IR"/>
          <w:color w:val="111111"/>
          <w:sz w:val="28"/>
          <w:szCs w:val="28"/>
          <w:rtl/>
        </w:rPr>
        <w:t xml:space="preserve">59.مشهد؛ رضوی؛ شماره نسخه: 2692</w:t>
      </w:r>
    </w:p>
    <w:p>
      <w:pPr>
        <w:pStyle w:val="BookText"/>
      </w:pPr>
      <w:r>
        <w:rPr>
          <w:rFonts w:ascii="IRNazanin" w:hAnsi="IRNazanin" w:eastAsia="IRNazanin" w:cs="IRNazanin"/>
          <w:lang w:bidi="fa-IR"/>
          <w:color w:val="111111"/>
          <w:sz w:val="28"/>
          <w:szCs w:val="28"/>
          <w:rtl/>
        </w:rPr>
        <w:t xml:space="preserve">آغاز: بالاهم فالاهم کتاب الطهارة؛ انجام: برابر</w:t>
      </w:r>
    </w:p>
    <w:p>
      <w:pPr>
        <w:pStyle w:val="BookText"/>
      </w:pPr>
      <w:r>
        <w:rPr>
          <w:rFonts w:ascii="IRNazanin" w:hAnsi="IRNazanin" w:eastAsia="IRNazanin" w:cs="IRNazanin"/>
          <w:lang w:bidi="fa-IR"/>
          <w:color w:val="111111"/>
          <w:sz w:val="28"/>
          <w:szCs w:val="28"/>
          <w:rtl/>
        </w:rPr>
        <w:t xml:space="preserve">خط: نسخ شکسته، کا: ادريس بن اسرایل (كذا) بن ميكابل حاجى اسماعلی، تا: سه شنبه 19 جمادی الاول 915ق؛ افتادگی آغاز (برگ اول)؛ محشی، مصحح؛ واقف شجیعی، فروردین 1315؛ کاغذ: نخودی، جلد: تیماج ،عنابی، 186گ، 21 سطر ، اندازه: 17</w:t>
      </w:r>
      <w:r>
        <w:rPr>
          <w:rFonts w:ascii="Times New Roman" w:hAnsi="Times New Roman" w:eastAsia="Times New Roman" w:cs="Times New Roman"/>
          <w:lang w:val="en-US" w:bidi="en-US"/>
          <w:color w:val="111111"/>
          <w:sz w:val="28"/>
          <w:szCs w:val="28"/>
          <w:rtl/>
        </w:rPr>
        <w:t xml:space="preserve">×25</w:t>
      </w:r>
      <w:r>
        <w:rPr>
          <w:rFonts w:ascii="IRNazanin" w:hAnsi="IRNazanin" w:eastAsia="IRNazanin" w:cs="IRNazanin"/>
          <w:lang w:bidi="fa-IR"/>
          <w:color w:val="111111"/>
          <w:sz w:val="28"/>
          <w:szCs w:val="28"/>
          <w:rtl/>
        </w:rPr>
        <w:t xml:space="preserve">سم [ف: 5 - 375]</w:t>
      </w:r>
    </w:p>
    <w:p>
      <w:pPr>
        <w:pStyle w:val="BookText"/>
      </w:pPr>
      <w:r>
        <w:rPr>
          <w:rFonts w:ascii="IRNazanin" w:hAnsi="IRNazanin" w:eastAsia="IRNazanin" w:cs="IRNazanin"/>
          <w:lang w:bidi="fa-IR"/>
          <w:color w:val="111111"/>
          <w:sz w:val="28"/>
          <w:szCs w:val="28"/>
          <w:rtl/>
        </w:rPr>
        <w:t xml:space="preserve">60 . مشهد؛ رضوی؛ شماره نسخه: 12857</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جمادی الثانی 917ق؛ محشی، مصحح؛ واقف: حسین کی استوان، 1348؛ کاغذ: حنایی، جلد: تیماج ،مشکی، 138گ 19 سطر ، اندازه: 15/5</w:t>
      </w:r>
      <w:r>
        <w:rPr>
          <w:rFonts w:ascii="Times New Roman" w:hAnsi="Times New Roman" w:eastAsia="Times New Roman" w:cs="Times New Roman"/>
          <w:lang w:val="en-US" w:bidi="en-US"/>
          <w:color w:val="111111"/>
          <w:sz w:val="28"/>
          <w:szCs w:val="28"/>
          <w:rtl/>
        </w:rPr>
        <w:t xml:space="preserve">× 23</w:t>
      </w:r>
      <w:r>
        <w:rPr>
          <w:rFonts w:ascii="IRNazanin" w:hAnsi="IRNazanin" w:eastAsia="IRNazanin" w:cs="IRNazanin"/>
          <w:lang w:bidi="fa-IR"/>
          <w:color w:val="111111"/>
          <w:sz w:val="28"/>
          <w:szCs w:val="28"/>
          <w:rtl/>
        </w:rPr>
        <w:t xml:space="preserve">سم [ف: 21/1 - 70]</w:t>
      </w:r>
    </w:p>
    <w:p>
      <w:pPr>
        <w:pStyle w:val="BookText"/>
      </w:pPr>
      <w:r>
        <w:rPr>
          <w:rFonts w:ascii="IRNazanin" w:hAnsi="IRNazanin" w:eastAsia="IRNazanin" w:cs="IRNazanin"/>
          <w:lang w:bidi="fa-IR"/>
          <w:color w:val="111111"/>
          <w:sz w:val="28"/>
          <w:szCs w:val="28"/>
          <w:rtl/>
        </w:rPr>
        <w:t xml:space="preserve">61.مشهد؛ رضوی؛ شماره نسخه: 20849</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 نسخ، كا: محمد بن علی ،جزری تا: چهارشنبه 24 ذیقعده 918ق؛ ظهر ورق اول حدیث نبوی در باب طینت مومن و نام کتاب و تاریخ تأليف 696ق و قبل از آن عمر شریف 14 معصوم (علیه السّلام) تاریخ شهادت و قاتلان ایشان اهدایی رهبری بهمن 1383؛ کاغذ: نخودی، جلد: تیماج فرنگی بنفش، 147گ، 19 سطر :اندازه: 16</w:t>
      </w:r>
      <w:r>
        <w:rPr>
          <w:rFonts w:ascii="Times New Roman" w:hAnsi="Times New Roman" w:eastAsia="Times New Roman" w:cs="Times New Roman"/>
          <w:lang w:val="en-US" w:bidi="en-US"/>
          <w:color w:val="111111"/>
          <w:sz w:val="28"/>
          <w:szCs w:val="28"/>
          <w:rtl/>
        </w:rPr>
        <w:t xml:space="preserve">×24/5</w:t>
      </w:r>
      <w:r>
        <w:rPr>
          <w:rFonts w:ascii="IRNazanin" w:hAnsi="IRNazanin" w:eastAsia="IRNazanin" w:cs="IRNazanin"/>
          <w:lang w:bidi="fa-IR"/>
          <w:color w:val="111111"/>
          <w:sz w:val="28"/>
          <w:szCs w:val="28"/>
          <w:rtl/>
        </w:rPr>
        <w:t xml:space="preserve">سم [اهدائی - ف: 3 - 49]</w:t>
      </w:r>
    </w:p>
    <w:p>
      <w:pPr>
        <w:pStyle w:val="BookText"/>
      </w:pPr>
      <w:r>
        <w:rPr>
          <w:rFonts w:ascii="IRNazanin" w:hAnsi="IRNazanin" w:eastAsia="IRNazanin" w:cs="IRNazanin"/>
          <w:lang w:bidi="fa-IR"/>
          <w:color w:val="111111"/>
          <w:sz w:val="28"/>
          <w:szCs w:val="28"/>
          <w:rtl/>
        </w:rPr>
        <w:t xml:space="preserve">62 . قم؛ مرعشی؛ شماره نسخه: 9127</w:t>
      </w:r>
    </w:p>
    <w:p>
      <w:pPr>
        <w:pStyle w:val="BookText"/>
      </w:pPr>
      <w:r>
        <w:rPr>
          <w:rFonts w:ascii="IRNazanin" w:hAnsi="IRNazanin" w:eastAsia="IRNazanin" w:cs="IRNazanin"/>
          <w:lang w:bidi="fa-IR"/>
          <w:color w:val="111111"/>
          <w:sz w:val="28"/>
          <w:szCs w:val="28"/>
          <w:rtl/>
        </w:rPr>
        <w:t xml:space="preserve">خط : نسخ، كا: عبدالله بن رضى الدين بن الحسین خطیری، تا: جمعه 1 رمضان 919ق؛ محشی، روی برگی قبل از کتاب وقف نامه آن به خط عبدالوهاب الغریمی به تاریخ 14 ذیقعده 1315 ؛جلد: تیماج ،قرمز، 186گ 18 سطر ، اندازه: 12/5</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سم [ف: 23 - 264]</w:t>
      </w:r>
    </w:p>
    <w:p>
      <w:pPr>
        <w:pStyle w:val="BookText"/>
      </w:pPr>
      <w:r>
        <w:rPr>
          <w:rFonts w:ascii="IRNazanin" w:hAnsi="IRNazanin" w:eastAsia="IRNazanin" w:cs="IRNazanin"/>
          <w:lang w:bidi="fa-IR"/>
          <w:color w:val="111111"/>
          <w:sz w:val="28"/>
          <w:szCs w:val="28"/>
          <w:rtl/>
        </w:rPr>
        <w:t xml:space="preserve">63 . مشهد؛ مدرسه باقریه؛ شماره نسخه: 1</w:t>
      </w:r>
    </w:p>
    <w:p>
      <w:pPr>
        <w:pStyle w:val="BookText"/>
      </w:pPr>
      <w:r>
        <w:rPr>
          <w:rFonts w:ascii="IRNazanin" w:hAnsi="IRNazanin" w:eastAsia="IRNazanin" w:cs="IRNazanin"/>
          <w:lang w:bidi="fa-IR"/>
          <w:color w:val="111111"/>
          <w:sz w:val="28"/>
          <w:szCs w:val="28"/>
          <w:rtl/>
        </w:rPr>
        <w:t xml:space="preserve">خط: نسخ، کا: علی بن عبدالعال، تا: 919ق؛ افتادگی: آغاز؛ مصحح و قرائت شده در سال 919 ،در آخر ملاحظاتی در دو صفحه درباره کتاب به خط علی بن عبد العال در همان تاریخ، محشی با نشان «ع ل »؛ کاغذ: دولت آبادی، 23 سطر ، قطع: مصری اندازه:11</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 [ تراثنا س6ش 1 - 68]</w:t>
      </w:r>
    </w:p>
    <w:p>
      <w:pPr>
        <w:pStyle w:val="BookText"/>
      </w:pPr>
      <w:r>
        <w:rPr>
          <w:rFonts w:ascii="IRNazanin" w:hAnsi="IRNazanin" w:eastAsia="IRNazanin" w:cs="IRNazanin"/>
          <w:lang w:bidi="fa-IR"/>
          <w:color w:val="111111"/>
          <w:sz w:val="28"/>
          <w:szCs w:val="28"/>
          <w:rtl/>
        </w:rPr>
        <w:t xml:space="preserve">64.تهران؛ ملی؛ شماره نسخه: 845</w:t>
      </w:r>
    </w:p>
    <w:p>
      <w:pPr>
        <w:pStyle w:val="BookText"/>
      </w:pPr>
      <w:r>
        <w:rPr>
          <w:rFonts w:ascii="Amiri" w:hAnsi="Amiri" w:eastAsia="Amiri" w:cs="Amiri"/>
          <w:lang w:bidi="ar-SA"/>
          <w:color w:val="111111"/>
          <w:sz w:val="28"/>
          <w:szCs w:val="28"/>
          <w:rtl/>
        </w:rPr>
        <w:t xml:space="preserve">آغاز: برابر؛ انجام: اكرهه على الحكم بمذهب اهل الخلاف جاز الافى القتل</w:t>
      </w:r>
    </w:p>
    <w:p>
      <w:pPr>
        <w:pStyle w:val="BookText"/>
      </w:pPr>
      <w:r>
        <w:rPr>
          <w:rFonts w:ascii="IRNazanin" w:hAnsi="IRNazanin" w:eastAsia="IRNazanin" w:cs="IRNazanin"/>
          <w:lang w:bidi="fa-IR"/>
          <w:color w:val="111111"/>
          <w:sz w:val="28"/>
          <w:szCs w:val="28"/>
          <w:rtl/>
        </w:rPr>
        <w:t xml:space="preserve">خط: نسخ، کا: عبدالحی بن قاضی محمد، تا: 923ق؛ کاغذ: اصفهانی، جلد: تیماج تریاکی مقوایی ترنج دار حاشیه منگنه، 48گ، 18 سطر (7</w:t>
      </w:r>
      <w:r>
        <w:rPr>
          <w:rFonts w:ascii="Times New Roman" w:hAnsi="Times New Roman" w:eastAsia="Times New Roman" w:cs="Times New Roman"/>
          <w:lang w:val="en-US" w:bidi="en-US"/>
          <w:color w:val="111111"/>
          <w:sz w:val="28"/>
          <w:szCs w:val="28"/>
          <w:rtl/>
        </w:rPr>
        <w:t xml:space="preserve">×13/5)</w:t>
      </w:r>
      <w:r>
        <w:rPr>
          <w:rFonts w:ascii="IRNazanin" w:hAnsi="IRNazanin" w:eastAsia="IRNazanin" w:cs="IRNazanin"/>
          <w:lang w:bidi="fa-IR"/>
          <w:color w:val="111111"/>
          <w:sz w:val="28"/>
          <w:szCs w:val="28"/>
          <w:rtl/>
        </w:rPr>
        <w:t xml:space="preserve">، اندازه: 113</w:t>
      </w:r>
      <w:r>
        <w:rPr>
          <w:rFonts w:ascii="Times New Roman" w:hAnsi="Times New Roman" w:eastAsia="Times New Roman" w:cs="Times New Roman"/>
          <w:lang w:val="en-US" w:bidi="en-US"/>
          <w:color w:val="111111"/>
          <w:sz w:val="28"/>
          <w:szCs w:val="28"/>
          <w:rtl/>
        </w:rPr>
        <w:t xml:space="preserve">×20/5</w:t>
      </w:r>
      <w:r>
        <w:rPr>
          <w:rFonts w:ascii="IRNazanin" w:hAnsi="IRNazanin" w:eastAsia="IRNazanin" w:cs="IRNazanin"/>
          <w:lang w:bidi="fa-IR"/>
          <w:color w:val="111111"/>
          <w:sz w:val="28"/>
          <w:szCs w:val="28"/>
          <w:rtl/>
        </w:rPr>
        <w:t xml:space="preserve">سم [ف: 8 - 348]</w:t>
      </w:r>
    </w:p>
    <w:p>
      <w:pPr>
        <w:pStyle w:val="BookText"/>
      </w:pPr>
      <w:r>
        <w:rPr>
          <w:rFonts w:ascii="IRNazanin" w:hAnsi="IRNazanin" w:eastAsia="IRNazanin" w:cs="IRNazanin"/>
          <w:lang w:bidi="fa-IR"/>
          <w:color w:val="111111"/>
          <w:sz w:val="28"/>
          <w:szCs w:val="28"/>
          <w:rtl/>
        </w:rPr>
        <w:t xml:space="preserve">65.تهران؛ ملی؛ شماره نسخه: 2540</w:t>
      </w:r>
    </w:p>
    <w:p>
      <w:pPr>
        <w:pStyle w:val="BookText"/>
      </w:pPr>
      <w:r>
        <w:rPr>
          <w:rFonts w:ascii="IRNazanin" w:hAnsi="IRNazanin" w:eastAsia="IRNazanin" w:cs="IRNazanin"/>
          <w:lang w:bidi="fa-IR"/>
          <w:color w:val="111111"/>
          <w:sz w:val="28"/>
          <w:szCs w:val="28"/>
          <w:rtl/>
        </w:rPr>
        <w:t xml:space="preserve">خط: نسخ و نستعلیق، كا: عطاء الله، تا: 924ق، جا: مشهد مقدس؛ در 5 برگ ابتدای نسخه مطالبی در ارتباط با مباحث کتاب به نقل از «ارشاد» و «تذکره» و رساله «اوصافالاشراف» شیخ طوسی و «تهذیب» در حاشیه برگ 6 مطلبی توسط علاء الدين محمد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طبیب مبنی بر تعلق داشتن نسخه به فرزندش نوشته شده همرا مهر «عبده علاء الدین محمد الطبيب در پشت برگ 258مطلبی در جبر و اختیار به نقل از رساله شیخ طوسی و مطلبی در عقد بیع نقل از کتاب ارشاد در پشت برگ 261 حدیث قدسی دعایی به نقل از «مکارم اخلاق» به هنگام خرید اجناس محشی ظاهراً از علی بن عبد العادل يا عبد الغالب، همچنان که در برگ نسخه نوشته شده پس از ملاقات ایشان با محمد بن ابوطالب استر آبادی در بسیاری از مسائل شرعیه و مباحث دينيه مذاکره نموده و در جلساتی کتاب «ارشاد الاذهان» را قرائت کرده که ضمن قرائت و بحث بسیاری از مباحث تنقیح و نکته هایی دیر تبیین شده و سپس ایشان نکته ها و مطالب بیان شده در مذاکر فوائد دیگری که از حواشی و کتابها و رساله ها یافته در سال 925 در حواشی نسخه حاضر نوشته شده است؛ مهر «ابوجعفر» «يا محسن اغفر بمحمد نصیر الدین سلیمان علم الهدی»، «سليمان» ؛کاغذ: اصفهانی حنایی ،جلد: تیماج تریاکی روشن دارای ترنج سرترنج و لچکی با گل و بوته ضربی مقوایی تیماج عطف روکش پارچه ای 262گ، 15 سطر (7</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اندازه: 14/5</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ف: 12 - 433]</w:t>
      </w:r>
    </w:p>
    <w:p>
      <w:pPr>
        <w:pStyle w:val="BookText"/>
      </w:pPr>
      <w:r>
        <w:rPr>
          <w:rFonts w:ascii="IRNazanin" w:hAnsi="IRNazanin" w:eastAsia="IRNazanin" w:cs="IRNazanin"/>
          <w:lang w:bidi="fa-IR"/>
          <w:color w:val="111111"/>
          <w:sz w:val="28"/>
          <w:szCs w:val="28"/>
          <w:rtl/>
        </w:rPr>
        <w:t xml:space="preserve">66.مشهد؛ نواب؛ شماره نسخه: 91/2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معرب، كا: شرف الدين على بن تاج الدین، تا: شوال 925 ق؛ جا: نجف اشرف؛ محشی؛ واقف: كمال الدين حسين محمد علی استر آبادی؛ جلد: تیماج ،عنابی 17 سطر (9/5</w:t>
      </w:r>
      <w:r>
        <w:rPr>
          <w:rFonts w:ascii="Times New Roman" w:hAnsi="Times New Roman" w:eastAsia="Times New Roman" w:cs="Times New Roman"/>
          <w:lang w:val="en-US" w:bidi="en-US"/>
          <w:color w:val="111111"/>
          <w:sz w:val="28"/>
          <w:szCs w:val="28"/>
          <w:rtl/>
        </w:rPr>
        <w:t xml:space="preserve">×13/5):</w:t>
      </w:r>
      <w:r>
        <w:rPr>
          <w:rFonts w:ascii="IRNazanin" w:hAnsi="IRNazanin" w:eastAsia="IRNazanin" w:cs="IRNazanin"/>
          <w:lang w:bidi="fa-IR"/>
          <w:color w:val="111111"/>
          <w:sz w:val="28"/>
          <w:szCs w:val="28"/>
          <w:rtl/>
        </w:rPr>
        <w:t xml:space="preserve">اندازه 15/5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-98]</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قم؛ گلپایگانی؛ شماره نسخه: 6230-31/110</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عبدالله بن سید محمد دزماری حسینی، تا: 1 رجب 929ق؛ جا: تبریز، مسجد خواجه بكيجان ،بزاز مصحح پس اتمام کتاب چند بیت فارسی در تاریخ تولد چند فرزند که در سال های 959و 944و 966 به دنیا آمدند؛ جلد: تیماج قهوه ای دورو مجدول با ترنج و سرترنج و لچکی 270 گ 17 سطر ، اندازه: 12</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سم [ف: 1 - 303]</w:t>
      </w:r>
    </w:p>
    <w:p>
      <w:pPr>
        <w:pStyle w:val="BookText"/>
      </w:pPr>
      <w:r>
        <w:rPr>
          <w:rFonts w:ascii="IRNazanin" w:hAnsi="IRNazanin" w:eastAsia="IRNazanin" w:cs="IRNazanin"/>
          <w:lang w:bidi="fa-IR"/>
          <w:color w:val="111111"/>
          <w:sz w:val="28"/>
          <w:szCs w:val="28"/>
          <w:rtl/>
        </w:rPr>
        <w:t xml:space="preserve">68.قم؛ مرعشی؛ شماره نسخه: 1728</w:t>
      </w:r>
    </w:p>
    <w:p>
      <w:pPr>
        <w:pStyle w:val="BookText"/>
      </w:pPr>
      <w:r>
        <w:rPr>
          <w:rFonts w:ascii="Amiri" w:hAnsi="Amiri" w:eastAsia="Amiri" w:cs="Amiri"/>
          <w:lang w:bidi="ar-SA"/>
          <w:color w:val="111111"/>
          <w:sz w:val="28"/>
          <w:szCs w:val="28"/>
          <w:rtl/>
        </w:rPr>
        <w:t xml:space="preserve">آغاز: فى الماهية و فيه مقاصد الاول فى كيفية اليومية، يجب معرفة واجب افعال الصلاة من مندوبها</w:t>
      </w:r>
    </w:p>
    <w:p>
      <w:pPr>
        <w:pStyle w:val="BookText"/>
      </w:pPr>
      <w:r>
        <w:rPr>
          <w:rFonts w:ascii="IRNazanin" w:hAnsi="IRNazanin" w:eastAsia="IRNazanin" w:cs="IRNazanin"/>
          <w:lang w:bidi="fa-IR"/>
          <w:color w:val="111111"/>
          <w:sz w:val="28"/>
          <w:szCs w:val="28"/>
          <w:rtl/>
        </w:rPr>
        <w:t xml:space="preserve">خط: نسخ، کا: محمد بن علی بن محمود گیلانی ،جزائری، تا: سه شنبه 5 جمادی الثانی 929ق افتادگی: آغاز؛ مصحح، محشی، علامت بلاغ دارد، پایان جزء اول (کتاب وصیت) انهائی است عبدالنبی بن سعد بن علی (شیخ عبدالنبی جزائری) برای یکی شاگردانش نوشته است، پس از کتاب دو برگ است دار یادداشت های مختلف و امضاء محمد هاشم بن محمد مقبل؛ تملك: علوان الجزائری؛ جلد: مقوایی عطف تیماج مشکی، 119گ 23 سطر ، اندازه: 17</w:t>
      </w:r>
      <w:r>
        <w:rPr>
          <w:rFonts w:ascii="Times New Roman" w:hAnsi="Times New Roman" w:eastAsia="Times New Roman" w:cs="Times New Roman"/>
          <w:lang w:val="en-US" w:bidi="en-US"/>
          <w:color w:val="111111"/>
          <w:sz w:val="28"/>
          <w:szCs w:val="28"/>
          <w:rtl/>
        </w:rPr>
        <w:t xml:space="preserve">×24/5</w:t>
      </w:r>
      <w:r>
        <w:rPr>
          <w:rFonts w:ascii="IRNazanin" w:hAnsi="IRNazanin" w:eastAsia="IRNazanin" w:cs="IRNazanin"/>
          <w:lang w:bidi="fa-IR"/>
          <w:color w:val="111111"/>
          <w:sz w:val="28"/>
          <w:szCs w:val="28"/>
          <w:rtl/>
        </w:rPr>
        <w:t xml:space="preserve">سم [ف: 5 - 116]</w:t>
      </w:r>
    </w:p>
    <w:p>
      <w:pPr>
        <w:pStyle w:val="BookText"/>
      </w:pPr>
      <w:r>
        <w:rPr>
          <w:rFonts w:ascii="IRNazanin" w:hAnsi="IRNazanin" w:eastAsia="IRNazanin" w:cs="IRNazanin"/>
          <w:lang w:bidi="fa-IR"/>
          <w:color w:val="111111"/>
          <w:sz w:val="28"/>
          <w:szCs w:val="28"/>
          <w:rtl/>
        </w:rPr>
        <w:t xml:space="preserve">69.قم؛ مرعشی؛ شماره نسخه:1285</w:t>
      </w:r>
    </w:p>
    <w:p>
      <w:pPr>
        <w:pStyle w:val="BookText"/>
      </w:pPr>
      <w:r>
        <w:rPr>
          <w:rFonts w:ascii="IRNazanin" w:hAnsi="IRNazanin" w:eastAsia="IRNazanin" w:cs="IRNazanin"/>
          <w:lang w:bidi="fa-IR"/>
          <w:color w:val="111111"/>
          <w:sz w:val="28"/>
          <w:szCs w:val="28"/>
          <w:rtl/>
        </w:rPr>
        <w:t xml:space="preserve">خط : نسخ، کا: محمود بن عباد الله ساوجی، تا: صبح عيد فطر 931ق؛   جا: مشهد مقدس؛ مصحح ،محشی، در صفحه آخر نوشته است که کریم الدین بن عبادالله ساوجی (شاید همان ناسخ باشد) کتاب را نزد میرزا عبدالله شوشتری و شیخ عابد از خدمه روضه مقدسه رضوی خوانده است و خواندن وی به تاریخ دوشنبه دهم جمادی الاول 975 به پایان رسیده است؛ تملک: حسن بن عیاض، احمد بن محمد عاملی انصاری به تاریخ 1018 در بصره؛ جلد: مقوایی عطف تیماج ،مشکی، 196گ، 18 سطر ، اندازه: 16</w:t>
      </w:r>
      <w:r>
        <w:rPr>
          <w:rFonts w:ascii="Times New Roman" w:hAnsi="Times New Roman" w:eastAsia="Times New Roman" w:cs="Times New Roman"/>
          <w:lang w:val="en-US" w:bidi="en-US"/>
          <w:color w:val="111111"/>
          <w:sz w:val="28"/>
          <w:szCs w:val="28"/>
          <w:rtl/>
        </w:rPr>
        <w:t xml:space="preserve">×25</w:t>
      </w:r>
      <w:r>
        <w:rPr>
          <w:rFonts w:ascii="IRNazanin" w:hAnsi="IRNazanin" w:eastAsia="IRNazanin" w:cs="IRNazanin"/>
          <w:lang w:bidi="fa-IR"/>
          <w:color w:val="111111"/>
          <w:sz w:val="28"/>
          <w:szCs w:val="28"/>
          <w:rtl/>
        </w:rPr>
        <w:t xml:space="preserve">سم [ف: 4 - 83]</w:t>
      </w:r>
    </w:p>
    <w:p>
      <w:pPr>
        <w:pStyle w:val="BookText"/>
      </w:pPr>
      <w:r>
        <w:rPr>
          <w:rFonts w:ascii="IRNazanin" w:hAnsi="IRNazanin" w:eastAsia="IRNazanin" w:cs="IRNazanin"/>
          <w:lang w:bidi="fa-IR"/>
          <w:color w:val="111111"/>
          <w:sz w:val="28"/>
          <w:szCs w:val="28"/>
          <w:rtl/>
        </w:rPr>
        <w:t xml:space="preserve">قم؛ مرکز احیاء؛ شماره نسخه: 122</w:t>
      </w:r>
    </w:p>
    <w:p>
      <w:pPr>
        <w:pStyle w:val="BookText"/>
      </w:pPr>
      <w:r>
        <w:rPr>
          <w:rFonts w:ascii="IRNazanin" w:hAnsi="IRNazanin" w:eastAsia="IRNazanin" w:cs="IRNazanin"/>
          <w:lang w:bidi="fa-IR"/>
          <w:color w:val="111111"/>
          <w:sz w:val="28"/>
          <w:szCs w:val="28"/>
          <w:rtl/>
        </w:rPr>
        <w:t xml:space="preserve">نسخه اصل: همان نسخه بالا [ عکسی ف: 1 - 144]</w:t>
      </w:r>
    </w:p>
    <w:p>
      <w:pPr>
        <w:pStyle w:val="BookText"/>
      </w:pPr>
      <w:r>
        <w:rPr>
          <w:rFonts w:ascii="IRNazanin" w:hAnsi="IRNazanin" w:eastAsia="IRNazanin" w:cs="IRNazanin"/>
          <w:lang w:bidi="fa-IR"/>
          <w:color w:val="111111"/>
          <w:sz w:val="28"/>
          <w:szCs w:val="28"/>
          <w:rtl/>
        </w:rPr>
        <w:t xml:space="preserve">70.قم؛ مرعشی؛ شماره نسخه: 3400</w:t>
      </w:r>
    </w:p>
    <w:p>
      <w:pPr>
        <w:pStyle w:val="BookText"/>
      </w:pPr>
      <w:r>
        <w:rPr>
          <w:rFonts w:ascii="IRNazanin" w:hAnsi="IRNazanin" w:eastAsia="IRNazanin" w:cs="IRNazanin"/>
          <w:lang w:bidi="fa-IR"/>
          <w:color w:val="111111"/>
          <w:sz w:val="28"/>
          <w:szCs w:val="28"/>
          <w:rtl/>
        </w:rPr>
        <w:t xml:space="preserve">آغاز: و انبیائه و ائمته عليهم السلام و الكلام بغيرالذكر و الحاجة و آية الكرسى</w:t>
      </w:r>
    </w:p>
    <w:p>
      <w:pPr>
        <w:pStyle w:val="BookText"/>
      </w:pPr>
      <w:r>
        <w:rPr>
          <w:rFonts w:ascii="IRNazanin" w:hAnsi="IRNazanin" w:eastAsia="IRNazanin" w:cs="IRNazanin"/>
          <w:lang w:bidi="fa-IR"/>
          <w:color w:val="111111"/>
          <w:sz w:val="28"/>
          <w:szCs w:val="28"/>
          <w:rtl/>
        </w:rPr>
        <w:t xml:space="preserve">خط: نسخ، كا: علی بن احمد بن محمد منشار، تا: چهارشنبه 12 جمادى الاول 933ق؛ افتادگی: آغاز ؛ مصحح، محشی و علامت بلاغ دارد، پس از کتاب چند برگ دارای فوائد مختلف و اجازه محقق کرکی که برای علی بن احمد بن محمد بن هلال به هلال به تاریخ شعبان 934 در مشهد غروی جلد: تیماج قهوه ای، 225گ، 15 سطر ، اندازه: 15</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9 - 184]</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تهران؛ سپهسالار؛ شماره نسخه: 2469</w:t>
      </w:r>
    </w:p>
    <w:p>
      <w:pPr>
        <w:pStyle w:val="BookText"/>
      </w:pPr>
      <w:r>
        <w:rPr>
          <w:rFonts w:ascii="Amiri" w:hAnsi="Amiri" w:eastAsia="Amiri" w:cs="Amiri"/>
          <w:lang w:bidi="ar-SA"/>
          <w:color w:val="111111"/>
          <w:sz w:val="28"/>
          <w:szCs w:val="28"/>
          <w:rtl/>
        </w:rPr>
        <w:t xml:space="preserve">آغاز: و الندب لما عداه و قد يجب الثلاثة با النذر</w:t>
      </w:r>
    </w:p>
    <w:p>
      <w:pPr>
        <w:pStyle w:val="BookText"/>
      </w:pPr>
      <w:r>
        <w:rPr>
          <w:rFonts w:ascii="IRNazanin" w:hAnsi="IRNazanin" w:eastAsia="IRNazanin" w:cs="IRNazanin"/>
          <w:lang w:bidi="fa-IR"/>
          <w:color w:val="111111"/>
          <w:sz w:val="28"/>
          <w:szCs w:val="28"/>
          <w:rtl/>
        </w:rPr>
        <w:t xml:space="preserve">خط: نسخ ،خوب، كا: علی بن احمد بن محمد فراری، تا: 935ق؛ افتادگی آغاز (دو ورق)؛ دارای حاشیه های زیادی از «تحریر» و «مختلف» و «تنقیح» و «قواعد» و «شرح ارشاد» و «شیخعلی» و «کنز العرفان» و خود مصنف و غیره که تقریباً سه برابر اصل کتاب،است در حاشیه آخرین صفحه اصل کتاب اجازه از شیخ بهائی به خط خود آن حضرت در سنه 1025 به نام ملا یحیی لاهيجى مبنی بر اجازه روایت این کتاب و سایر مؤلفات آية الله علامه حلی، پس از ختم کتاب بر دوازده ورق حاشیه هایی از کتب فقهیه مذکوره و غیره نوشته ،شده صورت اجازه شهید ثانی مبنی بر اجازه روايت «ارشاد الاذهان» به نام سید بدرالدین حسنی موسوی که در آخر «نسخه از ارشاد الاذهان» بوده برد و صفحه آخر این نسخه نقل شده است؛ واقف: سپهسالار؛ کاغذ: قدیمی جلد: تیماج326ص، 11 سطر ، قطع: رحلی اندازه: 20</w:t>
      </w:r>
      <w:r>
        <w:rPr>
          <w:rFonts w:ascii="Times New Roman" w:hAnsi="Times New Roman" w:eastAsia="Times New Roman" w:cs="Times New Roman"/>
          <w:lang w:val="en-US" w:bidi="en-US"/>
          <w:color w:val="111111"/>
          <w:sz w:val="28"/>
          <w:szCs w:val="28"/>
          <w:rtl/>
        </w:rPr>
        <w:t xml:space="preserve">×30</w:t>
      </w:r>
      <w:r>
        <w:rPr>
          <w:rFonts w:ascii="IRNazanin" w:hAnsi="IRNazanin" w:eastAsia="IRNazanin" w:cs="IRNazanin"/>
          <w:lang w:bidi="fa-IR"/>
          <w:color w:val="111111"/>
          <w:sz w:val="28"/>
          <w:szCs w:val="28"/>
          <w:rtl/>
        </w:rPr>
        <w:t xml:space="preserve">سم [ف: 1 - 356]</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تهران؛ مجلس؛ شماره نسخه: 5849</w:t>
      </w:r>
    </w:p>
    <w:p>
      <w:pPr>
        <w:pStyle w:val="BookText"/>
      </w:pPr>
      <w:r>
        <w:rPr>
          <w:rFonts w:ascii="IRNazanin" w:hAnsi="IRNazanin" w:eastAsia="IRNazanin" w:cs="IRNazanin"/>
          <w:lang w:bidi="fa-IR"/>
          <w:color w:val="111111"/>
          <w:sz w:val="28"/>
          <w:szCs w:val="28"/>
          <w:rtl/>
        </w:rPr>
        <w:t xml:space="preserve">خط : نسخ، کا: سلمان بن محمد بن محمد جبعی، تا: 937ق؛ در  پایان نسخه اجازه حسین بن ابی الحسن (معاصر شهید) به کاتب به خط مجیز، در کنار صفحات علامت بلوغ و قرائت؛ کاغذ: اصفهانی شکری ،ضخیم جلد: تیماج عنابی با ترنج با نقاشی برجسته، 396ص، 15 سطر ، قطع: خشتی اندازه: 13/5</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[ف: 17 - 256]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73 . قم؛ فیضیه شماره نسخه: 1457</w:t>
      </w:r>
    </w:p>
    <w:p>
      <w:pPr>
        <w:pStyle w:val="BookText"/>
      </w:pPr>
      <w:r>
        <w:rPr>
          <w:rFonts w:ascii="IRNazanin" w:hAnsi="IRNazanin" w:eastAsia="IRNazanin" w:cs="IRNazanin"/>
          <w:lang w:bidi="fa-IR"/>
          <w:color w:val="111111"/>
          <w:sz w:val="28"/>
          <w:szCs w:val="28"/>
          <w:rtl/>
        </w:rPr>
        <w:t xml:space="preserve">خط: نسخ، بی کا، تا: سه شنبه 3 ذیقعده (حجه) 939ق؛ افتادگی: انجام مصحح، محشی از مؤلف و غیره دارای نشان بلاغ؛ تملک: محمد شریف بن حاجی محمد اشرف در سال 1066 و فرزندش محمد مهدی محمد رضا حسینی کاشانی؛ 297گ، 11 سطر، اندازه: 13</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1-9]</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قم؛ مرکز احیاء؛ شماره نسخه: 635</w:t>
      </w:r>
    </w:p>
    <w:p>
      <w:pPr>
        <w:pStyle w:val="BookText"/>
      </w:pPr>
      <w:r>
        <w:rPr>
          <w:rFonts w:ascii="IRNazanin" w:hAnsi="IRNazanin" w:eastAsia="IRNazanin" w:cs="IRNazanin"/>
          <w:lang w:bidi="fa-IR"/>
          <w:color w:val="111111"/>
          <w:sz w:val="28"/>
          <w:szCs w:val="28"/>
          <w:rtl/>
        </w:rPr>
        <w:t xml:space="preserve">نسخه اصل: همان نسخه بالا [عکسی ف 2 - 265]</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مشهد؛ رضوی؛ شماره نسخه: 2689</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کامل؛ خط: نسخ، بی کا، تا: 6 محرم 940ق؛ صدر و ذیل نسخه ضمن 14 برگ عبارات و فوائد فقهی و غیره ضمیمه است معلق به حواشی از مؤلف و عبارات منقوله از شروح و کتب فقهی ؛واقف: ابوالقاسم بن مقصود جان تاتیانی، اسفند 1309؛ کاغذ: نخودی، جلد: تیماج مشکی، 202گ، 14 سطر ، اندا زه: 18</w:t>
      </w:r>
      <w:r>
        <w:rPr>
          <w:rFonts w:ascii="Times New Roman" w:hAnsi="Times New Roman" w:eastAsia="Times New Roman" w:cs="Times New Roman"/>
          <w:lang w:val="en-US" w:bidi="en-US"/>
          <w:color w:val="111111"/>
          <w:sz w:val="28"/>
          <w:szCs w:val="28"/>
          <w:rtl/>
        </w:rPr>
        <w:t xml:space="preserve">×25</w:t>
      </w:r>
      <w:r>
        <w:rPr>
          <w:rFonts w:ascii="IRNazanin" w:hAnsi="IRNazanin" w:eastAsia="IRNazanin" w:cs="IRNazanin"/>
          <w:lang w:bidi="fa-IR"/>
          <w:color w:val="111111"/>
          <w:sz w:val="28"/>
          <w:szCs w:val="28"/>
          <w:rtl/>
        </w:rPr>
        <w:t xml:space="preserve">سم [ف: 5 - 376]</w:t>
      </w:r>
    </w:p>
    <w:p>
      <w:pPr>
        <w:pStyle w:val="BookText"/>
      </w:pPr>
      <w:r>
        <w:rPr>
          <w:rFonts w:ascii="IRNazanin" w:hAnsi="IRNazanin" w:eastAsia="IRNazanin" w:cs="IRNazanin"/>
          <w:lang w:bidi="fa-IR"/>
          <w:color w:val="111111"/>
          <w:sz w:val="28"/>
          <w:szCs w:val="28"/>
          <w:rtl/>
        </w:rPr>
        <w:t xml:space="preserve">76.یزد؛ وزیری؛ شماره نسخه: 3074</w:t>
      </w:r>
    </w:p>
    <w:p>
      <w:pPr>
        <w:pStyle w:val="BookText"/>
      </w:pPr>
      <w:r>
        <w:rPr>
          <w:rFonts w:ascii="IRNazanin" w:hAnsi="IRNazanin" w:eastAsia="IRNazanin" w:cs="IRNazanin"/>
          <w:lang w:bidi="fa-IR"/>
          <w:color w:val="111111"/>
          <w:sz w:val="28"/>
          <w:szCs w:val="28"/>
          <w:rtl/>
        </w:rPr>
        <w:t xml:space="preserve">آغاز: بطلت صلوته و لو صلى العصر</w:t>
      </w:r>
    </w:p>
    <w:p>
      <w:pPr>
        <w:pStyle w:val="BookText"/>
      </w:pPr>
      <w:r>
        <w:rPr>
          <w:rFonts w:ascii="IRNazanin" w:hAnsi="IRNazanin" w:eastAsia="IRNazanin" w:cs="IRNazanin"/>
          <w:lang w:bidi="fa-IR"/>
          <w:color w:val="111111"/>
          <w:sz w:val="28"/>
          <w:szCs w:val="28"/>
          <w:rtl/>
        </w:rPr>
        <w:t xml:space="preserve">خط: نستعليق ،كا: على بن مرتضی ،حسین ، تا: ذیحجه944ق؛ افتادگی: آغاز؛ اهدایی احمد آثاری؛ کاغذ: سمرقندی، جلد: مقوایی روکش کاغذ ابری155گ، 16 سطر (11</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 اندازه:</w:t>
      </w:r>
    </w:p>
    <w:p>
      <w:pPr>
        <w:pStyle w:val="BookText"/>
      </w:pPr>
      <w:r>
        <w:rPr>
          <w:rFonts w:ascii="Times New Roman" w:hAnsi="Times New Roman" w:eastAsia="Times New Roman" w:cs="Times New Roman"/>
          <w:lang w:val="en-US" w:bidi="en-US"/>
          <w:color w:val="111111"/>
          <w:sz w:val="28"/>
          <w:szCs w:val="28"/>
          <w:rtl/>
        </w:rPr>
        <w:t xml:space="preserve">18×25/5</w:t>
      </w:r>
      <w:r>
        <w:rPr>
          <w:rFonts w:ascii="IRNazanin" w:hAnsi="IRNazanin" w:eastAsia="IRNazanin" w:cs="IRNazanin"/>
          <w:lang w:bidi="fa-IR"/>
          <w:color w:val="111111"/>
          <w:sz w:val="28"/>
          <w:szCs w:val="28"/>
          <w:rtl/>
        </w:rPr>
        <w:t xml:space="preserve">سم [ف: 5 - 1524]</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قم؛ مرکز احیاء؛ شماره نسخه: 1991</w:t>
      </w:r>
    </w:p>
    <w:p>
      <w:pPr>
        <w:pStyle w:val="BookText"/>
      </w:pPr>
      <w:r>
        <w:rPr>
          <w:rFonts w:ascii="IRNazanin" w:hAnsi="IRNazanin" w:eastAsia="IRNazanin" w:cs="IRNazanin"/>
          <w:lang w:bidi="fa-IR"/>
          <w:color w:val="111111"/>
          <w:sz w:val="28"/>
          <w:szCs w:val="28"/>
          <w:rtl/>
        </w:rPr>
        <w:t xml:space="preserve">خط: نستعلیق، بی کا، تا: نیمه ماه رمضان 945ق؛مصحح، محشی  به چند خط، با نشان بلاغ، روی برگ اول یادداشت خوان کتاب نزد امیر عبدالحی حسینی به تاریخ غره جمادى الثاني 945؛ تملک: بدون نام به تاریخ رجب998؛ جلد: تیماج قرمز ضربی عطف تيماج قهوه ای258گ، 15 سطر ، اندازه: 12/5</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ف 5 - 422]</w:t>
      </w:r>
    </w:p>
    <w:p>
      <w:pPr>
        <w:pStyle w:val="BookText"/>
      </w:pPr>
      <w:r>
        <w:rPr>
          <w:rFonts w:ascii="IRNazanin" w:hAnsi="IRNazanin" w:eastAsia="IRNazanin" w:cs="IRNazanin"/>
          <w:lang w:bidi="fa-IR"/>
          <w:color w:val="111111"/>
          <w:sz w:val="28"/>
          <w:szCs w:val="28"/>
          <w:rtl/>
        </w:rPr>
        <w:t xml:space="preserve">قم؛ مهدوی (کتابخانه)؛ شماره نسخه: بدون شماره</w:t>
      </w:r>
    </w:p>
    <w:p>
      <w:pPr>
        <w:pStyle w:val="BookText"/>
      </w:pPr>
      <w:r>
        <w:rPr>
          <w:rFonts w:ascii="IRNazanin" w:hAnsi="IRNazanin" w:eastAsia="IRNazanin" w:cs="IRNazanin"/>
          <w:lang w:bidi="fa-IR"/>
          <w:color w:val="111111"/>
          <w:sz w:val="28"/>
          <w:szCs w:val="28"/>
          <w:rtl/>
        </w:rPr>
        <w:t xml:space="preserve">بی کا، تا: نیمه ماه رمضان 945 ق؛ (نسخه بالا ) [تراثنا س18 ش او 2- 204]</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قم؛ مرکز احیاء؛ شماره نسخه: 4345/1</w:t>
      </w:r>
    </w:p>
    <w:p>
      <w:pPr>
        <w:pStyle w:val="BookText"/>
      </w:pPr>
      <w:r>
        <w:rPr>
          <w:rFonts w:ascii="IRNazanin" w:hAnsi="IRNazanin" w:eastAsia="IRNazanin" w:cs="IRNazanin"/>
          <w:lang w:bidi="fa-IR"/>
          <w:color w:val="111111"/>
          <w:sz w:val="28"/>
          <w:szCs w:val="28"/>
          <w:rtl/>
        </w:rPr>
        <w:t xml:space="preserve">آغاز: للسداد فليس المعصوم الا من عصمه الله تعالى من انبیائه واوصيائه عليهم أفضل الصلاة؛ انجام: برابر</w:t>
      </w:r>
    </w:p>
    <w:p>
      <w:pPr>
        <w:pStyle w:val="BookText"/>
      </w:pPr>
      <w:r>
        <w:rPr>
          <w:rFonts w:ascii="IRNazanin" w:hAnsi="IRNazanin" w:eastAsia="IRNazanin" w:cs="IRNazanin"/>
          <w:lang w:bidi="fa-IR"/>
          <w:color w:val="111111"/>
          <w:sz w:val="28"/>
          <w:szCs w:val="28"/>
          <w:rtl/>
        </w:rPr>
        <w:t xml:space="preserve">خط: نسخ ، حسن اتاح بن اسود بن دبيس بن علوان مقرحی، تا:سه شنبه از رجب 947ق؛ مصحح، محشی دارای چندین امضا بلاغ؛ جلد: گالینگور قرمز عطف تیماج قهوه ای 101گ (1پ- 101ر)  ، 21 سطر ، اندازه: 21</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 [محدث ارموی مخ: 1 - 110]</w:t>
      </w:r>
    </w:p>
    <w:p>
      <w:pPr>
        <w:pStyle w:val="BookText"/>
      </w:pPr>
      <w:r>
        <w:rPr>
          <w:rFonts w:ascii="IRNazanin" w:hAnsi="IRNazanin" w:eastAsia="IRNazanin" w:cs="IRNazanin"/>
          <w:lang w:bidi="fa-IR"/>
          <w:color w:val="111111"/>
          <w:sz w:val="28"/>
          <w:szCs w:val="28"/>
          <w:rtl/>
        </w:rPr>
        <w:t xml:space="preserve">79.همدان؛ دانشگاه بوعلی؛ شماره نسخه: 93</w:t>
      </w:r>
    </w:p>
    <w:p>
      <w:pPr>
        <w:pStyle w:val="BookText"/>
      </w:pPr>
      <w:r>
        <w:rPr>
          <w:rFonts w:ascii="IRNazanin" w:hAnsi="IRNazanin" w:eastAsia="IRNazanin" w:cs="IRNazanin"/>
          <w:lang w:bidi="fa-IR"/>
          <w:color w:val="111111"/>
          <w:sz w:val="28"/>
          <w:szCs w:val="28"/>
          <w:rtl/>
        </w:rPr>
        <w:t xml:space="preserve">خط: نستعليق، كا: شيخاء حیدر آبادی، تا: نیمه ربیع الاول 947 ق؛مصحح؛ تملک زین العابدین بن محمد علی نجفی به تاریخ 1158، محمد علی بن حاجی حسن، ملا محمد گیلانی ؛ جلد: تیماج قهوه ای، 173گ مختلف السطر ، اندازه: 13</w:t>
      </w:r>
      <w:r>
        <w:rPr>
          <w:rFonts w:ascii="Times New Roman" w:hAnsi="Times New Roman" w:eastAsia="Times New Roman" w:cs="Times New Roman"/>
          <w:lang w:val="en-US" w:bidi="en-US"/>
          <w:color w:val="111111"/>
          <w:sz w:val="28"/>
          <w:szCs w:val="28"/>
          <w:rtl/>
        </w:rPr>
        <w:t xml:space="preserve">×25</w:t>
      </w:r>
      <w:r>
        <w:rPr>
          <w:rFonts w:ascii="IRNazanin" w:hAnsi="IRNazanin" w:eastAsia="IRNazanin" w:cs="IRNazanin"/>
          <w:lang w:bidi="fa-IR"/>
          <w:color w:val="111111"/>
          <w:sz w:val="28"/>
          <w:szCs w:val="28"/>
          <w:rtl/>
        </w:rPr>
        <w:t xml:space="preserve">سم [ف: 51]</w:t>
      </w:r>
    </w:p>
    <w:p>
      <w:pPr>
        <w:pStyle w:val="BookText"/>
      </w:pPr>
      <w:r>
        <w:rPr>
          <w:rFonts w:ascii="IRNazanin" w:hAnsi="IRNazanin" w:eastAsia="IRNazanin" w:cs="IRNazanin"/>
          <w:lang w:bidi="fa-IR"/>
          <w:color w:val="111111"/>
          <w:sz w:val="28"/>
          <w:szCs w:val="28"/>
          <w:rtl/>
        </w:rPr>
        <w:t xml:space="preserve">80.تهران؛ ملک؛ شماره نسخه: 2127</w:t>
      </w:r>
    </w:p>
    <w:p>
      <w:pPr>
        <w:pStyle w:val="BookText"/>
      </w:pPr>
      <w:r>
        <w:rPr>
          <w:rFonts w:ascii="IRNazanin" w:hAnsi="IRNazanin" w:eastAsia="IRNazanin" w:cs="IRNazanin"/>
          <w:lang w:bidi="fa-IR"/>
          <w:color w:val="111111"/>
          <w:sz w:val="28"/>
          <w:szCs w:val="28"/>
          <w:rtl/>
        </w:rPr>
        <w:t xml:space="preserve">خط: نسخ، بی کا، تا: نیمه ذیحجه 952ق؛ با سرلوح، محشی؛ تملک: محمد شریف بن سلمان واعظ گیلانی تیمجانی در حیدر آباد، محمد حسین حسنی نیاکی؛ کاغذ: ترمه، جلد: میشن سیاه ،347گ، 12 سطر ، اندازه: 13/3</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سم [ف: 1 - 25]</w:t>
      </w:r>
    </w:p>
    <w:p>
      <w:pPr>
        <w:pStyle w:val="BookText"/>
      </w:pPr>
      <w:r>
        <w:rPr>
          <w:rFonts w:ascii="IRNazanin" w:hAnsi="IRNazanin" w:eastAsia="IRNazanin" w:cs="IRNazanin"/>
          <w:lang w:bidi="fa-IR"/>
          <w:color w:val="111111"/>
          <w:sz w:val="28"/>
          <w:szCs w:val="28"/>
          <w:rtl/>
        </w:rPr>
        <w:t xml:space="preserve">81.قم؛ مرعشی؛ شماره نسخه: 14395/2</w:t>
      </w:r>
    </w:p>
    <w:p>
      <w:pPr>
        <w:pStyle w:val="BookText"/>
      </w:pPr>
      <w:r>
        <w:rPr>
          <w:rFonts w:ascii="Amiri" w:hAnsi="Amiri" w:eastAsia="Amiri" w:cs="Amiri"/>
          <w:lang w:bidi="ar-SA"/>
          <w:color w:val="111111"/>
          <w:sz w:val="28"/>
          <w:szCs w:val="28"/>
          <w:rtl/>
        </w:rPr>
        <w:t xml:space="preserve">آغاز: بعين الصلوة و الوجه و التقرب والأداء أولقضاء و إيقاعها؛</w:t>
      </w:r>
    </w:p>
    <w:p>
      <w:pPr>
        <w:pStyle w:val="BookText"/>
      </w:pPr>
      <w:r>
        <w:rPr>
          <w:rFonts w:ascii="IRNazanin" w:hAnsi="IRNazanin" w:eastAsia="IRNazanin" w:cs="IRNazanin"/>
          <w:lang w:bidi="fa-IR"/>
          <w:color w:val="111111"/>
          <w:sz w:val="28"/>
          <w:szCs w:val="28"/>
          <w:rtl/>
        </w:rPr>
        <w:t xml:space="preserve">انجام: برابر</w:t>
      </w:r>
    </w:p>
    <w:p>
      <w:pPr>
        <w:pStyle w:val="BookText"/>
      </w:pPr>
      <w:r>
        <w:rPr>
          <w:rFonts w:ascii="IRNazanin" w:hAnsi="IRNazanin" w:eastAsia="IRNazanin" w:cs="IRNazanin"/>
          <w:lang w:bidi="fa-IR"/>
          <w:color w:val="111111"/>
          <w:sz w:val="28"/>
          <w:szCs w:val="28"/>
          <w:rtl/>
        </w:rPr>
        <w:t xml:space="preserve">خط: نسخ، کا: جمال الدین محمد بن مساعد حسینی، تا: 953ق ؛افتادگی: آغاز؛ با حواشی علمی کاتب؛ تملک: «احمد بن حسین حسینی» با مهر «و مبشراً برسول يأتى من بعده...»، «محمد صفى الدين بن احمد» با مهر با عنوان نام یاد شده و مهر دیگر لوزی؛ کاغذ: شرقی ،جلد: چرم قهوه ای با لچک و ترنج ضربی، 168گ (76-243) ، 15 سطر (9/5</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 اندازه 17</w:t>
      </w:r>
      <w:r>
        <w:rPr>
          <w:rFonts w:ascii="Times New Roman" w:hAnsi="Times New Roman" w:eastAsia="Times New Roman" w:cs="Times New Roman"/>
          <w:lang w:val="en-US" w:bidi="en-US"/>
          <w:color w:val="111111"/>
          <w:sz w:val="28"/>
          <w:szCs w:val="28"/>
          <w:rtl/>
        </w:rPr>
        <w:t xml:space="preserve">×23</w:t>
      </w:r>
      <w:r>
        <w:rPr>
          <w:rFonts w:ascii="IRNazanin" w:hAnsi="IRNazanin" w:eastAsia="IRNazanin" w:cs="IRNazanin"/>
          <w:lang w:bidi="fa-IR"/>
          <w:color w:val="111111"/>
          <w:sz w:val="28"/>
          <w:szCs w:val="28"/>
          <w:rtl/>
        </w:rPr>
        <w:t xml:space="preserve">سم [ف: 36 - 331]</w:t>
      </w:r>
    </w:p>
    <w:p>
      <w:pPr>
        <w:pStyle w:val="BookText"/>
      </w:pPr>
      <w:r>
        <w:rPr>
          <w:rFonts w:ascii="IRNazanin" w:hAnsi="IRNazanin" w:eastAsia="IRNazanin" w:cs="IRNazanin"/>
          <w:lang w:bidi="fa-IR"/>
          <w:color w:val="111111"/>
          <w:sz w:val="28"/>
          <w:szCs w:val="28"/>
          <w:rtl/>
        </w:rPr>
        <w:t xml:space="preserve">82 مشهد؛ رضوی؛ شماره نسخه: 32865</w:t>
      </w:r>
    </w:p>
    <w:p>
      <w:pPr>
        <w:pStyle w:val="BookText"/>
      </w:pPr>
      <w:r>
        <w:rPr>
          <w:rFonts w:ascii="IRNazanin" w:hAnsi="IRNazanin" w:eastAsia="IRNazanin" w:cs="IRNazanin"/>
          <w:lang w:bidi="fa-IR"/>
          <w:color w:val="111111"/>
          <w:sz w:val="28"/>
          <w:szCs w:val="28"/>
          <w:rtl/>
        </w:rPr>
        <w:t xml:space="preserve">خط: نسخ و نستعلیق، بی کا، تا: اواسط جمادى الاول 953ق؛ ،محشی اهدایی رهبری، بهمن 1384 ؛کاغذ: نخودی، جلد: تیماج سرمه ای فرنگی، 250گ، 15 سطر ، اندازه: 15</w:t>
      </w:r>
      <w:r>
        <w:rPr>
          <w:rFonts w:ascii="Times New Roman" w:hAnsi="Times New Roman" w:eastAsia="Times New Roman" w:cs="Times New Roman"/>
          <w:lang w:val="en-US" w:bidi="en-US"/>
          <w:color w:val="111111"/>
          <w:sz w:val="28"/>
          <w:szCs w:val="28"/>
          <w:rtl/>
        </w:rPr>
        <w:t xml:space="preserve">×25/5</w:t>
      </w:r>
      <w:r>
        <w:rPr>
          <w:rFonts w:ascii="IRNazanin" w:hAnsi="IRNazanin" w:eastAsia="IRNazanin" w:cs="IRNazanin"/>
          <w:lang w:bidi="fa-IR"/>
          <w:color w:val="111111"/>
          <w:sz w:val="28"/>
          <w:szCs w:val="28"/>
          <w:rtl/>
        </w:rPr>
        <w:t xml:space="preserve">سم [اهدائی - - ف: 3 - 49 ]</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قم؛ گلپایگانی؛ شماره نسخه: 526-3/146</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محمد بن محمود بن محمد بن عبدالله موسوی،تا: 954ق، مصحح، با حواشی از «ع ل»؛ جلد: تیماج مشکی بدون مقوا ضربی با ترنج با سر، داخل سر ترنج «یا فتاح»، لچکی مجدول ،گرهی ،282 گ، 15 سطر ، اندازه: 12/5</w:t>
      </w:r>
      <w:r>
        <w:rPr>
          <w:rFonts w:ascii="Times New Roman" w:hAnsi="Times New Roman" w:eastAsia="Times New Roman" w:cs="Times New Roman"/>
          <w:lang w:val="en-US" w:bidi="en-US"/>
          <w:color w:val="111111"/>
          <w:sz w:val="28"/>
          <w:szCs w:val="28"/>
          <w:rtl/>
        </w:rPr>
        <w:t xml:space="preserve">× 18</w:t>
      </w:r>
      <w:r>
        <w:rPr>
          <w:rFonts w:ascii="IRNazanin" w:hAnsi="IRNazanin" w:eastAsia="IRNazanin" w:cs="IRNazanin"/>
          <w:lang w:bidi="fa-IR"/>
          <w:color w:val="111111"/>
          <w:sz w:val="28"/>
          <w:szCs w:val="28"/>
          <w:rtl/>
        </w:rPr>
        <w:t xml:space="preserve">سم [ف: 1 - 300]</w:t>
      </w:r>
    </w:p>
    <w:p>
      <w:pPr>
        <w:pStyle w:val="BookText"/>
      </w:pPr>
      <w:r>
        <w:rPr>
          <w:rFonts w:ascii="IRNazanin" w:hAnsi="IRNazanin" w:eastAsia="IRNazanin" w:cs="IRNazanin"/>
          <w:lang w:bidi="fa-IR"/>
          <w:color w:val="111111"/>
          <w:sz w:val="28"/>
          <w:szCs w:val="28"/>
          <w:rtl/>
        </w:rPr>
        <w:t xml:space="preserve">84.تهران؛ سپهسالار؛ شماره نسخه: 8178</w:t>
      </w:r>
    </w:p>
    <w:p>
      <w:pPr>
        <w:pStyle w:val="BookText"/>
      </w:pPr>
      <w:r>
        <w:rPr>
          <w:rFonts w:ascii="IRNazanin" w:hAnsi="IRNazanin" w:eastAsia="IRNazanin" w:cs="IRNazanin"/>
          <w:lang w:bidi="fa-IR"/>
          <w:color w:val="111111"/>
          <w:sz w:val="28"/>
          <w:szCs w:val="28"/>
          <w:rtl/>
        </w:rPr>
        <w:t xml:space="preserve">خط: نسخ، بی کا؛ تا: 955ق؛ محشی با نشان «املاء فخرالدین ره» و «یع.ط»؛ تملک: محمد علی بن حسن در 1229 ق؛ کاغذ: سپاهانی، جلد: تیماج مشکی ،مقوایی 247گ، 13 سطر ، اندازه: 18</w:t>
      </w:r>
      <w:r>
        <w:rPr>
          <w:rFonts w:ascii="Times New Roman" w:hAnsi="Times New Roman" w:eastAsia="Times New Roman" w:cs="Times New Roman"/>
          <w:lang w:val="en-US" w:bidi="en-US"/>
          <w:color w:val="111111"/>
          <w:sz w:val="28"/>
          <w:szCs w:val="28"/>
          <w:rtl/>
        </w:rPr>
        <w:t xml:space="preserve">×24/5</w:t>
      </w:r>
      <w:r>
        <w:rPr>
          <w:rFonts w:ascii="IRNazanin" w:hAnsi="IRNazanin" w:eastAsia="IRNazanin" w:cs="IRNazanin"/>
          <w:lang w:bidi="fa-IR"/>
          <w:color w:val="111111"/>
          <w:sz w:val="28"/>
          <w:szCs w:val="28"/>
          <w:rtl/>
        </w:rPr>
        <w:t xml:space="preserve">سم [ ف : 3 - 106]</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قم؛ گلپایگانی؛ شماره نسخه: 3647-18/167</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قلی بن درویش ابواعلی، تا: 3 1 ربيع الاول 957ق؛ مصحح، محشی، در آخر چند برگ در فوائد متفرقه ذکر شده؛ تملک: محمد حسن بن کربلائی هاشم بروجینی به تاریخ 1255 در مدرسه مبارکیه اصفهان، محمد صادق بن محمدجعفر اصفهانی به تاریخ محرم 1186 ، محمد تقی بن محمد حسین؛ مهر: «شفيع يحيى فى الاخرة محمد و العترة الطاهره» (بيضى)، «توكلت على الله العبد محمد» (مضلع)؛ جلد: تیماج قهوه ای 284گ، 14 سطر ، اندازه: 12/5</w:t>
      </w:r>
      <w:r>
        <w:rPr>
          <w:rFonts w:ascii="Times New Roman" w:hAnsi="Times New Roman" w:eastAsia="Times New Roman" w:cs="Times New Roman"/>
          <w:lang w:val="en-US" w:bidi="en-US"/>
          <w:color w:val="111111"/>
          <w:sz w:val="28"/>
          <w:szCs w:val="28"/>
          <w:rtl/>
        </w:rPr>
        <w:t xml:space="preserve">×18/5</w:t>
      </w:r>
      <w:r>
        <w:rPr>
          <w:rFonts w:ascii="IRNazanin" w:hAnsi="IRNazanin" w:eastAsia="IRNazanin" w:cs="IRNazanin"/>
          <w:lang w:bidi="fa-IR"/>
          <w:color w:val="111111"/>
          <w:sz w:val="28"/>
          <w:szCs w:val="28"/>
          <w:rtl/>
        </w:rPr>
        <w:t xml:space="preserve">سم [ف: 1 - 302]</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قم؛ مرعشی؛ شماره نسخه: 1588</w:t>
      </w:r>
    </w:p>
    <w:p>
      <w:pPr>
        <w:pStyle w:val="BookText"/>
      </w:pPr>
      <w:r>
        <w:rPr>
          <w:rFonts w:ascii="IRNazanin" w:hAnsi="IRNazanin" w:eastAsia="IRNazanin" w:cs="IRNazanin"/>
          <w:lang w:bidi="fa-IR"/>
          <w:color w:val="111111"/>
          <w:sz w:val="28"/>
          <w:szCs w:val="28"/>
          <w:rtl/>
        </w:rPr>
        <w:t xml:space="preserve">خط: نسخ، کا: میران بن فضل الله ،حسینی تا: جمعه اواسط صفر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958ق؛ محشی به خطوط مختلف و گاهی حاشیه ها در برگ های جداگانه نوشته شده و الصاق شده است، قبل از کتاب پنج صفحه یادداشت های مختلف و وقف نامه کتاب به تاریخ محرم 1252؛ تملک: عبدالعظيم منجم با مهر «العبد عبدالعظیم» (بیضی)، کاظم بن جعفر که از ورثه میر مرتضی که در لکهنو خریده، محمد حسن زربو، حسین بن معتوق بن على الشاخورى البحرانی؛ مهر: معتوق علی» (مربع)، «عاقبت الهى محمود گردان» (مربع)؛ جلد: تیماج مشکی، 190گ 21 سطر ، اندازه: 18</w:t>
      </w:r>
      <w:r>
        <w:rPr>
          <w:rFonts w:ascii="Times New Roman" w:hAnsi="Times New Roman" w:eastAsia="Times New Roman" w:cs="Times New Roman"/>
          <w:lang w:val="en-US" w:bidi="en-US"/>
          <w:color w:val="111111"/>
          <w:sz w:val="28"/>
          <w:szCs w:val="28"/>
          <w:rtl/>
        </w:rPr>
        <w:t xml:space="preserve">×25</w:t>
      </w:r>
      <w:r>
        <w:rPr>
          <w:rFonts w:ascii="IRNazanin" w:hAnsi="IRNazanin" w:eastAsia="IRNazanin" w:cs="IRNazanin"/>
          <w:lang w:bidi="fa-IR"/>
          <w:color w:val="111111"/>
          <w:sz w:val="28"/>
          <w:szCs w:val="28"/>
          <w:rtl/>
        </w:rPr>
        <w:t xml:space="preserve">سم [ف: 4 - 393 ]</w:t>
      </w:r>
    </w:p>
    <w:p>
      <w:pPr>
        <w:pStyle w:val="BookText"/>
      </w:pPr>
      <w:r>
        <w:rPr>
          <w:rFonts w:ascii="IRNazanin" w:hAnsi="IRNazanin" w:eastAsia="IRNazanin" w:cs="IRNazanin"/>
          <w:lang w:bidi="fa-IR"/>
          <w:color w:val="111111"/>
          <w:sz w:val="28"/>
          <w:szCs w:val="28"/>
          <w:rtl/>
        </w:rPr>
        <w:t xml:space="preserve">87.قم؛ گلپایگانی؛ شماره نسخه: 6955-35/135</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 تا:  9 رمضان 959ق؛ دارای حواشی با نشان « ع ل»؛ تملک: علی اکبر بن محمدباقر نصیری طوسی، محمدرضی بن عبدالله بن عبدالرحیم با مهر وی؛ جلد: تیماج مشکی سوخت دارای ترنج با سر و لچکی ،زرین، 299گ12 سطر ، اندازه: 11</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[ف: 1 - 303]</w:t>
      </w:r>
    </w:p>
    <w:p>
      <w:pPr>
        <w:pStyle w:val="BookText"/>
      </w:pPr>
      <w:r>
        <w:rPr>
          <w:rFonts w:ascii="IRNazanin" w:hAnsi="IRNazanin" w:eastAsia="IRNazanin" w:cs="IRNazanin"/>
          <w:lang w:bidi="fa-IR"/>
          <w:color w:val="111111"/>
          <w:sz w:val="28"/>
          <w:szCs w:val="28"/>
          <w:rtl/>
        </w:rPr>
        <w:t xml:space="preserve">88.تهران؛ الهیات؛ شماره نسخه: 10</w:t>
      </w:r>
    </w:p>
    <w:p>
      <w:pPr>
        <w:pStyle w:val="BookText"/>
      </w:pPr>
      <w:r>
        <w:rPr>
          <w:rFonts w:ascii="IRNazanin" w:hAnsi="IRNazanin" w:eastAsia="IRNazanin" w:cs="IRNazanin"/>
          <w:lang w:bidi="fa-IR"/>
          <w:color w:val="111111"/>
          <w:sz w:val="28"/>
          <w:szCs w:val="28"/>
          <w:rtl/>
        </w:rPr>
        <w:t xml:space="preserve">از طهارت تا دیات؛ خط: نسخ، کا: حاجی محمد بن محمد بن حاجی محمد، تا: نیمه رجب 962ق؛ دارای حواشی با نشان«ع ل، رحمه الله، مع ح ع ل»؛ تملک: امیر حسين بن جمال الدین محمد الخوانساری، ابن ابی الحسن محمد رضا الشهرکی، محمد زمان آخوند عبدالغفار در 1156 ؛کاغذ: سپاهانی، جلد: تیماج مشکی ضربی مقوایی، 126گ 21 سطر (11</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قطع: وزیری؛ اندازه: 18/5</w:t>
      </w:r>
      <w:r>
        <w:rPr>
          <w:rFonts w:ascii="Times New Roman" w:hAnsi="Times New Roman" w:eastAsia="Times New Roman" w:cs="Times New Roman"/>
          <w:lang w:val="en-US" w:bidi="en-US"/>
          <w:color w:val="111111"/>
          <w:sz w:val="28"/>
          <w:szCs w:val="28"/>
          <w:rtl/>
        </w:rPr>
        <w:t xml:space="preserve">×25/5</w:t>
      </w:r>
      <w:r>
        <w:rPr>
          <w:rFonts w:ascii="IRNazanin" w:hAnsi="IRNazanin" w:eastAsia="IRNazanin" w:cs="IRNazanin"/>
          <w:lang w:bidi="fa-IR"/>
          <w:color w:val="111111"/>
          <w:sz w:val="28"/>
          <w:szCs w:val="28"/>
          <w:rtl/>
        </w:rPr>
        <w:t xml:space="preserve">سم [ف - 450]</w:t>
      </w:r>
    </w:p>
    <w:p>
      <w:pPr>
        <w:pStyle w:val="BookText"/>
      </w:pPr>
      <w:r>
        <w:rPr>
          <w:rFonts w:ascii="IRNazanin" w:hAnsi="IRNazanin" w:eastAsia="IRNazanin" w:cs="IRNazanin"/>
          <w:lang w:bidi="fa-IR"/>
          <w:color w:val="111111"/>
          <w:sz w:val="28"/>
          <w:szCs w:val="28"/>
          <w:rtl/>
        </w:rPr>
        <w:t xml:space="preserve">89.قم؛ مرعشی؛ شماره نسخه: 7331</w:t>
      </w:r>
    </w:p>
    <w:p>
      <w:pPr>
        <w:pStyle w:val="BookText"/>
      </w:pPr>
      <w:r>
        <w:rPr>
          <w:rFonts w:ascii="IRNazanin" w:hAnsi="IRNazanin" w:eastAsia="IRNazanin" w:cs="IRNazanin"/>
          <w:lang w:bidi="fa-IR"/>
          <w:color w:val="111111"/>
          <w:sz w:val="28"/>
          <w:szCs w:val="28"/>
          <w:rtl/>
        </w:rPr>
        <w:t xml:space="preserve">خط: نسخ، کا: حسن بن على القلعی، تا: 27 رجب 965ق، شیخ فخرالدین بن حسین زین الدین؛ ،مصحح، محشی؛ تملک: علی بن محمد سماحی در مشهد مقدس، حسین بن علی فضیل نجفی به تاریخ ذیقعده 1037 به خط على بن عبدالحسين حسنی، سليمان بن ناصر بن سليمان بن صالح کتکانی به تاریخ 1038؛ جلد: تیماج قهوه ای 173گ 17 سطر ، اندازه: 16</w:t>
      </w:r>
      <w:r>
        <w:rPr>
          <w:rFonts w:ascii="Times New Roman" w:hAnsi="Times New Roman" w:eastAsia="Times New Roman" w:cs="Times New Roman"/>
          <w:lang w:val="en-US" w:bidi="en-US"/>
          <w:color w:val="111111"/>
          <w:sz w:val="28"/>
          <w:szCs w:val="28"/>
          <w:rtl/>
        </w:rPr>
        <w:t xml:space="preserve">×20/5</w:t>
      </w:r>
      <w:r>
        <w:rPr>
          <w:rFonts w:ascii="IRNazanin" w:hAnsi="IRNazanin" w:eastAsia="IRNazanin" w:cs="IRNazanin"/>
          <w:lang w:bidi="fa-IR"/>
          <w:color w:val="111111"/>
          <w:sz w:val="28"/>
          <w:szCs w:val="28"/>
          <w:rtl/>
        </w:rPr>
        <w:t xml:space="preserve">سم [19- 123]</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قزوین؛ امام صادق؛ شماره نسخه: 307</w:t>
      </w:r>
    </w:p>
    <w:p>
      <w:pPr>
        <w:pStyle w:val="BookText"/>
      </w:pPr>
      <w:r>
        <w:rPr>
          <w:rFonts w:ascii="Amiri" w:hAnsi="Amiri" w:eastAsia="Amiri" w:cs="Amiri"/>
          <w:lang w:bidi="ar-SA"/>
          <w:color w:val="111111"/>
          <w:sz w:val="28"/>
          <w:szCs w:val="28"/>
          <w:rtl/>
        </w:rPr>
        <w:t xml:space="preserve">آغاز: النظر السادس فيما يتبع الطهارة، النجاسات عشر ، البول الغائط من ذى النفس السائله</w:t>
      </w:r>
    </w:p>
    <w:p>
      <w:pPr>
        <w:pStyle w:val="BookText"/>
      </w:pPr>
      <w:r>
        <w:rPr>
          <w:rFonts w:ascii="IRNazanin" w:hAnsi="IRNazanin" w:eastAsia="IRNazanin" w:cs="IRNazanin"/>
          <w:lang w:bidi="fa-IR"/>
          <w:color w:val="111111"/>
          <w:sz w:val="28"/>
          <w:szCs w:val="28"/>
          <w:rtl/>
        </w:rPr>
        <w:t xml:space="preserve">خط: نسخ، کا: محمد بن ابراهیم بحرانی، تا: 19 رمضان 965 ؛افتادگی: آغاز؛ 165گ 21 سطر [ف: 1 - 28]</w:t>
      </w:r>
    </w:p>
    <w:p>
      <w:pPr>
        <w:pStyle w:val="BookText"/>
      </w:pPr>
      <w:r>
        <w:rPr>
          <w:rFonts w:ascii="IRNazanin" w:hAnsi="IRNazanin" w:eastAsia="IRNazanin" w:cs="IRNazanin"/>
          <w:lang w:bidi="fa-IR"/>
          <w:color w:val="111111"/>
          <w:sz w:val="28"/>
          <w:szCs w:val="28"/>
          <w:rtl/>
        </w:rPr>
        <w:t xml:space="preserve">91.مشهد؛ رضوی شماره نسخه: 16914</w:t>
      </w:r>
    </w:p>
    <w:p>
      <w:pPr>
        <w:pStyle w:val="BookText"/>
      </w:pPr>
      <w:r>
        <w:rPr>
          <w:rFonts w:ascii="IRNazanin" w:hAnsi="IRNazanin" w:eastAsia="IRNazanin" w:cs="IRNazanin"/>
          <w:lang w:bidi="fa-IR"/>
          <w:color w:val="111111"/>
          <w:sz w:val="28"/>
          <w:szCs w:val="28"/>
          <w:rtl/>
        </w:rPr>
        <w:t xml:space="preserve">آغاز: کذلک والمتجدد في ملكه حينئذ و لو كان بعد الهلال؛ انجام: برابر</w:t>
      </w:r>
    </w:p>
    <w:p>
      <w:pPr>
        <w:pStyle w:val="BookText"/>
      </w:pPr>
      <w:r>
        <w:rPr>
          <w:rFonts w:ascii="IRNazanin" w:hAnsi="IRNazanin" w:eastAsia="IRNazanin" w:cs="IRNazanin"/>
          <w:lang w:bidi="fa-IR"/>
          <w:color w:val="111111"/>
          <w:sz w:val="28"/>
          <w:szCs w:val="28"/>
          <w:rtl/>
        </w:rPr>
        <w:t xml:space="preserve">از اواخر زکات تا پایان کتاب؛ خط: نسخ، کا: محمد بن محمد محمد ،اصفهانی تا: 9 ذیحجه 966ق؛ افتادگی: آغاز؛ محشی با رموز مختلف؛ ارسالی از دانشگاه علوم اسلامی رضوی؛ کاغذ: نخودی آهار مهره :جلد: میشن عنابی یک ،لا 159گ 21 سطر، اندازه: 12/3</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سم [ف: 21/1 - 98]</w:t>
      </w:r>
    </w:p>
    <w:p>
      <w:pPr>
        <w:pStyle w:val="BookText"/>
      </w:pPr>
      <w:r>
        <w:rPr>
          <w:rFonts w:ascii="IRNazanin" w:hAnsi="IRNazanin" w:eastAsia="IRNazanin" w:cs="IRNazanin"/>
          <w:lang w:bidi="fa-IR"/>
          <w:color w:val="111111"/>
          <w:sz w:val="28"/>
          <w:szCs w:val="28"/>
          <w:rtl/>
        </w:rPr>
        <w:t xml:space="preserve">92.مشهد؛ رضوی؛ شماره نسخه:11408</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ثلث جلی، کا: قاسم بن محمد، تا: ربیع الثانى 966ق؛ ،مصحح ،محشی، مقابله شده واقف: محمد صالح علامه حائری، مرداد 1351 کاغذ: نخودی، جلد: مقوا رویه پارچه، 182گ، 15 سطر ، اندازه: 19</w:t>
      </w:r>
      <w:r>
        <w:rPr>
          <w:rFonts w:ascii="Times New Roman" w:hAnsi="Times New Roman" w:eastAsia="Times New Roman" w:cs="Times New Roman"/>
          <w:lang w:val="en-US" w:bidi="en-US"/>
          <w:color w:val="111111"/>
          <w:sz w:val="28"/>
          <w:szCs w:val="28"/>
          <w:rtl/>
        </w:rPr>
        <w:t xml:space="preserve">×25/5</w:t>
      </w:r>
      <w:r>
        <w:rPr>
          <w:rFonts w:ascii="IRNazanin" w:hAnsi="IRNazanin" w:eastAsia="IRNazanin" w:cs="IRNazanin"/>
          <w:lang w:bidi="fa-IR"/>
          <w:color w:val="111111"/>
          <w:sz w:val="28"/>
          <w:szCs w:val="28"/>
          <w:rtl/>
        </w:rPr>
        <w:t xml:space="preserve">سم [ف: 21/1 - 71]</w:t>
      </w:r>
    </w:p>
    <w:p>
      <w:pPr>
        <w:pStyle w:val="BookText"/>
      </w:pPr>
      <w:r>
        <w:rPr>
          <w:rFonts w:ascii="IRNazanin" w:hAnsi="IRNazanin" w:eastAsia="IRNazanin" w:cs="IRNazanin"/>
          <w:lang w:bidi="fa-IR"/>
          <w:color w:val="111111"/>
          <w:sz w:val="28"/>
          <w:szCs w:val="28"/>
          <w:rtl/>
        </w:rPr>
        <w:t xml:space="preserve">93.مشهد؛ مدرسه باقریه؛ شماره نسخه: 2</w:t>
      </w:r>
    </w:p>
    <w:p>
      <w:pPr>
        <w:pStyle w:val="BookText"/>
      </w:pPr>
      <w:r>
        <w:rPr>
          <w:rFonts w:ascii="IRNazanin" w:hAnsi="IRNazanin" w:eastAsia="IRNazanin" w:cs="IRNazanin"/>
          <w:lang w:bidi="fa-IR"/>
          <w:color w:val="111111"/>
          <w:sz w:val="28"/>
          <w:szCs w:val="28"/>
          <w:rtl/>
        </w:rPr>
        <w:t xml:space="preserve">از اوایل خمس تا آخر کتاب؛ کا: حسین بن محمد بن محمد بن محمد ،اصفهانی، تا: ذیحجه 966ق تملک: محمد صالح محی؛ 21 سطر ، قطع رقعی اندازه : 6</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سم [ تراثنا: س6ش 1 – 68]</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قائن؛ حسینی قهستانی؛ شماره نسخه: 17</w:t>
      </w:r>
    </w:p>
    <w:p>
      <w:pPr>
        <w:pStyle w:val="BookText"/>
      </w:pPr>
      <w:r>
        <w:rPr>
          <w:rFonts w:ascii="IRNazanin" w:hAnsi="IRNazanin" w:eastAsia="IRNazanin" w:cs="IRNazanin"/>
          <w:lang w:bidi="fa-IR"/>
          <w:color w:val="111111"/>
          <w:sz w:val="28"/>
          <w:szCs w:val="28"/>
          <w:rtl/>
        </w:rPr>
        <w:t xml:space="preserve">خط: نسخ، كا: حسين بن سلطان علی و رامنی، تا: یک شنبه 26 ذيقعده 967ق، جا: ساوه، مصحح، محشی، در سه برگ اول فوائد متفرقه فقهی بسیار یادداشتی از محمد باقر حسینی به سال 1154 و یادداشتی به سال 994 در پنج برگ آخر نیز یادداشت های فقهی مفصل؛ تملک: «اشرف الشريف القائنی» به سال 1157، (محمد علی بن محمد باقر قائنی) جلد: تیماج قهوه ای ضربی، 189گ، 15 سطر ، اندازه: 16</w:t>
      </w:r>
      <w:r>
        <w:rPr>
          <w:rFonts w:ascii="Times New Roman" w:hAnsi="Times New Roman" w:eastAsia="Times New Roman" w:cs="Times New Roman"/>
          <w:lang w:val="en-US" w:bidi="en-US"/>
          <w:color w:val="111111"/>
          <w:sz w:val="28"/>
          <w:szCs w:val="28"/>
          <w:rtl/>
        </w:rPr>
        <w:t xml:space="preserve">×25/5</w:t>
      </w:r>
      <w:r>
        <w:rPr>
          <w:rFonts w:ascii="IRNazanin" w:hAnsi="IRNazanin" w:eastAsia="IRNazanin" w:cs="IRNazanin"/>
          <w:lang w:bidi="fa-IR"/>
          <w:color w:val="111111"/>
          <w:sz w:val="28"/>
          <w:szCs w:val="28"/>
          <w:rtl/>
        </w:rPr>
        <w:t xml:space="preserve">سم [ف: 128]</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قم: گلپایگانی؛ شماره نسخه: 6265-31/145</w:t>
      </w:r>
    </w:p>
    <w:p>
      <w:pPr>
        <w:pStyle w:val="BookText"/>
      </w:pPr>
      <w:r>
        <w:rPr>
          <w:rFonts w:ascii="Amiri" w:hAnsi="Amiri" w:eastAsia="Amiri" w:cs="Amiri"/>
          <w:lang w:bidi="ar-SA"/>
          <w:color w:val="111111"/>
          <w:sz w:val="28"/>
          <w:szCs w:val="28"/>
          <w:rtl/>
        </w:rPr>
        <w:t xml:space="preserve">آغاز : برابر؛ انجام: والله الموفق لكل خير والدافع لكل شرٍ تم الكتاب المسمى بالارشاد بتوفيق الله المنان الهادى للرشاد</w:t>
      </w:r>
    </w:p>
    <w:p>
      <w:pPr>
        <w:pStyle w:val="BookText"/>
      </w:pPr>
      <w:r>
        <w:rPr>
          <w:rFonts w:ascii="IRNazanin" w:hAnsi="IRNazanin" w:eastAsia="IRNazanin" w:cs="IRNazanin"/>
          <w:lang w:bidi="fa-IR"/>
          <w:color w:val="111111"/>
          <w:sz w:val="28"/>
          <w:szCs w:val="28"/>
          <w:rtl/>
        </w:rPr>
        <w:t xml:space="preserve">خط : نسخ، کا: شاه حسین بن شمس الدین همدانی، تا: رمضان 967ق، مصحح، محشی؛ تملک: محمد سديد، عبدالجبار بن شكر الله در 1019 واقف: عبدالكريم بن محمد تنکابنی؛ جلد: تيماج مشكى مجدول با ترنج و سرترنج، 227گ، 15 سطر ، اندازه 13</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1 - 303]</w:t>
      </w:r>
    </w:p>
    <w:p>
      <w:pPr>
        <w:pStyle w:val="BookText"/>
      </w:pPr>
      <w:r>
        <w:rPr>
          <w:rFonts w:ascii="IRNazanin" w:hAnsi="IRNazanin" w:eastAsia="IRNazanin" w:cs="IRNazanin"/>
          <w:lang w:bidi="fa-IR"/>
          <w:color w:val="111111"/>
          <w:sz w:val="28"/>
          <w:szCs w:val="28"/>
          <w:rtl/>
        </w:rPr>
        <w:t xml:space="preserve">96 . قم؛ گلپایگانی؛ شماره نسخه: 5202/1-26/82</w:t>
      </w:r>
    </w:p>
    <w:p>
      <w:pPr>
        <w:pStyle w:val="BookText"/>
      </w:pPr>
      <w:r>
        <w:rPr>
          <w:rFonts w:ascii="Amiri" w:hAnsi="Amiri" w:eastAsia="Amiri" w:cs="Amiri"/>
          <w:lang w:bidi="ar-SA"/>
          <w:color w:val="111111"/>
          <w:sz w:val="28"/>
          <w:szCs w:val="28"/>
          <w:rtl/>
        </w:rPr>
        <w:t xml:space="preserve">آغاز: برابر؛ انجام: والامام ولى من لاولى له يقبض في العمد يستوفى الدية في الخطاء و الشبهة و ليس له العفو عنهما و مع تعددالجنايات يتعدد الديات و ان اتحد الجانى.</w:t>
      </w:r>
    </w:p>
    <w:p>
      <w:pPr>
        <w:pStyle w:val="BookText"/>
      </w:pPr>
      <w:r>
        <w:rPr>
          <w:rFonts w:ascii="IRNazanin" w:hAnsi="IRNazanin" w:eastAsia="IRNazanin" w:cs="IRNazanin"/>
          <w:lang w:bidi="fa-IR"/>
          <w:color w:val="111111"/>
          <w:sz w:val="28"/>
          <w:szCs w:val="28"/>
          <w:rtl/>
        </w:rPr>
        <w:t xml:space="preserve">خط: نسخ، كا: مرتضى بن غیاث الدین محمد، تا: 11 رمضان 969ق؛ تملک: ملامحسن فیض کاشانی؛ جلد: تیماج مشکی 139گ، 17 سطر ، اندازه: 18</w:t>
      </w:r>
      <w:r>
        <w:rPr>
          <w:rFonts w:ascii="Times New Roman" w:hAnsi="Times New Roman" w:eastAsia="Times New Roman" w:cs="Times New Roman"/>
          <w:lang w:val="en-US" w:bidi="en-US"/>
          <w:color w:val="111111"/>
          <w:sz w:val="28"/>
          <w:szCs w:val="28"/>
          <w:rtl/>
        </w:rPr>
        <w:t xml:space="preserve">×25</w:t>
      </w:r>
      <w:r>
        <w:rPr>
          <w:rFonts w:ascii="IRNazanin" w:hAnsi="IRNazanin" w:eastAsia="IRNazanin" w:cs="IRNazanin"/>
          <w:lang w:bidi="fa-IR"/>
          <w:color w:val="111111"/>
          <w:sz w:val="28"/>
          <w:szCs w:val="28"/>
          <w:rtl/>
        </w:rPr>
        <w:t xml:space="preserve">سم [ف: 1 - 304]</w:t>
      </w:r>
    </w:p>
    <w:p>
      <w:pPr>
        <w:pStyle w:val="BookText"/>
      </w:pPr>
      <w:r>
        <w:rPr>
          <w:rFonts w:ascii="IRNazanin" w:hAnsi="IRNazanin" w:eastAsia="IRNazanin" w:cs="IRNazanin"/>
          <w:lang w:bidi="fa-IR"/>
          <w:color w:val="111111"/>
          <w:sz w:val="28"/>
          <w:szCs w:val="28"/>
          <w:rtl/>
        </w:rPr>
        <w:t xml:space="preserve">97 . قم؛ گلپایگانی؛ شماره نسخه : 5159/1-26/39</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 نسخ، بی کا، تا: جمعه 11 محرم 969ق، جا: منزل كمال الدین حسین شیرازی؛ در برگ اول چند قاعده فقهی و احادیث مشهور در ابواب فقه جلد: تیماج سوخت با ترنج با سر و لچکی، 324گ، 12 سطر ، اندازه: 18</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1 - 302]</w:t>
      </w:r>
    </w:p>
    <w:p>
      <w:pPr>
        <w:pStyle w:val="BookText"/>
      </w:pPr>
      <w:r>
        <w:rPr>
          <w:rFonts w:ascii="IRNazanin" w:hAnsi="IRNazanin" w:eastAsia="IRNazanin" w:cs="IRNazanin"/>
          <w:lang w:bidi="fa-IR"/>
          <w:color w:val="111111"/>
          <w:sz w:val="28"/>
          <w:szCs w:val="28"/>
          <w:rtl/>
        </w:rPr>
        <w:t xml:space="preserve">98 شیراز؛ شاهچراغ؛ شماره نسخه: 2366</w:t>
      </w:r>
    </w:p>
    <w:p>
      <w:pPr>
        <w:pStyle w:val="BookText"/>
      </w:pPr>
      <w:r>
        <w:rPr>
          <w:rFonts w:ascii="IRNazanin" w:hAnsi="IRNazanin" w:eastAsia="IRNazanin" w:cs="IRNazanin"/>
          <w:lang w:bidi="fa-IR"/>
          <w:color w:val="111111"/>
          <w:sz w:val="28"/>
          <w:szCs w:val="28"/>
          <w:rtl/>
        </w:rPr>
        <w:t xml:space="preserve">خط: نستعليق، كا: خليفه بن عبدالله بن محمود طارمی نیرجی، تا: جمعه 15 جمادی الثانی 969ق؛ محشی؛ اندازه: 13</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[ف: 3 - 6]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99 قم؛ فیضیه؛ شماره نسخه: 599</w:t>
      </w:r>
    </w:p>
    <w:p>
      <w:pPr>
        <w:pStyle w:val="BookText"/>
      </w:pPr>
      <w:r>
        <w:rPr>
          <w:rFonts w:ascii="IRNazanin" w:hAnsi="IRNazanin" w:eastAsia="IRNazanin" w:cs="IRNazanin"/>
          <w:lang w:bidi="fa-IR"/>
          <w:color w:val="111111"/>
          <w:sz w:val="28"/>
          <w:szCs w:val="28"/>
          <w:rtl/>
        </w:rPr>
        <w:t xml:space="preserve">خط : نسخ، کا: علی بن رکن الدین تا: شوال 970ق؛ مصحح، محشی؛ 98گ، 25 سطر ، اندازه: 17</w:t>
      </w:r>
      <w:r>
        <w:rPr>
          <w:rFonts w:ascii="Times New Roman" w:hAnsi="Times New Roman" w:eastAsia="Times New Roman" w:cs="Times New Roman"/>
          <w:lang w:val="en-US" w:bidi="en-US"/>
          <w:color w:val="111111"/>
          <w:sz w:val="28"/>
          <w:szCs w:val="28"/>
          <w:rtl/>
        </w:rPr>
        <w:t xml:space="preserve">×23</w:t>
      </w:r>
      <w:r>
        <w:rPr>
          <w:rFonts w:ascii="IRNazanin" w:hAnsi="IRNazanin" w:eastAsia="IRNazanin" w:cs="IRNazanin"/>
          <w:lang w:bidi="fa-IR"/>
          <w:color w:val="111111"/>
          <w:sz w:val="28"/>
          <w:szCs w:val="28"/>
          <w:rtl/>
        </w:rPr>
        <w:t xml:space="preserve">سم [ف: 1 - 8]</w:t>
      </w:r>
    </w:p>
    <w:p>
      <w:pPr>
        <w:pStyle w:val="BookText"/>
      </w:pPr>
      <w:r>
        <w:rPr>
          <w:rFonts w:ascii="IRNazanin" w:hAnsi="IRNazanin" w:eastAsia="IRNazanin" w:cs="IRNazanin"/>
          <w:lang w:bidi="fa-IR"/>
          <w:color w:val="111111"/>
          <w:sz w:val="28"/>
          <w:szCs w:val="28"/>
          <w:rtl/>
        </w:rPr>
        <w:t xml:space="preserve">قم؛ مرکز احیاء؛ شماره نسخه: 659</w:t>
      </w:r>
    </w:p>
    <w:p>
      <w:pPr>
        <w:pStyle w:val="BookText"/>
      </w:pPr>
      <w:r>
        <w:rPr>
          <w:rFonts w:ascii="IRNazanin" w:hAnsi="IRNazanin" w:eastAsia="IRNazanin" w:cs="IRNazanin"/>
          <w:lang w:bidi="fa-IR"/>
          <w:color w:val="111111"/>
          <w:sz w:val="28"/>
          <w:szCs w:val="28"/>
          <w:rtl/>
        </w:rPr>
        <w:t xml:space="preserve">نسخه اصل: همان نسخه بالا [عکسی ف 2 - 287]</w:t>
      </w:r>
    </w:p>
    <w:p>
      <w:pPr>
        <w:pStyle w:val="BookText"/>
      </w:pPr>
      <w:r>
        <w:rPr>
          <w:rFonts w:ascii="IRNazanin" w:hAnsi="IRNazanin" w:eastAsia="IRNazanin" w:cs="IRNazanin"/>
          <w:lang w:bidi="fa-IR"/>
          <w:color w:val="111111"/>
          <w:sz w:val="28"/>
          <w:szCs w:val="28"/>
          <w:rtl/>
        </w:rPr>
        <w:t xml:space="preserve">100.خوی؛ نمازی؛ شماره نسخه: 344</w:t>
      </w:r>
    </w:p>
    <w:p>
      <w:pPr>
        <w:pStyle w:val="BookText"/>
      </w:pPr>
      <w:r>
        <w:rPr>
          <w:rFonts w:ascii="IRNazanin" w:hAnsi="IRNazanin" w:eastAsia="IRNazanin" w:cs="IRNazanin"/>
          <w:lang w:bidi="fa-IR"/>
          <w:color w:val="111111"/>
          <w:sz w:val="28"/>
          <w:szCs w:val="28"/>
          <w:rtl/>
        </w:rPr>
        <w:t xml:space="preserve">از اول کتاب تا آخر بیع؛ تا آخر بیع؛خط: نسخ ،کا:حسین بن حسن النظام،تا: 15 شوال 970ق؛ جا: اردبیل با حواشی شیخعلی بن عبدالعالی محقق کرکی (940) ؛ واقف : ساجدی؛ جلد: تیماج ضربی با ترنج با سر مجدول ، 17 سطر ، اندازه : 15</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:171]</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تهران؛ حقوق؛ شماره نسخه: 345 - ج</w:t>
      </w:r>
    </w:p>
    <w:p>
      <w:pPr>
        <w:pStyle w:val="BookText"/>
      </w:pPr>
      <w:r>
        <w:rPr>
          <w:rFonts w:ascii="IRNazanin" w:hAnsi="IRNazanin" w:eastAsia="IRNazanin" w:cs="IRNazanin"/>
          <w:lang w:bidi="fa-IR"/>
          <w:color w:val="111111"/>
          <w:sz w:val="28"/>
          <w:szCs w:val="28"/>
          <w:rtl/>
        </w:rPr>
        <w:t xml:space="preserve">خط : نسخ، بی کا، تا: سه شنبه 12 شوال 971 ق؛ دارای حواشی نشان «ع ل» واقف: حاجی محمد مهدی و حاجی محمد حسین دو وصی حاج زين العابدین مثقالی فروش با صوابدید میر محمد شاه شاهانی 1260 ؛کاغذ: سپاهانی، جلد: مقوای آراسته 294گ ، 12 سطر (10</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اندازه: 19</w:t>
      </w:r>
      <w:r>
        <w:rPr>
          <w:rFonts w:ascii="Times New Roman" w:hAnsi="Times New Roman" w:eastAsia="Times New Roman" w:cs="Times New Roman"/>
          <w:lang w:val="en-US" w:bidi="en-US"/>
          <w:color w:val="111111"/>
          <w:sz w:val="28"/>
          <w:szCs w:val="28"/>
          <w:rtl/>
        </w:rPr>
        <w:t xml:space="preserve">×25</w:t>
      </w:r>
      <w:r>
        <w:rPr>
          <w:rFonts w:ascii="IRNazanin" w:hAnsi="IRNazanin" w:eastAsia="IRNazanin" w:cs="IRNazanin"/>
          <w:lang w:bidi="fa-IR"/>
          <w:color w:val="111111"/>
          <w:sz w:val="28"/>
          <w:szCs w:val="28"/>
          <w:rtl/>
        </w:rPr>
        <w:t xml:space="preserve">سم [ف: 241]</w:t>
      </w:r>
    </w:p>
    <w:p>
      <w:pPr>
        <w:pStyle w:val="BookText"/>
      </w:pPr>
      <w:r>
        <w:rPr>
          <w:rFonts w:ascii="IRNazanin" w:hAnsi="IRNazanin" w:eastAsia="IRNazanin" w:cs="IRNazanin"/>
          <w:lang w:bidi="fa-IR"/>
          <w:color w:val="111111"/>
          <w:sz w:val="28"/>
          <w:szCs w:val="28"/>
          <w:rtl/>
        </w:rPr>
        <w:t xml:space="preserve">102 . اصفهان؛ مدرسه صدر بازار؛ شماره نسخه: 648</w:t>
      </w:r>
    </w:p>
    <w:p>
      <w:pPr>
        <w:pStyle w:val="BookText"/>
      </w:pPr>
      <w:r>
        <w:rPr>
          <w:rFonts w:ascii="IRNazanin" w:hAnsi="IRNazanin" w:eastAsia="IRNazanin" w:cs="IRNazanin"/>
          <w:lang w:bidi="fa-IR"/>
          <w:color w:val="111111"/>
          <w:sz w:val="28"/>
          <w:szCs w:val="28"/>
          <w:rtl/>
        </w:rPr>
        <w:t xml:space="preserve">خط: نسخ، جمادی الثانی 971ق ؛جا: قزوین، منزل قاضی اغلی؛ مصحح، محشی، دارای امضای ،بلاغ در برگ پایانی یادداشتی در صیغه عقد متعه و یادداشتی از نورالدین محمد بن علیشاه که کتاب را به فرزندش عبدالحی هبه نموده؛ مهر: «الله نور السموات و الارض» (دایره)، «تابع دین محمد کاظم» (بیضی)؛ تملک: کاتب :جلد تیماج</w:t>
      </w:r>
    </w:p>
    <w:p>
      <w:pPr>
        <w:pStyle w:val="BookText"/>
      </w:pPr>
      <w:r>
        <w:rPr>
          <w:rFonts w:ascii="IRNazanin" w:hAnsi="IRNazanin" w:eastAsia="IRNazanin" w:cs="IRNazanin"/>
          <w:lang w:bidi="fa-IR"/>
          <w:color w:val="111111"/>
          <w:sz w:val="28"/>
          <w:szCs w:val="28"/>
          <w:rtl/>
        </w:rPr>
        <w:t xml:space="preserve">دورو قهوه ای، 251گ، 12 سطر ، اندازه: 12</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 ف : 22 - 477 ]</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مشهد؛ نواب؛ شماره نسخه: 179</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از طهارت تا دیات؛ خط: نسخ، کا: درویش محمد بن احمد سنگی حسینی، تا: چهارشنبه سلخ ذیحجه 971ق؛ دارای حواشی با نشان «س، فخرالدین ع ل و ... در پیشانی صفحه اول با مرحوم حاج شیخ عبدالنبی کجوری (رحمه الله) آمده:</w:t>
      </w:r>
    </w:p>
    <w:p>
      <w:pPr>
        <w:pStyle w:val="BookText"/>
      </w:pPr>
      <w:r>
        <w:rPr>
          <w:rFonts w:ascii="IRNazanin" w:hAnsi="IRNazanin" w:eastAsia="IRNazanin" w:cs="IRNazanin"/>
          <w:lang w:bidi="fa-IR"/>
          <w:color w:val="111111"/>
          <w:sz w:val="28"/>
          <w:szCs w:val="28"/>
          <w:rtl/>
        </w:rPr>
        <w:t xml:space="preserve">«از جمله 51 جلد کتابی است که حسب الوصيه مرحوم شيخ جلال الدین اسلامی بر کتابخانه مدرسه نواب وقف گردیده است در 1388ه.ق برابر با 1347 خورشیدی؛ واقف: شيخ جلال الدین اسلامی، 1388ق؛ جلد: تیماج قهوه ای ،ضربی، 283گ 14 سطر (9/5</w:t>
      </w:r>
      <w:r>
        <w:rPr>
          <w:rFonts w:ascii="Times New Roman" w:hAnsi="Times New Roman" w:eastAsia="Times New Roman" w:cs="Times New Roman"/>
          <w:lang w:val="en-US" w:bidi="en-US"/>
          <w:color w:val="111111"/>
          <w:sz w:val="28"/>
          <w:szCs w:val="28"/>
          <w:rtl/>
        </w:rPr>
        <w:t xml:space="preserve">×14/5)</w:t>
      </w:r>
      <w:r>
        <w:rPr>
          <w:rFonts w:ascii="IRNazanin" w:hAnsi="IRNazanin" w:eastAsia="IRNazanin" w:cs="IRNazanin"/>
          <w:lang w:bidi="fa-IR"/>
          <w:color w:val="111111"/>
          <w:sz w:val="28"/>
          <w:szCs w:val="28"/>
          <w:rtl/>
        </w:rPr>
        <w:t xml:space="preserve">، اندازه: 16/5</w:t>
      </w:r>
      <w:r>
        <w:rPr>
          <w:rFonts w:ascii="Times New Roman" w:hAnsi="Times New Roman" w:eastAsia="Times New Roman" w:cs="Times New Roman"/>
          <w:lang w:val="en-US" w:bidi="en-US"/>
          <w:color w:val="111111"/>
          <w:sz w:val="28"/>
          <w:szCs w:val="28"/>
          <w:rtl/>
        </w:rPr>
        <w:t xml:space="preserve">×24/5</w:t>
      </w:r>
      <w:r>
        <w:rPr>
          <w:rFonts w:ascii="IRNazanin" w:hAnsi="IRNazanin" w:eastAsia="IRNazanin" w:cs="IRNazanin"/>
          <w:lang w:bidi="fa-IR"/>
          <w:color w:val="111111"/>
          <w:sz w:val="28"/>
          <w:szCs w:val="28"/>
          <w:rtl/>
        </w:rPr>
        <w:t xml:space="preserve">سم [ف: 160]</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یزد؛ وزیری شماره نسخه: 1605</w:t>
      </w:r>
    </w:p>
    <w:p>
      <w:pPr>
        <w:pStyle w:val="BookText"/>
      </w:pPr>
      <w:r>
        <w:rPr>
          <w:rFonts w:ascii="IRNazanin" w:hAnsi="IRNazanin" w:eastAsia="IRNazanin" w:cs="IRNazanin"/>
          <w:lang w:bidi="fa-IR"/>
          <w:color w:val="111111"/>
          <w:sz w:val="28"/>
          <w:szCs w:val="28"/>
          <w:rtl/>
        </w:rPr>
        <w:t xml:space="preserve">خط: نسخ، کا: محمد بن ،نظام، تا: رمضان 972ق؛ مهر تملک: « على اصغر الموسوى»؛ کاغذ: سمرقندی، جلد: مقوایی تیماج قرمز، 151 گ، 19 سطر (10</w:t>
      </w:r>
      <w:r>
        <w:rPr>
          <w:rFonts w:ascii="Times New Roman" w:hAnsi="Times New Roman" w:eastAsia="Times New Roman" w:cs="Times New Roman"/>
          <w:lang w:val="en-US" w:bidi="en-US"/>
          <w:color w:val="111111"/>
          <w:sz w:val="28"/>
          <w:szCs w:val="28"/>
          <w:rtl/>
        </w:rPr>
        <w:t xml:space="preserve">×15/5)</w:t>
      </w:r>
      <w:r>
        <w:rPr>
          <w:rFonts w:ascii="IRNazanin" w:hAnsi="IRNazanin" w:eastAsia="IRNazanin" w:cs="IRNazanin"/>
          <w:lang w:bidi="fa-IR"/>
          <w:color w:val="111111"/>
          <w:sz w:val="28"/>
          <w:szCs w:val="28"/>
          <w:rtl/>
        </w:rPr>
        <w:t xml:space="preserve">، اندازه: 17</w:t>
      </w:r>
      <w:r>
        <w:rPr>
          <w:rFonts w:ascii="Times New Roman" w:hAnsi="Times New Roman" w:eastAsia="Times New Roman" w:cs="Times New Roman"/>
          <w:lang w:val="en-US" w:bidi="en-US"/>
          <w:color w:val="111111"/>
          <w:sz w:val="28"/>
          <w:szCs w:val="28"/>
          <w:rtl/>
        </w:rPr>
        <w:t xml:space="preserve">×25</w:t>
      </w:r>
      <w:r>
        <w:rPr>
          <w:rFonts w:ascii="IRNazanin" w:hAnsi="IRNazanin" w:eastAsia="IRNazanin" w:cs="IRNazanin"/>
          <w:lang w:bidi="fa-IR"/>
          <w:color w:val="111111"/>
          <w:sz w:val="28"/>
          <w:szCs w:val="28"/>
          <w:rtl/>
        </w:rPr>
        <w:t xml:space="preserve">سم [ف: 3 - 1000 ]</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قم؛ فیضیه؛ شماره نسخه: 404</w:t>
      </w:r>
    </w:p>
    <w:p>
      <w:pPr>
        <w:pStyle w:val="BookText"/>
      </w:pPr>
      <w:r>
        <w:rPr>
          <w:rFonts w:ascii="IRNazanin" w:hAnsi="IRNazanin" w:eastAsia="IRNazanin" w:cs="IRNazanin"/>
          <w:lang w:bidi="fa-IR"/>
          <w:color w:val="111111"/>
          <w:sz w:val="28"/>
          <w:szCs w:val="28"/>
          <w:rtl/>
        </w:rPr>
        <w:t xml:space="preserve">خط: نستعليق، كا: علی بن عبدالله، تا: 973 ق؛ افتادگی: آغاز انجام؛ 181گ، 17 سطر ، اندازه: 17</w:t>
      </w:r>
      <w:r>
        <w:rPr>
          <w:rFonts w:ascii="Times New Roman" w:hAnsi="Times New Roman" w:eastAsia="Times New Roman" w:cs="Times New Roman"/>
          <w:lang w:val="en-US" w:bidi="en-US"/>
          <w:color w:val="111111"/>
          <w:sz w:val="28"/>
          <w:szCs w:val="28"/>
          <w:rtl/>
        </w:rPr>
        <w:t xml:space="preserve">×24</w:t>
      </w:r>
      <w:r>
        <w:rPr>
          <w:rFonts w:ascii="IRNazanin" w:hAnsi="IRNazanin" w:eastAsia="IRNazanin" w:cs="IRNazanin"/>
          <w:lang w:bidi="fa-IR"/>
          <w:color w:val="111111"/>
          <w:sz w:val="28"/>
          <w:szCs w:val="28"/>
          <w:rtl/>
        </w:rPr>
        <w:t xml:space="preserve">سم [ف: 1 - 8]</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تهران؛ ملی؛ شماره نسخه: 1531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قام بن الشيخ محمد ،رشتی، تا: 973ق؛ چند صفحه در آداب زیارت و اغسال ،مسنونه، از صفحه 11 متن ارشاد؛ کاغذ: هندی، جلد: تیماج یشمی دارای ترنج و نیم ترنج کوبیده، 244گ، 12 سطر :(8</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اندازه: 15</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سم [ف: 10 - 25]</w:t>
      </w:r>
    </w:p>
    <w:p>
      <w:pPr>
        <w:pStyle w:val="BookText"/>
      </w:pPr>
      <w:r>
        <w:rPr>
          <w:rFonts w:ascii="IRNazanin" w:hAnsi="IRNazanin" w:eastAsia="IRNazanin" w:cs="IRNazanin"/>
          <w:lang w:bidi="fa-IR"/>
          <w:color w:val="111111"/>
          <w:sz w:val="28"/>
          <w:szCs w:val="28"/>
          <w:rtl/>
        </w:rPr>
        <w:t xml:space="preserve">107 یزد؛ وزیری؛ شماره نسخه: 12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شاه علی بن عمادالدین زواره ای، تا: سلخ رجب  973ق محشی به نشان های «ل ع » و «12»، مصحح؛ اهدائی غلامحسین صالح زاده؛ جلد: مقوایی تیماج مشکی عطف و حواشی تیماج تریاکی، 123گ 19 سطر (11/5</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اندازه:</w:t>
      </w:r>
    </w:p>
    <w:p>
      <w:pPr>
        <w:pStyle w:val="BookText"/>
      </w:pPr>
      <w:r>
        <w:rPr>
          <w:rFonts w:ascii="Times New Roman" w:hAnsi="Times New Roman" w:eastAsia="Times New Roman" w:cs="Times New Roman"/>
          <w:lang w:val="en-US" w:bidi="en-US"/>
          <w:color w:val="111111"/>
          <w:sz w:val="28"/>
          <w:szCs w:val="28"/>
          <w:rtl/>
        </w:rPr>
        <w:t xml:space="preserve">17/5×24/5</w:t>
      </w:r>
      <w:r>
        <w:rPr>
          <w:rFonts w:ascii="IRNazanin" w:hAnsi="IRNazanin" w:eastAsia="IRNazanin" w:cs="IRNazanin"/>
          <w:lang w:bidi="fa-IR"/>
          <w:color w:val="111111"/>
          <w:sz w:val="28"/>
          <w:szCs w:val="28"/>
          <w:rtl/>
        </w:rPr>
        <w:t xml:space="preserve">سم [ف: 1 - 13]</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قم؛ مرعشی؛ شماره نسخه: 9358</w:t>
      </w:r>
    </w:p>
    <w:p>
      <w:pPr>
        <w:pStyle w:val="BookText"/>
      </w:pPr>
      <w:r>
        <w:rPr>
          <w:rFonts w:ascii="IRNazanin" w:hAnsi="IRNazanin" w:eastAsia="IRNazanin" w:cs="IRNazanin"/>
          <w:lang w:bidi="fa-IR"/>
          <w:color w:val="111111"/>
          <w:sz w:val="28"/>
          <w:szCs w:val="28"/>
          <w:rtl/>
        </w:rPr>
        <w:t xml:space="preserve">خط: نسخ، کا: شاه علی بن عماد الدين بن شاه علی زواره ای، تا: دوشنبه 18 صفر 973ق؛ جا: قریه محمد؛ مصحح، محشی؛ جلد: مقوایی عطف تیماج قهوه ای132گ، 19 سطر ، اندازه: 19</w:t>
      </w:r>
      <w:r>
        <w:rPr>
          <w:rFonts w:ascii="Times New Roman" w:hAnsi="Times New Roman" w:eastAsia="Times New Roman" w:cs="Times New Roman"/>
          <w:lang w:val="en-US" w:bidi="en-US"/>
          <w:color w:val="111111"/>
          <w:sz w:val="28"/>
          <w:szCs w:val="28"/>
          <w:rtl/>
        </w:rPr>
        <w:t xml:space="preserve">× 25 </w:t>
      </w:r>
      <w:r>
        <w:rPr>
          <w:rFonts w:ascii="IRNazanin" w:hAnsi="IRNazanin" w:eastAsia="IRNazanin" w:cs="IRNazanin"/>
          <w:lang w:bidi="fa-IR"/>
          <w:color w:val="111111"/>
          <w:sz w:val="28"/>
          <w:szCs w:val="28"/>
          <w:rtl/>
        </w:rPr>
        <w:t xml:space="preserve">سم :[ف: 24 - 149]</w:t>
      </w:r>
    </w:p>
    <w:p>
      <w:pPr>
        <w:pStyle w:val="BookText"/>
      </w:pPr>
      <w:r>
        <w:rPr>
          <w:rFonts w:ascii="IRNazanin" w:hAnsi="IRNazanin" w:eastAsia="IRNazanin" w:cs="IRNazanin"/>
          <w:lang w:bidi="fa-IR"/>
          <w:color w:val="111111"/>
          <w:sz w:val="28"/>
          <w:szCs w:val="28"/>
          <w:rtl/>
        </w:rPr>
        <w:t xml:space="preserve">109 . قم؛ مرکز احیاء؛ شماره نسخه: 2273</w:t>
      </w:r>
    </w:p>
    <w:p>
      <w:pPr>
        <w:pStyle w:val="BookText"/>
      </w:pPr>
      <w:r>
        <w:rPr>
          <w:rFonts w:ascii="Amiri" w:hAnsi="Amiri" w:eastAsia="Amiri" w:cs="Amiri"/>
          <w:lang w:bidi="ar-SA"/>
          <w:color w:val="111111"/>
          <w:sz w:val="28"/>
          <w:szCs w:val="28"/>
          <w:rtl/>
        </w:rPr>
        <w:t xml:space="preserve">آغاز: للسداد فليس المعصوم الا من عصمه الله تعالى من انبيائه و اوصيائه عليهم أفضل الصلاة؛ انجام: برابر</w:t>
      </w:r>
    </w:p>
    <w:p>
      <w:pPr>
        <w:pStyle w:val="BookText"/>
      </w:pPr>
      <w:r>
        <w:rPr>
          <w:rFonts w:ascii="IRNazanin" w:hAnsi="IRNazanin" w:eastAsia="IRNazanin" w:cs="IRNazanin"/>
          <w:lang w:bidi="fa-IR"/>
          <w:color w:val="111111"/>
          <w:sz w:val="28"/>
          <w:szCs w:val="28"/>
          <w:rtl/>
        </w:rPr>
        <w:t xml:space="preserve">خط: نسخ و نستعلیق، بی کا، تا: 20 صفر 973ق، جا: نجف اشرف (نیمه پایانی کتاب) افتادگی؛ آغاز، مصحح، محشی، در برگ آخر چند یادداشت متفرقه؛ تملک: «لقمان بن جمال الدین نائینی رستمداری» (پاک شده)؛ جلد: تیماج قهوه ای ضربی، 277گ، 15 سطر ، اندازه: 13</w:t>
      </w:r>
      <w:r>
        <w:rPr>
          <w:rFonts w:ascii="Times New Roman" w:hAnsi="Times New Roman" w:eastAsia="Times New Roman" w:cs="Times New Roman"/>
          <w:lang w:val="en-US" w:bidi="en-US"/>
          <w:color w:val="111111"/>
          <w:sz w:val="28"/>
          <w:szCs w:val="28"/>
          <w:rtl/>
        </w:rPr>
        <w:t xml:space="preserve">×19/5</w:t>
      </w:r>
      <w:r>
        <w:rPr>
          <w:rFonts w:ascii="IRNazanin" w:hAnsi="IRNazanin" w:eastAsia="IRNazanin" w:cs="IRNazanin"/>
          <w:lang w:bidi="fa-IR"/>
          <w:color w:val="111111"/>
          <w:sz w:val="28"/>
          <w:szCs w:val="28"/>
          <w:rtl/>
        </w:rPr>
        <w:t xml:space="preserve">سم [محدث ارموی مخ: 1 - 110]</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تهران؛ مجلس؛ شماره نسخه: 15922</w:t>
      </w:r>
    </w:p>
    <w:p>
      <w:pPr>
        <w:pStyle w:val="BookText"/>
      </w:pPr>
      <w:r>
        <w:rPr>
          <w:rFonts w:ascii="Amiri" w:hAnsi="Amiri" w:eastAsia="Amiri" w:cs="Amiri"/>
          <w:lang w:bidi="ar-SA"/>
          <w:color w:val="111111"/>
          <w:sz w:val="28"/>
          <w:szCs w:val="28"/>
          <w:rtl/>
        </w:rPr>
        <w:t xml:space="preserve">آغاز : بارشاد الأذهان الى احكام الايمان مستمداً حسن التوفيق</w:t>
      </w:r>
    </w:p>
    <w:p>
      <w:pPr>
        <w:pStyle w:val="BookText"/>
      </w:pPr>
      <w:r>
        <w:rPr>
          <w:rFonts w:ascii="IRNazanin" w:hAnsi="IRNazanin" w:eastAsia="IRNazanin" w:cs="IRNazanin"/>
          <w:lang w:bidi="fa-IR"/>
          <w:color w:val="111111"/>
          <w:sz w:val="28"/>
          <w:szCs w:val="28"/>
          <w:rtl/>
        </w:rPr>
        <w:t xml:space="preserve">خط: نسخ، كا:  بن یحیی بن ملک داد حسینی گیلانی لاهیجانی، تا: شنبه 14 شعبان 973 ق؛ افتادگی: آغاز؛ مصحح، محشی، در آخر نسخه مناجات منظوم منسوب به امیرالمؤمنین (علیه السّلام) قصيده شده است و چند فایده فقهی از جمله خطبه طلاق؛ مهر: «عز من قنع و ذل من طمع»؛ جلد: گالینگور ،مشکی، 281گ</w:t>
      </w:r>
    </w:p>
    <w:p>
      <w:pPr>
        <w:pStyle w:val="BookText"/>
      </w:pPr>
      <w:r>
        <w:rPr>
          <w:rFonts w:ascii="IRNazanin" w:hAnsi="IRNazanin" w:eastAsia="IRNazanin" w:cs="IRNazanin"/>
          <w:lang w:bidi="fa-IR"/>
          <w:color w:val="111111"/>
          <w:sz w:val="28"/>
          <w:szCs w:val="28"/>
          <w:rtl/>
        </w:rPr>
        <w:t xml:space="preserve">14 سطر ، اندازه: 16</w:t>
      </w:r>
      <w:r>
        <w:rPr>
          <w:rFonts w:ascii="Times New Roman" w:hAnsi="Times New Roman" w:eastAsia="Times New Roman" w:cs="Times New Roman"/>
          <w:lang w:val="en-US" w:bidi="en-US"/>
          <w:color w:val="111111"/>
          <w:sz w:val="28"/>
          <w:szCs w:val="28"/>
          <w:rtl/>
        </w:rPr>
        <w:t xml:space="preserve">×26</w:t>
      </w:r>
      <w:r>
        <w:rPr>
          <w:rFonts w:ascii="IRNazanin" w:hAnsi="IRNazanin" w:eastAsia="IRNazanin" w:cs="IRNazanin"/>
          <w:lang w:bidi="fa-IR"/>
          <w:color w:val="111111"/>
          <w:sz w:val="28"/>
          <w:szCs w:val="28"/>
          <w:rtl/>
        </w:rPr>
        <w:t xml:space="preserve">سم [ف: 44 - 134]</w:t>
      </w:r>
    </w:p>
    <w:p>
      <w:pPr>
        <w:pStyle w:val="BookText"/>
      </w:pPr>
      <w:r>
        <w:rPr>
          <w:rFonts w:ascii="IRNazanin" w:hAnsi="IRNazanin" w:eastAsia="IRNazanin" w:cs="IRNazanin"/>
          <w:lang w:bidi="fa-IR"/>
          <w:color w:val="111111"/>
          <w:sz w:val="28"/>
          <w:szCs w:val="28"/>
          <w:rtl/>
        </w:rPr>
        <w:t xml:space="preserve">111.شیراز؛ علامه طباطبائی؛ شماره نسخه: 239</w:t>
      </w:r>
    </w:p>
    <w:p>
      <w:pPr>
        <w:pStyle w:val="BookText"/>
      </w:pPr>
      <w:r>
        <w:rPr>
          <w:rFonts w:ascii="IRNazanin" w:hAnsi="IRNazanin" w:eastAsia="IRNazanin" w:cs="IRNazanin"/>
          <w:lang w:bidi="fa-IR"/>
          <w:color w:val="111111"/>
          <w:sz w:val="28"/>
          <w:szCs w:val="28"/>
          <w:rtl/>
        </w:rPr>
        <w:t xml:space="preserve">خط: نسخ ، کا: شیخ کرم الله بن شیخ هراون مطهری، تا: شنبه 24 ربیع الاول 973ق؛ مصحح محشی اندازه 12/5</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نسخه پژوهی 2 - 111]</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اصفهان؛ عمومی اصفهان (فرهنگ سابق)؛ شماره نسخه: 2882</w:t>
      </w:r>
    </w:p>
    <w:p>
      <w:pPr>
        <w:pStyle w:val="BookText"/>
      </w:pPr>
      <w:r>
        <w:rPr>
          <w:rFonts w:ascii="IRNazanin" w:hAnsi="IRNazanin" w:eastAsia="IRNazanin" w:cs="IRNazanin"/>
          <w:lang w:bidi="fa-IR"/>
          <w:color w:val="111111"/>
          <w:sz w:val="28"/>
          <w:szCs w:val="28"/>
          <w:rtl/>
        </w:rPr>
        <w:t xml:space="preserve">از اول کتاب الطهارة تا آخر كتاب الديات؛ خط: نسخ، كا: عبد الكاظم بن سلام، تا: 20 محرم 973 ق؛ محشی؛ کاغذ: اصفهانی ،جلد: چرمی ،قرمز، 330 ص 19 سطر (12</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 اندازه: 19</w:t>
      </w:r>
      <w:r>
        <w:rPr>
          <w:rFonts w:ascii="Times New Roman" w:hAnsi="Times New Roman" w:eastAsia="Times New Roman" w:cs="Times New Roman"/>
          <w:lang w:val="en-US" w:bidi="en-US"/>
          <w:color w:val="111111"/>
          <w:sz w:val="28"/>
          <w:szCs w:val="28"/>
          <w:rtl/>
        </w:rPr>
        <w:t xml:space="preserve">×25</w:t>
      </w:r>
      <w:r>
        <w:rPr>
          <w:rFonts w:ascii="IRNazanin" w:hAnsi="IRNazanin" w:eastAsia="IRNazanin" w:cs="IRNazanin"/>
          <w:lang w:bidi="fa-IR"/>
          <w:color w:val="111111"/>
          <w:sz w:val="28"/>
          <w:szCs w:val="28"/>
          <w:rtl/>
        </w:rPr>
        <w:t xml:space="preserve">سم [ف: 1 - 176]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113.شیراز؛ شاهچراغ؛ شماره نسخه: 382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974ق به چند قلم و به وسیله چند نویس نوشته شده است، محشی، پیش از متن کتاب مقدمه ای در تعریف و اقسام علوم در چهار صفحه ،کاغذ: نخودی ،جلد: تیم قهوه ای، 144گ مختلف السطر ، اندازه: 14</w:t>
      </w:r>
      <w:r>
        <w:rPr>
          <w:rFonts w:ascii="Times New Roman" w:hAnsi="Times New Roman" w:eastAsia="Times New Roman" w:cs="Times New Roman"/>
          <w:lang w:val="en-US" w:bidi="en-US"/>
          <w:color w:val="111111"/>
          <w:sz w:val="28"/>
          <w:szCs w:val="28"/>
          <w:rtl/>
        </w:rPr>
        <w:t xml:space="preserve">× 17</w:t>
      </w:r>
      <w:r>
        <w:rPr>
          <w:rFonts w:ascii="IRNazanin" w:hAnsi="IRNazanin" w:eastAsia="IRNazanin" w:cs="IRNazanin"/>
          <w:lang w:bidi="fa-IR"/>
          <w:color w:val="111111"/>
          <w:sz w:val="28"/>
          <w:szCs w:val="28"/>
          <w:rtl/>
        </w:rPr>
        <w:t xml:space="preserve">سم [ف: 2 - 6 ]</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مشهد؛ رضوی؛ شماره نسخه:13467</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975ق؛ کاتب: نامعلوم، محشی با رموز مختلف؛ كاغذ: حنایی آهار مهره، جلد: عنابی، 170گ 16 سطر، اندازه: 17/2</w:t>
      </w:r>
      <w:r>
        <w:rPr>
          <w:rFonts w:ascii="Times New Roman" w:hAnsi="Times New Roman" w:eastAsia="Times New Roman" w:cs="Times New Roman"/>
          <w:lang w:val="en-US" w:bidi="en-US"/>
          <w:color w:val="111111"/>
          <w:sz w:val="28"/>
          <w:szCs w:val="28"/>
          <w:rtl/>
        </w:rPr>
        <w:t xml:space="preserve">×24/5 </w:t>
      </w:r>
      <w:r>
        <w:rPr>
          <w:rFonts w:ascii="IRNazanin" w:hAnsi="IRNazanin" w:eastAsia="IRNazanin" w:cs="IRNazanin"/>
          <w:lang w:bidi="fa-IR"/>
          <w:color w:val="111111"/>
          <w:sz w:val="28"/>
          <w:szCs w:val="28"/>
          <w:rtl/>
        </w:rPr>
        <w:t xml:space="preserve">سم [ف: 21/5 - 75]</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مشهد؛ رضوی؛ شماره نسخه: 2227</w:t>
      </w:r>
    </w:p>
    <w:p>
      <w:pPr>
        <w:pStyle w:val="BookText"/>
      </w:pPr>
      <w:r>
        <w:rPr>
          <w:rFonts w:ascii="Amiri" w:hAnsi="Amiri" w:eastAsia="Amiri" w:cs="Amiri"/>
          <w:lang w:bidi="ar-SA"/>
          <w:color w:val="111111"/>
          <w:sz w:val="28"/>
          <w:szCs w:val="28"/>
          <w:rtl/>
        </w:rPr>
        <w:t xml:space="preserve">آغاز: و لو ادعى استناد الحكم الى فاسقين وجب احضاره؛ انجام: برابر</w:t>
      </w:r>
    </w:p>
    <w:p>
      <w:pPr>
        <w:pStyle w:val="BookText"/>
      </w:pPr>
      <w:r>
        <w:rPr>
          <w:rFonts w:ascii="IRNazanin" w:hAnsi="IRNazanin" w:eastAsia="IRNazanin" w:cs="IRNazanin"/>
          <w:lang w:bidi="fa-IR"/>
          <w:color w:val="111111"/>
          <w:sz w:val="28"/>
          <w:szCs w:val="28"/>
          <w:rtl/>
        </w:rPr>
        <w:t xml:space="preserve">از اواسط «کتاب القضاء» تا پایان «دیات»؛ خط: نسخ، کا: درویش محمد بن میرکی، تا: ذیقعده 975ق؛ افتادگی: آغاز؛ محشی، کاغذ: نخودی، جلد: تیماج ،مشکی، 61گ، 15 سطر ، اندازه: 17 </w:t>
      </w:r>
      <w:r>
        <w:rPr>
          <w:rFonts w:ascii="Times New Roman" w:hAnsi="Times New Roman" w:eastAsia="Times New Roman" w:cs="Times New Roman"/>
          <w:lang w:val="en-US" w:bidi="en-US"/>
          <w:color w:val="111111"/>
          <w:sz w:val="28"/>
          <w:szCs w:val="28"/>
          <w:rtl/>
        </w:rPr>
        <w:t xml:space="preserve">× 25 </w:t>
      </w:r>
      <w:r>
        <w:rPr>
          <w:rFonts w:ascii="IRNazanin" w:hAnsi="IRNazanin" w:eastAsia="IRNazanin" w:cs="IRNazanin"/>
          <w:lang w:bidi="fa-IR"/>
          <w:color w:val="111111"/>
          <w:sz w:val="28"/>
          <w:szCs w:val="28"/>
          <w:rtl/>
        </w:rPr>
        <w:t xml:space="preserve">سم [ف: 21/1-85]</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قم؛ گلپایگانی؛ شماره :نسخه 8230-56/80</w:t>
      </w:r>
    </w:p>
    <w:p>
      <w:pPr>
        <w:pStyle w:val="BookText"/>
      </w:pPr>
      <w:r>
        <w:rPr>
          <w:rFonts w:ascii="IRNazanin" w:hAnsi="IRNazanin" w:eastAsia="IRNazanin" w:cs="IRNazanin"/>
          <w:lang w:bidi="fa-IR"/>
          <w:color w:val="111111"/>
          <w:sz w:val="28"/>
          <w:szCs w:val="28"/>
          <w:rtl/>
        </w:rPr>
        <w:t xml:space="preserve">آغاز: کتاب الحج و النظر في امور اربعة الاول في انواعه و هو واجب و ندب فالواجب باصل الشرع مرة واحدة</w:t>
      </w:r>
    </w:p>
    <w:p>
      <w:pPr>
        <w:pStyle w:val="BookText"/>
      </w:pPr>
      <w:r>
        <w:rPr>
          <w:rFonts w:ascii="IRNazanin" w:hAnsi="IRNazanin" w:eastAsia="IRNazanin" w:cs="IRNazanin"/>
          <w:lang w:bidi="fa-IR"/>
          <w:color w:val="111111"/>
          <w:sz w:val="28"/>
          <w:szCs w:val="28"/>
          <w:rtl/>
        </w:rPr>
        <w:t xml:space="preserve">از اول کتاب الحج تا آخر کتاب؛ خط: نسخ، کا: یحیی بن سعد حسینی ،خلخالی، تا: 976ق؛ جا: اردبیل؛ 245گ ، 15 سطر ، اندازه: 15</w:t>
      </w:r>
      <w:r>
        <w:rPr>
          <w:rFonts w:ascii="Times New Roman" w:hAnsi="Times New Roman" w:eastAsia="Times New Roman" w:cs="Times New Roman"/>
          <w:lang w:val="en-US" w:bidi="en-US"/>
          <w:color w:val="111111"/>
          <w:sz w:val="28"/>
          <w:szCs w:val="28"/>
          <w:rtl/>
        </w:rPr>
        <w:t xml:space="preserve">× 21</w:t>
      </w:r>
      <w:r>
        <w:rPr>
          <w:rFonts w:ascii="IRNazanin" w:hAnsi="IRNazanin" w:eastAsia="IRNazanin" w:cs="IRNazanin"/>
          <w:lang w:bidi="fa-IR"/>
          <w:color w:val="111111"/>
          <w:sz w:val="28"/>
          <w:szCs w:val="28"/>
          <w:rtl/>
        </w:rPr>
        <w:t xml:space="preserve">سم [ف: 1 - 306]</w:t>
      </w:r>
    </w:p>
    <w:p>
      <w:pPr>
        <w:pStyle w:val="BookText"/>
      </w:pPr>
      <w:r>
        <w:rPr>
          <w:rFonts w:ascii="IRNazanin" w:hAnsi="IRNazanin" w:eastAsia="IRNazanin" w:cs="IRNazanin"/>
          <w:lang w:bidi="fa-IR"/>
          <w:color w:val="111111"/>
          <w:sz w:val="28"/>
          <w:szCs w:val="28"/>
          <w:rtl/>
        </w:rPr>
        <w:t xml:space="preserve">117 . قم؛ گلپایگانی؛ شماره نسخه: 5178-26/58</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نستعليق، كا: زين العابدين بن مولانا محمد، تا: دوشنبه 23 ذیحجه 977ق؛ در پایان نسخه کتاب زیارات دروس شهید  و مطالبی از قواعد نقل شده است؛ تملک: محمد مقیم حسب استر آبادی بن كمال الدین حسینی در سال 1041 شمس الدین محمد بن غیاث الدین محمد حسین استر آبادی در غره ذیحجه 980؛ جلد: تیماج قهوه ای سوخت با ترنج با سر و لچک لولادار،232گ 13 سطر ، اندازه: 18</w:t>
      </w:r>
      <w:r>
        <w:rPr>
          <w:rFonts w:ascii="Times New Roman" w:hAnsi="Times New Roman" w:eastAsia="Times New Roman" w:cs="Times New Roman"/>
          <w:lang w:val="en-US" w:bidi="en-US"/>
          <w:color w:val="111111"/>
          <w:sz w:val="28"/>
          <w:szCs w:val="28"/>
          <w:rtl/>
        </w:rPr>
        <w:t xml:space="preserve">×25</w:t>
      </w:r>
      <w:r>
        <w:rPr>
          <w:rFonts w:ascii="IRNazanin" w:hAnsi="IRNazanin" w:eastAsia="IRNazanin" w:cs="IRNazanin"/>
          <w:lang w:bidi="fa-IR"/>
          <w:color w:val="111111"/>
          <w:sz w:val="28"/>
          <w:szCs w:val="28"/>
          <w:rtl/>
        </w:rPr>
        <w:t xml:space="preserve">سم [ف: 1 - 302]</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Amiri" w:hAnsi="Amiri" w:eastAsia="Amiri" w:cs="Amiri"/>
          <w:lang w:bidi="ar-SA"/>
          <w:color w:val="111111"/>
          <w:sz w:val="28"/>
          <w:szCs w:val="28"/>
          <w:rtl/>
        </w:rPr>
        <w:t xml:space="preserve">تهران؛ دائرة المعارف؛ شماره نسخه:842</w:t>
      </w:r>
    </w:p>
    <w:p>
      <w:pPr>
        <w:pStyle w:val="BookText"/>
      </w:pPr>
      <w:r>
        <w:rPr>
          <w:rFonts w:ascii="Amiri" w:hAnsi="Amiri" w:eastAsia="Amiri" w:cs="Amiri"/>
          <w:lang w:bidi="ar-SA"/>
          <w:color w:val="111111"/>
          <w:sz w:val="28"/>
          <w:szCs w:val="28"/>
          <w:rtl/>
        </w:rPr>
        <w:t xml:space="preserve">آغاز: و اكمل التحيات و نبدا فى الترتيب بالاهم فالاهم كتاب الطهارة و النظر فى اقسامها؛ انجام: برابر</w:t>
      </w:r>
    </w:p>
    <w:p>
      <w:pPr>
        <w:pStyle w:val="BookText"/>
      </w:pPr>
      <w:r>
        <w:rPr>
          <w:rFonts w:ascii="IRNazanin" w:hAnsi="IRNazanin" w:eastAsia="IRNazanin" w:cs="IRNazanin"/>
          <w:lang w:bidi="fa-IR"/>
          <w:color w:val="111111"/>
          <w:sz w:val="28"/>
          <w:szCs w:val="28"/>
          <w:rtl/>
        </w:rPr>
        <w:t xml:space="preserve">خط: نستعلیق تحریری ،خوش، کا: زین الدین علی کلبایی،تا: جمعه ذیقعده 977ق؛ افتادگی: آغاز؛ مقابله شده، محشی یادداشت «تصحیح ملا عبدالله تونی» کاغذ: ترمه ،جلد: تیم زیتونی ،ضربی 182گ، 17 سطر (7/5</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اندازه: 14</w:t>
      </w: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[ف: 2 - 13]</w:t>
      </w:r>
    </w:p>
    <w:p>
      <w:pPr>
        <w:pStyle w:val="BookText"/>
      </w:pPr>
      <w:r>
        <w:rPr>
          <w:rFonts w:ascii="IRNazanin" w:hAnsi="IRNazanin" w:eastAsia="IRNazanin" w:cs="IRNazanin"/>
          <w:lang w:bidi="fa-IR"/>
          <w:color w:val="111111"/>
          <w:sz w:val="28"/>
          <w:szCs w:val="28"/>
          <w:rtl/>
        </w:rPr>
        <w:t xml:space="preserve">119 . مشهد؛ مدرسه آیة الله خوئی؛ شماره نسخه: 220</w:t>
      </w:r>
    </w:p>
    <w:p>
      <w:pPr>
        <w:pStyle w:val="BookText"/>
      </w:pPr>
      <w:r>
        <w:rPr>
          <w:rFonts w:ascii="IRNazanin" w:hAnsi="IRNazanin" w:eastAsia="IRNazanin" w:cs="IRNazanin"/>
          <w:lang w:bidi="fa-IR"/>
          <w:color w:val="111111"/>
          <w:sz w:val="28"/>
          <w:szCs w:val="28"/>
          <w:rtl/>
        </w:rPr>
        <w:t xml:space="preserve">کا: علی بن هلال کرکی ،عاملی، تا: 977ق ،محشی، همراه با اجازه به خط على بن هلال کرکی عاملی برای حبیب الله بن شمس الدين محمد در 977ق [اوراق عتيق: 1 - 241]</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قم؛ مرعشی؛ شماره نسخه: 14959</w:t>
      </w:r>
    </w:p>
    <w:p>
      <w:pPr>
        <w:pStyle w:val="BookText"/>
      </w:pPr>
      <w:r>
        <w:rPr>
          <w:rFonts w:ascii="IRNazanin" w:hAnsi="IRNazanin" w:eastAsia="IRNazanin" w:cs="IRNazanin"/>
          <w:lang w:bidi="fa-IR"/>
          <w:color w:val="111111"/>
          <w:sz w:val="28"/>
          <w:szCs w:val="28"/>
          <w:rtl/>
        </w:rPr>
        <w:t xml:space="preserve">آغاز: الطريق و التمست منه المجاز. .. كتاب الطهارة، و النظر في اقسامها و اسبابها و ما تحصل به و توابعها، الاول في اقسامها وهي وضوء و غسل و تیمم و كل منها واجب و ندب؛ انجام: برابر</w:t>
      </w:r>
    </w:p>
    <w:p>
      <w:pPr>
        <w:pStyle w:val="BookText"/>
      </w:pPr>
      <w:r>
        <w:rPr>
          <w:rFonts w:ascii="IRNazanin" w:hAnsi="IRNazanin" w:eastAsia="IRNazanin" w:cs="IRNazanin"/>
          <w:lang w:bidi="fa-IR"/>
          <w:color w:val="111111"/>
          <w:sz w:val="28"/>
          <w:szCs w:val="28"/>
          <w:rtl/>
        </w:rPr>
        <w:t xml:space="preserve">کا: ابو طالب بن زين العابدین حسینی اوحی، تا: صفر 977ق؛ افتادگی: آغاز؛ مصحح، با عبارت «بلغ قرائة ايده الله تعالى» مقابله شده محشی با نشان (ع ک ،ح  ل، بدر ...»؛ تملک: «طالب بن سید احمد جزائری به سال 1244 كاتب؛ كاغذ: شرقی، جلد: تیماج قهوه ای ،ضربی 222گ 17سطر (8/5</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،اندازه: 14/5</w:t>
      </w:r>
      <w:r>
        <w:rPr>
          <w:rFonts w:ascii="Times New Roman" w:hAnsi="Times New Roman" w:eastAsia="Times New Roman" w:cs="Times New Roman"/>
          <w:lang w:val="en-US" w:bidi="en-US"/>
          <w:color w:val="111111"/>
          <w:sz w:val="28"/>
          <w:szCs w:val="28"/>
          <w:rtl/>
        </w:rPr>
        <w:t xml:space="preserve">× 21</w:t>
      </w:r>
      <w:r>
        <w:rPr>
          <w:rFonts w:ascii="IRNazanin" w:hAnsi="IRNazanin" w:eastAsia="IRNazanin" w:cs="IRNazanin"/>
          <w:lang w:bidi="fa-IR"/>
          <w:color w:val="111111"/>
          <w:sz w:val="28"/>
          <w:szCs w:val="28"/>
          <w:rtl/>
        </w:rPr>
        <w:t xml:space="preserve">سم [ف: 37 - 615]</w:t>
      </w:r>
    </w:p>
    <w:p>
      <w:pPr>
        <w:pStyle w:val="BookText"/>
      </w:pPr>
      <w:r>
        <w:rPr>
          <w:rFonts w:ascii="IRNazanin" w:hAnsi="IRNazanin" w:eastAsia="IRNazanin" w:cs="IRNazanin"/>
          <w:lang w:bidi="fa-IR"/>
          <w:color w:val="111111"/>
          <w:sz w:val="28"/>
          <w:szCs w:val="28"/>
          <w:rtl/>
        </w:rPr>
        <w:t xml:space="preserve">121.تهران؛ مفتاح؛ شماره نسخه:252</w:t>
      </w:r>
    </w:p>
    <w:p>
      <w:pPr>
        <w:pStyle w:val="BookText"/>
      </w:pPr>
      <w:r>
        <w:rPr>
          <w:rFonts w:ascii="IRNazanin" w:hAnsi="IRNazanin" w:eastAsia="IRNazanin" w:cs="IRNazanin"/>
          <w:lang w:bidi="fa-IR"/>
          <w:color w:val="111111"/>
          <w:sz w:val="28"/>
          <w:szCs w:val="28"/>
          <w:rtl/>
        </w:rPr>
        <w:t xml:space="preserve">خط: نسخ، بی کا: تا: چهارشنبه 17 جمادی الاول 978ق؛ افتادگی: آغاز؛ محشی [ نشریه: 7 - 100]</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شیراز؛ علامه طباطبائی؛ شماره نسخه: 282</w:t>
      </w:r>
    </w:p>
    <w:p>
      <w:pPr>
        <w:pStyle w:val="BookText"/>
      </w:pPr>
      <w:r>
        <w:rPr>
          <w:rFonts w:ascii="IRNazanin" w:hAnsi="IRNazanin" w:eastAsia="IRNazanin" w:cs="IRNazanin"/>
          <w:lang w:bidi="fa-IR"/>
          <w:color w:val="111111"/>
          <w:sz w:val="28"/>
          <w:szCs w:val="28"/>
          <w:rtl/>
        </w:rPr>
        <w:t xml:space="preserve">خط: نستعليق، كا: جلال الدین محمد بن علی خان ،جربادقانی، تا: اواسط جمادى الاول 978 ق ؛جا: هرات مدرسه نظامیه، با بلاغ سماع ،محشی با نشان «ن مدظله» تملک: عبدالله معروف اصفهانی سال 1046، 104گ، اندازه: 18</w:t>
      </w:r>
      <w:r>
        <w:rPr>
          <w:rFonts w:ascii="Times New Roman" w:hAnsi="Times New Roman" w:eastAsia="Times New Roman" w:cs="Times New Roman"/>
          <w:lang w:val="en-US" w:bidi="en-US"/>
          <w:color w:val="111111"/>
          <w:sz w:val="28"/>
          <w:szCs w:val="28"/>
          <w:rtl/>
        </w:rPr>
        <w:t xml:space="preserve">×24/5</w:t>
      </w:r>
      <w:r>
        <w:rPr>
          <w:rFonts w:ascii="IRNazanin" w:hAnsi="IRNazanin" w:eastAsia="IRNazanin" w:cs="IRNazanin"/>
          <w:lang w:bidi="fa-IR"/>
          <w:color w:val="111111"/>
          <w:sz w:val="28"/>
          <w:szCs w:val="28"/>
          <w:rtl/>
        </w:rPr>
        <w:t xml:space="preserve">سم [نسخه پژوهی: 2 - 111]</w:t>
      </w:r>
    </w:p>
    <w:p>
      <w:pPr>
        <w:pStyle w:val="BookText"/>
      </w:pPr>
      <w:r>
        <w:rPr>
          <w:rFonts w:ascii="IRNazanin" w:hAnsi="IRNazanin" w:eastAsia="IRNazanin" w:cs="IRNazanin"/>
          <w:lang w:bidi="fa-IR"/>
          <w:color w:val="111111"/>
          <w:sz w:val="28"/>
          <w:szCs w:val="28"/>
          <w:rtl/>
        </w:rPr>
        <w:t xml:space="preserve">123 . قم؛ مؤسسه آیة الله بروجردی؛ شماره نسخه: 100</w:t>
      </w:r>
    </w:p>
    <w:p>
      <w:pPr>
        <w:pStyle w:val="BookText"/>
      </w:pPr>
      <w:r>
        <w:rPr>
          <w:rFonts w:ascii="IRNazanin" w:hAnsi="IRNazanin" w:eastAsia="IRNazanin" w:cs="IRNazanin"/>
          <w:lang w:bidi="fa-IR"/>
          <w:color w:val="111111"/>
          <w:sz w:val="28"/>
          <w:szCs w:val="28"/>
          <w:rtl/>
        </w:rPr>
        <w:t xml:space="preserve">خط: نسخ، :كا: محمد بن سید علی بن مرتضی حسینی استرآبادی،تا: پنج شنبه غره ذیحجه 978ق؛ مصحح، محشی، قبل از کتاب قطعه ای از شرح ارشاد به خط ابن محمد كاظم. .. الشريف به تاريخ جمادى الأول 1147 آمده و پس از کتاب قطعه ای دیگر است که به تاریخ 1095 نوشته شده پشت برگ آخر نشانی امانت شیخ ابوالقاسم از آقا زین العابدین بن علی عسکر کرمانی؛ جلد: تیماج قهوه ای ، 352گ، 15 سطر ، اندازه: 18</w:t>
      </w:r>
      <w:r>
        <w:rPr>
          <w:rFonts w:ascii="Times New Roman" w:hAnsi="Times New Roman" w:eastAsia="Times New Roman" w:cs="Times New Roman"/>
          <w:lang w:val="en-US" w:bidi="en-US"/>
          <w:color w:val="111111"/>
          <w:sz w:val="28"/>
          <w:szCs w:val="28"/>
          <w:rtl/>
        </w:rPr>
        <w:t xml:space="preserve">×24/5</w:t>
      </w:r>
      <w:r>
        <w:rPr>
          <w:rFonts w:ascii="IRNazanin" w:hAnsi="IRNazanin" w:eastAsia="IRNazanin" w:cs="IRNazanin"/>
          <w:lang w:bidi="fa-IR"/>
          <w:color w:val="111111"/>
          <w:sz w:val="28"/>
          <w:szCs w:val="28"/>
          <w:rtl/>
        </w:rPr>
        <w:t xml:space="preserve">سم [ف: 1 - 69]</w:t>
      </w:r>
    </w:p>
    <w:p>
      <w:pPr>
        <w:pStyle w:val="BookText"/>
      </w:pPr>
      <w:r>
        <w:rPr>
          <w:rFonts w:ascii="IRNazanin" w:hAnsi="IRNazanin" w:eastAsia="IRNazanin" w:cs="IRNazanin"/>
          <w:lang w:bidi="fa-IR"/>
          <w:color w:val="111111"/>
          <w:sz w:val="28"/>
          <w:szCs w:val="28"/>
          <w:rtl/>
        </w:rPr>
        <w:t xml:space="preserve">124.تهران؛ دانشگاه؛ شماره نسخه: 2544-ف</w:t>
      </w:r>
    </w:p>
    <w:p>
      <w:pPr>
        <w:pStyle w:val="BookText"/>
      </w:pPr>
      <w:r>
        <w:rPr>
          <w:rFonts w:ascii="IRNazanin" w:hAnsi="IRNazanin" w:eastAsia="IRNazanin" w:cs="IRNazanin"/>
          <w:lang w:bidi="fa-IR"/>
          <w:color w:val="111111"/>
          <w:sz w:val="28"/>
          <w:szCs w:val="28"/>
          <w:rtl/>
        </w:rPr>
        <w:t xml:space="preserve">نسخه اصل: یزد نسخه هاشم نجفی یزدی؛ خط: نسخ، كا: علی بن قاسم رستمداری، تا: پایان رمضان 978ق [فيلم ها - ف: 1 - 282]</w:t>
      </w:r>
    </w:p>
    <w:p>
      <w:pPr>
        <w:pStyle w:val="BookText"/>
      </w:pPr>
      <w:r>
        <w:rPr>
          <w:rFonts w:ascii="IRNazanin" w:hAnsi="IRNazanin" w:eastAsia="IRNazanin" w:cs="IRNazanin"/>
          <w:lang w:bidi="fa-IR"/>
          <w:color w:val="111111"/>
          <w:sz w:val="28"/>
          <w:szCs w:val="28"/>
          <w:rtl/>
        </w:rPr>
        <w:t xml:space="preserve">125.تهران؛ ملی؛ شماره نسخه: 3162</w:t>
      </w:r>
    </w:p>
    <w:p>
      <w:pPr>
        <w:pStyle w:val="BookText"/>
      </w:pPr>
      <w:r>
        <w:rPr>
          <w:rFonts w:ascii="Amiri" w:hAnsi="Amiri" w:eastAsia="Amiri" w:cs="Amiri"/>
          <w:lang w:bidi="ar-SA"/>
          <w:color w:val="111111"/>
          <w:sz w:val="28"/>
          <w:szCs w:val="28"/>
          <w:rtl/>
        </w:rPr>
        <w:t xml:space="preserve">آغاز: و سهواً اوبترك الطهارة كذلك و تعمد التكفير و الكلام بحرفين مما ليس بقران؛ انجام: برابر</w:t>
      </w:r>
    </w:p>
    <w:p>
      <w:pPr>
        <w:pStyle w:val="BookText"/>
      </w:pPr>
      <w:r>
        <w:rPr>
          <w:rFonts w:ascii="IRNazanin" w:hAnsi="IRNazanin" w:eastAsia="IRNazanin" w:cs="IRNazanin"/>
          <w:lang w:bidi="fa-IR"/>
          <w:color w:val="111111"/>
          <w:sz w:val="28"/>
          <w:szCs w:val="28"/>
          <w:rtl/>
        </w:rPr>
        <w:t xml:space="preserve">فاقد کتاب طهارت و قسمت اعظم کتاب صلات می باشد؛خط: نسخ، بی کا، تا: 978ق؛ افتادگی: آغاز؛ مصحح، حواشی با نشان «منه، ع ل و...،» 6-7 سطر از صفحه ما قبل آخر به علت وصالی ساقط شده؛ کاغذ: اصفهانی ،نخودی ،جلد: مقوایی با روکش کاغذی ابری عطف پارچه سرمه ای 131گ، 18-21 سطر (11/5</w:t>
      </w:r>
      <w:r>
        <w:rPr>
          <w:rFonts w:ascii="Times New Roman" w:hAnsi="Times New Roman" w:eastAsia="Times New Roman" w:cs="Times New Roman"/>
          <w:lang w:val="en-US" w:bidi="en-US"/>
          <w:color w:val="111111"/>
          <w:sz w:val="28"/>
          <w:szCs w:val="28"/>
          <w:rtl/>
        </w:rPr>
        <w:t xml:space="preserve">×16/5)</w:t>
      </w:r>
      <w:r>
        <w:rPr>
          <w:rFonts w:ascii="IRNazanin" w:hAnsi="IRNazanin" w:eastAsia="IRNazanin" w:cs="IRNazanin"/>
          <w:lang w:bidi="fa-IR"/>
          <w:color w:val="111111"/>
          <w:sz w:val="28"/>
          <w:szCs w:val="28"/>
          <w:rtl/>
        </w:rPr>
        <w:t xml:space="preserve">، 18</w:t>
      </w:r>
      <w:r>
        <w:rPr>
          <w:rFonts w:ascii="Times New Roman" w:hAnsi="Times New Roman" w:eastAsia="Times New Roman" w:cs="Times New Roman"/>
          <w:lang w:val="en-US" w:bidi="en-US"/>
          <w:color w:val="111111"/>
          <w:sz w:val="28"/>
          <w:szCs w:val="28"/>
          <w:rtl/>
        </w:rPr>
        <w:t xml:space="preserve">×24 </w:t>
      </w:r>
      <w:r>
        <w:rPr>
          <w:rFonts w:ascii="IRNazanin" w:hAnsi="IRNazanin" w:eastAsia="IRNazanin" w:cs="IRNazanin"/>
          <w:lang w:bidi="fa-IR"/>
          <w:color w:val="111111"/>
          <w:sz w:val="28"/>
          <w:szCs w:val="28"/>
          <w:rtl/>
        </w:rPr>
        <w:t xml:space="preserve">سم [ف: 14 - 280]</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IRNazanin" w:hAnsi="IRNazanin" w:eastAsia="IRNazanin" w:cs="IRNazanin"/>
          <w:lang w:bidi="fa-IR"/>
          <w:color w:val="111111"/>
          <w:sz w:val="28"/>
          <w:szCs w:val="28"/>
          <w:rtl/>
        </w:rPr>
        <w:t xml:space="preserve">قم؛ گلپایگانی؛ شماره نسخه : 3529/1-18/49</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 نسخ، کا : محمود کاتب سمنانی، تا: سه شنبه 27 ربیع الثاني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979ق؛ مصحح محشی؛ جلد: تیماج قهوه ای 127گ 17 سطر، اندازه: 18</w:t>
      </w:r>
      <w:r>
        <w:rPr>
          <w:rFonts w:ascii="Times New Roman" w:hAnsi="Times New Roman" w:eastAsia="Times New Roman" w:cs="Times New Roman"/>
          <w:lang w:val="en-US" w:bidi="en-US"/>
          <w:color w:val="111111"/>
          <w:sz w:val="28"/>
          <w:szCs w:val="28"/>
          <w:rtl/>
        </w:rPr>
        <w:t xml:space="preserve">× 24 </w:t>
      </w:r>
      <w:r>
        <w:rPr>
          <w:rFonts w:ascii="IRNazanin" w:hAnsi="IRNazanin" w:eastAsia="IRNazanin" w:cs="IRNazanin"/>
          <w:lang w:bidi="fa-IR"/>
          <w:color w:val="111111"/>
          <w:sz w:val="28"/>
          <w:szCs w:val="28"/>
          <w:rtl/>
        </w:rPr>
        <w:t xml:space="preserve">سم [ف: 1 - 301]</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IRNazanin" w:hAnsi="IRNazanin" w:eastAsia="IRNazanin" w:cs="IRNazanin"/>
          <w:lang w:bidi="fa-IR"/>
          <w:color w:val="111111"/>
          <w:sz w:val="28"/>
          <w:szCs w:val="28"/>
          <w:rtl/>
        </w:rPr>
        <w:t xml:space="preserve">قم؛ مرعشی؛ شماره نسخه: 9126</w:t>
      </w:r>
    </w:p>
    <w:p>
      <w:pPr>
        <w:pStyle w:val="BookText"/>
      </w:pPr>
      <w:r>
        <w:rPr>
          <w:rFonts w:ascii="IRNazanin" w:hAnsi="IRNazanin" w:eastAsia="IRNazanin" w:cs="IRNazanin"/>
          <w:lang w:bidi="fa-IR"/>
          <w:color w:val="111111"/>
          <w:sz w:val="28"/>
          <w:szCs w:val="28"/>
          <w:rtl/>
        </w:rPr>
        <w:t xml:space="preserve">خط: نسخ، کا: نورالدين بن عبدالحسین کاشانی، تا: شب جمادی الثانی 979ق، جا: قزوین؛ مصحح، محشی؛ تملک: عبدالواسع حسنی حسینی، محمد شریف بن صفی الله بن عطاءالله ملاطی گیلانی؛ جلد: تیماج ،قرمز 283گ، 15 سطر ، اندازه: 13</w:t>
      </w:r>
      <w:r>
        <w:rPr>
          <w:rFonts w:ascii="Times New Roman" w:hAnsi="Times New Roman" w:eastAsia="Times New Roman" w:cs="Times New Roman"/>
          <w:lang w:val="en-US" w:bidi="en-US"/>
          <w:color w:val="111111"/>
          <w:sz w:val="28"/>
          <w:szCs w:val="28"/>
          <w:rtl/>
        </w:rPr>
        <w:t xml:space="preserve">×225/5 </w:t>
      </w:r>
      <w:r>
        <w:rPr>
          <w:rFonts w:ascii="IRNazanin" w:hAnsi="IRNazanin" w:eastAsia="IRNazanin" w:cs="IRNazanin"/>
          <w:lang w:bidi="fa-IR"/>
          <w:color w:val="111111"/>
          <w:sz w:val="28"/>
          <w:szCs w:val="28"/>
          <w:rtl/>
        </w:rPr>
        <w:t xml:space="preserve">سم [ف: 23 - 263]</w:t>
      </w:r>
    </w:p>
    <w:p>
      <w:pPr>
        <w:pStyle w:val="BookText"/>
      </w:pPr>
      <w:r>
        <w:rPr>
          <w:rFonts w:ascii="IRNazanin" w:hAnsi="IRNazanin" w:eastAsia="IRNazanin" w:cs="IRNazanin"/>
          <w:lang w:bidi="fa-IR"/>
          <w:color w:val="111111"/>
          <w:sz w:val="28"/>
          <w:szCs w:val="28"/>
          <w:rtl/>
        </w:rPr>
        <w:t xml:space="preserve">128 . مشهد؛ رضوی؛ شماره نسخه: 34938</w:t>
      </w:r>
    </w:p>
    <w:p>
      <w:pPr>
        <w:pStyle w:val="BookText"/>
      </w:pPr>
      <w:r>
        <w:rPr>
          <w:rFonts w:ascii="IRNazanin" w:hAnsi="IRNazanin" w:eastAsia="IRNazanin" w:cs="IRNazanin"/>
          <w:lang w:bidi="fa-IR"/>
          <w:color w:val="111111"/>
          <w:sz w:val="28"/>
          <w:szCs w:val="28"/>
          <w:rtl/>
        </w:rPr>
        <w:t xml:space="preserve">خط: نستعلیق، کا: ابن حسام الدین باکوی تا: 979ق؛ مجدول، دارای یادداشت تملک با تاریخ 1082؛ اهدائی ،رهبری اردیبهشت 1386؛ كاغذ: حنائی آهار مهره کشمیری، جلد: تیماج عنابی فرنگ- 123گ، 17 سطر ، اندازه: 19/5</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سم [اهدائی - ف: 3 - 50 ]</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IRNazanin" w:hAnsi="IRNazanin" w:eastAsia="IRNazanin" w:cs="IRNazanin"/>
          <w:lang w:bidi="fa-IR"/>
          <w:color w:val="111111"/>
          <w:sz w:val="28"/>
          <w:szCs w:val="28"/>
          <w:rtl/>
        </w:rPr>
        <w:t xml:space="preserve">یزد؛ وزیری؛ شماره نسخه: 3895</w:t>
      </w:r>
    </w:p>
    <w:p>
      <w:pPr>
        <w:pStyle w:val="BookText"/>
      </w:pPr>
      <w:r>
        <w:rPr>
          <w:rFonts w:ascii="IRNazanin" w:hAnsi="IRNazanin" w:eastAsia="IRNazanin" w:cs="IRNazanin"/>
          <w:lang w:bidi="fa-IR"/>
          <w:color w:val="111111"/>
          <w:sz w:val="28"/>
          <w:szCs w:val="28"/>
          <w:rtl/>
        </w:rPr>
        <w:t xml:space="preserve">خط: نسخ، کا: محمد بن ثانی ،حسینی، تا: ربیع الاول 980ق؛ مقابله شده، محشی اهدایی حاج میرزا علی شریعتی ؛کاغذ: سمرقندی، جلد: مقوایی روکش کاغذ: ابری عطف و گوشه ها تیماج قرمز 214گ، 14 سطر(7</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17/5</w:t>
      </w:r>
      <w:r>
        <w:rPr>
          <w:rFonts w:ascii="Times New Roman" w:hAnsi="Times New Roman" w:eastAsia="Times New Roman" w:cs="Times New Roman"/>
          <w:lang w:val="en-US" w:bidi="en-US"/>
          <w:color w:val="111111"/>
          <w:sz w:val="28"/>
          <w:szCs w:val="28"/>
          <w:rtl/>
        </w:rPr>
        <w:t xml:space="preserve">× 24</w:t>
      </w:r>
      <w:r>
        <w:rPr>
          <w:rFonts w:ascii="IRNazanin" w:hAnsi="IRNazanin" w:eastAsia="IRNazanin" w:cs="IRNazanin"/>
          <w:lang w:bidi="fa-IR"/>
          <w:color w:val="111111"/>
          <w:sz w:val="28"/>
          <w:szCs w:val="28"/>
          <w:rtl/>
        </w:rPr>
        <w:t xml:space="preserve">سم [ف: 5 - 1836]</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قم؛ فیضیه؛ شماره نسخه: 733</w:t>
      </w:r>
    </w:p>
    <w:p>
      <w:pPr>
        <w:pStyle w:val="BookText"/>
      </w:pPr>
      <w:r>
        <w:rPr>
          <w:rFonts w:ascii="IRNazanin" w:hAnsi="IRNazanin" w:eastAsia="IRNazanin" w:cs="IRNazanin"/>
          <w:lang w:bidi="fa-IR"/>
          <w:color w:val="111111"/>
          <w:sz w:val="28"/>
          <w:szCs w:val="28"/>
          <w:rtl/>
        </w:rPr>
        <w:t xml:space="preserve">خط: نستعليق، كا: حسین بن نعمت الله حسینی، تا: 981ق؛ 155گ، 15 سطر ، اندازه: 18</w:t>
      </w:r>
      <w:r>
        <w:rPr>
          <w:rFonts w:ascii="Times New Roman" w:hAnsi="Times New Roman" w:eastAsia="Times New Roman" w:cs="Times New Roman"/>
          <w:lang w:val="en-US" w:bidi="en-US"/>
          <w:color w:val="111111"/>
          <w:sz w:val="28"/>
          <w:szCs w:val="28"/>
          <w:rtl/>
        </w:rPr>
        <w:t xml:space="preserve">×24</w:t>
      </w:r>
      <w:r>
        <w:rPr>
          <w:rFonts w:ascii="IRNazanin" w:hAnsi="IRNazanin" w:eastAsia="IRNazanin" w:cs="IRNazanin"/>
          <w:lang w:bidi="fa-IR"/>
          <w:color w:val="111111"/>
          <w:sz w:val="28"/>
          <w:szCs w:val="28"/>
          <w:rtl/>
        </w:rPr>
        <w:t xml:space="preserve">سم [ف: 1 - 8]</w:t>
      </w:r>
    </w:p>
    <w:p>
      <w:pPr>
        <w:pStyle w:val="BookText"/>
      </w:pPr>
      <w:r>
        <w:rPr>
          <w:rFonts w:ascii="IRNazanin" w:hAnsi="IRNazanin" w:eastAsia="IRNazanin" w:cs="IRNazanin"/>
          <w:lang w:bidi="fa-IR"/>
          <w:color w:val="111111"/>
          <w:sz w:val="28"/>
          <w:szCs w:val="28"/>
          <w:rtl/>
        </w:rPr>
        <w:t xml:space="preserve">131 .تهران؛ ملی؛ شماره نسخه: 996</w:t>
      </w:r>
    </w:p>
    <w:p>
      <w:pPr>
        <w:pStyle w:val="BookText"/>
      </w:pPr>
      <w:r>
        <w:rPr>
          <w:rFonts w:ascii="Amiri" w:hAnsi="Amiri" w:eastAsia="Amiri" w:cs="Amiri"/>
          <w:lang w:bidi="ar-SA"/>
          <w:color w:val="111111"/>
          <w:sz w:val="28"/>
          <w:szCs w:val="28"/>
          <w:rtl/>
        </w:rPr>
        <w:t xml:space="preserve">آغاز: هداية الطريق و التمست منه المجازاة على ذلك؛ انجام: برابر</w:t>
      </w:r>
    </w:p>
    <w:p>
      <w:pPr>
        <w:pStyle w:val="BookText"/>
      </w:pPr>
      <w:r>
        <w:rPr>
          <w:rFonts w:ascii="IRNazanin" w:hAnsi="IRNazanin" w:eastAsia="IRNazanin" w:cs="IRNazanin"/>
          <w:lang w:bidi="fa-IR"/>
          <w:color w:val="111111"/>
          <w:sz w:val="28"/>
          <w:szCs w:val="28"/>
          <w:rtl/>
        </w:rPr>
        <w:t xml:space="preserve">خط: نسخ خوش، کا: جمال الدین محمد بن محمد امامی اصفهانی، تا: 981ق افتادگی: آغاز؛ مجدول مذهب؛ كا: قاب سازی شده ،اصفهانی جلد: تیماج مشکی ،مقوایی 218گ، 15 سطر (12/5</w:t>
      </w:r>
      <w:r>
        <w:rPr>
          <w:rFonts w:ascii="Times New Roman" w:hAnsi="Times New Roman" w:eastAsia="Times New Roman" w:cs="Times New Roman"/>
          <w:lang w:val="en-US" w:bidi="en-US"/>
          <w:color w:val="111111"/>
          <w:sz w:val="28"/>
          <w:szCs w:val="28"/>
          <w:rtl/>
        </w:rPr>
        <w:t xml:space="preserve">×17/5)</w:t>
      </w:r>
      <w:r>
        <w:rPr>
          <w:rFonts w:ascii="IRNazanin" w:hAnsi="IRNazanin" w:eastAsia="IRNazanin" w:cs="IRNazanin"/>
          <w:lang w:bidi="fa-IR"/>
          <w:color w:val="111111"/>
          <w:sz w:val="28"/>
          <w:szCs w:val="28"/>
          <w:rtl/>
        </w:rPr>
        <w:t xml:space="preserve">، اندازه: 14/5</w:t>
      </w:r>
      <w:r>
        <w:rPr>
          <w:rFonts w:ascii="Times New Roman" w:hAnsi="Times New Roman" w:eastAsia="Times New Roman" w:cs="Times New Roman"/>
          <w:lang w:val="en-US" w:bidi="en-US"/>
          <w:color w:val="111111"/>
          <w:sz w:val="28"/>
          <w:szCs w:val="28"/>
          <w:rtl/>
        </w:rPr>
        <w:t xml:space="preserve">×24</w:t>
      </w:r>
      <w:r>
        <w:rPr>
          <w:rFonts w:ascii="IRNazanin" w:hAnsi="IRNazanin" w:eastAsia="IRNazanin" w:cs="IRNazanin"/>
          <w:lang w:bidi="fa-IR"/>
          <w:color w:val="111111"/>
          <w:sz w:val="28"/>
          <w:szCs w:val="28"/>
          <w:rtl/>
        </w:rPr>
        <w:t xml:space="preserve">سم [ف: 8 - 483]</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قم؛ مرعشی؛ شماره نسخه: 10772</w:t>
      </w:r>
    </w:p>
    <w:p>
      <w:pPr>
        <w:pStyle w:val="BookText"/>
      </w:pPr>
      <w:r>
        <w:rPr>
          <w:rFonts w:ascii="IRNazanin" w:hAnsi="IRNazanin" w:eastAsia="IRNazanin" w:cs="IRNazanin"/>
          <w:lang w:bidi="fa-IR"/>
          <w:color w:val="111111"/>
          <w:sz w:val="28"/>
          <w:szCs w:val="28"/>
          <w:rtl/>
        </w:rPr>
        <w:t xml:space="preserve">كا: محمد بن جمال الدین حسین فخار شیرازی، تا: 981ق، روستای «سلقان»؛ مصحح؛ قطع: رقعی [میراث شهاب س 9 ش 2-4 ]</w:t>
      </w:r>
    </w:p>
    <w:p>
      <w:pPr>
        <w:pStyle w:val="BookText"/>
      </w:pPr>
      <w:r>
        <w:rPr>
          <w:rFonts w:ascii="IRNazanin" w:hAnsi="IRNazanin" w:eastAsia="IRNazanin" w:cs="IRNazanin"/>
          <w:lang w:bidi="fa-IR"/>
          <w:color w:val="111111"/>
          <w:sz w:val="28"/>
          <w:szCs w:val="28"/>
          <w:rtl/>
        </w:rPr>
        <w:t xml:space="preserve">133.تهران؛ مجلس؛ شماره نسخه: 47/7-طباطبائی</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از طهارت تا دیات؛ خط: نستعلیق، کا: احمد بن علی مازندرانی، تا: ربیع الاول 981ق کاغذ: اصفهانی شکری، جلد: تیماج مشکی با ترنج و نیم ،ترنج، 141 ص( 101-242)، 11- 17 سطر ، قطع: خشتی اندازه: 177</w:t>
      </w:r>
      <w:r>
        <w:rPr>
          <w:rFonts w:ascii="Times New Roman" w:hAnsi="Times New Roman" w:eastAsia="Times New Roman" w:cs="Times New Roman"/>
          <w:lang w:val="en-US" w:bidi="en-US"/>
          <w:color w:val="111111"/>
          <w:sz w:val="28"/>
          <w:szCs w:val="28"/>
          <w:rtl/>
        </w:rPr>
        <w:t xml:space="preserve">×24</w:t>
      </w:r>
      <w:r>
        <w:rPr>
          <w:rFonts w:ascii="IRNazanin" w:hAnsi="IRNazanin" w:eastAsia="IRNazanin" w:cs="IRNazanin"/>
          <w:lang w:bidi="fa-IR"/>
          <w:color w:val="111111"/>
          <w:sz w:val="28"/>
          <w:szCs w:val="28"/>
          <w:rtl/>
        </w:rPr>
        <w:t xml:space="preserve">سم [ف: 22 - 8]</w:t>
      </w:r>
    </w:p>
    <w:p>
      <w:pPr>
        <w:pStyle w:val="BookText"/>
      </w:pPr>
      <w:r>
        <w:rPr>
          <w:rFonts w:ascii="IRNazanin" w:hAnsi="IRNazanin" w:eastAsia="IRNazanin" w:cs="IRNazanin"/>
          <w:lang w:bidi="fa-IR"/>
          <w:color w:val="111111"/>
          <w:sz w:val="28"/>
          <w:szCs w:val="28"/>
          <w:rtl/>
        </w:rPr>
        <w:t xml:space="preserve">134 . اصفهان؛ مدرسه صدر بازار؛ شماره نسخه: 592</w:t>
      </w:r>
    </w:p>
    <w:p>
      <w:pPr>
        <w:pStyle w:val="BookText"/>
      </w:pPr>
      <w:r>
        <w:rPr>
          <w:rFonts w:ascii="IRNazanin" w:hAnsi="IRNazanin" w:eastAsia="IRNazanin" w:cs="IRNazanin"/>
          <w:lang w:bidi="fa-IR"/>
          <w:color w:val="111111"/>
          <w:sz w:val="28"/>
          <w:szCs w:val="28"/>
          <w:rtl/>
        </w:rPr>
        <w:t xml:space="preserve">خط: نسخ، کا: سالم بن منصور به راشد بن ناصر بن حسين ساکن  احساء، تا: سه شنبه 28 رجب 981ق؛ مصحح محشی کتابت شده به روز جمعه غره شعبان ،981 روی برگ اول چند یادداشت پراکنده در برگ پایانی چندین یادداشت متفرقه به خط شکسته نستعلیق توسط محمد علی قمشه ای تملک: محمد بن محمود و</w:t>
      </w:r>
    </w:p>
    <w:p>
      <w:pPr>
        <w:pStyle w:val="BookText"/>
      </w:pPr>
      <w:r>
        <w:rPr>
          <w:rFonts w:ascii="IRNazanin" w:hAnsi="IRNazanin" w:eastAsia="IRNazanin" w:cs="IRNazanin"/>
          <w:lang w:bidi="fa-IR"/>
          <w:color w:val="111111"/>
          <w:sz w:val="28"/>
          <w:szCs w:val="28"/>
          <w:rtl/>
        </w:rPr>
        <w:t xml:space="preserve">مصطفى بن . .. محمد علی؛ مهر : يا امير المؤمنين» (بیضی)؛ جلد: تیماج قهوه ای ضربی 184گ، 21 سطر ، اندازه: 18/5</w:t>
      </w:r>
      <w:r>
        <w:rPr>
          <w:rFonts w:ascii="Times New Roman" w:hAnsi="Times New Roman" w:eastAsia="Times New Roman" w:cs="Times New Roman"/>
          <w:lang w:val="en-US" w:bidi="en-US"/>
          <w:color w:val="111111"/>
          <w:sz w:val="28"/>
          <w:szCs w:val="28"/>
          <w:rtl/>
        </w:rPr>
        <w:t xml:space="preserve">×25/5</w:t>
      </w:r>
      <w:r>
        <w:rPr>
          <w:rFonts w:ascii="IRNazanin" w:hAnsi="IRNazanin" w:eastAsia="IRNazanin" w:cs="IRNazanin"/>
          <w:lang w:bidi="fa-IR"/>
          <w:color w:val="111111"/>
          <w:sz w:val="28"/>
          <w:szCs w:val="28"/>
          <w:rtl/>
        </w:rPr>
        <w:t xml:space="preserve">سم [ف: 2 - 431]</w:t>
      </w:r>
    </w:p>
    <w:p>
      <w:pPr>
        <w:pStyle w:val="BookText"/>
      </w:pPr>
      <w:r>
        <w:rPr>
          <w:rFonts w:ascii="IRNazanin" w:hAnsi="IRNazanin" w:eastAsia="IRNazanin" w:cs="IRNazanin"/>
          <w:lang w:bidi="fa-IR"/>
          <w:color w:val="111111"/>
          <w:sz w:val="28"/>
          <w:szCs w:val="28"/>
          <w:rtl/>
        </w:rPr>
        <w:t xml:space="preserve">135 همدان؛ دانشگاه بوعلی؛ شماره نسخه: 101</w:t>
      </w:r>
    </w:p>
    <w:p>
      <w:pPr>
        <w:pStyle w:val="BookText"/>
      </w:pPr>
      <w:r>
        <w:rPr>
          <w:rFonts w:ascii="IRNazanin" w:hAnsi="IRNazanin" w:eastAsia="IRNazanin" w:cs="IRNazanin"/>
          <w:lang w:bidi="fa-IR"/>
          <w:color w:val="111111"/>
          <w:sz w:val="28"/>
          <w:szCs w:val="28"/>
          <w:rtl/>
        </w:rPr>
        <w:t xml:space="preserve">خط نسخ، كا قاسم علی بن سعد الله تا 15 جمادی الثانی 982ق جا: اردبیل؛ مصحح محشی روی برگ اول چند یادداشت؛ تملک محمد زمان بن قاسم مدرس خلخالی؛ جلد: تیماج مشکی</w:t>
      </w:r>
    </w:p>
    <w:p>
      <w:pPr>
        <w:pStyle w:val="BookText"/>
      </w:pPr>
      <w:r>
        <w:rPr>
          <w:rFonts w:ascii="IRNazanin" w:hAnsi="IRNazanin" w:eastAsia="IRNazanin" w:cs="IRNazanin"/>
          <w:lang w:bidi="fa-IR"/>
          <w:color w:val="111111"/>
          <w:sz w:val="28"/>
          <w:szCs w:val="28"/>
          <w:rtl/>
        </w:rPr>
        <w:t xml:space="preserve">189گ، 17 سطر ، اندازه 18</w:t>
      </w:r>
      <w:r>
        <w:rPr>
          <w:rFonts w:ascii="Times New Roman" w:hAnsi="Times New Roman" w:eastAsia="Times New Roman" w:cs="Times New Roman"/>
          <w:lang w:val="en-US" w:bidi="en-US"/>
          <w:color w:val="111111"/>
          <w:sz w:val="28"/>
          <w:szCs w:val="28"/>
          <w:rtl/>
        </w:rPr>
        <w:t xml:space="preserve">×25</w:t>
      </w:r>
      <w:r>
        <w:rPr>
          <w:rFonts w:ascii="IRNazanin" w:hAnsi="IRNazanin" w:eastAsia="IRNazanin" w:cs="IRNazanin"/>
          <w:lang w:bidi="fa-IR"/>
          <w:color w:val="111111"/>
          <w:sz w:val="28"/>
          <w:szCs w:val="28"/>
          <w:rtl/>
        </w:rPr>
        <w:t xml:space="preserve">سم [ف 55]</w:t>
      </w:r>
    </w:p>
    <w:p>
      <w:pPr>
        <w:pStyle w:val="BookText"/>
      </w:pPr>
      <w:r>
        <w:rPr>
          <w:rFonts w:ascii="IRNazanin" w:hAnsi="IRNazanin" w:eastAsia="IRNazanin" w:cs="IRNazanin"/>
          <w:lang w:bidi="fa-IR"/>
          <w:color w:val="111111"/>
          <w:sz w:val="28"/>
          <w:szCs w:val="28"/>
          <w:rtl/>
        </w:rPr>
        <w:t xml:space="preserve">136 . مشهد؛ رضوی؛ شماره نسخه: 2216آغاز و انجام برابر</w:t>
      </w:r>
    </w:p>
    <w:p>
      <w:pPr>
        <w:pStyle w:val="BookText"/>
      </w:pPr>
      <w:r>
        <w:rPr>
          <w:rFonts w:ascii="IRNazanin" w:hAnsi="IRNazanin" w:eastAsia="IRNazanin" w:cs="IRNazanin"/>
          <w:lang w:bidi="fa-IR"/>
          <w:color w:val="111111"/>
          <w:sz w:val="28"/>
          <w:szCs w:val="28"/>
          <w:rtl/>
        </w:rPr>
        <w:t xml:space="preserve">:خط نستعلیق بیکا تا 9 ذیحجه 982ق؛ دارای حواشی به تاریخ 984؛ واقف پنجه گل کاغذ نخودی آهار مهره، جلد: تیماج مشکی، 178گ، 17 سطر ، اندازه: 18</w:t>
      </w:r>
      <w:r>
        <w:rPr>
          <w:rFonts w:ascii="Times New Roman" w:hAnsi="Times New Roman" w:eastAsia="Times New Roman" w:cs="Times New Roman"/>
          <w:lang w:val="en-US" w:bidi="en-US"/>
          <w:color w:val="111111"/>
          <w:sz w:val="28"/>
          <w:szCs w:val="28"/>
          <w:rtl/>
        </w:rPr>
        <w:t xml:space="preserve">×24</w:t>
      </w:r>
      <w:r>
        <w:rPr>
          <w:rFonts w:ascii="IRNazanin" w:hAnsi="IRNazanin" w:eastAsia="IRNazanin" w:cs="IRNazanin"/>
          <w:lang w:bidi="fa-IR"/>
          <w:color w:val="111111"/>
          <w:sz w:val="28"/>
          <w:szCs w:val="28"/>
          <w:rtl/>
        </w:rPr>
        <w:t xml:space="preserve">سم [ف: 21/1-84]</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IRNazanin" w:hAnsi="IRNazanin" w:eastAsia="IRNazanin" w:cs="IRNazanin"/>
          <w:lang w:bidi="fa-IR"/>
          <w:color w:val="111111"/>
          <w:sz w:val="28"/>
          <w:szCs w:val="28"/>
          <w:rtl/>
        </w:rPr>
        <w:t xml:space="preserve">مشهد؛ گوهرشاد؛ شماره نسخه: 1329</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20 رجب 983ق؛ محشى؛ مهر: «لا اله الا الله الملك الحق المبین محمد رضا» (چهارگوش)؛ جلد: تیماج مشکی لایه ای 20 سطر (11/5</w:t>
      </w: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 اندازه: 19</w:t>
      </w:r>
      <w:r>
        <w:rPr>
          <w:rFonts w:ascii="Times New Roman" w:hAnsi="Times New Roman" w:eastAsia="Times New Roman" w:cs="Times New Roman"/>
          <w:lang w:val="en-US" w:bidi="en-US"/>
          <w:color w:val="111111"/>
          <w:sz w:val="28"/>
          <w:szCs w:val="28"/>
          <w:rtl/>
        </w:rPr>
        <w:t xml:space="preserve">×25</w:t>
      </w:r>
      <w:r>
        <w:rPr>
          <w:rFonts w:ascii="IRNazanin" w:hAnsi="IRNazanin" w:eastAsia="IRNazanin" w:cs="IRNazanin"/>
          <w:lang w:bidi="fa-IR"/>
          <w:color w:val="111111"/>
          <w:sz w:val="28"/>
          <w:szCs w:val="28"/>
          <w:rtl/>
        </w:rPr>
        <w:t xml:space="preserve">سم [ف: 4 - 1928]</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IRNazanin" w:hAnsi="IRNazanin" w:eastAsia="IRNazanin" w:cs="IRNazanin"/>
          <w:lang w:bidi="fa-IR"/>
          <w:color w:val="111111"/>
          <w:sz w:val="28"/>
          <w:szCs w:val="28"/>
          <w:rtl/>
        </w:rPr>
        <w:t xml:space="preserve">تهران؛ مجلس؛ شماره نسخه: 4673/2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4 شعبان 983ق؛ محشی، در پایان قرائتی به تاريخ جمادى الاول 1014 با امضای محمد طاهر که کتاب را نزد امیر نقی استرآبادی خوانده است؛ مهر: «ابی عبدالله محمد صالح الحسينى الطباطبائی 1022 »؛کاغذ: سپاهانی، جلد: تیماج قهوه ای 151گ، 23 سطر (7/5</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اندازه: 16</w:t>
      </w:r>
      <w:r>
        <w:rPr>
          <w:rFonts w:ascii="Times New Roman" w:hAnsi="Times New Roman" w:eastAsia="Times New Roman" w:cs="Times New Roman"/>
          <w:lang w:val="en-US" w:bidi="en-US"/>
          <w:color w:val="111111"/>
          <w:sz w:val="28"/>
          <w:szCs w:val="28"/>
          <w:rtl/>
        </w:rPr>
        <w:t xml:space="preserve">×24</w:t>
      </w:r>
      <w:r>
        <w:rPr>
          <w:rFonts w:ascii="IRNazanin" w:hAnsi="IRNazanin" w:eastAsia="IRNazanin" w:cs="IRNazanin"/>
          <w:lang w:bidi="fa-IR"/>
          <w:color w:val="111111"/>
          <w:sz w:val="28"/>
          <w:szCs w:val="28"/>
          <w:rtl/>
        </w:rPr>
        <w:t xml:space="preserve">سم [ف: 13 - 56]</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IRNazanin" w:hAnsi="IRNazanin" w:eastAsia="IRNazanin" w:cs="IRNazanin"/>
          <w:lang w:bidi="fa-IR"/>
          <w:color w:val="111111"/>
          <w:sz w:val="28"/>
          <w:szCs w:val="28"/>
          <w:rtl/>
        </w:rPr>
        <w:t xml:space="preserve">مشهد؛ رضوی؛ شماره نسخه: 2218</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نعمت الله، تا: ذیحجه 984ق؛ معلق به حواشی «عبدالعالی» و دیگران؛ واقف: نادر شاه 1145؛ کاغذ: نخودی آهار مهره ،جلد: تیماج ،مشکی، 238گ، 13 سطر ، اندازه: 18</w:t>
      </w:r>
      <w:r>
        <w:rPr>
          <w:rFonts w:ascii="Times New Roman" w:hAnsi="Times New Roman" w:eastAsia="Times New Roman" w:cs="Times New Roman"/>
          <w:lang w:val="en-US" w:bidi="en-US"/>
          <w:color w:val="111111"/>
          <w:sz w:val="28"/>
          <w:szCs w:val="28"/>
          <w:rtl/>
        </w:rPr>
        <w:t xml:space="preserve">× 25 </w:t>
      </w:r>
      <w:r>
        <w:rPr>
          <w:rFonts w:ascii="IRNazanin" w:hAnsi="IRNazanin" w:eastAsia="IRNazanin" w:cs="IRNazanin"/>
          <w:lang w:bidi="fa-IR"/>
          <w:color w:val="111111"/>
          <w:sz w:val="28"/>
          <w:szCs w:val="28"/>
          <w:rtl/>
        </w:rPr>
        <w:t xml:space="preserve">سم [ف: 21/5 - 86]</w:t>
      </w:r>
    </w:p>
    <w:p>
      <w:pPr>
        <w:pStyle w:val="BookText"/>
      </w:pPr>
      <w:r>
        <w:rPr>
          <w:rFonts w:ascii="IRNazanin" w:hAnsi="IRNazanin" w:eastAsia="IRNazanin" w:cs="IRNazanin"/>
          <w:lang w:bidi="fa-IR"/>
          <w:color w:val="111111"/>
          <w:sz w:val="28"/>
          <w:szCs w:val="28"/>
          <w:rtl/>
        </w:rPr>
        <w:t xml:space="preserve">140 . مشهد؛ رضوی؛ شماره نسخه: 2213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قطب الدین احمد ،سبزواری، تا: 27 شعبان984ق؛ دارای حواشی با نشان «ع ل»؛ واقف: خواجه شیر احمد تونی؛ کاغذ: نخودی آهار مهره ،جلد: تیماج ،مشکی، 205گ، اندازه 15</w:t>
      </w:r>
      <w:r>
        <w:rPr>
          <w:rFonts w:ascii="Times New Roman" w:hAnsi="Times New Roman" w:eastAsia="Times New Roman" w:cs="Times New Roman"/>
          <w:lang w:val="en-US" w:bidi="en-US"/>
          <w:color w:val="111111"/>
          <w:sz w:val="28"/>
          <w:szCs w:val="28"/>
          <w:rtl/>
        </w:rPr>
        <w:t xml:space="preserve">× 25 </w:t>
      </w:r>
      <w:r>
        <w:rPr>
          <w:rFonts w:ascii="IRNazanin" w:hAnsi="IRNazanin" w:eastAsia="IRNazanin" w:cs="IRNazanin"/>
          <w:lang w:bidi="fa-IR"/>
          <w:color w:val="111111"/>
          <w:sz w:val="28"/>
          <w:szCs w:val="28"/>
          <w:rtl/>
        </w:rPr>
        <w:t xml:space="preserve">سم [ف: 21/1 - 77]</w:t>
      </w:r>
    </w:p>
    <w:p>
      <w:pPr>
        <w:pStyle w:val="BookText"/>
      </w:pPr>
      <w:r>
        <w:rPr>
          <w:rFonts w:ascii="IRNazanin" w:hAnsi="IRNazanin" w:eastAsia="IRNazanin" w:cs="IRNazanin"/>
          <w:lang w:bidi="fa-IR"/>
          <w:color w:val="111111"/>
          <w:sz w:val="28"/>
          <w:szCs w:val="28"/>
          <w:rtl/>
        </w:rPr>
        <w:t xml:space="preserve">141 . مشهد؛ رضوی؛ شماره نسخه: 14136</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عبد العظيم بن جلال الدین، تا: یک شنبه 18 محرم 985 ق؛ دارای حواشی با رموز مختلف واقف: فاضلخان، 1065، تحویل به کتابخانه ،1363 کاغذ ،نخودی ،جلد: میشن ،مشکی،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144 گ ، 25 سطر ، اندازه: 12</w:t>
      </w:r>
      <w:r>
        <w:rPr>
          <w:rFonts w:ascii="Times New Roman" w:hAnsi="Times New Roman" w:eastAsia="Times New Roman" w:cs="Times New Roman"/>
          <w:lang w:val="en-US" w:bidi="en-US"/>
          <w:color w:val="111111"/>
          <w:sz w:val="28"/>
          <w:szCs w:val="28"/>
          <w:rtl/>
        </w:rPr>
        <w:t xml:space="preserve">×24/5</w:t>
      </w:r>
      <w:r>
        <w:rPr>
          <w:rFonts w:ascii="IRNazanin" w:hAnsi="IRNazanin" w:eastAsia="IRNazanin" w:cs="IRNazanin"/>
          <w:lang w:bidi="fa-IR"/>
          <w:color w:val="111111"/>
          <w:sz w:val="28"/>
          <w:szCs w:val="28"/>
          <w:rtl/>
        </w:rPr>
        <w:t xml:space="preserve">سم [ف: 21/5 - 71]</w:t>
      </w:r>
    </w:p>
    <w:p>
      <w:pPr>
        <w:pStyle w:val="BookText"/>
      </w:pPr>
      <w:r>
        <w:rPr>
          <w:rFonts w:ascii="IRNazanin" w:hAnsi="IRNazanin" w:eastAsia="IRNazanin" w:cs="IRNazanin"/>
          <w:lang w:bidi="fa-IR"/>
          <w:color w:val="111111"/>
          <w:sz w:val="28"/>
          <w:szCs w:val="28"/>
          <w:rtl/>
        </w:rPr>
        <w:t xml:space="preserve">142.تهران ادبیات؛ شماره نسخه: 132/2 - د</w:t>
      </w:r>
    </w:p>
    <w:p>
      <w:pPr>
        <w:pStyle w:val="BookText"/>
      </w:pPr>
      <w:r>
        <w:rPr>
          <w:rFonts w:ascii="IRNazanin" w:hAnsi="IRNazanin" w:eastAsia="IRNazanin" w:cs="IRNazanin"/>
          <w:lang w:bidi="fa-IR"/>
          <w:color w:val="111111"/>
          <w:sz w:val="28"/>
          <w:szCs w:val="28"/>
          <w:rtl/>
        </w:rPr>
        <w:t xml:space="preserve">خط: نسخ، بی کا، تا: دوشنبه 25 جمادی الثانی 985ق؛ فهرست در آغاز نسخه به خط قزوینی؛ 528 ص( 1-528)، 15 سطر (6</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ف: 1-24]</w:t>
      </w:r>
    </w:p>
    <w:p>
      <w:pPr>
        <w:pStyle w:val="BookText"/>
      </w:pPr>
      <w:r>
        <w:rPr>
          <w:rFonts w:ascii="IRNazanin" w:hAnsi="IRNazanin" w:eastAsia="IRNazanin" w:cs="IRNazanin"/>
          <w:lang w:bidi="fa-IR"/>
          <w:color w:val="111111"/>
          <w:sz w:val="28"/>
          <w:szCs w:val="28"/>
          <w:rtl/>
        </w:rPr>
        <w:t xml:space="preserve">143 . مشهد؛ رضوی؛ شماره نسخه: 7424</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لقمان بن جمال الدین رستمداری، تا: 18 ذیحجه 987ق؛ مصحح، دارای حواشی از شهیدین و دیگران مقابله شده ؛کاغذ: نخودی آهار مهره ،جلد: میشن 225گ ، 17 سطر ، اندازه: 15/5</w:t>
      </w:r>
      <w:r>
        <w:rPr>
          <w:rFonts w:ascii="Times New Roman" w:hAnsi="Times New Roman" w:eastAsia="Times New Roman" w:cs="Times New Roman"/>
          <w:lang w:val="en-US" w:bidi="en-US"/>
          <w:color w:val="111111"/>
          <w:sz w:val="28"/>
          <w:szCs w:val="28"/>
          <w:rtl/>
        </w:rPr>
        <w:t xml:space="preserve">×24/6 </w:t>
      </w:r>
      <w:r>
        <w:rPr>
          <w:rFonts w:ascii="IRNazanin" w:hAnsi="IRNazanin" w:eastAsia="IRNazanin" w:cs="IRNazanin"/>
          <w:lang w:bidi="fa-IR"/>
          <w:color w:val="111111"/>
          <w:sz w:val="28"/>
          <w:szCs w:val="28"/>
          <w:rtl/>
        </w:rPr>
        <w:t xml:space="preserve">سم [ف: 21/1 - 78]</w:t>
      </w:r>
    </w:p>
    <w:p>
      <w:pPr>
        <w:pStyle w:val="BookText"/>
      </w:pPr>
      <w:r>
        <w:rPr>
          <w:rFonts w:ascii="IRNazanin" w:hAnsi="IRNazanin" w:eastAsia="IRNazanin" w:cs="IRNazanin"/>
          <w:lang w:bidi="fa-IR"/>
          <w:color w:val="111111"/>
          <w:sz w:val="28"/>
          <w:szCs w:val="28"/>
          <w:rtl/>
        </w:rPr>
        <w:t xml:space="preserve">144 . قم؛ مرعشی؛ شماره نسخه: 14675</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و نستعليق، كا: علی اکبر بن محمد حسینی سمنانی،تا: 988ق ،مصحح محشی با نشان «12» ،فخرالدین ،ع ل كنز»؛ کاغذ: شرقی، جلد: مشمع قهوه ای عطف تیماج قهوه ای 157 گ20 سطر (8</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 اندازه: 14 </w:t>
      </w:r>
      <w:r>
        <w:rPr>
          <w:rFonts w:ascii="Times New Roman" w:hAnsi="Times New Roman" w:eastAsia="Times New Roman" w:cs="Times New Roman"/>
          <w:lang w:val="en-US" w:bidi="en-US"/>
          <w:color w:val="111111"/>
          <w:sz w:val="28"/>
          <w:szCs w:val="28"/>
          <w:rtl/>
        </w:rPr>
        <w:t xml:space="preserve">×23</w:t>
      </w:r>
      <w:r>
        <w:rPr>
          <w:rFonts w:ascii="IRNazanin" w:hAnsi="IRNazanin" w:eastAsia="IRNazanin" w:cs="IRNazanin"/>
          <w:lang w:bidi="fa-IR"/>
          <w:color w:val="111111"/>
          <w:sz w:val="28"/>
          <w:szCs w:val="28"/>
          <w:rtl/>
        </w:rPr>
        <w:t xml:space="preserve">سم [ف: 37 - 162]</w:t>
      </w:r>
    </w:p>
    <w:p>
      <w:pPr>
        <w:pStyle w:val="BookText"/>
      </w:pPr>
      <w:r>
        <w:rPr>
          <w:rFonts w:ascii="IRNazanin" w:hAnsi="IRNazanin" w:eastAsia="IRNazanin" w:cs="IRNazanin"/>
          <w:lang w:bidi="fa-IR"/>
          <w:color w:val="111111"/>
          <w:sz w:val="28"/>
          <w:szCs w:val="28"/>
          <w:rtl/>
        </w:rPr>
        <w:t xml:space="preserve">145 تهران؛ دانشگاه؛ شماره نسخه: 6273</w:t>
      </w:r>
    </w:p>
    <w:p>
      <w:pPr>
        <w:pStyle w:val="BookText"/>
      </w:pPr>
      <w:r>
        <w:rPr>
          <w:rFonts w:ascii="IRNazanin" w:hAnsi="IRNazanin" w:eastAsia="IRNazanin" w:cs="IRNazanin"/>
          <w:lang w:bidi="fa-IR"/>
          <w:color w:val="111111"/>
          <w:sz w:val="28"/>
          <w:szCs w:val="28"/>
          <w:rtl/>
        </w:rPr>
        <w:t xml:space="preserve">خط : نسخ، بی کا، تا: 10 رجب 990ق؛ محشی با نشان «ع ل» کاغذ: سمرقندی، جلد: تیماج تریاکی مقوایی با لولا، 195گ، سطر ( 5</w:t>
      </w:r>
      <w:r>
        <w:rPr>
          <w:rFonts w:ascii="Times New Roman" w:hAnsi="Times New Roman" w:eastAsia="Times New Roman" w:cs="Times New Roman"/>
          <w:lang w:val="en-US" w:bidi="en-US"/>
          <w:color w:val="111111"/>
          <w:sz w:val="28"/>
          <w:szCs w:val="28"/>
          <w:rtl/>
        </w:rPr>
        <w:t xml:space="preserve">× 13) </w:t>
      </w:r>
      <w:r>
        <w:rPr>
          <w:rFonts w:ascii="IRNazanin" w:hAnsi="IRNazanin" w:eastAsia="IRNazanin" w:cs="IRNazanin"/>
          <w:lang w:bidi="fa-IR"/>
          <w:color w:val="111111"/>
          <w:sz w:val="28"/>
          <w:szCs w:val="28"/>
          <w:rtl/>
        </w:rPr>
        <w:t xml:space="preserve">قطع: ربعی اندازه 10</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سم [ف: 16 - 231]</w:t>
      </w:r>
    </w:p>
    <w:p>
      <w:pPr>
        <w:pStyle w:val="BookText"/>
      </w:pPr>
      <w:r>
        <w:rPr>
          <w:rFonts w:ascii="IRNazanin" w:hAnsi="IRNazanin" w:eastAsia="IRNazanin" w:cs="IRNazanin"/>
          <w:lang w:bidi="fa-IR"/>
          <w:color w:val="111111"/>
          <w:sz w:val="28"/>
          <w:szCs w:val="28"/>
          <w:rtl/>
        </w:rPr>
        <w:t xml:space="preserve">146 . قائن؛ مدرسه جعفریه؛ شماره نسخه: 129</w:t>
      </w:r>
    </w:p>
    <w:p>
      <w:pPr>
        <w:pStyle w:val="BookText"/>
      </w:pPr>
      <w:r>
        <w:rPr>
          <w:rFonts w:ascii="Amiri" w:hAnsi="Amiri" w:eastAsia="Amiri" w:cs="Amiri"/>
          <w:lang w:bidi="ar-SA"/>
          <w:color w:val="111111"/>
          <w:sz w:val="28"/>
          <w:szCs w:val="28"/>
          <w:rtl/>
        </w:rPr>
        <w:t xml:space="preserve">آغاز: والسادس ولو كان العدد ستة فى العشرة وكل دم يمكن يكون حيضاً؛ انجام: برابر</w:t>
      </w:r>
    </w:p>
    <w:p>
      <w:pPr>
        <w:pStyle w:val="BookText"/>
      </w:pPr>
      <w:r>
        <w:rPr>
          <w:rFonts w:ascii="IRNazanin" w:hAnsi="IRNazanin" w:eastAsia="IRNazanin" w:cs="IRNazanin"/>
          <w:lang w:bidi="fa-IR"/>
          <w:color w:val="111111"/>
          <w:sz w:val="28"/>
          <w:szCs w:val="28"/>
          <w:rtl/>
        </w:rPr>
        <w:t xml:space="preserve">خط: نسخ، کا: اسعد بن حسن بن محمد، تا: سلخ شوال 991 ق؛افتادگی: آغاز ،مصحح محشی؛ 231گ، 14 سطر 13</w:t>
      </w:r>
      <w:r>
        <w:rPr>
          <w:rFonts w:ascii="Times New Roman" w:hAnsi="Times New Roman" w:eastAsia="Times New Roman" w:cs="Times New Roman"/>
          <w:lang w:val="en-US" w:bidi="en-US"/>
          <w:color w:val="111111"/>
          <w:sz w:val="28"/>
          <w:szCs w:val="28"/>
          <w:rtl/>
        </w:rPr>
        <w:t xml:space="preserve">×23/5</w:t>
      </w:r>
      <w:r>
        <w:rPr>
          <w:rFonts w:ascii="IRNazanin" w:hAnsi="IRNazanin" w:eastAsia="IRNazanin" w:cs="IRNazanin"/>
          <w:lang w:bidi="fa-IR"/>
          <w:color w:val="111111"/>
          <w:sz w:val="28"/>
          <w:szCs w:val="28"/>
          <w:rtl/>
        </w:rPr>
        <w:t xml:space="preserve">سم [ کتابخانه های قائن - ف: 111]</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IRNazanin" w:hAnsi="IRNazanin" w:eastAsia="IRNazanin" w:cs="IRNazanin"/>
          <w:lang w:bidi="fa-IR"/>
          <w:color w:val="111111"/>
          <w:sz w:val="28"/>
          <w:szCs w:val="28"/>
          <w:rtl/>
        </w:rPr>
        <w:t xml:space="preserve">قم؛ مرکز احیاء؛ شماره نسخه: 2941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دوشنبه 27 ربیع الثانی 992ق؛ مصحح، محشی؛ تملک: «سلمان بن جعفر انصاری» جلد: تیماج قهوه ،ضربی ،154 گ 17 سطر ، اندازه 18</w:t>
      </w:r>
      <w:r>
        <w:rPr>
          <w:rFonts w:ascii="Times New Roman" w:hAnsi="Times New Roman" w:eastAsia="Times New Roman" w:cs="Times New Roman"/>
          <w:lang w:val="en-US" w:bidi="en-US"/>
          <w:color w:val="111111"/>
          <w:sz w:val="28"/>
          <w:szCs w:val="28"/>
          <w:rtl/>
        </w:rPr>
        <w:t xml:space="preserve">×24/5</w:t>
      </w:r>
      <w:r>
        <w:rPr>
          <w:rFonts w:ascii="IRNazanin" w:hAnsi="IRNazanin" w:eastAsia="IRNazanin" w:cs="IRNazanin"/>
          <w:lang w:bidi="fa-IR"/>
          <w:color w:val="111111"/>
          <w:sz w:val="28"/>
          <w:szCs w:val="28"/>
          <w:rtl/>
        </w:rPr>
        <w:t xml:space="preserve">سم [ محدث ارموی مخ: 1- 111]</w:t>
      </w:r>
    </w:p>
    <w:p>
      <w:pPr>
        <w:pStyle w:val="BookText"/>
      </w:pPr>
      <w:r>
        <w:rPr>
          <w:rFonts w:ascii="IRNazanin" w:hAnsi="IRNazanin" w:eastAsia="IRNazanin" w:cs="IRNazanin"/>
          <w:lang w:bidi="fa-IR"/>
          <w:color w:val="111111"/>
          <w:sz w:val="28"/>
          <w:szCs w:val="28"/>
          <w:rtl/>
        </w:rPr>
        <w:t xml:space="preserve">148 . قم؛ گلپایگانی؛ شماره نسخه: 768-5/58</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کامل؛ خط: نسخ، کا: علی بن احمد حسنی حسینی طباطبائی؛تا:4</w:t>
      </w:r>
    </w:p>
    <w:p>
      <w:pPr>
        <w:pStyle w:val="BookText"/>
      </w:pPr>
      <w:r>
        <w:rPr>
          <w:rFonts w:ascii="IRNazanin" w:hAnsi="IRNazanin" w:eastAsia="IRNazanin" w:cs="IRNazanin"/>
          <w:lang w:bidi="fa-IR"/>
          <w:color w:val="111111"/>
          <w:sz w:val="28"/>
          <w:szCs w:val="28"/>
          <w:rtl/>
        </w:rPr>
        <w:t xml:space="preserve">رمضان 992ق؛ مصحح ، محشی به امضاء «ع ل» و «منه قدس سره» و به نقل از کتاب های شرح لمعه» و «تحریر» دارای علامات ،بلاغ، در آخر نسخه تاریخ فوت علامه حلی را شب شنبه 21 محرم 726 ذکر می کند؛ :جلد گالینگور آبی ضربی دارای ترنج با نقش صلیب مجدول گرهی 300گ، 13 سطر ، اندازه:</w:t>
      </w:r>
    </w:p>
    <w:p>
      <w:pPr>
        <w:pStyle w:val="BookText"/>
      </w:pPr>
      <w:r>
        <w:rPr>
          <w:rFonts w:ascii="Times New Roman" w:hAnsi="Times New Roman" w:eastAsia="Times New Roman" w:cs="Times New Roman"/>
          <w:lang w:val="en-US" w:bidi="en-US"/>
          <w:color w:val="111111"/>
          <w:sz w:val="28"/>
          <w:szCs w:val="28"/>
          <w:rtl/>
        </w:rPr>
        <w:t xml:space="preserve">15×23 </w:t>
      </w:r>
      <w:r>
        <w:rPr>
          <w:rFonts w:ascii="IRNazanin" w:hAnsi="IRNazanin" w:eastAsia="IRNazanin" w:cs="IRNazanin"/>
          <w:lang w:bidi="fa-IR"/>
          <w:color w:val="111111"/>
          <w:sz w:val="28"/>
          <w:szCs w:val="28"/>
          <w:rtl/>
        </w:rPr>
        <w:t xml:space="preserve">سم [ف: 1 - 300]</w:t>
      </w:r>
    </w:p>
    <w:p>
      <w:pPr>
        <w:pStyle w:val="BookText"/>
      </w:pPr>
      <w:r>
        <w:rPr>
          <w:rFonts w:ascii="IRNazanin" w:hAnsi="IRNazanin" w:eastAsia="IRNazanin" w:cs="IRNazanin"/>
          <w:lang w:bidi="fa-IR"/>
          <w:color w:val="111111"/>
          <w:sz w:val="28"/>
          <w:szCs w:val="28"/>
          <w:rtl/>
        </w:rPr>
        <w:t xml:space="preserve">149 .تهران؛ ملی؛ شماره نسخه: 6148</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کامل؛ خط: نسخ، کا: هاشم بن قاسم، تا: 999ق؛ در پایان نسخه سؤال هایی از استاد خاتم المجتهدين على بن عبدالعال (مدظله) پرسیده شده و پاسخ ها ثبت گردیده است، در گ 259 یادداشتی به خط علی بن عبدالعال در شرایط فتوی و مفتی در منابع دو مجتهد با نام عبدالعال آمده است: 1. علی بن حسین بن عبدالعالی ،کرکی محقق دوم ( - 937 ق و یا 940ق) و علی بن عبدالعال عاملی میسی (- 938ق)، نوه محقق هم همین نام دارد منتها تألیفاتش بیشتر در زمینه علم نحو است اگر ادعا کنیم که این دستخط خط یکی از آن دو عالم است تاریخ تحریر این خط باید خیلی قبل از تاریخ تحریر کتاب باشد که چنین احتمالی بعید است. از طرفی به نظر می آید عبارت پایانی کاتب و تاریخ تحریر با خطی متفاوت با خط متن و مرکبی جدیدتر نوشته شده است اگر نسخه تاریخی قدیمی تر داشته باشد بعید نیست که خط انتهای کتاب خط یکی از آن دو بزرگوار باشد، مصحح، محشی از کتابهایی همچون «غاية المراد تذكره ذکری دروس، تنقیح، التحرير كنز ،العرفان نهایه حواشی شهید و نعمت الله و با نشانهای «منه ع ل ره» سعدی بن مهدیقلی طارمی، زین الدین»؛ مهر بیضوی مورخ 1102ق؛ تملک «حسین بن مازندرانی عيکوردی در 1010ق، علیرضا ابن آدریس موسوی»؛ کاغذ ،اصفهانی جلد: تیماج قهوه ای ،مقوایی مجدول، 259گ، 15 سطر (8</w:t>
      </w:r>
      <w:r>
        <w:rPr>
          <w:rFonts w:ascii="Times New Roman" w:hAnsi="Times New Roman" w:eastAsia="Times New Roman" w:cs="Times New Roman"/>
          <w:lang w:val="en-US" w:bidi="en-US"/>
          <w:color w:val="111111"/>
          <w:sz w:val="28"/>
          <w:szCs w:val="28"/>
          <w:rtl/>
        </w:rPr>
        <w:t xml:space="preserve">×13/5)</w:t>
      </w:r>
      <w:r>
        <w:rPr>
          <w:rFonts w:ascii="IRNazanin" w:hAnsi="IRNazanin" w:eastAsia="IRNazanin" w:cs="IRNazanin"/>
          <w:lang w:bidi="fa-IR"/>
          <w:color w:val="111111"/>
          <w:sz w:val="28"/>
          <w:szCs w:val="28"/>
          <w:rtl/>
        </w:rPr>
        <w:t xml:space="preserve">، اندازه: 19/2</w:t>
      </w:r>
      <w:r>
        <w:rPr>
          <w:rFonts w:ascii="Times New Roman" w:hAnsi="Times New Roman" w:eastAsia="Times New Roman" w:cs="Times New Roman"/>
          <w:lang w:val="en-US" w:bidi="en-US"/>
          <w:color w:val="111111"/>
          <w:sz w:val="28"/>
          <w:szCs w:val="28"/>
          <w:rtl/>
        </w:rPr>
        <w:t xml:space="preserve">×26</w:t>
      </w:r>
      <w:r>
        <w:rPr>
          <w:rFonts w:ascii="IRNazanin" w:hAnsi="IRNazanin" w:eastAsia="IRNazanin" w:cs="IRNazanin"/>
          <w:lang w:bidi="fa-IR"/>
          <w:color w:val="111111"/>
          <w:sz w:val="28"/>
          <w:szCs w:val="28"/>
          <w:rtl/>
        </w:rPr>
        <w:t xml:space="preserve">سم [رایانه]</w:t>
      </w:r>
    </w:p>
    <w:p>
      <w:pPr>
        <w:pStyle w:val="BookText"/>
      </w:pPr>
      <w:r>
        <w:rPr>
          <w:rFonts w:ascii="IRNazanin" w:hAnsi="IRNazanin" w:eastAsia="IRNazanin" w:cs="IRNazanin"/>
          <w:lang w:bidi="fa-IR"/>
          <w:color w:val="111111"/>
          <w:sz w:val="28"/>
          <w:szCs w:val="28"/>
          <w:rtl/>
        </w:rPr>
        <w:t xml:space="preserve">150 شیراز؛ علامه طباطبائی؛ شماره نسخه 280</w:t>
      </w:r>
    </w:p>
    <w:p>
      <w:pPr>
        <w:pStyle w:val="BookText"/>
      </w:pPr>
      <w:r>
        <w:rPr>
          <w:rFonts w:ascii="IRNazanin" w:hAnsi="IRNazanin" w:eastAsia="IRNazanin" w:cs="IRNazanin"/>
          <w:lang w:bidi="fa-IR"/>
          <w:color w:val="111111"/>
          <w:sz w:val="28"/>
          <w:szCs w:val="28"/>
          <w:rtl/>
        </w:rPr>
        <w:t xml:space="preserve">خط: نسخ، بی کا، تا: قرن 11؛ افتادگی: انجام؛ محشی؛ اندازه 14</w:t>
      </w:r>
      <w:r>
        <w:rPr>
          <w:rFonts w:ascii="Times New Roman" w:hAnsi="Times New Roman" w:eastAsia="Times New Roman" w:cs="Times New Roman"/>
          <w:lang w:val="en-US" w:bidi="en-US"/>
          <w:color w:val="111111"/>
          <w:sz w:val="28"/>
          <w:szCs w:val="28"/>
          <w:rtl/>
        </w:rPr>
        <w:t xml:space="preserve">×23/5 [ </w:t>
      </w:r>
      <w:r>
        <w:rPr>
          <w:rFonts w:ascii="IRNazanin" w:hAnsi="IRNazanin" w:eastAsia="IRNazanin" w:cs="IRNazanin"/>
          <w:lang w:bidi="fa-IR"/>
          <w:color w:val="111111"/>
          <w:sz w:val="28"/>
          <w:szCs w:val="28"/>
          <w:rtl/>
        </w:rPr>
        <w:t xml:space="preserve">نسخه پژوهی 2 - 111]</w:t>
      </w:r>
    </w:p>
    <w:p>
      <w:pPr>
        <w:pStyle w:val="BookText"/>
      </w:pPr>
      <w:r>
        <w:rPr>
          <w:rFonts w:ascii="IRNazanin" w:hAnsi="IRNazanin" w:eastAsia="IRNazanin" w:cs="IRNazanin"/>
          <w:lang w:bidi="fa-IR"/>
          <w:color w:val="111111"/>
          <w:sz w:val="28"/>
          <w:szCs w:val="28"/>
          <w:rtl/>
        </w:rPr>
        <w:t xml:space="preserve">151 . مشهد؛ مدیر شانه چی؛ شماره نسخه: 7</w:t>
      </w:r>
    </w:p>
    <w:p>
      <w:pPr>
        <w:pStyle w:val="BookText"/>
      </w:pPr>
      <w:r>
        <w:rPr>
          <w:rFonts w:ascii="IRNazanin" w:hAnsi="IRNazanin" w:eastAsia="IRNazanin" w:cs="IRNazanin"/>
          <w:lang w:bidi="fa-IR"/>
          <w:color w:val="111111"/>
          <w:sz w:val="28"/>
          <w:szCs w:val="28"/>
          <w:rtl/>
        </w:rPr>
        <w:t xml:space="preserve">خط:نستعلیق ،خوش، بی کا: تا: قرن 11؛ افتادگی :آغاز؛ قطع: ربعی [ نشریه 5 - 590]</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IRNazanin" w:hAnsi="IRNazanin" w:eastAsia="IRNazanin" w:cs="IRNazanin"/>
          <w:lang w:bidi="fa-IR"/>
          <w:color w:val="111111"/>
          <w:sz w:val="28"/>
          <w:szCs w:val="28"/>
          <w:rtl/>
        </w:rPr>
        <w:t xml:space="preserve">تهران؛ مفتاح؛ شماره نسخه: 108</w:t>
      </w:r>
    </w:p>
    <w:p>
      <w:pPr>
        <w:pStyle w:val="BookText"/>
      </w:pPr>
      <w:r>
        <w:rPr>
          <w:rFonts w:ascii="IRNazanin" w:hAnsi="IRNazanin" w:eastAsia="IRNazanin" w:cs="IRNazanin"/>
          <w:lang w:bidi="fa-IR"/>
          <w:color w:val="111111"/>
          <w:sz w:val="28"/>
          <w:szCs w:val="28"/>
          <w:rtl/>
        </w:rPr>
        <w:t xml:space="preserve">خط: نسخ، بی کا: تا: قرن 11 دارای حواشی با نشان «ع ل» به نستعلیق؛ تملک: میر محمد باقر که به شرط به سی و نه هزار دینار در سه شنبه 13 رجب 1241 فروخته ،بود مصطفی حسینی صفائی خوانساری؛ قطع: وزیری [نشریه: 7 – 100]</w:t>
      </w:r>
    </w:p>
    <w:p>
      <w:pPr>
        <w:pStyle w:val="BookText"/>
      </w:pPr>
      <w:r>
        <w:rPr>
          <w:rFonts w:ascii="IRNazanin" w:hAnsi="IRNazanin" w:eastAsia="IRNazanin" w:cs="IRNazanin"/>
          <w:lang w:bidi="fa-IR"/>
          <w:color w:val="111111"/>
          <w:sz w:val="28"/>
          <w:szCs w:val="28"/>
          <w:rtl/>
        </w:rPr>
        <w:t xml:space="preserve">153.تهران؛ مفتاح؛ شماره نسخه: 191</w:t>
      </w:r>
    </w:p>
    <w:p>
      <w:pPr>
        <w:pStyle w:val="BookText"/>
      </w:pPr>
      <w:r>
        <w:rPr>
          <w:rFonts w:ascii="IRNazanin" w:hAnsi="IRNazanin" w:eastAsia="IRNazanin" w:cs="IRNazanin"/>
          <w:lang w:bidi="fa-IR"/>
          <w:color w:val="111111"/>
          <w:sz w:val="28"/>
          <w:szCs w:val="28"/>
          <w:rtl/>
        </w:rPr>
        <w:t xml:space="preserve">خط:نسخ، بی کا: تا: قرن 11 ؛افتادگی: انجام؛ وقف به خط محمد جعفر بن محمد صالح واقف : محب على سیاف، 17 جمادی الاول 1116 [ نشریه: 7 - 100]</w:t>
      </w:r>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IRNazanin" w:hAnsi="IRNazanin" w:eastAsia="IRNazanin" w:cs="IRNazanin"/>
          <w:lang w:bidi="fa-IR"/>
          <w:color w:val="111111"/>
          <w:sz w:val="28"/>
          <w:szCs w:val="28"/>
          <w:rtl/>
        </w:rPr>
        <w:t xml:space="preserve">اصفهان؛ عمومی اصفهان فرهنگ سابق)؛ شماره نسخه: 2972</w:t>
      </w:r>
    </w:p>
    <w:p>
      <w:pPr>
        <w:pStyle w:val="BookText"/>
      </w:pPr>
      <w:r>
        <w:rPr>
          <w:rFonts w:ascii="IRNazanin" w:hAnsi="IRNazanin" w:eastAsia="IRNazanin" w:cs="IRNazanin"/>
          <w:lang w:bidi="fa-IR"/>
          <w:color w:val="111111"/>
          <w:sz w:val="28"/>
          <w:szCs w:val="28"/>
          <w:rtl/>
        </w:rPr>
        <w:t xml:space="preserve">خط: نسخ، بی کا، تا: قرن 11؛ افتادگی: انجام؛ اوایل کتاب نونویس؛ کاغذ: اصفهانی، جلد: چرمی سیاه، 387ص،16 سطر (10</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اندازه 16</w:t>
      </w:r>
      <w:r>
        <w:rPr>
          <w:rFonts w:ascii="Times New Roman" w:hAnsi="Times New Roman" w:eastAsia="Times New Roman" w:cs="Times New Roman"/>
          <w:lang w:val="en-US" w:bidi="en-US"/>
          <w:color w:val="111111"/>
          <w:sz w:val="28"/>
          <w:szCs w:val="28"/>
          <w:rtl/>
        </w:rPr>
        <w:t xml:space="preserve">×24</w:t>
      </w:r>
      <w:r>
        <w:rPr>
          <w:rFonts w:ascii="IRNazanin" w:hAnsi="IRNazanin" w:eastAsia="IRNazanin" w:cs="IRNazanin"/>
          <w:lang w:bidi="fa-IR"/>
          <w:color w:val="111111"/>
          <w:sz w:val="28"/>
          <w:szCs w:val="28"/>
          <w:rtl/>
        </w:rPr>
        <w:t xml:space="preserve">سم [ف: 1 - 177]</w:t>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IRNazanin" w:hAnsi="IRNazanin" w:eastAsia="IRNazanin" w:cs="IRNazanin"/>
          <w:lang w:bidi="fa-IR"/>
          <w:color w:val="111111"/>
          <w:sz w:val="28"/>
          <w:szCs w:val="28"/>
          <w:rtl/>
        </w:rPr>
        <w:t xml:space="preserve">تهران؛ مؤسسه مطالعات اسلامی؛ شماره نسخه: 6 .</w:t>
      </w:r>
    </w:p>
    <w:p>
      <w:pPr>
        <w:pStyle w:val="BookText"/>
      </w:pPr>
      <w:r>
        <w:rPr>
          <w:rFonts w:ascii="Amiri" w:hAnsi="Amiri" w:eastAsia="Amiri" w:cs="Amiri"/>
          <w:lang w:bidi="ar-SA"/>
          <w:color w:val="111111"/>
          <w:sz w:val="28"/>
          <w:szCs w:val="28"/>
          <w:rtl/>
        </w:rPr>
        <w:t xml:space="preserve">آغاز: برابر ؛انجام لتجدو اسلامه فيضمن الدية في ماله و لورمى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 نسخ، بی کا، تا: قرن 11 ؛افتادگی: انجام؛ 7 برگ اول الحلاقی است، محشی؛ کاغذ: زرد آهار مهره ،جلد: تیماج مشكى الحافی، 201گ، 16 سطر (9/5</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 اندازه: 17</w:t>
      </w:r>
      <w:r>
        <w:rPr>
          <w:rFonts w:ascii="Times New Roman" w:hAnsi="Times New Roman" w:eastAsia="Times New Roman" w:cs="Times New Roman"/>
          <w:lang w:val="en-US" w:bidi="en-US"/>
          <w:color w:val="111111"/>
          <w:sz w:val="28"/>
          <w:szCs w:val="28"/>
          <w:rtl/>
        </w:rPr>
        <w:t xml:space="preserve">×26</w:t>
      </w:r>
      <w:r>
        <w:rPr>
          <w:rFonts w:ascii="IRNazanin" w:hAnsi="IRNazanin" w:eastAsia="IRNazanin" w:cs="IRNazanin"/>
          <w:lang w:bidi="fa-IR"/>
          <w:color w:val="111111"/>
          <w:sz w:val="28"/>
          <w:szCs w:val="28"/>
          <w:rtl/>
        </w:rPr>
        <w:t xml:space="preserve">سم [ ف : 4]</w:t>
      </w:r>
    </w:p>
    <w:p>
      <w:pPr>
        <w:pStyle w:val="BookText"/>
      </w:pPr>
      <w:r>
        <w:rPr>
          <w:rFonts w:ascii="IRNazanin" w:hAnsi="IRNazanin" w:eastAsia="IRNazanin" w:cs="IRNazanin"/>
          <w:lang w:bidi="fa-IR"/>
          <w:color w:val="111111"/>
          <w:sz w:val="28"/>
          <w:szCs w:val="28"/>
          <w:rtl/>
        </w:rPr>
        <w:t xml:space="preserve">156 . مشهد؛ رضوی؛ شماره نسخه: 31558</w:t>
      </w:r>
    </w:p>
    <w:p>
      <w:pPr>
        <w:pStyle w:val="BookText"/>
      </w:pPr>
      <w:r>
        <w:rPr>
          <w:rFonts w:ascii="Amiri" w:hAnsi="Amiri" w:eastAsia="Amiri" w:cs="Amiri"/>
          <w:lang w:bidi="ar-SA"/>
          <w:color w:val="111111"/>
          <w:sz w:val="28"/>
          <w:szCs w:val="28"/>
          <w:rtl/>
        </w:rPr>
        <w:t xml:space="preserve">آغاز : و الجاهل لا يعيد مطلقا و لو علم فى الاثناء استبدل و لو تعذرالا بالمبطل ابطل؛ انجام: و يشمل هما من يقصر ماله عن مؤنة السنه له و لعياله و العاملون</w:t>
      </w:r>
    </w:p>
    <w:p>
      <w:pPr>
        <w:pStyle w:val="BookText"/>
      </w:pPr>
      <w:r>
        <w:rPr>
          <w:rFonts w:ascii="IRNazanin" w:hAnsi="IRNazanin" w:eastAsia="IRNazanin" w:cs="IRNazanin"/>
          <w:lang w:bidi="fa-IR"/>
          <w:color w:val="111111"/>
          <w:sz w:val="28"/>
          <w:szCs w:val="28"/>
          <w:rtl/>
        </w:rPr>
        <w:t xml:space="preserve">از اواخر طهارت تا «المقصد الرابع فى مستحق الزكاة»؛ خط نسخ، کا: تا: قرن 11؛ اهدائی ،رهبری بهمن 1383 ؛کاغذ: نخودی، آهار مهره، جلد: تیماج فرنگی ،قهوه ای، 16گ ، 15 سطر ، اندا زه: 19</w:t>
      </w:r>
      <w:r>
        <w:rPr>
          <w:rFonts w:ascii="Times New Roman" w:hAnsi="Times New Roman" w:eastAsia="Times New Roman" w:cs="Times New Roman"/>
          <w:lang w:val="en-US" w:bidi="en-US"/>
          <w:color w:val="111111"/>
          <w:sz w:val="28"/>
          <w:szCs w:val="28"/>
          <w:rtl/>
        </w:rPr>
        <w:t xml:space="preserve">×23/5</w:t>
      </w:r>
      <w:r>
        <w:rPr>
          <w:rFonts w:ascii="Amiri" w:hAnsi="Amiri" w:eastAsia="Amiri" w:cs="Amiri"/>
          <w:lang w:bidi="ar-SA"/>
          <w:color w:val="111111"/>
          <w:sz w:val="28"/>
          <w:szCs w:val="28"/>
          <w:rtl/>
        </w:rPr>
        <w:t xml:space="preserve">سم [اهدائي - ف: 3 - 52]</w:t>
      </w:r>
    </w:p>
    <w:p>
      <w:pPr>
        <w:pStyle w:val="BookText"/>
      </w:pPr>
      <w:r>
        <w:rPr>
          <w:rFonts w:ascii="IRNazanin" w:hAnsi="IRNazanin" w:eastAsia="IRNazanin" w:cs="IRNazanin"/>
          <w:lang w:bidi="fa-IR"/>
          <w:color w:val="111111"/>
          <w:sz w:val="28"/>
          <w:szCs w:val="28"/>
          <w:rtl/>
        </w:rPr>
        <w:t xml:space="preserve">157 . مشهد؛ گوهر شاد؛ شماره نسخه: 1608</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قرن 11 ؛ محشی با رموز مختلف«ع ل» با سرلوح ،مذهب، مجدول، فهرست کتب به قلم محمد رضا محمد رحیم تبریزی مقیم اصفهان در سال 1247ق؛واقف: سید سعید طباطبایی 1332 :کاغذ: حنایی آهار مهره ،جلد :تیماج خرمایی ضربی مزین به ترنج و سرترنج،253گ سطر، اندازه: 11/5</w:t>
      </w:r>
      <w:r>
        <w:rPr>
          <w:rFonts w:ascii="Times New Roman" w:hAnsi="Times New Roman" w:eastAsia="Times New Roman" w:cs="Times New Roman"/>
          <w:lang w:val="en-US" w:bidi="en-US"/>
          <w:color w:val="111111"/>
          <w:sz w:val="28"/>
          <w:szCs w:val="28"/>
          <w:rtl/>
        </w:rPr>
        <w:t xml:space="preserve">×19/5</w:t>
      </w:r>
      <w:r>
        <w:rPr>
          <w:rFonts w:ascii="IRNazanin" w:hAnsi="IRNazanin" w:eastAsia="IRNazanin" w:cs="IRNazanin"/>
          <w:lang w:bidi="fa-IR"/>
          <w:color w:val="111111"/>
          <w:sz w:val="28"/>
          <w:szCs w:val="28"/>
          <w:rtl/>
        </w:rPr>
        <w:t xml:space="preserve">سم [ف: 5 - 17]</w:t>
      </w: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IRNazanin" w:hAnsi="IRNazanin" w:eastAsia="IRNazanin" w:cs="IRNazanin"/>
          <w:lang w:bidi="fa-IR"/>
          <w:color w:val="111111"/>
          <w:sz w:val="28"/>
          <w:szCs w:val="28"/>
          <w:rtl/>
        </w:rPr>
        <w:t xml:space="preserve">مشهد؛ نواب؛ شماره نسخه: 337</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محمد طاهر بن حاجی محمد قلی تبریزی، تا: ق ،11 جا :مدرسه جلالیه ،اصفهان ،مصحح دارای بلاغ محشی ، پشت صفحه اول یادداشت عماد المحققین است که این کتاب از حاجی فاضل به امانت گرفته است؛ کاغذ: هندی :جلد تیم ،قهوه ای 209 گ،21 سطر (7</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اندازه: 12/5</w:t>
      </w:r>
      <w:r>
        <w:rPr>
          <w:rFonts w:ascii="Times New Roman" w:hAnsi="Times New Roman" w:eastAsia="Times New Roman" w:cs="Times New Roman"/>
          <w:lang w:val="en-US" w:bidi="en-US"/>
          <w:color w:val="111111"/>
          <w:sz w:val="28"/>
          <w:szCs w:val="28"/>
          <w:rtl/>
        </w:rPr>
        <w:t xml:space="preserve">× 24/5 [ </w:t>
      </w:r>
      <w:r>
        <w:rPr>
          <w:rFonts w:ascii="IRNazanin" w:hAnsi="IRNazanin" w:eastAsia="IRNazanin" w:cs="IRNazanin"/>
          <w:lang w:bidi="fa-IR"/>
          <w:color w:val="111111"/>
          <w:sz w:val="28"/>
          <w:szCs w:val="28"/>
          <w:rtl/>
        </w:rPr>
        <w:t xml:space="preserve">ف : 286]</w:t>
      </w:r>
    </w:p>
    <w:p>
      <w:pPr>
        <w:pStyle w:val="BookText"/>
      </w:pPr>
      <w:r>
        <w:rPr>
          <w:rFonts w:ascii="IRNazanin" w:hAnsi="IRNazanin" w:eastAsia="IRNazanin" w:cs="IRNazanin"/>
          <w:lang w:bidi="fa-IR"/>
          <w:color w:val="111111"/>
          <w:sz w:val="28"/>
          <w:szCs w:val="28"/>
          <w:rtl/>
        </w:rPr>
        <w:t xml:space="preserve">159 مشهد؛ نواب؛ شماره نسخه: 282</w:t>
      </w:r>
    </w:p>
    <w:p>
      <w:pPr>
        <w:pStyle w:val="BookText"/>
      </w:pPr>
      <w:r>
        <w:rPr>
          <w:rFonts w:ascii="Amiri" w:hAnsi="Amiri" w:eastAsia="Amiri" w:cs="Amiri"/>
          <w:lang w:bidi="ar-SA"/>
          <w:color w:val="111111"/>
          <w:sz w:val="28"/>
          <w:szCs w:val="28"/>
          <w:rtl/>
        </w:rPr>
        <w:t xml:space="preserve">آغاز: برابر؛ انجام: و تساوى المرأة والرجل فى دية الاعضا. الجراح حتى يبلغ ثلث دية الرجل.</w:t>
      </w:r>
    </w:p>
    <w:p>
      <w:pPr>
        <w:pStyle w:val="BookText"/>
      </w:pPr>
      <w:r>
        <w:rPr>
          <w:rFonts w:ascii="IRNazanin" w:hAnsi="IRNazanin" w:eastAsia="IRNazanin" w:cs="IRNazanin"/>
          <w:lang w:bidi="fa-IR"/>
          <w:color w:val="111111"/>
          <w:sz w:val="28"/>
          <w:szCs w:val="28"/>
          <w:rtl/>
        </w:rPr>
        <w:t xml:space="preserve">از آغاز تا اواخر دیات؛ خط نسخ، بی کا، تا: قرن 11؛ افتادگی: انجام؛ دارای حواشی با نشان «مهذب البارع، ع ل ، ايضاح ،فخرالدین ، شرح ، ع ، ل ، و ...» دارای بلاغ در صفحه بدرقه کتاب بندی در حکم شخصی که در غیر شهر خود مقیم است به نقل ،شرایع، در پشت صفحه اول بندی در اوزان شرعی از محمدباقر به نقل از نسخه سید عبدالكريم طبسی مورخ شوال1120ق؛ تملک: ابوالقاسم؛ 179گ، 21 سطر (10</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اندازه: 18</w:t>
      </w:r>
      <w:r>
        <w:rPr>
          <w:rFonts w:ascii="Times New Roman" w:hAnsi="Times New Roman" w:eastAsia="Times New Roman" w:cs="Times New Roman"/>
          <w:lang w:val="en-US" w:bidi="en-US"/>
          <w:color w:val="111111"/>
          <w:sz w:val="28"/>
          <w:szCs w:val="28"/>
          <w:rtl/>
        </w:rPr>
        <w:t xml:space="preserve">×24</w:t>
      </w:r>
      <w:r>
        <w:rPr>
          <w:rFonts w:ascii="IRNazanin" w:hAnsi="IRNazanin" w:eastAsia="IRNazanin" w:cs="IRNazanin"/>
          <w:lang w:bidi="fa-IR"/>
          <w:color w:val="111111"/>
          <w:sz w:val="28"/>
          <w:szCs w:val="28"/>
          <w:rtl/>
        </w:rPr>
        <w:t xml:space="preserve">سم [ف: 240]</w:t>
      </w:r>
    </w:p>
    <w:p>
      <w:pPr>
        <w:pStyle w:val="BookText"/>
      </w:pPr>
      <w:r>
        <w:rPr>
          <w:rFonts w:ascii="IRNazanin" w:hAnsi="IRNazanin" w:eastAsia="IRNazanin" w:cs="IRNazanin"/>
          <w:lang w:bidi="fa-IR"/>
          <w:color w:val="111111"/>
          <w:sz w:val="28"/>
          <w:szCs w:val="28"/>
          <w:rtl/>
        </w:rPr>
        <w:t xml:space="preserve">160 تهران؛ مجلس؛ شماره نسخه: 8400</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 10 و 11؛ مصحح، محشی؛ مهر: «افوض امرى الى الله عبده حسینقلی (1290؟ (مربع)؛ جلد: تیماج قر مز،342گ، 11 سطر ، اندازه: 15</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 ف : 27/22 - 93]</w:t>
      </w:r>
    </w:p>
    <w:p>
      <w:pPr>
        <w:pStyle w:val="BookText"/>
      </w:pPr>
      <w:r>
        <w:rPr>
          <w:rFonts w:ascii="IRNazanin" w:hAnsi="IRNazanin" w:eastAsia="IRNazanin" w:cs="IRNazanin"/>
          <w:lang w:bidi="fa-IR"/>
          <w:color w:val="111111"/>
          <w:sz w:val="28"/>
          <w:szCs w:val="28"/>
          <w:rtl/>
        </w:rPr>
        <w:t xml:space="preserve">161 تهران؛ مجلس؛ شماره نسخه: 16169</w:t>
      </w:r>
    </w:p>
    <w:p>
      <w:pPr>
        <w:pStyle w:val="BookText"/>
      </w:pPr>
      <w:r>
        <w:rPr>
          <w:rFonts w:ascii="IRNazanin" w:hAnsi="IRNazanin" w:eastAsia="IRNazanin" w:cs="IRNazanin"/>
          <w:lang w:bidi="fa-IR"/>
          <w:color w:val="111111"/>
          <w:sz w:val="28"/>
          <w:szCs w:val="28"/>
          <w:rtl/>
        </w:rPr>
        <w:t xml:space="preserve">خط نسخ، بی کا، تا: قرن 11 [مختصر - ف: 47]</w:t>
      </w:r>
    </w:p>
    <w:p>
      <w:pPr>
        <w:pStyle w:val="BookText"/>
      </w:pPr>
      <w:r>
        <w:rPr>
          <w:rFonts w:ascii="IRNazanin" w:hAnsi="IRNazanin" w:eastAsia="IRNazanin" w:cs="IRNazanin"/>
          <w:lang w:bidi="fa-IR"/>
          <w:color w:val="111111"/>
          <w:sz w:val="28"/>
          <w:szCs w:val="28"/>
          <w:rtl/>
        </w:rPr>
        <w:t xml:space="preserve">162 تهران؛ مجلس؛ شماره نسخه: 11624</w:t>
      </w:r>
    </w:p>
    <w:p>
      <w:pPr>
        <w:pStyle w:val="BookText"/>
      </w:pPr>
      <w:r>
        <w:rPr>
          <w:rFonts w:ascii="IRNazanin" w:hAnsi="IRNazanin" w:eastAsia="IRNazanin" w:cs="IRNazanin"/>
          <w:lang w:bidi="fa-IR"/>
          <w:color w:val="111111"/>
          <w:sz w:val="28"/>
          <w:szCs w:val="28"/>
          <w:rtl/>
        </w:rPr>
        <w:t xml:space="preserve">آغاز: كفت الاشاره ولا ينقعد الا بلفظ الماضي و في اشتراط تقديم الايجاب نظر؛ انجام و ان لم يكن جرح  فللمجروح القصاص فى الموضحة ودية الزايد فى الهاشمة و هي خمسة خط: نسخ، بی کا ،تا: قرن 11؛ افتادگی: آغاز و انجام؛ واقف: اشکوری؛ جلد: تیماج ،مشکی، 233گ، 14 سطر (6/5</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،اندازه: 13</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سم [ف: 34 - 22]</w:t>
      </w:r>
    </w:p>
    <w:p>
      <w:pPr>
        <w:pStyle w:val="BookText"/>
      </w:pPr>
      <w:r>
        <w:rPr>
          <w:rFonts w:ascii="IRNazanin" w:hAnsi="IRNazanin" w:eastAsia="IRNazanin" w:cs="IRNazanin"/>
          <w:lang w:bidi="fa-IR"/>
          <w:color w:val="111111"/>
          <w:sz w:val="28"/>
          <w:szCs w:val="28"/>
          <w:rtl/>
        </w:rPr>
        <w:t xml:space="preserve">163 تهران؛ دانشگاه؛ شماره نسخه: 7123</w:t>
      </w:r>
    </w:p>
    <w:p>
      <w:pPr>
        <w:pStyle w:val="BookText"/>
      </w:pPr>
      <w:r>
        <w:rPr>
          <w:rFonts w:ascii="IRNazanin" w:hAnsi="IRNazanin" w:eastAsia="IRNazanin" w:cs="IRNazanin"/>
          <w:lang w:bidi="fa-IR"/>
          <w:color w:val="111111"/>
          <w:sz w:val="28"/>
          <w:szCs w:val="28"/>
          <w:rtl/>
        </w:rPr>
        <w:t xml:space="preserve">خط: نستعلیق، بی کا ،تا: قرن 11 ؛با حواشی «شهید، شرح شیخ فخر الدین»؛ کاغذ ،سپاهانی ،جلد: تیماج مشکی مقوایی، 234گ، 13 سطر (7</w:t>
      </w:r>
      <w:r>
        <w:rPr>
          <w:rFonts w:ascii="Times New Roman" w:hAnsi="Times New Roman" w:eastAsia="Times New Roman" w:cs="Times New Roman"/>
          <w:lang w:val="en-US" w:bidi="en-US"/>
          <w:color w:val="111111"/>
          <w:sz w:val="28"/>
          <w:szCs w:val="28"/>
          <w:rtl/>
        </w:rPr>
        <w:t xml:space="preserve">×12/5) </w:t>
      </w:r>
      <w:r>
        <w:rPr>
          <w:rFonts w:ascii="IRNazanin" w:hAnsi="IRNazanin" w:eastAsia="IRNazanin" w:cs="IRNazanin"/>
          <w:lang w:bidi="fa-IR"/>
          <w:color w:val="111111"/>
          <w:sz w:val="28"/>
          <w:szCs w:val="28"/>
          <w:rtl/>
        </w:rPr>
        <w:t xml:space="preserve">قطع:ربعی اندازه: 12/5</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سم [ف: 16 - 460]</w:t>
      </w:r>
    </w:p>
    <w:p>
      <w:pPr>
        <w:pStyle w:val="BookText"/>
      </w:pPr>
      <w:r>
        <w:rPr>
          <w:rFonts w:ascii="IRNazanin" w:hAnsi="IRNazanin" w:eastAsia="IRNazanin" w:cs="IRNazanin"/>
          <w:lang w:bidi="fa-IR"/>
          <w:color w:val="111111"/>
          <w:sz w:val="28"/>
          <w:szCs w:val="28"/>
          <w:rtl/>
        </w:rPr>
        <w:t xml:space="preserve">164 تهران؛ مدرسه مروی؛ شماره نسخه: 490</w:t>
      </w:r>
    </w:p>
    <w:p>
      <w:pPr>
        <w:pStyle w:val="BookText"/>
      </w:pPr>
      <w:r>
        <w:rPr>
          <w:rFonts w:ascii="IRNazanin" w:hAnsi="IRNazanin" w:eastAsia="IRNazanin" w:cs="IRNazanin"/>
          <w:lang w:bidi="fa-IR"/>
          <w:color w:val="111111"/>
          <w:sz w:val="28"/>
          <w:szCs w:val="28"/>
          <w:rtl/>
        </w:rPr>
        <w:t xml:space="preserve">كا: حسن بن علی، تا: شاید قدیمی تر از قرن 11؛ قطع وزیری [ف: 65]</w:t>
      </w:r>
    </w:p>
    <w:p>
      <w:pPr>
        <w:pStyle w:val="BookText"/>
      </w:pPr>
      <w:r>
        <w:rPr>
          <w:rFonts w:ascii="IRNazanin" w:hAnsi="IRNazanin" w:eastAsia="IRNazanin" w:cs="IRNazanin"/>
          <w:lang w:bidi="fa-IR"/>
          <w:color w:val="111111"/>
          <w:sz w:val="28"/>
          <w:szCs w:val="28"/>
          <w:rtl/>
        </w:rPr>
        <w:t xml:space="preserve">165 تهران؛ مجلس؛ شماره نسخه: 15514</w:t>
      </w:r>
    </w:p>
    <w:p>
      <w:pPr>
        <w:pStyle w:val="BookText"/>
      </w:pPr>
      <w:r>
        <w:rPr>
          <w:rFonts w:ascii="IRNazanin" w:hAnsi="IRNazanin" w:eastAsia="IRNazanin" w:cs="IRNazanin"/>
          <w:lang w:bidi="fa-IR"/>
          <w:color w:val="111111"/>
          <w:sz w:val="28"/>
          <w:szCs w:val="28"/>
          <w:rtl/>
        </w:rPr>
        <w:t xml:space="preserve">خط: نستعلیق ،تحریری، بی کا، تا: قرن 11؛ مصحح، محشی و چنانچه در برگ مربوط جا نبوده در صفحاتی الصاقی ضمیمه شده، بعضی از حاشیه ها هم به جهت عدم تداخل با حاشیه دیگر به شنگرف نگاشته شده؛ تملک: «عبدالله بن زامل آل کمونه حسینی نجفی» با مهر «عبدالله کمونه الحسینی» (بیضی) و «عبدالله بن زامل کمونه الحسینی» (بیضی) و در یادداشت آغازین کسی را که به اجبار نسخه را بگیرد لعنت کرده است؛ جلد: تیماج تریاکی ضربی ترنج و سرترنج گره دار 221گ، 21 سطر ، اندازه:12/5</w:t>
      </w:r>
      <w:r>
        <w:rPr>
          <w:rFonts w:ascii="Times New Roman" w:hAnsi="Times New Roman" w:eastAsia="Times New Roman" w:cs="Times New Roman"/>
          <w:lang w:val="en-US" w:bidi="en-US"/>
          <w:color w:val="111111"/>
          <w:sz w:val="28"/>
          <w:szCs w:val="28"/>
          <w:rtl/>
        </w:rPr>
        <w:t xml:space="preserve">×8/25</w:t>
      </w:r>
      <w:r>
        <w:rPr>
          <w:rFonts w:ascii="IRNazanin" w:hAnsi="IRNazanin" w:eastAsia="IRNazanin" w:cs="IRNazanin"/>
          <w:lang w:bidi="fa-IR"/>
          <w:color w:val="111111"/>
          <w:sz w:val="28"/>
          <w:szCs w:val="28"/>
          <w:rtl/>
        </w:rPr>
        <w:t xml:space="preserve">سم [ف: 43 - 135]</w:t>
      </w:r>
    </w:p>
    <w:p>
      <w:pPr>
        <w:pStyle w:val="BookText"/>
      </w:pPr>
      <w:r>
        <w:rPr>
          <w:rFonts w:ascii="IRNazanin" w:hAnsi="IRNazanin" w:eastAsia="IRNazanin" w:cs="IRNazanin"/>
          <w:lang w:bidi="fa-IR"/>
          <w:color w:val="111111"/>
          <w:sz w:val="28"/>
          <w:szCs w:val="28"/>
          <w:rtl/>
        </w:rPr>
        <w:t xml:space="preserve">166 . تهران؛ مجلس؛ شماره نسخه: 14598</w:t>
      </w:r>
    </w:p>
    <w:p>
      <w:pPr>
        <w:pStyle w:val="BookText"/>
      </w:pPr>
      <w:r>
        <w:rPr>
          <w:rFonts w:ascii="IRNazanin" w:hAnsi="IRNazanin" w:eastAsia="IRNazanin" w:cs="IRNazanin"/>
          <w:lang w:bidi="fa-IR"/>
          <w:color w:val="111111"/>
          <w:sz w:val="28"/>
          <w:szCs w:val="28"/>
          <w:rtl/>
        </w:rPr>
        <w:t xml:space="preserve">انجام: برابر</w:t>
      </w:r>
    </w:p>
    <w:p>
      <w:pPr>
        <w:pStyle w:val="BookText"/>
      </w:pPr>
      <w:r>
        <w:rPr>
          <w:rFonts w:ascii="IRNazanin" w:hAnsi="IRNazanin" w:eastAsia="IRNazanin" w:cs="IRNazanin"/>
          <w:lang w:bidi="fa-IR"/>
          <w:color w:val="111111"/>
          <w:sz w:val="28"/>
          <w:szCs w:val="28"/>
          <w:rtl/>
        </w:rPr>
        <w:t xml:space="preserve">خط: نسخ، بی کا، تا: قرن 11؛ محشی، در آغاز نسخه تاریخ ولادت میرزا محمد اشرف ثبت ،شده مربوط به سال 1071 یا تصریح به وضعیت قمر در ثور و طالع سنبله با چهار ماده تاریخ ولادت از جمله فرج بعد از شدت (1071)، چند یادداشت فقهی و علوم غریبه در آغاز نسخه نیز ثبت شده از جمله یادداشتی درباره نکاح علی رسم التولية و نماز غدير و کیفیت صیغه طلاق (مورخ 1293) و کیفیت مخارج حروف با ترسیم زبان؛ جلد: تیماج مشکی ضربی با ترنج و سرترنج معرق، 127گ، 19 سطر ، :اندازه: 20/2</w:t>
      </w:r>
      <w:r>
        <w:rPr>
          <w:rFonts w:ascii="Times New Roman" w:hAnsi="Times New Roman" w:eastAsia="Times New Roman" w:cs="Times New Roman"/>
          <w:lang w:val="en-US" w:bidi="en-US"/>
          <w:color w:val="111111"/>
          <w:sz w:val="28"/>
          <w:szCs w:val="28"/>
          <w:rtl/>
        </w:rPr>
        <w:t xml:space="preserve">×26/5</w:t>
      </w:r>
      <w:r>
        <w:rPr>
          <w:rFonts w:ascii="IRNazanin" w:hAnsi="IRNazanin" w:eastAsia="IRNazanin" w:cs="IRNazanin"/>
          <w:lang w:bidi="fa-IR"/>
          <w:color w:val="111111"/>
          <w:sz w:val="28"/>
          <w:szCs w:val="28"/>
          <w:rtl/>
        </w:rPr>
        <w:t xml:space="preserve">سم [ف: 41 - 117]</w:t>
      </w:r>
    </w:p>
    <w:p>
      <w:pPr>
        <w:pStyle w:val="BookText"/>
      </w:pPr>
      <w:r>
        <w:rPr>
          <w:rFonts w:ascii="IRNazanin" w:hAnsi="IRNazanin" w:eastAsia="IRNazanin" w:cs="IRNazanin"/>
          <w:lang w:bidi="fa-IR"/>
          <w:color w:val="111111"/>
          <w:sz w:val="28"/>
          <w:szCs w:val="28"/>
          <w:rtl/>
        </w:rPr>
        <w:t xml:space="preserve">167 . اصفهان؛ روضاتی؛ شماره نسخه: 158</w:t>
      </w:r>
    </w:p>
    <w:p>
      <w:pPr>
        <w:pStyle w:val="BookText"/>
      </w:pPr>
      <w:r>
        <w:rPr>
          <w:rFonts w:ascii="Amiri" w:hAnsi="Amiri" w:eastAsia="Amiri" w:cs="Amiri"/>
          <w:lang w:bidi="ar-SA"/>
          <w:color w:val="111111"/>
          <w:sz w:val="28"/>
          <w:szCs w:val="28"/>
          <w:rtl/>
        </w:rPr>
        <w:t xml:space="preserve">آغاز: عليها قضاء الصوم دون الصلاة: المقصد الثالث: في الاستحاضة؛ انجام: الثانى اختصاص الغريم بعين ماله، و إنما يرجع البائع فى العين مع تعذر</w:t>
      </w:r>
    </w:p>
    <w:p>
      <w:pPr>
        <w:pStyle w:val="BookText"/>
      </w:pPr>
      <w:r>
        <w:rPr>
          <w:rFonts w:ascii="IRNazanin" w:hAnsi="IRNazanin" w:eastAsia="IRNazanin" w:cs="IRNazanin"/>
          <w:lang w:bidi="fa-IR"/>
          <w:color w:val="111111"/>
          <w:sz w:val="28"/>
          <w:szCs w:val="28"/>
          <w:rtl/>
        </w:rPr>
        <w:t xml:space="preserve">خط: نسخ، بی کا، تا :قرن 11؛ افتادگی: آغاز و انجام؛ محشی، دارای چندین نشان بلاغ ؛ 14 سطر ، اندازه: 12</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105]</w:t>
      </w:r>
    </w:p>
    <w:p>
      <w:pPr>
        <w:pStyle w:val="BookText"/>
      </w:pPr>
      <w:r>
        <w:rPr>
          <w:rFonts w:ascii="IRNazanin" w:hAnsi="IRNazanin" w:eastAsia="IRNazanin" w:cs="IRNazanin"/>
          <w:lang w:bidi="fa-IR"/>
          <w:color w:val="111111"/>
          <w:sz w:val="28"/>
          <w:szCs w:val="28"/>
          <w:rtl/>
        </w:rPr>
        <w:t xml:space="preserve">168 تهران؛ دانشگاه ؛شماره نسخه: 7316</w:t>
      </w:r>
    </w:p>
    <w:p>
      <w:pPr>
        <w:pStyle w:val="BookText"/>
      </w:pPr>
      <w:r>
        <w:rPr>
          <w:rFonts w:ascii="IRNazanin" w:hAnsi="IRNazanin" w:eastAsia="IRNazanin" w:cs="IRNazanin"/>
          <w:lang w:bidi="fa-IR"/>
          <w:color w:val="111111"/>
          <w:sz w:val="28"/>
          <w:szCs w:val="28"/>
          <w:rtl/>
        </w:rPr>
        <w:t xml:space="preserve">خط: نستعلیق، بی کا ؛تا: قرن 11 ؛افتادگی: آغاز و انجام؛ کاغذ: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سپاهانی، جلد: نو 129گ 13 سطر (6</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قطع: ربعی، اندازه: 14</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16 - 511]</w:t>
      </w:r>
    </w:p>
    <w:p>
      <w:pPr>
        <w:pStyle w:val="BookText"/>
      </w:pPr>
      <w:r>
        <w:rPr>
          <w:rFonts w:ascii="IRNazanin" w:hAnsi="IRNazanin" w:eastAsia="IRNazanin" w:cs="IRNazanin"/>
          <w:lang w:bidi="fa-IR"/>
          <w:color w:val="111111"/>
          <w:sz w:val="28"/>
          <w:szCs w:val="28"/>
          <w:rtl/>
        </w:rPr>
        <w:t xml:space="preserve">169 . اصفهان؛ مدرسه صدر بازار؛ شماره نسخه: 191</w:t>
      </w:r>
    </w:p>
    <w:p>
      <w:pPr>
        <w:pStyle w:val="BookText"/>
      </w:pPr>
      <w:r>
        <w:rPr>
          <w:rFonts w:ascii="Amiri" w:hAnsi="Amiri" w:eastAsia="Amiri" w:cs="Amiri"/>
          <w:lang w:bidi="ar-SA"/>
          <w:color w:val="111111"/>
          <w:sz w:val="28"/>
          <w:szCs w:val="28"/>
          <w:rtl/>
        </w:rPr>
        <w:t xml:space="preserve">انجام: و لو أوضح فهشم ثان و نقل ثالث وأم رابع فعلى الأ ول خمسة و كذا الثانى والثالث</w:t>
      </w:r>
    </w:p>
    <w:p>
      <w:pPr>
        <w:pStyle w:val="BookText"/>
      </w:pPr>
      <w:r>
        <w:rPr>
          <w:rFonts w:ascii="IRNazanin" w:hAnsi="IRNazanin" w:eastAsia="IRNazanin" w:cs="IRNazanin"/>
          <w:lang w:bidi="fa-IR"/>
          <w:color w:val="111111"/>
          <w:sz w:val="28"/>
          <w:szCs w:val="28"/>
          <w:rtl/>
        </w:rPr>
        <w:t xml:space="preserve">خط: نسخ، بی کا، تا :قرن 11؛ افتادگی: انجام؛ مصحح، محشی، روی برگ اول چندین یادداشت متفرقه؛ تملك: على نقى دوستعلی؛ جلد: روغنی ترنج و سرترنج دار با لچکی مجدو 193گ، 14 سطر ، اندازه 20</w:t>
      </w:r>
      <w:r>
        <w:rPr>
          <w:rFonts w:ascii="Times New Roman" w:hAnsi="Times New Roman" w:eastAsia="Times New Roman" w:cs="Times New Roman"/>
          <w:lang w:val="en-US" w:bidi="en-US"/>
          <w:color w:val="111111"/>
          <w:sz w:val="28"/>
          <w:szCs w:val="28"/>
          <w:rtl/>
        </w:rPr>
        <w:t xml:space="preserve">×25/5</w:t>
      </w:r>
      <w:r>
        <w:rPr>
          <w:rFonts w:ascii="IRNazanin" w:hAnsi="IRNazanin" w:eastAsia="IRNazanin" w:cs="IRNazanin"/>
          <w:lang w:bidi="fa-IR"/>
          <w:color w:val="111111"/>
          <w:sz w:val="28"/>
          <w:szCs w:val="28"/>
          <w:rtl/>
        </w:rPr>
        <w:t xml:space="preserve">سم [ف: 1 - 135]</w:t>
      </w:r>
    </w:p>
    <w:p>
      <w:pPr>
        <w:pStyle w:val="BookText"/>
      </w:pPr>
      <w:r>
        <w:rPr>
          <w:rFonts w:ascii="IRNazanin" w:hAnsi="IRNazanin" w:eastAsia="IRNazanin" w:cs="IRNazanin"/>
          <w:lang w:bidi="fa-IR"/>
          <w:color w:val="111111"/>
          <w:sz w:val="28"/>
          <w:szCs w:val="28"/>
          <w:rtl/>
        </w:rPr>
        <w:t xml:space="preserve">170 اصفهان؛ مدرسه صدر بازار؛ شماره نسخه: 199</w:t>
      </w:r>
    </w:p>
    <w:p>
      <w:pPr>
        <w:pStyle w:val="BookText"/>
      </w:pPr>
      <w:r>
        <w:rPr>
          <w:rFonts w:ascii="IRNazanin" w:hAnsi="IRNazanin" w:eastAsia="IRNazanin" w:cs="IRNazanin"/>
          <w:lang w:bidi="fa-IR"/>
          <w:color w:val="111111"/>
          <w:sz w:val="28"/>
          <w:szCs w:val="28"/>
          <w:rtl/>
        </w:rPr>
        <w:t xml:space="preserve">خط: نسخ، بی کا، تا :قرن 11؛ افتادگی: آغاز و انجام؛ مصحح ، محشی ،جلد: تیماج قرمز بدون مقوا، 82گ، 16 سطر ، اندا زه: 15</w:t>
      </w:r>
      <w:r>
        <w:rPr>
          <w:rFonts w:ascii="Times New Roman" w:hAnsi="Times New Roman" w:eastAsia="Times New Roman" w:cs="Times New Roman"/>
          <w:lang w:val="en-US" w:bidi="en-US"/>
          <w:color w:val="111111"/>
          <w:sz w:val="28"/>
          <w:szCs w:val="28"/>
          <w:rtl/>
        </w:rPr>
        <w:t xml:space="preserve">×20/5</w:t>
      </w:r>
      <w:r>
        <w:rPr>
          <w:rFonts w:ascii="IRNazanin" w:hAnsi="IRNazanin" w:eastAsia="IRNazanin" w:cs="IRNazanin"/>
          <w:lang w:bidi="fa-IR"/>
          <w:color w:val="111111"/>
          <w:sz w:val="28"/>
          <w:szCs w:val="28"/>
          <w:rtl/>
        </w:rPr>
        <w:t xml:space="preserve">سم [ف: 1 - 139]</w:t>
      </w:r>
    </w:p>
    <w:p>
      <w:pPr>
        <w:pStyle w:val="BookText"/>
      </w:pPr>
      <w:r>
        <w:rPr>
          <w:rFonts w:ascii="IRNazanin" w:hAnsi="IRNazanin" w:eastAsia="IRNazanin" w:cs="IRNazanin"/>
          <w:lang w:bidi="fa-IR"/>
          <w:color w:val="111111"/>
          <w:sz w:val="28"/>
          <w:szCs w:val="28"/>
          <w:rtl/>
        </w:rPr>
        <w:t xml:space="preserve">171 . قم؛ مرکز احیاء؛ شماره نسخه: 3702/1</w:t>
      </w:r>
    </w:p>
    <w:p>
      <w:pPr>
        <w:pStyle w:val="BookText"/>
      </w:pPr>
      <w:r>
        <w:rPr>
          <w:rFonts w:ascii="IRNazanin" w:hAnsi="IRNazanin" w:eastAsia="IRNazanin" w:cs="IRNazanin"/>
          <w:lang w:bidi="fa-IR"/>
          <w:color w:val="111111"/>
          <w:sz w:val="28"/>
          <w:szCs w:val="28"/>
          <w:rtl/>
        </w:rPr>
        <w:t xml:space="preserve">خط: نسخ، کا: سعد بن نعمة ،تا: قرن 11؛ مصحح،محشی، در دو برگ اول چند یادداشت متفرقه؛ تملک: «علی قراچه داغی»؛ مهر: «یا علی» (بیضی)؛ 163گ (2 پ-165ر)، 19 سطر</w:t>
      </w:r>
    </w:p>
    <w:p>
      <w:pPr>
        <w:pStyle w:val="BookText"/>
      </w:pPr>
      <w:r>
        <w:rPr>
          <w:rFonts w:ascii="Times New Roman" w:hAnsi="Times New Roman" w:eastAsia="Times New Roman" w:cs="Times New Roman"/>
          <w:lang w:val="en-US" w:bidi="en-US"/>
          <w:color w:val="111111"/>
          <w:sz w:val="28"/>
          <w:szCs w:val="28"/>
          <w:rtl/>
        </w:rPr>
        <w:t xml:space="preserve">19× 25 </w:t>
      </w:r>
      <w:r>
        <w:rPr>
          <w:rFonts w:ascii="IRNazanin" w:hAnsi="IRNazanin" w:eastAsia="IRNazanin" w:cs="IRNazanin"/>
          <w:lang w:bidi="fa-IR"/>
          <w:color w:val="111111"/>
          <w:sz w:val="28"/>
          <w:szCs w:val="28"/>
          <w:rtl/>
        </w:rPr>
        <w:t xml:space="preserve">سم [محدث ارموی مخ: 1 - 110]</w:t>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IRNazanin" w:hAnsi="IRNazanin" w:eastAsia="IRNazanin" w:cs="IRNazanin"/>
          <w:lang w:bidi="fa-IR"/>
          <w:color w:val="111111"/>
          <w:sz w:val="28"/>
          <w:szCs w:val="28"/>
          <w:rtl/>
        </w:rPr>
        <w:t xml:space="preserve">تهران؛ حقوق؛ شماره نسخه:287 - ج</w:t>
      </w:r>
    </w:p>
    <w:p>
      <w:pPr>
        <w:pStyle w:val="BookText"/>
      </w:pPr>
      <w:r>
        <w:rPr>
          <w:rFonts w:ascii="IRNazanin" w:hAnsi="IRNazanin" w:eastAsia="IRNazanin" w:cs="IRNazanin"/>
          <w:lang w:bidi="fa-IR"/>
          <w:color w:val="111111"/>
          <w:sz w:val="28"/>
          <w:szCs w:val="28"/>
          <w:rtl/>
        </w:rPr>
        <w:t xml:space="preserve">خط: نستعلیق، کا: محمد شریف ،سپاهانی تا :قرن 11 محشی، دارای بلاغ قرائت؛ کاغذ: سپاهانی، جلد: تیماج مشکی گرداگرد آن سرخ و ،مقوایی 180گ 15 سطر (8</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اندازه: 14</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ف: 241]</w:t>
      </w:r>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IRNazanin" w:hAnsi="IRNazanin" w:eastAsia="IRNazanin" w:cs="IRNazanin"/>
          <w:lang w:bidi="fa-IR"/>
          <w:color w:val="111111"/>
          <w:sz w:val="28"/>
          <w:szCs w:val="28"/>
          <w:rtl/>
        </w:rPr>
        <w:t xml:space="preserve">تهران؛ مجلس؛ شماره نسخه 5820</w:t>
      </w:r>
    </w:p>
    <w:p>
      <w:pPr>
        <w:pStyle w:val="BookText"/>
      </w:pPr>
      <w:r>
        <w:rPr>
          <w:rFonts w:ascii="IRNazanin" w:hAnsi="IRNazanin" w:eastAsia="IRNazanin" w:cs="IRNazanin"/>
          <w:lang w:bidi="fa-IR"/>
          <w:color w:val="111111"/>
          <w:sz w:val="28"/>
          <w:szCs w:val="28"/>
          <w:rtl/>
        </w:rPr>
        <w:t xml:space="preserve">خط: نسخ ونستعیق، بی کا ،تا: قرن 11؛ با سرلوح ،مذهب مجدول، محشی؛ تملک: محمد زکی دزفولی مورخ 1176ق، عبدالكریم بن شاهمیر؛ کاغذ: اصفهانی ضخیم شکری ،رنگ، جلد :تیماج عنابی دور منگنه، 530 ص، 15 سطر ، قطع : وزیری، اندازه: 15/5</w:t>
      </w:r>
      <w:r>
        <w:rPr>
          <w:rFonts w:ascii="Times New Roman" w:hAnsi="Times New Roman" w:eastAsia="Times New Roman" w:cs="Times New Roman"/>
          <w:lang w:val="en-US" w:bidi="en-US"/>
          <w:color w:val="111111"/>
          <w:sz w:val="28"/>
          <w:szCs w:val="28"/>
          <w:rtl/>
        </w:rPr>
        <w:t xml:space="preserve">×25</w:t>
      </w:r>
      <w:r>
        <w:rPr>
          <w:rFonts w:ascii="IRNazanin" w:hAnsi="IRNazanin" w:eastAsia="IRNazanin" w:cs="IRNazanin"/>
          <w:lang w:bidi="fa-IR"/>
          <w:color w:val="111111"/>
          <w:sz w:val="28"/>
          <w:szCs w:val="28"/>
          <w:rtl/>
        </w:rPr>
        <w:t xml:space="preserve">سم [ف: 17 – 239]</w:t>
      </w:r>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IRNazanin" w:hAnsi="IRNazanin" w:eastAsia="IRNazanin" w:cs="IRNazanin"/>
          <w:lang w:bidi="fa-IR"/>
          <w:color w:val="111111"/>
          <w:sz w:val="28"/>
          <w:szCs w:val="28"/>
          <w:rtl/>
        </w:rPr>
        <w:t xml:space="preserve">تهران؛ دانشگاه؛ شماره نسخه:1548</w:t>
      </w:r>
    </w:p>
    <w:p>
      <w:pPr>
        <w:pStyle w:val="BookText"/>
      </w:pPr>
      <w:r>
        <w:rPr>
          <w:rFonts w:ascii="IRNazanin" w:hAnsi="IRNazanin" w:eastAsia="IRNazanin" w:cs="IRNazanin"/>
          <w:lang w:bidi="fa-IR"/>
          <w:color w:val="111111"/>
          <w:sz w:val="28"/>
          <w:szCs w:val="28"/>
          <w:rtl/>
        </w:rPr>
        <w:t xml:space="preserve">خط: نسخ و نسخ و نستعلیق، بی کا، تا: قرن 11 ؛کاغذ: سپاهانی؛ جلد: تیماج مشکی ،ضربی 296گ 14 سطر (7</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اندازه: 18</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8 - 173]</w:t>
      </w:r>
    </w:p>
    <w:p>
      <w:pPr>
        <w:pStyle w:val="BookText"/>
      </w:pPr>
      <w:r>
        <w:rPr>
          <w:rFonts w:ascii="IRNazanin" w:hAnsi="IRNazanin" w:eastAsia="IRNazanin" w:cs="IRNazanin"/>
          <w:lang w:bidi="fa-IR"/>
          <w:color w:val="111111"/>
          <w:sz w:val="28"/>
          <w:szCs w:val="28"/>
          <w:rtl/>
        </w:rPr>
        <w:t xml:space="preserve">175 . اصفهان؛ مدرسه صدر بازار؛ شماره نسخه: 537</w:t>
      </w:r>
    </w:p>
    <w:p>
      <w:pPr>
        <w:pStyle w:val="BookText"/>
      </w:pPr>
      <w:r>
        <w:rPr>
          <w:rFonts w:ascii="IRNazanin" w:hAnsi="IRNazanin" w:eastAsia="IRNazanin" w:cs="IRNazanin"/>
          <w:lang w:bidi="fa-IR"/>
          <w:color w:val="111111"/>
          <w:sz w:val="28"/>
          <w:szCs w:val="28"/>
          <w:rtl/>
        </w:rPr>
        <w:t xml:space="preserve">خط : نسخ، كا: محمد باقر بن محمد تقی، تا: قرن 11؛افتادگی: آغاز (خطبه کتاب افتادگی دارد)؛ مصحح محشی، مجدول؛ جلد: مقوایی عطف تیماج ،قرمز، 262گ، 15سطر ، اندازه: 13</w:t>
      </w:r>
      <w:r>
        <w:rPr>
          <w:rFonts w:ascii="Times New Roman" w:hAnsi="Times New Roman" w:eastAsia="Times New Roman" w:cs="Times New Roman"/>
          <w:lang w:val="en-US" w:bidi="en-US"/>
          <w:color w:val="111111"/>
          <w:sz w:val="28"/>
          <w:szCs w:val="28"/>
          <w:rtl/>
        </w:rPr>
        <w:t xml:space="preserve">×20/5</w:t>
      </w:r>
      <w:r>
        <w:rPr>
          <w:rFonts w:ascii="IRNazanin" w:hAnsi="IRNazanin" w:eastAsia="IRNazanin" w:cs="IRNazanin"/>
          <w:lang w:bidi="fa-IR"/>
          <w:color w:val="111111"/>
          <w:sz w:val="28"/>
          <w:szCs w:val="28"/>
          <w:rtl/>
        </w:rPr>
        <w:t xml:space="preserve">سم [ف: 2 - 390]</w:t>
      </w:r>
    </w:p>
    <w:p>
      <w:pPr>
        <w:pStyle w:val="BookText"/>
      </w:pPr>
      <w:r>
        <w:rPr>
          <w:rFonts w:ascii="IRNazanin" w:hAnsi="IRNazanin" w:eastAsia="IRNazanin" w:cs="IRNazanin"/>
          <w:lang w:bidi="fa-IR"/>
          <w:color w:val="111111"/>
          <w:sz w:val="28"/>
          <w:szCs w:val="28"/>
          <w:rtl/>
        </w:rPr>
        <w:t xml:space="preserve">176 . بیرجند؛ مسجد الرسول بازار؛ شماره نسخه: 4</w:t>
      </w:r>
    </w:p>
    <w:p>
      <w:pPr>
        <w:pStyle w:val="BookText"/>
      </w:pPr>
      <w:r>
        <w:rPr>
          <w:rFonts w:ascii="IRNazanin" w:hAnsi="IRNazanin" w:eastAsia="IRNazanin" w:cs="IRNazanin"/>
          <w:lang w:bidi="fa-IR"/>
          <w:color w:val="111111"/>
          <w:sz w:val="28"/>
          <w:szCs w:val="28"/>
          <w:rtl/>
        </w:rPr>
        <w:t xml:space="preserve">آغاز :و يزيد فيه اربع ركعات و نافلة المغرب بعدها الى ذهاب الحمرة؛ انجام: لم يكن للولى الزامه على راى و لو التمس الولی  حبس</w:t>
      </w:r>
    </w:p>
    <w:p>
      <w:pPr>
        <w:pStyle w:val="BookText"/>
      </w:pPr>
      <w:r>
        <w:rPr>
          <w:rFonts w:ascii="IRNazanin" w:hAnsi="IRNazanin" w:eastAsia="IRNazanin" w:cs="IRNazanin"/>
          <w:lang w:bidi="fa-IR"/>
          <w:color w:val="111111"/>
          <w:sz w:val="28"/>
          <w:szCs w:val="28"/>
          <w:rtl/>
        </w:rPr>
        <w:t xml:space="preserve">خط: نسخ، بی کا، تا: قرن 11؛ افتادگی: آغاز و انجام: مصحح ،محشی؛ در برگ اول وقفنامه کتاب از «محمد رضا بن کربلائی»؛ جلد: تیماج قهوه ای بدون مقوا 132گ، 19 سطر ، اندازه: 19/5</w:t>
      </w:r>
      <w:r>
        <w:rPr>
          <w:rFonts w:ascii="Times New Roman" w:hAnsi="Times New Roman" w:eastAsia="Times New Roman" w:cs="Times New Roman"/>
          <w:lang w:val="en-US" w:bidi="en-US"/>
          <w:color w:val="111111"/>
          <w:sz w:val="28"/>
          <w:szCs w:val="28"/>
          <w:rtl/>
        </w:rPr>
        <w:t xml:space="preserve">×25/5</w:t>
      </w:r>
      <w:r>
        <w:rPr>
          <w:rFonts w:ascii="IRNazanin" w:hAnsi="IRNazanin" w:eastAsia="IRNazanin" w:cs="IRNazanin"/>
          <w:lang w:bidi="fa-IR"/>
          <w:color w:val="111111"/>
          <w:sz w:val="28"/>
          <w:szCs w:val="28"/>
          <w:rtl/>
        </w:rPr>
        <w:t xml:space="preserve">سم [ف: 144]</w:t>
      </w:r>
    </w:p>
    <w:p>
      <w:pPr>
        <w:pStyle w:val="BookText"/>
      </w:pPr>
      <w:r>
        <w:rPr>
          <w:rFonts w:ascii="IRNazanin" w:hAnsi="IRNazanin" w:eastAsia="IRNazanin" w:cs="IRNazanin"/>
          <w:lang w:bidi="fa-IR"/>
          <w:color w:val="111111"/>
          <w:sz w:val="28"/>
          <w:szCs w:val="28"/>
          <w:rtl/>
        </w:rPr>
        <w:t xml:space="preserve">177 بیرجند؛ دیانی؛ شماره نسخه: 54</w:t>
      </w:r>
    </w:p>
    <w:p>
      <w:pPr>
        <w:pStyle w:val="BookText"/>
      </w:pPr>
      <w:r>
        <w:rPr>
          <w:rFonts w:ascii="IRNazanin" w:hAnsi="IRNazanin" w:eastAsia="IRNazanin" w:cs="IRNazanin"/>
          <w:lang w:bidi="fa-IR"/>
          <w:color w:val="111111"/>
          <w:sz w:val="28"/>
          <w:szCs w:val="28"/>
          <w:rtl/>
        </w:rPr>
        <w:t xml:space="preserve">خط: نسخ زیبا، بی کا، تا: 16 ربیع الثانى قرن 11؛ جلد: تيماج قهوه ای ضربی ،مجدول 189گ، 22 سطر 13/5</w:t>
      </w:r>
      <w:r>
        <w:rPr>
          <w:rFonts w:ascii="Times New Roman" w:hAnsi="Times New Roman" w:eastAsia="Times New Roman" w:cs="Times New Roman"/>
          <w:lang w:val="en-US" w:bidi="en-US"/>
          <w:color w:val="111111"/>
          <w:sz w:val="28"/>
          <w:szCs w:val="28"/>
          <w:rtl/>
        </w:rPr>
        <w:t xml:space="preserve">×23/5</w:t>
      </w:r>
      <w:r>
        <w:rPr>
          <w:rFonts w:ascii="IRNazanin" w:hAnsi="IRNazanin" w:eastAsia="IRNazanin" w:cs="IRNazanin"/>
          <w:lang w:bidi="fa-IR"/>
          <w:color w:val="111111"/>
          <w:sz w:val="28"/>
          <w:szCs w:val="28"/>
          <w:rtl/>
        </w:rPr>
        <w:t xml:space="preserve">سم [ف: 50]</w:t>
      </w:r>
    </w:p>
    <w:p>
      <w:pPr>
        <w:pStyle w:val="BookText"/>
      </w:pPr>
      <w:r>
        <w:rPr>
          <w:rFonts w:ascii="IRNazanin" w:hAnsi="IRNazanin" w:eastAsia="IRNazanin" w:cs="IRNazanin"/>
          <w:lang w:bidi="fa-IR"/>
          <w:color w:val="111111"/>
          <w:sz w:val="28"/>
          <w:szCs w:val="28"/>
          <w:rtl/>
        </w:rPr>
        <w:t xml:space="preserve">178 مشهد؛ مدرسه میرزا جعفر؛ شماره نسخه: 172</w:t>
      </w:r>
    </w:p>
    <w:p>
      <w:pPr>
        <w:pStyle w:val="BookText"/>
      </w:pPr>
      <w:r>
        <w:rPr>
          <w:rFonts w:ascii="IRNazanin" w:hAnsi="IRNazanin" w:eastAsia="IRNazanin" w:cs="IRNazanin"/>
          <w:lang w:bidi="fa-IR"/>
          <w:color w:val="111111"/>
          <w:sz w:val="28"/>
          <w:szCs w:val="28"/>
          <w:rtl/>
        </w:rPr>
        <w:t xml:space="preserve">خط: نسخ خوش، بی کا، تا: قرن 11؛ محشی با نشانه «منه، شرح لمعه، يع، ع ل» و جز اینها قطع وزیری [چهارکتابخانه مشهد-ف: - 34]</w:t>
      </w:r>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IRNazanin" w:hAnsi="IRNazanin" w:eastAsia="IRNazanin" w:cs="IRNazanin"/>
          <w:lang w:bidi="fa-IR"/>
          <w:color w:val="111111"/>
          <w:sz w:val="28"/>
          <w:szCs w:val="28"/>
          <w:rtl/>
        </w:rPr>
        <w:t xml:space="preserve">تهران؛ ملی؛ شماره نسخه: 402</w:t>
      </w:r>
    </w:p>
    <w:p>
      <w:pPr>
        <w:pStyle w:val="BookText"/>
      </w:pPr>
      <w:r>
        <w:rPr>
          <w:rFonts w:ascii="Amiri" w:hAnsi="Amiri" w:eastAsia="Amiri" w:cs="Amiri"/>
          <w:lang w:bidi="ar-SA"/>
          <w:color w:val="111111"/>
          <w:sz w:val="28"/>
          <w:szCs w:val="28"/>
          <w:rtl/>
        </w:rPr>
        <w:t xml:space="preserve">آغاز :برابر ؛انجام: و السلام على خير خلقه و اشرفهم محمد النبي و آله الطيبين الطاهرين وسلم تسليما كثيرا دائما جسيما.</w:t>
      </w:r>
    </w:p>
    <w:p>
      <w:pPr>
        <w:pStyle w:val="BookText"/>
      </w:pPr>
      <w:r>
        <w:rPr>
          <w:rFonts w:ascii="IRNazanin" w:hAnsi="IRNazanin" w:eastAsia="IRNazanin" w:cs="IRNazanin"/>
          <w:lang w:bidi="fa-IR"/>
          <w:color w:val="111111"/>
          <w:sz w:val="28"/>
          <w:szCs w:val="28"/>
          <w:rtl/>
        </w:rPr>
        <w:t xml:space="preserve">خط: نسخ، کا: میرزا محمد بن شاهوردی دامغانی، تا: قرن 11؛ کاغذ: ترمه و فرنگی :جلد: تیماج سبز با حاشیه گل و بوته زر ضربی مقوایی 168گ 21سطر (8</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 اندازه : 25/5</w:t>
      </w:r>
      <w:r>
        <w:rPr>
          <w:rFonts w:ascii="Times New Roman" w:hAnsi="Times New Roman" w:eastAsia="Times New Roman" w:cs="Times New Roman"/>
          <w:lang w:val="en-US" w:bidi="en-US"/>
          <w:color w:val="111111"/>
          <w:sz w:val="28"/>
          <w:szCs w:val="28"/>
          <w:rtl/>
        </w:rPr>
        <w:t xml:space="preserve">×14/5</w:t>
      </w:r>
      <w:r>
        <w:rPr>
          <w:rFonts w:ascii="IRNazanin" w:hAnsi="IRNazanin" w:eastAsia="IRNazanin" w:cs="IRNazanin"/>
          <w:lang w:bidi="fa-IR"/>
          <w:color w:val="111111"/>
          <w:sz w:val="28"/>
          <w:szCs w:val="28"/>
          <w:rtl/>
        </w:rPr>
        <w:t xml:space="preserve">سم [ف: 7 - 343]</w:t>
      </w:r>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IRNazanin" w:hAnsi="IRNazanin" w:eastAsia="IRNazanin" w:cs="IRNazanin"/>
          <w:lang w:bidi="fa-IR"/>
          <w:color w:val="111111"/>
          <w:sz w:val="28"/>
          <w:szCs w:val="28"/>
          <w:rtl/>
        </w:rPr>
        <w:t xml:space="preserve">تهران؛ ملی؛ شماره نسخه: 1446181</w:t>
      </w:r>
    </w:p>
    <w:p>
      <w:pPr>
        <w:pStyle w:val="BookText"/>
      </w:pPr>
      <w:r>
        <w:rPr>
          <w:rFonts w:ascii="Amiri" w:hAnsi="Amiri" w:eastAsia="Amiri" w:cs="Amiri"/>
          <w:lang w:bidi="ar-SA"/>
          <w:color w:val="111111"/>
          <w:sz w:val="28"/>
          <w:szCs w:val="28"/>
          <w:rtl/>
        </w:rPr>
        <w:t xml:space="preserve">آغاز :برابر؛ انجام: لكل شر و الحمد لله رب العالمين و الصلوة على سيدنا و نبينا محمد و آله اجمعين الطيبين الطاهرين.</w:t>
      </w:r>
    </w:p>
    <w:p>
      <w:pPr>
        <w:pStyle w:val="BookText"/>
      </w:pPr>
      <w:r>
        <w:rPr>
          <w:rFonts w:ascii="IRNazanin" w:hAnsi="IRNazanin" w:eastAsia="IRNazanin" w:cs="IRNazanin"/>
          <w:lang w:bidi="fa-IR"/>
          <w:color w:val="111111"/>
          <w:sz w:val="28"/>
          <w:szCs w:val="28"/>
          <w:rtl/>
        </w:rPr>
        <w:t xml:space="preserve">خط: نسخ، بی کا، تا: محتملاً قرن 11؛ محشی؛ کاغذ: فرنگی، :جلد تیماج تریاکی ،یک لا 202گ 21 سطر (6/5</w:t>
      </w:r>
      <w:r>
        <w:rPr>
          <w:rFonts w:ascii="Times New Roman" w:hAnsi="Times New Roman" w:eastAsia="Times New Roman" w:cs="Times New Roman"/>
          <w:lang w:val="en-US" w:bidi="en-US"/>
          <w:color w:val="111111"/>
          <w:sz w:val="28"/>
          <w:szCs w:val="28"/>
          <w:rtl/>
        </w:rPr>
        <w:t xml:space="preserve">×7) </w:t>
      </w:r>
      <w:r>
        <w:rPr>
          <w:rFonts w:ascii="IRNazanin" w:hAnsi="IRNazanin" w:eastAsia="IRNazanin" w:cs="IRNazanin"/>
          <w:lang w:bidi="fa-IR"/>
          <w:color w:val="111111"/>
          <w:sz w:val="28"/>
          <w:szCs w:val="28"/>
          <w:rtl/>
        </w:rPr>
        <w:t xml:space="preserve">، 13/5</w:t>
      </w:r>
      <w:r>
        <w:rPr>
          <w:rFonts w:ascii="Times New Roman" w:hAnsi="Times New Roman" w:eastAsia="Times New Roman" w:cs="Times New Roman"/>
          <w:lang w:val="en-US" w:bidi="en-US"/>
          <w:color w:val="111111"/>
          <w:sz w:val="28"/>
          <w:szCs w:val="28"/>
          <w:rtl/>
        </w:rPr>
        <w:t xml:space="preserve">×24/5</w:t>
      </w:r>
      <w:r>
        <w:rPr>
          <w:rFonts w:ascii="IRNazanin" w:hAnsi="IRNazanin" w:eastAsia="IRNazanin" w:cs="IRNazanin"/>
          <w:lang w:bidi="fa-IR"/>
          <w:color w:val="111111"/>
          <w:sz w:val="28"/>
          <w:szCs w:val="28"/>
          <w:rtl/>
        </w:rPr>
        <w:t xml:space="preserve">سم [ف: 9 - 478]</w:t>
      </w:r>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IRNazanin" w:hAnsi="IRNazanin" w:eastAsia="IRNazanin" w:cs="IRNazanin"/>
          <w:lang w:bidi="fa-IR"/>
          <w:color w:val="111111"/>
          <w:sz w:val="28"/>
          <w:szCs w:val="28"/>
          <w:rtl/>
        </w:rPr>
        <w:t xml:space="preserve">یزد؛ کاظمینی؛ شماره نسخه: 503</w:t>
      </w:r>
    </w:p>
    <w:p>
      <w:pPr>
        <w:pStyle w:val="BookText"/>
      </w:pPr>
      <w:r>
        <w:rPr>
          <w:rFonts w:ascii="IRNazanin" w:hAnsi="IRNazanin" w:eastAsia="IRNazanin" w:cs="IRNazanin"/>
          <w:lang w:bidi="fa-IR"/>
          <w:color w:val="111111"/>
          <w:sz w:val="28"/>
          <w:szCs w:val="28"/>
          <w:rtl/>
        </w:rPr>
        <w:t xml:space="preserve">خط: نسخ، بی کا، تا :قرن 11؛ مصحح، محشی؛ جلد: مقوایی، 193 گ، 17 سطر ، اندازه: 20</w:t>
      </w:r>
      <w:r>
        <w:rPr>
          <w:rFonts w:ascii="Times New Roman" w:hAnsi="Times New Roman" w:eastAsia="Times New Roman" w:cs="Times New Roman"/>
          <w:lang w:val="en-US" w:bidi="en-US"/>
          <w:color w:val="111111"/>
          <w:sz w:val="28"/>
          <w:szCs w:val="28"/>
          <w:rtl/>
        </w:rPr>
        <w:t xml:space="preserve">×26</w:t>
      </w:r>
      <w:r>
        <w:rPr>
          <w:rFonts w:ascii="IRNazanin" w:hAnsi="IRNazanin" w:eastAsia="IRNazanin" w:cs="IRNazanin"/>
          <w:lang w:bidi="fa-IR"/>
          <w:color w:val="111111"/>
          <w:sz w:val="28"/>
          <w:szCs w:val="28"/>
          <w:rtl/>
        </w:rPr>
        <w:t xml:space="preserve">سم [ف: 2 - 189]</w:t>
      </w:r>
    </w:p>
    <w:p>
      <w:pPr>
        <w:pStyle w:val="BookText"/>
      </w:pPr>
      <w:r>
        <w:rPr>
          <w:rFonts w:ascii="IRNazanin" w:hAnsi="IRNazanin" w:eastAsia="IRNazanin" w:cs="IRNazanin"/>
          <w:lang w:bidi="fa-IR"/>
          <w:color w:val="111111"/>
          <w:sz w:val="28"/>
          <w:szCs w:val="28"/>
          <w:rtl/>
        </w:rPr>
        <w:t xml:space="preserve">182 . قم؛ گلپایگانی؛ شماره نسخه: 7940-54/30</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کا، معروف بن ملا کتاب الله، تا: قرن 11؛ محشی؛ 196گ، 18 سطر ، اندازه: 18</w:t>
      </w:r>
      <w:r>
        <w:rPr>
          <w:rFonts w:ascii="Times New Roman" w:hAnsi="Times New Roman" w:eastAsia="Times New Roman" w:cs="Times New Roman"/>
          <w:lang w:val="en-US" w:bidi="en-US"/>
          <w:color w:val="111111"/>
          <w:sz w:val="28"/>
          <w:szCs w:val="28"/>
          <w:rtl/>
        </w:rPr>
        <w:t xml:space="preserve">×28</w:t>
      </w:r>
      <w:r>
        <w:rPr>
          <w:rFonts w:ascii="IRNazanin" w:hAnsi="IRNazanin" w:eastAsia="IRNazanin" w:cs="IRNazanin"/>
          <w:lang w:bidi="fa-IR"/>
          <w:color w:val="111111"/>
          <w:sz w:val="28"/>
          <w:szCs w:val="28"/>
          <w:rtl/>
        </w:rPr>
        <w:t xml:space="preserve">سم [ف: 1 - 304]</w:t>
      </w:r>
    </w:p>
    <w:p>
      <w:pPr>
        <w:pStyle w:val="BookText"/>
      </w:pPr>
      <w:r>
        <w:rPr>
          <w:rFonts w:ascii="IRNazanin" w:hAnsi="IRNazanin" w:eastAsia="IRNazanin" w:cs="IRNazanin"/>
          <w:lang w:bidi="fa-IR"/>
          <w:color w:val="111111"/>
          <w:sz w:val="28"/>
          <w:szCs w:val="28"/>
          <w:rtl/>
        </w:rPr>
        <w:t xml:space="preserve">183 . قم؛ استادی، رضا؛ شماره نسخه: نامعلوم</w:t>
      </w:r>
    </w:p>
    <w:p>
      <w:pPr>
        <w:pStyle w:val="BookText"/>
      </w:pPr>
      <w:r>
        <w:rPr>
          <w:rFonts w:ascii="IRNazanin" w:hAnsi="IRNazanin" w:eastAsia="IRNazanin" w:cs="IRNazanin"/>
          <w:lang w:bidi="fa-IR"/>
          <w:color w:val="111111"/>
          <w:sz w:val="28"/>
          <w:szCs w:val="28"/>
          <w:rtl/>
        </w:rPr>
        <w:t xml:space="preserve">خط: نسخ، بی کا، تا :قرن 11؛ با حواشی مؤلف «منه» و شهید دوم زی و شیخ علی نواده او «ع ل» در کناره برگ ها؛ 161گ، 21   سطر ، اندازه: 12</w:t>
      </w:r>
      <w:r>
        <w:rPr>
          <w:rFonts w:ascii="Times New Roman" w:hAnsi="Times New Roman" w:eastAsia="Times New Roman" w:cs="Times New Roman"/>
          <w:lang w:val="en-US" w:bidi="en-US"/>
          <w:color w:val="111111"/>
          <w:sz w:val="28"/>
          <w:szCs w:val="28"/>
          <w:rtl/>
        </w:rPr>
        <w:t xml:space="preserve">×23</w:t>
      </w:r>
      <w:r>
        <w:rPr>
          <w:rFonts w:ascii="IRNazanin" w:hAnsi="IRNazanin" w:eastAsia="IRNazanin" w:cs="IRNazanin"/>
          <w:lang w:bidi="fa-IR"/>
          <w:color w:val="111111"/>
          <w:sz w:val="28"/>
          <w:szCs w:val="28"/>
          <w:rtl/>
        </w:rPr>
        <w:t xml:space="preserve">سم [صد و شصت نسخه: - 5]</w:t>
      </w:r>
    </w:p>
    <w:p>
      <w:pPr>
        <w:pStyle w:val="BookText"/>
      </w:pPr>
      <w:r>
        <w:rPr>
          <w:rFonts w:ascii="IRNazanin" w:hAnsi="IRNazanin" w:eastAsia="IRNazanin" w:cs="IRNazanin"/>
          <w:lang w:bidi="fa-IR"/>
          <w:color w:val="111111"/>
          <w:sz w:val="28"/>
          <w:szCs w:val="28"/>
          <w:rtl/>
        </w:rPr>
        <w:t xml:space="preserve">184 . قم؛ حجتیه؛ شماره نسخه: 151</w:t>
      </w:r>
    </w:p>
    <w:p>
      <w:pPr>
        <w:pStyle w:val="BookText"/>
      </w:pPr>
      <w:r>
        <w:rPr>
          <w:rFonts w:ascii="IRNazanin" w:hAnsi="IRNazanin" w:eastAsia="IRNazanin" w:cs="IRNazanin"/>
          <w:lang w:bidi="fa-IR"/>
          <w:color w:val="111111"/>
          <w:sz w:val="28"/>
          <w:szCs w:val="28"/>
          <w:rtl/>
        </w:rPr>
        <w:t xml:space="preserve">خط: نسخ، بی کا، تا: قرن 11 ؛با این یادداشت از آقای نجفی مرعشی «ارشاد علامه مقروء بر شیخ بهائی»؛ تملک: غلامرضا بن عبد الحمید قمی [ف: 34]</w:t>
      </w:r>
    </w:p>
    <w:p>
      <w:pPr>
        <w:pStyle w:val="BookText"/>
      </w:pPr>
      <w:r>
        <w:rPr>
          <w:rFonts w:ascii="IRNazanin" w:hAnsi="IRNazanin" w:eastAsia="IRNazanin" w:cs="IRNazanin"/>
          <w:lang w:bidi="fa-IR"/>
          <w:color w:val="111111"/>
          <w:sz w:val="28"/>
          <w:szCs w:val="28"/>
          <w:rtl/>
        </w:rPr>
        <w:t xml:space="preserve">185 . مشهد؛ مدرسه سلیمانیه؛ شماره نسخه: 46</w:t>
      </w:r>
    </w:p>
    <w:p>
      <w:pPr>
        <w:pStyle w:val="BookText"/>
      </w:pPr>
      <w:r>
        <w:rPr>
          <w:rFonts w:ascii="IRNazanin" w:hAnsi="IRNazanin" w:eastAsia="IRNazanin" w:cs="IRNazanin"/>
          <w:lang w:bidi="fa-IR"/>
          <w:color w:val="111111"/>
          <w:sz w:val="28"/>
          <w:szCs w:val="28"/>
          <w:rtl/>
        </w:rPr>
        <w:t xml:space="preserve">خط: نسخ، بی کا: تا: قرن 11 مصحح محشی؛ قطع خشتی [چهار کتابخانه مشهد -ف: - 4]</w:t>
      </w:r>
    </w:p>
    <w:p>
      <w:pPr>
        <w:pStyle w:val="BookText"/>
      </w:pPr>
      <w:r>
        <w:rPr>
          <w:rFonts w:ascii="IRNazanin" w:hAnsi="IRNazanin" w:eastAsia="IRNazanin" w:cs="IRNazanin"/>
          <w:lang w:bidi="fa-IR"/>
          <w:color w:val="111111"/>
          <w:sz w:val="28"/>
          <w:szCs w:val="28"/>
          <w:rtl/>
        </w:rPr>
        <w:t xml:space="preserve">186 . مشهد؛ مدرسه سلیمانیه؛ شماره نسخه: 81</w:t>
      </w:r>
    </w:p>
    <w:p>
      <w:pPr>
        <w:pStyle w:val="BookText"/>
      </w:pPr>
      <w:r>
        <w:rPr>
          <w:rFonts w:ascii="IRNazanin" w:hAnsi="IRNazanin" w:eastAsia="IRNazanin" w:cs="IRNazanin"/>
          <w:lang w:bidi="fa-IR"/>
          <w:color w:val="111111"/>
          <w:sz w:val="28"/>
          <w:szCs w:val="28"/>
          <w:rtl/>
        </w:rPr>
        <w:t xml:space="preserve">خط: نسخ خوش و نستعلیق، بی کا، تا: قرن 11؛ افتادگی: آغاز؛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محشی؛ قطع: جیبی [چهار کتابخانه مشهد -ف - 5]</w:t>
      </w:r>
    </w:p>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IRNazanin" w:hAnsi="IRNazanin" w:eastAsia="IRNazanin" w:cs="IRNazanin"/>
          <w:lang w:bidi="fa-IR"/>
          <w:color w:val="111111"/>
          <w:sz w:val="28"/>
          <w:szCs w:val="28"/>
          <w:rtl/>
        </w:rPr>
        <w:t xml:space="preserve">تهران؛ ادبیات؛ شماره نسخه: 382</w:t>
      </w:r>
    </w:p>
    <w:p>
      <w:pPr>
        <w:pStyle w:val="BookText"/>
      </w:pPr>
      <w:r>
        <w:rPr>
          <w:rFonts w:ascii="IRNazanin" w:hAnsi="IRNazanin" w:eastAsia="IRNazanin" w:cs="IRNazanin"/>
          <w:lang w:bidi="fa-IR"/>
          <w:color w:val="111111"/>
          <w:sz w:val="28"/>
          <w:szCs w:val="28"/>
          <w:rtl/>
        </w:rPr>
        <w:t xml:space="preserve">خط: نستعلیق، بی کا، تا: قرن 11؛ محشی با نشان «ع ، شرح شهید، عد» [ف 3 - 69]</w:t>
      </w:r>
    </w:p>
    <w:p>
      <w:pPr>
        <w:pStyle w:val="BookText"/>
      </w:pPr>
      <w:r>
        <w:rPr>
          <w:rFonts w:ascii="IRNazanin" w:hAnsi="IRNazanin" w:eastAsia="IRNazanin" w:cs="IRNazanin"/>
          <w:lang w:bidi="fa-IR"/>
          <w:color w:val="111111"/>
          <w:sz w:val="28"/>
          <w:szCs w:val="28"/>
          <w:rtl/>
        </w:rPr>
        <w:t xml:space="preserve">188 . اردکان یزد؛ امام صادق؛ شماره نسخه: 159</w:t>
      </w:r>
    </w:p>
    <w:p>
      <w:pPr>
        <w:pStyle w:val="BookText"/>
      </w:pPr>
      <w:r>
        <w:rPr>
          <w:rFonts w:ascii="IRNazanin" w:hAnsi="IRNazanin" w:eastAsia="IRNazanin" w:cs="IRNazanin"/>
          <w:lang w:bidi="fa-IR"/>
          <w:color w:val="111111"/>
          <w:sz w:val="28"/>
          <w:szCs w:val="28"/>
          <w:rtl/>
        </w:rPr>
        <w:t xml:space="preserve">آغاز کتاب الطهارة تا پایان کتاب الاطعمه و الاشربه ؛خط: نسخ ،بی کا، تا: قرن 11 ؛مصحح ،محشی، روی برگ اول چند یادداشت متفرقه و تاریخ سال 1064 و 1067 و وقف نامه ای خواجه عابدين بن محمد بن تاج الدین رکن آبادی میبدی سال 1061؛ تملک: «عسكر بن حاجی علی بفروئی» جلد: تیماج مشکی بدون مقوا، 263گ مختلف السطر ، اندازه: 20</w:t>
      </w:r>
      <w:r>
        <w:rPr>
          <w:rFonts w:ascii="Times New Roman" w:hAnsi="Times New Roman" w:eastAsia="Times New Roman" w:cs="Times New Roman"/>
          <w:lang w:val="en-US" w:bidi="en-US"/>
          <w:color w:val="111111"/>
          <w:sz w:val="28"/>
          <w:szCs w:val="28"/>
          <w:rtl/>
        </w:rPr>
        <w:t xml:space="preserve">×25/5 [</w:t>
      </w:r>
      <w:r>
        <w:rPr>
          <w:rFonts w:ascii="IRNazanin" w:hAnsi="IRNazanin" w:eastAsia="IRNazanin" w:cs="IRNazanin"/>
          <w:lang w:bidi="fa-IR"/>
          <w:color w:val="111111"/>
          <w:sz w:val="28"/>
          <w:szCs w:val="28"/>
          <w:rtl/>
        </w:rPr>
        <w:t xml:space="preserve">ف: 1 - 141]</w:t>
      </w:r>
    </w:p>
    <w:p>
      <w:pPr>
        <w:pStyle w:val="BookText"/>
      </w:pPr>
      <w:r>
        <w:rPr>
          <w:rFonts w:ascii="Times New Roman" w:hAnsi="Times New Roman" w:eastAsia="Times New Roman" w:cs="Times New Roman"/>
          <w:lang w:val="en-US" w:bidi="en-US"/>
          <w:color w:val="111111"/>
          <w:sz w:val="28"/>
          <w:szCs w:val="28"/>
          <w:rtl/>
        </w:rPr>
        <w:t xml:space="preserve">189.</w:t>
      </w:r>
    </w:p>
    <w:p>
      <w:pPr>
        <w:pStyle w:val="BookText"/>
      </w:pPr>
      <w:r>
        <w:rPr>
          <w:rFonts w:ascii="IRNazanin" w:hAnsi="IRNazanin" w:eastAsia="IRNazanin" w:cs="IRNazanin"/>
          <w:lang w:bidi="fa-IR"/>
          <w:color w:val="111111"/>
          <w:sz w:val="28"/>
          <w:szCs w:val="28"/>
          <w:rtl/>
        </w:rPr>
        <w:t xml:space="preserve">اردکان یزد؛ امام صادق؛ شماره نسخه: 379</w:t>
      </w:r>
    </w:p>
    <w:p>
      <w:pPr>
        <w:pStyle w:val="BookText"/>
      </w:pPr>
      <w:r>
        <w:rPr>
          <w:rFonts w:ascii="IRNazanin" w:hAnsi="IRNazanin" w:eastAsia="IRNazanin" w:cs="IRNazanin"/>
          <w:lang w:bidi="fa-IR"/>
          <w:color w:val="111111"/>
          <w:sz w:val="28"/>
          <w:szCs w:val="28"/>
          <w:rtl/>
        </w:rPr>
        <w:t xml:space="preserve">خط: ،نسخ، بی کا، تا: قرن 11 ؛مصحح، محشی؛ جلد: تیماج قهوه ای، 280گ مختلف السطر ، اندازه: 12</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2 - 110]</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IRNazanin" w:hAnsi="IRNazanin" w:eastAsia="IRNazanin" w:cs="IRNazanin"/>
          <w:lang w:bidi="fa-IR"/>
          <w:color w:val="111111"/>
          <w:sz w:val="28"/>
          <w:szCs w:val="28"/>
          <w:rtl/>
        </w:rPr>
        <w:t xml:space="preserve">اردکان یزد؛ امام صادق؛ شماره نسخه 350</w:t>
      </w:r>
    </w:p>
    <w:p>
      <w:pPr>
        <w:pStyle w:val="BookText"/>
      </w:pPr>
      <w:r>
        <w:rPr>
          <w:rFonts w:ascii="Amiri" w:hAnsi="Amiri" w:eastAsia="Amiri" w:cs="Amiri"/>
          <w:lang w:bidi="ar-SA"/>
          <w:color w:val="111111"/>
          <w:sz w:val="28"/>
          <w:szCs w:val="28"/>
          <w:rtl/>
        </w:rPr>
        <w:t xml:space="preserve">انجام: فان ضاقت فمن الابعد ايضا فان ضاقت فمن المعتق ضاقت فمن غصبه المعتق فان. ..</w:t>
      </w:r>
    </w:p>
    <w:p>
      <w:pPr>
        <w:pStyle w:val="BookText"/>
      </w:pPr>
      <w:r>
        <w:rPr>
          <w:rFonts w:ascii="IRNazanin" w:hAnsi="IRNazanin" w:eastAsia="IRNazanin" w:cs="IRNazanin"/>
          <w:lang w:bidi="fa-IR"/>
          <w:color w:val="111111"/>
          <w:sz w:val="28"/>
          <w:szCs w:val="28"/>
          <w:rtl/>
        </w:rPr>
        <w:t xml:space="preserve">خط: نسخ، بی کا، تا: قرن 11؛ افتادگی: انجام؛ مصحح، محشی،با نشان بلاغ، روی برگ اول یادداشتی آمده که کتاب وقف بود چون در معرض فروش بوده سید ابوجعفر اردکانی آن را به 1268 خریده و دوباره وقف کرده؛ 220گ، 15 سطر ، اندازه:12/5</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سم [ف: 2 - 87]</w:t>
      </w:r>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IRNazanin" w:hAnsi="IRNazanin" w:eastAsia="IRNazanin" w:cs="IRNazanin"/>
          <w:lang w:bidi="fa-IR"/>
          <w:color w:val="111111"/>
          <w:sz w:val="28"/>
          <w:szCs w:val="28"/>
          <w:rtl/>
        </w:rPr>
        <w:t xml:space="preserve">تهران؛ عبد العظیم؛ شماره نسخه: 562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نستعليق :كا : محمد امین حافظ بن ،خاتون، تا: قرن11؛ مصحح، محشی در اول و آخر نسخه فواید بسیاری درج شده است از جمله علامات آخر الزمان به نقل از تفسیر ملا حسین ،واعظ قاعده در بیان نماز نوروز به نقل از «منهاج الصلاح »علامه حلی و نقلی از «تفسیر گازر» و صیغه توبه و . ..؛ جلد: تیماج مشكى مجدول با ترنج و سر ترنج 303گ، 17 سطر ، اندازه: 8/5</w:t>
      </w:r>
      <w:r>
        <w:rPr>
          <w:rFonts w:ascii="Times New Roman" w:hAnsi="Times New Roman" w:eastAsia="Times New Roman" w:cs="Times New Roman"/>
          <w:lang w:val="en-US" w:bidi="en-US"/>
          <w:color w:val="111111"/>
          <w:sz w:val="28"/>
          <w:szCs w:val="28"/>
          <w:rtl/>
        </w:rPr>
        <w:t xml:space="preserve">×19/5</w:t>
      </w:r>
      <w:r>
        <w:rPr>
          <w:rFonts w:ascii="IRNazanin" w:hAnsi="IRNazanin" w:eastAsia="IRNazanin" w:cs="IRNazanin"/>
          <w:lang w:bidi="fa-IR"/>
          <w:color w:val="111111"/>
          <w:sz w:val="28"/>
          <w:szCs w:val="28"/>
          <w:rtl/>
        </w:rPr>
        <w:t xml:space="preserve">سم [ف: 1 - 41]</w:t>
      </w:r>
    </w:p>
    <w:p>
      <w:pPr>
        <w:pStyle w:val="BookText"/>
      </w:pPr>
      <w:r>
        <w:rPr>
          <w:rFonts w:ascii="IRNazanin" w:hAnsi="IRNazanin" w:eastAsia="IRNazanin" w:cs="IRNazanin"/>
          <w:lang w:bidi="fa-IR"/>
          <w:color w:val="111111"/>
          <w:sz w:val="28"/>
          <w:szCs w:val="28"/>
          <w:rtl/>
        </w:rPr>
        <w:t xml:space="preserve">192 مشهد؛ رضوی؛ شماره نسخه: 7425</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اواخر قرن 11؛ محشی بیشتر با رمز (ع ل )بعضاً با عناوین محمد و غیره؛ کاغذ: نخودی آهار مهره جلد: میشن قهوه ای با ترنج و سرترنج و لچکی 233گ 15 سطر:اندازه :19/6</w:t>
      </w:r>
      <w:r>
        <w:rPr>
          <w:rFonts w:ascii="Times New Roman" w:hAnsi="Times New Roman" w:eastAsia="Times New Roman" w:cs="Times New Roman"/>
          <w:lang w:val="en-US" w:bidi="en-US"/>
          <w:color w:val="111111"/>
          <w:sz w:val="28"/>
          <w:szCs w:val="28"/>
          <w:rtl/>
        </w:rPr>
        <w:t xml:space="preserve">×/25</w:t>
      </w:r>
      <w:r>
        <w:rPr>
          <w:rFonts w:ascii="IRNazanin" w:hAnsi="IRNazanin" w:eastAsia="IRNazanin" w:cs="IRNazanin"/>
          <w:lang w:bidi="fa-IR"/>
          <w:color w:val="111111"/>
          <w:sz w:val="28"/>
          <w:szCs w:val="28"/>
          <w:rtl/>
        </w:rPr>
        <w:t xml:space="preserve">م [ف: 21/5 - 78]</w:t>
      </w:r>
    </w:p>
    <w:p>
      <w:pPr>
        <w:pStyle w:val="BookText"/>
      </w:pPr>
      <w:r>
        <w:rPr>
          <w:rFonts w:ascii="IRNazanin" w:hAnsi="IRNazanin" w:eastAsia="IRNazanin" w:cs="IRNazanin"/>
          <w:lang w:bidi="fa-IR"/>
          <w:color w:val="111111"/>
          <w:sz w:val="28"/>
          <w:szCs w:val="28"/>
          <w:rtl/>
        </w:rPr>
        <w:t xml:space="preserve">193 مشهد؛ رضوی؛ شماره نسخه: 7426</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 نسخ و نستعلیق، بی کا ،تا: اواخر قرن 11؛ دارای حواشی- فخر المحققین شهید ثانی و دیگران؛ تملک: محمد بن داوود علی زواری تنکابنی در 1105 ؛کاغذ: نخودی آهار مهره :جلد تیماج  ،مشکی، 163گ مختلف السطر ، اندازه:15/8</w:t>
      </w:r>
      <w:r>
        <w:rPr>
          <w:rFonts w:ascii="Times New Roman" w:hAnsi="Times New Roman" w:eastAsia="Times New Roman" w:cs="Times New Roman"/>
          <w:lang w:val="en-US" w:bidi="en-US"/>
          <w:color w:val="111111"/>
          <w:sz w:val="28"/>
          <w:szCs w:val="28"/>
          <w:rtl/>
        </w:rPr>
        <w:t xml:space="preserve">×25/3</w:t>
      </w:r>
      <w:r>
        <w:rPr>
          <w:rFonts w:ascii="IRNazanin" w:hAnsi="IRNazanin" w:eastAsia="IRNazanin" w:cs="IRNazanin"/>
          <w:lang w:bidi="fa-IR"/>
          <w:color w:val="111111"/>
          <w:sz w:val="28"/>
          <w:szCs w:val="28"/>
          <w:rtl/>
        </w:rPr>
        <w:t xml:space="preserve">سم [ف: 79 - 21/1 ]</w:t>
      </w:r>
    </w:p>
    <w:p>
      <w:pPr>
        <w:pStyle w:val="BookText"/>
      </w:pPr>
      <w:r>
        <w:rPr>
          <w:rFonts w:ascii="IRNazanin" w:hAnsi="IRNazanin" w:eastAsia="IRNazanin" w:cs="IRNazanin"/>
          <w:lang w:bidi="fa-IR"/>
          <w:color w:val="111111"/>
          <w:sz w:val="28"/>
          <w:szCs w:val="28"/>
          <w:rtl/>
        </w:rPr>
        <w:t xml:space="preserve">194 . مشهد؛ رضوی؛ شماره نسخه: 23302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11 ،مصحح، مقابله شده؛ اهدایی ،رهبری، مهر 1375 ؛کاغذ: نخودی ،جلد: تیماج قهوه ای ضربی لبه دار مزین به ترنج و سر ترنج 158گ، 19 سطر ، اندازه: 14/7</w:t>
      </w:r>
      <w:r>
        <w:rPr>
          <w:rFonts w:ascii="Times New Roman" w:hAnsi="Times New Roman" w:eastAsia="Times New Roman" w:cs="Times New Roman"/>
          <w:lang w:val="en-US" w:bidi="en-US"/>
          <w:color w:val="111111"/>
          <w:sz w:val="28"/>
          <w:szCs w:val="28"/>
          <w:rtl/>
        </w:rPr>
        <w:t xml:space="preserve">×26/2</w:t>
      </w:r>
      <w:r>
        <w:rPr>
          <w:rFonts w:ascii="IRNazanin" w:hAnsi="IRNazanin" w:eastAsia="IRNazanin" w:cs="IRNazanin"/>
          <w:lang w:bidi="fa-IR"/>
          <w:color w:val="111111"/>
          <w:sz w:val="28"/>
          <w:szCs w:val="28"/>
          <w:rtl/>
        </w:rPr>
        <w:t xml:space="preserve">س- 14/7</w:t>
      </w:r>
      <w:r>
        <w:rPr>
          <w:rFonts w:ascii="Times New Roman" w:hAnsi="Times New Roman" w:eastAsia="Times New Roman" w:cs="Times New Roman"/>
          <w:lang w:val="en-US" w:bidi="en-US"/>
          <w:color w:val="111111"/>
          <w:sz w:val="28"/>
          <w:szCs w:val="28"/>
          <w:rtl/>
        </w:rPr>
        <w:t xml:space="preserve">× 26/2 </w:t>
      </w:r>
      <w:r>
        <w:rPr>
          <w:rFonts w:ascii="IRNazanin" w:hAnsi="IRNazanin" w:eastAsia="IRNazanin" w:cs="IRNazanin"/>
          <w:lang w:bidi="fa-IR"/>
          <w:color w:val="111111"/>
          <w:sz w:val="28"/>
          <w:szCs w:val="28"/>
          <w:rtl/>
        </w:rPr>
        <w:t xml:space="preserve">سم [ف: 21/1 - 70]</w:t>
      </w:r>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IRNazanin" w:hAnsi="IRNazanin" w:eastAsia="IRNazanin" w:cs="IRNazanin"/>
          <w:lang w:bidi="fa-IR"/>
          <w:color w:val="111111"/>
          <w:sz w:val="28"/>
          <w:szCs w:val="28"/>
          <w:rtl/>
        </w:rPr>
        <w:t xml:space="preserve">مشهد؛ رضوی؛ شماره نسخه: 16921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11؛ محشی با رموز مختلف، برخی از لغات مترجم به فارسی؛ ارسالی از دانشگاه علوم اسلامی رضوی در مهر 1368 کاغذ: حنایی آهار مهره، جلد: تیماج مشکی، 260 گ، 14سطر ، اندازه: 14/5</w:t>
      </w:r>
      <w:r>
        <w:rPr>
          <w:rFonts w:ascii="Times New Roman" w:hAnsi="Times New Roman" w:eastAsia="Times New Roman" w:cs="Times New Roman"/>
          <w:lang w:val="en-US" w:bidi="en-US"/>
          <w:color w:val="111111"/>
          <w:sz w:val="28"/>
          <w:szCs w:val="28"/>
          <w:rtl/>
        </w:rPr>
        <w:t xml:space="preserve">×23/5</w:t>
      </w:r>
      <w:r>
        <w:rPr>
          <w:rFonts w:ascii="IRNazanin" w:hAnsi="IRNazanin" w:eastAsia="IRNazanin" w:cs="IRNazanin"/>
          <w:lang w:bidi="fa-IR"/>
          <w:color w:val="111111"/>
          <w:sz w:val="28"/>
          <w:szCs w:val="28"/>
          <w:rtl/>
        </w:rPr>
        <w:t xml:space="preserve">سم [ف: 21/1 - 77]</w:t>
      </w:r>
    </w:p>
    <w:p>
      <w:pPr>
        <w:pStyle w:val="BookText"/>
      </w:pPr>
      <w:r>
        <w:rPr>
          <w:rFonts w:ascii="IRNazanin" w:hAnsi="IRNazanin" w:eastAsia="IRNazanin" w:cs="IRNazanin"/>
          <w:lang w:bidi="fa-IR"/>
          <w:color w:val="111111"/>
          <w:sz w:val="28"/>
          <w:szCs w:val="28"/>
          <w:rtl/>
        </w:rPr>
        <w:t xml:space="preserve">196 مشهد؛ رضوی؛ شماره نسخه: 21105</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 ،نسخ، بی کا، تا قرن 11 محشى غالباً با غالباً با رمز (عل  ل»؛ اهدایی ،رهبری خرداد 1373 کاغذ :نخودی و گل بهی آهار مهره جلد تیماج قهوه ای 247گ 17 سطر ، اندازه: 12/5</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[اهدائی - ف 3 - 52 ]</w:t>
      </w:r>
    </w:p>
    <w:p>
      <w:pPr>
        <w:pStyle w:val="BookText"/>
      </w:pPr>
      <w:r>
        <w:rPr>
          <w:rFonts w:ascii="IRNazanin" w:hAnsi="IRNazanin" w:eastAsia="IRNazanin" w:cs="IRNazanin"/>
          <w:lang w:bidi="fa-IR"/>
          <w:color w:val="111111"/>
          <w:sz w:val="28"/>
          <w:szCs w:val="28"/>
          <w:rtl/>
        </w:rPr>
        <w:t xml:space="preserve">197 مشهد؛ رضوی؛ شماره نسخه: 21526</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11؛ محشی غالباً با رمز «ع ل»، پشت ورق اول دستور اجرای برخی از صیغ مانند «صیغه صوم»، «صیغه اجاره حج»، صیغه اجاره و بعضی از رموز و فرق بین برخی از واژه ها مثل واجب و ،فرض مندوب و مستحب کتاب و باب و فصل و تعریف و اقسام فقه اهدایی ،رهبری خرداد 1373؛ کاغذ: نخودی، جلد: تیماج قهوه ای ضربی با ترنج و سرترنج، 282گ، 14 سطر ، اندازه: 13</w:t>
      </w:r>
      <w:r>
        <w:rPr>
          <w:rFonts w:ascii="Times New Roman" w:hAnsi="Times New Roman" w:eastAsia="Times New Roman" w:cs="Times New Roman"/>
          <w:lang w:val="en-US" w:bidi="en-US"/>
          <w:color w:val="111111"/>
          <w:sz w:val="28"/>
          <w:szCs w:val="28"/>
          <w:rtl/>
        </w:rPr>
        <w:t xml:space="preserve">×19/5</w:t>
      </w:r>
      <w:r>
        <w:rPr>
          <w:rFonts w:ascii="IRNazanin" w:hAnsi="IRNazanin" w:eastAsia="IRNazanin" w:cs="IRNazanin"/>
          <w:lang w:bidi="fa-IR"/>
          <w:color w:val="111111"/>
          <w:sz w:val="28"/>
          <w:szCs w:val="28"/>
          <w:rtl/>
        </w:rPr>
        <w:t xml:space="preserve">سم [اهدائی -ف: 3 - 52]</w:t>
      </w:r>
    </w:p>
    <w:p>
      <w:pPr>
        <w:pStyle w:val="BookText"/>
      </w:pPr>
      <w:r>
        <w:rPr>
          <w:rFonts w:ascii="Times New Roman" w:hAnsi="Times New Roman" w:eastAsia="Times New Roman" w:cs="Times New Roman"/>
          <w:lang w:val="en-US" w:bidi="en-US"/>
          <w:color w:val="111111"/>
          <w:sz w:val="28"/>
          <w:szCs w:val="28"/>
          <w:rtl/>
        </w:rPr>
        <w:t xml:space="preserve">198.</w:t>
      </w:r>
    </w:p>
    <w:p>
      <w:pPr>
        <w:pStyle w:val="BookText"/>
      </w:pPr>
      <w:r>
        <w:rPr>
          <w:rFonts w:ascii="IRNazanin" w:hAnsi="IRNazanin" w:eastAsia="IRNazanin" w:cs="IRNazanin"/>
          <w:lang w:bidi="fa-IR"/>
          <w:color w:val="111111"/>
          <w:sz w:val="28"/>
          <w:szCs w:val="28"/>
          <w:rtl/>
        </w:rPr>
        <w:t xml:space="preserve">مشهد؛ رضوی؛ شماره نسخه:15567</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بی،کا تا اواخر قرن 11 محشی با رمز «ع ل»؛ کاغذ: نخودی جلد: تیماج ،مشکی، 241گ، 14 سطر ، اندازه: 15</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21/5 - 76]</w:t>
      </w:r>
    </w:p>
    <w:p>
      <w:pPr>
        <w:pStyle w:val="BookText"/>
      </w:pPr>
      <w:r>
        <w:rPr>
          <w:rFonts w:ascii="Times New Roman" w:hAnsi="Times New Roman" w:eastAsia="Times New Roman" w:cs="Times New Roman"/>
          <w:lang w:val="en-US" w:bidi="en-US"/>
          <w:color w:val="111111"/>
          <w:sz w:val="28"/>
          <w:szCs w:val="28"/>
          <w:rtl/>
        </w:rPr>
        <w:t xml:space="preserve">199.</w:t>
      </w:r>
    </w:p>
    <w:p>
      <w:pPr>
        <w:pStyle w:val="BookText"/>
      </w:pPr>
      <w:r>
        <w:rPr>
          <w:rFonts w:ascii="IRNazanin" w:hAnsi="IRNazanin" w:eastAsia="IRNazanin" w:cs="IRNazanin"/>
          <w:lang w:bidi="fa-IR"/>
          <w:color w:val="111111"/>
          <w:sz w:val="28"/>
          <w:szCs w:val="28"/>
          <w:rtl/>
        </w:rPr>
        <w:t xml:space="preserve">مشهد؛ رضوی؛ شماره نسخه: 18310</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11 مصحح محشی، مقابله شده؛ واقف:مهرداد بوستانی، 1370ش؛ کاغذ: نخودی آهار مهره، جلد: تیماج ،قهوه ای ،186گ مختلف السطر ، اندازه: 14/3</w:t>
      </w:r>
      <w:r>
        <w:rPr>
          <w:rFonts w:ascii="Times New Roman" w:hAnsi="Times New Roman" w:eastAsia="Times New Roman" w:cs="Times New Roman"/>
          <w:lang w:val="en-US" w:bidi="en-US"/>
          <w:color w:val="111111"/>
          <w:sz w:val="28"/>
          <w:szCs w:val="28"/>
          <w:rtl/>
        </w:rPr>
        <w:t xml:space="preserve">×23/6</w:t>
      </w:r>
      <w:r>
        <w:rPr>
          <w:rFonts w:ascii="IRNazanin" w:hAnsi="IRNazanin" w:eastAsia="IRNazanin" w:cs="IRNazanin"/>
          <w:lang w:bidi="fa-IR"/>
          <w:color w:val="111111"/>
          <w:sz w:val="28"/>
          <w:szCs w:val="28"/>
          <w:rtl/>
        </w:rPr>
        <w:t xml:space="preserve">سم [ف: 21/1- 74]</w:t>
      </w:r>
    </w:p>
    <w:p>
      <w:pPr>
        <w:pStyle w:val="BookText"/>
      </w:pPr>
      <w:r>
        <w:rPr>
          <w:rFonts w:ascii="IRNazanin" w:hAnsi="IRNazanin" w:eastAsia="IRNazanin" w:cs="IRNazanin"/>
          <w:lang w:bidi="fa-IR"/>
          <w:color w:val="111111"/>
          <w:sz w:val="28"/>
          <w:szCs w:val="28"/>
          <w:rtl/>
        </w:rPr>
        <w:t xml:space="preserve">200 . مشهد؛ رضوی؛ شماره نسخه: 21584</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بی،کا تا قرن 11؛ محشی اهدائی رهبری خرداد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1373؛ كاغذ: نخودی و حنایی آهار مهره، جلد: تیماج مشكی، 200گ، 18 سطر ، اندازه: 11/5</w:t>
      </w:r>
      <w:r>
        <w:rPr>
          <w:rFonts w:ascii="Times New Roman" w:hAnsi="Times New Roman" w:eastAsia="Times New Roman" w:cs="Times New Roman"/>
          <w:lang w:val="en-US" w:bidi="en-US"/>
          <w:color w:val="111111"/>
          <w:sz w:val="28"/>
          <w:szCs w:val="28"/>
          <w:rtl/>
        </w:rPr>
        <w:t xml:space="preserve">×21/2[</w:t>
      </w:r>
      <w:r>
        <w:rPr>
          <w:rFonts w:ascii="IRNazanin" w:hAnsi="IRNazanin" w:eastAsia="IRNazanin" w:cs="IRNazanin"/>
          <w:lang w:bidi="fa-IR"/>
          <w:color w:val="111111"/>
          <w:sz w:val="28"/>
          <w:szCs w:val="28"/>
          <w:rtl/>
        </w:rPr>
        <w:t xml:space="preserve">سم اهدائی - ف: 3 - 52 ]</w:t>
      </w:r>
    </w:p>
    <w:p>
      <w:pPr>
        <w:pStyle w:val="BookText"/>
      </w:pPr>
      <w:r>
        <w:rPr>
          <w:rFonts w:ascii="IRNazanin" w:hAnsi="IRNazanin" w:eastAsia="IRNazanin" w:cs="IRNazanin"/>
          <w:lang w:bidi="fa-IR"/>
          <w:color w:val="111111"/>
          <w:sz w:val="28"/>
          <w:szCs w:val="28"/>
          <w:rtl/>
        </w:rPr>
        <w:t xml:space="preserve">201 . مشهد؛ رضوی؛ شماره نسخه: 23373</w:t>
      </w:r>
    </w:p>
    <w:p>
      <w:pPr>
        <w:pStyle w:val="BookText"/>
      </w:pPr>
      <w:r>
        <w:rPr>
          <w:rFonts w:ascii="Amiri" w:hAnsi="Amiri" w:eastAsia="Amiri" w:cs="Amiri"/>
          <w:lang w:bidi="ar-SA"/>
          <w:color w:val="111111"/>
          <w:sz w:val="28"/>
          <w:szCs w:val="28"/>
          <w:rtl/>
        </w:rPr>
        <w:t xml:space="preserve">آغاز: برابر ؛انجام: و فى قطعه بعده الثلث و الشجاج فى الراس الوجه واحد و فى البدن بنسبة دية العضو</w:t>
      </w:r>
    </w:p>
    <w:p>
      <w:pPr>
        <w:pStyle w:val="BookText"/>
      </w:pPr>
      <w:r>
        <w:rPr>
          <w:rFonts w:ascii="IRNazanin" w:hAnsi="IRNazanin" w:eastAsia="IRNazanin" w:cs="IRNazanin"/>
          <w:lang w:bidi="fa-IR"/>
          <w:color w:val="111111"/>
          <w:sz w:val="28"/>
          <w:szCs w:val="28"/>
          <w:rtl/>
        </w:rPr>
        <w:t xml:space="preserve">خط: نسخ خوش، بی کا، تا: قرن 11؛ افتادگی: انجام (یک برگ) ؛محشی با رموز مختلف، مجدول، دارای کتیبه مذهب مرصع؛ اهدایی ،رهبری، مهر 1375 کاغذ: نخودی آهار مهره جلد: تیماج  ساغری عنابی ضربی لبه دار مزین به ترنج و سرترنج و گوشه ، درون ترنج تصویر پرنده 460گ، 11 سطر ، اندازه:11/5</w:t>
      </w:r>
      <w:r>
        <w:rPr>
          <w:rFonts w:ascii="Times New Roman" w:hAnsi="Times New Roman" w:eastAsia="Times New Roman" w:cs="Times New Roman"/>
          <w:lang w:val="en-US" w:bidi="en-US"/>
          <w:color w:val="111111"/>
          <w:sz w:val="28"/>
          <w:szCs w:val="28"/>
          <w:rtl/>
        </w:rPr>
        <w:t xml:space="preserve">×18/4</w:t>
      </w:r>
      <w:r>
        <w:rPr>
          <w:rFonts w:ascii="IRNazanin" w:hAnsi="IRNazanin" w:eastAsia="IRNazanin" w:cs="IRNazanin"/>
          <w:lang w:bidi="fa-IR"/>
          <w:color w:val="111111"/>
          <w:sz w:val="28"/>
          <w:szCs w:val="28"/>
          <w:rtl/>
        </w:rPr>
        <w:t xml:space="preserve">سم [ف: 21/5 - 86]</w:t>
      </w:r>
    </w:p>
    <w:p>
      <w:pPr>
        <w:pStyle w:val="BookText"/>
      </w:pPr>
      <w:r>
        <w:rPr>
          <w:rFonts w:ascii="IRNazanin" w:hAnsi="IRNazanin" w:eastAsia="IRNazanin" w:cs="IRNazanin"/>
          <w:lang w:bidi="fa-IR"/>
          <w:color w:val="111111"/>
          <w:sz w:val="28"/>
          <w:szCs w:val="28"/>
          <w:rtl/>
        </w:rPr>
        <w:t xml:space="preserve">202 . مشهد؛ رضوی؛ شماره نسخه: 2217</w:t>
      </w:r>
    </w:p>
    <w:p>
      <w:pPr>
        <w:pStyle w:val="BookText"/>
      </w:pPr>
      <w:r>
        <w:rPr>
          <w:rFonts w:ascii="IRNazanin" w:hAnsi="IRNazanin" w:eastAsia="IRNazanin" w:cs="IRNazanin"/>
          <w:lang w:bidi="fa-IR"/>
          <w:color w:val="111111"/>
          <w:sz w:val="28"/>
          <w:szCs w:val="28"/>
          <w:rtl/>
        </w:rPr>
        <w:t xml:space="preserve">آغاز :مطلوبه و صنفت هذا الكتاب الموسوم بارشاد الأذهان؛ انجام: و لو خلف الكافر اولاداًاصغاراً لاحظ لهم فى الاسلام و ابن اخ و ابن اخت مسلمین.</w:t>
      </w:r>
    </w:p>
    <w:p>
      <w:pPr>
        <w:pStyle w:val="BookText"/>
      </w:pPr>
      <w:r>
        <w:rPr>
          <w:rFonts w:ascii="IRNazanin" w:hAnsi="IRNazanin" w:eastAsia="IRNazanin" w:cs="IRNazanin"/>
          <w:lang w:bidi="fa-IR"/>
          <w:color w:val="111111"/>
          <w:sz w:val="28"/>
          <w:szCs w:val="28"/>
          <w:rtl/>
        </w:rPr>
        <w:t xml:space="preserve">از اواخر مقدمه تا «المقصد الثاني في موانع الارث»؛ خط: نسخ، بی کا، تا: قرن 11 محشی؛ افتادگی آغاز (یک برگ) و انجام؛اکاغذ: نخودی، جلد: تیماج مشکی 206گ، 15 سطر ، اندازه: 16</w:t>
      </w:r>
      <w:r>
        <w:rPr>
          <w:rFonts w:ascii="Times New Roman" w:hAnsi="Times New Roman" w:eastAsia="Times New Roman" w:cs="Times New Roman"/>
          <w:lang w:val="en-US" w:bidi="en-US"/>
          <w:color w:val="111111"/>
          <w:sz w:val="28"/>
          <w:szCs w:val="28"/>
          <w:rtl/>
        </w:rPr>
        <w:t xml:space="preserve">×24</w:t>
      </w:r>
      <w:r>
        <w:rPr>
          <w:rFonts w:ascii="IRNazanin" w:hAnsi="IRNazanin" w:eastAsia="IRNazanin" w:cs="IRNazanin"/>
          <w:lang w:bidi="fa-IR"/>
          <w:color w:val="111111"/>
          <w:sz w:val="28"/>
          <w:szCs w:val="28"/>
          <w:rtl/>
        </w:rPr>
        <w:t xml:space="preserve">سم [ف: 21/1 - 84]</w:t>
      </w:r>
    </w:p>
    <w:p>
      <w:pPr>
        <w:pStyle w:val="BookText"/>
      </w:pPr>
      <w:r>
        <w:rPr>
          <w:rFonts w:ascii="IRNazanin" w:hAnsi="IRNazanin" w:eastAsia="IRNazanin" w:cs="IRNazanin"/>
          <w:lang w:bidi="fa-IR"/>
          <w:color w:val="111111"/>
          <w:sz w:val="28"/>
          <w:szCs w:val="28"/>
          <w:rtl/>
        </w:rPr>
        <w:t xml:space="preserve">203 . مشهد؛ رضوی؛ شماره نسخه:11248</w:t>
      </w:r>
    </w:p>
    <w:p>
      <w:pPr>
        <w:pStyle w:val="BookText"/>
      </w:pPr>
      <w:r>
        <w:rPr>
          <w:rFonts w:ascii="IRNazanin" w:hAnsi="IRNazanin" w:eastAsia="IRNazanin" w:cs="IRNazanin"/>
          <w:lang w:bidi="fa-IR"/>
          <w:color w:val="111111"/>
          <w:sz w:val="28"/>
          <w:szCs w:val="28"/>
          <w:rtl/>
        </w:rPr>
        <w:t xml:space="preserve">آغاز :برابر ؛انجام: و قیل بحسب ما يراه الامام و يؤخذ من</w:t>
      </w:r>
    </w:p>
    <w:p>
      <w:pPr>
        <w:pStyle w:val="BookText"/>
      </w:pPr>
      <w:r>
        <w:rPr>
          <w:rFonts w:ascii="IRNazanin" w:hAnsi="IRNazanin" w:eastAsia="IRNazanin" w:cs="IRNazanin"/>
          <w:lang w:bidi="fa-IR"/>
          <w:color w:val="111111"/>
          <w:sz w:val="28"/>
          <w:szCs w:val="28"/>
          <w:rtl/>
        </w:rPr>
        <w:t xml:space="preserve">خط: نسخ، بی کا، تا: قرن 11؛ افتادگی: انجام؛ محشی غالباً با رمز (ع  ل) و بعضاً از شهید اول واقف علامه حائری، مرداد 1351؛کاغذ: نخودی، جلد: تیماج قهوه ای، 195گ، 21 سطر ، اندا زه: 12/6</w:t>
      </w:r>
      <w:r>
        <w:rPr>
          <w:rFonts w:ascii="Times New Roman" w:hAnsi="Times New Roman" w:eastAsia="Times New Roman" w:cs="Times New Roman"/>
          <w:lang w:val="en-US" w:bidi="en-US"/>
          <w:color w:val="111111"/>
          <w:sz w:val="28"/>
          <w:szCs w:val="28"/>
          <w:rtl/>
        </w:rPr>
        <w:t xml:space="preserve">×23/7</w:t>
      </w:r>
      <w:r>
        <w:rPr>
          <w:rFonts w:ascii="IRNazanin" w:hAnsi="IRNazanin" w:eastAsia="IRNazanin" w:cs="IRNazanin"/>
          <w:lang w:bidi="fa-IR"/>
          <w:color w:val="111111"/>
          <w:sz w:val="28"/>
          <w:szCs w:val="28"/>
          <w:rtl/>
        </w:rPr>
        <w:t xml:space="preserve">سم [ف: 21/1 - 91]</w:t>
      </w:r>
    </w:p>
    <w:p>
      <w:pPr>
        <w:pStyle w:val="BookText"/>
      </w:pPr>
      <w:r>
        <w:rPr>
          <w:rFonts w:ascii="IRNazanin" w:hAnsi="IRNazanin" w:eastAsia="IRNazanin" w:cs="IRNazanin"/>
          <w:lang w:bidi="fa-IR"/>
          <w:color w:val="111111"/>
          <w:sz w:val="28"/>
          <w:szCs w:val="28"/>
          <w:rtl/>
        </w:rPr>
        <w:t xml:space="preserve">204 . مشهد؛ رضوی؛ شماره نسخه: 11311</w:t>
      </w:r>
    </w:p>
    <w:p>
      <w:pPr>
        <w:pStyle w:val="BookText"/>
      </w:pPr>
      <w:r>
        <w:rPr>
          <w:rFonts w:ascii="Amiri" w:hAnsi="Amiri" w:eastAsia="Amiri" w:cs="Amiri"/>
          <w:lang w:bidi="ar-SA"/>
          <w:color w:val="111111"/>
          <w:sz w:val="28"/>
          <w:szCs w:val="28"/>
          <w:rtl/>
        </w:rPr>
        <w:t xml:space="preserve">آغاز :برابر؛انجام: و دية شبيه العمد ثلث و ثلثون حقه. .. او احد الخمسة المذكورة</w:t>
      </w:r>
    </w:p>
    <w:p>
      <w:pPr>
        <w:pStyle w:val="BookText"/>
      </w:pPr>
      <w:r>
        <w:rPr>
          <w:rFonts w:ascii="IRNazanin" w:hAnsi="IRNazanin" w:eastAsia="IRNazanin" w:cs="IRNazanin"/>
          <w:lang w:bidi="fa-IR"/>
          <w:color w:val="111111"/>
          <w:sz w:val="28"/>
          <w:szCs w:val="28"/>
          <w:rtl/>
        </w:rPr>
        <w:t xml:space="preserve">خط: نسخ، بی کا، تا :قرن 11؛ افتادگی: انجام؛ دارای حواشی شهیدین و دیگران ؛واقف: علامه حائری مرداد 1351 ؛کاغذ: نخودی آهار مهره جلد: میشن مشکی ضربی با ترنج و سرترنج ،گوشه ،277گ 15 سطر ، اندازه: 12/3</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21/1-91]</w:t>
      </w:r>
    </w:p>
    <w:p>
      <w:pPr>
        <w:pStyle w:val="BookText"/>
      </w:pPr>
      <w:r>
        <w:rPr>
          <w:rFonts w:ascii="IRNazanin" w:hAnsi="IRNazanin" w:eastAsia="IRNazanin" w:cs="IRNazanin"/>
          <w:lang w:bidi="fa-IR"/>
          <w:color w:val="111111"/>
          <w:sz w:val="28"/>
          <w:szCs w:val="28"/>
          <w:rtl/>
        </w:rPr>
        <w:t xml:space="preserve">205 . مشهد؛ رضوی؛ شماره نسخه: 2224</w:t>
      </w:r>
    </w:p>
    <w:p>
      <w:pPr>
        <w:pStyle w:val="BookText"/>
      </w:pPr>
      <w:r>
        <w:rPr>
          <w:rFonts w:ascii="IRNazanin" w:hAnsi="IRNazanin" w:eastAsia="IRNazanin" w:cs="IRNazanin"/>
          <w:lang w:bidi="fa-IR"/>
          <w:color w:val="111111"/>
          <w:sz w:val="28"/>
          <w:szCs w:val="28"/>
          <w:rtl/>
        </w:rPr>
        <w:t xml:space="preserve">آغاز: يجوز منكوسا كالراس و لا يجوز على حایل كخف و غیره اختياراً ؛انجام: فان اوصلهما الجانى او سرتا و اتحدتا فواحدة اولوصل الأجنبي فديتان</w:t>
      </w:r>
    </w:p>
    <w:p>
      <w:pPr>
        <w:pStyle w:val="BookText"/>
      </w:pPr>
      <w:r>
        <w:rPr>
          <w:rFonts w:ascii="IRNazanin" w:hAnsi="IRNazanin" w:eastAsia="IRNazanin" w:cs="IRNazanin"/>
          <w:lang w:bidi="fa-IR"/>
          <w:color w:val="111111"/>
          <w:sz w:val="28"/>
          <w:szCs w:val="28"/>
          <w:rtl/>
        </w:rPr>
        <w:t xml:space="preserve">خط: نسخ، بی کا، تا: قرن 11؛ افتادگی: ابتدا و وسط و انجام ،مصحح دارای حواشی عبدالعالی کرکی کاغذ: نخودی آهار مهره جلد :تیماج ،مشکی، 162گ ، 18 سطر ، اندازه: 15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ف: 21/1 - 87]</w:t>
      </w:r>
    </w:p>
    <w:p>
      <w:pPr>
        <w:pStyle w:val="BookText"/>
      </w:pPr>
      <w:r>
        <w:rPr>
          <w:rFonts w:ascii="IRNazanin" w:hAnsi="IRNazanin" w:eastAsia="IRNazanin" w:cs="IRNazanin"/>
          <w:lang w:bidi="fa-IR"/>
          <w:color w:val="111111"/>
          <w:sz w:val="28"/>
          <w:szCs w:val="28"/>
          <w:rtl/>
        </w:rPr>
        <w:t xml:space="preserve">206 . مشهد؛ رضوی؛ شماره نسخه: 16916</w:t>
      </w:r>
    </w:p>
    <w:p>
      <w:pPr>
        <w:pStyle w:val="BookText"/>
      </w:pPr>
      <w:r>
        <w:rPr>
          <w:rFonts w:ascii="Amiri" w:hAnsi="Amiri" w:eastAsia="Amiri" w:cs="Amiri"/>
          <w:lang w:bidi="ar-SA"/>
          <w:color w:val="111111"/>
          <w:sz w:val="28"/>
          <w:szCs w:val="28"/>
          <w:rtl/>
        </w:rPr>
        <w:t xml:space="preserve">آغاز :افضل الصلوات و اكمل التحيات ونبدء في الترتيب بالأهم فالأهم؛ انجام: برابر</w:t>
      </w:r>
    </w:p>
    <w:p>
      <w:pPr>
        <w:pStyle w:val="BookText"/>
      </w:pPr>
      <w:r>
        <w:rPr>
          <w:rFonts w:ascii="IRNazanin" w:hAnsi="IRNazanin" w:eastAsia="IRNazanin" w:cs="IRNazanin"/>
          <w:lang w:bidi="fa-IR"/>
          <w:color w:val="111111"/>
          <w:sz w:val="28"/>
          <w:szCs w:val="28"/>
          <w:rtl/>
        </w:rPr>
        <w:t xml:space="preserve">خط: نسخ، بی کا تا قرن 11 افتادگی: آغاز؛ محشی غالباً با رموز «ع ل» و «منه رحمه الله؛ ارسالی از دانشگاه علوم اسلامی رضوی در مهر 1368 کاغذ: حنایی آهار مهره [ف: 21/1 - 98]</w:t>
      </w:r>
    </w:p>
    <w:p>
      <w:pPr>
        <w:pStyle w:val="BookText"/>
      </w:pPr>
      <w:r>
        <w:rPr>
          <w:rFonts w:ascii="IRNazanin" w:hAnsi="IRNazanin" w:eastAsia="IRNazanin" w:cs="IRNazanin"/>
          <w:lang w:bidi="fa-IR"/>
          <w:color w:val="111111"/>
          <w:sz w:val="28"/>
          <w:szCs w:val="28"/>
          <w:rtl/>
        </w:rPr>
        <w:t xml:space="preserve">207 . مشهد؛ رضوی؛ شماره نسخه: 12556</w:t>
      </w:r>
    </w:p>
    <w:p>
      <w:pPr>
        <w:pStyle w:val="BookText"/>
      </w:pPr>
      <w:r>
        <w:rPr>
          <w:rFonts w:ascii="Amiri" w:hAnsi="Amiri" w:eastAsia="Amiri" w:cs="Amiri"/>
          <w:lang w:bidi="ar-SA"/>
          <w:color w:val="111111"/>
          <w:sz w:val="28"/>
          <w:szCs w:val="28"/>
          <w:rtl/>
        </w:rPr>
        <w:t xml:space="preserve">آغاز :برابر ؛انجام: و فى الذوق الدية و فى منفعة المشى و البطش كمال الدية</w:t>
      </w:r>
    </w:p>
    <w:p>
      <w:pPr>
        <w:pStyle w:val="BookText"/>
      </w:pPr>
      <w:r>
        <w:rPr>
          <w:rFonts w:ascii="IRNazanin" w:hAnsi="IRNazanin" w:eastAsia="IRNazanin" w:cs="IRNazanin"/>
          <w:lang w:bidi="fa-IR"/>
          <w:color w:val="111111"/>
          <w:sz w:val="28"/>
          <w:szCs w:val="28"/>
          <w:rtl/>
        </w:rPr>
        <w:t xml:space="preserve">خط: نسخ بی کا تا قرن 11 :افتادگی انجام (یکی دو ورق)؛ ،مصحح ،محشی، مقابله شده؛ واقف حسین کی استوان، آبان 1348؛ كاغذ: حنایی آهار مهره جلد: تیماج مشکی، 192گ</w:t>
      </w:r>
    </w:p>
    <w:p>
      <w:pPr>
        <w:pStyle w:val="BookText"/>
      </w:pPr>
      <w:r>
        <w:rPr>
          <w:rFonts w:ascii="IRNazanin" w:hAnsi="IRNazanin" w:eastAsia="IRNazanin" w:cs="IRNazanin"/>
          <w:lang w:bidi="fa-IR"/>
          <w:color w:val="111111"/>
          <w:sz w:val="28"/>
          <w:szCs w:val="28"/>
          <w:rtl/>
        </w:rPr>
        <w:t xml:space="preserve">16 و 17 سطر ، اندازه: 17</w:t>
      </w:r>
      <w:r>
        <w:rPr>
          <w:rFonts w:ascii="Times New Roman" w:hAnsi="Times New Roman" w:eastAsia="Times New Roman" w:cs="Times New Roman"/>
          <w:lang w:val="en-US" w:bidi="en-US"/>
          <w:color w:val="111111"/>
          <w:sz w:val="28"/>
          <w:szCs w:val="28"/>
          <w:rtl/>
        </w:rPr>
        <w:t xml:space="preserve">×26/5</w:t>
      </w:r>
      <w:r>
        <w:rPr>
          <w:rFonts w:ascii="IRNazanin" w:hAnsi="IRNazanin" w:eastAsia="IRNazanin" w:cs="IRNazanin"/>
          <w:lang w:bidi="fa-IR"/>
          <w:color w:val="111111"/>
          <w:sz w:val="28"/>
          <w:szCs w:val="28"/>
          <w:rtl/>
        </w:rPr>
        <w:t xml:space="preserve">سم [ف: 21/1 - 88]</w:t>
      </w:r>
    </w:p>
    <w:p>
      <w:pPr>
        <w:pStyle w:val="BookText"/>
      </w:pPr>
      <w:r>
        <w:rPr>
          <w:rFonts w:ascii="Times New Roman" w:hAnsi="Times New Roman" w:eastAsia="Times New Roman" w:cs="Times New Roman"/>
          <w:lang w:val="en-US" w:bidi="en-US"/>
          <w:color w:val="111111"/>
          <w:sz w:val="28"/>
          <w:szCs w:val="28"/>
          <w:rtl/>
        </w:rPr>
        <w:t xml:space="preserve">208.</w:t>
      </w:r>
    </w:p>
    <w:p>
      <w:pPr>
        <w:pStyle w:val="BookText"/>
      </w:pPr>
      <w:r>
        <w:rPr>
          <w:rFonts w:ascii="IRNazanin" w:hAnsi="IRNazanin" w:eastAsia="IRNazanin" w:cs="IRNazanin"/>
          <w:lang w:bidi="fa-IR"/>
          <w:color w:val="111111"/>
          <w:sz w:val="28"/>
          <w:szCs w:val="28"/>
          <w:rtl/>
        </w:rPr>
        <w:t xml:space="preserve">مشهد؛ رضوی؛ شماره نسخه: 16922</w:t>
      </w:r>
    </w:p>
    <w:p>
      <w:pPr>
        <w:pStyle w:val="BookText"/>
      </w:pPr>
      <w:r>
        <w:rPr>
          <w:rFonts w:ascii="IRNazanin" w:hAnsi="IRNazanin" w:eastAsia="IRNazanin" w:cs="IRNazanin"/>
          <w:lang w:bidi="fa-IR"/>
          <w:color w:val="111111"/>
          <w:sz w:val="28"/>
          <w:szCs w:val="28"/>
          <w:rtl/>
        </w:rPr>
        <w:t xml:space="preserve">آغاز :به و توابعها الاول في اقسامها و هي وضوء و غسل و تیمم؛ انجام: فلو سرت جنایته او قتل.</w:t>
      </w:r>
    </w:p>
    <w:p>
      <w:pPr>
        <w:pStyle w:val="BookText"/>
      </w:pPr>
      <w:r>
        <w:rPr>
          <w:rFonts w:ascii="IRNazanin" w:hAnsi="IRNazanin" w:eastAsia="IRNazanin" w:cs="IRNazanin"/>
          <w:lang w:bidi="fa-IR"/>
          <w:color w:val="111111"/>
          <w:sz w:val="28"/>
          <w:szCs w:val="28"/>
          <w:rtl/>
        </w:rPr>
        <w:t xml:space="preserve">خط: نسخ بی کا تا قرن 11؛ افتادگی: آغاز و انجام (یک برگ)؛ مصحح، معلق به حواشی شهیدین و فخرالمحققین و دیگران، مقابله شده ارسالی از دانشگاه علوم اسلامی رضوی در آذر 1368؛ كاغذ: نخودی آهار مهره جلد: تیماج قهوه ای، 200گ، 17 سطر ، اندازه: 19/3</w:t>
      </w:r>
      <w:r>
        <w:rPr>
          <w:rFonts w:ascii="Times New Roman" w:hAnsi="Times New Roman" w:eastAsia="Times New Roman" w:cs="Times New Roman"/>
          <w:lang w:val="en-US" w:bidi="en-US"/>
          <w:color w:val="111111"/>
          <w:sz w:val="28"/>
          <w:szCs w:val="28"/>
          <w:rtl/>
        </w:rPr>
        <w:t xml:space="preserve">×25 </w:t>
      </w:r>
      <w:r>
        <w:rPr>
          <w:rFonts w:ascii="IRNazanin" w:hAnsi="IRNazanin" w:eastAsia="IRNazanin" w:cs="IRNazanin"/>
          <w:lang w:bidi="fa-IR"/>
          <w:color w:val="111111"/>
          <w:sz w:val="28"/>
          <w:szCs w:val="28"/>
          <w:rtl/>
        </w:rPr>
        <w:t xml:space="preserve">سم [ف: 21/5 - 97]</w:t>
      </w:r>
    </w:p>
    <w:p>
      <w:pPr>
        <w:pStyle w:val="BookText"/>
      </w:pPr>
      <w:r>
        <w:rPr>
          <w:rFonts w:ascii="Times New Roman" w:hAnsi="Times New Roman" w:eastAsia="Times New Roman" w:cs="Times New Roman"/>
          <w:lang w:val="en-US" w:bidi="en-US"/>
          <w:color w:val="111111"/>
          <w:sz w:val="28"/>
          <w:szCs w:val="28"/>
          <w:rtl/>
        </w:rPr>
        <w:t xml:space="preserve">209.</w:t>
      </w:r>
    </w:p>
    <w:p>
      <w:pPr>
        <w:pStyle w:val="BookText"/>
      </w:pPr>
      <w:r>
        <w:rPr>
          <w:rFonts w:ascii="IRNazanin" w:hAnsi="IRNazanin" w:eastAsia="IRNazanin" w:cs="IRNazanin"/>
          <w:lang w:bidi="fa-IR"/>
          <w:color w:val="111111"/>
          <w:sz w:val="28"/>
          <w:szCs w:val="28"/>
          <w:rtl/>
        </w:rPr>
        <w:t xml:space="preserve">مشهد؛ رضوی؛ شماره نسخه: 14131</w:t>
      </w:r>
    </w:p>
    <w:p>
      <w:pPr>
        <w:pStyle w:val="BookText"/>
      </w:pPr>
      <w:r>
        <w:rPr>
          <w:rFonts w:ascii="Amiri" w:hAnsi="Amiri" w:eastAsia="Amiri" w:cs="Amiri"/>
          <w:lang w:bidi="ar-SA"/>
          <w:color w:val="111111"/>
          <w:sz w:val="28"/>
          <w:szCs w:val="28"/>
          <w:rtl/>
        </w:rPr>
        <w:t xml:space="preserve">آغاز: ذلك بالترحمعلى عقيب الصلاة و الاستغفار لى في الخلوات ؛انجام: برابر</w:t>
      </w:r>
    </w:p>
    <w:p>
      <w:pPr>
        <w:pStyle w:val="BookText"/>
      </w:pPr>
      <w:r>
        <w:rPr>
          <w:rFonts w:ascii="IRNazanin" w:hAnsi="IRNazanin" w:eastAsia="IRNazanin" w:cs="IRNazanin"/>
          <w:lang w:bidi="fa-IR"/>
          <w:color w:val="111111"/>
          <w:sz w:val="28"/>
          <w:szCs w:val="28"/>
          <w:rtl/>
        </w:rPr>
        <w:t xml:space="preserve">خط: نسخ، بی کا، تا قرن 11؛ کا :تا: قرن 11 مصحح محشی با رموز مختلف، مقابله شده؛ واقف فاضلخان، 1065 كاغذ : حنایی آهار مهره ،جلد: میشن عنابی ضربی با ترنج و سرترنج زرین، 166گ، 17 سطر ، اندازه: 17/22</w:t>
      </w:r>
      <w:r>
        <w:rPr>
          <w:rFonts w:ascii="Times New Roman" w:hAnsi="Times New Roman" w:eastAsia="Times New Roman" w:cs="Times New Roman"/>
          <w:lang w:val="en-US" w:bidi="en-US"/>
          <w:color w:val="111111"/>
          <w:sz w:val="28"/>
          <w:szCs w:val="28"/>
          <w:rtl/>
        </w:rPr>
        <w:t xml:space="preserve">×24 </w:t>
      </w:r>
      <w:r>
        <w:rPr>
          <w:rFonts w:ascii="IRNazanin" w:hAnsi="IRNazanin" w:eastAsia="IRNazanin" w:cs="IRNazanin"/>
          <w:lang w:bidi="fa-IR"/>
          <w:color w:val="111111"/>
          <w:sz w:val="28"/>
          <w:szCs w:val="28"/>
          <w:rtl/>
        </w:rPr>
        <w:t xml:space="preserve">سم [ف: 21/1 - 94]</w:t>
      </w:r>
    </w:p>
    <w:p>
      <w:pPr>
        <w:pStyle w:val="BookText"/>
      </w:pPr>
      <w:r>
        <w:rPr>
          <w:rFonts w:ascii="IRNazanin" w:hAnsi="IRNazanin" w:eastAsia="IRNazanin" w:cs="IRNazanin"/>
          <w:lang w:bidi="fa-IR"/>
          <w:color w:val="111111"/>
          <w:sz w:val="28"/>
          <w:szCs w:val="28"/>
          <w:rtl/>
        </w:rPr>
        <w:t xml:space="preserve">210 مشهد؛ رضوی؛ شماره نسخه: 14097</w:t>
      </w:r>
    </w:p>
    <w:p>
      <w:pPr>
        <w:pStyle w:val="BookText"/>
      </w:pPr>
      <w:r>
        <w:rPr>
          <w:rFonts w:ascii="Amiri" w:hAnsi="Amiri" w:eastAsia="Amiri" w:cs="Amiri"/>
          <w:lang w:bidi="ar-SA"/>
          <w:color w:val="111111"/>
          <w:sz w:val="28"/>
          <w:szCs w:val="28"/>
          <w:rtl/>
        </w:rPr>
        <w:t xml:space="preserve">آغاز: على طهارة و الغسل يجب لما وجب له الوضوء و لدخول المساجد؛ انجام: برابر</w:t>
      </w:r>
    </w:p>
    <w:p>
      <w:pPr>
        <w:pStyle w:val="BookText"/>
      </w:pPr>
      <w:r>
        <w:rPr>
          <w:rFonts w:ascii="IRNazanin" w:hAnsi="IRNazanin" w:eastAsia="IRNazanin" w:cs="IRNazanin"/>
          <w:lang w:bidi="fa-IR"/>
          <w:color w:val="111111"/>
          <w:sz w:val="28"/>
          <w:szCs w:val="28"/>
          <w:rtl/>
        </w:rPr>
        <w:t xml:space="preserve">خط: نسخ،   بی کا تا قرن 11؛ مذیل است به رساله رضاعیه» از محقق کرکی و مصدر است به شرح مقدمه ارشاد مذکور، معلق به حواشی شهید ثانی و فخر المحققین ودیگران، مصحح؛ واقف ،فاضلخان سنه 1065 :کاغذ: حنایی آهار مهره جلد : تیماج ماشی 137گ 21 سطر ، اندازه: 18</w:t>
      </w:r>
      <w:r>
        <w:rPr>
          <w:rFonts w:ascii="Times New Roman" w:hAnsi="Times New Roman" w:eastAsia="Times New Roman" w:cs="Times New Roman"/>
          <w:lang w:val="en-US" w:bidi="en-US"/>
          <w:color w:val="111111"/>
          <w:sz w:val="28"/>
          <w:szCs w:val="28"/>
          <w:rtl/>
        </w:rPr>
        <w:t xml:space="preserve">×27/5</w:t>
      </w:r>
      <w:r>
        <w:rPr>
          <w:rFonts w:ascii="IRNazanin" w:hAnsi="IRNazanin" w:eastAsia="IRNazanin" w:cs="IRNazanin"/>
          <w:lang w:bidi="fa-IR"/>
          <w:color w:val="111111"/>
          <w:sz w:val="28"/>
          <w:szCs w:val="28"/>
          <w:rtl/>
        </w:rPr>
        <w:t xml:space="preserve">سم :[ف 21/12-95]</w:t>
      </w:r>
    </w:p>
    <w:p>
      <w:pPr>
        <w:pStyle w:val="BookText"/>
      </w:pPr>
      <w:r>
        <w:rPr>
          <w:rFonts w:ascii="IRNazanin" w:hAnsi="IRNazanin" w:eastAsia="IRNazanin" w:cs="IRNazanin"/>
          <w:lang w:bidi="fa-IR"/>
          <w:color w:val="111111"/>
          <w:sz w:val="28"/>
          <w:szCs w:val="28"/>
          <w:rtl/>
        </w:rPr>
        <w:t xml:space="preserve">211 قم؛ مرکز احیاء؛ شماره نسخه: 1460</w:t>
      </w:r>
    </w:p>
    <w:p>
      <w:pPr>
        <w:pStyle w:val="BookText"/>
      </w:pPr>
      <w:r>
        <w:rPr>
          <w:rFonts w:ascii="IRNazanin" w:hAnsi="IRNazanin" w:eastAsia="IRNazanin" w:cs="IRNazanin"/>
          <w:lang w:bidi="fa-IR"/>
          <w:color w:val="111111"/>
          <w:sz w:val="28"/>
          <w:szCs w:val="28"/>
          <w:rtl/>
        </w:rPr>
        <w:t xml:space="preserve">خط: نسخ، بی کا، تا قرن 11؛ مصحح، محشى؛ جلد: تيماج قهوه ای 288گ، 17 سطر ، اندازه: 10</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سم [ف: 4 - 288]</w:t>
      </w:r>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IRNazanin" w:hAnsi="IRNazanin" w:eastAsia="IRNazanin" w:cs="IRNazanin"/>
          <w:lang w:bidi="fa-IR"/>
          <w:color w:val="111111"/>
          <w:sz w:val="28"/>
          <w:szCs w:val="28"/>
          <w:rtl/>
        </w:rPr>
        <w:t xml:space="preserve">همدان؛ دانشگاه بوعلی؛ شماره نسخه: 265</w:t>
      </w:r>
    </w:p>
    <w:p>
      <w:pPr>
        <w:pStyle w:val="BookText"/>
      </w:pPr>
      <w:r>
        <w:rPr>
          <w:rFonts w:ascii="IRNazanin" w:hAnsi="IRNazanin" w:eastAsia="IRNazanin" w:cs="IRNazanin"/>
          <w:lang w:bidi="fa-IR"/>
          <w:color w:val="111111"/>
          <w:sz w:val="28"/>
          <w:szCs w:val="28"/>
          <w:rtl/>
        </w:rPr>
        <w:t xml:space="preserve">خط: نسخ، بی کا ،تا: قرن 11 ؛تملک: شمس الدین ابوالباقی عبدالله بن محمد مؤمن بن عبدالرضا الحسينی، محمد مؤمن بن عبدالرضا بن عبدالله الحسينی با مهر و نشانی انتقال از محمد حسن بن شیخ ابوالمحسن به تاریخ 1289 :جلد: گالینگور زرد، 331گ 15 سطر ، اندازه: 13</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سم [ف: 141]</w:t>
      </w:r>
    </w:p>
    <w:p>
      <w:pPr>
        <w:pStyle w:val="BookText"/>
      </w:pPr>
      <w:r>
        <w:rPr>
          <w:rFonts w:ascii="Times New Roman" w:hAnsi="Times New Roman" w:eastAsia="Times New Roman" w:cs="Times New Roman"/>
          <w:lang w:val="en-US" w:bidi="en-US"/>
          <w:color w:val="111111"/>
          <w:sz w:val="28"/>
          <w:szCs w:val="28"/>
          <w:rtl/>
        </w:rPr>
        <w:t xml:space="preserve">213.</w:t>
      </w:r>
    </w:p>
    <w:p>
      <w:pPr>
        <w:pStyle w:val="BookText"/>
      </w:pPr>
      <w:r>
        <w:rPr>
          <w:rFonts w:ascii="IRNazanin" w:hAnsi="IRNazanin" w:eastAsia="IRNazanin" w:cs="IRNazanin"/>
          <w:lang w:bidi="fa-IR"/>
          <w:color w:val="111111"/>
          <w:sz w:val="28"/>
          <w:szCs w:val="28"/>
          <w:rtl/>
        </w:rPr>
        <w:t xml:space="preserve">مشهد؛ امام هادی؛ شماره نسخه: 44/2</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 نسخ، بی کا ،تا: قرن 11 ؛مصحح، محشی؛ جلد: دو رو تیماج رو قهوه ای پشت ،قرمز، 135 (96 پ - (231 ر)، 21 سطر ، اندازه: 17</w:t>
      </w:r>
      <w:r>
        <w:rPr>
          <w:rFonts w:ascii="Times New Roman" w:hAnsi="Times New Roman" w:eastAsia="Times New Roman" w:cs="Times New Roman"/>
          <w:lang w:val="en-US" w:bidi="en-US"/>
          <w:color w:val="111111"/>
          <w:sz w:val="28"/>
          <w:szCs w:val="28"/>
          <w:rtl/>
        </w:rPr>
        <w:t xml:space="preserve">×25</w:t>
      </w:r>
      <w:r>
        <w:rPr>
          <w:rFonts w:ascii="IRNazanin" w:hAnsi="IRNazanin" w:eastAsia="IRNazanin" w:cs="IRNazanin"/>
          <w:lang w:bidi="fa-IR"/>
          <w:color w:val="111111"/>
          <w:sz w:val="28"/>
          <w:szCs w:val="28"/>
          <w:rtl/>
        </w:rPr>
        <w:t xml:space="preserve">سم [ف: 37]</w:t>
      </w:r>
    </w:p>
    <w:p>
      <w:pPr>
        <w:pStyle w:val="BookText"/>
      </w:pPr>
      <w:r>
        <w:rPr>
          <w:rFonts w:ascii="Times New Roman" w:hAnsi="Times New Roman" w:eastAsia="Times New Roman" w:cs="Times New Roman"/>
          <w:lang w:val="en-US" w:bidi="en-US"/>
          <w:color w:val="111111"/>
          <w:sz w:val="28"/>
          <w:szCs w:val="28"/>
          <w:rtl/>
        </w:rPr>
        <w:t xml:space="preserve">214.</w:t>
      </w:r>
    </w:p>
    <w:p>
      <w:pPr>
        <w:pStyle w:val="BookText"/>
      </w:pPr>
      <w:r>
        <w:rPr>
          <w:rFonts w:ascii="IRNazanin" w:hAnsi="IRNazanin" w:eastAsia="IRNazanin" w:cs="IRNazanin"/>
          <w:lang w:bidi="fa-IR"/>
          <w:color w:val="111111"/>
          <w:sz w:val="28"/>
          <w:szCs w:val="28"/>
          <w:rtl/>
        </w:rPr>
        <w:t xml:space="preserve">یزد؛ وزیری؛ شماره نسخه:277</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و ،ثلث بی کا تا قرن 11 از روی نسخه اصل (مورخ 969) (؟)؛ اهدایی مؤسس کتابخانه حاج وزیری؛ کاغذ: نخودی آهار مهره ،جلد: مقوایی با کاغذ رنگین عطف تیماج زرد 203گ 17 سطر (10/5</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 اندازه: 21 </w:t>
      </w:r>
      <w:r>
        <w:rPr>
          <w:rFonts w:ascii="Times New Roman" w:hAnsi="Times New Roman" w:eastAsia="Times New Roman" w:cs="Times New Roman"/>
          <w:lang w:val="en-US" w:bidi="en-US"/>
          <w:color w:val="111111"/>
          <w:sz w:val="28"/>
          <w:szCs w:val="28"/>
          <w:rtl/>
        </w:rPr>
        <w:t xml:space="preserve">× 30</w:t>
      </w:r>
      <w:r>
        <w:rPr>
          <w:rFonts w:ascii="IRNazanin" w:hAnsi="IRNazanin" w:eastAsia="IRNazanin" w:cs="IRNazanin"/>
          <w:lang w:bidi="fa-IR"/>
          <w:color w:val="111111"/>
          <w:sz w:val="28"/>
          <w:szCs w:val="28"/>
          <w:rtl/>
        </w:rPr>
        <w:t xml:space="preserve">سم [ف: 1 - 284]</w:t>
      </w:r>
    </w:p>
    <w:p>
      <w:pPr>
        <w:pStyle w:val="BookText"/>
      </w:pPr>
      <w:r>
        <w:rPr>
          <w:rFonts w:ascii="Times New Roman" w:hAnsi="Times New Roman" w:eastAsia="Times New Roman" w:cs="Times New Roman"/>
          <w:lang w:val="en-US" w:bidi="en-US"/>
          <w:color w:val="111111"/>
          <w:sz w:val="28"/>
          <w:szCs w:val="28"/>
          <w:rtl/>
        </w:rPr>
        <w:t xml:space="preserve">215.</w:t>
      </w:r>
    </w:p>
    <w:p>
      <w:pPr>
        <w:pStyle w:val="BookText"/>
      </w:pPr>
      <w:r>
        <w:rPr>
          <w:rFonts w:ascii="IRNazanin" w:hAnsi="IRNazanin" w:eastAsia="IRNazanin" w:cs="IRNazanin"/>
          <w:lang w:bidi="fa-IR"/>
          <w:color w:val="111111"/>
          <w:sz w:val="28"/>
          <w:szCs w:val="28"/>
          <w:rtl/>
        </w:rPr>
        <w:t xml:space="preserve">شیراز؛ امام عصر؛ شماره نسخه:328</w:t>
      </w:r>
    </w:p>
    <w:p>
      <w:pPr>
        <w:pStyle w:val="BookText"/>
      </w:pPr>
      <w:r>
        <w:rPr>
          <w:rFonts w:ascii="IRNazanin" w:hAnsi="IRNazanin" w:eastAsia="IRNazanin" w:cs="IRNazanin"/>
          <w:lang w:bidi="fa-IR"/>
          <w:color w:val="111111"/>
          <w:sz w:val="28"/>
          <w:szCs w:val="28"/>
          <w:rtl/>
        </w:rPr>
        <w:t xml:space="preserve">خط: نسخ، بی کا، تا قرن 11؛ افتادگی آغاز و انجام؛ محش ،181گ اندازه : 19/5</w:t>
      </w:r>
      <w:r>
        <w:rPr>
          <w:rFonts w:ascii="Times New Roman" w:hAnsi="Times New Roman" w:eastAsia="Times New Roman" w:cs="Times New Roman"/>
          <w:lang w:val="en-US" w:bidi="en-US"/>
          <w:color w:val="111111"/>
          <w:sz w:val="28"/>
          <w:szCs w:val="28"/>
          <w:rtl/>
        </w:rPr>
        <w:t xml:space="preserve">×26/5</w:t>
      </w:r>
      <w:r>
        <w:rPr>
          <w:rFonts w:ascii="IRNazanin" w:hAnsi="IRNazanin" w:eastAsia="IRNazanin" w:cs="IRNazanin"/>
          <w:lang w:bidi="fa-IR"/>
          <w:color w:val="111111"/>
          <w:sz w:val="28"/>
          <w:szCs w:val="28"/>
          <w:rtl/>
        </w:rPr>
        <w:t xml:space="preserve">سم [ف: 1 - 6]</w:t>
      </w:r>
    </w:p>
    <w:p>
      <w:pPr>
        <w:pStyle w:val="BookText"/>
      </w:pPr>
      <w:r>
        <w:rPr>
          <w:rFonts w:ascii="Times New Roman" w:hAnsi="Times New Roman" w:eastAsia="Times New Roman" w:cs="Times New Roman"/>
          <w:lang w:val="en-US" w:bidi="en-US"/>
          <w:color w:val="111111"/>
          <w:sz w:val="28"/>
          <w:szCs w:val="28"/>
          <w:rtl/>
        </w:rPr>
        <w:t xml:space="preserve">216.</w:t>
      </w:r>
    </w:p>
    <w:p>
      <w:pPr>
        <w:pStyle w:val="BookText"/>
      </w:pPr>
      <w:r>
        <w:rPr>
          <w:rFonts w:ascii="IRNazanin" w:hAnsi="IRNazanin" w:eastAsia="IRNazanin" w:cs="IRNazanin"/>
          <w:lang w:bidi="fa-IR"/>
          <w:color w:val="111111"/>
          <w:sz w:val="28"/>
          <w:szCs w:val="28"/>
          <w:rtl/>
        </w:rPr>
        <w:t xml:space="preserve">قم؛ مفتى الشیعه؛ شماره نسخه:28</w:t>
      </w:r>
    </w:p>
    <w:p>
      <w:pPr>
        <w:pStyle w:val="BookText"/>
      </w:pPr>
      <w:r>
        <w:rPr>
          <w:rFonts w:ascii="IRNazanin" w:hAnsi="IRNazanin" w:eastAsia="IRNazanin" w:cs="IRNazanin"/>
          <w:lang w:bidi="fa-IR"/>
          <w:color w:val="111111"/>
          <w:sz w:val="28"/>
          <w:szCs w:val="28"/>
          <w:rtl/>
        </w:rPr>
        <w:t xml:space="preserve">خط:نسخ، کا:عطاء اللہ بن علی ،حسینی تا شعبان 1000ق؛ مصحح ، ،محشی هفت صفحه دارای فواید و دعاهای مختلف ؛جلد : تیم مشکی، 262گ، 18 سطر ، اندازه: 12/5</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سم :[ف (39]</w:t>
      </w:r>
    </w:p>
    <w:p>
      <w:pPr>
        <w:pStyle w:val="BookText"/>
      </w:pPr>
      <w:r>
        <w:rPr>
          <w:rFonts w:ascii="IRNazanin" w:hAnsi="IRNazanin" w:eastAsia="IRNazanin" w:cs="IRNazanin"/>
          <w:lang w:bidi="fa-IR"/>
          <w:color w:val="111111"/>
          <w:sz w:val="28"/>
          <w:szCs w:val="28"/>
          <w:rtl/>
        </w:rPr>
        <w:t xml:space="preserve">217 یزد؛ وزیری؛ شماره نسخه: 660</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11 اهدایی غلامرضا توکلی کا عذ:سمرقندی، جلد: تیماج آلبالویی مقوایی 138گ 25 سطر (5</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اندازه: 13</w:t>
      </w:r>
      <w:r>
        <w:rPr>
          <w:rFonts w:ascii="Times New Roman" w:hAnsi="Times New Roman" w:eastAsia="Times New Roman" w:cs="Times New Roman"/>
          <w:lang w:val="en-US" w:bidi="en-US"/>
          <w:color w:val="111111"/>
          <w:sz w:val="28"/>
          <w:szCs w:val="28"/>
          <w:rtl/>
        </w:rPr>
        <w:t xml:space="preserve">×23</w:t>
      </w:r>
      <w:r>
        <w:rPr>
          <w:rFonts w:ascii="IRNazanin" w:hAnsi="IRNazanin" w:eastAsia="IRNazanin" w:cs="IRNazanin"/>
          <w:lang w:bidi="fa-IR"/>
          <w:color w:val="111111"/>
          <w:sz w:val="28"/>
          <w:szCs w:val="28"/>
          <w:rtl/>
        </w:rPr>
        <w:t xml:space="preserve">سم [ف: 2 - 568]</w:t>
      </w:r>
    </w:p>
    <w:p>
      <w:pPr>
        <w:pStyle w:val="BookText"/>
      </w:pPr>
      <w:r>
        <w:rPr>
          <w:rFonts w:ascii="Times New Roman" w:hAnsi="Times New Roman" w:eastAsia="Times New Roman" w:cs="Times New Roman"/>
          <w:lang w:val="en-US" w:bidi="en-US"/>
          <w:color w:val="111111"/>
          <w:sz w:val="28"/>
          <w:szCs w:val="28"/>
          <w:rtl/>
        </w:rPr>
        <w:t xml:space="preserve">218.</w:t>
      </w:r>
    </w:p>
    <w:p>
      <w:pPr>
        <w:pStyle w:val="BookText"/>
      </w:pPr>
      <w:r>
        <w:rPr>
          <w:rFonts w:ascii="IRNazanin" w:hAnsi="IRNazanin" w:eastAsia="IRNazanin" w:cs="IRNazanin"/>
          <w:lang w:bidi="fa-IR"/>
          <w:color w:val="111111"/>
          <w:sz w:val="28"/>
          <w:szCs w:val="28"/>
          <w:rtl/>
        </w:rPr>
        <w:t xml:space="preserve">کرمانشاه؛ جلیلی؛ شماره نسخه:343</w:t>
      </w:r>
    </w:p>
    <w:p>
      <w:pPr>
        <w:pStyle w:val="BookText"/>
      </w:pPr>
      <w:r>
        <w:rPr>
          <w:rFonts w:ascii="IRNazanin" w:hAnsi="IRNazanin" w:eastAsia="IRNazanin" w:cs="IRNazanin"/>
          <w:lang w:bidi="fa-IR"/>
          <w:color w:val="111111"/>
          <w:sz w:val="28"/>
          <w:szCs w:val="28"/>
          <w:rtl/>
        </w:rPr>
        <w:t xml:space="preserve">انجام: برابر</w:t>
      </w:r>
    </w:p>
    <w:p>
      <w:pPr>
        <w:pStyle w:val="BookText"/>
      </w:pPr>
      <w:r>
        <w:rPr>
          <w:rFonts w:ascii="IRNazanin" w:hAnsi="IRNazanin" w:eastAsia="IRNazanin" w:cs="IRNazanin"/>
          <w:lang w:bidi="fa-IR"/>
          <w:color w:val="111111"/>
          <w:sz w:val="28"/>
          <w:szCs w:val="28"/>
          <w:rtl/>
        </w:rPr>
        <w:t xml:space="preserve">خط: نسخ و ثلث، کا، محمد شریف بن محمد قلی تا قرن11؛ محشی به رمز «ع ل »و غیره؛ کاغذ: حنایی آهار مهره ،روشن جلد:مقوا عطف ميش ،مشکی 317گ 15 سطر ، اندازه: 12/5</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ف: 23]</w:t>
      </w:r>
    </w:p>
    <w:p>
      <w:pPr>
        <w:pStyle w:val="BookText"/>
      </w:pPr>
      <w:r>
        <w:rPr>
          <w:rFonts w:ascii="IRNazanin" w:hAnsi="IRNazanin" w:eastAsia="IRNazanin" w:cs="IRNazanin"/>
          <w:lang w:bidi="fa-IR"/>
          <w:color w:val="111111"/>
          <w:sz w:val="28"/>
          <w:szCs w:val="28"/>
          <w:rtl/>
        </w:rPr>
        <w:t xml:space="preserve">219 کرمانشاه؛ جلیلی؛ شماره نسخه: 143</w:t>
      </w:r>
    </w:p>
    <w:p>
      <w:pPr>
        <w:pStyle w:val="BookText"/>
      </w:pPr>
      <w:r>
        <w:rPr>
          <w:rFonts w:ascii="IRNazanin" w:hAnsi="IRNazanin" w:eastAsia="IRNazanin" w:cs="IRNazanin"/>
          <w:lang w:bidi="fa-IR"/>
          <w:color w:val="111111"/>
          <w:sz w:val="28"/>
          <w:szCs w:val="28"/>
          <w:rtl/>
        </w:rPr>
        <w:t xml:space="preserve">آغاز: خال عن التطويل و الاكتاز فاجبت مطلوبه.. كتاب الطهار النظر في اسبابها؛ انجام مأكول اللحم او غيره مما تقع عليه الزكاة از اول تا آخر دیات؛ خط: نسخ بی کا تا قرن 11 افتادگی: آغاز و انجام ؛کاغذ :حنایی روشن آهار مهره ؛جلد: تیماج عناب 270گ، 15 سطر ، اندازه (12/5</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سم :[ف 23]</w:t>
      </w:r>
    </w:p>
    <w:p>
      <w:pPr>
        <w:pStyle w:val="BookText"/>
      </w:pPr>
      <w:r>
        <w:rPr>
          <w:rFonts w:ascii="IRNazanin" w:hAnsi="IRNazanin" w:eastAsia="IRNazanin" w:cs="IRNazanin"/>
          <w:lang w:bidi="fa-IR"/>
          <w:color w:val="111111"/>
          <w:sz w:val="28"/>
          <w:szCs w:val="28"/>
          <w:rtl/>
        </w:rPr>
        <w:t xml:space="preserve">220 تهران؛ دانشگاه؛ شماره نسخه: 4145</w:t>
      </w:r>
    </w:p>
    <w:p>
      <w:pPr>
        <w:pStyle w:val="BookText"/>
      </w:pPr>
      <w:r>
        <w:rPr>
          <w:rFonts w:ascii="Amiri" w:hAnsi="Amiri" w:eastAsia="Amiri" w:cs="Amiri"/>
          <w:lang w:bidi="ar-SA"/>
          <w:color w:val="111111"/>
          <w:sz w:val="28"/>
          <w:szCs w:val="28"/>
          <w:rtl/>
        </w:rPr>
        <w:t xml:space="preserve">آغاز :التوجه بسبع تكبيرات .. المقصد الثاني في الجمعة و ركعتان كالصبح عوض الظهر و وقتها عند زوال الشمس الجمعة؛ انجام: المقصد السادس فى الشجاج و في الحارصة و التي تقشر الجلد بعير . .. من دية الراس ويتساوى المراة والرجل</w:t>
      </w:r>
    </w:p>
    <w:p>
      <w:pPr>
        <w:pStyle w:val="BookText"/>
      </w:pPr>
      <w:r>
        <w:rPr>
          <w:rFonts w:ascii="IRNazanin" w:hAnsi="IRNazanin" w:eastAsia="IRNazanin" w:cs="IRNazanin"/>
          <w:lang w:bidi="fa-IR"/>
          <w:color w:val="111111"/>
          <w:sz w:val="28"/>
          <w:szCs w:val="28"/>
          <w:rtl/>
        </w:rPr>
        <w:t xml:space="preserve">خط: نستعلیق بی کا تا قرن 10 و 11 افتادگی: آغاز و انجام: كاغذ: سمرقندی ،جلد: تیماج مشکی مقوایی عطف تریاک 211گ، 15 سطر (11</w:t>
      </w:r>
      <w:r>
        <w:rPr>
          <w:rFonts w:ascii="Times New Roman" w:hAnsi="Times New Roman" w:eastAsia="Times New Roman" w:cs="Times New Roman"/>
          <w:lang w:val="en-US" w:bidi="en-US"/>
          <w:color w:val="111111"/>
          <w:sz w:val="28"/>
          <w:szCs w:val="28"/>
          <w:rtl/>
        </w:rPr>
        <w:t xml:space="preserve">×6)</w:t>
      </w:r>
      <w:r>
        <w:rPr>
          <w:rFonts w:ascii="IRNazanin" w:hAnsi="IRNazanin" w:eastAsia="IRNazanin" w:cs="IRNazanin"/>
          <w:lang w:bidi="fa-IR"/>
          <w:color w:val="111111"/>
          <w:sz w:val="28"/>
          <w:szCs w:val="28"/>
          <w:rtl/>
        </w:rPr>
        <w:t xml:space="preserve">، اندازه: 10 </w:t>
      </w:r>
      <w:r>
        <w:rPr>
          <w:rFonts w:ascii="Times New Roman" w:hAnsi="Times New Roman" w:eastAsia="Times New Roman" w:cs="Times New Roman"/>
          <w:lang w:val="en-US" w:bidi="en-US"/>
          <w:color w:val="111111"/>
          <w:sz w:val="28"/>
          <w:szCs w:val="28"/>
          <w:rtl/>
        </w:rPr>
        <w:t xml:space="preserve">× 17</w:t>
      </w:r>
      <w:r>
        <w:rPr>
          <w:rFonts w:ascii="IRNazanin" w:hAnsi="IRNazanin" w:eastAsia="IRNazanin" w:cs="IRNazanin"/>
          <w:lang w:bidi="fa-IR"/>
          <w:color w:val="111111"/>
          <w:sz w:val="28"/>
          <w:szCs w:val="28"/>
          <w:rtl/>
        </w:rPr>
        <w:t xml:space="preserve">سم [ف: 13 - 3115]</w:t>
      </w:r>
    </w:p>
    <w:p>
      <w:pPr>
        <w:pStyle w:val="BookText"/>
      </w:pPr>
      <w:r>
        <w:rPr>
          <w:rFonts w:ascii="IRNazanin" w:hAnsi="IRNazanin" w:eastAsia="IRNazanin" w:cs="IRNazanin"/>
          <w:lang w:bidi="fa-IR"/>
          <w:color w:val="111111"/>
          <w:sz w:val="28"/>
          <w:szCs w:val="28"/>
          <w:rtl/>
        </w:rPr>
        <w:t xml:space="preserve">221 قزوین؛ امام صادق؛ شماره نسخه: 328</w:t>
      </w:r>
    </w:p>
    <w:p>
      <w:pPr>
        <w:pStyle w:val="BookText"/>
      </w:pPr>
      <w:r>
        <w:rPr>
          <w:rFonts w:ascii="IRNazanin" w:hAnsi="IRNazanin" w:eastAsia="IRNazanin" w:cs="IRNazanin"/>
          <w:lang w:bidi="fa-IR"/>
          <w:color w:val="111111"/>
          <w:sz w:val="28"/>
          <w:szCs w:val="28"/>
          <w:rtl/>
        </w:rPr>
        <w:t xml:space="preserve">تا المقصد الثالث فى الشجاج خط: نسخ، بی کا، تا: قرن 10و 11ق؛ افتادگی: انجام ؛محشی؛ جلد: تیماج قهوه ای، 302گ، 17 سطر [ف: 1 - 29]</w:t>
      </w:r>
    </w:p>
    <w:p>
      <w:pPr>
        <w:pStyle w:val="BookText"/>
      </w:pPr>
      <w:r>
        <w:rPr>
          <w:rFonts w:ascii="IRNazanin" w:hAnsi="IRNazanin" w:eastAsia="IRNazanin" w:cs="IRNazanin"/>
          <w:lang w:bidi="fa-IR"/>
          <w:color w:val="111111"/>
          <w:sz w:val="28"/>
          <w:szCs w:val="28"/>
          <w:rtl/>
        </w:rPr>
        <w:t xml:space="preserve">222 تهران؛ ملی؛ شماره نسخه: 2080</w:t>
      </w:r>
    </w:p>
    <w:p>
      <w:pPr>
        <w:pStyle w:val="BookText"/>
      </w:pPr>
      <w:r>
        <w:rPr>
          <w:rFonts w:ascii="IRNazanin" w:hAnsi="IRNazanin" w:eastAsia="IRNazanin" w:cs="IRNazanin"/>
          <w:lang w:bidi="fa-IR"/>
          <w:color w:val="111111"/>
          <w:sz w:val="28"/>
          <w:szCs w:val="28"/>
          <w:rtl/>
        </w:rPr>
        <w:t xml:space="preserve">انجام: و الحمد لله رب العالمين والصلوة على سيدنا محمد و آله  الطاهرين. وقد وقع الفراغ من تسويده الاثنين عاشر شهر ربيع الثانی</w:t>
      </w:r>
    </w:p>
    <w:p>
      <w:pPr>
        <w:pStyle w:val="BookText"/>
      </w:pPr>
      <w:r>
        <w:rPr>
          <w:rFonts w:ascii="IRNazanin" w:hAnsi="IRNazanin" w:eastAsia="IRNazanin" w:cs="IRNazanin"/>
          <w:lang w:bidi="fa-IR"/>
          <w:color w:val="111111"/>
          <w:sz w:val="28"/>
          <w:szCs w:val="28"/>
          <w:rtl/>
        </w:rPr>
        <w:t xml:space="preserve">خط: نسخ خوش و نستعلیق ،ریز بی کا، تا قرن 11ق؛ افتادگی آغاز (میان برگ 1 و 2؛) نام کاتب در پایان کتاب نیست لیکن در گ 180 پ این عبارت دیده میشود «غیاث الدین محمد و بهاء الدين ابنا الكاتب الفقير الحقير نظام الدين احمد الملقب بحكيم الملک الگیلانی» که گویا مؤلف «طب فارسی» و «اسرار الاطباء» باشد که در الذریعه (ج 15 ش 949) یاد شده است تاریخ کتابت روز دوشنبه دهم ربیع الثانی سال مشخص نیست، محشی با نشانهای «ذکری »«زین رحمه الله»، «ع ل رحمه الله»، «عد»، «ه-)، (12)»، «ع»، ركن الدين»، «تحریر»، «منه»، «ق»، «دروس»، «ه»، «تنقیح»، «تاج ق»، «ص»، «صحاح»، «قاموس»، «ط»، «یع»، «ج»، فخرالدین رحمه الله»، «ایضاح»، «ع ه»، «تع»، «شيخ»، «شيخ الشهيد كنز العرفان»، «محمل اللغة»، در مواردی لغات در حاشیه به فارسی معنی شده است از کتاب مشرق الشمسین شیخ بهائی (953- 1030 نقل شده است دربرخی صفحه ها امضای شیخ بهائی پس از عنوان بلغ قراة ایده الله تعالی با خط ثلث که در صفحه اول کتاب صدر الافاضل به این نکته اشاره نموده است، همچنین نویسنده دیگری با توجه به نشانه ارتعاش در خط شیخ بهائی تاریخ امضای ایشان را اواخر عمر وی تشخیص داده است؛ مهر مالک خادم ائمه المعصومين، سید علی الحسینی 1040) (بیضی)، کتابخانه مجد الدين؛ کاغذ ،اصفهانی نخودی، جلد: تیماج زرد 181گ 17 سطر (147/5) ، اندازه: 16/5</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سم [ف: 11 - 251]</w:t>
      </w:r>
    </w:p>
    <w:p>
      <w:pPr>
        <w:pStyle w:val="BookText"/>
      </w:pPr>
      <w:r>
        <w:rPr>
          <w:rFonts w:ascii="IRNazanin" w:hAnsi="IRNazanin" w:eastAsia="IRNazanin" w:cs="IRNazanin"/>
          <w:lang w:bidi="fa-IR"/>
          <w:color w:val="111111"/>
          <w:sz w:val="28"/>
          <w:szCs w:val="28"/>
          <w:rtl/>
        </w:rPr>
        <w:t xml:space="preserve">223 تهران؛ دانشگاه؛ شماره نسخه: 6775</w:t>
      </w:r>
    </w:p>
    <w:p>
      <w:pPr>
        <w:pStyle w:val="BookText"/>
      </w:pPr>
      <w:r>
        <w:rPr>
          <w:rFonts w:ascii="IRNazanin" w:hAnsi="IRNazanin" w:eastAsia="IRNazanin" w:cs="IRNazanin"/>
          <w:lang w:bidi="fa-IR"/>
          <w:color w:val="111111"/>
          <w:sz w:val="28"/>
          <w:szCs w:val="28"/>
          <w:rtl/>
        </w:rPr>
        <w:t xml:space="preserve">طهارت تا دیات؛ خط: نسخ بی کا تا قرن 10 و 11؛ افتادگی: : انجام؛ محشى وقف اولاد محمد مهدی بن حاجی غلام رضا که دارنده آن بوده است؛ کاغذ سمرقندی، جلد: تیماج تریاکی ترنجی مقوایی با لولا 193گ 16 سطر (18</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قطع : وزیری،اندازه: 16 </w:t>
      </w:r>
      <w:r>
        <w:rPr>
          <w:rFonts w:ascii="Times New Roman" w:hAnsi="Times New Roman" w:eastAsia="Times New Roman" w:cs="Times New Roman"/>
          <w:lang w:val="en-US" w:bidi="en-US"/>
          <w:color w:val="111111"/>
          <w:sz w:val="28"/>
          <w:szCs w:val="28"/>
          <w:rtl/>
        </w:rPr>
        <w:t xml:space="preserve">×26</w:t>
      </w:r>
      <w:r>
        <w:rPr>
          <w:rFonts w:ascii="IRNazanin" w:hAnsi="IRNazanin" w:eastAsia="IRNazanin" w:cs="IRNazanin"/>
          <w:lang w:bidi="fa-IR"/>
          <w:color w:val="111111"/>
          <w:sz w:val="28"/>
          <w:szCs w:val="28"/>
          <w:rtl/>
        </w:rPr>
        <w:t xml:space="preserve">سم [ف: 16 - 358]</w:t>
      </w:r>
    </w:p>
    <w:p>
      <w:pPr>
        <w:pStyle w:val="BookText"/>
      </w:pPr>
      <w:r>
        <w:rPr>
          <w:rFonts w:ascii="IRNazanin" w:hAnsi="IRNazanin" w:eastAsia="IRNazanin" w:cs="IRNazanin"/>
          <w:lang w:bidi="fa-IR"/>
          <w:color w:val="111111"/>
          <w:sz w:val="28"/>
          <w:szCs w:val="28"/>
          <w:rtl/>
        </w:rPr>
        <w:t xml:space="preserve">224 . قم؛ مرعشی؛ شماره نسخه: 10859/2</w:t>
      </w:r>
    </w:p>
    <w:p>
      <w:pPr>
        <w:pStyle w:val="BookText"/>
      </w:pPr>
      <w:r>
        <w:rPr>
          <w:rFonts w:ascii="IRNazanin" w:hAnsi="IRNazanin" w:eastAsia="IRNazanin" w:cs="IRNazanin"/>
          <w:lang w:bidi="fa-IR"/>
          <w:color w:val="111111"/>
          <w:sz w:val="28"/>
          <w:szCs w:val="28"/>
          <w:rtl/>
        </w:rPr>
        <w:t xml:space="preserve">خط: نسخ، بی کا،تا قرن 11؛ افتادگی: آغاز و انجام؛ مصحح، محشی جلد تیماج ،مشکی، 211گ (157ر-368پ)، اندازه: 12/5</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سم [ف: 27 - 281]</w:t>
      </w:r>
    </w:p>
    <w:p>
      <w:pPr>
        <w:pStyle w:val="BookText"/>
      </w:pPr>
      <w:r>
        <w:rPr>
          <w:rFonts w:ascii="Times New Roman" w:hAnsi="Times New Roman" w:eastAsia="Times New Roman" w:cs="Times New Roman"/>
          <w:lang w:val="en-US" w:bidi="en-US"/>
          <w:color w:val="111111"/>
          <w:sz w:val="28"/>
          <w:szCs w:val="28"/>
          <w:rtl/>
        </w:rPr>
        <w:t xml:space="preserve">255.</w:t>
      </w:r>
    </w:p>
    <w:p>
      <w:pPr>
        <w:pStyle w:val="BookText"/>
      </w:pPr>
      <w:r>
        <w:rPr>
          <w:rFonts w:ascii="IRNazanin" w:hAnsi="IRNazanin" w:eastAsia="IRNazanin" w:cs="IRNazanin"/>
          <w:lang w:bidi="fa-IR"/>
          <w:color w:val="111111"/>
          <w:sz w:val="28"/>
          <w:szCs w:val="28"/>
          <w:rtl/>
        </w:rPr>
        <w:t xml:space="preserve">قم؛ مرعشی؛ شماره نسخه: 9839</w:t>
      </w:r>
    </w:p>
    <w:p>
      <w:pPr>
        <w:pStyle w:val="BookText"/>
      </w:pPr>
      <w:r>
        <w:rPr>
          <w:rFonts w:ascii="IRNazanin" w:hAnsi="IRNazanin" w:eastAsia="IRNazanin" w:cs="IRNazanin"/>
          <w:lang w:bidi="fa-IR"/>
          <w:color w:val="111111"/>
          <w:sz w:val="28"/>
          <w:szCs w:val="28"/>
          <w:rtl/>
        </w:rPr>
        <w:t xml:space="preserve">خط : نسخ، کا: اسماعیل بن محمد هاشم تنکابنی، تا قرن 11؛ محشی :جلد: تیماج قهوه ای 267گ، 19 سطر ، اندازه: 13</w:t>
      </w:r>
      <w:r>
        <w:rPr>
          <w:rFonts w:ascii="Times New Roman" w:hAnsi="Times New Roman" w:eastAsia="Times New Roman" w:cs="Times New Roman"/>
          <w:lang w:val="en-US" w:bidi="en-US"/>
          <w:color w:val="111111"/>
          <w:sz w:val="28"/>
          <w:szCs w:val="28"/>
          <w:rtl/>
        </w:rPr>
        <w:t xml:space="preserve">×25</w:t>
      </w:r>
      <w:r>
        <w:rPr>
          <w:rFonts w:ascii="IRNazanin" w:hAnsi="IRNazanin" w:eastAsia="IRNazanin" w:cs="IRNazanin"/>
          <w:lang w:bidi="fa-IR"/>
          <w:color w:val="111111"/>
          <w:sz w:val="28"/>
          <w:szCs w:val="28"/>
          <w:rtl/>
        </w:rPr>
        <w:t xml:space="preserve">سم [ف: 25 - 160]</w:t>
      </w:r>
    </w:p>
    <w:p>
      <w:pPr>
        <w:pStyle w:val="BookText"/>
      </w:pPr>
      <w:r>
        <w:rPr>
          <w:rFonts w:ascii="IRNazanin" w:hAnsi="IRNazanin" w:eastAsia="IRNazanin" w:cs="IRNazanin"/>
          <w:lang w:bidi="fa-IR"/>
          <w:color w:val="111111"/>
          <w:sz w:val="28"/>
          <w:szCs w:val="28"/>
          <w:rtl/>
        </w:rPr>
        <w:t xml:space="preserve">226 . قم؛ مرعشی؛ شماره نسخه: 10257</w:t>
      </w:r>
    </w:p>
    <w:p>
      <w:pPr>
        <w:pStyle w:val="BookText"/>
      </w:pPr>
      <w:r>
        <w:rPr>
          <w:rFonts w:ascii="IRNazanin" w:hAnsi="IRNazanin" w:eastAsia="IRNazanin" w:cs="IRNazanin"/>
          <w:lang w:bidi="fa-IR"/>
          <w:color w:val="111111"/>
          <w:sz w:val="28"/>
          <w:szCs w:val="28"/>
          <w:rtl/>
        </w:rPr>
        <w:t xml:space="preserve">خط: نسخ، بی کا تا :قرن 11 مصحح محشی؛ تملک :محمد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كاظم بن محمد كريم الموتى عبدالله بن عباس ؛جلد: تیماج قرمز، 163گ ، 21 سطر ، اندازه: 12/5</w:t>
      </w:r>
      <w:r>
        <w:rPr>
          <w:rFonts w:ascii="Times New Roman" w:hAnsi="Times New Roman" w:eastAsia="Times New Roman" w:cs="Times New Roman"/>
          <w:lang w:val="en-US" w:bidi="en-US"/>
          <w:color w:val="111111"/>
          <w:sz w:val="28"/>
          <w:szCs w:val="28"/>
          <w:rtl/>
        </w:rPr>
        <w:t xml:space="preserve">× 24/5</w:t>
      </w:r>
      <w:r>
        <w:rPr>
          <w:rFonts w:ascii="IRNazanin" w:hAnsi="IRNazanin" w:eastAsia="IRNazanin" w:cs="IRNazanin"/>
          <w:lang w:bidi="fa-IR"/>
          <w:color w:val="111111"/>
          <w:sz w:val="28"/>
          <w:szCs w:val="28"/>
          <w:rtl/>
        </w:rPr>
        <w:t xml:space="preserve">سم [ف: 26 - 215 ]</w:t>
      </w:r>
    </w:p>
    <w:p>
      <w:pPr>
        <w:pStyle w:val="BookText"/>
      </w:pPr>
      <w:r>
        <w:rPr>
          <w:rFonts w:ascii="IRNazanin" w:hAnsi="IRNazanin" w:eastAsia="IRNazanin" w:cs="IRNazanin"/>
          <w:lang w:bidi="fa-IR"/>
          <w:color w:val="111111"/>
          <w:sz w:val="28"/>
          <w:szCs w:val="28"/>
          <w:rtl/>
        </w:rPr>
        <w:t xml:space="preserve">227 . مشهد؛ الهیات شماره نسخه: 22559</w:t>
      </w:r>
    </w:p>
    <w:p>
      <w:pPr>
        <w:pStyle w:val="BookText"/>
      </w:pPr>
      <w:r>
        <w:rPr>
          <w:rFonts w:ascii="IRNazanin" w:hAnsi="IRNazanin" w:eastAsia="IRNazanin" w:cs="IRNazanin"/>
          <w:lang w:bidi="fa-IR"/>
          <w:color w:val="111111"/>
          <w:sz w:val="28"/>
          <w:szCs w:val="28"/>
          <w:rtl/>
        </w:rPr>
        <w:t xml:space="preserve">خط نستعلیق ،خوش بی کا تا قرن 11 کاغذ: هندی؛ جلد:  مقوا عطف میشن ،مشکی، 21گ 17 سطر (14/5</w:t>
      </w:r>
      <w:r>
        <w:rPr>
          <w:rFonts w:ascii="Times New Roman" w:hAnsi="Times New Roman" w:eastAsia="Times New Roman" w:cs="Times New Roman"/>
          <w:lang w:val="en-US" w:bidi="en-US"/>
          <w:color w:val="111111"/>
          <w:sz w:val="28"/>
          <w:szCs w:val="28"/>
          <w:rtl/>
        </w:rPr>
        <w:t xml:space="preserve">×6/5) </w:t>
      </w:r>
      <w:r>
        <w:rPr>
          <w:rFonts w:ascii="IRNazanin" w:hAnsi="IRNazanin" w:eastAsia="IRNazanin" w:cs="IRNazanin"/>
          <w:lang w:bidi="fa-IR"/>
          <w:color w:val="111111"/>
          <w:sz w:val="28"/>
          <w:szCs w:val="28"/>
          <w:rtl/>
        </w:rPr>
        <w:t xml:space="preserve">، اندازه: 11/5</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3 - 745]</w:t>
      </w:r>
    </w:p>
    <w:p>
      <w:pPr>
        <w:pStyle w:val="BookText"/>
      </w:pPr>
      <w:r>
        <w:rPr>
          <w:rFonts w:ascii="Amiri" w:hAnsi="Amiri" w:eastAsia="Amiri" w:cs="Amiri"/>
          <w:lang w:bidi="ar-SA"/>
          <w:color w:val="111111"/>
          <w:sz w:val="28"/>
          <w:szCs w:val="28"/>
          <w:rtl/>
        </w:rPr>
        <w:t xml:space="preserve">228 . مشهد؛ الهيات؛ شماره نسخه: 16</w:t>
      </w:r>
    </w:p>
    <w:p>
      <w:pPr>
        <w:pStyle w:val="BookText"/>
      </w:pPr>
      <w:r>
        <w:rPr>
          <w:rFonts w:ascii="IRNazanin" w:hAnsi="IRNazanin" w:eastAsia="IRNazanin" w:cs="IRNazanin"/>
          <w:lang w:bidi="fa-IR"/>
          <w:color w:val="111111"/>
          <w:sz w:val="28"/>
          <w:szCs w:val="28"/>
          <w:rtl/>
        </w:rPr>
        <w:t xml:space="preserve">خط: نسخ، بی کا، تا قرن 11؛ افتادگی انجام؛ کاغذ اصفهان ؛جلد: تیماج لایه ای قهوه ای 112گ 25 سطر (18</w:t>
      </w:r>
      <w:r>
        <w:rPr>
          <w:rFonts w:ascii="Times New Roman" w:hAnsi="Times New Roman" w:eastAsia="Times New Roman" w:cs="Times New Roman"/>
          <w:lang w:val="en-US" w:bidi="en-US"/>
          <w:color w:val="111111"/>
          <w:sz w:val="28"/>
          <w:szCs w:val="28"/>
          <w:rtl/>
        </w:rPr>
        <w:t xml:space="preserve">×10/5) </w:t>
      </w:r>
      <w:r>
        <w:rPr>
          <w:rFonts w:ascii="IRNazanin" w:hAnsi="IRNazanin" w:eastAsia="IRNazanin" w:cs="IRNazanin"/>
          <w:lang w:bidi="fa-IR"/>
          <w:color w:val="111111"/>
          <w:sz w:val="28"/>
          <w:szCs w:val="28"/>
          <w:rtl/>
        </w:rPr>
        <w:t xml:space="preserve">، قطع: ،وزیری اندازه: 16/5</w:t>
      </w:r>
      <w:r>
        <w:rPr>
          <w:rFonts w:ascii="Times New Roman" w:hAnsi="Times New Roman" w:eastAsia="Times New Roman" w:cs="Times New Roman"/>
          <w:lang w:val="en-US" w:bidi="en-US"/>
          <w:color w:val="111111"/>
          <w:sz w:val="28"/>
          <w:szCs w:val="28"/>
          <w:rtl/>
        </w:rPr>
        <w:t xml:space="preserve">×25/5</w:t>
      </w:r>
      <w:r>
        <w:rPr>
          <w:rFonts w:ascii="IRNazanin" w:hAnsi="IRNazanin" w:eastAsia="IRNazanin" w:cs="IRNazanin"/>
          <w:lang w:bidi="fa-IR"/>
          <w:color w:val="111111"/>
          <w:sz w:val="28"/>
          <w:szCs w:val="28"/>
          <w:rtl/>
        </w:rPr>
        <w:t xml:space="preserve">سم [ف: 1 - 10]</w:t>
      </w:r>
    </w:p>
    <w:p>
      <w:pPr>
        <w:pStyle w:val="BookText"/>
      </w:pPr>
      <w:r>
        <w:rPr>
          <w:rFonts w:ascii="Times New Roman" w:hAnsi="Times New Roman" w:eastAsia="Times New Roman" w:cs="Times New Roman"/>
          <w:lang w:val="en-US" w:bidi="en-US"/>
          <w:color w:val="111111"/>
          <w:sz w:val="28"/>
          <w:szCs w:val="28"/>
          <w:rtl/>
        </w:rPr>
        <w:t xml:space="preserve">229.</w:t>
      </w:r>
    </w:p>
    <w:p>
      <w:pPr>
        <w:pStyle w:val="BookText"/>
      </w:pPr>
      <w:r>
        <w:rPr>
          <w:rFonts w:ascii="IRNazanin" w:hAnsi="IRNazanin" w:eastAsia="IRNazanin" w:cs="IRNazanin"/>
          <w:lang w:bidi="fa-IR"/>
          <w:color w:val="111111"/>
          <w:sz w:val="28"/>
          <w:szCs w:val="28"/>
          <w:rtl/>
        </w:rPr>
        <w:t xml:space="preserve">تهران؛ سپهسالار؛ شماره نسخه: 5976/1</w:t>
      </w:r>
    </w:p>
    <w:p>
      <w:pPr>
        <w:pStyle w:val="BookText"/>
      </w:pPr>
      <w:r>
        <w:rPr>
          <w:rFonts w:ascii="IRNazanin" w:hAnsi="IRNazanin" w:eastAsia="IRNazanin" w:cs="IRNazanin"/>
          <w:lang w:bidi="fa-IR"/>
          <w:color w:val="111111"/>
          <w:sz w:val="28"/>
          <w:szCs w:val="28"/>
          <w:rtl/>
        </w:rPr>
        <w:t xml:space="preserve">از تدلیس در نکاح تا پایان وصایا؛ خط: نسخ، بی کا، تا: قرن صفحه ها پیش و پس و در هم آشفته است؛ کاغذ: نخودی سپاهانی جلد: تیماج مشکی ضربی یک ،لا 55 گ(1 ر -55 پ)- 17 سطر ، اندازه: 12/5</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سم [ف: 3 - 106]</w:t>
      </w:r>
    </w:p>
    <w:p>
      <w:pPr>
        <w:pStyle w:val="BookText"/>
      </w:pPr>
      <w:r>
        <w:rPr>
          <w:rFonts w:ascii="Times New Roman" w:hAnsi="Times New Roman" w:eastAsia="Times New Roman" w:cs="Times New Roman"/>
          <w:lang w:val="en-US" w:bidi="en-US"/>
          <w:color w:val="111111"/>
          <w:sz w:val="28"/>
          <w:szCs w:val="28"/>
          <w:rtl/>
        </w:rPr>
        <w:t xml:space="preserve">230.</w:t>
      </w:r>
    </w:p>
    <w:p>
      <w:pPr>
        <w:pStyle w:val="BookText"/>
      </w:pPr>
      <w:r>
        <w:rPr>
          <w:rFonts w:ascii="IRNazanin" w:hAnsi="IRNazanin" w:eastAsia="IRNazanin" w:cs="IRNazanin"/>
          <w:lang w:bidi="fa-IR"/>
          <w:color w:val="111111"/>
          <w:sz w:val="28"/>
          <w:szCs w:val="28"/>
          <w:rtl/>
        </w:rPr>
        <w:t xml:space="preserve">تهران؛ ملک؛ شماره نسخه: 2612</w:t>
      </w:r>
    </w:p>
    <w:p>
      <w:pPr>
        <w:pStyle w:val="BookText"/>
      </w:pPr>
      <w:r>
        <w:rPr>
          <w:rFonts w:ascii="IRNazanin" w:hAnsi="IRNazanin" w:eastAsia="IRNazanin" w:cs="IRNazanin"/>
          <w:lang w:bidi="fa-IR"/>
          <w:color w:val="111111"/>
          <w:sz w:val="28"/>
          <w:szCs w:val="28"/>
          <w:rtl/>
        </w:rPr>
        <w:t xml:space="preserve">خط: نسخ بی کا تا آغاز قرن 11؛ افتادگی: آغاز در دیباچه انجام در «المقصد السادس في الشجاج»؛ كاغذ: ترمه، جلد: میشن قهوه ای ،نو 253گ 13 سطر ، اندازه: 12/6</w:t>
      </w:r>
      <w:r>
        <w:rPr>
          <w:rFonts w:ascii="Times New Roman" w:hAnsi="Times New Roman" w:eastAsia="Times New Roman" w:cs="Times New Roman"/>
          <w:lang w:val="en-US" w:bidi="en-US"/>
          <w:color w:val="111111"/>
          <w:sz w:val="28"/>
          <w:szCs w:val="28"/>
          <w:rtl/>
        </w:rPr>
        <w:t xml:space="preserve">×18/9</w:t>
      </w:r>
      <w:r>
        <w:rPr>
          <w:rFonts w:ascii="IRNazanin" w:hAnsi="IRNazanin" w:eastAsia="IRNazanin" w:cs="IRNazanin"/>
          <w:lang w:bidi="fa-IR"/>
          <w:color w:val="111111"/>
          <w:sz w:val="28"/>
          <w:szCs w:val="28"/>
          <w:rtl/>
        </w:rPr>
        <w:t xml:space="preserve">سم [ [11 - 26 ]</w:t>
      </w:r>
    </w:p>
    <w:p>
      <w:pPr>
        <w:pStyle w:val="BookText"/>
      </w:pPr>
      <w:r>
        <w:rPr>
          <w:rFonts w:ascii="Times New Roman" w:hAnsi="Times New Roman" w:eastAsia="Times New Roman" w:cs="Times New Roman"/>
          <w:lang w:val="en-US" w:bidi="en-US"/>
          <w:color w:val="111111"/>
          <w:sz w:val="28"/>
          <w:szCs w:val="28"/>
          <w:rtl/>
        </w:rPr>
        <w:t xml:space="preserve">231.</w:t>
      </w:r>
    </w:p>
    <w:p>
      <w:pPr>
        <w:pStyle w:val="BookText"/>
      </w:pPr>
      <w:r>
        <w:rPr>
          <w:rFonts w:ascii="IRNazanin" w:hAnsi="IRNazanin" w:eastAsia="IRNazanin" w:cs="IRNazanin"/>
          <w:lang w:bidi="fa-IR"/>
          <w:color w:val="111111"/>
          <w:sz w:val="28"/>
          <w:szCs w:val="28"/>
          <w:rtl/>
        </w:rPr>
        <w:t xml:space="preserve">تهران؛ ملک؛ شماره نسخه: 5872</w:t>
      </w:r>
    </w:p>
    <w:p>
      <w:pPr>
        <w:pStyle w:val="BookText"/>
      </w:pPr>
      <w:r>
        <w:rPr>
          <w:rFonts w:ascii="IRNazanin" w:hAnsi="IRNazanin" w:eastAsia="IRNazanin" w:cs="IRNazanin"/>
          <w:lang w:bidi="fa-IR"/>
          <w:color w:val="111111"/>
          <w:sz w:val="28"/>
          <w:szCs w:val="28"/>
          <w:rtl/>
        </w:rPr>
        <w:t xml:space="preserve">آغاز :طهارت است بی دیباچه انجام در دیات افتاده؛ خط نسخ، بی کا تا قرن 11؛ محشی کاغذ ،ترمه جلد: میشن سیاه 198 گ،22 سطر ، اندازه : 13/6</w:t>
      </w:r>
      <w:r>
        <w:rPr>
          <w:rFonts w:ascii="Times New Roman" w:hAnsi="Times New Roman" w:eastAsia="Times New Roman" w:cs="Times New Roman"/>
          <w:lang w:val="en-US" w:bidi="en-US"/>
          <w:color w:val="111111"/>
          <w:sz w:val="28"/>
          <w:szCs w:val="28"/>
          <w:rtl/>
        </w:rPr>
        <w:t xml:space="preserve">×25/8</w:t>
      </w:r>
      <w:r>
        <w:rPr>
          <w:rFonts w:ascii="IRNazanin" w:hAnsi="IRNazanin" w:eastAsia="IRNazanin" w:cs="IRNazanin"/>
          <w:lang w:bidi="fa-IR"/>
          <w:color w:val="111111"/>
          <w:sz w:val="28"/>
          <w:szCs w:val="28"/>
          <w:rtl/>
        </w:rPr>
        <w:t xml:space="preserve">سم [ف: 1 - 26]</w:t>
      </w:r>
    </w:p>
    <w:p>
      <w:pPr>
        <w:pStyle w:val="BookText"/>
      </w:pPr>
      <w:r>
        <w:rPr>
          <w:rFonts w:ascii="Times New Roman" w:hAnsi="Times New Roman" w:eastAsia="Times New Roman" w:cs="Times New Roman"/>
          <w:lang w:val="en-US" w:bidi="en-US"/>
          <w:color w:val="111111"/>
          <w:sz w:val="28"/>
          <w:szCs w:val="28"/>
          <w:rtl/>
        </w:rPr>
        <w:t xml:space="preserve">232.</w:t>
      </w:r>
    </w:p>
    <w:p>
      <w:pPr>
        <w:pStyle w:val="BookText"/>
      </w:pPr>
      <w:r>
        <w:rPr>
          <w:rFonts w:ascii="IRNazanin" w:hAnsi="IRNazanin" w:eastAsia="IRNazanin" w:cs="IRNazanin"/>
          <w:lang w:bidi="fa-IR"/>
          <w:color w:val="111111"/>
          <w:sz w:val="28"/>
          <w:szCs w:val="28"/>
          <w:rtl/>
        </w:rPr>
        <w:t xml:space="preserve">قم؛ گلپایگانی؛ شماره نسخه: 9172-60/112</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از اول تا دیات؛ خط: نسخ، بی کا تا قرن 11؛ افتادگی انجام: 197گ، 15 سطر ، اندازه: 12</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[ف: 1 - 305]</w:t>
      </w:r>
    </w:p>
    <w:p>
      <w:pPr>
        <w:pStyle w:val="BookText"/>
      </w:pPr>
      <w:r>
        <w:rPr>
          <w:rFonts w:ascii="IRNazanin" w:hAnsi="IRNazanin" w:eastAsia="IRNazanin" w:cs="IRNazanin"/>
          <w:lang w:bidi="fa-IR"/>
          <w:color w:val="111111"/>
          <w:sz w:val="28"/>
          <w:szCs w:val="28"/>
          <w:rtl/>
        </w:rPr>
        <w:t xml:space="preserve">233 قم؛ گلپایگانی؛ شماره نسخه: 8865-59/85</w:t>
      </w:r>
    </w:p>
    <w:p>
      <w:pPr>
        <w:pStyle w:val="BookText"/>
      </w:pPr>
      <w:r>
        <w:rPr>
          <w:rFonts w:ascii="IRNazanin" w:hAnsi="IRNazanin" w:eastAsia="IRNazanin" w:cs="IRNazanin"/>
          <w:lang w:bidi="fa-IR"/>
          <w:color w:val="111111"/>
          <w:sz w:val="28"/>
          <w:szCs w:val="28"/>
          <w:rtl/>
        </w:rPr>
        <w:t xml:space="preserve">آغاز: كتاب الزكوة و النظر فى امور ثلاثة الأول فى زكوة المال فيه مقاصد از اول كتاب الزكوة تا «المقصد الثانى فى جناية الطرف»؛ خط: نستعلیق بی،کا تا قرن 11 مهر «العبد عبدالرضا الحسيني 1026 (بیضی) 213گ، 15 سطر ، اندازه: 13 </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سم [ف: 1 - 306]</w:t>
      </w:r>
    </w:p>
    <w:p>
      <w:pPr>
        <w:pStyle w:val="BookText"/>
      </w:pPr>
      <w:r>
        <w:rPr>
          <w:rFonts w:ascii="IRNazanin" w:hAnsi="IRNazanin" w:eastAsia="IRNazanin" w:cs="IRNazanin"/>
          <w:lang w:bidi="fa-IR"/>
          <w:color w:val="111111"/>
          <w:sz w:val="28"/>
          <w:szCs w:val="28"/>
          <w:rtl/>
        </w:rPr>
        <w:t xml:space="preserve">234.تهران؛ مجلس؛ شماره نسخه: 13560</w:t>
      </w:r>
    </w:p>
    <w:p>
      <w:pPr>
        <w:pStyle w:val="BookText"/>
      </w:pPr>
      <w:r>
        <w:rPr>
          <w:rFonts w:ascii="IRNazanin" w:hAnsi="IRNazanin" w:eastAsia="IRNazanin" w:cs="IRNazanin"/>
          <w:lang w:bidi="fa-IR"/>
          <w:color w:val="111111"/>
          <w:sz w:val="28"/>
          <w:szCs w:val="28"/>
          <w:rtl/>
        </w:rPr>
        <w:t xml:space="preserve">آغاز: بسلمه لقد اجزت للاخ الاعز الصالح الفالح الناجح المسمی عن التعريف و التوصيف.</w:t>
      </w:r>
    </w:p>
    <w:p>
      <w:pPr>
        <w:pStyle w:val="BookText"/>
      </w:pPr>
      <w:r>
        <w:rPr>
          <w:rFonts w:ascii="IRNazanin" w:hAnsi="IRNazanin" w:eastAsia="IRNazanin" w:cs="IRNazanin"/>
          <w:lang w:bidi="fa-IR"/>
          <w:color w:val="111111"/>
          <w:sz w:val="28"/>
          <w:szCs w:val="28"/>
          <w:rtl/>
        </w:rPr>
        <w:t xml:space="preserve">خط: نسخ کا: محد بن حسن سركاني الاصل تا 9 جمادى الا : 1002ق؛ محشی در برگ (215پ) اجازه نامه ای که شیخ لطف الله بن عبدالكريم بن شيخ ابراهيم بن شیخ نورالدین علی بن شیخ عبد العالی بن شيخ احد بن شیخ مفلح العاملی میسی در سوم شوال- 1030 به شخصی صادر کرده و این اجازه به خط مجیز در نصف صفحه نوشته شده؛ جلد: تیماج ،مشکی، 217گ، 15 سطر ، اندازه: 45/15</w:t>
      </w:r>
      <w:r>
        <w:rPr>
          <w:rFonts w:ascii="Times New Roman" w:hAnsi="Times New Roman" w:eastAsia="Times New Roman" w:cs="Times New Roman"/>
          <w:lang w:val="en-US" w:bidi="en-US"/>
          <w:color w:val="111111"/>
          <w:sz w:val="28"/>
          <w:szCs w:val="28"/>
          <w:rtl/>
        </w:rPr>
        <w:t xml:space="preserve">×20/5</w:t>
      </w:r>
      <w:r>
        <w:rPr>
          <w:rFonts w:ascii="IRNazanin" w:hAnsi="IRNazanin" w:eastAsia="IRNazanin" w:cs="IRNazanin"/>
          <w:lang w:bidi="fa-IR"/>
          <w:color w:val="111111"/>
          <w:sz w:val="28"/>
          <w:szCs w:val="28"/>
          <w:rtl/>
        </w:rPr>
        <w:t xml:space="preserve">سم [ ف : 37 - 53]</w:t>
      </w:r>
    </w:p>
    <w:p>
      <w:pPr>
        <w:pStyle w:val="BookText"/>
      </w:pPr>
      <w:r>
        <w:rPr>
          <w:rFonts w:ascii="IRNazanin" w:hAnsi="IRNazanin" w:eastAsia="IRNazanin" w:cs="IRNazanin"/>
          <w:lang w:bidi="fa-IR"/>
          <w:color w:val="111111"/>
          <w:sz w:val="28"/>
          <w:szCs w:val="28"/>
          <w:rtl/>
        </w:rPr>
        <w:t xml:space="preserve">235 . قم؛ فیضیه؛ شماره نسخه: 1340</w:t>
      </w:r>
    </w:p>
    <w:p>
      <w:pPr>
        <w:pStyle w:val="BookText"/>
      </w:pPr>
      <w:r>
        <w:rPr>
          <w:rFonts w:ascii="IRNazanin" w:hAnsi="IRNazanin" w:eastAsia="IRNazanin" w:cs="IRNazanin"/>
          <w:lang w:bidi="fa-IR"/>
          <w:color w:val="111111"/>
          <w:sz w:val="28"/>
          <w:szCs w:val="28"/>
          <w:rtl/>
        </w:rPr>
        <w:t xml:space="preserve">خط: نستعلیق کا محمد بن حمزه ،حسینی، تا 1004ق؛ 185گ 14 سطر ، اندازه: 15</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1 - 8]</w:t>
      </w:r>
    </w:p>
    <w:p>
      <w:pPr>
        <w:pStyle w:val="BookText"/>
      </w:pPr>
      <w:r>
        <w:rPr>
          <w:rFonts w:ascii="Times New Roman" w:hAnsi="Times New Roman" w:eastAsia="Times New Roman" w:cs="Times New Roman"/>
          <w:lang w:val="en-US" w:bidi="en-US"/>
          <w:color w:val="111111"/>
          <w:sz w:val="28"/>
          <w:szCs w:val="28"/>
          <w:rtl/>
        </w:rPr>
        <w:t xml:space="preserve">236.</w:t>
      </w:r>
    </w:p>
    <w:p>
      <w:pPr>
        <w:pStyle w:val="BookText"/>
      </w:pPr>
      <w:r>
        <w:rPr>
          <w:rFonts w:ascii="IRNazanin" w:hAnsi="IRNazanin" w:eastAsia="IRNazanin" w:cs="IRNazanin"/>
          <w:lang w:bidi="fa-IR"/>
          <w:color w:val="111111"/>
          <w:sz w:val="28"/>
          <w:szCs w:val="28"/>
          <w:rtl/>
        </w:rPr>
        <w:t xml:space="preserve">مشهد؛ رضوی؛ شماره نسخه: 2214</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یک شنبه 1 ذیحجه 1004ق؛ محشی؛ :واقف سید محمد ،زمان 1024ق؛ کاغذ: نخودی آهار مهره، جلد: تیماج ،مشکی، 205گ، 13 و 14 سطر ، اندازه: 16</w:t>
      </w:r>
      <w:r>
        <w:rPr>
          <w:rFonts w:ascii="Times New Roman" w:hAnsi="Times New Roman" w:eastAsia="Times New Roman" w:cs="Times New Roman"/>
          <w:lang w:val="en-US" w:bidi="en-US"/>
          <w:color w:val="111111"/>
          <w:sz w:val="28"/>
          <w:szCs w:val="28"/>
          <w:rtl/>
        </w:rPr>
        <w:t xml:space="preserve">×24</w:t>
      </w:r>
      <w:r>
        <w:rPr>
          <w:rFonts w:ascii="IRNazanin" w:hAnsi="IRNazanin" w:eastAsia="IRNazanin" w:cs="IRNazanin"/>
          <w:lang w:bidi="fa-IR"/>
          <w:color w:val="111111"/>
          <w:sz w:val="28"/>
          <w:szCs w:val="28"/>
          <w:rtl/>
        </w:rPr>
        <w:t xml:space="preserve">سم [ف: 1/ 21- 77]</w:t>
      </w:r>
    </w:p>
    <w:p>
      <w:pPr>
        <w:pStyle w:val="BookText"/>
      </w:pPr>
      <w:r>
        <w:rPr>
          <w:rFonts w:ascii="Times New Roman" w:hAnsi="Times New Roman" w:eastAsia="Times New Roman" w:cs="Times New Roman"/>
          <w:lang w:val="en-US" w:bidi="en-US"/>
          <w:color w:val="111111"/>
          <w:sz w:val="28"/>
          <w:szCs w:val="28"/>
          <w:rtl/>
        </w:rPr>
        <w:t xml:space="preserve">237.</w:t>
      </w:r>
    </w:p>
    <w:p>
      <w:pPr>
        <w:pStyle w:val="BookText"/>
      </w:pPr>
      <w:r>
        <w:rPr>
          <w:rFonts w:ascii="IRNazanin" w:hAnsi="IRNazanin" w:eastAsia="IRNazanin" w:cs="IRNazanin"/>
          <w:lang w:bidi="fa-IR"/>
          <w:color w:val="111111"/>
          <w:sz w:val="28"/>
          <w:szCs w:val="28"/>
          <w:rtl/>
        </w:rPr>
        <w:t xml:space="preserve">تهران؛ دانشگاه؛ شماره نسخه: 1983</w:t>
      </w:r>
    </w:p>
    <w:p>
      <w:pPr>
        <w:pStyle w:val="BookText"/>
      </w:pPr>
      <w:r>
        <w:rPr>
          <w:rFonts w:ascii="IRNazanin" w:hAnsi="IRNazanin" w:eastAsia="IRNazanin" w:cs="IRNazanin"/>
          <w:lang w:bidi="fa-IR"/>
          <w:color w:val="111111"/>
          <w:sz w:val="28"/>
          <w:szCs w:val="28"/>
          <w:rtl/>
        </w:rPr>
        <w:t xml:space="preserve">خط: نسخ و نستعلیق کا: محمد بن فتح الله بسطامی، تا: 23 شعبان 1005ق، جا ،قزوین مدرسه رزم ساریه ،محشی برخی از حاشیه ها به خط شیخ بهائی است و او از خود در صفحه عنوان چنین یاد می:کند «العبد بهاء الدین محمد العاملی» دارای نشان بلاغ قرائت؛ تملک سردار کابلی در 1323 ؛کاغذ: سپاهانی، جلد: مقوا عطف میشن، 191گ 17 سطر (12</w:t>
      </w:r>
      <w:r>
        <w:rPr>
          <w:rFonts w:ascii="Times New Roman" w:hAnsi="Times New Roman" w:eastAsia="Times New Roman" w:cs="Times New Roman"/>
          <w:lang w:val="en-US" w:bidi="en-US"/>
          <w:color w:val="111111"/>
          <w:sz w:val="28"/>
          <w:szCs w:val="28"/>
          <w:rtl/>
        </w:rPr>
        <w:t xml:space="preserve">×7) </w:t>
      </w:r>
      <w:r>
        <w:rPr>
          <w:rFonts w:ascii="IRNazanin" w:hAnsi="IRNazanin" w:eastAsia="IRNazanin" w:cs="IRNazanin"/>
          <w:lang w:bidi="fa-IR"/>
          <w:color w:val="111111"/>
          <w:sz w:val="28"/>
          <w:szCs w:val="28"/>
          <w:rtl/>
        </w:rPr>
        <w:t xml:space="preserve">اندازه 13</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سم [ف: 8 - 592]</w:t>
      </w:r>
    </w:p>
    <w:p>
      <w:pPr>
        <w:pStyle w:val="BookText"/>
      </w:pPr>
      <w:r>
        <w:rPr>
          <w:rFonts w:ascii="Times New Roman" w:hAnsi="Times New Roman" w:eastAsia="Times New Roman" w:cs="Times New Roman"/>
          <w:lang w:val="en-US" w:bidi="en-US"/>
          <w:color w:val="111111"/>
          <w:sz w:val="28"/>
          <w:szCs w:val="28"/>
          <w:rtl/>
        </w:rPr>
        <w:t xml:space="preserve">238.</w:t>
      </w:r>
    </w:p>
    <w:p>
      <w:pPr>
        <w:pStyle w:val="BookText"/>
      </w:pPr>
      <w:r>
        <w:rPr>
          <w:rFonts w:ascii="Amiri" w:hAnsi="Amiri" w:eastAsia="Amiri" w:cs="Amiri"/>
          <w:lang w:bidi="ar-SA"/>
          <w:color w:val="111111"/>
          <w:sz w:val="28"/>
          <w:szCs w:val="28"/>
          <w:rtl/>
        </w:rPr>
        <w:t xml:space="preserve">تهران؛ دائرة المعارف؛ شماره نسخه: 922</w:t>
      </w:r>
    </w:p>
    <w:p>
      <w:pPr>
        <w:pStyle w:val="BookText"/>
      </w:pPr>
      <w:r>
        <w:rPr>
          <w:rFonts w:ascii="IRNazanin" w:hAnsi="IRNazanin" w:eastAsia="IRNazanin" w:cs="IRNazanin"/>
          <w:lang w:bidi="fa-IR"/>
          <w:color w:val="111111"/>
          <w:sz w:val="28"/>
          <w:szCs w:val="28"/>
          <w:rtl/>
        </w:rPr>
        <w:t xml:space="preserve">خط: نسخ خوش، کا: محمد بن حاجی بن محمد شیخ شکوری، تا یک شنبه 8 شعبان 1012ق؛ محشی تملک: محمد سعید بن شیخ ظهیر خوش نویس رودسری و نشان مهر هشت گوش او، رضاقلی بن حسن المشتهر به [...] تهرانی 1349 ق درویش اسماعيل ،حاذقیه محمد بن احمد حسینی طالقانی و نشان مهر هشت گوش او کاغذ ترمه نازک ،نخودی جلد تیماج عنابی ضربی، 237گ ابعاد متن: 11 </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 اندازه 12/5</w:t>
      </w:r>
      <w:r>
        <w:rPr>
          <w:rFonts w:ascii="Times New Roman" w:hAnsi="Times New Roman" w:eastAsia="Times New Roman" w:cs="Times New Roman"/>
          <w:lang w:val="en-US" w:bidi="en-US"/>
          <w:color w:val="111111"/>
          <w:sz w:val="28"/>
          <w:szCs w:val="28"/>
          <w:rtl/>
        </w:rPr>
        <w:t xml:space="preserve">×19/5 [</w:t>
      </w:r>
      <w:r>
        <w:rPr>
          <w:rFonts w:ascii="IRNazanin" w:hAnsi="IRNazanin" w:eastAsia="IRNazanin" w:cs="IRNazanin"/>
          <w:lang w:bidi="fa-IR"/>
          <w:color w:val="111111"/>
          <w:sz w:val="28"/>
          <w:szCs w:val="28"/>
          <w:rtl/>
        </w:rPr>
        <w:t xml:space="preserve">ف: 2 - 14]</w:t>
      </w:r>
    </w:p>
    <w:p>
      <w:pPr>
        <w:pStyle w:val="BookText"/>
      </w:pPr>
      <w:r>
        <w:rPr>
          <w:rFonts w:ascii="IRNazanin" w:hAnsi="IRNazanin" w:eastAsia="IRNazanin" w:cs="IRNazanin"/>
          <w:lang w:bidi="fa-IR"/>
          <w:color w:val="111111"/>
          <w:sz w:val="28"/>
          <w:szCs w:val="28"/>
          <w:rtl/>
        </w:rPr>
        <w:t xml:space="preserve">239 .کرمانشاه؛ جلیلی؛ شماره نسخه: 162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،خوب بی کا تا 1013ق؛ دارای حواشی با نشان«فخر الدين، زين، ع ، ل ، . ..»؛ تملک محمد حسین بن عبدالغنی در 1123؛ واقف: محمد بن ایوب جزائری 1198؛ کاغذ: حنایی آهار مهره نازک جلد: تیماج ،خرمایی 210گ، 15 سطر ، اندازه: 16/5</w:t>
      </w:r>
      <w:r>
        <w:rPr>
          <w:rFonts w:ascii="Times New Roman" w:hAnsi="Times New Roman" w:eastAsia="Times New Roman" w:cs="Times New Roman"/>
          <w:lang w:val="en-US" w:bidi="en-US"/>
          <w:color w:val="111111"/>
          <w:sz w:val="28"/>
          <w:szCs w:val="28"/>
          <w:rtl/>
        </w:rPr>
        <w:t xml:space="preserve">×25/5</w:t>
      </w:r>
      <w:r>
        <w:rPr>
          <w:rFonts w:ascii="IRNazanin" w:hAnsi="IRNazanin" w:eastAsia="IRNazanin" w:cs="IRNazanin"/>
          <w:lang w:bidi="fa-IR"/>
          <w:color w:val="111111"/>
          <w:sz w:val="28"/>
          <w:szCs w:val="28"/>
          <w:rtl/>
        </w:rPr>
        <w:t xml:space="preserve">سم [ف: 22]</w:t>
      </w:r>
    </w:p>
    <w:p>
      <w:pPr>
        <w:pStyle w:val="BookText"/>
      </w:pPr>
      <w:r>
        <w:rPr>
          <w:rFonts w:ascii="IRNazanin" w:hAnsi="IRNazanin" w:eastAsia="IRNazanin" w:cs="IRNazanin"/>
          <w:lang w:bidi="fa-IR"/>
          <w:color w:val="111111"/>
          <w:sz w:val="28"/>
          <w:szCs w:val="28"/>
          <w:rtl/>
        </w:rPr>
        <w:t xml:space="preserve">240 . تهران؛ مجلس؛ شماره نسخه: 5864</w:t>
      </w:r>
    </w:p>
    <w:p>
      <w:pPr>
        <w:pStyle w:val="BookText"/>
      </w:pPr>
      <w:r>
        <w:rPr>
          <w:rFonts w:ascii="IRNazanin" w:hAnsi="IRNazanin" w:eastAsia="IRNazanin" w:cs="IRNazanin"/>
          <w:lang w:bidi="fa-IR"/>
          <w:color w:val="111111"/>
          <w:sz w:val="28"/>
          <w:szCs w:val="28"/>
          <w:rtl/>
        </w:rPr>
        <w:t xml:space="preserve">کا: محمد زمان بن ناصر الدین تا: 1015ق؛ محمد زمان بن نظام در ذیل نسخه نوشته که این کتاب را در نزد مولی عبدالله شوشتری خوانده است؛ تملک مرتضی بن محمود حسینی مورخ 1167، محمد بن احمد حسینی مورخ 1142؛ کاغذ: اصفهانی نازک جلد :تیماج زرد با عطف ،مشکی، 536ص، 12 سطر ، قطع: ،خشتی اندازه: 13</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سم [ف: 17 - 268]</w:t>
      </w:r>
    </w:p>
    <w:p>
      <w:pPr>
        <w:pStyle w:val="BookText"/>
      </w:pPr>
      <w:r>
        <w:rPr>
          <w:rFonts w:ascii="IRNazanin" w:hAnsi="IRNazanin" w:eastAsia="IRNazanin" w:cs="IRNazanin"/>
          <w:lang w:bidi="fa-IR"/>
          <w:color w:val="111111"/>
          <w:sz w:val="28"/>
          <w:szCs w:val="28"/>
          <w:rtl/>
        </w:rPr>
        <w:t xml:space="preserve">241 . کرمانشاه؛ نجومی؛ شماره نسخه:بدون شماره</w:t>
      </w:r>
    </w:p>
    <w:p>
      <w:pPr>
        <w:pStyle w:val="BookText"/>
      </w:pPr>
      <w:r>
        <w:rPr>
          <w:rFonts w:ascii="IRNazanin" w:hAnsi="IRNazanin" w:eastAsia="IRNazanin" w:cs="IRNazanin"/>
          <w:lang w:bidi="fa-IR"/>
          <w:color w:val="111111"/>
          <w:sz w:val="28"/>
          <w:szCs w:val="28"/>
          <w:rtl/>
        </w:rPr>
        <w:t xml:space="preserve">كا: على بن قرمراد بن نصر الله بن ابراهيم ادهمی ،تا: سه شنبه 10 جمادى الاول 1015ق [دليل المخطوطات: 1 -216]</w:t>
      </w:r>
    </w:p>
    <w:p>
      <w:pPr>
        <w:pStyle w:val="BookText"/>
      </w:pPr>
      <w:r>
        <w:rPr>
          <w:rFonts w:ascii="Times New Roman" w:hAnsi="Times New Roman" w:eastAsia="Times New Roman" w:cs="Times New Roman"/>
          <w:lang w:val="en-US" w:bidi="en-US"/>
          <w:color w:val="111111"/>
          <w:sz w:val="28"/>
          <w:szCs w:val="28"/>
          <w:rtl/>
        </w:rPr>
        <w:t xml:space="preserve">242.</w:t>
      </w:r>
    </w:p>
    <w:p>
      <w:pPr>
        <w:pStyle w:val="BookText"/>
      </w:pPr>
      <w:r>
        <w:rPr>
          <w:rFonts w:ascii="IRNazanin" w:hAnsi="IRNazanin" w:eastAsia="IRNazanin" w:cs="IRNazanin"/>
          <w:lang w:bidi="fa-IR"/>
          <w:color w:val="111111"/>
          <w:sz w:val="28"/>
          <w:szCs w:val="28"/>
          <w:rtl/>
        </w:rPr>
        <w:t xml:space="preserve">تهران؛ شهشهانی حسین؛ شماره نسخه: بدون شماره</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 میرزا حسین بن خواجه قاسم نوروز لمراسکی، تا: 1016ق، فرح آباد [میراث اسلامی 5 - 596]</w:t>
      </w:r>
    </w:p>
    <w:p>
      <w:pPr>
        <w:pStyle w:val="BookText"/>
      </w:pPr>
      <w:r>
        <w:rPr>
          <w:rFonts w:ascii="Times New Roman" w:hAnsi="Times New Roman" w:eastAsia="Times New Roman" w:cs="Times New Roman"/>
          <w:lang w:val="en-US" w:bidi="en-US"/>
          <w:color w:val="111111"/>
          <w:sz w:val="28"/>
          <w:szCs w:val="28"/>
          <w:rtl/>
        </w:rPr>
        <w:t xml:space="preserve">243.</w:t>
      </w:r>
    </w:p>
    <w:p>
      <w:pPr>
        <w:pStyle w:val="BookText"/>
      </w:pPr>
      <w:r>
        <w:rPr>
          <w:rFonts w:ascii="IRNazanin" w:hAnsi="IRNazanin" w:eastAsia="IRNazanin" w:cs="IRNazanin"/>
          <w:lang w:bidi="fa-IR"/>
          <w:color w:val="111111"/>
          <w:sz w:val="28"/>
          <w:szCs w:val="28"/>
          <w:rtl/>
        </w:rPr>
        <w:t xml:space="preserve">تهران؛ مجلس؛ شماره نسخه: 318- طباطبائی</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محمد حسین بن ایوب طالقانی تا 1016ق دار ای  حواشی فقهای معروف چون زین الدین عاملی کاتب از فضلای قرن 11 است و این کتاب را نزد حاجی بابا قزوینی از شاگرد شیخ بهایی خوانده است در پایان،نسخه اجازه قزوینی به کا تب مورخ 1017 پشت برگ ،پایان تحقیقی درباره حقیقت وسواس انواع آن و برگ اضافی پایان نسخه احادیثی در فضیلت علم دارد پشت برگ ،آغاز تحقیقی درباره حدیث نبوی علیه السلام «رسائل العلماء و خالط الحكماء و جالس الكبراء»؛ تملك مورخ 1303؛کاغذ: اصفهانی آهار مهره جلد: تیماج حنایی 194گ، 15سطر، :قطع ،وزیری اندازه: 19</w:t>
      </w:r>
      <w:r>
        <w:rPr>
          <w:rFonts w:ascii="Times New Roman" w:hAnsi="Times New Roman" w:eastAsia="Times New Roman" w:cs="Times New Roman"/>
          <w:lang w:val="en-US" w:bidi="en-US"/>
          <w:color w:val="111111"/>
          <w:sz w:val="28"/>
          <w:szCs w:val="28"/>
          <w:rtl/>
        </w:rPr>
        <w:t xml:space="preserve">× 26 </w:t>
      </w:r>
      <w:r>
        <w:rPr>
          <w:rFonts w:ascii="IRNazanin" w:hAnsi="IRNazanin" w:eastAsia="IRNazanin" w:cs="IRNazanin"/>
          <w:lang w:bidi="fa-IR"/>
          <w:color w:val="111111"/>
          <w:sz w:val="28"/>
          <w:szCs w:val="28"/>
          <w:rtl/>
        </w:rPr>
        <w:t xml:space="preserve">سم [ف: 24 - 221]</w:t>
      </w:r>
    </w:p>
    <w:p>
      <w:pPr>
        <w:pStyle w:val="BookText"/>
      </w:pPr>
      <w:r>
        <w:rPr>
          <w:rFonts w:ascii="IRNazanin" w:hAnsi="IRNazanin" w:eastAsia="IRNazanin" w:cs="IRNazanin"/>
          <w:lang w:bidi="fa-IR"/>
          <w:color w:val="111111"/>
          <w:sz w:val="28"/>
          <w:szCs w:val="28"/>
          <w:rtl/>
        </w:rPr>
        <w:t xml:space="preserve">244 . قم؛ مرعشی؛ شماره نسخه: 8200</w:t>
      </w:r>
    </w:p>
    <w:p>
      <w:pPr>
        <w:pStyle w:val="BookText"/>
      </w:pPr>
      <w:r>
        <w:rPr>
          <w:rFonts w:ascii="IRNazanin" w:hAnsi="IRNazanin" w:eastAsia="IRNazanin" w:cs="IRNazanin"/>
          <w:lang w:bidi="fa-IR"/>
          <w:color w:val="111111"/>
          <w:sz w:val="28"/>
          <w:szCs w:val="28"/>
          <w:rtl/>
        </w:rPr>
        <w:t xml:space="preserve">خط: نسخ ،کا: محمد مکی بن حسن بن احمد بن على بن سنبغه ،عاملی تا :چهارشنبه 13 جمادى الأول 1016ق؛ مصحح، محشی،نشان بلاغ :جلد: تیماج قهوه ای، 183گ، 17 سطر ، 18</w:t>
      </w:r>
      <w:r>
        <w:rPr>
          <w:rFonts w:ascii="Times New Roman" w:hAnsi="Times New Roman" w:eastAsia="Times New Roman" w:cs="Times New Roman"/>
          <w:lang w:val="en-US" w:bidi="en-US"/>
          <w:color w:val="111111"/>
          <w:sz w:val="28"/>
          <w:szCs w:val="28"/>
          <w:rtl/>
        </w:rPr>
        <w:t xml:space="preserve">×25</w:t>
      </w:r>
      <w:r>
        <w:rPr>
          <w:rFonts w:ascii="IRNazanin" w:hAnsi="IRNazanin" w:eastAsia="IRNazanin" w:cs="IRNazanin"/>
          <w:lang w:bidi="fa-IR"/>
          <w:color w:val="111111"/>
          <w:sz w:val="28"/>
          <w:szCs w:val="28"/>
          <w:rtl/>
        </w:rPr>
        <w:t xml:space="preserve">سم [ف: 21 - 174]</w:t>
      </w:r>
    </w:p>
    <w:p>
      <w:pPr>
        <w:pStyle w:val="BookText"/>
      </w:pPr>
      <w:r>
        <w:rPr>
          <w:rFonts w:ascii="Times New Roman" w:hAnsi="Times New Roman" w:eastAsia="Times New Roman" w:cs="Times New Roman"/>
          <w:lang w:val="en-US" w:bidi="en-US"/>
          <w:color w:val="111111"/>
          <w:sz w:val="28"/>
          <w:szCs w:val="28"/>
          <w:rtl/>
        </w:rPr>
        <w:t xml:space="preserve">245.</w:t>
      </w:r>
    </w:p>
    <w:p>
      <w:pPr>
        <w:pStyle w:val="BookText"/>
      </w:pPr>
      <w:r>
        <w:rPr>
          <w:rFonts w:ascii="IRNazanin" w:hAnsi="IRNazanin" w:eastAsia="IRNazanin" w:cs="IRNazanin"/>
          <w:lang w:bidi="fa-IR"/>
          <w:color w:val="111111"/>
          <w:sz w:val="28"/>
          <w:szCs w:val="28"/>
          <w:rtl/>
        </w:rPr>
        <w:t xml:space="preserve">مشهد؛ رضوی؛ شماره نسخه: 2219</w:t>
      </w:r>
    </w:p>
    <w:p>
      <w:pPr>
        <w:pStyle w:val="BookText"/>
      </w:pPr>
      <w:r>
        <w:rPr>
          <w:rFonts w:ascii="Amiri" w:hAnsi="Amiri" w:eastAsia="Amiri" w:cs="Amiri"/>
          <w:lang w:bidi="ar-SA"/>
          <w:color w:val="111111"/>
          <w:sz w:val="28"/>
          <w:szCs w:val="28"/>
          <w:rtl/>
        </w:rPr>
        <w:t xml:space="preserve">آغاز :المتضرر به ولا الحايض و لا النفساء؛ انجام: برابر</w:t>
      </w:r>
    </w:p>
    <w:p>
      <w:pPr>
        <w:pStyle w:val="BookText"/>
      </w:pPr>
      <w:r>
        <w:rPr>
          <w:rFonts w:ascii="IRNazanin" w:hAnsi="IRNazanin" w:eastAsia="IRNazanin" w:cs="IRNazanin"/>
          <w:lang w:bidi="fa-IR"/>
          <w:color w:val="111111"/>
          <w:sz w:val="28"/>
          <w:szCs w:val="28"/>
          <w:rtl/>
        </w:rPr>
        <w:t xml:space="preserve">خط: نسخ، كا :محمد بن حسین بن محمد، تا: چهارشنبه آ ذيحجه 1016ق؛ افتادگی: آغاز مصحح، محشی، مقابله شده- دارای بلاغ کاغذ نخودی آهار مهره جلد تیماج مشکی 161 گ 17 سطر ، اندازه: 19</w:t>
      </w:r>
      <w:r>
        <w:rPr>
          <w:rFonts w:ascii="Times New Roman" w:hAnsi="Times New Roman" w:eastAsia="Times New Roman" w:cs="Times New Roman"/>
          <w:lang w:val="en-US" w:bidi="en-US"/>
          <w:color w:val="111111"/>
          <w:sz w:val="28"/>
          <w:szCs w:val="28"/>
          <w:rtl/>
        </w:rPr>
        <w:t xml:space="preserve">×25 </w:t>
      </w:r>
      <w:r>
        <w:rPr>
          <w:rFonts w:ascii="IRNazanin" w:hAnsi="IRNazanin" w:eastAsia="IRNazanin" w:cs="IRNazanin"/>
          <w:lang w:bidi="fa-IR"/>
          <w:color w:val="111111"/>
          <w:sz w:val="28"/>
          <w:szCs w:val="28"/>
          <w:rtl/>
        </w:rPr>
        <w:t xml:space="preserve">سم [ف: 21/1 - 87]</w:t>
      </w:r>
    </w:p>
    <w:p>
      <w:pPr>
        <w:pStyle w:val="BookText"/>
      </w:pPr>
      <w:r>
        <w:rPr>
          <w:rFonts w:ascii="Times New Roman" w:hAnsi="Times New Roman" w:eastAsia="Times New Roman" w:cs="Times New Roman"/>
          <w:lang w:val="en-US" w:bidi="en-US"/>
          <w:color w:val="111111"/>
          <w:sz w:val="28"/>
          <w:szCs w:val="28"/>
          <w:rtl/>
        </w:rPr>
        <w:t xml:space="preserve">246.</w:t>
      </w:r>
    </w:p>
    <w:p>
      <w:pPr>
        <w:pStyle w:val="BookText"/>
      </w:pPr>
      <w:r>
        <w:rPr>
          <w:rFonts w:ascii="IRNazanin" w:hAnsi="IRNazanin" w:eastAsia="IRNazanin" w:cs="IRNazanin"/>
          <w:lang w:bidi="fa-IR"/>
          <w:color w:val="111111"/>
          <w:sz w:val="28"/>
          <w:szCs w:val="28"/>
          <w:rtl/>
        </w:rPr>
        <w:t xml:space="preserve">قم؛ مسجد اعظم؛ شماره نسخه: 355</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نستعليق كا: عباس بن محمد حسین هزار جریبی تا ر الثانى 1016ق؛ اهداء سيد مهدی لاجوردی حسینی یادداشت برگ دوم این کتاب مال میرزا محمد حاجى الحرم الشريفين كهف الحاج والمعتمرين حاجی محمد رضای فراش باشی حضرت امام رضا علیه السلام جلد: تیماج قهوه ای ترنج سر، مجدول ،گرهی 199گ 17 سطر ، اندازه: 21</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سم [مخ: 1 - 129]</w:t>
      </w:r>
    </w:p>
    <w:p>
      <w:pPr>
        <w:pStyle w:val="BookText"/>
      </w:pPr>
      <w:r>
        <w:rPr>
          <w:rFonts w:ascii="Times New Roman" w:hAnsi="Times New Roman" w:eastAsia="Times New Roman" w:cs="Times New Roman"/>
          <w:lang w:val="en-US" w:bidi="en-US"/>
          <w:color w:val="111111"/>
          <w:sz w:val="28"/>
          <w:szCs w:val="28"/>
          <w:rtl/>
        </w:rPr>
        <w:t xml:space="preserve">247.</w:t>
      </w:r>
    </w:p>
    <w:p>
      <w:pPr>
        <w:pStyle w:val="BookText"/>
      </w:pPr>
      <w:r>
        <w:rPr>
          <w:rFonts w:ascii="IRNazanin" w:hAnsi="IRNazanin" w:eastAsia="IRNazanin" w:cs="IRNazanin"/>
          <w:lang w:bidi="fa-IR"/>
          <w:color w:val="111111"/>
          <w:sz w:val="28"/>
          <w:szCs w:val="28"/>
          <w:rtl/>
        </w:rPr>
        <w:t xml:space="preserve">قم؛ گلپایگانی؛ شماره نسخه: 4310/1-22/30</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یکشنبه 17 ربیع الثانی 1018ق؛ جلد تیماج عطف و حاشیه تیماج مشکی سوخت با ترنج، 167گ، 20 سه-:اندازه: 16</w:t>
      </w:r>
      <w:r>
        <w:rPr>
          <w:rFonts w:ascii="Times New Roman" w:hAnsi="Times New Roman" w:eastAsia="Times New Roman" w:cs="Times New Roman"/>
          <w:lang w:val="en-US" w:bidi="en-US"/>
          <w:color w:val="111111"/>
          <w:sz w:val="28"/>
          <w:szCs w:val="28"/>
          <w:rtl/>
        </w:rPr>
        <w:t xml:space="preserve">×24</w:t>
      </w:r>
      <w:r>
        <w:rPr>
          <w:rFonts w:ascii="IRNazanin" w:hAnsi="IRNazanin" w:eastAsia="IRNazanin" w:cs="IRNazanin"/>
          <w:lang w:bidi="fa-IR"/>
          <w:color w:val="111111"/>
          <w:sz w:val="28"/>
          <w:szCs w:val="28"/>
          <w:rtl/>
        </w:rPr>
        <w:t xml:space="preserve">سم [ف: 1 - 302]</w:t>
      </w:r>
    </w:p>
    <w:p>
      <w:pPr>
        <w:pStyle w:val="BookText"/>
      </w:pPr>
      <w:r>
        <w:rPr>
          <w:rFonts w:ascii="Times New Roman" w:hAnsi="Times New Roman" w:eastAsia="Times New Roman" w:cs="Times New Roman"/>
          <w:lang w:val="en-US" w:bidi="en-US"/>
          <w:color w:val="111111"/>
          <w:sz w:val="28"/>
          <w:szCs w:val="28"/>
          <w:rtl/>
        </w:rPr>
        <w:t xml:space="preserve">248.</w:t>
      </w:r>
    </w:p>
    <w:p>
      <w:pPr>
        <w:pStyle w:val="BookText"/>
      </w:pPr>
      <w:r>
        <w:rPr>
          <w:rFonts w:ascii="IRNazanin" w:hAnsi="IRNazanin" w:eastAsia="IRNazanin" w:cs="IRNazanin"/>
          <w:lang w:bidi="fa-IR"/>
          <w:color w:val="111111"/>
          <w:sz w:val="28"/>
          <w:szCs w:val="28"/>
          <w:rtl/>
        </w:rPr>
        <w:t xml:space="preserve">تهران؛ ملی؛ شماره نسخه: 19672</w:t>
      </w:r>
    </w:p>
    <w:p>
      <w:pPr>
        <w:pStyle w:val="BookText"/>
      </w:pPr>
      <w:r>
        <w:rPr>
          <w:rFonts w:ascii="IRNazanin" w:hAnsi="IRNazanin" w:eastAsia="IRNazanin" w:cs="IRNazanin"/>
          <w:lang w:bidi="fa-IR"/>
          <w:color w:val="111111"/>
          <w:sz w:val="28"/>
          <w:szCs w:val="28"/>
          <w:rtl/>
        </w:rPr>
        <w:t xml:space="preserve">بی کا: تا 1018ق؛ خریداری از محمد حسین علوی [رایانه]</w:t>
      </w:r>
    </w:p>
    <w:p>
      <w:pPr>
        <w:pStyle w:val="BookText"/>
      </w:pPr>
      <w:r>
        <w:rPr>
          <w:rFonts w:ascii="IRNazanin" w:hAnsi="IRNazanin" w:eastAsia="IRNazanin" w:cs="IRNazanin"/>
          <w:lang w:bidi="fa-IR"/>
          <w:color w:val="111111"/>
          <w:sz w:val="28"/>
          <w:szCs w:val="28"/>
          <w:rtl/>
        </w:rPr>
        <w:t xml:space="preserve">249 تهران؛ دانشگاه؛ شماره نسخه:9503</w:t>
      </w:r>
    </w:p>
    <w:p>
      <w:pPr>
        <w:pStyle w:val="BookText"/>
      </w:pPr>
      <w:r>
        <w:rPr>
          <w:rFonts w:ascii="IRNazanin" w:hAnsi="IRNazanin" w:eastAsia="IRNazanin" w:cs="IRNazanin"/>
          <w:lang w:bidi="fa-IR"/>
          <w:color w:val="111111"/>
          <w:sz w:val="28"/>
          <w:szCs w:val="28"/>
          <w:rtl/>
        </w:rPr>
        <w:t xml:space="preserve">خط: نسخ، کا: اسماعیل بن احمد، تا سه شنبه 3 محرم 1019 ق؛محشی با نشان «منه ح ل»؛ کاغذ: سپاهانی، جلد: تیماج مشکی ،مقوایی 351گ، 12 سطر ((5</w:t>
      </w:r>
      <w:r>
        <w:rPr>
          <w:rFonts w:ascii="Times New Roman" w:hAnsi="Times New Roman" w:eastAsia="Times New Roman" w:cs="Times New Roman"/>
          <w:lang w:val="en-US" w:bidi="en-US"/>
          <w:color w:val="111111"/>
          <w:sz w:val="28"/>
          <w:szCs w:val="28"/>
          <w:rtl/>
        </w:rPr>
        <w:t xml:space="preserve">×11/5) </w:t>
      </w:r>
      <w:r>
        <w:rPr>
          <w:rFonts w:ascii="IRNazanin" w:hAnsi="IRNazanin" w:eastAsia="IRNazanin" w:cs="IRNazanin"/>
          <w:lang w:bidi="fa-IR"/>
          <w:color w:val="111111"/>
          <w:sz w:val="28"/>
          <w:szCs w:val="28"/>
          <w:rtl/>
        </w:rPr>
        <w:t xml:space="preserve">قطع: ربعی اندازه : 12</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سم [ف : 17 - 385ا]</w:t>
      </w:r>
    </w:p>
    <w:p>
      <w:pPr>
        <w:pStyle w:val="BookText"/>
      </w:pPr>
      <w:r>
        <w:rPr>
          <w:rFonts w:ascii="IRNazanin" w:hAnsi="IRNazanin" w:eastAsia="IRNazanin" w:cs="IRNazanin"/>
          <w:lang w:bidi="fa-IR"/>
          <w:color w:val="111111"/>
          <w:sz w:val="28"/>
          <w:szCs w:val="28"/>
          <w:rtl/>
        </w:rPr>
        <w:t xml:space="preserve">250 . رشت؛ جمعیت نشر فرهنگ؛ شماره نسخه: 42الف</w:t>
      </w:r>
    </w:p>
    <w:p>
      <w:pPr>
        <w:pStyle w:val="BookText"/>
      </w:pPr>
      <w:r>
        <w:rPr>
          <w:rFonts w:ascii="IRNazanin" w:hAnsi="IRNazanin" w:eastAsia="IRNazanin" w:cs="IRNazanin"/>
          <w:lang w:bidi="fa-IR"/>
          <w:color w:val="111111"/>
          <w:sz w:val="28"/>
          <w:szCs w:val="28"/>
          <w:rtl/>
        </w:rPr>
        <w:t xml:space="preserve">خط: نسخ ،خوش کا: ابن عبد الله، تا: یک شنبه 20 ربيع الثانی، 1019ق؛ محشی؛ جلد ،چرمی قطع: وزیری اندازه 20</w:t>
      </w:r>
      <w:r>
        <w:rPr>
          <w:rFonts w:ascii="Times New Roman" w:hAnsi="Times New Roman" w:eastAsia="Times New Roman" w:cs="Times New Roman"/>
          <w:lang w:val="en-US" w:bidi="en-US"/>
          <w:color w:val="111111"/>
          <w:sz w:val="28"/>
          <w:szCs w:val="28"/>
          <w:rtl/>
        </w:rPr>
        <w:t xml:space="preserve">×29</w:t>
      </w:r>
      <w:r>
        <w:rPr>
          <w:rFonts w:ascii="IRNazanin" w:hAnsi="IRNazanin" w:eastAsia="IRNazanin" w:cs="IRNazanin"/>
          <w:lang w:bidi="fa-IR"/>
          <w:color w:val="111111"/>
          <w:sz w:val="28"/>
          <w:szCs w:val="28"/>
          <w:rtl/>
        </w:rPr>
        <w:t xml:space="preserve">سم [ ف: 1088]</w:t>
      </w:r>
    </w:p>
    <w:p>
      <w:pPr>
        <w:pStyle w:val="BookText"/>
      </w:pPr>
      <w:r>
        <w:rPr>
          <w:rFonts w:ascii="IRNazanin" w:hAnsi="IRNazanin" w:eastAsia="IRNazanin" w:cs="IRNazanin"/>
          <w:lang w:bidi="fa-IR"/>
          <w:color w:val="111111"/>
          <w:sz w:val="28"/>
          <w:szCs w:val="28"/>
          <w:rtl/>
        </w:rPr>
        <w:t xml:space="preserve">251 .مشهد؛ رضوی؛ شماره نسخه: 13652</w:t>
      </w:r>
    </w:p>
    <w:p>
      <w:pPr>
        <w:pStyle w:val="BookText"/>
      </w:pPr>
      <w:r>
        <w:rPr>
          <w:rFonts w:ascii="Amiri" w:hAnsi="Amiri" w:eastAsia="Amiri" w:cs="Amiri"/>
          <w:lang w:bidi="ar-SA"/>
          <w:color w:val="111111"/>
          <w:sz w:val="28"/>
          <w:szCs w:val="28"/>
          <w:rtl/>
        </w:rPr>
        <w:t xml:space="preserve">آغاز: على الاصناف و يجوز تخصيص واحد بها و ان غناه دفعة؛ :انجام :و كذا فى دعوى الغصب في السرقة اما</w:t>
      </w:r>
    </w:p>
    <w:p>
      <w:pPr>
        <w:pStyle w:val="BookText"/>
      </w:pPr>
      <w:r>
        <w:rPr>
          <w:rFonts w:ascii="IRNazanin" w:hAnsi="IRNazanin" w:eastAsia="IRNazanin" w:cs="IRNazanin"/>
          <w:lang w:bidi="fa-IR"/>
          <w:color w:val="111111"/>
          <w:sz w:val="28"/>
          <w:szCs w:val="28"/>
          <w:rtl/>
        </w:rPr>
        <w:t xml:space="preserve">خط: نسخ، کا: اسماعيل بن عبدالله بن حسن قاری بحرینی، تا: 13 الاول 1019ق؛ افتادگی: آغاز از ابتدای نسخه تا اواخر زکات؛ و انجام (10) (برگ)؛ مذیل است به «حاشیه قوانین الاصول» از محمد علی بن احمد حافظ انصاری که به خط مسوده خود او، مصحح، محشی ،با رموز مختلف؛ کاغذ: نخودی ،آهاری جلد: مقوا رویه پارچه 166گ، 22 سطر ، اندازه: 21/5</w:t>
      </w:r>
      <w:r>
        <w:rPr>
          <w:rFonts w:ascii="Times New Roman" w:hAnsi="Times New Roman" w:eastAsia="Times New Roman" w:cs="Times New Roman"/>
          <w:lang w:val="en-US" w:bidi="en-US"/>
          <w:color w:val="111111"/>
          <w:sz w:val="28"/>
          <w:szCs w:val="28"/>
          <w:rtl/>
        </w:rPr>
        <w:t xml:space="preserve">×30/5</w:t>
      </w:r>
      <w:r>
        <w:rPr>
          <w:rFonts w:ascii="IRNazanin" w:hAnsi="IRNazanin" w:eastAsia="IRNazanin" w:cs="IRNazanin"/>
          <w:lang w:bidi="fa-IR"/>
          <w:color w:val="111111"/>
          <w:sz w:val="28"/>
          <w:szCs w:val="28"/>
          <w:rtl/>
        </w:rPr>
        <w:t xml:space="preserve">سم [ف: 21/5 - 96 ]</w:t>
      </w:r>
    </w:p>
    <w:p>
      <w:pPr>
        <w:pStyle w:val="BookText"/>
      </w:pPr>
      <w:r>
        <w:rPr>
          <w:rFonts w:ascii="IRNazanin" w:hAnsi="IRNazanin" w:eastAsia="IRNazanin" w:cs="IRNazanin"/>
          <w:lang w:bidi="fa-IR"/>
          <w:color w:val="111111"/>
          <w:sz w:val="28"/>
          <w:szCs w:val="28"/>
          <w:rtl/>
        </w:rPr>
        <w:t xml:space="preserve">252 . قم؛ مسجد اعظم؛ شماره نسخه: 1773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پنج شنبه 27 ذیحجه 1020ق؛ مهر: «محمد نبی الله على ولى الله» (دایره)، «یا عزیز الله»؛ جلد: تیماج زرشکی دارای ترنج و سر با سر ،طبل ،154گ، 20 سطر ، اندازه: 19</w:t>
      </w:r>
      <w:r>
        <w:rPr>
          <w:rFonts w:ascii="Times New Roman" w:hAnsi="Times New Roman" w:eastAsia="Times New Roman" w:cs="Times New Roman"/>
          <w:lang w:val="en-US" w:bidi="en-US"/>
          <w:color w:val="111111"/>
          <w:sz w:val="28"/>
          <w:szCs w:val="28"/>
          <w:rtl/>
        </w:rPr>
        <w:t xml:space="preserve">×25</w:t>
      </w:r>
      <w:r>
        <w:rPr>
          <w:rFonts w:ascii="IRNazanin" w:hAnsi="IRNazanin" w:eastAsia="IRNazanin" w:cs="IRNazanin"/>
          <w:lang w:bidi="fa-IR"/>
          <w:color w:val="111111"/>
          <w:sz w:val="28"/>
          <w:szCs w:val="28"/>
          <w:rtl/>
        </w:rPr>
        <w:t xml:space="preserve">سم [ف مخ: 1 - 129]</w:t>
      </w:r>
    </w:p>
    <w:p>
      <w:pPr>
        <w:pStyle w:val="BookText"/>
      </w:pPr>
      <w:r>
        <w:rPr>
          <w:rFonts w:ascii="IRNazanin" w:hAnsi="IRNazanin" w:eastAsia="IRNazanin" w:cs="IRNazanin"/>
          <w:lang w:bidi="fa-IR"/>
          <w:color w:val="111111"/>
          <w:sz w:val="28"/>
          <w:szCs w:val="28"/>
          <w:rtl/>
        </w:rPr>
        <w:t xml:space="preserve">253 قم؛ گلپایگانی؛ شماره نسخه: 8307-56/157</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کامل؛ خط: نسخ بی کا تا سه شنبه 16 جمادی الثانی 1021ق، جا مدرسه مولا قاضی علی؛ 285گ، 12 سطر ، اندازه: 12</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سم [ ف: 1 - 304]</w:t>
      </w:r>
    </w:p>
    <w:p>
      <w:pPr>
        <w:pStyle w:val="BookText"/>
      </w:pPr>
      <w:r>
        <w:rPr>
          <w:rFonts w:ascii="IRNazanin" w:hAnsi="IRNazanin" w:eastAsia="IRNazanin" w:cs="IRNazanin"/>
          <w:lang w:bidi="fa-IR"/>
          <w:color w:val="111111"/>
          <w:sz w:val="28"/>
          <w:szCs w:val="28"/>
          <w:rtl/>
        </w:rPr>
        <w:t xml:space="preserve">254 گلپایگان؛ کتابخانه حجة الاسلام گلپایگانی؛ شماره نسخه: 31</w:t>
      </w:r>
    </w:p>
    <w:p>
      <w:pPr>
        <w:pStyle w:val="BookText"/>
      </w:pPr>
      <w:r>
        <w:rPr>
          <w:rFonts w:ascii="IRNazanin" w:hAnsi="IRNazanin" w:eastAsia="IRNazanin" w:cs="IRNazanin"/>
          <w:lang w:bidi="fa-IR"/>
          <w:color w:val="111111"/>
          <w:sz w:val="28"/>
          <w:szCs w:val="28"/>
          <w:rtl/>
        </w:rPr>
        <w:t xml:space="preserve">خط: نسخ،کا :عبد العظیم بن عباس حسنی مازندرانی گلچینی، تا: 3 صفر 1021ق؛ مصحح محشی؛ در چهار برگ آخر شرح ملک محمد بن  سلطان حسین اصفهانی بر بحث میراث ارشاد الاذهان و چند یادداشت متفرقه فقهی؛ جلد :تیماج قهوه ای، 254،گ 15 سطر ، اندازه 15</w:t>
      </w:r>
      <w:r>
        <w:rPr>
          <w:rFonts w:ascii="Times New Roman" w:hAnsi="Times New Roman" w:eastAsia="Times New Roman" w:cs="Times New Roman"/>
          <w:lang w:val="en-US" w:bidi="en-US"/>
          <w:color w:val="111111"/>
          <w:sz w:val="28"/>
          <w:szCs w:val="28"/>
          <w:rtl/>
        </w:rPr>
        <w:t xml:space="preserve">×25 </w:t>
      </w:r>
      <w:r>
        <w:rPr>
          <w:rFonts w:ascii="IRNazanin" w:hAnsi="IRNazanin" w:eastAsia="IRNazanin" w:cs="IRNazanin"/>
          <w:lang w:bidi="fa-IR"/>
          <w:color w:val="111111"/>
          <w:sz w:val="28"/>
          <w:szCs w:val="28"/>
          <w:rtl/>
        </w:rPr>
        <w:t xml:space="preserve">سم [کتابخانه های گلپایگان - ف: 30]</w:t>
      </w:r>
    </w:p>
    <w:p>
      <w:pPr>
        <w:pStyle w:val="BookText"/>
      </w:pPr>
      <w:r>
        <w:rPr>
          <w:rFonts w:ascii="IRNazanin" w:hAnsi="IRNazanin" w:eastAsia="IRNazanin" w:cs="IRNazanin"/>
          <w:lang w:bidi="fa-IR"/>
          <w:color w:val="111111"/>
          <w:sz w:val="28"/>
          <w:szCs w:val="28"/>
          <w:rtl/>
        </w:rPr>
        <w:t xml:space="preserve">255 قم؛ گلپایگانی؛ شماره نسخه: 1018-6/108</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جمال الدين حسين بن صدر الدین علی حسینی، تا 1021ق؛ مصحح محشی به نقل از شرایع، شرح لمعه دروس و ، غیره و حواشی به امضاء «ع ل» و «منه» و غیره، دارای علامت بلاغ در اول نسخه ابیاتی عربی در معمای فقهی راجع به نکاح با پاسخ آن تملک جمال الدین حسین بن صدرالدین علی حسینی با مهر ،کروی، محمد تقى بن عابد سلطان طالقانی، عزیز بن نصار جزایری؛ جلد: تیماج قهوه ای ضربی مجدول، 369گ، 11 سطر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اندازه: 12/5 19/5سم [ف: 1 - 301]</w:t>
      </w:r>
    </w:p>
    <w:p>
      <w:pPr>
        <w:pStyle w:val="BookText"/>
      </w:pPr>
      <w:r>
        <w:rPr>
          <w:rFonts w:ascii="Times New Roman" w:hAnsi="Times New Roman" w:eastAsia="Times New Roman" w:cs="Times New Roman"/>
          <w:lang w:val="en-US" w:bidi="en-US"/>
          <w:color w:val="111111"/>
          <w:sz w:val="28"/>
          <w:szCs w:val="28"/>
          <w:rtl/>
        </w:rPr>
        <w:t xml:space="preserve">256.</w:t>
      </w:r>
    </w:p>
    <w:p>
      <w:pPr>
        <w:pStyle w:val="BookText"/>
      </w:pPr>
      <w:r>
        <w:rPr>
          <w:rFonts w:ascii="IRNazanin" w:hAnsi="IRNazanin" w:eastAsia="IRNazanin" w:cs="IRNazanin"/>
          <w:lang w:bidi="fa-IR"/>
          <w:color w:val="111111"/>
          <w:sz w:val="28"/>
          <w:szCs w:val="28"/>
          <w:rtl/>
        </w:rPr>
        <w:t xml:space="preserve">تهران؛ دانشگاه؛ شماره نسخه: 7720</w:t>
      </w:r>
    </w:p>
    <w:p>
      <w:pPr>
        <w:pStyle w:val="BookText"/>
      </w:pPr>
      <w:r>
        <w:rPr>
          <w:rFonts w:ascii="IRNazanin" w:hAnsi="IRNazanin" w:eastAsia="IRNazanin" w:cs="IRNazanin"/>
          <w:lang w:bidi="fa-IR"/>
          <w:color w:val="111111"/>
          <w:sz w:val="28"/>
          <w:szCs w:val="28"/>
          <w:rtl/>
        </w:rPr>
        <w:t xml:space="preserve">خط :نسخ کا: عبدالحسین بن ابراهيم حویزاوی، تا 25 ربیع الاول1021ق؛ واقف: محمد معصوم بن حاج طهماسب بیک زامیانی استر آبادی، دهه يكم ذيحجه 1114؛ کاغذ: سپاهانی، جلد: تیماج، تریاکی ضربی ترنجی ،مقوایی ،189گ، 15 سطر (14</w:t>
      </w:r>
      <w:r>
        <w:rPr>
          <w:rFonts w:ascii="Times New Roman" w:hAnsi="Times New Roman" w:eastAsia="Times New Roman" w:cs="Times New Roman"/>
          <w:lang w:val="en-US" w:bidi="en-US"/>
          <w:color w:val="111111"/>
          <w:sz w:val="28"/>
          <w:szCs w:val="28"/>
          <w:rtl/>
        </w:rPr>
        <w:t xml:space="preserve">×9) </w:t>
      </w:r>
      <w:r>
        <w:rPr>
          <w:rFonts w:ascii="IRNazanin" w:hAnsi="IRNazanin" w:eastAsia="IRNazanin" w:cs="IRNazanin"/>
          <w:lang w:bidi="fa-IR"/>
          <w:color w:val="111111"/>
          <w:sz w:val="28"/>
          <w:szCs w:val="28"/>
          <w:rtl/>
        </w:rPr>
        <w:t xml:space="preserve">، اندا زه: 14</w:t>
      </w:r>
      <w:r>
        <w:rPr>
          <w:rFonts w:ascii="Times New Roman" w:hAnsi="Times New Roman" w:eastAsia="Times New Roman" w:cs="Times New Roman"/>
          <w:lang w:val="en-US" w:bidi="en-US"/>
          <w:color w:val="111111"/>
          <w:sz w:val="28"/>
          <w:szCs w:val="28"/>
          <w:rtl/>
        </w:rPr>
        <w:t xml:space="preserve">×25</w:t>
      </w:r>
      <w:r>
        <w:rPr>
          <w:rFonts w:ascii="IRNazanin" w:hAnsi="IRNazanin" w:eastAsia="IRNazanin" w:cs="IRNazanin"/>
          <w:lang w:bidi="fa-IR"/>
          <w:color w:val="111111"/>
          <w:sz w:val="28"/>
          <w:szCs w:val="28"/>
          <w:rtl/>
        </w:rPr>
        <w:t xml:space="preserve">سم [ف: 16 - 684]</w:t>
      </w:r>
    </w:p>
    <w:p>
      <w:pPr>
        <w:pStyle w:val="BookText"/>
      </w:pPr>
      <w:r>
        <w:rPr>
          <w:rFonts w:ascii="IRNazanin" w:hAnsi="IRNazanin" w:eastAsia="IRNazanin" w:cs="IRNazanin"/>
          <w:lang w:bidi="fa-IR"/>
          <w:color w:val="111111"/>
          <w:sz w:val="28"/>
          <w:szCs w:val="28"/>
          <w:rtl/>
        </w:rPr>
        <w:t xml:space="preserve">257 . مشهد؛ رضوی؛ شماره نسخه:29080</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1021ق [رایانه]</w:t>
      </w:r>
    </w:p>
    <w:p>
      <w:pPr>
        <w:pStyle w:val="BookText"/>
      </w:pPr>
      <w:r>
        <w:rPr>
          <w:rFonts w:ascii="Times New Roman" w:hAnsi="Times New Roman" w:eastAsia="Times New Roman" w:cs="Times New Roman"/>
          <w:lang w:val="en-US" w:bidi="en-US"/>
          <w:color w:val="111111"/>
          <w:sz w:val="28"/>
          <w:szCs w:val="28"/>
          <w:rtl/>
        </w:rPr>
        <w:t xml:space="preserve">258.</w:t>
      </w:r>
    </w:p>
    <w:p>
      <w:pPr>
        <w:pStyle w:val="BookText"/>
      </w:pPr>
      <w:r>
        <w:rPr>
          <w:rFonts w:ascii="IRNazanin" w:hAnsi="IRNazanin" w:eastAsia="IRNazanin" w:cs="IRNazanin"/>
          <w:lang w:bidi="fa-IR"/>
          <w:color w:val="111111"/>
          <w:sz w:val="28"/>
          <w:szCs w:val="28"/>
          <w:rtl/>
        </w:rPr>
        <w:t xml:space="preserve">کاشان؛ رضوی؛ شماره نسخه: 2</w:t>
      </w:r>
    </w:p>
    <w:p>
      <w:pPr>
        <w:pStyle w:val="BookText"/>
      </w:pPr>
      <w:r>
        <w:rPr>
          <w:rFonts w:ascii="IRNazanin" w:hAnsi="IRNazanin" w:eastAsia="IRNazanin" w:cs="IRNazanin"/>
          <w:lang w:bidi="fa-IR"/>
          <w:color w:val="111111"/>
          <w:sz w:val="28"/>
          <w:szCs w:val="28"/>
          <w:rtl/>
        </w:rPr>
        <w:t xml:space="preserve">خط: نسخ کا: ولی بن مولانا حسن طالقانی، تا: چهارشبه شعبان تا 1 صفر 1022ق، جا: کلایک؛ محشی؛ قطع وزیری، [نشریه: 7 - 32]</w:t>
      </w:r>
    </w:p>
    <w:p>
      <w:pPr>
        <w:pStyle w:val="BookText"/>
      </w:pPr>
      <w:r>
        <w:rPr>
          <w:rFonts w:ascii="IRNazanin" w:hAnsi="IRNazanin" w:eastAsia="IRNazanin" w:cs="IRNazanin"/>
          <w:lang w:bidi="fa-IR"/>
          <w:color w:val="111111"/>
          <w:sz w:val="28"/>
          <w:szCs w:val="28"/>
          <w:rtl/>
        </w:rPr>
        <w:t xml:space="preserve">259 . قم؛ مسجد اعظم؛ شماره نسخه: 1793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شیخ ،اسوشتری تا: 21 جمادى الاول 1023ق، جا: قصبه طبيه تنجستان مهر سلیمان ابن داود (1222) (مربع) جلد: تیماج مشکی دارای ترنج و سر و لچک شنگرف مجدول گر هی با سرطبل، 283گ، 14 سطر ، اندازه: 18</w:t>
      </w:r>
      <w:r>
        <w:rPr>
          <w:rFonts w:ascii="Times New Roman" w:hAnsi="Times New Roman" w:eastAsia="Times New Roman" w:cs="Times New Roman"/>
          <w:lang w:val="en-US" w:bidi="en-US"/>
          <w:color w:val="111111"/>
          <w:sz w:val="28"/>
          <w:szCs w:val="28"/>
          <w:rtl/>
        </w:rPr>
        <w:t xml:space="preserve">×25 </w:t>
      </w:r>
      <w:r>
        <w:rPr>
          <w:rFonts w:ascii="IRNazanin" w:hAnsi="IRNazanin" w:eastAsia="IRNazanin" w:cs="IRNazanin"/>
          <w:lang w:bidi="fa-IR"/>
          <w:color w:val="111111"/>
          <w:sz w:val="28"/>
          <w:szCs w:val="28"/>
          <w:rtl/>
        </w:rPr>
        <w:t xml:space="preserve">سم [ف مخ: 1 - 29 ]</w:t>
      </w:r>
    </w:p>
    <w:p>
      <w:pPr>
        <w:pStyle w:val="BookText"/>
      </w:pPr>
      <w:r>
        <w:rPr>
          <w:rFonts w:ascii="IRNazanin" w:hAnsi="IRNazanin" w:eastAsia="IRNazanin" w:cs="IRNazanin"/>
          <w:lang w:bidi="fa-IR"/>
          <w:color w:val="111111"/>
          <w:sz w:val="28"/>
          <w:szCs w:val="28"/>
          <w:rtl/>
        </w:rPr>
        <w:t xml:space="preserve">260 . مشهد؛ رضوی؛ شماره نسخه : 18241</w:t>
      </w:r>
    </w:p>
    <w:p>
      <w:pPr>
        <w:pStyle w:val="BookText"/>
      </w:pPr>
      <w:r>
        <w:rPr>
          <w:rFonts w:ascii="IRNazanin" w:hAnsi="IRNazanin" w:eastAsia="IRNazanin" w:cs="IRNazanin"/>
          <w:lang w:bidi="fa-IR"/>
          <w:color w:val="111111"/>
          <w:sz w:val="28"/>
          <w:szCs w:val="28"/>
          <w:rtl/>
        </w:rPr>
        <w:t xml:space="preserve">آغاز: الذكر والحاجة و آية الكرسى و يجب فى الوضوء النیة ؛انجام: برابر</w:t>
      </w:r>
    </w:p>
    <w:p>
      <w:pPr>
        <w:pStyle w:val="BookText"/>
      </w:pPr>
      <w:r>
        <w:rPr>
          <w:rFonts w:ascii="IRNazanin" w:hAnsi="IRNazanin" w:eastAsia="IRNazanin" w:cs="IRNazanin"/>
          <w:lang w:bidi="fa-IR"/>
          <w:color w:val="111111"/>
          <w:sz w:val="28"/>
          <w:szCs w:val="28"/>
          <w:rtl/>
        </w:rPr>
        <w:t xml:space="preserve">خط: نسخ، کا: محمد صادق بن يعقوب ،ابواغلی، تا: جمعه 1 ر بیع الثانى 1024ق؛ واقف: آیة الله ،دادمهر تیرماه1371 کاغذ: نخودی، جلد: مقوا، 147گ، 18 و 19 سطر ، اندازه: 16/8</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ف: 21/5 - 94]</w:t>
      </w:r>
    </w:p>
    <w:p>
      <w:pPr>
        <w:pStyle w:val="BookText"/>
      </w:pPr>
      <w:r>
        <w:rPr>
          <w:rFonts w:ascii="IRNazanin" w:hAnsi="IRNazanin" w:eastAsia="IRNazanin" w:cs="IRNazanin"/>
          <w:lang w:bidi="fa-IR"/>
          <w:color w:val="111111"/>
          <w:sz w:val="28"/>
          <w:szCs w:val="28"/>
          <w:rtl/>
        </w:rPr>
        <w:t xml:space="preserve">261 . قم؛ مرعشی؛ شماره نسخه: 4827</w:t>
      </w:r>
    </w:p>
    <w:p>
      <w:pPr>
        <w:pStyle w:val="BookText"/>
      </w:pPr>
      <w:r>
        <w:rPr>
          <w:rFonts w:ascii="IRNazanin" w:hAnsi="IRNazanin" w:eastAsia="IRNazanin" w:cs="IRNazanin"/>
          <w:lang w:bidi="fa-IR"/>
          <w:color w:val="111111"/>
          <w:sz w:val="28"/>
          <w:szCs w:val="28"/>
          <w:rtl/>
        </w:rPr>
        <w:t xml:space="preserve">خط: نسخ بی کا تا اواخر شوال 1025ق، جا: حیدر آباد؛ برگ آخر به خط طاهر بن ابوالحسن قاضی اصفهانی به دستور- میر ،مخدوم مصحح ،محشی چند صفحه قبل و بعد از کتاب- دارای فوائد مختلف و تاریخ های تولد :جلد: تیماج قرمز 141گ، 21 سطر ، اندازه: 18/5</w:t>
      </w:r>
      <w:r>
        <w:rPr>
          <w:rFonts w:ascii="Times New Roman" w:hAnsi="Times New Roman" w:eastAsia="Times New Roman" w:cs="Times New Roman"/>
          <w:lang w:val="en-US" w:bidi="en-US"/>
          <w:color w:val="111111"/>
          <w:sz w:val="28"/>
          <w:szCs w:val="28"/>
          <w:rtl/>
        </w:rPr>
        <w:t xml:space="preserve">×25</w:t>
      </w:r>
      <w:r>
        <w:rPr>
          <w:rFonts w:ascii="IRNazanin" w:hAnsi="IRNazanin" w:eastAsia="IRNazanin" w:cs="IRNazanin"/>
          <w:lang w:bidi="fa-IR"/>
          <w:color w:val="111111"/>
          <w:sz w:val="28"/>
          <w:szCs w:val="28"/>
          <w:rtl/>
        </w:rPr>
        <w:t xml:space="preserve">سم [ف: 13 - 26]</w:t>
      </w:r>
    </w:p>
    <w:p>
      <w:pPr>
        <w:pStyle w:val="BookText"/>
      </w:pPr>
      <w:r>
        <w:rPr>
          <w:rFonts w:ascii="Times New Roman" w:hAnsi="Times New Roman" w:eastAsia="Times New Roman" w:cs="Times New Roman"/>
          <w:lang w:val="en-US" w:bidi="en-US"/>
          <w:color w:val="111111"/>
          <w:sz w:val="28"/>
          <w:szCs w:val="28"/>
          <w:rtl/>
        </w:rPr>
        <w:t xml:space="preserve">262.</w:t>
      </w:r>
    </w:p>
    <w:p>
      <w:pPr>
        <w:pStyle w:val="BookText"/>
      </w:pPr>
      <w:r>
        <w:rPr>
          <w:rFonts w:ascii="IRNazanin" w:hAnsi="IRNazanin" w:eastAsia="IRNazanin" w:cs="IRNazanin"/>
          <w:lang w:bidi="fa-IR"/>
          <w:color w:val="111111"/>
          <w:sz w:val="28"/>
          <w:szCs w:val="28"/>
          <w:rtl/>
        </w:rPr>
        <w:t xml:space="preserve">تهران؛ حقوق شماره نسخه: 41 - ج</w:t>
      </w:r>
    </w:p>
    <w:p>
      <w:pPr>
        <w:pStyle w:val="BookText"/>
      </w:pPr>
      <w:r>
        <w:rPr>
          <w:rFonts w:ascii="IRNazanin" w:hAnsi="IRNazanin" w:eastAsia="IRNazanin" w:cs="IRNazanin"/>
          <w:lang w:bidi="fa-IR"/>
          <w:color w:val="111111"/>
          <w:sz w:val="28"/>
          <w:szCs w:val="28"/>
          <w:rtl/>
        </w:rPr>
        <w:t xml:space="preserve">خط: نسخ کا: صفی الله بن عطاء الله جوشاهستانی، تا 10 مح 1026ق؛ محشی با نشانهای« ع ل» و جز ،آن تملک محمد- قاسمبن ملا محمود سلمانی گیلانی در 1224 (خط و مهر او پایان) کاغذ،سپاهانی جلد: تیماج مشکی زرکوب مقوا 243گ، 20 سطر (15/5</w:t>
      </w:r>
      <w:r>
        <w:rPr>
          <w:rFonts w:ascii="Times New Roman" w:hAnsi="Times New Roman" w:eastAsia="Times New Roman" w:cs="Times New Roman"/>
          <w:lang w:val="en-US" w:bidi="en-US"/>
          <w:color w:val="111111"/>
          <w:sz w:val="28"/>
          <w:szCs w:val="28"/>
          <w:rtl/>
        </w:rPr>
        <w:t xml:space="preserve">×7/5) </w:t>
      </w:r>
      <w:r>
        <w:rPr>
          <w:rFonts w:ascii="IRNazanin" w:hAnsi="IRNazanin" w:eastAsia="IRNazanin" w:cs="IRNazanin"/>
          <w:lang w:bidi="fa-IR"/>
          <w:color w:val="111111"/>
          <w:sz w:val="28"/>
          <w:szCs w:val="28"/>
          <w:rtl/>
        </w:rPr>
        <w:t xml:space="preserve">، اندازه 17/5</w:t>
      </w:r>
      <w:r>
        <w:rPr>
          <w:rFonts w:ascii="Times New Roman" w:hAnsi="Times New Roman" w:eastAsia="Times New Roman" w:cs="Times New Roman"/>
          <w:lang w:val="en-US" w:bidi="en-US"/>
          <w:color w:val="111111"/>
          <w:sz w:val="28"/>
          <w:szCs w:val="28"/>
          <w:rtl/>
        </w:rPr>
        <w:t xml:space="preserve">×25</w:t>
      </w:r>
      <w:r>
        <w:rPr>
          <w:rFonts w:ascii="IRNazanin" w:hAnsi="IRNazanin" w:eastAsia="IRNazanin" w:cs="IRNazanin"/>
          <w:lang w:bidi="fa-IR"/>
          <w:color w:val="111111"/>
          <w:sz w:val="28"/>
          <w:szCs w:val="28"/>
          <w:rtl/>
        </w:rPr>
        <w:t xml:space="preserve">سم [ف: 241]</w:t>
      </w:r>
    </w:p>
    <w:p>
      <w:pPr>
        <w:pStyle w:val="BookText"/>
      </w:pPr>
      <w:r>
        <w:rPr>
          <w:rFonts w:ascii="IRNazanin" w:hAnsi="IRNazanin" w:eastAsia="IRNazanin" w:cs="IRNazanin"/>
          <w:lang w:bidi="fa-IR"/>
          <w:color w:val="111111"/>
          <w:sz w:val="28"/>
          <w:szCs w:val="28"/>
          <w:rtl/>
        </w:rPr>
        <w:t xml:space="preserve">263.تهران؛ ملی؛ شماره نسخه: 2394</w:t>
      </w:r>
    </w:p>
    <w:p>
      <w:pPr>
        <w:pStyle w:val="BookText"/>
      </w:pPr>
      <w:r>
        <w:rPr>
          <w:rFonts w:ascii="IRNazanin" w:hAnsi="IRNazanin" w:eastAsia="IRNazanin" w:cs="IRNazanin"/>
          <w:lang w:bidi="fa-IR"/>
          <w:color w:val="111111"/>
          <w:sz w:val="28"/>
          <w:szCs w:val="28"/>
          <w:rtl/>
        </w:rPr>
        <w:t xml:space="preserve">آغاز: برابر؛ انجام :و ان بقى فى اللسان فائدة الذوق و لو بقیت الشفويه و الحلقيه يسقط.</w:t>
      </w:r>
    </w:p>
    <w:p>
      <w:pPr>
        <w:pStyle w:val="BookText"/>
      </w:pPr>
      <w:r>
        <w:rPr>
          <w:rFonts w:ascii="IRNazanin" w:hAnsi="IRNazanin" w:eastAsia="IRNazanin" w:cs="IRNazanin"/>
          <w:lang w:bidi="fa-IR"/>
          <w:color w:val="111111"/>
          <w:sz w:val="28"/>
          <w:szCs w:val="28"/>
          <w:rtl/>
        </w:rPr>
        <w:t xml:space="preserve">یک برگ از پایان کتاب که در آن بحث المقصد السادس فی الشجاج و فى الخارصة از کتاب الدیات در آن بوده در نسخه افتادگی دارد؛ خط: نسخ کا: علی بن نصر الله بن موسی جزایری، تا 1026ق جا: اصفهان مصحح محشی با استفاده از «شرح ،لمعه ،شرایع دروس وبرخی با امضای «زین الدین» و «ع.ل»، مقابله ،شده در برگ اول فائده ای در اذن گرفتن از والدین در جهاد و اذن جهت سفر تجارت به همراه جداولی محاسباتی؛ کاغذ: دولت آبادی ،نخودی جلد: تیماج مشکی، مقوایی، 208گ متغیر بین 18 و 20 سطر (9</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اندازه: 19</w:t>
      </w:r>
      <w:r>
        <w:rPr>
          <w:rFonts w:ascii="Times New Roman" w:hAnsi="Times New Roman" w:eastAsia="Times New Roman" w:cs="Times New Roman"/>
          <w:lang w:val="en-US" w:bidi="en-US"/>
          <w:color w:val="111111"/>
          <w:sz w:val="28"/>
          <w:szCs w:val="28"/>
          <w:rtl/>
        </w:rPr>
        <w:t xml:space="preserve">×26</w:t>
      </w:r>
      <w:r>
        <w:rPr>
          <w:rFonts w:ascii="IRNazanin" w:hAnsi="IRNazanin" w:eastAsia="IRNazanin" w:cs="IRNazanin"/>
          <w:lang w:bidi="fa-IR"/>
          <w:color w:val="111111"/>
          <w:sz w:val="28"/>
          <w:szCs w:val="28"/>
          <w:rtl/>
        </w:rPr>
        <w:t xml:space="preserve">سم [ف: 12 - 164 ]</w:t>
      </w:r>
    </w:p>
    <w:p>
      <w:pPr>
        <w:pStyle w:val="BookText"/>
      </w:pPr>
      <w:r>
        <w:rPr>
          <w:rFonts w:ascii="IRNazanin" w:hAnsi="IRNazanin" w:eastAsia="IRNazanin" w:cs="IRNazanin"/>
          <w:lang w:bidi="fa-IR"/>
          <w:color w:val="111111"/>
          <w:sz w:val="28"/>
          <w:szCs w:val="28"/>
          <w:rtl/>
        </w:rPr>
        <w:t xml:space="preserve">264 . قم؛ مؤسسه آیة الله بروجردی؛ شماره نسخه: 551</w:t>
      </w:r>
    </w:p>
    <w:p>
      <w:pPr>
        <w:pStyle w:val="BookText"/>
      </w:pPr>
      <w:r>
        <w:rPr>
          <w:rFonts w:ascii="IRNazanin" w:hAnsi="IRNazanin" w:eastAsia="IRNazanin" w:cs="IRNazanin"/>
          <w:lang w:bidi="fa-IR"/>
          <w:color w:val="111111"/>
          <w:sz w:val="28"/>
          <w:szCs w:val="28"/>
          <w:rtl/>
        </w:rPr>
        <w:t xml:space="preserve">خط: نسخ، کا: عبدالمطلب ،مشهدی تا: دهه دوم جمادی الاول ، 1027ق ،مصحح محشی؛ در چهار برگ قبل از کتاب ابیاتی فارسی و عربی تملک عبدالحسین صاحب الدارى، احمد بن محمد كاظم، محمد زمان بن حبيب الله، میرزا رضا خوئی؛ جلد: تیماج زرشکی عطف ،قهوه ای، 287گ 16 سطر ، اندازه 13/5</w:t>
      </w:r>
      <w:r>
        <w:rPr>
          <w:rFonts w:ascii="Times New Roman" w:hAnsi="Times New Roman" w:eastAsia="Times New Roman" w:cs="Times New Roman"/>
          <w:lang w:val="en-US" w:bidi="en-US"/>
          <w:color w:val="111111"/>
          <w:sz w:val="28"/>
          <w:szCs w:val="28"/>
          <w:rtl/>
        </w:rPr>
        <w:t xml:space="preserve">× 23</w:t>
      </w:r>
      <w:r>
        <w:rPr>
          <w:rFonts w:ascii="IRNazanin" w:hAnsi="IRNazanin" w:eastAsia="IRNazanin" w:cs="IRNazanin"/>
          <w:lang w:bidi="fa-IR"/>
          <w:color w:val="111111"/>
          <w:sz w:val="28"/>
          <w:szCs w:val="28"/>
          <w:rtl/>
        </w:rPr>
        <w:t xml:space="preserve">سم [ف: 2 - 345]</w:t>
      </w:r>
    </w:p>
    <w:p>
      <w:pPr>
        <w:pStyle w:val="BookText"/>
      </w:pPr>
      <w:r>
        <w:rPr>
          <w:rFonts w:ascii="IRNazanin" w:hAnsi="IRNazanin" w:eastAsia="IRNazanin" w:cs="IRNazanin"/>
          <w:lang w:bidi="fa-IR"/>
          <w:color w:val="111111"/>
          <w:sz w:val="28"/>
          <w:szCs w:val="28"/>
          <w:rtl/>
        </w:rPr>
        <w:t xml:space="preserve">265 . همدان؛ مدرسه غرب؛ شماره نسخه: 905.</w:t>
      </w:r>
    </w:p>
    <w:p>
      <w:pPr>
        <w:pStyle w:val="BookText"/>
      </w:pPr>
      <w:r>
        <w:rPr>
          <w:rFonts w:ascii="IRNazanin" w:hAnsi="IRNazanin" w:eastAsia="IRNazanin" w:cs="IRNazanin"/>
          <w:lang w:bidi="fa-IR"/>
          <w:color w:val="111111"/>
          <w:sz w:val="28"/>
          <w:szCs w:val="28"/>
          <w:rtl/>
        </w:rPr>
        <w:t xml:space="preserve">خط: نسخ،  کا: مير محمد بن پیر محمد ساکن دینور تا سه شنبه صفر 1027ق؛ قطع: وزیری [ف: 1284]</w:t>
      </w:r>
    </w:p>
    <w:p>
      <w:pPr>
        <w:pStyle w:val="BookText"/>
      </w:pPr>
      <w:r>
        <w:rPr>
          <w:rFonts w:ascii="IRNazanin" w:hAnsi="IRNazanin" w:eastAsia="IRNazanin" w:cs="IRNazanin"/>
          <w:lang w:bidi="fa-IR"/>
          <w:color w:val="111111"/>
          <w:sz w:val="28"/>
          <w:szCs w:val="28"/>
          <w:rtl/>
        </w:rPr>
        <w:t xml:space="preserve">266.تهران؛ مجلس؛ شماره نسخه: 15237</w:t>
      </w:r>
    </w:p>
    <w:p>
      <w:pPr>
        <w:pStyle w:val="BookText"/>
      </w:pPr>
      <w:r>
        <w:rPr>
          <w:rFonts w:ascii="IRNazanin" w:hAnsi="IRNazanin" w:eastAsia="IRNazanin" w:cs="IRNazanin"/>
          <w:lang w:bidi="fa-IR"/>
          <w:color w:val="111111"/>
          <w:sz w:val="28"/>
          <w:szCs w:val="28"/>
          <w:rtl/>
        </w:rPr>
        <w:t xml:space="preserve">خط :نسخ، کا: ایوب بن جعفر قاضی ،کلائی تا 1028ق [مختصر ف: 247 ]</w:t>
      </w:r>
    </w:p>
    <w:p>
      <w:pPr>
        <w:pStyle w:val="BookText"/>
      </w:pPr>
      <w:r>
        <w:rPr>
          <w:rFonts w:ascii="IRNazanin" w:hAnsi="IRNazanin" w:eastAsia="IRNazanin" w:cs="IRNazanin"/>
          <w:lang w:bidi="fa-IR"/>
          <w:color w:val="111111"/>
          <w:sz w:val="28"/>
          <w:szCs w:val="28"/>
          <w:rtl/>
        </w:rPr>
        <w:t xml:space="preserve">267 . اصفهان؛ مدرسه صدر خواجو؛ شماره نسخه: 45</w:t>
      </w:r>
    </w:p>
    <w:p>
      <w:pPr>
        <w:pStyle w:val="BookText"/>
      </w:pPr>
      <w:r>
        <w:rPr>
          <w:rFonts w:ascii="IRNazanin" w:hAnsi="IRNazanin" w:eastAsia="IRNazanin" w:cs="IRNazanin"/>
          <w:lang w:bidi="fa-IR"/>
          <w:color w:val="111111"/>
          <w:sz w:val="28"/>
          <w:szCs w:val="28"/>
          <w:rtl/>
        </w:rPr>
        <w:t xml:space="preserve">خط: نسخ، کا: محمد یوسف طالقانی تا 12 جمادی الثانی 1028ق) (پایان جزء اول) و (1029) (پایان کتاب)، جا: شربت خانه همایون اشرف و در خدمت ملامحمد باقر اردستانی (پایان کتاب)؛ کاتب آن را نزد استادش شیخ لطف الله در اصفهان خوانده، مصحح ،محشی در برگ پایانی یادداشت سماعی از محمد صائم بن محمد یوسف طالقانی آمده که کتاب را نزداستادش احمد بن سلامة نجفی سماع نموده و امضای بلاغی از احمد بن سلامه ،مذکور در دو برگ آغازین وقف نامه کتاب از سید محمد شهشهانی»؛ جلد: تیماج قهوه ای سوخته دور و عطف تیماج مشکی 251گ، 15 سطر ، اندازه: 17</w:t>
      </w:r>
      <w:r>
        <w:rPr>
          <w:rFonts w:ascii="Times New Roman" w:hAnsi="Times New Roman" w:eastAsia="Times New Roman" w:cs="Times New Roman"/>
          <w:lang w:val="en-US" w:bidi="en-US"/>
          <w:color w:val="111111"/>
          <w:sz w:val="28"/>
          <w:szCs w:val="28"/>
          <w:rtl/>
        </w:rPr>
        <w:t xml:space="preserve">×26</w:t>
      </w:r>
      <w:r>
        <w:rPr>
          <w:rFonts w:ascii="IRNazanin" w:hAnsi="IRNazanin" w:eastAsia="IRNazanin" w:cs="IRNazanin"/>
          <w:lang w:bidi="fa-IR"/>
          <w:color w:val="111111"/>
          <w:sz w:val="28"/>
          <w:szCs w:val="28"/>
          <w:rtl/>
        </w:rPr>
        <w:t xml:space="preserve">سم [ف: 37]</w:t>
      </w:r>
    </w:p>
    <w:p>
      <w:pPr>
        <w:pStyle w:val="BookText"/>
      </w:pPr>
      <w:r>
        <w:rPr>
          <w:rFonts w:ascii="IRNazanin" w:hAnsi="IRNazanin" w:eastAsia="IRNazanin" w:cs="IRNazanin"/>
          <w:lang w:bidi="fa-IR"/>
          <w:color w:val="111111"/>
          <w:sz w:val="28"/>
          <w:szCs w:val="28"/>
          <w:rtl/>
        </w:rPr>
        <w:t xml:space="preserve">268 .تهران؛ حوزه آستان حضرت عبدالعظیم؛ شماره نسخه: 17</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17 ربیع الثانی 1029؛ از روی خط مؤلف، مصحح محشی از مولانا محمد باقر مجلسی» و «شیخ علی العالی رحمه الله» در آخرش مسأله ای درباره طلاق آمده؛ جلد: تیماج قهوه ای 261گ، 14 سطر ، اندازه: 17</w:t>
      </w:r>
      <w:r>
        <w:rPr>
          <w:rFonts w:ascii="Times New Roman" w:hAnsi="Times New Roman" w:eastAsia="Times New Roman" w:cs="Times New Roman"/>
          <w:lang w:val="en-US" w:bidi="en-US"/>
          <w:color w:val="111111"/>
          <w:sz w:val="28"/>
          <w:szCs w:val="28"/>
          <w:rtl/>
        </w:rPr>
        <w:t xml:space="preserve">×25/5</w:t>
      </w:r>
      <w:r>
        <w:rPr>
          <w:rFonts w:ascii="IRNazanin" w:hAnsi="IRNazanin" w:eastAsia="IRNazanin" w:cs="IRNazanin"/>
          <w:lang w:bidi="fa-IR"/>
          <w:color w:val="111111"/>
          <w:sz w:val="28"/>
          <w:szCs w:val="28"/>
          <w:rtl/>
        </w:rPr>
        <w:t xml:space="preserve">سم [ف: 12]</w:t>
      </w:r>
    </w:p>
    <w:p>
      <w:pPr>
        <w:pStyle w:val="BookText"/>
      </w:pPr>
      <w:r>
        <w:rPr>
          <w:rFonts w:ascii="IRNazanin" w:hAnsi="IRNazanin" w:eastAsia="IRNazanin" w:cs="IRNazanin"/>
          <w:lang w:bidi="fa-IR"/>
          <w:color w:val="111111"/>
          <w:sz w:val="28"/>
          <w:szCs w:val="28"/>
          <w:rtl/>
        </w:rPr>
        <w:t xml:space="preserve">269 . قم گلپایگانی؛ شماره نسخه: 4104- 24/ 21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تحریری کا: جمال الدین محمدبن دوست محمد بن مفتی مسیبی خزاعی تا 23 رمضان 1029ق؛ جلد: تیماج مشکی ضربی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ترنج و سرترنج عطف گالینگور سورمه ای 197گ 17سط :اندازه 16</w:t>
      </w:r>
      <w:r>
        <w:rPr>
          <w:rFonts w:ascii="Times New Roman" w:hAnsi="Times New Roman" w:eastAsia="Times New Roman" w:cs="Times New Roman"/>
          <w:lang w:val="en-US" w:bidi="en-US"/>
          <w:color w:val="111111"/>
          <w:sz w:val="28"/>
          <w:szCs w:val="28"/>
          <w:rtl/>
        </w:rPr>
        <w:t xml:space="preserve">×26 </w:t>
      </w:r>
      <w:r>
        <w:rPr>
          <w:rFonts w:ascii="IRNazanin" w:hAnsi="IRNazanin" w:eastAsia="IRNazanin" w:cs="IRNazanin"/>
          <w:lang w:bidi="fa-IR"/>
          <w:color w:val="111111"/>
          <w:sz w:val="28"/>
          <w:szCs w:val="28"/>
          <w:rtl/>
        </w:rPr>
        <w:t xml:space="preserve">سم [ف: 1 - 302]</w:t>
      </w:r>
    </w:p>
    <w:p>
      <w:pPr>
        <w:pStyle w:val="BookText"/>
      </w:pPr>
      <w:r>
        <w:rPr>
          <w:rFonts w:ascii="Times New Roman" w:hAnsi="Times New Roman" w:eastAsia="Times New Roman" w:cs="Times New Roman"/>
          <w:lang w:val="en-US" w:bidi="en-US"/>
          <w:color w:val="111111"/>
          <w:sz w:val="28"/>
          <w:szCs w:val="28"/>
          <w:rtl/>
        </w:rPr>
        <w:t xml:space="preserve">270.</w:t>
      </w:r>
    </w:p>
    <w:p>
      <w:pPr>
        <w:pStyle w:val="BookText"/>
      </w:pPr>
      <w:r>
        <w:rPr>
          <w:rFonts w:ascii="Amiri" w:hAnsi="Amiri" w:eastAsia="Amiri" w:cs="Amiri"/>
          <w:lang w:bidi="ar-SA"/>
          <w:color w:val="111111"/>
          <w:sz w:val="28"/>
          <w:szCs w:val="28"/>
          <w:rtl/>
        </w:rPr>
        <w:t xml:space="preserve">اصفهان؛ مكتبة الزهراء؛ شماره نسخه: 40</w:t>
      </w:r>
    </w:p>
    <w:p>
      <w:pPr>
        <w:pStyle w:val="BookText"/>
      </w:pPr>
      <w:r>
        <w:rPr>
          <w:rFonts w:ascii="IRNazanin" w:hAnsi="IRNazanin" w:eastAsia="IRNazanin" w:cs="IRNazanin"/>
          <w:lang w:bidi="fa-IR"/>
          <w:color w:val="111111"/>
          <w:sz w:val="28"/>
          <w:szCs w:val="28"/>
          <w:rtl/>
        </w:rPr>
        <w:t xml:space="preserve">خط: نسخ ،خوانا بی کا تا 22 جمادی الثانی 1029ق؛ محشی، 278گ مختلف السطر ، اندازه :24</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:[ف (38]</w:t>
      </w:r>
    </w:p>
    <w:p>
      <w:pPr>
        <w:pStyle w:val="BookText"/>
      </w:pPr>
      <w:r>
        <w:rPr>
          <w:rFonts w:ascii="Times New Roman" w:hAnsi="Times New Roman" w:eastAsia="Times New Roman" w:cs="Times New Roman"/>
          <w:lang w:val="en-US" w:bidi="en-US"/>
          <w:color w:val="111111"/>
          <w:sz w:val="28"/>
          <w:szCs w:val="28"/>
          <w:rtl/>
        </w:rPr>
        <w:t xml:space="preserve">271.</w:t>
      </w:r>
    </w:p>
    <w:p>
      <w:pPr>
        <w:pStyle w:val="BookText"/>
      </w:pPr>
      <w:r>
        <w:rPr>
          <w:rFonts w:ascii="IRNazanin" w:hAnsi="IRNazanin" w:eastAsia="IRNazanin" w:cs="IRNazanin"/>
          <w:lang w:bidi="fa-IR"/>
          <w:color w:val="111111"/>
          <w:sz w:val="28"/>
          <w:szCs w:val="28"/>
          <w:rtl/>
        </w:rPr>
        <w:t xml:space="preserve">تهران؛ عبد العظیم؛ شماره نسخه: 604/1</w:t>
      </w:r>
    </w:p>
    <w:p>
      <w:pPr>
        <w:pStyle w:val="BookText"/>
      </w:pPr>
      <w:r>
        <w:rPr>
          <w:rFonts w:ascii="Amiri" w:hAnsi="Amiri" w:eastAsia="Amiri" w:cs="Amiri"/>
          <w:lang w:bidi="ar-SA"/>
          <w:color w:val="111111"/>
          <w:sz w:val="28"/>
          <w:szCs w:val="28"/>
          <w:rtl/>
        </w:rPr>
        <w:t xml:space="preserve">آغاز: القرآن أوشيء مكتوب عليه اسم الله تعالى و أسماء أنبيائه و الأئمة عليهم السلام ... المقصد الثانى فى الحيض و هو في الأغلب دم أسود؛ انجام: برابر</w:t>
      </w:r>
    </w:p>
    <w:p>
      <w:pPr>
        <w:pStyle w:val="BookText"/>
      </w:pPr>
      <w:r>
        <w:rPr>
          <w:rFonts w:ascii="IRNazanin" w:hAnsi="IRNazanin" w:eastAsia="IRNazanin" w:cs="IRNazanin"/>
          <w:lang w:bidi="fa-IR"/>
          <w:color w:val="111111"/>
          <w:sz w:val="28"/>
          <w:szCs w:val="28"/>
          <w:rtl/>
        </w:rPr>
        <w:t xml:space="preserve">خط : نسخ، کا: حیدر ،کشمیری ،تا :14 ربیع الاول 1029ق، مشهد الرضا (علیه السّلام)؛ افتادگی: آغاز ؛ مصحح، محشی به نقل از «ع ل «دروس» و «نهایه» و «منه رحمه الله» و «شرح لمعه» و «مفلح 186گ (1ر - 186 پ)، 15 سطر ، اندازه: 18 </w:t>
      </w:r>
      <w:r>
        <w:rPr>
          <w:rFonts w:ascii="Times New Roman" w:hAnsi="Times New Roman" w:eastAsia="Times New Roman" w:cs="Times New Roman"/>
          <w:lang w:val="en-US" w:bidi="en-US"/>
          <w:color w:val="111111"/>
          <w:sz w:val="28"/>
          <w:szCs w:val="28"/>
          <w:rtl/>
        </w:rPr>
        <w:t xml:space="preserve">×26 </w:t>
      </w:r>
      <w:r>
        <w:rPr>
          <w:rFonts w:ascii="IRNazanin" w:hAnsi="IRNazanin" w:eastAsia="IRNazanin" w:cs="IRNazanin"/>
          <w:lang w:bidi="fa-IR"/>
          <w:color w:val="111111"/>
          <w:sz w:val="28"/>
          <w:szCs w:val="28"/>
          <w:rtl/>
        </w:rPr>
        <w:t xml:space="preserve">سم[ ف: 1 - 40 ]</w:t>
      </w:r>
    </w:p>
    <w:p>
      <w:pPr>
        <w:pStyle w:val="BookText"/>
      </w:pPr>
      <w:r>
        <w:rPr>
          <w:rFonts w:ascii="Times New Roman" w:hAnsi="Times New Roman" w:eastAsia="Times New Roman" w:cs="Times New Roman"/>
          <w:lang w:val="en-US" w:bidi="en-US"/>
          <w:color w:val="111111"/>
          <w:sz w:val="28"/>
          <w:szCs w:val="28"/>
          <w:rtl/>
        </w:rPr>
        <w:t xml:space="preserve">272.</w:t>
      </w:r>
    </w:p>
    <w:p>
      <w:pPr>
        <w:pStyle w:val="BookText"/>
      </w:pPr>
      <w:r>
        <w:rPr>
          <w:rFonts w:ascii="IRNazanin" w:hAnsi="IRNazanin" w:eastAsia="IRNazanin" w:cs="IRNazanin"/>
          <w:lang w:bidi="fa-IR"/>
          <w:color w:val="111111"/>
          <w:sz w:val="28"/>
          <w:szCs w:val="28"/>
          <w:rtl/>
        </w:rPr>
        <w:t xml:space="preserve">مشهد؛ مدرسه سلیمانیه؛ شماره نسخه: 112</w:t>
      </w:r>
    </w:p>
    <w:p>
      <w:pPr>
        <w:pStyle w:val="BookText"/>
      </w:pPr>
      <w:r>
        <w:rPr>
          <w:rFonts w:ascii="IRNazanin" w:hAnsi="IRNazanin" w:eastAsia="IRNazanin" w:cs="IRNazanin"/>
          <w:lang w:bidi="fa-IR"/>
          <w:color w:val="111111"/>
          <w:sz w:val="28"/>
          <w:szCs w:val="28"/>
          <w:rtl/>
        </w:rPr>
        <w:t xml:space="preserve">از مکان المصلی آغاز می شود؛ خط: نسخ خوش، کا: ابراهیم حاجی سلطان عبد الجلیل ،شیروانی تا 1030ق؛ قطع جیبی [چهار کتابخانه مشهد - ف - 5]</w:t>
      </w:r>
    </w:p>
    <w:p>
      <w:pPr>
        <w:pStyle w:val="BookText"/>
      </w:pPr>
      <w:r>
        <w:rPr>
          <w:rFonts w:ascii="Times New Roman" w:hAnsi="Times New Roman" w:eastAsia="Times New Roman" w:cs="Times New Roman"/>
          <w:lang w:val="en-US" w:bidi="en-US"/>
          <w:color w:val="111111"/>
          <w:sz w:val="28"/>
          <w:szCs w:val="28"/>
          <w:rtl/>
        </w:rPr>
        <w:t xml:space="preserve">273.</w:t>
      </w:r>
    </w:p>
    <w:p>
      <w:pPr>
        <w:pStyle w:val="BookText"/>
      </w:pPr>
      <w:r>
        <w:rPr>
          <w:rFonts w:ascii="IRNazanin" w:hAnsi="IRNazanin" w:eastAsia="IRNazanin" w:cs="IRNazanin"/>
          <w:lang w:bidi="fa-IR"/>
          <w:color w:val="111111"/>
          <w:sz w:val="28"/>
          <w:szCs w:val="28"/>
          <w:rtl/>
        </w:rPr>
        <w:t xml:space="preserve">شیراز؛ امام عصر؛ شماره نسخه: 337/2</w:t>
      </w:r>
    </w:p>
    <w:p>
      <w:pPr>
        <w:pStyle w:val="BookText"/>
      </w:pPr>
      <w:r>
        <w:rPr>
          <w:rFonts w:ascii="IRNazanin" w:hAnsi="IRNazanin" w:eastAsia="IRNazanin" w:cs="IRNazanin"/>
          <w:lang w:bidi="fa-IR"/>
          <w:color w:val="111111"/>
          <w:sz w:val="28"/>
          <w:szCs w:val="28"/>
          <w:rtl/>
        </w:rPr>
        <w:t xml:space="preserve">خط : نسخ، کا: حسب الله بن علی اكبر ،حسینی :تا 7 محرم- 1032ق؛ مصحح محشی؛ 286گ (26-312)، اندازه: 19</w:t>
      </w:r>
      <w:r>
        <w:rPr>
          <w:rFonts w:ascii="Times New Roman" w:hAnsi="Times New Roman" w:eastAsia="Times New Roman" w:cs="Times New Roman"/>
          <w:lang w:val="en-US" w:bidi="en-US"/>
          <w:color w:val="111111"/>
          <w:sz w:val="28"/>
          <w:szCs w:val="28"/>
          <w:rtl/>
        </w:rPr>
        <w:t xml:space="preserve">×25 [</w:t>
      </w:r>
      <w:r>
        <w:rPr>
          <w:rFonts w:ascii="IRNazanin" w:hAnsi="IRNazanin" w:eastAsia="IRNazanin" w:cs="IRNazanin"/>
          <w:lang w:bidi="fa-IR"/>
          <w:color w:val="111111"/>
          <w:sz w:val="28"/>
          <w:szCs w:val="28"/>
          <w:rtl/>
        </w:rPr>
        <w:t xml:space="preserve">ف: 1 - 117]</w:t>
      </w:r>
    </w:p>
    <w:p>
      <w:pPr>
        <w:pStyle w:val="BookText"/>
      </w:pPr>
      <w:r>
        <w:rPr>
          <w:rFonts w:ascii="IRNazanin" w:hAnsi="IRNazanin" w:eastAsia="IRNazanin" w:cs="IRNazanin"/>
          <w:lang w:bidi="fa-IR"/>
          <w:color w:val="111111"/>
          <w:sz w:val="28"/>
          <w:szCs w:val="28"/>
          <w:rtl/>
        </w:rPr>
        <w:t xml:space="preserve">274 . قم؛ فیضیه؛ شماره نسخه: 341</w:t>
      </w:r>
    </w:p>
    <w:p>
      <w:pPr>
        <w:pStyle w:val="BookText"/>
      </w:pPr>
      <w:r>
        <w:rPr>
          <w:rFonts w:ascii="IRNazanin" w:hAnsi="IRNazanin" w:eastAsia="IRNazanin" w:cs="IRNazanin"/>
          <w:lang w:bidi="fa-IR"/>
          <w:color w:val="111111"/>
          <w:sz w:val="28"/>
          <w:szCs w:val="28"/>
          <w:rtl/>
        </w:rPr>
        <w:t xml:space="preserve">خط: تحریری بی کا تا :1032ق؛ 267، 13 سطر ، اندازه: 23</w:t>
      </w:r>
      <w:r>
        <w:rPr>
          <w:rFonts w:ascii="Times New Roman" w:hAnsi="Times New Roman" w:eastAsia="Times New Roman" w:cs="Times New Roman"/>
          <w:lang w:val="en-US" w:bidi="en-US"/>
          <w:color w:val="111111"/>
          <w:sz w:val="28"/>
          <w:szCs w:val="28"/>
          <w:rtl/>
        </w:rPr>
        <w:t xml:space="preserve">x18</w:t>
      </w:r>
      <w:r>
        <w:rPr>
          <w:rFonts w:ascii="IRNazanin" w:hAnsi="IRNazanin" w:eastAsia="IRNazanin" w:cs="IRNazanin"/>
          <w:lang w:bidi="fa-IR"/>
          <w:color w:val="111111"/>
          <w:sz w:val="28"/>
          <w:szCs w:val="28"/>
          <w:rtl/>
        </w:rPr>
        <w:t xml:space="preserve">سم [ف: 1 - 7]</w:t>
      </w:r>
    </w:p>
    <w:p>
      <w:pPr>
        <w:pStyle w:val="BookText"/>
      </w:pPr>
      <w:r>
        <w:rPr>
          <w:rFonts w:ascii="IRNazanin" w:hAnsi="IRNazanin" w:eastAsia="IRNazanin" w:cs="IRNazanin"/>
          <w:lang w:bidi="fa-IR"/>
          <w:color w:val="111111"/>
          <w:sz w:val="28"/>
          <w:szCs w:val="28"/>
          <w:rtl/>
        </w:rPr>
        <w:t xml:space="preserve">275 . مشهد؛ رضوی؛ شماره نسخه: 16919</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 نسخ، کا: سید محمد بن شوکت حسینی تا یک شنبه 12 ربیع الثانی 1032ق؛ افتادگی: وسط (از برگ دوم 6 ورق)؛ محمداغلب با رمز «ع ل» دارای بلاغ؛ ارسالی از دانشگاه علوم اسلا می ، ، رضوی در مهر 1368 کاغذ: نخودی و بعضاً ،حنایی :جلد: تیم قهوه ای، 260گ، 14 سطر ، اندازه: 17/7</w:t>
      </w:r>
      <w:r>
        <w:rPr>
          <w:rFonts w:ascii="Times New Roman" w:hAnsi="Times New Roman" w:eastAsia="Times New Roman" w:cs="Times New Roman"/>
          <w:lang w:val="en-US" w:bidi="en-US"/>
          <w:color w:val="111111"/>
          <w:sz w:val="28"/>
          <w:szCs w:val="28"/>
          <w:rtl/>
        </w:rPr>
        <w:t xml:space="preserve">×21/8</w:t>
      </w:r>
      <w:r>
        <w:rPr>
          <w:rFonts w:ascii="IRNazanin" w:hAnsi="IRNazanin" w:eastAsia="IRNazanin" w:cs="IRNazanin"/>
          <w:lang w:bidi="fa-IR"/>
          <w:color w:val="111111"/>
          <w:sz w:val="28"/>
          <w:szCs w:val="28"/>
          <w:rtl/>
        </w:rPr>
        <w:t xml:space="preserve">سم [ ف: 21/1 - 2 ]</w:t>
      </w:r>
    </w:p>
    <w:p>
      <w:pPr>
        <w:pStyle w:val="BookText"/>
      </w:pPr>
      <w:r>
        <w:rPr>
          <w:rFonts w:ascii="IRNazanin" w:hAnsi="IRNazanin" w:eastAsia="IRNazanin" w:cs="IRNazanin"/>
          <w:lang w:bidi="fa-IR"/>
          <w:color w:val="111111"/>
          <w:sz w:val="28"/>
          <w:szCs w:val="28"/>
          <w:rtl/>
        </w:rPr>
        <w:t xml:space="preserve">276 . مشهد؛ رضوی؛ شماره نسخه: 25644</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1032ق [رایانه]</w:t>
      </w:r>
    </w:p>
    <w:p>
      <w:pPr>
        <w:pStyle w:val="BookText"/>
      </w:pPr>
      <w:r>
        <w:rPr>
          <w:rFonts w:ascii="Times New Roman" w:hAnsi="Times New Roman" w:eastAsia="Times New Roman" w:cs="Times New Roman"/>
          <w:lang w:val="en-US" w:bidi="en-US"/>
          <w:color w:val="111111"/>
          <w:sz w:val="28"/>
          <w:szCs w:val="28"/>
          <w:rtl/>
        </w:rPr>
        <w:t xml:space="preserve">277.</w:t>
      </w:r>
    </w:p>
    <w:p>
      <w:pPr>
        <w:pStyle w:val="BookText"/>
      </w:pPr>
      <w:r>
        <w:rPr>
          <w:rFonts w:ascii="IRNazanin" w:hAnsi="IRNazanin" w:eastAsia="IRNazanin" w:cs="IRNazanin"/>
          <w:lang w:bidi="fa-IR"/>
          <w:color w:val="111111"/>
          <w:sz w:val="28"/>
          <w:szCs w:val="28"/>
          <w:rtl/>
        </w:rPr>
        <w:t xml:space="preserve">مشهد؛ رضوی؛ شماره نسخه: 25635</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1032ق [رایانه]</w:t>
      </w:r>
    </w:p>
    <w:p>
      <w:pPr>
        <w:pStyle w:val="BookText"/>
      </w:pPr>
      <w:r>
        <w:rPr>
          <w:rFonts w:ascii="IRNazanin" w:hAnsi="IRNazanin" w:eastAsia="IRNazanin" w:cs="IRNazanin"/>
          <w:lang w:bidi="fa-IR"/>
          <w:color w:val="111111"/>
          <w:sz w:val="28"/>
          <w:szCs w:val="28"/>
          <w:rtl/>
        </w:rPr>
        <w:t xml:space="preserve">278 . مشهد؛ رضوی؛ شماره نسخه: 25664</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1032ق [رایانه].</w:t>
      </w:r>
    </w:p>
    <w:p>
      <w:pPr>
        <w:pStyle w:val="BookText"/>
      </w:pPr>
      <w:r>
        <w:rPr>
          <w:rFonts w:ascii="Times New Roman" w:hAnsi="Times New Roman" w:eastAsia="Times New Roman" w:cs="Times New Roman"/>
          <w:lang w:val="en-US" w:bidi="en-US"/>
          <w:color w:val="111111"/>
          <w:sz w:val="28"/>
          <w:szCs w:val="28"/>
          <w:rtl/>
        </w:rPr>
        <w:t xml:space="preserve">279.</w:t>
      </w:r>
    </w:p>
    <w:p>
      <w:pPr>
        <w:pStyle w:val="BookText"/>
      </w:pPr>
      <w:r>
        <w:rPr>
          <w:rFonts w:ascii="IRNazanin" w:hAnsi="IRNazanin" w:eastAsia="IRNazanin" w:cs="IRNazanin"/>
          <w:lang w:bidi="fa-IR"/>
          <w:color w:val="111111"/>
          <w:sz w:val="28"/>
          <w:szCs w:val="28"/>
          <w:rtl/>
        </w:rPr>
        <w:t xml:space="preserve">مشهد؛ مدرسه میرزا جعفر شماره نسخه: 110</w:t>
      </w:r>
    </w:p>
    <w:p>
      <w:pPr>
        <w:pStyle w:val="BookText"/>
      </w:pPr>
      <w:r>
        <w:rPr>
          <w:rFonts w:ascii="IRNazanin" w:hAnsi="IRNazanin" w:eastAsia="IRNazanin" w:cs="IRNazanin"/>
          <w:lang w:bidi="fa-IR"/>
          <w:color w:val="111111"/>
          <w:sz w:val="28"/>
          <w:szCs w:val="28"/>
          <w:rtl/>
        </w:rPr>
        <w:t xml:space="preserve">خط نسخ، کا: سید محمد بن سید شوکت حسینی، تا: ربیع الثانی، 1032ق؛ افتادگی: وسط؛ با حواشی «ع ل» شرح شرایع، شرح لمعه» و جز اینها در هامش نخستین برگ نونویس و پس از این چند برگی افتاده؛ کاغذ: چند جزو از کتاب در کاغذ سرخ رنگ؛ قطع خشتی [چهار کتابخانه مشهد -ف: - 43]</w:t>
      </w:r>
    </w:p>
    <w:p>
      <w:pPr>
        <w:pStyle w:val="BookText"/>
      </w:pPr>
      <w:r>
        <w:rPr>
          <w:rFonts w:ascii="Times New Roman" w:hAnsi="Times New Roman" w:eastAsia="Times New Roman" w:cs="Times New Roman"/>
          <w:lang w:val="en-US" w:bidi="en-US"/>
          <w:color w:val="111111"/>
          <w:sz w:val="28"/>
          <w:szCs w:val="28"/>
          <w:rtl/>
        </w:rPr>
        <w:t xml:space="preserve">280.</w:t>
      </w:r>
    </w:p>
    <w:p>
      <w:pPr>
        <w:pStyle w:val="BookText"/>
      </w:pPr>
      <w:r>
        <w:rPr>
          <w:rFonts w:ascii="IRNazanin" w:hAnsi="IRNazanin" w:eastAsia="IRNazanin" w:cs="IRNazanin"/>
          <w:lang w:bidi="fa-IR"/>
          <w:color w:val="111111"/>
          <w:sz w:val="28"/>
          <w:szCs w:val="28"/>
          <w:rtl/>
        </w:rPr>
        <w:t xml:space="preserve">اصفهان؛ عمومی اصفهان فرهنگ سابق؛ شماره نسخه: 3067</w:t>
      </w:r>
    </w:p>
    <w:p>
      <w:pPr>
        <w:pStyle w:val="BookText"/>
      </w:pPr>
      <w:r>
        <w:rPr>
          <w:rFonts w:ascii="IRNazanin" w:hAnsi="IRNazanin" w:eastAsia="IRNazanin" w:cs="IRNazanin"/>
          <w:lang w:bidi="fa-IR"/>
          <w:color w:val="111111"/>
          <w:sz w:val="28"/>
          <w:szCs w:val="28"/>
          <w:rtl/>
        </w:rPr>
        <w:t xml:space="preserve">خط: نسخ بی کا تا پنج شنبه 7 ربيع الثاني 1034ق؛ كاغذ: ،اصفهانی ،جلد ،مقوایی 240 ص، 15سطر (11</w:t>
      </w:r>
      <w:r>
        <w:rPr>
          <w:rFonts w:ascii="Times New Roman" w:hAnsi="Times New Roman" w:eastAsia="Times New Roman" w:cs="Times New Roman"/>
          <w:lang w:val="en-US" w:bidi="en-US"/>
          <w:color w:val="111111"/>
          <w:sz w:val="28"/>
          <w:szCs w:val="28"/>
          <w:rtl/>
        </w:rPr>
        <w:t xml:space="preserve">×6)</w:t>
      </w:r>
      <w:r>
        <w:rPr>
          <w:rFonts w:ascii="IRNazanin" w:hAnsi="IRNazanin" w:eastAsia="IRNazanin" w:cs="IRNazanin"/>
          <w:lang w:bidi="fa-IR"/>
          <w:color w:val="111111"/>
          <w:sz w:val="28"/>
          <w:szCs w:val="28"/>
          <w:rtl/>
        </w:rPr>
        <w:t xml:space="preserve">، اندازه : 13</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سم [ف: 1 - 178]</w:t>
      </w:r>
    </w:p>
    <w:p>
      <w:pPr>
        <w:pStyle w:val="BookText"/>
      </w:pPr>
      <w:r>
        <w:rPr>
          <w:rFonts w:ascii="Times New Roman" w:hAnsi="Times New Roman" w:eastAsia="Times New Roman" w:cs="Times New Roman"/>
          <w:lang w:val="en-US" w:bidi="en-US"/>
          <w:color w:val="111111"/>
          <w:sz w:val="28"/>
          <w:szCs w:val="28"/>
          <w:rtl/>
        </w:rPr>
        <w:t xml:space="preserve">281.</w:t>
      </w:r>
    </w:p>
    <w:p>
      <w:pPr>
        <w:pStyle w:val="BookText"/>
      </w:pPr>
      <w:r>
        <w:rPr>
          <w:rFonts w:ascii="IRNazanin" w:hAnsi="IRNazanin" w:eastAsia="IRNazanin" w:cs="IRNazanin"/>
          <w:lang w:bidi="fa-IR"/>
          <w:color w:val="111111"/>
          <w:sz w:val="28"/>
          <w:szCs w:val="28"/>
          <w:rtl/>
        </w:rPr>
        <w:t xml:space="preserve">یزد؛ وزیری؛ شماره نسخه: 502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عبدالملک کا: عبدالملك الرفيع، تا: جمادی الاول 1034ق؛ محشی به نشان های «ق م ز» و «شع» و «ع ل»؛ مهر تملك: «محمد کاظم»، «عبدالواسع»؛ کاغذ: فرنگی جلد: مقوایی با تیماج ،مشکی 201،گ 15 سطر (14</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 اندازه: 18/5</w:t>
      </w:r>
      <w:r>
        <w:rPr>
          <w:rFonts w:ascii="Times New Roman" w:hAnsi="Times New Roman" w:eastAsia="Times New Roman" w:cs="Times New Roman"/>
          <w:lang w:val="en-US" w:bidi="en-US"/>
          <w:color w:val="111111"/>
          <w:sz w:val="28"/>
          <w:szCs w:val="28"/>
          <w:rtl/>
        </w:rPr>
        <w:t xml:space="preserve">×25</w:t>
      </w:r>
      <w:r>
        <w:rPr>
          <w:rFonts w:ascii="IRNazanin" w:hAnsi="IRNazanin" w:eastAsia="IRNazanin" w:cs="IRNazanin"/>
          <w:lang w:bidi="fa-IR"/>
          <w:color w:val="111111"/>
          <w:sz w:val="28"/>
          <w:szCs w:val="28"/>
          <w:rtl/>
        </w:rPr>
        <w:t xml:space="preserve">سم [ ف : 2 - 437]</w:t>
      </w:r>
    </w:p>
    <w:p>
      <w:pPr>
        <w:pStyle w:val="BookText"/>
      </w:pPr>
      <w:r>
        <w:rPr>
          <w:rFonts w:ascii="IRNazanin" w:hAnsi="IRNazanin" w:eastAsia="IRNazanin" w:cs="IRNazanin"/>
          <w:lang w:bidi="fa-IR"/>
          <w:color w:val="111111"/>
          <w:sz w:val="28"/>
          <w:szCs w:val="28"/>
          <w:rtl/>
        </w:rPr>
        <w:t xml:space="preserve">282 یزد؛ وزیری؛ شماره نسخه: 871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محمد رضا بن حاج حسین بیگ، تا: رجب 1035ق؛ مهر تملک : محمداسماعيل الحسینی؛ کاغذ ،فرنگی :جلد پارچه ای با عطف تیماج قهوه ای 285،گ 16 سطر (8</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اندازه: 16 </w:t>
      </w:r>
      <w:r>
        <w:rPr>
          <w:rFonts w:ascii="Times New Roman" w:hAnsi="Times New Roman" w:eastAsia="Times New Roman" w:cs="Times New Roman"/>
          <w:lang w:val="en-US" w:bidi="en-US"/>
          <w:color w:val="111111"/>
          <w:sz w:val="28"/>
          <w:szCs w:val="28"/>
          <w:rtl/>
        </w:rPr>
        <w:t xml:space="preserve">×26</w:t>
      </w:r>
      <w:r>
        <w:rPr>
          <w:rFonts w:ascii="IRNazanin" w:hAnsi="IRNazanin" w:eastAsia="IRNazanin" w:cs="IRNazanin"/>
          <w:lang w:bidi="fa-IR"/>
          <w:color w:val="111111"/>
          <w:sz w:val="28"/>
          <w:szCs w:val="28"/>
          <w:rtl/>
        </w:rPr>
        <w:t xml:space="preserve">سم [ف: 2 - 725]</w:t>
      </w:r>
    </w:p>
    <w:p>
      <w:pPr>
        <w:pStyle w:val="BookText"/>
      </w:pPr>
      <w:r>
        <w:rPr>
          <w:rFonts w:ascii="IRNazanin" w:hAnsi="IRNazanin" w:eastAsia="IRNazanin" w:cs="IRNazanin"/>
          <w:lang w:bidi="fa-IR"/>
          <w:color w:val="111111"/>
          <w:sz w:val="28"/>
          <w:szCs w:val="28"/>
          <w:rtl/>
        </w:rPr>
        <w:t xml:space="preserve">283 . قم؛ زنجانی (آیة الله)؛ شماره نسخه:22</w:t>
      </w:r>
    </w:p>
    <w:p>
      <w:pPr>
        <w:pStyle w:val="BookText"/>
      </w:pPr>
      <w:r>
        <w:rPr>
          <w:rFonts w:ascii="IRNazanin" w:hAnsi="IRNazanin" w:eastAsia="IRNazanin" w:cs="IRNazanin"/>
          <w:lang w:bidi="fa-IR"/>
          <w:color w:val="111111"/>
          <w:sz w:val="28"/>
          <w:szCs w:val="28"/>
          <w:rtl/>
        </w:rPr>
        <w:t xml:space="preserve">خط: نستعلیق،کا :محمد امین بن ابو طالب طباطبایی، تا: سه شنبه 2 شعبان 1035ق؛ بر برگ آغاز این یادداشت: «امانت عالی حضرت میرزایی عمدة الاعالی میرزا محمد کاظما نزد فقیر محمد مهدی، و هفت جزو حاشیه میرزا رفیعا بر اصول ،کافی طلب عالی حضرت مشار الیه از بنده به تاریخ غره شهر ذي القعدة الحرام عام 1068؛ تملک: محمد امین بن ابو طالب الطباطبایی 1022 محمد شفیع بن شاه محمود، تملکی مورخ 1193؛ کاغذ: سمرقندی قطع وزیری [چند نسخه ف - 198]</w:t>
      </w:r>
    </w:p>
    <w:p>
      <w:pPr>
        <w:pStyle w:val="BookText"/>
      </w:pPr>
      <w:r>
        <w:rPr>
          <w:rFonts w:ascii="IRNazanin" w:hAnsi="IRNazanin" w:eastAsia="IRNazanin" w:cs="IRNazanin"/>
          <w:lang w:bidi="fa-IR"/>
          <w:color w:val="111111"/>
          <w:sz w:val="28"/>
          <w:szCs w:val="28"/>
          <w:rtl/>
        </w:rPr>
        <w:t xml:space="preserve">284 . قم؛ مؤسسه آیة الله بروجردی؛ شماره نسخه: 3</w:t>
      </w:r>
    </w:p>
    <w:p>
      <w:pPr>
        <w:pStyle w:val="BookText"/>
      </w:pPr>
      <w:r>
        <w:rPr>
          <w:rFonts w:ascii="IRNazanin" w:hAnsi="IRNazanin" w:eastAsia="IRNazanin" w:cs="IRNazanin"/>
          <w:lang w:bidi="fa-IR"/>
          <w:color w:val="111111"/>
          <w:sz w:val="28"/>
          <w:szCs w:val="28"/>
          <w:rtl/>
        </w:rPr>
        <w:t xml:space="preserve">خط: نسخ، کا :مسعود بن ابى البقاء ،شریف، تا: سه شنبه 15 ذیحجه 1035ق ،مصحح ،محشی، در هفت صفحه قبل از کتاب و سه صفحه بعد از آن فواید و یادداشت ها و اشعار مختلف به خط علی اکبر حسینی و احمد بن عبدالدائم به تاریخ صفر1045 و مسعود بن ابى البقاء سرکانی به تاریخ غره رجب 1040 در اصفهان و تقلید خط شیخ بهاء الدین عاملی؛ تملکی به تاریخ 1301 با مهر بیضوی؛ جلد: تیماج قهوه ای، 235گ، 16 سطر ، اندازه 16</w:t>
      </w:r>
      <w:r>
        <w:rPr>
          <w:rFonts w:ascii="Times New Roman" w:hAnsi="Times New Roman" w:eastAsia="Times New Roman" w:cs="Times New Roman"/>
          <w:lang w:val="en-US" w:bidi="en-US"/>
          <w:color w:val="111111"/>
          <w:sz w:val="28"/>
          <w:szCs w:val="28"/>
          <w:rtl/>
        </w:rPr>
        <w:t xml:space="preserve">×25</w:t>
      </w:r>
      <w:r>
        <w:rPr>
          <w:rFonts w:ascii="IRNazanin" w:hAnsi="IRNazanin" w:eastAsia="IRNazanin" w:cs="IRNazanin"/>
          <w:lang w:bidi="fa-IR"/>
          <w:color w:val="111111"/>
          <w:sz w:val="28"/>
          <w:szCs w:val="28"/>
          <w:rtl/>
        </w:rPr>
        <w:t xml:space="preserve">سم [ف: 1 - 8]</w:t>
      </w:r>
    </w:p>
    <w:p>
      <w:pPr>
        <w:pStyle w:val="BookText"/>
      </w:pPr>
      <w:r>
        <w:rPr>
          <w:rFonts w:ascii="Times New Roman" w:hAnsi="Times New Roman" w:eastAsia="Times New Roman" w:cs="Times New Roman"/>
          <w:lang w:val="en-US" w:bidi="en-US"/>
          <w:color w:val="111111"/>
          <w:sz w:val="28"/>
          <w:szCs w:val="28"/>
          <w:rtl/>
        </w:rPr>
        <w:t xml:space="preserve">280.</w:t>
      </w:r>
    </w:p>
    <w:p>
      <w:pPr>
        <w:pStyle w:val="BookText"/>
      </w:pPr>
      <w:r>
        <w:rPr>
          <w:rFonts w:ascii="IRNazanin" w:hAnsi="IRNazanin" w:eastAsia="IRNazanin" w:cs="IRNazanin"/>
          <w:lang w:bidi="fa-IR"/>
          <w:color w:val="111111"/>
          <w:sz w:val="28"/>
          <w:szCs w:val="28"/>
          <w:rtl/>
        </w:rPr>
        <w:t xml:space="preserve">قم؛ مرکز احیاء؛ شماره نسخه: 3855</w:t>
      </w:r>
    </w:p>
    <w:p>
      <w:pPr>
        <w:pStyle w:val="BookText"/>
      </w:pPr>
      <w:r>
        <w:rPr>
          <w:rFonts w:ascii="Amiri" w:hAnsi="Amiri" w:eastAsia="Amiri" w:cs="Amiri"/>
          <w:lang w:bidi="ar-SA"/>
          <w:color w:val="111111"/>
          <w:sz w:val="28"/>
          <w:szCs w:val="28"/>
          <w:rtl/>
        </w:rPr>
        <w:t xml:space="preserve">آغاز: بيديه على التراب ثم يمسح بهما جبهته من القصاص الى طرف الأنف الاعلى ثم يمسح ظهر كفه اليمنى</w:t>
      </w:r>
    </w:p>
    <w:p>
      <w:pPr>
        <w:pStyle w:val="BookText"/>
      </w:pPr>
      <w:r>
        <w:rPr>
          <w:rFonts w:ascii="IRNazanin" w:hAnsi="IRNazanin" w:eastAsia="IRNazanin" w:cs="IRNazanin"/>
          <w:lang w:bidi="fa-IR"/>
          <w:color w:val="111111"/>
          <w:sz w:val="28"/>
          <w:szCs w:val="28"/>
          <w:rtl/>
        </w:rPr>
        <w:t xml:space="preserve">خط: نسخ، کا: علی بن جان محمد سیری از اعمال ترشیز، تا: 12 رمضان 1035ق؛ افتادگی: آغاز ،مصحح محشی؛ تملک: «محمد ترشیزی»، «شاه محمد بن ميرزا محمد نیشابوری»؛ جلد: تیماج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قهوه ای ،ضربی 205گ 13 سطر ، اندازه 20</w:t>
      </w:r>
      <w:r>
        <w:rPr>
          <w:rFonts w:ascii="Times New Roman" w:hAnsi="Times New Roman" w:eastAsia="Times New Roman" w:cs="Times New Roman"/>
          <w:lang w:val="en-US" w:bidi="en-US"/>
          <w:color w:val="111111"/>
          <w:sz w:val="28"/>
          <w:szCs w:val="28"/>
          <w:rtl/>
        </w:rPr>
        <w:t xml:space="preserve">×25/5</w:t>
      </w:r>
      <w:r>
        <w:rPr>
          <w:rFonts w:ascii="IRNazanin" w:hAnsi="IRNazanin" w:eastAsia="IRNazanin" w:cs="IRNazanin"/>
          <w:lang w:bidi="fa-IR"/>
          <w:color w:val="111111"/>
          <w:sz w:val="28"/>
          <w:szCs w:val="28"/>
          <w:rtl/>
        </w:rPr>
        <w:t xml:space="preserve">سم [محدث ارموی مخ: 1 - 111]</w:t>
      </w:r>
    </w:p>
    <w:p>
      <w:pPr>
        <w:pStyle w:val="BookText"/>
      </w:pPr>
      <w:r>
        <w:rPr>
          <w:rFonts w:ascii="Times New Roman" w:hAnsi="Times New Roman" w:eastAsia="Times New Roman" w:cs="Times New Roman"/>
          <w:lang w:val="en-US" w:bidi="en-US"/>
          <w:color w:val="111111"/>
          <w:sz w:val="28"/>
          <w:szCs w:val="28"/>
          <w:rtl/>
        </w:rPr>
        <w:t xml:space="preserve">286.</w:t>
      </w:r>
    </w:p>
    <w:p>
      <w:pPr>
        <w:pStyle w:val="BookText"/>
      </w:pPr>
      <w:r>
        <w:rPr>
          <w:rFonts w:ascii="IRNazanin" w:hAnsi="IRNazanin" w:eastAsia="IRNazanin" w:cs="IRNazanin"/>
          <w:lang w:bidi="fa-IR"/>
          <w:color w:val="111111"/>
          <w:sz w:val="28"/>
          <w:szCs w:val="28"/>
          <w:rtl/>
        </w:rPr>
        <w:t xml:space="preserve">تهران؛ دانشگاه؛ شماره نسخه: 6369/2</w:t>
      </w:r>
    </w:p>
    <w:p>
      <w:pPr>
        <w:pStyle w:val="BookText"/>
      </w:pPr>
      <w:r>
        <w:rPr>
          <w:rFonts w:ascii="IRNazanin" w:hAnsi="IRNazanin" w:eastAsia="IRNazanin" w:cs="IRNazanin"/>
          <w:lang w:bidi="fa-IR"/>
          <w:color w:val="111111"/>
          <w:sz w:val="28"/>
          <w:szCs w:val="28"/>
          <w:rtl/>
        </w:rPr>
        <w:t xml:space="preserve">خط: نسخ، بی کا، تا: جمعه 17 محرم 1036ق؛ محشی؛ کاغذ: سپاهانی و فرنگی، جلد: تیماج حنایی ضربی مقوایی، 20 س- (11</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قطع : خشتی اندازه : 18</w:t>
      </w:r>
      <w:r>
        <w:rPr>
          <w:rFonts w:ascii="Times New Roman" w:hAnsi="Times New Roman" w:eastAsia="Times New Roman" w:cs="Times New Roman"/>
          <w:lang w:val="en-US" w:bidi="en-US"/>
          <w:color w:val="111111"/>
          <w:sz w:val="28"/>
          <w:szCs w:val="28"/>
          <w:rtl/>
        </w:rPr>
        <w:t xml:space="preserve">×25</w:t>
      </w:r>
      <w:r>
        <w:rPr>
          <w:rFonts w:ascii="IRNazanin" w:hAnsi="IRNazanin" w:eastAsia="IRNazanin" w:cs="IRNazanin"/>
          <w:lang w:bidi="fa-IR"/>
          <w:color w:val="111111"/>
          <w:sz w:val="28"/>
          <w:szCs w:val="28"/>
          <w:rtl/>
        </w:rPr>
        <w:t xml:space="preserve">سم [ف: 16 - 253]</w:t>
      </w:r>
    </w:p>
    <w:p>
      <w:pPr>
        <w:pStyle w:val="BookText"/>
      </w:pPr>
      <w:r>
        <w:rPr>
          <w:rFonts w:ascii="Times New Roman" w:hAnsi="Times New Roman" w:eastAsia="Times New Roman" w:cs="Times New Roman"/>
          <w:lang w:val="en-US" w:bidi="en-US"/>
          <w:color w:val="111111"/>
          <w:sz w:val="28"/>
          <w:szCs w:val="28"/>
          <w:rtl/>
        </w:rPr>
        <w:t xml:space="preserve">287.</w:t>
      </w:r>
    </w:p>
    <w:p>
      <w:pPr>
        <w:pStyle w:val="BookText"/>
      </w:pPr>
      <w:r>
        <w:rPr>
          <w:rFonts w:ascii="IRNazanin" w:hAnsi="IRNazanin" w:eastAsia="IRNazanin" w:cs="IRNazanin"/>
          <w:lang w:bidi="fa-IR"/>
          <w:color w:val="111111"/>
          <w:sz w:val="28"/>
          <w:szCs w:val="28"/>
          <w:rtl/>
        </w:rPr>
        <w:t xml:space="preserve">مشهد؛ شیخ علی حیدر شماره نسخه: 737</w:t>
      </w:r>
    </w:p>
    <w:p>
      <w:pPr>
        <w:pStyle w:val="BookText"/>
      </w:pPr>
      <w:r>
        <w:rPr>
          <w:rFonts w:ascii="IRNazanin" w:hAnsi="IRNazanin" w:eastAsia="IRNazanin" w:cs="IRNazanin"/>
          <w:lang w:bidi="fa-IR"/>
          <w:color w:val="111111"/>
          <w:sz w:val="28"/>
          <w:szCs w:val="28"/>
          <w:rtl/>
        </w:rPr>
        <w:t xml:space="preserve">خط: نستعلیق، کا :شفیع بن محمد مومن قائینی، تا :1 جمادی 1036ق، جا: مشهد ،رضوی، مدرسة افضلا؛ مصحح، فهرست سنة 1037؛ تملک: محمد باقر الکرمانی در 1122 جلد:چرم زرد- مایل به سیاهی ، 227گ، 18 سطر ، اندازه: 13 </w:t>
      </w:r>
      <w:r>
        <w:rPr>
          <w:rFonts w:ascii="Times New Roman" w:hAnsi="Times New Roman" w:eastAsia="Times New Roman" w:cs="Times New Roman"/>
          <w:lang w:val="en-US" w:bidi="en-US"/>
          <w:color w:val="111111"/>
          <w:sz w:val="28"/>
          <w:szCs w:val="28"/>
          <w:rtl/>
        </w:rPr>
        <w:t xml:space="preserve">×26 </w:t>
      </w:r>
      <w:r>
        <w:rPr>
          <w:rFonts w:ascii="Amiri" w:hAnsi="Amiri" w:eastAsia="Amiri" w:cs="Amiri"/>
          <w:lang w:bidi="ar-SA"/>
          <w:color w:val="111111"/>
          <w:sz w:val="28"/>
          <w:szCs w:val="28"/>
          <w:rtl/>
        </w:rPr>
        <w:t xml:space="preserve">سم [ مؤيد: 2 - 7 ]</w:t>
      </w:r>
    </w:p>
    <w:p>
      <w:pPr>
        <w:pStyle w:val="BookText"/>
      </w:pPr>
      <w:r>
        <w:rPr>
          <w:rFonts w:ascii="Times New Roman" w:hAnsi="Times New Roman" w:eastAsia="Times New Roman" w:cs="Times New Roman"/>
          <w:lang w:val="en-US" w:bidi="en-US"/>
          <w:color w:val="111111"/>
          <w:sz w:val="28"/>
          <w:szCs w:val="28"/>
          <w:rtl/>
        </w:rPr>
        <w:t xml:space="preserve">288.</w:t>
      </w:r>
    </w:p>
    <w:p>
      <w:pPr>
        <w:pStyle w:val="BookText"/>
      </w:pPr>
      <w:r>
        <w:rPr>
          <w:rFonts w:ascii="IRNazanin" w:hAnsi="IRNazanin" w:eastAsia="IRNazanin" w:cs="IRNazanin"/>
          <w:lang w:bidi="fa-IR"/>
          <w:color w:val="111111"/>
          <w:sz w:val="28"/>
          <w:szCs w:val="28"/>
          <w:rtl/>
        </w:rPr>
        <w:t xml:space="preserve">اصفهان؛ دانشگاه؛ شماره نسخه: 113/3</w:t>
      </w:r>
    </w:p>
    <w:p>
      <w:pPr>
        <w:pStyle w:val="BookText"/>
      </w:pPr>
      <w:r>
        <w:rPr>
          <w:rFonts w:ascii="IRNazanin" w:hAnsi="IRNazanin" w:eastAsia="IRNazanin" w:cs="IRNazanin"/>
          <w:lang w:bidi="fa-IR"/>
          <w:color w:val="111111"/>
          <w:sz w:val="28"/>
          <w:szCs w:val="28"/>
          <w:rtl/>
        </w:rPr>
        <w:t xml:space="preserve">خط: نسخ، کا :محمد بن شاه محمد حسینی موسوی دریاباری، پنج شنبه 8 جمادى الثانى 1026ق، جا :قزوین مدرسه رزم سا ریه [نشریه: 11 - 925]</w:t>
      </w:r>
    </w:p>
    <w:p>
      <w:pPr>
        <w:pStyle w:val="BookText"/>
      </w:pPr>
      <w:r>
        <w:rPr>
          <w:rFonts w:ascii="IRNazanin" w:hAnsi="IRNazanin" w:eastAsia="IRNazanin" w:cs="IRNazanin"/>
          <w:lang w:bidi="fa-IR"/>
          <w:color w:val="111111"/>
          <w:sz w:val="28"/>
          <w:szCs w:val="28"/>
          <w:rtl/>
        </w:rPr>
        <w:t xml:space="preserve">289 مشهد؛ رضوی؛ شماره نسخه : 36731</w:t>
      </w:r>
    </w:p>
    <w:p>
      <w:pPr>
        <w:pStyle w:val="BookText"/>
      </w:pPr>
      <w:r>
        <w:rPr>
          <w:rFonts w:ascii="IRNazanin" w:hAnsi="IRNazanin" w:eastAsia="IRNazanin" w:cs="IRNazanin"/>
          <w:lang w:bidi="fa-IR"/>
          <w:color w:val="111111"/>
          <w:sz w:val="28"/>
          <w:szCs w:val="28"/>
          <w:rtl/>
        </w:rPr>
        <w:t xml:space="preserve">خط: نستعليق، كا: شفيع بن محمد مؤمن قاینی تا: 1 جمادی الثانی 1036ق؛ مصحح ،محشی؛ اهدائی ،رهبری مهر 1386 کاغذ: نخودی ،آهار مهره :جلد: تیماج قهوه ای ضربی با ترنج و سر ترنج عطف تیماج قهوه ای و سجاف ،مشکی، 227گ 18 سطر، اندازه :13</w:t>
      </w:r>
      <w:r>
        <w:rPr>
          <w:rFonts w:ascii="Times New Roman" w:hAnsi="Times New Roman" w:eastAsia="Times New Roman" w:cs="Times New Roman"/>
          <w:lang w:val="en-US" w:bidi="en-US"/>
          <w:color w:val="111111"/>
          <w:sz w:val="28"/>
          <w:szCs w:val="28"/>
          <w:rtl/>
        </w:rPr>
        <w:t xml:space="preserve">× 26</w:t>
      </w:r>
      <w:r>
        <w:rPr>
          <w:rFonts w:ascii="IRNazanin" w:hAnsi="IRNazanin" w:eastAsia="IRNazanin" w:cs="IRNazanin"/>
          <w:lang w:bidi="fa-IR"/>
          <w:color w:val="111111"/>
          <w:sz w:val="28"/>
          <w:szCs w:val="28"/>
          <w:rtl/>
        </w:rPr>
        <w:t xml:space="preserve">سم [ اهدائی - ف: 3 - 50]</w:t>
      </w:r>
    </w:p>
    <w:p>
      <w:pPr>
        <w:pStyle w:val="BookText"/>
      </w:pPr>
      <w:r>
        <w:rPr>
          <w:rFonts w:ascii="IRNazanin" w:hAnsi="IRNazanin" w:eastAsia="IRNazanin" w:cs="IRNazanin"/>
          <w:lang w:bidi="fa-IR"/>
          <w:color w:val="111111"/>
          <w:sz w:val="28"/>
          <w:szCs w:val="28"/>
          <w:rtl/>
        </w:rPr>
        <w:t xml:space="preserve">290 . قم؛ فیضیه شماره نسخه: 1489</w:t>
      </w:r>
    </w:p>
    <w:p>
      <w:pPr>
        <w:pStyle w:val="BookText"/>
      </w:pPr>
      <w:r>
        <w:rPr>
          <w:rFonts w:ascii="IRNazanin" w:hAnsi="IRNazanin" w:eastAsia="IRNazanin" w:cs="IRNazanin"/>
          <w:lang w:bidi="fa-IR"/>
          <w:color w:val="111111"/>
          <w:sz w:val="28"/>
          <w:szCs w:val="28"/>
          <w:rtl/>
        </w:rPr>
        <w:t xml:space="preserve">خط: نسخ، کا: محمد امین بن حاج محمود ،واعظ تا 1037ق؛ 316گ، 15 سطر ، اندازه: 13</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1 - 9]</w:t>
      </w:r>
    </w:p>
    <w:p>
      <w:pPr>
        <w:pStyle w:val="BookText"/>
      </w:pPr>
      <w:r>
        <w:rPr>
          <w:rFonts w:ascii="IRNazanin" w:hAnsi="IRNazanin" w:eastAsia="IRNazanin" w:cs="IRNazanin"/>
          <w:lang w:bidi="fa-IR"/>
          <w:color w:val="111111"/>
          <w:sz w:val="28"/>
          <w:szCs w:val="28"/>
          <w:rtl/>
        </w:rPr>
        <w:t xml:space="preserve">291 . قم؛ مسجد اعظم؛ شماره نسخه: 1752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كا :محمد جعفر بن محمد مؤمن ،طالقانی تا:21 شعبان 1037 ق:جلد: تيماج قهوه ای با ترنج و سر و لچک مجدول ضربی ، 259گ، 14 سطر ، اندازه: 17 </w:t>
      </w:r>
      <w:r>
        <w:rPr>
          <w:rFonts w:ascii="Times New Roman" w:hAnsi="Times New Roman" w:eastAsia="Times New Roman" w:cs="Times New Roman"/>
          <w:lang w:val="en-US" w:bidi="en-US"/>
          <w:color w:val="111111"/>
          <w:sz w:val="28"/>
          <w:szCs w:val="28"/>
          <w:rtl/>
        </w:rPr>
        <w:t xml:space="preserve">×24</w:t>
      </w:r>
      <w:r>
        <w:rPr>
          <w:rFonts w:ascii="IRNazanin" w:hAnsi="IRNazanin" w:eastAsia="IRNazanin" w:cs="IRNazanin"/>
          <w:lang w:bidi="fa-IR"/>
          <w:color w:val="111111"/>
          <w:sz w:val="28"/>
          <w:szCs w:val="28"/>
          <w:rtl/>
        </w:rPr>
        <w:t xml:space="preserve">سم [ف مخ: 1 - 129]</w:t>
      </w:r>
    </w:p>
    <w:p>
      <w:pPr>
        <w:pStyle w:val="BookText"/>
      </w:pPr>
      <w:r>
        <w:rPr>
          <w:rFonts w:ascii="Times New Roman" w:hAnsi="Times New Roman" w:eastAsia="Times New Roman" w:cs="Times New Roman"/>
          <w:lang w:val="en-US" w:bidi="en-US"/>
          <w:color w:val="111111"/>
          <w:sz w:val="28"/>
          <w:szCs w:val="28"/>
          <w:rtl/>
        </w:rPr>
        <w:t xml:space="preserve">292.</w:t>
      </w:r>
    </w:p>
    <w:p>
      <w:pPr>
        <w:pStyle w:val="BookText"/>
      </w:pPr>
      <w:r>
        <w:rPr>
          <w:rFonts w:ascii="IRNazanin" w:hAnsi="IRNazanin" w:eastAsia="IRNazanin" w:cs="IRNazanin"/>
          <w:lang w:bidi="fa-IR"/>
          <w:color w:val="111111"/>
          <w:sz w:val="28"/>
          <w:szCs w:val="28"/>
          <w:rtl/>
        </w:rPr>
        <w:t xml:space="preserve">مشهد؛ گوهر شاد؛ شماره نسخه: 897</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:رکن الدین محمد بن معزالدین محمد حسینی ادهمی تا: پنج شنبه 12 محرم 1038ق؛ مصحح محشی، مقابله شده، در آغاز نسخه پنج برگ اضافی با یادداشت هایی متفرقه- چند دعاء رموز مشایخ بدین شرح «ط - شیخ ابوجعفر طوسی  ف- شيخ مفيد ض - سیدمرتضی س - ابن ادریس ب = ابن بابویه ع- عبادالدین ح = ابو الصلاح ق - ابن ابی عقیلی - قطب الد الراوندی ر - سالار (سلار) زی - شیخ زيدالدين ج - ابن براج مه -  علامه ع ل - شیخ علی پس از آن رموز کتاب ها بدین قرار  آمده: ر - استبصار ح-سرائر مصباح ل- جمل ع- مقنع ک- مستمسک له- رساله یع- شرایع فی- کافی-ه- تبصره. ر- مختصرد- ارشاد عد- قواعد لف- مختلفد- اقتصاد ع - عقلیه یب- تهذیب ن-ارکان م- مراسم ر = محرر» پس از آن صیغ برخی افعال عبادی وفوائد فقهی؛ مهر :حاج سید سعید کاغذ: اصفهانی، جلد: تیماج عنابی، 15 سطر (12</w:t>
      </w:r>
      <w:r>
        <w:rPr>
          <w:rFonts w:ascii="Times New Roman" w:hAnsi="Times New Roman" w:eastAsia="Times New Roman" w:cs="Times New Roman"/>
          <w:lang w:val="en-US" w:bidi="en-US"/>
          <w:color w:val="111111"/>
          <w:sz w:val="28"/>
          <w:szCs w:val="28"/>
          <w:rtl/>
        </w:rPr>
        <w:t xml:space="preserve">×6) </w:t>
      </w:r>
      <w:r>
        <w:rPr>
          <w:rFonts w:ascii="IRNazanin" w:hAnsi="IRNazanin" w:eastAsia="IRNazanin" w:cs="IRNazanin"/>
          <w:lang w:bidi="fa-IR"/>
          <w:color w:val="111111"/>
          <w:sz w:val="28"/>
          <w:szCs w:val="28"/>
          <w:rtl/>
        </w:rPr>
        <w:t xml:space="preserve">اندازه:13</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3 - 1216]</w:t>
      </w:r>
    </w:p>
    <w:p>
      <w:pPr>
        <w:pStyle w:val="BookText"/>
      </w:pPr>
      <w:r>
        <w:rPr>
          <w:rFonts w:ascii="IRNazanin" w:hAnsi="IRNazanin" w:eastAsia="IRNazanin" w:cs="IRNazanin"/>
          <w:lang w:bidi="fa-IR"/>
          <w:color w:val="111111"/>
          <w:sz w:val="28"/>
          <w:szCs w:val="28"/>
          <w:rtl/>
        </w:rPr>
        <w:t xml:space="preserve">293 . قم؛ فیضیه شماره نسخه: 613</w:t>
      </w:r>
    </w:p>
    <w:p>
      <w:pPr>
        <w:pStyle w:val="BookText"/>
      </w:pPr>
      <w:r>
        <w:rPr>
          <w:rFonts w:ascii="IRNazanin" w:hAnsi="IRNazanin" w:eastAsia="IRNazanin" w:cs="IRNazanin"/>
          <w:lang w:bidi="fa-IR"/>
          <w:color w:val="111111"/>
          <w:sz w:val="28"/>
          <w:szCs w:val="28"/>
          <w:rtl/>
        </w:rPr>
        <w:t xml:space="preserve">خط: نسخ، کا: محمد حسین تا: 1039ق؛ افتادگی: آغاز و انجام؛ 222گ، 17 سطر ، اندازه: 18 </w:t>
      </w:r>
      <w:r>
        <w:rPr>
          <w:rFonts w:ascii="Times New Roman" w:hAnsi="Times New Roman" w:eastAsia="Times New Roman" w:cs="Times New Roman"/>
          <w:lang w:val="en-US" w:bidi="en-US"/>
          <w:color w:val="111111"/>
          <w:sz w:val="28"/>
          <w:szCs w:val="28"/>
          <w:rtl/>
        </w:rPr>
        <w:t xml:space="preserve">×26 </w:t>
      </w:r>
      <w:r>
        <w:rPr>
          <w:rFonts w:ascii="IRNazanin" w:hAnsi="IRNazanin" w:eastAsia="IRNazanin" w:cs="IRNazanin"/>
          <w:lang w:bidi="fa-IR"/>
          <w:color w:val="111111"/>
          <w:sz w:val="28"/>
          <w:szCs w:val="28"/>
          <w:rtl/>
        </w:rPr>
        <w:t xml:space="preserve">سم [ف: 1 - 8]</w:t>
      </w:r>
    </w:p>
    <w:p>
      <w:pPr>
        <w:pStyle w:val="BookText"/>
      </w:pPr>
      <w:r>
        <w:rPr>
          <w:rFonts w:ascii="IRNazanin" w:hAnsi="IRNazanin" w:eastAsia="IRNazanin" w:cs="IRNazanin"/>
          <w:lang w:bidi="fa-IR"/>
          <w:color w:val="111111"/>
          <w:sz w:val="28"/>
          <w:szCs w:val="28"/>
          <w:rtl/>
        </w:rPr>
        <w:t xml:space="preserve">294 .کاشان؛ مدرسه سلطانی؛ شماره نسخه: 65</w:t>
      </w:r>
    </w:p>
    <w:p>
      <w:pPr>
        <w:pStyle w:val="BookText"/>
      </w:pPr>
      <w:r>
        <w:rPr>
          <w:rFonts w:ascii="Amiri" w:hAnsi="Amiri" w:eastAsia="Amiri" w:cs="Amiri"/>
          <w:lang w:bidi="ar-SA"/>
          <w:color w:val="111111"/>
          <w:sz w:val="28"/>
          <w:szCs w:val="28"/>
          <w:rtl/>
        </w:rPr>
        <w:t xml:space="preserve">آغاز :بارشاد الاذهان إلى احكام الايمان مستمدا من الله تعالى حسن التوفيق. .. كتاب الطهارة و النظر فى اقسامها و اسبابها و ما يحصل به و توابعها الاول في اقسامها؛ انجام: برابر</w:t>
      </w:r>
    </w:p>
    <w:p>
      <w:pPr>
        <w:pStyle w:val="BookText"/>
      </w:pPr>
      <w:r>
        <w:rPr>
          <w:rFonts w:ascii="IRNazanin" w:hAnsi="IRNazanin" w:eastAsia="IRNazanin" w:cs="IRNazanin"/>
          <w:lang w:bidi="fa-IR"/>
          <w:color w:val="111111"/>
          <w:sz w:val="28"/>
          <w:szCs w:val="28"/>
          <w:rtl/>
        </w:rPr>
        <w:t xml:space="preserve">خط: نسخ، بی کا ،تا :2 رمضان 1039ق؛ افتادگی (آغاز یک برگ)؛ محشی به فارسی و عربی؛ جلد :تیماج سرخ اسلیمی عطف پارچه با ترنج ضربی گل و بوته و سرترنج لولادار، 236گ، 14 سطر ، اندازه 20</w:t>
      </w:r>
      <w:r>
        <w:rPr>
          <w:rFonts w:ascii="Times New Roman" w:hAnsi="Times New Roman" w:eastAsia="Times New Roman" w:cs="Times New Roman"/>
          <w:lang w:val="en-US" w:bidi="en-US"/>
          <w:color w:val="111111"/>
          <w:sz w:val="28"/>
          <w:szCs w:val="28"/>
          <w:rtl/>
        </w:rPr>
        <w:t xml:space="preserve">×27</w:t>
      </w:r>
      <w:r>
        <w:rPr>
          <w:rFonts w:ascii="IRNazanin" w:hAnsi="IRNazanin" w:eastAsia="IRNazanin" w:cs="IRNazanin"/>
          <w:lang w:bidi="fa-IR"/>
          <w:color w:val="111111"/>
          <w:sz w:val="28"/>
          <w:szCs w:val="28"/>
          <w:rtl/>
        </w:rPr>
        <w:t xml:space="preserve">سم [ف]</w:t>
      </w:r>
    </w:p>
    <w:p>
      <w:pPr>
        <w:pStyle w:val="BookText"/>
      </w:pPr>
      <w:r>
        <w:rPr>
          <w:rFonts w:ascii="IRNazanin" w:hAnsi="IRNazanin" w:eastAsia="IRNazanin" w:cs="IRNazanin"/>
          <w:lang w:bidi="fa-IR"/>
          <w:color w:val="111111"/>
          <w:sz w:val="28"/>
          <w:szCs w:val="28"/>
          <w:rtl/>
        </w:rPr>
        <w:t xml:space="preserve">295 . قم؛ مسجد اعظم؛ شماره نسخه: 3612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خط:نسخ، کا : محمد علی بن مهر على جزی برخوارنی تا: یک شنبه 26 شعبان 1040ق، جا: چین؛ مجدول، مصحح، محشى با امضاهای مختلف؛ مهر: «عبده محمد تقى 1169» (مربع)؛ جلد: تیماج زرشکی دورو مجدول گرهی مذهب، 232گ، مختلف السطر ، اندازه: 18</w:t>
      </w:r>
      <w:r>
        <w:rPr>
          <w:rFonts w:ascii="Times New Roman" w:hAnsi="Times New Roman" w:eastAsia="Times New Roman" w:cs="Times New Roman"/>
          <w:lang w:val="en-US" w:bidi="en-US"/>
          <w:color w:val="111111"/>
          <w:sz w:val="28"/>
          <w:szCs w:val="28"/>
          <w:rtl/>
        </w:rPr>
        <w:t xml:space="preserve">×29</w:t>
      </w:r>
      <w:r>
        <w:rPr>
          <w:rFonts w:ascii="IRNazanin" w:hAnsi="IRNazanin" w:eastAsia="IRNazanin" w:cs="IRNazanin"/>
          <w:lang w:bidi="fa-IR"/>
          <w:color w:val="111111"/>
          <w:sz w:val="28"/>
          <w:szCs w:val="28"/>
          <w:rtl/>
        </w:rPr>
        <w:t xml:space="preserve">سم [ف مخ: 1 - 129]</w:t>
      </w:r>
    </w:p>
    <w:p>
      <w:pPr>
        <w:pStyle w:val="BookText"/>
      </w:pPr>
      <w:r>
        <w:rPr>
          <w:rFonts w:ascii="Times New Roman" w:hAnsi="Times New Roman" w:eastAsia="Times New Roman" w:cs="Times New Roman"/>
          <w:lang w:val="en-US" w:bidi="en-US"/>
          <w:color w:val="111111"/>
          <w:sz w:val="28"/>
          <w:szCs w:val="28"/>
          <w:rtl/>
        </w:rPr>
        <w:t xml:space="preserve">296.</w:t>
      </w:r>
    </w:p>
    <w:p>
      <w:pPr>
        <w:pStyle w:val="BookText"/>
      </w:pPr>
      <w:r>
        <w:rPr>
          <w:rFonts w:ascii="IRNazanin" w:hAnsi="IRNazanin" w:eastAsia="IRNazanin" w:cs="IRNazanin"/>
          <w:lang w:bidi="fa-IR"/>
          <w:color w:val="111111"/>
          <w:sz w:val="28"/>
          <w:szCs w:val="28"/>
          <w:rtl/>
        </w:rPr>
        <w:t xml:space="preserve">تهران؛ سپهسالار؛ شماره نسخه: 2440</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کامل؛ خط: نسخ کا محمد باقر بن مولانا خواجه غفاری مازندرانی تا 1040ق؛ محشی از مصنف و کتب فقهیه و شیخ علی و بدون امضاء، پس از ختم کتاب دعائی از رساله خواجه محمد بازیار برای دفع وبا و طاعون واقف: سپهسالار؛ کاغذ: ،اصفهانی :جلد :تيماج، 173ص، 17 سطر ، قطع: رحلی، اندازه: 19</w:t>
      </w:r>
      <w:r>
        <w:rPr>
          <w:rFonts w:ascii="Times New Roman" w:hAnsi="Times New Roman" w:eastAsia="Times New Roman" w:cs="Times New Roman"/>
          <w:lang w:val="en-US" w:bidi="en-US"/>
          <w:color w:val="111111"/>
          <w:sz w:val="28"/>
          <w:szCs w:val="28"/>
          <w:rtl/>
        </w:rPr>
        <w:t xml:space="preserve">× 25/5 </w:t>
      </w:r>
      <w:r>
        <w:rPr>
          <w:rFonts w:ascii="IRNazanin" w:hAnsi="IRNazanin" w:eastAsia="IRNazanin" w:cs="IRNazanin"/>
          <w:lang w:bidi="fa-IR"/>
          <w:color w:val="111111"/>
          <w:sz w:val="28"/>
          <w:szCs w:val="28"/>
          <w:rtl/>
        </w:rPr>
        <w:t xml:space="preserve">سم [ف: 1 - 357]</w:t>
      </w:r>
    </w:p>
    <w:p>
      <w:pPr>
        <w:pStyle w:val="BookText"/>
      </w:pPr>
      <w:r>
        <w:rPr>
          <w:rFonts w:ascii="Times New Roman" w:hAnsi="Times New Roman" w:eastAsia="Times New Roman" w:cs="Times New Roman"/>
          <w:lang w:val="en-US" w:bidi="en-US"/>
          <w:color w:val="111111"/>
          <w:sz w:val="28"/>
          <w:szCs w:val="28"/>
          <w:rtl/>
        </w:rPr>
        <w:t xml:space="preserve">297.</w:t>
      </w:r>
    </w:p>
    <w:p>
      <w:pPr>
        <w:pStyle w:val="BookText"/>
      </w:pPr>
      <w:r>
        <w:rPr>
          <w:rFonts w:ascii="IRNazanin" w:hAnsi="IRNazanin" w:eastAsia="IRNazanin" w:cs="IRNazanin"/>
          <w:lang w:bidi="fa-IR"/>
          <w:color w:val="111111"/>
          <w:sz w:val="28"/>
          <w:szCs w:val="28"/>
          <w:rtl/>
        </w:rPr>
        <w:t xml:space="preserve">تهران؛ مدرسه مروی؛ شماره نسخه: 485</w:t>
      </w:r>
    </w:p>
    <w:p>
      <w:pPr>
        <w:pStyle w:val="BookText"/>
      </w:pPr>
      <w:r>
        <w:rPr>
          <w:rFonts w:ascii="IRNazanin" w:hAnsi="IRNazanin" w:eastAsia="IRNazanin" w:cs="IRNazanin"/>
          <w:lang w:bidi="fa-IR"/>
          <w:color w:val="111111"/>
          <w:sz w:val="28"/>
          <w:szCs w:val="28"/>
          <w:rtl/>
        </w:rPr>
        <w:t xml:space="preserve">بی کا، تا 1040ق؛ قطع وزیری [ف: 65]</w:t>
      </w:r>
    </w:p>
    <w:p>
      <w:pPr>
        <w:pStyle w:val="BookText"/>
      </w:pPr>
      <w:r>
        <w:rPr>
          <w:rFonts w:ascii="Times New Roman" w:hAnsi="Times New Roman" w:eastAsia="Times New Roman" w:cs="Times New Roman"/>
          <w:lang w:val="en-US" w:bidi="en-US"/>
          <w:color w:val="111111"/>
          <w:sz w:val="28"/>
          <w:szCs w:val="28"/>
          <w:rtl/>
        </w:rPr>
        <w:t xml:space="preserve">298.</w:t>
      </w:r>
    </w:p>
    <w:p>
      <w:pPr>
        <w:pStyle w:val="BookText"/>
      </w:pPr>
      <w:r>
        <w:rPr>
          <w:rFonts w:ascii="IRNazanin" w:hAnsi="IRNazanin" w:eastAsia="IRNazanin" w:cs="IRNazanin"/>
          <w:lang w:bidi="fa-IR"/>
          <w:color w:val="111111"/>
          <w:sz w:val="28"/>
          <w:szCs w:val="28"/>
          <w:rtl/>
        </w:rPr>
        <w:t xml:space="preserve">همدان؛ مدرسه غرب؛ شماره نسخه: 596</w:t>
      </w:r>
    </w:p>
    <w:p>
      <w:pPr>
        <w:pStyle w:val="BookText"/>
      </w:pPr>
      <w:r>
        <w:rPr>
          <w:rFonts w:ascii="IRNazanin" w:hAnsi="IRNazanin" w:eastAsia="IRNazanin" w:cs="IRNazanin"/>
          <w:lang w:bidi="fa-IR"/>
          <w:color w:val="111111"/>
          <w:sz w:val="28"/>
          <w:szCs w:val="28"/>
          <w:rtl/>
        </w:rPr>
        <w:t xml:space="preserve">خط : نسخ، كا حاج محمد بن محمود تا پنج شنبه اواخر ربیع الثانى 1041ق؛ کاتب با دست چپ خود نوشته است؛ قطع: وزیری [ف: 1284]</w:t>
      </w:r>
    </w:p>
    <w:p>
      <w:pPr>
        <w:pStyle w:val="BookText"/>
      </w:pPr>
      <w:r>
        <w:rPr>
          <w:rFonts w:ascii="Amiri" w:hAnsi="Amiri" w:eastAsia="Amiri" w:cs="Amiri"/>
          <w:lang w:bidi="ar-SA"/>
          <w:color w:val="111111"/>
          <w:sz w:val="28"/>
          <w:szCs w:val="28"/>
          <w:rtl/>
        </w:rPr>
        <w:t xml:space="preserve">299 . قم؛ فيضيه؛ شماره نسخه: 578</w:t>
      </w:r>
    </w:p>
    <w:p>
      <w:pPr>
        <w:pStyle w:val="BookText"/>
      </w:pPr>
      <w:r>
        <w:rPr>
          <w:rFonts w:ascii="IRNazanin" w:hAnsi="IRNazanin" w:eastAsia="IRNazanin" w:cs="IRNazanin"/>
          <w:lang w:bidi="fa-IR"/>
          <w:color w:val="111111"/>
          <w:sz w:val="28"/>
          <w:szCs w:val="28"/>
          <w:rtl/>
        </w:rPr>
        <w:t xml:space="preserve">خط: نسخ، کا جمال الدین محمد حسینی، تا 1042ق؛ 180گ، 17 سطر ، اندازه: 17</w:t>
      </w:r>
      <w:r>
        <w:rPr>
          <w:rFonts w:ascii="Times New Roman" w:hAnsi="Times New Roman" w:eastAsia="Times New Roman" w:cs="Times New Roman"/>
          <w:lang w:val="en-US" w:bidi="en-US"/>
          <w:color w:val="111111"/>
          <w:sz w:val="28"/>
          <w:szCs w:val="28"/>
          <w:rtl/>
        </w:rPr>
        <w:t xml:space="preserve">×25</w:t>
      </w:r>
      <w:r>
        <w:rPr>
          <w:rFonts w:ascii="IRNazanin" w:hAnsi="IRNazanin" w:eastAsia="IRNazanin" w:cs="IRNazanin"/>
          <w:lang w:bidi="fa-IR"/>
          <w:color w:val="111111"/>
          <w:sz w:val="28"/>
          <w:szCs w:val="28"/>
          <w:rtl/>
        </w:rPr>
        <w:t xml:space="preserve">سم [ف: 1 - 8]</w:t>
      </w:r>
    </w:p>
    <w:p>
      <w:pPr>
        <w:pStyle w:val="BookText"/>
      </w:pPr>
      <w:r>
        <w:rPr>
          <w:rFonts w:ascii="Times New Roman" w:hAnsi="Times New Roman" w:eastAsia="Times New Roman" w:cs="Times New Roman"/>
          <w:lang w:val="en-US" w:bidi="en-US"/>
          <w:color w:val="111111"/>
          <w:sz w:val="28"/>
          <w:szCs w:val="28"/>
          <w:rtl/>
        </w:rPr>
        <w:t xml:space="preserve">300.</w:t>
      </w:r>
    </w:p>
    <w:p>
      <w:pPr>
        <w:pStyle w:val="BookText"/>
      </w:pPr>
      <w:r>
        <w:rPr>
          <w:rFonts w:ascii="IRNazanin" w:hAnsi="IRNazanin" w:eastAsia="IRNazanin" w:cs="IRNazanin"/>
          <w:lang w:bidi="fa-IR"/>
          <w:color w:val="111111"/>
          <w:sz w:val="28"/>
          <w:szCs w:val="28"/>
          <w:rtl/>
        </w:rPr>
        <w:t xml:space="preserve">قم؛ گلپایگانی؛ شماره نسخه: 7716-52/56</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بی کا تا شعبان 1043ق؛ محشی؛ تملک: حاجی احمد بن علی کشمیری ؛ 245گ ، 16سطر، اندازه: 13 </w:t>
      </w:r>
      <w:r>
        <w:rPr>
          <w:rFonts w:ascii="Times New Roman" w:hAnsi="Times New Roman" w:eastAsia="Times New Roman" w:cs="Times New Roman"/>
          <w:lang w:val="en-US" w:bidi="en-US"/>
          <w:color w:val="111111"/>
          <w:sz w:val="28"/>
          <w:szCs w:val="28"/>
          <w:rtl/>
        </w:rPr>
        <w:t xml:space="preserve">×26 </w:t>
      </w:r>
      <w:r>
        <w:rPr>
          <w:rFonts w:ascii="IRNazanin" w:hAnsi="IRNazanin" w:eastAsia="IRNazanin" w:cs="IRNazanin"/>
          <w:lang w:bidi="fa-IR"/>
          <w:color w:val="111111"/>
          <w:sz w:val="28"/>
          <w:szCs w:val="28"/>
          <w:rtl/>
        </w:rPr>
        <w:t xml:space="preserve">سم [ف: 1 - 305]</w:t>
      </w:r>
    </w:p>
    <w:p>
      <w:pPr>
        <w:pStyle w:val="BookText"/>
      </w:pPr>
      <w:r>
        <w:rPr>
          <w:rFonts w:ascii="Times New Roman" w:hAnsi="Times New Roman" w:eastAsia="Times New Roman" w:cs="Times New Roman"/>
          <w:lang w:val="en-US" w:bidi="en-US"/>
          <w:color w:val="111111"/>
          <w:sz w:val="28"/>
          <w:szCs w:val="28"/>
          <w:rtl/>
        </w:rPr>
        <w:t xml:space="preserve">301.</w:t>
      </w:r>
    </w:p>
    <w:p>
      <w:pPr>
        <w:pStyle w:val="BookText"/>
      </w:pPr>
      <w:r>
        <w:rPr>
          <w:rFonts w:ascii="IRNazanin" w:hAnsi="IRNazanin" w:eastAsia="IRNazanin" w:cs="IRNazanin"/>
          <w:lang w:bidi="fa-IR"/>
          <w:color w:val="111111"/>
          <w:sz w:val="28"/>
          <w:szCs w:val="28"/>
          <w:rtl/>
        </w:rPr>
        <w:t xml:space="preserve">قم؛ گلپایگانی؛ شماره نسخه: 5400-27/75</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آغاز :ويعقد عليها ولو وطئها واعتقها حرم على الغير قبل العدة النظر الثانى فى العقد و انما يصح باذن المالك انجام :برابر</w:t>
      </w:r>
    </w:p>
    <w:p>
      <w:pPr>
        <w:pStyle w:val="BookText"/>
      </w:pPr>
      <w:r>
        <w:rPr>
          <w:rFonts w:ascii="IRNazanin" w:hAnsi="IRNazanin" w:eastAsia="IRNazanin" w:cs="IRNazanin"/>
          <w:lang w:bidi="fa-IR"/>
          <w:color w:val="111111"/>
          <w:sz w:val="28"/>
          <w:szCs w:val="28"/>
          <w:rtl/>
        </w:rPr>
        <w:t xml:space="preserve">نکاح تا دیات؛ کا :جزایری تا: 1044ق؛ افتادگی: آغاز جلد: تیماج طبله اول قهوه ای طبله دوم مشکی، 121گ، 17 سطر :اندازه 115</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1 - 306]</w:t>
      </w:r>
    </w:p>
    <w:p>
      <w:pPr>
        <w:pStyle w:val="BookText"/>
      </w:pPr>
      <w:r>
        <w:rPr>
          <w:rFonts w:ascii="Times New Roman" w:hAnsi="Times New Roman" w:eastAsia="Times New Roman" w:cs="Times New Roman"/>
          <w:lang w:val="en-US" w:bidi="en-US"/>
          <w:color w:val="111111"/>
          <w:sz w:val="28"/>
          <w:szCs w:val="28"/>
          <w:rtl/>
        </w:rPr>
        <w:t xml:space="preserve">302.</w:t>
      </w:r>
    </w:p>
    <w:p>
      <w:pPr>
        <w:pStyle w:val="BookText"/>
      </w:pPr>
      <w:r>
        <w:rPr>
          <w:rFonts w:ascii="IRNazanin" w:hAnsi="IRNazanin" w:eastAsia="IRNazanin" w:cs="IRNazanin"/>
          <w:lang w:bidi="fa-IR"/>
          <w:color w:val="111111"/>
          <w:sz w:val="28"/>
          <w:szCs w:val="28"/>
          <w:rtl/>
        </w:rPr>
        <w:t xml:space="preserve">قم؛ گلپایگانی؛ شماره نسخه: 7660-51/120</w:t>
      </w:r>
    </w:p>
    <w:p>
      <w:pPr>
        <w:pStyle w:val="BookText"/>
      </w:pPr>
      <w:r>
        <w:rPr>
          <w:rFonts w:ascii="Amiri" w:hAnsi="Amiri" w:eastAsia="Amiri" w:cs="Amiri"/>
          <w:lang w:bidi="ar-SA"/>
          <w:color w:val="111111"/>
          <w:sz w:val="28"/>
          <w:szCs w:val="28"/>
          <w:rtl/>
        </w:rPr>
        <w:t xml:space="preserve">آغاز: استقبال القبلة و استدبارها فى الصحارى و البنيان و غسل- موضع البول</w:t>
      </w:r>
    </w:p>
    <w:p>
      <w:pPr>
        <w:pStyle w:val="BookText"/>
      </w:pPr>
      <w:r>
        <w:rPr>
          <w:rFonts w:ascii="IRNazanin" w:hAnsi="IRNazanin" w:eastAsia="IRNazanin" w:cs="IRNazanin"/>
          <w:lang w:bidi="fa-IR"/>
          <w:color w:val="111111"/>
          <w:sz w:val="28"/>
          <w:szCs w:val="28"/>
          <w:rtl/>
        </w:rPr>
        <w:t xml:space="preserve">خط: نسخ ،کا :محمد زمان بن مولا بن محمد يوسف مازندر انی (کاتب 3 برگ ،آخر )تا: 16 محرم 1045ق؛ افتادگی: آغاز :تملک: محمد جعفر بن هدایت الله شهدادی؛ 205گ، 14 سطر ندازه: 13</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سم [ف: 1 - 305]</w:t>
      </w:r>
    </w:p>
    <w:p>
      <w:pPr>
        <w:pStyle w:val="BookText"/>
      </w:pPr>
      <w:r>
        <w:rPr>
          <w:rFonts w:ascii="IRNazanin" w:hAnsi="IRNazanin" w:eastAsia="IRNazanin" w:cs="IRNazanin"/>
          <w:lang w:bidi="fa-IR"/>
          <w:color w:val="111111"/>
          <w:sz w:val="28"/>
          <w:szCs w:val="28"/>
          <w:rtl/>
        </w:rPr>
        <w:t xml:space="preserve">303.قم؛ مرکز احیاء؛ شماره نسخه: 1274</w:t>
      </w:r>
    </w:p>
    <w:p>
      <w:pPr>
        <w:pStyle w:val="BookText"/>
      </w:pPr>
      <w:r>
        <w:rPr>
          <w:rFonts w:ascii="IRNazanin" w:hAnsi="IRNazanin" w:eastAsia="IRNazanin" w:cs="IRNazanin"/>
          <w:lang w:bidi="fa-IR"/>
          <w:color w:val="111111"/>
          <w:sz w:val="28"/>
          <w:szCs w:val="28"/>
          <w:rtl/>
        </w:rPr>
        <w:t xml:space="preserve">خط: نسخ، کا: محمد بن ذال مازندرانی، تا جمعه 28 شوال،  1045ق؛ جا مشهد مدرسه یوسف خواجه، مصحح، محشی،تملک: ولی بن محمود طروقی از قرای خبوشان :جلد: تیماج ،قرمز، 213گ، 16 سطر ، اندازه: 20</w:t>
      </w:r>
      <w:r>
        <w:rPr>
          <w:rFonts w:ascii="Times New Roman" w:hAnsi="Times New Roman" w:eastAsia="Times New Roman" w:cs="Times New Roman"/>
          <w:lang w:val="en-US" w:bidi="en-US"/>
          <w:color w:val="111111"/>
          <w:sz w:val="28"/>
          <w:szCs w:val="28"/>
          <w:rtl/>
        </w:rPr>
        <w:t xml:space="preserve">×25/5</w:t>
      </w:r>
      <w:r>
        <w:rPr>
          <w:rFonts w:ascii="IRNazanin" w:hAnsi="IRNazanin" w:eastAsia="IRNazanin" w:cs="IRNazanin"/>
          <w:lang w:bidi="fa-IR"/>
          <w:color w:val="111111"/>
          <w:sz w:val="28"/>
          <w:szCs w:val="28"/>
          <w:rtl/>
        </w:rPr>
        <w:t xml:space="preserve">سم [ف: 864]</w:t>
      </w:r>
    </w:p>
    <w:p>
      <w:pPr>
        <w:pStyle w:val="BookText"/>
      </w:pPr>
      <w:r>
        <w:rPr>
          <w:rFonts w:ascii="IRNazanin" w:hAnsi="IRNazanin" w:eastAsia="IRNazanin" w:cs="IRNazanin"/>
          <w:lang w:bidi="fa-IR"/>
          <w:color w:val="111111"/>
          <w:sz w:val="28"/>
          <w:szCs w:val="28"/>
          <w:rtl/>
        </w:rPr>
        <w:t xml:space="preserve">304.تهران؛ سپهسالار؛ شماره نسخه: 5876</w:t>
      </w:r>
    </w:p>
    <w:p>
      <w:pPr>
        <w:pStyle w:val="BookText"/>
      </w:pPr>
      <w:r>
        <w:rPr>
          <w:rFonts w:ascii="IRNazanin" w:hAnsi="IRNazanin" w:eastAsia="IRNazanin" w:cs="IRNazanin"/>
          <w:lang w:bidi="fa-IR"/>
          <w:color w:val="111111"/>
          <w:sz w:val="28"/>
          <w:szCs w:val="28"/>
          <w:rtl/>
        </w:rPr>
        <w:t xml:space="preserve">خط: نسخ و نسعلیق، کا: محمد صالح بن ملا قاسم حاجی  شهمیرزادی تا یک شنبه 20 محرم 1045ق؛ محشی با نشان«ع ل»  کاغذ: سپاهانی ،نخودی جلد: تیماج قهوه ای ضربی مقوا 211گ، 17 سطر ، اندازه 20</w:t>
      </w:r>
      <w:r>
        <w:rPr>
          <w:rFonts w:ascii="Times New Roman" w:hAnsi="Times New Roman" w:eastAsia="Times New Roman" w:cs="Times New Roman"/>
          <w:lang w:val="en-US" w:bidi="en-US"/>
          <w:color w:val="111111"/>
          <w:sz w:val="28"/>
          <w:szCs w:val="28"/>
          <w:rtl/>
        </w:rPr>
        <w:t xml:space="preserve">×25/5</w:t>
      </w:r>
      <w:r>
        <w:rPr>
          <w:rFonts w:ascii="IRNazanin" w:hAnsi="IRNazanin" w:eastAsia="IRNazanin" w:cs="IRNazanin"/>
          <w:lang w:bidi="fa-IR"/>
          <w:color w:val="111111"/>
          <w:sz w:val="28"/>
          <w:szCs w:val="28"/>
          <w:rtl/>
        </w:rPr>
        <w:t xml:space="preserve">سم [ف: 3 - 105]</w:t>
      </w:r>
    </w:p>
    <w:p>
      <w:pPr>
        <w:pStyle w:val="BookText"/>
      </w:pPr>
      <w:r>
        <w:rPr>
          <w:rFonts w:ascii="IRNazanin" w:hAnsi="IRNazanin" w:eastAsia="IRNazanin" w:cs="IRNazanin"/>
          <w:lang w:bidi="fa-IR"/>
          <w:color w:val="111111"/>
          <w:sz w:val="28"/>
          <w:szCs w:val="28"/>
          <w:rtl/>
        </w:rPr>
        <w:t xml:space="preserve">300 . قم؛ مسجد اعظم؛ شماره نسخه: 950</w:t>
      </w:r>
    </w:p>
    <w:p>
      <w:pPr>
        <w:pStyle w:val="BookText"/>
      </w:pPr>
      <w:r>
        <w:rPr>
          <w:rFonts w:ascii="IRNazanin" w:hAnsi="IRNazanin" w:eastAsia="IRNazanin" w:cs="IRNazanin"/>
          <w:lang w:bidi="fa-IR"/>
          <w:color w:val="111111"/>
          <w:sz w:val="28"/>
          <w:szCs w:val="28"/>
          <w:rtl/>
        </w:rPr>
        <w:t xml:space="preserve">آغاز ،بسمله حمدله، صلاة . .. الطهارة و النظر فى اقسامها واسبابها- وما تتصل به وتوابعها الاول فحا اقسامها وهى وضوء و غسل و تيمم وكل منها واجب و ندب؛ انجام: برابر خط: نسخ ،کا: محمد فتح الله حسینی ،کاظمی تا محرم 1045 یادداشت تملک: 1086 با مهر «عبده» (بیضی)؛ جلد: تیماج سبز مجدول، 193گ، 17 سطر ، اندازه: 20</w:t>
      </w:r>
      <w:r>
        <w:rPr>
          <w:rFonts w:ascii="Times New Roman" w:hAnsi="Times New Roman" w:eastAsia="Times New Roman" w:cs="Times New Roman"/>
          <w:lang w:val="en-US" w:bidi="en-US"/>
          <w:color w:val="111111"/>
          <w:sz w:val="28"/>
          <w:szCs w:val="28"/>
          <w:rtl/>
        </w:rPr>
        <w:t xml:space="preserve">×30</w:t>
      </w:r>
      <w:r>
        <w:rPr>
          <w:rFonts w:ascii="IRNazanin" w:hAnsi="IRNazanin" w:eastAsia="IRNazanin" w:cs="IRNazanin"/>
          <w:lang w:bidi="fa-IR"/>
          <w:color w:val="111111"/>
          <w:sz w:val="28"/>
          <w:szCs w:val="28"/>
          <w:rtl/>
        </w:rPr>
        <w:t xml:space="preserve">سم [ف مخ: 1 - 129 ]</w:t>
      </w:r>
    </w:p>
    <w:p>
      <w:pPr>
        <w:pStyle w:val="BookText"/>
      </w:pPr>
      <w:r>
        <w:rPr>
          <w:rFonts w:ascii="Times New Roman" w:hAnsi="Times New Roman" w:eastAsia="Times New Roman" w:cs="Times New Roman"/>
          <w:lang w:val="en-US" w:bidi="en-US"/>
          <w:color w:val="111111"/>
          <w:sz w:val="28"/>
          <w:szCs w:val="28"/>
          <w:rtl/>
        </w:rPr>
        <w:t xml:space="preserve">306.</w:t>
      </w:r>
    </w:p>
    <w:p>
      <w:pPr>
        <w:pStyle w:val="BookText"/>
      </w:pPr>
      <w:r>
        <w:rPr>
          <w:rFonts w:ascii="Amiri" w:hAnsi="Amiri" w:eastAsia="Amiri" w:cs="Amiri"/>
          <w:lang w:bidi="ar-SA"/>
          <w:color w:val="111111"/>
          <w:sz w:val="28"/>
          <w:szCs w:val="28"/>
          <w:rtl/>
        </w:rPr>
        <w:t xml:space="preserve">اصفهان؛ مكتبة الزهراء؛ شماره نسخه: 88</w:t>
      </w:r>
    </w:p>
    <w:p>
      <w:pPr>
        <w:pStyle w:val="BookText"/>
      </w:pPr>
      <w:r>
        <w:rPr>
          <w:rFonts w:ascii="IRNazanin" w:hAnsi="IRNazanin" w:eastAsia="IRNazanin" w:cs="IRNazanin"/>
          <w:lang w:bidi="fa-IR"/>
          <w:color w:val="111111"/>
          <w:sz w:val="28"/>
          <w:szCs w:val="28"/>
          <w:rtl/>
        </w:rPr>
        <w:t xml:space="preserve">خط: نسخ ،متوسط بی کا تا 4 رمضان 1045ق (145) ؛ 319 گ،17 سطر ، اندازه: 12/5</w:t>
      </w:r>
      <w:r>
        <w:rPr>
          <w:rFonts w:ascii="Times New Roman" w:hAnsi="Times New Roman" w:eastAsia="Times New Roman" w:cs="Times New Roman"/>
          <w:lang w:val="en-US" w:bidi="en-US"/>
          <w:color w:val="111111"/>
          <w:sz w:val="28"/>
          <w:szCs w:val="28"/>
          <w:rtl/>
        </w:rPr>
        <w:t xml:space="preserve">×24/5</w:t>
      </w:r>
      <w:r>
        <w:rPr>
          <w:rFonts w:ascii="IRNazanin" w:hAnsi="IRNazanin" w:eastAsia="IRNazanin" w:cs="IRNazanin"/>
          <w:lang w:bidi="fa-IR"/>
          <w:color w:val="111111"/>
          <w:sz w:val="28"/>
          <w:szCs w:val="28"/>
          <w:rtl/>
        </w:rPr>
        <w:t xml:space="preserve">سم [ف: 61]</w:t>
      </w:r>
    </w:p>
    <w:p>
      <w:pPr>
        <w:pStyle w:val="BookText"/>
      </w:pPr>
      <w:r>
        <w:rPr>
          <w:rFonts w:ascii="Times New Roman" w:hAnsi="Times New Roman" w:eastAsia="Times New Roman" w:cs="Times New Roman"/>
          <w:lang w:val="en-US" w:bidi="en-US"/>
          <w:color w:val="111111"/>
          <w:sz w:val="28"/>
          <w:szCs w:val="28"/>
          <w:rtl/>
        </w:rPr>
        <w:t xml:space="preserve">307.</w:t>
      </w:r>
    </w:p>
    <w:p>
      <w:pPr>
        <w:pStyle w:val="BookText"/>
      </w:pPr>
      <w:r>
        <w:rPr>
          <w:rFonts w:ascii="IRNazanin" w:hAnsi="IRNazanin" w:eastAsia="IRNazanin" w:cs="IRNazanin"/>
          <w:lang w:bidi="fa-IR"/>
          <w:color w:val="111111"/>
          <w:sz w:val="28"/>
          <w:szCs w:val="28"/>
          <w:rtl/>
        </w:rPr>
        <w:t xml:space="preserve">مشهد؛ ادبیات؛ شماره نسخه:32 فیاض</w:t>
      </w:r>
    </w:p>
    <w:p>
      <w:pPr>
        <w:pStyle w:val="BookText"/>
      </w:pPr>
      <w:r>
        <w:rPr>
          <w:rFonts w:ascii="IRNazanin" w:hAnsi="IRNazanin" w:eastAsia="IRNazanin" w:cs="IRNazanin"/>
          <w:lang w:bidi="fa-IR"/>
          <w:color w:val="111111"/>
          <w:sz w:val="28"/>
          <w:szCs w:val="28"/>
          <w:rtl/>
        </w:rPr>
        <w:t xml:space="preserve">خط: نسخ بی کا تا ذیحجه 1046ق؛ محشی منقول از «تحریر: دروس» و. ..؛ جلد: تیماج سرخ 11 سطر (8/5</w:t>
      </w: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 اندا زه: 19 </w:t>
      </w:r>
      <w:r>
        <w:rPr>
          <w:rFonts w:ascii="Times New Roman" w:hAnsi="Times New Roman" w:eastAsia="Times New Roman" w:cs="Times New Roman"/>
          <w:lang w:val="en-US" w:bidi="en-US"/>
          <w:color w:val="111111"/>
          <w:sz w:val="28"/>
          <w:szCs w:val="28"/>
          <w:rtl/>
        </w:rPr>
        <w:t xml:space="preserve">×26</w:t>
      </w:r>
      <w:r>
        <w:rPr>
          <w:rFonts w:ascii="IRNazanin" w:hAnsi="IRNazanin" w:eastAsia="IRNazanin" w:cs="IRNazanin"/>
          <w:lang w:bidi="fa-IR"/>
          <w:color w:val="111111"/>
          <w:sz w:val="28"/>
          <w:szCs w:val="28"/>
          <w:rtl/>
        </w:rPr>
        <w:t xml:space="preserve">سم [ف: 8]</w:t>
      </w:r>
    </w:p>
    <w:p>
      <w:pPr>
        <w:pStyle w:val="BookText"/>
      </w:pPr>
      <w:r>
        <w:rPr>
          <w:rFonts w:ascii="IRNazanin" w:hAnsi="IRNazanin" w:eastAsia="IRNazanin" w:cs="IRNazanin"/>
          <w:lang w:bidi="fa-IR"/>
          <w:color w:val="111111"/>
          <w:sz w:val="28"/>
          <w:szCs w:val="28"/>
          <w:rtl/>
        </w:rPr>
        <w:t xml:space="preserve">308 . مشهد؛ گوهر شاد؛ شماره نسخه: 176</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کا :ملا محمد بن ملا حسین تا شنبه 10 شوال 1046ق، مصحح، محشی منقول از «دروس و تحریر و شرایع ... »در پشت صفحه اول وصیت عبدالله بن عبد الواحد عاملی فرزندش عبدالعال در روز دوشنبه سوم شوال 1080ق به خط همان- عبد الله بن عبدالواحد عاملی؛ مهر :حاج سید سعید؛ کاغذ فرنگی، :جلد: تیماج ،مشکی، 269،گ 14 سطر (6</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،اندازه: 12/5</w:t>
      </w:r>
      <w:r>
        <w:rPr>
          <w:rFonts w:ascii="Times New Roman" w:hAnsi="Times New Roman" w:eastAsia="Times New Roman" w:cs="Times New Roman"/>
          <w:lang w:val="en-US" w:bidi="en-US"/>
          <w:color w:val="111111"/>
          <w:sz w:val="28"/>
          <w:szCs w:val="28"/>
          <w:rtl/>
        </w:rPr>
        <w:t xml:space="preserve">×26/5 </w:t>
      </w:r>
      <w:r>
        <w:rPr>
          <w:rFonts w:ascii="IRNazanin" w:hAnsi="IRNazanin" w:eastAsia="IRNazanin" w:cs="IRNazanin"/>
          <w:lang w:bidi="fa-IR"/>
          <w:color w:val="111111"/>
          <w:sz w:val="28"/>
          <w:szCs w:val="28"/>
          <w:rtl/>
        </w:rPr>
        <w:t xml:space="preserve">سم [ف: 1 - 149]</w:t>
      </w:r>
    </w:p>
    <w:p>
      <w:pPr>
        <w:pStyle w:val="BookText"/>
      </w:pPr>
      <w:r>
        <w:rPr>
          <w:rFonts w:ascii="IRNazanin" w:hAnsi="IRNazanin" w:eastAsia="IRNazanin" w:cs="IRNazanin"/>
          <w:lang w:bidi="fa-IR"/>
          <w:color w:val="111111"/>
          <w:sz w:val="28"/>
          <w:szCs w:val="28"/>
          <w:rtl/>
        </w:rPr>
        <w:t xml:space="preserve">309 . مشهد؛ رضوی؛ شماره نسخه: 16915</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رمضان 1046ق؛ مصحح، محشی اغلب با رمز «ع ل» پشت ورق آخر جدول شکیات از شیخ علی و اسامی تألیفات علامه حلی و برخی از اصطلاحات ارباب حدیث؛ ارسالی از دانشگاه علوم اسلامی رضوی در مهر 1368؛ کاغذ: نخودی آهار مهره :جلد میشن قهوه ای لبه دار ضربی با ترنج و سرترنج، 179گ، 18 و 19 سطر ، اندازه: 12/5</w:t>
      </w:r>
      <w:r>
        <w:rPr>
          <w:rFonts w:ascii="Times New Roman" w:hAnsi="Times New Roman" w:eastAsia="Times New Roman" w:cs="Times New Roman"/>
          <w:lang w:val="en-US" w:bidi="en-US"/>
          <w:color w:val="111111"/>
          <w:sz w:val="28"/>
          <w:szCs w:val="28"/>
          <w:rtl/>
        </w:rPr>
        <w:t xml:space="preserve">×26 </w:t>
      </w:r>
      <w:r>
        <w:rPr>
          <w:rFonts w:ascii="IRNazanin" w:hAnsi="IRNazanin" w:eastAsia="IRNazanin" w:cs="IRNazanin"/>
          <w:lang w:bidi="fa-IR"/>
          <w:color w:val="111111"/>
          <w:sz w:val="28"/>
          <w:szCs w:val="28"/>
          <w:rtl/>
        </w:rPr>
        <w:t xml:space="preserve">سم [ف: 21/1 - 93]</w:t>
      </w:r>
    </w:p>
    <w:p>
      <w:pPr>
        <w:pStyle w:val="BookText"/>
      </w:pPr>
      <w:r>
        <w:rPr>
          <w:rFonts w:ascii="Times New Roman" w:hAnsi="Times New Roman" w:eastAsia="Times New Roman" w:cs="Times New Roman"/>
          <w:lang w:val="en-US" w:bidi="en-US"/>
          <w:color w:val="111111"/>
          <w:sz w:val="28"/>
          <w:szCs w:val="28"/>
          <w:rtl/>
        </w:rPr>
        <w:t xml:space="preserve">310.</w:t>
      </w:r>
    </w:p>
    <w:p>
      <w:pPr>
        <w:pStyle w:val="BookText"/>
      </w:pPr>
      <w:r>
        <w:rPr>
          <w:rFonts w:ascii="IRNazanin" w:hAnsi="IRNazanin" w:eastAsia="IRNazanin" w:cs="IRNazanin"/>
          <w:lang w:bidi="fa-IR"/>
          <w:color w:val="111111"/>
          <w:sz w:val="28"/>
          <w:szCs w:val="28"/>
          <w:rtl/>
        </w:rPr>
        <w:t xml:space="preserve">تهران؛ فیاض علی اکبر (، دکتر)؛ شماره نسخه: 145</w:t>
      </w:r>
    </w:p>
    <w:p>
      <w:pPr>
        <w:pStyle w:val="BookText"/>
      </w:pPr>
      <w:r>
        <w:rPr>
          <w:rFonts w:ascii="IRNazanin" w:hAnsi="IRNazanin" w:eastAsia="IRNazanin" w:cs="IRNazanin"/>
          <w:lang w:bidi="fa-IR"/>
          <w:color w:val="111111"/>
          <w:sz w:val="28"/>
          <w:szCs w:val="28"/>
          <w:rtl/>
        </w:rPr>
        <w:t xml:space="preserve">خط: نسخ بی کا تا 1046ق [ نشريه: 7 - 695]</w:t>
      </w:r>
    </w:p>
    <w:p>
      <w:pPr>
        <w:pStyle w:val="BookText"/>
      </w:pPr>
      <w:r>
        <w:rPr>
          <w:rFonts w:ascii="Times New Roman" w:hAnsi="Times New Roman" w:eastAsia="Times New Roman" w:cs="Times New Roman"/>
          <w:lang w:val="en-US" w:bidi="en-US"/>
          <w:color w:val="111111"/>
          <w:sz w:val="28"/>
          <w:szCs w:val="28"/>
          <w:rtl/>
        </w:rPr>
        <w:t xml:space="preserve">311.</w:t>
      </w:r>
    </w:p>
    <w:p>
      <w:pPr>
        <w:pStyle w:val="BookText"/>
      </w:pPr>
      <w:r>
        <w:rPr>
          <w:rFonts w:ascii="IRNazanin" w:hAnsi="IRNazanin" w:eastAsia="IRNazanin" w:cs="IRNazanin"/>
          <w:lang w:bidi="fa-IR"/>
          <w:color w:val="111111"/>
          <w:sz w:val="28"/>
          <w:szCs w:val="28"/>
          <w:rtl/>
        </w:rPr>
        <w:t xml:space="preserve">مشهد؛ رضوی؛ شماره نسخه: 36682</w:t>
      </w:r>
    </w:p>
    <w:p>
      <w:pPr>
        <w:pStyle w:val="BookText"/>
      </w:pPr>
      <w:r>
        <w:rPr>
          <w:rFonts w:ascii="IRNazanin" w:hAnsi="IRNazanin" w:eastAsia="IRNazanin" w:cs="IRNazanin"/>
          <w:lang w:bidi="fa-IR"/>
          <w:color w:val="111111"/>
          <w:sz w:val="28"/>
          <w:szCs w:val="28"/>
          <w:rtl/>
        </w:rPr>
        <w:t xml:space="preserve">خط: نسخ بی کا تا ذیقعده 1047ق؛ مصحح، محشی؛ اهدائی رهبری مهر 1386 کاغذ: نخودی آهار مهره جلد مقوا با عطف پارچه، 177 گ، 15، سطر، اندازه: 13/5</w:t>
      </w:r>
      <w:r>
        <w:rPr>
          <w:rFonts w:ascii="Times New Roman" w:hAnsi="Times New Roman" w:eastAsia="Times New Roman" w:cs="Times New Roman"/>
          <w:lang w:val="en-US" w:bidi="en-US"/>
          <w:color w:val="111111"/>
          <w:sz w:val="28"/>
          <w:szCs w:val="28"/>
          <w:rtl/>
        </w:rPr>
        <w:t xml:space="preserve">×23/5 </w:t>
      </w:r>
      <w:r>
        <w:rPr>
          <w:rFonts w:ascii="IRNazanin" w:hAnsi="IRNazanin" w:eastAsia="IRNazanin" w:cs="IRNazanin"/>
          <w:lang w:bidi="fa-IR"/>
          <w:color w:val="111111"/>
          <w:sz w:val="28"/>
          <w:szCs w:val="28"/>
          <w:rtl/>
        </w:rPr>
        <w:t xml:space="preserve">سم [ اهدائی -ف: 3 - 50]</w:t>
      </w:r>
    </w:p>
    <w:p>
      <w:pPr>
        <w:pStyle w:val="BookText"/>
      </w:pPr>
      <w:r>
        <w:rPr>
          <w:rFonts w:ascii="Times New Roman" w:hAnsi="Times New Roman" w:eastAsia="Times New Roman" w:cs="Times New Roman"/>
          <w:lang w:val="en-US" w:bidi="en-US"/>
          <w:color w:val="111111"/>
          <w:sz w:val="28"/>
          <w:szCs w:val="28"/>
          <w:rtl/>
        </w:rPr>
        <w:t xml:space="preserve">312.</w:t>
      </w:r>
    </w:p>
    <w:p>
      <w:pPr>
        <w:pStyle w:val="BookText"/>
      </w:pPr>
      <w:r>
        <w:rPr>
          <w:rFonts w:ascii="Amiri" w:hAnsi="Amiri" w:eastAsia="Amiri" w:cs="Amiri"/>
          <w:lang w:bidi="ar-SA"/>
          <w:color w:val="111111"/>
          <w:sz w:val="28"/>
          <w:szCs w:val="28"/>
          <w:rtl/>
        </w:rPr>
        <w:t xml:space="preserve">تهران؛ دائرة المعارف؛ شماره نسخه: 908</w:t>
      </w:r>
    </w:p>
    <w:p>
      <w:pPr>
        <w:pStyle w:val="BookText"/>
      </w:pPr>
      <w:r>
        <w:rPr>
          <w:rFonts w:ascii="Amiri" w:hAnsi="Amiri" w:eastAsia="Amiri" w:cs="Amiri"/>
          <w:lang w:bidi="ar-SA"/>
          <w:color w:val="111111"/>
          <w:sz w:val="28"/>
          <w:szCs w:val="28"/>
          <w:rtl/>
        </w:rPr>
        <w:t xml:space="preserve">آغاز: فليس المعصوم الا من عصمه الله تعالى</w:t>
      </w:r>
    </w:p>
    <w:p>
      <w:pPr>
        <w:pStyle w:val="BookText"/>
      </w:pPr>
      <w:r>
        <w:rPr>
          <w:rFonts w:ascii="IRNazanin" w:hAnsi="IRNazanin" w:eastAsia="IRNazanin" w:cs="IRNazanin"/>
          <w:lang w:bidi="fa-IR"/>
          <w:color w:val="111111"/>
          <w:sz w:val="28"/>
          <w:szCs w:val="28"/>
          <w:rtl/>
        </w:rPr>
        <w:t xml:space="preserve">خط: نسخ ،پخته کا : اسماعیل بن ابراهيم طباطبائی اردستانی، تا: سه شنبه 14 ذیقعده 1047ق :جا :مشهد رضوی؛ افتادگی: آغاز (پیش از «کتاب الطهارة)»؛ جلد: مقوایی تیماج قهوه ای ضربی 214 گ، 10 تا 15 سطر (11/5</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،اندازه: 18/5</w:t>
      </w:r>
      <w:r>
        <w:rPr>
          <w:rFonts w:ascii="Times New Roman" w:hAnsi="Times New Roman" w:eastAsia="Times New Roman" w:cs="Times New Roman"/>
          <w:lang w:val="en-US" w:bidi="en-US"/>
          <w:color w:val="111111"/>
          <w:sz w:val="28"/>
          <w:szCs w:val="28"/>
          <w:rtl/>
        </w:rPr>
        <w:t xml:space="preserve">×24/5</w:t>
      </w:r>
      <w:r>
        <w:rPr>
          <w:rFonts w:ascii="IRNazanin" w:hAnsi="IRNazanin" w:eastAsia="IRNazanin" w:cs="IRNazanin"/>
          <w:lang w:bidi="fa-IR"/>
          <w:color w:val="111111"/>
          <w:sz w:val="28"/>
          <w:szCs w:val="28"/>
          <w:rtl/>
        </w:rPr>
        <w:t xml:space="preserve">سم [ ف : 2 - 14]</w:t>
      </w:r>
    </w:p>
    <w:p>
      <w:pPr>
        <w:pStyle w:val="BookText"/>
      </w:pPr>
      <w:r>
        <w:rPr>
          <w:rFonts w:ascii="Times New Roman" w:hAnsi="Times New Roman" w:eastAsia="Times New Roman" w:cs="Times New Roman"/>
          <w:lang w:val="en-US" w:bidi="en-US"/>
          <w:color w:val="111111"/>
          <w:sz w:val="28"/>
          <w:szCs w:val="28"/>
          <w:rtl/>
        </w:rPr>
        <w:t xml:space="preserve">313.</w:t>
      </w:r>
    </w:p>
    <w:p>
      <w:pPr>
        <w:pStyle w:val="BookText"/>
      </w:pPr>
      <w:r>
        <w:rPr>
          <w:rFonts w:ascii="IRNazanin" w:hAnsi="IRNazanin" w:eastAsia="IRNazanin" w:cs="IRNazanin"/>
          <w:lang w:bidi="fa-IR"/>
          <w:color w:val="111111"/>
          <w:sz w:val="28"/>
          <w:szCs w:val="28"/>
          <w:rtl/>
        </w:rPr>
        <w:t xml:space="preserve">مشهد؛ رضوی؛ شماره نسخه: 8597</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علی بن زین كا على بن زین العابدین هزار جریبی تا پنج شنبه 20 رمضان 1047ق؛ معلق به حواشی شهیدین و دیگران، توسط عليرضا لاجوردیانی در اسفند 1336 تحویل کتابخانه شده است؛ :واقف عبدالشکور کشمیری کاغذ: حنایی آهار مهره جلد: مقوا عطف و گوشه تیماج، 175گ، 17 سطر ، اندازه: و 19/5</w:t>
      </w:r>
      <w:r>
        <w:rPr>
          <w:rFonts w:ascii="Times New Roman" w:hAnsi="Times New Roman" w:eastAsia="Times New Roman" w:cs="Times New Roman"/>
          <w:lang w:val="en-US" w:bidi="en-US"/>
          <w:color w:val="111111"/>
          <w:sz w:val="28"/>
          <w:szCs w:val="28"/>
          <w:rtl/>
        </w:rPr>
        <w:t xml:space="preserve">×25/6 </w:t>
      </w:r>
      <w:r>
        <w:rPr>
          <w:rFonts w:ascii="IRNazanin" w:hAnsi="IRNazanin" w:eastAsia="IRNazanin" w:cs="IRNazanin"/>
          <w:lang w:bidi="fa-IR"/>
          <w:color w:val="111111"/>
          <w:sz w:val="28"/>
          <w:szCs w:val="28"/>
          <w:rtl/>
        </w:rPr>
        <w:t xml:space="preserve">سم [ف: 21/1 - 72]</w:t>
      </w:r>
    </w:p>
    <w:p>
      <w:pPr>
        <w:pStyle w:val="BookText"/>
      </w:pPr>
      <w:r>
        <w:rPr>
          <w:rFonts w:ascii="Times New Roman" w:hAnsi="Times New Roman" w:eastAsia="Times New Roman" w:cs="Times New Roman"/>
          <w:lang w:val="en-US" w:bidi="en-US"/>
          <w:color w:val="111111"/>
          <w:sz w:val="28"/>
          <w:szCs w:val="28"/>
          <w:rtl/>
        </w:rPr>
        <w:t xml:space="preserve">314.</w:t>
      </w:r>
    </w:p>
    <w:p>
      <w:pPr>
        <w:pStyle w:val="BookText"/>
      </w:pPr>
      <w:r>
        <w:rPr>
          <w:rFonts w:ascii="IRNazanin" w:hAnsi="IRNazanin" w:eastAsia="IRNazanin" w:cs="IRNazanin"/>
          <w:lang w:bidi="fa-IR"/>
          <w:color w:val="111111"/>
          <w:sz w:val="28"/>
          <w:szCs w:val="28"/>
          <w:rtl/>
        </w:rPr>
        <w:t xml:space="preserve">تهران الهیات؛ شماره نسخه: 505</w:t>
      </w:r>
    </w:p>
    <w:p>
      <w:pPr>
        <w:pStyle w:val="BookText"/>
      </w:pPr>
      <w:r>
        <w:rPr>
          <w:rFonts w:ascii="IRNazanin" w:hAnsi="IRNazanin" w:eastAsia="IRNazanin" w:cs="IRNazanin"/>
          <w:lang w:bidi="fa-IR"/>
          <w:color w:val="111111"/>
          <w:sz w:val="28"/>
          <w:szCs w:val="28"/>
          <w:rtl/>
        </w:rPr>
        <w:t xml:space="preserve">خط: نستعلیق ،خوش، کا: علی بن حسین، تا: 25 رمضان 1047ق؛ محشی با نشان «زین فخرالدین ،ص، تذکره، ع ل، تنقیح، نهايه، ط دروس مجمع ، شرح ، م و ط ، شرح لمعه، مهذب، تحرير، ط، منه؛ بهای نسخه دو درهم؛ کاغذ اصفهانی، جلد: تیماج مشکی ضربی ،مقوایی 208، 15 سطر (11/56/5):اندازه 13</w:t>
      </w:r>
      <w:r>
        <w:rPr>
          <w:rFonts w:ascii="Times New Roman" w:hAnsi="Times New Roman" w:eastAsia="Times New Roman" w:cs="Times New Roman"/>
          <w:lang w:val="en-US" w:bidi="en-US"/>
          <w:color w:val="111111"/>
          <w:sz w:val="28"/>
          <w:szCs w:val="28"/>
          <w:rtl/>
        </w:rPr>
        <w:t xml:space="preserve">×19/5</w:t>
      </w:r>
      <w:r>
        <w:rPr>
          <w:rFonts w:ascii="IRNazanin" w:hAnsi="IRNazanin" w:eastAsia="IRNazanin" w:cs="IRNazanin"/>
          <w:lang w:bidi="fa-IR"/>
          <w:color w:val="111111"/>
          <w:sz w:val="28"/>
          <w:szCs w:val="28"/>
          <w:rtl/>
        </w:rPr>
        <w:t xml:space="preserve">سم [ف: - 453]</w:t>
      </w:r>
    </w:p>
    <w:p>
      <w:pPr>
        <w:pStyle w:val="BookText"/>
      </w:pPr>
      <w:r>
        <w:rPr>
          <w:rFonts w:ascii="Times New Roman" w:hAnsi="Times New Roman" w:eastAsia="Times New Roman" w:cs="Times New Roman"/>
          <w:lang w:val="en-US" w:bidi="en-US"/>
          <w:color w:val="111111"/>
          <w:sz w:val="28"/>
          <w:szCs w:val="28"/>
          <w:rtl/>
        </w:rPr>
        <w:t xml:space="preserve">315.</w:t>
      </w:r>
    </w:p>
    <w:p>
      <w:pPr>
        <w:pStyle w:val="BookText"/>
      </w:pPr>
      <w:r>
        <w:rPr>
          <w:rFonts w:ascii="IRNazanin" w:hAnsi="IRNazanin" w:eastAsia="IRNazanin" w:cs="IRNazanin"/>
          <w:lang w:bidi="fa-IR"/>
          <w:color w:val="111111"/>
          <w:sz w:val="28"/>
          <w:szCs w:val="28"/>
          <w:rtl/>
        </w:rPr>
        <w:t xml:space="preserve">قم؛ مرعشی؛ شماره نسخه: 3981</w:t>
      </w:r>
    </w:p>
    <w:p>
      <w:pPr>
        <w:pStyle w:val="BookText"/>
      </w:pPr>
      <w:r>
        <w:rPr>
          <w:rFonts w:ascii="IRNazanin" w:hAnsi="IRNazanin" w:eastAsia="IRNazanin" w:cs="IRNazanin"/>
          <w:lang w:bidi="fa-IR"/>
          <w:color w:val="111111"/>
          <w:sz w:val="28"/>
          <w:szCs w:val="28"/>
          <w:rtl/>
        </w:rPr>
        <w:t xml:space="preserve">از حج تا دیات؛ خط: نسخ، کا: عز الدين بن محى الدين بن عبد اللطيف بن على بن احمد بن احمد بن محمد بن حسين بن محمد بن حسين بن ابی جامع ،عاملی تا: شنبه 15 شوال 1048ق؛ مصحح، محشی، دارای علامت ،بلاغ قبل از کتاب برگی است در معرفی ابن ابی جامع که محمد شمس الدین بن ملا عبدالله هرندی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تاریخ دهه آخر محرم 1332 در صفحه آخر انهائی است شیخ عبداللطيف جامعی برای نوه اش شیخ عزالدین بن فخرالد (کاتب نسخه) نوشته است؛ تملك: علاء الدين محمد بن داود عبد علی بن محمد شریف نجفی؛ :جلد: مقوایی عطف تیم مشکی، 139گ، 19 سطر ،اندازه: 19</w:t>
      </w:r>
      <w:r>
        <w:rPr>
          <w:rFonts w:ascii="Times New Roman" w:hAnsi="Times New Roman" w:eastAsia="Times New Roman" w:cs="Times New Roman"/>
          <w:lang w:val="en-US" w:bidi="en-US"/>
          <w:color w:val="111111"/>
          <w:sz w:val="28"/>
          <w:szCs w:val="28"/>
          <w:rtl/>
        </w:rPr>
        <w:t xml:space="preserve">×25</w:t>
      </w:r>
      <w:r>
        <w:rPr>
          <w:rFonts w:ascii="IRNazanin" w:hAnsi="IRNazanin" w:eastAsia="IRNazanin" w:cs="IRNazanin"/>
          <w:lang w:bidi="fa-IR"/>
          <w:color w:val="111111"/>
          <w:sz w:val="28"/>
          <w:szCs w:val="28"/>
          <w:rtl/>
        </w:rPr>
        <w:t xml:space="preserve">سم [ف: 10 - 360]</w:t>
      </w:r>
    </w:p>
    <w:p>
      <w:pPr>
        <w:pStyle w:val="BookText"/>
      </w:pPr>
      <w:r>
        <w:rPr>
          <w:rFonts w:ascii="IRNazanin" w:hAnsi="IRNazanin" w:eastAsia="IRNazanin" w:cs="IRNazanin"/>
          <w:lang w:bidi="fa-IR"/>
          <w:color w:val="111111"/>
          <w:sz w:val="28"/>
          <w:szCs w:val="28"/>
          <w:rtl/>
        </w:rPr>
        <w:t xml:space="preserve">قم؛ مرکز احیاء؛ شماره نسخه: 123</w:t>
      </w:r>
    </w:p>
    <w:p>
      <w:pPr>
        <w:pStyle w:val="BookText"/>
      </w:pPr>
      <w:r>
        <w:rPr>
          <w:rFonts w:ascii="IRNazanin" w:hAnsi="IRNazanin" w:eastAsia="IRNazanin" w:cs="IRNazanin"/>
          <w:lang w:bidi="fa-IR"/>
          <w:color w:val="111111"/>
          <w:sz w:val="28"/>
          <w:szCs w:val="28"/>
          <w:rtl/>
        </w:rPr>
        <w:t xml:space="preserve">نسخه اصل: همان نسخه بالا [ عکسی ف: 1 - 144]</w:t>
      </w:r>
    </w:p>
    <w:p>
      <w:pPr>
        <w:pStyle w:val="BookText"/>
      </w:pPr>
      <w:r>
        <w:rPr>
          <w:rFonts w:ascii="IRNazanin" w:hAnsi="IRNazanin" w:eastAsia="IRNazanin" w:cs="IRNazanin"/>
          <w:lang w:bidi="fa-IR"/>
          <w:color w:val="111111"/>
          <w:sz w:val="28"/>
          <w:szCs w:val="28"/>
          <w:rtl/>
        </w:rPr>
        <w:t xml:space="preserve">316 . قم؛ گلپایگانی؛ شماره نسخه: 208-2/28</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صفر 1048ق؛ مصحح، محشی به امضاء « ع ل نعمة الله» و «شرح ارشاد» در اول نسخه یادداشت های پراکنده درباره صلاة الاستخارة و تعداد مسائل قواعد 1141 مسأله و تعداد مسائل ارشاد 15000 مسأله و شرایع 12000 مسأله 8000مسأله تملک: محمد طالب بن محمد علی کاشانی جلد: تیماج با روکش پارچه 286گ، 14 سطر ، اندازه: 18</w:t>
      </w:r>
      <w:r>
        <w:rPr>
          <w:rFonts w:ascii="Times New Roman" w:hAnsi="Times New Roman" w:eastAsia="Times New Roman" w:cs="Times New Roman"/>
          <w:lang w:val="en-US" w:bidi="en-US"/>
          <w:color w:val="111111"/>
          <w:sz w:val="28"/>
          <w:szCs w:val="28"/>
          <w:rtl/>
        </w:rPr>
        <w:t xml:space="preserve">×26/5 [</w:t>
      </w:r>
      <w:r>
        <w:rPr>
          <w:rFonts w:ascii="IRNazanin" w:hAnsi="IRNazanin" w:eastAsia="IRNazanin" w:cs="IRNazanin"/>
          <w:lang w:bidi="fa-IR"/>
          <w:color w:val="111111"/>
          <w:sz w:val="28"/>
          <w:szCs w:val="28"/>
          <w:rtl/>
        </w:rPr>
        <w:t xml:space="preserve">ف: 1 - 300]</w:t>
      </w:r>
    </w:p>
    <w:p>
      <w:pPr>
        <w:pStyle w:val="BookText"/>
      </w:pPr>
      <w:r>
        <w:rPr>
          <w:rFonts w:ascii="IRNazanin" w:hAnsi="IRNazanin" w:eastAsia="IRNazanin" w:cs="IRNazanin"/>
          <w:lang w:bidi="fa-IR"/>
          <w:color w:val="111111"/>
          <w:sz w:val="28"/>
          <w:szCs w:val="28"/>
          <w:rtl/>
        </w:rPr>
        <w:t xml:space="preserve">317 . مشهد؛ رضوی؛ شماره نسخه: 14442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علی بن ابی طالب تا جمعه شوال 1048ق؛ واقف: سید محمد باقر سبزواری ، محرم، 1405؛ کاغذ: نخودی ،جلد: میشں 262گ، 15 سطر ، اندازه: 13/5</w:t>
      </w:r>
      <w:r>
        <w:rPr>
          <w:rFonts w:ascii="Times New Roman" w:hAnsi="Times New Roman" w:eastAsia="Times New Roman" w:cs="Times New Roman"/>
          <w:lang w:val="en-US" w:bidi="en-US"/>
          <w:color w:val="111111"/>
          <w:sz w:val="28"/>
          <w:szCs w:val="28"/>
          <w:rtl/>
        </w:rPr>
        <w:t xml:space="preserve">× 25/5</w:t>
      </w:r>
      <w:r>
        <w:rPr>
          <w:rFonts w:ascii="IRNazanin" w:hAnsi="IRNazanin" w:eastAsia="IRNazanin" w:cs="IRNazanin"/>
          <w:lang w:bidi="fa-IR"/>
          <w:color w:val="111111"/>
          <w:sz w:val="28"/>
          <w:szCs w:val="28"/>
          <w:rtl/>
        </w:rPr>
        <w:t xml:space="preserve">سم [ف: 21/1 - 72]</w:t>
      </w:r>
    </w:p>
    <w:p>
      <w:pPr>
        <w:pStyle w:val="BookText"/>
      </w:pPr>
      <w:r>
        <w:rPr>
          <w:rFonts w:ascii="Times New Roman" w:hAnsi="Times New Roman" w:eastAsia="Times New Roman" w:cs="Times New Roman"/>
          <w:lang w:val="en-US" w:bidi="en-US"/>
          <w:color w:val="111111"/>
          <w:sz w:val="28"/>
          <w:szCs w:val="28"/>
          <w:rtl/>
        </w:rPr>
        <w:t xml:space="preserve">318.</w:t>
      </w:r>
    </w:p>
    <w:p>
      <w:pPr>
        <w:pStyle w:val="BookText"/>
      </w:pPr>
      <w:r>
        <w:rPr>
          <w:rFonts w:ascii="IRNazanin" w:hAnsi="IRNazanin" w:eastAsia="IRNazanin" w:cs="IRNazanin"/>
          <w:lang w:bidi="fa-IR"/>
          <w:color w:val="111111"/>
          <w:sz w:val="28"/>
          <w:szCs w:val="28"/>
          <w:rtl/>
        </w:rPr>
        <w:t xml:space="preserve">یزد؛ مدرسی؛ شماره نسخه: بدون شماره</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تحریری، حسن بن سلطانعلی ،لنجرودی تا جمعه 15 ربیع الثانی  1048ق؛ محشی که یکی به تاریخ 1049ق است، در خاتمه دو برگ در مسائل مربوط به رضاع به صورت ناتمام ،جلد: تیماج ،تریاکی 363گ 12 سطر (12</w:t>
      </w:r>
      <w:r>
        <w:rPr>
          <w:rFonts w:ascii="Times New Roman" w:hAnsi="Times New Roman" w:eastAsia="Times New Roman" w:cs="Times New Roman"/>
          <w:lang w:val="en-US" w:bidi="en-US"/>
          <w:color w:val="111111"/>
          <w:sz w:val="28"/>
          <w:szCs w:val="28"/>
          <w:rtl/>
        </w:rPr>
        <w:t xml:space="preserve">×6)</w:t>
      </w:r>
      <w:r>
        <w:rPr>
          <w:rFonts w:ascii="IRNazanin" w:hAnsi="IRNazanin" w:eastAsia="IRNazanin" w:cs="IRNazanin"/>
          <w:lang w:bidi="fa-IR"/>
          <w:color w:val="111111"/>
          <w:sz w:val="28"/>
          <w:szCs w:val="28"/>
          <w:rtl/>
        </w:rPr>
        <w:t xml:space="preserve">، اندازه: 13 </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سم [ میراث :اسلامی 8 - 433]</w:t>
      </w:r>
    </w:p>
    <w:p>
      <w:pPr>
        <w:pStyle w:val="BookText"/>
      </w:pPr>
      <w:r>
        <w:rPr>
          <w:rFonts w:ascii="Times New Roman" w:hAnsi="Times New Roman" w:eastAsia="Times New Roman" w:cs="Times New Roman"/>
          <w:lang w:val="en-US" w:bidi="en-US"/>
          <w:color w:val="111111"/>
          <w:sz w:val="28"/>
          <w:szCs w:val="28"/>
          <w:rtl/>
        </w:rPr>
        <w:t xml:space="preserve">319.</w:t>
      </w:r>
    </w:p>
    <w:p>
      <w:pPr>
        <w:pStyle w:val="BookText"/>
      </w:pPr>
      <w:r>
        <w:rPr>
          <w:rFonts w:ascii="IRNazanin" w:hAnsi="IRNazanin" w:eastAsia="IRNazanin" w:cs="IRNazanin"/>
          <w:lang w:bidi="fa-IR"/>
          <w:color w:val="111111"/>
          <w:sz w:val="28"/>
          <w:szCs w:val="28"/>
          <w:rtl/>
        </w:rPr>
        <w:t xml:space="preserve">قم؛ مرعشی؛ شماره نسخه: 3363</w:t>
      </w:r>
    </w:p>
    <w:p>
      <w:pPr>
        <w:pStyle w:val="BookText"/>
      </w:pPr>
      <w:r>
        <w:rPr>
          <w:rFonts w:ascii="IRNazanin" w:hAnsi="IRNazanin" w:eastAsia="IRNazanin" w:cs="IRNazanin"/>
          <w:lang w:bidi="fa-IR"/>
          <w:color w:val="111111"/>
          <w:sz w:val="28"/>
          <w:szCs w:val="28"/>
          <w:rtl/>
        </w:rPr>
        <w:t xml:space="preserve">خط: نسخ، بی کا تا با تاریخ 1048ق؛ نسخه قدیم و نفیس مصحح، محشی، برگ آخر را حاجی محمد بن شاه محمد استر آبادی به تاریخ 28 ربیع الثانی 1048 نوشته؛ جلد: مقوای 192 گ 18 سطر ، اندازه: 12</w:t>
      </w:r>
      <w:r>
        <w:rPr>
          <w:rFonts w:ascii="Times New Roman" w:hAnsi="Times New Roman" w:eastAsia="Times New Roman" w:cs="Times New Roman"/>
          <w:lang w:val="en-US" w:bidi="en-US"/>
          <w:color w:val="111111"/>
          <w:sz w:val="28"/>
          <w:szCs w:val="28"/>
          <w:rtl/>
        </w:rPr>
        <w:t xml:space="preserve">×17/5</w:t>
      </w:r>
      <w:r>
        <w:rPr>
          <w:rFonts w:ascii="IRNazanin" w:hAnsi="IRNazanin" w:eastAsia="IRNazanin" w:cs="IRNazanin"/>
          <w:lang w:bidi="fa-IR"/>
          <w:color w:val="111111"/>
          <w:sz w:val="28"/>
          <w:szCs w:val="28"/>
          <w:rtl/>
        </w:rPr>
        <w:t xml:space="preserve">سم [ف: 9 - 138]</w:t>
      </w:r>
    </w:p>
    <w:p>
      <w:pPr>
        <w:pStyle w:val="BookText"/>
      </w:pPr>
      <w:r>
        <w:rPr>
          <w:rFonts w:ascii="IRNazanin" w:hAnsi="IRNazanin" w:eastAsia="IRNazanin" w:cs="IRNazanin"/>
          <w:lang w:bidi="fa-IR"/>
          <w:color w:val="111111"/>
          <w:sz w:val="28"/>
          <w:szCs w:val="28"/>
          <w:rtl/>
        </w:rPr>
        <w:t xml:space="preserve">320.اصفهان؛ مدرسه صدر بازار؛ شماره نسخه: 178</w:t>
      </w:r>
    </w:p>
    <w:p>
      <w:pPr>
        <w:pStyle w:val="BookText"/>
      </w:pPr>
      <w:r>
        <w:rPr>
          <w:rFonts w:ascii="IRNazanin" w:hAnsi="IRNazanin" w:eastAsia="IRNazanin" w:cs="IRNazanin"/>
          <w:lang w:bidi="fa-IR"/>
          <w:color w:val="111111"/>
          <w:sz w:val="28"/>
          <w:szCs w:val="28"/>
          <w:rtl/>
        </w:rPr>
        <w:t xml:space="preserve">خط: نسخ، کا:حسن بن شمس الدین زواره ای سمنانی، یک شنبه از دهه اول 1049ق جا: اصفهان مصحح محشی، دارای بلاغ دو برگ آغازین نام کتاب و مؤلف و چند یادداشت متفرقه و وقف کتاب از حاجی ابوالحسن بن بهرام بیگ یادداشتی به خط محمد مهدی صالح؛ جلد: تیماج زرشکی، 202گ، 18 سطر ، اندازه: 17</w:t>
      </w:r>
      <w:r>
        <w:rPr>
          <w:rFonts w:ascii="Times New Roman" w:hAnsi="Times New Roman" w:eastAsia="Times New Roman" w:cs="Times New Roman"/>
          <w:lang w:val="en-US" w:bidi="en-US"/>
          <w:color w:val="111111"/>
          <w:sz w:val="28"/>
          <w:szCs w:val="28"/>
          <w:rtl/>
        </w:rPr>
        <w:t xml:space="preserve">× 26</w:t>
      </w:r>
      <w:r>
        <w:rPr>
          <w:rFonts w:ascii="IRNazanin" w:hAnsi="IRNazanin" w:eastAsia="IRNazanin" w:cs="IRNazanin"/>
          <w:lang w:bidi="fa-IR"/>
          <w:color w:val="111111"/>
          <w:sz w:val="28"/>
          <w:szCs w:val="28"/>
          <w:rtl/>
        </w:rPr>
        <w:t xml:space="preserve">سم [ف: 1 - 127]</w:t>
      </w:r>
    </w:p>
    <w:p>
      <w:pPr>
        <w:pStyle w:val="BookText"/>
      </w:pPr>
      <w:r>
        <w:rPr>
          <w:rFonts w:ascii="IRNazanin" w:hAnsi="IRNazanin" w:eastAsia="IRNazanin" w:cs="IRNazanin"/>
          <w:lang w:bidi="fa-IR"/>
          <w:color w:val="111111"/>
          <w:sz w:val="28"/>
          <w:szCs w:val="28"/>
          <w:rtl/>
        </w:rPr>
        <w:t xml:space="preserve">321.کرمانشاه؛ مدرسه آیة الله بروجردی؛ شماره نسخه: 24</w:t>
      </w:r>
    </w:p>
    <w:p>
      <w:pPr>
        <w:pStyle w:val="BookText"/>
      </w:pPr>
      <w:r>
        <w:rPr>
          <w:rFonts w:ascii="IRNazanin" w:hAnsi="IRNazanin" w:eastAsia="IRNazanin" w:cs="IRNazanin"/>
          <w:lang w:bidi="fa-IR"/>
          <w:color w:val="111111"/>
          <w:sz w:val="28"/>
          <w:szCs w:val="28"/>
          <w:rtl/>
        </w:rPr>
        <w:t xml:space="preserve">خط: نسخ، کا: محمد امین بن محمد رضا ویستی، تا: دوشنبه شعبان 1049ق؛ در سه صفحه اول و چند صفحه آخر چند یادداشت و دعا و حدیث و مهر به تاريخ 14 صفر 1153و وقف نامه کتاب به تاریخ 7 رجب 1317؛ تاريخ وقف: 7 رجب 1317؛ جلد: تيماج قهوه ای عطف تیماج مشکی، 141گ، 19 سطر ، اندازه: 20</w:t>
      </w:r>
      <w:r>
        <w:rPr>
          <w:rFonts w:ascii="Times New Roman" w:hAnsi="Times New Roman" w:eastAsia="Times New Roman" w:cs="Times New Roman"/>
          <w:lang w:val="en-US" w:bidi="en-US"/>
          <w:color w:val="111111"/>
          <w:sz w:val="28"/>
          <w:szCs w:val="28"/>
          <w:rtl/>
        </w:rPr>
        <w:t xml:space="preserve">×25</w:t>
      </w:r>
      <w:r>
        <w:rPr>
          <w:rFonts w:ascii="IRNazanin" w:hAnsi="IRNazanin" w:eastAsia="IRNazanin" w:cs="IRNazanin"/>
          <w:lang w:bidi="fa-IR"/>
          <w:color w:val="111111"/>
          <w:sz w:val="28"/>
          <w:szCs w:val="28"/>
          <w:rtl/>
        </w:rPr>
        <w:t xml:space="preserve">سم [ف: 26]</w:t>
      </w:r>
    </w:p>
    <w:p>
      <w:pPr>
        <w:pStyle w:val="BookText"/>
      </w:pPr>
      <w:r>
        <w:rPr>
          <w:rFonts w:ascii="Times New Roman" w:hAnsi="Times New Roman" w:eastAsia="Times New Roman" w:cs="Times New Roman"/>
          <w:lang w:val="en-US" w:bidi="en-US"/>
          <w:color w:val="111111"/>
          <w:sz w:val="28"/>
          <w:szCs w:val="28"/>
          <w:rtl/>
        </w:rPr>
        <w:t xml:space="preserve">322.</w:t>
      </w:r>
    </w:p>
    <w:p>
      <w:pPr>
        <w:pStyle w:val="BookText"/>
      </w:pPr>
      <w:r>
        <w:rPr>
          <w:rFonts w:ascii="IRNazanin" w:hAnsi="IRNazanin" w:eastAsia="IRNazanin" w:cs="IRNazanin"/>
          <w:lang w:bidi="fa-IR"/>
          <w:color w:val="111111"/>
          <w:sz w:val="28"/>
          <w:szCs w:val="28"/>
          <w:rtl/>
        </w:rPr>
        <w:t xml:space="preserve">تهران؛ سپهسالار؛ شماره نسخه: 2472</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نستعليق؛ كا: قوام الدین بن طاهر ،حسینی، تا: 1049ق؛ محشی و رموزی که در ذیل حواشی و تعلیقات به جای اسم صریح محشین گذارده می شود و این که هریک از آنها اشاره به کدام یک از فقها می باشد اشعاری راجع به قاعده خط و در شناختن قلم و مرکب؛ واقف سپهسالار؛ کاغذ: اصفهانی، جلد: چرمی مستعمل، 266ص، 16 سطر ، قطع: وزیری اندازه 13</w:t>
      </w:r>
      <w:r>
        <w:rPr>
          <w:rFonts w:ascii="Times New Roman" w:hAnsi="Times New Roman" w:eastAsia="Times New Roman" w:cs="Times New Roman"/>
          <w:lang w:val="en-US" w:bidi="en-US"/>
          <w:color w:val="111111"/>
          <w:sz w:val="28"/>
          <w:szCs w:val="28"/>
          <w:rtl/>
        </w:rPr>
        <w:t xml:space="preserve">×19/5</w:t>
      </w:r>
      <w:r>
        <w:rPr>
          <w:rFonts w:ascii="IRNazanin" w:hAnsi="IRNazanin" w:eastAsia="IRNazanin" w:cs="IRNazanin"/>
          <w:lang w:bidi="fa-IR"/>
          <w:color w:val="111111"/>
          <w:sz w:val="28"/>
          <w:szCs w:val="28"/>
          <w:rtl/>
        </w:rPr>
        <w:t xml:space="preserve">سم [ف: 1 - 357]</w:t>
      </w:r>
    </w:p>
    <w:p>
      <w:pPr>
        <w:pStyle w:val="BookText"/>
      </w:pPr>
      <w:r>
        <w:rPr>
          <w:rFonts w:ascii="IRNazanin" w:hAnsi="IRNazanin" w:eastAsia="IRNazanin" w:cs="IRNazanin"/>
          <w:lang w:bidi="fa-IR"/>
          <w:color w:val="111111"/>
          <w:sz w:val="28"/>
          <w:szCs w:val="28"/>
          <w:rtl/>
        </w:rPr>
        <w:t xml:space="preserve">323 .قم؛ فیضیه شماره نسخه: 551</w:t>
      </w:r>
    </w:p>
    <w:p>
      <w:pPr>
        <w:pStyle w:val="BookText"/>
      </w:pPr>
      <w:r>
        <w:rPr>
          <w:rFonts w:ascii="IRNazanin" w:hAnsi="IRNazanin" w:eastAsia="IRNazanin" w:cs="IRNazanin"/>
          <w:lang w:bidi="fa-IR"/>
          <w:color w:val="111111"/>
          <w:sz w:val="28"/>
          <w:szCs w:val="28"/>
          <w:rtl/>
        </w:rPr>
        <w:t xml:space="preserve">خط: نسخ، کا: حاجی محمود بن محمد شریف خادم شریفی، تا : 1050ق، جا: مشهد رضوی [ف: 1 - 8]</w:t>
      </w:r>
    </w:p>
    <w:p>
      <w:pPr>
        <w:pStyle w:val="BookText"/>
      </w:pPr>
      <w:r>
        <w:rPr>
          <w:rFonts w:ascii="IRNazanin" w:hAnsi="IRNazanin" w:eastAsia="IRNazanin" w:cs="IRNazanin"/>
          <w:lang w:bidi="fa-IR"/>
          <w:color w:val="111111"/>
          <w:sz w:val="28"/>
          <w:szCs w:val="28"/>
          <w:rtl/>
        </w:rPr>
        <w:t xml:space="preserve">324.قم؛ گلپایگانی؛ شماره نسخه: 7846-53/56</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Amiri" w:hAnsi="Amiri" w:eastAsia="Amiri" w:cs="Amiri"/>
          <w:lang w:bidi="ar-SA"/>
          <w:color w:val="111111"/>
          <w:sz w:val="28"/>
          <w:szCs w:val="28"/>
          <w:rtl/>
        </w:rPr>
        <w:t xml:space="preserve">خط: نستعليق، كا: محمد بن طاهر، تا 14 محرم 1051ق؛اندازه: 17</w:t>
      </w:r>
      <w:r>
        <w:rPr>
          <w:rFonts w:ascii="Times New Roman" w:hAnsi="Times New Roman" w:eastAsia="Times New Roman" w:cs="Times New Roman"/>
          <w:lang w:val="en-US" w:bidi="en-US"/>
          <w:color w:val="111111"/>
          <w:sz w:val="28"/>
          <w:szCs w:val="28"/>
          <w:rtl/>
        </w:rPr>
        <w:t xml:space="preserve">× 23</w:t>
      </w:r>
      <w:r>
        <w:rPr>
          <w:rFonts w:ascii="IRNazanin" w:hAnsi="IRNazanin" w:eastAsia="IRNazanin" w:cs="IRNazanin"/>
          <w:lang w:bidi="fa-IR"/>
          <w:color w:val="111111"/>
          <w:sz w:val="28"/>
          <w:szCs w:val="28"/>
          <w:rtl/>
        </w:rPr>
        <w:t xml:space="preserve">سم [ف: 1 - 304]</w:t>
      </w:r>
    </w:p>
    <w:p>
      <w:pPr>
        <w:pStyle w:val="BookText"/>
      </w:pPr>
      <w:r>
        <w:rPr>
          <w:rFonts w:ascii="IRNazanin" w:hAnsi="IRNazanin" w:eastAsia="IRNazanin" w:cs="IRNazanin"/>
          <w:lang w:bidi="fa-IR"/>
          <w:color w:val="111111"/>
          <w:sz w:val="28"/>
          <w:szCs w:val="28"/>
          <w:rtl/>
        </w:rPr>
        <w:t xml:space="preserve">325.شیراز؛ علامه طباطبائی؛ شماره نسخه:243</w:t>
      </w:r>
    </w:p>
    <w:p>
      <w:pPr>
        <w:pStyle w:val="BookText"/>
      </w:pPr>
      <w:r>
        <w:rPr>
          <w:rFonts w:ascii="IRNazanin" w:hAnsi="IRNazanin" w:eastAsia="IRNazanin" w:cs="IRNazanin"/>
          <w:lang w:bidi="fa-IR"/>
          <w:color w:val="111111"/>
          <w:sz w:val="28"/>
          <w:szCs w:val="28"/>
          <w:rtl/>
        </w:rPr>
        <w:t xml:space="preserve">خط: نسخ، کا: محمد بن نصير بن احمد شعیبی، تا: دوشنبه از دهه آخر ربيع الثانى 1051ق؛ افتادگی: آغاز مصحح، محشی؛ اندازه:12/5</w:t>
      </w:r>
      <w:r>
        <w:rPr>
          <w:rFonts w:ascii="Times New Roman" w:hAnsi="Times New Roman" w:eastAsia="Times New Roman" w:cs="Times New Roman"/>
          <w:lang w:val="en-US" w:bidi="en-US"/>
          <w:color w:val="111111"/>
          <w:sz w:val="28"/>
          <w:szCs w:val="28"/>
          <w:rtl/>
        </w:rPr>
        <w:t xml:space="preserve">×18/5</w:t>
      </w:r>
      <w:r>
        <w:rPr>
          <w:rFonts w:ascii="IRNazanin" w:hAnsi="IRNazanin" w:eastAsia="IRNazanin" w:cs="IRNazanin"/>
          <w:lang w:bidi="fa-IR"/>
          <w:color w:val="111111"/>
          <w:sz w:val="28"/>
          <w:szCs w:val="28"/>
          <w:rtl/>
        </w:rPr>
        <w:t xml:space="preserve">سم [نسخه پژوهی: 2 - 111]</w:t>
      </w:r>
    </w:p>
    <w:p>
      <w:pPr>
        <w:pStyle w:val="BookText"/>
      </w:pPr>
      <w:r>
        <w:rPr>
          <w:rFonts w:ascii="IRNazanin" w:hAnsi="IRNazanin" w:eastAsia="IRNazanin" w:cs="IRNazanin"/>
          <w:lang w:bidi="fa-IR"/>
          <w:color w:val="111111"/>
          <w:sz w:val="28"/>
          <w:szCs w:val="28"/>
          <w:rtl/>
        </w:rPr>
        <w:t xml:space="preserve">326 . قم؛ معصومیه؛ شماره نسخه: 356</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و نستعلیق بی کا تا یک شنبه 11 ذیقعده 1052ق؛ محشی تملک و مهر : «يوسف ايها الصديق» (بیضی) جلد: شميز عطف نایلون تجلید نو 229گ، مختلف السطر ، اندازه : 16</w:t>
      </w:r>
      <w:r>
        <w:rPr>
          <w:rFonts w:ascii="Times New Roman" w:hAnsi="Times New Roman" w:eastAsia="Times New Roman" w:cs="Times New Roman"/>
          <w:lang w:val="en-US" w:bidi="en-US"/>
          <w:color w:val="111111"/>
          <w:sz w:val="28"/>
          <w:szCs w:val="28"/>
          <w:rtl/>
        </w:rPr>
        <w:t xml:space="preserve">×25/5</w:t>
      </w:r>
      <w:r>
        <w:rPr>
          <w:rFonts w:ascii="IRNazanin" w:hAnsi="IRNazanin" w:eastAsia="IRNazanin" w:cs="IRNazanin"/>
          <w:lang w:bidi="fa-IR"/>
          <w:color w:val="111111"/>
          <w:sz w:val="28"/>
          <w:szCs w:val="28"/>
          <w:rtl/>
        </w:rPr>
        <w:t xml:space="preserve">سم [ف: 1 - 342]</w:t>
      </w:r>
    </w:p>
    <w:p>
      <w:pPr>
        <w:pStyle w:val="BookText"/>
      </w:pPr>
      <w:r>
        <w:rPr>
          <w:rFonts w:ascii="Times New Roman" w:hAnsi="Times New Roman" w:eastAsia="Times New Roman" w:cs="Times New Roman"/>
          <w:lang w:val="en-US" w:bidi="en-US"/>
          <w:color w:val="111111"/>
          <w:sz w:val="28"/>
          <w:szCs w:val="28"/>
          <w:rtl/>
        </w:rPr>
        <w:t xml:space="preserve">327.</w:t>
      </w:r>
    </w:p>
    <w:p>
      <w:pPr>
        <w:pStyle w:val="BookText"/>
      </w:pPr>
      <w:r>
        <w:rPr>
          <w:rFonts w:ascii="IRNazanin" w:hAnsi="IRNazanin" w:eastAsia="IRNazanin" w:cs="IRNazanin"/>
          <w:lang w:bidi="fa-IR"/>
          <w:color w:val="111111"/>
          <w:sz w:val="28"/>
          <w:szCs w:val="28"/>
          <w:rtl/>
        </w:rPr>
        <w:t xml:space="preserve">تهران؛ ملک شماره نسخه: 1961</w:t>
      </w:r>
    </w:p>
    <w:p>
      <w:pPr>
        <w:pStyle w:val="BookText"/>
      </w:pPr>
      <w:r>
        <w:rPr>
          <w:rFonts w:ascii="IRNazanin" w:hAnsi="IRNazanin" w:eastAsia="IRNazanin" w:cs="IRNazanin"/>
          <w:lang w:bidi="fa-IR"/>
          <w:color w:val="111111"/>
          <w:sz w:val="28"/>
          <w:szCs w:val="28"/>
          <w:rtl/>
        </w:rPr>
        <w:t xml:space="preserve">خط: نسخ، کا: محمد زكي بن جلال الدین رضوی دلیجانی، تا:25 ربيع الثانى 1053ق کاغذ: ترمه جلد: میشن سبز نو، 128گ،23 ، سطر ، اندازه: 16/2</w:t>
      </w:r>
      <w:r>
        <w:rPr>
          <w:rFonts w:ascii="Times New Roman" w:hAnsi="Times New Roman" w:eastAsia="Times New Roman" w:cs="Times New Roman"/>
          <w:lang w:val="en-US" w:bidi="en-US"/>
          <w:color w:val="111111"/>
          <w:sz w:val="28"/>
          <w:szCs w:val="28"/>
          <w:rtl/>
        </w:rPr>
        <w:t xml:space="preserve">×25/2</w:t>
      </w:r>
      <w:r>
        <w:rPr>
          <w:rFonts w:ascii="IRNazanin" w:hAnsi="IRNazanin" w:eastAsia="IRNazanin" w:cs="IRNazanin"/>
          <w:lang w:bidi="fa-IR"/>
          <w:color w:val="111111"/>
          <w:sz w:val="28"/>
          <w:szCs w:val="28"/>
          <w:rtl/>
        </w:rPr>
        <w:t xml:space="preserve">سم [ف: 1 - 25]</w:t>
      </w:r>
    </w:p>
    <w:p>
      <w:pPr>
        <w:pStyle w:val="BookText"/>
      </w:pPr>
      <w:r>
        <w:rPr>
          <w:rFonts w:ascii="Times New Roman" w:hAnsi="Times New Roman" w:eastAsia="Times New Roman" w:cs="Times New Roman"/>
          <w:lang w:val="en-US" w:bidi="en-US"/>
          <w:color w:val="111111"/>
          <w:sz w:val="28"/>
          <w:szCs w:val="28"/>
          <w:rtl/>
        </w:rPr>
        <w:t xml:space="preserve">328.</w:t>
      </w:r>
    </w:p>
    <w:p>
      <w:pPr>
        <w:pStyle w:val="BookText"/>
      </w:pPr>
      <w:r>
        <w:rPr>
          <w:rFonts w:ascii="IRNazanin" w:hAnsi="IRNazanin" w:eastAsia="IRNazanin" w:cs="IRNazanin"/>
          <w:lang w:bidi="fa-IR"/>
          <w:color w:val="111111"/>
          <w:sz w:val="28"/>
          <w:szCs w:val="28"/>
          <w:rtl/>
        </w:rPr>
        <w:t xml:space="preserve">تهران؛ ملی؛ شماره نسخه: 6314</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محمد بن روحی طالقانی، تا شنبه 24 ربیع الثاني 1053ق، جا: دار السلطنه ،اصفهان مدرسه حاجی باقر، مصحح، محشی با نشان های «شرح ،زین ع ل ،تحریر، مختصر، شرایع و جز آن؛ خرید از خانم خامنوی؛ کاغذ: اصفهانی نخودی، جلد: تیماج قهوه ای ،مقوایی 236گ 16 و 17 سطر متغير (6</w:t>
      </w: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و6/5</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 اندازه: 12</w:t>
      </w:r>
      <w:r>
        <w:rPr>
          <w:rFonts w:ascii="Times New Roman" w:hAnsi="Times New Roman" w:eastAsia="Times New Roman" w:cs="Times New Roman"/>
          <w:lang w:val="en-US" w:bidi="en-US"/>
          <w:color w:val="111111"/>
          <w:sz w:val="28"/>
          <w:szCs w:val="28"/>
          <w:rtl/>
        </w:rPr>
        <w:t xml:space="preserve">×23</w:t>
      </w:r>
      <w:r>
        <w:rPr>
          <w:rFonts w:ascii="IRNazanin" w:hAnsi="IRNazanin" w:eastAsia="IRNazanin" w:cs="IRNazanin"/>
          <w:lang w:bidi="fa-IR"/>
          <w:color w:val="111111"/>
          <w:sz w:val="28"/>
          <w:szCs w:val="28"/>
          <w:rtl/>
        </w:rPr>
        <w:t xml:space="preserve">سم [رایانه]</w:t>
      </w:r>
    </w:p>
    <w:p>
      <w:pPr>
        <w:pStyle w:val="BookText"/>
      </w:pPr>
      <w:r>
        <w:rPr>
          <w:rFonts w:ascii="Times New Roman" w:hAnsi="Times New Roman" w:eastAsia="Times New Roman" w:cs="Times New Roman"/>
          <w:lang w:val="en-US" w:bidi="en-US"/>
          <w:color w:val="111111"/>
          <w:sz w:val="28"/>
          <w:szCs w:val="28"/>
          <w:rtl/>
        </w:rPr>
        <w:t xml:space="preserve">329.</w:t>
      </w:r>
    </w:p>
    <w:p>
      <w:pPr>
        <w:pStyle w:val="BookText"/>
      </w:pPr>
      <w:r>
        <w:rPr>
          <w:rFonts w:ascii="IRNazanin" w:hAnsi="IRNazanin" w:eastAsia="IRNazanin" w:cs="IRNazanin"/>
          <w:lang w:bidi="fa-IR"/>
          <w:color w:val="111111"/>
          <w:sz w:val="28"/>
          <w:szCs w:val="28"/>
          <w:rtl/>
        </w:rPr>
        <w:t xml:space="preserve">مشهد؛ گوهر شاد؛ شماره نسخه: 286</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نستعليق، كا: سلطانعلی بن عبدالله خلخالی تا دوشنبه جمادى الاول 1055ق، جا: اصفهان؛ مصحح محشی؛ مهر حاج سید سعید؛ کاغذ: ،اصفهانی جلد: تیماج قهوه ای ،ضربی 227گ، 9-21 سطر (16</w:t>
      </w:r>
      <w:r>
        <w:rPr>
          <w:rFonts w:ascii="Times New Roman" w:hAnsi="Times New Roman" w:eastAsia="Times New Roman" w:cs="Times New Roman"/>
          <w:lang w:val="en-US" w:bidi="en-US"/>
          <w:color w:val="111111"/>
          <w:sz w:val="28"/>
          <w:szCs w:val="28"/>
          <w:rtl/>
        </w:rPr>
        <w:t xml:space="preserve">×9) </w:t>
      </w:r>
      <w:r>
        <w:rPr>
          <w:rFonts w:ascii="IRNazanin" w:hAnsi="IRNazanin" w:eastAsia="IRNazanin" w:cs="IRNazanin"/>
          <w:lang w:bidi="fa-IR"/>
          <w:color w:val="111111"/>
          <w:sz w:val="28"/>
          <w:szCs w:val="28"/>
          <w:rtl/>
        </w:rPr>
        <w:t xml:space="preserve">، اندازه: 15</w:t>
      </w:r>
      <w:r>
        <w:rPr>
          <w:rFonts w:ascii="Times New Roman" w:hAnsi="Times New Roman" w:eastAsia="Times New Roman" w:cs="Times New Roman"/>
          <w:lang w:val="en-US" w:bidi="en-US"/>
          <w:color w:val="111111"/>
          <w:sz w:val="28"/>
          <w:szCs w:val="28"/>
          <w:rtl/>
        </w:rPr>
        <w:t xml:space="preserve">×24/5</w:t>
      </w:r>
      <w:r>
        <w:rPr>
          <w:rFonts w:ascii="IRNazanin" w:hAnsi="IRNazanin" w:eastAsia="IRNazanin" w:cs="IRNazanin"/>
          <w:lang w:bidi="fa-IR"/>
          <w:color w:val="111111"/>
          <w:sz w:val="28"/>
          <w:szCs w:val="28"/>
          <w:rtl/>
        </w:rPr>
        <w:t xml:space="preserve">سم [ف: 1-246]</w:t>
      </w:r>
    </w:p>
    <w:p>
      <w:pPr>
        <w:pStyle w:val="BookText"/>
      </w:pPr>
      <w:r>
        <w:rPr>
          <w:rFonts w:ascii="IRNazanin" w:hAnsi="IRNazanin" w:eastAsia="IRNazanin" w:cs="IRNazanin"/>
          <w:lang w:bidi="fa-IR"/>
          <w:color w:val="111111"/>
          <w:sz w:val="28"/>
          <w:szCs w:val="28"/>
          <w:rtl/>
        </w:rPr>
        <w:t xml:space="preserve">33.تهران؛ سپهسالار؛ شماره نسخه: 2473</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 کا: محمد رضا ابو سعید منصوری ،تا: 1056ق؛ محشی؛واقف سپهسالار؛ کاغذ ،اصفهانی :جلد چرمی 129 ص 21 سطر  ، ، قطع: وزیری اندازه: 18</w:t>
      </w:r>
      <w:r>
        <w:rPr>
          <w:rFonts w:ascii="Times New Roman" w:hAnsi="Times New Roman" w:eastAsia="Times New Roman" w:cs="Times New Roman"/>
          <w:lang w:val="en-US" w:bidi="en-US"/>
          <w:color w:val="111111"/>
          <w:sz w:val="28"/>
          <w:szCs w:val="28"/>
          <w:rtl/>
        </w:rPr>
        <w:t xml:space="preserve">×25</w:t>
      </w:r>
      <w:r>
        <w:rPr>
          <w:rFonts w:ascii="IRNazanin" w:hAnsi="IRNazanin" w:eastAsia="IRNazanin" w:cs="IRNazanin"/>
          <w:lang w:bidi="fa-IR"/>
          <w:color w:val="111111"/>
          <w:sz w:val="28"/>
          <w:szCs w:val="28"/>
          <w:rtl/>
        </w:rPr>
        <w:t xml:space="preserve">سم [ف: 1-358]</w:t>
      </w:r>
    </w:p>
    <w:p>
      <w:pPr>
        <w:pStyle w:val="BookText"/>
      </w:pPr>
      <w:r>
        <w:rPr>
          <w:rFonts w:ascii="IRNazanin" w:hAnsi="IRNazanin" w:eastAsia="IRNazanin" w:cs="IRNazanin"/>
          <w:lang w:bidi="fa-IR"/>
          <w:color w:val="111111"/>
          <w:sz w:val="28"/>
          <w:szCs w:val="28"/>
          <w:rtl/>
        </w:rPr>
        <w:t xml:space="preserve">331 مشهد؛ رضوی؛ شماره نسخه: 15899</w:t>
      </w:r>
    </w:p>
    <w:p>
      <w:pPr>
        <w:pStyle w:val="BookText"/>
      </w:pPr>
      <w:r>
        <w:rPr>
          <w:rFonts w:ascii="Amiri" w:hAnsi="Amiri" w:eastAsia="Amiri" w:cs="Amiri"/>
          <w:lang w:bidi="ar-SA"/>
          <w:color w:val="111111"/>
          <w:sz w:val="28"/>
          <w:szCs w:val="28"/>
          <w:rtl/>
        </w:rPr>
        <w:t xml:space="preserve">آغاز: مستمداً من الله تعالى حسن التوفيق و هداية الطريق؛ انجام: برابر</w:t>
      </w:r>
    </w:p>
    <w:p>
      <w:pPr>
        <w:pStyle w:val="BookText"/>
      </w:pPr>
      <w:r>
        <w:rPr>
          <w:rFonts w:ascii="IRNazanin" w:hAnsi="IRNazanin" w:eastAsia="IRNazanin" w:cs="IRNazanin"/>
          <w:lang w:bidi="fa-IR"/>
          <w:color w:val="111111"/>
          <w:sz w:val="28"/>
          <w:szCs w:val="28"/>
          <w:rtl/>
        </w:rPr>
        <w:t xml:space="preserve">خط: نستعلیق، کا: محمد جعفر بن نورالدین ،محمد تا 15 ر الثاني 1056ق؛ افتادگی: آغاز یک برگ و انجام (6 برگ) محشی با رموز مختلف؛ واگذاری بنیاد مستضعفان در شهریور 1367؛ كاغذ: حنایی آهار مهره جلد: تیماج، 219،گ 18 سطر ،اندازه: 13/5</w:t>
      </w:r>
      <w:r>
        <w:rPr>
          <w:rFonts w:ascii="Times New Roman" w:hAnsi="Times New Roman" w:eastAsia="Times New Roman" w:cs="Times New Roman"/>
          <w:lang w:val="en-US" w:bidi="en-US"/>
          <w:color w:val="111111"/>
          <w:sz w:val="28"/>
          <w:szCs w:val="28"/>
          <w:rtl/>
        </w:rPr>
        <w:t xml:space="preserve">× 26</w:t>
      </w:r>
      <w:r>
        <w:rPr>
          <w:rFonts w:ascii="IRNazanin" w:hAnsi="IRNazanin" w:eastAsia="IRNazanin" w:cs="IRNazanin"/>
          <w:lang w:bidi="fa-IR"/>
          <w:color w:val="111111"/>
          <w:sz w:val="28"/>
          <w:szCs w:val="28"/>
          <w:rtl/>
        </w:rPr>
        <w:t xml:space="preserve">سم [ف: 21/1 - 96]</w:t>
      </w:r>
    </w:p>
    <w:p>
      <w:pPr>
        <w:pStyle w:val="BookText"/>
      </w:pPr>
      <w:r>
        <w:rPr>
          <w:rFonts w:ascii="IRNazanin" w:hAnsi="IRNazanin" w:eastAsia="IRNazanin" w:cs="IRNazanin"/>
          <w:lang w:bidi="fa-IR"/>
          <w:color w:val="111111"/>
          <w:sz w:val="28"/>
          <w:szCs w:val="28"/>
          <w:rtl/>
        </w:rPr>
        <w:t xml:space="preserve">332 .قم؛ گلپایگانی؛ شماره نسخه: 1490-9/40</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میر قاسم بن میر نصیر حسینی مازندرانی تا رجب : 1057ق؛ مصحح محشی با نشان« ع ل» و دیگران؛ جلد: تیماج، قهوه ای سوخت دارای ترنج با سر و لچکی مجدول گره 237گ، 15 سطر ، اندازه: 29</w:t>
      </w:r>
      <w:r>
        <w:rPr>
          <w:rFonts w:ascii="Times New Roman" w:hAnsi="Times New Roman" w:eastAsia="Times New Roman" w:cs="Times New Roman"/>
          <w:lang w:val="en-US" w:bidi="en-US"/>
          <w:color w:val="111111"/>
          <w:sz w:val="28"/>
          <w:szCs w:val="28"/>
          <w:rtl/>
        </w:rPr>
        <w:t xml:space="preserve">×18/5</w:t>
      </w:r>
      <w:r>
        <w:rPr>
          <w:rFonts w:ascii="IRNazanin" w:hAnsi="IRNazanin" w:eastAsia="IRNazanin" w:cs="IRNazanin"/>
          <w:lang w:bidi="fa-IR"/>
          <w:color w:val="111111"/>
          <w:sz w:val="28"/>
          <w:szCs w:val="28"/>
          <w:rtl/>
        </w:rPr>
        <w:t xml:space="preserve">سم [ف: 1 - 301]</w:t>
      </w:r>
    </w:p>
    <w:p>
      <w:pPr>
        <w:pStyle w:val="BookText"/>
      </w:pPr>
      <w:r>
        <w:rPr>
          <w:rFonts w:ascii="Times New Roman" w:hAnsi="Times New Roman" w:eastAsia="Times New Roman" w:cs="Times New Roman"/>
          <w:lang w:val="en-US" w:bidi="en-US"/>
          <w:color w:val="111111"/>
          <w:sz w:val="28"/>
          <w:szCs w:val="28"/>
          <w:rtl/>
        </w:rPr>
        <w:t xml:space="preserve">333.</w:t>
      </w:r>
    </w:p>
    <w:p>
      <w:pPr>
        <w:pStyle w:val="BookText"/>
      </w:pPr>
      <w:r>
        <w:rPr>
          <w:rFonts w:ascii="IRNazanin" w:hAnsi="IRNazanin" w:eastAsia="IRNazanin" w:cs="IRNazanin"/>
          <w:lang w:bidi="fa-IR"/>
          <w:color w:val="111111"/>
          <w:sz w:val="28"/>
          <w:szCs w:val="28"/>
          <w:rtl/>
        </w:rPr>
        <w:t xml:space="preserve">شیراز؛ ملی؛ شماره نسخه:287</w:t>
      </w:r>
    </w:p>
    <w:p>
      <w:pPr>
        <w:pStyle w:val="BookText"/>
      </w:pPr>
      <w:r>
        <w:rPr>
          <w:rFonts w:ascii="IRNazanin" w:hAnsi="IRNazanin" w:eastAsia="IRNazanin" w:cs="IRNazanin"/>
          <w:lang w:bidi="fa-IR"/>
          <w:color w:val="111111"/>
          <w:sz w:val="28"/>
          <w:szCs w:val="28"/>
          <w:rtl/>
        </w:rPr>
        <w:t xml:space="preserve">خط: نسخ بی کا تا شوال 1057ق؛ محشی؛ کاغذ: فرن نخودی، جلد: مقوا با تیماج مشکی 140گ، 18 سطر(8/5</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اندازه 21/5</w:t>
      </w:r>
      <w:r>
        <w:rPr>
          <w:rFonts w:ascii="Times New Roman" w:hAnsi="Times New Roman" w:eastAsia="Times New Roman" w:cs="Times New Roman"/>
          <w:lang w:val="en-US" w:bidi="en-US"/>
          <w:color w:val="111111"/>
          <w:sz w:val="28"/>
          <w:szCs w:val="28"/>
          <w:rtl/>
        </w:rPr>
        <w:t xml:space="preserve">×3/5</w:t>
      </w:r>
      <w:r>
        <w:rPr>
          <w:rFonts w:ascii="IRNazanin" w:hAnsi="IRNazanin" w:eastAsia="IRNazanin" w:cs="IRNazanin"/>
          <w:lang w:bidi="fa-IR"/>
          <w:color w:val="111111"/>
          <w:sz w:val="28"/>
          <w:szCs w:val="28"/>
          <w:rtl/>
        </w:rPr>
        <w:t xml:space="preserve">سم [ف: 1 - 268]</w:t>
      </w:r>
    </w:p>
    <w:p>
      <w:pPr>
        <w:pStyle w:val="BookText"/>
      </w:pPr>
      <w:r>
        <w:rPr>
          <w:rFonts w:ascii="Times New Roman" w:hAnsi="Times New Roman" w:eastAsia="Times New Roman" w:cs="Times New Roman"/>
          <w:lang w:val="en-US" w:bidi="en-US"/>
          <w:color w:val="111111"/>
          <w:sz w:val="28"/>
          <w:szCs w:val="28"/>
          <w:rtl/>
        </w:rPr>
        <w:t xml:space="preserve">334.</w:t>
      </w:r>
    </w:p>
    <w:p>
      <w:pPr>
        <w:pStyle w:val="BookText"/>
      </w:pPr>
      <w:r>
        <w:rPr>
          <w:rFonts w:ascii="IRNazanin" w:hAnsi="IRNazanin" w:eastAsia="IRNazanin" w:cs="IRNazanin"/>
          <w:lang w:bidi="fa-IR"/>
          <w:color w:val="111111"/>
          <w:sz w:val="28"/>
          <w:szCs w:val="28"/>
          <w:rtl/>
        </w:rPr>
        <w:t xml:space="preserve">اصفهان؛ عمومی اصفهان فرهنگ سابق؛ شماره نسخه: 2995</w:t>
      </w:r>
    </w:p>
    <w:p>
      <w:pPr>
        <w:pStyle w:val="BookText"/>
      </w:pPr>
      <w:r>
        <w:rPr>
          <w:rFonts w:ascii="IRNazanin" w:hAnsi="IRNazanin" w:eastAsia="IRNazanin" w:cs="IRNazanin"/>
          <w:lang w:bidi="fa-IR"/>
          <w:color w:val="111111"/>
          <w:sz w:val="28"/>
          <w:szCs w:val="28"/>
          <w:rtl/>
        </w:rPr>
        <w:t xml:space="preserve">خط:نسخ، كا: منصور بن نورالدین هدایه کریمخانی، تا: غزه . محرم 1058ق؛ كاغذ: ،اصفهانی جلد: مقوایی 565 ص 12 س- (6</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 اندازه: 13</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1 - 177]</w:t>
      </w:r>
    </w:p>
    <w:p>
      <w:pPr>
        <w:pStyle w:val="BookText"/>
      </w:pPr>
      <w:r>
        <w:rPr>
          <w:rFonts w:ascii="IRNazanin" w:hAnsi="IRNazanin" w:eastAsia="IRNazanin" w:cs="IRNazanin"/>
          <w:lang w:bidi="fa-IR"/>
          <w:color w:val="111111"/>
          <w:sz w:val="28"/>
          <w:szCs w:val="28"/>
          <w:rtl/>
        </w:rPr>
        <w:t xml:space="preserve">335.،دزفول ،نبوی سید محمد؛ شماره نسخه: بدون شماره</w:t>
      </w:r>
    </w:p>
    <w:p>
      <w:pPr>
        <w:pStyle w:val="BookText"/>
      </w:pPr>
      <w:r>
        <w:rPr>
          <w:rFonts w:ascii="IRNazanin" w:hAnsi="IRNazanin" w:eastAsia="IRNazanin" w:cs="IRNazanin"/>
          <w:lang w:bidi="fa-IR"/>
          <w:color w:val="111111"/>
          <w:sz w:val="28"/>
          <w:szCs w:val="28"/>
          <w:rtl/>
        </w:rPr>
        <w:t xml:space="preserve">کا: محمد تقی بن حاجی باقر ابلولانی، تا: جمعه محرم  1058ق؛[مخطوطات دزفول: 10]</w:t>
      </w:r>
    </w:p>
    <w:p>
      <w:pPr>
        <w:pStyle w:val="BookText"/>
      </w:pPr>
      <w:r>
        <w:rPr>
          <w:rFonts w:ascii="Amiri" w:hAnsi="Amiri" w:eastAsia="Amiri" w:cs="Amiri"/>
          <w:lang w:bidi="ar-SA"/>
          <w:color w:val="111111"/>
          <w:sz w:val="28"/>
          <w:szCs w:val="28"/>
          <w:rtl/>
        </w:rPr>
        <w:t xml:space="preserve">336 . قم؛ حجتيه؛ شماره نسخه: 350</w:t>
      </w:r>
    </w:p>
    <w:p>
      <w:pPr>
        <w:pStyle w:val="BookText"/>
      </w:pPr>
      <w:r>
        <w:rPr>
          <w:rFonts w:ascii="IRNazanin" w:hAnsi="IRNazanin" w:eastAsia="IRNazanin" w:cs="IRNazanin"/>
          <w:lang w:bidi="fa-IR"/>
          <w:color w:val="111111"/>
          <w:sz w:val="28"/>
          <w:szCs w:val="28"/>
          <w:rtl/>
        </w:rPr>
        <w:t xml:space="preserve">خط: نسخ بی کا، تا 1058ق [ف: 34]</w:t>
      </w:r>
    </w:p>
    <w:p>
      <w:pPr>
        <w:pStyle w:val="BookText"/>
      </w:pPr>
      <w:r>
        <w:rPr>
          <w:rFonts w:ascii="Times New Roman" w:hAnsi="Times New Roman" w:eastAsia="Times New Roman" w:cs="Times New Roman"/>
          <w:lang w:val="en-US" w:bidi="en-US"/>
          <w:color w:val="111111"/>
          <w:sz w:val="28"/>
          <w:szCs w:val="28"/>
          <w:rtl/>
        </w:rPr>
        <w:t xml:space="preserve">337.</w:t>
      </w:r>
    </w:p>
    <w:p>
      <w:pPr>
        <w:pStyle w:val="BookText"/>
      </w:pPr>
      <w:r>
        <w:rPr>
          <w:rFonts w:ascii="IRNazanin" w:hAnsi="IRNazanin" w:eastAsia="IRNazanin" w:cs="IRNazanin"/>
          <w:lang w:bidi="fa-IR"/>
          <w:color w:val="111111"/>
          <w:sz w:val="28"/>
          <w:szCs w:val="28"/>
          <w:rtl/>
        </w:rPr>
        <w:t xml:space="preserve">. مشهد؛ رضوی؛ شماره نسخه: 2215</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محمد صادق بن حسن بروجردی تا جمعه 17 جمادی الثانی 1059ق؛ دارای حواشی عبدالعالی کرکی؛واقف: نادرشاه، 1145؛ کاغذ: نخودی آهار مهره ؛جلد: تیماج مشكی، 232گ، 19 سطر ، اندازه: 15</w:t>
      </w:r>
      <w:r>
        <w:rPr>
          <w:rFonts w:ascii="Times New Roman" w:hAnsi="Times New Roman" w:eastAsia="Times New Roman" w:cs="Times New Roman"/>
          <w:lang w:val="en-US" w:bidi="en-US"/>
          <w:color w:val="111111"/>
          <w:sz w:val="28"/>
          <w:szCs w:val="28"/>
          <w:rtl/>
        </w:rPr>
        <w:t xml:space="preserve">×24</w:t>
      </w:r>
      <w:r>
        <w:rPr>
          <w:rFonts w:ascii="IRNazanin" w:hAnsi="IRNazanin" w:eastAsia="IRNazanin" w:cs="IRNazanin"/>
          <w:lang w:bidi="fa-IR"/>
          <w:color w:val="111111"/>
          <w:sz w:val="28"/>
          <w:szCs w:val="28"/>
          <w:rtl/>
        </w:rPr>
        <w:t xml:space="preserve">سم [ف: 21/1 - 78]</w:t>
      </w:r>
    </w:p>
    <w:p>
      <w:pPr>
        <w:pStyle w:val="BookText"/>
      </w:pPr>
      <w:r>
        <w:rPr>
          <w:rFonts w:ascii="Times New Roman" w:hAnsi="Times New Roman" w:eastAsia="Times New Roman" w:cs="Times New Roman"/>
          <w:lang w:val="en-US" w:bidi="en-US"/>
          <w:color w:val="111111"/>
          <w:sz w:val="28"/>
          <w:szCs w:val="28"/>
          <w:rtl/>
        </w:rPr>
        <w:t xml:space="preserve">338.</w:t>
      </w:r>
    </w:p>
    <w:p>
      <w:pPr>
        <w:pStyle w:val="BookText"/>
      </w:pPr>
      <w:r>
        <w:rPr>
          <w:rFonts w:ascii="IRNazanin" w:hAnsi="IRNazanin" w:eastAsia="IRNazanin" w:cs="IRNazanin"/>
          <w:lang w:bidi="fa-IR"/>
          <w:color w:val="111111"/>
          <w:sz w:val="28"/>
          <w:szCs w:val="28"/>
          <w:rtl/>
        </w:rPr>
        <w:t xml:space="preserve">مشهد؛ رضوی؛ شماره نسخه: 20866</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سیدهادی موسوی، تا شنبه 7 محرم 1059ق؛ محشی اغلب با نشان «ه» و «ع ل»؛ اهدایی رهبری، خرداد 1373؛ کاغذ: نخودی آهار مهره، جلد: تیماج قهوه ای، 244گ، 17 سطر ، اندازه 12/5</w:t>
      </w:r>
      <w:r>
        <w:rPr>
          <w:rFonts w:ascii="Times New Roman" w:hAnsi="Times New Roman" w:eastAsia="Times New Roman" w:cs="Times New Roman"/>
          <w:lang w:val="en-US" w:bidi="en-US"/>
          <w:color w:val="111111"/>
          <w:sz w:val="28"/>
          <w:szCs w:val="28"/>
          <w:rtl/>
        </w:rPr>
        <w:t xml:space="preserve">× 23</w:t>
      </w:r>
      <w:r>
        <w:rPr>
          <w:rFonts w:ascii="IRNazanin" w:hAnsi="IRNazanin" w:eastAsia="IRNazanin" w:cs="IRNazanin"/>
          <w:lang w:bidi="fa-IR"/>
          <w:color w:val="111111"/>
          <w:sz w:val="28"/>
          <w:szCs w:val="28"/>
          <w:rtl/>
        </w:rPr>
        <w:t xml:space="preserve">سم [ اهدائی - ف: 3 - 49]</w:t>
      </w:r>
    </w:p>
    <w:p>
      <w:pPr>
        <w:pStyle w:val="BookText"/>
      </w:pPr>
      <w:r>
        <w:rPr>
          <w:rFonts w:ascii="Times New Roman" w:hAnsi="Times New Roman" w:eastAsia="Times New Roman" w:cs="Times New Roman"/>
          <w:lang w:val="en-US" w:bidi="en-US"/>
          <w:color w:val="111111"/>
          <w:sz w:val="28"/>
          <w:szCs w:val="28"/>
          <w:rtl/>
        </w:rPr>
        <w:t xml:space="preserve">339.</w:t>
      </w:r>
    </w:p>
    <w:p>
      <w:pPr>
        <w:pStyle w:val="BookText"/>
      </w:pPr>
      <w:r>
        <w:rPr>
          <w:rFonts w:ascii="IRNazanin" w:hAnsi="IRNazanin" w:eastAsia="IRNazanin" w:cs="IRNazanin"/>
          <w:lang w:bidi="fa-IR"/>
          <w:color w:val="111111"/>
          <w:sz w:val="28"/>
          <w:szCs w:val="28"/>
          <w:rtl/>
        </w:rPr>
        <w:t xml:space="preserve">همدان؛ دامغانی (آقای) شماره نسخه: 1</w:t>
      </w:r>
    </w:p>
    <w:p>
      <w:pPr>
        <w:pStyle w:val="BookText"/>
      </w:pPr>
      <w:r>
        <w:rPr>
          <w:rFonts w:ascii="IRNazanin" w:hAnsi="IRNazanin" w:eastAsia="IRNazanin" w:cs="IRNazanin"/>
          <w:lang w:bidi="fa-IR"/>
          <w:color w:val="111111"/>
          <w:sz w:val="28"/>
          <w:szCs w:val="28"/>
          <w:rtl/>
        </w:rPr>
        <w:t xml:space="preserve">كا: شفيع بن حاجى الغ بیک قزوینی، تا: 19 ربیع الثانی 1059ق [نشریه 5 - 383]</w:t>
      </w:r>
    </w:p>
    <w:p>
      <w:pPr>
        <w:pStyle w:val="BookText"/>
      </w:pPr>
      <w:r>
        <w:rPr>
          <w:rFonts w:ascii="IRNazanin" w:hAnsi="IRNazanin" w:eastAsia="IRNazanin" w:cs="IRNazanin"/>
          <w:lang w:bidi="fa-IR"/>
          <w:color w:val="111111"/>
          <w:sz w:val="28"/>
          <w:szCs w:val="28"/>
          <w:rtl/>
        </w:rPr>
        <w:t xml:space="preserve">340.تهران؛ مدرسه مروی؛ شماره نسخه: 307</w:t>
      </w:r>
    </w:p>
    <w:p>
      <w:pPr>
        <w:pStyle w:val="BookText"/>
      </w:pPr>
      <w:r>
        <w:rPr>
          <w:rFonts w:ascii="IRNazanin" w:hAnsi="IRNazanin" w:eastAsia="IRNazanin" w:cs="IRNazanin"/>
          <w:lang w:bidi="fa-IR"/>
          <w:color w:val="111111"/>
          <w:sz w:val="28"/>
          <w:szCs w:val="28"/>
          <w:rtl/>
        </w:rPr>
        <w:t xml:space="preserve">کا: محمد بن علی بن محمد بن عبدالله بن ابراهيم بن على حريصي ،احسائی :تا: 1059ق جا: شیراز مدرسه اسماعیلیه؛ کاتب مقداری از کتاب را نزد جعفر بن کمال الدین بحرانی خوانده و ایشان برای او در پایان نسخه اجازه ای به تاریخ 1059 نگاشته است. [ف: 65]</w:t>
      </w:r>
    </w:p>
    <w:p>
      <w:pPr>
        <w:pStyle w:val="BookText"/>
      </w:pPr>
      <w:r>
        <w:rPr>
          <w:rFonts w:ascii="Times New Roman" w:hAnsi="Times New Roman" w:eastAsia="Times New Roman" w:cs="Times New Roman"/>
          <w:lang w:val="en-US" w:bidi="en-US"/>
          <w:color w:val="111111"/>
          <w:sz w:val="28"/>
          <w:szCs w:val="28"/>
          <w:rtl/>
        </w:rPr>
        <w:t xml:space="preserve">341.</w:t>
      </w:r>
    </w:p>
    <w:p>
      <w:pPr>
        <w:pStyle w:val="BookText"/>
      </w:pPr>
      <w:r>
        <w:rPr>
          <w:rFonts w:ascii="IRNazanin" w:hAnsi="IRNazanin" w:eastAsia="IRNazanin" w:cs="IRNazanin"/>
          <w:lang w:bidi="fa-IR"/>
          <w:color w:val="111111"/>
          <w:sz w:val="28"/>
          <w:szCs w:val="28"/>
          <w:rtl/>
        </w:rPr>
        <w:t xml:space="preserve">اصفهان؛ روضاتی؛ شماره نسخه: 109</w:t>
      </w:r>
    </w:p>
    <w:p>
      <w:pPr>
        <w:pStyle w:val="BookText"/>
      </w:pPr>
      <w:r>
        <w:rPr>
          <w:rFonts w:ascii="IRNazanin" w:hAnsi="IRNazanin" w:eastAsia="IRNazanin" w:cs="IRNazanin"/>
          <w:lang w:bidi="fa-IR"/>
          <w:color w:val="111111"/>
          <w:sz w:val="28"/>
          <w:szCs w:val="28"/>
          <w:rtl/>
        </w:rPr>
        <w:t xml:space="preserve">خط: نسخ ،نازیبا کا: سلیمان بن محمد بن عبدالجبار بن سلمان، تا: الاول 1059ق؛ محشی با یادداشتی از محمد جعفر ساکن قریه بروجن در 1059 و یادداشت خرید کتاب در محرم 1172؛ 14  سطر ، اندازه: 12</w:t>
      </w:r>
      <w:r>
        <w:rPr>
          <w:rFonts w:ascii="Times New Roman" w:hAnsi="Times New Roman" w:eastAsia="Times New Roman" w:cs="Times New Roman"/>
          <w:lang w:val="en-US" w:bidi="en-US"/>
          <w:color w:val="111111"/>
          <w:sz w:val="28"/>
          <w:szCs w:val="28"/>
          <w:rtl/>
        </w:rPr>
        <w:t xml:space="preserve">×19/5</w:t>
      </w:r>
      <w:r>
        <w:rPr>
          <w:rFonts w:ascii="IRNazanin" w:hAnsi="IRNazanin" w:eastAsia="IRNazanin" w:cs="IRNazanin"/>
          <w:lang w:bidi="fa-IR"/>
          <w:color w:val="111111"/>
          <w:sz w:val="28"/>
          <w:szCs w:val="28"/>
          <w:rtl/>
        </w:rPr>
        <w:t xml:space="preserve">سم [ف - 81]</w:t>
      </w:r>
    </w:p>
    <w:p>
      <w:pPr>
        <w:pStyle w:val="BookText"/>
      </w:pPr>
      <w:r>
        <w:rPr>
          <w:rFonts w:ascii="IRNazanin" w:hAnsi="IRNazanin" w:eastAsia="IRNazanin" w:cs="IRNazanin"/>
          <w:lang w:bidi="fa-IR"/>
          <w:color w:val="111111"/>
          <w:sz w:val="28"/>
          <w:szCs w:val="28"/>
          <w:rtl/>
        </w:rPr>
        <w:t xml:space="preserve">342 تهران؛ دانشگاه؛ شماره نسخه:6853</w:t>
      </w:r>
    </w:p>
    <w:p>
      <w:pPr>
        <w:pStyle w:val="BookText"/>
      </w:pPr>
      <w:r>
        <w:rPr>
          <w:rFonts w:ascii="IRNazanin" w:hAnsi="IRNazanin" w:eastAsia="IRNazanin" w:cs="IRNazanin"/>
          <w:lang w:bidi="fa-IR"/>
          <w:color w:val="111111"/>
          <w:sz w:val="28"/>
          <w:szCs w:val="28"/>
          <w:rtl/>
        </w:rPr>
        <w:t xml:space="preserve">خط: نستعلیق، کا: مهدی قلی بن یار امیر فیمنی عکاشه، تا شنبه 11 محرم 1060ق ، جا: مدرسه رفیعیه ،خانیه، به دستور محمد حسن مازندرانی افتادگی: آغاز؛ محشی با نشان «رحمه الله ، ح س زین الدین» کاغذ: سپاهانی جلد: تیماج سرخ مقوایی با لولا 151گ 22 سطر (7</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قطع: وزیری، اندازه: 14</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 [ف: 16 – 383]</w:t>
      </w:r>
    </w:p>
    <w:p>
      <w:pPr>
        <w:pStyle w:val="BookText"/>
      </w:pPr>
      <w:r>
        <w:rPr>
          <w:rFonts w:ascii="IRNazanin" w:hAnsi="IRNazanin" w:eastAsia="IRNazanin" w:cs="IRNazanin"/>
          <w:lang w:bidi="fa-IR"/>
          <w:color w:val="111111"/>
          <w:sz w:val="28"/>
          <w:szCs w:val="28"/>
          <w:rtl/>
        </w:rPr>
        <w:t xml:space="preserve">343 . مشهد؛ رضوی؛ شماره نسخه: 25970</w:t>
      </w:r>
    </w:p>
    <w:p>
      <w:pPr>
        <w:pStyle w:val="BookText"/>
      </w:pPr>
      <w:r>
        <w:rPr>
          <w:rFonts w:ascii="Amiri" w:hAnsi="Amiri" w:eastAsia="Amiri" w:cs="Amiri"/>
          <w:lang w:bidi="ar-SA"/>
          <w:color w:val="111111"/>
          <w:sz w:val="28"/>
          <w:szCs w:val="28"/>
          <w:rtl/>
        </w:rPr>
        <w:t xml:space="preserve">آغاز: برابر؛ انجام: و الله الموفق و المعين. .. لجميع المومنين و المومنات</w:t>
      </w:r>
    </w:p>
    <w:p>
      <w:pPr>
        <w:pStyle w:val="BookText"/>
      </w:pPr>
      <w:r>
        <w:rPr>
          <w:rFonts w:ascii="IRNazanin" w:hAnsi="IRNazanin" w:eastAsia="IRNazanin" w:cs="IRNazanin"/>
          <w:lang w:bidi="fa-IR"/>
          <w:color w:val="111111"/>
          <w:sz w:val="28"/>
          <w:szCs w:val="28"/>
          <w:rtl/>
        </w:rPr>
        <w:t xml:space="preserve">خط: نسخ بی کا، تا: 1060ق [رایانه]</w:t>
      </w:r>
    </w:p>
    <w:p>
      <w:pPr>
        <w:pStyle w:val="BookText"/>
      </w:pPr>
      <w:r>
        <w:rPr>
          <w:rFonts w:ascii="IRNazanin" w:hAnsi="IRNazanin" w:eastAsia="IRNazanin" w:cs="IRNazanin"/>
          <w:lang w:bidi="fa-IR"/>
          <w:color w:val="111111"/>
          <w:sz w:val="28"/>
          <w:szCs w:val="28"/>
          <w:rtl/>
        </w:rPr>
        <w:t xml:space="preserve">344 . مشهد؛ رضوی؛ شماره نسخه: 15359</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15 شوال 1060ق، جا: مشهد، مدرسه خیرات خان معلق به حواشی «شهید ثانی فخر المحققین و محقق کرکی»؛ :واقف علی اصغر احمدئی آبان 1365؛ کاغذ: حنایی و نخودی آهار مهره جلد: ساغری ،مشکی ،184گ، 17 سطر ، اندازه: 18</w:t>
      </w:r>
      <w:r>
        <w:rPr>
          <w:rFonts w:ascii="Times New Roman" w:hAnsi="Times New Roman" w:eastAsia="Times New Roman" w:cs="Times New Roman"/>
          <w:lang w:val="en-US" w:bidi="en-US"/>
          <w:color w:val="111111"/>
          <w:sz w:val="28"/>
          <w:szCs w:val="28"/>
          <w:rtl/>
        </w:rPr>
        <w:t xml:space="preserve">×25/2</w:t>
      </w:r>
      <w:r>
        <w:rPr>
          <w:rFonts w:ascii="IRNazanin" w:hAnsi="IRNazanin" w:eastAsia="IRNazanin" w:cs="IRNazanin"/>
          <w:lang w:bidi="fa-IR"/>
          <w:color w:val="111111"/>
          <w:sz w:val="28"/>
          <w:szCs w:val="28"/>
          <w:rtl/>
        </w:rPr>
        <w:t xml:space="preserve">سم [ف: 21/5 - 76]</w:t>
      </w:r>
    </w:p>
    <w:p>
      <w:pPr>
        <w:pStyle w:val="BookText"/>
      </w:pPr>
      <w:r>
        <w:rPr>
          <w:rFonts w:ascii="IRNazanin" w:hAnsi="IRNazanin" w:eastAsia="IRNazanin" w:cs="IRNazanin"/>
          <w:lang w:bidi="fa-IR"/>
          <w:color w:val="111111"/>
          <w:sz w:val="28"/>
          <w:szCs w:val="28"/>
          <w:rtl/>
        </w:rPr>
        <w:t xml:space="preserve">345 . شیراز؛ امام عصر؛ شماره نسخه: 303</w:t>
      </w:r>
    </w:p>
    <w:p>
      <w:pPr>
        <w:pStyle w:val="BookText"/>
      </w:pPr>
      <w:r>
        <w:rPr>
          <w:rFonts w:ascii="IRNazanin" w:hAnsi="IRNazanin" w:eastAsia="IRNazanin" w:cs="IRNazanin"/>
          <w:lang w:bidi="fa-IR"/>
          <w:color w:val="111111"/>
          <w:sz w:val="28"/>
          <w:szCs w:val="28"/>
          <w:rtl/>
        </w:rPr>
        <w:t xml:space="preserve">خط:نسخ، کا: محمدسعید ،بافقی تا: نیمه ذیحجه 1060ق؛ 264گ،مصحح 18 سطر (6/5</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 اندازه: 12/5</w:t>
      </w:r>
      <w:r>
        <w:rPr>
          <w:rFonts w:ascii="Times New Roman" w:hAnsi="Times New Roman" w:eastAsia="Times New Roman" w:cs="Times New Roman"/>
          <w:lang w:val="en-US" w:bidi="en-US"/>
          <w:color w:val="111111"/>
          <w:sz w:val="28"/>
          <w:szCs w:val="28"/>
          <w:rtl/>
        </w:rPr>
        <w:t xml:space="preserve">×23</w:t>
      </w:r>
      <w:r>
        <w:rPr>
          <w:rFonts w:ascii="IRNazanin" w:hAnsi="IRNazanin" w:eastAsia="IRNazanin" w:cs="IRNazanin"/>
          <w:lang w:bidi="fa-IR"/>
          <w:color w:val="111111"/>
          <w:sz w:val="28"/>
          <w:szCs w:val="28"/>
          <w:rtl/>
        </w:rPr>
        <w:t xml:space="preserve">سم [ف:1- 7]</w:t>
      </w:r>
    </w:p>
    <w:p>
      <w:pPr>
        <w:pStyle w:val="BookText"/>
      </w:pPr>
      <w:r>
        <w:rPr>
          <w:rFonts w:ascii="IRNazanin" w:hAnsi="IRNazanin" w:eastAsia="IRNazanin" w:cs="IRNazanin"/>
          <w:lang w:bidi="fa-IR"/>
          <w:color w:val="111111"/>
          <w:sz w:val="28"/>
          <w:szCs w:val="28"/>
          <w:rtl/>
        </w:rPr>
        <w:t xml:space="preserve">346 . مشهد؛ میبدی؛ شماره نسخه: 120</w:t>
      </w:r>
    </w:p>
    <w:p>
      <w:pPr>
        <w:pStyle w:val="BookText"/>
      </w:pPr>
      <w:r>
        <w:rPr>
          <w:rFonts w:ascii="IRNazanin" w:hAnsi="IRNazanin" w:eastAsia="IRNazanin" w:cs="IRNazanin"/>
          <w:lang w:bidi="fa-IR"/>
          <w:color w:val="111111"/>
          <w:sz w:val="28"/>
          <w:szCs w:val="28"/>
          <w:rtl/>
        </w:rPr>
        <w:t xml:space="preserve">خط: نسخ، کا: محمد علی بن ملا حسن رودپیش از توابع فومن، :تا: یک شنبه 24 جمادی الاول 1060ق؛ محشی، نه صفحه قبل از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دارای فواید و اشعار مختلف و معرفی علامه حلی از سیدناصر حسینی مرعشی میبدی کرمانشاهی به تاریخ غره محرم1425با مهر بیضوی وی؛ تملک: سلیمان نائب الصدر به تاریخ ربیع الاول 1296 جلد: تیماج ،قرمز، 209گ، 16 سطر ، اندازه:20/5</w:t>
      </w:r>
      <w:r>
        <w:rPr>
          <w:rFonts w:ascii="Times New Roman" w:hAnsi="Times New Roman" w:eastAsia="Times New Roman" w:cs="Times New Roman"/>
          <w:lang w:val="en-US" w:bidi="en-US"/>
          <w:color w:val="111111"/>
          <w:sz w:val="28"/>
          <w:szCs w:val="28"/>
          <w:rtl/>
        </w:rPr>
        <w:t xml:space="preserve">×31</w:t>
      </w:r>
      <w:r>
        <w:rPr>
          <w:rFonts w:ascii="IRNazanin" w:hAnsi="IRNazanin" w:eastAsia="IRNazanin" w:cs="IRNazanin"/>
          <w:lang w:bidi="fa-IR"/>
          <w:color w:val="111111"/>
          <w:sz w:val="28"/>
          <w:szCs w:val="28"/>
          <w:rtl/>
        </w:rPr>
        <w:t xml:space="preserve">سم [ف: 1 - 108]</w:t>
      </w:r>
    </w:p>
    <w:p>
      <w:pPr>
        <w:pStyle w:val="BookText"/>
      </w:pPr>
      <w:r>
        <w:rPr>
          <w:rFonts w:ascii="IRNazanin" w:hAnsi="IRNazanin" w:eastAsia="IRNazanin" w:cs="IRNazanin"/>
          <w:lang w:bidi="fa-IR"/>
          <w:color w:val="111111"/>
          <w:sz w:val="28"/>
          <w:szCs w:val="28"/>
          <w:rtl/>
        </w:rPr>
        <w:t xml:space="preserve">347 . قم؛ مرعشی شماره نسخه: 10806</w:t>
      </w:r>
    </w:p>
    <w:p>
      <w:pPr>
        <w:pStyle w:val="BookText"/>
      </w:pPr>
      <w:r>
        <w:rPr>
          <w:rFonts w:ascii="IRNazanin" w:hAnsi="IRNazanin" w:eastAsia="IRNazanin" w:cs="IRNazanin"/>
          <w:lang w:bidi="fa-IR"/>
          <w:color w:val="111111"/>
          <w:sz w:val="28"/>
          <w:szCs w:val="28"/>
          <w:rtl/>
        </w:rPr>
        <w:t xml:space="preserve">خط: نسخ کا نورالدین محمد بن قطب الدين حيدر (بن) عطاءالله) حسینی تا 20 شعبان 1060ق؛ مصحح، محشی دارای نشان ،بلاغ روی برگ اول چند یادداشت؛ تملك: كاتب محمد تقی الحكاك النجفی؛ جلد: تیماج مشکی بدون مقوا، 185گ، 21سطر ، اندازه: 19</w:t>
      </w:r>
      <w:r>
        <w:rPr>
          <w:rFonts w:ascii="Times New Roman" w:hAnsi="Times New Roman" w:eastAsia="Times New Roman" w:cs="Times New Roman"/>
          <w:lang w:val="en-US" w:bidi="en-US"/>
          <w:color w:val="111111"/>
          <w:sz w:val="28"/>
          <w:szCs w:val="28"/>
          <w:rtl/>
        </w:rPr>
        <w:t xml:space="preserve">×29</w:t>
      </w:r>
      <w:r>
        <w:rPr>
          <w:rFonts w:ascii="IRNazanin" w:hAnsi="IRNazanin" w:eastAsia="IRNazanin" w:cs="IRNazanin"/>
          <w:lang w:bidi="fa-IR"/>
          <w:color w:val="111111"/>
          <w:sz w:val="28"/>
          <w:szCs w:val="28"/>
          <w:rtl/>
        </w:rPr>
        <w:t xml:space="preserve">سم [ف: 27 - 227]</w:t>
      </w:r>
    </w:p>
    <w:p>
      <w:pPr>
        <w:pStyle w:val="BookText"/>
      </w:pPr>
      <w:r>
        <w:rPr>
          <w:rFonts w:ascii="Times New Roman" w:hAnsi="Times New Roman" w:eastAsia="Times New Roman" w:cs="Times New Roman"/>
          <w:lang w:val="en-US" w:bidi="en-US"/>
          <w:color w:val="111111"/>
          <w:sz w:val="28"/>
          <w:szCs w:val="28"/>
          <w:rtl/>
        </w:rPr>
        <w:t xml:space="preserve">348.</w:t>
      </w:r>
    </w:p>
    <w:p>
      <w:pPr>
        <w:pStyle w:val="BookText"/>
      </w:pPr>
      <w:r>
        <w:rPr>
          <w:rFonts w:ascii="IRNazanin" w:hAnsi="IRNazanin" w:eastAsia="IRNazanin" w:cs="IRNazanin"/>
          <w:lang w:bidi="fa-IR"/>
          <w:color w:val="111111"/>
          <w:sz w:val="28"/>
          <w:szCs w:val="28"/>
          <w:rtl/>
        </w:rPr>
        <w:t xml:space="preserve">کرمانشاه؛ مدرسه آیة الله بروجردی؛ شماره نسخه: 59</w:t>
      </w:r>
    </w:p>
    <w:p>
      <w:pPr>
        <w:pStyle w:val="BookText"/>
      </w:pPr>
      <w:r>
        <w:rPr>
          <w:rFonts w:ascii="Amiri" w:hAnsi="Amiri" w:eastAsia="Amiri" w:cs="Amiri"/>
          <w:lang w:bidi="ar-SA"/>
          <w:color w:val="111111"/>
          <w:sz w:val="28"/>
          <w:szCs w:val="28"/>
          <w:rtl/>
        </w:rPr>
        <w:t xml:space="preserve">آغاز: القول في زكاة الذهب و الفضة و يشترط فيث الوجوب النصاب</w:t>
      </w:r>
    </w:p>
    <w:p>
      <w:pPr>
        <w:pStyle w:val="BookText"/>
      </w:pPr>
      <w:r>
        <w:rPr>
          <w:rFonts w:ascii="IRNazanin" w:hAnsi="IRNazanin" w:eastAsia="IRNazanin" w:cs="IRNazanin"/>
          <w:lang w:bidi="fa-IR"/>
          <w:color w:val="111111"/>
          <w:sz w:val="28"/>
          <w:szCs w:val="28"/>
          <w:rtl/>
        </w:rPr>
        <w:t xml:space="preserve">خط: نسخ، بی کا: تا: جمادی الاول 1061ق؛ افتادگی: آغاز؛ تملکی بدون نام به تاریخ 1242؛ جلد: تیماج مشکی، 233گ، 12سطر ، اندازه: 13/5</w:t>
      </w:r>
      <w:r>
        <w:rPr>
          <w:rFonts w:ascii="Times New Roman" w:hAnsi="Times New Roman" w:eastAsia="Times New Roman" w:cs="Times New Roman"/>
          <w:lang w:val="en-US" w:bidi="en-US"/>
          <w:color w:val="111111"/>
          <w:sz w:val="28"/>
          <w:szCs w:val="28"/>
          <w:rtl/>
        </w:rPr>
        <w:t xml:space="preserve">× 23</w:t>
      </w:r>
      <w:r>
        <w:rPr>
          <w:rFonts w:ascii="IRNazanin" w:hAnsi="IRNazanin" w:eastAsia="IRNazanin" w:cs="IRNazanin"/>
          <w:lang w:bidi="fa-IR"/>
          <w:color w:val="111111"/>
          <w:sz w:val="28"/>
          <w:szCs w:val="28"/>
          <w:rtl/>
        </w:rPr>
        <w:t xml:space="preserve">سم [ف: 47]</w:t>
      </w:r>
    </w:p>
    <w:p>
      <w:pPr>
        <w:pStyle w:val="BookText"/>
      </w:pPr>
      <w:r>
        <w:rPr>
          <w:rFonts w:ascii="Times New Roman" w:hAnsi="Times New Roman" w:eastAsia="Times New Roman" w:cs="Times New Roman"/>
          <w:lang w:val="en-US" w:bidi="en-US"/>
          <w:color w:val="111111"/>
          <w:sz w:val="28"/>
          <w:szCs w:val="28"/>
          <w:rtl/>
        </w:rPr>
        <w:t xml:space="preserve">349.</w:t>
      </w:r>
    </w:p>
    <w:p>
      <w:pPr>
        <w:pStyle w:val="BookText"/>
      </w:pPr>
      <w:r>
        <w:rPr>
          <w:rFonts w:ascii="IRNazanin" w:hAnsi="IRNazanin" w:eastAsia="IRNazanin" w:cs="IRNazanin"/>
          <w:lang w:bidi="fa-IR"/>
          <w:color w:val="111111"/>
          <w:sz w:val="28"/>
          <w:szCs w:val="28"/>
          <w:rtl/>
        </w:rPr>
        <w:t xml:space="preserve">آران کاشان؛ محمد هلال؛ شماره نسخه: 115</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کامل؛ خط: نسخ، کا: محمد ابراهیم بن محمدتقی تبریزی، تا: 24 ربیع الاول 1062ق؛ مجدول، محشی؛ نسخه وقف اولاد ذکور ملا غلامرضا است؛ مهر: «عبد الراجی ابوالقاسم بن غلامرضا» (بیضی) «سلام علی ابراهیم یا نار کونی بردا (1036)» (بیضی) ؛جلد: تيماج قهوه ای با ترنج و سرترنج، 211گ، 14 سطر ، اندازه: 21</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سم [ف مخ: - 9]</w:t>
      </w:r>
    </w:p>
    <w:p>
      <w:pPr>
        <w:pStyle w:val="BookText"/>
      </w:pPr>
      <w:r>
        <w:rPr>
          <w:rFonts w:ascii="IRNazanin" w:hAnsi="IRNazanin" w:eastAsia="IRNazanin" w:cs="IRNazanin"/>
          <w:lang w:bidi="fa-IR"/>
          <w:color w:val="111111"/>
          <w:sz w:val="28"/>
          <w:szCs w:val="28"/>
          <w:rtl/>
        </w:rPr>
        <w:t xml:space="preserve">350 . قم؛ طبسی؛ شماره نسخه: 289</w:t>
      </w:r>
    </w:p>
    <w:p>
      <w:pPr>
        <w:pStyle w:val="BookText"/>
      </w:pPr>
      <w:r>
        <w:rPr>
          <w:rFonts w:ascii="Amiri" w:hAnsi="Amiri" w:eastAsia="Amiri" w:cs="Amiri"/>
          <w:lang w:bidi="ar-SA"/>
          <w:color w:val="111111"/>
          <w:sz w:val="28"/>
          <w:szCs w:val="28"/>
          <w:rtl/>
        </w:rPr>
        <w:t xml:space="preserve">آغاز: النورة و الجص و تراب القبر و المستعمل و لا يصح بالمعادن الرماد والاشنان والدقيق؛ انجام: برابر</w:t>
      </w:r>
    </w:p>
    <w:p>
      <w:pPr>
        <w:pStyle w:val="BookText"/>
      </w:pPr>
      <w:r>
        <w:rPr>
          <w:rFonts w:ascii="IRNazanin" w:hAnsi="IRNazanin" w:eastAsia="IRNazanin" w:cs="IRNazanin"/>
          <w:lang w:bidi="fa-IR"/>
          <w:color w:val="111111"/>
          <w:sz w:val="28"/>
          <w:szCs w:val="28"/>
          <w:rtl/>
        </w:rPr>
        <w:t xml:space="preserve">طهارت تا آخر کتاب؛ خط: نسخ، کا: محمد اشتهاردی، تا: غره شوال 1062ق؛افتادگی: آغاز؛ مصحح، محشی، با نشان «ع ل رحمه الله» و «زين» و «منه»؛ 188گ، 19 سطر ، اندازه: 14</w:t>
      </w:r>
      <w:r>
        <w:rPr>
          <w:rFonts w:ascii="Times New Roman" w:hAnsi="Times New Roman" w:eastAsia="Times New Roman" w:cs="Times New Roman"/>
          <w:lang w:val="en-US" w:bidi="en-US"/>
          <w:color w:val="111111"/>
          <w:sz w:val="28"/>
          <w:szCs w:val="28"/>
          <w:rtl/>
        </w:rPr>
        <w:t xml:space="preserve">×25</w:t>
      </w:r>
      <w:r>
        <w:rPr>
          <w:rFonts w:ascii="IRNazanin" w:hAnsi="IRNazanin" w:eastAsia="IRNazanin" w:cs="IRNazanin"/>
          <w:lang w:bidi="fa-IR"/>
          <w:color w:val="111111"/>
          <w:sz w:val="28"/>
          <w:szCs w:val="28"/>
          <w:rtl/>
        </w:rPr>
        <w:t xml:space="preserve">سم [ف: 1- 37]</w:t>
      </w:r>
    </w:p>
    <w:p>
      <w:pPr>
        <w:pStyle w:val="BookText"/>
      </w:pPr>
      <w:r>
        <w:rPr>
          <w:rFonts w:ascii="Times New Roman" w:hAnsi="Times New Roman" w:eastAsia="Times New Roman" w:cs="Times New Roman"/>
          <w:lang w:val="en-US" w:bidi="en-US"/>
          <w:color w:val="111111"/>
          <w:sz w:val="28"/>
          <w:szCs w:val="28"/>
          <w:rtl/>
        </w:rPr>
        <w:t xml:space="preserve">351.</w:t>
      </w:r>
    </w:p>
    <w:p>
      <w:pPr>
        <w:pStyle w:val="BookText"/>
      </w:pPr>
      <w:r>
        <w:rPr>
          <w:rFonts w:ascii="IRNazanin" w:hAnsi="IRNazanin" w:eastAsia="IRNazanin" w:cs="IRNazanin"/>
          <w:lang w:bidi="fa-IR"/>
          <w:color w:val="111111"/>
          <w:sz w:val="28"/>
          <w:szCs w:val="28"/>
          <w:rtl/>
        </w:rPr>
        <w:t xml:space="preserve">قم؛ مسجداعظم؛ شماره نسخه: 118</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27 رمضان 1062ق جا: اصفهان مهر: «محمد حسن بن محمد حسین 1217»؛ (بیضی) جلد: تیماج ،،مشکی، 90گ 21 سطر ، اندازه: 20</w:t>
      </w:r>
      <w:r>
        <w:rPr>
          <w:rFonts w:ascii="Times New Roman" w:hAnsi="Times New Roman" w:eastAsia="Times New Roman" w:cs="Times New Roman"/>
          <w:lang w:val="en-US" w:bidi="en-US"/>
          <w:color w:val="111111"/>
          <w:sz w:val="28"/>
          <w:szCs w:val="28"/>
          <w:rtl/>
        </w:rPr>
        <w:t xml:space="preserve">×26 </w:t>
      </w:r>
      <w:r>
        <w:rPr>
          <w:rFonts w:ascii="IRNazanin" w:hAnsi="IRNazanin" w:eastAsia="IRNazanin" w:cs="IRNazanin"/>
          <w:lang w:bidi="fa-IR"/>
          <w:color w:val="111111"/>
          <w:sz w:val="28"/>
          <w:szCs w:val="28"/>
          <w:rtl/>
        </w:rPr>
        <w:t xml:space="preserve">سم [ف مخ: 1 - 128]</w:t>
      </w:r>
    </w:p>
    <w:p>
      <w:pPr>
        <w:pStyle w:val="BookText"/>
      </w:pPr>
      <w:r>
        <w:rPr>
          <w:rFonts w:ascii="Times New Roman" w:hAnsi="Times New Roman" w:eastAsia="Times New Roman" w:cs="Times New Roman"/>
          <w:lang w:val="en-US" w:bidi="en-US"/>
          <w:color w:val="111111"/>
          <w:sz w:val="28"/>
          <w:szCs w:val="28"/>
          <w:rtl/>
        </w:rPr>
        <w:t xml:space="preserve">352.</w:t>
      </w:r>
    </w:p>
    <w:p>
      <w:pPr>
        <w:pStyle w:val="BookText"/>
      </w:pPr>
      <w:r>
        <w:rPr>
          <w:rFonts w:ascii="IRNazanin" w:hAnsi="IRNazanin" w:eastAsia="IRNazanin" w:cs="IRNazanin"/>
          <w:lang w:bidi="fa-IR"/>
          <w:color w:val="111111"/>
          <w:sz w:val="28"/>
          <w:szCs w:val="28"/>
          <w:rtl/>
        </w:rPr>
        <w:t xml:space="preserve">اصفهان؛ عمومی اصفهان (فرهنگ سابق)؛ شماره نسخه: 3093</w:t>
      </w:r>
    </w:p>
    <w:p>
      <w:pPr>
        <w:pStyle w:val="BookText"/>
      </w:pPr>
      <w:r>
        <w:rPr>
          <w:rFonts w:ascii="IRNazanin" w:hAnsi="IRNazanin" w:eastAsia="IRNazanin" w:cs="IRNazanin"/>
          <w:lang w:bidi="fa-IR"/>
          <w:color w:val="111111"/>
          <w:sz w:val="28"/>
          <w:szCs w:val="28"/>
          <w:rtl/>
        </w:rPr>
        <w:t xml:space="preserve">خط نسخ، کا: اسدالله حسینی قمی تا: ربیع الاول 1062ق كاغذ:اصفهانی ،سفید جلد: چرمی ،سیاه 466 ص ، 17 سطر (7</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،اندازه: 12</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1 - 178]</w:t>
      </w:r>
    </w:p>
    <w:p>
      <w:pPr>
        <w:pStyle w:val="BookText"/>
      </w:pPr>
      <w:r>
        <w:rPr>
          <w:rFonts w:ascii="Times New Roman" w:hAnsi="Times New Roman" w:eastAsia="Times New Roman" w:cs="Times New Roman"/>
          <w:lang w:val="en-US" w:bidi="en-US"/>
          <w:color w:val="111111"/>
          <w:sz w:val="28"/>
          <w:szCs w:val="28"/>
          <w:rtl/>
        </w:rPr>
        <w:t xml:space="preserve">353.</w:t>
      </w:r>
    </w:p>
    <w:p>
      <w:pPr>
        <w:pStyle w:val="BookText"/>
      </w:pPr>
      <w:r>
        <w:rPr>
          <w:rFonts w:ascii="IRNazanin" w:hAnsi="IRNazanin" w:eastAsia="IRNazanin" w:cs="IRNazanin"/>
          <w:lang w:bidi="fa-IR"/>
          <w:color w:val="111111"/>
          <w:sz w:val="28"/>
          <w:szCs w:val="28"/>
          <w:rtl/>
        </w:rPr>
        <w:t xml:space="preserve">تهران؛ مدرسه معمار باشی؛ شماره نسخه: 31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محمود، تا: دوشنبه 15 ذیحجه 1062ق؛ مصحح، ،محشی دارای بلاغ با علامت «ثم بلغ سماعاً ایده الله تعالى»، پیش و پس از کتاب فایده های متفرقه طبی و فقهی و حدیثی؛ جلد: تیماج مشکی 290گ، 15 سطر [ف : 37]</w:t>
      </w:r>
    </w:p>
    <w:p>
      <w:pPr>
        <w:pStyle w:val="BookText"/>
      </w:pPr>
      <w:r>
        <w:rPr>
          <w:rFonts w:ascii="IRNazanin" w:hAnsi="IRNazanin" w:eastAsia="IRNazanin" w:cs="IRNazanin"/>
          <w:lang w:bidi="fa-IR"/>
          <w:color w:val="111111"/>
          <w:sz w:val="28"/>
          <w:szCs w:val="28"/>
          <w:rtl/>
        </w:rPr>
        <w:t xml:space="preserve">354 . قم؛ معصومیه؛ شماره نسخه: 104/1-6373</w:t>
      </w:r>
    </w:p>
    <w:p>
      <w:pPr>
        <w:pStyle w:val="BookText"/>
      </w:pPr>
      <w:r>
        <w:rPr>
          <w:rFonts w:ascii="IRNazanin" w:hAnsi="IRNazanin" w:eastAsia="IRNazanin" w:cs="IRNazanin"/>
          <w:lang w:bidi="fa-IR"/>
          <w:color w:val="111111"/>
          <w:sz w:val="28"/>
          <w:szCs w:val="28"/>
          <w:rtl/>
        </w:rPr>
        <w:t xml:space="preserve">خط: نستعلیق، بی کا، تا:  پنج شنبه 29 جمادی الثاني1062ق، جا: قهوه خانه باقر در خدمت ملا محمد تقیا؛ با بلاغ سماع؛ تملک: محمد طالب بن محمد طالب حسینی مازندرانی با مهر او؛ کاغذ: سپاهانی، جلد: تازه 147گ، 19 سطر ، قطع: ربعی [ آستانه قم: 77]</w:t>
      </w:r>
    </w:p>
    <w:p>
      <w:pPr>
        <w:pStyle w:val="BookText"/>
      </w:pPr>
      <w:r>
        <w:rPr>
          <w:rFonts w:ascii="IRNazanin" w:hAnsi="IRNazanin" w:eastAsia="IRNazanin" w:cs="IRNazanin"/>
          <w:lang w:bidi="fa-IR"/>
          <w:color w:val="111111"/>
          <w:sz w:val="28"/>
          <w:szCs w:val="28"/>
          <w:rtl/>
        </w:rPr>
        <w:t xml:space="preserve">355 . مشهد؛ رضوی؛ شماره نسخه: 25658</w:t>
      </w:r>
    </w:p>
    <w:p>
      <w:pPr>
        <w:pStyle w:val="BookText"/>
      </w:pPr>
      <w:r>
        <w:rPr>
          <w:rFonts w:ascii="Amiri" w:hAnsi="Amiri" w:eastAsia="Amiri" w:cs="Amiri"/>
          <w:lang w:bidi="ar-SA"/>
          <w:color w:val="111111"/>
          <w:sz w:val="28"/>
          <w:szCs w:val="28"/>
          <w:rtl/>
        </w:rPr>
        <w:t xml:space="preserve">آغاز: برابر انجام: فانه بلغ الغاية و تجاوز النهاية. .. تمت هذا الكتاب الشريف</w:t>
      </w:r>
    </w:p>
    <w:p>
      <w:pPr>
        <w:pStyle w:val="BookText"/>
      </w:pPr>
      <w:r>
        <w:rPr>
          <w:rFonts w:ascii="IRNazanin" w:hAnsi="IRNazanin" w:eastAsia="IRNazanin" w:cs="IRNazanin"/>
          <w:lang w:bidi="fa-IR"/>
          <w:color w:val="111111"/>
          <w:sz w:val="28"/>
          <w:szCs w:val="28"/>
          <w:rtl/>
        </w:rPr>
        <w:t xml:space="preserve">خط: نستعلیق، بی کا: تا: 1063ق [ رایانه ]</w:t>
      </w:r>
    </w:p>
    <w:p>
      <w:pPr>
        <w:pStyle w:val="BookText"/>
      </w:pPr>
      <w:r>
        <w:rPr>
          <w:rFonts w:ascii="Times New Roman" w:hAnsi="Times New Roman" w:eastAsia="Times New Roman" w:cs="Times New Roman"/>
          <w:lang w:val="en-US" w:bidi="en-US"/>
          <w:color w:val="111111"/>
          <w:sz w:val="28"/>
          <w:szCs w:val="28"/>
          <w:rtl/>
        </w:rPr>
        <w:t xml:space="preserve">356.</w:t>
      </w:r>
    </w:p>
    <w:p>
      <w:pPr>
        <w:pStyle w:val="BookText"/>
      </w:pPr>
      <w:r>
        <w:rPr>
          <w:rFonts w:ascii="IRNazanin" w:hAnsi="IRNazanin" w:eastAsia="IRNazanin" w:cs="IRNazanin"/>
          <w:lang w:bidi="fa-IR"/>
          <w:color w:val="111111"/>
          <w:sz w:val="28"/>
          <w:szCs w:val="28"/>
          <w:rtl/>
        </w:rPr>
        <w:t xml:space="preserve">مشهد؛ رضوی؛ شماره نسخه: 12569</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عبدالله بن حسين بن شرف بن حسین کربالی ،شولستانی تا: شنبه نیمه رمضان 1063ق ، جا: شیراز، مدرسه خانیه، محشی؛ واقف: حسین کی استوان، آبان 1348؛ کاغذ: حنایی و نخودی آهار مهره، جلد: مقوا رویه گالینگور، 110گ، مختلف السطر ، اندازه: 19</w:t>
      </w:r>
      <w:r>
        <w:rPr>
          <w:rFonts w:ascii="Times New Roman" w:hAnsi="Times New Roman" w:eastAsia="Times New Roman" w:cs="Times New Roman"/>
          <w:lang w:val="en-US" w:bidi="en-US"/>
          <w:color w:val="111111"/>
          <w:sz w:val="28"/>
          <w:szCs w:val="28"/>
          <w:rtl/>
        </w:rPr>
        <w:t xml:space="preserve">×26</w:t>
      </w:r>
      <w:r>
        <w:rPr>
          <w:rFonts w:ascii="IRNazanin" w:hAnsi="IRNazanin" w:eastAsia="IRNazanin" w:cs="IRNazanin"/>
          <w:lang w:bidi="fa-IR"/>
          <w:color w:val="111111"/>
          <w:sz w:val="28"/>
          <w:szCs w:val="28"/>
          <w:rtl/>
        </w:rPr>
        <w:t xml:space="preserve">سم [ف: 21/1 - 72]</w:t>
      </w:r>
    </w:p>
    <w:p>
      <w:pPr>
        <w:pStyle w:val="BookText"/>
      </w:pPr>
      <w:r>
        <w:rPr>
          <w:rFonts w:ascii="Times New Roman" w:hAnsi="Times New Roman" w:eastAsia="Times New Roman" w:cs="Times New Roman"/>
          <w:lang w:val="en-US" w:bidi="en-US"/>
          <w:color w:val="111111"/>
          <w:sz w:val="28"/>
          <w:szCs w:val="28"/>
          <w:rtl/>
        </w:rPr>
        <w:t xml:space="preserve">357.</w:t>
      </w:r>
    </w:p>
    <w:p>
      <w:pPr>
        <w:pStyle w:val="BookText"/>
      </w:pPr>
      <w:r>
        <w:rPr>
          <w:rFonts w:ascii="IRNazanin" w:hAnsi="IRNazanin" w:eastAsia="IRNazanin" w:cs="IRNazanin"/>
          <w:lang w:bidi="fa-IR"/>
          <w:color w:val="111111"/>
          <w:sz w:val="28"/>
          <w:szCs w:val="28"/>
          <w:rtl/>
        </w:rPr>
        <w:t xml:space="preserve">مشهد؛ رضوی؛ شماره نسخه: 16918</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عبدالرزاق تا: شنبه 23 محرم 1064ق؛ دارای بلاغ محشی با نشان «ع ل»؛ کاغذ: نخودی آهار مهره، جلد: تیماج مشکی، 13 سطر ، اندازه: 14</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21/1 - 94]</w:t>
      </w:r>
    </w:p>
    <w:p>
      <w:pPr>
        <w:pStyle w:val="BookText"/>
      </w:pPr>
      <w:r>
        <w:rPr>
          <w:rFonts w:ascii="IRNazanin" w:hAnsi="IRNazanin" w:eastAsia="IRNazanin" w:cs="IRNazanin"/>
          <w:lang w:bidi="fa-IR"/>
          <w:color w:val="111111"/>
          <w:sz w:val="28"/>
          <w:szCs w:val="28"/>
          <w:rtl/>
        </w:rPr>
        <w:t xml:space="preserve">358.تهران؛ ملی؛ شماره نسخه: 4210</w:t>
      </w:r>
    </w:p>
    <w:p>
      <w:pPr>
        <w:pStyle w:val="BookText"/>
      </w:pPr>
      <w:r>
        <w:rPr>
          <w:rFonts w:ascii="Amiri" w:hAnsi="Amiri" w:eastAsia="Amiri" w:cs="Amiri"/>
          <w:lang w:bidi="ar-SA"/>
          <w:color w:val="111111"/>
          <w:sz w:val="28"/>
          <w:szCs w:val="28"/>
          <w:rtl/>
        </w:rPr>
        <w:t xml:space="preserve">آغاز: و سهواً اوبترك الطهارة كذلك و تعمد التكفير و الكلام بحرفين مما ليس بقران؛ انجام: برابر</w:t>
      </w:r>
    </w:p>
    <w:p>
      <w:pPr>
        <w:pStyle w:val="BookText"/>
      </w:pPr>
      <w:r>
        <w:rPr>
          <w:rFonts w:ascii="IRNazanin" w:hAnsi="IRNazanin" w:eastAsia="IRNazanin" w:cs="IRNazanin"/>
          <w:lang w:bidi="fa-IR"/>
          <w:color w:val="111111"/>
          <w:sz w:val="28"/>
          <w:szCs w:val="28"/>
          <w:rtl/>
        </w:rPr>
        <w:t xml:space="preserve">خط: نسخ، كا: محمد زمان بن محمد استر آبادی، تا: 1064ق،جا: ،اصفهان، مصحح، محشی با امضای «ع ل ح ل»، «زین الدین»؛ کاغذ: اصفهانی ،نخودی :جلد: تیماج قهوه ای مقوایی دارای ترنج و دو سرترنج با نقش گل و بوته ،ضربی 190گ، 17 سطر ، ابعاد متن: 6/5</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اندازه: 13</w:t>
      </w:r>
      <w:r>
        <w:rPr>
          <w:rFonts w:ascii="Times New Roman" w:hAnsi="Times New Roman" w:eastAsia="Times New Roman" w:cs="Times New Roman"/>
          <w:lang w:val="en-US" w:bidi="en-US"/>
          <w:color w:val="111111"/>
          <w:sz w:val="28"/>
          <w:szCs w:val="28"/>
          <w:rtl/>
        </w:rPr>
        <w:t xml:space="preserve">× 24</w:t>
      </w:r>
      <w:r>
        <w:rPr>
          <w:rFonts w:ascii="IRNazanin" w:hAnsi="IRNazanin" w:eastAsia="IRNazanin" w:cs="IRNazanin"/>
          <w:lang w:bidi="fa-IR"/>
          <w:color w:val="111111"/>
          <w:sz w:val="28"/>
          <w:szCs w:val="28"/>
          <w:rtl/>
        </w:rPr>
        <w:t xml:space="preserve">سم [ف: 18-160]</w:t>
      </w:r>
    </w:p>
    <w:p>
      <w:pPr>
        <w:pStyle w:val="BookText"/>
      </w:pPr>
      <w:r>
        <w:rPr>
          <w:rFonts w:ascii="Times New Roman" w:hAnsi="Times New Roman" w:eastAsia="Times New Roman" w:cs="Times New Roman"/>
          <w:lang w:val="en-US" w:bidi="en-US"/>
          <w:color w:val="111111"/>
          <w:sz w:val="28"/>
          <w:szCs w:val="28"/>
          <w:rtl/>
        </w:rPr>
        <w:t xml:space="preserve">359.</w:t>
      </w:r>
    </w:p>
    <w:p>
      <w:pPr>
        <w:pStyle w:val="BookText"/>
      </w:pPr>
      <w:r>
        <w:rPr>
          <w:rFonts w:ascii="IRNazanin" w:hAnsi="IRNazanin" w:eastAsia="IRNazanin" w:cs="IRNazanin"/>
          <w:lang w:bidi="fa-IR"/>
          <w:color w:val="111111"/>
          <w:sz w:val="28"/>
          <w:szCs w:val="28"/>
          <w:rtl/>
        </w:rPr>
        <w:t xml:space="preserve">مشهد؛ مدرسه باقریه؛ شماره نسخه: 3</w:t>
      </w:r>
    </w:p>
    <w:p>
      <w:pPr>
        <w:pStyle w:val="BookText"/>
      </w:pPr>
      <w:r>
        <w:rPr>
          <w:rFonts w:ascii="IRNazanin" w:hAnsi="IRNazanin" w:eastAsia="IRNazanin" w:cs="IRNazanin"/>
          <w:lang w:bidi="fa-IR"/>
          <w:color w:val="111111"/>
          <w:sz w:val="28"/>
          <w:szCs w:val="28"/>
          <w:rtl/>
        </w:rPr>
        <w:t xml:space="preserve">خط: نسخ، بی کا: تا: رمضان 1064ق؛ 18 سطر ، قطع: وزیری [تراثنا س 6ش 1 - 68]</w:t>
      </w:r>
    </w:p>
    <w:p>
      <w:pPr>
        <w:pStyle w:val="BookText"/>
      </w:pPr>
      <w:r>
        <w:rPr>
          <w:rFonts w:ascii="IRNazanin" w:hAnsi="IRNazanin" w:eastAsia="IRNazanin" w:cs="IRNazanin"/>
          <w:lang w:bidi="fa-IR"/>
          <w:color w:val="111111"/>
          <w:sz w:val="28"/>
          <w:szCs w:val="28"/>
          <w:rtl/>
        </w:rPr>
        <w:t xml:space="preserve">360 . مشهد؛ مدرسه باقریه شماره نسخه: 4</w:t>
      </w:r>
    </w:p>
    <w:p>
      <w:pPr>
        <w:pStyle w:val="BookText"/>
      </w:pPr>
      <w:r>
        <w:rPr>
          <w:rFonts w:ascii="IRNazanin" w:hAnsi="IRNazanin" w:eastAsia="IRNazanin" w:cs="IRNazanin"/>
          <w:lang w:bidi="fa-IR"/>
          <w:color w:val="111111"/>
          <w:sz w:val="28"/>
          <w:szCs w:val="28"/>
          <w:rtl/>
        </w:rPr>
        <w:t xml:space="preserve">خط: نسخ ، کا: عبدالرزاق بن عبدزید، تا: شنبه 23 محرم 1064ق؛ کاغذ: هندی 12 و 15 سطر [ تراثنا س6ش 1 - 69]</w:t>
      </w:r>
    </w:p>
    <w:p>
      <w:pPr>
        <w:pStyle w:val="BookText"/>
      </w:pPr>
      <w:r>
        <w:rPr>
          <w:rFonts w:ascii="Times New Roman" w:hAnsi="Times New Roman" w:eastAsia="Times New Roman" w:cs="Times New Roman"/>
          <w:lang w:val="en-US" w:bidi="en-US"/>
          <w:color w:val="111111"/>
          <w:sz w:val="28"/>
          <w:szCs w:val="28"/>
          <w:rtl/>
        </w:rPr>
        <w:t xml:space="preserve">361.</w:t>
      </w:r>
    </w:p>
    <w:p>
      <w:pPr>
        <w:pStyle w:val="BookText"/>
      </w:pPr>
      <w:r>
        <w:rPr>
          <w:rFonts w:ascii="IRNazanin" w:hAnsi="IRNazanin" w:eastAsia="IRNazanin" w:cs="IRNazanin"/>
          <w:lang w:bidi="fa-IR"/>
          <w:color w:val="111111"/>
          <w:sz w:val="28"/>
          <w:szCs w:val="28"/>
          <w:rtl/>
        </w:rPr>
        <w:t xml:space="preserve">تهران؛ مجلس؛ شماره نسخه: 3087</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اصیل الدین محمد سلمان، تا: 1064ق؛ در آخر نسخه یک یادداشت با این عبارت «هذا من املاء استاد البشر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خلف صدق سيد البشر میر محمد زمان خلد اله تعالى الى يوم.» «این یادداشت متضمن بیان اوزان مصطلحه در شرع است)، قسمت هایی از کتب مختلفه فقه مخصوصاً از مؤلفات علامه حلی، مؤلف ارشاد و از شروح آن در کنار برگ؛ کاغذ: آهار مهره زرد، کرم روشن و سیر جلد: تیماج ،قرمز 318ص، 17 سطر ، قطع: ،وزیری اندازه 14</w:t>
      </w:r>
      <w:r>
        <w:rPr>
          <w:rFonts w:ascii="Times New Roman" w:hAnsi="Times New Roman" w:eastAsia="Times New Roman" w:cs="Times New Roman"/>
          <w:lang w:val="en-US" w:bidi="en-US"/>
          <w:color w:val="111111"/>
          <w:sz w:val="28"/>
          <w:szCs w:val="28"/>
          <w:rtl/>
        </w:rPr>
        <w:t xml:space="preserve">×24</w:t>
      </w:r>
      <w:r>
        <w:rPr>
          <w:rFonts w:ascii="IRNazanin" w:hAnsi="IRNazanin" w:eastAsia="IRNazanin" w:cs="IRNazanin"/>
          <w:lang w:bidi="fa-IR"/>
          <w:color w:val="111111"/>
          <w:sz w:val="28"/>
          <w:szCs w:val="28"/>
          <w:rtl/>
        </w:rPr>
        <w:t xml:space="preserve">سم [ف: 10 - 641]</w:t>
      </w:r>
    </w:p>
    <w:p>
      <w:pPr>
        <w:pStyle w:val="BookText"/>
      </w:pPr>
      <w:r>
        <w:rPr>
          <w:rFonts w:ascii="Times New Roman" w:hAnsi="Times New Roman" w:eastAsia="Times New Roman" w:cs="Times New Roman"/>
          <w:lang w:val="en-US" w:bidi="en-US"/>
          <w:color w:val="111111"/>
          <w:sz w:val="28"/>
          <w:szCs w:val="28"/>
          <w:rtl/>
        </w:rPr>
        <w:t xml:space="preserve">362.</w:t>
      </w:r>
    </w:p>
    <w:p>
      <w:pPr>
        <w:pStyle w:val="BookText"/>
      </w:pPr>
      <w:r>
        <w:rPr>
          <w:rFonts w:ascii="IRNazanin" w:hAnsi="IRNazanin" w:eastAsia="IRNazanin" w:cs="IRNazanin"/>
          <w:lang w:bidi="fa-IR"/>
          <w:color w:val="111111"/>
          <w:sz w:val="28"/>
          <w:szCs w:val="28"/>
          <w:rtl/>
        </w:rPr>
        <w:t xml:space="preserve">تهران؛ مجلس؛ شماره نسخه:4404</w:t>
      </w:r>
    </w:p>
    <w:p>
      <w:pPr>
        <w:pStyle w:val="BookText"/>
      </w:pPr>
      <w:r>
        <w:rPr>
          <w:rFonts w:ascii="IRNazanin" w:hAnsi="IRNazanin" w:eastAsia="IRNazanin" w:cs="IRNazanin"/>
          <w:lang w:bidi="fa-IR"/>
          <w:color w:val="111111"/>
          <w:sz w:val="28"/>
          <w:szCs w:val="28"/>
          <w:rtl/>
        </w:rPr>
        <w:t xml:space="preserve">خط: نسخ، کا: محمد قلی جدیدالاسلام تا: شنبه 2 جمادی الاول ، 1064ق؛ محشى، کاغذ: اصفهانی، جلد: چرمی تازه، 242گ ، 14سطر ، اندازه: 18</w:t>
      </w:r>
      <w:r>
        <w:rPr>
          <w:rFonts w:ascii="Times New Roman" w:hAnsi="Times New Roman" w:eastAsia="Times New Roman" w:cs="Times New Roman"/>
          <w:lang w:val="en-US" w:bidi="en-US"/>
          <w:color w:val="111111"/>
          <w:sz w:val="28"/>
          <w:szCs w:val="28"/>
          <w:rtl/>
        </w:rPr>
        <w:t xml:space="preserve">×26</w:t>
      </w:r>
      <w:r>
        <w:rPr>
          <w:rFonts w:ascii="IRNazanin" w:hAnsi="IRNazanin" w:eastAsia="IRNazanin" w:cs="IRNazanin"/>
          <w:lang w:bidi="fa-IR"/>
          <w:color w:val="111111"/>
          <w:sz w:val="28"/>
          <w:szCs w:val="28"/>
          <w:rtl/>
        </w:rPr>
        <w:t xml:space="preserve">سم [ف: 12 - 104]</w:t>
      </w:r>
    </w:p>
    <w:p>
      <w:pPr>
        <w:pStyle w:val="BookText"/>
      </w:pPr>
      <w:r>
        <w:rPr>
          <w:rFonts w:ascii="Times New Roman" w:hAnsi="Times New Roman" w:eastAsia="Times New Roman" w:cs="Times New Roman"/>
          <w:lang w:val="en-US" w:bidi="en-US"/>
          <w:color w:val="111111"/>
          <w:sz w:val="28"/>
          <w:szCs w:val="28"/>
          <w:rtl/>
        </w:rPr>
        <w:t xml:space="preserve">363.</w:t>
      </w:r>
    </w:p>
    <w:p>
      <w:pPr>
        <w:pStyle w:val="BookText"/>
      </w:pPr>
      <w:r>
        <w:rPr>
          <w:rFonts w:ascii="IRNazanin" w:hAnsi="IRNazanin" w:eastAsia="IRNazanin" w:cs="IRNazanin"/>
          <w:lang w:bidi="fa-IR"/>
          <w:color w:val="111111"/>
          <w:sz w:val="28"/>
          <w:szCs w:val="28"/>
          <w:rtl/>
        </w:rPr>
        <w:t xml:space="preserve">زنجان؛ امام جمعه؛ شماره نسخه: 76</w:t>
      </w:r>
    </w:p>
    <w:p>
      <w:pPr>
        <w:pStyle w:val="BookText"/>
      </w:pPr>
      <w:r>
        <w:rPr>
          <w:rFonts w:ascii="IRNazanin" w:hAnsi="IRNazanin" w:eastAsia="IRNazanin" w:cs="IRNazanin"/>
          <w:lang w:bidi="fa-IR"/>
          <w:color w:val="111111"/>
          <w:sz w:val="28"/>
          <w:szCs w:val="28"/>
          <w:rtl/>
        </w:rPr>
        <w:t xml:space="preserve">خط: نسخ، کا: محمد حسین سمنانی مدرس، تا: آخر جمادی الأول 1065ق؛ جا: ابهر ؛ مصحح، محشی، در سه برگ پایانی دعاء سیفی به خط کاتب در سال 1067ق در قریه ای از روستاهای سجاس آمده است؛ مهر: وقف کتاب بر خزانه مجتهدیه (دایر ) جلد: تیماج قرمز ،ضربی 165گ مختلف السطر 21</w:t>
      </w:r>
      <w:r>
        <w:rPr>
          <w:rFonts w:ascii="Times New Roman" w:hAnsi="Times New Roman" w:eastAsia="Times New Roman" w:cs="Times New Roman"/>
          <w:lang w:val="en-US" w:bidi="en-US"/>
          <w:color w:val="111111"/>
          <w:sz w:val="28"/>
          <w:szCs w:val="28"/>
          <w:rtl/>
        </w:rPr>
        <w:t xml:space="preserve">×30</w:t>
      </w:r>
      <w:r>
        <w:rPr>
          <w:rFonts w:ascii="Amiri" w:hAnsi="Amiri" w:eastAsia="Amiri" w:cs="Amiri"/>
          <w:lang w:bidi="ar-SA"/>
          <w:color w:val="111111"/>
          <w:sz w:val="28"/>
          <w:szCs w:val="28"/>
          <w:rtl/>
        </w:rPr>
        <w:t xml:space="preserve">سم [اوراق عتيق 1 - 163]</w:t>
      </w:r>
    </w:p>
    <w:p>
      <w:pPr>
        <w:pStyle w:val="BookText"/>
      </w:pPr>
      <w:r>
        <w:rPr>
          <w:rFonts w:ascii="Times New Roman" w:hAnsi="Times New Roman" w:eastAsia="Times New Roman" w:cs="Times New Roman"/>
          <w:lang w:val="en-US" w:bidi="en-US"/>
          <w:color w:val="111111"/>
          <w:sz w:val="28"/>
          <w:szCs w:val="28"/>
          <w:rtl/>
        </w:rPr>
        <w:t xml:space="preserve">364.</w:t>
      </w:r>
    </w:p>
    <w:p>
      <w:pPr>
        <w:pStyle w:val="BookText"/>
      </w:pPr>
      <w:r>
        <w:rPr>
          <w:rFonts w:ascii="IRNazanin" w:hAnsi="IRNazanin" w:eastAsia="IRNazanin" w:cs="IRNazanin"/>
          <w:lang w:bidi="fa-IR"/>
          <w:color w:val="111111"/>
          <w:sz w:val="28"/>
          <w:szCs w:val="28"/>
          <w:rtl/>
        </w:rPr>
        <w:t xml:space="preserve">شیراز؛ علامه طباطبائی؛ شماره نسخه: 1518</w:t>
      </w:r>
    </w:p>
    <w:p>
      <w:pPr>
        <w:pStyle w:val="BookText"/>
      </w:pPr>
      <w:r>
        <w:rPr>
          <w:rFonts w:ascii="IRNazanin" w:hAnsi="IRNazanin" w:eastAsia="IRNazanin" w:cs="IRNazanin"/>
          <w:lang w:bidi="fa-IR"/>
          <w:color w:val="111111"/>
          <w:sz w:val="28"/>
          <w:szCs w:val="28"/>
          <w:rtl/>
        </w:rPr>
        <w:t xml:space="preserve">خط: نسخ، بی کا تا: محرم 1065ق؛ محشی؛ اندازه: 20</w:t>
      </w:r>
      <w:r>
        <w:rPr>
          <w:rFonts w:ascii="Times New Roman" w:hAnsi="Times New Roman" w:eastAsia="Times New Roman" w:cs="Times New Roman"/>
          <w:lang w:val="en-US" w:bidi="en-US"/>
          <w:color w:val="111111"/>
          <w:sz w:val="28"/>
          <w:szCs w:val="28"/>
          <w:rtl/>
        </w:rPr>
        <w:t xml:space="preserve">×27 </w:t>
      </w:r>
      <w:r>
        <w:rPr>
          <w:rFonts w:ascii="IRNazanin" w:hAnsi="IRNazanin" w:eastAsia="IRNazanin" w:cs="IRNazanin"/>
          <w:lang w:bidi="fa-IR"/>
          <w:color w:val="111111"/>
          <w:sz w:val="28"/>
          <w:szCs w:val="28"/>
          <w:rtl/>
        </w:rPr>
        <w:t xml:space="preserve">سم [نسخه پژوهی 2 - 111]</w:t>
      </w:r>
    </w:p>
    <w:p>
      <w:pPr>
        <w:pStyle w:val="BookText"/>
      </w:pPr>
      <w:r>
        <w:rPr>
          <w:rFonts w:ascii="Times New Roman" w:hAnsi="Times New Roman" w:eastAsia="Times New Roman" w:cs="Times New Roman"/>
          <w:lang w:val="en-US" w:bidi="en-US"/>
          <w:color w:val="111111"/>
          <w:sz w:val="28"/>
          <w:szCs w:val="28"/>
          <w:rtl/>
        </w:rPr>
        <w:t xml:space="preserve">365.</w:t>
      </w:r>
    </w:p>
    <w:p>
      <w:pPr>
        <w:pStyle w:val="BookText"/>
      </w:pPr>
      <w:r>
        <w:rPr>
          <w:rFonts w:ascii="IRNazanin" w:hAnsi="IRNazanin" w:eastAsia="IRNazanin" w:cs="IRNazanin"/>
          <w:lang w:bidi="fa-IR"/>
          <w:color w:val="111111"/>
          <w:sz w:val="28"/>
          <w:szCs w:val="28"/>
          <w:rtl/>
        </w:rPr>
        <w:t xml:space="preserve">تهران الهیات؛ شماره نسخه: 243</w:t>
      </w:r>
    </w:p>
    <w:p>
      <w:pPr>
        <w:pStyle w:val="BookText"/>
      </w:pPr>
      <w:r>
        <w:rPr>
          <w:rFonts w:ascii="IRNazanin" w:hAnsi="IRNazanin" w:eastAsia="IRNazanin" w:cs="IRNazanin"/>
          <w:lang w:bidi="fa-IR"/>
          <w:color w:val="111111"/>
          <w:sz w:val="28"/>
          <w:szCs w:val="28"/>
          <w:rtl/>
        </w:rPr>
        <w:t xml:space="preserve">طهارت تا دیات؛خط: نسخ، کا: محمد شریف مازندرانی، سه شنبه صفر 1065 ق ؛جا: هرات محشی با نشان «زین الدین ره، ع ل، فخرالدین، شرح جعفریه، ب، تحریر، مغرب»، در برگ3و 4 اقسام وجوب و شرحی کوتاه درباره علامه دیده میشود؛ تملک: فاضل تونی؛ مهر محمد علی بن هاشم حسینی؛ کاغذ: اصفهانی، جلد: تیماج قهوه ای ضربی ،مقوایی 158گ 17 سطر (11</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قطع : وزیری، اندازه: 16/5</w:t>
      </w:r>
      <w:r>
        <w:rPr>
          <w:rFonts w:ascii="Times New Roman" w:hAnsi="Times New Roman" w:eastAsia="Times New Roman" w:cs="Times New Roman"/>
          <w:lang w:val="en-US" w:bidi="en-US"/>
          <w:color w:val="111111"/>
          <w:sz w:val="28"/>
          <w:szCs w:val="28"/>
          <w:rtl/>
        </w:rPr>
        <w:t xml:space="preserve">×25/5</w:t>
      </w:r>
      <w:r>
        <w:rPr>
          <w:rFonts w:ascii="IRNazanin" w:hAnsi="IRNazanin" w:eastAsia="IRNazanin" w:cs="IRNazanin"/>
          <w:lang w:bidi="fa-IR"/>
          <w:color w:val="111111"/>
          <w:sz w:val="28"/>
          <w:szCs w:val="28"/>
          <w:rtl/>
        </w:rPr>
        <w:t xml:space="preserve">سم [ ف : - 450]</w:t>
      </w:r>
    </w:p>
    <w:p>
      <w:pPr>
        <w:pStyle w:val="BookText"/>
      </w:pPr>
      <w:r>
        <w:rPr>
          <w:rFonts w:ascii="Amiri" w:hAnsi="Amiri" w:eastAsia="Amiri" w:cs="Amiri"/>
          <w:lang w:bidi="ar-SA"/>
          <w:color w:val="111111"/>
          <w:sz w:val="28"/>
          <w:szCs w:val="28"/>
          <w:rtl/>
        </w:rPr>
        <w:t xml:space="preserve">366 . تهران؛ عبد العظيم؛ شماره نسخه: 504</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و ثلث، کا: محمد طاهر بن محمد جان بن غلامحسین بن قاسم بن غلامعلی درزی مشهور به سهراب سمنانی، یک شنبه 8 شعبان 1065ق جا: سمنان مصحح محشی با نشان: «نقی عفى منه» و «ع ل» و حواشی به نقل از کتب فقهی مانند «تنقیح» و «شرایع» جلد: تیماج قهوهای، 161گ، 17 سطر اندازه: 19</w:t>
      </w:r>
      <w:r>
        <w:rPr>
          <w:rFonts w:ascii="Times New Roman" w:hAnsi="Times New Roman" w:eastAsia="Times New Roman" w:cs="Times New Roman"/>
          <w:lang w:val="en-US" w:bidi="en-US"/>
          <w:color w:val="111111"/>
          <w:sz w:val="28"/>
          <w:szCs w:val="28"/>
          <w:rtl/>
        </w:rPr>
        <w:t xml:space="preserve">×25/5</w:t>
      </w:r>
      <w:r>
        <w:rPr>
          <w:rFonts w:ascii="IRNazanin" w:hAnsi="IRNazanin" w:eastAsia="IRNazanin" w:cs="IRNazanin"/>
          <w:lang w:bidi="fa-IR"/>
          <w:color w:val="111111"/>
          <w:sz w:val="28"/>
          <w:szCs w:val="28"/>
          <w:rtl/>
        </w:rPr>
        <w:t xml:space="preserve">سم [ف: 1 - 41]</w:t>
      </w:r>
    </w:p>
    <w:p>
      <w:pPr>
        <w:pStyle w:val="BookText"/>
      </w:pPr>
      <w:r>
        <w:rPr>
          <w:rFonts w:ascii="IRNazanin" w:hAnsi="IRNazanin" w:eastAsia="IRNazanin" w:cs="IRNazanin"/>
          <w:lang w:bidi="fa-IR"/>
          <w:color w:val="111111"/>
          <w:sz w:val="28"/>
          <w:szCs w:val="28"/>
          <w:rtl/>
        </w:rPr>
        <w:t xml:space="preserve">367 . قم؛ مرکز احیاء؛ شماره نسخه: 926</w:t>
      </w:r>
    </w:p>
    <w:p>
      <w:pPr>
        <w:pStyle w:val="BookText"/>
      </w:pPr>
      <w:r>
        <w:rPr>
          <w:rFonts w:ascii="IRNazanin" w:hAnsi="IRNazanin" w:eastAsia="IRNazanin" w:cs="IRNazanin"/>
          <w:lang w:bidi="fa-IR"/>
          <w:color w:val="111111"/>
          <w:sz w:val="28"/>
          <w:szCs w:val="28"/>
          <w:rtl/>
        </w:rPr>
        <w:t xml:space="preserve">خط: نسخ، کا: نورا (نورالدین) بن عبد الحي بن شمس گلپایگانی تا: 1065ق، جا: گیلان؛ مصحح، محشی، کار تصحیح و تحشیه را کاتب هنگام اقامت در اصفهان برای تحصیل با دقت انجام داده است؛ جلد: تیماج مشکی ضربی 265گ 13 سطر :اندازه: 14/5</w:t>
      </w:r>
      <w:r>
        <w:rPr>
          <w:rFonts w:ascii="Times New Roman" w:hAnsi="Times New Roman" w:eastAsia="Times New Roman" w:cs="Times New Roman"/>
          <w:lang w:val="en-US" w:bidi="en-US"/>
          <w:color w:val="111111"/>
          <w:sz w:val="28"/>
          <w:szCs w:val="28"/>
          <w:rtl/>
        </w:rPr>
        <w:t xml:space="preserve">×24</w:t>
      </w:r>
      <w:r>
        <w:rPr>
          <w:rFonts w:ascii="IRNazanin" w:hAnsi="IRNazanin" w:eastAsia="IRNazanin" w:cs="IRNazanin"/>
          <w:lang w:bidi="fa-IR"/>
          <w:color w:val="111111"/>
          <w:sz w:val="28"/>
          <w:szCs w:val="28"/>
          <w:rtl/>
        </w:rPr>
        <w:t xml:space="preserve">سم [ف: 3 - 145]</w:t>
      </w:r>
    </w:p>
    <w:p>
      <w:pPr>
        <w:pStyle w:val="BookText"/>
      </w:pPr>
      <w:r>
        <w:rPr>
          <w:rFonts w:ascii="Times New Roman" w:hAnsi="Times New Roman" w:eastAsia="Times New Roman" w:cs="Times New Roman"/>
          <w:lang w:val="en-US" w:bidi="en-US"/>
          <w:color w:val="111111"/>
          <w:sz w:val="28"/>
          <w:szCs w:val="28"/>
          <w:rtl/>
        </w:rPr>
        <w:t xml:space="preserve">368.</w:t>
      </w:r>
    </w:p>
    <w:p>
      <w:pPr>
        <w:pStyle w:val="BookText"/>
      </w:pPr>
      <w:r>
        <w:rPr>
          <w:rFonts w:ascii="IRNazanin" w:hAnsi="IRNazanin" w:eastAsia="IRNazanin" w:cs="IRNazanin"/>
          <w:lang w:bidi="fa-IR"/>
          <w:color w:val="111111"/>
          <w:sz w:val="28"/>
          <w:szCs w:val="28"/>
          <w:rtl/>
        </w:rPr>
        <w:t xml:space="preserve">مشهد؛ رضوی؛ شماره نسخه: 25290</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تاج الدین بن رضی الدین مازندرانی ملقب به امیر،تا: جمعه 21 رمضان 1066ق؛ مصحح، محشى؛ واقف: زین الدین جعفر زاهدی دی 1377؛ کاغذ: حنایی آهار مهره جلد: تیماج قهوه ای، 321گ، 14 سطر ، اندازه: 15</w:t>
      </w:r>
      <w:r>
        <w:rPr>
          <w:rFonts w:ascii="Times New Roman" w:hAnsi="Times New Roman" w:eastAsia="Times New Roman" w:cs="Times New Roman"/>
          <w:lang w:val="en-US" w:bidi="en-US"/>
          <w:color w:val="111111"/>
          <w:sz w:val="28"/>
          <w:szCs w:val="28"/>
          <w:rtl/>
        </w:rPr>
        <w:t xml:space="preserve">× 26/5</w:t>
      </w:r>
      <w:r>
        <w:rPr>
          <w:rFonts w:ascii="IRNazanin" w:hAnsi="IRNazanin" w:eastAsia="IRNazanin" w:cs="IRNazanin"/>
          <w:lang w:bidi="fa-IR"/>
          <w:color w:val="111111"/>
          <w:sz w:val="28"/>
          <w:szCs w:val="28"/>
          <w:rtl/>
        </w:rPr>
        <w:t xml:space="preserve">سم [ف: 21/1 - 83]</w:t>
      </w:r>
    </w:p>
    <w:p>
      <w:pPr>
        <w:pStyle w:val="BookText"/>
      </w:pPr>
      <w:r>
        <w:rPr>
          <w:rFonts w:ascii="Times New Roman" w:hAnsi="Times New Roman" w:eastAsia="Times New Roman" w:cs="Times New Roman"/>
          <w:lang w:val="en-US" w:bidi="en-US"/>
          <w:color w:val="111111"/>
          <w:sz w:val="28"/>
          <w:szCs w:val="28"/>
          <w:rtl/>
        </w:rPr>
        <w:t xml:space="preserve">369.</w:t>
      </w:r>
    </w:p>
    <w:p>
      <w:pPr>
        <w:pStyle w:val="BookText"/>
      </w:pPr>
      <w:r>
        <w:rPr>
          <w:rFonts w:ascii="IRNazanin" w:hAnsi="IRNazanin" w:eastAsia="IRNazanin" w:cs="IRNazanin"/>
          <w:lang w:bidi="fa-IR"/>
          <w:color w:val="111111"/>
          <w:sz w:val="28"/>
          <w:szCs w:val="28"/>
          <w:rtl/>
        </w:rPr>
        <w:t xml:space="preserve">تهران؛ سپهسالار؛ شماره نسخه: 2470</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،خوب، کا: محمد شریف بن عبدالجبار، تا: 1066ق؛ محشی ،واقف: سپهسالار ،کاغذ: سمرقندی جلد: تیماج، 329ص، 14 سطر ، قطع: رحلی، اندازه: 13</w:t>
      </w:r>
      <w:r>
        <w:rPr>
          <w:rFonts w:ascii="Times New Roman" w:hAnsi="Times New Roman" w:eastAsia="Times New Roman" w:cs="Times New Roman"/>
          <w:lang w:val="en-US" w:bidi="en-US"/>
          <w:color w:val="111111"/>
          <w:sz w:val="28"/>
          <w:szCs w:val="28"/>
          <w:rtl/>
        </w:rPr>
        <w:t xml:space="preserve">×28</w:t>
      </w:r>
      <w:r>
        <w:rPr>
          <w:rFonts w:ascii="IRNazanin" w:hAnsi="IRNazanin" w:eastAsia="IRNazanin" w:cs="IRNazanin"/>
          <w:lang w:bidi="fa-IR"/>
          <w:color w:val="111111"/>
          <w:sz w:val="28"/>
          <w:szCs w:val="28"/>
          <w:rtl/>
        </w:rPr>
        <w:t xml:space="preserve">سم [ف: 1 - 358]</w:t>
      </w:r>
    </w:p>
    <w:p>
      <w:pPr>
        <w:pStyle w:val="BookText"/>
      </w:pPr>
      <w:r>
        <w:rPr>
          <w:rFonts w:ascii="Times New Roman" w:hAnsi="Times New Roman" w:eastAsia="Times New Roman" w:cs="Times New Roman"/>
          <w:lang w:val="en-US" w:bidi="en-US"/>
          <w:color w:val="111111"/>
          <w:sz w:val="28"/>
          <w:szCs w:val="28"/>
          <w:rtl/>
        </w:rPr>
        <w:t xml:space="preserve">370.</w:t>
      </w:r>
    </w:p>
    <w:p>
      <w:pPr>
        <w:pStyle w:val="BookText"/>
      </w:pPr>
      <w:r>
        <w:rPr>
          <w:rFonts w:ascii="IRNazanin" w:hAnsi="IRNazanin" w:eastAsia="IRNazanin" w:cs="IRNazanin"/>
          <w:lang w:bidi="fa-IR"/>
          <w:color w:val="111111"/>
          <w:sz w:val="28"/>
          <w:szCs w:val="28"/>
          <w:rtl/>
        </w:rPr>
        <w:t xml:space="preserve">شیراز؛ ملی؛ شماره نسخه: 48 الف/ 552</w:t>
      </w:r>
    </w:p>
    <w:p>
      <w:pPr>
        <w:pStyle w:val="BookText"/>
      </w:pPr>
      <w:r>
        <w:rPr>
          <w:rFonts w:ascii="IRNazanin" w:hAnsi="IRNazanin" w:eastAsia="IRNazanin" w:cs="IRNazanin"/>
          <w:lang w:bidi="fa-IR"/>
          <w:color w:val="111111"/>
          <w:sz w:val="28"/>
          <w:szCs w:val="28"/>
          <w:rtl/>
        </w:rPr>
        <w:t xml:space="preserve">انجام: و الحمد لله رب العالمين وصلى الله على محمد خير خلقه و آله الطيبين الطاهرين المعصومين. خط: نسخ، کا: احمد بن شیخ علوان کعبی، تا: 1066ق؛ محشی؛ کاغذ: فرنگی نخودی کلفت جلد: مقوا با تیماج مشکی، 137گ 21 سطر (11/5</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 اندازه 20</w:t>
      </w:r>
      <w:r>
        <w:rPr>
          <w:rFonts w:ascii="Times New Roman" w:hAnsi="Times New Roman" w:eastAsia="Times New Roman" w:cs="Times New Roman"/>
          <w:lang w:val="en-US" w:bidi="en-US"/>
          <w:color w:val="111111"/>
          <w:sz w:val="28"/>
          <w:szCs w:val="28"/>
          <w:rtl/>
        </w:rPr>
        <w:t xml:space="preserve">×28</w:t>
      </w:r>
      <w:r>
        <w:rPr>
          <w:rFonts w:ascii="IRNazanin" w:hAnsi="IRNazanin" w:eastAsia="IRNazanin" w:cs="IRNazanin"/>
          <w:lang w:bidi="fa-IR"/>
          <w:color w:val="111111"/>
          <w:sz w:val="28"/>
          <w:szCs w:val="28"/>
          <w:rtl/>
        </w:rPr>
        <w:t xml:space="preserve">سم [ف: 2 - 143]</w:t>
      </w:r>
    </w:p>
    <w:p>
      <w:pPr>
        <w:pStyle w:val="BookText"/>
      </w:pPr>
      <w:r>
        <w:rPr>
          <w:rFonts w:ascii="IRNazanin" w:hAnsi="IRNazanin" w:eastAsia="IRNazanin" w:cs="IRNazanin"/>
          <w:lang w:bidi="fa-IR"/>
          <w:color w:val="111111"/>
          <w:sz w:val="28"/>
          <w:szCs w:val="28"/>
          <w:rtl/>
        </w:rPr>
        <w:t xml:space="preserve">371.شیراز؛ علامه طباطبائی؛ شماره نسخه: 422</w:t>
      </w:r>
    </w:p>
    <w:p>
      <w:pPr>
        <w:pStyle w:val="BookText"/>
      </w:pPr>
      <w:r>
        <w:rPr>
          <w:rFonts w:ascii="IRNazanin" w:hAnsi="IRNazanin" w:eastAsia="IRNazanin" w:cs="IRNazanin"/>
          <w:lang w:bidi="fa-IR"/>
          <w:color w:val="111111"/>
          <w:sz w:val="28"/>
          <w:szCs w:val="28"/>
          <w:rtl/>
        </w:rPr>
        <w:t xml:space="preserve">خط: نسخ، كا: عنایت الله بن ابو القاسم تبریزی، تا: 13 جمادی الثانى 1067ق جا: مشهد رضوی؛ دو صفحه در تحقیق معنی ،غصب ،محشی تملک: محمد علی حسینی طبسی گیلکی سال 1150 در دارالسلطنه اصفهان 207 گ اندازه: 16/5</w:t>
      </w:r>
      <w:r>
        <w:rPr>
          <w:rFonts w:ascii="Times New Roman" w:hAnsi="Times New Roman" w:eastAsia="Times New Roman" w:cs="Times New Roman"/>
          <w:lang w:val="en-US" w:bidi="en-US"/>
          <w:color w:val="111111"/>
          <w:sz w:val="28"/>
          <w:szCs w:val="28"/>
          <w:rtl/>
        </w:rPr>
        <w:t xml:space="preserve">×25</w:t>
      </w:r>
      <w:r>
        <w:rPr>
          <w:rFonts w:ascii="IRNazanin" w:hAnsi="IRNazanin" w:eastAsia="IRNazanin" w:cs="IRNazanin"/>
          <w:lang w:bidi="fa-IR"/>
          <w:color w:val="111111"/>
          <w:sz w:val="28"/>
          <w:szCs w:val="28"/>
          <w:rtl/>
        </w:rPr>
        <w:t xml:space="preserve">سم [ نسخه پژوهی 2 - 111]</w:t>
      </w:r>
    </w:p>
    <w:p>
      <w:pPr>
        <w:pStyle w:val="BookText"/>
      </w:pPr>
      <w:r>
        <w:rPr>
          <w:rFonts w:ascii="Times New Roman" w:hAnsi="Times New Roman" w:eastAsia="Times New Roman" w:cs="Times New Roman"/>
          <w:lang w:val="en-US" w:bidi="en-US"/>
          <w:color w:val="111111"/>
          <w:sz w:val="28"/>
          <w:szCs w:val="28"/>
          <w:rtl/>
        </w:rPr>
        <w:t xml:space="preserve">372.</w:t>
      </w:r>
    </w:p>
    <w:p>
      <w:pPr>
        <w:pStyle w:val="BookText"/>
      </w:pPr>
      <w:r>
        <w:rPr>
          <w:rFonts w:ascii="IRNazanin" w:hAnsi="IRNazanin" w:eastAsia="IRNazanin" w:cs="IRNazanin"/>
          <w:lang w:bidi="fa-IR"/>
          <w:color w:val="111111"/>
          <w:sz w:val="28"/>
          <w:szCs w:val="28"/>
          <w:rtl/>
        </w:rPr>
        <w:t xml:space="preserve">خوی؛ نمازی؛ شماره نسخه: 182</w:t>
      </w:r>
    </w:p>
    <w:p>
      <w:pPr>
        <w:pStyle w:val="BookText"/>
      </w:pPr>
      <w:r>
        <w:rPr>
          <w:rFonts w:ascii="IRNazanin" w:hAnsi="IRNazanin" w:eastAsia="IRNazanin" w:cs="IRNazanin"/>
          <w:lang w:bidi="fa-IR"/>
          <w:color w:val="111111"/>
          <w:sz w:val="28"/>
          <w:szCs w:val="28"/>
          <w:rtl/>
        </w:rPr>
        <w:t xml:space="preserve">خط: نسخ جلی، کا: رضی بن مرحوم ملاملک، تا: 24 ربیع الثانی 1067ق؛ افتادگی: آغاز (صفحه اول)؛ واقف: شهید؛ جلد: تیماج،مشکی، 11 سطر ، اندازه: 16</w:t>
      </w:r>
      <w:r>
        <w:rPr>
          <w:rFonts w:ascii="Times New Roman" w:hAnsi="Times New Roman" w:eastAsia="Times New Roman" w:cs="Times New Roman"/>
          <w:lang w:val="en-US" w:bidi="en-US"/>
          <w:color w:val="111111"/>
          <w:sz w:val="28"/>
          <w:szCs w:val="28"/>
          <w:rtl/>
        </w:rPr>
        <w:t xml:space="preserve">×25</w:t>
      </w:r>
      <w:r>
        <w:rPr>
          <w:rFonts w:ascii="IRNazanin" w:hAnsi="IRNazanin" w:eastAsia="IRNazanin" w:cs="IRNazanin"/>
          <w:lang w:bidi="fa-IR"/>
          <w:color w:val="111111"/>
          <w:sz w:val="28"/>
          <w:szCs w:val="28"/>
          <w:rtl/>
        </w:rPr>
        <w:t xml:space="preserve">سم [ف: 96]</w:t>
      </w:r>
    </w:p>
    <w:p>
      <w:pPr>
        <w:pStyle w:val="BookText"/>
      </w:pPr>
      <w:r>
        <w:rPr>
          <w:rFonts w:ascii="Times New Roman" w:hAnsi="Times New Roman" w:eastAsia="Times New Roman" w:cs="Times New Roman"/>
          <w:lang w:val="en-US" w:bidi="en-US"/>
          <w:color w:val="111111"/>
          <w:sz w:val="28"/>
          <w:szCs w:val="28"/>
          <w:rtl/>
        </w:rPr>
        <w:t xml:space="preserve">373.</w:t>
      </w:r>
    </w:p>
    <w:p>
      <w:pPr>
        <w:pStyle w:val="BookText"/>
      </w:pPr>
      <w:r>
        <w:rPr>
          <w:rFonts w:ascii="IRNazanin" w:hAnsi="IRNazanin" w:eastAsia="IRNazanin" w:cs="IRNazanin"/>
          <w:lang w:bidi="fa-IR"/>
          <w:color w:val="111111"/>
          <w:sz w:val="28"/>
          <w:szCs w:val="28"/>
          <w:rtl/>
        </w:rPr>
        <w:t xml:space="preserve">مشهد؛ رضوی؛ شماره نسخه: 2687</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 نسخ، كا: محمد بن على بن خاتون (مؤلف کتاب ترجمه قطبشاهی) تا: یک شنبه 5 محرم 1068ق، جا: حیدر آباد؛ مصحح، محشی با نشان «ع ل» و «زی»، مقابله شده، کاتب در آخر نسخه این دو بیت را نوشته است «اذار مقت عيناك ما قد كتبته *** و قد غيبتنى يوم ذاك المقابر / فخذ عظمة مما رايت فانه *** الى منزل صرنا به انت صاير»؛ واقف: نائینی مرداد 1311؛ کاغذ: آهار مهره نخودی سیر، جلد: تیماج قهوه ای 223گ، 17 سطر ، اندازه: 17</w:t>
      </w:r>
      <w:r>
        <w:rPr>
          <w:rFonts w:ascii="Times New Roman" w:hAnsi="Times New Roman" w:eastAsia="Times New Roman" w:cs="Times New Roman"/>
          <w:lang w:val="en-US" w:bidi="en-US"/>
          <w:color w:val="111111"/>
          <w:sz w:val="28"/>
          <w:szCs w:val="28"/>
          <w:rtl/>
        </w:rPr>
        <w:t xml:space="preserve">×29</w:t>
      </w:r>
      <w:r>
        <w:rPr>
          <w:rFonts w:ascii="IRNazanin" w:hAnsi="IRNazanin" w:eastAsia="IRNazanin" w:cs="IRNazanin"/>
          <w:lang w:bidi="fa-IR"/>
          <w:color w:val="111111"/>
          <w:sz w:val="28"/>
          <w:szCs w:val="28"/>
          <w:rtl/>
        </w:rPr>
        <w:t xml:space="preserve">سم [ف: 5 - 376]</w:t>
      </w:r>
    </w:p>
    <w:p>
      <w:pPr>
        <w:pStyle w:val="BookText"/>
      </w:pPr>
      <w:r>
        <w:rPr>
          <w:rFonts w:ascii="Times New Roman" w:hAnsi="Times New Roman" w:eastAsia="Times New Roman" w:cs="Times New Roman"/>
          <w:lang w:val="en-US" w:bidi="en-US"/>
          <w:color w:val="111111"/>
          <w:sz w:val="28"/>
          <w:szCs w:val="28"/>
          <w:rtl/>
        </w:rPr>
        <w:t xml:space="preserve">374.</w:t>
      </w:r>
    </w:p>
    <w:p>
      <w:pPr>
        <w:pStyle w:val="BookText"/>
      </w:pPr>
      <w:r>
        <w:rPr>
          <w:rFonts w:ascii="IRNazanin" w:hAnsi="IRNazanin" w:eastAsia="IRNazanin" w:cs="IRNazanin"/>
          <w:lang w:bidi="fa-IR"/>
          <w:color w:val="111111"/>
          <w:sz w:val="28"/>
          <w:szCs w:val="28"/>
          <w:rtl/>
        </w:rPr>
        <w:t xml:space="preserve">مشهد؛ رضوی؛ شماره نسخه:2223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محمد زمان، تا: 20 رمضان 1068ق؛ محشى؛واقف: محمد ،زمان 1091ق؛ کاغذ: شکری آهار مهره، جلد: تیماج مشکی ، 281گ ، 17 سطر ، اندازه: 14</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21/1-69]</w:t>
      </w:r>
    </w:p>
    <w:p>
      <w:pPr>
        <w:pStyle w:val="BookText"/>
      </w:pPr>
      <w:r>
        <w:rPr>
          <w:rFonts w:ascii="Times New Roman" w:hAnsi="Times New Roman" w:eastAsia="Times New Roman" w:cs="Times New Roman"/>
          <w:lang w:val="en-US" w:bidi="en-US"/>
          <w:color w:val="111111"/>
          <w:sz w:val="28"/>
          <w:szCs w:val="28"/>
          <w:rtl/>
        </w:rPr>
        <w:t xml:space="preserve">375.</w:t>
      </w:r>
    </w:p>
    <w:p>
      <w:pPr>
        <w:pStyle w:val="BookText"/>
      </w:pPr>
      <w:r>
        <w:rPr>
          <w:rFonts w:ascii="IRNazanin" w:hAnsi="IRNazanin" w:eastAsia="IRNazanin" w:cs="IRNazanin"/>
          <w:lang w:bidi="fa-IR"/>
          <w:color w:val="111111"/>
          <w:sz w:val="28"/>
          <w:szCs w:val="28"/>
          <w:rtl/>
        </w:rPr>
        <w:t xml:space="preserve">تهران؛ مجلس؛ شماره نسخه: 547- طباطبائی</w:t>
      </w:r>
    </w:p>
    <w:p>
      <w:pPr>
        <w:pStyle w:val="BookText"/>
      </w:pPr>
      <w:r>
        <w:rPr>
          <w:rFonts w:ascii="IRNazanin" w:hAnsi="IRNazanin" w:eastAsia="IRNazanin" w:cs="IRNazanin"/>
          <w:lang w:bidi="fa-IR"/>
          <w:color w:val="111111"/>
          <w:sz w:val="28"/>
          <w:szCs w:val="28"/>
          <w:rtl/>
        </w:rPr>
        <w:t xml:space="preserve">آغاز و انجام: برابر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 نسخ، کا: سعيد الله بن عزيز الله بیدگلی، تا: 1068ق، اصفهان؛ در حاشیه صفحات تعليقات على بن عبد العالى كرك پشت برگ ،آغاز، رموز کتاب قواعد علامه از زبان فخر المحقق توضیح داده شده است بر پشت برگ پایان یادداشتی است فقهی پیرامون شرایط عقد متعه عقد اجاره و عقد دوام و پشت همین ،برگ مصطلحات علامه در ارشاد توضیح داده شده قاعده ای فقهی از (شیخ حسن شاید صاحب معالم) نقل شده است؛ کاغذ: ترکی بغدادی جلد: تیماج مشکی عطف قهوه 189گ، 19 سطر ، قطع وزیری کوچک، اندازه: 15</w:t>
      </w:r>
      <w:r>
        <w:rPr>
          <w:rFonts w:ascii="Times New Roman" w:hAnsi="Times New Roman" w:eastAsia="Times New Roman" w:cs="Times New Roman"/>
          <w:lang w:val="en-US" w:bidi="en-US"/>
          <w:color w:val="111111"/>
          <w:sz w:val="28"/>
          <w:szCs w:val="28"/>
          <w:rtl/>
        </w:rPr>
        <w:t xml:space="preserve">×20/5 [</w:t>
      </w:r>
      <w:r>
        <w:rPr>
          <w:rFonts w:ascii="IRNazanin" w:hAnsi="IRNazanin" w:eastAsia="IRNazanin" w:cs="IRNazanin"/>
          <w:lang w:bidi="fa-IR"/>
          <w:color w:val="111111"/>
          <w:sz w:val="28"/>
          <w:szCs w:val="28"/>
          <w:rtl/>
        </w:rPr>
        <w:t xml:space="preserve">ف: 24 - 351]</w:t>
      </w:r>
    </w:p>
    <w:p>
      <w:pPr>
        <w:pStyle w:val="BookText"/>
      </w:pPr>
      <w:r>
        <w:rPr>
          <w:rFonts w:ascii="IRNazanin" w:hAnsi="IRNazanin" w:eastAsia="IRNazanin" w:cs="IRNazanin"/>
          <w:lang w:bidi="fa-IR"/>
          <w:color w:val="111111"/>
          <w:sz w:val="28"/>
          <w:szCs w:val="28"/>
          <w:rtl/>
        </w:rPr>
        <w:t xml:space="preserve">376 . مشهد؛ رضوی؛ شماره نسخه: 33056</w:t>
      </w:r>
    </w:p>
    <w:p>
      <w:pPr>
        <w:pStyle w:val="BookText"/>
      </w:pPr>
      <w:r>
        <w:rPr>
          <w:rFonts w:ascii="IRNazanin" w:hAnsi="IRNazanin" w:eastAsia="IRNazanin" w:cs="IRNazanin"/>
          <w:lang w:bidi="fa-IR"/>
          <w:color w:val="111111"/>
          <w:sz w:val="28"/>
          <w:szCs w:val="28"/>
          <w:rtl/>
        </w:rPr>
        <w:t xml:space="preserve">خط: نسخ، کا: ابوطالب بن عنایت الله بن حسین حسینی، تا: شنبه ربيع الثانى 1069ق؛ محشی؛ اهدائی رهبری بهمن 1384؛ جلد: تیماج فرنگی قهوه ای 190گ 20 سطر ، اندازه: 16/5</w:t>
      </w:r>
      <w:r>
        <w:rPr>
          <w:rFonts w:ascii="Times New Roman" w:hAnsi="Times New Roman" w:eastAsia="Times New Roman" w:cs="Times New Roman"/>
          <w:lang w:val="en-US" w:bidi="en-US"/>
          <w:color w:val="111111"/>
          <w:sz w:val="28"/>
          <w:szCs w:val="28"/>
          <w:rtl/>
        </w:rPr>
        <w:t xml:space="preserve">×23/7[</w:t>
      </w:r>
      <w:r>
        <w:rPr>
          <w:rFonts w:ascii="Amiri" w:hAnsi="Amiri" w:eastAsia="Amiri" w:cs="Amiri"/>
          <w:lang w:bidi="ar-SA"/>
          <w:color w:val="111111"/>
          <w:sz w:val="28"/>
          <w:szCs w:val="28"/>
          <w:rtl/>
        </w:rPr>
        <w:t xml:space="preserve">اهدائي - ف: 3 - 51]</w:t>
      </w:r>
    </w:p>
    <w:p>
      <w:pPr>
        <w:pStyle w:val="BookText"/>
      </w:pPr>
      <w:r>
        <w:rPr>
          <w:rFonts w:ascii="IRNazanin" w:hAnsi="IRNazanin" w:eastAsia="IRNazanin" w:cs="IRNazanin"/>
          <w:lang w:bidi="fa-IR"/>
          <w:color w:val="111111"/>
          <w:sz w:val="28"/>
          <w:szCs w:val="28"/>
          <w:rtl/>
        </w:rPr>
        <w:t xml:space="preserve">377 . مشهد؛ رضوی؛ شماره نسخه: 28929</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جلی ،خوش، کا: حسینی اردبیلی، محمد شریف ، تا: 1069ق [ رایانه ]</w:t>
      </w:r>
    </w:p>
    <w:p>
      <w:pPr>
        <w:pStyle w:val="BookText"/>
      </w:pPr>
      <w:r>
        <w:rPr>
          <w:rFonts w:ascii="Times New Roman" w:hAnsi="Times New Roman" w:eastAsia="Times New Roman" w:cs="Times New Roman"/>
          <w:lang w:val="en-US" w:bidi="en-US"/>
          <w:color w:val="111111"/>
          <w:sz w:val="28"/>
          <w:szCs w:val="28"/>
          <w:rtl/>
        </w:rPr>
        <w:t xml:space="preserve">378.</w:t>
      </w:r>
    </w:p>
    <w:p>
      <w:pPr>
        <w:pStyle w:val="BookText"/>
      </w:pPr>
      <w:r>
        <w:rPr>
          <w:rFonts w:ascii="IRNazanin" w:hAnsi="IRNazanin" w:eastAsia="IRNazanin" w:cs="IRNazanin"/>
          <w:lang w:bidi="fa-IR"/>
          <w:color w:val="111111"/>
          <w:sz w:val="28"/>
          <w:szCs w:val="28"/>
          <w:rtl/>
        </w:rPr>
        <w:t xml:space="preserve">مشهد؛ رضوی؛ شماره نسخه:29026</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و نستعلیق، بی کا، تا: 1069ق [رایانه]</w:t>
      </w:r>
    </w:p>
    <w:p>
      <w:pPr>
        <w:pStyle w:val="BookText"/>
      </w:pPr>
      <w:r>
        <w:rPr>
          <w:rFonts w:ascii="Times New Roman" w:hAnsi="Times New Roman" w:eastAsia="Times New Roman" w:cs="Times New Roman"/>
          <w:lang w:val="en-US" w:bidi="en-US"/>
          <w:color w:val="111111"/>
          <w:sz w:val="28"/>
          <w:szCs w:val="28"/>
          <w:rtl/>
        </w:rPr>
        <w:t xml:space="preserve">379.</w:t>
      </w:r>
    </w:p>
    <w:p>
      <w:pPr>
        <w:pStyle w:val="BookText"/>
      </w:pPr>
      <w:r>
        <w:rPr>
          <w:rFonts w:ascii="IRNazanin" w:hAnsi="IRNazanin" w:eastAsia="IRNazanin" w:cs="IRNazanin"/>
          <w:lang w:bidi="fa-IR"/>
          <w:color w:val="111111"/>
          <w:sz w:val="28"/>
          <w:szCs w:val="28"/>
          <w:rtl/>
        </w:rPr>
        <w:t xml:space="preserve">قم؛ گلپایگانی؛ شماره نسخه: 7655 - 51/115</w:t>
      </w:r>
    </w:p>
    <w:p>
      <w:pPr>
        <w:pStyle w:val="BookText"/>
      </w:pPr>
      <w:r>
        <w:rPr>
          <w:rFonts w:ascii="IRNazanin" w:hAnsi="IRNazanin" w:eastAsia="IRNazanin" w:cs="IRNazanin"/>
          <w:lang w:bidi="fa-IR"/>
          <w:color w:val="111111"/>
          <w:sz w:val="28"/>
          <w:szCs w:val="28"/>
          <w:rtl/>
        </w:rPr>
        <w:t xml:space="preserve">آغاز: بسمله كتاب النكاح و فيه مقاصد: الاول في اقسامه و هی ثلثة الاول فى الدايم</w:t>
      </w:r>
    </w:p>
    <w:p>
      <w:pPr>
        <w:pStyle w:val="BookText"/>
      </w:pPr>
      <w:r>
        <w:rPr>
          <w:rFonts w:ascii="IRNazanin" w:hAnsi="IRNazanin" w:eastAsia="IRNazanin" w:cs="IRNazanin"/>
          <w:lang w:bidi="fa-IR"/>
          <w:color w:val="111111"/>
          <w:sz w:val="28"/>
          <w:szCs w:val="28"/>
          <w:rtl/>
        </w:rPr>
        <w:t xml:space="preserve">از کتاب نکاح تا آخر؛ خط: نسخ، بی کا: تا: 1069ق؛ مصحح، مقابله شده؛ 250گ، 12 و 11سطر، اندازه: 12</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سم [ف: 1 - 305]</w:t>
      </w:r>
    </w:p>
    <w:p>
      <w:pPr>
        <w:pStyle w:val="BookText"/>
      </w:pPr>
      <w:r>
        <w:rPr>
          <w:rFonts w:ascii="Times New Roman" w:hAnsi="Times New Roman" w:eastAsia="Times New Roman" w:cs="Times New Roman"/>
          <w:lang w:val="en-US" w:bidi="en-US"/>
          <w:color w:val="111111"/>
          <w:sz w:val="28"/>
          <w:szCs w:val="28"/>
          <w:rtl/>
        </w:rPr>
        <w:t xml:space="preserve">380.</w:t>
      </w:r>
    </w:p>
    <w:p>
      <w:pPr>
        <w:pStyle w:val="BookText"/>
      </w:pPr>
      <w:r>
        <w:rPr>
          <w:rFonts w:ascii="IRNazanin" w:hAnsi="IRNazanin" w:eastAsia="IRNazanin" w:cs="IRNazanin"/>
          <w:lang w:bidi="fa-IR"/>
          <w:color w:val="111111"/>
          <w:sz w:val="28"/>
          <w:szCs w:val="28"/>
          <w:rtl/>
        </w:rPr>
        <w:t xml:space="preserve">قم؛ گلپایگانی؛ شماره نسخه: 133-1/133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محمد طاهر بن تاج الدين حسن الشريف، تا: 1069ق ؛ مصحح، محشی، به امضاء«ع ل» و « ع ک» محشی به امضاء «ع ل» و «ع ک» و « مح» و « شهدین» و «س» و «فخرالدین» و «ری» ؛جلد: پارچه آبی 219گ، 13 سطر ، اندازه: 13</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1 - 300]</w:t>
      </w:r>
    </w:p>
    <w:p>
      <w:pPr>
        <w:pStyle w:val="BookText"/>
      </w:pPr>
      <w:r>
        <w:rPr>
          <w:rFonts w:ascii="Times New Roman" w:hAnsi="Times New Roman" w:eastAsia="Times New Roman" w:cs="Times New Roman"/>
          <w:lang w:val="en-US" w:bidi="en-US"/>
          <w:color w:val="111111"/>
          <w:sz w:val="28"/>
          <w:szCs w:val="28"/>
          <w:rtl/>
        </w:rPr>
        <w:t xml:space="preserve">381.</w:t>
      </w:r>
    </w:p>
    <w:p>
      <w:pPr>
        <w:pStyle w:val="BookText"/>
      </w:pPr>
      <w:r>
        <w:rPr>
          <w:rFonts w:ascii="IRNazanin" w:hAnsi="IRNazanin" w:eastAsia="IRNazanin" w:cs="IRNazanin"/>
          <w:lang w:bidi="fa-IR"/>
          <w:color w:val="111111"/>
          <w:sz w:val="28"/>
          <w:szCs w:val="28"/>
          <w:rtl/>
        </w:rPr>
        <w:t xml:space="preserve">قم؛ مرعشی؛ شماره نسخه: 9630</w:t>
      </w:r>
    </w:p>
    <w:p>
      <w:pPr>
        <w:pStyle w:val="BookText"/>
      </w:pPr>
      <w:r>
        <w:rPr>
          <w:rFonts w:ascii="IRNazanin" w:hAnsi="IRNazanin" w:eastAsia="IRNazanin" w:cs="IRNazanin"/>
          <w:lang w:bidi="fa-IR"/>
          <w:color w:val="111111"/>
          <w:sz w:val="28"/>
          <w:szCs w:val="28"/>
          <w:rtl/>
        </w:rPr>
        <w:t xml:space="preserve">خط: نستعلیق، کا: محمد صالح بن مهدی تربه ،سری تا: 11 ربیع الاول 1070ق؛ مصحح، محشی، چند صفحه مشتمل بر فوید  متفرقه و وقف نامه کتاب به تاریخ چهارشنبه 2 شوال 1234 بامهر «عبده عبد العزيز» (بیضی)؛ جلد: تیماج ،مشکی، 347گ 15 سطر، اندازه 16</w:t>
      </w:r>
      <w:r>
        <w:rPr>
          <w:rFonts w:ascii="Times New Roman" w:hAnsi="Times New Roman" w:eastAsia="Times New Roman" w:cs="Times New Roman"/>
          <w:lang w:val="en-US" w:bidi="en-US"/>
          <w:color w:val="111111"/>
          <w:sz w:val="28"/>
          <w:szCs w:val="28"/>
          <w:rtl/>
        </w:rPr>
        <w:t xml:space="preserve">×25/5</w:t>
      </w:r>
      <w:r>
        <w:rPr>
          <w:rFonts w:ascii="IRNazanin" w:hAnsi="IRNazanin" w:eastAsia="IRNazanin" w:cs="IRNazanin"/>
          <w:lang w:bidi="fa-IR"/>
          <w:color w:val="111111"/>
          <w:sz w:val="28"/>
          <w:szCs w:val="28"/>
          <w:rtl/>
        </w:rPr>
        <w:t xml:space="preserve">سم [ف 25 - 24]</w:t>
      </w:r>
    </w:p>
    <w:p>
      <w:pPr>
        <w:pStyle w:val="BookText"/>
      </w:pPr>
      <w:r>
        <w:rPr>
          <w:rFonts w:ascii="Times New Roman" w:hAnsi="Times New Roman" w:eastAsia="Times New Roman" w:cs="Times New Roman"/>
          <w:lang w:val="en-US" w:bidi="en-US"/>
          <w:color w:val="111111"/>
          <w:sz w:val="28"/>
          <w:szCs w:val="28"/>
          <w:rtl/>
        </w:rPr>
        <w:t xml:space="preserve">382.</w:t>
      </w:r>
    </w:p>
    <w:p>
      <w:pPr>
        <w:pStyle w:val="BookText"/>
      </w:pPr>
      <w:r>
        <w:rPr>
          <w:rFonts w:ascii="IRNazanin" w:hAnsi="IRNazanin" w:eastAsia="IRNazanin" w:cs="IRNazanin"/>
          <w:lang w:bidi="fa-IR"/>
          <w:color w:val="111111"/>
          <w:sz w:val="28"/>
          <w:szCs w:val="28"/>
          <w:rtl/>
        </w:rPr>
        <w:t xml:space="preserve">قم؛ گلپایگانی؛ شماره نسخه: 8206-56/56</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کامل؛ خط: نسخ، کا: شیخ ابراهیم بن مولانا محب على عارفی موغاری ،تا: دوشنبه 3 رجب 1070ق، جا ،اصفهان مسجد جامع عتیق؛ در آخر نسخه دو برگ در صفحه معراج به نقل از خط محمد تقی مجلسی گویا از «روضة المتقین»؛ 178 گ، 15 سطر ، اندازه: 17</w:t>
      </w:r>
      <w:r>
        <w:rPr>
          <w:rFonts w:ascii="Times New Roman" w:hAnsi="Times New Roman" w:eastAsia="Times New Roman" w:cs="Times New Roman"/>
          <w:lang w:val="en-US" w:bidi="en-US"/>
          <w:color w:val="111111"/>
          <w:sz w:val="28"/>
          <w:szCs w:val="28"/>
          <w:rtl/>
        </w:rPr>
        <w:t xml:space="preserve">×24</w:t>
      </w:r>
      <w:r>
        <w:rPr>
          <w:rFonts w:ascii="IRNazanin" w:hAnsi="IRNazanin" w:eastAsia="IRNazanin" w:cs="IRNazanin"/>
          <w:lang w:bidi="fa-IR"/>
          <w:color w:val="111111"/>
          <w:sz w:val="28"/>
          <w:szCs w:val="28"/>
          <w:rtl/>
        </w:rPr>
        <w:t xml:space="preserve">سم [ف: 1 - 304]</w:t>
      </w:r>
    </w:p>
    <w:p>
      <w:pPr>
        <w:pStyle w:val="BookText"/>
      </w:pPr>
      <w:r>
        <w:rPr>
          <w:rFonts w:ascii="Times New Roman" w:hAnsi="Times New Roman" w:eastAsia="Times New Roman" w:cs="Times New Roman"/>
          <w:lang w:val="en-US" w:bidi="en-US"/>
          <w:color w:val="111111"/>
          <w:sz w:val="28"/>
          <w:szCs w:val="28"/>
          <w:rtl/>
        </w:rPr>
        <w:t xml:space="preserve">383.</w:t>
      </w:r>
    </w:p>
    <w:p>
      <w:pPr>
        <w:pStyle w:val="BookText"/>
      </w:pPr>
      <w:r>
        <w:rPr>
          <w:rFonts w:ascii="IRNazanin" w:hAnsi="IRNazanin" w:eastAsia="IRNazanin" w:cs="IRNazanin"/>
          <w:lang w:bidi="fa-IR"/>
          <w:color w:val="111111"/>
          <w:sz w:val="28"/>
          <w:szCs w:val="28"/>
          <w:rtl/>
        </w:rPr>
        <w:t xml:space="preserve">مشهد؛ رضوی؛ شماره نسخه: 28827</w:t>
      </w:r>
    </w:p>
    <w:p>
      <w:pPr>
        <w:pStyle w:val="BookText"/>
      </w:pPr>
      <w:r>
        <w:rPr>
          <w:rFonts w:ascii="Amiri" w:hAnsi="Amiri" w:eastAsia="Amiri" w:cs="Amiri"/>
          <w:lang w:bidi="ar-SA"/>
          <w:color w:val="111111"/>
          <w:sz w:val="28"/>
          <w:szCs w:val="28"/>
          <w:rtl/>
        </w:rPr>
        <w:t xml:space="preserve">آغاز: الى القبلة بان يلقى على ظهر بحيث لوجلس كان مستقبلا و يستحب؛ انجام: برابر</w:t>
      </w:r>
    </w:p>
    <w:p>
      <w:pPr>
        <w:pStyle w:val="BookText"/>
      </w:pPr>
      <w:r>
        <w:rPr>
          <w:rFonts w:ascii="IRNazanin" w:hAnsi="IRNazanin" w:eastAsia="IRNazanin" w:cs="IRNazanin"/>
          <w:lang w:bidi="fa-IR"/>
          <w:color w:val="111111"/>
          <w:sz w:val="28"/>
          <w:szCs w:val="28"/>
          <w:rtl/>
        </w:rPr>
        <w:t xml:space="preserve">خط: نسخ جلی ،خوش بی کا تا: 1070ق [رایانه]</w:t>
      </w:r>
    </w:p>
    <w:p>
      <w:pPr>
        <w:pStyle w:val="BookText"/>
      </w:pPr>
      <w:r>
        <w:rPr>
          <w:rFonts w:ascii="Times New Roman" w:hAnsi="Times New Roman" w:eastAsia="Times New Roman" w:cs="Times New Roman"/>
          <w:lang w:val="en-US" w:bidi="en-US"/>
          <w:color w:val="111111"/>
          <w:sz w:val="28"/>
          <w:szCs w:val="28"/>
          <w:rtl/>
        </w:rPr>
        <w:t xml:space="preserve">384.</w:t>
      </w:r>
    </w:p>
    <w:p>
      <w:pPr>
        <w:pStyle w:val="BookText"/>
      </w:pPr>
      <w:r>
        <w:rPr>
          <w:rFonts w:ascii="IRNazanin" w:hAnsi="IRNazanin" w:eastAsia="IRNazanin" w:cs="IRNazanin"/>
          <w:lang w:bidi="fa-IR"/>
          <w:color w:val="111111"/>
          <w:sz w:val="28"/>
          <w:szCs w:val="28"/>
          <w:rtl/>
        </w:rPr>
        <w:t xml:space="preserve">ساری؛ عمومی ساری؛ شماره نسخه: 41</w:t>
      </w:r>
    </w:p>
    <w:p>
      <w:pPr>
        <w:pStyle w:val="BookText"/>
      </w:pPr>
      <w:r>
        <w:rPr>
          <w:rFonts w:ascii="Amiri" w:hAnsi="Amiri" w:eastAsia="Amiri" w:cs="Amiri"/>
          <w:lang w:bidi="ar-SA"/>
          <w:color w:val="111111"/>
          <w:sz w:val="28"/>
          <w:szCs w:val="28"/>
          <w:rtl/>
        </w:rPr>
        <w:t xml:space="preserve">آغاز: فأوجبت مطلوبه وصنفت هذا الكتاب الموسوم بارشاد الاذهان؛ انجام: برابر</w:t>
      </w:r>
    </w:p>
    <w:p>
      <w:pPr>
        <w:pStyle w:val="BookText"/>
      </w:pPr>
      <w:r>
        <w:rPr>
          <w:rFonts w:ascii="IRNazanin" w:hAnsi="IRNazanin" w:eastAsia="IRNazanin" w:cs="IRNazanin"/>
          <w:lang w:bidi="fa-IR"/>
          <w:color w:val="111111"/>
          <w:sz w:val="28"/>
          <w:szCs w:val="28"/>
          <w:rtl/>
        </w:rPr>
        <w:t xml:space="preserve">خط : نسخ ،خوش بی کا، تا: دوشنبه 19 جمادی الاول 1070ق؛ افتادگی: آغاز؛ جلد: تیماج مشکی قهوه ای، 15 سطر (8/5</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اندازه: 16</w:t>
      </w:r>
      <w:r>
        <w:rPr>
          <w:rFonts w:ascii="Times New Roman" w:hAnsi="Times New Roman" w:eastAsia="Times New Roman" w:cs="Times New Roman"/>
          <w:lang w:val="en-US" w:bidi="en-US"/>
          <w:color w:val="111111"/>
          <w:sz w:val="28"/>
          <w:szCs w:val="28"/>
          <w:rtl/>
        </w:rPr>
        <w:t xml:space="preserve">×26/5</w:t>
      </w:r>
      <w:r>
        <w:rPr>
          <w:rFonts w:ascii="IRNazanin" w:hAnsi="IRNazanin" w:eastAsia="IRNazanin" w:cs="IRNazanin"/>
          <w:lang w:bidi="fa-IR"/>
          <w:color w:val="111111"/>
          <w:sz w:val="28"/>
          <w:szCs w:val="28"/>
          <w:rtl/>
        </w:rPr>
        <w:t xml:space="preserve">سم [ف: 35]</w:t>
      </w:r>
    </w:p>
    <w:p>
      <w:pPr>
        <w:pStyle w:val="BookText"/>
      </w:pPr>
      <w:r>
        <w:rPr>
          <w:rFonts w:ascii="Times New Roman" w:hAnsi="Times New Roman" w:eastAsia="Times New Roman" w:cs="Times New Roman"/>
          <w:lang w:val="en-US" w:bidi="en-US"/>
          <w:color w:val="111111"/>
          <w:sz w:val="28"/>
          <w:szCs w:val="28"/>
          <w:rtl/>
        </w:rPr>
        <w:t xml:space="preserve">385.</w:t>
      </w:r>
    </w:p>
    <w:p>
      <w:pPr>
        <w:pStyle w:val="BookText"/>
      </w:pPr>
      <w:r>
        <w:rPr>
          <w:rFonts w:ascii="IRNazanin" w:hAnsi="IRNazanin" w:eastAsia="IRNazanin" w:cs="IRNazanin"/>
          <w:lang w:bidi="fa-IR"/>
          <w:color w:val="111111"/>
          <w:sz w:val="28"/>
          <w:szCs w:val="28"/>
          <w:rtl/>
        </w:rPr>
        <w:t xml:space="preserve">تهران؛ دانشگاه؛ شماره نسخه:6340/3</w:t>
      </w:r>
    </w:p>
    <w:p>
      <w:pPr>
        <w:pStyle w:val="BookText"/>
      </w:pPr>
      <w:r>
        <w:rPr>
          <w:rFonts w:ascii="IRNazanin" w:hAnsi="IRNazanin" w:eastAsia="IRNazanin" w:cs="IRNazanin"/>
          <w:lang w:bidi="fa-IR"/>
          <w:color w:val="111111"/>
          <w:sz w:val="28"/>
          <w:szCs w:val="28"/>
          <w:rtl/>
        </w:rPr>
        <w:t xml:space="preserve">خط : نسخ، کا: ابراهيم بن فرج الله فیاض قیاسی جزایری، تا: دوشنبه 12 رمضان 1072ق؛ دارای حواشی با نشان «زین الدین فخر الدين ع ل رحمه الله»؛کاغذ: سپاهانی، جلد: تیماج قهوه ای ترنجی ضربی مقوایی درون ،زرد 17 سطر (15</w:t>
      </w:r>
      <w:r>
        <w:rPr>
          <w:rFonts w:ascii="Times New Roman" w:hAnsi="Times New Roman" w:eastAsia="Times New Roman" w:cs="Times New Roman"/>
          <w:lang w:val="en-US" w:bidi="en-US"/>
          <w:color w:val="111111"/>
          <w:sz w:val="28"/>
          <w:szCs w:val="28"/>
          <w:rtl/>
        </w:rPr>
        <w:t xml:space="preserve">×9) </w:t>
      </w:r>
      <w:r>
        <w:rPr>
          <w:rFonts w:ascii="IRNazanin" w:hAnsi="IRNazanin" w:eastAsia="IRNazanin" w:cs="IRNazanin"/>
          <w:lang w:bidi="fa-IR"/>
          <w:color w:val="111111"/>
          <w:sz w:val="28"/>
          <w:szCs w:val="28"/>
          <w:rtl/>
        </w:rPr>
        <w:t xml:space="preserve">قطع: رحلی اندازه: 20</w:t>
      </w:r>
      <w:r>
        <w:rPr>
          <w:rFonts w:ascii="Times New Roman" w:hAnsi="Times New Roman" w:eastAsia="Times New Roman" w:cs="Times New Roman"/>
          <w:lang w:val="en-US" w:bidi="en-US"/>
          <w:color w:val="111111"/>
          <w:sz w:val="28"/>
          <w:szCs w:val="28"/>
          <w:rtl/>
        </w:rPr>
        <w:t xml:space="preserve">×29</w:t>
      </w:r>
      <w:r>
        <w:rPr>
          <w:rFonts w:ascii="IRNazanin" w:hAnsi="IRNazanin" w:eastAsia="IRNazanin" w:cs="IRNazanin"/>
          <w:lang w:bidi="fa-IR"/>
          <w:color w:val="111111"/>
          <w:sz w:val="28"/>
          <w:szCs w:val="28"/>
          <w:rtl/>
        </w:rPr>
        <w:t xml:space="preserve">سم [ف: 16 -246]</w:t>
      </w:r>
    </w:p>
    <w:p>
      <w:pPr>
        <w:pStyle w:val="BookText"/>
      </w:pPr>
      <w:r>
        <w:rPr>
          <w:rFonts w:ascii="Times New Roman" w:hAnsi="Times New Roman" w:eastAsia="Times New Roman" w:cs="Times New Roman"/>
          <w:lang w:val="en-US" w:bidi="en-US"/>
          <w:color w:val="111111"/>
          <w:sz w:val="28"/>
          <w:szCs w:val="28"/>
          <w:rtl/>
        </w:rPr>
        <w:t xml:space="preserve">386.</w:t>
      </w:r>
    </w:p>
    <w:p>
      <w:pPr>
        <w:pStyle w:val="BookText"/>
      </w:pPr>
      <w:r>
        <w:rPr>
          <w:rFonts w:ascii="IRNazanin" w:hAnsi="IRNazanin" w:eastAsia="IRNazanin" w:cs="IRNazanin"/>
          <w:lang w:bidi="fa-IR"/>
          <w:color w:val="111111"/>
          <w:sz w:val="28"/>
          <w:szCs w:val="28"/>
          <w:rtl/>
        </w:rPr>
        <w:t xml:space="preserve">یزد؛ سریزدی؛ شماره نسخه:232</w:t>
      </w:r>
    </w:p>
    <w:p>
      <w:pPr>
        <w:pStyle w:val="BookText"/>
      </w:pPr>
      <w:r>
        <w:rPr>
          <w:rFonts w:ascii="IRNazanin" w:hAnsi="IRNazanin" w:eastAsia="IRNazanin" w:cs="IRNazanin"/>
          <w:lang w:bidi="fa-IR"/>
          <w:color w:val="111111"/>
          <w:sz w:val="28"/>
          <w:szCs w:val="28"/>
          <w:rtl/>
        </w:rPr>
        <w:t xml:space="preserve">خط: نستعلیق، بی کا: تا: 1072ق ،مصحح، محشی، در دو  برگ پایانی یادداشت فقهی به نقل از فخرالمحققین؛ تملک: محمد جعفر حسینی به سال 1238، محمد بن عبدالمطلب؛ واقف: صبيه محمد حسن خان 1264 جلد: تیماج مشکی مجدول، 291گ، 15 سطر ، اندازه: 14/5</w:t>
      </w:r>
      <w:r>
        <w:rPr>
          <w:rFonts w:ascii="Times New Roman" w:hAnsi="Times New Roman" w:eastAsia="Times New Roman" w:cs="Times New Roman"/>
          <w:lang w:val="en-US" w:bidi="en-US"/>
          <w:color w:val="111111"/>
          <w:sz w:val="28"/>
          <w:szCs w:val="28"/>
          <w:rtl/>
        </w:rPr>
        <w:t xml:space="preserve">×26</w:t>
      </w:r>
      <w:r>
        <w:rPr>
          <w:rFonts w:ascii="IRNazanin" w:hAnsi="IRNazanin" w:eastAsia="IRNazanin" w:cs="IRNazanin"/>
          <w:lang w:bidi="fa-IR"/>
          <w:color w:val="111111"/>
          <w:sz w:val="28"/>
          <w:szCs w:val="28"/>
          <w:rtl/>
        </w:rPr>
        <w:t xml:space="preserve">سم [ف: 1 - 188]</w:t>
      </w:r>
    </w:p>
    <w:p>
      <w:pPr>
        <w:pStyle w:val="BookText"/>
      </w:pPr>
      <w:r>
        <w:rPr>
          <w:rFonts w:ascii="Times New Roman" w:hAnsi="Times New Roman" w:eastAsia="Times New Roman" w:cs="Times New Roman"/>
          <w:lang w:val="en-US" w:bidi="en-US"/>
          <w:color w:val="111111"/>
          <w:sz w:val="28"/>
          <w:szCs w:val="28"/>
          <w:rtl/>
        </w:rPr>
        <w:t xml:space="preserve">387.</w:t>
      </w:r>
    </w:p>
    <w:p>
      <w:pPr>
        <w:pStyle w:val="BookText"/>
      </w:pPr>
      <w:r>
        <w:rPr>
          <w:rFonts w:ascii="IRNazanin" w:hAnsi="IRNazanin" w:eastAsia="IRNazanin" w:cs="IRNazanin"/>
          <w:lang w:bidi="fa-IR"/>
          <w:color w:val="111111"/>
          <w:sz w:val="28"/>
          <w:szCs w:val="28"/>
          <w:rtl/>
        </w:rPr>
        <w:t xml:space="preserve">قم؛ مدرسه رضویه؛ شماره نسخه: 62</w:t>
      </w:r>
    </w:p>
    <w:p>
      <w:pPr>
        <w:pStyle w:val="BookText"/>
      </w:pPr>
      <w:r>
        <w:rPr>
          <w:rFonts w:ascii="IRNazanin" w:hAnsi="IRNazanin" w:eastAsia="IRNazanin" w:cs="IRNazanin"/>
          <w:lang w:bidi="fa-IR"/>
          <w:color w:val="111111"/>
          <w:sz w:val="28"/>
          <w:szCs w:val="28"/>
          <w:rtl/>
        </w:rPr>
        <w:t xml:space="preserve">جزء اول؛ خط: نسخ، بی کا، تا: چهارشنبه 28 جمادی الثانی 1073ق؛ با حواشی «ع ل » و بندهایی از «شرح و بندهایی از «شرح لمعه» در کناره برگ ها، مقابله شده و دارای ،بلاغ با یادداشت «هذا كتاب القواعد» در آغاز که خطاست؛ مهر: عبده محمد محسن الحسيني 1118؛ 150 گ، 13-15 سطر ، قطع : ربعی [چند نسخه-ف: - 11]</w:t>
      </w:r>
    </w:p>
    <w:p>
      <w:pPr>
        <w:pStyle w:val="BookText"/>
      </w:pPr>
      <w:r>
        <w:rPr>
          <w:rFonts w:ascii="Times New Roman" w:hAnsi="Times New Roman" w:eastAsia="Times New Roman" w:cs="Times New Roman"/>
          <w:lang w:val="en-US" w:bidi="en-US"/>
          <w:color w:val="111111"/>
          <w:sz w:val="28"/>
          <w:szCs w:val="28"/>
          <w:rtl/>
        </w:rPr>
        <w:t xml:space="preserve">388.</w:t>
      </w:r>
    </w:p>
    <w:p>
      <w:pPr>
        <w:pStyle w:val="BookText"/>
      </w:pPr>
      <w:r>
        <w:rPr>
          <w:rFonts w:ascii="IRNazanin" w:hAnsi="IRNazanin" w:eastAsia="IRNazanin" w:cs="IRNazanin"/>
          <w:lang w:bidi="fa-IR"/>
          <w:color w:val="111111"/>
          <w:sz w:val="28"/>
          <w:szCs w:val="28"/>
          <w:rtl/>
        </w:rPr>
        <w:t xml:space="preserve">آشتیان؛ حوزه علمیه؛ شماره نسخه: 43 بخش یکم</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اسماعيل بن فقيه احمد جیلانی، تا: آخر جمادی الثانى 1073ق، جا: اصفهان؛ مصحح محشی، با نشان «شیخ شهید و اکثر با نشان «ه-ع ل» در پایین ص 2 نوشته شده: «این دو کلمه را بخوان ببین همان شخص در پیشانی او نویسد، باز ایستد، کلع، بکع، نوع دیگر هلع هلوع هالعی در ص ما قبل، روایتی از رسول اکرم (صلّی اللَّهِ علیه وَ آلِهِ وَ سَلَّمَ ) و امام جعفر صادق (علیه السّلام) و یک مسئله از افلاطون، معانی اصابع اربعه و قصبه ابهام و متفرقاتی دیگر؛ مهر: «عبده سید احمد الحسینی» و «عبده احمد الحسینی» (چهارگوش)؛ کاغذ ،نخودی ،جلد: تیماج قهوه ای ضربی با سه ترنج زرکوب عطف چرم درون صورتی، 200گ، 17 سطر ، قطع: وزیری، اندازه: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 26</w:t>
      </w:r>
      <w:r>
        <w:rPr>
          <w:rFonts w:ascii="IRNazanin" w:hAnsi="IRNazanin" w:eastAsia="IRNazanin" w:cs="IRNazanin"/>
          <w:lang w:bidi="fa-IR"/>
          <w:color w:val="111111"/>
          <w:sz w:val="28"/>
          <w:szCs w:val="28"/>
          <w:rtl/>
        </w:rPr>
        <w:t xml:space="preserve">سم [ف: 97]</w:t>
      </w:r>
    </w:p>
    <w:p>
      <w:pPr>
        <w:pStyle w:val="BookText"/>
      </w:pPr>
      <w:r>
        <w:rPr>
          <w:rFonts w:ascii="Times New Roman" w:hAnsi="Times New Roman" w:eastAsia="Times New Roman" w:cs="Times New Roman"/>
          <w:lang w:val="en-US" w:bidi="en-US"/>
          <w:color w:val="111111"/>
          <w:sz w:val="28"/>
          <w:szCs w:val="28"/>
          <w:rtl/>
        </w:rPr>
        <w:t xml:space="preserve">389.</w:t>
      </w:r>
    </w:p>
    <w:p>
      <w:pPr>
        <w:pStyle w:val="BookText"/>
      </w:pPr>
      <w:r>
        <w:rPr>
          <w:rFonts w:ascii="IRNazanin" w:hAnsi="IRNazanin" w:eastAsia="IRNazanin" w:cs="IRNazanin"/>
          <w:lang w:bidi="fa-IR"/>
          <w:color w:val="111111"/>
          <w:sz w:val="28"/>
          <w:szCs w:val="28"/>
          <w:rtl/>
        </w:rPr>
        <w:t xml:space="preserve">قم؛ مرعشی؛ شماره نسخه: 15262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سليمان بن على كمونه نجفی حسینی، تا: 1073 ق؛ مصحح، محشی، با نشان «ع ل» «ه»، «فخر الدین» و غیرآن ،مصحح، دستخط آیت الله مرعشی نجفی در آغاز نسخه «کتاب ارشاد الاذهان»... و النسخة بخط العلامة السيد سليمان بن علی الحسينى من مشاهير السادة آل كمونة خدمة حرم النجف الاشرف فلیغتنم ،قدرها» دارای یادداشتی به سال 1183ق در آغاز نسخه؛ تملک: محمد رضا بن شیخ لطف الله قاضی با مهر «افوض امری الى الله عبده». ..»(مستطیل)؛ مهر: كاتب «سليمان بن على كمونه» (مستطیل)؛ کاغذ: شرقی، جلد: مشمع ،مشکی، عطف تیماج ،مشکی، 170گ 16 سطر ،(11</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اندازه: 18</w:t>
      </w:r>
      <w:r>
        <w:rPr>
          <w:rFonts w:ascii="Times New Roman" w:hAnsi="Times New Roman" w:eastAsia="Times New Roman" w:cs="Times New Roman"/>
          <w:lang w:val="en-US" w:bidi="en-US"/>
          <w:color w:val="111111"/>
          <w:sz w:val="28"/>
          <w:szCs w:val="28"/>
          <w:rtl/>
        </w:rPr>
        <w:t xml:space="preserve">×25/5</w:t>
      </w:r>
      <w:r>
        <w:rPr>
          <w:rFonts w:ascii="IRNazanin" w:hAnsi="IRNazanin" w:eastAsia="IRNazanin" w:cs="IRNazanin"/>
          <w:lang w:bidi="fa-IR"/>
          <w:color w:val="111111"/>
          <w:sz w:val="28"/>
          <w:szCs w:val="28"/>
          <w:rtl/>
        </w:rPr>
        <w:t xml:space="preserve">سم [ ف: 38 - 749 ]</w:t>
      </w:r>
    </w:p>
    <w:p>
      <w:pPr>
        <w:pStyle w:val="BookText"/>
      </w:pPr>
      <w:r>
        <w:rPr>
          <w:rFonts w:ascii="Times New Roman" w:hAnsi="Times New Roman" w:eastAsia="Times New Roman" w:cs="Times New Roman"/>
          <w:lang w:val="en-US" w:bidi="en-US"/>
          <w:color w:val="111111"/>
          <w:sz w:val="28"/>
          <w:szCs w:val="28"/>
          <w:rtl/>
        </w:rPr>
        <w:t xml:space="preserve">390.</w:t>
      </w:r>
    </w:p>
    <w:p>
      <w:pPr>
        <w:pStyle w:val="BookText"/>
      </w:pPr>
      <w:r>
        <w:rPr>
          <w:rFonts w:ascii="IRNazanin" w:hAnsi="IRNazanin" w:eastAsia="IRNazanin" w:cs="IRNazanin"/>
          <w:lang w:bidi="fa-IR"/>
          <w:color w:val="111111"/>
          <w:sz w:val="28"/>
          <w:szCs w:val="28"/>
          <w:rtl/>
        </w:rPr>
        <w:t xml:space="preserve">مشهد؛ رضوی؛ شماره نسخه: 25662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ابوالحسن بن ملک محمود قردجانی، تا: 1073ق؛ [رایانه ]</w:t>
      </w:r>
    </w:p>
    <w:p>
      <w:pPr>
        <w:pStyle w:val="BookText"/>
      </w:pPr>
      <w:r>
        <w:rPr>
          <w:rFonts w:ascii="Times New Roman" w:hAnsi="Times New Roman" w:eastAsia="Times New Roman" w:cs="Times New Roman"/>
          <w:lang w:val="en-US" w:bidi="en-US"/>
          <w:color w:val="111111"/>
          <w:sz w:val="28"/>
          <w:szCs w:val="28"/>
          <w:rtl/>
        </w:rPr>
        <w:t xml:space="preserve">391.</w:t>
      </w:r>
    </w:p>
    <w:p>
      <w:pPr>
        <w:pStyle w:val="BookText"/>
      </w:pPr>
      <w:r>
        <w:rPr>
          <w:rFonts w:ascii="IRNazanin" w:hAnsi="IRNazanin" w:eastAsia="IRNazanin" w:cs="IRNazanin"/>
          <w:lang w:bidi="fa-IR"/>
          <w:color w:val="111111"/>
          <w:sz w:val="28"/>
          <w:szCs w:val="28"/>
          <w:rtl/>
        </w:rPr>
        <w:t xml:space="preserve">کرمانشاه؛ میبدی (خاندان)؛ شماره نسخه: 53</w:t>
      </w:r>
    </w:p>
    <w:p>
      <w:pPr>
        <w:pStyle w:val="BookText"/>
      </w:pPr>
      <w:r>
        <w:rPr>
          <w:rFonts w:ascii="IRNazanin" w:hAnsi="IRNazanin" w:eastAsia="IRNazanin" w:cs="IRNazanin"/>
          <w:lang w:bidi="fa-IR"/>
          <w:color w:val="111111"/>
          <w:sz w:val="28"/>
          <w:szCs w:val="28"/>
          <w:rtl/>
        </w:rPr>
        <w:t xml:space="preserve">خط: نسخ، کا: حجت کا حجت الله بن عبدالله، تا: پنج شنبه 9 محرم 1073ق؛افتادگی: آغاز (برگ اول)؛ محشی؛ تملک: عزیزالله به تاریخ شوال 1336؛ جلد: تیماج مشکی بدون مقوا، 269گ، 15 سطر ،اندازه 11/5</w:t>
      </w:r>
      <w:r>
        <w:rPr>
          <w:rFonts w:ascii="Times New Roman" w:hAnsi="Times New Roman" w:eastAsia="Times New Roman" w:cs="Times New Roman"/>
          <w:lang w:val="en-US" w:bidi="en-US"/>
          <w:color w:val="111111"/>
          <w:sz w:val="28"/>
          <w:szCs w:val="28"/>
          <w:rtl/>
        </w:rPr>
        <w:t xml:space="preserve">×19/5</w:t>
      </w:r>
      <w:r>
        <w:rPr>
          <w:rFonts w:ascii="IRNazanin" w:hAnsi="IRNazanin" w:eastAsia="IRNazanin" w:cs="IRNazanin"/>
          <w:lang w:bidi="fa-IR"/>
          <w:color w:val="111111"/>
          <w:sz w:val="28"/>
          <w:szCs w:val="28"/>
          <w:rtl/>
        </w:rPr>
        <w:t xml:space="preserve">سم [ف - 46]</w:t>
      </w:r>
    </w:p>
    <w:p>
      <w:pPr>
        <w:pStyle w:val="BookText"/>
      </w:pPr>
      <w:r>
        <w:rPr>
          <w:rFonts w:ascii="Times New Roman" w:hAnsi="Times New Roman" w:eastAsia="Times New Roman" w:cs="Times New Roman"/>
          <w:lang w:val="en-US" w:bidi="en-US"/>
          <w:color w:val="111111"/>
          <w:sz w:val="28"/>
          <w:szCs w:val="28"/>
          <w:rtl/>
        </w:rPr>
        <w:t xml:space="preserve">392.</w:t>
      </w:r>
    </w:p>
    <w:p>
      <w:pPr>
        <w:pStyle w:val="BookText"/>
      </w:pPr>
      <w:r>
        <w:rPr>
          <w:rFonts w:ascii="IRNazanin" w:hAnsi="IRNazanin" w:eastAsia="IRNazanin" w:cs="IRNazanin"/>
          <w:lang w:bidi="fa-IR"/>
          <w:color w:val="111111"/>
          <w:sz w:val="28"/>
          <w:szCs w:val="28"/>
          <w:rtl/>
        </w:rPr>
        <w:t xml:space="preserve">یزد؛ وزیری؛ شماره نسخه: 13</w:t>
      </w:r>
    </w:p>
    <w:p>
      <w:pPr>
        <w:pStyle w:val="BookText"/>
      </w:pPr>
      <w:r>
        <w:rPr>
          <w:rFonts w:ascii="IRNazanin" w:hAnsi="IRNazanin" w:eastAsia="IRNazanin" w:cs="IRNazanin"/>
          <w:lang w:bidi="fa-IR"/>
          <w:color w:val="111111"/>
          <w:sz w:val="28"/>
          <w:szCs w:val="28"/>
          <w:rtl/>
        </w:rPr>
        <w:t xml:space="preserve">کامل؛ خط: نسخ، کا: محمد صالح هزار جریبی، تا: 1073ق؛ محشی؛ اهدائی حاج وزیری مؤسس کتابخانه؛ جلد: مقوایی تیماج آلبالوئی عطف تیماج زرد ،339گ، مختلف السطر ، اندازه: 13</w:t>
      </w:r>
      <w:r>
        <w:rPr>
          <w:rFonts w:ascii="Times New Roman" w:hAnsi="Times New Roman" w:eastAsia="Times New Roman" w:cs="Times New Roman"/>
          <w:lang w:val="en-US" w:bidi="en-US"/>
          <w:color w:val="111111"/>
          <w:sz w:val="28"/>
          <w:szCs w:val="28"/>
          <w:rtl/>
        </w:rPr>
        <w:t xml:space="preserve">×25</w:t>
      </w:r>
      <w:r>
        <w:rPr>
          <w:rFonts w:ascii="IRNazanin" w:hAnsi="IRNazanin" w:eastAsia="IRNazanin" w:cs="IRNazanin"/>
          <w:lang w:bidi="fa-IR"/>
          <w:color w:val="111111"/>
          <w:sz w:val="28"/>
          <w:szCs w:val="28"/>
          <w:rtl/>
        </w:rPr>
        <w:t xml:space="preserve">سم [ف: 1 - 17]</w:t>
      </w:r>
    </w:p>
    <w:p>
      <w:pPr>
        <w:pStyle w:val="BookText"/>
      </w:pPr>
      <w:r>
        <w:rPr>
          <w:rFonts w:ascii="Times New Roman" w:hAnsi="Times New Roman" w:eastAsia="Times New Roman" w:cs="Times New Roman"/>
          <w:lang w:val="en-US" w:bidi="en-US"/>
          <w:color w:val="111111"/>
          <w:sz w:val="28"/>
          <w:szCs w:val="28"/>
          <w:rtl/>
        </w:rPr>
        <w:t xml:space="preserve">393.</w:t>
      </w:r>
    </w:p>
    <w:p>
      <w:pPr>
        <w:pStyle w:val="BookText"/>
      </w:pPr>
      <w:r>
        <w:rPr>
          <w:rFonts w:ascii="IRNazanin" w:hAnsi="IRNazanin" w:eastAsia="IRNazanin" w:cs="IRNazanin"/>
          <w:lang w:bidi="fa-IR"/>
          <w:color w:val="111111"/>
          <w:sz w:val="28"/>
          <w:szCs w:val="28"/>
          <w:rtl/>
        </w:rPr>
        <w:t xml:space="preserve">آران کاشان؛ محمد هلال؛ شماره نسخه: 267</w:t>
      </w:r>
    </w:p>
    <w:p>
      <w:pPr>
        <w:pStyle w:val="BookText"/>
      </w:pPr>
      <w:r>
        <w:rPr>
          <w:rFonts w:ascii="IRNazanin" w:hAnsi="IRNazanin" w:eastAsia="IRNazanin" w:cs="IRNazanin"/>
          <w:lang w:bidi="fa-IR"/>
          <w:color w:val="111111"/>
          <w:sz w:val="28"/>
          <w:szCs w:val="28"/>
          <w:rtl/>
        </w:rPr>
        <w:t xml:space="preserve">آغاز: و النظر فی اقسامها واسبابها و ما يحصل به و توابعها الاول فی اقسامها انجام: برابر</w:t>
      </w:r>
    </w:p>
    <w:p>
      <w:pPr>
        <w:pStyle w:val="BookText"/>
      </w:pPr>
      <w:r>
        <w:rPr>
          <w:rFonts w:ascii="IRNazanin" w:hAnsi="IRNazanin" w:eastAsia="IRNazanin" w:cs="IRNazanin"/>
          <w:lang w:bidi="fa-IR"/>
          <w:color w:val="111111"/>
          <w:sz w:val="28"/>
          <w:szCs w:val="28"/>
          <w:rtl/>
        </w:rPr>
        <w:t xml:space="preserve">خط: نستعلیق ،کا: مهر علی بن درویش على ايرجى تا: 26 ذیقعده 1073ق، جا: مدرسه رفیقه خانیه؛ افتادگی: آغاز؛ مصحح؛ جلد: گالینگور سیاه با عطف ،پارچه125گ، 19 سطر [ف مخ: - 10]</w:t>
      </w:r>
    </w:p>
    <w:p>
      <w:pPr>
        <w:pStyle w:val="BookText"/>
      </w:pPr>
      <w:r>
        <w:rPr>
          <w:rFonts w:ascii="Times New Roman" w:hAnsi="Times New Roman" w:eastAsia="Times New Roman" w:cs="Times New Roman"/>
          <w:lang w:val="en-US" w:bidi="en-US"/>
          <w:color w:val="111111"/>
          <w:sz w:val="28"/>
          <w:szCs w:val="28"/>
          <w:rtl/>
        </w:rPr>
        <w:t xml:space="preserve">394.</w:t>
      </w:r>
    </w:p>
    <w:p>
      <w:pPr>
        <w:pStyle w:val="BookText"/>
      </w:pPr>
      <w:r>
        <w:rPr>
          <w:rFonts w:ascii="IRNazanin" w:hAnsi="IRNazanin" w:eastAsia="IRNazanin" w:cs="IRNazanin"/>
          <w:lang w:bidi="fa-IR"/>
          <w:color w:val="111111"/>
          <w:sz w:val="28"/>
          <w:szCs w:val="28"/>
          <w:rtl/>
        </w:rPr>
        <w:t xml:space="preserve">تهران؛ مجلس؛ شماره نسخه: 1287</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متوسط، کا: محمد تقی بن حسینعلی، تا: 1073ق؛ مهر: محمد سعيد بن جلیل؛ کاغذ: ایرانی آهاردار، جلد: تیماج قرمز، 494ص، 18 سطر ، قطع : وزیری، اندازه: 13</w:t>
      </w:r>
      <w:r>
        <w:rPr>
          <w:rFonts w:ascii="Times New Roman" w:hAnsi="Times New Roman" w:eastAsia="Times New Roman" w:cs="Times New Roman"/>
          <w:lang w:val="en-US" w:bidi="en-US"/>
          <w:color w:val="111111"/>
          <w:sz w:val="28"/>
          <w:szCs w:val="28"/>
          <w:rtl/>
        </w:rPr>
        <w:t xml:space="preserve">× 25</w:t>
      </w:r>
      <w:r>
        <w:rPr>
          <w:rFonts w:ascii="IRNazanin" w:hAnsi="IRNazanin" w:eastAsia="IRNazanin" w:cs="IRNazanin"/>
          <w:lang w:bidi="fa-IR"/>
          <w:color w:val="111111"/>
          <w:sz w:val="28"/>
          <w:szCs w:val="28"/>
          <w:rtl/>
        </w:rPr>
        <w:t xml:space="preserve">سم [ف: 4 - 62 ]</w:t>
      </w:r>
    </w:p>
    <w:p>
      <w:pPr>
        <w:pStyle w:val="BookText"/>
      </w:pPr>
      <w:r>
        <w:rPr>
          <w:rFonts w:ascii="Times New Roman" w:hAnsi="Times New Roman" w:eastAsia="Times New Roman" w:cs="Times New Roman"/>
          <w:lang w:val="en-US" w:bidi="en-US"/>
          <w:color w:val="111111"/>
          <w:sz w:val="28"/>
          <w:szCs w:val="28"/>
          <w:rtl/>
        </w:rPr>
        <w:t xml:space="preserve">395.</w:t>
      </w:r>
    </w:p>
    <w:p>
      <w:pPr>
        <w:pStyle w:val="BookText"/>
      </w:pPr>
      <w:r>
        <w:rPr>
          <w:rFonts w:ascii="IRNazanin" w:hAnsi="IRNazanin" w:eastAsia="IRNazanin" w:cs="IRNazanin"/>
          <w:lang w:bidi="fa-IR"/>
          <w:color w:val="111111"/>
          <w:sz w:val="28"/>
          <w:szCs w:val="28"/>
          <w:rtl/>
        </w:rPr>
        <w:t xml:space="preserve">یزد؛ وزیری؛ شماره نسخه: 1153</w:t>
      </w:r>
    </w:p>
    <w:p>
      <w:pPr>
        <w:pStyle w:val="BookText"/>
      </w:pPr>
      <w:r>
        <w:rPr>
          <w:rFonts w:ascii="IRNazanin" w:hAnsi="IRNazanin" w:eastAsia="IRNazanin" w:cs="IRNazanin"/>
          <w:lang w:bidi="fa-IR"/>
          <w:color w:val="111111"/>
          <w:sz w:val="28"/>
          <w:szCs w:val="28"/>
          <w:rtl/>
        </w:rPr>
        <w:t xml:space="preserve">کامل؛ خط: نسخ، بی کا، تا: 1074ق؛ اهدایی استاد محمد حمامی؛ کاغذ: اصفهانی، جلد: مقوایی با تیماج مشکی ضربی با سه ترنج، 316گ، 13) سطر (6/5</w:t>
      </w:r>
      <w:r>
        <w:rPr>
          <w:rFonts w:ascii="Times New Roman" w:hAnsi="Times New Roman" w:eastAsia="Times New Roman" w:cs="Times New Roman"/>
          <w:lang w:val="en-US" w:bidi="en-US"/>
          <w:color w:val="111111"/>
          <w:sz w:val="28"/>
          <w:szCs w:val="28"/>
          <w:rtl/>
        </w:rPr>
        <w:t xml:space="preserve">×12/5) </w:t>
      </w:r>
      <w:r>
        <w:rPr>
          <w:rFonts w:ascii="IRNazanin" w:hAnsi="IRNazanin" w:eastAsia="IRNazanin" w:cs="IRNazanin"/>
          <w:lang w:bidi="fa-IR"/>
          <w:color w:val="111111"/>
          <w:sz w:val="28"/>
          <w:szCs w:val="28"/>
          <w:rtl/>
        </w:rPr>
        <w:t xml:space="preserve">، اندازه: 12</w:t>
      </w:r>
      <w:r>
        <w:rPr>
          <w:rFonts w:ascii="Times New Roman" w:hAnsi="Times New Roman" w:eastAsia="Times New Roman" w:cs="Times New Roman"/>
          <w:lang w:val="en-US" w:bidi="en-US"/>
          <w:color w:val="111111"/>
          <w:sz w:val="28"/>
          <w:szCs w:val="28"/>
          <w:rtl/>
        </w:rPr>
        <w:t xml:space="preserve">× 16</w:t>
      </w:r>
      <w:r>
        <w:rPr>
          <w:rFonts w:ascii="IRNazanin" w:hAnsi="IRNazanin" w:eastAsia="IRNazanin" w:cs="IRNazanin"/>
          <w:lang w:bidi="fa-IR"/>
          <w:color w:val="111111"/>
          <w:sz w:val="28"/>
          <w:szCs w:val="28"/>
          <w:rtl/>
        </w:rPr>
        <w:t xml:space="preserve">سم [ف: 3 - 874]</w:t>
      </w:r>
    </w:p>
    <w:p>
      <w:pPr>
        <w:pStyle w:val="BookText"/>
      </w:pPr>
      <w:r>
        <w:rPr>
          <w:rFonts w:ascii="IRNazanin" w:hAnsi="IRNazanin" w:eastAsia="IRNazanin" w:cs="IRNazanin"/>
          <w:lang w:bidi="fa-IR"/>
          <w:color w:val="111111"/>
          <w:sz w:val="28"/>
          <w:szCs w:val="28"/>
          <w:rtl/>
        </w:rPr>
        <w:t xml:space="preserve">396.مشهد؛ رضوی؛ شماره نسخه: 7266</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نستعليق، كا: يعقوب یوسف، تا: سه شنبه 1 صفر 1074ق؛ معلق به حواشی شهید ثانی و دیگران؛ کاغذ: نخودی آهار مهره، جلد: مقوا رویه ،پارچه 149گ 19 سطر ، اندازه: 16/8</w:t>
      </w:r>
      <w:r>
        <w:rPr>
          <w:rFonts w:ascii="Times New Roman" w:hAnsi="Times New Roman" w:eastAsia="Times New Roman" w:cs="Times New Roman"/>
          <w:lang w:val="en-US" w:bidi="en-US"/>
          <w:color w:val="111111"/>
          <w:sz w:val="28"/>
          <w:szCs w:val="28"/>
          <w:rtl/>
        </w:rPr>
        <w:t xml:space="preserve">×25/2</w:t>
      </w:r>
      <w:r>
        <w:rPr>
          <w:rFonts w:ascii="IRNazanin" w:hAnsi="IRNazanin" w:eastAsia="IRNazanin" w:cs="IRNazanin"/>
          <w:lang w:bidi="fa-IR"/>
          <w:color w:val="111111"/>
          <w:sz w:val="28"/>
          <w:szCs w:val="28"/>
          <w:rtl/>
        </w:rPr>
        <w:t xml:space="preserve">سم [ف: 21/1 - 73]</w:t>
      </w:r>
    </w:p>
    <w:p>
      <w:pPr>
        <w:pStyle w:val="BookText"/>
      </w:pPr>
      <w:r>
        <w:rPr>
          <w:rFonts w:ascii="IRNazanin" w:hAnsi="IRNazanin" w:eastAsia="IRNazanin" w:cs="IRNazanin"/>
          <w:lang w:bidi="fa-IR"/>
          <w:color w:val="111111"/>
          <w:sz w:val="28"/>
          <w:szCs w:val="28"/>
          <w:rtl/>
        </w:rPr>
        <w:t xml:space="preserve">397 . مشهد؛ رضوی؛ شماره نسخه: 21168</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جلی، کا: محمد حسن بن سعيد برادر شیخ عبد علی، تا: سه شنبه 28 شعبان 1075ق؛ دارای حواشی با نشان« ع ل» ،زین، ح ل» و مطالبی از کتب مختلف تملک: شیخ علی منصوری جزایری در سال 1143 محمد علی موسوی با مهر او عبدالله بن مبارک بن علی بن عبدالله أحسایی در 1234؛ اهدائی رهبری، خرداد 1373 ؛کاغذ: شکری آهار ،مهره جلد: تیماج قهوه ای ضربی با ترنج و سرترنج، 237گ، 15 سطر ، اندازه 20/5</w:t>
      </w:r>
      <w:r>
        <w:rPr>
          <w:rFonts w:ascii="Times New Roman" w:hAnsi="Times New Roman" w:eastAsia="Times New Roman" w:cs="Times New Roman"/>
          <w:lang w:val="en-US" w:bidi="en-US"/>
          <w:color w:val="111111"/>
          <w:sz w:val="28"/>
          <w:szCs w:val="28"/>
          <w:rtl/>
        </w:rPr>
        <w:t xml:space="preserve">×30</w:t>
      </w:r>
      <w:r>
        <w:rPr>
          <w:rFonts w:ascii="IRNazanin" w:hAnsi="IRNazanin" w:eastAsia="IRNazanin" w:cs="IRNazanin"/>
          <w:lang w:bidi="fa-IR"/>
          <w:color w:val="111111"/>
          <w:sz w:val="28"/>
          <w:szCs w:val="28"/>
          <w:rtl/>
        </w:rPr>
        <w:t xml:space="preserve">سم [اهدائی - ف: 3 - 49]</w:t>
      </w:r>
    </w:p>
    <w:p>
      <w:pPr>
        <w:pStyle w:val="BookText"/>
      </w:pPr>
      <w:r>
        <w:rPr>
          <w:rFonts w:ascii="Times New Roman" w:hAnsi="Times New Roman" w:eastAsia="Times New Roman" w:cs="Times New Roman"/>
          <w:lang w:val="en-US" w:bidi="en-US"/>
          <w:color w:val="111111"/>
          <w:sz w:val="28"/>
          <w:szCs w:val="28"/>
          <w:rtl/>
        </w:rPr>
        <w:t xml:space="preserve">398.</w:t>
      </w:r>
    </w:p>
    <w:p>
      <w:pPr>
        <w:pStyle w:val="BookText"/>
      </w:pPr>
      <w:r>
        <w:rPr>
          <w:rFonts w:ascii="IRNazanin" w:hAnsi="IRNazanin" w:eastAsia="IRNazanin" w:cs="IRNazanin"/>
          <w:lang w:bidi="fa-IR"/>
          <w:color w:val="111111"/>
          <w:sz w:val="28"/>
          <w:szCs w:val="28"/>
          <w:rtl/>
        </w:rPr>
        <w:t xml:space="preserve">مشهد؛ رضوی؛ شماره نسخه: 2523</w:t>
      </w:r>
    </w:p>
    <w:p>
      <w:pPr>
        <w:pStyle w:val="BookText"/>
      </w:pPr>
      <w:r>
        <w:rPr>
          <w:rFonts w:ascii="IRNazanin" w:hAnsi="IRNazanin" w:eastAsia="IRNazanin" w:cs="IRNazanin"/>
          <w:lang w:bidi="fa-IR"/>
          <w:color w:val="111111"/>
          <w:sz w:val="28"/>
          <w:szCs w:val="28"/>
          <w:rtl/>
        </w:rPr>
        <w:t xml:space="preserve">آغاز: مشروعة كنذر صلاة جعفر (علیه السّلام)؛ انجام برابر</w:t>
      </w:r>
    </w:p>
    <w:p>
      <w:pPr>
        <w:pStyle w:val="BookText"/>
      </w:pPr>
      <w:r>
        <w:rPr>
          <w:rFonts w:ascii="IRNazanin" w:hAnsi="IRNazanin" w:eastAsia="IRNazanin" w:cs="IRNazanin"/>
          <w:lang w:bidi="fa-IR"/>
          <w:color w:val="111111"/>
          <w:sz w:val="28"/>
          <w:szCs w:val="28"/>
          <w:rtl/>
        </w:rPr>
        <w:t xml:space="preserve">از اواسط «المقصد السادس فى المنذورات» تا پایان کتاب دیات؛ خط: نسخ، بی کا تا: 18 رمضان 1075ق؛ افتادگی: آغاز و وسط؛ محشى؛ واقف: عضدالملک 1276؛ کاغذ: نخودی آهار مهره جلد: مقوای روغنی عطف تیماج قهوه ای سوخت، 117گ، 16 سطر ، اندازه: 19</w:t>
      </w:r>
      <w:r>
        <w:rPr>
          <w:rFonts w:ascii="Times New Roman" w:hAnsi="Times New Roman" w:eastAsia="Times New Roman" w:cs="Times New Roman"/>
          <w:lang w:val="en-US" w:bidi="en-US"/>
          <w:color w:val="111111"/>
          <w:sz w:val="28"/>
          <w:szCs w:val="28"/>
          <w:rtl/>
        </w:rPr>
        <w:t xml:space="preserve">× 25 </w:t>
      </w:r>
      <w:r>
        <w:rPr>
          <w:rFonts w:ascii="IRNazanin" w:hAnsi="IRNazanin" w:eastAsia="IRNazanin" w:cs="IRNazanin"/>
          <w:lang w:bidi="fa-IR"/>
          <w:color w:val="111111"/>
          <w:sz w:val="28"/>
          <w:szCs w:val="28"/>
          <w:rtl/>
        </w:rPr>
        <w:t xml:space="preserve">سم [ف: 21/5 - 88]</w:t>
      </w:r>
    </w:p>
    <w:p>
      <w:pPr>
        <w:pStyle w:val="BookText"/>
      </w:pPr>
      <w:r>
        <w:rPr>
          <w:rFonts w:ascii="Times New Roman" w:hAnsi="Times New Roman" w:eastAsia="Times New Roman" w:cs="Times New Roman"/>
          <w:lang w:val="en-US" w:bidi="en-US"/>
          <w:color w:val="111111"/>
          <w:sz w:val="28"/>
          <w:szCs w:val="28"/>
          <w:rtl/>
        </w:rPr>
        <w:t xml:space="preserve">399.</w:t>
      </w:r>
    </w:p>
    <w:p>
      <w:pPr>
        <w:pStyle w:val="BookText"/>
      </w:pPr>
      <w:r>
        <w:rPr>
          <w:rFonts w:ascii="IRNazanin" w:hAnsi="IRNazanin" w:eastAsia="IRNazanin" w:cs="IRNazanin"/>
          <w:lang w:bidi="fa-IR"/>
          <w:color w:val="111111"/>
          <w:sz w:val="28"/>
          <w:szCs w:val="28"/>
          <w:rtl/>
        </w:rPr>
        <w:t xml:space="preserve">قم؛ فیضیه شماره نسخه: 713</w:t>
      </w:r>
    </w:p>
    <w:p>
      <w:pPr>
        <w:pStyle w:val="BookText"/>
      </w:pPr>
      <w:r>
        <w:rPr>
          <w:rFonts w:ascii="IRNazanin" w:hAnsi="IRNazanin" w:eastAsia="IRNazanin" w:cs="IRNazanin"/>
          <w:lang w:bidi="fa-IR"/>
          <w:color w:val="111111"/>
          <w:sz w:val="28"/>
          <w:szCs w:val="28"/>
          <w:rtl/>
        </w:rPr>
        <w:t xml:space="preserve">خط: نسخ، کا: ابوطالف بن علی حسینی تا: 1075ق؛ 145گ، 18 سطر ، اندازه: 18</w:t>
      </w:r>
      <w:r>
        <w:rPr>
          <w:rFonts w:ascii="Times New Roman" w:hAnsi="Times New Roman" w:eastAsia="Times New Roman" w:cs="Times New Roman"/>
          <w:lang w:val="en-US" w:bidi="en-US"/>
          <w:color w:val="111111"/>
          <w:sz w:val="28"/>
          <w:szCs w:val="28"/>
          <w:rtl/>
        </w:rPr>
        <w:t xml:space="preserve">× 26 </w:t>
      </w:r>
      <w:r>
        <w:rPr>
          <w:rFonts w:ascii="IRNazanin" w:hAnsi="IRNazanin" w:eastAsia="IRNazanin" w:cs="IRNazanin"/>
          <w:lang w:bidi="fa-IR"/>
          <w:color w:val="111111"/>
          <w:sz w:val="28"/>
          <w:szCs w:val="28"/>
          <w:rtl/>
        </w:rPr>
        <w:t xml:space="preserve">سم [ف: 1 - 8]</w:t>
      </w:r>
    </w:p>
    <w:p>
      <w:pPr>
        <w:pStyle w:val="BookText"/>
      </w:pPr>
      <w:r>
        <w:rPr>
          <w:rFonts w:ascii="Times New Roman" w:hAnsi="Times New Roman" w:eastAsia="Times New Roman" w:cs="Times New Roman"/>
          <w:lang w:val="en-US" w:bidi="en-US"/>
          <w:color w:val="111111"/>
          <w:sz w:val="28"/>
          <w:szCs w:val="28"/>
          <w:rtl/>
        </w:rPr>
        <w:t xml:space="preserve">400.</w:t>
      </w:r>
    </w:p>
    <w:p>
      <w:pPr>
        <w:pStyle w:val="BookText"/>
      </w:pPr>
      <w:r>
        <w:rPr>
          <w:rFonts w:ascii="IRNazanin" w:hAnsi="IRNazanin" w:eastAsia="IRNazanin" w:cs="IRNazanin"/>
          <w:lang w:bidi="fa-IR"/>
          <w:color w:val="111111"/>
          <w:sz w:val="28"/>
          <w:szCs w:val="28"/>
          <w:rtl/>
        </w:rPr>
        <w:t xml:space="preserve">دامغان؛ صادقیه؛ شماره نسخه: 63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محمد مؤمن بن حاجی... تا: غره جمادى الاول 1075ق؛ مصحح، محشی، در برگ اول چند یادداشت فقهی و یادداشتی در وقف کتاب از «شیخ غلامحسین خیری» و در برگ آخر تملک در سال 1345 جلد: تیماج دورو لبه دار رو قرمز سوخت پشت سبز، 171گ، 17 سطر ، اندازه: 14</w:t>
      </w:r>
      <w:r>
        <w:rPr>
          <w:rFonts w:ascii="Times New Roman" w:hAnsi="Times New Roman" w:eastAsia="Times New Roman" w:cs="Times New Roman"/>
          <w:lang w:val="en-US" w:bidi="en-US"/>
          <w:color w:val="111111"/>
          <w:sz w:val="28"/>
          <w:szCs w:val="28"/>
          <w:rtl/>
        </w:rPr>
        <w:t xml:space="preserve">×26</w:t>
      </w:r>
      <w:r>
        <w:rPr>
          <w:rFonts w:ascii="IRNazanin" w:hAnsi="IRNazanin" w:eastAsia="IRNazanin" w:cs="IRNazanin"/>
          <w:lang w:bidi="fa-IR"/>
          <w:color w:val="111111"/>
          <w:sz w:val="28"/>
          <w:szCs w:val="28"/>
          <w:rtl/>
        </w:rPr>
        <w:t xml:space="preserve">سم [ف: 9]</w:t>
      </w:r>
    </w:p>
    <w:p>
      <w:pPr>
        <w:pStyle w:val="BookText"/>
      </w:pPr>
      <w:r>
        <w:rPr>
          <w:rFonts w:ascii="Times New Roman" w:hAnsi="Times New Roman" w:eastAsia="Times New Roman" w:cs="Times New Roman"/>
          <w:lang w:val="en-US" w:bidi="en-US"/>
          <w:color w:val="111111"/>
          <w:sz w:val="28"/>
          <w:szCs w:val="28"/>
          <w:rtl/>
        </w:rPr>
        <w:t xml:space="preserve">401.</w:t>
      </w:r>
    </w:p>
    <w:p>
      <w:pPr>
        <w:pStyle w:val="BookText"/>
      </w:pPr>
      <w:r>
        <w:rPr>
          <w:rFonts w:ascii="IRNazanin" w:hAnsi="IRNazanin" w:eastAsia="IRNazanin" w:cs="IRNazanin"/>
          <w:lang w:bidi="fa-IR"/>
          <w:color w:val="111111"/>
          <w:sz w:val="28"/>
          <w:szCs w:val="28"/>
          <w:rtl/>
        </w:rPr>
        <w:t xml:space="preserve">تهران؛ عبدالعظیم؛ شماره نسخه 532</w:t>
      </w:r>
    </w:p>
    <w:p>
      <w:pPr>
        <w:pStyle w:val="BookText"/>
      </w:pPr>
      <w:r>
        <w:rPr>
          <w:rFonts w:ascii="Amiri" w:hAnsi="Amiri" w:eastAsia="Amiri" w:cs="Amiri"/>
          <w:lang w:bidi="ar-SA"/>
          <w:color w:val="111111"/>
          <w:sz w:val="28"/>
          <w:szCs w:val="28"/>
          <w:rtl/>
        </w:rPr>
        <w:t xml:space="preserve">آغاز: و لو عدم الماء و التراب سقط الفرض اداءً و قضاءً . .. النظر السادس فيما يتبع الطهارة؛ انجام: برابر</w:t>
      </w:r>
    </w:p>
    <w:p>
      <w:pPr>
        <w:pStyle w:val="BookText"/>
      </w:pPr>
      <w:r>
        <w:rPr>
          <w:rFonts w:ascii="IRNazanin" w:hAnsi="IRNazanin" w:eastAsia="IRNazanin" w:cs="IRNazanin"/>
          <w:lang w:bidi="fa-IR"/>
          <w:color w:val="111111"/>
          <w:sz w:val="28"/>
          <w:szCs w:val="28"/>
          <w:rtl/>
        </w:rPr>
        <w:t xml:space="preserve">خط: نسخ، کا: محمد بهاء الدين خطى بن عبدالحسین تا: دوشنبه 10 ذيحجه 1076ق جا: شیراز افتادگی: آغاز؛ مصحح، ، محشی با امضای «ع ل»؛ جلد: تیماج سرخ دو روی با ترنج و سرترنج،</w:t>
      </w:r>
    </w:p>
    <w:p>
      <w:pPr>
        <w:pStyle w:val="BookText"/>
      </w:pPr>
      <w:r>
        <w:rPr>
          <w:rFonts w:ascii="IRNazanin" w:hAnsi="IRNazanin" w:eastAsia="IRNazanin" w:cs="IRNazanin"/>
          <w:lang w:bidi="fa-IR"/>
          <w:color w:val="111111"/>
          <w:sz w:val="28"/>
          <w:szCs w:val="28"/>
          <w:rtl/>
        </w:rPr>
        <w:t xml:space="preserve">218گ، 15 سطر ، اندازه: 16/5</w:t>
      </w:r>
      <w:r>
        <w:rPr>
          <w:rFonts w:ascii="Times New Roman" w:hAnsi="Times New Roman" w:eastAsia="Times New Roman" w:cs="Times New Roman"/>
          <w:lang w:val="en-US" w:bidi="en-US"/>
          <w:color w:val="111111"/>
          <w:sz w:val="28"/>
          <w:szCs w:val="28"/>
          <w:rtl/>
        </w:rPr>
        <w:t xml:space="preserve">× 22</w:t>
      </w:r>
      <w:r>
        <w:rPr>
          <w:rFonts w:ascii="IRNazanin" w:hAnsi="IRNazanin" w:eastAsia="IRNazanin" w:cs="IRNazanin"/>
          <w:lang w:bidi="fa-IR"/>
          <w:color w:val="111111"/>
          <w:sz w:val="28"/>
          <w:szCs w:val="28"/>
          <w:rtl/>
        </w:rPr>
        <w:t xml:space="preserve">سم [ف: 1 - 41]</w:t>
      </w:r>
    </w:p>
    <w:p>
      <w:pPr>
        <w:pStyle w:val="BookText"/>
      </w:pPr>
      <w:r>
        <w:rPr>
          <w:rFonts w:ascii="IRNazanin" w:hAnsi="IRNazanin" w:eastAsia="IRNazanin" w:cs="IRNazanin"/>
          <w:lang w:bidi="fa-IR"/>
          <w:color w:val="111111"/>
          <w:sz w:val="28"/>
          <w:szCs w:val="28"/>
          <w:rtl/>
        </w:rPr>
        <w:t xml:space="preserve">402 . مشهد؛ رضوی؛ شماره نسخه: 2220</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بدرالدین محمد طالقانی ،تا: دهه اول ذیحجه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1076ق، جا: اصفهان ،محشی، پشت برگ اول مطالب متفرقه جمله بخشی از رساله رضاعیه محقق کرکی؛ واقف: شاه حسین 1093؛ کاغذ: نخودی آهارمهره، جلد: تیماج مشکی،123گ، 17 سطر ، اندازه: 19</w:t>
      </w:r>
      <w:r>
        <w:rPr>
          <w:rFonts w:ascii="Times New Roman" w:hAnsi="Times New Roman" w:eastAsia="Times New Roman" w:cs="Times New Roman"/>
          <w:lang w:val="en-US" w:bidi="en-US"/>
          <w:color w:val="111111"/>
          <w:sz w:val="28"/>
          <w:szCs w:val="28"/>
          <w:rtl/>
        </w:rPr>
        <w:t xml:space="preserve">×25</w:t>
      </w:r>
      <w:r>
        <w:rPr>
          <w:rFonts w:ascii="IRNazanin" w:hAnsi="IRNazanin" w:eastAsia="IRNazanin" w:cs="IRNazanin"/>
          <w:lang w:bidi="fa-IR"/>
          <w:color w:val="111111"/>
          <w:sz w:val="28"/>
          <w:szCs w:val="28"/>
          <w:rtl/>
        </w:rPr>
        <w:t xml:space="preserve">سم [ف: 21/5 - 68]</w:t>
      </w:r>
    </w:p>
    <w:p>
      <w:pPr>
        <w:pStyle w:val="BookText"/>
      </w:pPr>
      <w:r>
        <w:rPr>
          <w:rFonts w:ascii="IRNazanin" w:hAnsi="IRNazanin" w:eastAsia="IRNazanin" w:cs="IRNazanin"/>
          <w:lang w:bidi="fa-IR"/>
          <w:color w:val="111111"/>
          <w:sz w:val="28"/>
          <w:szCs w:val="28"/>
          <w:rtl/>
        </w:rPr>
        <w:t xml:space="preserve">403 . قم؛ مرکز احیاء؛ شماره نسخه: 925</w:t>
      </w:r>
    </w:p>
    <w:p>
      <w:pPr>
        <w:pStyle w:val="BookText"/>
      </w:pPr>
      <w:r>
        <w:rPr>
          <w:rFonts w:ascii="IRNazanin" w:hAnsi="IRNazanin" w:eastAsia="IRNazanin" w:cs="IRNazanin"/>
          <w:lang w:bidi="fa-IR"/>
          <w:color w:val="111111"/>
          <w:sz w:val="28"/>
          <w:szCs w:val="28"/>
          <w:rtl/>
        </w:rPr>
        <w:t xml:space="preserve">خط: نسخ، بی کا، تا: 1076ق؛ افتادگی: آغاز و انجام؛ مصحح ، محشى؛ مهر : واذكر فى الكتاب «اسماعيل» (بیضی)، «احمد بن علی» (مربع)؛ تملک: محمد مظفر علی شیرانی به تاریخ 1094، محمد حسین؛ جلد: تیماج مشکی، بدون مقوا، 114گ، 12 سطر ، اندازه: 18/5</w:t>
      </w:r>
      <w:r>
        <w:rPr>
          <w:rFonts w:ascii="Times New Roman" w:hAnsi="Times New Roman" w:eastAsia="Times New Roman" w:cs="Times New Roman"/>
          <w:lang w:val="en-US" w:bidi="en-US"/>
          <w:color w:val="111111"/>
          <w:sz w:val="28"/>
          <w:szCs w:val="28"/>
          <w:rtl/>
        </w:rPr>
        <w:t xml:space="preserve">×23/5</w:t>
      </w:r>
      <w:r>
        <w:rPr>
          <w:rFonts w:ascii="IRNazanin" w:hAnsi="IRNazanin" w:eastAsia="IRNazanin" w:cs="IRNazanin"/>
          <w:lang w:bidi="fa-IR"/>
          <w:color w:val="111111"/>
          <w:sz w:val="28"/>
          <w:szCs w:val="28"/>
          <w:rtl/>
        </w:rPr>
        <w:t xml:space="preserve">سم [ف: 3 - 145]</w:t>
      </w:r>
    </w:p>
    <w:p>
      <w:pPr>
        <w:pStyle w:val="BookText"/>
      </w:pPr>
      <w:r>
        <w:rPr>
          <w:rFonts w:ascii="IRNazanin" w:hAnsi="IRNazanin" w:eastAsia="IRNazanin" w:cs="IRNazanin"/>
          <w:lang w:bidi="fa-IR"/>
          <w:color w:val="111111"/>
          <w:sz w:val="28"/>
          <w:szCs w:val="28"/>
          <w:rtl/>
        </w:rPr>
        <w:t xml:space="preserve">404.چالوس امام صادق؛ شماره نسخه:130</w:t>
      </w:r>
    </w:p>
    <w:p>
      <w:pPr>
        <w:pStyle w:val="BookText"/>
      </w:pPr>
      <w:r>
        <w:rPr>
          <w:rFonts w:ascii="IRNazanin" w:hAnsi="IRNazanin" w:eastAsia="IRNazanin" w:cs="IRNazanin"/>
          <w:lang w:bidi="fa-IR"/>
          <w:color w:val="111111"/>
          <w:sz w:val="28"/>
          <w:szCs w:val="28"/>
          <w:rtl/>
        </w:rPr>
        <w:t xml:space="preserve">خط: نسخ، کا: علی بن محمد، تا: سه شنبه 1076ق؛ مصحح، محشی؛ جلد: تیماج قهوه ای 190گ 15 سطر (27</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ف: 37]</w:t>
      </w:r>
    </w:p>
    <w:p>
      <w:pPr>
        <w:pStyle w:val="BookText"/>
      </w:pPr>
      <w:r>
        <w:rPr>
          <w:rFonts w:ascii="Times New Roman" w:hAnsi="Times New Roman" w:eastAsia="Times New Roman" w:cs="Times New Roman"/>
          <w:lang w:val="en-US" w:bidi="en-US"/>
          <w:color w:val="111111"/>
          <w:sz w:val="28"/>
          <w:szCs w:val="28"/>
          <w:rtl/>
        </w:rPr>
        <w:t xml:space="preserve">405.</w:t>
      </w:r>
    </w:p>
    <w:p>
      <w:pPr>
        <w:pStyle w:val="BookText"/>
      </w:pPr>
      <w:r>
        <w:rPr>
          <w:rFonts w:ascii="IRNazanin" w:hAnsi="IRNazanin" w:eastAsia="IRNazanin" w:cs="IRNazanin"/>
          <w:lang w:bidi="fa-IR"/>
          <w:color w:val="111111"/>
          <w:sz w:val="28"/>
          <w:szCs w:val="28"/>
          <w:rtl/>
        </w:rPr>
        <w:t xml:space="preserve">تهران؛ فرهاد معتمد؛ شماره نسخه: 62</w:t>
      </w:r>
    </w:p>
    <w:p>
      <w:pPr>
        <w:pStyle w:val="BookText"/>
      </w:pPr>
      <w:r>
        <w:rPr>
          <w:rFonts w:ascii="IRNazanin" w:hAnsi="IRNazanin" w:eastAsia="IRNazanin" w:cs="IRNazanin"/>
          <w:lang w:bidi="fa-IR"/>
          <w:color w:val="111111"/>
          <w:sz w:val="28"/>
          <w:szCs w:val="28"/>
          <w:rtl/>
        </w:rPr>
        <w:t xml:space="preserve">خط : نسخ، کا: آقا میر گیلانی ،تا: 2 رجب 1076ق؛ افتادگی : انجام؛ محشی؛ تملک: زاهد بن آقا میرگیلانی لاهیجانی؛ کا ،سپاهانی :جلد تیماج قهوه ای ترنج دار مقوایی، ابعاد متن: 7/5</w:t>
      </w:r>
      <w:r>
        <w:rPr>
          <w:rFonts w:ascii="Times New Roman" w:hAnsi="Times New Roman" w:eastAsia="Times New Roman" w:cs="Times New Roman"/>
          <w:lang w:val="en-US" w:bidi="en-US"/>
          <w:color w:val="111111"/>
          <w:sz w:val="28"/>
          <w:szCs w:val="28"/>
          <w:rtl/>
        </w:rPr>
        <w:t xml:space="preserve">× 15/5</w:t>
      </w:r>
      <w:r>
        <w:rPr>
          <w:rFonts w:ascii="IRNazanin" w:hAnsi="IRNazanin" w:eastAsia="IRNazanin" w:cs="IRNazanin"/>
          <w:lang w:bidi="fa-IR"/>
          <w:color w:val="111111"/>
          <w:sz w:val="28"/>
          <w:szCs w:val="28"/>
          <w:rtl/>
        </w:rPr>
        <w:t xml:space="preserve">، اندازه: 15/5</w:t>
      </w:r>
      <w:r>
        <w:rPr>
          <w:rFonts w:ascii="Times New Roman" w:hAnsi="Times New Roman" w:eastAsia="Times New Roman" w:cs="Times New Roman"/>
          <w:lang w:val="en-US" w:bidi="en-US"/>
          <w:color w:val="111111"/>
          <w:sz w:val="28"/>
          <w:szCs w:val="28"/>
          <w:rtl/>
        </w:rPr>
        <w:t xml:space="preserve">× 24 </w:t>
      </w:r>
      <w:r>
        <w:rPr>
          <w:rFonts w:ascii="Amiri" w:hAnsi="Amiri" w:eastAsia="Amiri" w:cs="Amiri"/>
          <w:lang w:bidi="ar-SA"/>
          <w:color w:val="111111"/>
          <w:sz w:val="28"/>
          <w:szCs w:val="28"/>
          <w:rtl/>
        </w:rPr>
        <w:t xml:space="preserve">سم [نشريه: 3 - 148]</w:t>
      </w:r>
    </w:p>
    <w:p>
      <w:pPr>
        <w:pStyle w:val="BookText"/>
      </w:pPr>
      <w:r>
        <w:rPr>
          <w:rFonts w:ascii="IRNazanin" w:hAnsi="IRNazanin" w:eastAsia="IRNazanin" w:cs="IRNazanin"/>
          <w:lang w:bidi="fa-IR"/>
          <w:color w:val="111111"/>
          <w:sz w:val="28"/>
          <w:szCs w:val="28"/>
          <w:rtl/>
        </w:rPr>
        <w:t xml:space="preserve">406.یزد؛ وزیری؛ شماره نسخه: 387</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نسخ،کا: محمد صادق بن ملا محمد سرکانی، تا: سه شنبه 10 جمادی الاول 1077ق؛ محشی، رموز اسماء از بعضی مشاهیر علما در برگ آغاز؛ مهر تملک: «عبده محمد رضا»؛ اهدایی شیخ محمد طاهری؛ کاغذ: حنایی آهار مهره ،جلد: مقوایی تیماج آلبالویی عطف و گوشه ها تیماج زرد، 131گ، 28 سطر (7</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اندازه: 13 </w:t>
      </w:r>
      <w:r>
        <w:rPr>
          <w:rFonts w:ascii="Times New Roman" w:hAnsi="Times New Roman" w:eastAsia="Times New Roman" w:cs="Times New Roman"/>
          <w:lang w:val="en-US" w:bidi="en-US"/>
          <w:color w:val="111111"/>
          <w:sz w:val="28"/>
          <w:szCs w:val="28"/>
          <w:rtl/>
        </w:rPr>
        <w:t xml:space="preserve">×26 </w:t>
      </w:r>
      <w:r>
        <w:rPr>
          <w:rFonts w:ascii="IRNazanin" w:hAnsi="IRNazanin" w:eastAsia="IRNazanin" w:cs="IRNazanin"/>
          <w:lang w:bidi="fa-IR"/>
          <w:color w:val="111111"/>
          <w:sz w:val="28"/>
          <w:szCs w:val="28"/>
          <w:rtl/>
        </w:rPr>
        <w:t xml:space="preserve">سم [ف: 1-351]</w:t>
      </w:r>
    </w:p>
    <w:p>
      <w:pPr>
        <w:pStyle w:val="BookText"/>
      </w:pPr>
      <w:r>
        <w:rPr>
          <w:rFonts w:ascii="IRNazanin" w:hAnsi="IRNazanin" w:eastAsia="IRNazanin" w:cs="IRNazanin"/>
          <w:lang w:bidi="fa-IR"/>
          <w:color w:val="111111"/>
          <w:sz w:val="28"/>
          <w:szCs w:val="28"/>
          <w:rtl/>
        </w:rPr>
        <w:t xml:space="preserve">407 . تهران؛ سپهسالار؛ شماره نسخه: 8179</w:t>
      </w:r>
    </w:p>
    <w:p>
      <w:pPr>
        <w:pStyle w:val="BookText"/>
      </w:pPr>
      <w:r>
        <w:rPr>
          <w:rFonts w:ascii="IRNazanin" w:hAnsi="IRNazanin" w:eastAsia="IRNazanin" w:cs="IRNazanin"/>
          <w:lang w:bidi="fa-IR"/>
          <w:color w:val="111111"/>
          <w:sz w:val="28"/>
          <w:szCs w:val="28"/>
          <w:rtl/>
        </w:rPr>
        <w:t xml:space="preserve">خط: نسخ، کا: مظفر حسین مازندرانی، تا: شنبه 1 شعبان 1077ق ؛کاغذ: سپاهانی آهار مهره، جلد: تیماج سرخ مقوایی، 174گ، 16سطر ، اندازه: 19</w:t>
      </w:r>
      <w:r>
        <w:rPr>
          <w:rFonts w:ascii="Times New Roman" w:hAnsi="Times New Roman" w:eastAsia="Times New Roman" w:cs="Times New Roman"/>
          <w:lang w:val="en-US" w:bidi="en-US"/>
          <w:color w:val="111111"/>
          <w:sz w:val="28"/>
          <w:szCs w:val="28"/>
          <w:rtl/>
        </w:rPr>
        <w:t xml:space="preserve">×25</w:t>
      </w:r>
      <w:r>
        <w:rPr>
          <w:rFonts w:ascii="IRNazanin" w:hAnsi="IRNazanin" w:eastAsia="IRNazanin" w:cs="IRNazanin"/>
          <w:lang w:bidi="fa-IR"/>
          <w:color w:val="111111"/>
          <w:sz w:val="28"/>
          <w:szCs w:val="28"/>
          <w:rtl/>
        </w:rPr>
        <w:t xml:space="preserve">سم [ف: 3 - 106]</w:t>
      </w:r>
    </w:p>
    <w:p>
      <w:pPr>
        <w:pStyle w:val="BookText"/>
      </w:pPr>
      <w:r>
        <w:rPr>
          <w:rFonts w:ascii="IRNazanin" w:hAnsi="IRNazanin" w:eastAsia="IRNazanin" w:cs="IRNazanin"/>
          <w:lang w:bidi="fa-IR"/>
          <w:color w:val="111111"/>
          <w:sz w:val="28"/>
          <w:szCs w:val="28"/>
          <w:rtl/>
        </w:rPr>
        <w:t xml:space="preserve">408 .قم؛ گلپایگانی؛ شماره نسخه: 6866-35/46</w:t>
      </w:r>
    </w:p>
    <w:p>
      <w:pPr>
        <w:pStyle w:val="BookText"/>
      </w:pPr>
      <w:r>
        <w:rPr>
          <w:rFonts w:ascii="Amiri" w:hAnsi="Amiri" w:eastAsia="Amiri" w:cs="Amiri"/>
          <w:lang w:bidi="ar-SA"/>
          <w:color w:val="111111"/>
          <w:sz w:val="28"/>
          <w:szCs w:val="28"/>
          <w:rtl/>
        </w:rPr>
        <w:t xml:space="preserve">آغاز: بسمله... مشابهة الاعراض والاجسام المتفضل بسوابغ المتطول بالفواضل الجسام احمده على ما فضلناه به من الاكرم؛ انجام: برابر</w:t>
      </w:r>
    </w:p>
    <w:p>
      <w:pPr>
        <w:pStyle w:val="BookText"/>
      </w:pPr>
      <w:r>
        <w:rPr>
          <w:rFonts w:ascii="IRNazanin" w:hAnsi="IRNazanin" w:eastAsia="IRNazanin" w:cs="IRNazanin"/>
          <w:lang w:bidi="fa-IR"/>
          <w:color w:val="111111"/>
          <w:sz w:val="28"/>
          <w:szCs w:val="28"/>
          <w:rtl/>
        </w:rPr>
        <w:t xml:space="preserve">خط: نسخ، کا: محمد امین بن غلام علی حسینی هزار جریبی 1077ق، جا: اصفهان مدرسه صفویه با حواشی «ع ل» ؛ جلد: تیماج قهوه ای با ترنج و سر ترنج 239گ، 14 سطر ، اندازه: 14</w:t>
      </w:r>
      <w:r>
        <w:rPr>
          <w:rFonts w:ascii="Times New Roman" w:hAnsi="Times New Roman" w:eastAsia="Times New Roman" w:cs="Times New Roman"/>
          <w:lang w:val="en-US" w:bidi="en-US"/>
          <w:color w:val="111111"/>
          <w:sz w:val="28"/>
          <w:szCs w:val="28"/>
          <w:rtl/>
        </w:rPr>
        <w:t xml:space="preserve">× 26</w:t>
      </w:r>
      <w:r>
        <w:rPr>
          <w:rFonts w:ascii="IRNazanin" w:hAnsi="IRNazanin" w:eastAsia="IRNazanin" w:cs="IRNazanin"/>
          <w:lang w:bidi="fa-IR"/>
          <w:color w:val="111111"/>
          <w:sz w:val="28"/>
          <w:szCs w:val="28"/>
          <w:rtl/>
        </w:rPr>
        <w:t xml:space="preserve">سم [ف: 1 - 303]</w:t>
      </w:r>
    </w:p>
    <w:p>
      <w:pPr>
        <w:pStyle w:val="BookText"/>
      </w:pPr>
      <w:r>
        <w:rPr>
          <w:rFonts w:ascii="IRNazanin" w:hAnsi="IRNazanin" w:eastAsia="IRNazanin" w:cs="IRNazanin"/>
          <w:lang w:bidi="fa-IR"/>
          <w:color w:val="111111"/>
          <w:sz w:val="28"/>
          <w:szCs w:val="28"/>
          <w:rtl/>
        </w:rPr>
        <w:t xml:space="preserve">409 . مشهد؛ رضوی؛ شماره نسخه: 13144</w:t>
      </w:r>
    </w:p>
    <w:p>
      <w:pPr>
        <w:pStyle w:val="BookText"/>
      </w:pPr>
      <w:r>
        <w:rPr>
          <w:rFonts w:ascii="IRNazanin" w:hAnsi="IRNazanin" w:eastAsia="IRNazanin" w:cs="IRNazanin"/>
          <w:lang w:bidi="fa-IR"/>
          <w:color w:val="111111"/>
          <w:sz w:val="28"/>
          <w:szCs w:val="28"/>
          <w:rtl/>
        </w:rPr>
        <w:t xml:space="preserve">آغاز: و هداية الطريق و التمست منه المجازات على ذلك بالترحم علی؛ انجام:برابر</w:t>
      </w:r>
    </w:p>
    <w:p>
      <w:pPr>
        <w:pStyle w:val="BookText"/>
      </w:pPr>
      <w:r>
        <w:rPr>
          <w:rFonts w:ascii="IRNazanin" w:hAnsi="IRNazanin" w:eastAsia="IRNazanin" w:cs="IRNazanin"/>
          <w:lang w:bidi="fa-IR"/>
          <w:color w:val="111111"/>
          <w:sz w:val="28"/>
          <w:szCs w:val="28"/>
          <w:rtl/>
        </w:rPr>
        <w:t xml:space="preserve">خط: نسخ، کا: فصيح بن میر اسماعیل حسنی، تا: شوال 1078 محشی با رموز مختلف؛ اهدایی کاظم مدیر شانه چی در آبان 1362؛ کاغذ: نخودی ،جلد: عنابی، 174گ، اندازه: 12/7</w:t>
      </w:r>
      <w:r>
        <w:rPr>
          <w:rFonts w:ascii="Times New Roman" w:hAnsi="Times New Roman" w:eastAsia="Times New Roman" w:cs="Times New Roman"/>
          <w:lang w:val="en-US" w:bidi="en-US"/>
          <w:color w:val="111111"/>
          <w:sz w:val="28"/>
          <w:szCs w:val="28"/>
          <w:rtl/>
        </w:rPr>
        <w:t xml:space="preserve">×24/6</w:t>
      </w:r>
      <w:r>
        <w:rPr>
          <w:rFonts w:ascii="IRNazanin" w:hAnsi="IRNazanin" w:eastAsia="IRNazanin" w:cs="IRNazanin"/>
          <w:lang w:bidi="fa-IR"/>
          <w:color w:val="111111"/>
          <w:sz w:val="28"/>
          <w:szCs w:val="28"/>
          <w:rtl/>
        </w:rPr>
        <w:t xml:space="preserve">سم [ف: 21/1 - 95]</w:t>
      </w:r>
    </w:p>
    <w:p>
      <w:pPr>
        <w:pStyle w:val="BookText"/>
      </w:pPr>
      <w:r>
        <w:rPr>
          <w:rFonts w:ascii="IRNazanin" w:hAnsi="IRNazanin" w:eastAsia="IRNazanin" w:cs="IRNazanin"/>
          <w:lang w:bidi="fa-IR"/>
          <w:color w:val="111111"/>
          <w:sz w:val="28"/>
          <w:szCs w:val="28"/>
          <w:rtl/>
        </w:rPr>
        <w:t xml:space="preserve">410 . اصفهان؛ علامه فانی (ضیاء الدین)؛ شماره نسخه: 8/1</w:t>
      </w:r>
    </w:p>
    <w:p>
      <w:pPr>
        <w:pStyle w:val="BookText"/>
      </w:pPr>
      <w:r>
        <w:rPr>
          <w:rFonts w:ascii="IRNazanin" w:hAnsi="IRNazanin" w:eastAsia="IRNazanin" w:cs="IRNazanin"/>
          <w:lang w:bidi="fa-IR"/>
          <w:color w:val="111111"/>
          <w:sz w:val="28"/>
          <w:szCs w:val="28"/>
          <w:rtl/>
        </w:rPr>
        <w:t xml:space="preserve">خط: نسخ، کا: محمد تقی هزار جریبی ،تا: 5 محرم 1078ق، جا: اصفهان، مدرسه میرزا رضی شاهزاده؛ جلد: تیماج قهوه ای 205گ( 1 پ- 205 ر)، 15 سطر [سه کتابخانه اصفهان - ف: 85]</w:t>
      </w:r>
    </w:p>
    <w:p>
      <w:pPr>
        <w:pStyle w:val="BookText"/>
      </w:pPr>
      <w:r>
        <w:rPr>
          <w:rFonts w:ascii="IRNazanin" w:hAnsi="IRNazanin" w:eastAsia="IRNazanin" w:cs="IRNazanin"/>
          <w:lang w:bidi="fa-IR"/>
          <w:color w:val="111111"/>
          <w:sz w:val="28"/>
          <w:szCs w:val="28"/>
          <w:rtl/>
        </w:rPr>
        <w:t xml:space="preserve">411.تهران؛ مجلس؛ شماره نسخه: 14662</w:t>
      </w:r>
    </w:p>
    <w:p>
      <w:pPr>
        <w:pStyle w:val="BookText"/>
      </w:pPr>
      <w:r>
        <w:rPr>
          <w:rFonts w:ascii="IRNazanin" w:hAnsi="IRNazanin" w:eastAsia="IRNazanin" w:cs="IRNazanin"/>
          <w:lang w:bidi="fa-IR"/>
          <w:color w:val="111111"/>
          <w:sz w:val="28"/>
          <w:szCs w:val="28"/>
          <w:rtl/>
        </w:rPr>
        <w:t xml:space="preserve">خط: نستعلیق خوب ،كا: على رضا ابن شمس الدین محمد، تا:پنج شنبه 25 ربیع الثانی 1078ق؛ مصحح، محشی ، آغاز نسخه چند یادداشت فقهی؛ تملک: محمد جعفر بن محمد کاظم با دو مهر مربع و بیضوی وی؛ جلد: چرم مشکی ضربی با ترنج و سرترنج، 205گ 15 سطر ، اندازه: 17/8</w:t>
      </w:r>
      <w:r>
        <w:rPr>
          <w:rFonts w:ascii="Times New Roman" w:hAnsi="Times New Roman" w:eastAsia="Times New Roman" w:cs="Times New Roman"/>
          <w:lang w:val="en-US" w:bidi="en-US"/>
          <w:color w:val="111111"/>
          <w:sz w:val="28"/>
          <w:szCs w:val="28"/>
          <w:rtl/>
        </w:rPr>
        <w:t xml:space="preserve">×29/5</w:t>
      </w:r>
      <w:r>
        <w:rPr>
          <w:rFonts w:ascii="IRNazanin" w:hAnsi="IRNazanin" w:eastAsia="IRNazanin" w:cs="IRNazanin"/>
          <w:lang w:bidi="fa-IR"/>
          <w:color w:val="111111"/>
          <w:sz w:val="28"/>
          <w:szCs w:val="28"/>
          <w:rtl/>
        </w:rPr>
        <w:t xml:space="preserve">سم [ف: 41-148]</w:t>
      </w:r>
    </w:p>
    <w:p>
      <w:pPr>
        <w:pStyle w:val="BookText"/>
      </w:pPr>
      <w:r>
        <w:rPr>
          <w:rFonts w:ascii="IRNazanin" w:hAnsi="IRNazanin" w:eastAsia="IRNazanin" w:cs="IRNazanin"/>
          <w:lang w:bidi="fa-IR"/>
          <w:color w:val="111111"/>
          <w:sz w:val="28"/>
          <w:szCs w:val="28"/>
          <w:rtl/>
        </w:rPr>
        <w:t xml:space="preserve">412 . قائن؛ مدرسه جعفریه؛ شماره نسخه: 146</w:t>
      </w:r>
    </w:p>
    <w:p>
      <w:pPr>
        <w:pStyle w:val="BookText"/>
      </w:pPr>
      <w:r>
        <w:rPr>
          <w:rFonts w:ascii="IRNazanin" w:hAnsi="IRNazanin" w:eastAsia="IRNazanin" w:cs="IRNazanin"/>
          <w:lang w:bidi="fa-IR"/>
          <w:color w:val="111111"/>
          <w:sz w:val="28"/>
          <w:szCs w:val="28"/>
          <w:rtl/>
        </w:rPr>
        <w:t xml:space="preserve">خط: نسخ، کا: جلال الدین محمد بجستانی، تا: چهارشنبه 20 شعبان 1079ق؛ مصحح، محشی، در برگ اول چند یادداشت متفرقه؛ تملک: سلطان محمود قائنی؛ جلد: تیماج قرمز ضربی، 236گ، 15 سطر ، اندازه: 18</w:t>
      </w:r>
      <w:r>
        <w:rPr>
          <w:rFonts w:ascii="Times New Roman" w:hAnsi="Times New Roman" w:eastAsia="Times New Roman" w:cs="Times New Roman"/>
          <w:lang w:val="en-US" w:bidi="en-US"/>
          <w:color w:val="111111"/>
          <w:sz w:val="28"/>
          <w:szCs w:val="28"/>
          <w:rtl/>
        </w:rPr>
        <w:t xml:space="preserve">×25 </w:t>
      </w:r>
      <w:r>
        <w:rPr>
          <w:rFonts w:ascii="IRNazanin" w:hAnsi="IRNazanin" w:eastAsia="IRNazanin" w:cs="IRNazanin"/>
          <w:lang w:bidi="fa-IR"/>
          <w:color w:val="111111"/>
          <w:sz w:val="28"/>
          <w:szCs w:val="28"/>
          <w:rtl/>
        </w:rPr>
        <w:t xml:space="preserve">سم [ کتابخانه های قائن-ف:127]</w:t>
      </w:r>
    </w:p>
    <w:p>
      <w:pPr>
        <w:pStyle w:val="BookText"/>
      </w:pPr>
      <w:r>
        <w:rPr>
          <w:rFonts w:ascii="Times New Roman" w:hAnsi="Times New Roman" w:eastAsia="Times New Roman" w:cs="Times New Roman"/>
          <w:lang w:val="en-US" w:bidi="en-US"/>
          <w:color w:val="111111"/>
          <w:sz w:val="28"/>
          <w:szCs w:val="28"/>
          <w:rtl/>
        </w:rPr>
        <w:t xml:space="preserve">413.</w:t>
      </w:r>
    </w:p>
    <w:p>
      <w:pPr>
        <w:pStyle w:val="BookText"/>
      </w:pPr>
      <w:r>
        <w:rPr>
          <w:rFonts w:ascii="IRNazanin" w:hAnsi="IRNazanin" w:eastAsia="IRNazanin" w:cs="IRNazanin"/>
          <w:lang w:bidi="fa-IR"/>
          <w:color w:val="111111"/>
          <w:sz w:val="28"/>
          <w:szCs w:val="28"/>
          <w:rtl/>
        </w:rPr>
        <w:t xml:space="preserve">تهران؛ سپهسالار؛ شماره نسخه: 8400</w:t>
      </w:r>
    </w:p>
    <w:p>
      <w:pPr>
        <w:pStyle w:val="BookText"/>
      </w:pPr>
      <w:r>
        <w:rPr>
          <w:rFonts w:ascii="IRNazanin" w:hAnsi="IRNazanin" w:eastAsia="IRNazanin" w:cs="IRNazanin"/>
          <w:lang w:bidi="fa-IR"/>
          <w:color w:val="111111"/>
          <w:sz w:val="28"/>
          <w:szCs w:val="28"/>
          <w:rtl/>
        </w:rPr>
        <w:t xml:space="preserve">خط: نسخ، كا: سيف الدين محمود بن حاجی ابراهیم، تا: پنج شنبه ذیحجه 1079ق؛ محشی با نشان «ع ل»؛ کاغذ: سپاهانی نخودی، جلد: تیماج سرخ مقوایی ،ضربی 218گ (1پ -218 پ) ، 15 سطر ، اندازه 15/5</w:t>
      </w:r>
      <w:r>
        <w:rPr>
          <w:rFonts w:ascii="Times New Roman" w:hAnsi="Times New Roman" w:eastAsia="Times New Roman" w:cs="Times New Roman"/>
          <w:lang w:val="en-US" w:bidi="en-US"/>
          <w:color w:val="111111"/>
          <w:sz w:val="28"/>
          <w:szCs w:val="28"/>
          <w:rtl/>
        </w:rPr>
        <w:t xml:space="preserve">× 24/5</w:t>
      </w:r>
      <w:r>
        <w:rPr>
          <w:rFonts w:ascii="IRNazanin" w:hAnsi="IRNazanin" w:eastAsia="IRNazanin" w:cs="IRNazanin"/>
          <w:lang w:bidi="fa-IR"/>
          <w:color w:val="111111"/>
          <w:sz w:val="28"/>
          <w:szCs w:val="28"/>
          <w:rtl/>
        </w:rPr>
        <w:t xml:space="preserve">سم [ف: 3 - 106]</w:t>
      </w:r>
    </w:p>
    <w:p>
      <w:pPr>
        <w:pStyle w:val="BookText"/>
      </w:pPr>
      <w:r>
        <w:rPr>
          <w:rFonts w:ascii="Times New Roman" w:hAnsi="Times New Roman" w:eastAsia="Times New Roman" w:cs="Times New Roman"/>
          <w:lang w:val="en-US" w:bidi="en-US"/>
          <w:color w:val="111111"/>
          <w:sz w:val="28"/>
          <w:szCs w:val="28"/>
          <w:rtl/>
        </w:rPr>
        <w:t xml:space="preserve">414.</w:t>
      </w:r>
    </w:p>
    <w:p>
      <w:pPr>
        <w:pStyle w:val="BookText"/>
      </w:pPr>
      <w:r>
        <w:rPr>
          <w:rFonts w:ascii="IRNazanin" w:hAnsi="IRNazanin" w:eastAsia="IRNazanin" w:cs="IRNazanin"/>
          <w:lang w:bidi="fa-IR"/>
          <w:color w:val="111111"/>
          <w:sz w:val="28"/>
          <w:szCs w:val="28"/>
          <w:rtl/>
        </w:rPr>
        <w:t xml:space="preserve">قم؛ مرعشی؛ شماره نسخه: 4136</w:t>
      </w:r>
    </w:p>
    <w:p>
      <w:pPr>
        <w:pStyle w:val="BookText"/>
      </w:pPr>
      <w:r>
        <w:rPr>
          <w:rFonts w:ascii="IRNazanin" w:hAnsi="IRNazanin" w:eastAsia="IRNazanin" w:cs="IRNazanin"/>
          <w:lang w:bidi="fa-IR"/>
          <w:color w:val="111111"/>
          <w:sz w:val="28"/>
          <w:szCs w:val="28"/>
          <w:rtl/>
        </w:rPr>
        <w:t xml:space="preserve">خط : نسخ، کا: محمد شریف بن عبدالحق سبزواری، تا: جمادی الاول 1080ق، جا: هرات به دستور زین العابدين بن محمد باقر حسینی؛ مجدول، دارای ،سرلوح ،مصحح محشی، دارای علامت بلاغ؛ تملک: محمد سلیم بن محمد مهدی؛ جلد: تیماج قهوه ای 322گ، 15 سطر ، اندازه: 10</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سم [ف: 11 - 155]</w:t>
      </w:r>
    </w:p>
    <w:p>
      <w:pPr>
        <w:pStyle w:val="BookText"/>
      </w:pPr>
      <w:r>
        <w:rPr>
          <w:rFonts w:ascii="IRNazanin" w:hAnsi="IRNazanin" w:eastAsia="IRNazanin" w:cs="IRNazanin"/>
          <w:lang w:bidi="fa-IR"/>
          <w:color w:val="111111"/>
          <w:sz w:val="28"/>
          <w:szCs w:val="28"/>
          <w:rtl/>
        </w:rPr>
        <w:t xml:space="preserve">415 . قم؛ مرعشی شماره نسخه: 8201/1</w:t>
      </w:r>
    </w:p>
    <w:p>
      <w:pPr>
        <w:pStyle w:val="BookText"/>
      </w:pPr>
      <w:r>
        <w:rPr>
          <w:rFonts w:ascii="IRNazanin" w:hAnsi="IRNazanin" w:eastAsia="IRNazanin" w:cs="IRNazanin"/>
          <w:lang w:bidi="fa-IR"/>
          <w:color w:val="111111"/>
          <w:sz w:val="28"/>
          <w:szCs w:val="28"/>
          <w:rtl/>
        </w:rPr>
        <w:t xml:space="preserve">خط: نسخ، کا: محمد طاهر بن محمد نورالدین حسینی، تا: چهارشنبه 19 جمادی الاول 1080ق؛ مصحح، محشی؛ جلد: تیماج قهوه ای عطف تیماج ،مشکی، 146گ (2پ-147ر)، اندازه: 18</w:t>
      </w:r>
      <w:r>
        <w:rPr>
          <w:rFonts w:ascii="Times New Roman" w:hAnsi="Times New Roman" w:eastAsia="Times New Roman" w:cs="Times New Roman"/>
          <w:lang w:val="en-US" w:bidi="en-US"/>
          <w:color w:val="111111"/>
          <w:sz w:val="28"/>
          <w:szCs w:val="28"/>
          <w:rtl/>
        </w:rPr>
        <w:t xml:space="preserve">× 26 </w:t>
      </w:r>
      <w:r>
        <w:rPr>
          <w:rFonts w:ascii="IRNazanin" w:hAnsi="IRNazanin" w:eastAsia="IRNazanin" w:cs="IRNazanin"/>
          <w:lang w:bidi="fa-IR"/>
          <w:color w:val="111111"/>
          <w:sz w:val="28"/>
          <w:szCs w:val="28"/>
          <w:rtl/>
        </w:rPr>
        <w:t xml:space="preserve">سم [ف: 21 - 174]</w:t>
      </w:r>
    </w:p>
    <w:p>
      <w:pPr>
        <w:pStyle w:val="BookText"/>
      </w:pPr>
      <w:r>
        <w:rPr>
          <w:rFonts w:ascii="IRNazanin" w:hAnsi="IRNazanin" w:eastAsia="IRNazanin" w:cs="IRNazanin"/>
          <w:lang w:bidi="fa-IR"/>
          <w:color w:val="111111"/>
          <w:sz w:val="28"/>
          <w:szCs w:val="28"/>
          <w:rtl/>
        </w:rPr>
        <w:t xml:space="preserve">416 . قم؛ مرکز احیاء؛ شماره نسخه: 3049</w:t>
      </w:r>
    </w:p>
    <w:p>
      <w:pPr>
        <w:pStyle w:val="BookText"/>
      </w:pPr>
      <w:r>
        <w:rPr>
          <w:rFonts w:ascii="Amiri" w:hAnsi="Amiri" w:eastAsia="Amiri" w:cs="Amiri"/>
          <w:lang w:bidi="ar-SA"/>
          <w:color w:val="111111"/>
          <w:sz w:val="28"/>
          <w:szCs w:val="28"/>
          <w:rtl/>
        </w:rPr>
        <w:t xml:space="preserve">آغاز: من رؤس الاصابع الى الكعبين و هما مجمع القدم و اصل الساق</w:t>
      </w:r>
    </w:p>
    <w:p>
      <w:pPr>
        <w:pStyle w:val="BookText"/>
      </w:pPr>
      <w:r>
        <w:rPr>
          <w:rFonts w:ascii="IRNazanin" w:hAnsi="IRNazanin" w:eastAsia="IRNazanin" w:cs="IRNazanin"/>
          <w:lang w:bidi="fa-IR"/>
          <w:color w:val="111111"/>
          <w:sz w:val="28"/>
          <w:szCs w:val="28"/>
          <w:rtl/>
        </w:rPr>
        <w:t xml:space="preserve">خط: نستعلیق، کا: محمدرضا بن حاجی محمد شولستانی ساکن ،شیراز، تا: 23 ذیحجه 1080ق؛ افتادگی: آغاز؛ مصحح، محشی؛ مهر: کتابخانه فضل الله نوری (مربع)؛ جلد: تیماج قهوه ای مجدول بدون مقوا، 161گ، 16 سطر ، اندازه: 18/5</w:t>
      </w:r>
      <w:r>
        <w:rPr>
          <w:rFonts w:ascii="Times New Roman" w:hAnsi="Times New Roman" w:eastAsia="Times New Roman" w:cs="Times New Roman"/>
          <w:lang w:val="en-US" w:bidi="en-US"/>
          <w:color w:val="111111"/>
          <w:sz w:val="28"/>
          <w:szCs w:val="28"/>
          <w:rtl/>
        </w:rPr>
        <w:t xml:space="preserve">×24/5</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[محدث ارموی مخ: 1 - 111]</w:t>
      </w:r>
    </w:p>
    <w:p>
      <w:pPr>
        <w:pStyle w:val="BookText"/>
      </w:pPr>
      <w:r>
        <w:rPr>
          <w:rFonts w:ascii="IRNazanin" w:hAnsi="IRNazanin" w:eastAsia="IRNazanin" w:cs="IRNazanin"/>
          <w:lang w:bidi="fa-IR"/>
          <w:color w:val="111111"/>
          <w:sz w:val="28"/>
          <w:szCs w:val="28"/>
          <w:rtl/>
        </w:rPr>
        <w:t xml:space="preserve">417 . مشهد؛ رضوی؛ شماره نسخه: 2221</w:t>
      </w:r>
    </w:p>
    <w:p>
      <w:pPr>
        <w:pStyle w:val="BookText"/>
      </w:pPr>
      <w:r>
        <w:rPr>
          <w:rFonts w:ascii="IRNazanin" w:hAnsi="IRNazanin" w:eastAsia="IRNazanin" w:cs="IRNazanin"/>
          <w:lang w:bidi="fa-IR"/>
          <w:color w:val="111111"/>
          <w:sz w:val="28"/>
          <w:szCs w:val="28"/>
          <w:rtl/>
        </w:rPr>
        <w:t xml:space="preserve">آغاز و انجام: برابر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 نسخ، کا: عبدالغفار بن محمد صالح دارانی رشتی، تا:ربیع الثانی 1081ق؛ محشى؛ واقف: نادر شاه 1145 كاغذ: شكری آهار مهره ،جلد: تیماج مشکی، 402گ، 13 سطر 13 </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سم [ف: 21/1 - 68]</w:t>
      </w:r>
    </w:p>
    <w:p>
      <w:pPr>
        <w:pStyle w:val="BookText"/>
      </w:pPr>
      <w:r>
        <w:rPr>
          <w:rFonts w:ascii="IRNazanin" w:hAnsi="IRNazanin" w:eastAsia="IRNazanin" w:cs="IRNazanin"/>
          <w:lang w:bidi="fa-IR"/>
          <w:color w:val="111111"/>
          <w:sz w:val="28"/>
          <w:szCs w:val="28"/>
          <w:rtl/>
        </w:rPr>
        <w:t xml:space="preserve">418 سمنان؛ عمومی؛ شماره نسخه: 8</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قنبر علی بن زین العابدین استر آبادی تا شنبه غره  صفر 1082ق؛ مصحح محشی با نشان «منه» و«ع ل» ،دیگر دارای علامت بلاغ؛ جلد: گالینگور قهوه ای، 224گ، 18سطر ، اندازه: 13</w:t>
      </w:r>
      <w:r>
        <w:rPr>
          <w:rFonts w:ascii="Times New Roman" w:hAnsi="Times New Roman" w:eastAsia="Times New Roman" w:cs="Times New Roman"/>
          <w:lang w:val="en-US" w:bidi="en-US"/>
          <w:color w:val="111111"/>
          <w:sz w:val="28"/>
          <w:szCs w:val="28"/>
          <w:rtl/>
        </w:rPr>
        <w:t xml:space="preserve">×19/5</w:t>
      </w:r>
      <w:r>
        <w:rPr>
          <w:rFonts w:ascii="IRNazanin" w:hAnsi="IRNazanin" w:eastAsia="IRNazanin" w:cs="IRNazanin"/>
          <w:lang w:bidi="fa-IR"/>
          <w:color w:val="111111"/>
          <w:sz w:val="28"/>
          <w:szCs w:val="28"/>
          <w:rtl/>
        </w:rPr>
        <w:t xml:space="preserve">سم [ف مخ: ]</w:t>
      </w:r>
    </w:p>
    <w:p>
      <w:pPr>
        <w:pStyle w:val="BookText"/>
      </w:pPr>
      <w:r>
        <w:rPr>
          <w:rFonts w:ascii="Times New Roman" w:hAnsi="Times New Roman" w:eastAsia="Times New Roman" w:cs="Times New Roman"/>
          <w:lang w:val="en-US" w:bidi="en-US"/>
          <w:color w:val="111111"/>
          <w:sz w:val="28"/>
          <w:szCs w:val="28"/>
          <w:rtl/>
        </w:rPr>
        <w:t xml:space="preserve">419.</w:t>
      </w:r>
    </w:p>
    <w:p>
      <w:pPr>
        <w:pStyle w:val="BookText"/>
      </w:pPr>
      <w:r>
        <w:rPr>
          <w:rFonts w:ascii="IRNazanin" w:hAnsi="IRNazanin" w:eastAsia="IRNazanin" w:cs="IRNazanin"/>
          <w:lang w:bidi="fa-IR"/>
          <w:color w:val="111111"/>
          <w:sz w:val="28"/>
          <w:szCs w:val="28"/>
          <w:rtl/>
        </w:rPr>
        <w:t xml:space="preserve">قم؛ مرکز احیاء؛ شماره نسخه:3395</w:t>
      </w:r>
    </w:p>
    <w:p>
      <w:pPr>
        <w:pStyle w:val="BookText"/>
      </w:pPr>
      <w:r>
        <w:rPr>
          <w:rFonts w:ascii="IRNazanin" w:hAnsi="IRNazanin" w:eastAsia="IRNazanin" w:cs="IRNazanin"/>
          <w:lang w:bidi="fa-IR"/>
          <w:color w:val="111111"/>
          <w:sz w:val="28"/>
          <w:szCs w:val="28"/>
          <w:rtl/>
        </w:rPr>
        <w:t xml:space="preserve">خط: نسخ، کا: حسین بن منصور سبزواری ،تا: شعبان 1082 ،مصحح محشى؛ وقف نامه کتاب با مهر «معزالدین محمد الحسینی» (مربع)؛ جلد: تیماج مشکی ،ضربی 148گ 19 سطر اندازه: 17/5</w:t>
      </w:r>
      <w:r>
        <w:rPr>
          <w:rFonts w:ascii="Times New Roman" w:hAnsi="Times New Roman" w:eastAsia="Times New Roman" w:cs="Times New Roman"/>
          <w:lang w:val="en-US" w:bidi="en-US"/>
          <w:color w:val="111111"/>
          <w:sz w:val="28"/>
          <w:szCs w:val="28"/>
          <w:rtl/>
        </w:rPr>
        <w:t xml:space="preserve">×25/5</w:t>
      </w:r>
      <w:r>
        <w:rPr>
          <w:rFonts w:ascii="IRNazanin" w:hAnsi="IRNazanin" w:eastAsia="IRNazanin" w:cs="IRNazanin"/>
          <w:lang w:bidi="fa-IR"/>
          <w:color w:val="111111"/>
          <w:sz w:val="28"/>
          <w:szCs w:val="28"/>
          <w:rtl/>
        </w:rPr>
        <w:t xml:space="preserve">سم [محدث ارموی مخ: 1 - 110]</w:t>
      </w:r>
    </w:p>
    <w:p>
      <w:pPr>
        <w:pStyle w:val="BookText"/>
      </w:pPr>
      <w:r>
        <w:rPr>
          <w:rFonts w:ascii="IRNazanin" w:hAnsi="IRNazanin" w:eastAsia="IRNazanin" w:cs="IRNazanin"/>
          <w:lang w:bidi="fa-IR"/>
          <w:color w:val="111111"/>
          <w:sz w:val="28"/>
          <w:szCs w:val="28"/>
          <w:rtl/>
        </w:rPr>
        <w:t xml:space="preserve">420 . زنجان؛ امام جمعه؛ شماره نسخه: 165</w:t>
      </w:r>
    </w:p>
    <w:p>
      <w:pPr>
        <w:pStyle w:val="BookText"/>
      </w:pPr>
      <w:r>
        <w:rPr>
          <w:rFonts w:ascii="IRNazanin" w:hAnsi="IRNazanin" w:eastAsia="IRNazanin" w:cs="IRNazanin"/>
          <w:lang w:bidi="fa-IR"/>
          <w:color w:val="111111"/>
          <w:sz w:val="28"/>
          <w:szCs w:val="28"/>
          <w:rtl/>
        </w:rPr>
        <w:t xml:space="preserve">خط: نسخ، کا: نظرعلی بن احمد ،طالقانی، تا: 7 رمضان 1082ق ؛جا: قزوین؛ مصحح ،محشی، در دو برگ آغازین یادداشتی درباره کتاب حاضر به خط سید عزالدین حسینی موسوی به 1392ق، یادداشت وقف کتاب از حاجی آقا میرزا و مهر دایری وقف کتاب بر خزانه مجتهدیه، در برگ پایانی یادداشتی به نقل شهید اول در تعداد انبیاء و اشعاری فارسی در معما با جواب آن ؛جلد: تیماج قرمز سرطبل ،دار 157گ 18 سطر ، اندازه:19</w:t>
      </w:r>
      <w:r>
        <w:rPr>
          <w:rFonts w:ascii="Times New Roman" w:hAnsi="Times New Roman" w:eastAsia="Times New Roman" w:cs="Times New Roman"/>
          <w:lang w:val="en-US" w:bidi="en-US"/>
          <w:color w:val="111111"/>
          <w:sz w:val="28"/>
          <w:szCs w:val="28"/>
          <w:rtl/>
        </w:rPr>
        <w:t xml:space="preserve">×24/5 </w:t>
      </w:r>
      <w:r>
        <w:rPr>
          <w:rFonts w:ascii="Amiri" w:hAnsi="Amiri" w:eastAsia="Amiri" w:cs="Amiri"/>
          <w:lang w:bidi="ar-SA"/>
          <w:color w:val="111111"/>
          <w:sz w:val="28"/>
          <w:szCs w:val="28"/>
          <w:rtl/>
        </w:rPr>
        <w:t xml:space="preserve">سم [اوراق عتيق 1 - 185]</w:t>
      </w:r>
    </w:p>
    <w:p>
      <w:pPr>
        <w:pStyle w:val="BookText"/>
      </w:pPr>
      <w:r>
        <w:rPr>
          <w:rFonts w:ascii="Times New Roman" w:hAnsi="Times New Roman" w:eastAsia="Times New Roman" w:cs="Times New Roman"/>
          <w:lang w:val="en-US" w:bidi="en-US"/>
          <w:color w:val="111111"/>
          <w:sz w:val="28"/>
          <w:szCs w:val="28"/>
          <w:rtl/>
        </w:rPr>
        <w:t xml:space="preserve">421.</w:t>
      </w:r>
    </w:p>
    <w:p>
      <w:pPr>
        <w:pStyle w:val="BookText"/>
      </w:pPr>
      <w:r>
        <w:rPr>
          <w:rFonts w:ascii="IRNazanin" w:hAnsi="IRNazanin" w:eastAsia="IRNazanin" w:cs="IRNazanin"/>
          <w:lang w:bidi="fa-IR"/>
          <w:color w:val="111111"/>
          <w:sz w:val="28"/>
          <w:szCs w:val="28"/>
          <w:rtl/>
        </w:rPr>
        <w:t xml:space="preserve">اصفهان؛ دانشگاه؛ شماره نسخه:75</w:t>
      </w:r>
    </w:p>
    <w:p>
      <w:pPr>
        <w:pStyle w:val="BookText"/>
      </w:pPr>
      <w:r>
        <w:rPr>
          <w:rFonts w:ascii="IRNazanin" w:hAnsi="IRNazanin" w:eastAsia="IRNazanin" w:cs="IRNazanin"/>
          <w:lang w:bidi="fa-IR"/>
          <w:color w:val="111111"/>
          <w:sz w:val="28"/>
          <w:szCs w:val="28"/>
          <w:rtl/>
        </w:rPr>
        <w:t xml:space="preserve">خط: نسخ، کا: محمد قاسم بن محمد شولستانی تا 26 جمادی الاول 1082ق؛ :کاغذ: فرنگی [ نشریه 11 - 882]</w:t>
      </w:r>
    </w:p>
    <w:p>
      <w:pPr>
        <w:pStyle w:val="BookText"/>
      </w:pPr>
      <w:r>
        <w:rPr>
          <w:rFonts w:ascii="Times New Roman" w:hAnsi="Times New Roman" w:eastAsia="Times New Roman" w:cs="Times New Roman"/>
          <w:lang w:val="en-US" w:bidi="en-US"/>
          <w:color w:val="111111"/>
          <w:sz w:val="28"/>
          <w:szCs w:val="28"/>
          <w:rtl/>
        </w:rPr>
        <w:t xml:space="preserve">422.</w:t>
      </w:r>
    </w:p>
    <w:p>
      <w:pPr>
        <w:pStyle w:val="BookText"/>
      </w:pPr>
      <w:r>
        <w:rPr>
          <w:rFonts w:ascii="IRNazanin" w:hAnsi="IRNazanin" w:eastAsia="IRNazanin" w:cs="IRNazanin"/>
          <w:lang w:bidi="fa-IR"/>
          <w:color w:val="111111"/>
          <w:sz w:val="28"/>
          <w:szCs w:val="28"/>
          <w:rtl/>
        </w:rPr>
        <w:t xml:space="preserve">تبریز؛ تربیت؛ شماره نسخه: 138</w:t>
      </w:r>
    </w:p>
    <w:p>
      <w:pPr>
        <w:pStyle w:val="BookText"/>
      </w:pPr>
      <w:r>
        <w:rPr>
          <w:rFonts w:ascii="IRNazanin" w:hAnsi="IRNazanin" w:eastAsia="IRNazanin" w:cs="IRNazanin"/>
          <w:lang w:bidi="fa-IR"/>
          <w:color w:val="111111"/>
          <w:sz w:val="28"/>
          <w:szCs w:val="28"/>
          <w:rtl/>
        </w:rPr>
        <w:t xml:space="preserve">كا: عبدالغنى بن حاجی شعبان ،تونی تا 1082ق [ف: 23]</w:t>
      </w:r>
    </w:p>
    <w:p>
      <w:pPr>
        <w:pStyle w:val="BookText"/>
      </w:pPr>
      <w:r>
        <w:rPr>
          <w:rFonts w:ascii="IRNazanin" w:hAnsi="IRNazanin" w:eastAsia="IRNazanin" w:cs="IRNazanin"/>
          <w:lang w:bidi="fa-IR"/>
          <w:color w:val="111111"/>
          <w:sz w:val="28"/>
          <w:szCs w:val="28"/>
          <w:rtl/>
        </w:rPr>
        <w:t xml:space="preserve">423 . مشهد؛ امام هادی؛ شماره نسخه: 98</w:t>
      </w:r>
    </w:p>
    <w:p>
      <w:pPr>
        <w:pStyle w:val="BookText"/>
      </w:pPr>
      <w:r>
        <w:rPr>
          <w:rFonts w:ascii="IRNazanin" w:hAnsi="IRNazanin" w:eastAsia="IRNazanin" w:cs="IRNazanin"/>
          <w:lang w:bidi="fa-IR"/>
          <w:color w:val="111111"/>
          <w:sz w:val="28"/>
          <w:szCs w:val="28"/>
          <w:rtl/>
        </w:rPr>
        <w:t xml:space="preserve">خط: نسخ،کا: محمد رضا بیک بن محمد قلی ،گرجی، تا: دوشنبه 26 محرم</w:t>
      </w:r>
    </w:p>
    <w:p>
      <w:pPr>
        <w:pStyle w:val="BookText"/>
      </w:pPr>
      <w:r>
        <w:rPr>
          <w:rFonts w:ascii="IRNazanin" w:hAnsi="IRNazanin" w:eastAsia="IRNazanin" w:cs="IRNazanin"/>
          <w:lang w:bidi="fa-IR"/>
          <w:color w:val="111111"/>
          <w:sz w:val="28"/>
          <w:szCs w:val="28"/>
          <w:rtl/>
        </w:rPr>
        <w:t xml:space="preserve">1083ق؛ مصحح، محشی؛ جلد: پارچه ای، 243گ ، 16سطر ، اندازه:15</w:t>
      </w:r>
      <w:r>
        <w:rPr>
          <w:rFonts w:ascii="Times New Roman" w:hAnsi="Times New Roman" w:eastAsia="Times New Roman" w:cs="Times New Roman"/>
          <w:lang w:val="en-US" w:bidi="en-US"/>
          <w:color w:val="111111"/>
          <w:sz w:val="28"/>
          <w:szCs w:val="28"/>
          <w:rtl/>
        </w:rPr>
        <w:t xml:space="preserve">×24/5</w:t>
      </w:r>
      <w:r>
        <w:rPr>
          <w:rFonts w:ascii="IRNazanin" w:hAnsi="IRNazanin" w:eastAsia="IRNazanin" w:cs="IRNazanin"/>
          <w:lang w:bidi="fa-IR"/>
          <w:color w:val="111111"/>
          <w:sz w:val="28"/>
          <w:szCs w:val="28"/>
          <w:rtl/>
        </w:rPr>
        <w:t xml:space="preserve">سم [ف: 73]</w:t>
      </w:r>
    </w:p>
    <w:p>
      <w:pPr>
        <w:pStyle w:val="BookText"/>
      </w:pPr>
      <w:r>
        <w:rPr>
          <w:rFonts w:ascii="IRNazanin" w:hAnsi="IRNazanin" w:eastAsia="IRNazanin" w:cs="IRNazanin"/>
          <w:lang w:bidi="fa-IR"/>
          <w:color w:val="111111"/>
          <w:sz w:val="28"/>
          <w:szCs w:val="28"/>
          <w:rtl/>
        </w:rPr>
        <w:t xml:space="preserve">424 . مشهد؛ رضوی؛ شماره نسخه: 11632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رمضان علی بن محمد علی اصفهانی، تا: 17 رمضان 1083ق؛ محشی با نشان «محمد باقر دام ظله» و «شیخ فخر الدین» و غیره؛ واقف: حسن فريد محسنی، شهریور 1354؛ کاغذ: نخودی آهار مهره ، جلد: میشن ،عنابی 194گ 15 و 16سطر ، اندازه: 19/5</w:t>
      </w:r>
      <w:r>
        <w:rPr>
          <w:rFonts w:ascii="Times New Roman" w:hAnsi="Times New Roman" w:eastAsia="Times New Roman" w:cs="Times New Roman"/>
          <w:lang w:val="en-US" w:bidi="en-US"/>
          <w:color w:val="111111"/>
          <w:sz w:val="28"/>
          <w:szCs w:val="28"/>
          <w:rtl/>
        </w:rPr>
        <w:t xml:space="preserve">×24/3</w:t>
      </w:r>
      <w:r>
        <w:rPr>
          <w:rFonts w:ascii="IRNazanin" w:hAnsi="IRNazanin" w:eastAsia="IRNazanin" w:cs="IRNazanin"/>
          <w:lang w:bidi="fa-IR"/>
          <w:color w:val="111111"/>
          <w:sz w:val="28"/>
          <w:szCs w:val="28"/>
          <w:rtl/>
        </w:rPr>
        <w:t xml:space="preserve">سم [ف: 21/1 - 74]</w:t>
      </w:r>
    </w:p>
    <w:p>
      <w:pPr>
        <w:pStyle w:val="BookText"/>
      </w:pPr>
      <w:r>
        <w:rPr>
          <w:rFonts w:ascii="Times New Roman" w:hAnsi="Times New Roman" w:eastAsia="Times New Roman" w:cs="Times New Roman"/>
          <w:lang w:val="en-US" w:bidi="en-US"/>
          <w:color w:val="111111"/>
          <w:sz w:val="28"/>
          <w:szCs w:val="28"/>
          <w:rtl/>
        </w:rPr>
        <w:t xml:space="preserve">425.</w:t>
      </w:r>
    </w:p>
    <w:p>
      <w:pPr>
        <w:pStyle w:val="BookText"/>
      </w:pPr>
      <w:r>
        <w:rPr>
          <w:rFonts w:ascii="IRNazanin" w:hAnsi="IRNazanin" w:eastAsia="IRNazanin" w:cs="IRNazanin"/>
          <w:lang w:bidi="fa-IR"/>
          <w:color w:val="111111"/>
          <w:sz w:val="28"/>
          <w:szCs w:val="28"/>
          <w:rtl/>
        </w:rPr>
        <w:t xml:space="preserve">مشهد؛ مدرسه سلیمانیه؛ شماره نسخه: 96</w:t>
      </w:r>
    </w:p>
    <w:p>
      <w:pPr>
        <w:pStyle w:val="BookText"/>
      </w:pPr>
      <w:r>
        <w:rPr>
          <w:rFonts w:ascii="IRNazanin" w:hAnsi="IRNazanin" w:eastAsia="IRNazanin" w:cs="IRNazanin"/>
          <w:lang w:bidi="fa-IR"/>
          <w:color w:val="111111"/>
          <w:sz w:val="28"/>
          <w:szCs w:val="28"/>
          <w:rtl/>
        </w:rPr>
        <w:t xml:space="preserve">خط : نسخ، كا: على اكبر بن حاجی سلطان محمد دامغانی ، 1083ق؛ محشی، مقابله شده؛ قطع: خشتی [چهار کتابخانه -مشهد ف:-5]</w:t>
      </w:r>
    </w:p>
    <w:p>
      <w:pPr>
        <w:pStyle w:val="BookText"/>
      </w:pPr>
      <w:r>
        <w:rPr>
          <w:rFonts w:ascii="IRNazanin" w:hAnsi="IRNazanin" w:eastAsia="IRNazanin" w:cs="IRNazanin"/>
          <w:lang w:bidi="fa-IR"/>
          <w:color w:val="111111"/>
          <w:sz w:val="28"/>
          <w:szCs w:val="28"/>
          <w:rtl/>
        </w:rPr>
        <w:t xml:space="preserve">426 مشهد؛ رضوی؛ شماره نسخه: 2225</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محمد ابراهیم بن جمشید بیگ شیرازی، تا: 1 صفر 1084ق؛ محشى؛ واقف: نجف بن جمشید؛ کاغذ: نخودی آهار مهره، جلد: تیماج ،مشکی، 377گ 14 سطر ، اندازه: 12</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سم [ف: 21/1 - 69]</w:t>
      </w:r>
    </w:p>
    <w:p>
      <w:pPr>
        <w:pStyle w:val="BookText"/>
      </w:pPr>
      <w:r>
        <w:rPr>
          <w:rFonts w:ascii="IRNazanin" w:hAnsi="IRNazanin" w:eastAsia="IRNazanin" w:cs="IRNazanin"/>
          <w:lang w:bidi="fa-IR"/>
          <w:color w:val="111111"/>
          <w:sz w:val="28"/>
          <w:szCs w:val="28"/>
          <w:rtl/>
        </w:rPr>
        <w:t xml:space="preserve">427 . مشهد؛ رضوی؛ شماره نسخه: 14541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سلیمان بن برخوردار، تا: یکشنبه 20 ربيع الاول 1084ق؛ واقف: سيد محمد باقر ،سبزواری محرم 1405؛ کاغذ: نخودی آهار مهره، جلد: تیماج 144گ، اندازه: 16</w:t>
      </w:r>
      <w:r>
        <w:rPr>
          <w:rFonts w:ascii="Times New Roman" w:hAnsi="Times New Roman" w:eastAsia="Times New Roman" w:cs="Times New Roman"/>
          <w:lang w:val="en-US" w:bidi="en-US"/>
          <w:color w:val="111111"/>
          <w:sz w:val="28"/>
          <w:szCs w:val="28"/>
          <w:rtl/>
        </w:rPr>
        <w:t xml:space="preserve">×24</w:t>
      </w:r>
      <w:r>
        <w:rPr>
          <w:rFonts w:ascii="IRNazanin" w:hAnsi="IRNazanin" w:eastAsia="IRNazanin" w:cs="IRNazanin"/>
          <w:lang w:bidi="fa-IR"/>
          <w:color w:val="111111"/>
          <w:sz w:val="28"/>
          <w:szCs w:val="28"/>
          <w:rtl/>
        </w:rPr>
        <w:t xml:space="preserve">سم [ف: 21/1- 85]</w:t>
      </w:r>
    </w:p>
    <w:p>
      <w:pPr>
        <w:pStyle w:val="BookText"/>
      </w:pPr>
      <w:r>
        <w:rPr>
          <w:rFonts w:ascii="IRNazanin" w:hAnsi="IRNazanin" w:eastAsia="IRNazanin" w:cs="IRNazanin"/>
          <w:lang w:bidi="fa-IR"/>
          <w:color w:val="111111"/>
          <w:sz w:val="28"/>
          <w:szCs w:val="28"/>
          <w:rtl/>
        </w:rPr>
        <w:t xml:space="preserve">428.شیراز؛ علامه طباطبائی؛ شماره نسخه: 1206</w:t>
      </w:r>
    </w:p>
    <w:p>
      <w:pPr>
        <w:pStyle w:val="BookText"/>
      </w:pPr>
      <w:r>
        <w:rPr>
          <w:rFonts w:ascii="IRNazanin" w:hAnsi="IRNazanin" w:eastAsia="IRNazanin" w:cs="IRNazanin"/>
          <w:lang w:bidi="fa-IR"/>
          <w:color w:val="111111"/>
          <w:sz w:val="28"/>
          <w:szCs w:val="28"/>
          <w:rtl/>
        </w:rPr>
        <w:t xml:space="preserve">خط: نسخ، حیدر محمد بن سلطان محمد، تا: دوشنبه 25 ربیع الاول 1084ق؛ با حواشی منه رحمه الله؛ تملک: حسین بن علی برکات در غره ذیقعده 1199 امانت بوده نزد سید حسین علوانی در بعلبک و شیخ علی نوعانی؛ 165گ، اندازه: 18</w:t>
      </w:r>
      <w:r>
        <w:rPr>
          <w:rFonts w:ascii="Times New Roman" w:hAnsi="Times New Roman" w:eastAsia="Times New Roman" w:cs="Times New Roman"/>
          <w:lang w:val="en-US" w:bidi="en-US"/>
          <w:color w:val="111111"/>
          <w:sz w:val="28"/>
          <w:szCs w:val="28"/>
          <w:rtl/>
        </w:rPr>
        <w:t xml:space="preserve">×25</w:t>
      </w:r>
      <w:r>
        <w:rPr>
          <w:rFonts w:ascii="IRNazanin" w:hAnsi="IRNazanin" w:eastAsia="IRNazanin" w:cs="IRNazanin"/>
          <w:lang w:bidi="fa-IR"/>
          <w:color w:val="111111"/>
          <w:sz w:val="28"/>
          <w:szCs w:val="28"/>
          <w:rtl/>
        </w:rPr>
        <w:t xml:space="preserve">سم [ نسخه پژوهی 2 - 110]</w:t>
      </w:r>
    </w:p>
    <w:p>
      <w:pPr>
        <w:pStyle w:val="BookText"/>
      </w:pPr>
      <w:r>
        <w:rPr>
          <w:rFonts w:ascii="IRNazanin" w:hAnsi="IRNazanin" w:eastAsia="IRNazanin" w:cs="IRNazanin"/>
          <w:lang w:bidi="fa-IR"/>
          <w:color w:val="111111"/>
          <w:sz w:val="28"/>
          <w:szCs w:val="28"/>
          <w:rtl/>
        </w:rPr>
        <w:t xml:space="preserve">429 . مشهد؛ شیخ علی حیدر؛ شماره نسخه: 373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محمد أمين بن محمد علی استرآبادی، تا: سه شنبه 3جمادى الأول 1084ق؛ محشی با نشان «ع ل»، «منه»؛ تملک: ابن حاجی محمد المدعو بحمرة، محمد ارهمنون الهمداني في 1155 با مهر بیضوی، محمد امین؛ جلد: چرم سیاه، 143گ، 19 سطر ، اندازه: 18</w:t>
      </w:r>
      <w:r>
        <w:rPr>
          <w:rFonts w:ascii="Times New Roman" w:hAnsi="Times New Roman" w:eastAsia="Times New Roman" w:cs="Times New Roman"/>
          <w:lang w:val="en-US" w:bidi="en-US"/>
          <w:color w:val="111111"/>
          <w:sz w:val="28"/>
          <w:szCs w:val="28"/>
          <w:rtl/>
        </w:rPr>
        <w:t xml:space="preserve">×25</w:t>
      </w:r>
      <w:r>
        <w:rPr>
          <w:rFonts w:ascii="Amiri" w:hAnsi="Amiri" w:eastAsia="Amiri" w:cs="Amiri"/>
          <w:lang w:bidi="ar-SA"/>
          <w:color w:val="111111"/>
          <w:sz w:val="28"/>
          <w:szCs w:val="28"/>
          <w:rtl/>
        </w:rPr>
        <w:t xml:space="preserve">سم [مؤيد: 1 - 312]</w:t>
      </w:r>
    </w:p>
    <w:p>
      <w:pPr>
        <w:pStyle w:val="BookText"/>
      </w:pPr>
      <w:r>
        <w:rPr>
          <w:rFonts w:ascii="IRNazanin" w:hAnsi="IRNazanin" w:eastAsia="IRNazanin" w:cs="IRNazanin"/>
          <w:lang w:bidi="fa-IR"/>
          <w:color w:val="111111"/>
          <w:sz w:val="28"/>
          <w:szCs w:val="28"/>
          <w:rtl/>
        </w:rPr>
        <w:t xml:space="preserve">430 . مشهد؛ رضوی؛ شماره نسخه: 37533</w:t>
      </w:r>
    </w:p>
    <w:p>
      <w:pPr>
        <w:pStyle w:val="BookText"/>
      </w:pPr>
      <w:r>
        <w:rPr>
          <w:rFonts w:ascii="IRNazanin" w:hAnsi="IRNazanin" w:eastAsia="IRNazanin" w:cs="IRNazanin"/>
          <w:lang w:bidi="fa-IR"/>
          <w:color w:val="111111"/>
          <w:sz w:val="28"/>
          <w:szCs w:val="28"/>
          <w:rtl/>
        </w:rPr>
        <w:t xml:space="preserve">خط: نسخ ،خوش، کا: محمد امین بن محمد علی استرآبادی، تا: سه شنبه 3 جمادی الاول 1084ق؛ مصحح، محشی؛ اهدائی رهبری مهر 1386؛ کاغذ: نخودی آهار مهره، جلد: دفه اول میشن مشکی دفه دوم میشن قهوه ای عطف میشن ،مشکی، 144گ، 19 سطر ، اندازه: 18/5</w:t>
      </w:r>
      <w:r>
        <w:rPr>
          <w:rFonts w:ascii="Times New Roman" w:hAnsi="Times New Roman" w:eastAsia="Times New Roman" w:cs="Times New Roman"/>
          <w:lang w:val="en-US" w:bidi="en-US"/>
          <w:color w:val="111111"/>
          <w:sz w:val="28"/>
          <w:szCs w:val="28"/>
          <w:rtl/>
        </w:rPr>
        <w:t xml:space="preserve">×25</w:t>
      </w:r>
      <w:r>
        <w:rPr>
          <w:rFonts w:ascii="IRNazanin" w:hAnsi="IRNazanin" w:eastAsia="IRNazanin" w:cs="IRNazanin"/>
          <w:lang w:bidi="fa-IR"/>
          <w:color w:val="111111"/>
          <w:sz w:val="28"/>
          <w:szCs w:val="28"/>
          <w:rtl/>
        </w:rPr>
        <w:t xml:space="preserve">سم [اهدائی - ف: 3 - 51]</w:t>
      </w:r>
    </w:p>
    <w:p>
      <w:pPr>
        <w:pStyle w:val="BookText"/>
      </w:pPr>
      <w:r>
        <w:rPr>
          <w:rFonts w:ascii="Times New Roman" w:hAnsi="Times New Roman" w:eastAsia="Times New Roman" w:cs="Times New Roman"/>
          <w:lang w:val="en-US" w:bidi="en-US"/>
          <w:color w:val="111111"/>
          <w:sz w:val="28"/>
          <w:szCs w:val="28"/>
          <w:rtl/>
        </w:rPr>
        <w:t xml:space="preserve">431.</w:t>
      </w:r>
    </w:p>
    <w:p>
      <w:pPr>
        <w:pStyle w:val="BookText"/>
      </w:pPr>
      <w:r>
        <w:rPr>
          <w:rFonts w:ascii="IRNazanin" w:hAnsi="IRNazanin" w:eastAsia="IRNazanin" w:cs="IRNazanin"/>
          <w:lang w:bidi="fa-IR"/>
          <w:color w:val="111111"/>
          <w:sz w:val="28"/>
          <w:szCs w:val="28"/>
          <w:rtl/>
        </w:rPr>
        <w:t xml:space="preserve">قم؛ مرعشی؛ شماره نسخه: 1248</w:t>
      </w:r>
    </w:p>
    <w:p>
      <w:pPr>
        <w:pStyle w:val="BookText"/>
      </w:pPr>
      <w:r>
        <w:rPr>
          <w:rFonts w:ascii="Amiri" w:hAnsi="Amiri" w:eastAsia="Amiri" w:cs="Amiri"/>
          <w:lang w:bidi="ar-SA"/>
          <w:color w:val="111111"/>
          <w:sz w:val="28"/>
          <w:szCs w:val="28"/>
          <w:rtl/>
        </w:rPr>
        <w:t xml:space="preserve">آغاز: و في قدر الثمن المشترى به على رأى</w:t>
      </w:r>
    </w:p>
    <w:p>
      <w:pPr>
        <w:pStyle w:val="BookText"/>
      </w:pPr>
      <w:r>
        <w:rPr>
          <w:rFonts w:ascii="IRNazanin" w:hAnsi="IRNazanin" w:eastAsia="IRNazanin" w:cs="IRNazanin"/>
          <w:lang w:bidi="fa-IR"/>
          <w:color w:val="111111"/>
          <w:sz w:val="28"/>
          <w:szCs w:val="28"/>
          <w:rtl/>
        </w:rPr>
        <w:t xml:space="preserve">نیمه دوم کتاب، از کتاب التجارة؛ خط: نسخ، کا: محمد بن علی بن محمود ،جزائری تا شب 15 رمضان 1084ق؛ افتادگی: آغاز ،مصحح ،محشی دارای علامت ،بلاغ در صفحه آخر اجازه تدريس کتاب از سید نعمت الله جزائری به جهت کاتب به تاریخ</w:t>
      </w:r>
    </w:p>
    <w:p>
      <w:pPr>
        <w:pStyle w:val="BookText"/>
      </w:pPr>
      <w:r>
        <w:rPr>
          <w:rFonts w:ascii="IRNazanin" w:hAnsi="IRNazanin" w:eastAsia="IRNazanin" w:cs="IRNazanin"/>
          <w:lang w:bidi="fa-IR"/>
          <w:color w:val="111111"/>
          <w:sz w:val="28"/>
          <w:szCs w:val="28"/>
          <w:rtl/>
        </w:rPr>
        <w:t xml:space="preserve">محرم 1086 ؛جلد: تیماج سبز، 306گ، 15 سطر، اندازه:15</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4 - 47]</w:t>
      </w:r>
    </w:p>
    <w:p>
      <w:pPr>
        <w:pStyle w:val="BookText"/>
      </w:pPr>
      <w:r>
        <w:rPr>
          <w:rFonts w:ascii="Amiri" w:hAnsi="Amiri" w:eastAsia="Amiri" w:cs="Amiri"/>
          <w:lang w:bidi="ar-SA"/>
          <w:color w:val="111111"/>
          <w:sz w:val="28"/>
          <w:szCs w:val="28"/>
          <w:rtl/>
        </w:rPr>
        <w:t xml:space="preserve">432.قم؛ حجتيه؛ شماره نسخه: 152</w:t>
      </w:r>
    </w:p>
    <w:p>
      <w:pPr>
        <w:pStyle w:val="BookText"/>
      </w:pPr>
      <w:r>
        <w:rPr>
          <w:rFonts w:ascii="IRNazanin" w:hAnsi="IRNazanin" w:eastAsia="IRNazanin" w:cs="IRNazanin"/>
          <w:lang w:bidi="fa-IR"/>
          <w:color w:val="111111"/>
          <w:sz w:val="28"/>
          <w:szCs w:val="28"/>
          <w:rtl/>
        </w:rPr>
        <w:t xml:space="preserve">خط: نسخ، کا: محمد رضی بن میر ابوالمعالی رضوی، تا: 1085ق [ف: 34]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433 . قم؛ گلپایگانی؛ شماره نسخه: 6898-35/78</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 نسخ، كا: عبد الخالق بن محمد شفیع قاینی، تا: 4جمعه رمضان 1085ق، جا: مشهد رضوی ،مصحح، محشی؛ تملک: محسن بن محمد حسن قاینی با مهر وی؛ عبدالخالق قاینی مهرش؛ جلد: تیماج قهوه ای با ترنج وسرترنج، 183گ، 19 سطر، اندازه: 12</w:t>
      </w:r>
      <w:r>
        <w:rPr>
          <w:rFonts w:ascii="Times New Roman" w:hAnsi="Times New Roman" w:eastAsia="Times New Roman" w:cs="Times New Roman"/>
          <w:lang w:val="en-US" w:bidi="en-US"/>
          <w:color w:val="111111"/>
          <w:sz w:val="28"/>
          <w:szCs w:val="28"/>
          <w:rtl/>
        </w:rPr>
        <w:t xml:space="preserve">×24</w:t>
      </w:r>
      <w:r>
        <w:rPr>
          <w:rFonts w:ascii="IRNazanin" w:hAnsi="IRNazanin" w:eastAsia="IRNazanin" w:cs="IRNazanin"/>
          <w:lang w:bidi="fa-IR"/>
          <w:color w:val="111111"/>
          <w:sz w:val="28"/>
          <w:szCs w:val="28"/>
          <w:rtl/>
        </w:rPr>
        <w:t xml:space="preserve">سم [ف: 1 - 303]</w:t>
      </w:r>
    </w:p>
    <w:p>
      <w:pPr>
        <w:pStyle w:val="BookText"/>
      </w:pPr>
      <w:r>
        <w:rPr>
          <w:rFonts w:ascii="IRNazanin" w:hAnsi="IRNazanin" w:eastAsia="IRNazanin" w:cs="IRNazanin"/>
          <w:lang w:bidi="fa-IR"/>
          <w:color w:val="111111"/>
          <w:sz w:val="28"/>
          <w:szCs w:val="28"/>
          <w:rtl/>
        </w:rPr>
        <w:t xml:space="preserve">434 . مشهد؛ گوهر شاد؛ شماره نسخه: 852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محمد محسن تفرشی مشهدی، تا: سه شنبه 28شعبان 1085ق؛ مصحح در سه شنبه 16 ذیحجه 108، محشی؛ مهر: «عبد محمد محسن مشهدی» (بیضی) ؛جلد: تیماج قهوه ای، 188 گ، 16 سطر (6/5</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 اندازه: 12/5</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 ف : 3-1157 ]</w:t>
      </w:r>
    </w:p>
    <w:p>
      <w:pPr>
        <w:pStyle w:val="BookText"/>
      </w:pPr>
      <w:r>
        <w:rPr>
          <w:rFonts w:ascii="Amiri" w:hAnsi="Amiri" w:eastAsia="Amiri" w:cs="Amiri"/>
          <w:lang w:bidi="ar-SA"/>
          <w:color w:val="111111"/>
          <w:sz w:val="28"/>
          <w:szCs w:val="28"/>
          <w:rtl/>
        </w:rPr>
        <w:t xml:space="preserve">435 . بابل؛ خاتم الانبياء؛ شماره نسخه: 143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محمد کاظم بن میر عزیز حسینی مازندرانی،تا: یک شنبه دهه اول شعبان 1086ق، جا: مدرسه مقصودیه؛ با حواشی از مؤلف و دیگران؛ تملک: کاتب با مهر «و الكاظمين الغيظ العافين عن الناس»(بيضى)؛ جلد: تيماج ،مشکی، 153گ 20 سطر ، اندازه: 16</w:t>
      </w:r>
      <w:r>
        <w:rPr>
          <w:rFonts w:ascii="Times New Roman" w:hAnsi="Times New Roman" w:eastAsia="Times New Roman" w:cs="Times New Roman"/>
          <w:lang w:val="en-US" w:bidi="en-US"/>
          <w:color w:val="111111"/>
          <w:sz w:val="28"/>
          <w:szCs w:val="28"/>
          <w:rtl/>
        </w:rPr>
        <w:t xml:space="preserve">×25</w:t>
      </w:r>
      <w:r>
        <w:rPr>
          <w:rFonts w:ascii="IRNazanin" w:hAnsi="IRNazanin" w:eastAsia="IRNazanin" w:cs="IRNazanin"/>
          <w:lang w:bidi="fa-IR"/>
          <w:color w:val="111111"/>
          <w:sz w:val="28"/>
          <w:szCs w:val="28"/>
          <w:rtl/>
        </w:rPr>
        <w:t xml:space="preserve">سم [ف: 98]</w:t>
      </w:r>
    </w:p>
    <w:p>
      <w:pPr>
        <w:pStyle w:val="BookText"/>
      </w:pPr>
      <w:r>
        <w:rPr>
          <w:rFonts w:ascii="IRNazanin" w:hAnsi="IRNazanin" w:eastAsia="IRNazanin" w:cs="IRNazanin"/>
          <w:lang w:bidi="fa-IR"/>
          <w:color w:val="111111"/>
          <w:sz w:val="28"/>
          <w:szCs w:val="28"/>
          <w:rtl/>
        </w:rPr>
        <w:t xml:space="preserve">436.تهران؛ مجلس؛ شماره نسخه: 7274</w:t>
      </w:r>
    </w:p>
    <w:p>
      <w:pPr>
        <w:pStyle w:val="BookText"/>
      </w:pPr>
      <w:r>
        <w:rPr>
          <w:rFonts w:ascii="IRNazanin" w:hAnsi="IRNazanin" w:eastAsia="IRNazanin" w:cs="IRNazanin"/>
          <w:lang w:bidi="fa-IR"/>
          <w:color w:val="111111"/>
          <w:sz w:val="28"/>
          <w:szCs w:val="28"/>
          <w:rtl/>
        </w:rPr>
        <w:t xml:space="preserve">خط: نسخ، بی کا، تا: 12 ربيع الثاني 1086ق؛ تملک: نقی بن ضیا؛ جلد: تیماج ضربی قهوه ای با ترنج و سر با نقش گل و بوته پرنده، 309گ، 16 سطر ، اندازه: 14</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25 - 270]</w:t>
      </w:r>
    </w:p>
    <w:p>
      <w:pPr>
        <w:pStyle w:val="BookText"/>
      </w:pPr>
      <w:r>
        <w:rPr>
          <w:rFonts w:ascii="IRNazanin" w:hAnsi="IRNazanin" w:eastAsia="IRNazanin" w:cs="IRNazanin"/>
          <w:lang w:bidi="fa-IR"/>
          <w:color w:val="111111"/>
          <w:sz w:val="28"/>
          <w:szCs w:val="28"/>
          <w:rtl/>
        </w:rPr>
        <w:t xml:space="preserve">437 . مشهد؛ رجائی مغزی (کتابخانه)؛ شماره نسخه: بدون شماره</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بی کا، تا: 1086ق؛ مصحح دارای علامت بلاغ؛ تملک: محمدباقر بن محمد تقى العطار القمى، محمد شريف الأشرفي [ترثنا: س 13 ش 1 - 129]</w:t>
      </w:r>
    </w:p>
    <w:p>
      <w:pPr>
        <w:pStyle w:val="BookText"/>
      </w:pPr>
      <w:r>
        <w:rPr>
          <w:rFonts w:ascii="IRNazanin" w:hAnsi="IRNazanin" w:eastAsia="IRNazanin" w:cs="IRNazanin"/>
          <w:lang w:bidi="fa-IR"/>
          <w:color w:val="111111"/>
          <w:sz w:val="28"/>
          <w:szCs w:val="28"/>
          <w:rtl/>
        </w:rPr>
        <w:t xml:space="preserve">438.تهران؛ ملی؛ شماره نسخه: 6787</w:t>
      </w:r>
    </w:p>
    <w:p>
      <w:pPr>
        <w:pStyle w:val="BookText"/>
      </w:pPr>
      <w:r>
        <w:rPr>
          <w:rFonts w:ascii="IRNazanin" w:hAnsi="IRNazanin" w:eastAsia="IRNazanin" w:cs="IRNazanin"/>
          <w:lang w:bidi="fa-IR"/>
          <w:color w:val="111111"/>
          <w:sz w:val="28"/>
          <w:szCs w:val="28"/>
          <w:rtl/>
        </w:rPr>
        <w:t xml:space="preserve">خط: نسخ، کا: محمدامین بن سلطان محمود طبسی، تا: 1087ق؛ جا: حجاز؛ مصحح ، محشی با نشان «قواعد الشهيدى مدارک ، الاحكام، ع ل و ...»؛ مهر: «محمد صادق بن محمد حسين 46 (بیضی) کاغذ: فرنگی نخودی ،جلد: تیماج اناری مقوایی دار ترنج و سرترنج با نقش گل و بوته عطف و سجاف تیم ،قهوه ای ،193گ، 23 سطر (5/5</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اندازه:12/8</w:t>
      </w:r>
      <w:r>
        <w:rPr>
          <w:rFonts w:ascii="Times New Roman" w:hAnsi="Times New Roman" w:eastAsia="Times New Roman" w:cs="Times New Roman"/>
          <w:lang w:val="en-US" w:bidi="en-US"/>
          <w:color w:val="111111"/>
          <w:sz w:val="28"/>
          <w:szCs w:val="28"/>
          <w:rtl/>
        </w:rPr>
        <w:t xml:space="preserve">×25[</w:t>
      </w:r>
      <w:r>
        <w:rPr>
          <w:rFonts w:ascii="IRNazanin" w:hAnsi="IRNazanin" w:eastAsia="IRNazanin" w:cs="IRNazanin"/>
          <w:lang w:bidi="fa-IR"/>
          <w:color w:val="111111"/>
          <w:sz w:val="28"/>
          <w:szCs w:val="28"/>
          <w:rtl/>
        </w:rPr>
        <w:t xml:space="preserve">رایانه ]</w:t>
      </w:r>
    </w:p>
    <w:p>
      <w:pPr>
        <w:pStyle w:val="BookText"/>
      </w:pPr>
      <w:r>
        <w:rPr>
          <w:rFonts w:ascii="IRNazanin" w:hAnsi="IRNazanin" w:eastAsia="IRNazanin" w:cs="IRNazanin"/>
          <w:lang w:bidi="fa-IR"/>
          <w:color w:val="111111"/>
          <w:sz w:val="28"/>
          <w:szCs w:val="28"/>
          <w:rtl/>
        </w:rPr>
        <w:t xml:space="preserve">439 . اصفهان؛ عمومی اصفهان (فرهنگ سابق)؛ شماره نسخه: 5350</w:t>
      </w:r>
    </w:p>
    <w:p>
      <w:pPr>
        <w:pStyle w:val="BookText"/>
      </w:pPr>
      <w:r>
        <w:rPr>
          <w:rFonts w:ascii="IRNazanin" w:hAnsi="IRNazanin" w:eastAsia="IRNazanin" w:cs="IRNazanin"/>
          <w:lang w:bidi="fa-IR"/>
          <w:color w:val="111111"/>
          <w:sz w:val="28"/>
          <w:szCs w:val="28"/>
          <w:rtl/>
        </w:rPr>
        <w:t xml:space="preserve">خط: نسخ، کا: محمد زمان بن درویش على هزار جریبی، یک شنبه محرم 1087ق، ،جا ،اصفهان مدرسه شاهپوریه کاغذ: ،اصفهانی جلد: چرمی ،زرد 444 ص 15 سطر (9</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 اندازه: 18</w:t>
      </w:r>
      <w:r>
        <w:rPr>
          <w:rFonts w:ascii="Times New Roman" w:hAnsi="Times New Roman" w:eastAsia="Times New Roman" w:cs="Times New Roman"/>
          <w:lang w:val="en-US" w:bidi="en-US"/>
          <w:color w:val="111111"/>
          <w:sz w:val="28"/>
          <w:szCs w:val="28"/>
          <w:rtl/>
        </w:rPr>
        <w:t xml:space="preserve">×25</w:t>
      </w:r>
      <w:r>
        <w:rPr>
          <w:rFonts w:ascii="IRNazanin" w:hAnsi="IRNazanin" w:eastAsia="IRNazanin" w:cs="IRNazanin"/>
          <w:lang w:bidi="fa-IR"/>
          <w:color w:val="111111"/>
          <w:sz w:val="28"/>
          <w:szCs w:val="28"/>
          <w:rtl/>
        </w:rPr>
        <w:t xml:space="preserve">سم [ف: 1 - 178]</w:t>
      </w:r>
    </w:p>
    <w:p>
      <w:pPr>
        <w:pStyle w:val="BookText"/>
      </w:pPr>
      <w:r>
        <w:rPr>
          <w:rFonts w:ascii="IRNazanin" w:hAnsi="IRNazanin" w:eastAsia="IRNazanin" w:cs="IRNazanin"/>
          <w:lang w:bidi="fa-IR"/>
          <w:color w:val="111111"/>
          <w:sz w:val="28"/>
          <w:szCs w:val="28"/>
          <w:rtl/>
        </w:rPr>
        <w:t xml:space="preserve">440 . قم؛ گلپایگانی؛ شماره نسخه: 8087-55/57</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کامل؛ خط: نسخ، کا: علی بن موسی بن حسن بن محمود برای ملا شیخ صفی الله بن ملا حسین حدادانی، تا: چهارشنبه 25 ذیقعده 1087ق؛ در آخر نسخه مطلبی به نقل از«منهاج الصلاح» علامه حلی و شعری از نظیری و چند رباعی از رباعیات ابوسعید ابوالخیر و اشعاری از میرزا جلال اسیر و ملا حزنی و مطلبی در معنی هدایت از «جواهرالتفسير» و اشعاری از مومن حسین یزدی و ابوتراب ،بیک ملا نور الله ،ولی شیخ بهایی خیام، اوحدی و میرزا معز مشهدی؛ 181گ، 17 سطر ، اندازه: 18</w:t>
      </w:r>
      <w:r>
        <w:rPr>
          <w:rFonts w:ascii="Times New Roman" w:hAnsi="Times New Roman" w:eastAsia="Times New Roman" w:cs="Times New Roman"/>
          <w:lang w:val="en-US" w:bidi="en-US"/>
          <w:color w:val="111111"/>
          <w:sz w:val="28"/>
          <w:szCs w:val="28"/>
          <w:rtl/>
        </w:rPr>
        <w:t xml:space="preserve">×24</w:t>
      </w:r>
      <w:r>
        <w:rPr>
          <w:rFonts w:ascii="IRNazanin" w:hAnsi="IRNazanin" w:eastAsia="IRNazanin" w:cs="IRNazanin"/>
          <w:lang w:bidi="fa-IR"/>
          <w:color w:val="111111"/>
          <w:sz w:val="28"/>
          <w:szCs w:val="28"/>
          <w:rtl/>
        </w:rPr>
        <w:t xml:space="preserve">سم [ف: 1 - 304]</w:t>
      </w:r>
    </w:p>
    <w:p>
      <w:pPr>
        <w:pStyle w:val="BookText"/>
      </w:pPr>
      <w:r>
        <w:rPr>
          <w:rFonts w:ascii="Times New Roman" w:hAnsi="Times New Roman" w:eastAsia="Times New Roman" w:cs="Times New Roman"/>
          <w:lang w:val="en-US" w:bidi="en-US"/>
          <w:color w:val="111111"/>
          <w:sz w:val="28"/>
          <w:szCs w:val="28"/>
          <w:rtl/>
        </w:rPr>
        <w:t xml:space="preserve">441.</w:t>
      </w:r>
    </w:p>
    <w:p>
      <w:pPr>
        <w:pStyle w:val="BookText"/>
      </w:pPr>
      <w:r>
        <w:rPr>
          <w:rFonts w:ascii="IRNazanin" w:hAnsi="IRNazanin" w:eastAsia="IRNazanin" w:cs="IRNazanin"/>
          <w:lang w:bidi="fa-IR"/>
          <w:color w:val="111111"/>
          <w:sz w:val="28"/>
          <w:szCs w:val="28"/>
          <w:rtl/>
        </w:rPr>
        <w:t xml:space="preserve">تهران؛ سپهسالار؛ شماره نسخه: 5877</w:t>
      </w:r>
    </w:p>
    <w:p>
      <w:pPr>
        <w:pStyle w:val="BookText"/>
      </w:pPr>
      <w:r>
        <w:rPr>
          <w:rFonts w:ascii="IRNazanin" w:hAnsi="IRNazanin" w:eastAsia="IRNazanin" w:cs="IRNazanin"/>
          <w:lang w:bidi="fa-IR"/>
          <w:color w:val="111111"/>
          <w:sz w:val="28"/>
          <w:szCs w:val="28"/>
          <w:rtl/>
        </w:rPr>
        <w:t xml:space="preserve">خط: نسخ، کا: صوفی خداداد داعی ،تا: دوشنبه جمادی الثانی 1088ق؛ محشی، نسخه در 17 ربیع الثانی 1105ق عرض شده است؛ کاغذ: سپاهانی ،نخودی، جلد: تیماج قهوه ای ضربی مقوایی، 207گ ، 18 سطر (10</w:t>
      </w:r>
      <w:r>
        <w:rPr>
          <w:rFonts w:ascii="Times New Roman" w:hAnsi="Times New Roman" w:eastAsia="Times New Roman" w:cs="Times New Roman"/>
          <w:lang w:val="en-US" w:bidi="en-US"/>
          <w:color w:val="111111"/>
          <w:sz w:val="28"/>
          <w:szCs w:val="28"/>
          <w:rtl/>
        </w:rPr>
        <w:t xml:space="preserve">×18/5) </w:t>
      </w:r>
      <w:r>
        <w:rPr>
          <w:rFonts w:ascii="IRNazanin" w:hAnsi="IRNazanin" w:eastAsia="IRNazanin" w:cs="IRNazanin"/>
          <w:lang w:bidi="fa-IR"/>
          <w:color w:val="111111"/>
          <w:sz w:val="28"/>
          <w:szCs w:val="28"/>
          <w:rtl/>
        </w:rPr>
        <w:t xml:space="preserve">، اندازه: 18/5</w:t>
      </w:r>
      <w:r>
        <w:rPr>
          <w:rFonts w:ascii="Times New Roman" w:hAnsi="Times New Roman" w:eastAsia="Times New Roman" w:cs="Times New Roman"/>
          <w:lang w:val="en-US" w:bidi="en-US"/>
          <w:color w:val="111111"/>
          <w:sz w:val="28"/>
          <w:szCs w:val="28"/>
          <w:rtl/>
        </w:rPr>
        <w:t xml:space="preserve">×25</w:t>
      </w:r>
      <w:r>
        <w:rPr>
          <w:rFonts w:ascii="IRNazanin" w:hAnsi="IRNazanin" w:eastAsia="IRNazanin" w:cs="IRNazanin"/>
          <w:lang w:bidi="fa-IR"/>
          <w:color w:val="111111"/>
          <w:sz w:val="28"/>
          <w:szCs w:val="28"/>
          <w:rtl/>
        </w:rPr>
        <w:t xml:space="preserve">سم [ف: 3 - 105]</w:t>
      </w:r>
    </w:p>
    <w:p>
      <w:pPr>
        <w:pStyle w:val="BookText"/>
      </w:pPr>
      <w:r>
        <w:rPr>
          <w:rFonts w:ascii="Times New Roman" w:hAnsi="Times New Roman" w:eastAsia="Times New Roman" w:cs="Times New Roman"/>
          <w:lang w:val="en-US" w:bidi="en-US"/>
          <w:color w:val="111111"/>
          <w:sz w:val="28"/>
          <w:szCs w:val="28"/>
          <w:rtl/>
        </w:rPr>
        <w:t xml:space="preserve">442.</w:t>
      </w:r>
    </w:p>
    <w:p>
      <w:pPr>
        <w:pStyle w:val="BookText"/>
      </w:pPr>
      <w:r>
        <w:rPr>
          <w:rFonts w:ascii="IRNazanin" w:hAnsi="IRNazanin" w:eastAsia="IRNazanin" w:cs="IRNazanin"/>
          <w:lang w:bidi="fa-IR"/>
          <w:color w:val="111111"/>
          <w:sz w:val="28"/>
          <w:szCs w:val="28"/>
          <w:rtl/>
        </w:rPr>
        <w:t xml:space="preserve">اصفهان؛ مدرسه صدر بازار؛ شماره نسخه: 545</w:t>
      </w:r>
    </w:p>
    <w:p>
      <w:pPr>
        <w:pStyle w:val="BookText"/>
      </w:pPr>
      <w:r>
        <w:rPr>
          <w:rFonts w:ascii="Amiri" w:hAnsi="Amiri" w:eastAsia="Amiri" w:cs="Amiri"/>
          <w:lang w:bidi="ar-SA"/>
          <w:color w:val="111111"/>
          <w:sz w:val="28"/>
          <w:szCs w:val="28"/>
          <w:rtl/>
        </w:rPr>
        <w:t xml:space="preserve">آغاز: التشهد و يجب عقيب كل ثنائيه و في آخر الثلاثية والرباعية و أيضا الشهادتان و الصلاة على النبي وآله</w:t>
      </w:r>
    </w:p>
    <w:p>
      <w:pPr>
        <w:pStyle w:val="BookText"/>
      </w:pPr>
      <w:r>
        <w:rPr>
          <w:rFonts w:ascii="IRNazanin" w:hAnsi="IRNazanin" w:eastAsia="IRNazanin" w:cs="IRNazanin"/>
          <w:lang w:bidi="fa-IR"/>
          <w:color w:val="111111"/>
          <w:sz w:val="28"/>
          <w:szCs w:val="28"/>
          <w:rtl/>
        </w:rPr>
        <w:t xml:space="preserve">خط: نسخ، کا: حاجی ندیم ساکن شهرستان جی، تا: چهارشنبه 10 شعبان 1089ق؛جا: شهرستان جی؛ افتادگی: آغاز؛ مصحح، محشی؛ روی برگ اول وقفنامه کتاب؛ جلد: تیماج زرشکی 187 گ، 17 سطر ، اندازه: 15</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سم [ف: 2 - 394]</w:t>
      </w:r>
    </w:p>
    <w:p>
      <w:pPr>
        <w:pStyle w:val="BookText"/>
      </w:pPr>
      <w:r>
        <w:rPr>
          <w:rFonts w:ascii="Times New Roman" w:hAnsi="Times New Roman" w:eastAsia="Times New Roman" w:cs="Times New Roman"/>
          <w:lang w:val="en-US" w:bidi="en-US"/>
          <w:color w:val="111111"/>
          <w:sz w:val="28"/>
          <w:szCs w:val="28"/>
          <w:rtl/>
        </w:rPr>
        <w:t xml:space="preserve">443.</w:t>
      </w:r>
    </w:p>
    <w:p>
      <w:pPr>
        <w:pStyle w:val="BookText"/>
      </w:pPr>
      <w:r>
        <w:rPr>
          <w:rFonts w:ascii="IRNazanin" w:hAnsi="IRNazanin" w:eastAsia="IRNazanin" w:cs="IRNazanin"/>
          <w:lang w:bidi="fa-IR"/>
          <w:color w:val="111111"/>
          <w:sz w:val="28"/>
          <w:szCs w:val="28"/>
          <w:rtl/>
        </w:rPr>
        <w:t xml:space="preserve">اصفهان؛ مدرسه صدر بازار؛ شماره نسخه: 543</w:t>
      </w:r>
    </w:p>
    <w:p>
      <w:pPr>
        <w:pStyle w:val="BookText"/>
      </w:pPr>
      <w:r>
        <w:rPr>
          <w:rFonts w:ascii="IRNazanin" w:hAnsi="IRNazanin" w:eastAsia="IRNazanin" w:cs="IRNazanin"/>
          <w:lang w:bidi="fa-IR"/>
          <w:color w:val="111111"/>
          <w:sz w:val="28"/>
          <w:szCs w:val="28"/>
          <w:rtl/>
        </w:rPr>
        <w:t xml:space="preserve">خط: نسخ، کا: محمد زکی بن محمد نصیر، تا: 1091ق؛ مصحح، محشی، روی برگ آغاز یک یادداشت یادگاری به سال 1295، در برگ پایانی یادداشتی پایانی یادداشتی به سال 1219؛ تملک: محمد شفتی با مهر «يا محمد» ،((مربع)، تملک: خط خورده محمد بن محمد بن محمد علی استر آبادی، تملکی پاک شده به سال 1293؛ جلد: تیماج قهوه ای سوخته ،مجدول،194گ، 15 سطر ، اندازه: 14/5</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 ف : 2 - 393]</w:t>
      </w:r>
    </w:p>
    <w:p>
      <w:pPr>
        <w:pStyle w:val="BookText"/>
      </w:pPr>
      <w:r>
        <w:rPr>
          <w:rFonts w:ascii="Times New Roman" w:hAnsi="Times New Roman" w:eastAsia="Times New Roman" w:cs="Times New Roman"/>
          <w:lang w:val="en-US" w:bidi="en-US"/>
          <w:color w:val="111111"/>
          <w:sz w:val="28"/>
          <w:szCs w:val="28"/>
          <w:rtl/>
        </w:rPr>
        <w:t xml:space="preserve">444.</w:t>
      </w:r>
    </w:p>
    <w:p>
      <w:pPr>
        <w:pStyle w:val="BookText"/>
      </w:pPr>
      <w:r>
        <w:rPr>
          <w:rFonts w:ascii="IRNazanin" w:hAnsi="IRNazanin" w:eastAsia="IRNazanin" w:cs="IRNazanin"/>
          <w:lang w:bidi="fa-IR"/>
          <w:color w:val="111111"/>
          <w:sz w:val="28"/>
          <w:szCs w:val="28"/>
          <w:rtl/>
        </w:rPr>
        <w:t xml:space="preserve">تهران؛ مدرسه مروی؛ شماره نسخه: 768</w:t>
      </w:r>
    </w:p>
    <w:p>
      <w:pPr>
        <w:pStyle w:val="BookText"/>
      </w:pPr>
      <w:r>
        <w:rPr>
          <w:rFonts w:ascii="IRNazanin" w:hAnsi="IRNazanin" w:eastAsia="IRNazanin" w:cs="IRNazanin"/>
          <w:lang w:bidi="fa-IR"/>
          <w:color w:val="111111"/>
          <w:sz w:val="28"/>
          <w:szCs w:val="28"/>
          <w:rtl/>
        </w:rPr>
        <w:t xml:space="preserve">بی کا، تا: 1091ق؛ قطع وزیری [ف: 65]</w:t>
      </w:r>
    </w:p>
    <w:p>
      <w:pPr>
        <w:pStyle w:val="BookText"/>
      </w:pPr>
      <w:r>
        <w:rPr>
          <w:rFonts w:ascii="IRNazanin" w:hAnsi="IRNazanin" w:eastAsia="IRNazanin" w:cs="IRNazanin"/>
          <w:lang w:bidi="fa-IR"/>
          <w:color w:val="111111"/>
          <w:sz w:val="28"/>
          <w:szCs w:val="28"/>
          <w:rtl/>
        </w:rPr>
        <w:t xml:space="preserve">445 . مشهد؛ رضوی؛ شماره نسخه: 21372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عبدالغالب بن محمد طاهر دستغیب حسینی، تا: جمعه 19 شعبان 1091ق؛ محشی با نشان «زین الدین فخرالدین» و رمز «ع ل» «رحمه الله تعالى» «عبدالعالی کرکی»؛ اهدایی ،رهبری خرداد 1373 ؛کاغذ: نخودی آهار مهره، جلد: تیماج عنابی با آستر ،مشکی، 179گ، 19 سطر ، اندازه: 17</w:t>
      </w:r>
      <w:r>
        <w:rPr>
          <w:rFonts w:ascii="Times New Roman" w:hAnsi="Times New Roman" w:eastAsia="Times New Roman" w:cs="Times New Roman"/>
          <w:lang w:val="en-US" w:bidi="en-US"/>
          <w:color w:val="111111"/>
          <w:sz w:val="28"/>
          <w:szCs w:val="28"/>
          <w:rtl/>
        </w:rPr>
        <w:t xml:space="preserve">×28</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[اهدائی - ف: 3 - 51]</w:t>
      </w:r>
    </w:p>
    <w:p>
      <w:pPr>
        <w:pStyle w:val="BookText"/>
      </w:pPr>
      <w:r>
        <w:rPr>
          <w:rFonts w:ascii="IRNazanin" w:hAnsi="IRNazanin" w:eastAsia="IRNazanin" w:cs="IRNazanin"/>
          <w:lang w:bidi="fa-IR"/>
          <w:color w:val="111111"/>
          <w:sz w:val="28"/>
          <w:szCs w:val="28"/>
          <w:rtl/>
        </w:rPr>
        <w:t xml:space="preserve">446 . قزوین؛ امام صادق؛ شماره نسخه: 509</w:t>
      </w:r>
    </w:p>
    <w:p>
      <w:pPr>
        <w:pStyle w:val="BookText"/>
      </w:pPr>
      <w:r>
        <w:rPr>
          <w:rFonts w:ascii="IRNazanin" w:hAnsi="IRNazanin" w:eastAsia="IRNazanin" w:cs="IRNazanin"/>
          <w:lang w:bidi="fa-IR"/>
          <w:color w:val="111111"/>
          <w:sz w:val="28"/>
          <w:szCs w:val="28"/>
          <w:rtl/>
        </w:rPr>
        <w:t xml:space="preserve">کامل؛ خط: نسخ، کا: قطبا بن عبدالرحیم نیاسری، تا: چهارشنبه سلخ محرم</w:t>
      </w:r>
    </w:p>
    <w:p>
      <w:pPr>
        <w:pStyle w:val="BookText"/>
      </w:pPr>
      <w:r>
        <w:rPr>
          <w:rFonts w:ascii="IRNazanin" w:hAnsi="IRNazanin" w:eastAsia="IRNazanin" w:cs="IRNazanin"/>
          <w:lang w:bidi="fa-IR"/>
          <w:color w:val="111111"/>
          <w:sz w:val="28"/>
          <w:szCs w:val="28"/>
          <w:rtl/>
        </w:rPr>
        <w:t xml:space="preserve">1092ق؛ مصحح، محشی؛ واقف: حاج حسین شیروانی، تولیت حاج ملا عبد الوهاب قزوینی؛ جلد: تیماج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قهوه ای ،لولادار ،340گ 12 سطر [ف: 1 - 29]</w:t>
      </w:r>
    </w:p>
    <w:p>
      <w:pPr>
        <w:pStyle w:val="BookText"/>
      </w:pPr>
      <w:r>
        <w:rPr>
          <w:rFonts w:ascii="IRNazanin" w:hAnsi="IRNazanin" w:eastAsia="IRNazanin" w:cs="IRNazanin"/>
          <w:lang w:bidi="fa-IR"/>
          <w:color w:val="111111"/>
          <w:sz w:val="28"/>
          <w:szCs w:val="28"/>
          <w:rtl/>
        </w:rPr>
        <w:t xml:space="preserve">447 . قم؛ حجتیه؛ شماره نسخه: 508</w:t>
      </w:r>
    </w:p>
    <w:p>
      <w:pPr>
        <w:pStyle w:val="BookText"/>
      </w:pPr>
      <w:r>
        <w:rPr>
          <w:rFonts w:ascii="IRNazanin" w:hAnsi="IRNazanin" w:eastAsia="IRNazanin" w:cs="IRNazanin"/>
          <w:lang w:bidi="fa-IR"/>
          <w:color w:val="111111"/>
          <w:sz w:val="28"/>
          <w:szCs w:val="28"/>
          <w:rtl/>
        </w:rPr>
        <w:t xml:space="preserve">خط: نسخ، کا:  محمد قاسم بن خير الله حسینی، تا: 1093ق [ف: 34]</w:t>
      </w:r>
    </w:p>
    <w:p>
      <w:pPr>
        <w:pStyle w:val="BookText"/>
      </w:pPr>
      <w:r>
        <w:rPr>
          <w:rFonts w:ascii="Times New Roman" w:hAnsi="Times New Roman" w:eastAsia="Times New Roman" w:cs="Times New Roman"/>
          <w:lang w:val="en-US" w:bidi="en-US"/>
          <w:color w:val="111111"/>
          <w:sz w:val="28"/>
          <w:szCs w:val="28"/>
          <w:rtl/>
        </w:rPr>
        <w:t xml:space="preserve">448.</w:t>
      </w:r>
    </w:p>
    <w:p>
      <w:pPr>
        <w:pStyle w:val="BookText"/>
      </w:pPr>
      <w:r>
        <w:rPr>
          <w:rFonts w:ascii="IRNazanin" w:hAnsi="IRNazanin" w:eastAsia="IRNazanin" w:cs="IRNazanin"/>
          <w:lang w:bidi="fa-IR"/>
          <w:color w:val="111111"/>
          <w:sz w:val="28"/>
          <w:szCs w:val="28"/>
          <w:rtl/>
        </w:rPr>
        <w:t xml:space="preserve">شیراز؛ علامه طباطبائی؛ شماره نسخه: 122</w:t>
      </w:r>
    </w:p>
    <w:p>
      <w:pPr>
        <w:pStyle w:val="BookText"/>
      </w:pPr>
      <w:r>
        <w:rPr>
          <w:rFonts w:ascii="IRNazanin" w:hAnsi="IRNazanin" w:eastAsia="IRNazanin" w:cs="IRNazanin"/>
          <w:lang w:bidi="fa-IR"/>
          <w:color w:val="111111"/>
          <w:sz w:val="28"/>
          <w:szCs w:val="28"/>
          <w:rtl/>
        </w:rPr>
        <w:t xml:space="preserve">خط: نسخ و نستعلیق شکسته، بی کا، تا: 1093ق؛ محشی بر روی صفحه اول چند بیت فارسی از محمد طاهر مستجابی شولستانی در 29 جمادی الاول 1095 ؛261گ، اندازه: 15/5</w:t>
      </w:r>
      <w:r>
        <w:rPr>
          <w:rFonts w:ascii="Times New Roman" w:hAnsi="Times New Roman" w:eastAsia="Times New Roman" w:cs="Times New Roman"/>
          <w:lang w:val="en-US" w:bidi="en-US"/>
          <w:color w:val="111111"/>
          <w:sz w:val="28"/>
          <w:szCs w:val="28"/>
          <w:rtl/>
        </w:rPr>
        <w:t xml:space="preserve">×24</w:t>
      </w:r>
      <w:r>
        <w:rPr>
          <w:rFonts w:ascii="IRNazanin" w:hAnsi="IRNazanin" w:eastAsia="IRNazanin" w:cs="IRNazanin"/>
          <w:lang w:bidi="fa-IR"/>
          <w:color w:val="111111"/>
          <w:sz w:val="28"/>
          <w:szCs w:val="28"/>
          <w:rtl/>
        </w:rPr>
        <w:t xml:space="preserve">سم[ نسخه پژوهی: 2 - 110]</w:t>
      </w:r>
    </w:p>
    <w:p>
      <w:pPr>
        <w:pStyle w:val="BookText"/>
      </w:pPr>
      <w:r>
        <w:rPr>
          <w:rFonts w:ascii="IRNazanin" w:hAnsi="IRNazanin" w:eastAsia="IRNazanin" w:cs="IRNazanin"/>
          <w:lang w:bidi="fa-IR"/>
          <w:color w:val="111111"/>
          <w:sz w:val="28"/>
          <w:szCs w:val="28"/>
          <w:rtl/>
        </w:rPr>
        <w:t xml:space="preserve">449 . زنجان؛ امام جمعه؛ شماره نسخه: 18</w:t>
      </w:r>
    </w:p>
    <w:p>
      <w:pPr>
        <w:pStyle w:val="BookText"/>
      </w:pPr>
      <w:r>
        <w:rPr>
          <w:rFonts w:ascii="IRNazanin" w:hAnsi="IRNazanin" w:eastAsia="IRNazanin" w:cs="IRNazanin"/>
          <w:lang w:bidi="fa-IR"/>
          <w:color w:val="111111"/>
          <w:sz w:val="28"/>
          <w:szCs w:val="28"/>
          <w:rtl/>
        </w:rPr>
        <w:t xml:space="preserve">جزء اول کتاب؛ بی کا، تا: چهارشنبه از دهه دوم محرم مصحح، محشی، نسخه به دو خط کتابت شده است، روی بر اول یادداشتی در دعای شروع مطالعه؛ تملک: محمد تقی بن آقا محمد، تملکی به سال 1096ق؛ جلد: تیماج قرمز، 86گ اندازه:</w:t>
      </w:r>
    </w:p>
    <w:p>
      <w:pPr>
        <w:pStyle w:val="BookText"/>
      </w:pPr>
      <w:r>
        <w:rPr>
          <w:rFonts w:ascii="Times New Roman" w:hAnsi="Times New Roman" w:eastAsia="Times New Roman" w:cs="Times New Roman"/>
          <w:lang w:val="en-US" w:bidi="en-US"/>
          <w:color w:val="111111"/>
          <w:sz w:val="28"/>
          <w:szCs w:val="28"/>
          <w:rtl/>
        </w:rPr>
        <w:t xml:space="preserve">20×30 </w:t>
      </w:r>
      <w:r>
        <w:rPr>
          <w:rFonts w:ascii="Amiri" w:hAnsi="Amiri" w:eastAsia="Amiri" w:cs="Amiri"/>
          <w:lang w:bidi="ar-SA"/>
          <w:color w:val="111111"/>
          <w:sz w:val="28"/>
          <w:szCs w:val="28"/>
          <w:rtl/>
        </w:rPr>
        <w:t xml:space="preserve">سم [اوراق عتيق 1 - 150]</w:t>
      </w:r>
    </w:p>
    <w:p>
      <w:pPr>
        <w:pStyle w:val="BookText"/>
      </w:pPr>
      <w:r>
        <w:rPr>
          <w:rFonts w:ascii="IRNazanin" w:hAnsi="IRNazanin" w:eastAsia="IRNazanin" w:cs="IRNazanin"/>
          <w:lang w:bidi="fa-IR"/>
          <w:color w:val="111111"/>
          <w:sz w:val="28"/>
          <w:szCs w:val="28"/>
          <w:rtl/>
        </w:rPr>
        <w:t xml:space="preserve">450 شیراز؛ ملی؛ شماره نسخه: 16 الف/ 159</w:t>
      </w:r>
    </w:p>
    <w:p>
      <w:pPr>
        <w:pStyle w:val="BookText"/>
      </w:pPr>
      <w:r>
        <w:rPr>
          <w:rFonts w:ascii="IRNazanin" w:hAnsi="IRNazanin" w:eastAsia="IRNazanin" w:cs="IRNazanin"/>
          <w:lang w:bidi="fa-IR"/>
          <w:color w:val="111111"/>
          <w:sz w:val="28"/>
          <w:szCs w:val="28"/>
          <w:rtl/>
        </w:rPr>
        <w:t xml:space="preserve">آغاز: مستمدا الله من حسن التوفيق و هدايه الطريق و التمست منه المجاراه على ذلك؛ انجام: و الله الموفق و المعين كتبه العبد المذنب محمد باقر ابن صوفی علیرضا همدانی فی یوم الثلثا فی عشر الاول من ربيع الاول سنه 1094 كتبه في دار العلم شیراز</w:t>
      </w:r>
    </w:p>
    <w:p>
      <w:pPr>
        <w:pStyle w:val="BookText"/>
      </w:pPr>
      <w:r>
        <w:rPr>
          <w:rFonts w:ascii="IRNazanin" w:hAnsi="IRNazanin" w:eastAsia="IRNazanin" w:cs="IRNazanin"/>
          <w:lang w:bidi="fa-IR"/>
          <w:color w:val="111111"/>
          <w:sz w:val="28"/>
          <w:szCs w:val="28"/>
          <w:rtl/>
        </w:rPr>
        <w:t xml:space="preserve">خط: نسخ، کا: محمد باقر بن صوفی علیرضا همدانی، تا: 1094 ق؛ جا: شیراز ؛افتادگی: آغاز؛ محشی؛ :واقف: آقا بابا خان؛ کاغذ: فرنگی نخودی شکری و لیمویی، جلد: مقوا با تیماج قهوه 219 ص ، 16 سطر (6/5</w:t>
      </w: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 اندازه: 13</w:t>
      </w:r>
      <w:r>
        <w:rPr>
          <w:rFonts w:ascii="Times New Roman" w:hAnsi="Times New Roman" w:eastAsia="Times New Roman" w:cs="Times New Roman"/>
          <w:lang w:val="en-US" w:bidi="en-US"/>
          <w:color w:val="111111"/>
          <w:sz w:val="28"/>
          <w:szCs w:val="28"/>
          <w:rtl/>
        </w:rPr>
        <w:t xml:space="preserve">×22/5</w:t>
      </w:r>
      <w:r>
        <w:rPr>
          <w:rFonts w:ascii="IRNazanin" w:hAnsi="IRNazanin" w:eastAsia="IRNazanin" w:cs="IRNazanin"/>
          <w:lang w:bidi="fa-IR"/>
          <w:color w:val="111111"/>
          <w:sz w:val="28"/>
          <w:szCs w:val="28"/>
          <w:rtl/>
        </w:rPr>
        <w:t xml:space="preserve">سم [ ف : 1 - 136]</w:t>
      </w:r>
    </w:p>
    <w:p>
      <w:pPr>
        <w:pStyle w:val="BookText"/>
      </w:pPr>
      <w:r>
        <w:rPr>
          <w:rFonts w:ascii="Times New Roman" w:hAnsi="Times New Roman" w:eastAsia="Times New Roman" w:cs="Times New Roman"/>
          <w:lang w:val="en-US" w:bidi="en-US"/>
          <w:color w:val="111111"/>
          <w:sz w:val="28"/>
          <w:szCs w:val="28"/>
          <w:rtl/>
        </w:rPr>
        <w:t xml:space="preserve">451.</w:t>
      </w:r>
    </w:p>
    <w:p>
      <w:pPr>
        <w:pStyle w:val="BookText"/>
      </w:pPr>
      <w:r>
        <w:rPr>
          <w:rFonts w:ascii="IRNazanin" w:hAnsi="IRNazanin" w:eastAsia="IRNazanin" w:cs="IRNazanin"/>
          <w:lang w:bidi="fa-IR"/>
          <w:color w:val="111111"/>
          <w:sz w:val="28"/>
          <w:szCs w:val="28"/>
          <w:rtl/>
        </w:rPr>
        <w:t xml:space="preserve">قم؛ مؤسسه آیة الله بروجردی؛ شماره نسخه: 285</w:t>
      </w:r>
    </w:p>
    <w:p>
      <w:pPr>
        <w:pStyle w:val="BookText"/>
      </w:pPr>
      <w:r>
        <w:rPr>
          <w:rFonts w:ascii="IRNazanin" w:hAnsi="IRNazanin" w:eastAsia="IRNazanin" w:cs="IRNazanin"/>
          <w:lang w:bidi="fa-IR"/>
          <w:color w:val="111111"/>
          <w:sz w:val="28"/>
          <w:szCs w:val="28"/>
          <w:rtl/>
        </w:rPr>
        <w:t xml:space="preserve">خط: نسخ، کا: نجف علی بن علی اکبر ،صفار تا: یک شنبه رمضان 1094ق، جا: مدرسه ابوالقاسم خان، مصحح، محشی،در سه صفحه قبل از کتاب و پشت برگ آخر چند فایده؛ تملک: جمال الدین گلپایگانی، جلد: تیماج ،مشکی، 240گ، 16 سطر،اندازه: 15</w:t>
      </w:r>
      <w:r>
        <w:rPr>
          <w:rFonts w:ascii="Times New Roman" w:hAnsi="Times New Roman" w:eastAsia="Times New Roman" w:cs="Times New Roman"/>
          <w:lang w:val="en-US" w:bidi="en-US"/>
          <w:color w:val="111111"/>
          <w:sz w:val="28"/>
          <w:szCs w:val="28"/>
          <w:rtl/>
        </w:rPr>
        <w:t xml:space="preserve">×22/5</w:t>
      </w:r>
      <w:r>
        <w:rPr>
          <w:rFonts w:ascii="IRNazanin" w:hAnsi="IRNazanin" w:eastAsia="IRNazanin" w:cs="IRNazanin"/>
          <w:lang w:bidi="fa-IR"/>
          <w:color w:val="111111"/>
          <w:sz w:val="28"/>
          <w:szCs w:val="28"/>
          <w:rtl/>
        </w:rPr>
        <w:t xml:space="preserve">سم [ف: 1 - 164]</w:t>
      </w:r>
    </w:p>
    <w:p>
      <w:pPr>
        <w:pStyle w:val="BookText"/>
      </w:pPr>
      <w:r>
        <w:rPr>
          <w:rFonts w:ascii="IRNazanin" w:hAnsi="IRNazanin" w:eastAsia="IRNazanin" w:cs="IRNazanin"/>
          <w:lang w:bidi="fa-IR"/>
          <w:color w:val="111111"/>
          <w:sz w:val="28"/>
          <w:szCs w:val="28"/>
          <w:rtl/>
        </w:rPr>
        <w:t xml:space="preserve">452.تهران؛ سپهسالار؛ شماره نسخه: 8177</w:t>
      </w:r>
    </w:p>
    <w:p>
      <w:pPr>
        <w:pStyle w:val="BookText"/>
      </w:pPr>
      <w:r>
        <w:rPr>
          <w:rFonts w:ascii="IRNazanin" w:hAnsi="IRNazanin" w:eastAsia="IRNazanin" w:cs="IRNazanin"/>
          <w:lang w:bidi="fa-IR"/>
          <w:color w:val="111111"/>
          <w:sz w:val="28"/>
          <w:szCs w:val="28"/>
          <w:rtl/>
        </w:rPr>
        <w:t xml:space="preserve">خط: نسخ، بی کا، تا: شنبه 21 ذیحجه 1094ق؛ کاغذ: سپاهانی، جلد: تيماج قهوه ای مقوایی ،ضربی200گ، 18 سطر ، اندازه: 12</w:t>
      </w:r>
      <w:r>
        <w:rPr>
          <w:rFonts w:ascii="Times New Roman" w:hAnsi="Times New Roman" w:eastAsia="Times New Roman" w:cs="Times New Roman"/>
          <w:lang w:val="en-US" w:bidi="en-US"/>
          <w:color w:val="111111"/>
          <w:sz w:val="28"/>
          <w:szCs w:val="28"/>
          <w:rtl/>
        </w:rPr>
        <w:t xml:space="preserve">×24/5</w:t>
      </w:r>
      <w:r>
        <w:rPr>
          <w:rFonts w:ascii="IRNazanin" w:hAnsi="IRNazanin" w:eastAsia="IRNazanin" w:cs="IRNazanin"/>
          <w:lang w:bidi="fa-IR"/>
          <w:color w:val="111111"/>
          <w:sz w:val="28"/>
          <w:szCs w:val="28"/>
          <w:rtl/>
        </w:rPr>
        <w:t xml:space="preserve">سم [ف: 3 - 106]</w:t>
      </w:r>
    </w:p>
    <w:p>
      <w:pPr>
        <w:pStyle w:val="BookText"/>
      </w:pPr>
      <w:r>
        <w:rPr>
          <w:rFonts w:ascii="IRNazanin" w:hAnsi="IRNazanin" w:eastAsia="IRNazanin" w:cs="IRNazanin"/>
          <w:lang w:bidi="fa-IR"/>
          <w:color w:val="111111"/>
          <w:sz w:val="28"/>
          <w:szCs w:val="28"/>
          <w:rtl/>
        </w:rPr>
        <w:t xml:space="preserve">453 . مشهد؛ الهیات؛ شماره نسخه: 22689</w:t>
      </w:r>
    </w:p>
    <w:p>
      <w:pPr>
        <w:pStyle w:val="BookText"/>
      </w:pPr>
      <w:r>
        <w:rPr>
          <w:rFonts w:ascii="IRNazanin" w:hAnsi="IRNazanin" w:eastAsia="IRNazanin" w:cs="IRNazanin"/>
          <w:lang w:bidi="fa-IR"/>
          <w:color w:val="111111"/>
          <w:sz w:val="28"/>
          <w:szCs w:val="28"/>
          <w:rtl/>
        </w:rPr>
        <w:t xml:space="preserve">خط: نسخ و نستعلیق، کا: محمد باقر بن حاجي محب علی قزوینی، تا: 10 شوال1095ق؛ محشی با نشان «ع  .ل»مهر: «خداوندا بحق آل احمد - ترحم کن تو بر سید محمد الحسيني» ؛کاغذ: اصفهانی، جلد: تیماج قهوه ای، 198گ 21 سطر (6/5</w:t>
      </w:r>
      <w:r>
        <w:rPr>
          <w:rFonts w:ascii="Times New Roman" w:hAnsi="Times New Roman" w:eastAsia="Times New Roman" w:cs="Times New Roman"/>
          <w:lang w:val="en-US" w:bidi="en-US"/>
          <w:color w:val="111111"/>
          <w:sz w:val="28"/>
          <w:szCs w:val="28"/>
          <w:rtl/>
        </w:rPr>
        <w:t xml:space="preserve">×16/5)</w:t>
      </w:r>
      <w:r>
        <w:rPr>
          <w:rFonts w:ascii="IRNazanin" w:hAnsi="IRNazanin" w:eastAsia="IRNazanin" w:cs="IRNazanin"/>
          <w:lang w:bidi="fa-IR"/>
          <w:color w:val="111111"/>
          <w:sz w:val="28"/>
          <w:szCs w:val="28"/>
          <w:rtl/>
        </w:rPr>
        <w:t xml:space="preserve">، اندازه: 13/5</w:t>
      </w:r>
      <w:r>
        <w:rPr>
          <w:rFonts w:ascii="Times New Roman" w:hAnsi="Times New Roman" w:eastAsia="Times New Roman" w:cs="Times New Roman"/>
          <w:lang w:val="en-US" w:bidi="en-US"/>
          <w:color w:val="111111"/>
          <w:sz w:val="28"/>
          <w:szCs w:val="28"/>
          <w:rtl/>
        </w:rPr>
        <w:t xml:space="preserve">×25</w:t>
      </w:r>
      <w:r>
        <w:rPr>
          <w:rFonts w:ascii="IRNazanin" w:hAnsi="IRNazanin" w:eastAsia="IRNazanin" w:cs="IRNazanin"/>
          <w:lang w:bidi="fa-IR"/>
          <w:color w:val="111111"/>
          <w:sz w:val="28"/>
          <w:szCs w:val="28"/>
          <w:rtl/>
        </w:rPr>
        <w:t xml:space="preserve">سم [ف: 3 - 836]</w:t>
      </w:r>
    </w:p>
    <w:p>
      <w:pPr>
        <w:pStyle w:val="BookText"/>
      </w:pPr>
      <w:r>
        <w:rPr>
          <w:rFonts w:ascii="IRNazanin" w:hAnsi="IRNazanin" w:eastAsia="IRNazanin" w:cs="IRNazanin"/>
          <w:lang w:bidi="fa-IR"/>
          <w:color w:val="111111"/>
          <w:sz w:val="28"/>
          <w:szCs w:val="28"/>
          <w:rtl/>
        </w:rPr>
        <w:t xml:space="preserve">454.تهران؛ سپهسالار؛ شماره نسخه: 5874</w:t>
      </w:r>
    </w:p>
    <w:p>
      <w:pPr>
        <w:pStyle w:val="BookText"/>
      </w:pPr>
      <w:r>
        <w:rPr>
          <w:rFonts w:ascii="IRNazanin" w:hAnsi="IRNazanin" w:eastAsia="IRNazanin" w:cs="IRNazanin"/>
          <w:lang w:bidi="fa-IR"/>
          <w:color w:val="111111"/>
          <w:sz w:val="28"/>
          <w:szCs w:val="28"/>
          <w:rtl/>
        </w:rPr>
        <w:t xml:space="preserve">خط: نسخ، بی کا، تا: چهارشنبه شعبان 1096ق؛ كاغذ: فرنگی نخودی، جلد: تیماج قهوه ای یک لا، 241گ، 15 سطر ، اندازه: 15</w:t>
      </w:r>
      <w:r>
        <w:rPr>
          <w:rFonts w:ascii="Times New Roman" w:hAnsi="Times New Roman" w:eastAsia="Times New Roman" w:cs="Times New Roman"/>
          <w:lang w:val="en-US" w:bidi="en-US"/>
          <w:color w:val="111111"/>
          <w:sz w:val="28"/>
          <w:szCs w:val="28"/>
          <w:rtl/>
        </w:rPr>
        <w:t xml:space="preserve">× 24</w:t>
      </w:r>
      <w:r>
        <w:rPr>
          <w:rFonts w:ascii="IRNazanin" w:hAnsi="IRNazanin" w:eastAsia="IRNazanin" w:cs="IRNazanin"/>
          <w:lang w:bidi="fa-IR"/>
          <w:color w:val="111111"/>
          <w:sz w:val="28"/>
          <w:szCs w:val="28"/>
          <w:rtl/>
        </w:rPr>
        <w:t xml:space="preserve">سم [ف: 3 - 104]</w:t>
      </w:r>
    </w:p>
    <w:p>
      <w:pPr>
        <w:pStyle w:val="BookText"/>
      </w:pPr>
      <w:r>
        <w:rPr>
          <w:rFonts w:ascii="IRNazanin" w:hAnsi="IRNazanin" w:eastAsia="IRNazanin" w:cs="IRNazanin"/>
          <w:lang w:bidi="fa-IR"/>
          <w:color w:val="111111"/>
          <w:sz w:val="28"/>
          <w:szCs w:val="28"/>
          <w:rtl/>
        </w:rPr>
        <w:t xml:space="preserve">455.تهران؛ مجلس؛ شماره نسخه: 75 ط</w:t>
      </w:r>
    </w:p>
    <w:p>
      <w:pPr>
        <w:pStyle w:val="BookText"/>
      </w:pPr>
      <w:r>
        <w:rPr>
          <w:rFonts w:ascii="IRNazanin" w:hAnsi="IRNazanin" w:eastAsia="IRNazanin" w:cs="IRNazanin"/>
          <w:lang w:bidi="fa-IR"/>
          <w:color w:val="111111"/>
          <w:sz w:val="28"/>
          <w:szCs w:val="28"/>
          <w:rtl/>
        </w:rPr>
        <w:t xml:space="preserve">خط: نسخ، کا: محمد رفیع بن جمال الدین، تا: 1096ق[مختصر - ف: 47 ]</w:t>
      </w:r>
    </w:p>
    <w:p>
      <w:pPr>
        <w:pStyle w:val="BookText"/>
      </w:pPr>
      <w:r>
        <w:rPr>
          <w:rFonts w:ascii="IRNazanin" w:hAnsi="IRNazanin" w:eastAsia="IRNazanin" w:cs="IRNazanin"/>
          <w:lang w:bidi="fa-IR"/>
          <w:color w:val="111111"/>
          <w:sz w:val="28"/>
          <w:szCs w:val="28"/>
          <w:rtl/>
        </w:rPr>
        <w:t xml:space="preserve">456 قم؛ گلپایگانی؛ شماره نسخه : 3636-18/156</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نسخه قدیم و نفیس با تاریخ 1096ق؛ مصحح، محشی؛ تملک: محمد مهدی بن محمدباقر شکریانی، جبر بن سابج المكاتيم، ناظم العلما تبریزی به تاریخ غره جمادی الثانى 1313؛ مهر: «محمد رفیع طباطبائی» (بیضی)، «افوض امری الى الله عبده آقا حسین 1096»؛ جلد: تیماج ،مشکی، 217گ، 17 سطر ، اندازه: 13</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سم [ف: 1 - 301]</w:t>
      </w:r>
    </w:p>
    <w:p>
      <w:pPr>
        <w:pStyle w:val="BookText"/>
      </w:pPr>
      <w:r>
        <w:rPr>
          <w:rFonts w:ascii="Times New Roman" w:hAnsi="Times New Roman" w:eastAsia="Times New Roman" w:cs="Times New Roman"/>
          <w:lang w:val="en-US" w:bidi="en-US"/>
          <w:color w:val="111111"/>
          <w:sz w:val="28"/>
          <w:szCs w:val="28"/>
          <w:rtl/>
        </w:rPr>
        <w:t xml:space="preserve">457.</w:t>
      </w:r>
    </w:p>
    <w:p>
      <w:pPr>
        <w:pStyle w:val="BookText"/>
      </w:pPr>
      <w:r>
        <w:rPr>
          <w:rFonts w:ascii="IRNazanin" w:hAnsi="IRNazanin" w:eastAsia="IRNazanin" w:cs="IRNazanin"/>
          <w:lang w:bidi="fa-IR"/>
          <w:color w:val="111111"/>
          <w:sz w:val="28"/>
          <w:szCs w:val="28"/>
          <w:rtl/>
        </w:rPr>
        <w:t xml:space="preserve">تهران؛ مجلس؛ شماره نسخه: 75طباطبائی</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محمد رفیع بن جمال الدین، تا: 1096ق؛ محشی از على بن عبدالعالی و زین الدین؛ کاغذ:اصفهانی، جلد: تیماج ،قرمز، 216گ، 21 سطر ، قطع: وزیری باریک اندازه: 14</w:t>
      </w:r>
      <w:r>
        <w:rPr>
          <w:rFonts w:ascii="Times New Roman" w:hAnsi="Times New Roman" w:eastAsia="Times New Roman" w:cs="Times New Roman"/>
          <w:lang w:val="en-US" w:bidi="en-US"/>
          <w:color w:val="111111"/>
          <w:sz w:val="28"/>
          <w:szCs w:val="28"/>
          <w:rtl/>
        </w:rPr>
        <w:t xml:space="preserve">×26</w:t>
      </w:r>
      <w:r>
        <w:rPr>
          <w:rFonts w:ascii="IRNazanin" w:hAnsi="IRNazanin" w:eastAsia="IRNazanin" w:cs="IRNazanin"/>
          <w:lang w:bidi="fa-IR"/>
          <w:color w:val="111111"/>
          <w:sz w:val="28"/>
          <w:szCs w:val="28"/>
          <w:rtl/>
        </w:rPr>
        <w:t xml:space="preserve">سم [ف: 24 - 75]</w:t>
      </w:r>
    </w:p>
    <w:p>
      <w:pPr>
        <w:pStyle w:val="BookText"/>
      </w:pPr>
      <w:r>
        <w:rPr>
          <w:rFonts w:ascii="Times New Roman" w:hAnsi="Times New Roman" w:eastAsia="Times New Roman" w:cs="Times New Roman"/>
          <w:lang w:val="en-US" w:bidi="en-US"/>
          <w:color w:val="111111"/>
          <w:sz w:val="28"/>
          <w:szCs w:val="28"/>
          <w:rtl/>
        </w:rPr>
        <w:t xml:space="preserve">458.</w:t>
      </w:r>
    </w:p>
    <w:p>
      <w:pPr>
        <w:pStyle w:val="BookText"/>
      </w:pPr>
      <w:r>
        <w:rPr>
          <w:rFonts w:ascii="IRNazanin" w:hAnsi="IRNazanin" w:eastAsia="IRNazanin" w:cs="IRNazanin"/>
          <w:lang w:bidi="fa-IR"/>
          <w:color w:val="111111"/>
          <w:sz w:val="28"/>
          <w:szCs w:val="28"/>
          <w:rtl/>
        </w:rPr>
        <w:t xml:space="preserve">تهران؛ مجلس؛ شماره نسخه: 3771</w:t>
      </w:r>
    </w:p>
    <w:p>
      <w:pPr>
        <w:pStyle w:val="BookText"/>
      </w:pPr>
      <w:r>
        <w:rPr>
          <w:rFonts w:ascii="IRNazanin" w:hAnsi="IRNazanin" w:eastAsia="IRNazanin" w:cs="IRNazanin"/>
          <w:lang w:bidi="fa-IR"/>
          <w:color w:val="111111"/>
          <w:sz w:val="28"/>
          <w:szCs w:val="28"/>
          <w:rtl/>
        </w:rPr>
        <w:t xml:space="preserve">خط: نسخ، کا: محمد نبی بن ملا نقد على عبدالعظیمی، تا: 1097ق؛ محشی از کتب فقه و حدیث به فارسی و عربی، بر پشت صفحه آخر نوشته ای به نقل از کتاب «منهاج الصلاح» علامه حلی ؛کاغذ: اصفهانی نازک، جلد: تیماج قهوه ای 268 ص 25 سطر، قطع: خشتی اندازه: 13</w:t>
      </w:r>
      <w:r>
        <w:rPr>
          <w:rFonts w:ascii="Times New Roman" w:hAnsi="Times New Roman" w:eastAsia="Times New Roman" w:cs="Times New Roman"/>
          <w:lang w:val="en-US" w:bidi="en-US"/>
          <w:color w:val="111111"/>
          <w:sz w:val="28"/>
          <w:szCs w:val="28"/>
          <w:rtl/>
        </w:rPr>
        <w:t xml:space="preserve">×23/5</w:t>
      </w:r>
      <w:r>
        <w:rPr>
          <w:rFonts w:ascii="IRNazanin" w:hAnsi="IRNazanin" w:eastAsia="IRNazanin" w:cs="IRNazanin"/>
          <w:lang w:bidi="fa-IR"/>
          <w:color w:val="111111"/>
          <w:sz w:val="28"/>
          <w:szCs w:val="28"/>
          <w:rtl/>
        </w:rPr>
        <w:t xml:space="preserve">سم :[ف 10 - 1755]</w:t>
      </w:r>
    </w:p>
    <w:p>
      <w:pPr>
        <w:pStyle w:val="BookText"/>
      </w:pPr>
      <w:r>
        <w:rPr>
          <w:rFonts w:ascii="IRNazanin" w:hAnsi="IRNazanin" w:eastAsia="IRNazanin" w:cs="IRNazanin"/>
          <w:lang w:bidi="fa-IR"/>
          <w:color w:val="111111"/>
          <w:sz w:val="28"/>
          <w:szCs w:val="28"/>
          <w:rtl/>
        </w:rPr>
        <w:t xml:space="preserve">459 . تهران؛ مجلس؛ شماره نسخه: 3463</w:t>
      </w:r>
    </w:p>
    <w:p>
      <w:pPr>
        <w:pStyle w:val="BookText"/>
      </w:pPr>
      <w:r>
        <w:rPr>
          <w:rFonts w:ascii="IRNazanin" w:hAnsi="IRNazanin" w:eastAsia="IRNazanin" w:cs="IRNazanin"/>
          <w:lang w:bidi="fa-IR"/>
          <w:color w:val="111111"/>
          <w:sz w:val="28"/>
          <w:szCs w:val="28"/>
          <w:rtl/>
        </w:rPr>
        <w:t xml:space="preserve">خط: نسخ، بی کا، تا: 1097ق؛ محشی؛ جلد: تیماج قرمز 313ص 21 سطر ، قطع: وزیری اندازه: 15</w:t>
      </w:r>
      <w:r>
        <w:rPr>
          <w:rFonts w:ascii="Times New Roman" w:hAnsi="Times New Roman" w:eastAsia="Times New Roman" w:cs="Times New Roman"/>
          <w:lang w:val="en-US" w:bidi="en-US"/>
          <w:color w:val="111111"/>
          <w:sz w:val="28"/>
          <w:szCs w:val="28"/>
          <w:rtl/>
        </w:rPr>
        <w:t xml:space="preserve">×25</w:t>
      </w:r>
      <w:r>
        <w:rPr>
          <w:rFonts w:ascii="IRNazanin" w:hAnsi="IRNazanin" w:eastAsia="IRNazanin" w:cs="IRNazanin"/>
          <w:lang w:bidi="fa-IR"/>
          <w:color w:val="111111"/>
          <w:sz w:val="28"/>
          <w:szCs w:val="28"/>
          <w:rtl/>
        </w:rPr>
        <w:t xml:space="preserve">سم [ف: 10-1426]</w:t>
      </w:r>
    </w:p>
    <w:p>
      <w:pPr>
        <w:pStyle w:val="BookText"/>
      </w:pPr>
      <w:r>
        <w:rPr>
          <w:rFonts w:ascii="Times New Roman" w:hAnsi="Times New Roman" w:eastAsia="Times New Roman" w:cs="Times New Roman"/>
          <w:lang w:val="en-US" w:bidi="en-US"/>
          <w:color w:val="111111"/>
          <w:sz w:val="28"/>
          <w:szCs w:val="28"/>
          <w:rtl/>
        </w:rPr>
        <w:t xml:space="preserve">460.</w:t>
      </w:r>
    </w:p>
    <w:p>
      <w:pPr>
        <w:pStyle w:val="BookText"/>
      </w:pPr>
      <w:r>
        <w:rPr>
          <w:rFonts w:ascii="IRNazanin" w:hAnsi="IRNazanin" w:eastAsia="IRNazanin" w:cs="IRNazanin"/>
          <w:lang w:bidi="fa-IR"/>
          <w:color w:val="111111"/>
          <w:sz w:val="28"/>
          <w:szCs w:val="28"/>
          <w:rtl/>
        </w:rPr>
        <w:t xml:space="preserve">تهران؛ ملی؛ شماره نسخه: 8302</w:t>
      </w:r>
    </w:p>
    <w:p>
      <w:pPr>
        <w:pStyle w:val="BookText"/>
      </w:pPr>
      <w:r>
        <w:rPr>
          <w:rFonts w:ascii="Amiri" w:hAnsi="Amiri" w:eastAsia="Amiri" w:cs="Amiri"/>
          <w:lang w:bidi="ar-SA"/>
          <w:color w:val="111111"/>
          <w:sz w:val="28"/>
          <w:szCs w:val="28"/>
          <w:rtl/>
        </w:rPr>
        <w:t xml:space="preserve">آغاز: و سهواً اوبترك الطهارة كذلك وتعمد التكفير و الكلام بحرفين مما ليس بقران؛ انجام: برابر</w:t>
      </w:r>
    </w:p>
    <w:p>
      <w:pPr>
        <w:pStyle w:val="BookText"/>
      </w:pPr>
      <w:r>
        <w:rPr>
          <w:rFonts w:ascii="IRNazanin" w:hAnsi="IRNazanin" w:eastAsia="IRNazanin" w:cs="IRNazanin"/>
          <w:lang w:bidi="fa-IR"/>
          <w:color w:val="111111"/>
          <w:sz w:val="28"/>
          <w:szCs w:val="28"/>
          <w:rtl/>
        </w:rPr>
        <w:t xml:space="preserve">خط: نسخ خوش، بی کا، تا: 1097؛ افتادگی: آغاز؛ مصحح، محشی، در برگ دوم یادداشتی مبنی بر وقف کتاب؛ تملک: ملامحسن بن محمد طاهر قزوینی صاحب شرح العوامل معروف و مهر «يا محسن قد اتاك المسيئى 1116»؛ مهر: «لا اله الا الله الملك الحق المبين محمد کاظم» (بیضی)؛ کاغذ: فرنگی نخودی، جلد: تیماج قهوه ای روشن دارای ترنج و سرترنج با نقش گل و بوته ضربی، 188 گ، 15 سطر (11/5</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اندازه: 19/5</w:t>
      </w:r>
      <w:r>
        <w:rPr>
          <w:rFonts w:ascii="Times New Roman" w:hAnsi="Times New Roman" w:eastAsia="Times New Roman" w:cs="Times New Roman"/>
          <w:lang w:val="en-US" w:bidi="en-US"/>
          <w:color w:val="111111"/>
          <w:sz w:val="28"/>
          <w:szCs w:val="28"/>
          <w:rtl/>
        </w:rPr>
        <w:t xml:space="preserve">×29/3</w:t>
      </w:r>
      <w:r>
        <w:rPr>
          <w:rFonts w:ascii="IRNazanin" w:hAnsi="IRNazanin" w:eastAsia="IRNazanin" w:cs="IRNazanin"/>
          <w:lang w:bidi="fa-IR"/>
          <w:color w:val="111111"/>
          <w:sz w:val="28"/>
          <w:szCs w:val="28"/>
          <w:rtl/>
        </w:rPr>
        <w:t xml:space="preserve">سم [ رایانه ]</w:t>
      </w:r>
    </w:p>
    <w:p>
      <w:pPr>
        <w:pStyle w:val="BookText"/>
      </w:pPr>
      <w:r>
        <w:rPr>
          <w:rFonts w:ascii="Times New Roman" w:hAnsi="Times New Roman" w:eastAsia="Times New Roman" w:cs="Times New Roman"/>
          <w:lang w:val="en-US" w:bidi="en-US"/>
          <w:color w:val="111111"/>
          <w:sz w:val="28"/>
          <w:szCs w:val="28"/>
          <w:rtl/>
        </w:rPr>
        <w:t xml:space="preserve">461.</w:t>
      </w:r>
    </w:p>
    <w:p>
      <w:pPr>
        <w:pStyle w:val="BookText"/>
      </w:pPr>
      <w:r>
        <w:rPr>
          <w:rFonts w:ascii="IRNazanin" w:hAnsi="IRNazanin" w:eastAsia="IRNazanin" w:cs="IRNazanin"/>
          <w:lang w:bidi="fa-IR"/>
          <w:color w:val="111111"/>
          <w:sz w:val="28"/>
          <w:szCs w:val="28"/>
          <w:rtl/>
        </w:rPr>
        <w:t xml:space="preserve">تهران؛ مفتاح؛ شماره نسخه: 157/1</w:t>
      </w:r>
    </w:p>
    <w:p>
      <w:pPr>
        <w:pStyle w:val="BookText"/>
      </w:pPr>
      <w:r>
        <w:rPr>
          <w:rFonts w:ascii="IRNazanin" w:hAnsi="IRNazanin" w:eastAsia="IRNazanin" w:cs="IRNazanin"/>
          <w:lang w:bidi="fa-IR"/>
          <w:color w:val="111111"/>
          <w:sz w:val="28"/>
          <w:szCs w:val="28"/>
          <w:rtl/>
        </w:rPr>
        <w:t xml:space="preserve">خط : نسخ، کا: محمد امین بن محمد علی، تا: 10 صفر 1098ق، جا: شهر نسا [نشریه: 7 - 224]</w:t>
      </w:r>
    </w:p>
    <w:p>
      <w:pPr>
        <w:pStyle w:val="BookText"/>
      </w:pPr>
      <w:r>
        <w:rPr>
          <w:rFonts w:ascii="IRNazanin" w:hAnsi="IRNazanin" w:eastAsia="IRNazanin" w:cs="IRNazanin"/>
          <w:lang w:bidi="fa-IR"/>
          <w:color w:val="111111"/>
          <w:sz w:val="28"/>
          <w:szCs w:val="28"/>
          <w:rtl/>
        </w:rPr>
        <w:t xml:space="preserve">462.تهران؛ ملی؛ شماره نسخه: 1/ 3192</w:t>
      </w:r>
    </w:p>
    <w:p>
      <w:pPr>
        <w:pStyle w:val="BookText"/>
      </w:pPr>
      <w:r>
        <w:rPr>
          <w:rFonts w:ascii="IRNazanin" w:hAnsi="IRNazanin" w:eastAsia="IRNazanin" w:cs="IRNazanin"/>
          <w:lang w:bidi="fa-IR"/>
          <w:color w:val="111111"/>
          <w:sz w:val="28"/>
          <w:szCs w:val="28"/>
          <w:rtl/>
        </w:rPr>
        <w:t xml:space="preserve">فاقد کتاب های طهارت و صلات و اوایل کتاب زکات می باشد؛ خط: نسخ و نستعلیق، کا: محمد امین بن حمد على شريف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استر آبادی، تا: 1098-1101؛ افتادگی: آغاز؛ کاغذ: اصفهانی نخودی، جلد: تیماج زرشکی مقوایی مجدول ضربی اندرون جلد روکش کاغذی ابری 250 ص( 1-250)، 15 سطر (6 </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 اندازه: 12/5</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سم [ف: 14 - 300]</w:t>
      </w:r>
    </w:p>
    <w:p>
      <w:pPr>
        <w:pStyle w:val="BookText"/>
      </w:pPr>
      <w:r>
        <w:rPr>
          <w:rFonts w:ascii="Times New Roman" w:hAnsi="Times New Roman" w:eastAsia="Times New Roman" w:cs="Times New Roman"/>
          <w:lang w:val="en-US" w:bidi="en-US"/>
          <w:color w:val="111111"/>
          <w:sz w:val="28"/>
          <w:szCs w:val="28"/>
          <w:rtl/>
        </w:rPr>
        <w:t xml:space="preserve">463.</w:t>
      </w:r>
    </w:p>
    <w:p>
      <w:pPr>
        <w:pStyle w:val="BookText"/>
      </w:pPr>
      <w:r>
        <w:rPr>
          <w:rFonts w:ascii="IRNazanin" w:hAnsi="IRNazanin" w:eastAsia="IRNazanin" w:cs="IRNazanin"/>
          <w:lang w:bidi="fa-IR"/>
          <w:color w:val="111111"/>
          <w:sz w:val="28"/>
          <w:szCs w:val="28"/>
          <w:rtl/>
        </w:rPr>
        <w:t xml:space="preserve">قم؛ مرکز احیاء؛ شماره نسخه:2651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محمد بن عبدالله حلی، تا: چهارشنبه 25 جما الثانی 1098ق ،مصحح ،محشی دارای علامت بلاغ؛ مهر: «یا رفیع الدرجات» (مربع)؛ جلد: مقوایی عطف تیماج ،مشکی، 141گ سطر ، اندازه: 19/5</w:t>
      </w:r>
      <w:r>
        <w:rPr>
          <w:rFonts w:ascii="Times New Roman" w:hAnsi="Times New Roman" w:eastAsia="Times New Roman" w:cs="Times New Roman"/>
          <w:lang w:val="en-US" w:bidi="en-US"/>
          <w:color w:val="111111"/>
          <w:sz w:val="28"/>
          <w:szCs w:val="28"/>
          <w:rtl/>
        </w:rPr>
        <w:t xml:space="preserve">×29</w:t>
      </w:r>
      <w:r>
        <w:rPr>
          <w:rFonts w:ascii="IRNazanin" w:hAnsi="IRNazanin" w:eastAsia="IRNazanin" w:cs="IRNazanin"/>
          <w:lang w:bidi="fa-IR"/>
          <w:color w:val="111111"/>
          <w:sz w:val="28"/>
          <w:szCs w:val="28"/>
          <w:rtl/>
        </w:rPr>
        <w:t xml:space="preserve">سم [محدث ارموی مخ: 1- 111]</w:t>
      </w:r>
    </w:p>
    <w:p>
      <w:pPr>
        <w:pStyle w:val="BookText"/>
      </w:pPr>
      <w:r>
        <w:rPr>
          <w:rFonts w:ascii="IRNazanin" w:hAnsi="IRNazanin" w:eastAsia="IRNazanin" w:cs="IRNazanin"/>
          <w:lang w:bidi="fa-IR"/>
          <w:color w:val="111111"/>
          <w:sz w:val="28"/>
          <w:szCs w:val="28"/>
          <w:rtl/>
        </w:rPr>
        <w:t xml:space="preserve">464 . قم؛ گلپایگانی؛ شماره نسخه: 5335-27/5</w:t>
      </w:r>
    </w:p>
    <w:p>
      <w:pPr>
        <w:pStyle w:val="BookText"/>
      </w:pPr>
      <w:r>
        <w:rPr>
          <w:rFonts w:ascii="IRNazanin" w:hAnsi="IRNazanin" w:eastAsia="IRNazanin" w:cs="IRNazanin"/>
          <w:lang w:bidi="fa-IR"/>
          <w:color w:val="111111"/>
          <w:sz w:val="28"/>
          <w:szCs w:val="28"/>
          <w:rtl/>
        </w:rPr>
        <w:t xml:space="preserve">آغاز: الشريعة على وجه الايجاز والاخصار خال عن التطویل والاكثار فاجبت مطلوبه بهذا الكتاب الموسوم بارشاد الاذهان الی احکام الایمان؛ انجام: برابر</w:t>
      </w:r>
    </w:p>
    <w:p>
      <w:pPr>
        <w:pStyle w:val="BookText"/>
      </w:pPr>
      <w:r>
        <w:rPr>
          <w:rFonts w:ascii="IRNazanin" w:hAnsi="IRNazanin" w:eastAsia="IRNazanin" w:cs="IRNazanin"/>
          <w:lang w:bidi="fa-IR"/>
          <w:color w:val="111111"/>
          <w:sz w:val="28"/>
          <w:szCs w:val="28"/>
          <w:rtl/>
        </w:rPr>
        <w:t xml:space="preserve">کا: محمد مومن بن محمد صالح کسکری، تا: 7 جمادی الا 1098ق؛ افتادگی: آغاز؛ در پایان علامت «بلغ مقابلة»؛ جلد: تيماج قهوه ای سوخت با ترنج و سر لچکی مجدول، 177گ، 18 سطر، اندازه: 20</w:t>
      </w:r>
      <w:r>
        <w:rPr>
          <w:rFonts w:ascii="Times New Roman" w:hAnsi="Times New Roman" w:eastAsia="Times New Roman" w:cs="Times New Roman"/>
          <w:lang w:val="en-US" w:bidi="en-US"/>
          <w:color w:val="111111"/>
          <w:sz w:val="28"/>
          <w:szCs w:val="28"/>
          <w:rtl/>
        </w:rPr>
        <w:t xml:space="preserve">×32</w:t>
      </w:r>
      <w:r>
        <w:rPr>
          <w:rFonts w:ascii="IRNazanin" w:hAnsi="IRNazanin" w:eastAsia="IRNazanin" w:cs="IRNazanin"/>
          <w:lang w:bidi="fa-IR"/>
          <w:color w:val="111111"/>
          <w:sz w:val="28"/>
          <w:szCs w:val="28"/>
          <w:rtl/>
        </w:rPr>
        <w:t xml:space="preserve">سم [ف: 1 - 306]</w:t>
      </w:r>
    </w:p>
    <w:p>
      <w:pPr>
        <w:pStyle w:val="BookText"/>
      </w:pPr>
      <w:r>
        <w:rPr>
          <w:rFonts w:ascii="IRNazanin" w:hAnsi="IRNazanin" w:eastAsia="IRNazanin" w:cs="IRNazanin"/>
          <w:lang w:bidi="fa-IR"/>
          <w:color w:val="111111"/>
          <w:sz w:val="28"/>
          <w:szCs w:val="28"/>
          <w:rtl/>
        </w:rPr>
        <w:t xml:space="preserve">465 . قم؛ گلپایگانی؛ شماره نسخه: 1354-8/64</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على بن سهر بن حسن جیلانی، تا: 15 رمضان 1098ق؛ محشی از علماء و کتب و نشان «منه ره» و «ع ل» تيماج قهوه ای ترنج با سرترنج، 243گ، 17 سطر ، 13/5</w:t>
      </w:r>
      <w:r>
        <w:rPr>
          <w:rFonts w:ascii="Times New Roman" w:hAnsi="Times New Roman" w:eastAsia="Times New Roman" w:cs="Times New Roman"/>
          <w:lang w:val="en-US" w:bidi="en-US"/>
          <w:color w:val="111111"/>
          <w:sz w:val="28"/>
          <w:szCs w:val="28"/>
          <w:rtl/>
        </w:rPr>
        <w:t xml:space="preserve">×25/5</w:t>
      </w:r>
      <w:r>
        <w:rPr>
          <w:rFonts w:ascii="IRNazanin" w:hAnsi="IRNazanin" w:eastAsia="IRNazanin" w:cs="IRNazanin"/>
          <w:lang w:bidi="fa-IR"/>
          <w:color w:val="111111"/>
          <w:sz w:val="28"/>
          <w:szCs w:val="28"/>
          <w:rtl/>
        </w:rPr>
        <w:t xml:space="preserve">سم [ف: 1 - 301]</w:t>
      </w:r>
    </w:p>
    <w:p>
      <w:pPr>
        <w:pStyle w:val="BookText"/>
      </w:pPr>
      <w:r>
        <w:rPr>
          <w:rFonts w:ascii="IRNazanin" w:hAnsi="IRNazanin" w:eastAsia="IRNazanin" w:cs="IRNazanin"/>
          <w:lang w:bidi="fa-IR"/>
          <w:color w:val="111111"/>
          <w:sz w:val="28"/>
          <w:szCs w:val="28"/>
          <w:rtl/>
        </w:rPr>
        <w:t xml:space="preserve">466 . قم؛ گلپایگانی؛ شماره نسخه: 7969-54/59</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بی کا، تا: با تاریخ 1099ق؛ تملک: رضی الدین موسوی حسینی خطیب الاردق در 24 ربیع الثانى 1099؛ 224گ، 20 سطر ، اندازه: 13</w:t>
      </w:r>
      <w:r>
        <w:rPr>
          <w:rFonts w:ascii="Times New Roman" w:hAnsi="Times New Roman" w:eastAsia="Times New Roman" w:cs="Times New Roman"/>
          <w:lang w:val="en-US" w:bidi="en-US"/>
          <w:color w:val="111111"/>
          <w:sz w:val="28"/>
          <w:szCs w:val="28"/>
          <w:rtl/>
        </w:rPr>
        <w:t xml:space="preserve">×24</w:t>
      </w:r>
      <w:r>
        <w:rPr>
          <w:rFonts w:ascii="IRNazanin" w:hAnsi="IRNazanin" w:eastAsia="IRNazanin" w:cs="IRNazanin"/>
          <w:lang w:bidi="fa-IR"/>
          <w:color w:val="111111"/>
          <w:sz w:val="28"/>
          <w:szCs w:val="28"/>
          <w:rtl/>
        </w:rPr>
        <w:t xml:space="preserve">سم [ف: 1 - 304]</w:t>
      </w:r>
    </w:p>
    <w:p>
      <w:pPr>
        <w:pStyle w:val="BookText"/>
      </w:pPr>
      <w:r>
        <w:rPr>
          <w:rFonts w:ascii="Times New Roman" w:hAnsi="Times New Roman" w:eastAsia="Times New Roman" w:cs="Times New Roman"/>
          <w:lang w:val="en-US" w:bidi="en-US"/>
          <w:color w:val="111111"/>
          <w:sz w:val="28"/>
          <w:szCs w:val="28"/>
          <w:rtl/>
        </w:rPr>
        <w:t xml:space="preserve">467.</w:t>
      </w:r>
    </w:p>
    <w:p>
      <w:pPr>
        <w:pStyle w:val="BookText"/>
      </w:pPr>
      <w:r>
        <w:rPr>
          <w:rFonts w:ascii="IRNazanin" w:hAnsi="IRNazanin" w:eastAsia="IRNazanin" w:cs="IRNazanin"/>
          <w:lang w:bidi="fa-IR"/>
          <w:color w:val="111111"/>
          <w:sz w:val="28"/>
          <w:szCs w:val="28"/>
          <w:rtl/>
        </w:rPr>
        <w:t xml:space="preserve">قم؛ گلپایگانی؛ شماره نسخه: 1983-11/83</w:t>
      </w:r>
    </w:p>
    <w:p>
      <w:pPr>
        <w:pStyle w:val="BookText"/>
      </w:pPr>
      <w:r>
        <w:rPr>
          <w:rFonts w:ascii="Amiri" w:hAnsi="Amiri" w:eastAsia="Amiri" w:cs="Amiri"/>
          <w:lang w:bidi="ar-SA"/>
          <w:color w:val="111111"/>
          <w:sz w:val="28"/>
          <w:szCs w:val="28"/>
          <w:rtl/>
        </w:rPr>
        <w:t xml:space="preserve">آغاز: اللحم وشد العظم او خمسة عشر رضعة ويشترط كمال كل؛ انجام: وتجب نية الكفاره وتعيين جهتها على راى... فان فاته بعض الشهر اكمل ثلاثين النظر</w:t>
      </w:r>
    </w:p>
    <w:p>
      <w:pPr>
        <w:pStyle w:val="BookText"/>
      </w:pPr>
      <w:r>
        <w:rPr>
          <w:rFonts w:ascii="IRNazanin" w:hAnsi="IRNazanin" w:eastAsia="IRNazanin" w:cs="IRNazanin"/>
          <w:lang w:bidi="fa-IR"/>
          <w:color w:val="111111"/>
          <w:sz w:val="28"/>
          <w:szCs w:val="28"/>
          <w:rtl/>
        </w:rPr>
        <w:t xml:space="preserve">از نیمه نکاح تا بخشی از عتق؛ خط: نسخ، بی کا، تا: قرن 12؛ افتادگی: آغاز و انجام :جلد: مقوا 41گ، 17 سطر ، اندازه: 17</w:t>
      </w:r>
      <w:r>
        <w:rPr>
          <w:rFonts w:ascii="Times New Roman" w:hAnsi="Times New Roman" w:eastAsia="Times New Roman" w:cs="Times New Roman"/>
          <w:lang w:val="en-US" w:bidi="en-US"/>
          <w:color w:val="111111"/>
          <w:sz w:val="28"/>
          <w:szCs w:val="28"/>
          <w:rtl/>
        </w:rPr>
        <w:t xml:space="preserve">×24</w:t>
      </w:r>
      <w:r>
        <w:rPr>
          <w:rFonts w:ascii="IRNazanin" w:hAnsi="IRNazanin" w:eastAsia="IRNazanin" w:cs="IRNazanin"/>
          <w:lang w:bidi="fa-IR"/>
          <w:color w:val="111111"/>
          <w:sz w:val="28"/>
          <w:szCs w:val="28"/>
          <w:rtl/>
        </w:rPr>
        <w:t xml:space="preserve">سم [ف: 1 - 307]</w:t>
      </w:r>
    </w:p>
    <w:p>
      <w:pPr>
        <w:pStyle w:val="BookText"/>
      </w:pPr>
      <w:r>
        <w:rPr>
          <w:rFonts w:ascii="IRNazanin" w:hAnsi="IRNazanin" w:eastAsia="IRNazanin" w:cs="IRNazanin"/>
          <w:lang w:bidi="fa-IR"/>
          <w:color w:val="111111"/>
          <w:sz w:val="28"/>
          <w:szCs w:val="28"/>
          <w:rtl/>
        </w:rPr>
        <w:t xml:space="preserve">468 . قم؛ گلپایگانی؛ شماره نسخه: 3114-16/124</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بخش کهن قرن 12 بخش نونویس قرن 13؛جلد: تیماج سرخ عطف و گوشه تیماج قهوه ای ضربی مجدول  گرهی، 218گ، 14-16 سطر ، اندازه: 13</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سم [ف: 1 - 301 ]</w:t>
      </w:r>
    </w:p>
    <w:p>
      <w:pPr>
        <w:pStyle w:val="BookText"/>
      </w:pPr>
      <w:r>
        <w:rPr>
          <w:rFonts w:ascii="Times New Roman" w:hAnsi="Times New Roman" w:eastAsia="Times New Roman" w:cs="Times New Roman"/>
          <w:lang w:val="en-US" w:bidi="en-US"/>
          <w:color w:val="111111"/>
          <w:sz w:val="28"/>
          <w:szCs w:val="28"/>
          <w:rtl/>
        </w:rPr>
        <w:t xml:space="preserve">469.</w:t>
      </w:r>
    </w:p>
    <w:p>
      <w:pPr>
        <w:pStyle w:val="BookText"/>
      </w:pPr>
      <w:r>
        <w:rPr>
          <w:rFonts w:ascii="IRNazanin" w:hAnsi="IRNazanin" w:eastAsia="IRNazanin" w:cs="IRNazanin"/>
          <w:lang w:bidi="fa-IR"/>
          <w:color w:val="111111"/>
          <w:sz w:val="28"/>
          <w:szCs w:val="28"/>
          <w:rtl/>
        </w:rPr>
        <w:t xml:space="preserve">تهران؛ نوربخش؛ شماره نسخه: 805</w:t>
      </w:r>
    </w:p>
    <w:p>
      <w:pPr>
        <w:pStyle w:val="BookText"/>
      </w:pPr>
      <w:r>
        <w:rPr>
          <w:rFonts w:ascii="IRNazanin" w:hAnsi="IRNazanin" w:eastAsia="IRNazanin" w:cs="IRNazanin"/>
          <w:lang w:bidi="fa-IR"/>
          <w:color w:val="111111"/>
          <w:sz w:val="28"/>
          <w:szCs w:val="28"/>
          <w:rtl/>
        </w:rPr>
        <w:t xml:space="preserve">خط: نسخ، بی کا، تا: قرن 11-12؛ افتادگی: انجام؛ بر پشت برگ نخست یادداشتی است درباره واقعه و یا در زنجان به تاریخ 1269ق؛ كاغذ: فرنگی ،جلد: تیماج قهوه ای یک لا، 224گ، 15 سطر ، قطع : خشتی [نشریه: 13 – 180]</w:t>
      </w:r>
    </w:p>
    <w:p>
      <w:pPr>
        <w:pStyle w:val="BookText"/>
      </w:pPr>
      <w:r>
        <w:rPr>
          <w:rFonts w:ascii="Times New Roman" w:hAnsi="Times New Roman" w:eastAsia="Times New Roman" w:cs="Times New Roman"/>
          <w:lang w:val="en-US" w:bidi="en-US"/>
          <w:color w:val="111111"/>
          <w:sz w:val="28"/>
          <w:szCs w:val="28"/>
          <w:rtl/>
        </w:rPr>
        <w:t xml:space="preserve">470.</w:t>
      </w:r>
    </w:p>
    <w:p>
      <w:pPr>
        <w:pStyle w:val="BookText"/>
      </w:pPr>
      <w:r>
        <w:rPr>
          <w:rFonts w:ascii="IRNazanin" w:hAnsi="IRNazanin" w:eastAsia="IRNazanin" w:cs="IRNazanin"/>
          <w:lang w:bidi="fa-IR"/>
          <w:color w:val="111111"/>
          <w:sz w:val="28"/>
          <w:szCs w:val="28"/>
          <w:rtl/>
        </w:rPr>
        <w:t xml:space="preserve">تهران؛ الهیات؛ شماره نسخه: 83</w:t>
      </w:r>
    </w:p>
    <w:p>
      <w:pPr>
        <w:pStyle w:val="BookText"/>
      </w:pPr>
      <w:r>
        <w:rPr>
          <w:rFonts w:ascii="IRNazanin" w:hAnsi="IRNazanin" w:eastAsia="IRNazanin" w:cs="IRNazanin"/>
          <w:lang w:bidi="fa-IR"/>
          <w:color w:val="111111"/>
          <w:sz w:val="28"/>
          <w:szCs w:val="28"/>
          <w:rtl/>
        </w:rPr>
        <w:t xml:space="preserve">از طهارت تا آغاز میراث؛ خط: نسخ، بی کا: تا: قرن 11 و 12 ؛افتادگی: انجام؛ محشی با نشان «زین الدین، ع ل»؛ کاغذ: فرنگی، جلد: تیماج مشکی ،مقوایی 184گ 13 سطر (10/5</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قطع: رحلی، اندازه: 19/5</w:t>
      </w:r>
      <w:r>
        <w:rPr>
          <w:rFonts w:ascii="Times New Roman" w:hAnsi="Times New Roman" w:eastAsia="Times New Roman" w:cs="Times New Roman"/>
          <w:lang w:val="en-US" w:bidi="en-US"/>
          <w:color w:val="111111"/>
          <w:sz w:val="28"/>
          <w:szCs w:val="28"/>
          <w:rtl/>
        </w:rPr>
        <w:t xml:space="preserve">×30</w:t>
      </w:r>
      <w:r>
        <w:rPr>
          <w:rFonts w:ascii="IRNazanin" w:hAnsi="IRNazanin" w:eastAsia="IRNazanin" w:cs="IRNazanin"/>
          <w:lang w:bidi="fa-IR"/>
          <w:color w:val="111111"/>
          <w:sz w:val="28"/>
          <w:szCs w:val="28"/>
          <w:rtl/>
        </w:rPr>
        <w:t xml:space="preserve">سم [ف: - 450]</w:t>
      </w:r>
    </w:p>
    <w:p>
      <w:pPr>
        <w:pStyle w:val="BookText"/>
      </w:pPr>
      <w:r>
        <w:rPr>
          <w:rFonts w:ascii="Times New Roman" w:hAnsi="Times New Roman" w:eastAsia="Times New Roman" w:cs="Times New Roman"/>
          <w:lang w:val="en-US" w:bidi="en-US"/>
          <w:color w:val="111111"/>
          <w:sz w:val="28"/>
          <w:szCs w:val="28"/>
          <w:rtl/>
        </w:rPr>
        <w:t xml:space="preserve">471.</w:t>
      </w:r>
    </w:p>
    <w:p>
      <w:pPr>
        <w:pStyle w:val="BookText"/>
      </w:pPr>
      <w:r>
        <w:rPr>
          <w:rFonts w:ascii="IRNazanin" w:hAnsi="IRNazanin" w:eastAsia="IRNazanin" w:cs="IRNazanin"/>
          <w:lang w:bidi="fa-IR"/>
          <w:color w:val="111111"/>
          <w:sz w:val="28"/>
          <w:szCs w:val="28"/>
          <w:rtl/>
        </w:rPr>
        <w:t xml:space="preserve">قم؛ گلپایگانی؛ شماره نسخه: 2575-14/25</w:t>
      </w:r>
    </w:p>
    <w:p>
      <w:pPr>
        <w:pStyle w:val="BookText"/>
      </w:pPr>
      <w:r>
        <w:rPr>
          <w:rFonts w:ascii="Amiri" w:hAnsi="Amiri" w:eastAsia="Amiri" w:cs="Amiri"/>
          <w:lang w:bidi="ar-SA"/>
          <w:color w:val="111111"/>
          <w:sz w:val="28"/>
          <w:szCs w:val="28"/>
          <w:rtl/>
        </w:rPr>
        <w:t xml:space="preserve">آغاز: برابر انجام: من الطفل او من الاسنان له الدية و لو قطعا الاسنان فديتان و فى نقصان المضغ او تصلبهما الارش و في اليدين الدية و في كل</w:t>
      </w:r>
    </w:p>
    <w:p>
      <w:pPr>
        <w:pStyle w:val="BookText"/>
      </w:pPr>
      <w:r>
        <w:rPr>
          <w:rFonts w:ascii="IRNazanin" w:hAnsi="IRNazanin" w:eastAsia="IRNazanin" w:cs="IRNazanin"/>
          <w:lang w:bidi="fa-IR"/>
          <w:color w:val="111111"/>
          <w:sz w:val="28"/>
          <w:szCs w:val="28"/>
          <w:rtl/>
        </w:rPr>
        <w:t xml:space="preserve">خط: نسخ، بی کا، تا: قرن 12؛ افتادگی: انجام؛ جلد: تیماج قهوه ای سوخت با نقش شمسه در وسط ،198گ، 13-15 سطر ، اندازه: 20 </w:t>
      </w:r>
      <w:r>
        <w:rPr>
          <w:rFonts w:ascii="Times New Roman" w:hAnsi="Times New Roman" w:eastAsia="Times New Roman" w:cs="Times New Roman"/>
          <w:lang w:val="en-US" w:bidi="en-US"/>
          <w:color w:val="111111"/>
          <w:sz w:val="28"/>
          <w:szCs w:val="28"/>
          <w:rtl/>
        </w:rPr>
        <w:t xml:space="preserve">×28</w:t>
      </w:r>
      <w:r>
        <w:rPr>
          <w:rFonts w:ascii="IRNazanin" w:hAnsi="IRNazanin" w:eastAsia="IRNazanin" w:cs="IRNazanin"/>
          <w:lang w:bidi="fa-IR"/>
          <w:color w:val="111111"/>
          <w:sz w:val="28"/>
          <w:szCs w:val="28"/>
          <w:rtl/>
        </w:rPr>
        <w:t xml:space="preserve">سم [ف: 1 - 304]</w:t>
      </w:r>
    </w:p>
    <w:p>
      <w:pPr>
        <w:pStyle w:val="BookText"/>
      </w:pPr>
      <w:r>
        <w:rPr>
          <w:rFonts w:ascii="IRNazanin" w:hAnsi="IRNazanin" w:eastAsia="IRNazanin" w:cs="IRNazanin"/>
          <w:lang w:bidi="fa-IR"/>
          <w:color w:val="111111"/>
          <w:sz w:val="28"/>
          <w:szCs w:val="28"/>
          <w:rtl/>
        </w:rPr>
        <w:t xml:space="preserve">472 . قم؛ گلپایگانی؛ شماره نسخه: 4489-23/9</w:t>
      </w:r>
    </w:p>
    <w:p>
      <w:pPr>
        <w:pStyle w:val="BookText"/>
      </w:pPr>
      <w:r>
        <w:rPr>
          <w:rFonts w:ascii="Amiri" w:hAnsi="Amiri" w:eastAsia="Amiri" w:cs="Amiri"/>
          <w:lang w:bidi="ar-SA"/>
          <w:color w:val="111111"/>
          <w:sz w:val="28"/>
          <w:szCs w:val="28"/>
          <w:rtl/>
        </w:rPr>
        <w:t xml:space="preserve">آغاز: برابر؛ انجام: المطلب الرابع فى تصرفات المريض كل تصرف مقرون بالوفاة فهو وصية من الثلث و ان كان صحيحا و اما المنجزات</w:t>
      </w:r>
    </w:p>
    <w:p>
      <w:pPr>
        <w:pStyle w:val="BookText"/>
      </w:pPr>
      <w:r>
        <w:rPr>
          <w:rFonts w:ascii="IRNazanin" w:hAnsi="IRNazanin" w:eastAsia="IRNazanin" w:cs="IRNazanin"/>
          <w:lang w:bidi="fa-IR"/>
          <w:color w:val="111111"/>
          <w:sz w:val="28"/>
          <w:szCs w:val="28"/>
          <w:rtl/>
        </w:rPr>
        <w:t xml:space="preserve">خط: نسخ، بی کا، تا: قرن 12؛ افتادگی: انجام؛ جلد: مقوای سفید، 102 گ، 16 سطر ، اندازه: 21</w:t>
      </w:r>
      <w:r>
        <w:rPr>
          <w:rFonts w:ascii="Times New Roman" w:hAnsi="Times New Roman" w:eastAsia="Times New Roman" w:cs="Times New Roman"/>
          <w:lang w:val="en-US" w:bidi="en-US"/>
          <w:color w:val="111111"/>
          <w:sz w:val="28"/>
          <w:szCs w:val="28"/>
          <w:rtl/>
        </w:rPr>
        <w:t xml:space="preserve">×30</w:t>
      </w:r>
      <w:r>
        <w:rPr>
          <w:rFonts w:ascii="IRNazanin" w:hAnsi="IRNazanin" w:eastAsia="IRNazanin" w:cs="IRNazanin"/>
          <w:lang w:bidi="fa-IR"/>
          <w:color w:val="111111"/>
          <w:sz w:val="28"/>
          <w:szCs w:val="28"/>
          <w:rtl/>
        </w:rPr>
        <w:t xml:space="preserve">سم [ف: 1 - 305]</w:t>
      </w:r>
    </w:p>
    <w:p>
      <w:pPr>
        <w:pStyle w:val="BookText"/>
      </w:pPr>
      <w:r>
        <w:rPr>
          <w:rFonts w:ascii="Times New Roman" w:hAnsi="Times New Roman" w:eastAsia="Times New Roman" w:cs="Times New Roman"/>
          <w:lang w:val="en-US" w:bidi="en-US"/>
          <w:color w:val="111111"/>
          <w:sz w:val="28"/>
          <w:szCs w:val="28"/>
          <w:rtl/>
        </w:rPr>
        <w:t xml:space="preserve">473.</w:t>
      </w:r>
    </w:p>
    <w:p>
      <w:pPr>
        <w:pStyle w:val="BookText"/>
      </w:pPr>
      <w:r>
        <w:rPr>
          <w:rFonts w:ascii="IRNazanin" w:hAnsi="IRNazanin" w:eastAsia="IRNazanin" w:cs="IRNazanin"/>
          <w:lang w:bidi="fa-IR"/>
          <w:color w:val="111111"/>
          <w:sz w:val="28"/>
          <w:szCs w:val="28"/>
          <w:rtl/>
        </w:rPr>
        <w:t xml:space="preserve">قم؛ گلپایگانی؛ شماره نسخه: 5153-26/53</w:t>
      </w:r>
    </w:p>
    <w:p>
      <w:pPr>
        <w:pStyle w:val="BookText"/>
      </w:pPr>
      <w:r>
        <w:rPr>
          <w:rFonts w:ascii="Amiri" w:hAnsi="Amiri" w:eastAsia="Amiri" w:cs="Amiri"/>
          <w:lang w:bidi="ar-SA"/>
          <w:color w:val="111111"/>
          <w:sz w:val="28"/>
          <w:szCs w:val="28"/>
          <w:rtl/>
        </w:rPr>
        <w:t xml:space="preserve">آغاز: برابر؛ انجام: المقصد الخامس فى دية المنافع في العقل الدية وفى البعض الارش بحسب</w:t>
      </w:r>
    </w:p>
    <w:p>
      <w:pPr>
        <w:pStyle w:val="BookText"/>
      </w:pPr>
      <w:r>
        <w:rPr>
          <w:rFonts w:ascii="IRNazanin" w:hAnsi="IRNazanin" w:eastAsia="IRNazanin" w:cs="IRNazanin"/>
          <w:lang w:bidi="fa-IR"/>
          <w:color w:val="111111"/>
          <w:sz w:val="28"/>
          <w:szCs w:val="28"/>
          <w:rtl/>
        </w:rPr>
        <w:t xml:space="preserve">خط: نسخ، بی کا، تا: قرن 12؛ افتادگی: انجام؛ جلد: تیماج زیتونی ضربی مجدول، 263گ، 17سطر، اندازه: 12</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1 - 305]</w:t>
      </w:r>
    </w:p>
    <w:p>
      <w:pPr>
        <w:pStyle w:val="BookText"/>
      </w:pPr>
      <w:r>
        <w:rPr>
          <w:rFonts w:ascii="Times New Roman" w:hAnsi="Times New Roman" w:eastAsia="Times New Roman" w:cs="Times New Roman"/>
          <w:lang w:val="en-US" w:bidi="en-US"/>
          <w:color w:val="111111"/>
          <w:sz w:val="28"/>
          <w:szCs w:val="28"/>
          <w:rtl/>
        </w:rPr>
        <w:t xml:space="preserve">474.</w:t>
      </w:r>
    </w:p>
    <w:p>
      <w:pPr>
        <w:pStyle w:val="BookText"/>
      </w:pPr>
      <w:r>
        <w:rPr>
          <w:rFonts w:ascii="IRNazanin" w:hAnsi="IRNazanin" w:eastAsia="IRNazanin" w:cs="IRNazanin"/>
          <w:lang w:bidi="fa-IR"/>
          <w:color w:val="111111"/>
          <w:sz w:val="28"/>
          <w:szCs w:val="28"/>
          <w:rtl/>
        </w:rPr>
        <w:t xml:space="preserve">یزد؛ وزیری؛ شماره نسخه: 1138</w:t>
      </w:r>
    </w:p>
    <w:p>
      <w:pPr>
        <w:pStyle w:val="BookText"/>
      </w:pPr>
      <w:r>
        <w:rPr>
          <w:rFonts w:ascii="Amiri" w:hAnsi="Amiri" w:eastAsia="Amiri" w:cs="Amiri"/>
          <w:lang w:bidi="ar-SA"/>
          <w:color w:val="111111"/>
          <w:sz w:val="28"/>
          <w:szCs w:val="28"/>
          <w:rtl/>
        </w:rPr>
        <w:t xml:space="preserve">آغاز: الموسوم بارشاد الاذهان الى احكام الايمان مستمداً من الله؛</w:t>
      </w:r>
    </w:p>
    <w:p>
      <w:pPr>
        <w:pStyle w:val="BookText"/>
      </w:pPr>
      <w:r>
        <w:rPr>
          <w:rFonts w:ascii="Amiri" w:hAnsi="Amiri" w:eastAsia="Amiri" w:cs="Amiri"/>
          <w:lang w:bidi="ar-SA"/>
          <w:color w:val="111111"/>
          <w:sz w:val="28"/>
          <w:szCs w:val="28"/>
          <w:rtl/>
        </w:rPr>
        <w:t xml:space="preserve">انجام: الفصل الثانى فى التدليس او تزوجها على انها.</w:t>
      </w:r>
    </w:p>
    <w:p>
      <w:pPr>
        <w:pStyle w:val="BookText"/>
      </w:pPr>
      <w:r>
        <w:rPr>
          <w:rFonts w:ascii="IRNazanin" w:hAnsi="IRNazanin" w:eastAsia="IRNazanin" w:cs="IRNazanin"/>
          <w:lang w:bidi="fa-IR"/>
          <w:color w:val="111111"/>
          <w:sz w:val="28"/>
          <w:szCs w:val="28"/>
          <w:rtl/>
        </w:rPr>
        <w:t xml:space="preserve">خط: نسخ، بی کا، تا: قرن 12 ؛افتادگی: آغاز و انجام؛ اهدایی مؤسس؛ کاغذ: اصفهانی ،جلد: مقوایی با کاغذ ابری 132گ 16 سطر (8</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 اندازه: 14</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سم [ف: 3 - 870]</w:t>
      </w:r>
    </w:p>
    <w:p>
      <w:pPr>
        <w:pStyle w:val="BookText"/>
      </w:pPr>
      <w:r>
        <w:rPr>
          <w:rFonts w:ascii="Times New Roman" w:hAnsi="Times New Roman" w:eastAsia="Times New Roman" w:cs="Times New Roman"/>
          <w:lang w:val="en-US" w:bidi="en-US"/>
          <w:color w:val="111111"/>
          <w:sz w:val="28"/>
          <w:szCs w:val="28"/>
          <w:rtl/>
        </w:rPr>
        <w:t xml:space="preserve">475.</w:t>
      </w:r>
    </w:p>
    <w:p>
      <w:pPr>
        <w:pStyle w:val="BookText"/>
      </w:pPr>
      <w:r>
        <w:rPr>
          <w:rFonts w:ascii="IRNazanin" w:hAnsi="IRNazanin" w:eastAsia="IRNazanin" w:cs="IRNazanin"/>
          <w:lang w:bidi="fa-IR"/>
          <w:color w:val="111111"/>
          <w:sz w:val="28"/>
          <w:szCs w:val="28"/>
          <w:rtl/>
        </w:rPr>
        <w:t xml:space="preserve">تهران؛ ملی؛ شماره نسخه: 2169</w:t>
      </w:r>
    </w:p>
    <w:p>
      <w:pPr>
        <w:pStyle w:val="BookText"/>
      </w:pPr>
      <w:r>
        <w:rPr>
          <w:rFonts w:ascii="IRNazanin" w:hAnsi="IRNazanin" w:eastAsia="IRNazanin" w:cs="IRNazanin"/>
          <w:lang w:bidi="fa-IR"/>
          <w:color w:val="111111"/>
          <w:sz w:val="28"/>
          <w:szCs w:val="28"/>
          <w:rtl/>
        </w:rPr>
        <w:t xml:space="preserve">انجام: برابر</w:t>
      </w:r>
    </w:p>
    <w:p>
      <w:pPr>
        <w:pStyle w:val="BookText"/>
      </w:pPr>
      <w:r>
        <w:rPr>
          <w:rFonts w:ascii="IRNazanin" w:hAnsi="IRNazanin" w:eastAsia="IRNazanin" w:cs="IRNazanin"/>
          <w:lang w:bidi="fa-IR"/>
          <w:color w:val="111111"/>
          <w:sz w:val="28"/>
          <w:szCs w:val="28"/>
          <w:rtl/>
        </w:rPr>
        <w:t xml:space="preserve">خط: نسخ، بی کا، تا: قرن 12 ؛ محشی با نشان «زی»، «ع ل»، «ه»، شیخ ابراهیم»، «ش ع ره»، «شرح ارشاد»، «دروس» و «تحریر»، دارای نشان بلاغ با عبارت «ثم بلغ سماعاً و فقه الله تعالى»، در گ 3 دو مسئله در ،رضاع ارث تحرير «علی اکبر ورامینی28 ربیع الثانی 1297 در برگ 2 ؛تملک: «قد انتقل الى العبد الفقير محمد على الفوعانى سنة 1206»، «قد دخل في نوبة العبد الفقير ابراهيم بن الشيخ حسين البلاغي النجفي» (حدود 1247 )که شرح حال وی در طبقات قرن ،سیزدهم جزء اول ص 16 آمده است)؛ کاغذ: فرنگی ،جلد: مقوایی، رویه تیماج سیاه فرسوده، سجاف و عطف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تیماج ،حنایی 308گ 13 سطر (7</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اندازه15</w:t>
      </w:r>
      <w:r>
        <w:rPr>
          <w:rFonts w:ascii="Times New Roman" w:hAnsi="Times New Roman" w:eastAsia="Times New Roman" w:cs="Times New Roman"/>
          <w:lang w:val="en-US" w:bidi="en-US"/>
          <w:color w:val="111111"/>
          <w:sz w:val="28"/>
          <w:szCs w:val="28"/>
          <w:rtl/>
        </w:rPr>
        <w:t xml:space="preserve">×20/5 [</w:t>
      </w:r>
      <w:r>
        <w:rPr>
          <w:rFonts w:ascii="IRNazanin" w:hAnsi="IRNazanin" w:eastAsia="IRNazanin" w:cs="IRNazanin"/>
          <w:lang w:bidi="fa-IR"/>
          <w:color w:val="111111"/>
          <w:sz w:val="28"/>
          <w:szCs w:val="28"/>
          <w:rtl/>
        </w:rPr>
        <w:t xml:space="preserve">ف: 11 - 438]</w:t>
      </w:r>
    </w:p>
    <w:p>
      <w:pPr>
        <w:pStyle w:val="BookText"/>
      </w:pPr>
      <w:r>
        <w:rPr>
          <w:rFonts w:ascii="IRNazanin" w:hAnsi="IRNazanin" w:eastAsia="IRNazanin" w:cs="IRNazanin"/>
          <w:lang w:bidi="fa-IR"/>
          <w:color w:val="111111"/>
          <w:sz w:val="28"/>
          <w:szCs w:val="28"/>
          <w:rtl/>
        </w:rPr>
        <w:t xml:space="preserve">476.مشهد؛ مدرسه سلیمانیه ؛شماره نسخه: 87</w:t>
      </w:r>
    </w:p>
    <w:p>
      <w:pPr>
        <w:pStyle w:val="BookText"/>
      </w:pPr>
      <w:r>
        <w:rPr>
          <w:rFonts w:ascii="IRNazanin" w:hAnsi="IRNazanin" w:eastAsia="IRNazanin" w:cs="IRNazanin"/>
          <w:lang w:bidi="fa-IR"/>
          <w:color w:val="111111"/>
          <w:sz w:val="28"/>
          <w:szCs w:val="28"/>
          <w:rtl/>
        </w:rPr>
        <w:t xml:space="preserve">تا «تصرفات المريض»؛ خط: نسخ خوش، بی کا، تا: قرن افتادگی: انجام؛ محشی با نشان «قواعد ، ع ل ، ه و جز اينها؛ قطع: جیبی [چهار کتابخانه مشهد - ف - 5]</w:t>
      </w:r>
    </w:p>
    <w:p>
      <w:pPr>
        <w:pStyle w:val="BookText"/>
      </w:pPr>
      <w:r>
        <w:rPr>
          <w:rFonts w:ascii="IRNazanin" w:hAnsi="IRNazanin" w:eastAsia="IRNazanin" w:cs="IRNazanin"/>
          <w:lang w:bidi="fa-IR"/>
          <w:color w:val="111111"/>
          <w:sz w:val="28"/>
          <w:szCs w:val="28"/>
          <w:rtl/>
        </w:rPr>
        <w:t xml:space="preserve">477.مشهد؛ مدرسه سلیمانیه؛ شماره نسخه: 66</w:t>
      </w:r>
    </w:p>
    <w:p>
      <w:pPr>
        <w:pStyle w:val="BookText"/>
      </w:pPr>
      <w:r>
        <w:rPr>
          <w:rFonts w:ascii="IRNazanin" w:hAnsi="IRNazanin" w:eastAsia="IRNazanin" w:cs="IRNazanin"/>
          <w:lang w:bidi="fa-IR"/>
          <w:color w:val="111111"/>
          <w:sz w:val="28"/>
          <w:szCs w:val="28"/>
          <w:rtl/>
        </w:rPr>
        <w:t xml:space="preserve">خط: نسخ، کا: محمد کاظم بن علی اکبر تونی، تا: قرن محشی قطع وزیری [چهار کتابخانه مشهد -ف: - 5]</w:t>
      </w:r>
    </w:p>
    <w:p>
      <w:pPr>
        <w:pStyle w:val="BookText"/>
      </w:pPr>
      <w:r>
        <w:rPr>
          <w:rFonts w:ascii="IRNazanin" w:hAnsi="IRNazanin" w:eastAsia="IRNazanin" w:cs="IRNazanin"/>
          <w:lang w:bidi="fa-IR"/>
          <w:color w:val="111111"/>
          <w:sz w:val="28"/>
          <w:szCs w:val="28"/>
          <w:rtl/>
        </w:rPr>
        <w:t xml:space="preserve">478 . مشهد؛ رضوی؛ شماره نسخه: 2226</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اوایل قرن 12؛ محشی؛ کاغذ: نخودی و شکری آهار مهره ،جلد: تیماج ،مشکی، 272گ، 17 سطر ، اندازه: 12</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سم [ف: 21/1 - 70]</w:t>
      </w:r>
    </w:p>
    <w:p>
      <w:pPr>
        <w:pStyle w:val="BookText"/>
      </w:pPr>
      <w:r>
        <w:rPr>
          <w:rFonts w:ascii="IRNazanin" w:hAnsi="IRNazanin" w:eastAsia="IRNazanin" w:cs="IRNazanin"/>
          <w:lang w:bidi="fa-IR"/>
          <w:color w:val="111111"/>
          <w:sz w:val="28"/>
          <w:szCs w:val="28"/>
          <w:rtl/>
        </w:rPr>
        <w:t xml:space="preserve">479.مشهد؛ رضوی؛ شماره نسخه: 14416</w:t>
      </w:r>
    </w:p>
    <w:p>
      <w:pPr>
        <w:pStyle w:val="BookText"/>
      </w:pPr>
      <w:r>
        <w:rPr>
          <w:rFonts w:ascii="IRNazanin" w:hAnsi="IRNazanin" w:eastAsia="IRNazanin" w:cs="IRNazanin"/>
          <w:lang w:bidi="fa-IR"/>
          <w:color w:val="111111"/>
          <w:sz w:val="28"/>
          <w:szCs w:val="28"/>
          <w:rtl/>
        </w:rPr>
        <w:t xml:space="preserve">آغاز: برابر؛ انجام: و لو افزع المحامع (كذا) فعزل فعليه عشرة دنانیر و لو اسملت الذمية</w:t>
      </w:r>
    </w:p>
    <w:p>
      <w:pPr>
        <w:pStyle w:val="BookText"/>
      </w:pPr>
      <w:r>
        <w:rPr>
          <w:rFonts w:ascii="IRNazanin" w:hAnsi="IRNazanin" w:eastAsia="IRNazanin" w:cs="IRNazanin"/>
          <w:lang w:bidi="fa-IR"/>
          <w:color w:val="111111"/>
          <w:sz w:val="28"/>
          <w:szCs w:val="28"/>
          <w:rtl/>
        </w:rPr>
        <w:t xml:space="preserve">خط: نسخ ،مشکول بی کا، تا: قرن 12؛ افتادگی: انجام؛ محشی ،واقف: سید محمد باقر سبزواری، محرم 1405 ؛کاغذ: نخودی آهاری، جلد: تیماج قهوه ای ضربی با ترنج و سرترنج،250گ، 12 سطر ، اندازه: 11/8</w:t>
      </w:r>
      <w:r>
        <w:rPr>
          <w:rFonts w:ascii="Times New Roman" w:hAnsi="Times New Roman" w:eastAsia="Times New Roman" w:cs="Times New Roman"/>
          <w:lang w:val="en-US" w:bidi="en-US"/>
          <w:color w:val="111111"/>
          <w:sz w:val="28"/>
          <w:szCs w:val="28"/>
          <w:rtl/>
        </w:rPr>
        <w:t xml:space="preserve">×19/6</w:t>
      </w:r>
      <w:r>
        <w:rPr>
          <w:rFonts w:ascii="IRNazanin" w:hAnsi="IRNazanin" w:eastAsia="IRNazanin" w:cs="IRNazanin"/>
          <w:lang w:bidi="fa-IR"/>
          <w:color w:val="111111"/>
          <w:sz w:val="28"/>
          <w:szCs w:val="28"/>
          <w:rtl/>
        </w:rPr>
        <w:t xml:space="preserve">سم [ف: 21/5 - 89]</w:t>
      </w:r>
    </w:p>
    <w:p>
      <w:pPr>
        <w:pStyle w:val="BookText"/>
      </w:pPr>
      <w:r>
        <w:rPr>
          <w:rFonts w:ascii="IRNazanin" w:hAnsi="IRNazanin" w:eastAsia="IRNazanin" w:cs="IRNazanin"/>
          <w:lang w:bidi="fa-IR"/>
          <w:color w:val="111111"/>
          <w:sz w:val="28"/>
          <w:szCs w:val="28"/>
          <w:rtl/>
        </w:rPr>
        <w:t xml:space="preserve">480 . مشهد؛ رضوی؛ شماره نسخه: 12558</w:t>
      </w:r>
    </w:p>
    <w:p>
      <w:pPr>
        <w:pStyle w:val="BookText"/>
      </w:pPr>
      <w:r>
        <w:rPr>
          <w:rFonts w:ascii="IRNazanin" w:hAnsi="IRNazanin" w:eastAsia="IRNazanin" w:cs="IRNazanin"/>
          <w:lang w:bidi="fa-IR"/>
          <w:color w:val="111111"/>
          <w:sz w:val="28"/>
          <w:szCs w:val="28"/>
          <w:rtl/>
        </w:rPr>
        <w:t xml:space="preserve">آغاز: برابر؛ انجام: و الامام ولی من لا ولى له يقتص فى العمد و يستوفى</w:t>
      </w:r>
    </w:p>
    <w:p>
      <w:pPr>
        <w:pStyle w:val="BookText"/>
      </w:pPr>
      <w:r>
        <w:rPr>
          <w:rFonts w:ascii="IRNazanin" w:hAnsi="IRNazanin" w:eastAsia="IRNazanin" w:cs="IRNazanin"/>
          <w:lang w:bidi="fa-IR"/>
          <w:color w:val="111111"/>
          <w:sz w:val="28"/>
          <w:szCs w:val="28"/>
          <w:rtl/>
        </w:rPr>
        <w:t xml:space="preserve">خط: نسخ، بی کا: تا: اوایل قرن 12؛ افتادگی: انجام؛مصحح، به حواشی شهیدین و دیگران؛ واقف: حسین کی استوان، آ بان1348؛ کاغذ: نخودی آهار مهره ،جلد: تیماج قهوه ای،196گ 16 سطر ، اندازه:18/2</w:t>
      </w:r>
      <w:r>
        <w:rPr>
          <w:rFonts w:ascii="Times New Roman" w:hAnsi="Times New Roman" w:eastAsia="Times New Roman" w:cs="Times New Roman"/>
          <w:lang w:val="en-US" w:bidi="en-US"/>
          <w:color w:val="111111"/>
          <w:sz w:val="28"/>
          <w:szCs w:val="28"/>
          <w:rtl/>
        </w:rPr>
        <w:t xml:space="preserve">×24/7</w:t>
      </w:r>
      <w:r>
        <w:rPr>
          <w:rFonts w:ascii="IRNazanin" w:hAnsi="IRNazanin" w:eastAsia="IRNazanin" w:cs="IRNazanin"/>
          <w:lang w:bidi="fa-IR"/>
          <w:color w:val="111111"/>
          <w:sz w:val="28"/>
          <w:szCs w:val="28"/>
          <w:rtl/>
        </w:rPr>
        <w:t xml:space="preserve">سم [ف: 21/5 - 90]</w:t>
      </w:r>
    </w:p>
    <w:p>
      <w:pPr>
        <w:pStyle w:val="BookText"/>
      </w:pPr>
      <w:r>
        <w:rPr>
          <w:rFonts w:ascii="IRNazanin" w:hAnsi="IRNazanin" w:eastAsia="IRNazanin" w:cs="IRNazanin"/>
          <w:lang w:bidi="fa-IR"/>
          <w:color w:val="111111"/>
          <w:sz w:val="28"/>
          <w:szCs w:val="28"/>
          <w:rtl/>
        </w:rPr>
        <w:t xml:space="preserve">481 . مشهد؛ رضوی؛ شماره نسخه: 13852</w:t>
      </w:r>
    </w:p>
    <w:p>
      <w:pPr>
        <w:pStyle w:val="BookText"/>
      </w:pPr>
      <w:r>
        <w:rPr>
          <w:rFonts w:ascii="Amiri" w:hAnsi="Amiri" w:eastAsia="Amiri" w:cs="Amiri"/>
          <w:lang w:bidi="ar-SA"/>
          <w:color w:val="111111"/>
          <w:sz w:val="28"/>
          <w:szCs w:val="28"/>
          <w:rtl/>
        </w:rPr>
        <w:t xml:space="preserve">آغاز: الاشجار المثمرة و مواضع اللعن و استقبال النيرين؛ انجام: برابر</w:t>
      </w:r>
    </w:p>
    <w:p>
      <w:pPr>
        <w:pStyle w:val="BookText"/>
      </w:pPr>
      <w:r>
        <w:rPr>
          <w:rFonts w:ascii="IRNazanin" w:hAnsi="IRNazanin" w:eastAsia="IRNazanin" w:cs="IRNazanin"/>
          <w:lang w:bidi="fa-IR"/>
          <w:color w:val="111111"/>
          <w:sz w:val="28"/>
          <w:szCs w:val="28"/>
          <w:rtl/>
        </w:rPr>
        <w:t xml:space="preserve">خط: نسخ، بی کا تا قرن 12 افتادگی آغاز ،محشی دارای بلاغ، تاریخ تحویل به کتابخانه 1363ش؛ واقف: فاضلخان 1065ق؛ کاغذ: نخودی ،آهاری جلد: تیماج عنابی، 210گ، 14 سطر، اندازه: 17/8</w:t>
      </w:r>
      <w:r>
        <w:rPr>
          <w:rFonts w:ascii="Times New Roman" w:hAnsi="Times New Roman" w:eastAsia="Times New Roman" w:cs="Times New Roman"/>
          <w:lang w:val="en-US" w:bidi="en-US"/>
          <w:color w:val="111111"/>
          <w:sz w:val="28"/>
          <w:szCs w:val="28"/>
          <w:rtl/>
        </w:rPr>
        <w:t xml:space="preserve">×25</w:t>
      </w:r>
      <w:r>
        <w:rPr>
          <w:rFonts w:ascii="IRNazanin" w:hAnsi="IRNazanin" w:eastAsia="IRNazanin" w:cs="IRNazanin"/>
          <w:lang w:bidi="fa-IR"/>
          <w:color w:val="111111"/>
          <w:sz w:val="28"/>
          <w:szCs w:val="28"/>
          <w:rtl/>
        </w:rPr>
        <w:t xml:space="preserve">سم [ف: 21/1 - 92]</w:t>
      </w:r>
    </w:p>
    <w:p>
      <w:pPr>
        <w:pStyle w:val="BookText"/>
      </w:pPr>
      <w:r>
        <w:rPr>
          <w:rFonts w:ascii="IRNazanin" w:hAnsi="IRNazanin" w:eastAsia="IRNazanin" w:cs="IRNazanin"/>
          <w:lang w:bidi="fa-IR"/>
          <w:color w:val="111111"/>
          <w:sz w:val="28"/>
          <w:szCs w:val="28"/>
          <w:rtl/>
        </w:rPr>
        <w:t xml:space="preserve">482 . قم؛ مرکز احیاء؛ شماره نسخه: 2479</w:t>
      </w:r>
    </w:p>
    <w:p>
      <w:pPr>
        <w:pStyle w:val="BookText"/>
      </w:pPr>
      <w:r>
        <w:rPr>
          <w:rFonts w:ascii="IRNazanin" w:hAnsi="IRNazanin" w:eastAsia="IRNazanin" w:cs="IRNazanin"/>
          <w:lang w:bidi="fa-IR"/>
          <w:color w:val="111111"/>
          <w:sz w:val="28"/>
          <w:szCs w:val="28"/>
          <w:rtl/>
        </w:rPr>
        <w:t xml:space="preserve">انجام: و فی قوه الارضاع حكومة و فى ابطال الالتذاذ بالجماع الطعام ان امكن الدية.</w:t>
      </w:r>
    </w:p>
    <w:p>
      <w:pPr>
        <w:pStyle w:val="BookText"/>
      </w:pPr>
      <w:r>
        <w:rPr>
          <w:rFonts w:ascii="IRNazanin" w:hAnsi="IRNazanin" w:eastAsia="IRNazanin" w:cs="IRNazanin"/>
          <w:lang w:bidi="fa-IR"/>
          <w:color w:val="111111"/>
          <w:sz w:val="28"/>
          <w:szCs w:val="28"/>
          <w:rtl/>
        </w:rPr>
        <w:t xml:space="preserve">خط: نسخ، بی کا، تا قرن 12؛ افتادگی: انجام؛ مصحح، محشی، دربرگ اول وقف نامه کتاب مهر: «العبد المذنب فضلعلی» (مربع)</w:t>
      </w:r>
    </w:p>
    <w:p>
      <w:pPr>
        <w:pStyle w:val="BookText"/>
      </w:pPr>
      <w:r>
        <w:rPr>
          <w:rFonts w:ascii="IRNazanin" w:hAnsi="IRNazanin" w:eastAsia="IRNazanin" w:cs="IRNazanin"/>
          <w:lang w:bidi="fa-IR"/>
          <w:color w:val="111111"/>
          <w:sz w:val="28"/>
          <w:szCs w:val="28"/>
          <w:rtl/>
        </w:rPr>
        <w:t xml:space="preserve">«عبده زين العابدین» (بیضی)؛ جلد: تيماج مشكى بدون مقوا، 203گ مختلف السطر ، اندازه: 19/5</w:t>
      </w:r>
      <w:r>
        <w:rPr>
          <w:rFonts w:ascii="Times New Roman" w:hAnsi="Times New Roman" w:eastAsia="Times New Roman" w:cs="Times New Roman"/>
          <w:lang w:val="en-US" w:bidi="en-US"/>
          <w:color w:val="111111"/>
          <w:sz w:val="28"/>
          <w:szCs w:val="28"/>
          <w:rtl/>
        </w:rPr>
        <w:t xml:space="preserve">×25</w:t>
      </w:r>
      <w:r>
        <w:rPr>
          <w:rFonts w:ascii="IRNazanin" w:hAnsi="IRNazanin" w:eastAsia="IRNazanin" w:cs="IRNazanin"/>
          <w:lang w:bidi="fa-IR"/>
          <w:color w:val="111111"/>
          <w:sz w:val="28"/>
          <w:szCs w:val="28"/>
          <w:rtl/>
        </w:rPr>
        <w:t xml:space="preserve">سم [محدث ارموی مخ: 1- 111]</w:t>
      </w:r>
    </w:p>
    <w:p>
      <w:pPr>
        <w:pStyle w:val="BookText"/>
      </w:pPr>
      <w:r>
        <w:rPr>
          <w:rFonts w:ascii="Times New Roman" w:hAnsi="Times New Roman" w:eastAsia="Times New Roman" w:cs="Times New Roman"/>
          <w:lang w:val="en-US" w:bidi="en-US"/>
          <w:color w:val="111111"/>
          <w:sz w:val="28"/>
          <w:szCs w:val="28"/>
          <w:rtl/>
        </w:rPr>
        <w:t xml:space="preserve">483.</w:t>
      </w:r>
    </w:p>
    <w:p>
      <w:pPr>
        <w:pStyle w:val="BookText"/>
      </w:pPr>
      <w:r>
        <w:rPr>
          <w:rFonts w:ascii="IRNazanin" w:hAnsi="IRNazanin" w:eastAsia="IRNazanin" w:cs="IRNazanin"/>
          <w:lang w:bidi="fa-IR"/>
          <w:color w:val="111111"/>
          <w:sz w:val="28"/>
          <w:szCs w:val="28"/>
          <w:rtl/>
        </w:rPr>
        <w:t xml:space="preserve">قم؛ گلپایگانی؛ شماره نسخه: 0777-29/117</w:t>
      </w:r>
    </w:p>
    <w:p>
      <w:pPr>
        <w:pStyle w:val="BookText"/>
      </w:pPr>
      <w:r>
        <w:rPr>
          <w:rFonts w:ascii="Amiri" w:hAnsi="Amiri" w:eastAsia="Amiri" w:cs="Amiri"/>
          <w:lang w:bidi="ar-SA"/>
          <w:color w:val="111111"/>
          <w:sz w:val="28"/>
          <w:szCs w:val="28"/>
          <w:rtl/>
        </w:rPr>
        <w:t xml:space="preserve">آغاز: لاغير و يجب على المتخلى ستر العورة و عدم استقبال القبلة و استدبارها . .. و يجب فى الوضوء النية و هىارادة الفعل لوجوبه اولند به متقرباً انجام و الخيار فيما يسند إلى الليل. .. و خيار الرؤية ثابت لمن اشترى اوباع موصوفاً او غائباً بعد مشاهدته فان خرج على الوصف او العهد فلافسخ</w:t>
      </w:r>
    </w:p>
    <w:p>
      <w:pPr>
        <w:pStyle w:val="BookText"/>
      </w:pPr>
      <w:r>
        <w:rPr>
          <w:rFonts w:ascii="IRNazanin" w:hAnsi="IRNazanin" w:eastAsia="IRNazanin" w:cs="IRNazanin"/>
          <w:lang w:bidi="fa-IR"/>
          <w:color w:val="111111"/>
          <w:sz w:val="28"/>
          <w:szCs w:val="28"/>
          <w:rtl/>
        </w:rPr>
        <w:t xml:space="preserve">جلد اول؛ خط: نسخ بی کا تا قرن 12؛ افتادگی: آغاز و انجام؛جلد: مقوا با عطف گالینگور قهوه ای 102گ، 16 سطر ، اندازه: 15</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1 - 307]</w:t>
      </w:r>
    </w:p>
    <w:p>
      <w:pPr>
        <w:pStyle w:val="BookText"/>
      </w:pPr>
      <w:r>
        <w:rPr>
          <w:rFonts w:ascii="IRNazanin" w:hAnsi="IRNazanin" w:eastAsia="IRNazanin" w:cs="IRNazanin"/>
          <w:lang w:bidi="fa-IR"/>
          <w:color w:val="111111"/>
          <w:sz w:val="28"/>
          <w:szCs w:val="28"/>
          <w:rtl/>
        </w:rPr>
        <w:t xml:space="preserve">484 . قم ؛ مسجد اعظم؛ شماره نسخه: 3228</w:t>
      </w:r>
    </w:p>
    <w:p>
      <w:pPr>
        <w:pStyle w:val="BookText"/>
      </w:pPr>
      <w:r>
        <w:rPr>
          <w:rFonts w:ascii="Amiri" w:hAnsi="Amiri" w:eastAsia="Amiri" w:cs="Amiri"/>
          <w:lang w:bidi="ar-SA"/>
          <w:color w:val="111111"/>
          <w:sz w:val="28"/>
          <w:szCs w:val="28"/>
          <w:rtl/>
        </w:rPr>
        <w:t xml:space="preserve">آغاز: برابر؛ انجام :الثالث فى الاحكام فلا يعقل الاضر عرف كيفية انتسابه الى القايل و لا يكفى كونه من القيبله و لو قتل الاب ولده خطأ فاالدية على العاقله واجود القولين و اجود القولين منع الارث الامن التركه.</w:t>
      </w:r>
    </w:p>
    <w:p>
      <w:pPr>
        <w:pStyle w:val="BookText"/>
      </w:pPr>
      <w:r>
        <w:rPr>
          <w:rFonts w:ascii="IRNazanin" w:hAnsi="IRNazanin" w:eastAsia="IRNazanin" w:cs="IRNazanin"/>
          <w:lang w:bidi="fa-IR"/>
          <w:color w:val="111111"/>
          <w:sz w:val="28"/>
          <w:szCs w:val="28"/>
          <w:rtl/>
        </w:rPr>
        <w:t xml:space="preserve">خط: نسخ، بی کا، تا قرن 12؛ افتادگی: انجام؛ مصحح، محشی، طبله پشت تاریخ 1187ق؛ جلد: تیماج زرشکی با عطف مشما270گ، 13 سطر ، اندازه:14</w:t>
      </w:r>
      <w:r>
        <w:rPr>
          <w:rFonts w:ascii="Times New Roman" w:hAnsi="Times New Roman" w:eastAsia="Times New Roman" w:cs="Times New Roman"/>
          <w:lang w:val="en-US" w:bidi="en-US"/>
          <w:color w:val="111111"/>
          <w:sz w:val="28"/>
          <w:szCs w:val="28"/>
          <w:rtl/>
        </w:rPr>
        <w:t xml:space="preserve">×24</w:t>
      </w:r>
      <w:r>
        <w:rPr>
          <w:rFonts w:ascii="IRNazanin" w:hAnsi="IRNazanin" w:eastAsia="IRNazanin" w:cs="IRNazanin"/>
          <w:lang w:bidi="fa-IR"/>
          <w:color w:val="111111"/>
          <w:sz w:val="28"/>
          <w:szCs w:val="28"/>
          <w:rtl/>
        </w:rPr>
        <w:t xml:space="preserve">سم [ف مخ: 1 - 130]</w:t>
      </w:r>
    </w:p>
    <w:p>
      <w:pPr>
        <w:pStyle w:val="BookText"/>
      </w:pPr>
      <w:r>
        <w:rPr>
          <w:rFonts w:ascii="IRNazanin" w:hAnsi="IRNazanin" w:eastAsia="IRNazanin" w:cs="IRNazanin"/>
          <w:lang w:bidi="fa-IR"/>
          <w:color w:val="111111"/>
          <w:sz w:val="28"/>
          <w:szCs w:val="28"/>
          <w:rtl/>
        </w:rPr>
        <w:t xml:space="preserve">485.تهران؛ سپهسالار؛ شماره نسخه: 5875</w:t>
      </w:r>
    </w:p>
    <w:p>
      <w:pPr>
        <w:pStyle w:val="BookText"/>
      </w:pPr>
      <w:r>
        <w:rPr>
          <w:rFonts w:ascii="IRNazanin" w:hAnsi="IRNazanin" w:eastAsia="IRNazanin" w:cs="IRNazanin"/>
          <w:lang w:bidi="fa-IR"/>
          <w:color w:val="111111"/>
          <w:sz w:val="28"/>
          <w:szCs w:val="28"/>
          <w:rtl/>
        </w:rPr>
        <w:t xml:space="preserve">خط: نسخ و نستعلیق، بی کا، تا: قرن 12؛ کاغذ: فرنگی نخودی، جلد: تيماج حنایی ضربی مقوایی 265گ، اندازه: 15/5</w:t>
      </w:r>
      <w:r>
        <w:rPr>
          <w:rFonts w:ascii="Times New Roman" w:hAnsi="Times New Roman" w:eastAsia="Times New Roman" w:cs="Times New Roman"/>
          <w:lang w:val="en-US" w:bidi="en-US"/>
          <w:color w:val="111111"/>
          <w:sz w:val="28"/>
          <w:szCs w:val="28"/>
          <w:rtl/>
        </w:rPr>
        <w:t xml:space="preserve">× 24</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ف: 3 - 104]</w:t>
      </w:r>
    </w:p>
    <w:p>
      <w:pPr>
        <w:pStyle w:val="BookText"/>
      </w:pPr>
      <w:r>
        <w:rPr>
          <w:rFonts w:ascii="IRNazanin" w:hAnsi="IRNazanin" w:eastAsia="IRNazanin" w:cs="IRNazanin"/>
          <w:lang w:bidi="fa-IR"/>
          <w:color w:val="111111"/>
          <w:sz w:val="28"/>
          <w:szCs w:val="28"/>
          <w:rtl/>
        </w:rPr>
        <w:t xml:space="preserve">486 . تبریز؛ مدرسه ولیعصر تبریز؛ شماره نسخه:4</w:t>
      </w:r>
    </w:p>
    <w:p>
      <w:pPr>
        <w:pStyle w:val="BookText"/>
      </w:pPr>
      <w:r>
        <w:rPr>
          <w:rFonts w:ascii="Amiri" w:hAnsi="Amiri" w:eastAsia="Amiri" w:cs="Amiri"/>
          <w:lang w:bidi="ar-SA"/>
          <w:color w:val="111111"/>
          <w:sz w:val="28"/>
          <w:szCs w:val="28"/>
          <w:rtl/>
        </w:rPr>
        <w:t xml:space="preserve">آغاز: برابر؛ انجام: و فى الرجلين الدية و في كل واحد النصف وحدهما مفصل الساقين و فى الساقين الرشيد و كذا</w:t>
      </w:r>
    </w:p>
    <w:p>
      <w:pPr>
        <w:pStyle w:val="BookText"/>
      </w:pPr>
      <w:r>
        <w:rPr>
          <w:rFonts w:ascii="IRNazanin" w:hAnsi="IRNazanin" w:eastAsia="IRNazanin" w:cs="IRNazanin"/>
          <w:lang w:bidi="fa-IR"/>
          <w:color w:val="111111"/>
          <w:sz w:val="28"/>
          <w:szCs w:val="28"/>
          <w:rtl/>
        </w:rPr>
        <w:t xml:space="preserve">خط: نسخ، بی کا تا قرن 12؛ افتادگی: انجام؛ جلد : مقوایی، 229گ، 15 سطر ، اندازه: 17</w:t>
      </w:r>
      <w:r>
        <w:rPr>
          <w:rFonts w:ascii="Times New Roman" w:hAnsi="Times New Roman" w:eastAsia="Times New Roman" w:cs="Times New Roman"/>
          <w:lang w:val="en-US" w:bidi="en-US"/>
          <w:color w:val="111111"/>
          <w:sz w:val="28"/>
          <w:szCs w:val="28"/>
          <w:rtl/>
        </w:rPr>
        <w:t xml:space="preserve">×29/5</w:t>
      </w:r>
      <w:r>
        <w:rPr>
          <w:rFonts w:ascii="IRNazanin" w:hAnsi="IRNazanin" w:eastAsia="IRNazanin" w:cs="IRNazanin"/>
          <w:lang w:bidi="fa-IR"/>
          <w:color w:val="111111"/>
          <w:sz w:val="28"/>
          <w:szCs w:val="28"/>
          <w:rtl/>
        </w:rPr>
        <w:t xml:space="preserve">سم [ف]</w:t>
      </w:r>
    </w:p>
    <w:p>
      <w:pPr>
        <w:pStyle w:val="BookText"/>
      </w:pPr>
      <w:r>
        <w:rPr>
          <w:rFonts w:ascii="IRNazanin" w:hAnsi="IRNazanin" w:eastAsia="IRNazanin" w:cs="IRNazanin"/>
          <w:lang w:bidi="fa-IR"/>
          <w:color w:val="111111"/>
          <w:sz w:val="28"/>
          <w:szCs w:val="28"/>
          <w:rtl/>
        </w:rPr>
        <w:t xml:space="preserve">487 . مشهد؛ گوهرشاد؛ شماره نسخه: 1376</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آخر بخش وصايا ناقص است؛ خط: نسخ، بی کا، تا قرن 12 محشی؛ تملک: عبدالحسین محلاتی؛ کاغذ: الوان جلد: تيماج ضربی دار سرخ 17 سطر (5/5</w:t>
      </w:r>
      <w:r>
        <w:rPr>
          <w:rFonts w:ascii="Times New Roman" w:hAnsi="Times New Roman" w:eastAsia="Times New Roman" w:cs="Times New Roman"/>
          <w:lang w:val="en-US" w:bidi="en-US"/>
          <w:color w:val="111111"/>
          <w:sz w:val="28"/>
          <w:szCs w:val="28"/>
          <w:rtl/>
        </w:rPr>
        <w:t xml:space="preserve">×14/14) </w:t>
      </w:r>
      <w:r>
        <w:rPr>
          <w:rFonts w:ascii="IRNazanin" w:hAnsi="IRNazanin" w:eastAsia="IRNazanin" w:cs="IRNazanin"/>
          <w:lang w:bidi="fa-IR"/>
          <w:color w:val="111111"/>
          <w:sz w:val="28"/>
          <w:szCs w:val="28"/>
          <w:rtl/>
        </w:rPr>
        <w:t xml:space="preserve">، اندازه 12/5</w:t>
      </w:r>
      <w:r>
        <w:rPr>
          <w:rFonts w:ascii="Times New Roman" w:hAnsi="Times New Roman" w:eastAsia="Times New Roman" w:cs="Times New Roman"/>
          <w:lang w:val="en-US" w:bidi="en-US"/>
          <w:color w:val="111111"/>
          <w:sz w:val="28"/>
          <w:szCs w:val="28"/>
          <w:rtl/>
        </w:rPr>
        <w:t xml:space="preserve">×23/5</w:t>
      </w:r>
      <w:r>
        <w:rPr>
          <w:rFonts w:ascii="IRNazanin" w:hAnsi="IRNazanin" w:eastAsia="IRNazanin" w:cs="IRNazanin"/>
          <w:lang w:bidi="fa-IR"/>
          <w:color w:val="111111"/>
          <w:sz w:val="28"/>
          <w:szCs w:val="28"/>
          <w:rtl/>
        </w:rPr>
        <w:t xml:space="preserve">سم [ف: 4 - 1964]</w:t>
      </w:r>
    </w:p>
    <w:p>
      <w:pPr>
        <w:pStyle w:val="BookText"/>
      </w:pPr>
      <w:r>
        <w:rPr>
          <w:rFonts w:ascii="Times New Roman" w:hAnsi="Times New Roman" w:eastAsia="Times New Roman" w:cs="Times New Roman"/>
          <w:lang w:val="en-US" w:bidi="en-US"/>
          <w:color w:val="111111"/>
          <w:sz w:val="28"/>
          <w:szCs w:val="28"/>
          <w:rtl/>
        </w:rPr>
        <w:t xml:space="preserve">488.</w:t>
      </w:r>
    </w:p>
    <w:p>
      <w:pPr>
        <w:pStyle w:val="BookText"/>
      </w:pPr>
      <w:r>
        <w:rPr>
          <w:rFonts w:ascii="IRNazanin" w:hAnsi="IRNazanin" w:eastAsia="IRNazanin" w:cs="IRNazanin"/>
          <w:lang w:bidi="fa-IR"/>
          <w:color w:val="111111"/>
          <w:sz w:val="28"/>
          <w:szCs w:val="28"/>
          <w:rtl/>
        </w:rPr>
        <w:t xml:space="preserve">تهران؛ سپهسالار؛ شماره نسخه 5878</w:t>
      </w:r>
    </w:p>
    <w:p>
      <w:pPr>
        <w:pStyle w:val="BookText"/>
      </w:pPr>
      <w:r>
        <w:rPr>
          <w:rFonts w:ascii="IRNazanin" w:hAnsi="IRNazanin" w:eastAsia="IRNazanin" w:cs="IRNazanin"/>
          <w:lang w:bidi="fa-IR"/>
          <w:color w:val="111111"/>
          <w:sz w:val="28"/>
          <w:szCs w:val="28"/>
          <w:rtl/>
        </w:rPr>
        <w:t xml:space="preserve">خط: نسخ و نستعلیق بی کا تا قرن 12 محشی به نقل از تحریر؛ کاغذ: سپاهانی ،سفید جلد: تیماج مقوایی، 180گ، 14 سطر ، اندازه: 15</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3 - 105]</w:t>
      </w:r>
    </w:p>
    <w:p>
      <w:pPr>
        <w:pStyle w:val="BookText"/>
      </w:pPr>
      <w:r>
        <w:rPr>
          <w:rFonts w:ascii="Times New Roman" w:hAnsi="Times New Roman" w:eastAsia="Times New Roman" w:cs="Times New Roman"/>
          <w:lang w:val="en-US" w:bidi="en-US"/>
          <w:color w:val="111111"/>
          <w:sz w:val="28"/>
          <w:szCs w:val="28"/>
          <w:rtl/>
        </w:rPr>
        <w:t xml:space="preserve">489.</w:t>
      </w:r>
    </w:p>
    <w:p>
      <w:pPr>
        <w:pStyle w:val="BookText"/>
      </w:pPr>
      <w:r>
        <w:rPr>
          <w:rFonts w:ascii="IRNazanin" w:hAnsi="IRNazanin" w:eastAsia="IRNazanin" w:cs="IRNazanin"/>
          <w:lang w:bidi="fa-IR"/>
          <w:color w:val="111111"/>
          <w:sz w:val="28"/>
          <w:szCs w:val="28"/>
          <w:rtl/>
        </w:rPr>
        <w:t xml:space="preserve">تهران؛ سپهسالار؛ شماره نسخه: 5879/1</w:t>
      </w:r>
    </w:p>
    <w:p>
      <w:pPr>
        <w:pStyle w:val="BookText"/>
      </w:pPr>
      <w:r>
        <w:rPr>
          <w:rFonts w:ascii="IRNazanin" w:hAnsi="IRNazanin" w:eastAsia="IRNazanin" w:cs="IRNazanin"/>
          <w:lang w:bidi="fa-IR"/>
          <w:color w:val="111111"/>
          <w:sz w:val="28"/>
          <w:szCs w:val="28"/>
          <w:rtl/>
        </w:rPr>
        <w:t xml:space="preserve">از مطلب دوم در بیع حیوان را دارد؛ خط: نسخ، بی کا تا قرن 12 ؛افتادگی: انجام محشی کاغذ ،فرنگی 80گ (13ر-92پ)، 14</w:t>
      </w:r>
    </w:p>
    <w:p>
      <w:pPr>
        <w:pStyle w:val="BookText"/>
      </w:pPr>
      <w:r>
        <w:rPr>
          <w:rFonts w:ascii="IRNazanin" w:hAnsi="IRNazanin" w:eastAsia="IRNazanin" w:cs="IRNazanin"/>
          <w:lang w:bidi="fa-IR"/>
          <w:color w:val="111111"/>
          <w:sz w:val="28"/>
          <w:szCs w:val="28"/>
          <w:rtl/>
        </w:rPr>
        <w:t xml:space="preserve">سطر ، اندازه: 13</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 ف : 3 - 105]</w:t>
      </w:r>
    </w:p>
    <w:p>
      <w:pPr>
        <w:pStyle w:val="BookText"/>
      </w:pPr>
      <w:r>
        <w:rPr>
          <w:rFonts w:ascii="IRNazanin" w:hAnsi="IRNazanin" w:eastAsia="IRNazanin" w:cs="IRNazanin"/>
          <w:lang w:bidi="fa-IR"/>
          <w:color w:val="111111"/>
          <w:sz w:val="28"/>
          <w:szCs w:val="28"/>
          <w:rtl/>
        </w:rPr>
        <w:t xml:space="preserve">490.خوانسار؛ فاضل؛ شماره نسخه: 453</w:t>
      </w:r>
    </w:p>
    <w:p>
      <w:pPr>
        <w:pStyle w:val="BookText"/>
      </w:pPr>
      <w:r>
        <w:rPr>
          <w:rFonts w:ascii="IRNazanin" w:hAnsi="IRNazanin" w:eastAsia="IRNazanin" w:cs="IRNazanin"/>
          <w:lang w:bidi="fa-IR"/>
          <w:color w:val="111111"/>
          <w:sz w:val="28"/>
          <w:szCs w:val="28"/>
          <w:rtl/>
        </w:rPr>
        <w:t xml:space="preserve">آغاز: على حايل كعمامة و غيرها و مسح بشرة الرجلين بأقل اسمه؛ انجام: فیجوز اجلاس المسلم و ان كان الكافر قائما و بجرم عليه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تلقين احد.</w:t>
      </w:r>
    </w:p>
    <w:p>
      <w:pPr>
        <w:pStyle w:val="BookText"/>
      </w:pPr>
      <w:r>
        <w:rPr>
          <w:rFonts w:ascii="IRNazanin" w:hAnsi="IRNazanin" w:eastAsia="IRNazanin" w:cs="IRNazanin"/>
          <w:lang w:bidi="fa-IR"/>
          <w:color w:val="111111"/>
          <w:sz w:val="28"/>
          <w:szCs w:val="28"/>
          <w:rtl/>
        </w:rPr>
        <w:t xml:space="preserve">خط: نسخ، بی کا ،تا: قرن؛12؛ افتادگی: آغاز و انجام؛ محشی از بقيه كتب علامه و کتب فقهی ،دیگر در برگ آخر یادداشت آمده که کتاب را شخصی برای فرزندش «علی اصغر» خریداری کرده از دارالعلم شیراز در 17 محرم 1193؛ تملک: «محمد حسین بن ملا محمد کاظم» در سال 1220؛ جلد: تیماج زرد شتری بدون مقوا، 204گ، 14 سطر ، اندازه: 19</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سم [ف: 2 - 113]</w:t>
      </w:r>
    </w:p>
    <w:p>
      <w:pPr>
        <w:pStyle w:val="BookText"/>
      </w:pPr>
      <w:r>
        <w:rPr>
          <w:rFonts w:ascii="IRNazanin" w:hAnsi="IRNazanin" w:eastAsia="IRNazanin" w:cs="IRNazanin"/>
          <w:lang w:bidi="fa-IR"/>
          <w:color w:val="111111"/>
          <w:sz w:val="28"/>
          <w:szCs w:val="28"/>
          <w:rtl/>
        </w:rPr>
        <w:t xml:space="preserve">491 . قم؛ گلپایگانی؛ شماره نسخه: 8245-56/95</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کامل؛ خط: نسخ، بی کا، تا: قرن 12، 165گ، 18 سطر ، اندازه: 15</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1 - 304]</w:t>
      </w:r>
    </w:p>
    <w:p>
      <w:pPr>
        <w:pStyle w:val="BookText"/>
      </w:pPr>
      <w:r>
        <w:rPr>
          <w:rFonts w:ascii="Amiri" w:hAnsi="Amiri" w:eastAsia="Amiri" w:cs="Amiri"/>
          <w:lang w:bidi="ar-SA"/>
          <w:color w:val="111111"/>
          <w:sz w:val="28"/>
          <w:szCs w:val="28"/>
          <w:rtl/>
        </w:rPr>
        <w:t xml:space="preserve">492 .قم؛ دار الحديث؛ شماره نسخه: 120</w:t>
      </w:r>
    </w:p>
    <w:p>
      <w:pPr>
        <w:pStyle w:val="BookText"/>
      </w:pPr>
      <w:r>
        <w:rPr>
          <w:rFonts w:ascii="IRNazanin" w:hAnsi="IRNazanin" w:eastAsia="IRNazanin" w:cs="IRNazanin"/>
          <w:lang w:bidi="fa-IR"/>
          <w:color w:val="111111"/>
          <w:sz w:val="28"/>
          <w:szCs w:val="28"/>
          <w:rtl/>
        </w:rPr>
        <w:t xml:space="preserve">آغاز: برابر؛ انجام؛ فلا ضمان و لو حفر بئراً قريبة العمق فعمقها آخر فالضمان على الأول و يحتمل التساوى المقصد الثانى فى من خط:نسخ بی کا،تا: قرن 12؛ افتادگی: انجام؛ مصحح؛ تملک:از زین الدین بن اسماعیل حسینی در سال 1144ق :جلد: گالینگور ، 208گ، 17 سطر ، اندازه: 17</w:t>
      </w:r>
      <w:r>
        <w:rPr>
          <w:rFonts w:ascii="Times New Roman" w:hAnsi="Times New Roman" w:eastAsia="Times New Roman" w:cs="Times New Roman"/>
          <w:lang w:val="en-US" w:bidi="en-US"/>
          <w:color w:val="111111"/>
          <w:sz w:val="28"/>
          <w:szCs w:val="28"/>
          <w:rtl/>
        </w:rPr>
        <w:t xml:space="preserve">×24</w:t>
      </w:r>
      <w:r>
        <w:rPr>
          <w:rFonts w:ascii="IRNazanin" w:hAnsi="IRNazanin" w:eastAsia="IRNazanin" w:cs="IRNazanin"/>
          <w:lang w:bidi="fa-IR"/>
          <w:color w:val="111111"/>
          <w:sz w:val="28"/>
          <w:szCs w:val="28"/>
          <w:rtl/>
        </w:rPr>
        <w:t xml:space="preserve">سم [ف: 179]</w:t>
      </w:r>
    </w:p>
    <w:p>
      <w:pPr>
        <w:pStyle w:val="BookText"/>
      </w:pPr>
      <w:r>
        <w:rPr>
          <w:rFonts w:ascii="Times New Roman" w:hAnsi="Times New Roman" w:eastAsia="Times New Roman" w:cs="Times New Roman"/>
          <w:lang w:val="en-US" w:bidi="en-US"/>
          <w:color w:val="111111"/>
          <w:sz w:val="28"/>
          <w:szCs w:val="28"/>
          <w:rtl/>
        </w:rPr>
        <w:t xml:space="preserve">493.</w:t>
      </w:r>
    </w:p>
    <w:p>
      <w:pPr>
        <w:pStyle w:val="BookText"/>
      </w:pPr>
      <w:r>
        <w:rPr>
          <w:rFonts w:ascii="Amiri" w:hAnsi="Amiri" w:eastAsia="Amiri" w:cs="Amiri"/>
          <w:lang w:bidi="ar-SA"/>
          <w:color w:val="111111"/>
          <w:sz w:val="28"/>
          <w:szCs w:val="28"/>
          <w:rtl/>
        </w:rPr>
        <w:t xml:space="preserve">قم؛ دار الحديث؛ شماره نسخه: 287</w:t>
      </w:r>
    </w:p>
    <w:p>
      <w:pPr>
        <w:pStyle w:val="BookText"/>
      </w:pPr>
      <w:r>
        <w:rPr>
          <w:rFonts w:ascii="Amiri" w:hAnsi="Amiri" w:eastAsia="Amiri" w:cs="Amiri"/>
          <w:lang w:bidi="ar-SA"/>
          <w:color w:val="111111"/>
          <w:sz w:val="28"/>
          <w:szCs w:val="28"/>
          <w:rtl/>
        </w:rPr>
        <w:t xml:space="preserve">انجام: و لو سرق ما وضع فى القبر أو ما لبش الميت به غير الكفن فلا قطع المقصد الرابع فى الحارب و فيه بحثان الأول في ماهيته</w:t>
      </w:r>
    </w:p>
    <w:p>
      <w:pPr>
        <w:pStyle w:val="BookText"/>
      </w:pPr>
      <w:r>
        <w:rPr>
          <w:rFonts w:ascii="IRNazanin" w:hAnsi="IRNazanin" w:eastAsia="IRNazanin" w:cs="IRNazanin"/>
          <w:lang w:bidi="fa-IR"/>
          <w:color w:val="111111"/>
          <w:sz w:val="28"/>
          <w:szCs w:val="28"/>
          <w:rtl/>
        </w:rPr>
        <w:t xml:space="preserve">خط: نسخ، بی کا تا قرن 12 ؛افتادگی: انجام؛ 288گ 13 سطر ،اندازه: 13</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180]</w:t>
      </w:r>
    </w:p>
    <w:p>
      <w:pPr>
        <w:pStyle w:val="BookText"/>
      </w:pPr>
      <w:r>
        <w:rPr>
          <w:rFonts w:ascii="Times New Roman" w:hAnsi="Times New Roman" w:eastAsia="Times New Roman" w:cs="Times New Roman"/>
          <w:lang w:val="en-US" w:bidi="en-US"/>
          <w:color w:val="111111"/>
          <w:sz w:val="28"/>
          <w:szCs w:val="28"/>
          <w:rtl/>
        </w:rPr>
        <w:t xml:space="preserve">494.</w:t>
      </w:r>
    </w:p>
    <w:p>
      <w:pPr>
        <w:pStyle w:val="BookText"/>
      </w:pPr>
      <w:r>
        <w:rPr>
          <w:rFonts w:ascii="IRNazanin" w:hAnsi="IRNazanin" w:eastAsia="IRNazanin" w:cs="IRNazanin"/>
          <w:lang w:bidi="fa-IR"/>
          <w:color w:val="111111"/>
          <w:sz w:val="28"/>
          <w:szCs w:val="28"/>
          <w:rtl/>
        </w:rPr>
        <w:t xml:space="preserve">قم؛ دارالحدیث؛ شماره نسخه: 297</w:t>
      </w:r>
    </w:p>
    <w:p>
      <w:pPr>
        <w:pStyle w:val="BookText"/>
      </w:pPr>
      <w:r>
        <w:rPr>
          <w:rFonts w:ascii="IRNazanin" w:hAnsi="IRNazanin" w:eastAsia="IRNazanin" w:cs="IRNazanin"/>
          <w:lang w:bidi="fa-IR"/>
          <w:color w:val="111111"/>
          <w:sz w:val="28"/>
          <w:szCs w:val="28"/>
          <w:rtl/>
        </w:rPr>
        <w:t xml:space="preserve">خط : نسخ، بی کا ،تا: قرن 12 ؛جلد: تیماج قهوه ای ،ضربی مجدول ،گرهی 332گ، 12 سطر ، اندازه: 13</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سم [ف: 180]</w:t>
      </w:r>
    </w:p>
    <w:p>
      <w:pPr>
        <w:pStyle w:val="BookText"/>
      </w:pPr>
      <w:r>
        <w:rPr>
          <w:rFonts w:ascii="IRNazanin" w:hAnsi="IRNazanin" w:eastAsia="IRNazanin" w:cs="IRNazanin"/>
          <w:lang w:bidi="fa-IR"/>
          <w:color w:val="111111"/>
          <w:sz w:val="28"/>
          <w:szCs w:val="28"/>
          <w:rtl/>
        </w:rPr>
        <w:t xml:space="preserve">495 .مشهد؛ نواب؛ شماره نسخه: 599</w:t>
      </w:r>
    </w:p>
    <w:p>
      <w:pPr>
        <w:pStyle w:val="BookText"/>
      </w:pPr>
      <w:r>
        <w:rPr>
          <w:rFonts w:ascii="IRNazanin" w:hAnsi="IRNazanin" w:eastAsia="IRNazanin" w:cs="IRNazanin"/>
          <w:lang w:bidi="fa-IR"/>
          <w:color w:val="111111"/>
          <w:sz w:val="28"/>
          <w:szCs w:val="28"/>
          <w:rtl/>
        </w:rPr>
        <w:t xml:space="preserve">آغاز: و تقضی صوم عادتها هذا ان نقص العدد عن نصف الزمان، انجام: برابر</w:t>
      </w:r>
    </w:p>
    <w:p>
      <w:pPr>
        <w:pStyle w:val="BookText"/>
      </w:pPr>
      <w:r>
        <w:rPr>
          <w:rFonts w:ascii="IRNazanin" w:hAnsi="IRNazanin" w:eastAsia="IRNazanin" w:cs="IRNazanin"/>
          <w:lang w:bidi="fa-IR"/>
          <w:color w:val="111111"/>
          <w:sz w:val="28"/>
          <w:szCs w:val="28"/>
          <w:rtl/>
        </w:rPr>
        <w:t xml:space="preserve">از اواخر غسل حیض تا آخر؛ خط: نسخ، کا :محمد حسین گیلانی  اشکوری، تا: ربیع الثانی 1100ق، جا: قزوين، مدرسه التفاتیه؛ افتادگی: آغاز؛ جلد: تیماج،عنابی 203گ، 12 سطر 7/5</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 اندازه: 15</w:t>
      </w:r>
      <w:r>
        <w:rPr>
          <w:rFonts w:ascii="Times New Roman" w:hAnsi="Times New Roman" w:eastAsia="Times New Roman" w:cs="Times New Roman"/>
          <w:lang w:val="en-US" w:bidi="en-US"/>
          <w:color w:val="111111"/>
          <w:sz w:val="28"/>
          <w:szCs w:val="28"/>
          <w:rtl/>
        </w:rPr>
        <w:t xml:space="preserve">×23/5 </w:t>
      </w:r>
      <w:r>
        <w:rPr>
          <w:rFonts w:ascii="IRNazanin" w:hAnsi="IRNazanin" w:eastAsia="IRNazanin" w:cs="IRNazanin"/>
          <w:lang w:bidi="fa-IR"/>
          <w:color w:val="111111"/>
          <w:sz w:val="28"/>
          <w:szCs w:val="28"/>
          <w:rtl/>
        </w:rPr>
        <w:t xml:space="preserve">سم[ ف: 485]</w:t>
      </w:r>
    </w:p>
    <w:p>
      <w:pPr>
        <w:pStyle w:val="BookText"/>
      </w:pPr>
      <w:r>
        <w:rPr>
          <w:rFonts w:ascii="IRNazanin" w:hAnsi="IRNazanin" w:eastAsia="IRNazanin" w:cs="IRNazanin"/>
          <w:lang w:bidi="fa-IR"/>
          <w:color w:val="111111"/>
          <w:sz w:val="28"/>
          <w:szCs w:val="28"/>
          <w:rtl/>
        </w:rPr>
        <w:t xml:space="preserve">496 .مشهد؛ نواب شماره نسخه: 272</w:t>
      </w:r>
    </w:p>
    <w:p>
      <w:pPr>
        <w:pStyle w:val="BookText"/>
      </w:pPr>
      <w:r>
        <w:rPr>
          <w:rFonts w:ascii="Amiri" w:hAnsi="Amiri" w:eastAsia="Amiri" w:cs="Amiri"/>
          <w:lang w:bidi="ar-SA"/>
          <w:color w:val="111111"/>
          <w:sz w:val="28"/>
          <w:szCs w:val="28"/>
          <w:rtl/>
        </w:rPr>
        <w:t xml:space="preserve">آغاز: برابر؛ انجام: موجود و لو غاب البعض لم يخص الحاضر و تتادى.</w:t>
      </w:r>
    </w:p>
    <w:p>
      <w:pPr>
        <w:pStyle w:val="BookText"/>
      </w:pPr>
      <w:r>
        <w:rPr>
          <w:rFonts w:ascii="IRNazanin" w:hAnsi="IRNazanin" w:eastAsia="IRNazanin" w:cs="IRNazanin"/>
          <w:lang w:bidi="fa-IR"/>
          <w:color w:val="111111"/>
          <w:sz w:val="28"/>
          <w:szCs w:val="28"/>
          <w:rtl/>
        </w:rPr>
        <w:t xml:space="preserve">از طهارت تا آخر دیات؛ خط: نسخ درشت بی کا، تا قرن افتادگی: انجام؛ دارای حواشی با نشان «ع ل، س،...»، در پشت صفحه اول بندی در احکام قبض در باب بیع؛ واقف: شیخ محمد باقر مدرس (تولیت برادرش شیخ محمد يوسف)، 1176ق؛ جلد: تیماج ،سرخ ، 359گ، 13 سطر (7</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اندازه: 15 </w:t>
      </w:r>
      <w:r>
        <w:rPr>
          <w:rFonts w:ascii="Times New Roman" w:hAnsi="Times New Roman" w:eastAsia="Times New Roman" w:cs="Times New Roman"/>
          <w:lang w:val="en-US" w:bidi="en-US"/>
          <w:color w:val="111111"/>
          <w:sz w:val="28"/>
          <w:szCs w:val="28"/>
          <w:rtl/>
        </w:rPr>
        <w:t xml:space="preserve">× 20/5 </w:t>
      </w:r>
      <w:r>
        <w:rPr>
          <w:rFonts w:ascii="IRNazanin" w:hAnsi="IRNazanin" w:eastAsia="IRNazanin" w:cs="IRNazanin"/>
          <w:lang w:bidi="fa-IR"/>
          <w:color w:val="111111"/>
          <w:sz w:val="28"/>
          <w:szCs w:val="28"/>
          <w:rtl/>
        </w:rPr>
        <w:t xml:space="preserve">سم [ ف : 233]</w:t>
      </w:r>
    </w:p>
    <w:p>
      <w:pPr>
        <w:pStyle w:val="BookText"/>
      </w:pPr>
      <w:r>
        <w:rPr>
          <w:rFonts w:ascii="Times New Roman" w:hAnsi="Times New Roman" w:eastAsia="Times New Roman" w:cs="Times New Roman"/>
          <w:lang w:val="en-US" w:bidi="en-US"/>
          <w:color w:val="111111"/>
          <w:sz w:val="28"/>
          <w:szCs w:val="28"/>
          <w:rtl/>
        </w:rPr>
        <w:t xml:space="preserve">497.</w:t>
      </w:r>
    </w:p>
    <w:p>
      <w:pPr>
        <w:pStyle w:val="BookText"/>
      </w:pPr>
      <w:r>
        <w:rPr>
          <w:rFonts w:ascii="IRNazanin" w:hAnsi="IRNazanin" w:eastAsia="IRNazanin" w:cs="IRNazanin"/>
          <w:lang w:bidi="fa-IR"/>
          <w:color w:val="111111"/>
          <w:sz w:val="28"/>
          <w:szCs w:val="28"/>
          <w:rtl/>
        </w:rPr>
        <w:t xml:space="preserve">تهران؛ حقوق؛ شماره نسخه: 34 - ج</w:t>
      </w:r>
    </w:p>
    <w:p>
      <w:pPr>
        <w:pStyle w:val="BookText"/>
      </w:pPr>
      <w:r>
        <w:rPr>
          <w:rFonts w:ascii="IRNazanin" w:hAnsi="IRNazanin" w:eastAsia="IRNazanin" w:cs="IRNazanin"/>
          <w:lang w:bidi="fa-IR"/>
          <w:color w:val="111111"/>
          <w:sz w:val="28"/>
          <w:szCs w:val="28"/>
          <w:rtl/>
        </w:rPr>
        <w:t xml:space="preserve">جلد اول؛ خط: نسخ ،بی کا ،تا: قرن 12؛ محشی با نشان«ع ل رحمه الله» و جز ،آن فهرست کتاب های ارشاد و طریق تعلیم فخرالمحققین پسر علامه و پراکنده های دیگری در 1ر و 2پ؛ واقف: مهد علیا برای مدرسه خود در ارگ پنج شنبه 18 ربيع الاول 1272؛ كاغذ: سپاهانی ،جلد: تیماج سبز ضربی مقوایی 100گ، 15 سطر (8/5</w:t>
      </w:r>
      <w:r>
        <w:rPr>
          <w:rFonts w:ascii="Times New Roman" w:hAnsi="Times New Roman" w:eastAsia="Times New Roman" w:cs="Times New Roman"/>
          <w:lang w:val="en-US" w:bidi="en-US"/>
          <w:color w:val="111111"/>
          <w:sz w:val="28"/>
          <w:szCs w:val="28"/>
          <w:rtl/>
        </w:rPr>
        <w:t xml:space="preserve">×15/5)</w:t>
      </w:r>
      <w:r>
        <w:rPr>
          <w:rFonts w:ascii="IRNazanin" w:hAnsi="IRNazanin" w:eastAsia="IRNazanin" w:cs="IRNazanin"/>
          <w:lang w:bidi="fa-IR"/>
          <w:color w:val="111111"/>
          <w:sz w:val="28"/>
          <w:szCs w:val="28"/>
          <w:rtl/>
        </w:rPr>
        <w:t xml:space="preserve">اندازه: 17/5</w:t>
      </w:r>
      <w:r>
        <w:rPr>
          <w:rFonts w:ascii="Times New Roman" w:hAnsi="Times New Roman" w:eastAsia="Times New Roman" w:cs="Times New Roman"/>
          <w:lang w:val="en-US" w:bidi="en-US"/>
          <w:color w:val="111111"/>
          <w:sz w:val="28"/>
          <w:szCs w:val="28"/>
          <w:rtl/>
        </w:rPr>
        <w:t xml:space="preserve">×25</w:t>
      </w:r>
      <w:r>
        <w:rPr>
          <w:rFonts w:ascii="IRNazanin" w:hAnsi="IRNazanin" w:eastAsia="IRNazanin" w:cs="IRNazanin"/>
          <w:lang w:bidi="fa-IR"/>
          <w:color w:val="111111"/>
          <w:sz w:val="28"/>
          <w:szCs w:val="28"/>
          <w:rtl/>
        </w:rPr>
        <w:t xml:space="preserve">سم [ف: 241]</w:t>
      </w:r>
    </w:p>
    <w:p>
      <w:pPr>
        <w:pStyle w:val="BookText"/>
      </w:pPr>
      <w:r>
        <w:rPr>
          <w:rFonts w:ascii="IRNazanin" w:hAnsi="IRNazanin" w:eastAsia="IRNazanin" w:cs="IRNazanin"/>
          <w:lang w:bidi="fa-IR"/>
          <w:color w:val="111111"/>
          <w:sz w:val="28"/>
          <w:szCs w:val="28"/>
          <w:rtl/>
        </w:rPr>
        <w:t xml:space="preserve">498 . تهران؛ ادبیات؛ شماره نسخه: 28 - ج</w:t>
      </w:r>
    </w:p>
    <w:p>
      <w:pPr>
        <w:pStyle w:val="BookText"/>
      </w:pPr>
      <w:r>
        <w:rPr>
          <w:rFonts w:ascii="IRNazanin" w:hAnsi="IRNazanin" w:eastAsia="IRNazanin" w:cs="IRNazanin"/>
          <w:lang w:bidi="fa-IR"/>
          <w:color w:val="111111"/>
          <w:sz w:val="28"/>
          <w:szCs w:val="28"/>
          <w:rtl/>
        </w:rPr>
        <w:t xml:space="preserve">خط: نسخ، بی کا، تا: قرن 12؛ افتادگی: انجام؛ کاغذ: فرنگی، جلد: تیماج سرخ مقوایی، 241گ 13 سطر (17</w:t>
      </w:r>
      <w:r>
        <w:rPr>
          <w:rFonts w:ascii="Times New Roman" w:hAnsi="Times New Roman" w:eastAsia="Times New Roman" w:cs="Times New Roman"/>
          <w:lang w:val="en-US" w:bidi="en-US"/>
          <w:color w:val="111111"/>
          <w:sz w:val="28"/>
          <w:szCs w:val="28"/>
          <w:rtl/>
        </w:rPr>
        <w:t xml:space="preserve">×10)</w:t>
      </w:r>
      <w:r>
        <w:rPr>
          <w:rFonts w:ascii="IRNazanin" w:hAnsi="IRNazanin" w:eastAsia="IRNazanin" w:cs="IRNazanin"/>
          <w:lang w:bidi="fa-IR"/>
          <w:color w:val="111111"/>
          <w:sz w:val="28"/>
          <w:szCs w:val="28"/>
          <w:rtl/>
        </w:rPr>
        <w:t xml:space="preserve">، اندازه: 18</w:t>
      </w:r>
      <w:r>
        <w:rPr>
          <w:rFonts w:ascii="Times New Roman" w:hAnsi="Times New Roman" w:eastAsia="Times New Roman" w:cs="Times New Roman"/>
          <w:lang w:val="en-US" w:bidi="en-US"/>
          <w:color w:val="111111"/>
          <w:sz w:val="28"/>
          <w:szCs w:val="28"/>
          <w:rtl/>
        </w:rPr>
        <w:t xml:space="preserve">×25</w:t>
      </w:r>
      <w:r>
        <w:rPr>
          <w:rFonts w:ascii="IRNazanin" w:hAnsi="IRNazanin" w:eastAsia="IRNazanin" w:cs="IRNazanin"/>
          <w:lang w:bidi="fa-IR"/>
          <w:color w:val="111111"/>
          <w:sz w:val="28"/>
          <w:szCs w:val="28"/>
          <w:rtl/>
        </w:rPr>
        <w:t xml:space="preserve">سم [ف: 1 - 23]</w:t>
      </w:r>
    </w:p>
    <w:p>
      <w:pPr>
        <w:pStyle w:val="BookText"/>
      </w:pPr>
      <w:r>
        <w:rPr>
          <w:rFonts w:ascii="Times New Roman" w:hAnsi="Times New Roman" w:eastAsia="Times New Roman" w:cs="Times New Roman"/>
          <w:lang w:val="en-US" w:bidi="en-US"/>
          <w:color w:val="111111"/>
          <w:sz w:val="28"/>
          <w:szCs w:val="28"/>
          <w:rtl/>
        </w:rPr>
        <w:t xml:space="preserve">499.</w:t>
      </w:r>
    </w:p>
    <w:p>
      <w:pPr>
        <w:pStyle w:val="BookText"/>
      </w:pPr>
      <w:r>
        <w:rPr>
          <w:rFonts w:ascii="IRNazanin" w:hAnsi="IRNazanin" w:eastAsia="IRNazanin" w:cs="IRNazanin"/>
          <w:lang w:bidi="fa-IR"/>
          <w:color w:val="111111"/>
          <w:sz w:val="28"/>
          <w:szCs w:val="28"/>
          <w:rtl/>
        </w:rPr>
        <w:t xml:space="preserve">اصفهان؛ مدرسه صدر بازار؛ شماره نسخه:730</w:t>
      </w:r>
    </w:p>
    <w:p>
      <w:pPr>
        <w:pStyle w:val="BookText"/>
      </w:pPr>
      <w:r>
        <w:rPr>
          <w:rFonts w:ascii="IRNazanin" w:hAnsi="IRNazanin" w:eastAsia="IRNazanin" w:cs="IRNazanin"/>
          <w:lang w:bidi="fa-IR"/>
          <w:color w:val="111111"/>
          <w:sz w:val="28"/>
          <w:szCs w:val="28"/>
          <w:rtl/>
        </w:rPr>
        <w:t xml:space="preserve">خط: نسخ،  بی کا، تا: قرن 12؛ مصحح، محشی، در دو برگ آغاز چندین یادداشت متفرقه فقهی و وقف نامه کتاب از طرف بهرام بیگ به سال 1280 ؛در چهار برگ پایانی یادداشت های مفصل فقهی؛ مهر: «عبده محمد حسن الموسوى» (بیضی)، «محمد حسن بن مرتضى الموسوى» «عبده محمد حسن الموسوى» (بيضى)؛ اهدائی سید علی نجف آبادی، جلد: تیماج مشکی، 226گ، 19 سطر ، اندازه: 14</w:t>
      </w:r>
      <w:r>
        <w:rPr>
          <w:rFonts w:ascii="Times New Roman" w:hAnsi="Times New Roman" w:eastAsia="Times New Roman" w:cs="Times New Roman"/>
          <w:lang w:val="en-US" w:bidi="en-US"/>
          <w:color w:val="111111"/>
          <w:sz w:val="28"/>
          <w:szCs w:val="28"/>
          <w:rtl/>
        </w:rPr>
        <w:t xml:space="preserve">× 25 </w:t>
      </w:r>
      <w:r>
        <w:rPr>
          <w:rFonts w:ascii="IRNazanin" w:hAnsi="IRNazanin" w:eastAsia="IRNazanin" w:cs="IRNazanin"/>
          <w:lang w:bidi="fa-IR"/>
          <w:color w:val="111111"/>
          <w:sz w:val="28"/>
          <w:szCs w:val="28"/>
          <w:rtl/>
        </w:rPr>
        <w:t xml:space="preserve">سم[ ف: 3 - 541]</w:t>
      </w:r>
    </w:p>
    <w:p>
      <w:pPr>
        <w:pStyle w:val="BookText"/>
      </w:pPr>
      <w:r>
        <w:rPr>
          <w:rFonts w:ascii="IRNazanin" w:hAnsi="IRNazanin" w:eastAsia="IRNazanin" w:cs="IRNazanin"/>
          <w:lang w:bidi="fa-IR"/>
          <w:color w:val="111111"/>
          <w:sz w:val="28"/>
          <w:szCs w:val="28"/>
          <w:rtl/>
        </w:rPr>
        <w:t xml:space="preserve">500.تهران؛ دانشگاه؛ شماره نسخه: 1706</w:t>
      </w:r>
    </w:p>
    <w:p>
      <w:pPr>
        <w:pStyle w:val="BookText"/>
      </w:pPr>
      <w:r>
        <w:rPr>
          <w:rFonts w:ascii="IRNazanin" w:hAnsi="IRNazanin" w:eastAsia="IRNazanin" w:cs="IRNazanin"/>
          <w:lang w:bidi="fa-IR"/>
          <w:color w:val="111111"/>
          <w:sz w:val="28"/>
          <w:szCs w:val="28"/>
          <w:rtl/>
        </w:rPr>
        <w:t xml:space="preserve">خط: نسخ و نستعلیق بی کا تا قرن 12 هادی بن محمد جواد آن را در 1323 ؛کامل کرده است؛ تملکی به تاریخ 1246؛ کاغذ: ،فرنگی،جلد: مقوا، 205گ 17 سطر (8</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اندازه: 25</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8 - 254]</w:t>
      </w:r>
    </w:p>
    <w:p>
      <w:pPr>
        <w:pStyle w:val="BookText"/>
      </w:pPr>
      <w:r>
        <w:rPr>
          <w:rFonts w:ascii="Times New Roman" w:hAnsi="Times New Roman" w:eastAsia="Times New Roman" w:cs="Times New Roman"/>
          <w:lang w:val="en-US" w:bidi="en-US"/>
          <w:color w:val="111111"/>
          <w:sz w:val="28"/>
          <w:szCs w:val="28"/>
          <w:rtl/>
        </w:rPr>
        <w:t xml:space="preserve">501.</w:t>
      </w:r>
    </w:p>
    <w:p>
      <w:pPr>
        <w:pStyle w:val="BookText"/>
      </w:pPr>
      <w:r>
        <w:rPr>
          <w:rFonts w:ascii="IRNazanin" w:hAnsi="IRNazanin" w:eastAsia="IRNazanin" w:cs="IRNazanin"/>
          <w:lang w:bidi="fa-IR"/>
          <w:color w:val="111111"/>
          <w:sz w:val="28"/>
          <w:szCs w:val="28"/>
          <w:rtl/>
        </w:rPr>
        <w:t xml:space="preserve">تهران؛ مدرسه مروی؛ شماره نسخه: 697</w:t>
      </w:r>
    </w:p>
    <w:p>
      <w:pPr>
        <w:pStyle w:val="BookText"/>
      </w:pPr>
      <w:r>
        <w:rPr>
          <w:rFonts w:ascii="IRNazanin" w:hAnsi="IRNazanin" w:eastAsia="IRNazanin" w:cs="IRNazanin"/>
          <w:lang w:bidi="fa-IR"/>
          <w:color w:val="111111"/>
          <w:sz w:val="28"/>
          <w:szCs w:val="28"/>
          <w:rtl/>
        </w:rPr>
        <w:t xml:space="preserve">بی کا، تا: قرن 11 و 12؛ قطع: خشتی [ف: 65]</w:t>
      </w:r>
    </w:p>
    <w:p>
      <w:pPr>
        <w:pStyle w:val="BookText"/>
      </w:pPr>
      <w:r>
        <w:rPr>
          <w:rFonts w:ascii="IRNazanin" w:hAnsi="IRNazanin" w:eastAsia="IRNazanin" w:cs="IRNazanin"/>
          <w:lang w:bidi="fa-IR"/>
          <w:color w:val="111111"/>
          <w:sz w:val="28"/>
          <w:szCs w:val="28"/>
          <w:rtl/>
        </w:rPr>
        <w:t xml:space="preserve">502 . قم؛ مرکز احیاء؛ شماره نسخه: 3794</w:t>
      </w:r>
    </w:p>
    <w:p>
      <w:pPr>
        <w:pStyle w:val="BookText"/>
      </w:pPr>
      <w:r>
        <w:rPr>
          <w:rFonts w:ascii="IRNazanin" w:hAnsi="IRNazanin" w:eastAsia="IRNazanin" w:cs="IRNazanin"/>
          <w:lang w:bidi="fa-IR"/>
          <w:color w:val="111111"/>
          <w:sz w:val="28"/>
          <w:szCs w:val="28"/>
          <w:rtl/>
        </w:rPr>
        <w:t xml:space="preserve">خط نسخ، کا: عبدالله تا قرن 12 ،مصحح، محشی؛ جلد: تیماج مشکی بدون مقوا، 276گ مختلف السطر ، اندازه: 15</w:t>
      </w:r>
      <w:r>
        <w:rPr>
          <w:rFonts w:ascii="Times New Roman" w:hAnsi="Times New Roman" w:eastAsia="Times New Roman" w:cs="Times New Roman"/>
          <w:lang w:val="en-US" w:bidi="en-US"/>
          <w:color w:val="111111"/>
          <w:sz w:val="28"/>
          <w:szCs w:val="28"/>
          <w:rtl/>
        </w:rPr>
        <w:t xml:space="preserve">×20/5</w:t>
      </w:r>
      <w:r>
        <w:rPr>
          <w:rFonts w:ascii="IRNazanin" w:hAnsi="IRNazanin" w:eastAsia="IRNazanin" w:cs="IRNazanin"/>
          <w:lang w:bidi="fa-IR"/>
          <w:color w:val="111111"/>
          <w:sz w:val="28"/>
          <w:szCs w:val="28"/>
          <w:rtl/>
        </w:rPr>
        <w:t xml:space="preserve">سم [محدث ارموی مخ: 1 - 110]</w:t>
      </w:r>
    </w:p>
    <w:p>
      <w:pPr>
        <w:pStyle w:val="BookText"/>
      </w:pPr>
      <w:r>
        <w:rPr>
          <w:rFonts w:ascii="IRNazanin" w:hAnsi="IRNazanin" w:eastAsia="IRNazanin" w:cs="IRNazanin"/>
          <w:lang w:bidi="fa-IR"/>
          <w:color w:val="111111"/>
          <w:sz w:val="28"/>
          <w:szCs w:val="28"/>
          <w:rtl/>
        </w:rPr>
        <w:t xml:space="preserve">503.شیراز ؛خانقاه احمدیه؛ شماره نسخه: 251</w:t>
      </w:r>
    </w:p>
    <w:p>
      <w:pPr>
        <w:pStyle w:val="BookText"/>
      </w:pPr>
      <w:r>
        <w:rPr>
          <w:rFonts w:ascii="IRNazanin" w:hAnsi="IRNazanin" w:eastAsia="IRNazanin" w:cs="IRNazanin"/>
          <w:lang w:bidi="fa-IR"/>
          <w:color w:val="111111"/>
          <w:sz w:val="28"/>
          <w:szCs w:val="28"/>
          <w:rtl/>
        </w:rPr>
        <w:t xml:space="preserve">کا: غیاث ،کرمانی تا 1101ق [نشریه: 5 - 209]</w:t>
      </w:r>
    </w:p>
    <w:p>
      <w:pPr>
        <w:pStyle w:val="BookText"/>
      </w:pPr>
      <w:r>
        <w:rPr>
          <w:rFonts w:ascii="IRNazanin" w:hAnsi="IRNazanin" w:eastAsia="IRNazanin" w:cs="IRNazanin"/>
          <w:lang w:bidi="fa-IR"/>
          <w:color w:val="111111"/>
          <w:sz w:val="28"/>
          <w:szCs w:val="28"/>
          <w:rtl/>
        </w:rPr>
        <w:t xml:space="preserve">504 . قم؛ حجتیه؛ شماره نسخه: 433</w:t>
      </w:r>
    </w:p>
    <w:p>
      <w:pPr>
        <w:pStyle w:val="BookText"/>
      </w:pPr>
      <w:r>
        <w:rPr>
          <w:rFonts w:ascii="IRNazanin" w:hAnsi="IRNazanin" w:eastAsia="IRNazanin" w:cs="IRNazanin"/>
          <w:lang w:bidi="fa-IR"/>
          <w:color w:val="111111"/>
          <w:sz w:val="28"/>
          <w:szCs w:val="28"/>
          <w:rtl/>
        </w:rPr>
        <w:t xml:space="preserve">خط: نسخ بی کا، تا: 1101ق [ف: 34]</w:t>
      </w:r>
    </w:p>
    <w:p>
      <w:pPr>
        <w:pStyle w:val="BookText"/>
      </w:pPr>
      <w:r>
        <w:rPr>
          <w:rFonts w:ascii="IRNazanin" w:hAnsi="IRNazanin" w:eastAsia="IRNazanin" w:cs="IRNazanin"/>
          <w:lang w:bidi="fa-IR"/>
          <w:color w:val="111111"/>
          <w:sz w:val="28"/>
          <w:szCs w:val="28"/>
          <w:rtl/>
        </w:rPr>
        <w:t xml:space="preserve">505 . مشهد؛ رضوی؛ شماره نسخه: 13093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نبی الله بن ولی الله موسوی قاینی، تا :16 ربیع الثانی 1103ق؛ مصحح، محشی با نشان (منه ره) و ع ل ره و...؛ اهدایی کاظم مدیر شانه چی در آبان 1362 کاغذ: نخودی آهار مهره ، جلد: میشن عنابی ضربی با ترنج و سر ترنج، 143گ، 24 سطر :اندازه 12/5</w:t>
      </w:r>
      <w:r>
        <w:rPr>
          <w:rFonts w:ascii="Times New Roman" w:hAnsi="Times New Roman" w:eastAsia="Times New Roman" w:cs="Times New Roman"/>
          <w:lang w:val="en-US" w:bidi="en-US"/>
          <w:color w:val="111111"/>
          <w:sz w:val="28"/>
          <w:szCs w:val="28"/>
          <w:rtl/>
        </w:rPr>
        <w:t xml:space="preserve">×24/5</w:t>
      </w:r>
      <w:r>
        <w:rPr>
          <w:rFonts w:ascii="IRNazanin" w:hAnsi="IRNazanin" w:eastAsia="IRNazanin" w:cs="IRNazanin"/>
          <w:lang w:bidi="fa-IR"/>
          <w:color w:val="111111"/>
          <w:sz w:val="28"/>
          <w:szCs w:val="28"/>
          <w:rtl/>
        </w:rPr>
        <w:t xml:space="preserve">سم [ف: 21/12- 73]</w:t>
      </w:r>
    </w:p>
    <w:p>
      <w:pPr>
        <w:pStyle w:val="BookText"/>
      </w:pPr>
      <w:r>
        <w:rPr>
          <w:rFonts w:ascii="IRNazanin" w:hAnsi="IRNazanin" w:eastAsia="IRNazanin" w:cs="IRNazanin"/>
          <w:lang w:bidi="fa-IR"/>
          <w:color w:val="111111"/>
          <w:sz w:val="28"/>
          <w:szCs w:val="28"/>
          <w:rtl/>
        </w:rPr>
        <w:t xml:space="preserve">506 . کاشان؛ فرهنگ و ارشاد؛ شماره نسخه: 52</w:t>
      </w:r>
    </w:p>
    <w:p>
      <w:pPr>
        <w:pStyle w:val="BookText"/>
      </w:pPr>
      <w:r>
        <w:rPr>
          <w:rFonts w:ascii="IRNazanin" w:hAnsi="IRNazanin" w:eastAsia="IRNazanin" w:cs="IRNazanin"/>
          <w:lang w:bidi="fa-IR"/>
          <w:color w:val="111111"/>
          <w:sz w:val="28"/>
          <w:szCs w:val="28"/>
          <w:rtl/>
        </w:rPr>
        <w:t xml:space="preserve">آغاز: الایجاز و الاختصار خال عن التطويل و الاكثار</w:t>
      </w:r>
    </w:p>
    <w:p>
      <w:pPr>
        <w:pStyle w:val="BookText"/>
      </w:pPr>
      <w:r>
        <w:rPr>
          <w:rFonts w:ascii="IRNazanin" w:hAnsi="IRNazanin" w:eastAsia="IRNazanin" w:cs="IRNazanin"/>
          <w:lang w:bidi="fa-IR"/>
          <w:color w:val="111111"/>
          <w:sz w:val="28"/>
          <w:szCs w:val="28"/>
          <w:rtl/>
        </w:rPr>
        <w:t xml:space="preserve">خط: نسخ، کا: احمد بن جعفر بن حسین طالقانی، تا :شعبان1104ق ؛افتادگی: آغاز ،مصحح محشی؛ جلد: تیماج قرمز، 277گ، 14 سطر ، اندازه: 14/5</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- 61]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507 یزد؛ وزیری شماره نسخه: 1023</w:t>
      </w:r>
    </w:p>
    <w:p>
      <w:pPr>
        <w:pStyle w:val="BookText"/>
      </w:pPr>
      <w:r>
        <w:rPr>
          <w:rFonts w:ascii="IRNazanin" w:hAnsi="IRNazanin" w:eastAsia="IRNazanin" w:cs="IRNazanin"/>
          <w:lang w:bidi="fa-IR"/>
          <w:color w:val="111111"/>
          <w:sz w:val="28"/>
          <w:szCs w:val="28"/>
          <w:rtl/>
        </w:rPr>
        <w:t xml:space="preserve">کامل؛ خط: نسخ،  بی کا تا رمضان 1106ق؛ اهدائی حاج وزیری؛ کاغذ ،اصفهانی ،جلد: مقوایی کاغذ قرمز عطف تیماج قرمز، 316گ، 14 سطر (6/5</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 اندازه: 10/5</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سم [ف: 3- 825]</w:t>
      </w:r>
    </w:p>
    <w:p>
      <w:pPr>
        <w:pStyle w:val="BookText"/>
      </w:pPr>
      <w:r>
        <w:rPr>
          <w:rFonts w:ascii="Times New Roman" w:hAnsi="Times New Roman" w:eastAsia="Times New Roman" w:cs="Times New Roman"/>
          <w:lang w:val="en-US" w:bidi="en-US"/>
          <w:color w:val="111111"/>
          <w:sz w:val="28"/>
          <w:szCs w:val="28"/>
          <w:rtl/>
        </w:rPr>
        <w:t xml:space="preserve">508.</w:t>
      </w:r>
    </w:p>
    <w:p>
      <w:pPr>
        <w:pStyle w:val="BookText"/>
      </w:pPr>
      <w:r>
        <w:rPr>
          <w:rFonts w:ascii="IRNazanin" w:hAnsi="IRNazanin" w:eastAsia="IRNazanin" w:cs="IRNazanin"/>
          <w:lang w:bidi="fa-IR"/>
          <w:color w:val="111111"/>
          <w:sz w:val="28"/>
          <w:szCs w:val="28"/>
          <w:rtl/>
        </w:rPr>
        <w:t xml:space="preserve">قم؛ گلپایگانی؛ شماره نسخه: 4327-22/47</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:محمد حسین بن ،مراد، تا :سه شنبه 12 رجب 1106ق؛ جلد: تیماج قهوه ای سوخت با ترنج و سرترنج عطف حاشیه تيماج قهوه ای 190گ، 22 سطر ، اندازه: 14 </w:t>
      </w:r>
      <w:r>
        <w:rPr>
          <w:rFonts w:ascii="Times New Roman" w:hAnsi="Times New Roman" w:eastAsia="Times New Roman" w:cs="Times New Roman"/>
          <w:lang w:val="en-US" w:bidi="en-US"/>
          <w:color w:val="111111"/>
          <w:sz w:val="28"/>
          <w:szCs w:val="28"/>
          <w:rtl/>
        </w:rPr>
        <w:t xml:space="preserve">×23</w:t>
      </w:r>
      <w:r>
        <w:rPr>
          <w:rFonts w:ascii="IRNazanin" w:hAnsi="IRNazanin" w:eastAsia="IRNazanin" w:cs="IRNazanin"/>
          <w:lang w:bidi="fa-IR"/>
          <w:color w:val="111111"/>
          <w:sz w:val="28"/>
          <w:szCs w:val="28"/>
          <w:rtl/>
        </w:rPr>
        <w:t xml:space="preserve">سم [ 1 - 302 ]</w:t>
      </w:r>
    </w:p>
    <w:p>
      <w:pPr>
        <w:pStyle w:val="BookText"/>
      </w:pPr>
      <w:r>
        <w:rPr>
          <w:rFonts w:ascii="IRNazanin" w:hAnsi="IRNazanin" w:eastAsia="IRNazanin" w:cs="IRNazanin"/>
          <w:lang w:bidi="fa-IR"/>
          <w:color w:val="111111"/>
          <w:sz w:val="28"/>
          <w:szCs w:val="28"/>
          <w:rtl/>
        </w:rPr>
        <w:t xml:space="preserve">509 . تبریز؛ خادم حسینی؛ شماره نسخه: 36</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محمد کاظم بن محمد مهدی، تا: سه شنبه جمادى الثاني 1110ق؛ جلد: تیماج قهوه ای 209 گ، 25 سطر، اندازه: 20</w:t>
      </w:r>
      <w:r>
        <w:rPr>
          <w:rFonts w:ascii="Times New Roman" w:hAnsi="Times New Roman" w:eastAsia="Times New Roman" w:cs="Times New Roman"/>
          <w:lang w:val="en-US" w:bidi="en-US"/>
          <w:color w:val="111111"/>
          <w:sz w:val="28"/>
          <w:szCs w:val="28"/>
          <w:rtl/>
        </w:rPr>
        <w:t xml:space="preserve">×29</w:t>
      </w:r>
      <w:r>
        <w:rPr>
          <w:rFonts w:ascii="IRNazanin" w:hAnsi="IRNazanin" w:eastAsia="IRNazanin" w:cs="IRNazanin"/>
          <w:lang w:bidi="fa-IR"/>
          <w:color w:val="111111"/>
          <w:sz w:val="28"/>
          <w:szCs w:val="28"/>
          <w:rtl/>
        </w:rPr>
        <w:t xml:space="preserve">سم [اوراق عتیق: 1 - 93]</w:t>
      </w:r>
    </w:p>
    <w:p>
      <w:pPr>
        <w:pStyle w:val="BookText"/>
      </w:pPr>
      <w:r>
        <w:rPr>
          <w:rFonts w:ascii="Times New Roman" w:hAnsi="Times New Roman" w:eastAsia="Times New Roman" w:cs="Times New Roman"/>
          <w:lang w:val="en-US" w:bidi="en-US"/>
          <w:color w:val="111111"/>
          <w:sz w:val="28"/>
          <w:szCs w:val="28"/>
          <w:rtl/>
        </w:rPr>
        <w:t xml:space="preserve">510.</w:t>
      </w:r>
    </w:p>
    <w:p>
      <w:pPr>
        <w:pStyle w:val="BookText"/>
      </w:pPr>
      <w:r>
        <w:rPr>
          <w:rFonts w:ascii="IRNazanin" w:hAnsi="IRNazanin" w:eastAsia="IRNazanin" w:cs="IRNazanin"/>
          <w:lang w:bidi="fa-IR"/>
          <w:color w:val="111111"/>
          <w:sz w:val="28"/>
          <w:szCs w:val="28"/>
          <w:rtl/>
        </w:rPr>
        <w:t xml:space="preserve">خوی؛ نمازی؛ شماره نسخه: 184</w:t>
      </w:r>
    </w:p>
    <w:p>
      <w:pPr>
        <w:pStyle w:val="BookText"/>
      </w:pPr>
      <w:r>
        <w:rPr>
          <w:rFonts w:ascii="IRNazanin" w:hAnsi="IRNazanin" w:eastAsia="IRNazanin" w:cs="IRNazanin"/>
          <w:lang w:bidi="fa-IR"/>
          <w:color w:val="111111"/>
          <w:sz w:val="28"/>
          <w:szCs w:val="28"/>
          <w:rtl/>
        </w:rPr>
        <w:t xml:space="preserve">خط: نسخ، بی کا، تا :1111ق؛ تملک: محمد حسین زین العابدین ؛جلد: مقوایی با عطف چرمی، 16 سطر ، اندازه: 18/5</w:t>
      </w:r>
      <w:r>
        <w:rPr>
          <w:rFonts w:ascii="Times New Roman" w:hAnsi="Times New Roman" w:eastAsia="Times New Roman" w:cs="Times New Roman"/>
          <w:lang w:val="en-US" w:bidi="en-US"/>
          <w:color w:val="111111"/>
          <w:sz w:val="28"/>
          <w:szCs w:val="28"/>
          <w:rtl/>
        </w:rPr>
        <w:t xml:space="preserve">×25</w:t>
      </w:r>
      <w:r>
        <w:rPr>
          <w:rFonts w:ascii="IRNazanin" w:hAnsi="IRNazanin" w:eastAsia="IRNazanin" w:cs="IRNazanin"/>
          <w:lang w:bidi="fa-IR"/>
          <w:color w:val="111111"/>
          <w:sz w:val="28"/>
          <w:szCs w:val="28"/>
          <w:rtl/>
        </w:rPr>
        <w:t xml:space="preserve">سم [ف: 96]</w:t>
      </w:r>
    </w:p>
    <w:p>
      <w:pPr>
        <w:pStyle w:val="BookText"/>
      </w:pPr>
      <w:r>
        <w:rPr>
          <w:rFonts w:ascii="IRNazanin" w:hAnsi="IRNazanin" w:eastAsia="IRNazanin" w:cs="IRNazanin"/>
          <w:lang w:bidi="fa-IR"/>
          <w:color w:val="111111"/>
          <w:sz w:val="28"/>
          <w:szCs w:val="28"/>
          <w:rtl/>
        </w:rPr>
        <w:t xml:space="preserve">511 تهران؛ ملی؛ شماره نسخه : 2486/1</w:t>
      </w:r>
    </w:p>
    <w:p>
      <w:pPr>
        <w:pStyle w:val="BookText"/>
      </w:pPr>
      <w:r>
        <w:rPr>
          <w:rFonts w:ascii="IRNazanin" w:hAnsi="IRNazanin" w:eastAsia="IRNazanin" w:cs="IRNazanin"/>
          <w:lang w:bidi="fa-IR"/>
          <w:color w:val="111111"/>
          <w:sz w:val="28"/>
          <w:szCs w:val="28"/>
          <w:rtl/>
        </w:rPr>
        <w:t xml:space="preserve">خط: نسخ، کا :محمد رضا بن محمد عظیم ،سبزواری، تا :1111 ق؛کاغذ: اصفهانی و دولت آبادی و نخودی، جلد: تیماج مشکی یک  لا 102گ (1پ-103)، ابعاد متن: 13</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اندازه: 18</w:t>
      </w:r>
      <w:r>
        <w:rPr>
          <w:rFonts w:ascii="Times New Roman" w:hAnsi="Times New Roman" w:eastAsia="Times New Roman" w:cs="Times New Roman"/>
          <w:lang w:val="en-US" w:bidi="en-US"/>
          <w:color w:val="111111"/>
          <w:sz w:val="28"/>
          <w:szCs w:val="28"/>
          <w:rtl/>
        </w:rPr>
        <w:t xml:space="preserve">×24 </w:t>
      </w:r>
      <w:r>
        <w:rPr>
          <w:rFonts w:ascii="IRNazanin" w:hAnsi="IRNazanin" w:eastAsia="IRNazanin" w:cs="IRNazanin"/>
          <w:lang w:bidi="fa-IR"/>
          <w:color w:val="111111"/>
          <w:sz w:val="28"/>
          <w:szCs w:val="28"/>
          <w:rtl/>
        </w:rPr>
        <w:t xml:space="preserve">سم [ف: 12 - 343]</w:t>
      </w:r>
    </w:p>
    <w:p>
      <w:pPr>
        <w:pStyle w:val="BookText"/>
      </w:pPr>
      <w:r>
        <w:rPr>
          <w:rFonts w:ascii="Times New Roman" w:hAnsi="Times New Roman" w:eastAsia="Times New Roman" w:cs="Times New Roman"/>
          <w:lang w:val="en-US" w:bidi="en-US"/>
          <w:color w:val="111111"/>
          <w:sz w:val="28"/>
          <w:szCs w:val="28"/>
          <w:rtl/>
        </w:rPr>
        <w:t xml:space="preserve">512.</w:t>
      </w:r>
    </w:p>
    <w:p>
      <w:pPr>
        <w:pStyle w:val="BookText"/>
      </w:pPr>
      <w:r>
        <w:rPr>
          <w:rFonts w:ascii="IRNazanin" w:hAnsi="IRNazanin" w:eastAsia="IRNazanin" w:cs="IRNazanin"/>
          <w:lang w:bidi="fa-IR"/>
          <w:color w:val="111111"/>
          <w:sz w:val="28"/>
          <w:szCs w:val="28"/>
          <w:rtl/>
        </w:rPr>
        <w:t xml:space="preserve">رشت؛ جمعیت نشر فرهنگ؛ شماره نسخه:97الف</w:t>
      </w:r>
    </w:p>
    <w:p>
      <w:pPr>
        <w:pStyle w:val="BookText"/>
      </w:pPr>
      <w:r>
        <w:rPr>
          <w:rFonts w:ascii="IRNazanin" w:hAnsi="IRNazanin" w:eastAsia="IRNazanin" w:cs="IRNazanin"/>
          <w:lang w:bidi="fa-IR"/>
          <w:color w:val="111111"/>
          <w:sz w:val="28"/>
          <w:szCs w:val="28"/>
          <w:rtl/>
        </w:rPr>
        <w:t xml:space="preserve">خط: نسخ، کا: محمد شریف بن ملا منصور رستم 1111ق؛ اندازه: 17/5</w:t>
      </w:r>
      <w:r>
        <w:rPr>
          <w:rFonts w:ascii="Times New Roman" w:hAnsi="Times New Roman" w:eastAsia="Times New Roman" w:cs="Times New Roman"/>
          <w:lang w:val="en-US" w:bidi="en-US"/>
          <w:color w:val="111111"/>
          <w:sz w:val="28"/>
          <w:szCs w:val="28"/>
          <w:rtl/>
        </w:rPr>
        <w:t xml:space="preserve">×28</w:t>
      </w:r>
      <w:r>
        <w:rPr>
          <w:rFonts w:ascii="IRNazanin" w:hAnsi="IRNazanin" w:eastAsia="IRNazanin" w:cs="IRNazanin"/>
          <w:lang w:bidi="fa-IR"/>
          <w:color w:val="111111"/>
          <w:sz w:val="28"/>
          <w:szCs w:val="28"/>
          <w:rtl/>
        </w:rPr>
        <w:t xml:space="preserve">سم :[ف: 1088]</w:t>
      </w:r>
    </w:p>
    <w:p>
      <w:pPr>
        <w:pStyle w:val="BookText"/>
      </w:pPr>
      <w:r>
        <w:rPr>
          <w:rFonts w:ascii="IRNazanin" w:hAnsi="IRNazanin" w:eastAsia="IRNazanin" w:cs="IRNazanin"/>
          <w:lang w:bidi="fa-IR"/>
          <w:color w:val="111111"/>
          <w:sz w:val="28"/>
          <w:szCs w:val="28"/>
          <w:rtl/>
        </w:rPr>
        <w:t xml:space="preserve">513.تهران؛ ملی؛ شماره نسخه: 2009/1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 محمد رضا بن محمد عظیم ،سبزواری تا ذیحجه 1111ق؛ کاغذ: سمرقندی، نخودی، جلد: تیماج مشکی یک لا، 103گ (1-103)، 24 - 27 سطر ، اندازه: 18</w:t>
      </w:r>
      <w:r>
        <w:rPr>
          <w:rFonts w:ascii="Times New Roman" w:hAnsi="Times New Roman" w:eastAsia="Times New Roman" w:cs="Times New Roman"/>
          <w:lang w:val="en-US" w:bidi="en-US"/>
          <w:color w:val="111111"/>
          <w:sz w:val="28"/>
          <w:szCs w:val="28"/>
          <w:rtl/>
        </w:rPr>
        <w:t xml:space="preserve">×24</w:t>
      </w:r>
      <w:r>
        <w:rPr>
          <w:rFonts w:ascii="IRNazanin" w:hAnsi="IRNazanin" w:eastAsia="IRNazanin" w:cs="IRNazanin"/>
          <w:lang w:bidi="fa-IR"/>
          <w:color w:val="111111"/>
          <w:sz w:val="28"/>
          <w:szCs w:val="28"/>
          <w:rtl/>
        </w:rPr>
        <w:t xml:space="preserve">سم [ف: 11 - 74]</w:t>
      </w:r>
    </w:p>
    <w:p>
      <w:pPr>
        <w:pStyle w:val="BookText"/>
      </w:pPr>
      <w:r>
        <w:rPr>
          <w:rFonts w:ascii="IRNazanin" w:hAnsi="IRNazanin" w:eastAsia="IRNazanin" w:cs="IRNazanin"/>
          <w:lang w:bidi="fa-IR"/>
          <w:color w:val="111111"/>
          <w:sz w:val="28"/>
          <w:szCs w:val="28"/>
          <w:rtl/>
        </w:rPr>
        <w:t xml:space="preserve">514 . مشهد؛ رضوی؛ شماره نسخه: 2228</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 نسخ، کا: عمادالدین محمد بن حسين طبسی، تا: 17 شعبان 1113ق؛ دارای حواشی محقق کرکی با نشان«ع ل»، ورق اول نونویسی شده؛ واقف: مرتضی قلی خان، 1340 ؛کاغذ: نخودی. آهار مهره، جلد :تیماج ،مشکی، 126گ، 25-27 سطر ، اندازه: 12</w:t>
      </w:r>
      <w:r>
        <w:rPr>
          <w:rFonts w:ascii="Times New Roman" w:hAnsi="Times New Roman" w:eastAsia="Times New Roman" w:cs="Times New Roman"/>
          <w:lang w:val="en-US" w:bidi="en-US"/>
          <w:color w:val="111111"/>
          <w:sz w:val="28"/>
          <w:szCs w:val="28"/>
          <w:rtl/>
        </w:rPr>
        <w:t xml:space="preserve">×24</w:t>
      </w:r>
      <w:r>
        <w:rPr>
          <w:rFonts w:ascii="IRNazanin" w:hAnsi="IRNazanin" w:eastAsia="IRNazanin" w:cs="IRNazanin"/>
          <w:lang w:bidi="fa-IR"/>
          <w:color w:val="111111"/>
          <w:sz w:val="28"/>
          <w:szCs w:val="28"/>
          <w:rtl/>
        </w:rPr>
        <w:t xml:space="preserve">سم [ف: 21/1 - 69]</w:t>
      </w:r>
    </w:p>
    <w:p>
      <w:pPr>
        <w:pStyle w:val="BookText"/>
      </w:pPr>
      <w:r>
        <w:rPr>
          <w:rFonts w:ascii="Times New Roman" w:hAnsi="Times New Roman" w:eastAsia="Times New Roman" w:cs="Times New Roman"/>
          <w:lang w:val="en-US" w:bidi="en-US"/>
          <w:color w:val="111111"/>
          <w:sz w:val="28"/>
          <w:szCs w:val="28"/>
          <w:rtl/>
        </w:rPr>
        <w:t xml:space="preserve">515.</w:t>
      </w:r>
    </w:p>
    <w:p>
      <w:pPr>
        <w:pStyle w:val="BookText"/>
      </w:pPr>
      <w:r>
        <w:rPr>
          <w:rFonts w:ascii="IRNazanin" w:hAnsi="IRNazanin" w:eastAsia="IRNazanin" w:cs="IRNazanin"/>
          <w:lang w:bidi="fa-IR"/>
          <w:color w:val="111111"/>
          <w:sz w:val="28"/>
          <w:szCs w:val="28"/>
          <w:rtl/>
        </w:rPr>
        <w:t xml:space="preserve">تهران؛ ملی؛ شماره نسخه: 19673</w:t>
      </w:r>
    </w:p>
    <w:p>
      <w:pPr>
        <w:pStyle w:val="BookText"/>
      </w:pPr>
      <w:r>
        <w:rPr>
          <w:rFonts w:ascii="IRNazanin" w:hAnsi="IRNazanin" w:eastAsia="IRNazanin" w:cs="IRNazanin"/>
          <w:lang w:bidi="fa-IR"/>
          <w:color w:val="111111"/>
          <w:sz w:val="28"/>
          <w:szCs w:val="28"/>
          <w:rtl/>
        </w:rPr>
        <w:t xml:space="preserve">بی کا: تا: 1114ق؛ خریداری از محمد حسین علوی [رایانه]</w:t>
      </w:r>
    </w:p>
    <w:p>
      <w:pPr>
        <w:pStyle w:val="BookText"/>
      </w:pPr>
      <w:r>
        <w:rPr>
          <w:rFonts w:ascii="IRNazanin" w:hAnsi="IRNazanin" w:eastAsia="IRNazanin" w:cs="IRNazanin"/>
          <w:lang w:bidi="fa-IR"/>
          <w:color w:val="111111"/>
          <w:sz w:val="28"/>
          <w:szCs w:val="28"/>
          <w:rtl/>
        </w:rPr>
        <w:t xml:space="preserve">516 . قم؛ معصومیه؛ شماره نسخه:-6366</w:t>
      </w:r>
    </w:p>
    <w:p>
      <w:pPr>
        <w:pStyle w:val="BookText"/>
      </w:pPr>
      <w:r>
        <w:rPr>
          <w:rFonts w:ascii="IRNazanin" w:hAnsi="IRNazanin" w:eastAsia="IRNazanin" w:cs="IRNazanin"/>
          <w:lang w:bidi="fa-IR"/>
          <w:color w:val="111111"/>
          <w:sz w:val="28"/>
          <w:szCs w:val="28"/>
          <w:rtl/>
        </w:rPr>
        <w:t xml:space="preserve">خط: نسخ، کا: محمد سلیم بن محمد جعفر طالقانی، تا: 1115 ق؛ کاغذ: سپاهانی، جلد: تیماج سرخ 226گ، 14 سطر ، قطع: ربعی [آستانه قم ]</w:t>
      </w:r>
    </w:p>
    <w:p>
      <w:pPr>
        <w:pStyle w:val="BookText"/>
      </w:pPr>
      <w:r>
        <w:rPr>
          <w:rFonts w:ascii="IRNazanin" w:hAnsi="IRNazanin" w:eastAsia="IRNazanin" w:cs="IRNazanin"/>
          <w:lang w:bidi="fa-IR"/>
          <w:color w:val="111111"/>
          <w:sz w:val="28"/>
          <w:szCs w:val="28"/>
          <w:rtl/>
        </w:rPr>
        <w:t xml:space="preserve">517 . مشهد؛ رضوی؛ شماره نسخه: 20759</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ظاهراً محمد علی بن ابوطالب، تا: دوشنبه 24 صفر 1115ق؛ مصحح، محشی، مقابله شده؛ اهدایی رهبری، خرداد 1373؛ کاغذ: نخودی آهار مهره جلد: تیماج عنابی، 211گ، 15 سطر ، اندازه: 16/5</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سم [اهدائی - ف: 3 - 53]</w:t>
      </w:r>
    </w:p>
    <w:p>
      <w:pPr>
        <w:pStyle w:val="BookText"/>
      </w:pPr>
      <w:r>
        <w:rPr>
          <w:rFonts w:ascii="IRNazanin" w:hAnsi="IRNazanin" w:eastAsia="IRNazanin" w:cs="IRNazanin"/>
          <w:lang w:bidi="fa-IR"/>
          <w:color w:val="111111"/>
          <w:sz w:val="28"/>
          <w:szCs w:val="28"/>
          <w:rtl/>
        </w:rPr>
        <w:t xml:space="preserve">518 مشهد؛ رضوی؛ شماره نسخه: 2253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 نسخ، کا : محمد ابراهیم، تا: سه شنبه 22 رجب 1117ق؛ از برگ اول به جز چهار سطر مابقی ساقط است، محشی با نشان«ع ل» و «فخرالدین» کاغذ: نخودی، آهار مهره، جلد: تیماج مشکی، 100گ، 23 سطر ، اندازه: 18</w:t>
      </w:r>
      <w:r>
        <w:rPr>
          <w:rFonts w:ascii="Times New Roman" w:hAnsi="Times New Roman" w:eastAsia="Times New Roman" w:cs="Times New Roman"/>
          <w:lang w:val="en-US" w:bidi="en-US"/>
          <w:color w:val="111111"/>
          <w:sz w:val="28"/>
          <w:szCs w:val="28"/>
          <w:rtl/>
        </w:rPr>
        <w:t xml:space="preserve">×24 </w:t>
      </w:r>
      <w:r>
        <w:rPr>
          <w:rFonts w:ascii="IRNazanin" w:hAnsi="IRNazanin" w:eastAsia="IRNazanin" w:cs="IRNazanin"/>
          <w:lang w:bidi="fa-IR"/>
          <w:color w:val="111111"/>
          <w:sz w:val="28"/>
          <w:szCs w:val="28"/>
          <w:rtl/>
        </w:rPr>
        <w:t xml:space="preserve">سم [ف: 21/1 - 83]</w:t>
      </w:r>
    </w:p>
    <w:p>
      <w:pPr>
        <w:pStyle w:val="BookText"/>
      </w:pPr>
      <w:r>
        <w:rPr>
          <w:rFonts w:ascii="Times New Roman" w:hAnsi="Times New Roman" w:eastAsia="Times New Roman" w:cs="Times New Roman"/>
          <w:lang w:val="en-US" w:bidi="en-US"/>
          <w:color w:val="111111"/>
          <w:sz w:val="28"/>
          <w:szCs w:val="28"/>
          <w:rtl/>
        </w:rPr>
        <w:t xml:space="preserve">519.</w:t>
      </w:r>
    </w:p>
    <w:p>
      <w:pPr>
        <w:pStyle w:val="BookText"/>
      </w:pPr>
      <w:r>
        <w:rPr>
          <w:rFonts w:ascii="IRNazanin" w:hAnsi="IRNazanin" w:eastAsia="IRNazanin" w:cs="IRNazanin"/>
          <w:lang w:bidi="fa-IR"/>
          <w:color w:val="111111"/>
          <w:sz w:val="28"/>
          <w:szCs w:val="28"/>
          <w:rtl/>
        </w:rPr>
        <w:t xml:space="preserve">دامغان؛ صادقیه شماره نسخه: 70</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 نسخ، کا: محمد مؤمن بن شاهمیر مازندرانی تا ،محرم1117ق ،جا ،اصفهان مدرسه آقا الماس؛ مصحح، محشی که کاتب در آخر نوشته در همان سال و در همان مدرسه نگاشته، دردو برگ اول و آخر یادداشت های فقهی زیادی توسط کاتب؛ مهر: «ان الله لا يضيع أجر المؤمنين» (بيضی)؛ جلد: تیماج دورو، رو قهوه ای پشت قرمز ، 196گ 20 سطر، اندازه: 24</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سم [ف - 10]</w:t>
      </w:r>
    </w:p>
    <w:p>
      <w:pPr>
        <w:pStyle w:val="BookText"/>
      </w:pPr>
      <w:r>
        <w:rPr>
          <w:rFonts w:ascii="IRNazanin" w:hAnsi="IRNazanin" w:eastAsia="IRNazanin" w:cs="IRNazanin"/>
          <w:lang w:bidi="fa-IR"/>
          <w:color w:val="111111"/>
          <w:sz w:val="28"/>
          <w:szCs w:val="28"/>
          <w:rtl/>
        </w:rPr>
        <w:t xml:space="preserve">520 . قم؛ مرکز احیاء؛ شماره نسخه: 2446</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:قطفى حسين بن قربان حسن بن قطفى على بن بیک علی طبسی گیلکی تا :جمعه 4 رجب 1117ق، جا: مشهد رضوی ،مصحح محشی از کتاب الطلاق تا پایان کتاب به خط كاتب بازنویسی شده است و اصل نسخه قدیمی تر است؛ تملک: «ضیاء الدین محمد بن محمد علی» با مهر «لا اله الا الله الملك الحق المبين العبد ضياء الدين محمد» (مربع)، چند تملک پاک شده با مهر «هو المغنى عبده علی رضا »(بیضی) به سال 1268 و فرزند وی «محمد تقی بن علی رضا بن. ..» با مهر «هو المغنى عبده محمد تقی» (بیضی) به سال 1303 :جلد: تیماج قهوه ای ضربی 183گ، مختلف السطر ، اندازه: 15</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[محدث ارموی مخ: 1 - 110]</w:t>
      </w:r>
    </w:p>
    <w:p>
      <w:pPr>
        <w:pStyle w:val="BookText"/>
      </w:pPr>
      <w:r>
        <w:rPr>
          <w:rFonts w:ascii="Times New Roman" w:hAnsi="Times New Roman" w:eastAsia="Times New Roman" w:cs="Times New Roman"/>
          <w:lang w:val="en-US" w:bidi="en-US"/>
          <w:color w:val="111111"/>
          <w:sz w:val="28"/>
          <w:szCs w:val="28"/>
          <w:rtl/>
        </w:rPr>
        <w:t xml:space="preserve">521.</w:t>
      </w:r>
    </w:p>
    <w:p>
      <w:pPr>
        <w:pStyle w:val="BookText"/>
      </w:pPr>
      <w:r>
        <w:rPr>
          <w:rFonts w:ascii="IRNazanin" w:hAnsi="IRNazanin" w:eastAsia="IRNazanin" w:cs="IRNazanin"/>
          <w:lang w:bidi="fa-IR"/>
          <w:color w:val="111111"/>
          <w:sz w:val="28"/>
          <w:szCs w:val="28"/>
          <w:rtl/>
        </w:rPr>
        <w:t xml:space="preserve">اصفهان؛ عمومی اصفهان (فرهنگ سابق)؛ شماره نسخه: 3051</w:t>
      </w:r>
    </w:p>
    <w:p>
      <w:pPr>
        <w:pStyle w:val="BookText"/>
      </w:pPr>
      <w:r>
        <w:rPr>
          <w:rFonts w:ascii="IRNazanin" w:hAnsi="IRNazanin" w:eastAsia="IRNazanin" w:cs="IRNazanin"/>
          <w:lang w:bidi="fa-IR"/>
          <w:color w:val="111111"/>
          <w:sz w:val="28"/>
          <w:szCs w:val="28"/>
          <w:rtl/>
        </w:rPr>
        <w:t xml:space="preserve">خط: نسخ، کا :احمد ولد باقر تا 1117ق؛ کاغذ: اصفهانی، جلد: تیماجی ،بنفش، 430 ص ، 16 سطر (7</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16</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1- 177]</w:t>
      </w:r>
    </w:p>
    <w:p>
      <w:pPr>
        <w:pStyle w:val="BookText"/>
      </w:pPr>
      <w:r>
        <w:rPr>
          <w:rFonts w:ascii="IRNazanin" w:hAnsi="IRNazanin" w:eastAsia="IRNazanin" w:cs="IRNazanin"/>
          <w:lang w:bidi="fa-IR"/>
          <w:color w:val="111111"/>
          <w:sz w:val="28"/>
          <w:szCs w:val="28"/>
          <w:rtl/>
        </w:rPr>
        <w:t xml:space="preserve">522 . مشهد؛ رضوی؛ شماره نسخه: 20368</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 محمد نصیر بن علی اکبر ایمن آبادی کوهدم ، تا چهارشنبه 20 ذیقعده 1118ق؛ محشی غالباً با نشان « ع ل»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اهدایی ،رهبری خرداد 1373 ؛کاغذ: شکری آهار مهره، جلد: تیماج عنابی ساده لبه دار 163گ، 14 سطر ، انداز: 20/5</w:t>
      </w:r>
      <w:r>
        <w:rPr>
          <w:rFonts w:ascii="Times New Roman" w:hAnsi="Times New Roman" w:eastAsia="Times New Roman" w:cs="Times New Roman"/>
          <w:lang w:val="en-US" w:bidi="en-US"/>
          <w:color w:val="111111"/>
          <w:sz w:val="28"/>
          <w:szCs w:val="28"/>
          <w:rtl/>
        </w:rPr>
        <w:t xml:space="preserve">×30/5</w:t>
      </w:r>
      <w:r>
        <w:rPr>
          <w:rFonts w:ascii="IRNazanin" w:hAnsi="IRNazanin" w:eastAsia="IRNazanin" w:cs="IRNazanin"/>
          <w:lang w:bidi="fa-IR"/>
          <w:color w:val="111111"/>
          <w:sz w:val="28"/>
          <w:szCs w:val="28"/>
          <w:rtl/>
        </w:rPr>
        <w:t xml:space="preserve">سم [ اهدائی - ف: 3 - 53]</w:t>
      </w:r>
    </w:p>
    <w:p>
      <w:pPr>
        <w:pStyle w:val="BookText"/>
      </w:pPr>
      <w:r>
        <w:rPr>
          <w:rFonts w:ascii="IRNazanin" w:hAnsi="IRNazanin" w:eastAsia="IRNazanin" w:cs="IRNazanin"/>
          <w:lang w:bidi="fa-IR"/>
          <w:color w:val="111111"/>
          <w:sz w:val="28"/>
          <w:szCs w:val="28"/>
          <w:rtl/>
        </w:rPr>
        <w:t xml:space="preserve">523 . قم؛ مرعشی؛ شماره نسخه: 9565</w:t>
      </w:r>
    </w:p>
    <w:p>
      <w:pPr>
        <w:pStyle w:val="BookText"/>
      </w:pPr>
      <w:r>
        <w:rPr>
          <w:rFonts w:ascii="IRNazanin" w:hAnsi="IRNazanin" w:eastAsia="IRNazanin" w:cs="IRNazanin"/>
          <w:lang w:bidi="fa-IR"/>
          <w:color w:val="111111"/>
          <w:sz w:val="28"/>
          <w:szCs w:val="28"/>
          <w:rtl/>
        </w:rPr>
        <w:t xml:space="preserve">خط: نسخ، بی کا، تا: 6 محرم1119ق؛ محشی، تملک: محمد علی بن علی نقی حسینی با مهر «عبده محمد علی بن على نقی الحسيني» (بیضی)؛ جلد: مقوایی عطف تیماج قهوه ای، 283 گ،12 سطر ، اندازه: 13</w:t>
      </w:r>
      <w:r>
        <w:rPr>
          <w:rFonts w:ascii="Times New Roman" w:hAnsi="Times New Roman" w:eastAsia="Times New Roman" w:cs="Times New Roman"/>
          <w:lang w:val="en-US" w:bidi="en-US"/>
          <w:color w:val="111111"/>
          <w:sz w:val="28"/>
          <w:szCs w:val="28"/>
          <w:rtl/>
        </w:rPr>
        <w:t xml:space="preserve">×20/5</w:t>
      </w:r>
      <w:r>
        <w:rPr>
          <w:rFonts w:ascii="IRNazanin" w:hAnsi="IRNazanin" w:eastAsia="IRNazanin" w:cs="IRNazanin"/>
          <w:lang w:bidi="fa-IR"/>
          <w:color w:val="111111"/>
          <w:sz w:val="28"/>
          <w:szCs w:val="28"/>
          <w:rtl/>
        </w:rPr>
        <w:t xml:space="preserve">سم [ف: 24 - 307]</w:t>
      </w:r>
    </w:p>
    <w:p>
      <w:pPr>
        <w:pStyle w:val="BookText"/>
      </w:pPr>
      <w:r>
        <w:rPr>
          <w:rFonts w:ascii="Times New Roman" w:hAnsi="Times New Roman" w:eastAsia="Times New Roman" w:cs="Times New Roman"/>
          <w:lang w:val="en-US" w:bidi="en-US"/>
          <w:color w:val="111111"/>
          <w:sz w:val="28"/>
          <w:szCs w:val="28"/>
          <w:rtl/>
        </w:rPr>
        <w:t xml:space="preserve">524.</w:t>
      </w:r>
    </w:p>
    <w:p>
      <w:pPr>
        <w:pStyle w:val="BookText"/>
      </w:pPr>
      <w:r>
        <w:rPr>
          <w:rFonts w:ascii="IRNazanin" w:hAnsi="IRNazanin" w:eastAsia="IRNazanin" w:cs="IRNazanin"/>
          <w:lang w:bidi="fa-IR"/>
          <w:color w:val="111111"/>
          <w:sz w:val="28"/>
          <w:szCs w:val="28"/>
          <w:rtl/>
        </w:rPr>
        <w:t xml:space="preserve">. قم؛ مسجد اعظم؛ شماره نسخه: 1026</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 اوایل محرم 1119ق؛ تملک: «محمود بن  محمد حسین کاشانی»؛ از موقوفات حاج محمد رمضانی جلد: تیماج قهوه ای با ترنج مجدول ،گرهی 186گ ، 14 سطر ، اندازه: 19/5</w:t>
      </w:r>
      <w:r>
        <w:rPr>
          <w:rFonts w:ascii="Times New Roman" w:hAnsi="Times New Roman" w:eastAsia="Times New Roman" w:cs="Times New Roman"/>
          <w:lang w:val="en-US" w:bidi="en-US"/>
          <w:color w:val="111111"/>
          <w:sz w:val="28"/>
          <w:szCs w:val="28"/>
          <w:rtl/>
        </w:rPr>
        <w:t xml:space="preserve">×26</w:t>
      </w:r>
      <w:r>
        <w:rPr>
          <w:rFonts w:ascii="IRNazanin" w:hAnsi="IRNazanin" w:eastAsia="IRNazanin" w:cs="IRNazanin"/>
          <w:lang w:bidi="fa-IR"/>
          <w:color w:val="111111"/>
          <w:sz w:val="28"/>
          <w:szCs w:val="28"/>
          <w:rtl/>
        </w:rPr>
        <w:t xml:space="preserve">سم [ف مخ: 1 - 129]</w:t>
      </w:r>
    </w:p>
    <w:p>
      <w:pPr>
        <w:pStyle w:val="BookText"/>
      </w:pPr>
      <w:r>
        <w:rPr>
          <w:rFonts w:ascii="Times New Roman" w:hAnsi="Times New Roman" w:eastAsia="Times New Roman" w:cs="Times New Roman"/>
          <w:lang w:val="en-US" w:bidi="en-US"/>
          <w:color w:val="111111"/>
          <w:sz w:val="28"/>
          <w:szCs w:val="28"/>
          <w:rtl/>
        </w:rPr>
        <w:t xml:space="preserve">525.</w:t>
      </w:r>
    </w:p>
    <w:p>
      <w:pPr>
        <w:pStyle w:val="BookText"/>
      </w:pPr>
      <w:r>
        <w:rPr>
          <w:rFonts w:ascii="IRNazanin" w:hAnsi="IRNazanin" w:eastAsia="IRNazanin" w:cs="IRNazanin"/>
          <w:lang w:bidi="fa-IR"/>
          <w:color w:val="111111"/>
          <w:sz w:val="28"/>
          <w:szCs w:val="28"/>
          <w:rtl/>
        </w:rPr>
        <w:t xml:space="preserve">تهران؛ سپهسالار؛ شماره نسخه: 2475</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خوب، بی کا، تا: 1119ق؛ محشی از خود مؤلف شیخعلی و از کتاب «مهذب»؛ واقف: سپهسالار ،کاغذ: اصفهان ،جلد: تیماج، 173 ص 18 سطر ، قطع : وزیری اندازه: 17</w:t>
      </w:r>
      <w:r>
        <w:rPr>
          <w:rFonts w:ascii="Times New Roman" w:hAnsi="Times New Roman" w:eastAsia="Times New Roman" w:cs="Times New Roman"/>
          <w:lang w:val="en-US" w:bidi="en-US"/>
          <w:color w:val="111111"/>
          <w:sz w:val="28"/>
          <w:szCs w:val="28"/>
          <w:rtl/>
        </w:rPr>
        <w:t xml:space="preserve">×25 </w:t>
      </w:r>
      <w:r>
        <w:rPr>
          <w:rFonts w:ascii="IRNazanin" w:hAnsi="IRNazanin" w:eastAsia="IRNazanin" w:cs="IRNazanin"/>
          <w:lang w:bidi="fa-IR"/>
          <w:color w:val="111111"/>
          <w:sz w:val="28"/>
          <w:szCs w:val="28"/>
          <w:rtl/>
        </w:rPr>
        <w:t xml:space="preserve">سم[ ف: 1- 358]</w:t>
      </w:r>
    </w:p>
    <w:p>
      <w:pPr>
        <w:pStyle w:val="BookText"/>
      </w:pPr>
      <w:r>
        <w:rPr>
          <w:rFonts w:ascii="Times New Roman" w:hAnsi="Times New Roman" w:eastAsia="Times New Roman" w:cs="Times New Roman"/>
          <w:lang w:val="en-US" w:bidi="en-US"/>
          <w:color w:val="111111"/>
          <w:sz w:val="28"/>
          <w:szCs w:val="28"/>
          <w:rtl/>
        </w:rPr>
        <w:t xml:space="preserve">526.</w:t>
      </w:r>
    </w:p>
    <w:p>
      <w:pPr>
        <w:pStyle w:val="BookText"/>
      </w:pPr>
      <w:r>
        <w:rPr>
          <w:rFonts w:ascii="Amiri" w:hAnsi="Amiri" w:eastAsia="Amiri" w:cs="Amiri"/>
          <w:lang w:bidi="ar-SA"/>
          <w:color w:val="111111"/>
          <w:sz w:val="28"/>
          <w:szCs w:val="28"/>
          <w:rtl/>
        </w:rPr>
        <w:t xml:space="preserve">تهران؛ عبد العظيم؛ شماره نسخه: 226</w:t>
      </w:r>
    </w:p>
    <w:p>
      <w:pPr>
        <w:pStyle w:val="BookText"/>
      </w:pPr>
      <w:r>
        <w:rPr>
          <w:rFonts w:ascii="IRNazanin" w:hAnsi="IRNazanin" w:eastAsia="IRNazanin" w:cs="IRNazanin"/>
          <w:lang w:bidi="fa-IR"/>
          <w:color w:val="111111"/>
          <w:sz w:val="28"/>
          <w:szCs w:val="28"/>
          <w:rtl/>
        </w:rPr>
        <w:t xml:space="preserve">آغاز و انجام : برابر</w:t>
      </w:r>
    </w:p>
    <w:p>
      <w:pPr>
        <w:pStyle w:val="BookText"/>
      </w:pPr>
      <w:r>
        <w:rPr>
          <w:rFonts w:ascii="IRNazanin" w:hAnsi="IRNazanin" w:eastAsia="IRNazanin" w:cs="IRNazanin"/>
          <w:lang w:bidi="fa-IR"/>
          <w:color w:val="111111"/>
          <w:sz w:val="28"/>
          <w:szCs w:val="28"/>
          <w:rtl/>
        </w:rPr>
        <w:t xml:space="preserve">خط: نسخ، بی کا، تا: 23 ذیقعده 1122ق؛ افتادگی: آغاز ؛ محشی ؛جلد: تیماج سرخ با ترنج و سر ترنج ضربی ،زرین 206گ، سطر ، اندازه: 15/5</w:t>
      </w:r>
      <w:r>
        <w:rPr>
          <w:rFonts w:ascii="Times New Roman" w:hAnsi="Times New Roman" w:eastAsia="Times New Roman" w:cs="Times New Roman"/>
          <w:lang w:val="en-US" w:bidi="en-US"/>
          <w:color w:val="111111"/>
          <w:sz w:val="28"/>
          <w:szCs w:val="28"/>
          <w:rtl/>
        </w:rPr>
        <w:t xml:space="preserve">×28/5 </w:t>
      </w:r>
      <w:r>
        <w:rPr>
          <w:rFonts w:ascii="IRNazanin" w:hAnsi="IRNazanin" w:eastAsia="IRNazanin" w:cs="IRNazanin"/>
          <w:lang w:bidi="fa-IR"/>
          <w:color w:val="111111"/>
          <w:sz w:val="28"/>
          <w:szCs w:val="28"/>
          <w:rtl/>
        </w:rPr>
        <w:t xml:space="preserve">سم[ ف: 1- 41]</w:t>
      </w:r>
    </w:p>
    <w:p>
      <w:pPr>
        <w:pStyle w:val="BookText"/>
      </w:pPr>
      <w:r>
        <w:rPr>
          <w:rFonts w:ascii="IRNazanin" w:hAnsi="IRNazanin" w:eastAsia="IRNazanin" w:cs="IRNazanin"/>
          <w:lang w:bidi="fa-IR"/>
          <w:color w:val="111111"/>
          <w:sz w:val="28"/>
          <w:szCs w:val="28"/>
          <w:rtl/>
        </w:rPr>
        <w:t xml:space="preserve">527.تهران؛ عبدالعظیم؛ شماره نسخه: 88</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محمد حسین بن اسماعیل بسطامی، تا: سلخ ذیحجه 1127ق، جا: اصفهان، مدرسه آقا کمال؛ مصحح، محشی با نشان«زين» و «ع ل» و «فخر الدين»؛ واقف: احمد طاهری 51/5/3 ؛جلد: تیماج قهوه ای ،مجدول، 211گ، 19 سطر ، اندازه:16</w:t>
      </w:r>
      <w:r>
        <w:rPr>
          <w:rFonts w:ascii="Times New Roman" w:hAnsi="Times New Roman" w:eastAsia="Times New Roman" w:cs="Times New Roman"/>
          <w:lang w:val="en-US" w:bidi="en-US"/>
          <w:color w:val="111111"/>
          <w:sz w:val="28"/>
          <w:szCs w:val="28"/>
          <w:rtl/>
        </w:rPr>
        <w:t xml:space="preserve">×25</w:t>
      </w:r>
      <w:r>
        <w:rPr>
          <w:rFonts w:ascii="IRNazanin" w:hAnsi="IRNazanin" w:eastAsia="IRNazanin" w:cs="IRNazanin"/>
          <w:lang w:bidi="fa-IR"/>
          <w:color w:val="111111"/>
          <w:sz w:val="28"/>
          <w:szCs w:val="28"/>
          <w:rtl/>
        </w:rPr>
        <w:t xml:space="preserve">سم [ف: 1 - 42]</w:t>
      </w:r>
    </w:p>
    <w:p>
      <w:pPr>
        <w:pStyle w:val="BookText"/>
      </w:pPr>
      <w:r>
        <w:rPr>
          <w:rFonts w:ascii="IRNazanin" w:hAnsi="IRNazanin" w:eastAsia="IRNazanin" w:cs="IRNazanin"/>
          <w:lang w:bidi="fa-IR"/>
          <w:color w:val="111111"/>
          <w:sz w:val="28"/>
          <w:szCs w:val="28"/>
          <w:rtl/>
        </w:rPr>
        <w:t xml:space="preserve">528 . قم؛ مؤسسه آیة الله بروجردی؛ شماره نسخه: 602</w:t>
      </w:r>
    </w:p>
    <w:p>
      <w:pPr>
        <w:pStyle w:val="BookText"/>
      </w:pPr>
      <w:r>
        <w:rPr>
          <w:rFonts w:ascii="IRNazanin" w:hAnsi="IRNazanin" w:eastAsia="IRNazanin" w:cs="IRNazanin"/>
          <w:lang w:bidi="fa-IR"/>
          <w:color w:val="111111"/>
          <w:sz w:val="28"/>
          <w:szCs w:val="28"/>
          <w:rtl/>
        </w:rPr>
        <w:t xml:space="preserve">خط: نسخ، کا :سلطان محمد بن مظفر علی نیشابوری، تا: سه شنبه  26 رجب 1129ق ،محشی، روی برگ اول یادداشت زیب العلماء به تاریخ شعبان 1265 در تبریز؛ جلد: تیماج مشکی، 234گ،16سطر ، اندازه: 18</w:t>
      </w:r>
      <w:r>
        <w:rPr>
          <w:rFonts w:ascii="Times New Roman" w:hAnsi="Times New Roman" w:eastAsia="Times New Roman" w:cs="Times New Roman"/>
          <w:lang w:val="en-US" w:bidi="en-US"/>
          <w:color w:val="111111"/>
          <w:sz w:val="28"/>
          <w:szCs w:val="28"/>
          <w:rtl/>
        </w:rPr>
        <w:t xml:space="preserve">×24</w:t>
      </w:r>
      <w:r>
        <w:rPr>
          <w:rFonts w:ascii="IRNazanin" w:hAnsi="IRNazanin" w:eastAsia="IRNazanin" w:cs="IRNazanin"/>
          <w:lang w:bidi="fa-IR"/>
          <w:color w:val="111111"/>
          <w:sz w:val="28"/>
          <w:szCs w:val="28"/>
          <w:rtl/>
        </w:rPr>
        <w:t xml:space="preserve">سم [ف 2 - 377]</w:t>
      </w:r>
    </w:p>
    <w:p>
      <w:pPr>
        <w:pStyle w:val="BookText"/>
      </w:pPr>
      <w:r>
        <w:rPr>
          <w:rFonts w:ascii="IRNazanin" w:hAnsi="IRNazanin" w:eastAsia="IRNazanin" w:cs="IRNazanin"/>
          <w:lang w:bidi="fa-IR"/>
          <w:color w:val="111111"/>
          <w:sz w:val="28"/>
          <w:szCs w:val="28"/>
          <w:rtl/>
        </w:rPr>
        <w:t xml:space="preserve">529.مشهد؛ رضوی؛ شماره نسخه: 27395</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،خفی ،بی کا، تا :1130ق [ رایانه]</w:t>
      </w:r>
    </w:p>
    <w:p>
      <w:pPr>
        <w:pStyle w:val="BookText"/>
      </w:pPr>
      <w:r>
        <w:rPr>
          <w:rFonts w:ascii="IRNazanin" w:hAnsi="IRNazanin" w:eastAsia="IRNazanin" w:cs="IRNazanin"/>
          <w:lang w:bidi="fa-IR"/>
          <w:color w:val="111111"/>
          <w:sz w:val="28"/>
          <w:szCs w:val="28"/>
          <w:rtl/>
        </w:rPr>
        <w:t xml:space="preserve">530 . قم؛ گلپایگانی؛ شماره نسخه: 403-3/23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کامل؛ خط: نسخ، بی کا، تا: ربیع الاول 1140ق؛ محشی به امضاء «ع ل»؛ جلد: تيماج قهوه ای ضربی دارای ترنج با سر مجدول 299گ، 12-16 سطر ، اندازه: 16</w:t>
      </w:r>
      <w:r>
        <w:rPr>
          <w:rFonts w:ascii="Times New Roman" w:hAnsi="Times New Roman" w:eastAsia="Times New Roman" w:cs="Times New Roman"/>
          <w:lang w:val="en-US" w:bidi="en-US"/>
          <w:color w:val="111111"/>
          <w:sz w:val="28"/>
          <w:szCs w:val="28"/>
          <w:rtl/>
        </w:rPr>
        <w:t xml:space="preserve">×25</w:t>
      </w:r>
      <w:r>
        <w:rPr>
          <w:rFonts w:ascii="IRNazanin" w:hAnsi="IRNazanin" w:eastAsia="IRNazanin" w:cs="IRNazanin"/>
          <w:lang w:bidi="fa-IR"/>
          <w:color w:val="111111"/>
          <w:sz w:val="28"/>
          <w:szCs w:val="28"/>
          <w:rtl/>
        </w:rPr>
        <w:t xml:space="preserve">سم [ف: 1- 300]</w:t>
      </w:r>
    </w:p>
    <w:p>
      <w:pPr>
        <w:pStyle w:val="BookText"/>
      </w:pPr>
      <w:r>
        <w:rPr>
          <w:rFonts w:ascii="Times New Roman" w:hAnsi="Times New Roman" w:eastAsia="Times New Roman" w:cs="Times New Roman"/>
          <w:lang w:val="en-US" w:bidi="en-US"/>
          <w:color w:val="111111"/>
          <w:sz w:val="28"/>
          <w:szCs w:val="28"/>
          <w:rtl/>
        </w:rPr>
        <w:t xml:space="preserve">531.</w:t>
      </w:r>
    </w:p>
    <w:p>
      <w:pPr>
        <w:pStyle w:val="BookText"/>
      </w:pPr>
      <w:r>
        <w:rPr>
          <w:rFonts w:ascii="IRNazanin" w:hAnsi="IRNazanin" w:eastAsia="IRNazanin" w:cs="IRNazanin"/>
          <w:lang w:bidi="fa-IR"/>
          <w:color w:val="111111"/>
          <w:sz w:val="28"/>
          <w:szCs w:val="28"/>
          <w:rtl/>
        </w:rPr>
        <w:t xml:space="preserve">ساری؛ عمومی ساری؛ شماره نسخه: 76</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نستعليق، كا: محمد قاسم بن حكيم غلامعلی، تا: با تاریخ 1144ق؛ نسخه توسط کاتب در سال 1144ق وقف گردیده و در سال 1347 شمسی به این کتابخانه اهدا شده این کتاب توسط محمد علی ایمانی نوبر وقف شده است؛ 15 سطر ( 6/5</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 :اندازه: 13</w:t>
      </w:r>
      <w:r>
        <w:rPr>
          <w:rFonts w:ascii="Times New Roman" w:hAnsi="Times New Roman" w:eastAsia="Times New Roman" w:cs="Times New Roman"/>
          <w:lang w:val="en-US" w:bidi="en-US"/>
          <w:color w:val="111111"/>
          <w:sz w:val="28"/>
          <w:szCs w:val="28"/>
          <w:rtl/>
        </w:rPr>
        <w:t xml:space="preserve">×19/5</w:t>
      </w:r>
      <w:r>
        <w:rPr>
          <w:rFonts w:ascii="IRNazanin" w:hAnsi="IRNazanin" w:eastAsia="IRNazanin" w:cs="IRNazanin"/>
          <w:lang w:bidi="fa-IR"/>
          <w:color w:val="111111"/>
          <w:sz w:val="28"/>
          <w:szCs w:val="28"/>
          <w:rtl/>
        </w:rPr>
        <w:t xml:space="preserve">سم [ف: 58]</w:t>
      </w:r>
    </w:p>
    <w:p>
      <w:pPr>
        <w:pStyle w:val="BookText"/>
      </w:pPr>
      <w:r>
        <w:rPr>
          <w:rFonts w:ascii="Times New Roman" w:hAnsi="Times New Roman" w:eastAsia="Times New Roman" w:cs="Times New Roman"/>
          <w:lang w:val="en-US" w:bidi="en-US"/>
          <w:color w:val="111111"/>
          <w:sz w:val="28"/>
          <w:szCs w:val="28"/>
          <w:rtl/>
        </w:rPr>
        <w:t xml:space="preserve">532.</w:t>
      </w:r>
    </w:p>
    <w:p>
      <w:pPr>
        <w:pStyle w:val="BookText"/>
      </w:pPr>
      <w:r>
        <w:rPr>
          <w:rFonts w:ascii="IRNazanin" w:hAnsi="IRNazanin" w:eastAsia="IRNazanin" w:cs="IRNazanin"/>
          <w:lang w:bidi="fa-IR"/>
          <w:color w:val="111111"/>
          <w:sz w:val="28"/>
          <w:szCs w:val="28"/>
          <w:rtl/>
        </w:rPr>
        <w:t xml:space="preserve">تهران؛ دانشگاه؛ شماره نسخه: 8629/1</w:t>
      </w:r>
    </w:p>
    <w:p>
      <w:pPr>
        <w:pStyle w:val="BookText"/>
      </w:pPr>
      <w:r>
        <w:rPr>
          <w:rFonts w:ascii="IRNazanin" w:hAnsi="IRNazanin" w:eastAsia="IRNazanin" w:cs="IRNazanin"/>
          <w:lang w:bidi="fa-IR"/>
          <w:color w:val="111111"/>
          <w:sz w:val="28"/>
          <w:szCs w:val="28"/>
          <w:rtl/>
        </w:rPr>
        <w:t xml:space="preserve">خط: نسخ ،کا : سیف الدین بن استاد محمد شفیع چلاوی خانکدار، تا: جمعه 23 شعبان 1149ق؛ محشی، کاغذ: سپاهانی ،جلد: تیماج تریاکی مقوایی 179گ (1پ-179ر)، 18 سطر (11</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 قطع: خشتی [ف 17 - 182]</w:t>
      </w:r>
    </w:p>
    <w:p>
      <w:pPr>
        <w:pStyle w:val="BookText"/>
      </w:pPr>
      <w:r>
        <w:rPr>
          <w:rFonts w:ascii="IRNazanin" w:hAnsi="IRNazanin" w:eastAsia="IRNazanin" w:cs="IRNazanin"/>
          <w:lang w:bidi="fa-IR"/>
          <w:color w:val="111111"/>
          <w:sz w:val="28"/>
          <w:szCs w:val="28"/>
          <w:rtl/>
        </w:rPr>
        <w:t xml:space="preserve">533 . مشهد؛ رضوی؛ شماره نسخه: 13851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محمد طاهر بن محمد تقی، تا: اوایل شوال 1170ق؛ محشی غالباً از شهید ثانی و شیخ علی؛واقف: فاضلخان، 1065، تاریخ تحویل 1363ش؛ کاغذ: نخودی آهار مهره، جلد: تیماج عنابی ضربی با ترنج و سرترنج، 160گ، 18 تا 20 سطر ،اندازه: 16/5</w:t>
      </w:r>
      <w:r>
        <w:rPr>
          <w:rFonts w:ascii="Times New Roman" w:hAnsi="Times New Roman" w:eastAsia="Times New Roman" w:cs="Times New Roman"/>
          <w:lang w:val="en-US" w:bidi="en-US"/>
          <w:color w:val="111111"/>
          <w:sz w:val="28"/>
          <w:szCs w:val="28"/>
          <w:rtl/>
        </w:rPr>
        <w:t xml:space="preserve">×25/2</w:t>
      </w:r>
      <w:r>
        <w:rPr>
          <w:rFonts w:ascii="IRNazanin" w:hAnsi="IRNazanin" w:eastAsia="IRNazanin" w:cs="IRNazanin"/>
          <w:lang w:bidi="fa-IR"/>
          <w:color w:val="111111"/>
          <w:sz w:val="28"/>
          <w:szCs w:val="28"/>
          <w:rtl/>
        </w:rPr>
        <w:t xml:space="preserve">سم[ف:21/1 - 75]</w:t>
      </w:r>
    </w:p>
    <w:p>
      <w:pPr>
        <w:pStyle w:val="BookText"/>
      </w:pPr>
      <w:r>
        <w:rPr>
          <w:rFonts w:ascii="Times New Roman" w:hAnsi="Times New Roman" w:eastAsia="Times New Roman" w:cs="Times New Roman"/>
          <w:lang w:val="en-US" w:bidi="en-US"/>
          <w:color w:val="111111"/>
          <w:sz w:val="28"/>
          <w:szCs w:val="28"/>
          <w:rtl/>
        </w:rPr>
        <w:t xml:space="preserve">534.</w:t>
      </w:r>
    </w:p>
    <w:p>
      <w:pPr>
        <w:pStyle w:val="BookText"/>
      </w:pPr>
      <w:r>
        <w:rPr>
          <w:rFonts w:ascii="IRNazanin" w:hAnsi="IRNazanin" w:eastAsia="IRNazanin" w:cs="IRNazanin"/>
          <w:lang w:bidi="fa-IR"/>
          <w:color w:val="111111"/>
          <w:sz w:val="28"/>
          <w:szCs w:val="28"/>
          <w:rtl/>
        </w:rPr>
        <w:t xml:space="preserve">قم؛ گلپایگانی؛ شماره نسخه: 4614-23/134</w:t>
      </w:r>
    </w:p>
    <w:p>
      <w:pPr>
        <w:pStyle w:val="BookText"/>
      </w:pPr>
      <w:r>
        <w:rPr>
          <w:rFonts w:ascii="Amiri" w:hAnsi="Amiri" w:eastAsia="Amiri" w:cs="Amiri"/>
          <w:lang w:bidi="ar-SA"/>
          <w:color w:val="111111"/>
          <w:sz w:val="28"/>
          <w:szCs w:val="28"/>
          <w:rtl/>
        </w:rPr>
        <w:t xml:space="preserve">آغاز: برابر؛ انجام: فان قصر عن قيمة المقتولين اتم مولى المقتول ما يفوز بعد اسقاط ما يصيبهم من الجناية. تمت</w:t>
      </w:r>
    </w:p>
    <w:p>
      <w:pPr>
        <w:pStyle w:val="BookText"/>
      </w:pPr>
      <w:r>
        <w:rPr>
          <w:rFonts w:ascii="IRNazanin" w:hAnsi="IRNazanin" w:eastAsia="IRNazanin" w:cs="IRNazanin"/>
          <w:lang w:bidi="fa-IR"/>
          <w:color w:val="111111"/>
          <w:sz w:val="28"/>
          <w:szCs w:val="28"/>
          <w:rtl/>
        </w:rPr>
        <w:t xml:space="preserve">از آغاز تا نیمه کتاب جنایات؛ خط: نسخ، بی کا، تا: سه شنبه 29 رجب 1178ق؛ جلد: تیماج قهوه ای 179گ، 16 سطر ، اندازه: 12</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1 - 303]</w:t>
      </w:r>
    </w:p>
    <w:p>
      <w:pPr>
        <w:pStyle w:val="BookText"/>
      </w:pPr>
      <w:r>
        <w:rPr>
          <w:rFonts w:ascii="IRNazanin" w:hAnsi="IRNazanin" w:eastAsia="IRNazanin" w:cs="IRNazanin"/>
          <w:lang w:bidi="fa-IR"/>
          <w:color w:val="111111"/>
          <w:sz w:val="28"/>
          <w:szCs w:val="28"/>
          <w:rtl/>
        </w:rPr>
        <w:t xml:space="preserve">535 . مشهد؛ رضوی؛ شماره نسخه: 35891</w:t>
      </w:r>
    </w:p>
    <w:p>
      <w:pPr>
        <w:pStyle w:val="BookText"/>
      </w:pPr>
      <w:r>
        <w:rPr>
          <w:rFonts w:ascii="Amiri" w:hAnsi="Amiri" w:eastAsia="Amiri" w:cs="Amiri"/>
          <w:lang w:bidi="ar-SA"/>
          <w:color w:val="111111"/>
          <w:sz w:val="28"/>
          <w:szCs w:val="28"/>
          <w:rtl/>
        </w:rPr>
        <w:t xml:space="preserve">آغاز: والا فحيض و ما قبل التسع من الايمن و بعدا ليأس... انجام: برابر</w:t>
      </w:r>
    </w:p>
    <w:p>
      <w:pPr>
        <w:pStyle w:val="BookText"/>
      </w:pPr>
      <w:r>
        <w:rPr>
          <w:rFonts w:ascii="IRNazanin" w:hAnsi="IRNazanin" w:eastAsia="IRNazanin" w:cs="IRNazanin"/>
          <w:lang w:bidi="fa-IR"/>
          <w:color w:val="111111"/>
          <w:sz w:val="28"/>
          <w:szCs w:val="28"/>
          <w:rtl/>
        </w:rPr>
        <w:t xml:space="preserve">از المقصد الثالث فى الاستحاضه تا پایان دیات؛ خط: نسخ، بی کا ،تا: جمادى الثانى 1186ق؛ افتادگی: آغاز ؛ محشی، مصدر به دو در نواقص وضو؛ اهدائی رهبری، مهر 1386 ؛کاغذ: نخودی آهار مهره دولت آبادی سمرقندی، جلد: مقوا با روکش گالینگور مشکی ، 275گ ، 13 سطر ، اندازه: 13</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[اهدائی - ف 3 - 53]</w:t>
      </w:r>
    </w:p>
    <w:p>
      <w:pPr>
        <w:pStyle w:val="BookText"/>
      </w:pPr>
      <w:r>
        <w:rPr>
          <w:rFonts w:ascii="IRNazanin" w:hAnsi="IRNazanin" w:eastAsia="IRNazanin" w:cs="IRNazanin"/>
          <w:lang w:bidi="fa-IR"/>
          <w:color w:val="111111"/>
          <w:sz w:val="28"/>
          <w:szCs w:val="28"/>
          <w:rtl/>
        </w:rPr>
        <w:t xml:space="preserve">536.شیراز؛ ملی؛ شماره نسخه: 5- الف / 21</w:t>
      </w:r>
    </w:p>
    <w:p>
      <w:pPr>
        <w:pStyle w:val="BookText"/>
      </w:pPr>
      <w:r>
        <w:rPr>
          <w:rFonts w:ascii="Amiri" w:hAnsi="Amiri" w:eastAsia="Amiri" w:cs="Amiri"/>
          <w:lang w:bidi="ar-SA"/>
          <w:color w:val="111111"/>
          <w:sz w:val="28"/>
          <w:szCs w:val="28"/>
          <w:rtl/>
        </w:rPr>
        <w:t xml:space="preserve">آغاز: بسمله و به نستعين: الحمد الله المتفرد بالقدم والدوام المتنزه عن مشابهة محمد و آله الطيبين آله الطيبين و الاجسام؛ انجام :و الله الموفق و المعين و الحمد الله رب العالمين وصلى الله على خير خلقه محمد و آله الطيبين الطاهرين.</w:t>
      </w:r>
    </w:p>
    <w:p>
      <w:pPr>
        <w:pStyle w:val="BookText"/>
      </w:pPr>
      <w:r>
        <w:rPr>
          <w:rFonts w:ascii="IRNazanin" w:hAnsi="IRNazanin" w:eastAsia="IRNazanin" w:cs="IRNazanin"/>
          <w:lang w:bidi="fa-IR"/>
          <w:color w:val="111111"/>
          <w:sz w:val="28"/>
          <w:szCs w:val="28"/>
          <w:rtl/>
        </w:rPr>
        <w:t xml:space="preserve">خط: نسخ ،کا: علی بن زین الدین اصطباناتی، تا: 1198ق، جا: مدرسه رفیعیه محمدیه احتمالا ،اصطهبانات؛ محشی؛ کاغذ ،فرنگی ،جلد: ضربی با تیماج قهوه ای، 230گ، 15 سطر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(6/5×12) </w:t>
      </w:r>
      <w:r>
        <w:rPr>
          <w:rFonts w:ascii="IRNazanin" w:hAnsi="IRNazanin" w:eastAsia="IRNazanin" w:cs="IRNazanin"/>
          <w:lang w:bidi="fa-IR"/>
          <w:color w:val="111111"/>
          <w:sz w:val="28"/>
          <w:szCs w:val="28"/>
          <w:rtl/>
        </w:rPr>
        <w:t xml:space="preserve">اندازه: 13</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1 - 25]</w:t>
      </w:r>
    </w:p>
    <w:p>
      <w:pPr>
        <w:pStyle w:val="BookText"/>
      </w:pPr>
      <w:r>
        <w:rPr>
          <w:rFonts w:ascii="IRNazanin" w:hAnsi="IRNazanin" w:eastAsia="IRNazanin" w:cs="IRNazanin"/>
          <w:lang w:bidi="fa-IR"/>
          <w:color w:val="111111"/>
          <w:sz w:val="28"/>
          <w:szCs w:val="28"/>
          <w:rtl/>
        </w:rPr>
        <w:t xml:space="preserve">537.شیراز ؛ ثامنی محمد رضا؛ شماره نسخه: 2</w:t>
      </w:r>
    </w:p>
    <w:p>
      <w:pPr>
        <w:pStyle w:val="BookText"/>
      </w:pPr>
      <w:r>
        <w:rPr>
          <w:rFonts w:ascii="IRNazanin" w:hAnsi="IRNazanin" w:eastAsia="IRNazanin" w:cs="IRNazanin"/>
          <w:lang w:bidi="fa-IR"/>
          <w:color w:val="111111"/>
          <w:sz w:val="28"/>
          <w:szCs w:val="28"/>
          <w:rtl/>
        </w:rPr>
        <w:t xml:space="preserve">خط: نسخ، کا: محمد عزالدین بن حاجی الحرمين رستمداری ، تا: قرن 12 یا 13 ؛تملک: جعفر بن مرحوم سید محمدباقر بحر العلوم طباطبائی در 1305ق؛ قطع: رقعی [اوراق عتيق 1-267 ]</w:t>
      </w:r>
    </w:p>
    <w:p>
      <w:pPr>
        <w:pStyle w:val="BookText"/>
      </w:pPr>
      <w:r>
        <w:rPr>
          <w:rFonts w:ascii="IRNazanin" w:hAnsi="IRNazanin" w:eastAsia="IRNazanin" w:cs="IRNazanin"/>
          <w:lang w:bidi="fa-IR"/>
          <w:color w:val="111111"/>
          <w:sz w:val="28"/>
          <w:szCs w:val="28"/>
          <w:rtl/>
        </w:rPr>
        <w:t xml:space="preserve">538.مشهد؛ رضوی؛ شماره نسخه: 32963</w:t>
      </w:r>
    </w:p>
    <w:p>
      <w:pPr>
        <w:pStyle w:val="BookText"/>
      </w:pPr>
      <w:r>
        <w:rPr>
          <w:rFonts w:ascii="IRNazanin" w:hAnsi="IRNazanin" w:eastAsia="IRNazanin" w:cs="IRNazanin"/>
          <w:lang w:bidi="fa-IR"/>
          <w:color w:val="111111"/>
          <w:sz w:val="28"/>
          <w:szCs w:val="28"/>
          <w:rtl/>
        </w:rPr>
        <w:t xml:space="preserve">خط: نسخ خوش،بی کا ،تا: قرن 13؛ محشی؛ اهدائی رهبری، بهمن 1384 ؛کاغذ: حنایی آهار مهره، جلد:میشن فرنگی خردلی با حواشی گلبرگی زرکوب 297 گ، 14 سطر ، اندازه: 17</w:t>
      </w:r>
      <w:r>
        <w:rPr>
          <w:rFonts w:ascii="Times New Roman" w:hAnsi="Times New Roman" w:eastAsia="Times New Roman" w:cs="Times New Roman"/>
          <w:lang w:val="en-US" w:bidi="en-US"/>
          <w:color w:val="111111"/>
          <w:sz w:val="28"/>
          <w:szCs w:val="28"/>
          <w:rtl/>
        </w:rPr>
        <w:t xml:space="preserve">×22/2</w:t>
      </w:r>
      <w:r>
        <w:rPr>
          <w:rFonts w:ascii="IRNazanin" w:hAnsi="IRNazanin" w:eastAsia="IRNazanin" w:cs="IRNazanin"/>
          <w:lang w:bidi="fa-IR"/>
          <w:color w:val="111111"/>
          <w:sz w:val="28"/>
          <w:szCs w:val="28"/>
          <w:rtl/>
        </w:rPr>
        <w:t xml:space="preserve">سم [اهدائی - ف: 3 - 55]</w:t>
      </w:r>
    </w:p>
    <w:p>
      <w:pPr>
        <w:pStyle w:val="BookText"/>
      </w:pPr>
      <w:r>
        <w:rPr>
          <w:rFonts w:ascii="IRNazanin" w:hAnsi="IRNazanin" w:eastAsia="IRNazanin" w:cs="IRNazanin"/>
          <w:lang w:bidi="fa-IR"/>
          <w:color w:val="111111"/>
          <w:sz w:val="28"/>
          <w:szCs w:val="28"/>
          <w:rtl/>
        </w:rPr>
        <w:t xml:space="preserve">539 . مشهد؛ رضوی؛ شماره نسخه: 32867</w:t>
      </w:r>
    </w:p>
    <w:p>
      <w:pPr>
        <w:pStyle w:val="BookText"/>
      </w:pPr>
      <w:r>
        <w:rPr>
          <w:rFonts w:ascii="Amiri" w:hAnsi="Amiri" w:eastAsia="Amiri" w:cs="Amiri"/>
          <w:lang w:bidi="ar-SA"/>
          <w:color w:val="111111"/>
          <w:sz w:val="28"/>
          <w:szCs w:val="28"/>
          <w:rtl/>
        </w:rPr>
        <w:t xml:space="preserve">آغاز: برابر انجام: المقصد الخامس في الصلح و يصح الاقرار والانكار ... تحت الدرجة و الثواب الذى فى يد احدهما»</w:t>
      </w:r>
    </w:p>
    <w:p>
      <w:pPr>
        <w:pStyle w:val="BookText"/>
      </w:pPr>
      <w:r>
        <w:rPr>
          <w:rFonts w:ascii="IRNazanin" w:hAnsi="IRNazanin" w:eastAsia="IRNazanin" w:cs="IRNazanin"/>
          <w:lang w:bidi="fa-IR"/>
          <w:color w:val="111111"/>
          <w:sz w:val="28"/>
          <w:szCs w:val="28"/>
          <w:rtl/>
        </w:rPr>
        <w:t xml:space="preserve">از ابتدای مقدمه تا بخشی از «مقصد الخامس فى الصلح»؛ خط:نسخ، بی کا ،تا: قرن 13 ؛افتادگی: انجام؛ محشی؛ اهدائی رهبر بهمن 1384؛ کاغذ: فستقی، جلد : تیماج فرنگی مشکی با حواشی گلبرگی زرکوب 67گ، مختلف السطر ، اندازه: 15/5</w:t>
      </w:r>
      <w:r>
        <w:rPr>
          <w:rFonts w:ascii="Times New Roman" w:hAnsi="Times New Roman" w:eastAsia="Times New Roman" w:cs="Times New Roman"/>
          <w:lang w:val="en-US" w:bidi="en-US"/>
          <w:color w:val="111111"/>
          <w:sz w:val="28"/>
          <w:szCs w:val="28"/>
          <w:rtl/>
        </w:rPr>
        <w:t xml:space="preserve">×24 [</w:t>
      </w:r>
      <w:r>
        <w:rPr>
          <w:rFonts w:ascii="Amiri" w:hAnsi="Amiri" w:eastAsia="Amiri" w:cs="Amiri"/>
          <w:lang w:bidi="ar-SA"/>
          <w:color w:val="111111"/>
          <w:sz w:val="28"/>
          <w:szCs w:val="28"/>
          <w:rtl/>
        </w:rPr>
        <w:t xml:space="preserve">اهدائي - ف: 3 - 55]</w:t>
      </w:r>
    </w:p>
    <w:p>
      <w:pPr>
        <w:pStyle w:val="BookText"/>
      </w:pPr>
      <w:r>
        <w:rPr>
          <w:rFonts w:ascii="IRNazanin" w:hAnsi="IRNazanin" w:eastAsia="IRNazanin" w:cs="IRNazanin"/>
          <w:lang w:bidi="fa-IR"/>
          <w:color w:val="111111"/>
          <w:sz w:val="28"/>
          <w:szCs w:val="28"/>
          <w:rtl/>
        </w:rPr>
        <w:t xml:space="preserve">540 . قم؛ ارگانی بهبهانی؛ شماره نسخه: 143</w:t>
      </w:r>
    </w:p>
    <w:p>
      <w:pPr>
        <w:pStyle w:val="BookText"/>
      </w:pPr>
      <w:r>
        <w:rPr>
          <w:rFonts w:ascii="IRNazanin" w:hAnsi="IRNazanin" w:eastAsia="IRNazanin" w:cs="IRNazanin"/>
          <w:lang w:bidi="fa-IR"/>
          <w:color w:val="111111"/>
          <w:sz w:val="28"/>
          <w:szCs w:val="28"/>
          <w:rtl/>
        </w:rPr>
        <w:t xml:space="preserve">آغاز: و لو اسلمت الذمية بعد الضرب ثم القته لزمه دية جنین مسلم،انجام: يقدم استيفاء دين الرهن منه و ان كان المديون ميتاً وقصرت.</w:t>
      </w:r>
    </w:p>
    <w:p>
      <w:pPr>
        <w:pStyle w:val="BookText"/>
      </w:pPr>
      <w:r>
        <w:rPr>
          <w:rFonts w:ascii="IRNazanin" w:hAnsi="IRNazanin" w:eastAsia="IRNazanin" w:cs="IRNazanin"/>
          <w:lang w:bidi="fa-IR"/>
          <w:color w:val="111111"/>
          <w:sz w:val="28"/>
          <w:szCs w:val="28"/>
          <w:rtl/>
        </w:rPr>
        <w:t xml:space="preserve">خط: نسخ، بی کا، تا: قرن 13؛ افتادگی: آغاز و انجام، محشی، بعضی از حاشیه ها در اوراق الصاقی افزوده شده، حاشیه ای برگ 26 اضافه شده با خط نستعلیق زیبا به امضای محمد قلی؛ جلد: گالینگور مشکی عطف و لبه ها تیماج مشکی، 197گ، 15سطر ، اندازه: 17</w:t>
      </w:r>
      <w:r>
        <w:rPr>
          <w:rFonts w:ascii="Times New Roman" w:hAnsi="Times New Roman" w:eastAsia="Times New Roman" w:cs="Times New Roman"/>
          <w:lang w:val="en-US" w:bidi="en-US"/>
          <w:color w:val="111111"/>
          <w:sz w:val="28"/>
          <w:szCs w:val="28"/>
          <w:rtl/>
        </w:rPr>
        <w:t xml:space="preserve">×25/5</w:t>
      </w:r>
      <w:r>
        <w:rPr>
          <w:rFonts w:ascii="IRNazanin" w:hAnsi="IRNazanin" w:eastAsia="IRNazanin" w:cs="IRNazanin"/>
          <w:lang w:bidi="fa-IR"/>
          <w:color w:val="111111"/>
          <w:sz w:val="28"/>
          <w:szCs w:val="28"/>
          <w:rtl/>
        </w:rPr>
        <w:t xml:space="preserve">سم [ف: 109]</w:t>
      </w:r>
    </w:p>
    <w:p>
      <w:pPr>
        <w:pStyle w:val="BookText"/>
      </w:pPr>
      <w:r>
        <w:rPr>
          <w:rFonts w:ascii="IRNazanin" w:hAnsi="IRNazanin" w:eastAsia="IRNazanin" w:cs="IRNazanin"/>
          <w:lang w:bidi="fa-IR"/>
          <w:color w:val="111111"/>
          <w:sz w:val="28"/>
          <w:szCs w:val="28"/>
          <w:rtl/>
        </w:rPr>
        <w:t xml:space="preserve">541.اصفهان؛ دانشگاه؛ شماره نسخه: 407</w:t>
      </w:r>
    </w:p>
    <w:p>
      <w:pPr>
        <w:pStyle w:val="BookText"/>
      </w:pPr>
      <w:r>
        <w:rPr>
          <w:rFonts w:ascii="IRNazanin" w:hAnsi="IRNazanin" w:eastAsia="IRNazanin" w:cs="IRNazanin"/>
          <w:lang w:bidi="fa-IR"/>
          <w:color w:val="111111"/>
          <w:sz w:val="28"/>
          <w:szCs w:val="28"/>
          <w:rtl/>
        </w:rPr>
        <w:t xml:space="preserve">خط: نسخ و نستعلیق، بی کا، تا:قرن 13 ؛تملک: عبدالغفار بن محمد جواد با مهر «عبدالغفار بن محمد جواد» (مربع)؛ تیماج ،مشکی، 183گ ،مختلف السطر ، اندازه: 16</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 -332 ]</w:t>
      </w:r>
    </w:p>
    <w:p>
      <w:pPr>
        <w:pStyle w:val="BookText"/>
      </w:pPr>
      <w:r>
        <w:rPr>
          <w:rFonts w:ascii="IRNazanin" w:hAnsi="IRNazanin" w:eastAsia="IRNazanin" w:cs="IRNazanin"/>
          <w:lang w:bidi="fa-IR"/>
          <w:color w:val="111111"/>
          <w:sz w:val="28"/>
          <w:szCs w:val="28"/>
          <w:rtl/>
        </w:rPr>
        <w:t xml:space="preserve">542 . قم؛ گلپایگانی؛ شماره نسخه: 4316-22/36</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13 ؛تملک: محمد حسن بن عبدالرسول حسینی در ربیع الاول 1306؛ جلد: تیماج مشکی سوخت مجدول گرهی با ترنج و سرترنج 174گ، 21 سطر ، اندازه: 14</w:t>
      </w:r>
      <w:r>
        <w:rPr>
          <w:rFonts w:ascii="Times New Roman" w:hAnsi="Times New Roman" w:eastAsia="Times New Roman" w:cs="Times New Roman"/>
          <w:lang w:val="en-US" w:bidi="en-US"/>
          <w:color w:val="111111"/>
          <w:sz w:val="28"/>
          <w:szCs w:val="28"/>
          <w:rtl/>
        </w:rPr>
        <w:t xml:space="preserve">×24 </w:t>
      </w:r>
      <w:r>
        <w:rPr>
          <w:rFonts w:ascii="IRNazanin" w:hAnsi="IRNazanin" w:eastAsia="IRNazanin" w:cs="IRNazanin"/>
          <w:lang w:bidi="fa-IR"/>
          <w:color w:val="111111"/>
          <w:sz w:val="28"/>
          <w:szCs w:val="28"/>
          <w:rtl/>
        </w:rPr>
        <w:t xml:space="preserve">سم[ ف: 1 - 302]</w:t>
      </w:r>
    </w:p>
    <w:p>
      <w:pPr>
        <w:pStyle w:val="BookText"/>
      </w:pPr>
      <w:r>
        <w:rPr>
          <w:rFonts w:ascii="IRNazanin" w:hAnsi="IRNazanin" w:eastAsia="IRNazanin" w:cs="IRNazanin"/>
          <w:lang w:bidi="fa-IR"/>
          <w:color w:val="111111"/>
          <w:sz w:val="28"/>
          <w:szCs w:val="28"/>
          <w:rtl/>
        </w:rPr>
        <w:t xml:space="preserve">543 . قم؛ گلپایگانی؛ شماره نسخه: 5050-25/140</w:t>
      </w:r>
    </w:p>
    <w:p>
      <w:pPr>
        <w:pStyle w:val="BookText"/>
      </w:pPr>
      <w:r>
        <w:rPr>
          <w:rFonts w:ascii="IRNazanin" w:hAnsi="IRNazanin" w:eastAsia="IRNazanin" w:cs="IRNazanin"/>
          <w:lang w:bidi="fa-IR"/>
          <w:color w:val="111111"/>
          <w:sz w:val="28"/>
          <w:szCs w:val="28"/>
          <w:rtl/>
        </w:rPr>
        <w:t xml:space="preserve">آغاز: ويكره الجلوس فى الشوارع و المشارع وفى الثرال وتحت الاشجار المثمرة؛ انجام: السادس السكنى فى دار يليق بها اما بعادیة أو اجارة أو ملك و لهاالمطالبة بالتفرد فى مسكن عن مشارك  غیرالزوج و يدفع نفقة كل يوم في صبيحة ولوعا وضها</w:t>
      </w:r>
    </w:p>
    <w:p>
      <w:pPr>
        <w:pStyle w:val="BookText"/>
      </w:pPr>
      <w:r>
        <w:rPr>
          <w:rFonts w:ascii="IRNazanin" w:hAnsi="IRNazanin" w:eastAsia="IRNazanin" w:cs="IRNazanin"/>
          <w:lang w:bidi="fa-IR"/>
          <w:color w:val="111111"/>
          <w:sz w:val="28"/>
          <w:szCs w:val="28"/>
          <w:rtl/>
        </w:rPr>
        <w:t xml:space="preserve">خط: نسخ، بی کا، تا: قرن 13؛ افتادگی: آغاز و انجام؛ 187گ، 14 سطر ، اندازه 15</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1 - 307]</w:t>
      </w:r>
    </w:p>
    <w:p>
      <w:pPr>
        <w:pStyle w:val="BookText"/>
      </w:pPr>
      <w:r>
        <w:rPr>
          <w:rFonts w:ascii="IRNazanin" w:hAnsi="IRNazanin" w:eastAsia="IRNazanin" w:cs="IRNazanin"/>
          <w:lang w:bidi="fa-IR"/>
          <w:color w:val="111111"/>
          <w:sz w:val="28"/>
          <w:szCs w:val="28"/>
          <w:rtl/>
        </w:rPr>
        <w:t xml:space="preserve">544.قم؛ گلپایگانی؛ شماره نسخه: 2695-14/145</w:t>
      </w:r>
    </w:p>
    <w:p>
      <w:pPr>
        <w:pStyle w:val="BookText"/>
      </w:pPr>
      <w:r>
        <w:rPr>
          <w:rFonts w:ascii="Amiri" w:hAnsi="Amiri" w:eastAsia="Amiri" w:cs="Amiri"/>
          <w:lang w:bidi="ar-SA"/>
          <w:color w:val="111111"/>
          <w:sz w:val="28"/>
          <w:szCs w:val="28"/>
          <w:rtl/>
        </w:rPr>
        <w:t xml:space="preserve">آغاز: برابر؛ انجام: نعم يمكن القول باستحباب ذلك لعموم قوله سبحانه تعاونوا على البر والتقوى و امثاله والله تعالى يعلم حقايق احكامه. تم.</w:t>
      </w:r>
    </w:p>
    <w:p>
      <w:pPr>
        <w:pStyle w:val="BookText"/>
      </w:pPr>
      <w:r>
        <w:rPr>
          <w:rFonts w:ascii="IRNazanin" w:hAnsi="IRNazanin" w:eastAsia="IRNazanin" w:cs="IRNazanin"/>
          <w:lang w:bidi="fa-IR"/>
          <w:color w:val="111111"/>
          <w:sz w:val="28"/>
          <w:szCs w:val="28"/>
          <w:rtl/>
        </w:rPr>
        <w:t xml:space="preserve">خط: نسخ، بی کا :تا: قرن 13 ؛ جلد: گالینگور، 167گ، 14-19 سطر ، اندازه: 13</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1 - 303]</w:t>
      </w:r>
    </w:p>
    <w:p>
      <w:pPr>
        <w:pStyle w:val="BookText"/>
      </w:pPr>
      <w:r>
        <w:rPr>
          <w:rFonts w:ascii="Times New Roman" w:hAnsi="Times New Roman" w:eastAsia="Times New Roman" w:cs="Times New Roman"/>
          <w:lang w:val="en-US" w:bidi="en-US"/>
          <w:color w:val="111111"/>
          <w:sz w:val="28"/>
          <w:szCs w:val="28"/>
          <w:rtl/>
        </w:rPr>
        <w:t xml:space="preserve">545.</w:t>
      </w:r>
    </w:p>
    <w:p>
      <w:pPr>
        <w:pStyle w:val="BookText"/>
      </w:pPr>
      <w:r>
        <w:rPr>
          <w:rFonts w:ascii="IRNazanin" w:hAnsi="IRNazanin" w:eastAsia="IRNazanin" w:cs="IRNazanin"/>
          <w:lang w:bidi="fa-IR"/>
          <w:color w:val="111111"/>
          <w:sz w:val="28"/>
          <w:szCs w:val="28"/>
          <w:rtl/>
        </w:rPr>
        <w:t xml:space="preserve">قم؛ گلپایگانی؛ شماره نسخه: 8071-55/41</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از اول تا آخر؛ خط: نسخ، بی کا ،تا: قرن 13؛ 188گ، 18 سطر ،اندازه: 14</w:t>
      </w:r>
      <w:r>
        <w:rPr>
          <w:rFonts w:ascii="Times New Roman" w:hAnsi="Times New Roman" w:eastAsia="Times New Roman" w:cs="Times New Roman"/>
          <w:lang w:val="en-US" w:bidi="en-US"/>
          <w:color w:val="111111"/>
          <w:sz w:val="28"/>
          <w:szCs w:val="28"/>
          <w:rtl/>
        </w:rPr>
        <w:t xml:space="preserve">×26 </w:t>
      </w:r>
      <w:r>
        <w:rPr>
          <w:rFonts w:ascii="IRNazanin" w:hAnsi="IRNazanin" w:eastAsia="IRNazanin" w:cs="IRNazanin"/>
          <w:lang w:bidi="fa-IR"/>
          <w:color w:val="111111"/>
          <w:sz w:val="28"/>
          <w:szCs w:val="28"/>
          <w:rtl/>
        </w:rPr>
        <w:t xml:space="preserve">سم [ف: 1 - 304]</w:t>
      </w:r>
    </w:p>
    <w:p>
      <w:pPr>
        <w:pStyle w:val="BookText"/>
      </w:pPr>
      <w:r>
        <w:rPr>
          <w:rFonts w:ascii="Times New Roman" w:hAnsi="Times New Roman" w:eastAsia="Times New Roman" w:cs="Times New Roman"/>
          <w:lang w:val="en-US" w:bidi="en-US"/>
          <w:color w:val="111111"/>
          <w:sz w:val="28"/>
          <w:szCs w:val="28"/>
          <w:rtl/>
        </w:rPr>
        <w:t xml:space="preserve">546.</w:t>
      </w:r>
    </w:p>
    <w:p>
      <w:pPr>
        <w:pStyle w:val="BookText"/>
      </w:pPr>
      <w:r>
        <w:rPr>
          <w:rFonts w:ascii="IRNazanin" w:hAnsi="IRNazanin" w:eastAsia="IRNazanin" w:cs="IRNazanin"/>
          <w:lang w:bidi="fa-IR"/>
          <w:color w:val="111111"/>
          <w:sz w:val="28"/>
          <w:szCs w:val="28"/>
          <w:rtl/>
        </w:rPr>
        <w:t xml:space="preserve">قم؛ گلپایگانی؛ شماره نسخه: 7932-54/22</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از اول تا اواسط کتاب الخمس؛ خط: نسخ، بی کا، تا: قرن 13؛ 134گ، 28 سطر ، اندازه 20</w:t>
      </w:r>
      <w:r>
        <w:rPr>
          <w:rFonts w:ascii="Times New Roman" w:hAnsi="Times New Roman" w:eastAsia="Times New Roman" w:cs="Times New Roman"/>
          <w:lang w:val="en-US" w:bidi="en-US"/>
          <w:color w:val="111111"/>
          <w:sz w:val="28"/>
          <w:szCs w:val="28"/>
          <w:rtl/>
        </w:rPr>
        <w:t xml:space="preserve">×29</w:t>
      </w:r>
      <w:r>
        <w:rPr>
          <w:rFonts w:ascii="IRNazanin" w:hAnsi="IRNazanin" w:eastAsia="IRNazanin" w:cs="IRNazanin"/>
          <w:lang w:bidi="fa-IR"/>
          <w:color w:val="111111"/>
          <w:sz w:val="28"/>
          <w:szCs w:val="28"/>
          <w:rtl/>
        </w:rPr>
        <w:t xml:space="preserve">سم [ف: 1 - 305]</w:t>
      </w:r>
    </w:p>
    <w:p>
      <w:pPr>
        <w:pStyle w:val="BookText"/>
      </w:pPr>
      <w:r>
        <w:rPr>
          <w:rFonts w:ascii="Times New Roman" w:hAnsi="Times New Roman" w:eastAsia="Times New Roman" w:cs="Times New Roman"/>
          <w:lang w:val="en-US" w:bidi="en-US"/>
          <w:color w:val="111111"/>
          <w:sz w:val="28"/>
          <w:szCs w:val="28"/>
          <w:rtl/>
        </w:rPr>
        <w:t xml:space="preserve">547.</w:t>
      </w:r>
    </w:p>
    <w:p>
      <w:pPr>
        <w:pStyle w:val="BookText"/>
      </w:pPr>
      <w:r>
        <w:rPr>
          <w:rFonts w:ascii="IRNazanin" w:hAnsi="IRNazanin" w:eastAsia="IRNazanin" w:cs="IRNazanin"/>
          <w:lang w:bidi="fa-IR"/>
          <w:color w:val="111111"/>
          <w:sz w:val="28"/>
          <w:szCs w:val="28"/>
          <w:rtl/>
        </w:rPr>
        <w:t xml:space="preserve">تهران؛ الهیات؛ شماره نسخه: 75</w:t>
      </w:r>
    </w:p>
    <w:p>
      <w:pPr>
        <w:pStyle w:val="BookText"/>
      </w:pPr>
      <w:r>
        <w:rPr>
          <w:rFonts w:ascii="IRNazanin" w:hAnsi="IRNazanin" w:eastAsia="IRNazanin" w:cs="IRNazanin"/>
          <w:lang w:bidi="fa-IR"/>
          <w:color w:val="111111"/>
          <w:sz w:val="28"/>
          <w:szCs w:val="28"/>
          <w:rtl/>
        </w:rPr>
        <w:t xml:space="preserve">از طهارت تا دیات؛ خط: نسخ، بی کا، تا: قرن 13؛ افتادگی: آغاز و انجام؛ محشی با نشان «خلاف ذکری، شرح ع، تنقیح، ج ع، نهایه ع، فروس»؛ کاغذ: فرنگی ،جلد: تیماج مشکی، مقوایی، 270گ، 13 سطر (7</w:t>
      </w:r>
      <w:r>
        <w:rPr>
          <w:rFonts w:ascii="Times New Roman" w:hAnsi="Times New Roman" w:eastAsia="Times New Roman" w:cs="Times New Roman"/>
          <w:lang w:val="en-US" w:bidi="en-US"/>
          <w:color w:val="111111"/>
          <w:sz w:val="28"/>
          <w:szCs w:val="28"/>
          <w:rtl/>
        </w:rPr>
        <w:t xml:space="preserve">×12/5)</w:t>
      </w:r>
      <w:r>
        <w:rPr>
          <w:rFonts w:ascii="IRNazanin" w:hAnsi="IRNazanin" w:eastAsia="IRNazanin" w:cs="IRNazanin"/>
          <w:lang w:bidi="fa-IR"/>
          <w:color w:val="111111"/>
          <w:sz w:val="28"/>
          <w:szCs w:val="28"/>
          <w:rtl/>
        </w:rPr>
        <w:t xml:space="preserve">، اندازه: 14</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450]</w:t>
      </w:r>
    </w:p>
    <w:p>
      <w:pPr>
        <w:pStyle w:val="BookText"/>
      </w:pPr>
      <w:r>
        <w:rPr>
          <w:rFonts w:ascii="Times New Roman" w:hAnsi="Times New Roman" w:eastAsia="Times New Roman" w:cs="Times New Roman"/>
          <w:lang w:val="en-US" w:bidi="en-US"/>
          <w:color w:val="111111"/>
          <w:sz w:val="28"/>
          <w:szCs w:val="28"/>
          <w:rtl/>
        </w:rPr>
        <w:t xml:space="preserve">548.</w:t>
      </w:r>
    </w:p>
    <w:p>
      <w:pPr>
        <w:pStyle w:val="BookText"/>
      </w:pPr>
      <w:r>
        <w:rPr>
          <w:rFonts w:ascii="IRNazanin" w:hAnsi="IRNazanin" w:eastAsia="IRNazanin" w:cs="IRNazanin"/>
          <w:lang w:bidi="fa-IR"/>
          <w:color w:val="111111"/>
          <w:sz w:val="28"/>
          <w:szCs w:val="28"/>
          <w:rtl/>
        </w:rPr>
        <w:t xml:space="preserve">یزد؛ وزیری؛ شماره نسخه: 831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13 ؛افتادگی: انجام؛ اهدایی موسس کتابخانه؛ کاغذ: فرنگی ،جلد: تیماج مشکی یک لا قرمز، 111گ 13 سطر (11</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اندازه: 17</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سم [ف: 2 - 702]</w:t>
      </w:r>
    </w:p>
    <w:p>
      <w:pPr>
        <w:pStyle w:val="BookText"/>
      </w:pPr>
      <w:r>
        <w:rPr>
          <w:rFonts w:ascii="Times New Roman" w:hAnsi="Times New Roman" w:eastAsia="Times New Roman" w:cs="Times New Roman"/>
          <w:lang w:val="en-US" w:bidi="en-US"/>
          <w:color w:val="111111"/>
          <w:sz w:val="28"/>
          <w:szCs w:val="28"/>
          <w:rtl/>
        </w:rPr>
        <w:t xml:space="preserve">549.</w:t>
      </w:r>
    </w:p>
    <w:p>
      <w:pPr>
        <w:pStyle w:val="BookText"/>
      </w:pPr>
      <w:r>
        <w:rPr>
          <w:rFonts w:ascii="IRNazanin" w:hAnsi="IRNazanin" w:eastAsia="IRNazanin" w:cs="IRNazanin"/>
          <w:lang w:bidi="fa-IR"/>
          <w:color w:val="111111"/>
          <w:sz w:val="28"/>
          <w:szCs w:val="28"/>
          <w:rtl/>
        </w:rPr>
        <w:t xml:space="preserve">تهران؛ مجلس؛ شماره نسخه: 3446</w:t>
      </w:r>
    </w:p>
    <w:p>
      <w:pPr>
        <w:pStyle w:val="BookText"/>
      </w:pPr>
      <w:r>
        <w:rPr>
          <w:rFonts w:ascii="IRNazanin" w:hAnsi="IRNazanin" w:eastAsia="IRNazanin" w:cs="IRNazanin"/>
          <w:lang w:bidi="fa-IR"/>
          <w:color w:val="111111"/>
          <w:sz w:val="28"/>
          <w:szCs w:val="28"/>
          <w:rtl/>
        </w:rPr>
        <w:t xml:space="preserve">آغاز: بسمله الحمد لله الذى قدر ارشاد الاذهان؛ انجام: برابر</w:t>
      </w:r>
    </w:p>
    <w:p>
      <w:pPr>
        <w:pStyle w:val="BookText"/>
      </w:pPr>
      <w:r>
        <w:rPr>
          <w:rFonts w:ascii="IRNazanin" w:hAnsi="IRNazanin" w:eastAsia="IRNazanin" w:cs="IRNazanin"/>
          <w:lang w:bidi="fa-IR"/>
          <w:color w:val="111111"/>
          <w:sz w:val="28"/>
          <w:szCs w:val="28"/>
          <w:rtl/>
        </w:rPr>
        <w:t xml:space="preserve">خط: نسخ و نستعلیق ،كا: عبدالمنان بن محمد يحيى نصيري طوسی، تا: ربیع الاول 1209ق؛ افتادگی: آغاز؛ محشی؛ کاغذ: ایرانی و زرد رنگ، جلد: مقوایی قهوه ای سیر، 512 ص 17 سطر قطع وزیری اندازه 13</w:t>
      </w:r>
      <w:r>
        <w:rPr>
          <w:rFonts w:ascii="Times New Roman" w:hAnsi="Times New Roman" w:eastAsia="Times New Roman" w:cs="Times New Roman"/>
          <w:lang w:val="en-US" w:bidi="en-US"/>
          <w:color w:val="111111"/>
          <w:sz w:val="28"/>
          <w:szCs w:val="28"/>
          <w:rtl/>
        </w:rPr>
        <w:t xml:space="preserve">×22/5 </w:t>
      </w:r>
      <w:r>
        <w:rPr>
          <w:rFonts w:ascii="IRNazanin" w:hAnsi="IRNazanin" w:eastAsia="IRNazanin" w:cs="IRNazanin"/>
          <w:lang w:bidi="fa-IR"/>
          <w:color w:val="111111"/>
          <w:sz w:val="28"/>
          <w:szCs w:val="28"/>
          <w:rtl/>
        </w:rPr>
        <w:t xml:space="preserve">سم [ف: 10 - 1304]</w:t>
      </w:r>
    </w:p>
    <w:p>
      <w:pPr>
        <w:pStyle w:val="BookText"/>
      </w:pPr>
      <w:r>
        <w:rPr>
          <w:rFonts w:ascii="IRNazanin" w:hAnsi="IRNazanin" w:eastAsia="IRNazanin" w:cs="IRNazanin"/>
          <w:lang w:bidi="fa-IR"/>
          <w:color w:val="111111"/>
          <w:sz w:val="28"/>
          <w:szCs w:val="28"/>
          <w:rtl/>
        </w:rPr>
        <w:t xml:space="preserve">550 . قم؛ مرکز احیاء؛ شماره نسخه: 424</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:1213ق؛ مصحح، محشی؛ جلد: تیماج ،قهوه ای، 213 گ، 15 سطر ، اندازه: 15/5</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2 - 26]</w:t>
      </w:r>
    </w:p>
    <w:p>
      <w:pPr>
        <w:pStyle w:val="BookText"/>
      </w:pPr>
      <w:r>
        <w:rPr>
          <w:rFonts w:ascii="IRNazanin" w:hAnsi="IRNazanin" w:eastAsia="IRNazanin" w:cs="IRNazanin"/>
          <w:lang w:bidi="fa-IR"/>
          <w:color w:val="111111"/>
          <w:sz w:val="28"/>
          <w:szCs w:val="28"/>
          <w:rtl/>
        </w:rPr>
        <w:t xml:space="preserve">551 . قم؛ فیضیه شماره نسخه: 1337</w:t>
      </w:r>
    </w:p>
    <w:p>
      <w:pPr>
        <w:pStyle w:val="BookText"/>
      </w:pPr>
      <w:r>
        <w:rPr>
          <w:rFonts w:ascii="IRNazanin" w:hAnsi="IRNazanin" w:eastAsia="IRNazanin" w:cs="IRNazanin"/>
          <w:lang w:bidi="fa-IR"/>
          <w:color w:val="111111"/>
          <w:sz w:val="28"/>
          <w:szCs w:val="28"/>
          <w:rtl/>
        </w:rPr>
        <w:t xml:space="preserve">خط: نسخ، کا: محمدصادق بن محمد جعفر، تا :1219ق؛ 106گ، 26 سطر ، اندازه 14</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1 - 8]</w:t>
      </w:r>
    </w:p>
    <w:p>
      <w:pPr>
        <w:pStyle w:val="BookText"/>
      </w:pPr>
      <w:r>
        <w:rPr>
          <w:rFonts w:ascii="IRNazanin" w:hAnsi="IRNazanin" w:eastAsia="IRNazanin" w:cs="IRNazanin"/>
          <w:lang w:bidi="fa-IR"/>
          <w:color w:val="111111"/>
          <w:sz w:val="28"/>
          <w:szCs w:val="28"/>
          <w:rtl/>
        </w:rPr>
        <w:t xml:space="preserve">552.کاشان؛ مدرسه سلطانی؛ شماره نسخه: 87</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زیبا، کا: محمد محسن بن محمدابراهیم افعام کاشانی، تا: 15 صفر 1220ق؛ مصحح، محشی؛ تملك: على بن شهاب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الدین با مهر «على بن شهاب الدین» (بیضی) به تاریخ 1322ق ؛جلد: تیماج مشکی ،ضربی 215گ، 14 سطر ، اندازه: 17/5</w:t>
      </w:r>
      <w:r>
        <w:rPr>
          <w:rFonts w:ascii="Times New Roman" w:hAnsi="Times New Roman" w:eastAsia="Times New Roman" w:cs="Times New Roman"/>
          <w:lang w:val="en-US" w:bidi="en-US"/>
          <w:color w:val="111111"/>
          <w:sz w:val="28"/>
          <w:szCs w:val="28"/>
          <w:rtl/>
        </w:rPr>
        <w:t xml:space="preserve">×25</w:t>
      </w:r>
      <w:r>
        <w:rPr>
          <w:rFonts w:ascii="IRNazanin" w:hAnsi="IRNazanin" w:eastAsia="IRNazanin" w:cs="IRNazanin"/>
          <w:lang w:bidi="fa-IR"/>
          <w:color w:val="111111"/>
          <w:sz w:val="28"/>
          <w:szCs w:val="28"/>
          <w:rtl/>
        </w:rPr>
        <w:t xml:space="preserve">سم [ف]</w:t>
      </w:r>
    </w:p>
    <w:p>
      <w:pPr>
        <w:pStyle w:val="BookText"/>
      </w:pPr>
      <w:r>
        <w:rPr>
          <w:rFonts w:ascii="IRNazanin" w:hAnsi="IRNazanin" w:eastAsia="IRNazanin" w:cs="IRNazanin"/>
          <w:lang w:bidi="fa-IR"/>
          <w:color w:val="111111"/>
          <w:sz w:val="28"/>
          <w:szCs w:val="28"/>
          <w:rtl/>
        </w:rPr>
        <w:t xml:space="preserve">553 همدان؛ مدرسه غرب؛ شماره نسخه : 4641</w:t>
      </w:r>
    </w:p>
    <w:p>
      <w:pPr>
        <w:pStyle w:val="BookText"/>
      </w:pPr>
      <w:r>
        <w:rPr>
          <w:rFonts w:ascii="IRNazanin" w:hAnsi="IRNazanin" w:eastAsia="IRNazanin" w:cs="IRNazanin"/>
          <w:lang w:bidi="fa-IR"/>
          <w:color w:val="111111"/>
          <w:sz w:val="28"/>
          <w:szCs w:val="28"/>
          <w:rtl/>
        </w:rPr>
        <w:t xml:space="preserve">خط: نسخ، بی کا، تا: 1223ق؛ محشی با نشان «منه» و جز آن؛ قطع: وزیری :[ف 1284]</w:t>
      </w:r>
    </w:p>
    <w:p>
      <w:pPr>
        <w:pStyle w:val="BookText"/>
      </w:pPr>
      <w:r>
        <w:rPr>
          <w:rFonts w:ascii="IRNazanin" w:hAnsi="IRNazanin" w:eastAsia="IRNazanin" w:cs="IRNazanin"/>
          <w:lang w:bidi="fa-IR"/>
          <w:color w:val="111111"/>
          <w:sz w:val="28"/>
          <w:szCs w:val="28"/>
          <w:rtl/>
        </w:rPr>
        <w:t xml:space="preserve">554.تهران؛ دائرة المعارف؛ شماره نسخه : 1961- عکسی</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و ثلث، کا: مهدی بن حاج محمد باقر مرحوم  (واپسین قسمت) تا: 6 صفر 1225ق؛ محشی ؛ وقف نامه برای گروه شیخان کرمان، با امضای محمد بن کریم 1289ق با نشان مهرگرد؛ 627ص ، 13 سطر (21</w:t>
      </w:r>
      <w:r>
        <w:rPr>
          <w:rFonts w:ascii="Times New Roman" w:hAnsi="Times New Roman" w:eastAsia="Times New Roman" w:cs="Times New Roman"/>
          <w:lang w:val="en-US" w:bidi="en-US"/>
          <w:color w:val="111111"/>
          <w:sz w:val="28"/>
          <w:szCs w:val="28"/>
          <w:rtl/>
        </w:rPr>
        <w:t xml:space="preserve">×30 [</w:t>
      </w:r>
      <w:r>
        <w:rPr>
          <w:rFonts w:ascii="IRNazanin" w:hAnsi="IRNazanin" w:eastAsia="IRNazanin" w:cs="IRNazanin"/>
          <w:lang w:bidi="fa-IR"/>
          <w:color w:val="111111"/>
          <w:sz w:val="28"/>
          <w:szCs w:val="28"/>
          <w:rtl/>
        </w:rPr>
        <w:t xml:space="preserve">ف: 1-19]</w:t>
      </w:r>
    </w:p>
    <w:p>
      <w:pPr>
        <w:pStyle w:val="BookText"/>
      </w:pPr>
      <w:r>
        <w:rPr>
          <w:rFonts w:ascii="IRNazanin" w:hAnsi="IRNazanin" w:eastAsia="IRNazanin" w:cs="IRNazanin"/>
          <w:lang w:bidi="fa-IR"/>
          <w:color w:val="111111"/>
          <w:sz w:val="28"/>
          <w:szCs w:val="28"/>
          <w:rtl/>
        </w:rPr>
        <w:t xml:space="preserve">555.مشهد؛ رضوی؛ شماره نسخه: 37314</w:t>
      </w:r>
    </w:p>
    <w:p>
      <w:pPr>
        <w:pStyle w:val="BookText"/>
      </w:pPr>
      <w:r>
        <w:rPr>
          <w:rFonts w:ascii="Amiri" w:hAnsi="Amiri" w:eastAsia="Amiri" w:cs="Amiri"/>
          <w:lang w:bidi="ar-SA"/>
          <w:color w:val="111111"/>
          <w:sz w:val="28"/>
          <w:szCs w:val="28"/>
          <w:rtl/>
        </w:rPr>
        <w:t xml:space="preserve">آغاز: البلوغ و العقل و الاختيار و القصد؛ انجام: برابر</w:t>
      </w:r>
    </w:p>
    <w:p>
      <w:pPr>
        <w:pStyle w:val="BookText"/>
      </w:pPr>
      <w:r>
        <w:rPr>
          <w:rFonts w:ascii="IRNazanin" w:hAnsi="IRNazanin" w:eastAsia="IRNazanin" w:cs="IRNazanin"/>
          <w:lang w:bidi="fa-IR"/>
          <w:color w:val="111111"/>
          <w:sz w:val="28"/>
          <w:szCs w:val="28"/>
          <w:rtl/>
        </w:rPr>
        <w:t xml:space="preserve">از اواخر «کتاب العتق» تا انتهای «کتاب الديات»؛ خط: نسخ، کا:احمد بن محمد ابراهیم رضوی، تا: سه شنبه 28 جمادی الثانی 1227ق؛ افتادگی: آغاز؛ اهدائی رهبری مهر 1386؛ کاغذ: نخودی آهار مهره، جلد: گالینگور با عطف تیماج قهوه ای، 133گ، 14 تا 17 سطر ، اندازه: 13/5</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 اهدائی ف: 3- 54]</w:t>
      </w:r>
    </w:p>
    <w:p>
      <w:pPr>
        <w:pStyle w:val="BookText"/>
      </w:pPr>
      <w:r>
        <w:rPr>
          <w:rFonts w:ascii="IRNazanin" w:hAnsi="IRNazanin" w:eastAsia="IRNazanin" w:cs="IRNazanin"/>
          <w:lang w:bidi="fa-IR"/>
          <w:color w:val="111111"/>
          <w:sz w:val="28"/>
          <w:szCs w:val="28"/>
          <w:rtl/>
        </w:rPr>
        <w:t xml:space="preserve">556.فردوس؛ مكتب مفید؛ شماره نسخه:3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سید احمد موسی ،حسینی، تا: 1242ق؛ محشی؛ تملكي: عبدالله حسینی تونی؛ جلد: تیماج مشکی، 260گ، 14سطر ، اندازه: 17</w:t>
      </w:r>
      <w:r>
        <w:rPr>
          <w:rFonts w:ascii="Times New Roman" w:hAnsi="Times New Roman" w:eastAsia="Times New Roman" w:cs="Times New Roman"/>
          <w:lang w:val="en-US" w:bidi="en-US"/>
          <w:color w:val="111111"/>
          <w:sz w:val="28"/>
          <w:szCs w:val="28"/>
          <w:rtl/>
        </w:rPr>
        <w:t xml:space="preserve">×25</w:t>
      </w:r>
      <w:r>
        <w:rPr>
          <w:rFonts w:ascii="IRNazanin" w:hAnsi="IRNazanin" w:eastAsia="IRNazanin" w:cs="IRNazanin"/>
          <w:lang w:bidi="fa-IR"/>
          <w:color w:val="111111"/>
          <w:sz w:val="28"/>
          <w:szCs w:val="28"/>
          <w:rtl/>
        </w:rPr>
        <w:t xml:space="preserve">سم [مخ ]</w:t>
      </w:r>
    </w:p>
    <w:p>
      <w:pPr>
        <w:pStyle w:val="BookText"/>
      </w:pPr>
      <w:r>
        <w:rPr>
          <w:rFonts w:ascii="IRNazanin" w:hAnsi="IRNazanin" w:eastAsia="IRNazanin" w:cs="IRNazanin"/>
          <w:lang w:bidi="fa-IR"/>
          <w:color w:val="111111"/>
          <w:sz w:val="28"/>
          <w:szCs w:val="28"/>
          <w:rtl/>
        </w:rPr>
        <w:t xml:space="preserve">557.همدان؛ مدرسه غرب؛ شماره نسخه: 583</w:t>
      </w:r>
    </w:p>
    <w:p>
      <w:pPr>
        <w:pStyle w:val="BookText"/>
      </w:pPr>
      <w:r>
        <w:rPr>
          <w:rFonts w:ascii="IRNazanin" w:hAnsi="IRNazanin" w:eastAsia="IRNazanin" w:cs="IRNazanin"/>
          <w:lang w:bidi="fa-IR"/>
          <w:color w:val="111111"/>
          <w:sz w:val="28"/>
          <w:szCs w:val="28"/>
          <w:rtl/>
        </w:rPr>
        <w:t xml:space="preserve">خط: نسخ، بی کا، تا: شنبه 24 ذیقعده 1254ق؛ قطع وزیری :[ف: 1284]</w:t>
      </w:r>
    </w:p>
    <w:p>
      <w:pPr>
        <w:pStyle w:val="BookText"/>
      </w:pPr>
      <w:r>
        <w:rPr>
          <w:rFonts w:ascii="Times New Roman" w:hAnsi="Times New Roman" w:eastAsia="Times New Roman" w:cs="Times New Roman"/>
          <w:lang w:val="en-US" w:bidi="en-US"/>
          <w:color w:val="111111"/>
          <w:sz w:val="28"/>
          <w:szCs w:val="28"/>
          <w:rtl/>
        </w:rPr>
        <w:t xml:space="preserve">558.</w:t>
      </w:r>
    </w:p>
    <w:p>
      <w:pPr>
        <w:pStyle w:val="BookText"/>
      </w:pPr>
      <w:r>
        <w:rPr>
          <w:rFonts w:ascii="IRNazanin" w:hAnsi="IRNazanin" w:eastAsia="IRNazanin" w:cs="IRNazanin"/>
          <w:lang w:bidi="fa-IR"/>
          <w:color w:val="111111"/>
          <w:sz w:val="28"/>
          <w:szCs w:val="28"/>
          <w:rtl/>
        </w:rPr>
        <w:t xml:space="preserve">مشهد؛ رضوی؛ شماره نسخه:11594</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 کا: محمود بن جعفر کرخه رودی، تا: 1255ق ؛ جا:مدرسه حسامیه بروجرد دارای حواشی «محمود»؛ واقف: حسن فرید محسنی ،شهریور 1354 ؛کاغذ: نخودی آهار مهره جلد: ،مقوا، رویه گالینگور[ف: 21/1 - 74]</w:t>
      </w:r>
    </w:p>
    <w:p>
      <w:pPr>
        <w:pStyle w:val="BookText"/>
      </w:pPr>
      <w:r>
        <w:rPr>
          <w:rFonts w:ascii="IRNazanin" w:hAnsi="IRNazanin" w:eastAsia="IRNazanin" w:cs="IRNazanin"/>
          <w:lang w:bidi="fa-IR"/>
          <w:color w:val="111111"/>
          <w:sz w:val="28"/>
          <w:szCs w:val="28"/>
          <w:rtl/>
        </w:rPr>
        <w:t xml:space="preserve">559 . مشهد؛ رضوی؛ شماره نسخه:34943</w:t>
      </w:r>
    </w:p>
    <w:p>
      <w:pPr>
        <w:pStyle w:val="BookText"/>
      </w:pPr>
      <w:r>
        <w:rPr>
          <w:rFonts w:ascii="IRNazanin" w:hAnsi="IRNazanin" w:eastAsia="IRNazanin" w:cs="IRNazanin"/>
          <w:lang w:bidi="fa-IR"/>
          <w:color w:val="111111"/>
          <w:sz w:val="28"/>
          <w:szCs w:val="28"/>
          <w:rtl/>
        </w:rPr>
        <w:t xml:space="preserve">خط: نسخ ،کا: محمدرضا بن علیم الله، تا: 1258ق، برای سید عطاءحسین بن سید میر علی؛ اهدائی ،رهبری اردیبهشت 1386؛ کا :نخودی آهار مهره، جلد: تیماج زرد فرنگی با حواشی ضربی منقش ، 244 گ، 14 سطر، اندازه 16/5 </w:t>
      </w:r>
      <w:r>
        <w:rPr>
          <w:rFonts w:ascii="Times New Roman" w:hAnsi="Times New Roman" w:eastAsia="Times New Roman" w:cs="Times New Roman"/>
          <w:lang w:val="en-US" w:bidi="en-US"/>
          <w:color w:val="111111"/>
          <w:sz w:val="28"/>
          <w:szCs w:val="28"/>
          <w:rtl/>
        </w:rPr>
        <w:t xml:space="preserve">×26</w:t>
      </w:r>
      <w:r>
        <w:rPr>
          <w:rFonts w:ascii="IRNazanin" w:hAnsi="IRNazanin" w:eastAsia="IRNazanin" w:cs="IRNazanin"/>
          <w:lang w:bidi="fa-IR"/>
          <w:color w:val="111111"/>
          <w:sz w:val="28"/>
          <w:szCs w:val="28"/>
          <w:rtl/>
        </w:rPr>
        <w:t xml:space="preserve">سم [ اهدائی - ف: 3 - 54]</w:t>
      </w:r>
    </w:p>
    <w:p>
      <w:pPr>
        <w:pStyle w:val="BookText"/>
      </w:pPr>
      <w:r>
        <w:rPr>
          <w:rFonts w:ascii="IRNazanin" w:hAnsi="IRNazanin" w:eastAsia="IRNazanin" w:cs="IRNazanin"/>
          <w:lang w:bidi="fa-IR"/>
          <w:color w:val="111111"/>
          <w:sz w:val="28"/>
          <w:szCs w:val="28"/>
          <w:rtl/>
        </w:rPr>
        <w:t xml:space="preserve">560 . قم؛ گلپایگانی؛ شماره نسخه: 7728-52/68</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بی کا ،تا :5 ذیحجه 1267ق؛ محشی؛ 152گ، 19سطر ، اندازه 18 </w:t>
      </w:r>
      <w:r>
        <w:rPr>
          <w:rFonts w:ascii="Times New Roman" w:hAnsi="Times New Roman" w:eastAsia="Times New Roman" w:cs="Times New Roman"/>
          <w:lang w:val="en-US" w:bidi="en-US"/>
          <w:color w:val="111111"/>
          <w:sz w:val="28"/>
          <w:szCs w:val="28"/>
          <w:rtl/>
        </w:rPr>
        <w:t xml:space="preserve">× 25 </w:t>
      </w:r>
      <w:r>
        <w:rPr>
          <w:rFonts w:ascii="IRNazanin" w:hAnsi="IRNazanin" w:eastAsia="IRNazanin" w:cs="IRNazanin"/>
          <w:lang w:bidi="fa-IR"/>
          <w:color w:val="111111"/>
          <w:sz w:val="28"/>
          <w:szCs w:val="28"/>
          <w:rtl/>
        </w:rPr>
        <w:t xml:space="preserve">سم [ ف : 1 - 305]</w:t>
      </w:r>
    </w:p>
    <w:p>
      <w:pPr>
        <w:pStyle w:val="BookText"/>
      </w:pPr>
      <w:r>
        <w:rPr>
          <w:rFonts w:ascii="Amiri" w:hAnsi="Amiri" w:eastAsia="Amiri" w:cs="Amiri"/>
          <w:lang w:bidi="ar-SA"/>
          <w:color w:val="111111"/>
          <w:sz w:val="28"/>
          <w:szCs w:val="28"/>
          <w:rtl/>
        </w:rPr>
        <w:t xml:space="preserve">561 . قم؛ حجتيه؛ شماره نسخه: 154</w:t>
      </w:r>
    </w:p>
    <w:p>
      <w:pPr>
        <w:pStyle w:val="BookText"/>
      </w:pPr>
      <w:r>
        <w:rPr>
          <w:rFonts w:ascii="IRNazanin" w:hAnsi="IRNazanin" w:eastAsia="IRNazanin" w:cs="IRNazanin"/>
          <w:lang w:bidi="fa-IR"/>
          <w:color w:val="111111"/>
          <w:sz w:val="28"/>
          <w:szCs w:val="28"/>
          <w:rtl/>
        </w:rPr>
        <w:t xml:space="preserve">خط : نسخ، بی کا، تا: 1268ق[ف: 34]</w:t>
      </w:r>
    </w:p>
    <w:p>
      <w:pPr>
        <w:pStyle w:val="BookText"/>
      </w:pPr>
      <w:r>
        <w:rPr>
          <w:rFonts w:ascii="IRNazanin" w:hAnsi="IRNazanin" w:eastAsia="IRNazanin" w:cs="IRNazanin"/>
          <w:lang w:bidi="fa-IR"/>
          <w:color w:val="111111"/>
          <w:sz w:val="28"/>
          <w:szCs w:val="28"/>
          <w:rtl/>
        </w:rPr>
        <w:t xml:space="preserve">562.کاشان؛ فرهنگ و ارشاد؛ شماره نسخه: 93</w:t>
      </w:r>
    </w:p>
    <w:p>
      <w:pPr>
        <w:pStyle w:val="BookText"/>
      </w:pPr>
      <w:r>
        <w:rPr>
          <w:rFonts w:ascii="Amiri" w:hAnsi="Amiri" w:eastAsia="Amiri" w:cs="Amiri"/>
          <w:lang w:bidi="ar-SA"/>
          <w:color w:val="111111"/>
          <w:sz w:val="28"/>
          <w:szCs w:val="28"/>
          <w:rtl/>
        </w:rPr>
        <w:t xml:space="preserve">آغاز: الروايتين و كذا لو زوج الاب او الجد الصغير لزمه العقد ولا خيار له بعد بلوغه ورشده</w:t>
      </w:r>
    </w:p>
    <w:p>
      <w:pPr>
        <w:pStyle w:val="BookText"/>
      </w:pPr>
      <w:r>
        <w:rPr>
          <w:rFonts w:ascii="IRNazanin" w:hAnsi="IRNazanin" w:eastAsia="IRNazanin" w:cs="IRNazanin"/>
          <w:lang w:bidi="fa-IR"/>
          <w:color w:val="111111"/>
          <w:sz w:val="28"/>
          <w:szCs w:val="28"/>
          <w:rtl/>
        </w:rPr>
        <w:t xml:space="preserve">خط: نسخ، کا: سید علی اصغر ،حسینی، تا: 1273ق؛ افتادگی: آغاز؛ مصحح، محشى؛ جلد: تیماج مشکی، 126گ، مختلف السطر ، اندازه: 15/5</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 [ف: - 89]</w:t>
      </w:r>
    </w:p>
    <w:p>
      <w:pPr>
        <w:pStyle w:val="BookText"/>
      </w:pPr>
      <w:r>
        <w:rPr>
          <w:rFonts w:ascii="IRNazanin" w:hAnsi="IRNazanin" w:eastAsia="IRNazanin" w:cs="IRNazanin"/>
          <w:lang w:bidi="fa-IR"/>
          <w:color w:val="111111"/>
          <w:sz w:val="28"/>
          <w:szCs w:val="28"/>
          <w:rtl/>
        </w:rPr>
        <w:t xml:space="preserve">563 .تهران؛ ملی؛ شماره نسخه: 4823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متوسط، كا: احمد بن اسمعیل حسینی، تا: 1274ق ؛  دارای حواشی از فرزند علامه فخرالدین و غیره با نشان های«م ر ه» ، مولانا محمد ره ،زین الدین ع ل ی ، ع ل ر س ره؛ کاغذ: فرنگی شکری، جلد: مقوایی، 156گ 19 سطر (11</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،اندازه: 18</w:t>
      </w:r>
      <w:r>
        <w:rPr>
          <w:rFonts w:ascii="Times New Roman" w:hAnsi="Times New Roman" w:eastAsia="Times New Roman" w:cs="Times New Roman"/>
          <w:lang w:val="en-US" w:bidi="en-US"/>
          <w:color w:val="111111"/>
          <w:sz w:val="28"/>
          <w:szCs w:val="28"/>
          <w:rtl/>
        </w:rPr>
        <w:t xml:space="preserve">×24/5</w:t>
      </w:r>
      <w:r>
        <w:rPr>
          <w:rFonts w:ascii="Amiri" w:hAnsi="Amiri" w:eastAsia="Amiri" w:cs="Amiri"/>
          <w:lang w:bidi="ar-SA"/>
          <w:color w:val="111111"/>
          <w:sz w:val="28"/>
          <w:szCs w:val="28"/>
          <w:rtl/>
        </w:rPr>
        <w:t xml:space="preserve">سم [ رايانه ]</w:t>
      </w:r>
    </w:p>
    <w:p>
      <w:pPr>
        <w:pStyle w:val="BookText"/>
      </w:pPr>
      <w:r>
        <w:rPr>
          <w:rFonts w:ascii="IRNazanin" w:hAnsi="IRNazanin" w:eastAsia="IRNazanin" w:cs="IRNazanin"/>
          <w:lang w:bidi="fa-IR"/>
          <w:color w:val="111111"/>
          <w:sz w:val="28"/>
          <w:szCs w:val="28"/>
          <w:rtl/>
        </w:rPr>
        <w:t xml:space="preserve">564 . قم؛ مسجد اعظم؛ شماره نسخه: 95</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عبدالوهاب بن ملک حسن باغنوزیری، تا: پنج شنبه 25 رجب 1279ق؛ نسخه دارای دو تحریر است که احتمالاً یکی قدیم تر است؛ جلد: گالینگور سبز عطف تیماج زرشکی، 149گ ، مختلف السطر ، اندازه: 20</w:t>
      </w:r>
      <w:r>
        <w:rPr>
          <w:rFonts w:ascii="Times New Roman" w:hAnsi="Times New Roman" w:eastAsia="Times New Roman" w:cs="Times New Roman"/>
          <w:lang w:val="en-US" w:bidi="en-US"/>
          <w:color w:val="111111"/>
          <w:sz w:val="28"/>
          <w:szCs w:val="28"/>
          <w:rtl/>
        </w:rPr>
        <w:t xml:space="preserve">×29</w:t>
      </w:r>
      <w:r>
        <w:rPr>
          <w:rFonts w:ascii="IRNazanin" w:hAnsi="IRNazanin" w:eastAsia="IRNazanin" w:cs="IRNazanin"/>
          <w:lang w:bidi="fa-IR"/>
          <w:color w:val="111111"/>
          <w:sz w:val="28"/>
          <w:szCs w:val="28"/>
          <w:rtl/>
        </w:rPr>
        <w:t xml:space="preserve">سم [ف مخ: 1 –128]</w:t>
      </w:r>
    </w:p>
    <w:p>
      <w:pPr>
        <w:pStyle w:val="BookText"/>
      </w:pPr>
      <w:r>
        <w:rPr>
          <w:rFonts w:ascii="Times New Roman" w:hAnsi="Times New Roman" w:eastAsia="Times New Roman" w:cs="Times New Roman"/>
          <w:lang w:val="en-US" w:bidi="en-US"/>
          <w:color w:val="111111"/>
          <w:sz w:val="28"/>
          <w:szCs w:val="28"/>
          <w:rtl/>
        </w:rPr>
        <w:t xml:space="preserve">565.</w:t>
      </w:r>
    </w:p>
    <w:p>
      <w:pPr>
        <w:pStyle w:val="BookText"/>
      </w:pPr>
      <w:r>
        <w:rPr>
          <w:rFonts w:ascii="IRNazanin" w:hAnsi="IRNazanin" w:eastAsia="IRNazanin" w:cs="IRNazanin"/>
          <w:lang w:bidi="fa-IR"/>
          <w:color w:val="111111"/>
          <w:sz w:val="28"/>
          <w:szCs w:val="28"/>
          <w:rtl/>
        </w:rPr>
        <w:t xml:space="preserve">تهران؛ سپهسالار؛ شماره نسخه: 5873</w:t>
      </w:r>
    </w:p>
    <w:p>
      <w:pPr>
        <w:pStyle w:val="BookText"/>
      </w:pPr>
      <w:r>
        <w:rPr>
          <w:rFonts w:ascii="IRNazanin" w:hAnsi="IRNazanin" w:eastAsia="IRNazanin" w:cs="IRNazanin"/>
          <w:lang w:bidi="fa-IR"/>
          <w:color w:val="111111"/>
          <w:sz w:val="28"/>
          <w:szCs w:val="28"/>
          <w:rtl/>
        </w:rPr>
        <w:t xml:space="preserve">خط: نستعليق، كا: شیخ دين على جنفوری، تا: 6 جمادی الثانی 1283ق؛ محمد باقر ذاکر روی نام کاتب خط کشیده و نام خود را نوشته؛ کاغذ: فرنگی سفید ،جلد: تیماج سبز ،مقوایی 183گ 17 سطر ، اندازه: 24</w:t>
      </w:r>
      <w:r>
        <w:rPr>
          <w:rFonts w:ascii="Times New Roman" w:hAnsi="Times New Roman" w:eastAsia="Times New Roman" w:cs="Times New Roman"/>
          <w:lang w:val="en-US" w:bidi="en-US"/>
          <w:color w:val="111111"/>
          <w:sz w:val="28"/>
          <w:szCs w:val="28"/>
          <w:rtl/>
        </w:rPr>
        <w:t xml:space="preserve">×34</w:t>
      </w:r>
      <w:r>
        <w:rPr>
          <w:rFonts w:ascii="IRNazanin" w:hAnsi="IRNazanin" w:eastAsia="IRNazanin" w:cs="IRNazanin"/>
          <w:lang w:bidi="fa-IR"/>
          <w:color w:val="111111"/>
          <w:sz w:val="28"/>
          <w:szCs w:val="28"/>
          <w:rtl/>
        </w:rPr>
        <w:t xml:space="preserve">سم [ف: 3 - 104]</w:t>
      </w:r>
    </w:p>
    <w:p>
      <w:pPr>
        <w:pStyle w:val="BookText"/>
      </w:pPr>
      <w:r>
        <w:rPr>
          <w:rFonts w:ascii="IRNazanin" w:hAnsi="IRNazanin" w:eastAsia="IRNazanin" w:cs="IRNazanin"/>
          <w:lang w:bidi="fa-IR"/>
          <w:color w:val="111111"/>
          <w:sz w:val="28"/>
          <w:szCs w:val="28"/>
          <w:rtl/>
        </w:rPr>
        <w:t xml:space="preserve">566 .یزد؛ وزیری؛ شماره نسخه: 3416</w:t>
      </w:r>
    </w:p>
    <w:p>
      <w:pPr>
        <w:pStyle w:val="BookText"/>
      </w:pPr>
      <w:r>
        <w:rPr>
          <w:rFonts w:ascii="IRNazanin" w:hAnsi="IRNazanin" w:eastAsia="IRNazanin" w:cs="IRNazanin"/>
          <w:lang w:bidi="fa-IR"/>
          <w:color w:val="111111"/>
          <w:sz w:val="28"/>
          <w:szCs w:val="28"/>
          <w:rtl/>
        </w:rPr>
        <w:t xml:space="preserve">آغاز: بسمله الحمد لله المتفرد بالقدم والدوام</w:t>
      </w:r>
    </w:p>
    <w:p>
      <w:pPr>
        <w:pStyle w:val="BookText"/>
      </w:pPr>
      <w:r>
        <w:rPr>
          <w:rFonts w:ascii="IRNazanin" w:hAnsi="IRNazanin" w:eastAsia="IRNazanin" w:cs="IRNazanin"/>
          <w:lang w:bidi="fa-IR"/>
          <w:color w:val="111111"/>
          <w:sz w:val="28"/>
          <w:szCs w:val="28"/>
          <w:rtl/>
        </w:rPr>
        <w:t xml:space="preserve">خط: نسخ، بی کا ، تا: ربیع الثانی 1285ق؛ محشی، شماره عمومی 22485؛ اهدایی شیخ محمد کفائی اردکانی؛ کاغذ: اصفهانی، جلد: مقوایی با تیماج تریاکی ضربی، 230گ، 17 سطر (8</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اندازه: 19</w:t>
      </w:r>
      <w:r>
        <w:rPr>
          <w:rFonts w:ascii="Times New Roman" w:hAnsi="Times New Roman" w:eastAsia="Times New Roman" w:cs="Times New Roman"/>
          <w:lang w:val="en-US" w:bidi="en-US"/>
          <w:color w:val="111111"/>
          <w:sz w:val="28"/>
          <w:szCs w:val="28"/>
          <w:rtl/>
        </w:rPr>
        <w:t xml:space="preserve">×24/5[</w:t>
      </w:r>
      <w:r>
        <w:rPr>
          <w:rFonts w:ascii="IRNazanin" w:hAnsi="IRNazanin" w:eastAsia="IRNazanin" w:cs="IRNazanin"/>
          <w:lang w:bidi="fa-IR"/>
          <w:color w:val="111111"/>
          <w:sz w:val="28"/>
          <w:szCs w:val="28"/>
          <w:rtl/>
        </w:rPr>
        <w:t xml:space="preserve">ف: 5- 1645]</w:t>
      </w:r>
    </w:p>
    <w:p>
      <w:pPr>
        <w:pStyle w:val="BookText"/>
      </w:pPr>
      <w:r>
        <w:rPr>
          <w:rFonts w:ascii="IRNazanin" w:hAnsi="IRNazanin" w:eastAsia="IRNazanin" w:cs="IRNazanin"/>
          <w:lang w:bidi="fa-IR"/>
          <w:color w:val="111111"/>
          <w:sz w:val="28"/>
          <w:szCs w:val="28"/>
          <w:rtl/>
        </w:rPr>
        <w:t xml:space="preserve">567 .تهران؛ ملی؛ شماره نسخه: 8249</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نستعليق بد و نسخ، کا: باقر بن علی حسینی، تا :1303ق؛ ،مصحح، در برگ های 1پ و 2 فهرست تصنيفات علامه حلی، رموز کتاب و روایت هایی ،مذهبی در برگ 125پ منسوبات کواکب سعد و نحس نوشته شده؛ خریداری از صبح روان؛ کاغذ: فرنگی ،نخودی :جلد: تیماج قهوه ای سوخته مقوایی، 126گ، 18 سطر (11/5</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رایانه ]</w:t>
      </w:r>
    </w:p>
    <w:p>
      <w:pPr>
        <w:pStyle w:val="BookText"/>
      </w:pPr>
      <w:r>
        <w:rPr>
          <w:rFonts w:ascii="IRNazanin" w:hAnsi="IRNazanin" w:eastAsia="IRNazanin" w:cs="IRNazanin"/>
          <w:lang w:bidi="fa-IR"/>
          <w:color w:val="111111"/>
          <w:sz w:val="28"/>
          <w:szCs w:val="28"/>
          <w:rtl/>
        </w:rPr>
        <w:t xml:space="preserve">568.تهران؛ ملی؛ شماره نسخه: 1157</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و نستعلیق، کا: سیفعلی بن فضلعلی اردبیلی، تا: 1306ق؛ اهداء به شیخ محمد صادق بن آقا حسن  طهرانی؛ کاغذ: فرنگی، جلد: تیماج ،زرد ،مقوایی ساده ،162گ، 13سطر (16</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اندازه: 17</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سم [ف: 9 - 146]</w:t>
      </w:r>
    </w:p>
    <w:p>
      <w:pPr>
        <w:pStyle w:val="BookText"/>
      </w:pPr>
      <w:r>
        <w:rPr>
          <w:rFonts w:ascii="Times New Roman" w:hAnsi="Times New Roman" w:eastAsia="Times New Roman" w:cs="Times New Roman"/>
          <w:lang w:val="en-US" w:bidi="en-US"/>
          <w:color w:val="111111"/>
          <w:sz w:val="28"/>
          <w:szCs w:val="28"/>
          <w:rtl/>
        </w:rPr>
        <w:t xml:space="preserve">569.</w:t>
      </w:r>
    </w:p>
    <w:p>
      <w:pPr>
        <w:pStyle w:val="BookText"/>
      </w:pPr>
      <w:r>
        <w:rPr>
          <w:rFonts w:ascii="IRNazanin" w:hAnsi="IRNazanin" w:eastAsia="IRNazanin" w:cs="IRNazanin"/>
          <w:lang w:bidi="fa-IR"/>
          <w:color w:val="111111"/>
          <w:sz w:val="28"/>
          <w:szCs w:val="28"/>
          <w:rtl/>
        </w:rPr>
        <w:t xml:space="preserve">قم؛ گلپایگانی؛ شماره نسخه: 5614- 34/28</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مصطفی حسینی صفایی خوانساری (بخش نونویس) تا: جمادى الاول 1385ق)( بخش نونویس)؛ تملک: خليل الله بن غیاث الدین محمود حسینی خبری اصفهانی 1055 ، شیخ فضل الله نوری صفایی خوانساری، تملکی در 1028؛جلد:تیماج حنایی با ترنج و سرترنج سوخت مجدول ضربی 253گ، 15 سطر ، اندازه:16</w:t>
      </w:r>
      <w:r>
        <w:rPr>
          <w:rFonts w:ascii="Times New Roman" w:hAnsi="Times New Roman" w:eastAsia="Times New Roman" w:cs="Times New Roman"/>
          <w:lang w:val="en-US" w:bidi="en-US"/>
          <w:color w:val="111111"/>
          <w:sz w:val="28"/>
          <w:szCs w:val="28"/>
          <w:rtl/>
        </w:rPr>
        <w:t xml:space="preserve">×24</w:t>
      </w:r>
      <w:r>
        <w:rPr>
          <w:rFonts w:ascii="IRNazanin" w:hAnsi="IRNazanin" w:eastAsia="IRNazanin" w:cs="IRNazanin"/>
          <w:lang w:bidi="fa-IR"/>
          <w:color w:val="111111"/>
          <w:sz w:val="28"/>
          <w:szCs w:val="28"/>
          <w:rtl/>
        </w:rPr>
        <w:t xml:space="preserve">سم [ف: 1 - 302]</w:t>
      </w:r>
    </w:p>
    <w:p>
      <w:pPr>
        <w:pStyle w:val="BookText"/>
      </w:pPr>
      <w:r>
        <w:rPr>
          <w:rFonts w:ascii="IRNazanin" w:hAnsi="IRNazanin" w:eastAsia="IRNazanin" w:cs="IRNazanin"/>
          <w:lang w:bidi="fa-IR"/>
          <w:color w:val="111111"/>
          <w:sz w:val="28"/>
          <w:szCs w:val="28"/>
          <w:rtl/>
        </w:rPr>
        <w:t xml:space="preserve">570.مشهد؛ رضوی؛ شماره نسخه: 12711/3</w:t>
      </w:r>
    </w:p>
    <w:p>
      <w:pPr>
        <w:pStyle w:val="BookText"/>
      </w:pPr>
      <w:r>
        <w:rPr>
          <w:rFonts w:ascii="IRNazanin" w:hAnsi="IRNazanin" w:eastAsia="IRNazanin" w:cs="IRNazanin"/>
          <w:lang w:bidi="fa-IR"/>
          <w:color w:val="111111"/>
          <w:sz w:val="28"/>
          <w:szCs w:val="28"/>
          <w:rtl/>
        </w:rPr>
        <w:t xml:space="preserve">آغاز: برابر؛ انجام: عليه الاصطلاح من غير قرينة جلية ولا دلیل على.</w:t>
      </w:r>
    </w:p>
    <w:p>
      <w:pPr>
        <w:pStyle w:val="BookText"/>
      </w:pPr>
      <w:r>
        <w:rPr>
          <w:rFonts w:ascii="IRNazanin" w:hAnsi="IRNazanin" w:eastAsia="IRNazanin" w:cs="IRNazanin"/>
          <w:lang w:bidi="fa-IR"/>
          <w:color w:val="111111"/>
          <w:sz w:val="28"/>
          <w:szCs w:val="28"/>
          <w:rtl/>
        </w:rPr>
        <w:t xml:space="preserve">خط: نسخ ،بی کا، بی تا؛ کاغذ: شکری ،آهاری ،جلد: مقوا 4 گ ،20 سطر ، اندازه: 15</w:t>
      </w:r>
      <w:r>
        <w:rPr>
          <w:rFonts w:ascii="Times New Roman" w:hAnsi="Times New Roman" w:eastAsia="Times New Roman" w:cs="Times New Roman"/>
          <w:lang w:val="en-US" w:bidi="en-US"/>
          <w:color w:val="111111"/>
          <w:sz w:val="28"/>
          <w:szCs w:val="28"/>
          <w:rtl/>
        </w:rPr>
        <w:t xml:space="preserve">×20/5</w:t>
      </w:r>
      <w:r>
        <w:rPr>
          <w:rFonts w:ascii="IRNazanin" w:hAnsi="IRNazanin" w:eastAsia="IRNazanin" w:cs="IRNazanin"/>
          <w:lang w:bidi="fa-IR"/>
          <w:color w:val="111111"/>
          <w:sz w:val="28"/>
          <w:szCs w:val="28"/>
          <w:rtl/>
        </w:rPr>
        <w:t xml:space="preserve">سم[ف: 12 - 349]</w:t>
      </w:r>
    </w:p>
    <w:p>
      <w:pPr>
        <w:pStyle w:val="BookText"/>
      </w:pPr>
      <w:r>
        <w:rPr>
          <w:rFonts w:ascii="Times New Roman" w:hAnsi="Times New Roman" w:eastAsia="Times New Roman" w:cs="Times New Roman"/>
          <w:lang w:val="en-US" w:bidi="en-US"/>
          <w:color w:val="111111"/>
          <w:sz w:val="28"/>
          <w:szCs w:val="28"/>
          <w:rtl/>
        </w:rPr>
        <w:t xml:space="preserve">571.</w:t>
      </w:r>
    </w:p>
    <w:p>
      <w:pPr>
        <w:pStyle w:val="BookText"/>
      </w:pPr>
      <w:r>
        <w:rPr>
          <w:rFonts w:ascii="IRNazanin" w:hAnsi="IRNazanin" w:eastAsia="IRNazanin" w:cs="IRNazanin"/>
          <w:lang w:bidi="fa-IR"/>
          <w:color w:val="111111"/>
          <w:sz w:val="28"/>
          <w:szCs w:val="28"/>
          <w:rtl/>
        </w:rPr>
        <w:t xml:space="preserve">مشهد؛ رضوی؛ شماره نسخه:2690</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محشی؛ واقف: حاج قائم مقام ،بهمن 1316؛ كاغذ: نخودی، جلد: تیماج زرشکی، 166 گ، 17 سطر ، اندازه 18</w:t>
      </w:r>
      <w:r>
        <w:rPr>
          <w:rFonts w:ascii="Times New Roman" w:hAnsi="Times New Roman" w:eastAsia="Times New Roman" w:cs="Times New Roman"/>
          <w:lang w:val="en-US" w:bidi="en-US"/>
          <w:color w:val="111111"/>
          <w:sz w:val="28"/>
          <w:szCs w:val="28"/>
          <w:rtl/>
        </w:rPr>
        <w:t xml:space="preserve">×26 </w:t>
      </w:r>
      <w:r>
        <w:rPr>
          <w:rFonts w:ascii="IRNazanin" w:hAnsi="IRNazanin" w:eastAsia="IRNazanin" w:cs="IRNazanin"/>
          <w:lang w:bidi="fa-IR"/>
          <w:color w:val="111111"/>
          <w:sz w:val="28"/>
          <w:szCs w:val="28"/>
          <w:rtl/>
        </w:rPr>
        <w:t xml:space="preserve">سم [ف: 5 - 377]</w:t>
      </w:r>
    </w:p>
    <w:p>
      <w:pPr>
        <w:pStyle w:val="BookText"/>
      </w:pPr>
      <w:r>
        <w:rPr>
          <w:rFonts w:ascii="IRNazanin" w:hAnsi="IRNazanin" w:eastAsia="IRNazanin" w:cs="IRNazanin"/>
          <w:lang w:bidi="fa-IR"/>
          <w:color w:val="111111"/>
          <w:sz w:val="28"/>
          <w:szCs w:val="28"/>
          <w:rtl/>
        </w:rPr>
        <w:t xml:space="preserve">572 . مشهد؛ رضوی؛ شماره نسخه: 2688</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،واقف :نائینی، مرداد 1311؛ کاغذ: آهار مهره نخودی، جلد: تیماج خرمایی لایه دار 135گ 20 سطر ، اندازه: 18</w:t>
      </w:r>
      <w:r>
        <w:rPr>
          <w:rFonts w:ascii="Times New Roman" w:hAnsi="Times New Roman" w:eastAsia="Times New Roman" w:cs="Times New Roman"/>
          <w:lang w:val="en-US" w:bidi="en-US"/>
          <w:color w:val="111111"/>
          <w:sz w:val="28"/>
          <w:szCs w:val="28"/>
          <w:rtl/>
        </w:rPr>
        <w:t xml:space="preserve">× 27</w:t>
      </w:r>
      <w:r>
        <w:rPr>
          <w:rFonts w:ascii="IRNazanin" w:hAnsi="IRNazanin" w:eastAsia="IRNazanin" w:cs="IRNazanin"/>
          <w:lang w:bidi="fa-IR"/>
          <w:color w:val="111111"/>
          <w:sz w:val="28"/>
          <w:szCs w:val="28"/>
          <w:rtl/>
        </w:rPr>
        <w:t xml:space="preserve">سم [ف: 5 - 377]</w:t>
      </w:r>
    </w:p>
    <w:p>
      <w:pPr>
        <w:pStyle w:val="BookText"/>
      </w:pPr>
      <w:r>
        <w:rPr>
          <w:rFonts w:ascii="IRNazanin" w:hAnsi="IRNazanin" w:eastAsia="IRNazanin" w:cs="IRNazanin"/>
          <w:lang w:bidi="fa-IR"/>
          <w:color w:val="111111"/>
          <w:sz w:val="28"/>
          <w:szCs w:val="28"/>
          <w:rtl/>
        </w:rPr>
        <w:t xml:space="preserve">573 . مشهد؛ رضوی؛ شماره نسخه: 6180</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دو ورق آخر را مهدی بن علینقی تهران به سال 1281 کسرنویسی کرده؛ کاغذ: نخودی، جلد: تیماج ضربی ،خرمایی 274گ 14 و 15 سطر ، اندازه: 13</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ف: 5 - 378]</w:t>
      </w:r>
    </w:p>
    <w:p>
      <w:pPr>
        <w:pStyle w:val="BookText"/>
      </w:pPr>
      <w:r>
        <w:rPr>
          <w:rFonts w:ascii="IRNazanin" w:hAnsi="IRNazanin" w:eastAsia="IRNazanin" w:cs="IRNazanin"/>
          <w:lang w:bidi="fa-IR"/>
          <w:color w:val="111111"/>
          <w:sz w:val="28"/>
          <w:szCs w:val="28"/>
          <w:rtl/>
        </w:rPr>
        <w:t xml:space="preserve">574 . مشهد؛ رضوی؛ شماره نسخه: 2691</w:t>
      </w:r>
    </w:p>
    <w:p>
      <w:pPr>
        <w:pStyle w:val="BookText"/>
      </w:pPr>
      <w:r>
        <w:rPr>
          <w:rFonts w:ascii="Amiri" w:hAnsi="Amiri" w:eastAsia="Amiri" w:cs="Amiri"/>
          <w:lang w:bidi="ar-SA"/>
          <w:color w:val="111111"/>
          <w:sz w:val="28"/>
          <w:szCs w:val="28"/>
          <w:rtl/>
        </w:rPr>
        <w:t xml:space="preserve">آغاز: برابر؛ انجام : و اذا عرف الحاكم عدالة الشاهدين</w:t>
      </w:r>
    </w:p>
    <w:p>
      <w:pPr>
        <w:pStyle w:val="BookText"/>
      </w:pPr>
      <w:r>
        <w:rPr>
          <w:rFonts w:ascii="IRNazanin" w:hAnsi="IRNazanin" w:eastAsia="IRNazanin" w:cs="IRNazanin"/>
          <w:lang w:bidi="fa-IR"/>
          <w:color w:val="111111"/>
          <w:sz w:val="28"/>
          <w:szCs w:val="28"/>
          <w:rtl/>
        </w:rPr>
        <w:t xml:space="preserve">تا اوایل مقصد دوم از کتاب القضا؛ خط: نسخ، بی کا ،بی تا؛ افتادگی: انجام؛ مصحح ،محشی، مقابله شده، پیشاز 274 ق؛نوشته شده؛ واقف: نائینی، مرداد 1311 ؛کاغذ: فرنگی آهار مهره شکری، جلد: تیماج ضربی ،ماشی 128گ، 17 و 18 سطر، :اندازه: 22</w:t>
      </w:r>
      <w:r>
        <w:rPr>
          <w:rFonts w:ascii="Times New Roman" w:hAnsi="Times New Roman" w:eastAsia="Times New Roman" w:cs="Times New Roman"/>
          <w:lang w:val="en-US" w:bidi="en-US"/>
          <w:color w:val="111111"/>
          <w:sz w:val="28"/>
          <w:szCs w:val="28"/>
          <w:rtl/>
        </w:rPr>
        <w:t xml:space="preserve">×31</w:t>
      </w:r>
      <w:r>
        <w:rPr>
          <w:rFonts w:ascii="IRNazanin" w:hAnsi="IRNazanin" w:eastAsia="IRNazanin" w:cs="IRNazanin"/>
          <w:lang w:bidi="fa-IR"/>
          <w:color w:val="111111"/>
          <w:sz w:val="28"/>
          <w:szCs w:val="28"/>
          <w:rtl/>
        </w:rPr>
        <w:t xml:space="preserve">سم [ف: 5 - 378]</w:t>
      </w:r>
    </w:p>
    <w:p>
      <w:pPr>
        <w:pStyle w:val="BookText"/>
      </w:pPr>
      <w:r>
        <w:rPr>
          <w:rFonts w:ascii="IRNazanin" w:hAnsi="IRNazanin" w:eastAsia="IRNazanin" w:cs="IRNazanin"/>
          <w:lang w:bidi="fa-IR"/>
          <w:color w:val="111111"/>
          <w:sz w:val="28"/>
          <w:szCs w:val="28"/>
          <w:rtl/>
        </w:rPr>
        <w:t xml:space="preserve">575.مشهد؛ رضوی؛ شماره نسخه: 26278</w:t>
      </w:r>
    </w:p>
    <w:p>
      <w:pPr>
        <w:pStyle w:val="BookText"/>
      </w:pPr>
      <w:r>
        <w:rPr>
          <w:rFonts w:ascii="Amiri" w:hAnsi="Amiri" w:eastAsia="Amiri" w:cs="Amiri"/>
          <w:lang w:bidi="ar-SA"/>
          <w:color w:val="111111"/>
          <w:sz w:val="28"/>
          <w:szCs w:val="28"/>
          <w:rtl/>
        </w:rPr>
        <w:t xml:space="preserve">آغاز: برابر انجام: فى ميراث الاخوة و الاجداد للاخ المنفرد</w:t>
      </w:r>
    </w:p>
    <w:p>
      <w:pPr>
        <w:pStyle w:val="BookText"/>
      </w:pPr>
      <w:r>
        <w:rPr>
          <w:rFonts w:ascii="IRNazanin" w:hAnsi="IRNazanin" w:eastAsia="IRNazanin" w:cs="IRNazanin"/>
          <w:lang w:bidi="fa-IR"/>
          <w:color w:val="111111"/>
          <w:sz w:val="28"/>
          <w:szCs w:val="28"/>
          <w:rtl/>
        </w:rPr>
        <w:t xml:space="preserve">خط: نسخ و نستعلیق، بی کا، بی تا [ رایانه ]</w:t>
      </w:r>
    </w:p>
    <w:p>
      <w:pPr>
        <w:pStyle w:val="BookText"/>
      </w:pPr>
      <w:r>
        <w:rPr>
          <w:rFonts w:ascii="Times New Roman" w:hAnsi="Times New Roman" w:eastAsia="Times New Roman" w:cs="Times New Roman"/>
          <w:lang w:val="en-US" w:bidi="en-US"/>
          <w:color w:val="111111"/>
          <w:sz w:val="28"/>
          <w:szCs w:val="28"/>
          <w:rtl/>
        </w:rPr>
        <w:t xml:space="preserve">576.</w:t>
      </w:r>
    </w:p>
    <w:p>
      <w:pPr>
        <w:pStyle w:val="BookText"/>
      </w:pPr>
      <w:r>
        <w:rPr>
          <w:rFonts w:ascii="IRNazanin" w:hAnsi="IRNazanin" w:eastAsia="IRNazanin" w:cs="IRNazanin"/>
          <w:lang w:bidi="fa-IR"/>
          <w:color w:val="111111"/>
          <w:sz w:val="28"/>
          <w:szCs w:val="28"/>
          <w:rtl/>
        </w:rPr>
        <w:t xml:space="preserve">مشهد؛ رضوی؛ شماره نسخه: 27291</w:t>
      </w:r>
    </w:p>
    <w:p>
      <w:pPr>
        <w:pStyle w:val="BookText"/>
      </w:pPr>
      <w:r>
        <w:rPr>
          <w:rFonts w:ascii="IRNazanin" w:hAnsi="IRNazanin" w:eastAsia="IRNazanin" w:cs="IRNazanin"/>
          <w:lang w:bidi="fa-IR"/>
          <w:color w:val="111111"/>
          <w:sz w:val="28"/>
          <w:szCs w:val="28"/>
          <w:rtl/>
        </w:rPr>
        <w:t xml:space="preserve">آغاز: برابر؛ انجام: لم يكن لونا بخلاف. .. احد هذين او يدعی الجاني... ادعى الولى</w:t>
      </w:r>
    </w:p>
    <w:p>
      <w:pPr>
        <w:pStyle w:val="BookText"/>
      </w:pPr>
      <w:r>
        <w:rPr>
          <w:rFonts w:ascii="IRNazanin" w:hAnsi="IRNazanin" w:eastAsia="IRNazanin" w:cs="IRNazanin"/>
          <w:lang w:bidi="fa-IR"/>
          <w:color w:val="111111"/>
          <w:sz w:val="28"/>
          <w:szCs w:val="28"/>
          <w:rtl/>
        </w:rPr>
        <w:t xml:space="preserve">خط: نستعلیق تحریری، بی کا، بی تا؛ افتادگی: انجام [رایانه ]</w:t>
      </w:r>
    </w:p>
    <w:p>
      <w:pPr>
        <w:pStyle w:val="BookText"/>
      </w:pPr>
      <w:r>
        <w:rPr>
          <w:rFonts w:ascii="IRNazanin" w:hAnsi="IRNazanin" w:eastAsia="IRNazanin" w:cs="IRNazanin"/>
          <w:lang w:bidi="fa-IR"/>
          <w:color w:val="111111"/>
          <w:sz w:val="28"/>
          <w:szCs w:val="28"/>
          <w:rtl/>
        </w:rPr>
        <w:t xml:space="preserve">577 .مشهد؛ رضوی؛ شماره نسخه: 27394</w:t>
      </w:r>
    </w:p>
    <w:p>
      <w:pPr>
        <w:pStyle w:val="BookText"/>
      </w:pPr>
      <w:r>
        <w:rPr>
          <w:rFonts w:ascii="Amiri" w:hAnsi="Amiri" w:eastAsia="Amiri" w:cs="Amiri"/>
          <w:lang w:bidi="ar-SA"/>
          <w:color w:val="111111"/>
          <w:sz w:val="28"/>
          <w:szCs w:val="28"/>
          <w:rtl/>
        </w:rPr>
        <w:t xml:space="preserve">آغاز: على وجه الايجاز و الاختصار خال عن التطويل و الاكثار فاجبت مطلوبه و صنفت؛ انجام: الباقى و فى البعض بالنسبة مساحة و حدا لسفلى ما يتجا في عن اللثة مع طول الضم والعليا</w:t>
      </w:r>
    </w:p>
    <w:p>
      <w:pPr>
        <w:pStyle w:val="BookText"/>
      </w:pPr>
      <w:r>
        <w:rPr>
          <w:rFonts w:ascii="IRNazanin" w:hAnsi="IRNazanin" w:eastAsia="IRNazanin" w:cs="IRNazanin"/>
          <w:lang w:bidi="fa-IR"/>
          <w:color w:val="111111"/>
          <w:sz w:val="28"/>
          <w:szCs w:val="28"/>
          <w:rtl/>
        </w:rPr>
        <w:t xml:space="preserve">خط: نستعلیق بی کا، بی تا، افتادگی: آغاز و انجام [رایانه]</w:t>
      </w:r>
    </w:p>
    <w:p>
      <w:pPr>
        <w:pStyle w:val="BookText"/>
      </w:pPr>
      <w:r>
        <w:rPr>
          <w:rFonts w:ascii="Times New Roman" w:hAnsi="Times New Roman" w:eastAsia="Times New Roman" w:cs="Times New Roman"/>
          <w:lang w:val="en-US" w:bidi="en-US"/>
          <w:color w:val="111111"/>
          <w:sz w:val="28"/>
          <w:szCs w:val="28"/>
          <w:rtl/>
        </w:rPr>
        <w:t xml:space="preserve">578.</w:t>
      </w:r>
    </w:p>
    <w:p>
      <w:pPr>
        <w:pStyle w:val="BookText"/>
      </w:pPr>
      <w:r>
        <w:rPr>
          <w:rFonts w:ascii="IRNazanin" w:hAnsi="IRNazanin" w:eastAsia="IRNazanin" w:cs="IRNazanin"/>
          <w:lang w:bidi="fa-IR"/>
          <w:color w:val="111111"/>
          <w:sz w:val="28"/>
          <w:szCs w:val="28"/>
          <w:rtl/>
        </w:rPr>
        <w:t xml:space="preserve">مشهد؛ مدرسه باقریه؛ شماره نسخه: 5</w:t>
      </w:r>
    </w:p>
    <w:p>
      <w:pPr>
        <w:pStyle w:val="BookText"/>
      </w:pPr>
      <w:r>
        <w:rPr>
          <w:rFonts w:ascii="IRNazanin" w:hAnsi="IRNazanin" w:eastAsia="IRNazanin" w:cs="IRNazanin"/>
          <w:lang w:bidi="fa-IR"/>
          <w:color w:val="111111"/>
          <w:sz w:val="28"/>
          <w:szCs w:val="28"/>
          <w:rtl/>
        </w:rPr>
        <w:t xml:space="preserve">از مبحث الوضوء تا اواخر الدیات؛ خط: نسخ، بی کا، بی تا؛ محشی  با نشان «فخرالدین ،الشهيد ع ل ،التحرير، الشرح، اللمعة، زين الدين الذكرى شرح النافع»؛ 17 سطر ، قطع وزیری، اندازه: 12</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سم [ تراثنا س 6ش 1 - 69]</w:t>
      </w:r>
    </w:p>
    <w:p>
      <w:pPr>
        <w:pStyle w:val="BookText"/>
      </w:pPr>
      <w:r>
        <w:rPr>
          <w:rFonts w:ascii="Times New Roman" w:hAnsi="Times New Roman" w:eastAsia="Times New Roman" w:cs="Times New Roman"/>
          <w:lang w:val="en-US" w:bidi="en-US"/>
          <w:color w:val="111111"/>
          <w:sz w:val="28"/>
          <w:szCs w:val="28"/>
          <w:rtl/>
        </w:rPr>
        <w:t xml:space="preserve">579.</w:t>
      </w:r>
    </w:p>
    <w:p>
      <w:pPr>
        <w:pStyle w:val="BookText"/>
      </w:pPr>
      <w:r>
        <w:rPr>
          <w:rFonts w:ascii="IRNazanin" w:hAnsi="IRNazanin" w:eastAsia="IRNazanin" w:cs="IRNazanin"/>
          <w:lang w:bidi="fa-IR"/>
          <w:color w:val="111111"/>
          <w:sz w:val="28"/>
          <w:szCs w:val="28"/>
          <w:rtl/>
        </w:rPr>
        <w:t xml:space="preserve">مشهد؛ مدرسه باقریه؛ شماره نسخه: 6</w:t>
      </w:r>
    </w:p>
    <w:p>
      <w:pPr>
        <w:pStyle w:val="BookText"/>
      </w:pPr>
      <w:r>
        <w:rPr>
          <w:rFonts w:ascii="IRNazanin" w:hAnsi="IRNazanin" w:eastAsia="IRNazanin" w:cs="IRNazanin"/>
          <w:lang w:bidi="fa-IR"/>
          <w:color w:val="111111"/>
          <w:sz w:val="28"/>
          <w:szCs w:val="28"/>
          <w:rtl/>
        </w:rPr>
        <w:t xml:space="preserve">بی كا،بی تا، محشی با نشان «صح، ع ل»؛ کاغذ: اصفهانی، 270گ، 13 و 16 سطر (8</w:t>
      </w:r>
      <w:r>
        <w:rPr>
          <w:rFonts w:ascii="Times New Roman" w:hAnsi="Times New Roman" w:eastAsia="Times New Roman" w:cs="Times New Roman"/>
          <w:lang w:val="en-US" w:bidi="en-US"/>
          <w:color w:val="111111"/>
          <w:sz w:val="28"/>
          <w:szCs w:val="28"/>
          <w:rtl/>
        </w:rPr>
        <w:t xml:space="preserve">×6)</w:t>
      </w:r>
      <w:r>
        <w:rPr>
          <w:rFonts w:ascii="IRNazanin" w:hAnsi="IRNazanin" w:eastAsia="IRNazanin" w:cs="IRNazanin"/>
          <w:lang w:bidi="fa-IR"/>
          <w:color w:val="111111"/>
          <w:sz w:val="28"/>
          <w:szCs w:val="28"/>
          <w:rtl/>
        </w:rPr>
        <w:t xml:space="preserve">، قطع: وزیری اندازه: 14</w:t>
      </w:r>
      <w:r>
        <w:rPr>
          <w:rFonts w:ascii="Times New Roman" w:hAnsi="Times New Roman" w:eastAsia="Times New Roman" w:cs="Times New Roman"/>
          <w:lang w:val="en-US" w:bidi="en-US"/>
          <w:color w:val="111111"/>
          <w:sz w:val="28"/>
          <w:szCs w:val="28"/>
          <w:rtl/>
        </w:rPr>
        <w:t xml:space="preserve">×23/5</w:t>
      </w:r>
      <w:r>
        <w:rPr>
          <w:rFonts w:ascii="IRNazanin" w:hAnsi="IRNazanin" w:eastAsia="IRNazanin" w:cs="IRNazanin"/>
          <w:lang w:bidi="fa-IR"/>
          <w:color w:val="111111"/>
          <w:sz w:val="28"/>
          <w:szCs w:val="28"/>
          <w:rtl/>
        </w:rPr>
        <w:t xml:space="preserve">سم [تراثنا : س 6ش 1 - 69]</w:t>
      </w:r>
    </w:p>
    <w:p>
      <w:pPr>
        <w:pStyle w:val="BookText"/>
      </w:pPr>
      <w:r>
        <w:rPr>
          <w:rFonts w:ascii="Times New Roman" w:hAnsi="Times New Roman" w:eastAsia="Times New Roman" w:cs="Times New Roman"/>
          <w:lang w:val="en-US" w:bidi="en-US"/>
          <w:color w:val="111111"/>
          <w:sz w:val="28"/>
          <w:szCs w:val="28"/>
          <w:rtl/>
        </w:rPr>
        <w:t xml:space="preserve">580.</w:t>
      </w:r>
    </w:p>
    <w:p>
      <w:pPr>
        <w:pStyle w:val="BookText"/>
      </w:pPr>
      <w:r>
        <w:rPr>
          <w:rFonts w:ascii="IRNazanin" w:hAnsi="IRNazanin" w:eastAsia="IRNazanin" w:cs="IRNazanin"/>
          <w:lang w:bidi="fa-IR"/>
          <w:color w:val="111111"/>
          <w:sz w:val="28"/>
          <w:szCs w:val="28"/>
          <w:rtl/>
        </w:rPr>
        <w:t xml:space="preserve">مشهد؛ مدرسه باقریه؛ شماره نسخه: 7</w:t>
      </w:r>
    </w:p>
    <w:p>
      <w:pPr>
        <w:pStyle w:val="BookText"/>
      </w:pPr>
      <w:r>
        <w:rPr>
          <w:rFonts w:ascii="IRNazanin" w:hAnsi="IRNazanin" w:eastAsia="IRNazanin" w:cs="IRNazanin"/>
          <w:lang w:bidi="fa-IR"/>
          <w:color w:val="111111"/>
          <w:sz w:val="28"/>
          <w:szCs w:val="28"/>
          <w:rtl/>
        </w:rPr>
        <w:t xml:space="preserve">از آغاز تا اواخر الديات؛ خط: نسخ، بی کا، بی تا؛ افتادگی: انجام؛ کاغذ: ترمه، 19 سطر (10 </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 اندازه: 14</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سم [ تراثنا: س 6 ش 1 - 70]</w:t>
      </w:r>
    </w:p>
    <w:p>
      <w:pPr>
        <w:pStyle w:val="BookText"/>
      </w:pPr>
      <w:r>
        <w:rPr>
          <w:rFonts w:ascii="Times New Roman" w:hAnsi="Times New Roman" w:eastAsia="Times New Roman" w:cs="Times New Roman"/>
          <w:lang w:val="en-US" w:bidi="en-US"/>
          <w:color w:val="111111"/>
          <w:sz w:val="28"/>
          <w:szCs w:val="28"/>
          <w:rtl/>
        </w:rPr>
        <w:t xml:space="preserve">581.</w:t>
      </w:r>
    </w:p>
    <w:p>
      <w:pPr>
        <w:pStyle w:val="BookText"/>
      </w:pPr>
      <w:r>
        <w:rPr>
          <w:rFonts w:ascii="IRNazanin" w:hAnsi="IRNazanin" w:eastAsia="IRNazanin" w:cs="IRNazanin"/>
          <w:lang w:bidi="fa-IR"/>
          <w:color w:val="111111"/>
          <w:sz w:val="28"/>
          <w:szCs w:val="28"/>
          <w:rtl/>
        </w:rPr>
        <w:t xml:space="preserve">تهران؛ چهل ستون؛ شماره نسخه:43</w:t>
      </w:r>
    </w:p>
    <w:p>
      <w:pPr>
        <w:pStyle w:val="BookText"/>
      </w:pPr>
      <w:r>
        <w:rPr>
          <w:rFonts w:ascii="IRNazanin" w:hAnsi="IRNazanin" w:eastAsia="IRNazanin" w:cs="IRNazanin"/>
          <w:lang w:bidi="fa-IR"/>
          <w:color w:val="111111"/>
          <w:sz w:val="28"/>
          <w:szCs w:val="28"/>
          <w:rtl/>
        </w:rPr>
        <w:t xml:space="preserve">بی کا، بی تا ،افتادگی: آغاز و انجام [چند نسخه -ف: – 311]</w:t>
      </w:r>
    </w:p>
    <w:p>
      <w:pPr>
        <w:pStyle w:val="BookText"/>
      </w:pPr>
      <w:r>
        <w:rPr>
          <w:rFonts w:ascii="Times New Roman" w:hAnsi="Times New Roman" w:eastAsia="Times New Roman" w:cs="Times New Roman"/>
          <w:lang w:val="en-US" w:bidi="en-US"/>
          <w:color w:val="111111"/>
          <w:sz w:val="28"/>
          <w:szCs w:val="28"/>
          <w:rtl/>
        </w:rPr>
        <w:t xml:space="preserve">582.</w:t>
      </w:r>
    </w:p>
    <w:p>
      <w:pPr>
        <w:pStyle w:val="BookText"/>
      </w:pPr>
      <w:r>
        <w:rPr>
          <w:rFonts w:ascii="IRNazanin" w:hAnsi="IRNazanin" w:eastAsia="IRNazanin" w:cs="IRNazanin"/>
          <w:lang w:bidi="fa-IR"/>
          <w:color w:val="111111"/>
          <w:sz w:val="28"/>
          <w:szCs w:val="28"/>
          <w:rtl/>
        </w:rPr>
        <w:t xml:space="preserve">تهران؛ چهل ستون؛ شماره نسخه:44</w:t>
      </w:r>
    </w:p>
    <w:p>
      <w:pPr>
        <w:pStyle w:val="BookText"/>
      </w:pPr>
      <w:r>
        <w:rPr>
          <w:rFonts w:ascii="IRNazanin" w:hAnsi="IRNazanin" w:eastAsia="IRNazanin" w:cs="IRNazanin"/>
          <w:lang w:bidi="fa-IR"/>
          <w:color w:val="111111"/>
          <w:sz w:val="28"/>
          <w:szCs w:val="28"/>
          <w:rtl/>
        </w:rPr>
        <w:t xml:space="preserve">خط: نسخ، بی کا، بی تا؛ افتادگی: انجام [چند نسخه-ف: - 312]</w:t>
      </w:r>
    </w:p>
    <w:p>
      <w:pPr>
        <w:pStyle w:val="BookText"/>
      </w:pPr>
      <w:r>
        <w:rPr>
          <w:rFonts w:ascii="IRNazanin" w:hAnsi="IRNazanin" w:eastAsia="IRNazanin" w:cs="IRNazanin"/>
          <w:lang w:bidi="fa-IR"/>
          <w:color w:val="111111"/>
          <w:sz w:val="28"/>
          <w:szCs w:val="28"/>
          <w:rtl/>
        </w:rPr>
        <w:t xml:space="preserve">583 .تهران؛ مجلس؛ شماره نسخه: 14313</w:t>
      </w:r>
    </w:p>
    <w:p>
      <w:pPr>
        <w:pStyle w:val="BookText"/>
      </w:pPr>
      <w:r>
        <w:rPr>
          <w:rFonts w:ascii="Amiri" w:hAnsi="Amiri" w:eastAsia="Amiri" w:cs="Amiri"/>
          <w:lang w:bidi="ar-SA"/>
          <w:color w:val="111111"/>
          <w:sz w:val="28"/>
          <w:szCs w:val="28"/>
          <w:rtl/>
        </w:rPr>
        <w:t xml:space="preserve">آغاز: و فى المريض لا يعتبر الدفن و لو وجد على جسده او ثوبه المختص به ميتا وجب الغسل؛ انجام: الركن الثاني المتعاقدان و يشترط فيها ... والا بطل و لو ادعى احد الزوجين الزوجيةوصدقه الآخر حكم به...</w:t>
      </w:r>
    </w:p>
    <w:p>
      <w:pPr>
        <w:pStyle w:val="BookText"/>
      </w:pPr>
      <w:r>
        <w:rPr>
          <w:rFonts w:ascii="IRNazanin" w:hAnsi="IRNazanin" w:eastAsia="IRNazanin" w:cs="IRNazanin"/>
          <w:lang w:bidi="fa-IR"/>
          <w:color w:val="111111"/>
          <w:sz w:val="28"/>
          <w:szCs w:val="28"/>
          <w:rtl/>
        </w:rPr>
        <w:t xml:space="preserve">از آغاز کتاب طهارت تا اواسط کتاب نكاح «الركن الثاني المتعاقدان»؛ خط: نسخ، بی کا، بی تا؛ افتادگی: آغاز و انجام؛ دارای حواشی از علمای مختلف؛ جلد: تیماج قهوه ای، 188گ، 13 سطر ، اندازه: 14</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سم [ف: 38 - 443]</w:t>
      </w:r>
    </w:p>
    <w:p>
      <w:pPr>
        <w:pStyle w:val="BookText"/>
      </w:pPr>
      <w:r>
        <w:rPr>
          <w:rFonts w:ascii="Times New Roman" w:hAnsi="Times New Roman" w:eastAsia="Times New Roman" w:cs="Times New Roman"/>
          <w:lang w:val="en-US" w:bidi="en-US"/>
          <w:color w:val="111111"/>
          <w:sz w:val="28"/>
          <w:szCs w:val="28"/>
          <w:rtl/>
        </w:rPr>
        <w:t xml:space="preserve">584.</w:t>
      </w:r>
    </w:p>
    <w:p>
      <w:pPr>
        <w:pStyle w:val="BookText"/>
      </w:pPr>
      <w:r>
        <w:rPr>
          <w:rFonts w:ascii="IRNazanin" w:hAnsi="IRNazanin" w:eastAsia="IRNazanin" w:cs="IRNazanin"/>
          <w:lang w:bidi="fa-IR"/>
          <w:color w:val="111111"/>
          <w:sz w:val="28"/>
          <w:szCs w:val="28"/>
          <w:rtl/>
        </w:rPr>
        <w:t xml:space="preserve">تهران؛ مجلس؛ شماره نسخه: 7541</w:t>
      </w:r>
    </w:p>
    <w:p>
      <w:pPr>
        <w:pStyle w:val="BookText"/>
      </w:pPr>
      <w:r>
        <w:rPr>
          <w:rFonts w:ascii="IRNazanin" w:hAnsi="IRNazanin" w:eastAsia="IRNazanin" w:cs="IRNazanin"/>
          <w:lang w:bidi="fa-IR"/>
          <w:color w:val="111111"/>
          <w:sz w:val="28"/>
          <w:szCs w:val="28"/>
          <w:rtl/>
        </w:rPr>
        <w:t xml:space="preserve">خط: نسخ، بی کا، بی تا: جلد: تیماج قهوه ای لولادار، 191گ، 22 سطر ، اندازه: 14</w:t>
      </w:r>
      <w:r>
        <w:rPr>
          <w:rFonts w:ascii="Times New Roman" w:hAnsi="Times New Roman" w:eastAsia="Times New Roman" w:cs="Times New Roman"/>
          <w:lang w:val="en-US" w:bidi="en-US"/>
          <w:color w:val="111111"/>
          <w:sz w:val="28"/>
          <w:szCs w:val="28"/>
          <w:rtl/>
        </w:rPr>
        <w:t xml:space="preserve">×25</w:t>
      </w:r>
      <w:r>
        <w:rPr>
          <w:rFonts w:ascii="IRNazanin" w:hAnsi="IRNazanin" w:eastAsia="IRNazanin" w:cs="IRNazanin"/>
          <w:lang w:bidi="fa-IR"/>
          <w:color w:val="111111"/>
          <w:sz w:val="28"/>
          <w:szCs w:val="28"/>
          <w:rtl/>
        </w:rPr>
        <w:t xml:space="preserve">سم [ف: 26 - 42]</w:t>
      </w:r>
    </w:p>
    <w:p>
      <w:pPr>
        <w:pStyle w:val="BookText"/>
      </w:pPr>
      <w:r>
        <w:rPr>
          <w:rFonts w:ascii="IRNazanin" w:hAnsi="IRNazanin" w:eastAsia="IRNazanin" w:cs="IRNazanin"/>
          <w:lang w:bidi="fa-IR"/>
          <w:color w:val="111111"/>
          <w:sz w:val="28"/>
          <w:szCs w:val="28"/>
          <w:rtl/>
        </w:rPr>
        <w:t xml:space="preserve">585.تهران؛ ملی شماره نسخه: 25895</w:t>
      </w:r>
    </w:p>
    <w:p>
      <w:pPr>
        <w:pStyle w:val="BookText"/>
      </w:pPr>
      <w:r>
        <w:rPr>
          <w:rFonts w:ascii="IRNazanin" w:hAnsi="IRNazanin" w:eastAsia="IRNazanin" w:cs="IRNazanin"/>
          <w:lang w:bidi="fa-IR"/>
          <w:color w:val="111111"/>
          <w:sz w:val="28"/>
          <w:szCs w:val="28"/>
          <w:rtl/>
        </w:rPr>
        <w:t xml:space="preserve">بی کا ، بی تا، محشی خریداری از حوزه علمیه ولی عصر کرمان [رایانه]</w:t>
      </w:r>
    </w:p>
    <w:p>
      <w:pPr>
        <w:pStyle w:val="BookText"/>
      </w:pPr>
      <w:r>
        <w:rPr>
          <w:rFonts w:ascii="Times New Roman" w:hAnsi="Times New Roman" w:eastAsia="Times New Roman" w:cs="Times New Roman"/>
          <w:lang w:val="en-US" w:bidi="en-US"/>
          <w:color w:val="111111"/>
          <w:sz w:val="28"/>
          <w:szCs w:val="28"/>
          <w:rtl/>
        </w:rPr>
        <w:t xml:space="preserve">586.</w:t>
      </w:r>
    </w:p>
    <w:p>
      <w:pPr>
        <w:pStyle w:val="BookText"/>
      </w:pPr>
      <w:r>
        <w:rPr>
          <w:rFonts w:ascii="IRNazanin" w:hAnsi="IRNazanin" w:eastAsia="IRNazanin" w:cs="IRNazanin"/>
          <w:lang w:bidi="fa-IR"/>
          <w:color w:val="111111"/>
          <w:sz w:val="28"/>
          <w:szCs w:val="28"/>
          <w:rtl/>
        </w:rPr>
        <w:t xml:space="preserve">تهران؛ ملی؛ شماره نسخه: 25984</w:t>
      </w:r>
    </w:p>
    <w:p>
      <w:pPr>
        <w:pStyle w:val="BookText"/>
      </w:pPr>
      <w:r>
        <w:rPr>
          <w:rFonts w:ascii="IRNazanin" w:hAnsi="IRNazanin" w:eastAsia="IRNazanin" w:cs="IRNazanin"/>
          <w:lang w:bidi="fa-IR"/>
          <w:color w:val="111111"/>
          <w:sz w:val="28"/>
          <w:szCs w:val="28"/>
          <w:rtl/>
        </w:rPr>
        <w:t xml:space="preserve">بی کا، بی  تا؛ خریداری از حوزه علمیه ولی عصر کرمان [رایانه]</w:t>
      </w:r>
    </w:p>
    <w:p>
      <w:pPr>
        <w:pStyle w:val="BookText"/>
      </w:pPr>
      <w:r>
        <w:rPr>
          <w:rFonts w:ascii="IRNazanin" w:hAnsi="IRNazanin" w:eastAsia="IRNazanin" w:cs="IRNazanin"/>
          <w:lang w:bidi="fa-IR"/>
          <w:color w:val="111111"/>
          <w:sz w:val="28"/>
          <w:szCs w:val="28"/>
          <w:rtl/>
        </w:rPr>
        <w:t xml:space="preserve">587 .تهران؛ ملی؛ شماره نسخه : 25841</w:t>
      </w:r>
    </w:p>
    <w:p>
      <w:pPr>
        <w:pStyle w:val="BookText"/>
      </w:pPr>
      <w:r>
        <w:rPr>
          <w:rFonts w:ascii="IRNazanin" w:hAnsi="IRNazanin" w:eastAsia="IRNazanin" w:cs="IRNazanin"/>
          <w:lang w:bidi="fa-IR"/>
          <w:color w:val="111111"/>
          <w:sz w:val="28"/>
          <w:szCs w:val="28"/>
          <w:rtl/>
        </w:rPr>
        <w:t xml:space="preserve">بی کا، بی تا، خریداری از حوزه علمیه ولی عصر کرمان [رایانه ]</w:t>
      </w:r>
    </w:p>
    <w:p>
      <w:pPr>
        <w:pStyle w:val="BookText"/>
      </w:pPr>
      <w:r>
        <w:rPr>
          <w:rFonts w:ascii="IRNazanin" w:hAnsi="IRNazanin" w:eastAsia="IRNazanin" w:cs="IRNazanin"/>
          <w:lang w:bidi="fa-IR"/>
          <w:color w:val="111111"/>
          <w:sz w:val="28"/>
          <w:szCs w:val="28"/>
          <w:rtl/>
        </w:rPr>
        <w:t xml:space="preserve">588.تهران؛ ملی؛ شماره نسخه: 25850</w:t>
      </w:r>
    </w:p>
    <w:p>
      <w:pPr>
        <w:pStyle w:val="BookText"/>
      </w:pPr>
      <w:r>
        <w:rPr>
          <w:rFonts w:ascii="IRNazanin" w:hAnsi="IRNazanin" w:eastAsia="IRNazanin" w:cs="IRNazanin"/>
          <w:lang w:bidi="fa-IR"/>
          <w:color w:val="111111"/>
          <w:sz w:val="28"/>
          <w:szCs w:val="28"/>
          <w:rtl/>
        </w:rPr>
        <w:t xml:space="preserve">بی کا ، بی تا: خریداری از حوزه علمیه ولی عصر کرمان [رایانه ]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589.تهران؛ ملی؛ شماره نسخه: 18236</w:t>
      </w:r>
    </w:p>
    <w:p>
      <w:pPr>
        <w:pStyle w:val="BookText"/>
      </w:pPr>
      <w:r>
        <w:rPr>
          <w:rFonts w:ascii="IRNazanin" w:hAnsi="IRNazanin" w:eastAsia="IRNazanin" w:cs="IRNazanin"/>
          <w:lang w:bidi="fa-IR"/>
          <w:color w:val="111111"/>
          <w:sz w:val="28"/>
          <w:szCs w:val="28"/>
          <w:rtl/>
        </w:rPr>
        <w:t xml:space="preserve">بی کا، بی تا، انتقالی از کتابخانه پهلوی - مجموعه نوازی؛ اندازه: 11/8</w:t>
      </w:r>
      <w:r>
        <w:rPr>
          <w:rFonts w:ascii="Times New Roman" w:hAnsi="Times New Roman" w:eastAsia="Times New Roman" w:cs="Times New Roman"/>
          <w:lang w:val="en-US" w:bidi="en-US"/>
          <w:color w:val="111111"/>
          <w:sz w:val="28"/>
          <w:szCs w:val="28"/>
          <w:rtl/>
        </w:rPr>
        <w:t xml:space="preserve">×18/4</w:t>
      </w:r>
      <w:r>
        <w:rPr>
          <w:rFonts w:ascii="IRNazanin" w:hAnsi="IRNazanin" w:eastAsia="IRNazanin" w:cs="IRNazanin"/>
          <w:lang w:bidi="fa-IR"/>
          <w:color w:val="111111"/>
          <w:sz w:val="28"/>
          <w:szCs w:val="28"/>
          <w:rtl/>
        </w:rPr>
        <w:t xml:space="preserve">سم [رایانه ]</w:t>
      </w:r>
    </w:p>
    <w:p>
      <w:pPr>
        <w:pStyle w:val="BookText"/>
      </w:pPr>
      <w:r>
        <w:rPr>
          <w:rFonts w:ascii="Times New Roman" w:hAnsi="Times New Roman" w:eastAsia="Times New Roman" w:cs="Times New Roman"/>
          <w:lang w:val="en-US" w:bidi="en-US"/>
          <w:color w:val="111111"/>
          <w:sz w:val="28"/>
          <w:szCs w:val="28"/>
          <w:rtl/>
        </w:rPr>
        <w:t xml:space="preserve">590.</w:t>
      </w:r>
    </w:p>
    <w:p>
      <w:pPr>
        <w:pStyle w:val="BookText"/>
      </w:pPr>
      <w:r>
        <w:rPr>
          <w:rFonts w:ascii="IRNazanin" w:hAnsi="IRNazanin" w:eastAsia="IRNazanin" w:cs="IRNazanin"/>
          <w:lang w:bidi="fa-IR"/>
          <w:color w:val="111111"/>
          <w:sz w:val="28"/>
          <w:szCs w:val="28"/>
          <w:rtl/>
        </w:rPr>
        <w:t xml:space="preserve">تهران؛ ملی؛ شماره نسخه: 18460</w:t>
      </w:r>
    </w:p>
    <w:p>
      <w:pPr>
        <w:pStyle w:val="BookText"/>
      </w:pPr>
      <w:r>
        <w:rPr>
          <w:rFonts w:ascii="IRNazanin" w:hAnsi="IRNazanin" w:eastAsia="IRNazanin" w:cs="IRNazanin"/>
          <w:lang w:bidi="fa-IR"/>
          <w:color w:val="111111"/>
          <w:sz w:val="28"/>
          <w:szCs w:val="28"/>
          <w:rtl/>
        </w:rPr>
        <w:t xml:space="preserve">بی کا، بی تا؛ انتقالی از کتابخانه پهلوی - مجموعه نوازی؛ 106 گ ،اندازه: 14/4</w:t>
      </w:r>
      <w:r>
        <w:rPr>
          <w:rFonts w:ascii="Times New Roman" w:hAnsi="Times New Roman" w:eastAsia="Times New Roman" w:cs="Times New Roman"/>
          <w:lang w:val="en-US" w:bidi="en-US"/>
          <w:color w:val="111111"/>
          <w:sz w:val="28"/>
          <w:szCs w:val="28"/>
          <w:rtl/>
        </w:rPr>
        <w:t xml:space="preserve">×21/9</w:t>
      </w:r>
      <w:r>
        <w:rPr>
          <w:rFonts w:ascii="IRNazanin" w:hAnsi="IRNazanin" w:eastAsia="IRNazanin" w:cs="IRNazanin"/>
          <w:lang w:bidi="fa-IR"/>
          <w:color w:val="111111"/>
          <w:sz w:val="28"/>
          <w:szCs w:val="28"/>
          <w:rtl/>
        </w:rPr>
        <w:t xml:space="preserve">سم [ رایانه]</w:t>
      </w:r>
    </w:p>
    <w:p>
      <w:pPr>
        <w:pStyle w:val="BookText"/>
      </w:pPr>
      <w:r>
        <w:rPr>
          <w:rFonts w:ascii="Times New Roman" w:hAnsi="Times New Roman" w:eastAsia="Times New Roman" w:cs="Times New Roman"/>
          <w:lang w:val="en-US" w:bidi="en-US"/>
          <w:color w:val="111111"/>
          <w:sz w:val="28"/>
          <w:szCs w:val="28"/>
          <w:rtl/>
        </w:rPr>
        <w:t xml:space="preserve">591.</w:t>
      </w:r>
    </w:p>
    <w:p>
      <w:pPr>
        <w:pStyle w:val="BookText"/>
      </w:pPr>
      <w:r>
        <w:rPr>
          <w:rFonts w:ascii="IRNazanin" w:hAnsi="IRNazanin" w:eastAsia="IRNazanin" w:cs="IRNazanin"/>
          <w:lang w:bidi="fa-IR"/>
          <w:color w:val="111111"/>
          <w:sz w:val="28"/>
          <w:szCs w:val="28"/>
          <w:rtl/>
        </w:rPr>
        <w:t xml:space="preserve">تهران؛ ملی؛ شماره نسخه: 18217</w:t>
      </w:r>
    </w:p>
    <w:p>
      <w:pPr>
        <w:pStyle w:val="BookText"/>
      </w:pPr>
      <w:r>
        <w:rPr>
          <w:rFonts w:ascii="IRNazanin" w:hAnsi="IRNazanin" w:eastAsia="IRNazanin" w:cs="IRNazanin"/>
          <w:lang w:bidi="fa-IR"/>
          <w:color w:val="111111"/>
          <w:sz w:val="28"/>
          <w:szCs w:val="28"/>
          <w:rtl/>
        </w:rPr>
        <w:t xml:space="preserve">بی کا، بی تا: انتقالی از کتابخانه پهلوی - مجموعه نوازی؛ اندازه: 14/ 4 </w:t>
      </w:r>
      <w:r>
        <w:rPr>
          <w:rFonts w:ascii="Times New Roman" w:hAnsi="Times New Roman" w:eastAsia="Times New Roman" w:cs="Times New Roman"/>
          <w:lang w:val="en-US" w:bidi="en-US"/>
          <w:color w:val="111111"/>
          <w:sz w:val="28"/>
          <w:szCs w:val="28"/>
          <w:rtl/>
        </w:rPr>
        <w:t xml:space="preserve">× 24/3 </w:t>
      </w:r>
      <w:r>
        <w:rPr>
          <w:rFonts w:ascii="IRNazanin" w:hAnsi="IRNazanin" w:eastAsia="IRNazanin" w:cs="IRNazanin"/>
          <w:lang w:bidi="fa-IR"/>
          <w:color w:val="111111"/>
          <w:sz w:val="28"/>
          <w:szCs w:val="28"/>
          <w:rtl/>
        </w:rPr>
        <w:t xml:space="preserve">سم[رایانه]</w:t>
      </w:r>
    </w:p>
    <w:p>
      <w:pPr>
        <w:pStyle w:val="BookText"/>
      </w:pPr>
      <w:r>
        <w:rPr>
          <w:rFonts w:ascii="Times New Roman" w:hAnsi="Times New Roman" w:eastAsia="Times New Roman" w:cs="Times New Roman"/>
          <w:lang w:val="en-US" w:bidi="en-US"/>
          <w:color w:val="111111"/>
          <w:sz w:val="28"/>
          <w:szCs w:val="28"/>
          <w:rtl/>
        </w:rPr>
        <w:t xml:space="preserve">592.</w:t>
      </w:r>
    </w:p>
    <w:p>
      <w:pPr>
        <w:pStyle w:val="BookText"/>
      </w:pPr>
      <w:r>
        <w:rPr>
          <w:rFonts w:ascii="IRNazanin" w:hAnsi="IRNazanin" w:eastAsia="IRNazanin" w:cs="IRNazanin"/>
          <w:lang w:bidi="fa-IR"/>
          <w:color w:val="111111"/>
          <w:sz w:val="28"/>
          <w:szCs w:val="28"/>
          <w:rtl/>
        </w:rPr>
        <w:t xml:space="preserve">تهران؛ ملی؛ شماره نسخه: 26113</w:t>
      </w:r>
    </w:p>
    <w:p>
      <w:pPr>
        <w:pStyle w:val="BookText"/>
      </w:pPr>
      <w:r>
        <w:rPr>
          <w:rFonts w:ascii="IRNazanin" w:hAnsi="IRNazanin" w:eastAsia="IRNazanin" w:cs="IRNazanin"/>
          <w:lang w:bidi="fa-IR"/>
          <w:color w:val="111111"/>
          <w:sz w:val="28"/>
          <w:szCs w:val="28"/>
          <w:rtl/>
        </w:rPr>
        <w:t xml:space="preserve">بی کا، بی تا؛ محشی؛ خریداری از عباس محسنی [رایانه ]</w:t>
      </w:r>
    </w:p>
    <w:p>
      <w:pPr>
        <w:pStyle w:val="BookText"/>
      </w:pPr>
      <w:r>
        <w:rPr>
          <w:rFonts w:ascii="IRNazanin" w:hAnsi="IRNazanin" w:eastAsia="IRNazanin" w:cs="IRNazanin"/>
          <w:lang w:bidi="fa-IR"/>
          <w:color w:val="111111"/>
          <w:sz w:val="28"/>
          <w:szCs w:val="28"/>
          <w:rtl/>
        </w:rPr>
        <w:t xml:space="preserve">593 .تهران؛ ملی؛ شماره نسخه: 20002</w:t>
      </w:r>
    </w:p>
    <w:p>
      <w:pPr>
        <w:pStyle w:val="BookText"/>
      </w:pPr>
      <w:r>
        <w:rPr>
          <w:rFonts w:ascii="IRNazanin" w:hAnsi="IRNazanin" w:eastAsia="IRNazanin" w:cs="IRNazanin"/>
          <w:lang w:bidi="fa-IR"/>
          <w:color w:val="111111"/>
          <w:sz w:val="28"/>
          <w:szCs w:val="28"/>
          <w:rtl/>
        </w:rPr>
        <w:t xml:space="preserve">بی کا، بی تا؛ خریداری از مهردخت همایی [رایانه]</w:t>
      </w:r>
    </w:p>
    <w:p>
      <w:pPr>
        <w:pStyle w:val="BookText"/>
      </w:pPr>
      <w:r>
        <w:rPr>
          <w:rFonts w:ascii="Times New Roman" w:hAnsi="Times New Roman" w:eastAsia="Times New Roman" w:cs="Times New Roman"/>
          <w:lang w:val="en-US" w:bidi="en-US"/>
          <w:color w:val="111111"/>
          <w:sz w:val="28"/>
          <w:szCs w:val="28"/>
          <w:rtl/>
        </w:rPr>
        <w:t xml:space="preserve">594.</w:t>
      </w:r>
    </w:p>
    <w:p>
      <w:pPr>
        <w:pStyle w:val="BookText"/>
      </w:pPr>
      <w:r>
        <w:rPr>
          <w:rFonts w:ascii="IRNazanin" w:hAnsi="IRNazanin" w:eastAsia="IRNazanin" w:cs="IRNazanin"/>
          <w:lang w:bidi="fa-IR"/>
          <w:color w:val="111111"/>
          <w:sz w:val="28"/>
          <w:szCs w:val="28"/>
          <w:rtl/>
        </w:rPr>
        <w:t xml:space="preserve">تهران؛ ملی؛ شماره نسخه:27362</w:t>
      </w:r>
    </w:p>
    <w:p>
      <w:pPr>
        <w:pStyle w:val="BookText"/>
      </w:pPr>
      <w:r>
        <w:rPr>
          <w:rFonts w:ascii="IRNazanin" w:hAnsi="IRNazanin" w:eastAsia="IRNazanin" w:cs="IRNazanin"/>
          <w:lang w:bidi="fa-IR"/>
          <w:color w:val="111111"/>
          <w:sz w:val="28"/>
          <w:szCs w:val="28"/>
          <w:rtl/>
        </w:rPr>
        <w:t xml:space="preserve">بی کا ،بی تا، خریداری از رضا غیبی [رایانه]</w:t>
      </w:r>
    </w:p>
    <w:p>
      <w:pPr>
        <w:pStyle w:val="BookText"/>
      </w:pPr>
      <w:r>
        <w:rPr>
          <w:rFonts w:ascii="Times New Roman" w:hAnsi="Times New Roman" w:eastAsia="Times New Roman" w:cs="Times New Roman"/>
          <w:lang w:val="en-US" w:bidi="en-US"/>
          <w:color w:val="111111"/>
          <w:sz w:val="28"/>
          <w:szCs w:val="28"/>
          <w:rtl/>
        </w:rPr>
        <w:t xml:space="preserve">595.</w:t>
      </w:r>
    </w:p>
    <w:p>
      <w:pPr>
        <w:pStyle w:val="BookText"/>
      </w:pPr>
      <w:r>
        <w:rPr>
          <w:rFonts w:ascii="IRNazanin" w:hAnsi="IRNazanin" w:eastAsia="IRNazanin" w:cs="IRNazanin"/>
          <w:lang w:bidi="fa-IR"/>
          <w:color w:val="111111"/>
          <w:sz w:val="28"/>
          <w:szCs w:val="28"/>
          <w:rtl/>
        </w:rPr>
        <w:t xml:space="preserve">تهران؛ ملی؛ شماره نسخه: 4473</w:t>
      </w:r>
    </w:p>
    <w:p>
      <w:pPr>
        <w:pStyle w:val="BookText"/>
      </w:pPr>
      <w:r>
        <w:rPr>
          <w:rFonts w:ascii="Amiri" w:hAnsi="Amiri" w:eastAsia="Amiri" w:cs="Amiri"/>
          <w:lang w:bidi="ar-SA"/>
          <w:color w:val="111111"/>
          <w:sz w:val="28"/>
          <w:szCs w:val="28"/>
          <w:rtl/>
        </w:rPr>
        <w:t xml:space="preserve">آغاز: في دعوى قدر الانفاق بالمعروف و ان كان له مال و تشاح ملتقطاه اقرع و ان كان احدهما معسرا ؛انجام: المقصد الرابع فى دية الاطراف كل ما لا تقدير فيه ففيه الارش و فى شعر الراس- او اللحية الدية فان...</w:t>
      </w:r>
    </w:p>
    <w:p>
      <w:pPr>
        <w:pStyle w:val="BookText"/>
      </w:pPr>
      <w:r>
        <w:rPr>
          <w:rFonts w:ascii="IRNazanin" w:hAnsi="IRNazanin" w:eastAsia="IRNazanin" w:cs="IRNazanin"/>
          <w:lang w:bidi="fa-IR"/>
          <w:color w:val="111111"/>
          <w:sz w:val="28"/>
          <w:szCs w:val="28"/>
          <w:rtl/>
        </w:rPr>
        <w:t xml:space="preserve">از اواسط مقصد، نهم از کتاب تجارت تا اواخر کتاب دیات؛ خط: نسخ و نستعلیق، بی کا، بی تا؛ افتادگی: آغاز و انجام :مصح، محشی، با نشان« ع ل» ، 12؛ كاغذ: اصفهانی نخودی، جلد: تیماج مشکی ،یک لا ،اندرون جلد: روکش کاغذی 110گ 17 سطر (7</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اندازه: 14</w:t>
      </w:r>
      <w:r>
        <w:rPr>
          <w:rFonts w:ascii="Times New Roman" w:hAnsi="Times New Roman" w:eastAsia="Times New Roman" w:cs="Times New Roman"/>
          <w:lang w:val="en-US" w:bidi="en-US"/>
          <w:color w:val="111111"/>
          <w:sz w:val="28"/>
          <w:szCs w:val="28"/>
          <w:rtl/>
        </w:rPr>
        <w:t xml:space="preserve">×17/8</w:t>
      </w:r>
      <w:r>
        <w:rPr>
          <w:rFonts w:ascii="IRNazanin" w:hAnsi="IRNazanin" w:eastAsia="IRNazanin" w:cs="IRNazanin"/>
          <w:lang w:bidi="fa-IR"/>
          <w:color w:val="111111"/>
          <w:sz w:val="28"/>
          <w:szCs w:val="28"/>
          <w:rtl/>
        </w:rPr>
        <w:t xml:space="preserve">سم [ف: 19 - 88]</w:t>
      </w:r>
    </w:p>
    <w:p>
      <w:pPr>
        <w:pStyle w:val="BookText"/>
      </w:pPr>
      <w:r>
        <w:rPr>
          <w:rFonts w:ascii="IRNazanin" w:hAnsi="IRNazanin" w:eastAsia="IRNazanin" w:cs="IRNazanin"/>
          <w:lang w:bidi="fa-IR"/>
          <w:color w:val="111111"/>
          <w:sz w:val="28"/>
          <w:szCs w:val="28"/>
          <w:rtl/>
        </w:rPr>
        <w:t xml:space="preserve">596.تهران؛ ملی؛ شماره نسخه: 2505</w:t>
      </w:r>
    </w:p>
    <w:p>
      <w:pPr>
        <w:pStyle w:val="BookText"/>
      </w:pPr>
      <w:r>
        <w:rPr>
          <w:rFonts w:ascii="IRNazanin" w:hAnsi="IRNazanin" w:eastAsia="IRNazanin" w:cs="IRNazanin"/>
          <w:lang w:bidi="fa-IR"/>
          <w:color w:val="111111"/>
          <w:sz w:val="28"/>
          <w:szCs w:val="28"/>
          <w:rtl/>
        </w:rPr>
        <w:t xml:space="preserve">آغاز :برابر؛ انجام: فى نفقه الزوجة .. و تخدم نفسها ان لم تکن من اهل الاخدام الا فى المرض فيخدمها و لو طلبت مستحقه.</w:t>
      </w:r>
    </w:p>
    <w:p>
      <w:pPr>
        <w:pStyle w:val="BookText"/>
      </w:pPr>
      <w:r>
        <w:rPr>
          <w:rFonts w:ascii="IRNazanin" w:hAnsi="IRNazanin" w:eastAsia="IRNazanin" w:cs="IRNazanin"/>
          <w:lang w:bidi="fa-IR"/>
          <w:color w:val="111111"/>
          <w:sz w:val="28"/>
          <w:szCs w:val="28"/>
          <w:rtl/>
        </w:rPr>
        <w:t xml:space="preserve">جزء اول کتاب تا پایان کتاب النکاح و یک برگ از مباحث پایانی کتاب النکاح افتادگی دارد؛ خط: نسخ، بی کا، بی تا: افتادگی: انجام ؛ محشی با نشان «زی» و «ع ک»؛ تملک: مصطفی حسینی صفایی خوانساری با مهر «مصطفى الحسینی» به همراه یادداشتی مبنی بر امانت بودن کتاب و شرطی بودن بیع آن در س 1241؛ كاغذ: دولت آبادی ،نخودی، جلد: تیماج یک لا تریاکی ،روشن، 162گ، 12 سطر (8</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 اندازه: 17/5</w:t>
      </w:r>
      <w:r>
        <w:rPr>
          <w:rFonts w:ascii="Times New Roman" w:hAnsi="Times New Roman" w:eastAsia="Times New Roman" w:cs="Times New Roman"/>
          <w:lang w:val="en-US" w:bidi="en-US"/>
          <w:color w:val="111111"/>
          <w:sz w:val="28"/>
          <w:szCs w:val="28"/>
          <w:rtl/>
        </w:rPr>
        <w:t xml:space="preserve">×24/5</w:t>
      </w:r>
      <w:r>
        <w:rPr>
          <w:rFonts w:ascii="IRNazanin" w:hAnsi="IRNazanin" w:eastAsia="IRNazanin" w:cs="IRNazanin"/>
          <w:lang w:bidi="fa-IR"/>
          <w:color w:val="111111"/>
          <w:sz w:val="28"/>
          <w:szCs w:val="28"/>
          <w:rtl/>
        </w:rPr>
        <w:t xml:space="preserve">سم [ف: - 370]</w:t>
      </w:r>
    </w:p>
    <w:p>
      <w:pPr>
        <w:pStyle w:val="BookText"/>
      </w:pPr>
      <w:r>
        <w:rPr>
          <w:rFonts w:ascii="Times New Roman" w:hAnsi="Times New Roman" w:eastAsia="Times New Roman" w:cs="Times New Roman"/>
          <w:lang w:val="en-US" w:bidi="en-US"/>
          <w:color w:val="111111"/>
          <w:sz w:val="28"/>
          <w:szCs w:val="28"/>
          <w:rtl/>
        </w:rPr>
        <w:t xml:space="preserve">597.</w:t>
      </w:r>
    </w:p>
    <w:p>
      <w:pPr>
        <w:pStyle w:val="BookText"/>
      </w:pPr>
      <w:r>
        <w:rPr>
          <w:rFonts w:ascii="IRNazanin" w:hAnsi="IRNazanin" w:eastAsia="IRNazanin" w:cs="IRNazanin"/>
          <w:lang w:bidi="fa-IR"/>
          <w:color w:val="111111"/>
          <w:sz w:val="28"/>
          <w:szCs w:val="28"/>
          <w:rtl/>
        </w:rPr>
        <w:t xml:space="preserve">تهران؛ ملی؛ شماره نسخه: 2396/1</w:t>
      </w:r>
    </w:p>
    <w:p>
      <w:pPr>
        <w:pStyle w:val="BookText"/>
      </w:pPr>
      <w:r>
        <w:rPr>
          <w:rFonts w:ascii="Amiri" w:hAnsi="Amiri" w:eastAsia="Amiri" w:cs="Amiri"/>
          <w:lang w:bidi="ar-SA"/>
          <w:color w:val="111111"/>
          <w:sz w:val="28"/>
          <w:szCs w:val="28"/>
          <w:rtl/>
        </w:rPr>
        <w:t xml:space="preserve">آغاز: برابر؛ انجام :لانها اقل الامرين و له سبعون فيفضل عليه.</w:t>
      </w:r>
    </w:p>
    <w:p>
      <w:pPr>
        <w:pStyle w:val="BookText"/>
      </w:pPr>
      <w:r>
        <w:rPr>
          <w:rFonts w:ascii="IRNazanin" w:hAnsi="IRNazanin" w:eastAsia="IRNazanin" w:cs="IRNazanin"/>
          <w:lang w:bidi="fa-IR"/>
          <w:color w:val="111111"/>
          <w:sz w:val="28"/>
          <w:szCs w:val="28"/>
          <w:rtl/>
        </w:rPr>
        <w:t xml:space="preserve">خط: نسخ، بی کا بی تا؛ افتادگی: انجام؛ افتادگی: انجام (حدود تا 8برگ از مباحث كتاب الديات) ؛كاغذ: دولت آبادی نخودی ،اصفهانی ،جلد: تیماج عنابی ضربی دارای ترنج وسرترنج با بوته مقوایی، 139گ (1پ - 140پ) ، اندازه: 19</w:t>
      </w:r>
      <w:r>
        <w:rPr>
          <w:rFonts w:ascii="Times New Roman" w:hAnsi="Times New Roman" w:eastAsia="Times New Roman" w:cs="Times New Roman"/>
          <w:lang w:val="en-US" w:bidi="en-US"/>
          <w:color w:val="111111"/>
          <w:sz w:val="28"/>
          <w:szCs w:val="28"/>
          <w:rtl/>
        </w:rPr>
        <w:t xml:space="preserve">× 26 </w:t>
      </w:r>
      <w:r>
        <w:rPr>
          <w:rFonts w:ascii="IRNazanin" w:hAnsi="IRNazanin" w:eastAsia="IRNazanin" w:cs="IRNazanin"/>
          <w:lang w:bidi="fa-IR"/>
          <w:color w:val="111111"/>
          <w:sz w:val="28"/>
          <w:szCs w:val="28"/>
          <w:rtl/>
        </w:rPr>
        <w:t xml:space="preserve">سم [ ف : 12 - 7 ]</w:t>
      </w:r>
    </w:p>
    <w:p>
      <w:pPr>
        <w:pStyle w:val="BookText"/>
      </w:pPr>
      <w:r>
        <w:rPr>
          <w:rFonts w:ascii="Times New Roman" w:hAnsi="Times New Roman" w:eastAsia="Times New Roman" w:cs="Times New Roman"/>
          <w:lang w:val="en-US" w:bidi="en-US"/>
          <w:color w:val="111111"/>
          <w:sz w:val="28"/>
          <w:szCs w:val="28"/>
          <w:rtl/>
        </w:rPr>
        <w:t xml:space="preserve">598.</w:t>
      </w:r>
    </w:p>
    <w:p>
      <w:pPr>
        <w:pStyle w:val="BookText"/>
      </w:pPr>
      <w:r>
        <w:rPr>
          <w:rFonts w:ascii="IRNazanin" w:hAnsi="IRNazanin" w:eastAsia="IRNazanin" w:cs="IRNazanin"/>
          <w:lang w:bidi="fa-IR"/>
          <w:color w:val="111111"/>
          <w:sz w:val="28"/>
          <w:szCs w:val="28"/>
          <w:rtl/>
        </w:rPr>
        <w:t xml:space="preserve">تهران؛ مجلس؛ شماره نسخه: 11680</w:t>
      </w:r>
    </w:p>
    <w:p>
      <w:pPr>
        <w:pStyle w:val="BookText"/>
      </w:pPr>
      <w:r>
        <w:rPr>
          <w:rFonts w:ascii="Amiri" w:hAnsi="Amiri" w:eastAsia="Amiri" w:cs="Amiri"/>
          <w:lang w:bidi="ar-SA"/>
          <w:color w:val="111111"/>
          <w:sz w:val="28"/>
          <w:szCs w:val="28"/>
          <w:rtl/>
        </w:rPr>
        <w:t xml:space="preserve">آغاز: ذات عليه الابهام و الوسطى عرضا من مستوى الخلقه و غيره بحال؛ انجام: و اما المسلم و من هو بحكمه من الاطفال المولودين على الفطرة الملتحق باسلام احد ابويه.</w:t>
      </w:r>
    </w:p>
    <w:p>
      <w:pPr>
        <w:pStyle w:val="BookText"/>
      </w:pPr>
      <w:r>
        <w:rPr>
          <w:rFonts w:ascii="IRNazanin" w:hAnsi="IRNazanin" w:eastAsia="IRNazanin" w:cs="IRNazanin"/>
          <w:lang w:bidi="fa-IR"/>
          <w:color w:val="111111"/>
          <w:sz w:val="28"/>
          <w:szCs w:val="28"/>
          <w:rtl/>
        </w:rPr>
        <w:t xml:space="preserve">خط: نسخ، بی کا،بی تا؛ افتادگی: آغاز و انجام؛ جلد:تیماج مشکی با ترنج و سرترنج، 209گ، 15 سطر ، اندازه: 15/5</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34- 42]</w:t>
      </w:r>
    </w:p>
    <w:p>
      <w:pPr>
        <w:pStyle w:val="BookText"/>
      </w:pPr>
      <w:r>
        <w:rPr>
          <w:rFonts w:ascii="Times New Roman" w:hAnsi="Times New Roman" w:eastAsia="Times New Roman" w:cs="Times New Roman"/>
          <w:lang w:val="en-US" w:bidi="en-US"/>
          <w:color w:val="111111"/>
          <w:sz w:val="28"/>
          <w:szCs w:val="28"/>
          <w:rtl/>
        </w:rPr>
        <w:t xml:space="preserve">599.</w:t>
      </w:r>
    </w:p>
    <w:p>
      <w:pPr>
        <w:pStyle w:val="BookText"/>
      </w:pPr>
      <w:r>
        <w:rPr>
          <w:rFonts w:ascii="IRNazanin" w:hAnsi="IRNazanin" w:eastAsia="IRNazanin" w:cs="IRNazanin"/>
          <w:lang w:bidi="fa-IR"/>
          <w:color w:val="111111"/>
          <w:sz w:val="28"/>
          <w:szCs w:val="28"/>
          <w:rtl/>
        </w:rPr>
        <w:t xml:space="preserve">تهران؛ سپهسالار؛ شماره نسخه: 2474</w:t>
      </w:r>
    </w:p>
    <w:p>
      <w:pPr>
        <w:pStyle w:val="BookText"/>
      </w:pPr>
      <w:r>
        <w:rPr>
          <w:rFonts w:ascii="Amiri" w:hAnsi="Amiri" w:eastAsia="Amiri" w:cs="Amiri"/>
          <w:lang w:bidi="ar-SA"/>
          <w:color w:val="111111"/>
          <w:sz w:val="28"/>
          <w:szCs w:val="28"/>
          <w:rtl/>
        </w:rPr>
        <w:t xml:space="preserve">آغاز: برابر؛ انجام: من مأكول اللحم او غيره مما يقع عليه الزكوة ضمن الارش وليس.</w:t>
      </w:r>
    </w:p>
    <w:p>
      <w:pPr>
        <w:pStyle w:val="BookText"/>
      </w:pPr>
      <w:r>
        <w:rPr>
          <w:rFonts w:ascii="IRNazanin" w:hAnsi="IRNazanin" w:eastAsia="IRNazanin" w:cs="IRNazanin"/>
          <w:lang w:bidi="fa-IR"/>
          <w:color w:val="111111"/>
          <w:sz w:val="28"/>
          <w:szCs w:val="28"/>
          <w:rtl/>
        </w:rPr>
        <w:t xml:space="preserve">خط : نسخ، بی کا، بی تا؛ افتادگی: انجام (تقریباً چهار برگ از آخر از کتاب دیات) ،محشی بر ورق اول شرحی که سطور آن غیر مرتب است در اقسام آبها و موجبات غسل و اقسام آن و واجبات تیمم، واقف: سپهسالار؛ کاغذ: دولت آبادی، جلد : چرمی، 280 ص 14 سطر ، قطع وزیری اندازه: 12/5</w:t>
      </w:r>
      <w:r>
        <w:rPr>
          <w:rFonts w:ascii="Times New Roman" w:hAnsi="Times New Roman" w:eastAsia="Times New Roman" w:cs="Times New Roman"/>
          <w:lang w:val="en-US" w:bidi="en-US"/>
          <w:color w:val="111111"/>
          <w:sz w:val="28"/>
          <w:szCs w:val="28"/>
          <w:rtl/>
        </w:rPr>
        <w:t xml:space="preserve">×25</w:t>
      </w:r>
      <w:r>
        <w:rPr>
          <w:rFonts w:ascii="IRNazanin" w:hAnsi="IRNazanin" w:eastAsia="IRNazanin" w:cs="IRNazanin"/>
          <w:lang w:bidi="fa-IR"/>
          <w:color w:val="111111"/>
          <w:sz w:val="28"/>
          <w:szCs w:val="28"/>
          <w:rtl/>
        </w:rPr>
        <w:t xml:space="preserve">سم [ف: 1- 358]</w:t>
      </w:r>
    </w:p>
    <w:p>
      <w:pPr>
        <w:pStyle w:val="BookText"/>
      </w:pPr>
      <w:r>
        <w:rPr>
          <w:rFonts w:ascii="Times New Roman" w:hAnsi="Times New Roman" w:eastAsia="Times New Roman" w:cs="Times New Roman"/>
          <w:lang w:val="en-US" w:bidi="en-US"/>
          <w:color w:val="111111"/>
          <w:sz w:val="28"/>
          <w:szCs w:val="28"/>
          <w:rtl/>
        </w:rPr>
        <w:t xml:space="preserve">600.</w:t>
      </w:r>
    </w:p>
    <w:p>
      <w:pPr>
        <w:pStyle w:val="BookText"/>
      </w:pPr>
      <w:r>
        <w:rPr>
          <w:rFonts w:ascii="IRNazanin" w:hAnsi="IRNazanin" w:eastAsia="IRNazanin" w:cs="IRNazanin"/>
          <w:lang w:bidi="fa-IR"/>
          <w:color w:val="111111"/>
          <w:sz w:val="28"/>
          <w:szCs w:val="28"/>
          <w:rtl/>
        </w:rPr>
        <w:t xml:space="preserve">تهران؛ سپهسالار؛ شماره نسخه: 2471</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و نستعلیق، بی کا، بی تا؛ محشی ؛ یادداشت هایی در خصوص اذان اقامه و كيفيت صلوة ميت و حد نصاب غلات اربعه واقف: سپهسالار؛ کاغذ ،اصفهانی، جلد: تیماج 218ص 11 سطر ، قطع وزیری اندازه: 11/5</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سم [ف: 1 - 359]</w:t>
      </w:r>
    </w:p>
    <w:p>
      <w:pPr>
        <w:pStyle w:val="BookText"/>
      </w:pPr>
      <w:r>
        <w:rPr>
          <w:rFonts w:ascii="Times New Roman" w:hAnsi="Times New Roman" w:eastAsia="Times New Roman" w:cs="Times New Roman"/>
          <w:lang w:val="en-US" w:bidi="en-US"/>
          <w:color w:val="111111"/>
          <w:sz w:val="28"/>
          <w:szCs w:val="28"/>
          <w:rtl/>
        </w:rPr>
        <w:t xml:space="preserve">601.</w:t>
      </w:r>
    </w:p>
    <w:p>
      <w:pPr>
        <w:pStyle w:val="BookText"/>
      </w:pPr>
      <w:r>
        <w:rPr>
          <w:rFonts w:ascii="IRNazanin" w:hAnsi="IRNazanin" w:eastAsia="IRNazanin" w:cs="IRNazanin"/>
          <w:lang w:bidi="fa-IR"/>
          <w:color w:val="111111"/>
          <w:sz w:val="28"/>
          <w:szCs w:val="28"/>
          <w:rtl/>
        </w:rPr>
        <w:t xml:space="preserve">قم؛ گلپایگانی؛ شماره نسخه: 1847-10/157</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مصحح، محشی با نشان «زین الدین» و( ع) ل؛ جلد: تيماج قهوه ای لولادار با ترنج و سرترنج، 168گ، 15 سطر ، اندازه: 15</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1 - 301].</w:t>
      </w:r>
    </w:p>
    <w:p>
      <w:pPr>
        <w:pStyle w:val="BookText"/>
      </w:pPr>
      <w:r>
        <w:rPr>
          <w:rFonts w:ascii="IRNazanin" w:hAnsi="IRNazanin" w:eastAsia="IRNazanin" w:cs="IRNazanin"/>
          <w:lang w:bidi="fa-IR"/>
          <w:color w:val="111111"/>
          <w:sz w:val="28"/>
          <w:szCs w:val="28"/>
          <w:rtl/>
        </w:rPr>
        <w:t xml:space="preserve">602 . قم؛ گلپایگانی؛ شماره نسخه: 618-4/88</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کامل؛ خط نسخ، بی کا، بی تا؛ محشی به نقل از شرح و «ع ل» و «ابن فهد»؛ در اول نسخه وقف نامه از طباطبایی در 1331ق؛ جلد: تیماج قهوه ای ،لولادار، 307گ، 13-15 سطر ، اندازه: 16</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 [ف: 1 - 300]</w:t>
      </w:r>
    </w:p>
    <w:p>
      <w:pPr>
        <w:pStyle w:val="BookText"/>
      </w:pPr>
      <w:r>
        <w:rPr>
          <w:rFonts w:ascii="IRNazanin" w:hAnsi="IRNazanin" w:eastAsia="IRNazanin" w:cs="IRNazanin"/>
          <w:lang w:bidi="fa-IR"/>
          <w:color w:val="111111"/>
          <w:sz w:val="28"/>
          <w:szCs w:val="28"/>
          <w:rtl/>
        </w:rPr>
        <w:t xml:space="preserve">603 . قم؛ مرکز مطالعات؛ شماره نسخه: 434</w:t>
      </w:r>
    </w:p>
    <w:p>
      <w:pPr>
        <w:pStyle w:val="BookText"/>
      </w:pPr>
      <w:r>
        <w:rPr>
          <w:rFonts w:ascii="Amiri" w:hAnsi="Amiri" w:eastAsia="Amiri" w:cs="Amiri"/>
          <w:lang w:bidi="ar-SA"/>
          <w:color w:val="111111"/>
          <w:sz w:val="28"/>
          <w:szCs w:val="28"/>
          <w:rtl/>
        </w:rPr>
        <w:t xml:space="preserve">آغاز: برابر؛ انجام: و يؤخذ في الواحدة ما بلغ نزولها و لو شحة في عضوين فديتان و ان اتخذه</w:t>
      </w:r>
    </w:p>
    <w:p>
      <w:pPr>
        <w:pStyle w:val="BookText"/>
      </w:pPr>
      <w:r>
        <w:rPr>
          <w:rFonts w:ascii="IRNazanin" w:hAnsi="IRNazanin" w:eastAsia="IRNazanin" w:cs="IRNazanin"/>
          <w:lang w:bidi="fa-IR"/>
          <w:color w:val="111111"/>
          <w:sz w:val="28"/>
          <w:szCs w:val="28"/>
          <w:rtl/>
        </w:rPr>
        <w:t xml:space="preserve">خط: نسخ، بی کا، بی تا: افتادگی: انجام؛ در ظهر طبله دوم جلد دو تاریخ تولد در سالهای 1088 و 1081 جلد: تیماج قهوه ای ضربی دارای ترنج با سر با نقش گل وبوته، 147گ، 18 سطر ،اندازه: 19</w:t>
      </w:r>
      <w:r>
        <w:rPr>
          <w:rFonts w:ascii="Times New Roman" w:hAnsi="Times New Roman" w:eastAsia="Times New Roman" w:cs="Times New Roman"/>
          <w:lang w:val="en-US" w:bidi="en-US"/>
          <w:color w:val="111111"/>
          <w:sz w:val="28"/>
          <w:szCs w:val="28"/>
          <w:rtl/>
        </w:rPr>
        <w:t xml:space="preserve">×26 </w:t>
      </w:r>
      <w:r>
        <w:rPr>
          <w:rFonts w:ascii="IRNazanin" w:hAnsi="IRNazanin" w:eastAsia="IRNazanin" w:cs="IRNazanin"/>
          <w:lang w:bidi="fa-IR"/>
          <w:color w:val="111111"/>
          <w:sz w:val="28"/>
          <w:szCs w:val="28"/>
          <w:rtl/>
        </w:rPr>
        <w:t xml:space="preserve">سم [ف: 1 - 363]</w:t>
      </w:r>
    </w:p>
    <w:p>
      <w:pPr>
        <w:pStyle w:val="BookText"/>
      </w:pPr>
      <w:r>
        <w:rPr>
          <w:rFonts w:ascii="IRNazanin" w:hAnsi="IRNazanin" w:eastAsia="IRNazanin" w:cs="IRNazanin"/>
          <w:lang w:bidi="fa-IR"/>
          <w:color w:val="111111"/>
          <w:sz w:val="28"/>
          <w:szCs w:val="28"/>
          <w:rtl/>
        </w:rPr>
        <w:t xml:space="preserve">604 . قم؛ مرکز مطالعات؛ شماره نسخه: 680</w:t>
      </w:r>
    </w:p>
    <w:p>
      <w:pPr>
        <w:pStyle w:val="BookText"/>
      </w:pPr>
      <w:r>
        <w:rPr>
          <w:rFonts w:ascii="IRNazanin" w:hAnsi="IRNazanin" w:eastAsia="IRNazanin" w:cs="IRNazanin"/>
          <w:lang w:bidi="fa-IR"/>
          <w:color w:val="111111"/>
          <w:sz w:val="28"/>
          <w:szCs w:val="28"/>
          <w:rtl/>
        </w:rPr>
        <w:t xml:space="preserve">قسمتی از کتاب الصلاة المطلب الثانى فى السهو و الشك، تا «المطلب الثانى فى النفقة» از كتاب النكاح؛ خط: نستعلیق، بی کا، بی تا؛ 80گ، 15 سطر ، اندازه: 14</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1 - 581]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605.</w:t>
      </w:r>
    </w:p>
    <w:p>
      <w:pPr>
        <w:pStyle w:val="BookText"/>
      </w:pPr>
      <w:r>
        <w:rPr>
          <w:rFonts w:ascii="IRNazanin" w:hAnsi="IRNazanin" w:eastAsia="IRNazanin" w:cs="IRNazanin"/>
          <w:lang w:bidi="fa-IR"/>
          <w:color w:val="111111"/>
          <w:sz w:val="28"/>
          <w:szCs w:val="28"/>
          <w:rtl/>
        </w:rPr>
        <w:t xml:space="preserve">قم؛ گلپایگانی؛ شماره نسخه: 7630-51/90</w:t>
      </w:r>
    </w:p>
    <w:p>
      <w:pPr>
        <w:pStyle w:val="BookText"/>
      </w:pPr>
      <w:r>
        <w:rPr>
          <w:rFonts w:ascii="Amiri" w:hAnsi="Amiri" w:eastAsia="Amiri" w:cs="Amiri"/>
          <w:lang w:bidi="ar-SA"/>
          <w:color w:val="111111"/>
          <w:sz w:val="28"/>
          <w:szCs w:val="28"/>
          <w:rtl/>
        </w:rPr>
        <w:t xml:space="preserve">آغاز:من الله حسن التوفيق و هداية الطريق و التمست  منه المجازات على ذلك</w:t>
      </w:r>
    </w:p>
    <w:p>
      <w:pPr>
        <w:pStyle w:val="BookText"/>
      </w:pPr>
      <w:r>
        <w:rPr>
          <w:rFonts w:ascii="IRNazanin" w:hAnsi="IRNazanin" w:eastAsia="IRNazanin" w:cs="IRNazanin"/>
          <w:lang w:bidi="fa-IR"/>
          <w:color w:val="111111"/>
          <w:sz w:val="28"/>
          <w:szCs w:val="28"/>
          <w:rtl/>
        </w:rPr>
        <w:t xml:space="preserve">خط: نسخ، بی کا، بی تا؛ افتادگی: آغاز و انجام؛ 220گ، 15 سطر ، اندازه: 14</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1 - 305]</w:t>
      </w:r>
    </w:p>
    <w:p>
      <w:pPr>
        <w:pStyle w:val="BookText"/>
      </w:pPr>
      <w:r>
        <w:rPr>
          <w:rFonts w:ascii="Amiri" w:hAnsi="Amiri" w:eastAsia="Amiri" w:cs="Amiri"/>
          <w:lang w:bidi="ar-SA"/>
          <w:color w:val="111111"/>
          <w:sz w:val="28"/>
          <w:szCs w:val="28"/>
          <w:rtl/>
        </w:rPr>
        <w:t xml:space="preserve">606 . قم؛ حجتيه؛ شماره نسخه: 386</w:t>
      </w:r>
    </w:p>
    <w:p>
      <w:pPr>
        <w:pStyle w:val="BookText"/>
      </w:pPr>
      <w:r>
        <w:rPr>
          <w:rFonts w:ascii="IRNazanin" w:hAnsi="IRNazanin" w:eastAsia="IRNazanin" w:cs="IRNazanin"/>
          <w:lang w:bidi="fa-IR"/>
          <w:color w:val="111111"/>
          <w:sz w:val="28"/>
          <w:szCs w:val="28"/>
          <w:rtl/>
        </w:rPr>
        <w:t xml:space="preserve">بی کا بی تا [ف: 34]</w:t>
      </w:r>
    </w:p>
    <w:p>
      <w:pPr>
        <w:pStyle w:val="BookText"/>
      </w:pPr>
      <w:r>
        <w:rPr>
          <w:rFonts w:ascii="IRNazanin" w:hAnsi="IRNazanin" w:eastAsia="IRNazanin" w:cs="IRNazanin"/>
          <w:lang w:bidi="fa-IR"/>
          <w:color w:val="111111"/>
          <w:sz w:val="28"/>
          <w:szCs w:val="28"/>
          <w:rtl/>
        </w:rPr>
        <w:t xml:space="preserve">607 . قم؛ حجتیه؛ شماره نسخه: 153</w:t>
      </w:r>
    </w:p>
    <w:p>
      <w:pPr>
        <w:pStyle w:val="BookText"/>
      </w:pPr>
      <w:r>
        <w:rPr>
          <w:rFonts w:ascii="IRNazanin" w:hAnsi="IRNazanin" w:eastAsia="IRNazanin" w:cs="IRNazanin"/>
          <w:lang w:bidi="fa-IR"/>
          <w:color w:val="111111"/>
          <w:sz w:val="28"/>
          <w:szCs w:val="28"/>
          <w:rtl/>
        </w:rPr>
        <w:t xml:space="preserve">بی کا ،بی تا [ف 34]</w:t>
      </w:r>
    </w:p>
    <w:p>
      <w:pPr>
        <w:pStyle w:val="BookText"/>
      </w:pPr>
      <w:r>
        <w:rPr>
          <w:rFonts w:ascii="IRNazanin" w:hAnsi="IRNazanin" w:eastAsia="IRNazanin" w:cs="IRNazanin"/>
          <w:lang w:bidi="fa-IR"/>
          <w:color w:val="111111"/>
          <w:sz w:val="28"/>
          <w:szCs w:val="28"/>
          <w:rtl/>
        </w:rPr>
        <w:t xml:space="preserve">608 . قم؛ فیضیه شماره نسخه: 783</w:t>
      </w:r>
    </w:p>
    <w:p>
      <w:pPr>
        <w:pStyle w:val="BookText"/>
      </w:pPr>
      <w:r>
        <w:rPr>
          <w:rFonts w:ascii="IRNazanin" w:hAnsi="IRNazanin" w:eastAsia="IRNazanin" w:cs="IRNazanin"/>
          <w:lang w:bidi="fa-IR"/>
          <w:color w:val="111111"/>
          <w:sz w:val="28"/>
          <w:szCs w:val="28"/>
          <w:rtl/>
        </w:rPr>
        <w:t xml:space="preserve">خط: نسخ، کا: سید هاشم، بی تا: 226گ، 14 سطر ، اندازه: 18</w:t>
      </w:r>
      <w:r>
        <w:rPr>
          <w:rFonts w:ascii="Times New Roman" w:hAnsi="Times New Roman" w:eastAsia="Times New Roman" w:cs="Times New Roman"/>
          <w:lang w:val="en-US" w:bidi="en-US"/>
          <w:color w:val="111111"/>
          <w:sz w:val="28"/>
          <w:szCs w:val="28"/>
          <w:rtl/>
        </w:rPr>
        <w:t xml:space="preserve">×25</w:t>
      </w:r>
      <w:r>
        <w:rPr>
          <w:rFonts w:ascii="IRNazanin" w:hAnsi="IRNazanin" w:eastAsia="IRNazanin" w:cs="IRNazanin"/>
          <w:lang w:bidi="fa-IR"/>
          <w:color w:val="111111"/>
          <w:sz w:val="28"/>
          <w:szCs w:val="28"/>
          <w:rtl/>
        </w:rPr>
        <w:t xml:space="preserve">سم [ف 1 - 8]</w:t>
      </w:r>
    </w:p>
    <w:p>
      <w:pPr>
        <w:pStyle w:val="BookText"/>
      </w:pPr>
      <w:r>
        <w:rPr>
          <w:rFonts w:ascii="IRNazanin" w:hAnsi="IRNazanin" w:eastAsia="IRNazanin" w:cs="IRNazanin"/>
          <w:lang w:bidi="fa-IR"/>
          <w:color w:val="111111"/>
          <w:sz w:val="28"/>
          <w:szCs w:val="28"/>
          <w:rtl/>
        </w:rPr>
        <w:t xml:space="preserve">609 . قم؛ فیضیه؛ شماره نسخه: 1314</w:t>
      </w:r>
    </w:p>
    <w:p>
      <w:pPr>
        <w:pStyle w:val="BookText"/>
      </w:pPr>
      <w:r>
        <w:rPr>
          <w:rFonts w:ascii="IRNazanin" w:hAnsi="IRNazanin" w:eastAsia="IRNazanin" w:cs="IRNazanin"/>
          <w:lang w:bidi="fa-IR"/>
          <w:color w:val="111111"/>
          <w:sz w:val="28"/>
          <w:szCs w:val="28"/>
          <w:rtl/>
        </w:rPr>
        <w:t xml:space="preserve">خط: نسخ، بی کا، بی تا؛ 243گ، 24 سطر ، اندازه: 13</w:t>
      </w:r>
      <w:r>
        <w:rPr>
          <w:rFonts w:ascii="Times New Roman" w:hAnsi="Times New Roman" w:eastAsia="Times New Roman" w:cs="Times New Roman"/>
          <w:lang w:val="en-US" w:bidi="en-US"/>
          <w:color w:val="111111"/>
          <w:sz w:val="28"/>
          <w:szCs w:val="28"/>
          <w:rtl/>
        </w:rPr>
        <w:t xml:space="preserve">×23</w:t>
      </w:r>
      <w:r>
        <w:rPr>
          <w:rFonts w:ascii="IRNazanin" w:hAnsi="IRNazanin" w:eastAsia="IRNazanin" w:cs="IRNazanin"/>
          <w:lang w:bidi="fa-IR"/>
          <w:color w:val="111111"/>
          <w:sz w:val="28"/>
          <w:szCs w:val="28"/>
          <w:rtl/>
        </w:rPr>
        <w:t xml:space="preserve">سم [ ف: 1- 8]</w:t>
      </w:r>
    </w:p>
    <w:p>
      <w:pPr>
        <w:pStyle w:val="BookText"/>
      </w:pPr>
      <w:r>
        <w:rPr>
          <w:rFonts w:ascii="IRNazanin" w:hAnsi="IRNazanin" w:eastAsia="IRNazanin" w:cs="IRNazanin"/>
          <w:lang w:bidi="fa-IR"/>
          <w:color w:val="111111"/>
          <w:sz w:val="28"/>
          <w:szCs w:val="28"/>
          <w:rtl/>
        </w:rPr>
        <w:t xml:space="preserve">610 . قم؛ فیضیه؛ شماره نسخه: 264</w:t>
      </w:r>
    </w:p>
    <w:p>
      <w:pPr>
        <w:pStyle w:val="BookText"/>
      </w:pPr>
      <w:r>
        <w:rPr>
          <w:rFonts w:ascii="IRNazanin" w:hAnsi="IRNazanin" w:eastAsia="IRNazanin" w:cs="IRNazanin"/>
          <w:lang w:bidi="fa-IR"/>
          <w:color w:val="111111"/>
          <w:sz w:val="28"/>
          <w:szCs w:val="28"/>
          <w:rtl/>
        </w:rPr>
        <w:t xml:space="preserve">خط: نسخ، بی کا، بی تا؛ 224گ، 19 سطر ، اندازه 13</w:t>
      </w:r>
      <w:r>
        <w:rPr>
          <w:rFonts w:ascii="Times New Roman" w:hAnsi="Times New Roman" w:eastAsia="Times New Roman" w:cs="Times New Roman"/>
          <w:lang w:val="en-US" w:bidi="en-US"/>
          <w:color w:val="111111"/>
          <w:sz w:val="28"/>
          <w:szCs w:val="28"/>
          <w:rtl/>
        </w:rPr>
        <w:t xml:space="preserve">×25</w:t>
      </w:r>
      <w:r>
        <w:rPr>
          <w:rFonts w:ascii="IRNazanin" w:hAnsi="IRNazanin" w:eastAsia="IRNazanin" w:cs="IRNazanin"/>
          <w:lang w:bidi="fa-IR"/>
          <w:color w:val="111111"/>
          <w:sz w:val="28"/>
          <w:szCs w:val="28"/>
          <w:rtl/>
        </w:rPr>
        <w:t xml:space="preserve">سم [ 1- 7]</w:t>
      </w:r>
    </w:p>
    <w:p>
      <w:pPr>
        <w:pStyle w:val="BookText"/>
      </w:pPr>
      <w:r>
        <w:rPr>
          <w:rFonts w:ascii="IRNazanin" w:hAnsi="IRNazanin" w:eastAsia="IRNazanin" w:cs="IRNazanin"/>
          <w:lang w:bidi="fa-IR"/>
          <w:color w:val="111111"/>
          <w:sz w:val="28"/>
          <w:szCs w:val="28"/>
          <w:rtl/>
        </w:rPr>
        <w:t xml:space="preserve">611 . قم؛ فیضیه؛ شماره نسخه: 567</w:t>
      </w:r>
    </w:p>
    <w:p>
      <w:pPr>
        <w:pStyle w:val="BookText"/>
      </w:pPr>
      <w:r>
        <w:rPr>
          <w:rFonts w:ascii="IRNazanin" w:hAnsi="IRNazanin" w:eastAsia="IRNazanin" w:cs="IRNazanin"/>
          <w:lang w:bidi="fa-IR"/>
          <w:color w:val="111111"/>
          <w:sz w:val="28"/>
          <w:szCs w:val="28"/>
          <w:rtl/>
        </w:rPr>
        <w:t xml:space="preserve">خط: نسخ، کا: محمد زمان بن رضا حسینی ،طالقانی بی تا، 320گ، 14 سطر ، اندازه: 13</w:t>
      </w:r>
      <w:r>
        <w:rPr>
          <w:rFonts w:ascii="Times New Roman" w:hAnsi="Times New Roman" w:eastAsia="Times New Roman" w:cs="Times New Roman"/>
          <w:lang w:val="en-US" w:bidi="en-US"/>
          <w:color w:val="111111"/>
          <w:sz w:val="28"/>
          <w:szCs w:val="28"/>
          <w:rtl/>
        </w:rPr>
        <w:t xml:space="preserve">× 24</w:t>
      </w:r>
      <w:r>
        <w:rPr>
          <w:rFonts w:ascii="IRNazanin" w:hAnsi="IRNazanin" w:eastAsia="IRNazanin" w:cs="IRNazanin"/>
          <w:lang w:bidi="fa-IR"/>
          <w:color w:val="111111"/>
          <w:sz w:val="28"/>
          <w:szCs w:val="28"/>
          <w:rtl/>
        </w:rPr>
        <w:t xml:space="preserve">سم [ف: 1 -8]</w:t>
      </w:r>
    </w:p>
    <w:p>
      <w:pPr>
        <w:pStyle w:val="BookText"/>
      </w:pPr>
      <w:r>
        <w:rPr>
          <w:rFonts w:ascii="IRNazanin" w:hAnsi="IRNazanin" w:eastAsia="IRNazanin" w:cs="IRNazanin"/>
          <w:lang w:bidi="fa-IR"/>
          <w:color w:val="111111"/>
          <w:sz w:val="28"/>
          <w:szCs w:val="28"/>
          <w:rtl/>
        </w:rPr>
        <w:t xml:space="preserve">612 . قم؛ فیضیه؛ شماره نسخه: 451</w:t>
      </w:r>
    </w:p>
    <w:p>
      <w:pPr>
        <w:pStyle w:val="BookText"/>
      </w:pPr>
      <w:r>
        <w:rPr>
          <w:rFonts w:ascii="IRNazanin" w:hAnsi="IRNazanin" w:eastAsia="IRNazanin" w:cs="IRNazanin"/>
          <w:lang w:bidi="fa-IR"/>
          <w:color w:val="111111"/>
          <w:sz w:val="28"/>
          <w:szCs w:val="28"/>
          <w:rtl/>
        </w:rPr>
        <w:t xml:space="preserve">خط: نستعلیق، کا: عباس بن سیف الدین ،مازندرانی بی تا: افتادگی: آغاز ؛ 215گ، 15 سطر ، اندازه: 15 </w:t>
      </w:r>
      <w:r>
        <w:rPr>
          <w:rFonts w:ascii="Times New Roman" w:hAnsi="Times New Roman" w:eastAsia="Times New Roman" w:cs="Times New Roman"/>
          <w:lang w:val="en-US" w:bidi="en-US"/>
          <w:color w:val="111111"/>
          <w:sz w:val="28"/>
          <w:szCs w:val="28"/>
          <w:rtl/>
        </w:rPr>
        <w:t xml:space="preserve">×24</w:t>
      </w:r>
      <w:r>
        <w:rPr>
          <w:rFonts w:ascii="IRNazanin" w:hAnsi="IRNazanin" w:eastAsia="IRNazanin" w:cs="IRNazanin"/>
          <w:lang w:bidi="fa-IR"/>
          <w:color w:val="111111"/>
          <w:sz w:val="28"/>
          <w:szCs w:val="28"/>
          <w:rtl/>
        </w:rPr>
        <w:t xml:space="preserve">سم [ ف : 1 - 7]</w:t>
      </w:r>
    </w:p>
    <w:p>
      <w:pPr>
        <w:pStyle w:val="BookText"/>
      </w:pPr>
      <w:r>
        <w:rPr>
          <w:rFonts w:ascii="Amiri" w:hAnsi="Amiri" w:eastAsia="Amiri" w:cs="Amiri"/>
          <w:lang w:bidi="ar-SA"/>
          <w:color w:val="111111"/>
          <w:sz w:val="28"/>
          <w:szCs w:val="28"/>
          <w:rtl/>
        </w:rPr>
        <w:t xml:space="preserve">613 . قم؛ فيضيه؛ شماره نسخه: 452</w:t>
      </w:r>
    </w:p>
    <w:p>
      <w:pPr>
        <w:pStyle w:val="BookText"/>
      </w:pPr>
      <w:r>
        <w:rPr>
          <w:rFonts w:ascii="IRNazanin" w:hAnsi="IRNazanin" w:eastAsia="IRNazanin" w:cs="IRNazanin"/>
          <w:lang w:bidi="fa-IR"/>
          <w:color w:val="111111"/>
          <w:sz w:val="28"/>
          <w:szCs w:val="28"/>
          <w:rtl/>
        </w:rPr>
        <w:t xml:space="preserve">خط: نسخ، بی کا، بی تا؛ 221گ، 18 سطر ، اندازه: 13</w:t>
      </w:r>
      <w:r>
        <w:rPr>
          <w:rFonts w:ascii="Times New Roman" w:hAnsi="Times New Roman" w:eastAsia="Times New Roman" w:cs="Times New Roman"/>
          <w:lang w:val="en-US" w:bidi="en-US"/>
          <w:color w:val="111111"/>
          <w:sz w:val="28"/>
          <w:szCs w:val="28"/>
          <w:rtl/>
        </w:rPr>
        <w:t xml:space="preserve">×25</w:t>
      </w:r>
      <w:r>
        <w:rPr>
          <w:rFonts w:ascii="IRNazanin" w:hAnsi="IRNazanin" w:eastAsia="IRNazanin" w:cs="IRNazanin"/>
          <w:lang w:bidi="fa-IR"/>
          <w:color w:val="111111"/>
          <w:sz w:val="28"/>
          <w:szCs w:val="28"/>
          <w:rtl/>
        </w:rPr>
        <w:t xml:space="preserve">سم [ ف: 1- 8]</w:t>
      </w:r>
    </w:p>
    <w:p>
      <w:pPr>
        <w:pStyle w:val="BookText"/>
      </w:pPr>
      <w:r>
        <w:rPr>
          <w:rFonts w:ascii="IRNazanin" w:hAnsi="IRNazanin" w:eastAsia="IRNazanin" w:cs="IRNazanin"/>
          <w:lang w:bidi="fa-IR"/>
          <w:color w:val="111111"/>
          <w:sz w:val="28"/>
          <w:szCs w:val="28"/>
          <w:rtl/>
        </w:rPr>
        <w:t xml:space="preserve">614 . قم؛ فیضیه شماره نسخه: 1821</w:t>
      </w:r>
    </w:p>
    <w:p>
      <w:pPr>
        <w:pStyle w:val="BookText"/>
      </w:pPr>
      <w:r>
        <w:rPr>
          <w:rFonts w:ascii="IRNazanin" w:hAnsi="IRNazanin" w:eastAsia="IRNazanin" w:cs="IRNazanin"/>
          <w:lang w:bidi="fa-IR"/>
          <w:color w:val="111111"/>
          <w:sz w:val="28"/>
          <w:szCs w:val="28"/>
          <w:rtl/>
        </w:rPr>
        <w:t xml:space="preserve">خط: نسخ، بی کا، بی تا:  351گ، 14 سطر ، اندازه: 12</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 [ف: 1- 9]</w:t>
      </w:r>
    </w:p>
    <w:p>
      <w:pPr>
        <w:pStyle w:val="BookText"/>
      </w:pPr>
      <w:r>
        <w:rPr>
          <w:rFonts w:ascii="Amiri" w:hAnsi="Amiri" w:eastAsia="Amiri" w:cs="Amiri"/>
          <w:lang w:bidi="ar-SA"/>
          <w:color w:val="111111"/>
          <w:sz w:val="28"/>
          <w:szCs w:val="28"/>
          <w:rtl/>
        </w:rPr>
        <w:t xml:space="preserve">615 . قم؛ فيضيه؛ شماره نسخه: 2079</w:t>
      </w:r>
    </w:p>
    <w:p>
      <w:pPr>
        <w:pStyle w:val="BookText"/>
      </w:pPr>
      <w:r>
        <w:rPr>
          <w:rFonts w:ascii="IRNazanin" w:hAnsi="IRNazanin" w:eastAsia="IRNazanin" w:cs="IRNazanin"/>
          <w:lang w:bidi="fa-IR"/>
          <w:color w:val="111111"/>
          <w:sz w:val="28"/>
          <w:szCs w:val="28"/>
          <w:rtl/>
        </w:rPr>
        <w:t xml:space="preserve">خط: نسخ، بی کا: بی تا؛ افتادگی: آغاز ؛ 116گ ، 14 سطر ، اندازه: 15</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1 - 9]</w:t>
      </w:r>
    </w:p>
    <w:p>
      <w:pPr>
        <w:pStyle w:val="BookText"/>
      </w:pPr>
      <w:r>
        <w:rPr>
          <w:rFonts w:ascii="IRNazanin" w:hAnsi="IRNazanin" w:eastAsia="IRNazanin" w:cs="IRNazanin"/>
          <w:lang w:bidi="fa-IR"/>
          <w:color w:val="111111"/>
          <w:sz w:val="28"/>
          <w:szCs w:val="28"/>
          <w:rtl/>
        </w:rPr>
        <w:t xml:space="preserve">616 . قم؛ فیضیه شماره نسخه: 1451</w:t>
      </w:r>
    </w:p>
    <w:p>
      <w:pPr>
        <w:pStyle w:val="BookText"/>
      </w:pPr>
      <w:r>
        <w:rPr>
          <w:rFonts w:ascii="IRNazanin" w:hAnsi="IRNazanin" w:eastAsia="IRNazanin" w:cs="IRNazanin"/>
          <w:lang w:bidi="fa-IR"/>
          <w:color w:val="111111"/>
          <w:sz w:val="28"/>
          <w:szCs w:val="28"/>
          <w:rtl/>
        </w:rPr>
        <w:t xml:space="preserve">خط: نسخ، بی کا، بی تا؛ افتادگی: انجام؛ 280گ، 14 سطر ، اندازه: 11 </w:t>
      </w:r>
      <w:r>
        <w:rPr>
          <w:rFonts w:ascii="Times New Roman" w:hAnsi="Times New Roman" w:eastAsia="Times New Roman" w:cs="Times New Roman"/>
          <w:lang w:val="en-US" w:bidi="en-US"/>
          <w:color w:val="111111"/>
          <w:sz w:val="28"/>
          <w:szCs w:val="28"/>
          <w:rtl/>
        </w:rPr>
        <w:t xml:space="preserve">× 18</w:t>
      </w:r>
      <w:r>
        <w:rPr>
          <w:rFonts w:ascii="IRNazanin" w:hAnsi="IRNazanin" w:eastAsia="IRNazanin" w:cs="IRNazanin"/>
          <w:lang w:bidi="fa-IR"/>
          <w:color w:val="111111"/>
          <w:sz w:val="28"/>
          <w:szCs w:val="28"/>
          <w:rtl/>
        </w:rPr>
        <w:t xml:space="preserve">سم [ف: 1 - 8]</w:t>
      </w:r>
    </w:p>
    <w:p>
      <w:pPr>
        <w:pStyle w:val="BookText"/>
      </w:pPr>
      <w:r>
        <w:rPr>
          <w:rFonts w:ascii="IRNazanin" w:hAnsi="IRNazanin" w:eastAsia="IRNazanin" w:cs="IRNazanin"/>
          <w:lang w:bidi="fa-IR"/>
          <w:color w:val="111111"/>
          <w:sz w:val="28"/>
          <w:szCs w:val="28"/>
          <w:rtl/>
        </w:rPr>
        <w:t xml:space="preserve">617 . قم؛ مسجد اعظم؛ شماره نسخه: 4109/4</w:t>
      </w:r>
    </w:p>
    <w:p>
      <w:pPr>
        <w:pStyle w:val="BookText"/>
      </w:pPr>
      <w:r>
        <w:rPr>
          <w:rFonts w:ascii="Amiri" w:hAnsi="Amiri" w:eastAsia="Amiri" w:cs="Amiri"/>
          <w:lang w:bidi="ar-SA"/>
          <w:color w:val="111111"/>
          <w:sz w:val="28"/>
          <w:szCs w:val="28"/>
          <w:rtl/>
        </w:rPr>
        <w:t xml:space="preserve">آغاز: كتاب يحتوى النكت البديعة فى مسائل الشريعة على وجه و الايجاز والاختصار خال عن التطويل والاكثار فاجبت مطلوبه؛ انجام: و لايجب على المشترى القبض من البايع و لو تعيب بغير فعل المشترى او بفعله قبل الطلب اخذ الشفيع بالجميع او ترك.</w:t>
      </w:r>
    </w:p>
    <w:p>
      <w:pPr>
        <w:pStyle w:val="BookText"/>
      </w:pPr>
      <w:r>
        <w:rPr>
          <w:rFonts w:ascii="IRNazanin" w:hAnsi="IRNazanin" w:eastAsia="IRNazanin" w:cs="IRNazanin"/>
          <w:lang w:bidi="fa-IR"/>
          <w:color w:val="111111"/>
          <w:sz w:val="28"/>
          <w:szCs w:val="28"/>
          <w:rtl/>
        </w:rPr>
        <w:t xml:space="preserve">خطبه را ندارد؛ خط: نسخ زیبا، بی کا، بی تا؛ افتادگی: انجام جلد: گالینگور سبز،عطف تیماج زرشکی، 101گ (105ر- 205پ) 15 سطر ، اندازه: 12</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سم [ف مخ: 1 - 131]</w:t>
      </w:r>
    </w:p>
    <w:p>
      <w:pPr>
        <w:pStyle w:val="BookText"/>
      </w:pPr>
      <w:r>
        <w:rPr>
          <w:rFonts w:ascii="IRNazanin" w:hAnsi="IRNazanin" w:eastAsia="IRNazanin" w:cs="IRNazanin"/>
          <w:lang w:bidi="fa-IR"/>
          <w:color w:val="111111"/>
          <w:sz w:val="28"/>
          <w:szCs w:val="28"/>
          <w:rtl/>
        </w:rPr>
        <w:t xml:space="preserve">618 . قم؛ مسجد اعظم؛ شماره نسخه 110</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فوائدی در اسامی قراء و چند روایت در «ذکری»؛ مهر: «محمد رسول الله و کفی بالله و کفی بالله شهيداً» (هشت گوش) جلد: تیماج قهوه ای روغنی عطف تیماج مشکی با ترنج  و سر، 239گ، 12 سطر ، اندازه: 19</w:t>
      </w:r>
      <w:r>
        <w:rPr>
          <w:rFonts w:ascii="Times New Roman" w:hAnsi="Times New Roman" w:eastAsia="Times New Roman" w:cs="Times New Roman"/>
          <w:lang w:val="en-US" w:bidi="en-US"/>
          <w:color w:val="111111"/>
          <w:sz w:val="28"/>
          <w:szCs w:val="28"/>
          <w:rtl/>
        </w:rPr>
        <w:t xml:space="preserve">×28</w:t>
      </w:r>
      <w:r>
        <w:rPr>
          <w:rFonts w:ascii="IRNazanin" w:hAnsi="IRNazanin" w:eastAsia="IRNazanin" w:cs="IRNazanin"/>
          <w:lang w:bidi="fa-IR"/>
          <w:color w:val="111111"/>
          <w:sz w:val="28"/>
          <w:szCs w:val="28"/>
          <w:rtl/>
        </w:rPr>
        <w:t xml:space="preserve">سم [ف مخ: 1-128]</w:t>
      </w:r>
    </w:p>
    <w:p>
      <w:pPr>
        <w:pStyle w:val="BookText"/>
      </w:pPr>
      <w:r>
        <w:rPr>
          <w:rFonts w:ascii="IRNazanin" w:hAnsi="IRNazanin" w:eastAsia="IRNazanin" w:cs="IRNazanin"/>
          <w:lang w:bidi="fa-IR"/>
          <w:color w:val="111111"/>
          <w:sz w:val="28"/>
          <w:szCs w:val="28"/>
          <w:rtl/>
        </w:rPr>
        <w:t xml:space="preserve">619 . قم؛ مسجد اعظم؛ شماره نسخه: 852</w:t>
      </w:r>
    </w:p>
    <w:p>
      <w:pPr>
        <w:pStyle w:val="BookText"/>
      </w:pPr>
      <w:r>
        <w:rPr>
          <w:rFonts w:ascii="IRNazanin" w:hAnsi="IRNazanin" w:eastAsia="IRNazanin" w:cs="IRNazanin"/>
          <w:lang w:bidi="fa-IR"/>
          <w:color w:val="111111"/>
          <w:sz w:val="28"/>
          <w:szCs w:val="28"/>
          <w:rtl/>
        </w:rPr>
        <w:t xml:space="preserve">آغاز: صانعاً ولو استأجره لعمل فاعتقله ففى ضمان الاجرة نظر ولو غصب دابه او عبد اضمن الاجرة وان لم يستعملها ولا يضمن الخمر لوغصبها من مسلم؛ انجام: فصل يحرم الاكل على مائدة تشرب عليها شي من المسكرات والفقاع الاكل على الشبع وربما حرم والاكل باليسار مع قدرة اليمين والاكل متكياً از عطایا تا اطعمه خط: نسخ، بی کا بی تا؛ افتادگی: آغاز و انجام؛ :جلد: گالینگور قهوه ای بدون مقوا، 60گ، 17 سطر ، اندازه:</w:t>
      </w:r>
    </w:p>
    <w:p>
      <w:pPr>
        <w:pStyle w:val="BookText"/>
      </w:pPr>
      <w:r>
        <w:rPr>
          <w:rFonts w:ascii="Times New Roman" w:hAnsi="Times New Roman" w:eastAsia="Times New Roman" w:cs="Times New Roman"/>
          <w:lang w:val="en-US" w:bidi="en-US"/>
          <w:color w:val="111111"/>
          <w:sz w:val="28"/>
          <w:szCs w:val="28"/>
          <w:rtl/>
        </w:rPr>
        <w:t xml:space="preserve">12×19</w:t>
      </w:r>
      <w:r>
        <w:rPr>
          <w:rFonts w:ascii="IRNazanin" w:hAnsi="IRNazanin" w:eastAsia="IRNazanin" w:cs="IRNazanin"/>
          <w:lang w:bidi="fa-IR"/>
          <w:color w:val="111111"/>
          <w:sz w:val="28"/>
          <w:szCs w:val="28"/>
          <w:rtl/>
        </w:rPr>
        <w:t xml:space="preserve">سم [ف مخ: 1 - 130]</w:t>
      </w:r>
    </w:p>
    <w:p>
      <w:pPr>
        <w:pStyle w:val="BookText"/>
      </w:pPr>
      <w:r>
        <w:rPr>
          <w:rFonts w:ascii="IRNazanin" w:hAnsi="IRNazanin" w:eastAsia="IRNazanin" w:cs="IRNazanin"/>
          <w:lang w:bidi="fa-IR"/>
          <w:color w:val="111111"/>
          <w:sz w:val="28"/>
          <w:szCs w:val="28"/>
          <w:rtl/>
        </w:rPr>
        <w:t xml:space="preserve">620 . قم؛ مسجد اعظم؛ شماره نسخه: 1188</w:t>
      </w:r>
    </w:p>
    <w:p>
      <w:pPr>
        <w:pStyle w:val="BookText"/>
      </w:pPr>
      <w:r>
        <w:rPr>
          <w:rFonts w:ascii="Amiri" w:hAnsi="Amiri" w:eastAsia="Amiri" w:cs="Amiri"/>
          <w:lang w:bidi="ar-SA"/>
          <w:color w:val="111111"/>
          <w:sz w:val="28"/>
          <w:szCs w:val="28"/>
          <w:rtl/>
        </w:rPr>
        <w:t xml:space="preserve">آغاز: برابر؛ انجام: و لو جنت دفعها المولى ان شاء ونكها بالاقل من الارش والقيمة على رأى و لوجنى عليها فالارش للمولى ومن غصبها ضمنها</w:t>
      </w:r>
    </w:p>
    <w:p>
      <w:pPr>
        <w:pStyle w:val="BookText"/>
      </w:pPr>
      <w:r>
        <w:rPr>
          <w:rFonts w:ascii="IRNazanin" w:hAnsi="IRNazanin" w:eastAsia="IRNazanin" w:cs="IRNazanin"/>
          <w:lang w:bidi="fa-IR"/>
          <w:color w:val="111111"/>
          <w:sz w:val="28"/>
          <w:szCs w:val="28"/>
          <w:rtl/>
        </w:rPr>
        <w:t xml:space="preserve">خط ،نسخ، بی کا، بی تا :جلد: تیماج قهوه ای روغنی مجدول با عطف و گوشه های تیماج ،زرشکی 256گ، مختلف السطر ،اندازه: 12/5</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مخ: 1- 130]</w:t>
      </w:r>
    </w:p>
    <w:p>
      <w:pPr>
        <w:pStyle w:val="BookText"/>
      </w:pPr>
      <w:r>
        <w:rPr>
          <w:rFonts w:ascii="IRNazanin" w:hAnsi="IRNazanin" w:eastAsia="IRNazanin" w:cs="IRNazanin"/>
          <w:lang w:bidi="fa-IR"/>
          <w:color w:val="111111"/>
          <w:sz w:val="28"/>
          <w:szCs w:val="28"/>
          <w:rtl/>
        </w:rPr>
        <w:t xml:space="preserve">621.قم؛ مسجد اعظم؛ شماره نسخه: 1952</w:t>
      </w:r>
    </w:p>
    <w:p>
      <w:pPr>
        <w:pStyle w:val="BookText"/>
      </w:pPr>
      <w:r>
        <w:rPr>
          <w:rFonts w:ascii="IRNazanin" w:hAnsi="IRNazanin" w:eastAsia="IRNazanin" w:cs="IRNazanin"/>
          <w:lang w:bidi="fa-IR"/>
          <w:color w:val="111111"/>
          <w:sz w:val="28"/>
          <w:szCs w:val="28"/>
          <w:rtl/>
        </w:rPr>
        <w:t xml:space="preserve">آغاز: بهيئة مشروعة تعنيت كنذر صلوة جعفر عليه السلام ولو نذر العيد المندوب فى وقتيه ولو نذر هيئته في غير وقته فالوجه عدم الانعقاد و كذا الكسوف و لوقيد العدد؛ انجام :ولا يملك الرجل الاخوات والعمات والخالات و ان علو و بنات الاخ و بنات و الاخت و ان نزلن فان ملک احد احد هولاء انعتق في الحال و لوملك البعض انعتق ما يملكه</w:t>
      </w:r>
    </w:p>
    <w:p>
      <w:pPr>
        <w:pStyle w:val="BookText"/>
      </w:pPr>
      <w:r>
        <w:rPr>
          <w:rFonts w:ascii="IRNazanin" w:hAnsi="IRNazanin" w:eastAsia="IRNazanin" w:cs="IRNazanin"/>
          <w:lang w:bidi="fa-IR"/>
          <w:color w:val="111111"/>
          <w:sz w:val="28"/>
          <w:szCs w:val="28"/>
          <w:rtl/>
        </w:rPr>
        <w:t xml:space="preserve">خط: نسخ، بی کا، بی تا؛ افتادگی: آغاز و انجام؛ جلد: مقوا، 140گ ،140 گ، 18 سطر ، اندازه: 14</w:t>
      </w:r>
      <w:r>
        <w:rPr>
          <w:rFonts w:ascii="Times New Roman" w:hAnsi="Times New Roman" w:eastAsia="Times New Roman" w:cs="Times New Roman"/>
          <w:lang w:val="en-US" w:bidi="en-US"/>
          <w:color w:val="111111"/>
          <w:sz w:val="28"/>
          <w:szCs w:val="28"/>
          <w:rtl/>
        </w:rPr>
        <w:t xml:space="preserve">×26</w:t>
      </w:r>
      <w:r>
        <w:rPr>
          <w:rFonts w:ascii="IRNazanin" w:hAnsi="IRNazanin" w:eastAsia="IRNazanin" w:cs="IRNazanin"/>
          <w:lang w:bidi="fa-IR"/>
          <w:color w:val="111111"/>
          <w:sz w:val="28"/>
          <w:szCs w:val="28"/>
          <w:rtl/>
        </w:rPr>
        <w:t xml:space="preserve">سم [ف مخ: 1- 130]</w:t>
      </w:r>
    </w:p>
    <w:p>
      <w:pPr>
        <w:pStyle w:val="BookText"/>
      </w:pPr>
      <w:r>
        <w:rPr>
          <w:rFonts w:ascii="IRNazanin" w:hAnsi="IRNazanin" w:eastAsia="IRNazanin" w:cs="IRNazanin"/>
          <w:lang w:bidi="fa-IR"/>
          <w:color w:val="111111"/>
          <w:sz w:val="28"/>
          <w:szCs w:val="28"/>
          <w:rtl/>
        </w:rPr>
        <w:t xml:space="preserve">622 . قم؛ مسجد اعظم؛ شماره نسخه: 1766</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برگ پایانی به وسیله غلام حسین تهرانی نونویس شده است؛ جلد: مقوا عطف تیماج قهوه ای 139گ 19 سطر ، اندازه: 17 </w:t>
      </w:r>
      <w:r>
        <w:rPr>
          <w:rFonts w:ascii="Times New Roman" w:hAnsi="Times New Roman" w:eastAsia="Times New Roman" w:cs="Times New Roman"/>
          <w:lang w:val="en-US" w:bidi="en-US"/>
          <w:color w:val="111111"/>
          <w:sz w:val="28"/>
          <w:szCs w:val="28"/>
          <w:rtl/>
        </w:rPr>
        <w:t xml:space="preserve">×26 </w:t>
      </w:r>
      <w:r>
        <w:rPr>
          <w:rFonts w:ascii="IRNazanin" w:hAnsi="IRNazanin" w:eastAsia="IRNazanin" w:cs="IRNazanin"/>
          <w:lang w:bidi="fa-IR"/>
          <w:color w:val="111111"/>
          <w:sz w:val="28"/>
          <w:szCs w:val="28"/>
          <w:rtl/>
        </w:rPr>
        <w:t xml:space="preserve">سم [ف مخ: 1 - 129]</w:t>
      </w:r>
    </w:p>
    <w:p>
      <w:pPr>
        <w:pStyle w:val="BookText"/>
      </w:pPr>
      <w:r>
        <w:rPr>
          <w:rFonts w:ascii="IRNazanin" w:hAnsi="IRNazanin" w:eastAsia="IRNazanin" w:cs="IRNazanin"/>
          <w:lang w:bidi="fa-IR"/>
          <w:color w:val="111111"/>
          <w:sz w:val="28"/>
          <w:szCs w:val="28"/>
          <w:rtl/>
        </w:rPr>
        <w:t xml:space="preserve">623 قم؛ مسجد اعظم؛ شماره نسخه: 1307</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:جلد: تیماج مشکی دارای ترنج با سر، مجدول ،گرهی 333گ مختلف السطر ، اندازه: 12/5</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مخ: 1 - 129]</w:t>
      </w:r>
    </w:p>
    <w:p>
      <w:pPr>
        <w:pStyle w:val="BookText"/>
      </w:pPr>
      <w:r>
        <w:rPr>
          <w:rFonts w:ascii="IRNazanin" w:hAnsi="IRNazanin" w:eastAsia="IRNazanin" w:cs="IRNazanin"/>
          <w:lang w:bidi="fa-IR"/>
          <w:color w:val="111111"/>
          <w:sz w:val="28"/>
          <w:szCs w:val="28"/>
          <w:rtl/>
        </w:rPr>
        <w:t xml:space="preserve">624 . قم؛ مسجد اعظم؛ شماره نسخه: 1775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آغاز: برابر؛ انجام: فی زمان شریف او مکان شریف عوقب زیادة يراها الحاكم. الجلد خاصة وهو ثابت فى حق المرأة غير المحصنة وغير المملک علی رای ویجلد</w:t>
      </w:r>
    </w:p>
    <w:p>
      <w:pPr>
        <w:pStyle w:val="BookText"/>
      </w:pPr>
      <w:r>
        <w:rPr>
          <w:rFonts w:ascii="IRNazanin" w:hAnsi="IRNazanin" w:eastAsia="IRNazanin" w:cs="IRNazanin"/>
          <w:lang w:bidi="fa-IR"/>
          <w:color w:val="111111"/>
          <w:sz w:val="28"/>
          <w:szCs w:val="28"/>
          <w:rtl/>
        </w:rPr>
        <w:t xml:space="preserve">خط: نسخ، بی کا، بی تا؛ افتادگی: انجام؛ جلد: مقوا، 135گ، سطر ، اندازه: 18 </w:t>
      </w:r>
      <w:r>
        <w:rPr>
          <w:rFonts w:ascii="Times New Roman" w:hAnsi="Times New Roman" w:eastAsia="Times New Roman" w:cs="Times New Roman"/>
          <w:lang w:val="en-US" w:bidi="en-US"/>
          <w:color w:val="111111"/>
          <w:sz w:val="28"/>
          <w:szCs w:val="28"/>
          <w:rtl/>
        </w:rPr>
        <w:t xml:space="preserve">×24 </w:t>
      </w:r>
      <w:r>
        <w:rPr>
          <w:rFonts w:ascii="IRNazanin" w:hAnsi="IRNazanin" w:eastAsia="IRNazanin" w:cs="IRNazanin"/>
          <w:lang w:bidi="fa-IR"/>
          <w:color w:val="111111"/>
          <w:sz w:val="28"/>
          <w:szCs w:val="28"/>
          <w:rtl/>
        </w:rPr>
        <w:t xml:space="preserve">سم [ف مخ: 1 - 130]</w:t>
      </w:r>
    </w:p>
    <w:p>
      <w:pPr>
        <w:pStyle w:val="BookText"/>
      </w:pPr>
      <w:r>
        <w:rPr>
          <w:rFonts w:ascii="IRNazanin" w:hAnsi="IRNazanin" w:eastAsia="IRNazanin" w:cs="IRNazanin"/>
          <w:lang w:bidi="fa-IR"/>
          <w:color w:val="111111"/>
          <w:sz w:val="28"/>
          <w:szCs w:val="28"/>
          <w:rtl/>
        </w:rPr>
        <w:t xml:space="preserve">625 .قم؛ طبسی؛ شماره نسخه: 103</w:t>
      </w:r>
    </w:p>
    <w:p>
      <w:pPr>
        <w:pStyle w:val="BookText"/>
      </w:pPr>
      <w:r>
        <w:rPr>
          <w:rFonts w:ascii="IRNazanin" w:hAnsi="IRNazanin" w:eastAsia="IRNazanin" w:cs="IRNazanin"/>
          <w:lang w:bidi="fa-IR"/>
          <w:color w:val="111111"/>
          <w:sz w:val="28"/>
          <w:szCs w:val="28"/>
          <w:rtl/>
        </w:rPr>
        <w:t xml:space="preserve">آغاز: من قیام و ركعتين من جلوس ولا يعيد لوذكر ما فعل و ان كان في الوقت. .. خاتمة من ترك من المكلفين الصلوة مستحلاً ممن ولد على الفطرة قتل و لو كان مسلماً. .. المقصد الثاني الجماعة و تجب فى الجمعة و العيدين؛ انجام: كلما فيه دية الرجل . ففيه من المرأة ديتها و من الذمى ديته و من العبد والامة</w:t>
      </w:r>
    </w:p>
    <w:p>
      <w:pPr>
        <w:pStyle w:val="BookText"/>
      </w:pPr>
      <w:r>
        <w:rPr>
          <w:rFonts w:ascii="IRNazanin" w:hAnsi="IRNazanin" w:eastAsia="IRNazanin" w:cs="IRNazanin"/>
          <w:lang w:bidi="fa-IR"/>
          <w:color w:val="111111"/>
          <w:sz w:val="28"/>
          <w:szCs w:val="28"/>
          <w:rtl/>
        </w:rPr>
        <w:t xml:space="preserve">كتاب الصلاة تا دیات؛ خط: نسخ، بی كا، بی تا؛ افتادگی: آغاز و انجام؛ محشی با نشان «ع ل» و «فخر الدین» دارای علامت بلاغ ،271گ، 15 سطر ، اندازه: 15/5</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مخ: 1-37]</w:t>
      </w:r>
    </w:p>
    <w:p>
      <w:pPr>
        <w:pStyle w:val="BookText"/>
      </w:pPr>
      <w:r>
        <w:rPr>
          <w:rFonts w:ascii="IRNazanin" w:hAnsi="IRNazanin" w:eastAsia="IRNazanin" w:cs="IRNazanin"/>
          <w:lang w:bidi="fa-IR"/>
          <w:color w:val="111111"/>
          <w:sz w:val="28"/>
          <w:szCs w:val="28"/>
          <w:rtl/>
        </w:rPr>
        <w:t xml:space="preserve">626 . قم؛ گلپایگانی؛ شماره نسخه: 7809-39/189</w:t>
      </w:r>
    </w:p>
    <w:p>
      <w:pPr>
        <w:pStyle w:val="BookText"/>
      </w:pPr>
      <w:r>
        <w:rPr>
          <w:rFonts w:ascii="IRNazanin" w:hAnsi="IRNazanin" w:eastAsia="IRNazanin" w:cs="IRNazanin"/>
          <w:lang w:bidi="fa-IR"/>
          <w:color w:val="111111"/>
          <w:sz w:val="28"/>
          <w:szCs w:val="28"/>
          <w:rtl/>
        </w:rPr>
        <w:t xml:space="preserve">آغاز: برابر؛ انجام: الثانى الجارى من المطلق ولا ينجس الابتغییر لونه او الطاهر عليه</w:t>
      </w:r>
    </w:p>
    <w:p>
      <w:pPr>
        <w:pStyle w:val="BookText"/>
      </w:pPr>
      <w:r>
        <w:rPr>
          <w:rFonts w:ascii="IRNazanin" w:hAnsi="IRNazanin" w:eastAsia="IRNazanin" w:cs="IRNazanin"/>
          <w:lang w:bidi="fa-IR"/>
          <w:color w:val="111111"/>
          <w:sz w:val="28"/>
          <w:szCs w:val="28"/>
          <w:rtl/>
        </w:rPr>
        <w:t xml:space="preserve">خط: نسخ، بی کا، بی تا؛ افتادگی: انجام :جلد: مقوا عطف گالینگور قهوه ای، 17گ، 13 سطر ، اندازه: 12</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سم [ف: 1-305]</w:t>
      </w:r>
    </w:p>
    <w:p>
      <w:pPr>
        <w:pStyle w:val="BookText"/>
      </w:pPr>
      <w:r>
        <w:rPr>
          <w:rFonts w:ascii="IRNazanin" w:hAnsi="IRNazanin" w:eastAsia="IRNazanin" w:cs="IRNazanin"/>
          <w:lang w:bidi="fa-IR"/>
          <w:color w:val="111111"/>
          <w:sz w:val="28"/>
          <w:szCs w:val="28"/>
          <w:rtl/>
        </w:rPr>
        <w:t xml:space="preserve">627 . قم؛ گلپایگانی؛ شماره نسخه:7781/1-39/161</w:t>
      </w:r>
    </w:p>
    <w:p>
      <w:pPr>
        <w:pStyle w:val="BookText"/>
      </w:pPr>
      <w:r>
        <w:rPr>
          <w:rFonts w:ascii="IRNazanin" w:hAnsi="IRNazanin" w:eastAsia="IRNazanin" w:cs="IRNazanin"/>
          <w:lang w:bidi="fa-IR"/>
          <w:color w:val="111111"/>
          <w:sz w:val="28"/>
          <w:szCs w:val="28"/>
          <w:rtl/>
        </w:rPr>
        <w:t xml:space="preserve">آغاز: المجهول او بالفلوس او بالنص على اشكال او بالمغشوشه اوبالدين و ان كان على الفاصل او بثمن ما بيعه. .. المضاربة يكون- الربح للمالك وعليه الاجرة المقصد السابع في الوديعة و هي عقد جايز من الطرفين وتبطل بالموت والخبون ؛انجام: الا ان يملکها حائضاً او من امراة او ايسة او حاملاً او يخبر الثقة بالاستبراء اويعتقها</w:t>
      </w:r>
    </w:p>
    <w:p>
      <w:pPr>
        <w:pStyle w:val="BookText"/>
      </w:pPr>
      <w:r>
        <w:rPr>
          <w:rFonts w:ascii="IRNazanin" w:hAnsi="IRNazanin" w:eastAsia="IRNazanin" w:cs="IRNazanin"/>
          <w:lang w:bidi="fa-IR"/>
          <w:color w:val="111111"/>
          <w:sz w:val="28"/>
          <w:szCs w:val="28"/>
          <w:rtl/>
        </w:rPr>
        <w:t xml:space="preserve">مضاربه و ودیعه تا نکاح؛ خط: نسخ، بی کا، بی تا؛ افتادگی: آغازو انجام؛ مصحح، محشی به نقل از «تذکره» و «شرح» و «ع ل» «زرین» جلد: مقوای سفید، عطف گالینگور قهوه ای، 23گ، 16سطر ، اندازه: 15</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1 - 307]</w:t>
      </w:r>
    </w:p>
    <w:p>
      <w:pPr>
        <w:pStyle w:val="BookText"/>
      </w:pPr>
      <w:r>
        <w:rPr>
          <w:rFonts w:ascii="IRNazanin" w:hAnsi="IRNazanin" w:eastAsia="IRNazanin" w:cs="IRNazanin"/>
          <w:lang w:bidi="fa-IR"/>
          <w:color w:val="111111"/>
          <w:sz w:val="28"/>
          <w:szCs w:val="28"/>
          <w:rtl/>
        </w:rPr>
        <w:t xml:space="preserve">628.قم؛ گلپایگانی؛ شماره نسخه: 3087-16/97</w:t>
      </w:r>
    </w:p>
    <w:p>
      <w:pPr>
        <w:pStyle w:val="BookText"/>
      </w:pPr>
      <w:r>
        <w:rPr>
          <w:rFonts w:ascii="Amiri" w:hAnsi="Amiri" w:eastAsia="Amiri" w:cs="Amiri"/>
          <w:lang w:bidi="ar-SA"/>
          <w:color w:val="111111"/>
          <w:sz w:val="28"/>
          <w:szCs w:val="28"/>
          <w:rtl/>
        </w:rPr>
        <w:t xml:space="preserve">آغاز: اذن والده و الزوجة بدون اذن الزوج و الضيف بدون اذن  المضيف و النافلة فى السفر الا ايام الحاجة بالمدينة؛ انجام:فان صلح على غير عيب فاربعة اخماس دية كسره و في موضحته ربع دية كسره و في رضه ثلث ديته</w:t>
      </w:r>
    </w:p>
    <w:p>
      <w:pPr>
        <w:pStyle w:val="BookText"/>
      </w:pPr>
      <w:r>
        <w:rPr>
          <w:rFonts w:ascii="IRNazanin" w:hAnsi="IRNazanin" w:eastAsia="IRNazanin" w:cs="IRNazanin"/>
          <w:lang w:bidi="fa-IR"/>
          <w:color w:val="111111"/>
          <w:sz w:val="28"/>
          <w:szCs w:val="28"/>
          <w:rtl/>
        </w:rPr>
        <w:t xml:space="preserve">صوم تا دیات؛ خط: نسخ، بی کا، بی تا؛ افتادگی: آغاز و انجام: جلد :تيماج مشکی ضربی ،مجدول 190گ، 16 سطر ، اندازه: 14</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1 - 307]</w:t>
      </w:r>
    </w:p>
    <w:p>
      <w:pPr>
        <w:pStyle w:val="BookText"/>
      </w:pPr>
      <w:r>
        <w:rPr>
          <w:rFonts w:ascii="IRNazanin" w:hAnsi="IRNazanin" w:eastAsia="IRNazanin" w:cs="IRNazanin"/>
          <w:lang w:bidi="fa-IR"/>
          <w:color w:val="111111"/>
          <w:sz w:val="28"/>
          <w:szCs w:val="28"/>
          <w:rtl/>
        </w:rPr>
        <w:t xml:space="preserve">629 . قم؛ گلپایگانی؛ شماره نسخه: 9156-60/96</w:t>
      </w:r>
    </w:p>
    <w:p>
      <w:pPr>
        <w:pStyle w:val="BookText"/>
      </w:pPr>
      <w:r>
        <w:rPr>
          <w:rFonts w:ascii="Amiri" w:hAnsi="Amiri" w:eastAsia="Amiri" w:cs="Amiri"/>
          <w:lang w:bidi="ar-SA"/>
          <w:color w:val="111111"/>
          <w:sz w:val="28"/>
          <w:szCs w:val="28"/>
          <w:rtl/>
        </w:rPr>
        <w:t xml:space="preserve">آغاز: قبول شاهد و امراتين فى النكاح والعتق والقصاص و اما الديون والاموال كالقرض والقراض والغصب</w:t>
      </w:r>
    </w:p>
    <w:p>
      <w:pPr>
        <w:pStyle w:val="BookText"/>
      </w:pPr>
      <w:r>
        <w:rPr>
          <w:rFonts w:ascii="IRNazanin" w:hAnsi="IRNazanin" w:eastAsia="IRNazanin" w:cs="IRNazanin"/>
          <w:lang w:bidi="fa-IR"/>
          <w:color w:val="111111"/>
          <w:sz w:val="28"/>
          <w:szCs w:val="28"/>
          <w:rtl/>
        </w:rPr>
        <w:t xml:space="preserve">از نیمه شهادات تا آخر کتاب؛ خط: نسخ، بی کا ، بی تا :افتادگی: آغاز و انجام ؛ 45گ ، 14 و 13 سطر ، اندازه: 12</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1 - 307]</w:t>
      </w:r>
    </w:p>
    <w:p>
      <w:pPr>
        <w:pStyle w:val="BookText"/>
      </w:pPr>
      <w:r>
        <w:rPr>
          <w:rFonts w:ascii="IRNazanin" w:hAnsi="IRNazanin" w:eastAsia="IRNazanin" w:cs="IRNazanin"/>
          <w:lang w:bidi="fa-IR"/>
          <w:color w:val="111111"/>
          <w:sz w:val="28"/>
          <w:szCs w:val="28"/>
          <w:rtl/>
        </w:rPr>
        <w:t xml:space="preserve">630 . قم؛ گلپایگانی؛ شماره نسخه : 9091-60/31</w:t>
      </w:r>
    </w:p>
    <w:p>
      <w:pPr>
        <w:pStyle w:val="BookText"/>
      </w:pPr>
      <w:r>
        <w:rPr>
          <w:rFonts w:ascii="IRNazanin" w:hAnsi="IRNazanin" w:eastAsia="IRNazanin" w:cs="IRNazanin"/>
          <w:lang w:bidi="fa-IR"/>
          <w:color w:val="111111"/>
          <w:sz w:val="28"/>
          <w:szCs w:val="28"/>
          <w:rtl/>
        </w:rPr>
        <w:t xml:space="preserve">آغاز : و یومی العیدین و ليلة نصف من رجب و شعبان و يوم المبعث و الغدير و المباهله و عرفه</w:t>
      </w:r>
    </w:p>
    <w:p>
      <w:pPr>
        <w:pStyle w:val="BookText"/>
      </w:pPr>
      <w:r>
        <w:rPr>
          <w:rFonts w:ascii="IRNazanin" w:hAnsi="IRNazanin" w:eastAsia="IRNazanin" w:cs="IRNazanin"/>
          <w:lang w:bidi="fa-IR"/>
          <w:color w:val="111111"/>
          <w:sz w:val="28"/>
          <w:szCs w:val="28"/>
          <w:rtl/>
        </w:rPr>
        <w:t xml:space="preserve">از كتاب طهارة (النظر الثانى فى اسباب الوضوء) تا کتاب الاقرار( المطلب الثانى فى تعقيب الاقرار بالمنافی)؛ خط: نسخ، بی کا، بی تا؛ افتادگی: آغاز و انجام؛ مقابله شده و دارای علامت بلاغ؛87گ ، 15-14 سطر ، اندازه: 14</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1 - 306]</w:t>
      </w:r>
    </w:p>
    <w:p>
      <w:pPr>
        <w:pStyle w:val="BookText"/>
      </w:pPr>
      <w:r>
        <w:rPr>
          <w:rFonts w:ascii="Times New Roman" w:hAnsi="Times New Roman" w:eastAsia="Times New Roman" w:cs="Times New Roman"/>
          <w:lang w:val="en-US" w:bidi="en-US"/>
          <w:color w:val="111111"/>
          <w:sz w:val="28"/>
          <w:szCs w:val="28"/>
          <w:rtl/>
        </w:rPr>
        <w:t xml:space="preserve">631.</w:t>
      </w:r>
    </w:p>
    <w:p>
      <w:pPr>
        <w:pStyle w:val="BookText"/>
      </w:pPr>
      <w:r>
        <w:rPr>
          <w:rFonts w:ascii="IRNazanin" w:hAnsi="IRNazanin" w:eastAsia="IRNazanin" w:cs="IRNazanin"/>
          <w:lang w:bidi="fa-IR"/>
          <w:color w:val="111111"/>
          <w:sz w:val="28"/>
          <w:szCs w:val="28"/>
          <w:rtl/>
        </w:rPr>
        <w:t xml:space="preserve">یزد؛ وزیری شماره نسخه: 3151</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بی کا، بی تا ،محشی؛ اهدایی جعفری معمار؛ کاغذ: سمرقندی، جلد: مقوایی لولادار روکش تیماج تریاکی عطف تیماج قرمز ، 241گ مختلف السطر، اندازه: 12</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سم[ف: 5- 1551]</w:t>
      </w:r>
    </w:p>
    <w:p>
      <w:pPr>
        <w:pStyle w:val="BookText"/>
      </w:pPr>
      <w:r>
        <w:rPr>
          <w:rFonts w:ascii="IRNazanin" w:hAnsi="IRNazanin" w:eastAsia="IRNazanin" w:cs="IRNazanin"/>
          <w:lang w:bidi="fa-IR"/>
          <w:color w:val="111111"/>
          <w:sz w:val="28"/>
          <w:szCs w:val="28"/>
          <w:rtl/>
        </w:rPr>
        <w:t xml:space="preserve">632 .یزد؛ وزیری؛ شماره نسخه: 3039</w:t>
      </w:r>
    </w:p>
    <w:p>
      <w:pPr>
        <w:pStyle w:val="BookText"/>
      </w:pPr>
      <w:r>
        <w:rPr>
          <w:rFonts w:ascii="IRNazanin" w:hAnsi="IRNazanin" w:eastAsia="IRNazanin" w:cs="IRNazanin"/>
          <w:lang w:bidi="fa-IR"/>
          <w:color w:val="111111"/>
          <w:sz w:val="28"/>
          <w:szCs w:val="28"/>
          <w:rtl/>
        </w:rPr>
        <w:t xml:space="preserve">نکاح تادیات؛ خط: نسخ، بی کا، بی تا؛ محشی؛ مهر: «بود نور چشم محمد حسین» «رب اعصمنى بحرمة المعصومین»؛ اهدایی جعفری معمار؛ کاغذ :سمرقندی ،جلد: مقوایی روکش تیماج تریاکی عطف تیماج ،قرمز، 228گ مختلف السطر ، 13/5</w:t>
      </w:r>
      <w:r>
        <w:rPr>
          <w:rFonts w:ascii="Times New Roman" w:hAnsi="Times New Roman" w:eastAsia="Times New Roman" w:cs="Times New Roman"/>
          <w:lang w:val="en-US" w:bidi="en-US"/>
          <w:color w:val="111111"/>
          <w:sz w:val="28"/>
          <w:szCs w:val="28"/>
          <w:rtl/>
        </w:rPr>
        <w:t xml:space="preserve">×19/5</w:t>
      </w:r>
      <w:r>
        <w:rPr>
          <w:rFonts w:ascii="IRNazanin" w:hAnsi="IRNazanin" w:eastAsia="IRNazanin" w:cs="IRNazanin"/>
          <w:lang w:bidi="fa-IR"/>
          <w:color w:val="111111"/>
          <w:sz w:val="28"/>
          <w:szCs w:val="28"/>
          <w:rtl/>
        </w:rPr>
        <w:t xml:space="preserve">سم [ف: 5 - 1513]</w:t>
      </w:r>
    </w:p>
    <w:p>
      <w:pPr>
        <w:pStyle w:val="BookText"/>
      </w:pPr>
      <w:r>
        <w:rPr>
          <w:rFonts w:ascii="IRNazanin" w:hAnsi="IRNazanin" w:eastAsia="IRNazanin" w:cs="IRNazanin"/>
          <w:lang w:bidi="fa-IR"/>
          <w:color w:val="111111"/>
          <w:sz w:val="28"/>
          <w:szCs w:val="28"/>
          <w:rtl/>
        </w:rPr>
        <w:t xml:space="preserve">633 .یزد؛ وزیری؛ شماره نسخه:3850</w:t>
      </w:r>
    </w:p>
    <w:p>
      <w:pPr>
        <w:pStyle w:val="BookText"/>
      </w:pPr>
      <w:r>
        <w:rPr>
          <w:rFonts w:ascii="IRNazanin" w:hAnsi="IRNazanin" w:eastAsia="IRNazanin" w:cs="IRNazanin"/>
          <w:lang w:bidi="fa-IR"/>
          <w:color w:val="111111"/>
          <w:sz w:val="28"/>
          <w:szCs w:val="28"/>
          <w:rtl/>
        </w:rPr>
        <w:t xml:space="preserve">آغاز: لهم التياسر قليلاً الى يسار المصلی؛ انجام: و لو قطعت اليد خط: نسخ تحریری، بی کا ،بی تا، افتادگی: آغاز و انجام؛ محشی؛ اهدایی حاج میرزا علی شریعتی؛ کاغذ: اصفهانی، جلد: مقوایی روکش کاغذ: ابری سبز و گوشه ها تیماج ،قرمز 229گ 15 سطر (10</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اندازه: 15</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5 - 1820]</w:t>
      </w:r>
    </w:p>
    <w:p>
      <w:pPr>
        <w:pStyle w:val="BookText"/>
      </w:pPr>
      <w:r>
        <w:rPr>
          <w:rFonts w:ascii="IRNazanin" w:hAnsi="IRNazanin" w:eastAsia="IRNazanin" w:cs="IRNazanin"/>
          <w:lang w:bidi="fa-IR"/>
          <w:color w:val="111111"/>
          <w:sz w:val="28"/>
          <w:szCs w:val="28"/>
          <w:rtl/>
        </w:rPr>
        <w:t xml:space="preserve">634 . شیراز؛ علامه طباطبائی؛ شماره نسخه: 207</w:t>
      </w:r>
    </w:p>
    <w:p>
      <w:pPr>
        <w:pStyle w:val="BookText"/>
      </w:pPr>
      <w:r>
        <w:rPr>
          <w:rFonts w:ascii="IRNazanin" w:hAnsi="IRNazanin" w:eastAsia="IRNazanin" w:cs="IRNazanin"/>
          <w:lang w:bidi="fa-IR"/>
          <w:color w:val="111111"/>
          <w:sz w:val="28"/>
          <w:szCs w:val="28"/>
          <w:rtl/>
        </w:rPr>
        <w:t xml:space="preserve">خط: نسخ، بی کا، کا: بی تا؛ افتادگی: انجام؛ محشی؛ 184گ، اندازه:17</w:t>
      </w:r>
      <w:r>
        <w:rPr>
          <w:rFonts w:ascii="Times New Roman" w:hAnsi="Times New Roman" w:eastAsia="Times New Roman" w:cs="Times New Roman"/>
          <w:lang w:val="en-US" w:bidi="en-US"/>
          <w:color w:val="111111"/>
          <w:sz w:val="28"/>
          <w:szCs w:val="28"/>
          <w:rtl/>
        </w:rPr>
        <w:t xml:space="preserve">×24</w:t>
      </w:r>
      <w:r>
        <w:rPr>
          <w:rFonts w:ascii="IRNazanin" w:hAnsi="IRNazanin" w:eastAsia="IRNazanin" w:cs="IRNazanin"/>
          <w:lang w:bidi="fa-IR"/>
          <w:color w:val="111111"/>
          <w:sz w:val="28"/>
          <w:szCs w:val="28"/>
          <w:rtl/>
        </w:rPr>
        <w:t xml:space="preserve">سم [نسخه پژوهی 2 - 110]</w:t>
      </w:r>
    </w:p>
    <w:p>
      <w:pPr>
        <w:pStyle w:val="BookText"/>
      </w:pPr>
      <w:r>
        <w:rPr>
          <w:rFonts w:ascii="IRNazanin" w:hAnsi="IRNazanin" w:eastAsia="IRNazanin" w:cs="IRNazanin"/>
          <w:lang w:bidi="fa-IR"/>
          <w:color w:val="111111"/>
          <w:sz w:val="28"/>
          <w:szCs w:val="28"/>
          <w:rtl/>
        </w:rPr>
        <w:t xml:space="preserve">635 .شیراز؛ علامه طباطبائی؛ شماره نسخه: 208</w:t>
      </w:r>
    </w:p>
    <w:p>
      <w:pPr>
        <w:pStyle w:val="BookText"/>
      </w:pPr>
      <w:r>
        <w:rPr>
          <w:rFonts w:ascii="IRNazanin" w:hAnsi="IRNazanin" w:eastAsia="IRNazanin" w:cs="IRNazanin"/>
          <w:lang w:bidi="fa-IR"/>
          <w:color w:val="111111"/>
          <w:sz w:val="28"/>
          <w:szCs w:val="28"/>
          <w:rtl/>
        </w:rPr>
        <w:t xml:space="preserve">خط: نسخ، بی کا ،بی تا؛ مصحح، محشی؛ تملک: محمد على حسینی؛ 205گ اندازه: 14/5</w:t>
      </w:r>
      <w:r>
        <w:rPr>
          <w:rFonts w:ascii="Times New Roman" w:hAnsi="Times New Roman" w:eastAsia="Times New Roman" w:cs="Times New Roman"/>
          <w:lang w:val="en-US" w:bidi="en-US"/>
          <w:color w:val="111111"/>
          <w:sz w:val="28"/>
          <w:szCs w:val="28"/>
          <w:rtl/>
        </w:rPr>
        <w:t xml:space="preserve">×24/5</w:t>
      </w:r>
      <w:r>
        <w:rPr>
          <w:rFonts w:ascii="IRNazanin" w:hAnsi="IRNazanin" w:eastAsia="IRNazanin" w:cs="IRNazanin"/>
          <w:lang w:bidi="fa-IR"/>
          <w:color w:val="111111"/>
          <w:sz w:val="28"/>
          <w:szCs w:val="28"/>
          <w:rtl/>
        </w:rPr>
        <w:t xml:space="preserve">سم [نسخه پژوهی: 2 - 110]</w:t>
      </w:r>
    </w:p>
    <w:p>
      <w:pPr>
        <w:pStyle w:val="BookText"/>
      </w:pPr>
      <w:r>
        <w:rPr>
          <w:rFonts w:ascii="IRNazanin" w:hAnsi="IRNazanin" w:eastAsia="IRNazanin" w:cs="IRNazanin"/>
          <w:lang w:bidi="fa-IR"/>
          <w:color w:val="111111"/>
          <w:sz w:val="28"/>
          <w:szCs w:val="28"/>
          <w:rtl/>
        </w:rPr>
        <w:t xml:space="preserve">636 . شیراز؛ شاهچراغ؛ شماره نسخه: 430</w:t>
      </w:r>
    </w:p>
    <w:p>
      <w:pPr>
        <w:pStyle w:val="BookText"/>
      </w:pPr>
      <w:r>
        <w:rPr>
          <w:rFonts w:ascii="Amiri" w:hAnsi="Amiri" w:eastAsia="Amiri" w:cs="Amiri"/>
          <w:lang w:bidi="ar-SA"/>
          <w:color w:val="111111"/>
          <w:sz w:val="28"/>
          <w:szCs w:val="28"/>
          <w:rtl/>
        </w:rPr>
        <w:t xml:space="preserve">آغاز: و لو كان فى مبيع عرفه البايع فان عرفه فهوله؛ انجام: و لا اقراراً و جناية الذمى فى ماله و ان كانت خطاء فان.</w:t>
      </w:r>
    </w:p>
    <w:p>
      <w:pPr>
        <w:pStyle w:val="BookText"/>
      </w:pPr>
      <w:r>
        <w:rPr>
          <w:rFonts w:ascii="IRNazanin" w:hAnsi="IRNazanin" w:eastAsia="IRNazanin" w:cs="IRNazanin"/>
          <w:lang w:bidi="fa-IR"/>
          <w:color w:val="111111"/>
          <w:sz w:val="28"/>
          <w:szCs w:val="28"/>
          <w:rtl/>
        </w:rPr>
        <w:t xml:space="preserve">از کتاب صوم تا مقصد ثانی از فصل سوم؛ خط: نسخ، بی کا، بی تا؛ افتادگی: آغاز و انجام؛ محشی؛ کاغذ: نخودی، جلد: مقوا با کاغذ سبز، 96گ، 192 ص 21 سطر (11</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 اندازه: 18/5</w:t>
      </w:r>
      <w:r>
        <w:rPr>
          <w:rFonts w:ascii="Times New Roman" w:hAnsi="Times New Roman" w:eastAsia="Times New Roman" w:cs="Times New Roman"/>
          <w:lang w:val="en-US" w:bidi="en-US"/>
          <w:color w:val="111111"/>
          <w:sz w:val="28"/>
          <w:szCs w:val="28"/>
          <w:rtl/>
        </w:rPr>
        <w:t xml:space="preserve">×27</w:t>
      </w:r>
      <w:r>
        <w:rPr>
          <w:rFonts w:ascii="IRNazanin" w:hAnsi="IRNazanin" w:eastAsia="IRNazanin" w:cs="IRNazanin"/>
          <w:lang w:bidi="fa-IR"/>
          <w:color w:val="111111"/>
          <w:sz w:val="28"/>
          <w:szCs w:val="28"/>
          <w:rtl/>
        </w:rPr>
        <w:t xml:space="preserve">سم[ف 2-8]</w:t>
      </w:r>
    </w:p>
    <w:p>
      <w:pPr>
        <w:pStyle w:val="BookText"/>
      </w:pPr>
      <w:r>
        <w:rPr>
          <w:rFonts w:ascii="IRNazanin" w:hAnsi="IRNazanin" w:eastAsia="IRNazanin" w:cs="IRNazanin"/>
          <w:lang w:bidi="fa-IR"/>
          <w:color w:val="111111"/>
          <w:sz w:val="28"/>
          <w:szCs w:val="28"/>
          <w:rtl/>
        </w:rPr>
        <w:t xml:space="preserve">637 . شیراز؛ شاهچراغ؛ شماره نسخه: 553</w:t>
      </w:r>
    </w:p>
    <w:p>
      <w:pPr>
        <w:pStyle w:val="BookText"/>
      </w:pPr>
      <w:r>
        <w:rPr>
          <w:rFonts w:ascii="Amiri" w:hAnsi="Amiri" w:eastAsia="Amiri" w:cs="Amiri"/>
          <w:lang w:bidi="ar-SA"/>
          <w:color w:val="111111"/>
          <w:sz w:val="28"/>
          <w:szCs w:val="28"/>
          <w:rtl/>
        </w:rPr>
        <w:t xml:space="preserve">آغاز: فى الواجب من دون اذنه و اعتكافها و صومها الواجبين؛ انجام: برابر</w:t>
      </w:r>
    </w:p>
    <w:p>
      <w:pPr>
        <w:pStyle w:val="BookText"/>
      </w:pPr>
      <w:r>
        <w:rPr>
          <w:rFonts w:ascii="IRNazanin" w:hAnsi="IRNazanin" w:eastAsia="IRNazanin" w:cs="IRNazanin"/>
          <w:lang w:bidi="fa-IR"/>
          <w:color w:val="111111"/>
          <w:sz w:val="28"/>
          <w:szCs w:val="28"/>
          <w:rtl/>
        </w:rPr>
        <w:t xml:space="preserve">خط: نسخ، بی کا، بی تا؛ افتادگی: آغاز؛ محشی؛ کاغذ: نخودی، جلد: مقوا با پارچه ،سبز ،107گ 214 ص 15 سطر (6</w:t>
      </w:r>
      <w:r>
        <w:rPr>
          <w:rFonts w:ascii="Times New Roman" w:hAnsi="Times New Roman" w:eastAsia="Times New Roman" w:cs="Times New Roman"/>
          <w:lang w:val="en-US" w:bidi="en-US"/>
          <w:color w:val="111111"/>
          <w:sz w:val="28"/>
          <w:szCs w:val="28"/>
          <w:rtl/>
        </w:rPr>
        <w:t xml:space="preserve">×10)</w:t>
      </w:r>
      <w:r>
        <w:rPr>
          <w:rFonts w:ascii="IRNazanin" w:hAnsi="IRNazanin" w:eastAsia="IRNazanin" w:cs="IRNazanin"/>
          <w:lang w:bidi="fa-IR"/>
          <w:color w:val="111111"/>
          <w:sz w:val="28"/>
          <w:szCs w:val="28"/>
          <w:rtl/>
        </w:rPr>
        <w:t xml:space="preserve">، :اندازه: 11/5</w:t>
      </w:r>
      <w:r>
        <w:rPr>
          <w:rFonts w:ascii="Times New Roman" w:hAnsi="Times New Roman" w:eastAsia="Times New Roman" w:cs="Times New Roman"/>
          <w:lang w:val="en-US" w:bidi="en-US"/>
          <w:color w:val="111111"/>
          <w:sz w:val="28"/>
          <w:szCs w:val="28"/>
          <w:rtl/>
        </w:rPr>
        <w:t xml:space="preserve">×165</w:t>
      </w:r>
      <w:r>
        <w:rPr>
          <w:rFonts w:ascii="IRNazanin" w:hAnsi="IRNazanin" w:eastAsia="IRNazanin" w:cs="IRNazanin"/>
          <w:lang w:bidi="fa-IR"/>
          <w:color w:val="111111"/>
          <w:sz w:val="28"/>
          <w:szCs w:val="28"/>
          <w:rtl/>
        </w:rPr>
        <w:t xml:space="preserve">سم ف: 2 - 8]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14" w:name="pg20365_260015"/>
    <w:bookmarkEnd w:id="14"/>
    <w:p>
      <w:pPr>
        <w:pStyle w:val="BookText"/>
      </w:pPr>
      <w:r>
        <w:rPr>
          <w:rFonts w:ascii="IRNazanin" w:hAnsi="IRNazanin" w:eastAsia="IRNazanin" w:cs="IRNazanin"/>
          <w:lang w:bidi="fa-IR"/>
          <w:color w:val="111111"/>
          <w:sz w:val="28"/>
          <w:szCs w:val="28"/>
          <w:rtl/>
        </w:rPr>
        <w:t xml:space="preserve">شیراز؛ ملی؛ شماره نسخه: 22 الف 209</w:t>
      </w:r>
    </w:p>
    <w:p>
      <w:pPr>
        <w:pStyle w:val="BookText"/>
      </w:pPr>
      <w:r>
        <w:rPr>
          <w:rFonts w:ascii="IRNazanin" w:hAnsi="IRNazanin" w:eastAsia="IRNazanin" w:cs="IRNazanin"/>
          <w:lang w:bidi="fa-IR"/>
          <w:color w:val="111111"/>
          <w:sz w:val="28"/>
          <w:szCs w:val="28"/>
          <w:rtl/>
        </w:rPr>
        <w:t xml:space="preserve">انجام: برابر</w:t>
      </w:r>
    </w:p>
    <w:p>
      <w:pPr>
        <w:pStyle w:val="BookText"/>
      </w:pPr>
      <w:r>
        <w:rPr>
          <w:rFonts w:ascii="IRNazanin" w:hAnsi="IRNazanin" w:eastAsia="IRNazanin" w:cs="IRNazanin"/>
          <w:lang w:bidi="fa-IR"/>
          <w:color w:val="111111"/>
          <w:sz w:val="28"/>
          <w:szCs w:val="28"/>
          <w:rtl/>
        </w:rPr>
        <w:t xml:space="preserve">شامل هفده کتاب از طهارت تا دیات؛ خط: نسخ، بی کا، بی تا، محشی؛ کاغذ: فرنگی نخودی، جلد: مقوا با تیماج مشکی، 271گ، 15 سطر (8</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15/5</w:t>
      </w:r>
      <w:r>
        <w:rPr>
          <w:rFonts w:ascii="Times New Roman" w:hAnsi="Times New Roman" w:eastAsia="Times New Roman" w:cs="Times New Roman"/>
          <w:lang w:val="en-US" w:bidi="en-US"/>
          <w:color w:val="111111"/>
          <w:sz w:val="28"/>
          <w:szCs w:val="28"/>
          <w:rtl/>
        </w:rPr>
        <w:t xml:space="preserve">×22/5</w:t>
      </w:r>
      <w:r>
        <w:rPr>
          <w:rFonts w:ascii="IRNazanin" w:hAnsi="IRNazanin" w:eastAsia="IRNazanin" w:cs="IRNazanin"/>
          <w:lang w:bidi="fa-IR"/>
          <w:color w:val="111111"/>
          <w:sz w:val="28"/>
          <w:szCs w:val="28"/>
          <w:rtl/>
        </w:rPr>
        <w:t xml:space="preserve">سم [ف: 1 - 183 ]</w:t>
      </w:r>
    </w:p>
    <w:p>
      <w:pPr>
        <w:pStyle w:val="BookText"/>
      </w:pPr>
      <w:r>
        <w:rPr>
          <w:rFonts w:ascii="IRNazanin" w:hAnsi="IRNazanin" w:eastAsia="IRNazanin" w:cs="IRNazanin"/>
          <w:lang w:bidi="fa-IR"/>
          <w:color w:val="111111"/>
          <w:sz w:val="28"/>
          <w:szCs w:val="28"/>
          <w:rtl/>
        </w:rPr>
        <w:t xml:space="preserve">639 .رشت؛ جمعیت نشر فرهنگ؛ شماره نسخه: 47الف</w:t>
      </w:r>
    </w:p>
    <w:p>
      <w:pPr>
        <w:pStyle w:val="BookText"/>
      </w:pPr>
      <w:r>
        <w:rPr>
          <w:rFonts w:ascii="IRNazanin" w:hAnsi="IRNazanin" w:eastAsia="IRNazanin" w:cs="IRNazanin"/>
          <w:lang w:bidi="fa-IR"/>
          <w:color w:val="111111"/>
          <w:sz w:val="28"/>
          <w:szCs w:val="28"/>
          <w:rtl/>
        </w:rPr>
        <w:t xml:space="preserve">خط: نسخ، بی کا، بی تا؛ افتادگی: آغاز و انجام [ف: 1088]</w:t>
      </w:r>
    </w:p>
    <w:p>
      <w:pPr>
        <w:pStyle w:val="BookText"/>
      </w:pPr>
      <w:r>
        <w:rPr>
          <w:rFonts w:ascii="IRNazanin" w:hAnsi="IRNazanin" w:eastAsia="IRNazanin" w:cs="IRNazanin"/>
          <w:lang w:bidi="fa-IR"/>
          <w:color w:val="111111"/>
          <w:sz w:val="28"/>
          <w:szCs w:val="28"/>
          <w:rtl/>
        </w:rPr>
        <w:t xml:space="preserve">640 . رشت؛ جمعیت نشر فرهنگ؛ شماره نسخه: 56 الف</w:t>
      </w:r>
    </w:p>
    <w:p>
      <w:pPr>
        <w:pStyle w:val="BookText"/>
      </w:pPr>
      <w:r>
        <w:rPr>
          <w:rFonts w:ascii="IRNazanin" w:hAnsi="IRNazanin" w:eastAsia="IRNazanin" w:cs="IRNazanin"/>
          <w:lang w:bidi="fa-IR"/>
          <w:color w:val="111111"/>
          <w:sz w:val="28"/>
          <w:szCs w:val="28"/>
          <w:rtl/>
        </w:rPr>
        <w:t xml:space="preserve">خط: نسخ، بی کا،بی تا؛ افتادگی: انجام؛ اندازه: 19/5</w:t>
      </w:r>
      <w:r>
        <w:rPr>
          <w:rFonts w:ascii="Times New Roman" w:hAnsi="Times New Roman" w:eastAsia="Times New Roman" w:cs="Times New Roman"/>
          <w:lang w:val="en-US" w:bidi="en-US"/>
          <w:color w:val="111111"/>
          <w:sz w:val="28"/>
          <w:szCs w:val="28"/>
          <w:rtl/>
        </w:rPr>
        <w:t xml:space="preserve">×31</w:t>
      </w:r>
      <w:r>
        <w:rPr>
          <w:rFonts w:ascii="IRNazanin" w:hAnsi="IRNazanin" w:eastAsia="IRNazanin" w:cs="IRNazanin"/>
          <w:lang w:bidi="fa-IR"/>
          <w:color w:val="111111"/>
          <w:sz w:val="28"/>
          <w:szCs w:val="28"/>
          <w:rtl/>
        </w:rPr>
        <w:t xml:space="preserve">سم [ ف: 1088]</w:t>
      </w:r>
    </w:p>
    <w:p>
      <w:pPr>
        <w:pStyle w:val="BookText"/>
      </w:pPr>
      <w:r>
        <w:rPr>
          <w:rFonts w:ascii="IRNazanin" w:hAnsi="IRNazanin" w:eastAsia="IRNazanin" w:cs="IRNazanin"/>
          <w:lang w:bidi="fa-IR"/>
          <w:color w:val="111111"/>
          <w:sz w:val="28"/>
          <w:szCs w:val="28"/>
          <w:rtl/>
        </w:rPr>
        <w:t xml:space="preserve">641 . اصفهان؛ عمومی اصفهان (فرهنگ سابق)؛ شماره نسخه: 2966</w:t>
      </w:r>
    </w:p>
    <w:p>
      <w:pPr>
        <w:pStyle w:val="BookText"/>
      </w:pPr>
      <w:r>
        <w:rPr>
          <w:rFonts w:ascii="IRNazanin" w:hAnsi="IRNazanin" w:eastAsia="IRNazanin" w:cs="IRNazanin"/>
          <w:lang w:bidi="fa-IR"/>
          <w:color w:val="111111"/>
          <w:sz w:val="28"/>
          <w:szCs w:val="28"/>
          <w:rtl/>
        </w:rPr>
        <w:t xml:space="preserve">خط: نستعلیق، بی کا ،بی تا :افتادگی:انجام؛ محشی؛ کاغذ: اصفهانی ،جلد: چرمی ،قرمز، 326 ص 15 سطر (16</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 اندازه: 17</w:t>
      </w:r>
      <w:r>
        <w:rPr>
          <w:rFonts w:ascii="Times New Roman" w:hAnsi="Times New Roman" w:eastAsia="Times New Roman" w:cs="Times New Roman"/>
          <w:lang w:val="en-US" w:bidi="en-US"/>
          <w:color w:val="111111"/>
          <w:sz w:val="28"/>
          <w:szCs w:val="28"/>
          <w:rtl/>
        </w:rPr>
        <w:t xml:space="preserve">×24</w:t>
      </w:r>
      <w:r>
        <w:rPr>
          <w:rFonts w:ascii="IRNazanin" w:hAnsi="IRNazanin" w:eastAsia="IRNazanin" w:cs="IRNazanin"/>
          <w:lang w:bidi="fa-IR"/>
          <w:color w:val="111111"/>
          <w:sz w:val="28"/>
          <w:szCs w:val="28"/>
          <w:rtl/>
        </w:rPr>
        <w:t xml:space="preserve">سم [ف: 1 - 177]</w:t>
      </w:r>
    </w:p>
    <w:p>
      <w:pPr>
        <w:pStyle w:val="BookText"/>
      </w:pPr>
      <w:r>
        <w:rPr>
          <w:rFonts w:ascii="IRNazanin" w:hAnsi="IRNazanin" w:eastAsia="IRNazanin" w:cs="IRNazanin"/>
          <w:lang w:bidi="fa-IR"/>
          <w:color w:val="111111"/>
          <w:sz w:val="28"/>
          <w:szCs w:val="28"/>
          <w:rtl/>
        </w:rPr>
        <w:t xml:space="preserve">642.کاشان؛ مدرسه سلطانی؛ شماره نسخه: 372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تا:مصحح، محشی، مهر: يا محسن قداتاک ،المسئی (مربع) ؛  جلد: تیماج ،مشکی 285گ، 15 سطر ، اندازه: 14</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w:t>
      </w:r>
    </w:p>
    <w:p>
      <w:pPr>
        <w:pStyle w:val="BookText"/>
      </w:pPr>
      <w:r>
        <w:rPr>
          <w:rFonts w:ascii="IRNazanin" w:hAnsi="IRNazanin" w:eastAsia="IRNazanin" w:cs="IRNazanin"/>
          <w:lang w:bidi="fa-IR"/>
          <w:color w:val="111111"/>
          <w:sz w:val="28"/>
          <w:szCs w:val="28"/>
          <w:rtl/>
        </w:rPr>
        <w:t xml:space="preserve">643 . قزوین؛ امام صادق؛ شماره نسخه: 488/2</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از ابتدای کتاب الطهارة تا اواخر كتاب الجهاد؛ خط: نستعليق زیبا :كا: محمد معصوم بن میرزا خان جنیدی، بی تا:افتادگی: انجام؛ جلد: گالینگور سرخ، 55گ [ف: 1 - 405]</w:t>
      </w:r>
    </w:p>
    <w:p>
      <w:pPr>
        <w:pStyle w:val="BookText"/>
      </w:pPr>
      <w:r>
        <w:rPr>
          <w:rFonts w:ascii="Amiri" w:hAnsi="Amiri" w:eastAsia="Amiri" w:cs="Amiri"/>
          <w:lang w:bidi="ar-SA"/>
          <w:color w:val="111111"/>
          <w:sz w:val="28"/>
          <w:szCs w:val="28"/>
          <w:rtl/>
        </w:rPr>
        <w:t xml:space="preserve">644 . بابل؛ خاتم الانبياء؛ شماره نسخه: 283</w:t>
      </w:r>
    </w:p>
    <w:p>
      <w:pPr>
        <w:pStyle w:val="BookText"/>
      </w:pPr>
      <w:r>
        <w:rPr>
          <w:rFonts w:ascii="IRNazanin" w:hAnsi="IRNazanin" w:eastAsia="IRNazanin" w:cs="IRNazanin"/>
          <w:lang w:bidi="fa-IR"/>
          <w:color w:val="111111"/>
          <w:sz w:val="28"/>
          <w:szCs w:val="28"/>
          <w:rtl/>
        </w:rPr>
        <w:t xml:space="preserve">خط: نسخ، بی کا بی تا؛ افتادگی: انجام؛ واقف: محمد باقر، 1225؛جلد: تیماج سوخت 17 سطر ، اندازه: 9</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 [ف: 201]</w:t>
      </w:r>
    </w:p>
    <w:p>
      <w:pPr>
        <w:pStyle w:val="BookText"/>
      </w:pPr>
      <w:r>
        <w:rPr>
          <w:rFonts w:ascii="IRNazanin" w:hAnsi="IRNazanin" w:eastAsia="IRNazanin" w:cs="IRNazanin"/>
          <w:lang w:bidi="fa-IR"/>
          <w:color w:val="111111"/>
          <w:sz w:val="28"/>
          <w:szCs w:val="28"/>
          <w:rtl/>
        </w:rPr>
        <w:t xml:space="preserve">645 .خوی؛ نمازی؛ شماره نسخه: 119</w:t>
      </w:r>
    </w:p>
    <w:p>
      <w:pPr>
        <w:pStyle w:val="BookText"/>
      </w:pPr>
      <w:r>
        <w:rPr>
          <w:rFonts w:ascii="IRNazanin" w:hAnsi="IRNazanin" w:eastAsia="IRNazanin" w:cs="IRNazanin"/>
          <w:lang w:bidi="fa-IR"/>
          <w:color w:val="111111"/>
          <w:sz w:val="28"/>
          <w:szCs w:val="28"/>
          <w:rtl/>
        </w:rPr>
        <w:t xml:space="preserve">از متاجر تا آخر کتاب؛ خط: نسخ، بی کا ،بی تا، افتادگی: آغازانجام؛ تملک: محمد حسین موسوی، علی بن جعفر با مهر  « علی بن جعفر 1281» (بیضی ) ؛ 14 سطر ، اندازه: 19</w:t>
      </w:r>
      <w:r>
        <w:rPr>
          <w:rFonts w:ascii="Times New Roman" w:hAnsi="Times New Roman" w:eastAsia="Times New Roman" w:cs="Times New Roman"/>
          <w:lang w:val="en-US" w:bidi="en-US"/>
          <w:color w:val="111111"/>
          <w:sz w:val="28"/>
          <w:szCs w:val="28"/>
          <w:rtl/>
        </w:rPr>
        <w:t xml:space="preserve">×24/5</w:t>
      </w:r>
      <w:r>
        <w:rPr>
          <w:rFonts w:ascii="IRNazanin" w:hAnsi="IRNazanin" w:eastAsia="IRNazanin" w:cs="IRNazanin"/>
          <w:lang w:bidi="fa-IR"/>
          <w:color w:val="111111"/>
          <w:sz w:val="28"/>
          <w:szCs w:val="28"/>
          <w:rtl/>
        </w:rPr>
        <w:t xml:space="preserve">سم [ ف : 70]</w:t>
      </w:r>
    </w:p>
    <w:p>
      <w:pPr>
        <w:pStyle w:val="BookText"/>
      </w:pPr>
      <w:r>
        <w:rPr>
          <w:rFonts w:ascii="IRNazanin" w:hAnsi="IRNazanin" w:eastAsia="IRNazanin" w:cs="IRNazanin"/>
          <w:lang w:bidi="fa-IR"/>
          <w:color w:val="111111"/>
          <w:sz w:val="28"/>
          <w:szCs w:val="28"/>
          <w:rtl/>
        </w:rPr>
        <w:t xml:space="preserve">646 . چالوس؛ امام صادق؛ شماره نسخه:56</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دارای علامت بلاغ و سماع تاریخ وفات شيخ التقى النقى الرضى الشيخ الأجل و الكهف الاظل عبد العزیز بن حريش بن راشد السماتی در لیله تاسعه رمضان 1070ق در برگ آخر مهرها« لا اله الا الله الملك الحق المبين محمد تقی» (مربع)، «بنده شاه دین ابوالقاسم» (بیضی)، «عبدالمهدی بن عبدالغنی (بیضی) واقف: آخوند کلمحمد دینائی ؛جلد: تیماج قهوه ای 225گ 18 سطر (26</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ف: 37]</w:t>
      </w:r>
    </w:p>
    <w:p>
      <w:pPr>
        <w:pStyle w:val="BookText"/>
      </w:pPr>
      <w:r>
        <w:rPr>
          <w:rFonts w:ascii="IRNazanin" w:hAnsi="IRNazanin" w:eastAsia="IRNazanin" w:cs="IRNazanin"/>
          <w:lang w:bidi="fa-IR"/>
          <w:color w:val="111111"/>
          <w:sz w:val="28"/>
          <w:szCs w:val="28"/>
          <w:rtl/>
        </w:rPr>
        <w:t xml:space="preserve">647 . اهواز؛ دانشگاه اهواز؛ شماره نسخه:بدون شماره</w:t>
      </w:r>
    </w:p>
    <w:p>
      <w:pPr>
        <w:pStyle w:val="BookText"/>
      </w:pPr>
      <w:r>
        <w:rPr>
          <w:rFonts w:ascii="IRNazanin" w:hAnsi="IRNazanin" w:eastAsia="IRNazanin" w:cs="IRNazanin"/>
          <w:lang w:bidi="fa-IR"/>
          <w:color w:val="111111"/>
          <w:sz w:val="28"/>
          <w:szCs w:val="28"/>
          <w:rtl/>
        </w:rPr>
        <w:t xml:space="preserve">بی کا ،بی تا، میراث اسلامی[ 5 - 588]</w:t>
      </w:r>
    </w:p>
    <w:p>
      <w:pPr>
        <w:pStyle w:val="Heading3"/>
      </w:pPr>
      <w:bookmarkStart w:id="527" w:name="_Toc49"/>
      <w:r>
        <w:t>ارشاد الاذهان الى احكام الایمان (ترجمه) / فقه /فارسی</w:t>
      </w:r>
      <w:bookmarkEnd w:id="527"/>
    </w:p>
    <w:p>
      <w:pPr>
        <w:pStyle w:val="BookText"/>
      </w:pPr>
      <w:r>
        <w:rPr>
          <w:rFonts w:ascii="Times New Roman" w:hAnsi="Times New Roman" w:eastAsia="Times New Roman" w:cs="Times New Roman"/>
          <w:lang w:val="en-US" w:bidi="en-US"/>
          <w:color w:val="111111"/>
          <w:sz w:val="28"/>
          <w:szCs w:val="28"/>
          <w:rtl/>
        </w:rPr>
        <w:t xml:space="preserve">(t.)iršād-ul adhān ilā aḥkām-il īmān</w:t>
      </w:r>
    </w:p>
    <w:p>
      <w:pPr>
        <w:pStyle w:val="BookText"/>
      </w:pPr>
      <w:r>
        <w:rPr>
          <w:rFonts w:ascii="IRNazanin" w:hAnsi="IRNazanin" w:eastAsia="IRNazanin" w:cs="IRNazanin"/>
          <w:lang w:bidi="fa-IR"/>
          <w:color w:val="111111"/>
          <w:sz w:val="28"/>
          <w:szCs w:val="28"/>
          <w:rtl/>
        </w:rPr>
        <w:t xml:space="preserve">طوسی، علی بن حسن</w:t>
      </w:r>
    </w:p>
    <w:p>
      <w:pPr>
        <w:pStyle w:val="BookText"/>
      </w:pPr>
      <w:r>
        <w:rPr>
          <w:rFonts w:ascii="Times New Roman" w:hAnsi="Times New Roman" w:eastAsia="Times New Roman" w:cs="Times New Roman"/>
          <w:lang w:val="en-US" w:bidi="en-US"/>
          <w:color w:val="111111"/>
          <w:sz w:val="28"/>
          <w:szCs w:val="28"/>
          <w:rtl/>
        </w:rPr>
        <w:t xml:space="preserve">tūsī, 'alī ebn-e hasan</w:t>
      </w:r>
    </w:p>
    <w:p>
      <w:pPr>
        <w:pStyle w:val="BookText"/>
      </w:pPr>
      <w:r>
        <w:rPr>
          <w:rFonts w:ascii="IRNazanin" w:hAnsi="IRNazanin" w:eastAsia="IRNazanin" w:cs="IRNazanin"/>
          <w:lang w:bidi="fa-IR"/>
          <w:color w:val="111111"/>
          <w:sz w:val="28"/>
          <w:szCs w:val="28"/>
          <w:rtl/>
        </w:rPr>
        <w:t xml:space="preserve">وابسته به ارشاد الاذهان الى احكام الايمان؛ علامه حلی، حسن بن يوسف (648-726)</w:t>
      </w:r>
    </w:p>
    <w:p>
      <w:pPr>
        <w:pStyle w:val="BookText"/>
      </w:pPr>
      <w:r>
        <w:rPr>
          <w:rFonts w:ascii="IRNazanin" w:hAnsi="IRNazanin" w:eastAsia="IRNazanin" w:cs="IRNazanin"/>
          <w:lang w:bidi="fa-IR"/>
          <w:color w:val="111111"/>
          <w:sz w:val="28"/>
          <w:szCs w:val="28"/>
          <w:rtl/>
        </w:rPr>
        <w:t xml:space="preserve">ترجمه روان و سلیسی است از کتاب تجارت و نکاح «ارشاد الاذهان».</w:t>
      </w:r>
    </w:p>
    <w:p>
      <w:pPr>
        <w:pStyle w:val="BookText"/>
      </w:pPr>
      <w:r>
        <w:rPr>
          <w:rFonts w:ascii="IRNazanin" w:hAnsi="IRNazanin" w:eastAsia="IRNazanin" w:cs="IRNazanin"/>
          <w:lang w:bidi="fa-IR"/>
          <w:color w:val="111111"/>
          <w:sz w:val="28"/>
          <w:szCs w:val="28"/>
          <w:rtl/>
        </w:rPr>
        <w:t xml:space="preserve">قم؛ گلپایگانی؛ شماره نسخه: 3256/2-17/36</w:t>
      </w:r>
    </w:p>
    <w:p>
      <w:pPr>
        <w:pStyle w:val="BookText"/>
      </w:pPr>
      <w:r>
        <w:rPr>
          <w:rFonts w:ascii="IRNazanin" w:hAnsi="IRNazanin" w:eastAsia="IRNazanin" w:cs="IRNazanin"/>
          <w:lang w:bidi="fa-IR"/>
          <w:color w:val="111111"/>
          <w:sz w:val="28"/>
          <w:szCs w:val="28"/>
          <w:rtl/>
        </w:rPr>
        <w:t xml:space="preserve">آغاز: بسمله کتاب تجارت و در آن مقدمه است و نه باب مقدمه در بیان کسب معاش و در آن سه فصل است اول در فضیلت کسب بدانکه سنت است کسب معاش حلال؛ انجام : بعضی گفته اند که واجب نمی شود کفاره در مال او و اگر قاتلات متعدد باشند لازم شود به هر یک کفاره كامله و الحمدلله رب العالمين</w:t>
      </w:r>
    </w:p>
    <w:p>
      <w:pPr>
        <w:pStyle w:val="BookText"/>
      </w:pPr>
      <w:r>
        <w:rPr>
          <w:rFonts w:ascii="Amiri" w:hAnsi="Amiri" w:eastAsia="Amiri" w:cs="Amiri"/>
          <w:lang w:bidi="ar-SA"/>
          <w:color w:val="111111"/>
          <w:sz w:val="28"/>
          <w:szCs w:val="28"/>
          <w:rtl/>
        </w:rPr>
        <w:t xml:space="preserve">والصلوة والسلام على سيد المرسلين وآله الطيبين الطاهرين</w:t>
      </w:r>
    </w:p>
    <w:p>
      <w:pPr>
        <w:pStyle w:val="BookText"/>
      </w:pPr>
      <w:r>
        <w:rPr>
          <w:rFonts w:ascii="IRNazanin" w:hAnsi="IRNazanin" w:eastAsia="IRNazanin" w:cs="IRNazanin"/>
          <w:lang w:bidi="fa-IR"/>
          <w:color w:val="111111"/>
          <w:sz w:val="28"/>
          <w:szCs w:val="28"/>
          <w:rtl/>
        </w:rPr>
        <w:t xml:space="preserve">خط: شکسته، نستعلیق، کا: محمود بن حاج محمدرضا بیدگلی، تا: شعبان 1305ق؛ جلد: مقوا با روکش پارچه گلدار عطف تیماج، 63گ، 19 - 22 سطر ، اندازه: 20</w:t>
      </w:r>
      <w:r>
        <w:rPr>
          <w:rFonts w:ascii="Times New Roman" w:hAnsi="Times New Roman" w:eastAsia="Times New Roman" w:cs="Times New Roman"/>
          <w:lang w:val="en-US" w:bidi="en-US"/>
          <w:color w:val="111111"/>
          <w:sz w:val="28"/>
          <w:szCs w:val="28"/>
          <w:rtl/>
        </w:rPr>
        <w:t xml:space="preserve">×28</w:t>
      </w:r>
      <w:r>
        <w:rPr>
          <w:rFonts w:ascii="IRNazanin" w:hAnsi="IRNazanin" w:eastAsia="IRNazanin" w:cs="IRNazanin"/>
          <w:lang w:bidi="fa-IR"/>
          <w:color w:val="111111"/>
          <w:sz w:val="28"/>
          <w:szCs w:val="28"/>
          <w:rtl/>
        </w:rPr>
        <w:t xml:space="preserve">سم [ف 2 - 889]</w:t>
      </w:r>
    </w:p>
    <w:p>
      <w:pPr>
        <w:pStyle w:val="Heading3"/>
      </w:pPr>
      <w:bookmarkStart w:id="528" w:name="_Toc50"/>
      <w:r>
        <w:t>ارشاد الاذهان الى احكام الایمان (ترجمه) / فقه / فارسی</w:t>
      </w:r>
      <w:bookmarkEnd w:id="528"/>
    </w:p>
    <w:p>
      <w:pPr>
        <w:pStyle w:val="BookText"/>
      </w:pPr>
      <w:r>
        <w:rPr>
          <w:rFonts w:ascii="Times New Roman" w:hAnsi="Times New Roman" w:eastAsia="Times New Roman" w:cs="Times New Roman"/>
          <w:lang w:val="en-US" w:bidi="en-US"/>
          <w:color w:val="111111"/>
          <w:sz w:val="28"/>
          <w:szCs w:val="28"/>
          <w:rtl/>
        </w:rPr>
        <w:t xml:space="preserve">iršād-ul adhān ilā aḥkām-il īmān (t.)</w:t>
      </w:r>
    </w:p>
    <w:p>
      <w:pPr>
        <w:pStyle w:val="BookText"/>
      </w:pPr>
      <w:r>
        <w:rPr>
          <w:rFonts w:ascii="IRNazanin" w:hAnsi="IRNazanin" w:eastAsia="IRNazanin" w:cs="IRNazanin"/>
          <w:lang w:bidi="fa-IR"/>
          <w:color w:val="111111"/>
          <w:sz w:val="28"/>
          <w:szCs w:val="28"/>
          <w:rtl/>
        </w:rPr>
        <w:t xml:space="preserve">وابسته به: ارشاد الاذهان الى احكام الايمان؛ علامه حلی، حسن بن يوسف (648-726)</w:t>
      </w:r>
    </w:p>
    <w:p>
      <w:pPr>
        <w:pStyle w:val="BookText"/>
      </w:pPr>
      <w:r>
        <w:rPr>
          <w:rFonts w:ascii="IRNazanin" w:hAnsi="IRNazanin" w:eastAsia="IRNazanin" w:cs="IRNazanin"/>
          <w:lang w:bidi="fa-IR"/>
          <w:color w:val="111111"/>
          <w:sz w:val="28"/>
          <w:szCs w:val="28"/>
          <w:rtl/>
        </w:rPr>
        <w:t xml:space="preserve">ترجمه ای است از کتاب «ارشاد الاذهان» علامه حلی با توضیحات بسیار مختصر در برخی از موارد و شرح خطبه کتاب.</w:t>
      </w:r>
    </w:p>
    <w:p>
      <w:pPr>
        <w:pStyle w:val="BookText"/>
      </w:pPr>
      <w:r>
        <w:rPr>
          <w:rFonts w:ascii="IRNazanin" w:hAnsi="IRNazanin" w:eastAsia="IRNazanin" w:cs="IRNazanin"/>
          <w:lang w:bidi="fa-IR"/>
          <w:color w:val="111111"/>
          <w:sz w:val="28"/>
          <w:szCs w:val="28"/>
          <w:rtl/>
        </w:rPr>
        <w:t xml:space="preserve">زنجان؛ امام جمعه؛ شماره نسخه: 132</w:t>
      </w:r>
    </w:p>
    <w:p>
      <w:pPr>
        <w:pStyle w:val="BookText"/>
      </w:pPr>
      <w:r>
        <w:rPr>
          <w:rFonts w:ascii="IRNazanin" w:hAnsi="IRNazanin" w:eastAsia="IRNazanin" w:cs="IRNazanin"/>
          <w:lang w:bidi="fa-IR"/>
          <w:color w:val="111111"/>
          <w:sz w:val="28"/>
          <w:szCs w:val="28"/>
          <w:rtl/>
        </w:rPr>
        <w:t xml:space="preserve">آغاز: قوله رحمه الله بسم الله الرحمن الرحيم الحمدلله المتفرد بالقدم و الدوام الخ چون حدیث مشهور وارد است که کل امر ذی بال لم يبدأ فيه ببسم الله فهو ابتر؛ انجام: پس اگر عاجز آمد از ادای مال کتابت ورثه او را بنده می سازند به قدر باقی مال کتابت و الله اعلم.</w:t>
      </w:r>
    </w:p>
    <w:p>
      <w:pPr>
        <w:pStyle w:val="BookText"/>
      </w:pPr>
      <w:r>
        <w:rPr>
          <w:rFonts w:ascii="IRNazanin" w:hAnsi="IRNazanin" w:eastAsia="IRNazanin" w:cs="IRNazanin"/>
          <w:lang w:bidi="fa-IR"/>
          <w:color w:val="111111"/>
          <w:sz w:val="28"/>
          <w:szCs w:val="28"/>
          <w:rtl/>
        </w:rPr>
        <w:t xml:space="preserve">خط: نستعليق، كاتب- مؤلف، تا: قرن 12؛ مصحح، محشی؛ تملکی با مهر «عبده» یا «علی»( بیضی)؛ مهر: وقف کتاب بر خزانه مجتهديه (دايره) جلد: مقوایی عطف تیماج مشکی، 156گ، مختلف السطر ، اندازه: 13</w:t>
      </w:r>
      <w:r>
        <w:rPr>
          <w:rFonts w:ascii="Times New Roman" w:hAnsi="Times New Roman" w:eastAsia="Times New Roman" w:cs="Times New Roman"/>
          <w:lang w:val="en-US" w:bidi="en-US"/>
          <w:color w:val="111111"/>
          <w:sz w:val="28"/>
          <w:szCs w:val="28"/>
          <w:rtl/>
        </w:rPr>
        <w:t xml:space="preserve">×26</w:t>
      </w:r>
      <w:r>
        <w:rPr>
          <w:rFonts w:ascii="Amiri" w:hAnsi="Amiri" w:eastAsia="Amiri" w:cs="Amiri"/>
          <w:lang w:bidi="ar-SA"/>
          <w:color w:val="111111"/>
          <w:sz w:val="28"/>
          <w:szCs w:val="28"/>
          <w:rtl/>
        </w:rPr>
        <w:t xml:space="preserve">سم [اوراق عتيق: 1 - 175]</w:t>
      </w:r>
    </w:p>
    <w:p>
      <w:pPr>
        <w:pStyle w:val="BookText"/>
      </w:pPr>
      <w:r>
        <w:rPr>
          <w:rFonts w:ascii="IRNazanin" w:hAnsi="IRNazanin" w:eastAsia="IRNazanin" w:cs="IRNazanin"/>
          <w:lang w:bidi="fa-IR"/>
          <w:color w:val="111111"/>
          <w:sz w:val="28"/>
          <w:szCs w:val="28"/>
          <w:rtl/>
        </w:rPr>
        <w:t xml:space="preserve">قم؛ مرکز احیاء؛ شماره نسخه: 521</w:t>
      </w:r>
    </w:p>
    <w:p>
      <w:pPr>
        <w:pStyle w:val="BookText"/>
      </w:pPr>
      <w:r>
        <w:rPr>
          <w:rFonts w:ascii="IRNazanin" w:hAnsi="IRNazanin" w:eastAsia="IRNazanin" w:cs="IRNazanin"/>
          <w:lang w:bidi="fa-IR"/>
          <w:color w:val="111111"/>
          <w:sz w:val="28"/>
          <w:szCs w:val="28"/>
          <w:rtl/>
        </w:rPr>
        <w:t xml:space="preserve">نسخه اصل: همان نسخه بالا [عکسی ف: 2 - 113]</w:t>
      </w:r>
    </w:p>
    <w:p>
      <w:pPr>
        <w:pStyle w:val="Heading3"/>
      </w:pPr>
      <w:bookmarkStart w:id="529" w:name="_Toc51"/>
      <w:r>
        <w:t>ارشاد الاذهان الى احكام الایمان (ترجمه) / فقه /فارسی</w:t>
      </w:r>
      <w:bookmarkEnd w:id="529"/>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15" w:name="pg20365_260016"/>
    <w:bookmarkEnd w:id="15"/>
    <w:p>
      <w:pPr>
        <w:pStyle w:val="BookText"/>
      </w:pPr>
      <w:r>
        <w:rPr>
          <w:rFonts w:ascii="Times New Roman" w:hAnsi="Times New Roman" w:eastAsia="Times New Roman" w:cs="Times New Roman"/>
          <w:lang w:val="en-US" w:bidi="en-US"/>
          <w:color w:val="111111"/>
          <w:sz w:val="28"/>
          <w:szCs w:val="28"/>
          <w:rtl/>
        </w:rPr>
        <w:t xml:space="preserve">ad-ul adhan ila ahkam-il Iman (t.)</w:t>
      </w:r>
    </w:p>
    <w:p>
      <w:pPr>
        <w:pStyle w:val="BookText"/>
      </w:pPr>
      <w:r>
        <w:rPr>
          <w:rFonts w:ascii="IRNazanin" w:hAnsi="IRNazanin" w:eastAsia="IRNazanin" w:cs="IRNazanin"/>
          <w:lang w:bidi="fa-IR"/>
          <w:color w:val="111111"/>
          <w:sz w:val="28"/>
          <w:szCs w:val="28"/>
          <w:rtl/>
        </w:rPr>
        <w:t xml:space="preserve">وابسته به: ارشاد الاذهان الى احكام الايمان علامه حلی، حسن يوسف (648-726)</w:t>
      </w:r>
    </w:p>
    <w:p>
      <w:pPr>
        <w:pStyle w:val="BookText"/>
      </w:pPr>
      <w:r>
        <w:rPr>
          <w:rFonts w:ascii="IRNazanin" w:hAnsi="IRNazanin" w:eastAsia="IRNazanin" w:cs="IRNazanin"/>
          <w:lang w:bidi="fa-IR"/>
          <w:color w:val="111111"/>
          <w:sz w:val="28"/>
          <w:szCs w:val="28"/>
          <w:rtl/>
        </w:rPr>
        <w:t xml:space="preserve">کتابی مفصل در ترجمه کتاب «ارشاد الاذهان الى احکام الایمان» که برای استفاده فارسی زبانان تحریر شده است متاسفانه نامی از مترجم به میان نیامده است. ترجمه بسیار روان سلیس نوشته و به حدود قرن 11 تعلق دارد</w:t>
      </w:r>
    </w:p>
    <w:p>
      <w:pPr>
        <w:pStyle w:val="BookText"/>
      </w:pPr>
      <w:r>
        <w:rPr>
          <w:rFonts w:ascii="IRNazanin" w:hAnsi="IRNazanin" w:eastAsia="IRNazanin" w:cs="IRNazanin"/>
          <w:lang w:bidi="fa-IR"/>
          <w:color w:val="111111"/>
          <w:sz w:val="28"/>
          <w:szCs w:val="28"/>
          <w:rtl/>
        </w:rPr>
        <w:t xml:space="preserve">آران کاشان؛ محمد هلال؛ شماره نسخه: 19</w:t>
      </w:r>
    </w:p>
    <w:p>
      <w:pPr>
        <w:pStyle w:val="BookText"/>
      </w:pPr>
      <w:r>
        <w:rPr>
          <w:rFonts w:ascii="IRNazanin" w:hAnsi="IRNazanin" w:eastAsia="IRNazanin" w:cs="IRNazanin"/>
          <w:lang w:bidi="fa-IR"/>
          <w:color w:val="111111"/>
          <w:sz w:val="28"/>
          <w:szCs w:val="28"/>
          <w:rtl/>
        </w:rPr>
        <w:t xml:space="preserve">آغاز: بسمله و به نستعین شکر مرخدای را که یگانه است به اول نداشتن و همیشه بودن پاک است از آلایش... اما بعد به درستی که خدای تعالی چنانکه واجب ساخته است بر فرزند فرمانبردا مادر و پدر؛ انجام: مقصد ششم در شجاج یعنی جراحتی که  در سر و رو واقع شود در حارصه که آن جراحتی بود... و اخذ کرده شود دیت در یک شجه که مختلف بوده باشد نفوذ او به جزئی شجه که نفوذ او بیشتر بود.</w:t>
      </w:r>
    </w:p>
    <w:p>
      <w:pPr>
        <w:pStyle w:val="BookText"/>
      </w:pPr>
      <w:r>
        <w:rPr>
          <w:rFonts w:ascii="IRNazanin" w:hAnsi="IRNazanin" w:eastAsia="IRNazanin" w:cs="IRNazanin"/>
          <w:lang w:bidi="fa-IR"/>
          <w:color w:val="111111"/>
          <w:sz w:val="28"/>
          <w:szCs w:val="28"/>
          <w:rtl/>
        </w:rPr>
        <w:t xml:space="preserve">کامل، از طهارت تا پایان دیات؛ خط: نستعلیق، بی کا، تا: قرن 11 ؛جلد: تیماج و حاشیه تیماج قهوه ای عطف گالینگور آبی 148گ، 29 سطر ، اندازه: 19</w:t>
      </w:r>
      <w:r>
        <w:rPr>
          <w:rFonts w:ascii="Times New Roman" w:hAnsi="Times New Roman" w:eastAsia="Times New Roman" w:cs="Times New Roman"/>
          <w:lang w:val="en-US" w:bidi="en-US"/>
          <w:color w:val="111111"/>
          <w:sz w:val="28"/>
          <w:szCs w:val="28"/>
          <w:rtl/>
        </w:rPr>
        <w:t xml:space="preserve">×26</w:t>
      </w:r>
      <w:r>
        <w:rPr>
          <w:rFonts w:ascii="IRNazanin" w:hAnsi="IRNazanin" w:eastAsia="IRNazanin" w:cs="IRNazanin"/>
          <w:lang w:bidi="fa-IR"/>
          <w:color w:val="111111"/>
          <w:sz w:val="28"/>
          <w:szCs w:val="28"/>
          <w:rtl/>
        </w:rPr>
        <w:t xml:space="preserve">سم [ف مخ: - 29]</w:t>
      </w:r>
    </w:p>
    <w:p>
      <w:pPr>
        <w:pStyle w:val="BookText"/>
      </w:pPr>
      <w:r>
        <w:rPr>
          <w:rFonts w:ascii="IRNazanin" w:hAnsi="IRNazanin" w:eastAsia="IRNazanin" w:cs="IRNazanin"/>
          <w:lang w:bidi="fa-IR"/>
          <w:color w:val="111111"/>
          <w:sz w:val="28"/>
          <w:szCs w:val="28"/>
          <w:rtl/>
        </w:rPr>
        <w:t xml:space="preserve">قم؛ مرکز احیاء؛ شماره نسخه: 429</w:t>
      </w:r>
    </w:p>
    <w:p>
      <w:pPr>
        <w:pStyle w:val="BookText"/>
      </w:pPr>
      <w:r>
        <w:rPr>
          <w:rFonts w:ascii="IRNazanin" w:hAnsi="IRNazanin" w:eastAsia="IRNazanin" w:cs="IRNazanin"/>
          <w:lang w:bidi="fa-IR"/>
          <w:color w:val="111111"/>
          <w:sz w:val="28"/>
          <w:szCs w:val="28"/>
          <w:rtl/>
        </w:rPr>
        <w:t xml:space="preserve">نسخه اصل: همان نسخه بالا [عکسی ف: 2 - 25]</w:t>
      </w:r>
    </w:p>
    <w:p>
      <w:pPr>
        <w:pStyle w:val="Heading3"/>
      </w:pPr>
      <w:bookmarkStart w:id="530" w:name="_Toc52"/>
      <w:r>
        <w:t>ارشاد الاذهان الى احكام الايمان (ترجمه) / فقه/ فارسی</w:t>
      </w:r>
      <w:bookmarkEnd w:id="530"/>
    </w:p>
    <w:p>
      <w:pPr>
        <w:pStyle w:val="BookText"/>
      </w:pPr>
      <w:r>
        <w:rPr>
          <w:rFonts w:ascii="Times New Roman" w:hAnsi="Times New Roman" w:eastAsia="Times New Roman" w:cs="Times New Roman"/>
          <w:lang w:val="en-US" w:bidi="en-US"/>
          <w:color w:val="111111"/>
          <w:sz w:val="28"/>
          <w:szCs w:val="28"/>
          <w:rtl/>
        </w:rPr>
        <w:t xml:space="preserve">|ad-ul adhan ila aḥkām-il īmān (t.)</w:t>
      </w:r>
    </w:p>
    <w:p>
      <w:pPr>
        <w:pStyle w:val="BookText"/>
      </w:pPr>
      <w:r>
        <w:rPr>
          <w:rFonts w:ascii="IRNazanin" w:hAnsi="IRNazanin" w:eastAsia="IRNazanin" w:cs="IRNazanin"/>
          <w:lang w:bidi="fa-IR"/>
          <w:color w:val="111111"/>
          <w:sz w:val="28"/>
          <w:szCs w:val="28"/>
          <w:rtl/>
        </w:rPr>
        <w:t xml:space="preserve">وابسته به ارشاد الاذهان الى احكام الايمان علامه حلی، حسن بن يوسف (648-726)</w:t>
      </w:r>
    </w:p>
    <w:p>
      <w:pPr>
        <w:pStyle w:val="BookText"/>
      </w:pPr>
      <w:r>
        <w:rPr>
          <w:rFonts w:ascii="IRNazanin" w:hAnsi="IRNazanin" w:eastAsia="IRNazanin" w:cs="IRNazanin"/>
          <w:lang w:bidi="fa-IR"/>
          <w:color w:val="111111"/>
          <w:sz w:val="28"/>
          <w:szCs w:val="28"/>
          <w:rtl/>
        </w:rPr>
        <w:t xml:space="preserve">ترجمه کتاب صلاة از «ارشاد الاذهان» علامه حلی است که در زیر متن عربی ترجمه تحت اللفظی شده است.</w:t>
      </w:r>
    </w:p>
    <w:p>
      <w:pPr>
        <w:pStyle w:val="BookText"/>
      </w:pPr>
      <w:r>
        <w:rPr>
          <w:rFonts w:ascii="IRNazanin" w:hAnsi="IRNazanin" w:eastAsia="IRNazanin" w:cs="IRNazanin"/>
          <w:lang w:bidi="fa-IR"/>
          <w:color w:val="111111"/>
          <w:sz w:val="28"/>
          <w:szCs w:val="28"/>
          <w:rtl/>
        </w:rPr>
        <w:t xml:space="preserve">مشهد: رضوی؛ شماره نسخه: 37750</w:t>
      </w:r>
    </w:p>
    <w:p>
      <w:pPr>
        <w:pStyle w:val="BookText"/>
      </w:pPr>
      <w:r>
        <w:rPr>
          <w:rFonts w:ascii="IRNazanin" w:hAnsi="IRNazanin" w:eastAsia="IRNazanin" w:cs="IRNazanin"/>
          <w:lang w:bidi="fa-IR"/>
          <w:color w:val="111111"/>
          <w:sz w:val="28"/>
          <w:szCs w:val="28"/>
          <w:rtl/>
        </w:rPr>
        <w:t xml:space="preserve">آغاز: بسمله. ... الحمد لله المتفرد بالقدم والدوام. .. ابتدا مى کنم بنام خدای بخشنده مهربان، سپاس مر خدایی را که متفرد است ؛انجام: سبحان الله و الحمد لله .. سبحان یعنی به پاکی یاد می کنم خدای را و سپاس مر خدا را و نیست معبودی مگر خدا و خد تعالی بزرگ است</w:t>
      </w:r>
    </w:p>
    <w:p>
      <w:pPr>
        <w:pStyle w:val="BookText"/>
      </w:pPr>
      <w:r>
        <w:rPr>
          <w:rFonts w:ascii="IRNazanin" w:hAnsi="IRNazanin" w:eastAsia="IRNazanin" w:cs="IRNazanin"/>
          <w:lang w:bidi="fa-IR"/>
          <w:color w:val="111111"/>
          <w:sz w:val="28"/>
          <w:szCs w:val="28"/>
          <w:rtl/>
        </w:rPr>
        <w:t xml:space="preserve">از ابتدای خطبه تا پایان صلوة؛ خط: نسخ خوش، بی کا، تا: قرن 13 ؛دارای کتیبه زرین منقش که در متن آن شکل هشت پر زرین شده و اطراف این شکل مزین به نقوش اسلیمی زرین متن لاجورد كم حال، اهدائی رهبری، مهر 1386؛ کاغذ: نخودی فرنگی آهار مهره، جلد: تیماج ضربی مشکی با ترنج و دو سرترنج عطف میشن ،مشکی، 66گ، 16 سطر ، اندازه: 10/5</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اهدائی - ف: 3 - 55]</w:t>
      </w:r>
    </w:p>
    <w:p>
      <w:pPr>
        <w:pStyle w:val="BookText"/>
      </w:pPr>
      <w:r>
        <w:rPr>
          <w:rFonts w:ascii="IRNazanin" w:hAnsi="IRNazanin" w:eastAsia="IRNazanin" w:cs="IRNazanin"/>
          <w:lang w:bidi="fa-IR"/>
          <w:color w:val="111111"/>
          <w:sz w:val="28"/>
          <w:szCs w:val="28"/>
          <w:rtl/>
        </w:rPr>
        <w:t xml:space="preserve">مشهد؛ شیخ علی حیدر؛ شماره نسخه: 1279/2</w:t>
      </w:r>
    </w:p>
    <w:p>
      <w:pPr>
        <w:pStyle w:val="BookText"/>
      </w:pPr>
      <w:r>
        <w:rPr>
          <w:rFonts w:ascii="IRNazanin" w:hAnsi="IRNazanin" w:eastAsia="IRNazanin" w:cs="IRNazanin"/>
          <w:lang w:bidi="fa-IR"/>
          <w:color w:val="111111"/>
          <w:sz w:val="28"/>
          <w:szCs w:val="28"/>
          <w:rtl/>
        </w:rPr>
        <w:t xml:space="preserve">همان نسخه بالا ، 66گ (14ر - 80پ)، 16 سطر [مؤيد: 3 - 233]</w:t>
      </w:r>
    </w:p>
    <w:p>
      <w:pPr>
        <w:pStyle w:val="Heading3"/>
      </w:pPr>
      <w:bookmarkStart w:id="531" w:name="_Toc53"/>
      <w:r>
        <w:t>ارشاد اذهان در امامت ائمه انام (علیه السّلام) / کلام و اعتقادات امامت / فارسی</w:t>
      </w:r>
      <w:bookmarkEnd w:id="531"/>
    </w:p>
    <w:p>
      <w:pPr>
        <w:pStyle w:val="BookText"/>
      </w:pPr>
      <w:r>
        <w:rPr>
          <w:rFonts w:ascii="Times New Roman" w:hAnsi="Times New Roman" w:eastAsia="Times New Roman" w:cs="Times New Roman"/>
          <w:lang w:val="en-US" w:bidi="en-US"/>
          <w:color w:val="111111"/>
          <w:sz w:val="28"/>
          <w:szCs w:val="28"/>
          <w:rtl/>
        </w:rPr>
        <w:t xml:space="preserve">eršād-e azhan dar emāmat-e a'emme-ye anam</w:t>
      </w:r>
    </w:p>
    <w:p>
      <w:pPr>
        <w:pStyle w:val="BookText"/>
      </w:pPr>
      <w:r>
        <w:rPr>
          <w:rFonts w:ascii="IRNazanin" w:hAnsi="IRNazanin" w:eastAsia="IRNazanin" w:cs="IRNazanin"/>
          <w:lang w:bidi="fa-IR"/>
          <w:color w:val="111111"/>
          <w:sz w:val="28"/>
          <w:szCs w:val="28"/>
          <w:rtl/>
        </w:rPr>
        <w:t xml:space="preserve">برادکاهی لنکرانی، محمد صادق بن محمد، 1285 - قمری</w:t>
      </w:r>
    </w:p>
    <w:p>
      <w:pPr>
        <w:pStyle w:val="BookText"/>
      </w:pPr>
      <w:r>
        <w:rPr>
          <w:rFonts w:ascii="Times New Roman" w:hAnsi="Times New Roman" w:eastAsia="Times New Roman" w:cs="Times New Roman"/>
          <w:lang w:val="en-US" w:bidi="en-US"/>
          <w:color w:val="111111"/>
          <w:sz w:val="28"/>
          <w:szCs w:val="28"/>
          <w:rtl/>
        </w:rPr>
        <w:t xml:space="preserve">barādkāhī lankarānī, mohammad sādeq ebn-emohammad ( - 1869)</w:t>
      </w:r>
    </w:p>
    <w:p>
      <w:pPr>
        <w:pStyle w:val="BookText"/>
      </w:pPr>
      <w:r>
        <w:rPr>
          <w:rFonts w:ascii="IRNazanin" w:hAnsi="IRNazanin" w:eastAsia="IRNazanin" w:cs="IRNazanin"/>
          <w:lang w:bidi="fa-IR"/>
          <w:color w:val="111111"/>
          <w:sz w:val="28"/>
          <w:szCs w:val="28"/>
          <w:rtl/>
        </w:rPr>
        <w:t xml:space="preserve">تاریخ :تألیف: پنج شنبه 11 ذیقعده 1279ق</w:t>
      </w:r>
    </w:p>
    <w:p>
      <w:pPr>
        <w:pStyle w:val="BookText"/>
      </w:pPr>
      <w:r>
        <w:rPr>
          <w:rFonts w:ascii="IRNazanin" w:hAnsi="IRNazanin" w:eastAsia="IRNazanin" w:cs="IRNazanin"/>
          <w:lang w:bidi="fa-IR"/>
          <w:color w:val="111111"/>
          <w:sz w:val="28"/>
          <w:szCs w:val="28"/>
          <w:rtl/>
        </w:rPr>
        <w:t xml:space="preserve">کتابی است در اثبات امامت ائمه اثنا عشر (علیه السّلام)، مرتب بر چند «فصل»: 1 .بیان مذاهب مسلمین؛ 2 .بیان مذاهب أهل سنت؛ 3.  بیان حقیقت شیعه و امامت امیرالمؤمنین (علیه السّلام) درسه مطلب: آيات، دلیل عقل، احادیث؛ 4- اثبات امامت سایر ائمه (علیه السّلام)؛ 5- رد ادله اهل سنت بر خلافت غاصبين؛ -6 مطاعن خلفاء ثلاثه؛ خاتمة: وصيت مؤلف. مؤلف دارای دو کتاب دیگر در عقاید بوده است، یکی به نام «انتصار» و دیگری «درر و غرر» که در این کتاب به آنها نیز اشاره کرده است.</w:t>
      </w:r>
    </w:p>
    <w:p>
      <w:pPr>
        <w:pStyle w:val="BookText"/>
      </w:pPr>
      <w:r>
        <w:rPr>
          <w:rFonts w:ascii="IRNazanin" w:hAnsi="IRNazanin" w:eastAsia="IRNazanin" w:cs="IRNazanin"/>
          <w:lang w:bidi="fa-IR"/>
          <w:color w:val="111111"/>
          <w:sz w:val="28"/>
          <w:szCs w:val="28"/>
          <w:rtl/>
        </w:rPr>
        <w:t xml:space="preserve">آغاز: الحمد لله حمد الشاكرين... و بعد چنین گوید... که چون لازم و واجب بود هر مکلف را که اصول اعتقاد خود را... فصل اول در بیان مذاهب و نقل اقوال مسلمین</w:t>
      </w:r>
    </w:p>
    <w:p>
      <w:pPr>
        <w:pStyle w:val="BookText"/>
      </w:pPr>
      <w:r>
        <w:rPr>
          <w:rFonts w:ascii="IRNazanin" w:hAnsi="IRNazanin" w:eastAsia="IRNazanin" w:cs="IRNazanin"/>
          <w:lang w:bidi="fa-IR"/>
          <w:color w:val="111111"/>
          <w:sz w:val="28"/>
          <w:szCs w:val="28"/>
          <w:rtl/>
        </w:rPr>
        <w:t xml:space="preserve">انجام: و اگر کسی بتأویل صحیح این کتاب را مطالعه نماید و انصاف دهد حقیقت امر بر او منکشف می گردد و الله ولی العصمة و هو  التوفیق والحمدلله  اولاً وآخراً و ظاهراً و باطناً سراً و علانية</w:t>
      </w:r>
    </w:p>
    <w:p>
      <w:pPr>
        <w:pStyle w:val="BookText"/>
      </w:pPr>
      <w:r>
        <w:rPr>
          <w:rFonts w:ascii="IRNazanin" w:hAnsi="IRNazanin" w:eastAsia="IRNazanin" w:cs="IRNazanin"/>
          <w:lang w:bidi="fa-IR"/>
          <w:color w:val="111111"/>
          <w:sz w:val="28"/>
          <w:szCs w:val="28"/>
          <w:rtl/>
        </w:rPr>
        <w:t xml:space="preserve">چاپ: تبریز، 1281ق، سنگی، وزیری</w:t>
      </w:r>
    </w:p>
    <w:p>
      <w:pPr>
        <w:pStyle w:val="BookText"/>
      </w:pPr>
      <w:r>
        <w:rPr>
          <w:rFonts w:ascii="IRNazanin" w:hAnsi="IRNazanin" w:eastAsia="IRNazanin" w:cs="IRNazanin"/>
          <w:lang w:bidi="fa-IR"/>
          <w:color w:val="111111"/>
          <w:sz w:val="28"/>
          <w:szCs w:val="28"/>
          <w:rtl/>
        </w:rPr>
        <w:t xml:space="preserve">[الذريعه 510/1؛ مشار فارسی 2261]</w:t>
      </w:r>
    </w:p>
    <w:p>
      <w:pPr>
        <w:pStyle w:val="BookText"/>
      </w:pPr>
      <w:r>
        <w:rPr>
          <w:rFonts w:ascii="IRNazanin" w:hAnsi="IRNazanin" w:eastAsia="IRNazanin" w:cs="IRNazanin"/>
          <w:lang w:bidi="fa-IR"/>
          <w:color w:val="111111"/>
          <w:sz w:val="28"/>
          <w:szCs w:val="28"/>
          <w:rtl/>
        </w:rPr>
        <w:t xml:space="preserve">1 . مشهد؛ شیخ علی حیدر؛ شماره نسخه: 25</w:t>
      </w:r>
    </w:p>
    <w:p>
      <w:pPr>
        <w:pStyle w:val="BookText"/>
      </w:pPr>
      <w:r>
        <w:rPr>
          <w:rFonts w:ascii="IRNazanin" w:hAnsi="IRNazanin" w:eastAsia="IRNazanin" w:cs="IRNazanin"/>
          <w:lang w:bidi="fa-IR"/>
          <w:color w:val="111111"/>
          <w:sz w:val="28"/>
          <w:szCs w:val="28"/>
          <w:rtl/>
        </w:rPr>
        <w:t xml:space="preserve">آغاز: برابر؛ انجام: این بنده ذلیل خود را به این نعمت عظمی سرافراز هشت. الحمد لله و المنة</w:t>
      </w:r>
    </w:p>
    <w:p>
      <w:pPr>
        <w:pStyle w:val="BookText"/>
      </w:pPr>
      <w:r>
        <w:rPr>
          <w:rFonts w:ascii="IRNazanin" w:hAnsi="IRNazanin" w:eastAsia="IRNazanin" w:cs="IRNazanin"/>
          <w:lang w:bidi="fa-IR"/>
          <w:color w:val="111111"/>
          <w:sz w:val="28"/>
          <w:szCs w:val="28"/>
          <w:rtl/>
        </w:rPr>
        <w:t xml:space="preserve">خط: نستعليق، كاتب - مؤلف، تا: یکشنبه 29 ذیحجه 1281ق؛ از روی نسخه دیگری به خط خودش، مجدول، مصحح؛ تملك: میرآقا ابن جبار معين التجار در اردبیل؛ مهر: «آقا محمد الموسوى 1277» (مربع) جلد: تیماج ،مشکی، 244، 15 سطر ، اندازه: 13</w:t>
      </w:r>
      <w:r>
        <w:rPr>
          <w:rFonts w:ascii="Times New Roman" w:hAnsi="Times New Roman" w:eastAsia="Times New Roman" w:cs="Times New Roman"/>
          <w:lang w:val="en-US" w:bidi="en-US"/>
          <w:color w:val="111111"/>
          <w:sz w:val="28"/>
          <w:szCs w:val="28"/>
          <w:rtl/>
        </w:rPr>
        <w:t xml:space="preserve">×21</w:t>
      </w:r>
      <w:r>
        <w:rPr>
          <w:rFonts w:ascii="Amiri" w:hAnsi="Amiri" w:eastAsia="Amiri" w:cs="Amiri"/>
          <w:lang w:bidi="ar-SA"/>
          <w:color w:val="111111"/>
          <w:sz w:val="28"/>
          <w:szCs w:val="28"/>
          <w:rtl/>
        </w:rPr>
        <w:t xml:space="preserve">سم [مؤيد 3 - 563]</w:t>
      </w:r>
    </w:p>
    <w:p>
      <w:pPr>
        <w:pStyle w:val="BookText"/>
      </w:pPr>
      <w:r>
        <w:rPr>
          <w:rFonts w:ascii="IRNazanin" w:hAnsi="IRNazanin" w:eastAsia="IRNazanin" w:cs="IRNazanin"/>
          <w:lang w:bidi="fa-IR"/>
          <w:color w:val="111111"/>
          <w:sz w:val="28"/>
          <w:szCs w:val="28"/>
          <w:rtl/>
        </w:rPr>
        <w:t xml:space="preserve">2 .قم؛ مرکز مطالعات؛ شماره نسخه: 173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سید محمد بن میر محمد شریف لنکرانی، تا: دوشنبه 11 جمادی الاول 1280ق؛ این نسخه دوم کاتب است که از روی نسخه اول خود و آن را از روی مسوده مؤلف نوشته است، مصحح، مقابله شده و با علامت بلاغ؛ اهدایی محمد حسین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16" w:name="pg20365_260017"/>
    <w:bookmarkEnd w:id="16"/>
    <w:p>
      <w:pPr>
        <w:pStyle w:val="BookText"/>
      </w:pPr>
      <w:r>
        <w:rPr>
          <w:rFonts w:ascii="IRNazanin" w:hAnsi="IRNazanin" w:eastAsia="IRNazanin" w:cs="IRNazanin"/>
          <w:lang w:bidi="fa-IR"/>
          <w:color w:val="111111"/>
          <w:sz w:val="28"/>
          <w:szCs w:val="28"/>
          <w:rtl/>
        </w:rPr>
        <w:t xml:space="preserve">اقحوانی توسط عبدالعظیم قائمی تبریزی 1385ق؛ جلد: تیماج مشکی ضربی دارای ترنج با سر مجدول گرهی عطف پارچه ای ،165گ، 17 سطر ، اندازه: 17 </w:t>
      </w:r>
      <w:r>
        <w:rPr>
          <w:rFonts w:ascii="Times New Roman" w:hAnsi="Times New Roman" w:eastAsia="Times New Roman" w:cs="Times New Roman"/>
          <w:lang w:val="en-US" w:bidi="en-US"/>
          <w:color w:val="111111"/>
          <w:sz w:val="28"/>
          <w:szCs w:val="28"/>
          <w:rtl/>
        </w:rPr>
        <w:t xml:space="preserve">×26</w:t>
      </w:r>
      <w:r>
        <w:rPr>
          <w:rFonts w:ascii="IRNazanin" w:hAnsi="IRNazanin" w:eastAsia="IRNazanin" w:cs="IRNazanin"/>
          <w:lang w:bidi="fa-IR"/>
          <w:color w:val="111111"/>
          <w:sz w:val="28"/>
          <w:szCs w:val="28"/>
          <w:rtl/>
        </w:rPr>
        <w:t xml:space="preserve">سم [ف: 1-143]</w:t>
      </w:r>
    </w:p>
    <w:p>
      <w:pPr>
        <w:pStyle w:val="BookText"/>
      </w:pPr>
      <w:r>
        <w:rPr>
          <w:rFonts w:ascii="IRNazanin" w:hAnsi="IRNazanin" w:eastAsia="IRNazanin" w:cs="IRNazanin"/>
          <w:lang w:bidi="fa-IR"/>
          <w:color w:val="111111"/>
          <w:sz w:val="28"/>
          <w:szCs w:val="28"/>
          <w:rtl/>
        </w:rPr>
        <w:t xml:space="preserve">3.قزوین؛ امام صادق؛ شماره نسخه: 164</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سید محمد بن میر محمد شریف لنکرانی، الاصل و نمينى المسكن، تا: 4 صفر 1281ق، جا: قلعه نمین؛ این نسخه سومین نسخه از کتاب است ،مجدول، وصیت نامه مؤلف دو صفحه در برگ های آخر نسخه دارای حواشی از مؤلف نشان «منه»؛ جلد: تیماج سیاه، 140گ، 17 سطر [ف: 1 - 29]</w:t>
      </w:r>
    </w:p>
    <w:p>
      <w:pPr>
        <w:pStyle w:val="BookText"/>
      </w:pPr>
      <w:r>
        <w:rPr>
          <w:rFonts w:ascii="IRNazanin" w:hAnsi="IRNazanin" w:eastAsia="IRNazanin" w:cs="IRNazanin"/>
          <w:lang w:bidi="fa-IR"/>
          <w:color w:val="111111"/>
          <w:sz w:val="28"/>
          <w:szCs w:val="28"/>
          <w:rtl/>
        </w:rPr>
        <w:t xml:space="preserve">4 . مشهد؛ الهیات شماره نسخه: 14897</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کا: آن را دو کاتب نگاشته است نیمی از آن به خط کربلائی میرزا محمد علی بن مشهدی رمضان لنکرانی که آن را به نیمه رسانده است از جهان رفت و پس از دو سال برادرش محمد تقی بن مشهدی رمضان لنکرانی آن را نوشته،تا: پنج شنبه 19 ذیقعده 1285ق؛ در پشت صفحه اول یادداشت وقفی مورخ 1320 ه- ق با مهر «عبدالرحيم» آمده؛ مهر: «یا امام تقى 1289 ه-ق؛  که گویا مهر کاتب نسخه باشد؛ جلد: تیماج قهوه ای عطف تیماج ،مشکی،180گ، 15 سطر (11</w:t>
      </w:r>
      <w:r>
        <w:rPr>
          <w:rFonts w:ascii="Times New Roman" w:hAnsi="Times New Roman" w:eastAsia="Times New Roman" w:cs="Times New Roman"/>
          <w:lang w:val="en-US" w:bidi="en-US"/>
          <w:color w:val="111111"/>
          <w:sz w:val="28"/>
          <w:szCs w:val="28"/>
          <w:rtl/>
        </w:rPr>
        <w:t xml:space="preserve">×18/5) :</w:t>
      </w:r>
      <w:r>
        <w:rPr>
          <w:rFonts w:ascii="IRNazanin" w:hAnsi="IRNazanin" w:eastAsia="IRNazanin" w:cs="IRNazanin"/>
          <w:lang w:bidi="fa-IR"/>
          <w:color w:val="111111"/>
          <w:sz w:val="28"/>
          <w:szCs w:val="28"/>
          <w:rtl/>
        </w:rPr>
        <w:t xml:space="preserve">اندازه 18</w:t>
      </w:r>
      <w:r>
        <w:rPr>
          <w:rFonts w:ascii="Times New Roman" w:hAnsi="Times New Roman" w:eastAsia="Times New Roman" w:cs="Times New Roman"/>
          <w:lang w:val="en-US" w:bidi="en-US"/>
          <w:color w:val="111111"/>
          <w:sz w:val="28"/>
          <w:szCs w:val="28"/>
          <w:rtl/>
        </w:rPr>
        <w:t xml:space="preserve">× 27</w:t>
      </w:r>
      <w:r>
        <w:rPr>
          <w:rFonts w:ascii="IRNazanin" w:hAnsi="IRNazanin" w:eastAsia="IRNazanin" w:cs="IRNazanin"/>
          <w:lang w:bidi="fa-IR"/>
          <w:color w:val="111111"/>
          <w:sz w:val="28"/>
          <w:szCs w:val="28"/>
          <w:rtl/>
        </w:rPr>
        <w:t xml:space="preserve">سم [ف: 2 - 213]</w:t>
      </w:r>
    </w:p>
    <w:p>
      <w:pPr>
        <w:pStyle w:val="Heading3"/>
      </w:pPr>
      <w:bookmarkStart w:id="532" w:name="_Toc54"/>
      <w:r>
        <w:t>ارشاد الاذهان في تجويد القرآن / تجويد / عربی</w:t>
      </w:r>
      <w:bookmarkEnd w:id="532"/>
    </w:p>
    <w:p>
      <w:pPr>
        <w:pStyle w:val="BookText"/>
      </w:pPr>
      <w:r>
        <w:rPr>
          <w:rFonts w:ascii="Times New Roman" w:hAnsi="Times New Roman" w:eastAsia="Times New Roman" w:cs="Times New Roman"/>
          <w:lang w:val="en-US" w:bidi="en-US"/>
          <w:color w:val="111111"/>
          <w:sz w:val="28"/>
          <w:szCs w:val="28"/>
          <w:rtl/>
        </w:rPr>
        <w:t xml:space="preserve">iršād-ul-aḏhān fī tajwīd-il-qur‘ān</w:t>
      </w:r>
    </w:p>
    <w:p>
      <w:pPr>
        <w:pStyle w:val="BookText"/>
      </w:pPr>
      <w:r>
        <w:rPr>
          <w:rFonts w:ascii="IRNazanin" w:hAnsi="IRNazanin" w:eastAsia="IRNazanin" w:cs="IRNazanin"/>
          <w:lang w:bidi="fa-IR"/>
          <w:color w:val="111111"/>
          <w:sz w:val="28"/>
          <w:szCs w:val="28"/>
          <w:rtl/>
        </w:rPr>
        <w:t xml:space="preserve">شریف استر آبادی علی بن علی ق 10 قمری</w:t>
      </w:r>
    </w:p>
    <w:p>
      <w:pPr>
        <w:pStyle w:val="BookText"/>
      </w:pPr>
      <w:r>
        <w:rPr>
          <w:rFonts w:ascii="Times New Roman" w:hAnsi="Times New Roman" w:eastAsia="Times New Roman" w:cs="Times New Roman"/>
          <w:lang w:val="en-US" w:bidi="en-US"/>
          <w:color w:val="111111"/>
          <w:sz w:val="28"/>
          <w:szCs w:val="28"/>
          <w:rtl/>
        </w:rPr>
        <w:t xml:space="preserve">šarīf-e estarābādī, ‘alī ebn-e ‘alī ( - 16c)</w:t>
      </w:r>
    </w:p>
    <w:p>
      <w:pPr>
        <w:pStyle w:val="BookText"/>
      </w:pPr>
      <w:r>
        <w:rPr>
          <w:rFonts w:ascii="Amiri" w:hAnsi="Amiri" w:eastAsia="Amiri" w:cs="Amiri"/>
          <w:lang w:bidi="ar-SA"/>
          <w:color w:val="111111"/>
          <w:sz w:val="28"/>
          <w:szCs w:val="28"/>
          <w:rtl/>
        </w:rPr>
        <w:t xml:space="preserve">[الذريعة 371/3-372]</w:t>
      </w:r>
    </w:p>
    <w:p>
      <w:pPr>
        <w:pStyle w:val="BookText"/>
      </w:pPr>
      <w:r>
        <w:rPr>
          <w:rFonts w:ascii="IRNazanin" w:hAnsi="IRNazanin" w:eastAsia="IRNazanin" w:cs="IRNazanin"/>
          <w:lang w:bidi="fa-IR"/>
          <w:color w:val="111111"/>
          <w:sz w:val="28"/>
          <w:szCs w:val="28"/>
          <w:rtl/>
        </w:rPr>
        <w:t xml:space="preserve">تهران؛ مجلس؛ شماره نسخه: 5846/1</w:t>
      </w:r>
    </w:p>
    <w:p>
      <w:pPr>
        <w:pStyle w:val="BookText"/>
      </w:pPr>
      <w:r>
        <w:rPr>
          <w:rFonts w:ascii="Amiri" w:hAnsi="Amiri" w:eastAsia="Amiri" w:cs="Amiri"/>
          <w:lang w:bidi="ar-SA"/>
          <w:color w:val="111111"/>
          <w:sz w:val="28"/>
          <w:szCs w:val="28"/>
          <w:rtl/>
        </w:rPr>
        <w:t xml:space="preserve">آغاز: الحمد لله رب العالمين و السلام .. و بعد فيقول العبد الضعيف المحتاج الى رحمة الهادى .. ان الصلوه واجبة على مكلف و هي لا يصح الا بقرائة و القراءة؛ انجام: واو مفتوحه بعد الف بدلا مع التنوين مع اسكان الفاء و هنا آخر ما اوردنا تمت.</w:t>
      </w:r>
    </w:p>
    <w:p>
      <w:pPr>
        <w:pStyle w:val="BookText"/>
      </w:pPr>
      <w:r>
        <w:rPr>
          <w:rFonts w:ascii="IRNazanin" w:hAnsi="IRNazanin" w:eastAsia="IRNazanin" w:cs="IRNazanin"/>
          <w:lang w:bidi="fa-IR"/>
          <w:color w:val="111111"/>
          <w:sz w:val="28"/>
          <w:szCs w:val="28"/>
          <w:rtl/>
        </w:rPr>
        <w:t xml:space="preserve">خط: نسخ، بی کا، تا: قرن 11؛ کاغذ: فرنگی سفید آهاردار، جلد: تیماج حنایی 10ص (2-12)، 15 سطر ، قطع: خشتی، اندازه: 14</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17 - 253]</w:t>
      </w:r>
    </w:p>
    <w:p>
      <w:pPr>
        <w:pStyle w:val="BookText"/>
      </w:pPr>
      <w:r>
        <w:rPr>
          <w:rFonts w:ascii="Amiri" w:hAnsi="Amiri" w:eastAsia="Amiri" w:cs="Amiri"/>
          <w:lang w:bidi="ar-SA"/>
          <w:color w:val="111111"/>
          <w:sz w:val="28"/>
          <w:szCs w:val="28"/>
          <w:rtl/>
        </w:rPr>
        <w:t xml:space="preserve">«ارشاد الاريب في معرفة الاديب )» معجم الادباء</w:t>
      </w:r>
    </w:p>
    <w:p>
      <w:pPr>
        <w:pStyle w:val="Heading3"/>
      </w:pPr>
      <w:bookmarkStart w:id="533" w:name="_Toc55"/>
      <w:r>
        <w:t>ارشاد الافاضل الى مطالب الرسائل / اصول فقه / عربی</w:t>
      </w:r>
      <w:bookmarkEnd w:id="533"/>
    </w:p>
    <w:p>
      <w:pPr>
        <w:pStyle w:val="BookText"/>
      </w:pPr>
      <w:r>
        <w:rPr>
          <w:rFonts w:ascii="Times New Roman" w:hAnsi="Times New Roman" w:eastAsia="Times New Roman" w:cs="Times New Roman"/>
          <w:lang w:val="en-US" w:bidi="en-US"/>
          <w:color w:val="111111"/>
          <w:sz w:val="28"/>
          <w:szCs w:val="28"/>
          <w:rtl/>
        </w:rPr>
        <w:t xml:space="preserve">iršād-ul-afāḍil ila maṭālib-ir-rasā’il</w:t>
      </w:r>
    </w:p>
    <w:p>
      <w:pPr>
        <w:pStyle w:val="BookText"/>
      </w:pPr>
      <w:r>
        <w:rPr>
          <w:rFonts w:ascii="IRNazanin" w:hAnsi="IRNazanin" w:eastAsia="IRNazanin" w:cs="IRNazanin"/>
          <w:lang w:bidi="fa-IR"/>
          <w:color w:val="111111"/>
          <w:sz w:val="28"/>
          <w:szCs w:val="28"/>
          <w:rtl/>
        </w:rPr>
        <w:t xml:space="preserve">سبحانی ،تبریزی محمد حسین بن محمد جعفر، 1329 قمری</w:t>
      </w:r>
    </w:p>
    <w:p>
      <w:pPr>
        <w:pStyle w:val="BookText"/>
      </w:pPr>
      <w:r>
        <w:rPr>
          <w:rFonts w:ascii="Times New Roman" w:hAnsi="Times New Roman" w:eastAsia="Times New Roman" w:cs="Times New Roman"/>
          <w:lang w:val="en-US" w:bidi="en-US"/>
          <w:color w:val="111111"/>
          <w:sz w:val="28"/>
          <w:szCs w:val="28"/>
          <w:rtl/>
        </w:rPr>
        <w:t xml:space="preserve">sobhānī tabrīzī, mohammad hoseyn ebn-e mohammad ja'far (-1911)</w:t>
      </w:r>
    </w:p>
    <w:p>
      <w:pPr>
        <w:pStyle w:val="BookText"/>
      </w:pPr>
      <w:r>
        <w:rPr>
          <w:rFonts w:ascii="IRNazanin" w:hAnsi="IRNazanin" w:eastAsia="IRNazanin" w:cs="IRNazanin"/>
          <w:lang w:bidi="fa-IR"/>
          <w:color w:val="111111"/>
          <w:sz w:val="28"/>
          <w:szCs w:val="28"/>
          <w:rtl/>
        </w:rPr>
        <w:t xml:space="preserve">وابسته به: فرائد الاصول الرسائل = رسائل شیخ انصاری؛ انصاری، مرتضی بن محمد امین (1214-1281)</w:t>
      </w:r>
    </w:p>
    <w:p>
      <w:pPr>
        <w:pStyle w:val="BookText"/>
      </w:pPr>
      <w:r>
        <w:rPr>
          <w:rFonts w:ascii="Amiri" w:hAnsi="Amiri" w:eastAsia="Amiri" w:cs="Amiri"/>
          <w:lang w:bidi="ar-SA"/>
          <w:color w:val="111111"/>
          <w:sz w:val="28"/>
          <w:szCs w:val="28"/>
          <w:rtl/>
        </w:rPr>
        <w:t xml:space="preserve">تاريخ تأليف: سه شنبه 16 شعبان 1365؛ محل تأليف: تبريز</w:t>
      </w:r>
    </w:p>
    <w:p>
      <w:pPr>
        <w:pStyle w:val="BookText"/>
      </w:pPr>
      <w:r>
        <w:rPr>
          <w:rFonts w:ascii="IRNazanin" w:hAnsi="IRNazanin" w:eastAsia="IRNazanin" w:cs="IRNazanin"/>
          <w:lang w:bidi="fa-IR"/>
          <w:color w:val="111111"/>
          <w:sz w:val="28"/>
          <w:szCs w:val="28"/>
          <w:rtl/>
        </w:rPr>
        <w:t xml:space="preserve">حاشیه توضیحی مختصری است با عناوین «قوله - قوله» بر کتاب معروف «الرسائل» (فرائد الاصول) شیخ مرتضی انصاری، تالیف شده برای فرزندش محمد جعفر شیخ جعفر سبحانی هنگامی که کتاب را برای وی تدریس می کرده است.</w:t>
      </w:r>
    </w:p>
    <w:p>
      <w:pPr>
        <w:pStyle w:val="BookText"/>
      </w:pPr>
      <w:r>
        <w:rPr>
          <w:rFonts w:ascii="IRNazanin" w:hAnsi="IRNazanin" w:eastAsia="IRNazanin" w:cs="IRNazanin"/>
          <w:lang w:bidi="fa-IR"/>
          <w:color w:val="111111"/>
          <w:sz w:val="28"/>
          <w:szCs w:val="28"/>
          <w:rtl/>
        </w:rPr>
        <w:t xml:space="preserve">قم؛ امام صادق؛ شماره نسخه: 66-67</w:t>
      </w:r>
    </w:p>
    <w:p>
      <w:pPr>
        <w:pStyle w:val="BookText"/>
      </w:pPr>
      <w:r>
        <w:rPr>
          <w:rFonts w:ascii="IRNazanin" w:hAnsi="IRNazanin" w:eastAsia="IRNazanin" w:cs="IRNazanin"/>
          <w:lang w:bidi="fa-IR"/>
          <w:color w:val="111111"/>
          <w:sz w:val="28"/>
          <w:szCs w:val="28"/>
          <w:rtl/>
        </w:rPr>
        <w:t xml:space="preserve">آغاز: الحمد لله المتفرد بالقدم المتفضل بالنعم بارى الكائنات من العدم والصلاة والسلام على النبي الاكرم؛ انجام: لتلاطم امواج الفتن و تراكم سهائم الشجن فى كثير من بلاد ایران سیما آذربایجان صانه الله عن الحدثان</w:t>
      </w:r>
    </w:p>
    <w:p>
      <w:pPr>
        <w:pStyle w:val="BookText"/>
      </w:pPr>
      <w:r>
        <w:rPr>
          <w:rFonts w:ascii="IRNazanin" w:hAnsi="IRNazanin" w:eastAsia="IRNazanin" w:cs="IRNazanin"/>
          <w:lang w:bidi="fa-IR"/>
          <w:color w:val="111111"/>
          <w:sz w:val="28"/>
          <w:szCs w:val="28"/>
          <w:rtl/>
        </w:rPr>
        <w:t xml:space="preserve">در دو جزء؛ خط: نستعلیق، کاتب- مؤلف، بی تا؛ جلد: تیماج قهوه ای سیر، 221گ مختلف السطر ، اندازه: 17</w:t>
      </w:r>
      <w:r>
        <w:rPr>
          <w:rFonts w:ascii="Times New Roman" w:hAnsi="Times New Roman" w:eastAsia="Times New Roman" w:cs="Times New Roman"/>
          <w:lang w:val="en-US" w:bidi="en-US"/>
          <w:color w:val="111111"/>
          <w:sz w:val="28"/>
          <w:szCs w:val="28"/>
          <w:rtl/>
        </w:rPr>
        <w:t xml:space="preserve">×20/5</w:t>
      </w:r>
      <w:r>
        <w:rPr>
          <w:rFonts w:ascii="IRNazanin" w:hAnsi="IRNazanin" w:eastAsia="IRNazanin" w:cs="IRNazanin"/>
          <w:lang w:bidi="fa-IR"/>
          <w:color w:val="111111"/>
          <w:sz w:val="28"/>
          <w:szCs w:val="28"/>
          <w:rtl/>
        </w:rPr>
        <w:t xml:space="preserve">سم [ف: 60]</w:t>
      </w:r>
    </w:p>
    <w:p>
      <w:pPr>
        <w:pStyle w:val="Heading3"/>
      </w:pPr>
      <w:bookmarkStart w:id="534" w:name="_Toc56"/>
      <w:r>
        <w:t>الارشاد الى الاولاد / كيميا / عربي</w:t>
      </w:r>
      <w:bookmarkEnd w:id="534"/>
    </w:p>
    <w:p>
      <w:pPr>
        <w:pStyle w:val="BookText"/>
      </w:pPr>
      <w:r>
        <w:rPr>
          <w:rFonts w:ascii="Times New Roman" w:hAnsi="Times New Roman" w:eastAsia="Times New Roman" w:cs="Times New Roman"/>
          <w:lang w:val="en-US" w:bidi="en-US"/>
          <w:color w:val="111111"/>
          <w:sz w:val="28"/>
          <w:szCs w:val="28"/>
          <w:rtl/>
        </w:rPr>
        <w:t xml:space="preserve">al-iršad ila-l awlad</w:t>
      </w:r>
    </w:p>
    <w:p>
      <w:pPr>
        <w:pStyle w:val="BookText"/>
      </w:pPr>
      <w:r>
        <w:rPr>
          <w:rFonts w:ascii="IRNazanin" w:hAnsi="IRNazanin" w:eastAsia="IRNazanin" w:cs="IRNazanin"/>
          <w:lang w:bidi="fa-IR"/>
          <w:color w:val="111111"/>
          <w:sz w:val="28"/>
          <w:szCs w:val="28"/>
          <w:rtl/>
        </w:rPr>
        <w:t xml:space="preserve">طغرائی حسین بن علی، 455 - 514 قمری</w:t>
      </w:r>
    </w:p>
    <w:p>
      <w:pPr>
        <w:pStyle w:val="BookText"/>
      </w:pPr>
      <w:r>
        <w:rPr>
          <w:rFonts w:ascii="Times New Roman" w:hAnsi="Times New Roman" w:eastAsia="Times New Roman" w:cs="Times New Roman"/>
          <w:lang w:val="en-US" w:bidi="en-US"/>
          <w:color w:val="111111"/>
          <w:sz w:val="28"/>
          <w:szCs w:val="28"/>
          <w:rtl/>
        </w:rPr>
        <w:t xml:space="preserve">toqra1, hoseyn ebn-e ali (1064 - 1121)</w:t>
      </w:r>
    </w:p>
    <w:p>
      <w:pPr>
        <w:pStyle w:val="BookText"/>
      </w:pPr>
      <w:r>
        <w:rPr>
          <w:rFonts w:ascii="IRNazanin" w:hAnsi="IRNazanin" w:eastAsia="IRNazanin" w:cs="IRNazanin"/>
          <w:lang w:bidi="fa-IR"/>
          <w:color w:val="111111"/>
          <w:sz w:val="28"/>
          <w:szCs w:val="28"/>
          <w:rtl/>
        </w:rPr>
        <w:t xml:space="preserve">مؤلف که نگارنده «مفاتیح الرحمه» و «اسرار الحکمه» و «رساله خاتمه» و «الارشاد الى الاولاد» و جامع الاسرار نیز می باشد، رساله کوتاهی برای اولاد خود در مورد دستورات کیمیایی و پزشکی نوشته است. طغرائی در این نامه کیمیائی می گوید مبادا آنچه از داروها و افزارها و دستورها که در نامه ها آشکارا نوشته اند به کار ببرید و گمراه گردید. اینکه می بینید فرزانگان آنها را به رمز نشان می دهند برای این است که به دست نایشایستگان نیافتد. در شناختن آنها باید درست اندیشید و بر رسید و ورزیده گشت و دانش های گوناگون فراگرفت چه این هنر را جز آنکه خدایش برانگیزد استادی نیست بدانکه آنچه ازسنگها در این نامه یاد شده رمزی است حکمت خدای و دوستان او را طغرائی پس از این مبحث کیمیا را با اصول دینی و عرفانی میسنجد و رازهای دانشمندان پیشین و پسین را در آن می آورد. در آن از «الصفوة» جابر بن حیان یاد گردیده است.</w:t>
      </w:r>
    </w:p>
    <w:p>
      <w:pPr>
        <w:pStyle w:val="BookText"/>
      </w:pPr>
      <w:r>
        <w:rPr>
          <w:rFonts w:ascii="Amiri" w:hAnsi="Amiri" w:eastAsia="Amiri" w:cs="Amiri"/>
          <w:lang w:bidi="ar-SA"/>
          <w:color w:val="111111"/>
          <w:sz w:val="28"/>
          <w:szCs w:val="28"/>
          <w:rtl/>
        </w:rPr>
        <w:t xml:space="preserve">آغاز بسمله. الحمد لله وحده وصلى الله على محمد و آله. قال الصدر الشهيد السعيد مؤيد الدين ابو اسمعيل ابن على الطغرائي الاصبهاني عفى الله تعالى عنه و بعد اسعدكم الله تعالى يا بنى بطاعته و حبب اليكم العمل لمرضاته</w:t>
      </w:r>
    </w:p>
    <w:p>
      <w:pPr>
        <w:pStyle w:val="BookText"/>
      </w:pPr>
      <w:r>
        <w:rPr>
          <w:rFonts w:ascii="Amiri" w:hAnsi="Amiri" w:eastAsia="Amiri" w:cs="Amiri"/>
          <w:lang w:bidi="ar-SA"/>
          <w:color w:val="111111"/>
          <w:sz w:val="28"/>
          <w:szCs w:val="28"/>
          <w:rtl/>
        </w:rPr>
        <w:t xml:space="preserve">انجام: و انا اكرر عليكم الوصية بالكتمان و الاحسان و الله تعالى ولى الامتنان فان اذعتموه و اضعتموه فالله تعالى بيني و بينكم و هو خليفتي عليكم جعلنا الله و اياكم من الفائزين برحمته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17" w:name="pg20365_260018"/>
    <w:bookmarkEnd w:id="17"/>
    <w:p>
      <w:pPr>
        <w:pStyle w:val="BookText"/>
      </w:pPr>
      <w:r>
        <w:rPr>
          <w:rFonts w:ascii="IRNazanin" w:hAnsi="IRNazanin" w:eastAsia="IRNazanin" w:cs="IRNazanin"/>
          <w:lang w:bidi="fa-IR"/>
          <w:color w:val="111111"/>
          <w:sz w:val="28"/>
          <w:szCs w:val="28"/>
          <w:rtl/>
        </w:rPr>
        <w:t xml:space="preserve">الشاكرين لنعمته انه جواد کریم و صلى الله على محمد و اجمعين.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مشهد؛ رضوی؛ شماره نسخه: 10739/12</w:t>
      </w:r>
    </w:p>
    <w:p>
      <w:pPr>
        <w:pStyle w:val="BookText"/>
      </w:pPr>
      <w:r>
        <w:rPr>
          <w:rFonts w:ascii="IRNazanin" w:hAnsi="IRNazanin" w:eastAsia="IRNazanin" w:cs="IRNazanin"/>
          <w:lang w:bidi="fa-IR"/>
          <w:color w:val="111111"/>
          <w:sz w:val="28"/>
          <w:szCs w:val="28"/>
          <w:rtl/>
        </w:rPr>
        <w:t xml:space="preserve">آغاز: برابر؛ انجام: و انا اكرر عليكم الوصية بالكتمان و الاحساس الله ولی الامتنان، تمت</w:t>
      </w:r>
    </w:p>
    <w:p>
      <w:pPr>
        <w:pStyle w:val="BookText"/>
      </w:pPr>
      <w:r>
        <w:rPr>
          <w:rFonts w:ascii="IRNazanin" w:hAnsi="IRNazanin" w:eastAsia="IRNazanin" w:cs="IRNazanin"/>
          <w:lang w:bidi="fa-IR"/>
          <w:color w:val="111111"/>
          <w:sz w:val="28"/>
          <w:szCs w:val="28"/>
          <w:rtl/>
        </w:rPr>
        <w:t xml:space="preserve">خط: نستعلیق، بی کا ،تا: 1226ق [الفبائي: 41]</w:t>
      </w:r>
    </w:p>
    <w:p>
      <w:pPr>
        <w:pStyle w:val="BookText"/>
      </w:pPr>
      <w:r>
        <w:rPr>
          <w:rFonts w:ascii="IRNazanin" w:hAnsi="IRNazanin" w:eastAsia="IRNazanin" w:cs="IRNazanin"/>
          <w:lang w:bidi="fa-IR"/>
          <w:color w:val="111111"/>
          <w:sz w:val="28"/>
          <w:szCs w:val="28"/>
          <w:rtl/>
        </w:rPr>
        <w:t xml:space="preserve">2 .تهران؛ مجلس؛ شماره نسخه: 730/5</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و شکسته ریز، بی کا، تا: 1321ق؛ 32 سطر ، قطع: ،وزیری ،اندازه 13/5</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2 - 464]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دانشگاه؛ شماره نسخه: 941/10</w:t>
      </w:r>
    </w:p>
    <w:p>
      <w:pPr>
        <w:pStyle w:val="BookText"/>
      </w:pPr>
      <w:r>
        <w:rPr>
          <w:rFonts w:ascii="IRNazanin" w:hAnsi="IRNazanin" w:eastAsia="IRNazanin" w:cs="IRNazanin"/>
          <w:lang w:bidi="fa-IR"/>
          <w:color w:val="111111"/>
          <w:sz w:val="28"/>
          <w:szCs w:val="28"/>
          <w:rtl/>
        </w:rPr>
        <w:t xml:space="preserve">آغا و انجام: برابر</w:t>
      </w:r>
    </w:p>
    <w:p>
      <w:pPr>
        <w:pStyle w:val="BookText"/>
      </w:pPr>
      <w:r>
        <w:rPr>
          <w:rFonts w:ascii="IRNazanin" w:hAnsi="IRNazanin" w:eastAsia="IRNazanin" w:cs="IRNazanin"/>
          <w:lang w:bidi="fa-IR"/>
          <w:color w:val="111111"/>
          <w:sz w:val="28"/>
          <w:szCs w:val="28"/>
          <w:rtl/>
        </w:rPr>
        <w:t xml:space="preserve">خط: شکسته نستعلیق، بی کا، بی تا، 2گ (44ر -45پ) [ف: 4- 961]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قم؛ مرکز مطالعات؛ شماره نسخه: 281/4</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بی تا :جلد: تیماج زیتونی ضربی مجدول گرهی عطف و حاشیه تیماج قهوه ای، 9گ (9پ-17ر)، 11 سطر ، اندازه: 12</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1 - 250]</w:t>
      </w:r>
    </w:p>
    <w:p>
      <w:pPr>
        <w:pStyle w:val="Heading3"/>
      </w:pPr>
      <w:bookmarkStart w:id="535" w:name="_Toc57"/>
      <w:r>
        <w:t>الارشاد الى علم الاعراب / نحو / عربي</w:t>
      </w:r>
      <w:bookmarkEnd w:id="535"/>
    </w:p>
    <w:p>
      <w:pPr>
        <w:pStyle w:val="BookText"/>
      </w:pPr>
      <w:r>
        <w:rPr>
          <w:rFonts w:ascii="Times New Roman" w:hAnsi="Times New Roman" w:eastAsia="Times New Roman" w:cs="Times New Roman"/>
          <w:lang w:val="en-US" w:bidi="en-US"/>
          <w:color w:val="111111"/>
          <w:sz w:val="28"/>
          <w:szCs w:val="28"/>
          <w:rtl/>
        </w:rPr>
        <w:t xml:space="preserve">iršād ilā ‘ilm-il i‘rāb</w:t>
      </w:r>
    </w:p>
    <w:p>
      <w:pPr>
        <w:pStyle w:val="BookText"/>
      </w:pPr>
      <w:r>
        <w:rPr>
          <w:rFonts w:ascii="IRNazanin" w:hAnsi="IRNazanin" w:eastAsia="IRNazanin" w:cs="IRNazanin"/>
          <w:lang w:bidi="fa-IR"/>
          <w:color w:val="111111"/>
          <w:sz w:val="28"/>
          <w:szCs w:val="28"/>
          <w:rtl/>
        </w:rPr>
        <w:t xml:space="preserve">کیشی، شمس الدین محمد بن احمد، 615 -695 قمری</w:t>
      </w:r>
    </w:p>
    <w:p>
      <w:pPr>
        <w:pStyle w:val="BookText"/>
      </w:pPr>
      <w:r>
        <w:rPr>
          <w:rFonts w:ascii="Times New Roman" w:hAnsi="Times New Roman" w:eastAsia="Times New Roman" w:cs="Times New Roman"/>
          <w:lang w:val="en-US" w:bidi="en-US"/>
          <w:color w:val="111111"/>
          <w:sz w:val="28"/>
          <w:szCs w:val="28"/>
          <w:rtl/>
        </w:rPr>
        <w:t xml:space="preserve">kīšī, šams-od-dīn mohammad ebn-e ahmad(1219- 1296)</w:t>
      </w:r>
    </w:p>
    <w:p>
      <w:pPr>
        <w:pStyle w:val="BookText"/>
      </w:pPr>
      <w:r>
        <w:rPr>
          <w:rFonts w:ascii="IRNazanin" w:hAnsi="IRNazanin" w:eastAsia="IRNazanin" w:cs="IRNazanin"/>
          <w:lang w:bidi="fa-IR"/>
          <w:color w:val="111111"/>
          <w:sz w:val="28"/>
          <w:szCs w:val="28"/>
          <w:rtl/>
        </w:rPr>
        <w:t xml:space="preserve">کتاب بسیار مهم در علم نحو است و ارتباط کامل با «الایضاح» ابو علی فارسی دارد. او در علت و کیفیت تألیف کتاب گفته است «اما بعد فقد دعانى مابي من الجدب على اخواني الى ارتب لهم مختصرا جامعا لعيون علم الاعراب تجنبا مسلک الاطناب و الاسهاب و رأيت ان ادمج فيه جميع مسائل الايضاح بفروعه و مبانيه لاكباب المحصلين على تحقيق معانيه مع زيادات من المسائل و العلل تمس الحاجة اليها في كل باب تتميما تحقيقا لمسایل الکتاب» از آنجا که «الایضاح» از مصادر مهم علم نحو بوده، از این رو علامه کیشی تمام آن را با شواهدش کتاب خویش گنجانده و افزون بر آن، مطالب علمی فراوانی همراه شواهد شعری که بالغ بر221 مورد است همراه آیات  قرآنی بر آن افزوده و خود در مقدمه چنین آورده است:«و رأيت أن أدمج فيه جميع مسائل الايضاح»، بفروعه و مبانیه» لاكباب المحصلين على تحقيق معانيه مع زيادات من المسائل العلل، تمس الحاجة إليها في كل باب تتميماً وتحقيقاً لمسائل الكتاب». مطالب کتاب شامل مقدمه 34 باب و چندین «فصل »  می باشد.</w:t>
      </w:r>
    </w:p>
    <w:p>
      <w:pPr>
        <w:pStyle w:val="BookText"/>
      </w:pPr>
      <w:r>
        <w:rPr>
          <w:rFonts w:ascii="Amiri" w:hAnsi="Amiri" w:eastAsia="Amiri" w:cs="Amiri"/>
          <w:lang w:bidi="ar-SA"/>
          <w:color w:val="111111"/>
          <w:sz w:val="28"/>
          <w:szCs w:val="28"/>
          <w:rtl/>
        </w:rPr>
        <w:t xml:space="preserve">آغاز: بسمله احمدالله على نعمه الباطنة و الظاهرة و اصلى على محمد المؤيد بالحجج القاهرة واسلم على اصحابه النجوم الزاهرة اما بعد فقد دعانى</w:t>
      </w:r>
    </w:p>
    <w:p>
      <w:pPr>
        <w:pStyle w:val="BookText"/>
      </w:pPr>
      <w:r>
        <w:rPr>
          <w:rFonts w:ascii="IRNazanin" w:hAnsi="IRNazanin" w:eastAsia="IRNazanin" w:cs="IRNazanin"/>
          <w:lang w:bidi="fa-IR"/>
          <w:color w:val="111111"/>
          <w:sz w:val="28"/>
          <w:szCs w:val="28"/>
          <w:rtl/>
        </w:rPr>
        <w:t xml:space="preserve">انجام: کتاب سواء كان مبتداء صرفاً او واقعاً بعد دواخل المبتداء لان له التصدر فكيف يكون آخر الكلام تم كتاب الارشاد في النحو، بعون الحق.</w:t>
      </w:r>
    </w:p>
    <w:p>
      <w:pPr>
        <w:pStyle w:val="BookText"/>
      </w:pPr>
      <w:r>
        <w:rPr>
          <w:rFonts w:ascii="IRNazanin" w:hAnsi="IRNazanin" w:eastAsia="IRNazanin" w:cs="IRNazanin"/>
          <w:lang w:bidi="fa-IR"/>
          <w:color w:val="111111"/>
          <w:sz w:val="28"/>
          <w:szCs w:val="28"/>
          <w:rtl/>
        </w:rPr>
        <w:t xml:space="preserve">چاپ :محقق عبدالله على الحسينى البرکاتی و محسن سالم العميرى مكة المكرمة، جامعة ام القرى، مركز احياء التراث ،الاسلامی، چاپ 1، 1410ق.</w:t>
      </w:r>
    </w:p>
    <w:p>
      <w:pPr>
        <w:pStyle w:val="BookText"/>
      </w:pPr>
      <w:r>
        <w:rPr>
          <w:rFonts w:ascii="IRNazanin" w:hAnsi="IRNazanin" w:eastAsia="IRNazanin" w:cs="IRNazanin"/>
          <w:lang w:bidi="fa-IR"/>
          <w:color w:val="111111"/>
          <w:sz w:val="28"/>
          <w:szCs w:val="28"/>
          <w:rtl/>
        </w:rPr>
        <w:t xml:space="preserve">1.قم؛ مرعشی شماره نسخه: 13039</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،معرب، کا: عبدالقاهر بن على بن اسعد شفروه، تا:675ق، مصحح، محشی با نشان «هی منه»، مقابله شده، افزودگی هایی در موضوع کتاب بعد از انجام آمده؛ تملک: «كلب على الكاظمى قطمیر» با مهر «کلب على ....» (بيضي)؛ کاغذ: شرقی آهار مهره، جلد: تیماج قهوه ای ضربی با ترنج و سرترنج و لچک گل و بوته، 127گ، 17سطر، اندازه: 9</w:t>
      </w:r>
      <w:r>
        <w:rPr>
          <w:rFonts w:ascii="Times New Roman" w:hAnsi="Times New Roman" w:eastAsia="Times New Roman" w:cs="Times New Roman"/>
          <w:lang w:val="en-US" w:bidi="en-US"/>
          <w:color w:val="111111"/>
          <w:sz w:val="28"/>
          <w:szCs w:val="28"/>
          <w:rtl/>
        </w:rPr>
        <w:t xml:space="preserve">× 17/5</w:t>
      </w:r>
      <w:r>
        <w:rPr>
          <w:rFonts w:ascii="IRNazanin" w:hAnsi="IRNazanin" w:eastAsia="IRNazanin" w:cs="IRNazanin"/>
          <w:lang w:bidi="fa-IR"/>
          <w:color w:val="111111"/>
          <w:sz w:val="28"/>
          <w:szCs w:val="28"/>
          <w:rtl/>
        </w:rPr>
        <w:t xml:space="preserve">سم[ف: 33 - 89]</w:t>
      </w:r>
    </w:p>
    <w:p>
      <w:pPr>
        <w:pStyle w:val="BookText"/>
      </w:pPr>
      <w:r>
        <w:rPr>
          <w:rFonts w:ascii="IRNazanin" w:hAnsi="IRNazanin" w:eastAsia="IRNazanin" w:cs="IRNazanin"/>
          <w:lang w:bidi="fa-IR"/>
          <w:color w:val="111111"/>
          <w:sz w:val="28"/>
          <w:szCs w:val="28"/>
          <w:rtl/>
        </w:rPr>
        <w:t xml:space="preserve">2 . مشهد؛ رضوی؛ شماره نسخه: 13009</w:t>
      </w:r>
    </w:p>
    <w:p>
      <w:pPr>
        <w:pStyle w:val="BookText"/>
      </w:pPr>
      <w:r>
        <w:rPr>
          <w:rFonts w:ascii="Amiri" w:hAnsi="Amiri" w:eastAsia="Amiri" w:cs="Amiri"/>
          <w:lang w:bidi="ar-SA"/>
          <w:color w:val="111111"/>
          <w:sz w:val="28"/>
          <w:szCs w:val="28"/>
          <w:rtl/>
        </w:rPr>
        <w:t xml:space="preserve">آغاز: برابر؛ انجام: قال الجرجانى ان اراد كون .. و أعلمية سببا فالاخفش يصرف... لانه قال...</w:t>
      </w:r>
    </w:p>
    <w:p>
      <w:pPr>
        <w:pStyle w:val="BookText"/>
      </w:pPr>
      <w:r>
        <w:rPr>
          <w:rFonts w:ascii="IRNazanin" w:hAnsi="IRNazanin" w:eastAsia="IRNazanin" w:cs="IRNazanin"/>
          <w:lang w:bidi="fa-IR"/>
          <w:color w:val="111111"/>
          <w:sz w:val="28"/>
          <w:szCs w:val="28"/>
          <w:rtl/>
        </w:rPr>
        <w:t xml:space="preserve">نام مؤلف به استناد نسخه ش 13039 مرعشی ذکر شد؛ خط: نسخ، بی کا، تا: قرن 7 ؛افتادگی: انجام: محشی به خط کاتب؛ واقف :عبدالله مجتهد پور، مرداد 1362 کاغذ: حنائی، 81گ، 17 سطر :اندازه 16/3</w:t>
      </w:r>
      <w:r>
        <w:rPr>
          <w:rFonts w:ascii="Times New Roman" w:hAnsi="Times New Roman" w:eastAsia="Times New Roman" w:cs="Times New Roman"/>
          <w:lang w:val="en-US" w:bidi="en-US"/>
          <w:color w:val="111111"/>
          <w:sz w:val="28"/>
          <w:szCs w:val="28"/>
          <w:rtl/>
        </w:rPr>
        <w:t xml:space="preserve">×12/5</w:t>
      </w:r>
      <w:r>
        <w:rPr>
          <w:rFonts w:ascii="IRNazanin" w:hAnsi="IRNazanin" w:eastAsia="IRNazanin" w:cs="IRNazanin"/>
          <w:lang w:bidi="fa-IR"/>
          <w:color w:val="111111"/>
          <w:sz w:val="28"/>
          <w:szCs w:val="28"/>
          <w:rtl/>
        </w:rPr>
        <w:t xml:space="preserve">سم [ف: 12 - 493]</w:t>
      </w:r>
    </w:p>
    <w:p>
      <w:pPr>
        <w:pStyle w:val="Heading3"/>
      </w:pPr>
      <w:bookmarkStart w:id="536" w:name="_Toc58"/>
      <w:r>
        <w:t>الارشاد الى نجاة العباد / عرفان و تصوف / عربی</w:t>
      </w:r>
      <w:bookmarkEnd w:id="536"/>
    </w:p>
    <w:p>
      <w:pPr>
        <w:pStyle w:val="BookText"/>
      </w:pPr>
      <w:r>
        <w:rPr>
          <w:rFonts w:ascii="Times New Roman" w:hAnsi="Times New Roman" w:eastAsia="Times New Roman" w:cs="Times New Roman"/>
          <w:lang w:val="en-US" w:bidi="en-US"/>
          <w:color w:val="111111"/>
          <w:sz w:val="28"/>
          <w:szCs w:val="28"/>
          <w:rtl/>
        </w:rPr>
        <w:t xml:space="preserve">al-iršād ila nijāt-il-'ibād</w:t>
      </w:r>
    </w:p>
    <w:p>
      <w:pPr>
        <w:pStyle w:val="BookText"/>
      </w:pPr>
      <w:r>
        <w:rPr>
          <w:rFonts w:ascii="IRNazanin" w:hAnsi="IRNazanin" w:eastAsia="IRNazanin" w:cs="IRNazanin"/>
          <w:lang w:bidi="fa-IR"/>
          <w:color w:val="111111"/>
          <w:sz w:val="28"/>
          <w:szCs w:val="28"/>
          <w:rtl/>
        </w:rPr>
        <w:t xml:space="preserve">عنسی ،مذحجی عبدالله بن زيد، - 667 قمری</w:t>
      </w:r>
    </w:p>
    <w:p>
      <w:pPr>
        <w:pStyle w:val="BookText"/>
      </w:pPr>
      <w:r>
        <w:rPr>
          <w:rFonts w:ascii="Times New Roman" w:hAnsi="Times New Roman" w:eastAsia="Times New Roman" w:cs="Times New Roman"/>
          <w:lang w:val="en-US" w:bidi="en-US"/>
          <w:color w:val="111111"/>
          <w:sz w:val="28"/>
          <w:szCs w:val="28"/>
          <w:rtl/>
        </w:rPr>
        <w:t xml:space="preserve">'ansī mazhejī, ‘abd-ol-lah ebn-e zeyd ( - 1269)</w:t>
      </w:r>
    </w:p>
    <w:p>
      <w:pPr>
        <w:pStyle w:val="BookText"/>
      </w:pPr>
      <w:r>
        <w:rPr>
          <w:rFonts w:ascii="IRNazanin" w:hAnsi="IRNazanin" w:eastAsia="IRNazanin" w:cs="IRNazanin"/>
          <w:lang w:bidi="fa-IR"/>
          <w:color w:val="111111"/>
          <w:sz w:val="28"/>
          <w:szCs w:val="28"/>
          <w:rtl/>
        </w:rPr>
        <w:t xml:space="preserve">تألیف: آخرین جمعه ربیع الاول 632ق</w:t>
      </w:r>
    </w:p>
    <w:p>
      <w:pPr>
        <w:pStyle w:val="BookText"/>
      </w:pPr>
      <w:r>
        <w:rPr>
          <w:rFonts w:ascii="IRNazanin" w:hAnsi="IRNazanin" w:eastAsia="IRNazanin" w:cs="IRNazanin"/>
          <w:lang w:bidi="fa-IR"/>
          <w:color w:val="111111"/>
          <w:sz w:val="28"/>
          <w:szCs w:val="28"/>
          <w:rtl/>
        </w:rPr>
        <w:t xml:space="preserve">دستوراتی است عرفانی برای تهذیب نفس و تصفیه باطن، آن گونه که در آیات کریمه و احادیث شریفه و کلمات بزرگان اهل تصوف و عرفان آمده، با عناوین «ارشاد الی... » در این کتاب از اصول اعتقادی و اعمال عبادی و دستورات اخلاقی و وظایف انسان از دید ظاهر و باطن گفتگو شده است.</w:t>
      </w:r>
    </w:p>
    <w:p>
      <w:pPr>
        <w:pStyle w:val="BookText"/>
      </w:pPr>
      <w:r>
        <w:rPr>
          <w:rFonts w:ascii="IRNazanin" w:hAnsi="IRNazanin" w:eastAsia="IRNazanin" w:cs="IRNazanin"/>
          <w:lang w:bidi="fa-IR"/>
          <w:color w:val="111111"/>
          <w:sz w:val="28"/>
          <w:szCs w:val="28"/>
          <w:rtl/>
        </w:rPr>
        <w:t xml:space="preserve">آغاز: اللهم انى معترف لك بالربوبية و لمن سواك بالعبودية اللهم تصديقاً لكتبك و اتباعاً لرسلك و اذعاناً لامرک و نهیک</w:t>
      </w:r>
    </w:p>
    <w:p>
      <w:pPr>
        <w:pStyle w:val="BookText"/>
      </w:pPr>
      <w:r>
        <w:rPr>
          <w:rFonts w:ascii="Amiri" w:hAnsi="Amiri" w:eastAsia="Amiri" w:cs="Amiri"/>
          <w:lang w:bidi="ar-SA"/>
          <w:color w:val="111111"/>
          <w:sz w:val="28"/>
          <w:szCs w:val="28"/>
          <w:rtl/>
        </w:rPr>
        <w:t xml:space="preserve">انجام: و ما لم يكن سماعاً لى فقد ذكرت اني وجدته فلم أطلق الرواية فيه و ليس ذلك الا في مواضع ندرة يجدها القارى كذلك</w:t>
      </w:r>
    </w:p>
    <w:p>
      <w:pPr>
        <w:pStyle w:val="BookText"/>
      </w:pPr>
      <w:r>
        <w:rPr>
          <w:rFonts w:ascii="Amiri" w:hAnsi="Amiri" w:eastAsia="Amiri" w:cs="Amiri"/>
          <w:lang w:bidi="ar-SA"/>
          <w:color w:val="111111"/>
          <w:sz w:val="28"/>
          <w:szCs w:val="28"/>
          <w:rtl/>
        </w:rPr>
        <w:t xml:space="preserve">[مؤلفات الزيديه 103/1]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18" w:name="pg20365_260019"/>
    <w:bookmarkEnd w:id="18"/>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دانشگاه؛ شماره نسخه: 4-3552-ع</w:t>
      </w:r>
    </w:p>
    <w:p>
      <w:pPr>
        <w:pStyle w:val="BookText"/>
      </w:pPr>
      <w:r>
        <w:rPr>
          <w:rFonts w:ascii="IRNazanin" w:hAnsi="IRNazanin" w:eastAsia="IRNazanin" w:cs="IRNazanin"/>
          <w:lang w:bidi="fa-IR"/>
          <w:color w:val="111111"/>
          <w:sz w:val="28"/>
          <w:szCs w:val="28"/>
          <w:rtl/>
        </w:rPr>
        <w:t xml:space="preserve">نسخه :اصل: توبینگن 2039 .</w:t>
      </w:r>
      <w:r>
        <w:rPr>
          <w:rFonts w:ascii="Times New Roman" w:hAnsi="Times New Roman" w:eastAsia="Times New Roman" w:cs="Times New Roman"/>
          <w:lang w:val="en-US" w:bidi="en-US"/>
          <w:color w:val="111111"/>
          <w:sz w:val="28"/>
          <w:szCs w:val="28"/>
          <w:rtl/>
        </w:rPr>
        <w:t xml:space="preserve">Or.qu</w:t>
      </w:r>
      <w:r>
        <w:rPr>
          <w:rFonts w:ascii="IRNazanin" w:hAnsi="IRNazanin" w:eastAsia="IRNazanin" w:cs="IRNazanin"/>
          <w:lang w:bidi="fa-IR"/>
          <w:color w:val="111111"/>
          <w:sz w:val="28"/>
          <w:szCs w:val="28"/>
          <w:rtl/>
        </w:rPr>
        <w:t xml:space="preserve">؛ خط: نسخ ،کا: علی بن داوود حسینی، تا: یک شنبه 9 شوال 715ق؛ تملک: محمد بن احمد ربیعی؛ 242گ [ فیلم ها - ف: 1 - 282 و 3 - 226]</w:t>
      </w:r>
    </w:p>
    <w:p>
      <w:pPr>
        <w:pStyle w:val="BookText"/>
      </w:pPr>
      <w:r>
        <w:rPr>
          <w:rFonts w:ascii="IRNazanin" w:hAnsi="IRNazanin" w:eastAsia="IRNazanin" w:cs="IRNazanin"/>
          <w:lang w:bidi="fa-IR"/>
          <w:color w:val="111111"/>
          <w:sz w:val="28"/>
          <w:szCs w:val="28"/>
          <w:rtl/>
        </w:rPr>
        <w:t xml:space="preserve">تهران ملی؛ شماره :نسخه عکسی بدون: شماره</w:t>
      </w:r>
    </w:p>
    <w:p>
      <w:pPr>
        <w:pStyle w:val="BookText"/>
      </w:pPr>
      <w:r>
        <w:rPr>
          <w:rFonts w:ascii="IRNazanin" w:hAnsi="IRNazanin" w:eastAsia="IRNazanin" w:cs="IRNazanin"/>
          <w:lang w:bidi="fa-IR"/>
          <w:color w:val="111111"/>
          <w:sz w:val="28"/>
          <w:szCs w:val="28"/>
          <w:rtl/>
        </w:rPr>
        <w:t xml:space="preserve">نسخه اصل: همان اصل نسخه بالا [ نشریه: 3 - 100]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قم؛ مرکز احیاء؛ شماره نسخه: 2681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احمد بن صالح بن صلاح حریمی، تا: یک شنبه 18 ربیع الثانى 1053ق؛ مصحح؛ دارای یادداشتی از کاتب که کتاب برای «شجاع الدين سعدالدين سعيد بن ناصر بن سعيد بن احمد  شاوری حریمی» نگاشته و روایات متفرقه و یادداشتی از «اسحاق بن يوسف بن المتوكل على الله اسمعيل بن امير المؤمنين القا المنصور بالله» در اختلافات بين خاصه عامه؛ تملک: «محمد بن  احمد شمس الدین بن قاسم یمانی»، «ریحان الله بن جعفر موسوی» با مهر بیضوی نام وی در شعبان 1310 ؛جلد: تیماج مشکی ضربی فرسوده، 255گ، مختلف السطر ، اندازه: 15</w:t>
      </w:r>
      <w:r>
        <w:rPr>
          <w:rFonts w:ascii="Times New Roman" w:hAnsi="Times New Roman" w:eastAsia="Times New Roman" w:cs="Times New Roman"/>
          <w:lang w:val="en-US" w:bidi="en-US"/>
          <w:color w:val="111111"/>
          <w:sz w:val="28"/>
          <w:szCs w:val="28"/>
          <w:rtl/>
        </w:rPr>
        <w:t xml:space="preserve">×20/5</w:t>
      </w:r>
      <w:r>
        <w:rPr>
          <w:rFonts w:ascii="IRNazanin" w:hAnsi="IRNazanin" w:eastAsia="IRNazanin" w:cs="IRNazanin"/>
          <w:lang w:bidi="fa-IR"/>
          <w:color w:val="111111"/>
          <w:sz w:val="28"/>
          <w:szCs w:val="28"/>
          <w:rtl/>
        </w:rPr>
        <w:t xml:space="preserve">سم [محدث ارموی مخ: 1 - 116]</w:t>
      </w:r>
    </w:p>
    <w:p>
      <w:pPr>
        <w:pStyle w:val="BookText"/>
      </w:pPr>
      <w:r>
        <w:rPr>
          <w:rFonts w:ascii="IRNazanin" w:hAnsi="IRNazanin" w:eastAsia="IRNazanin" w:cs="IRNazanin"/>
          <w:lang w:bidi="fa-IR"/>
          <w:color w:val="111111"/>
          <w:sz w:val="28"/>
          <w:szCs w:val="28"/>
          <w:rtl/>
        </w:rPr>
        <w:t xml:space="preserve">3.قم ؛مرعشی؛ شماره نسخه: 7274</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سعيد بن على بن احمد بن صلاح واحدى، تا:چهارشنبه 10 جمادی الثانی 1067ق؛ به دستور سید یحیی عبدالمنعم بن زيد بن عزالدین ابن حسن علوی یمانی؛ مجدوال، روی برگ اول چند یادداشت و نشانی مطالعه الحسن بن المتوكل على الله ؛ تملک: احمد ابن عبدالله بن احمد بن اسحق بن ابراهيم بن المهدى بن احمد بن الحسن بن القاسم و احمد حسن بن المهدى لدين الله؛ جلد: تيماج ،مشکی، 121گ 33 سطر ، اندازه: 20</w:t>
      </w:r>
      <w:r>
        <w:rPr>
          <w:rFonts w:ascii="Times New Roman" w:hAnsi="Times New Roman" w:eastAsia="Times New Roman" w:cs="Times New Roman"/>
          <w:lang w:val="en-US" w:bidi="en-US"/>
          <w:color w:val="111111"/>
          <w:sz w:val="28"/>
          <w:szCs w:val="28"/>
          <w:rtl/>
        </w:rPr>
        <w:t xml:space="preserve">×30</w:t>
      </w:r>
      <w:r>
        <w:rPr>
          <w:rFonts w:ascii="IRNazanin" w:hAnsi="IRNazanin" w:eastAsia="IRNazanin" w:cs="IRNazanin"/>
          <w:lang w:bidi="fa-IR"/>
          <w:color w:val="111111"/>
          <w:sz w:val="28"/>
          <w:szCs w:val="28"/>
          <w:rtl/>
        </w:rPr>
        <w:t xml:space="preserve">سم [ف: 19 - 62]</w:t>
      </w:r>
    </w:p>
    <w:p>
      <w:pPr>
        <w:pStyle w:val="Heading3"/>
      </w:pPr>
      <w:bookmarkStart w:id="537" w:name="_Toc59"/>
      <w:r>
        <w:t>إرشاد الأنام إلى شرح فيض الملك العلام / فقه / عربی</w:t>
      </w:r>
      <w:bookmarkEnd w:id="537"/>
    </w:p>
    <w:p>
      <w:pPr>
        <w:pStyle w:val="BookText"/>
      </w:pPr>
      <w:r>
        <w:rPr>
          <w:rFonts w:ascii="Times New Roman" w:hAnsi="Times New Roman" w:eastAsia="Times New Roman" w:cs="Times New Roman"/>
          <w:lang w:val="en-US" w:bidi="en-US"/>
          <w:color w:val="111111"/>
          <w:sz w:val="28"/>
          <w:szCs w:val="28"/>
          <w:rtl/>
        </w:rPr>
        <w:t xml:space="preserve">iršād-ul-’anām ila s.-i fiyḍ-ul-malik-il-‘allām</w:t>
      </w:r>
    </w:p>
    <w:p>
      <w:pPr>
        <w:pStyle w:val="BookText"/>
      </w:pPr>
      <w:r>
        <w:rPr>
          <w:rFonts w:ascii="IRNazanin" w:hAnsi="IRNazanin" w:eastAsia="IRNazanin" w:cs="IRNazanin"/>
          <w:lang w:bidi="fa-IR"/>
          <w:color w:val="111111"/>
          <w:sz w:val="28"/>
          <w:szCs w:val="28"/>
          <w:rtl/>
        </w:rPr>
        <w:t xml:space="preserve">بطاح، يوسف بن محمد، – 1246 قمری</w:t>
      </w:r>
    </w:p>
    <w:p>
      <w:pPr>
        <w:pStyle w:val="BookText"/>
      </w:pPr>
      <w:r>
        <w:rPr>
          <w:rFonts w:ascii="Times New Roman" w:hAnsi="Times New Roman" w:eastAsia="Times New Roman" w:cs="Times New Roman"/>
          <w:lang w:val="en-US" w:bidi="en-US"/>
          <w:color w:val="111111"/>
          <w:sz w:val="28"/>
          <w:szCs w:val="28"/>
          <w:rtl/>
        </w:rPr>
        <w:t xml:space="preserve">botāh, yūsof ebn-e mohammad ( - 1831</w:t>
      </w:r>
    </w:p>
    <w:p>
      <w:pPr>
        <w:pStyle w:val="BookText"/>
      </w:pPr>
      <w:r>
        <w:rPr>
          <w:rFonts w:ascii="IRNazanin" w:hAnsi="IRNazanin" w:eastAsia="IRNazanin" w:cs="IRNazanin"/>
          <w:lang w:bidi="fa-IR"/>
          <w:color w:val="111111"/>
          <w:sz w:val="28"/>
          <w:szCs w:val="28"/>
          <w:rtl/>
        </w:rPr>
        <w:t xml:space="preserve">تاريخ تأليف: سه شنبه آخر جمادى الثاني 1244؛ محل تاليف: مکه</w:t>
      </w:r>
    </w:p>
    <w:p>
      <w:pPr>
        <w:pStyle w:val="BookText"/>
      </w:pPr>
      <w:r>
        <w:rPr>
          <w:rFonts w:ascii="IRNazanin" w:hAnsi="IRNazanin" w:eastAsia="IRNazanin" w:cs="IRNazanin"/>
          <w:lang w:bidi="fa-IR"/>
          <w:color w:val="111111"/>
          <w:sz w:val="28"/>
          <w:szCs w:val="28"/>
          <w:rtl/>
        </w:rPr>
        <w:t xml:space="preserve">تعلیقاتی است بر کتاب «فیض الملك العلام لما اشتمل علیه النسك من الأحكام ابو عبد الله محمد بن صالح زبیری (-1240) که درباره مستحبات مناسک نگاشته بود. مؤلف مقدمه در آداب و فضایل مناسک و آداب سفر و خاتمه ای در فواید مکان هایی که در آن دعا مستجاب است، بر متن قبل افزوده و پس از مقدمه،شرح حال مؤلف را به نقل شاگردش محمدبن خضر بصری آورده است.</w:t>
      </w:r>
    </w:p>
    <w:p>
      <w:pPr>
        <w:pStyle w:val="BookText"/>
      </w:pPr>
      <w:r>
        <w:rPr>
          <w:rFonts w:ascii="IRNazanin" w:hAnsi="IRNazanin" w:eastAsia="IRNazanin" w:cs="IRNazanin"/>
          <w:lang w:bidi="fa-IR"/>
          <w:color w:val="111111"/>
          <w:sz w:val="28"/>
          <w:szCs w:val="28"/>
          <w:rtl/>
        </w:rPr>
        <w:t xml:space="preserve">چاپ: المطبوعات ،الميمنيه، 47 ص 1309ق.</w:t>
      </w:r>
    </w:p>
    <w:p>
      <w:pPr>
        <w:pStyle w:val="BookText"/>
      </w:pPr>
      <w:r>
        <w:rPr>
          <w:rFonts w:ascii="IRNazanin" w:hAnsi="IRNazanin" w:eastAsia="IRNazanin" w:cs="IRNazanin"/>
          <w:lang w:bidi="fa-IR"/>
          <w:color w:val="111111"/>
          <w:sz w:val="28"/>
          <w:szCs w:val="28"/>
          <w:rtl/>
        </w:rPr>
        <w:t xml:space="preserve">[فهرست کتابهای عربی لینجی ص 91، ايضاح المكنون 59/1]</w:t>
      </w:r>
    </w:p>
    <w:p>
      <w:pPr>
        <w:pStyle w:val="BookText"/>
      </w:pPr>
      <w:r>
        <w:rPr>
          <w:rFonts w:ascii="IRNazanin" w:hAnsi="IRNazanin" w:eastAsia="IRNazanin" w:cs="IRNazanin"/>
          <w:lang w:bidi="fa-IR"/>
          <w:color w:val="111111"/>
          <w:sz w:val="28"/>
          <w:szCs w:val="28"/>
          <w:rtl/>
        </w:rPr>
        <w:t xml:space="preserve">قم مرکز احیاء؛ شماره نسخه: 324/2</w:t>
      </w:r>
    </w:p>
    <w:p>
      <w:pPr>
        <w:pStyle w:val="BookText"/>
      </w:pPr>
      <w:r>
        <w:rPr>
          <w:rFonts w:ascii="IRNazanin" w:hAnsi="IRNazanin" w:eastAsia="IRNazanin" w:cs="IRNazanin"/>
          <w:lang w:bidi="fa-IR"/>
          <w:color w:val="111111"/>
          <w:sz w:val="28"/>
          <w:szCs w:val="28"/>
          <w:rtl/>
        </w:rPr>
        <w:t xml:space="preserve">آغاز: الحمد لله وكفا ... و بعد فهذا تعليق لطيف على مختصر شيخنا العلامة محمد بن صالح الرئيس المنيف نسخه اصل: کتابخانه آکادمی لینچی - رم 49 </w:t>
      </w:r>
      <w:r>
        <w:rPr>
          <w:rFonts w:ascii="Times New Roman" w:hAnsi="Times New Roman" w:eastAsia="Times New Roman" w:cs="Times New Roman"/>
          <w:lang w:val="en-US" w:bidi="en-US"/>
          <w:color w:val="111111"/>
          <w:sz w:val="28"/>
          <w:szCs w:val="28"/>
          <w:rtl/>
        </w:rPr>
        <w:t xml:space="preserve">roosi 350</w:t>
      </w:r>
      <w:r>
        <w:rPr>
          <w:rFonts w:ascii="IRNazanin" w:hAnsi="IRNazanin" w:eastAsia="IRNazanin" w:cs="IRNazanin"/>
          <w:lang w:bidi="fa-IR"/>
          <w:color w:val="111111"/>
          <w:sz w:val="28"/>
          <w:szCs w:val="28"/>
          <w:rtl/>
        </w:rPr>
        <w:t xml:space="preserve">؛ خط،نسخ ،کا: عبدالرحمن بن ابراهیم ،شرعان، تا:جمعه 12 جمادی الاول 1286ق؛ محشی؛ 143 ص( 29-171) [ عکسی ف: 1 - 384]</w:t>
      </w:r>
    </w:p>
    <w:p>
      <w:pPr>
        <w:pStyle w:val="Heading3"/>
      </w:pPr>
      <w:bookmarkStart w:id="538" w:name="_Toc60"/>
      <w:r>
        <w:t>ارشاد الانام فى ختمية سيد الانام / کلام و اعتقادات / فارسی</w:t>
      </w:r>
      <w:bookmarkEnd w:id="538"/>
    </w:p>
    <w:p>
      <w:pPr>
        <w:pStyle w:val="BookText"/>
      </w:pPr>
      <w:r>
        <w:rPr>
          <w:rFonts w:ascii="Times New Roman" w:hAnsi="Times New Roman" w:eastAsia="Times New Roman" w:cs="Times New Roman"/>
          <w:lang w:val="en-US" w:bidi="en-US"/>
          <w:color w:val="111111"/>
          <w:sz w:val="28"/>
          <w:szCs w:val="28"/>
          <w:rtl/>
        </w:rPr>
        <w:t xml:space="preserve">eršād-ol-anām fi xatamiyat-e sayyed-el-anām</w:t>
      </w:r>
    </w:p>
    <w:p>
      <w:pPr>
        <w:pStyle w:val="BookText"/>
      </w:pPr>
      <w:r>
        <w:rPr>
          <w:rFonts w:ascii="Amiri" w:hAnsi="Amiri" w:eastAsia="Amiri" w:cs="Amiri"/>
          <w:lang w:bidi="ar-SA"/>
          <w:color w:val="111111"/>
          <w:sz w:val="28"/>
          <w:szCs w:val="28"/>
          <w:rtl/>
        </w:rPr>
        <w:t xml:space="preserve">مهدى بن عبد الجليل ق 14 قمرى</w:t>
      </w:r>
    </w:p>
    <w:p>
      <w:pPr>
        <w:pStyle w:val="BookText"/>
      </w:pPr>
      <w:r>
        <w:rPr>
          <w:rFonts w:ascii="Times New Roman" w:hAnsi="Times New Roman" w:eastAsia="Times New Roman" w:cs="Times New Roman"/>
          <w:lang w:val="en-US" w:bidi="en-US"/>
          <w:color w:val="111111"/>
          <w:sz w:val="28"/>
          <w:szCs w:val="28"/>
          <w:rtl/>
        </w:rPr>
        <w:t xml:space="preserve">mahdī ebn-e 'abd-ol-jalīl (- 20c)</w:t>
      </w:r>
    </w:p>
    <w:p>
      <w:pPr>
        <w:pStyle w:val="BookText"/>
      </w:pPr>
      <w:r>
        <w:rPr>
          <w:rFonts w:ascii="IRNazanin" w:hAnsi="IRNazanin" w:eastAsia="IRNazanin" w:cs="IRNazanin"/>
          <w:lang w:bidi="fa-IR"/>
          <w:color w:val="111111"/>
          <w:sz w:val="28"/>
          <w:szCs w:val="28"/>
          <w:rtl/>
        </w:rPr>
        <w:t xml:space="preserve">مشتمل بر یک «مقدمه» و ه «خاتم» و یک«خاتمه»: مقدمه در ذکر آراء صاحبات ادیان و ملل مختلف در خصوص حضرت مهدى (علیه السّلام)؛ ختم  1. بیان کلمات حضرت علی (علیه السّلام) بر ختمیت ختم المرسلين؛ خاتم .2 ذکر کلمات پیغمبر اکرم در خاتمیت خود آن حضرت خاتم 3. ذكر كلمات و خطب و رسائل که نسبت آنها به خاندان عصمت است و بر خاتمیت حضرت رسول دلالت دارد؛ خاتم 4. ذکر خطب و ... که از خلفای اموی و عباسی نقل شده که دلالت بر ختمیت ختمی مرتبت دارد؛ خاتم 4. ذکر اخباری که در حالات و سیره حضرت قائم از ائمه و پیغمبر (صلّی اللَّهِ علیه وَ آلِهِ وَ سَلَّمَ ) رسیده. ... خاتمه در ذکر اخباری که از ائمه هدی در شمشیر زدن آن بزرگوار رسیده است.</w:t>
      </w:r>
    </w:p>
    <w:p>
      <w:pPr>
        <w:pStyle w:val="BookText"/>
      </w:pPr>
      <w:r>
        <w:rPr>
          <w:rFonts w:ascii="IRNazanin" w:hAnsi="IRNazanin" w:eastAsia="IRNazanin" w:cs="IRNazanin"/>
          <w:lang w:bidi="fa-IR"/>
          <w:color w:val="111111"/>
          <w:sz w:val="28"/>
          <w:szCs w:val="28"/>
          <w:rtl/>
        </w:rPr>
        <w:t xml:space="preserve">آغاز: بسمله حمد و ثنای و شکر بی منتها حضرت پادشاهی را که انظار اذكيا و افکار عقلا .. و بعد میگوید بنده ذلیل</w:t>
      </w:r>
    </w:p>
    <w:p>
      <w:pPr>
        <w:pStyle w:val="BookText"/>
      </w:pPr>
      <w:r>
        <w:rPr>
          <w:rFonts w:ascii="IRNazanin" w:hAnsi="IRNazanin" w:eastAsia="IRNazanin" w:cs="IRNazanin"/>
          <w:lang w:bidi="fa-IR"/>
          <w:color w:val="111111"/>
          <w:sz w:val="28"/>
          <w:szCs w:val="28"/>
          <w:rtl/>
        </w:rPr>
        <w:t xml:space="preserve">مشهد؛ الهیات شماره نسخه: 14887/5</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بی کا، بی تا؛ نسخه را مؤلف به پایان نرسانیده است و از میان هم خاتم سوم را نیز تکمیل ننموده است این رساله به پیش نویس مؤلف میماند که برخی از صفحات را نانویس گذاشته گمان می رود در اواخر سده 13 یا اوایل قرن 14ق می زیسته؛ کاغذ ،فرنگی ،جلد: تیماج ،سبز اندازه: 22</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2 - 196]</w:t>
      </w:r>
    </w:p>
    <w:p>
      <w:pPr>
        <w:pStyle w:val="Heading3"/>
      </w:pPr>
      <w:bookmarkStart w:id="539" w:name="_Toc61"/>
      <w:r>
        <w:t>ارشاد اهل الانابة الى وجوه الحل في شرب الطابة / فقه / عربی</w:t>
      </w:r>
      <w:bookmarkEnd w:id="539"/>
    </w:p>
    <w:p>
      <w:pPr>
        <w:pStyle w:val="BookText"/>
      </w:pPr>
      <w:r>
        <w:rPr>
          <w:rFonts w:ascii="Times New Roman" w:hAnsi="Times New Roman" w:eastAsia="Times New Roman" w:cs="Times New Roman"/>
          <w:lang w:val="en-US" w:bidi="en-US"/>
          <w:color w:val="111111"/>
          <w:sz w:val="28"/>
          <w:szCs w:val="28"/>
          <w:rtl/>
        </w:rPr>
        <w:t xml:space="preserve">iršad-u ahl-il inaba ila wujuh-il hal fi surb-it taba</w:t>
      </w:r>
    </w:p>
    <w:p>
      <w:pPr>
        <w:pStyle w:val="BookText"/>
      </w:pPr>
      <w:r>
        <w:rPr>
          <w:rFonts w:ascii="IRNazanin" w:hAnsi="IRNazanin" w:eastAsia="IRNazanin" w:cs="IRNazanin"/>
          <w:lang w:bidi="fa-IR"/>
          <w:color w:val="111111"/>
          <w:sz w:val="28"/>
          <w:szCs w:val="28"/>
          <w:rtl/>
        </w:rPr>
        <w:t xml:space="preserve">بخاری زین الدین بن ملانور</w:t>
      </w:r>
    </w:p>
    <w:p>
      <w:pPr>
        <w:pStyle w:val="BookText"/>
      </w:pPr>
      <w:r>
        <w:rPr>
          <w:rFonts w:ascii="Times New Roman" w:hAnsi="Times New Roman" w:eastAsia="Times New Roman" w:cs="Times New Roman"/>
          <w:lang w:val="en-US" w:bidi="en-US"/>
          <w:color w:val="111111"/>
          <w:sz w:val="28"/>
          <w:szCs w:val="28"/>
          <w:rtl/>
        </w:rPr>
        <w:t xml:space="preserve">boxārī, zayn-od-din ebn-e mollā-nūr</w:t>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 رساله کوتاه مصرف تنباکو و خرید و فروش آن را به دلیل این که نصی در این مورد وارد نشده جایز و حلال دانسته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19" w:name="pg20365_260020"/>
    <w:bookmarkEnd w:id="19"/>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مشهد: رضوی؛ شماره نسخه: 38574</w:t>
      </w:r>
    </w:p>
    <w:p>
      <w:pPr>
        <w:pStyle w:val="BookText"/>
      </w:pPr>
      <w:r>
        <w:rPr>
          <w:rFonts w:ascii="IRNazanin" w:hAnsi="IRNazanin" w:eastAsia="IRNazanin" w:cs="IRNazanin"/>
          <w:lang w:bidi="fa-IR"/>
          <w:color w:val="111111"/>
          <w:sz w:val="28"/>
          <w:szCs w:val="28"/>
          <w:rtl/>
        </w:rPr>
        <w:t xml:space="preserve">آغاز: بسمله حمدله و بعد فيقول المضطر الى كرم البارى زین الدين بن ملا نور البخارى ان السلطان الاعظم آية الله بالعز و النصر؛ انجام: و كانت تلك المصلحة مخصوصة ببلاد لم يتعد ذلک الامر الى غيرها لان ما ثبت بالضرورة متقدر بقدر حاله و الله سبحانه اعلم</w:t>
      </w:r>
    </w:p>
    <w:p>
      <w:pPr>
        <w:pStyle w:val="BookText"/>
      </w:pPr>
      <w:r>
        <w:rPr>
          <w:rFonts w:ascii="IRNazanin" w:hAnsi="IRNazanin" w:eastAsia="IRNazanin" w:cs="IRNazanin"/>
          <w:lang w:bidi="fa-IR"/>
          <w:color w:val="111111"/>
          <w:sz w:val="28"/>
          <w:szCs w:val="28"/>
          <w:rtl/>
        </w:rPr>
        <w:t xml:space="preserve">خط: نسخ، نسخ ،کا: ابراهیم لقانی مالکی، تا: نیمه صفر 1025ق؛ اهدئی رهبری ، تیر 1381؛ کاغذ: نخودی آهار مهره ،جلد: فرنگی آلبالو 2گ، 47 سطر ، اندازه: 15/5</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[اهدائی - ف: 3 - 56]</w:t>
      </w:r>
    </w:p>
    <w:p>
      <w:pPr>
        <w:pStyle w:val="Heading3"/>
      </w:pPr>
      <w:bookmarkStart w:id="540" w:name="_Toc62"/>
      <w:r>
        <w:t>ارشاد الجاهلين / متفرقه / فارسی</w:t>
      </w:r>
      <w:bookmarkEnd w:id="540"/>
    </w:p>
    <w:p>
      <w:pPr>
        <w:pStyle w:val="BookText"/>
      </w:pPr>
      <w:r>
        <w:rPr>
          <w:rFonts w:ascii="IRNazanin" w:hAnsi="IRNazanin" w:eastAsia="IRNazanin" w:cs="IRNazanin"/>
          <w:lang w:bidi="fa-IR"/>
          <w:color w:val="111111"/>
          <w:sz w:val="28"/>
          <w:szCs w:val="28"/>
          <w:rtl/>
        </w:rPr>
        <w:t xml:space="preserve">حسینی گنابادی، عبدالله ،گنابادی عبدالله بن عبدالله ق 14 قمری</w:t>
      </w:r>
    </w:p>
    <w:p>
      <w:pPr>
        <w:pStyle w:val="BookText"/>
      </w:pPr>
      <w:r>
        <w:rPr>
          <w:rFonts w:ascii="Times New Roman" w:hAnsi="Times New Roman" w:eastAsia="Times New Roman" w:cs="Times New Roman"/>
          <w:lang w:val="en-US" w:bidi="en-US"/>
          <w:color w:val="111111"/>
          <w:sz w:val="28"/>
          <w:szCs w:val="28"/>
          <w:rtl/>
        </w:rPr>
        <w:t xml:space="preserve">ad-ol-jahelin</w:t>
      </w:r>
    </w:p>
    <w:p>
      <w:pPr>
        <w:pStyle w:val="BookText"/>
      </w:pPr>
      <w:r>
        <w:rPr>
          <w:rFonts w:ascii="IRNazanin" w:hAnsi="IRNazanin" w:eastAsia="IRNazanin" w:cs="IRNazanin"/>
          <w:lang w:bidi="fa-IR"/>
          <w:color w:val="111111"/>
          <w:sz w:val="28"/>
          <w:szCs w:val="28"/>
          <w:rtl/>
        </w:rPr>
        <w:t xml:space="preserve">حسینی گنابادی، عبدالله بن عبدالله ، ق 14 قمری</w:t>
      </w:r>
    </w:p>
    <w:p>
      <w:pPr>
        <w:pStyle w:val="BookText"/>
      </w:pPr>
      <w:r>
        <w:rPr>
          <w:rFonts w:ascii="Times New Roman" w:hAnsi="Times New Roman" w:eastAsia="Times New Roman" w:cs="Times New Roman"/>
          <w:lang w:val="en-US" w:bidi="en-US"/>
          <w:color w:val="111111"/>
          <w:sz w:val="28"/>
          <w:szCs w:val="28"/>
          <w:rtl/>
        </w:rPr>
        <w:t xml:space="preserve">hoseynī gonābādī, ‘abd-ol-lāh ebn-e ‘abd-ol-lāh)- 20c</w:t>
      </w:r>
    </w:p>
    <w:p>
      <w:pPr>
        <w:pStyle w:val="BookText"/>
      </w:pPr>
      <w:r>
        <w:rPr>
          <w:rFonts w:ascii="IRNazanin" w:hAnsi="IRNazanin" w:eastAsia="IRNazanin" w:cs="IRNazanin"/>
          <w:lang w:bidi="fa-IR"/>
          <w:color w:val="111111"/>
          <w:sz w:val="28"/>
          <w:szCs w:val="28"/>
          <w:rtl/>
        </w:rPr>
        <w:t xml:space="preserve">اهدا به ناصرالدین شاه قاجار</w:t>
      </w:r>
    </w:p>
    <w:p>
      <w:pPr>
        <w:pStyle w:val="BookText"/>
      </w:pPr>
      <w:r>
        <w:rPr>
          <w:rFonts w:ascii="IRNazanin" w:hAnsi="IRNazanin" w:eastAsia="IRNazanin" w:cs="IRNazanin"/>
          <w:lang w:bidi="fa-IR"/>
          <w:color w:val="111111"/>
          <w:sz w:val="28"/>
          <w:szCs w:val="28"/>
          <w:rtl/>
        </w:rPr>
        <w:t xml:space="preserve">تاریخ تأليف: 24 محرم 1310ق؛ محل تأليف: مدرسه ملا محمد باقر در مشهد مقدس</w:t>
      </w:r>
    </w:p>
    <w:p>
      <w:pPr>
        <w:pStyle w:val="BookText"/>
      </w:pPr>
      <w:r>
        <w:rPr>
          <w:rFonts w:ascii="IRNazanin" w:hAnsi="IRNazanin" w:eastAsia="IRNazanin" w:cs="IRNazanin"/>
          <w:lang w:bidi="fa-IR"/>
          <w:color w:val="111111"/>
          <w:sz w:val="28"/>
          <w:szCs w:val="28"/>
          <w:rtl/>
        </w:rPr>
        <w:t xml:space="preserve">مؤلف چون کتابی که جامع آیات و اخبار سودمند جهت خاص و عام و مشتمل بر امثال و حکایات باشد نیافته، از سال 1295 مدرسه ملا محمد باقر مشهد مقدس به تالیف این کتاب مشغول شده، سپس به سبب حوادث روزگار نگارش آن متوقف شده. و در سال 1301 مسجد و منبر او را مشغول داشته تا سال 1307 دوباره به تالیف آن روی آورده و در روز پنج شنبه 24 محرم 1310 کتاب را به پایان برده است. کتاب مشتمل بر فضایل مناقب و تاریخ حضرات معصومین (علیه السّلام) مطالب ،اعتقادی، حالات برخی از اصحاب ائمه (علیه السّلام)، شمه ای از احوال خلفای جورثواب و عقاب اعمال خصلت های خوب و بد اخلاقی همراه داستان ها و حکایت های متنوع میباشد. مؤلف در مقدمه، منابعی که هنگام تالیف از آنها بهره برده اشاره نموده است.</w:t>
      </w:r>
    </w:p>
    <w:p>
      <w:pPr>
        <w:pStyle w:val="BookText"/>
      </w:pPr>
      <w:r>
        <w:rPr>
          <w:rFonts w:ascii="IRNazanin" w:hAnsi="IRNazanin" w:eastAsia="IRNazanin" w:cs="IRNazanin"/>
          <w:lang w:bidi="fa-IR"/>
          <w:color w:val="111111"/>
          <w:sz w:val="28"/>
          <w:szCs w:val="28"/>
          <w:rtl/>
        </w:rPr>
        <w:t xml:space="preserve">آغاز: الحمد لله الواحد الاحد المنان الذي خلق الانسان علمه البیان و احسن به غاية الاحسان و يزيد عليه نعمه في جميع الاوان .. بعد فيقول المفتقر الى عفو ربه الغنى... انى كنت فى حداثة السن .. و سميته بارشاد الجاهلين</w:t>
      </w:r>
    </w:p>
    <w:p>
      <w:pPr>
        <w:pStyle w:val="BookText"/>
      </w:pPr>
      <w:r>
        <w:rPr>
          <w:rFonts w:ascii="IRNazanin" w:hAnsi="IRNazanin" w:eastAsia="IRNazanin" w:cs="IRNazanin"/>
          <w:lang w:bidi="fa-IR"/>
          <w:color w:val="111111"/>
          <w:sz w:val="28"/>
          <w:szCs w:val="28"/>
          <w:rtl/>
        </w:rPr>
        <w:t xml:space="preserve">انجام: و ارزقنى بحبهم خير الدنيا و الآخرة واصرف عنا بهم شر الدنيا و الآخرة بجودک و عفوک و کرمک یا اکرم الاکرمین يا ارحم الراحمين و يا مجيب دعوة المظطرين و يا اله العالمين</w:t>
      </w:r>
    </w:p>
    <w:p>
      <w:pPr>
        <w:pStyle w:val="BookText"/>
      </w:pPr>
      <w:r>
        <w:rPr>
          <w:rFonts w:ascii="IRNazanin" w:hAnsi="IRNazanin" w:eastAsia="IRNazanin" w:cs="IRNazanin"/>
          <w:lang w:bidi="fa-IR"/>
          <w:color w:val="111111"/>
          <w:sz w:val="28"/>
          <w:szCs w:val="28"/>
          <w:rtl/>
        </w:rPr>
        <w:t xml:space="preserve">خوی؛ نمازی؛ شماره نسخه: 810/1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كاتب - مؤلف، تا :1310ق؛ پس از کتاب نیز مطالبی</w:t>
      </w:r>
    </w:p>
    <w:p>
      <w:pPr>
        <w:pStyle w:val="BookText"/>
      </w:pPr>
      <w:r>
        <w:rPr>
          <w:rFonts w:ascii="IRNazanin" w:hAnsi="IRNazanin" w:eastAsia="IRNazanin" w:cs="IRNazanin"/>
          <w:lang w:bidi="fa-IR"/>
          <w:color w:val="111111"/>
          <w:sz w:val="28"/>
          <w:szCs w:val="28"/>
          <w:rtl/>
        </w:rPr>
        <w:t xml:space="preserve">بدین شرح آمده است مطاعن ابی بکر، مطاعن عمر، مطاعن عثمان، شباهتهای سید الشهداء به يحيى بن زكريا (علیه السّلام)، فائدة في القوى العقلية، علائم اهل الايمان كثرة الملائكه بعض الاخبار،نبذة من حكمة لقمان و وصایاه، در حاشیه اضافات مختصری دارد، در پایان (صفحه414 )قصیده ای در ماده تاریخ ختم تالیف کتاب اثر طبع حاج ناجی خلف مستوفی کشفی حنابندی (جنابذی؟ )مندرج است، در آغاز کتاب مطالبی درباره جمع آوری قرآنها توسط عثمان و در پایان یادداشت یادگاری به تاریخ 1334 آمده است؛ جلد: جلد تیماج قهوه ای ضربی، 425ص (1 - 425)، 36 سطر، اندازه: 22</w:t>
      </w:r>
      <w:r>
        <w:rPr>
          <w:rFonts w:ascii="Times New Roman" w:hAnsi="Times New Roman" w:eastAsia="Times New Roman" w:cs="Times New Roman"/>
          <w:lang w:val="en-US" w:bidi="en-US"/>
          <w:color w:val="111111"/>
          <w:sz w:val="28"/>
          <w:szCs w:val="28"/>
          <w:rtl/>
        </w:rPr>
        <w:t xml:space="preserve">×35</w:t>
      </w:r>
      <w:r>
        <w:rPr>
          <w:rFonts w:ascii="IRNazanin" w:hAnsi="IRNazanin" w:eastAsia="IRNazanin" w:cs="IRNazanin"/>
          <w:lang w:bidi="fa-IR"/>
          <w:color w:val="111111"/>
          <w:sz w:val="28"/>
          <w:szCs w:val="28"/>
          <w:rtl/>
        </w:rPr>
        <w:t xml:space="preserve">سم [میراث اسلامی: دفتر نهم – 80]</w:t>
      </w:r>
    </w:p>
    <w:p>
      <w:pPr>
        <w:pStyle w:val="BookText"/>
      </w:pPr>
      <w:r>
        <w:rPr>
          <w:rFonts w:ascii="IRNazanin" w:hAnsi="IRNazanin" w:eastAsia="IRNazanin" w:cs="IRNazanin"/>
          <w:lang w:bidi="fa-IR"/>
          <w:color w:val="111111"/>
          <w:sz w:val="28"/>
          <w:szCs w:val="28"/>
          <w:rtl/>
        </w:rPr>
        <w:t xml:space="preserve">قم؛ مرکز احیاء؛ شماره نسخه: 1273</w:t>
      </w:r>
    </w:p>
    <w:p>
      <w:pPr>
        <w:pStyle w:val="BookText"/>
      </w:pPr>
      <w:r>
        <w:rPr>
          <w:rFonts w:ascii="IRNazanin" w:hAnsi="IRNazanin" w:eastAsia="IRNazanin" w:cs="IRNazanin"/>
          <w:lang w:bidi="fa-IR"/>
          <w:color w:val="111111"/>
          <w:sz w:val="28"/>
          <w:szCs w:val="28"/>
          <w:rtl/>
        </w:rPr>
        <w:t xml:space="preserve">نسخه اصل: همان نسخه بالا [ عکسی ف: 4 - 98]</w:t>
      </w:r>
    </w:p>
    <w:p>
      <w:pPr>
        <w:pStyle w:val="Heading3"/>
      </w:pPr>
      <w:bookmarkStart w:id="541" w:name="_Toc63"/>
      <w:r>
        <w:t>ارشاد الحاير الى تخطيط فضل الداير / هیئت /عربی</w:t>
      </w:r>
      <w:bookmarkEnd w:id="541"/>
    </w:p>
    <w:p>
      <w:pPr>
        <w:pStyle w:val="BookText"/>
      </w:pPr>
      <w:r>
        <w:rPr>
          <w:rFonts w:ascii="Times New Roman" w:hAnsi="Times New Roman" w:eastAsia="Times New Roman" w:cs="Times New Roman"/>
          <w:lang w:val="en-US" w:bidi="en-US"/>
          <w:color w:val="111111"/>
          <w:sz w:val="28"/>
          <w:szCs w:val="28"/>
          <w:rtl/>
        </w:rPr>
        <w:t xml:space="preserve">iršad-ul-hayir ila taxtit-i fadl-id-day ir</w:t>
      </w:r>
    </w:p>
    <w:p>
      <w:pPr>
        <w:pStyle w:val="BookText"/>
      </w:pPr>
      <w:r>
        <w:rPr>
          <w:rFonts w:ascii="IRNazanin" w:hAnsi="IRNazanin" w:eastAsia="IRNazanin" w:cs="IRNazanin"/>
          <w:lang w:bidi="fa-IR"/>
          <w:color w:val="111111"/>
          <w:sz w:val="28"/>
          <w:szCs w:val="28"/>
          <w:rtl/>
        </w:rPr>
        <w:t xml:space="preserve">ابن ،مجدی، احمد بن رجب 767 - 850 قمری</w:t>
      </w:r>
    </w:p>
    <w:p>
      <w:pPr>
        <w:pStyle w:val="BookText"/>
      </w:pPr>
      <w:r>
        <w:rPr>
          <w:rFonts w:ascii="Times New Roman" w:hAnsi="Times New Roman" w:eastAsia="Times New Roman" w:cs="Times New Roman"/>
          <w:lang w:val="en-US" w:bidi="en-US"/>
          <w:color w:val="111111"/>
          <w:sz w:val="28"/>
          <w:szCs w:val="28"/>
          <w:rtl/>
        </w:rPr>
        <w:t xml:space="preserve">ebn-e majdī, ahmad ebn-e rajab (1366 - 1447)</w:t>
      </w:r>
    </w:p>
    <w:p>
      <w:pPr>
        <w:pStyle w:val="BookText"/>
      </w:pPr>
      <w:r>
        <w:rPr>
          <w:rFonts w:ascii="IRNazanin" w:hAnsi="IRNazanin" w:eastAsia="IRNazanin" w:cs="IRNazanin"/>
          <w:lang w:bidi="fa-IR"/>
          <w:color w:val="111111"/>
          <w:sz w:val="28"/>
          <w:szCs w:val="28"/>
          <w:rtl/>
        </w:rPr>
        <w:t xml:space="preserve">رساله ای در تقویم در سه «قسم»  و یک «خاتمه»: 1. كيفية رسم فضل الدائر على الاسطحة الموازية للافق و هو المسماة بالبسيطة، شامل یک مقدمه و هفت باب؛ 2. الاسطحة القائمة على سطح الافق و هو المسما بالمنحرفات 3. الاسطحة المائلة؛ خاتمه: في معرفة موضع القطب. نسخه ای از آن در «فهرست مخطوطات دار الكتب ظاهريه دمشق علم الهيئة و ملحقاته»، (ص 155)آمده است .در کشف الظنون چنین آمده است: «وی بعدها این کتاب را گزیده ساخته و آن را زاد المسافر نامیده است».</w:t>
      </w:r>
    </w:p>
    <w:p>
      <w:pPr>
        <w:pStyle w:val="BookText"/>
      </w:pPr>
      <w:r>
        <w:rPr>
          <w:rFonts w:ascii="Amiri" w:hAnsi="Amiri" w:eastAsia="Amiri" w:cs="Amiri"/>
          <w:lang w:bidi="ar-SA"/>
          <w:color w:val="111111"/>
          <w:sz w:val="28"/>
          <w:szCs w:val="28"/>
          <w:rtl/>
        </w:rPr>
        <w:t xml:space="preserve">آغاز: الحمد لله رب العالمين .. اما بعد فان هذا كتاب سميته. .. و هو ينقسم ثلاثة اقسام وخاتمة</w:t>
      </w:r>
    </w:p>
    <w:p>
      <w:pPr>
        <w:pStyle w:val="BookText"/>
      </w:pPr>
      <w:r>
        <w:rPr>
          <w:rFonts w:ascii="Amiri" w:hAnsi="Amiri" w:eastAsia="Amiri" w:cs="Amiri"/>
          <w:lang w:bidi="ar-SA"/>
          <w:color w:val="111111"/>
          <w:sz w:val="28"/>
          <w:szCs w:val="28"/>
          <w:rtl/>
        </w:rPr>
        <w:t xml:space="preserve">انجام: و إن يكون قوس العصر مستقيم و هذا مخالف للأصول و الله تعالى أعلم [كشف الظنون 64/1]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مرعشی؛ شماره نسخه: 13747/1</w:t>
      </w:r>
    </w:p>
    <w:p>
      <w:pPr>
        <w:pStyle w:val="BookText"/>
      </w:pPr>
      <w:r>
        <w:rPr>
          <w:rFonts w:ascii="Amiri" w:hAnsi="Amiri" w:eastAsia="Amiri" w:cs="Amiri"/>
          <w:lang w:bidi="ar-SA"/>
          <w:color w:val="111111"/>
          <w:sz w:val="28"/>
          <w:szCs w:val="28"/>
          <w:rtl/>
        </w:rPr>
        <w:t xml:space="preserve">آغاز: برابر؛ انجام: و اما الافق فعلى موازاة خط المركز كما سبق و اما السادس</w:t>
      </w:r>
    </w:p>
    <w:p>
      <w:pPr>
        <w:pStyle w:val="BookText"/>
      </w:pPr>
      <w:r>
        <w:rPr>
          <w:rFonts w:ascii="IRNazanin" w:hAnsi="IRNazanin" w:eastAsia="IRNazanin" w:cs="IRNazanin"/>
          <w:lang w:bidi="fa-IR"/>
          <w:color w:val="111111"/>
          <w:sz w:val="28"/>
          <w:szCs w:val="28"/>
          <w:rtl/>
        </w:rPr>
        <w:t xml:space="preserve">خط: نسخ، کا: ابراهیم بن فخرالدین (مجدالدین) دنجیهی (دنجهیبی) ،سافضلی تا: 977ق؛ ترقیمه «آخر ما وجد في نسخة المصنف و كان الفراغ من هذه النسخة یوم الجمعة ثاني عشر من صفر الخير سنة سبعة وسبعين وتسعمائة على يد العبد الفقير ابراهيم بن المرحوم الفقير فخرالدين (مجدالدين) الدنجهيبي السافضلى غفر الله لهما . .. و هذا آخر ما وجد بخط مصنفه و هو الامام الجليل ابو العباس احمد بن المجدى على يد احقر العباد و اضعفهم العبد الفقير ابراهيم ابن المرحوم الفقير فخرالدين (مجدالدين) الدنجيهى غفر الله لهما. ..»، مصحح، محشی، امضای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20" w:name="pg20365_260021"/>
    <w:bookmarkEnd w:id="20"/>
    <w:p>
      <w:pPr>
        <w:pStyle w:val="BookText"/>
      </w:pPr>
      <w:r>
        <w:rPr>
          <w:rFonts w:ascii="IRNazanin" w:hAnsi="IRNazanin" w:eastAsia="IRNazanin" w:cs="IRNazanin"/>
          <w:lang w:bidi="fa-IR"/>
          <w:color w:val="111111"/>
          <w:sz w:val="28"/>
          <w:szCs w:val="28"/>
          <w:rtl/>
        </w:rPr>
        <w:t xml:space="preserve">آية الله مرعشی نجفی (رحمه الله) در سال 1397ق؛کاغذ: ،فرنگی 35 گ(2-36)، 23 سطر ، اندازه: 9</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سم [ف: 34 - 728]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مشهد؛ الهیات شماره نسخه: 566/27</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کاغذ: فرنگی؛ جلد: تیماج سبز، 20 گ،24-32 سطر ، اندازه: 22</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سم [ف: 1 - 532]</w:t>
      </w:r>
    </w:p>
    <w:p>
      <w:pPr>
        <w:pStyle w:val="Heading3"/>
      </w:pPr>
      <w:bookmarkStart w:id="542" w:name="_Toc64"/>
      <w:r>
        <w:t>ارشاد الحنفاء فى وصف الخلفاء / كلام و اعتقادات / فارسی و عربی</w:t>
      </w:r>
      <w:bookmarkEnd w:id="542"/>
    </w:p>
    <w:p>
      <w:pPr>
        <w:pStyle w:val="BookText"/>
      </w:pPr>
      <w:r>
        <w:rPr>
          <w:rFonts w:ascii="Times New Roman" w:hAnsi="Times New Roman" w:eastAsia="Times New Roman" w:cs="Times New Roman"/>
          <w:lang w:val="en-US" w:bidi="en-US"/>
          <w:color w:val="111111"/>
          <w:sz w:val="28"/>
          <w:szCs w:val="28"/>
          <w:rtl/>
        </w:rPr>
        <w:t xml:space="preserve">eršād-ol-honafā fī vasf-el-xolafā</w:t>
      </w:r>
    </w:p>
    <w:p>
      <w:pPr>
        <w:pStyle w:val="BookText"/>
      </w:pPr>
      <w:r>
        <w:rPr>
          <w:rFonts w:ascii="IRNazanin" w:hAnsi="IRNazanin" w:eastAsia="IRNazanin" w:cs="IRNazanin"/>
          <w:lang w:bidi="fa-IR"/>
          <w:color w:val="111111"/>
          <w:sz w:val="28"/>
          <w:szCs w:val="28"/>
          <w:rtl/>
        </w:rPr>
        <w:t xml:space="preserve">ملتانی، محمد رحیم</w:t>
      </w:r>
    </w:p>
    <w:p>
      <w:pPr>
        <w:pStyle w:val="BookText"/>
      </w:pPr>
      <w:r>
        <w:rPr>
          <w:rFonts w:ascii="IRNazanin" w:hAnsi="IRNazanin" w:eastAsia="IRNazanin" w:cs="IRNazanin"/>
          <w:lang w:bidi="fa-IR"/>
          <w:color w:val="111111"/>
          <w:sz w:val="28"/>
          <w:szCs w:val="28"/>
          <w:rtl/>
        </w:rPr>
        <w:t xml:space="preserve">رساله ای در بیان فضایل خلفای اهل سنت یعنی ابوبکر، عمر، عثمان و معاویه است. در این رساله مؤلف تلاش نموده فضیله قرابت رسول الله را در برتری صحابه بر دیگران رد نماید.</w:t>
      </w:r>
    </w:p>
    <w:p>
      <w:pPr>
        <w:pStyle w:val="BookText"/>
      </w:pPr>
      <w:r>
        <w:rPr>
          <w:rFonts w:ascii="IRNazanin" w:hAnsi="IRNazanin" w:eastAsia="IRNazanin" w:cs="IRNazanin"/>
          <w:lang w:bidi="fa-IR"/>
          <w:color w:val="111111"/>
          <w:sz w:val="28"/>
          <w:szCs w:val="28"/>
          <w:rtl/>
        </w:rPr>
        <w:t xml:space="preserve">مشهد؛ رضوی؛ شماره نسخه: 18657</w:t>
      </w:r>
    </w:p>
    <w:p>
      <w:pPr>
        <w:pStyle w:val="BookText"/>
      </w:pPr>
      <w:r>
        <w:rPr>
          <w:rFonts w:ascii="IRNazanin" w:hAnsi="IRNazanin" w:eastAsia="IRNazanin" w:cs="IRNazanin"/>
          <w:lang w:bidi="fa-IR"/>
          <w:color w:val="111111"/>
          <w:sz w:val="28"/>
          <w:szCs w:val="28"/>
          <w:rtl/>
        </w:rPr>
        <w:t xml:space="preserve">آغاز: الحمد لله الذي نجانا من افراط الروافض؛ انجام: بل قال تركت فيكم الثقلين كتاب الله و عترتى اهل بيتي لن تضلوا تمسكتم بهما. .. سنه 1132 هجری</w:t>
      </w:r>
    </w:p>
    <w:p>
      <w:pPr>
        <w:pStyle w:val="BookText"/>
      </w:pPr>
      <w:r>
        <w:rPr>
          <w:rFonts w:ascii="IRNazanin" w:hAnsi="IRNazanin" w:eastAsia="IRNazanin" w:cs="IRNazanin"/>
          <w:lang w:bidi="fa-IR"/>
          <w:color w:val="111111"/>
          <w:sz w:val="28"/>
          <w:szCs w:val="28"/>
          <w:rtl/>
        </w:rPr>
        <w:t xml:space="preserve">خط: نستعليق تحریری، بی کا، تا :پنج شنبه 24 شوال 1132ق؛ اهدایی ،رهبری فروردین 1372 ؛کاغذ: نخودی و حنایی مهره، جلد: مقوا با روکش گالینگور سبز، 74گ، 19 سطر،اندازه: 22</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سم [اهدائی - ف: 2 اخبار 1 - 82]</w:t>
      </w:r>
    </w:p>
    <w:p>
      <w:pPr>
        <w:pStyle w:val="Heading3"/>
      </w:pPr>
      <w:bookmarkStart w:id="543" w:name="_Toc65"/>
      <w:r>
        <w:t>ارشاد الحنفا فى وصف الخلفا / تاریخ معصومین / فارسی</w:t>
      </w:r>
      <w:bookmarkEnd w:id="543"/>
    </w:p>
    <w:p>
      <w:pPr>
        <w:pStyle w:val="BookText"/>
      </w:pPr>
      <w:r>
        <w:rPr>
          <w:rFonts w:ascii="Times New Roman" w:hAnsi="Times New Roman" w:eastAsia="Times New Roman" w:cs="Times New Roman"/>
          <w:lang w:val="en-US" w:bidi="en-US"/>
          <w:color w:val="111111"/>
          <w:sz w:val="28"/>
          <w:szCs w:val="28"/>
          <w:rtl/>
        </w:rPr>
        <w:t xml:space="preserve">eršād-ol-honafā fī vasf-el-xolafā</w:t>
      </w:r>
    </w:p>
    <w:p>
      <w:pPr>
        <w:pStyle w:val="BookText"/>
      </w:pPr>
      <w:r>
        <w:rPr>
          <w:rFonts w:ascii="IRNazanin" w:hAnsi="IRNazanin" w:eastAsia="IRNazanin" w:cs="IRNazanin"/>
          <w:lang w:bidi="fa-IR"/>
          <w:color w:val="111111"/>
          <w:sz w:val="28"/>
          <w:szCs w:val="28"/>
          <w:rtl/>
        </w:rPr>
        <w:t xml:space="preserve">مجلسی، محمد رضا بن محمد علی، ق13 قمری</w:t>
      </w:r>
    </w:p>
    <w:p>
      <w:pPr>
        <w:pStyle w:val="BookText"/>
      </w:pPr>
      <w:r>
        <w:rPr>
          <w:rFonts w:ascii="Times New Roman" w:hAnsi="Times New Roman" w:eastAsia="Times New Roman" w:cs="Times New Roman"/>
          <w:lang w:val="en-US" w:bidi="en-US"/>
          <w:color w:val="111111"/>
          <w:sz w:val="28"/>
          <w:szCs w:val="28"/>
          <w:rtl/>
        </w:rPr>
        <w:t xml:space="preserve">jmajlesī, mohammad rezā ebn-e mohammad ‘alī ( - 19c)</w:t>
      </w:r>
    </w:p>
    <w:p>
      <w:pPr>
        <w:pStyle w:val="BookText"/>
      </w:pPr>
      <w:r>
        <w:rPr>
          <w:rFonts w:ascii="IRNazanin" w:hAnsi="IRNazanin" w:eastAsia="IRNazanin" w:cs="IRNazanin"/>
          <w:lang w:bidi="fa-IR"/>
          <w:color w:val="111111"/>
          <w:sz w:val="28"/>
          <w:szCs w:val="28"/>
          <w:rtl/>
        </w:rPr>
        <w:t xml:space="preserve">مؤلف پس از چند کتاب که در رد اهل سنت نوشته بود، این کتاب را در موضوع افضلیت اهل بیت بر بقیه صحابه پرداخت از جنبه تاریخی در حالات بزرگان صحابه کاوش نموده حالات آنان را بررسی می کند. دارای یک «مقدمه» و چهار«فصل» و یک «خاتمه» مقدمه در انواع حدیث؛ فصل 1 .احادیث راجع به خلیفه اول فصل 2. احادیث راجع به خلیفه دوم؛  فصل3. . احاديث راجع به خلیفه سوم ؛فصل 4. احادیث راجع معاویه؛ خاتمه در مثالب بیست و پنج نفر از صحابه. ظاهراً هم رساله قبل که در آستان قدس از محمد رحیم ملتانی دانسته شده است.</w:t>
      </w:r>
    </w:p>
    <w:p>
      <w:pPr>
        <w:pStyle w:val="BookText"/>
      </w:pPr>
      <w:r>
        <w:rPr>
          <w:rFonts w:ascii="IRNazanin" w:hAnsi="IRNazanin" w:eastAsia="IRNazanin" w:cs="IRNazanin"/>
          <w:lang w:bidi="fa-IR"/>
          <w:color w:val="111111"/>
          <w:sz w:val="28"/>
          <w:szCs w:val="28"/>
          <w:rtl/>
        </w:rPr>
        <w:t xml:space="preserve">قم؛ مرعشی؛ شماره نسخه: 1935</w:t>
      </w:r>
    </w:p>
    <w:p>
      <w:pPr>
        <w:pStyle w:val="BookText"/>
      </w:pPr>
      <w:r>
        <w:rPr>
          <w:rFonts w:ascii="IRNazanin" w:hAnsi="IRNazanin" w:eastAsia="IRNazanin" w:cs="IRNazanin"/>
          <w:lang w:bidi="fa-IR"/>
          <w:color w:val="111111"/>
          <w:sz w:val="28"/>
          <w:szCs w:val="28"/>
          <w:rtl/>
        </w:rPr>
        <w:t xml:space="preserve">آغاز: الحمد لله الذي نجانا من افراط الغلاة وتفريط النواصب الصلاة و السلام على حبيبه محمد و آله المطهرين؛ انجام:و در ودینک نازل با دید فرستاده آن خدا که محمد باشد و بر آل آن محمد پوشیده و آشکار اتمام شد</w:t>
      </w:r>
    </w:p>
    <w:p>
      <w:pPr>
        <w:pStyle w:val="BookText"/>
      </w:pPr>
      <w:r>
        <w:rPr>
          <w:rFonts w:ascii="IRNazanin" w:hAnsi="IRNazanin" w:eastAsia="IRNazanin" w:cs="IRNazanin"/>
          <w:lang w:bidi="fa-IR"/>
          <w:color w:val="111111"/>
          <w:sz w:val="28"/>
          <w:szCs w:val="28"/>
          <w:rtl/>
        </w:rPr>
        <w:t xml:space="preserve">خط:نسخ و نستعلیق، بی کا، بی تا؛ وفقنامه کتاب به تاریخ شوال 1297؛ جلد: مقوایی عطف تیماج مشکی، 72گ، 17 سطر :اندازه 13</w:t>
      </w:r>
      <w:r>
        <w:rPr>
          <w:rFonts w:ascii="Times New Roman" w:hAnsi="Times New Roman" w:eastAsia="Times New Roman" w:cs="Times New Roman"/>
          <w:lang w:val="en-US" w:bidi="en-US"/>
          <w:color w:val="111111"/>
          <w:sz w:val="28"/>
          <w:szCs w:val="28"/>
          <w:rtl/>
        </w:rPr>
        <w:t xml:space="preserve">×23/5 [</w:t>
      </w:r>
      <w:r>
        <w:rPr>
          <w:rFonts w:ascii="IRNazanin" w:hAnsi="IRNazanin" w:eastAsia="IRNazanin" w:cs="IRNazanin"/>
          <w:lang w:bidi="fa-IR"/>
          <w:color w:val="111111"/>
          <w:sz w:val="28"/>
          <w:szCs w:val="28"/>
          <w:rtl/>
        </w:rPr>
        <w:t xml:space="preserve">ف: 5 - 302]</w:t>
      </w:r>
    </w:p>
    <w:p>
      <w:pPr>
        <w:pStyle w:val="Heading3"/>
      </w:pPr>
      <w:bookmarkStart w:id="544" w:name="_Toc66"/>
      <w:r>
        <w:t>ارشاد الخبير البصير الى تحقيق الحال في ابي بصير = ترجمة ابى بصير = تحقيق احوال ابی بصیر / رجال / عربی</w:t>
      </w:r>
      <w:bookmarkEnd w:id="544"/>
    </w:p>
    <w:p>
      <w:pPr>
        <w:pStyle w:val="BookText"/>
      </w:pPr>
      <w:r>
        <w:rPr>
          <w:rFonts w:ascii="Times New Roman" w:hAnsi="Times New Roman" w:eastAsia="Times New Roman" w:cs="Times New Roman"/>
          <w:lang w:val="en-US" w:bidi="en-US"/>
          <w:color w:val="111111"/>
          <w:sz w:val="28"/>
          <w:szCs w:val="28"/>
          <w:rtl/>
        </w:rPr>
        <w:t xml:space="preserve">iršād-ul-xabīr-il-baṣīr ila taḥqīq-il-ḥāl fī abī baṣīr = t.-u</w:t>
      </w:r>
    </w:p>
    <w:p>
      <w:pPr>
        <w:pStyle w:val="BookText"/>
      </w:pPr>
      <w:r>
        <w:rPr>
          <w:rFonts w:ascii="Times New Roman" w:hAnsi="Times New Roman" w:eastAsia="Times New Roman" w:cs="Times New Roman"/>
          <w:lang w:val="en-US" w:bidi="en-US"/>
          <w:color w:val="111111"/>
          <w:sz w:val="28"/>
          <w:szCs w:val="28"/>
          <w:rtl/>
        </w:rPr>
        <w:t xml:space="preserve">abī baṣīr</w:t>
      </w:r>
    </w:p>
    <w:p>
      <w:pPr>
        <w:pStyle w:val="BookText"/>
      </w:pPr>
      <w:r>
        <w:rPr>
          <w:rFonts w:ascii="IRNazanin" w:hAnsi="IRNazanin" w:eastAsia="IRNazanin" w:cs="IRNazanin"/>
          <w:lang w:bidi="fa-IR"/>
          <w:color w:val="111111"/>
          <w:sz w:val="28"/>
          <w:szCs w:val="28"/>
          <w:rtl/>
        </w:rPr>
        <w:t xml:space="preserve">شفتی بیدآبادی، محمد باقر بن محمد نقی، 1175؟ - 1260 قمرى</w:t>
      </w:r>
    </w:p>
    <w:p>
      <w:pPr>
        <w:pStyle w:val="BookText"/>
      </w:pPr>
      <w:r>
        <w:rPr>
          <w:rFonts w:ascii="Times New Roman" w:hAnsi="Times New Roman" w:eastAsia="Times New Roman" w:cs="Times New Roman"/>
          <w:lang w:val="en-US" w:bidi="en-US"/>
          <w:color w:val="111111"/>
          <w:sz w:val="28"/>
          <w:szCs w:val="28"/>
          <w:rtl/>
        </w:rPr>
        <w:t xml:space="preserve">šaftī bīd-ābādī, mohammad bāqer ebn-e mohammad</w:t>
      </w:r>
    </w:p>
    <w:p>
      <w:pPr>
        <w:pStyle w:val="BookText"/>
      </w:pPr>
      <w:r>
        <w:rPr>
          <w:rFonts w:ascii="Times New Roman" w:hAnsi="Times New Roman" w:eastAsia="Times New Roman" w:cs="Times New Roman"/>
          <w:lang w:val="en-US" w:bidi="en-US"/>
          <w:color w:val="111111"/>
          <w:sz w:val="28"/>
          <w:szCs w:val="28"/>
          <w:rtl/>
        </w:rPr>
        <w:t xml:space="preserve">naqī (1762 - 1844)</w:t>
      </w:r>
    </w:p>
    <w:p>
      <w:pPr>
        <w:pStyle w:val="BookText"/>
      </w:pPr>
      <w:r>
        <w:rPr>
          <w:rFonts w:ascii="IRNazanin" w:hAnsi="IRNazanin" w:eastAsia="IRNazanin" w:cs="IRNazanin"/>
          <w:lang w:bidi="fa-IR"/>
          <w:color w:val="111111"/>
          <w:sz w:val="28"/>
          <w:szCs w:val="28"/>
          <w:rtl/>
        </w:rPr>
        <w:t xml:space="preserve">رساله حاضر متضمن تحقیق درباره ابی بصیر یکی از رواة و اصحاب حضرت امام جعفر صادق (علیه السّلام) » است. ابی بصیر یکی از اصحاب اجماع است یعنی درستی روایت او مورد اجماع رجال شناسان شیعه است و چون کنیه او مشترک میان چند کس است برای شناسایی ایشان رساله ها ساخته اند. یکی از ایشان حجة الاسلام شفتی است که رساله حاضر را تألیف کرده است. به طوری که مصنف در آغاز رساله تصریح کرده است جمعی متأخرين علماء شیعه درباره روایاتی که ابی بصیر ضمن رجال سند آن باشد تردید و اشکال کرده اند و از آن جمله از شیخ زین الدین شهید ثانی (در باب نکاح از کتاب مسالك الافهام في شرح شرائع الاسلام) نقل کرده است که وی پس از آن که یک حدیث از ابی بصیر روایت کرده چنین گفته است: «و في صحتها عندى نظر من وجهين احدهما ان ابابصير الذي يروى عن الصادق (علیه السّلام) مشترك بين اثنين ليث بن البختر المرادى و هو المشهور بالثقه و يحيى بن القسم الاسدى و هو واقفی ضعیف. ...» در الذریعه (4: 148) چهار کتاب درباره زندگی ابوبصیر یاد شده که دو تای آنها چاپ شده است.</w:t>
      </w:r>
    </w:p>
    <w:p>
      <w:pPr>
        <w:pStyle w:val="BookText"/>
      </w:pPr>
      <w:r>
        <w:rPr>
          <w:rFonts w:ascii="IRNazanin" w:hAnsi="IRNazanin" w:eastAsia="IRNazanin" w:cs="IRNazanin"/>
          <w:lang w:bidi="fa-IR"/>
          <w:color w:val="111111"/>
          <w:sz w:val="28"/>
          <w:szCs w:val="28"/>
          <w:rtl/>
        </w:rPr>
        <w:t xml:space="preserve">آغاز: بعد حمد المنعم الفضال العلام و الصلاة على مفخر الرسل اکمل الانام و آله سادات البرية فى البداية والختام</w:t>
      </w:r>
    </w:p>
    <w:p>
      <w:pPr>
        <w:pStyle w:val="BookText"/>
      </w:pPr>
      <w:r>
        <w:rPr>
          <w:rFonts w:ascii="Amiri" w:hAnsi="Amiri" w:eastAsia="Amiri" w:cs="Amiri"/>
          <w:lang w:bidi="ar-SA"/>
          <w:color w:val="111111"/>
          <w:sz w:val="28"/>
          <w:szCs w:val="28"/>
          <w:rtl/>
        </w:rPr>
        <w:t xml:space="preserve">انجام: و له الحمد دائما في كل آن و حال وصلاته على خليفته اشرف البرية و عترته الاماجد الاطائب الاطهار ما غسق الليل و اشرق النهار.</w:t>
      </w:r>
    </w:p>
    <w:p>
      <w:pPr>
        <w:pStyle w:val="BookText"/>
      </w:pPr>
      <w:r>
        <w:rPr>
          <w:rFonts w:ascii="IRNazanin" w:hAnsi="IRNazanin" w:eastAsia="IRNazanin" w:cs="IRNazanin"/>
          <w:lang w:bidi="fa-IR"/>
          <w:color w:val="111111"/>
          <w:sz w:val="28"/>
          <w:szCs w:val="28"/>
          <w:rtl/>
        </w:rPr>
        <w:t xml:space="preserve">چاپ: با بیست کتاب دیگر مؤلف، تهران، سنگی، بی ناشر، ،1314ق ،رحلى، 18 ص (الرسائل الرجالية: صص 24-41)</w:t>
      </w:r>
    </w:p>
    <w:p>
      <w:pPr>
        <w:pStyle w:val="BookText"/>
      </w:pPr>
      <w:r>
        <w:rPr>
          <w:rFonts w:ascii="Amiri" w:hAnsi="Amiri" w:eastAsia="Amiri" w:cs="Amiri"/>
          <w:lang w:bidi="ar-SA"/>
          <w:color w:val="111111"/>
          <w:sz w:val="28"/>
          <w:szCs w:val="28"/>
          <w:rtl/>
        </w:rPr>
        <w:t xml:space="preserve">[الذريعة 148/4؛ أعيان الشيعة 188/9]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زنجان؛ امام جمعه شماره نسخه: 3 مجموعه بدون شماره</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 کا ،تا: جمعه ربیع الثانى 1240ق [دليل المخطوطات: 1 - 147]</w:t>
      </w:r>
    </w:p>
    <w:p>
      <w:pPr>
        <w:pStyle w:val="BookText"/>
      </w:pPr>
      <w:r>
        <w:rPr>
          <w:rFonts w:ascii="IRNazanin" w:hAnsi="IRNazanin" w:eastAsia="IRNazanin" w:cs="IRNazanin"/>
          <w:lang w:bidi="fa-IR"/>
          <w:color w:val="111111"/>
          <w:sz w:val="28"/>
          <w:szCs w:val="28"/>
          <w:rtl/>
        </w:rPr>
        <w:t xml:space="preserve">2 تهران؛ مجلس؛ شماره نسخه: 1/8062/2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 كا: محمد جعفر بن محمد صادق هرندی، تا: 1246 درباره کاتب این نسخه مطلبی گفتنی است و آن اینکه وی  در رقم پایان رساله سوم از رسائل رجالی، خود را از نوادگان محمد مهدی هرندی، دانشمند شیعی قرن یازدهم و دوازدهم می داند:کاغذ ،فرنگی ،جلد: مقوایی با روکش تیماج مشکی دارای ترنج گل و بوته دار و سرترنج با گل هشت پر نیلوفر و برگ و بوته چهار لچک ضربی مجدول گرهی 16گ (12پ -28ر) ، 24 سطر ، اندازه:12/4</w:t>
      </w:r>
      <w:r>
        <w:rPr>
          <w:rFonts w:ascii="Times New Roman" w:hAnsi="Times New Roman" w:eastAsia="Times New Roman" w:cs="Times New Roman"/>
          <w:lang w:val="en-US" w:bidi="en-US"/>
          <w:color w:val="111111"/>
          <w:sz w:val="28"/>
          <w:szCs w:val="28"/>
          <w:rtl/>
        </w:rPr>
        <w:t xml:space="preserve">×15/1</w:t>
      </w:r>
      <w:r>
        <w:rPr>
          <w:rFonts w:ascii="IRNazanin" w:hAnsi="IRNazanin" w:eastAsia="IRNazanin" w:cs="IRNazanin"/>
          <w:lang w:bidi="fa-IR"/>
          <w:color w:val="111111"/>
          <w:sz w:val="28"/>
          <w:szCs w:val="28"/>
          <w:rtl/>
        </w:rPr>
        <w:t xml:space="preserve">سم [ف: 27/1 - 111]</w:t>
      </w:r>
    </w:p>
    <w:p>
      <w:pPr>
        <w:pStyle w:val="BookText"/>
      </w:pPr>
      <w:r>
        <w:rPr>
          <w:rFonts w:ascii="IRNazanin" w:hAnsi="IRNazanin" w:eastAsia="IRNazanin" w:cs="IRNazanin"/>
          <w:lang w:bidi="fa-IR"/>
          <w:color w:val="111111"/>
          <w:sz w:val="28"/>
          <w:szCs w:val="28"/>
          <w:rtl/>
        </w:rPr>
        <w:t xml:space="preserve">3.تهران؛ مجلس؛ شماره نسخه: 2813/5</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ریز متوسط، کا: محمد اسماعیل تهرانی، تا: 1250 ق؛کاتب پشت این نسخه تصریح کرده است که از روی نسخه که به خط مصنف «دام بقائه» بوده است استکتاب شده است؛ کاغذ: فرنگی، جلد: تیماج مشکی بدون مقوا، 31ص (127-158)، 21سطر ، قطع: وزیری اندازه: 15/5</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10-104]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قم؛ مرعشی؛ شماره نسخه: 1616/1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 حسین بن علی لنجانی تا 11 محرم 1252ق؛ جلد : تیماج مشکی، 13گ (1پ -13ر)، 27 سطر ، اندازه: 27</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ف: 5 - 17]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تهران؛ ملک؛ شماره نسخه: 3478/2</w:t>
      </w:r>
    </w:p>
    <w:p>
      <w:pPr>
        <w:pStyle w:val="BookText"/>
      </w:pPr>
      <w:r>
        <w:rPr>
          <w:rFonts w:ascii="IRNazanin" w:hAnsi="IRNazanin" w:eastAsia="IRNazanin" w:cs="IRNazanin"/>
          <w:lang w:bidi="fa-IR"/>
          <w:color w:val="111111"/>
          <w:sz w:val="28"/>
          <w:szCs w:val="28"/>
          <w:rtl/>
        </w:rPr>
        <w:t xml:space="preserve">خط: نسخ، کا: سید اسدالله، تا: 1259ق، جا: مشهد [ف: 6 - 456 ]</w:t>
      </w:r>
    </w:p>
    <w:p>
      <w:pPr>
        <w:pStyle w:val="BookText"/>
      </w:pPr>
      <w:r>
        <w:rPr>
          <w:rFonts w:ascii="IRNazanin" w:hAnsi="IRNazanin" w:eastAsia="IRNazanin" w:cs="IRNazanin"/>
          <w:lang w:bidi="fa-IR"/>
          <w:color w:val="111111"/>
          <w:sz w:val="28"/>
          <w:szCs w:val="28"/>
          <w:rtl/>
        </w:rPr>
        <w:t xml:space="preserve">6.تهران؛ ادبیات؛ شماره نسخه: 127/4 - ج</w:t>
      </w:r>
    </w:p>
    <w:p>
      <w:pPr>
        <w:pStyle w:val="BookText"/>
      </w:pPr>
      <w:r>
        <w:rPr>
          <w:rFonts w:ascii="IRNazanin" w:hAnsi="IRNazanin" w:eastAsia="IRNazanin" w:cs="IRNazanin"/>
          <w:lang w:bidi="fa-IR"/>
          <w:color w:val="111111"/>
          <w:sz w:val="28"/>
          <w:szCs w:val="28"/>
          <w:rtl/>
        </w:rPr>
        <w:t xml:space="preserve">خط: نسخ، بی کا،تا: 1260ق؛ کاغذ: ،فرنگی ،جلد: تیماج مشکی ضربی مقوایی، 14گ (60ر - 74پ)، 21 سطر (10</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ف: 1 - 129]</w:t>
      </w:r>
    </w:p>
    <w:p>
      <w:pPr>
        <w:pStyle w:val="BookText"/>
      </w:pPr>
      <w:r>
        <w:rPr>
          <w:rFonts w:ascii="IRNazanin" w:hAnsi="IRNazanin" w:eastAsia="IRNazanin" w:cs="IRNazanin"/>
          <w:lang w:bidi="fa-IR"/>
          <w:color w:val="111111"/>
          <w:sz w:val="28"/>
          <w:szCs w:val="28"/>
          <w:rtl/>
        </w:rPr>
        <w:t xml:space="preserve">7 .تهران؛ ملی؛ شماره نسخه: 2252/1</w:t>
      </w:r>
    </w:p>
    <w:p>
      <w:pPr>
        <w:pStyle w:val="BookText"/>
      </w:pPr>
      <w:r>
        <w:rPr>
          <w:rFonts w:ascii="IRNazanin" w:hAnsi="IRNazanin" w:eastAsia="IRNazanin" w:cs="IRNazanin"/>
          <w:lang w:bidi="fa-IR"/>
          <w:color w:val="111111"/>
          <w:sz w:val="28"/>
          <w:szCs w:val="28"/>
          <w:rtl/>
        </w:rPr>
        <w:t xml:space="preserve">خط: نسخ ،ریز بی کا، تا: 1260ق؛ محشی با نشان «منه دام ظله » 20 ص (23-3) [ف: 11 - 651]</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مشهد؛ رضوی؛ شماره نسخه:ض 19770</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1269ق؛ مصحح؛ اهدایی رهبری، خرداد 1273؛ کاغذ: فرنگی شکری آهار مهره،جلد: تیماج مشکی مجدول ،گرهی 21گ( 37ر - 58پ)، 21 سطر  ، اندازه:21/5</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[اهدائی - ف: 8 - 72]</w:t>
      </w:r>
    </w:p>
    <w:p>
      <w:pPr>
        <w:pStyle w:val="BookText"/>
      </w:pPr>
      <w:r>
        <w:rPr>
          <w:rFonts w:ascii="IRNazanin" w:hAnsi="IRNazanin" w:eastAsia="IRNazanin" w:cs="IRNazanin"/>
          <w:lang w:bidi="fa-IR"/>
          <w:color w:val="111111"/>
          <w:sz w:val="28"/>
          <w:szCs w:val="28"/>
          <w:rtl/>
        </w:rPr>
        <w:t xml:space="preserve">9.تهران؛ دانشگاه؛ شماره نسخه: 1678/1</w:t>
      </w:r>
    </w:p>
    <w:p>
      <w:pPr>
        <w:pStyle w:val="BookText"/>
      </w:pPr>
      <w:r>
        <w:rPr>
          <w:rFonts w:ascii="IRNazanin" w:hAnsi="IRNazanin" w:eastAsia="IRNazanin" w:cs="IRNazanin"/>
          <w:lang w:bidi="fa-IR"/>
          <w:color w:val="111111"/>
          <w:sz w:val="28"/>
          <w:szCs w:val="28"/>
          <w:rtl/>
        </w:rPr>
        <w:t xml:space="preserve">خط: نستعليق، كا: جعفر بن هاشم حسینی، تا: 1296ق؛ کا: فرنگی، جلد: تیماج عنابی ،مقوایی، 19گ (2 پ20ر)، اندازه: 17</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سم [ف: 8 - 241]</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تهران؛ مجلس؛ شماره نسخه: 2880/10</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شیخ محمد باقر گلپایگانی، تا:1297ق؛ مصحح، كاغذ: فرنگی شکری رنگ، جلد: تیماج سبز، 50ص( 302- 352)، 17 سطر ، قطع: خشتی، اندازه: 22</w:t>
      </w:r>
      <w:r>
        <w:rPr>
          <w:rFonts w:ascii="Times New Roman" w:hAnsi="Times New Roman" w:eastAsia="Times New Roman" w:cs="Times New Roman"/>
          <w:lang w:val="en-US" w:bidi="en-US"/>
          <w:color w:val="111111"/>
          <w:sz w:val="28"/>
          <w:szCs w:val="28"/>
          <w:rtl/>
        </w:rPr>
        <w:t xml:space="preserve">×17/5</w:t>
      </w:r>
      <w:r>
        <w:rPr>
          <w:rFonts w:ascii="IRNazanin" w:hAnsi="IRNazanin" w:eastAsia="IRNazanin" w:cs="IRNazanin"/>
          <w:lang w:bidi="fa-IR"/>
          <w:color w:val="111111"/>
          <w:sz w:val="28"/>
          <w:szCs w:val="28"/>
          <w:rtl/>
        </w:rPr>
        <w:t xml:space="preserve">سم [ف: 10 - 247]</w:t>
      </w:r>
    </w:p>
    <w:p>
      <w:pPr>
        <w:pStyle w:val="BookText"/>
      </w:pPr>
      <w:r>
        <w:rPr>
          <w:rFonts w:ascii="IRNazanin" w:hAnsi="IRNazanin" w:eastAsia="IRNazanin" w:cs="IRNazanin"/>
          <w:lang w:bidi="fa-IR"/>
          <w:color w:val="111111"/>
          <w:sz w:val="28"/>
          <w:szCs w:val="28"/>
          <w:rtl/>
        </w:rPr>
        <w:t xml:space="preserve">قم؛ مرکز احیاء؛ شماره نسخه: 1098/10</w:t>
      </w:r>
    </w:p>
    <w:p>
      <w:pPr>
        <w:pStyle w:val="BookText"/>
      </w:pPr>
      <w:r>
        <w:rPr>
          <w:rFonts w:ascii="IRNazanin" w:hAnsi="IRNazanin" w:eastAsia="IRNazanin" w:cs="IRNazanin"/>
          <w:lang w:bidi="fa-IR"/>
          <w:color w:val="111111"/>
          <w:sz w:val="28"/>
          <w:szCs w:val="28"/>
          <w:rtl/>
        </w:rPr>
        <w:t xml:space="preserve">نسخه اصل: همان نسخه بالا [عکسی ف 3 - 381]</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قم؛ مرعشی؛ شماره نسخه: 10380/2</w:t>
      </w:r>
    </w:p>
    <w:p>
      <w:pPr>
        <w:pStyle w:val="BookText"/>
      </w:pPr>
      <w:r>
        <w:rPr>
          <w:rFonts w:ascii="IRNazanin" w:hAnsi="IRNazanin" w:eastAsia="IRNazanin" w:cs="IRNazanin"/>
          <w:lang w:bidi="fa-IR"/>
          <w:color w:val="111111"/>
          <w:sz w:val="28"/>
          <w:szCs w:val="28"/>
          <w:rtl/>
        </w:rPr>
        <w:t xml:space="preserve">بی کا، تا: قرن 13؛ با یک واسطه با نسخه اصل مقابله و تصحیح شده [میراث شهاب س8ش 4 - 60].</w:t>
      </w:r>
    </w:p>
    <w:p>
      <w:pPr>
        <w:pStyle w:val="BookText"/>
      </w:pPr>
      <w:r>
        <w:rPr>
          <w:rFonts w:ascii="IRNazanin" w:hAnsi="IRNazanin" w:eastAsia="IRNazanin" w:cs="IRNazanin"/>
          <w:lang w:bidi="fa-IR"/>
          <w:color w:val="111111"/>
          <w:sz w:val="28"/>
          <w:szCs w:val="28"/>
          <w:rtl/>
        </w:rPr>
        <w:t xml:space="preserve">12 . مشهد؛ حیدری؛ شماره نسخه: 65/3</w:t>
      </w:r>
    </w:p>
    <w:p>
      <w:pPr>
        <w:pStyle w:val="BookText"/>
      </w:pPr>
      <w:r>
        <w:rPr>
          <w:rFonts w:ascii="IRNazanin" w:hAnsi="IRNazanin" w:eastAsia="IRNazanin" w:cs="IRNazanin"/>
          <w:lang w:bidi="fa-IR"/>
          <w:color w:val="111111"/>
          <w:sz w:val="28"/>
          <w:szCs w:val="28"/>
          <w:rtl/>
        </w:rPr>
        <w:t xml:space="preserve">بی کا، تا: قرن 13 [اندیشه حوزه س2، ش7 - 218]</w:t>
      </w:r>
    </w:p>
    <w:p>
      <w:pPr>
        <w:pStyle w:val="BookText"/>
      </w:pPr>
      <w:r>
        <w:rPr>
          <w:rFonts w:ascii="IRNazanin" w:hAnsi="IRNazanin" w:eastAsia="IRNazanin" w:cs="IRNazanin"/>
          <w:lang w:bidi="fa-IR"/>
          <w:color w:val="111111"/>
          <w:sz w:val="28"/>
          <w:szCs w:val="28"/>
          <w:rtl/>
        </w:rPr>
        <w:t xml:space="preserve">13 .قم؛ مرعشی شماره نسخه: 120903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13؛ مصحح؛ کاغذ: فرنگی آهار مهره شده، 29گ (22-50)، 22 سطر ، اندازه: 15</w:t>
      </w:r>
      <w:r>
        <w:rPr>
          <w:rFonts w:ascii="Times New Roman" w:hAnsi="Times New Roman" w:eastAsia="Times New Roman" w:cs="Times New Roman"/>
          <w:lang w:val="en-US" w:bidi="en-US"/>
          <w:color w:val="111111"/>
          <w:sz w:val="28"/>
          <w:szCs w:val="28"/>
          <w:rtl/>
        </w:rPr>
        <w:t xml:space="preserve">×9</w:t>
      </w:r>
      <w:r>
        <w:rPr>
          <w:rFonts w:ascii="IRNazanin" w:hAnsi="IRNazanin" w:eastAsia="IRNazanin" w:cs="IRNazanin"/>
          <w:lang w:bidi="fa-IR"/>
          <w:color w:val="111111"/>
          <w:sz w:val="28"/>
          <w:szCs w:val="28"/>
          <w:rtl/>
        </w:rPr>
        <w:t xml:space="preserve">سم [ف: 30 - 510]</w:t>
      </w:r>
    </w:p>
    <w:p>
      <w:pPr>
        <w:pStyle w:val="BookText"/>
      </w:pPr>
      <w:r>
        <w:rPr>
          <w:rFonts w:ascii="IRNazanin" w:hAnsi="IRNazanin" w:eastAsia="IRNazanin" w:cs="IRNazanin"/>
          <w:lang w:bidi="fa-IR"/>
          <w:color w:val="111111"/>
          <w:sz w:val="28"/>
          <w:szCs w:val="28"/>
          <w:rtl/>
        </w:rPr>
        <w:t xml:space="preserve">14 . قم؛ مرکز احیاء؛ شماره نسخه: 3518/1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13 ،مصحح ،صفحات مجدول، دارای سرلوح زرین مهر «يا رفيع الدرجات» (مربع)؛ 19گ (1پ- 19ر)، 19 سطر ، اندازه: 14</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[محدث ارموی مخ: 1 - 112]</w:t>
      </w:r>
    </w:p>
    <w:p>
      <w:pPr>
        <w:pStyle w:val="BookText"/>
      </w:pPr>
      <w:r>
        <w:rPr>
          <w:rFonts w:ascii="IRNazanin" w:hAnsi="IRNazanin" w:eastAsia="IRNazanin" w:cs="IRNazanin"/>
          <w:lang w:bidi="fa-IR"/>
          <w:color w:val="111111"/>
          <w:sz w:val="28"/>
          <w:szCs w:val="28"/>
          <w:rtl/>
        </w:rPr>
        <w:t xml:space="preserve">15 . قم؛ مرکز احیاء؛ شماره نسخه: 3655/3</w:t>
      </w:r>
    </w:p>
    <w:p>
      <w:pPr>
        <w:pStyle w:val="BookText"/>
      </w:pPr>
      <w:r>
        <w:rPr>
          <w:rFonts w:ascii="IRNazanin" w:hAnsi="IRNazanin" w:eastAsia="IRNazanin" w:cs="IRNazanin"/>
          <w:lang w:bidi="fa-IR"/>
          <w:color w:val="111111"/>
          <w:sz w:val="28"/>
          <w:szCs w:val="28"/>
          <w:rtl/>
        </w:rPr>
        <w:t xml:space="preserve">خط، نسخ،بی کا، تا: قرن 13 ؛25گ (45پ-70پ)، 17 سطر ، :اندازه: 16/5</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سم [محدث ارموی مخ: 1 - 112]</w:t>
      </w:r>
    </w:p>
    <w:p>
      <w:pPr>
        <w:pStyle w:val="BookText"/>
      </w:pPr>
      <w:r>
        <w:rPr>
          <w:rFonts w:ascii="IRNazanin" w:hAnsi="IRNazanin" w:eastAsia="IRNazanin" w:cs="IRNazanin"/>
          <w:lang w:bidi="fa-IR"/>
          <w:color w:val="111111"/>
          <w:sz w:val="28"/>
          <w:szCs w:val="28"/>
          <w:rtl/>
        </w:rPr>
        <w:t xml:space="preserve">16 . قم؛ مرعشی؛ شماره نسخه: 3949/1</w:t>
      </w:r>
    </w:p>
    <w:p>
      <w:pPr>
        <w:pStyle w:val="BookText"/>
      </w:pPr>
      <w:r>
        <w:rPr>
          <w:rFonts w:ascii="IRNazanin" w:hAnsi="IRNazanin" w:eastAsia="IRNazanin" w:cs="IRNazanin"/>
          <w:lang w:bidi="fa-IR"/>
          <w:color w:val="111111"/>
          <w:sz w:val="28"/>
          <w:szCs w:val="28"/>
          <w:rtl/>
        </w:rPr>
        <w:t xml:space="preserve">خط ، نسخ، بی کا، تا: 1300ق؛ جلد: تیماج قرمز، 27گ (3پ - 29 ر) اندازه: 21/5</w:t>
      </w:r>
      <w:r>
        <w:rPr>
          <w:rFonts w:ascii="Times New Roman" w:hAnsi="Times New Roman" w:eastAsia="Times New Roman" w:cs="Times New Roman"/>
          <w:lang w:val="en-US" w:bidi="en-US"/>
          <w:color w:val="111111"/>
          <w:sz w:val="28"/>
          <w:szCs w:val="28"/>
          <w:rtl/>
        </w:rPr>
        <w:t xml:space="preserve">×15/5</w:t>
      </w:r>
      <w:r>
        <w:rPr>
          <w:rFonts w:ascii="IRNazanin" w:hAnsi="IRNazanin" w:eastAsia="IRNazanin" w:cs="IRNazanin"/>
          <w:lang w:bidi="fa-IR"/>
          <w:color w:val="111111"/>
          <w:sz w:val="28"/>
          <w:szCs w:val="28"/>
          <w:rtl/>
        </w:rPr>
        <w:t xml:space="preserve">سم [ف: 10 - 332]</w:t>
      </w:r>
    </w:p>
    <w:p>
      <w:pPr>
        <w:pStyle w:val="BookText"/>
      </w:pPr>
      <w:r>
        <w:rPr>
          <w:rFonts w:ascii="IRNazanin" w:hAnsi="IRNazanin" w:eastAsia="IRNazanin" w:cs="IRNazanin"/>
          <w:lang w:bidi="fa-IR"/>
          <w:color w:val="111111"/>
          <w:sz w:val="28"/>
          <w:szCs w:val="28"/>
          <w:rtl/>
        </w:rPr>
        <w:t xml:space="preserve">17 . دامغان؛ صادقیه؛ شماره نسخه: 158/4</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محمد حسین بن محمد قاسم راثی کاشانی، بی تا ،جا ،اصفهان در خدمت مؤلف نگاشته شده؛ مصحح، در آخر علامت مقابله با نسخه مؤلف را دارد؛ جلد: تیماج قهوه ای، 26گ، :اندازه: 15</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10]</w:t>
      </w:r>
    </w:p>
    <w:p>
      <w:pPr>
        <w:pStyle w:val="BookText"/>
      </w:pPr>
      <w:r>
        <w:rPr>
          <w:rFonts w:ascii="IRNazanin" w:hAnsi="IRNazanin" w:eastAsia="IRNazanin" w:cs="IRNazanin"/>
          <w:lang w:bidi="fa-IR"/>
          <w:color w:val="111111"/>
          <w:sz w:val="28"/>
          <w:szCs w:val="28"/>
          <w:rtl/>
        </w:rPr>
        <w:t xml:space="preserve">18 قم؛ مرعشی؛ شماره نسخه: 7371/4</w:t>
      </w:r>
    </w:p>
    <w:p>
      <w:pPr>
        <w:pStyle w:val="BookText"/>
      </w:pPr>
      <w:r>
        <w:rPr>
          <w:rFonts w:ascii="IRNazanin" w:hAnsi="IRNazanin" w:eastAsia="IRNazanin" w:cs="IRNazanin"/>
          <w:lang w:bidi="fa-IR"/>
          <w:color w:val="111111"/>
          <w:sz w:val="28"/>
          <w:szCs w:val="28"/>
          <w:rtl/>
        </w:rPr>
        <w:t xml:space="preserve">خط: نسخ، کا :محمد بن محمد باقر بیهودی قائنی خراسانی، بی تا :جلد: تیماج مشکی، 18گ (174ر-192پ)، 21 سطر ، اندازه: 21</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سم [ف: 19 - 174]</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قم؛ مرعشی؛ شماره نسخه: 9078/1</w:t>
      </w:r>
    </w:p>
    <w:p>
      <w:pPr>
        <w:pStyle w:val="BookText"/>
      </w:pPr>
      <w:r>
        <w:rPr>
          <w:rFonts w:ascii="IRNazanin" w:hAnsi="IRNazanin" w:eastAsia="IRNazanin" w:cs="IRNazanin"/>
          <w:lang w:bidi="fa-IR"/>
          <w:color w:val="111111"/>
          <w:sz w:val="28"/>
          <w:szCs w:val="28"/>
          <w:rtl/>
        </w:rPr>
        <w:t xml:space="preserve">خط: نسخ، بی کا، بی تا؛ محشی؛ جلد: تیماج مشکی، 13گ (1پ-14پ)، اندازه: 21/5</w:t>
      </w:r>
      <w:r>
        <w:rPr>
          <w:rFonts w:ascii="Times New Roman" w:hAnsi="Times New Roman" w:eastAsia="Times New Roman" w:cs="Times New Roman"/>
          <w:lang w:val="en-US" w:bidi="en-US"/>
          <w:color w:val="111111"/>
          <w:sz w:val="28"/>
          <w:szCs w:val="28"/>
          <w:rtl/>
        </w:rPr>
        <w:t xml:space="preserve">×15/5</w:t>
      </w:r>
      <w:r>
        <w:rPr>
          <w:rFonts w:ascii="IRNazanin" w:hAnsi="IRNazanin" w:eastAsia="IRNazanin" w:cs="IRNazanin"/>
          <w:lang w:bidi="fa-IR"/>
          <w:color w:val="111111"/>
          <w:sz w:val="28"/>
          <w:szCs w:val="28"/>
          <w:rtl/>
        </w:rPr>
        <w:t xml:space="preserve">سم [ف: 23 - 230]</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تهران؛ ملک؛ شماره نسخه: 3557/4</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کاغذ: پسته ای، جلد: رویه میشن سیاه، 16گ (43ر -59ر) 25 سطر ، اندازه: 14/8</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 ف : 4856]</w:t>
      </w:r>
    </w:p>
    <w:p>
      <w:pPr>
        <w:pStyle w:val="BookText"/>
      </w:pPr>
      <w:r>
        <w:rPr>
          <w:rFonts w:ascii="IRNazanin" w:hAnsi="IRNazanin" w:eastAsia="IRNazanin" w:cs="IRNazanin"/>
          <w:lang w:bidi="fa-IR"/>
          <w:color w:val="111111"/>
          <w:sz w:val="28"/>
          <w:szCs w:val="28"/>
          <w:rtl/>
        </w:rPr>
        <w:t xml:space="preserve">21 قم؛ گلپایگانی؛ شماره نسخه: 6745/16-34/115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21" w:name="pg20365_260023"/>
    <w:bookmarkEnd w:id="21"/>
    <w:p>
      <w:pPr>
        <w:pStyle w:val="BookText"/>
      </w:pPr>
      <w:r>
        <w:rPr>
          <w:rFonts w:ascii="IRNazanin" w:hAnsi="IRNazanin" w:eastAsia="IRNazanin" w:cs="IRNazanin"/>
          <w:lang w:bidi="fa-IR"/>
          <w:color w:val="111111"/>
          <w:sz w:val="28"/>
          <w:szCs w:val="28"/>
          <w:rtl/>
        </w:rPr>
        <w:t xml:space="preserve">آغاز: بسمله فاعلم انه غمر جماعة من الاصحاب في الحدیث لاشتماله على ابى بصير منهم فى نكاح لك يعد رواية و في صح نظر الى ان ابابصير الراوى عن ق مشترک بین البختری؛ انجام:و نسبة الوقف انما هى الى الثانى لا الاول والاتحاد و هم و الحمد و الصلوة على محمد و آله الاماجد تمت الرسالة خط: نسخ، بی کا، بی تا؛ مصحح؛ جلد: تيماج مشكى مجدول 12گ، 20 سطر ، اندازه: 15</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2 - 838]</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تهران؛ مجلس؛ شماره نسخه: 1607</w:t>
      </w:r>
    </w:p>
    <w:p>
      <w:pPr>
        <w:pStyle w:val="BookText"/>
      </w:pPr>
      <w:r>
        <w:rPr>
          <w:rFonts w:ascii="IRNazanin" w:hAnsi="IRNazanin" w:eastAsia="IRNazanin" w:cs="IRNazanin"/>
          <w:lang w:bidi="fa-IR"/>
          <w:color w:val="111111"/>
          <w:sz w:val="28"/>
          <w:szCs w:val="28"/>
          <w:rtl/>
        </w:rPr>
        <w:t xml:space="preserve">آغا و انجام: برابر</w:t>
      </w:r>
    </w:p>
    <w:p>
      <w:pPr>
        <w:pStyle w:val="BookText"/>
      </w:pPr>
      <w:r>
        <w:rPr>
          <w:rFonts w:ascii="IRNazanin" w:hAnsi="IRNazanin" w:eastAsia="IRNazanin" w:cs="IRNazanin"/>
          <w:lang w:bidi="fa-IR"/>
          <w:color w:val="111111"/>
          <w:sz w:val="28"/>
          <w:szCs w:val="28"/>
          <w:rtl/>
        </w:rPr>
        <w:t xml:space="preserve">بی کا، بی تا[ف 4 - 310]</w:t>
      </w:r>
    </w:p>
    <w:p>
      <w:pPr>
        <w:pStyle w:val="BookText"/>
      </w:pPr>
      <w:r>
        <w:rPr>
          <w:rFonts w:ascii="IRNazanin" w:hAnsi="IRNazanin" w:eastAsia="IRNazanin" w:cs="IRNazanin"/>
          <w:lang w:bidi="fa-IR"/>
          <w:color w:val="111111"/>
          <w:sz w:val="28"/>
          <w:szCs w:val="28"/>
          <w:rtl/>
        </w:rPr>
        <w:t xml:space="preserve">23 .تهران؛ مجلس؛ شماره نسخه: 4194/1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خوش، بی کا، بی تا؛ کاغذ ،فرنگی، جلد: تیماج مشکی 5/24</w:t>
      </w:r>
      <w:r>
        <w:rPr>
          <w:rFonts w:ascii="Times New Roman" w:hAnsi="Times New Roman" w:eastAsia="Times New Roman" w:cs="Times New Roman"/>
          <w:lang w:val="en-US" w:bidi="en-US"/>
          <w:color w:val="111111"/>
          <w:sz w:val="28"/>
          <w:szCs w:val="28"/>
          <w:rtl/>
        </w:rPr>
        <w:t xml:space="preserve">×5/14</w:t>
      </w:r>
      <w:r>
        <w:rPr>
          <w:rFonts w:ascii="IRNazanin" w:hAnsi="IRNazanin" w:eastAsia="IRNazanin" w:cs="IRNazanin"/>
          <w:lang w:bidi="fa-IR"/>
          <w:color w:val="111111"/>
          <w:sz w:val="28"/>
          <w:szCs w:val="28"/>
          <w:rtl/>
        </w:rPr>
        <w:t xml:space="preserve">، 19گ (ار-19ر)، 23 سطر (9</w:t>
      </w:r>
      <w:r>
        <w:rPr>
          <w:rFonts w:ascii="Times New Roman" w:hAnsi="Times New Roman" w:eastAsia="Times New Roman" w:cs="Times New Roman"/>
          <w:lang w:val="en-US" w:bidi="en-US"/>
          <w:color w:val="111111"/>
          <w:sz w:val="28"/>
          <w:szCs w:val="28"/>
          <w:rtl/>
        </w:rPr>
        <w:t xml:space="preserve">×8/59) </w:t>
      </w:r>
      <w:r>
        <w:rPr>
          <w:rFonts w:ascii="IRNazanin" w:hAnsi="IRNazanin" w:eastAsia="IRNazanin" w:cs="IRNazanin"/>
          <w:lang w:bidi="fa-IR"/>
          <w:color w:val="111111"/>
          <w:sz w:val="28"/>
          <w:szCs w:val="28"/>
          <w:rtl/>
        </w:rPr>
        <w:t xml:space="preserve">اندازه: 14/5</w:t>
      </w:r>
      <w:r>
        <w:rPr>
          <w:rFonts w:ascii="Times New Roman" w:hAnsi="Times New Roman" w:eastAsia="Times New Roman" w:cs="Times New Roman"/>
          <w:lang w:val="en-US" w:bidi="en-US"/>
          <w:color w:val="111111"/>
          <w:sz w:val="28"/>
          <w:szCs w:val="28"/>
          <w:rtl/>
        </w:rPr>
        <w:t xml:space="preserve">×24/5</w:t>
      </w:r>
      <w:r>
        <w:rPr>
          <w:rFonts w:ascii="IRNazanin" w:hAnsi="IRNazanin" w:eastAsia="IRNazanin" w:cs="IRNazanin"/>
          <w:lang w:bidi="fa-IR"/>
          <w:color w:val="111111"/>
          <w:sz w:val="28"/>
          <w:szCs w:val="28"/>
          <w:rtl/>
        </w:rPr>
        <w:t xml:space="preserve">سم [ف: 11 - 199]</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تهران؛ مجلس؛ شماره :نسخه: 606/20-طباطبائی</w:t>
      </w:r>
    </w:p>
    <w:p>
      <w:pPr>
        <w:pStyle w:val="BookText"/>
      </w:pPr>
      <w:r>
        <w:rPr>
          <w:rFonts w:ascii="IRNazanin" w:hAnsi="IRNazanin" w:eastAsia="IRNazanin" w:cs="IRNazanin"/>
          <w:lang w:bidi="fa-IR"/>
          <w:color w:val="111111"/>
          <w:sz w:val="28"/>
          <w:szCs w:val="28"/>
          <w:rtl/>
        </w:rPr>
        <w:t xml:space="preserve">آغاز: برابر؛ انجام: و منها ان الاسدى مكفوف كما تقدم و سيجی ايضا و الازدى حذاء فتفايرا.</w:t>
      </w:r>
    </w:p>
    <w:p>
      <w:pPr>
        <w:pStyle w:val="BookText"/>
      </w:pPr>
      <w:r>
        <w:rPr>
          <w:rFonts w:ascii="IRNazanin" w:hAnsi="IRNazanin" w:eastAsia="IRNazanin" w:cs="IRNazanin"/>
          <w:lang w:bidi="fa-IR"/>
          <w:color w:val="111111"/>
          <w:sz w:val="28"/>
          <w:szCs w:val="28"/>
          <w:rtl/>
        </w:rPr>
        <w:t xml:space="preserve">خط: نسخ متوسط، بی کا، بی تا؛ افتادگی: انجام؛ کاغذ: فرنگی آهار مهره نخودی رنگ ،جلد: تیماج ،مشکی 2گ (128پ-130 پ)، 21 سطر، قطع : وزیری، اندازه: 15/5</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22 - 314 ]</w:t>
      </w:r>
    </w:p>
    <w:p>
      <w:pPr>
        <w:pStyle w:val="BookText"/>
      </w:pPr>
      <w:r>
        <w:rPr>
          <w:rFonts w:ascii="IRNazanin" w:hAnsi="IRNazanin" w:eastAsia="IRNazanin" w:cs="IRNazanin"/>
          <w:lang w:bidi="fa-IR"/>
          <w:color w:val="111111"/>
          <w:sz w:val="28"/>
          <w:szCs w:val="28"/>
          <w:rtl/>
        </w:rPr>
        <w:t xml:space="preserve">25 .تهران؛ دانشگاه؛ شماره نسخه: 194/3</w:t>
      </w:r>
    </w:p>
    <w:p>
      <w:pPr>
        <w:pStyle w:val="BookText"/>
      </w:pPr>
      <w:r>
        <w:rPr>
          <w:rFonts w:ascii="Amiri" w:hAnsi="Amiri" w:eastAsia="Amiri" w:cs="Amiri"/>
          <w:lang w:bidi="ar-SA"/>
          <w:color w:val="111111"/>
          <w:sz w:val="28"/>
          <w:szCs w:val="28"/>
          <w:rtl/>
        </w:rPr>
        <w:t xml:space="preserve">آغاز: برابر؛ انجام و نسبة الوقف انما هى الى الثانى لا الاول و الاتحاد و هم نشأ من قلة التأمل و قد فصلنا الحال و انزلنا</w:t>
      </w:r>
    </w:p>
    <w:p>
      <w:pPr>
        <w:pStyle w:val="BookText"/>
      </w:pPr>
      <w:r>
        <w:rPr>
          <w:rFonts w:ascii="IRNazanin" w:hAnsi="IRNazanin" w:eastAsia="IRNazanin" w:cs="IRNazanin"/>
          <w:lang w:bidi="fa-IR"/>
          <w:color w:val="111111"/>
          <w:sz w:val="28"/>
          <w:szCs w:val="28"/>
          <w:rtl/>
        </w:rPr>
        <w:t xml:space="preserve">خط: نسخ، بی کا، بی تا، کاغذ: فرنگی سفید آهار مهره، جلد:  تیماج ،مقوایی 20 گ (38-58) [ف: 2 - 476]</w:t>
      </w:r>
    </w:p>
    <w:p>
      <w:pPr>
        <w:pStyle w:val="Heading3"/>
      </w:pPr>
      <w:bookmarkStart w:id="545" w:name="_Toc67"/>
      <w:r>
        <w:t>ارشاد الخلایق مظفری / تاریخ پیامبراکرم(صلّی اللَّهِ علیه وَ آلِهِ وَ سَلَّمَ  / فارسی</w:t>
      </w:r>
      <w:bookmarkEnd w:id="545"/>
    </w:p>
    <w:p>
      <w:pPr>
        <w:pStyle w:val="BookText"/>
      </w:pPr>
      <w:r>
        <w:rPr>
          <w:rFonts w:ascii="Times New Roman" w:hAnsi="Times New Roman" w:eastAsia="Times New Roman" w:cs="Times New Roman"/>
          <w:lang w:val="en-US" w:bidi="en-US"/>
          <w:color w:val="111111"/>
          <w:sz w:val="28"/>
          <w:szCs w:val="28"/>
          <w:rtl/>
        </w:rPr>
        <w:t xml:space="preserve">eršād-ol-xalāyeq-e mozaffarī</w:t>
      </w:r>
    </w:p>
    <w:p>
      <w:pPr>
        <w:pStyle w:val="BookText"/>
      </w:pPr>
      <w:r>
        <w:rPr>
          <w:rFonts w:ascii="IRNazanin" w:hAnsi="IRNazanin" w:eastAsia="IRNazanin" w:cs="IRNazanin"/>
          <w:lang w:bidi="fa-IR"/>
          <w:color w:val="111111"/>
          <w:sz w:val="28"/>
          <w:szCs w:val="28"/>
          <w:rtl/>
        </w:rPr>
        <w:t xml:space="preserve">كمال السلطنه محمد تقی، ق 14 قمری</w:t>
      </w:r>
    </w:p>
    <w:p>
      <w:pPr>
        <w:pStyle w:val="BookText"/>
      </w:pPr>
      <w:r>
        <w:rPr>
          <w:rFonts w:ascii="Times New Roman" w:hAnsi="Times New Roman" w:eastAsia="Times New Roman" w:cs="Times New Roman"/>
          <w:lang w:val="en-US" w:bidi="en-US"/>
          <w:color w:val="111111"/>
          <w:sz w:val="28"/>
          <w:szCs w:val="28"/>
          <w:rtl/>
        </w:rPr>
        <w:t xml:space="preserve">kamāl-os-saltane, mohammad taqī ( - 20c</w:t>
      </w:r>
    </w:p>
    <w:p>
      <w:pPr>
        <w:pStyle w:val="BookText"/>
      </w:pPr>
      <w:r>
        <w:rPr>
          <w:rFonts w:ascii="IRNazanin" w:hAnsi="IRNazanin" w:eastAsia="IRNazanin" w:cs="IRNazanin"/>
          <w:lang w:bidi="fa-IR"/>
          <w:color w:val="111111"/>
          <w:sz w:val="28"/>
          <w:szCs w:val="28"/>
          <w:rtl/>
        </w:rPr>
        <w:t xml:space="preserve">اهدا به میرزا شمس الدين حكيم الهى</w:t>
      </w:r>
    </w:p>
    <w:p>
      <w:pPr>
        <w:pStyle w:val="BookText"/>
      </w:pPr>
      <w:r>
        <w:rPr>
          <w:rFonts w:ascii="IRNazanin" w:hAnsi="IRNazanin" w:eastAsia="IRNazanin" w:cs="IRNazanin"/>
          <w:lang w:bidi="fa-IR"/>
          <w:color w:val="111111"/>
          <w:sz w:val="28"/>
          <w:szCs w:val="28"/>
          <w:rtl/>
        </w:rPr>
        <w:t xml:space="preserve">تاريخ تأليف: ذیقعده 1318ق؛</w:t>
      </w:r>
    </w:p>
    <w:p>
      <w:pPr>
        <w:pStyle w:val="BookText"/>
      </w:pPr>
      <w:r>
        <w:rPr>
          <w:rFonts w:ascii="IRNazanin" w:hAnsi="IRNazanin" w:eastAsia="IRNazanin" w:cs="IRNazanin"/>
          <w:lang w:bidi="fa-IR"/>
          <w:color w:val="111111"/>
          <w:sz w:val="28"/>
          <w:szCs w:val="28"/>
          <w:rtl/>
        </w:rPr>
        <w:t xml:space="preserve">تاریخ پیامبر اکرم است که به درخواست آقا میرزا شمس الدین حكیم الهی به سبک تاریخ نویسی قدیم تألیف شده است.</w:t>
      </w:r>
    </w:p>
    <w:p>
      <w:pPr>
        <w:pStyle w:val="BookText"/>
      </w:pPr>
      <w:r>
        <w:rPr>
          <w:rFonts w:ascii="IRNazanin" w:hAnsi="IRNazanin" w:eastAsia="IRNazanin" w:cs="IRNazanin"/>
          <w:lang w:bidi="fa-IR"/>
          <w:color w:val="111111"/>
          <w:sz w:val="28"/>
          <w:szCs w:val="28"/>
          <w:rtl/>
        </w:rPr>
        <w:t xml:space="preserve">آغاز :کتاب ارشاد الخلايق .مظفرى بعد البسمله الحمد لله رب العالمين و صلى الله على نبینا و آله ائمة المعصومين</w:t>
      </w:r>
    </w:p>
    <w:p>
      <w:pPr>
        <w:pStyle w:val="BookText"/>
      </w:pPr>
      <w:r>
        <w:rPr>
          <w:rFonts w:ascii="IRNazanin" w:hAnsi="IRNazanin" w:eastAsia="IRNazanin" w:cs="IRNazanin"/>
          <w:lang w:bidi="fa-IR"/>
          <w:color w:val="111111"/>
          <w:sz w:val="28"/>
          <w:szCs w:val="28"/>
          <w:rtl/>
        </w:rPr>
        <w:t xml:space="preserve">انجام: و صلى الله على نبينا و آله و على جميع الانبياء و المرسلین و الاوصياء المرضيين من الان الى يوم الدين وسلم تسليما كثيراً</w:t>
      </w:r>
    </w:p>
    <w:p>
      <w:pPr>
        <w:pStyle w:val="BookText"/>
      </w:pPr>
      <w:r>
        <w:rPr>
          <w:rFonts w:ascii="IRNazanin" w:hAnsi="IRNazanin" w:eastAsia="IRNazanin" w:cs="IRNazanin"/>
          <w:lang w:bidi="fa-IR"/>
          <w:color w:val="111111"/>
          <w:sz w:val="28"/>
          <w:szCs w:val="28"/>
          <w:rtl/>
        </w:rPr>
        <w:t xml:space="preserve">[فهرستواره منزوی 1543/3]</w:t>
      </w:r>
    </w:p>
    <w:p>
      <w:pPr>
        <w:pStyle w:val="BookText"/>
      </w:pPr>
      <w:r>
        <w:rPr>
          <w:rFonts w:ascii="IRNazanin" w:hAnsi="IRNazanin" w:eastAsia="IRNazanin" w:cs="IRNazanin"/>
          <w:lang w:bidi="fa-IR"/>
          <w:color w:val="111111"/>
          <w:sz w:val="28"/>
          <w:szCs w:val="28"/>
          <w:rtl/>
        </w:rPr>
        <w:t xml:space="preserve">تهران ملی شماره نسخه: 454</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،خوش کاتب = مؤلف تا: ذیقعده 1318ق، جا: تهران؛ در آخر نسخه آمده: «غلام آستان آسمان نشان محمد تقی کمال السلطنه پیش خدمت حضور لامع النور المبارك اقدس همایون اعلى روحنا فداه محض کسب مفاخرت و شرافت این نسخه شریفه را بخط ناقص خود تحریر نمود»؛ کاغذ: فرنگی آبی ،جلد: مقوایی قرمز با گل و بته ،ضربی، 127گ، 14 سطر (7</w:t>
      </w: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 اندازه: 15</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1 - 439]</w:t>
      </w:r>
    </w:p>
    <w:p>
      <w:pPr>
        <w:pStyle w:val="Heading3"/>
      </w:pPr>
      <w:bookmarkStart w:id="546" w:name="_Toc68"/>
      <w:r>
        <w:t>ارشاد در علم اسطرلاب = پنجاه باب در اسطرلاب / اسطرلاب - فارسی</w:t>
      </w:r>
      <w:bookmarkEnd w:id="546"/>
    </w:p>
    <w:p>
      <w:pPr>
        <w:pStyle w:val="BookText"/>
      </w:pPr>
      <w:r>
        <w:rPr>
          <w:rFonts w:ascii="Times New Roman" w:hAnsi="Times New Roman" w:eastAsia="Times New Roman" w:cs="Times New Roman"/>
          <w:lang w:val="en-US" w:bidi="en-US"/>
          <w:color w:val="111111"/>
          <w:sz w:val="28"/>
          <w:szCs w:val="28"/>
          <w:rtl/>
        </w:rPr>
        <w:t xml:space="preserve">eršād dar 'elm-e ostorlab = panjah bab dar ostorlāb</w:t>
      </w:r>
    </w:p>
    <w:p>
      <w:pPr>
        <w:pStyle w:val="BookText"/>
      </w:pPr>
      <w:r>
        <w:rPr>
          <w:rFonts w:ascii="IRNazanin" w:hAnsi="IRNazanin" w:eastAsia="IRNazanin" w:cs="IRNazanin"/>
          <w:lang w:bidi="fa-IR"/>
          <w:color w:val="111111"/>
          <w:sz w:val="28"/>
          <w:szCs w:val="28"/>
          <w:rtl/>
        </w:rPr>
        <w:t xml:space="preserve">شیرازی احمد بن حیدر ق 7 قمری</w:t>
      </w:r>
    </w:p>
    <w:p>
      <w:pPr>
        <w:pStyle w:val="BookText"/>
      </w:pPr>
      <w:r>
        <w:rPr>
          <w:rFonts w:ascii="Times New Roman" w:hAnsi="Times New Roman" w:eastAsia="Times New Roman" w:cs="Times New Roman"/>
          <w:lang w:val="en-US" w:bidi="en-US"/>
          <w:color w:val="111111"/>
          <w:sz w:val="28"/>
          <w:szCs w:val="28"/>
          <w:rtl/>
        </w:rPr>
        <w:t xml:space="preserve">šīrāzī, ahmad ebn-e heydar (- 13c)</w:t>
      </w:r>
    </w:p>
    <w:p>
      <w:pPr>
        <w:pStyle w:val="BookText"/>
      </w:pPr>
      <w:r>
        <w:rPr>
          <w:rFonts w:ascii="IRNazanin" w:hAnsi="IRNazanin" w:eastAsia="IRNazanin" w:cs="IRNazanin"/>
          <w:lang w:bidi="fa-IR"/>
          <w:color w:val="111111"/>
          <w:sz w:val="28"/>
          <w:szCs w:val="28"/>
          <w:rtl/>
        </w:rPr>
        <w:t xml:space="preserve">رساله ای است در معرفت اسطرلاب در پنجاه «باب»، که «پنجاه باب نیز نامیده شده است در «ریاض» از نگارنده به حیدر فرزند محمد یاد کرده است. از اشارات کتاب این نکته ها درباره مؤلف به دست می آید: 1. وی در اصفهان میزیسته و کارهای نجومی وی در اصفهان بوده است؛ .2 در باب 49 از عملی که در سال 677 یزدگردی مطابق 697 هجری یاد می کند؛ 3 در باب 12 از «استاد نادرة الزمان بهاء الدين عمر بن دولتشاه بن محمد کرمانی سلمه الله از سنه سبع و سبعین و ستمائه در نسخه کهن: سبعمائه)» یاد شده؛ 4 .در باب 35 (= معرفت سمت قبله) از «استاد البشر نصیر الحق والدین محمد الطوسی سخنی را که در «زبده» فرموده است» آورده است؛ 5. در باب 33 (که در معرفت نماز است) از مذهب ابوحنیفه (با عنوان امام اعظم) و شافعی نام می آورد.</w:t>
      </w:r>
    </w:p>
    <w:p>
      <w:pPr>
        <w:pStyle w:val="BookText"/>
      </w:pPr>
      <w:r>
        <w:rPr>
          <w:rFonts w:ascii="IRNazanin" w:hAnsi="IRNazanin" w:eastAsia="IRNazanin" w:cs="IRNazanin"/>
          <w:lang w:bidi="fa-IR"/>
          <w:color w:val="111111"/>
          <w:sz w:val="28"/>
          <w:szCs w:val="28"/>
          <w:rtl/>
        </w:rPr>
        <w:t xml:space="preserve">فهرست ابواب آن عبارت است از: 1 .معرفت آلات وپارهای اسطرلاب و مدارات و خطوط و ساعات و غیره؛ 2. معرفت قسمت اسطرلاب و بیان آن . 3.معرفت عرض بلد؛ 4 .معرفت ارتفاع آفتاب و ستارگان ثابته؛ 5. معرفت طالع از ارتفاع آفتاب و ستارگان ثابته .6 معرفت ارتفاع از طالع وقت؛ 7. معرفت تعديل سه گانه چون اصطرلاب تمام نباشد و جزء صحیح نباشد؛ 8 .معرفت دایر و ساعات مستویه به روز 9 .معرفت ساعات معوج و اجزاء ساعات به روز ؛ 10 معرفت تعديل النهار؛ 11. معرفت نصف قوس النهار وقوس النهار و ساعات روزها؛ 12 .معرفت ظل اقدام و اصابع و ظل اجزاء منكوس و ظل سم؛ 13. معرفت ساعات هر روز بهر عرض که خواهیم؛ 14. معرفت میل آفتاب؛ 15. معرفت غايت ارتفاع هر روز؛ 16 .معرفت ما دار و ساعات مستوی به شب؛ 17. معرفت ساعات معوج و اجزای ساعات به شب؛ 18. معرفت مطالع البروج به بلد و استوا؛ 19. معرفت تسوية البيوت؛ 20 .معرفت اعمال شب؛ 21 .معرفت درجه قمر ثانیه نصف النهار و مطالع قمرشان؛ 22. معرفت درجه طلوع و غروب ستارگان و مکث ایشان و تعديل النهار؛ 23. معرفت مطالع طلوع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مغارب غروب ستارگان؛ 24. معرفت بعد کواکب از معدل النهار ؛ 25 .معرفت غایت ارتفاع ثانیه به دایره نصف النهار ؛ 26. معرفت عرض ستارگان ثابته از منطقه البروج؛ 27. معرفت . ستارگان از سمت الراس و از قطبین؛ 28. معرفت سعت آفتاب ستارگان ثابته .29 معرفت تحویل سال عالم و موالید؛ معرفت تقویم آفتاب؛ 31 معرفت تقویم سیاره؛ 32 .معرف عرض سیاره .33 .معرفت اوقات نماز ؛ .34 معرفت جهت قبله؛35. معرفت سمت قبله ؛36 .معرفت بالای شخص مرتفع از زمین؛ 37. معرفت بالای چاه .38. معرفت پهناء رودها؛ 39. معرفت راندن کاریز و مساحت زمین؛ 40 .معرفت قوس و جیب؛ 41.معرفت جیب از قوس ارتفاع و قوس از جیب؛ 42. معرفت سهم از قوس و قوس از سهم؛ 43 .معرفت اعمال روز و شب صفیحه آفاقی؛ 44 .معرفت غایت ارتفاع آفتاب و ستاره صفیحه آفاقی؛ 45 .معرفت تعدیل النهار از ظل و جیب و اعم النهار؛ 46 .معرفت طالع از صفیحه آفاقی؛ 47 .معرفت تسویه البيوت از صفیحه آفاقی؛ 48. معرفت طالع چون بر صفیه عرض بلد نباشد؛ 49. معرفت ستارگان چند که در اسطرلاب مرسوم اند؛ 50 .معرفت امتحان اسطرلاب</w:t>
      </w:r>
    </w:p>
    <w:p>
      <w:pPr>
        <w:pStyle w:val="BookText"/>
      </w:pPr>
      <w:r>
        <w:rPr>
          <w:rFonts w:ascii="IRNazanin" w:hAnsi="IRNazanin" w:eastAsia="IRNazanin" w:cs="IRNazanin"/>
          <w:lang w:bidi="fa-IR"/>
          <w:color w:val="111111"/>
          <w:sz w:val="28"/>
          <w:szCs w:val="28"/>
          <w:rtl/>
        </w:rPr>
        <w:t xml:space="preserve">آغاز: بسمله و به نستعین. شکر و سپاس بیحد و عدآفریدگار جل جلاله که مبدع زمین و زمان است و محرک افلاک ستارگان است. ..چنین گوید مولانای معظم جاسوس افلاک ناصر الدین احمد بن حيدر بن محمد الشيرازي ادام الله ايامه جمع کردیم مختصری در علم اسطرلاب و نامش «ارشاد» نهادم.</w:t>
      </w:r>
    </w:p>
    <w:p>
      <w:pPr>
        <w:pStyle w:val="BookText"/>
      </w:pPr>
      <w:r>
        <w:rPr>
          <w:rFonts w:ascii="IRNazanin" w:hAnsi="IRNazanin" w:eastAsia="IRNazanin" w:cs="IRNazanin"/>
          <w:lang w:bidi="fa-IR"/>
          <w:color w:val="111111"/>
          <w:sz w:val="28"/>
          <w:szCs w:val="28"/>
          <w:rtl/>
        </w:rPr>
        <w:t xml:space="preserve">انجام: اعمال صحیح است والا از سر گیرند تا عمل درست حاصل کنند و این قدر کفایت است. و الله اعلم بالصواب</w:t>
      </w:r>
    </w:p>
    <w:p>
      <w:pPr>
        <w:pStyle w:val="BookText"/>
      </w:pPr>
      <w:r>
        <w:rPr>
          <w:rFonts w:ascii="IRNazanin" w:hAnsi="IRNazanin" w:eastAsia="IRNazanin" w:cs="IRNazanin"/>
          <w:lang w:bidi="fa-IR"/>
          <w:color w:val="111111"/>
          <w:sz w:val="28"/>
          <w:szCs w:val="28"/>
          <w:rtl/>
        </w:rPr>
        <w:t xml:space="preserve">[الذريعة 570/18؛ نسخه های منزوی 225/1 فهرستواره منزوی (2790/4]</w:t>
      </w:r>
    </w:p>
    <w:p>
      <w:pPr>
        <w:pStyle w:val="BookText"/>
      </w:pPr>
      <w:r>
        <w:rPr>
          <w:rFonts w:ascii="IRNazanin" w:hAnsi="IRNazanin" w:eastAsia="IRNazanin" w:cs="IRNazanin"/>
          <w:lang w:bidi="fa-IR"/>
          <w:color w:val="111111"/>
          <w:sz w:val="28"/>
          <w:szCs w:val="28"/>
          <w:rtl/>
        </w:rPr>
        <w:t xml:space="preserve">شرح وحواشی :</w:t>
      </w:r>
    </w:p>
    <w:p>
      <w:pPr>
        <w:pStyle w:val="BookText"/>
      </w:pPr>
      <w:r>
        <w:rPr>
          <w:rFonts w:ascii="IRNazanin" w:hAnsi="IRNazanin" w:eastAsia="IRNazanin" w:cs="IRNazanin"/>
          <w:lang w:bidi="fa-IR"/>
          <w:color w:val="111111"/>
          <w:sz w:val="28"/>
          <w:szCs w:val="28"/>
          <w:rtl/>
        </w:rPr>
        <w:t xml:space="preserve">1- ارشاد در علم اسطرلاب (مختصر)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مجلس؛ شماره نسخه: 149</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شامل پنجاه باب؛ خط: نسخ ،کهن، بی کا، تا: اواسط شعبان 773ق؛ 39گ، 17 سطر ، قطع: ربعی، اندازه: 11</w:t>
      </w:r>
      <w:r>
        <w:rPr>
          <w:rFonts w:ascii="Times New Roman" w:hAnsi="Times New Roman" w:eastAsia="Times New Roman" w:cs="Times New Roman"/>
          <w:lang w:val="en-US" w:bidi="en-US"/>
          <w:color w:val="111111"/>
          <w:sz w:val="28"/>
          <w:szCs w:val="28"/>
          <w:rtl/>
        </w:rPr>
        <w:t xml:space="preserve">×7</w:t>
      </w:r>
      <w:r>
        <w:rPr>
          <w:rFonts w:ascii="IRNazanin" w:hAnsi="IRNazanin" w:eastAsia="IRNazanin" w:cs="IRNazanin"/>
          <w:lang w:bidi="fa-IR"/>
          <w:color w:val="111111"/>
          <w:sz w:val="28"/>
          <w:szCs w:val="28"/>
          <w:rtl/>
        </w:rPr>
        <w:t xml:space="preserve">سم[ف:2-80]</w:t>
      </w:r>
    </w:p>
    <w:p>
      <w:pPr>
        <w:pStyle w:val="BookText"/>
      </w:pPr>
      <w:r>
        <w:rPr>
          <w:rFonts w:ascii="IRNazanin" w:hAnsi="IRNazanin" w:eastAsia="IRNazanin" w:cs="IRNazanin"/>
          <w:lang w:bidi="fa-IR"/>
          <w:color w:val="111111"/>
          <w:sz w:val="28"/>
          <w:szCs w:val="28"/>
          <w:rtl/>
        </w:rPr>
        <w:t xml:space="preserve">تهران؛ دانشگاه؛ شماره نسخه: 1665-ف</w:t>
      </w:r>
    </w:p>
    <w:p>
      <w:pPr>
        <w:pStyle w:val="BookText"/>
      </w:pPr>
      <w:r>
        <w:rPr>
          <w:rFonts w:ascii="Amiri" w:hAnsi="Amiri" w:eastAsia="Amiri" w:cs="Amiri"/>
          <w:lang w:bidi="ar-SA"/>
          <w:color w:val="111111"/>
          <w:sz w:val="28"/>
          <w:szCs w:val="28"/>
          <w:rtl/>
        </w:rPr>
        <w:t xml:space="preserve">نسخه اصل: همان نسخه بالا [فيلم ها - ف: 1 - 9]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قم؛ مرعشی؛ شماره نسخه: 7510</w:t>
      </w:r>
    </w:p>
    <w:p>
      <w:pPr>
        <w:pStyle w:val="BookText"/>
      </w:pPr>
      <w:r>
        <w:rPr>
          <w:rFonts w:ascii="IRNazanin" w:hAnsi="IRNazanin" w:eastAsia="IRNazanin" w:cs="IRNazanin"/>
          <w:lang w:bidi="fa-IR"/>
          <w:color w:val="111111"/>
          <w:sz w:val="28"/>
          <w:szCs w:val="28"/>
          <w:rtl/>
        </w:rPr>
        <w:t xml:space="preserve">آغاز: برابر؛ انجام: اگر چه امتحان اسطرلاب بسیار است ما آنچه ضرورت بود گفتیم و سخن در اینجا قطع کردیم.</w:t>
      </w:r>
    </w:p>
    <w:p>
      <w:pPr>
        <w:pStyle w:val="BookText"/>
      </w:pPr>
      <w:r>
        <w:rPr>
          <w:rFonts w:ascii="IRNazanin" w:hAnsi="IRNazanin" w:eastAsia="IRNazanin" w:cs="IRNazanin"/>
          <w:lang w:bidi="fa-IR"/>
          <w:color w:val="111111"/>
          <w:sz w:val="28"/>
          <w:szCs w:val="28"/>
          <w:rtl/>
        </w:rPr>
        <w:t xml:space="preserve">خط: نسخ، بی کا، تا: شاید قرن 9؛ مصحح؛ جلد: مقوایی عطف تیماج قهوه ای، 38گ 23 سطر ، اندازه: 18</w:t>
      </w:r>
      <w:r>
        <w:rPr>
          <w:rFonts w:ascii="Times New Roman" w:hAnsi="Times New Roman" w:eastAsia="Times New Roman" w:cs="Times New Roman"/>
          <w:lang w:val="en-US" w:bidi="en-US"/>
          <w:color w:val="111111"/>
          <w:sz w:val="28"/>
          <w:szCs w:val="28"/>
          <w:rtl/>
        </w:rPr>
        <w:t xml:space="preserve">×10</w:t>
      </w:r>
      <w:r>
        <w:rPr>
          <w:rFonts w:ascii="IRNazanin" w:hAnsi="IRNazanin" w:eastAsia="IRNazanin" w:cs="IRNazanin"/>
          <w:lang w:bidi="fa-IR"/>
          <w:color w:val="111111"/>
          <w:sz w:val="28"/>
          <w:szCs w:val="28"/>
          <w:rtl/>
        </w:rPr>
        <w:t xml:space="preserve">سم [ف: 19 - 310]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دانشگاه؛ شماره نسخه: 1014</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 تا: 889ق؛ دارای جداول و شكل ها؛ 196 گ (134 ر - (193 ر) ، 11 سطر (7</w:t>
      </w:r>
      <w:r>
        <w:rPr>
          <w:rFonts w:ascii="Times New Roman" w:hAnsi="Times New Roman" w:eastAsia="Times New Roman" w:cs="Times New Roman"/>
          <w:lang w:val="en-US" w:bidi="en-US"/>
          <w:color w:val="111111"/>
          <w:sz w:val="28"/>
          <w:szCs w:val="28"/>
          <w:rtl/>
        </w:rPr>
        <w:t xml:space="preserve">×11/5) </w:t>
      </w:r>
      <w:r>
        <w:rPr>
          <w:rFonts w:ascii="IRNazanin" w:hAnsi="IRNazanin" w:eastAsia="IRNazanin" w:cs="IRNazanin"/>
          <w:lang w:bidi="fa-IR"/>
          <w:color w:val="111111"/>
          <w:sz w:val="28"/>
          <w:szCs w:val="28"/>
          <w:rtl/>
        </w:rPr>
        <w:t xml:space="preserve">سطر ، اندازه: 12/5</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[ف:4- 827]</w:t>
      </w:r>
    </w:p>
    <w:p>
      <w:pPr>
        <w:pStyle w:val="BookText"/>
      </w:pPr>
      <w:r>
        <w:rPr>
          <w:rFonts w:ascii="IRNazanin" w:hAnsi="IRNazanin" w:eastAsia="IRNazanin" w:cs="IRNazanin"/>
          <w:lang w:bidi="fa-IR"/>
          <w:color w:val="111111"/>
          <w:sz w:val="28"/>
          <w:szCs w:val="28"/>
          <w:rtl/>
        </w:rPr>
        <w:t xml:space="preserve">4 .تهران؛ مجلس؛ شماره نسخه: 766/10- طباطبائی</w:t>
      </w:r>
    </w:p>
    <w:p>
      <w:pPr>
        <w:pStyle w:val="BookText"/>
      </w:pPr>
      <w:r>
        <w:rPr>
          <w:rFonts w:ascii="IRNazanin" w:hAnsi="IRNazanin" w:eastAsia="IRNazanin" w:cs="IRNazanin"/>
          <w:lang w:bidi="fa-IR"/>
          <w:color w:val="111111"/>
          <w:sz w:val="28"/>
          <w:szCs w:val="28"/>
          <w:rtl/>
        </w:rPr>
        <w:t xml:space="preserve">آغاز: برابر؛ انجام: اما آنچه ضروری بود گفتیم و سخن اینجا قطع کردیم بتوفيق الله تعالى.</w:t>
      </w:r>
    </w:p>
    <w:p>
      <w:pPr>
        <w:pStyle w:val="BookText"/>
      </w:pPr>
      <w:r>
        <w:rPr>
          <w:rFonts w:ascii="IRNazanin" w:hAnsi="IRNazanin" w:eastAsia="IRNazanin" w:cs="IRNazanin"/>
          <w:lang w:bidi="fa-IR"/>
          <w:color w:val="111111"/>
          <w:sz w:val="28"/>
          <w:szCs w:val="28"/>
          <w:rtl/>
        </w:rPr>
        <w:t xml:space="preserve">بی کا، تا: قرن 10؛ کاغذ: اصفهانی نخودی رنگ، جلد: تیماج نیلی دارای ترنج و نیم ترنج ،ضربی 35 ص (50-85 حاشيه)، 15و 28سطر ، قطع: رقعی اندازه: 12/5 </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[ف: 23 - 53]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تهران؛ دانشگاه؛ شماره نسخه: 1399/2</w:t>
      </w:r>
    </w:p>
    <w:p>
      <w:pPr>
        <w:pStyle w:val="BookText"/>
      </w:pPr>
      <w:r>
        <w:rPr>
          <w:rFonts w:ascii="IRNazanin" w:hAnsi="IRNazanin" w:eastAsia="IRNazanin" w:cs="IRNazanin"/>
          <w:lang w:bidi="fa-IR"/>
          <w:color w:val="111111"/>
          <w:sz w:val="28"/>
          <w:szCs w:val="28"/>
          <w:rtl/>
        </w:rPr>
        <w:t xml:space="preserve">در فهرست ناشناس آمده، باب ششم در معرفت ارتفاع از طالع وقت؛خط: نستعلیق ریز، بی کا، تا: قرن 11؛ کاغذ :سپاهانی آهارمهره، جلد: تيماج عنابی ،ضربی 4گ( 27پ-30پ)، 27 سطر (8</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اندازه: 10</w:t>
      </w:r>
      <w:r>
        <w:rPr>
          <w:rFonts w:ascii="Times New Roman" w:hAnsi="Times New Roman" w:eastAsia="Times New Roman" w:cs="Times New Roman"/>
          <w:lang w:val="en-US" w:bidi="en-US"/>
          <w:color w:val="111111"/>
          <w:sz w:val="28"/>
          <w:szCs w:val="28"/>
          <w:rtl/>
        </w:rPr>
        <w:t xml:space="preserve">× 15</w:t>
      </w:r>
      <w:r>
        <w:rPr>
          <w:rFonts w:ascii="IRNazanin" w:hAnsi="IRNazanin" w:eastAsia="IRNazanin" w:cs="IRNazanin"/>
          <w:lang w:bidi="fa-IR"/>
          <w:color w:val="111111"/>
          <w:sz w:val="28"/>
          <w:szCs w:val="28"/>
          <w:rtl/>
        </w:rPr>
        <w:t xml:space="preserve">سم [ف 8 - 77]</w:t>
      </w:r>
    </w:p>
    <w:p>
      <w:pPr>
        <w:pStyle w:val="BookText"/>
      </w:pPr>
      <w:r>
        <w:rPr>
          <w:rFonts w:ascii="IRNazanin" w:hAnsi="IRNazanin" w:eastAsia="IRNazanin" w:cs="IRNazanin"/>
          <w:lang w:bidi="fa-IR"/>
          <w:color w:val="111111"/>
          <w:sz w:val="28"/>
          <w:szCs w:val="28"/>
          <w:rtl/>
        </w:rPr>
        <w:t xml:space="preserve">6 .مشهد؛ رضوی؛ شماره نسخه: 5422</w:t>
      </w:r>
    </w:p>
    <w:p>
      <w:pPr>
        <w:pStyle w:val="BookText"/>
      </w:pPr>
      <w:r>
        <w:rPr>
          <w:rFonts w:ascii="IRNazanin" w:hAnsi="IRNazanin" w:eastAsia="IRNazanin" w:cs="IRNazanin"/>
          <w:lang w:bidi="fa-IR"/>
          <w:color w:val="111111"/>
          <w:sz w:val="28"/>
          <w:szCs w:val="28"/>
          <w:rtl/>
        </w:rPr>
        <w:t xml:space="preserve">آغاز: برابر؛ انجام :و سخن اینجا قطع کردیم بتوفیق باری تعالی</w:t>
      </w:r>
    </w:p>
    <w:p>
      <w:pPr>
        <w:pStyle w:val="BookText"/>
      </w:pPr>
      <w:r>
        <w:rPr>
          <w:rFonts w:ascii="IRNazanin" w:hAnsi="IRNazanin" w:eastAsia="IRNazanin" w:cs="IRNazanin"/>
          <w:lang w:bidi="fa-IR"/>
          <w:color w:val="111111"/>
          <w:sz w:val="28"/>
          <w:szCs w:val="28"/>
          <w:rtl/>
        </w:rPr>
        <w:t xml:space="preserve">خط: نستعلیق، بی کا، تا: قرن 11؛ واقف: حاج عماد فهرستی، کاغذ: کاهی، جلد: تیماج ،عنابی 55گ، 15 سطر (7/5</w:t>
      </w:r>
      <w:r>
        <w:rPr>
          <w:rFonts w:ascii="Times New Roman" w:hAnsi="Times New Roman" w:eastAsia="Times New Roman" w:cs="Times New Roman"/>
          <w:lang w:val="en-US" w:bidi="en-US"/>
          <w:color w:val="111111"/>
          <w:sz w:val="28"/>
          <w:szCs w:val="28"/>
          <w:rtl/>
        </w:rPr>
        <w:t xml:space="preserve">×14/5)</w:t>
      </w:r>
      <w:r>
        <w:rPr>
          <w:rFonts w:ascii="IRNazanin" w:hAnsi="IRNazanin" w:eastAsia="IRNazanin" w:cs="IRNazanin"/>
          <w:lang w:bidi="fa-IR"/>
          <w:color w:val="111111"/>
          <w:sz w:val="28"/>
          <w:szCs w:val="28"/>
          <w:rtl/>
        </w:rPr>
        <w:t xml:space="preserve">، :اندازه: 12/5</w:t>
      </w:r>
      <w:r>
        <w:rPr>
          <w:rFonts w:ascii="Times New Roman" w:hAnsi="Times New Roman" w:eastAsia="Times New Roman" w:cs="Times New Roman"/>
          <w:lang w:val="en-US" w:bidi="en-US"/>
          <w:color w:val="111111"/>
          <w:sz w:val="28"/>
          <w:szCs w:val="28"/>
          <w:rtl/>
        </w:rPr>
        <w:t xml:space="preserve">×19/5</w:t>
      </w:r>
      <w:r>
        <w:rPr>
          <w:rFonts w:ascii="IRNazanin" w:hAnsi="IRNazanin" w:eastAsia="IRNazanin" w:cs="IRNazanin"/>
          <w:lang w:bidi="fa-IR"/>
          <w:color w:val="111111"/>
          <w:sz w:val="28"/>
          <w:szCs w:val="28"/>
          <w:rtl/>
        </w:rPr>
        <w:t xml:space="preserve">سم [ف 8 - 21]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مشهد؛ رضوی؛ شماره نسخه: 5232</w:t>
      </w:r>
    </w:p>
    <w:p>
      <w:pPr>
        <w:pStyle w:val="BookText"/>
      </w:pPr>
      <w:r>
        <w:rPr>
          <w:rFonts w:ascii="IRNazanin" w:hAnsi="IRNazanin" w:eastAsia="IRNazanin" w:cs="IRNazanin"/>
          <w:lang w:bidi="fa-IR"/>
          <w:color w:val="111111"/>
          <w:sz w:val="28"/>
          <w:szCs w:val="28"/>
          <w:rtl/>
        </w:rPr>
        <w:t xml:space="preserve">خط: نستعلیق ،هندی، بی کا، تا: قرن 11؛ واقف: ابن خاتون (شیخ اسدالله بن شيخ بن محمد مومن)، 1067ق؛ کاغذ: حنایی آهار ،مهره جلد: چرمی ،عنابی 46گ 15 سطر (7</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11/7</w:t>
      </w:r>
      <w:r>
        <w:rPr>
          <w:rFonts w:ascii="Times New Roman" w:hAnsi="Times New Roman" w:eastAsia="Times New Roman" w:cs="Times New Roman"/>
          <w:lang w:val="en-US" w:bidi="en-US"/>
          <w:color w:val="111111"/>
          <w:sz w:val="28"/>
          <w:szCs w:val="28"/>
          <w:rtl/>
        </w:rPr>
        <w:t xml:space="preserve">×19/7</w:t>
      </w:r>
      <w:r>
        <w:rPr>
          <w:rFonts w:ascii="IRNazanin" w:hAnsi="IRNazanin" w:eastAsia="IRNazanin" w:cs="IRNazanin"/>
          <w:lang w:bidi="fa-IR"/>
          <w:color w:val="111111"/>
          <w:sz w:val="28"/>
          <w:szCs w:val="28"/>
          <w:rtl/>
        </w:rPr>
        <w:t xml:space="preserve">سم [ف: 8 - 22]</w:t>
      </w:r>
    </w:p>
    <w:p>
      <w:pPr>
        <w:pStyle w:val="BookText"/>
      </w:pPr>
      <w:r>
        <w:rPr>
          <w:rFonts w:ascii="IRNazanin" w:hAnsi="IRNazanin" w:eastAsia="IRNazanin" w:cs="IRNazanin"/>
          <w:lang w:bidi="fa-IR"/>
          <w:color w:val="111111"/>
          <w:sz w:val="28"/>
          <w:szCs w:val="28"/>
          <w:rtl/>
        </w:rPr>
        <w:t xml:space="preserve">8 .مشهد؛ رضوی؛ شماره نسخه: 12042/5</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تحریری، کا: زين العابدین ابن شيخ محمد صادق ،شولستانی تا: 1015ق؛ کاغذ: نخودی آهار مهره، جلد: تیماج، :اندازه: 14</w:t>
      </w:r>
      <w:r>
        <w:rPr>
          <w:rFonts w:ascii="Times New Roman" w:hAnsi="Times New Roman" w:eastAsia="Times New Roman" w:cs="Times New Roman"/>
          <w:lang w:val="en-US" w:bidi="en-US"/>
          <w:color w:val="111111"/>
          <w:sz w:val="28"/>
          <w:szCs w:val="28"/>
          <w:rtl/>
        </w:rPr>
        <w:t xml:space="preserve">× 26</w:t>
      </w:r>
      <w:r>
        <w:rPr>
          <w:rFonts w:ascii="IRNazanin" w:hAnsi="IRNazanin" w:eastAsia="IRNazanin" w:cs="IRNazanin"/>
          <w:lang w:bidi="fa-IR"/>
          <w:color w:val="111111"/>
          <w:sz w:val="28"/>
          <w:szCs w:val="28"/>
          <w:rtl/>
        </w:rPr>
        <w:t xml:space="preserve">سم [ف: 10 - 172]</w:t>
      </w:r>
    </w:p>
    <w:p>
      <w:pPr>
        <w:pStyle w:val="BookText"/>
      </w:pPr>
      <w:r>
        <w:rPr>
          <w:rFonts w:ascii="IRNazanin" w:hAnsi="IRNazanin" w:eastAsia="IRNazanin" w:cs="IRNazanin"/>
          <w:lang w:bidi="fa-IR"/>
          <w:color w:val="111111"/>
          <w:sz w:val="28"/>
          <w:szCs w:val="28"/>
          <w:rtl/>
        </w:rPr>
        <w:t xml:space="preserve">9.شیراز؛ علامه طباطبائی؛ شماره نسخه: 1630/1</w:t>
      </w:r>
    </w:p>
    <w:p>
      <w:pPr>
        <w:pStyle w:val="BookText"/>
      </w:pPr>
      <w:r>
        <w:rPr>
          <w:rFonts w:ascii="IRNazanin" w:hAnsi="IRNazanin" w:eastAsia="IRNazanin" w:cs="IRNazanin"/>
          <w:lang w:bidi="fa-IR"/>
          <w:color w:val="111111"/>
          <w:sz w:val="28"/>
          <w:szCs w:val="28"/>
          <w:rtl/>
        </w:rPr>
        <w:t xml:space="preserve">آغاز: قال ابوالحسین کیخسرو بن العلاء الشيرازی رحمه الله تعالى بعد ان احمد الله واثنى عليه و اصلى على جميع انبیائه ورسله .. ان الاسطرلاب المسطح اجل آلة مستعملة.</w:t>
      </w:r>
    </w:p>
    <w:p>
      <w:pPr>
        <w:pStyle w:val="BookText"/>
      </w:pPr>
      <w:r>
        <w:rPr>
          <w:rFonts w:ascii="IRNazanin" w:hAnsi="IRNazanin" w:eastAsia="IRNazanin" w:cs="IRNazanin"/>
          <w:lang w:bidi="fa-IR"/>
          <w:color w:val="111111"/>
          <w:sz w:val="28"/>
          <w:szCs w:val="28"/>
          <w:rtl/>
        </w:rPr>
        <w:t xml:space="preserve">خط: نستعليق، كا: حاج محمد بن حاج اسماعيل بن حاج على «معروف به حاج بکتاش زاده» ،اکینی تا: 1173ق؛ مصحح؛ 39گ (1 - 40) ، اندازه: 13</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 نسخه پژوهی 3 - 156]</w:t>
      </w:r>
    </w:p>
    <w:p>
      <w:pPr>
        <w:pStyle w:val="BookText"/>
      </w:pPr>
      <w:r>
        <w:rPr>
          <w:rFonts w:ascii="IRNazanin" w:hAnsi="IRNazanin" w:eastAsia="IRNazanin" w:cs="IRNazanin"/>
          <w:lang w:bidi="fa-IR"/>
          <w:color w:val="111111"/>
          <w:sz w:val="28"/>
          <w:szCs w:val="28"/>
          <w:rtl/>
        </w:rPr>
        <w:t xml:space="preserve">10 . قم؛ فیضیه؛ شماره نسخه: 967/1</w:t>
      </w:r>
    </w:p>
    <w:p>
      <w:pPr>
        <w:pStyle w:val="BookText"/>
      </w:pPr>
      <w:r>
        <w:rPr>
          <w:rFonts w:ascii="IRNazanin" w:hAnsi="IRNazanin" w:eastAsia="IRNazanin" w:cs="IRNazanin"/>
          <w:lang w:bidi="fa-IR"/>
          <w:color w:val="111111"/>
          <w:sz w:val="28"/>
          <w:szCs w:val="28"/>
          <w:rtl/>
        </w:rPr>
        <w:t xml:space="preserve">خط: نسخ، بی کا، تا: 1209ق؛ 50گ (1-51) اندازه: 16</w:t>
      </w:r>
      <w:r>
        <w:rPr>
          <w:rFonts w:ascii="Times New Roman" w:hAnsi="Times New Roman" w:eastAsia="Times New Roman" w:cs="Times New Roman"/>
          <w:lang w:val="en-US" w:bidi="en-US"/>
          <w:color w:val="111111"/>
          <w:sz w:val="28"/>
          <w:szCs w:val="28"/>
          <w:rtl/>
        </w:rPr>
        <w:t xml:space="preserve">× 22</w:t>
      </w:r>
      <w:r>
        <w:rPr>
          <w:rFonts w:ascii="IRNazanin" w:hAnsi="IRNazanin" w:eastAsia="IRNazanin" w:cs="IRNazanin"/>
          <w:lang w:bidi="fa-IR"/>
          <w:color w:val="111111"/>
          <w:sz w:val="28"/>
          <w:szCs w:val="28"/>
          <w:rtl/>
        </w:rPr>
        <w:t xml:space="preserve">سم [ف: 3 - 44]</w:t>
      </w:r>
    </w:p>
    <w:p>
      <w:pPr>
        <w:pStyle w:val="BookText"/>
      </w:pPr>
      <w:r>
        <w:rPr>
          <w:rFonts w:ascii="IRNazanin" w:hAnsi="IRNazanin" w:eastAsia="IRNazanin" w:cs="IRNazanin"/>
          <w:lang w:bidi="fa-IR"/>
          <w:color w:val="111111"/>
          <w:sz w:val="28"/>
          <w:szCs w:val="28"/>
          <w:rtl/>
        </w:rPr>
        <w:t xml:space="preserve">11.مشهد؛ رضوی؛ شماره نسخه: 5760</w:t>
      </w:r>
    </w:p>
    <w:p>
      <w:pPr>
        <w:pStyle w:val="BookText"/>
      </w:pPr>
      <w:r>
        <w:rPr>
          <w:rFonts w:ascii="IRNazanin" w:hAnsi="IRNazanin" w:eastAsia="IRNazanin" w:cs="IRNazanin"/>
          <w:lang w:bidi="fa-IR"/>
          <w:color w:val="111111"/>
          <w:sz w:val="28"/>
          <w:szCs w:val="28"/>
          <w:rtl/>
        </w:rPr>
        <w:t xml:space="preserve">آغاز: برابر؛ انجام : اگر چه امتحان اسطرلاب بسیار است...</w:t>
      </w:r>
    </w:p>
    <w:p>
      <w:pPr>
        <w:pStyle w:val="BookText"/>
      </w:pPr>
      <w:r>
        <w:rPr>
          <w:rFonts w:ascii="IRNazanin" w:hAnsi="IRNazanin" w:eastAsia="IRNazanin" w:cs="IRNazanin"/>
          <w:lang w:bidi="fa-IR"/>
          <w:color w:val="111111"/>
          <w:sz w:val="28"/>
          <w:szCs w:val="28"/>
          <w:rtl/>
        </w:rPr>
        <w:t xml:space="preserve">خط: نستعليق تحریری، بی کا، تا: 9 محرم 1245ق؛ افتادگی: وسط (که از جمله سقطات باب دوازدهم است)؛ هشت صفحه جدول طالع بلاد و غیره اضافه دارد؛ کاغذ: نخودی، جلد: پارچه ای،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22" w:name="pg20365_260025"/>
    <w:bookmarkEnd w:id="22"/>
    <w:p>
      <w:pPr>
        <w:pStyle w:val="BookText"/>
      </w:pPr>
      <w:r>
        <w:rPr>
          <w:rFonts w:ascii="IRNazanin" w:hAnsi="IRNazanin" w:eastAsia="IRNazanin" w:cs="IRNazanin"/>
          <w:lang w:bidi="fa-IR"/>
          <w:color w:val="111111"/>
          <w:sz w:val="28"/>
          <w:szCs w:val="28"/>
          <w:rtl/>
        </w:rPr>
        <w:t xml:space="preserve">29گ، 17 سطر (</w:t>
      </w:r>
      <w:r>
        <w:rPr>
          <w:rFonts w:ascii="Times New Roman" w:hAnsi="Times New Roman" w:eastAsia="Times New Roman" w:cs="Times New Roman"/>
          <w:lang w:val="en-US" w:bidi="en-US"/>
          <w:color w:val="111111"/>
          <w:sz w:val="28"/>
          <w:szCs w:val="28"/>
          <w:rtl/>
        </w:rPr>
        <w:t xml:space="preserve">×137)</w:t>
      </w:r>
      <w:r>
        <w:rPr>
          <w:rFonts w:ascii="IRNazanin" w:hAnsi="IRNazanin" w:eastAsia="IRNazanin" w:cs="IRNazanin"/>
          <w:lang w:bidi="fa-IR"/>
          <w:color w:val="111111"/>
          <w:sz w:val="28"/>
          <w:szCs w:val="28"/>
          <w:rtl/>
        </w:rPr>
        <w:t xml:space="preserve">، اندازه: 12/5</w:t>
      </w:r>
      <w:r>
        <w:rPr>
          <w:rFonts w:ascii="Times New Roman" w:hAnsi="Times New Roman" w:eastAsia="Times New Roman" w:cs="Times New Roman"/>
          <w:lang w:val="en-US" w:bidi="en-US"/>
          <w:color w:val="111111"/>
          <w:sz w:val="28"/>
          <w:szCs w:val="28"/>
          <w:rtl/>
        </w:rPr>
        <w:t xml:space="preserve">×19/2</w:t>
      </w:r>
      <w:r>
        <w:rPr>
          <w:rFonts w:ascii="IRNazanin" w:hAnsi="IRNazanin" w:eastAsia="IRNazanin" w:cs="IRNazanin"/>
          <w:lang w:bidi="fa-IR"/>
          <w:color w:val="111111"/>
          <w:sz w:val="28"/>
          <w:szCs w:val="28"/>
          <w:rtl/>
        </w:rPr>
        <w:t xml:space="preserve">سم [ف: 8 - 22]</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مشهد؛ رضوی؛ شماره نسخه: 5566/2</w:t>
      </w:r>
    </w:p>
    <w:p>
      <w:pPr>
        <w:pStyle w:val="BookText"/>
      </w:pPr>
      <w:r>
        <w:rPr>
          <w:rFonts w:ascii="IRNazanin" w:hAnsi="IRNazanin" w:eastAsia="IRNazanin" w:cs="IRNazanin"/>
          <w:lang w:bidi="fa-IR"/>
          <w:color w:val="111111"/>
          <w:sz w:val="28"/>
          <w:szCs w:val="28"/>
          <w:rtl/>
        </w:rPr>
        <w:t xml:space="preserve">آغاز: برابر؛ انجام: و سخن اینجا قطع کردیم بتوفیق باری سبحانه و تعالى جل جلاله والحمد لله رب العالمین و بدنبال آن یک صفحه و نیم به عنوان «باب دیگر» الحاق شده است.</w:t>
      </w:r>
    </w:p>
    <w:p>
      <w:pPr>
        <w:pStyle w:val="BookText"/>
      </w:pPr>
      <w:r>
        <w:rPr>
          <w:rFonts w:ascii="IRNazanin" w:hAnsi="IRNazanin" w:eastAsia="IRNazanin" w:cs="IRNazanin"/>
          <w:lang w:bidi="fa-IR"/>
          <w:color w:val="111111"/>
          <w:sz w:val="28"/>
          <w:szCs w:val="28"/>
          <w:rtl/>
        </w:rPr>
        <w:t xml:space="preserve">خط: نسخ، بی کا ،تا: 1253ق؛ تاریخ های یادشده، در این نسخه نیز با نسخه های دیگر اختلاف دارد چنانکه در باب دوازدهم آمده:است و هر اسطرلاب که استاد عمر بن دولتشاه و محمد کرمانی سلمه الله ساخته است در سنه سبع و ستین وستمائة الهجريه... » و در پایان باب چهل و نهم مسطورست که: «و ما هر بیست جدول ثبت کرده ایم. ... در اول سنه سبع و ستین و ثمانمائة الیزدجردیه» و در نسخه های دیگر هجریه و یزدجردیه با تقدیم تأخیر آمده است :کاغذ: سفید فرنگی آهار مهره، جلد: تیم مشکی، 43 ص (139-181)، 21 سطر (10 </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 اندازه: 18</w:t>
      </w:r>
      <w:r>
        <w:rPr>
          <w:rFonts w:ascii="Times New Roman" w:hAnsi="Times New Roman" w:eastAsia="Times New Roman" w:cs="Times New Roman"/>
          <w:lang w:val="en-US" w:bidi="en-US"/>
          <w:color w:val="111111"/>
          <w:sz w:val="28"/>
          <w:szCs w:val="28"/>
          <w:rtl/>
        </w:rPr>
        <w:t xml:space="preserve">×23/5 </w:t>
      </w:r>
      <w:r>
        <w:rPr>
          <w:rFonts w:ascii="IRNazanin" w:hAnsi="IRNazanin" w:eastAsia="IRNazanin" w:cs="IRNazanin"/>
          <w:lang w:bidi="fa-IR"/>
          <w:color w:val="111111"/>
          <w:sz w:val="28"/>
          <w:szCs w:val="28"/>
          <w:rtl/>
        </w:rPr>
        <w:t xml:space="preserve">سم [ف: 8 - 327]</w:t>
      </w:r>
    </w:p>
    <w:p>
      <w:pPr>
        <w:pStyle w:val="BookText"/>
      </w:pPr>
      <w:r>
        <w:rPr>
          <w:rFonts w:ascii="IRNazanin" w:hAnsi="IRNazanin" w:eastAsia="IRNazanin" w:cs="IRNazanin"/>
          <w:lang w:bidi="fa-IR"/>
          <w:color w:val="111111"/>
          <w:sz w:val="28"/>
          <w:szCs w:val="28"/>
          <w:rtl/>
        </w:rPr>
        <w:t xml:space="preserve">13 .مشهد؛ رضوی؛ شماره نسخه: 19247</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،خوش، بی کا ،تا :1253ق (رایانه ]</w:t>
      </w:r>
    </w:p>
    <w:p>
      <w:pPr>
        <w:pStyle w:val="BookText"/>
      </w:pPr>
      <w:r>
        <w:rPr>
          <w:rFonts w:ascii="IRNazanin" w:hAnsi="IRNazanin" w:eastAsia="IRNazanin" w:cs="IRNazanin"/>
          <w:lang w:bidi="fa-IR"/>
          <w:color w:val="111111"/>
          <w:sz w:val="28"/>
          <w:szCs w:val="28"/>
          <w:rtl/>
        </w:rPr>
        <w:t xml:space="preserve">14 . قم؛ گلپایگانی؛ شماره نسخه: 6602-33/152</w:t>
      </w:r>
    </w:p>
    <w:p>
      <w:pPr>
        <w:pStyle w:val="BookText"/>
      </w:pPr>
      <w:r>
        <w:rPr>
          <w:rFonts w:ascii="IRNazanin" w:hAnsi="IRNazanin" w:eastAsia="IRNazanin" w:cs="IRNazanin"/>
          <w:lang w:bidi="fa-IR"/>
          <w:color w:val="111111"/>
          <w:sz w:val="28"/>
          <w:szCs w:val="28"/>
          <w:rtl/>
        </w:rPr>
        <w:t xml:space="preserve">آغاز: برابر؛ انجام: کف الخضیب خوانند پسی بدین تعریفات هشت ستاره وصف کرده شد... در اول سنه 697 هجرى موافق 677 یزدجردی تا از آنجا درستی اسطرلاب و دیگر حالتهای ایشان معلوم شود.</w:t>
      </w:r>
    </w:p>
    <w:p>
      <w:pPr>
        <w:pStyle w:val="BookText"/>
      </w:pPr>
      <w:r>
        <w:rPr>
          <w:rFonts w:ascii="IRNazanin" w:hAnsi="IRNazanin" w:eastAsia="IRNazanin" w:cs="IRNazanin"/>
          <w:lang w:bidi="fa-IR"/>
          <w:color w:val="111111"/>
          <w:sz w:val="28"/>
          <w:szCs w:val="28"/>
          <w:rtl/>
        </w:rPr>
        <w:t xml:space="preserve">خط: نستعلیق، بی کا، بی تا؛ مصحح؛ جلد: مقوای سفید، 32گ، 20سطر ، اندازه: 11 </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سم [ف: 1 - 299]</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تهران؛ مدارک؛ فرهنگی؛ شماره نسخه: 30/1</w:t>
      </w:r>
    </w:p>
    <w:p>
      <w:pPr>
        <w:pStyle w:val="BookText"/>
      </w:pPr>
      <w:r>
        <w:rPr>
          <w:rFonts w:ascii="IRNazanin" w:hAnsi="IRNazanin" w:eastAsia="IRNazanin" w:cs="IRNazanin"/>
          <w:lang w:bidi="fa-IR"/>
          <w:color w:val="111111"/>
          <w:sz w:val="28"/>
          <w:szCs w:val="28"/>
          <w:rtl/>
        </w:rPr>
        <w:t xml:space="preserve">آغاز: برابر؛ انجام: و ناتمام که عوام دور کاسه شکسته و کاسه یتیمان خوانند و منجمان</w:t>
      </w:r>
    </w:p>
    <w:p>
      <w:pPr>
        <w:pStyle w:val="BookText"/>
      </w:pPr>
      <w:r>
        <w:rPr>
          <w:rFonts w:ascii="IRNazanin" w:hAnsi="IRNazanin" w:eastAsia="IRNazanin" w:cs="IRNazanin"/>
          <w:lang w:bidi="fa-IR"/>
          <w:color w:val="111111"/>
          <w:sz w:val="28"/>
          <w:szCs w:val="28"/>
          <w:rtl/>
        </w:rPr>
        <w:t xml:space="preserve">خط: نستعليق متوسط ، بی کا ، بی تا؛ افتادگی: انجام؛ در برگ 4پ جدول عرضی بلدان :کاغذ: اصفهانی ،حنایی ،جلد:مقوایی روکش کاغذی عطف و گوشه ها تیماج قهوه ای 228گ (2پ-230 پ)، 20 سطر ، اندازه: 12/5</w:t>
      </w:r>
      <w:r>
        <w:rPr>
          <w:rFonts w:ascii="Times New Roman" w:hAnsi="Times New Roman" w:eastAsia="Times New Roman" w:cs="Times New Roman"/>
          <w:lang w:val="en-US" w:bidi="en-US"/>
          <w:color w:val="111111"/>
          <w:sz w:val="28"/>
          <w:szCs w:val="28"/>
          <w:rtl/>
        </w:rPr>
        <w:t xml:space="preserve">×17/5</w:t>
      </w:r>
      <w:r>
        <w:rPr>
          <w:rFonts w:ascii="IRNazanin" w:hAnsi="IRNazanin" w:eastAsia="IRNazanin" w:cs="IRNazanin"/>
          <w:lang w:bidi="fa-IR"/>
          <w:color w:val="111111"/>
          <w:sz w:val="28"/>
          <w:szCs w:val="28"/>
          <w:rtl/>
        </w:rPr>
        <w:t xml:space="preserve">سم [ف: 27]</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مشهد؛ رضوی؛ شماره نسخه: 6116</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[الفبائی: 39]</w:t>
      </w:r>
    </w:p>
    <w:p>
      <w:pPr>
        <w:pStyle w:val="BookText"/>
      </w:pPr>
      <w:r>
        <w:rPr>
          <w:rFonts w:ascii="IRNazanin" w:hAnsi="IRNazanin" w:eastAsia="IRNazanin" w:cs="IRNazanin"/>
          <w:lang w:bidi="fa-IR"/>
          <w:color w:val="111111"/>
          <w:sz w:val="28"/>
          <w:szCs w:val="28"/>
          <w:rtl/>
        </w:rPr>
        <w:t xml:space="preserve">تهران؛ دانشگاه؛ شماره نسخه: 2074-ف</w:t>
      </w:r>
    </w:p>
    <w:p>
      <w:pPr>
        <w:pStyle w:val="BookText"/>
      </w:pPr>
      <w:r>
        <w:rPr>
          <w:rFonts w:ascii="Amiri" w:hAnsi="Amiri" w:eastAsia="Amiri" w:cs="Amiri"/>
          <w:lang w:bidi="ar-SA"/>
          <w:color w:val="111111"/>
          <w:sz w:val="28"/>
          <w:szCs w:val="28"/>
          <w:rtl/>
        </w:rPr>
        <w:t xml:space="preserve">نسخه اصل: همان نسخه بالا [فيلم ها - ف: 1 - 9]</w:t>
      </w:r>
    </w:p>
    <w:p>
      <w:pPr>
        <w:pStyle w:val="BookText"/>
      </w:pPr>
      <w:r>
        <w:rPr>
          <w:rFonts w:ascii="IRNazanin" w:hAnsi="IRNazanin" w:eastAsia="IRNazanin" w:cs="IRNazanin"/>
          <w:lang w:bidi="fa-IR"/>
          <w:color w:val="111111"/>
          <w:sz w:val="28"/>
          <w:szCs w:val="28"/>
          <w:rtl/>
        </w:rPr>
        <w:t xml:space="preserve">17 مشهد؛ رضوی؛ شماره نسخه: 5235</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كا، بی تا [الفبائی: 39]</w:t>
      </w:r>
    </w:p>
    <w:p>
      <w:pPr>
        <w:pStyle w:val="BookText"/>
      </w:pPr>
      <w:r>
        <w:rPr>
          <w:rFonts w:ascii="IRNazanin" w:hAnsi="IRNazanin" w:eastAsia="IRNazanin" w:cs="IRNazanin"/>
          <w:lang w:bidi="fa-IR"/>
          <w:color w:val="111111"/>
          <w:sz w:val="28"/>
          <w:szCs w:val="28"/>
          <w:rtl/>
        </w:rPr>
        <w:t xml:space="preserve">18.تهران؛ ملی؛ شماره نسخه: 20058</w:t>
      </w:r>
    </w:p>
    <w:p>
      <w:pPr>
        <w:pStyle w:val="BookText"/>
      </w:pPr>
      <w:r>
        <w:rPr>
          <w:rFonts w:ascii="IRNazanin" w:hAnsi="IRNazanin" w:eastAsia="IRNazanin" w:cs="IRNazanin"/>
          <w:lang w:bidi="fa-IR"/>
          <w:color w:val="111111"/>
          <w:sz w:val="28"/>
          <w:szCs w:val="28"/>
          <w:rtl/>
        </w:rPr>
        <w:t xml:space="preserve">بی کا، بی تا، خریداری از مهردخت همایی [رایانه]</w:t>
      </w:r>
    </w:p>
    <w:p>
      <w:pPr>
        <w:pStyle w:val="Heading3"/>
      </w:pPr>
      <w:bookmarkStart w:id="547" w:name="_Toc69"/>
      <w:r>
        <w:t>ارشاد در علم اسطرلاب (مختصر) / اسطرلاب / فارسی</w:t>
      </w:r>
      <w:bookmarkEnd w:id="547"/>
    </w:p>
    <w:p>
      <w:pPr>
        <w:pStyle w:val="BookText"/>
      </w:pPr>
      <w:r>
        <w:rPr>
          <w:rFonts w:ascii="Times New Roman" w:hAnsi="Times New Roman" w:eastAsia="Times New Roman" w:cs="Times New Roman"/>
          <w:lang w:val="en-US" w:bidi="en-US"/>
          <w:color w:val="111111"/>
          <w:sz w:val="28"/>
          <w:szCs w:val="28"/>
          <w:rtl/>
        </w:rPr>
        <w:t xml:space="preserve">eršād dar 'elm-e ostorlab (mx.)</w:t>
      </w:r>
    </w:p>
    <w:p>
      <w:pPr>
        <w:pStyle w:val="BookText"/>
      </w:pPr>
      <w:r>
        <w:rPr>
          <w:rFonts w:ascii="IRNazanin" w:hAnsi="IRNazanin" w:eastAsia="IRNazanin" w:cs="IRNazanin"/>
          <w:lang w:bidi="fa-IR"/>
          <w:color w:val="111111"/>
          <w:sz w:val="28"/>
          <w:szCs w:val="28"/>
          <w:rtl/>
        </w:rPr>
        <w:t xml:space="preserve">وابسته به ارشاد در علم اسطرلاب = پنجاه باب در اسطرلاب؛ ،شیرازی، احمد بن حيدر (-7)</w:t>
      </w:r>
    </w:p>
    <w:p>
      <w:pPr>
        <w:pStyle w:val="BookText"/>
      </w:pPr>
      <w:r>
        <w:rPr>
          <w:rFonts w:ascii="IRNazanin" w:hAnsi="IRNazanin" w:eastAsia="IRNazanin" w:cs="IRNazanin"/>
          <w:lang w:bidi="fa-IR"/>
          <w:color w:val="111111"/>
          <w:sz w:val="28"/>
          <w:szCs w:val="28"/>
          <w:rtl/>
        </w:rPr>
        <w:t xml:space="preserve">آن چنان که در مقدمه ذکر شده است کتاب «ارشاد» که مؤلف آن احمد بن حیدر شیرازی است مشتمل است بر پنجاه باب ولی نویسنده فقط ده باب آن را در این رساله نقل کرده است.</w:t>
      </w:r>
    </w:p>
    <w:p>
      <w:pPr>
        <w:pStyle w:val="BookText"/>
      </w:pPr>
      <w:r>
        <w:rPr>
          <w:rFonts w:ascii="IRNazanin" w:hAnsi="IRNazanin" w:eastAsia="IRNazanin" w:cs="IRNazanin"/>
          <w:lang w:bidi="fa-IR"/>
          <w:color w:val="111111"/>
          <w:sz w:val="28"/>
          <w:szCs w:val="28"/>
          <w:rtl/>
        </w:rPr>
        <w:t xml:space="preserve">شیراز؛ ملی؛ شماره نسخه: 1-پ /408/6</w:t>
      </w:r>
    </w:p>
    <w:p>
      <w:pPr>
        <w:pStyle w:val="BookText"/>
      </w:pPr>
      <w:r>
        <w:rPr>
          <w:rFonts w:ascii="IRNazanin" w:hAnsi="IRNazanin" w:eastAsia="IRNazanin" w:cs="IRNazanin"/>
          <w:lang w:bidi="fa-IR"/>
          <w:color w:val="111111"/>
          <w:sz w:val="28"/>
          <w:szCs w:val="28"/>
          <w:rtl/>
        </w:rPr>
        <w:t xml:space="preserve">آغاز: بسمله و به نستعین، سپاس بی قیاس پروردگاریرا که مبداء زمین و زمان است و محرک افلاک و ستارگان .. باب اول در معرفت تعديل النهار؛ انجام: لا از نود نقصان کردیم ماند نط این قوس آن است - تمت الكتاب.</w:t>
      </w:r>
    </w:p>
    <w:p>
      <w:pPr>
        <w:pStyle w:val="BookText"/>
      </w:pPr>
      <w:r>
        <w:rPr>
          <w:rFonts w:ascii="IRNazanin" w:hAnsi="IRNazanin" w:eastAsia="IRNazanin" w:cs="IRNazanin"/>
          <w:lang w:bidi="fa-IR"/>
          <w:color w:val="111111"/>
          <w:sz w:val="28"/>
          <w:szCs w:val="28"/>
          <w:rtl/>
        </w:rPr>
        <w:t xml:space="preserve">بی کا،  بی تا، کاغذ: فرنگی نخودی، جلد: مقوا با تیماج قهوه ای سير، 17 سطر (14/5</w:t>
      </w:r>
      <w:r>
        <w:rPr>
          <w:rFonts w:ascii="Times New Roman" w:hAnsi="Times New Roman" w:eastAsia="Times New Roman" w:cs="Times New Roman"/>
          <w:lang w:val="en-US" w:bidi="en-US"/>
          <w:color w:val="111111"/>
          <w:sz w:val="28"/>
          <w:szCs w:val="28"/>
          <w:rtl/>
        </w:rPr>
        <w:t xml:space="preserve">×19 ) </w:t>
      </w:r>
      <w:r>
        <w:rPr>
          <w:rFonts w:ascii="IRNazanin" w:hAnsi="IRNazanin" w:eastAsia="IRNazanin" w:cs="IRNazanin"/>
          <w:lang w:bidi="fa-IR"/>
          <w:color w:val="111111"/>
          <w:sz w:val="28"/>
          <w:szCs w:val="28"/>
          <w:rtl/>
        </w:rPr>
        <w:t xml:space="preserve">، اندازه: 8</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سم [ف 2 - 9]</w:t>
      </w:r>
    </w:p>
    <w:p>
      <w:pPr>
        <w:pStyle w:val="BookText"/>
      </w:pPr>
      <w:r>
        <w:rPr>
          <w:rFonts w:ascii="Amiri" w:hAnsi="Amiri" w:eastAsia="Amiri" w:cs="Amiri"/>
          <w:lang w:bidi="ar-SA"/>
          <w:color w:val="111111"/>
          <w:sz w:val="28"/>
          <w:szCs w:val="28"/>
          <w:rtl/>
        </w:rPr>
        <w:t xml:space="preserve">«ارشاد الرمل » نهاية العقول و نهاية الاصول</w:t>
      </w:r>
    </w:p>
    <w:p>
      <w:pPr>
        <w:pStyle w:val="BookText"/>
      </w:pPr>
      <w:r>
        <w:rPr>
          <w:rFonts w:ascii="Amiri" w:hAnsi="Amiri" w:eastAsia="Amiri" w:cs="Amiri"/>
          <w:lang w:bidi="ar-SA"/>
          <w:color w:val="111111"/>
          <w:sz w:val="28"/>
          <w:szCs w:val="28"/>
          <w:rtl/>
        </w:rPr>
        <w:t xml:space="preserve">«ارشاد الزارعه » ارشاد الزراعة</w:t>
      </w:r>
    </w:p>
    <w:p>
      <w:pPr>
        <w:pStyle w:val="Heading3"/>
      </w:pPr>
      <w:bookmarkStart w:id="548" w:name="_Toc70"/>
      <w:r>
        <w:t>ارشاد الزایرین / حدیث، اخلاق / فارسی</w:t>
      </w:r>
      <w:bookmarkEnd w:id="548"/>
    </w:p>
    <w:p>
      <w:pPr>
        <w:pStyle w:val="BookText"/>
      </w:pPr>
      <w:r>
        <w:rPr>
          <w:rFonts w:ascii="Times New Roman" w:hAnsi="Times New Roman" w:eastAsia="Times New Roman" w:cs="Times New Roman"/>
          <w:lang w:val="en-US" w:bidi="en-US"/>
          <w:color w:val="111111"/>
          <w:sz w:val="28"/>
          <w:szCs w:val="28"/>
          <w:rtl/>
        </w:rPr>
        <w:t xml:space="preserve">eršād-oz zāyerīn</w:t>
      </w:r>
    </w:p>
    <w:p>
      <w:pPr>
        <w:pStyle w:val="BookText"/>
      </w:pPr>
      <w:r>
        <w:rPr>
          <w:rFonts w:ascii="IRNazanin" w:hAnsi="IRNazanin" w:eastAsia="IRNazanin" w:cs="IRNazanin"/>
          <w:lang w:bidi="fa-IR"/>
          <w:color w:val="111111"/>
          <w:sz w:val="28"/>
          <w:szCs w:val="28"/>
          <w:rtl/>
        </w:rPr>
        <w:t xml:space="preserve">کشمیری عبدالرحيم بن محمد قاسم</w:t>
      </w:r>
    </w:p>
    <w:p>
      <w:pPr>
        <w:pStyle w:val="BookText"/>
      </w:pPr>
      <w:r>
        <w:rPr>
          <w:rFonts w:ascii="Times New Roman" w:hAnsi="Times New Roman" w:eastAsia="Times New Roman" w:cs="Times New Roman"/>
          <w:lang w:val="en-US" w:bidi="en-US"/>
          <w:color w:val="111111"/>
          <w:sz w:val="28"/>
          <w:szCs w:val="28"/>
          <w:rtl/>
        </w:rPr>
        <w:t xml:space="preserve">kešmīrī, 'abd-or-rahīm ebn-e mohammad qasem</w:t>
      </w:r>
    </w:p>
    <w:p>
      <w:pPr>
        <w:pStyle w:val="BookText"/>
      </w:pPr>
      <w:r>
        <w:rPr>
          <w:rFonts w:ascii="IRNazanin" w:hAnsi="IRNazanin" w:eastAsia="IRNazanin" w:cs="IRNazanin"/>
          <w:lang w:bidi="fa-IR"/>
          <w:color w:val="111111"/>
          <w:sz w:val="28"/>
          <w:szCs w:val="28"/>
          <w:rtl/>
        </w:rPr>
        <w:t xml:space="preserve">مشهد؛ رضوی؛ شماره نسخه: 28901</w:t>
      </w:r>
    </w:p>
    <w:p>
      <w:pPr>
        <w:pStyle w:val="BookText"/>
      </w:pPr>
      <w:r>
        <w:rPr>
          <w:rFonts w:ascii="IRNazanin" w:hAnsi="IRNazanin" w:eastAsia="IRNazanin" w:cs="IRNazanin"/>
          <w:lang w:bidi="fa-IR"/>
          <w:color w:val="111111"/>
          <w:sz w:val="28"/>
          <w:szCs w:val="28"/>
          <w:rtl/>
        </w:rPr>
        <w:t xml:space="preserve">آغاز: بسمله، شکر و ثنای بیعد مران معبودی را که عبادتش موجب فیروزی عابدان و طاعتش سرافرازی زاهدان؛ انجام: شرایط نماز و ترجمه اذکار بود در تفاصیل احکام خوض نموده و السلام على من اتبع الهدى.</w:t>
      </w:r>
    </w:p>
    <w:p>
      <w:pPr>
        <w:pStyle w:val="BookText"/>
      </w:pPr>
      <w:r>
        <w:rPr>
          <w:rFonts w:ascii="IRNazanin" w:hAnsi="IRNazanin" w:eastAsia="IRNazanin" w:cs="IRNazanin"/>
          <w:lang w:bidi="fa-IR"/>
          <w:color w:val="111111"/>
          <w:sz w:val="28"/>
          <w:szCs w:val="28"/>
          <w:rtl/>
        </w:rPr>
        <w:t xml:space="preserve">خط: نسخ خفی، بی کا، بی تا، کاغذ: نخودی، جلد: تیماج قطع: رقعی [ رایانه ]</w:t>
      </w:r>
    </w:p>
    <w:p>
      <w:pPr>
        <w:pStyle w:val="BookText"/>
      </w:pPr>
      <w:r>
        <w:rPr>
          <w:rFonts w:ascii="IRNazanin" w:hAnsi="IRNazanin" w:eastAsia="IRNazanin" w:cs="IRNazanin"/>
          <w:lang w:bidi="fa-IR"/>
          <w:color w:val="111111"/>
          <w:sz w:val="28"/>
          <w:szCs w:val="28"/>
          <w:rtl/>
        </w:rPr>
        <w:t xml:space="preserve">«ارشاد الزراعة » کشاورزی نامه</w:t>
      </w:r>
    </w:p>
    <w:p>
      <w:pPr>
        <w:pStyle w:val="Heading3"/>
      </w:pPr>
      <w:bookmarkStart w:id="549" w:name="_Toc71"/>
      <w:r>
        <w:t>ارشاد الزراعة = علم الحراثة / كشاورزی / فارسی</w:t>
      </w:r>
      <w:bookmarkEnd w:id="549"/>
    </w:p>
    <w:p>
      <w:pPr>
        <w:pStyle w:val="BookText"/>
      </w:pPr>
      <w:r>
        <w:rPr>
          <w:rFonts w:ascii="Times New Roman" w:hAnsi="Times New Roman" w:eastAsia="Times New Roman" w:cs="Times New Roman"/>
          <w:lang w:val="en-US" w:bidi="en-US"/>
          <w:color w:val="111111"/>
          <w:sz w:val="28"/>
          <w:szCs w:val="28"/>
          <w:rtl/>
        </w:rPr>
        <w:t xml:space="preserve">eršad-oz-zera'a = ‘elm-ol-herasa</w:t>
      </w:r>
    </w:p>
    <w:p>
      <w:pPr>
        <w:pStyle w:val="BookText"/>
      </w:pPr>
      <w:r>
        <w:rPr>
          <w:rFonts w:ascii="IRNazanin" w:hAnsi="IRNazanin" w:eastAsia="IRNazanin" w:cs="IRNazanin"/>
          <w:lang w:bidi="fa-IR"/>
          <w:color w:val="111111"/>
          <w:sz w:val="28"/>
          <w:szCs w:val="28"/>
          <w:rtl/>
        </w:rPr>
        <w:t xml:space="preserve">ابونصر هروی، قاسم بن يوسف، ق 10 قمری</w:t>
      </w:r>
    </w:p>
    <w:p>
      <w:pPr>
        <w:pStyle w:val="BookText"/>
      </w:pPr>
      <w:r>
        <w:rPr>
          <w:rFonts w:ascii="Times New Roman" w:hAnsi="Times New Roman" w:eastAsia="Times New Roman" w:cs="Times New Roman"/>
          <w:lang w:val="en-US" w:bidi="en-US"/>
          <w:color w:val="111111"/>
          <w:sz w:val="28"/>
          <w:szCs w:val="28"/>
          <w:rtl/>
        </w:rPr>
        <w:t xml:space="preserve">abū-nasr-e heravī, qāsem ebn-e yusof (- 16c)</w:t>
      </w:r>
    </w:p>
    <w:p>
      <w:pPr>
        <w:pStyle w:val="BookText"/>
      </w:pPr>
      <w:r>
        <w:rPr>
          <w:rFonts w:ascii="IRNazanin" w:hAnsi="IRNazanin" w:eastAsia="IRNazanin" w:cs="IRNazanin"/>
          <w:lang w:bidi="fa-IR"/>
          <w:color w:val="111111"/>
          <w:sz w:val="28"/>
          <w:szCs w:val="28"/>
          <w:rtl/>
        </w:rPr>
        <w:t xml:space="preserve">اهدا به: نظام الدوله و الدین میرک سلطان محمود از خاندان حسین تیموری</w:t>
      </w:r>
    </w:p>
    <w:p>
      <w:pPr>
        <w:pStyle w:val="BookText"/>
      </w:pPr>
      <w:r>
        <w:rPr>
          <w:rFonts w:ascii="IRNazanin" w:hAnsi="IRNazanin" w:eastAsia="IRNazanin" w:cs="IRNazanin"/>
          <w:lang w:bidi="fa-IR"/>
          <w:color w:val="111111"/>
          <w:sz w:val="28"/>
          <w:szCs w:val="28"/>
          <w:rtl/>
        </w:rPr>
        <w:t xml:space="preserve">تاریخ تأليف: 921ق</w:t>
      </w:r>
    </w:p>
    <w:p>
      <w:pPr>
        <w:pStyle w:val="BookText"/>
      </w:pPr>
      <w:r>
        <w:rPr>
          <w:rFonts w:ascii="IRNazanin" w:hAnsi="IRNazanin" w:eastAsia="IRNazanin" w:cs="IRNazanin"/>
          <w:lang w:bidi="fa-IR"/>
          <w:color w:val="111111"/>
          <w:sz w:val="28"/>
          <w:szCs w:val="28"/>
          <w:rtl/>
        </w:rPr>
        <w:t xml:space="preserve">کتابی حاوی مطالبی چند راجع به زراعت و حراثت و باغبانی و رزداری و سایر مهمات دهقانی که در بلوک های هرات و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ولایات آن نواحی متداول است در هشت «روضه» 1. بیان شناخت خواص اراضی؛ 2. بیان اختیار ساعات برای کشت؛ 3.بیان زراعت غله؛ 4 .بیان جويه کندن و تاک نشانیدن .5. بیان خضرویات از خربزه و هندوانه .6. بیان بذر نمودن اشجار و و ریاحین و آنچه قلم و پیاز و نهالست؛ 7 .پیوند درختان و تاک و زنبورداری و آبیاری؛ 8. نشاندن درخت ها و گلها و طرح باغ ها در آن از «مرصاد العباد» یاد شده است.</w:t>
      </w:r>
    </w:p>
    <w:p>
      <w:pPr>
        <w:pStyle w:val="BookText"/>
      </w:pPr>
      <w:r>
        <w:rPr>
          <w:rFonts w:ascii="IRNazanin" w:hAnsi="IRNazanin" w:eastAsia="IRNazanin" w:cs="IRNazanin"/>
          <w:lang w:bidi="fa-IR"/>
          <w:color w:val="111111"/>
          <w:sz w:val="28"/>
          <w:szCs w:val="28"/>
          <w:rtl/>
        </w:rPr>
        <w:t xml:space="preserve">آغاز: بسمله. حمدله... بعد بحكم آنكه المأمور معذور؛ این بیچاره کلک نامرادی بر صحیفه اخلاص سود .. و این نسخه «ارشاد الزراعة» نام نهاد و ترتیب آن بهشت روضه اتفاق افتاد ، هر روضه آن چمنی است بهشت آیین مشتمل...</w:t>
      </w:r>
    </w:p>
    <w:p>
      <w:pPr>
        <w:pStyle w:val="BookText"/>
      </w:pPr>
      <w:r>
        <w:rPr>
          <w:rFonts w:ascii="IRNazanin" w:hAnsi="IRNazanin" w:eastAsia="IRNazanin" w:cs="IRNazanin"/>
          <w:lang w:bidi="fa-IR"/>
          <w:color w:val="111111"/>
          <w:sz w:val="28"/>
          <w:szCs w:val="28"/>
          <w:rtl/>
        </w:rPr>
        <w:t xml:space="preserve">چاپ: تهران، 1324ق ،سنگی، خشتی ،به اهتمام نجم الدوله، منجم باشی 188ص، با کتاب علم فلاحت دوره مغول در یک، جلد ،تهران 1346ش ،سربی ،وزیری نشریه 1134 دانشگاه ، به اهتمام محمد مشیری، 12+323ص [ایوان 1912 ص 746؛ مشار فارسی1/ 227؛ فهرستواره منزوی 5/ 3780]</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مشهد؛ رضوی؛ شماره نسخه: 16602</w:t>
      </w:r>
    </w:p>
    <w:p>
      <w:pPr>
        <w:pStyle w:val="BookText"/>
      </w:pPr>
      <w:r>
        <w:rPr>
          <w:rFonts w:ascii="IRNazanin" w:hAnsi="IRNazanin" w:eastAsia="IRNazanin" w:cs="IRNazanin"/>
          <w:lang w:bidi="fa-IR"/>
          <w:color w:val="111111"/>
          <w:sz w:val="28"/>
          <w:szCs w:val="28"/>
          <w:rtl/>
        </w:rPr>
        <w:t xml:space="preserve">آغاز: ابرگرش بوقت احسان... در فیض بود؛ انجام: پایین کدو را سوراخ نموده دود کنند</w:t>
      </w:r>
    </w:p>
    <w:p>
      <w:pPr>
        <w:pStyle w:val="BookText"/>
      </w:pPr>
      <w:r>
        <w:rPr>
          <w:rFonts w:ascii="IRNazanin" w:hAnsi="IRNazanin" w:eastAsia="IRNazanin" w:cs="IRNazanin"/>
          <w:lang w:bidi="fa-IR"/>
          <w:color w:val="111111"/>
          <w:sz w:val="28"/>
          <w:szCs w:val="28"/>
          <w:rtl/>
        </w:rPr>
        <w:t xml:space="preserve">خط: نستعلیق، بی کا، تا: 921ق [رایانه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مجلس؛ شماره نسخه: 5456</w:t>
      </w:r>
    </w:p>
    <w:p>
      <w:pPr>
        <w:pStyle w:val="BookText"/>
      </w:pPr>
      <w:r>
        <w:rPr>
          <w:rFonts w:ascii="IRNazanin" w:hAnsi="IRNazanin" w:eastAsia="IRNazanin" w:cs="IRNazanin"/>
          <w:lang w:bidi="fa-IR"/>
          <w:color w:val="111111"/>
          <w:sz w:val="28"/>
          <w:szCs w:val="28"/>
          <w:rtl/>
        </w:rPr>
        <w:t xml:space="preserve">انجام: در عیب نظر مکن که بی عیب خداست. تمت الكلام بعون الملك العلام</w:t>
      </w:r>
    </w:p>
    <w:p>
      <w:pPr>
        <w:pStyle w:val="BookText"/>
      </w:pPr>
      <w:r>
        <w:rPr>
          <w:rFonts w:ascii="IRNazanin" w:hAnsi="IRNazanin" w:eastAsia="IRNazanin" w:cs="IRNazanin"/>
          <w:lang w:bidi="fa-IR"/>
          <w:color w:val="111111"/>
          <w:sz w:val="28"/>
          <w:szCs w:val="28"/>
          <w:rtl/>
        </w:rPr>
        <w:t xml:space="preserve">خط: نستعلیق ،خوش، کا، محمد انباردار مالک، تا:ربیع الاول  927 ق ؛جا: هرات؛ در آخرین صفحه کتاب طریقه پختن صابون را ،افزوده،اند در ورق اول کتاب توضیحی نوشته اند که این کتاب در «كشف الظنون» و«الذریعه» یاد نشده است ؛کاغذ: ترمه اصفهان ،جلد: تیماج ، 15 سطر ، اندازه: 12</w:t>
      </w:r>
      <w:r>
        <w:rPr>
          <w:rFonts w:ascii="Times New Roman" w:hAnsi="Times New Roman" w:eastAsia="Times New Roman" w:cs="Times New Roman"/>
          <w:lang w:val="en-US" w:bidi="en-US"/>
          <w:color w:val="111111"/>
          <w:sz w:val="28"/>
          <w:szCs w:val="28"/>
          <w:rtl/>
        </w:rPr>
        <w:t xml:space="preserve">×23/5</w:t>
      </w:r>
      <w:r>
        <w:rPr>
          <w:rFonts w:ascii="IRNazanin" w:hAnsi="IRNazanin" w:eastAsia="IRNazanin" w:cs="IRNazanin"/>
          <w:lang w:bidi="fa-IR"/>
          <w:color w:val="111111"/>
          <w:sz w:val="28"/>
          <w:szCs w:val="28"/>
          <w:rtl/>
        </w:rPr>
        <w:t xml:space="preserve">سم [ف: 16 - 361]</w:t>
      </w:r>
    </w:p>
    <w:p>
      <w:pPr>
        <w:pStyle w:val="BookText"/>
      </w:pPr>
      <w:r>
        <w:rPr>
          <w:rFonts w:ascii="IRNazanin" w:hAnsi="IRNazanin" w:eastAsia="IRNazanin" w:cs="IRNazanin"/>
          <w:lang w:bidi="fa-IR"/>
          <w:color w:val="111111"/>
          <w:sz w:val="28"/>
          <w:szCs w:val="28"/>
          <w:rtl/>
        </w:rPr>
        <w:t xml:space="preserve">3.تهران؛ لغت نامه دهخدا؛ شماره نسخه: 12</w:t>
      </w:r>
    </w:p>
    <w:p>
      <w:pPr>
        <w:pStyle w:val="BookText"/>
      </w:pPr>
      <w:r>
        <w:rPr>
          <w:rFonts w:ascii="IRNazanin" w:hAnsi="IRNazanin" w:eastAsia="IRNazanin" w:cs="IRNazanin"/>
          <w:lang w:bidi="fa-IR"/>
          <w:color w:val="111111"/>
          <w:sz w:val="28"/>
          <w:szCs w:val="28"/>
          <w:rtl/>
        </w:rPr>
        <w:t xml:space="preserve">خط: نستعلیق، بی کا، تا: قرن 9 و 10؛ افتادگی: آغاز و انجام؛ جلد: گالینگور، قطع: ربعی [نشریه: 3 - 4]</w:t>
      </w:r>
    </w:p>
    <w:p>
      <w:pPr>
        <w:pStyle w:val="BookText"/>
      </w:pPr>
      <w:r>
        <w:rPr>
          <w:rFonts w:ascii="IRNazanin" w:hAnsi="IRNazanin" w:eastAsia="IRNazanin" w:cs="IRNazanin"/>
          <w:lang w:bidi="fa-IR"/>
          <w:color w:val="111111"/>
          <w:sz w:val="28"/>
          <w:szCs w:val="28"/>
          <w:rtl/>
        </w:rPr>
        <w:t xml:space="preserve">تهران ؛دانشگاه؛ شماره نسخه : 2915/1-ف</w:t>
      </w:r>
    </w:p>
    <w:p>
      <w:pPr>
        <w:pStyle w:val="BookText"/>
      </w:pPr>
      <w:r>
        <w:rPr>
          <w:rFonts w:ascii="Amiri" w:hAnsi="Amiri" w:eastAsia="Amiri" w:cs="Amiri"/>
          <w:lang w:bidi="ar-SA"/>
          <w:color w:val="111111"/>
          <w:sz w:val="28"/>
          <w:szCs w:val="28"/>
          <w:rtl/>
        </w:rPr>
        <w:t xml:space="preserve">نسخه اصل: همان نسخه بالا [فيلم ها - ف: 1 - 740]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تهران؛ لغت نامه دهخدا شماره نسخه: 286</w:t>
      </w:r>
    </w:p>
    <w:p>
      <w:pPr>
        <w:pStyle w:val="BookText"/>
      </w:pPr>
      <w:r>
        <w:rPr>
          <w:rFonts w:ascii="IRNazanin" w:hAnsi="IRNazanin" w:eastAsia="IRNazanin" w:cs="IRNazanin"/>
          <w:lang w:bidi="fa-IR"/>
          <w:color w:val="111111"/>
          <w:sz w:val="28"/>
          <w:szCs w:val="28"/>
          <w:rtl/>
        </w:rPr>
        <w:t xml:space="preserve">آغاز: و فرهنگ از جای بجای نقل ننماید که درخت آن کم میشود و محل پیوند آن دهم جوزا است. زرد آلوی احمدی بنوک کلاغ مشهور است؛ انجام: شاه توت از بیدانه و دانه دار... فرهنگ کشتند.</w:t>
      </w:r>
    </w:p>
    <w:p>
      <w:pPr>
        <w:pStyle w:val="BookText"/>
      </w:pPr>
      <w:r>
        <w:rPr>
          <w:rFonts w:ascii="IRNazanin" w:hAnsi="IRNazanin" w:eastAsia="IRNazanin" w:cs="IRNazanin"/>
          <w:lang w:bidi="fa-IR"/>
          <w:color w:val="111111"/>
          <w:sz w:val="28"/>
          <w:szCs w:val="28"/>
          <w:rtl/>
        </w:rPr>
        <w:t xml:space="preserve">خط: نستعلیق، بی کا ،تا :قرن 11؛ افتادگی: آغاز و انجام؛ درون جلد کسی نوشته که «ارشادالزراعه» است و به نام سلطان حسین تیموری ساخته شده است عنوان «روشه هفتم در بیان اشجار تاک پیوند نمودن» در آن دیده می شود؛ 16گ، 16 سطر [نشريه: 3- 388]</w:t>
      </w:r>
    </w:p>
    <w:p>
      <w:pPr>
        <w:pStyle w:val="BookText"/>
      </w:pPr>
      <w:r>
        <w:rPr>
          <w:rFonts w:ascii="IRNazanin" w:hAnsi="IRNazanin" w:eastAsia="IRNazanin" w:cs="IRNazanin"/>
          <w:lang w:bidi="fa-IR"/>
          <w:color w:val="111111"/>
          <w:sz w:val="28"/>
          <w:szCs w:val="28"/>
          <w:rtl/>
        </w:rPr>
        <w:t xml:space="preserve">5 . تهران؛ مجلس؛ شماره نسخه: 6533/3</w:t>
      </w:r>
    </w:p>
    <w:p>
      <w:pPr>
        <w:pStyle w:val="BookText"/>
      </w:pPr>
      <w:r>
        <w:rPr>
          <w:rFonts w:ascii="IRNazanin" w:hAnsi="IRNazanin" w:eastAsia="IRNazanin" w:cs="IRNazanin"/>
          <w:lang w:bidi="fa-IR"/>
          <w:color w:val="111111"/>
          <w:sz w:val="28"/>
          <w:szCs w:val="28"/>
          <w:rtl/>
        </w:rPr>
        <w:t xml:space="preserve">آغاز: که در صحن گلستان را چون روضه رضوان دلگشای  و مانند فردوس برین بجهت افزای ساخته و از نزاهت و صفا چون بوستان بهشت تازه و خرم؛ انجام: جوی فوشنج چهل نفراز رودباد پنج نفر فیراسته پنج نفر از محله قاصی و پلازک سی نفر زنده جان پانزده نفر</w:t>
      </w:r>
    </w:p>
    <w:p>
      <w:pPr>
        <w:pStyle w:val="BookText"/>
      </w:pPr>
      <w:r>
        <w:rPr>
          <w:rFonts w:ascii="IRNazanin" w:hAnsi="IRNazanin" w:eastAsia="IRNazanin" w:cs="IRNazanin"/>
          <w:lang w:bidi="fa-IR"/>
          <w:color w:val="111111"/>
          <w:sz w:val="28"/>
          <w:szCs w:val="28"/>
          <w:rtl/>
        </w:rPr>
        <w:t xml:space="preserve">خط: نستعلیق، بی کا، تا: قرن 11؛ افتادگی: آغاز و انجام؛ جلد:  تیماج مشکی بدون مقوا، 33گ (48پ -81پ)، اندازه : 13</w:t>
      </w:r>
      <w:r>
        <w:rPr>
          <w:rFonts w:ascii="Times New Roman" w:hAnsi="Times New Roman" w:eastAsia="Times New Roman" w:cs="Times New Roman"/>
          <w:lang w:val="en-US" w:bidi="en-US"/>
          <w:color w:val="111111"/>
          <w:sz w:val="28"/>
          <w:szCs w:val="28"/>
          <w:rtl/>
        </w:rPr>
        <w:t xml:space="preserve">×19/5</w:t>
      </w:r>
      <w:r>
        <w:rPr>
          <w:rFonts w:ascii="IRNazanin" w:hAnsi="IRNazanin" w:eastAsia="IRNazanin" w:cs="IRNazanin"/>
          <w:lang w:bidi="fa-IR"/>
          <w:color w:val="111111"/>
          <w:sz w:val="28"/>
          <w:szCs w:val="28"/>
          <w:rtl/>
        </w:rPr>
        <w:t xml:space="preserve">سم [ف: 20 - 109]</w:t>
      </w:r>
    </w:p>
    <w:p>
      <w:pPr>
        <w:pStyle w:val="BookText"/>
      </w:pPr>
      <w:r>
        <w:rPr>
          <w:rFonts w:ascii="IRNazanin" w:hAnsi="IRNazanin" w:eastAsia="IRNazanin" w:cs="IRNazanin"/>
          <w:lang w:bidi="fa-IR"/>
          <w:color w:val="111111"/>
          <w:sz w:val="28"/>
          <w:szCs w:val="28"/>
          <w:rtl/>
        </w:rPr>
        <w:t xml:space="preserve">6.تهران؛ دانشگاه؛ شماره نسخه: 2494</w:t>
      </w:r>
    </w:p>
    <w:p>
      <w:pPr>
        <w:pStyle w:val="BookText"/>
      </w:pPr>
      <w:r>
        <w:rPr>
          <w:rFonts w:ascii="IRNazanin" w:hAnsi="IRNazanin" w:eastAsia="IRNazanin" w:cs="IRNazanin"/>
          <w:lang w:bidi="fa-IR"/>
          <w:color w:val="111111"/>
          <w:sz w:val="28"/>
          <w:szCs w:val="28"/>
          <w:rtl/>
        </w:rPr>
        <w:t xml:space="preserve">آغاز: نوازنده . گشته از آن فرش چمن زرفشان قادری و و قدست (؟) تو بر کمال قاصر از اندیشه و صفت خیال؛ انجام: در عیب نظر مکن که بی عیب خداست</w:t>
      </w:r>
    </w:p>
    <w:p>
      <w:pPr>
        <w:pStyle w:val="BookText"/>
      </w:pPr>
      <w:r>
        <w:rPr>
          <w:rFonts w:ascii="IRNazanin" w:hAnsi="IRNazanin" w:eastAsia="IRNazanin" w:cs="IRNazanin"/>
          <w:lang w:bidi="fa-IR"/>
          <w:color w:val="111111"/>
          <w:sz w:val="28"/>
          <w:szCs w:val="28"/>
          <w:rtl/>
        </w:rPr>
        <w:t xml:space="preserve">خط: نستعلیق، بی کا، تا: 9 شوال 1049ق؛ افتادگی: آغاز؛ کاغذ: سپاهانی، جلد: تیماج تریاکی 47 گ5 سطر (15</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 اندازه: 19</w:t>
      </w:r>
      <w:r>
        <w:rPr>
          <w:rFonts w:ascii="Times New Roman" w:hAnsi="Times New Roman" w:eastAsia="Times New Roman" w:cs="Times New Roman"/>
          <w:lang w:val="en-US" w:bidi="en-US"/>
          <w:color w:val="111111"/>
          <w:sz w:val="28"/>
          <w:szCs w:val="28"/>
          <w:rtl/>
        </w:rPr>
        <w:t xml:space="preserve">×24/5</w:t>
      </w:r>
      <w:r>
        <w:rPr>
          <w:rFonts w:ascii="IRNazanin" w:hAnsi="IRNazanin" w:eastAsia="IRNazanin" w:cs="IRNazanin"/>
          <w:lang w:bidi="fa-IR"/>
          <w:color w:val="111111"/>
          <w:sz w:val="28"/>
          <w:szCs w:val="28"/>
          <w:rtl/>
        </w:rPr>
        <w:t xml:space="preserve">سم [ف: 9 - 1262]</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تبریز؛ ملی؛ شماره نسخه: 3415</w:t>
      </w:r>
    </w:p>
    <w:p>
      <w:pPr>
        <w:pStyle w:val="BookText"/>
      </w:pPr>
      <w:r>
        <w:rPr>
          <w:rFonts w:ascii="IRNazanin" w:hAnsi="IRNazanin" w:eastAsia="IRNazanin" w:cs="IRNazanin"/>
          <w:lang w:bidi="fa-IR"/>
          <w:color w:val="111111"/>
          <w:sz w:val="28"/>
          <w:szCs w:val="28"/>
          <w:rtl/>
        </w:rPr>
        <w:t xml:space="preserve">آغاز: بسمك الابتداء یارزاق- ای فیض تو آبروی هر دهقانی *** پرورده تست هر گل ریحانی / تا لطف تو ارشاد زراعت ننمود ***نامد بكف آدم صفی را نانی حمد و سپاس رازقی را که مزارع مزارع صنعت قدرتش از فحوای کریمه «انتم تزرعونه ام نحن الزارعون» مفهوم میگردد؛ انجام: شکر که سرمایه من سود داد ***نخل امیدم بر مقصود داد / شکر که این نسخه بپایان رسید *** عاقبت الامر بسلطان رسید / منشی این نامه نامی بنام *** زد رقم خاتم ختم الكلام. با تمام رسید و باختتام انجامید این بیاض و توشیح این ریاض روز شنبه هفده شعبان نهصد و بیست و یک شد از هجرت؛ و الحمد لله على الاتمام و الصلوة و السلام على محمد خير الانام و آله البررة الكرام وقد وقع الفراغ من تسويد هذه النسخة الشريفة فى علم الحراثة تحريراً في شهر الرجب سنه خمسين و الف</w:t>
      </w:r>
    </w:p>
    <w:p>
      <w:pPr>
        <w:pStyle w:val="BookText"/>
      </w:pPr>
      <w:r>
        <w:rPr>
          <w:rFonts w:ascii="IRNazanin" w:hAnsi="IRNazanin" w:eastAsia="IRNazanin" w:cs="IRNazanin"/>
          <w:lang w:bidi="fa-IR"/>
          <w:color w:val="111111"/>
          <w:sz w:val="28"/>
          <w:szCs w:val="28"/>
          <w:rtl/>
        </w:rPr>
        <w:t xml:space="preserve">خط: نستعلیق، بی کا، تا :رجب 1050ق؛ پشت برگ اول کتاب یادداشت یادگاری به تاریخ 22 ذیحجه1192ق در دارالعلم شیراز، در دو برگ آخر که اشعار و تاریخ تولدی مسطور است، نام مولود را سیاه کرده اند و فقط تاریخش که به سال 1040 است خوانا و از قرار معلوم این اوراق بعدها به کتاب علاوه شده است؛ جلد: چرمی تریاکی، 75گ، 17سطر، اندازه: 18</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سم [ف: 1 - 47]</w:t>
      </w:r>
    </w:p>
    <w:p>
      <w:pPr>
        <w:pStyle w:val="BookText"/>
      </w:pPr>
      <w:r>
        <w:rPr>
          <w:rFonts w:ascii="IRNazanin" w:hAnsi="IRNazanin" w:eastAsia="IRNazanin" w:cs="IRNazanin"/>
          <w:lang w:bidi="fa-IR"/>
          <w:color w:val="111111"/>
          <w:sz w:val="28"/>
          <w:szCs w:val="28"/>
          <w:rtl/>
        </w:rPr>
        <w:t xml:space="preserve">8.تهران ملک شماره نسخه : 2419/1</w:t>
      </w:r>
    </w:p>
    <w:p>
      <w:pPr>
        <w:pStyle w:val="BookText"/>
      </w:pPr>
      <w:r>
        <w:rPr>
          <w:rFonts w:ascii="IRNazanin" w:hAnsi="IRNazanin" w:eastAsia="IRNazanin" w:cs="IRNazanin"/>
          <w:lang w:bidi="fa-IR"/>
          <w:color w:val="111111"/>
          <w:sz w:val="28"/>
          <w:szCs w:val="28"/>
          <w:rtl/>
        </w:rPr>
        <w:t xml:space="preserve">خط : نسخ، کا :ابراهیم بن اسماعیل حسینی، تا: شنبه 20 جمادی الاول 1071ق؛ در پایان تاریخ تولد نویسنده در 1030 و مرگ پدرش در ذیحجه 1058 و حاجی ذوالفقار و میر صفی و محمد نصیر؛ کاغذ: ترمه ،جلد: میشن قهوه ای مقوایی، 43گ (2پ- 45ر) اندازه: 10</w:t>
      </w:r>
      <w:r>
        <w:rPr>
          <w:rFonts w:ascii="Times New Roman" w:hAnsi="Times New Roman" w:eastAsia="Times New Roman" w:cs="Times New Roman"/>
          <w:lang w:val="en-US" w:bidi="en-US"/>
          <w:color w:val="111111"/>
          <w:sz w:val="28"/>
          <w:szCs w:val="28"/>
          <w:rtl/>
        </w:rPr>
        <w:t xml:space="preserve">× 24</w:t>
      </w:r>
      <w:r>
        <w:rPr>
          <w:rFonts w:ascii="IRNazanin" w:hAnsi="IRNazanin" w:eastAsia="IRNazanin" w:cs="IRNazanin"/>
          <w:lang w:bidi="fa-IR"/>
          <w:color w:val="111111"/>
          <w:sz w:val="28"/>
          <w:szCs w:val="28"/>
          <w:rtl/>
        </w:rPr>
        <w:t xml:space="preserve">سم [ف: 6 - 12]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23" w:name="pg20365_260027"/>
    <w:bookmarkEnd w:id="23"/>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تهران؛ ملی؛ شماره نسخه: 2446</w:t>
      </w:r>
    </w:p>
    <w:p>
      <w:pPr>
        <w:pStyle w:val="BookText"/>
      </w:pPr>
      <w:r>
        <w:rPr>
          <w:rFonts w:ascii="IRNazanin" w:hAnsi="IRNazanin" w:eastAsia="IRNazanin" w:cs="IRNazanin"/>
          <w:lang w:bidi="fa-IR"/>
          <w:color w:val="111111"/>
          <w:sz w:val="28"/>
          <w:szCs w:val="28"/>
          <w:rtl/>
        </w:rPr>
        <w:t xml:space="preserve">آغاز: بسمله، ای فیض تو ابروی هر دهقانی *** پرورده تست هرگل و ریحانی؛ انجام: منشی این نامه نامی تمام *** زد رقم خاتم تم الكلام</w:t>
      </w:r>
    </w:p>
    <w:p>
      <w:pPr>
        <w:pStyle w:val="BookText"/>
      </w:pPr>
      <w:r>
        <w:rPr>
          <w:rFonts w:ascii="IRNazanin" w:hAnsi="IRNazanin" w:eastAsia="IRNazanin" w:cs="IRNazanin"/>
          <w:lang w:bidi="fa-IR"/>
          <w:color w:val="111111"/>
          <w:sz w:val="28"/>
          <w:szCs w:val="28"/>
          <w:rtl/>
        </w:rPr>
        <w:t xml:space="preserve">خط: نستعلیق، بی کا ،تا :1081ق؛ کاغذ: بخارائی ،جلد: تیماج قم یک لا، 93 گ، 15 سطر (7</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اندازه: 13</w:t>
      </w:r>
      <w:r>
        <w:rPr>
          <w:rFonts w:ascii="Times New Roman" w:hAnsi="Times New Roman" w:eastAsia="Times New Roman" w:cs="Times New Roman"/>
          <w:lang w:val="en-US" w:bidi="en-US"/>
          <w:color w:val="111111"/>
          <w:sz w:val="28"/>
          <w:szCs w:val="28"/>
          <w:rtl/>
        </w:rPr>
        <w:t xml:space="preserve">×19/5</w:t>
      </w:r>
      <w:r>
        <w:rPr>
          <w:rFonts w:ascii="IRNazanin" w:hAnsi="IRNazanin" w:eastAsia="IRNazanin" w:cs="IRNazanin"/>
          <w:lang w:bidi="fa-IR"/>
          <w:color w:val="111111"/>
          <w:sz w:val="28"/>
          <w:szCs w:val="28"/>
          <w:rtl/>
        </w:rPr>
        <w:t xml:space="preserve">سم [ف 5 - 6 ]</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مشهد؛ رضوی؛ شماره نسخه : 18451</w:t>
      </w:r>
    </w:p>
    <w:p>
      <w:pPr>
        <w:pStyle w:val="BookText"/>
      </w:pPr>
      <w:r>
        <w:rPr>
          <w:rFonts w:ascii="IRNazanin" w:hAnsi="IRNazanin" w:eastAsia="IRNazanin" w:cs="IRNazanin"/>
          <w:lang w:bidi="fa-IR"/>
          <w:color w:val="111111"/>
          <w:sz w:val="28"/>
          <w:szCs w:val="28"/>
          <w:rtl/>
        </w:rPr>
        <w:t xml:space="preserve">آغاز: بیت ایزد که فکند اساس افلاک صد گونه؛ انجام: زیر زمین را بدست فرو کرد پنج درخت را...</w:t>
      </w:r>
    </w:p>
    <w:p>
      <w:pPr>
        <w:pStyle w:val="BookText"/>
      </w:pPr>
      <w:r>
        <w:rPr>
          <w:rFonts w:ascii="IRNazanin" w:hAnsi="IRNazanin" w:eastAsia="IRNazanin" w:cs="IRNazanin"/>
          <w:lang w:bidi="fa-IR"/>
          <w:color w:val="111111"/>
          <w:sz w:val="28"/>
          <w:szCs w:val="28"/>
          <w:rtl/>
        </w:rPr>
        <w:t xml:space="preserve">خط: نستعلیق، بی کا ،تا: قرن 12 افتادگی: آغاز و انجام [رایانه]</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تهران؛ ملی؛ شماره نسخه : 1553/1</w:t>
      </w:r>
    </w:p>
    <w:p>
      <w:pPr>
        <w:pStyle w:val="BookText"/>
      </w:pPr>
      <w:r>
        <w:rPr>
          <w:rFonts w:ascii="IRNazanin" w:hAnsi="IRNazanin" w:eastAsia="IRNazanin" w:cs="IRNazanin"/>
          <w:lang w:bidi="fa-IR"/>
          <w:color w:val="111111"/>
          <w:sz w:val="28"/>
          <w:szCs w:val="28"/>
          <w:rtl/>
        </w:rPr>
        <w:t xml:space="preserve">آغاز : برابر؛ انجام: و دانستن پرشدن کدوانست</w:t>
      </w:r>
    </w:p>
    <w:p>
      <w:pPr>
        <w:pStyle w:val="BookText"/>
      </w:pPr>
      <w:r>
        <w:rPr>
          <w:rFonts w:ascii="IRNazanin" w:hAnsi="IRNazanin" w:eastAsia="IRNazanin" w:cs="IRNazanin"/>
          <w:lang w:bidi="fa-IR"/>
          <w:color w:val="111111"/>
          <w:sz w:val="28"/>
          <w:szCs w:val="28"/>
          <w:rtl/>
        </w:rPr>
        <w:t xml:space="preserve">خط: نسخ، بی کا، تا: قرن 13 ؛افتادگی: انجام؛ حاوی پیکره ها از تنه درختان؛ کاغذ ،فرنگی ،جلد: تیماج سبز با گل و بوته کوبیده ،مقوایی 120 ص (1 - 120)، 23 سطر (12</w:t>
      </w:r>
      <w:r>
        <w:rPr>
          <w:rFonts w:ascii="Times New Roman" w:hAnsi="Times New Roman" w:eastAsia="Times New Roman" w:cs="Times New Roman"/>
          <w:lang w:val="en-US" w:bidi="en-US"/>
          <w:color w:val="111111"/>
          <w:sz w:val="28"/>
          <w:szCs w:val="28"/>
          <w:rtl/>
        </w:rPr>
        <w:t xml:space="preserve">×23)</w:t>
      </w:r>
      <w:r>
        <w:rPr>
          <w:rFonts w:ascii="IRNazanin" w:hAnsi="IRNazanin" w:eastAsia="IRNazanin" w:cs="IRNazanin"/>
          <w:lang w:bidi="fa-IR"/>
          <w:color w:val="111111"/>
          <w:sz w:val="28"/>
          <w:szCs w:val="28"/>
          <w:rtl/>
        </w:rPr>
        <w:t xml:space="preserve">، اندازه: 21/5</w:t>
      </w:r>
      <w:r>
        <w:rPr>
          <w:rFonts w:ascii="Times New Roman" w:hAnsi="Times New Roman" w:eastAsia="Times New Roman" w:cs="Times New Roman"/>
          <w:lang w:val="en-US" w:bidi="en-US"/>
          <w:color w:val="111111"/>
          <w:sz w:val="28"/>
          <w:szCs w:val="28"/>
          <w:rtl/>
        </w:rPr>
        <w:t xml:space="preserve">×34/5 </w:t>
      </w:r>
      <w:r>
        <w:rPr>
          <w:rFonts w:ascii="IRNazanin" w:hAnsi="IRNazanin" w:eastAsia="IRNazanin" w:cs="IRNazanin"/>
          <w:lang w:bidi="fa-IR"/>
          <w:color w:val="111111"/>
          <w:sz w:val="28"/>
          <w:szCs w:val="28"/>
          <w:rtl/>
        </w:rPr>
        <w:t xml:space="preserve">سم [ف: 4 - 44]</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تهران؛ ملی؛ شماره نسخه: 2132/2</w:t>
      </w:r>
    </w:p>
    <w:p>
      <w:pPr>
        <w:pStyle w:val="BookText"/>
      </w:pPr>
      <w:r>
        <w:rPr>
          <w:rFonts w:ascii="IRNazanin" w:hAnsi="IRNazanin" w:eastAsia="IRNazanin" w:cs="IRNazanin"/>
          <w:lang w:bidi="fa-IR"/>
          <w:color w:val="111111"/>
          <w:sz w:val="28"/>
          <w:szCs w:val="28"/>
          <w:rtl/>
        </w:rPr>
        <w:t xml:space="preserve">آغاز: پی تاریخ ختمش صاحب زرع *** بارشاد الزراعه صاح افزود؛ انجام: من معترفم که کار من جمله خطاست... ای خواجه اگر توان باصلاح بکوش *** در عیب نظر مکن که بی عیب خداست. حسب الامر عالیجاه .. نتيجة الاعيان العظام محمد اسماعیل بیک فى شهر شوال 1289</w:t>
      </w:r>
    </w:p>
    <w:p>
      <w:pPr>
        <w:pStyle w:val="BookText"/>
      </w:pPr>
      <w:r>
        <w:rPr>
          <w:rFonts w:ascii="IRNazanin" w:hAnsi="IRNazanin" w:eastAsia="IRNazanin" w:cs="IRNazanin"/>
          <w:lang w:bidi="fa-IR"/>
          <w:color w:val="111111"/>
          <w:sz w:val="28"/>
          <w:szCs w:val="28"/>
          <w:rtl/>
        </w:rPr>
        <w:t xml:space="preserve">خط: نستعلیق، بی کا، تا: شوال 1289ق؛ افتادگی: آغاز (1 صفحه)به امر محمد اسماعیل بیگ؛ کاغذ: شکری ،فرنگی ،جلد: مقوایی، كاغذ: ابری رنگی عطف و گوشه تیماج حنایی 23 ص (15- 38) 24 سطر (6</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 13/5 </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11 - 368]</w:t>
      </w:r>
    </w:p>
    <w:p>
      <w:pPr>
        <w:pStyle w:val="BookText"/>
      </w:pPr>
      <w:r>
        <w:rPr>
          <w:rFonts w:ascii="IRNazanin" w:hAnsi="IRNazanin" w:eastAsia="IRNazanin" w:cs="IRNazanin"/>
          <w:lang w:bidi="fa-IR"/>
          <w:color w:val="111111"/>
          <w:sz w:val="28"/>
          <w:szCs w:val="28"/>
          <w:rtl/>
        </w:rPr>
        <w:t xml:space="preserve">13.تهران؛ ملک شماره نسخه: 1503/5</w:t>
      </w:r>
    </w:p>
    <w:p>
      <w:pPr>
        <w:pStyle w:val="BookText"/>
      </w:pPr>
      <w:r>
        <w:rPr>
          <w:rFonts w:ascii="IRNazanin" w:hAnsi="IRNazanin" w:eastAsia="IRNazanin" w:cs="IRNazanin"/>
          <w:lang w:bidi="fa-IR"/>
          <w:color w:val="111111"/>
          <w:sz w:val="28"/>
          <w:szCs w:val="28"/>
          <w:rtl/>
        </w:rPr>
        <w:t xml:space="preserve">خط: نستعلیق،بی کا، تا: 1293ق؛ کاغذ: فرنگی، جلد: میشن قرمز، 12 سطر [ف 5 - 277]</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تهران؛ سپهسالار؛ شماره نسخه: 2858/5</w:t>
      </w:r>
    </w:p>
    <w:p>
      <w:pPr>
        <w:pStyle w:val="BookText"/>
      </w:pPr>
      <w:r>
        <w:rPr>
          <w:rFonts w:ascii="IRNazanin" w:hAnsi="IRNazanin" w:eastAsia="IRNazanin" w:cs="IRNazanin"/>
          <w:lang w:bidi="fa-IR"/>
          <w:color w:val="111111"/>
          <w:sz w:val="28"/>
          <w:szCs w:val="28"/>
          <w:rtl/>
        </w:rPr>
        <w:t xml:space="preserve">آغاز: برابر؛ انجام: و دانستن پر شدن کدو آنست (در روضه هفتم افتاده است).</w:t>
      </w:r>
    </w:p>
    <w:p>
      <w:pPr>
        <w:pStyle w:val="BookText"/>
      </w:pPr>
      <w:r>
        <w:rPr>
          <w:rFonts w:ascii="IRNazanin" w:hAnsi="IRNazanin" w:eastAsia="IRNazanin" w:cs="IRNazanin"/>
          <w:lang w:bidi="fa-IR"/>
          <w:color w:val="111111"/>
          <w:sz w:val="28"/>
          <w:szCs w:val="28"/>
          <w:rtl/>
        </w:rPr>
        <w:t xml:space="preserve">بی کا، بی تا :افتادگی: انجام؛ محشی؛ کاغذ: فرنگی ،جلد: تیماج مشکی ،مقوایی، 51گ (91ر -142پ)، اندازه: 17 </w:t>
      </w:r>
      <w:r>
        <w:rPr>
          <w:rFonts w:ascii="Times New Roman" w:hAnsi="Times New Roman" w:eastAsia="Times New Roman" w:cs="Times New Roman"/>
          <w:lang w:val="en-US" w:bidi="en-US"/>
          <w:color w:val="111111"/>
          <w:sz w:val="28"/>
          <w:szCs w:val="28"/>
          <w:rtl/>
        </w:rPr>
        <w:t xml:space="preserve">×26 </w:t>
      </w:r>
      <w:r>
        <w:rPr>
          <w:rFonts w:ascii="IRNazanin" w:hAnsi="IRNazanin" w:eastAsia="IRNazanin" w:cs="IRNazanin"/>
          <w:lang w:bidi="fa-IR"/>
          <w:color w:val="111111"/>
          <w:sz w:val="28"/>
          <w:szCs w:val="28"/>
          <w:rtl/>
        </w:rPr>
        <w:t xml:space="preserve">سم [ ف : 3 - 7 ]</w:t>
      </w:r>
    </w:p>
    <w:p>
      <w:pPr>
        <w:pStyle w:val="BookText"/>
      </w:pPr>
      <w:r>
        <w:rPr>
          <w:rFonts w:ascii="IRNazanin" w:hAnsi="IRNazanin" w:eastAsia="IRNazanin" w:cs="IRNazanin"/>
          <w:lang w:bidi="fa-IR"/>
          <w:color w:val="111111"/>
          <w:sz w:val="28"/>
          <w:szCs w:val="28"/>
          <w:rtl/>
        </w:rPr>
        <w:t xml:space="preserve">15.تهران؛ ملی؛ شماره نسخه: 18616</w:t>
      </w:r>
    </w:p>
    <w:p>
      <w:pPr>
        <w:pStyle w:val="BookText"/>
      </w:pPr>
      <w:r>
        <w:rPr>
          <w:rFonts w:ascii="IRNazanin" w:hAnsi="IRNazanin" w:eastAsia="IRNazanin" w:cs="IRNazanin"/>
          <w:lang w:bidi="fa-IR"/>
          <w:color w:val="111111"/>
          <w:sz w:val="28"/>
          <w:szCs w:val="28"/>
          <w:rtl/>
        </w:rPr>
        <w:t xml:space="preserve">1ج؛ بی کا، بی تا، ؛ انتقالی از کتابخانه پهلوی- مجموعه نوازی ؛ اندازه: 11</w:t>
      </w:r>
      <w:r>
        <w:rPr>
          <w:rFonts w:ascii="Times New Roman" w:hAnsi="Times New Roman" w:eastAsia="Times New Roman" w:cs="Times New Roman"/>
          <w:lang w:val="en-US" w:bidi="en-US"/>
          <w:color w:val="111111"/>
          <w:sz w:val="28"/>
          <w:szCs w:val="28"/>
          <w:rtl/>
        </w:rPr>
        <w:t xml:space="preserve">×17/3</w:t>
      </w:r>
      <w:r>
        <w:rPr>
          <w:rFonts w:ascii="IRNazanin" w:hAnsi="IRNazanin" w:eastAsia="IRNazanin" w:cs="IRNazanin"/>
          <w:lang w:bidi="fa-IR"/>
          <w:color w:val="111111"/>
          <w:sz w:val="28"/>
          <w:szCs w:val="28"/>
          <w:rtl/>
        </w:rPr>
        <w:t xml:space="preserve">سم [رایانه]</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تهران؛ دانشگاه؛ شماره نسخه: 5304/2</w:t>
      </w:r>
    </w:p>
    <w:p>
      <w:pPr>
        <w:pStyle w:val="BookText"/>
      </w:pPr>
      <w:r>
        <w:rPr>
          <w:rFonts w:ascii="IRNazanin" w:hAnsi="IRNazanin" w:eastAsia="IRNazanin" w:cs="IRNazanin"/>
          <w:lang w:bidi="fa-IR"/>
          <w:color w:val="111111"/>
          <w:sz w:val="28"/>
          <w:szCs w:val="28"/>
          <w:rtl/>
        </w:rPr>
        <w:t xml:space="preserve">خط: نسخ، بی کا، بی تا، کاغذ: فرنگی، جلد: تیماج سبز ضربی ،مقوایی 52گ (106پ - 158ر)، 15 سطر (6/5</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12</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15 - 4198]</w:t>
      </w:r>
    </w:p>
    <w:p>
      <w:pPr>
        <w:pStyle w:val="Heading3"/>
      </w:pPr>
      <w:bookmarkStart w:id="550" w:name="_Toc72"/>
      <w:r>
        <w:t>ارشاد الزراعة = فلاحت / کشاورزی - فارسی</w:t>
      </w:r>
      <w:bookmarkEnd w:id="550"/>
    </w:p>
    <w:p>
      <w:pPr>
        <w:pStyle w:val="BookText"/>
      </w:pPr>
      <w:r>
        <w:rPr>
          <w:rFonts w:ascii="Times New Roman" w:hAnsi="Times New Roman" w:eastAsia="Times New Roman" w:cs="Times New Roman"/>
          <w:lang w:val="en-US" w:bidi="en-US"/>
          <w:color w:val="111111"/>
          <w:sz w:val="28"/>
          <w:szCs w:val="28"/>
          <w:rtl/>
        </w:rPr>
        <w:t xml:space="preserve">eršād-oz-zera'at = felāhat</w:t>
      </w:r>
    </w:p>
    <w:p>
      <w:pPr>
        <w:pStyle w:val="BookText"/>
      </w:pPr>
      <w:r>
        <w:rPr>
          <w:rFonts w:ascii="IRNazanin" w:hAnsi="IRNazanin" w:eastAsia="IRNazanin" w:cs="IRNazanin"/>
          <w:lang w:bidi="fa-IR"/>
          <w:color w:val="111111"/>
          <w:sz w:val="28"/>
          <w:szCs w:val="28"/>
          <w:rtl/>
        </w:rPr>
        <w:t xml:space="preserve">رساله ای مجهول المؤلف در علم فلاحت در 12 «باب» و «خاتمه»: 1. مقدمات، در سه «مقدمه» یکم در معرفت هوا و باران دوم ،شعری سوم بعضی از امور کشاورزی که تعلق به اوقات سال دارد؛ 2. تخم و زمین و برزگر و ختم پاشی و کود؛ 3. دفع آفات؛ 4 .گردآوری غلات؛ 5 .درخت نشاندن؛ 6. نشانیدن درخت تاک و زیتون؛ 7. کاشتن درخت های دیگر؛ 8 .پیوند کردن درختان؛ 10 .زراعت بقول؛ 11 جانوران موذی (ملخ، ،مور، موش و. ..)؛ 12 .منافع بقول و نباتات؛ خاتمه در معرفت کبوتر و نگاهداشتن آن.</w:t>
      </w:r>
    </w:p>
    <w:p>
      <w:pPr>
        <w:pStyle w:val="BookText"/>
      </w:pPr>
      <w:r>
        <w:rPr>
          <w:rFonts w:ascii="IRNazanin" w:hAnsi="IRNazanin" w:eastAsia="IRNazanin" w:cs="IRNazanin"/>
          <w:lang w:bidi="fa-IR"/>
          <w:color w:val="111111"/>
          <w:sz w:val="28"/>
          <w:szCs w:val="28"/>
          <w:rtl/>
        </w:rPr>
        <w:t xml:space="preserve">آغاز: الحمد لله فالق الحب والنوى و خالق القدر والقوى. .. اما ،بعد این مختصری است در معرفت بعضی امور که اهل فلاحت را بکار آید، مشتمل بر دوازده باب</w:t>
      </w:r>
    </w:p>
    <w:p>
      <w:pPr>
        <w:pStyle w:val="BookText"/>
      </w:pPr>
      <w:r>
        <w:rPr>
          <w:rFonts w:ascii="IRNazanin" w:hAnsi="IRNazanin" w:eastAsia="IRNazanin" w:cs="IRNazanin"/>
          <w:lang w:bidi="fa-IR"/>
          <w:color w:val="111111"/>
          <w:sz w:val="28"/>
          <w:szCs w:val="28"/>
          <w:rtl/>
        </w:rPr>
        <w:t xml:space="preserve">انجام: نگهداشت که نفع بسیار و ضرر كمدارد. و التوفيق بجهت</w:t>
      </w:r>
    </w:p>
    <w:p>
      <w:pPr>
        <w:pStyle w:val="BookText"/>
      </w:pPr>
      <w:r>
        <w:rPr>
          <w:rFonts w:ascii="IRNazanin" w:hAnsi="IRNazanin" w:eastAsia="IRNazanin" w:cs="IRNazanin"/>
          <w:lang w:bidi="fa-IR"/>
          <w:color w:val="111111"/>
          <w:sz w:val="28"/>
          <w:szCs w:val="28"/>
          <w:rtl/>
        </w:rPr>
        <w:t xml:space="preserve">چاپ: چاپ شده</w:t>
      </w:r>
    </w:p>
    <w:p>
      <w:pPr>
        <w:pStyle w:val="BookText"/>
      </w:pPr>
      <w:r>
        <w:rPr>
          <w:rFonts w:ascii="IRNazanin" w:hAnsi="IRNazanin" w:eastAsia="IRNazanin" w:cs="IRNazanin"/>
          <w:lang w:bidi="fa-IR"/>
          <w:color w:val="111111"/>
          <w:sz w:val="28"/>
          <w:szCs w:val="28"/>
          <w:rtl/>
        </w:rPr>
        <w:t xml:space="preserve">1.تهران؛ ملک؛شماره نسخه: 492/2</w:t>
      </w:r>
    </w:p>
    <w:p>
      <w:pPr>
        <w:pStyle w:val="BookText"/>
      </w:pPr>
      <w:r>
        <w:rPr>
          <w:rFonts w:ascii="IRNazanin" w:hAnsi="IRNazanin" w:eastAsia="IRNazanin" w:cs="IRNazanin"/>
          <w:lang w:bidi="fa-IR"/>
          <w:color w:val="111111"/>
          <w:sz w:val="28"/>
          <w:szCs w:val="28"/>
          <w:rtl/>
        </w:rPr>
        <w:t xml:space="preserve">خط: نستعلیق، بی کا، تا :قرن 10 ؛کاغذ: ترمه سمرقندی، جلد: رویه میشن ضربی قرمز پشت معرق ،قدیمی 51 ص 18 سطر :اندازه 12/22</w:t>
      </w:r>
      <w:r>
        <w:rPr>
          <w:rFonts w:ascii="Times New Roman" w:hAnsi="Times New Roman" w:eastAsia="Times New Roman" w:cs="Times New Roman"/>
          <w:lang w:val="en-US" w:bidi="en-US"/>
          <w:color w:val="111111"/>
          <w:sz w:val="28"/>
          <w:szCs w:val="28"/>
          <w:rtl/>
        </w:rPr>
        <w:t xml:space="preserve">×20/7 </w:t>
      </w:r>
      <w:r>
        <w:rPr>
          <w:rFonts w:ascii="IRNazanin" w:hAnsi="IRNazanin" w:eastAsia="IRNazanin" w:cs="IRNazanin"/>
          <w:lang w:bidi="fa-IR"/>
          <w:color w:val="111111"/>
          <w:sz w:val="28"/>
          <w:szCs w:val="28"/>
          <w:rtl/>
        </w:rPr>
        <w:t xml:space="preserve">سم [ف: 5 - 40]</w:t>
      </w:r>
    </w:p>
    <w:p>
      <w:pPr>
        <w:pStyle w:val="BookText"/>
      </w:pPr>
      <w:r>
        <w:rPr>
          <w:rFonts w:ascii="IRNazanin" w:hAnsi="IRNazanin" w:eastAsia="IRNazanin" w:cs="IRNazanin"/>
          <w:lang w:bidi="fa-IR"/>
          <w:color w:val="111111"/>
          <w:sz w:val="28"/>
          <w:szCs w:val="28"/>
          <w:rtl/>
        </w:rPr>
        <w:t xml:space="preserve">2.تهران؛ دانشگاه؛ شماره نسخه: 1465/4-ف</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نسخه اصل: موزه بریتانیاش 23542 .</w:t>
      </w:r>
      <w:r>
        <w:rPr>
          <w:rFonts w:ascii="Times New Roman" w:hAnsi="Times New Roman" w:eastAsia="Times New Roman" w:cs="Times New Roman"/>
          <w:lang w:val="en-US" w:bidi="en-US"/>
          <w:color w:val="111111"/>
          <w:sz w:val="28"/>
          <w:szCs w:val="28"/>
          <w:rtl/>
        </w:rPr>
        <w:t xml:space="preserve">Or </w:t>
      </w:r>
      <w:r>
        <w:rPr>
          <w:rFonts w:ascii="IRNazanin" w:hAnsi="IRNazanin" w:eastAsia="IRNazanin" w:cs="IRNazanin"/>
          <w:lang w:bidi="fa-IR"/>
          <w:color w:val="111111"/>
          <w:sz w:val="28"/>
          <w:szCs w:val="28"/>
          <w:rtl/>
        </w:rPr>
        <w:t xml:space="preserve">؛خط: نستعلیق، بی کا، تا: 1251ق؛ جا: بغداد (19 ص (1-19) [فيلم ها - ف: 1 - 605]</w:t>
      </w:r>
    </w:p>
    <w:p>
      <w:pPr>
        <w:pStyle w:val="BookText"/>
      </w:pPr>
      <w:r>
        <w:rPr>
          <w:rFonts w:ascii="IRNazanin" w:hAnsi="IRNazanin" w:eastAsia="IRNazanin" w:cs="IRNazanin"/>
          <w:lang w:bidi="fa-IR"/>
          <w:color w:val="111111"/>
          <w:sz w:val="28"/>
          <w:szCs w:val="28"/>
          <w:rtl/>
        </w:rPr>
        <w:t xml:space="preserve">تهران؛ دائرة المعارف؛ شماره نسخه 121/3 عکسی و 347/4- عکسی</w:t>
      </w:r>
    </w:p>
    <w:p>
      <w:pPr>
        <w:pStyle w:val="BookText"/>
      </w:pPr>
      <w:r>
        <w:rPr>
          <w:rFonts w:ascii="IRNazanin" w:hAnsi="IRNazanin" w:eastAsia="IRNazanin" w:cs="IRNazanin"/>
          <w:lang w:bidi="fa-IR"/>
          <w:color w:val="111111"/>
          <w:sz w:val="28"/>
          <w:szCs w:val="28"/>
          <w:rtl/>
        </w:rPr>
        <w:t xml:space="preserve">اصل نسخه: همان نسخه اصل بالا [عکسی ف: 2 - 221]</w:t>
      </w:r>
    </w:p>
    <w:p>
      <w:pPr>
        <w:pStyle w:val="BookText"/>
      </w:pPr>
      <w:r>
        <w:rPr>
          <w:rFonts w:ascii="IRNazanin" w:hAnsi="IRNazanin" w:eastAsia="IRNazanin" w:cs="IRNazanin"/>
          <w:lang w:bidi="fa-IR"/>
          <w:color w:val="111111"/>
          <w:sz w:val="28"/>
          <w:szCs w:val="28"/>
          <w:rtl/>
        </w:rPr>
        <w:t xml:space="preserve">3.قم؛ مرعشی؛ شماره نسخه :بدون شماره</w:t>
      </w:r>
    </w:p>
    <w:p>
      <w:pPr>
        <w:pStyle w:val="BookText"/>
      </w:pPr>
      <w:r>
        <w:rPr>
          <w:rFonts w:ascii="IRNazanin" w:hAnsi="IRNazanin" w:eastAsia="IRNazanin" w:cs="IRNazanin"/>
          <w:lang w:bidi="fa-IR"/>
          <w:color w:val="111111"/>
          <w:sz w:val="28"/>
          <w:szCs w:val="28"/>
          <w:rtl/>
        </w:rPr>
        <w:t xml:space="preserve">خط: نستعلیق، کا، محمد اسماعيل بن محمد صادق منجم باشی، تا :1279ق؛ قطع : جیبی [ میراث شهاب س 7ش 1-2 - 35]</w:t>
      </w:r>
    </w:p>
    <w:p>
      <w:pPr>
        <w:pStyle w:val="BookText"/>
      </w:pPr>
      <w:r>
        <w:rPr>
          <w:rFonts w:ascii="IRNazanin" w:hAnsi="IRNazanin" w:eastAsia="IRNazanin" w:cs="IRNazanin"/>
          <w:lang w:bidi="fa-IR"/>
          <w:color w:val="111111"/>
          <w:sz w:val="28"/>
          <w:szCs w:val="28"/>
          <w:rtl/>
        </w:rPr>
        <w:t xml:space="preserve">4.. تهران؛ ملک شماره نسخه: 1232/3</w:t>
      </w:r>
    </w:p>
    <w:p>
      <w:pPr>
        <w:pStyle w:val="BookText"/>
      </w:pPr>
      <w:r>
        <w:rPr>
          <w:rFonts w:ascii="IRNazanin" w:hAnsi="IRNazanin" w:eastAsia="IRNazanin" w:cs="IRNazanin"/>
          <w:lang w:bidi="fa-IR"/>
          <w:color w:val="111111"/>
          <w:sz w:val="28"/>
          <w:szCs w:val="28"/>
          <w:rtl/>
        </w:rPr>
        <w:t xml:space="preserve">خط: نسخ، بی کا، بی تا، کاغذ: ترمه سمرقندی رنگین کناره پسته ای، جلد: میشن قهوه ای ترنج دار ضربی، سطر [ف: 5 - 247]</w:t>
      </w:r>
    </w:p>
    <w:p>
      <w:pPr>
        <w:pStyle w:val="Heading3"/>
      </w:pPr>
      <w:bookmarkStart w:id="551" w:name="_Toc73"/>
      <w:r>
        <w:t>ارشاد السارى لشرح صحيح البخاری / حدیث / عربی</w:t>
      </w:r>
      <w:bookmarkEnd w:id="551"/>
    </w:p>
    <w:p>
      <w:pPr>
        <w:pStyle w:val="BookText"/>
      </w:pPr>
      <w:r>
        <w:rPr>
          <w:rFonts w:ascii="Times New Roman" w:hAnsi="Times New Roman" w:eastAsia="Times New Roman" w:cs="Times New Roman"/>
          <w:lang w:val="en-US" w:bidi="en-US"/>
          <w:color w:val="111111"/>
          <w:sz w:val="28"/>
          <w:szCs w:val="28"/>
          <w:rtl/>
        </w:rPr>
        <w:t xml:space="preserve">iršād-us-sārī li-s.-i ṣaḥīḥ-il-buxārī</w:t>
      </w:r>
    </w:p>
    <w:p>
      <w:pPr>
        <w:pStyle w:val="BookText"/>
      </w:pPr>
      <w:r>
        <w:rPr>
          <w:rFonts w:ascii="IRNazanin" w:hAnsi="IRNazanin" w:eastAsia="IRNazanin" w:cs="IRNazanin"/>
          <w:lang w:bidi="fa-IR"/>
          <w:color w:val="111111"/>
          <w:sz w:val="28"/>
          <w:szCs w:val="28"/>
          <w:rtl/>
        </w:rPr>
        <w:t xml:space="preserve">قسطلانی احمد بن محمد، 851 - 923 قمری</w:t>
      </w:r>
    </w:p>
    <w:p>
      <w:pPr>
        <w:pStyle w:val="BookText"/>
      </w:pPr>
      <w:r>
        <w:rPr>
          <w:rFonts w:ascii="Times New Roman" w:hAnsi="Times New Roman" w:eastAsia="Times New Roman" w:cs="Times New Roman"/>
          <w:lang w:val="en-US" w:bidi="en-US"/>
          <w:color w:val="111111"/>
          <w:sz w:val="28"/>
          <w:szCs w:val="28"/>
          <w:rtl/>
        </w:rPr>
        <w:t xml:space="preserve">qastalani, ahmad ebn-e mohammad (1448 - 1518)</w:t>
      </w:r>
    </w:p>
    <w:p>
      <w:pPr>
        <w:pStyle w:val="BookText"/>
      </w:pPr>
      <w:r>
        <w:rPr>
          <w:rFonts w:ascii="IRNazanin" w:hAnsi="IRNazanin" w:eastAsia="IRNazanin" w:cs="IRNazanin"/>
          <w:lang w:bidi="fa-IR"/>
          <w:color w:val="111111"/>
          <w:sz w:val="28"/>
          <w:szCs w:val="28"/>
          <w:rtl/>
        </w:rPr>
        <w:t xml:space="preserve">وابسته به الجامع الصحيح صحيح البخاری = صحیح بخاری = ،بخاری، محمد بن اسماعيل (194-256)</w:t>
      </w:r>
    </w:p>
    <w:p>
      <w:pPr>
        <w:pStyle w:val="BookText"/>
      </w:pPr>
      <w:r>
        <w:rPr>
          <w:rFonts w:ascii="IRNazanin" w:hAnsi="IRNazanin" w:eastAsia="IRNazanin" w:cs="IRNazanin"/>
          <w:lang w:bidi="fa-IR"/>
          <w:color w:val="111111"/>
          <w:sz w:val="28"/>
          <w:szCs w:val="28"/>
          <w:rtl/>
        </w:rPr>
        <w:t xml:space="preserve">تاریخ تألیف: شنبه 17 ربيع الثاني 916ق</w:t>
      </w:r>
    </w:p>
    <w:p>
      <w:pPr>
        <w:pStyle w:val="BookText"/>
      </w:pPr>
      <w:r>
        <w:rPr>
          <w:rFonts w:ascii="IRNazanin" w:hAnsi="IRNazanin" w:eastAsia="IRNazanin" w:cs="IRNazanin"/>
          <w:lang w:bidi="fa-IR"/>
          <w:color w:val="111111"/>
          <w:sz w:val="28"/>
          <w:szCs w:val="28"/>
          <w:rtl/>
        </w:rPr>
        <w:t xml:space="preserve">کتاب شرحی است مزجی و مفصل و معروف بر کتاب «صحیح بخاری» و مصدر است به مقدمه ای حاوی پنج «فصل» حدیثی در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24" w:name="pg20365_260028"/>
    <w:bookmarkEnd w:id="24"/>
    <w:p>
      <w:pPr>
        <w:pStyle w:val="BookText"/>
      </w:pPr>
      <w:r>
        <w:rPr>
          <w:rFonts w:ascii="IRNazanin" w:hAnsi="IRNazanin" w:eastAsia="IRNazanin" w:cs="IRNazanin"/>
          <w:lang w:bidi="fa-IR"/>
          <w:color w:val="111111"/>
          <w:sz w:val="28"/>
          <w:szCs w:val="28"/>
          <w:rtl/>
        </w:rPr>
        <w:t xml:space="preserve">مطالب مقدماتی از فضیلت اهل حدیث و اول کسی که تدوین حدیث نموده و مصطلحات علم حدیث و نسبت صاحب متن اهمیت صحیح بخاری.</w:t>
      </w:r>
    </w:p>
    <w:p>
      <w:pPr>
        <w:pStyle w:val="BookText"/>
      </w:pPr>
      <w:r>
        <w:rPr>
          <w:rFonts w:ascii="Amiri" w:hAnsi="Amiri" w:eastAsia="Amiri" w:cs="Amiri"/>
          <w:lang w:bidi="ar-SA"/>
          <w:color w:val="111111"/>
          <w:sz w:val="28"/>
          <w:szCs w:val="28"/>
          <w:rtl/>
        </w:rPr>
        <w:t xml:space="preserve">آغاز: الحمد لله الذى شرح بمعارف السنة النبويةصدور اوليائه</w:t>
      </w:r>
    </w:p>
    <w:p>
      <w:pPr>
        <w:pStyle w:val="BookText"/>
      </w:pPr>
      <w:r>
        <w:rPr>
          <w:rFonts w:ascii="IRNazanin" w:hAnsi="IRNazanin" w:eastAsia="IRNazanin" w:cs="IRNazanin"/>
          <w:lang w:bidi="fa-IR"/>
          <w:color w:val="111111"/>
          <w:sz w:val="28"/>
          <w:szCs w:val="28"/>
          <w:rtl/>
        </w:rPr>
        <w:t xml:space="preserve">چاپ: طبع فى مصر ،بولاق، مطبعه ،امیریه، 1285 و 1292 و 1304و 1307 و 1323 و 1325ق، 10 جلد</w:t>
      </w:r>
    </w:p>
    <w:p>
      <w:pPr>
        <w:pStyle w:val="BookText"/>
      </w:pPr>
      <w:r>
        <w:rPr>
          <w:rFonts w:ascii="Amiri" w:hAnsi="Amiri" w:eastAsia="Amiri" w:cs="Amiri"/>
          <w:lang w:bidi="ar-SA"/>
          <w:color w:val="111111"/>
          <w:sz w:val="28"/>
          <w:szCs w:val="28"/>
          <w:rtl/>
        </w:rPr>
        <w:t xml:space="preserve">[الاوقاف العامة بغداد 184/1-188؛ بروك العربية 171/3]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مشهد؛ رضوی؛ شماره نسخه: 31879</w:t>
      </w:r>
    </w:p>
    <w:p>
      <w:pPr>
        <w:pStyle w:val="BookText"/>
      </w:pPr>
      <w:r>
        <w:rPr>
          <w:rFonts w:ascii="IRNazanin" w:hAnsi="IRNazanin" w:eastAsia="IRNazanin" w:cs="IRNazanin"/>
          <w:lang w:bidi="fa-IR"/>
          <w:color w:val="111111"/>
          <w:sz w:val="28"/>
          <w:szCs w:val="28"/>
          <w:rtl/>
        </w:rPr>
        <w:t xml:space="preserve">آغاز: پس از تسمیه و نام شارح الحمد لله الذى شرح بمعارف عوارف السنة النبوية صدور اوليائه؛ انجام: و وهم من ابيه هذا آ خرربيع (كذا) العبادات من هذا الشروح و انتهى</w:t>
      </w:r>
    </w:p>
    <w:p>
      <w:pPr>
        <w:pStyle w:val="BookText"/>
      </w:pPr>
      <w:r>
        <w:rPr>
          <w:rFonts w:ascii="IRNazanin" w:hAnsi="IRNazanin" w:eastAsia="IRNazanin" w:cs="IRNazanin"/>
          <w:lang w:bidi="fa-IR"/>
          <w:color w:val="111111"/>
          <w:sz w:val="28"/>
          <w:szCs w:val="28"/>
          <w:rtl/>
        </w:rPr>
        <w:t xml:space="preserve">خط: نسخ، کا: عبدالکریم بن ابی بکر بن جامع جبرتى شافعی، تا:  964ق؛ اهدایی ،رهبری بهمن 1383؛ کاغذ: نخودی آهار مهر ،جلد: گالینگور عطف و گوشه تیماج ،زرشکی، 345گ 30 سطر ، اندازه: 18</w:t>
      </w:r>
      <w:r>
        <w:rPr>
          <w:rFonts w:ascii="Times New Roman" w:hAnsi="Times New Roman" w:eastAsia="Times New Roman" w:cs="Times New Roman"/>
          <w:lang w:val="en-US" w:bidi="en-US"/>
          <w:color w:val="111111"/>
          <w:sz w:val="28"/>
          <w:szCs w:val="28"/>
          <w:rtl/>
        </w:rPr>
        <w:t xml:space="preserve">×26/7</w:t>
      </w:r>
      <w:r>
        <w:rPr>
          <w:rFonts w:ascii="IRNazanin" w:hAnsi="IRNazanin" w:eastAsia="IRNazanin" w:cs="IRNazanin"/>
          <w:lang w:bidi="fa-IR"/>
          <w:color w:val="111111"/>
          <w:sz w:val="28"/>
          <w:szCs w:val="28"/>
          <w:rtl/>
        </w:rPr>
        <w:t xml:space="preserve">سم [اهدائی - ف: 2 اخبار 1 – 83]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مشهد؛ رضوی؛ شماره نسخه: 21681</w:t>
      </w:r>
    </w:p>
    <w:p>
      <w:pPr>
        <w:pStyle w:val="BookText"/>
      </w:pPr>
      <w:r>
        <w:rPr>
          <w:rFonts w:ascii="IRNazanin" w:hAnsi="IRNazanin" w:eastAsia="IRNazanin" w:cs="IRNazanin"/>
          <w:lang w:bidi="fa-IR"/>
          <w:color w:val="111111"/>
          <w:sz w:val="28"/>
          <w:szCs w:val="28"/>
          <w:rtl/>
        </w:rPr>
        <w:t xml:space="preserve">آغاز: يحوطه عليه السلام و ينصره و يحبه حباً طبيعياً؛ انجام: ياتی على وجوه كثيرة و قضى ربك</w:t>
      </w:r>
    </w:p>
    <w:p>
      <w:pPr>
        <w:pStyle w:val="BookText"/>
      </w:pPr>
      <w:r>
        <w:rPr>
          <w:rFonts w:ascii="IRNazanin" w:hAnsi="IRNazanin" w:eastAsia="IRNazanin" w:cs="IRNazanin"/>
          <w:lang w:bidi="fa-IR"/>
          <w:color w:val="111111"/>
          <w:sz w:val="28"/>
          <w:szCs w:val="28"/>
          <w:rtl/>
        </w:rPr>
        <w:t xml:space="preserve">كتاب الانبياء كتاب المغازى و كتاب تفسير القرآن؛ خط: نسخ، بی کا، تا: قرن 11؛ افتادگی: آغاز و انجام؛ پشت برگ اول شرح  حال شارح و کیفیت شرح حاضر به نقل از عبدالوهاب بن (احمد) شعرانی در «لواقح الانوار»؛ اهدایی ،رهبری خرداد 1373 ؛کاغذ:نخودی آهار مهره، جلد:مقوا با عطف و گوشه تیماج قهوه 235گ 31 سطر ، اندازه: 17</w:t>
      </w:r>
      <w:r>
        <w:rPr>
          <w:rFonts w:ascii="Times New Roman" w:hAnsi="Times New Roman" w:eastAsia="Times New Roman" w:cs="Times New Roman"/>
          <w:lang w:val="en-US" w:bidi="en-US"/>
          <w:color w:val="111111"/>
          <w:sz w:val="28"/>
          <w:szCs w:val="28"/>
          <w:rtl/>
        </w:rPr>
        <w:t xml:space="preserve">×27</w:t>
      </w:r>
      <w:r>
        <w:rPr>
          <w:rFonts w:ascii="IRNazanin" w:hAnsi="IRNazanin" w:eastAsia="IRNazanin" w:cs="IRNazanin"/>
          <w:lang w:bidi="fa-IR"/>
          <w:color w:val="111111"/>
          <w:sz w:val="28"/>
          <w:szCs w:val="28"/>
          <w:rtl/>
        </w:rPr>
        <w:t xml:space="preserve">سم [ اهدائی - ف: 2 اخبار 1 - 84]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مشهد؛ رضوی؛ شماره نسخه: 1904</w:t>
      </w:r>
    </w:p>
    <w:p>
      <w:pPr>
        <w:pStyle w:val="BookText"/>
      </w:pPr>
      <w:r>
        <w:rPr>
          <w:rFonts w:ascii="Amiri" w:hAnsi="Amiri" w:eastAsia="Amiri" w:cs="Amiri"/>
          <w:lang w:bidi="ar-SA"/>
          <w:color w:val="111111"/>
          <w:sz w:val="28"/>
          <w:szCs w:val="28"/>
          <w:rtl/>
        </w:rPr>
        <w:t xml:space="preserve">آغاز: برابر؛ انجام: و وهم من ابيه هذا اخر ربيع (كذا) العباد من هذا الا غشروح و انتهى</w:t>
      </w:r>
    </w:p>
    <w:p>
      <w:pPr>
        <w:pStyle w:val="BookText"/>
      </w:pPr>
      <w:r>
        <w:rPr>
          <w:rFonts w:ascii="IRNazanin" w:hAnsi="IRNazanin" w:eastAsia="IRNazanin" w:cs="IRNazanin"/>
          <w:lang w:bidi="fa-IR"/>
          <w:color w:val="111111"/>
          <w:sz w:val="28"/>
          <w:szCs w:val="28"/>
          <w:rtl/>
        </w:rPr>
        <w:t xml:space="preserve">از اول کتاب تا اواخر «باب البزاق» و از «باب الصلوة الى جهة العنزه» تا آخر «باب شرار الموتی» و از «باب الزکوة» تا آخر «المعتكف يدخل راسه البيت للغسل»؛ خط: نستعلیق، بی کا ؛بی تا، پنج شنبه 9 رجب 907 ؛دارای یک سرلوح ،مذهب، مجدول، واقف: ابن ،خاتون 1607؛ کاغذ ،نخودی جلد: تیماجی عنابی، 450گ، مختلف السطر ، اندازه: 17</w:t>
      </w:r>
      <w:r>
        <w:rPr>
          <w:rFonts w:ascii="Times New Roman" w:hAnsi="Times New Roman" w:eastAsia="Times New Roman" w:cs="Times New Roman"/>
          <w:lang w:val="en-US" w:bidi="en-US"/>
          <w:color w:val="111111"/>
          <w:sz w:val="28"/>
          <w:szCs w:val="28"/>
          <w:rtl/>
        </w:rPr>
        <w:t xml:space="preserve">×30/5</w:t>
      </w:r>
      <w:r>
        <w:rPr>
          <w:rFonts w:ascii="IRNazanin" w:hAnsi="IRNazanin" w:eastAsia="IRNazanin" w:cs="IRNazanin"/>
          <w:lang w:bidi="fa-IR"/>
          <w:color w:val="111111"/>
          <w:sz w:val="28"/>
          <w:szCs w:val="28"/>
          <w:rtl/>
        </w:rPr>
        <w:t xml:space="preserve">سم [ ف : 5 - 28]</w:t>
      </w:r>
    </w:p>
    <w:p>
      <w:pPr>
        <w:pStyle w:val="Heading3"/>
      </w:pPr>
      <w:bookmarkStart w:id="552" w:name="_Toc74"/>
      <w:r>
        <w:t>ارشاد السالک فی شرح دليل الناسك / فقه / عربی</w:t>
      </w:r>
      <w:bookmarkEnd w:id="552"/>
    </w:p>
    <w:p>
      <w:pPr>
        <w:pStyle w:val="BookText"/>
      </w:pPr>
      <w:r>
        <w:rPr>
          <w:rFonts w:ascii="Times New Roman" w:hAnsi="Times New Roman" w:eastAsia="Times New Roman" w:cs="Times New Roman"/>
          <w:lang w:val="en-US" w:bidi="en-US"/>
          <w:color w:val="111111"/>
          <w:sz w:val="28"/>
          <w:szCs w:val="28"/>
          <w:rtl/>
        </w:rPr>
        <w:t xml:space="preserve">iršād-us-sālik fī s.-i dalīl-in-nāsik</w:t>
      </w:r>
    </w:p>
    <w:p>
      <w:pPr>
        <w:pStyle w:val="BookText"/>
      </w:pPr>
      <w:r>
        <w:rPr>
          <w:rFonts w:ascii="IRNazanin" w:hAnsi="IRNazanin" w:eastAsia="IRNazanin" w:cs="IRNazanin"/>
          <w:lang w:bidi="fa-IR"/>
          <w:color w:val="111111"/>
          <w:sz w:val="28"/>
          <w:szCs w:val="28"/>
          <w:rtl/>
        </w:rPr>
        <w:t xml:space="preserve">بهبهانی محمود بن محمد علی 1200 - 1271 قمری</w:t>
      </w:r>
    </w:p>
    <w:p>
      <w:pPr>
        <w:pStyle w:val="BookText"/>
      </w:pPr>
      <w:r>
        <w:rPr>
          <w:rFonts w:ascii="Times New Roman" w:hAnsi="Times New Roman" w:eastAsia="Times New Roman" w:cs="Times New Roman"/>
          <w:lang w:val="en-US" w:bidi="en-US"/>
          <w:color w:val="111111"/>
          <w:sz w:val="28"/>
          <w:szCs w:val="28"/>
          <w:rtl/>
        </w:rPr>
        <w:t xml:space="preserve">behbahānī, mahmūd ebn-e mohammad ‘alī (1786 -1855(</w:t>
      </w:r>
    </w:p>
    <w:p>
      <w:pPr>
        <w:pStyle w:val="BookText"/>
      </w:pPr>
      <w:r>
        <w:rPr>
          <w:rFonts w:ascii="IRNazanin" w:hAnsi="IRNazanin" w:eastAsia="IRNazanin" w:cs="IRNazanin"/>
          <w:lang w:bidi="fa-IR"/>
          <w:color w:val="111111"/>
          <w:sz w:val="28"/>
          <w:szCs w:val="28"/>
          <w:rtl/>
        </w:rPr>
        <w:t xml:space="preserve">وابسته به دلیل الناسك؛ آقامحمد علی کرمانشاهی (1144- 1216)</w:t>
      </w:r>
    </w:p>
    <w:p>
      <w:pPr>
        <w:pStyle w:val="BookText"/>
      </w:pPr>
      <w:r>
        <w:rPr>
          <w:rFonts w:ascii="Amiri" w:hAnsi="Amiri" w:eastAsia="Amiri" w:cs="Amiri"/>
          <w:lang w:bidi="ar-SA"/>
          <w:color w:val="111111"/>
          <w:sz w:val="28"/>
          <w:szCs w:val="28"/>
          <w:rtl/>
        </w:rPr>
        <w:t xml:space="preserve">تاريخ تأليف: 16 رجب 1228ق</w:t>
      </w:r>
    </w:p>
    <w:p>
      <w:pPr>
        <w:pStyle w:val="BookText"/>
      </w:pPr>
      <w:r>
        <w:rPr>
          <w:rFonts w:ascii="IRNazanin" w:hAnsi="IRNazanin" w:eastAsia="IRNazanin" w:cs="IRNazanin"/>
          <w:lang w:bidi="fa-IR"/>
          <w:color w:val="111111"/>
          <w:sz w:val="28"/>
          <w:szCs w:val="28"/>
          <w:rtl/>
        </w:rPr>
        <w:t xml:space="preserve">شرحی مفصل بر رساله «دلیل الناسک» پدر مؤلف آقا محمد علی بهبهانی است که برای مقلدین خود نوشته بود جلد اول کتاب تا اعمال است.</w:t>
      </w:r>
    </w:p>
    <w:p>
      <w:pPr>
        <w:pStyle w:val="BookText"/>
      </w:pPr>
      <w:r>
        <w:rPr>
          <w:rFonts w:ascii="Amiri" w:hAnsi="Amiri" w:eastAsia="Amiri" w:cs="Amiri"/>
          <w:lang w:bidi="ar-SA"/>
          <w:color w:val="111111"/>
          <w:sz w:val="28"/>
          <w:szCs w:val="28"/>
          <w:rtl/>
        </w:rPr>
        <w:t xml:space="preserve">آغاز: الحمد لمن عجز عن نعته ألسنة الواصفين و توجه الى حريم حرمه قلوب العارفين الذى ترك افئدة الطالبين في بيداء كبريائه و الهة حيرى.</w:t>
      </w:r>
    </w:p>
    <w:p>
      <w:pPr>
        <w:pStyle w:val="BookText"/>
      </w:pPr>
      <w:r>
        <w:rPr>
          <w:rFonts w:ascii="IRNazanin" w:hAnsi="IRNazanin" w:eastAsia="IRNazanin" w:cs="IRNazanin"/>
          <w:lang w:bidi="fa-IR"/>
          <w:color w:val="111111"/>
          <w:sz w:val="28"/>
          <w:szCs w:val="28"/>
          <w:rtl/>
        </w:rPr>
        <w:t xml:space="preserve">انجام: و ان يتفضل علينا بالنعم الجسام فانه ولى الاحسان و الاكرام ... بغفلت نمودیم عمری تلف ***فتبنا الى الله مما سلف</w:t>
      </w:r>
    </w:p>
    <w:p>
      <w:pPr>
        <w:pStyle w:val="BookText"/>
      </w:pPr>
      <w:r>
        <w:rPr>
          <w:rFonts w:ascii="IRNazanin" w:hAnsi="IRNazanin" w:eastAsia="IRNazanin" w:cs="IRNazanin"/>
          <w:lang w:bidi="fa-IR"/>
          <w:color w:val="111111"/>
          <w:sz w:val="28"/>
          <w:szCs w:val="28"/>
          <w:rtl/>
        </w:rPr>
        <w:t xml:space="preserve">[طبقات اعلام الشیعه، قرن 13]</w:t>
      </w:r>
    </w:p>
    <w:p>
      <w:pPr>
        <w:pStyle w:val="BookText"/>
      </w:pPr>
      <w:r>
        <w:rPr>
          <w:rFonts w:ascii="IRNazanin" w:hAnsi="IRNazanin" w:eastAsia="IRNazanin" w:cs="IRNazanin"/>
          <w:lang w:bidi="fa-IR"/>
          <w:color w:val="111111"/>
          <w:sz w:val="28"/>
          <w:szCs w:val="28"/>
          <w:rtl/>
        </w:rPr>
        <w:t xml:space="preserve">1.قم مرعشی؛ شماره نسخه: 1516</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نستعليق، كاتب - مؤلف، تا :16 رجب 1228ق؛ مهر :مؤلف «ان ربك يبعثك مقاماً محموداً)» (بیضی)؛ جلد: تیماج قرمز بدون مقوا، 98گ، مختلف السطر ، اندازه: 15/5</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سم [ف: 4 - 317]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قم؛ مرعشی، شماره نسخه: 14951/1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 رجب 1228ق؛ محشی، عبارات خطبه و انجام قلم خوردگی دارد؛ ترقیمه «لقد ختم في اليوم السادس عشر من شهر رجب المرجب من شهور سنة 1228. به غفلت نمودیم عمرى تلف *** فتبنا الى الله مما سلف»؛ کاغذ: فرنگی، 112گ ( 1 پ - 112ر)، 17 سطر ، اندازه: 10</w:t>
      </w:r>
      <w:r>
        <w:rPr>
          <w:rFonts w:ascii="Times New Roman" w:hAnsi="Times New Roman" w:eastAsia="Times New Roman" w:cs="Times New Roman"/>
          <w:lang w:val="en-US" w:bidi="en-US"/>
          <w:color w:val="111111"/>
          <w:sz w:val="28"/>
          <w:szCs w:val="28"/>
          <w:rtl/>
        </w:rPr>
        <w:t xml:space="preserve">× 15</w:t>
      </w:r>
      <w:r>
        <w:rPr>
          <w:rFonts w:ascii="IRNazanin" w:hAnsi="IRNazanin" w:eastAsia="IRNazanin" w:cs="IRNazanin"/>
          <w:lang w:bidi="fa-IR"/>
          <w:color w:val="111111"/>
          <w:sz w:val="28"/>
          <w:szCs w:val="28"/>
          <w:rtl/>
        </w:rPr>
        <w:t xml:space="preserve">سم [ف: 37 - 606]</w:t>
      </w:r>
    </w:p>
    <w:p>
      <w:pPr>
        <w:pStyle w:val="BookText"/>
      </w:pPr>
      <w:r>
        <w:rPr>
          <w:rFonts w:ascii="Amiri" w:hAnsi="Amiri" w:eastAsia="Amiri" w:cs="Amiri"/>
          <w:lang w:bidi="ar-SA"/>
          <w:color w:val="111111"/>
          <w:sz w:val="28"/>
          <w:szCs w:val="28"/>
          <w:rtl/>
        </w:rPr>
        <w:t xml:space="preserve">«ارشاد السالكين »فقرات</w:t>
      </w:r>
    </w:p>
    <w:p>
      <w:pPr>
        <w:pStyle w:val="Heading3"/>
      </w:pPr>
      <w:bookmarkStart w:id="553" w:name="_Toc75"/>
      <w:r>
        <w:t>ارشاد السالكين / عرفان و تصوف / فارسی</w:t>
      </w:r>
      <w:bookmarkEnd w:id="553"/>
    </w:p>
    <w:p>
      <w:pPr>
        <w:pStyle w:val="BookText"/>
      </w:pPr>
      <w:r>
        <w:rPr>
          <w:rFonts w:ascii="Times New Roman" w:hAnsi="Times New Roman" w:eastAsia="Times New Roman" w:cs="Times New Roman"/>
          <w:lang w:val="en-US" w:bidi="en-US"/>
          <w:color w:val="111111"/>
          <w:sz w:val="28"/>
          <w:szCs w:val="28"/>
          <w:rtl/>
        </w:rPr>
        <w:t xml:space="preserve">eršād-os sālekīn</w:t>
      </w:r>
    </w:p>
    <w:p>
      <w:pPr>
        <w:pStyle w:val="BookText"/>
      </w:pPr>
      <w:r>
        <w:rPr>
          <w:rFonts w:ascii="IRNazanin" w:hAnsi="IRNazanin" w:eastAsia="IRNazanin" w:cs="IRNazanin"/>
          <w:lang w:bidi="fa-IR"/>
          <w:color w:val="111111"/>
          <w:sz w:val="28"/>
          <w:szCs w:val="28"/>
          <w:rtl/>
        </w:rPr>
        <w:t xml:space="preserve">منیری، احمد بن یحیی، – 782 قمری</w:t>
      </w:r>
    </w:p>
    <w:p>
      <w:pPr>
        <w:pStyle w:val="BookText"/>
      </w:pPr>
      <w:r>
        <w:rPr>
          <w:rFonts w:ascii="Times New Roman" w:hAnsi="Times New Roman" w:eastAsia="Times New Roman" w:cs="Times New Roman"/>
          <w:lang w:val="en-US" w:bidi="en-US"/>
          <w:color w:val="111111"/>
          <w:sz w:val="28"/>
          <w:szCs w:val="28"/>
          <w:rtl/>
        </w:rPr>
        <w:t xml:space="preserve">moniri, ahmad ebn-e yahya ( - 1381)</w:t>
      </w:r>
    </w:p>
    <w:p>
      <w:pPr>
        <w:pStyle w:val="BookText"/>
      </w:pPr>
      <w:r>
        <w:rPr>
          <w:rFonts w:ascii="IRNazanin" w:hAnsi="IRNazanin" w:eastAsia="IRNazanin" w:cs="IRNazanin"/>
          <w:lang w:bidi="fa-IR"/>
          <w:color w:val="111111"/>
          <w:sz w:val="28"/>
          <w:szCs w:val="28"/>
          <w:rtl/>
        </w:rPr>
        <w:t xml:space="preserve">تهران؛ مجلس؛ شماره نسخه : 1405/13</w:t>
      </w:r>
    </w:p>
    <w:p>
      <w:pPr>
        <w:pStyle w:val="BookText"/>
      </w:pPr>
      <w:r>
        <w:rPr>
          <w:rFonts w:ascii="IRNazanin" w:hAnsi="IRNazanin" w:eastAsia="IRNazanin" w:cs="IRNazanin"/>
          <w:lang w:bidi="fa-IR"/>
          <w:color w:val="111111"/>
          <w:sz w:val="28"/>
          <w:szCs w:val="28"/>
          <w:rtl/>
        </w:rPr>
        <w:t xml:space="preserve">آغاز: سپاس و ستایش معبود را که موجود نیست مگر وی؛</w:t>
      </w:r>
    </w:p>
    <w:p>
      <w:pPr>
        <w:pStyle w:val="BookText"/>
      </w:pPr>
      <w:r>
        <w:rPr>
          <w:rFonts w:ascii="IRNazanin" w:hAnsi="IRNazanin" w:eastAsia="IRNazanin" w:cs="IRNazanin"/>
          <w:lang w:bidi="fa-IR"/>
          <w:color w:val="111111"/>
          <w:sz w:val="28"/>
          <w:szCs w:val="28"/>
          <w:rtl/>
        </w:rPr>
        <w:t xml:space="preserve">انجام :لکن ذکر کرده شد آن رغبت فعلیک بدر که</w:t>
      </w:r>
    </w:p>
    <w:p>
      <w:pPr>
        <w:pStyle w:val="BookText"/>
      </w:pPr>
      <w:r>
        <w:rPr>
          <w:rFonts w:ascii="IRNazanin" w:hAnsi="IRNazanin" w:eastAsia="IRNazanin" w:cs="IRNazanin"/>
          <w:lang w:bidi="fa-IR"/>
          <w:color w:val="111111"/>
          <w:sz w:val="28"/>
          <w:szCs w:val="28"/>
          <w:rtl/>
        </w:rPr>
        <w:t xml:space="preserve">در فهرست با عنوان «رساله در عرفان» آمده؛ بی کا، بی تا، 3ص (245 - 247) [ف: 5 - 500]</w:t>
      </w:r>
    </w:p>
    <w:p>
      <w:pPr>
        <w:pStyle w:val="Heading3"/>
      </w:pPr>
      <w:bookmarkStart w:id="554" w:name="_Toc76"/>
      <w:r>
        <w:t>ارشاد السالكين / عرفان و تصوف / فارسی</w:t>
      </w:r>
      <w:bookmarkEnd w:id="554"/>
    </w:p>
    <w:p>
      <w:pPr>
        <w:pStyle w:val="BookText"/>
      </w:pPr>
      <w:r>
        <w:rPr>
          <w:rFonts w:ascii="Times New Roman" w:hAnsi="Times New Roman" w:eastAsia="Times New Roman" w:cs="Times New Roman"/>
          <w:lang w:val="en-US" w:bidi="en-US"/>
          <w:color w:val="111111"/>
          <w:sz w:val="28"/>
          <w:szCs w:val="28"/>
          <w:rtl/>
        </w:rPr>
        <w:t xml:space="preserve">eršād-os sālekīn</w:t>
      </w:r>
    </w:p>
    <w:p>
      <w:pPr>
        <w:pStyle w:val="BookText"/>
      </w:pPr>
      <w:r>
        <w:rPr>
          <w:rFonts w:ascii="IRNazanin" w:hAnsi="IRNazanin" w:eastAsia="IRNazanin" w:cs="IRNazanin"/>
          <w:lang w:bidi="fa-IR"/>
          <w:color w:val="111111"/>
          <w:sz w:val="28"/>
          <w:szCs w:val="28"/>
          <w:rtl/>
        </w:rPr>
        <w:t xml:space="preserve">حافظ لاهوری، عبدالرحمن بن قاسم، ق12 قمری</w:t>
      </w:r>
    </w:p>
    <w:p>
      <w:pPr>
        <w:pStyle w:val="BookText"/>
      </w:pPr>
      <w:r>
        <w:rPr>
          <w:rFonts w:ascii="Times New Roman" w:hAnsi="Times New Roman" w:eastAsia="Times New Roman" w:cs="Times New Roman"/>
          <w:lang w:val="en-US" w:bidi="en-US"/>
          <w:color w:val="111111"/>
          <w:sz w:val="28"/>
          <w:szCs w:val="28"/>
          <w:rtl/>
        </w:rPr>
        <w:t xml:space="preserve">hāfez-e lāhūrī, 'abd-or-rahman ebn-e qāsem (- 18c)</w:t>
      </w:r>
    </w:p>
    <w:p>
      <w:pPr>
        <w:pStyle w:val="BookText"/>
      </w:pPr>
      <w:r>
        <w:rPr>
          <w:rFonts w:ascii="IRNazanin" w:hAnsi="IRNazanin" w:eastAsia="IRNazanin" w:cs="IRNazanin"/>
          <w:lang w:bidi="fa-IR"/>
          <w:color w:val="111111"/>
          <w:sz w:val="28"/>
          <w:szCs w:val="28"/>
          <w:rtl/>
        </w:rPr>
        <w:t xml:space="preserve">گویا از قرن 11-12 ق که در پایان تاریخ انجام را 1200 آورده است. «پاکستان مین» او را بی آنکه روزگارش را نشان دهد، در قرن 11ق آورده است در 10 «باب»: 1. مؤمن و ایمان؛ 2 .توکل و متوکل؛ 3 .معرفت و عارف؛ 4 .عبادت و عابد ؛ 5. طلب و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25" w:name="pg20365_260029"/>
    <w:bookmarkEnd w:id="25"/>
    <w:p>
      <w:pPr>
        <w:pStyle w:val="BookText"/>
      </w:pPr>
      <w:r>
        <w:rPr>
          <w:rFonts w:ascii="IRNazanin" w:hAnsi="IRNazanin" w:eastAsia="IRNazanin" w:cs="IRNazanin"/>
          <w:lang w:bidi="fa-IR"/>
          <w:color w:val="111111"/>
          <w:sz w:val="28"/>
          <w:szCs w:val="28"/>
          <w:rtl/>
        </w:rPr>
        <w:t xml:space="preserve">طالب؛ 6. توفيق و اهل توفیق؛ 7 .خود و خداشناسی؛ 8.مرید مرید شدن؛ .9. پیر و مرید ؛10 .نکات غریب و عجیب و این یک با سربندهای «نکته».</w:t>
      </w:r>
    </w:p>
    <w:p>
      <w:pPr>
        <w:pStyle w:val="BookText"/>
      </w:pPr>
      <w:r>
        <w:rPr>
          <w:rFonts w:ascii="IRNazanin" w:hAnsi="IRNazanin" w:eastAsia="IRNazanin" w:cs="IRNazanin"/>
          <w:lang w:bidi="fa-IR"/>
          <w:color w:val="111111"/>
          <w:sz w:val="28"/>
          <w:szCs w:val="28"/>
          <w:rtl/>
        </w:rPr>
        <w:t xml:space="preserve">[ع مشترک 1235/3 نشانی 7 نسخه؛ فهرستواره 507؛ پاکستان مین 369/3 ]</w:t>
      </w:r>
    </w:p>
    <w:p>
      <w:pPr>
        <w:pStyle w:val="BookText"/>
      </w:pPr>
      <w:r>
        <w:rPr>
          <w:rFonts w:ascii="IRNazanin" w:hAnsi="IRNazanin" w:eastAsia="IRNazanin" w:cs="IRNazanin"/>
          <w:lang w:bidi="fa-IR"/>
          <w:color w:val="111111"/>
          <w:sz w:val="28"/>
          <w:szCs w:val="28"/>
          <w:rtl/>
        </w:rPr>
        <w:t xml:space="preserve">تهران؛ دائرة المعارف؛ شماره نسخه: 156/2 - عکسی و 158/1- عکسی</w:t>
      </w:r>
    </w:p>
    <w:p>
      <w:pPr>
        <w:pStyle w:val="BookText"/>
      </w:pPr>
      <w:r>
        <w:rPr>
          <w:rFonts w:ascii="IRNazanin" w:hAnsi="IRNazanin" w:eastAsia="IRNazanin" w:cs="IRNazanin"/>
          <w:lang w:bidi="fa-IR"/>
          <w:color w:val="111111"/>
          <w:sz w:val="28"/>
          <w:szCs w:val="28"/>
          <w:rtl/>
        </w:rPr>
        <w:t xml:space="preserve">آغاز: حمد بی حد مر خالقی را که خلقت جميع مخلوقات، شش ایام مرتب ساخت؛ انجام: الله تعالی توفیق و هدایت رفیق بخشد به حق محمد و آله و اصحابه و ازواجه و ذریاته و اهل بیته  و اتباعه الكبار برحمتك يا ستار. تم</w:t>
      </w:r>
    </w:p>
    <w:p>
      <w:pPr>
        <w:pStyle w:val="BookText"/>
      </w:pPr>
      <w:r>
        <w:rPr>
          <w:rFonts w:ascii="IRNazanin" w:hAnsi="IRNazanin" w:eastAsia="IRNazanin" w:cs="IRNazanin"/>
          <w:lang w:bidi="fa-IR"/>
          <w:color w:val="111111"/>
          <w:sz w:val="28"/>
          <w:szCs w:val="28"/>
          <w:rtl/>
        </w:rPr>
        <w:t xml:space="preserve">اصل :نسخه گنج بخش ش 6646 (گنج 549/2)؛ خط: نستعلیق ،تحریری، بی کا، تا: قرن 13؛ 28 ص (78-106) [ عکسی ف: 2-18]</w:t>
      </w:r>
    </w:p>
    <w:p>
      <w:pPr>
        <w:pStyle w:val="Heading3"/>
      </w:pPr>
      <w:bookmarkStart w:id="555" w:name="_Toc77"/>
      <w:r>
        <w:t>ارشاد السالكين / عرفان و تصوف / فارسی</w:t>
      </w:r>
      <w:bookmarkEnd w:id="555"/>
    </w:p>
    <w:p>
      <w:pPr>
        <w:pStyle w:val="BookText"/>
      </w:pPr>
      <w:r>
        <w:rPr>
          <w:rFonts w:ascii="Times New Roman" w:hAnsi="Times New Roman" w:eastAsia="Times New Roman" w:cs="Times New Roman"/>
          <w:lang w:val="en-US" w:bidi="en-US"/>
          <w:color w:val="111111"/>
          <w:sz w:val="28"/>
          <w:szCs w:val="28"/>
          <w:rtl/>
        </w:rPr>
        <w:t xml:space="preserve">ad-os sālekīn</w:t>
      </w:r>
    </w:p>
    <w:p>
      <w:pPr>
        <w:pStyle w:val="BookText"/>
      </w:pPr>
      <w:r>
        <w:rPr>
          <w:rFonts w:ascii="IRNazanin" w:hAnsi="IRNazanin" w:eastAsia="IRNazanin" w:cs="IRNazanin"/>
          <w:lang w:bidi="fa-IR"/>
          <w:color w:val="111111"/>
          <w:sz w:val="28"/>
          <w:szCs w:val="28"/>
          <w:rtl/>
        </w:rPr>
        <w:t xml:space="preserve">حسینی، اعظم بن محمد، ق12</w:t>
      </w:r>
    </w:p>
    <w:p>
      <w:pPr>
        <w:pStyle w:val="BookText"/>
      </w:pPr>
      <w:r>
        <w:rPr>
          <w:rFonts w:ascii="Times New Roman" w:hAnsi="Times New Roman" w:eastAsia="Times New Roman" w:cs="Times New Roman"/>
          <w:lang w:val="en-US" w:bidi="en-US"/>
          <w:color w:val="111111"/>
          <w:sz w:val="28"/>
          <w:szCs w:val="28"/>
          <w:rtl/>
        </w:rPr>
        <w:t xml:space="preserve">hoseynī, a‘zam ebn-e mohammad ( - 12c)</w:t>
      </w:r>
    </w:p>
    <w:p>
      <w:pPr>
        <w:pStyle w:val="BookText"/>
      </w:pPr>
      <w:r>
        <w:rPr>
          <w:rFonts w:ascii="IRNazanin" w:hAnsi="IRNazanin" w:eastAsia="IRNazanin" w:cs="IRNazanin"/>
          <w:lang w:bidi="fa-IR"/>
          <w:color w:val="111111"/>
          <w:sz w:val="28"/>
          <w:szCs w:val="28"/>
          <w:rtl/>
        </w:rPr>
        <w:t xml:space="preserve">رساله ای برگرفته از «معدن الاسرار» خود او در 1 «مقدمه» چهار «باب» و «خاتمه» مقدمه در بیان دستور العمل ذاكرين مرشدین و آداب ارادت و مریدین راه حق باب ؛1 .بیان نكات عقیده شریعت به قواعد سلوک ذکر لسانی یا رسیدن من ناسوت؛ 2 .بیان عقيده طريقت مع سلوک ذکر قلبی تا رسید منزل ملکوت به صفای مصقله ذکر قلبی و سنگ فسان ریاضت ؛ 3. بيان نكات عقيده حقیقت مع سلوک ذکر روحی تا رسیدن منزل جبروت به تجلیه روح؛4. بیان سلوک ذکر سیری و عقیده معرفت به قانونی که عارفان روح را در روح اسرار رب سبوح انکشاف تام کشف گردد؛ خاتمه در بیان مراتب تنزلات ظهر علمی و خارجی و رقم دوایر محسوس مراتب تنزلات معقول محسوس به تمثیل به مضمون نو و صورت جدید. در دیبا آمده است «و این رساله را مسمی به ارشاد السالکین کرده آنکه بطور ارشاد سالکان ترتیب یافته: ارشاد السالكين شد نام را ***کسی فهمد که بازد جسم و جان را / خدا را چون تو گشته یابی *** شوی اعظم نه بینی این و آن را و تاریخ را چنین منظوم ساخته است بحمد الله که شد ختم این رساله بر آیین رسول آن شاه خاتم / ز روی دانشم از بهر سالش *** آمد سلوک دین اعظم در فهرست ایوانف (340:2 س 476) از رساله دیگری به همین نام از مؤلف دیگر و در همین موضوع کرده است.</w:t>
      </w:r>
    </w:p>
    <w:p>
      <w:pPr>
        <w:pStyle w:val="BookText"/>
      </w:pPr>
      <w:r>
        <w:rPr>
          <w:rFonts w:ascii="IRNazanin" w:hAnsi="IRNazanin" w:eastAsia="IRNazanin" w:cs="IRNazanin"/>
          <w:lang w:bidi="fa-IR"/>
          <w:color w:val="111111"/>
          <w:sz w:val="28"/>
          <w:szCs w:val="28"/>
          <w:rtl/>
        </w:rPr>
        <w:t xml:space="preserve">تهران؛ دانشگاه؛ شماره نسخه: 8083/2</w:t>
      </w:r>
    </w:p>
    <w:p>
      <w:pPr>
        <w:pStyle w:val="BookText"/>
      </w:pPr>
      <w:r>
        <w:rPr>
          <w:rFonts w:ascii="IRNazanin" w:hAnsi="IRNazanin" w:eastAsia="IRNazanin" w:cs="IRNazanin"/>
          <w:lang w:bidi="fa-IR"/>
          <w:color w:val="111111"/>
          <w:sz w:val="28"/>
          <w:szCs w:val="28"/>
          <w:rtl/>
        </w:rPr>
        <w:t xml:space="preserve">آغاز: بسمله، يا من هو بالحمد على الحمد حقيق *** زانرو ازوست بهر حمدش توفيق... تمهيد اما بعد میگوید... بندگی فقرا الچشتی قدس الله سره... سید اعظم الحسینی الچشتی ابن سید محمد ابن میر محمد باقر ؛انجام :پس پرده همه کرده ظهور *** هر چه بود و هر چه بود و هر چه بود الصلوات والسلام على خير خلقه محمد و آله و اصحابه اجمعین</w:t>
      </w:r>
    </w:p>
    <w:p>
      <w:pPr>
        <w:pStyle w:val="BookText"/>
      </w:pPr>
      <w:r>
        <w:rPr>
          <w:rFonts w:ascii="IRNazanin" w:hAnsi="IRNazanin" w:eastAsia="IRNazanin" w:cs="IRNazanin"/>
          <w:lang w:bidi="fa-IR"/>
          <w:color w:val="111111"/>
          <w:sz w:val="28"/>
          <w:szCs w:val="28"/>
          <w:rtl/>
        </w:rPr>
        <w:t xml:space="preserve">خط: نستعلیق، کا: میرزا معصوم بیک پسر میرزا غلام محمد اشرف بیک از قصبه شاه ،قلی، تا: 24 رمضان 1263ق، برای الله بخش میان صاحب قبله کاغذ: ،هندی جلد: مقوا عطف و گوشه ها ،تریاکی 13 سطر ،(10/5</w:t>
      </w:r>
      <w:r>
        <w:rPr>
          <w:rFonts w:ascii="Times New Roman" w:hAnsi="Times New Roman" w:eastAsia="Times New Roman" w:cs="Times New Roman"/>
          <w:lang w:val="en-US" w:bidi="en-US"/>
          <w:color w:val="111111"/>
          <w:sz w:val="28"/>
          <w:szCs w:val="28"/>
          <w:rtl/>
        </w:rPr>
        <w:t xml:space="preserve">×117/5) </w:t>
      </w:r>
      <w:r>
        <w:rPr>
          <w:rFonts w:ascii="IRNazanin" w:hAnsi="IRNazanin" w:eastAsia="IRNazanin" w:cs="IRNazanin"/>
          <w:lang w:bidi="fa-IR"/>
          <w:color w:val="111111"/>
          <w:sz w:val="28"/>
          <w:szCs w:val="28"/>
          <w:rtl/>
        </w:rPr>
        <w:t xml:space="preserve">قطع :ربعی :اندازه 16</w:t>
      </w:r>
      <w:r>
        <w:rPr>
          <w:rFonts w:ascii="Times New Roman" w:hAnsi="Times New Roman" w:eastAsia="Times New Roman" w:cs="Times New Roman"/>
          <w:lang w:val="en-US" w:bidi="en-US"/>
          <w:color w:val="111111"/>
          <w:sz w:val="28"/>
          <w:szCs w:val="28"/>
          <w:rtl/>
        </w:rPr>
        <w:t xml:space="preserve">×25</w:t>
      </w:r>
      <w:r>
        <w:rPr>
          <w:rFonts w:ascii="IRNazanin" w:hAnsi="IRNazanin" w:eastAsia="IRNazanin" w:cs="IRNazanin"/>
          <w:lang w:bidi="fa-IR"/>
          <w:color w:val="111111"/>
          <w:sz w:val="28"/>
          <w:szCs w:val="28"/>
          <w:rtl/>
        </w:rPr>
        <w:t xml:space="preserve">سم [ف: 17 - 26]</w:t>
      </w:r>
    </w:p>
    <w:p>
      <w:pPr>
        <w:pStyle w:val="Heading3"/>
      </w:pPr>
      <w:bookmarkStart w:id="556" w:name="_Toc78"/>
      <w:r>
        <w:t>ارشاد السالکین / عرفان و تصوف / فارسی</w:t>
      </w:r>
      <w:bookmarkEnd w:id="556"/>
    </w:p>
    <w:p>
      <w:pPr>
        <w:pStyle w:val="BookText"/>
      </w:pPr>
      <w:r>
        <w:rPr>
          <w:rFonts w:ascii="Times New Roman" w:hAnsi="Times New Roman" w:eastAsia="Times New Roman" w:cs="Times New Roman"/>
          <w:lang w:val="en-US" w:bidi="en-US"/>
          <w:color w:val="111111"/>
          <w:sz w:val="28"/>
          <w:szCs w:val="28"/>
          <w:rtl/>
        </w:rPr>
        <w:t xml:space="preserve">eršād-os sālekīn</w:t>
      </w:r>
    </w:p>
    <w:p>
      <w:pPr>
        <w:pStyle w:val="BookText"/>
      </w:pPr>
      <w:r>
        <w:rPr>
          <w:rFonts w:ascii="IRNazanin" w:hAnsi="IRNazanin" w:eastAsia="IRNazanin" w:cs="IRNazanin"/>
          <w:lang w:bidi="fa-IR"/>
          <w:color w:val="111111"/>
          <w:sz w:val="28"/>
          <w:szCs w:val="28"/>
          <w:rtl/>
        </w:rPr>
        <w:t xml:space="preserve">عارف، محمد بن فضل الله</w:t>
      </w:r>
    </w:p>
    <w:p>
      <w:pPr>
        <w:pStyle w:val="BookText"/>
      </w:pPr>
      <w:r>
        <w:rPr>
          <w:rFonts w:ascii="Times New Roman" w:hAnsi="Times New Roman" w:eastAsia="Times New Roman" w:cs="Times New Roman"/>
          <w:lang w:val="en-US" w:bidi="en-US"/>
          <w:color w:val="111111"/>
          <w:sz w:val="28"/>
          <w:szCs w:val="28"/>
          <w:rtl/>
        </w:rPr>
        <w:t xml:space="preserve">āref, mohammad ebn-e fazl-ol-lāh</w:t>
      </w:r>
    </w:p>
    <w:p>
      <w:pPr>
        <w:pStyle w:val="BookText"/>
      </w:pPr>
      <w:r>
        <w:rPr>
          <w:rFonts w:ascii="IRNazanin" w:hAnsi="IRNazanin" w:eastAsia="IRNazanin" w:cs="IRNazanin"/>
          <w:lang w:bidi="fa-IR"/>
          <w:color w:val="111111"/>
          <w:sz w:val="28"/>
          <w:szCs w:val="28"/>
          <w:rtl/>
        </w:rPr>
        <w:t xml:space="preserve">درباره عقیده صوفیان است درباره وحدت وجود و این نام در صفحه عنوان آمده است و در آغاز خود این رساله دارد «رساله عقايد صوفيه».</w:t>
      </w:r>
    </w:p>
    <w:p>
      <w:pPr>
        <w:pStyle w:val="BookText"/>
      </w:pPr>
      <w:r>
        <w:rPr>
          <w:rFonts w:ascii="IRNazanin" w:hAnsi="IRNazanin" w:eastAsia="IRNazanin" w:cs="IRNazanin"/>
          <w:lang w:bidi="fa-IR"/>
          <w:color w:val="111111"/>
          <w:sz w:val="28"/>
          <w:szCs w:val="28"/>
          <w:rtl/>
        </w:rPr>
        <w:t xml:space="preserve">آغاز: بسمله الحمد لله رب العالمين .. بدان ای عزیز ارشدک که صوفیان قایل بوحدت وجوداند و بذوق و وجدان چنین یافته اند</w:t>
      </w:r>
    </w:p>
    <w:p>
      <w:pPr>
        <w:pStyle w:val="BookText"/>
      </w:pPr>
      <w:r>
        <w:rPr>
          <w:rFonts w:ascii="IRNazanin" w:hAnsi="IRNazanin" w:eastAsia="IRNazanin" w:cs="IRNazanin"/>
          <w:lang w:bidi="fa-IR"/>
          <w:color w:val="111111"/>
          <w:sz w:val="28"/>
          <w:szCs w:val="28"/>
          <w:rtl/>
        </w:rPr>
        <w:t xml:space="preserve">تهران؛ دانشگاه؛ شماره نسخه: 2683/3</w:t>
      </w:r>
    </w:p>
    <w:p>
      <w:pPr>
        <w:pStyle w:val="BookText"/>
      </w:pPr>
      <w:r>
        <w:rPr>
          <w:rFonts w:ascii="Amiri" w:hAnsi="Amiri" w:eastAsia="Amiri" w:cs="Amiri"/>
          <w:lang w:bidi="ar-SA"/>
          <w:color w:val="111111"/>
          <w:sz w:val="28"/>
          <w:szCs w:val="28"/>
          <w:rtl/>
        </w:rPr>
        <w:t xml:space="preserve">آغاز: برابر؛ انجام :و اعمل عليه و توصل</w:t>
      </w:r>
    </w:p>
    <w:p>
      <w:pPr>
        <w:pStyle w:val="BookText"/>
      </w:pPr>
      <w:r>
        <w:rPr>
          <w:rFonts w:ascii="IRNazanin" w:hAnsi="IRNazanin" w:eastAsia="IRNazanin" w:cs="IRNazanin"/>
          <w:lang w:bidi="fa-IR"/>
          <w:color w:val="111111"/>
          <w:sz w:val="28"/>
          <w:szCs w:val="28"/>
          <w:rtl/>
        </w:rPr>
        <w:t xml:space="preserve">خط: نستعليق، كا: محمد حسین کاتب، تا : ربیع الاول ( 235ق؛ 6گ (89پ - 95 ر) [ف: 10-1571]</w:t>
      </w:r>
    </w:p>
    <w:p>
      <w:pPr>
        <w:pStyle w:val="Heading3"/>
      </w:pPr>
      <w:bookmarkStart w:id="557" w:name="_Toc79"/>
      <w:r>
        <w:t>ارشاد السالكين / عرفان و تصوف / فارسی</w:t>
      </w:r>
      <w:bookmarkEnd w:id="557"/>
    </w:p>
    <w:p>
      <w:pPr>
        <w:pStyle w:val="BookText"/>
      </w:pPr>
      <w:r>
        <w:rPr>
          <w:rFonts w:ascii="Times New Roman" w:hAnsi="Times New Roman" w:eastAsia="Times New Roman" w:cs="Times New Roman"/>
          <w:lang w:val="en-US" w:bidi="en-US"/>
          <w:color w:val="111111"/>
          <w:sz w:val="28"/>
          <w:szCs w:val="28"/>
          <w:rtl/>
        </w:rPr>
        <w:t xml:space="preserve">eršād-os sālekīn</w:t>
      </w:r>
    </w:p>
    <w:p>
      <w:pPr>
        <w:pStyle w:val="BookText"/>
      </w:pPr>
      <w:r>
        <w:rPr>
          <w:rFonts w:ascii="Amiri" w:hAnsi="Amiri" w:eastAsia="Amiri" w:cs="Amiri"/>
          <w:lang w:bidi="ar-SA"/>
          <w:color w:val="111111"/>
          <w:sz w:val="28"/>
          <w:szCs w:val="28"/>
          <w:rtl/>
        </w:rPr>
        <w:t xml:space="preserve">مذكور على</w:t>
      </w:r>
    </w:p>
    <w:p>
      <w:pPr>
        <w:pStyle w:val="BookText"/>
      </w:pPr>
      <w:r>
        <w:rPr>
          <w:rFonts w:ascii="IRNazanin" w:hAnsi="IRNazanin" w:eastAsia="IRNazanin" w:cs="IRNazanin"/>
          <w:lang w:bidi="fa-IR"/>
          <w:color w:val="111111"/>
          <w:sz w:val="28"/>
          <w:szCs w:val="28"/>
          <w:rtl/>
        </w:rPr>
        <w:t xml:space="preserve">مشهد؛ رضوی؛ شماره نسخه:24453</w:t>
      </w:r>
    </w:p>
    <w:p>
      <w:pPr>
        <w:pStyle w:val="BookText"/>
      </w:pPr>
      <w:r>
        <w:rPr>
          <w:rFonts w:ascii="IRNazanin" w:hAnsi="IRNazanin" w:eastAsia="IRNazanin" w:cs="IRNazanin"/>
          <w:lang w:bidi="fa-IR"/>
          <w:color w:val="111111"/>
          <w:sz w:val="28"/>
          <w:szCs w:val="28"/>
          <w:rtl/>
        </w:rPr>
        <w:t xml:space="preserve">آغاز: بسمله .. ستایش بی پایان اما بعد چون بعضی از برادران طريق انجام این هر دو حاشیه مشعل همه چیز در هم چیز هستند.</w:t>
      </w:r>
    </w:p>
    <w:p>
      <w:pPr>
        <w:pStyle w:val="BookText"/>
      </w:pPr>
      <w:r>
        <w:rPr>
          <w:rFonts w:ascii="IRNazanin" w:hAnsi="IRNazanin" w:eastAsia="IRNazanin" w:cs="IRNazanin"/>
          <w:lang w:bidi="fa-IR"/>
          <w:color w:val="111111"/>
          <w:sz w:val="28"/>
          <w:szCs w:val="28"/>
          <w:rtl/>
        </w:rPr>
        <w:t xml:space="preserve">خط: نستعلیق ،خفی، بی کا، بی تا؛ کاغذ: حنایی [رایانه]</w:t>
      </w:r>
    </w:p>
    <w:p>
      <w:pPr>
        <w:pStyle w:val="Heading3"/>
      </w:pPr>
      <w:bookmarkStart w:id="558" w:name="_Toc80"/>
      <w:r>
        <w:t>ارشاد السالکین / عرفان و تصوف / فارسی</w:t>
      </w:r>
      <w:bookmarkEnd w:id="558"/>
    </w:p>
    <w:p>
      <w:pPr>
        <w:pStyle w:val="BookText"/>
      </w:pPr>
      <w:r>
        <w:rPr>
          <w:rFonts w:ascii="Times New Roman" w:hAnsi="Times New Roman" w:eastAsia="Times New Roman" w:cs="Times New Roman"/>
          <w:lang w:val="en-US" w:bidi="en-US"/>
          <w:color w:val="111111"/>
          <w:sz w:val="28"/>
          <w:szCs w:val="28"/>
          <w:rtl/>
        </w:rPr>
        <w:t xml:space="preserve">eršād-os sālekīn</w:t>
      </w:r>
    </w:p>
    <w:p>
      <w:pPr>
        <w:pStyle w:val="BookText"/>
      </w:pPr>
      <w:r>
        <w:rPr>
          <w:rFonts w:ascii="IRNazanin" w:hAnsi="IRNazanin" w:eastAsia="IRNazanin" w:cs="IRNazanin"/>
          <w:lang w:bidi="fa-IR"/>
          <w:color w:val="111111"/>
          <w:sz w:val="28"/>
          <w:szCs w:val="28"/>
          <w:rtl/>
        </w:rPr>
        <w:t xml:space="preserve">رساله ای در عرفان شیعی در هشت «فصل» با عناوین «ای درویش»: 1. سخن اهل تصوف در معرفت ذات خدای تعالی، در چهار باب؛ 2 .بیان اعتقاد اهل استدلال؛ 3. بیان اعتقاد اهل کشف؛ 4. بدانکه در این مرتبه بر این موحد هیچ چیز غالب نیست .. فصل اهل وحدت دو طایفه اند مؤلف از قونوی و حموی مطالبی می آورد.</w:t>
      </w:r>
    </w:p>
    <w:p>
      <w:pPr>
        <w:pStyle w:val="BookText"/>
      </w:pPr>
      <w:r>
        <w:rPr>
          <w:rFonts w:ascii="IRNazanin" w:hAnsi="IRNazanin" w:eastAsia="IRNazanin" w:cs="IRNazanin"/>
          <w:lang w:bidi="fa-IR"/>
          <w:color w:val="111111"/>
          <w:sz w:val="28"/>
          <w:szCs w:val="28"/>
          <w:rtl/>
        </w:rPr>
        <w:t xml:space="preserve">قم؛ گلپایگانی؛ شماره نسخه: 1100-6/190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26" w:name="pg20365_260030"/>
    <w:bookmarkEnd w:id="26"/>
    <w:p>
      <w:pPr>
        <w:pStyle w:val="BookText"/>
      </w:pPr>
      <w:r>
        <w:rPr>
          <w:rFonts w:ascii="IRNazanin" w:hAnsi="IRNazanin" w:eastAsia="IRNazanin" w:cs="IRNazanin"/>
          <w:lang w:bidi="fa-IR"/>
          <w:color w:val="111111"/>
          <w:sz w:val="28"/>
          <w:szCs w:val="28"/>
          <w:rtl/>
        </w:rPr>
        <w:t xml:space="preserve">آغاز: بسمله بدانکه اهل تصوف می گویند که سیر الی الله عبارت از آن است که سالک چندان سیر کند که خدای را بشناسد چون خدای را شناخت سیر الی الله؛ انجام: معلوم شود که آدمی آنچنانکه آدمی است دانش و آن علامت آن است که هر طلب کنی باید که از خود طلب کنی و از پیر من خود طلب نکنی اگر ذات خدا و صفات تمام شد.</w:t>
      </w:r>
    </w:p>
    <w:p>
      <w:pPr>
        <w:pStyle w:val="BookText"/>
      </w:pPr>
      <w:r>
        <w:rPr>
          <w:rFonts w:ascii="IRNazanin" w:hAnsi="IRNazanin" w:eastAsia="IRNazanin" w:cs="IRNazanin"/>
          <w:lang w:bidi="fa-IR"/>
          <w:color w:val="111111"/>
          <w:sz w:val="28"/>
          <w:szCs w:val="28"/>
          <w:rtl/>
        </w:rPr>
        <w:t xml:space="preserve">خط: نستعلیق، بی کا ،تا :دوشنبه شعبان 1282ق؛ در برگ همراه نسخه این رساله از یحیی نمیری هندی (؟) دانسته شده و احتمال دیگر درباره مؤلف نام ابی اربیع سلیمان بن ابراهیم علوی است ؛جلد :تیماج ،زعفرانی 88گ 7 سطر ، اندازه: 10/5</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ف: 1 - 308]</w:t>
      </w:r>
    </w:p>
    <w:p>
      <w:pPr>
        <w:pStyle w:val="Heading3"/>
      </w:pPr>
      <w:bookmarkStart w:id="559" w:name="_Toc81"/>
      <w:r>
        <w:t>ارشاد السالكين / عرفان و تصوف / فارسی</w:t>
      </w:r>
      <w:bookmarkEnd w:id="559"/>
    </w:p>
    <w:p>
      <w:pPr>
        <w:pStyle w:val="BookText"/>
      </w:pPr>
      <w:r>
        <w:rPr>
          <w:rFonts w:ascii="Times New Roman" w:hAnsi="Times New Roman" w:eastAsia="Times New Roman" w:cs="Times New Roman"/>
          <w:lang w:val="en-US" w:bidi="en-US"/>
          <w:color w:val="111111"/>
          <w:sz w:val="28"/>
          <w:szCs w:val="28"/>
          <w:rtl/>
        </w:rPr>
        <w:t xml:space="preserve">eršād-os sālekīn</w:t>
      </w:r>
    </w:p>
    <w:p>
      <w:pPr>
        <w:pStyle w:val="BookText"/>
      </w:pPr>
      <w:r>
        <w:rPr>
          <w:rFonts w:ascii="IRNazanin" w:hAnsi="IRNazanin" w:eastAsia="IRNazanin" w:cs="IRNazanin"/>
          <w:lang w:bidi="fa-IR"/>
          <w:color w:val="111111"/>
          <w:sz w:val="28"/>
          <w:szCs w:val="28"/>
          <w:rtl/>
        </w:rPr>
        <w:t xml:space="preserve">تهران ؛ملی؛ شماره نسخه: 17493</w:t>
      </w:r>
    </w:p>
    <w:p>
      <w:pPr>
        <w:pStyle w:val="BookText"/>
      </w:pPr>
      <w:r>
        <w:rPr>
          <w:rFonts w:ascii="IRNazanin" w:hAnsi="IRNazanin" w:eastAsia="IRNazanin" w:cs="IRNazanin"/>
          <w:lang w:bidi="fa-IR"/>
          <w:color w:val="111111"/>
          <w:sz w:val="28"/>
          <w:szCs w:val="28"/>
          <w:rtl/>
        </w:rPr>
        <w:t xml:space="preserve">ارشاد السالكين و. ..؛ بی کا ،بی تا ،خریداری از جعفر محسنی [رایانه ]</w:t>
      </w:r>
    </w:p>
    <w:p>
      <w:pPr>
        <w:pStyle w:val="BookText"/>
      </w:pPr>
      <w:r>
        <w:rPr>
          <w:rFonts w:ascii="IRNazanin" w:hAnsi="IRNazanin" w:eastAsia="IRNazanin" w:cs="IRNazanin"/>
          <w:lang w:bidi="fa-IR"/>
          <w:color w:val="111111"/>
          <w:sz w:val="28"/>
          <w:szCs w:val="28"/>
          <w:rtl/>
        </w:rPr>
        <w:t xml:space="preserve">«ارشاد السالكين و انیس العاشقين » دیوان مدهوش تهرانی</w:t>
      </w:r>
    </w:p>
    <w:p>
      <w:pPr>
        <w:pStyle w:val="Heading3"/>
      </w:pPr>
      <w:bookmarkStart w:id="560" w:name="_Toc82"/>
      <w:r>
        <w:t>ارشاد السائل الى اصول المسائل / هيئت /عربي</w:t>
      </w:r>
      <w:bookmarkEnd w:id="560"/>
    </w:p>
    <w:p>
      <w:pPr>
        <w:pStyle w:val="BookText"/>
      </w:pPr>
      <w:r>
        <w:rPr>
          <w:rFonts w:ascii="Times New Roman" w:hAnsi="Times New Roman" w:eastAsia="Times New Roman" w:cs="Times New Roman"/>
          <w:lang w:val="en-US" w:bidi="en-US"/>
          <w:color w:val="111111"/>
          <w:sz w:val="28"/>
          <w:szCs w:val="28"/>
          <w:rtl/>
        </w:rPr>
        <w:t xml:space="preserve">eršād-os-sā’el elā osūl-el-masā’el</w:t>
      </w:r>
    </w:p>
    <w:p>
      <w:pPr>
        <w:pStyle w:val="BookText"/>
      </w:pPr>
      <w:r>
        <w:rPr>
          <w:rFonts w:ascii="IRNazanin" w:hAnsi="IRNazanin" w:eastAsia="IRNazanin" w:cs="IRNazanin"/>
          <w:lang w:bidi="fa-IR"/>
          <w:color w:val="111111"/>
          <w:sz w:val="28"/>
          <w:szCs w:val="28"/>
          <w:rtl/>
        </w:rPr>
        <w:t xml:space="preserve">ابن ،مجدی، احمد بن رجب 767 - 850 قمری</w:t>
      </w:r>
    </w:p>
    <w:p>
      <w:pPr>
        <w:pStyle w:val="BookText"/>
      </w:pPr>
      <w:r>
        <w:rPr>
          <w:rFonts w:ascii="Times New Roman" w:hAnsi="Times New Roman" w:eastAsia="Times New Roman" w:cs="Times New Roman"/>
          <w:lang w:val="en-US" w:bidi="en-US"/>
          <w:color w:val="111111"/>
          <w:sz w:val="28"/>
          <w:szCs w:val="28"/>
          <w:rtl/>
        </w:rPr>
        <w:t xml:space="preserve">ebn-e majdī, ahmad ebn-e rajab (1366 - 1447)</w:t>
      </w:r>
    </w:p>
    <w:p>
      <w:pPr>
        <w:pStyle w:val="BookText"/>
      </w:pPr>
      <w:r>
        <w:rPr>
          <w:rFonts w:ascii="IRNazanin" w:hAnsi="IRNazanin" w:eastAsia="IRNazanin" w:cs="IRNazanin"/>
          <w:lang w:bidi="fa-IR"/>
          <w:color w:val="111111"/>
          <w:sz w:val="28"/>
          <w:szCs w:val="28"/>
          <w:rtl/>
        </w:rPr>
        <w:t xml:space="preserve">در شرح «الدر المنثور فى العمل بربع الدستور» ماردینی(- 806ق)، دارای «مقدمه» و 60 «باب» و «خاتمه» برای نشانی: «الباب 30، فى معرفة السمت من حصته و تعديله و الارتفاع ، السمت قوس من دائرة الافق ما بين اول السموت و دايرة الارتفاع لان سطح دايرة اول السموت مع سطح دايرة الارتفاع المفروض .»</w:t>
      </w:r>
    </w:p>
    <w:p>
      <w:pPr>
        <w:pStyle w:val="BookText"/>
      </w:pPr>
      <w:r>
        <w:rPr>
          <w:rFonts w:ascii="IRNazanin" w:hAnsi="IRNazanin" w:eastAsia="IRNazanin" w:cs="IRNazanin"/>
          <w:lang w:bidi="fa-IR"/>
          <w:color w:val="111111"/>
          <w:sz w:val="28"/>
          <w:szCs w:val="28"/>
          <w:rtl/>
        </w:rPr>
        <w:t xml:space="preserve">آغاز: الحمد لله الذى افاض على القلوب مواهب عرافنة وشرف الانسان بمدارکه و بیانه .. و بعد فان الوسائل تشرف لشرفه</w:t>
      </w:r>
    </w:p>
    <w:p>
      <w:pPr>
        <w:pStyle w:val="BookText"/>
      </w:pPr>
      <w:r>
        <w:rPr>
          <w:rFonts w:ascii="Amiri" w:hAnsi="Amiri" w:eastAsia="Amiri" w:cs="Amiri"/>
          <w:lang w:bidi="ar-SA"/>
          <w:color w:val="111111"/>
          <w:sz w:val="28"/>
          <w:szCs w:val="28"/>
          <w:rtl/>
        </w:rPr>
        <w:t xml:space="preserve">[الفلك والتنجيم ، كشف الظنون 733/1؛ معجم المؤلفين 221/1؛ بروكل 128/2 ؛ الاوقاف العامة موصل 147/4]</w:t>
      </w:r>
    </w:p>
    <w:p>
      <w:pPr>
        <w:pStyle w:val="BookText"/>
      </w:pPr>
      <w:r>
        <w:rPr>
          <w:rFonts w:ascii="IRNazanin" w:hAnsi="IRNazanin" w:eastAsia="IRNazanin" w:cs="IRNazanin"/>
          <w:lang w:bidi="fa-IR"/>
          <w:color w:val="111111"/>
          <w:sz w:val="28"/>
          <w:szCs w:val="28"/>
          <w:rtl/>
        </w:rPr>
        <w:t xml:space="preserve">تهران؛ دائرة المعارف؛ شماره نسخه: 454- عکسی</w:t>
      </w:r>
    </w:p>
    <w:p>
      <w:pPr>
        <w:pStyle w:val="BookText"/>
      </w:pPr>
      <w:r>
        <w:rPr>
          <w:rFonts w:ascii="IRNazanin" w:hAnsi="IRNazanin" w:eastAsia="IRNazanin" w:cs="IRNazanin"/>
          <w:lang w:bidi="fa-IR"/>
          <w:color w:val="111111"/>
          <w:sz w:val="28"/>
          <w:szCs w:val="28"/>
          <w:rtl/>
        </w:rPr>
        <w:t xml:space="preserve">در چهار مجلد؛ خط: نسخ پخته کهن، كا: ابراهيم بن محمد احمد بن على عرجانی (گویا) تا: 28 رجب 868ق؛ 250 گ [عکسی ف: 2 - 18]</w:t>
      </w:r>
    </w:p>
    <w:p>
      <w:pPr>
        <w:pStyle w:val="Heading3"/>
      </w:pPr>
      <w:bookmarkStart w:id="561" w:name="_Toc83"/>
      <w:r>
        <w:t>ارشاد الصالحين / فقه / فارسی</w:t>
      </w:r>
      <w:bookmarkEnd w:id="561"/>
    </w:p>
    <w:p>
      <w:pPr>
        <w:pStyle w:val="BookText"/>
      </w:pPr>
      <w:r>
        <w:rPr>
          <w:rFonts w:ascii="Times New Roman" w:hAnsi="Times New Roman" w:eastAsia="Times New Roman" w:cs="Times New Roman"/>
          <w:lang w:val="en-US" w:bidi="en-US"/>
          <w:color w:val="111111"/>
          <w:sz w:val="28"/>
          <w:szCs w:val="28"/>
          <w:rtl/>
        </w:rPr>
        <w:t xml:space="preserve">eršād-os-sālehīn</w:t>
      </w:r>
    </w:p>
    <w:p>
      <w:pPr>
        <w:pStyle w:val="BookText"/>
      </w:pPr>
      <w:r>
        <w:rPr>
          <w:rFonts w:ascii="IRNazanin" w:hAnsi="IRNazanin" w:eastAsia="IRNazanin" w:cs="IRNazanin"/>
          <w:lang w:bidi="fa-IR"/>
          <w:color w:val="111111"/>
          <w:sz w:val="28"/>
          <w:szCs w:val="28"/>
          <w:rtl/>
        </w:rPr>
        <w:t xml:space="preserve">حسینی قمی ابو طالب بن ابی الحسن</w:t>
      </w:r>
    </w:p>
    <w:p>
      <w:pPr>
        <w:pStyle w:val="BookText"/>
      </w:pPr>
      <w:r>
        <w:rPr>
          <w:rFonts w:ascii="Times New Roman" w:hAnsi="Times New Roman" w:eastAsia="Times New Roman" w:cs="Times New Roman"/>
          <w:lang w:val="en-US" w:bidi="en-US"/>
          <w:color w:val="111111"/>
          <w:sz w:val="28"/>
          <w:szCs w:val="28"/>
          <w:rtl/>
        </w:rPr>
        <w:t xml:space="preserve">ad-os-salehin</w:t>
      </w:r>
    </w:p>
    <w:p>
      <w:pPr>
        <w:pStyle w:val="BookText"/>
      </w:pPr>
      <w:r>
        <w:rPr>
          <w:rFonts w:ascii="Times New Roman" w:hAnsi="Times New Roman" w:eastAsia="Times New Roman" w:cs="Times New Roman"/>
          <w:lang w:val="en-US" w:bidi="en-US"/>
          <w:color w:val="111111"/>
          <w:sz w:val="28"/>
          <w:szCs w:val="28"/>
          <w:rtl/>
        </w:rPr>
        <w:t xml:space="preserve">hoseyni qomi, abū-tāleb ebn-e ab-el-hasan</w:t>
      </w:r>
    </w:p>
    <w:p>
      <w:pPr>
        <w:pStyle w:val="BookText"/>
      </w:pPr>
      <w:r>
        <w:rPr>
          <w:rFonts w:ascii="IRNazanin" w:hAnsi="IRNazanin" w:eastAsia="IRNazanin" w:cs="IRNazanin"/>
          <w:lang w:bidi="fa-IR"/>
          <w:color w:val="111111"/>
          <w:sz w:val="28"/>
          <w:szCs w:val="28"/>
          <w:rtl/>
        </w:rPr>
        <w:t xml:space="preserve">رساله ای ساده در یک «مقدمه» و چند «کتاب» در نماز و آداب و مقدمات و شکیات و سهویات آن که ظاهراً برای عوام الناس نوشته شده است. ،نویسنده، مؤلف رساله «هدايه الطالبین »است.</w:t>
      </w:r>
    </w:p>
    <w:p>
      <w:pPr>
        <w:pStyle w:val="BookText"/>
      </w:pPr>
      <w:r>
        <w:rPr>
          <w:rFonts w:ascii="IRNazanin" w:hAnsi="IRNazanin" w:eastAsia="IRNazanin" w:cs="IRNazanin"/>
          <w:lang w:bidi="fa-IR"/>
          <w:color w:val="111111"/>
          <w:sz w:val="28"/>
          <w:szCs w:val="28"/>
          <w:rtl/>
        </w:rPr>
        <w:t xml:space="preserve">آغاز: بسمله الحمد لله رب العالمين والصلوة و السلام على اشرف خلقه محمد و آله المعصومين الى يوم الدين بنده حقیر عاصی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ملی؛ شماره نسخه: 1942</w:t>
      </w:r>
    </w:p>
    <w:p>
      <w:pPr>
        <w:pStyle w:val="BookText"/>
      </w:pPr>
      <w:r>
        <w:rPr>
          <w:rFonts w:ascii="IRNazanin" w:hAnsi="IRNazanin" w:eastAsia="IRNazanin" w:cs="IRNazanin"/>
          <w:lang w:bidi="fa-IR"/>
          <w:color w:val="111111"/>
          <w:sz w:val="28"/>
          <w:szCs w:val="28"/>
          <w:rtl/>
        </w:rPr>
        <w:t xml:space="preserve">آغاز: برابر؛ انجام: برای او اینکه بقدری نماز قضا را بکند که دیگر یقین باشتغال ذمه خود نداشته لكن اول احوط است</w:t>
      </w:r>
    </w:p>
    <w:p>
      <w:pPr>
        <w:pStyle w:val="BookText"/>
      </w:pPr>
      <w:r>
        <w:rPr>
          <w:rFonts w:ascii="IRNazanin" w:hAnsi="IRNazanin" w:eastAsia="IRNazanin" w:cs="IRNazanin"/>
          <w:lang w:bidi="fa-IR"/>
          <w:color w:val="111111"/>
          <w:sz w:val="28"/>
          <w:szCs w:val="28"/>
          <w:rtl/>
        </w:rPr>
        <w:t xml:space="preserve">خط: نسخ، بی کا، تا: قرن 13؛ محشی؛ کاغذ: فرنگی، جلد: تیماج، ،ماشی ،مقوایی 147گ، 20 سطر (9/5</w:t>
      </w:r>
      <w:r>
        <w:rPr>
          <w:rFonts w:ascii="Times New Roman" w:hAnsi="Times New Roman" w:eastAsia="Times New Roman" w:cs="Times New Roman"/>
          <w:lang w:val="en-US" w:bidi="en-US"/>
          <w:color w:val="111111"/>
          <w:sz w:val="28"/>
          <w:szCs w:val="28"/>
          <w:rtl/>
        </w:rPr>
        <w:t xml:space="preserve">×14/5)</w:t>
      </w:r>
      <w:r>
        <w:rPr>
          <w:rFonts w:ascii="IRNazanin" w:hAnsi="IRNazanin" w:eastAsia="IRNazanin" w:cs="IRNazanin"/>
          <w:lang w:bidi="fa-IR"/>
          <w:color w:val="111111"/>
          <w:sz w:val="28"/>
          <w:szCs w:val="28"/>
          <w:rtl/>
        </w:rPr>
        <w:t xml:space="preserve">، اندازه: 14/5</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4 - 407]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مجلس؛ شماره نسخه: 17515 ض</w:t>
      </w:r>
    </w:p>
    <w:p>
      <w:pPr>
        <w:pStyle w:val="BookText"/>
      </w:pPr>
      <w:r>
        <w:rPr>
          <w:rFonts w:ascii="IRNazanin" w:hAnsi="IRNazanin" w:eastAsia="IRNazanin" w:cs="IRNazanin"/>
          <w:lang w:bidi="fa-IR"/>
          <w:color w:val="111111"/>
          <w:sz w:val="28"/>
          <w:szCs w:val="28"/>
          <w:rtl/>
        </w:rPr>
        <w:t xml:space="preserve">بی کا، بی تا [د.ث]</w:t>
      </w:r>
    </w:p>
    <w:p>
      <w:pPr>
        <w:pStyle w:val="Heading3"/>
      </w:pPr>
      <w:bookmarkStart w:id="562" w:name="_Toc84"/>
      <w:r>
        <w:t>ارشاد الصفيه / اردو</w:t>
      </w:r>
      <w:bookmarkEnd w:id="562"/>
    </w:p>
    <w:p>
      <w:pPr>
        <w:pStyle w:val="BookText"/>
      </w:pPr>
      <w:r>
        <w:rPr>
          <w:rFonts w:ascii="Times New Roman" w:hAnsi="Times New Roman" w:eastAsia="Times New Roman" w:cs="Times New Roman"/>
          <w:lang w:val="en-US" w:bidi="en-US"/>
          <w:color w:val="111111"/>
          <w:sz w:val="28"/>
          <w:szCs w:val="28"/>
          <w:rtl/>
        </w:rPr>
        <w:t xml:space="preserve">ersad-os-safiye</w:t>
      </w:r>
    </w:p>
    <w:p>
      <w:pPr>
        <w:pStyle w:val="BookText"/>
      </w:pPr>
      <w:r>
        <w:rPr>
          <w:rFonts w:ascii="IRNazanin" w:hAnsi="IRNazanin" w:eastAsia="IRNazanin" w:cs="IRNazanin"/>
          <w:lang w:bidi="fa-IR"/>
          <w:color w:val="111111"/>
          <w:sz w:val="28"/>
          <w:szCs w:val="28"/>
          <w:rtl/>
        </w:rPr>
        <w:t xml:space="preserve">تهران؛ دانشگاه؛ شماره نسخه: 726/14-ف</w:t>
      </w:r>
    </w:p>
    <w:p>
      <w:pPr>
        <w:pStyle w:val="BookText"/>
      </w:pPr>
      <w:r>
        <w:rPr>
          <w:rFonts w:ascii="IRNazanin" w:hAnsi="IRNazanin" w:eastAsia="IRNazanin" w:cs="IRNazanin"/>
          <w:lang w:bidi="fa-IR"/>
          <w:color w:val="111111"/>
          <w:sz w:val="28"/>
          <w:szCs w:val="28"/>
          <w:rtl/>
        </w:rPr>
        <w:t xml:space="preserve">نسخه اصل: موزه بریتانیا 11310 </w:t>
      </w:r>
      <w:r>
        <w:rPr>
          <w:rFonts w:ascii="Times New Roman" w:hAnsi="Times New Roman" w:eastAsia="Times New Roman" w:cs="Times New Roman"/>
          <w:lang w:val="en-US" w:bidi="en-US"/>
          <w:color w:val="111111"/>
          <w:sz w:val="28"/>
          <w:szCs w:val="28"/>
          <w:rtl/>
        </w:rPr>
        <w:t xml:space="preserve">Or </w:t>
      </w:r>
      <w:r>
        <w:rPr>
          <w:rFonts w:ascii="IRNazanin" w:hAnsi="IRNazanin" w:eastAsia="IRNazanin" w:cs="IRNazanin"/>
          <w:lang w:bidi="fa-IR"/>
          <w:color w:val="111111"/>
          <w:sz w:val="28"/>
          <w:szCs w:val="28"/>
          <w:rtl/>
        </w:rPr>
        <w:t xml:space="preserve">بی کا، بی تا؛ 17گ (140پ -157ر) [فيلم ها - ف: 1 - 530]</w:t>
      </w:r>
    </w:p>
    <w:p>
      <w:pPr>
        <w:pStyle w:val="Heading3"/>
      </w:pPr>
      <w:bookmarkStart w:id="563" w:name="_Toc85"/>
      <w:r>
        <w:t>ارشاد الصواب = رموز قراء / قرائت / عربی</w:t>
      </w:r>
      <w:bookmarkEnd w:id="563"/>
    </w:p>
    <w:p>
      <w:pPr>
        <w:pStyle w:val="BookText"/>
      </w:pPr>
      <w:r>
        <w:rPr>
          <w:rFonts w:ascii="Times New Roman" w:hAnsi="Times New Roman" w:eastAsia="Times New Roman" w:cs="Times New Roman"/>
          <w:lang w:val="en-US" w:bidi="en-US"/>
          <w:color w:val="111111"/>
          <w:sz w:val="28"/>
          <w:szCs w:val="28"/>
          <w:rtl/>
        </w:rPr>
        <w:t xml:space="preserve">iršad-us-Sawab = romuz-e qorra</w:t>
      </w:r>
    </w:p>
    <w:p>
      <w:pPr>
        <w:pStyle w:val="BookText"/>
      </w:pPr>
      <w:r>
        <w:rPr>
          <w:rFonts w:ascii="IRNazanin" w:hAnsi="IRNazanin" w:eastAsia="IRNazanin" w:cs="IRNazanin"/>
          <w:lang w:bidi="fa-IR"/>
          <w:color w:val="111111"/>
          <w:sz w:val="28"/>
          <w:szCs w:val="28"/>
          <w:rtl/>
        </w:rPr>
        <w:t xml:space="preserve">مؤلف قرائت های مختلفی را که از قراء سبعه دربعضی از آیات قرآن کریم وارد شده به صورت جداول و با رموز قراء بیان کرده است.</w:t>
      </w:r>
    </w:p>
    <w:p>
      <w:pPr>
        <w:pStyle w:val="BookText"/>
      </w:pPr>
      <w:r>
        <w:rPr>
          <w:rFonts w:ascii="Amiri" w:hAnsi="Amiri" w:eastAsia="Amiri" w:cs="Amiri"/>
          <w:lang w:bidi="ar-SA"/>
          <w:color w:val="111111"/>
          <w:sz w:val="28"/>
          <w:szCs w:val="28"/>
          <w:rtl/>
        </w:rPr>
        <w:t xml:space="preserve">آغاز: سورة فاتحة الكتاب بسمله ملك بلا الف ا و ح ك ف ث ابو جعفر الصراط و صراط حيث وقعا وكيف وقعا بالسين.</w:t>
      </w:r>
    </w:p>
    <w:p>
      <w:pPr>
        <w:pStyle w:val="BookText"/>
      </w:pPr>
      <w:r>
        <w:rPr>
          <w:rFonts w:ascii="IRNazanin" w:hAnsi="IRNazanin" w:eastAsia="IRNazanin" w:cs="IRNazanin"/>
          <w:lang w:bidi="fa-IR"/>
          <w:color w:val="111111"/>
          <w:sz w:val="28"/>
          <w:szCs w:val="28"/>
          <w:rtl/>
        </w:rPr>
        <w:t xml:space="preserve">انجام: النفثات فى طريق الطبعة الجزرية ط تمت الكتاب بعون الملک الوهاب و المامول منه ارشاد الصواب.</w:t>
      </w:r>
    </w:p>
    <w:p>
      <w:pPr>
        <w:pStyle w:val="BookText"/>
      </w:pPr>
      <w:r>
        <w:rPr>
          <w:rFonts w:ascii="IRNazanin" w:hAnsi="IRNazanin" w:eastAsia="IRNazanin" w:cs="IRNazanin"/>
          <w:lang w:bidi="fa-IR"/>
          <w:color w:val="111111"/>
          <w:sz w:val="28"/>
          <w:szCs w:val="28"/>
          <w:rtl/>
        </w:rPr>
        <w:t xml:space="preserve">قم؛ مرکز مطالعات؛ شماره نسخه: 888</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مجدول، اول نسخه رموز قراء بیان شده است؛ تملک: عبدالله بن عبدالعظيم الخوانساری در 1179؛ اهدایی جواد کمالیان به تاریخ 1354؛ جلد: تیماج قهوه ای، 42گ، اندازه: 12</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[ف: 2 - 153]</w:t>
      </w:r>
    </w:p>
    <w:p>
      <w:pPr>
        <w:pStyle w:val="Heading3"/>
      </w:pPr>
      <w:bookmarkStart w:id="564" w:name="_Toc86"/>
      <w:r>
        <w:t>ارشاد الضال = المتعصب للآل فرقة الناجية / كلام و اعتقادات / فارسی</w:t>
      </w:r>
      <w:bookmarkEnd w:id="564"/>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27" w:name="pg20365_260031"/>
    <w:bookmarkEnd w:id="27"/>
    <w:p>
      <w:pPr>
        <w:pStyle w:val="BookText"/>
      </w:pPr>
      <w:r>
        <w:rPr>
          <w:rFonts w:ascii="Times New Roman" w:hAnsi="Times New Roman" w:eastAsia="Times New Roman" w:cs="Times New Roman"/>
          <w:lang w:val="en-US" w:bidi="en-US"/>
          <w:color w:val="111111"/>
          <w:sz w:val="28"/>
          <w:szCs w:val="28"/>
          <w:rtl/>
        </w:rPr>
        <w:t xml:space="preserve">eršād-oz zāl = al-mota‘asseb le-l-āl-e ferqat-en nājīya</w:t>
      </w:r>
    </w:p>
    <w:p>
      <w:pPr>
        <w:pStyle w:val="BookText"/>
      </w:pPr>
      <w:r>
        <w:rPr>
          <w:rFonts w:ascii="Amiri" w:hAnsi="Amiri" w:eastAsia="Amiri" w:cs="Amiri"/>
          <w:lang w:bidi="ar-SA"/>
          <w:color w:val="111111"/>
          <w:sz w:val="28"/>
          <w:szCs w:val="28"/>
          <w:rtl/>
        </w:rPr>
        <w:t xml:space="preserve">محمد كبير</w:t>
      </w:r>
    </w:p>
    <w:p>
      <w:pPr>
        <w:pStyle w:val="BookText"/>
      </w:pPr>
      <w:r>
        <w:rPr>
          <w:rFonts w:ascii="Times New Roman" w:hAnsi="Times New Roman" w:eastAsia="Times New Roman" w:cs="Times New Roman"/>
          <w:lang w:val="en-US" w:bidi="en-US"/>
          <w:color w:val="111111"/>
          <w:sz w:val="28"/>
          <w:szCs w:val="28"/>
          <w:rtl/>
        </w:rPr>
        <w:t xml:space="preserve">mohammad kabīr</w:t>
      </w:r>
    </w:p>
    <w:p>
      <w:pPr>
        <w:pStyle w:val="BookText"/>
      </w:pPr>
      <w:r>
        <w:rPr>
          <w:rFonts w:ascii="IRNazanin" w:hAnsi="IRNazanin" w:eastAsia="IRNazanin" w:cs="IRNazanin"/>
          <w:lang w:bidi="fa-IR"/>
          <w:color w:val="111111"/>
          <w:sz w:val="28"/>
          <w:szCs w:val="28"/>
          <w:rtl/>
        </w:rPr>
        <w:t xml:space="preserve">مشهد؛ رضوی؛ شماره نسخه: 18885</w:t>
      </w:r>
    </w:p>
    <w:p>
      <w:pPr>
        <w:pStyle w:val="BookText"/>
      </w:pPr>
      <w:r>
        <w:rPr>
          <w:rFonts w:ascii="IRNazanin" w:hAnsi="IRNazanin" w:eastAsia="IRNazanin" w:cs="IRNazanin"/>
          <w:lang w:bidi="fa-IR"/>
          <w:color w:val="111111"/>
          <w:sz w:val="28"/>
          <w:szCs w:val="28"/>
          <w:rtl/>
        </w:rPr>
        <w:t xml:space="preserve">آغاز: بسمله بعد از حمد خدای تعالی و صلوات و سلام بر مصطفی و آل؛ انجام: مانند مروان و ابوسفیان و اشعت بن قیس</w:t>
      </w:r>
    </w:p>
    <w:p>
      <w:pPr>
        <w:pStyle w:val="BookText"/>
      </w:pPr>
      <w:r>
        <w:rPr>
          <w:rFonts w:ascii="IRNazanin" w:hAnsi="IRNazanin" w:eastAsia="IRNazanin" w:cs="IRNazanin"/>
          <w:lang w:bidi="fa-IR"/>
          <w:color w:val="111111"/>
          <w:sz w:val="28"/>
          <w:szCs w:val="28"/>
          <w:rtl/>
        </w:rPr>
        <w:t xml:space="preserve">خط: نستعلیق، شکسته، بی کا، بی تا؛ افتادگی: انجام [رایانه ]</w:t>
      </w:r>
    </w:p>
    <w:p>
      <w:pPr>
        <w:pStyle w:val="Heading3"/>
      </w:pPr>
      <w:bookmarkStart w:id="565" w:name="_Toc87"/>
      <w:r>
        <w:t>ارشاد الطالب الى منظومة الكواكب / اصول فقه / عربی</w:t>
      </w:r>
      <w:bookmarkEnd w:id="565"/>
    </w:p>
    <w:p>
      <w:pPr>
        <w:pStyle w:val="BookText"/>
      </w:pPr>
      <w:r>
        <w:rPr>
          <w:rFonts w:ascii="Times New Roman" w:hAnsi="Times New Roman" w:eastAsia="Times New Roman" w:cs="Times New Roman"/>
          <w:lang w:val="en-US" w:bidi="en-US"/>
          <w:color w:val="111111"/>
          <w:sz w:val="28"/>
          <w:szCs w:val="28"/>
          <w:rtl/>
        </w:rPr>
        <w:t xml:space="preserve">iršād-uṭ-ṭālib ila manẓūmat-il-kawākib</w:t>
      </w:r>
    </w:p>
    <w:p>
      <w:pPr>
        <w:pStyle w:val="BookText"/>
      </w:pPr>
      <w:r>
        <w:rPr>
          <w:rFonts w:ascii="IRNazanin" w:hAnsi="IRNazanin" w:eastAsia="IRNazanin" w:cs="IRNazanin"/>
          <w:lang w:bidi="fa-IR"/>
          <w:color w:val="111111"/>
          <w:sz w:val="28"/>
          <w:szCs w:val="28"/>
          <w:rtl/>
        </w:rPr>
        <w:t xml:space="preserve">کواکبی محمد بن حسن، 1018 - 1096 قمری</w:t>
      </w:r>
    </w:p>
    <w:p>
      <w:pPr>
        <w:pStyle w:val="BookText"/>
      </w:pPr>
      <w:r>
        <w:rPr>
          <w:rFonts w:ascii="Times New Roman" w:hAnsi="Times New Roman" w:eastAsia="Times New Roman" w:cs="Times New Roman"/>
          <w:lang w:val="en-US" w:bidi="en-US"/>
          <w:color w:val="111111"/>
          <w:sz w:val="28"/>
          <w:szCs w:val="28"/>
          <w:rtl/>
        </w:rPr>
        <w:t xml:space="preserve">kavākebī, mohammad ebn-e hasan (1610 - 1685)</w:t>
      </w:r>
    </w:p>
    <w:p>
      <w:pPr>
        <w:pStyle w:val="BookText"/>
      </w:pPr>
      <w:r>
        <w:rPr>
          <w:rFonts w:ascii="IRNazanin" w:hAnsi="IRNazanin" w:eastAsia="IRNazanin" w:cs="IRNazanin"/>
          <w:lang w:bidi="fa-IR"/>
          <w:color w:val="111111"/>
          <w:sz w:val="28"/>
          <w:szCs w:val="28"/>
          <w:rtl/>
        </w:rPr>
        <w:t xml:space="preserve">شرح منظومه ای از شارح در اصول است. در مقدمه شرح چنین آورده است: «زمانی که منظومه ای در فقه به نام «الفرائد السنیة» ساختم، سپس آن را شرح و «الفوائد السمية» ناميدم به علت مفید و مختصر و رسا بودن ،مطالب طلاب از من درخواست نمودند تا چنین کتابی در اصول فقه که اصل و پایه مسائل فقهی است ترتیب دهم، از این رو بدین کار پرداختم»شارح نخست چند بیت از منظومه را آورده، سپس به تفصیل به شرح آن پرداخت است.</w:t>
      </w:r>
    </w:p>
    <w:p>
      <w:pPr>
        <w:pStyle w:val="BookText"/>
      </w:pPr>
      <w:r>
        <w:rPr>
          <w:rFonts w:ascii="IRNazanin" w:hAnsi="IRNazanin" w:eastAsia="IRNazanin" w:cs="IRNazanin"/>
          <w:lang w:bidi="fa-IR"/>
          <w:color w:val="111111"/>
          <w:sz w:val="28"/>
          <w:szCs w:val="28"/>
          <w:rtl/>
        </w:rPr>
        <w:t xml:space="preserve">آغاز: سبحان من سطر في صحائف الاكوان آيات توحيده تحمیده و نصب على صفائح الاعراض والاعيان رايات تقدسيه</w:t>
      </w:r>
    </w:p>
    <w:p>
      <w:pPr>
        <w:pStyle w:val="BookText"/>
      </w:pPr>
      <w:r>
        <w:rPr>
          <w:rFonts w:ascii="Amiri" w:hAnsi="Amiri" w:eastAsia="Amiri" w:cs="Amiri"/>
          <w:lang w:bidi="ar-SA"/>
          <w:color w:val="111111"/>
          <w:sz w:val="28"/>
          <w:szCs w:val="28"/>
          <w:rtl/>
        </w:rPr>
        <w:t xml:space="preserve">تمجيده... و بعد... لما وفقنى الله تعالى لتأليف الكتاب</w:t>
      </w:r>
    </w:p>
    <w:p>
      <w:pPr>
        <w:pStyle w:val="BookText"/>
      </w:pPr>
      <w:r>
        <w:rPr>
          <w:rFonts w:ascii="Amiri" w:hAnsi="Amiri" w:eastAsia="Amiri" w:cs="Amiri"/>
          <w:lang w:bidi="ar-SA"/>
          <w:color w:val="111111"/>
          <w:sz w:val="28"/>
          <w:szCs w:val="28"/>
          <w:rtl/>
        </w:rPr>
        <w:t xml:space="preserve">انجام: ثم صلاته مع السلام السلام *** على النبي المصطفى التهامى / و آله و صحبه الامجاد *** و التابعين مرشدى العباد</w:t>
      </w:r>
    </w:p>
    <w:p>
      <w:pPr>
        <w:pStyle w:val="BookText"/>
      </w:pPr>
      <w:r>
        <w:rPr>
          <w:rFonts w:ascii="IRNazanin" w:hAnsi="IRNazanin" w:eastAsia="IRNazanin" w:cs="IRNazanin"/>
          <w:lang w:bidi="fa-IR"/>
          <w:color w:val="111111"/>
          <w:sz w:val="28"/>
          <w:szCs w:val="28"/>
          <w:rtl/>
        </w:rPr>
        <w:t xml:space="preserve">چاپ: در حاشیه الفوائد السمیه از همین نویسنده ،بولاق 1322 ق ؛[ايضاح المكنون: 61/1؛ بروکلمان :315/2؛ ذیل 265/2 فهرست مخطوط مكتبة کوپریلی 256/12-257؛ معجم المؤلفين: 182/9]</w:t>
      </w:r>
    </w:p>
    <w:p>
      <w:pPr>
        <w:pStyle w:val="BookText"/>
      </w:pPr>
      <w:r>
        <w:rPr>
          <w:rFonts w:ascii="IRNazanin" w:hAnsi="IRNazanin" w:eastAsia="IRNazanin" w:cs="IRNazanin"/>
          <w:lang w:bidi="fa-IR"/>
          <w:color w:val="111111"/>
          <w:sz w:val="28"/>
          <w:szCs w:val="28"/>
          <w:rtl/>
        </w:rPr>
        <w:t xml:space="preserve">قم؛ مرعشی؛ شماره نسخه: 13292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 نسخ، کا: نعمت الله بن فتح الله، تا: سه شنبه 14 جمادی الثانی1122ق؛ كاغذ: فرنگی ،جلد: تیماج قهوه ای ضربی مجدول ترنج گل و بوته با طلایی و لبه برگردان 261گ، 29 سطر (8</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اندازه:16</w:t>
      </w:r>
      <w:r>
        <w:rPr>
          <w:rFonts w:ascii="Times New Roman" w:hAnsi="Times New Roman" w:eastAsia="Times New Roman" w:cs="Times New Roman"/>
          <w:lang w:val="en-US" w:bidi="en-US"/>
          <w:color w:val="111111"/>
          <w:sz w:val="28"/>
          <w:szCs w:val="28"/>
          <w:rtl/>
        </w:rPr>
        <w:t xml:space="preserve">×27/5</w:t>
      </w:r>
      <w:r>
        <w:rPr>
          <w:rFonts w:ascii="IRNazanin" w:hAnsi="IRNazanin" w:eastAsia="IRNazanin" w:cs="IRNazanin"/>
          <w:lang w:bidi="fa-IR"/>
          <w:color w:val="111111"/>
          <w:sz w:val="28"/>
          <w:szCs w:val="28"/>
          <w:rtl/>
        </w:rPr>
        <w:t xml:space="preserve">سم [ف: 33 - 518]</w:t>
      </w:r>
    </w:p>
    <w:p>
      <w:pPr>
        <w:pStyle w:val="Heading3"/>
      </w:pPr>
      <w:bookmarkStart w:id="566" w:name="_Toc88"/>
      <w:r>
        <w:t>ارشاد الطالبین / عرفان و تصوف / فارسی</w:t>
      </w:r>
      <w:bookmarkEnd w:id="566"/>
    </w:p>
    <w:p>
      <w:pPr>
        <w:pStyle w:val="BookText"/>
      </w:pPr>
      <w:r>
        <w:rPr>
          <w:rFonts w:ascii="Times New Roman" w:hAnsi="Times New Roman" w:eastAsia="Times New Roman" w:cs="Times New Roman"/>
          <w:lang w:val="en-US" w:bidi="en-US"/>
          <w:color w:val="111111"/>
          <w:sz w:val="28"/>
          <w:szCs w:val="28"/>
          <w:rtl/>
        </w:rPr>
        <w:t xml:space="preserve">eršād-ot-tālebīn</w:t>
      </w:r>
    </w:p>
    <w:p>
      <w:pPr>
        <w:pStyle w:val="BookText"/>
      </w:pPr>
      <w:r>
        <w:rPr>
          <w:rFonts w:ascii="IRNazanin" w:hAnsi="IRNazanin" w:eastAsia="IRNazanin" w:cs="IRNazanin"/>
          <w:lang w:bidi="fa-IR"/>
          <w:color w:val="111111"/>
          <w:sz w:val="28"/>
          <w:szCs w:val="28"/>
          <w:rtl/>
        </w:rPr>
        <w:t xml:space="preserve">نعمة الله ولی، نعمة الله بن عبدالله 2730 - 834 قمری</w:t>
      </w:r>
    </w:p>
    <w:p>
      <w:pPr>
        <w:pStyle w:val="BookText"/>
      </w:pPr>
      <w:r>
        <w:rPr>
          <w:rFonts w:ascii="Times New Roman" w:hAnsi="Times New Roman" w:eastAsia="Times New Roman" w:cs="Times New Roman"/>
          <w:lang w:val="en-US" w:bidi="en-US"/>
          <w:color w:val="111111"/>
          <w:sz w:val="28"/>
          <w:szCs w:val="28"/>
          <w:rtl/>
        </w:rPr>
        <w:t xml:space="preserve">ne‘mat-ol-lāh-e valī, ne‘mat-ol-lāh ebn-e ‘abd-ol-lāh</w:t>
      </w:r>
    </w:p>
    <w:p>
      <w:pPr>
        <w:pStyle w:val="BookText"/>
      </w:pPr>
      <w:r>
        <w:rPr>
          <w:rFonts w:ascii="Times New Roman" w:hAnsi="Times New Roman" w:eastAsia="Times New Roman" w:cs="Times New Roman"/>
          <w:lang w:val="en-US" w:bidi="en-US"/>
          <w:color w:val="111111"/>
          <w:sz w:val="28"/>
          <w:szCs w:val="28"/>
          <w:rtl/>
        </w:rPr>
        <w:t xml:space="preserve">(330 -1431)</w:t>
      </w:r>
    </w:p>
    <w:p>
      <w:pPr>
        <w:pStyle w:val="BookText"/>
      </w:pPr>
      <w:r>
        <w:rPr>
          <w:rFonts w:ascii="IRNazanin" w:hAnsi="IRNazanin" w:eastAsia="IRNazanin" w:cs="IRNazanin"/>
          <w:lang w:bidi="fa-IR"/>
          <w:color w:val="111111"/>
          <w:sz w:val="28"/>
          <w:szCs w:val="28"/>
          <w:rtl/>
        </w:rPr>
        <w:t xml:space="preserve">پند و اندرزهای اخلاقی و عرفانی است به نثر و نظم.</w:t>
      </w:r>
    </w:p>
    <w:p>
      <w:pPr>
        <w:pStyle w:val="BookText"/>
      </w:pPr>
      <w:r>
        <w:rPr>
          <w:rFonts w:ascii="IRNazanin" w:hAnsi="IRNazanin" w:eastAsia="IRNazanin" w:cs="IRNazanin"/>
          <w:lang w:bidi="fa-IR"/>
          <w:color w:val="111111"/>
          <w:sz w:val="28"/>
          <w:szCs w:val="28"/>
          <w:rtl/>
        </w:rPr>
        <w:t xml:space="preserve">آغاز: ایدنا و ایاك تا ترك علایق و عوایق و خلایق کنی سلطان سرا پرده حقایق ذاتیه</w:t>
      </w:r>
    </w:p>
    <w:p>
      <w:pPr>
        <w:pStyle w:val="BookText"/>
      </w:pPr>
      <w:r>
        <w:rPr>
          <w:rFonts w:ascii="IRNazanin" w:hAnsi="IRNazanin" w:eastAsia="IRNazanin" w:cs="IRNazanin"/>
          <w:lang w:bidi="fa-IR"/>
          <w:color w:val="111111"/>
          <w:sz w:val="28"/>
          <w:szCs w:val="28"/>
          <w:rtl/>
        </w:rPr>
        <w:t xml:space="preserve">[فهرستواره منزوی 53/7]</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ملی؛ شماره نسخه: 1464/19</w:t>
      </w:r>
    </w:p>
    <w:p>
      <w:pPr>
        <w:pStyle w:val="BookText"/>
      </w:pPr>
      <w:r>
        <w:rPr>
          <w:rFonts w:ascii="IRNazanin" w:hAnsi="IRNazanin" w:eastAsia="IRNazanin" w:cs="IRNazanin"/>
          <w:lang w:bidi="fa-IR"/>
          <w:color w:val="111111"/>
          <w:sz w:val="28"/>
          <w:szCs w:val="28"/>
          <w:rtl/>
        </w:rPr>
        <w:t xml:space="preserve">خط: نستعلیق، بی کا، تا: 1134ق؛ کاغذ: فرنگی، 3 ص (166- 169) 3ص  17 سطر ، اندازه 9/5</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سم [ف: 3 - 521]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ملک؛ شماره نسخه: 4262/68</w:t>
      </w:r>
    </w:p>
    <w:p>
      <w:pPr>
        <w:pStyle w:val="BookText"/>
      </w:pPr>
      <w:r>
        <w:rPr>
          <w:rFonts w:ascii="IRNazanin" w:hAnsi="IRNazanin" w:eastAsia="IRNazanin" w:cs="IRNazanin"/>
          <w:lang w:bidi="fa-IR"/>
          <w:color w:val="111111"/>
          <w:sz w:val="28"/>
          <w:szCs w:val="28"/>
          <w:rtl/>
        </w:rPr>
        <w:t xml:space="preserve">خط: نستعلیق، کا، میر غلام محی ،الدین، بی تا؛ کاغذ: ترمه، جلد: رویه میشن قهوه ای ضربی، 2گ (361ر-363پ)، اندازه: 17</w:t>
      </w:r>
      <w:r>
        <w:rPr>
          <w:rFonts w:ascii="Times New Roman" w:hAnsi="Times New Roman" w:eastAsia="Times New Roman" w:cs="Times New Roman"/>
          <w:lang w:val="en-US" w:bidi="en-US"/>
          <w:color w:val="111111"/>
          <w:sz w:val="28"/>
          <w:szCs w:val="28"/>
          <w:rtl/>
        </w:rPr>
        <w:t xml:space="preserve">×25</w:t>
      </w:r>
      <w:r>
        <w:rPr>
          <w:rFonts w:ascii="IRNazanin" w:hAnsi="IRNazanin" w:eastAsia="IRNazanin" w:cs="IRNazanin"/>
          <w:lang w:bidi="fa-IR"/>
          <w:color w:val="111111"/>
          <w:sz w:val="28"/>
          <w:szCs w:val="28"/>
          <w:rtl/>
        </w:rPr>
        <w:t xml:space="preserve">سم [ف: 4 - 677]</w:t>
      </w:r>
    </w:p>
    <w:p>
      <w:pPr>
        <w:pStyle w:val="Heading3"/>
      </w:pPr>
      <w:bookmarkStart w:id="567" w:name="_Toc89"/>
      <w:r>
        <w:t>ارشاد الطالبین / فقه، شعر / فارسی</w:t>
      </w:r>
      <w:bookmarkEnd w:id="567"/>
    </w:p>
    <w:p>
      <w:pPr>
        <w:pStyle w:val="BookText"/>
      </w:pPr>
      <w:r>
        <w:rPr>
          <w:rFonts w:ascii="Times New Roman" w:hAnsi="Times New Roman" w:eastAsia="Times New Roman" w:cs="Times New Roman"/>
          <w:lang w:val="en-US" w:bidi="en-US"/>
          <w:color w:val="111111"/>
          <w:sz w:val="28"/>
          <w:szCs w:val="28"/>
          <w:rtl/>
        </w:rPr>
        <w:t xml:space="preserve">eršād-ot-tālebīn</w:t>
      </w:r>
    </w:p>
    <w:p>
      <w:pPr>
        <w:pStyle w:val="BookText"/>
      </w:pPr>
      <w:r>
        <w:rPr>
          <w:rFonts w:ascii="IRNazanin" w:hAnsi="IRNazanin" w:eastAsia="IRNazanin" w:cs="IRNazanin"/>
          <w:lang w:bidi="fa-IR"/>
          <w:color w:val="111111"/>
          <w:sz w:val="28"/>
          <w:szCs w:val="28"/>
          <w:rtl/>
        </w:rPr>
        <w:t xml:space="preserve">شیخی قائنی جامی ق 9 قمری</w:t>
      </w:r>
    </w:p>
    <w:p>
      <w:pPr>
        <w:pStyle w:val="BookText"/>
      </w:pPr>
      <w:r>
        <w:rPr>
          <w:rFonts w:ascii="Times New Roman" w:hAnsi="Times New Roman" w:eastAsia="Times New Roman" w:cs="Times New Roman"/>
          <w:lang w:val="en-US" w:bidi="en-US"/>
          <w:color w:val="111111"/>
          <w:sz w:val="28"/>
          <w:szCs w:val="28"/>
          <w:rtl/>
        </w:rPr>
        <w:t xml:space="preserve">šayxi qā'enī jāmī (- 15c)</w:t>
      </w:r>
    </w:p>
    <w:p>
      <w:pPr>
        <w:pStyle w:val="BookText"/>
      </w:pPr>
      <w:r>
        <w:rPr>
          <w:rFonts w:ascii="IRNazanin" w:hAnsi="IRNazanin" w:eastAsia="IRNazanin" w:cs="IRNazanin"/>
          <w:lang w:bidi="fa-IR"/>
          <w:color w:val="111111"/>
          <w:sz w:val="28"/>
          <w:szCs w:val="28"/>
          <w:rtl/>
        </w:rPr>
        <w:t xml:space="preserve">منظومه ای در فروع دین اهل سنت در هشت «باب»: 1. احکام آبها؛ 2. وضو؛ 3 نماز ؛ 4. واجبات نماز؛ 5. اسلام؛ 6. زكات؛ .7 روزه؛ 8. حج. مؤلف آن را در سال «ضاد و دال و ميم» 844 سروده است. نسخه دیگری از این منظومه در فهرست مشترک</w:t>
      </w:r>
    </w:p>
    <w:p>
      <w:pPr>
        <w:pStyle w:val="BookText"/>
      </w:pPr>
      <w:r>
        <w:rPr>
          <w:rFonts w:ascii="IRNazanin" w:hAnsi="IRNazanin" w:eastAsia="IRNazanin" w:cs="IRNazanin"/>
          <w:lang w:bidi="fa-IR"/>
          <w:color w:val="111111"/>
          <w:sz w:val="28"/>
          <w:szCs w:val="28"/>
          <w:rtl/>
        </w:rPr>
        <w:t xml:space="preserve">پاکستان 501/7 با عنوان «فقه منظوم»معرفی شده است.</w:t>
      </w:r>
    </w:p>
    <w:p>
      <w:pPr>
        <w:pStyle w:val="BookText"/>
      </w:pPr>
      <w:r>
        <w:rPr>
          <w:rFonts w:ascii="IRNazanin" w:hAnsi="IRNazanin" w:eastAsia="IRNazanin" w:cs="IRNazanin"/>
          <w:lang w:bidi="fa-IR"/>
          <w:color w:val="111111"/>
          <w:sz w:val="28"/>
          <w:szCs w:val="28"/>
          <w:rtl/>
        </w:rPr>
        <w:t xml:space="preserve">آغاز: ابتدای نامه بر نام خدا *** به که نامه شد بدین نام ابتدا / گر تو میخواهی که باشی نامدار *** جان و دل پیوسته با این نام دار فرض و واجب را که تقوی طالبست *** ضبط و حفظ از باب فرض وواجبست / مثل اعوان است و جنات این کتاب *** مشتمل بر چار فصل و هشت باب / اولش مشحون بذكر قادمه *** و آخرش مقرون بفکر خاتمه / و آنچه شرط است از فروع و از اصول *** روشن است از ضمن ابواب و فصول / خواندمش ارشاد و در داد این ندا ***لم تجد بعدى ولياً مرشداً</w:t>
      </w:r>
    </w:p>
    <w:p>
      <w:pPr>
        <w:pStyle w:val="BookText"/>
      </w:pPr>
      <w:r>
        <w:rPr>
          <w:rFonts w:ascii="IRNazanin" w:hAnsi="IRNazanin" w:eastAsia="IRNazanin" w:cs="IRNazanin"/>
          <w:lang w:bidi="fa-IR"/>
          <w:color w:val="111111"/>
          <w:sz w:val="28"/>
          <w:szCs w:val="28"/>
          <w:rtl/>
        </w:rPr>
        <w:t xml:space="preserve">انجام: تا چو شیخی را فتد با یادگار*** ماند از شادی ز شیخی یادگار / سال ضاد و دال از فضل رب *** دیدمش ختم آخر ماه رجب / مولدم در قاین و محتد مضاف *** سوی جم و مستقر اکنون بخواف .. ای خبیر از حال نفس نادمه *** مرحمت فرما بحسن خاتمه</w:t>
      </w:r>
    </w:p>
    <w:p>
      <w:pPr>
        <w:pStyle w:val="BookText"/>
      </w:pPr>
      <w:r>
        <w:rPr>
          <w:rFonts w:ascii="IRNazanin" w:hAnsi="IRNazanin" w:eastAsia="IRNazanin" w:cs="IRNazanin"/>
          <w:lang w:bidi="fa-IR"/>
          <w:color w:val="111111"/>
          <w:sz w:val="28"/>
          <w:szCs w:val="28"/>
          <w:rtl/>
        </w:rPr>
        <w:t xml:space="preserve">تهران؛ مجلس؛ شماره نسخه: 13835/4</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بی تا؛ جلد: تیماج قهوه ای، مجدول، 46گ ( 10 پ - 56 پ)، 15 سطر [ف: 37 - 391]</w:t>
      </w:r>
    </w:p>
    <w:p>
      <w:pPr>
        <w:pStyle w:val="Heading3"/>
      </w:pPr>
      <w:bookmarkStart w:id="568" w:name="_Toc90"/>
      <w:r>
        <w:t>ارشاد الطالبین / عرفان و تصوف / فارسی</w:t>
      </w:r>
      <w:bookmarkEnd w:id="568"/>
    </w:p>
    <w:p>
      <w:pPr>
        <w:pStyle w:val="BookText"/>
      </w:pPr>
      <w:r>
        <w:rPr>
          <w:rFonts w:ascii="Times New Roman" w:hAnsi="Times New Roman" w:eastAsia="Times New Roman" w:cs="Times New Roman"/>
          <w:lang w:val="en-US" w:bidi="en-US"/>
          <w:color w:val="111111"/>
          <w:sz w:val="28"/>
          <w:szCs w:val="28"/>
          <w:rtl/>
        </w:rPr>
        <w:t xml:space="preserve">eršād-ot-tālebīn</w:t>
      </w:r>
    </w:p>
    <w:p>
      <w:pPr>
        <w:pStyle w:val="BookText"/>
      </w:pPr>
      <w:r>
        <w:rPr>
          <w:rFonts w:ascii="IRNazanin" w:hAnsi="IRNazanin" w:eastAsia="IRNazanin" w:cs="IRNazanin"/>
          <w:lang w:bidi="fa-IR"/>
          <w:color w:val="111111"/>
          <w:sz w:val="28"/>
          <w:szCs w:val="28"/>
          <w:rtl/>
        </w:rPr>
        <w:t xml:space="preserve">تھانیسری، جلال الدین بن محمود - 989 قمری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28" w:name="pg20365_260032"/>
    <w:bookmarkEnd w:id="28"/>
    <w:p>
      <w:pPr>
        <w:pStyle w:val="BookText"/>
      </w:pPr>
      <w:r>
        <w:rPr>
          <w:rFonts w:ascii="Times New Roman" w:hAnsi="Times New Roman" w:eastAsia="Times New Roman" w:cs="Times New Roman"/>
          <w:lang w:val="en-US" w:bidi="en-US"/>
          <w:color w:val="111111"/>
          <w:sz w:val="28"/>
          <w:szCs w:val="28"/>
          <w:rtl/>
        </w:rPr>
        <w:t xml:space="preserve">tahānīsarī, jalāl-od-dīn ebn-e mahmūd ( - 1582)</w:t>
      </w:r>
    </w:p>
    <w:p>
      <w:pPr>
        <w:pStyle w:val="BookText"/>
      </w:pPr>
      <w:r>
        <w:rPr>
          <w:rFonts w:ascii="IRNazanin" w:hAnsi="IRNazanin" w:eastAsia="IRNazanin" w:cs="IRNazanin"/>
          <w:lang w:bidi="fa-IR"/>
          <w:color w:val="111111"/>
          <w:sz w:val="28"/>
          <w:szCs w:val="28"/>
          <w:rtl/>
        </w:rPr>
        <w:t xml:space="preserve">در 35 «باب» (فصل) (در نسخه گنج بخش فصل ها بی شمار است: یکم بدان که سرمایه همه مقاصد و مطالب معرفت ذات پاک است، بدان که این راه شریعت است، بدان که مرض سه چیز است، در بیان ارشاد و تلقین، در بیان ذکر نفی و اثبات، در ذکر سه پایه، بدان که ذکر اسم ذات، نزول و عروج طریق ذکر، شد و مد و تحت و فوق پاس انفاس شغل باطنی را کامل باید بر حسب صلاحیت تلقین شود.</w:t>
      </w:r>
    </w:p>
    <w:p>
      <w:pPr>
        <w:pStyle w:val="BookText"/>
      </w:pPr>
      <w:r>
        <w:rPr>
          <w:rFonts w:ascii="IRNazanin" w:hAnsi="IRNazanin" w:eastAsia="IRNazanin" w:cs="IRNazanin"/>
          <w:lang w:bidi="fa-IR"/>
          <w:color w:val="111111"/>
          <w:sz w:val="28"/>
          <w:szCs w:val="28"/>
          <w:rtl/>
        </w:rPr>
        <w:t xml:space="preserve">آغاز: بسمله الحمد لله الذى اعطى الطالبين شوق لقائه. .. اما بعد فقیر حقیر جلال محمود تانسری</w:t>
      </w:r>
    </w:p>
    <w:p>
      <w:pPr>
        <w:pStyle w:val="BookText"/>
      </w:pPr>
      <w:r>
        <w:rPr>
          <w:rFonts w:ascii="IRNazanin" w:hAnsi="IRNazanin" w:eastAsia="IRNazanin" w:cs="IRNazanin"/>
          <w:lang w:bidi="fa-IR"/>
          <w:color w:val="111111"/>
          <w:sz w:val="28"/>
          <w:szCs w:val="28"/>
          <w:rtl/>
        </w:rPr>
        <w:t xml:space="preserve">انجام: اللهم ارزقنا همة و استقامة فى الدين .. وصلى الله علی  خیر خلقه محمد و آله اجمعین.</w:t>
      </w:r>
    </w:p>
    <w:p>
      <w:pPr>
        <w:pStyle w:val="BookText"/>
      </w:pPr>
      <w:r>
        <w:rPr>
          <w:rFonts w:ascii="IRNazanin" w:hAnsi="IRNazanin" w:eastAsia="IRNazanin" w:cs="IRNazanin"/>
          <w:lang w:bidi="fa-IR"/>
          <w:color w:val="111111"/>
          <w:sz w:val="28"/>
          <w:szCs w:val="28"/>
          <w:rtl/>
        </w:rPr>
        <w:t xml:space="preserve">[مشترک 1241/3؛ فهرستواره 52/7 (2) نسخه داخلی)]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مجلس؛ شماره نسخه: 10231/9</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و نستعلیق، بی کا، تا: 1014ق؛ مصحح، مجدول زرین ؛مهر: کتابخانه باقر ترقی ،جلد: تیماج قهوه ای ،مجدول 21 سطر  ،اندازه: 13/5</w:t>
      </w:r>
      <w:r>
        <w:rPr>
          <w:rFonts w:ascii="Times New Roman" w:hAnsi="Times New Roman" w:eastAsia="Times New Roman" w:cs="Times New Roman"/>
          <w:lang w:val="en-US" w:bidi="en-US"/>
          <w:color w:val="111111"/>
          <w:sz w:val="28"/>
          <w:szCs w:val="28"/>
          <w:rtl/>
        </w:rPr>
        <w:t xml:space="preserve">×24/5</w:t>
      </w:r>
      <w:r>
        <w:rPr>
          <w:rFonts w:ascii="IRNazanin" w:hAnsi="IRNazanin" w:eastAsia="IRNazanin" w:cs="IRNazanin"/>
          <w:lang w:bidi="fa-IR"/>
          <w:color w:val="111111"/>
          <w:sz w:val="28"/>
          <w:szCs w:val="28"/>
          <w:rtl/>
        </w:rPr>
        <w:t xml:space="preserve">سم [ف: 32 - 267]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دانشگاه؛ شماره نسخه: 759/1-ف</w:t>
      </w:r>
    </w:p>
    <w:p>
      <w:pPr>
        <w:pStyle w:val="BookText"/>
      </w:pPr>
      <w:r>
        <w:rPr>
          <w:rFonts w:ascii="IRNazanin" w:hAnsi="IRNazanin" w:eastAsia="IRNazanin" w:cs="IRNazanin"/>
          <w:lang w:bidi="fa-IR"/>
          <w:color w:val="111111"/>
          <w:sz w:val="28"/>
          <w:szCs w:val="28"/>
          <w:rtl/>
        </w:rPr>
        <w:t xml:space="preserve">نسخه اصل: پاریس 1127 .</w:t>
      </w:r>
      <w:r>
        <w:rPr>
          <w:rFonts w:ascii="Times New Roman" w:hAnsi="Times New Roman" w:eastAsia="Times New Roman" w:cs="Times New Roman"/>
          <w:lang w:val="en-US" w:bidi="en-US"/>
          <w:color w:val="111111"/>
          <w:sz w:val="28"/>
          <w:szCs w:val="28"/>
          <w:rtl/>
        </w:rPr>
        <w:t xml:space="preserve">P. S </w:t>
      </w:r>
      <w:r>
        <w:rPr>
          <w:rFonts w:ascii="IRNazanin" w:hAnsi="IRNazanin" w:eastAsia="IRNazanin" w:cs="IRNazanin"/>
          <w:lang w:bidi="fa-IR"/>
          <w:color w:val="111111"/>
          <w:sz w:val="28"/>
          <w:szCs w:val="28"/>
          <w:rtl/>
        </w:rPr>
        <w:t xml:space="preserve">؛خط: شکسته نستعلیق، بی کا، تا: 17 ربيع الاول 1135ق؛ [فيلم ها - ف: 1 - 535]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دانشگاه؛ شماره نسخه : 5751/1</w:t>
      </w:r>
    </w:p>
    <w:p>
      <w:pPr>
        <w:pStyle w:val="BookText"/>
      </w:pPr>
      <w:r>
        <w:rPr>
          <w:rFonts w:ascii="IRNazanin" w:hAnsi="IRNazanin" w:eastAsia="IRNazanin" w:cs="IRNazanin"/>
          <w:lang w:bidi="fa-IR"/>
          <w:color w:val="111111"/>
          <w:sz w:val="28"/>
          <w:szCs w:val="28"/>
          <w:rtl/>
        </w:rPr>
        <w:t xml:space="preserve">آغاز :برابر؛ انجام: مسمی في الاناسي بالجلال.</w:t>
      </w:r>
    </w:p>
    <w:p>
      <w:pPr>
        <w:pStyle w:val="BookText"/>
      </w:pPr>
      <w:r>
        <w:rPr>
          <w:rFonts w:ascii="IRNazanin" w:hAnsi="IRNazanin" w:eastAsia="IRNazanin" w:cs="IRNazanin"/>
          <w:lang w:bidi="fa-IR"/>
          <w:color w:val="111111"/>
          <w:sz w:val="28"/>
          <w:szCs w:val="28"/>
          <w:rtl/>
        </w:rPr>
        <w:t xml:space="preserve">خط: نستعلیق هندی، بی کا، تا: قرن 12 ؛کاغذ: هندی، جلد: گالینگور 24گ (1ر-25ر) ، 11 سطر (10</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 قطع: ربعی،</w:t>
      </w:r>
    </w:p>
    <w:p>
      <w:pPr>
        <w:pStyle w:val="BookText"/>
      </w:pPr>
      <w:r>
        <w:rPr>
          <w:rFonts w:ascii="IRNazanin" w:hAnsi="IRNazanin" w:eastAsia="IRNazanin" w:cs="IRNazanin"/>
          <w:lang w:bidi="fa-IR"/>
          <w:color w:val="111111"/>
          <w:sz w:val="28"/>
          <w:szCs w:val="28"/>
          <w:rtl/>
        </w:rPr>
        <w:t xml:space="preserve">اندازه: 15</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16 - 83]</w:t>
      </w:r>
    </w:p>
    <w:p>
      <w:pPr>
        <w:pStyle w:val="BookText"/>
      </w:pPr>
      <w:r>
        <w:rPr>
          <w:rFonts w:ascii="IRNazanin" w:hAnsi="IRNazanin" w:eastAsia="IRNazanin" w:cs="IRNazanin"/>
          <w:lang w:bidi="fa-IR"/>
          <w:color w:val="111111"/>
          <w:sz w:val="28"/>
          <w:szCs w:val="28"/>
          <w:rtl/>
        </w:rPr>
        <w:t xml:space="preserve">4.تهران؛ مجلس؛ شماره نسخه: 10686/1</w:t>
      </w:r>
    </w:p>
    <w:p>
      <w:pPr>
        <w:pStyle w:val="BookText"/>
      </w:pPr>
      <w:r>
        <w:rPr>
          <w:rFonts w:ascii="Amiri" w:hAnsi="Amiri" w:eastAsia="Amiri" w:cs="Amiri"/>
          <w:lang w:bidi="ar-SA"/>
          <w:color w:val="111111"/>
          <w:sz w:val="28"/>
          <w:szCs w:val="28"/>
          <w:rtl/>
        </w:rPr>
        <w:t xml:space="preserve">آغاز: برابر؛ انجام: سبحان ربك ربك العزة عما يصفون و سلام على المرسلين و الحمد لله رب العالمين.</w:t>
      </w:r>
    </w:p>
    <w:p>
      <w:pPr>
        <w:pStyle w:val="BookText"/>
      </w:pPr>
      <w:r>
        <w:rPr>
          <w:rFonts w:ascii="IRNazanin" w:hAnsi="IRNazanin" w:eastAsia="IRNazanin" w:cs="IRNazanin"/>
          <w:lang w:bidi="fa-IR"/>
          <w:color w:val="111111"/>
          <w:sz w:val="28"/>
          <w:szCs w:val="28"/>
          <w:rtl/>
        </w:rPr>
        <w:t xml:space="preserve">خط: نستعلیق، بی کا، تا: 2 صفر 1235ق؛ جلد: گالینگور 74 ص (2 -76) ، 13 سطر ، اندازه: 12</w:t>
      </w:r>
      <w:r>
        <w:rPr>
          <w:rFonts w:ascii="Times New Roman" w:hAnsi="Times New Roman" w:eastAsia="Times New Roman" w:cs="Times New Roman"/>
          <w:lang w:val="en-US" w:bidi="en-US"/>
          <w:color w:val="111111"/>
          <w:sz w:val="28"/>
          <w:szCs w:val="28"/>
          <w:rtl/>
        </w:rPr>
        <w:t xml:space="preserve">× 13</w:t>
      </w:r>
      <w:r>
        <w:rPr>
          <w:rFonts w:ascii="IRNazanin" w:hAnsi="IRNazanin" w:eastAsia="IRNazanin" w:cs="IRNazanin"/>
          <w:lang w:bidi="fa-IR"/>
          <w:color w:val="111111"/>
          <w:sz w:val="28"/>
          <w:szCs w:val="28"/>
          <w:rtl/>
        </w:rPr>
        <w:t xml:space="preserve">سم :[ف 33/1 - 165]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مشهد؛ رضوی؛ شماره نسخه: 28364</w:t>
      </w:r>
    </w:p>
    <w:p>
      <w:pPr>
        <w:pStyle w:val="BookText"/>
      </w:pPr>
      <w:r>
        <w:rPr>
          <w:rFonts w:ascii="IRNazanin" w:hAnsi="IRNazanin" w:eastAsia="IRNazanin" w:cs="IRNazanin"/>
          <w:lang w:bidi="fa-IR"/>
          <w:color w:val="111111"/>
          <w:sz w:val="28"/>
          <w:szCs w:val="28"/>
          <w:rtl/>
        </w:rPr>
        <w:t xml:space="preserve">آغاز: برابر؛ انجام: و اجعلنى منهم في الدنيا و الاخرت بلطفك کرمك برحمتك یا ارحم الراحمين</w:t>
      </w:r>
    </w:p>
    <w:p>
      <w:pPr>
        <w:pStyle w:val="BookText"/>
      </w:pPr>
      <w:r>
        <w:rPr>
          <w:rFonts w:ascii="IRNazanin" w:hAnsi="IRNazanin" w:eastAsia="IRNazanin" w:cs="IRNazanin"/>
          <w:lang w:bidi="fa-IR"/>
          <w:color w:val="111111"/>
          <w:sz w:val="28"/>
          <w:szCs w:val="28"/>
          <w:rtl/>
        </w:rPr>
        <w:t xml:space="preserve">خط: نستعلیق، بی کا، تا: 1256ق [ رایانه]</w:t>
      </w:r>
    </w:p>
    <w:p>
      <w:pPr>
        <w:pStyle w:val="Heading3"/>
      </w:pPr>
      <w:bookmarkStart w:id="569" w:name="_Toc91"/>
      <w:r>
        <w:t>ارشاد الطالبین / عرفان و تصوف / فارسی</w:t>
      </w:r>
      <w:bookmarkEnd w:id="569"/>
    </w:p>
    <w:p>
      <w:pPr>
        <w:pStyle w:val="BookText"/>
      </w:pPr>
      <w:r>
        <w:rPr>
          <w:rFonts w:ascii="Times New Roman" w:hAnsi="Times New Roman" w:eastAsia="Times New Roman" w:cs="Times New Roman"/>
          <w:lang w:val="en-US" w:bidi="en-US"/>
          <w:color w:val="111111"/>
          <w:sz w:val="28"/>
          <w:szCs w:val="28"/>
          <w:rtl/>
        </w:rPr>
        <w:t xml:space="preserve">eršād-ot-tālebīn</w:t>
      </w:r>
    </w:p>
    <w:p>
      <w:pPr>
        <w:pStyle w:val="BookText"/>
      </w:pPr>
      <w:r>
        <w:rPr>
          <w:rFonts w:ascii="IRNazanin" w:hAnsi="IRNazanin" w:eastAsia="IRNazanin" w:cs="IRNazanin"/>
          <w:lang w:bidi="fa-IR"/>
          <w:color w:val="111111"/>
          <w:sz w:val="28"/>
          <w:szCs w:val="28"/>
          <w:rtl/>
        </w:rPr>
        <w:t xml:space="preserve">چشتی برهان الدین - 990 قمری</w:t>
      </w:r>
    </w:p>
    <w:p>
      <w:pPr>
        <w:pStyle w:val="BookText"/>
      </w:pPr>
      <w:r>
        <w:rPr>
          <w:rFonts w:ascii="Times New Roman" w:hAnsi="Times New Roman" w:eastAsia="Times New Roman" w:cs="Times New Roman"/>
          <w:lang w:val="en-US" w:bidi="en-US"/>
          <w:color w:val="111111"/>
          <w:sz w:val="28"/>
          <w:szCs w:val="28"/>
          <w:rtl/>
        </w:rPr>
        <w:t xml:space="preserve">čaštī, borhān-od-dīn ( - 1582)</w:t>
      </w:r>
    </w:p>
    <w:p>
      <w:pPr>
        <w:pStyle w:val="BookText"/>
      </w:pPr>
      <w:r>
        <w:rPr>
          <w:rFonts w:ascii="IRNazanin" w:hAnsi="IRNazanin" w:eastAsia="IRNazanin" w:cs="IRNazanin"/>
          <w:lang w:bidi="fa-IR"/>
          <w:color w:val="111111"/>
          <w:sz w:val="28"/>
          <w:szCs w:val="28"/>
          <w:rtl/>
        </w:rPr>
        <w:t xml:space="preserve">تهران؛ دانشگاه؛ شماره نسخه: 726/7-ف</w:t>
      </w:r>
    </w:p>
    <w:p>
      <w:pPr>
        <w:pStyle w:val="BookText"/>
      </w:pPr>
      <w:r>
        <w:rPr>
          <w:rFonts w:ascii="IRNazanin" w:hAnsi="IRNazanin" w:eastAsia="IRNazanin" w:cs="IRNazanin"/>
          <w:lang w:bidi="fa-IR"/>
          <w:color w:val="111111"/>
          <w:sz w:val="28"/>
          <w:szCs w:val="28"/>
          <w:rtl/>
        </w:rPr>
        <w:t xml:space="preserve">نسخه اصل: موزه بریتانیا 11310 </w:t>
      </w:r>
      <w:r>
        <w:rPr>
          <w:rFonts w:ascii="Times New Roman" w:hAnsi="Times New Roman" w:eastAsia="Times New Roman" w:cs="Times New Roman"/>
          <w:lang w:val="en-US" w:bidi="en-US"/>
          <w:color w:val="111111"/>
          <w:sz w:val="28"/>
          <w:szCs w:val="28"/>
          <w:rtl/>
        </w:rPr>
        <w:t xml:space="preserve">Or </w:t>
      </w:r>
      <w:r>
        <w:rPr>
          <w:rFonts w:ascii="IRNazanin" w:hAnsi="IRNazanin" w:eastAsia="IRNazanin" w:cs="IRNazanin"/>
          <w:lang w:bidi="fa-IR"/>
          <w:color w:val="111111"/>
          <w:sz w:val="28"/>
          <w:szCs w:val="28"/>
          <w:rtl/>
        </w:rPr>
        <w:t xml:space="preserve">؛بی کا، بی تا، 5گ (106ر - 111پ) [فیلم ها - ف: 1 - 529]</w:t>
      </w:r>
    </w:p>
    <w:p>
      <w:pPr>
        <w:pStyle w:val="Heading3"/>
      </w:pPr>
      <w:bookmarkStart w:id="570" w:name="_Toc92"/>
      <w:r>
        <w:t>ارشاد الطالبین / عرفان و تصوف / فارسی</w:t>
      </w:r>
      <w:bookmarkEnd w:id="570"/>
    </w:p>
    <w:p>
      <w:pPr>
        <w:pStyle w:val="BookText"/>
      </w:pPr>
      <w:r>
        <w:rPr>
          <w:rFonts w:ascii="Times New Roman" w:hAnsi="Times New Roman" w:eastAsia="Times New Roman" w:cs="Times New Roman"/>
          <w:lang w:val="en-US" w:bidi="en-US"/>
          <w:color w:val="111111"/>
          <w:sz w:val="28"/>
          <w:szCs w:val="28"/>
          <w:rtl/>
        </w:rPr>
        <w:t xml:space="preserve">eršād-ot-tālebīn</w:t>
      </w:r>
    </w:p>
    <w:p>
      <w:pPr>
        <w:pStyle w:val="BookText"/>
      </w:pPr>
      <w:r>
        <w:rPr>
          <w:rFonts w:ascii="IRNazanin" w:hAnsi="IRNazanin" w:eastAsia="IRNazanin" w:cs="IRNazanin"/>
          <w:lang w:bidi="fa-IR"/>
          <w:color w:val="111111"/>
          <w:sz w:val="28"/>
          <w:szCs w:val="28"/>
          <w:rtl/>
        </w:rPr>
        <w:t xml:space="preserve">قندهاری، معین مسکین، ق 10 قمری</w:t>
      </w:r>
    </w:p>
    <w:p>
      <w:pPr>
        <w:pStyle w:val="BookText"/>
      </w:pPr>
      <w:r>
        <w:rPr>
          <w:rFonts w:ascii="Times New Roman" w:hAnsi="Times New Roman" w:eastAsia="Times New Roman" w:cs="Times New Roman"/>
          <w:lang w:val="en-US" w:bidi="en-US"/>
          <w:color w:val="111111"/>
          <w:sz w:val="28"/>
          <w:szCs w:val="28"/>
          <w:rtl/>
        </w:rPr>
        <w:t xml:space="preserve">qandehārī, moʻīn-e meskin (- 16c)</w:t>
      </w:r>
    </w:p>
    <w:p>
      <w:pPr>
        <w:pStyle w:val="BookText"/>
      </w:pPr>
      <w:r>
        <w:rPr>
          <w:rFonts w:ascii="Amiri" w:hAnsi="Amiri" w:eastAsia="Amiri" w:cs="Amiri"/>
          <w:lang w:bidi="ar-SA"/>
          <w:color w:val="111111"/>
          <w:sz w:val="28"/>
          <w:szCs w:val="28"/>
          <w:rtl/>
        </w:rPr>
        <w:t xml:space="preserve">تاريخ تأليف: 961ق؛ محل تاليف: قندهار</w:t>
      </w:r>
    </w:p>
    <w:p>
      <w:pPr>
        <w:pStyle w:val="BookText"/>
      </w:pPr>
      <w:r>
        <w:rPr>
          <w:rFonts w:ascii="IRNazanin" w:hAnsi="IRNazanin" w:eastAsia="IRNazanin" w:cs="IRNazanin"/>
          <w:lang w:bidi="fa-IR"/>
          <w:color w:val="111111"/>
          <w:sz w:val="28"/>
          <w:szCs w:val="28"/>
          <w:rtl/>
        </w:rPr>
        <w:t xml:space="preserve">سخنان عرفانی زین الدین محمود قواس بهدی شاگرد نورالله سفیدنی شاگرد سعدالدین کاشغری شاگرد بهاءالدین نقش بند</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آغاز: بسمله. الحمد لله الذى نور قلوب العارفين بتجليات الانوار و جعل ارواح المحققين محل ظهور الاسرار. .. بعد هذا بر طالبان راه دین و ارباب تمکین پوشیده و مخفی نماند که فقیر. .. معین المسكين بهر دیار که چند روزی آرام و قرار اختیار می کرد یا بطریق سیر عبور و مرور می گردید در تفحص و تجسس حال... عارفانی عالی مقدار... سعی بسیار بتقدیم میرساند.</w:t>
      </w:r>
    </w:p>
    <w:p>
      <w:pPr>
        <w:pStyle w:val="BookText"/>
      </w:pPr>
      <w:r>
        <w:rPr>
          <w:rFonts w:ascii="IRNazanin" w:hAnsi="IRNazanin" w:eastAsia="IRNazanin" w:cs="IRNazanin"/>
          <w:lang w:bidi="fa-IR"/>
          <w:color w:val="111111"/>
          <w:sz w:val="28"/>
          <w:szCs w:val="28"/>
          <w:rtl/>
        </w:rPr>
        <w:t xml:space="preserve">انجام: آنکس که بیافت دولتی یافت عظیم *** آنکس که نیافت داغ یافت بس است</w:t>
      </w:r>
    </w:p>
    <w:p>
      <w:pPr>
        <w:pStyle w:val="BookText"/>
      </w:pPr>
      <w:r>
        <w:rPr>
          <w:rFonts w:ascii="IRNazanin" w:hAnsi="IRNazanin" w:eastAsia="IRNazanin" w:cs="IRNazanin"/>
          <w:lang w:bidi="fa-IR"/>
          <w:color w:val="111111"/>
          <w:sz w:val="28"/>
          <w:szCs w:val="28"/>
          <w:rtl/>
        </w:rPr>
        <w:t xml:space="preserve">[فهرستواره منزوی 53/7]</w:t>
      </w:r>
    </w:p>
    <w:p>
      <w:pPr>
        <w:pStyle w:val="BookText"/>
      </w:pPr>
      <w:r>
        <w:rPr>
          <w:rFonts w:ascii="IRNazanin" w:hAnsi="IRNazanin" w:eastAsia="IRNazanin" w:cs="IRNazanin"/>
          <w:lang w:bidi="fa-IR"/>
          <w:color w:val="111111"/>
          <w:sz w:val="28"/>
          <w:szCs w:val="28"/>
          <w:rtl/>
        </w:rPr>
        <w:t xml:space="preserve">تهران؛ دانشگاه؛ شماره نسخه: 4899 و 1169-ف</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هندی، کا، حیات الله پسر خیرالله پسر خلیل الله، تا: سه شنبه 10 رجب 1100ق، جا: مسجد جامع شهر اثاوه؛ در هامش سه برگ  آغاز نسخه و پایان آن در یک صفحه بندی است در تصوف به فارسی ؛اهدایی آقای ایوانف خاورشناس روس به کتابخانه؛ کاغذ: هندی، جلد: تیماج سرخ مقوایی تازه، 40گ، 20 سطر (9</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 اندازه: 15</w:t>
      </w:r>
      <w:r>
        <w:rPr>
          <w:rFonts w:ascii="Times New Roman" w:hAnsi="Times New Roman" w:eastAsia="Times New Roman" w:cs="Times New Roman"/>
          <w:lang w:val="en-US" w:bidi="en-US"/>
          <w:color w:val="111111"/>
          <w:sz w:val="28"/>
          <w:szCs w:val="28"/>
          <w:rtl/>
        </w:rPr>
        <w:t xml:space="preserve">×28/5</w:t>
      </w:r>
      <w:r>
        <w:rPr>
          <w:rFonts w:ascii="IRNazanin" w:hAnsi="IRNazanin" w:eastAsia="IRNazanin" w:cs="IRNazanin"/>
          <w:lang w:bidi="fa-IR"/>
          <w:color w:val="111111"/>
          <w:sz w:val="28"/>
          <w:szCs w:val="28"/>
          <w:rtl/>
        </w:rPr>
        <w:t xml:space="preserve">سم [ف: 14-3965]</w:t>
      </w:r>
    </w:p>
    <w:p>
      <w:pPr>
        <w:pStyle w:val="Heading3"/>
      </w:pPr>
      <w:bookmarkStart w:id="571" w:name="_Toc93"/>
      <w:r>
        <w:t>ارشاد الطالبین / عرفان و تصوف / فارسی</w:t>
      </w:r>
      <w:bookmarkEnd w:id="571"/>
    </w:p>
    <w:p>
      <w:pPr>
        <w:pStyle w:val="BookText"/>
      </w:pPr>
      <w:r>
        <w:rPr>
          <w:rFonts w:ascii="Times New Roman" w:hAnsi="Times New Roman" w:eastAsia="Times New Roman" w:cs="Times New Roman"/>
          <w:lang w:val="en-US" w:bidi="en-US"/>
          <w:color w:val="111111"/>
          <w:sz w:val="28"/>
          <w:szCs w:val="28"/>
          <w:rtl/>
        </w:rPr>
        <w:t xml:space="preserve">eršād-ot-tālebīn</w:t>
      </w:r>
    </w:p>
    <w:p>
      <w:pPr>
        <w:pStyle w:val="BookText"/>
      </w:pPr>
      <w:r>
        <w:rPr>
          <w:rFonts w:ascii="IRNazanin" w:hAnsi="IRNazanin" w:eastAsia="IRNazanin" w:cs="IRNazanin"/>
          <w:lang w:bidi="fa-IR"/>
          <w:color w:val="111111"/>
          <w:sz w:val="28"/>
          <w:szCs w:val="28"/>
          <w:rtl/>
        </w:rPr>
        <w:t xml:space="preserve">درویزه ننگرهاری - 1048 قمری</w:t>
      </w:r>
    </w:p>
    <w:p>
      <w:pPr>
        <w:pStyle w:val="BookText"/>
      </w:pPr>
      <w:r>
        <w:rPr>
          <w:rFonts w:ascii="Times New Roman" w:hAnsi="Times New Roman" w:eastAsia="Times New Roman" w:cs="Times New Roman"/>
          <w:lang w:val="en-US" w:bidi="en-US"/>
          <w:color w:val="111111"/>
          <w:sz w:val="28"/>
          <w:szCs w:val="28"/>
          <w:rtl/>
        </w:rPr>
        <w:t xml:space="preserve">darvīze nangerhārī ( - 1639)</w:t>
      </w:r>
    </w:p>
    <w:p>
      <w:pPr>
        <w:pStyle w:val="BookText"/>
      </w:pPr>
      <w:r>
        <w:rPr>
          <w:rFonts w:ascii="IRNazanin" w:hAnsi="IRNazanin" w:eastAsia="IRNazanin" w:cs="IRNazanin"/>
          <w:lang w:bidi="fa-IR"/>
          <w:color w:val="111111"/>
          <w:sz w:val="28"/>
          <w:szCs w:val="28"/>
          <w:rtl/>
        </w:rPr>
        <w:t xml:space="preserve">تهران؛ دانشگاه؛ شماره نسخه: 6220/1-ف</w:t>
      </w:r>
    </w:p>
    <w:p>
      <w:pPr>
        <w:pStyle w:val="BookText"/>
      </w:pPr>
      <w:r>
        <w:rPr>
          <w:rFonts w:ascii="IRNazanin" w:hAnsi="IRNazanin" w:eastAsia="IRNazanin" w:cs="IRNazanin"/>
          <w:lang w:bidi="fa-IR"/>
          <w:color w:val="111111"/>
          <w:sz w:val="28"/>
          <w:szCs w:val="28"/>
          <w:rtl/>
        </w:rPr>
        <w:t xml:space="preserve">نسخه اصل: ش 705 کتابخانه گنج بخش؛ بی کا، بی تا[ فیلمها - ف:3 - 211 ]</w:t>
      </w:r>
    </w:p>
    <w:p>
      <w:pPr>
        <w:pStyle w:val="Heading3"/>
      </w:pPr>
      <w:bookmarkStart w:id="572" w:name="_Toc94"/>
      <w:r>
        <w:t>ارشاد الطالبین / عرفان و تصوف / فارسی</w:t>
      </w:r>
      <w:bookmarkEnd w:id="572"/>
    </w:p>
    <w:p>
      <w:pPr>
        <w:pStyle w:val="BookText"/>
      </w:pPr>
      <w:r>
        <w:rPr>
          <w:rFonts w:ascii="Times New Roman" w:hAnsi="Times New Roman" w:eastAsia="Times New Roman" w:cs="Times New Roman"/>
          <w:lang w:val="en-US" w:bidi="en-US"/>
          <w:color w:val="111111"/>
          <w:sz w:val="28"/>
          <w:szCs w:val="28"/>
          <w:rtl/>
        </w:rPr>
        <w:t xml:space="preserve">eršād-ot-tālebīn</w:t>
      </w:r>
    </w:p>
    <w:p>
      <w:pPr>
        <w:pStyle w:val="BookText"/>
      </w:pPr>
      <w:r>
        <w:rPr>
          <w:rFonts w:ascii="IRNazanin" w:hAnsi="IRNazanin" w:eastAsia="IRNazanin" w:cs="IRNazanin"/>
          <w:lang w:bidi="fa-IR"/>
          <w:color w:val="111111"/>
          <w:sz w:val="28"/>
          <w:szCs w:val="28"/>
          <w:rtl/>
        </w:rPr>
        <w:t xml:space="preserve">دیباچه مانندی است بر مکاتیب احمد بن عبدالاحد فاروقی.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29" w:name="pg20365_260033"/>
    <w:bookmarkEnd w:id="29"/>
    <w:p>
      <w:pPr>
        <w:pStyle w:val="BookText"/>
      </w:pPr>
      <w:r>
        <w:rPr>
          <w:rFonts w:ascii="IRNazanin" w:hAnsi="IRNazanin" w:eastAsia="IRNazanin" w:cs="IRNazanin"/>
          <w:lang w:bidi="fa-IR"/>
          <w:color w:val="111111"/>
          <w:sz w:val="28"/>
          <w:szCs w:val="28"/>
          <w:rtl/>
        </w:rPr>
        <w:t xml:space="preserve">تهران؛ دانشگاه؛ شماره نسخه: 8624/4</w:t>
      </w:r>
    </w:p>
    <w:p>
      <w:pPr>
        <w:pStyle w:val="BookText"/>
      </w:pPr>
      <w:r>
        <w:rPr>
          <w:rFonts w:ascii="IRNazanin" w:hAnsi="IRNazanin" w:eastAsia="IRNazanin" w:cs="IRNazanin"/>
          <w:lang w:bidi="fa-IR"/>
          <w:color w:val="111111"/>
          <w:sz w:val="28"/>
          <w:szCs w:val="28"/>
          <w:rtl/>
        </w:rPr>
        <w:t xml:space="preserve">خط: نستعلیق ،ترک، کا: محمود شافعی شیرازی، بی تا، مجدول ،کاغذ: هندی، جلد: تیماج تریاکی ضربی مقوایی لولادار، 4 ص (244 - 247) ، 14 سطر (7</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 قطع: ربعی [ف: 17 – 179]</w:t>
      </w:r>
    </w:p>
    <w:p>
      <w:pPr>
        <w:pStyle w:val="Heading3"/>
      </w:pPr>
      <w:bookmarkStart w:id="573" w:name="_Toc95"/>
      <w:r>
        <w:t>ارشاد الطالبين / فارسی</w:t>
      </w:r>
      <w:bookmarkEnd w:id="573"/>
    </w:p>
    <w:p>
      <w:pPr>
        <w:pStyle w:val="BookText"/>
      </w:pPr>
      <w:r>
        <w:rPr>
          <w:rFonts w:ascii="Times New Roman" w:hAnsi="Times New Roman" w:eastAsia="Times New Roman" w:cs="Times New Roman"/>
          <w:lang w:val="en-US" w:bidi="en-US"/>
          <w:color w:val="111111"/>
          <w:sz w:val="28"/>
          <w:szCs w:val="28"/>
          <w:rtl/>
        </w:rPr>
        <w:t xml:space="preserve">eršād-ot-tālebīn</w:t>
      </w:r>
    </w:p>
    <w:p>
      <w:pPr>
        <w:pStyle w:val="BookText"/>
      </w:pPr>
      <w:r>
        <w:rPr>
          <w:rFonts w:ascii="IRNazanin" w:hAnsi="IRNazanin" w:eastAsia="IRNazanin" w:cs="IRNazanin"/>
          <w:lang w:bidi="fa-IR"/>
          <w:color w:val="111111"/>
          <w:sz w:val="28"/>
          <w:szCs w:val="28"/>
          <w:rtl/>
        </w:rPr>
        <w:t xml:space="preserve">تهران؛ ملی؛ شماره نسخه: 18190</w:t>
      </w:r>
    </w:p>
    <w:p>
      <w:pPr>
        <w:pStyle w:val="BookText"/>
      </w:pPr>
      <w:r>
        <w:rPr>
          <w:rFonts w:ascii="IRNazanin" w:hAnsi="IRNazanin" w:eastAsia="IRNazanin" w:cs="IRNazanin"/>
          <w:lang w:bidi="fa-IR"/>
          <w:color w:val="111111"/>
          <w:sz w:val="28"/>
          <w:szCs w:val="28"/>
          <w:rtl/>
        </w:rPr>
        <w:t xml:space="preserve">بی کا، بی تا، انتقالی از کتابخانه پهلوی - مجموعه نوازی اندازه: 15/3</w:t>
      </w:r>
      <w:r>
        <w:rPr>
          <w:rFonts w:ascii="Times New Roman" w:hAnsi="Times New Roman" w:eastAsia="Times New Roman" w:cs="Times New Roman"/>
          <w:lang w:val="en-US" w:bidi="en-US"/>
          <w:color w:val="111111"/>
          <w:sz w:val="28"/>
          <w:szCs w:val="28"/>
          <w:rtl/>
        </w:rPr>
        <w:t xml:space="preserve">×21/3 </w:t>
      </w:r>
      <w:r>
        <w:rPr>
          <w:rFonts w:ascii="IRNazanin" w:hAnsi="IRNazanin" w:eastAsia="IRNazanin" w:cs="IRNazanin"/>
          <w:lang w:bidi="fa-IR"/>
          <w:color w:val="111111"/>
          <w:sz w:val="28"/>
          <w:szCs w:val="28"/>
          <w:rtl/>
        </w:rPr>
        <w:t xml:space="preserve">سم [رایانه]</w:t>
      </w:r>
    </w:p>
    <w:p>
      <w:pPr>
        <w:pStyle w:val="Heading3"/>
      </w:pPr>
      <w:bookmarkStart w:id="574" w:name="_Toc96"/>
      <w:r>
        <w:t>إرشاد الطالبين إلى أقرب الطرق باليقين / متفرقه / عربی</w:t>
      </w:r>
      <w:bookmarkEnd w:id="574"/>
    </w:p>
    <w:p>
      <w:pPr>
        <w:pStyle w:val="BookText"/>
      </w:pPr>
      <w:r>
        <w:rPr>
          <w:rFonts w:ascii="Times New Roman" w:hAnsi="Times New Roman" w:eastAsia="Times New Roman" w:cs="Times New Roman"/>
          <w:lang w:val="en-US" w:bidi="en-US"/>
          <w:color w:val="111111"/>
          <w:sz w:val="28"/>
          <w:szCs w:val="28"/>
          <w:rtl/>
        </w:rPr>
        <w:t xml:space="preserve">iršād-uṭ ṭālibīn ila ’aqrab-iṭ ṭuruq bi-l-yaqīn</w:t>
      </w:r>
    </w:p>
    <w:p>
      <w:pPr>
        <w:pStyle w:val="BookText"/>
      </w:pPr>
      <w:r>
        <w:rPr>
          <w:rFonts w:ascii="IRNazanin" w:hAnsi="IRNazanin" w:eastAsia="IRNazanin" w:cs="IRNazanin"/>
          <w:lang w:bidi="fa-IR"/>
          <w:color w:val="111111"/>
          <w:sz w:val="28"/>
          <w:szCs w:val="28"/>
          <w:rtl/>
        </w:rPr>
        <w:t xml:space="preserve">خوئینی، محمد حسن بن مصطفى، ق 13 قمری</w:t>
      </w:r>
    </w:p>
    <w:p>
      <w:pPr>
        <w:pStyle w:val="BookText"/>
      </w:pPr>
      <w:r>
        <w:rPr>
          <w:rFonts w:ascii="Times New Roman" w:hAnsi="Times New Roman" w:eastAsia="Times New Roman" w:cs="Times New Roman"/>
          <w:lang w:val="en-US" w:bidi="en-US"/>
          <w:color w:val="111111"/>
          <w:sz w:val="28"/>
          <w:szCs w:val="28"/>
          <w:rtl/>
        </w:rPr>
        <w:t xml:space="preserve">xū’īnī, mohammad hasan ebn-e mostafā ( - 19c)</w:t>
      </w:r>
    </w:p>
    <w:p>
      <w:pPr>
        <w:pStyle w:val="BookText"/>
      </w:pPr>
      <w:r>
        <w:rPr>
          <w:rFonts w:ascii="IRNazanin" w:hAnsi="IRNazanin" w:eastAsia="IRNazanin" w:cs="IRNazanin"/>
          <w:lang w:bidi="fa-IR"/>
          <w:color w:val="111111"/>
          <w:sz w:val="28"/>
          <w:szCs w:val="28"/>
          <w:rtl/>
        </w:rPr>
        <w:t xml:space="preserve">رساله ای بسیار کوتاه در طبقه بندی علوم اسلامی و سیر مطالعاتی که برای طالبان علوم دینی نگاشته شده است.</w:t>
      </w:r>
    </w:p>
    <w:p>
      <w:pPr>
        <w:pStyle w:val="BookText"/>
      </w:pPr>
      <w:r>
        <w:rPr>
          <w:rFonts w:ascii="Amiri" w:hAnsi="Amiri" w:eastAsia="Amiri" w:cs="Amiri"/>
          <w:lang w:bidi="ar-SA"/>
          <w:color w:val="111111"/>
          <w:sz w:val="28"/>
          <w:szCs w:val="28"/>
          <w:rtl/>
        </w:rPr>
        <w:t xml:space="preserve">آغاز: الحمد لله الذى خلق الإنسان وأسبغ عليه نعمه ظاهرة باطنة بنص القرآن و سهل عليه سرق الكمال بإنزال الفرقان.</w:t>
      </w:r>
    </w:p>
    <w:p>
      <w:pPr>
        <w:pStyle w:val="BookText"/>
      </w:pPr>
      <w:r>
        <w:rPr>
          <w:rFonts w:ascii="Amiri" w:hAnsi="Amiri" w:eastAsia="Amiri" w:cs="Amiri"/>
          <w:lang w:bidi="ar-SA"/>
          <w:color w:val="111111"/>
          <w:sz w:val="28"/>
          <w:szCs w:val="28"/>
          <w:rtl/>
        </w:rPr>
        <w:t xml:space="preserve">.. أما بعد اعلم أن طريق تحصيل المال و أرسل خير الإنس والجان</w:t>
      </w:r>
    </w:p>
    <w:p>
      <w:pPr>
        <w:pStyle w:val="BookText"/>
      </w:pPr>
      <w:r>
        <w:rPr>
          <w:rFonts w:ascii="Amiri" w:hAnsi="Amiri" w:eastAsia="Amiri" w:cs="Amiri"/>
          <w:lang w:bidi="ar-SA"/>
          <w:color w:val="111111"/>
          <w:sz w:val="28"/>
          <w:szCs w:val="28"/>
          <w:rtl/>
        </w:rPr>
        <w:t xml:space="preserve">انجام: المتنى بزبدة الأصول و المختصر النافع في ستة أشهر بل من النحو والصرف و المنطق و الأصول والفقه شبيه.</w:t>
      </w:r>
    </w:p>
    <w:p>
      <w:pPr>
        <w:pStyle w:val="BookText"/>
      </w:pPr>
      <w:r>
        <w:rPr>
          <w:rFonts w:ascii="IRNazanin" w:hAnsi="IRNazanin" w:eastAsia="IRNazanin" w:cs="IRNazanin"/>
          <w:lang w:bidi="fa-IR"/>
          <w:color w:val="111111"/>
          <w:sz w:val="28"/>
          <w:szCs w:val="28"/>
          <w:rtl/>
        </w:rPr>
        <w:t xml:space="preserve">قم؛ مرعشی؛ شماره نسخه: 12962/25</w:t>
      </w:r>
    </w:p>
    <w:p>
      <w:pPr>
        <w:pStyle w:val="BookText"/>
      </w:pPr>
      <w:r>
        <w:rPr>
          <w:rFonts w:ascii="IRNazanin" w:hAnsi="IRNazanin" w:eastAsia="IRNazanin" w:cs="IRNazanin"/>
          <w:lang w:bidi="fa-IR"/>
          <w:color w:val="111111"/>
          <w:sz w:val="28"/>
          <w:szCs w:val="28"/>
          <w:rtl/>
        </w:rPr>
        <w:t xml:space="preserve">خط: شکسته نستعلیق، بی کا، تا: قرن 13؛ ابیاتی از «شیخ بهایی» ،دیگران پس از پایان رساله در برگ های« 196 پ198پ» فوائد گوناگونی در اسامی ضعفاء الرجال چند تاریخ وفات از اعاظم و بزرگان ،شیعه ادعیه و حرزهای گوناگون در طب و غیر آن انجام یک فائده در مراتب تحصیل علوم اسلامی که در آن از حسینا قزوینی و فاضل هندی و نیز سيد عبدالكريم بن طاووس حلی یاد شده است؛ کاغذ: فرنگی، جلد: مشمعی مشکی عطف، تیماج مشکی، 1گ (196ر)، 23 سطر (8</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 اندازه: 16</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سم [ف: 32 - 882]</w:t>
      </w:r>
    </w:p>
    <w:p>
      <w:pPr>
        <w:pStyle w:val="Heading3"/>
      </w:pPr>
      <w:bookmarkStart w:id="575" w:name="_Toc97"/>
      <w:r>
        <w:t>إرشاد الطالبين إلى نهج المسترشدين / كلام و اعتقادات / عربی</w:t>
      </w:r>
      <w:bookmarkEnd w:id="575"/>
    </w:p>
    <w:p>
      <w:pPr>
        <w:pStyle w:val="BookText"/>
      </w:pPr>
      <w:r>
        <w:rPr>
          <w:rFonts w:ascii="Times New Roman" w:hAnsi="Times New Roman" w:eastAsia="Times New Roman" w:cs="Times New Roman"/>
          <w:lang w:val="en-US" w:bidi="en-US"/>
          <w:color w:val="111111"/>
          <w:sz w:val="28"/>
          <w:szCs w:val="28"/>
          <w:rtl/>
        </w:rPr>
        <w:t xml:space="preserve">iršād-uṭ-ṭālibīn ila nahj-il-mustaršidīn</w:t>
      </w:r>
    </w:p>
    <w:p>
      <w:pPr>
        <w:pStyle w:val="BookText"/>
      </w:pPr>
      <w:r>
        <w:rPr>
          <w:rFonts w:ascii="IRNazanin" w:hAnsi="IRNazanin" w:eastAsia="IRNazanin" w:cs="IRNazanin"/>
          <w:lang w:bidi="fa-IR"/>
          <w:color w:val="111111"/>
          <w:sz w:val="28"/>
          <w:szCs w:val="28"/>
          <w:rtl/>
        </w:rPr>
        <w:t xml:space="preserve">فاضل مقداد، مقداد بن عبد الله - 826 قمری</w:t>
      </w:r>
    </w:p>
    <w:p>
      <w:pPr>
        <w:pStyle w:val="BookText"/>
      </w:pPr>
      <w:r>
        <w:rPr>
          <w:rFonts w:ascii="Times New Roman" w:hAnsi="Times New Roman" w:eastAsia="Times New Roman" w:cs="Times New Roman"/>
          <w:lang w:val="en-US" w:bidi="en-US"/>
          <w:color w:val="111111"/>
          <w:sz w:val="28"/>
          <w:szCs w:val="28"/>
          <w:rtl/>
        </w:rPr>
        <w:t xml:space="preserve">fāzel-e meqdād</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meqdād-e-bn-e ‘abd-ol-lāh ( - 1423)</w:t>
      </w:r>
    </w:p>
    <w:p>
      <w:pPr>
        <w:pStyle w:val="BookText"/>
      </w:pPr>
      <w:r>
        <w:rPr>
          <w:rFonts w:ascii="IRNazanin" w:hAnsi="IRNazanin" w:eastAsia="IRNazanin" w:cs="IRNazanin"/>
          <w:lang w:bidi="fa-IR"/>
          <w:color w:val="111111"/>
          <w:sz w:val="28"/>
          <w:szCs w:val="28"/>
          <w:rtl/>
        </w:rPr>
        <w:t xml:space="preserve">وابسته به نهج المسترشدین فی اصول الدین علامه حلی حسن بن يوسف (648-726)</w:t>
      </w:r>
    </w:p>
    <w:p>
      <w:pPr>
        <w:pStyle w:val="BookText"/>
      </w:pPr>
      <w:r>
        <w:rPr>
          <w:rFonts w:ascii="IRNazanin" w:hAnsi="IRNazanin" w:eastAsia="IRNazanin" w:cs="IRNazanin"/>
          <w:lang w:bidi="fa-IR"/>
          <w:color w:val="111111"/>
          <w:sz w:val="28"/>
          <w:szCs w:val="28"/>
          <w:rtl/>
        </w:rPr>
        <w:t xml:space="preserve">سال تألیف: پنج شنبه 21 شعبان 792ق</w:t>
      </w:r>
    </w:p>
    <w:p>
      <w:pPr>
        <w:pStyle w:val="BookText"/>
      </w:pPr>
      <w:r>
        <w:rPr>
          <w:rFonts w:ascii="IRNazanin" w:hAnsi="IRNazanin" w:eastAsia="IRNazanin" w:cs="IRNazanin"/>
          <w:lang w:bidi="fa-IR"/>
          <w:color w:val="111111"/>
          <w:sz w:val="28"/>
          <w:szCs w:val="28"/>
          <w:rtl/>
        </w:rPr>
        <w:t xml:space="preserve">گزارش مبسوطی است با عناوین «قال - اقول» بر کتاب «نهج المسترشدین» در آن به توضیح مشکلات و معضلات متن  پرداخته است.</w:t>
      </w:r>
    </w:p>
    <w:p>
      <w:pPr>
        <w:pStyle w:val="BookText"/>
      </w:pPr>
      <w:r>
        <w:rPr>
          <w:rFonts w:ascii="IRNazanin" w:hAnsi="IRNazanin" w:eastAsia="IRNazanin" w:cs="IRNazanin"/>
          <w:lang w:bidi="fa-IR"/>
          <w:color w:val="111111"/>
          <w:sz w:val="28"/>
          <w:szCs w:val="28"/>
          <w:rtl/>
        </w:rPr>
        <w:t xml:space="preserve">آغاز : بسمله ان اولی ما صرفت فيه قوة فحول الافكار لاقحة لتجريد ابكار الاذكار مستخدمة فى اظهار نتايجها. .. اما بعد نحوى. .. اكرمه الله من عندهو اولاه المزيد فضله و جليل رفده ان ينحل</w:t>
      </w:r>
    </w:p>
    <w:p>
      <w:pPr>
        <w:pStyle w:val="BookText"/>
      </w:pPr>
      <w:r>
        <w:rPr>
          <w:rFonts w:ascii="IRNazanin" w:hAnsi="IRNazanin" w:eastAsia="IRNazanin" w:cs="IRNazanin"/>
          <w:lang w:bidi="fa-IR"/>
          <w:color w:val="111111"/>
          <w:sz w:val="28"/>
          <w:szCs w:val="28"/>
          <w:rtl/>
        </w:rPr>
        <w:t xml:space="preserve">انجام: یا الله یا الله یا الله اسألك ان تصلى على محمد و آل محمد و ان لاتشوه خلقنى بالنار و ان تفعل بي ما انت اهله و لا تفعل بی ما انا اهله انك اهل التقوى واهل المغفرة تم</w:t>
      </w:r>
    </w:p>
    <w:p>
      <w:pPr>
        <w:pStyle w:val="BookText"/>
      </w:pPr>
      <w:r>
        <w:rPr>
          <w:rFonts w:ascii="IRNazanin" w:hAnsi="IRNazanin" w:eastAsia="IRNazanin" w:cs="IRNazanin"/>
          <w:lang w:bidi="fa-IR"/>
          <w:color w:val="111111"/>
          <w:sz w:val="28"/>
          <w:szCs w:val="28"/>
          <w:rtl/>
        </w:rPr>
        <w:t xml:space="preserve">چاپ: بمبئی ،سنگی 1303، وزیری، 213ص</w:t>
      </w:r>
    </w:p>
    <w:p>
      <w:pPr>
        <w:pStyle w:val="BookText"/>
      </w:pPr>
      <w:r>
        <w:rPr>
          <w:rFonts w:ascii="Amiri" w:hAnsi="Amiri" w:eastAsia="Amiri" w:cs="Amiri"/>
          <w:lang w:bidi="ar-SA"/>
          <w:color w:val="111111"/>
          <w:sz w:val="28"/>
          <w:szCs w:val="28"/>
          <w:rtl/>
        </w:rPr>
        <w:t xml:space="preserve">[الذريعة 515/1؛ كشف الحجب 359]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مدرسه معمار باشی؛ شماره نسخه: 93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كاتب - مؤلف، تا: قرن 9 و 10؛ در صفحه اول نسخه آمده کتاب به خط مؤلف است، مصحح و در پایان یادداشت محمد بن حسن بن محمد اشتری مبنی بر این که نسخه را تصحیح کرده است؛ قبل از کتاب وقف نامه آن به تاریخ 1302ق؛ جلد: تيماج قهوه ای ،جدول دار، 204گ، 17 سطر [ف: 112]</w:t>
      </w:r>
    </w:p>
    <w:p>
      <w:pPr>
        <w:pStyle w:val="BookText"/>
      </w:pPr>
      <w:r>
        <w:rPr>
          <w:rFonts w:ascii="IRNazanin" w:hAnsi="IRNazanin" w:eastAsia="IRNazanin" w:cs="IRNazanin"/>
          <w:lang w:bidi="fa-IR"/>
          <w:color w:val="111111"/>
          <w:sz w:val="28"/>
          <w:szCs w:val="28"/>
          <w:rtl/>
        </w:rPr>
        <w:t xml:space="preserve">قم؛ مرعشی؛ شماره :نسخه 107 عکسی و 438 عکسی و 440 عکسی</w:t>
      </w:r>
    </w:p>
    <w:p>
      <w:pPr>
        <w:pStyle w:val="BookText"/>
      </w:pPr>
      <w:r>
        <w:rPr>
          <w:rFonts w:ascii="IRNazanin" w:hAnsi="IRNazanin" w:eastAsia="IRNazanin" w:cs="IRNazanin"/>
          <w:lang w:bidi="fa-IR"/>
          <w:color w:val="111111"/>
          <w:sz w:val="28"/>
          <w:szCs w:val="28"/>
          <w:rtl/>
        </w:rPr>
        <w:t xml:space="preserve">نسخه اصل: همان نسخه بالا [عکسی ف: 1 - 108 و 387]</w:t>
      </w:r>
    </w:p>
    <w:p>
      <w:pPr>
        <w:pStyle w:val="BookText"/>
      </w:pPr>
      <w:r>
        <w:rPr>
          <w:rFonts w:ascii="IRNazanin" w:hAnsi="IRNazanin" w:eastAsia="IRNazanin" w:cs="IRNazanin"/>
          <w:lang w:bidi="fa-IR"/>
          <w:color w:val="111111"/>
          <w:sz w:val="28"/>
          <w:szCs w:val="28"/>
          <w:rtl/>
        </w:rPr>
        <w:t xml:space="preserve">2.تهران؛ الهیات؛ شماره نسخه: 272</w:t>
      </w:r>
    </w:p>
    <w:p>
      <w:pPr>
        <w:pStyle w:val="BookText"/>
      </w:pPr>
      <w:r>
        <w:rPr>
          <w:rFonts w:ascii="IRNazanin" w:hAnsi="IRNazanin" w:eastAsia="IRNazanin" w:cs="IRNazanin"/>
          <w:lang w:bidi="fa-IR"/>
          <w:color w:val="111111"/>
          <w:sz w:val="28"/>
          <w:szCs w:val="28"/>
          <w:rtl/>
        </w:rPr>
        <w:t xml:space="preserve">خط: نسخ، بی کا، تا: قرن 9 (در زمان مؤلف)؛ از برگ 181ر تا 188 پ نونویس مفید است محشی با نشانه «ن)، م (مفید)»؛ تملک: عبد الرضا طبا امانت نزد محمد علی؛ کاغذ: سمرقندی، جلد: تیماج سرخ ضربی ،مقوایی 188گ، 18 و 20 سطر (10</w:t>
      </w:r>
      <w:r>
        <w:rPr>
          <w:rFonts w:ascii="Times New Roman" w:hAnsi="Times New Roman" w:eastAsia="Times New Roman" w:cs="Times New Roman"/>
          <w:lang w:val="en-US" w:bidi="en-US"/>
          <w:color w:val="111111"/>
          <w:sz w:val="28"/>
          <w:szCs w:val="28"/>
          <w:rtl/>
        </w:rPr>
        <w:t xml:space="preserve">×12/5)</w:t>
      </w:r>
      <w:r>
        <w:rPr>
          <w:rFonts w:ascii="IRNazanin" w:hAnsi="IRNazanin" w:eastAsia="IRNazanin" w:cs="IRNazanin"/>
          <w:lang w:bidi="fa-IR"/>
          <w:color w:val="111111"/>
          <w:sz w:val="28"/>
          <w:szCs w:val="28"/>
          <w:rtl/>
        </w:rPr>
        <w:t xml:space="preserve">، :اندازه: 13/5</w:t>
      </w:r>
      <w:r>
        <w:rPr>
          <w:rFonts w:ascii="Times New Roman" w:hAnsi="Times New Roman" w:eastAsia="Times New Roman" w:cs="Times New Roman"/>
          <w:lang w:val="en-US" w:bidi="en-US"/>
          <w:color w:val="111111"/>
          <w:sz w:val="28"/>
          <w:szCs w:val="28"/>
          <w:rtl/>
        </w:rPr>
        <w:t xml:space="preserve">×18/5</w:t>
      </w:r>
      <w:r>
        <w:rPr>
          <w:rFonts w:ascii="IRNazanin" w:hAnsi="IRNazanin" w:eastAsia="IRNazanin" w:cs="IRNazanin"/>
          <w:lang w:bidi="fa-IR"/>
          <w:color w:val="111111"/>
          <w:sz w:val="28"/>
          <w:szCs w:val="28"/>
          <w:rtl/>
        </w:rPr>
        <w:t xml:space="preserve">سم [ف - 453]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سپهسالار؛ شماره نسخه: 6610</w:t>
      </w:r>
    </w:p>
    <w:p>
      <w:pPr>
        <w:pStyle w:val="BookText"/>
      </w:pPr>
      <w:r>
        <w:rPr>
          <w:rFonts w:ascii="IRNazanin" w:hAnsi="IRNazanin" w:eastAsia="IRNazanin" w:cs="IRNazanin"/>
          <w:lang w:bidi="fa-IR"/>
          <w:color w:val="111111"/>
          <w:sz w:val="28"/>
          <w:szCs w:val="28"/>
          <w:rtl/>
        </w:rPr>
        <w:t xml:space="preserve">خط: نسخ، بی کا، تا: قرن 9؛ کاغذ: سمرقندی نخودی، جلد: تيماج سبز ضربی مقوایی، 161گ، 21 سطر ، اندازه: 15</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[ف: 3 - 108]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خوانسار؛ فاضل؛ شماره نسخه: 33</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،نازیبا، بی کا، تا: قرن 9 ،مصحح، دارای دو نوع علامت بلاغ، در برگ چهارم چنین آمده است: «بلغت قراءة شيخنا الفاضل العالم الشيخ عبدالله ایده الله تعالى و ابقاه و کتبه عزالدین حسین الاسترآباری»، در دو برگ آخر چند  مسأله فقهی با پاسخ آن به عربی  آمده؛ کاغذ: ضخیم نخودی، جلد: تیماج قرمز، 222گ مختلف السطر ، اندازه: 1</w:t>
      </w:r>
      <w:r>
        <w:rPr>
          <w:rFonts w:ascii="Times New Roman" w:hAnsi="Times New Roman" w:eastAsia="Times New Roman" w:cs="Times New Roman"/>
          <w:lang w:val="en-US" w:bidi="en-US"/>
          <w:color w:val="111111"/>
          <w:sz w:val="28"/>
          <w:szCs w:val="28"/>
          <w:rtl/>
        </w:rPr>
        <w:t xml:space="preserve">×418</w:t>
      </w:r>
      <w:r>
        <w:rPr>
          <w:rFonts w:ascii="IRNazanin" w:hAnsi="IRNazanin" w:eastAsia="IRNazanin" w:cs="IRNazanin"/>
          <w:lang w:bidi="fa-IR"/>
          <w:color w:val="111111"/>
          <w:sz w:val="28"/>
          <w:szCs w:val="28"/>
          <w:rtl/>
        </w:rPr>
        <w:t xml:space="preserve">سم [ف: 1 - 28]</w:t>
      </w:r>
    </w:p>
    <w:p>
      <w:pPr>
        <w:pStyle w:val="BookText"/>
      </w:pPr>
      <w:r>
        <w:rPr>
          <w:rFonts w:ascii="IRNazanin" w:hAnsi="IRNazanin" w:eastAsia="IRNazanin" w:cs="IRNazanin"/>
          <w:lang w:bidi="fa-IR"/>
          <w:color w:val="111111"/>
          <w:sz w:val="28"/>
          <w:szCs w:val="28"/>
          <w:rtl/>
        </w:rPr>
        <w:t xml:space="preserve">قم؛ مرکز احیاء؛ شماره نسخه: 109</w:t>
      </w:r>
    </w:p>
    <w:p>
      <w:pPr>
        <w:pStyle w:val="BookText"/>
      </w:pPr>
      <w:r>
        <w:rPr>
          <w:rFonts w:ascii="IRNazanin" w:hAnsi="IRNazanin" w:eastAsia="IRNazanin" w:cs="IRNazanin"/>
          <w:lang w:bidi="fa-IR"/>
          <w:color w:val="111111"/>
          <w:sz w:val="28"/>
          <w:szCs w:val="28"/>
          <w:rtl/>
        </w:rPr>
        <w:t xml:space="preserve">نسخه اصل: همان نسخه بالا [ عکسی ف: 1 - 130]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5.آران کاشان؛ محمد هلال؛ شماره نسخه: 39</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خط:نسخ کهن و نستعليق، كا: حمزة بن احمد بن ابراهيم مناری،تا: 20 ربیع الاول 852ق ،مصحح، محشی، دارای علامت بلاغ به امضای حسن بن علی بن [ ... ] در سال 875؛ تملک: «محمد بهاء الدین» در اصفهان با مهر «البهاء كله لک 1088 »(بیضی)؛ جلد: تیماج قهوه ای ،مجدول ضربی 401 گ، 15 سطر ، اندازه: 13</w:t>
      </w:r>
      <w:r>
        <w:rPr>
          <w:rFonts w:ascii="Times New Roman" w:hAnsi="Times New Roman" w:eastAsia="Times New Roman" w:cs="Times New Roman"/>
          <w:lang w:val="en-US" w:bidi="en-US"/>
          <w:color w:val="111111"/>
          <w:sz w:val="28"/>
          <w:szCs w:val="28"/>
          <w:rtl/>
        </w:rPr>
        <w:t xml:space="preserve">×17/5</w:t>
      </w:r>
      <w:r>
        <w:rPr>
          <w:rFonts w:ascii="IRNazanin" w:hAnsi="IRNazanin" w:eastAsia="IRNazanin" w:cs="IRNazanin"/>
          <w:lang w:bidi="fa-IR"/>
          <w:color w:val="111111"/>
          <w:sz w:val="28"/>
          <w:szCs w:val="28"/>
          <w:rtl/>
        </w:rPr>
        <w:t xml:space="preserve">سم [محمد هلال مخ: - 10]</w:t>
      </w:r>
    </w:p>
    <w:p>
      <w:pPr>
        <w:pStyle w:val="BookText"/>
      </w:pPr>
      <w:r>
        <w:rPr>
          <w:rFonts w:ascii="IRNazanin" w:hAnsi="IRNazanin" w:eastAsia="IRNazanin" w:cs="IRNazanin"/>
          <w:lang w:bidi="fa-IR"/>
          <w:color w:val="111111"/>
          <w:sz w:val="28"/>
          <w:szCs w:val="28"/>
          <w:rtl/>
        </w:rPr>
        <w:t xml:space="preserve">قم؛ مرکز احیاء؛ شماره نسخه: 662</w:t>
      </w:r>
    </w:p>
    <w:p>
      <w:pPr>
        <w:pStyle w:val="BookText"/>
      </w:pPr>
      <w:r>
        <w:rPr>
          <w:rFonts w:ascii="IRNazanin" w:hAnsi="IRNazanin" w:eastAsia="IRNazanin" w:cs="IRNazanin"/>
          <w:lang w:bidi="fa-IR"/>
          <w:color w:val="111111"/>
          <w:sz w:val="28"/>
          <w:szCs w:val="28"/>
          <w:rtl/>
        </w:rPr>
        <w:t xml:space="preserve">نسخه اصل: همان نسخه بالا [ عکسی ف: 2 - (289]</w:t>
      </w:r>
    </w:p>
    <w:p>
      <w:pPr>
        <w:pStyle w:val="BookText"/>
      </w:pPr>
      <w:r>
        <w:rPr>
          <w:rFonts w:ascii="IRNazanin" w:hAnsi="IRNazanin" w:eastAsia="IRNazanin" w:cs="IRNazanin"/>
          <w:lang w:bidi="fa-IR"/>
          <w:color w:val="111111"/>
          <w:sz w:val="28"/>
          <w:szCs w:val="28"/>
          <w:rtl/>
        </w:rPr>
        <w:t xml:space="preserve">6 . تهران؛ مجلس؛ شماره نسخه: 7232/2</w:t>
      </w:r>
    </w:p>
    <w:p>
      <w:pPr>
        <w:pStyle w:val="BookText"/>
      </w:pPr>
      <w:r>
        <w:rPr>
          <w:rFonts w:ascii="Amiri" w:hAnsi="Amiri" w:eastAsia="Amiri" w:cs="Amiri"/>
          <w:lang w:bidi="ar-SA"/>
          <w:color w:val="111111"/>
          <w:sz w:val="28"/>
          <w:szCs w:val="28"/>
          <w:rtl/>
        </w:rPr>
        <w:t xml:space="preserve">آغاز: برابر؛ انجام: الرابع النفاق و هو لغة ابطال الشخص خلاف ما يظهر منه و منه النافقا و هو احد حجرة اليربوع بكتمها.</w:t>
      </w:r>
    </w:p>
    <w:p>
      <w:pPr>
        <w:pStyle w:val="BookText"/>
      </w:pPr>
      <w:r>
        <w:rPr>
          <w:rFonts w:ascii="IRNazanin" w:hAnsi="IRNazanin" w:eastAsia="IRNazanin" w:cs="IRNazanin"/>
          <w:lang w:bidi="fa-IR"/>
          <w:color w:val="111111"/>
          <w:sz w:val="28"/>
          <w:szCs w:val="28"/>
          <w:rtl/>
        </w:rPr>
        <w:t xml:space="preserve">خط:نسخ، كا، على بن فخرالدين بن حسن بن نجم الدين ایوب اعرج حسینی، تا: جمعه 25 شعبان 857ق ؛جلد: تیماج قهوه ای، 57گ (141 پ -198ر) ، اندازه: </w:t>
      </w:r>
      <w:r>
        <w:rPr>
          <w:rFonts w:ascii="Times New Roman" w:hAnsi="Times New Roman" w:eastAsia="Times New Roman" w:cs="Times New Roman"/>
          <w:lang w:val="en-US" w:bidi="en-US"/>
          <w:color w:val="111111"/>
          <w:sz w:val="28"/>
          <w:szCs w:val="28"/>
          <w:rtl/>
        </w:rPr>
        <w:t xml:space="preserve">× 25 </w:t>
      </w:r>
      <w:r>
        <w:rPr>
          <w:rFonts w:ascii="IRNazanin" w:hAnsi="IRNazanin" w:eastAsia="IRNazanin" w:cs="IRNazanin"/>
          <w:lang w:bidi="fa-IR"/>
          <w:color w:val="111111"/>
          <w:sz w:val="28"/>
          <w:szCs w:val="28"/>
          <w:rtl/>
        </w:rPr>
        <w:t xml:space="preserve">سم [ف: 25 - 232 ]</w:t>
      </w:r>
    </w:p>
    <w:p>
      <w:pPr>
        <w:pStyle w:val="BookText"/>
      </w:pPr>
      <w:r>
        <w:rPr>
          <w:rFonts w:ascii="IRNazanin" w:hAnsi="IRNazanin" w:eastAsia="IRNazanin" w:cs="IRNazanin"/>
          <w:lang w:bidi="fa-IR"/>
          <w:color w:val="111111"/>
          <w:sz w:val="28"/>
          <w:szCs w:val="28"/>
          <w:rtl/>
        </w:rPr>
        <w:t xml:space="preserve">7.تهران؛ دانشگاه؛ شماره نسخه: 1236</w:t>
      </w:r>
    </w:p>
    <w:p>
      <w:pPr>
        <w:pStyle w:val="BookText"/>
      </w:pPr>
      <w:r>
        <w:rPr>
          <w:rFonts w:ascii="Amiri" w:hAnsi="Amiri" w:eastAsia="Amiri" w:cs="Amiri"/>
          <w:lang w:bidi="ar-SA"/>
          <w:color w:val="111111"/>
          <w:sz w:val="28"/>
          <w:szCs w:val="28"/>
          <w:rtl/>
        </w:rPr>
        <w:t xml:space="preserve">آغاز: بسمله بالله و متوكلا عليه و متقربا يوضعه اليه؛ انجام: ثم ان الذى يدل على ان الايمان ايس هو العمل الصالح</w:t>
      </w:r>
    </w:p>
    <w:p>
      <w:pPr>
        <w:pStyle w:val="BookText"/>
      </w:pPr>
      <w:r>
        <w:rPr>
          <w:rFonts w:ascii="IRNazanin" w:hAnsi="IRNazanin" w:eastAsia="IRNazanin" w:cs="IRNazanin"/>
          <w:lang w:bidi="fa-IR"/>
          <w:color w:val="111111"/>
          <w:sz w:val="28"/>
          <w:szCs w:val="28"/>
          <w:rtl/>
        </w:rPr>
        <w:t xml:space="preserve">خط: نسخ، کا: محمد بن حبيش غروی، تا: شنبه 12 رمضان 895ق ؛جا: کاشان؛ محشی با نشان «عنه مدظله» و «حرره محمدالحلی» دارای علامت بلاغ؛ کاغذ: ترمه، جلد: مقوا، 91 گ، 17 سطر (13</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 اندازه: 8</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سم [ف: 7 - 2604]</w:t>
      </w:r>
    </w:p>
    <w:p>
      <w:pPr>
        <w:pStyle w:val="BookText"/>
      </w:pPr>
      <w:r>
        <w:rPr>
          <w:rFonts w:ascii="IRNazanin" w:hAnsi="IRNazanin" w:eastAsia="IRNazanin" w:cs="IRNazanin"/>
          <w:lang w:bidi="fa-IR"/>
          <w:color w:val="111111"/>
          <w:sz w:val="28"/>
          <w:szCs w:val="28"/>
          <w:rtl/>
        </w:rPr>
        <w:t xml:space="preserve">8.تهران؛ ادبیات؛ شماره نسخه: 154</w:t>
      </w:r>
    </w:p>
    <w:p>
      <w:pPr>
        <w:pStyle w:val="BookText"/>
      </w:pPr>
      <w:r>
        <w:rPr>
          <w:rFonts w:ascii="IRNazanin" w:hAnsi="IRNazanin" w:eastAsia="IRNazanin" w:cs="IRNazanin"/>
          <w:lang w:bidi="fa-IR"/>
          <w:color w:val="111111"/>
          <w:sz w:val="28"/>
          <w:szCs w:val="28"/>
          <w:rtl/>
        </w:rPr>
        <w:t xml:space="preserve">خط: نسخ، كا: حامد بن يوسف بن ابی داود عسکراوی،تا: یک شنبه 28 ربیع الاول 941 ق[ف: 3 - 69]</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شیراز؛ شاهچراغ؛ شماره نسخه: 2453</w:t>
      </w:r>
    </w:p>
    <w:p>
      <w:pPr>
        <w:pStyle w:val="BookText"/>
      </w:pPr>
      <w:r>
        <w:rPr>
          <w:rFonts w:ascii="IRNazanin" w:hAnsi="IRNazanin" w:eastAsia="IRNazanin" w:cs="IRNazanin"/>
          <w:lang w:bidi="fa-IR"/>
          <w:color w:val="111111"/>
          <w:sz w:val="28"/>
          <w:szCs w:val="28"/>
          <w:rtl/>
        </w:rPr>
        <w:t xml:space="preserve">خط: نسخ، کا: محمد هادی بن ملا شمسای شیرازی، تا: پنج شنبه 11 رمضان 1062ق؛ جا: طائف؛ افتادگی: آغاز؛ مصحح، اندازه: 14/5</w:t>
      </w:r>
      <w:r>
        <w:rPr>
          <w:rFonts w:ascii="Times New Roman" w:hAnsi="Times New Roman" w:eastAsia="Times New Roman" w:cs="Times New Roman"/>
          <w:lang w:val="en-US" w:bidi="en-US"/>
          <w:color w:val="111111"/>
          <w:sz w:val="28"/>
          <w:szCs w:val="28"/>
          <w:rtl/>
        </w:rPr>
        <w:t xml:space="preserve">×20/5</w:t>
      </w:r>
      <w:r>
        <w:rPr>
          <w:rFonts w:ascii="IRNazanin" w:hAnsi="IRNazanin" w:eastAsia="IRNazanin" w:cs="IRNazanin"/>
          <w:lang w:bidi="fa-IR"/>
          <w:color w:val="111111"/>
          <w:sz w:val="28"/>
          <w:szCs w:val="28"/>
          <w:rtl/>
        </w:rPr>
        <w:t xml:space="preserve">سم [ف: 3 - 7]</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شیراز؛ علامه طباطبائی؛ شماره نسخه: 1529</w:t>
      </w:r>
    </w:p>
    <w:p>
      <w:pPr>
        <w:pStyle w:val="BookText"/>
      </w:pPr>
      <w:r>
        <w:rPr>
          <w:rFonts w:ascii="IRNazanin" w:hAnsi="IRNazanin" w:eastAsia="IRNazanin" w:cs="IRNazanin"/>
          <w:lang w:bidi="fa-IR"/>
          <w:color w:val="111111"/>
          <w:sz w:val="28"/>
          <w:szCs w:val="28"/>
          <w:rtl/>
        </w:rPr>
        <w:t xml:space="preserve">خط: نستعلیق، کا: ابراهیم بن علوان خرامی جوازری، تا: شنبه 14صفر 1067ق؛ افتادگی: آغاز ؛ مصحح، با علامت بلاغ، اندازه: 13</w:t>
      </w:r>
      <w:r>
        <w:rPr>
          <w:rFonts w:ascii="Times New Roman" w:hAnsi="Times New Roman" w:eastAsia="Times New Roman" w:cs="Times New Roman"/>
          <w:lang w:val="en-US" w:bidi="en-US"/>
          <w:color w:val="111111"/>
          <w:sz w:val="28"/>
          <w:szCs w:val="28"/>
          <w:rtl/>
        </w:rPr>
        <w:t xml:space="preserve">×24/5</w:t>
      </w:r>
      <w:r>
        <w:rPr>
          <w:rFonts w:ascii="IRNazanin" w:hAnsi="IRNazanin" w:eastAsia="IRNazanin" w:cs="IRNazanin"/>
          <w:lang w:bidi="fa-IR"/>
          <w:color w:val="111111"/>
          <w:sz w:val="28"/>
          <w:szCs w:val="28"/>
          <w:rtl/>
        </w:rPr>
        <w:t xml:space="preserve">سم [نسخه پژوهی: 2 - 111]</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مشهد؛ مدرسه آیة الله خوئی؛ شماره نسخه: 248</w:t>
      </w:r>
    </w:p>
    <w:p>
      <w:pPr>
        <w:pStyle w:val="BookText"/>
      </w:pPr>
      <w:r>
        <w:rPr>
          <w:rFonts w:ascii="IRNazanin" w:hAnsi="IRNazanin" w:eastAsia="IRNazanin" w:cs="IRNazanin"/>
          <w:lang w:bidi="fa-IR"/>
          <w:color w:val="111111"/>
          <w:sz w:val="28"/>
          <w:szCs w:val="28"/>
          <w:rtl/>
        </w:rPr>
        <w:t xml:space="preserve">کا:سید نعمة الله بن عبدالله جزایری (محدث مشهور)، تا: 1068ق؛ [اوراق عتيق: 1 - 241]</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قم؛ مرعشی؛ شماره نسخه: 3427</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مقیم بن پیر قلی زرقانی، تا: 1089ق؛ افتادگی: آغاز؛ مصحح، محشى؛ جلد: تیماج قهوه ای بدون مقوا، 176 گ،19 سطر ، اندازه: 14/5</w:t>
      </w:r>
      <w:r>
        <w:rPr>
          <w:rFonts w:ascii="Times New Roman" w:hAnsi="Times New Roman" w:eastAsia="Times New Roman" w:cs="Times New Roman"/>
          <w:lang w:val="en-US" w:bidi="en-US"/>
          <w:color w:val="111111"/>
          <w:sz w:val="28"/>
          <w:szCs w:val="28"/>
          <w:rtl/>
        </w:rPr>
        <w:t xml:space="preserve">×19/5</w:t>
      </w:r>
      <w:r>
        <w:rPr>
          <w:rFonts w:ascii="IRNazanin" w:hAnsi="IRNazanin" w:eastAsia="IRNazanin" w:cs="IRNazanin"/>
          <w:lang w:bidi="fa-IR"/>
          <w:color w:val="111111"/>
          <w:sz w:val="28"/>
          <w:szCs w:val="28"/>
          <w:rtl/>
        </w:rPr>
        <w:t xml:space="preserve">سم [ف: 9 - 214]</w:t>
      </w:r>
    </w:p>
    <w:p>
      <w:pPr>
        <w:pStyle w:val="BookText"/>
      </w:pPr>
      <w:r>
        <w:rPr>
          <w:rFonts w:ascii="IRNazanin" w:hAnsi="IRNazanin" w:eastAsia="IRNazanin" w:cs="IRNazanin"/>
          <w:lang w:bidi="fa-IR"/>
          <w:color w:val="111111"/>
          <w:sz w:val="28"/>
          <w:szCs w:val="28"/>
          <w:rtl/>
        </w:rPr>
        <w:t xml:space="preserve">قم؛ مرکز احیاء؛ شماره نسخه: 227</w:t>
      </w:r>
    </w:p>
    <w:p>
      <w:pPr>
        <w:pStyle w:val="BookText"/>
      </w:pPr>
      <w:r>
        <w:rPr>
          <w:rFonts w:ascii="IRNazanin" w:hAnsi="IRNazanin" w:eastAsia="IRNazanin" w:cs="IRNazanin"/>
          <w:lang w:bidi="fa-IR"/>
          <w:color w:val="111111"/>
          <w:sz w:val="28"/>
          <w:szCs w:val="28"/>
          <w:rtl/>
        </w:rPr>
        <w:t xml:space="preserve">نسخه اصل همان نسخه بالا عکسی ف: 1 - 252]</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تهران؛ دائرة المعارف؛ شماره نسخه: 2184-عکسی</w:t>
      </w:r>
    </w:p>
    <w:p>
      <w:pPr>
        <w:pStyle w:val="BookText"/>
      </w:pPr>
      <w:r>
        <w:rPr>
          <w:rFonts w:ascii="IRNazanin" w:hAnsi="IRNazanin" w:eastAsia="IRNazanin" w:cs="IRNazanin"/>
          <w:lang w:bidi="fa-IR"/>
          <w:color w:val="111111"/>
          <w:sz w:val="28"/>
          <w:szCs w:val="28"/>
          <w:rtl/>
        </w:rPr>
        <w:t xml:space="preserve">آغاز:برابر؛ انجام :و كتب مصنفه المقداد بن عبدالله .. النورى . الاسدى عفا الله .. و كان الفراغ من تصنيفه آخر نهار الخميس الحادى والعشرين من شعبان المعظم من سنة اثنين و سبعين (چنین) و سبعمائه هجرية</w:t>
      </w:r>
    </w:p>
    <w:p>
      <w:pPr>
        <w:pStyle w:val="BookText"/>
      </w:pPr>
      <w:r>
        <w:rPr>
          <w:rFonts w:ascii="IRNazanin" w:hAnsi="IRNazanin" w:eastAsia="IRNazanin" w:cs="IRNazanin"/>
          <w:lang w:bidi="fa-IR"/>
          <w:color w:val="111111"/>
          <w:sz w:val="28"/>
          <w:szCs w:val="28"/>
          <w:rtl/>
        </w:rPr>
        <w:t xml:space="preserve">خط: نسخ خوش، بی کا، تا: قرن 12؛ تملك: محمد رفيع بن ابوالفتاح الحسينی با نشان مهر بیضی و نشان مهر گرد درشت تاج دار؛ 265 ص 25 سطر (12</w:t>
      </w:r>
      <w:r>
        <w:rPr>
          <w:rFonts w:ascii="Times New Roman" w:hAnsi="Times New Roman" w:eastAsia="Times New Roman" w:cs="Times New Roman"/>
          <w:lang w:val="en-US" w:bidi="en-US"/>
          <w:color w:val="111111"/>
          <w:sz w:val="28"/>
          <w:szCs w:val="28"/>
          <w:rtl/>
        </w:rPr>
        <w:t xml:space="preserve">×19/5) </w:t>
      </w:r>
      <w:r>
        <w:rPr>
          <w:rFonts w:ascii="IRNazanin" w:hAnsi="IRNazanin" w:eastAsia="IRNazanin" w:cs="IRNazanin"/>
          <w:lang w:bidi="fa-IR"/>
          <w:color w:val="111111"/>
          <w:sz w:val="28"/>
          <w:szCs w:val="28"/>
          <w:rtl/>
        </w:rPr>
        <w:t xml:space="preserve">، اندازه: 21</w:t>
      </w:r>
      <w:r>
        <w:rPr>
          <w:rFonts w:ascii="Times New Roman" w:hAnsi="Times New Roman" w:eastAsia="Times New Roman" w:cs="Times New Roman"/>
          <w:lang w:val="en-US" w:bidi="en-US"/>
          <w:color w:val="111111"/>
          <w:sz w:val="28"/>
          <w:szCs w:val="28"/>
          <w:rtl/>
        </w:rPr>
        <w:t xml:space="preserve">×30</w:t>
      </w:r>
      <w:r>
        <w:rPr>
          <w:rFonts w:ascii="IRNazanin" w:hAnsi="IRNazanin" w:eastAsia="IRNazanin" w:cs="IRNazanin"/>
          <w:lang w:bidi="fa-IR"/>
          <w:color w:val="111111"/>
          <w:sz w:val="28"/>
          <w:szCs w:val="28"/>
          <w:rtl/>
        </w:rPr>
        <w:t xml:space="preserve">سم [عکسی ف: 1 - 20 ]</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تهران؛ مجلس؛ شماره نسخه: 3428/2</w:t>
      </w:r>
    </w:p>
    <w:p>
      <w:pPr>
        <w:pStyle w:val="BookText"/>
      </w:pPr>
      <w:r>
        <w:rPr>
          <w:rFonts w:ascii="IRNazanin" w:hAnsi="IRNazanin" w:eastAsia="IRNazanin" w:cs="IRNazanin"/>
          <w:lang w:bidi="fa-IR"/>
          <w:color w:val="111111"/>
          <w:sz w:val="28"/>
          <w:szCs w:val="28"/>
          <w:rtl/>
        </w:rPr>
        <w:t xml:space="preserve">آغاز: على جهه التعظيم والتبجيل فالوصف شامل للجميل و غيره و بقيده بالجميل خرج؛ انجام: هذا العوايد من شرح نهج المسترشدين في علم الكلام و الشارح الشيخ الفاضل الكامل الشيخ مقداد الاسدى السيوري تغمده الله برحمته و اسکنه جنته. بی کا، تا: قرن 12 ؛کاغذ: اصفهانی نباتی رنگ، جلد: تیماج سیاه عطف تیماج قهوه ای (6ص (119-125 )قطع: خشتی، اندازه: 12/5</w:t>
      </w:r>
      <w:r>
        <w:rPr>
          <w:rFonts w:ascii="Times New Roman" w:hAnsi="Times New Roman" w:eastAsia="Times New Roman" w:cs="Times New Roman"/>
          <w:lang w:val="en-US" w:bidi="en-US"/>
          <w:color w:val="111111"/>
          <w:sz w:val="28"/>
          <w:szCs w:val="28"/>
          <w:rtl/>
        </w:rPr>
        <w:t xml:space="preserve">×17/5</w:t>
      </w:r>
      <w:r>
        <w:rPr>
          <w:rFonts w:ascii="IRNazanin" w:hAnsi="IRNazanin" w:eastAsia="IRNazanin" w:cs="IRNazanin"/>
          <w:lang w:bidi="fa-IR"/>
          <w:color w:val="111111"/>
          <w:sz w:val="28"/>
          <w:szCs w:val="28"/>
          <w:rtl/>
        </w:rPr>
        <w:t xml:space="preserve">سم [ف: 10 - 1289]</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مشهد؛ شیخ علی حیدر؛ شماره نسخه:58</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نظام الدین علی انصاری، تا: 20ربیع الثانی  1114ق، برای محمد مؤمن الحسينى؛ مصحح، با نسخه ای که از روی خط مؤلف نوشته شده بوده مقابله شده؛ تملک: جلال الدین بن مؤيد الدولة؛ جلد: چرم قرمز دارای نقش، 156گ، 19 سطر ، اندازه: 18</w:t>
      </w:r>
      <w:r>
        <w:rPr>
          <w:rFonts w:ascii="Times New Roman" w:hAnsi="Times New Roman" w:eastAsia="Times New Roman" w:cs="Times New Roman"/>
          <w:lang w:val="en-US" w:bidi="en-US"/>
          <w:color w:val="111111"/>
          <w:sz w:val="28"/>
          <w:szCs w:val="28"/>
          <w:rtl/>
        </w:rPr>
        <w:t xml:space="preserve">×24 </w:t>
      </w:r>
      <w:r>
        <w:rPr>
          <w:rFonts w:ascii="Amiri" w:hAnsi="Amiri" w:eastAsia="Amiri" w:cs="Amiri"/>
          <w:lang w:bidi="ar-SA"/>
          <w:color w:val="111111"/>
          <w:sz w:val="28"/>
          <w:szCs w:val="28"/>
          <w:rtl/>
        </w:rPr>
        <w:t xml:space="preserve">سم [مؤيد: 1 - 84]</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تهران؛ سپهسالار؛ شماره نسخه: 4513</w:t>
      </w:r>
    </w:p>
    <w:p>
      <w:pPr>
        <w:pStyle w:val="BookText"/>
      </w:pPr>
      <w:r>
        <w:rPr>
          <w:rFonts w:ascii="IRNazanin" w:hAnsi="IRNazanin" w:eastAsia="IRNazanin" w:cs="IRNazanin"/>
          <w:lang w:bidi="fa-IR"/>
          <w:color w:val="111111"/>
          <w:sz w:val="28"/>
          <w:szCs w:val="28"/>
          <w:rtl/>
        </w:rPr>
        <w:t xml:space="preserve">خط: نسخ، کا: محمد رضا ابن میر عبدالله دریا باری، تا: 22شوال 1115ق؛ محشی از شرح ملا خضر ؛کاغذ: سپاهانی نخودی، جلد: تیماج مشکی ضربی یک لا، 138 گ 20 سطر ، اندازه: 18</w:t>
      </w:r>
      <w:r>
        <w:rPr>
          <w:rFonts w:ascii="Times New Roman" w:hAnsi="Times New Roman" w:eastAsia="Times New Roman" w:cs="Times New Roman"/>
          <w:lang w:val="en-US" w:bidi="en-US"/>
          <w:color w:val="111111"/>
          <w:sz w:val="28"/>
          <w:szCs w:val="28"/>
          <w:rtl/>
        </w:rPr>
        <w:t xml:space="preserve">×24</w:t>
      </w:r>
      <w:r>
        <w:rPr>
          <w:rFonts w:ascii="IRNazanin" w:hAnsi="IRNazanin" w:eastAsia="IRNazanin" w:cs="IRNazanin"/>
          <w:lang w:bidi="fa-IR"/>
          <w:color w:val="111111"/>
          <w:sz w:val="28"/>
          <w:szCs w:val="28"/>
          <w:rtl/>
        </w:rPr>
        <w:t xml:space="preserve">سم [ف 3 - 107]</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تهران؛ سپهسالار؛ شماره نسخه: 6305</w:t>
      </w:r>
    </w:p>
    <w:p>
      <w:pPr>
        <w:pStyle w:val="BookText"/>
      </w:pPr>
      <w:r>
        <w:rPr>
          <w:rFonts w:ascii="IRNazanin" w:hAnsi="IRNazanin" w:eastAsia="IRNazanin" w:cs="IRNazanin"/>
          <w:lang w:bidi="fa-IR"/>
          <w:color w:val="111111"/>
          <w:sz w:val="28"/>
          <w:szCs w:val="28"/>
          <w:rtl/>
        </w:rPr>
        <w:t xml:space="preserve">خط: نسخ،  کا ،محمد بن شمس الدین حسین شیرازی مکی، تا: 15 ذيقعده 1264ق؛ محشی از پسر علامه؛ کاغذ: فرنگی سفید، جلد: تیماج قهوه ای 276گ، 17 سطر [ف: 3 - 108]</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شیراز؛ علامه طباطبائی؛ شماره نسخه: 1000</w:t>
      </w:r>
    </w:p>
    <w:p>
      <w:pPr>
        <w:pStyle w:val="BookText"/>
      </w:pPr>
      <w:r>
        <w:rPr>
          <w:rFonts w:ascii="IRNazanin" w:hAnsi="IRNazanin" w:eastAsia="IRNazanin" w:cs="IRNazanin"/>
          <w:lang w:bidi="fa-IR"/>
          <w:color w:val="111111"/>
          <w:sz w:val="28"/>
          <w:szCs w:val="28"/>
          <w:rtl/>
        </w:rPr>
        <w:t xml:space="preserve">خط: نستعلیق، بی کا، تا: ربیع الاول 1284ق؛ اندازه 17/5 </w:t>
      </w:r>
      <w:r>
        <w:rPr>
          <w:rFonts w:ascii="Times New Roman" w:hAnsi="Times New Roman" w:eastAsia="Times New Roman" w:cs="Times New Roman"/>
          <w:lang w:val="en-US" w:bidi="en-US"/>
          <w:color w:val="111111"/>
          <w:sz w:val="28"/>
          <w:szCs w:val="28"/>
          <w:rtl/>
        </w:rPr>
        <w:t xml:space="preserve">×26</w:t>
      </w:r>
      <w:r>
        <w:rPr>
          <w:rFonts w:ascii="IRNazanin" w:hAnsi="IRNazanin" w:eastAsia="IRNazanin" w:cs="IRNazanin"/>
          <w:lang w:bidi="fa-IR"/>
          <w:color w:val="111111"/>
          <w:sz w:val="28"/>
          <w:szCs w:val="28"/>
          <w:rtl/>
        </w:rPr>
        <w:t xml:space="preserve">سم [نسخه پژوهی 2 - 111]</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شیراز؛ علامه طباطبائی؛ شماره نسخه: 582[</w:t>
      </w:r>
    </w:p>
    <w:p>
      <w:pPr>
        <w:pStyle w:val="BookText"/>
      </w:pPr>
      <w:r>
        <w:rPr>
          <w:rFonts w:ascii="IRNazanin" w:hAnsi="IRNazanin" w:eastAsia="IRNazanin" w:cs="IRNazanin"/>
          <w:lang w:bidi="fa-IR"/>
          <w:color w:val="111111"/>
          <w:sz w:val="28"/>
          <w:szCs w:val="28"/>
          <w:rtl/>
        </w:rPr>
        <w:t xml:space="preserve">خط: نسخ، بی کا، بی تا؛ 169گ، اندازه: 12/5</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سم [نسخه پژوهی: 2 - 111]</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شیراز؛ ملی؛ شماره نسخه: 9-ن/ 227</w:t>
      </w:r>
    </w:p>
    <w:p>
      <w:pPr>
        <w:pStyle w:val="BookText"/>
      </w:pPr>
      <w:r>
        <w:rPr>
          <w:rFonts w:ascii="Amiri" w:hAnsi="Amiri" w:eastAsia="Amiri" w:cs="Amiri"/>
          <w:lang w:bidi="ar-SA"/>
          <w:color w:val="111111"/>
          <w:sz w:val="28"/>
          <w:szCs w:val="28"/>
          <w:rtl/>
        </w:rPr>
        <w:t xml:space="preserve">آغاز: بسمله بالله و متوكلا عليه و متقربا يوضعه اليه؛ انجام: ثم ان الذي يدل على ان الايمان ايس هو العمل الصالح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30" w:name="pg20365_260035"/>
    <w:bookmarkEnd w:id="30"/>
    <w:p>
      <w:pPr>
        <w:pStyle w:val="BookText"/>
      </w:pPr>
      <w:r>
        <w:rPr>
          <w:rFonts w:ascii="IRNazanin" w:hAnsi="IRNazanin" w:eastAsia="IRNazanin" w:cs="IRNazanin"/>
          <w:lang w:bidi="fa-IR"/>
          <w:color w:val="111111"/>
          <w:sz w:val="28"/>
          <w:szCs w:val="28"/>
          <w:rtl/>
        </w:rPr>
        <w:t xml:space="preserve">خط: نسخ، بی کا، بی تا: کاغذ: فرنگی شکری ،جلد: مقوا با تیماج  قهوه ای ،سیر 180گ، 20 سطر (7/5</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 اندازه: 15</w:t>
      </w:r>
      <w:r>
        <w:rPr>
          <w:rFonts w:ascii="Times New Roman" w:hAnsi="Times New Roman" w:eastAsia="Times New Roman" w:cs="Times New Roman"/>
          <w:lang w:val="en-US" w:bidi="en-US"/>
          <w:color w:val="111111"/>
          <w:sz w:val="28"/>
          <w:szCs w:val="28"/>
          <w:rtl/>
        </w:rPr>
        <w:t xml:space="preserve">×25/5[</w:t>
      </w:r>
      <w:r>
        <w:rPr>
          <w:rFonts w:ascii="IRNazanin" w:hAnsi="IRNazanin" w:eastAsia="IRNazanin" w:cs="IRNazanin"/>
          <w:lang w:bidi="fa-IR"/>
          <w:color w:val="111111"/>
          <w:sz w:val="28"/>
          <w:szCs w:val="28"/>
          <w:rtl/>
        </w:rPr>
        <w:t xml:space="preserve">ف 1 - 201]</w:t>
      </w:r>
    </w:p>
    <w:p>
      <w:pPr>
        <w:pStyle w:val="BookText"/>
      </w:pPr>
      <w:r>
        <w:rPr>
          <w:rFonts w:ascii="IRNazanin" w:hAnsi="IRNazanin" w:eastAsia="IRNazanin" w:cs="IRNazanin"/>
          <w:lang w:bidi="fa-IR"/>
          <w:color w:val="111111"/>
          <w:sz w:val="28"/>
          <w:szCs w:val="28"/>
          <w:rtl/>
        </w:rPr>
        <w:t xml:space="preserve">2.تهران؛ دانشگاه؛ شماره نسخه: 297/2</w:t>
      </w:r>
    </w:p>
    <w:p>
      <w:pPr>
        <w:pStyle w:val="BookText"/>
      </w:pPr>
      <w:r>
        <w:rPr>
          <w:rFonts w:ascii="Amiri" w:hAnsi="Amiri" w:eastAsia="Amiri" w:cs="Amiri"/>
          <w:lang w:bidi="ar-SA"/>
          <w:color w:val="111111"/>
          <w:sz w:val="28"/>
          <w:szCs w:val="28"/>
          <w:rtl/>
        </w:rPr>
        <w:t xml:space="preserve">آغاز: برابر؛ انجام: الحمد لله وحده و الصلوة على من لانبي بعد واله وسلم صورة ما كتبه المصنف نغمده الله بغفرانه على ما نقل عنه و كتب مصنفه المقداد بن عبداله .. السيورى و كان الفراغ من  تصنيفه آخر نهار الخميس الحادى والعشرين من شعبان المعظم سنة اثنين و تسعين وسبعمائة ...</w:t>
      </w:r>
    </w:p>
    <w:p>
      <w:pPr>
        <w:pStyle w:val="BookText"/>
      </w:pPr>
      <w:r>
        <w:rPr>
          <w:rFonts w:ascii="IRNazanin" w:hAnsi="IRNazanin" w:eastAsia="IRNazanin" w:cs="IRNazanin"/>
          <w:lang w:bidi="fa-IR"/>
          <w:color w:val="111111"/>
          <w:sz w:val="28"/>
          <w:szCs w:val="28"/>
          <w:rtl/>
        </w:rPr>
        <w:t xml:space="preserve">خط: تعليق، كا: محمد حسین ،جربادقانی، ت: 29 جمادى الثانی 1327 قا؛ کاغذ: فرنگی ،جلد: مقوا 182 گ (81پ-263پ)؛ 14و 17 سطر ، اندازه: 11</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[ف: 3 - 524]</w:t>
      </w:r>
    </w:p>
    <w:p>
      <w:pPr>
        <w:pStyle w:val="BookText"/>
      </w:pPr>
      <w:r>
        <w:rPr>
          <w:rFonts w:ascii="IRNazanin" w:hAnsi="IRNazanin" w:eastAsia="IRNazanin" w:cs="IRNazanin"/>
          <w:lang w:bidi="fa-IR"/>
          <w:color w:val="111111"/>
          <w:sz w:val="28"/>
          <w:szCs w:val="28"/>
          <w:rtl/>
        </w:rPr>
        <w:t xml:space="preserve">22 . قم؛ گلپایگانی؛ شماره نسخه: 1275-7/175</w:t>
      </w:r>
    </w:p>
    <w:p>
      <w:pPr>
        <w:pStyle w:val="BookText"/>
      </w:pPr>
      <w:r>
        <w:rPr>
          <w:rFonts w:ascii="IRNazanin" w:hAnsi="IRNazanin" w:eastAsia="IRNazanin" w:cs="IRNazanin"/>
          <w:lang w:bidi="fa-IR"/>
          <w:color w:val="111111"/>
          <w:sz w:val="28"/>
          <w:szCs w:val="28"/>
          <w:rtl/>
        </w:rPr>
        <w:t xml:space="preserve">آغاز: لكونها مقدورة دون الأخرى من دون تمييز همامح فالمعدوم متمیز ج:... قال الفصل الثانى فى اقسام الممكنات الخ اقول هذه  قسمة اخرى اخص؛ انجام: لمعترف وللخطايا لمقترف ولنختم كتابنا هذا بدعاء شريف ختم به بعض الفضلاء... و نحن نقلناه عن شيخنا للسعيد ابى جعفر محمد بن بابویه .. و هو يا من أظهر الجميل وستر القبيح. .. والحمد لله وحده والصلوة على من لا نبی بعده و آله.</w:t>
      </w:r>
    </w:p>
    <w:p>
      <w:pPr>
        <w:pStyle w:val="BookText"/>
      </w:pPr>
      <w:r>
        <w:rPr>
          <w:rFonts w:ascii="IRNazanin" w:hAnsi="IRNazanin" w:eastAsia="IRNazanin" w:cs="IRNazanin"/>
          <w:lang w:bidi="fa-IR"/>
          <w:color w:val="111111"/>
          <w:sz w:val="28"/>
          <w:szCs w:val="28"/>
          <w:rtl/>
        </w:rPr>
        <w:t xml:space="preserve">خط: نسخ، کا: فرج الله بن خداداد شوشتری، بی تا؛ افتادگی: آغاز ،مصحح، محشی با نشان «منه دام ظله» در آخر نسخه دو مراسله از سید نورالدین به آقا جمال وصدر الممالک؛ جلد: تیماج قهوه ای سیر ضربی ،مجدول، 148گ ، 16 سطر ، اندازه: 14/5</w:t>
      </w:r>
      <w:r>
        <w:rPr>
          <w:rFonts w:ascii="Times New Roman" w:hAnsi="Times New Roman" w:eastAsia="Times New Roman" w:cs="Times New Roman"/>
          <w:lang w:val="en-US" w:bidi="en-US"/>
          <w:color w:val="111111"/>
          <w:sz w:val="28"/>
          <w:szCs w:val="28"/>
          <w:rtl/>
        </w:rPr>
        <w:t xml:space="preserve">×19/5[ </w:t>
      </w:r>
      <w:r>
        <w:rPr>
          <w:rFonts w:ascii="IRNazanin" w:hAnsi="IRNazanin" w:eastAsia="IRNazanin" w:cs="IRNazanin"/>
          <w:lang w:bidi="fa-IR"/>
          <w:color w:val="111111"/>
          <w:sz w:val="28"/>
          <w:szCs w:val="28"/>
          <w:rtl/>
        </w:rPr>
        <w:t xml:space="preserve">ف: 1 - 308]</w:t>
      </w:r>
    </w:p>
    <w:p>
      <w:pPr>
        <w:pStyle w:val="Heading3"/>
      </w:pPr>
      <w:bookmarkStart w:id="576" w:name="_Toc98"/>
      <w:r>
        <w:t>ارشاد الطالبین فی اصول الدین / کلام و اعتقادات / فارسی</w:t>
      </w:r>
      <w:bookmarkEnd w:id="576"/>
    </w:p>
    <w:p>
      <w:pPr>
        <w:pStyle w:val="BookText"/>
      </w:pPr>
      <w:r>
        <w:rPr>
          <w:rFonts w:ascii="Times New Roman" w:hAnsi="Times New Roman" w:eastAsia="Times New Roman" w:cs="Times New Roman"/>
          <w:lang w:val="en-US" w:bidi="en-US"/>
          <w:color w:val="111111"/>
          <w:sz w:val="28"/>
          <w:szCs w:val="28"/>
          <w:rtl/>
        </w:rPr>
        <w:t xml:space="preserve">eršād-ot-tālebīn fī osūl-ed-dīn</w:t>
      </w:r>
    </w:p>
    <w:p>
      <w:pPr>
        <w:pStyle w:val="BookText"/>
      </w:pPr>
      <w:r>
        <w:rPr>
          <w:rFonts w:ascii="IRNazanin" w:hAnsi="IRNazanin" w:eastAsia="IRNazanin" w:cs="IRNazanin"/>
          <w:lang w:bidi="fa-IR"/>
          <w:color w:val="111111"/>
          <w:sz w:val="28"/>
          <w:szCs w:val="28"/>
          <w:rtl/>
        </w:rPr>
        <w:t xml:space="preserve">قزوینی ابوتراب بن حسین، - 1260 قمری</w:t>
      </w:r>
    </w:p>
    <w:p>
      <w:pPr>
        <w:pStyle w:val="BookText"/>
      </w:pPr>
      <w:r>
        <w:rPr>
          <w:rFonts w:ascii="Times New Roman" w:hAnsi="Times New Roman" w:eastAsia="Times New Roman" w:cs="Times New Roman"/>
          <w:lang w:val="en-US" w:bidi="en-US"/>
          <w:color w:val="111111"/>
          <w:sz w:val="28"/>
          <w:szCs w:val="28"/>
          <w:rtl/>
        </w:rPr>
        <w:t xml:space="preserve">qazvīnī, abū-torāb ebn-e hoseyn ( - 1844)</w:t>
      </w:r>
    </w:p>
    <w:p>
      <w:pPr>
        <w:pStyle w:val="BookText"/>
      </w:pPr>
      <w:r>
        <w:rPr>
          <w:rFonts w:ascii="IRNazanin" w:hAnsi="IRNazanin" w:eastAsia="IRNazanin" w:cs="IRNazanin"/>
          <w:lang w:bidi="fa-IR"/>
          <w:color w:val="111111"/>
          <w:sz w:val="28"/>
          <w:szCs w:val="28"/>
          <w:rtl/>
        </w:rPr>
        <w:t xml:space="preserve">تاریخ تألیف: شنبه 3 ذیحجه 1260ق</w:t>
      </w:r>
    </w:p>
    <w:p>
      <w:pPr>
        <w:pStyle w:val="BookText"/>
      </w:pPr>
      <w:r>
        <w:rPr>
          <w:rFonts w:ascii="IRNazanin" w:hAnsi="IRNazanin" w:eastAsia="IRNazanin" w:cs="IRNazanin"/>
          <w:lang w:bidi="fa-IR"/>
          <w:color w:val="111111"/>
          <w:sz w:val="28"/>
          <w:szCs w:val="28"/>
          <w:rtl/>
        </w:rPr>
        <w:t xml:space="preserve">رساله ای مفصل در اصول ،دین با استدلالات عقلی که از آیات کریمه و احادیث اهل بیت (علیهم السّلام) شواهدی دارد، در یک «مقدمه» دارای چند مقصد در کلیات و پنج «باب» در اصول پنج گانه، یک «خاتمه» در منزلت علما و فقها.</w:t>
      </w:r>
    </w:p>
    <w:p>
      <w:pPr>
        <w:pStyle w:val="BookText"/>
      </w:pPr>
      <w:r>
        <w:rPr>
          <w:rFonts w:ascii="IRNazanin" w:hAnsi="IRNazanin" w:eastAsia="IRNazanin" w:cs="IRNazanin"/>
          <w:lang w:bidi="fa-IR"/>
          <w:color w:val="111111"/>
          <w:sz w:val="28"/>
          <w:szCs w:val="28"/>
          <w:rtl/>
        </w:rPr>
        <w:t xml:space="preserve">آغاز: حمد و ثنای بیحد خداوند جلیلی را سزد که ایوان کیوان معرفتش بحدی مرتفع و بلند است</w:t>
      </w:r>
    </w:p>
    <w:p>
      <w:pPr>
        <w:pStyle w:val="BookText"/>
      </w:pPr>
      <w:r>
        <w:rPr>
          <w:rFonts w:ascii="IRNazanin" w:hAnsi="IRNazanin" w:eastAsia="IRNazanin" w:cs="IRNazanin"/>
          <w:lang w:bidi="fa-IR"/>
          <w:color w:val="111111"/>
          <w:sz w:val="28"/>
          <w:szCs w:val="28"/>
          <w:rtl/>
        </w:rPr>
        <w:t xml:space="preserve">انجام: و قریه ظاهری از برای سیر بسوی قرای مبارکه اهل بیت عليهم السلام و السلام على من اتبع الهدى.</w:t>
      </w:r>
    </w:p>
    <w:p>
      <w:pPr>
        <w:pStyle w:val="BookText"/>
      </w:pPr>
      <w:r>
        <w:rPr>
          <w:rFonts w:ascii="IRNazanin" w:hAnsi="IRNazanin" w:eastAsia="IRNazanin" w:cs="IRNazanin"/>
          <w:lang w:bidi="fa-IR"/>
          <w:color w:val="111111"/>
          <w:sz w:val="28"/>
          <w:szCs w:val="28"/>
          <w:rtl/>
        </w:rPr>
        <w:t xml:space="preserve">[فهرستواره منزوی 179/9 نسخه)]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مرعشی؛ شماره نسخه: 6424</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دوشنبه 19 جمادی الاول 1261ق؛ جلد: تيماج قهوه ای، 295گ، 19 سطر ، اندازه: 14/5</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سم [ف: 17 - 34]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مجلس؛ شماره نسخه : 14546/6</w:t>
      </w:r>
    </w:p>
    <w:p>
      <w:pPr>
        <w:pStyle w:val="BookText"/>
      </w:pPr>
      <w:r>
        <w:rPr>
          <w:rFonts w:ascii="IRNazanin" w:hAnsi="IRNazanin" w:eastAsia="IRNazanin" w:cs="IRNazanin"/>
          <w:lang w:bidi="fa-IR"/>
          <w:color w:val="111111"/>
          <w:sz w:val="28"/>
          <w:szCs w:val="28"/>
          <w:rtl/>
        </w:rPr>
        <w:t xml:space="preserve">خط: نستعلیق، کا: محمد مهدی بن کربلایی حسینعلی، تا: شنبه 11 ربيع الاول 1263ق؛ جلد: تیماج قهوه ای ضربی با ترنج و سرترنج، 160 گ ( 180 پ - 340ر)، 22 سطر ، اندازه: 21</w:t>
      </w:r>
      <w:r>
        <w:rPr>
          <w:rFonts w:ascii="Times New Roman" w:hAnsi="Times New Roman" w:eastAsia="Times New Roman" w:cs="Times New Roman"/>
          <w:lang w:val="en-US" w:bidi="en-US"/>
          <w:color w:val="111111"/>
          <w:sz w:val="28"/>
          <w:szCs w:val="28"/>
          <w:rtl/>
        </w:rPr>
        <w:t xml:space="preserve">× 30 </w:t>
      </w:r>
      <w:r>
        <w:rPr>
          <w:rFonts w:ascii="IRNazanin" w:hAnsi="IRNazanin" w:eastAsia="IRNazanin" w:cs="IRNazanin"/>
          <w:lang w:bidi="fa-IR"/>
          <w:color w:val="111111"/>
          <w:sz w:val="28"/>
          <w:szCs w:val="28"/>
          <w:rtl/>
        </w:rPr>
        <w:t xml:space="preserve">سم [ف: 41 - 43]</w:t>
      </w:r>
    </w:p>
    <w:p>
      <w:pPr>
        <w:pStyle w:val="Heading3"/>
      </w:pPr>
      <w:bookmarkStart w:id="577" w:name="_Toc99"/>
      <w:r>
        <w:t>ارشاد الطالبين وبدرقة السالکین / عرفان و تصوف</w:t>
      </w:r>
      <w:bookmarkEnd w:id="577"/>
    </w:p>
    <w:p>
      <w:pPr>
        <w:pStyle w:val="BookText"/>
      </w:pPr>
      <w:r>
        <w:rPr>
          <w:rFonts w:ascii="Times New Roman" w:hAnsi="Times New Roman" w:eastAsia="Times New Roman" w:cs="Times New Roman"/>
          <w:lang w:val="en-US" w:bidi="en-US"/>
          <w:color w:val="111111"/>
          <w:sz w:val="28"/>
          <w:szCs w:val="28"/>
          <w:rtl/>
        </w:rPr>
        <w:t xml:space="preserve">eršād-ot-tālebīn va badraqat-os-sālekīn</w:t>
      </w:r>
    </w:p>
    <w:p>
      <w:pPr>
        <w:pStyle w:val="BookText"/>
      </w:pPr>
      <w:r>
        <w:rPr>
          <w:rFonts w:ascii="IRNazanin" w:hAnsi="IRNazanin" w:eastAsia="IRNazanin" w:cs="IRNazanin"/>
          <w:lang w:bidi="fa-IR"/>
          <w:color w:val="111111"/>
          <w:sz w:val="28"/>
          <w:szCs w:val="28"/>
          <w:rtl/>
        </w:rPr>
        <w:t xml:space="preserve">تهران؛ دانشگاه؛ شماره نسخه: 740/20-ف</w:t>
      </w:r>
    </w:p>
    <w:p>
      <w:pPr>
        <w:pStyle w:val="BookText"/>
      </w:pPr>
      <w:r>
        <w:rPr>
          <w:rFonts w:ascii="IRNazanin" w:hAnsi="IRNazanin" w:eastAsia="IRNazanin" w:cs="IRNazanin"/>
          <w:lang w:bidi="fa-IR"/>
          <w:color w:val="111111"/>
          <w:sz w:val="28"/>
          <w:szCs w:val="28"/>
          <w:rtl/>
        </w:rPr>
        <w:t xml:space="preserve">نسخه اصل: پاریس 125 </w:t>
      </w:r>
      <w:r>
        <w:rPr>
          <w:rFonts w:ascii="Times New Roman" w:hAnsi="Times New Roman" w:eastAsia="Times New Roman" w:cs="Times New Roman"/>
          <w:lang w:val="en-US" w:bidi="en-US"/>
          <w:color w:val="111111"/>
          <w:sz w:val="28"/>
          <w:szCs w:val="28"/>
          <w:rtl/>
        </w:rPr>
        <w:t xml:space="preserve">s.p. (</w:t>
      </w:r>
      <w:r>
        <w:rPr>
          <w:rFonts w:ascii="IRNazanin" w:hAnsi="IRNazanin" w:eastAsia="IRNazanin" w:cs="IRNazanin"/>
          <w:lang w:bidi="fa-IR"/>
          <w:color w:val="111111"/>
          <w:sz w:val="28"/>
          <w:szCs w:val="28"/>
          <w:rtl/>
        </w:rPr>
        <w:t xml:space="preserve">بلوشه 151 )؛خط: نستعلیق هندی، بی کا، تا: 1057-1052ق [فيلم ها - ف: 1 - 533]</w:t>
      </w:r>
    </w:p>
    <w:p>
      <w:pPr>
        <w:pStyle w:val="Heading3"/>
      </w:pPr>
      <w:bookmarkStart w:id="578" w:name="_Toc100"/>
      <w:r>
        <w:t>ارشاد الطريقة و مفتاح الشريعة / عرفان و تصوف / فارسی</w:t>
      </w:r>
      <w:bookmarkEnd w:id="578"/>
    </w:p>
    <w:p>
      <w:pPr>
        <w:pStyle w:val="BookText"/>
      </w:pPr>
      <w:r>
        <w:rPr>
          <w:rFonts w:ascii="Times New Roman" w:hAnsi="Times New Roman" w:eastAsia="Times New Roman" w:cs="Times New Roman"/>
          <w:lang w:val="en-US" w:bidi="en-US"/>
          <w:color w:val="111111"/>
          <w:sz w:val="28"/>
          <w:szCs w:val="28"/>
          <w:rtl/>
        </w:rPr>
        <w:t xml:space="preserve">eršād-ot tariqa va meftāh-uš šarī a</w:t>
      </w:r>
    </w:p>
    <w:p>
      <w:pPr>
        <w:pStyle w:val="BookText"/>
      </w:pPr>
      <w:r>
        <w:rPr>
          <w:rFonts w:ascii="IRNazanin" w:hAnsi="IRNazanin" w:eastAsia="IRNazanin" w:cs="IRNazanin"/>
          <w:lang w:bidi="fa-IR"/>
          <w:color w:val="111111"/>
          <w:sz w:val="28"/>
          <w:szCs w:val="28"/>
          <w:rtl/>
        </w:rPr>
        <w:t xml:space="preserve">در چند باب در بیان فقر، كسوة ،فقر بیان خرقه و بیان شریعت و طریقت و حقیقت.در ادامه مطالبی است راجع به تصوف و آداب صوفی گری با عناوین «اگر پرسند، بگو».</w:t>
      </w:r>
    </w:p>
    <w:p>
      <w:pPr>
        <w:pStyle w:val="BookText"/>
      </w:pPr>
      <w:r>
        <w:rPr>
          <w:rFonts w:ascii="IRNazanin" w:hAnsi="IRNazanin" w:eastAsia="IRNazanin" w:cs="IRNazanin"/>
          <w:lang w:bidi="fa-IR"/>
          <w:color w:val="111111"/>
          <w:sz w:val="28"/>
          <w:szCs w:val="28"/>
          <w:rtl/>
        </w:rPr>
        <w:t xml:space="preserve">تهران؛ مجلس؛ شماره نسخه: 10057/2</w:t>
      </w:r>
    </w:p>
    <w:p>
      <w:pPr>
        <w:pStyle w:val="BookText"/>
      </w:pPr>
      <w:r>
        <w:rPr>
          <w:rFonts w:ascii="IRNazanin" w:hAnsi="IRNazanin" w:eastAsia="IRNazanin" w:cs="IRNazanin"/>
          <w:lang w:bidi="fa-IR"/>
          <w:color w:val="111111"/>
          <w:sz w:val="28"/>
          <w:szCs w:val="28"/>
          <w:rtl/>
        </w:rPr>
        <w:t xml:space="preserve">آغاز: بسمله الحمد لله رب العالمين. .. اما بعد از حمد و سپاس ایزد سبحانه. .. حکایتی چند؛ انجام: بگو انا نزلنا الذکر و انا له لحافظون.</w:t>
      </w:r>
    </w:p>
    <w:p>
      <w:pPr>
        <w:pStyle w:val="BookText"/>
      </w:pPr>
      <w:r>
        <w:rPr>
          <w:rFonts w:ascii="IRNazanin" w:hAnsi="IRNazanin" w:eastAsia="IRNazanin" w:cs="IRNazanin"/>
          <w:lang w:bidi="fa-IR"/>
          <w:color w:val="111111"/>
          <w:sz w:val="28"/>
          <w:szCs w:val="28"/>
          <w:rtl/>
        </w:rPr>
        <w:t xml:space="preserve">خط: نستعلیق، بی کا، تا: 1246ق؛ 20 ص (10-30)، 13 سطر ، اندازه: 15/5</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32 - 77]</w:t>
      </w:r>
    </w:p>
    <w:p>
      <w:pPr>
        <w:pStyle w:val="Heading3"/>
      </w:pPr>
      <w:bookmarkStart w:id="579" w:name="_Toc101"/>
      <w:r>
        <w:t>ارشاد الطلاب / حساب / عربی</w:t>
      </w:r>
      <w:bookmarkEnd w:id="579"/>
    </w:p>
    <w:p>
      <w:pPr>
        <w:pStyle w:val="BookText"/>
      </w:pPr>
      <w:r>
        <w:rPr>
          <w:rFonts w:ascii="Times New Roman" w:hAnsi="Times New Roman" w:eastAsia="Times New Roman" w:cs="Times New Roman"/>
          <w:lang w:val="en-US" w:bidi="en-US"/>
          <w:color w:val="111111"/>
          <w:sz w:val="28"/>
          <w:szCs w:val="28"/>
          <w:rtl/>
        </w:rPr>
        <w:t xml:space="preserve">iršad-ut-tullab</w:t>
      </w:r>
    </w:p>
    <w:p>
      <w:pPr>
        <w:pStyle w:val="BookText"/>
      </w:pPr>
      <w:r>
        <w:rPr>
          <w:rFonts w:ascii="IRNazanin" w:hAnsi="IRNazanin" w:eastAsia="IRNazanin" w:cs="IRNazanin"/>
          <w:lang w:bidi="fa-IR"/>
          <w:color w:val="111111"/>
          <w:sz w:val="28"/>
          <w:szCs w:val="28"/>
          <w:rtl/>
        </w:rPr>
        <w:t xml:space="preserve">سبط ماردینی محمد بن محمد، 826 - 907 قمری</w:t>
      </w:r>
    </w:p>
    <w:p>
      <w:pPr>
        <w:pStyle w:val="BookText"/>
      </w:pPr>
      <w:r>
        <w:rPr>
          <w:rFonts w:ascii="Times New Roman" w:hAnsi="Times New Roman" w:eastAsia="Times New Roman" w:cs="Times New Roman"/>
          <w:lang w:val="en-US" w:bidi="en-US"/>
          <w:color w:val="111111"/>
          <w:sz w:val="28"/>
          <w:szCs w:val="28"/>
          <w:rtl/>
        </w:rPr>
        <w:t xml:space="preserve">sebt-e mārdīnī, mohammad ebn-e mohammad (1423 -</w:t>
      </w:r>
    </w:p>
    <w:p>
      <w:pPr>
        <w:pStyle w:val="BookText"/>
      </w:pPr>
      <w:r>
        <w:rPr>
          <w:rFonts w:ascii="IRNazanin" w:hAnsi="IRNazanin" w:eastAsia="IRNazanin" w:cs="IRNazanin"/>
          <w:lang w:bidi="fa-IR"/>
          <w:color w:val="111111"/>
          <w:sz w:val="28"/>
          <w:szCs w:val="28"/>
          <w:rtl/>
        </w:rPr>
        <w:t xml:space="preserve">یزد؛ وزیری؛ شماره نسخه: 2379</w:t>
      </w:r>
    </w:p>
    <w:p>
      <w:pPr>
        <w:pStyle w:val="BookText"/>
      </w:pPr>
      <w:r>
        <w:rPr>
          <w:rFonts w:ascii="IRNazanin" w:hAnsi="IRNazanin" w:eastAsia="IRNazanin" w:cs="IRNazanin"/>
          <w:lang w:bidi="fa-IR"/>
          <w:color w:val="111111"/>
          <w:sz w:val="28"/>
          <w:szCs w:val="28"/>
          <w:rtl/>
        </w:rPr>
        <w:t xml:space="preserve">خط: نسخ، بی کا ،تا: 975ق اهدایی موسس؛ کاغذ: اصفهانی،جلد: یک طرفه لولادار با تیماج عنابی درون تیماج تریاکی، 94گ (161-255)، 17 سطر (8/5</w:t>
      </w:r>
      <w:r>
        <w:rPr>
          <w:rFonts w:ascii="Times New Roman" w:hAnsi="Times New Roman" w:eastAsia="Times New Roman" w:cs="Times New Roman"/>
          <w:lang w:val="en-US" w:bidi="en-US"/>
          <w:color w:val="111111"/>
          <w:sz w:val="28"/>
          <w:szCs w:val="28"/>
          <w:rtl/>
        </w:rPr>
        <w:t xml:space="preserve">×11/5) </w:t>
      </w:r>
      <w:r>
        <w:rPr>
          <w:rFonts w:ascii="IRNazanin" w:hAnsi="IRNazanin" w:eastAsia="IRNazanin" w:cs="IRNazanin"/>
          <w:lang w:bidi="fa-IR"/>
          <w:color w:val="111111"/>
          <w:sz w:val="28"/>
          <w:szCs w:val="28"/>
          <w:rtl/>
        </w:rPr>
        <w:t xml:space="preserve">اندازه: 12/5</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 [ف: 4 - 1271]</w:t>
      </w:r>
    </w:p>
    <w:p>
      <w:pPr>
        <w:pStyle w:val="Heading3"/>
      </w:pPr>
      <w:bookmarkStart w:id="580" w:name="_Toc102"/>
      <w:r>
        <w:t>ارشاد طلاب الحقائق الى معرفة سنن خير الخلائق / درایه / عربی</w:t>
      </w:r>
      <w:bookmarkEnd w:id="580"/>
    </w:p>
    <w:p>
      <w:pPr>
        <w:pStyle w:val="BookText"/>
      </w:pPr>
      <w:r>
        <w:rPr>
          <w:rFonts w:ascii="Times New Roman" w:hAnsi="Times New Roman" w:eastAsia="Times New Roman" w:cs="Times New Roman"/>
          <w:lang w:val="en-US" w:bidi="en-US"/>
          <w:color w:val="111111"/>
          <w:sz w:val="28"/>
          <w:szCs w:val="28"/>
          <w:rtl/>
        </w:rPr>
        <w:t xml:space="preserve">iršād-ul ṭullāb-il ḥaqā'iq ilā ma'rifat-i sunan-i xayr-il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31" w:name="pg20365_260036"/>
    <w:bookmarkEnd w:id="31"/>
    <w:p>
      <w:pPr>
        <w:pStyle w:val="BookText"/>
      </w:pPr>
      <w:r>
        <w:rPr>
          <w:rFonts w:ascii="Times New Roman" w:hAnsi="Times New Roman" w:eastAsia="Times New Roman" w:cs="Times New Roman"/>
          <w:lang w:val="en-US" w:bidi="en-US"/>
          <w:color w:val="111111"/>
          <w:sz w:val="28"/>
          <w:szCs w:val="28"/>
          <w:rtl/>
        </w:rPr>
        <w:t xml:space="preserve">xalā’iq</w:t>
      </w:r>
    </w:p>
    <w:p>
      <w:pPr>
        <w:pStyle w:val="BookText"/>
      </w:pPr>
      <w:r>
        <w:rPr>
          <w:rFonts w:ascii="IRNazanin" w:hAnsi="IRNazanin" w:eastAsia="IRNazanin" w:cs="IRNazanin"/>
          <w:lang w:bidi="fa-IR"/>
          <w:color w:val="111111"/>
          <w:sz w:val="28"/>
          <w:szCs w:val="28"/>
          <w:rtl/>
        </w:rPr>
        <w:t xml:space="preserve">نووی، یحیی بن شرف، 631 - 676 قمری</w:t>
      </w:r>
    </w:p>
    <w:p>
      <w:pPr>
        <w:pStyle w:val="BookText"/>
      </w:pPr>
      <w:r>
        <w:rPr>
          <w:rFonts w:ascii="Times New Roman" w:hAnsi="Times New Roman" w:eastAsia="Times New Roman" w:cs="Times New Roman"/>
          <w:lang w:val="en-US" w:bidi="en-US"/>
          <w:color w:val="111111"/>
          <w:sz w:val="28"/>
          <w:szCs w:val="28"/>
          <w:rtl/>
        </w:rPr>
        <w:t xml:space="preserve">navavī, yahyā ebn-e šaraf (1234 - 1278)</w:t>
      </w:r>
    </w:p>
    <w:p>
      <w:pPr>
        <w:pStyle w:val="BookText"/>
      </w:pPr>
      <w:r>
        <w:rPr>
          <w:rFonts w:ascii="Amiri" w:hAnsi="Amiri" w:eastAsia="Amiri" w:cs="Amiri"/>
          <w:lang w:bidi="ar-SA"/>
          <w:color w:val="111111"/>
          <w:sz w:val="28"/>
          <w:szCs w:val="28"/>
          <w:rtl/>
        </w:rPr>
        <w:t xml:space="preserve">وابسته به: معرفة انواع علم الحديث= مقدمه ابن صلاح؛ ابن صلاح، عثمان بن عبدالرحمن (577- 643ق)</w:t>
      </w:r>
    </w:p>
    <w:p>
      <w:pPr>
        <w:pStyle w:val="BookText"/>
      </w:pPr>
      <w:r>
        <w:rPr>
          <w:rFonts w:ascii="IRNazanin" w:hAnsi="IRNazanin" w:eastAsia="IRNazanin" w:cs="IRNazanin"/>
          <w:lang w:bidi="fa-IR"/>
          <w:color w:val="111111"/>
          <w:sz w:val="28"/>
          <w:szCs w:val="28"/>
          <w:rtl/>
        </w:rPr>
        <w:t xml:space="preserve">این کتاب مختصر «معرفة انواع علم الحديث» ابن صلاح است. بروکلمان کتاب را در ذیل «معرفة انواع علم الحديث» ذکر</w:t>
      </w:r>
    </w:p>
    <w:p>
      <w:pPr>
        <w:pStyle w:val="BookText"/>
      </w:pPr>
      <w:r>
        <w:rPr>
          <w:rFonts w:ascii="IRNazanin" w:hAnsi="IRNazanin" w:eastAsia="IRNazanin" w:cs="IRNazanin"/>
          <w:lang w:bidi="fa-IR"/>
          <w:color w:val="111111"/>
          <w:sz w:val="28"/>
          <w:szCs w:val="28"/>
          <w:rtl/>
        </w:rPr>
        <w:t xml:space="preserve">نموده و نشانی همین نسخه را نیز داده است .</w:t>
      </w:r>
    </w:p>
    <w:p>
      <w:pPr>
        <w:pStyle w:val="BookText"/>
      </w:pPr>
      <w:r>
        <w:rPr>
          <w:rFonts w:ascii="Amiri" w:hAnsi="Amiri" w:eastAsia="Amiri" w:cs="Amiri"/>
          <w:lang w:bidi="ar-SA"/>
          <w:color w:val="111111"/>
          <w:sz w:val="28"/>
          <w:szCs w:val="28"/>
          <w:rtl/>
        </w:rPr>
        <w:t xml:space="preserve">آغاز: قال الشيخ الامام العالم. .. الحمد لله ذى الآلاء و الحکم المفضل امة محمد (صلّی اللَّهِ علیه وَ آلِهِ وَ سَلَّمَ ) على ساير الامم.</w:t>
      </w:r>
    </w:p>
    <w:p>
      <w:pPr>
        <w:pStyle w:val="BookText"/>
      </w:pPr>
      <w:r>
        <w:rPr>
          <w:rFonts w:ascii="IRNazanin" w:hAnsi="IRNazanin" w:eastAsia="IRNazanin" w:cs="IRNazanin"/>
          <w:lang w:bidi="fa-IR"/>
          <w:color w:val="111111"/>
          <w:sz w:val="28"/>
          <w:szCs w:val="28"/>
          <w:rtl/>
        </w:rPr>
        <w:t xml:space="preserve">انجام: وأتنى فى الدنيا حسنة و في الآخرة حسنة. .. و سلام علی المرسلين و الحمد لله.</w:t>
      </w:r>
    </w:p>
    <w:p>
      <w:pPr>
        <w:pStyle w:val="BookText"/>
      </w:pPr>
      <w:r>
        <w:rPr>
          <w:rFonts w:ascii="IRNazanin" w:hAnsi="IRNazanin" w:eastAsia="IRNazanin" w:cs="IRNazanin"/>
          <w:lang w:bidi="fa-IR"/>
          <w:color w:val="111111"/>
          <w:sz w:val="28"/>
          <w:szCs w:val="28"/>
          <w:rtl/>
        </w:rPr>
        <w:t xml:space="preserve">[كشف الظنون 1162/2؛ بروکلمان، ذیل 611/1؛ فهرست خطی کوپریلی119/1 ]</w:t>
      </w:r>
    </w:p>
    <w:p>
      <w:pPr>
        <w:pStyle w:val="BookText"/>
      </w:pPr>
      <w:r>
        <w:rPr>
          <w:rFonts w:ascii="IRNazanin" w:hAnsi="IRNazanin" w:eastAsia="IRNazanin" w:cs="IRNazanin"/>
          <w:lang w:bidi="fa-IR"/>
          <w:color w:val="111111"/>
          <w:sz w:val="28"/>
          <w:szCs w:val="28"/>
          <w:rtl/>
        </w:rPr>
        <w:t xml:space="preserve">قم؛ مرعشی؛ شماره نسخه: 830 عکسی</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نسخه اصل: کوپریلی ،استانبول، شماره 220؛ خط: نسخ،کا: محمد بن غازي بن عبدالرحیم حمصی، تا: 16 ذیحجه 732ق؛ جا: حمص، برای خود نوشته است؛ مصحح، دارای بلاغ؛ 86گ، سطر [عکسی ف: 2 - 306]</w:t>
      </w:r>
    </w:p>
    <w:p>
      <w:pPr>
        <w:pStyle w:val="Heading3"/>
      </w:pPr>
      <w:bookmarkStart w:id="581" w:name="_Toc103"/>
      <w:r>
        <w:t>ارشاد الطلبة الى شواهد الطيبة / قرائت / عربي</w:t>
      </w:r>
      <w:bookmarkEnd w:id="581"/>
    </w:p>
    <w:p>
      <w:pPr>
        <w:pStyle w:val="BookText"/>
      </w:pPr>
      <w:r>
        <w:rPr>
          <w:rFonts w:ascii="Times New Roman" w:hAnsi="Times New Roman" w:eastAsia="Times New Roman" w:cs="Times New Roman"/>
          <w:lang w:val="en-US" w:bidi="en-US"/>
          <w:color w:val="111111"/>
          <w:sz w:val="28"/>
          <w:szCs w:val="28"/>
          <w:rtl/>
        </w:rPr>
        <w:t xml:space="preserve">iršād-uṭ-ṭalaba ila šawāhid-iṭ-ṭayyiba</w:t>
      </w:r>
    </w:p>
    <w:p>
      <w:pPr>
        <w:pStyle w:val="BookText"/>
      </w:pPr>
      <w:r>
        <w:rPr>
          <w:rFonts w:ascii="IRNazanin" w:hAnsi="IRNazanin" w:eastAsia="IRNazanin" w:cs="IRNazanin"/>
          <w:lang w:bidi="fa-IR"/>
          <w:color w:val="111111"/>
          <w:sz w:val="28"/>
          <w:szCs w:val="28"/>
          <w:rtl/>
        </w:rPr>
        <w:t xml:space="preserve">منصوری ،علی ق 12 قمری</w:t>
      </w:r>
    </w:p>
    <w:p>
      <w:pPr>
        <w:pStyle w:val="BookText"/>
      </w:pPr>
      <w:r>
        <w:rPr>
          <w:rFonts w:ascii="Times New Roman" w:hAnsi="Times New Roman" w:eastAsia="Times New Roman" w:cs="Times New Roman"/>
          <w:lang w:val="en-US" w:bidi="en-US"/>
          <w:color w:val="111111"/>
          <w:sz w:val="28"/>
          <w:szCs w:val="28"/>
          <w:rtl/>
        </w:rPr>
        <w:t xml:space="preserve">mansūrī, ‘alī ( - 18c)</w:t>
      </w:r>
    </w:p>
    <w:p>
      <w:pPr>
        <w:pStyle w:val="BookText"/>
      </w:pPr>
      <w:r>
        <w:rPr>
          <w:rFonts w:ascii="Amiri" w:hAnsi="Amiri" w:eastAsia="Amiri" w:cs="Amiri"/>
          <w:lang w:bidi="ar-SA"/>
          <w:color w:val="111111"/>
          <w:sz w:val="28"/>
          <w:szCs w:val="28"/>
          <w:rtl/>
        </w:rPr>
        <w:t xml:space="preserve">تاريخ تأليف: 1110ق</w:t>
      </w:r>
    </w:p>
    <w:p>
      <w:pPr>
        <w:pStyle w:val="BookText"/>
      </w:pPr>
      <w:r>
        <w:rPr>
          <w:rFonts w:ascii="IRNazanin" w:hAnsi="IRNazanin" w:eastAsia="IRNazanin" w:cs="IRNazanin"/>
          <w:lang w:bidi="fa-IR"/>
          <w:color w:val="111111"/>
          <w:sz w:val="28"/>
          <w:szCs w:val="28"/>
          <w:rtl/>
        </w:rPr>
        <w:t xml:space="preserve">وابسته به: طيبة النشر فى القراآت العشر= الفيه؛ ابن جزری، محمد بن محمد (751-833ق)</w:t>
      </w:r>
    </w:p>
    <w:p>
      <w:pPr>
        <w:pStyle w:val="BookText"/>
      </w:pPr>
      <w:r>
        <w:rPr>
          <w:rFonts w:ascii="IRNazanin" w:hAnsi="IRNazanin" w:eastAsia="IRNazanin" w:cs="IRNazanin"/>
          <w:lang w:bidi="fa-IR"/>
          <w:color w:val="111111"/>
          <w:sz w:val="28"/>
          <w:szCs w:val="28"/>
          <w:rtl/>
        </w:rPr>
        <w:t xml:space="preserve">رساله ای در تفاوت قرائت ها و اختلاف قراء، به ترتیب سوره هااز سوره فاتحه تا سوره ناس، که شواهدی است برای منظومه «طیبة النشر» جزری به روش «انشاد الشهيد من منوال القصيد» شیخ محمد بن غازی با اضافات بسیاری بر آن.</w:t>
      </w:r>
    </w:p>
    <w:p>
      <w:pPr>
        <w:pStyle w:val="BookText"/>
      </w:pPr>
      <w:r>
        <w:rPr>
          <w:rFonts w:ascii="IRNazanin" w:hAnsi="IRNazanin" w:eastAsia="IRNazanin" w:cs="IRNazanin"/>
          <w:lang w:bidi="fa-IR"/>
          <w:color w:val="111111"/>
          <w:sz w:val="28"/>
          <w:szCs w:val="28"/>
          <w:rtl/>
        </w:rPr>
        <w:t xml:space="preserve">آغاز: الحمد لله الذى أنزل القرآن موعظة وهدى ورحمة و شفاء لما في الصدور و أمر نبيه الامين أن يقرأه على سبعة أحرف انجام: اللهم صل عليه كلما غفل عن ذكره الغافلون وسلم تسلیما كثيراً سبحان ربك رب العزة عما يصفون</w:t>
      </w:r>
    </w:p>
    <w:p>
      <w:pPr>
        <w:pStyle w:val="BookText"/>
      </w:pPr>
      <w:r>
        <w:rPr>
          <w:rFonts w:ascii="IRNazanin" w:hAnsi="IRNazanin" w:eastAsia="IRNazanin" w:cs="IRNazanin"/>
          <w:lang w:bidi="fa-IR"/>
          <w:color w:val="111111"/>
          <w:sz w:val="28"/>
          <w:szCs w:val="28"/>
          <w:rtl/>
        </w:rPr>
        <w:t xml:space="preserve">قم؛ مرعشی؛ شماره نسخه: 3905/1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ابراهیم حمدی بن محمد بن عثمان، تا: 16 محرم 1187ق؛ جلد: گالینگور ،سبز، 85گ (1پ-85) اندازه:</w:t>
      </w:r>
    </w:p>
    <w:p>
      <w:pPr>
        <w:pStyle w:val="BookText"/>
      </w:pPr>
      <w:r>
        <w:rPr>
          <w:rFonts w:ascii="Times New Roman" w:hAnsi="Times New Roman" w:eastAsia="Times New Roman" w:cs="Times New Roman"/>
          <w:lang w:val="en-US" w:bidi="en-US"/>
          <w:color w:val="111111"/>
          <w:sz w:val="28"/>
          <w:szCs w:val="28"/>
          <w:rtl/>
        </w:rPr>
        <w:t xml:space="preserve">12×19</w:t>
      </w:r>
      <w:r>
        <w:rPr>
          <w:rFonts w:ascii="IRNazanin" w:hAnsi="IRNazanin" w:eastAsia="IRNazanin" w:cs="IRNazanin"/>
          <w:lang w:bidi="fa-IR"/>
          <w:color w:val="111111"/>
          <w:sz w:val="28"/>
          <w:szCs w:val="28"/>
          <w:rtl/>
        </w:rPr>
        <w:t xml:space="preserve">سم [ف: 10 - 284]</w:t>
      </w:r>
    </w:p>
    <w:p>
      <w:pPr>
        <w:pStyle w:val="Heading3"/>
      </w:pPr>
      <w:bookmarkStart w:id="582" w:name="_Toc104"/>
      <w:r>
        <w:t>ارشاد العارف النبيل / علوم قرآن / عربی</w:t>
      </w:r>
      <w:bookmarkEnd w:id="582"/>
    </w:p>
    <w:p>
      <w:pPr>
        <w:pStyle w:val="BookText"/>
      </w:pPr>
      <w:r>
        <w:rPr>
          <w:rFonts w:ascii="Times New Roman" w:hAnsi="Times New Roman" w:eastAsia="Times New Roman" w:cs="Times New Roman"/>
          <w:lang w:val="en-US" w:bidi="en-US"/>
          <w:color w:val="111111"/>
          <w:sz w:val="28"/>
          <w:szCs w:val="28"/>
          <w:rtl/>
        </w:rPr>
        <w:t xml:space="preserve">iršād-ul- ́ārif-in-nabīl</w:t>
      </w:r>
    </w:p>
    <w:p>
      <w:pPr>
        <w:pStyle w:val="BookText"/>
      </w:pPr>
      <w:r>
        <w:rPr>
          <w:rFonts w:ascii="IRNazanin" w:hAnsi="IRNazanin" w:eastAsia="IRNazanin" w:cs="IRNazanin"/>
          <w:lang w:bidi="fa-IR"/>
          <w:color w:val="111111"/>
          <w:sz w:val="28"/>
          <w:szCs w:val="28"/>
          <w:rtl/>
        </w:rPr>
        <w:t xml:space="preserve">بغدادی، محمد سعید بن سلیمان، ق 14 قمری</w:t>
      </w:r>
    </w:p>
    <w:p>
      <w:pPr>
        <w:pStyle w:val="BookText"/>
      </w:pPr>
      <w:r>
        <w:rPr>
          <w:rFonts w:ascii="Times New Roman" w:hAnsi="Times New Roman" w:eastAsia="Times New Roman" w:cs="Times New Roman"/>
          <w:lang w:val="en-US" w:bidi="en-US"/>
          <w:color w:val="111111"/>
          <w:sz w:val="28"/>
          <w:szCs w:val="28"/>
          <w:rtl/>
        </w:rPr>
        <w:t xml:space="preserve">(baqdādī mohammad sa īd-e-bn-e soleyman (-20c)</w:t>
      </w:r>
    </w:p>
    <w:p>
      <w:pPr>
        <w:pStyle w:val="BookText"/>
      </w:pPr>
      <w:r>
        <w:rPr>
          <w:rFonts w:ascii="IRNazanin" w:hAnsi="IRNazanin" w:eastAsia="IRNazanin" w:cs="IRNazanin"/>
          <w:lang w:bidi="fa-IR"/>
          <w:color w:val="111111"/>
          <w:sz w:val="28"/>
          <w:szCs w:val="28"/>
          <w:rtl/>
        </w:rPr>
        <w:t xml:space="preserve">تاریخ تألیف: چهارشنبه 3 محرم 1313ق</w:t>
      </w:r>
    </w:p>
    <w:p>
      <w:pPr>
        <w:pStyle w:val="BookText"/>
      </w:pPr>
      <w:r>
        <w:rPr>
          <w:rFonts w:ascii="IRNazanin" w:hAnsi="IRNazanin" w:eastAsia="IRNazanin" w:cs="IRNazanin"/>
          <w:lang w:bidi="fa-IR"/>
          <w:color w:val="111111"/>
          <w:sz w:val="28"/>
          <w:szCs w:val="28"/>
          <w:rtl/>
        </w:rPr>
        <w:t xml:space="preserve">رساله ای در آیه های محکم و متشابه مخصوصاً آیه هایی که درباره صفات الهی آمده و بیان فرق و چگونگی تفسیر و تأویل آنها، دارای یک «مقدمه» و سه «فصل» و یک «خاتمه»: المقدمة في الاختلاف في المحكم والمتشابه؛ فصل 1. هل يمكن الاطلاع على المتشابه أو لا يعلمه الا الله؛ 2. في ما جرى عليه من التفويض و عدم التأويل؛ 3 .في مذهبي الخلف في التأويل ؛ الخاتمة فى شىء من التأويل لبعض الآيات. نام كامل آن چنین است: «ارشاد العارف النبيل الى ما ذهب اليه السلف من التفويض دون التأويل»</w:t>
      </w:r>
    </w:p>
    <w:p>
      <w:pPr>
        <w:pStyle w:val="BookText"/>
      </w:pPr>
      <w:r>
        <w:rPr>
          <w:rFonts w:ascii="IRNazanin" w:hAnsi="IRNazanin" w:eastAsia="IRNazanin" w:cs="IRNazanin"/>
          <w:lang w:bidi="fa-IR"/>
          <w:color w:val="111111"/>
          <w:sz w:val="28"/>
          <w:szCs w:val="28"/>
          <w:rtl/>
        </w:rPr>
        <w:t xml:space="preserve">آغاز: الحمدلله الذي نزل احسن الحديث كتاباًمتشابهاً و امرنا بالایمان به ففوض علم المتشابه من آياته قوى الايمان بها</w:t>
      </w:r>
    </w:p>
    <w:p>
      <w:pPr>
        <w:pStyle w:val="BookText"/>
      </w:pPr>
      <w:r>
        <w:rPr>
          <w:rFonts w:ascii="Amiri" w:hAnsi="Amiri" w:eastAsia="Amiri" w:cs="Amiri"/>
          <w:lang w:bidi="ar-SA"/>
          <w:color w:val="111111"/>
          <w:sz w:val="28"/>
          <w:szCs w:val="28"/>
          <w:rtl/>
        </w:rPr>
        <w:t xml:space="preserve">انجام: و اسألة تعالى أن ينفع بها اخواننا المسلمين و الحمد لله رب العالمين</w:t>
      </w:r>
    </w:p>
    <w:p>
      <w:pPr>
        <w:pStyle w:val="BookText"/>
      </w:pPr>
      <w:r>
        <w:rPr>
          <w:rFonts w:ascii="IRNazanin" w:hAnsi="IRNazanin" w:eastAsia="IRNazanin" w:cs="IRNazanin"/>
          <w:lang w:bidi="fa-IR"/>
          <w:color w:val="111111"/>
          <w:sz w:val="28"/>
          <w:szCs w:val="28"/>
          <w:rtl/>
        </w:rPr>
        <w:t xml:space="preserve">قم؛ مرعشی؛ شماره نسخه: 9804/2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محمد مهدی بن محمد امین نقشبندی حسنی حنفی سامرائی ، تا: پنج شنبه از ماه ذیقعده 1319ق؛ جلد: مقوایی عطف تیماج قرمز ، 34گ (27پ-61پ)، 12 سطر ، اندازه: 16</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25 - 134]</w:t>
      </w:r>
    </w:p>
    <w:p>
      <w:pPr>
        <w:pStyle w:val="Heading3"/>
      </w:pPr>
      <w:bookmarkStart w:id="583" w:name="_Toc105"/>
      <w:r>
        <w:t>ارشاد العباد / کلام و اعتقادات عرفان و تصوف /فارسی</w:t>
      </w:r>
      <w:bookmarkEnd w:id="583"/>
    </w:p>
    <w:p>
      <w:pPr>
        <w:pStyle w:val="BookText"/>
      </w:pPr>
      <w:r>
        <w:rPr>
          <w:rFonts w:ascii="Times New Roman" w:hAnsi="Times New Roman" w:eastAsia="Times New Roman" w:cs="Times New Roman"/>
          <w:lang w:val="en-US" w:bidi="en-US"/>
          <w:color w:val="111111"/>
          <w:sz w:val="28"/>
          <w:szCs w:val="28"/>
          <w:rtl/>
        </w:rPr>
        <w:t xml:space="preserve">eršād-ol 'ebād</w:t>
      </w:r>
    </w:p>
    <w:p>
      <w:pPr>
        <w:pStyle w:val="BookText"/>
      </w:pPr>
      <w:r>
        <w:rPr>
          <w:rFonts w:ascii="IRNazanin" w:hAnsi="IRNazanin" w:eastAsia="IRNazanin" w:cs="IRNazanin"/>
          <w:lang w:bidi="fa-IR"/>
          <w:color w:val="111111"/>
          <w:sz w:val="28"/>
          <w:szCs w:val="28"/>
          <w:rtl/>
        </w:rPr>
        <w:t xml:space="preserve">نراقی، محمد جعفر بن محمد قاسم - 1264 قمرى</w:t>
      </w:r>
    </w:p>
    <w:p>
      <w:pPr>
        <w:pStyle w:val="BookText"/>
      </w:pPr>
      <w:r>
        <w:rPr>
          <w:rFonts w:ascii="Times New Roman" w:hAnsi="Times New Roman" w:eastAsia="Times New Roman" w:cs="Times New Roman"/>
          <w:lang w:val="en-US" w:bidi="en-US"/>
          <w:color w:val="111111"/>
          <w:sz w:val="28"/>
          <w:szCs w:val="28"/>
          <w:rtl/>
        </w:rPr>
        <w:t xml:space="preserve">narāqī, mohammad ja far ebn-e mohammad qāsem (·</w:t>
      </w:r>
    </w:p>
    <w:p>
      <w:pPr>
        <w:pStyle w:val="BookText"/>
      </w:pPr>
      <w:r>
        <w:rPr>
          <w:rFonts w:ascii="Times New Roman" w:hAnsi="Times New Roman" w:eastAsia="Times New Roman" w:cs="Times New Roman"/>
          <w:lang w:val="en-US" w:bidi="en-US"/>
          <w:color w:val="111111"/>
          <w:sz w:val="28"/>
          <w:szCs w:val="28"/>
          <w:rtl/>
        </w:rPr>
        <w:t xml:space="preserve">1848.</w:t>
      </w:r>
    </w:p>
    <w:p>
      <w:pPr>
        <w:pStyle w:val="BookText"/>
      </w:pPr>
      <w:r>
        <w:rPr>
          <w:rFonts w:ascii="IRNazanin" w:hAnsi="IRNazanin" w:eastAsia="IRNazanin" w:cs="IRNazanin"/>
          <w:lang w:bidi="fa-IR"/>
          <w:color w:val="111111"/>
          <w:sz w:val="28"/>
          <w:szCs w:val="28"/>
          <w:rtl/>
        </w:rPr>
        <w:t xml:space="preserve">اهدا :به محمد شاه قاجار</w:t>
      </w:r>
    </w:p>
    <w:p>
      <w:pPr>
        <w:pStyle w:val="BookText"/>
      </w:pPr>
      <w:r>
        <w:rPr>
          <w:rFonts w:ascii="IRNazanin" w:hAnsi="IRNazanin" w:eastAsia="IRNazanin" w:cs="IRNazanin"/>
          <w:lang w:bidi="fa-IR"/>
          <w:color w:val="111111"/>
          <w:sz w:val="28"/>
          <w:szCs w:val="28"/>
          <w:rtl/>
        </w:rPr>
        <w:t xml:space="preserve">کتابی است در عقاید، عرفان و اخلاق، دارای سه «مطلب» و هر مطلب شامل چند «باب» و «فصل» و یک «خاتمه»: 1. خداشناسی در 4 «باب» و 1 مقدمه(باب اول در بیان معرفة الله، در پنج فصل، باب دوم در اثبات نبوت، در سه فصل نبوت باب سوم   در بیان اثبات امامت، دارای یک مقدمه، دوازده فصل و یک خاتمه، باب چهارم در اثبات معاد، در یک مقدمه و چهار فصل [که جلد اول است]؛ 2. خودشناسی؛ 3. آداب سلوک.</w:t>
      </w:r>
    </w:p>
    <w:p>
      <w:pPr>
        <w:pStyle w:val="BookText"/>
      </w:pPr>
      <w:r>
        <w:rPr>
          <w:rFonts w:ascii="IRNazanin" w:hAnsi="IRNazanin" w:eastAsia="IRNazanin" w:cs="IRNazanin"/>
          <w:lang w:bidi="fa-IR"/>
          <w:color w:val="111111"/>
          <w:sz w:val="28"/>
          <w:szCs w:val="28"/>
          <w:rtl/>
        </w:rPr>
        <w:t xml:space="preserve">آغاز: لالی متلالی حمد و سپاس و درر غرر نیایش افزون از قیاس نثار بارگاه جلال كبرياء خداوندی است کریم جلت عظمته و عمت نعمته که غواص رأفتش جواهر زواهر مواعظ</w:t>
      </w:r>
    </w:p>
    <w:p>
      <w:pPr>
        <w:pStyle w:val="BookText"/>
      </w:pPr>
      <w:r>
        <w:rPr>
          <w:rFonts w:ascii="IRNazanin" w:hAnsi="IRNazanin" w:eastAsia="IRNazanin" w:cs="IRNazanin"/>
          <w:lang w:bidi="fa-IR"/>
          <w:color w:val="111111"/>
          <w:sz w:val="28"/>
          <w:szCs w:val="28"/>
          <w:rtl/>
        </w:rPr>
        <w:t xml:space="preserve">[نسخه های منزوی 874/4؛ فهرستواره منزوی (80/9 ]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32" w:name="pg20365_260037"/>
    <w:bookmarkEnd w:id="32"/>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کاشان؛ عاطفی؛ حسن؛ شماره نسخه؛بدون شماره</w:t>
      </w:r>
    </w:p>
    <w:p>
      <w:pPr>
        <w:pStyle w:val="BookText"/>
      </w:pPr>
      <w:r>
        <w:rPr>
          <w:rFonts w:ascii="IRNazanin" w:hAnsi="IRNazanin" w:eastAsia="IRNazanin" w:cs="IRNazanin"/>
          <w:lang w:bidi="fa-IR"/>
          <w:color w:val="111111"/>
          <w:sz w:val="28"/>
          <w:szCs w:val="28"/>
          <w:rtl/>
        </w:rPr>
        <w:t xml:space="preserve">آغاز: برابر؛ انجام: چون در حال تراكم اشغال و اختلال بال و ضيق مجال صورت نگارش پذیرفته ملتمس از ناظران آنکه اگر  برخطای لفظ یا فساد معنی از آنواقف شوند در فتح باب اعتراض طریق مسامحه مرعی دارند و این غریق لجه عصیان را از استدعای رحمت ملک منان محروم محروم نگذارند.</w:t>
      </w:r>
    </w:p>
    <w:p>
      <w:pPr>
        <w:pStyle w:val="BookText"/>
      </w:pPr>
      <w:r>
        <w:rPr>
          <w:rFonts w:ascii="IRNazanin" w:hAnsi="IRNazanin" w:eastAsia="IRNazanin" w:cs="IRNazanin"/>
          <w:lang w:bidi="fa-IR"/>
          <w:color w:val="111111"/>
          <w:sz w:val="28"/>
          <w:szCs w:val="28"/>
          <w:rtl/>
        </w:rPr>
        <w:t xml:space="preserve">خط: شکسته نستعلیق، كاتب - مؤلف، تا: دهه  دوم شعبان 1254ق؛ اسم مصنف را سیاه کرده روی آن کلمه «النراقی» نوشته اند (به فارسی) خط: خوردگی هایی دارد ؛کاغذ: فرنگی سفید و آبی، جلد: مقوا و پارچه رنگین، اندازه: 22/5</w:t>
      </w: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[نشریه: 7 - 723]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مجلس؛ شماره نسخه: 10648</w:t>
      </w:r>
    </w:p>
    <w:p>
      <w:pPr>
        <w:pStyle w:val="BookText"/>
      </w:pPr>
      <w:r>
        <w:rPr>
          <w:rFonts w:ascii="IRNazanin" w:hAnsi="IRNazanin" w:eastAsia="IRNazanin" w:cs="IRNazanin"/>
          <w:lang w:bidi="fa-IR"/>
          <w:color w:val="111111"/>
          <w:sz w:val="28"/>
          <w:szCs w:val="28"/>
          <w:rtl/>
        </w:rPr>
        <w:t xml:space="preserve">آغاز: برابر؛ انجام: مراتب شهات و بخدمت شاه ولایت شیر بیشه هیجا و فارس میدان لافتی</w:t>
      </w:r>
    </w:p>
    <w:p>
      <w:pPr>
        <w:pStyle w:val="BookText"/>
      </w:pPr>
      <w:r>
        <w:rPr>
          <w:rFonts w:ascii="IRNazanin" w:hAnsi="IRNazanin" w:eastAsia="IRNazanin" w:cs="IRNazanin"/>
          <w:lang w:bidi="fa-IR"/>
          <w:color w:val="111111"/>
          <w:sz w:val="28"/>
          <w:szCs w:val="28"/>
          <w:rtl/>
        </w:rPr>
        <w:t xml:space="preserve">خط: نسخ، بی کا، تا :قرن 13 ؛افتادگی: انجام؛ 165گ، 22 سطر ،اندازه: 27</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سم [ف: 33/1 -146]</w:t>
      </w:r>
    </w:p>
    <w:p>
      <w:pPr>
        <w:pStyle w:val="BookText"/>
      </w:pPr>
      <w:r>
        <w:rPr>
          <w:rFonts w:ascii="IRNazanin" w:hAnsi="IRNazanin" w:eastAsia="IRNazanin" w:cs="IRNazanin"/>
          <w:lang w:bidi="fa-IR"/>
          <w:color w:val="111111"/>
          <w:sz w:val="28"/>
          <w:szCs w:val="28"/>
          <w:rtl/>
        </w:rPr>
        <w:t xml:space="preserve">3.قم مرعشی شماره نسخه: 14791</w:t>
      </w:r>
    </w:p>
    <w:p>
      <w:pPr>
        <w:pStyle w:val="BookText"/>
      </w:pPr>
      <w:r>
        <w:rPr>
          <w:rFonts w:ascii="IRNazanin" w:hAnsi="IRNazanin" w:eastAsia="IRNazanin" w:cs="IRNazanin"/>
          <w:lang w:bidi="fa-IR"/>
          <w:color w:val="111111"/>
          <w:sz w:val="28"/>
          <w:szCs w:val="28"/>
          <w:rtl/>
        </w:rPr>
        <w:t xml:space="preserve">آغاز: چهره شاهد مقصودم دور و ظلمت شبهات خواطرم به یقین مبدل گردید، و در این مضمون سبب عدم ظهور اثر عبادات و نفوس متعبدین نیز معلوم گردید؛ انجام: حضرت فرمود: ذخیره کرده ام شفاعت خود را از برای اهل کبایر از امت خود، وعلی بن ابراهیم روایت کرده است که ابو ایمن به خدمت حضرت امام</w:t>
      </w:r>
    </w:p>
    <w:p>
      <w:pPr>
        <w:pStyle w:val="BookText"/>
      </w:pPr>
      <w:r>
        <w:rPr>
          <w:rFonts w:ascii="IRNazanin" w:hAnsi="IRNazanin" w:eastAsia="IRNazanin" w:cs="IRNazanin"/>
          <w:lang w:bidi="fa-IR"/>
          <w:color w:val="111111"/>
          <w:sz w:val="28"/>
          <w:szCs w:val="28"/>
          <w:rtl/>
        </w:rPr>
        <w:t xml:space="preserve">خط: نسخ، بی کا، تا: نیمه نخست قرن 13 ؛افتادگی: آغاز و انجام؛ مصحح، با نشان «بلغ» مقابله شده مجدول، مذهب؛ تملك: تاريخ ربيع الاول 1336 با مهر بیضی؛کاغذ: فرنگی ،جلد: تیماج قرمز ضربی مجدول با ترنج و سرترنج گل و بوته، 449گ، سطر (20</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اندازه: 20</w:t>
      </w:r>
      <w:r>
        <w:rPr>
          <w:rFonts w:ascii="Times New Roman" w:hAnsi="Times New Roman" w:eastAsia="Times New Roman" w:cs="Times New Roman"/>
          <w:lang w:val="en-US" w:bidi="en-US"/>
          <w:color w:val="111111"/>
          <w:sz w:val="28"/>
          <w:szCs w:val="28"/>
          <w:rtl/>
        </w:rPr>
        <w:t xml:space="preserve">×31</w:t>
      </w:r>
      <w:r>
        <w:rPr>
          <w:rFonts w:ascii="IRNazanin" w:hAnsi="IRNazanin" w:eastAsia="IRNazanin" w:cs="IRNazanin"/>
          <w:lang w:bidi="fa-IR"/>
          <w:color w:val="111111"/>
          <w:sz w:val="28"/>
          <w:szCs w:val="28"/>
          <w:rtl/>
        </w:rPr>
        <w:t xml:space="preserve">سم [ف: 37 - 390]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قم؛ مسجد اعظم؛ شماره نسخه: 194</w:t>
      </w:r>
    </w:p>
    <w:p>
      <w:pPr>
        <w:pStyle w:val="BookText"/>
      </w:pPr>
      <w:r>
        <w:rPr>
          <w:rFonts w:ascii="IRNazanin" w:hAnsi="IRNazanin" w:eastAsia="IRNazanin" w:cs="IRNazanin"/>
          <w:lang w:bidi="fa-IR"/>
          <w:color w:val="111111"/>
          <w:sz w:val="28"/>
          <w:szCs w:val="28"/>
          <w:rtl/>
        </w:rPr>
        <w:t xml:space="preserve">آغاز: برابر؛ انجام: پس اعتقاد به ثبوت شفاعت ایشان لازم جزء ایمان است چه فرموده اند که از مانیست هر که انکارکند شفاعت ما را اللهم قد تمسكنا فاحشرنا في زمرتهم وارزقنا  شفاعتهم حين يقول الخائبون.</w:t>
      </w:r>
    </w:p>
    <w:p>
      <w:pPr>
        <w:pStyle w:val="BookText"/>
      </w:pPr>
      <w:r>
        <w:rPr>
          <w:rFonts w:ascii="IRNazanin" w:hAnsi="IRNazanin" w:eastAsia="IRNazanin" w:cs="IRNazanin"/>
          <w:lang w:bidi="fa-IR"/>
          <w:color w:val="111111"/>
          <w:sz w:val="28"/>
          <w:szCs w:val="28"/>
          <w:rtl/>
        </w:rPr>
        <w:t xml:space="preserve">مطلب اول؛ خط: نسخ و نستعلیق، بی کا، تا: شعبان 1254ق؛ تملک: «محمد حسین حسینی 1262ق؛ جلد: تیماج مشکی ترنج سر لچک مجدول ،گرهی 223گ 26 سطر ، اندازه: 31</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ف مخ: 1 - 131]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تهران؛ سپهسالار؛ شماره نسخه 1253</w:t>
      </w:r>
    </w:p>
    <w:p>
      <w:pPr>
        <w:pStyle w:val="BookText"/>
      </w:pPr>
      <w:r>
        <w:rPr>
          <w:rFonts w:ascii="IRNazanin" w:hAnsi="IRNazanin" w:eastAsia="IRNazanin" w:cs="IRNazanin"/>
          <w:lang w:bidi="fa-IR"/>
          <w:color w:val="111111"/>
          <w:sz w:val="28"/>
          <w:szCs w:val="28"/>
          <w:rtl/>
        </w:rPr>
        <w:t xml:space="preserve">آغاز: برابر؛ انجام: اکتساب معارف دین و اقتناء مراتب يقين ،کرامت کناد، بمحمد و آله الطاهرين، صلوات الله عليهم.</w:t>
      </w:r>
    </w:p>
    <w:p>
      <w:pPr>
        <w:pStyle w:val="BookText"/>
      </w:pPr>
      <w:r>
        <w:rPr>
          <w:rFonts w:ascii="IRNazanin" w:hAnsi="IRNazanin" w:eastAsia="IRNazanin" w:cs="IRNazanin"/>
          <w:lang w:bidi="fa-IR"/>
          <w:color w:val="111111"/>
          <w:sz w:val="28"/>
          <w:szCs w:val="28"/>
          <w:rtl/>
        </w:rPr>
        <w:t xml:space="preserve">جلد: یکم ؛خط: نسخ، کا: محمد علی بن محمد كاظم عرب،تا: دهه دوم  ماه پنجم1256ق؛ مجدول؛ تملک: اعتضاد 1296 ق؛واقف: سپهسالار 1297 ق ؛کاغذ: فرنگی ،سفید، جلد: روغنی گل بوته، درون گل نرگس روغنی سرخ، 389گ، 21 سطر ، اندازه: 20</w:t>
      </w:r>
      <w:r>
        <w:rPr>
          <w:rFonts w:ascii="Times New Roman" w:hAnsi="Times New Roman" w:eastAsia="Times New Roman" w:cs="Times New Roman"/>
          <w:lang w:val="en-US" w:bidi="en-US"/>
          <w:color w:val="111111"/>
          <w:sz w:val="28"/>
          <w:szCs w:val="28"/>
          <w:rtl/>
        </w:rPr>
        <w:t xml:space="preserve">×31</w:t>
      </w:r>
      <w:r>
        <w:rPr>
          <w:rFonts w:ascii="IRNazanin" w:hAnsi="IRNazanin" w:eastAsia="IRNazanin" w:cs="IRNazanin"/>
          <w:lang w:bidi="fa-IR"/>
          <w:color w:val="111111"/>
          <w:sz w:val="28"/>
          <w:szCs w:val="28"/>
          <w:rtl/>
        </w:rPr>
        <w:t xml:space="preserve">سم [ف: 3 - 109]</w:t>
      </w:r>
    </w:p>
    <w:p>
      <w:pPr>
        <w:pStyle w:val="Heading3"/>
      </w:pPr>
      <w:bookmarkStart w:id="584" w:name="_Toc106"/>
      <w:r>
        <w:t>ارشاد العبادات / فقه / فارسی</w:t>
      </w:r>
      <w:bookmarkEnd w:id="584"/>
    </w:p>
    <w:p>
      <w:pPr>
        <w:pStyle w:val="BookText"/>
      </w:pPr>
      <w:r>
        <w:rPr>
          <w:rFonts w:ascii="Times New Roman" w:hAnsi="Times New Roman" w:eastAsia="Times New Roman" w:cs="Times New Roman"/>
          <w:lang w:val="en-US" w:bidi="en-US"/>
          <w:color w:val="111111"/>
          <w:sz w:val="28"/>
          <w:szCs w:val="28"/>
          <w:rtl/>
        </w:rPr>
        <w:t xml:space="preserve">eršād-ol-‘ebādāt</w:t>
      </w:r>
    </w:p>
    <w:p>
      <w:pPr>
        <w:pStyle w:val="BookText"/>
      </w:pPr>
      <w:r>
        <w:rPr>
          <w:rFonts w:ascii="IRNazanin" w:hAnsi="IRNazanin" w:eastAsia="IRNazanin" w:cs="IRNazanin"/>
          <w:lang w:bidi="fa-IR"/>
          <w:color w:val="111111"/>
          <w:sz w:val="28"/>
          <w:szCs w:val="28"/>
          <w:rtl/>
        </w:rPr>
        <w:t xml:space="preserve">خطائی حسینی مداح، ق13 قمری</w:t>
      </w:r>
    </w:p>
    <w:p>
      <w:pPr>
        <w:pStyle w:val="BookText"/>
      </w:pPr>
      <w:r>
        <w:rPr>
          <w:rFonts w:ascii="Times New Roman" w:hAnsi="Times New Roman" w:eastAsia="Times New Roman" w:cs="Times New Roman"/>
          <w:lang w:val="en-US" w:bidi="en-US"/>
          <w:color w:val="111111"/>
          <w:sz w:val="28"/>
          <w:szCs w:val="28"/>
          <w:rtl/>
        </w:rPr>
        <w:t xml:space="preserve">(xatā’ī hoseynī maddāh ( - 19c</w:t>
      </w:r>
    </w:p>
    <w:p>
      <w:pPr>
        <w:pStyle w:val="BookText"/>
      </w:pPr>
      <w:r>
        <w:rPr>
          <w:rFonts w:ascii="IRNazanin" w:hAnsi="IRNazanin" w:eastAsia="IRNazanin" w:cs="IRNazanin"/>
          <w:lang w:bidi="fa-IR"/>
          <w:color w:val="111111"/>
          <w:sz w:val="28"/>
          <w:szCs w:val="28"/>
          <w:rtl/>
        </w:rPr>
        <w:t xml:space="preserve">رساله علمیه فتوایی است که از فتاوای میزای شیرازی ترتیب داده شده است. اصل رساله از شیخ انصاری است که مؤلف با فتوای شیخ انصاری تطبیق داده است. مؤلف از عالمان عصر ناصر الدین شاه است و در مقدمه از چهار اثر خود («دیوان در مدح و مصیبت امام حسین (علیه السّلام)»، «مختارنامه» به نظم و نثر، «منقبت نامه» به نظم و نثر،«احادیث معتبره در فضائل معجزات و حالات چهارده معصوم» شامل چهارده دفتر که استطاعت چاپ آنها را ندارد یاد کرده است.</w:t>
      </w:r>
    </w:p>
    <w:p>
      <w:pPr>
        <w:pStyle w:val="BookText"/>
      </w:pPr>
      <w:r>
        <w:rPr>
          <w:rFonts w:ascii="IRNazanin" w:hAnsi="IRNazanin" w:eastAsia="IRNazanin" w:cs="IRNazanin"/>
          <w:lang w:bidi="fa-IR"/>
          <w:color w:val="111111"/>
          <w:sz w:val="28"/>
          <w:szCs w:val="28"/>
          <w:rtl/>
        </w:rPr>
        <w:t xml:space="preserve">قم؛ گلپایگانی؛ شماره نسخه: 5275-26/155</w:t>
      </w:r>
    </w:p>
    <w:p>
      <w:pPr>
        <w:pStyle w:val="BookText"/>
      </w:pPr>
      <w:r>
        <w:rPr>
          <w:rFonts w:ascii="IRNazanin" w:hAnsi="IRNazanin" w:eastAsia="IRNazanin" w:cs="IRNazanin"/>
          <w:lang w:bidi="fa-IR"/>
          <w:color w:val="111111"/>
          <w:sz w:val="28"/>
          <w:szCs w:val="28"/>
          <w:rtl/>
        </w:rPr>
        <w:t xml:space="preserve">آغاز: بسمله حمد له ولعنة الله على اعدائهم. .. اما بعد این رساله ایست از رای اشرف جناب. .. آقای میرزا سید حسن شیرازی سلمه الله تعالى بوجه حسن و طریق مستحسن؛ انجام: تمام شد رساله جناب شیخ مرتضی انصاری که بصحة جناب میرزا سلمه الله رسید بود و امضاء داشته اند بآرای ایشان یکی است بلکه قدری احتیاط جناب میرزا بیشتر است.</w:t>
      </w:r>
    </w:p>
    <w:p>
      <w:pPr>
        <w:pStyle w:val="BookText"/>
      </w:pPr>
      <w:r>
        <w:rPr>
          <w:rFonts w:ascii="IRNazanin" w:hAnsi="IRNazanin" w:eastAsia="IRNazanin" w:cs="IRNazanin"/>
          <w:lang w:bidi="fa-IR"/>
          <w:color w:val="111111"/>
          <w:sz w:val="28"/>
          <w:szCs w:val="28"/>
          <w:rtl/>
        </w:rPr>
        <w:t xml:space="preserve">خط: تحریری؛ کاتب - مؤلف، تا: 1284ق؛ جا: کربلا صحن حضرت عباس؛ جلد: تیماج قهوه ای ضربی مجدول، 102گ، مختلف السطر ، اندازه: 11</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[ف: 1 - 310]</w:t>
      </w:r>
    </w:p>
    <w:p>
      <w:pPr>
        <w:pStyle w:val="Heading3"/>
      </w:pPr>
      <w:bookmarkStart w:id="585" w:name="_Toc107"/>
      <w:r>
        <w:t>ارشاد العباد الى احكام الذبح و الاصطياد / فقه / اردو</w:t>
      </w:r>
      <w:bookmarkEnd w:id="585"/>
    </w:p>
    <w:p>
      <w:pPr>
        <w:pStyle w:val="BookText"/>
      </w:pPr>
      <w:r>
        <w:rPr>
          <w:rFonts w:ascii="Times New Roman" w:hAnsi="Times New Roman" w:eastAsia="Times New Roman" w:cs="Times New Roman"/>
          <w:lang w:val="en-US" w:bidi="en-US"/>
          <w:color w:val="111111"/>
          <w:sz w:val="28"/>
          <w:szCs w:val="28"/>
          <w:rtl/>
        </w:rPr>
        <w:t xml:space="preserve">eršād-ol-'ebād ela ahkam-ez-zebh-e va-l-estīyād</w:t>
      </w:r>
    </w:p>
    <w:p>
      <w:pPr>
        <w:pStyle w:val="BookText"/>
      </w:pPr>
      <w:r>
        <w:rPr>
          <w:rFonts w:ascii="IRNazanin" w:hAnsi="IRNazanin" w:eastAsia="IRNazanin" w:cs="IRNazanin"/>
          <w:lang w:bidi="fa-IR"/>
          <w:color w:val="111111"/>
          <w:sz w:val="28"/>
          <w:szCs w:val="28"/>
          <w:rtl/>
        </w:rPr>
        <w:t xml:space="preserve">نوراللهی، احمد مشتاق بن درویش</w:t>
      </w:r>
    </w:p>
    <w:p>
      <w:pPr>
        <w:pStyle w:val="BookText"/>
      </w:pPr>
      <w:r>
        <w:rPr>
          <w:rFonts w:ascii="Times New Roman" w:hAnsi="Times New Roman" w:eastAsia="Times New Roman" w:cs="Times New Roman"/>
          <w:lang w:val="en-US" w:bidi="en-US"/>
          <w:color w:val="111111"/>
          <w:sz w:val="28"/>
          <w:szCs w:val="28"/>
          <w:rtl/>
        </w:rPr>
        <w:t xml:space="preserve">nūr-ol-lāhī, ahmad moštaq ebn-e darvīš</w:t>
      </w:r>
    </w:p>
    <w:p>
      <w:pPr>
        <w:pStyle w:val="BookText"/>
      </w:pPr>
      <w:r>
        <w:rPr>
          <w:rFonts w:ascii="IRNazanin" w:hAnsi="IRNazanin" w:eastAsia="IRNazanin" w:cs="IRNazanin"/>
          <w:lang w:bidi="fa-IR"/>
          <w:color w:val="111111"/>
          <w:sz w:val="28"/>
          <w:szCs w:val="28"/>
          <w:rtl/>
        </w:rPr>
        <w:t xml:space="preserve">در احکام شکار و سر بریدن و حلیت و حرمت حیوانات بری و بحری، طی چند «فصل» و دارای «مسائل» که به نام نواب عظیم چاه بهادر (؟) ساخته است.</w:t>
      </w:r>
    </w:p>
    <w:p>
      <w:pPr>
        <w:pStyle w:val="BookText"/>
      </w:pPr>
      <w:r>
        <w:rPr>
          <w:rFonts w:ascii="IRNazanin" w:hAnsi="IRNazanin" w:eastAsia="IRNazanin" w:cs="IRNazanin"/>
          <w:lang w:bidi="fa-IR"/>
          <w:color w:val="111111"/>
          <w:sz w:val="28"/>
          <w:szCs w:val="28"/>
          <w:rtl/>
        </w:rPr>
        <w:t xml:space="preserve">آغاز: الحمد لله رب العالمين. .. اندنون جوبار اسی چهپنوان سال هي هجرت سی دوره حکومت.</w:t>
      </w:r>
    </w:p>
    <w:p>
      <w:pPr>
        <w:pStyle w:val="BookText"/>
      </w:pPr>
      <w:r>
        <w:rPr>
          <w:rFonts w:ascii="IRNazanin" w:hAnsi="IRNazanin" w:eastAsia="IRNazanin" w:cs="IRNazanin"/>
          <w:lang w:bidi="fa-IR"/>
          <w:color w:val="111111"/>
          <w:sz w:val="28"/>
          <w:szCs w:val="28"/>
          <w:rtl/>
        </w:rPr>
        <w:t xml:space="preserve">انجام: چارپای کاحرام اور حلال چارپای کاحلال اسیطرح هی عمدة الكلام كى رسالی مین.</w:t>
      </w:r>
    </w:p>
    <w:p>
      <w:pPr>
        <w:pStyle w:val="BookText"/>
      </w:pPr>
      <w:r>
        <w:rPr>
          <w:rFonts w:ascii="IRNazanin" w:hAnsi="IRNazanin" w:eastAsia="IRNazanin" w:cs="IRNazanin"/>
          <w:lang w:bidi="fa-IR"/>
          <w:color w:val="111111"/>
          <w:sz w:val="28"/>
          <w:szCs w:val="28"/>
          <w:rtl/>
        </w:rPr>
        <w:t xml:space="preserve">[فهرستواره منزوی 3780/5]</w:t>
      </w:r>
    </w:p>
    <w:p>
      <w:pPr>
        <w:pStyle w:val="BookText"/>
      </w:pPr>
      <w:r>
        <w:rPr>
          <w:rFonts w:ascii="IRNazanin" w:hAnsi="IRNazanin" w:eastAsia="IRNazanin" w:cs="IRNazanin"/>
          <w:lang w:bidi="fa-IR"/>
          <w:color w:val="111111"/>
          <w:sz w:val="28"/>
          <w:szCs w:val="28"/>
          <w:rtl/>
        </w:rPr>
        <w:t xml:space="preserve">قم ؛مرعشی؛ شماره نسخه: 7313/6</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بی تا :جلد: مقوایی عطف تیماج قهوه ای، 21گ (236 پ-257پ) [ف 19 - 107]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33" w:name="pg20365_260038"/>
    <w:bookmarkEnd w:id="33"/>
    <w:p>
      <w:pPr>
        <w:pStyle w:val="BookText"/>
      </w:pPr>
      <w:r>
        <w:rPr>
          <w:rFonts w:ascii="Amiri" w:hAnsi="Amiri" w:eastAsia="Amiri" w:cs="Amiri"/>
          <w:lang w:bidi="ar-SA"/>
          <w:color w:val="111111"/>
          <w:sz w:val="28"/>
          <w:szCs w:val="28"/>
          <w:rtl/>
        </w:rPr>
        <w:t xml:space="preserve">«ارشاد عباد به حكم جهاد » جهاديه صغير</w:t>
      </w:r>
    </w:p>
    <w:p>
      <w:pPr>
        <w:pStyle w:val="Heading3"/>
      </w:pPr>
      <w:bookmarkStart w:id="586" w:name="_Toc108"/>
      <w:r>
        <w:t>ارشاد العباد فى فضل الجهاد / حدیث / عربی</w:t>
      </w:r>
      <w:bookmarkEnd w:id="586"/>
    </w:p>
    <w:p>
      <w:pPr>
        <w:pStyle w:val="BookText"/>
      </w:pPr>
      <w:r>
        <w:rPr>
          <w:rFonts w:ascii="Times New Roman" w:hAnsi="Times New Roman" w:eastAsia="Times New Roman" w:cs="Times New Roman"/>
          <w:lang w:val="en-US" w:bidi="en-US"/>
          <w:color w:val="111111"/>
          <w:sz w:val="28"/>
          <w:szCs w:val="28"/>
          <w:rtl/>
        </w:rPr>
        <w:t xml:space="preserve">iršād-ul-‘ibād fī faḍl-il-jihād</w:t>
      </w:r>
    </w:p>
    <w:p>
      <w:pPr>
        <w:pStyle w:val="BookText"/>
      </w:pPr>
      <w:r>
        <w:rPr>
          <w:rFonts w:ascii="IRNazanin" w:hAnsi="IRNazanin" w:eastAsia="IRNazanin" w:cs="IRNazanin"/>
          <w:lang w:bidi="fa-IR"/>
          <w:color w:val="111111"/>
          <w:sz w:val="28"/>
          <w:szCs w:val="28"/>
          <w:rtl/>
        </w:rPr>
        <w:t xml:space="preserve">از هری، صالح بن عمر، ق 12 قمری</w:t>
      </w:r>
    </w:p>
    <w:p>
      <w:pPr>
        <w:pStyle w:val="BookText"/>
      </w:pPr>
      <w:r>
        <w:rPr>
          <w:rFonts w:ascii="Times New Roman" w:hAnsi="Times New Roman" w:eastAsia="Times New Roman" w:cs="Times New Roman"/>
          <w:lang w:val="en-US" w:bidi="en-US"/>
          <w:color w:val="111111"/>
          <w:sz w:val="28"/>
          <w:szCs w:val="28"/>
          <w:rtl/>
        </w:rPr>
        <w:t xml:space="preserve">(azharī, sāleh ebn-e ‘omar ( - 18c)</w:t>
      </w:r>
    </w:p>
    <w:p>
      <w:pPr>
        <w:pStyle w:val="BookText"/>
      </w:pPr>
      <w:r>
        <w:rPr>
          <w:rFonts w:ascii="IRNazanin" w:hAnsi="IRNazanin" w:eastAsia="IRNazanin" w:cs="IRNazanin"/>
          <w:lang w:bidi="fa-IR"/>
          <w:color w:val="111111"/>
          <w:sz w:val="28"/>
          <w:szCs w:val="28"/>
          <w:rtl/>
        </w:rPr>
        <w:t xml:space="preserve">کتابی در فضیلت جهاد با استناد به آیات و روایات که به درخواست برخی دوستان نوشته است.</w:t>
      </w:r>
    </w:p>
    <w:p>
      <w:pPr>
        <w:pStyle w:val="BookText"/>
      </w:pPr>
      <w:r>
        <w:rPr>
          <w:rFonts w:ascii="IRNazanin" w:hAnsi="IRNazanin" w:eastAsia="IRNazanin" w:cs="IRNazanin"/>
          <w:lang w:bidi="fa-IR"/>
          <w:color w:val="111111"/>
          <w:sz w:val="28"/>
          <w:szCs w:val="28"/>
          <w:rtl/>
        </w:rPr>
        <w:t xml:space="preserve">مشهد؛ شیخ علی حیدر؛ شماره نسخه: 866</w:t>
      </w:r>
    </w:p>
    <w:p>
      <w:pPr>
        <w:pStyle w:val="BookText"/>
      </w:pPr>
      <w:r>
        <w:rPr>
          <w:rFonts w:ascii="Amiri" w:hAnsi="Amiri" w:eastAsia="Amiri" w:cs="Amiri"/>
          <w:lang w:bidi="ar-SA"/>
          <w:color w:val="111111"/>
          <w:sz w:val="28"/>
          <w:szCs w:val="28"/>
          <w:rtl/>
        </w:rPr>
        <w:t xml:space="preserve">آغاز: الحمد لله الذى جعل الفرقان العظيم آيات للمستدلين؛ انجام: الخيل فى نواصى شقرها الخير؛ قد تم بعون الله تعالى و حس توفيقه.</w:t>
      </w:r>
    </w:p>
    <w:p>
      <w:pPr>
        <w:pStyle w:val="BookText"/>
      </w:pPr>
      <w:r>
        <w:rPr>
          <w:rFonts w:ascii="IRNazanin" w:hAnsi="IRNazanin" w:eastAsia="IRNazanin" w:cs="IRNazanin"/>
          <w:lang w:bidi="fa-IR"/>
          <w:color w:val="111111"/>
          <w:sz w:val="28"/>
          <w:szCs w:val="28"/>
          <w:rtl/>
        </w:rPr>
        <w:t xml:space="preserve">خط: نسخ، کاتب = مؤلف، تا 27 محرم 1183ق؛ جلد: چرم قرمز، رنگ مزین، 104گ، 19 سطر ، اندازه: 16</w:t>
      </w:r>
      <w:r>
        <w:rPr>
          <w:rFonts w:ascii="Times New Roman" w:hAnsi="Times New Roman" w:eastAsia="Times New Roman" w:cs="Times New Roman"/>
          <w:lang w:val="en-US" w:bidi="en-US"/>
          <w:color w:val="111111"/>
          <w:sz w:val="28"/>
          <w:szCs w:val="28"/>
          <w:rtl/>
        </w:rPr>
        <w:t xml:space="preserve">×21</w:t>
      </w:r>
      <w:r>
        <w:rPr>
          <w:rFonts w:ascii="Amiri" w:hAnsi="Amiri" w:eastAsia="Amiri" w:cs="Amiri"/>
          <w:lang w:bidi="ar-SA"/>
          <w:color w:val="111111"/>
          <w:sz w:val="28"/>
          <w:szCs w:val="28"/>
          <w:rtl/>
        </w:rPr>
        <w:t xml:space="preserve">سم [مؤيد: 2 - 4 ]</w:t>
      </w:r>
    </w:p>
    <w:p>
      <w:pPr>
        <w:pStyle w:val="Heading3"/>
      </w:pPr>
      <w:bookmarkStart w:id="587" w:name="_Toc109"/>
      <w:r>
        <w:t>ارشاد العباد فی فضل الجهاد / فقه / عربي</w:t>
      </w:r>
      <w:bookmarkEnd w:id="587"/>
    </w:p>
    <w:p>
      <w:pPr>
        <w:pStyle w:val="BookText"/>
      </w:pPr>
      <w:r>
        <w:rPr>
          <w:rFonts w:ascii="Times New Roman" w:hAnsi="Times New Roman" w:eastAsia="Times New Roman" w:cs="Times New Roman"/>
          <w:lang w:val="en-US" w:bidi="en-US"/>
          <w:color w:val="111111"/>
          <w:sz w:val="28"/>
          <w:szCs w:val="28"/>
          <w:rtl/>
        </w:rPr>
        <w:t xml:space="preserve">iršād-ul-‘ibād fī faḍl-il-jihād</w:t>
      </w:r>
    </w:p>
    <w:p>
      <w:pPr>
        <w:pStyle w:val="BookText"/>
      </w:pPr>
      <w:r>
        <w:rPr>
          <w:rFonts w:ascii="IRNazanin" w:hAnsi="IRNazanin" w:eastAsia="IRNazanin" w:cs="IRNazanin"/>
          <w:lang w:bidi="fa-IR"/>
          <w:color w:val="111111"/>
          <w:sz w:val="28"/>
          <w:szCs w:val="28"/>
          <w:rtl/>
        </w:rPr>
        <w:t xml:space="preserve">بيطار، حسن بن ابراهيم،- 1272 قمری</w:t>
      </w:r>
    </w:p>
    <w:p>
      <w:pPr>
        <w:pStyle w:val="BookText"/>
      </w:pPr>
      <w:r>
        <w:rPr>
          <w:rFonts w:ascii="Times New Roman" w:hAnsi="Times New Roman" w:eastAsia="Times New Roman" w:cs="Times New Roman"/>
          <w:lang w:val="en-US" w:bidi="en-US"/>
          <w:color w:val="111111"/>
          <w:sz w:val="28"/>
          <w:szCs w:val="28"/>
          <w:rtl/>
        </w:rPr>
        <w:t xml:space="preserve">(baytār, hasan ebn-e ebrāhīm ( - 1856</w:t>
      </w:r>
    </w:p>
    <w:p>
      <w:pPr>
        <w:pStyle w:val="BookText"/>
      </w:pPr>
      <w:r>
        <w:rPr>
          <w:rFonts w:ascii="Amiri" w:hAnsi="Amiri" w:eastAsia="Amiri" w:cs="Amiri"/>
          <w:lang w:bidi="ar-SA"/>
          <w:color w:val="111111"/>
          <w:sz w:val="28"/>
          <w:szCs w:val="28"/>
          <w:rtl/>
        </w:rPr>
        <w:t xml:space="preserve">تاريخ تأليف: 1269ق</w:t>
      </w:r>
    </w:p>
    <w:p>
      <w:pPr>
        <w:pStyle w:val="BookText"/>
      </w:pPr>
      <w:r>
        <w:rPr>
          <w:rFonts w:ascii="IRNazanin" w:hAnsi="IRNazanin" w:eastAsia="IRNazanin" w:cs="IRNazanin"/>
          <w:lang w:bidi="fa-IR"/>
          <w:color w:val="111111"/>
          <w:sz w:val="28"/>
          <w:szCs w:val="28"/>
          <w:rtl/>
        </w:rPr>
        <w:t xml:space="preserve">رساله ای در فضیلت جهاد که مؤلف هنگام حمله روسیه به عثمانی در زمان سلطنت سلطان عبدالمجيد بن محمودخان نوشته است؛ دارای «مقدمه»، دو «باب» و «خاتمه»: مقدمة في حكم الجهاد في سبيل الله؛ باب .1 التحريض على الجهاد؛ باب2. الاسباب التي تقتضى امتداد الكفرة اللئام في نيل شيء من بلاد الاسلام؛ خاتمة: في حكم الغنيمة.</w:t>
      </w:r>
    </w:p>
    <w:p>
      <w:pPr>
        <w:pStyle w:val="BookText"/>
      </w:pPr>
      <w:r>
        <w:rPr>
          <w:rFonts w:ascii="IRNazanin" w:hAnsi="IRNazanin" w:eastAsia="IRNazanin" w:cs="IRNazanin"/>
          <w:lang w:bidi="fa-IR"/>
          <w:color w:val="111111"/>
          <w:sz w:val="28"/>
          <w:szCs w:val="28"/>
          <w:rtl/>
        </w:rPr>
        <w:t xml:space="preserve">آغاز کتاب: بسمله الحمد لله الذى نشر لواء الجهاد للموحدين...</w:t>
      </w:r>
    </w:p>
    <w:p>
      <w:pPr>
        <w:pStyle w:val="BookText"/>
      </w:pPr>
      <w:r>
        <w:rPr>
          <w:rFonts w:ascii="IRNazanin" w:hAnsi="IRNazanin" w:eastAsia="IRNazanin" w:cs="IRNazanin"/>
          <w:lang w:bidi="fa-IR"/>
          <w:color w:val="111111"/>
          <w:sz w:val="28"/>
          <w:szCs w:val="28"/>
          <w:rtl/>
        </w:rPr>
        <w:t xml:space="preserve">انجام کتاب: سبحان ربك رب العزه عما يصفون وسلام علی المرسلين والحمد لله رب العالمين</w:t>
      </w:r>
    </w:p>
    <w:p>
      <w:pPr>
        <w:pStyle w:val="BookText"/>
      </w:pPr>
      <w:r>
        <w:rPr>
          <w:rFonts w:ascii="IRNazanin" w:hAnsi="IRNazanin" w:eastAsia="IRNazanin" w:cs="IRNazanin"/>
          <w:lang w:bidi="fa-IR"/>
          <w:color w:val="111111"/>
          <w:sz w:val="28"/>
          <w:szCs w:val="28"/>
          <w:rtl/>
        </w:rPr>
        <w:t xml:space="preserve">مشهد؛ رضوی؛ شماره نسخه : 38555</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كاتب - مؤلف، تا: 24 ربیع الاول 1270ق؛ درآخر نسخه یادداشتی به تاریخ 30 رمضان 1318 به قلم محمد حسن الشيخ رحيم و دعاء للغزاة؛ جلد:عادى، 18گ، 17 سطر ، اندازه: 14/5</w:t>
      </w:r>
      <w:r>
        <w:rPr>
          <w:rFonts w:ascii="Times New Roman" w:hAnsi="Times New Roman" w:eastAsia="Times New Roman" w:cs="Times New Roman"/>
          <w:lang w:val="en-US" w:bidi="en-US"/>
          <w:color w:val="111111"/>
          <w:sz w:val="28"/>
          <w:szCs w:val="28"/>
          <w:rtl/>
        </w:rPr>
        <w:t xml:space="preserve">×19/5</w:t>
      </w:r>
      <w:r>
        <w:rPr>
          <w:rFonts w:ascii="IRNazanin" w:hAnsi="IRNazanin" w:eastAsia="IRNazanin" w:cs="IRNazanin"/>
          <w:lang w:bidi="fa-IR"/>
          <w:color w:val="111111"/>
          <w:sz w:val="28"/>
          <w:szCs w:val="28"/>
          <w:rtl/>
        </w:rPr>
        <w:t xml:space="preserve">سم [اهدائى - ف: 3 - 56]</w:t>
      </w:r>
    </w:p>
    <w:p>
      <w:pPr>
        <w:pStyle w:val="BookText"/>
      </w:pPr>
      <w:r>
        <w:rPr>
          <w:rFonts w:ascii="IRNazanin" w:hAnsi="IRNazanin" w:eastAsia="IRNazanin" w:cs="IRNazanin"/>
          <w:lang w:bidi="fa-IR"/>
          <w:color w:val="111111"/>
          <w:sz w:val="28"/>
          <w:szCs w:val="28"/>
          <w:rtl/>
        </w:rPr>
        <w:t xml:space="preserve">مشهد؛ شیخ علی حیدر؛ شماره نسخه 260</w:t>
      </w:r>
    </w:p>
    <w:p>
      <w:pPr>
        <w:pStyle w:val="BookText"/>
      </w:pPr>
      <w:r>
        <w:rPr>
          <w:rFonts w:ascii="Amiri" w:hAnsi="Amiri" w:eastAsia="Amiri" w:cs="Amiri"/>
          <w:lang w:bidi="ar-SA"/>
          <w:color w:val="111111"/>
          <w:sz w:val="28"/>
          <w:szCs w:val="28"/>
          <w:rtl/>
        </w:rPr>
        <w:t xml:space="preserve">همان نسخه بالا [مؤيد: 1 - 235]</w:t>
      </w:r>
    </w:p>
    <w:p>
      <w:pPr>
        <w:pStyle w:val="Heading3"/>
      </w:pPr>
      <w:bookmarkStart w:id="588" w:name="_Toc110"/>
      <w:r>
        <w:t>ارشاد العباد فی کشف واجب الاعتقاد / كلام و اعتقادات / فارسی</w:t>
      </w:r>
      <w:bookmarkEnd w:id="588"/>
    </w:p>
    <w:p>
      <w:pPr>
        <w:pStyle w:val="BookText"/>
      </w:pPr>
      <w:r>
        <w:rPr>
          <w:rFonts w:ascii="Times New Roman" w:hAnsi="Times New Roman" w:eastAsia="Times New Roman" w:cs="Times New Roman"/>
          <w:lang w:val="en-US" w:bidi="en-US"/>
          <w:color w:val="111111"/>
          <w:sz w:val="28"/>
          <w:szCs w:val="28"/>
          <w:rtl/>
        </w:rPr>
        <w:t xml:space="preserve">eršād-ol ‘ebād fī kašf-e vājeb-el e‘teqād</w:t>
      </w:r>
    </w:p>
    <w:p>
      <w:pPr>
        <w:pStyle w:val="BookText"/>
      </w:pPr>
      <w:r>
        <w:rPr>
          <w:rFonts w:ascii="IRNazanin" w:hAnsi="IRNazanin" w:eastAsia="IRNazanin" w:cs="IRNazanin"/>
          <w:lang w:bidi="fa-IR"/>
          <w:color w:val="111111"/>
          <w:sz w:val="28"/>
          <w:szCs w:val="28"/>
          <w:rtl/>
        </w:rPr>
        <w:t xml:space="preserve">فراء ،مسیبی، عبدالمطلب بن فخر</w:t>
      </w:r>
    </w:p>
    <w:p>
      <w:pPr>
        <w:pStyle w:val="BookText"/>
      </w:pPr>
      <w:r>
        <w:rPr>
          <w:rFonts w:ascii="Times New Roman" w:hAnsi="Times New Roman" w:eastAsia="Times New Roman" w:cs="Times New Roman"/>
          <w:lang w:val="en-US" w:bidi="en-US"/>
          <w:color w:val="111111"/>
          <w:sz w:val="28"/>
          <w:szCs w:val="28"/>
          <w:rtl/>
        </w:rPr>
        <w:t xml:space="preserve">farra' mosayyabī, 'abd-ol-motalleb ebn-e faxr</w:t>
      </w:r>
    </w:p>
    <w:p>
      <w:pPr>
        <w:pStyle w:val="BookText"/>
      </w:pPr>
      <w:r>
        <w:rPr>
          <w:rFonts w:ascii="IRNazanin" w:hAnsi="IRNazanin" w:eastAsia="IRNazanin" w:cs="IRNazanin"/>
          <w:lang w:bidi="fa-IR"/>
          <w:color w:val="111111"/>
          <w:sz w:val="28"/>
          <w:szCs w:val="28"/>
          <w:rtl/>
        </w:rPr>
        <w:t xml:space="preserve">وابسته به واجب الاعتقاد على جميع العباد؛ علامه حلی، حسن بن يوسف (648-726)</w:t>
      </w:r>
    </w:p>
    <w:p>
      <w:pPr>
        <w:pStyle w:val="BookText"/>
      </w:pPr>
      <w:r>
        <w:rPr>
          <w:rFonts w:ascii="IRNazanin" w:hAnsi="IRNazanin" w:eastAsia="IRNazanin" w:cs="IRNazanin"/>
          <w:lang w:bidi="fa-IR"/>
          <w:color w:val="111111"/>
          <w:sz w:val="28"/>
          <w:szCs w:val="28"/>
          <w:rtl/>
        </w:rPr>
        <w:t xml:space="preserve">ترجمه و شرحی است بر رساله «واجب الاعتقاد» علامه حلی. در الذريعة (14/163 و 164 ) در شمارش شروح «واجب الاعتقاد» از این شرح نامی به میان نیاورده است.</w:t>
      </w:r>
    </w:p>
    <w:p>
      <w:pPr>
        <w:pStyle w:val="BookText"/>
      </w:pPr>
      <w:r>
        <w:rPr>
          <w:rFonts w:ascii="IRNazanin" w:hAnsi="IRNazanin" w:eastAsia="IRNazanin" w:cs="IRNazanin"/>
          <w:lang w:bidi="fa-IR"/>
          <w:color w:val="111111"/>
          <w:sz w:val="28"/>
          <w:szCs w:val="28"/>
          <w:rtl/>
        </w:rPr>
        <w:t xml:space="preserve">آغاز: بسمله حمد لا يحصى مر آن مبدعی را که وجود کائنات را دلالت است بر احدیت او که ففي كل شيء له آية تدل على انه واحد و شكر لامتناهی سزاوار است منعمی را که هر ذره را</w:t>
      </w:r>
    </w:p>
    <w:p>
      <w:pPr>
        <w:pStyle w:val="BookText"/>
      </w:pPr>
      <w:r>
        <w:rPr>
          <w:rFonts w:ascii="IRNazanin" w:hAnsi="IRNazanin" w:eastAsia="IRNazanin" w:cs="IRNazanin"/>
          <w:lang w:bidi="fa-IR"/>
          <w:color w:val="111111"/>
          <w:sz w:val="28"/>
          <w:szCs w:val="28"/>
          <w:rtl/>
        </w:rPr>
        <w:t xml:space="preserve">انجام: حق سبحانه و تعالی طالبان و مستفيدان طريق حق و صواب را توفیق رفیق دارد و بمقاصد دو جهانی برسانادانه ولی التوفيق و الرشاد و الاجابة والارشاد بمحمد و آله الامجاد</w:t>
      </w:r>
    </w:p>
    <w:p>
      <w:pPr>
        <w:pStyle w:val="BookText"/>
      </w:pPr>
      <w:r>
        <w:rPr>
          <w:rFonts w:ascii="IRNazanin" w:hAnsi="IRNazanin" w:eastAsia="IRNazanin" w:cs="IRNazanin"/>
          <w:lang w:bidi="fa-IR"/>
          <w:color w:val="111111"/>
          <w:sz w:val="28"/>
          <w:szCs w:val="28"/>
          <w:rtl/>
        </w:rPr>
        <w:t xml:space="preserve">قم؛ گلپایگانی؛ شماره نسخه: 1566/2-9/116</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اسماعیل بن اصیل بن محمد بن یوسف گیلانی کوچسفهانی، تا: یک شنبه 14 ربیع الاول 1083ق، جا: قریه شیرایی، پس از اتمام رساله ابیاتی به فارسی از نوایی؛ جلد: تیماج زیتونی، 39گ، 17 سطر ، اندازه: 10</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سم [ف: 1 - 309]</w:t>
      </w:r>
    </w:p>
    <w:p>
      <w:pPr>
        <w:pStyle w:val="Heading3"/>
      </w:pPr>
      <w:bookmarkStart w:id="589" w:name="_Toc111"/>
      <w:r>
        <w:t>ارشاد العشاق / شعر / فارسی</w:t>
      </w:r>
      <w:bookmarkEnd w:id="589"/>
    </w:p>
    <w:p>
      <w:pPr>
        <w:pStyle w:val="BookText"/>
      </w:pPr>
      <w:r>
        <w:rPr>
          <w:rFonts w:ascii="Times New Roman" w:hAnsi="Times New Roman" w:eastAsia="Times New Roman" w:cs="Times New Roman"/>
          <w:lang w:val="en-US" w:bidi="en-US"/>
          <w:color w:val="111111"/>
          <w:sz w:val="28"/>
          <w:szCs w:val="28"/>
          <w:rtl/>
        </w:rPr>
        <w:t xml:space="preserve">eršād-ol-‘oššāq</w:t>
      </w:r>
    </w:p>
    <w:p>
      <w:pPr>
        <w:pStyle w:val="BookText"/>
      </w:pPr>
      <w:r>
        <w:rPr>
          <w:rFonts w:ascii="IRNazanin" w:hAnsi="IRNazanin" w:eastAsia="IRNazanin" w:cs="IRNazanin"/>
          <w:lang w:bidi="fa-IR"/>
          <w:color w:val="111111"/>
          <w:sz w:val="28"/>
          <w:szCs w:val="28"/>
          <w:rtl/>
        </w:rPr>
        <w:t xml:space="preserve">مدهوش تهرانی، اسماعیل، ق 13 قمری</w:t>
      </w:r>
    </w:p>
    <w:p>
      <w:pPr>
        <w:pStyle w:val="BookText"/>
      </w:pPr>
      <w:r>
        <w:rPr>
          <w:rFonts w:ascii="Times New Roman" w:hAnsi="Times New Roman" w:eastAsia="Times New Roman" w:cs="Times New Roman"/>
          <w:lang w:val="en-US" w:bidi="en-US"/>
          <w:color w:val="111111"/>
          <w:sz w:val="28"/>
          <w:szCs w:val="28"/>
          <w:rtl/>
        </w:rPr>
        <w:t xml:space="preserve">(madhūš-e tehrānī, esmā īl (- 19c)</w:t>
      </w:r>
    </w:p>
    <w:p>
      <w:pPr>
        <w:pStyle w:val="BookText"/>
      </w:pPr>
      <w:r>
        <w:rPr>
          <w:rFonts w:ascii="IRNazanin" w:hAnsi="IRNazanin" w:eastAsia="IRNazanin" w:cs="IRNazanin"/>
          <w:lang w:bidi="fa-IR"/>
          <w:color w:val="111111"/>
          <w:sz w:val="28"/>
          <w:szCs w:val="28"/>
          <w:rtl/>
        </w:rPr>
        <w:t xml:space="preserve">با دیباچه منثور، او باید میرزا اسماعیل تهرانی سراینده «ارشاد السالكين» و «انیس العاشقین» باشد.</w:t>
      </w:r>
    </w:p>
    <w:p>
      <w:pPr>
        <w:pStyle w:val="BookText"/>
      </w:pPr>
      <w:r>
        <w:rPr>
          <w:rFonts w:ascii="IRNazanin" w:hAnsi="IRNazanin" w:eastAsia="IRNazanin" w:cs="IRNazanin"/>
          <w:lang w:bidi="fa-IR"/>
          <w:color w:val="111111"/>
          <w:sz w:val="28"/>
          <w:szCs w:val="28"/>
          <w:rtl/>
        </w:rPr>
        <w:t xml:space="preserve">آغاز: بسمله مدهوش صهبای فناء و پیمانه خوش خمخانه بقاء، رهی عارف امی... غلام همتم آن رند باده پیما را *** که مست کرده از پیمانه ازل ما را</w:t>
      </w:r>
    </w:p>
    <w:p>
      <w:pPr>
        <w:pStyle w:val="BookText"/>
      </w:pPr>
      <w:r>
        <w:rPr>
          <w:rFonts w:ascii="IRNazanin" w:hAnsi="IRNazanin" w:eastAsia="IRNazanin" w:cs="IRNazanin"/>
          <w:lang w:bidi="fa-IR"/>
          <w:color w:val="111111"/>
          <w:sz w:val="28"/>
          <w:szCs w:val="28"/>
          <w:rtl/>
        </w:rPr>
        <w:t xml:space="preserve">انجام: ز مدهوش این رموز روح پرور*** به است از دفترنظام نظامی</w:t>
      </w:r>
    </w:p>
    <w:p>
      <w:pPr>
        <w:pStyle w:val="BookText"/>
      </w:pPr>
      <w:r>
        <w:rPr>
          <w:rFonts w:ascii="IRNazanin" w:hAnsi="IRNazanin" w:eastAsia="IRNazanin" w:cs="IRNazanin"/>
          <w:lang w:bidi="fa-IR"/>
          <w:color w:val="111111"/>
          <w:sz w:val="28"/>
          <w:szCs w:val="28"/>
          <w:rtl/>
        </w:rPr>
        <w:t xml:space="preserve">[الذريعه 1024/9؛ فهرستواره منزوی 131/10]</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مینوی؛ شماره نسخه: 21</w:t>
      </w:r>
    </w:p>
    <w:p>
      <w:pPr>
        <w:pStyle w:val="BookText"/>
      </w:pPr>
      <w:r>
        <w:rPr>
          <w:rFonts w:ascii="IRNazanin" w:hAnsi="IRNazanin" w:eastAsia="IRNazanin" w:cs="IRNazanin"/>
          <w:lang w:bidi="fa-IR"/>
          <w:color w:val="111111"/>
          <w:sz w:val="28"/>
          <w:szCs w:val="28"/>
          <w:rtl/>
        </w:rPr>
        <w:t xml:space="preserve">خط: نستعلیق، بی کا، تا: 1282ق؛ قطع ربعی [ نشریه: 6 - 638]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ملک شماره نسخه: 6430/1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محمد حسن عبدالکریم تفرشی، تا: سه شنبه 17 محرم 1284ق؛ كاغذ: فرنگی سفید و آبی، جلد: کاغذ: سبز ضربی مقوایی، 74گ (1پ -75پ)، 15 سطر، اندازه: 13</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9 - 387]</w:t>
      </w:r>
    </w:p>
    <w:p>
      <w:pPr>
        <w:pStyle w:val="Heading3"/>
      </w:pPr>
      <w:bookmarkStart w:id="590" w:name="_Toc112"/>
      <w:r>
        <w:t>ارشاد العقل السليم الى مزايا الكتاب الكريم = التفسير / تفسير / عربي</w:t>
      </w:r>
      <w:bookmarkEnd w:id="590"/>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34" w:name="pg20365_260039"/>
    <w:bookmarkEnd w:id="34"/>
    <w:p>
      <w:pPr>
        <w:pStyle w:val="BookText"/>
      </w:pPr>
      <w:r>
        <w:rPr>
          <w:rFonts w:ascii="Times New Roman" w:hAnsi="Times New Roman" w:eastAsia="Times New Roman" w:cs="Times New Roman"/>
          <w:lang w:val="en-US" w:bidi="en-US"/>
          <w:color w:val="111111"/>
          <w:sz w:val="28"/>
          <w:szCs w:val="28"/>
          <w:rtl/>
        </w:rPr>
        <w:t xml:space="preserve">iršād-ul-‘aql-is-salīm ila mazāya-l-k.-il-karīm = tf.</w:t>
      </w:r>
    </w:p>
    <w:p>
      <w:pPr>
        <w:pStyle w:val="BookText"/>
      </w:pPr>
      <w:r>
        <w:rPr>
          <w:rFonts w:ascii="IRNazanin" w:hAnsi="IRNazanin" w:eastAsia="IRNazanin" w:cs="IRNazanin"/>
          <w:lang w:bidi="fa-IR"/>
          <w:color w:val="111111"/>
          <w:sz w:val="28"/>
          <w:szCs w:val="28"/>
          <w:rtl/>
        </w:rPr>
        <w:t xml:space="preserve">ابو السعود محمد بن محمد 893 - 982 قمری</w:t>
      </w:r>
    </w:p>
    <w:p>
      <w:pPr>
        <w:pStyle w:val="BookText"/>
      </w:pPr>
      <w:r>
        <w:rPr>
          <w:rFonts w:ascii="Times New Roman" w:hAnsi="Times New Roman" w:eastAsia="Times New Roman" w:cs="Times New Roman"/>
          <w:lang w:val="en-US" w:bidi="en-US"/>
          <w:color w:val="111111"/>
          <w:sz w:val="28"/>
          <w:szCs w:val="28"/>
          <w:rtl/>
        </w:rPr>
        <w:t xml:space="preserve">(1575-abo-s-so‘ūd, mohammad ebn-e mohammad (1488</w:t>
      </w:r>
    </w:p>
    <w:p>
      <w:pPr>
        <w:pStyle w:val="BookText"/>
      </w:pPr>
      <w:r>
        <w:rPr>
          <w:rFonts w:ascii="IRNazanin" w:hAnsi="IRNazanin" w:eastAsia="IRNazanin" w:cs="IRNazanin"/>
          <w:lang w:bidi="fa-IR"/>
          <w:color w:val="111111"/>
          <w:sz w:val="28"/>
          <w:szCs w:val="28"/>
          <w:rtl/>
        </w:rPr>
        <w:t xml:space="preserve">اهدا به: سلطان سلیمان عثمانی</w:t>
      </w:r>
    </w:p>
    <w:p>
      <w:pPr>
        <w:pStyle w:val="BookText"/>
      </w:pPr>
      <w:r>
        <w:rPr>
          <w:rFonts w:ascii="IRNazanin" w:hAnsi="IRNazanin" w:eastAsia="IRNazanin" w:cs="IRNazanin"/>
          <w:lang w:bidi="fa-IR"/>
          <w:color w:val="111111"/>
          <w:sz w:val="28"/>
          <w:szCs w:val="28"/>
          <w:rtl/>
        </w:rPr>
        <w:t xml:space="preserve">تاریخ تألیف: شب نخستین جمعه رجب 973ق</w:t>
      </w:r>
    </w:p>
    <w:p>
      <w:pPr>
        <w:pStyle w:val="BookText"/>
      </w:pPr>
      <w:r>
        <w:rPr>
          <w:rFonts w:ascii="IRNazanin" w:hAnsi="IRNazanin" w:eastAsia="IRNazanin" w:cs="IRNazanin"/>
          <w:lang w:bidi="fa-IR"/>
          <w:color w:val="111111"/>
          <w:sz w:val="28"/>
          <w:szCs w:val="28"/>
          <w:rtl/>
        </w:rPr>
        <w:t xml:space="preserve">تفسیری است به مذهب حنفی در «کشف الظنون» آمده است :«وقتی ابوالسعودعمادی تفسیر ارشاد العقل را به سوره (ص ) رساند چون مدتش به درازا کشید همان مقدار را در ماه شعبان 973، پاکنویس کرد و به نظر سلطان سلیمان خان رساند سلطان نیز برای تجلیل و احترام به ابوالسعود تا دم در، به استقبال او شتافت و مقرری او را چند برابر قبلی بالا برد»، مؤلف تفاسیر زمخشری و بیضاوی را اساس قرار داده و با نظرات خود را بدان افزوده و روایاتی را که درباره فضایل سوره ها وارد شده است آورده ولی اسرائیلیات او نسبت به آن دو بسیار اندک است.</w:t>
      </w:r>
    </w:p>
    <w:p>
      <w:pPr>
        <w:pStyle w:val="BookText"/>
      </w:pPr>
      <w:r>
        <w:rPr>
          <w:rFonts w:ascii="IRNazanin" w:hAnsi="IRNazanin" w:eastAsia="IRNazanin" w:cs="IRNazanin"/>
          <w:lang w:bidi="fa-IR"/>
          <w:color w:val="111111"/>
          <w:sz w:val="28"/>
          <w:szCs w:val="28"/>
          <w:rtl/>
        </w:rPr>
        <w:t xml:space="preserve">مؤلف به نکات بلاغی و تناسب بین آیات هم عنایت دارد و به مباحث فقهی و نحوی غیر ضرور و اختلاف مذاهب كمتر پرداخته است.</w:t>
      </w:r>
    </w:p>
    <w:p>
      <w:pPr>
        <w:pStyle w:val="BookText"/>
      </w:pPr>
      <w:r>
        <w:rPr>
          <w:rFonts w:ascii="IRNazanin" w:hAnsi="IRNazanin" w:eastAsia="IRNazanin" w:cs="IRNazanin"/>
          <w:lang w:bidi="fa-IR"/>
          <w:color w:val="111111"/>
          <w:sz w:val="28"/>
          <w:szCs w:val="28"/>
          <w:rtl/>
        </w:rPr>
        <w:t xml:space="preserve">چاپ :محقق عبد القادر احمد عطا ،رياض، مكتبة الرياض الحديثة چاپ ،جدید 5 جلدی، 1393ق.</w:t>
      </w:r>
    </w:p>
    <w:p>
      <w:pPr>
        <w:pStyle w:val="BookText"/>
      </w:pPr>
      <w:r>
        <w:rPr>
          <w:rFonts w:ascii="Amiri" w:hAnsi="Amiri" w:eastAsia="Amiri" w:cs="Amiri"/>
          <w:lang w:bidi="ar-SA"/>
          <w:color w:val="111111"/>
          <w:sz w:val="28"/>
          <w:szCs w:val="28"/>
          <w:rtl/>
        </w:rPr>
        <w:t xml:space="preserve">[كشف الظنون 65/1 معجم المؤلفين 301/11؛ الاوقاف العامة بغداد 1/ 41 و42؛ الاوقاف العامة موصل 149/2 و 150/2]</w:t>
      </w:r>
    </w:p>
    <w:p>
      <w:pPr>
        <w:pStyle w:val="BookText"/>
      </w:pPr>
      <w:r>
        <w:rPr>
          <w:rFonts w:ascii="IRNazanin" w:hAnsi="IRNazanin" w:eastAsia="IRNazanin" w:cs="IRNazanin"/>
          <w:lang w:bidi="fa-IR"/>
          <w:color w:val="111111"/>
          <w:sz w:val="28"/>
          <w:szCs w:val="28"/>
          <w:rtl/>
        </w:rPr>
        <w:t xml:space="preserve">1.مشهد؛ رضوی؛ شماره نسخه: 1474</w:t>
      </w:r>
    </w:p>
    <w:p>
      <w:pPr>
        <w:pStyle w:val="BookText"/>
      </w:pPr>
      <w:r>
        <w:rPr>
          <w:rFonts w:ascii="IRNazanin" w:hAnsi="IRNazanin" w:eastAsia="IRNazanin" w:cs="IRNazanin"/>
          <w:lang w:bidi="fa-IR"/>
          <w:color w:val="111111"/>
          <w:sz w:val="28"/>
          <w:szCs w:val="28"/>
          <w:rtl/>
        </w:rPr>
        <w:t xml:space="preserve">آغاز: بسملة، المص اما مسرود على نمط التعديد بأحد الوجهین المذكورين فى فاتحة سورة البقرة فلا محل له من الاعراب؛ انجام:تلک الآثار العجيبة التى يشاهدونها فى الأنفس و الآفاق و مبادى.</w:t>
      </w:r>
    </w:p>
    <w:p>
      <w:pPr>
        <w:pStyle w:val="BookText"/>
      </w:pPr>
      <w:r>
        <w:rPr>
          <w:rFonts w:ascii="IRNazanin" w:hAnsi="IRNazanin" w:eastAsia="IRNazanin" w:cs="IRNazanin"/>
          <w:lang w:bidi="fa-IR"/>
          <w:color w:val="111111"/>
          <w:sz w:val="28"/>
          <w:szCs w:val="28"/>
          <w:rtl/>
        </w:rPr>
        <w:t xml:space="preserve">از سوره اعراف تا آیه ششم از سوره حج؛ خط: نسخ،  بی کا، تا: قرن 10؛ افتادگی: وسط و انجام؛ پشت برگ اول عقد ازدواج علی مردان خان افشار و بی بی جان خانم در قرن 11ق؛ مهر مالکیت :محمد مهدی با رقم «بنده آل محمد مهدی»؛ واقف: حاج قائم مقام، بهمن 1316؛ کاغذ: نخودی آهار مهره، جلد: تیماج قهوه ا ی287گ، 35 سطر ، اندازه:20</w:t>
      </w:r>
      <w:r>
        <w:rPr>
          <w:rFonts w:ascii="Times New Roman" w:hAnsi="Times New Roman" w:eastAsia="Times New Roman" w:cs="Times New Roman"/>
          <w:lang w:val="en-US" w:bidi="en-US"/>
          <w:color w:val="111111"/>
          <w:sz w:val="28"/>
          <w:szCs w:val="28"/>
          <w:rtl/>
        </w:rPr>
        <w:t xml:space="preserve">×31</w:t>
      </w:r>
      <w:r>
        <w:rPr>
          <w:rFonts w:ascii="IRNazanin" w:hAnsi="IRNazanin" w:eastAsia="IRNazanin" w:cs="IRNazanin"/>
          <w:lang w:bidi="fa-IR"/>
          <w:color w:val="111111"/>
          <w:sz w:val="28"/>
          <w:szCs w:val="28"/>
          <w:rtl/>
        </w:rPr>
        <w:t xml:space="preserve">سم[ف:22-22]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ملی؛ شماره نسخه: 954</w:t>
      </w:r>
    </w:p>
    <w:p>
      <w:pPr>
        <w:pStyle w:val="BookText"/>
      </w:pPr>
      <w:r>
        <w:rPr>
          <w:rFonts w:ascii="IRNazanin" w:hAnsi="IRNazanin" w:eastAsia="IRNazanin" w:cs="IRNazanin"/>
          <w:lang w:bidi="fa-IR"/>
          <w:color w:val="111111"/>
          <w:sz w:val="28"/>
          <w:szCs w:val="28"/>
          <w:rtl/>
        </w:rPr>
        <w:t xml:space="preserve">آغاز: سبحان من ارسل رسوله بالمهدی و بدین الحق؛ انجام : و يؤمن من الشرك كان .. من الدنيا بتجاوز عنهم</w:t>
      </w:r>
    </w:p>
    <w:p>
      <w:pPr>
        <w:pStyle w:val="BookText"/>
      </w:pPr>
      <w:r>
        <w:rPr>
          <w:rFonts w:ascii="IRNazanin" w:hAnsi="IRNazanin" w:eastAsia="IRNazanin" w:cs="IRNazanin"/>
          <w:lang w:bidi="fa-IR"/>
          <w:color w:val="111111"/>
          <w:sz w:val="28"/>
          <w:szCs w:val="28"/>
          <w:rtl/>
        </w:rPr>
        <w:t xml:space="preserve">از ابتدای سوره فاتحه تا اواسط سوره نساء، خط: نستعلیق بی کا، تا، محتملاً قرن 11؛ کاغذ: فرنگی فستقی، جلد: تيماج عنابی ترنج دار منگنه عطف و حاشیه زرد ،مقوایی 246گ 27 سطر (10</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 اندازه: 18</w:t>
      </w:r>
      <w:r>
        <w:rPr>
          <w:rFonts w:ascii="Times New Roman" w:hAnsi="Times New Roman" w:eastAsia="Times New Roman" w:cs="Times New Roman"/>
          <w:lang w:val="en-US" w:bidi="en-US"/>
          <w:color w:val="111111"/>
          <w:sz w:val="28"/>
          <w:szCs w:val="28"/>
          <w:rtl/>
        </w:rPr>
        <w:t xml:space="preserve">×29</w:t>
      </w:r>
      <w:r>
        <w:rPr>
          <w:rFonts w:ascii="IRNazanin" w:hAnsi="IRNazanin" w:eastAsia="IRNazanin" w:cs="IRNazanin"/>
          <w:lang w:bidi="fa-IR"/>
          <w:color w:val="111111"/>
          <w:sz w:val="28"/>
          <w:szCs w:val="28"/>
          <w:rtl/>
        </w:rPr>
        <w:t xml:space="preserve">سم [ف: 8 - 447]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دانشگاه؛ شماره نسخه 9272</w:t>
      </w:r>
    </w:p>
    <w:p>
      <w:pPr>
        <w:pStyle w:val="BookText"/>
      </w:pPr>
      <w:r>
        <w:rPr>
          <w:rFonts w:ascii="IRNazanin" w:hAnsi="IRNazanin" w:eastAsia="IRNazanin" w:cs="IRNazanin"/>
          <w:lang w:bidi="fa-IR"/>
          <w:color w:val="111111"/>
          <w:sz w:val="28"/>
          <w:szCs w:val="28"/>
          <w:rtl/>
        </w:rPr>
        <w:t xml:space="preserve">خط: نسخ، بی کا، تا: قرن 11 مجدول؛ کاغذ: استانبولی ،جلد: تیماج مشکی زرکوب ضربی عطف کبود درون تریاکی مقوایی، 35 سطر (12</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قطع: وزیری اندازه: 18</w:t>
      </w:r>
      <w:r>
        <w:rPr>
          <w:rFonts w:ascii="Times New Roman" w:hAnsi="Times New Roman" w:eastAsia="Times New Roman" w:cs="Times New Roman"/>
          <w:lang w:val="en-US" w:bidi="en-US"/>
          <w:color w:val="111111"/>
          <w:sz w:val="28"/>
          <w:szCs w:val="28"/>
          <w:rtl/>
        </w:rPr>
        <w:t xml:space="preserve">×27 </w:t>
      </w:r>
      <w:r>
        <w:rPr>
          <w:rFonts w:ascii="IRNazanin" w:hAnsi="IRNazanin" w:eastAsia="IRNazanin" w:cs="IRNazanin"/>
          <w:lang w:bidi="fa-IR"/>
          <w:color w:val="111111"/>
          <w:sz w:val="28"/>
          <w:szCs w:val="28"/>
          <w:rtl/>
        </w:rPr>
        <w:t xml:space="preserve">سم [ف: 17 - 336]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تهران؛ ملک؛ شماره نسخه: 209</w:t>
      </w:r>
    </w:p>
    <w:p>
      <w:pPr>
        <w:pStyle w:val="BookText"/>
      </w:pPr>
      <w:r>
        <w:rPr>
          <w:rFonts w:ascii="IRNazanin" w:hAnsi="IRNazanin" w:eastAsia="IRNazanin" w:cs="IRNazanin"/>
          <w:lang w:bidi="fa-IR"/>
          <w:color w:val="111111"/>
          <w:sz w:val="28"/>
          <w:szCs w:val="28"/>
          <w:rtl/>
        </w:rPr>
        <w:t xml:space="preserve">جلد 1؛ خط: نسخ، بی کا، تا: قرن 11؛ مجدول، مذهب، با سرلوح، کاغذ: ترمه سمرقندی ،جلد: میشن قهوه ای، 444گ، اندازه:17/5</w:t>
      </w:r>
      <w:r>
        <w:rPr>
          <w:rFonts w:ascii="Times New Roman" w:hAnsi="Times New Roman" w:eastAsia="Times New Roman" w:cs="Times New Roman"/>
          <w:lang w:val="en-US" w:bidi="en-US"/>
          <w:color w:val="111111"/>
          <w:sz w:val="28"/>
          <w:szCs w:val="28"/>
          <w:rtl/>
        </w:rPr>
        <w:t xml:space="preserve">×28/8</w:t>
      </w:r>
      <w:r>
        <w:rPr>
          <w:rFonts w:ascii="IRNazanin" w:hAnsi="IRNazanin" w:eastAsia="IRNazanin" w:cs="IRNazanin"/>
          <w:lang w:bidi="fa-IR"/>
          <w:color w:val="111111"/>
          <w:sz w:val="28"/>
          <w:szCs w:val="28"/>
          <w:rtl/>
        </w:rPr>
        <w:t xml:space="preserve">سم [ف: 1 - 26]</w:t>
      </w:r>
    </w:p>
    <w:p>
      <w:pPr>
        <w:pStyle w:val="BookText"/>
      </w:pPr>
      <w:r>
        <w:rPr>
          <w:rFonts w:ascii="IRNazanin" w:hAnsi="IRNazanin" w:eastAsia="IRNazanin" w:cs="IRNazanin"/>
          <w:lang w:bidi="fa-IR"/>
          <w:color w:val="111111"/>
          <w:sz w:val="28"/>
          <w:szCs w:val="28"/>
          <w:rtl/>
        </w:rPr>
        <w:t xml:space="preserve">5.تهران؛ ملک؛ شماره نسخه: 210</w:t>
      </w:r>
    </w:p>
    <w:p>
      <w:pPr>
        <w:pStyle w:val="BookText"/>
      </w:pPr>
      <w:r>
        <w:rPr>
          <w:rFonts w:ascii="IRNazanin" w:hAnsi="IRNazanin" w:eastAsia="IRNazanin" w:cs="IRNazanin"/>
          <w:lang w:bidi="fa-IR"/>
          <w:color w:val="111111"/>
          <w:sz w:val="28"/>
          <w:szCs w:val="28"/>
          <w:rtl/>
        </w:rPr>
        <w:t xml:space="preserve">جلد 2؛ خط: نسخ، کا: ابراهیم بن بدرالدین زجاجی، تا: 1024ق؛ مجدول، مذهب، با سرلوح؛ کاغذ: فستقی، جلد: میشن آلبالویی ضربی 377گ، اندازه: 17/5</w:t>
      </w:r>
      <w:r>
        <w:rPr>
          <w:rFonts w:ascii="Times New Roman" w:hAnsi="Times New Roman" w:eastAsia="Times New Roman" w:cs="Times New Roman"/>
          <w:lang w:val="en-US" w:bidi="en-US"/>
          <w:color w:val="111111"/>
          <w:sz w:val="28"/>
          <w:szCs w:val="28"/>
          <w:rtl/>
        </w:rPr>
        <w:t xml:space="preserve">×28/8</w:t>
      </w:r>
      <w:r>
        <w:rPr>
          <w:rFonts w:ascii="IRNazanin" w:hAnsi="IRNazanin" w:eastAsia="IRNazanin" w:cs="IRNazanin"/>
          <w:lang w:bidi="fa-IR"/>
          <w:color w:val="111111"/>
          <w:sz w:val="28"/>
          <w:szCs w:val="28"/>
          <w:rtl/>
        </w:rPr>
        <w:t xml:space="preserve">سم [ف: 1 - 26]</w:t>
      </w:r>
    </w:p>
    <w:p>
      <w:pPr>
        <w:pStyle w:val="BookText"/>
      </w:pPr>
      <w:r>
        <w:rPr>
          <w:rFonts w:ascii="IRNazanin" w:hAnsi="IRNazanin" w:eastAsia="IRNazanin" w:cs="IRNazanin"/>
          <w:lang w:bidi="fa-IR"/>
          <w:color w:val="111111"/>
          <w:sz w:val="28"/>
          <w:szCs w:val="28"/>
          <w:rtl/>
        </w:rPr>
        <w:t xml:space="preserve">6.تهران؛ ملک؛ شماره نسخه: 288</w:t>
      </w:r>
    </w:p>
    <w:p>
      <w:pPr>
        <w:pStyle w:val="BookText"/>
      </w:pPr>
      <w:r>
        <w:rPr>
          <w:rFonts w:ascii="IRNazanin" w:hAnsi="IRNazanin" w:eastAsia="IRNazanin" w:cs="IRNazanin"/>
          <w:lang w:bidi="fa-IR"/>
          <w:color w:val="111111"/>
          <w:sz w:val="28"/>
          <w:szCs w:val="28"/>
          <w:rtl/>
        </w:rPr>
        <w:t xml:space="preserve">جلد 1؛ خط: نسخ، كا: محمد بن حاج محفوظ، تا: 22 ذیحجه 1037ق؛ مقابله شده ،مجدول با سرلوح؛ تملک: محمد صالح بن رئیس ابراهیم در 1211، احمد بن عبدالله بن محمد آل عبدالقاهر؛ کاغذ: فستقى، جلد: میشن سرخ ،نو 391گ، 41 سطر ، اندازه: 23/5</w:t>
      </w:r>
      <w:r>
        <w:rPr>
          <w:rFonts w:ascii="Times New Roman" w:hAnsi="Times New Roman" w:eastAsia="Times New Roman" w:cs="Times New Roman"/>
          <w:lang w:val="en-US" w:bidi="en-US"/>
          <w:color w:val="111111"/>
          <w:sz w:val="28"/>
          <w:szCs w:val="28"/>
          <w:rtl/>
        </w:rPr>
        <w:t xml:space="preserve">× 33 </w:t>
      </w:r>
      <w:r>
        <w:rPr>
          <w:rFonts w:ascii="IRNazanin" w:hAnsi="IRNazanin" w:eastAsia="IRNazanin" w:cs="IRNazanin"/>
          <w:lang w:bidi="fa-IR"/>
          <w:color w:val="111111"/>
          <w:sz w:val="28"/>
          <w:szCs w:val="28"/>
          <w:rtl/>
        </w:rPr>
        <w:t xml:space="preserve">سم [ف: 1 - 26]</w:t>
      </w:r>
    </w:p>
    <w:p>
      <w:pPr>
        <w:pStyle w:val="BookText"/>
      </w:pPr>
      <w:r>
        <w:rPr>
          <w:rFonts w:ascii="IRNazanin" w:hAnsi="IRNazanin" w:eastAsia="IRNazanin" w:cs="IRNazanin"/>
          <w:lang w:bidi="fa-IR"/>
          <w:color w:val="111111"/>
          <w:sz w:val="28"/>
          <w:szCs w:val="28"/>
          <w:rtl/>
        </w:rPr>
        <w:t xml:space="preserve">7.تهران؛ ملک؛ شماره نسخه: 229</w:t>
      </w:r>
    </w:p>
    <w:p>
      <w:pPr>
        <w:pStyle w:val="BookText"/>
      </w:pPr>
      <w:r>
        <w:rPr>
          <w:rFonts w:ascii="IRNazanin" w:hAnsi="IRNazanin" w:eastAsia="IRNazanin" w:cs="IRNazanin"/>
          <w:lang w:bidi="fa-IR"/>
          <w:color w:val="111111"/>
          <w:sz w:val="28"/>
          <w:szCs w:val="28"/>
          <w:rtl/>
        </w:rPr>
        <w:t xml:space="preserve">جلد 2؛ خط: نسخ، کا: محمد بن محفوظ، تا: 1037ق؛ با سرلوح؛ کاغذ: فستقی، جلد: میشن سرخ نو، 405گ،اندازه: 23/7 </w:t>
      </w:r>
      <w:r>
        <w:rPr>
          <w:rFonts w:ascii="Times New Roman" w:hAnsi="Times New Roman" w:eastAsia="Times New Roman" w:cs="Times New Roman"/>
          <w:lang w:val="en-US" w:bidi="en-US"/>
          <w:color w:val="111111"/>
          <w:sz w:val="28"/>
          <w:szCs w:val="28"/>
          <w:rtl/>
        </w:rPr>
        <w:t xml:space="preserve">×33/4</w:t>
      </w:r>
      <w:r>
        <w:rPr>
          <w:rFonts w:ascii="IRNazanin" w:hAnsi="IRNazanin" w:eastAsia="IRNazanin" w:cs="IRNazanin"/>
          <w:lang w:bidi="fa-IR"/>
          <w:color w:val="111111"/>
          <w:sz w:val="28"/>
          <w:szCs w:val="28"/>
          <w:rtl/>
        </w:rPr>
        <w:t xml:space="preserve">سم [ف: 1 - 26]</w:t>
      </w:r>
    </w:p>
    <w:p>
      <w:pPr>
        <w:pStyle w:val="BookText"/>
      </w:pPr>
      <w:r>
        <w:rPr>
          <w:rFonts w:ascii="IRNazanin" w:hAnsi="IRNazanin" w:eastAsia="IRNazanin" w:cs="IRNazanin"/>
          <w:lang w:bidi="fa-IR"/>
          <w:color w:val="111111"/>
          <w:sz w:val="28"/>
          <w:szCs w:val="28"/>
          <w:rtl/>
        </w:rPr>
        <w:t xml:space="preserve">8.تهران؛ دانشگاه؛ شماره نسخه: 6420/1-عکس</w:t>
      </w:r>
    </w:p>
    <w:p>
      <w:pPr>
        <w:pStyle w:val="BookText"/>
      </w:pPr>
      <w:r>
        <w:rPr>
          <w:rFonts w:ascii="IRNazanin" w:hAnsi="IRNazanin" w:eastAsia="IRNazanin" w:cs="IRNazanin"/>
          <w:lang w:bidi="fa-IR"/>
          <w:color w:val="111111"/>
          <w:sz w:val="28"/>
          <w:szCs w:val="28"/>
          <w:rtl/>
        </w:rPr>
        <w:t xml:space="preserve">نسخه اصل: از کتابخانه ملت فاتح 1861 </w:t>
      </w:r>
      <w:r>
        <w:rPr>
          <w:rFonts w:ascii="Times New Roman" w:hAnsi="Times New Roman" w:eastAsia="Times New Roman" w:cs="Times New Roman"/>
          <w:lang w:val="en-US" w:bidi="en-US"/>
          <w:color w:val="111111"/>
          <w:sz w:val="28"/>
          <w:szCs w:val="28"/>
          <w:rtl/>
        </w:rPr>
        <w:t xml:space="preserve">KV </w:t>
      </w:r>
      <w:r>
        <w:rPr>
          <w:rFonts w:ascii="IRNazanin" w:hAnsi="IRNazanin" w:eastAsia="IRNazanin" w:cs="IRNazanin"/>
          <w:lang w:bidi="fa-IR"/>
          <w:color w:val="111111"/>
          <w:sz w:val="28"/>
          <w:szCs w:val="28"/>
          <w:rtl/>
        </w:rPr>
        <w:t xml:space="preserve">؛خط: نسخ، بی کا، بی تا؛ ناقص؛ واقف: سلطان محمد خان غازی؛ 53گ [ فیلم ها - ف: 3- 253]</w:t>
      </w:r>
    </w:p>
    <w:p>
      <w:pPr>
        <w:pStyle w:val="Heading3"/>
      </w:pPr>
      <w:bookmarkStart w:id="591" w:name="_Toc113"/>
      <w:r>
        <w:t>ارشاد العمودى الى شواهد المكودي / نحو / عربي</w:t>
      </w:r>
      <w:bookmarkEnd w:id="591"/>
    </w:p>
    <w:p>
      <w:pPr>
        <w:pStyle w:val="BookText"/>
      </w:pPr>
      <w:r>
        <w:rPr>
          <w:rFonts w:ascii="Times New Roman" w:hAnsi="Times New Roman" w:eastAsia="Times New Roman" w:cs="Times New Roman"/>
          <w:lang w:val="en-US" w:bidi="en-US"/>
          <w:color w:val="111111"/>
          <w:sz w:val="28"/>
          <w:szCs w:val="28"/>
          <w:rtl/>
        </w:rPr>
        <w:t xml:space="preserve">iršād-ul-'amūdī ila šawāhid-il-makūdī</w:t>
      </w:r>
    </w:p>
    <w:p>
      <w:pPr>
        <w:pStyle w:val="BookText"/>
      </w:pPr>
      <w:r>
        <w:rPr>
          <w:rFonts w:ascii="IRNazanin" w:hAnsi="IRNazanin" w:eastAsia="IRNazanin" w:cs="IRNazanin"/>
          <w:lang w:bidi="fa-IR"/>
          <w:color w:val="111111"/>
          <w:sz w:val="28"/>
          <w:szCs w:val="28"/>
          <w:rtl/>
        </w:rPr>
        <w:t xml:space="preserve">عیاشی، عبدالرحمن بن محمد ق 12 قمری</w:t>
      </w:r>
    </w:p>
    <w:p>
      <w:pPr>
        <w:pStyle w:val="BookText"/>
      </w:pPr>
      <w:r>
        <w:rPr>
          <w:rFonts w:ascii="Times New Roman" w:hAnsi="Times New Roman" w:eastAsia="Times New Roman" w:cs="Times New Roman"/>
          <w:lang w:val="en-US" w:bidi="en-US"/>
          <w:color w:val="111111"/>
          <w:sz w:val="28"/>
          <w:szCs w:val="28"/>
          <w:rtl/>
        </w:rPr>
        <w:t xml:space="preserve">‘ayyāšī, ‘abd-or-rahman ebn-e mohammad (- 18c)</w:t>
      </w:r>
    </w:p>
    <w:p>
      <w:pPr>
        <w:pStyle w:val="BookText"/>
      </w:pPr>
      <w:r>
        <w:rPr>
          <w:rFonts w:ascii="IRNazanin" w:hAnsi="IRNazanin" w:eastAsia="IRNazanin" w:cs="IRNazanin"/>
          <w:lang w:bidi="fa-IR"/>
          <w:color w:val="111111"/>
          <w:sz w:val="28"/>
          <w:szCs w:val="28"/>
          <w:rtl/>
        </w:rPr>
        <w:t xml:space="preserve">وابسته به شرح الفيه = شرح الالفية فى النحو = شرح الفيه ابن مالک = شرح صغیر؛ مکودی، عبدالرحمن بن علی (-807) تاریخ تأليف:1121ق</w:t>
      </w:r>
    </w:p>
    <w:p>
      <w:pPr>
        <w:pStyle w:val="BookText"/>
      </w:pPr>
      <w:r>
        <w:rPr>
          <w:rFonts w:ascii="IRNazanin" w:hAnsi="IRNazanin" w:eastAsia="IRNazanin" w:cs="IRNazanin"/>
          <w:lang w:bidi="fa-IR"/>
          <w:color w:val="111111"/>
          <w:sz w:val="28"/>
          <w:szCs w:val="28"/>
          <w:rtl/>
        </w:rPr>
        <w:t xml:space="preserve">شرح ابیاتی است که به عنوان شاهد در کتاب «شرح الفیه» ابوزید عبدالرحمن بن على بن صالح المکودی آمده است. ابتدا شعر را به ترتیب وارده در کتاب می آورد و بعد از شرح دادن، مورد شاهد را یادآوری می کند.</w:t>
      </w:r>
    </w:p>
    <w:p>
      <w:pPr>
        <w:pStyle w:val="BookText"/>
      </w:pPr>
      <w:r>
        <w:rPr>
          <w:rFonts w:ascii="Amiri" w:hAnsi="Amiri" w:eastAsia="Amiri" w:cs="Amiri"/>
          <w:lang w:bidi="ar-SA"/>
          <w:color w:val="111111"/>
          <w:sz w:val="28"/>
          <w:szCs w:val="28"/>
          <w:rtl/>
        </w:rPr>
        <w:t xml:space="preserve">[كشف الظنون 152/1]</w:t>
      </w:r>
    </w:p>
    <w:p>
      <w:pPr>
        <w:pStyle w:val="BookText"/>
      </w:pPr>
      <w:r>
        <w:rPr>
          <w:rFonts w:ascii="IRNazanin" w:hAnsi="IRNazanin" w:eastAsia="IRNazanin" w:cs="IRNazanin"/>
          <w:lang w:bidi="fa-IR"/>
          <w:color w:val="111111"/>
          <w:sz w:val="28"/>
          <w:szCs w:val="28"/>
          <w:rtl/>
        </w:rPr>
        <w:t xml:space="preserve">تهران؛ مجلس؛ شماره نسخه: 7411/2</w:t>
      </w:r>
    </w:p>
    <w:p>
      <w:pPr>
        <w:pStyle w:val="BookText"/>
      </w:pPr>
      <w:r>
        <w:rPr>
          <w:rFonts w:ascii="IRNazanin" w:hAnsi="IRNazanin" w:eastAsia="IRNazanin" w:cs="IRNazanin"/>
          <w:lang w:bidi="fa-IR"/>
          <w:color w:val="111111"/>
          <w:sz w:val="28"/>
          <w:szCs w:val="28"/>
          <w:rtl/>
        </w:rPr>
        <w:t xml:space="preserve">آغاز: الحمد لله الذى شواهد وجوده باهرة و آلاؤه على كرمه تباهى و الصلاة والسلام على صاحب الكلام البليغ، المشهود له و عليه بالرسالة و التبلیغ؛ انجام: يستغنى به وجهه فتعرض فيه رضوانه مأموناً معه سخطه مدخراً عنده غفرانه.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35" w:name="pg20365_260040"/>
    <w:bookmarkEnd w:id="35"/>
    <w:p>
      <w:pPr>
        <w:pStyle w:val="BookText"/>
      </w:pPr>
      <w:r>
        <w:rPr>
          <w:rFonts w:ascii="IRNazanin" w:hAnsi="IRNazanin" w:eastAsia="IRNazanin" w:cs="IRNazanin"/>
          <w:lang w:bidi="fa-IR"/>
          <w:color w:val="111111"/>
          <w:sz w:val="28"/>
          <w:szCs w:val="28"/>
          <w:rtl/>
        </w:rPr>
        <w:t xml:space="preserve">خط : مغربی بی کا، بی تا ،جا: قرطبه در اندلس ؛جلد: تیماج قهوه ای، ترنج ،مجدول 55گ (167 پ- 222 پ)، 19 سطر [</w:t>
      </w:r>
    </w:p>
    <w:p>
      <w:pPr>
        <w:pStyle w:val="BookText"/>
      </w:pPr>
      <w:r>
        <w:rPr>
          <w:rFonts w:ascii="IRNazanin" w:hAnsi="IRNazanin" w:eastAsia="IRNazanin" w:cs="IRNazanin"/>
          <w:lang w:bidi="fa-IR"/>
          <w:color w:val="111111"/>
          <w:sz w:val="28"/>
          <w:szCs w:val="28"/>
          <w:rtl/>
        </w:rPr>
        <w:t xml:space="preserve">ف: 25- 393 ]</w:t>
      </w:r>
    </w:p>
    <w:p>
      <w:pPr>
        <w:pStyle w:val="Heading3"/>
      </w:pPr>
      <w:bookmarkStart w:id="592" w:name="_Toc114"/>
      <w:r>
        <w:t>ارشاد العوام / کلام و اعتقادات / فارسی</w:t>
      </w:r>
      <w:bookmarkEnd w:id="592"/>
    </w:p>
    <w:p>
      <w:pPr>
        <w:pStyle w:val="BookText"/>
      </w:pPr>
      <w:r>
        <w:rPr>
          <w:rFonts w:ascii="Times New Roman" w:hAnsi="Times New Roman" w:eastAsia="Times New Roman" w:cs="Times New Roman"/>
          <w:lang w:val="en-US" w:bidi="en-US"/>
          <w:color w:val="111111"/>
          <w:sz w:val="28"/>
          <w:szCs w:val="28"/>
          <w:rtl/>
        </w:rPr>
        <w:t xml:space="preserve">eršād-ol-‘avām</w:t>
      </w:r>
    </w:p>
    <w:p>
      <w:pPr>
        <w:pStyle w:val="BookText"/>
      </w:pPr>
      <w:r>
        <w:rPr>
          <w:rFonts w:ascii="IRNazanin" w:hAnsi="IRNazanin" w:eastAsia="IRNazanin" w:cs="IRNazanin"/>
          <w:lang w:bidi="fa-IR"/>
          <w:color w:val="111111"/>
          <w:sz w:val="28"/>
          <w:szCs w:val="28"/>
          <w:rtl/>
        </w:rPr>
        <w:t xml:space="preserve">کرمانی محمد کریم بن ابراهیم 1225 - 1288 قمری</w:t>
      </w:r>
    </w:p>
    <w:p>
      <w:pPr>
        <w:pStyle w:val="BookText"/>
      </w:pPr>
      <w:r>
        <w:rPr>
          <w:rFonts w:ascii="Times New Roman" w:hAnsi="Times New Roman" w:eastAsia="Times New Roman" w:cs="Times New Roman"/>
          <w:lang w:val="en-US" w:bidi="en-US"/>
          <w:color w:val="111111"/>
          <w:sz w:val="28"/>
          <w:szCs w:val="28"/>
          <w:rtl/>
        </w:rPr>
        <w:t xml:space="preserve">(kermānī, mohammad karīm ebn-e ebrāhīm (1810 --1871</w:t>
      </w:r>
    </w:p>
    <w:p>
      <w:pPr>
        <w:pStyle w:val="BookText"/>
      </w:pPr>
      <w:r>
        <w:rPr>
          <w:rFonts w:ascii="IRNazanin" w:hAnsi="IRNazanin" w:eastAsia="IRNazanin" w:cs="IRNazanin"/>
          <w:lang w:bidi="fa-IR"/>
          <w:color w:val="111111"/>
          <w:sz w:val="28"/>
          <w:szCs w:val="28"/>
          <w:rtl/>
        </w:rPr>
        <w:t xml:space="preserve">تاريخ تألیف یک شنبه 25 جمادى الاول1264-1267ق</w:t>
      </w:r>
    </w:p>
    <w:p>
      <w:pPr>
        <w:pStyle w:val="BookText"/>
      </w:pPr>
      <w:r>
        <w:rPr>
          <w:rFonts w:ascii="IRNazanin" w:hAnsi="IRNazanin" w:eastAsia="IRNazanin" w:cs="IRNazanin"/>
          <w:lang w:bidi="fa-IR"/>
          <w:color w:val="111111"/>
          <w:sz w:val="28"/>
          <w:szCs w:val="28"/>
          <w:rtl/>
        </w:rPr>
        <w:t xml:space="preserve">در عقاید به روش شیخی، در 4 قسمت که هر قسمت را یک جلد نامیده است. در دیباچه جلد یکم بخش بندی کتاب به گونه ای یاد کرده و در متن به گونه دیگر دنبال کرده است محتوای جلدها چنین است: 1. توحید و معرفت پیامبران؛ 2.معاد 3. امامت .4. شناختن امامان و پیروان (شیعه) ایشان.</w:t>
      </w:r>
    </w:p>
    <w:p>
      <w:pPr>
        <w:pStyle w:val="BookText"/>
      </w:pPr>
      <w:r>
        <w:rPr>
          <w:rFonts w:ascii="IRNazanin" w:hAnsi="IRNazanin" w:eastAsia="IRNazanin" w:cs="IRNazanin"/>
          <w:lang w:bidi="fa-IR"/>
          <w:color w:val="111111"/>
          <w:sz w:val="28"/>
          <w:szCs w:val="28"/>
          <w:rtl/>
        </w:rPr>
        <w:t xml:space="preserve">آغاز: ستایش خدایی را سزاست که پرورنده جهانیان است وبخشاینده و مهربان و دارای روز پایان تو را می پرستیم</w:t>
      </w:r>
    </w:p>
    <w:p>
      <w:pPr>
        <w:pStyle w:val="BookText"/>
      </w:pPr>
      <w:r>
        <w:rPr>
          <w:rFonts w:ascii="IRNazanin" w:hAnsi="IRNazanin" w:eastAsia="IRNazanin" w:cs="IRNazanin"/>
          <w:lang w:bidi="fa-IR"/>
          <w:color w:val="111111"/>
          <w:sz w:val="28"/>
          <w:szCs w:val="28"/>
          <w:rtl/>
        </w:rPr>
        <w:t xml:space="preserve">انجام: و لعنة الله على اعدائهم اجمعين ابد الآبدين و الحمدلله اولاو آخرا وظاهرا و باطنا تمام شد بر دست مصنفش حقیر فقیر</w:t>
      </w:r>
    </w:p>
    <w:p>
      <w:pPr>
        <w:pStyle w:val="BookText"/>
      </w:pPr>
      <w:r>
        <w:rPr>
          <w:rFonts w:ascii="Amiri" w:hAnsi="Amiri" w:eastAsia="Amiri" w:cs="Amiri"/>
          <w:lang w:bidi="ar-SA"/>
          <w:color w:val="111111"/>
          <w:sz w:val="28"/>
          <w:szCs w:val="28"/>
          <w:rtl/>
        </w:rPr>
        <w:t xml:space="preserve">كريم بن ابراهيم حامداً مصليا مستغفرا في...</w:t>
      </w:r>
    </w:p>
    <w:p>
      <w:pPr>
        <w:pStyle w:val="BookText"/>
      </w:pPr>
      <w:r>
        <w:rPr>
          <w:rFonts w:ascii="IRNazanin" w:hAnsi="IRNazanin" w:eastAsia="IRNazanin" w:cs="IRNazanin"/>
          <w:lang w:bidi="fa-IR"/>
          <w:color w:val="111111"/>
          <w:sz w:val="28"/>
          <w:szCs w:val="28"/>
          <w:rtl/>
        </w:rPr>
        <w:t xml:space="preserve">چاپ: 4 جلد، تبریز، 1271ق ،سنگی، رحلی، 260 و 126 و 133 و181ص؛ 4 ،جلد، ،بمبئی، 1268ق، سنگی، رحلی، 260 و 126و 133 و 179 ص؛ 179 ص؛ 4 جلد ،کرمان، 5-1353ق، 317 و 295 و 311 و 386ص</w:t>
      </w:r>
    </w:p>
    <w:p>
      <w:pPr>
        <w:pStyle w:val="BookText"/>
      </w:pPr>
      <w:r>
        <w:rPr>
          <w:rFonts w:ascii="IRNazanin" w:hAnsi="IRNazanin" w:eastAsia="IRNazanin" w:cs="IRNazanin"/>
          <w:lang w:bidi="fa-IR"/>
          <w:color w:val="111111"/>
          <w:sz w:val="28"/>
          <w:szCs w:val="28"/>
          <w:rtl/>
        </w:rPr>
        <w:t xml:space="preserve">[فهرست مشار 82/1؛ فهرست مشایخ 184/2؛ الذريعه 514/1؛ مکتبة امير المؤمنين 30/1؛ ايضاح المكنون 61/1؛ هدية العارفين 2/ 379- 380؛ فهرستواره منزوی (9/ 80(7نسخه)]</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تنبيه الانام على مفاسد ارشاد العوام؛ شهرستانی محمد حسین بن محمد على (1255-1315)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توضيح الارشاد عبد السلام بن عبدالله.</w:t>
      </w:r>
    </w:p>
    <w:p>
      <w:pPr>
        <w:pStyle w:val="BookText"/>
      </w:pPr>
      <w:r>
        <w:rPr>
          <w:rFonts w:ascii="IRNazanin" w:hAnsi="IRNazanin" w:eastAsia="IRNazanin" w:cs="IRNazanin"/>
          <w:lang w:bidi="fa-IR"/>
          <w:color w:val="111111"/>
          <w:sz w:val="28"/>
          <w:szCs w:val="28"/>
          <w:rtl/>
        </w:rPr>
        <w:t xml:space="preserve">1.تهران؛ مفتاح؛ شماره نسخه: 222</w:t>
      </w:r>
    </w:p>
    <w:p>
      <w:pPr>
        <w:pStyle w:val="BookText"/>
      </w:pPr>
      <w:r>
        <w:rPr>
          <w:rFonts w:ascii="IRNazanin" w:hAnsi="IRNazanin" w:eastAsia="IRNazanin" w:cs="IRNazanin"/>
          <w:lang w:bidi="fa-IR"/>
          <w:color w:val="111111"/>
          <w:sz w:val="28"/>
          <w:szCs w:val="28"/>
          <w:rtl/>
        </w:rPr>
        <w:t xml:space="preserve">جلد 3 در امامت؛ خط: نسخ، بی کا، تا: قرن 13 [نشریه: 7 - 101]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یزد؛ وزیری؛ شماره نسخه: 1877</w:t>
      </w:r>
    </w:p>
    <w:p>
      <w:pPr>
        <w:pStyle w:val="BookText"/>
      </w:pPr>
      <w:r>
        <w:rPr>
          <w:rFonts w:ascii="IRNazanin" w:hAnsi="IRNazanin" w:eastAsia="IRNazanin" w:cs="IRNazanin"/>
          <w:lang w:bidi="fa-IR"/>
          <w:color w:val="111111"/>
          <w:sz w:val="28"/>
          <w:szCs w:val="28"/>
          <w:rtl/>
        </w:rPr>
        <w:t xml:space="preserve">آغاز: مگر آنکه دوستی او متعلق به آنست و چون در این جلد هم مطلب ماست پس آنرا در چند مطلب بیان مینمایم؛ انجام: و احوال بر طرف شود و بنای جدید بگذارند و شرع نبی را «ص»چنانچه.</w:t>
      </w:r>
    </w:p>
    <w:p>
      <w:pPr>
        <w:pStyle w:val="BookText"/>
      </w:pPr>
      <w:r>
        <w:rPr>
          <w:rFonts w:ascii="IRNazanin" w:hAnsi="IRNazanin" w:eastAsia="IRNazanin" w:cs="IRNazanin"/>
          <w:lang w:bidi="fa-IR"/>
          <w:color w:val="111111"/>
          <w:sz w:val="28"/>
          <w:szCs w:val="28"/>
          <w:rtl/>
        </w:rPr>
        <w:t xml:space="preserve">خط: نستعلیق تحریری، بی کا، تا: قرن 13 :کاغذ ،فرنگی جلد: تیماجی ،تریاکی 183گ، 14 سطر (7/5</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20</w:t>
      </w: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[ف: 3 - 1082]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ملی؛ شماره نسخه: 15986</w:t>
      </w:r>
    </w:p>
    <w:p>
      <w:pPr>
        <w:pStyle w:val="BookText"/>
      </w:pPr>
      <w:r>
        <w:rPr>
          <w:rFonts w:ascii="IRNazanin" w:hAnsi="IRNazanin" w:eastAsia="IRNazanin" w:cs="IRNazanin"/>
          <w:lang w:bidi="fa-IR"/>
          <w:color w:val="111111"/>
          <w:sz w:val="28"/>
          <w:szCs w:val="28"/>
          <w:rtl/>
        </w:rPr>
        <w:t xml:space="preserve">کا: کریم بن ابراهیم، تا: 1263ق؛ انتقالی از سازمان مدارک فرهنگی؛ اندازه: 15/4</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[رایانه]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تهران؛ نوربخش؛ شماره نسخه: 859</w:t>
      </w:r>
    </w:p>
    <w:p>
      <w:pPr>
        <w:pStyle w:val="BookText"/>
      </w:pPr>
      <w:r>
        <w:rPr>
          <w:rFonts w:ascii="IRNazanin" w:hAnsi="IRNazanin" w:eastAsia="IRNazanin" w:cs="IRNazanin"/>
          <w:lang w:bidi="fa-IR"/>
          <w:color w:val="111111"/>
          <w:sz w:val="28"/>
          <w:szCs w:val="28"/>
          <w:rtl/>
        </w:rPr>
        <w:t xml:space="preserve">خط: نسخ، بی کا، تا: 1263ق؛ بر پشت برگ آخر تاریخ تولد میرزا کوچک در 1262ق؛ کاغذ: فرنگی سفید آهار مهره، جلد: تيماج قرمز یک لا، 153گ، 19 سطر ، قطع: خشتی، اندازه: 15</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 نشریه: 13 - 227]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مشهد؛ رضوی؛ شماره نسخه: 16038</w:t>
      </w:r>
    </w:p>
    <w:p>
      <w:pPr>
        <w:pStyle w:val="BookText"/>
      </w:pPr>
      <w:r>
        <w:rPr>
          <w:rFonts w:ascii="IRNazanin" w:hAnsi="IRNazanin" w:eastAsia="IRNazanin" w:cs="IRNazanin"/>
          <w:lang w:bidi="fa-IR"/>
          <w:color w:val="111111"/>
          <w:sz w:val="28"/>
          <w:szCs w:val="28"/>
          <w:rtl/>
        </w:rPr>
        <w:t xml:space="preserve">آغاز: بسمله سپاس بی حد و چون خدایی؛ انجام: مادام ملک الجبار و الحمد لله اول و آخرا</w:t>
      </w:r>
    </w:p>
    <w:p>
      <w:pPr>
        <w:pStyle w:val="BookText"/>
      </w:pPr>
      <w:r>
        <w:rPr>
          <w:rFonts w:ascii="IRNazanin" w:hAnsi="IRNazanin" w:eastAsia="IRNazanin" w:cs="IRNazanin"/>
          <w:lang w:bidi="fa-IR"/>
          <w:color w:val="111111"/>
          <w:sz w:val="28"/>
          <w:szCs w:val="28"/>
          <w:rtl/>
        </w:rPr>
        <w:t xml:space="preserve">خط: نستعلیق تحریری، کا: ابوالقاسم طباطبائی نائینی، تا: 1264ق[رایانه ]</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مشهد؛ رضوی؛ شماره نسخه: 16394</w:t>
      </w:r>
    </w:p>
    <w:p>
      <w:pPr>
        <w:pStyle w:val="BookText"/>
      </w:pPr>
      <w:r>
        <w:rPr>
          <w:rFonts w:ascii="IRNazanin" w:hAnsi="IRNazanin" w:eastAsia="IRNazanin" w:cs="IRNazanin"/>
          <w:lang w:bidi="fa-IR"/>
          <w:color w:val="111111"/>
          <w:sz w:val="28"/>
          <w:szCs w:val="28"/>
          <w:rtl/>
        </w:rPr>
        <w:t xml:space="preserve">آغاز: بسمله سپاس بی چند و چون خدایی را سزاست که از دانش؛ انجام: اگر خدا بخواهد پس ختم شد این مجلد سنه 1264 من شهور سنه 1265</w:t>
      </w:r>
    </w:p>
    <w:p>
      <w:pPr>
        <w:pStyle w:val="BookText"/>
      </w:pPr>
      <w:r>
        <w:rPr>
          <w:rFonts w:ascii="IRNazanin" w:hAnsi="IRNazanin" w:eastAsia="IRNazanin" w:cs="IRNazanin"/>
          <w:lang w:bidi="fa-IR"/>
          <w:color w:val="111111"/>
          <w:sz w:val="28"/>
          <w:szCs w:val="28"/>
          <w:rtl/>
        </w:rPr>
        <w:t xml:space="preserve">خط: نسخ، بی کا، تا: 1265ق [رایانه]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تهران؛ ملک؛ شماره نسخه : 1859/1</w:t>
      </w:r>
    </w:p>
    <w:p>
      <w:pPr>
        <w:pStyle w:val="BookText"/>
      </w:pPr>
      <w:r>
        <w:rPr>
          <w:rFonts w:ascii="IRNazanin" w:hAnsi="IRNazanin" w:eastAsia="IRNazanin" w:cs="IRNazanin"/>
          <w:lang w:bidi="fa-IR"/>
          <w:color w:val="111111"/>
          <w:sz w:val="28"/>
          <w:szCs w:val="28"/>
          <w:rtl/>
        </w:rPr>
        <w:t xml:space="preserve">چهار بخش؛ کا: محمد ابراهیم ،چترودی، تا: چهارشنبه 19 شعبان 1265ق، یک شنبه 25 جمادى الاول 1264 (بخش دوم)، 1267؛ کاغذ ،ترمه، جلد: میشن سیاه ،لایی 177گ (1پ-178ر)، 19 سطر ، اندازه: 15</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5 - 389]</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قم؛ گلپایگانی؛ شماره نسخه: 2900-15/140</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شکسته نستعلیق، بی کا، تا: 6 رجب 1265ق؛ جلد:تیماج مشکی سوخت با ترنج با سر الوان و جدول زر، 226گ، 14-16 سطر ، اندازه: 15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1 - 310]</w:t>
      </w:r>
    </w:p>
    <w:p>
      <w:pPr>
        <w:pStyle w:val="BookText"/>
      </w:pPr>
      <w:r>
        <w:rPr>
          <w:rFonts w:ascii="IRNazanin" w:hAnsi="IRNazanin" w:eastAsia="IRNazanin" w:cs="IRNazanin"/>
          <w:lang w:bidi="fa-IR"/>
          <w:color w:val="111111"/>
          <w:sz w:val="28"/>
          <w:szCs w:val="28"/>
          <w:rtl/>
        </w:rPr>
        <w:t xml:space="preserve">9.مشهد؛ رضوی؛ شماره نسخه: 15975</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کا:حسين بن محمد شریف اردکانی، تا: 1266ق [رایانه]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تهران؛ ملی؛ شماره نسخه: 26937</w:t>
      </w:r>
    </w:p>
    <w:p>
      <w:pPr>
        <w:pStyle w:val="BookText"/>
      </w:pPr>
      <w:r>
        <w:rPr>
          <w:rFonts w:ascii="IRNazanin" w:hAnsi="IRNazanin" w:eastAsia="IRNazanin" w:cs="IRNazanin"/>
          <w:lang w:bidi="fa-IR"/>
          <w:color w:val="111111"/>
          <w:sz w:val="28"/>
          <w:szCs w:val="28"/>
          <w:rtl/>
        </w:rPr>
        <w:t xml:space="preserve">بی کا، تا: 1266ق؛ خریداری از عباس محسنی [رایانه]</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مشهد؛ رضوی؛ شماره نسخه: 26563</w:t>
      </w:r>
    </w:p>
    <w:p>
      <w:pPr>
        <w:pStyle w:val="BookText"/>
      </w:pPr>
      <w:r>
        <w:rPr>
          <w:rFonts w:ascii="IRNazanin" w:hAnsi="IRNazanin" w:eastAsia="IRNazanin" w:cs="IRNazanin"/>
          <w:lang w:bidi="fa-IR"/>
          <w:color w:val="111111"/>
          <w:sz w:val="28"/>
          <w:szCs w:val="28"/>
          <w:rtl/>
        </w:rPr>
        <w:t xml:space="preserve">آغاز: برابر؛ انجام: در اصول عقاید چیزی برای ایان بنویسم و نوشتم:</w:t>
      </w:r>
    </w:p>
    <w:p>
      <w:pPr>
        <w:pStyle w:val="BookText"/>
      </w:pPr>
      <w:r>
        <w:rPr>
          <w:rFonts w:ascii="IRNazanin" w:hAnsi="IRNazanin" w:eastAsia="IRNazanin" w:cs="IRNazanin"/>
          <w:lang w:bidi="fa-IR"/>
          <w:color w:val="111111"/>
          <w:sz w:val="28"/>
          <w:szCs w:val="28"/>
          <w:rtl/>
        </w:rPr>
        <w:t xml:space="preserve">خط: نسخ ،خفی، بی کا، تا: 1267ق [رایانه]</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اصفهان؛ دانشگاه؛ شماره نسخه: 629</w:t>
      </w:r>
    </w:p>
    <w:p>
      <w:pPr>
        <w:pStyle w:val="BookText"/>
      </w:pPr>
      <w:r>
        <w:rPr>
          <w:rFonts w:ascii="IRNazanin" w:hAnsi="IRNazanin" w:eastAsia="IRNazanin" w:cs="IRNazanin"/>
          <w:lang w:bidi="fa-IR"/>
          <w:color w:val="111111"/>
          <w:sz w:val="28"/>
          <w:szCs w:val="28"/>
          <w:rtl/>
        </w:rPr>
        <w:t xml:space="preserve">جلد چهارم ؛خط: نسخ، بی کا، تا: شنبه 13 ربيع الثاني 1269ق؛مصحح، در برگ پایانی امضای تصحیح بدون نامی در اواسط رجب 1269؛ جلد: مقوایی عطف تیماج قهوه ای، 208گ 20 سطر ، اندازه: 16</w:t>
      </w:r>
      <w:r>
        <w:rPr>
          <w:rFonts w:ascii="Times New Roman" w:hAnsi="Times New Roman" w:eastAsia="Times New Roman" w:cs="Times New Roman"/>
          <w:lang w:val="en-US" w:bidi="en-US"/>
          <w:color w:val="111111"/>
          <w:sz w:val="28"/>
          <w:szCs w:val="28"/>
          <w:rtl/>
        </w:rPr>
        <w:t xml:space="preserve">× 23</w:t>
      </w:r>
      <w:r>
        <w:rPr>
          <w:rFonts w:ascii="IRNazanin" w:hAnsi="IRNazanin" w:eastAsia="IRNazanin" w:cs="IRNazanin"/>
          <w:lang w:bidi="fa-IR"/>
          <w:color w:val="111111"/>
          <w:sz w:val="28"/>
          <w:szCs w:val="28"/>
          <w:rtl/>
        </w:rPr>
        <w:t xml:space="preserve">سم [ف: 2 - 488]</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مشهد؛ مدرسه آیة الله خوئی؛ شماره نسخه 82</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36" w:name="pg20365_260041"/>
    <w:bookmarkEnd w:id="36"/>
    <w:p>
      <w:pPr>
        <w:pStyle w:val="BookText"/>
      </w:pPr>
      <w:r>
        <w:rPr>
          <w:rFonts w:ascii="IRNazanin" w:hAnsi="IRNazanin" w:eastAsia="IRNazanin" w:cs="IRNazanin"/>
          <w:lang w:bidi="fa-IR"/>
          <w:color w:val="111111"/>
          <w:sz w:val="28"/>
          <w:szCs w:val="28"/>
          <w:rtl/>
        </w:rPr>
        <w:t xml:space="preserve">خط: نستعلیق، کا: حسین بن ابراهيم اصفهانی، تا: 18 ربیع الثانی 1269ق؛ جلد: تیماج ،مشکی، 221گ،16 سطر ، اندازه:</w:t>
      </w:r>
    </w:p>
    <w:p>
      <w:pPr>
        <w:pStyle w:val="BookText"/>
      </w:pPr>
      <w:r>
        <w:rPr>
          <w:rFonts w:ascii="Times New Roman" w:hAnsi="Times New Roman" w:eastAsia="Times New Roman" w:cs="Times New Roman"/>
          <w:lang w:val="en-US" w:bidi="en-US"/>
          <w:color w:val="111111"/>
          <w:sz w:val="28"/>
          <w:szCs w:val="28"/>
          <w:rtl/>
        </w:rPr>
        <w:t xml:space="preserve">21×16</w:t>
      </w:r>
      <w:r>
        <w:rPr>
          <w:rFonts w:ascii="IRNazanin" w:hAnsi="IRNazanin" w:eastAsia="IRNazanin" w:cs="IRNazanin"/>
          <w:lang w:bidi="fa-IR"/>
          <w:color w:val="111111"/>
          <w:sz w:val="28"/>
          <w:szCs w:val="28"/>
          <w:rtl/>
        </w:rPr>
        <w:t xml:space="preserve">سم [ف: 52]</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قم؛ گلپایگانی؛ شماره نسخه: 2238-12/128</w:t>
      </w:r>
    </w:p>
    <w:p>
      <w:pPr>
        <w:pStyle w:val="BookText"/>
      </w:pPr>
      <w:r>
        <w:rPr>
          <w:rFonts w:ascii="IRNazanin" w:hAnsi="IRNazanin" w:eastAsia="IRNazanin" w:cs="IRNazanin"/>
          <w:lang w:bidi="fa-IR"/>
          <w:color w:val="111111"/>
          <w:sz w:val="28"/>
          <w:szCs w:val="28"/>
          <w:rtl/>
        </w:rPr>
        <w:t xml:space="preserve">آغاز: درود نامعدود معبودی را سزاست که لوای آفرینش را ساحت هستی افراخت و ستایش .. و بعد چنین گوید بنده اثیم کریم... که چون فارغ شدم؛ انجام: عبارات عامیانه در این کتاب ببینند نکته نگیرند که تعهد کردم به نهایت وضوح به جهت عوام وصلى الله على محمد و آله الطاهرین و لعنة الله على اعدائهم اجمعين</w:t>
      </w:r>
    </w:p>
    <w:p>
      <w:pPr>
        <w:pStyle w:val="BookText"/>
      </w:pPr>
      <w:r>
        <w:rPr>
          <w:rFonts w:ascii="IRNazanin" w:hAnsi="IRNazanin" w:eastAsia="IRNazanin" w:cs="IRNazanin"/>
          <w:lang w:bidi="fa-IR"/>
          <w:color w:val="111111"/>
          <w:sz w:val="28"/>
          <w:szCs w:val="28"/>
          <w:rtl/>
        </w:rPr>
        <w:t xml:space="preserve">جلد سوم؛ خط: شکسته، نستعلیق، کا: محمد ابراهيم بن حاج عزیز الله ،چالشتری، تا: یک شنبه 21 جمادی الاول 1270ق؛ جلد: تیماج مشکی با جدول خطی و گرهی و ترنج و سرترنج ضربی عطف تیماج مشکی،210گ، 15 سطر ، اندازه: 15</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1 - 310]</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قم؛ گلپایگانی؛ شماره نسخه: 4134- 54/ 21</w:t>
      </w:r>
    </w:p>
    <w:p>
      <w:pPr>
        <w:pStyle w:val="BookText"/>
      </w:pPr>
      <w:r>
        <w:rPr>
          <w:rFonts w:ascii="IRNazanin" w:hAnsi="IRNazanin" w:eastAsia="IRNazanin" w:cs="IRNazanin"/>
          <w:lang w:bidi="fa-IR"/>
          <w:color w:val="111111"/>
          <w:sz w:val="28"/>
          <w:szCs w:val="28"/>
          <w:rtl/>
        </w:rPr>
        <w:t xml:space="preserve">آغاز: ستایش بی آغاز و انجام خداوندی را سزاست جلت عظمته که منزه از چند و چون است و سپاس بی حد مر پرودگاری است علت کلمته؛ انجام: برابر</w:t>
      </w:r>
    </w:p>
    <w:p>
      <w:pPr>
        <w:pStyle w:val="BookText"/>
      </w:pPr>
      <w:r>
        <w:rPr>
          <w:rFonts w:ascii="IRNazanin" w:hAnsi="IRNazanin" w:eastAsia="IRNazanin" w:cs="IRNazanin"/>
          <w:lang w:bidi="fa-IR"/>
          <w:color w:val="111111"/>
          <w:sz w:val="28"/>
          <w:szCs w:val="28"/>
          <w:rtl/>
        </w:rPr>
        <w:t xml:space="preserve">جلد چهارم؛ خط: شکسته، نستعلیق، کا: ابوالقاسم، تا: 23 شوال 1274ق؛ جلد: تیماج مشکی ضربی مجدول گرهی با ترنج سر ترنج ، 199گ ، 14 سطر ، اندازه: 16</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1 - 310]</w:t>
      </w:r>
    </w:p>
    <w:p>
      <w:pPr>
        <w:pStyle w:val="BookText"/>
      </w:pPr>
      <w:r>
        <w:rPr>
          <w:rFonts w:ascii="IRNazanin" w:hAnsi="IRNazanin" w:eastAsia="IRNazanin" w:cs="IRNazanin"/>
          <w:lang w:bidi="fa-IR"/>
          <w:color w:val="111111"/>
          <w:sz w:val="28"/>
          <w:szCs w:val="28"/>
          <w:rtl/>
        </w:rPr>
        <w:t xml:space="preserve">16 . مشهد؛ رضوی؛ شماره نسخه: 24972</w:t>
      </w:r>
    </w:p>
    <w:p>
      <w:pPr>
        <w:pStyle w:val="BookText"/>
      </w:pPr>
      <w:r>
        <w:rPr>
          <w:rFonts w:ascii="IRNazanin" w:hAnsi="IRNazanin" w:eastAsia="IRNazanin" w:cs="IRNazanin"/>
          <w:lang w:bidi="fa-IR"/>
          <w:color w:val="111111"/>
          <w:sz w:val="28"/>
          <w:szCs w:val="28"/>
          <w:rtl/>
        </w:rPr>
        <w:t xml:space="preserve">آغاز: برابر؛ انجام: که جلد اول ارشاد را از شوق نوشتی</w:t>
      </w:r>
    </w:p>
    <w:p>
      <w:pPr>
        <w:pStyle w:val="BookText"/>
      </w:pPr>
      <w:r>
        <w:rPr>
          <w:rFonts w:ascii="IRNazanin" w:hAnsi="IRNazanin" w:eastAsia="IRNazanin" w:cs="IRNazanin"/>
          <w:lang w:bidi="fa-IR"/>
          <w:color w:val="111111"/>
          <w:sz w:val="28"/>
          <w:szCs w:val="28"/>
          <w:rtl/>
        </w:rPr>
        <w:t xml:space="preserve">خط: نستعليق خفی، کا: چالشتری، محمد صادق بن عزيز الله، 1276ق [رایانه ]</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قم؛ گلپایگانی؛ شماره نسخه: 8886-59/106</w:t>
      </w:r>
    </w:p>
    <w:p>
      <w:pPr>
        <w:pStyle w:val="BookText"/>
      </w:pPr>
      <w:r>
        <w:rPr>
          <w:rFonts w:ascii="IRNazanin" w:hAnsi="IRNazanin" w:eastAsia="IRNazanin" w:cs="IRNazanin"/>
          <w:lang w:bidi="fa-IR"/>
          <w:color w:val="111111"/>
          <w:sz w:val="28"/>
          <w:szCs w:val="28"/>
          <w:rtl/>
        </w:rPr>
        <w:t xml:space="preserve">آغاز: یزدان گمراهانی که گمراه کننده ناتوانانند و دشمن نیکان دوست دشمنان ایشان. و بعد چنین بنده اثيم كريم ابن ابراهيم</w:t>
      </w:r>
    </w:p>
    <w:p>
      <w:pPr>
        <w:pStyle w:val="BookText"/>
      </w:pPr>
      <w:r>
        <w:rPr>
          <w:rFonts w:ascii="IRNazanin" w:hAnsi="IRNazanin" w:eastAsia="IRNazanin" w:cs="IRNazanin"/>
          <w:lang w:bidi="fa-IR"/>
          <w:color w:val="111111"/>
          <w:sz w:val="28"/>
          <w:szCs w:val="28"/>
          <w:rtl/>
        </w:rPr>
        <w:t xml:space="preserve">چون دیدم؛</w:t>
      </w:r>
    </w:p>
    <w:p>
      <w:pPr>
        <w:pStyle w:val="BookText"/>
      </w:pPr>
      <w:r>
        <w:rPr>
          <w:rFonts w:ascii="IRNazanin" w:hAnsi="IRNazanin" w:eastAsia="IRNazanin" w:cs="IRNazanin"/>
          <w:lang w:bidi="fa-IR"/>
          <w:color w:val="111111"/>
          <w:sz w:val="28"/>
          <w:szCs w:val="28"/>
          <w:rtl/>
        </w:rPr>
        <w:t xml:space="preserve">خط: نستعلیق، کا: یوسف بن علی بن زینل صداقیانی، تا: 1296ق؛ افتادگی: آغاز (یک برگ از اول (مقدمه)؛ 456گ، 16 - 14 سطر ،اندازه: 10</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سم [ف: 1 - 311]</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مشهد؛ رضوی؛ شماره نسخه: 13753</w:t>
      </w:r>
    </w:p>
    <w:p>
      <w:pPr>
        <w:pStyle w:val="BookText"/>
      </w:pPr>
      <w:r>
        <w:rPr>
          <w:rFonts w:ascii="IRNazanin" w:hAnsi="IRNazanin" w:eastAsia="IRNazanin" w:cs="IRNazanin"/>
          <w:lang w:bidi="fa-IR"/>
          <w:color w:val="111111"/>
          <w:sz w:val="28"/>
          <w:szCs w:val="28"/>
          <w:rtl/>
        </w:rPr>
        <w:t xml:space="preserve">آغاز: بسمله درود نامعدود معبودی را سزاست؛ انجام: بلکه عرض می کنم که اضمار خلاف</w:t>
      </w:r>
    </w:p>
    <w:p>
      <w:pPr>
        <w:pStyle w:val="BookText"/>
      </w:pPr>
      <w:r>
        <w:rPr>
          <w:rFonts w:ascii="IRNazanin" w:hAnsi="IRNazanin" w:eastAsia="IRNazanin" w:cs="IRNazanin"/>
          <w:lang w:bidi="fa-IR"/>
          <w:color w:val="111111"/>
          <w:sz w:val="28"/>
          <w:szCs w:val="28"/>
          <w:rtl/>
        </w:rPr>
        <w:t xml:space="preserve">خط: نستعلیق تحریری، بی کا، تا: قرن 14 [الفبائي: 40]</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یزد؛ وزیری؛ شماره نسخه: 4039</w:t>
      </w:r>
    </w:p>
    <w:p>
      <w:pPr>
        <w:pStyle w:val="BookText"/>
      </w:pPr>
      <w:r>
        <w:rPr>
          <w:rFonts w:ascii="IRNazanin" w:hAnsi="IRNazanin" w:eastAsia="IRNazanin" w:cs="IRNazanin"/>
          <w:lang w:bidi="fa-IR"/>
          <w:color w:val="111111"/>
          <w:sz w:val="28"/>
          <w:szCs w:val="28"/>
          <w:rtl/>
        </w:rPr>
        <w:t xml:space="preserve">بی کا، بی تا: [نشریه: 13 - 357]</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تهران؛ ملی؛ شماره نسخه: 25979</w:t>
      </w:r>
    </w:p>
    <w:p>
      <w:pPr>
        <w:pStyle w:val="BookText"/>
      </w:pPr>
      <w:r>
        <w:rPr>
          <w:rFonts w:ascii="IRNazanin" w:hAnsi="IRNazanin" w:eastAsia="IRNazanin" w:cs="IRNazanin"/>
          <w:lang w:bidi="fa-IR"/>
          <w:color w:val="111111"/>
          <w:sz w:val="28"/>
          <w:szCs w:val="28"/>
          <w:rtl/>
        </w:rPr>
        <w:t xml:space="preserve">جلد 2 ؛بی کا، بی تا، خریداری از حوزه علمیه عصر کرمان [رایانه]</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تهران؛ ملک؛ شماره نسخه: 2410</w:t>
      </w:r>
    </w:p>
    <w:p>
      <w:pPr>
        <w:pStyle w:val="BookText"/>
      </w:pPr>
      <w:r>
        <w:rPr>
          <w:rFonts w:ascii="IRNazanin" w:hAnsi="IRNazanin" w:eastAsia="IRNazanin" w:cs="IRNazanin"/>
          <w:lang w:bidi="fa-IR"/>
          <w:color w:val="111111"/>
          <w:sz w:val="28"/>
          <w:szCs w:val="28"/>
          <w:rtl/>
        </w:rPr>
        <w:t xml:space="preserve">خط: نسخ، کا: عصام الدين بن مصطفی آرمانی، بی تا؛ در 1280 مقابله شده مجدول به طلا تملک: فرهاد میرزا در 1285؛ کاغذ: متن سفید و حاشیه فرنگی سرخ، جلد: رویه کاغذ ساغری طلاکوب ،402گ، 27 سطر ، اندازه: 14/5</w:t>
      </w:r>
      <w:r>
        <w:rPr>
          <w:rFonts w:ascii="Times New Roman" w:hAnsi="Times New Roman" w:eastAsia="Times New Roman" w:cs="Times New Roman"/>
          <w:lang w:val="en-US" w:bidi="en-US"/>
          <w:color w:val="111111"/>
          <w:sz w:val="28"/>
          <w:szCs w:val="28"/>
          <w:rtl/>
        </w:rPr>
        <w:t xml:space="preserve">×24/1</w:t>
      </w:r>
      <w:r>
        <w:rPr>
          <w:rFonts w:ascii="IRNazanin" w:hAnsi="IRNazanin" w:eastAsia="IRNazanin" w:cs="IRNazanin"/>
          <w:lang w:bidi="fa-IR"/>
          <w:color w:val="111111"/>
          <w:sz w:val="28"/>
          <w:szCs w:val="28"/>
          <w:rtl/>
        </w:rPr>
        <w:t xml:space="preserve">سم [ف: 2 - 21]</w:t>
      </w:r>
    </w:p>
    <w:p>
      <w:pPr>
        <w:pStyle w:val="Heading3"/>
      </w:pPr>
      <w:bookmarkStart w:id="593" w:name="_Toc115"/>
      <w:r>
        <w:t>ارشاد العوام / شعر / فارسی</w:t>
      </w:r>
      <w:bookmarkEnd w:id="593"/>
    </w:p>
    <w:p>
      <w:pPr>
        <w:pStyle w:val="BookText"/>
      </w:pPr>
      <w:r>
        <w:rPr>
          <w:rFonts w:ascii="Times New Roman" w:hAnsi="Times New Roman" w:eastAsia="Times New Roman" w:cs="Times New Roman"/>
          <w:lang w:val="en-US" w:bidi="en-US"/>
          <w:color w:val="111111"/>
          <w:sz w:val="28"/>
          <w:szCs w:val="28"/>
          <w:rtl/>
        </w:rPr>
        <w:t xml:space="preserve">eršād-ol-'avām</w:t>
      </w:r>
    </w:p>
    <w:p>
      <w:pPr>
        <w:pStyle w:val="BookText"/>
      </w:pPr>
      <w:r>
        <w:rPr>
          <w:rFonts w:ascii="IRNazanin" w:hAnsi="IRNazanin" w:eastAsia="IRNazanin" w:cs="IRNazanin"/>
          <w:lang w:bidi="fa-IR"/>
          <w:color w:val="111111"/>
          <w:sz w:val="28"/>
          <w:szCs w:val="28"/>
          <w:rtl/>
        </w:rPr>
        <w:t xml:space="preserve">عبد الواحد</w:t>
      </w:r>
    </w:p>
    <w:p>
      <w:pPr>
        <w:pStyle w:val="BookText"/>
      </w:pPr>
      <w:r>
        <w:rPr>
          <w:rFonts w:ascii="Times New Roman" w:hAnsi="Times New Roman" w:eastAsia="Times New Roman" w:cs="Times New Roman"/>
          <w:lang w:val="en-US" w:bidi="en-US"/>
          <w:color w:val="111111"/>
          <w:sz w:val="28"/>
          <w:szCs w:val="28"/>
          <w:rtl/>
        </w:rPr>
        <w:t xml:space="preserve">'abd-ol-vähed</w:t>
      </w:r>
    </w:p>
    <w:p>
      <w:pPr>
        <w:pStyle w:val="BookText"/>
      </w:pPr>
      <w:r>
        <w:rPr>
          <w:rFonts w:ascii="IRNazanin" w:hAnsi="IRNazanin" w:eastAsia="IRNazanin" w:cs="IRNazanin"/>
          <w:lang w:bidi="fa-IR"/>
          <w:color w:val="111111"/>
          <w:sz w:val="28"/>
          <w:szCs w:val="28"/>
          <w:rtl/>
        </w:rPr>
        <w:t xml:space="preserve">منظومه ای است در اصول و فروع دین و اخلاق حدود هتشصد بیت به روش شیعی امامی که از تفاسیر و احادیث پیامبر و ائمه (علیه السّلام) استفاده کرده است.</w:t>
      </w:r>
    </w:p>
    <w:p>
      <w:pPr>
        <w:pStyle w:val="BookText"/>
      </w:pPr>
      <w:r>
        <w:rPr>
          <w:rFonts w:ascii="IRNazanin" w:hAnsi="IRNazanin" w:eastAsia="IRNazanin" w:cs="IRNazanin"/>
          <w:lang w:bidi="fa-IR"/>
          <w:color w:val="111111"/>
          <w:sz w:val="28"/>
          <w:szCs w:val="28"/>
          <w:rtl/>
        </w:rPr>
        <w:t xml:space="preserve">آغاز: سپاس و شکر بی حد و کرانه*** بود لایق به معبود یگانه / درود بیشمار از حی داور *** محمد را سزد با آل اطهر / ز عبدالواحد اینک یادگار است*** که ارشاد العوام روزگار است/ اگر چه بنده خود نیز از عوامم *** که معلوم است از نظم</w:t>
      </w:r>
    </w:p>
    <w:p>
      <w:pPr>
        <w:pStyle w:val="BookText"/>
      </w:pPr>
      <w:r>
        <w:rPr>
          <w:rFonts w:ascii="IRNazanin" w:hAnsi="IRNazanin" w:eastAsia="IRNazanin" w:cs="IRNazanin"/>
          <w:lang w:bidi="fa-IR"/>
          <w:color w:val="111111"/>
          <w:sz w:val="28"/>
          <w:szCs w:val="28"/>
          <w:rtl/>
        </w:rPr>
        <w:t xml:space="preserve">کلامم / باقناع دلیل از وجه اخصر*** نمودم بهر ایشان این محرر</w:t>
      </w:r>
    </w:p>
    <w:p>
      <w:pPr>
        <w:pStyle w:val="BookText"/>
      </w:pPr>
      <w:r>
        <w:rPr>
          <w:rFonts w:ascii="IRNazanin" w:hAnsi="IRNazanin" w:eastAsia="IRNazanin" w:cs="IRNazanin"/>
          <w:lang w:bidi="fa-IR"/>
          <w:color w:val="111111"/>
          <w:sz w:val="28"/>
          <w:szCs w:val="28"/>
          <w:rtl/>
        </w:rPr>
        <w:t xml:space="preserve">انجام: به امر دین خود کن عمر را صرف *** بغیر دین مگو اصلا یکی حرف / کنون هر کس بود بیدار و آگاه *** بگفتم واضحش این راه و این چاه</w:t>
      </w:r>
    </w:p>
    <w:p>
      <w:pPr>
        <w:pStyle w:val="BookText"/>
      </w:pPr>
      <w:r>
        <w:rPr>
          <w:rFonts w:ascii="IRNazanin" w:hAnsi="IRNazanin" w:eastAsia="IRNazanin" w:cs="IRNazanin"/>
          <w:lang w:bidi="fa-IR"/>
          <w:color w:val="111111"/>
          <w:sz w:val="28"/>
          <w:szCs w:val="28"/>
          <w:rtl/>
        </w:rPr>
        <w:t xml:space="preserve">چاپ: دار السلطنه ،تبریز، 1319 ،جیبی 72 ص (صص 1-72)  سنگی، ایران ،سنگی 1312، جیبی، 75 ص (صص 1-75)</w:t>
      </w:r>
    </w:p>
    <w:p>
      <w:pPr>
        <w:pStyle w:val="BookText"/>
      </w:pPr>
      <w:r>
        <w:rPr>
          <w:rFonts w:ascii="IRNazanin" w:hAnsi="IRNazanin" w:eastAsia="IRNazanin" w:cs="IRNazanin"/>
          <w:lang w:bidi="fa-IR"/>
          <w:color w:val="111111"/>
          <w:sz w:val="28"/>
          <w:szCs w:val="28"/>
          <w:rtl/>
        </w:rPr>
        <w:t xml:space="preserve">[الذريعة 515/1؛ نسخههای منزوی 874/2؛ فهرستواره منزوی 131/10 )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مسجد اعظم؛ شماره نسخه: 2567/2</w:t>
      </w:r>
    </w:p>
    <w:p>
      <w:pPr>
        <w:pStyle w:val="BookText"/>
      </w:pPr>
      <w:r>
        <w:rPr>
          <w:rFonts w:ascii="IRNazanin" w:hAnsi="IRNazanin" w:eastAsia="IRNazanin" w:cs="IRNazanin"/>
          <w:lang w:bidi="fa-IR"/>
          <w:color w:val="111111"/>
          <w:sz w:val="28"/>
          <w:szCs w:val="28"/>
          <w:rtl/>
        </w:rPr>
        <w:t xml:space="preserve">آغاز: برابر؛ انجام: اگر مظلوم ظالم را نبخشد *** چگونه کردگار او را ببخشد / هر آنکس کرد ظالم را اعانت*** تو گویی کرد مظلومان اهانت</w:t>
      </w:r>
    </w:p>
    <w:p>
      <w:pPr>
        <w:pStyle w:val="BookText"/>
      </w:pPr>
      <w:r>
        <w:rPr>
          <w:rFonts w:ascii="IRNazanin" w:hAnsi="IRNazanin" w:eastAsia="IRNazanin" w:cs="IRNazanin"/>
          <w:lang w:bidi="fa-IR"/>
          <w:color w:val="111111"/>
          <w:sz w:val="28"/>
          <w:szCs w:val="28"/>
          <w:rtl/>
        </w:rPr>
        <w:t xml:space="preserve">خط: نسخ، بی کا، تا: قرن 13؛ افتادگی: انجام؛ پیش از آن فوائد و مطالب بی سروته فقهی و ادبی آمده است و تاریخ 1199ق در پایان یکی از صفحات است؛ 35گ 13 سطر ، اندازه: 11</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مخ: 1 - 132]</w:t>
      </w:r>
    </w:p>
    <w:p>
      <w:pPr>
        <w:pStyle w:val="BookText"/>
      </w:pPr>
      <w:r>
        <w:rPr>
          <w:rFonts w:ascii="IRNazanin" w:hAnsi="IRNazanin" w:eastAsia="IRNazanin" w:cs="IRNazanin"/>
          <w:lang w:bidi="fa-IR"/>
          <w:color w:val="111111"/>
          <w:sz w:val="28"/>
          <w:szCs w:val="28"/>
          <w:rtl/>
        </w:rPr>
        <w:t xml:space="preserve">2 . مشهد؛ رضوی؛ شماره نسخه: 28752</w:t>
      </w:r>
    </w:p>
    <w:p>
      <w:pPr>
        <w:pStyle w:val="BookText"/>
      </w:pPr>
      <w:r>
        <w:rPr>
          <w:rFonts w:ascii="IRNazanin" w:hAnsi="IRNazanin" w:eastAsia="IRNazanin" w:cs="IRNazanin"/>
          <w:lang w:bidi="fa-IR"/>
          <w:color w:val="111111"/>
          <w:sz w:val="28"/>
          <w:szCs w:val="28"/>
          <w:rtl/>
        </w:rPr>
        <w:t xml:space="preserve">آغاز و انجام:برابر</w:t>
      </w:r>
    </w:p>
    <w:p>
      <w:pPr>
        <w:pStyle w:val="BookText"/>
      </w:pPr>
      <w:r>
        <w:rPr>
          <w:rFonts w:ascii="IRNazanin" w:hAnsi="IRNazanin" w:eastAsia="IRNazanin" w:cs="IRNazanin"/>
          <w:lang w:bidi="fa-IR"/>
          <w:color w:val="111111"/>
          <w:sz w:val="28"/>
          <w:szCs w:val="28"/>
          <w:rtl/>
        </w:rPr>
        <w:t xml:space="preserve">خط: نسخ و نستعلیق، بی کا، تا: قرن 13 [رایانه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قم؛ گلپایگانی؛ شماره نسخه: 6030/2-30/100</w:t>
      </w:r>
    </w:p>
    <w:p>
      <w:pPr>
        <w:pStyle w:val="BookText"/>
      </w:pPr>
      <w:r>
        <w:rPr>
          <w:rFonts w:ascii="IRNazanin" w:hAnsi="IRNazanin" w:eastAsia="IRNazanin" w:cs="IRNazanin"/>
          <w:lang w:bidi="fa-IR"/>
          <w:color w:val="111111"/>
          <w:sz w:val="28"/>
          <w:szCs w:val="28"/>
          <w:rtl/>
        </w:rPr>
        <w:t xml:space="preserve">آغاز: نه در قید اصول و نه فروعند*** که نتوان یافت ایشان چه گروهند... در بیان معرفت حق سبحانه و تعالی است خدای انس و جان در نص قرآن*** بیان فرموده آیت بهر ایشان؛ انجام: در خاتمه کتاب... که آنچه اندر این منظومه گفتم *** یکی را پیش خود اصلا نگفتم / تمامی هست از تفسیر قرآن *** دگر قول نبیی و هم امامان</w:t>
      </w:r>
    </w:p>
    <w:p>
      <w:pPr>
        <w:pStyle w:val="BookText"/>
      </w:pPr>
      <w:r>
        <w:rPr>
          <w:rFonts w:ascii="IRNazanin" w:hAnsi="IRNazanin" w:eastAsia="IRNazanin" w:cs="IRNazanin"/>
          <w:lang w:bidi="fa-IR"/>
          <w:color w:val="111111"/>
          <w:sz w:val="28"/>
          <w:szCs w:val="28"/>
          <w:rtl/>
        </w:rPr>
        <w:t xml:space="preserve">خط: نستعلیق، بی کا، تا: قرن 13؛ افتادگی: آغاز (یک برگ) انجام؛ جلد: مقوایی عطف گالینگور قهوه ای، 12گ، 18 سطر ، اندازه: 14</w:t>
      </w:r>
      <w:r>
        <w:rPr>
          <w:rFonts w:ascii="Times New Roman" w:hAnsi="Times New Roman" w:eastAsia="Times New Roman" w:cs="Times New Roman"/>
          <w:lang w:val="en-US" w:bidi="en-US"/>
          <w:color w:val="111111"/>
          <w:sz w:val="28"/>
          <w:szCs w:val="28"/>
          <w:rtl/>
        </w:rPr>
        <w:t xml:space="preserve">× 21</w:t>
      </w:r>
      <w:r>
        <w:rPr>
          <w:rFonts w:ascii="IRNazanin" w:hAnsi="IRNazanin" w:eastAsia="IRNazanin" w:cs="IRNazanin"/>
          <w:lang w:bidi="fa-IR"/>
          <w:color w:val="111111"/>
          <w:sz w:val="28"/>
          <w:szCs w:val="28"/>
          <w:rtl/>
        </w:rPr>
        <w:t xml:space="preserve">سم [ف: 1 - 311]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37" w:name="pg20365_260042"/>
    <w:bookmarkEnd w:id="37"/>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تهران؛ ملی؛ شماره نسخه: 6301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و نستعلیق، بی کا، تا: 1248ق( تاریخ کتابت با عنایت به  تاریخ یادگاری صفحه ظهریه نوشته شده مضاف بر اینکه به قرینه کاغذو مرکب می توان نسخه را به اواخر قرن 12ق یا اوایل قرن 13ق، متعلق دانست)؛ محشی، به نظر می آید این نسخه و نسخه شماره 6299ف بخشهای مختلف یک مجموعه هستند که به نیت کسب سود بیشتر از هم تفکیک و به صورت مستقل فروخته شده اند، یادگاری از مرتضی بن محمد مورخ 1248ق و عبد العیظیم در ظهر و مناجات نامه از همان عبدالعظیم در پایان ،نسخه شاید بعد از گ 10 و 26 و 29 افتادگی و یا جابجایی صفحات؛ خرید  در تاریخ از خانم خامنوی؛ کاغذ: فرنگی ،نخودی جلد: مقوایی روکش کاغذ روغنی طرح ابره سرمه ای عطف و گوشه ها پارچه ،خردلی ،34 گ،15 سطر ،(9/5</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 اندازه: 13/8</w:t>
      </w:r>
      <w:r>
        <w:rPr>
          <w:rFonts w:ascii="Times New Roman" w:hAnsi="Times New Roman" w:eastAsia="Times New Roman" w:cs="Times New Roman"/>
          <w:lang w:val="en-US" w:bidi="en-US"/>
          <w:color w:val="111111"/>
          <w:sz w:val="28"/>
          <w:szCs w:val="28"/>
          <w:rtl/>
        </w:rPr>
        <w:t xml:space="preserve">×19/8 [</w:t>
      </w:r>
      <w:r>
        <w:rPr>
          <w:rFonts w:ascii="IRNazanin" w:hAnsi="IRNazanin" w:eastAsia="IRNazanin" w:cs="IRNazanin"/>
          <w:lang w:bidi="fa-IR"/>
          <w:color w:val="111111"/>
          <w:sz w:val="28"/>
          <w:szCs w:val="28"/>
          <w:rtl/>
        </w:rPr>
        <w:t xml:space="preserve">رایانه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قم؛ مرکز احیاء؛ شماره نسخه: 654 و عکسی 2745</w:t>
      </w:r>
    </w:p>
    <w:p>
      <w:pPr>
        <w:pStyle w:val="BookText"/>
      </w:pPr>
      <w:r>
        <w:rPr>
          <w:rFonts w:ascii="IRNazanin" w:hAnsi="IRNazanin" w:eastAsia="IRNazanin" w:cs="IRNazanin"/>
          <w:lang w:bidi="fa-IR"/>
          <w:color w:val="111111"/>
          <w:sz w:val="28"/>
          <w:szCs w:val="28"/>
          <w:rtl/>
        </w:rPr>
        <w:t xml:space="preserve">خط: نستعلیق، بی کا، تا :چهارشنبه 7 ربیع الثانی 1254ق؛؛ افتادگی: انجام؛ در آغاز نسخه ترجیع بندی در عروسی فاطمه زهرابا حضرت امیر المومنين (علیه السّلام) و مثنوى تكلم عیسی با جمجمه ای سلیمی تونی آمده؛ تملک: سید مصلح الدین مهدوى موسوی اصفهانی به تاریخ 1311 با مهر «مصلح الدين بن شهاب الدین الموسوى» (بیضی)؛ جلد: مقوایی عطف ،پارچه 36گ، 13 سطر ،اندازه: 11</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[ف: 2 - 317] و [عکسی ف: 7 - 342]</w:t>
      </w:r>
    </w:p>
    <w:p>
      <w:pPr>
        <w:pStyle w:val="BookText"/>
      </w:pPr>
      <w:r>
        <w:rPr>
          <w:rFonts w:ascii="IRNazanin" w:hAnsi="IRNazanin" w:eastAsia="IRNazanin" w:cs="IRNazanin"/>
          <w:lang w:bidi="fa-IR"/>
          <w:color w:val="111111"/>
          <w:sz w:val="28"/>
          <w:szCs w:val="28"/>
          <w:rtl/>
        </w:rPr>
        <w:t xml:space="preserve">6 . قم؛ مرکز احیاء؛ شماره نسخه : 2456/1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ربیع الاول 1257ق؛ جلد: تيماج قهوه ای بدون مقوا، 40 گ (1پ -41پ)، 12 سطر ، اندازه: 16/5</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 [محدث ارموی مخ 1 - 112]</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قم؛ مرکز احیاء؛ شماره نسخه: 91 و عکسی 2561</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بی کا، تا: 20 محرم 1286ق؛ جلد: تیماج قهوه ا ی44گ ، 10 سطر ، اندازه: 11</w:t>
      </w:r>
      <w:r>
        <w:rPr>
          <w:rFonts w:ascii="Times New Roman" w:hAnsi="Times New Roman" w:eastAsia="Times New Roman" w:cs="Times New Roman"/>
          <w:lang w:val="en-US" w:bidi="en-US"/>
          <w:color w:val="111111"/>
          <w:sz w:val="28"/>
          <w:szCs w:val="28"/>
          <w:rtl/>
        </w:rPr>
        <w:t xml:space="preserve">×17/5</w:t>
      </w:r>
      <w:r>
        <w:rPr>
          <w:rFonts w:ascii="IRNazanin" w:hAnsi="IRNazanin" w:eastAsia="IRNazanin" w:cs="IRNazanin"/>
          <w:lang w:bidi="fa-IR"/>
          <w:color w:val="111111"/>
          <w:sz w:val="28"/>
          <w:szCs w:val="28"/>
          <w:rtl/>
        </w:rPr>
        <w:t xml:space="preserve">سم [ف: 1 - 128] و [عکسی ف: 7- 156]</w:t>
      </w:r>
    </w:p>
    <w:p>
      <w:pPr>
        <w:pStyle w:val="BookText"/>
      </w:pPr>
      <w:r>
        <w:rPr>
          <w:rFonts w:ascii="IRNazanin" w:hAnsi="IRNazanin" w:eastAsia="IRNazanin" w:cs="IRNazanin"/>
          <w:lang w:bidi="fa-IR"/>
          <w:color w:val="111111"/>
          <w:sz w:val="28"/>
          <w:szCs w:val="28"/>
          <w:rtl/>
        </w:rPr>
        <w:t xml:space="preserve">8.تهران؛ دانشگاه؛ شماره نسخه: 4773/1</w:t>
      </w:r>
    </w:p>
    <w:p>
      <w:pPr>
        <w:pStyle w:val="BookText"/>
      </w:pPr>
      <w:r>
        <w:rPr>
          <w:rFonts w:ascii="IRNazanin" w:hAnsi="IRNazanin" w:eastAsia="IRNazanin" w:cs="IRNazanin"/>
          <w:lang w:bidi="fa-IR"/>
          <w:color w:val="111111"/>
          <w:sz w:val="28"/>
          <w:szCs w:val="28"/>
          <w:rtl/>
        </w:rPr>
        <w:t xml:space="preserve">آغاز: برابر؛ انجام: در انابه گوید: الهی گرچه جمله نادرستیم *** بفعل و طاعتت بسیار سستیم</w:t>
      </w:r>
    </w:p>
    <w:p>
      <w:pPr>
        <w:pStyle w:val="BookText"/>
      </w:pPr>
      <w:r>
        <w:rPr>
          <w:rFonts w:ascii="IRNazanin" w:hAnsi="IRNazanin" w:eastAsia="IRNazanin" w:cs="IRNazanin"/>
          <w:lang w:bidi="fa-IR"/>
          <w:color w:val="111111"/>
          <w:sz w:val="28"/>
          <w:szCs w:val="28"/>
          <w:rtl/>
        </w:rPr>
        <w:t xml:space="preserve">خط: نستعلیق، بی کا، بی تا؛ افتادگی: انجام؛ کاغذ: فرنگی، 36 گ،14 سطر (8</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 اندازه: 11</w:t>
      </w:r>
      <w:r>
        <w:rPr>
          <w:rFonts w:ascii="Times New Roman" w:hAnsi="Times New Roman" w:eastAsia="Times New Roman" w:cs="Times New Roman"/>
          <w:lang w:val="en-US" w:bidi="en-US"/>
          <w:color w:val="111111"/>
          <w:sz w:val="28"/>
          <w:szCs w:val="28"/>
          <w:rtl/>
        </w:rPr>
        <w:t xml:space="preserve">× 17</w:t>
      </w:r>
      <w:r>
        <w:rPr>
          <w:rFonts w:ascii="IRNazanin" w:hAnsi="IRNazanin" w:eastAsia="IRNazanin" w:cs="IRNazanin"/>
          <w:lang w:bidi="fa-IR"/>
          <w:color w:val="111111"/>
          <w:sz w:val="28"/>
          <w:szCs w:val="28"/>
          <w:rtl/>
        </w:rPr>
        <w:t xml:space="preserve">سم [ف: 14 - 3817]</w:t>
      </w:r>
    </w:p>
    <w:p>
      <w:pPr>
        <w:pStyle w:val="BookText"/>
      </w:pPr>
      <w:r>
        <w:rPr>
          <w:rFonts w:ascii="IRNazanin" w:hAnsi="IRNazanin" w:eastAsia="IRNazanin" w:cs="IRNazanin"/>
          <w:lang w:bidi="fa-IR"/>
          <w:color w:val="111111"/>
          <w:sz w:val="28"/>
          <w:szCs w:val="28"/>
          <w:rtl/>
        </w:rPr>
        <w:t xml:space="preserve">9.رشت؛ جمعیت نشر فرهنگ؛ شماره نسخه: 49الف</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بی کا، بی تا :جلد: ،چرمی 14 سطر ،(6</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اندازه :17</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ف: 1235]</w:t>
      </w:r>
    </w:p>
    <w:p>
      <w:pPr>
        <w:pStyle w:val="BookText"/>
      </w:pPr>
      <w:r>
        <w:rPr>
          <w:rFonts w:ascii="IRNazanin" w:hAnsi="IRNazanin" w:eastAsia="IRNazanin" w:cs="IRNazanin"/>
          <w:lang w:bidi="fa-IR"/>
          <w:color w:val="111111"/>
          <w:sz w:val="28"/>
          <w:szCs w:val="28"/>
          <w:rtl/>
        </w:rPr>
        <w:t xml:space="preserve">10 . قم؛ مسجد اعظم؛ شماره نسخه: 256/3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بی تا؛ عناوین سیاه؛ جلد: گالینگور سبز، عطف تیماج زرشکی 15گ 22 سطر ، اندازه: 14</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سم [ف مخ: 1 - 131]</w:t>
      </w:r>
    </w:p>
    <w:p>
      <w:pPr>
        <w:pStyle w:val="Heading3"/>
      </w:pPr>
      <w:bookmarkStart w:id="594" w:name="_Toc116"/>
      <w:r>
        <w:t>ارشاد الغافلين / کلام و اعتقادات / عربی</w:t>
      </w:r>
      <w:bookmarkEnd w:id="594"/>
    </w:p>
    <w:p>
      <w:pPr>
        <w:pStyle w:val="BookText"/>
      </w:pPr>
      <w:r>
        <w:rPr>
          <w:rFonts w:ascii="Times New Roman" w:hAnsi="Times New Roman" w:eastAsia="Times New Roman" w:cs="Times New Roman"/>
          <w:lang w:val="en-US" w:bidi="en-US"/>
          <w:color w:val="111111"/>
          <w:sz w:val="28"/>
          <w:szCs w:val="28"/>
          <w:rtl/>
        </w:rPr>
        <w:t xml:space="preserve">iršād-ul-ġāfilīn</w:t>
      </w:r>
    </w:p>
    <w:p>
      <w:pPr>
        <w:pStyle w:val="BookText"/>
      </w:pPr>
      <w:r>
        <w:rPr>
          <w:rFonts w:ascii="IRNazanin" w:hAnsi="IRNazanin" w:eastAsia="IRNazanin" w:cs="IRNazanin"/>
          <w:lang w:bidi="fa-IR"/>
          <w:color w:val="111111"/>
          <w:sz w:val="28"/>
          <w:szCs w:val="28"/>
          <w:rtl/>
        </w:rPr>
        <w:t xml:space="preserve">محمد حسین</w:t>
      </w:r>
    </w:p>
    <w:p>
      <w:pPr>
        <w:pStyle w:val="BookText"/>
      </w:pPr>
      <w:r>
        <w:rPr>
          <w:rFonts w:ascii="Times New Roman" w:hAnsi="Times New Roman" w:eastAsia="Times New Roman" w:cs="Times New Roman"/>
          <w:lang w:val="en-US" w:bidi="en-US"/>
          <w:color w:val="111111"/>
          <w:sz w:val="28"/>
          <w:szCs w:val="28"/>
          <w:rtl/>
        </w:rPr>
        <w:t xml:space="preserve">mohammad hoseyn</w:t>
      </w:r>
    </w:p>
    <w:p>
      <w:pPr>
        <w:pStyle w:val="BookText"/>
      </w:pPr>
      <w:r>
        <w:rPr>
          <w:rFonts w:ascii="IRNazanin" w:hAnsi="IRNazanin" w:eastAsia="IRNazanin" w:cs="IRNazanin"/>
          <w:lang w:bidi="fa-IR"/>
          <w:color w:val="111111"/>
          <w:sz w:val="28"/>
          <w:szCs w:val="28"/>
          <w:rtl/>
        </w:rPr>
        <w:t xml:space="preserve">مؤلف گوید چون تقلید در اصول دین جایز نیست؛ این رساله را در بیان اصول دین با ادله هر یک نگاشته است. در آن از گفتار علامه مجلسی استفاده کرده و سپس خود بدان تفصیل بخشیده و آن را در سه «باب» و «خاتمه تنظیم نموده است.</w:t>
      </w:r>
    </w:p>
    <w:p>
      <w:pPr>
        <w:pStyle w:val="BookText"/>
      </w:pPr>
      <w:r>
        <w:rPr>
          <w:rFonts w:ascii="IRNazanin" w:hAnsi="IRNazanin" w:eastAsia="IRNazanin" w:cs="IRNazanin"/>
          <w:lang w:bidi="fa-IR"/>
          <w:color w:val="111111"/>
          <w:sz w:val="28"/>
          <w:szCs w:val="28"/>
          <w:rtl/>
        </w:rPr>
        <w:t xml:space="preserve">قم؛ مرکز احیاء؛ شماره نسخه: 2835</w:t>
      </w:r>
    </w:p>
    <w:p>
      <w:pPr>
        <w:pStyle w:val="BookText"/>
      </w:pPr>
      <w:r>
        <w:rPr>
          <w:rFonts w:ascii="IRNazanin" w:hAnsi="IRNazanin" w:eastAsia="IRNazanin" w:cs="IRNazanin"/>
          <w:lang w:bidi="fa-IR"/>
          <w:color w:val="111111"/>
          <w:sz w:val="28"/>
          <w:szCs w:val="28"/>
          <w:rtl/>
        </w:rPr>
        <w:t xml:space="preserve">آغاز: الحمد لله الذى جعل خلق عباده دليلاً و منار المعرفة و اعطاهم العقل ليميزوا به بين الباطل و الحق و الهم؛ انجام: که شیعیان از طریق اهل بیت نقل کرده اند از ملاحظه آنها شک نمی ماند بر حقیقت مذهب اثنا عشر و</w:t>
      </w:r>
    </w:p>
    <w:p>
      <w:pPr>
        <w:pStyle w:val="BookText"/>
      </w:pPr>
      <w:r>
        <w:rPr>
          <w:rFonts w:ascii="IRNazanin" w:hAnsi="IRNazanin" w:eastAsia="IRNazanin" w:cs="IRNazanin"/>
          <w:lang w:bidi="fa-IR"/>
          <w:color w:val="111111"/>
          <w:sz w:val="28"/>
          <w:szCs w:val="28"/>
          <w:rtl/>
        </w:rPr>
        <w:t xml:space="preserve">خط: نسخ، بی کا، تا: قرن 12؛ مصحح؛ در چند برگ آخر مطلبی ، درباره علم و یادداشتی منطقی آمده؛ جلد: مقوایی، عطف پارچه ای 123 گ، 17 سطر ، اندازه:133/5</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[محدث ارموی مخ: 1 - 113]</w:t>
      </w:r>
    </w:p>
    <w:p>
      <w:pPr>
        <w:pStyle w:val="Heading3"/>
      </w:pPr>
      <w:bookmarkStart w:id="595" w:name="_Toc117"/>
      <w:r>
        <w:t>ارشاد الغافلین / اخلاق / فارسی</w:t>
      </w:r>
      <w:bookmarkEnd w:id="595"/>
    </w:p>
    <w:p>
      <w:pPr>
        <w:pStyle w:val="BookText"/>
      </w:pPr>
      <w:r>
        <w:rPr>
          <w:rFonts w:ascii="Times New Roman" w:hAnsi="Times New Roman" w:eastAsia="Times New Roman" w:cs="Times New Roman"/>
          <w:lang w:val="en-US" w:bidi="en-US"/>
          <w:color w:val="111111"/>
          <w:sz w:val="28"/>
          <w:szCs w:val="28"/>
          <w:rtl/>
        </w:rPr>
        <w:t xml:space="preserve">eršād-ol-qāfelīn</w:t>
      </w:r>
    </w:p>
    <w:p>
      <w:pPr>
        <w:pStyle w:val="BookText"/>
      </w:pPr>
      <w:r>
        <w:rPr>
          <w:rFonts w:ascii="Amiri" w:hAnsi="Amiri" w:eastAsia="Amiri" w:cs="Amiri"/>
          <w:lang w:bidi="ar-SA"/>
          <w:color w:val="111111"/>
          <w:sz w:val="28"/>
          <w:szCs w:val="28"/>
          <w:rtl/>
        </w:rPr>
        <w:t xml:space="preserve">هبة الله بن محمود</w:t>
      </w:r>
    </w:p>
    <w:p>
      <w:pPr>
        <w:pStyle w:val="BookText"/>
      </w:pPr>
      <w:r>
        <w:rPr>
          <w:rFonts w:ascii="Times New Roman" w:hAnsi="Times New Roman" w:eastAsia="Times New Roman" w:cs="Times New Roman"/>
          <w:lang w:val="en-US" w:bidi="en-US"/>
          <w:color w:val="111111"/>
          <w:sz w:val="28"/>
          <w:szCs w:val="28"/>
          <w:rtl/>
        </w:rPr>
        <w:t xml:space="preserve">hebat-ol-lah ebn-e mahmud</w:t>
      </w:r>
    </w:p>
    <w:p>
      <w:pPr>
        <w:pStyle w:val="BookText"/>
      </w:pPr>
      <w:r>
        <w:rPr>
          <w:rFonts w:ascii="IRNazanin" w:hAnsi="IRNazanin" w:eastAsia="IRNazanin" w:cs="IRNazanin"/>
          <w:lang w:bidi="fa-IR"/>
          <w:color w:val="111111"/>
          <w:sz w:val="28"/>
          <w:szCs w:val="28"/>
          <w:rtl/>
        </w:rPr>
        <w:t xml:space="preserve">مجموعه ای فراهم آمده برای واعظان و اهل منبر و به همان سیاق، شامل آیات کریمه و احادیث اخلاقی در آداب اسلامی و تفسیر و شرح آنها و در پایان هر مجلس اشاره به مصایب اهل بیت علیهم (علیه السّلام) می شود.</w:t>
      </w:r>
    </w:p>
    <w:p>
      <w:pPr>
        <w:pStyle w:val="BookText"/>
      </w:pPr>
      <w:r>
        <w:rPr>
          <w:rFonts w:ascii="IRNazanin" w:hAnsi="IRNazanin" w:eastAsia="IRNazanin" w:cs="IRNazanin"/>
          <w:lang w:bidi="fa-IR"/>
          <w:color w:val="111111"/>
          <w:sz w:val="28"/>
          <w:szCs w:val="28"/>
          <w:rtl/>
        </w:rPr>
        <w:t xml:space="preserve">آغاز: الحمد لله رب العالمين كثيراً كما هو اهله الحمد لله الذي من خشيته ترعد السماء وسكانها. .. و بعد چنین گوید افقر عباد</w:t>
      </w:r>
    </w:p>
    <w:p>
      <w:pPr>
        <w:pStyle w:val="BookText"/>
      </w:pPr>
      <w:r>
        <w:rPr>
          <w:rFonts w:ascii="IRNazanin" w:hAnsi="IRNazanin" w:eastAsia="IRNazanin" w:cs="IRNazanin"/>
          <w:lang w:bidi="fa-IR"/>
          <w:color w:val="111111"/>
          <w:sz w:val="28"/>
          <w:szCs w:val="28"/>
          <w:rtl/>
        </w:rPr>
        <w:t xml:space="preserve">[فهرستواره منزوی (317/6]</w:t>
      </w:r>
    </w:p>
    <w:p>
      <w:pPr>
        <w:pStyle w:val="BookText"/>
      </w:pPr>
      <w:r>
        <w:rPr>
          <w:rFonts w:ascii="IRNazanin" w:hAnsi="IRNazanin" w:eastAsia="IRNazanin" w:cs="IRNazanin"/>
          <w:lang w:bidi="fa-IR"/>
          <w:color w:val="111111"/>
          <w:sz w:val="28"/>
          <w:szCs w:val="28"/>
          <w:rtl/>
        </w:rPr>
        <w:t xml:space="preserve">قم؛ مرعشی؛ شماره نسخه: 9549</w:t>
      </w:r>
    </w:p>
    <w:p>
      <w:pPr>
        <w:pStyle w:val="BookText"/>
      </w:pPr>
      <w:r>
        <w:rPr>
          <w:rFonts w:ascii="IRNazanin" w:hAnsi="IRNazanin" w:eastAsia="IRNazanin" w:cs="IRNazanin"/>
          <w:lang w:bidi="fa-IR"/>
          <w:color w:val="111111"/>
          <w:sz w:val="28"/>
          <w:szCs w:val="28"/>
          <w:rtl/>
        </w:rPr>
        <w:t xml:space="preserve">آغاز: برابر؛ انجام: و از آنجا بقبرستان بقیع برد و دفن کرد.</w:t>
      </w:r>
    </w:p>
    <w:p>
      <w:pPr>
        <w:pStyle w:val="BookText"/>
      </w:pPr>
      <w:r>
        <w:rPr>
          <w:rFonts w:ascii="IRNazanin" w:hAnsi="IRNazanin" w:eastAsia="IRNazanin" w:cs="IRNazanin"/>
          <w:lang w:bidi="fa-IR"/>
          <w:color w:val="111111"/>
          <w:sz w:val="28"/>
          <w:szCs w:val="28"/>
          <w:rtl/>
        </w:rPr>
        <w:t xml:space="preserve">در این نسخه بیست و هفت مجلس آمده است؛ خط: نسخ، بی کا،  بی تا: مصحح؛ جلد: تیماج قهوه ای بدون مقوا، 145گ، مختلف السطر ، اندازه: 18</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سم [ف: 24 - 295]</w:t>
      </w:r>
    </w:p>
    <w:p>
      <w:pPr>
        <w:pStyle w:val="Heading3"/>
      </w:pPr>
      <w:bookmarkStart w:id="596" w:name="_Toc118"/>
      <w:r>
        <w:t>ارشاد الغافلين فى اخبار الائمة الطاهرين / حديث / عربی</w:t>
      </w:r>
      <w:bookmarkEnd w:id="596"/>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38" w:name="pg20365_260043"/>
    <w:bookmarkEnd w:id="38"/>
    <w:p>
      <w:pPr>
        <w:pStyle w:val="BookText"/>
      </w:pPr>
      <w:r>
        <w:rPr>
          <w:rFonts w:ascii="Times New Roman" w:hAnsi="Times New Roman" w:eastAsia="Times New Roman" w:cs="Times New Roman"/>
          <w:lang w:val="en-US" w:bidi="en-US"/>
          <w:color w:val="111111"/>
          <w:sz w:val="28"/>
          <w:szCs w:val="28"/>
          <w:rtl/>
        </w:rPr>
        <w:t xml:space="preserve">iršād-ul ġāfilīn fī axbār-il a’immat-iṭ ṭāhirīn</w:t>
      </w:r>
    </w:p>
    <w:p>
      <w:pPr>
        <w:pStyle w:val="BookText"/>
      </w:pPr>
      <w:r>
        <w:rPr>
          <w:rFonts w:ascii="IRNazanin" w:hAnsi="IRNazanin" w:eastAsia="IRNazanin" w:cs="IRNazanin"/>
          <w:lang w:bidi="fa-IR"/>
          <w:color w:val="111111"/>
          <w:sz w:val="28"/>
          <w:szCs w:val="28"/>
          <w:rtl/>
        </w:rPr>
        <w:t xml:space="preserve">آل سید ،فیاض، محسن بن حسن،</w:t>
      </w:r>
    </w:p>
    <w:p>
      <w:pPr>
        <w:pStyle w:val="BookText"/>
      </w:pPr>
      <w:r>
        <w:rPr>
          <w:rFonts w:ascii="Times New Roman" w:hAnsi="Times New Roman" w:eastAsia="Times New Roman" w:cs="Times New Roman"/>
          <w:lang w:val="en-US" w:bidi="en-US"/>
          <w:color w:val="111111"/>
          <w:sz w:val="28"/>
          <w:szCs w:val="28"/>
          <w:rtl/>
        </w:rPr>
        <w:t xml:space="preserve">āl-e seyyed fayyāz, mohsen ebn-e hasan</w:t>
      </w:r>
    </w:p>
    <w:p>
      <w:pPr>
        <w:pStyle w:val="BookText"/>
      </w:pPr>
      <w:r>
        <w:rPr>
          <w:rFonts w:ascii="IRNazanin" w:hAnsi="IRNazanin" w:eastAsia="IRNazanin" w:cs="IRNazanin"/>
          <w:lang w:bidi="fa-IR"/>
          <w:color w:val="111111"/>
          <w:sz w:val="28"/>
          <w:szCs w:val="28"/>
          <w:rtl/>
        </w:rPr>
        <w:t xml:space="preserve">تاریخ تأليف: 28 جمادی الاول 1370ق</w:t>
      </w:r>
    </w:p>
    <w:p>
      <w:pPr>
        <w:pStyle w:val="BookText"/>
      </w:pPr>
      <w:r>
        <w:rPr>
          <w:rFonts w:ascii="IRNazanin" w:hAnsi="IRNazanin" w:eastAsia="IRNazanin" w:cs="IRNazanin"/>
          <w:lang w:bidi="fa-IR"/>
          <w:color w:val="111111"/>
          <w:sz w:val="28"/>
          <w:szCs w:val="28"/>
          <w:rtl/>
        </w:rPr>
        <w:t xml:space="preserve">روایات پراکنده ای را با اشاره به مصادر و بدون ذكرسند گرد آورده تا در زمره مؤلفین درآید به امید آنکه آنچه ثواب جهت مؤلفین در روایات بدان اشاره شده است را دریابد دارای 39 «فصل»: 1. فى ان النبى و الامام على بن ابى طالب عليها السلام يحضران المحتضر حال احتضاره؛ 2. ضغلة القبر؛3. حساب القبر ؛ 4. نبذة من احوال الروح بعد عذاب القبر ؛ 5. احوال اطفال المسلمين و المشركين ؛ 6. نور فى القيامة الكبرى ونبذ مما . يقع فيها و المدة التي بين النفحتين؛ 7. نور في موقف الناس القيامة و بعض احوالهم؛ 8. نور يكشف عن النار و ما فيها العذاب؛ 9. نور فى الجنة و ما فيها؛ 10. فى ان علياً (علیه السّلام) يحمل لواء الحمد يوم القيامة؛ 11. فضل زيارته (ع ) ؛ 12 اكرام الضيف- .13. ثواب مطعم الطعام؛ 14 .فضيلة القرآن و قرائته؛ 15 .فضل الصلاة على النبي (صلّی اللَّهِ علیه وَ آلِهِ وَ سَلَّمَ ) ؛ 16. بعض فضائل الائمة و ما دل علی شرفهم؛ 17 .بيان فضل العالم و ان النظر اليه عبادة؛ 18. وجوب العلم و العمل به؛ 19. جواب على عن سؤال خبر اليهود و بیانه فضيلة محمد و أمته؛ 20. فضل أهل البيت (علیه السّلام)؛21 نفع بعض الفواكه؛ 22. استحباب التسمية؛ 23 .مما ورد من الاخبار العشریة .24. مما ورد من الاخبار الاحدى عشرية؛ 25 .فضل صلوات الخمس؛ 26. تارك الصلاة .27 .فضائل صلاة الليل؛ 28.الوضوء؛ 29. معرفة المؤمن وعلاماته؛ 30 .حق المؤمن علی المؤمن؛ 31 .عون المؤمن؛ 32. ادخال السرور على المؤمن؛33. تظلم الصديقة فاطمة فى يوم القيامة وكيفية مجيئها الى المحشر؛ 34 .ذكر الشفاعة و الحوض؛ 35. ذكر الجنة و كيفيتها؛ 36. الانفاق على الاهل و العيال و التوسع عليهم؛ 37. فضل الرضا التوكل على الله ؛ 39 فضيلة التوكل.</w:t>
      </w:r>
    </w:p>
    <w:p>
      <w:pPr>
        <w:pStyle w:val="BookText"/>
      </w:pPr>
      <w:r>
        <w:rPr>
          <w:rFonts w:ascii="IRNazanin" w:hAnsi="IRNazanin" w:eastAsia="IRNazanin" w:cs="IRNazanin"/>
          <w:lang w:bidi="fa-IR"/>
          <w:color w:val="111111"/>
          <w:sz w:val="28"/>
          <w:szCs w:val="28"/>
          <w:rtl/>
        </w:rPr>
        <w:t xml:space="preserve">قم؛ مرکز احیاء؛ شماره نسخه: 2732</w:t>
      </w:r>
    </w:p>
    <w:p>
      <w:pPr>
        <w:pStyle w:val="BookText"/>
      </w:pPr>
      <w:r>
        <w:rPr>
          <w:rFonts w:ascii="Amiri" w:hAnsi="Amiri" w:eastAsia="Amiri" w:cs="Amiri"/>
          <w:lang w:bidi="ar-SA"/>
          <w:color w:val="111111"/>
          <w:sz w:val="28"/>
          <w:szCs w:val="28"/>
          <w:rtl/>
        </w:rPr>
        <w:t xml:space="preserve">آغاز: الحمد لله رب العالمين. .. اما بعد فيقول العبد الفقير. لما اطلعت على جملة من أخبار اهل البيت و أحاديثهم</w:t>
      </w:r>
    </w:p>
    <w:p>
      <w:pPr>
        <w:pStyle w:val="BookText"/>
      </w:pPr>
      <w:r>
        <w:rPr>
          <w:rFonts w:ascii="IRNazanin" w:hAnsi="IRNazanin" w:eastAsia="IRNazanin" w:cs="IRNazanin"/>
          <w:lang w:bidi="fa-IR"/>
          <w:color w:val="111111"/>
          <w:sz w:val="28"/>
          <w:szCs w:val="28"/>
          <w:rtl/>
        </w:rPr>
        <w:t xml:space="preserve">نسخه اصل: کتابخانه ای در نجف اشرف؛ خط: نسخ، كاتب ،مؤلف، بی تا؛ مجدول؛ 186 ص [ عکسی ف: 7 - 328]</w:t>
      </w:r>
    </w:p>
    <w:p>
      <w:pPr>
        <w:pStyle w:val="Heading3"/>
      </w:pPr>
      <w:bookmarkStart w:id="597" w:name="_Toc119"/>
      <w:r>
        <w:t>ارشاد الغاوی فی مسالک الحاوى / فقه / عربي</w:t>
      </w:r>
      <w:bookmarkEnd w:id="597"/>
    </w:p>
    <w:p>
      <w:pPr>
        <w:pStyle w:val="BookText"/>
      </w:pPr>
      <w:r>
        <w:rPr>
          <w:rFonts w:ascii="Times New Roman" w:hAnsi="Times New Roman" w:eastAsia="Times New Roman" w:cs="Times New Roman"/>
          <w:lang w:val="en-US" w:bidi="en-US"/>
          <w:color w:val="111111"/>
          <w:sz w:val="28"/>
          <w:szCs w:val="28"/>
          <w:rtl/>
        </w:rPr>
        <w:t xml:space="preserve">iršād-ul-ġāwī fī masālik-il-ḥāwī</w:t>
      </w:r>
    </w:p>
    <w:p>
      <w:pPr>
        <w:pStyle w:val="BookText"/>
      </w:pPr>
      <w:r>
        <w:rPr>
          <w:rFonts w:ascii="IRNazanin" w:hAnsi="IRNazanin" w:eastAsia="IRNazanin" w:cs="IRNazanin"/>
          <w:lang w:bidi="fa-IR"/>
          <w:color w:val="111111"/>
          <w:sz w:val="28"/>
          <w:szCs w:val="28"/>
          <w:rtl/>
        </w:rPr>
        <w:t xml:space="preserve">ابن مقری، اسماعیل بن ابی بکر، 755 - 837 قمری</w:t>
      </w:r>
    </w:p>
    <w:p>
      <w:pPr>
        <w:pStyle w:val="BookText"/>
      </w:pPr>
      <w:r>
        <w:rPr>
          <w:rFonts w:ascii="Times New Roman" w:hAnsi="Times New Roman" w:eastAsia="Times New Roman" w:cs="Times New Roman"/>
          <w:lang w:val="en-US" w:bidi="en-US"/>
          <w:color w:val="111111"/>
          <w:sz w:val="28"/>
          <w:szCs w:val="28"/>
          <w:rtl/>
        </w:rPr>
        <w:t xml:space="preserve">(ebn-e moqrī, esmā‘īl ebn-e abī bakr (1355 - 1434)</w:t>
      </w:r>
    </w:p>
    <w:p>
      <w:pPr>
        <w:pStyle w:val="BookText"/>
      </w:pPr>
      <w:r>
        <w:rPr>
          <w:rFonts w:ascii="IRNazanin" w:hAnsi="IRNazanin" w:eastAsia="IRNazanin" w:cs="IRNazanin"/>
          <w:lang w:bidi="fa-IR"/>
          <w:color w:val="111111"/>
          <w:sz w:val="28"/>
          <w:szCs w:val="28"/>
          <w:rtl/>
        </w:rPr>
        <w:t xml:space="preserve">وابسته به الحاوی قزوینی عبدالغفار بن عبدالكريم (-665)</w:t>
      </w:r>
    </w:p>
    <w:p>
      <w:pPr>
        <w:pStyle w:val="BookText"/>
      </w:pPr>
      <w:r>
        <w:rPr>
          <w:rFonts w:ascii="IRNazanin" w:hAnsi="IRNazanin" w:eastAsia="IRNazanin" w:cs="IRNazanin"/>
          <w:lang w:bidi="fa-IR"/>
          <w:color w:val="111111"/>
          <w:sz w:val="28"/>
          <w:szCs w:val="28"/>
          <w:rtl/>
        </w:rPr>
        <w:t xml:space="preserve">«الحاوی را که کتابی در فقه شافعی است، مختصر نموده با افزودن و تنقیح بسیاری از مطالب آن. این کتاب مختصر بسیار مورد توجه بوده و دارای شروح و حواشی زیادی است.</w:t>
      </w:r>
    </w:p>
    <w:p>
      <w:pPr>
        <w:pStyle w:val="BookText"/>
      </w:pPr>
      <w:r>
        <w:rPr>
          <w:rFonts w:ascii="Amiri" w:hAnsi="Amiri" w:eastAsia="Amiri" w:cs="Amiri"/>
          <w:lang w:bidi="ar-SA"/>
          <w:color w:val="111111"/>
          <w:sz w:val="28"/>
          <w:szCs w:val="28"/>
          <w:rtl/>
        </w:rPr>
        <w:t xml:space="preserve">آغاز: بسمله رب يسر يا كريم الحمد لله الذي لا تحصى مواهبه و لا تنفد عجائبه. لا يختص بزمن دون زمن .. و بعد فهذا  مختصر حوى المذهب نطقا و ضمنا.</w:t>
      </w:r>
    </w:p>
    <w:p>
      <w:pPr>
        <w:pStyle w:val="BookText"/>
      </w:pPr>
      <w:r>
        <w:rPr>
          <w:rFonts w:ascii="IRNazanin" w:hAnsi="IRNazanin" w:eastAsia="IRNazanin" w:cs="IRNazanin"/>
          <w:lang w:bidi="fa-IR"/>
          <w:color w:val="111111"/>
          <w:sz w:val="28"/>
          <w:szCs w:val="28"/>
          <w:rtl/>
        </w:rPr>
        <w:t xml:space="preserve">انجام: لا في نقل ملک و الله سبحانه اعلم و الحمد لله على التمام و على نبيه محمد افضل الصلوة و السلام.</w:t>
      </w:r>
    </w:p>
    <w:p>
      <w:pPr>
        <w:pStyle w:val="BookText"/>
      </w:pPr>
      <w:r>
        <w:rPr>
          <w:rFonts w:ascii="IRNazanin" w:hAnsi="IRNazanin" w:eastAsia="IRNazanin" w:cs="IRNazanin"/>
          <w:lang w:bidi="fa-IR"/>
          <w:color w:val="111111"/>
          <w:sz w:val="28"/>
          <w:szCs w:val="28"/>
          <w:rtl/>
        </w:rPr>
        <w:t xml:space="preserve">چاپ: مصر 152 ص 1320ق.</w:t>
      </w:r>
    </w:p>
    <w:p>
      <w:pPr>
        <w:pStyle w:val="BookText"/>
      </w:pPr>
      <w:r>
        <w:rPr>
          <w:rFonts w:ascii="IRNazanin" w:hAnsi="IRNazanin" w:eastAsia="IRNazanin" w:cs="IRNazanin"/>
          <w:lang w:bidi="fa-IR"/>
          <w:color w:val="111111"/>
          <w:sz w:val="28"/>
          <w:szCs w:val="28"/>
          <w:rtl/>
        </w:rPr>
        <w:t xml:space="preserve">[چلبی 86/1 ؛قاهره 191/3؛ الاوقاف العامة بغداد 582/1]</w:t>
      </w:r>
    </w:p>
    <w:p>
      <w:pPr>
        <w:pStyle w:val="BookText"/>
      </w:pPr>
      <w:r>
        <w:rPr>
          <w:rFonts w:ascii="IRNazanin" w:hAnsi="IRNazanin" w:eastAsia="IRNazanin" w:cs="IRNazanin"/>
          <w:lang w:bidi="fa-IR"/>
          <w:color w:val="111111"/>
          <w:sz w:val="28"/>
          <w:szCs w:val="28"/>
          <w:rtl/>
        </w:rPr>
        <w:t xml:space="preserve">شرح و حواشی :</w:t>
      </w:r>
    </w:p>
    <w:p>
      <w:pPr>
        <w:pStyle w:val="BookText"/>
      </w:pPr>
      <w:r>
        <w:rPr>
          <w:rFonts w:ascii="IRNazanin" w:hAnsi="IRNazanin" w:eastAsia="IRNazanin" w:cs="IRNazanin"/>
          <w:lang w:bidi="fa-IR"/>
          <w:color w:val="111111"/>
          <w:sz w:val="28"/>
          <w:szCs w:val="28"/>
          <w:rtl/>
        </w:rPr>
        <w:t xml:space="preserve">1- - الامداد فى شرح الارشاد؛ ابن حجر عسقلانی، احمد بن علی( 833- 852)</w:t>
      </w:r>
    </w:p>
    <w:p>
      <w:pPr>
        <w:pStyle w:val="BookText"/>
      </w:pPr>
      <w:r>
        <w:rPr>
          <w:rFonts w:ascii="IRNazanin" w:hAnsi="IRNazanin" w:eastAsia="IRNazanin" w:cs="IRNazanin"/>
          <w:lang w:bidi="fa-IR"/>
          <w:color w:val="111111"/>
          <w:sz w:val="28"/>
          <w:szCs w:val="28"/>
          <w:rtl/>
        </w:rPr>
        <w:t xml:space="preserve">2- شرح ارشاد الغاوى فى مسالک الحاوی؛ مقدسی، محمد بن محمد (905-822)</w:t>
      </w:r>
    </w:p>
    <w:p>
      <w:pPr>
        <w:pStyle w:val="BookText"/>
      </w:pPr>
      <w:r>
        <w:rPr>
          <w:rFonts w:ascii="IRNazanin" w:hAnsi="IRNazanin" w:eastAsia="IRNazanin" w:cs="IRNazanin"/>
          <w:lang w:bidi="fa-IR"/>
          <w:color w:val="111111"/>
          <w:sz w:val="28"/>
          <w:szCs w:val="28"/>
          <w:rtl/>
        </w:rPr>
        <w:t xml:space="preserve">3- فتح الجواد بشرح الارشاد = شرح الارشاد؛ ابن حجر هیثمی، احمد بن محمد (909-973)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دانشگاه؛ شماره نسخه: 5100</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از طهارت تا تدبیر و کتابت؛ خط: نسخ، كا: محمد بن عمر بن ابراهیم بن محمد کردی شافعی ،کفر دبینی، تا: پنج شنبه 20 جمادی الثاني 923ق؛ نام «الارشاد» در ص ع آمده است، محشی، در پایان شش صفحه قصیده ای است میمی به عربی؛ تملک: سید محمد طالب بن يوسف رحاوی که از سید حاج محمد افندی زیتونی خریده؛ کاغذ: سپاهانی، جلد: مقوا، 109گ (2پ-106)،11 سطر (10</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قطع: وزیری اندازه: 18</w:t>
      </w:r>
      <w:r>
        <w:rPr>
          <w:rFonts w:ascii="Times New Roman" w:hAnsi="Times New Roman" w:eastAsia="Times New Roman" w:cs="Times New Roman"/>
          <w:lang w:val="en-US" w:bidi="en-US"/>
          <w:color w:val="111111"/>
          <w:sz w:val="28"/>
          <w:szCs w:val="28"/>
          <w:rtl/>
        </w:rPr>
        <w:t xml:space="preserve">×27</w:t>
      </w:r>
      <w:r>
        <w:rPr>
          <w:rFonts w:ascii="IRNazanin" w:hAnsi="IRNazanin" w:eastAsia="IRNazanin" w:cs="IRNazanin"/>
          <w:lang w:bidi="fa-IR"/>
          <w:color w:val="111111"/>
          <w:sz w:val="28"/>
          <w:szCs w:val="28"/>
          <w:rtl/>
        </w:rPr>
        <w:t xml:space="preserve">سم [ف: 15 - 4112]</w:t>
      </w:r>
    </w:p>
    <w:p>
      <w:pPr>
        <w:pStyle w:val="BookText"/>
      </w:pPr>
      <w:r>
        <w:rPr>
          <w:rFonts w:ascii="IRNazanin" w:hAnsi="IRNazanin" w:eastAsia="IRNazanin" w:cs="IRNazanin"/>
          <w:lang w:bidi="fa-IR"/>
          <w:color w:val="111111"/>
          <w:sz w:val="28"/>
          <w:szCs w:val="28"/>
          <w:rtl/>
        </w:rPr>
        <w:t xml:space="preserve">2 .قم؛ مرعشی؛ شماره نسخه: 878</w:t>
      </w:r>
    </w:p>
    <w:p>
      <w:pPr>
        <w:pStyle w:val="BookText"/>
      </w:pPr>
      <w:r>
        <w:rPr>
          <w:rFonts w:ascii="IRNazanin" w:hAnsi="IRNazanin" w:eastAsia="IRNazanin" w:cs="IRNazanin"/>
          <w:lang w:bidi="fa-IR"/>
          <w:color w:val="111111"/>
          <w:sz w:val="28"/>
          <w:szCs w:val="28"/>
          <w:rtl/>
        </w:rPr>
        <w:t xml:space="preserve">آغاز؛ برابر؛ انجام:و ان ادعی ارتهان عبدهما بمائة فصدقه</w:t>
      </w:r>
    </w:p>
    <w:p>
      <w:pPr>
        <w:pStyle w:val="BookText"/>
      </w:pPr>
      <w:r>
        <w:rPr>
          <w:rFonts w:ascii="IRNazanin" w:hAnsi="IRNazanin" w:eastAsia="IRNazanin" w:cs="IRNazanin"/>
          <w:lang w:bidi="fa-IR"/>
          <w:color w:val="111111"/>
          <w:sz w:val="28"/>
          <w:szCs w:val="28"/>
          <w:rtl/>
        </w:rPr>
        <w:t xml:space="preserve">خط: نسخ ،معرب بی کا، بی تا :افتادگی: انجام؛ نسخه قدیمی،مصحح؛ تملک: احمد صفى الدين الكازرونی المدنی؛ وقفنامه کتاب به تاریخ پنجم شعبان 992 ؛31گ، 15 سطر ، اندازه: 13</w:t>
      </w:r>
      <w:r>
        <w:rPr>
          <w:rFonts w:ascii="Times New Roman" w:hAnsi="Times New Roman" w:eastAsia="Times New Roman" w:cs="Times New Roman"/>
          <w:lang w:val="en-US" w:bidi="en-US"/>
          <w:color w:val="111111"/>
          <w:sz w:val="28"/>
          <w:szCs w:val="28"/>
          <w:rtl/>
        </w:rPr>
        <w:t xml:space="preserve">×18/5</w:t>
      </w:r>
      <w:r>
        <w:rPr>
          <w:rFonts w:ascii="IRNazanin" w:hAnsi="IRNazanin" w:eastAsia="IRNazanin" w:cs="IRNazanin"/>
          <w:lang w:bidi="fa-IR"/>
          <w:color w:val="111111"/>
          <w:sz w:val="28"/>
          <w:szCs w:val="28"/>
          <w:rtl/>
        </w:rPr>
        <w:t xml:space="preserve">سم [ف: 3 - 66]</w:t>
      </w:r>
    </w:p>
    <w:p>
      <w:pPr>
        <w:pStyle w:val="Heading3"/>
      </w:pPr>
      <w:bookmarkStart w:id="598" w:name="_Toc120"/>
      <w:r>
        <w:t>الارشاد فى احوال الصاحب الکافی / تراجم / عربی</w:t>
      </w:r>
      <w:bookmarkEnd w:id="598"/>
    </w:p>
    <w:p>
      <w:pPr>
        <w:pStyle w:val="BookText"/>
      </w:pPr>
      <w:r>
        <w:rPr>
          <w:rFonts w:ascii="Times New Roman" w:hAnsi="Times New Roman" w:eastAsia="Times New Roman" w:cs="Times New Roman"/>
          <w:lang w:val="en-US" w:bidi="en-US"/>
          <w:color w:val="111111"/>
          <w:sz w:val="28"/>
          <w:szCs w:val="28"/>
          <w:rtl/>
        </w:rPr>
        <w:t xml:space="preserve">al-iršād fī aḥwāl-iṣ ṣāḥib-il kāfī</w:t>
      </w:r>
    </w:p>
    <w:p>
      <w:pPr>
        <w:pStyle w:val="BookText"/>
      </w:pPr>
      <w:r>
        <w:rPr>
          <w:rFonts w:ascii="IRNazanin" w:hAnsi="IRNazanin" w:eastAsia="IRNazanin" w:cs="IRNazanin"/>
          <w:lang w:bidi="fa-IR"/>
          <w:color w:val="111111"/>
          <w:sz w:val="28"/>
          <w:szCs w:val="28"/>
          <w:rtl/>
        </w:rPr>
        <w:t xml:space="preserve">کوهپائی اصفهانی، احمد بن محمد، – 1259 قمری</w:t>
      </w:r>
    </w:p>
    <w:p>
      <w:pPr>
        <w:pStyle w:val="BookText"/>
      </w:pPr>
      <w:r>
        <w:rPr>
          <w:rFonts w:ascii="Times New Roman" w:hAnsi="Times New Roman" w:eastAsia="Times New Roman" w:cs="Times New Roman"/>
          <w:lang w:val="en-US" w:bidi="en-US"/>
          <w:color w:val="111111"/>
          <w:sz w:val="28"/>
          <w:szCs w:val="28"/>
          <w:rtl/>
        </w:rPr>
        <w:t xml:space="preserve">(kūhpā’ī esfahānī, ahmad ebn-e mohammad ( - 1843)</w:t>
      </w:r>
    </w:p>
    <w:p>
      <w:pPr>
        <w:pStyle w:val="BookText"/>
      </w:pPr>
      <w:r>
        <w:rPr>
          <w:rFonts w:ascii="IRNazanin" w:hAnsi="IRNazanin" w:eastAsia="IRNazanin" w:cs="IRNazanin"/>
          <w:lang w:bidi="fa-IR"/>
          <w:color w:val="111111"/>
          <w:sz w:val="28"/>
          <w:szCs w:val="28"/>
          <w:rtl/>
        </w:rPr>
        <w:t xml:space="preserve">تاریخ تأليف: اول ربیع الاول 1259ق</w:t>
      </w:r>
    </w:p>
    <w:p>
      <w:pPr>
        <w:pStyle w:val="BookText"/>
      </w:pPr>
      <w:r>
        <w:rPr>
          <w:rFonts w:ascii="IRNazanin" w:hAnsi="IRNazanin" w:eastAsia="IRNazanin" w:cs="IRNazanin"/>
          <w:lang w:bidi="fa-IR"/>
          <w:color w:val="111111"/>
          <w:sz w:val="28"/>
          <w:szCs w:val="28"/>
          <w:rtl/>
        </w:rPr>
        <w:t xml:space="preserve">کتابی است در شرح زندگانی و احوال و آثار اسماعیل بن عباد دیلمی طالقانی در چهارده «باب» .1 .مولده و منزله ایام عمره؛ 2. نسبه و شانه؛ 3 .عدد تلاميذه و خليفة عصره؛ 4. احواله و أخلاقه؛ 5. اقواله الحسنة الجملية نظما ونثرا .6 .افعاله الحميدة؛7. كتبه المؤلفة منه و المؤتلفة له؛ 8 .استمساكه بحبل طاعة الائمة الاثنى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عشر ؛ 9. مدائحه؛ 10. نقش خاتمه ؛11. مماته و ما وقع فيه؛12.مدفنه؛ 13. مراثيه 14 . واقعة تخريب بقعته.</w:t>
      </w:r>
    </w:p>
    <w:p>
      <w:pPr>
        <w:pStyle w:val="BookText"/>
      </w:pPr>
      <w:r>
        <w:rPr>
          <w:rFonts w:ascii="Amiri" w:hAnsi="Amiri" w:eastAsia="Amiri" w:cs="Amiri"/>
          <w:lang w:bidi="ar-SA"/>
          <w:color w:val="111111"/>
          <w:sz w:val="28"/>
          <w:szCs w:val="28"/>
          <w:rtl/>
        </w:rPr>
        <w:t xml:space="preserve">آغاز: بسمله الحمد لله الذى جعل العلماء علماً ومناراً لدار القراء الجنة مستقراً للمتقين</w:t>
      </w:r>
    </w:p>
    <w:p>
      <w:pPr>
        <w:pStyle w:val="BookText"/>
      </w:pPr>
      <w:r>
        <w:rPr>
          <w:rFonts w:ascii="IRNazanin" w:hAnsi="IRNazanin" w:eastAsia="IRNazanin" w:cs="IRNazanin"/>
          <w:lang w:bidi="fa-IR"/>
          <w:color w:val="111111"/>
          <w:sz w:val="28"/>
          <w:szCs w:val="28"/>
          <w:rtl/>
        </w:rPr>
        <w:t xml:space="preserve">انجام: و هذا من اكمل الفوائد و اجل العوائد جعل الله فان اقوالنا وعائدة افعالنا الهداية و الرشاد .. انشدك بالله بدعاء ظهر الغيب فانه يستجاب فى حق الاخوان و لاتنس نصيبى لا ينسی فانک یابن آدم كما تدين تدان تم الارشاد و هو روف بالعباد</w:t>
      </w:r>
    </w:p>
    <w:p>
      <w:pPr>
        <w:pStyle w:val="BookText"/>
      </w:pPr>
      <w:r>
        <w:rPr>
          <w:rFonts w:ascii="IRNazanin" w:hAnsi="IRNazanin" w:eastAsia="IRNazanin" w:cs="IRNazanin"/>
          <w:lang w:bidi="fa-IR"/>
          <w:color w:val="111111"/>
          <w:sz w:val="28"/>
          <w:szCs w:val="28"/>
          <w:rtl/>
        </w:rPr>
        <w:t xml:space="preserve">چاپ: به اهتمام آقای سید جلال طهرانی، ضمن تاریخ محاسن اصفهان در تهران</w:t>
      </w:r>
    </w:p>
    <w:p>
      <w:pPr>
        <w:pStyle w:val="BookText"/>
      </w:pPr>
      <w:r>
        <w:rPr>
          <w:rFonts w:ascii="Amiri" w:hAnsi="Amiri" w:eastAsia="Amiri" w:cs="Amiri"/>
          <w:lang w:bidi="ar-SA"/>
          <w:color w:val="111111"/>
          <w:sz w:val="28"/>
          <w:szCs w:val="28"/>
          <w:rtl/>
        </w:rPr>
        <w:t xml:space="preserve">[الذريعة 56/11؛ مشار 41]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چالوس؛ امام صادق؛ شماره نسخه:7عکسی</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نستعليق، كاتب = مؤلف، تا: 1259ق؛ در انتها چند بر برگ حالات سید اسمعیل حمیری و اشعار وی در دفاع از اهل بیت ؛جلد: مقوا، 45گ ، 15 سطر ، اندازه: 10 </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سم [ف: 335]</w:t>
      </w:r>
    </w:p>
    <w:p>
      <w:pPr>
        <w:pStyle w:val="BookText"/>
      </w:pPr>
      <w:r>
        <w:rPr>
          <w:rFonts w:ascii="IRNazanin" w:hAnsi="IRNazanin" w:eastAsia="IRNazanin" w:cs="IRNazanin"/>
          <w:lang w:bidi="fa-IR"/>
          <w:color w:val="111111"/>
          <w:sz w:val="28"/>
          <w:szCs w:val="28"/>
          <w:rtl/>
        </w:rPr>
        <w:t xml:space="preserve">2 . قم؛ مرعشی؛ شماره نسخه: 1685</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کاتب - مولف (شاید) بی تا :جلد: تیماج مشکی بدون مقوا ،38گ 17 سطر ، اندازه: 10/5</w:t>
      </w:r>
      <w:r>
        <w:rPr>
          <w:rFonts w:ascii="Times New Roman" w:hAnsi="Times New Roman" w:eastAsia="Times New Roman" w:cs="Times New Roman"/>
          <w:lang w:val="en-US" w:bidi="en-US"/>
          <w:color w:val="111111"/>
          <w:sz w:val="28"/>
          <w:szCs w:val="28"/>
          <w:rtl/>
        </w:rPr>
        <w:t xml:space="preserve">×16/5</w:t>
      </w:r>
      <w:r>
        <w:rPr>
          <w:rFonts w:ascii="IRNazanin" w:hAnsi="IRNazanin" w:eastAsia="IRNazanin" w:cs="IRNazanin"/>
          <w:lang w:bidi="fa-IR"/>
          <w:color w:val="111111"/>
          <w:sz w:val="28"/>
          <w:szCs w:val="28"/>
          <w:rtl/>
        </w:rPr>
        <w:t xml:space="preserve">سم [ف 5 - 80]</w:t>
      </w:r>
    </w:p>
    <w:p>
      <w:pPr>
        <w:pStyle w:val="BookText"/>
      </w:pPr>
      <w:r>
        <w:rPr>
          <w:rFonts w:ascii="IRNazanin" w:hAnsi="IRNazanin" w:eastAsia="IRNazanin" w:cs="IRNazanin"/>
          <w:lang w:bidi="fa-IR"/>
          <w:color w:val="111111"/>
          <w:sz w:val="28"/>
          <w:szCs w:val="28"/>
          <w:rtl/>
        </w:rPr>
        <w:t xml:space="preserve">3.تهران؛ مجلس؛ شماره نسخه: 557-طباطبائی</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قرن 13 ؛مجدول، کاغذ: ،فرنگی جلد: تیماج قهوه ای با ترنج و نیم ترنج 47 گ، 12 سطر ، اندا زه: 11</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 [ف: 24 - 356]</w:t>
      </w:r>
    </w:p>
    <w:p>
      <w:pPr>
        <w:pStyle w:val="BookText"/>
      </w:pPr>
      <w:r>
        <w:rPr>
          <w:rFonts w:ascii="IRNazanin" w:hAnsi="IRNazanin" w:eastAsia="IRNazanin" w:cs="IRNazanin"/>
          <w:lang w:bidi="fa-IR"/>
          <w:color w:val="111111"/>
          <w:sz w:val="28"/>
          <w:szCs w:val="28"/>
          <w:rtl/>
        </w:rPr>
        <w:t xml:space="preserve">4 . مشهد؛ رضوی؛ شماره نسخه: 19719</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قرن 13 ؛محشی، در پایان یک برگ فهرست کتابهای مؤلف که از آغاز ناقص است و در آن رساله برای او بر شمرده اند بدین ترتیب المفتاح حاشيه( شرح لمعه)، تحف العقول (حاشیه قوانین میرزای قمی) مغانم کثیره (شرح معالم) فهرست کتب اربعه شیعه، الارشاد (كتاب حاضر)</w:t>
      </w:r>
    </w:p>
    <w:p>
      <w:pPr>
        <w:pStyle w:val="BookText"/>
      </w:pPr>
      <w:r>
        <w:rPr>
          <w:rFonts w:ascii="IRNazanin" w:hAnsi="IRNazanin" w:eastAsia="IRNazanin" w:cs="IRNazanin"/>
          <w:lang w:bidi="fa-IR"/>
          <w:color w:val="111111"/>
          <w:sz w:val="28"/>
          <w:szCs w:val="28"/>
          <w:rtl/>
        </w:rPr>
        <w:t xml:space="preserve">رسالة فى احوال السيد الرضى و نفى القول بالتزيد فيه رسالة الرد على السيد اسماعيل الوضاع لبقاع ابناء موسى بن جعفر (علیه السّلام) فی اردستان و نطنز و کاشان و غیر ذلک، رسالة فى ان نسب مؤلا ينتهى الى عبدالله بن الحسن الملقب بالمحض، رسالة فى ان نسب الطباطبائى، ينتهى اليه وليس كل من انتسب اليه بطباطبائى على توهمه بعض آبائی و اعمامی رساله در شرح متن و سند حد الشقى شقى في بطن امه رسالة فى معنى ما يقال: قرع رجل باب نحوى فخرج غلامه فقال اباک ابوک ابویک فقال لالولی؛ تملک: «مصطفی حسینی خوانساری با مهر«مصطفى الحسينى 1342» (بیضی)؛ اهدائی رهبری خرداد 1373؛ کاغذ ،نخودی، جلد: تیماج ،عنابی 73گ، 12 سطر ، اندازه: 11</w:t>
      </w:r>
      <w:r>
        <w:rPr>
          <w:rFonts w:ascii="Times New Roman" w:hAnsi="Times New Roman" w:eastAsia="Times New Roman" w:cs="Times New Roman"/>
          <w:lang w:val="en-US" w:bidi="en-US"/>
          <w:color w:val="111111"/>
          <w:sz w:val="28"/>
          <w:szCs w:val="28"/>
          <w:rtl/>
        </w:rPr>
        <w:t xml:space="preserve">×17/5</w:t>
      </w:r>
      <w:r>
        <w:rPr>
          <w:rFonts w:ascii="IRNazanin" w:hAnsi="IRNazanin" w:eastAsia="IRNazanin" w:cs="IRNazanin"/>
          <w:lang w:bidi="fa-IR"/>
          <w:color w:val="111111"/>
          <w:sz w:val="28"/>
          <w:szCs w:val="28"/>
          <w:rtl/>
        </w:rPr>
        <w:t xml:space="preserve">سم [اهدائی - ف: 8- 141]</w:t>
      </w:r>
    </w:p>
    <w:p>
      <w:pPr>
        <w:pStyle w:val="BookText"/>
      </w:pPr>
      <w:r>
        <w:rPr>
          <w:rFonts w:ascii="IRNazanin" w:hAnsi="IRNazanin" w:eastAsia="IRNazanin" w:cs="IRNazanin"/>
          <w:lang w:bidi="fa-IR"/>
          <w:color w:val="111111"/>
          <w:sz w:val="28"/>
          <w:szCs w:val="28"/>
          <w:rtl/>
        </w:rPr>
        <w:t xml:space="preserve">5.قم؛ مرکز احیاء؛ شماره نسخه: 9308</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کا: محمد علی بن محمد حسن دهنوی سمیرمی، قرن 13؛ رکابه دار؛ جلد: تیماج قهوه ای، 81گ، 12 سطر ، اندازه: 11</w:t>
      </w:r>
      <w:r>
        <w:rPr>
          <w:rFonts w:ascii="Times New Roman" w:hAnsi="Times New Roman" w:eastAsia="Times New Roman" w:cs="Times New Roman"/>
          <w:lang w:val="en-US" w:bidi="en-US"/>
          <w:color w:val="111111"/>
          <w:sz w:val="28"/>
          <w:szCs w:val="28"/>
          <w:rtl/>
        </w:rPr>
        <w:t xml:space="preserve">×17/5</w:t>
      </w:r>
      <w:r>
        <w:rPr>
          <w:rFonts w:ascii="IRNazanin" w:hAnsi="IRNazanin" w:eastAsia="IRNazanin" w:cs="IRNazanin"/>
          <w:lang w:bidi="fa-IR"/>
          <w:color w:val="111111"/>
          <w:sz w:val="28"/>
          <w:szCs w:val="28"/>
          <w:rtl/>
        </w:rPr>
        <w:t xml:space="preserve">سم [ف: 30 - 67]</w:t>
      </w:r>
    </w:p>
    <w:p>
      <w:pPr>
        <w:pStyle w:val="BookText"/>
      </w:pPr>
      <w:r>
        <w:rPr>
          <w:rFonts w:ascii="IRNazanin" w:hAnsi="IRNazanin" w:eastAsia="IRNazanin" w:cs="IRNazanin"/>
          <w:lang w:bidi="fa-IR"/>
          <w:color w:val="111111"/>
          <w:sz w:val="28"/>
          <w:szCs w:val="28"/>
          <w:rtl/>
        </w:rPr>
        <w:t xml:space="preserve">6 . تهران؛ مجلس؛ شماره نسخه: 557 ط</w:t>
      </w:r>
    </w:p>
    <w:p>
      <w:pPr>
        <w:pStyle w:val="BookText"/>
      </w:pPr>
      <w:r>
        <w:rPr>
          <w:rFonts w:ascii="IRNazanin" w:hAnsi="IRNazanin" w:eastAsia="IRNazanin" w:cs="IRNazanin"/>
          <w:lang w:bidi="fa-IR"/>
          <w:color w:val="111111"/>
          <w:sz w:val="28"/>
          <w:szCs w:val="28"/>
          <w:rtl/>
        </w:rPr>
        <w:t xml:space="preserve">خط: نستعلیق، بی کا، تا :قرن 13 [مختصر - ف: 47]</w:t>
      </w:r>
    </w:p>
    <w:p>
      <w:pPr>
        <w:pStyle w:val="BookText"/>
      </w:pPr>
      <w:r>
        <w:rPr>
          <w:rFonts w:ascii="IRNazanin" w:hAnsi="IRNazanin" w:eastAsia="IRNazanin" w:cs="IRNazanin"/>
          <w:lang w:bidi="fa-IR"/>
          <w:color w:val="111111"/>
          <w:sz w:val="28"/>
          <w:szCs w:val="28"/>
          <w:rtl/>
        </w:rPr>
        <w:t xml:space="preserve">7.تهران؛ مجلس شماره نسخه: 7045</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ربيع الاول 1259ق؛ الاول 1259ق؛ مصحح؛ جلد: تیماج سرخ 74گ، 15 سطر ، اندازه: 11 </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 [ف: 25 - 51]</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اصفهان؛ صارم الدوله (کتابخانه فرهنگ (اصفهان)؛ شماره نسخه: 966</w:t>
      </w:r>
    </w:p>
    <w:p>
      <w:pPr>
        <w:pStyle w:val="BookText"/>
      </w:pPr>
      <w:r>
        <w:rPr>
          <w:rFonts w:ascii="IRNazanin" w:hAnsi="IRNazanin" w:eastAsia="IRNazanin" w:cs="IRNazanin"/>
          <w:lang w:bidi="fa-IR"/>
          <w:color w:val="111111"/>
          <w:sz w:val="28"/>
          <w:szCs w:val="28"/>
          <w:rtl/>
        </w:rPr>
        <w:t xml:space="preserve">آغاز و انجام:برابر</w:t>
      </w:r>
    </w:p>
    <w:p>
      <w:pPr>
        <w:pStyle w:val="BookText"/>
      </w:pPr>
      <w:r>
        <w:rPr>
          <w:rFonts w:ascii="IRNazanin" w:hAnsi="IRNazanin" w:eastAsia="IRNazanin" w:cs="IRNazanin"/>
          <w:lang w:bidi="fa-IR"/>
          <w:color w:val="111111"/>
          <w:sz w:val="28"/>
          <w:szCs w:val="28"/>
          <w:rtl/>
        </w:rPr>
        <w:t xml:space="preserve">خط: نسخ، بی کا، تا :1 ربیع الاول 1259ق؛ کاغذ: فرنگی، جلد: ساغری یک لا قرمز 70 ص، 18 سطر (14) ، اندازه: 21</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سم [ف: 93]،</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تهران؛ سپهسالار؛ شماره نسخه: 7223</w:t>
      </w:r>
    </w:p>
    <w:p>
      <w:pPr>
        <w:pStyle w:val="BookText"/>
      </w:pPr>
      <w:r>
        <w:rPr>
          <w:rFonts w:ascii="IRNazanin" w:hAnsi="IRNazanin" w:eastAsia="IRNazanin" w:cs="IRNazanin"/>
          <w:lang w:bidi="fa-IR"/>
          <w:color w:val="111111"/>
          <w:sz w:val="28"/>
          <w:szCs w:val="28"/>
          <w:rtl/>
        </w:rPr>
        <w:t xml:space="preserve">خط: نستعلیق، بی کا ،تا: 1276ق؛ برای یک شاهزاده نوشته شده است، مجدول؛ کاغذ: فرنگی ،سفید، جلد: تیماج سبز ضربی یک ،لا، 42گ، 14 سطر ، اندازه: 12</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3 - 109]</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تهران؛ مجلس؛ شماره نسخه: 603/2</w:t>
      </w:r>
    </w:p>
    <w:p>
      <w:pPr>
        <w:pStyle w:val="BookText"/>
      </w:pPr>
      <w:r>
        <w:rPr>
          <w:rFonts w:ascii="IRNazanin" w:hAnsi="IRNazanin" w:eastAsia="IRNazanin" w:cs="IRNazanin"/>
          <w:lang w:bidi="fa-IR"/>
          <w:color w:val="111111"/>
          <w:sz w:val="28"/>
          <w:szCs w:val="28"/>
          <w:rtl/>
        </w:rPr>
        <w:t xml:space="preserve">بی کا ،تا: 1278ق؛ کاغذ: الوان، قطع: ربعی، اندازه: 11</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[ف: 2 - 360]</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اردکان یزد؛ امام صادق؛ شماره نسخه: 381</w:t>
      </w:r>
    </w:p>
    <w:p>
      <w:pPr>
        <w:pStyle w:val="BookText"/>
      </w:pPr>
      <w:r>
        <w:rPr>
          <w:rFonts w:ascii="IRNazanin" w:hAnsi="IRNazanin" w:eastAsia="IRNazanin" w:cs="IRNazanin"/>
          <w:lang w:bidi="fa-IR"/>
          <w:color w:val="111111"/>
          <w:sz w:val="28"/>
          <w:szCs w:val="28"/>
          <w:rtl/>
        </w:rPr>
        <w:t xml:space="preserve">خط : : نسخ، كا: محمد علی بن ميرزا احمد عقدائی، تا: 1288ق؛ جلد: تیماج قهوه ای ضربی، 91گ، 10 سطر ، اندازه: 11</w:t>
      </w:r>
      <w:r>
        <w:rPr>
          <w:rFonts w:ascii="Times New Roman" w:hAnsi="Times New Roman" w:eastAsia="Times New Roman" w:cs="Times New Roman"/>
          <w:lang w:val="en-US" w:bidi="en-US"/>
          <w:color w:val="111111"/>
          <w:sz w:val="28"/>
          <w:szCs w:val="28"/>
          <w:rtl/>
        </w:rPr>
        <w:t xml:space="preserve">×18/5</w:t>
      </w:r>
      <w:r>
        <w:rPr>
          <w:rFonts w:ascii="IRNazanin" w:hAnsi="IRNazanin" w:eastAsia="IRNazanin" w:cs="IRNazanin"/>
          <w:lang w:bidi="fa-IR"/>
          <w:color w:val="111111"/>
          <w:sz w:val="28"/>
          <w:szCs w:val="28"/>
          <w:rtl/>
        </w:rPr>
        <w:t xml:space="preserve">سم [ف: 2 - 111]</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کاشان؛ مدرسه سلطانی؛ شماره نسخه:266/1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کامل:خط: نستعلیق، بی کا، تا :صفر 1290ق؛ جلد: تیماج سبز با حاشیه قهوه ای، 38گ، 13 سطر [ف]</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تهران؛ ملک؛ شماره نسخه: 6268</w:t>
      </w:r>
    </w:p>
    <w:p>
      <w:pPr>
        <w:pStyle w:val="BookText"/>
      </w:pPr>
      <w:r>
        <w:rPr>
          <w:rFonts w:ascii="IRNazanin" w:hAnsi="IRNazanin" w:eastAsia="IRNazanin" w:cs="IRNazanin"/>
          <w:lang w:bidi="fa-IR"/>
          <w:color w:val="111111"/>
          <w:sz w:val="28"/>
          <w:szCs w:val="28"/>
          <w:rtl/>
        </w:rPr>
        <w:t xml:space="preserve">خط: نسخ، بی کا، تا: 1312ق، جا :غشیب؛ کاغذ: فرنگی، آبی، جلد: رویه مخمل سرخ مغزی میشن ،سیاه، 56 گ، 16 سطر ، اندازه: 14 </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سم [ف: 1 - 27]</w:t>
      </w:r>
    </w:p>
    <w:p>
      <w:pPr>
        <w:pStyle w:val="BookText"/>
      </w:pPr>
      <w:r>
        <w:rPr>
          <w:rFonts w:ascii="IRNazanin" w:hAnsi="IRNazanin" w:eastAsia="IRNazanin" w:cs="IRNazanin"/>
          <w:lang w:bidi="fa-IR"/>
          <w:color w:val="111111"/>
          <w:sz w:val="28"/>
          <w:szCs w:val="28"/>
          <w:rtl/>
        </w:rPr>
        <w:t xml:space="preserve">14 . مشهد؛ رضوی؛ شماره نسخه: 12093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:1312ق، جا غشيب [الفبائی :39]</w:t>
      </w:r>
    </w:p>
    <w:p>
      <w:pPr>
        <w:pStyle w:val="BookText"/>
      </w:pPr>
      <w:r>
        <w:rPr>
          <w:rFonts w:ascii="IRNazanin" w:hAnsi="IRNazanin" w:eastAsia="IRNazanin" w:cs="IRNazanin"/>
          <w:lang w:bidi="fa-IR"/>
          <w:color w:val="111111"/>
          <w:sz w:val="28"/>
          <w:szCs w:val="28"/>
          <w:rtl/>
        </w:rPr>
        <w:t xml:space="preserve">15.تهران؛ مجلس؛ شماره نسخه: 8095</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،عالی بی کا، تا: رجب 1312ق؛ رکابه دار؛ کاغذ: نفیس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39" w:name="pg20365_260045"/>
    <w:bookmarkEnd w:id="39"/>
    <w:p>
      <w:pPr>
        <w:pStyle w:val="BookText"/>
      </w:pPr>
      <w:r>
        <w:rPr>
          <w:rFonts w:ascii="IRNazanin" w:hAnsi="IRNazanin" w:eastAsia="IRNazanin" w:cs="IRNazanin"/>
          <w:lang w:bidi="fa-IR"/>
          <w:color w:val="111111"/>
          <w:sz w:val="28"/>
          <w:szCs w:val="28"/>
          <w:rtl/>
        </w:rPr>
        <w:t xml:space="preserve">آبی پسته ای ، جلد: پارچه ای مخمل سرمه ای با نقش اسلیمی ،ضربی ، 75 گ، 12 سطر ، اندازه: 13/5</w:t>
      </w:r>
      <w:r>
        <w:rPr>
          <w:rFonts w:ascii="Times New Roman" w:hAnsi="Times New Roman" w:eastAsia="Times New Roman" w:cs="Times New Roman"/>
          <w:lang w:val="en-US" w:bidi="en-US"/>
          <w:color w:val="111111"/>
          <w:sz w:val="28"/>
          <w:szCs w:val="28"/>
          <w:rtl/>
        </w:rPr>
        <w:t xml:space="preserve">× 21/5 </w:t>
      </w:r>
      <w:r>
        <w:rPr>
          <w:rFonts w:ascii="IRNazanin" w:hAnsi="IRNazanin" w:eastAsia="IRNazanin" w:cs="IRNazanin"/>
          <w:lang w:bidi="fa-IR"/>
          <w:color w:val="111111"/>
          <w:sz w:val="28"/>
          <w:szCs w:val="28"/>
          <w:rtl/>
        </w:rPr>
        <w:t xml:space="preserve">سم [ف: 27/1 - 4 ]</w:t>
      </w:r>
    </w:p>
    <w:p>
      <w:pPr>
        <w:pStyle w:val="BookText"/>
      </w:pPr>
      <w:r>
        <w:rPr>
          <w:rFonts w:ascii="IRNazanin" w:hAnsi="IRNazanin" w:eastAsia="IRNazanin" w:cs="IRNazanin"/>
          <w:lang w:bidi="fa-IR"/>
          <w:color w:val="111111"/>
          <w:sz w:val="28"/>
          <w:szCs w:val="28"/>
          <w:rtl/>
        </w:rPr>
        <w:t xml:space="preserve">16.قم، مرعشی؛ شماره نسخه: 6059</w:t>
      </w:r>
    </w:p>
    <w:p>
      <w:pPr>
        <w:pStyle w:val="BookText"/>
      </w:pPr>
      <w:r>
        <w:rPr>
          <w:rFonts w:ascii="IRNazanin" w:hAnsi="IRNazanin" w:eastAsia="IRNazanin" w:cs="IRNazanin"/>
          <w:lang w:bidi="fa-IR"/>
          <w:color w:val="111111"/>
          <w:sz w:val="28"/>
          <w:szCs w:val="28"/>
          <w:rtl/>
        </w:rPr>
        <w:t xml:space="preserve">خط: نستعلیق، بی کا، تا: 22 شوال 1331ق؛ جلد: تیماج قرمز ،41گ، 14 سطر ، اندازه: 11</w:t>
      </w:r>
      <w:r>
        <w:rPr>
          <w:rFonts w:ascii="Times New Roman" w:hAnsi="Times New Roman" w:eastAsia="Times New Roman" w:cs="Times New Roman"/>
          <w:lang w:val="en-US" w:bidi="en-US"/>
          <w:color w:val="111111"/>
          <w:sz w:val="28"/>
          <w:szCs w:val="28"/>
          <w:rtl/>
        </w:rPr>
        <w:t xml:space="preserve">×17/5</w:t>
      </w:r>
      <w:r>
        <w:rPr>
          <w:rFonts w:ascii="IRNazanin" w:hAnsi="IRNazanin" w:eastAsia="IRNazanin" w:cs="IRNazanin"/>
          <w:lang w:bidi="fa-IR"/>
          <w:color w:val="111111"/>
          <w:sz w:val="28"/>
          <w:szCs w:val="28"/>
          <w:rtl/>
        </w:rPr>
        <w:t xml:space="preserve">سم [ف: 16 - 61]</w:t>
      </w:r>
    </w:p>
    <w:p>
      <w:pPr>
        <w:pStyle w:val="BookText"/>
      </w:pPr>
      <w:r>
        <w:rPr>
          <w:rFonts w:ascii="IRNazanin" w:hAnsi="IRNazanin" w:eastAsia="IRNazanin" w:cs="IRNazanin"/>
          <w:lang w:bidi="fa-IR"/>
          <w:color w:val="111111"/>
          <w:sz w:val="28"/>
          <w:szCs w:val="28"/>
          <w:rtl/>
        </w:rPr>
        <w:t xml:space="preserve">17 . قم؛ مرعشی؛ شماره نسخه: 5180</w:t>
      </w:r>
    </w:p>
    <w:p>
      <w:pPr>
        <w:pStyle w:val="BookText"/>
      </w:pPr>
      <w:r>
        <w:rPr>
          <w:rFonts w:ascii="IRNazanin" w:hAnsi="IRNazanin" w:eastAsia="IRNazanin" w:cs="IRNazanin"/>
          <w:lang w:bidi="fa-IR"/>
          <w:color w:val="111111"/>
          <w:sz w:val="28"/>
          <w:szCs w:val="28"/>
          <w:rtl/>
        </w:rPr>
        <w:t xml:space="preserve">خط: نستعلیق، کا: محمد تقی بن محمد حسین طباطبائی نائینی، شنبه 28 شعبان 1339ق؛ مصحح؛ جلد: تیماج قرمز بدون مقوا 39گ، 14 سطر ، اندازه: 14</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سم [ف: 13 - 385]</w:t>
      </w:r>
    </w:p>
    <w:p>
      <w:pPr>
        <w:pStyle w:val="BookText"/>
      </w:pPr>
      <w:r>
        <w:rPr>
          <w:rFonts w:ascii="IRNazanin" w:hAnsi="IRNazanin" w:eastAsia="IRNazanin" w:cs="IRNazanin"/>
          <w:lang w:bidi="fa-IR"/>
          <w:color w:val="111111"/>
          <w:sz w:val="28"/>
          <w:szCs w:val="28"/>
          <w:rtl/>
        </w:rPr>
        <w:t xml:space="preserve">18.تهران؛ دانشگاه؛ شماره نسخه:5734</w:t>
      </w:r>
    </w:p>
    <w:p>
      <w:pPr>
        <w:pStyle w:val="BookText"/>
      </w:pPr>
      <w:r>
        <w:rPr>
          <w:rFonts w:ascii="IRNazanin" w:hAnsi="IRNazanin" w:eastAsia="IRNazanin" w:cs="IRNazanin"/>
          <w:lang w:bidi="fa-IR"/>
          <w:color w:val="111111"/>
          <w:sz w:val="28"/>
          <w:szCs w:val="28"/>
          <w:rtl/>
        </w:rPr>
        <w:t xml:space="preserve">خط: نسخ، كا :اعتماد الكتاب نسخى جمال الدين كاتب اصفهان،تا: 10 صفر 1352ق، خرداد 1312ش، جا: تهران، برای آقای نفیسی؛ از روی نسخه سید جلال الدین تهرانی مورخ 1312ق؛ کاغذ: فرنگی ،جلد: گالینگور عطف تیماج مشکی، 53گ، سطر (7</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 قطع: ربعی اندازه: 14</w:t>
      </w:r>
      <w:r>
        <w:rPr>
          <w:rFonts w:ascii="Times New Roman" w:hAnsi="Times New Roman" w:eastAsia="Times New Roman" w:cs="Times New Roman"/>
          <w:lang w:val="en-US" w:bidi="en-US"/>
          <w:color w:val="111111"/>
          <w:sz w:val="28"/>
          <w:szCs w:val="28"/>
          <w:rtl/>
        </w:rPr>
        <w:t xml:space="preserve">× 23</w:t>
      </w:r>
      <w:r>
        <w:rPr>
          <w:rFonts w:ascii="IRNazanin" w:hAnsi="IRNazanin" w:eastAsia="IRNazanin" w:cs="IRNazanin"/>
          <w:lang w:bidi="fa-IR"/>
          <w:color w:val="111111"/>
          <w:sz w:val="28"/>
          <w:szCs w:val="28"/>
          <w:rtl/>
        </w:rPr>
        <w:t xml:space="preserve">سم [ف: 16 - 78]</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تبریز؛ ملی؛ شماره نسخه: 3131</w:t>
      </w:r>
    </w:p>
    <w:p>
      <w:pPr>
        <w:pStyle w:val="BookText"/>
      </w:pPr>
      <w:r>
        <w:rPr>
          <w:rFonts w:ascii="IRNazanin" w:hAnsi="IRNazanin" w:eastAsia="IRNazanin" w:cs="IRNazanin"/>
          <w:lang w:bidi="fa-IR"/>
          <w:color w:val="111111"/>
          <w:sz w:val="28"/>
          <w:szCs w:val="28"/>
          <w:rtl/>
        </w:rPr>
        <w:t xml:space="preserve">آغاز: برابر انجام: فجعت بمنصلت يعرض للقنا *** اعناقها و یحصن الا كفالا / لمن المطايا غير ذات رحائل *** فارقن ذاک السدو و الارقالا</w:t>
      </w:r>
    </w:p>
    <w:p>
      <w:pPr>
        <w:pStyle w:val="BookText"/>
      </w:pPr>
      <w:r>
        <w:rPr>
          <w:rFonts w:ascii="IRNazanin" w:hAnsi="IRNazanin" w:eastAsia="IRNazanin" w:cs="IRNazanin"/>
          <w:lang w:bidi="fa-IR"/>
          <w:color w:val="111111"/>
          <w:sz w:val="28"/>
          <w:szCs w:val="28"/>
          <w:rtl/>
        </w:rPr>
        <w:t xml:space="preserve">خط: نسخ، بی کا، بی تا ،کاغذ: آهار مهره فرنگی، جلد: مقوا 15</w:t>
      </w:r>
      <w:r>
        <w:rPr>
          <w:rFonts w:ascii="Times New Roman" w:hAnsi="Times New Roman" w:eastAsia="Times New Roman" w:cs="Times New Roman"/>
          <w:lang w:val="en-US" w:bidi="en-US"/>
          <w:color w:val="111111"/>
          <w:sz w:val="28"/>
          <w:szCs w:val="28"/>
          <w:rtl/>
        </w:rPr>
        <w:t xml:space="preserve">×5/2</w:t>
      </w:r>
      <w:r>
        <w:rPr>
          <w:rFonts w:ascii="IRNazanin" w:hAnsi="IRNazanin" w:eastAsia="IRNazanin" w:cs="IRNazanin"/>
          <w:lang w:bidi="fa-IR"/>
          <w:color w:val="111111"/>
          <w:sz w:val="28"/>
          <w:szCs w:val="28"/>
          <w:rtl/>
        </w:rPr>
        <w:t xml:space="preserve">، 33گ ، 15 سطر [ف: 2 - 871]</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اصفهان؛ عمومی اصفهان (فرهنگ سابق) شماره نسخه: 11441</w:t>
      </w:r>
    </w:p>
    <w:p>
      <w:pPr>
        <w:pStyle w:val="BookText"/>
      </w:pPr>
      <w:r>
        <w:rPr>
          <w:rFonts w:ascii="IRNazanin" w:hAnsi="IRNazanin" w:eastAsia="IRNazanin" w:cs="IRNazanin"/>
          <w:lang w:bidi="fa-IR"/>
          <w:color w:val="111111"/>
          <w:sz w:val="28"/>
          <w:szCs w:val="28"/>
          <w:rtl/>
        </w:rPr>
        <w:t xml:space="preserve">بی کا، بی تا [نشریه 5 - 315]</w:t>
      </w:r>
    </w:p>
    <w:p>
      <w:pPr>
        <w:pStyle w:val="BookText"/>
      </w:pPr>
      <w:r>
        <w:rPr>
          <w:rFonts w:ascii="IRNazanin" w:hAnsi="IRNazanin" w:eastAsia="IRNazanin" w:cs="IRNazanin"/>
          <w:lang w:bidi="fa-IR"/>
          <w:color w:val="111111"/>
          <w:sz w:val="28"/>
          <w:szCs w:val="28"/>
          <w:rtl/>
        </w:rPr>
        <w:t xml:space="preserve">21.تهران؛ ملی؛ شماره نسخه: 15860</w:t>
      </w:r>
    </w:p>
    <w:p>
      <w:pPr>
        <w:pStyle w:val="BookText"/>
      </w:pPr>
      <w:r>
        <w:rPr>
          <w:rFonts w:ascii="IRNazanin" w:hAnsi="IRNazanin" w:eastAsia="IRNazanin" w:cs="IRNazanin"/>
          <w:lang w:bidi="fa-IR"/>
          <w:color w:val="111111"/>
          <w:sz w:val="28"/>
          <w:szCs w:val="28"/>
          <w:rtl/>
        </w:rPr>
        <w:t xml:space="preserve">آغاز و انجام: برابر؛ انجامه: فدوی خانه زاد خاکسار را که دربار گیتی مدار آسمان وقار هیچ جز سرافکندگی و استحقار نیست... بضاعتی نه سزاوار حضرت آوردم مگر بعین عنایت قبول فرمایی</w:t>
      </w:r>
    </w:p>
    <w:p>
      <w:pPr>
        <w:pStyle w:val="BookText"/>
      </w:pPr>
      <w:r>
        <w:rPr>
          <w:rFonts w:ascii="IRNazanin" w:hAnsi="IRNazanin" w:eastAsia="IRNazanin" w:cs="IRNazanin"/>
          <w:lang w:bidi="fa-IR"/>
          <w:color w:val="111111"/>
          <w:sz w:val="28"/>
          <w:szCs w:val="28"/>
          <w:rtl/>
        </w:rPr>
        <w:t xml:space="preserve">خط: نستعلیق، بی کا، بی تا، با سرلوح، مجدول؛ كاغذ: فرنگی نخودی، جلد: تیماج اناری یک لا مجدول با زنجیره ضرب 45گ، 14 سطر (7/5</w:t>
      </w: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 اندازه 12/30</w:t>
      </w:r>
      <w:r>
        <w:rPr>
          <w:rFonts w:ascii="Times New Roman" w:hAnsi="Times New Roman" w:eastAsia="Times New Roman" w:cs="Times New Roman"/>
          <w:lang w:val="en-US" w:bidi="en-US"/>
          <w:color w:val="111111"/>
          <w:sz w:val="28"/>
          <w:szCs w:val="28"/>
          <w:rtl/>
        </w:rPr>
        <w:t xml:space="preserve">×19/8</w:t>
      </w:r>
      <w:r>
        <w:rPr>
          <w:rFonts w:ascii="IRNazanin" w:hAnsi="IRNazanin" w:eastAsia="IRNazanin" w:cs="IRNazanin"/>
          <w:lang w:bidi="fa-IR"/>
          <w:color w:val="111111"/>
          <w:sz w:val="28"/>
          <w:szCs w:val="28"/>
          <w:rtl/>
        </w:rPr>
        <w:t xml:space="preserve">سم [رایانه]</w:t>
      </w:r>
    </w:p>
    <w:p>
      <w:pPr>
        <w:pStyle w:val="Heading3"/>
      </w:pPr>
      <w:bookmarkStart w:id="599" w:name="_Toc121"/>
      <w:r>
        <w:t>الارشاد فى الانشاء / انشاء / فارسی</w:t>
      </w:r>
      <w:bookmarkEnd w:id="599"/>
    </w:p>
    <w:p>
      <w:pPr>
        <w:pStyle w:val="BookText"/>
      </w:pPr>
      <w:r>
        <w:rPr>
          <w:rFonts w:ascii="Times New Roman" w:hAnsi="Times New Roman" w:eastAsia="Times New Roman" w:cs="Times New Roman"/>
          <w:lang w:val="en-US" w:bidi="en-US"/>
          <w:color w:val="111111"/>
          <w:sz w:val="28"/>
          <w:szCs w:val="28"/>
          <w:rtl/>
        </w:rPr>
        <w:t xml:space="preserve">al-eršād fe-l-enšā’</w:t>
      </w:r>
    </w:p>
    <w:p>
      <w:pPr>
        <w:pStyle w:val="BookText"/>
      </w:pPr>
      <w:r>
        <w:rPr>
          <w:rFonts w:ascii="IRNazanin" w:hAnsi="IRNazanin" w:eastAsia="IRNazanin" w:cs="IRNazanin"/>
          <w:lang w:bidi="fa-IR"/>
          <w:color w:val="111111"/>
          <w:sz w:val="28"/>
          <w:szCs w:val="28"/>
          <w:rtl/>
        </w:rPr>
        <w:t xml:space="preserve">شمس منشی، محمد بن هندو شاه، ق8 قمری</w:t>
      </w:r>
    </w:p>
    <w:p>
      <w:pPr>
        <w:pStyle w:val="BookText"/>
      </w:pPr>
      <w:r>
        <w:rPr>
          <w:rFonts w:ascii="Times New Roman" w:hAnsi="Times New Roman" w:eastAsia="Times New Roman" w:cs="Times New Roman"/>
          <w:lang w:val="en-US" w:bidi="en-US"/>
          <w:color w:val="111111"/>
          <w:sz w:val="28"/>
          <w:szCs w:val="28"/>
          <w:rtl/>
        </w:rPr>
        <w:t xml:space="preserve">(šams-e monšī, mohammad ebn-e hendū-šāh ( - 14c)</w:t>
      </w:r>
    </w:p>
    <w:p>
      <w:pPr>
        <w:pStyle w:val="BookText"/>
      </w:pPr>
      <w:r>
        <w:rPr>
          <w:rFonts w:ascii="IRNazanin" w:hAnsi="IRNazanin" w:eastAsia="IRNazanin" w:cs="IRNazanin"/>
          <w:lang w:bidi="fa-IR"/>
          <w:color w:val="111111"/>
          <w:sz w:val="28"/>
          <w:szCs w:val="28"/>
          <w:rtl/>
        </w:rPr>
        <w:t xml:space="preserve">«دستورالكاتب بلسان العجم» در پنج «باب» و پس از «دستور الكاتب في تعيين المراتب» ساخته است.</w:t>
      </w:r>
    </w:p>
    <w:p>
      <w:pPr>
        <w:pStyle w:val="BookText"/>
      </w:pPr>
      <w:r>
        <w:rPr>
          <w:rFonts w:ascii="IRNazanin" w:hAnsi="IRNazanin" w:eastAsia="IRNazanin" w:cs="IRNazanin"/>
          <w:lang w:bidi="fa-IR"/>
          <w:color w:val="111111"/>
          <w:sz w:val="28"/>
          <w:szCs w:val="28"/>
          <w:rtl/>
        </w:rPr>
        <w:t xml:space="preserve">تهران؛ دانشگاه؛ شماره نسخه: 194-ف</w:t>
      </w:r>
    </w:p>
    <w:p>
      <w:pPr>
        <w:pStyle w:val="BookText"/>
      </w:pPr>
      <w:r>
        <w:rPr>
          <w:rFonts w:ascii="IRNazanin" w:hAnsi="IRNazanin" w:eastAsia="IRNazanin" w:cs="IRNazanin"/>
          <w:lang w:bidi="fa-IR"/>
          <w:color w:val="111111"/>
          <w:sz w:val="28"/>
          <w:szCs w:val="28"/>
          <w:rtl/>
        </w:rPr>
        <w:t xml:space="preserve">نسخه اصل: اسعد افندی ش 3346 ؛خط: نستعلیق، بی کا،تا:771ق، جا: سنقر ؛ 90گ، 15 سطر [فيلم ها - ف: 1 - 9]</w:t>
      </w:r>
    </w:p>
    <w:p>
      <w:pPr>
        <w:pStyle w:val="Heading3"/>
      </w:pPr>
      <w:bookmarkStart w:id="600" w:name="_Toc122"/>
      <w:r>
        <w:t>الارشاد في تفسير القرآن / تفسیر / عربی</w:t>
      </w:r>
      <w:bookmarkEnd w:id="600"/>
    </w:p>
    <w:p>
      <w:pPr>
        <w:pStyle w:val="BookText"/>
      </w:pPr>
      <w:r>
        <w:rPr>
          <w:rFonts w:ascii="Times New Roman" w:hAnsi="Times New Roman" w:eastAsia="Times New Roman" w:cs="Times New Roman"/>
          <w:lang w:val="en-US" w:bidi="en-US"/>
          <w:color w:val="111111"/>
          <w:sz w:val="28"/>
          <w:szCs w:val="28"/>
          <w:rtl/>
        </w:rPr>
        <w:t xml:space="preserve">al-iršād fī tafsīr-il-qur‘ān</w:t>
      </w:r>
    </w:p>
    <w:p>
      <w:pPr>
        <w:pStyle w:val="BookText"/>
      </w:pPr>
      <w:r>
        <w:rPr>
          <w:rFonts w:ascii="IRNazanin" w:hAnsi="IRNazanin" w:eastAsia="IRNazanin" w:cs="IRNazanin"/>
          <w:lang w:bidi="fa-IR"/>
          <w:color w:val="111111"/>
          <w:sz w:val="28"/>
          <w:szCs w:val="28"/>
          <w:rtl/>
        </w:rPr>
        <w:t xml:space="preserve">ابن برجان عبد السلام بن عبدالرحمن - 536 قمرى</w:t>
      </w:r>
    </w:p>
    <w:p>
      <w:pPr>
        <w:pStyle w:val="BookText"/>
      </w:pPr>
      <w:r>
        <w:rPr>
          <w:rFonts w:ascii="Times New Roman" w:hAnsi="Times New Roman" w:eastAsia="Times New Roman" w:cs="Times New Roman"/>
          <w:lang w:val="en-US" w:bidi="en-US"/>
          <w:color w:val="111111"/>
          <w:sz w:val="28"/>
          <w:szCs w:val="28"/>
          <w:rtl/>
        </w:rPr>
        <w:t xml:space="preserve">ebn-e barrajan, 'abd-os-salām ebn-e 'abd-or-rahmān (-</w:t>
      </w:r>
    </w:p>
    <w:p>
      <w:pPr>
        <w:pStyle w:val="BookText"/>
      </w:pPr>
      <w:r>
        <w:rPr>
          <w:rFonts w:ascii="Times New Roman" w:hAnsi="Times New Roman" w:eastAsia="Times New Roman" w:cs="Times New Roman"/>
          <w:lang w:val="en-US" w:bidi="en-US"/>
          <w:color w:val="111111"/>
          <w:sz w:val="28"/>
          <w:szCs w:val="28"/>
          <w:rtl/>
        </w:rPr>
        <w:t xml:space="preserve">1142.</w:t>
      </w:r>
    </w:p>
    <w:p>
      <w:pPr>
        <w:pStyle w:val="BookText"/>
      </w:pPr>
      <w:r>
        <w:rPr>
          <w:rFonts w:ascii="IRNazanin" w:hAnsi="IRNazanin" w:eastAsia="IRNazanin" w:cs="IRNazanin"/>
          <w:lang w:bidi="fa-IR"/>
          <w:color w:val="111111"/>
          <w:sz w:val="28"/>
          <w:szCs w:val="28"/>
          <w:rtl/>
        </w:rPr>
        <w:t xml:space="preserve">تفسیری عرفانی است.</w:t>
      </w:r>
    </w:p>
    <w:p>
      <w:pPr>
        <w:pStyle w:val="BookText"/>
      </w:pPr>
      <w:r>
        <w:rPr>
          <w:rFonts w:ascii="Amiri" w:hAnsi="Amiri" w:eastAsia="Amiri" w:cs="Amiri"/>
          <w:lang w:bidi="ar-SA"/>
          <w:color w:val="111111"/>
          <w:sz w:val="28"/>
          <w:szCs w:val="28"/>
          <w:rtl/>
        </w:rPr>
        <w:t xml:space="preserve">[كشف الظنون 69/1 هدية العارفين 570/1 بروكلمان / ) 434( 559]</w:t>
      </w:r>
    </w:p>
    <w:p>
      <w:pPr>
        <w:pStyle w:val="BookText"/>
      </w:pPr>
      <w:r>
        <w:rPr>
          <w:rFonts w:ascii="IRNazanin" w:hAnsi="IRNazanin" w:eastAsia="IRNazanin" w:cs="IRNazanin"/>
          <w:lang w:bidi="fa-IR"/>
          <w:color w:val="111111"/>
          <w:sz w:val="28"/>
          <w:szCs w:val="28"/>
          <w:rtl/>
        </w:rPr>
        <w:t xml:space="preserve">قم؛ مرعشی؛ شماره نسخه :350 عکسی</w:t>
      </w:r>
    </w:p>
    <w:p>
      <w:pPr>
        <w:pStyle w:val="BookText"/>
      </w:pPr>
      <w:r>
        <w:rPr>
          <w:rFonts w:ascii="IRNazanin" w:hAnsi="IRNazanin" w:eastAsia="IRNazanin" w:cs="IRNazanin"/>
          <w:lang w:bidi="fa-IR"/>
          <w:color w:val="111111"/>
          <w:sz w:val="28"/>
          <w:szCs w:val="28"/>
          <w:rtl/>
        </w:rPr>
        <w:t xml:space="preserve">آغاز: الحمد لله المتفرد بحقيقته الالهيه المتوحد بخالصة الواحدانية الاول دون بدايه و الاخر لا الى نهايه سبق القبل قدمه ولا قبل له؛ انجام: و لئن متم او قتلتم فى سبيل الله لا لى الله تحشرون هو يقول جل ذكره من قايل انا عند حسن ظن عبدی بی فليظن بی ماشاء تم النصف الاول بانتهاء الجزء الثانى من كتاب تفسير كلام الله تعالى</w:t>
      </w:r>
    </w:p>
    <w:p>
      <w:pPr>
        <w:pStyle w:val="BookText"/>
      </w:pPr>
      <w:r>
        <w:rPr>
          <w:rFonts w:ascii="IRNazanin" w:hAnsi="IRNazanin" w:eastAsia="IRNazanin" w:cs="IRNazanin"/>
          <w:lang w:bidi="fa-IR"/>
          <w:color w:val="111111"/>
          <w:sz w:val="28"/>
          <w:szCs w:val="28"/>
          <w:rtl/>
        </w:rPr>
        <w:t xml:space="preserve">نسخه اصل: نسخه رئيس الكتاب منتقله به سلیمانیه- استانبول مشتمل است بر نصف اول از تفسیر از اول قرآن تا اخر سوره كهف؛ خط: نسخ، بی کا، تا جمعه 20 رمضان 667ق، مصحح، ،محشی، مقابله شده با نسخه اصل روی برگ عنوان چند سطر درباره مؤلف منقول از تاریخ ابن خلکان؛ تملك: حسن بن محمد البوريني الشامي، محمد الحافظ النجار ابن الحسينالنجار به تاریخ 1160ق؛ 421 گ، 21 سطر [عکسی ف: 1 - 311]</w:t>
      </w:r>
    </w:p>
    <w:p>
      <w:pPr>
        <w:pStyle w:val="Heading3"/>
      </w:pPr>
      <w:bookmarkStart w:id="601" w:name="_Toc123"/>
      <w:r>
        <w:t>الارشاد في علم الميزان = ارشاد المتعلم الى الطريق / منطق / عربي</w:t>
      </w:r>
      <w:bookmarkEnd w:id="601"/>
    </w:p>
    <w:p>
      <w:pPr>
        <w:pStyle w:val="BookText"/>
      </w:pPr>
      <w:r>
        <w:rPr>
          <w:rFonts w:ascii="Times New Roman" w:hAnsi="Times New Roman" w:eastAsia="Times New Roman" w:cs="Times New Roman"/>
          <w:lang w:val="en-US" w:bidi="en-US"/>
          <w:color w:val="111111"/>
          <w:sz w:val="28"/>
          <w:szCs w:val="28"/>
          <w:rtl/>
        </w:rPr>
        <w:t xml:space="preserve">al-iršad fi ilm-il-mizan = iršad-ul-muti allim ila-t-tariq</w:t>
      </w:r>
    </w:p>
    <w:p>
      <w:pPr>
        <w:pStyle w:val="BookText"/>
      </w:pPr>
      <w:r>
        <w:rPr>
          <w:rFonts w:ascii="IRNazanin" w:hAnsi="IRNazanin" w:eastAsia="IRNazanin" w:cs="IRNazanin"/>
          <w:lang w:bidi="fa-IR"/>
          <w:color w:val="111111"/>
          <w:sz w:val="28"/>
          <w:szCs w:val="28"/>
          <w:rtl/>
        </w:rPr>
        <w:t xml:space="preserve">عاملی، علی بن حسین - 1135 قمری</w:t>
      </w:r>
    </w:p>
    <w:p>
      <w:pPr>
        <w:pStyle w:val="BookText"/>
      </w:pPr>
      <w:r>
        <w:rPr>
          <w:rFonts w:ascii="Times New Roman" w:hAnsi="Times New Roman" w:eastAsia="Times New Roman" w:cs="Times New Roman"/>
          <w:lang w:val="en-US" w:bidi="en-US"/>
          <w:color w:val="111111"/>
          <w:sz w:val="28"/>
          <w:szCs w:val="28"/>
          <w:rtl/>
        </w:rPr>
        <w:t xml:space="preserve">(āmelī, ‘alī ebn-e hoseyn (- 1723)</w:t>
      </w:r>
    </w:p>
    <w:p>
      <w:pPr>
        <w:pStyle w:val="BookText"/>
      </w:pPr>
      <w:r>
        <w:rPr>
          <w:rFonts w:ascii="IRNazanin" w:hAnsi="IRNazanin" w:eastAsia="IRNazanin" w:cs="IRNazanin"/>
          <w:lang w:bidi="fa-IR"/>
          <w:color w:val="111111"/>
          <w:sz w:val="28"/>
          <w:szCs w:val="28"/>
          <w:rtl/>
        </w:rPr>
        <w:t xml:space="preserve">اهداء به: شیخ عبدالوهاب</w:t>
      </w:r>
    </w:p>
    <w:p>
      <w:pPr>
        <w:pStyle w:val="BookText"/>
      </w:pPr>
      <w:r>
        <w:rPr>
          <w:rFonts w:ascii="Amiri" w:hAnsi="Amiri" w:eastAsia="Amiri" w:cs="Amiri"/>
          <w:lang w:bidi="ar-SA"/>
          <w:color w:val="111111"/>
          <w:sz w:val="28"/>
          <w:szCs w:val="28"/>
          <w:rtl/>
        </w:rPr>
        <w:t xml:space="preserve">سال تأليف : 23 جمادى الأول 1086ق</w:t>
      </w:r>
    </w:p>
    <w:p>
      <w:pPr>
        <w:pStyle w:val="BookText"/>
      </w:pPr>
      <w:r>
        <w:rPr>
          <w:rFonts w:ascii="IRNazanin" w:hAnsi="IRNazanin" w:eastAsia="IRNazanin" w:cs="IRNazanin"/>
          <w:lang w:bidi="fa-IR"/>
          <w:color w:val="111111"/>
          <w:sz w:val="28"/>
          <w:szCs w:val="28"/>
          <w:rtl/>
        </w:rPr>
        <w:t xml:space="preserve">رساله مختصری است در منطق در یک مقدمه» و دو «باب»: 1. التصورات، 2. التصديقات هر یک شامل چند «ارشاد».</w:t>
      </w:r>
    </w:p>
    <w:p>
      <w:pPr>
        <w:pStyle w:val="BookText"/>
      </w:pPr>
      <w:r>
        <w:rPr>
          <w:rFonts w:ascii="IRNazanin" w:hAnsi="IRNazanin" w:eastAsia="IRNazanin" w:cs="IRNazanin"/>
          <w:lang w:bidi="fa-IR"/>
          <w:color w:val="111111"/>
          <w:sz w:val="28"/>
          <w:szCs w:val="28"/>
          <w:rtl/>
        </w:rPr>
        <w:t xml:space="preserve">قم؛ گلپایگانی؛ شماره :نسخه : 5324/1-26/204</w:t>
      </w:r>
    </w:p>
    <w:p>
      <w:pPr>
        <w:pStyle w:val="BookText"/>
      </w:pPr>
      <w:r>
        <w:rPr>
          <w:rFonts w:ascii="IRNazanin" w:hAnsi="IRNazanin" w:eastAsia="IRNazanin" w:cs="IRNazanin"/>
          <w:lang w:bidi="fa-IR"/>
          <w:color w:val="111111"/>
          <w:sz w:val="28"/>
          <w:szCs w:val="28"/>
          <w:rtl/>
        </w:rPr>
        <w:t xml:space="preserve">آغاز: بسمله الحمد لمن نطقت بتسبيحه الجمادات وانقادت مذعنة الحكمه الارضون والسماوات؛ انجام: و ان تألف من المقبولات أو المظنونات فخطابی و ان تألف من المخيلات فشعرى و ان تألف من الوهميات فسفسطى فرغ من مشقه مولفه</w:t>
      </w:r>
    </w:p>
    <w:p>
      <w:pPr>
        <w:pStyle w:val="BookText"/>
      </w:pPr>
      <w:r>
        <w:rPr>
          <w:rFonts w:ascii="IRNazanin" w:hAnsi="IRNazanin" w:eastAsia="IRNazanin" w:cs="IRNazanin"/>
          <w:lang w:bidi="fa-IR"/>
          <w:color w:val="111111"/>
          <w:sz w:val="28"/>
          <w:szCs w:val="28"/>
          <w:rtl/>
        </w:rPr>
        <w:t xml:space="preserve">خط: نسخ، كاتب - مؤلف، تا: 23 جمادی الاول 1086ق؛ تملك: شیخ عبدالنبی بن حاجی احمد بن استاد کریم؛ جلد: تیماج مشکی ضربی ،مجدول 12گ، 12 سطر ، اندازه: 10</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1 - 314]</w:t>
      </w:r>
    </w:p>
    <w:p>
      <w:pPr>
        <w:pStyle w:val="Heading3"/>
      </w:pPr>
      <w:bookmarkStart w:id="602" w:name="_Toc124"/>
      <w:r>
        <w:t>الارشاد فى علم النحو / نحو / عربي</w:t>
      </w:r>
      <w:bookmarkEnd w:id="602"/>
    </w:p>
    <w:p>
      <w:pPr>
        <w:pStyle w:val="BookText"/>
      </w:pPr>
      <w:r>
        <w:rPr>
          <w:rFonts w:ascii="Times New Roman" w:hAnsi="Times New Roman" w:eastAsia="Times New Roman" w:cs="Times New Roman"/>
          <w:lang w:val="en-US" w:bidi="en-US"/>
          <w:color w:val="111111"/>
          <w:sz w:val="28"/>
          <w:szCs w:val="28"/>
          <w:rtl/>
        </w:rPr>
        <w:t xml:space="preserve">al-iršād fi 'ilm-in-naḥw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40" w:name="pg20365_260046"/>
    <w:bookmarkEnd w:id="40"/>
    <w:p>
      <w:pPr>
        <w:pStyle w:val="BookText"/>
      </w:pPr>
      <w:r>
        <w:rPr>
          <w:rFonts w:ascii="IRNazanin" w:hAnsi="IRNazanin" w:eastAsia="IRNazanin" w:cs="IRNazanin"/>
          <w:lang w:bidi="fa-IR"/>
          <w:color w:val="111111"/>
          <w:sz w:val="28"/>
          <w:szCs w:val="28"/>
          <w:rtl/>
        </w:rPr>
        <w:t xml:space="preserve">از تفتازانی یا شهاب الدین احمد هندی یا ابن درستویه.</w:t>
      </w:r>
    </w:p>
    <w:p>
      <w:pPr>
        <w:pStyle w:val="BookText"/>
      </w:pPr>
      <w:r>
        <w:rPr>
          <w:rFonts w:ascii="IRNazanin" w:hAnsi="IRNazanin" w:eastAsia="IRNazanin" w:cs="IRNazanin"/>
          <w:lang w:bidi="fa-IR"/>
          <w:color w:val="111111"/>
          <w:sz w:val="28"/>
          <w:szCs w:val="28"/>
          <w:rtl/>
        </w:rPr>
        <w:t xml:space="preserve">یزد؛ وزیری؛ شماره نسخه: 1119/2</w:t>
      </w:r>
    </w:p>
    <w:p>
      <w:pPr>
        <w:pStyle w:val="BookText"/>
      </w:pPr>
      <w:r>
        <w:rPr>
          <w:rFonts w:ascii="IRNazanin" w:hAnsi="IRNazanin" w:eastAsia="IRNazanin" w:cs="IRNazanin"/>
          <w:lang w:bidi="fa-IR"/>
          <w:color w:val="111111"/>
          <w:sz w:val="28"/>
          <w:szCs w:val="28"/>
          <w:rtl/>
        </w:rPr>
        <w:t xml:space="preserve">خط: نسخ، بی کا، تا: اواخر قرن 11؛ محشی به نشانه «س»؛ 23 گ(16-(39) اندازه: 15</w:t>
      </w:r>
      <w:r>
        <w:rPr>
          <w:rFonts w:ascii="Times New Roman" w:hAnsi="Times New Roman" w:eastAsia="Times New Roman" w:cs="Times New Roman"/>
          <w:lang w:val="en-US" w:bidi="en-US"/>
          <w:color w:val="111111"/>
          <w:sz w:val="28"/>
          <w:szCs w:val="28"/>
          <w:rtl/>
        </w:rPr>
        <w:t xml:space="preserve">× 21</w:t>
      </w:r>
      <w:r>
        <w:rPr>
          <w:rFonts w:ascii="IRNazanin" w:hAnsi="IRNazanin" w:eastAsia="IRNazanin" w:cs="IRNazanin"/>
          <w:lang w:bidi="fa-IR"/>
          <w:color w:val="111111"/>
          <w:sz w:val="28"/>
          <w:szCs w:val="28"/>
          <w:rtl/>
        </w:rPr>
        <w:t xml:space="preserve">سم [ف: 3 - 864]</w:t>
      </w:r>
    </w:p>
    <w:p>
      <w:pPr>
        <w:pStyle w:val="Heading3"/>
      </w:pPr>
      <w:bookmarkStart w:id="603" w:name="_Toc125"/>
      <w:r>
        <w:t>الارشاد في معرفة حجج الله على العباد / تاريخ معصومین / عربی</w:t>
      </w:r>
      <w:bookmarkEnd w:id="603"/>
    </w:p>
    <w:p>
      <w:pPr>
        <w:pStyle w:val="BookText"/>
      </w:pPr>
      <w:r>
        <w:rPr>
          <w:rFonts w:ascii="Times New Roman" w:hAnsi="Times New Roman" w:eastAsia="Times New Roman" w:cs="Times New Roman"/>
          <w:lang w:val="en-US" w:bidi="en-US"/>
          <w:color w:val="111111"/>
          <w:sz w:val="28"/>
          <w:szCs w:val="28"/>
          <w:rtl/>
        </w:rPr>
        <w:t xml:space="preserve">iršad fi marifat-i hujaj-il-lah al-al- ibad</w:t>
      </w:r>
    </w:p>
    <w:p>
      <w:pPr>
        <w:pStyle w:val="BookText"/>
      </w:pPr>
      <w:r>
        <w:rPr>
          <w:rFonts w:ascii="IRNazanin" w:hAnsi="IRNazanin" w:eastAsia="IRNazanin" w:cs="IRNazanin"/>
          <w:lang w:bidi="fa-IR"/>
          <w:color w:val="111111"/>
          <w:sz w:val="28"/>
          <w:szCs w:val="28"/>
          <w:rtl/>
        </w:rPr>
        <w:t xml:space="preserve">مفید، محمد بن محمد، 336 - 413 قمری</w:t>
      </w:r>
    </w:p>
    <w:p>
      <w:pPr>
        <w:pStyle w:val="BookText"/>
      </w:pPr>
      <w:r>
        <w:rPr>
          <w:rFonts w:ascii="Times New Roman" w:hAnsi="Times New Roman" w:eastAsia="Times New Roman" w:cs="Times New Roman"/>
          <w:lang w:val="en-US" w:bidi="en-US"/>
          <w:color w:val="111111"/>
          <w:sz w:val="28"/>
          <w:szCs w:val="28"/>
          <w:rtl/>
        </w:rPr>
        <w:t xml:space="preserve">(mofīd, mohammad ebn-e mohammad (948 - 1023)</w:t>
      </w:r>
    </w:p>
    <w:p>
      <w:pPr>
        <w:pStyle w:val="BookText"/>
      </w:pPr>
      <w:r>
        <w:rPr>
          <w:rFonts w:ascii="Amiri" w:hAnsi="Amiri" w:eastAsia="Amiri" w:cs="Amiri"/>
          <w:lang w:bidi="ar-SA"/>
          <w:color w:val="111111"/>
          <w:sz w:val="28"/>
          <w:szCs w:val="28"/>
          <w:rtl/>
        </w:rPr>
        <w:t xml:space="preserve">تاريخ تأليف: 411ق</w:t>
      </w:r>
    </w:p>
    <w:p>
      <w:pPr>
        <w:pStyle w:val="BookText"/>
      </w:pPr>
      <w:r>
        <w:rPr>
          <w:rFonts w:ascii="IRNazanin" w:hAnsi="IRNazanin" w:eastAsia="IRNazanin" w:cs="IRNazanin"/>
          <w:lang w:bidi="fa-IR"/>
          <w:color w:val="111111"/>
          <w:sz w:val="28"/>
          <w:szCs w:val="28"/>
          <w:rtl/>
        </w:rPr>
        <w:t xml:space="preserve">کتابی است کلامی و تاریخی از متکلم بزرگ شیعی شیخ مفید  در تاریخ زندگی و حقانیت و معجزات ائمه اطهار (علیهم السّلام) بهترین و کهن ترین کتاب ها در موضوع خود به شمار می رود.</w:t>
      </w:r>
    </w:p>
    <w:p>
      <w:pPr>
        <w:pStyle w:val="BookText"/>
      </w:pPr>
      <w:r>
        <w:rPr>
          <w:rFonts w:ascii="IRNazanin" w:hAnsi="IRNazanin" w:eastAsia="IRNazanin" w:cs="IRNazanin"/>
          <w:lang w:bidi="fa-IR"/>
          <w:color w:val="111111"/>
          <w:sz w:val="28"/>
          <w:szCs w:val="28"/>
          <w:rtl/>
        </w:rPr>
        <w:t xml:space="preserve">چون شیخ مفید با سه چهار واسطه از ائمه (علیهم السّلام) نقل خبر و روایت می کند، از این رو می توان «الارشاد» را در عداد منابع مهم روایتی شیعه به شمار آورد. کتاب شامل دو بخش است: 1 .شرح احوال و ذکر فضایل و سخنان حکمت آمیز و براهین امامت ا مام علی بن ابی طالب(علیه السّلام)؛ 2 .شرح زندگانی و فضایل دیگر ائمه  (علیهم السّلام) با شرحی در علایم ظهور و قیام حضرت مهدی (عجّل الله تعالی فرجه الشریف) . بيش از یک سوم از بخش دوم کتاب به شرح زندگانی سید الشهدا (علیه السّلام) ، احوال مسلم در ،کوفه واقعه کربلا و شهادت حضرت  ابی عبد الله الحسين (علیه السّلام) و یارانش می پردازد.</w:t>
      </w:r>
    </w:p>
    <w:p>
      <w:pPr>
        <w:pStyle w:val="BookText"/>
      </w:pPr>
      <w:r>
        <w:rPr>
          <w:rFonts w:ascii="IRNazanin" w:hAnsi="IRNazanin" w:eastAsia="IRNazanin" w:cs="IRNazanin"/>
          <w:lang w:bidi="fa-IR"/>
          <w:color w:val="111111"/>
          <w:sz w:val="28"/>
          <w:szCs w:val="28"/>
          <w:rtl/>
        </w:rPr>
        <w:t xml:space="preserve">شيخ حسن بن الحسين بن على دوريستى که در کاشان میزیسته است بر پشت نسخه ای از کتاب ارشادالعباد مفید به خط خود 576 ق چنین نوشته است که مجدالدین ابوالعلا سراسر آن را نزد من خوانده و تا می توانست آن را درست نمود و من به او اجازه دادم که آن را از من از سید مرتضی بن الداعى بن القسم حسنی از شیخ ابی عبدالله جعفر بن محمد دوریستی از مفید روایت کند (اجازات بحار ص 16 -ذریعه 1701 ).این کتاب به زبان های ،فارسی انگلیسی و اردو ترجمه شده و ترجمه های گوناگون نیز به چاپ رسیده است. استاد فقید مرحوم سید عبدالعز طباطبایی در کتاب شريف «الشيخ المفيد و عطاؤه الفكر الخالد» خصوصیات 30 نسخه خطی کهن و 17 چاپ و 2 شرح یک تلخیص و 6 ترجمه فارسی و چند ترجمه انگلیسی و اردو کتاب «ارشاد» را ارائه داده است مولی مسیح کاشانی که «مولا مسیحا »نامبردار بوده و شاگرد و شوهر دختر آقا حس خوانساری بوده است و پیش از مرگ آقا جمال خوانساه در گذشت، «ارشاد» را به نام شاه سلیمان صفوی (1077-1105) به فارسی در آورده و بدان نام «تحفه سلیمانی» داده است.</w:t>
      </w:r>
    </w:p>
    <w:p>
      <w:pPr>
        <w:pStyle w:val="BookText"/>
      </w:pPr>
      <w:r>
        <w:rPr>
          <w:rFonts w:ascii="Amiri" w:hAnsi="Amiri" w:eastAsia="Amiri" w:cs="Amiri"/>
          <w:lang w:bidi="ar-SA"/>
          <w:color w:val="111111"/>
          <w:sz w:val="28"/>
          <w:szCs w:val="28"/>
          <w:rtl/>
        </w:rPr>
        <w:t xml:space="preserve">آغاز: (آغاز جلد اول:) بسمله، الحمد لله على ما ألهم من معرفت هدى و اليه من سبيل طاعته .. و بعد فانى مثبت بتوفيق الله و معرنته ما سألت أيدك الله اثباته من اسماء أولادهم و طرف من أخبارهم</w:t>
      </w:r>
    </w:p>
    <w:p>
      <w:pPr>
        <w:pStyle w:val="BookText"/>
      </w:pPr>
      <w:r>
        <w:rPr>
          <w:rFonts w:ascii="IRNazanin" w:hAnsi="IRNazanin" w:eastAsia="IRNazanin" w:cs="IRNazanin"/>
          <w:lang w:bidi="fa-IR"/>
          <w:color w:val="111111"/>
          <w:sz w:val="28"/>
          <w:szCs w:val="28"/>
          <w:rtl/>
        </w:rPr>
        <w:t xml:space="preserve">انجام: (انجام جلد 1 :) فصل و من ذلك مارواه على بن مسهر عن الاعمش عن موسى بن طريف عن عبابة و موسى بن اكيل النميرى .. و الله نسئل التوفيق و ایاه نستهدى الى سبيل الرشاد. تمً الجزء الاول من كتاب الارشاد.</w:t>
      </w:r>
    </w:p>
    <w:p>
      <w:pPr>
        <w:pStyle w:val="BookText"/>
      </w:pPr>
      <w:r>
        <w:rPr>
          <w:rFonts w:ascii="IRNazanin" w:hAnsi="IRNazanin" w:eastAsia="IRNazanin" w:cs="IRNazanin"/>
          <w:lang w:bidi="fa-IR"/>
          <w:color w:val="111111"/>
          <w:sz w:val="28"/>
          <w:szCs w:val="28"/>
          <w:rtl/>
        </w:rPr>
        <w:t xml:space="preserve">(انجام جلد2 :) و فيما رسمناه من موجز الاحتجاج على امامة الائمة (علیهم السّلام) و مختصر من اخبارهم كفاية فيما قصدناه و الله ولى التوفيق و هو حسبنا ونعم الوكيل و الحمدلله الحمد لله رب العالمين.</w:t>
      </w:r>
    </w:p>
    <w:p>
      <w:pPr>
        <w:pStyle w:val="BookText"/>
      </w:pPr>
      <w:r>
        <w:rPr>
          <w:rFonts w:ascii="IRNazanin" w:hAnsi="IRNazanin" w:eastAsia="IRNazanin" w:cs="IRNazanin"/>
          <w:lang w:bidi="fa-IR"/>
          <w:color w:val="111111"/>
          <w:sz w:val="28"/>
          <w:szCs w:val="28"/>
          <w:rtl/>
        </w:rPr>
        <w:t xml:space="preserve">چاپ: این اثر بارها در ایران به چاپ رسیده است برای نمونه قم، موسسه آل البيت لاحياء التراث، 1371ش؛ تهران، کتابفروشی ،اسلامیه 1364 ،ایران ،سنگی، بی ناشر، 1308ق، وزیری، 400+ 3 ص ،تهران، 1320ق، رقعی،335ص؛ ایران سنگی 1295، جیبی بدون شماره صفحه</w:t>
      </w:r>
    </w:p>
    <w:p>
      <w:pPr>
        <w:pStyle w:val="BookText"/>
      </w:pPr>
      <w:r>
        <w:rPr>
          <w:rFonts w:ascii="IRNazanin" w:hAnsi="IRNazanin" w:eastAsia="IRNazanin" w:cs="IRNazanin"/>
          <w:lang w:bidi="fa-IR"/>
          <w:color w:val="111111"/>
          <w:sz w:val="28"/>
          <w:szCs w:val="28"/>
          <w:rtl/>
        </w:rPr>
        <w:t xml:space="preserve">[الذريعة 509/1 و 510 رقم 2506؛ مشار عربی، صص 41-42]</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IRNazanin" w:hAnsi="IRNazanin" w:eastAsia="IRNazanin" w:cs="IRNazanin"/>
          <w:lang w:bidi="fa-IR"/>
          <w:color w:val="111111"/>
          <w:sz w:val="28"/>
          <w:szCs w:val="28"/>
          <w:rtl/>
        </w:rPr>
        <w:t xml:space="preserve">1- المستجاد من كتاب الارشاد؛ علامه حلی حسن بن يوسف (648- 726)</w:t>
      </w:r>
    </w:p>
    <w:p>
      <w:pPr>
        <w:pStyle w:val="BookText"/>
      </w:pPr>
      <w:r>
        <w:rPr>
          <w:rFonts w:ascii="IRNazanin" w:hAnsi="IRNazanin" w:eastAsia="IRNazanin" w:cs="IRNazanin"/>
          <w:lang w:bidi="fa-IR"/>
          <w:color w:val="111111"/>
          <w:sz w:val="28"/>
          <w:szCs w:val="28"/>
          <w:rtl/>
        </w:rPr>
        <w:t xml:space="preserve">2- تحفه سلیمانی - ترجمه ارشاد مفید؛ مسیحا فدشکوئی، محمد مسیح بن اسماعيل (1037-1127)</w:t>
      </w:r>
    </w:p>
    <w:p>
      <w:pPr>
        <w:pStyle w:val="BookText"/>
      </w:pPr>
      <w:r>
        <w:rPr>
          <w:rFonts w:ascii="IRNazanin" w:hAnsi="IRNazanin" w:eastAsia="IRNazanin" w:cs="IRNazanin"/>
          <w:lang w:bidi="fa-IR"/>
          <w:color w:val="111111"/>
          <w:sz w:val="28"/>
          <w:szCs w:val="28"/>
          <w:rtl/>
        </w:rPr>
        <w:t xml:space="preserve">3-الارشاد (ترجمه)؛ اردکانی احمد بن محمد ابراهيم (1175- 1238)</w:t>
      </w:r>
    </w:p>
    <w:p>
      <w:pPr>
        <w:pStyle w:val="BookText"/>
      </w:pPr>
      <w:r>
        <w:rPr>
          <w:rFonts w:ascii="IRNazanin" w:hAnsi="IRNazanin" w:eastAsia="IRNazanin" w:cs="IRNazanin"/>
          <w:lang w:bidi="fa-IR"/>
          <w:color w:val="111111"/>
          <w:sz w:val="28"/>
          <w:szCs w:val="28"/>
          <w:rtl/>
        </w:rPr>
        <w:t xml:space="preserve">4 - ذخيرة المعاد في ترجمة الارشاد يزدى اردکانی، محمدرضا بن عبدالله (-14)</w:t>
      </w:r>
    </w:p>
    <w:p>
      <w:pPr>
        <w:pStyle w:val="BookText"/>
      </w:pPr>
      <w:r>
        <w:rPr>
          <w:rFonts w:ascii="IRNazanin" w:hAnsi="IRNazanin" w:eastAsia="IRNazanin" w:cs="IRNazanin"/>
          <w:lang w:bidi="fa-IR"/>
          <w:color w:val="111111"/>
          <w:sz w:val="28"/>
          <w:szCs w:val="28"/>
          <w:rtl/>
        </w:rPr>
        <w:t xml:space="preserve">5- الارشاد (ترجمه)؛ علی بخش میرزا قاجار (1254-)</w:t>
      </w:r>
    </w:p>
    <w:p>
      <w:pPr>
        <w:pStyle w:val="BookText"/>
      </w:pPr>
      <w:r>
        <w:rPr>
          <w:rFonts w:ascii="IRNazanin" w:hAnsi="IRNazanin" w:eastAsia="IRNazanin" w:cs="IRNazanin"/>
          <w:lang w:bidi="fa-IR"/>
          <w:color w:val="111111"/>
          <w:sz w:val="28"/>
          <w:szCs w:val="28"/>
          <w:rtl/>
        </w:rPr>
        <w:t xml:space="preserve">6- الارشاد (منتخب)</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مجلس؛ شماره نسخه: 8092</w:t>
      </w:r>
    </w:p>
    <w:p>
      <w:pPr>
        <w:pStyle w:val="BookText"/>
      </w:pPr>
      <w:r>
        <w:rPr>
          <w:rFonts w:ascii="Amiri" w:hAnsi="Amiri" w:eastAsia="Amiri" w:cs="Amiri"/>
          <w:lang w:bidi="ar-SA"/>
          <w:color w:val="111111"/>
          <w:sz w:val="28"/>
          <w:szCs w:val="28"/>
          <w:rtl/>
        </w:rPr>
        <w:t xml:space="preserve">آغاز: برابر انجام :كثير من ذلك لمثل ما ذكرناه فلا ينبغي ان ينسبنا احد فيما تركناه من ذلك الى الاهمال ولا يحمله.</w:t>
      </w:r>
    </w:p>
    <w:p>
      <w:pPr>
        <w:pStyle w:val="BookText"/>
      </w:pPr>
      <w:r>
        <w:rPr>
          <w:rFonts w:ascii="IRNazanin" w:hAnsi="IRNazanin" w:eastAsia="IRNazanin" w:cs="IRNazanin"/>
          <w:lang w:bidi="fa-IR"/>
          <w:color w:val="111111"/>
          <w:sz w:val="28"/>
          <w:szCs w:val="28"/>
          <w:rtl/>
        </w:rPr>
        <w:t xml:space="preserve">نسخه حاضر از کهنه ترین هاست که بخش اول و آخر آن از نیمه نخست سده ششم و اوراق زیادی از وسط کتاب به خط نسخ مشکول مورخ 589ق است. مزیت دیگرش کامل بودن آن است که فقط یک برگ از انجام را که گویا شامل رقم کاتب و چند سطر پایانی متن بوده ندارد؛ خط: نسخ، تحریری، ابوالحسن بن ابی سعد بن ابى الحسن بن محمد بن احمد بن عبدویه تا: دهه اول رجب 574و اتمام کتاب جمعه 14 محرم 575ق؛ افتادگی: انجام( یک برگ)؛ از آغاز تا برگ 37 و از برگ 150 تا پایان به خط نسخ نیمه نخست قرن ششم و از برگ 38 تا 149 به خط نسخ مشکول مایل به تعلیق حسن بن علی احمد [؟] بن علی بن رستم در 589ق این کاتب در برگ 87ر در پایان جزء اول کتاب چنین رقم زده است: «و فرغ من تسويد بياضه العبد الفقير المحتاج الى رحمة ربه الحسن بن علی احمد بن على بن رستم يوم الجمعه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 والعشرون صفر سنه تسع و ثمانین و خمس مائة هجرة نبویة حامدا الله تعالى على نعمائه و مصليا على رسوله محمد و آله و سلم سليما كثيرا. و حسبنا الله وحده و نعم الوكيل. .. معين و اقوی دلیل شخصی به نام محمد بن محمد بن محمد بن ابی منصور هندی علوی حسینی، نسخه را در سه شنبه ششم شوال 666 ق بررسی و گویا مقابله کرده است و در پایان همین جزء نخست خط جلی چنین نوشته است :«نظر فيه افقر عباد الله و احوجهم لمغفرته محمد بن محمد بن محمد بن ابی منصور بن هندی العلوى الحسينى المجاور بمرقد الكاظم عليه السلام و ذلك في الثلثا سادس شهر شوال من سنه ست وستين وستمائة. رحم الله قرأ و يرحم عليه و على والديه و على جميع المومنين و المومن الاحياء منهم والاموات فى مشارق الارض ومغاربها سهلهاجبلها»، اکثر برگ های بخش تاریخ دار دارای رکابه ،است بخش تاریخ دار در همان عصر کتابت تصحیح شده و در برخی برگ علامت «بلغت المقابله» دارد تمامی نسخه نیز یک بار در قرن یا 12مقابله و تصحیح شده که گویا انهای آسیب دیده پائین بر آخر نسخه – که بخش مهمی از آن در وصالی فرو رفته - مربوط به همین تصحیح ها ،باشد رکابه های بخش بدون تاریخ نسخه گویا کار همین مقابله گر ،باشد در مواردی هم حواشی توضیع در کناره ها به چشم میخورد مثلاً در شرح برخی لغات به نقل قاموس (گویا کتابت قرن دهم) یا به نقل از «ناسخ» (گویا کتابت قرن سیزدهم) و غیره، البته توضیحات قدیمی تر که به عصر نسخه برگردد نیز در جای جای حاشیه ها به چشم می آید؛ تملک: و مهر: «دخل في نوبتی و انا العبد الجاني ابن محمد امین محمد تقى الرازي سنه1138» و مهر بیضی دارای نقش گل و به خط نستعلیق وی یک بار نیز به سال 1134/1132 تملک و مهر زده که سیاه و وصالی شده است، تملک مورخ1091ق که سیاه شده ولی خوانده می شود: «دخل في نوبتي عن عوارى الدهر الفاني الی العبد . .. ابن ميرزا خان محمد امین طهرانی»؛ وقف نامه بسیار مهم زیر که بخشی از آن روی قسمت وصالی شده کناره طولی برگ عنوان نوشته شده است این وقف نامه با مهر بیضی با نقش و اسلیمی و به خط ثلث در بالا شروع می شود و به مهری هشت ضلعی که درست نگرفته (نمونه این مهر در برگ پایانی هم که نگرفته) ختم می شود متن وقفنامه نیز چنین است: «وقف نمودند سرکار عفت آثار و طهارت شعار . .. عليه عاليه علويه سده بیگم خانم زیدت توفیقاتها این کتاب را بر کافه طلاب علوم دینیه و تولیت را تفویض فرمودند بجناب مستطاب فضایل نصاب فرزندشان آقای آقا حسین سلمه الله و بعد ایشان باوصیای باقیه واقفه و بعد آنها با مطلق اولاد آقا حسین و اولاد .. واقفه اعم ذکور و اناث که منسوب بواقفه باشند، خواه از جانب پدر منسوب باشند خواه از جانب مادر یعنی بیکی از آنها که ارشد و اصلح باشند... في جمادى الثانيه 1316؛ مهر: به خط نستعلیق و به جوهر آبی روی برگ بدرقه نسخه خورده که سجع آن به دلیل رطوبت درست خوانده نمی شود ولی یکی از این دو صورت است: «عبده على بن الحكيم / حسين بن على الحكيم» (بیضی)؛ کاغذ: ضخیم ،جلد: مقوایی با روکش تیماج قهوه ای دارای جدول ضربی گرهی در اطراف و یک جدول داخلی که درون آن ترنج، دو سر ترنج و چهار لچک با نقش گل و بوته اسلیمی ضرب شده است، 168گ، 21 سطر (بی تاریخ) و 25 سطر (تاریخ دار)، اندازه:  24/9</w:t>
      </w:r>
      <w:r>
        <w:rPr>
          <w:rFonts w:ascii="Times New Roman" w:hAnsi="Times New Roman" w:eastAsia="Times New Roman" w:cs="Times New Roman"/>
          <w:lang w:val="en-US" w:bidi="en-US"/>
          <w:color w:val="111111"/>
          <w:sz w:val="28"/>
          <w:szCs w:val="28"/>
          <w:rtl/>
        </w:rPr>
        <w:t xml:space="preserve">×17/4</w:t>
      </w:r>
      <w:r>
        <w:rPr>
          <w:rFonts w:ascii="IRNazanin" w:hAnsi="IRNazanin" w:eastAsia="IRNazanin" w:cs="IRNazanin"/>
          <w:lang w:bidi="fa-IR"/>
          <w:color w:val="111111"/>
          <w:sz w:val="28"/>
          <w:szCs w:val="28"/>
          <w:rtl/>
        </w:rPr>
        <w:t xml:space="preserve">سم [ف: 27/1 – 169]</w:t>
      </w:r>
    </w:p>
    <w:p>
      <w:pPr>
        <w:pStyle w:val="BookText"/>
      </w:pPr>
      <w:r>
        <w:rPr>
          <w:rFonts w:ascii="IRNazanin" w:hAnsi="IRNazanin" w:eastAsia="IRNazanin" w:cs="IRNazanin"/>
          <w:lang w:bidi="fa-IR"/>
          <w:color w:val="111111"/>
          <w:sz w:val="28"/>
          <w:szCs w:val="28"/>
          <w:rtl/>
        </w:rPr>
        <w:t xml:space="preserve">قم؛ مرعشی ؛شماره نسخه: 1789 و 1788 و 1661</w:t>
      </w:r>
    </w:p>
    <w:p>
      <w:pPr>
        <w:pStyle w:val="BookText"/>
      </w:pPr>
      <w:r>
        <w:rPr>
          <w:rFonts w:ascii="IRNazanin" w:hAnsi="IRNazanin" w:eastAsia="IRNazanin" w:cs="IRNazanin"/>
          <w:lang w:bidi="fa-IR"/>
          <w:color w:val="111111"/>
          <w:sz w:val="28"/>
          <w:szCs w:val="28"/>
          <w:rtl/>
        </w:rPr>
        <w:t xml:space="preserve">نسخه اصل: همان نسخه بالا [عکسی ف 5 - 79 و 237]</w:t>
      </w:r>
    </w:p>
    <w:p>
      <w:pPr>
        <w:pStyle w:val="BookText"/>
      </w:pPr>
      <w:r>
        <w:rPr>
          <w:rFonts w:ascii="IRNazanin" w:hAnsi="IRNazanin" w:eastAsia="IRNazanin" w:cs="IRNazanin"/>
          <w:lang w:bidi="fa-IR"/>
          <w:color w:val="111111"/>
          <w:sz w:val="28"/>
          <w:szCs w:val="28"/>
          <w:rtl/>
        </w:rPr>
        <w:t xml:space="preserve">قم ؛مرکز احیاء؛ شماره نسخه: 246</w:t>
      </w:r>
    </w:p>
    <w:p>
      <w:pPr>
        <w:pStyle w:val="BookText"/>
      </w:pPr>
      <w:r>
        <w:rPr>
          <w:rFonts w:ascii="IRNazanin" w:hAnsi="IRNazanin" w:eastAsia="IRNazanin" w:cs="IRNazanin"/>
          <w:lang w:bidi="fa-IR"/>
          <w:color w:val="111111"/>
          <w:sz w:val="28"/>
          <w:szCs w:val="28"/>
          <w:rtl/>
        </w:rPr>
        <w:t xml:space="preserve">نسخه اصل: همان نسخه بالا [ عکسی ف: 1 - 280]</w:t>
      </w:r>
    </w:p>
    <w:p>
      <w:pPr>
        <w:pStyle w:val="BookText"/>
      </w:pPr>
      <w:r>
        <w:rPr>
          <w:rFonts w:ascii="IRNazanin" w:hAnsi="IRNazanin" w:eastAsia="IRNazanin" w:cs="IRNazanin"/>
          <w:lang w:bidi="fa-IR"/>
          <w:color w:val="111111"/>
          <w:sz w:val="28"/>
          <w:szCs w:val="28"/>
          <w:rtl/>
        </w:rPr>
        <w:t xml:space="preserve">2 ،قم؛ مرعشی؛ شماره نسخه: 1144 و عکسی 1662</w:t>
      </w:r>
    </w:p>
    <w:p>
      <w:pPr>
        <w:pStyle w:val="BookText"/>
      </w:pPr>
      <w:r>
        <w:rPr>
          <w:rFonts w:ascii="Amiri" w:hAnsi="Amiri" w:eastAsia="Amiri" w:cs="Amiri"/>
          <w:lang w:bidi="ar-SA"/>
          <w:color w:val="111111"/>
          <w:sz w:val="28"/>
          <w:szCs w:val="28"/>
          <w:rtl/>
        </w:rPr>
        <w:t xml:space="preserve">آغاز: فلم يتناكروه و هذا أيضاً ظاهر في النص عليه بالامامة و الاستخلاف له في المقام</w:t>
      </w:r>
    </w:p>
    <w:p>
      <w:pPr>
        <w:pStyle w:val="BookText"/>
      </w:pPr>
      <w:r>
        <w:rPr>
          <w:rFonts w:ascii="IRNazanin" w:hAnsi="IRNazanin" w:eastAsia="IRNazanin" w:cs="IRNazanin"/>
          <w:lang w:bidi="fa-IR"/>
          <w:color w:val="111111"/>
          <w:sz w:val="28"/>
          <w:szCs w:val="28"/>
          <w:rtl/>
        </w:rPr>
        <w:t xml:space="preserve">خط: نسخ معرب ،نازیبا ،کا: حسن بن محمد بن حسین جاسبی هراز کانی، تا: جمعه 14 شوال 565ق (در هفتاد و پنج سالگی کاتب)؛ افتادگی: آغاز؛ مصحح، گاهی لغات شرح داده شده است در صفحه آخر کاتب می نویسد که کتاب را با نسخه سید فضل الله بن علی راوندی مقابله نموده و این کار را به تاریخ یک شنبه سلخ ربیع الاول 566 به پایان رسانده است، پس از کتاب حدیثی است که کاتب به روایت از سید فضل الله مذكور می آورد؛ جلد: تیماج قرمز ،ضربی،230گ، 20 سطر ، اندازه: 19</w:t>
      </w:r>
      <w:r>
        <w:rPr>
          <w:rFonts w:ascii="Times New Roman" w:hAnsi="Times New Roman" w:eastAsia="Times New Roman" w:cs="Times New Roman"/>
          <w:lang w:val="en-US" w:bidi="en-US"/>
          <w:color w:val="111111"/>
          <w:sz w:val="28"/>
          <w:szCs w:val="28"/>
          <w:rtl/>
        </w:rPr>
        <w:t xml:space="preserve">× 12/5</w:t>
      </w:r>
      <w:r>
        <w:rPr>
          <w:rFonts w:ascii="IRNazanin" w:hAnsi="IRNazanin" w:eastAsia="IRNazanin" w:cs="IRNazanin"/>
          <w:lang w:bidi="fa-IR"/>
          <w:color w:val="111111"/>
          <w:sz w:val="28"/>
          <w:szCs w:val="28"/>
          <w:rtl/>
        </w:rPr>
        <w:t xml:space="preserve">سم [ف 3 - 318] و [عکسی ف: 5 - 80]</w:t>
      </w:r>
    </w:p>
    <w:p>
      <w:pPr>
        <w:pStyle w:val="BookText"/>
      </w:pPr>
      <w:r>
        <w:rPr>
          <w:rFonts w:ascii="IRNazanin" w:hAnsi="IRNazanin" w:eastAsia="IRNazanin" w:cs="IRNazanin"/>
          <w:lang w:bidi="fa-IR"/>
          <w:color w:val="111111"/>
          <w:sz w:val="28"/>
          <w:szCs w:val="28"/>
          <w:rtl/>
        </w:rPr>
        <w:t xml:space="preserve">قم؛ مرکز احیاء؛ شماره نسخه: 245</w:t>
      </w:r>
    </w:p>
    <w:p>
      <w:pPr>
        <w:pStyle w:val="BookText"/>
      </w:pPr>
      <w:r>
        <w:rPr>
          <w:rFonts w:ascii="IRNazanin" w:hAnsi="IRNazanin" w:eastAsia="IRNazanin" w:cs="IRNazanin"/>
          <w:lang w:bidi="fa-IR"/>
          <w:color w:val="111111"/>
          <w:sz w:val="28"/>
          <w:szCs w:val="28"/>
          <w:rtl/>
        </w:rPr>
        <w:t xml:space="preserve">نسخه اصل: همان نسخه بالا [عکسی ف: 1 - 279]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قم ؛گلپایگانی؛ شماره نسخه: 3787-19/117</w:t>
      </w:r>
    </w:p>
    <w:p>
      <w:pPr>
        <w:pStyle w:val="BookText"/>
      </w:pPr>
      <w:r>
        <w:rPr>
          <w:rFonts w:ascii="IRNazanin" w:hAnsi="IRNazanin" w:eastAsia="IRNazanin" w:cs="IRNazanin"/>
          <w:lang w:bidi="fa-IR"/>
          <w:color w:val="111111"/>
          <w:sz w:val="28"/>
          <w:szCs w:val="28"/>
          <w:rtl/>
        </w:rPr>
        <w:t xml:space="preserve">آغاز: یا محمد اخرج الينا كفانا من قريش فبرز اليهم ثلاثة من شبان الانصار فقال لهم عتبه من لكم انتم؛ انجام: باب ذکر طرف من اخبارهم وكان عبدالله بن على بن الحسين عليهم السلام يلى صدقات رسول الله ... اخبرني الشريف ابو محمد الحسن بن محمد. خط: نسخ، بی کا ،تا: قرن 7 ؛افتادگی: آغاز و انجام؛ مصحح، در ابتدا جزء دوم کتاب نوشته ای به این مضمون که محمد بن محمد بن زین العابدین حسینی شافعی در تاریخ رمضان 850 این کتاب را مطالعه کرده است، یادداشت مطالعه از محمد بن محمد بن بهادر مؤمنی شافعی در روز پنج شنبه مستهل جمادى الاول سال... (؟)؛ مهر: «الراجی محمد تقی بن محمدرضا» (بیضی)؛ جلد: تیماج قهوه ای، مجدول ،گرهی ،179گ ،مختلف السطر ، اندازه: 16</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1 - 316]</w:t>
      </w:r>
    </w:p>
    <w:p>
      <w:pPr>
        <w:pStyle w:val="BookText"/>
      </w:pPr>
      <w:r>
        <w:rPr>
          <w:rFonts w:ascii="IRNazanin" w:hAnsi="IRNazanin" w:eastAsia="IRNazanin" w:cs="IRNazanin"/>
          <w:lang w:bidi="fa-IR"/>
          <w:color w:val="111111"/>
          <w:sz w:val="28"/>
          <w:szCs w:val="28"/>
          <w:rtl/>
        </w:rPr>
        <w:t xml:space="preserve">قم؛ مرعشی؛ شماره نسخه 1181 عکسی و 1543 عکسی</w:t>
      </w:r>
    </w:p>
    <w:p>
      <w:pPr>
        <w:pStyle w:val="BookText"/>
      </w:pPr>
      <w:r>
        <w:rPr>
          <w:rFonts w:ascii="IRNazanin" w:hAnsi="IRNazanin" w:eastAsia="IRNazanin" w:cs="IRNazanin"/>
          <w:lang w:bidi="fa-IR"/>
          <w:color w:val="111111"/>
          <w:sz w:val="28"/>
          <w:szCs w:val="28"/>
          <w:rtl/>
        </w:rPr>
        <w:t xml:space="preserve">نسخه اصل: همان نسخه بالا [عکسی ف: 3 - 408 و 4 - 465]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قم؛ مرعشی؛ شماره نسخه 7220</w:t>
      </w:r>
    </w:p>
    <w:p>
      <w:pPr>
        <w:pStyle w:val="BookText"/>
      </w:pPr>
      <w:r>
        <w:rPr>
          <w:rFonts w:ascii="Amiri" w:hAnsi="Amiri" w:eastAsia="Amiri" w:cs="Amiri"/>
          <w:lang w:bidi="ar-SA"/>
          <w:color w:val="111111"/>
          <w:sz w:val="28"/>
          <w:szCs w:val="28"/>
          <w:rtl/>
        </w:rPr>
        <w:t xml:space="preserve">انجام: و خراب دورها و فناء يقع في أهلها وشمول أهل العراق</w:t>
      </w:r>
    </w:p>
    <w:p>
      <w:pPr>
        <w:pStyle w:val="BookText"/>
      </w:pPr>
      <w:r>
        <w:rPr>
          <w:rFonts w:ascii="IRNazanin" w:hAnsi="IRNazanin" w:eastAsia="IRNazanin" w:cs="IRNazanin"/>
          <w:lang w:bidi="fa-IR"/>
          <w:color w:val="111111"/>
          <w:sz w:val="28"/>
          <w:szCs w:val="28"/>
          <w:rtl/>
        </w:rPr>
        <w:t xml:space="preserve">خط: نسخ (با دو خط) کا: سلیمان بن محمد بن سليمان حائری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غروی (جزء اول) تا: گویا قرن 7ق ،جا: نجف اشرف؛ افتادگی: انجام؛ پنج برگ اول از سده اول از سده دهم؛ تملک: حسن بن علی بن حسن بن شدقم حسینی مدنی به تاریخ 987 با مهر «الواثق بالنبى المر حسن بن محمد بن شدقم» (دایره) فتحعلی زند به تاریخ . رجب 1246 (این شخص نسخه را تصحیح کرده وچند حاشیه دارد و فرزندش عبدالحسین زند به تاریخ رجب 1248؛ جلد: تیماج قهوه ای، 363گ، مختلف السطر ، اندازه: 22</w:t>
      </w:r>
      <w:r>
        <w:rPr>
          <w:rFonts w:ascii="Times New Roman" w:hAnsi="Times New Roman" w:eastAsia="Times New Roman" w:cs="Times New Roman"/>
          <w:lang w:val="en-US" w:bidi="en-US"/>
          <w:color w:val="111111"/>
          <w:sz w:val="28"/>
          <w:szCs w:val="28"/>
          <w:rtl/>
        </w:rPr>
        <w:t xml:space="preserve">×15/5</w:t>
      </w:r>
      <w:r>
        <w:rPr>
          <w:rFonts w:ascii="IRNazanin" w:hAnsi="IRNazanin" w:eastAsia="IRNazanin" w:cs="IRNazanin"/>
          <w:lang w:bidi="fa-IR"/>
          <w:color w:val="111111"/>
          <w:sz w:val="28"/>
          <w:szCs w:val="28"/>
          <w:rtl/>
        </w:rPr>
        <w:t xml:space="preserve">سم [ 19- 28]</w:t>
      </w:r>
    </w:p>
    <w:p>
      <w:pPr>
        <w:pStyle w:val="BookText"/>
      </w:pPr>
      <w:r>
        <w:rPr>
          <w:rFonts w:ascii="IRNazanin" w:hAnsi="IRNazanin" w:eastAsia="IRNazanin" w:cs="IRNazanin"/>
          <w:lang w:bidi="fa-IR"/>
          <w:color w:val="111111"/>
          <w:sz w:val="28"/>
          <w:szCs w:val="28"/>
          <w:rtl/>
        </w:rPr>
        <w:t xml:space="preserve">5.تهران؛ مجلس؛ شماره نسخه : 691-طباطبائی</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جلد اول؛ خط: نسخ و نستعلیق، بی کا، تا: قرن 8 مهر: «عبدالله محمد قلی»؛ کاغذ: سمرقندی، جلد: تیماج مشکی، 143گ، 15سطر ، اندازه: 12 </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 [ف: 24 - 424]</w:t>
      </w:r>
    </w:p>
    <w:p>
      <w:pPr>
        <w:pStyle w:val="BookText"/>
      </w:pPr>
      <w:r>
        <w:rPr>
          <w:rFonts w:ascii="IRNazanin" w:hAnsi="IRNazanin" w:eastAsia="IRNazanin" w:cs="IRNazanin"/>
          <w:lang w:bidi="fa-IR"/>
          <w:color w:val="111111"/>
          <w:sz w:val="28"/>
          <w:szCs w:val="28"/>
          <w:rtl/>
        </w:rPr>
        <w:t xml:space="preserve">6 . مشهد؛ رضوی؛ شماره نسخه: 9732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جلد 2-1 ؛خط: نسخ، کا: ابراهیم معروف به شیخ الاسلام سروی ،تا: قرن 10 و 11؛ واقف: خان بابا ،مشار، اردیبهشت 1346 ؛کاغذ: نخودی، جلد: تیماج عنابی ضربی با ترنج وسرترنج، 293گ،16 و 17 سطر ، اندازه: 11/7</w:t>
      </w:r>
      <w:r>
        <w:rPr>
          <w:rFonts w:ascii="Times New Roman" w:hAnsi="Times New Roman" w:eastAsia="Times New Roman" w:cs="Times New Roman"/>
          <w:lang w:val="en-US" w:bidi="en-US"/>
          <w:color w:val="111111"/>
          <w:sz w:val="28"/>
          <w:szCs w:val="28"/>
          <w:rtl/>
        </w:rPr>
        <w:t xml:space="preserve">×18/2</w:t>
      </w:r>
      <w:r>
        <w:rPr>
          <w:rFonts w:ascii="IRNazanin" w:hAnsi="IRNazanin" w:eastAsia="IRNazanin" w:cs="IRNazanin"/>
          <w:lang w:bidi="fa-IR"/>
          <w:color w:val="111111"/>
          <w:sz w:val="28"/>
          <w:szCs w:val="28"/>
          <w:rtl/>
        </w:rPr>
        <w:t xml:space="preserve">سم [ف: 14 - 49]</w:t>
      </w:r>
    </w:p>
    <w:p>
      <w:pPr>
        <w:pStyle w:val="BookText"/>
      </w:pPr>
      <w:r>
        <w:rPr>
          <w:rFonts w:ascii="IRNazanin" w:hAnsi="IRNazanin" w:eastAsia="IRNazanin" w:cs="IRNazanin"/>
          <w:lang w:bidi="fa-IR"/>
          <w:color w:val="111111"/>
          <w:sz w:val="28"/>
          <w:szCs w:val="28"/>
          <w:rtl/>
        </w:rPr>
        <w:t xml:space="preserve">قم؛ مرعشی؛ شماره نسخه: 1785</w:t>
      </w:r>
    </w:p>
    <w:p>
      <w:pPr>
        <w:pStyle w:val="BookText"/>
      </w:pPr>
      <w:r>
        <w:rPr>
          <w:rFonts w:ascii="IRNazanin" w:hAnsi="IRNazanin" w:eastAsia="IRNazanin" w:cs="IRNazanin"/>
          <w:lang w:bidi="fa-IR"/>
          <w:color w:val="111111"/>
          <w:sz w:val="28"/>
          <w:szCs w:val="28"/>
          <w:rtl/>
        </w:rPr>
        <w:t xml:space="preserve">نسخه اصل: همان نسخه بالا [عکسی ف: 5 - 234]</w:t>
      </w:r>
    </w:p>
    <w:p>
      <w:pPr>
        <w:pStyle w:val="BookText"/>
      </w:pPr>
      <w:r>
        <w:rPr>
          <w:rFonts w:ascii="IRNazanin" w:hAnsi="IRNazanin" w:eastAsia="IRNazanin" w:cs="IRNazanin"/>
          <w:lang w:bidi="fa-IR"/>
          <w:color w:val="111111"/>
          <w:sz w:val="28"/>
          <w:szCs w:val="28"/>
          <w:rtl/>
        </w:rPr>
        <w:t xml:space="preserve">7 .قم؛ مرعشی؛ شماره نسخه: 1055 و 1783 عکسی و 1784 عکسی</w:t>
      </w:r>
    </w:p>
    <w:p>
      <w:pPr>
        <w:pStyle w:val="BookText"/>
      </w:pPr>
      <w:r>
        <w:rPr>
          <w:rFonts w:ascii="Amiri" w:hAnsi="Amiri" w:eastAsia="Amiri" w:cs="Amiri"/>
          <w:lang w:bidi="ar-SA"/>
          <w:color w:val="111111"/>
          <w:sz w:val="28"/>
          <w:szCs w:val="28"/>
          <w:rtl/>
        </w:rPr>
        <w:t xml:space="preserve">آغاز: و قوف العارف بهم و يظهر الفرق ما بين الدعاوى الاعتقادات فيهم فتميز بنظرك فيه؛ انجام: فأبى عليه الرضا اباءاً شديداً فاستدعاه اليه و خلابه و معه الفضل بن ...</w:t>
      </w:r>
    </w:p>
    <w:p>
      <w:pPr>
        <w:pStyle w:val="BookText"/>
      </w:pPr>
      <w:r>
        <w:rPr>
          <w:rFonts w:ascii="IRNazanin" w:hAnsi="IRNazanin" w:eastAsia="IRNazanin" w:cs="IRNazanin"/>
          <w:lang w:bidi="fa-IR"/>
          <w:color w:val="111111"/>
          <w:sz w:val="28"/>
          <w:szCs w:val="28"/>
          <w:rtl/>
        </w:rPr>
        <w:t xml:space="preserve">خط: نسخ، کا: سید حسین بن كمال بن ابراهيم مرتضى بن جعفر حسینی، تا: 12 شوال 946ق؛ افتادگی: آغاز: انجام ؛مصحح؛ تملک: سید محمد علی ابن میر سید محمد طباطبائی؛ جلد: تیماج قهوه ای ضربی، 240گ، 17 سطر ، اندازه:24</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سم [ف: 3 - 243] و [عکسی ف: 5 - 233]</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قم؛ مرکز احیاء؛ شماره نسخه: 536</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معرب، کا: محيى الدين بن احمد بن محيى الدين علی [بن ایوب] بصری اصلا بحرانی مسکنا ،تا: یک شنبه 19 رجب 947ق؛ نسخه افتادگی هایی داشته و شرف الدين على بن محمد نصیر حسنی حسینی مشهور به دست غیب به تاریخ سه شنبه س رجب 1115 آنها را به خط نستعلیق تکمیل کرده و نسخه تصحیح و ترمیم نموده و حواشی لغوی و جز آن بر کتاب نوشته است؛ تملک: عبد الحسين بن محمد بن محمد علی بزاز به تاریخ</w:t>
      </w:r>
    </w:p>
    <w:p>
      <w:pPr>
        <w:pStyle w:val="BookText"/>
      </w:pPr>
      <w:r>
        <w:rPr>
          <w:rFonts w:ascii="IRNazanin" w:hAnsi="IRNazanin" w:eastAsia="IRNazanin" w:cs="IRNazanin"/>
          <w:lang w:bidi="fa-IR"/>
          <w:color w:val="111111"/>
          <w:sz w:val="28"/>
          <w:szCs w:val="28"/>
          <w:rtl/>
        </w:rPr>
        <w:t xml:space="preserve">ذیحجه 1122 با مهر «عبده عبد الحسين» (بیضی)؛ مهر: «عبده الله الحسینی» (بیضی) جلد: دو رو تیماج رو قرمز پشت قهوه ای، 231گ مختلف السطر ، اندازه 21</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2 - 169]</w:t>
      </w:r>
    </w:p>
    <w:p>
      <w:pPr>
        <w:pStyle w:val="BookText"/>
      </w:pPr>
      <w:r>
        <w:rPr>
          <w:rFonts w:ascii="IRNazanin" w:hAnsi="IRNazanin" w:eastAsia="IRNazanin" w:cs="IRNazanin"/>
          <w:lang w:bidi="fa-IR"/>
          <w:color w:val="111111"/>
          <w:sz w:val="28"/>
          <w:szCs w:val="28"/>
          <w:rtl/>
        </w:rPr>
        <w:t xml:space="preserve">9 .قم؛ مرعشی؛ شماره نسخه: 12459</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ملا فتح الله کاشانی (صاحب تفسير منهج الصادقين و خلاصة المنهج) ، تا: 5 صفر 968ق؛ مصحح؛ تملك: هادي بن محمد تقی نوری (برادر محدث بزرگ حاج میرزا حسین ،نوری ،عبدالله، نوه آقا باقر، محمد باقر، محمد بن احمد زین الدین سید علی موسوی و عبدالنبی بن رضی بحرانی در سال 1158 با مهر «الواثق بالله عبدالنبی بن رضی» (مربع)، محمد مؤمن با مهر بیضی، عبدالله بن مبارك بن علی؛ کاغذ: شرقی، جلد: چرم زرشکی مجدول درون کاغذ،لاجوردی 187گ 20 سطر (7</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 اندازه: 13/5</w:t>
      </w:r>
      <w:r>
        <w:rPr>
          <w:rFonts w:ascii="Times New Roman" w:hAnsi="Times New Roman" w:eastAsia="Times New Roman" w:cs="Times New Roman"/>
          <w:lang w:val="en-US" w:bidi="en-US"/>
          <w:color w:val="111111"/>
          <w:sz w:val="28"/>
          <w:szCs w:val="28"/>
          <w:rtl/>
        </w:rPr>
        <w:t xml:space="preserve">×19/5</w:t>
      </w:r>
      <w:r>
        <w:rPr>
          <w:rFonts w:ascii="IRNazanin" w:hAnsi="IRNazanin" w:eastAsia="IRNazanin" w:cs="IRNazanin"/>
          <w:lang w:bidi="fa-IR"/>
          <w:color w:val="111111"/>
          <w:sz w:val="28"/>
          <w:szCs w:val="28"/>
          <w:rtl/>
        </w:rPr>
        <w:t xml:space="preserve">سم [ف: 31 - 457]</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یزد؛ مدرسی؛ شماره نسخه: بدون شماره</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،کهن، كا: ابن حبيب الله بن عبدالباقي بن نعمة الله الثاني بن ظهیرالدین علی بن نور الله بن خلیل الله بن نعمة الله ولی، تا :6 شعبان 977ق جلد: تیماج قرمز ضربی لولادار، 353گ، 15 سطر (18 </w:t>
      </w:r>
      <w:r>
        <w:rPr>
          <w:rFonts w:ascii="Times New Roman" w:hAnsi="Times New Roman" w:eastAsia="Times New Roman" w:cs="Times New Roman"/>
          <w:lang w:val="en-US" w:bidi="en-US"/>
          <w:color w:val="111111"/>
          <w:sz w:val="28"/>
          <w:szCs w:val="28"/>
          <w:rtl/>
        </w:rPr>
        <w:t xml:space="preserve">×26) </w:t>
      </w:r>
      <w:r>
        <w:rPr>
          <w:rFonts w:ascii="IRNazanin" w:hAnsi="IRNazanin" w:eastAsia="IRNazanin" w:cs="IRNazanin"/>
          <w:lang w:bidi="fa-IR"/>
          <w:color w:val="111111"/>
          <w:sz w:val="28"/>
          <w:szCs w:val="28"/>
          <w:rtl/>
        </w:rPr>
        <w:t xml:space="preserve">، اندازه: 11 </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سم [ میراث اسلامی: 8 -433]</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تبریز؛ مدرسه ولیعصر تبریز؛ شماره نسخه: 14</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 نسخ، کا: احمد بن حسن بن احمد بن مهیا حسینی هجری، تا: جزء اول 18 جمادى الثانى ،990، جزء دوم شنبه 30 جمادی الثاني 990؛ از روی نسخه ای نوشته شده که از روی نسخه ای نوشته شده بود و بر آن دستخط شیخ مفید مبنی بر قرائت نسخه توسط شیخ ابو عبدالله محمد بن عبدالله العبدى البحراني، موجود بوده است؛ جلد: تیماج قهوه ای 220گ، 19 سطر ، اندازه: 20</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[مخ ]</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تهران؛ دانشگاه؛ شماره نسخه: 4534</w:t>
      </w:r>
    </w:p>
    <w:p>
      <w:pPr>
        <w:pStyle w:val="BookText"/>
      </w:pPr>
      <w:r>
        <w:rPr>
          <w:rFonts w:ascii="IRNazanin" w:hAnsi="IRNazanin" w:eastAsia="IRNazanin" w:cs="IRNazanin"/>
          <w:lang w:bidi="fa-IR"/>
          <w:color w:val="111111"/>
          <w:sz w:val="28"/>
          <w:szCs w:val="28"/>
          <w:rtl/>
        </w:rPr>
        <w:t xml:space="preserve">خط: نسخ، بی کا، تا: قرن 11؛ نسخه برابر است با س9 ص 2 تا س 15 ص 238 چاپ 1320ق؛ کاغذ: سپاهانی، جلد:تیماج مشکی ضربی مقوایی 299گ، 15 سطر (6</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12</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[ف: 13- 3484]</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تهران؛ دانشگاه؛ شماره نسخه: 6405</w:t>
      </w:r>
    </w:p>
    <w:p>
      <w:pPr>
        <w:pStyle w:val="BookText"/>
      </w:pPr>
      <w:r>
        <w:rPr>
          <w:rFonts w:ascii="IRNazanin" w:hAnsi="IRNazanin" w:eastAsia="IRNazanin" w:cs="IRNazanin"/>
          <w:lang w:bidi="fa-IR"/>
          <w:color w:val="111111"/>
          <w:sz w:val="28"/>
          <w:szCs w:val="28"/>
          <w:rtl/>
        </w:rPr>
        <w:t xml:space="preserve">خط: نسخ، بی کا، تا: قرن 11؛ افتادگی: انجام؛ تملک: علی بن مراد شیرازی در ذیقعده 1140؛ مهر: محمد کاظم که به پانزده هزار دینار خریده است؛ کاغذ ،سپاهانی، جلد: تیماج تریاکی ضربی لایی، 227گ، 24 سطر (10</w:t>
      </w:r>
      <w:r>
        <w:rPr>
          <w:rFonts w:ascii="Times New Roman" w:hAnsi="Times New Roman" w:eastAsia="Times New Roman" w:cs="Times New Roman"/>
          <w:lang w:val="en-US" w:bidi="en-US"/>
          <w:color w:val="111111"/>
          <w:sz w:val="28"/>
          <w:szCs w:val="28"/>
          <w:rtl/>
        </w:rPr>
        <w:t xml:space="preserve">×23)</w:t>
      </w:r>
      <w:r>
        <w:rPr>
          <w:rFonts w:ascii="IRNazanin" w:hAnsi="IRNazanin" w:eastAsia="IRNazanin" w:cs="IRNazanin"/>
          <w:lang w:bidi="fa-IR"/>
          <w:color w:val="111111"/>
          <w:sz w:val="28"/>
          <w:szCs w:val="28"/>
          <w:rtl/>
        </w:rPr>
        <w:t xml:space="preserve">، قطع: ربعی :اندازه: 10</w:t>
      </w:r>
      <w:r>
        <w:rPr>
          <w:rFonts w:ascii="Times New Roman" w:hAnsi="Times New Roman" w:eastAsia="Times New Roman" w:cs="Times New Roman"/>
          <w:lang w:val="en-US" w:bidi="en-US"/>
          <w:color w:val="111111"/>
          <w:sz w:val="28"/>
          <w:szCs w:val="28"/>
          <w:rtl/>
        </w:rPr>
        <w:t xml:space="preserve">×23</w:t>
      </w:r>
      <w:r>
        <w:rPr>
          <w:rFonts w:ascii="IRNazanin" w:hAnsi="IRNazanin" w:eastAsia="IRNazanin" w:cs="IRNazanin"/>
          <w:lang w:bidi="fa-IR"/>
          <w:color w:val="111111"/>
          <w:sz w:val="28"/>
          <w:szCs w:val="28"/>
          <w:rtl/>
        </w:rPr>
        <w:t xml:space="preserve">سم [ف: 16 - 259]</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کاشان؛ رضوی؛ شماره نسخه: 3</w:t>
      </w:r>
    </w:p>
    <w:p>
      <w:pPr>
        <w:pStyle w:val="BookText"/>
      </w:pPr>
      <w:r>
        <w:rPr>
          <w:rFonts w:ascii="IRNazanin" w:hAnsi="IRNazanin" w:eastAsia="IRNazanin" w:cs="IRNazanin"/>
          <w:lang w:bidi="fa-IR"/>
          <w:color w:val="111111"/>
          <w:sz w:val="28"/>
          <w:szCs w:val="28"/>
          <w:rtl/>
        </w:rPr>
        <w:t xml:space="preserve">خط: نسخ، بی کا، تا: قرن 11؛ آن را از ابوالفتح یحیی بن علی در سال 4 .. (پاره شده) از ابوالمعالی احمد بن علی در 478 روایت نموده اند؛ تملک ابن حاجی محسن محمد طاهر، نورالدين محمد؛ قطع: وزیری [نشریه: 7 - 32]</w:t>
      </w:r>
    </w:p>
    <w:p>
      <w:pPr>
        <w:pStyle w:val="BookText"/>
      </w:pPr>
      <w:r>
        <w:rPr>
          <w:rFonts w:ascii="IRNazanin" w:hAnsi="IRNazanin" w:eastAsia="IRNazanin" w:cs="IRNazanin"/>
          <w:lang w:bidi="fa-IR"/>
          <w:color w:val="111111"/>
          <w:sz w:val="28"/>
          <w:szCs w:val="28"/>
          <w:rtl/>
        </w:rPr>
        <w:t xml:space="preserve">15 . مشهد؛ مدرسه آیة الله خوئی؛ شماره نسخه: 377</w:t>
      </w:r>
    </w:p>
    <w:p>
      <w:pPr>
        <w:pStyle w:val="BookText"/>
      </w:pPr>
      <w:r>
        <w:rPr>
          <w:rFonts w:ascii="IRNazanin" w:hAnsi="IRNazanin" w:eastAsia="IRNazanin" w:cs="IRNazanin"/>
          <w:lang w:bidi="fa-IR"/>
          <w:color w:val="111111"/>
          <w:sz w:val="28"/>
          <w:szCs w:val="28"/>
          <w:rtl/>
        </w:rPr>
        <w:t xml:space="preserve">کا: نصرالله بن حاجی عبدالله (جلد اول) و شیخ حسین بن مطر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جزایری (جلد دوم) تا: قرن 11 [اوراق عتيق: 1 - 241]</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تهران؛ مفتاح؛ شماره نسخه: 116</w:t>
      </w:r>
    </w:p>
    <w:p>
      <w:pPr>
        <w:pStyle w:val="BookText"/>
      </w:pPr>
      <w:r>
        <w:rPr>
          <w:rFonts w:ascii="IRNazanin" w:hAnsi="IRNazanin" w:eastAsia="IRNazanin" w:cs="IRNazanin"/>
          <w:lang w:bidi="fa-IR"/>
          <w:color w:val="111111"/>
          <w:sz w:val="28"/>
          <w:szCs w:val="28"/>
          <w:rtl/>
        </w:rPr>
        <w:t xml:space="preserve">دو جزو؛ خط: نستعلیق، بی کا ،تا: قرن 11 مجدول خریدار 1294؛ قطع: وزیری [ نشریه: 7 - 100]</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قم؛ حجتیه؛ شماره نسخه: 195</w:t>
      </w:r>
    </w:p>
    <w:p>
      <w:pPr>
        <w:pStyle w:val="BookText"/>
      </w:pPr>
      <w:r>
        <w:rPr>
          <w:rFonts w:ascii="IRNazanin" w:hAnsi="IRNazanin" w:eastAsia="IRNazanin" w:cs="IRNazanin"/>
          <w:lang w:bidi="fa-IR"/>
          <w:color w:val="111111"/>
          <w:sz w:val="28"/>
          <w:szCs w:val="28"/>
          <w:rtl/>
        </w:rPr>
        <w:t xml:space="preserve">خط: نسخ، بی کا ،تا: قرن 11 ؛تملک: شمس الدين على بن شجاع الدين محمود حسینی موسوی رضوی، محمد بن حيدر نعيمی بحرانی :[ف: 35]</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یزد؛ وزیری؛ شماره نسخه 1873</w:t>
      </w:r>
    </w:p>
    <w:p>
      <w:pPr>
        <w:pStyle w:val="BookText"/>
      </w:pPr>
      <w:r>
        <w:rPr>
          <w:rFonts w:ascii="Amiri" w:hAnsi="Amiri" w:eastAsia="Amiri" w:cs="Amiri"/>
          <w:lang w:bidi="ar-SA"/>
          <w:color w:val="111111"/>
          <w:sz w:val="28"/>
          <w:szCs w:val="28"/>
          <w:rtl/>
        </w:rPr>
        <w:t xml:space="preserve">آغاز: و لم يولد قبله ولا بعده مولود في بيت الله تعالى سواه</w:t>
      </w:r>
    </w:p>
    <w:p>
      <w:pPr>
        <w:pStyle w:val="BookText"/>
      </w:pPr>
      <w:r>
        <w:rPr>
          <w:rFonts w:ascii="IRNazanin" w:hAnsi="IRNazanin" w:eastAsia="IRNazanin" w:cs="IRNazanin"/>
          <w:lang w:bidi="fa-IR"/>
          <w:color w:val="111111"/>
          <w:sz w:val="28"/>
          <w:szCs w:val="28"/>
          <w:rtl/>
        </w:rPr>
        <w:t xml:space="preserve">خط: نسخ، بی کا، تا: اواخر قرن 11؛ کاغذ: اصفهانی آهار مهره، 191گ 20 سطر (8/5</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ف: 3 - 1081]</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قم؛ مرکز احیاء؛ شماره نسخه: 2565</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11؛ مصحح، محشی؛ جلد: تیماج ،مشکی، 272گ، 15 سطر ، اندازه: 12</w:t>
      </w:r>
      <w:r>
        <w:rPr>
          <w:rFonts w:ascii="Times New Roman" w:hAnsi="Times New Roman" w:eastAsia="Times New Roman" w:cs="Times New Roman"/>
          <w:lang w:val="en-US" w:bidi="en-US"/>
          <w:color w:val="111111"/>
          <w:sz w:val="28"/>
          <w:szCs w:val="28"/>
          <w:rtl/>
        </w:rPr>
        <w:t xml:space="preserve">×17/5</w:t>
      </w:r>
      <w:r>
        <w:rPr>
          <w:rFonts w:ascii="IRNazanin" w:hAnsi="IRNazanin" w:eastAsia="IRNazanin" w:cs="IRNazanin"/>
          <w:lang w:bidi="fa-IR"/>
          <w:color w:val="111111"/>
          <w:sz w:val="28"/>
          <w:szCs w:val="28"/>
          <w:rtl/>
        </w:rPr>
        <w:t xml:space="preserve">سم [محدث ارموی مخ: 1 - 117]</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مشهد؛ رضوی؛ شماره نسخه: 14227</w:t>
      </w:r>
    </w:p>
    <w:p>
      <w:pPr>
        <w:pStyle w:val="BookText"/>
      </w:pPr>
      <w:r>
        <w:rPr>
          <w:rFonts w:ascii="IRNazanin" w:hAnsi="IRNazanin" w:eastAsia="IRNazanin" w:cs="IRNazanin"/>
          <w:lang w:bidi="fa-IR"/>
          <w:color w:val="111111"/>
          <w:sz w:val="28"/>
          <w:szCs w:val="28"/>
          <w:rtl/>
        </w:rPr>
        <w:t xml:space="preserve">آغاز: برابر؛ انجام: تكأكأ الابل الهيم على حياضنا حرصا علی بیعتی خفت ان يقتل بعضكم.</w:t>
      </w:r>
    </w:p>
    <w:p>
      <w:pPr>
        <w:pStyle w:val="BookText"/>
      </w:pPr>
      <w:r>
        <w:rPr>
          <w:rFonts w:ascii="IRNazanin" w:hAnsi="IRNazanin" w:eastAsia="IRNazanin" w:cs="IRNazanin"/>
          <w:lang w:bidi="fa-IR"/>
          <w:color w:val="111111"/>
          <w:sz w:val="28"/>
          <w:szCs w:val="28"/>
          <w:rtl/>
        </w:rPr>
        <w:t xml:space="preserve">جلد 1؛ خط: نستعلیق، بی کا، تا: قرن 11؛ افتادگی: انجام (30برگ)  دارای حواشی با نشان «ق»؛ واقف: سید محمد سبزواری، محرم 1405 ؛کاغذ: آهار مهره ،نخودی ،جلد: تیماج  قهوه ای ضربی با ترنج و سرترنج، 64گ، 18 سطر ، اندازه: 15/4</w:t>
      </w:r>
      <w:r>
        <w:rPr>
          <w:rFonts w:ascii="Times New Roman" w:hAnsi="Times New Roman" w:eastAsia="Times New Roman" w:cs="Times New Roman"/>
          <w:lang w:val="en-US" w:bidi="en-US"/>
          <w:color w:val="111111"/>
          <w:sz w:val="28"/>
          <w:szCs w:val="28"/>
          <w:rtl/>
        </w:rPr>
        <w:t xml:space="preserve">×19/5</w:t>
      </w:r>
      <w:r>
        <w:rPr>
          <w:rFonts w:ascii="IRNazanin" w:hAnsi="IRNazanin" w:eastAsia="IRNazanin" w:cs="IRNazanin"/>
          <w:lang w:bidi="fa-IR"/>
          <w:color w:val="111111"/>
          <w:sz w:val="28"/>
          <w:szCs w:val="28"/>
          <w:rtl/>
        </w:rPr>
        <w:t xml:space="preserve">سم [ف: 14 - 50]</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مشهد؛ الهیات؛ شماره نسخه: 22390</w:t>
      </w:r>
    </w:p>
    <w:p>
      <w:pPr>
        <w:pStyle w:val="BookText"/>
      </w:pPr>
      <w:r>
        <w:rPr>
          <w:rFonts w:ascii="IRNazanin" w:hAnsi="IRNazanin" w:eastAsia="IRNazanin" w:cs="IRNazanin"/>
          <w:lang w:bidi="fa-IR"/>
          <w:color w:val="111111"/>
          <w:sz w:val="28"/>
          <w:szCs w:val="28"/>
          <w:rtl/>
        </w:rPr>
        <w:t xml:space="preserve">خط: نسخ، بی کا، تا: 10 جمادی الاول 1028ق؛ مصحح؛ تملک:  حبيب الله بن محمد مهدی حسینی با مهر «افوض امرى الى الله الغنى عبده حبيب الله حسینی مورخ 1110ق»؛ کاغذ: حنائی؛ جلد: تیماج ،عنابی عطف و لبه تیماج قهوه ای 19 سطر (7</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اندازه 13/5 </w:t>
      </w:r>
      <w:r>
        <w:rPr>
          <w:rFonts w:ascii="Times New Roman" w:hAnsi="Times New Roman" w:eastAsia="Times New Roman" w:cs="Times New Roman"/>
          <w:lang w:val="en-US" w:bidi="en-US"/>
          <w:color w:val="111111"/>
          <w:sz w:val="28"/>
          <w:szCs w:val="28"/>
          <w:rtl/>
        </w:rPr>
        <w:t xml:space="preserve">×24</w:t>
      </w:r>
      <w:r>
        <w:rPr>
          <w:rFonts w:ascii="IRNazanin" w:hAnsi="IRNazanin" w:eastAsia="IRNazanin" w:cs="IRNazanin"/>
          <w:lang w:bidi="fa-IR"/>
          <w:color w:val="111111"/>
          <w:sz w:val="28"/>
          <w:szCs w:val="28"/>
          <w:rtl/>
        </w:rPr>
        <w:t xml:space="preserve">سم [ف: 2 - 239]</w:t>
      </w:r>
    </w:p>
    <w:p>
      <w:pPr>
        <w:pStyle w:val="BookText"/>
      </w:pPr>
      <w:r>
        <w:rPr>
          <w:rFonts w:ascii="IRNazanin" w:hAnsi="IRNazanin" w:eastAsia="IRNazanin" w:cs="IRNazanin"/>
          <w:lang w:bidi="fa-IR"/>
          <w:color w:val="111111"/>
          <w:sz w:val="28"/>
          <w:szCs w:val="28"/>
          <w:rtl/>
        </w:rPr>
        <w:t xml:space="preserve">22 . مشهد؛ رضوی؛ شماره نسخه:21503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شمس الدین محمد بن قاسم فقیه گیلانی، تا: جمعه 24 ربیع الثانى 1032ق؛ محشی دارای توضیح و تصحيح لغات؛ اهدایی رهبری، خرداد 1373 ؛کاغذ: الوان، جلد: تيماج عنابی ضربی لبه دار با ترنج و سرترنج زرین و آستر میشن قهوه ای 173 گ ، 23 سطر، اندازه: 14</w:t>
      </w:r>
      <w:r>
        <w:rPr>
          <w:rFonts w:ascii="Times New Roman" w:hAnsi="Times New Roman" w:eastAsia="Times New Roman" w:cs="Times New Roman"/>
          <w:lang w:val="en-US" w:bidi="en-US"/>
          <w:color w:val="111111"/>
          <w:sz w:val="28"/>
          <w:szCs w:val="28"/>
          <w:rtl/>
        </w:rPr>
        <w:t xml:space="preserve">×24/5 </w:t>
      </w:r>
      <w:r>
        <w:rPr>
          <w:rFonts w:ascii="IRNazanin" w:hAnsi="IRNazanin" w:eastAsia="IRNazanin" w:cs="IRNazanin"/>
          <w:lang w:bidi="fa-IR"/>
          <w:color w:val="111111"/>
          <w:sz w:val="28"/>
          <w:szCs w:val="28"/>
          <w:rtl/>
        </w:rPr>
        <w:t xml:space="preserve">سم [اهدائی - ف: 2 اخبار 1 - 84]</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قم؛ مرعشی؛ شماره نسخه: 9931/3</w:t>
      </w:r>
    </w:p>
    <w:p>
      <w:pPr>
        <w:pStyle w:val="BookText"/>
      </w:pPr>
      <w:r>
        <w:rPr>
          <w:rFonts w:ascii="IRNazanin" w:hAnsi="IRNazanin" w:eastAsia="IRNazanin" w:cs="IRNazanin"/>
          <w:lang w:bidi="fa-IR"/>
          <w:color w:val="111111"/>
          <w:sz w:val="28"/>
          <w:szCs w:val="28"/>
          <w:rtl/>
        </w:rPr>
        <w:t xml:space="preserve">از آغاز کتاب تا مقداری از نامه های حضرت امیر المؤمنين(علیه السّلام) در نسخه نوشته نشده است؛ خط: نسخ، کا: جمال الدین، تا:20 محرم 1034ق؛ جلد: مقوایی عطف تیماج قهوه ای، 162 گ ، ( 94پ - 256ر)، اندازه: 13</w:t>
      </w:r>
      <w:r>
        <w:rPr>
          <w:rFonts w:ascii="Times New Roman" w:hAnsi="Times New Roman" w:eastAsia="Times New Roman" w:cs="Times New Roman"/>
          <w:lang w:val="en-US" w:bidi="en-US"/>
          <w:color w:val="111111"/>
          <w:sz w:val="28"/>
          <w:szCs w:val="28"/>
          <w:rtl/>
        </w:rPr>
        <w:t xml:space="preserve">×19/5</w:t>
      </w:r>
      <w:r>
        <w:rPr>
          <w:rFonts w:ascii="IRNazanin" w:hAnsi="IRNazanin" w:eastAsia="IRNazanin" w:cs="IRNazanin"/>
          <w:lang w:bidi="fa-IR"/>
          <w:color w:val="111111"/>
          <w:sz w:val="28"/>
          <w:szCs w:val="28"/>
          <w:rtl/>
        </w:rPr>
        <w:t xml:space="preserve">سم [ف: 25 - 214]</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کرمانشاه؛ مدرسه آیة الله بروجردی؛ شماره نسخه: 25</w:t>
      </w:r>
    </w:p>
    <w:p>
      <w:pPr>
        <w:pStyle w:val="BookText"/>
      </w:pPr>
      <w:r>
        <w:rPr>
          <w:rFonts w:ascii="Amiri" w:hAnsi="Amiri" w:eastAsia="Amiri" w:cs="Amiri"/>
          <w:lang w:bidi="ar-SA"/>
          <w:color w:val="111111"/>
          <w:sz w:val="28"/>
          <w:szCs w:val="28"/>
          <w:rtl/>
        </w:rPr>
        <w:t xml:space="preserve">آغاز: الشريفين و هو اول من امن بالله و برسوله صلى الله عليه و آله من اهل بيته و الاصحاب</w:t>
      </w:r>
    </w:p>
    <w:p>
      <w:pPr>
        <w:pStyle w:val="BookText"/>
      </w:pPr>
      <w:r>
        <w:rPr>
          <w:rFonts w:ascii="IRNazanin" w:hAnsi="IRNazanin" w:eastAsia="IRNazanin" w:cs="IRNazanin"/>
          <w:lang w:bidi="fa-IR"/>
          <w:color w:val="111111"/>
          <w:sz w:val="28"/>
          <w:szCs w:val="28"/>
          <w:rtl/>
        </w:rPr>
        <w:t xml:space="preserve">خط: نسخ، کا: علی بن داود بن محمد بن محمود بن عبد الرحيم بن داود الخادم استرابادی، تا: 10 صفر 1064ق؛ افتادگی: آغاز؛ جلد: دورو تیماج رو قرمز پشت ،قهوه ای، 168گ، 21 سطر ، اندازه: 19/5</w:t>
      </w:r>
      <w:r>
        <w:rPr>
          <w:rFonts w:ascii="Times New Roman" w:hAnsi="Times New Roman" w:eastAsia="Times New Roman" w:cs="Times New Roman"/>
          <w:lang w:val="en-US" w:bidi="en-US"/>
          <w:color w:val="111111"/>
          <w:sz w:val="28"/>
          <w:szCs w:val="28"/>
          <w:rtl/>
        </w:rPr>
        <w:t xml:space="preserve">×25/5</w:t>
      </w:r>
      <w:r>
        <w:rPr>
          <w:rFonts w:ascii="IRNazanin" w:hAnsi="IRNazanin" w:eastAsia="IRNazanin" w:cs="IRNazanin"/>
          <w:lang w:bidi="fa-IR"/>
          <w:color w:val="111111"/>
          <w:sz w:val="28"/>
          <w:szCs w:val="28"/>
          <w:rtl/>
        </w:rPr>
        <w:t xml:space="preserve">سم [ف: 26]</w:t>
      </w:r>
    </w:p>
    <w:p>
      <w:pPr>
        <w:pStyle w:val="BookText"/>
      </w:pPr>
      <w:r>
        <w:rPr>
          <w:rFonts w:ascii="IRNazanin" w:hAnsi="IRNazanin" w:eastAsia="IRNazanin" w:cs="IRNazanin"/>
          <w:lang w:bidi="fa-IR"/>
          <w:color w:val="111111"/>
          <w:sz w:val="28"/>
          <w:szCs w:val="28"/>
          <w:rtl/>
        </w:rPr>
        <w:t xml:space="preserve">25.تهران؛ ملی؛ شماره نسخه: 3517</w:t>
      </w:r>
    </w:p>
    <w:p>
      <w:pPr>
        <w:pStyle w:val="BookText"/>
      </w:pPr>
      <w:r>
        <w:rPr>
          <w:rFonts w:ascii="IRNazanin" w:hAnsi="IRNazanin" w:eastAsia="IRNazanin" w:cs="IRNazanin"/>
          <w:lang w:bidi="fa-IR"/>
          <w:color w:val="111111"/>
          <w:sz w:val="28"/>
          <w:szCs w:val="28"/>
          <w:rtl/>
        </w:rPr>
        <w:t xml:space="preserve">خط: نسخ و نستعلیق، کا: حبیب الله بن عنایت الله حسینی طهرانی ،تا: ،1076ق :جا ،شیراز، مدرسه اسماعیلیه؛ شرح لغات متن با استفاده از کتب لغت همچون «قاموس» و «صحاح» در حواشی اوراق، مطابق با یادداشت حاشیه ص 100 نسخه توسط ملا محمد صالح مقابله و در حواشی تصحیح شده، در ظهر برگ 204 یادداشت هبه کتاب توسط کاتب نسخه به فرزندش محمد علی حسینی همراه با یادداشت ثبت تاریخ ولادت فرزند کاتب به سال 1079؛ تملک: محمد حسين بنجعفر الحویزی؛ مهر: «محمد علی» (بیضی) «یا صالح المومنين» (بیضی)، «یا امام موسی کاظم، 1133» (بیضی) کاغذ: دولت آبادی شکری، جلد: تیماج زیتونی ضربی ،مقوایی 208گ 21 سطر (6/5</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 اندازه: 13</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سم [ف: 16 - 33]</w:t>
      </w:r>
    </w:p>
    <w:p>
      <w:pPr>
        <w:pStyle w:val="BookText"/>
      </w:pPr>
      <w:r>
        <w:rPr>
          <w:rFonts w:ascii="IRNazanin" w:hAnsi="IRNazanin" w:eastAsia="IRNazanin" w:cs="IRNazanin"/>
          <w:lang w:bidi="fa-IR"/>
          <w:color w:val="111111"/>
          <w:sz w:val="28"/>
          <w:szCs w:val="28"/>
          <w:rtl/>
        </w:rPr>
        <w:t xml:space="preserve">تهران؛ مفتاح؛ شماره نسخه 1043</w:t>
      </w:r>
    </w:p>
    <w:p>
      <w:pPr>
        <w:pStyle w:val="BookText"/>
      </w:pPr>
      <w:r>
        <w:rPr>
          <w:rFonts w:ascii="IRNazanin" w:hAnsi="IRNazanin" w:eastAsia="IRNazanin" w:cs="IRNazanin"/>
          <w:lang w:bidi="fa-IR"/>
          <w:color w:val="111111"/>
          <w:sz w:val="28"/>
          <w:szCs w:val="28"/>
          <w:rtl/>
        </w:rPr>
        <w:t xml:space="preserve">همان نسخه بالا :[نشریه: 7 - 100]</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تهران؛ مجلس؛ شماره نسخه: 4910</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1078ق؛ با سرلوح زرین، مجدول؛ مهر: محمد اسمعيل بن سيد على العريضى الموسوى 1154 (مربع)؛ کاغذ: اصفهانی ،جلد: تیماج ،لولادار 280گ، 19 سطر ، اندازه: 10</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14 - 136]</w:t>
      </w:r>
    </w:p>
    <w:p>
      <w:pPr>
        <w:pStyle w:val="BookText"/>
      </w:pPr>
      <w:r>
        <w:rPr>
          <w:rFonts w:ascii="IRNazanin" w:hAnsi="IRNazanin" w:eastAsia="IRNazanin" w:cs="IRNazanin"/>
          <w:lang w:bidi="fa-IR"/>
          <w:color w:val="111111"/>
          <w:sz w:val="28"/>
          <w:szCs w:val="28"/>
          <w:rtl/>
        </w:rPr>
        <w:t xml:space="preserve">27 .تهران؛ مهدوی؛ شماره نسخه: 319/1</w:t>
      </w:r>
    </w:p>
    <w:p>
      <w:pPr>
        <w:pStyle w:val="BookText"/>
      </w:pPr>
      <w:r>
        <w:rPr>
          <w:rFonts w:ascii="IRNazanin" w:hAnsi="IRNazanin" w:eastAsia="IRNazanin" w:cs="IRNazanin"/>
          <w:lang w:bidi="fa-IR"/>
          <w:color w:val="111111"/>
          <w:sz w:val="28"/>
          <w:szCs w:val="28"/>
          <w:rtl/>
        </w:rPr>
        <w:t xml:space="preserve">خط: نستعلیق، کا: میرزا محمد مهدی پسر حاجی محمد صادق ،تبریزی تا: یک شنبه 29 رمضان 1079ق؛ افتادگی: آغاز[ نشریه 2 - 111]</w:t>
      </w:r>
    </w:p>
    <w:p>
      <w:pPr>
        <w:pStyle w:val="BookText"/>
      </w:pPr>
      <w:r>
        <w:rPr>
          <w:rFonts w:ascii="IRNazanin" w:hAnsi="IRNazanin" w:eastAsia="IRNazanin" w:cs="IRNazanin"/>
          <w:lang w:bidi="fa-IR"/>
          <w:color w:val="111111"/>
          <w:sz w:val="28"/>
          <w:szCs w:val="28"/>
          <w:rtl/>
        </w:rPr>
        <w:t xml:space="preserve">28 .اصفهان؛ مهدوی مصلح الدین؛ شماره نسخه: 92</w:t>
      </w:r>
    </w:p>
    <w:p>
      <w:pPr>
        <w:pStyle w:val="BookText"/>
      </w:pPr>
      <w:r>
        <w:rPr>
          <w:rFonts w:ascii="IRNazanin" w:hAnsi="IRNazanin" w:eastAsia="IRNazanin" w:cs="IRNazanin"/>
          <w:lang w:bidi="fa-IR"/>
          <w:color w:val="111111"/>
          <w:sz w:val="28"/>
          <w:szCs w:val="28"/>
          <w:rtl/>
        </w:rPr>
        <w:t xml:space="preserve">خط: نسخ ،زیبا، بی کا، تا: 7 صفر 1082ق؛ کا تا 7 صفر 1082ق؛ مصحح، دارای نشان بلاغ؛ تملک: علی بن محمد بن حسن بن زین الدین عاملی، محمد بن رضی الدین هروی؛ جلد: تیماج ،عنابی، 167گ، 21 سطر ، :اندازه: 17/5</w:t>
      </w:r>
      <w:r>
        <w:rPr>
          <w:rFonts w:ascii="Times New Roman" w:hAnsi="Times New Roman" w:eastAsia="Times New Roman" w:cs="Times New Roman"/>
          <w:lang w:val="en-US" w:bidi="en-US"/>
          <w:color w:val="111111"/>
          <w:sz w:val="28"/>
          <w:szCs w:val="28"/>
          <w:rtl/>
        </w:rPr>
        <w:t xml:space="preserve">×25</w:t>
      </w:r>
      <w:r>
        <w:rPr>
          <w:rFonts w:ascii="IRNazanin" w:hAnsi="IRNazanin" w:eastAsia="IRNazanin" w:cs="IRNazanin"/>
          <w:lang w:bidi="fa-IR"/>
          <w:color w:val="111111"/>
          <w:sz w:val="28"/>
          <w:szCs w:val="28"/>
          <w:rtl/>
        </w:rPr>
        <w:t xml:space="preserve">سم [ف: 96]</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تهران؛ مجلس؛ شماره نسخه: 7393</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کا: صادق بن محمد بن حمدان الجزایری، تا: اواخر رمضان 1085ق؛ جلد: تیماج دورو قهوه ای سوخت دارای ترنج با سر لولادار، 176گ ، 25 سطر ، اندازه: 14</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25 - 376]</w:t>
      </w:r>
    </w:p>
    <w:p>
      <w:pPr>
        <w:pStyle w:val="BookText"/>
      </w:pPr>
      <w:r>
        <w:rPr>
          <w:rFonts w:ascii="IRNazanin" w:hAnsi="IRNazanin" w:eastAsia="IRNazanin" w:cs="IRNazanin"/>
          <w:lang w:bidi="fa-IR"/>
          <w:color w:val="111111"/>
          <w:sz w:val="28"/>
          <w:szCs w:val="28"/>
          <w:rtl/>
        </w:rPr>
        <w:t xml:space="preserve">30.قم؛ فیضیه؛ شماره نسخه 1702/1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 محمد شجاع بن محمد مسعود توسرکانی، تا: ذيقعده 1086ق؛ مصحح، محشی؛ 312 گ (1-313)، 15 سطر ،اندازه: 12</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[ف: 3 - 119]</w:t>
      </w:r>
    </w:p>
    <w:p>
      <w:pPr>
        <w:pStyle w:val="BookText"/>
      </w:pPr>
      <w:r>
        <w:rPr>
          <w:rFonts w:ascii="IRNazanin" w:hAnsi="IRNazanin" w:eastAsia="IRNazanin" w:cs="IRNazanin"/>
          <w:lang w:bidi="fa-IR"/>
          <w:color w:val="111111"/>
          <w:sz w:val="28"/>
          <w:szCs w:val="28"/>
          <w:rtl/>
        </w:rPr>
        <w:t xml:space="preserve">قم؛ مرعشی؛ شماره نسخه: 1225 عکسی و 1782 عکسی</w:t>
      </w:r>
    </w:p>
    <w:p>
      <w:pPr>
        <w:pStyle w:val="BookText"/>
      </w:pPr>
      <w:r>
        <w:rPr>
          <w:rFonts w:ascii="IRNazanin" w:hAnsi="IRNazanin" w:eastAsia="IRNazanin" w:cs="IRNazanin"/>
          <w:lang w:bidi="fa-IR"/>
          <w:color w:val="111111"/>
          <w:sz w:val="28"/>
          <w:szCs w:val="28"/>
          <w:rtl/>
        </w:rPr>
        <w:t xml:space="preserve">نسخه اصل: همان نسخه بالا [عکسی ف: 3 - 521 و 5 - 232]</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قم؛ مرکز احیاء؛ شماره نسخه: 2621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 نسخ، بی کا، تا: رمضان ،1086ق استكتاب علم الهدى فيضی کاشانی؛ مصحح؛ مهر: «بمحمد علم الهدى علم الهدى علم الهدى (بیضی)، «محمد بن صدرالدین محمد الفيضى» (بيضى) «المؤمن حى فى الدارين» (مربع)، «جمال الدين بن اسحق» (بیضی) «بن صدر الدین محمد ابی تراب الفيضى» (بيضى) تملکی به سال 1168 و 1367؛ جلد: تیماج قرمز تیره، 185گ، 21سطر ، اندازه: 15</w:t>
      </w:r>
      <w:r>
        <w:rPr>
          <w:rFonts w:ascii="Times New Roman" w:hAnsi="Times New Roman" w:eastAsia="Times New Roman" w:cs="Times New Roman"/>
          <w:lang w:val="en-US" w:bidi="en-US"/>
          <w:color w:val="111111"/>
          <w:sz w:val="28"/>
          <w:szCs w:val="28"/>
          <w:rtl/>
        </w:rPr>
        <w:t xml:space="preserve">×25</w:t>
      </w:r>
      <w:r>
        <w:rPr>
          <w:rFonts w:ascii="IRNazanin" w:hAnsi="IRNazanin" w:eastAsia="IRNazanin" w:cs="IRNazanin"/>
          <w:lang w:bidi="fa-IR"/>
          <w:color w:val="111111"/>
          <w:sz w:val="28"/>
          <w:szCs w:val="28"/>
          <w:rtl/>
        </w:rPr>
        <w:t xml:space="preserve">سم [محدث ارموی مخ: 1-117]</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تهران؛ ملی؛ شماره نسخه: 25666</w:t>
      </w:r>
    </w:p>
    <w:p>
      <w:pPr>
        <w:pStyle w:val="BookText"/>
      </w:pPr>
      <w:r>
        <w:rPr>
          <w:rFonts w:ascii="IRNazanin" w:hAnsi="IRNazanin" w:eastAsia="IRNazanin" w:cs="IRNazanin"/>
          <w:lang w:bidi="fa-IR"/>
          <w:color w:val="111111"/>
          <w:sz w:val="28"/>
          <w:szCs w:val="28"/>
          <w:rtl/>
        </w:rPr>
        <w:t xml:space="preserve">بی کا، تا: 1087ق؛ خریداری از احمد اقبالیان [رایانه]</w:t>
      </w:r>
    </w:p>
    <w:p>
      <w:pPr>
        <w:pStyle w:val="BookText"/>
      </w:pPr>
      <w:r>
        <w:rPr>
          <w:rFonts w:ascii="IRNazanin" w:hAnsi="IRNazanin" w:eastAsia="IRNazanin" w:cs="IRNazanin"/>
          <w:lang w:bidi="fa-IR"/>
          <w:color w:val="111111"/>
          <w:sz w:val="28"/>
          <w:szCs w:val="28"/>
          <w:rtl/>
        </w:rPr>
        <w:t xml:space="preserve">33 .مشهد؛ رضوی؛ شماره نسخه: 31734</w:t>
      </w:r>
    </w:p>
    <w:p>
      <w:pPr>
        <w:pStyle w:val="BookText"/>
      </w:pPr>
      <w:r>
        <w:rPr>
          <w:rFonts w:ascii="Amiri" w:hAnsi="Amiri" w:eastAsia="Amiri" w:cs="Amiri"/>
          <w:lang w:bidi="ar-SA"/>
          <w:color w:val="111111"/>
          <w:sz w:val="28"/>
          <w:szCs w:val="28"/>
          <w:rtl/>
        </w:rPr>
        <w:t xml:space="preserve">آغاز: أخبرنا السيد الاجل عميد الرؤساء. .. في سنة احدى عشر اربعمائة قال الحمد لله على ما الهم من معرفته</w:t>
      </w:r>
    </w:p>
    <w:p>
      <w:pPr>
        <w:pStyle w:val="BookText"/>
      </w:pPr>
      <w:r>
        <w:rPr>
          <w:rFonts w:ascii="IRNazanin" w:hAnsi="IRNazanin" w:eastAsia="IRNazanin" w:cs="IRNazanin"/>
          <w:lang w:bidi="fa-IR"/>
          <w:color w:val="111111"/>
          <w:sz w:val="28"/>
          <w:szCs w:val="28"/>
          <w:rtl/>
        </w:rPr>
        <w:t xml:space="preserve">جلد 1-2؛ خط: نسخ، کا: محمد باقر بن محمد مهدی مشهدی،تا: ذیحجه 1094ق ،مصحح، دارای نشان بلاغ؛ تملک: عبدالرسول بن حاجی علی ناصر حلی در غره رمضان1172 در مشهد الرضا ؛مهر: «عبده حاجی محمد» (بیضی) اهدایی رهبری، بهمن1383 ؛کاغذ: نخودی آهار ،مهره، جلد: تيماج فرنگی تریاکی با حواشی زرکوب، 145گ، 29 سطر ، اندازه: 15/5</w:t>
      </w:r>
      <w:r>
        <w:rPr>
          <w:rFonts w:ascii="Times New Roman" w:hAnsi="Times New Roman" w:eastAsia="Times New Roman" w:cs="Times New Roman"/>
          <w:lang w:val="en-US" w:bidi="en-US"/>
          <w:color w:val="111111"/>
          <w:sz w:val="28"/>
          <w:szCs w:val="28"/>
          <w:rtl/>
        </w:rPr>
        <w:t xml:space="preserve">× 23 </w:t>
      </w:r>
      <w:r>
        <w:rPr>
          <w:rFonts w:ascii="IRNazanin" w:hAnsi="IRNazanin" w:eastAsia="IRNazanin" w:cs="IRNazanin"/>
          <w:lang w:bidi="fa-IR"/>
          <w:color w:val="111111"/>
          <w:sz w:val="28"/>
          <w:szCs w:val="28"/>
          <w:rtl/>
        </w:rPr>
        <w:t xml:space="preserve">سم [ اهدائی - ف اخبار 1 - 85]</w:t>
      </w:r>
    </w:p>
    <w:p>
      <w:pPr>
        <w:pStyle w:val="BookText"/>
      </w:pPr>
      <w:r>
        <w:rPr>
          <w:rFonts w:ascii="IRNazanin" w:hAnsi="IRNazanin" w:eastAsia="IRNazanin" w:cs="IRNazanin"/>
          <w:lang w:bidi="fa-IR"/>
          <w:color w:val="111111"/>
          <w:sz w:val="28"/>
          <w:szCs w:val="28"/>
          <w:rtl/>
        </w:rPr>
        <w:t xml:space="preserve">34 . قم؛ گلپایگانی؛ شماره نسخه: 234-2/54</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جزء اول؛ خط: نستعليق، كا: جعفر بن غازی ،رازی، تا: 1094 ق؛ مصحح، دارای علامت بلاغ و در آخر نسخه آمده است: «بلغ قبالاً ایده الله تعالی» جلد: تیماج دو رو قهوه ای عطف مشکی حاشیه پشت طبله ها ،سرخ 114گ، 21 سطر ، اندازه: 12/5 24سم [ف : 1-315 ]</w:t>
      </w:r>
    </w:p>
    <w:p>
      <w:pPr>
        <w:pStyle w:val="BookText"/>
      </w:pPr>
      <w:r>
        <w:rPr>
          <w:rFonts w:ascii="IRNazanin" w:hAnsi="IRNazanin" w:eastAsia="IRNazanin" w:cs="IRNazanin"/>
          <w:lang w:bidi="fa-IR"/>
          <w:color w:val="111111"/>
          <w:sz w:val="28"/>
          <w:szCs w:val="28"/>
          <w:rtl/>
        </w:rPr>
        <w:t xml:space="preserve">35.قم؛ گلپایگانی؛ شماره نسخه: 9023-59/243</w:t>
      </w:r>
    </w:p>
    <w:p>
      <w:pPr>
        <w:pStyle w:val="BookText"/>
      </w:pPr>
      <w:r>
        <w:rPr>
          <w:rFonts w:ascii="IRNazanin" w:hAnsi="IRNazanin" w:eastAsia="IRNazanin" w:cs="IRNazanin"/>
          <w:lang w:bidi="fa-IR"/>
          <w:color w:val="111111"/>
          <w:sz w:val="28"/>
          <w:szCs w:val="28"/>
          <w:rtl/>
        </w:rPr>
        <w:t xml:space="preserve">آغاز: و قام فصلى فلم يزالا كذلك حتى طلع الفجر فقلت يا امیرالمؤمنين ادركك الصبح فركبنا و رجعنا الى الكوفة</w:t>
      </w:r>
    </w:p>
    <w:p>
      <w:pPr>
        <w:pStyle w:val="BookText"/>
      </w:pPr>
      <w:r>
        <w:rPr>
          <w:rFonts w:ascii="IRNazanin" w:hAnsi="IRNazanin" w:eastAsia="IRNazanin" w:cs="IRNazanin"/>
          <w:lang w:bidi="fa-IR"/>
          <w:color w:val="111111"/>
          <w:sz w:val="28"/>
          <w:szCs w:val="28"/>
          <w:rtl/>
        </w:rPr>
        <w:t xml:space="preserve">خط: نستعلیق، کا: جعفر بن غازی رازی، تا: 5 ربیع الاول 1094ق ؛افتادگی: آغاز؛ کاتب می گوید که این نسخه را از روی نسخه عتیقه مصححه که تاریخ کتابتش سال 400 و خورده ای (بضع اربعمائة) بوده تحریر کرده و شروع در تحریر 27 محرم 1094و  اتمامش در ربیع الاول همان سال بوده است و پس از آن نسخه مقابله و تصحیح کرده است؛ 201گ، مختلف السطر ، قطع : بیاض  رقعی، اندازه: 9</w:t>
      </w:r>
      <w:r>
        <w:rPr>
          <w:rFonts w:ascii="Times New Roman" w:hAnsi="Times New Roman" w:eastAsia="Times New Roman" w:cs="Times New Roman"/>
          <w:lang w:val="en-US" w:bidi="en-US"/>
          <w:color w:val="111111"/>
          <w:sz w:val="28"/>
          <w:szCs w:val="28"/>
          <w:rtl/>
        </w:rPr>
        <w:t xml:space="preserve">×23</w:t>
      </w:r>
      <w:r>
        <w:rPr>
          <w:rFonts w:ascii="IRNazanin" w:hAnsi="IRNazanin" w:eastAsia="IRNazanin" w:cs="IRNazanin"/>
          <w:lang w:bidi="fa-IR"/>
          <w:color w:val="111111"/>
          <w:sz w:val="28"/>
          <w:szCs w:val="28"/>
          <w:rtl/>
        </w:rPr>
        <w:t xml:space="preserve">سم [ف: 1 - 316]</w:t>
      </w:r>
    </w:p>
    <w:p>
      <w:pPr>
        <w:pStyle w:val="BookText"/>
      </w:pPr>
      <w:r>
        <w:rPr>
          <w:rFonts w:ascii="IRNazanin" w:hAnsi="IRNazanin" w:eastAsia="IRNazanin" w:cs="IRNazanin"/>
          <w:lang w:bidi="fa-IR"/>
          <w:color w:val="111111"/>
          <w:sz w:val="28"/>
          <w:szCs w:val="28"/>
          <w:rtl/>
        </w:rPr>
        <w:t xml:space="preserve">36 .تهران؛ دانشگاه؛ شماره نسخه: 616</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احمد بن علی کشمیری، تا: دوشنبه 10 جمادی الثانى 1096ق؛ تملک: اشرف علی، محمود با مهر آنها؛ کاغذ: سمرقندی، جلد: تیماج سرخ ،مقوایی 237گ، 9 سطر (8</w:t>
      </w:r>
      <w:r>
        <w:rPr>
          <w:rFonts w:ascii="Times New Roman" w:hAnsi="Times New Roman" w:eastAsia="Times New Roman" w:cs="Times New Roman"/>
          <w:lang w:val="en-US" w:bidi="en-US"/>
          <w:color w:val="111111"/>
          <w:sz w:val="28"/>
          <w:szCs w:val="28"/>
          <w:rtl/>
        </w:rPr>
        <w:t xml:space="preserve">×17/5)</w:t>
      </w:r>
      <w:r>
        <w:rPr>
          <w:rFonts w:ascii="IRNazanin" w:hAnsi="IRNazanin" w:eastAsia="IRNazanin" w:cs="IRNazanin"/>
          <w:lang w:bidi="fa-IR"/>
          <w:color w:val="111111"/>
          <w:sz w:val="28"/>
          <w:szCs w:val="28"/>
          <w:rtl/>
        </w:rPr>
        <w:t xml:space="preserve">، :اندازه 14/5</w:t>
      </w:r>
      <w:r>
        <w:rPr>
          <w:rFonts w:ascii="Times New Roman" w:hAnsi="Times New Roman" w:eastAsia="Times New Roman" w:cs="Times New Roman"/>
          <w:lang w:val="en-US" w:bidi="en-US"/>
          <w:color w:val="111111"/>
          <w:sz w:val="28"/>
          <w:szCs w:val="28"/>
          <w:rtl/>
        </w:rPr>
        <w:t xml:space="preserve">× 24/5</w:t>
      </w:r>
      <w:r>
        <w:rPr>
          <w:rFonts w:ascii="IRNazanin" w:hAnsi="IRNazanin" w:eastAsia="IRNazanin" w:cs="IRNazanin"/>
          <w:lang w:bidi="fa-IR"/>
          <w:color w:val="111111"/>
          <w:sz w:val="28"/>
          <w:szCs w:val="28"/>
          <w:rtl/>
        </w:rPr>
        <w:t xml:space="preserve">سم [ف: 5 - 1081]</w:t>
      </w:r>
    </w:p>
    <w:p>
      <w:pPr>
        <w:pStyle w:val="BookText"/>
      </w:pPr>
      <w:r>
        <w:rPr>
          <w:rFonts w:ascii="IRNazanin" w:hAnsi="IRNazanin" w:eastAsia="IRNazanin" w:cs="IRNazanin"/>
          <w:lang w:bidi="fa-IR"/>
          <w:color w:val="111111"/>
          <w:sz w:val="28"/>
          <w:szCs w:val="28"/>
          <w:rtl/>
        </w:rPr>
        <w:t xml:space="preserve">37 .تهران؛ مجلس؛ شماره نسخه: 2899</w:t>
      </w:r>
    </w:p>
    <w:p>
      <w:pPr>
        <w:pStyle w:val="BookText"/>
      </w:pPr>
      <w:r>
        <w:rPr>
          <w:rFonts w:ascii="IRNazanin" w:hAnsi="IRNazanin" w:eastAsia="IRNazanin" w:cs="IRNazanin"/>
          <w:lang w:bidi="fa-IR"/>
          <w:color w:val="111111"/>
          <w:sz w:val="28"/>
          <w:szCs w:val="28"/>
          <w:rtl/>
        </w:rPr>
        <w:t xml:space="preserve">آغاز: باب ذکر اولاد امير المؤمنين عليه السلام و عددهم و اسمائهم و مختصر من اخبارهم فاولاد اميرالمؤمنين عليه السلام سبعه و عشرون و لداً ذکر اوانثی؛ انجام: برابر</w:t>
      </w:r>
    </w:p>
    <w:p>
      <w:pPr>
        <w:pStyle w:val="BookText"/>
      </w:pPr>
      <w:r>
        <w:rPr>
          <w:rFonts w:ascii="IRNazanin" w:hAnsi="IRNazanin" w:eastAsia="IRNazanin" w:cs="IRNazanin"/>
          <w:lang w:bidi="fa-IR"/>
          <w:color w:val="111111"/>
          <w:sz w:val="28"/>
          <w:szCs w:val="28"/>
          <w:rtl/>
        </w:rPr>
        <w:t xml:space="preserve">از آغاز شرح اولاد امیرالمؤمنین تا پایان؛ خط: نسخ، كا: جعفر بن غازى رازی با دو پسرش، تا: سه شنبه دهه اولشعبان 1099ق؛افتادگی: آغاز؛ پشت نخستین برگ یادداشت از عباسقلی خان سپهر با دو مهر بیضی شکل از او به نقش وزیر تألیفات سپهر در 1318؛ کاغذ: اصفهانی ،مختلف ،جلد: تیماج عنابی 280 ص 17 سطر، قطع: وزیری کوچک اندازه: 13/5</w:t>
      </w:r>
      <w:r>
        <w:rPr>
          <w:rFonts w:ascii="Times New Roman" w:hAnsi="Times New Roman" w:eastAsia="Times New Roman" w:cs="Times New Roman"/>
          <w:lang w:val="en-US" w:bidi="en-US"/>
          <w:color w:val="111111"/>
          <w:sz w:val="28"/>
          <w:szCs w:val="28"/>
          <w:rtl/>
        </w:rPr>
        <w:t xml:space="preserve">×22/5</w:t>
      </w:r>
      <w:r>
        <w:rPr>
          <w:rFonts w:ascii="IRNazanin" w:hAnsi="IRNazanin" w:eastAsia="IRNazanin" w:cs="IRNazanin"/>
          <w:lang w:bidi="fa-IR"/>
          <w:color w:val="111111"/>
          <w:sz w:val="28"/>
          <w:szCs w:val="28"/>
          <w:rtl/>
        </w:rPr>
        <w:t xml:space="preserve">سم [ف: 10 - 289]</w:t>
      </w:r>
    </w:p>
    <w:p>
      <w:pPr>
        <w:pStyle w:val="BookText"/>
      </w:pPr>
      <w:r>
        <w:rPr>
          <w:rFonts w:ascii="IRNazanin" w:hAnsi="IRNazanin" w:eastAsia="IRNazanin" w:cs="IRNazanin"/>
          <w:lang w:bidi="fa-IR"/>
          <w:color w:val="111111"/>
          <w:sz w:val="28"/>
          <w:szCs w:val="28"/>
          <w:rtl/>
        </w:rPr>
        <w:t xml:space="preserve">38 .قم؛ مرکز احیاء؛ شماره نسخه: 751</w:t>
      </w:r>
    </w:p>
    <w:p>
      <w:pPr>
        <w:pStyle w:val="BookText"/>
      </w:pPr>
      <w:r>
        <w:rPr>
          <w:rFonts w:ascii="IRNazanin" w:hAnsi="IRNazanin" w:eastAsia="IRNazanin" w:cs="IRNazanin"/>
          <w:lang w:bidi="fa-IR"/>
          <w:color w:val="111111"/>
          <w:sz w:val="28"/>
          <w:szCs w:val="28"/>
          <w:rtl/>
        </w:rPr>
        <w:t xml:space="preserve">كا: عبد الواحد بن محمد امین شیرازی، تا: یک شنبه 14 ربیع الاول 1099ق؛ مصحح، محشی؛ در صفحه اول وقفنامه کتاب با مهر «فوضت امرى الى الله الاحد الصمد و انا ابن احمد التمامى الامامي محمد» (مربع)؛ جلد: تیماج قهوه ای 289گ، 17 سطر ، اندازه: 13/5 </w:t>
      </w:r>
      <w:r>
        <w:rPr>
          <w:rFonts w:ascii="Times New Roman" w:hAnsi="Times New Roman" w:eastAsia="Times New Roman" w:cs="Times New Roman"/>
          <w:lang w:val="en-US" w:bidi="en-US"/>
          <w:color w:val="111111"/>
          <w:sz w:val="28"/>
          <w:szCs w:val="28"/>
          <w:rtl/>
        </w:rPr>
        <w:t xml:space="preserve">×23</w:t>
      </w:r>
      <w:r>
        <w:rPr>
          <w:rFonts w:ascii="IRNazanin" w:hAnsi="IRNazanin" w:eastAsia="IRNazanin" w:cs="IRNazanin"/>
          <w:lang w:bidi="fa-IR"/>
          <w:color w:val="111111"/>
          <w:sz w:val="28"/>
          <w:szCs w:val="28"/>
          <w:rtl/>
        </w:rPr>
        <w:t xml:space="preserve">سم [ف: 2 - 410]</w:t>
      </w:r>
    </w:p>
    <w:p>
      <w:pPr>
        <w:pStyle w:val="BookText"/>
      </w:pPr>
      <w:r>
        <w:rPr>
          <w:rFonts w:ascii="IRNazanin" w:hAnsi="IRNazanin" w:eastAsia="IRNazanin" w:cs="IRNazanin"/>
          <w:lang w:bidi="fa-IR"/>
          <w:color w:val="111111"/>
          <w:sz w:val="28"/>
          <w:szCs w:val="28"/>
          <w:rtl/>
        </w:rPr>
        <w:t xml:space="preserve">39 .تهران؛ ملی؛ شماره نسخه: 333</w:t>
      </w:r>
    </w:p>
    <w:p>
      <w:pPr>
        <w:pStyle w:val="BookText"/>
      </w:pPr>
      <w:r>
        <w:rPr>
          <w:rFonts w:ascii="IRNazanin" w:hAnsi="IRNazanin" w:eastAsia="IRNazanin" w:cs="IRNazanin"/>
          <w:lang w:bidi="fa-IR"/>
          <w:color w:val="111111"/>
          <w:sz w:val="28"/>
          <w:szCs w:val="28"/>
          <w:rtl/>
        </w:rPr>
        <w:t xml:space="preserve">آغاز: بسمله اخبرنا السيد الاجل عميد الروساء ابو الفتح يحيى بن محمد بن نصر بن علی بن. ... انجام: برابر</w:t>
      </w:r>
    </w:p>
    <w:p>
      <w:pPr>
        <w:pStyle w:val="BookText"/>
      </w:pPr>
      <w:r>
        <w:rPr>
          <w:rFonts w:ascii="IRNazanin" w:hAnsi="IRNazanin" w:eastAsia="IRNazanin" w:cs="IRNazanin"/>
          <w:lang w:bidi="fa-IR"/>
          <w:color w:val="111111"/>
          <w:sz w:val="28"/>
          <w:szCs w:val="28"/>
          <w:rtl/>
        </w:rPr>
        <w:t xml:space="preserve">خط: نسخ، کا: محمد ابو عبدالله قوام الدین حسین حسنی حسینی بن تقى الدين الايجو، تا: 1099ق؛ مجدول؛ کاغذ: اصفهانی، جلد: تیماج ،مشکی، مقوایی 19 سطر (8</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اندازه: 15/5</w:t>
      </w:r>
      <w:r>
        <w:rPr>
          <w:rFonts w:ascii="Times New Roman" w:hAnsi="Times New Roman" w:eastAsia="Times New Roman" w:cs="Times New Roman"/>
          <w:lang w:val="en-US" w:bidi="en-US"/>
          <w:color w:val="111111"/>
          <w:sz w:val="28"/>
          <w:szCs w:val="28"/>
          <w:rtl/>
        </w:rPr>
        <w:t xml:space="preserve">×34</w:t>
      </w:r>
      <w:r>
        <w:rPr>
          <w:rFonts w:ascii="IRNazanin" w:hAnsi="IRNazanin" w:eastAsia="IRNazanin" w:cs="IRNazanin"/>
          <w:lang w:bidi="fa-IR"/>
          <w:color w:val="111111"/>
          <w:sz w:val="28"/>
          <w:szCs w:val="28"/>
          <w:rtl/>
        </w:rPr>
        <w:t xml:space="preserve">سم [ف: 7 - 301]</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یزد؛ وزیری؛ شماره نسخه: 794</w:t>
      </w:r>
    </w:p>
    <w:p>
      <w:pPr>
        <w:pStyle w:val="BookText"/>
      </w:pPr>
      <w:r>
        <w:rPr>
          <w:rFonts w:ascii="IRNazanin" w:hAnsi="IRNazanin" w:eastAsia="IRNazanin" w:cs="IRNazanin"/>
          <w:lang w:bidi="fa-IR"/>
          <w:color w:val="111111"/>
          <w:sz w:val="28"/>
          <w:szCs w:val="28"/>
          <w:rtl/>
        </w:rPr>
        <w:t xml:space="preserve">آغاز: بسمله و به نستعين اخبرنا الاجل السيد امير الروساء ابوالفتح يحيى بن محمد بن نصر بن علی؛ انجام: برابر</w:t>
      </w:r>
    </w:p>
    <w:p>
      <w:pPr>
        <w:pStyle w:val="BookText"/>
      </w:pPr>
      <w:r>
        <w:rPr>
          <w:rFonts w:ascii="IRNazanin" w:hAnsi="IRNazanin" w:eastAsia="IRNazanin" w:cs="IRNazanin"/>
          <w:lang w:bidi="fa-IR"/>
          <w:color w:val="111111"/>
          <w:sz w:val="28"/>
          <w:szCs w:val="28"/>
          <w:rtl/>
        </w:rPr>
        <w:t xml:space="preserve">خط: نسخ، کا: سید علی رضا ابن مرتضی موسوی، تا: اوایل قرن  12؛ کاغذ: اصفهانی، جلد: مقوایی با تیماج ماشی با ترنج و جدول ضربی، 199 گ، 23 سطر (8</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 اندازه: 13</w:t>
      </w:r>
      <w:r>
        <w:rPr>
          <w:rFonts w:ascii="Times New Roman" w:hAnsi="Times New Roman" w:eastAsia="Times New Roman" w:cs="Times New Roman"/>
          <w:lang w:val="en-US" w:bidi="en-US"/>
          <w:color w:val="111111"/>
          <w:sz w:val="28"/>
          <w:szCs w:val="28"/>
          <w:rtl/>
        </w:rPr>
        <w:t xml:space="preserve">× 33</w:t>
      </w:r>
      <w:r>
        <w:rPr>
          <w:rFonts w:ascii="IRNazanin" w:hAnsi="IRNazanin" w:eastAsia="IRNazanin" w:cs="IRNazanin"/>
          <w:lang w:bidi="fa-IR"/>
          <w:color w:val="111111"/>
          <w:sz w:val="28"/>
          <w:szCs w:val="28"/>
          <w:rtl/>
        </w:rPr>
        <w:t xml:space="preserve">سم [ف: 2 - 670]</w:t>
      </w:r>
    </w:p>
    <w:p>
      <w:pPr>
        <w:pStyle w:val="BookText"/>
      </w:pPr>
      <w:r>
        <w:rPr>
          <w:rFonts w:ascii="IRNazanin" w:hAnsi="IRNazanin" w:eastAsia="IRNazanin" w:cs="IRNazanin"/>
          <w:lang w:bidi="fa-IR"/>
          <w:color w:val="111111"/>
          <w:sz w:val="28"/>
          <w:szCs w:val="28"/>
          <w:rtl/>
        </w:rPr>
        <w:t xml:space="preserve">41 . قم؛ گلپایگانی؛ شماره نسخه: 4368-22/88</w:t>
      </w:r>
    </w:p>
    <w:p>
      <w:pPr>
        <w:pStyle w:val="BookText"/>
      </w:pPr>
      <w:r>
        <w:rPr>
          <w:rFonts w:ascii="IRNazanin" w:hAnsi="IRNazanin" w:eastAsia="IRNazanin" w:cs="IRNazanin"/>
          <w:lang w:bidi="fa-IR"/>
          <w:color w:val="111111"/>
          <w:sz w:val="28"/>
          <w:szCs w:val="28"/>
          <w:rtl/>
        </w:rPr>
        <w:t xml:space="preserve">آغاز: ابی طالب عليه السلام اول أئمة المؤمنين و ولاة المسلمين و خلفاء الله تعالى فى الدين بعد رسول صلى الله عليه و آله انجام :برابر</w:t>
      </w:r>
    </w:p>
    <w:p>
      <w:pPr>
        <w:pStyle w:val="BookText"/>
      </w:pPr>
      <w:r>
        <w:rPr>
          <w:rFonts w:ascii="IRNazanin" w:hAnsi="IRNazanin" w:eastAsia="IRNazanin" w:cs="IRNazanin"/>
          <w:lang w:bidi="fa-IR"/>
          <w:color w:val="111111"/>
          <w:sz w:val="28"/>
          <w:szCs w:val="28"/>
          <w:rtl/>
        </w:rPr>
        <w:t xml:space="preserve">خط: نسخ، بی کا، تا: جمعه 28 شعبان 1100ق؛ افتادگی: آغاز؛ جلد: مقوای اسلیمی عطف تیماج قهوه ای گوشه گالینگور بنفش، 200گ، 21 سطر ، اندازه: 14</w:t>
      </w:r>
      <w:r>
        <w:rPr>
          <w:rFonts w:ascii="Times New Roman" w:hAnsi="Times New Roman" w:eastAsia="Times New Roman" w:cs="Times New Roman"/>
          <w:lang w:val="en-US" w:bidi="en-US"/>
          <w:color w:val="111111"/>
          <w:sz w:val="28"/>
          <w:szCs w:val="28"/>
          <w:rtl/>
        </w:rPr>
        <w:t xml:space="preserve">× 22</w:t>
      </w:r>
      <w:r>
        <w:rPr>
          <w:rFonts w:ascii="IRNazanin" w:hAnsi="IRNazanin" w:eastAsia="IRNazanin" w:cs="IRNazanin"/>
          <w:lang w:bidi="fa-IR"/>
          <w:color w:val="111111"/>
          <w:sz w:val="28"/>
          <w:szCs w:val="28"/>
          <w:rtl/>
        </w:rPr>
        <w:t xml:space="preserve">سم [ف: 1 - 315]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42.قم؛ گلپایگانی؛ شماره نسخه: 8195-56/45</w:t>
      </w:r>
    </w:p>
    <w:p>
      <w:pPr>
        <w:pStyle w:val="BookText"/>
      </w:pPr>
      <w:r>
        <w:rPr>
          <w:rFonts w:ascii="IRNazanin" w:hAnsi="IRNazanin" w:eastAsia="IRNazanin" w:cs="IRNazanin"/>
          <w:lang w:bidi="fa-IR"/>
          <w:color w:val="111111"/>
          <w:sz w:val="28"/>
          <w:szCs w:val="28"/>
          <w:rtl/>
        </w:rPr>
        <w:t xml:space="preserve">آغاز: اصغر هم سنا و احمشهم ساقا و ارمضهم عينا فقلت انا با رسول الله اوازرک</w:t>
      </w:r>
    </w:p>
    <w:p>
      <w:pPr>
        <w:pStyle w:val="BookText"/>
      </w:pPr>
      <w:r>
        <w:rPr>
          <w:rFonts w:ascii="IRNazanin" w:hAnsi="IRNazanin" w:eastAsia="IRNazanin" w:cs="IRNazanin"/>
          <w:lang w:bidi="fa-IR"/>
          <w:color w:val="111111"/>
          <w:sz w:val="28"/>
          <w:szCs w:val="28"/>
          <w:rtl/>
        </w:rPr>
        <w:t xml:space="preserve">جزء 1، از «فصل و هذه منقبة جليلة اختص بها اميرالمؤمنین علیه السلام و لم يشركه فيها احد» تا آخر جزء اول؛ خط: نسخ، بی تا: قرن 12؛ افتادگی: آغاز؛ 173گ ، 17سطر ، اندازه: 16</w:t>
      </w:r>
      <w:r>
        <w:rPr>
          <w:rFonts w:ascii="Times New Roman" w:hAnsi="Times New Roman" w:eastAsia="Times New Roman" w:cs="Times New Roman"/>
          <w:lang w:val="en-US" w:bidi="en-US"/>
          <w:color w:val="111111"/>
          <w:sz w:val="28"/>
          <w:szCs w:val="28"/>
          <w:rtl/>
        </w:rPr>
        <w:t xml:space="preserve">×25[ </w:t>
      </w:r>
      <w:r>
        <w:rPr>
          <w:rFonts w:ascii="IRNazanin" w:hAnsi="IRNazanin" w:eastAsia="IRNazanin" w:cs="IRNazanin"/>
          <w:lang w:bidi="fa-IR"/>
          <w:color w:val="111111"/>
          <w:sz w:val="28"/>
          <w:szCs w:val="28"/>
          <w:rtl/>
        </w:rPr>
        <w:t xml:space="preserve">ف: 1 - 315]</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تهران؛ الهیات؛ شماره نسخه 137</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و نستعليق، كا: على اكبر بن عبدالرزاق و محمد مسیح بن محمد علی، تا: چهارشنبه 10 شوال 1119ق و یک شنبه 15 شوال 1120ق؛ مجدول محشی با نشان «م ح ق، ق» کاغذ: اصفهانی، جلد: تیماج سرخ ،مقوایی 194گ، 21 سطر (7</w:t>
      </w:r>
      <w:r>
        <w:rPr>
          <w:rFonts w:ascii="Times New Roman" w:hAnsi="Times New Roman" w:eastAsia="Times New Roman" w:cs="Times New Roman"/>
          <w:lang w:val="en-US" w:bidi="en-US"/>
          <w:color w:val="111111"/>
          <w:sz w:val="28"/>
          <w:szCs w:val="28"/>
          <w:rtl/>
        </w:rPr>
        <w:t xml:space="preserve">×18/5) </w:t>
      </w:r>
      <w:r>
        <w:rPr>
          <w:rFonts w:ascii="IRNazanin" w:hAnsi="IRNazanin" w:eastAsia="IRNazanin" w:cs="IRNazanin"/>
          <w:lang w:bidi="fa-IR"/>
          <w:color w:val="111111"/>
          <w:sz w:val="28"/>
          <w:szCs w:val="28"/>
          <w:rtl/>
        </w:rPr>
        <w:t xml:space="preserve">قطع ،وزیری اندازه: 11/5</w:t>
      </w:r>
      <w:r>
        <w:rPr>
          <w:rFonts w:ascii="Times New Roman" w:hAnsi="Times New Roman" w:eastAsia="Times New Roman" w:cs="Times New Roman"/>
          <w:lang w:val="en-US" w:bidi="en-US"/>
          <w:color w:val="111111"/>
          <w:sz w:val="28"/>
          <w:szCs w:val="28"/>
          <w:rtl/>
        </w:rPr>
        <w:t xml:space="preserve">×23/5</w:t>
      </w:r>
      <w:r>
        <w:rPr>
          <w:rFonts w:ascii="IRNazanin" w:hAnsi="IRNazanin" w:eastAsia="IRNazanin" w:cs="IRNazanin"/>
          <w:lang w:bidi="fa-IR"/>
          <w:color w:val="111111"/>
          <w:sz w:val="28"/>
          <w:szCs w:val="28"/>
          <w:rtl/>
        </w:rPr>
        <w:t xml:space="preserve">سم [ف: - 449]</w:t>
      </w:r>
    </w:p>
    <w:p>
      <w:pPr>
        <w:pStyle w:val="BookText"/>
      </w:pPr>
      <w:r>
        <w:rPr>
          <w:rFonts w:ascii="IRNazanin" w:hAnsi="IRNazanin" w:eastAsia="IRNazanin" w:cs="IRNazanin"/>
          <w:lang w:bidi="fa-IR"/>
          <w:color w:val="111111"/>
          <w:sz w:val="28"/>
          <w:szCs w:val="28"/>
          <w:rtl/>
        </w:rPr>
        <w:t xml:space="preserve">قم؛ مرعشی؛ شماره نسخه: 1651</w:t>
      </w:r>
    </w:p>
    <w:p>
      <w:pPr>
        <w:pStyle w:val="BookText"/>
      </w:pPr>
      <w:r>
        <w:rPr>
          <w:rFonts w:ascii="IRNazanin" w:hAnsi="IRNazanin" w:eastAsia="IRNazanin" w:cs="IRNazanin"/>
          <w:lang w:bidi="fa-IR"/>
          <w:color w:val="111111"/>
          <w:sz w:val="28"/>
          <w:szCs w:val="28"/>
          <w:rtl/>
        </w:rPr>
        <w:t xml:space="preserve">نسخه اصل: همان نسخه بالا عکسی [ف: 5 - 73]</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اصفهان ،شفتی، مهدی؛ شماره نسخه: 11/1</w:t>
      </w:r>
    </w:p>
    <w:p>
      <w:pPr>
        <w:pStyle w:val="BookText"/>
      </w:pPr>
      <w:r>
        <w:rPr>
          <w:rFonts w:ascii="IRNazanin" w:hAnsi="IRNazanin" w:eastAsia="IRNazanin" w:cs="IRNazanin"/>
          <w:lang w:bidi="fa-IR"/>
          <w:color w:val="111111"/>
          <w:sz w:val="28"/>
          <w:szCs w:val="28"/>
          <w:rtl/>
        </w:rPr>
        <w:t xml:space="preserve">خط: نسخ زیبا ،بی کا، تا: 1121ق؛ جلد: تیماج مشکی، 179گ (1پ- 179ر) 21 سطر [سه کتابخانه اصفهان - ف: 166]</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مشهد؛ رضوی؛ شماره نسخه: 26006</w:t>
      </w:r>
    </w:p>
    <w:p>
      <w:pPr>
        <w:pStyle w:val="BookText"/>
      </w:pPr>
      <w:r>
        <w:rPr>
          <w:rFonts w:ascii="IRNazanin" w:hAnsi="IRNazanin" w:eastAsia="IRNazanin" w:cs="IRNazanin"/>
          <w:lang w:bidi="fa-IR"/>
          <w:color w:val="111111"/>
          <w:sz w:val="28"/>
          <w:szCs w:val="28"/>
          <w:rtl/>
        </w:rPr>
        <w:t xml:space="preserve">آغاز: برابر؛ انجام: ففى قول هذه الطايفة اولاد اميرالمومنين علیه الصلاة و السلام ثمانية و عشرون ولدا و الله اعلم و حكيم</w:t>
      </w:r>
    </w:p>
    <w:p>
      <w:pPr>
        <w:pStyle w:val="BookText"/>
      </w:pPr>
      <w:r>
        <w:rPr>
          <w:rFonts w:ascii="IRNazanin" w:hAnsi="IRNazanin" w:eastAsia="IRNazanin" w:cs="IRNazanin"/>
          <w:lang w:bidi="fa-IR"/>
          <w:color w:val="111111"/>
          <w:sz w:val="28"/>
          <w:szCs w:val="28"/>
          <w:rtl/>
        </w:rPr>
        <w:t xml:space="preserve">جزء 1؛ خط: نسخ، بی کا، تا: 1127ق؛ برگ اول و آخر دوشنبه سوم شوال 1127 نونویسی شده؛ واقف: زین الدین جعفر زاهدی، دی 1377؛ کاغذ: نخودی آهار مهره، جلد: تیماج یک قهوه ای، 90گ، 23 سطر ، اندازه: 12</w:t>
      </w:r>
      <w:r>
        <w:rPr>
          <w:rFonts w:ascii="Times New Roman" w:hAnsi="Times New Roman" w:eastAsia="Times New Roman" w:cs="Times New Roman"/>
          <w:lang w:val="en-US" w:bidi="en-US"/>
          <w:color w:val="111111"/>
          <w:sz w:val="28"/>
          <w:szCs w:val="28"/>
          <w:rtl/>
        </w:rPr>
        <w:t xml:space="preserve">× 23</w:t>
      </w:r>
      <w:r>
        <w:rPr>
          <w:rFonts w:ascii="IRNazanin" w:hAnsi="IRNazanin" w:eastAsia="IRNazanin" w:cs="IRNazanin"/>
          <w:lang w:bidi="fa-IR"/>
          <w:color w:val="111111"/>
          <w:sz w:val="28"/>
          <w:szCs w:val="28"/>
          <w:rtl/>
        </w:rPr>
        <w:t xml:space="preserve">سم [ف: 26 - 70]</w:t>
      </w:r>
    </w:p>
    <w:p>
      <w:pPr>
        <w:pStyle w:val="BookText"/>
      </w:pPr>
      <w:r>
        <w:rPr>
          <w:rFonts w:ascii="Amiri" w:hAnsi="Amiri" w:eastAsia="Amiri" w:cs="Amiri"/>
          <w:lang w:bidi="ar-SA"/>
          <w:color w:val="111111"/>
          <w:sz w:val="28"/>
          <w:szCs w:val="28"/>
          <w:rtl/>
        </w:rPr>
        <w:t xml:space="preserve">46 . مشهد؛ الهيات؛ شماره نسخه: 21736</w:t>
      </w:r>
    </w:p>
    <w:p>
      <w:pPr>
        <w:pStyle w:val="BookText"/>
      </w:pPr>
      <w:r>
        <w:rPr>
          <w:rFonts w:ascii="IRNazanin" w:hAnsi="IRNazanin" w:eastAsia="IRNazanin" w:cs="IRNazanin"/>
          <w:lang w:bidi="fa-IR"/>
          <w:color w:val="111111"/>
          <w:sz w:val="28"/>
          <w:szCs w:val="28"/>
          <w:rtl/>
        </w:rPr>
        <w:t xml:space="preserve">جزء 1 و 2 ؛خط: نسخ ،کا: محمد محسن، تا: چهارشنبه 8 رجب : 1135ق؛ افتادگی: آغاز؛ مصحح مهر: «ماشاء الله لا حول و لا قوةالا بالله العلى العظيم» «عبده محمد رضا» (بیضی) کاغذ: اصفهانی ،جلد: تیماج سرخ لولایی 21 سطر (8/5</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اندازه : 24</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2 - 605]</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تهران؛ مدرسه مروی؛ شماره نسخه: 576/1</w:t>
      </w:r>
    </w:p>
    <w:p>
      <w:pPr>
        <w:pStyle w:val="BookText"/>
      </w:pPr>
      <w:r>
        <w:rPr>
          <w:rFonts w:ascii="IRNazanin" w:hAnsi="IRNazanin" w:eastAsia="IRNazanin" w:cs="IRNazanin"/>
          <w:lang w:bidi="fa-IR"/>
          <w:color w:val="111111"/>
          <w:sz w:val="28"/>
          <w:szCs w:val="28"/>
          <w:rtl/>
        </w:rPr>
        <w:t xml:space="preserve">با ترجمه فارسی؛ بی کا، تا: قرن 13؛ قطع : خشتی [ف: 286]</w:t>
      </w:r>
    </w:p>
    <w:p>
      <w:pPr>
        <w:pStyle w:val="BookText"/>
      </w:pPr>
      <w:r>
        <w:rPr>
          <w:rFonts w:ascii="IRNazanin" w:hAnsi="IRNazanin" w:eastAsia="IRNazanin" w:cs="IRNazanin"/>
          <w:lang w:bidi="fa-IR"/>
          <w:color w:val="111111"/>
          <w:sz w:val="28"/>
          <w:szCs w:val="28"/>
          <w:rtl/>
        </w:rPr>
        <w:t xml:space="preserve">48 . مشهد؛ رضوی؛ شماره نسخه: 37566</w:t>
      </w:r>
    </w:p>
    <w:p>
      <w:pPr>
        <w:pStyle w:val="BookText"/>
      </w:pPr>
      <w:r>
        <w:rPr>
          <w:rFonts w:ascii="IRNazanin" w:hAnsi="IRNazanin" w:eastAsia="IRNazanin" w:cs="IRNazanin"/>
          <w:lang w:bidi="fa-IR"/>
          <w:color w:val="111111"/>
          <w:sz w:val="28"/>
          <w:szCs w:val="28"/>
          <w:rtl/>
        </w:rPr>
        <w:t xml:space="preserve">آغاز: باب ذكر علامات قيام القائم عليه السلام و مدة ايام ظهور شرح سیرته؛ انجام: فقد زال ما كان نخاف منه عليك و السلام</w:t>
      </w:r>
    </w:p>
    <w:p>
      <w:pPr>
        <w:pStyle w:val="BookText"/>
      </w:pPr>
      <w:r>
        <w:rPr>
          <w:rFonts w:ascii="IRNazanin" w:hAnsi="IRNazanin" w:eastAsia="IRNazanin" w:cs="IRNazanin"/>
          <w:lang w:bidi="fa-IR"/>
          <w:color w:val="111111"/>
          <w:sz w:val="28"/>
          <w:szCs w:val="28"/>
          <w:rtl/>
        </w:rPr>
        <w:t xml:space="preserve">خط: نستعلیق، کا: محمدرضا بن حسن شهرکی، تا: 5 جما الثاني 1207ق؛ افتادگی: آغاز و انجام؛ اهدایی رهبری، مهر 1386 ؛کاغذ: نخودی آهار مهره ،فرنگی جلد: میشن عنابی، 6گ، 23سطر ، اندازه 14/5</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 اهدائی - ف: 2اخبار 1 - 85]</w:t>
      </w:r>
    </w:p>
    <w:p>
      <w:pPr>
        <w:pStyle w:val="BookText"/>
      </w:pPr>
      <w:r>
        <w:rPr>
          <w:rFonts w:ascii="IRNazanin" w:hAnsi="IRNazanin" w:eastAsia="IRNazanin" w:cs="IRNazanin"/>
          <w:lang w:bidi="fa-IR"/>
          <w:color w:val="111111"/>
          <w:sz w:val="28"/>
          <w:szCs w:val="28"/>
          <w:rtl/>
        </w:rPr>
        <w:t xml:space="preserve">49 .قم؛ گلپایگانی؛ شماره نسخه: 20/423922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1223ق؛ دارای علامت بلاغ، جلد: تیماج قهوه ای سوخت دارای ترنج با سر با نقش گل و بوته داخل آنها لولادار، 240گ، 15 سطر ، اندازه: 24</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1 - 315]</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تهران؛ دانشگاه؛ شماره نسخه: 6819/4</w:t>
      </w:r>
    </w:p>
    <w:p>
      <w:pPr>
        <w:pStyle w:val="BookText"/>
      </w:pPr>
      <w:r>
        <w:rPr>
          <w:rFonts w:ascii="Amiri" w:hAnsi="Amiri" w:eastAsia="Amiri" w:cs="Amiri"/>
          <w:lang w:bidi="ar-SA"/>
          <w:color w:val="111111"/>
          <w:sz w:val="28"/>
          <w:szCs w:val="28"/>
          <w:rtl/>
        </w:rPr>
        <w:t xml:space="preserve">آغاز: اصغر هم سنا و احمشهم ساقا و ارمضهم عينا فقلت انا يا رسول الله اوازرك</w:t>
      </w:r>
    </w:p>
    <w:p>
      <w:pPr>
        <w:pStyle w:val="BookText"/>
      </w:pPr>
      <w:r>
        <w:rPr>
          <w:rFonts w:ascii="IRNazanin" w:hAnsi="IRNazanin" w:eastAsia="IRNazanin" w:cs="IRNazanin"/>
          <w:lang w:bidi="fa-IR"/>
          <w:color w:val="111111"/>
          <w:sz w:val="28"/>
          <w:szCs w:val="28"/>
          <w:rtl/>
        </w:rPr>
        <w:t xml:space="preserve">خط: نسخ، کا: غلام رضا بن اسماعیل، تا: دوشنبه 15 جمادی الاول 1249ق ؛کاغذ:فرنگی ،جلد: تیماج تریاکی مقوایی، 19 سطر (7</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قطع: ربعی ،اندازه: 14 </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سم [ف: 16 - 369]</w:t>
      </w:r>
    </w:p>
    <w:p>
      <w:pPr>
        <w:pStyle w:val="BookText"/>
      </w:pPr>
      <w:r>
        <w:rPr>
          <w:rFonts w:ascii="IRNazanin" w:hAnsi="IRNazanin" w:eastAsia="IRNazanin" w:cs="IRNazanin"/>
          <w:lang w:bidi="fa-IR"/>
          <w:color w:val="111111"/>
          <w:sz w:val="28"/>
          <w:szCs w:val="28"/>
          <w:rtl/>
        </w:rPr>
        <w:t xml:space="preserve">51.تهران؛ ملی؛ شماره نسخه: 2599</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و نستعليق، كا: علی بن ملا سلطان بیدگلی، تا: 1266ق؛ افتادگی: انجام؛ مصحح، توضیح لغات متن با استفاده از کتبی همچون «قاموس» در حواشی اوراق، در حاشیه برگ 28 مطلبی در توضیح شعر متن کتاب توسط فرج الله حسینی و در حاشیه 86پ مطلبی در توضیح عبارات متن توسط لطفعلی تبریزی به سال 1318؛ کاغذ: اصفهانی ،نخودی، جلد: تیماج تریاکی روشن ،مقوایی، 207گ، 17 سطر (16</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 اندازه: 17 </w:t>
      </w:r>
      <w:r>
        <w:rPr>
          <w:rFonts w:ascii="Times New Roman" w:hAnsi="Times New Roman" w:eastAsia="Times New Roman" w:cs="Times New Roman"/>
          <w:lang w:val="en-US" w:bidi="en-US"/>
          <w:color w:val="111111"/>
          <w:sz w:val="28"/>
          <w:szCs w:val="28"/>
          <w:rtl/>
        </w:rPr>
        <w:t xml:space="preserve">×23</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[ف: 12 - 558]</w:t>
      </w:r>
    </w:p>
    <w:p>
      <w:pPr>
        <w:pStyle w:val="BookText"/>
      </w:pPr>
      <w:r>
        <w:rPr>
          <w:rFonts w:ascii="IRNazanin" w:hAnsi="IRNazanin" w:eastAsia="IRNazanin" w:cs="IRNazanin"/>
          <w:lang w:bidi="fa-IR"/>
          <w:color w:val="111111"/>
          <w:sz w:val="28"/>
          <w:szCs w:val="28"/>
          <w:rtl/>
        </w:rPr>
        <w:t xml:space="preserve">52 . قم؛ معصومیه؛ شماره نسخه: 299/5</w:t>
      </w:r>
    </w:p>
    <w:p>
      <w:pPr>
        <w:pStyle w:val="BookText"/>
      </w:pPr>
      <w:r>
        <w:rPr>
          <w:rFonts w:ascii="IRNazanin" w:hAnsi="IRNazanin" w:eastAsia="IRNazanin" w:cs="IRNazanin"/>
          <w:lang w:bidi="fa-IR"/>
          <w:color w:val="111111"/>
          <w:sz w:val="28"/>
          <w:szCs w:val="28"/>
          <w:rtl/>
        </w:rPr>
        <w:t xml:space="preserve">آغاز: بسمله باب ذكر الامام بعد الحسن عليه السلام و تاریخ مولده و دلائل امامته و مبلغ سنه و مدة خلافته؛ انجام :و فاطمه بنت الحسين و امها ام اسحاق بنت طلحة بن عبدالله تميمية.</w:t>
      </w:r>
    </w:p>
    <w:p>
      <w:pPr>
        <w:pStyle w:val="BookText"/>
      </w:pPr>
      <w:r>
        <w:rPr>
          <w:rFonts w:ascii="IRNazanin" w:hAnsi="IRNazanin" w:eastAsia="IRNazanin" w:cs="IRNazanin"/>
          <w:lang w:bidi="fa-IR"/>
          <w:color w:val="111111"/>
          <w:sz w:val="28"/>
          <w:szCs w:val="28"/>
          <w:rtl/>
        </w:rPr>
        <w:t xml:space="preserve">زندگانی امام حسین (علیه السّلام) از ولادت تا شهادت و فضیلت زیارت و اولاد آن حضرت؛ خط: نستعلیق ،کا: عبدالعلی عراقی، تا: اواسط جمادى الثانى 1297ق؛ افتادگی: آغاز و انجام؛ در پایان قضایای امیرالمومنان از ارشاد مفید؛ جلد: تیماج قهوه ای، 62گ (263ر- 325پ)، 11 سطر ، اندازه: 11</w:t>
      </w:r>
      <w:r>
        <w:rPr>
          <w:rFonts w:ascii="Times New Roman" w:hAnsi="Times New Roman" w:eastAsia="Times New Roman" w:cs="Times New Roman"/>
          <w:lang w:val="en-US" w:bidi="en-US"/>
          <w:color w:val="111111"/>
          <w:sz w:val="28"/>
          <w:szCs w:val="28"/>
          <w:rtl/>
        </w:rPr>
        <w:t xml:space="preserve">×17/5</w:t>
      </w:r>
      <w:r>
        <w:rPr>
          <w:rFonts w:ascii="IRNazanin" w:hAnsi="IRNazanin" w:eastAsia="IRNazanin" w:cs="IRNazanin"/>
          <w:lang w:bidi="fa-IR"/>
          <w:color w:val="111111"/>
          <w:sz w:val="28"/>
          <w:szCs w:val="28"/>
          <w:rtl/>
        </w:rPr>
        <w:t xml:space="preserve">سم [ف: 1 – 292]</w:t>
      </w:r>
    </w:p>
    <w:p>
      <w:pPr>
        <w:pStyle w:val="BookText"/>
      </w:pPr>
      <w:r>
        <w:rPr>
          <w:rFonts w:ascii="IRNazanin" w:hAnsi="IRNazanin" w:eastAsia="IRNazanin" w:cs="IRNazanin"/>
          <w:lang w:bidi="fa-IR"/>
          <w:color w:val="111111"/>
          <w:sz w:val="28"/>
          <w:szCs w:val="28"/>
          <w:rtl/>
        </w:rPr>
        <w:t xml:space="preserve">53 .قم؛ مرعشی؛ شماره نسخه: 10203/1</w:t>
      </w:r>
    </w:p>
    <w:p>
      <w:pPr>
        <w:pStyle w:val="BookText"/>
      </w:pPr>
      <w:r>
        <w:rPr>
          <w:rFonts w:ascii="IRNazanin" w:hAnsi="IRNazanin" w:eastAsia="IRNazanin" w:cs="IRNazanin"/>
          <w:lang w:bidi="fa-IR"/>
          <w:color w:val="111111"/>
          <w:sz w:val="28"/>
          <w:szCs w:val="28"/>
          <w:rtl/>
        </w:rPr>
        <w:t xml:space="preserve">خط: نسخ، کا: علی بن عباس بحرانی ،تا :1300ق؛ مصحح [ میراث شهاب س8ش 4 - 67]</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اصفهان؛ دانشگاه؛ شماره نسخه: 487</w:t>
      </w:r>
    </w:p>
    <w:p>
      <w:pPr>
        <w:pStyle w:val="BookText"/>
      </w:pPr>
      <w:r>
        <w:rPr>
          <w:rFonts w:ascii="IRNazanin" w:hAnsi="IRNazanin" w:eastAsia="IRNazanin" w:cs="IRNazanin"/>
          <w:lang w:bidi="fa-IR"/>
          <w:color w:val="111111"/>
          <w:sz w:val="28"/>
          <w:szCs w:val="28"/>
          <w:rtl/>
        </w:rPr>
        <w:t xml:space="preserve">خط: نسخ، کا: سید محمد صادق رضوی موسوی خوانساری، تا: 27 ذیقعده 1308 یا 1380ق؛ مصحح، محشی؛ جلد: تیماج قرمز، 189گ، 22 سطر ، اندازه: 11</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[ف: 2 - 383]</w:t>
      </w:r>
    </w:p>
    <w:p>
      <w:pPr>
        <w:pStyle w:val="BookText"/>
      </w:pPr>
      <w:r>
        <w:rPr>
          <w:rFonts w:ascii="IRNazanin" w:hAnsi="IRNazanin" w:eastAsia="IRNazanin" w:cs="IRNazanin"/>
          <w:lang w:bidi="fa-IR"/>
          <w:color w:val="111111"/>
          <w:sz w:val="28"/>
          <w:szCs w:val="28"/>
          <w:rtl/>
        </w:rPr>
        <w:t xml:space="preserve">55.زنجان؛ امام جمعه؛ شماره نسخه: بدون شماره</w:t>
      </w:r>
    </w:p>
    <w:p>
      <w:pPr>
        <w:pStyle w:val="BookText"/>
      </w:pPr>
      <w:r>
        <w:rPr>
          <w:rFonts w:ascii="IRNazanin" w:hAnsi="IRNazanin" w:eastAsia="IRNazanin" w:cs="IRNazanin"/>
          <w:lang w:bidi="fa-IR"/>
          <w:color w:val="111111"/>
          <w:sz w:val="28"/>
          <w:szCs w:val="28"/>
          <w:rtl/>
        </w:rPr>
        <w:t xml:space="preserve">بیکا، بی تا؛ افتادگی: انجام [دليل المخطوطات: 1 - 91]</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قم ؛مرعشی؛ شماره نسخه: 7865</w:t>
      </w:r>
    </w:p>
    <w:p>
      <w:pPr>
        <w:pStyle w:val="BookText"/>
      </w:pPr>
      <w:r>
        <w:rPr>
          <w:rFonts w:ascii="Amiri" w:hAnsi="Amiri" w:eastAsia="Amiri" w:cs="Amiri"/>
          <w:lang w:bidi="ar-SA"/>
          <w:color w:val="111111"/>
          <w:sz w:val="28"/>
          <w:szCs w:val="28"/>
          <w:rtl/>
        </w:rPr>
        <w:t xml:space="preserve">آغاز: فى التبيان و جبت طاعته على كافتهم بجلى البيان كما وجبت طاعة الله وطاعة رسوله</w:t>
      </w:r>
    </w:p>
    <w:p>
      <w:pPr>
        <w:pStyle w:val="BookText"/>
      </w:pPr>
      <w:r>
        <w:rPr>
          <w:rFonts w:ascii="IRNazanin" w:hAnsi="IRNazanin" w:eastAsia="IRNazanin" w:cs="IRNazanin"/>
          <w:lang w:bidi="fa-IR"/>
          <w:color w:val="111111"/>
          <w:sz w:val="28"/>
          <w:szCs w:val="28"/>
          <w:rtl/>
        </w:rPr>
        <w:t xml:space="preserve">خط: نسخ، بی کا ،بی تا؛ افتادگی: آغاز؛ توسط کاتب در مشهد مقدس مقابله شده با مهر ناخوان ،وی، وقف نامه کتاب به خط ملامهدی نراقی با مهر وی «یا امام محمد مهدی ادرکنی» (بیضی)؛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41" w:name="pg20365_260052"/>
    <w:bookmarkEnd w:id="41"/>
    <w:p>
      <w:pPr>
        <w:pStyle w:val="BookText"/>
      </w:pPr>
      <w:r>
        <w:rPr>
          <w:rFonts w:ascii="IRNazanin" w:hAnsi="IRNazanin" w:eastAsia="IRNazanin" w:cs="IRNazanin"/>
          <w:lang w:bidi="fa-IR"/>
          <w:color w:val="111111"/>
          <w:sz w:val="28"/>
          <w:szCs w:val="28"/>
          <w:rtl/>
        </w:rPr>
        <w:t xml:space="preserve">جلد: تیماج ،مشکی، 198گ 15 سطر ، اندازه: 16</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20- 205]</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تهران؛ دائرة المعارف؛ شماره نسخه: 1396-عکسی</w:t>
      </w:r>
    </w:p>
    <w:p>
      <w:pPr>
        <w:pStyle w:val="BookText"/>
      </w:pPr>
      <w:r>
        <w:rPr>
          <w:rFonts w:ascii="Amiri" w:hAnsi="Amiri" w:eastAsia="Amiri" w:cs="Amiri"/>
          <w:lang w:bidi="ar-SA"/>
          <w:color w:val="111111"/>
          <w:sz w:val="28"/>
          <w:szCs w:val="28"/>
          <w:rtl/>
        </w:rPr>
        <w:t xml:space="preserve">آغاز: برابر؛ انجام: ان النبى صلى الله عليه و آله قال حسين.</w:t>
      </w:r>
    </w:p>
    <w:p>
      <w:pPr>
        <w:pStyle w:val="BookText"/>
      </w:pPr>
      <w:r>
        <w:rPr>
          <w:rFonts w:ascii="IRNazanin" w:hAnsi="IRNazanin" w:eastAsia="IRNazanin" w:cs="IRNazanin"/>
          <w:lang w:bidi="fa-IR"/>
          <w:color w:val="111111"/>
          <w:sz w:val="28"/>
          <w:szCs w:val="28"/>
          <w:rtl/>
        </w:rPr>
        <w:t xml:space="preserve">جزء 1؛ خط: نسخ خوش، بی کا، بی تا؛ افتادگی: انجام: جدول بندی 4 راه؛ 506 ص (1-506) ، ابعاد متن:11/58</w:t>
      </w:r>
      <w:r>
        <w:rPr>
          <w:rFonts w:ascii="Times New Roman" w:hAnsi="Times New Roman" w:eastAsia="Times New Roman" w:cs="Times New Roman"/>
          <w:lang w:val="en-US" w:bidi="en-US"/>
          <w:color w:val="111111"/>
          <w:sz w:val="28"/>
          <w:szCs w:val="28"/>
          <w:rtl/>
        </w:rPr>
        <w:t xml:space="preserve">×5 </w:t>
      </w:r>
      <w:r>
        <w:rPr>
          <w:rFonts w:ascii="IRNazanin" w:hAnsi="IRNazanin" w:eastAsia="IRNazanin" w:cs="IRNazanin"/>
          <w:lang w:bidi="fa-IR"/>
          <w:color w:val="111111"/>
          <w:sz w:val="28"/>
          <w:szCs w:val="28"/>
          <w:rtl/>
        </w:rPr>
        <w:t xml:space="preserve">،اندازه: 21</w:t>
      </w:r>
      <w:r>
        <w:rPr>
          <w:rFonts w:ascii="Times New Roman" w:hAnsi="Times New Roman" w:eastAsia="Times New Roman" w:cs="Times New Roman"/>
          <w:lang w:val="en-US" w:bidi="en-US"/>
          <w:color w:val="111111"/>
          <w:sz w:val="28"/>
          <w:szCs w:val="28"/>
          <w:rtl/>
        </w:rPr>
        <w:t xml:space="preserve">×29/5 </w:t>
      </w:r>
      <w:r>
        <w:rPr>
          <w:rFonts w:ascii="IRNazanin" w:hAnsi="IRNazanin" w:eastAsia="IRNazanin" w:cs="IRNazanin"/>
          <w:lang w:bidi="fa-IR"/>
          <w:color w:val="111111"/>
          <w:sz w:val="28"/>
          <w:szCs w:val="28"/>
          <w:rtl/>
        </w:rPr>
        <w:t xml:space="preserve">سم [ عکسی ف: 1 - 19]</w:t>
      </w:r>
    </w:p>
    <w:p>
      <w:pPr>
        <w:pStyle w:val="BookText"/>
      </w:pPr>
      <w:r>
        <w:rPr>
          <w:rFonts w:ascii="IRNazanin" w:hAnsi="IRNazanin" w:eastAsia="IRNazanin" w:cs="IRNazanin"/>
          <w:lang w:bidi="fa-IR"/>
          <w:color w:val="111111"/>
          <w:sz w:val="28"/>
          <w:szCs w:val="28"/>
          <w:rtl/>
        </w:rPr>
        <w:t xml:space="preserve">58 .تهران؛ مجلس؛ شماره نسخه: 531</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بی کا، بی تا؛ مجدول،  مصحح؛ تملک: محمد حسین و قیمت نسخه 15 ریال؛ 268گ، 17 سطر ، قطع: وزیری، اندازه: 15/5 </w:t>
      </w:r>
      <w:r>
        <w:rPr>
          <w:rFonts w:ascii="Times New Roman" w:hAnsi="Times New Roman" w:eastAsia="Times New Roman" w:cs="Times New Roman"/>
          <w:lang w:val="en-US" w:bidi="en-US"/>
          <w:color w:val="111111"/>
          <w:sz w:val="28"/>
          <w:szCs w:val="28"/>
          <w:rtl/>
        </w:rPr>
        <w:t xml:space="preserve">×23</w:t>
      </w:r>
      <w:r>
        <w:rPr>
          <w:rFonts w:ascii="IRNazanin" w:hAnsi="IRNazanin" w:eastAsia="IRNazanin" w:cs="IRNazanin"/>
          <w:lang w:bidi="fa-IR"/>
          <w:color w:val="111111"/>
          <w:sz w:val="28"/>
          <w:szCs w:val="28"/>
          <w:rtl/>
        </w:rPr>
        <w:t xml:space="preserve">سم [ف: 2 - 313]</w:t>
      </w:r>
    </w:p>
    <w:p>
      <w:pPr>
        <w:pStyle w:val="BookText"/>
      </w:pPr>
      <w:r>
        <w:rPr>
          <w:rFonts w:ascii="IRNazanin" w:hAnsi="IRNazanin" w:eastAsia="IRNazanin" w:cs="IRNazanin"/>
          <w:lang w:bidi="fa-IR"/>
          <w:color w:val="111111"/>
          <w:sz w:val="28"/>
          <w:szCs w:val="28"/>
          <w:rtl/>
        </w:rPr>
        <w:t xml:space="preserve">قم؛ مرعشی؛ شماره نسخه 1330 عکسی و 1660 عکسی</w:t>
      </w:r>
    </w:p>
    <w:p>
      <w:pPr>
        <w:pStyle w:val="BookText"/>
      </w:pPr>
      <w:r>
        <w:rPr>
          <w:rFonts w:ascii="IRNazanin" w:hAnsi="IRNazanin" w:eastAsia="IRNazanin" w:cs="IRNazanin"/>
          <w:lang w:bidi="fa-IR"/>
          <w:color w:val="111111"/>
          <w:sz w:val="28"/>
          <w:szCs w:val="28"/>
          <w:rtl/>
        </w:rPr>
        <w:t xml:space="preserve">نسخه اصل : همان نسخه بالا عکسی[ ف: 4 - 50 و 5 - 79]</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تهران؛ ملی؛ شماره نسخه: 4125</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خوش، بی کا، بی تا؛ دارای سرلوح با نقش گل بوته به زر، مجدول مصحح؛ تملک: «آقا محمد باقر»، «عبدالرزاق بن حاج علی» مهر: «یا رزاق» (مدور) ؛کاغذ: اصفهانی نخودی، جلد: تيماج مشکی مقوایی دارای جدول و منگنه به زر ضربی عطف تيماج ،مشکی، 176گ 21 سطر ( 10/5</w:t>
      </w:r>
      <w:r>
        <w:rPr>
          <w:rFonts w:ascii="Times New Roman" w:hAnsi="Times New Roman" w:eastAsia="Times New Roman" w:cs="Times New Roman"/>
          <w:lang w:val="en-US" w:bidi="en-US"/>
          <w:color w:val="111111"/>
          <w:sz w:val="28"/>
          <w:szCs w:val="28"/>
          <w:rtl/>
        </w:rPr>
        <w:t xml:space="preserve">×18/5) </w:t>
      </w:r>
      <w:r>
        <w:rPr>
          <w:rFonts w:ascii="IRNazanin" w:hAnsi="IRNazanin" w:eastAsia="IRNazanin" w:cs="IRNazanin"/>
          <w:lang w:bidi="fa-IR"/>
          <w:color w:val="111111"/>
          <w:sz w:val="28"/>
          <w:szCs w:val="28"/>
          <w:rtl/>
        </w:rPr>
        <w:t xml:space="preserve">، اندازه: 16 </w:t>
      </w:r>
      <w:r>
        <w:rPr>
          <w:rFonts w:ascii="Times New Roman" w:hAnsi="Times New Roman" w:eastAsia="Times New Roman" w:cs="Times New Roman"/>
          <w:lang w:val="en-US" w:bidi="en-US"/>
          <w:color w:val="111111"/>
          <w:sz w:val="28"/>
          <w:szCs w:val="28"/>
          <w:rtl/>
        </w:rPr>
        <w:t xml:space="preserve">×25/7</w:t>
      </w:r>
      <w:r>
        <w:rPr>
          <w:rFonts w:ascii="IRNazanin" w:hAnsi="IRNazanin" w:eastAsia="IRNazanin" w:cs="IRNazanin"/>
          <w:lang w:bidi="fa-IR"/>
          <w:color w:val="111111"/>
          <w:sz w:val="28"/>
          <w:szCs w:val="28"/>
          <w:rtl/>
        </w:rPr>
        <w:t xml:space="preserve">سم [ف: 18 - 39]</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یزد؛ وزیری؛ شماره نسخه: 2717</w:t>
      </w:r>
    </w:p>
    <w:p>
      <w:pPr>
        <w:pStyle w:val="BookText"/>
      </w:pPr>
      <w:r>
        <w:rPr>
          <w:rFonts w:ascii="IRNazanin" w:hAnsi="IRNazanin" w:eastAsia="IRNazanin" w:cs="IRNazanin"/>
          <w:lang w:bidi="fa-IR"/>
          <w:color w:val="111111"/>
          <w:sz w:val="28"/>
          <w:szCs w:val="28"/>
          <w:rtl/>
        </w:rPr>
        <w:t xml:space="preserve">خط: نسخ، بی کا ،بی تا؛ اهدایی حاج حسین تراب یزدی؛ کاغذ: اصفهانی، جلد: تیماج تریاکی، 72گ، 15 سطر (8</w:t>
      </w: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 اندازه: 13</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4 - 1402]</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یزد؛ وزیری؛ شماره نسخه: 2721</w:t>
      </w:r>
    </w:p>
    <w:p>
      <w:pPr>
        <w:pStyle w:val="BookText"/>
      </w:pPr>
      <w:r>
        <w:rPr>
          <w:rFonts w:ascii="Amiri" w:hAnsi="Amiri" w:eastAsia="Amiri" w:cs="Amiri"/>
          <w:lang w:bidi="ar-SA"/>
          <w:color w:val="111111"/>
          <w:sz w:val="28"/>
          <w:szCs w:val="28"/>
          <w:rtl/>
        </w:rPr>
        <w:t xml:space="preserve">آغاز: و احلالالمحله فى التعظيم و امه فاطمة بنت اسد بن هاشم بن عبد مناف؛ انجام: تاسعهم قائمهم.</w:t>
      </w:r>
    </w:p>
    <w:p>
      <w:pPr>
        <w:pStyle w:val="BookText"/>
      </w:pPr>
      <w:r>
        <w:rPr>
          <w:rFonts w:ascii="IRNazanin" w:hAnsi="IRNazanin" w:eastAsia="IRNazanin" w:cs="IRNazanin"/>
          <w:lang w:bidi="fa-IR"/>
          <w:color w:val="111111"/>
          <w:sz w:val="28"/>
          <w:szCs w:val="28"/>
          <w:rtl/>
        </w:rPr>
        <w:t xml:space="preserve">خط: نسخ، بی کا، بی تا؛ افتادگی: آغاز و انجام: کاغذ: اصفهانی، جلد: مقوایی روکش کاغذ ابری عطف تیماج عنابی، 163گ، 16سطر (8/5</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سطر ، اندازه: 15/5</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 [ف: 4 - 1403]</w:t>
      </w:r>
    </w:p>
    <w:p>
      <w:pPr>
        <w:pStyle w:val="BookText"/>
      </w:pPr>
      <w:r>
        <w:rPr>
          <w:rFonts w:ascii="IRNazanin" w:hAnsi="IRNazanin" w:eastAsia="IRNazanin" w:cs="IRNazanin"/>
          <w:lang w:bidi="fa-IR"/>
          <w:color w:val="111111"/>
          <w:sz w:val="28"/>
          <w:szCs w:val="28"/>
          <w:rtl/>
        </w:rPr>
        <w:t xml:space="preserve">62 . مشهد؛ رضوی؛ شماره نسخه: 6810</w:t>
      </w:r>
    </w:p>
    <w:p>
      <w:pPr>
        <w:pStyle w:val="BookText"/>
      </w:pPr>
      <w:r>
        <w:rPr>
          <w:rFonts w:ascii="IRNazanin" w:hAnsi="IRNazanin" w:eastAsia="IRNazanin" w:cs="IRNazanin"/>
          <w:lang w:bidi="fa-IR"/>
          <w:color w:val="111111"/>
          <w:sz w:val="28"/>
          <w:szCs w:val="28"/>
          <w:rtl/>
        </w:rPr>
        <w:t xml:space="preserve">آغاز: برابر؛ انجام: بالتوسم قال سبحانه ان</w:t>
      </w:r>
    </w:p>
    <w:p>
      <w:pPr>
        <w:pStyle w:val="BookText"/>
      </w:pPr>
      <w:r>
        <w:rPr>
          <w:rFonts w:ascii="IRNazanin" w:hAnsi="IRNazanin" w:eastAsia="IRNazanin" w:cs="IRNazanin"/>
          <w:lang w:bidi="fa-IR"/>
          <w:color w:val="111111"/>
          <w:sz w:val="28"/>
          <w:szCs w:val="28"/>
          <w:rtl/>
        </w:rPr>
        <w:t xml:space="preserve">خط: نسخ، بی کا، بی تا؛ افتادگی: انجام؛ واقف: ملک زاده کوثر، آبان 1326 ؛کاغذ: شکری فرنگی، جلد: تیماج قهوه ای، 191 گ، 19 سطر ، اندازه: 14</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5 - 27]</w:t>
      </w:r>
    </w:p>
    <w:p>
      <w:pPr>
        <w:pStyle w:val="Heading3"/>
      </w:pPr>
      <w:bookmarkStart w:id="604" w:name="_Toc126"/>
      <w:r>
        <w:t>الارشاد (ترجمه) / تاریخ معصومین / فارسی</w:t>
      </w:r>
      <w:bookmarkEnd w:id="604"/>
    </w:p>
    <w:p>
      <w:pPr>
        <w:pStyle w:val="BookText"/>
      </w:pPr>
      <w:r>
        <w:rPr>
          <w:rFonts w:ascii="Times New Roman" w:hAnsi="Times New Roman" w:eastAsia="Times New Roman" w:cs="Times New Roman"/>
          <w:lang w:val="en-US" w:bidi="en-US"/>
          <w:color w:val="111111"/>
          <w:sz w:val="28"/>
          <w:szCs w:val="28"/>
          <w:rtl/>
        </w:rPr>
        <w:t xml:space="preserve">al-iršād (t.)</w:t>
      </w:r>
    </w:p>
    <w:p>
      <w:pPr>
        <w:pStyle w:val="BookText"/>
      </w:pPr>
      <w:r>
        <w:rPr>
          <w:rFonts w:ascii="IRNazanin" w:hAnsi="IRNazanin" w:eastAsia="IRNazanin" w:cs="IRNazanin"/>
          <w:lang w:bidi="fa-IR"/>
          <w:color w:val="111111"/>
          <w:sz w:val="28"/>
          <w:szCs w:val="28"/>
          <w:rtl/>
        </w:rPr>
        <w:t xml:space="preserve">اردکانی، احمد بن محمد ابراهيم، 1175 - 1238؟ قمری</w:t>
      </w:r>
    </w:p>
    <w:p>
      <w:pPr>
        <w:pStyle w:val="BookText"/>
      </w:pPr>
      <w:r>
        <w:rPr>
          <w:rFonts w:ascii="Times New Roman" w:hAnsi="Times New Roman" w:eastAsia="Times New Roman" w:cs="Times New Roman"/>
          <w:lang w:val="en-US" w:bidi="en-US"/>
          <w:color w:val="111111"/>
          <w:sz w:val="28"/>
          <w:szCs w:val="28"/>
          <w:rtl/>
        </w:rPr>
        <w:t xml:space="preserve">(ārdakānī, ahmad ebn-e mohammad ebrāhīm (1762-1823</w:t>
      </w:r>
    </w:p>
    <w:p>
      <w:pPr>
        <w:pStyle w:val="BookText"/>
      </w:pPr>
      <w:r>
        <w:rPr>
          <w:rFonts w:ascii="Amiri" w:hAnsi="Amiri" w:eastAsia="Amiri" w:cs="Amiri"/>
          <w:lang w:bidi="ar-SA"/>
          <w:color w:val="111111"/>
          <w:sz w:val="28"/>
          <w:szCs w:val="28"/>
          <w:rtl/>
        </w:rPr>
        <w:t xml:space="preserve">وابسته به: الارشاد في معرفة حجج الله على العباد مفيد محمد بن محمد (236- 413)</w:t>
      </w:r>
    </w:p>
    <w:p>
      <w:pPr>
        <w:pStyle w:val="BookText"/>
      </w:pPr>
      <w:r>
        <w:rPr>
          <w:rFonts w:ascii="IRNazanin" w:hAnsi="IRNazanin" w:eastAsia="IRNazanin" w:cs="IRNazanin"/>
          <w:lang w:bidi="fa-IR"/>
          <w:color w:val="111111"/>
          <w:sz w:val="28"/>
          <w:szCs w:val="28"/>
          <w:rtl/>
        </w:rPr>
        <w:t xml:space="preserve">اهدا به: محمد ولی میرزا</w:t>
      </w:r>
    </w:p>
    <w:p>
      <w:pPr>
        <w:pStyle w:val="BookText"/>
      </w:pPr>
      <w:r>
        <w:rPr>
          <w:rFonts w:ascii="IRNazanin" w:hAnsi="IRNazanin" w:eastAsia="IRNazanin" w:cs="IRNazanin"/>
          <w:lang w:bidi="fa-IR"/>
          <w:color w:val="111111"/>
          <w:sz w:val="28"/>
          <w:szCs w:val="28"/>
          <w:rtl/>
        </w:rPr>
        <w:t xml:space="preserve">تاريخ تأليف: 12 جمادی الثانی 1239ق؛ محل تالیف: یزد</w:t>
      </w:r>
    </w:p>
    <w:p>
      <w:pPr>
        <w:pStyle w:val="BookText"/>
      </w:pPr>
      <w:r>
        <w:rPr>
          <w:rFonts w:ascii="IRNazanin" w:hAnsi="IRNazanin" w:eastAsia="IRNazanin" w:cs="IRNazanin"/>
          <w:lang w:bidi="fa-IR"/>
          <w:color w:val="111111"/>
          <w:sz w:val="28"/>
          <w:szCs w:val="28"/>
          <w:rtl/>
        </w:rPr>
        <w:t xml:space="preserve">ترجمه متن «الارشاد شیخ مفید در تاریخ ائمه اطهار (علیهم السّلام) و امامت است.</w:t>
      </w:r>
    </w:p>
    <w:p>
      <w:pPr>
        <w:pStyle w:val="BookText"/>
      </w:pPr>
      <w:r>
        <w:rPr>
          <w:rFonts w:ascii="IRNazanin" w:hAnsi="IRNazanin" w:eastAsia="IRNazanin" w:cs="IRNazanin"/>
          <w:lang w:bidi="fa-IR"/>
          <w:color w:val="111111"/>
          <w:sz w:val="28"/>
          <w:szCs w:val="28"/>
          <w:rtl/>
        </w:rPr>
        <w:t xml:space="preserve">آغاز: بسمله الحمد الله على ما الهم من معرفته و هدى اليه من سبيل طاعته. .. اما بعد چنین گوید محتاج به فیض فضل خداوند غنى احمد بن محمد الحسينى عفى عنهما که در این اوان سعادت بنیان که به شرف حضور سراسر سرور صاحب اورنگ سروری این ترجمه را بر دو مقاله نهادیم و در هر مقاله جزوی از آن کتاب را درج خواهیم نمود ان شاء الله تعالى مقاله اول در ذكر احوال امیر مؤمنان</w:t>
      </w:r>
    </w:p>
    <w:p>
      <w:pPr>
        <w:pStyle w:val="BookText"/>
      </w:pPr>
      <w:r>
        <w:rPr>
          <w:rFonts w:ascii="IRNazanin" w:hAnsi="IRNazanin" w:eastAsia="IRNazanin" w:cs="IRNazanin"/>
          <w:lang w:bidi="fa-IR"/>
          <w:color w:val="111111"/>
          <w:sz w:val="28"/>
          <w:szCs w:val="28"/>
          <w:rtl/>
        </w:rPr>
        <w:t xml:space="preserve">انجام: کفایت است برای آنچه مقصود ما از تألیف این کتاب بوده است. .. شکر و سپاس بی قیاس خداوندی را سزاست که توفیق انجام ترجمه این کتاب یا رب این آرزو مرا چه خوش است *** تو باین آرزو مرا برسان</w:t>
      </w:r>
    </w:p>
    <w:p>
      <w:pPr>
        <w:pStyle w:val="BookText"/>
      </w:pPr>
      <w:r>
        <w:rPr>
          <w:rFonts w:ascii="IRNazanin" w:hAnsi="IRNazanin" w:eastAsia="IRNazanin" w:cs="IRNazanin"/>
          <w:lang w:bidi="fa-IR"/>
          <w:color w:val="111111"/>
          <w:sz w:val="28"/>
          <w:szCs w:val="28"/>
          <w:rtl/>
        </w:rPr>
        <w:t xml:space="preserve">[الذريعه 442/3؛ مشار 367؛ الشيخ المفيد و عطاؤه الفكرى الخالد 40-44، فهرستواره منزوی 2345/3 ، الكرام البررة 106/1 نجوم السماء 444؛ دانشنامه مشاهیر یزد 107/1-108]</w:t>
      </w:r>
    </w:p>
    <w:p>
      <w:pPr>
        <w:pStyle w:val="BookText"/>
      </w:pPr>
      <w:r>
        <w:rPr>
          <w:rFonts w:ascii="IRNazanin" w:hAnsi="IRNazanin" w:eastAsia="IRNazanin" w:cs="IRNazanin"/>
          <w:lang w:bidi="fa-IR"/>
          <w:color w:val="111111"/>
          <w:sz w:val="28"/>
          <w:szCs w:val="28"/>
          <w:rtl/>
        </w:rPr>
        <w:t xml:space="preserve">تهران؛ دانشگاه؛ شماره نسخه: 6933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نستعليق، كاتب- مؤلف ،تا: جمعه 12 جمادی الثانی 1239ق؛ مصحح، یادداشتی درباره کتاب بدین عبارت: «این کتاب مستطاب که مسمی است بارشاد مفید بفرموده نواب مستطاب اقدس ارفع امجد و الا محمد ولی میرزا خلد الله ملکه عالیجناب مقدس القاب فضائل و کمالات اكتساب سلالة الآل الاطياب آقا سید احمد در دارالعباده یزد ترجمه نموده اند و حرر فى شهر جمادى الاخرى سنة 1239؛ مهر: اسدالله :کاغذ :فرنگی ،جلد: تیماج مشکی ترنجی زرکوبی ،مقوایی 261گ 14 سطر (9</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قطع ربعی اندازه: 14</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16 - 404]</w:t>
      </w:r>
    </w:p>
    <w:p>
      <w:pPr>
        <w:pStyle w:val="BookText"/>
      </w:pPr>
      <w:r>
        <w:rPr>
          <w:rFonts w:ascii="IRNazanin" w:hAnsi="IRNazanin" w:eastAsia="IRNazanin" w:cs="IRNazanin"/>
          <w:lang w:bidi="fa-IR"/>
          <w:color w:val="111111"/>
          <w:sz w:val="28"/>
          <w:szCs w:val="28"/>
          <w:rtl/>
        </w:rPr>
        <w:t xml:space="preserve">قم؛ مرعشی؛ شماره نسخه: 1668</w:t>
      </w:r>
    </w:p>
    <w:p>
      <w:pPr>
        <w:pStyle w:val="BookText"/>
      </w:pPr>
      <w:r>
        <w:rPr>
          <w:rFonts w:ascii="IRNazanin" w:hAnsi="IRNazanin" w:eastAsia="IRNazanin" w:cs="IRNazanin"/>
          <w:lang w:bidi="fa-IR"/>
          <w:color w:val="111111"/>
          <w:sz w:val="28"/>
          <w:szCs w:val="28"/>
          <w:rtl/>
        </w:rPr>
        <w:t xml:space="preserve">نسخه اصل: همان نسخه بالا عکسی [ف: 5 - 83]</w:t>
      </w:r>
    </w:p>
    <w:p>
      <w:pPr>
        <w:pStyle w:val="Heading3"/>
      </w:pPr>
      <w:bookmarkStart w:id="605" w:name="_Toc127"/>
      <w:r>
        <w:t>الارشاد (ترجمه) / تاریخ معصومین / فارسی</w:t>
      </w:r>
      <w:bookmarkEnd w:id="605"/>
    </w:p>
    <w:p>
      <w:pPr>
        <w:pStyle w:val="BookText"/>
      </w:pPr>
      <w:r>
        <w:rPr>
          <w:rFonts w:ascii="Times New Roman" w:hAnsi="Times New Roman" w:eastAsia="Times New Roman" w:cs="Times New Roman"/>
          <w:lang w:val="en-US" w:bidi="en-US"/>
          <w:color w:val="111111"/>
          <w:sz w:val="28"/>
          <w:szCs w:val="28"/>
          <w:rtl/>
        </w:rPr>
        <w:t xml:space="preserve">al-iršād (t.)</w:t>
      </w:r>
    </w:p>
    <w:p>
      <w:pPr>
        <w:pStyle w:val="BookText"/>
      </w:pPr>
      <w:r>
        <w:rPr>
          <w:rFonts w:ascii="IRNazanin" w:hAnsi="IRNazanin" w:eastAsia="IRNazanin" w:cs="IRNazanin"/>
          <w:lang w:bidi="fa-IR"/>
          <w:color w:val="111111"/>
          <w:sz w:val="28"/>
          <w:szCs w:val="28"/>
          <w:rtl/>
        </w:rPr>
        <w:t xml:space="preserve">علی بخش میرزا قاجار 1254 قمری</w:t>
      </w:r>
    </w:p>
    <w:p>
      <w:pPr>
        <w:pStyle w:val="BookText"/>
      </w:pPr>
      <w:r>
        <w:rPr>
          <w:rFonts w:ascii="Times New Roman" w:hAnsi="Times New Roman" w:eastAsia="Times New Roman" w:cs="Times New Roman"/>
          <w:lang w:val="en-US" w:bidi="en-US"/>
          <w:color w:val="111111"/>
          <w:sz w:val="28"/>
          <w:szCs w:val="28"/>
          <w:rtl/>
        </w:rPr>
        <w:t xml:space="preserve">'(alī baxš mīrzā qājār (1838- )</w:t>
      </w:r>
    </w:p>
    <w:p>
      <w:pPr>
        <w:pStyle w:val="BookText"/>
      </w:pPr>
      <w:r>
        <w:rPr>
          <w:rFonts w:ascii="Amiri" w:hAnsi="Amiri" w:eastAsia="Amiri" w:cs="Amiri"/>
          <w:lang w:bidi="ar-SA"/>
          <w:color w:val="111111"/>
          <w:sz w:val="28"/>
          <w:szCs w:val="28"/>
          <w:rtl/>
        </w:rPr>
        <w:t xml:space="preserve">وابسته به الارشاد في معرفة حجج الله على العباد مفيد محمد بن محمد (336-413)</w:t>
      </w:r>
    </w:p>
    <w:p>
      <w:pPr>
        <w:pStyle w:val="BookText"/>
      </w:pPr>
      <w:r>
        <w:rPr>
          <w:rFonts w:ascii="IRNazanin" w:hAnsi="IRNazanin" w:eastAsia="IRNazanin" w:cs="IRNazanin"/>
          <w:lang w:bidi="fa-IR"/>
          <w:color w:val="111111"/>
          <w:sz w:val="28"/>
          <w:szCs w:val="28"/>
          <w:rtl/>
        </w:rPr>
        <w:t xml:space="preserve">ترجمه فارسی روانی است از کتاب «الارشاد» شیخ مفید که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42" w:name="pg20365_260053"/>
    <w:bookmarkEnd w:id="42"/>
    <w:p>
      <w:pPr>
        <w:pStyle w:val="BookText"/>
      </w:pPr>
      <w:r>
        <w:rPr>
          <w:rFonts w:ascii="IRNazanin" w:hAnsi="IRNazanin" w:eastAsia="IRNazanin" w:cs="IRNazanin"/>
          <w:lang w:bidi="fa-IR"/>
          <w:color w:val="111111"/>
          <w:sz w:val="28"/>
          <w:szCs w:val="28"/>
          <w:rtl/>
        </w:rPr>
        <w:t xml:space="preserve">مترجم بنا به خواهش دوستانش به سال 1295 این کتاب ترجمه نموده و در مقدمه حالات شیخ مفیدرا نیز آورده است.</w:t>
      </w:r>
    </w:p>
    <w:p>
      <w:pPr>
        <w:pStyle w:val="BookText"/>
      </w:pPr>
      <w:r>
        <w:rPr>
          <w:rFonts w:ascii="IRNazanin" w:hAnsi="IRNazanin" w:eastAsia="IRNazanin" w:cs="IRNazanin"/>
          <w:lang w:bidi="fa-IR"/>
          <w:color w:val="111111"/>
          <w:sz w:val="28"/>
          <w:szCs w:val="28"/>
          <w:rtl/>
        </w:rPr>
        <w:t xml:space="preserve">آغاز: (دیباچه) بسمله. مر بنده را این فخر و توفیق بس که خدا را به یگانگی ستاید و زبان به شهادت اشهد ان لا اله الا الله بگشاید. .. و بعد، چون جمعی از دوستان صادق. .. (متن) بسمه.</w:t>
      </w:r>
    </w:p>
    <w:p>
      <w:pPr>
        <w:pStyle w:val="BookText"/>
      </w:pPr>
      <w:r>
        <w:rPr>
          <w:rFonts w:ascii="IRNazanin" w:hAnsi="IRNazanin" w:eastAsia="IRNazanin" w:cs="IRNazanin"/>
          <w:lang w:bidi="fa-IR"/>
          <w:color w:val="111111"/>
          <w:sz w:val="28"/>
          <w:szCs w:val="28"/>
          <w:rtl/>
        </w:rPr>
        <w:t xml:space="preserve">شکر و سپاس گویم مر خدای را که ما را به نعمت معرفت خود مفتخر ساخته و راه و رسم اطاعت .. باب اول، در بیان اخبار احوالات حضرت اميرالمؤمنين (علیه السّلام)...</w:t>
      </w:r>
    </w:p>
    <w:p>
      <w:pPr>
        <w:pStyle w:val="BookText"/>
      </w:pPr>
      <w:r>
        <w:rPr>
          <w:rFonts w:ascii="IRNazanin" w:hAnsi="IRNazanin" w:eastAsia="IRNazanin" w:cs="IRNazanin"/>
          <w:lang w:bidi="fa-IR"/>
          <w:color w:val="111111"/>
          <w:sz w:val="28"/>
          <w:szCs w:val="28"/>
          <w:rtl/>
        </w:rPr>
        <w:t xml:space="preserve">[ الذريعة 77/4؛ الشيخ المفيد و عطاؤه الفكرى الخالد 41 ؛کتاب شناسی رمان ومجموعه داستانی مترجم 691/1 ]</w:t>
      </w:r>
    </w:p>
    <w:p>
      <w:pPr>
        <w:pStyle w:val="BookText"/>
      </w:pPr>
      <w:r>
        <w:rPr>
          <w:rFonts w:ascii="IRNazanin" w:hAnsi="IRNazanin" w:eastAsia="IRNazanin" w:cs="IRNazanin"/>
          <w:lang w:bidi="fa-IR"/>
          <w:color w:val="111111"/>
          <w:sz w:val="28"/>
          <w:szCs w:val="28"/>
          <w:rtl/>
        </w:rPr>
        <w:t xml:space="preserve">1 . قم؛ گلپایگانی؛ شماره نسخه:3/ 74- 1/ 74</w:t>
      </w:r>
    </w:p>
    <w:p>
      <w:pPr>
        <w:pStyle w:val="BookText"/>
      </w:pPr>
      <w:r>
        <w:rPr>
          <w:rFonts w:ascii="IRNazanin" w:hAnsi="IRNazanin" w:eastAsia="IRNazanin" w:cs="IRNazanin"/>
          <w:lang w:bidi="fa-IR"/>
          <w:color w:val="111111"/>
          <w:sz w:val="28"/>
          <w:szCs w:val="28"/>
          <w:rtl/>
        </w:rPr>
        <w:t xml:space="preserve">آغاز: برابر؛ انجام مادرش رباب دختر امرى القيس بن عدی كلبية معدية و او نيز مادر حضرت عبدالله بن الحسين عليهما السلام .بود (6) فاطمه بنت الحسين عليهما السلام .. و مادرش ام اسحاق بنت طلحة بن عبدالله تمیمیه بود</w:t>
      </w:r>
    </w:p>
    <w:p>
      <w:pPr>
        <w:pStyle w:val="BookText"/>
      </w:pPr>
      <w:r>
        <w:rPr>
          <w:rFonts w:ascii="IRNazanin" w:hAnsi="IRNazanin" w:eastAsia="IRNazanin" w:cs="IRNazanin"/>
          <w:lang w:bidi="fa-IR"/>
          <w:color w:val="111111"/>
          <w:sz w:val="28"/>
          <w:szCs w:val="28"/>
          <w:rtl/>
        </w:rPr>
        <w:t xml:space="preserve">مقدمه مترجم +از اول تا باب در بیان اولاد حضرت سید الشهداء حسين بن على (علیه السّلام)؛ خط: نسخ و نستعلیق، بی کا، تا: قرن14، 297گ، 15 سطر ، اندازه: 17</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سم [ف: 2 - 849]</w:t>
      </w:r>
    </w:p>
    <w:p>
      <w:pPr>
        <w:pStyle w:val="BookText"/>
      </w:pPr>
      <w:r>
        <w:rPr>
          <w:rFonts w:ascii="Amiri" w:hAnsi="Amiri" w:eastAsia="Amiri" w:cs="Amiri"/>
          <w:lang w:bidi="ar-SA"/>
          <w:color w:val="111111"/>
          <w:sz w:val="28"/>
          <w:szCs w:val="28"/>
          <w:rtl/>
        </w:rPr>
        <w:t xml:space="preserve">2.تهران؛ دائرة المعارف؛ شماره نسخه: 177</w:t>
      </w:r>
    </w:p>
    <w:p>
      <w:pPr>
        <w:pStyle w:val="BookText"/>
      </w:pPr>
      <w:r>
        <w:rPr>
          <w:rFonts w:ascii="IRNazanin" w:hAnsi="IRNazanin" w:eastAsia="IRNazanin" w:cs="IRNazanin"/>
          <w:lang w:bidi="fa-IR"/>
          <w:color w:val="111111"/>
          <w:sz w:val="28"/>
          <w:szCs w:val="28"/>
          <w:rtl/>
        </w:rPr>
        <w:t xml:space="preserve">آغاز: برابر؛ انجام: مادر عبدالله بن الحسين (علیه السّلام) بود، عليا جناب فاطمه بنت الحسين (علیه السّلام) و مادرش ام اسحاق بنت طلحة بن عبدالله تمیمیه بود الهی بحق الحسين واخيه...</w:t>
      </w:r>
    </w:p>
    <w:p>
      <w:pPr>
        <w:pStyle w:val="BookText"/>
      </w:pPr>
      <w:r>
        <w:rPr>
          <w:rFonts w:ascii="IRNazanin" w:hAnsi="IRNazanin" w:eastAsia="IRNazanin" w:cs="IRNazanin"/>
          <w:lang w:bidi="fa-IR"/>
          <w:color w:val="111111"/>
          <w:sz w:val="28"/>
          <w:szCs w:val="28"/>
          <w:rtl/>
        </w:rPr>
        <w:t xml:space="preserve">خط: نستعلیق شکسته خوش و ثلث، بی کا ،تا :چهارشنبه دهه دوم ربيع الثاني 1300ق؛ کاغذ: نخودی فرنگی آهار مهره ،جلد: تیماج سرخ ،مجدول 175گ 19 سطر (20</w:t>
      </w:r>
      <w:r>
        <w:rPr>
          <w:rFonts w:ascii="Times New Roman" w:hAnsi="Times New Roman" w:eastAsia="Times New Roman" w:cs="Times New Roman"/>
          <w:lang w:val="en-US" w:bidi="en-US"/>
          <w:color w:val="111111"/>
          <w:sz w:val="28"/>
          <w:szCs w:val="28"/>
          <w:rtl/>
        </w:rPr>
        <w:t xml:space="preserve">×10)</w:t>
      </w:r>
      <w:r>
        <w:rPr>
          <w:rFonts w:ascii="IRNazanin" w:hAnsi="IRNazanin" w:eastAsia="IRNazanin" w:cs="IRNazanin"/>
          <w:lang w:bidi="fa-IR"/>
          <w:color w:val="111111"/>
          <w:sz w:val="28"/>
          <w:szCs w:val="28"/>
          <w:rtl/>
        </w:rPr>
        <w:t xml:space="preserve">، اندازه: 23</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ف: 1-52]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قم؛ مرعشی؛شماره نسخه: 776 و 1787 عکسی</w:t>
      </w:r>
    </w:p>
    <w:p>
      <w:pPr>
        <w:pStyle w:val="BookText"/>
      </w:pPr>
      <w:r>
        <w:rPr>
          <w:rFonts w:ascii="IRNazanin" w:hAnsi="IRNazanin" w:eastAsia="IRNazanin" w:cs="IRNazanin"/>
          <w:lang w:bidi="fa-IR"/>
          <w:color w:val="111111"/>
          <w:sz w:val="28"/>
          <w:szCs w:val="28"/>
          <w:rtl/>
        </w:rPr>
        <w:t xml:space="preserve">آغاز: برابر؛ انجام: فصل و از جمله فرمایشات آنحضرت در همین مطلب، مانند همین فرمایش فوق است که محفوظ علما حکماست و مشهور در نزد اولی الالباب اما بعد ايها الناس  فان الدنيا قد أدبرت و آذنت بوداع... فان اليوم عمل و لا حساب غدا حساب ولا عمل.</w:t>
      </w:r>
    </w:p>
    <w:p>
      <w:pPr>
        <w:pStyle w:val="BookText"/>
      </w:pPr>
      <w:r>
        <w:rPr>
          <w:rFonts w:ascii="IRNazanin" w:hAnsi="IRNazanin" w:eastAsia="IRNazanin" w:cs="IRNazanin"/>
          <w:lang w:bidi="fa-IR"/>
          <w:color w:val="111111"/>
          <w:sz w:val="28"/>
          <w:szCs w:val="28"/>
          <w:rtl/>
        </w:rPr>
        <w:t xml:space="preserve">حالات حضرت امیرالمؤمنین (علیه السّلام) را فقط دارد؛ خط: نستعلیق، بی کا ،تا: اواخر قرن 13 و یا اوایل قرن 14؛ نسخه را آية  الله مرعشی به فرزندش حاج آقا محمود به تاریخ 1333 بخشیده است؛ جلد: مقوایی عطف تیماج مشکی، 193 گ، 15 سط :اندازه: 16/5</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2 - 383] و [عکسی ف 5 - 235]</w:t>
      </w:r>
    </w:p>
    <w:p>
      <w:pPr>
        <w:pStyle w:val="Heading3"/>
      </w:pPr>
      <w:bookmarkStart w:id="606" w:name="_Toc128"/>
      <w:r>
        <w:t>ارشاد القاری / تجوید / فارسی</w:t>
      </w:r>
      <w:bookmarkEnd w:id="606"/>
    </w:p>
    <w:p>
      <w:pPr>
        <w:pStyle w:val="BookText"/>
      </w:pPr>
      <w:r>
        <w:rPr>
          <w:rFonts w:ascii="Times New Roman" w:hAnsi="Times New Roman" w:eastAsia="Times New Roman" w:cs="Times New Roman"/>
          <w:lang w:val="en-US" w:bidi="en-US"/>
          <w:color w:val="111111"/>
          <w:sz w:val="28"/>
          <w:szCs w:val="28"/>
          <w:rtl/>
        </w:rPr>
        <w:t xml:space="preserve">iršād-ul qārī</w:t>
      </w:r>
    </w:p>
    <w:p>
      <w:pPr>
        <w:pStyle w:val="BookText"/>
      </w:pPr>
      <w:r>
        <w:rPr>
          <w:rFonts w:ascii="IRNazanin" w:hAnsi="IRNazanin" w:eastAsia="IRNazanin" w:cs="IRNazanin"/>
          <w:lang w:bidi="fa-IR"/>
          <w:color w:val="111111"/>
          <w:sz w:val="28"/>
          <w:szCs w:val="28"/>
          <w:rtl/>
        </w:rPr>
        <w:t xml:space="preserve">قاری، مصطفى بن ابراهیم، 1007 - 1080 قمری</w:t>
      </w:r>
    </w:p>
    <w:p>
      <w:pPr>
        <w:pStyle w:val="BookText"/>
      </w:pPr>
      <w:r>
        <w:rPr>
          <w:rFonts w:ascii="Times New Roman" w:hAnsi="Times New Roman" w:eastAsia="Times New Roman" w:cs="Times New Roman"/>
          <w:lang w:val="en-US" w:bidi="en-US"/>
          <w:color w:val="111111"/>
          <w:sz w:val="28"/>
          <w:szCs w:val="28"/>
          <w:rtl/>
        </w:rPr>
        <w:t xml:space="preserve">(qārī, mostafā ebn-e ebrāhīm (1599 - 1670)</w:t>
      </w:r>
    </w:p>
    <w:p>
      <w:pPr>
        <w:pStyle w:val="BookText"/>
      </w:pPr>
      <w:r>
        <w:rPr>
          <w:rFonts w:ascii="IRNazanin" w:hAnsi="IRNazanin" w:eastAsia="IRNazanin" w:cs="IRNazanin"/>
          <w:lang w:bidi="fa-IR"/>
          <w:color w:val="111111"/>
          <w:sz w:val="28"/>
          <w:szCs w:val="28"/>
          <w:rtl/>
        </w:rPr>
        <w:t xml:space="preserve">اهدا به: مولانا محمد باقر</w:t>
      </w:r>
    </w:p>
    <w:p>
      <w:pPr>
        <w:pStyle w:val="BookText"/>
      </w:pPr>
      <w:r>
        <w:rPr>
          <w:rFonts w:ascii="IRNazanin" w:hAnsi="IRNazanin" w:eastAsia="IRNazanin" w:cs="IRNazanin"/>
          <w:lang w:bidi="fa-IR"/>
          <w:color w:val="111111"/>
          <w:sz w:val="28"/>
          <w:szCs w:val="28"/>
          <w:rtl/>
        </w:rPr>
        <w:t xml:space="preserve">تاریخ تأليف: 1078ق؛ محل تأليف: عتبات عالیات</w:t>
      </w:r>
    </w:p>
    <w:p>
      <w:pPr>
        <w:pStyle w:val="BookText"/>
      </w:pPr>
      <w:r>
        <w:rPr>
          <w:rFonts w:ascii="IRNazanin" w:hAnsi="IRNazanin" w:eastAsia="IRNazanin" w:cs="IRNazanin"/>
          <w:lang w:bidi="fa-IR"/>
          <w:color w:val="111111"/>
          <w:sz w:val="28"/>
          <w:szCs w:val="28"/>
          <w:rtl/>
        </w:rPr>
        <w:t xml:space="preserve">کتابی است در ضروریات قرائت عاصم از روایات حفص و بکر و آداب کتابت و طریقه رسم الخط و رموز سجاوندی از ابتدا تا آخر قرآن شامل یک «مقدمه» و پنج «باب» و یک «خاتمه»: مقدمه در بیان فضیلت تلاوت قرآن و آداب تعلیم آن و بیان آنچه به حسب شرع و طریقه قراء در صحت قرائت معتبر است؛ باب .1 بيان واجبات قرائت و لوازم آن در پنج «فصل»؛ 2. بیان مستحبات قرائت، در پنج «فصل« (اول در بیان صفات حروف... پنجم در بیان احكام وقف ) 3. بيان اختلاف حفص و بکر و کیفیت وقف و وصل ایشان .. سوره به سوره قرآن و یک تتمه در بیان احوال ،عاصم در پنج «فصل» (اول در بیان احوال عاصم دوم، در بیان احوال راویان ،عاصم سوم در بیان سند قرآن عاصم چهارم در بیان سند قرائت فقیر - شرح حال خود را در این فصل به مناسبت آورده است، پنجم در بیان سند قرائت استاد فقير)؛ 4.رسم الخط قرآن و طریقه اصلاح آن در پنج «فصل» (اول در بیان آنچه در حال کتابت رعایت آن لازم است... پنجم در بیان کلماتی که در اکثر مصاحف به صورتی می نویسند و در رسم الخط به صورت دیگر کتابت می کنند- سوره به سوره موارد آن را نقل کرده است)؛ 5. بیان رموز سجاوندی از اول قرآن تا آخر  قرآن سوره به سوره در پنج «مطلب» (اول در بیان اقسام وقف.</w:t>
      </w:r>
    </w:p>
    <w:p>
      <w:pPr>
        <w:pStyle w:val="BookText"/>
      </w:pPr>
      <w:r>
        <w:rPr>
          <w:rFonts w:ascii="IRNazanin" w:hAnsi="IRNazanin" w:eastAsia="IRNazanin" w:cs="IRNazanin"/>
          <w:lang w:bidi="fa-IR"/>
          <w:color w:val="111111"/>
          <w:sz w:val="28"/>
          <w:szCs w:val="28"/>
          <w:rtl/>
        </w:rPr>
        <w:t xml:space="preserve">.. پنجم در بیان اسماء قراء سبعه و عشره و بیان رموز سجاوندی از اول تا آخر قرآن). تاریخ تألیف به نقل از فصل چهارم از باب سوم جمع این کتاب در حین مجاورت ثالث در عتبات عالیات در عرض پنج سال واقع شد ابتدا در روضه مقدسه حضرت امیرالمؤمنین و امام المتقين على ابن ابیطالب (علیه السّلام) و اختتام در آستان ملائک پاسبان خامس آل عبا امام حسین (علیه السّلام) در سنه هزار و هفتاد واقع شد و چون در روضه مقدسه خامس آل عبا تمام شد لهذا این کتاب را مبنی بر پنج باب گردانید و عمر این کثیر التقصیر در این هنگام شصت و هفت تخمینا رسیده بود» و همو در آخر باب چهارم و پنجم تاریخ ختم تألیف را 1078ق ذکر کرده است.</w:t>
      </w:r>
    </w:p>
    <w:p>
      <w:pPr>
        <w:pStyle w:val="BookText"/>
      </w:pPr>
      <w:r>
        <w:rPr>
          <w:rFonts w:ascii="IRNazanin" w:hAnsi="IRNazanin" w:eastAsia="IRNazanin" w:cs="IRNazanin"/>
          <w:lang w:bidi="fa-IR"/>
          <w:color w:val="111111"/>
          <w:sz w:val="28"/>
          <w:szCs w:val="28"/>
          <w:rtl/>
        </w:rPr>
        <w:t xml:space="preserve">آغاز: بسمله، ای فاتح مصحف حمدت توحید ***وی نقطه از کتاب مجدت خورشید... بندگی و ستایش متواتر شکر و سپاس  معبودیست که عادتش احسان و غفران است</w:t>
      </w:r>
    </w:p>
    <w:p>
      <w:pPr>
        <w:pStyle w:val="BookText"/>
      </w:pPr>
      <w:r>
        <w:rPr>
          <w:rFonts w:ascii="IRNazanin" w:hAnsi="IRNazanin" w:eastAsia="IRNazanin" w:cs="IRNazanin"/>
          <w:lang w:bidi="fa-IR"/>
          <w:color w:val="111111"/>
          <w:sz w:val="28"/>
          <w:szCs w:val="28"/>
          <w:rtl/>
        </w:rPr>
        <w:t xml:space="preserve">انجام: و آنچه به عبارت لوازم مکتوب است مقصد وقف لازم است الهى بعزت و جلال خود و به حرمت محمد و آل محمد چون تو اکرم الاکرمین و ارحم الأرحمينی بمکرمت و مرحمت خود قلم عفو. .. الحمد لله اولا وآخرا .. استجب یا علام بحق محمد واله الكرام تحريرا في شهر ذيحجه سنه ثمان وسبعين بعد الالف</w:t>
      </w:r>
    </w:p>
    <w:p>
      <w:pPr>
        <w:pStyle w:val="BookText"/>
      </w:pPr>
      <w:r>
        <w:rPr>
          <w:rFonts w:ascii="IRNazanin" w:hAnsi="IRNazanin" w:eastAsia="IRNazanin" w:cs="IRNazanin"/>
          <w:lang w:bidi="fa-IR"/>
          <w:color w:val="111111"/>
          <w:sz w:val="28"/>
          <w:szCs w:val="28"/>
          <w:rtl/>
        </w:rPr>
        <w:t xml:space="preserve">[نسخه های منزوی69/1؛ الذريعة 516/1؛ مكتبة امير المؤمنين 97/1]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مشهد؛ رضوی؛ شماره نسخه: 25412</w:t>
      </w:r>
    </w:p>
    <w:p>
      <w:pPr>
        <w:pStyle w:val="BookText"/>
      </w:pPr>
      <w:r>
        <w:rPr>
          <w:rFonts w:ascii="IRNazanin" w:hAnsi="IRNazanin" w:eastAsia="IRNazanin" w:cs="IRNazanin"/>
          <w:lang w:bidi="fa-IR"/>
          <w:color w:val="111111"/>
          <w:sz w:val="28"/>
          <w:szCs w:val="28"/>
          <w:rtl/>
        </w:rPr>
        <w:t xml:space="preserve">آغاز و انجام: برابر .. استجب یا علام بحق محمد واله الكرام تحريرا فى شهر ذیحجه سنه ثمان وسبعين بعد الاف</w:t>
      </w:r>
    </w:p>
    <w:p>
      <w:pPr>
        <w:pStyle w:val="BookText"/>
      </w:pPr>
      <w:r>
        <w:rPr>
          <w:rFonts w:ascii="IRNazanin" w:hAnsi="IRNazanin" w:eastAsia="IRNazanin" w:cs="IRNazanin"/>
          <w:lang w:bidi="fa-IR"/>
          <w:color w:val="111111"/>
          <w:sz w:val="28"/>
          <w:szCs w:val="28"/>
          <w:rtl/>
        </w:rPr>
        <w:t xml:space="preserve">خط: نسخ، بی کا، (احتمالاً مسوده اصلی است)، تا: قرن 11؛ مصحح،مقابله شده در پشت برگ آخر دو یادداشت تولد ام فاطمه النساء و ام خير النساء در رجب 1205 و ذيقعده 1206 - نگاشته شده؛ واقف: زین الدین جعفر زاهدی دی 1377 ؛کاغذ: فرنگی شکری، جلد: تیماج خرمایی منقش مجدول عطف تیم مشکی، 292گ، 17 سطر ، اندازه: 14</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سم [ف: 23 - 13]</w:t>
      </w:r>
    </w:p>
    <w:p>
      <w:pPr>
        <w:pStyle w:val="BookText"/>
      </w:pPr>
      <w:r>
        <w:rPr>
          <w:rFonts w:ascii="IRNazanin" w:hAnsi="IRNazanin" w:eastAsia="IRNazanin" w:cs="IRNazanin"/>
          <w:lang w:bidi="fa-IR"/>
          <w:color w:val="111111"/>
          <w:sz w:val="28"/>
          <w:szCs w:val="28"/>
          <w:rtl/>
        </w:rPr>
        <w:t xml:space="preserve">2.تهران؛ لغت نامه دهخدا؛ شماره نسخه: 123</w:t>
      </w:r>
    </w:p>
    <w:p>
      <w:pPr>
        <w:pStyle w:val="BookText"/>
      </w:pPr>
      <w:r>
        <w:rPr>
          <w:rFonts w:ascii="IRNazanin" w:hAnsi="IRNazanin" w:eastAsia="IRNazanin" w:cs="IRNazanin"/>
          <w:lang w:bidi="fa-IR"/>
          <w:color w:val="111111"/>
          <w:sz w:val="28"/>
          <w:szCs w:val="28"/>
          <w:rtl/>
        </w:rPr>
        <w:t xml:space="preserve">آغاز: برابر؛ انجام: و کسانیکه مؤلف را دعایی خیر کنند و کافه اهل ایمان را حشر با ائمه معصومین... گردان بحق محمد و آله الكرام</w:t>
      </w:r>
    </w:p>
    <w:p>
      <w:pPr>
        <w:pStyle w:val="BookText"/>
      </w:pPr>
      <w:r>
        <w:rPr>
          <w:rFonts w:ascii="IRNazanin" w:hAnsi="IRNazanin" w:eastAsia="IRNazanin" w:cs="IRNazanin"/>
          <w:lang w:bidi="fa-IR"/>
          <w:color w:val="111111"/>
          <w:sz w:val="28"/>
          <w:szCs w:val="28"/>
          <w:rtl/>
        </w:rPr>
        <w:t xml:space="preserve">خط: نسخ، کا، شیخ محمد طاهر پسر شیخ محمد شریف ،مازندرانی، تا: چهارشنبه 17 جمادی 1082ق، جا: یمن در به مخادر؛ جلد: تیماج ترایکی ،مقوایی قطع وزیری [نشریه: 3 - 5]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مشهد؛ رضوی؛ شماره نسخه: 24195</w:t>
      </w:r>
    </w:p>
    <w:p>
      <w:pPr>
        <w:pStyle w:val="BookText"/>
      </w:pPr>
      <w:r>
        <w:rPr>
          <w:rFonts w:ascii="IRNazanin" w:hAnsi="IRNazanin" w:eastAsia="IRNazanin" w:cs="IRNazanin"/>
          <w:lang w:bidi="fa-IR"/>
          <w:color w:val="111111"/>
          <w:sz w:val="28"/>
          <w:szCs w:val="28"/>
          <w:rtl/>
        </w:rPr>
        <w:t xml:space="preserve">آغاز: برابر؛ انجام: عید سعید غدیر بخوننده و السلام خیر ختام</w:t>
      </w:r>
    </w:p>
    <w:p>
      <w:pPr>
        <w:pStyle w:val="BookText"/>
      </w:pPr>
      <w:r>
        <w:rPr>
          <w:rFonts w:ascii="IRNazanin" w:hAnsi="IRNazanin" w:eastAsia="IRNazanin" w:cs="IRNazanin"/>
          <w:lang w:bidi="fa-IR"/>
          <w:color w:val="111111"/>
          <w:sz w:val="28"/>
          <w:szCs w:val="28"/>
          <w:rtl/>
        </w:rPr>
        <w:t xml:space="preserve">تا آخر باب دوم؛ خط: نسخ، بی کا، تا:قرن 12؛تملک: محمد علی بن حاجی محمد اسماعيل شهير بالشخيص (كذا)؛ كا: نخودی ،آهاری، 98گ، 12 سطر ،اندازه: 12</w:t>
      </w:r>
      <w:r>
        <w:rPr>
          <w:rFonts w:ascii="Times New Roman" w:hAnsi="Times New Roman" w:eastAsia="Times New Roman" w:cs="Times New Roman"/>
          <w:lang w:val="en-US" w:bidi="en-US"/>
          <w:color w:val="111111"/>
          <w:sz w:val="28"/>
          <w:szCs w:val="28"/>
          <w:rtl/>
        </w:rPr>
        <w:t xml:space="preserve">×19/5</w:t>
      </w:r>
      <w:r>
        <w:rPr>
          <w:rFonts w:ascii="IRNazanin" w:hAnsi="IRNazanin" w:eastAsia="IRNazanin" w:cs="IRNazanin"/>
          <w:lang w:bidi="fa-IR"/>
          <w:color w:val="111111"/>
          <w:sz w:val="28"/>
          <w:szCs w:val="28"/>
          <w:rtl/>
        </w:rPr>
        <w:t xml:space="preserve">سم [ ف : 23 - 15 ]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تهران؛ ملک؛ شماره نسخه: 2177</w:t>
      </w:r>
    </w:p>
    <w:p>
      <w:pPr>
        <w:pStyle w:val="BookText"/>
      </w:pPr>
      <w:r>
        <w:rPr>
          <w:rFonts w:ascii="IRNazanin" w:hAnsi="IRNazanin" w:eastAsia="IRNazanin" w:cs="IRNazanin"/>
          <w:lang w:bidi="fa-IR"/>
          <w:color w:val="111111"/>
          <w:sz w:val="28"/>
          <w:szCs w:val="28"/>
          <w:rtl/>
        </w:rPr>
        <w:t xml:space="preserve">آغاز: برابر؛ انجام: الخناس و الناس .</w:t>
      </w:r>
    </w:p>
    <w:p>
      <w:pPr>
        <w:pStyle w:val="BookText"/>
      </w:pPr>
      <w:r>
        <w:rPr>
          <w:rFonts w:ascii="IRNazanin" w:hAnsi="IRNazanin" w:eastAsia="IRNazanin" w:cs="IRNazanin"/>
          <w:lang w:bidi="fa-IR"/>
          <w:color w:val="111111"/>
          <w:sz w:val="28"/>
          <w:szCs w:val="28"/>
          <w:rtl/>
        </w:rPr>
        <w:t xml:space="preserve">خط: نستعلیق، بی کا، تا: قرن 12 ؛کاغذ: کاغذ ترمه ،جلد: میشں قهوه ای ،ضربی، 239گ، 18 سطر، اندازه: 17/8</w:t>
      </w:r>
      <w:r>
        <w:rPr>
          <w:rFonts w:ascii="Times New Roman" w:hAnsi="Times New Roman" w:eastAsia="Times New Roman" w:cs="Times New Roman"/>
          <w:lang w:val="en-US" w:bidi="en-US"/>
          <w:color w:val="111111"/>
          <w:sz w:val="28"/>
          <w:szCs w:val="28"/>
          <w:rtl/>
        </w:rPr>
        <w:t xml:space="preserve">×24/6</w:t>
      </w:r>
      <w:r>
        <w:rPr>
          <w:rFonts w:ascii="IRNazanin" w:hAnsi="IRNazanin" w:eastAsia="IRNazanin" w:cs="IRNazanin"/>
          <w:lang w:bidi="fa-IR"/>
          <w:color w:val="111111"/>
          <w:sz w:val="28"/>
          <w:szCs w:val="28"/>
          <w:rtl/>
        </w:rPr>
        <w:t xml:space="preserve">سم [ ف : 2 - 1 ]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قم؛ طبسی؛ شماره نسخه: 549/1</w:t>
      </w:r>
    </w:p>
    <w:p>
      <w:pPr>
        <w:pStyle w:val="BookText"/>
      </w:pPr>
      <w:r>
        <w:rPr>
          <w:rFonts w:ascii="IRNazanin" w:hAnsi="IRNazanin" w:eastAsia="IRNazanin" w:cs="IRNazanin"/>
          <w:lang w:bidi="fa-IR"/>
          <w:color w:val="111111"/>
          <w:sz w:val="28"/>
          <w:szCs w:val="28"/>
          <w:rtl/>
        </w:rPr>
        <w:t xml:space="preserve">آغاز: برابر؛ انجام: و لفظ حرمی بكسر حا و سکون را و کسرمیم و ياء مشددة مكتوب است از برای آن این لفظ را بهر دو استاد داده اند.</w:t>
      </w:r>
    </w:p>
    <w:p>
      <w:pPr>
        <w:pStyle w:val="BookText"/>
      </w:pPr>
      <w:r>
        <w:rPr>
          <w:rFonts w:ascii="IRNazanin" w:hAnsi="IRNazanin" w:eastAsia="IRNazanin" w:cs="IRNazanin"/>
          <w:lang w:bidi="fa-IR"/>
          <w:color w:val="111111"/>
          <w:sz w:val="28"/>
          <w:szCs w:val="28"/>
          <w:rtl/>
        </w:rPr>
        <w:t xml:space="preserve">خط: نسخ، بی کا، تا: قرن 13؛ جلد :مقوا، عطف وگوشه تیماج سرخ، 99گ، 12 سطر ، اندازه: 15</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مخ: 1 - 38]</w:t>
      </w:r>
    </w:p>
    <w:p>
      <w:pPr>
        <w:pStyle w:val="BookText"/>
      </w:pPr>
      <w:r>
        <w:rPr>
          <w:rFonts w:ascii="IRNazanin" w:hAnsi="IRNazanin" w:eastAsia="IRNazanin" w:cs="IRNazanin"/>
          <w:lang w:bidi="fa-IR"/>
          <w:color w:val="111111"/>
          <w:sz w:val="28"/>
          <w:szCs w:val="28"/>
          <w:rtl/>
        </w:rPr>
        <w:t xml:space="preserve">6 . تهران الهیات؛ شماره نسخه: 215/1</w:t>
      </w:r>
    </w:p>
    <w:p>
      <w:pPr>
        <w:pStyle w:val="BookText"/>
      </w:pPr>
      <w:r>
        <w:rPr>
          <w:rFonts w:ascii="IRNazanin" w:hAnsi="IRNazanin" w:eastAsia="IRNazanin" w:cs="IRNazanin"/>
          <w:lang w:bidi="fa-IR"/>
          <w:color w:val="111111"/>
          <w:sz w:val="28"/>
          <w:szCs w:val="28"/>
          <w:rtl/>
        </w:rPr>
        <w:t xml:space="preserve">خط: نسخ، بی کا، تا :1229ق؛ کاغذ: فرنگی سفید و کبود جلد: تیماج ،مشکی، 47گ (2پ-49پ)14 سطر ،(8</w:t>
      </w:r>
      <w:r>
        <w:rPr>
          <w:rFonts w:ascii="Times New Roman" w:hAnsi="Times New Roman" w:eastAsia="Times New Roman" w:cs="Times New Roman"/>
          <w:lang w:val="en-US" w:bidi="en-US"/>
          <w:color w:val="111111"/>
          <w:sz w:val="28"/>
          <w:szCs w:val="28"/>
          <w:rtl/>
        </w:rPr>
        <w:t xml:space="preserve">×13/5) </w:t>
      </w:r>
      <w:r>
        <w:rPr>
          <w:rFonts w:ascii="IRNazanin" w:hAnsi="IRNazanin" w:eastAsia="IRNazanin" w:cs="IRNazanin"/>
          <w:lang w:bidi="fa-IR"/>
          <w:color w:val="111111"/>
          <w:sz w:val="28"/>
          <w:szCs w:val="28"/>
          <w:rtl/>
        </w:rPr>
        <w:t xml:space="preserve">، اندازه:13/5</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ف: 739]</w:t>
      </w:r>
    </w:p>
    <w:p>
      <w:pPr>
        <w:pStyle w:val="BookText"/>
      </w:pPr>
      <w:r>
        <w:rPr>
          <w:rFonts w:ascii="IRNazanin" w:hAnsi="IRNazanin" w:eastAsia="IRNazanin" w:cs="IRNazanin"/>
          <w:lang w:bidi="fa-IR"/>
          <w:color w:val="111111"/>
          <w:sz w:val="28"/>
          <w:szCs w:val="28"/>
          <w:rtl/>
        </w:rPr>
        <w:t xml:space="preserve">7.تهران؛ مجلس؛ شماره نسخه: 11972/1</w:t>
      </w:r>
    </w:p>
    <w:p>
      <w:pPr>
        <w:pStyle w:val="BookText"/>
      </w:pPr>
      <w:r>
        <w:rPr>
          <w:rFonts w:ascii="IRNazanin" w:hAnsi="IRNazanin" w:eastAsia="IRNazanin" w:cs="IRNazanin"/>
          <w:lang w:bidi="fa-IR"/>
          <w:color w:val="111111"/>
          <w:sz w:val="28"/>
          <w:szCs w:val="28"/>
          <w:rtl/>
        </w:rPr>
        <w:t xml:space="preserve">آغاز: برابر؛ انجام: کلمه فى عمد بنابر روایت حفص به فتح و خوانده می شود و بنابر قرائت بکر به ضم عین و به ضم میم می خوانند</w:t>
      </w:r>
    </w:p>
    <w:p>
      <w:pPr>
        <w:pStyle w:val="BookText"/>
      </w:pPr>
      <w:r>
        <w:rPr>
          <w:rFonts w:ascii="IRNazanin" w:hAnsi="IRNazanin" w:eastAsia="IRNazanin" w:cs="IRNazanin"/>
          <w:lang w:bidi="fa-IR"/>
          <w:color w:val="111111"/>
          <w:sz w:val="28"/>
          <w:szCs w:val="28"/>
          <w:rtl/>
        </w:rPr>
        <w:t xml:space="preserve">خط: نسخ، بی کا ،تا :1245ق؛ افتادگی: انجام ؛جلد:تیماج قهوهای ،مجدول 158گ (1-159)، 17 سطر (9/5</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اندازه: 14/5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34 - 105]</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مشهد؛ رضوی؛ شماره نسخه: 22171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نستعليق، كا: احمد علی بن عنایت الله، تا: 1251ق، از باب پنجم نسخه در تاریخ 29 جمادى الثانى 1256ق، جا لکهنو؛ در لكنهو نونویسی شده، ضمیمه نسخه ش 22170؛ اهدایی رهبری، فروردین 1374؛ کاغذ: نخودی آهار مهره، جلد: میشن 242گ 19 سطر ، اندازه: 17</w:t>
      </w:r>
      <w:r>
        <w:rPr>
          <w:rFonts w:ascii="Times New Roman" w:hAnsi="Times New Roman" w:eastAsia="Times New Roman" w:cs="Times New Roman"/>
          <w:lang w:val="en-US" w:bidi="en-US"/>
          <w:color w:val="111111"/>
          <w:sz w:val="28"/>
          <w:szCs w:val="28"/>
          <w:rtl/>
        </w:rPr>
        <w:t xml:space="preserve">×26</w:t>
      </w:r>
      <w:r>
        <w:rPr>
          <w:rFonts w:ascii="IRNazanin" w:hAnsi="IRNazanin" w:eastAsia="IRNazanin" w:cs="IRNazanin"/>
          <w:lang w:bidi="fa-IR"/>
          <w:color w:val="111111"/>
          <w:sz w:val="28"/>
          <w:szCs w:val="28"/>
          <w:rtl/>
        </w:rPr>
        <w:t xml:space="preserve">سم[اهدائى - ف: 1علوم قرآن - 295] و ف: 15-23]</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قم ؛طبسی؛ شماره نسخه: 90</w:t>
      </w:r>
    </w:p>
    <w:p>
      <w:pPr>
        <w:pStyle w:val="BookText"/>
      </w:pPr>
      <w:r>
        <w:rPr>
          <w:rFonts w:ascii="IRNazanin" w:hAnsi="IRNazanin" w:eastAsia="IRNazanin" w:cs="IRNazanin"/>
          <w:lang w:bidi="fa-IR"/>
          <w:color w:val="111111"/>
          <w:sz w:val="28"/>
          <w:szCs w:val="28"/>
          <w:rtl/>
        </w:rPr>
        <w:t xml:space="preserve">آغاز: برابر؛ انجام: و کسانی که مؤلف را دعای خیر کنندو کافه اهل ایمان را حشر با ائمه معصومین صلوات الله عليهم اجمعين گردان بحق محمد و آله الطيبين الحمد لله اولاً وآخراً</w:t>
      </w:r>
    </w:p>
    <w:p>
      <w:pPr>
        <w:pStyle w:val="BookText"/>
      </w:pPr>
      <w:r>
        <w:rPr>
          <w:rFonts w:ascii="IRNazanin" w:hAnsi="IRNazanin" w:eastAsia="IRNazanin" w:cs="IRNazanin"/>
          <w:lang w:bidi="fa-IR"/>
          <w:color w:val="111111"/>
          <w:sz w:val="28"/>
          <w:szCs w:val="28"/>
          <w:rtl/>
        </w:rPr>
        <w:t xml:space="preserve">خط: معتاد ،کا: مراد علی بن حق ،ویردی، تا: 1260ق، جا :اردبیل؛ جلد: تیماج مشکی مجدول با ترنج و سرترنج، 196گ، 16 سطر ، اندازه: 17/5 </w:t>
      </w:r>
      <w:r>
        <w:rPr>
          <w:rFonts w:ascii="Times New Roman" w:hAnsi="Times New Roman" w:eastAsia="Times New Roman" w:cs="Times New Roman"/>
          <w:lang w:val="en-US" w:bidi="en-US"/>
          <w:color w:val="111111"/>
          <w:sz w:val="28"/>
          <w:szCs w:val="28"/>
          <w:rtl/>
        </w:rPr>
        <w:t xml:space="preserve">×23</w:t>
      </w:r>
      <w:r>
        <w:rPr>
          <w:rFonts w:ascii="IRNazanin" w:hAnsi="IRNazanin" w:eastAsia="IRNazanin" w:cs="IRNazanin"/>
          <w:lang w:bidi="fa-IR"/>
          <w:color w:val="111111"/>
          <w:sz w:val="28"/>
          <w:szCs w:val="28"/>
          <w:rtl/>
        </w:rPr>
        <w:t xml:space="preserve">سم [ف مخ: 1 - 37]</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خوانسار؛ فاضل؛ شماره نسخه: 52</w:t>
      </w:r>
    </w:p>
    <w:p>
      <w:pPr>
        <w:pStyle w:val="BookText"/>
      </w:pPr>
      <w:r>
        <w:rPr>
          <w:rFonts w:ascii="IRNazanin" w:hAnsi="IRNazanin" w:eastAsia="IRNazanin" w:cs="IRNazanin"/>
          <w:lang w:bidi="fa-IR"/>
          <w:color w:val="111111"/>
          <w:sz w:val="28"/>
          <w:szCs w:val="28"/>
          <w:rtl/>
        </w:rPr>
        <w:t xml:space="preserve">خط: نسخ، کا: جواد بن ملا علی اکبر خوانساری، تا: 1272ق، جا: اردبیل، خانه حاجی میرزا محسن اردبیلی؛ مجدول، مصحح؛ جلد: تیماج مشکی ترنج و سر ترنج دار مجدول، 175گ، 18 سطر ، اندازه: 17/5</w:t>
      </w:r>
      <w:r>
        <w:rPr>
          <w:rFonts w:ascii="Times New Roman" w:hAnsi="Times New Roman" w:eastAsia="Times New Roman" w:cs="Times New Roman"/>
          <w:lang w:val="en-US" w:bidi="en-US"/>
          <w:color w:val="111111"/>
          <w:sz w:val="28"/>
          <w:szCs w:val="28"/>
          <w:rtl/>
        </w:rPr>
        <w:t xml:space="preserve">×29</w:t>
      </w:r>
      <w:r>
        <w:rPr>
          <w:rFonts w:ascii="IRNazanin" w:hAnsi="IRNazanin" w:eastAsia="IRNazanin" w:cs="IRNazanin"/>
          <w:lang w:bidi="fa-IR"/>
          <w:color w:val="111111"/>
          <w:sz w:val="28"/>
          <w:szCs w:val="28"/>
          <w:rtl/>
        </w:rPr>
        <w:t xml:space="preserve">سم [ف: 1 - 41]</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مشهد؛ رضوی؛ شماره نسخه : 25068</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تا آخر باب دوم؛ خط: نسخ و نستعلیق، بی کا، تا: غره رجب 1273ق؛ ضمن 4 برگ آخر نسخه اخبار به طریق امامیه در مباحث توحید؛ کاغذ: حنایی 39گ 16 سطر ، اندازه: 13</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سم [ف: 23 - 15 ]</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قم؛ مرعشی؛ شماره نسخه: 4269</w:t>
      </w:r>
    </w:p>
    <w:p>
      <w:pPr>
        <w:pStyle w:val="BookText"/>
      </w:pPr>
      <w:r>
        <w:rPr>
          <w:rFonts w:ascii="IRNazanin" w:hAnsi="IRNazanin" w:eastAsia="IRNazanin" w:cs="IRNazanin"/>
          <w:lang w:bidi="fa-IR"/>
          <w:color w:val="111111"/>
          <w:sz w:val="28"/>
          <w:szCs w:val="28"/>
          <w:rtl/>
        </w:rPr>
        <w:t xml:space="preserve">خط: نستعلیق، کا: محمد حسین بن محمد آشتیانی قمی، تا: غره ذیحجه 1280ق؛ خاتمه کتاب و رموز سجاوندی نیامده است؛ جلد: تيماج ،مشکی، 128گ 13 سطر ، اندازه: 11/5</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[ف: 11- 272]</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تهران؛ مجلس؛ شماره نسخه: 3406</w:t>
      </w:r>
    </w:p>
    <w:p>
      <w:pPr>
        <w:pStyle w:val="BookText"/>
      </w:pPr>
      <w:r>
        <w:rPr>
          <w:rFonts w:ascii="IRNazanin" w:hAnsi="IRNazanin" w:eastAsia="IRNazanin" w:cs="IRNazanin"/>
          <w:lang w:bidi="fa-IR"/>
          <w:color w:val="111111"/>
          <w:sz w:val="28"/>
          <w:szCs w:val="28"/>
          <w:rtl/>
        </w:rPr>
        <w:t xml:space="preserve">آغاز: (از آنجا که خوانده میشود از سطر 7) بنابراین بخاطر رسید که اسماء قرار شاذه و راویان ایشان را که نیز ذکر کند شاید دانستن اسماء ایشان جهت فهمیدن حواشی قرآن ضرور نشود...</w:t>
      </w:r>
    </w:p>
    <w:p>
      <w:pPr>
        <w:pStyle w:val="BookText"/>
      </w:pPr>
      <w:r>
        <w:rPr>
          <w:rFonts w:ascii="IRNazanin" w:hAnsi="IRNazanin" w:eastAsia="IRNazanin" w:cs="IRNazanin"/>
          <w:lang w:bidi="fa-IR"/>
          <w:color w:val="111111"/>
          <w:sz w:val="28"/>
          <w:szCs w:val="28"/>
          <w:rtl/>
        </w:rPr>
        <w:t xml:space="preserve">اسماء و رمز ایشان بر وجهی است که مذکور میشود؛ انجام: وجمعی که عقد اخوت بسته اند و کسانیکه از این کتاب منتفع میشوند و کسانیکه مؤلف را دعای خیر کنند و کافه اهل ایمانرا.</w:t>
      </w:r>
    </w:p>
    <w:p>
      <w:pPr>
        <w:pStyle w:val="BookText"/>
      </w:pPr>
      <w:r>
        <w:rPr>
          <w:rFonts w:ascii="IRNazanin" w:hAnsi="IRNazanin" w:eastAsia="IRNazanin" w:cs="IRNazanin"/>
          <w:lang w:bidi="fa-IR"/>
          <w:color w:val="111111"/>
          <w:sz w:val="28"/>
          <w:szCs w:val="28"/>
          <w:rtl/>
        </w:rPr>
        <w:t xml:space="preserve">باب پنجم (بخش وقوف سجاوندی به ترتیب سوره ها) اندکی از دیباچه آن افتاده است؛ خط: نسخ و نستعلیق، کا: عباس بن جمال تا: 1300ق، جا :قریه فریدن ،کاغذ: فرنگی، جلد: تیماج ،مشکی 198ص، 15 سطر ، قطع: نیم خشتی اندازه: 12</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10 - 1265]</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کاشان ،عاطفی افشین؛ شماره نسخه: 62</w:t>
      </w:r>
    </w:p>
    <w:p>
      <w:pPr>
        <w:pStyle w:val="BookText"/>
      </w:pPr>
      <w:r>
        <w:rPr>
          <w:rFonts w:ascii="IRNazanin" w:hAnsi="IRNazanin" w:eastAsia="IRNazanin" w:cs="IRNazanin"/>
          <w:lang w:bidi="fa-IR"/>
          <w:color w:val="111111"/>
          <w:sz w:val="28"/>
          <w:szCs w:val="28"/>
          <w:rtl/>
        </w:rPr>
        <w:t xml:space="preserve">خط: نسخ، کا: مهدی بن رضا بن حسين بن مير عظيم بن حسين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43" w:name="pg20365_260055"/>
    <w:bookmarkEnd w:id="43"/>
    <w:p>
      <w:pPr>
        <w:pStyle w:val="BookText"/>
      </w:pPr>
      <w:r>
        <w:rPr>
          <w:rFonts w:ascii="IRNazanin" w:hAnsi="IRNazanin" w:eastAsia="IRNazanin" w:cs="IRNazanin"/>
          <w:lang w:bidi="fa-IR"/>
          <w:color w:val="111111"/>
          <w:sz w:val="28"/>
          <w:szCs w:val="28"/>
          <w:rtl/>
        </w:rPr>
        <w:t xml:space="preserve">بن مهدی بن میر حسین حسینی متولی، تا: دوشنبه 8 ذیقعده 1316ق؛ جا: کاشان بقعه سلطان هارون بن موسى بن جعفر (علیه السّلام) در برگ های نیمه دوم کتاب یادداشت مفصلی در باطل کردن سحر با استفاده از آیات قرآنی، روی برگ اول یادداشتی به خط کاتب، در برگ پایانی یک بیت شعر فارسی به خط نستعلیق درشت کاتب آمده است؛ مهر «محمد بن حسنعلی» «بیضی»  کاتب «مهدى بن محمدرضا الحسينی» (بیضی)؛ جلد: تیماج مشکی، بدون مقوا 76گ 11 سطر ، اندازه: 14</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سم [ف: - 56]</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مشهد؛ الهیات؛ شماره نسخه: 18708</w:t>
      </w:r>
    </w:p>
    <w:p>
      <w:pPr>
        <w:pStyle w:val="BookText"/>
      </w:pPr>
      <w:r>
        <w:rPr>
          <w:rFonts w:ascii="IRNazanin" w:hAnsi="IRNazanin" w:eastAsia="IRNazanin" w:cs="IRNazanin"/>
          <w:lang w:bidi="fa-IR"/>
          <w:color w:val="111111"/>
          <w:sz w:val="28"/>
          <w:szCs w:val="28"/>
          <w:rtl/>
        </w:rPr>
        <w:t xml:space="preserve">خط: نسخ و نستعلیق، کا: جمال الدین، بی تا :جلد: تیماج عنابی عطف مشکی، 15 سطر (10</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 اندازه 15/5 </w:t>
      </w:r>
      <w:r>
        <w:rPr>
          <w:rFonts w:ascii="Times New Roman" w:hAnsi="Times New Roman" w:eastAsia="Times New Roman" w:cs="Times New Roman"/>
          <w:lang w:val="en-US" w:bidi="en-US"/>
          <w:color w:val="111111"/>
          <w:sz w:val="28"/>
          <w:szCs w:val="28"/>
          <w:rtl/>
        </w:rPr>
        <w:t xml:space="preserve">×22/5 </w:t>
      </w:r>
      <w:r>
        <w:rPr>
          <w:rFonts w:ascii="IRNazanin" w:hAnsi="IRNazanin" w:eastAsia="IRNazanin" w:cs="IRNazanin"/>
          <w:lang w:bidi="fa-IR"/>
          <w:color w:val="111111"/>
          <w:sz w:val="28"/>
          <w:szCs w:val="28"/>
          <w:rtl/>
        </w:rPr>
        <w:t xml:space="preserve">سم [ف 2 - 6]</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قم؛ مرعشی؛ شماره نسخه: 3710</w:t>
      </w:r>
    </w:p>
    <w:p>
      <w:pPr>
        <w:pStyle w:val="BookText"/>
      </w:pPr>
      <w:r>
        <w:rPr>
          <w:rFonts w:ascii="IRNazanin" w:hAnsi="IRNazanin" w:eastAsia="IRNazanin" w:cs="IRNazanin"/>
          <w:lang w:bidi="fa-IR"/>
          <w:color w:val="111111"/>
          <w:sz w:val="28"/>
          <w:szCs w:val="28"/>
          <w:rtl/>
        </w:rPr>
        <w:t xml:space="preserve">آغاز: المذنبین را برداشت که ولسوف يعطيك ربك فترضی و از میان کتب قرآن عظیم؛ انجام: من شر الوسواس الخناس، الناس، والناس</w:t>
      </w:r>
    </w:p>
    <w:p>
      <w:pPr>
        <w:pStyle w:val="BookText"/>
      </w:pPr>
      <w:r>
        <w:rPr>
          <w:rFonts w:ascii="IRNazanin" w:hAnsi="IRNazanin" w:eastAsia="IRNazanin" w:cs="IRNazanin"/>
          <w:lang w:bidi="fa-IR"/>
          <w:color w:val="111111"/>
          <w:sz w:val="28"/>
          <w:szCs w:val="28"/>
          <w:rtl/>
        </w:rPr>
        <w:t xml:space="preserve">خط: نسخ، بی کا، بی تا، افتادگی: آغاز؛ مصحح، برگ آ خر نونویس و به تاریخ 1268 نوشته شده ؛جلد: تیماج قهوه ا ی320گ ، 10 سطر ، اندازه: 14</w:t>
      </w:r>
      <w:r>
        <w:rPr>
          <w:rFonts w:ascii="Times New Roman" w:hAnsi="Times New Roman" w:eastAsia="Times New Roman" w:cs="Times New Roman"/>
          <w:lang w:val="en-US" w:bidi="en-US"/>
          <w:color w:val="111111"/>
          <w:sz w:val="28"/>
          <w:szCs w:val="28"/>
          <w:rtl/>
        </w:rPr>
        <w:t xml:space="preserve">×19/5</w:t>
      </w:r>
      <w:r>
        <w:rPr>
          <w:rFonts w:ascii="IRNazanin" w:hAnsi="IRNazanin" w:eastAsia="IRNazanin" w:cs="IRNazanin"/>
          <w:lang w:bidi="fa-IR"/>
          <w:color w:val="111111"/>
          <w:sz w:val="28"/>
          <w:szCs w:val="28"/>
          <w:rtl/>
        </w:rPr>
        <w:t xml:space="preserve">سم [ف: 10 - 109]</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تهران؛ ملک؛ شماره نسخه: 5418/9</w:t>
      </w:r>
    </w:p>
    <w:p>
      <w:pPr>
        <w:pStyle w:val="BookText"/>
      </w:pPr>
      <w:r>
        <w:rPr>
          <w:rFonts w:ascii="IRNazanin" w:hAnsi="IRNazanin" w:eastAsia="IRNazanin" w:cs="IRNazanin"/>
          <w:lang w:bidi="fa-IR"/>
          <w:color w:val="111111"/>
          <w:sz w:val="28"/>
          <w:szCs w:val="28"/>
          <w:rtl/>
        </w:rPr>
        <w:t xml:space="preserve">آغاز: هذا القرآن على جبل لرأيته خاشعاً... صد هزاران... صلوته نامیات و تحفه تحیات زاكيات ... اما بعد چنین گوید. ابن ابراهيم مصطفى القاری؛ انجام: این لفظ را بهر دو استاد داده اند. تمام شد این کتاب بعون الملك الوهاب. كتبه...</w:t>
      </w:r>
    </w:p>
    <w:p>
      <w:pPr>
        <w:pStyle w:val="BookText"/>
      </w:pPr>
      <w:r>
        <w:rPr>
          <w:rFonts w:ascii="IRNazanin" w:hAnsi="IRNazanin" w:eastAsia="IRNazanin" w:cs="IRNazanin"/>
          <w:lang w:bidi="fa-IR"/>
          <w:color w:val="111111"/>
          <w:sz w:val="28"/>
          <w:szCs w:val="28"/>
          <w:rtl/>
        </w:rPr>
        <w:t xml:space="preserve">خط:نسخ، کا ،حسین، بی تا :افتادگی: آغاز (در مقدمه) ؛جلد:میشن قهوه ای ضربی مغزی ،دار 59گ (50 ر -109پ) اندازه: 15/5 </w:t>
      </w:r>
      <w:r>
        <w:rPr>
          <w:rFonts w:ascii="Times New Roman" w:hAnsi="Times New Roman" w:eastAsia="Times New Roman" w:cs="Times New Roman"/>
          <w:lang w:val="en-US" w:bidi="en-US"/>
          <w:color w:val="111111"/>
          <w:sz w:val="28"/>
          <w:szCs w:val="28"/>
          <w:rtl/>
        </w:rPr>
        <w:t xml:space="preserve">×21/3 </w:t>
      </w:r>
      <w:r>
        <w:rPr>
          <w:rFonts w:ascii="IRNazanin" w:hAnsi="IRNazanin" w:eastAsia="IRNazanin" w:cs="IRNazanin"/>
          <w:lang w:bidi="fa-IR"/>
          <w:color w:val="111111"/>
          <w:sz w:val="28"/>
          <w:szCs w:val="28"/>
          <w:rtl/>
        </w:rPr>
        <w:t xml:space="preserve">سم [ف 8 -352]</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یزد؛ وزیری؛ شماره نسخه: 3161/1</w:t>
      </w:r>
    </w:p>
    <w:p>
      <w:pPr>
        <w:pStyle w:val="BookText"/>
      </w:pPr>
      <w:r>
        <w:rPr>
          <w:rFonts w:ascii="IRNazanin" w:hAnsi="IRNazanin" w:eastAsia="IRNazanin" w:cs="IRNazanin"/>
          <w:lang w:bidi="fa-IR"/>
          <w:color w:val="111111"/>
          <w:sz w:val="28"/>
          <w:szCs w:val="28"/>
          <w:rtl/>
        </w:rPr>
        <w:t xml:space="preserve">آغاز: ایشان فرموده ...</w:t>
      </w:r>
    </w:p>
    <w:p>
      <w:pPr>
        <w:pStyle w:val="BookText"/>
      </w:pPr>
      <w:r>
        <w:rPr>
          <w:rFonts w:ascii="IRNazanin" w:hAnsi="IRNazanin" w:eastAsia="IRNazanin" w:cs="IRNazanin"/>
          <w:lang w:bidi="fa-IR"/>
          <w:color w:val="111111"/>
          <w:sz w:val="28"/>
          <w:szCs w:val="28"/>
          <w:rtl/>
        </w:rPr>
        <w:t xml:space="preserve">بی کا، بی تا؛ افتادگی: آغاز :کاغذ: ترمه ،جلد: مقوایی با تیماج عنابی ضربی درون تیماج ،مشکی 191 ص (1- 192) اندازه: 8/5</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سم [ف: 5 - 1554]</w:t>
      </w:r>
    </w:p>
    <w:p>
      <w:pPr>
        <w:pStyle w:val="BookText"/>
      </w:pPr>
      <w:r>
        <w:rPr>
          <w:rFonts w:ascii="IRNazanin" w:hAnsi="IRNazanin" w:eastAsia="IRNazanin" w:cs="IRNazanin"/>
          <w:lang w:bidi="fa-IR"/>
          <w:color w:val="111111"/>
          <w:sz w:val="28"/>
          <w:szCs w:val="28"/>
          <w:rtl/>
        </w:rPr>
        <w:t xml:space="preserve">19 تهران؛ مجلس؛ شماره نسخه: 16718</w:t>
      </w:r>
    </w:p>
    <w:p>
      <w:pPr>
        <w:pStyle w:val="BookText"/>
      </w:pPr>
      <w:r>
        <w:rPr>
          <w:rFonts w:ascii="IRNazanin" w:hAnsi="IRNazanin" w:eastAsia="IRNazanin" w:cs="IRNazanin"/>
          <w:lang w:bidi="fa-IR"/>
          <w:color w:val="111111"/>
          <w:sz w:val="28"/>
          <w:szCs w:val="28"/>
          <w:rtl/>
        </w:rPr>
        <w:t xml:space="preserve">بی کا، بی تا [د.ث]</w:t>
      </w:r>
    </w:p>
    <w:p>
      <w:pPr>
        <w:pStyle w:val="Heading3"/>
      </w:pPr>
      <w:bookmarkStart w:id="607" w:name="_Toc129"/>
      <w:r>
        <w:t>ارشاد القاصد الى اسنى المقاصد / چند دانشی / عربی</w:t>
      </w:r>
      <w:bookmarkEnd w:id="607"/>
    </w:p>
    <w:p>
      <w:pPr>
        <w:pStyle w:val="BookText"/>
      </w:pPr>
      <w:r>
        <w:rPr>
          <w:rFonts w:ascii="Times New Roman" w:hAnsi="Times New Roman" w:eastAsia="Times New Roman" w:cs="Times New Roman"/>
          <w:lang w:val="en-US" w:bidi="en-US"/>
          <w:color w:val="111111"/>
          <w:sz w:val="28"/>
          <w:szCs w:val="28"/>
          <w:rtl/>
        </w:rPr>
        <w:t xml:space="preserve">iršād-ul-qāṣid ila asn-al-maqāṣid</w:t>
      </w:r>
    </w:p>
    <w:p>
      <w:pPr>
        <w:pStyle w:val="BookText"/>
      </w:pPr>
      <w:r>
        <w:rPr>
          <w:rFonts w:ascii="IRNazanin" w:hAnsi="IRNazanin" w:eastAsia="IRNazanin" w:cs="IRNazanin"/>
          <w:lang w:bidi="fa-IR"/>
          <w:color w:val="111111"/>
          <w:sz w:val="28"/>
          <w:szCs w:val="28"/>
          <w:rtl/>
        </w:rPr>
        <w:t xml:space="preserve">انصاری، محمد بن ابراهيم، - 749 قمری</w:t>
      </w:r>
    </w:p>
    <w:p>
      <w:pPr>
        <w:pStyle w:val="BookText"/>
      </w:pPr>
      <w:r>
        <w:rPr>
          <w:rFonts w:ascii="Times New Roman" w:hAnsi="Times New Roman" w:eastAsia="Times New Roman" w:cs="Times New Roman"/>
          <w:lang w:val="en-US" w:bidi="en-US"/>
          <w:color w:val="111111"/>
          <w:sz w:val="28"/>
          <w:szCs w:val="28"/>
          <w:rtl/>
        </w:rPr>
        <w:t xml:space="preserve">(ansārī, mohammad-e-bn-e ebrāhīm ( - 1349)</w:t>
      </w:r>
    </w:p>
    <w:p>
      <w:pPr>
        <w:pStyle w:val="BookText"/>
      </w:pPr>
      <w:r>
        <w:rPr>
          <w:rFonts w:ascii="IRNazanin" w:hAnsi="IRNazanin" w:eastAsia="IRNazanin" w:cs="IRNazanin"/>
          <w:lang w:bidi="fa-IR"/>
          <w:color w:val="111111"/>
          <w:sz w:val="28"/>
          <w:szCs w:val="28"/>
          <w:rtl/>
        </w:rPr>
        <w:t xml:space="preserve">موسوعه علوم است شامل 60 علم (ده علم اصلی و بقیه شعب فروع) هر علم را نخست از لحاظ موضوع و غرض شناسانده، اشاره ای کوتاه به مسائل آن علم کرده و سپس کتاب های مختصر و مفصل آن علم را یاد کرده و مجموعاً فهرستی برای شناساندن 420 کتاب (یا بیشتر) در مقدمه کتاب که در فضیلت علم و اقسام علوم است کلیاتی در باب علوم و نیز فهرستی از مهمترین کتاب های ادب و تاریخ و شعریاد شده است. ابن ساعد در ذیل بحث از علوم الهی و شعب آن به اختلاف فرق و ادیان اشاره و از 15 دین و 72 فرقه مذهبی در اسلام یاد می کند.</w:t>
      </w:r>
    </w:p>
    <w:p>
      <w:pPr>
        <w:pStyle w:val="BookText"/>
      </w:pPr>
      <w:r>
        <w:rPr>
          <w:rFonts w:ascii="IRNazanin" w:hAnsi="IRNazanin" w:eastAsia="IRNazanin" w:cs="IRNazanin"/>
          <w:lang w:bidi="fa-IR"/>
          <w:color w:val="111111"/>
          <w:sz w:val="28"/>
          <w:szCs w:val="28"/>
          <w:rtl/>
        </w:rPr>
        <w:t xml:space="preserve">آغاز: بسمله قال العبد الفقير الى الواحد البارى محمد بن ابراهيم ساعد الأنصارى الحمد لله الذى خلق الانسان و فضله علی سایر أنواع الحيوان بالنطق و البيان... و بعد فان بناحاجة الى</w:t>
      </w:r>
    </w:p>
    <w:p>
      <w:pPr>
        <w:pStyle w:val="BookText"/>
      </w:pPr>
      <w:r>
        <w:rPr>
          <w:rFonts w:ascii="Amiri" w:hAnsi="Amiri" w:eastAsia="Amiri" w:cs="Amiri"/>
          <w:lang w:bidi="ar-SA"/>
          <w:color w:val="111111"/>
          <w:sz w:val="28"/>
          <w:szCs w:val="28"/>
          <w:rtl/>
        </w:rPr>
        <w:t xml:space="preserve">انجام: هذه المقولات شاملة لجميع الموجودات الممكنه وليكن هذا آخر الكلام فى هذه الرساله والصلوة والسلام على من ختمت الرسالة و الحمد لله وله الحمد اولاً وآخراً.</w:t>
      </w:r>
    </w:p>
    <w:p>
      <w:pPr>
        <w:pStyle w:val="BookText"/>
      </w:pPr>
      <w:r>
        <w:rPr>
          <w:rFonts w:ascii="IRNazanin" w:hAnsi="IRNazanin" w:eastAsia="IRNazanin" w:cs="IRNazanin"/>
          <w:lang w:bidi="fa-IR"/>
          <w:color w:val="111111"/>
          <w:sz w:val="28"/>
          <w:szCs w:val="28"/>
          <w:rtl/>
        </w:rPr>
        <w:t xml:space="preserve">چاپ: بیروت ،148 ص 1904م ،کلکته با کتاب حدود النحو شیخ عبدالله بن احمد الفاكهى مصر، مطبعة الموسوعات: 1318ق</w:t>
      </w:r>
    </w:p>
    <w:p>
      <w:pPr>
        <w:pStyle w:val="BookText"/>
      </w:pPr>
      <w:r>
        <w:rPr>
          <w:rFonts w:ascii="Amiri" w:hAnsi="Amiri" w:eastAsia="Amiri" w:cs="Amiri"/>
          <w:lang w:bidi="ar-SA"/>
          <w:color w:val="111111"/>
          <w:sz w:val="28"/>
          <w:szCs w:val="28"/>
          <w:rtl/>
        </w:rPr>
        <w:t xml:space="preserve">[كشف الظنون 66/1 و 84؛ هدية العارفين 155/2؛ معجم المطبوعات :464]</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IRNazanin" w:hAnsi="IRNazanin" w:eastAsia="IRNazanin" w:cs="IRNazanin"/>
          <w:lang w:bidi="fa-IR"/>
          <w:color w:val="111111"/>
          <w:sz w:val="28"/>
          <w:szCs w:val="28"/>
          <w:rtl/>
        </w:rPr>
        <w:t xml:space="preserve">1- ارشاد القاصد (مختصر)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مجلس؛ شماره نسخه: 10188/5</w:t>
      </w:r>
    </w:p>
    <w:p>
      <w:pPr>
        <w:pStyle w:val="BookText"/>
      </w:pPr>
      <w:r>
        <w:rPr>
          <w:rFonts w:ascii="IRNazanin" w:hAnsi="IRNazanin" w:eastAsia="IRNazanin" w:cs="IRNazanin"/>
          <w:lang w:bidi="fa-IR"/>
          <w:color w:val="111111"/>
          <w:sz w:val="28"/>
          <w:szCs w:val="28"/>
          <w:rtl/>
        </w:rPr>
        <w:t xml:space="preserve">آغاز: برابر؛ انجام :و یری تزویج المسلمات من كفار قومهم الذين كفرهم بالكبائر</w:t>
      </w:r>
    </w:p>
    <w:p>
      <w:pPr>
        <w:pStyle w:val="BookText"/>
      </w:pPr>
      <w:r>
        <w:rPr>
          <w:rFonts w:ascii="IRNazanin" w:hAnsi="IRNazanin" w:eastAsia="IRNazanin" w:cs="IRNazanin"/>
          <w:lang w:bidi="fa-IR"/>
          <w:color w:val="111111"/>
          <w:sz w:val="28"/>
          <w:szCs w:val="28"/>
          <w:rtl/>
        </w:rPr>
        <w:t xml:space="preserve">خط: نستعليق ،كا: حيدر بن محمد بن احمد طبرانی یا طیرانی تا:958و 961ق؛ افتادگی: انجام؛ مصحح؛ جلد: تیماج مشکی 41 ص (76-117) ، 17 سطر ، اندازه: 9/5</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سم[ف: 32 - 227]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مجلس؛ شماره نسخه: 3328/1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بسیار روشن و پاکیزه، بی کا ،تا: چهارشنبه 21 رمضان 995ق؛ در پایان کاتب نوشته: «جملة العلوم على التفصيل المذكور هذه الرساله ستون علما منها عشرة اصليه و سبعة نظريه و هي المنطق و الالهى و الطبيعى و الرياضی و ثلثه عملیه و هی السیاسه و الاخلاق و تدبير المنزل و ذكر فى جملة العلوم اربعمائه مصنف و في المقدمه نحو عشرين مصنفاً، و وافق الفراغ من و وافق الفراغ من كتابته في عشية الاربعاء في – الحادي و العشرون من شهر رمضان. سنه 995. نعم المولى ونعم النصیر؛ کاغذ: ترکی و فرنگی، جلد: تیماج قرمز، 76 ص (1-76) قطع : خشتی، اندازه: 14/5</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10 - 1102]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قوچان؛ مدرسه عوضیه؛ شماره نسخه: 75/3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نستعليق، كا: ابو القاسم بن عناية الله تبریزی، تا: شنبه 9 1036ق؛ جلد: تیماج ،مشکی 23گ (162پ-185ر)، 26 سطر ، اندازه: 12</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[ف]</w:t>
      </w:r>
    </w:p>
    <w:p>
      <w:pPr>
        <w:pStyle w:val="BookText"/>
      </w:pPr>
      <w:r>
        <w:rPr>
          <w:rFonts w:ascii="IRNazanin" w:hAnsi="IRNazanin" w:eastAsia="IRNazanin" w:cs="IRNazanin"/>
          <w:lang w:bidi="fa-IR"/>
          <w:color w:val="111111"/>
          <w:sz w:val="28"/>
          <w:szCs w:val="28"/>
          <w:rtl/>
        </w:rPr>
        <w:t xml:space="preserve">4 . قم؛ مرکز احیاء؛ شماره نسخه: 4207/4</w:t>
      </w:r>
    </w:p>
    <w:p>
      <w:pPr>
        <w:pStyle w:val="BookText"/>
      </w:pPr>
      <w:r>
        <w:rPr>
          <w:rFonts w:ascii="IRNazanin" w:hAnsi="IRNazanin" w:eastAsia="IRNazanin" w:cs="IRNazanin"/>
          <w:lang w:bidi="fa-IR"/>
          <w:color w:val="111111"/>
          <w:sz w:val="28"/>
          <w:szCs w:val="28"/>
          <w:rtl/>
        </w:rPr>
        <w:t xml:space="preserve">آغاز: الحمد لله رب العالمين. .. و بعد فهذه منقولة من کتاب ...قال النبى صلى الله عليه و سلم الا ان من قبلكم من أهل الكتاب افترقوا على اثنين فرقة؛ انجام: فهذه الآراء المشهدة و المقالات المذكورة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44" w:name="pg20365_260056"/>
    <w:bookmarkEnd w:id="44"/>
    <w:p>
      <w:pPr>
        <w:pStyle w:val="BookText"/>
      </w:pPr>
      <w:r>
        <w:rPr>
          <w:rFonts w:ascii="IRNazanin" w:hAnsi="IRNazanin" w:eastAsia="IRNazanin" w:cs="IRNazanin"/>
          <w:lang w:bidi="fa-IR"/>
          <w:color w:val="111111"/>
          <w:sz w:val="28"/>
          <w:szCs w:val="28"/>
          <w:rtl/>
        </w:rPr>
        <w:t xml:space="preserve">و الله يقول الحق و هو يهدى السبيل فنسأل الله سلوک سبل الرشاد و السلامة من الكفر و العناد.</w:t>
      </w:r>
    </w:p>
    <w:p>
      <w:pPr>
        <w:pStyle w:val="BookText"/>
      </w:pPr>
      <w:r>
        <w:rPr>
          <w:rFonts w:ascii="IRNazanin" w:hAnsi="IRNazanin" w:eastAsia="IRNazanin" w:cs="IRNazanin"/>
          <w:lang w:bidi="fa-IR"/>
          <w:color w:val="111111"/>
          <w:sz w:val="28"/>
          <w:szCs w:val="28"/>
          <w:rtl/>
        </w:rPr>
        <w:t xml:space="preserve">خط: نسخ، کا: سعيد بن علی حسینی تنکابنی، تا: 1306ق؛ پایان مقداری از شرح نصاب الصبیان ناقصاً آمده که تا قطعه ششم شرح شده که چون آغاز و انجام افتاده معلوم نشد از کیست (96ر - 120پ)؛ جلد ،مقوایی عطف تیماج قهوه ای سوخته 7 گ،(88 پ-95ر، 17 سطر ، اندازه: 12</w:t>
      </w:r>
      <w:r>
        <w:rPr>
          <w:rFonts w:ascii="Times New Roman" w:hAnsi="Times New Roman" w:eastAsia="Times New Roman" w:cs="Times New Roman"/>
          <w:lang w:val="en-US" w:bidi="en-US"/>
          <w:color w:val="111111"/>
          <w:sz w:val="28"/>
          <w:szCs w:val="28"/>
          <w:rtl/>
        </w:rPr>
        <w:t xml:space="preserve">×18/5</w:t>
      </w:r>
      <w:r>
        <w:rPr>
          <w:rFonts w:ascii="IRNazanin" w:hAnsi="IRNazanin" w:eastAsia="IRNazanin" w:cs="IRNazanin"/>
          <w:lang w:bidi="fa-IR"/>
          <w:color w:val="111111"/>
          <w:sz w:val="28"/>
          <w:szCs w:val="28"/>
          <w:rtl/>
        </w:rPr>
        <w:t xml:space="preserve">سم [محدث ارموی مخ : 1- 113]</w:t>
      </w:r>
    </w:p>
    <w:p>
      <w:pPr>
        <w:pStyle w:val="Heading3"/>
      </w:pPr>
      <w:bookmarkStart w:id="608" w:name="_Toc130"/>
      <w:r>
        <w:t>ارشاد القاصد (مختصر) / فهرست / عربی</w:t>
      </w:r>
      <w:bookmarkEnd w:id="608"/>
    </w:p>
    <w:p>
      <w:pPr>
        <w:pStyle w:val="BookText"/>
      </w:pPr>
      <w:r>
        <w:rPr>
          <w:rFonts w:ascii="Times New Roman" w:hAnsi="Times New Roman" w:eastAsia="Times New Roman" w:cs="Times New Roman"/>
          <w:lang w:val="en-US" w:bidi="en-US"/>
          <w:color w:val="111111"/>
          <w:sz w:val="28"/>
          <w:szCs w:val="28"/>
          <w:rtl/>
        </w:rPr>
        <w:t xml:space="preserve">iršād-ul qāṣid (mx.)</w:t>
      </w:r>
    </w:p>
    <w:p>
      <w:pPr>
        <w:pStyle w:val="BookText"/>
      </w:pPr>
      <w:r>
        <w:rPr>
          <w:rFonts w:ascii="IRNazanin" w:hAnsi="IRNazanin" w:eastAsia="IRNazanin" w:cs="IRNazanin"/>
          <w:lang w:bidi="fa-IR"/>
          <w:color w:val="111111"/>
          <w:sz w:val="28"/>
          <w:szCs w:val="28"/>
          <w:rtl/>
        </w:rPr>
        <w:t xml:space="preserve">وابسته به: ارشاد القاصد الى اسنى المقاصد؛ انصاری، محمد ابراهيم (-749)</w:t>
      </w:r>
    </w:p>
    <w:p>
      <w:pPr>
        <w:pStyle w:val="BookText"/>
      </w:pPr>
      <w:r>
        <w:rPr>
          <w:rFonts w:ascii="IRNazanin" w:hAnsi="IRNazanin" w:eastAsia="IRNazanin" w:cs="IRNazanin"/>
          <w:lang w:bidi="fa-IR"/>
          <w:color w:val="111111"/>
          <w:sz w:val="28"/>
          <w:szCs w:val="28"/>
          <w:rtl/>
        </w:rPr>
        <w:t xml:space="preserve">فهرستی است برای اصناف علوم مشتمل بر بیان شصت علم مسائل مهم هر یک از آنها و نام تألیفات معروف در هر فن مجموعاً چهار صد کتاب می شود نام برده است. در این مختصر تعریف و موضوع و منفعت هر یک از علوم و مهمترین کتاب آن را آورده است.</w:t>
      </w:r>
    </w:p>
    <w:p>
      <w:pPr>
        <w:pStyle w:val="BookText"/>
      </w:pPr>
      <w:r>
        <w:rPr>
          <w:rFonts w:ascii="IRNazanin" w:hAnsi="IRNazanin" w:eastAsia="IRNazanin" w:cs="IRNazanin"/>
          <w:lang w:bidi="fa-IR"/>
          <w:color w:val="111111"/>
          <w:sz w:val="28"/>
          <w:szCs w:val="28"/>
          <w:rtl/>
        </w:rPr>
        <w:t xml:space="preserve">قم؛ مرعشی؛ شماره نسخه: 8466</w:t>
      </w:r>
    </w:p>
    <w:p>
      <w:pPr>
        <w:pStyle w:val="BookText"/>
      </w:pPr>
      <w:r>
        <w:rPr>
          <w:rFonts w:ascii="IRNazanin" w:hAnsi="IRNazanin" w:eastAsia="IRNazanin" w:cs="IRNazanin"/>
          <w:lang w:bidi="fa-IR"/>
          <w:color w:val="111111"/>
          <w:sz w:val="28"/>
          <w:szCs w:val="28"/>
          <w:rtl/>
        </w:rPr>
        <w:t xml:space="preserve">آغاز: الحمد لله رب العالمين... و بعد كفى بالعم شرفا أن الله تعالی وصف به نفسه و جعله ذريعة للسعادة ونجاة من الشقاوة؛ انجام :هذه المقولات شاملة لجميع الموجودات الممكنة.</w:t>
      </w:r>
    </w:p>
    <w:p>
      <w:pPr>
        <w:pStyle w:val="BookText"/>
      </w:pPr>
      <w:r>
        <w:rPr>
          <w:rFonts w:ascii="IRNazanin" w:hAnsi="IRNazanin" w:eastAsia="IRNazanin" w:cs="IRNazanin"/>
          <w:lang w:bidi="fa-IR"/>
          <w:color w:val="111111"/>
          <w:sz w:val="28"/>
          <w:szCs w:val="28"/>
          <w:rtl/>
        </w:rPr>
        <w:t xml:space="preserve">خط: نسخ، بی کا، تا: 1286ق؛ تملک: محسن غروی شرابیانی به تاریخ 22 صفر 1363 با مهر بیضوی ناخوان وی؛ جلد: تیماج مشکی بدون مقوا، 40گ، 13 سطر ، اندازه: 10/5 </w:t>
      </w:r>
      <w:r>
        <w:rPr>
          <w:rFonts w:ascii="Times New Roman" w:hAnsi="Times New Roman" w:eastAsia="Times New Roman" w:cs="Times New Roman"/>
          <w:lang w:val="en-US" w:bidi="en-US"/>
          <w:color w:val="111111"/>
          <w:sz w:val="28"/>
          <w:szCs w:val="28"/>
          <w:rtl/>
        </w:rPr>
        <w:t xml:space="preserve">× 17</w:t>
      </w:r>
      <w:r>
        <w:rPr>
          <w:rFonts w:ascii="IRNazanin" w:hAnsi="IRNazanin" w:eastAsia="IRNazanin" w:cs="IRNazanin"/>
          <w:lang w:bidi="fa-IR"/>
          <w:color w:val="111111"/>
          <w:sz w:val="28"/>
          <w:szCs w:val="28"/>
          <w:rtl/>
        </w:rPr>
        <w:t xml:space="preserve">سم [ ف : 22 - 57 ]</w:t>
      </w:r>
    </w:p>
    <w:p>
      <w:pPr>
        <w:pStyle w:val="Heading3"/>
      </w:pPr>
      <w:bookmarkStart w:id="609" w:name="_Toc131"/>
      <w:r>
        <w:t>ارشاد القلوب الى الصواب المنجى من عمل به من اليم العقاب / حدیث / عربی</w:t>
      </w:r>
      <w:bookmarkEnd w:id="609"/>
    </w:p>
    <w:p>
      <w:pPr>
        <w:pStyle w:val="BookText"/>
      </w:pPr>
      <w:r>
        <w:rPr>
          <w:rFonts w:ascii="Times New Roman" w:hAnsi="Times New Roman" w:eastAsia="Times New Roman" w:cs="Times New Roman"/>
          <w:lang w:val="en-US" w:bidi="en-US"/>
          <w:color w:val="111111"/>
          <w:sz w:val="28"/>
          <w:szCs w:val="28"/>
          <w:rtl/>
        </w:rPr>
        <w:t xml:space="preserve">iršād-ul qulūb ila-ṣ ṣawāb-il munjī min ‘amal-i bi-hī</w:t>
      </w:r>
    </w:p>
    <w:p>
      <w:pPr>
        <w:pStyle w:val="BookText"/>
      </w:pPr>
      <w:r>
        <w:rPr>
          <w:rFonts w:ascii="Times New Roman" w:hAnsi="Times New Roman" w:eastAsia="Times New Roman" w:cs="Times New Roman"/>
          <w:lang w:val="en-US" w:bidi="en-US"/>
          <w:color w:val="111111"/>
          <w:sz w:val="28"/>
          <w:szCs w:val="28"/>
          <w:rtl/>
        </w:rPr>
        <w:t xml:space="preserve">min alīm-il ‘iqāb</w:t>
      </w:r>
    </w:p>
    <w:p>
      <w:pPr>
        <w:pStyle w:val="BookText"/>
      </w:pPr>
      <w:r>
        <w:rPr>
          <w:rFonts w:ascii="IRNazanin" w:hAnsi="IRNazanin" w:eastAsia="IRNazanin" w:cs="IRNazanin"/>
          <w:lang w:bidi="fa-IR"/>
          <w:color w:val="111111"/>
          <w:sz w:val="28"/>
          <w:szCs w:val="28"/>
          <w:rtl/>
        </w:rPr>
        <w:t xml:space="preserve">دیلمی حسن بن محمد ق 8 قمری</w:t>
      </w:r>
    </w:p>
    <w:p>
      <w:pPr>
        <w:pStyle w:val="BookText"/>
      </w:pPr>
      <w:r>
        <w:rPr>
          <w:rFonts w:ascii="Times New Roman" w:hAnsi="Times New Roman" w:eastAsia="Times New Roman" w:cs="Times New Roman"/>
          <w:lang w:val="en-US" w:bidi="en-US"/>
          <w:color w:val="111111"/>
          <w:sz w:val="28"/>
          <w:szCs w:val="28"/>
          <w:rtl/>
        </w:rPr>
        <w:t xml:space="preserve">(deylamī, hasan ebn-e mohammad ( - 14c)</w:t>
      </w:r>
    </w:p>
    <w:p>
      <w:pPr>
        <w:pStyle w:val="BookText"/>
      </w:pPr>
      <w:r>
        <w:rPr>
          <w:rFonts w:ascii="IRNazanin" w:hAnsi="IRNazanin" w:eastAsia="IRNazanin" w:cs="IRNazanin"/>
          <w:lang w:bidi="fa-IR"/>
          <w:color w:val="111111"/>
          <w:sz w:val="28"/>
          <w:szCs w:val="28"/>
          <w:rtl/>
        </w:rPr>
        <w:t xml:space="preserve">کتاب که از مؤلفات مشهور امامیه در اخلاق و کلام است، دارای دو قسمت است قسمت اول شامل احادیث کوتاه موعظه و آداب دینی و حکمت های اخلاقی در 55 «باب»1. ثواب الموعظه، 2 ،الزهد، 3. ذم الدنيا، 4. ترك الدنيا، 5.التخويف و الترهيب 6. التحذير بالعقوبة فى الدنيا 7. قصر . الاعمار 8. المرض و مصلحته .9. ثواب عيادة المريض،10. التوبة و شروطها،... 53. فيما سأل رسول الله (صلّی اللَّهِ علیه وَ آلِهِ وَ سَلَّمَ ) ليلة المعراج،قسمت دوم مشتمل بر مناقب و فضایل حضرت علی و فاطمه زهرا و فرزندان ایشان (علیه السّلام) و نوادر اخبار درباره آن بزرگواران مناظرات حضرت علی (علیه السّلام) با دانشمندان دیگر ادیان و شرح زندگی و جنگ های آن حضرت در دوران خلافت و ما قبل آن احتجاج شیخ مفید (رحمه الله) علیه مخالفان و مطالب دیگر.</w:t>
      </w:r>
    </w:p>
    <w:p>
      <w:pPr>
        <w:pStyle w:val="BookText"/>
      </w:pPr>
      <w:r>
        <w:rPr>
          <w:rFonts w:ascii="Amiri" w:hAnsi="Amiri" w:eastAsia="Amiri" w:cs="Amiri"/>
          <w:lang w:bidi="ar-SA"/>
          <w:color w:val="111111"/>
          <w:sz w:val="28"/>
          <w:szCs w:val="28"/>
          <w:rtl/>
        </w:rPr>
        <w:t xml:space="preserve">آغاز: بسمله حمدله فانه لما استولى سلطان الشهوة و الغضب على الادميين و محبته كل منهم لنفسه و استغاله عن آخرته و رمته.</w:t>
      </w:r>
    </w:p>
    <w:p>
      <w:pPr>
        <w:pStyle w:val="BookText"/>
      </w:pPr>
      <w:r>
        <w:rPr>
          <w:rFonts w:ascii="Amiri" w:hAnsi="Amiri" w:eastAsia="Amiri" w:cs="Amiri"/>
          <w:lang w:bidi="ar-SA"/>
          <w:color w:val="111111"/>
          <w:sz w:val="28"/>
          <w:szCs w:val="28"/>
          <w:rtl/>
        </w:rPr>
        <w:t xml:space="preserve">(جلد دوم ) روى عن النبي (صلّی اللَّهِ علیه وَ آلِهِ وَ سَلَّمَ ) مرفوعاً انه قال لاخي على بن ابى طالب فضائل لا تحصى</w:t>
      </w:r>
    </w:p>
    <w:p>
      <w:pPr>
        <w:pStyle w:val="BookText"/>
      </w:pPr>
      <w:r>
        <w:rPr>
          <w:rFonts w:ascii="IRNazanin" w:hAnsi="IRNazanin" w:eastAsia="IRNazanin" w:cs="IRNazanin"/>
          <w:lang w:bidi="fa-IR"/>
          <w:color w:val="111111"/>
          <w:sz w:val="28"/>
          <w:szCs w:val="28"/>
          <w:rtl/>
        </w:rPr>
        <w:t xml:space="preserve">چاپ: مشار عربی، صص 42 - 43 ؛2 جلد ،تهران، 1338ش، سربی ،رقعی، مصطفوی ،بوذرجمهری، 176+ 429 ص؛ هند، سنگی، 1301ق، رقعی، 256ص؛ ج 2: دارالخلافه طهران، بی ناشر 1318ق، 179+1صص؛ دار الخلافه طهران، سنگی، 1310، 1+ 257+ 2 صص ،ایران ،سنگی 1315، جیبی 1+ 256+ 2 صص ،ایران ،سنگی،1333، جیبی، 264+ 1صص؛ ؛ دار الخلافه طهران ،سنگی 1315 جیبی، 254صص؛ ایران، ،سنگی، 1375، 286 +5صص</w:t>
      </w:r>
    </w:p>
    <w:p>
      <w:pPr>
        <w:pStyle w:val="BookText"/>
      </w:pPr>
      <w:r>
        <w:rPr>
          <w:rFonts w:ascii="Amiri" w:hAnsi="Amiri" w:eastAsia="Amiri" w:cs="Amiri"/>
          <w:lang w:bidi="ar-SA"/>
          <w:color w:val="111111"/>
          <w:sz w:val="28"/>
          <w:szCs w:val="28"/>
          <w:rtl/>
        </w:rPr>
        <w:t xml:space="preserve">[الذريعة 517/1؛ كشف الحجب 39 ايضاح المكنون 62/1؛ معجم المطبوعات النجفية ،72 ؛مكتبة امير المومنين 91/1]</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IRNazanin" w:hAnsi="IRNazanin" w:eastAsia="IRNazanin" w:cs="IRNazanin"/>
          <w:lang w:bidi="fa-IR"/>
          <w:color w:val="111111"/>
          <w:sz w:val="28"/>
          <w:szCs w:val="28"/>
          <w:rtl/>
        </w:rPr>
        <w:t xml:space="preserve">1- ارشاد القلوب (منتخب)</w:t>
      </w:r>
    </w:p>
    <w:p>
      <w:pPr>
        <w:pStyle w:val="BookText"/>
      </w:pPr>
      <w:r>
        <w:rPr>
          <w:rFonts w:ascii="IRNazanin" w:hAnsi="IRNazanin" w:eastAsia="IRNazanin" w:cs="IRNazanin"/>
          <w:lang w:bidi="fa-IR"/>
          <w:color w:val="111111"/>
          <w:sz w:val="28"/>
          <w:szCs w:val="28"/>
          <w:rtl/>
        </w:rPr>
        <w:t xml:space="preserve">2- ارشاد القلوب (ترجمه و شرح) هرندی، محمد مهدی</w:t>
      </w:r>
    </w:p>
    <w:p>
      <w:pPr>
        <w:pStyle w:val="BookText"/>
      </w:pPr>
      <w:r>
        <w:rPr>
          <w:rFonts w:ascii="IRNazanin" w:hAnsi="IRNazanin" w:eastAsia="IRNazanin" w:cs="IRNazanin"/>
          <w:lang w:bidi="fa-IR"/>
          <w:color w:val="111111"/>
          <w:sz w:val="28"/>
          <w:szCs w:val="28"/>
          <w:rtl/>
        </w:rPr>
        <w:t xml:space="preserve">1.مشهد؛ رضوی؛ شماره نسخه: 24429</w:t>
      </w:r>
    </w:p>
    <w:p>
      <w:pPr>
        <w:pStyle w:val="BookText"/>
      </w:pPr>
      <w:r>
        <w:rPr>
          <w:rFonts w:ascii="Amiri" w:hAnsi="Amiri" w:eastAsia="Amiri" w:cs="Amiri"/>
          <w:lang w:bidi="ar-SA"/>
          <w:color w:val="111111"/>
          <w:sz w:val="28"/>
          <w:szCs w:val="28"/>
          <w:rtl/>
        </w:rPr>
        <w:t xml:space="preserve">آغاز: برابر؛ انجام: و لا تمسك النار القيامة و اما ايتاء ذى القربا فقد تقدم ذكره و الحمدلله</w:t>
      </w:r>
    </w:p>
    <w:p>
      <w:pPr>
        <w:pStyle w:val="BookText"/>
      </w:pPr>
      <w:r>
        <w:rPr>
          <w:rFonts w:ascii="IRNazanin" w:hAnsi="IRNazanin" w:eastAsia="IRNazanin" w:cs="IRNazanin"/>
          <w:lang w:bidi="fa-IR"/>
          <w:color w:val="111111"/>
          <w:sz w:val="28"/>
          <w:szCs w:val="28"/>
          <w:rtl/>
        </w:rPr>
        <w:t xml:space="preserve">جلد 1-2؛ خط: نسخ ،کا: شرف الدين بن محمد بن ناصر بن حبیب الله  موسوی حسینی، تا: چهارشنبه 20 جمادی الاول 958ق؛ تملك: شيخ مسرة بن سعيد صیمری؛ اهدایی رهبری، اسفند 1376 ؛کاغذ: نخودی آهار مهره ،جلد: مقوا عطف و گوشه میشن ،قهوه ای، 177گ، 23 سطر ، اندازه: 31</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سم [اهدائی - ف: 2 اخبار 1 - 86 ]</w:t>
      </w:r>
    </w:p>
    <w:p>
      <w:pPr>
        <w:pStyle w:val="BookText"/>
      </w:pPr>
      <w:r>
        <w:rPr>
          <w:rFonts w:ascii="IRNazanin" w:hAnsi="IRNazanin" w:eastAsia="IRNazanin" w:cs="IRNazanin"/>
          <w:lang w:bidi="fa-IR"/>
          <w:color w:val="111111"/>
          <w:sz w:val="28"/>
          <w:szCs w:val="28"/>
          <w:rtl/>
        </w:rPr>
        <w:t xml:space="preserve">2.مشهد؛ الهیات؛ شماره نسخه: 17</w:t>
      </w:r>
    </w:p>
    <w:p>
      <w:pPr>
        <w:pStyle w:val="BookText"/>
      </w:pPr>
      <w:r>
        <w:rPr>
          <w:rFonts w:ascii="IRNazanin" w:hAnsi="IRNazanin" w:eastAsia="IRNazanin" w:cs="IRNazanin"/>
          <w:lang w:bidi="fa-IR"/>
          <w:color w:val="111111"/>
          <w:sz w:val="28"/>
          <w:szCs w:val="28"/>
          <w:rtl/>
        </w:rPr>
        <w:t xml:space="preserve">خط: نسخ، کا: عبدالحق بن محمد بن عیسی حسنی، تا: 21 ذیحجه 971ق؛ در صفحه عنوان یادداشت تملکی داردبه این مضمون هذا الكتاب الجليل المسمى بارشاد القلوب قد انتقل في ملك العبد الحقير الذليل عبد الحسين بن يحيى بن اسماعيل البحراني الصدرى لعن الله غاصبيه و سادقه و قرر التماسا على من عند سواه ان يجتهد ايصاله او يعرف .. و كذا قرر على استعارة ان يرجعه و كتب بيده» با مهر «هو القاهر عبد الحسين»؛ کاغذ: اصفهانی، جلد: تیماج ،مشکی، 136گ 35 سطر (11</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 قطع: رحلی، اندازه: 18</w:t>
      </w:r>
      <w:r>
        <w:rPr>
          <w:rFonts w:ascii="Times New Roman" w:hAnsi="Times New Roman" w:eastAsia="Times New Roman" w:cs="Times New Roman"/>
          <w:lang w:val="en-US" w:bidi="en-US"/>
          <w:color w:val="111111"/>
          <w:sz w:val="28"/>
          <w:szCs w:val="28"/>
          <w:rtl/>
        </w:rPr>
        <w:t xml:space="preserve">×30</w:t>
      </w:r>
      <w:r>
        <w:rPr>
          <w:rFonts w:ascii="IRNazanin" w:hAnsi="IRNazanin" w:eastAsia="IRNazanin" w:cs="IRNazanin"/>
          <w:lang w:bidi="fa-IR"/>
          <w:color w:val="111111"/>
          <w:sz w:val="28"/>
          <w:szCs w:val="28"/>
          <w:rtl/>
        </w:rPr>
        <w:t xml:space="preserve">سم [ف: 1 - 10]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سپهسالار؛ شماره نسخه: 5286</w:t>
      </w:r>
    </w:p>
    <w:p>
      <w:pPr>
        <w:pStyle w:val="BookText"/>
      </w:pPr>
      <w:r>
        <w:rPr>
          <w:rFonts w:ascii="IRNazanin" w:hAnsi="IRNazanin" w:eastAsia="IRNazanin" w:cs="IRNazanin"/>
          <w:lang w:bidi="fa-IR"/>
          <w:color w:val="111111"/>
          <w:sz w:val="28"/>
          <w:szCs w:val="28"/>
          <w:rtl/>
        </w:rPr>
        <w:t xml:space="preserve">هر دو جزء؛ خط: نستعلیق، بی کا، تا: قرن 11؛ افتادگی: انجام (نیم صفحه)؛ کاغذ: فرنگی ،سفید :جلد :تیماج سرخ ضربی مقوایی ، 163گ، 25 سطر ، اندازه 20</w:t>
      </w:r>
      <w:r>
        <w:rPr>
          <w:rFonts w:ascii="Times New Roman" w:hAnsi="Times New Roman" w:eastAsia="Times New Roman" w:cs="Times New Roman"/>
          <w:lang w:val="en-US" w:bidi="en-US"/>
          <w:color w:val="111111"/>
          <w:sz w:val="28"/>
          <w:szCs w:val="28"/>
          <w:rtl/>
        </w:rPr>
        <w:t xml:space="preserve">×29</w:t>
      </w:r>
      <w:r>
        <w:rPr>
          <w:rFonts w:ascii="IRNazanin" w:hAnsi="IRNazanin" w:eastAsia="IRNazanin" w:cs="IRNazanin"/>
          <w:lang w:bidi="fa-IR"/>
          <w:color w:val="111111"/>
          <w:sz w:val="28"/>
          <w:szCs w:val="28"/>
          <w:rtl/>
        </w:rPr>
        <w:t xml:space="preserve">سم [ف 3 - 108]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یزد؛ صدوقی یزدی؛ شماره نسخه: 178</w:t>
      </w:r>
    </w:p>
    <w:p>
      <w:pPr>
        <w:pStyle w:val="BookText"/>
      </w:pPr>
      <w:r>
        <w:rPr>
          <w:rFonts w:ascii="IRNazanin" w:hAnsi="IRNazanin" w:eastAsia="IRNazanin" w:cs="IRNazanin"/>
          <w:lang w:bidi="fa-IR"/>
          <w:color w:val="111111"/>
          <w:sz w:val="28"/>
          <w:szCs w:val="28"/>
          <w:rtl/>
        </w:rPr>
        <w:t xml:space="preserve">جزء دوم؛ خط: نسخ، بی کا، تا: قرن 11؛ مصحح، نشان مقابله به تاریخ 1073؛ تملک: ریحان الله بن جعفر موسوی به تاریخ ربیع الاول 1326 با مهر، سید محمد باقر بروجردی ،جلد: تیماج قهوه ای ضربی 47گ 19 سطر ، اندازه: 13/5</w:t>
      </w:r>
      <w:r>
        <w:rPr>
          <w:rFonts w:ascii="Times New Roman" w:hAnsi="Times New Roman" w:eastAsia="Times New Roman" w:cs="Times New Roman"/>
          <w:lang w:val="en-US" w:bidi="en-US"/>
          <w:color w:val="111111"/>
          <w:sz w:val="28"/>
          <w:szCs w:val="28"/>
          <w:rtl/>
        </w:rPr>
        <w:t xml:space="preserve">× 25</w:t>
      </w:r>
      <w:r>
        <w:rPr>
          <w:rFonts w:ascii="IRNazanin" w:hAnsi="IRNazanin" w:eastAsia="IRNazanin" w:cs="IRNazanin"/>
          <w:lang w:bidi="fa-IR"/>
          <w:color w:val="111111"/>
          <w:sz w:val="28"/>
          <w:szCs w:val="28"/>
          <w:rtl/>
        </w:rPr>
        <w:t xml:space="preserve">سم [ ف : 141]</w:t>
      </w:r>
    </w:p>
    <w:p>
      <w:pPr>
        <w:pStyle w:val="BookText"/>
      </w:pPr>
      <w:r>
        <w:rPr>
          <w:rFonts w:ascii="IRNazanin" w:hAnsi="IRNazanin" w:eastAsia="IRNazanin" w:cs="IRNazanin"/>
          <w:lang w:bidi="fa-IR"/>
          <w:color w:val="111111"/>
          <w:sz w:val="28"/>
          <w:szCs w:val="28"/>
          <w:rtl/>
        </w:rPr>
        <w:t xml:space="preserve">5 . مشهد؛ رضوی؛ شماره نسخه: 14372</w:t>
      </w:r>
    </w:p>
    <w:p>
      <w:pPr>
        <w:pStyle w:val="BookText"/>
      </w:pPr>
      <w:r>
        <w:rPr>
          <w:rFonts w:ascii="Amiri" w:hAnsi="Amiri" w:eastAsia="Amiri" w:cs="Amiri"/>
          <w:lang w:bidi="ar-SA"/>
          <w:color w:val="111111"/>
          <w:sz w:val="28"/>
          <w:szCs w:val="28"/>
          <w:rtl/>
        </w:rPr>
        <w:t xml:space="preserve">آغاز: برابر؛ انجام: و خطوا جميعا منقبا اثر منقب *** لماخط تلك المناقب واحد</w:t>
      </w:r>
    </w:p>
    <w:p>
      <w:pPr>
        <w:pStyle w:val="BookText"/>
      </w:pPr>
      <w:r>
        <w:rPr>
          <w:rFonts w:ascii="IRNazanin" w:hAnsi="IRNazanin" w:eastAsia="IRNazanin" w:cs="IRNazanin"/>
          <w:lang w:bidi="fa-IR"/>
          <w:color w:val="111111"/>
          <w:sz w:val="28"/>
          <w:szCs w:val="28"/>
          <w:rtl/>
        </w:rPr>
        <w:t xml:space="preserve">جزء 1-2؛ خط: نسخ، بی کا، تا: قرن 11 ؛مصحح، محشی، مقابله شده؛ در آخر جزء 1، پنج حدیث و نیز ابیاتی از ملا رجب و ابونواس و دیگران در مناقب اهل بیت (علیهم السّلام)، از آخر جزء 2 روایت عامه را که در فضایل خلفای ثلاث نقل نموده اند محذوف است؛ واقف: سید محمد باقر سبزواری، محرم 1405؛ کاغذ: حنایی، جلد: فرسوده، 236گ، 23 سطر ، اندازه: 15</w:t>
      </w:r>
      <w:r>
        <w:rPr>
          <w:rFonts w:ascii="Times New Roman" w:hAnsi="Times New Roman" w:eastAsia="Times New Roman" w:cs="Times New Roman"/>
          <w:lang w:val="en-US" w:bidi="en-US"/>
          <w:color w:val="111111"/>
          <w:sz w:val="28"/>
          <w:szCs w:val="28"/>
          <w:rtl/>
        </w:rPr>
        <w:t xml:space="preserve">× 22/5 </w:t>
      </w:r>
      <w:r>
        <w:rPr>
          <w:rFonts w:ascii="IRNazanin" w:hAnsi="IRNazanin" w:eastAsia="IRNazanin" w:cs="IRNazanin"/>
          <w:lang w:bidi="fa-IR"/>
          <w:color w:val="111111"/>
          <w:sz w:val="28"/>
          <w:szCs w:val="28"/>
          <w:rtl/>
        </w:rPr>
        <w:t xml:space="preserve">سم [ف: 14 - 47]</w:t>
      </w:r>
    </w:p>
    <w:p>
      <w:pPr>
        <w:pStyle w:val="BookText"/>
      </w:pPr>
      <w:r>
        <w:rPr>
          <w:rFonts w:ascii="IRNazanin" w:hAnsi="IRNazanin" w:eastAsia="IRNazanin" w:cs="IRNazanin"/>
          <w:lang w:bidi="fa-IR"/>
          <w:color w:val="111111"/>
          <w:sz w:val="28"/>
          <w:szCs w:val="28"/>
          <w:rtl/>
        </w:rPr>
        <w:t xml:space="preserve">6 . قم؛ زنجانی (آیة الله)؛ شماره نسخه: 90</w:t>
      </w:r>
    </w:p>
    <w:p>
      <w:pPr>
        <w:pStyle w:val="BookText"/>
      </w:pPr>
      <w:r>
        <w:rPr>
          <w:rFonts w:ascii="IRNazanin" w:hAnsi="IRNazanin" w:eastAsia="IRNazanin" w:cs="IRNazanin"/>
          <w:lang w:bidi="fa-IR"/>
          <w:color w:val="111111"/>
          <w:sz w:val="28"/>
          <w:szCs w:val="28"/>
          <w:rtl/>
        </w:rPr>
        <w:t xml:space="preserve">جزء 1؛ خط: نستعلیق، بی کا، تا: قرن 11؛ قطع: بیاض رقعی [چند نسخه -ف: - 229 ]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قم؛ مرعشی؛ شماره نسخه: 11178</w:t>
      </w:r>
    </w:p>
    <w:p>
      <w:pPr>
        <w:pStyle w:val="BookText"/>
      </w:pPr>
      <w:r>
        <w:rPr>
          <w:rFonts w:ascii="IRNazanin" w:hAnsi="IRNazanin" w:eastAsia="IRNazanin" w:cs="IRNazanin"/>
          <w:lang w:bidi="fa-IR"/>
          <w:color w:val="111111"/>
          <w:sz w:val="28"/>
          <w:szCs w:val="28"/>
          <w:rtl/>
        </w:rPr>
        <w:t xml:space="preserve">آغاز: روی عن النبي صلى الله عليه و آله انه قال لاخي على بن ابی طالب عليه السلام فضائل لا تحصى؛ انجام: حيث قال  عاد من عاداه و وال من والاه يا بن عباس احذر ان يدخلك شك فيه الشك في على كفر (ناتمام)</w:t>
      </w:r>
    </w:p>
    <w:p>
      <w:pPr>
        <w:pStyle w:val="BookText"/>
      </w:pPr>
      <w:r>
        <w:rPr>
          <w:rFonts w:ascii="IRNazanin" w:hAnsi="IRNazanin" w:eastAsia="IRNazanin" w:cs="IRNazanin"/>
          <w:lang w:bidi="fa-IR"/>
          <w:color w:val="111111"/>
          <w:sz w:val="28"/>
          <w:szCs w:val="28"/>
          <w:rtl/>
        </w:rPr>
        <w:t xml:space="preserve">بخش دوم، در فضائل و مناقب حضرت امیر المؤمنين و مؤلف آنها را غالبا از طریق عامه نقل کرده است؛ خط: نسخ و نستعلیق تحریری، بی کا، تا: قرن 11؛ افتادگی: وسط، انجام: محشی، برگ هایی از کتاب الفتن و المحن (بحار الانوار) علامه مجلسی برای تکمیل نسخه بدان افزوده شده است ؛کاغذ: سمرقندی، آهار مهره، جلد: ساغری مشکی با ترنج سر ترنج و لچک، 84گ، 23سطر (6/5</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 اندازه: 12</w:t>
      </w:r>
      <w:r>
        <w:rPr>
          <w:rFonts w:ascii="Times New Roman" w:hAnsi="Times New Roman" w:eastAsia="Times New Roman" w:cs="Times New Roman"/>
          <w:lang w:val="en-US" w:bidi="en-US"/>
          <w:color w:val="111111"/>
          <w:sz w:val="28"/>
          <w:szCs w:val="28"/>
          <w:rtl/>
        </w:rPr>
        <w:t xml:space="preserve">× 24</w:t>
      </w:r>
      <w:r>
        <w:rPr>
          <w:rFonts w:ascii="IRNazanin" w:hAnsi="IRNazanin" w:eastAsia="IRNazanin" w:cs="IRNazanin"/>
          <w:lang w:bidi="fa-IR"/>
          <w:color w:val="111111"/>
          <w:sz w:val="28"/>
          <w:szCs w:val="28"/>
          <w:rtl/>
        </w:rPr>
        <w:t xml:space="preserve">سم [ف: 28 - 258]</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مشهد؛ رضوی؛ شماره نسخه: 29617</w:t>
      </w:r>
    </w:p>
    <w:p>
      <w:pPr>
        <w:pStyle w:val="BookText"/>
      </w:pPr>
      <w:r>
        <w:rPr>
          <w:rFonts w:ascii="IRNazanin" w:hAnsi="IRNazanin" w:eastAsia="IRNazanin" w:cs="IRNazanin"/>
          <w:lang w:bidi="fa-IR"/>
          <w:color w:val="111111"/>
          <w:sz w:val="28"/>
          <w:szCs w:val="28"/>
          <w:rtl/>
        </w:rPr>
        <w:t xml:space="preserve">آغاز: اتخذوا الارض بساطا و ترابها فراشا وماؤها طيبا و القرآن شعارا و الدعاء دثارا. .. (آغاز جلد 2 )لله در القايل الله تحت قبیل العرش طايفة اخفاهم عن عيون الناس اجلالا؛ انجام:( انجام (جلد1 :)و لانزعن من قلبه محبتى و علیک سلامی و رحمتی. (انجام موجود) وانتصف للمظلوم من الظالم و انا ضامن عمن هرب منك</w:t>
      </w:r>
    </w:p>
    <w:p>
      <w:pPr>
        <w:pStyle w:val="BookText"/>
      </w:pPr>
      <w:r>
        <w:rPr>
          <w:rFonts w:ascii="IRNazanin" w:hAnsi="IRNazanin" w:eastAsia="IRNazanin" w:cs="IRNazanin"/>
          <w:lang w:bidi="fa-IR"/>
          <w:color w:val="111111"/>
          <w:sz w:val="28"/>
          <w:szCs w:val="28"/>
          <w:rtl/>
        </w:rPr>
        <w:t xml:space="preserve">جزء 1-2؛ خط: نسخ، بی کا، تا: قرن 11؛ افتادگی: آغاز و انجام :کاغذ: نخودی آهار مهره ،جلد: مقوا، 278گ، 20 سطر ، اندازه: 13</w:t>
      </w:r>
      <w:r>
        <w:rPr>
          <w:rFonts w:ascii="Times New Roman" w:hAnsi="Times New Roman" w:eastAsia="Times New Roman" w:cs="Times New Roman"/>
          <w:lang w:val="en-US" w:bidi="en-US"/>
          <w:color w:val="111111"/>
          <w:sz w:val="28"/>
          <w:szCs w:val="28"/>
          <w:rtl/>
        </w:rPr>
        <w:t xml:space="preserve">× 24</w:t>
      </w:r>
      <w:r>
        <w:rPr>
          <w:rFonts w:ascii="IRNazanin" w:hAnsi="IRNazanin" w:eastAsia="IRNazanin" w:cs="IRNazanin"/>
          <w:lang w:bidi="fa-IR"/>
          <w:color w:val="111111"/>
          <w:sz w:val="28"/>
          <w:szCs w:val="28"/>
          <w:rtl/>
        </w:rPr>
        <w:t xml:space="preserve">سم :[ف: 26 - 69]</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تهران؛ مجلس؛ شماره نسخه: 686 ط</w:t>
      </w:r>
    </w:p>
    <w:p>
      <w:pPr>
        <w:pStyle w:val="BookText"/>
      </w:pPr>
      <w:r>
        <w:rPr>
          <w:rFonts w:ascii="IRNazanin" w:hAnsi="IRNazanin" w:eastAsia="IRNazanin" w:cs="IRNazanin"/>
          <w:lang w:bidi="fa-IR"/>
          <w:color w:val="111111"/>
          <w:sz w:val="28"/>
          <w:szCs w:val="28"/>
          <w:rtl/>
        </w:rPr>
        <w:t xml:space="preserve">خط: نسخ، کا: محمد بن على عين الدراری بحرانی تا 1006 ق؛ افتادگی: انجام [مختصر - ف: 48]</w:t>
      </w:r>
    </w:p>
    <w:p>
      <w:pPr>
        <w:pStyle w:val="BookText"/>
      </w:pPr>
      <w:r>
        <w:rPr>
          <w:rFonts w:ascii="IRNazanin" w:hAnsi="IRNazanin" w:eastAsia="IRNazanin" w:cs="IRNazanin"/>
          <w:lang w:bidi="fa-IR"/>
          <w:color w:val="111111"/>
          <w:sz w:val="28"/>
          <w:szCs w:val="28"/>
          <w:rtl/>
        </w:rPr>
        <w:t xml:space="preserve">10 . قم؛ مرکز احیاء؛ شماره نسخه: 2170</w:t>
      </w:r>
    </w:p>
    <w:p>
      <w:pPr>
        <w:pStyle w:val="BookText"/>
      </w:pPr>
      <w:r>
        <w:rPr>
          <w:rFonts w:ascii="Amiri" w:hAnsi="Amiri" w:eastAsia="Amiri" w:cs="Amiri"/>
          <w:lang w:bidi="ar-SA"/>
          <w:color w:val="111111"/>
          <w:sz w:val="28"/>
          <w:szCs w:val="28"/>
          <w:rtl/>
        </w:rPr>
        <w:t xml:space="preserve">آغاز: برابر؛ انجام: و من صلى العشاء الآخرة جماعة فكانما حج مع النبى صلى الله عليه و آله ألف حجة.</w:t>
      </w:r>
    </w:p>
    <w:p>
      <w:pPr>
        <w:pStyle w:val="BookText"/>
      </w:pPr>
      <w:r>
        <w:rPr>
          <w:rFonts w:ascii="IRNazanin" w:hAnsi="IRNazanin" w:eastAsia="IRNazanin" w:cs="IRNazanin"/>
          <w:lang w:bidi="fa-IR"/>
          <w:color w:val="111111"/>
          <w:sz w:val="28"/>
          <w:szCs w:val="28"/>
          <w:rtl/>
        </w:rPr>
        <w:t xml:space="preserve">خط : نسخ و نستعلیق، کا: اسماعیل بن عبدالله شرف جزائری، تا: جمعه 13 شوال 1021ق؛ مصحح، دارای علامت بلاغ، دارای و یادداشتی درباره کتاب به نقل از مرحوم علامه مجلسی؛ تملک: «على بن شحاذه ابن الوكين مازونی عاملی» در شعبان 1036،«محمد امین بن محمد تقی حسینی» در 1042 «محمد شریف بن عبدالرحيم بن محمد شریف یزدی» در سال 1053 در حیدرآباد با مهر «محمد شریف فى الدنيا و الآخرة» (بيضى)، «محمد بن محمد فصیح مراغی» در 1210 با مهر «اللهم صل على محمد و آل محمد» (بیضی)، «محمد حسين بن محمد صالح حسینی»؛ جلد: قهوه ای ضربی، 294گ، 19 سطر ، اندازه: 15</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[محدث ، ارموی مخ: 1 - 114]</w:t>
      </w:r>
    </w:p>
    <w:p>
      <w:pPr>
        <w:pStyle w:val="BookText"/>
      </w:pPr>
      <w:r>
        <w:rPr>
          <w:rFonts w:ascii="IRNazanin" w:hAnsi="IRNazanin" w:eastAsia="IRNazanin" w:cs="IRNazanin"/>
          <w:lang w:bidi="fa-IR"/>
          <w:color w:val="111111"/>
          <w:sz w:val="28"/>
          <w:szCs w:val="28"/>
          <w:rtl/>
        </w:rPr>
        <w:t xml:space="preserve">11.مشهد؛ رضوی؛ شماره نسخه: 21288</w:t>
      </w:r>
    </w:p>
    <w:p>
      <w:pPr>
        <w:pStyle w:val="BookText"/>
      </w:pPr>
      <w:r>
        <w:rPr>
          <w:rFonts w:ascii="IRNazanin" w:hAnsi="IRNazanin" w:eastAsia="IRNazanin" w:cs="IRNazanin"/>
          <w:lang w:bidi="fa-IR"/>
          <w:color w:val="111111"/>
          <w:sz w:val="28"/>
          <w:szCs w:val="28"/>
          <w:rtl/>
        </w:rPr>
        <w:t xml:space="preserve">آغاز: بسمله و به نستعين الحمد لله رب العالمين وصلى الله على محمد؛ انجام: و اشجار كل الارض اقلام كاتب *** اذا الخط افناهن عدن عواید</w:t>
      </w:r>
    </w:p>
    <w:p>
      <w:pPr>
        <w:pStyle w:val="BookText"/>
      </w:pPr>
      <w:r>
        <w:rPr>
          <w:rFonts w:ascii="IRNazanin" w:hAnsi="IRNazanin" w:eastAsia="IRNazanin" w:cs="IRNazanin"/>
          <w:lang w:bidi="fa-IR"/>
          <w:color w:val="111111"/>
          <w:sz w:val="28"/>
          <w:szCs w:val="28"/>
          <w:rtl/>
        </w:rPr>
        <w:t xml:space="preserve">خط: نسخ، کا: هلال بن یوسف صحاری، تا: 21 شعبان 1063ق؛ افتادگی: آغاز؛ چهار برگ ابتدا توسط آية الله سيد مصطفى صفایی خوانساری نونویسی شده است،مجدول؛ اهدایی رهبری، خرداد 1373؛ جلد: تیماج ،مشکی، 257گ، 19 سطر ، اندازه: 18</w:t>
      </w:r>
      <w:r>
        <w:rPr>
          <w:rFonts w:ascii="Times New Roman" w:hAnsi="Times New Roman" w:eastAsia="Times New Roman" w:cs="Times New Roman"/>
          <w:lang w:val="en-US" w:bidi="en-US"/>
          <w:color w:val="111111"/>
          <w:sz w:val="28"/>
          <w:szCs w:val="28"/>
          <w:rtl/>
        </w:rPr>
        <w:t xml:space="preserve">×26 </w:t>
      </w:r>
      <w:r>
        <w:rPr>
          <w:rFonts w:ascii="IRNazanin" w:hAnsi="IRNazanin" w:eastAsia="IRNazanin" w:cs="IRNazanin"/>
          <w:lang w:bidi="fa-IR"/>
          <w:color w:val="111111"/>
          <w:sz w:val="28"/>
          <w:szCs w:val="28"/>
          <w:rtl/>
        </w:rPr>
        <w:t xml:space="preserve">سم [ اهدائی - ف: 2 اخبار 1 – 87]</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تهران؛ مجلس؛ شماره نسخه: 686- طباطبائی</w:t>
      </w:r>
    </w:p>
    <w:p>
      <w:pPr>
        <w:pStyle w:val="BookText"/>
      </w:pPr>
      <w:r>
        <w:rPr>
          <w:rFonts w:ascii="Amiri" w:hAnsi="Amiri" w:eastAsia="Amiri" w:cs="Amiri"/>
          <w:lang w:bidi="ar-SA"/>
          <w:color w:val="111111"/>
          <w:sz w:val="28"/>
          <w:szCs w:val="28"/>
          <w:rtl/>
        </w:rPr>
        <w:t xml:space="preserve">آغاز: برابر؛ انجام: و هذا كافياً لمن اراد التفكر و التذكر في جنب الله كما قال وخطوا جميعاً منقباً بعد منقب *** لما خط معشارها عشر واحد</w:t>
      </w:r>
    </w:p>
    <w:p>
      <w:pPr>
        <w:pStyle w:val="BookText"/>
      </w:pPr>
      <w:r>
        <w:rPr>
          <w:rFonts w:ascii="IRNazanin" w:hAnsi="IRNazanin" w:eastAsia="IRNazanin" w:cs="IRNazanin"/>
          <w:lang w:bidi="fa-IR"/>
          <w:color w:val="111111"/>
          <w:sz w:val="28"/>
          <w:szCs w:val="28"/>
          <w:rtl/>
        </w:rPr>
        <w:t xml:space="preserve">خط: نسخ، كا: محمد بن على عين الدارى بحرانی، تا: 1069ق؛ اکثرآن را به سال 1069 کتابت کرده است و بعدها فرزندش يوسف عين الدارى به سال 1110 آن را تکمیل کرده، برخی اوراق نسخه به قلم دیگر و کهنه تر از خط محمد بن علی عین الداری است و گویا وی نیز قصد تکمیل نسخه کهنه تری را داشته است شماری از برگ های نونویس از قرن 13 است، در پایان جلد اول نسخه یادداشت هایی است مشتمل بر حدیثی از امام صادق (علیه السّلام) در تعریف دین و قصيده عينيه منسوب به مولانا رجب در استقبال قصیده عینیه حمیری با این آغاز: «القوم آثار النبوة منهم *** تلوح و انوار الامامة تلمع بر پشت برگ پایان، حدیثی است به نقل از عبدالله بن مسعود در باب معراج از بحار الانوار بر برگ الحاقی پایان نسخه ابیات پراکنده و یادداشتی است به سال 1250 قمری؛ کاغذ: ترکی - اصفهانی ،جلد: تیماج قهوه ای با ترنج و نیم ترنج ، 255گ، 16 سطر ، اندازه: 14</w:t>
      </w:r>
      <w:r>
        <w:rPr>
          <w:rFonts w:ascii="Times New Roman" w:hAnsi="Times New Roman" w:eastAsia="Times New Roman" w:cs="Times New Roman"/>
          <w:lang w:val="en-US" w:bidi="en-US"/>
          <w:color w:val="111111"/>
          <w:sz w:val="28"/>
          <w:szCs w:val="28"/>
          <w:rtl/>
        </w:rPr>
        <w:t xml:space="preserve">×19/5</w:t>
      </w:r>
      <w:r>
        <w:rPr>
          <w:rFonts w:ascii="IRNazanin" w:hAnsi="IRNazanin" w:eastAsia="IRNazanin" w:cs="IRNazanin"/>
          <w:lang w:bidi="fa-IR"/>
          <w:color w:val="111111"/>
          <w:sz w:val="28"/>
          <w:szCs w:val="28"/>
          <w:rtl/>
        </w:rPr>
        <w:t xml:space="preserve">سم [ف: 24 - 422]</w:t>
      </w:r>
    </w:p>
    <w:p>
      <w:pPr>
        <w:pStyle w:val="BookText"/>
      </w:pPr>
      <w:r>
        <w:rPr>
          <w:rFonts w:ascii="IRNazanin" w:hAnsi="IRNazanin" w:eastAsia="IRNazanin" w:cs="IRNazanin"/>
          <w:lang w:bidi="fa-IR"/>
          <w:color w:val="111111"/>
          <w:sz w:val="28"/>
          <w:szCs w:val="28"/>
          <w:rtl/>
        </w:rPr>
        <w:t xml:space="preserve">13.همدان؛ مدرسه غرب؛ شماره نسخه: 191</w:t>
      </w:r>
    </w:p>
    <w:p>
      <w:pPr>
        <w:pStyle w:val="BookText"/>
      </w:pPr>
      <w:r>
        <w:rPr>
          <w:rFonts w:ascii="IRNazanin" w:hAnsi="IRNazanin" w:eastAsia="IRNazanin" w:cs="IRNazanin"/>
          <w:lang w:bidi="fa-IR"/>
          <w:color w:val="111111"/>
          <w:sz w:val="28"/>
          <w:szCs w:val="28"/>
          <w:rtl/>
        </w:rPr>
        <w:t xml:space="preserve">جزء 1؛ خط: نسخ، کا: ابراهیم بن ،حیدر، تا :1072ق؛ افتادگی: انجام؛ قطع : ربعی [ف: 1284]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 مشهد؛ رضوی؛ شماره نسخه: 10124</w:t>
      </w:r>
    </w:p>
    <w:p>
      <w:pPr>
        <w:pStyle w:val="BookText"/>
      </w:pPr>
      <w:r>
        <w:rPr>
          <w:rFonts w:ascii="Amiri" w:hAnsi="Amiri" w:eastAsia="Amiri" w:cs="Amiri"/>
          <w:lang w:bidi="ar-SA"/>
          <w:color w:val="111111"/>
          <w:sz w:val="28"/>
          <w:szCs w:val="28"/>
          <w:rtl/>
        </w:rPr>
        <w:t xml:space="preserve">آغاز: برابر؛ انجام: و خطوا جميعا منقبا اثر منقب *** لما خط من تلك المناقب واحد</w:t>
      </w:r>
    </w:p>
    <w:p>
      <w:pPr>
        <w:pStyle w:val="BookText"/>
      </w:pPr>
      <w:r>
        <w:rPr>
          <w:rFonts w:ascii="IRNazanin" w:hAnsi="IRNazanin" w:eastAsia="IRNazanin" w:cs="IRNazanin"/>
          <w:lang w:bidi="fa-IR"/>
          <w:color w:val="111111"/>
          <w:sz w:val="28"/>
          <w:szCs w:val="28"/>
          <w:rtl/>
        </w:rPr>
        <w:t xml:space="preserve">جزء 2-1؛ خط: نسخ، کا: میرزا محمد بن علاء الدین سبزواری،تا: 12 ربیع الثانی1073ق؛ در حاشیه برگ 45 چنین نگاشته شده :«قوبلت هذه النسخة بنسخة غير منتسخها فلما بلغت هذا الموضوع فيها بياض قريب بثلاث صحايف يكتب في هامشها هذه بلغت هذه النسخة مع ثلاث نسخ هذا الموضع كانفي كل منها بياضا و الظاهر ان الاشتباه و الاسقاط في نسخة الاصل وقع من المصنف لامن الناسخ»؛ واقف: سید رضا امیر شهیدی، بهمن 1348؛ کاغذ: نخودی آهار مهره ،جلد: تیماج قهوه ای ضربی با ترنج و سرترنج 252گ 23 سطر ، اندازه: 12/8</w:t>
      </w:r>
      <w:r>
        <w:rPr>
          <w:rFonts w:ascii="Times New Roman" w:hAnsi="Times New Roman" w:eastAsia="Times New Roman" w:cs="Times New Roman"/>
          <w:lang w:val="en-US" w:bidi="en-US"/>
          <w:color w:val="111111"/>
          <w:sz w:val="28"/>
          <w:szCs w:val="28"/>
          <w:rtl/>
        </w:rPr>
        <w:t xml:space="preserve">×25/6</w:t>
      </w:r>
      <w:r>
        <w:rPr>
          <w:rFonts w:ascii="IRNazanin" w:hAnsi="IRNazanin" w:eastAsia="IRNazanin" w:cs="IRNazanin"/>
          <w:lang w:bidi="fa-IR"/>
          <w:color w:val="111111"/>
          <w:sz w:val="28"/>
          <w:szCs w:val="28"/>
          <w:rtl/>
        </w:rPr>
        <w:t xml:space="preserve">سم [ف: 14 - 46]</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تهران؛ ادبیات؛ شماره نسخه: 1</w:t>
      </w:r>
    </w:p>
    <w:p>
      <w:pPr>
        <w:pStyle w:val="BookText"/>
      </w:pPr>
      <w:r>
        <w:rPr>
          <w:rFonts w:ascii="IRNazanin" w:hAnsi="IRNazanin" w:eastAsia="IRNazanin" w:cs="IRNazanin"/>
          <w:lang w:bidi="fa-IR"/>
          <w:color w:val="111111"/>
          <w:sz w:val="28"/>
          <w:szCs w:val="28"/>
          <w:rtl/>
        </w:rPr>
        <w:t xml:space="preserve">خط: نسخ، کا: محمد شریف بن خلیفه سلطان، تا: دهه د جمادى الاول 1077ق [ف: 3 - 69]</w:t>
      </w:r>
    </w:p>
    <w:p>
      <w:pPr>
        <w:pStyle w:val="BookText"/>
      </w:pPr>
      <w:r>
        <w:rPr>
          <w:rFonts w:ascii="IRNazanin" w:hAnsi="IRNazanin" w:eastAsia="IRNazanin" w:cs="IRNazanin"/>
          <w:lang w:bidi="fa-IR"/>
          <w:color w:val="111111"/>
          <w:sz w:val="28"/>
          <w:szCs w:val="28"/>
          <w:rtl/>
        </w:rPr>
        <w:t xml:space="preserve">16 . مشهد؛ رضوی؛ شماره نسخه: 37276</w:t>
      </w:r>
    </w:p>
    <w:p>
      <w:pPr>
        <w:pStyle w:val="BookText"/>
      </w:pPr>
      <w:r>
        <w:rPr>
          <w:rFonts w:ascii="Amiri" w:hAnsi="Amiri" w:eastAsia="Amiri" w:cs="Amiri"/>
          <w:lang w:bidi="ar-SA"/>
          <w:color w:val="111111"/>
          <w:sz w:val="28"/>
          <w:szCs w:val="28"/>
          <w:rtl/>
        </w:rPr>
        <w:t xml:space="preserve">آغاز: ذكروا الله فاستغفروا لذنوبهم و من يغفر الذنوب الا، انجام: كتبا اذا كل منهم واحد قام واحد و خطوا جميعاً منقباً بعد منقب *** لما خط من تلك المناقب واحد</w:t>
      </w:r>
    </w:p>
    <w:p>
      <w:pPr>
        <w:pStyle w:val="BookText"/>
      </w:pPr>
      <w:r>
        <w:rPr>
          <w:rFonts w:ascii="IRNazanin" w:hAnsi="IRNazanin" w:eastAsia="IRNazanin" w:cs="IRNazanin"/>
          <w:lang w:bidi="fa-IR"/>
          <w:color w:val="111111"/>
          <w:sz w:val="28"/>
          <w:szCs w:val="28"/>
          <w:rtl/>
        </w:rPr>
        <w:t xml:space="preserve">خط : نسخ، کا: محمد مهدی بن محمد طالقانی، تا: چهارشنبه1077ق، جا: مدرسه تغاتية قزوین، افتادگی: آغاز؛ مصحح ، ضمن چند برگ (حدود 10 برگ) مطالبی تحت عنوان «ما رواه العامه من فضائلهم» افزون بر نسخه؛ کاغذ: نخودی آهار مهره، جلد: میشن قهوه ای با عطف مشکی، 302گ، 23 سطر ، اندازه: 28</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سم [اهدائی - ف: 2 اخبار 1 - 87]</w:t>
      </w:r>
    </w:p>
    <w:p>
      <w:pPr>
        <w:pStyle w:val="BookText"/>
      </w:pPr>
      <w:r>
        <w:rPr>
          <w:rFonts w:ascii="IRNazanin" w:hAnsi="IRNazanin" w:eastAsia="IRNazanin" w:cs="IRNazanin"/>
          <w:lang w:bidi="fa-IR"/>
          <w:color w:val="111111"/>
          <w:sz w:val="28"/>
          <w:szCs w:val="28"/>
          <w:rtl/>
        </w:rPr>
        <w:t xml:space="preserve">مشهد؛ شیخ علی حیدر؛ شماره نسخه: 224</w:t>
      </w:r>
    </w:p>
    <w:p>
      <w:pPr>
        <w:pStyle w:val="BookText"/>
      </w:pPr>
      <w:r>
        <w:rPr>
          <w:rFonts w:ascii="Amiri" w:hAnsi="Amiri" w:eastAsia="Amiri" w:cs="Amiri"/>
          <w:lang w:bidi="ar-SA"/>
          <w:color w:val="111111"/>
          <w:sz w:val="28"/>
          <w:szCs w:val="28"/>
          <w:rtl/>
        </w:rPr>
        <w:t xml:space="preserve">همان نسخه بالا :[مؤيد 1 - 210]</w:t>
      </w:r>
    </w:p>
    <w:p>
      <w:pPr>
        <w:pStyle w:val="BookText"/>
      </w:pPr>
      <w:r>
        <w:rPr>
          <w:rFonts w:ascii="IRNazanin" w:hAnsi="IRNazanin" w:eastAsia="IRNazanin" w:cs="IRNazanin"/>
          <w:lang w:bidi="fa-IR"/>
          <w:color w:val="111111"/>
          <w:sz w:val="28"/>
          <w:szCs w:val="28"/>
          <w:rtl/>
        </w:rPr>
        <w:t xml:space="preserve">17 . مشهد؛ رضوی؛ شماره نسخه: 19855</w:t>
      </w:r>
    </w:p>
    <w:p>
      <w:pPr>
        <w:pStyle w:val="BookText"/>
      </w:pPr>
      <w:r>
        <w:rPr>
          <w:rFonts w:ascii="Amiri" w:hAnsi="Amiri" w:eastAsia="Amiri" w:cs="Amiri"/>
          <w:lang w:bidi="ar-SA"/>
          <w:color w:val="111111"/>
          <w:sz w:val="28"/>
          <w:szCs w:val="28"/>
          <w:rtl/>
        </w:rPr>
        <w:t xml:space="preserve">آغاز: برابر؛ انجام: تم الكتاب بعون الله الملك الوهاب و بحق النبى و الولى</w:t>
      </w:r>
    </w:p>
    <w:p>
      <w:pPr>
        <w:pStyle w:val="BookText"/>
      </w:pPr>
      <w:r>
        <w:rPr>
          <w:rFonts w:ascii="IRNazanin" w:hAnsi="IRNazanin" w:eastAsia="IRNazanin" w:cs="IRNazanin"/>
          <w:lang w:bidi="fa-IR"/>
          <w:color w:val="111111"/>
          <w:sz w:val="28"/>
          <w:szCs w:val="28"/>
          <w:rtl/>
        </w:rPr>
        <w:t xml:space="preserve">خط: نسخ، بی کا، تا: 1082 ق [ رایانه]</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مشهد؛ رضوی؛ شماره نسخه: 19850</w:t>
      </w:r>
    </w:p>
    <w:p>
      <w:pPr>
        <w:pStyle w:val="BookText"/>
      </w:pPr>
      <w:r>
        <w:rPr>
          <w:rFonts w:ascii="IRNazanin" w:hAnsi="IRNazanin" w:eastAsia="IRNazanin" w:cs="IRNazanin"/>
          <w:lang w:bidi="fa-IR"/>
          <w:color w:val="111111"/>
          <w:sz w:val="28"/>
          <w:szCs w:val="28"/>
          <w:rtl/>
        </w:rPr>
        <w:t xml:space="preserve">جزء 1-2؛ خط: نسخ، بی کا، تا: محرم 1082ق؛ دارای دو سرلوح ،مرصع ،مجدول، مصحح، مقابله شده؛ اهدایی رهبری، خرداد 1373 ؛کاغذ: نخودی آهار مهره، جلد: تیماج مشکی ضربی، 338گ، 19 سطر، اندازه: 11/5</w:t>
      </w:r>
      <w:r>
        <w:rPr>
          <w:rFonts w:ascii="Times New Roman" w:hAnsi="Times New Roman" w:eastAsia="Times New Roman" w:cs="Times New Roman"/>
          <w:lang w:val="en-US" w:bidi="en-US"/>
          <w:color w:val="111111"/>
          <w:sz w:val="28"/>
          <w:szCs w:val="28"/>
          <w:rtl/>
        </w:rPr>
        <w:t xml:space="preserve">×19/5</w:t>
      </w:r>
      <w:r>
        <w:rPr>
          <w:rFonts w:ascii="IRNazanin" w:hAnsi="IRNazanin" w:eastAsia="IRNazanin" w:cs="IRNazanin"/>
          <w:lang w:bidi="fa-IR"/>
          <w:color w:val="111111"/>
          <w:sz w:val="28"/>
          <w:szCs w:val="28"/>
          <w:rtl/>
        </w:rPr>
        <w:t xml:space="preserve">سم [اهدائی -ف: 2 اخبار 1 - 87 ]</w:t>
      </w:r>
    </w:p>
    <w:p>
      <w:pPr>
        <w:pStyle w:val="BookText"/>
      </w:pPr>
      <w:r>
        <w:rPr>
          <w:rFonts w:ascii="IRNazanin" w:hAnsi="IRNazanin" w:eastAsia="IRNazanin" w:cs="IRNazanin"/>
          <w:lang w:bidi="fa-IR"/>
          <w:color w:val="111111"/>
          <w:sz w:val="28"/>
          <w:szCs w:val="28"/>
          <w:rtl/>
        </w:rPr>
        <w:t xml:space="preserve">19 . اصفهان؛ دانشگاه؛ شماره نسخه: 509</w:t>
      </w:r>
    </w:p>
    <w:p>
      <w:pPr>
        <w:pStyle w:val="BookText"/>
      </w:pPr>
      <w:r>
        <w:rPr>
          <w:rFonts w:ascii="IRNazanin" w:hAnsi="IRNazanin" w:eastAsia="IRNazanin" w:cs="IRNazanin"/>
          <w:lang w:bidi="fa-IR"/>
          <w:color w:val="111111"/>
          <w:sz w:val="28"/>
          <w:szCs w:val="28"/>
          <w:rtl/>
        </w:rPr>
        <w:t xml:space="preserve">خط: نسخ، کا: ابو محمد حسن بن ابی الحسن بن محمد، یک شنبه 1 رجب 1086ق؛ مجدول؛ کاغذ: سپاهانی آهارمهره [نشریه 11 - 882]</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اصفهان؛ دانشگاه؛ شماره نسخه: 243</w:t>
      </w:r>
    </w:p>
    <w:p>
      <w:pPr>
        <w:pStyle w:val="BookText"/>
      </w:pPr>
      <w:r>
        <w:rPr>
          <w:rFonts w:ascii="IRNazanin" w:hAnsi="IRNazanin" w:eastAsia="IRNazanin" w:cs="IRNazanin"/>
          <w:lang w:bidi="fa-IR"/>
          <w:color w:val="111111"/>
          <w:sz w:val="28"/>
          <w:szCs w:val="28"/>
          <w:rtl/>
        </w:rPr>
        <w:t xml:space="preserve">خط: نسخ زیبا، بی کا، تا: یک شنبه غره رجب 1086ق؛ مجدول؛ مهر: «تلك حجتنا آتيناها ابراهیم» ((مربع)؛ جلد: تیماج دورو،مشکی ضربی، اندرون قهوه ای، 330گ، 15 سطر ، اندازه: 19</w:t>
      </w:r>
      <w:r>
        <w:rPr>
          <w:rFonts w:ascii="Times New Roman" w:hAnsi="Times New Roman" w:eastAsia="Times New Roman" w:cs="Times New Roman"/>
          <w:lang w:val="en-US" w:bidi="en-US"/>
          <w:color w:val="111111"/>
          <w:sz w:val="28"/>
          <w:szCs w:val="28"/>
          <w:rtl/>
        </w:rPr>
        <w:t xml:space="preserve">× 25 </w:t>
      </w:r>
      <w:r>
        <w:rPr>
          <w:rFonts w:ascii="IRNazanin" w:hAnsi="IRNazanin" w:eastAsia="IRNazanin" w:cs="IRNazanin"/>
          <w:lang w:bidi="fa-IR"/>
          <w:color w:val="111111"/>
          <w:sz w:val="28"/>
          <w:szCs w:val="28"/>
          <w:rtl/>
        </w:rPr>
        <w:t xml:space="preserve">سم [ف: 1 - 186]</w:t>
      </w:r>
    </w:p>
    <w:p>
      <w:pPr>
        <w:pStyle w:val="BookText"/>
      </w:pPr>
      <w:r>
        <w:rPr>
          <w:rFonts w:ascii="IRNazanin" w:hAnsi="IRNazanin" w:eastAsia="IRNazanin" w:cs="IRNazanin"/>
          <w:lang w:bidi="fa-IR"/>
          <w:color w:val="111111"/>
          <w:sz w:val="28"/>
          <w:szCs w:val="28"/>
          <w:rtl/>
        </w:rPr>
        <w:t xml:space="preserve">21 . قم؛ مرکز احیاء؛ شماره نسخه: 3363</w:t>
      </w:r>
    </w:p>
    <w:p>
      <w:pPr>
        <w:pStyle w:val="BookText"/>
      </w:pPr>
      <w:r>
        <w:rPr>
          <w:rFonts w:ascii="IRNazanin" w:hAnsi="IRNazanin" w:eastAsia="IRNazanin" w:cs="IRNazanin"/>
          <w:lang w:bidi="fa-IR"/>
          <w:color w:val="111111"/>
          <w:sz w:val="28"/>
          <w:szCs w:val="28"/>
          <w:rtl/>
        </w:rPr>
        <w:t xml:space="preserve">خط: نسخ، کا: خدابخش بن حاجی محمد اصفهانی، تا: پنج شنبه 15 جمادى الاول 1088ق؛ مصحح، در دو برگ اول فهرست مطالب و یادداشتی درباره رضاع و در چهار برگ آخر خبر عطرفه جنی با امام علی (علیه السّلام) و حکایت اعمش با منصور و چند حکایت به نقل از مناقب خوارزمی و ابن جوزی؛ جلد: تیماج دو رو، رو قهوه ای، پشت زرشکی ،254گ، 23 سطر ، اندازه: 14</w:t>
      </w:r>
      <w:r>
        <w:rPr>
          <w:rFonts w:ascii="Times New Roman" w:hAnsi="Times New Roman" w:eastAsia="Times New Roman" w:cs="Times New Roman"/>
          <w:lang w:val="en-US" w:bidi="en-US"/>
          <w:color w:val="111111"/>
          <w:sz w:val="28"/>
          <w:szCs w:val="28"/>
          <w:rtl/>
        </w:rPr>
        <w:t xml:space="preserve">×24/5</w:t>
      </w:r>
      <w:r>
        <w:rPr>
          <w:rFonts w:ascii="IRNazanin" w:hAnsi="IRNazanin" w:eastAsia="IRNazanin" w:cs="IRNazanin"/>
          <w:lang w:bidi="fa-IR"/>
          <w:color w:val="111111"/>
          <w:sz w:val="28"/>
          <w:szCs w:val="28"/>
          <w:rtl/>
        </w:rPr>
        <w:t xml:space="preserve">سم [محدث ارموی مخ: 1 – 114]</w:t>
      </w:r>
    </w:p>
    <w:p>
      <w:pPr>
        <w:pStyle w:val="BookText"/>
      </w:pPr>
      <w:r>
        <w:rPr>
          <w:rFonts w:ascii="IRNazanin" w:hAnsi="IRNazanin" w:eastAsia="IRNazanin" w:cs="IRNazanin"/>
          <w:lang w:bidi="fa-IR"/>
          <w:color w:val="111111"/>
          <w:sz w:val="28"/>
          <w:szCs w:val="28"/>
          <w:rtl/>
        </w:rPr>
        <w:t xml:space="preserve">22 . قم؛ معصومیه؛ شماره نسخه: 4/121/2-6310</w:t>
      </w:r>
    </w:p>
    <w:p>
      <w:pPr>
        <w:pStyle w:val="BookText"/>
      </w:pPr>
      <w:r>
        <w:rPr>
          <w:rFonts w:ascii="IRNazanin" w:hAnsi="IRNazanin" w:eastAsia="IRNazanin" w:cs="IRNazanin"/>
          <w:lang w:bidi="fa-IR"/>
          <w:color w:val="111111"/>
          <w:sz w:val="28"/>
          <w:szCs w:val="28"/>
          <w:rtl/>
        </w:rPr>
        <w:t xml:space="preserve">خط: نسخ، کا: میرزا محمد بن حسين بن جهان شاه، تا: چهارشنبه 13 رجب 1097ق؛ کاغذ: سپاهانی جلد: تیماج مشکی، 16 سطر، قطع: ربعی [آستانه :قم - 217]</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مشهد؛ رضوی؛ شماره نسخه: 13655</w:t>
      </w:r>
    </w:p>
    <w:p>
      <w:pPr>
        <w:pStyle w:val="BookText"/>
      </w:pPr>
      <w:r>
        <w:rPr>
          <w:rFonts w:ascii="IRNazanin" w:hAnsi="IRNazanin" w:eastAsia="IRNazanin" w:cs="IRNazanin"/>
          <w:lang w:bidi="fa-IR"/>
          <w:color w:val="111111"/>
          <w:sz w:val="28"/>
          <w:szCs w:val="28"/>
          <w:rtl/>
        </w:rPr>
        <w:t xml:space="preserve">آغاز: بسمله روى عن النبي صلى الله عليه و آله انه قال لاخی علی بن ابی طالب فضائل لا تحصی؛ انجام: و لا اذيقه حلاوة محبتى و علیک سلامی و رحمتی.</w:t>
      </w:r>
    </w:p>
    <w:p>
      <w:pPr>
        <w:pStyle w:val="BookText"/>
      </w:pPr>
      <w:r>
        <w:rPr>
          <w:rFonts w:ascii="IRNazanin" w:hAnsi="IRNazanin" w:eastAsia="IRNazanin" w:cs="IRNazanin"/>
          <w:lang w:bidi="fa-IR"/>
          <w:color w:val="111111"/>
          <w:sz w:val="28"/>
          <w:szCs w:val="28"/>
          <w:rtl/>
        </w:rPr>
        <w:t xml:space="preserve">جزء 2؛ خط: نسخ، كا: مير حمزة بن محمد علی، تا: جمعه 8 ربیع الثانى 1099ق؛ محشی ،کاغذ ،نخودی ،جلد: مقوا رویه پارچه 111 گ، 18 سطر ، اندازه: 18/5</w:t>
      </w:r>
      <w:r>
        <w:rPr>
          <w:rFonts w:ascii="Times New Roman" w:hAnsi="Times New Roman" w:eastAsia="Times New Roman" w:cs="Times New Roman"/>
          <w:lang w:val="en-US" w:bidi="en-US"/>
          <w:color w:val="111111"/>
          <w:sz w:val="28"/>
          <w:szCs w:val="28"/>
          <w:rtl/>
        </w:rPr>
        <w:t xml:space="preserve">×24/8</w:t>
      </w:r>
      <w:r>
        <w:rPr>
          <w:rFonts w:ascii="IRNazanin" w:hAnsi="IRNazanin" w:eastAsia="IRNazanin" w:cs="IRNazanin"/>
          <w:lang w:bidi="fa-IR"/>
          <w:color w:val="111111"/>
          <w:sz w:val="28"/>
          <w:szCs w:val="28"/>
          <w:rtl/>
        </w:rPr>
        <w:t xml:space="preserve">سم [ف: 14 - 48]</w:t>
      </w:r>
    </w:p>
    <w:p>
      <w:pPr>
        <w:pStyle w:val="BookText"/>
      </w:pPr>
      <w:r>
        <w:rPr>
          <w:rFonts w:ascii="IRNazanin" w:hAnsi="IRNazanin" w:eastAsia="IRNazanin" w:cs="IRNazanin"/>
          <w:lang w:bidi="fa-IR"/>
          <w:color w:val="111111"/>
          <w:sz w:val="28"/>
          <w:szCs w:val="28"/>
          <w:rtl/>
        </w:rPr>
        <w:t xml:space="preserve">24.تهران؛ دانشگاه؛ شماره نسخه : 6841</w:t>
      </w:r>
    </w:p>
    <w:p>
      <w:pPr>
        <w:pStyle w:val="BookText"/>
      </w:pPr>
      <w:r>
        <w:rPr>
          <w:rFonts w:ascii="IRNazanin" w:hAnsi="IRNazanin" w:eastAsia="IRNazanin" w:cs="IRNazanin"/>
          <w:lang w:bidi="fa-IR"/>
          <w:color w:val="111111"/>
          <w:sz w:val="28"/>
          <w:szCs w:val="28"/>
          <w:rtl/>
        </w:rPr>
        <w:t xml:space="preserve">خط: نستعلیق، بی کا، تا: قرن 12؛ افتادگی: آغاز و انجام؛ کاغذ: ،سپاهانی ،جلد: تیماج مشکی لایی، 120گ، 18 سطر (9</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قطع: ربعی ،اندازه: 14</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16 - 379]</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تهران؛ دائرة المعارف؛ شماره نسخه: 445</w:t>
      </w:r>
    </w:p>
    <w:p>
      <w:pPr>
        <w:pStyle w:val="BookText"/>
      </w:pPr>
      <w:r>
        <w:rPr>
          <w:rFonts w:ascii="Amiri" w:hAnsi="Amiri" w:eastAsia="Amiri" w:cs="Amiri"/>
          <w:lang w:bidi="ar-SA"/>
          <w:color w:val="111111"/>
          <w:sz w:val="28"/>
          <w:szCs w:val="28"/>
          <w:rtl/>
        </w:rPr>
        <w:t xml:space="preserve">آغاز: صياحاً عظيماً ثم عليك يا طالب الجنة..؛ انجام: فقمت فدنوت منه ...</w:t>
      </w:r>
    </w:p>
    <w:p>
      <w:pPr>
        <w:pStyle w:val="BookText"/>
      </w:pPr>
      <w:r>
        <w:rPr>
          <w:rFonts w:ascii="IRNazanin" w:hAnsi="IRNazanin" w:eastAsia="IRNazanin" w:cs="IRNazanin"/>
          <w:lang w:bidi="fa-IR"/>
          <w:color w:val="111111"/>
          <w:sz w:val="28"/>
          <w:szCs w:val="28"/>
          <w:rtl/>
        </w:rPr>
        <w:t xml:space="preserve">خط: نسخ پخته، بی کا، تا: قرن 12؛ افتادگی: آغاز و انجام؛ محشی، مقابله شده؛ کاغذ: نخودی آهار مهره، جلد: تيماج ،مشکی، 264گ، 21 سطر (7/5</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 اندازه: 14/5</w:t>
      </w:r>
      <w:r>
        <w:rPr>
          <w:rFonts w:ascii="Times New Roman" w:hAnsi="Times New Roman" w:eastAsia="Times New Roman" w:cs="Times New Roman"/>
          <w:lang w:val="en-US" w:bidi="en-US"/>
          <w:color w:val="111111"/>
          <w:sz w:val="28"/>
          <w:szCs w:val="28"/>
          <w:rtl/>
        </w:rPr>
        <w:t xml:space="preserve">×24/5</w:t>
      </w:r>
      <w:r>
        <w:rPr>
          <w:rFonts w:ascii="IRNazanin" w:hAnsi="IRNazanin" w:eastAsia="IRNazanin" w:cs="IRNazanin"/>
          <w:lang w:bidi="fa-IR"/>
          <w:color w:val="111111"/>
          <w:sz w:val="28"/>
          <w:szCs w:val="28"/>
          <w:rtl/>
        </w:rPr>
        <w:t xml:space="preserve">سم [ف: 1-15]</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قم؛ معصومیه؛ شماره نسخه: 125/4-6231</w:t>
      </w:r>
    </w:p>
    <w:p>
      <w:pPr>
        <w:pStyle w:val="BookText"/>
      </w:pPr>
      <w:r>
        <w:rPr>
          <w:rFonts w:ascii="IRNazanin" w:hAnsi="IRNazanin" w:eastAsia="IRNazanin" w:cs="IRNazanin"/>
          <w:lang w:bidi="fa-IR"/>
          <w:color w:val="111111"/>
          <w:sz w:val="28"/>
          <w:szCs w:val="28"/>
          <w:rtl/>
        </w:rPr>
        <w:t xml:space="preserve">خط: نسخ و نستعلیق، بی کا، تا: قرن 12؛ کاغذ: سپاهانی، جلد: تازه 225گ، 14 سطر ، قطع: ربعی [ آستانه قم - 77]</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قم؛ مرعشی؛ شماره نسخه: 10571</w:t>
      </w:r>
    </w:p>
    <w:p>
      <w:pPr>
        <w:pStyle w:val="BookText"/>
      </w:pPr>
      <w:r>
        <w:rPr>
          <w:rFonts w:ascii="IRNazanin" w:hAnsi="IRNazanin" w:eastAsia="IRNazanin" w:cs="IRNazanin"/>
          <w:lang w:bidi="fa-IR"/>
          <w:color w:val="111111"/>
          <w:sz w:val="28"/>
          <w:szCs w:val="28"/>
          <w:rtl/>
        </w:rPr>
        <w:t xml:space="preserve">خط: نسخ، بی کا، تا: قرن 12 ،مصحح، در صفحه آخر وقفنامه کتاب به تاریخ 1320؛ جلد: مقوایی عطف تیماج قرمز، 129گ، 25 سطر ، اندازه: 34</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 ف: 27 - 52]</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مشهد؛ رضوی؛ شماره نسخه: 19459</w:t>
      </w:r>
    </w:p>
    <w:p>
      <w:pPr>
        <w:pStyle w:val="BookText"/>
      </w:pPr>
      <w:r>
        <w:rPr>
          <w:rFonts w:ascii="Amiri" w:hAnsi="Amiri" w:eastAsia="Amiri" w:cs="Amiri"/>
          <w:lang w:bidi="ar-SA"/>
          <w:color w:val="111111"/>
          <w:sz w:val="28"/>
          <w:szCs w:val="28"/>
          <w:rtl/>
        </w:rPr>
        <w:t xml:space="preserve">آغاز: الله در القائل بسمله، الله تحت قباب العرش طايفة *** اخفاهم عن عيون الناس اجلالا ؛انجام: فلما نظر اليه اميرالمومنين عليه السلام انزعج لذلك و قال يا عم ما جاء بك و انت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جزاً2 ؛ خط: نسخ، بی کا، تا: نیمه اول قرن 12؛ افتادگی: انجام؛ واقف: ملانعيم بن محمد رحیم زنجانی ،آخر رمضان 1126؛ توسط سید ابوالحسن ملکی در شهریور 1374 به کتابخانه تحویل گردیده ؛کاغذ: نخودی آهار مهره ،جلد: تیماج ضربی ماشی با ترنج سرترنج، 172گ، 15 سطر ، اندازه: 15 </w:t>
      </w:r>
      <w:r>
        <w:rPr>
          <w:rFonts w:ascii="Times New Roman" w:hAnsi="Times New Roman" w:eastAsia="Times New Roman" w:cs="Times New Roman"/>
          <w:lang w:val="en-US" w:bidi="en-US"/>
          <w:color w:val="111111"/>
          <w:sz w:val="28"/>
          <w:szCs w:val="28"/>
          <w:rtl/>
        </w:rPr>
        <w:t xml:space="preserve">×20/7</w:t>
      </w:r>
      <w:r>
        <w:rPr>
          <w:rFonts w:ascii="IRNazanin" w:hAnsi="IRNazanin" w:eastAsia="IRNazanin" w:cs="IRNazanin"/>
          <w:lang w:bidi="fa-IR"/>
          <w:color w:val="111111"/>
          <w:sz w:val="28"/>
          <w:szCs w:val="28"/>
          <w:rtl/>
        </w:rPr>
        <w:t xml:space="preserve">سم [ف: 26 - 69]</w:t>
      </w:r>
    </w:p>
    <w:p>
      <w:pPr>
        <w:pStyle w:val="BookText"/>
      </w:pPr>
      <w:r>
        <w:rPr>
          <w:rFonts w:ascii="IRNazanin" w:hAnsi="IRNazanin" w:eastAsia="IRNazanin" w:cs="IRNazanin"/>
          <w:lang w:bidi="fa-IR"/>
          <w:color w:val="111111"/>
          <w:sz w:val="28"/>
          <w:szCs w:val="28"/>
          <w:rtl/>
        </w:rPr>
        <w:t xml:space="preserve">29 . ساری؛ عمومی ساری؛ شماره نسخه 55/1</w:t>
      </w:r>
    </w:p>
    <w:p>
      <w:pPr>
        <w:pStyle w:val="BookText"/>
      </w:pPr>
      <w:r>
        <w:rPr>
          <w:rFonts w:ascii="IRNazanin" w:hAnsi="IRNazanin" w:eastAsia="IRNazanin" w:cs="IRNazanin"/>
          <w:lang w:bidi="fa-IR"/>
          <w:color w:val="111111"/>
          <w:sz w:val="28"/>
          <w:szCs w:val="28"/>
          <w:rtl/>
        </w:rPr>
        <w:t xml:space="preserve">آغاز: برابر؛ انجام: فى دارى و لا نزعن من قلبه محبتى و عليک سلامی و رحمتی</w:t>
      </w:r>
    </w:p>
    <w:p>
      <w:pPr>
        <w:pStyle w:val="BookText"/>
      </w:pPr>
      <w:r>
        <w:rPr>
          <w:rFonts w:ascii="IRNazanin" w:hAnsi="IRNazanin" w:eastAsia="IRNazanin" w:cs="IRNazanin"/>
          <w:lang w:bidi="fa-IR"/>
          <w:color w:val="111111"/>
          <w:sz w:val="28"/>
          <w:szCs w:val="28"/>
          <w:rtl/>
        </w:rPr>
        <w:t xml:space="preserve">خط: نسخ، بی کا، تا: قرن 12 ؛جلد: تیماج قهوه ای 22 سطر (10</w:t>
      </w:r>
      <w:r>
        <w:rPr>
          <w:rFonts w:ascii="Times New Roman" w:hAnsi="Times New Roman" w:eastAsia="Times New Roman" w:cs="Times New Roman"/>
          <w:lang w:val="en-US" w:bidi="en-US"/>
          <w:color w:val="111111"/>
          <w:sz w:val="28"/>
          <w:szCs w:val="28"/>
          <w:rtl/>
        </w:rPr>
        <w:t xml:space="preserve">×18/5) </w:t>
      </w:r>
      <w:r>
        <w:rPr>
          <w:rFonts w:ascii="IRNazanin" w:hAnsi="IRNazanin" w:eastAsia="IRNazanin" w:cs="IRNazanin"/>
          <w:lang w:bidi="fa-IR"/>
          <w:color w:val="111111"/>
          <w:sz w:val="28"/>
          <w:szCs w:val="28"/>
          <w:rtl/>
        </w:rPr>
        <w:t xml:space="preserve">، اندازه: 16/5</w:t>
      </w:r>
      <w:r>
        <w:rPr>
          <w:rFonts w:ascii="Times New Roman" w:hAnsi="Times New Roman" w:eastAsia="Times New Roman" w:cs="Times New Roman"/>
          <w:lang w:val="en-US" w:bidi="en-US"/>
          <w:color w:val="111111"/>
          <w:sz w:val="28"/>
          <w:szCs w:val="28"/>
          <w:rtl/>
        </w:rPr>
        <w:t xml:space="preserve">×25/5</w:t>
      </w:r>
      <w:r>
        <w:rPr>
          <w:rFonts w:ascii="IRNazanin" w:hAnsi="IRNazanin" w:eastAsia="IRNazanin" w:cs="IRNazanin"/>
          <w:lang w:bidi="fa-IR"/>
          <w:color w:val="111111"/>
          <w:sz w:val="28"/>
          <w:szCs w:val="28"/>
          <w:rtl/>
        </w:rPr>
        <w:t xml:space="preserve">سم [ف: 44]</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قم؛ مرعشی؛شماره نسخه: 11174/3</w:t>
      </w:r>
    </w:p>
    <w:p>
      <w:pPr>
        <w:pStyle w:val="BookText"/>
      </w:pPr>
      <w:r>
        <w:rPr>
          <w:rFonts w:ascii="IRNazanin" w:hAnsi="IRNazanin" w:eastAsia="IRNazanin" w:cs="IRNazanin"/>
          <w:lang w:bidi="fa-IR"/>
          <w:color w:val="111111"/>
          <w:sz w:val="28"/>
          <w:szCs w:val="28"/>
          <w:rtl/>
        </w:rPr>
        <w:t xml:space="preserve">آغاز: روى عن جعفر بن محمد الصادق عن ابيه عن جده الحسین بن علی بن ابی طالب - عليهم السلام - انه قال؛ انجام: و لا ظلمن قلبه حتى ينسانی و لا اذيقة حلاوة محبتی و علیک سلامی رحمتی</w:t>
      </w:r>
    </w:p>
    <w:p>
      <w:pPr>
        <w:pStyle w:val="BookText"/>
      </w:pPr>
      <w:r>
        <w:rPr>
          <w:rFonts w:ascii="IRNazanin" w:hAnsi="IRNazanin" w:eastAsia="IRNazanin" w:cs="IRNazanin"/>
          <w:lang w:bidi="fa-IR"/>
          <w:color w:val="111111"/>
          <w:sz w:val="28"/>
          <w:szCs w:val="28"/>
          <w:rtl/>
        </w:rPr>
        <w:t xml:space="preserve">خط: شکسته نستعلیق، کا: محمد كريم بن محمد باقر [حسینی طيب تنکابنی]، تا: جمعه 3 صفر 1114ق ؛جا: ییلاق، مجدول، مصحح،کاغذ: سمرقندی 6گ( 45 - 50)، 16 سطر ، اندازه: 10</w:t>
      </w:r>
      <w:r>
        <w:rPr>
          <w:rFonts w:ascii="Times New Roman" w:hAnsi="Times New Roman" w:eastAsia="Times New Roman" w:cs="Times New Roman"/>
          <w:lang w:val="en-US" w:bidi="en-US"/>
          <w:color w:val="111111"/>
          <w:sz w:val="28"/>
          <w:szCs w:val="28"/>
          <w:rtl/>
        </w:rPr>
        <w:t xml:space="preserve">×18/5</w:t>
      </w:r>
      <w:r>
        <w:rPr>
          <w:rFonts w:ascii="IRNazanin" w:hAnsi="IRNazanin" w:eastAsia="IRNazanin" w:cs="IRNazanin"/>
          <w:lang w:bidi="fa-IR"/>
          <w:color w:val="111111"/>
          <w:sz w:val="28"/>
          <w:szCs w:val="28"/>
          <w:rtl/>
        </w:rPr>
        <w:t xml:space="preserve">سم [ف: 28 - 246]</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قزوین؛ امام صادق؛ شماره نسخه: 95/2</w:t>
      </w:r>
    </w:p>
    <w:p>
      <w:pPr>
        <w:pStyle w:val="BookText"/>
      </w:pPr>
      <w:r>
        <w:rPr>
          <w:rFonts w:ascii="IRNazanin" w:hAnsi="IRNazanin" w:eastAsia="IRNazanin" w:cs="IRNazanin"/>
          <w:lang w:bidi="fa-IR"/>
          <w:color w:val="111111"/>
          <w:sz w:val="28"/>
          <w:szCs w:val="28"/>
          <w:rtl/>
        </w:rPr>
        <w:t xml:space="preserve">آغاز: برابر؛ انجام: ولا ظلمن قلبه حتى نیسانی و لا اذیقه حلاوة محبتى، تم هذا المجلد.</w:t>
      </w:r>
    </w:p>
    <w:p>
      <w:pPr>
        <w:pStyle w:val="BookText"/>
      </w:pPr>
      <w:r>
        <w:rPr>
          <w:rFonts w:ascii="IRNazanin" w:hAnsi="IRNazanin" w:eastAsia="IRNazanin" w:cs="IRNazanin"/>
          <w:lang w:bidi="fa-IR"/>
          <w:color w:val="111111"/>
          <w:sz w:val="28"/>
          <w:szCs w:val="28"/>
          <w:rtl/>
        </w:rPr>
        <w:t xml:space="preserve">کا: محمد تقی بن ملا علیشاه محمد علی، تا: 21 رجب 1118 ق؛ جلد: تیماج قهوه ای [ف 1 - 347]</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قم؛ مرکز احیاء؛ شماره نسخه: 3801</w:t>
      </w:r>
    </w:p>
    <w:p>
      <w:pPr>
        <w:pStyle w:val="BookText"/>
      </w:pPr>
      <w:r>
        <w:rPr>
          <w:rFonts w:ascii="IRNazanin" w:hAnsi="IRNazanin" w:eastAsia="IRNazanin" w:cs="IRNazanin"/>
          <w:lang w:bidi="fa-IR"/>
          <w:color w:val="111111"/>
          <w:sz w:val="28"/>
          <w:szCs w:val="28"/>
          <w:rtl/>
        </w:rPr>
        <w:t xml:space="preserve">خط: نسخ، کا: اهل على بن مير بن علی حسنی موسوی،تا: 1119ق؛ مصحح، در برگ آخر علامت بلاغ از کاتب، در دو</w:t>
      </w:r>
    </w:p>
    <w:p>
      <w:pPr>
        <w:pStyle w:val="BookText"/>
      </w:pPr>
      <w:r>
        <w:rPr>
          <w:rFonts w:ascii="IRNazanin" w:hAnsi="IRNazanin" w:eastAsia="IRNazanin" w:cs="IRNazanin"/>
          <w:lang w:bidi="fa-IR"/>
          <w:color w:val="111111"/>
          <w:sz w:val="28"/>
          <w:szCs w:val="28"/>
          <w:rtl/>
        </w:rPr>
        <w:t xml:space="preserve">برگ اول چند یادداشت متفرقه، مهر: «الملك لله داخل کتابخانه خصوصی داعی شد» (بيضى)، «لا اله الا الله الملك الحق المبین  عبده محمد حسن» (مربع) ؛جلد: تيماج مشكى بدون مقوا،162گ، 15 سطر ، اندازه: 15 </w:t>
      </w:r>
      <w:r>
        <w:rPr>
          <w:rFonts w:ascii="Times New Roman" w:hAnsi="Times New Roman" w:eastAsia="Times New Roman" w:cs="Times New Roman"/>
          <w:lang w:val="en-US" w:bidi="en-US"/>
          <w:color w:val="111111"/>
          <w:sz w:val="28"/>
          <w:szCs w:val="28"/>
          <w:rtl/>
        </w:rPr>
        <w:t xml:space="preserve">× 20</w:t>
      </w:r>
      <w:r>
        <w:rPr>
          <w:rFonts w:ascii="IRNazanin" w:hAnsi="IRNazanin" w:eastAsia="IRNazanin" w:cs="IRNazanin"/>
          <w:lang w:bidi="fa-IR"/>
          <w:color w:val="111111"/>
          <w:sz w:val="28"/>
          <w:szCs w:val="28"/>
          <w:rtl/>
        </w:rPr>
        <w:t xml:space="preserve">سم [محدث ارموی مخ: 1-15]</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مشهد؛ رضوی؛ شماره نسخه: 15332</w:t>
      </w:r>
    </w:p>
    <w:p>
      <w:pPr>
        <w:pStyle w:val="BookText"/>
      </w:pPr>
      <w:r>
        <w:rPr>
          <w:rFonts w:ascii="Amiri" w:hAnsi="Amiri" w:eastAsia="Amiri" w:cs="Amiri"/>
          <w:lang w:bidi="ar-SA"/>
          <w:color w:val="111111"/>
          <w:sz w:val="28"/>
          <w:szCs w:val="28"/>
          <w:rtl/>
        </w:rPr>
        <w:t xml:space="preserve">آغاز: عدل و لا تنفعها شفاعة  و قال سبحانه وتعالى يا ايها الناس اتقوا ربكم؛ انجام: و خطوا جميعا منقبا اثر منقب *** لما خط من تلك المناقب واحد</w:t>
      </w:r>
    </w:p>
    <w:p>
      <w:pPr>
        <w:pStyle w:val="BookText"/>
      </w:pPr>
      <w:r>
        <w:rPr>
          <w:rFonts w:ascii="IRNazanin" w:hAnsi="IRNazanin" w:eastAsia="IRNazanin" w:cs="IRNazanin"/>
          <w:lang w:bidi="fa-IR"/>
          <w:color w:val="111111"/>
          <w:sz w:val="28"/>
          <w:szCs w:val="28"/>
          <w:rtl/>
        </w:rPr>
        <w:t xml:space="preserve">جزء 1-2 ؛خط: نستعلیق مخلوط به شکسته، کا: محمدعظیم ابن محمد نیشابوری، تا: 15 شعبان 1124ق؛ افتادگی: آغاز( برگ اول)، مصحح، مقابله شده؛ واقف: حاج احمد فاضل، اسفند 1265، کاغذ: نخودی، جلد: تیماج عنابی ضربی با ترنج و سر ترنج 271گ، 24 سطر ، اندازه: 12</w:t>
      </w:r>
      <w:r>
        <w:rPr>
          <w:rFonts w:ascii="Times New Roman" w:hAnsi="Times New Roman" w:eastAsia="Times New Roman" w:cs="Times New Roman"/>
          <w:lang w:val="en-US" w:bidi="en-US"/>
          <w:color w:val="111111"/>
          <w:sz w:val="28"/>
          <w:szCs w:val="28"/>
          <w:rtl/>
        </w:rPr>
        <w:t xml:space="preserve">×23/7</w:t>
      </w:r>
      <w:r>
        <w:rPr>
          <w:rFonts w:ascii="IRNazanin" w:hAnsi="IRNazanin" w:eastAsia="IRNazanin" w:cs="IRNazanin"/>
          <w:lang w:bidi="fa-IR"/>
          <w:color w:val="111111"/>
          <w:sz w:val="28"/>
          <w:szCs w:val="28"/>
          <w:rtl/>
        </w:rPr>
        <w:t xml:space="preserve">سم [ف: 14 - 47]</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قم؛ مرعشی؛ شماره نسخه: 577</w:t>
      </w:r>
    </w:p>
    <w:p>
      <w:pPr>
        <w:pStyle w:val="BookText"/>
      </w:pPr>
      <w:r>
        <w:rPr>
          <w:rFonts w:ascii="Amiri" w:hAnsi="Amiri" w:eastAsia="Amiri" w:cs="Amiri"/>
          <w:lang w:bidi="ar-SA"/>
          <w:color w:val="111111"/>
          <w:sz w:val="28"/>
          <w:szCs w:val="28"/>
          <w:rtl/>
        </w:rPr>
        <w:t xml:space="preserve">آغاز: برابر؛ انجام: و خطوا جميعاً منقباً اثر منقب *** لما خط من تلك المناقب واحد</w:t>
      </w:r>
    </w:p>
    <w:p>
      <w:pPr>
        <w:pStyle w:val="BookText"/>
      </w:pPr>
      <w:r>
        <w:rPr>
          <w:rFonts w:ascii="IRNazanin" w:hAnsi="IRNazanin" w:eastAsia="IRNazanin" w:cs="IRNazanin"/>
          <w:lang w:bidi="fa-IR"/>
          <w:color w:val="111111"/>
          <w:sz w:val="28"/>
          <w:szCs w:val="28"/>
          <w:rtl/>
        </w:rPr>
        <w:t xml:space="preserve">خط: نسخ، بی کا، تا: شنبه 13محرم1127ق؛ محشی؛  دارای آثار بلاغ؛ در پایان جزء اول ابوجعفر بهاءالدین محمد بن محمد صالح مازندرانی نوشته است که در تاریخ دوشنبه 29 محرم 1127 حاشیه نویسی این جزء را به پایان رساندم، در آخر جزء دوم نیز مازندرانی نوشته است که حسب الفرموده مولی امیر عبدالرسول الحسيني الاعرجی به تاریخ چهارشنبه 22 صفر 1127 حاشیه نویسی این جزء را بپایان رسانده ام، در صفحه ای پس از کتاب همین سید عبد الرسول بن حسن الحسيني الأعرجى العبیدلی در اصفهان به تاریخ صفر 1127 آداب نماز شب را نوشته است؛ تملک: محمد قمی (میرزا محمد ارباب) به تاریخ 1321 که در طهران کتاب را خریده است ،اسدالله محمد رضا بن حاج حمزه کاظمی به تاریخ 1223 با مهر «محمد رضا» (بیضی) حسین بن شیخ عباس و مهر «الواثق بالله الغنى رضا بن محمد مهدی الحسنى الحسينى» (مربع) ؛جلد: دو رو تیماج رو قرمز پشت ،قهوه ای 361گ، 17 سطر ، اندازه: 18</w:t>
      </w:r>
      <w:r>
        <w:rPr>
          <w:rFonts w:ascii="Times New Roman" w:hAnsi="Times New Roman" w:eastAsia="Times New Roman" w:cs="Times New Roman"/>
          <w:lang w:val="en-US" w:bidi="en-US"/>
          <w:color w:val="111111"/>
          <w:sz w:val="28"/>
          <w:szCs w:val="28"/>
          <w:rtl/>
        </w:rPr>
        <w:t xml:space="preserve">×25</w:t>
      </w:r>
      <w:r>
        <w:rPr>
          <w:rFonts w:ascii="IRNazanin" w:hAnsi="IRNazanin" w:eastAsia="IRNazanin" w:cs="IRNazanin"/>
          <w:lang w:bidi="fa-IR"/>
          <w:color w:val="111111"/>
          <w:sz w:val="28"/>
          <w:szCs w:val="28"/>
          <w:rtl/>
        </w:rPr>
        <w:t xml:space="preserve">سم [ف 2 - 172]</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مشهد؛ الهیات؛ شماره نسخه: 19261</w:t>
      </w:r>
    </w:p>
    <w:p>
      <w:pPr>
        <w:pStyle w:val="BookText"/>
      </w:pPr>
      <w:r>
        <w:rPr>
          <w:rFonts w:ascii="IRNazanin" w:hAnsi="IRNazanin" w:eastAsia="IRNazanin" w:cs="IRNazanin"/>
          <w:lang w:bidi="fa-IR"/>
          <w:color w:val="111111"/>
          <w:sz w:val="28"/>
          <w:szCs w:val="28"/>
          <w:rtl/>
        </w:rPr>
        <w:t xml:space="preserve">خط: نسخ، كا: محمد سعید بن اسماعیل موسوی حسینی فاطمی علوی کلوری خلخالی، تا: (تاریخ تحریر و مقابله) 3 ذیقعده 1179ق؛ در سه صفحه قبل از کتاب چند روایت و یک دعای فروش متاع و در سه صفحه الحاقی آخر کتاب رساله ای است به فارسی در صیغه نکاح؛ جلد: تیماج قهوه ای لایه ای، 22 سطر (10</w:t>
      </w:r>
      <w:r>
        <w:rPr>
          <w:rFonts w:ascii="Times New Roman" w:hAnsi="Times New Roman" w:eastAsia="Times New Roman" w:cs="Times New Roman"/>
          <w:lang w:val="en-US" w:bidi="en-US"/>
          <w:color w:val="111111"/>
          <w:sz w:val="28"/>
          <w:szCs w:val="28"/>
          <w:rtl/>
        </w:rPr>
        <w:t xml:space="preserve">×15/5)</w:t>
      </w:r>
      <w:r>
        <w:rPr>
          <w:rFonts w:ascii="IRNazanin" w:hAnsi="IRNazanin" w:eastAsia="IRNazanin" w:cs="IRNazanin"/>
          <w:lang w:bidi="fa-IR"/>
          <w:color w:val="111111"/>
          <w:sz w:val="28"/>
          <w:szCs w:val="28"/>
          <w:rtl/>
        </w:rPr>
        <w:t xml:space="preserve">، اندازه: 17</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2 - 319]</w:t>
      </w:r>
    </w:p>
    <w:p>
      <w:pPr>
        <w:pStyle w:val="BookText"/>
      </w:pPr>
      <w:r>
        <w:rPr>
          <w:rFonts w:ascii="IRNazanin" w:hAnsi="IRNazanin" w:eastAsia="IRNazanin" w:cs="IRNazanin"/>
          <w:lang w:bidi="fa-IR"/>
          <w:color w:val="111111"/>
          <w:sz w:val="28"/>
          <w:szCs w:val="28"/>
          <w:rtl/>
        </w:rPr>
        <w:t xml:space="preserve">36 .قم؛ طبسی؛ شماره نسخه: 757</w:t>
      </w:r>
    </w:p>
    <w:p>
      <w:pPr>
        <w:pStyle w:val="BookText"/>
      </w:pPr>
      <w:r>
        <w:rPr>
          <w:rFonts w:ascii="IRNazanin" w:hAnsi="IRNazanin" w:eastAsia="IRNazanin" w:cs="IRNazanin"/>
          <w:lang w:bidi="fa-IR"/>
          <w:color w:val="111111"/>
          <w:sz w:val="28"/>
          <w:szCs w:val="28"/>
          <w:rtl/>
        </w:rPr>
        <w:t xml:space="preserve">آغاز: و وجبت محبتى للمتواصلين فى و وجبت محبتي للمتوكلين على وليس لمحبتى علة ولاغاية ولانهاية؛ انجام: ان هذا اللسان مفتاح خيرومفتاح شر فاختم على فيك كما تختم على ذهبك و ورقک و الحمد لله اولاً وآخراً</w:t>
      </w:r>
    </w:p>
    <w:p>
      <w:pPr>
        <w:pStyle w:val="BookText"/>
      </w:pPr>
      <w:r>
        <w:rPr>
          <w:rFonts w:ascii="IRNazanin" w:hAnsi="IRNazanin" w:eastAsia="IRNazanin" w:cs="IRNazanin"/>
          <w:lang w:bidi="fa-IR"/>
          <w:color w:val="111111"/>
          <w:sz w:val="28"/>
          <w:szCs w:val="28"/>
          <w:rtl/>
        </w:rPr>
        <w:t xml:space="preserve">حدیث معراج، وصایا پیامبر (صلّی اللَّهِ علیه وَ آلِهِ وَ سَلَّمَ ) به ابوذر، کلمات قصار امير المؤمنين (علیه السّلام) ، باب مواعظ على بن الحسين (علیه السّلام)، باب مواعظ ابى  جعفر الباقر (علیه السّلام) ، باب مواعظ ابی ذر؛ خط: نسخ، بی کا، تا: قرن 13؛ افتادگی: آغاز و وسط؛ مصحح؛ 90گ، 12 سطر ، اندازه: 10/5</w:t>
      </w:r>
      <w:r>
        <w:rPr>
          <w:rFonts w:ascii="Times New Roman" w:hAnsi="Times New Roman" w:eastAsia="Times New Roman" w:cs="Times New Roman"/>
          <w:lang w:val="en-US" w:bidi="en-US"/>
          <w:color w:val="111111"/>
          <w:sz w:val="28"/>
          <w:szCs w:val="28"/>
          <w:rtl/>
        </w:rPr>
        <w:t xml:space="preserve">×16/5</w:t>
      </w:r>
      <w:r>
        <w:rPr>
          <w:rFonts w:ascii="IRNazanin" w:hAnsi="IRNazanin" w:eastAsia="IRNazanin" w:cs="IRNazanin"/>
          <w:lang w:bidi="fa-IR"/>
          <w:color w:val="111111"/>
          <w:sz w:val="28"/>
          <w:szCs w:val="28"/>
          <w:rtl/>
        </w:rPr>
        <w:t xml:space="preserve">سم [ف مخ: 1 - 38]</w:t>
      </w:r>
    </w:p>
    <w:p>
      <w:pPr>
        <w:pStyle w:val="BookText"/>
      </w:pPr>
      <w:r>
        <w:rPr>
          <w:rFonts w:ascii="IRNazanin" w:hAnsi="IRNazanin" w:eastAsia="IRNazanin" w:cs="IRNazanin"/>
          <w:lang w:bidi="fa-IR"/>
          <w:color w:val="111111"/>
          <w:sz w:val="28"/>
          <w:szCs w:val="28"/>
          <w:rtl/>
        </w:rPr>
        <w:t xml:space="preserve">37 .تهران؛ مدرسه مروی؛ شماره نسخه: 576/2</w:t>
      </w:r>
    </w:p>
    <w:p>
      <w:pPr>
        <w:pStyle w:val="BookText"/>
      </w:pPr>
      <w:r>
        <w:rPr>
          <w:rFonts w:ascii="IRNazanin" w:hAnsi="IRNazanin" w:eastAsia="IRNazanin" w:cs="IRNazanin"/>
          <w:lang w:bidi="fa-IR"/>
          <w:color w:val="111111"/>
          <w:sz w:val="28"/>
          <w:szCs w:val="28"/>
          <w:rtl/>
        </w:rPr>
        <w:t xml:space="preserve">جلد اول و دوم؛ بی کا، تا: قرن 13 قطع: خشتی [ف: 286]</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شیراز؛ شاهچراغ؛ شماره نسخه: 2373</w:t>
      </w:r>
    </w:p>
    <w:p>
      <w:pPr>
        <w:pStyle w:val="BookText"/>
      </w:pPr>
      <w:r>
        <w:rPr>
          <w:rFonts w:ascii="IRNazanin" w:hAnsi="IRNazanin" w:eastAsia="IRNazanin" w:cs="IRNazanin"/>
          <w:lang w:bidi="fa-IR"/>
          <w:color w:val="111111"/>
          <w:sz w:val="28"/>
          <w:szCs w:val="28"/>
          <w:rtl/>
        </w:rPr>
        <w:t xml:space="preserve">خط: نسخ، بی کا، تا: قرن 13؛ افتادگی: آغاز و انجام؛ مصحح؛ :اندازه 12/5</w:t>
      </w:r>
      <w:r>
        <w:rPr>
          <w:rFonts w:ascii="Times New Roman" w:hAnsi="Times New Roman" w:eastAsia="Times New Roman" w:cs="Times New Roman"/>
          <w:lang w:val="en-US" w:bidi="en-US"/>
          <w:color w:val="111111"/>
          <w:sz w:val="28"/>
          <w:szCs w:val="28"/>
          <w:rtl/>
        </w:rPr>
        <w:t xml:space="preserve">×18/5</w:t>
      </w:r>
      <w:r>
        <w:rPr>
          <w:rFonts w:ascii="IRNazanin" w:hAnsi="IRNazanin" w:eastAsia="IRNazanin" w:cs="IRNazanin"/>
          <w:lang w:bidi="fa-IR"/>
          <w:color w:val="111111"/>
          <w:sz w:val="28"/>
          <w:szCs w:val="28"/>
          <w:rtl/>
        </w:rPr>
        <w:t xml:space="preserve">سم [ف: 3 - 7]</w:t>
      </w:r>
    </w:p>
    <w:p>
      <w:pPr>
        <w:pStyle w:val="BookText"/>
      </w:pPr>
      <w:r>
        <w:rPr>
          <w:rFonts w:ascii="IRNazanin" w:hAnsi="IRNazanin" w:eastAsia="IRNazanin" w:cs="IRNazanin"/>
          <w:lang w:bidi="fa-IR"/>
          <w:color w:val="111111"/>
          <w:sz w:val="28"/>
          <w:szCs w:val="28"/>
          <w:rtl/>
        </w:rPr>
        <w:t xml:space="preserve">39.تهران؛ مجلس؛ شماره نسخه:470/6 کر</w:t>
      </w:r>
    </w:p>
    <w:p>
      <w:pPr>
        <w:pStyle w:val="BookText"/>
      </w:pPr>
      <w:r>
        <w:rPr>
          <w:rFonts w:ascii="Amiri" w:hAnsi="Amiri" w:eastAsia="Amiri" w:cs="Amiri"/>
          <w:lang w:bidi="ar-SA"/>
          <w:color w:val="111111"/>
          <w:sz w:val="28"/>
          <w:szCs w:val="28"/>
          <w:rtl/>
        </w:rPr>
        <w:t xml:space="preserve">آغاز: يعبر كثيرة بها و يتفكر فيها من أسعد الله تعالى. .. يقول العبد الفقير. .. إنما بدأت بالموعظة من كتاب الله ... و رتبت هذا الكتاب على خمسة وخمسون باباً؛ الباب الأول فى ثواب الموعظة النصيحة ؛انجام: الباب الحادى عشر فى التوبة نصوحاً يعنى بالنصوح لارجوع فيها إلى ذنب. .. قال آخر و لقد رأيت صغيرة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فسرت شيئاً بالخمار قالت... هذا الذي نقل الملوك</w:t>
      </w:r>
    </w:p>
    <w:p>
      <w:pPr>
        <w:pStyle w:val="BookText"/>
      </w:pPr>
      <w:r>
        <w:rPr>
          <w:rFonts w:ascii="IRNazanin" w:hAnsi="IRNazanin" w:eastAsia="IRNazanin" w:cs="IRNazanin"/>
          <w:lang w:bidi="fa-IR"/>
          <w:color w:val="111111"/>
          <w:sz w:val="28"/>
          <w:szCs w:val="28"/>
          <w:rtl/>
        </w:rPr>
        <w:t xml:space="preserve">خط: نسخ، بی کا، تا: قرن 13؛ افتادگی: آغاز و انجام؛ مصحح؛ در برگ 153پ  یک تعویذ و نفرین در حق غاصبين حقوق</w:t>
      </w:r>
    </w:p>
    <w:p>
      <w:pPr>
        <w:pStyle w:val="BookText"/>
      </w:pPr>
      <w:r>
        <w:rPr>
          <w:rFonts w:ascii="IRNazanin" w:hAnsi="IRNazanin" w:eastAsia="IRNazanin" w:cs="IRNazanin"/>
          <w:lang w:bidi="fa-IR"/>
          <w:color w:val="111111"/>
          <w:sz w:val="28"/>
          <w:szCs w:val="28"/>
          <w:rtl/>
        </w:rPr>
        <w:t xml:space="preserve">امير المؤمنین و حضرت فاطمه زهرا (علیها السّلام)؛ کاغذ:فرنگی (روسی) 42)گ (112ر-153ر)، 12 سطر ، اندازه: 9/5</w:t>
      </w: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[ف: 4022 - 252]</w:t>
      </w:r>
    </w:p>
    <w:p>
      <w:pPr>
        <w:pStyle w:val="BookText"/>
      </w:pPr>
      <w:r>
        <w:rPr>
          <w:rFonts w:ascii="IRNazanin" w:hAnsi="IRNazanin" w:eastAsia="IRNazanin" w:cs="IRNazanin"/>
          <w:lang w:bidi="fa-IR"/>
          <w:color w:val="111111"/>
          <w:sz w:val="28"/>
          <w:szCs w:val="28"/>
          <w:rtl/>
        </w:rPr>
        <w:t xml:space="preserve">40 . مشهد؛ رضوی؛ شماره نسخه: 12944</w:t>
      </w:r>
    </w:p>
    <w:p>
      <w:pPr>
        <w:pStyle w:val="BookText"/>
      </w:pPr>
      <w:r>
        <w:rPr>
          <w:rFonts w:ascii="IRNazanin" w:hAnsi="IRNazanin" w:eastAsia="IRNazanin" w:cs="IRNazanin"/>
          <w:lang w:bidi="fa-IR"/>
          <w:color w:val="111111"/>
          <w:sz w:val="28"/>
          <w:szCs w:val="28"/>
          <w:rtl/>
        </w:rPr>
        <w:t xml:space="preserve">آغاز: بسمله روی عن اميرالمومنين عليه الصلوه و السلام باسنادصحیح انه قال هذا؛ انجام: لاظمن قلبه بلسانی و لا اذیقه حلاوه</w:t>
      </w:r>
    </w:p>
    <w:p>
      <w:pPr>
        <w:pStyle w:val="BookText"/>
      </w:pPr>
      <w:r>
        <w:rPr>
          <w:rFonts w:ascii="IRNazanin" w:hAnsi="IRNazanin" w:eastAsia="IRNazanin" w:cs="IRNazanin"/>
          <w:lang w:bidi="fa-IR"/>
          <w:color w:val="111111"/>
          <w:sz w:val="28"/>
          <w:szCs w:val="28"/>
          <w:rtl/>
        </w:rPr>
        <w:t xml:space="preserve">حجتی و علیک سلامی تمت</w:t>
      </w:r>
    </w:p>
    <w:p>
      <w:pPr>
        <w:pStyle w:val="BookText"/>
      </w:pPr>
      <w:r>
        <w:rPr>
          <w:rFonts w:ascii="IRNazanin" w:hAnsi="IRNazanin" w:eastAsia="IRNazanin" w:cs="IRNazanin"/>
          <w:lang w:bidi="fa-IR"/>
          <w:color w:val="111111"/>
          <w:sz w:val="28"/>
          <w:szCs w:val="28"/>
          <w:rtl/>
        </w:rPr>
        <w:t xml:space="preserve">خط: نستعلیق، کا: محمد ابراهیم، تا: 1221ق [رایانه]</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یزد؛ وزیری؛ شماره نسخه: 964</w:t>
      </w:r>
    </w:p>
    <w:p>
      <w:pPr>
        <w:pStyle w:val="BookText"/>
      </w:pPr>
      <w:r>
        <w:rPr>
          <w:rFonts w:ascii="IRNazanin" w:hAnsi="IRNazanin" w:eastAsia="IRNazanin" w:cs="IRNazanin"/>
          <w:lang w:bidi="fa-IR"/>
          <w:color w:val="111111"/>
          <w:sz w:val="28"/>
          <w:szCs w:val="28"/>
          <w:rtl/>
        </w:rPr>
        <w:t xml:space="preserve">آغاز: برابر؛ انجام: ولانزعن من قلبه محبتی و علیک سلامی رحمتى تم الكتاب.</w:t>
      </w:r>
    </w:p>
    <w:p>
      <w:pPr>
        <w:pStyle w:val="BookText"/>
      </w:pPr>
      <w:r>
        <w:rPr>
          <w:rFonts w:ascii="IRNazanin" w:hAnsi="IRNazanin" w:eastAsia="IRNazanin" w:cs="IRNazanin"/>
          <w:lang w:bidi="fa-IR"/>
          <w:color w:val="111111"/>
          <w:sz w:val="28"/>
          <w:szCs w:val="28"/>
          <w:rtl/>
        </w:rPr>
        <w:t xml:space="preserve">خط: نسخ، کا: علی بن عبد العلی، تا: غره شوال 1222ق؛ كا: فرنگی، جلد: تیماج یک لا نرم مشکی،127گ ،17 سطر</w:t>
      </w:r>
    </w:p>
    <w:p>
      <w:pPr>
        <w:pStyle w:val="BookText"/>
      </w:pPr>
      <w:r>
        <w:rPr>
          <w:rFonts w:ascii="Times New Roman" w:hAnsi="Times New Roman" w:eastAsia="Times New Roman" w:cs="Times New Roman"/>
          <w:lang w:val="en-US" w:bidi="en-US"/>
          <w:color w:val="111111"/>
          <w:sz w:val="28"/>
          <w:szCs w:val="28"/>
          <w:rtl/>
        </w:rPr>
        <w:t xml:space="preserve">(9×14/5) </w:t>
      </w:r>
      <w:r>
        <w:rPr>
          <w:rFonts w:ascii="IRNazanin" w:hAnsi="IRNazanin" w:eastAsia="IRNazanin" w:cs="IRNazanin"/>
          <w:lang w:bidi="fa-IR"/>
          <w:color w:val="111111"/>
          <w:sz w:val="28"/>
          <w:szCs w:val="28"/>
          <w:rtl/>
        </w:rPr>
        <w:t xml:space="preserve">، اندازه: 13</w:t>
      </w:r>
      <w:r>
        <w:rPr>
          <w:rFonts w:ascii="Times New Roman" w:hAnsi="Times New Roman" w:eastAsia="Times New Roman" w:cs="Times New Roman"/>
          <w:lang w:val="en-US" w:bidi="en-US"/>
          <w:color w:val="111111"/>
          <w:sz w:val="28"/>
          <w:szCs w:val="28"/>
          <w:rtl/>
        </w:rPr>
        <w:t xml:space="preserve">×18/5</w:t>
      </w:r>
      <w:r>
        <w:rPr>
          <w:rFonts w:ascii="IRNazanin" w:hAnsi="IRNazanin" w:eastAsia="IRNazanin" w:cs="IRNazanin"/>
          <w:lang w:bidi="fa-IR"/>
          <w:color w:val="111111"/>
          <w:sz w:val="28"/>
          <w:szCs w:val="28"/>
          <w:rtl/>
        </w:rPr>
        <w:t xml:space="preserve">سم [ف: 2 - 793]</w:t>
      </w:r>
    </w:p>
    <w:p>
      <w:pPr>
        <w:pStyle w:val="BookText"/>
      </w:pPr>
      <w:r>
        <w:rPr>
          <w:rFonts w:ascii="IRNazanin" w:hAnsi="IRNazanin" w:eastAsia="IRNazanin" w:cs="IRNazanin"/>
          <w:lang w:bidi="fa-IR"/>
          <w:color w:val="111111"/>
          <w:sz w:val="28"/>
          <w:szCs w:val="28"/>
          <w:rtl/>
        </w:rPr>
        <w:t xml:space="preserve">42 . مشهد؛ رضوی؛ شماره نسخه: 11143/2</w:t>
      </w:r>
    </w:p>
    <w:p>
      <w:pPr>
        <w:pStyle w:val="BookText"/>
      </w:pPr>
      <w:r>
        <w:rPr>
          <w:rFonts w:ascii="IRNazanin" w:hAnsi="IRNazanin" w:eastAsia="IRNazanin" w:cs="IRNazanin"/>
          <w:lang w:bidi="fa-IR"/>
          <w:color w:val="111111"/>
          <w:sz w:val="28"/>
          <w:szCs w:val="28"/>
          <w:rtl/>
        </w:rPr>
        <w:t xml:space="preserve">آغاز: اعتمدوا توكل بالله الاحد الصمد العظيم الجبار؛ انجام: بارتداد كل من كانت طينة خبيثة من الشيعه التى يخشى علیهم</w:t>
      </w:r>
    </w:p>
    <w:p>
      <w:pPr>
        <w:pStyle w:val="BookText"/>
      </w:pPr>
      <w:r>
        <w:rPr>
          <w:rFonts w:ascii="IRNazanin" w:hAnsi="IRNazanin" w:eastAsia="IRNazanin" w:cs="IRNazanin"/>
          <w:lang w:bidi="fa-IR"/>
          <w:color w:val="111111"/>
          <w:sz w:val="28"/>
          <w:szCs w:val="28"/>
          <w:rtl/>
        </w:rPr>
        <w:t xml:space="preserve">النفاق</w:t>
      </w:r>
    </w:p>
    <w:p>
      <w:pPr>
        <w:pStyle w:val="BookText"/>
      </w:pPr>
      <w:r>
        <w:rPr>
          <w:rFonts w:ascii="IRNazanin" w:hAnsi="IRNazanin" w:eastAsia="IRNazanin" w:cs="IRNazanin"/>
          <w:lang w:bidi="fa-IR"/>
          <w:color w:val="111111"/>
          <w:sz w:val="28"/>
          <w:szCs w:val="28"/>
          <w:rtl/>
        </w:rPr>
        <w:t xml:space="preserve">دو جلد؛ خط: نسخ، کا: محمد بن ملا محمد حسین عزیز کی،تا: شنبه 12 شعبان 1242ق؛ جا: بارفروش محشی؛ کاغذ: فرنگی آهار مهره الوان ،جلد: تیماج تریاکی ضربی، 22 سطر ، اندازه: 20/5</w:t>
      </w:r>
      <w:r>
        <w:rPr>
          <w:rFonts w:ascii="Times New Roman" w:hAnsi="Times New Roman" w:eastAsia="Times New Roman" w:cs="Times New Roman"/>
          <w:lang w:val="en-US" w:bidi="en-US"/>
          <w:color w:val="111111"/>
          <w:sz w:val="28"/>
          <w:szCs w:val="28"/>
          <w:rtl/>
        </w:rPr>
        <w:t xml:space="preserve">×30 </w:t>
      </w:r>
      <w:r>
        <w:rPr>
          <w:rFonts w:ascii="IRNazanin" w:hAnsi="IRNazanin" w:eastAsia="IRNazanin" w:cs="IRNazanin"/>
          <w:lang w:bidi="fa-IR"/>
          <w:color w:val="111111"/>
          <w:sz w:val="28"/>
          <w:szCs w:val="28"/>
          <w:rtl/>
        </w:rPr>
        <w:t xml:space="preserve">سم [ف: 15 - 403]</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تهران؛ مجلس؛ شماره نسخه 13 خوئی</w:t>
      </w:r>
    </w:p>
    <w:p>
      <w:pPr>
        <w:pStyle w:val="BookText"/>
      </w:pPr>
      <w:r>
        <w:rPr>
          <w:rFonts w:ascii="IRNazanin" w:hAnsi="IRNazanin" w:eastAsia="IRNazanin" w:cs="IRNazanin"/>
          <w:lang w:bidi="fa-IR"/>
          <w:color w:val="111111"/>
          <w:sz w:val="28"/>
          <w:szCs w:val="28"/>
          <w:rtl/>
        </w:rPr>
        <w:t xml:space="preserve">آغاز: بسمله روی عن النبی صلی الله علیه و آله انه قال لأخيه علی بن ابيطالب عليه السلام فضايل لا تحصی؛ انجام: و خطوا جمیعا منقبا اثر منقب *** لما خط من تلك المناقب واحد</w:t>
      </w:r>
    </w:p>
    <w:p>
      <w:pPr>
        <w:pStyle w:val="BookText"/>
      </w:pPr>
      <w:r>
        <w:rPr>
          <w:rFonts w:ascii="IRNazanin" w:hAnsi="IRNazanin" w:eastAsia="IRNazanin" w:cs="IRNazanin"/>
          <w:lang w:bidi="fa-IR"/>
          <w:color w:val="111111"/>
          <w:sz w:val="28"/>
          <w:szCs w:val="28"/>
          <w:rtl/>
        </w:rPr>
        <w:t xml:space="preserve">خط: نسخ، بی کا، تا: 12 ربیع الاول1249ق؛ افتادگی: آغاز و وسط،مصحح، کاغذ: آهار مهره نخودی ،جلد: تیماج ضربی</w:t>
      </w:r>
    </w:p>
    <w:p>
      <w:pPr>
        <w:pStyle w:val="BookText"/>
      </w:pPr>
      <w:r>
        <w:rPr>
          <w:rFonts w:ascii="IRNazanin" w:hAnsi="IRNazanin" w:eastAsia="IRNazanin" w:cs="IRNazanin"/>
          <w:lang w:bidi="fa-IR"/>
          <w:color w:val="111111"/>
          <w:sz w:val="28"/>
          <w:szCs w:val="28"/>
          <w:rtl/>
        </w:rPr>
        <w:t xml:space="preserve">مشکی، 315 ص 21 سطر ، قطع: نیم خشتی [ف 7 - 10]</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تهران؛ دانشگاه؛ شماره نسخه: 6884</w:t>
      </w:r>
    </w:p>
    <w:p>
      <w:pPr>
        <w:pStyle w:val="BookText"/>
      </w:pPr>
      <w:r>
        <w:rPr>
          <w:rFonts w:ascii="IRNazanin" w:hAnsi="IRNazanin" w:eastAsia="IRNazanin" w:cs="IRNazanin"/>
          <w:lang w:bidi="fa-IR"/>
          <w:color w:val="111111"/>
          <w:sz w:val="28"/>
          <w:szCs w:val="28"/>
          <w:rtl/>
        </w:rPr>
        <w:t xml:space="preserve">خط: نسخ، بی کا، تا: 1245ق؛ کاغذ ،فرنگی ،جلد: تیماج مشکی  لایی، 96گ 19 سطر (10</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 قطع: ربعی اندازه: 20</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ف: 16 - 389]</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مشهد؛ الهیات؛ شماره نسخه: 676/1</w:t>
      </w:r>
    </w:p>
    <w:p>
      <w:pPr>
        <w:pStyle w:val="BookText"/>
      </w:pPr>
      <w:r>
        <w:rPr>
          <w:rFonts w:ascii="IRNazanin" w:hAnsi="IRNazanin" w:eastAsia="IRNazanin" w:cs="IRNazanin"/>
          <w:lang w:bidi="fa-IR"/>
          <w:color w:val="111111"/>
          <w:sz w:val="28"/>
          <w:szCs w:val="28"/>
          <w:rtl/>
        </w:rPr>
        <w:t xml:space="preserve">جلد دوم؛ خط: نستعلیق، کا: سید حبیب الله بن سید محمد حسینی، تا: صفر 1256ق، جا ،مشهد، مدرسه صالحیه ؛جلد: میشن آلبالویی، 71گ ، 24 سطر (8</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 اندازه: 15/5</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سم [ف: 1 - 291]</w:t>
      </w:r>
    </w:p>
    <w:p>
      <w:pPr>
        <w:pStyle w:val="BookText"/>
      </w:pPr>
      <w:r>
        <w:rPr>
          <w:rFonts w:ascii="IRNazanin" w:hAnsi="IRNazanin" w:eastAsia="IRNazanin" w:cs="IRNazanin"/>
          <w:lang w:bidi="fa-IR"/>
          <w:color w:val="111111"/>
          <w:sz w:val="28"/>
          <w:szCs w:val="28"/>
          <w:rtl/>
        </w:rPr>
        <w:t xml:space="preserve">46 . قم؛ گلپایگانی؛ شماره نسخه : 1457/1-9/7</w:t>
      </w:r>
    </w:p>
    <w:p>
      <w:pPr>
        <w:pStyle w:val="BookText"/>
      </w:pPr>
      <w:r>
        <w:rPr>
          <w:rFonts w:ascii="IRNazanin" w:hAnsi="IRNazanin" w:eastAsia="IRNazanin" w:cs="IRNazanin"/>
          <w:lang w:bidi="fa-IR"/>
          <w:color w:val="111111"/>
          <w:sz w:val="28"/>
          <w:szCs w:val="28"/>
          <w:rtl/>
        </w:rPr>
        <w:t xml:space="preserve">آغاز: برابر؛ انجام: و منه عن انس بن مالک قال قال رسول الله ان الله  خلقا ليسوا من ولد آدم .. الا لعنة الله على مبغض على بن ابی طالب بسم الله الرحمن الرحيم</w:t>
      </w:r>
    </w:p>
    <w:p>
      <w:pPr>
        <w:pStyle w:val="BookText"/>
      </w:pPr>
      <w:r>
        <w:rPr>
          <w:rFonts w:ascii="IRNazanin" w:hAnsi="IRNazanin" w:eastAsia="IRNazanin" w:cs="IRNazanin"/>
          <w:lang w:bidi="fa-IR"/>
          <w:color w:val="111111"/>
          <w:sz w:val="28"/>
          <w:szCs w:val="28"/>
          <w:rtl/>
        </w:rPr>
        <w:t xml:space="preserve">جلد اول و دوم؛ خط: نستعلیق، کا: یزدی (پایان جلد اول)، تا: ربیع الاول 1258ق، جهت آخوند ملا محمد فدک ساز؛ جلد: تیماج قهوه ای ،مجدول، 74گ، 18-23سطر ، اندازه: 21/5</w:t>
      </w:r>
      <w:r>
        <w:rPr>
          <w:rFonts w:ascii="Times New Roman" w:hAnsi="Times New Roman" w:eastAsia="Times New Roman" w:cs="Times New Roman"/>
          <w:lang w:val="en-US" w:bidi="en-US"/>
          <w:color w:val="111111"/>
          <w:sz w:val="28"/>
          <w:szCs w:val="28"/>
          <w:rtl/>
        </w:rPr>
        <w:t xml:space="preserve">×33/5</w:t>
      </w:r>
      <w:r>
        <w:rPr>
          <w:rFonts w:ascii="IRNazanin" w:hAnsi="IRNazanin" w:eastAsia="IRNazanin" w:cs="IRNazanin"/>
          <w:lang w:bidi="fa-IR"/>
          <w:color w:val="111111"/>
          <w:sz w:val="28"/>
          <w:szCs w:val="28"/>
          <w:rtl/>
        </w:rPr>
        <w:t xml:space="preserve">سم [ف: 1 - 312]</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خوی؛ نمازی؛ شماره نسخه: 882</w:t>
      </w:r>
    </w:p>
    <w:p>
      <w:pPr>
        <w:pStyle w:val="BookText"/>
      </w:pPr>
      <w:r>
        <w:rPr>
          <w:rFonts w:ascii="Amiri" w:hAnsi="Amiri" w:eastAsia="Amiri" w:cs="Amiri"/>
          <w:lang w:bidi="ar-SA"/>
          <w:color w:val="111111"/>
          <w:sz w:val="28"/>
          <w:szCs w:val="28"/>
          <w:rtl/>
        </w:rPr>
        <w:t xml:space="preserve">آغاز: برابر؛ انجام: و خطوا جميعا منقبا اثر منقب *** لما حظ تلك المناقب واحداً</w:t>
      </w:r>
    </w:p>
    <w:p>
      <w:pPr>
        <w:pStyle w:val="BookText"/>
      </w:pPr>
      <w:r>
        <w:rPr>
          <w:rFonts w:ascii="IRNazanin" w:hAnsi="IRNazanin" w:eastAsia="IRNazanin" w:cs="IRNazanin"/>
          <w:lang w:bidi="fa-IR"/>
          <w:color w:val="111111"/>
          <w:sz w:val="28"/>
          <w:szCs w:val="28"/>
          <w:rtl/>
        </w:rPr>
        <w:t xml:space="preserve">جلد اول؛ خط: نسخ، کا: عبدالرحيم بن شیخ علی خوئی، تا:پنج شنبه 5 ربيع الثانى 1260ق؛ با حواشی توضیحی از مجمع البحرين طریحی ،جلد: تیماج مشکی ضربی با ترنج با سر و لچکی، 256گ ، 20 سطر ، اندازه: 17</w:t>
      </w:r>
      <w:r>
        <w:rPr>
          <w:rFonts w:ascii="Times New Roman" w:hAnsi="Times New Roman" w:eastAsia="Times New Roman" w:cs="Times New Roman"/>
          <w:lang w:val="en-US" w:bidi="en-US"/>
          <w:color w:val="111111"/>
          <w:sz w:val="28"/>
          <w:szCs w:val="28"/>
          <w:rtl/>
        </w:rPr>
        <w:t xml:space="preserve">×25 </w:t>
      </w:r>
      <w:r>
        <w:rPr>
          <w:rFonts w:ascii="IRNazanin" w:hAnsi="IRNazanin" w:eastAsia="IRNazanin" w:cs="IRNazanin"/>
          <w:lang w:bidi="fa-IR"/>
          <w:color w:val="111111"/>
          <w:sz w:val="28"/>
          <w:szCs w:val="28"/>
          <w:rtl/>
        </w:rPr>
        <w:t xml:space="preserve">سم [ میراث اسلامی: دفتر دهم - 764]</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خوی؛ نمازی؛ شماره نسخه: 6</w:t>
      </w:r>
    </w:p>
    <w:p>
      <w:pPr>
        <w:pStyle w:val="BookText"/>
      </w:pPr>
      <w:r>
        <w:rPr>
          <w:rFonts w:ascii="IRNazanin" w:hAnsi="IRNazanin" w:eastAsia="IRNazanin" w:cs="IRNazanin"/>
          <w:lang w:bidi="fa-IR"/>
          <w:color w:val="111111"/>
          <w:sz w:val="28"/>
          <w:szCs w:val="28"/>
          <w:rtl/>
        </w:rPr>
        <w:t xml:space="preserve">خط: نسخ جلی، کا: عبدالرحیم بن شیخعلی خویی، تا: 1261ق؛ مجدول مرصع ؛ واقف میر محسن و میر قاسم از ثلث مرحوم آخوند ملا ،آقا متن وقفنامه به قلم ابو طالب با مهر «المتوكل على الله عبده ابوطالب »(بیضی) تحریر در سال 1305؛ جلد: سوخت با ترنج با سر مجدول، 20 سطر ، اندازه: 19</w:t>
      </w:r>
      <w:r>
        <w:rPr>
          <w:rFonts w:ascii="Times New Roman" w:hAnsi="Times New Roman" w:eastAsia="Times New Roman" w:cs="Times New Roman"/>
          <w:lang w:val="en-US" w:bidi="en-US"/>
          <w:color w:val="111111"/>
          <w:sz w:val="28"/>
          <w:szCs w:val="28"/>
          <w:rtl/>
        </w:rPr>
        <w:t xml:space="preserve">×31</w:t>
      </w:r>
      <w:r>
        <w:rPr>
          <w:rFonts w:ascii="IRNazanin" w:hAnsi="IRNazanin" w:eastAsia="IRNazanin" w:cs="IRNazanin"/>
          <w:lang w:bidi="fa-IR"/>
          <w:color w:val="111111"/>
          <w:sz w:val="28"/>
          <w:szCs w:val="28"/>
          <w:rtl/>
        </w:rPr>
        <w:t xml:space="preserve">سم [ف: 23]</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قم؛ مرکز احیاء؛ شماره نسخه: 3900</w:t>
      </w:r>
    </w:p>
    <w:p>
      <w:pPr>
        <w:pStyle w:val="BookText"/>
      </w:pPr>
      <w:r>
        <w:rPr>
          <w:rFonts w:ascii="IRNazanin" w:hAnsi="IRNazanin" w:eastAsia="IRNazanin" w:cs="IRNazanin"/>
          <w:lang w:bidi="fa-IR"/>
          <w:color w:val="111111"/>
          <w:sz w:val="28"/>
          <w:szCs w:val="28"/>
          <w:rtl/>
        </w:rPr>
        <w:t xml:space="preserve">خط: نسخ، کا: محمد علی واعظ مشهور به فقیه ابن میرزا محمد بن ابراهيم بن اسماعیل تبریزی، تا: دوشنبه 11 ربيع الاول 1265ق، جا: تبریز؛ محشی؛ جلد: تیماج مشکی عطف پارچه ای ،مشکی 119گ، 17 سطر ، اندازه: 15/5</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 [محدث ارموی مخ: 1 - 115]</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تهران؛ حقوق؛ شماره نسخه : 334/1 - ج</w:t>
      </w:r>
    </w:p>
    <w:p>
      <w:pPr>
        <w:pStyle w:val="BookText"/>
      </w:pPr>
      <w:r>
        <w:rPr>
          <w:rFonts w:ascii="IRNazanin" w:hAnsi="IRNazanin" w:eastAsia="IRNazanin" w:cs="IRNazanin"/>
          <w:lang w:bidi="fa-IR"/>
          <w:color w:val="111111"/>
          <w:sz w:val="28"/>
          <w:szCs w:val="28"/>
          <w:rtl/>
        </w:rPr>
        <w:t xml:space="preserve">خط: نستعلیق، کا: محمد حسین بن ابی طالب حسینی سپاهانی، تا: پایان ربیع الثانى 1266 ق؛ مجدول؛ کاغذ: فرنگی رنگارنگ، جلد: تیماج سبز مقوایی تازه 121گ (2ر-97ر)، 20 سطر (6/5</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اندازه: 13/5</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سم[ف: 242]</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قم؛ مرعشی؛ شماره نسخه: 5854/1</w:t>
      </w:r>
    </w:p>
    <w:p>
      <w:pPr>
        <w:pStyle w:val="BookText"/>
      </w:pPr>
      <w:r>
        <w:rPr>
          <w:rFonts w:ascii="IRNazanin" w:hAnsi="IRNazanin" w:eastAsia="IRNazanin" w:cs="IRNazanin"/>
          <w:lang w:bidi="fa-IR"/>
          <w:color w:val="111111"/>
          <w:sz w:val="28"/>
          <w:szCs w:val="28"/>
          <w:rtl/>
        </w:rPr>
        <w:t xml:space="preserve">بخش اول؛ خط: نستعلیق، کا: عبدالباقی بن كاظم حسینی (قزوینی)، تا: دهه آخر ذیحجه 1269ق؛ جلد: تیماج قهوه ای، 94گ (1پ-94ر) ، اندازه: 13</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سم [ف: 15 - 236]</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قم؛ مرعشی؛ شماره نسخه: 1245/1</w:t>
      </w:r>
    </w:p>
    <w:p>
      <w:pPr>
        <w:pStyle w:val="BookText"/>
      </w:pPr>
      <w:r>
        <w:rPr>
          <w:rFonts w:ascii="IRNazanin" w:hAnsi="IRNazanin" w:eastAsia="IRNazanin" w:cs="IRNazanin"/>
          <w:lang w:bidi="fa-IR"/>
          <w:color w:val="111111"/>
          <w:sz w:val="28"/>
          <w:szCs w:val="28"/>
          <w:rtl/>
        </w:rPr>
        <w:t xml:space="preserve">جزء اول؛ خط: نسخ، بی کا، تا: جمعه 24 جمادی الثانی 1270ق؛ مصحح، محشی ،جلد: تیماج قهوه ای ضربی، 110گ (2پ- 112ر) اندازه: 15</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4 - 42]</w:t>
      </w:r>
    </w:p>
    <w:p>
      <w:pPr>
        <w:pStyle w:val="BookText"/>
      </w:pPr>
      <w:r>
        <w:rPr>
          <w:rFonts w:ascii="IRNazanin" w:hAnsi="IRNazanin" w:eastAsia="IRNazanin" w:cs="IRNazanin"/>
          <w:lang w:bidi="fa-IR"/>
          <w:color w:val="111111"/>
          <w:sz w:val="28"/>
          <w:szCs w:val="28"/>
          <w:rtl/>
        </w:rPr>
        <w:t xml:space="preserve">53 . مشهد؛ رضوی؛ شماره نسخه: 10754</w:t>
      </w:r>
    </w:p>
    <w:p>
      <w:pPr>
        <w:pStyle w:val="BookText"/>
      </w:pPr>
      <w:r>
        <w:rPr>
          <w:rFonts w:ascii="IRNazanin" w:hAnsi="IRNazanin" w:eastAsia="IRNazanin" w:cs="IRNazanin"/>
          <w:lang w:bidi="fa-IR"/>
          <w:color w:val="111111"/>
          <w:sz w:val="28"/>
          <w:szCs w:val="28"/>
          <w:rtl/>
        </w:rPr>
        <w:t xml:space="preserve">آغاز: عدل و لا تنفعها شفاعة و قال سبحانه و تعالى يا ايها الناس اتقوا ربكم؛ انجام و لا اذيقه حلاوة محبتی و علیک سلامی و</w:t>
      </w:r>
    </w:p>
    <w:p>
      <w:pPr>
        <w:pStyle w:val="BookText"/>
      </w:pPr>
      <w:r>
        <w:rPr>
          <w:rFonts w:ascii="IRNazanin" w:hAnsi="IRNazanin" w:eastAsia="IRNazanin" w:cs="IRNazanin"/>
          <w:lang w:bidi="fa-IR"/>
          <w:color w:val="111111"/>
          <w:sz w:val="28"/>
          <w:szCs w:val="28"/>
          <w:rtl/>
        </w:rPr>
        <w:t xml:space="preserve">رحمتی.</w:t>
      </w:r>
    </w:p>
    <w:p>
      <w:pPr>
        <w:pStyle w:val="BookText"/>
      </w:pPr>
      <w:r>
        <w:rPr>
          <w:rFonts w:ascii="IRNazanin" w:hAnsi="IRNazanin" w:eastAsia="IRNazanin" w:cs="IRNazanin"/>
          <w:lang w:bidi="fa-IR"/>
          <w:color w:val="111111"/>
          <w:sz w:val="28"/>
          <w:szCs w:val="28"/>
          <w:rtl/>
        </w:rPr>
        <w:t xml:space="preserve">جلد 1؛ خط: نستعلیق ،خوش ،کا ،ابوالقاسم، تا: 16 ربيع الثاني 1290ق؛ کاتب پس از آن می نویسد این حدیث شریف در آخر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45" w:name="pg20365_260061"/>
    <w:bookmarkEnd w:id="45"/>
    <w:p>
      <w:pPr>
        <w:pStyle w:val="BookText"/>
      </w:pPr>
      <w:r>
        <w:rPr>
          <w:rFonts w:ascii="IRNazanin" w:hAnsi="IRNazanin" w:eastAsia="IRNazanin" w:cs="IRNazanin"/>
          <w:lang w:bidi="fa-IR"/>
          <w:color w:val="111111"/>
          <w:sz w:val="28"/>
          <w:szCs w:val="28"/>
          <w:rtl/>
        </w:rPr>
        <w:t xml:space="preserve">نسخه این کتاب بوده «و روی آن موسی ناجى ربه فقال له الرب  تعالی یا موسى هل عملت لى عملاً قط. .. و من اعتصم بالله جل»؛ واقف آقا محمد ایرانی مجرد، بهمن 1350 ؛کاغذ: نباتی آهار مهره، جلد: تیماج ،عنابی اندازه: 17/1</w:t>
      </w:r>
      <w:r>
        <w:rPr>
          <w:rFonts w:ascii="Times New Roman" w:hAnsi="Times New Roman" w:eastAsia="Times New Roman" w:cs="Times New Roman"/>
          <w:lang w:val="en-US" w:bidi="en-US"/>
          <w:color w:val="111111"/>
          <w:sz w:val="28"/>
          <w:szCs w:val="28"/>
          <w:rtl/>
        </w:rPr>
        <w:t xml:space="preserve">×21/8</w:t>
      </w:r>
      <w:r>
        <w:rPr>
          <w:rFonts w:ascii="IRNazanin" w:hAnsi="IRNazanin" w:eastAsia="IRNazanin" w:cs="IRNazanin"/>
          <w:lang w:bidi="fa-IR"/>
          <w:color w:val="111111"/>
          <w:sz w:val="28"/>
          <w:szCs w:val="28"/>
          <w:rtl/>
        </w:rPr>
        <w:t xml:space="preserve">سم :[ ف : 14- 48 ]</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قم؛ مرکز احیاء؛ شماره نسخه: 3692</w:t>
      </w:r>
    </w:p>
    <w:p>
      <w:pPr>
        <w:pStyle w:val="BookText"/>
      </w:pPr>
      <w:r>
        <w:rPr>
          <w:rFonts w:ascii="IRNazanin" w:hAnsi="IRNazanin" w:eastAsia="IRNazanin" w:cs="IRNazanin"/>
          <w:lang w:bidi="fa-IR"/>
          <w:color w:val="111111"/>
          <w:sz w:val="28"/>
          <w:szCs w:val="28"/>
          <w:rtl/>
        </w:rPr>
        <w:t xml:space="preserve">انجام: حليها او زينتها لا يجاورنى فى داری و لانزعن محبتی قلبه و علیک سلامی و رحمتی</w:t>
      </w:r>
    </w:p>
    <w:p>
      <w:pPr>
        <w:pStyle w:val="BookText"/>
      </w:pPr>
      <w:r>
        <w:rPr>
          <w:rFonts w:ascii="IRNazanin" w:hAnsi="IRNazanin" w:eastAsia="IRNazanin" w:cs="IRNazanin"/>
          <w:lang w:bidi="fa-IR"/>
          <w:color w:val="111111"/>
          <w:sz w:val="28"/>
          <w:szCs w:val="28"/>
          <w:rtl/>
        </w:rPr>
        <w:t xml:space="preserve">جلد اول؛ خط: نسخ، کا: میرزا محمد علی، تا: قرن 14؛ مصحح، محشی، در دو برگ آخر اشعاری در مدح کتاب؛ جلد: تیماج مشکی ضربی، 70گ، 26 سطر ، اندازه: 20</w:t>
      </w:r>
      <w:r>
        <w:rPr>
          <w:rFonts w:ascii="Times New Roman" w:hAnsi="Times New Roman" w:eastAsia="Times New Roman" w:cs="Times New Roman"/>
          <w:lang w:val="en-US" w:bidi="en-US"/>
          <w:color w:val="111111"/>
          <w:sz w:val="28"/>
          <w:szCs w:val="28"/>
          <w:rtl/>
        </w:rPr>
        <w:t xml:space="preserve">× 26 </w:t>
      </w:r>
      <w:r>
        <w:rPr>
          <w:rFonts w:ascii="IRNazanin" w:hAnsi="IRNazanin" w:eastAsia="IRNazanin" w:cs="IRNazanin"/>
          <w:lang w:bidi="fa-IR"/>
          <w:color w:val="111111"/>
          <w:sz w:val="28"/>
          <w:szCs w:val="28"/>
          <w:rtl/>
        </w:rPr>
        <w:t xml:space="preserve">سم [محدث ارموی مخ: 1 - 115]</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مشهد؛ مدرسه آیة الله خوئی؛ شماره نسخه: 78</w:t>
      </w:r>
    </w:p>
    <w:p>
      <w:pPr>
        <w:pStyle w:val="BookText"/>
      </w:pPr>
      <w:r>
        <w:rPr>
          <w:rFonts w:ascii="IRNazanin" w:hAnsi="IRNazanin" w:eastAsia="IRNazanin" w:cs="IRNazanin"/>
          <w:lang w:bidi="fa-IR"/>
          <w:color w:val="111111"/>
          <w:sz w:val="28"/>
          <w:szCs w:val="28"/>
          <w:rtl/>
        </w:rPr>
        <w:t xml:space="preserve">جلد اول کتاب و بخش اخلاقی آن می باشد؛ خط: نستعلیق، ابو القاسم بن حاجی مرتضی خان، تا: دوشنبه 14 جمادی الثانی 1302ق، جا: طهران؛ جلد: تیماج قهوه ای، 163گ، 13 سطر ، اندازه: 17</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50]</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مشهد؛ رضوی؛ شماره نسخه: 34862</w:t>
      </w:r>
    </w:p>
    <w:p>
      <w:pPr>
        <w:pStyle w:val="BookText"/>
      </w:pPr>
      <w:r>
        <w:rPr>
          <w:rFonts w:ascii="IRNazanin" w:hAnsi="IRNazanin" w:eastAsia="IRNazanin" w:cs="IRNazanin"/>
          <w:lang w:bidi="fa-IR"/>
          <w:color w:val="111111"/>
          <w:sz w:val="28"/>
          <w:szCs w:val="28"/>
          <w:rtl/>
        </w:rPr>
        <w:t xml:space="preserve">آغاز: بسمله روی عن النبي صلى الله عليه و آله انه قال لاخی علی بن ابيطالب (علیه السّلام) فضائل لا تحصى</w:t>
      </w:r>
    </w:p>
    <w:p>
      <w:pPr>
        <w:pStyle w:val="BookText"/>
      </w:pPr>
      <w:r>
        <w:rPr>
          <w:rFonts w:ascii="IRNazanin" w:hAnsi="IRNazanin" w:eastAsia="IRNazanin" w:cs="IRNazanin"/>
          <w:lang w:bidi="fa-IR"/>
          <w:color w:val="111111"/>
          <w:sz w:val="28"/>
          <w:szCs w:val="28"/>
          <w:rtl/>
        </w:rPr>
        <w:t xml:space="preserve">جلد دوم؛ خط: نسخ، كا: محمد خليل بن محمد هاشم شیرازی؛ تا: 19 شوال 1307ق؛مصحح، محشی؛ کاغذ: نخودی آهار مهره فرنگی، جلد: تیماج زرشکی ضربی با ترنج و دو سرترنج و چهار لچکی ،منقش 21 سطر [اهدائى - ف: 2 اخبار 1 - 88]</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نجف آباد؛حججی؛ شماره نسخه: 87/1</w:t>
      </w:r>
    </w:p>
    <w:p>
      <w:pPr>
        <w:pStyle w:val="BookText"/>
      </w:pPr>
      <w:r>
        <w:rPr>
          <w:rFonts w:ascii="IRNazanin" w:hAnsi="IRNazanin" w:eastAsia="IRNazanin" w:cs="IRNazanin"/>
          <w:lang w:bidi="fa-IR"/>
          <w:color w:val="111111"/>
          <w:sz w:val="28"/>
          <w:szCs w:val="28"/>
          <w:rtl/>
        </w:rPr>
        <w:t xml:space="preserve">آغاز: فلما خرجت من عنده سألها نساؤها. .. الباب الخامس فی التخويف و الترهيب قال رسول الله (صلّی اللَّهِ علیه وَ آلِهِ وَ سَلَّمَ ) انه ليظهر النفاق و ترفع الامانة؛ انجام: انى غفرت لشيعة على بن أبى طالب و محبیه ذنوبهما جميعاً والحمد لله .. و هذا ما أردنا انتخابه من الديلمي اذ كتابنا هذا لا يسع ان يجمع ما اورده الديلمى من الأخبار فاختصرنا على هذه منه من غير سام و لا ملالة و لكن لقصور  المحل عن سعة الاطالة والله الموفق للصواب و اليه المآب.</w:t>
      </w:r>
    </w:p>
    <w:p>
      <w:pPr>
        <w:pStyle w:val="BookText"/>
      </w:pPr>
      <w:r>
        <w:rPr>
          <w:rFonts w:ascii="IRNazanin" w:hAnsi="IRNazanin" w:eastAsia="IRNazanin" w:cs="IRNazanin"/>
          <w:lang w:bidi="fa-IR"/>
          <w:color w:val="111111"/>
          <w:sz w:val="28"/>
          <w:szCs w:val="28"/>
          <w:rtl/>
        </w:rPr>
        <w:t xml:space="preserve">گزیده ای است از ارشاد القلوب است نام گزین کننده به دست نیامد. محتمل است از کاتب نسخه «قطب الدین لاهيجى» باشد؛ خط: نسخ، کا: ملا قطب الدین لاهیجی، بی تا :جلد: تیماج مشکی ، عطف پارچه سفید، 66گ (1ر - 66ر)، 17 سطر ، اندازه: 18</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137]</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قم؛ فیضیه؛ شماره نسخه: 1849</w:t>
      </w:r>
    </w:p>
    <w:p>
      <w:pPr>
        <w:pStyle w:val="BookText"/>
      </w:pPr>
      <w:r>
        <w:rPr>
          <w:rFonts w:ascii="IRNazanin" w:hAnsi="IRNazanin" w:eastAsia="IRNazanin" w:cs="IRNazanin"/>
          <w:lang w:bidi="fa-IR"/>
          <w:color w:val="111111"/>
          <w:sz w:val="28"/>
          <w:szCs w:val="28"/>
          <w:rtl/>
        </w:rPr>
        <w:t xml:space="preserve">خط: نسخ، بی کا، بی تا؛ 206گ، 14 سطر ، اندازه: 17</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سم [ف:1- 9]</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تهران؛ ملی؛ شماره نسخه: 2956</w:t>
      </w:r>
    </w:p>
    <w:p>
      <w:pPr>
        <w:pStyle w:val="BookText"/>
      </w:pPr>
      <w:r>
        <w:rPr>
          <w:rFonts w:ascii="IRNazanin" w:hAnsi="IRNazanin" w:eastAsia="IRNazanin" w:cs="IRNazanin"/>
          <w:lang w:bidi="fa-IR"/>
          <w:color w:val="111111"/>
          <w:sz w:val="28"/>
          <w:szCs w:val="28"/>
          <w:rtl/>
        </w:rPr>
        <w:t xml:space="preserve">آغاز: برابر؛ انجام: و فيما عندى من الثواب راغباً و من عذابی راهباً و لاحبائي قريباً.</w:t>
      </w:r>
    </w:p>
    <w:p>
      <w:pPr>
        <w:pStyle w:val="BookText"/>
      </w:pPr>
      <w:r>
        <w:rPr>
          <w:rFonts w:ascii="IRNazanin" w:hAnsi="IRNazanin" w:eastAsia="IRNazanin" w:cs="IRNazanin"/>
          <w:lang w:bidi="fa-IR"/>
          <w:color w:val="111111"/>
          <w:sz w:val="28"/>
          <w:szCs w:val="28"/>
          <w:rtl/>
        </w:rPr>
        <w:t xml:space="preserve">بخش اول؛ خط: نسخ، بی کا، بی تا؛ افتادگی: انجام ؛کاغذ: اصفهانی ،نخودی، جلد: تیماج عنابی مقوایی عطف تیماج تریاکی روشن ترنج با طرح طاووس، 150گ، 15 سطر (5/5</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11</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14 - 64]</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تهران؛ مجلس؛ شماره نسخه: 4943/8</w:t>
      </w:r>
    </w:p>
    <w:p>
      <w:pPr>
        <w:pStyle w:val="BookText"/>
      </w:pPr>
      <w:r>
        <w:rPr>
          <w:rFonts w:ascii="IRNazanin" w:hAnsi="IRNazanin" w:eastAsia="IRNazanin" w:cs="IRNazanin"/>
          <w:lang w:bidi="fa-IR"/>
          <w:color w:val="111111"/>
          <w:sz w:val="28"/>
          <w:szCs w:val="28"/>
          <w:rtl/>
        </w:rPr>
        <w:t xml:space="preserve">آغاز: روى عن الصادق (علیه السّلام) ان ابابكر لقى اميرالمؤمنين (علیه السّلام) في سكة بنى النجار فسلم عليه و صافحا و قال له يا ابالحسن؛ انجام: بشری یابن ابیطالب صدقت ظنونک و حق قولك، و انصرف امير المؤمنين الى منزله و كان هذا من دلائله عليه السلام</w:t>
      </w:r>
    </w:p>
    <w:p>
      <w:pPr>
        <w:pStyle w:val="BookText"/>
      </w:pPr>
      <w:r>
        <w:rPr>
          <w:rFonts w:ascii="IRNazanin" w:hAnsi="IRNazanin" w:eastAsia="IRNazanin" w:cs="IRNazanin"/>
          <w:lang w:bidi="fa-IR"/>
          <w:color w:val="111111"/>
          <w:sz w:val="28"/>
          <w:szCs w:val="28"/>
          <w:rtl/>
        </w:rPr>
        <w:t xml:space="preserve">خط: نسخ ،چلیپا، بی کا، بی تا؛ کاغذ: سمرقندی، جلد:تیماج کبود با لولا، 4 گ،(69پ - 72ر)، 15 سطر (6</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 اندازه: 13</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14 - 199]</w:t>
      </w:r>
    </w:p>
    <w:p>
      <w:pPr>
        <w:pStyle w:val="Heading3"/>
      </w:pPr>
      <w:bookmarkStart w:id="610" w:name="_Toc132"/>
      <w:r>
        <w:t>ارشاد القلوب ترجمه و شرح) / حدیث / فارسی</w:t>
      </w:r>
      <w:bookmarkEnd w:id="610"/>
    </w:p>
    <w:p>
      <w:pPr>
        <w:pStyle w:val="BookText"/>
      </w:pPr>
      <w:r>
        <w:rPr>
          <w:rFonts w:ascii="Times New Roman" w:hAnsi="Times New Roman" w:eastAsia="Times New Roman" w:cs="Times New Roman"/>
          <w:lang w:val="en-US" w:bidi="en-US"/>
          <w:color w:val="111111"/>
          <w:sz w:val="28"/>
          <w:szCs w:val="28"/>
          <w:rtl/>
        </w:rPr>
        <w:t xml:space="preserve">iršād-ul qulūb (t. va s.)</w:t>
      </w:r>
    </w:p>
    <w:p>
      <w:pPr>
        <w:pStyle w:val="BookText"/>
      </w:pPr>
      <w:r>
        <w:rPr>
          <w:rFonts w:ascii="IRNazanin" w:hAnsi="IRNazanin" w:eastAsia="IRNazanin" w:cs="IRNazanin"/>
          <w:lang w:bidi="fa-IR"/>
          <w:color w:val="111111"/>
          <w:sz w:val="28"/>
          <w:szCs w:val="28"/>
          <w:rtl/>
        </w:rPr>
        <w:t xml:space="preserve">هرندی، محمد مهدی</w:t>
      </w:r>
    </w:p>
    <w:p>
      <w:pPr>
        <w:pStyle w:val="BookText"/>
      </w:pPr>
      <w:r>
        <w:rPr>
          <w:rFonts w:ascii="Times New Roman" w:hAnsi="Times New Roman" w:eastAsia="Times New Roman" w:cs="Times New Roman"/>
          <w:lang w:val="en-US" w:bidi="en-US"/>
          <w:color w:val="111111"/>
          <w:sz w:val="28"/>
          <w:szCs w:val="28"/>
          <w:rtl/>
        </w:rPr>
        <w:t xml:space="preserve">harandi, mohammad mahdī</w:t>
      </w:r>
    </w:p>
    <w:p>
      <w:pPr>
        <w:pStyle w:val="BookText"/>
      </w:pPr>
      <w:r>
        <w:rPr>
          <w:rFonts w:ascii="IRNazanin" w:hAnsi="IRNazanin" w:eastAsia="IRNazanin" w:cs="IRNazanin"/>
          <w:lang w:bidi="fa-IR"/>
          <w:color w:val="111111"/>
          <w:sz w:val="28"/>
          <w:szCs w:val="28"/>
          <w:rtl/>
        </w:rPr>
        <w:t xml:space="preserve">وابسته به: ارشاد القلوب الى الصواب المنجى من عمل به من اليم العقاب؛ دیلمی، حسن بن محمد (-8)</w:t>
      </w:r>
    </w:p>
    <w:p>
      <w:pPr>
        <w:pStyle w:val="BookText"/>
      </w:pPr>
      <w:r>
        <w:rPr>
          <w:rFonts w:ascii="Amiri" w:hAnsi="Amiri" w:eastAsia="Amiri" w:cs="Amiri"/>
          <w:lang w:bidi="ar-SA"/>
          <w:color w:val="111111"/>
          <w:sz w:val="28"/>
          <w:szCs w:val="28"/>
          <w:rtl/>
        </w:rPr>
        <w:t xml:space="preserve">محل تأليف: 1160ق، محل تأليف: قريه هرند</w:t>
      </w:r>
    </w:p>
    <w:p>
      <w:pPr>
        <w:pStyle w:val="BookText"/>
      </w:pPr>
      <w:r>
        <w:rPr>
          <w:rFonts w:ascii="IRNazanin" w:hAnsi="IRNazanin" w:eastAsia="IRNazanin" w:cs="IRNazanin"/>
          <w:lang w:bidi="fa-IR"/>
          <w:color w:val="111111"/>
          <w:sz w:val="28"/>
          <w:szCs w:val="28"/>
          <w:rtl/>
        </w:rPr>
        <w:t xml:space="preserve">ترجمه سلیس و روانی است از «ارشاد القلوب» که درمواعظ و فضایل امیر مؤمنان است. طبق گفته مؤلف در اول کتاب، او این ترجمه را در دوره بلوای اصفهان که توسط اعوان علیمردان به انجام رسانیده است.</w:t>
      </w:r>
    </w:p>
    <w:p>
      <w:pPr>
        <w:pStyle w:val="BookText"/>
      </w:pPr>
      <w:r>
        <w:rPr>
          <w:rFonts w:ascii="IRNazanin" w:hAnsi="IRNazanin" w:eastAsia="IRNazanin" w:cs="IRNazanin"/>
          <w:lang w:bidi="fa-IR"/>
          <w:color w:val="111111"/>
          <w:sz w:val="28"/>
          <w:szCs w:val="28"/>
          <w:rtl/>
        </w:rPr>
        <w:t xml:space="preserve">آغاز: حمدله... اما بعد چنین گوید فقیر الی الله الغنى محمد باقر. .. چون دراوان انقلاب اصفهان و نهب اعوان علیمردان</w:t>
      </w:r>
    </w:p>
    <w:p>
      <w:pPr>
        <w:pStyle w:val="BookText"/>
      </w:pPr>
      <w:r>
        <w:rPr>
          <w:rFonts w:ascii="IRNazanin" w:hAnsi="IRNazanin" w:eastAsia="IRNazanin" w:cs="IRNazanin"/>
          <w:lang w:bidi="fa-IR"/>
          <w:color w:val="111111"/>
          <w:sz w:val="28"/>
          <w:szCs w:val="28"/>
          <w:rtl/>
        </w:rPr>
        <w:t xml:space="preserve">قم؛ مسجد اعظم؛ شماره نسخه: 1214/1</w:t>
      </w:r>
    </w:p>
    <w:p>
      <w:pPr>
        <w:pStyle w:val="BookText"/>
      </w:pPr>
      <w:r>
        <w:rPr>
          <w:rFonts w:ascii="IRNazanin" w:hAnsi="IRNazanin" w:eastAsia="IRNazanin" w:cs="IRNazanin"/>
          <w:lang w:bidi="fa-IR"/>
          <w:color w:val="111111"/>
          <w:sz w:val="28"/>
          <w:szCs w:val="28"/>
          <w:rtl/>
        </w:rPr>
        <w:t xml:space="preserve">آغاز: حمدله... اما بعد چنین گوید فقیر الی الله الغنى محمد باقر. .. چون دراوان انقلاب اصفهان و نهب اعوان علیمردان؛ انجام: پس من چیزی از او بازگیرم و او صبر کندو مسرور باشد میدهم اورا سه خصلت که اگر یکی از آنها را به ملائکه خود دهم از او راضی شوند.</w:t>
      </w:r>
    </w:p>
    <w:p>
      <w:pPr>
        <w:pStyle w:val="BookText"/>
      </w:pPr>
      <w:r>
        <w:rPr>
          <w:rFonts w:ascii="IRNazanin" w:hAnsi="IRNazanin" w:eastAsia="IRNazanin" w:cs="IRNazanin"/>
          <w:lang w:bidi="fa-IR"/>
          <w:color w:val="111111"/>
          <w:sz w:val="28"/>
          <w:szCs w:val="28"/>
          <w:rtl/>
        </w:rPr>
        <w:t xml:space="preserve">خط ،شکسته، نستعلیق، کا: ابوالحسن بن قاسمعلی اشکوری، تا: 1314ق، جا: مشهد، مدرسه مستشار؛ جلد: تیماج مشكى عطف قهوه ای بدون مقوا، 70گ 20 سطر ، اندازه: 16/5</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مخ: 1 - 440]</w:t>
      </w:r>
    </w:p>
    <w:p>
      <w:pPr>
        <w:pStyle w:val="Heading3"/>
      </w:pPr>
      <w:bookmarkStart w:id="611" w:name="_Toc133"/>
      <w:r>
        <w:t>ارشاد القلوب (ترجمه و تلخیص) / داستان / فارسی</w:t>
      </w:r>
      <w:bookmarkEnd w:id="611"/>
    </w:p>
    <w:p>
      <w:pPr>
        <w:pStyle w:val="BookText"/>
      </w:pPr>
      <w:r>
        <w:rPr>
          <w:rFonts w:ascii="Times New Roman" w:hAnsi="Times New Roman" w:eastAsia="Times New Roman" w:cs="Times New Roman"/>
          <w:lang w:val="en-US" w:bidi="en-US"/>
          <w:color w:val="111111"/>
          <w:sz w:val="28"/>
          <w:szCs w:val="28"/>
          <w:rtl/>
        </w:rPr>
        <w:t xml:space="preserve">iršād-ul qulub (t. va talxīs)</w:t>
      </w:r>
    </w:p>
    <w:p>
      <w:pPr>
        <w:pStyle w:val="BookText"/>
      </w:pPr>
      <w:r>
        <w:rPr>
          <w:rFonts w:ascii="IRNazanin" w:hAnsi="IRNazanin" w:eastAsia="IRNazanin" w:cs="IRNazanin"/>
          <w:lang w:bidi="fa-IR"/>
          <w:color w:val="111111"/>
          <w:sz w:val="28"/>
          <w:szCs w:val="28"/>
          <w:rtl/>
        </w:rPr>
        <w:t xml:space="preserve">تألیفی مستقل به شیوه ترجمه و تلخیص «ارشاد القلوب» است مشتمل بر 84 باب در پند و اندرز و دستورات اخلاقی قرآن کریم و احادیث نبی اکرم (صلّی اللَّهِ علیه وَ آلِهِ وَ سَلَّمَ ) همراه با حکایات و داستانهای آموزنده. این نسخه در باب 52 ختم شده و ممکن است ادامه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46" w:name="pg20365_260062"/>
    <w:bookmarkEnd w:id="46"/>
    <w:p>
      <w:pPr>
        <w:pStyle w:val="BookText"/>
      </w:pPr>
      <w:r>
        <w:rPr>
          <w:rFonts w:ascii="IRNazanin" w:hAnsi="IRNazanin" w:eastAsia="IRNazanin" w:cs="IRNazanin"/>
          <w:lang w:bidi="fa-IR"/>
          <w:color w:val="111111"/>
          <w:sz w:val="28"/>
          <w:szCs w:val="28"/>
          <w:rtl/>
        </w:rPr>
        <w:t xml:space="preserve">باب های دیگر در مجلد دوم باشد. برگ اول و آخر الحاقی است. به نقل از الذریعه، کتاب ارشاد القلوب توسط شیخ شريف الدين يحيى بن عز الدين حسين بن عشيرة بن ناصر البحرانی شاگرد و نایب محقق کرکی تلخیص گردیده اما همان گونه بیان شد با مقابله ای که به عمل آمد با آن کتاب تطبیق نمی کند.</w:t>
      </w:r>
    </w:p>
    <w:p>
      <w:pPr>
        <w:pStyle w:val="BookText"/>
      </w:pPr>
      <w:r>
        <w:rPr>
          <w:rFonts w:ascii="IRNazanin" w:hAnsi="IRNazanin" w:eastAsia="IRNazanin" w:cs="IRNazanin"/>
          <w:lang w:bidi="fa-IR"/>
          <w:color w:val="111111"/>
          <w:sz w:val="28"/>
          <w:szCs w:val="28"/>
          <w:rtl/>
        </w:rPr>
        <w:t xml:space="preserve">برخی از ابواب آن چنین است: 1. ذکر الدنيا؛ 2. زهد الدنيا؛3. ذم الدنيا؛ 4. ذكر الصالحين؛ 5. عمل العالم ؛ 6. فضل طالب العلم؛ 7. فضل علم العلماء؛ 8 .الرياء (باب هاب 9،8و 10 مذكور نیست؛ 11. الاخلاص ؛ 12. ذكر الموت؛ 13. هول .14. هول يوم القيامة ( ايضا ) ؛ 15. صفة النار ؛. .. 52. فضيلت روز عاشورا (كذا).</w:t>
      </w:r>
    </w:p>
    <w:p>
      <w:pPr>
        <w:pStyle w:val="BookText"/>
      </w:pPr>
      <w:r>
        <w:rPr>
          <w:rFonts w:ascii="IRNazanin" w:hAnsi="IRNazanin" w:eastAsia="IRNazanin" w:cs="IRNazanin"/>
          <w:lang w:bidi="fa-IR"/>
          <w:color w:val="111111"/>
          <w:sz w:val="28"/>
          <w:szCs w:val="28"/>
          <w:rtl/>
        </w:rPr>
        <w:t xml:space="preserve">مشهد؛ گوهر شاد؛ شماره نسخه: 1639</w:t>
      </w:r>
    </w:p>
    <w:p>
      <w:pPr>
        <w:pStyle w:val="BookText"/>
      </w:pPr>
      <w:r>
        <w:rPr>
          <w:rFonts w:ascii="IRNazanin" w:hAnsi="IRNazanin" w:eastAsia="IRNazanin" w:cs="IRNazanin"/>
          <w:lang w:bidi="fa-IR"/>
          <w:color w:val="111111"/>
          <w:sz w:val="28"/>
          <w:szCs w:val="28"/>
          <w:rtl/>
        </w:rPr>
        <w:t xml:space="preserve">آغاز: باب الثالث والاربعين فى فضل الصلاة باب الرابع و الاربعين في فضل نماز الجماعت، باب الخامس و الاربعين نمازهای تطوع.</w:t>
      </w:r>
    </w:p>
    <w:p>
      <w:pPr>
        <w:pStyle w:val="BookText"/>
      </w:pPr>
      <w:r>
        <w:rPr>
          <w:rFonts w:ascii="IRNazanin" w:hAnsi="IRNazanin" w:eastAsia="IRNazanin" w:cs="IRNazanin"/>
          <w:lang w:bidi="fa-IR"/>
          <w:color w:val="111111"/>
          <w:sz w:val="28"/>
          <w:szCs w:val="28"/>
          <w:rtl/>
        </w:rPr>
        <w:t xml:space="preserve">آغاز: برگ الحاقي: بسمله. حمدله. اما بعد این دو کلمه ایست در باب دنیا و آخرت تا همه به فکر آخرت بوده باشند و دوکلمه این کتاب حدیث استفسار کرده ایم ... فهرست الاول در ذکر الدنیا؛ انجام: گفت بلی که خدای تعالی روز عاشورا آفریده است و کوهها و درختان و بر و بحر و وحوش و طیور و .زمین انجام:برگ الحاقی: و حق تعالی می فرماید که خمسين الف سنة مقدار  پنجاه هزار سال باشد تمت الكلام.</w:t>
      </w:r>
    </w:p>
    <w:p>
      <w:pPr>
        <w:pStyle w:val="BookText"/>
      </w:pPr>
      <w:r>
        <w:rPr>
          <w:rFonts w:ascii="IRNazanin" w:hAnsi="IRNazanin" w:eastAsia="IRNazanin" w:cs="IRNazanin"/>
          <w:lang w:bidi="fa-IR"/>
          <w:color w:val="111111"/>
          <w:sz w:val="28"/>
          <w:szCs w:val="28"/>
          <w:rtl/>
        </w:rPr>
        <w:t xml:space="preserve">خط: نسخ ،خوش، بی کا، تا :قرن 11؛ واقف: سيد سعيد طباطبائی 1332؛ کاغذ: نخودی آهار مهره ،جلد: تیماج یک لا مشکی 178گ، 14 سطر ، قطع: ربعی اندازه: 13</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سم [ف: 5 - 51]</w:t>
      </w:r>
    </w:p>
    <w:p>
      <w:pPr>
        <w:pStyle w:val="Heading3"/>
      </w:pPr>
      <w:bookmarkStart w:id="612" w:name="_Toc134"/>
      <w:r>
        <w:t>ارشاد القلوب (منتخب) / حدیث / عربی</w:t>
      </w:r>
      <w:bookmarkEnd w:id="612"/>
    </w:p>
    <w:p>
      <w:pPr>
        <w:pStyle w:val="BookText"/>
      </w:pPr>
      <w:r>
        <w:rPr>
          <w:rFonts w:ascii="Times New Roman" w:hAnsi="Times New Roman" w:eastAsia="Times New Roman" w:cs="Times New Roman"/>
          <w:lang w:val="en-US" w:bidi="en-US"/>
          <w:color w:val="111111"/>
          <w:sz w:val="28"/>
          <w:szCs w:val="28"/>
          <w:rtl/>
        </w:rPr>
        <w:t xml:space="preserve">iršād-ul-qulūb (mn.)</w:t>
      </w:r>
    </w:p>
    <w:p>
      <w:pPr>
        <w:pStyle w:val="BookText"/>
      </w:pPr>
      <w:r>
        <w:rPr>
          <w:rFonts w:ascii="IRNazanin" w:hAnsi="IRNazanin" w:eastAsia="IRNazanin" w:cs="IRNazanin"/>
          <w:lang w:bidi="fa-IR"/>
          <w:color w:val="111111"/>
          <w:sz w:val="28"/>
          <w:szCs w:val="28"/>
          <w:rtl/>
        </w:rPr>
        <w:t xml:space="preserve">وابسته به: ارشاد القلوب الى الصواب المنجى من عمل به من الیم العقاب ،دیلمی، حسن بن محمد (-8)</w:t>
      </w:r>
    </w:p>
    <w:p>
      <w:pPr>
        <w:pStyle w:val="BookText"/>
      </w:pPr>
      <w:r>
        <w:rPr>
          <w:rFonts w:ascii="IRNazanin" w:hAnsi="IRNazanin" w:eastAsia="IRNazanin" w:cs="IRNazanin"/>
          <w:lang w:bidi="fa-IR"/>
          <w:color w:val="111111"/>
          <w:sz w:val="28"/>
          <w:szCs w:val="28"/>
          <w:rtl/>
        </w:rPr>
        <w:t xml:space="preserve">انتخاب از«ارشاد القلوب» دیلمی است که تهیه کننده آن در نجف اشرف به انتخاب از آن کتاب پرداخته است. انتخاب کننده خود بالای صفحه دوم (ص 122) نوشته «المنتخب من ارشاد الديلمي في النجف الاشرف ورقه الا نصف صفحه تقريبا.</w:t>
      </w:r>
    </w:p>
    <w:p>
      <w:pPr>
        <w:pStyle w:val="BookText"/>
      </w:pPr>
      <w:r>
        <w:rPr>
          <w:rFonts w:ascii="IRNazanin" w:hAnsi="IRNazanin" w:eastAsia="IRNazanin" w:cs="IRNazanin"/>
          <w:lang w:bidi="fa-IR"/>
          <w:color w:val="111111"/>
          <w:sz w:val="28"/>
          <w:szCs w:val="28"/>
          <w:rtl/>
        </w:rPr>
        <w:t xml:space="preserve">تهران؛ مجلس؛ شماره نسخه: 900/2- طباطبائی</w:t>
      </w:r>
    </w:p>
    <w:p>
      <w:pPr>
        <w:pStyle w:val="BookText"/>
      </w:pPr>
      <w:r>
        <w:rPr>
          <w:rFonts w:ascii="IRNazanin" w:hAnsi="IRNazanin" w:eastAsia="IRNazanin" w:cs="IRNazanin"/>
          <w:lang w:bidi="fa-IR"/>
          <w:color w:val="111111"/>
          <w:sz w:val="28"/>
          <w:szCs w:val="28"/>
          <w:rtl/>
        </w:rPr>
        <w:t xml:space="preserve">آغاز: فى ارشاد القلوب اللديلمى فى حديث طويل امر الله تعالی النبى بسد ابواب المسجد</w:t>
      </w:r>
    </w:p>
    <w:p>
      <w:pPr>
        <w:pStyle w:val="BookText"/>
      </w:pPr>
      <w:r>
        <w:rPr>
          <w:rFonts w:ascii="IRNazanin" w:hAnsi="IRNazanin" w:eastAsia="IRNazanin" w:cs="IRNazanin"/>
          <w:lang w:bidi="fa-IR"/>
          <w:color w:val="111111"/>
          <w:sz w:val="28"/>
          <w:szCs w:val="28"/>
          <w:rtl/>
        </w:rPr>
        <w:t xml:space="preserve">خط: نستعلیق، بی کا، تا: قرن 13 ؛کاغذ: فرنگی آهار مهره سفید، جلد: تيماج ،مشکی، 66گ قطع : خشتی، اندازه: 16</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[ 197 - 23 ]</w:t>
      </w:r>
    </w:p>
    <w:p>
      <w:pPr>
        <w:pStyle w:val="Heading3"/>
      </w:pPr>
      <w:bookmarkStart w:id="613" w:name="_Toc135"/>
      <w:r>
        <w:t>الارشاد لمصالح الانفس والاجساد / طب / عربی</w:t>
      </w:r>
      <w:bookmarkEnd w:id="613"/>
    </w:p>
    <w:p>
      <w:pPr>
        <w:pStyle w:val="BookText"/>
      </w:pPr>
      <w:r>
        <w:rPr>
          <w:rFonts w:ascii="Times New Roman" w:hAnsi="Times New Roman" w:eastAsia="Times New Roman" w:cs="Times New Roman"/>
          <w:lang w:val="en-US" w:bidi="en-US"/>
          <w:color w:val="111111"/>
          <w:sz w:val="28"/>
          <w:szCs w:val="28"/>
          <w:rtl/>
        </w:rPr>
        <w:t xml:space="preserve">al-iršad li-masalih-il-anfus wa-l-ajsad</w:t>
      </w:r>
    </w:p>
    <w:p>
      <w:pPr>
        <w:pStyle w:val="BookText"/>
      </w:pPr>
      <w:r>
        <w:rPr>
          <w:rFonts w:ascii="Amiri" w:hAnsi="Amiri" w:eastAsia="Amiri" w:cs="Amiri"/>
          <w:lang w:bidi="ar-SA"/>
          <w:color w:val="111111"/>
          <w:sz w:val="28"/>
          <w:szCs w:val="28"/>
          <w:rtl/>
        </w:rPr>
        <w:t xml:space="preserve">ابن جميع اسماعيل بن هبة الله ، - 594؟ قمرى</w:t>
      </w:r>
    </w:p>
    <w:p>
      <w:pPr>
        <w:pStyle w:val="BookText"/>
      </w:pPr>
      <w:r>
        <w:rPr>
          <w:rFonts w:ascii="Times New Roman" w:hAnsi="Times New Roman" w:eastAsia="Times New Roman" w:cs="Times New Roman"/>
          <w:lang w:val="en-US" w:bidi="en-US"/>
          <w:color w:val="111111"/>
          <w:sz w:val="28"/>
          <w:szCs w:val="28"/>
          <w:rtl/>
        </w:rPr>
        <w:t xml:space="preserve">(ebn-e jamī ́, esma'il ebn-e hebat-ol-lah (- 1198)</w:t>
      </w:r>
    </w:p>
    <w:p>
      <w:pPr>
        <w:pStyle w:val="BookText"/>
      </w:pPr>
      <w:r>
        <w:rPr>
          <w:rFonts w:ascii="IRNazanin" w:hAnsi="IRNazanin" w:eastAsia="IRNazanin" w:cs="IRNazanin"/>
          <w:lang w:bidi="fa-IR"/>
          <w:color w:val="111111"/>
          <w:sz w:val="28"/>
          <w:szCs w:val="28"/>
          <w:rtl/>
        </w:rPr>
        <w:t xml:space="preserve">کتاب در طب که برای خزانه بزرگی از قاضیان که به نام وی در مقدمه تصريح نشده، تالیف شده است، دارای چهار «مقاله» هر کدام در چند «فصل»: 1. القوانين الكلية من صناعة الطب، در پنجاه «فصل»؛ 2. الادوية المفردة و الاغذية، در دو «فصل»؛ 3. حفظ الصحة و مداومةالامراض در چهل و دو «فصل»؛ 4. الادوية المركبة و الاغذية در بیست و دو «فصل».</w:t>
      </w:r>
    </w:p>
    <w:p>
      <w:pPr>
        <w:pStyle w:val="BookText"/>
      </w:pPr>
      <w:r>
        <w:rPr>
          <w:rFonts w:ascii="Amiri" w:hAnsi="Amiri" w:eastAsia="Amiri" w:cs="Amiri"/>
          <w:lang w:bidi="ar-SA"/>
          <w:color w:val="111111"/>
          <w:sz w:val="28"/>
          <w:szCs w:val="28"/>
          <w:rtl/>
        </w:rPr>
        <w:t xml:space="preserve">آغاز: اللهم عونك انه لما كان المجلس السامى الاجل المولوى القضائى الفاضلى حرس الله المحاسن بساحته.</w:t>
      </w:r>
    </w:p>
    <w:p>
      <w:pPr>
        <w:pStyle w:val="BookText"/>
      </w:pPr>
      <w:r>
        <w:rPr>
          <w:rFonts w:ascii="Amiri" w:hAnsi="Amiri" w:eastAsia="Amiri" w:cs="Amiri"/>
          <w:lang w:bidi="ar-SA"/>
          <w:color w:val="111111"/>
          <w:sz w:val="28"/>
          <w:szCs w:val="28"/>
          <w:rtl/>
        </w:rPr>
        <w:t xml:space="preserve">انجام: الملعقة ملعقتان ملعقة العسل  و هى أربع مثاقيل أربع مثاقيل و ملعقة الأدوية و هى مثقال واحد العرسا ربع درهم</w:t>
      </w:r>
    </w:p>
    <w:p>
      <w:pPr>
        <w:pStyle w:val="BookText"/>
      </w:pPr>
      <w:r>
        <w:rPr>
          <w:rFonts w:ascii="Amiri" w:hAnsi="Amiri" w:eastAsia="Amiri" w:cs="Amiri"/>
          <w:lang w:bidi="ar-SA"/>
          <w:color w:val="111111"/>
          <w:sz w:val="28"/>
          <w:szCs w:val="28"/>
          <w:rtl/>
        </w:rPr>
        <w:t xml:space="preserve">[مجله معهد المخطوطات 2/5 ص ع 25 ؛ معجم المؤلفين 137/13]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مرکز احیاء؛ شماره نسخه: 1479</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نسخه اصل: کتابخانه وايتكان - رم 308؛خط: نسخ معرب، کا:شريف على بن شريف شرف الدين عباد بن بطان بن الى بكر متطبب، تا: 1 رمضان 662ق، مصحح، قبل از کتاب معرفی آن به زبان ایتالیایی مندرج می باشد؛ 454 ص [ عکسی ف: 4 - 305]</w:t>
      </w:r>
    </w:p>
    <w:p>
      <w:pPr>
        <w:pStyle w:val="BookText"/>
      </w:pPr>
      <w:r>
        <w:rPr>
          <w:rFonts w:ascii="IRNazanin" w:hAnsi="IRNazanin" w:eastAsia="IRNazanin" w:cs="IRNazanin"/>
          <w:lang w:bidi="fa-IR"/>
          <w:color w:val="111111"/>
          <w:sz w:val="28"/>
          <w:szCs w:val="28"/>
          <w:rtl/>
        </w:rPr>
        <w:t xml:space="preserve">قم؛ مرعشی؛ شماره نسخه: 1972</w:t>
      </w:r>
    </w:p>
    <w:p>
      <w:pPr>
        <w:pStyle w:val="BookText"/>
      </w:pPr>
      <w:r>
        <w:rPr>
          <w:rFonts w:ascii="IRNazanin" w:hAnsi="IRNazanin" w:eastAsia="IRNazanin" w:cs="IRNazanin"/>
          <w:lang w:bidi="fa-IR"/>
          <w:color w:val="111111"/>
          <w:sz w:val="28"/>
          <w:szCs w:val="28"/>
          <w:rtl/>
        </w:rPr>
        <w:t xml:space="preserve">نسخه اصل: همان نسخه بالا [عکسی ف 5 - 391]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مجلس؛ شماره نسخه: 6883/2</w:t>
      </w:r>
    </w:p>
    <w:p>
      <w:pPr>
        <w:pStyle w:val="BookText"/>
      </w:pPr>
      <w:r>
        <w:rPr>
          <w:rFonts w:ascii="Amiri" w:hAnsi="Amiri" w:eastAsia="Amiri" w:cs="Amiri"/>
          <w:lang w:bidi="ar-SA"/>
          <w:color w:val="111111"/>
          <w:sz w:val="28"/>
          <w:szCs w:val="28"/>
          <w:rtl/>
        </w:rPr>
        <w:t xml:space="preserve">انجام: كعصارة عنب الثعلب و الكزبرة و الاس و ورق الزيتون الرطب و نحوها مع يسير من الكافور أو الماء المطبوخ فيه مثل</w:t>
      </w:r>
    </w:p>
    <w:p>
      <w:pPr>
        <w:pStyle w:val="BookText"/>
      </w:pPr>
      <w:r>
        <w:rPr>
          <w:rFonts w:ascii="IRNazanin" w:hAnsi="IRNazanin" w:eastAsia="IRNazanin" w:cs="IRNazanin"/>
          <w:lang w:bidi="fa-IR"/>
          <w:color w:val="111111"/>
          <w:sz w:val="28"/>
          <w:szCs w:val="28"/>
          <w:rtl/>
        </w:rPr>
        <w:t xml:space="preserve">الورد.</w:t>
      </w:r>
    </w:p>
    <w:p>
      <w:pPr>
        <w:pStyle w:val="BookText"/>
      </w:pPr>
      <w:r>
        <w:rPr>
          <w:rFonts w:ascii="IRNazanin" w:hAnsi="IRNazanin" w:eastAsia="IRNazanin" w:cs="IRNazanin"/>
          <w:lang w:bidi="fa-IR"/>
          <w:color w:val="111111"/>
          <w:sz w:val="28"/>
          <w:szCs w:val="28"/>
          <w:rtl/>
        </w:rPr>
        <w:t xml:space="preserve">از آغاز مقاله دوم تا فصل 24 از مقاله سوم؛ خط: نسخ، بی کا،تا: قرن 9؛ افتادگی: انجام؛ مصحح، در بدرقه کتاب نام کتاب و مؤلف به خط سید محمد علی بن محمد هاشم روضاتی اصفهانی؛ جلد: تیماج دورو قهوه ای، رو ضربی با ترنجو سرترنج عطف تيماج قهوه ای، 113گ 17 سطر ، اندازه: 15/5</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20 - 319]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قم ؛مرکز احیاء؛ شماره نسخه 1211 و عکسی 2164</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 نسخ، بی کا، تا: چهار شنبه سلخ ربیع الاول 1095ق، برای عماد الدين يحيى بن احمد بن لطف الباری ،مصحح، محشی</w:t>
      </w:r>
    </w:p>
    <w:p>
      <w:pPr>
        <w:pStyle w:val="BookText"/>
      </w:pPr>
      <w:r>
        <w:rPr>
          <w:rFonts w:ascii="IRNazanin" w:hAnsi="IRNazanin" w:eastAsia="IRNazanin" w:cs="IRNazanin"/>
          <w:lang w:bidi="fa-IR"/>
          <w:color w:val="111111"/>
          <w:sz w:val="28"/>
          <w:szCs w:val="28"/>
          <w:rtl/>
        </w:rPr>
        <w:t xml:space="preserve">؛ تملک: محمد بن احمد بن يحيى العربانی به تاریخ ربیع الاول 1175 در تعز، محمد بن حسین بن محمد عبدالشريف بن محمد زمان که کتاب را در مسقط از شیخ محمد کرمانی در سفر مکه خریده به تاریخ 17 محرم کمال1239؛ جلد: تیماج قهوه ای ، 208گ، مختلف السطر ، اندازه: 20</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4 - 14] و [عکسی ف: 6- 205 ]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47" w:name="pg20365_260063"/>
    <w:bookmarkEnd w:id="47"/>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تهران؛ ملک؛ شماره نسخه: 4489</w:t>
      </w:r>
    </w:p>
    <w:p>
      <w:pPr>
        <w:pStyle w:val="BookText"/>
      </w:pPr>
      <w:r>
        <w:rPr>
          <w:rFonts w:ascii="Amiri" w:hAnsi="Amiri" w:eastAsia="Amiri" w:cs="Amiri"/>
          <w:lang w:bidi="ar-SA"/>
          <w:color w:val="111111"/>
          <w:sz w:val="28"/>
          <w:szCs w:val="28"/>
          <w:rtl/>
        </w:rPr>
        <w:t xml:space="preserve">آغاز: برابر؛ انجام: الفصل العاشر فى وجوه اخفاء المسهلات يصلح للضعيفى الراى ... او السفرجل الى 11.</w:t>
      </w:r>
    </w:p>
    <w:p>
      <w:pPr>
        <w:pStyle w:val="BookText"/>
      </w:pPr>
      <w:r>
        <w:rPr>
          <w:rFonts w:ascii="IRNazanin" w:hAnsi="IRNazanin" w:eastAsia="IRNazanin" w:cs="IRNazanin"/>
          <w:lang w:bidi="fa-IR"/>
          <w:color w:val="111111"/>
          <w:sz w:val="28"/>
          <w:szCs w:val="28"/>
          <w:rtl/>
        </w:rPr>
        <w:t xml:space="preserve">خط: نسخ، بی کا، تا: قرن 11؛ افتادگی: انجام (12 فصل ازمقاله  چهارم نانویس) کاغذ: فستقی، جلد: میشن آلبالویی سیر ضربی، 311گ، 20 سطر ، اندازه:14/6</w:t>
      </w:r>
      <w:r>
        <w:rPr>
          <w:rFonts w:ascii="Times New Roman" w:hAnsi="Times New Roman" w:eastAsia="Times New Roman" w:cs="Times New Roman"/>
          <w:lang w:val="en-US" w:bidi="en-US"/>
          <w:color w:val="111111"/>
          <w:sz w:val="28"/>
          <w:szCs w:val="28"/>
          <w:rtl/>
        </w:rPr>
        <w:t xml:space="preserve">×21/4</w:t>
      </w:r>
      <w:r>
        <w:rPr>
          <w:rFonts w:ascii="IRNazanin" w:hAnsi="IRNazanin" w:eastAsia="IRNazanin" w:cs="IRNazanin"/>
          <w:lang w:bidi="fa-IR"/>
          <w:color w:val="111111"/>
          <w:sz w:val="28"/>
          <w:szCs w:val="28"/>
          <w:rtl/>
        </w:rPr>
        <w:t xml:space="preserve">سم [ف: 1 - 27]</w:t>
      </w:r>
    </w:p>
    <w:p>
      <w:pPr>
        <w:pStyle w:val="BookText"/>
      </w:pPr>
      <w:r>
        <w:rPr>
          <w:rFonts w:ascii="IRNazanin" w:hAnsi="IRNazanin" w:eastAsia="IRNazanin" w:cs="IRNazanin"/>
          <w:lang w:bidi="fa-IR"/>
          <w:color w:val="111111"/>
          <w:sz w:val="28"/>
          <w:szCs w:val="28"/>
          <w:rtl/>
        </w:rPr>
        <w:t xml:space="preserve">تهران؛ مجلس؛ شماره نسخه: 6067</w:t>
      </w:r>
    </w:p>
    <w:p>
      <w:pPr>
        <w:pStyle w:val="BookText"/>
      </w:pPr>
      <w:r>
        <w:rPr>
          <w:rFonts w:ascii="IRNazanin" w:hAnsi="IRNazanin" w:eastAsia="IRNazanin" w:cs="IRNazanin"/>
          <w:lang w:bidi="fa-IR"/>
          <w:color w:val="111111"/>
          <w:sz w:val="28"/>
          <w:szCs w:val="28"/>
          <w:rtl/>
        </w:rPr>
        <w:t xml:space="preserve">آغاز: القوانين اللاتي تحفظ الصحه فى بدن الانسان و فى عضو عضو من الاعضاء فصل دوم: فى الاسطقسات هي اقل جزء مما هوله اسطقس و الذى هو اقل جزء للشى.( آغاز مقاله دوم:) المقاله الثانیه من كتاب الارشاد لمصالح (در نسخه المصالح) الانفس الادوية المفرده و الاغذيه و هى فضلان الفصل الاول فيما يجب تقديمه قبل الكلام؛ انجام: (انجام مقاله اول:) قد يكون هذه فيهما طبيعيه او مستفاده بما يطبخ فيهما منها تمت المقالة الاولى بعون الملك الاولى.</w:t>
      </w:r>
    </w:p>
    <w:p>
      <w:pPr>
        <w:pStyle w:val="BookText"/>
      </w:pPr>
      <w:r>
        <w:rPr>
          <w:rFonts w:ascii="IRNazanin" w:hAnsi="IRNazanin" w:eastAsia="IRNazanin" w:cs="IRNazanin"/>
          <w:lang w:bidi="fa-IR"/>
          <w:color w:val="111111"/>
          <w:sz w:val="28"/>
          <w:szCs w:val="28"/>
          <w:rtl/>
        </w:rPr>
        <w:t xml:space="preserve">(انجام موجود مقاله دوم:) و يورث على القولنج واصلاحه بالعسیل الا انه ينفع المثانه و يحرك الباه.</w:t>
      </w:r>
    </w:p>
    <w:p>
      <w:pPr>
        <w:pStyle w:val="BookText"/>
      </w:pPr>
      <w:r>
        <w:rPr>
          <w:rFonts w:ascii="IRNazanin" w:hAnsi="IRNazanin" w:eastAsia="IRNazanin" w:cs="IRNazanin"/>
          <w:lang w:bidi="fa-IR"/>
          <w:color w:val="111111"/>
          <w:sz w:val="28"/>
          <w:szCs w:val="28"/>
          <w:rtl/>
        </w:rPr>
        <w:t xml:space="preserve">خط: نسخ، بی کا، تا: قرن 12؛ افتادگی: آغاز و انجام؛ محشی ؛کاغذ: فرنگی سفید ،جلد: تیماج ،مشکی، 338ص ، 15 سطر ، قطع: رقعی اندازه: 10/5</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 ف : 19 - 55]</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تهران؛ دائرة المعارف؛ شماره نسخه: 77/1</w:t>
      </w:r>
    </w:p>
    <w:p>
      <w:pPr>
        <w:pStyle w:val="BookText"/>
      </w:pPr>
      <w:r>
        <w:rPr>
          <w:rFonts w:ascii="Amiri" w:hAnsi="Amiri" w:eastAsia="Amiri" w:cs="Amiri"/>
          <w:lang w:bidi="ar-SA"/>
          <w:color w:val="111111"/>
          <w:sz w:val="28"/>
          <w:szCs w:val="28"/>
          <w:rtl/>
        </w:rPr>
        <w:t xml:space="preserve">آغاز: بسمله المقالة الثالثة فى حفظ الصحة و مداواة الامراض هى فصول. الفصل الاول فى قوانين حفظ الصحة. و الثاني الحميات؛ انجام: اربعة مثاقيل و ملعقة الادوية هى مثقال واحد. ..باربعة دراهم. تمام شد</w:t>
      </w:r>
    </w:p>
    <w:p>
      <w:pPr>
        <w:pStyle w:val="BookText"/>
      </w:pPr>
      <w:r>
        <w:rPr>
          <w:rFonts w:ascii="IRNazanin" w:hAnsi="IRNazanin" w:eastAsia="IRNazanin" w:cs="IRNazanin"/>
          <w:lang w:bidi="fa-IR"/>
          <w:color w:val="111111"/>
          <w:sz w:val="28"/>
          <w:szCs w:val="28"/>
          <w:rtl/>
        </w:rPr>
        <w:t xml:space="preserve">خط: نستعلیق ،تحریری ،کا: مهدی بن هادی لاهیجی، تا: 1273ق، 138گ( 1پ- 138پ) [ف: 1 - 15]</w:t>
      </w:r>
    </w:p>
    <w:p>
      <w:pPr>
        <w:pStyle w:val="Heading3"/>
      </w:pPr>
      <w:bookmarkStart w:id="614" w:name="_Toc136"/>
      <w:r>
        <w:t>ارشاد المبتدی / عرفان و تصوف / فارسی</w:t>
      </w:r>
      <w:bookmarkEnd w:id="614"/>
    </w:p>
    <w:p>
      <w:pPr>
        <w:pStyle w:val="BookText"/>
      </w:pPr>
      <w:r>
        <w:rPr>
          <w:rFonts w:ascii="Times New Roman" w:hAnsi="Times New Roman" w:eastAsia="Times New Roman" w:cs="Times New Roman"/>
          <w:lang w:val="en-US" w:bidi="en-US"/>
          <w:color w:val="111111"/>
          <w:sz w:val="28"/>
          <w:szCs w:val="28"/>
          <w:rtl/>
        </w:rPr>
        <w:t xml:space="preserve">eršād-ol mobtadī</w:t>
      </w:r>
    </w:p>
    <w:p>
      <w:pPr>
        <w:pStyle w:val="BookText"/>
      </w:pPr>
      <w:r>
        <w:rPr>
          <w:rFonts w:ascii="IRNazanin" w:hAnsi="IRNazanin" w:eastAsia="IRNazanin" w:cs="IRNazanin"/>
          <w:lang w:bidi="fa-IR"/>
          <w:color w:val="111111"/>
          <w:sz w:val="28"/>
          <w:szCs w:val="28"/>
          <w:rtl/>
        </w:rPr>
        <w:t xml:space="preserve">صاحب ،کابلی محمد علی، ق 14 قمری</w:t>
      </w:r>
    </w:p>
    <w:p>
      <w:pPr>
        <w:pStyle w:val="BookText"/>
      </w:pPr>
      <w:r>
        <w:rPr>
          <w:rFonts w:ascii="Times New Roman" w:hAnsi="Times New Roman" w:eastAsia="Times New Roman" w:cs="Times New Roman"/>
          <w:lang w:val="en-US" w:bidi="en-US"/>
          <w:color w:val="111111"/>
          <w:sz w:val="28"/>
          <w:szCs w:val="28"/>
          <w:rtl/>
        </w:rPr>
        <w:t xml:space="preserve">(sāheb-e kābolī, mohammad ‘alī ( - 20c)</w:t>
      </w:r>
    </w:p>
    <w:p>
      <w:pPr>
        <w:pStyle w:val="BookText"/>
      </w:pPr>
      <w:r>
        <w:rPr>
          <w:rFonts w:ascii="Amiri" w:hAnsi="Amiri" w:eastAsia="Amiri" w:cs="Amiri"/>
          <w:lang w:bidi="ar-SA"/>
          <w:color w:val="111111"/>
          <w:sz w:val="28"/>
          <w:szCs w:val="28"/>
          <w:rtl/>
        </w:rPr>
        <w:t xml:space="preserve">تاريخ تأليف: 1300ق</w:t>
      </w:r>
    </w:p>
    <w:p>
      <w:pPr>
        <w:pStyle w:val="BookText"/>
      </w:pPr>
      <w:r>
        <w:rPr>
          <w:rFonts w:ascii="IRNazanin" w:hAnsi="IRNazanin" w:eastAsia="IRNazanin" w:cs="IRNazanin"/>
          <w:lang w:bidi="fa-IR"/>
          <w:color w:val="111111"/>
          <w:sz w:val="28"/>
          <w:szCs w:val="28"/>
          <w:rtl/>
        </w:rPr>
        <w:t xml:space="preserve">مؤلف که از محبان طریقه قادریه است این کتاب را برای مبتدیان در تحصیل معارف و حقائق با استفاده از کتبی مانند</w:t>
      </w:r>
    </w:p>
    <w:p>
      <w:pPr>
        <w:pStyle w:val="BookText"/>
      </w:pPr>
      <w:r>
        <w:rPr>
          <w:rFonts w:ascii="IRNazanin" w:hAnsi="IRNazanin" w:eastAsia="IRNazanin" w:cs="IRNazanin"/>
          <w:lang w:bidi="fa-IR"/>
          <w:color w:val="111111"/>
          <w:sz w:val="28"/>
          <w:szCs w:val="28"/>
          <w:rtl/>
        </w:rPr>
        <w:t xml:space="preserve">«السير والسلوک» و «بیان الاسرار» و «رساله مكيه»  و. .. دریک«مقدمه» و هفت «فصل» و «خاتمه» ساخته و در سال 1300ق به پایان رسانده است. در پایان نسخه ماده تاریخ تألیف را چنین آورده است: «چون ز تاریخ محمدی جستی *** هاتف گفت عشق حق اخلاص» مؤلف در مقدمه نامی برای کتاب ذکر نکرده ولی در بالای آن به خط خود نام «ارشاد المبتدی» را برای كتاب عنوان نموده است.</w:t>
      </w:r>
    </w:p>
    <w:p>
      <w:pPr>
        <w:pStyle w:val="BookText"/>
      </w:pPr>
      <w:r>
        <w:rPr>
          <w:rFonts w:ascii="IRNazanin" w:hAnsi="IRNazanin" w:eastAsia="IRNazanin" w:cs="IRNazanin"/>
          <w:lang w:bidi="fa-IR"/>
          <w:color w:val="111111"/>
          <w:sz w:val="28"/>
          <w:szCs w:val="28"/>
          <w:rtl/>
        </w:rPr>
        <w:t xml:space="preserve">آغاز: بسمله حمد و ستایش مرخداوندی را که اسرار ذات خود را به حکمت خود از بلندی و عَلا .. اما بعد حقیر پر تقصیر معصیت ممتلی بنده محمد علی می گوید که چون تسوق و تعطش</w:t>
      </w:r>
    </w:p>
    <w:p>
      <w:pPr>
        <w:pStyle w:val="BookText"/>
      </w:pPr>
      <w:r>
        <w:rPr>
          <w:rFonts w:ascii="IRNazanin" w:hAnsi="IRNazanin" w:eastAsia="IRNazanin" w:cs="IRNazanin"/>
          <w:lang w:bidi="fa-IR"/>
          <w:color w:val="111111"/>
          <w:sz w:val="28"/>
          <w:szCs w:val="28"/>
          <w:rtl/>
        </w:rPr>
        <w:t xml:space="preserve">انجام: و دنائس معصیت را به آب رحمت شسته ينابيع حکمت و صداقت را جاگیر سازد بمنه وكرمه الله هو البر الرحيم و الجواد الكريم آمين يا رب العالمين وصلى الله على سيدنا محمد و آله و اصحابه اجمعین آمین</w:t>
      </w:r>
    </w:p>
    <w:p>
      <w:pPr>
        <w:pStyle w:val="BookText"/>
      </w:pPr>
      <w:r>
        <w:rPr>
          <w:rFonts w:ascii="IRNazanin" w:hAnsi="IRNazanin" w:eastAsia="IRNazanin" w:cs="IRNazanin"/>
          <w:lang w:bidi="fa-IR"/>
          <w:color w:val="111111"/>
          <w:sz w:val="28"/>
          <w:szCs w:val="28"/>
          <w:rtl/>
        </w:rPr>
        <w:t xml:space="preserve">قم؛ گلپایگانی؛ شماره نسخه: 5951/4-30/21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از اول تا آخر؛ خط: نستعليق، كاتب = مؤلف، تا: 27محرم 1318ق؛ جلد: گالینگور مشکی عطف تیماج سرخ، 48گ، 22</w:t>
      </w:r>
    </w:p>
    <w:p>
      <w:pPr>
        <w:pStyle w:val="BookText"/>
      </w:pPr>
      <w:r>
        <w:rPr>
          <w:rFonts w:ascii="IRNazanin" w:hAnsi="IRNazanin" w:eastAsia="IRNazanin" w:cs="IRNazanin"/>
          <w:lang w:bidi="fa-IR"/>
          <w:color w:val="111111"/>
          <w:sz w:val="28"/>
          <w:szCs w:val="28"/>
          <w:rtl/>
        </w:rPr>
        <w:t xml:space="preserve">سطر ، اندازه: 18</w:t>
      </w:r>
      <w:r>
        <w:rPr>
          <w:rFonts w:ascii="Times New Roman" w:hAnsi="Times New Roman" w:eastAsia="Times New Roman" w:cs="Times New Roman"/>
          <w:lang w:val="en-US" w:bidi="en-US"/>
          <w:color w:val="111111"/>
          <w:sz w:val="28"/>
          <w:szCs w:val="28"/>
          <w:rtl/>
        </w:rPr>
        <w:t xml:space="preserve">×29</w:t>
      </w:r>
      <w:r>
        <w:rPr>
          <w:rFonts w:ascii="IRNazanin" w:hAnsi="IRNazanin" w:eastAsia="IRNazanin" w:cs="IRNazanin"/>
          <w:lang w:bidi="fa-IR"/>
          <w:color w:val="111111"/>
          <w:sz w:val="28"/>
          <w:szCs w:val="28"/>
          <w:rtl/>
        </w:rPr>
        <w:t xml:space="preserve">سم [ف: 1 - 312]</w:t>
      </w:r>
    </w:p>
    <w:p>
      <w:pPr>
        <w:pStyle w:val="Heading3"/>
      </w:pPr>
      <w:bookmarkStart w:id="615" w:name="_Toc137"/>
      <w:r>
        <w:t>ارشاد المبتدی / صرف / فارسی</w:t>
      </w:r>
      <w:bookmarkEnd w:id="615"/>
    </w:p>
    <w:p>
      <w:pPr>
        <w:pStyle w:val="BookText"/>
      </w:pPr>
      <w:r>
        <w:rPr>
          <w:rFonts w:ascii="Times New Roman" w:hAnsi="Times New Roman" w:eastAsia="Times New Roman" w:cs="Times New Roman"/>
          <w:lang w:val="en-US" w:bidi="en-US"/>
          <w:color w:val="111111"/>
          <w:sz w:val="28"/>
          <w:szCs w:val="28"/>
          <w:rtl/>
        </w:rPr>
        <w:t xml:space="preserve">eršād-ol mobtadī</w:t>
      </w:r>
    </w:p>
    <w:p>
      <w:pPr>
        <w:pStyle w:val="BookText"/>
      </w:pPr>
      <w:r>
        <w:rPr>
          <w:rFonts w:ascii="IRNazanin" w:hAnsi="IRNazanin" w:eastAsia="IRNazanin" w:cs="IRNazanin"/>
          <w:lang w:bidi="fa-IR"/>
          <w:color w:val="111111"/>
          <w:sz w:val="28"/>
          <w:szCs w:val="28"/>
          <w:rtl/>
        </w:rPr>
        <w:t xml:space="preserve">نصرت حسن</w:t>
      </w:r>
    </w:p>
    <w:p>
      <w:pPr>
        <w:pStyle w:val="BookText"/>
      </w:pPr>
      <w:r>
        <w:rPr>
          <w:rFonts w:ascii="Times New Roman" w:hAnsi="Times New Roman" w:eastAsia="Times New Roman" w:cs="Times New Roman"/>
          <w:lang w:val="en-US" w:bidi="en-US"/>
          <w:color w:val="111111"/>
          <w:sz w:val="28"/>
          <w:szCs w:val="28"/>
          <w:rtl/>
        </w:rPr>
        <w:t xml:space="preserve">nosrat hasan</w:t>
      </w:r>
    </w:p>
    <w:p>
      <w:pPr>
        <w:pStyle w:val="BookText"/>
      </w:pPr>
      <w:r>
        <w:rPr>
          <w:rFonts w:ascii="IRNazanin" w:hAnsi="IRNazanin" w:eastAsia="IRNazanin" w:cs="IRNazanin"/>
          <w:lang w:bidi="fa-IR"/>
          <w:color w:val="111111"/>
          <w:sz w:val="28"/>
          <w:szCs w:val="28"/>
          <w:rtl/>
        </w:rPr>
        <w:t xml:space="preserve">سؤال و جواب های کوتاهی است در صرف که برای تعلیم مبتدیان ساخته شده است.</w:t>
      </w:r>
    </w:p>
    <w:p>
      <w:pPr>
        <w:pStyle w:val="BookText"/>
      </w:pPr>
      <w:r>
        <w:rPr>
          <w:rFonts w:ascii="IRNazanin" w:hAnsi="IRNazanin" w:eastAsia="IRNazanin" w:cs="IRNazanin"/>
          <w:lang w:bidi="fa-IR"/>
          <w:color w:val="111111"/>
          <w:sz w:val="28"/>
          <w:szCs w:val="28"/>
          <w:rtl/>
        </w:rPr>
        <w:t xml:space="preserve">آغاز: الحمدلله على ما اعطا الانام و الصلوة على من ارسله لجريان الاسلام و على احباء الكرام سؤال سيار كدام لفظ است جواب صيغه واحد مذکر غايب.</w:t>
      </w:r>
    </w:p>
    <w:p>
      <w:pPr>
        <w:pStyle w:val="BookText"/>
      </w:pPr>
      <w:r>
        <w:rPr>
          <w:rFonts w:ascii="IRNazanin" w:hAnsi="IRNazanin" w:eastAsia="IRNazanin" w:cs="IRNazanin"/>
          <w:lang w:bidi="fa-IR"/>
          <w:color w:val="111111"/>
          <w:sz w:val="28"/>
          <w:szCs w:val="28"/>
          <w:rtl/>
        </w:rPr>
        <w:t xml:space="preserve">انجام: سؤال لقاد کدام لفظ است جواب صيغه... اجتماع ساكنين شد میان دو الف یکی افتاد لقاد شد جنس وی اجوف است.</w:t>
      </w:r>
    </w:p>
    <w:p>
      <w:pPr>
        <w:pStyle w:val="BookText"/>
      </w:pPr>
      <w:r>
        <w:rPr>
          <w:rFonts w:ascii="IRNazanin" w:hAnsi="IRNazanin" w:eastAsia="IRNazanin" w:cs="IRNazanin"/>
          <w:lang w:bidi="fa-IR"/>
          <w:color w:val="111111"/>
          <w:sz w:val="28"/>
          <w:szCs w:val="28"/>
          <w:rtl/>
        </w:rPr>
        <w:t xml:space="preserve">تهران؛ مجلس؛ شماره نسخه: 14171/3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بی تا؛ جلد: مقوایی سبز عطف و گوشه گالینگور سبز، 6گ (13پ-19ر) ، اندازه 24</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38 - 212]</w:t>
      </w:r>
    </w:p>
    <w:p>
      <w:pPr>
        <w:pStyle w:val="Heading3"/>
      </w:pPr>
      <w:bookmarkStart w:id="616" w:name="_Toc138"/>
      <w:r>
        <w:t>ارشاد المبتدى و تذكرة المنتهى / تجويد / عربي</w:t>
      </w:r>
      <w:bookmarkEnd w:id="616"/>
    </w:p>
    <w:p>
      <w:pPr>
        <w:pStyle w:val="BookText"/>
      </w:pPr>
      <w:r>
        <w:rPr>
          <w:rFonts w:ascii="Times New Roman" w:hAnsi="Times New Roman" w:eastAsia="Times New Roman" w:cs="Times New Roman"/>
          <w:lang w:val="en-US" w:bidi="en-US"/>
          <w:color w:val="111111"/>
          <w:sz w:val="28"/>
          <w:szCs w:val="28"/>
          <w:rtl/>
        </w:rPr>
        <w:t xml:space="preserve">iršād-ul mubtadī wa taḍkirat-ul muntahī</w:t>
      </w:r>
    </w:p>
    <w:p>
      <w:pPr>
        <w:pStyle w:val="BookText"/>
      </w:pPr>
      <w:r>
        <w:rPr>
          <w:rFonts w:ascii="IRNazanin" w:hAnsi="IRNazanin" w:eastAsia="IRNazanin" w:cs="IRNazanin"/>
          <w:lang w:bidi="fa-IR"/>
          <w:color w:val="111111"/>
          <w:sz w:val="28"/>
          <w:szCs w:val="28"/>
          <w:rtl/>
        </w:rPr>
        <w:t xml:space="preserve">قلانسی محمد بن حسن - 521 قمری</w:t>
      </w:r>
    </w:p>
    <w:p>
      <w:pPr>
        <w:pStyle w:val="BookText"/>
      </w:pPr>
      <w:r>
        <w:rPr>
          <w:rFonts w:ascii="Times New Roman" w:hAnsi="Times New Roman" w:eastAsia="Times New Roman" w:cs="Times New Roman"/>
          <w:lang w:val="en-US" w:bidi="en-US"/>
          <w:color w:val="111111"/>
          <w:sz w:val="28"/>
          <w:szCs w:val="28"/>
          <w:rtl/>
        </w:rPr>
        <w:t xml:space="preserve">(qalānesī, mohammad ebn-e hasan ( - 1128)</w:t>
      </w:r>
    </w:p>
    <w:p>
      <w:pPr>
        <w:pStyle w:val="BookText"/>
      </w:pPr>
      <w:r>
        <w:rPr>
          <w:rFonts w:ascii="IRNazanin" w:hAnsi="IRNazanin" w:eastAsia="IRNazanin" w:cs="IRNazanin"/>
          <w:lang w:bidi="fa-IR"/>
          <w:color w:val="111111"/>
          <w:sz w:val="28"/>
          <w:szCs w:val="28"/>
          <w:rtl/>
        </w:rPr>
        <w:t xml:space="preserve">مؤلف که از شیخ ابوعلی حسن بن قاسم بن على مقرى اجازه روایت قرائت دارد، در این کتاب چندین قرائت مشهور را گردآوری و به ترتیب سور قرآنی تنظیم نموده است. او در آغاز کتاب مقدمه ای آورده در طرق روایت قرائت خود و احکام تجوید را بیان نموده، پس از آن شروع به مطالب کتاب نموده و اختلاف قراء را به ترتیب سور قرآن بیان کرده است. مؤلف در کتاب حاضر قرائت قاریان هفتگانه (ابی جعفر يزيد بن قعقاع ،مدنی ،نافع بن ابی نعیم، عبدالله بن كثير، عبدالله بن عامر، ابي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48" w:name="pg20365_260064"/>
    <w:bookmarkEnd w:id="48"/>
    <w:p>
      <w:pPr>
        <w:pStyle w:val="BookText"/>
      </w:pPr>
      <w:r>
        <w:rPr>
          <w:rFonts w:ascii="IRNazanin" w:hAnsi="IRNazanin" w:eastAsia="IRNazanin" w:cs="IRNazanin"/>
          <w:lang w:bidi="fa-IR"/>
          <w:color w:val="111111"/>
          <w:sz w:val="28"/>
          <w:szCs w:val="28"/>
          <w:rtl/>
        </w:rPr>
        <w:t xml:space="preserve">عمرو، حمزه و یعقوب بن اسحاق) را ذکر نموده است.</w:t>
      </w:r>
    </w:p>
    <w:p>
      <w:pPr>
        <w:pStyle w:val="BookText"/>
      </w:pPr>
      <w:r>
        <w:rPr>
          <w:rFonts w:ascii="IRNazanin" w:hAnsi="IRNazanin" w:eastAsia="IRNazanin" w:cs="IRNazanin"/>
          <w:lang w:bidi="fa-IR"/>
          <w:color w:val="111111"/>
          <w:sz w:val="28"/>
          <w:szCs w:val="28"/>
          <w:rtl/>
        </w:rPr>
        <w:t xml:space="preserve">آغاز: الحمد لله رب رب العالمين... هذا كتاب آذكر فيه القراة بالحجاز والشام والعراق و بیان اختلافهم فى الهمز و البليين</w:t>
      </w:r>
    </w:p>
    <w:p>
      <w:pPr>
        <w:pStyle w:val="BookText"/>
      </w:pPr>
      <w:r>
        <w:rPr>
          <w:rFonts w:ascii="Amiri" w:hAnsi="Amiri" w:eastAsia="Amiri" w:cs="Amiri"/>
          <w:lang w:bidi="ar-SA"/>
          <w:color w:val="111111"/>
          <w:sz w:val="28"/>
          <w:szCs w:val="28"/>
          <w:rtl/>
        </w:rPr>
        <w:t xml:space="preserve">الادعام و التبيين و الامالة</w:t>
      </w:r>
    </w:p>
    <w:p>
      <w:pPr>
        <w:pStyle w:val="BookText"/>
      </w:pPr>
      <w:r>
        <w:rPr>
          <w:rFonts w:ascii="IRNazanin" w:hAnsi="IRNazanin" w:eastAsia="IRNazanin" w:cs="IRNazanin"/>
          <w:lang w:bidi="fa-IR"/>
          <w:color w:val="111111"/>
          <w:sz w:val="28"/>
          <w:szCs w:val="28"/>
          <w:rtl/>
        </w:rPr>
        <w:t xml:space="preserve">انجام: عالم الغيب بضم الميم فى الابتداء دون الوصل فی المؤمنين آخر. .. و الحمد لله رب العالمين وصلى الله على سيدنا</w:t>
      </w:r>
    </w:p>
    <w:p>
      <w:pPr>
        <w:pStyle w:val="BookText"/>
      </w:pPr>
      <w:r>
        <w:rPr>
          <w:rFonts w:ascii="Amiri" w:hAnsi="Amiri" w:eastAsia="Amiri" w:cs="Amiri"/>
          <w:lang w:bidi="ar-SA"/>
          <w:color w:val="111111"/>
          <w:sz w:val="28"/>
          <w:szCs w:val="28"/>
          <w:rtl/>
        </w:rPr>
        <w:t xml:space="preserve">محمد واله الطيبين الطاهرين</w:t>
      </w:r>
    </w:p>
    <w:p>
      <w:pPr>
        <w:pStyle w:val="BookText"/>
      </w:pPr>
      <w:r>
        <w:rPr>
          <w:rFonts w:ascii="IRNazanin" w:hAnsi="IRNazanin" w:eastAsia="IRNazanin" w:cs="IRNazanin"/>
          <w:lang w:bidi="fa-IR"/>
          <w:color w:val="111111"/>
          <w:sz w:val="28"/>
          <w:szCs w:val="28"/>
          <w:rtl/>
        </w:rPr>
        <w:t xml:space="preserve">چاپ :محقق عمر حمدان الكبيسي، مكة المكرمة،جامعة ام القرى؛ مصر، طنطا، مطابع البشير، 2003م.</w:t>
      </w:r>
    </w:p>
    <w:p>
      <w:pPr>
        <w:pStyle w:val="BookText"/>
      </w:pPr>
      <w:r>
        <w:rPr>
          <w:rFonts w:ascii="IRNazanin" w:hAnsi="IRNazanin" w:eastAsia="IRNazanin" w:cs="IRNazanin"/>
          <w:lang w:bidi="fa-IR"/>
          <w:color w:val="111111"/>
          <w:sz w:val="28"/>
          <w:szCs w:val="28"/>
          <w:rtl/>
        </w:rPr>
        <w:t xml:space="preserve">[قاهره فؤاد سید 15/1؛ ظاهریه؛ علوم قرآنی 76 و 124]</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IRNazanin" w:hAnsi="IRNazanin" w:eastAsia="IRNazanin" w:cs="IRNazanin"/>
          <w:lang w:bidi="fa-IR"/>
          <w:color w:val="111111"/>
          <w:sz w:val="28"/>
          <w:szCs w:val="28"/>
          <w:rtl/>
        </w:rPr>
        <w:t xml:space="preserve">1- جمع الاصول؛ دیوانی علی بن ابی محمد (-743)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مجلس؛ شماره نسخه: 12017/1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تحریری کا: فتح الله بن فضل الله عمری، تا: شنبه 1 ذيحجه 796ق ؛جلد: تیماج قهوه ای سوخت شمسه مجدول، 176 ص( 1-176)، 15 سطر ، اندازه: 17</w:t>
      </w:r>
      <w:r>
        <w:rPr>
          <w:rFonts w:ascii="Times New Roman" w:hAnsi="Times New Roman" w:eastAsia="Times New Roman" w:cs="Times New Roman"/>
          <w:lang w:val="en-US" w:bidi="en-US"/>
          <w:color w:val="111111"/>
          <w:sz w:val="28"/>
          <w:szCs w:val="28"/>
          <w:rtl/>
        </w:rPr>
        <w:t xml:space="preserve">×27</w:t>
      </w:r>
      <w:r>
        <w:rPr>
          <w:rFonts w:ascii="IRNazanin" w:hAnsi="IRNazanin" w:eastAsia="IRNazanin" w:cs="IRNazanin"/>
          <w:lang w:bidi="fa-IR"/>
          <w:color w:val="111111"/>
          <w:sz w:val="28"/>
          <w:szCs w:val="28"/>
          <w:rtl/>
        </w:rPr>
        <w:t xml:space="preserve">سم [ف: 35 - 38]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مجلس؛ شماره نسخه: 12078/1</w:t>
      </w:r>
    </w:p>
    <w:p>
      <w:pPr>
        <w:pStyle w:val="BookText"/>
      </w:pPr>
      <w:r>
        <w:rPr>
          <w:rFonts w:ascii="IRNazanin" w:hAnsi="IRNazanin" w:eastAsia="IRNazanin" w:cs="IRNazanin"/>
          <w:lang w:bidi="fa-IR"/>
          <w:color w:val="111111"/>
          <w:sz w:val="28"/>
          <w:szCs w:val="28"/>
          <w:rtl/>
        </w:rPr>
        <w:t xml:space="preserve">آغاز: بها القرآن على الشيخ بن على و اخبرني انه قرأ بها على بن الحسين بن احمد بن عبد الله الخضر السوسنجردی و اخبره انه قرأ بها ابى الحسين محمد بن عبد الله .. ذكر اختلافهم  في التسمية قرأ  حمزه و خلف و يعقوب... ذكر اختلافهم في الفاتحة قرأ عاصم و الكسائی؛ انجام: و وقف حمزة بالواو و مع اسكان الفاء آخر الخلاف.</w:t>
      </w:r>
    </w:p>
    <w:p>
      <w:pPr>
        <w:pStyle w:val="BookText"/>
      </w:pPr>
      <w:r>
        <w:rPr>
          <w:rFonts w:ascii="IRNazanin" w:hAnsi="IRNazanin" w:eastAsia="IRNazanin" w:cs="IRNazanin"/>
          <w:lang w:bidi="fa-IR"/>
          <w:color w:val="111111"/>
          <w:sz w:val="28"/>
          <w:szCs w:val="28"/>
          <w:rtl/>
        </w:rPr>
        <w:t xml:space="preserve">خط: نسخ، بی کا، بی تا؛ افتادگی: آغاز؛ جلد: میشین قهوه ای عطف تيماج ، 43 ص (1-43) ،23 سطر ، اندازه: 13</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سم [ف: 35 - 89]</w:t>
      </w:r>
    </w:p>
    <w:p>
      <w:pPr>
        <w:pStyle w:val="Heading3"/>
      </w:pPr>
      <w:bookmarkStart w:id="617" w:name="_Toc139"/>
      <w:r>
        <w:t>ارشاد المبتدئين / تجوید / فارسی</w:t>
      </w:r>
      <w:bookmarkEnd w:id="617"/>
    </w:p>
    <w:p>
      <w:pPr>
        <w:pStyle w:val="BookText"/>
      </w:pPr>
      <w:r>
        <w:rPr>
          <w:rFonts w:ascii="Times New Roman" w:hAnsi="Times New Roman" w:eastAsia="Times New Roman" w:cs="Times New Roman"/>
          <w:lang w:val="en-US" w:bidi="en-US"/>
          <w:color w:val="111111"/>
          <w:sz w:val="28"/>
          <w:szCs w:val="28"/>
          <w:rtl/>
        </w:rPr>
        <w:t xml:space="preserve">eršād-ol-mobtade’īn</w:t>
      </w:r>
    </w:p>
    <w:p>
      <w:pPr>
        <w:pStyle w:val="BookText"/>
      </w:pPr>
      <w:r>
        <w:rPr>
          <w:rFonts w:ascii="IRNazanin" w:hAnsi="IRNazanin" w:eastAsia="IRNazanin" w:cs="IRNazanin"/>
          <w:lang w:bidi="fa-IR"/>
          <w:color w:val="111111"/>
          <w:sz w:val="28"/>
          <w:szCs w:val="28"/>
          <w:rtl/>
        </w:rPr>
        <w:t xml:space="preserve">سمرقندی محمود ق 9 قمری</w:t>
      </w:r>
    </w:p>
    <w:p>
      <w:pPr>
        <w:pStyle w:val="BookText"/>
      </w:pPr>
      <w:r>
        <w:rPr>
          <w:rFonts w:ascii="Times New Roman" w:hAnsi="Times New Roman" w:eastAsia="Times New Roman" w:cs="Times New Roman"/>
          <w:lang w:val="en-US" w:bidi="en-US"/>
          <w:color w:val="111111"/>
          <w:sz w:val="28"/>
          <w:szCs w:val="28"/>
          <w:rtl/>
        </w:rPr>
        <w:t xml:space="preserve">(samarqandī, mahmūd ( - 15c)</w:t>
      </w:r>
    </w:p>
    <w:p>
      <w:pPr>
        <w:pStyle w:val="BookText"/>
      </w:pPr>
      <w:r>
        <w:rPr>
          <w:rFonts w:ascii="IRNazanin" w:hAnsi="IRNazanin" w:eastAsia="IRNazanin" w:cs="IRNazanin"/>
          <w:lang w:bidi="fa-IR"/>
          <w:color w:val="111111"/>
          <w:sz w:val="28"/>
          <w:szCs w:val="28"/>
          <w:rtl/>
        </w:rPr>
        <w:t xml:space="preserve">مؤلف، آنچه از تتبع و کاوش در کتابهای عربی به دست آورده و از استادش شمس الدین محمد الخالدى الجنبدی آموخته، به درخواست گروهی از مبتدیان، در این کتاب در ده «باب» و یک «خاتمه» گرد آورده است: 1. تجوید فاتحه؛2. رعایت حروف 3. بیان ورم و استشمام؛ 4 .كيفيت وقوف؛5. ادغام حروف ساکن؛ 6. بيان مدات قرآن؛ 7. مخارج حروف؛ 8.نون ساکن و تنوین .9 بیان حدر و تحقیق؛ 10. هجاء مصحف به ترتیب سوره ها؛ خاتمه در معنی قاری و مقری.</w:t>
      </w:r>
    </w:p>
    <w:p>
      <w:pPr>
        <w:pStyle w:val="BookText"/>
      </w:pPr>
      <w:r>
        <w:rPr>
          <w:rFonts w:ascii="IRNazanin" w:hAnsi="IRNazanin" w:eastAsia="IRNazanin" w:cs="IRNazanin"/>
          <w:lang w:bidi="fa-IR"/>
          <w:color w:val="111111"/>
          <w:sz w:val="28"/>
          <w:szCs w:val="28"/>
          <w:rtl/>
        </w:rPr>
        <w:t xml:space="preserve">آغاز: الحمد لله رب العالمين. .. اعلم هداك الله و ارشدک که اهل قرآن که اهل الله و خاصه اند بر سه قسم اند.</w:t>
      </w:r>
    </w:p>
    <w:p>
      <w:pPr>
        <w:pStyle w:val="BookText"/>
      </w:pPr>
      <w:r>
        <w:rPr>
          <w:rFonts w:ascii="IRNazanin" w:hAnsi="IRNazanin" w:eastAsia="IRNazanin" w:cs="IRNazanin"/>
          <w:lang w:bidi="fa-IR"/>
          <w:color w:val="111111"/>
          <w:sz w:val="28"/>
          <w:szCs w:val="28"/>
          <w:rtl/>
        </w:rPr>
        <w:t xml:space="preserve">قم؛ مرعشی؛ شماره نسخه: 3195/3</w:t>
      </w:r>
    </w:p>
    <w:p>
      <w:pPr>
        <w:pStyle w:val="BookText"/>
      </w:pPr>
      <w:r>
        <w:rPr>
          <w:rFonts w:ascii="IRNazanin" w:hAnsi="IRNazanin" w:eastAsia="IRNazanin" w:cs="IRNazanin"/>
          <w:lang w:bidi="fa-IR"/>
          <w:color w:val="111111"/>
          <w:sz w:val="28"/>
          <w:szCs w:val="28"/>
          <w:rtl/>
        </w:rPr>
        <w:t xml:space="preserve">آغاز: برابر؛ انجام: اما آنچه در هر موضعی که دو وجه است هر دو امام را نوشته بعد از نام ایشان لفظ خفهما اى بخلاف عنهما خط: نسخ و نستعليق، كا: محمد بن محمد باقر شریف کاشانی، بی تا، جلد: تیماج قهوه ای 23گ (109ر-131پ)، اندازه:</w:t>
      </w:r>
    </w:p>
    <w:p>
      <w:pPr>
        <w:pStyle w:val="BookText"/>
      </w:pPr>
      <w:r>
        <w:rPr>
          <w:rFonts w:ascii="Times New Roman" w:hAnsi="Times New Roman" w:eastAsia="Times New Roman" w:cs="Times New Roman"/>
          <w:lang w:val="en-US" w:bidi="en-US"/>
          <w:color w:val="111111"/>
          <w:sz w:val="28"/>
          <w:szCs w:val="28"/>
          <w:rtl/>
        </w:rPr>
        <w:t xml:space="preserve">17/5×22</w:t>
      </w:r>
      <w:r>
        <w:rPr>
          <w:rFonts w:ascii="IRNazanin" w:hAnsi="IRNazanin" w:eastAsia="IRNazanin" w:cs="IRNazanin"/>
          <w:lang w:bidi="fa-IR"/>
          <w:color w:val="111111"/>
          <w:sz w:val="28"/>
          <w:szCs w:val="28"/>
          <w:rtl/>
        </w:rPr>
        <w:t xml:space="preserve">سم [ف: 8-417]</w:t>
      </w:r>
    </w:p>
    <w:p>
      <w:pPr>
        <w:pStyle w:val="Heading3"/>
      </w:pPr>
      <w:bookmarkStart w:id="618" w:name="_Toc140"/>
      <w:r>
        <w:t>ارشاد المبتدئين / فارسى</w:t>
      </w:r>
      <w:bookmarkEnd w:id="618"/>
    </w:p>
    <w:p>
      <w:pPr>
        <w:pStyle w:val="BookText"/>
      </w:pPr>
      <w:r>
        <w:rPr>
          <w:rFonts w:ascii="Times New Roman" w:hAnsi="Times New Roman" w:eastAsia="Times New Roman" w:cs="Times New Roman"/>
          <w:lang w:val="en-US" w:bidi="en-US"/>
          <w:color w:val="111111"/>
          <w:sz w:val="28"/>
          <w:szCs w:val="28"/>
          <w:rtl/>
        </w:rPr>
        <w:t xml:space="preserve">eršād-ol-mobtade'in</w:t>
      </w:r>
    </w:p>
    <w:p>
      <w:pPr>
        <w:pStyle w:val="BookText"/>
      </w:pPr>
      <w:r>
        <w:rPr>
          <w:rFonts w:ascii="IRNazanin" w:hAnsi="IRNazanin" w:eastAsia="IRNazanin" w:cs="IRNazanin"/>
          <w:lang w:bidi="fa-IR"/>
          <w:color w:val="111111"/>
          <w:sz w:val="28"/>
          <w:szCs w:val="28"/>
          <w:rtl/>
        </w:rPr>
        <w:t xml:space="preserve">حافظ مشهدی محمد صادق بن محمد ق 10 قمری</w:t>
      </w:r>
    </w:p>
    <w:p>
      <w:pPr>
        <w:pStyle w:val="BookText"/>
      </w:pPr>
      <w:r>
        <w:rPr>
          <w:rFonts w:ascii="Times New Roman" w:hAnsi="Times New Roman" w:eastAsia="Times New Roman" w:cs="Times New Roman"/>
          <w:lang w:val="en-US" w:bidi="en-US"/>
          <w:color w:val="111111"/>
          <w:sz w:val="28"/>
          <w:szCs w:val="28"/>
          <w:rtl/>
        </w:rPr>
        <w:t xml:space="preserve">(hafez-e mašhadi, mohammad sadeq ebn-e mohammad(- 16c)</w:t>
      </w:r>
    </w:p>
    <w:p>
      <w:pPr>
        <w:pStyle w:val="BookText"/>
      </w:pPr>
      <w:r>
        <w:rPr>
          <w:rFonts w:ascii="IRNazanin" w:hAnsi="IRNazanin" w:eastAsia="IRNazanin" w:cs="IRNazanin"/>
          <w:lang w:bidi="fa-IR"/>
          <w:color w:val="111111"/>
          <w:sz w:val="28"/>
          <w:szCs w:val="28"/>
          <w:rtl/>
        </w:rPr>
        <w:t xml:space="preserve">قم؛ مرعشی؛ شماره نسخه: 13393/2</w:t>
      </w:r>
    </w:p>
    <w:p>
      <w:pPr>
        <w:pStyle w:val="BookText"/>
      </w:pPr>
      <w:r>
        <w:rPr>
          <w:rFonts w:ascii="IRNazanin" w:hAnsi="IRNazanin" w:eastAsia="IRNazanin" w:cs="IRNazanin"/>
          <w:lang w:bidi="fa-IR"/>
          <w:color w:val="111111"/>
          <w:sz w:val="28"/>
          <w:szCs w:val="28"/>
          <w:rtl/>
        </w:rPr>
        <w:t xml:space="preserve">خط: نستعلیق ،خوش، بی کا، تا: 10 ربیع الاول 1163ق؛ مصحح؛ قطع رقعی [ میراث شهاب: س 8ش 4 - 68]</w:t>
      </w:r>
    </w:p>
    <w:p>
      <w:pPr>
        <w:pStyle w:val="Heading3"/>
      </w:pPr>
      <w:bookmarkStart w:id="619" w:name="_Toc141"/>
      <w:r>
        <w:t>ارشاد المبتدئين / فقه / عربي</w:t>
      </w:r>
      <w:bookmarkEnd w:id="619"/>
    </w:p>
    <w:p>
      <w:pPr>
        <w:pStyle w:val="BookText"/>
      </w:pPr>
      <w:r>
        <w:rPr>
          <w:rFonts w:ascii="Times New Roman" w:hAnsi="Times New Roman" w:eastAsia="Times New Roman" w:cs="Times New Roman"/>
          <w:lang w:val="en-US" w:bidi="en-US"/>
          <w:color w:val="111111"/>
          <w:sz w:val="28"/>
          <w:szCs w:val="28"/>
          <w:rtl/>
        </w:rPr>
        <w:t xml:space="preserve">eršād-ol-mobtade'in</w:t>
      </w:r>
    </w:p>
    <w:p>
      <w:pPr>
        <w:pStyle w:val="BookText"/>
      </w:pPr>
      <w:r>
        <w:rPr>
          <w:rFonts w:ascii="IRNazanin" w:hAnsi="IRNazanin" w:eastAsia="IRNazanin" w:cs="IRNazanin"/>
          <w:lang w:bidi="fa-IR"/>
          <w:color w:val="111111"/>
          <w:sz w:val="28"/>
          <w:szCs w:val="28"/>
          <w:rtl/>
        </w:rPr>
        <w:t xml:space="preserve">ممتاز العلماء، محمد تقی بن حسین، 1234- 1289قمری</w:t>
      </w:r>
    </w:p>
    <w:p>
      <w:pPr>
        <w:pStyle w:val="BookText"/>
      </w:pPr>
      <w:r>
        <w:rPr>
          <w:rFonts w:ascii="Times New Roman" w:hAnsi="Times New Roman" w:eastAsia="Times New Roman" w:cs="Times New Roman"/>
          <w:lang w:val="en-US" w:bidi="en-US"/>
          <w:color w:val="111111"/>
          <w:sz w:val="28"/>
          <w:szCs w:val="28"/>
          <w:rtl/>
        </w:rPr>
        <w:t xml:space="preserve">momtaz-ol-'olama', mohammad taqi ebn-e hoseyn</w:t>
      </w:r>
    </w:p>
    <w:p>
      <w:pPr>
        <w:pStyle w:val="BookText"/>
      </w:pPr>
      <w:r>
        <w:rPr>
          <w:rFonts w:ascii="Times New Roman" w:hAnsi="Times New Roman" w:eastAsia="Times New Roman" w:cs="Times New Roman"/>
          <w:lang w:val="en-US" w:bidi="en-US"/>
          <w:color w:val="111111"/>
          <w:sz w:val="28"/>
          <w:szCs w:val="28"/>
          <w:rtl/>
        </w:rPr>
        <w:t xml:space="preserve">(1819-1872)</w:t>
      </w:r>
    </w:p>
    <w:p>
      <w:pPr>
        <w:pStyle w:val="BookText"/>
      </w:pPr>
      <w:r>
        <w:rPr>
          <w:rFonts w:ascii="IRNazanin" w:hAnsi="IRNazanin" w:eastAsia="IRNazanin" w:cs="IRNazanin"/>
          <w:lang w:bidi="fa-IR"/>
          <w:color w:val="111111"/>
          <w:sz w:val="28"/>
          <w:szCs w:val="28"/>
          <w:rtl/>
        </w:rPr>
        <w:t xml:space="preserve">رساله ای در 8 «باب» و «خاتمه»: 1. المياه؛ 2. الوضوء؛ 3.الغسل ؛ 4. التيمم؛ 5. النجاسات و احكامها .6. المطهرات؛ 7. احكام الاوانى؛ 8. احكام الجلود؛ الخاتمة في سنن الاستطابة و آدابها.</w:t>
      </w:r>
    </w:p>
    <w:p>
      <w:pPr>
        <w:pStyle w:val="BookText"/>
      </w:pPr>
      <w:r>
        <w:rPr>
          <w:rFonts w:ascii="IRNazanin" w:hAnsi="IRNazanin" w:eastAsia="IRNazanin" w:cs="IRNazanin"/>
          <w:lang w:bidi="fa-IR"/>
          <w:color w:val="111111"/>
          <w:sz w:val="28"/>
          <w:szCs w:val="28"/>
          <w:rtl/>
        </w:rPr>
        <w:t xml:space="preserve">مؤلف به اقوال فقها به فراوان اشاره کرده و رد و ایراد نیز دارد.</w:t>
      </w:r>
    </w:p>
    <w:p>
      <w:pPr>
        <w:pStyle w:val="BookText"/>
      </w:pPr>
      <w:r>
        <w:rPr>
          <w:rFonts w:ascii="IRNazanin" w:hAnsi="IRNazanin" w:eastAsia="IRNazanin" w:cs="IRNazanin"/>
          <w:lang w:bidi="fa-IR"/>
          <w:color w:val="111111"/>
          <w:sz w:val="28"/>
          <w:szCs w:val="28"/>
          <w:rtl/>
        </w:rPr>
        <w:t xml:space="preserve">مشهد؛ رضوی؛ شماره نسخه: 31752</w:t>
      </w:r>
    </w:p>
    <w:p>
      <w:pPr>
        <w:pStyle w:val="BookText"/>
      </w:pPr>
      <w:r>
        <w:rPr>
          <w:rFonts w:ascii="Amiri" w:hAnsi="Amiri" w:eastAsia="Amiri" w:cs="Amiri"/>
          <w:lang w:bidi="ar-SA"/>
          <w:color w:val="111111"/>
          <w:sz w:val="28"/>
          <w:szCs w:val="28"/>
          <w:rtl/>
        </w:rPr>
        <w:t xml:space="preserve">آغاز: بسمله. الحمد لله العزيز الغفار الذى شرع لنا دينا حنيفا و لم يكلفنا بالابصار؛ انجام: فان الاخذ بالاحتياط و العمل به جائز سائغ فى كل حال و وقت مبرء للذمة منج من البأس و المقت</w:t>
      </w:r>
    </w:p>
    <w:p>
      <w:pPr>
        <w:pStyle w:val="BookText"/>
      </w:pPr>
      <w:r>
        <w:rPr>
          <w:rFonts w:ascii="IRNazanin" w:hAnsi="IRNazanin" w:eastAsia="IRNazanin" w:cs="IRNazanin"/>
          <w:lang w:bidi="fa-IR"/>
          <w:color w:val="111111"/>
          <w:sz w:val="28"/>
          <w:szCs w:val="28"/>
          <w:rtl/>
        </w:rPr>
        <w:t xml:space="preserve">جزء 1؛ خط: نسخ، کا: محمد علی، تا: 1276ق؛ نسخه را محمد ابوالحسن بن سید علی موسوی در سال 1276 نزد مؤلف قرائت نموده؛ اهدائی رهبری، بهمن 1383 ؛کاغذ: نخودی آهار مهره ،جلد: تیماج فرنگی قهوه ای، 119گ، 19 سطر ، اندازه: 15/5</w:t>
      </w:r>
      <w:r>
        <w:rPr>
          <w:rFonts w:ascii="Times New Roman" w:hAnsi="Times New Roman" w:eastAsia="Times New Roman" w:cs="Times New Roman"/>
          <w:lang w:val="en-US" w:bidi="en-US"/>
          <w:color w:val="111111"/>
          <w:sz w:val="28"/>
          <w:szCs w:val="28"/>
          <w:rtl/>
        </w:rPr>
        <w:t xml:space="preserve">×23/7</w:t>
      </w:r>
      <w:r>
        <w:rPr>
          <w:rFonts w:ascii="IRNazanin" w:hAnsi="IRNazanin" w:eastAsia="IRNazanin" w:cs="IRNazanin"/>
          <w:lang w:bidi="fa-IR"/>
          <w:color w:val="111111"/>
          <w:sz w:val="28"/>
          <w:szCs w:val="28"/>
          <w:rtl/>
        </w:rPr>
        <w:t xml:space="preserve">سم [ اهدائی - ف: 3 - 58]</w:t>
      </w:r>
    </w:p>
    <w:p>
      <w:pPr>
        <w:pStyle w:val="Heading3"/>
      </w:pPr>
      <w:bookmarkStart w:id="620" w:name="_Toc142"/>
      <w:r>
        <w:t>ارشاد المبتدئين / ادبيات / فارسي</w:t>
      </w:r>
      <w:bookmarkEnd w:id="620"/>
    </w:p>
    <w:p>
      <w:pPr>
        <w:pStyle w:val="BookText"/>
      </w:pPr>
      <w:r>
        <w:rPr>
          <w:rFonts w:ascii="Times New Roman" w:hAnsi="Times New Roman" w:eastAsia="Times New Roman" w:cs="Times New Roman"/>
          <w:lang w:val="en-US" w:bidi="en-US"/>
          <w:color w:val="111111"/>
          <w:sz w:val="28"/>
          <w:szCs w:val="28"/>
          <w:rtl/>
        </w:rPr>
        <w:t xml:space="preserve">eršād-ol-mobtade’īn</w:t>
      </w:r>
    </w:p>
    <w:p>
      <w:pPr>
        <w:pStyle w:val="BookText"/>
      </w:pPr>
      <w:r>
        <w:rPr>
          <w:rFonts w:ascii="IRNazanin" w:hAnsi="IRNazanin" w:eastAsia="IRNazanin" w:cs="IRNazanin"/>
          <w:lang w:bidi="fa-IR"/>
          <w:color w:val="111111"/>
          <w:sz w:val="28"/>
          <w:szCs w:val="28"/>
          <w:rtl/>
        </w:rPr>
        <w:t xml:space="preserve">کاشاني، محمد حسين بن محمد جعفر، ق 13 قمري</w:t>
      </w:r>
    </w:p>
    <w:p>
      <w:pPr>
        <w:pStyle w:val="BookText"/>
      </w:pPr>
      <w:r>
        <w:rPr>
          <w:rFonts w:ascii="Times New Roman" w:hAnsi="Times New Roman" w:eastAsia="Times New Roman" w:cs="Times New Roman"/>
          <w:lang w:val="en-US" w:bidi="en-US"/>
          <w:color w:val="111111"/>
          <w:sz w:val="28"/>
          <w:szCs w:val="28"/>
          <w:rtl/>
        </w:rPr>
        <w:t xml:space="preserve">(kāšānī, mohammad hoseyn ebn-e mohammad ja‘far ( -19c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49" w:name="pg20365_260065"/>
    <w:bookmarkEnd w:id="49"/>
    <w:p>
      <w:pPr>
        <w:pStyle w:val="BookText"/>
      </w:pPr>
      <w:r>
        <w:rPr>
          <w:rFonts w:ascii="IRNazanin" w:hAnsi="IRNazanin" w:eastAsia="IRNazanin" w:cs="IRNazanin"/>
          <w:lang w:bidi="fa-IR"/>
          <w:color w:val="111111"/>
          <w:sz w:val="28"/>
          <w:szCs w:val="28"/>
          <w:rtl/>
        </w:rPr>
        <w:t xml:space="preserve">رساله ای درباره علم صرف و نحو و لغت عربي با تطبيق آنها و عناوين «مسئله، اگر گويند- بگو، فائدة » در چند «قاعده» .</w:t>
      </w:r>
    </w:p>
    <w:p>
      <w:pPr>
        <w:pStyle w:val="BookText"/>
      </w:pPr>
      <w:r>
        <w:rPr>
          <w:rFonts w:ascii="IRNazanin" w:hAnsi="IRNazanin" w:eastAsia="IRNazanin" w:cs="IRNazanin"/>
          <w:lang w:bidi="fa-IR"/>
          <w:color w:val="111111"/>
          <w:sz w:val="28"/>
          <w:szCs w:val="28"/>
          <w:rtl/>
        </w:rPr>
        <w:t xml:space="preserve">قم ؛مرعشی؛ شماره نسخه: 2/ 2002</w:t>
      </w:r>
    </w:p>
    <w:p>
      <w:pPr>
        <w:pStyle w:val="BookText"/>
      </w:pPr>
      <w:r>
        <w:rPr>
          <w:rFonts w:ascii="IRNazanin" w:hAnsi="IRNazanin" w:eastAsia="IRNazanin" w:cs="IRNazanin"/>
          <w:lang w:bidi="fa-IR"/>
          <w:color w:val="111111"/>
          <w:sz w:val="28"/>
          <w:szCs w:val="28"/>
          <w:rtl/>
        </w:rPr>
        <w:t xml:space="preserve">آغاز: الحمد لله رب العالمين حمداً يملأ السماوات و الارضين. . اما بعد اين چند کلمه ايست در ارشاد مبتدئين در علوم عربيه ؛ انجام: و صحيح آن نجران بنون و جيم است، اميد که خداوند جل و علا همگي را از جميع اغلاط قوليه و زلات فعليه محافظت نماید</w:t>
      </w:r>
    </w:p>
    <w:p>
      <w:pPr>
        <w:pStyle w:val="BookText"/>
      </w:pPr>
      <w:r>
        <w:rPr>
          <w:rFonts w:ascii="IRNazanin" w:hAnsi="IRNazanin" w:eastAsia="IRNazanin" w:cs="IRNazanin"/>
          <w:lang w:bidi="fa-IR"/>
          <w:color w:val="111111"/>
          <w:sz w:val="28"/>
          <w:szCs w:val="28"/>
          <w:rtl/>
        </w:rPr>
        <w:t xml:space="preserve">خط: نستعليق، كا: عبد الحميد بن ملا محمد واعظ، بي تا، جلد: تيماج قرمز، 13گ (140ر-153پ)، اندازه : 15</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اسم [ف: 6 -5]</w:t>
      </w:r>
    </w:p>
    <w:p>
      <w:pPr>
        <w:pStyle w:val="Heading3"/>
      </w:pPr>
      <w:bookmarkStart w:id="621" w:name="_Toc143"/>
      <w:r>
        <w:t>ارشاد المتحيرين في امر الدين / کلام و اعتقادات / عربي و فارسي</w:t>
      </w:r>
      <w:bookmarkEnd w:id="621"/>
    </w:p>
    <w:p>
      <w:pPr>
        <w:pStyle w:val="BookText"/>
      </w:pPr>
      <w:r>
        <w:rPr>
          <w:rFonts w:ascii="Times New Roman" w:hAnsi="Times New Roman" w:eastAsia="Times New Roman" w:cs="Times New Roman"/>
          <w:lang w:val="en-US" w:bidi="en-US"/>
          <w:color w:val="111111"/>
          <w:sz w:val="28"/>
          <w:szCs w:val="28"/>
          <w:rtl/>
        </w:rPr>
        <w:t xml:space="preserve">iršād-ul mutiḥayyirīn fī amr-id dīn</w:t>
      </w:r>
    </w:p>
    <w:p>
      <w:pPr>
        <w:pStyle w:val="BookText"/>
      </w:pPr>
      <w:r>
        <w:rPr>
          <w:rFonts w:ascii="Amiri" w:hAnsi="Amiri" w:eastAsia="Amiri" w:cs="Amiri"/>
          <w:lang w:bidi="ar-SA"/>
          <w:color w:val="111111"/>
          <w:sz w:val="28"/>
          <w:szCs w:val="28"/>
          <w:rtl/>
        </w:rPr>
        <w:t xml:space="preserve">تاريخ تأليف: دهه سوم شوال 1302ق</w:t>
      </w:r>
    </w:p>
    <w:p>
      <w:pPr>
        <w:pStyle w:val="BookText"/>
      </w:pPr>
      <w:r>
        <w:rPr>
          <w:rFonts w:ascii="IRNazanin" w:hAnsi="IRNazanin" w:eastAsia="IRNazanin" w:cs="IRNazanin"/>
          <w:lang w:bidi="fa-IR"/>
          <w:color w:val="111111"/>
          <w:sz w:val="28"/>
          <w:szCs w:val="28"/>
          <w:rtl/>
        </w:rPr>
        <w:t xml:space="preserve">در مطالبی که حاج کريم خان کرمانی با شيخ احمد احسائی و سيد کاظم رشتی مخالفت کرده با اين که خود را تابع مکتب آنان می نامد. اين کتاب به درخواست حاج ميرزا محمد تاجز یزدی فرزند حاج ميرزا احمد يزدی معروف به خوشنويس که در سفر زيارت حضرت امام رضا (علیه السّلام) همسفر مؤلف بود، تأليف شده است. چون مؤلف از اتباع شيخی های تبريز می باشد و با کرمانی ها اختلاف نظر دارد، کتاب وی دارای اسناد مهمی است مربوط به روابط هر يک از دو گروه با افکار و مکتب شيخ و سيد. اين کتاب که طی کمتر از چهار ماه تأليف شده، در دهه آخر ماه شوال 1302 پايان يافته و بعضی از مطالب آن فارسی و مشتمل بر يک «مقدمه» و چهارده «مقاله» (داراي بينات و تنبيهات) و يک خاتمه و يک توصيه می باشد بدين ترتيب: المقدمة: في سبب تأليف الكتاب، مقاله 1، فيما نقل من كتاب الفصول المهمة للكرماني؛ 2. فيما نقل من الرسالة الطولية له في السلسلة الطولية؛ 3.. فيما نقل في كيفية خلقة العالم ؛ 4 .، فيما نقل منه في السلسلة الطولية أيضاً، 5. فيما تقل منه حول الملائكة و الجن ؛6. نقل ما يدل على انكار الكرماني المعاد الجسماني: 7. نقل سؤال الله يار خان؛ 8. نقل ما كتبه الكرماني في جواب ميرزا جعفر نائب السلطنة، 9. نقل ان المشائخ ما تكلموا بدليل الحكمة أبداً ؛10. بعض مخالفات الكرماني و ابنه لهما؛ 11.نقل قول السيد في الرسالة البهبهانية؛ 12.. ما نقل من رسالة التزام النواصب، 13. نقل بعض ما انكر الاقا محمد خان من ضروريات الدين، 14، في أن كتبه مشحونة باصطلاحات القوم، الخاتمه في ترجمة المؤلف؛ التوصية: في وصايا عديدة. در ديباچه فهرست آمده که مقالات از سخنان حاج محمد کريم خان و پسرش آقا محمد خان و بينات از سخنان شيخ احمد و سيد کاظم و تنبيهات از خود مؤلف است. او در خود کتاب در سر گذشت خود همين اندازه مي گويد که شاگرد ثقة الاسلام بوده و نام خود را نهان مي دارد.</w:t>
      </w:r>
    </w:p>
    <w:p>
      <w:pPr>
        <w:pStyle w:val="BookText"/>
      </w:pPr>
      <w:r>
        <w:rPr>
          <w:rFonts w:ascii="Amiri" w:hAnsi="Amiri" w:eastAsia="Amiri" w:cs="Amiri"/>
          <w:lang w:bidi="ar-SA"/>
          <w:color w:val="111111"/>
          <w:sz w:val="28"/>
          <w:szCs w:val="28"/>
          <w:rtl/>
        </w:rPr>
        <w:t xml:space="preserve">آغاز: بسمله. الم احسب الناس أن يتركوا أن يقولو آمنا الحمد لله رب العالمين أما بعد فهذا مختصر مشتمل على زبدة ما يجب استحضاره لكل احد... و سميته بارشاد المتحيرين في أمر الدين و رتبته على مقدمة و اربعة عشر مقالات و بينات و تنبيهات و خاتمه و توصية [فهرستواره منزوي (1 نسخه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دانشگاه؛ شماره نسخه : 2859</w:t>
      </w:r>
    </w:p>
    <w:p>
      <w:pPr>
        <w:pStyle w:val="BookText"/>
      </w:pPr>
      <w:r>
        <w:rPr>
          <w:rFonts w:ascii="Amiri" w:hAnsi="Amiri" w:eastAsia="Amiri" w:cs="Amiri"/>
          <w:lang w:bidi="ar-SA"/>
          <w:color w:val="111111"/>
          <w:sz w:val="28"/>
          <w:szCs w:val="28"/>
          <w:rtl/>
        </w:rPr>
        <w:t xml:space="preserve">آغاز: برابر؛ انجام: مصليا مستغفرا</w:t>
      </w:r>
    </w:p>
    <w:p>
      <w:pPr>
        <w:pStyle w:val="BookText"/>
      </w:pPr>
      <w:r>
        <w:rPr>
          <w:rFonts w:ascii="IRNazanin" w:hAnsi="IRNazanin" w:eastAsia="IRNazanin" w:cs="IRNazanin"/>
          <w:lang w:bidi="fa-IR"/>
          <w:color w:val="111111"/>
          <w:sz w:val="28"/>
          <w:szCs w:val="28"/>
          <w:rtl/>
        </w:rPr>
        <w:t xml:space="preserve">خط: نستعليق، کاتب = مؤلف، بي تا، تاريخ تولد حاجي محمد کريم خان کرماني در شب پنج شنبه 18 محرم 1225 در صفحه عنوان هست، کاغذ. فرنگی، جلد: تيماج مشکی ضربی مقوايی، 221گ، 17سطر ( 10/5</w:t>
      </w:r>
      <w:r>
        <w:rPr>
          <w:rFonts w:ascii="Times New Roman" w:hAnsi="Times New Roman" w:eastAsia="Times New Roman" w:cs="Times New Roman"/>
          <w:lang w:val="en-US" w:bidi="en-US"/>
          <w:color w:val="111111"/>
          <w:sz w:val="28"/>
          <w:szCs w:val="28"/>
          <w:rtl/>
        </w:rPr>
        <w:t xml:space="preserve">×16/5)</w:t>
      </w:r>
    </w:p>
    <w:p>
      <w:pPr>
        <w:pStyle w:val="BookText"/>
      </w:pPr>
      <w:r>
        <w:rPr>
          <w:rFonts w:ascii="IRNazanin" w:hAnsi="IRNazanin" w:eastAsia="IRNazanin" w:cs="IRNazanin"/>
          <w:lang w:bidi="fa-IR"/>
          <w:color w:val="111111"/>
          <w:sz w:val="28"/>
          <w:szCs w:val="28"/>
          <w:rtl/>
        </w:rPr>
        <w:t xml:space="preserve">، اندازه: 18</w:t>
      </w:r>
      <w:r>
        <w:rPr>
          <w:rFonts w:ascii="Times New Roman" w:hAnsi="Times New Roman" w:eastAsia="Times New Roman" w:cs="Times New Roman"/>
          <w:lang w:val="en-US" w:bidi="en-US"/>
          <w:color w:val="111111"/>
          <w:sz w:val="28"/>
          <w:szCs w:val="28"/>
          <w:rtl/>
        </w:rPr>
        <w:t xml:space="preserve">×23</w:t>
      </w:r>
      <w:r>
        <w:rPr>
          <w:rFonts w:ascii="IRNazanin" w:hAnsi="IRNazanin" w:eastAsia="IRNazanin" w:cs="IRNazanin"/>
          <w:lang w:bidi="fa-IR"/>
          <w:color w:val="111111"/>
          <w:sz w:val="28"/>
          <w:szCs w:val="28"/>
          <w:rtl/>
        </w:rPr>
        <w:t xml:space="preserve">سم[ف: 10- 1702]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قم؛ مرعشی؛ شماره نسخه :5888</w:t>
      </w:r>
    </w:p>
    <w:p>
      <w:pPr>
        <w:pStyle w:val="BookText"/>
      </w:pPr>
      <w:r>
        <w:rPr>
          <w:rFonts w:ascii="IRNazanin" w:hAnsi="IRNazanin" w:eastAsia="IRNazanin" w:cs="IRNazanin"/>
          <w:lang w:bidi="fa-IR"/>
          <w:color w:val="111111"/>
          <w:sz w:val="28"/>
          <w:szCs w:val="28"/>
          <w:rtl/>
        </w:rPr>
        <w:t xml:space="preserve">آغاز: برابر انجام و يؤتيني کتابي بيميتي يوم القاء ولا حول ولا قوة الا بالله العلى العظيم</w:t>
      </w:r>
    </w:p>
    <w:p>
      <w:pPr>
        <w:pStyle w:val="BookText"/>
      </w:pPr>
      <w:r>
        <w:rPr>
          <w:rFonts w:ascii="IRNazanin" w:hAnsi="IRNazanin" w:eastAsia="IRNazanin" w:cs="IRNazanin"/>
          <w:lang w:bidi="fa-IR"/>
          <w:color w:val="111111"/>
          <w:sz w:val="28"/>
          <w:szCs w:val="28"/>
          <w:rtl/>
        </w:rPr>
        <w:t xml:space="preserve">خط: نستعليق، کاتب = مؤلف، بب تا؛ جلد: تيماج قهوه ای، 192گ، 20 سطر، اندازه : 16/5</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سم [ف: 15- 268]</w:t>
      </w:r>
    </w:p>
    <w:p>
      <w:pPr>
        <w:pStyle w:val="BookText"/>
      </w:pPr>
      <w:r>
        <w:rPr>
          <w:rFonts w:ascii="Amiri" w:hAnsi="Amiri" w:eastAsia="Amiri" w:cs="Amiri"/>
          <w:lang w:bidi="ar-SA"/>
          <w:color w:val="111111"/>
          <w:sz w:val="28"/>
          <w:szCs w:val="28"/>
          <w:rtl/>
        </w:rPr>
        <w:t xml:space="preserve">« ارشاد المتعلم إلى الطريق » الإرشاد في علم الميزان</w:t>
      </w:r>
    </w:p>
    <w:p>
      <w:pPr>
        <w:pStyle w:val="Heading3"/>
      </w:pPr>
      <w:bookmarkStart w:id="622" w:name="_Toc144"/>
      <w:r>
        <w:t>ارشاد المتعلمين / آداب و سنن / فارسی</w:t>
      </w:r>
      <w:bookmarkEnd w:id="622"/>
    </w:p>
    <w:p>
      <w:pPr>
        <w:pStyle w:val="BookText"/>
      </w:pPr>
      <w:r>
        <w:rPr>
          <w:rFonts w:ascii="Times New Roman" w:hAnsi="Times New Roman" w:eastAsia="Times New Roman" w:cs="Times New Roman"/>
          <w:lang w:val="en-US" w:bidi="en-US"/>
          <w:color w:val="111111"/>
          <w:sz w:val="28"/>
          <w:szCs w:val="28"/>
          <w:rtl/>
        </w:rPr>
        <w:t xml:space="preserve">eršād-ol-mote‘allemīn</w:t>
      </w:r>
    </w:p>
    <w:p>
      <w:pPr>
        <w:pStyle w:val="BookText"/>
      </w:pPr>
      <w:r>
        <w:rPr>
          <w:rFonts w:ascii="IRNazanin" w:hAnsi="IRNazanin" w:eastAsia="IRNazanin" w:cs="IRNazanin"/>
          <w:lang w:bidi="fa-IR"/>
          <w:color w:val="111111"/>
          <w:sz w:val="28"/>
          <w:szCs w:val="28"/>
          <w:rtl/>
        </w:rPr>
        <w:t xml:space="preserve">موسوی عاملی، محمد بن حيدر، ق13 قمري</w:t>
      </w:r>
    </w:p>
    <w:p>
      <w:pPr>
        <w:pStyle w:val="BookText"/>
      </w:pPr>
      <w:r>
        <w:rPr>
          <w:rFonts w:ascii="Times New Roman" w:hAnsi="Times New Roman" w:eastAsia="Times New Roman" w:cs="Times New Roman"/>
          <w:lang w:val="en-US" w:bidi="en-US"/>
          <w:color w:val="111111"/>
          <w:sz w:val="28"/>
          <w:szCs w:val="28"/>
          <w:rtl/>
        </w:rPr>
        <w:t xml:space="preserve">(mūsavī ‘āmelī, mohammad ebn-e heydar ( - 19c)</w:t>
      </w:r>
    </w:p>
    <w:p>
      <w:pPr>
        <w:pStyle w:val="BookText"/>
      </w:pPr>
      <w:r>
        <w:rPr>
          <w:rFonts w:ascii="Amiri" w:hAnsi="Amiri" w:eastAsia="Amiri" w:cs="Amiri"/>
          <w:lang w:bidi="ar-SA"/>
          <w:color w:val="111111"/>
          <w:sz w:val="28"/>
          <w:szCs w:val="28"/>
          <w:rtl/>
        </w:rPr>
        <w:t xml:space="preserve">تاريخ تأليف: 1240ق</w:t>
      </w:r>
    </w:p>
    <w:p>
      <w:pPr>
        <w:pStyle w:val="BookText"/>
      </w:pPr>
      <w:r>
        <w:rPr>
          <w:rFonts w:ascii="IRNazanin" w:hAnsi="IRNazanin" w:eastAsia="IRNazanin" w:cs="IRNazanin"/>
          <w:lang w:bidi="fa-IR"/>
          <w:color w:val="111111"/>
          <w:sz w:val="28"/>
          <w:szCs w:val="28"/>
          <w:rtl/>
        </w:rPr>
        <w:t xml:space="preserve">حديثی که کلينی در «اصول کافی» در اوصاف عالمان و طالبان علم بيان کرده در اين کتاب ترجمه کرده و توضيحاتی بر آن، با عناوين «ارشاد ارشاد» افزوده است. او پس از هرج و مرج در خراسان که فساد اهل علم و دين را ديده بدين تأليف همت گمارده است .</w:t>
      </w:r>
    </w:p>
    <w:p>
      <w:pPr>
        <w:pStyle w:val="BookText"/>
      </w:pPr>
      <w:r>
        <w:rPr>
          <w:rFonts w:ascii="IRNazanin" w:hAnsi="IRNazanin" w:eastAsia="IRNazanin" w:cs="IRNazanin"/>
          <w:lang w:bidi="fa-IR"/>
          <w:color w:val="111111"/>
          <w:sz w:val="28"/>
          <w:szCs w:val="28"/>
          <w:rtl/>
        </w:rPr>
        <w:t xml:space="preserve">قم؛ ارگانی بهبهانی؛ شماره نسخه: 126</w:t>
      </w:r>
    </w:p>
    <w:p>
      <w:pPr>
        <w:pStyle w:val="BookText"/>
      </w:pPr>
      <w:r>
        <w:rPr>
          <w:rFonts w:ascii="IRNazanin" w:hAnsi="IRNazanin" w:eastAsia="IRNazanin" w:cs="IRNazanin"/>
          <w:lang w:bidi="fa-IR"/>
          <w:color w:val="111111"/>
          <w:sz w:val="28"/>
          <w:szCs w:val="28"/>
          <w:rtl/>
        </w:rPr>
        <w:t xml:space="preserve">آغاز: الحمد لله رب العالمين .. و بعد چنين گويد بنده غريق بحر معاصی که در وقتی که به غربت خراسان مبتلا بودم؛ انجام: شماست از احوال معاد و کيفيت حسر و احوال برزخ</w:t>
      </w:r>
    </w:p>
    <w:p>
      <w:pPr>
        <w:pStyle w:val="BookText"/>
      </w:pPr>
      <w:r>
        <w:rPr>
          <w:rFonts w:ascii="IRNazanin" w:hAnsi="IRNazanin" w:eastAsia="IRNazanin" w:cs="IRNazanin"/>
          <w:lang w:bidi="fa-IR"/>
          <w:color w:val="111111"/>
          <w:sz w:val="28"/>
          <w:szCs w:val="28"/>
          <w:rtl/>
        </w:rPr>
        <w:t xml:space="preserve">خط: نستعليق مايل به نسخ، بی کا، بی تا، افتادگی: انجام؛ از عصر مؤلف و احتمالاً به خط وی، دارای خط خوردگی و اصلاحات، در برگ 91 حاشيه ای است با امضای «احمد الشريف الحسينی»، بر فراز صفحه عنوان يادداشتی از سيد حسين 8812خريده و سپس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50" w:name="pg20365_260066"/>
    <w:bookmarkEnd w:id="50"/>
    <w:p>
      <w:pPr>
        <w:pStyle w:val="BookText"/>
      </w:pPr>
      <w:r>
        <w:rPr>
          <w:rFonts w:ascii="IRNazanin" w:hAnsi="IRNazanin" w:eastAsia="IRNazanin" w:cs="IRNazanin"/>
          <w:lang w:bidi="fa-IR"/>
          <w:color w:val="111111"/>
          <w:sz w:val="28"/>
          <w:szCs w:val="28"/>
          <w:rtl/>
        </w:rPr>
        <w:t xml:space="preserve">می افزاید : « خداوند از چنین سالی که گذشت بندگان خود را حفظ کند»؛ تملک: سید علی بن سید اسماعیل ( ترک آبادی؟)؛ جلد: تیماج قهوه ای بدون مقوا ، 178گ، 14سطر، اندازه: 13/5</w:t>
      </w:r>
      <w:r>
        <w:rPr>
          <w:rFonts w:ascii="Times New Roman" w:hAnsi="Times New Roman" w:eastAsia="Times New Roman" w:cs="Times New Roman"/>
          <w:lang w:val="en-US" w:bidi="en-US"/>
          <w:color w:val="111111"/>
          <w:sz w:val="28"/>
          <w:szCs w:val="28"/>
          <w:rtl/>
        </w:rPr>
        <w:t xml:space="preserve">×24/5</w:t>
      </w:r>
      <w:r>
        <w:rPr>
          <w:rFonts w:ascii="IRNazanin" w:hAnsi="IRNazanin" w:eastAsia="IRNazanin" w:cs="IRNazanin"/>
          <w:lang w:bidi="fa-IR"/>
          <w:color w:val="111111"/>
          <w:sz w:val="28"/>
          <w:szCs w:val="28"/>
          <w:rtl/>
        </w:rPr>
        <w:t xml:space="preserve">سم[ف: 96]</w:t>
      </w:r>
    </w:p>
    <w:p>
      <w:pPr>
        <w:pStyle w:val="Heading3"/>
      </w:pPr>
      <w:bookmarkStart w:id="623" w:name="_Toc145"/>
      <w:r>
        <w:t>ارشاد (مجله) (ترکی) / مجله / ترکی – فارسی</w:t>
      </w:r>
      <w:bookmarkEnd w:id="623"/>
    </w:p>
    <w:p>
      <w:pPr>
        <w:pStyle w:val="BookText"/>
      </w:pPr>
      <w:r>
        <w:rPr>
          <w:rFonts w:ascii="Times New Roman" w:hAnsi="Times New Roman" w:eastAsia="Times New Roman" w:cs="Times New Roman"/>
          <w:lang w:val="en-US" w:bidi="en-US"/>
          <w:color w:val="111111"/>
          <w:sz w:val="28"/>
          <w:szCs w:val="28"/>
          <w:rtl/>
        </w:rPr>
        <w:t xml:space="preserve">eršād (majalle-ye torkī)</w:t>
      </w:r>
    </w:p>
    <w:p>
      <w:pPr>
        <w:pStyle w:val="BookText"/>
      </w:pPr>
      <w:r>
        <w:rPr>
          <w:rFonts w:ascii="IRNazanin" w:hAnsi="IRNazanin" w:eastAsia="IRNazanin" w:cs="IRNazanin"/>
          <w:lang w:bidi="fa-IR"/>
          <w:color w:val="111111"/>
          <w:sz w:val="28"/>
          <w:szCs w:val="28"/>
          <w:rtl/>
        </w:rPr>
        <w:t xml:space="preserve">اصفهان صارم الدوله (کتابخانه فرهنگ اصفهان) شماره نسخه: 879</w:t>
      </w:r>
    </w:p>
    <w:p>
      <w:pPr>
        <w:pStyle w:val="BookText"/>
      </w:pPr>
      <w:r>
        <w:rPr>
          <w:rFonts w:ascii="IRNazanin" w:hAnsi="IRNazanin" w:eastAsia="IRNazanin" w:cs="IRNazanin"/>
          <w:lang w:bidi="fa-IR"/>
          <w:color w:val="111111"/>
          <w:sz w:val="28"/>
          <w:szCs w:val="28"/>
          <w:rtl/>
        </w:rPr>
        <w:t xml:space="preserve">صاحب امتیاز احمد بگ آقایوف شماره یک شنبه ذیقعده 1323 مطابق 1905 از صفحه اول تا 19 ترکی و از 19 تا23 فارسی؛ خط: نسخ، بی کا، تا: قرن 14 ؛کاغذ: فرنگی، جلد: مقوایی با عطف ،پارچه 23 ص 31 سطر (18</w:t>
      </w:r>
      <w:r>
        <w:rPr>
          <w:rFonts w:ascii="Times New Roman" w:hAnsi="Times New Roman" w:eastAsia="Times New Roman" w:cs="Times New Roman"/>
          <w:lang w:val="en-US" w:bidi="en-US"/>
          <w:color w:val="111111"/>
          <w:sz w:val="28"/>
          <w:szCs w:val="28"/>
          <w:rtl/>
        </w:rPr>
        <w:t xml:space="preserve">×28) </w:t>
      </w:r>
      <w:r>
        <w:rPr>
          <w:rFonts w:ascii="IRNazanin" w:hAnsi="IRNazanin" w:eastAsia="IRNazanin" w:cs="IRNazanin"/>
          <w:lang w:bidi="fa-IR"/>
          <w:color w:val="111111"/>
          <w:sz w:val="28"/>
          <w:szCs w:val="28"/>
          <w:rtl/>
        </w:rPr>
        <w:t xml:space="preserve">اندازه: 22</w:t>
      </w: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[ف: 22]</w:t>
      </w:r>
    </w:p>
    <w:p>
      <w:pPr>
        <w:pStyle w:val="Heading3"/>
      </w:pPr>
      <w:bookmarkStart w:id="624" w:name="_Toc146"/>
      <w:r>
        <w:t>ارشاد المريد الى المراد = مراد نامه / کلام و اعتقادات / ترکی</w:t>
      </w:r>
      <w:bookmarkEnd w:id="624"/>
    </w:p>
    <w:p>
      <w:pPr>
        <w:pStyle w:val="BookText"/>
      </w:pPr>
      <w:r>
        <w:rPr>
          <w:rFonts w:ascii="Times New Roman" w:hAnsi="Times New Roman" w:eastAsia="Times New Roman" w:cs="Times New Roman"/>
          <w:lang w:val="en-US" w:bidi="en-US"/>
          <w:color w:val="111111"/>
          <w:sz w:val="28"/>
          <w:szCs w:val="28"/>
          <w:rtl/>
        </w:rPr>
        <w:t xml:space="preserve">eršād-ol-morīd el-al-morād = morād nāme</w:t>
      </w:r>
    </w:p>
    <w:p>
      <w:pPr>
        <w:pStyle w:val="BookText"/>
      </w:pPr>
      <w:r>
        <w:rPr>
          <w:rFonts w:ascii="IRNazanin" w:hAnsi="IRNazanin" w:eastAsia="IRNazanin" w:cs="IRNazanin"/>
          <w:lang w:bidi="fa-IR"/>
          <w:color w:val="111111"/>
          <w:sz w:val="28"/>
          <w:szCs w:val="28"/>
          <w:rtl/>
        </w:rPr>
        <w:t xml:space="preserve">قره حصاری قاسم بن محمود ق 9 قمری</w:t>
      </w:r>
    </w:p>
    <w:p>
      <w:pPr>
        <w:pStyle w:val="BookText"/>
      </w:pPr>
      <w:r>
        <w:rPr>
          <w:rFonts w:ascii="Times New Roman" w:hAnsi="Times New Roman" w:eastAsia="Times New Roman" w:cs="Times New Roman"/>
          <w:lang w:val="en-US" w:bidi="en-US"/>
          <w:color w:val="111111"/>
          <w:sz w:val="28"/>
          <w:szCs w:val="28"/>
          <w:rtl/>
        </w:rPr>
        <w:t xml:space="preserve">qara hesārī, qāsem-e-bn-e mahmūd ( - 15c)</w:t>
      </w:r>
    </w:p>
    <w:p>
      <w:pPr>
        <w:pStyle w:val="BookText"/>
      </w:pPr>
      <w:r>
        <w:rPr>
          <w:rFonts w:ascii="IRNazanin" w:hAnsi="IRNazanin" w:eastAsia="IRNazanin" w:cs="IRNazanin"/>
          <w:lang w:bidi="fa-IR"/>
          <w:color w:val="111111"/>
          <w:sz w:val="28"/>
          <w:szCs w:val="28"/>
          <w:rtl/>
        </w:rPr>
        <w:t xml:space="preserve">وابسته به: مرصاد العباد من المبدأ الى المعاد؛ نجم رازى، عبد الله بن محمد )( 654-570)</w:t>
      </w:r>
    </w:p>
    <w:p>
      <w:pPr>
        <w:pStyle w:val="BookText"/>
      </w:pPr>
      <w:r>
        <w:rPr>
          <w:rFonts w:ascii="IRNazanin" w:hAnsi="IRNazanin" w:eastAsia="IRNazanin" w:cs="IRNazanin"/>
          <w:lang w:bidi="fa-IR"/>
          <w:color w:val="111111"/>
          <w:sz w:val="28"/>
          <w:szCs w:val="28"/>
          <w:rtl/>
        </w:rPr>
        <w:t xml:space="preserve">اهداء به: مراد دوم پسر محمد ( 855-824 )</w:t>
      </w:r>
    </w:p>
    <w:p>
      <w:pPr>
        <w:pStyle w:val="BookText"/>
      </w:pPr>
      <w:r>
        <w:rPr>
          <w:rFonts w:ascii="Amiri" w:hAnsi="Amiri" w:eastAsia="Amiri" w:cs="Amiri"/>
          <w:lang w:bidi="ar-SA"/>
          <w:color w:val="111111"/>
          <w:sz w:val="28"/>
          <w:szCs w:val="28"/>
          <w:rtl/>
        </w:rPr>
        <w:t xml:space="preserve">تاريخ تأليف: 825ق</w:t>
      </w:r>
    </w:p>
    <w:p>
      <w:pPr>
        <w:pStyle w:val="BookText"/>
      </w:pPr>
      <w:r>
        <w:rPr>
          <w:rFonts w:ascii="IRNazanin" w:hAnsi="IRNazanin" w:eastAsia="IRNazanin" w:cs="IRNazanin"/>
          <w:lang w:bidi="fa-IR"/>
          <w:color w:val="111111"/>
          <w:sz w:val="28"/>
          <w:szCs w:val="28"/>
          <w:rtl/>
        </w:rPr>
        <w:t xml:space="preserve">در پنج «باب»، با ماده تاریخ «ختامه مسک» «سکزیو زیگرم بیشده ختم» ( 825) در فهرست بادلیان 1248 تنها از آن یادی شده است.</w:t>
      </w:r>
    </w:p>
    <w:p>
      <w:pPr>
        <w:pStyle w:val="BookText"/>
      </w:pPr>
      <w:r>
        <w:rPr>
          <w:rFonts w:ascii="IRNazanin" w:hAnsi="IRNazanin" w:eastAsia="IRNazanin" w:cs="IRNazanin"/>
          <w:lang w:bidi="fa-IR"/>
          <w:color w:val="111111"/>
          <w:sz w:val="28"/>
          <w:szCs w:val="28"/>
          <w:rtl/>
        </w:rPr>
        <w:t xml:space="preserve">[قرطای 147-دیباچه مرصاد العباد از ریاحی 125]</w:t>
      </w:r>
    </w:p>
    <w:p>
      <w:pPr>
        <w:pStyle w:val="BookText"/>
      </w:pPr>
      <w:r>
        <w:rPr>
          <w:rFonts w:ascii="IRNazanin" w:hAnsi="IRNazanin" w:eastAsia="IRNazanin" w:cs="IRNazanin"/>
          <w:lang w:bidi="fa-IR"/>
          <w:color w:val="111111"/>
          <w:sz w:val="28"/>
          <w:szCs w:val="28"/>
          <w:rtl/>
        </w:rPr>
        <w:t xml:space="preserve">تهران؛ دانشگاه؛ شماره نسخه: 9690</w:t>
      </w:r>
    </w:p>
    <w:p>
      <w:pPr>
        <w:pStyle w:val="BookText"/>
      </w:pPr>
      <w:r>
        <w:rPr>
          <w:rFonts w:ascii="IRNazanin" w:hAnsi="IRNazanin" w:eastAsia="IRNazanin" w:cs="IRNazanin"/>
          <w:lang w:bidi="fa-IR"/>
          <w:color w:val="111111"/>
          <w:sz w:val="28"/>
          <w:szCs w:val="28"/>
          <w:rtl/>
        </w:rPr>
        <w:t xml:space="preserve">خط: نسخ ،معرب، بی کا، تا: قرن 10 با تاریخ آغاز جمادی الثانی 978 که باید از نسخه ای آورده باشند،کاغذ ،استانبولی، جلد: گالینگور عطف تیماج سرخ مقوایی، 256گ، 15 سطر (12</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،قطع ،وزیری اند:18</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17 - 452]</w:t>
      </w:r>
    </w:p>
    <w:p>
      <w:pPr>
        <w:pStyle w:val="Heading3"/>
      </w:pPr>
      <w:bookmarkStart w:id="625" w:name="_Toc147"/>
      <w:r>
        <w:t>ارشاد المریدین / عرفان و تصوف / عربی</w:t>
      </w:r>
      <w:bookmarkEnd w:id="625"/>
    </w:p>
    <w:p>
      <w:pPr>
        <w:pStyle w:val="BookText"/>
      </w:pPr>
      <w:r>
        <w:rPr>
          <w:rFonts w:ascii="Times New Roman" w:hAnsi="Times New Roman" w:eastAsia="Times New Roman" w:cs="Times New Roman"/>
          <w:lang w:val="en-US" w:bidi="en-US"/>
          <w:color w:val="111111"/>
          <w:sz w:val="28"/>
          <w:szCs w:val="28"/>
          <w:rtl/>
        </w:rPr>
        <w:t xml:space="preserve">iršād-ul murīdīn</w:t>
      </w:r>
    </w:p>
    <w:p>
      <w:pPr>
        <w:pStyle w:val="BookText"/>
      </w:pPr>
      <w:r>
        <w:rPr>
          <w:rFonts w:ascii="IRNazanin" w:hAnsi="IRNazanin" w:eastAsia="IRNazanin" w:cs="IRNazanin"/>
          <w:lang w:bidi="fa-IR"/>
          <w:color w:val="111111"/>
          <w:sz w:val="28"/>
          <w:szCs w:val="28"/>
          <w:rtl/>
        </w:rPr>
        <w:t xml:space="preserve">نجم الدین ،کبری احمد بن ،عمر 540 - 618؟ قمرى</w:t>
      </w:r>
    </w:p>
    <w:p>
      <w:pPr>
        <w:pStyle w:val="BookText"/>
      </w:pPr>
      <w:r>
        <w:rPr>
          <w:rFonts w:ascii="Times New Roman" w:hAnsi="Times New Roman" w:eastAsia="Times New Roman" w:cs="Times New Roman"/>
          <w:lang w:val="en-US" w:bidi="en-US"/>
          <w:color w:val="111111"/>
          <w:sz w:val="28"/>
          <w:szCs w:val="28"/>
          <w:rtl/>
        </w:rPr>
        <w:t xml:space="preserve">(najm-od-dīn-e kobrā, ahmad ebn-e ‘omar(1146- 1222(</w:t>
      </w:r>
    </w:p>
    <w:p>
      <w:pPr>
        <w:pStyle w:val="BookText"/>
      </w:pPr>
      <w:r>
        <w:rPr>
          <w:rFonts w:ascii="IRNazanin" w:hAnsi="IRNazanin" w:eastAsia="IRNazanin" w:cs="IRNazanin"/>
          <w:lang w:bidi="fa-IR"/>
          <w:color w:val="111111"/>
          <w:sz w:val="28"/>
          <w:szCs w:val="28"/>
          <w:rtl/>
        </w:rPr>
        <w:t xml:space="preserve">تهران؛ مجلس؛ شماره نسخه: 1270</w:t>
      </w:r>
    </w:p>
    <w:p>
      <w:pPr>
        <w:pStyle w:val="BookText"/>
      </w:pPr>
      <w:r>
        <w:rPr>
          <w:rFonts w:ascii="Amiri" w:hAnsi="Amiri" w:eastAsia="Amiri" w:cs="Amiri"/>
          <w:lang w:bidi="ar-SA"/>
          <w:color w:val="111111"/>
          <w:sz w:val="28"/>
          <w:szCs w:val="28"/>
          <w:rtl/>
        </w:rPr>
        <w:t xml:space="preserve">آغاز: بعد بسمله و حمد. اما بعد فقد طلب منى جماعة من اصدقائى و زمرة من اخلائى ان اجمعلهم مختصراً فى بيان مذهب</w:t>
      </w:r>
    </w:p>
    <w:p>
      <w:pPr>
        <w:pStyle w:val="BookText"/>
      </w:pPr>
      <w:r>
        <w:rPr>
          <w:rFonts w:ascii="Amiri" w:hAnsi="Amiri" w:eastAsia="Amiri" w:cs="Amiri"/>
          <w:lang w:bidi="ar-SA"/>
          <w:color w:val="111111"/>
          <w:sz w:val="28"/>
          <w:szCs w:val="28"/>
          <w:rtl/>
        </w:rPr>
        <w:t xml:space="preserve">ارباب السلوك؛ انجام: فمن كان متحرزاً من الافعال و الاقوال المذمومة و متحزراً عن قرب الحرام والشبهات... تم الارشاد بعون الله.</w:t>
      </w:r>
    </w:p>
    <w:p>
      <w:pPr>
        <w:pStyle w:val="BookText"/>
      </w:pPr>
      <w:r>
        <w:rPr>
          <w:rFonts w:ascii="IRNazanin" w:hAnsi="IRNazanin" w:eastAsia="IRNazanin" w:cs="IRNazanin"/>
          <w:lang w:bidi="fa-IR"/>
          <w:color w:val="111111"/>
          <w:sz w:val="28"/>
          <w:szCs w:val="28"/>
          <w:rtl/>
        </w:rPr>
        <w:t xml:space="preserve">خط: نسخ، بی کا، تا: جمعه صفر 857ق؛ کاغذ: سفید، جلد: مقوایی عطف تیماج مشکی، 36گ، 18-19 سطر (9 و 10</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و ،(13) اندازه 14</w:t>
      </w:r>
      <w:r>
        <w:rPr>
          <w:rFonts w:ascii="Times New Roman" w:hAnsi="Times New Roman" w:eastAsia="Times New Roman" w:cs="Times New Roman"/>
          <w:lang w:val="en-US" w:bidi="en-US"/>
          <w:color w:val="111111"/>
          <w:sz w:val="28"/>
          <w:szCs w:val="28"/>
          <w:rtl/>
        </w:rPr>
        <w:t xml:space="preserve">× 18</w:t>
      </w:r>
      <w:r>
        <w:rPr>
          <w:rFonts w:ascii="IRNazanin" w:hAnsi="IRNazanin" w:eastAsia="IRNazanin" w:cs="IRNazanin"/>
          <w:lang w:bidi="fa-IR"/>
          <w:color w:val="111111"/>
          <w:sz w:val="28"/>
          <w:szCs w:val="28"/>
          <w:rtl/>
        </w:rPr>
        <w:t xml:space="preserve">سم [سنا - ف: 2 - 201]</w:t>
      </w:r>
    </w:p>
    <w:p>
      <w:pPr>
        <w:pStyle w:val="Heading3"/>
      </w:pPr>
      <w:bookmarkStart w:id="626" w:name="_Toc148"/>
      <w:r>
        <w:t>ارشاد المريدين / عرفان و تصوف، شعر / فارسی</w:t>
      </w:r>
      <w:bookmarkEnd w:id="626"/>
    </w:p>
    <w:p>
      <w:pPr>
        <w:pStyle w:val="BookText"/>
      </w:pPr>
      <w:r>
        <w:rPr>
          <w:rFonts w:ascii="Times New Roman" w:hAnsi="Times New Roman" w:eastAsia="Times New Roman" w:cs="Times New Roman"/>
          <w:lang w:val="en-US" w:bidi="en-US"/>
          <w:color w:val="111111"/>
          <w:sz w:val="28"/>
          <w:szCs w:val="28"/>
          <w:rtl/>
        </w:rPr>
        <w:t xml:space="preserve">iršād-ul murīdīn</w:t>
      </w:r>
    </w:p>
    <w:p>
      <w:pPr>
        <w:pStyle w:val="BookText"/>
      </w:pPr>
      <w:r>
        <w:rPr>
          <w:rFonts w:ascii="IRNazanin" w:hAnsi="IRNazanin" w:eastAsia="IRNazanin" w:cs="IRNazanin"/>
          <w:lang w:bidi="fa-IR"/>
          <w:color w:val="111111"/>
          <w:sz w:val="28"/>
          <w:szCs w:val="28"/>
          <w:rtl/>
        </w:rPr>
        <w:t xml:space="preserve">طوسی، فضل الله بن علاء الدین، - 914 قمری</w:t>
      </w:r>
    </w:p>
    <w:p>
      <w:pPr>
        <w:pStyle w:val="BookText"/>
      </w:pPr>
      <w:r>
        <w:rPr>
          <w:rFonts w:ascii="Times New Roman" w:hAnsi="Times New Roman" w:eastAsia="Times New Roman" w:cs="Times New Roman"/>
          <w:lang w:val="en-US" w:bidi="en-US"/>
          <w:color w:val="111111"/>
          <w:sz w:val="28"/>
          <w:szCs w:val="28"/>
          <w:rtl/>
        </w:rPr>
        <w:t xml:space="preserve">(tūsī, fazl-ol-lāh ebn-e 'ala'-od-din (- 1509)</w:t>
      </w:r>
    </w:p>
    <w:p>
      <w:pPr>
        <w:pStyle w:val="BookText"/>
      </w:pPr>
      <w:r>
        <w:rPr>
          <w:rFonts w:ascii="IRNazanin" w:hAnsi="IRNazanin" w:eastAsia="IRNazanin" w:cs="IRNazanin"/>
          <w:lang w:bidi="fa-IR"/>
          <w:color w:val="111111"/>
          <w:sz w:val="28"/>
          <w:szCs w:val="28"/>
          <w:rtl/>
        </w:rPr>
        <w:t xml:space="preserve">مثنوی اسامی مقتدیان سلسله کبرویه حسینه، از عمادالدین فضل الله که بایستی همان برزش آبادی طوسی  (-914ق 1508م) از</w:t>
      </w:r>
    </w:p>
    <w:p>
      <w:pPr>
        <w:pStyle w:val="BookText"/>
      </w:pPr>
      <w:r>
        <w:rPr>
          <w:rFonts w:ascii="IRNazanin" w:hAnsi="IRNazanin" w:eastAsia="IRNazanin" w:cs="IRNazanin"/>
          <w:lang w:bidi="fa-IR"/>
          <w:color w:val="111111"/>
          <w:sz w:val="28"/>
          <w:szCs w:val="28"/>
          <w:rtl/>
        </w:rPr>
        <w:t xml:space="preserve">خلیفگان حاج محمد خبوشانی باشد.</w:t>
      </w:r>
    </w:p>
    <w:p>
      <w:pPr>
        <w:pStyle w:val="BookText"/>
      </w:pPr>
      <w:r>
        <w:rPr>
          <w:rFonts w:ascii="IRNazanin" w:hAnsi="IRNazanin" w:eastAsia="IRNazanin" w:cs="IRNazanin"/>
          <w:lang w:bidi="fa-IR"/>
          <w:color w:val="111111"/>
          <w:sz w:val="28"/>
          <w:szCs w:val="28"/>
          <w:rtl/>
        </w:rPr>
        <w:t xml:space="preserve">آغاز: ای بنام تو افتتاح امور *** وی بیاد تو انشراح صدور</w:t>
      </w:r>
    </w:p>
    <w:p>
      <w:pPr>
        <w:pStyle w:val="BookText"/>
      </w:pPr>
      <w:r>
        <w:rPr>
          <w:rFonts w:ascii="IRNazanin" w:hAnsi="IRNazanin" w:eastAsia="IRNazanin" w:cs="IRNazanin"/>
          <w:lang w:bidi="fa-IR"/>
          <w:color w:val="111111"/>
          <w:sz w:val="28"/>
          <w:szCs w:val="28"/>
          <w:rtl/>
        </w:rPr>
        <w:t xml:space="preserve">[فهرستواره منزوی 137/10]</w:t>
      </w:r>
    </w:p>
    <w:p>
      <w:pPr>
        <w:pStyle w:val="BookText"/>
      </w:pPr>
      <w:r>
        <w:rPr>
          <w:rFonts w:ascii="IRNazanin" w:hAnsi="IRNazanin" w:eastAsia="IRNazanin" w:cs="IRNazanin"/>
          <w:lang w:bidi="fa-IR"/>
          <w:color w:val="111111"/>
          <w:sz w:val="28"/>
          <w:szCs w:val="28"/>
          <w:rtl/>
        </w:rPr>
        <w:t xml:space="preserve">تهران؛ ملک؛ شماره نسخه: 487/3</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کا: قاسم داغستانی، تا: محرم 1275ق؛کاغذ: آهار مهره فرنگی ،جلد: میشن قهوه ای سیر، 13 سطر [ف: 5-37]</w:t>
      </w:r>
    </w:p>
    <w:p>
      <w:pPr>
        <w:pStyle w:val="Heading3"/>
      </w:pPr>
      <w:bookmarkStart w:id="627" w:name="_Toc149"/>
      <w:r>
        <w:t>ارشاد المريدين / عرفان و تصوف / فارسی</w:t>
      </w:r>
      <w:bookmarkEnd w:id="627"/>
    </w:p>
    <w:p>
      <w:pPr>
        <w:pStyle w:val="BookText"/>
      </w:pPr>
      <w:r>
        <w:rPr>
          <w:rFonts w:ascii="Times New Roman" w:hAnsi="Times New Roman" w:eastAsia="Times New Roman" w:cs="Times New Roman"/>
          <w:lang w:val="en-US" w:bidi="en-US"/>
          <w:color w:val="111111"/>
          <w:sz w:val="28"/>
          <w:szCs w:val="28"/>
          <w:rtl/>
        </w:rPr>
        <w:t xml:space="preserve">iršād-ul murīdīn</w:t>
      </w:r>
    </w:p>
    <w:p>
      <w:pPr>
        <w:pStyle w:val="BookText"/>
      </w:pPr>
      <w:r>
        <w:rPr>
          <w:rFonts w:ascii="IRNazanin" w:hAnsi="IRNazanin" w:eastAsia="IRNazanin" w:cs="IRNazanin"/>
          <w:lang w:bidi="fa-IR"/>
          <w:color w:val="111111"/>
          <w:sz w:val="28"/>
          <w:szCs w:val="28"/>
          <w:rtl/>
        </w:rPr>
        <w:t xml:space="preserve">خوارزمی حسینی کمال الدین حسین - 958 قمری</w:t>
      </w:r>
    </w:p>
    <w:p>
      <w:pPr>
        <w:pStyle w:val="BookText"/>
      </w:pPr>
      <w:r>
        <w:rPr>
          <w:rFonts w:ascii="Times New Roman" w:hAnsi="Times New Roman" w:eastAsia="Times New Roman" w:cs="Times New Roman"/>
          <w:lang w:val="en-US" w:bidi="en-US"/>
          <w:color w:val="111111"/>
          <w:sz w:val="28"/>
          <w:szCs w:val="28"/>
          <w:rtl/>
        </w:rPr>
        <w:t xml:space="preserve">(xārazmī hoseynī, kamāl-od-dīn hoseyn (- 1551)</w:t>
      </w:r>
    </w:p>
    <w:p>
      <w:pPr>
        <w:pStyle w:val="BookText"/>
      </w:pPr>
      <w:r>
        <w:rPr>
          <w:rFonts w:ascii="IRNazanin" w:hAnsi="IRNazanin" w:eastAsia="IRNazanin" w:cs="IRNazanin"/>
          <w:lang w:bidi="fa-IR"/>
          <w:color w:val="111111"/>
          <w:sz w:val="28"/>
          <w:szCs w:val="28"/>
          <w:rtl/>
        </w:rPr>
        <w:t xml:space="preserve">به خواهش گروهی از طالبان</w:t>
      </w:r>
    </w:p>
    <w:p>
      <w:pPr>
        <w:pStyle w:val="BookText"/>
      </w:pPr>
      <w:r>
        <w:rPr>
          <w:rFonts w:ascii="IRNazanin" w:hAnsi="IRNazanin" w:eastAsia="IRNazanin" w:cs="IRNazanin"/>
          <w:lang w:bidi="fa-IR"/>
          <w:color w:val="111111"/>
          <w:sz w:val="28"/>
          <w:szCs w:val="28"/>
          <w:rtl/>
        </w:rPr>
        <w:t xml:space="preserve">تاريخ تأليف: 5 ذيحجه 925ق؛ محل تألیف: موضع بیگ اداغی از توابع خوارزم در خانه شیخ محمد خواجه از اولاد بدر اتابی به خواهش گروهی از طالبان به نام «ارشاد المريدين»، به نظم و نثر در آداب سیر و سلوک مشتمل بر 4 «فصل» و 1 «خاتمه» (دیباچه) 1. موعظه به طالبان و عاشقان وسالکان؛ 2. بیان احتیاج به شیخ کامل و مکمل؛ 3. اطوار سبعه و معرفت مقتدا؛ 4. آداب و شرایط سلوک در هشت «ادب» 1) خاموشی، 5) دوام ذكر، 6) نفر خواطر از ماسوا 7) ربط قلب با شیخ؛ 8 )ترک اعتراض و دوام رضا، خاتمه در نصیحت طالبان. تخلص او «حسینی »دوبار در دیباچه آمده است. در پایان فصل یکم زنجیره طریقت خود را از بالا به پایین چنین می آورد «پیامبر (صلّی اللَّهِ علیه وَ آلِهِ وَ سَلَّمَ ) حضرت على (علیه السّلام)... مير سيد علی همدانی شیخ اسحاق جیلانی، میر عبدالله برزش آبادی، رشیدالدین اسفراینی، شاه علی بیدوازی، شیخی و مرشدی حاجی محمد و از ایشان به «مؤلف» اعنى المفتقر حسين الخوارزمی»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51" w:name="pg20365_260067"/>
    <w:bookmarkEnd w:id="51"/>
    <w:p>
      <w:pPr>
        <w:pStyle w:val="BookText"/>
      </w:pPr>
      <w:r>
        <w:rPr>
          <w:rFonts w:ascii="IRNazanin" w:hAnsi="IRNazanin" w:eastAsia="IRNazanin" w:cs="IRNazanin"/>
          <w:lang w:bidi="fa-IR"/>
          <w:color w:val="111111"/>
          <w:sz w:val="28"/>
          <w:szCs w:val="28"/>
          <w:rtl/>
        </w:rPr>
        <w:t xml:space="preserve">آغاز: الحمد لله الذى رفع علام الشريعة بميامن بيان ائمة الدين و زین سرابيل اهل الحق بحلل الحقايق و الیقین و نور بانوار التجليات مشكوة قلوب العارفين</w:t>
      </w:r>
    </w:p>
    <w:p>
      <w:pPr>
        <w:pStyle w:val="BookText"/>
      </w:pPr>
      <w:r>
        <w:rPr>
          <w:rFonts w:ascii="IRNazanin" w:hAnsi="IRNazanin" w:eastAsia="IRNazanin" w:cs="IRNazanin"/>
          <w:lang w:bidi="fa-IR"/>
          <w:color w:val="111111"/>
          <w:sz w:val="28"/>
          <w:szCs w:val="28"/>
          <w:rtl/>
        </w:rPr>
        <w:t xml:space="preserve">انجام: هر کس که رساله را بخواند*** یک فاتحه ای بما بخواند / یا رب بریش بلطف و احسان *** از دار جهان بنور ایمان [فهرستواره منزوی 55/7]</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مجلس؛ شماره نسخه : 10043/1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نستعليق، كا: علی محمد، تا: محرم 956،ق، جا: ولايت خيوق ؛مصحح ؛ تملک: مصطفی طالب خانه خاصه ؛جلد: تیماج قهوه ای مجدول، 76گ (1پ- 76پ)، 9 سطر ، اندازه: 12/5</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ف: 32 - 57]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ملک؛ شماره نسخه : 487/1</w:t>
      </w:r>
    </w:p>
    <w:p>
      <w:pPr>
        <w:pStyle w:val="BookText"/>
      </w:pPr>
      <w:r>
        <w:rPr>
          <w:rFonts w:ascii="IRNazanin" w:hAnsi="IRNazanin" w:eastAsia="IRNazanin" w:cs="IRNazanin"/>
          <w:lang w:bidi="fa-IR"/>
          <w:color w:val="111111"/>
          <w:sz w:val="28"/>
          <w:szCs w:val="28"/>
          <w:rtl/>
        </w:rPr>
        <w:t xml:space="preserve">خط: نستعلیق، کا: قاسم داغستانی، تا: محرم 1275ق؛ کاغذ: آهار مهره فرنگی ،جلد: میشن قهوه ای سیر 13 سطر [ف: 5-37]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مجلس؛ شماره نسخه: 3260/15</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:1307ق؛ کاغذ: فرنگی ،جلد: تیماج بی مقوا، 41 ص( 252-293) 19 سطر ، قطع: خشتی، اندازه:</w:t>
      </w:r>
    </w:p>
    <w:p>
      <w:pPr>
        <w:pStyle w:val="BookText"/>
      </w:pPr>
      <w:r>
        <w:rPr>
          <w:rFonts w:ascii="Times New Roman" w:hAnsi="Times New Roman" w:eastAsia="Times New Roman" w:cs="Times New Roman"/>
          <w:lang w:val="en-US" w:bidi="en-US"/>
          <w:color w:val="111111"/>
          <w:sz w:val="28"/>
          <w:szCs w:val="28"/>
          <w:rtl/>
        </w:rPr>
        <w:t xml:space="preserve">18×28 </w:t>
      </w:r>
      <w:r>
        <w:rPr>
          <w:rFonts w:ascii="IRNazanin" w:hAnsi="IRNazanin" w:eastAsia="IRNazanin" w:cs="IRNazanin"/>
          <w:lang w:bidi="fa-IR"/>
          <w:color w:val="111111"/>
          <w:sz w:val="28"/>
          <w:szCs w:val="28"/>
          <w:rtl/>
        </w:rPr>
        <w:t xml:space="preserve">سم [ف: 10 - 864]</w:t>
      </w:r>
    </w:p>
    <w:p>
      <w:pPr>
        <w:pStyle w:val="Heading3"/>
      </w:pPr>
      <w:bookmarkStart w:id="628" w:name="_Toc150"/>
      <w:r>
        <w:t>ارشاد المریدین / عرفان و تصوف / فارسی</w:t>
      </w:r>
      <w:bookmarkEnd w:id="628"/>
    </w:p>
    <w:p>
      <w:pPr>
        <w:pStyle w:val="BookText"/>
      </w:pPr>
      <w:r>
        <w:rPr>
          <w:rFonts w:ascii="Times New Roman" w:hAnsi="Times New Roman" w:eastAsia="Times New Roman" w:cs="Times New Roman"/>
          <w:lang w:val="en-US" w:bidi="en-US"/>
          <w:color w:val="111111"/>
          <w:sz w:val="28"/>
          <w:szCs w:val="28"/>
          <w:rtl/>
        </w:rPr>
        <w:t xml:space="preserve">iršād-ul murīdīn</w:t>
      </w:r>
    </w:p>
    <w:p>
      <w:pPr>
        <w:pStyle w:val="BookText"/>
      </w:pPr>
      <w:r>
        <w:rPr>
          <w:rFonts w:ascii="IRNazanin" w:hAnsi="IRNazanin" w:eastAsia="IRNazanin" w:cs="IRNazanin"/>
          <w:lang w:bidi="fa-IR"/>
          <w:color w:val="111111"/>
          <w:sz w:val="28"/>
          <w:szCs w:val="28"/>
          <w:rtl/>
        </w:rPr>
        <w:t xml:space="preserve">کاشف دزفولی ،صدرالدین بن محمد باقر، 1174 - 1258 قمری</w:t>
      </w:r>
    </w:p>
    <w:p>
      <w:pPr>
        <w:pStyle w:val="BookText"/>
      </w:pPr>
      <w:r>
        <w:rPr>
          <w:rFonts w:ascii="Times New Roman" w:hAnsi="Times New Roman" w:eastAsia="Times New Roman" w:cs="Times New Roman"/>
          <w:lang w:val="en-US" w:bidi="en-US"/>
          <w:color w:val="111111"/>
          <w:sz w:val="28"/>
          <w:szCs w:val="28"/>
          <w:rtl/>
        </w:rPr>
        <w:t xml:space="preserve">(kāšef-e dezfūlī, sadr-od-dīn ebn-e mohammad bāqer)1761- 1842(</w:t>
      </w:r>
    </w:p>
    <w:p>
      <w:pPr>
        <w:pStyle w:val="BookText"/>
      </w:pPr>
      <w:r>
        <w:rPr>
          <w:rFonts w:ascii="Amiri" w:hAnsi="Amiri" w:eastAsia="Amiri" w:cs="Amiri"/>
          <w:lang w:bidi="ar-SA"/>
          <w:color w:val="111111"/>
          <w:sz w:val="28"/>
          <w:szCs w:val="28"/>
          <w:rtl/>
        </w:rPr>
        <w:t xml:space="preserve">تاريخ تأليف: 8 رمضان 1222ق</w:t>
      </w:r>
    </w:p>
    <w:p>
      <w:pPr>
        <w:pStyle w:val="BookText"/>
      </w:pPr>
      <w:r>
        <w:rPr>
          <w:rFonts w:ascii="IRNazanin" w:hAnsi="IRNazanin" w:eastAsia="IRNazanin" w:cs="IRNazanin"/>
          <w:lang w:bidi="fa-IR"/>
          <w:color w:val="111111"/>
          <w:sz w:val="28"/>
          <w:szCs w:val="28"/>
          <w:rtl/>
        </w:rPr>
        <w:t xml:space="preserve">رساله ای در سلوک و آداب آن</w:t>
      </w:r>
    </w:p>
    <w:p>
      <w:pPr>
        <w:pStyle w:val="BookText"/>
      </w:pPr>
      <w:r>
        <w:rPr>
          <w:rFonts w:ascii="IRNazanin" w:hAnsi="IRNazanin" w:eastAsia="IRNazanin" w:cs="IRNazanin"/>
          <w:lang w:bidi="fa-IR"/>
          <w:color w:val="111111"/>
          <w:sz w:val="28"/>
          <w:szCs w:val="28"/>
          <w:rtl/>
        </w:rPr>
        <w:t xml:space="preserve">آغاز: الحمد لله رب العالمين. .. اما بعد بر ضمیر منیر مهر تنویر ارباب دانش می نگارد که این چند کلمه ای است در</w:t>
      </w:r>
    </w:p>
    <w:p>
      <w:pPr>
        <w:pStyle w:val="BookText"/>
      </w:pPr>
      <w:r>
        <w:rPr>
          <w:rFonts w:ascii="IRNazanin" w:hAnsi="IRNazanin" w:eastAsia="IRNazanin" w:cs="IRNazanin"/>
          <w:lang w:bidi="fa-IR"/>
          <w:color w:val="111111"/>
          <w:sz w:val="28"/>
          <w:szCs w:val="28"/>
          <w:rtl/>
        </w:rPr>
        <w:t xml:space="preserve">آداب سلوک و طریق و ریاضت دادن نفس اماره به راه خدا</w:t>
      </w:r>
    </w:p>
    <w:p>
      <w:pPr>
        <w:pStyle w:val="BookText"/>
      </w:pPr>
      <w:r>
        <w:rPr>
          <w:rFonts w:ascii="IRNazanin" w:hAnsi="IRNazanin" w:eastAsia="IRNazanin" w:cs="IRNazanin"/>
          <w:lang w:bidi="fa-IR"/>
          <w:color w:val="111111"/>
          <w:sz w:val="28"/>
          <w:szCs w:val="28"/>
          <w:rtl/>
        </w:rPr>
        <w:t xml:space="preserve">انجام: و هرگاه قدری سیر کرده باشد و ترقی از برای نفس حاصل شده اما نه تمام بس مناسب اوست طریقه سوم که باشد این است خلاصه راه سلوک اهل الله اللهم وفقنا للعمل به بمحمد و آله</w:t>
      </w:r>
    </w:p>
    <w:p>
      <w:pPr>
        <w:pStyle w:val="BookText"/>
      </w:pPr>
      <w:r>
        <w:rPr>
          <w:rFonts w:ascii="IRNazanin" w:hAnsi="IRNazanin" w:eastAsia="IRNazanin" w:cs="IRNazanin"/>
          <w:lang w:bidi="fa-IR"/>
          <w:color w:val="111111"/>
          <w:sz w:val="28"/>
          <w:szCs w:val="28"/>
          <w:rtl/>
        </w:rPr>
        <w:t xml:space="preserve">[الذريعة 520/1 نسخه های منزوی 1023/2 ؛مکتبه امير المؤمنين نجف1362/2 ]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ملی؛ شماره نسخه: 2895/6</w:t>
      </w:r>
    </w:p>
    <w:p>
      <w:pPr>
        <w:pStyle w:val="BookText"/>
      </w:pPr>
      <w:r>
        <w:rPr>
          <w:rFonts w:ascii="IRNazanin" w:hAnsi="IRNazanin" w:eastAsia="IRNazanin" w:cs="IRNazanin"/>
          <w:lang w:bidi="fa-IR"/>
          <w:color w:val="111111"/>
          <w:sz w:val="28"/>
          <w:szCs w:val="28"/>
          <w:rtl/>
        </w:rPr>
        <w:t xml:space="preserve">آغاز: بسمله، الحمد لله رب العالمين والصلوة و السلام على خیر خلقه محمد و آل  اجمعين و لعنة الله على اعدائهم الى يوم الدین؛</w:t>
      </w:r>
    </w:p>
    <w:p>
      <w:pPr>
        <w:pStyle w:val="BookText"/>
      </w:pPr>
      <w:r>
        <w:rPr>
          <w:rFonts w:ascii="IRNazanin" w:hAnsi="IRNazanin" w:eastAsia="IRNazanin" w:cs="IRNazanin"/>
          <w:lang w:bidi="fa-IR"/>
          <w:color w:val="111111"/>
          <w:sz w:val="28"/>
          <w:szCs w:val="28"/>
          <w:rtl/>
        </w:rPr>
        <w:t xml:space="preserve">انجام: برابر</w:t>
      </w:r>
    </w:p>
    <w:p>
      <w:pPr>
        <w:pStyle w:val="BookText"/>
      </w:pPr>
      <w:r>
        <w:rPr>
          <w:rFonts w:ascii="IRNazanin" w:hAnsi="IRNazanin" w:eastAsia="IRNazanin" w:cs="IRNazanin"/>
          <w:lang w:bidi="fa-IR"/>
          <w:color w:val="111111"/>
          <w:sz w:val="28"/>
          <w:szCs w:val="28"/>
          <w:rtl/>
        </w:rPr>
        <w:t xml:space="preserve">بی کا، تا: قرن 12؛ کاغذ: فرنگی، جلد: تیماج تریاکی یک لا، 19 ص ( 95-114) ، 14 سطر (9</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 اندازه: 14/5</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 ف : 6 - 5958]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قم؛ مسجد اعظم؛ شماره نسخه: 2954/7</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قرن 13 ،27گ، 12 سطر ، اندازه: 14</w:t>
      </w:r>
      <w:r>
        <w:rPr>
          <w:rFonts w:ascii="Times New Roman" w:hAnsi="Times New Roman" w:eastAsia="Times New Roman" w:cs="Times New Roman"/>
          <w:lang w:val="en-US" w:bidi="en-US"/>
          <w:color w:val="111111"/>
          <w:sz w:val="28"/>
          <w:szCs w:val="28"/>
          <w:rtl/>
        </w:rPr>
        <w:t xml:space="preserve">×10</w:t>
      </w:r>
      <w:r>
        <w:rPr>
          <w:rFonts w:ascii="IRNazanin" w:hAnsi="IRNazanin" w:eastAsia="IRNazanin" w:cs="IRNazanin"/>
          <w:lang w:bidi="fa-IR"/>
          <w:color w:val="111111"/>
          <w:sz w:val="28"/>
          <w:szCs w:val="28"/>
          <w:rtl/>
        </w:rPr>
        <w:t xml:space="preserve">سم [ف مخ: 1 - 132]</w:t>
      </w:r>
    </w:p>
    <w:p>
      <w:pPr>
        <w:pStyle w:val="Heading3"/>
      </w:pPr>
      <w:bookmarkStart w:id="629" w:name="_Toc151"/>
      <w:r>
        <w:t>ارشاد المسائل الى اصول المسائل معروف به شرح رساله ستینی در هندسه و ریاضی / هیئت</w:t>
      </w:r>
      <w:bookmarkEnd w:id="629"/>
    </w:p>
    <w:p>
      <w:pPr>
        <w:pStyle w:val="BookText"/>
      </w:pPr>
      <w:r>
        <w:rPr>
          <w:rFonts w:ascii="Times New Roman" w:hAnsi="Times New Roman" w:eastAsia="Times New Roman" w:cs="Times New Roman"/>
          <w:lang w:val="en-US" w:bidi="en-US"/>
          <w:color w:val="111111"/>
          <w:sz w:val="28"/>
          <w:szCs w:val="28"/>
          <w:rtl/>
        </w:rPr>
        <w:t xml:space="preserve">iršād-ul masā❜il ila usul-il masa'il ma'ruf be š.-e r.-ye</w:t>
      </w:r>
    </w:p>
    <w:p>
      <w:pPr>
        <w:pStyle w:val="BookText"/>
      </w:pPr>
      <w:r>
        <w:rPr>
          <w:rFonts w:ascii="Times New Roman" w:hAnsi="Times New Roman" w:eastAsia="Times New Roman" w:cs="Times New Roman"/>
          <w:lang w:val="en-US" w:bidi="en-US"/>
          <w:color w:val="111111"/>
          <w:sz w:val="28"/>
          <w:szCs w:val="28"/>
          <w:rtl/>
        </w:rPr>
        <w:t xml:space="preserve">settīnī dar hendese wa rīyāzī</w:t>
      </w:r>
    </w:p>
    <w:p>
      <w:pPr>
        <w:pStyle w:val="BookText"/>
      </w:pPr>
      <w:r>
        <w:rPr>
          <w:rFonts w:ascii="IRNazanin" w:hAnsi="IRNazanin" w:eastAsia="IRNazanin" w:cs="IRNazanin"/>
          <w:lang w:bidi="fa-IR"/>
          <w:color w:val="111111"/>
          <w:sz w:val="28"/>
          <w:szCs w:val="28"/>
          <w:rtl/>
        </w:rPr>
        <w:t xml:space="preserve">ابن مجدی، احمد بن رجب 2767 ؟- 850 قمری</w:t>
      </w:r>
    </w:p>
    <w:p>
      <w:pPr>
        <w:pStyle w:val="BookText"/>
      </w:pPr>
      <w:r>
        <w:rPr>
          <w:rFonts w:ascii="Times New Roman" w:hAnsi="Times New Roman" w:eastAsia="Times New Roman" w:cs="Times New Roman"/>
          <w:lang w:val="en-US" w:bidi="en-US"/>
          <w:color w:val="111111"/>
          <w:sz w:val="28"/>
          <w:szCs w:val="28"/>
          <w:rtl/>
        </w:rPr>
        <w:t xml:space="preserve">(ebn-e majdī, ahmad ebn-e rajab (1366-1447)</w:t>
      </w:r>
    </w:p>
    <w:p>
      <w:pPr>
        <w:pStyle w:val="BookText"/>
      </w:pPr>
      <w:r>
        <w:rPr>
          <w:rFonts w:ascii="IRNazanin" w:hAnsi="IRNazanin" w:eastAsia="IRNazanin" w:cs="IRNazanin"/>
          <w:lang w:bidi="fa-IR"/>
          <w:color w:val="111111"/>
          <w:sz w:val="28"/>
          <w:szCs w:val="28"/>
          <w:rtl/>
        </w:rPr>
        <w:t xml:space="preserve">قم؛ مرعشی؛ شماره نسخه: بدون شماره: 2</w:t>
      </w:r>
    </w:p>
    <w:p>
      <w:pPr>
        <w:pStyle w:val="BookText"/>
      </w:pPr>
      <w:r>
        <w:rPr>
          <w:rFonts w:ascii="IRNazanin" w:hAnsi="IRNazanin" w:eastAsia="IRNazanin" w:cs="IRNazanin"/>
          <w:lang w:bidi="fa-IR"/>
          <w:color w:val="111111"/>
          <w:sz w:val="28"/>
          <w:szCs w:val="28"/>
          <w:rtl/>
        </w:rPr>
        <w:t xml:space="preserve">بی کا، تا: اوایل قرن 9ق؛ بر مؤلف خوانده و تصحیح شده و برخی از برگ ها قلم خوردگی بسیار دارد، دارای اشکال هندسی با شنگرف، این نسخه جزو کتابخانه مرحوم حاج میرزا محمود و فرزندش میرزا محمد طباطبائی بروجردی بوده است؛ قطع : وزیری [میراث شهاب س 7ش 1-2 - 23]</w:t>
      </w:r>
    </w:p>
    <w:p>
      <w:pPr>
        <w:pStyle w:val="Heading3"/>
      </w:pPr>
      <w:bookmarkStart w:id="630" w:name="_Toc152"/>
      <w:r>
        <w:t>ارشاد المستبصر = الاستخارة / استخاره - عربی</w:t>
      </w:r>
      <w:bookmarkEnd w:id="630"/>
    </w:p>
    <w:p>
      <w:pPr>
        <w:pStyle w:val="BookText"/>
      </w:pPr>
      <w:r>
        <w:rPr>
          <w:rFonts w:ascii="IRNazanin" w:hAnsi="IRNazanin" w:eastAsia="IRNazanin" w:cs="IRNazanin"/>
          <w:lang w:bidi="fa-IR"/>
          <w:color w:val="111111"/>
          <w:sz w:val="28"/>
          <w:szCs w:val="28"/>
          <w:rtl/>
        </w:rPr>
        <w:t xml:space="preserve">شبر، عبدالله بن محمد رضا، 1188؟ - 1242 قمری</w:t>
      </w:r>
    </w:p>
    <w:p>
      <w:pPr>
        <w:pStyle w:val="BookText"/>
      </w:pPr>
      <w:r>
        <w:rPr>
          <w:rFonts w:ascii="Times New Roman" w:hAnsi="Times New Roman" w:eastAsia="Times New Roman" w:cs="Times New Roman"/>
          <w:lang w:val="en-US" w:bidi="en-US"/>
          <w:color w:val="111111"/>
          <w:sz w:val="28"/>
          <w:szCs w:val="28"/>
          <w:rtl/>
        </w:rPr>
        <w:t xml:space="preserve">iršad-ul mustabŞir = al-istixara</w:t>
      </w:r>
    </w:p>
    <w:p>
      <w:pPr>
        <w:pStyle w:val="BookText"/>
      </w:pPr>
      <w:r>
        <w:rPr>
          <w:rFonts w:ascii="Times New Roman" w:hAnsi="Times New Roman" w:eastAsia="Times New Roman" w:cs="Times New Roman"/>
          <w:lang w:val="en-US" w:bidi="en-US"/>
          <w:color w:val="111111"/>
          <w:sz w:val="28"/>
          <w:szCs w:val="28"/>
          <w:rtl/>
        </w:rPr>
        <w:t xml:space="preserve">(1827-šobbar, 'abd-ol-lah ebn-e mohammad rezā (1774</w:t>
      </w:r>
    </w:p>
    <w:p>
      <w:pPr>
        <w:pStyle w:val="BookText"/>
      </w:pPr>
      <w:r>
        <w:rPr>
          <w:rFonts w:ascii="Amiri" w:hAnsi="Amiri" w:eastAsia="Amiri" w:cs="Amiri"/>
          <w:lang w:bidi="ar-SA"/>
          <w:color w:val="111111"/>
          <w:sz w:val="28"/>
          <w:szCs w:val="28"/>
          <w:rtl/>
        </w:rPr>
        <w:t xml:space="preserve">تاريخ تأليف: جمعه 24 جمادى الاول 1230قبر</w:t>
      </w:r>
    </w:p>
    <w:p>
      <w:pPr>
        <w:pStyle w:val="BookText"/>
      </w:pPr>
      <w:r>
        <w:rPr>
          <w:rFonts w:ascii="IRNazanin" w:hAnsi="IRNazanin" w:eastAsia="IRNazanin" w:cs="IRNazanin"/>
          <w:lang w:bidi="fa-IR"/>
          <w:color w:val="111111"/>
          <w:sz w:val="28"/>
          <w:szCs w:val="28"/>
          <w:rtl/>
        </w:rPr>
        <w:t xml:space="preserve">رساله ای در استخاره است که تمام رساله «فتح الغيب» ابن طاووس را در آن مندرج است مرتب شده یک «مقدمه» و هشت «باب» و «خاتمه»: المقدمه فى فضل الاستخارة و معناها؛ 1. الاستخارة بالمعنى الاول بمعنى الدعاء بطلب الخير؛ 2. الاستخارة بالدعاء ثم العمل بما يقع فى قلبه؛ 3. الاستخارة من الله تعالى بالاستشاره؛ 4. بيان الاستخارة بالقرآن الكريم؛ 5 .كيفية الاستخارة بالسبحة؛ 6. الاستخارة بالرقاع؛ 7. كيفية الاستخارة بالرقاع بغير الطريق المشهور المتقدم ؛ 8. الاستخارة بالبنادق ولها طرق؛ خاتمه: دارای دو فائده، روایاتی در بیان چاره برای کسی که در امرش متحیر است یا کسی که می خواهد رسول اکرم (صلّی اللَّهِ علیه وَ آلِهِ وَ سَلَّمَ ) و ائمه هدی (علیهم السّلام) را در خواب ببیند و نیز مطالبی در جواز استنابه در استخاره.</w:t>
      </w:r>
    </w:p>
    <w:p>
      <w:pPr>
        <w:pStyle w:val="BookText"/>
      </w:pPr>
      <w:r>
        <w:rPr>
          <w:rFonts w:ascii="Amiri" w:hAnsi="Amiri" w:eastAsia="Amiri" w:cs="Amiri"/>
          <w:lang w:bidi="ar-SA"/>
          <w:color w:val="111111"/>
          <w:sz w:val="28"/>
          <w:szCs w:val="28"/>
          <w:rtl/>
        </w:rPr>
        <w:t xml:space="preserve">آغاز: بسمله الحمد لله الذى اجازلنا استخارته اشتشارته وارشدنا الى معرفة صلاح امرنا من غيبه بالتعلق بنبذة من مفاتح غيبه و الصلوة على محمد و آله هداة الخلق و حملة الحق و ارباب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52" w:name="pg20365_260068"/>
    <w:bookmarkEnd w:id="52"/>
    <w:p>
      <w:pPr>
        <w:pStyle w:val="BookText"/>
      </w:pPr>
      <w:r>
        <w:rPr>
          <w:rFonts w:ascii="IRNazanin" w:hAnsi="IRNazanin" w:eastAsia="IRNazanin" w:cs="IRNazanin"/>
          <w:lang w:bidi="fa-IR"/>
          <w:color w:val="111111"/>
          <w:sz w:val="28"/>
          <w:szCs w:val="28"/>
          <w:rtl/>
        </w:rPr>
        <w:t xml:space="preserve">الصدق</w:t>
      </w:r>
    </w:p>
    <w:p>
      <w:pPr>
        <w:pStyle w:val="BookText"/>
      </w:pPr>
      <w:r>
        <w:rPr>
          <w:rFonts w:ascii="Amiri" w:hAnsi="Amiri" w:eastAsia="Amiri" w:cs="Amiri"/>
          <w:lang w:bidi="ar-SA"/>
          <w:color w:val="111111"/>
          <w:sz w:val="28"/>
          <w:szCs w:val="28"/>
          <w:rtl/>
        </w:rPr>
        <w:t xml:space="preserve">انجام: خاتمة فيها فائدتان الاولى قال العلامة المجلسى فى البحار و جدت... الثانية المعروف الذى جرت عليه سيرة الخلق جواز الاستنابة فى الاستخارة. .. لاسيما ذا قصده النائب لنفسه ان يقول...</w:t>
      </w:r>
    </w:p>
    <w:p>
      <w:pPr>
        <w:pStyle w:val="BookText"/>
      </w:pPr>
      <w:r>
        <w:rPr>
          <w:rFonts w:ascii="IRNazanin" w:hAnsi="IRNazanin" w:eastAsia="IRNazanin" w:cs="IRNazanin"/>
          <w:lang w:bidi="fa-IR"/>
          <w:color w:val="111111"/>
          <w:sz w:val="28"/>
          <w:szCs w:val="28"/>
          <w:rtl/>
        </w:rPr>
        <w:t xml:space="preserve">چاپ: ضمیمه «مفتاح الغيب» مجلسی ،تهران،سنگی، 1306، جیبی، 91ص</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دانشگاه؛ شماره نسخه: 5590/3</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بی کا، تا: قرن 12؛ افتادگی: انجام؛ سه صفحه مائده؛ کاغذ ،سپاهانی ،جلد: تیماج مشکی ،لایی، 14 سطر (6</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 قطع: بغلی اندازه: 10</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 [ف: 16 - 41]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الهیات؛ شماره نسخه: 224/1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13؛ کاغذ: فرنگی ،جلد: تیماج قهوه ای ضربی 31گ (1پ-32ر)، 17 سطر (6/5</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 اندازه:</w:t>
      </w:r>
    </w:p>
    <w:p>
      <w:pPr>
        <w:pStyle w:val="BookText"/>
      </w:pPr>
      <w:r>
        <w:rPr>
          <w:rFonts w:ascii="Times New Roman" w:hAnsi="Times New Roman" w:eastAsia="Times New Roman" w:cs="Times New Roman"/>
          <w:lang w:val="en-US" w:bidi="en-US"/>
          <w:color w:val="111111"/>
          <w:sz w:val="28"/>
          <w:szCs w:val="28"/>
          <w:rtl/>
        </w:rPr>
        <w:t xml:space="preserve">10×15</w:t>
      </w:r>
      <w:r>
        <w:rPr>
          <w:rFonts w:ascii="IRNazanin" w:hAnsi="IRNazanin" w:eastAsia="IRNazanin" w:cs="IRNazanin"/>
          <w:lang w:bidi="fa-IR"/>
          <w:color w:val="111111"/>
          <w:sz w:val="28"/>
          <w:szCs w:val="28"/>
          <w:rtl/>
        </w:rPr>
        <w:t xml:space="preserve">سم [ف: - 740]</w:t>
      </w:r>
    </w:p>
    <w:p>
      <w:pPr>
        <w:pStyle w:val="BookText"/>
      </w:pPr>
      <w:r>
        <w:rPr>
          <w:rFonts w:ascii="IRNazanin" w:hAnsi="IRNazanin" w:eastAsia="IRNazanin" w:cs="IRNazanin"/>
          <w:lang w:bidi="fa-IR"/>
          <w:color w:val="111111"/>
          <w:sz w:val="28"/>
          <w:szCs w:val="28"/>
          <w:rtl/>
        </w:rPr>
        <w:t xml:space="preserve">3.تهران؛ مجلس؛ شماره نسخه: 15574/2</w:t>
      </w:r>
    </w:p>
    <w:p>
      <w:pPr>
        <w:pStyle w:val="BookText"/>
      </w:pPr>
      <w:r>
        <w:rPr>
          <w:rFonts w:ascii="IRNazanin" w:hAnsi="IRNazanin" w:eastAsia="IRNazanin" w:cs="IRNazanin"/>
          <w:lang w:bidi="fa-IR"/>
          <w:color w:val="111111"/>
          <w:sz w:val="28"/>
          <w:szCs w:val="28"/>
          <w:rtl/>
        </w:rPr>
        <w:t xml:space="preserve">آغاز: و الظاهر جواز جميع ذلك كما اختاره اکثر اصحابنا و انکر ابن ادريس الشقوق الاخيرة؛ انجام:... فی امور دنيانا و آخرتنا ديننا خيرة فى عافية بحق محمد و آله وصلى الله على محمد و آله. خط: نسخ، کا: محمد حسن شریف کلباسی اصفهانی، تا: شعبان 1303ق؛ افتادگی: آغاز ؛جلد: مقوایی با روکش کاغذی طوسی عطف تیماج ،مشکی، 35گ( 37ر - 72ر) 14 سطر</w:t>
      </w:r>
    </w:p>
    <w:p>
      <w:pPr>
        <w:pStyle w:val="BookText"/>
      </w:pPr>
      <w:r>
        <w:rPr>
          <w:rFonts w:ascii="IRNazanin" w:hAnsi="IRNazanin" w:eastAsia="IRNazanin" w:cs="IRNazanin"/>
          <w:lang w:bidi="fa-IR"/>
          <w:color w:val="111111"/>
          <w:sz w:val="28"/>
          <w:szCs w:val="28"/>
          <w:rtl/>
        </w:rPr>
        <w:t xml:space="preserve">،اندازه: 12/3</w:t>
      </w:r>
      <w:r>
        <w:rPr>
          <w:rFonts w:ascii="Times New Roman" w:hAnsi="Times New Roman" w:eastAsia="Times New Roman" w:cs="Times New Roman"/>
          <w:lang w:val="en-US" w:bidi="en-US"/>
          <w:color w:val="111111"/>
          <w:sz w:val="28"/>
          <w:szCs w:val="28"/>
          <w:rtl/>
        </w:rPr>
        <w:t xml:space="preserve">×17/5</w:t>
      </w:r>
      <w:r>
        <w:rPr>
          <w:rFonts w:ascii="IRNazanin" w:hAnsi="IRNazanin" w:eastAsia="IRNazanin" w:cs="IRNazanin"/>
          <w:lang w:bidi="fa-IR"/>
          <w:color w:val="111111"/>
          <w:sz w:val="28"/>
          <w:szCs w:val="28"/>
          <w:rtl/>
        </w:rPr>
        <w:t xml:space="preserve">سم [ف: 43 - 168]</w:t>
      </w:r>
    </w:p>
    <w:p>
      <w:pPr>
        <w:pStyle w:val="BookText"/>
      </w:pPr>
      <w:r>
        <w:rPr>
          <w:rFonts w:ascii="IRNazanin" w:hAnsi="IRNazanin" w:eastAsia="IRNazanin" w:cs="IRNazanin"/>
          <w:lang w:bidi="fa-IR"/>
          <w:color w:val="111111"/>
          <w:sz w:val="28"/>
          <w:szCs w:val="28"/>
          <w:rtl/>
        </w:rPr>
        <w:t xml:space="preserve">4 . مشهد؛ رضوی؛ شماره نسخه: 2153</w:t>
      </w:r>
    </w:p>
    <w:p>
      <w:pPr>
        <w:pStyle w:val="BookText"/>
      </w:pPr>
      <w:r>
        <w:rPr>
          <w:rFonts w:ascii="IRNazanin" w:hAnsi="IRNazanin" w:eastAsia="IRNazanin" w:cs="IRNazanin"/>
          <w:lang w:bidi="fa-IR"/>
          <w:color w:val="111111"/>
          <w:sz w:val="28"/>
          <w:szCs w:val="28"/>
          <w:rtl/>
        </w:rPr>
        <w:t xml:space="preserve">آغاز: برابر؛ انجام: و صلی الله على محمد و آله</w:t>
      </w:r>
    </w:p>
    <w:p>
      <w:pPr>
        <w:pStyle w:val="BookText"/>
      </w:pPr>
      <w:r>
        <w:rPr>
          <w:rFonts w:ascii="IRNazanin" w:hAnsi="IRNazanin" w:eastAsia="IRNazanin" w:cs="IRNazanin"/>
          <w:lang w:bidi="fa-IR"/>
          <w:color w:val="111111"/>
          <w:sz w:val="28"/>
          <w:szCs w:val="28"/>
          <w:rtl/>
        </w:rPr>
        <w:t xml:space="preserve">خط: نسخ، کا: حسن بن آغا محمد تبریزی؛ بی تا؛ پس از این ضمن 7 صفحه مقاله ای است در آداب سلوک و در آداب عقیقه که مأخوذ از کتابی است؛واقف: نائینی مرداد 1311؛ کا: شکری، جلد: مقوا عطف تیماج قهوه ای 21گ، 22 سطر ، اندازه: 12/5</w:t>
      </w:r>
      <w:r>
        <w:rPr>
          <w:rFonts w:ascii="Times New Roman" w:hAnsi="Times New Roman" w:eastAsia="Times New Roman" w:cs="Times New Roman"/>
          <w:lang w:val="en-US" w:bidi="en-US"/>
          <w:color w:val="111111"/>
          <w:sz w:val="28"/>
          <w:szCs w:val="28"/>
          <w:rtl/>
        </w:rPr>
        <w:t xml:space="preserve">×20/5</w:t>
      </w:r>
      <w:r>
        <w:rPr>
          <w:rFonts w:ascii="IRNazanin" w:hAnsi="IRNazanin" w:eastAsia="IRNazanin" w:cs="IRNazanin"/>
          <w:lang w:bidi="fa-IR"/>
          <w:color w:val="111111"/>
          <w:sz w:val="28"/>
          <w:szCs w:val="28"/>
          <w:rtl/>
        </w:rPr>
        <w:t xml:space="preserve">سم [ف: 5 - 29]</w:t>
      </w:r>
    </w:p>
    <w:p>
      <w:pPr>
        <w:pStyle w:val="BookText"/>
      </w:pPr>
      <w:r>
        <w:rPr>
          <w:rFonts w:ascii="Amiri" w:hAnsi="Amiri" w:eastAsia="Amiri" w:cs="Amiri"/>
          <w:lang w:bidi="ar-SA"/>
          <w:color w:val="111111"/>
          <w:sz w:val="28"/>
          <w:szCs w:val="28"/>
          <w:rtl/>
        </w:rPr>
        <w:t xml:space="preserve">«ارشاد المسترشدين » شرح الخطبة التطنجية</w:t>
      </w:r>
    </w:p>
    <w:p>
      <w:pPr>
        <w:pStyle w:val="Heading3"/>
      </w:pPr>
      <w:bookmarkStart w:id="631" w:name="_Toc153"/>
      <w:r>
        <w:t>ارشاد المسترشدین / کلام و اعتقادات / عربی</w:t>
      </w:r>
      <w:bookmarkEnd w:id="631"/>
    </w:p>
    <w:p>
      <w:pPr>
        <w:pStyle w:val="BookText"/>
      </w:pPr>
      <w:r>
        <w:rPr>
          <w:rFonts w:ascii="Times New Roman" w:hAnsi="Times New Roman" w:eastAsia="Times New Roman" w:cs="Times New Roman"/>
          <w:lang w:val="en-US" w:bidi="en-US"/>
          <w:color w:val="111111"/>
          <w:sz w:val="28"/>
          <w:szCs w:val="28"/>
          <w:rtl/>
        </w:rPr>
        <w:t xml:space="preserve">iršād-ul-mustaršidīn</w:t>
      </w:r>
    </w:p>
    <w:p>
      <w:pPr>
        <w:pStyle w:val="BookText"/>
      </w:pPr>
      <w:r>
        <w:rPr>
          <w:rFonts w:ascii="IRNazanin" w:hAnsi="IRNazanin" w:eastAsia="IRNazanin" w:cs="IRNazanin"/>
          <w:lang w:bidi="fa-IR"/>
          <w:color w:val="111111"/>
          <w:sz w:val="28"/>
          <w:szCs w:val="28"/>
          <w:rtl/>
        </w:rPr>
        <w:t xml:space="preserve">مشهدی، محمد حسین بن ابی محمد، - 1175 قمری</w:t>
      </w:r>
    </w:p>
    <w:p>
      <w:pPr>
        <w:pStyle w:val="BookText"/>
      </w:pPr>
      <w:r>
        <w:rPr>
          <w:rFonts w:ascii="Times New Roman" w:hAnsi="Times New Roman" w:eastAsia="Times New Roman" w:cs="Times New Roman"/>
          <w:lang w:val="en-US" w:bidi="en-US"/>
          <w:color w:val="111111"/>
          <w:sz w:val="28"/>
          <w:szCs w:val="28"/>
          <w:rtl/>
        </w:rPr>
        <w:t xml:space="preserve">(- 1762)mašhadī, mohammad hoseyn ebn-e abī mohammad</w:t>
      </w:r>
    </w:p>
    <w:p>
      <w:pPr>
        <w:pStyle w:val="BookText"/>
      </w:pPr>
      <w:r>
        <w:rPr>
          <w:rFonts w:ascii="IRNazanin" w:hAnsi="IRNazanin" w:eastAsia="IRNazanin" w:cs="IRNazanin"/>
          <w:lang w:bidi="fa-IR"/>
          <w:color w:val="111111"/>
          <w:sz w:val="28"/>
          <w:szCs w:val="28"/>
          <w:rtl/>
        </w:rPr>
        <w:t xml:space="preserve">مشهد؛ رضوی؛ شماره نسخه: 10658</w:t>
      </w:r>
    </w:p>
    <w:p>
      <w:pPr>
        <w:pStyle w:val="BookText"/>
      </w:pPr>
      <w:r>
        <w:rPr>
          <w:rFonts w:ascii="IRNazanin" w:hAnsi="IRNazanin" w:eastAsia="IRNazanin" w:cs="IRNazanin"/>
          <w:lang w:bidi="fa-IR"/>
          <w:color w:val="111111"/>
          <w:sz w:val="28"/>
          <w:szCs w:val="28"/>
          <w:rtl/>
        </w:rPr>
        <w:t xml:space="preserve">آغاز: مطلقا بنحو اطاعة الله و اطاعة رسوله يدل على عصمتهم بمعلومة؛ انجام: يسأل اما الحسن الرضا (علیه السّلام) عن... الازعان به الان كلما ذكر ممكن و اخبر الصادقون به فهو حق م</w:t>
      </w:r>
    </w:p>
    <w:p>
      <w:pPr>
        <w:pStyle w:val="BookText"/>
      </w:pPr>
      <w:r>
        <w:rPr>
          <w:rFonts w:ascii="IRNazanin" w:hAnsi="IRNazanin" w:eastAsia="IRNazanin" w:cs="IRNazanin"/>
          <w:lang w:bidi="fa-IR"/>
          <w:color w:val="111111"/>
          <w:sz w:val="28"/>
          <w:szCs w:val="28"/>
          <w:rtl/>
        </w:rPr>
        <w:t xml:space="preserve">خط: نستعلیق بی،کا، بی تا [الفبائی 40]</w:t>
      </w:r>
    </w:p>
    <w:p>
      <w:pPr>
        <w:pStyle w:val="Heading3"/>
      </w:pPr>
      <w:bookmarkStart w:id="632" w:name="_Toc154"/>
      <w:r>
        <w:t>ارشاد المسترشدین / فقه / فارسی</w:t>
      </w:r>
      <w:bookmarkEnd w:id="632"/>
    </w:p>
    <w:p>
      <w:pPr>
        <w:pStyle w:val="BookText"/>
      </w:pPr>
      <w:r>
        <w:rPr>
          <w:rFonts w:ascii="Times New Roman" w:hAnsi="Times New Roman" w:eastAsia="Times New Roman" w:cs="Times New Roman"/>
          <w:lang w:val="en-US" w:bidi="en-US"/>
          <w:color w:val="111111"/>
          <w:sz w:val="28"/>
          <w:szCs w:val="28"/>
          <w:rtl/>
        </w:rPr>
        <w:t xml:space="preserve">eršād-ol-mostaršedīn</w:t>
      </w:r>
    </w:p>
    <w:p>
      <w:pPr>
        <w:pStyle w:val="BookText"/>
      </w:pPr>
      <w:r>
        <w:rPr>
          <w:rFonts w:ascii="IRNazanin" w:hAnsi="IRNazanin" w:eastAsia="IRNazanin" w:cs="IRNazanin"/>
          <w:lang w:bidi="fa-IR"/>
          <w:color w:val="111111"/>
          <w:sz w:val="28"/>
          <w:szCs w:val="28"/>
          <w:rtl/>
        </w:rPr>
        <w:t xml:space="preserve">رضوی، محمد بن معصوم - 1255 قمری</w:t>
      </w:r>
    </w:p>
    <w:p>
      <w:pPr>
        <w:pStyle w:val="BookText"/>
      </w:pPr>
      <w:r>
        <w:rPr>
          <w:rFonts w:ascii="Times New Roman" w:hAnsi="Times New Roman" w:eastAsia="Times New Roman" w:cs="Times New Roman"/>
          <w:lang w:val="en-US" w:bidi="en-US"/>
          <w:color w:val="111111"/>
          <w:sz w:val="28"/>
          <w:szCs w:val="28"/>
          <w:rtl/>
        </w:rPr>
        <w:t xml:space="preserve">(razavī, mohammad ebn-e ma ̊sūm ( - 1839)</w:t>
      </w:r>
    </w:p>
    <w:p>
      <w:pPr>
        <w:pStyle w:val="BookText"/>
      </w:pPr>
      <w:r>
        <w:rPr>
          <w:rFonts w:ascii="IRNazanin" w:hAnsi="IRNazanin" w:eastAsia="IRNazanin" w:cs="IRNazanin"/>
          <w:lang w:bidi="fa-IR"/>
          <w:color w:val="111111"/>
          <w:sz w:val="28"/>
          <w:szCs w:val="28"/>
          <w:rtl/>
        </w:rPr>
        <w:t xml:space="preserve">رساله ای است که مؤلف به خواهش مردم مشهد مقدس در بیان احکام طهارات ،صلوات ،زکوات ،اخماس و صیام نگاشته است.</w:t>
      </w:r>
    </w:p>
    <w:p>
      <w:pPr>
        <w:pStyle w:val="BookText"/>
      </w:pPr>
      <w:r>
        <w:rPr>
          <w:rFonts w:ascii="IRNazanin" w:hAnsi="IRNazanin" w:eastAsia="IRNazanin" w:cs="IRNazanin"/>
          <w:lang w:bidi="fa-IR"/>
          <w:color w:val="111111"/>
          <w:sz w:val="28"/>
          <w:szCs w:val="28"/>
          <w:rtl/>
        </w:rPr>
        <w:t xml:space="preserve">فردوس؛ مدرسه حبیبیه؛ شماره نسخه: 64</w:t>
      </w:r>
    </w:p>
    <w:p>
      <w:pPr>
        <w:pStyle w:val="BookText"/>
      </w:pPr>
      <w:r>
        <w:rPr>
          <w:rFonts w:ascii="IRNazanin" w:hAnsi="IRNazanin" w:eastAsia="IRNazanin" w:cs="IRNazanin"/>
          <w:lang w:bidi="fa-IR"/>
          <w:color w:val="111111"/>
          <w:sz w:val="28"/>
          <w:szCs w:val="28"/>
          <w:rtl/>
        </w:rPr>
        <w:t xml:space="preserve">آغاز: بسمله الحمد لله الذى جعل الفوز بالسعادة الابديه في المتك بالشريعة السهلة الاحمديه (صلّی اللَّهِ علیه وَ آلِهِ وَ سَلَّمَ ) و سهل طريق معرفة احكامها العملية بالرجوع الى من اعطاه الله؛ انجام: پس مکروه است سؤر حیوان جلال و نجاست خور بنابر اظهر خواه حیوان مرغ باشد یا غیر مرغ و سؤر حیوانی که بخورد مردار را و سؤر حایض غیر مأمونه از نجاست</w:t>
      </w:r>
    </w:p>
    <w:p>
      <w:pPr>
        <w:pStyle w:val="BookText"/>
      </w:pPr>
      <w:r>
        <w:rPr>
          <w:rFonts w:ascii="IRNazanin" w:hAnsi="IRNazanin" w:eastAsia="IRNazanin" w:cs="IRNazanin"/>
          <w:lang w:bidi="fa-IR"/>
          <w:color w:val="111111"/>
          <w:sz w:val="28"/>
          <w:szCs w:val="28"/>
          <w:rtl/>
        </w:rPr>
        <w:t xml:space="preserve">خط: نسخ، بی کا، کا، بی تا؛ افتادگی: انجام؛ جلد: تیماج مشکی فاقد طلبله دوم 83گ، 23 سطر ، اندازه: 16</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w:t>
      </w:r>
    </w:p>
    <w:p>
      <w:pPr>
        <w:pStyle w:val="Heading3"/>
      </w:pPr>
      <w:bookmarkStart w:id="633" w:name="_Toc155"/>
      <w:r>
        <w:t>ارشاد المسترشدین / فقه/ فارسی</w:t>
      </w:r>
      <w:bookmarkEnd w:id="633"/>
    </w:p>
    <w:p>
      <w:pPr>
        <w:pStyle w:val="BookText"/>
      </w:pPr>
      <w:r>
        <w:rPr>
          <w:rFonts w:ascii="Times New Roman" w:hAnsi="Times New Roman" w:eastAsia="Times New Roman" w:cs="Times New Roman"/>
          <w:lang w:val="en-US" w:bidi="en-US"/>
          <w:color w:val="111111"/>
          <w:sz w:val="28"/>
          <w:szCs w:val="28"/>
          <w:rtl/>
        </w:rPr>
        <w:t xml:space="preserve">eršād-ol-mostaršedīn</w:t>
      </w:r>
    </w:p>
    <w:p>
      <w:pPr>
        <w:pStyle w:val="BookText"/>
      </w:pPr>
      <w:r>
        <w:rPr>
          <w:rFonts w:ascii="IRNazanin" w:hAnsi="IRNazanin" w:eastAsia="IRNazanin" w:cs="IRNazanin"/>
          <w:lang w:bidi="fa-IR"/>
          <w:color w:val="111111"/>
          <w:sz w:val="28"/>
          <w:szCs w:val="28"/>
          <w:rtl/>
        </w:rPr>
        <w:t xml:space="preserve">رساله ای فتوایی برای عمل مقلدین در احکام طهارت تا احکام روزه .</w:t>
      </w:r>
    </w:p>
    <w:p>
      <w:pPr>
        <w:pStyle w:val="BookText"/>
      </w:pPr>
      <w:r>
        <w:rPr>
          <w:rFonts w:ascii="IRNazanin" w:hAnsi="IRNazanin" w:eastAsia="IRNazanin" w:cs="IRNazanin"/>
          <w:lang w:bidi="fa-IR"/>
          <w:color w:val="111111"/>
          <w:sz w:val="28"/>
          <w:szCs w:val="28"/>
          <w:rtl/>
        </w:rPr>
        <w:t xml:space="preserve">یزد؛ مدرسه خان؛ شماره نسخه 100</w:t>
      </w:r>
    </w:p>
    <w:p>
      <w:pPr>
        <w:pStyle w:val="BookText"/>
      </w:pPr>
      <w:r>
        <w:rPr>
          <w:rFonts w:ascii="IRNazanin" w:hAnsi="IRNazanin" w:eastAsia="IRNazanin" w:cs="IRNazanin"/>
          <w:lang w:bidi="fa-IR"/>
          <w:color w:val="111111"/>
          <w:sz w:val="28"/>
          <w:szCs w:val="28"/>
          <w:rtl/>
        </w:rPr>
        <w:t xml:space="preserve">پایان جزء اول؛ خط: نسخ، کا : سید مهدی بن مرتضی، تا: شعبان 1245ق؛ افتادگی: آغاز و انجام ؛جلد: مقوایی عطف تیماج</w:t>
      </w:r>
    </w:p>
    <w:p>
      <w:pPr>
        <w:pStyle w:val="BookText"/>
      </w:pPr>
      <w:r>
        <w:rPr>
          <w:rFonts w:ascii="IRNazanin" w:hAnsi="IRNazanin" w:eastAsia="IRNazanin" w:cs="IRNazanin"/>
          <w:lang w:bidi="fa-IR"/>
          <w:color w:val="111111"/>
          <w:sz w:val="28"/>
          <w:szCs w:val="28"/>
          <w:rtl/>
        </w:rPr>
        <w:t xml:space="preserve">،مشکی، 235گ، 18 سطر ، اندازه: 15/5</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 [ف: 82]</w:t>
      </w:r>
    </w:p>
    <w:p>
      <w:pPr>
        <w:pStyle w:val="Heading3"/>
      </w:pPr>
      <w:bookmarkStart w:id="634" w:name="_Toc156"/>
      <w:r>
        <w:t>ارشاد المسترشدين فى معرفة الضرورى من احكام الدین / فقه / فارسی</w:t>
      </w:r>
      <w:bookmarkEnd w:id="634"/>
    </w:p>
    <w:p>
      <w:pPr>
        <w:pStyle w:val="BookText"/>
      </w:pPr>
      <w:r>
        <w:rPr>
          <w:rFonts w:ascii="Times New Roman" w:hAnsi="Times New Roman" w:eastAsia="Times New Roman" w:cs="Times New Roman"/>
          <w:lang w:val="en-US" w:bidi="en-US"/>
          <w:color w:val="111111"/>
          <w:sz w:val="28"/>
          <w:szCs w:val="28"/>
          <w:rtl/>
        </w:rPr>
        <w:t xml:space="preserve">eršād-ol-mostaršedin fi ma'refat-ez-zarūrī men ahkām-</w:t>
      </w:r>
    </w:p>
    <w:p>
      <w:pPr>
        <w:pStyle w:val="BookText"/>
      </w:pPr>
      <w:r>
        <w:rPr>
          <w:rFonts w:ascii="Times New Roman" w:hAnsi="Times New Roman" w:eastAsia="Times New Roman" w:cs="Times New Roman"/>
          <w:lang w:val="en-US" w:bidi="en-US"/>
          <w:color w:val="111111"/>
          <w:sz w:val="28"/>
          <w:szCs w:val="28"/>
          <w:rtl/>
        </w:rPr>
        <w:t xml:space="preserve">ed-din</w:t>
      </w:r>
    </w:p>
    <w:p>
      <w:pPr>
        <w:pStyle w:val="BookText"/>
      </w:pPr>
      <w:r>
        <w:rPr>
          <w:rFonts w:ascii="IRNazanin" w:hAnsi="IRNazanin" w:eastAsia="IRNazanin" w:cs="IRNazanin"/>
          <w:lang w:bidi="fa-IR"/>
          <w:color w:val="111111"/>
          <w:sz w:val="28"/>
          <w:szCs w:val="28"/>
          <w:rtl/>
        </w:rPr>
        <w:t xml:space="preserve">کرباسی، محمد ابراهیم بن محمد حسن، 1180؟ - 1262 ؟ قمری</w:t>
      </w:r>
    </w:p>
    <w:p>
      <w:pPr>
        <w:pStyle w:val="BookText"/>
      </w:pPr>
      <w:r>
        <w:rPr>
          <w:rFonts w:ascii="Times New Roman" w:hAnsi="Times New Roman" w:eastAsia="Times New Roman" w:cs="Times New Roman"/>
          <w:lang w:val="en-US" w:bidi="en-US"/>
          <w:color w:val="111111"/>
          <w:sz w:val="28"/>
          <w:szCs w:val="28"/>
          <w:rtl/>
        </w:rPr>
        <w:t xml:space="preserve">karbāsī, mohammad ebrāhīm ebn-e mohammad hasan</w:t>
      </w:r>
    </w:p>
    <w:p>
      <w:pPr>
        <w:pStyle w:val="BookText"/>
      </w:pPr>
      <w:r>
        <w:rPr>
          <w:rFonts w:ascii="Times New Roman" w:hAnsi="Times New Roman" w:eastAsia="Times New Roman" w:cs="Times New Roman"/>
          <w:lang w:val="en-US" w:bidi="en-US"/>
          <w:color w:val="111111"/>
          <w:sz w:val="28"/>
          <w:szCs w:val="28"/>
          <w:rtl/>
        </w:rPr>
        <w:t xml:space="preserve">(1767 - 1846)</w:t>
      </w:r>
    </w:p>
    <w:p>
      <w:pPr>
        <w:pStyle w:val="BookText"/>
      </w:pPr>
      <w:r>
        <w:rPr>
          <w:rFonts w:ascii="IRNazanin" w:hAnsi="IRNazanin" w:eastAsia="IRNazanin" w:cs="IRNazanin"/>
          <w:lang w:bidi="fa-IR"/>
          <w:color w:val="111111"/>
          <w:sz w:val="28"/>
          <w:szCs w:val="28"/>
          <w:rtl/>
        </w:rPr>
        <w:t xml:space="preserve">فقهی  فتوایی است مشتمل بر احکام ضروری دین در یک «مقدمه» و چهار «مقصد» و یک «خاتمه».</w:t>
      </w:r>
    </w:p>
    <w:p>
      <w:pPr>
        <w:pStyle w:val="BookText"/>
      </w:pPr>
      <w:r>
        <w:rPr>
          <w:rFonts w:ascii="Amiri" w:hAnsi="Amiri" w:eastAsia="Amiri" w:cs="Amiri"/>
          <w:lang w:bidi="ar-SA"/>
          <w:color w:val="111111"/>
          <w:sz w:val="28"/>
          <w:szCs w:val="28"/>
          <w:rtl/>
        </w:rPr>
        <w:t xml:space="preserve">آغاز: الحمد لله رب العالمين والصلوة على سيد الأولين والآخرين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وآله الطاهرين المبالغين لارشاد المسترشدین اما بعد چنین گوید خادم علوم دینیه و متسفیض اسرار شرعيه ابن محمد حسن الخراسانی محمد ابراهیم</w:t>
      </w:r>
    </w:p>
    <w:p>
      <w:pPr>
        <w:pStyle w:val="BookText"/>
      </w:pPr>
      <w:r>
        <w:rPr>
          <w:rFonts w:ascii="IRNazanin" w:hAnsi="IRNazanin" w:eastAsia="IRNazanin" w:cs="IRNazanin"/>
          <w:lang w:bidi="fa-IR"/>
          <w:color w:val="111111"/>
          <w:sz w:val="28"/>
          <w:szCs w:val="28"/>
          <w:rtl/>
        </w:rPr>
        <w:t xml:space="preserve">[الذريعة 1/ 521 و 520/10؛ فهرستواره فقه هزار و چهار صد ساله اسلامی ص 42؛ ريحانة الادب ج 354/3]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مشهد؛ رضوی؛ شماره نسخه: 15860</w:t>
      </w:r>
    </w:p>
    <w:p>
      <w:pPr>
        <w:pStyle w:val="BookText"/>
      </w:pPr>
      <w:r>
        <w:rPr>
          <w:rFonts w:ascii="IRNazanin" w:hAnsi="IRNazanin" w:eastAsia="IRNazanin" w:cs="IRNazanin"/>
          <w:lang w:bidi="fa-IR"/>
          <w:color w:val="111111"/>
          <w:sz w:val="28"/>
          <w:szCs w:val="28"/>
          <w:rtl/>
        </w:rPr>
        <w:t xml:space="preserve">آغاز: و اما در زلزله معتبر نیست بی اشکال؛ انجام :و مكروه دانسته اند. بعضی از برای نساء</w:t>
      </w:r>
    </w:p>
    <w:p>
      <w:pPr>
        <w:pStyle w:val="BookText"/>
      </w:pPr>
      <w:r>
        <w:rPr>
          <w:rFonts w:ascii="IRNazanin" w:hAnsi="IRNazanin" w:eastAsia="IRNazanin" w:cs="IRNazanin"/>
          <w:lang w:bidi="fa-IR"/>
          <w:color w:val="111111"/>
          <w:sz w:val="28"/>
          <w:szCs w:val="28"/>
          <w:rtl/>
        </w:rPr>
        <w:t xml:space="preserve">خط: نسخ، بی کا، تا: قرن 13؛ افتادگی: آغاز (پانزده برگ) انجام( یک برگ)؛ واقف: حاج احمد فاضل،اسفند 1365 ؛كاغذ: نخودی آهار مهره ،جلد: روغنی با نقش ترنج و سر ترنج درون جلد دارای گل نرگس، 116گ، 17 سطر ، اندازه: 21</w:t>
      </w: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[ف: 21/18 - 99]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سپهسالار؛ شماره نسخه: 5880</w:t>
      </w:r>
    </w:p>
    <w:p>
      <w:pPr>
        <w:pStyle w:val="BookText"/>
      </w:pPr>
      <w:r>
        <w:rPr>
          <w:rFonts w:ascii="IRNazanin" w:hAnsi="IRNazanin" w:eastAsia="IRNazanin" w:cs="IRNazanin"/>
          <w:lang w:bidi="fa-IR"/>
          <w:color w:val="111111"/>
          <w:sz w:val="28"/>
          <w:szCs w:val="28"/>
          <w:rtl/>
        </w:rPr>
        <w:t xml:space="preserve">آغاز: برابر؛ انجام: و واجب است بیرون رود از مسجد در (پایان اعتكاف افتاده است).</w:t>
      </w:r>
    </w:p>
    <w:p>
      <w:pPr>
        <w:pStyle w:val="BookText"/>
      </w:pPr>
      <w:r>
        <w:rPr>
          <w:rFonts w:ascii="IRNazanin" w:hAnsi="IRNazanin" w:eastAsia="IRNazanin" w:cs="IRNazanin"/>
          <w:lang w:bidi="fa-IR"/>
          <w:color w:val="111111"/>
          <w:sz w:val="28"/>
          <w:szCs w:val="28"/>
          <w:rtl/>
        </w:rPr>
        <w:t xml:space="preserve">دو جزء در یک جلد؛ خط: نسخ، بی کا، تا: قرن 13؛ افتادگی: انجام؛ کاغذ: فرنگی سفید آهار مهره، جلد: روغنی گل بوته با ترنج،207گ، 17 سطر ، اندازه: 14</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3 - 110]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مشهد؛ گوهر شاد ؛شماره نسخه: 5371</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از آغاز تا آخر حج؛ خط: نسخ خوش، بی کا، تا: قرن 13؛ دارای بلاغ؛ كاغذ: فرنگی آهار مهره، جلد:تیماج مشکی عطف میشں سرخ 19 سطر (8/5</w:t>
      </w: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 اندازه: 15</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 [ ف: 2 - 642 ]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قم؛ گلپایگانی؛ شماره نسخه: 4584-23/104</w:t>
      </w:r>
    </w:p>
    <w:p>
      <w:pPr>
        <w:pStyle w:val="BookText"/>
      </w:pPr>
      <w:r>
        <w:rPr>
          <w:rFonts w:ascii="IRNazanin" w:hAnsi="IRNazanin" w:eastAsia="IRNazanin" w:cs="IRNazanin"/>
          <w:lang w:bidi="fa-IR"/>
          <w:color w:val="111111"/>
          <w:sz w:val="28"/>
          <w:szCs w:val="28"/>
          <w:rtl/>
        </w:rPr>
        <w:t xml:space="preserve">آغاز: برابر؛ انجام: در لواحق بدانکه هرگاه فوت شود معتکف و اعتکاف واجبی در ذمه او باشد لازمست بر ولی قضای آن... واجبست به جهت افساد اعتکاف و اگر اعتکاف به نذر معینی شبه آن باشد کفاره دیگر</w:t>
      </w:r>
    </w:p>
    <w:p>
      <w:pPr>
        <w:pStyle w:val="BookText"/>
      </w:pPr>
      <w:r>
        <w:rPr>
          <w:rFonts w:ascii="IRNazanin" w:hAnsi="IRNazanin" w:eastAsia="IRNazanin" w:cs="IRNazanin"/>
          <w:lang w:bidi="fa-IR"/>
          <w:color w:val="111111"/>
          <w:sz w:val="28"/>
          <w:szCs w:val="28"/>
          <w:rtl/>
        </w:rPr>
        <w:t xml:space="preserve">خط: نستعلیق، بی کا، تا: قرن 13؛ افتادگی: انجام؛ جلد: تیماج ،مشکی، 126گ، 21 سطر [ف: 1 - 313]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اصفهان؛ مدرسه صدر بازار؛ شماره نسخه: 786</w:t>
      </w:r>
    </w:p>
    <w:p>
      <w:pPr>
        <w:pStyle w:val="BookText"/>
      </w:pPr>
      <w:r>
        <w:rPr>
          <w:rFonts w:ascii="IRNazanin" w:hAnsi="IRNazanin" w:eastAsia="IRNazanin" w:cs="IRNazanin"/>
          <w:lang w:bidi="fa-IR"/>
          <w:color w:val="111111"/>
          <w:sz w:val="28"/>
          <w:szCs w:val="28"/>
          <w:rtl/>
        </w:rPr>
        <w:t xml:space="preserve">كتاب الحج؛ خط: نسخ، بی کا،   تا: قرن 13؛ اهدائی سید علی نجف آبادی؛ جلد: تیماج مشکی بدون مقوا، 74گ، 16 سطر</w:t>
      </w:r>
    </w:p>
    <w:p>
      <w:pPr>
        <w:pStyle w:val="BookText"/>
      </w:pPr>
      <w:r>
        <w:rPr>
          <w:rFonts w:ascii="IRNazanin" w:hAnsi="IRNazanin" w:eastAsia="IRNazanin" w:cs="IRNazanin"/>
          <w:lang w:bidi="fa-IR"/>
          <w:color w:val="111111"/>
          <w:sz w:val="28"/>
          <w:szCs w:val="28"/>
          <w:rtl/>
        </w:rPr>
        <w:t xml:space="preserve">،اندازه 10</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سم [ ف : 3 - 588]</w:t>
      </w:r>
    </w:p>
    <w:p>
      <w:pPr>
        <w:pStyle w:val="BookText"/>
      </w:pPr>
      <w:r>
        <w:rPr>
          <w:rFonts w:ascii="IRNazanin" w:hAnsi="IRNazanin" w:eastAsia="IRNazanin" w:cs="IRNazanin"/>
          <w:lang w:bidi="fa-IR"/>
          <w:color w:val="111111"/>
          <w:sz w:val="28"/>
          <w:szCs w:val="28"/>
          <w:rtl/>
        </w:rPr>
        <w:t xml:space="preserve">6.تهران؛ مجلس؛ شماره نسخه 5595</w:t>
      </w:r>
    </w:p>
    <w:p>
      <w:pPr>
        <w:pStyle w:val="BookText"/>
      </w:pPr>
      <w:r>
        <w:rPr>
          <w:rFonts w:ascii="IRNazanin" w:hAnsi="IRNazanin" w:eastAsia="IRNazanin" w:cs="IRNazanin"/>
          <w:lang w:bidi="fa-IR"/>
          <w:color w:val="111111"/>
          <w:sz w:val="28"/>
          <w:szCs w:val="28"/>
          <w:rtl/>
        </w:rPr>
        <w:t xml:space="preserve">آغاز: برابر؛ انجام: که هر که بخواند آنرا بر قبر مؤمنی او را و صاحب قبر را میآمرزد خدای تعالی تمام شد جزء اول ارشاد المسترشدين.</w:t>
      </w:r>
    </w:p>
    <w:p>
      <w:pPr>
        <w:pStyle w:val="BookText"/>
      </w:pPr>
      <w:r>
        <w:rPr>
          <w:rFonts w:ascii="IRNazanin" w:hAnsi="IRNazanin" w:eastAsia="IRNazanin" w:cs="IRNazanin"/>
          <w:lang w:bidi="fa-IR"/>
          <w:color w:val="111111"/>
          <w:sz w:val="28"/>
          <w:szCs w:val="28"/>
          <w:rtl/>
        </w:rPr>
        <w:t xml:space="preserve">جلد ،اول شامل مقدمه و بخشی از مقصد اول (در عبادات)؛ خط: نسخ، کا: سید حسن محمد علی حسینی، تا: 1233ق؛ کاتب تاریخ مقابله را در آخرین صفحه سال 1234 - مرقوم داشته؛ کاغذ: فرنگی سفید، جلد: روغنی یشمی گل ها و حاشیه طلایی عطف میشن یشمی، 412ص، 17 سطر قطع: خشتی، اندازه:15/5</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 [ف: 17 - 53]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یزد؛ وزیری؛ شماره نسخه: 3668</w:t>
      </w:r>
    </w:p>
    <w:p>
      <w:pPr>
        <w:pStyle w:val="BookText"/>
      </w:pPr>
      <w:r>
        <w:rPr>
          <w:rFonts w:ascii="IRNazanin" w:hAnsi="IRNazanin" w:eastAsia="IRNazanin" w:cs="IRNazanin"/>
          <w:lang w:bidi="fa-IR"/>
          <w:color w:val="111111"/>
          <w:sz w:val="28"/>
          <w:szCs w:val="28"/>
          <w:rtl/>
        </w:rPr>
        <w:t xml:space="preserve">خط : نسخ، :کا ،یوسف، تا: رجب 1233ق؛ مقابله شده؛ کاغذ: اصفهانی آهار مهره، جلد: مقوایی روکش تیماج مشکی ضربی دارای یک ترنج بزرگ و دو کوچک با گل و بوته رنگین و جدول زرین عطف تیماج ،قرمز، 146گ، 17 سطر (9</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،اندازه: 14</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5 - 1743]</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قم؛ فیضیه؛ شماره نسخه: 924</w:t>
      </w:r>
    </w:p>
    <w:p>
      <w:pPr>
        <w:pStyle w:val="BookText"/>
      </w:pPr>
      <w:r>
        <w:rPr>
          <w:rFonts w:ascii="IRNazanin" w:hAnsi="IRNazanin" w:eastAsia="IRNazanin" w:cs="IRNazanin"/>
          <w:lang w:bidi="fa-IR"/>
          <w:color w:val="111111"/>
          <w:sz w:val="28"/>
          <w:szCs w:val="28"/>
          <w:rtl/>
        </w:rPr>
        <w:t xml:space="preserve">آغاز: چنین گوید خادم علوم دینیه و مستفیض اسرار شرعیه</w:t>
      </w:r>
    </w:p>
    <w:p>
      <w:pPr>
        <w:pStyle w:val="BookText"/>
      </w:pPr>
      <w:r>
        <w:rPr>
          <w:rFonts w:ascii="IRNazanin" w:hAnsi="IRNazanin" w:eastAsia="IRNazanin" w:cs="IRNazanin"/>
          <w:lang w:bidi="fa-IR"/>
          <w:color w:val="111111"/>
          <w:sz w:val="28"/>
          <w:szCs w:val="28"/>
          <w:rtl/>
        </w:rPr>
        <w:t xml:space="preserve">خط: نسخ، کا: مهدی لنجانی، تا:1233ق؛ 227گ، 17 سطر ، اندازه: 15</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2 - 12]</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قم؛ مرعشی؛ شماره نسخه: 7813</w:t>
      </w:r>
    </w:p>
    <w:p>
      <w:pPr>
        <w:pStyle w:val="BookText"/>
      </w:pPr>
      <w:r>
        <w:rPr>
          <w:rFonts w:ascii="IRNazanin" w:hAnsi="IRNazanin" w:eastAsia="IRNazanin" w:cs="IRNazanin"/>
          <w:lang w:bidi="fa-IR"/>
          <w:color w:val="111111"/>
          <w:sz w:val="28"/>
          <w:szCs w:val="28"/>
          <w:rtl/>
        </w:rPr>
        <w:t xml:space="preserve">از آغاز تا احکام دفن؛ خط: نسخ، کا: محمد ملقب به آقا بابا، تا:1233ق؛ مصحح، پس از کتاب چند برگ از رساله ای در احکام روزه آمده که به سال 1246 نوشته شده است؛ مهر: کتابخانه مهندس بغایری؛ 201گ، 19 سطر ، اندازه: 14/5</w:t>
      </w:r>
      <w:r>
        <w:rPr>
          <w:rFonts w:ascii="Times New Roman" w:hAnsi="Times New Roman" w:eastAsia="Times New Roman" w:cs="Times New Roman"/>
          <w:lang w:val="en-US" w:bidi="en-US"/>
          <w:color w:val="111111"/>
          <w:sz w:val="28"/>
          <w:szCs w:val="28"/>
          <w:rtl/>
        </w:rPr>
        <w:t xml:space="preserve">×20/5</w:t>
      </w:r>
      <w:r>
        <w:rPr>
          <w:rFonts w:ascii="IRNazanin" w:hAnsi="IRNazanin" w:eastAsia="IRNazanin" w:cs="IRNazanin"/>
          <w:lang w:bidi="fa-IR"/>
          <w:color w:val="111111"/>
          <w:sz w:val="28"/>
          <w:szCs w:val="28"/>
          <w:rtl/>
        </w:rPr>
        <w:t xml:space="preserve">سم [ف: 20- 170]</w:t>
      </w:r>
    </w:p>
    <w:p>
      <w:pPr>
        <w:pStyle w:val="BookText"/>
      </w:pPr>
      <w:r>
        <w:rPr>
          <w:rFonts w:ascii="IRNazanin" w:hAnsi="IRNazanin" w:eastAsia="IRNazanin" w:cs="IRNazanin"/>
          <w:lang w:bidi="fa-IR"/>
          <w:color w:val="111111"/>
          <w:sz w:val="28"/>
          <w:szCs w:val="28"/>
          <w:rtl/>
        </w:rPr>
        <w:t xml:space="preserve">10 . مشهد؛ رضوی؛ شماره نسخه: 7129</w:t>
      </w:r>
    </w:p>
    <w:p>
      <w:pPr>
        <w:pStyle w:val="BookText"/>
      </w:pPr>
      <w:r>
        <w:rPr>
          <w:rFonts w:ascii="IRNazanin" w:hAnsi="IRNazanin" w:eastAsia="IRNazanin" w:cs="IRNazanin"/>
          <w:lang w:bidi="fa-IR"/>
          <w:color w:val="111111"/>
          <w:sz w:val="28"/>
          <w:szCs w:val="28"/>
          <w:rtl/>
        </w:rPr>
        <w:t xml:space="preserve">آغاز: پس از خطبه و نام مؤلف: این رساله ای است در معرفت ضروری از احکام دین مبین؛ انجام: می آمرزد خدای تعالی او را و صاحب قبر را انشاء الله تعالى</w:t>
      </w:r>
    </w:p>
    <w:p>
      <w:pPr>
        <w:pStyle w:val="BookText"/>
      </w:pPr>
      <w:r>
        <w:rPr>
          <w:rFonts w:ascii="IRNazanin" w:hAnsi="IRNazanin" w:eastAsia="IRNazanin" w:cs="IRNazanin"/>
          <w:lang w:bidi="fa-IR"/>
          <w:color w:val="111111"/>
          <w:sz w:val="28"/>
          <w:szCs w:val="28"/>
          <w:rtl/>
        </w:rPr>
        <w:t xml:space="preserve">ج 1 مقدمه (در اجتهاد و تقلید) و منهج اول (در نماز) از مقصد اول (در عبادات)؛ خط: نسخ، کا: ابن آقا رجب على شريف، مشهور به ملا آقائی، تا: صفر 1234ق؛ مجدول دارای یک  سرلوح؛ کاغذ: آهار مهره شکری ،فرنگی، جلد: مقوا با روکش پارچه، 140گ، 21 سطر ، اندازه: 13</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5 - 378]</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تهران؛ دانشگاه ؛شماره نسخه: 6466</w:t>
      </w:r>
    </w:p>
    <w:p>
      <w:pPr>
        <w:pStyle w:val="BookText"/>
      </w:pPr>
      <w:r>
        <w:rPr>
          <w:rFonts w:ascii="IRNazanin" w:hAnsi="IRNazanin" w:eastAsia="IRNazanin" w:cs="IRNazanin"/>
          <w:lang w:bidi="fa-IR"/>
          <w:color w:val="111111"/>
          <w:sz w:val="28"/>
          <w:szCs w:val="28"/>
          <w:rtl/>
        </w:rPr>
        <w:t xml:space="preserve">جزء 1؛ خط: نسخ، بی کا، تا: 1234ق؛ مجدول، با سرلوح؛ بخشیده محمد ولی میرزا که در رمضان 1236 به گواهی میرزا ماما در یزد از آن او بوده است به کسی؛ کاغذ: فرنگی، جلد: تیماج عنابی ضربی مقوایی201گ،17 سطر (7</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،قطع: جیبی، اندازه: 10</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16 - 271]</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تهران؛ مجلس؛ شماره نسخه: 11380</w:t>
      </w:r>
    </w:p>
    <w:p>
      <w:pPr>
        <w:pStyle w:val="BookText"/>
      </w:pPr>
      <w:r>
        <w:rPr>
          <w:rFonts w:ascii="IRNazanin" w:hAnsi="IRNazanin" w:eastAsia="IRNazanin" w:cs="IRNazanin"/>
          <w:lang w:bidi="fa-IR"/>
          <w:color w:val="111111"/>
          <w:sz w:val="28"/>
          <w:szCs w:val="28"/>
          <w:rtl/>
        </w:rPr>
        <w:t xml:space="preserve">آغاز: برابر انجام: که هر که بخواند آنرا بر قبر مومنی اورا و صاحب قبر را میامرزد خدای تعالی تمام شد جزء اول اراد المسترشدين.</w:t>
      </w:r>
    </w:p>
    <w:p>
      <w:pPr>
        <w:pStyle w:val="BookText"/>
      </w:pPr>
      <w:r>
        <w:rPr>
          <w:rFonts w:ascii="IRNazanin" w:hAnsi="IRNazanin" w:eastAsia="IRNazanin" w:cs="IRNazanin"/>
          <w:lang w:bidi="fa-IR"/>
          <w:color w:val="111111"/>
          <w:sz w:val="28"/>
          <w:szCs w:val="28"/>
          <w:rtl/>
        </w:rPr>
        <w:t xml:space="preserve">جلد اول؛ خط: نسخ، بی کا، تا: 1235ق؛ افتادگی: انجام؛ جلد: تیماج قهوه ای، 210گ، 15 سطر، اندازه: 16</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سم [ف: 33/2 - 105]</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مشهد؛ گوهر شاد؛ شماره نسخه : 1552/1</w:t>
      </w:r>
    </w:p>
    <w:p>
      <w:pPr>
        <w:pStyle w:val="BookText"/>
      </w:pPr>
      <w:r>
        <w:rPr>
          <w:rFonts w:ascii="IRNazanin" w:hAnsi="IRNazanin" w:eastAsia="IRNazanin" w:cs="IRNazanin"/>
          <w:lang w:bidi="fa-IR"/>
          <w:color w:val="111111"/>
          <w:sz w:val="28"/>
          <w:szCs w:val="28"/>
          <w:rtl/>
        </w:rPr>
        <w:t xml:space="preserve">آغاز : برابر؛ انجام: در حدیث است هر که بخواند آن را در قبر مؤمنین می آمرزد خدایتعالی او را و صاحب قبر را تمام شد.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جزء اول؛ خط: نسخ خوش، بی کا، تا: 18 جمادی الثانی 1237ق؛ دارای یک سرلوح، مذهب، با نسخه اصل مقابله و خوانده شده در نهم محرم 1250ق؛ مهر: «سید علی بن سيد حسين الحسينی» (بیضی)، «محمد حسين بن سيد على الحسينى» (بيضى)، «عبده الراجی محمد حسن» «افوض امری الی الله عبده محمد رضا» (هشت ضلعی)؛ جلد: تیماج مشکی ضربی با ترنج و نیم ترنج، سطر (8</w:t>
      </w: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 اندازه: 15</w:t>
      </w:r>
      <w:r>
        <w:rPr>
          <w:rFonts w:ascii="Times New Roman" w:hAnsi="Times New Roman" w:eastAsia="Times New Roman" w:cs="Times New Roman"/>
          <w:lang w:val="en-US" w:bidi="en-US"/>
          <w:color w:val="111111"/>
          <w:sz w:val="28"/>
          <w:szCs w:val="28"/>
          <w:rtl/>
        </w:rPr>
        <w:t xml:space="preserve">×20/5</w:t>
      </w:r>
      <w:r>
        <w:rPr>
          <w:rFonts w:ascii="IRNazanin" w:hAnsi="IRNazanin" w:eastAsia="IRNazanin" w:cs="IRNazanin"/>
          <w:lang w:bidi="fa-IR"/>
          <w:color w:val="111111"/>
          <w:sz w:val="28"/>
          <w:szCs w:val="28"/>
          <w:rtl/>
        </w:rPr>
        <w:t xml:space="preserve">سم [ف: 4 - 2106]</w:t>
      </w:r>
    </w:p>
    <w:p>
      <w:pPr>
        <w:pStyle w:val="BookText"/>
      </w:pPr>
      <w:r>
        <w:rPr>
          <w:rFonts w:ascii="IRNazanin" w:hAnsi="IRNazanin" w:eastAsia="IRNazanin" w:cs="IRNazanin"/>
          <w:lang w:bidi="fa-IR"/>
          <w:color w:val="111111"/>
          <w:sz w:val="28"/>
          <w:szCs w:val="28"/>
          <w:rtl/>
        </w:rPr>
        <w:t xml:space="preserve">14 . اصفهان؛ مدرسه صدر بازار؛ شماره نسخه 230</w:t>
      </w:r>
    </w:p>
    <w:p>
      <w:pPr>
        <w:pStyle w:val="BookText"/>
      </w:pPr>
      <w:r>
        <w:rPr>
          <w:rFonts w:ascii="IRNazanin" w:hAnsi="IRNazanin" w:eastAsia="IRNazanin" w:cs="IRNazanin"/>
          <w:lang w:bidi="fa-IR"/>
          <w:color w:val="111111"/>
          <w:sz w:val="28"/>
          <w:szCs w:val="28"/>
          <w:rtl/>
        </w:rPr>
        <w:t xml:space="preserve">جزء اول؛ خط: نسخ، کا :محمد علی بن ابوالحسن نائینی، سه شنبه 4 ربیع الاول 1238ق؛تا: مصحح، محشی؛ 160گ، 17 سطر ، اندازه: 21</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1 - 161]</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قم؛ گلپایگانی؛ شماره نسخه: 6288-30/168</w:t>
      </w:r>
    </w:p>
    <w:p>
      <w:pPr>
        <w:pStyle w:val="BookText"/>
      </w:pPr>
      <w:r>
        <w:rPr>
          <w:rFonts w:ascii="IRNazanin" w:hAnsi="IRNazanin" w:eastAsia="IRNazanin" w:cs="IRNazanin"/>
          <w:lang w:bidi="fa-IR"/>
          <w:color w:val="111111"/>
          <w:sz w:val="28"/>
          <w:szCs w:val="28"/>
          <w:rtl/>
        </w:rPr>
        <w:t xml:space="preserve">آغاز: برابر؛ انجام: واجب میشود بر او چهار کفاره بنا بر اقوی و اگر مرتد شود معتکف در بین اعتکاف باطل می شود اعتکاف و واجبست بیرون رود از مسجد تمت</w:t>
      </w:r>
    </w:p>
    <w:p>
      <w:pPr>
        <w:pStyle w:val="BookText"/>
      </w:pPr>
      <w:r>
        <w:rPr>
          <w:rFonts w:ascii="IRNazanin" w:hAnsi="IRNazanin" w:eastAsia="IRNazanin" w:cs="IRNazanin"/>
          <w:lang w:bidi="fa-IR"/>
          <w:color w:val="111111"/>
          <w:sz w:val="28"/>
          <w:szCs w:val="28"/>
          <w:rtl/>
        </w:rPr>
        <w:t xml:space="preserve">طهارت، صلاة، زكاة خمس، صوم و اعتکاف؛ خط: نسخ، بی کا ، تا: 1239ق؛ دارای ،سرلوح ،مجدول مذهب جلد: روغنی دو رو با زمینه زرین، ترنج با سر و لچکی و جدول و حاشیه با گل های ،الوان 198گ، 21 سطر ، اندازه: 13</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1 - 313]</w:t>
      </w:r>
    </w:p>
    <w:p>
      <w:pPr>
        <w:pStyle w:val="BookText"/>
      </w:pPr>
      <w:r>
        <w:rPr>
          <w:rFonts w:ascii="IRNazanin" w:hAnsi="IRNazanin" w:eastAsia="IRNazanin" w:cs="IRNazanin"/>
          <w:lang w:bidi="fa-IR"/>
          <w:color w:val="111111"/>
          <w:sz w:val="28"/>
          <w:szCs w:val="28"/>
          <w:rtl/>
        </w:rPr>
        <w:t xml:space="preserve">16 . قم؛ گلپایگانی؛ شماره نسخه: 4346-22/66</w:t>
      </w:r>
    </w:p>
    <w:p>
      <w:pPr>
        <w:pStyle w:val="BookText"/>
      </w:pPr>
      <w:r>
        <w:rPr>
          <w:rFonts w:ascii="IRNazanin" w:hAnsi="IRNazanin" w:eastAsia="IRNazanin" w:cs="IRNazanin"/>
          <w:lang w:bidi="fa-IR"/>
          <w:color w:val="111111"/>
          <w:sz w:val="28"/>
          <w:szCs w:val="28"/>
          <w:rtl/>
        </w:rPr>
        <w:t xml:space="preserve">آغاز: برابر؛ انجام: بر قبر مؤمنی می آمرزد خدای تعالی او را صاحب قبر را انشاء الله تعالی تمام شد جزء اول از کتاب ارشاد المسترشدين.</w:t>
      </w:r>
    </w:p>
    <w:p>
      <w:pPr>
        <w:pStyle w:val="BookText"/>
      </w:pPr>
      <w:r>
        <w:rPr>
          <w:rFonts w:ascii="IRNazanin" w:hAnsi="IRNazanin" w:eastAsia="IRNazanin" w:cs="IRNazanin"/>
          <w:lang w:bidi="fa-IR"/>
          <w:color w:val="111111"/>
          <w:sz w:val="28"/>
          <w:szCs w:val="28"/>
          <w:rtl/>
        </w:rPr>
        <w:t xml:space="preserve">خط: نسخ، کا: علی نقی بن محمدحسن کاتب کازرونی، سه شنبه 8 جمادى الاول 1243ق، به دستور آقا سید اسماعیل؛</w:t>
      </w:r>
    </w:p>
    <w:p>
      <w:pPr>
        <w:pStyle w:val="BookText"/>
      </w:pPr>
      <w:r>
        <w:rPr>
          <w:rFonts w:ascii="IRNazanin" w:hAnsi="IRNazanin" w:eastAsia="IRNazanin" w:cs="IRNazanin"/>
          <w:lang w:bidi="fa-IR"/>
          <w:color w:val="111111"/>
          <w:sz w:val="28"/>
          <w:szCs w:val="28"/>
          <w:rtl/>
        </w:rPr>
        <w:t xml:space="preserve">جلد: تیماج قهوه ای، 147گ، 22 سطر [ف:1 - 313]</w:t>
      </w:r>
    </w:p>
    <w:p>
      <w:pPr>
        <w:pStyle w:val="BookText"/>
      </w:pPr>
      <w:r>
        <w:rPr>
          <w:rFonts w:ascii="IRNazanin" w:hAnsi="IRNazanin" w:eastAsia="IRNazanin" w:cs="IRNazanin"/>
          <w:lang w:bidi="fa-IR"/>
          <w:color w:val="111111"/>
          <w:sz w:val="28"/>
          <w:szCs w:val="28"/>
          <w:rtl/>
        </w:rPr>
        <w:t xml:space="preserve">17 . قم؛گلپایگانی؛ شماره نسخه: 7172-36/172</w:t>
      </w:r>
    </w:p>
    <w:p>
      <w:pPr>
        <w:pStyle w:val="BookText"/>
      </w:pPr>
      <w:r>
        <w:rPr>
          <w:rFonts w:ascii="IRNazanin" w:hAnsi="IRNazanin" w:eastAsia="IRNazanin" w:cs="IRNazanin"/>
          <w:lang w:bidi="fa-IR"/>
          <w:color w:val="111111"/>
          <w:sz w:val="28"/>
          <w:szCs w:val="28"/>
          <w:rtl/>
        </w:rPr>
        <w:t xml:space="preserve">آغاز: برابر؛ انجام: اگر زاید از دو ماه باشد حکم مذکور ثابت نیست تمت الرسالة مجتهد العصر. .. حاجی محمد ابراهيم بن مرحوم حاجی حسن الخراسانی</w:t>
      </w:r>
    </w:p>
    <w:p>
      <w:pPr>
        <w:pStyle w:val="BookText"/>
      </w:pPr>
      <w:r>
        <w:rPr>
          <w:rFonts w:ascii="IRNazanin" w:hAnsi="IRNazanin" w:eastAsia="IRNazanin" w:cs="IRNazanin"/>
          <w:lang w:bidi="fa-IR"/>
          <w:color w:val="111111"/>
          <w:sz w:val="28"/>
          <w:szCs w:val="28"/>
          <w:rtl/>
        </w:rPr>
        <w:t xml:space="preserve">خط: نسخ، کا: رضا بن کربلایی حسین ابرقوهی، تا: 15 جما الاول 1244ق، حسب الامر آخوند ملا قمر زندی ؛جلد: تیماج قهوه ای مجدول با ترنج و سرترنج 169گ، 18 سطر ، اندازه: 15</w:t>
      </w:r>
      <w:r>
        <w:rPr>
          <w:rFonts w:ascii="Times New Roman" w:hAnsi="Times New Roman" w:eastAsia="Times New Roman" w:cs="Times New Roman"/>
          <w:lang w:val="en-US" w:bidi="en-US"/>
          <w:color w:val="111111"/>
          <w:sz w:val="28"/>
          <w:szCs w:val="28"/>
          <w:rtl/>
        </w:rPr>
        <w:t xml:space="preserve">× 22</w:t>
      </w:r>
      <w:r>
        <w:rPr>
          <w:rFonts w:ascii="IRNazanin" w:hAnsi="IRNazanin" w:eastAsia="IRNazanin" w:cs="IRNazanin"/>
          <w:lang w:bidi="fa-IR"/>
          <w:color w:val="111111"/>
          <w:sz w:val="28"/>
          <w:szCs w:val="28"/>
          <w:rtl/>
        </w:rPr>
        <w:t xml:space="preserve">سم [ف: 1 - 314]</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قم؛ طبسی؛ شماره نسخه: 169</w:t>
      </w:r>
    </w:p>
    <w:p>
      <w:pPr>
        <w:pStyle w:val="BookText"/>
      </w:pPr>
      <w:r>
        <w:rPr>
          <w:rFonts w:ascii="IRNazanin" w:hAnsi="IRNazanin" w:eastAsia="IRNazanin" w:cs="IRNazanin"/>
          <w:lang w:bidi="fa-IR"/>
          <w:color w:val="111111"/>
          <w:sz w:val="28"/>
          <w:szCs w:val="28"/>
          <w:rtl/>
        </w:rPr>
        <w:t xml:space="preserve">آغاز: منهج پنجم در حج و آن شرعا عبارتست از افعالی که میاید چنانچه عمره نیز چنین است و در آن یک مقدمه و چند مبحث یک خاتمه است؛ انجام: بی اختیار یا در حال غضب بدون قصد لسان او صادر شود تمام شد تا به اینجا کفارات و نذر و قسم عهد از ارشاد المسترشدین بعد از آن در تجارتست</w:t>
      </w:r>
    </w:p>
    <w:p>
      <w:pPr>
        <w:pStyle w:val="BookText"/>
      </w:pPr>
      <w:r>
        <w:rPr>
          <w:rFonts w:ascii="IRNazanin" w:hAnsi="IRNazanin" w:eastAsia="IRNazanin" w:cs="IRNazanin"/>
          <w:lang w:bidi="fa-IR"/>
          <w:color w:val="111111"/>
          <w:sz w:val="28"/>
          <w:szCs w:val="28"/>
          <w:rtl/>
        </w:rPr>
        <w:t xml:space="preserve">حج و كفارات و نذر و قسم و عهد؛ خط: نسخ، بی کا، تا: 1245ق؛ افتادگی: وسط (از آخر کفارات و اول نذر)؛ مجدول ،زرین در اول نسخه آمده: «من کتب میرزا محمد تقى الشيرازی»؛ جلد: تیماج مشکی با ترنج و سرترنج 57گ، 18 سطر [ف مخ: 1 - 38 ]</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قم؛ مرعشی؛ شماره نسخه: 4438</w:t>
      </w:r>
    </w:p>
    <w:p>
      <w:pPr>
        <w:pStyle w:val="BookText"/>
      </w:pPr>
      <w:r>
        <w:rPr>
          <w:rFonts w:ascii="IRNazanin" w:hAnsi="IRNazanin" w:eastAsia="IRNazanin" w:cs="IRNazanin"/>
          <w:lang w:bidi="fa-IR"/>
          <w:color w:val="111111"/>
          <w:sz w:val="28"/>
          <w:szCs w:val="28"/>
          <w:rtl/>
        </w:rPr>
        <w:t xml:space="preserve">خط : نسخ، بی کا، تا:  19 ربیع الاول 1245ق؛ مصحح؛ مهر: «لا اله الا الله الملك الحق المبين محمد حسين بن ابوالقاسم» (مربع)؛ جلد: مقوایی عطف تیماج ،قرمز 152گ، 15 سطر ، اندازه: 14</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12 - 34]</w:t>
      </w:r>
    </w:p>
    <w:p>
      <w:pPr>
        <w:pStyle w:val="BookText"/>
      </w:pPr>
      <w:r>
        <w:rPr>
          <w:rFonts w:ascii="IRNazanin" w:hAnsi="IRNazanin" w:eastAsia="IRNazanin" w:cs="IRNazanin"/>
          <w:lang w:bidi="fa-IR"/>
          <w:color w:val="111111"/>
          <w:sz w:val="28"/>
          <w:szCs w:val="28"/>
          <w:rtl/>
        </w:rPr>
        <w:t xml:space="preserve">20 . تهران؛ دانشگاه؛ شماره نسخه: 5848</w:t>
      </w:r>
    </w:p>
    <w:p>
      <w:pPr>
        <w:pStyle w:val="BookText"/>
      </w:pPr>
      <w:r>
        <w:rPr>
          <w:rFonts w:ascii="IRNazanin" w:hAnsi="IRNazanin" w:eastAsia="IRNazanin" w:cs="IRNazanin"/>
          <w:lang w:bidi="fa-IR"/>
          <w:color w:val="111111"/>
          <w:sz w:val="28"/>
          <w:szCs w:val="28"/>
          <w:rtl/>
        </w:rPr>
        <w:t xml:space="preserve">خط: نسخ، بی کا، تا: 1247ق؛ کاغذ: فرهنگ، جلد: تیماج مشکی ،مقوایی 120گ 22 سطر (7</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 قطع: ربعی، اندازه: 13</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16 - 105]</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تهران؛ ادبیات؛ شماره نسخه: 165</w:t>
      </w:r>
    </w:p>
    <w:p>
      <w:pPr>
        <w:pStyle w:val="BookText"/>
      </w:pPr>
      <w:r>
        <w:rPr>
          <w:rFonts w:ascii="IRNazanin" w:hAnsi="IRNazanin" w:eastAsia="IRNazanin" w:cs="IRNazanin"/>
          <w:lang w:bidi="fa-IR"/>
          <w:color w:val="111111"/>
          <w:sz w:val="28"/>
          <w:szCs w:val="28"/>
          <w:rtl/>
        </w:rPr>
        <w:t xml:space="preserve">آغاز: برابر؛ انجام: صحیح نیست از کسی که درذمه او روزه واجب باشد مگر آنکه قادر نباشد بر واجب که جایز است</w:t>
      </w:r>
    </w:p>
    <w:p>
      <w:pPr>
        <w:pStyle w:val="BookText"/>
      </w:pPr>
      <w:r>
        <w:rPr>
          <w:rFonts w:ascii="IRNazanin" w:hAnsi="IRNazanin" w:eastAsia="IRNazanin" w:cs="IRNazanin"/>
          <w:lang w:bidi="fa-IR"/>
          <w:color w:val="111111"/>
          <w:sz w:val="28"/>
          <w:szCs w:val="28"/>
          <w:rtl/>
        </w:rPr>
        <w:t xml:space="preserve">خط: نسخ، بی کا، تا: 1253ق. [ف: 3 - 11]</w:t>
      </w:r>
    </w:p>
    <w:p>
      <w:pPr>
        <w:pStyle w:val="BookText"/>
      </w:pPr>
      <w:r>
        <w:rPr>
          <w:rFonts w:ascii="IRNazanin" w:hAnsi="IRNazanin" w:eastAsia="IRNazanin" w:cs="IRNazanin"/>
          <w:lang w:bidi="fa-IR"/>
          <w:color w:val="111111"/>
          <w:sz w:val="28"/>
          <w:szCs w:val="28"/>
          <w:rtl/>
        </w:rPr>
        <w:t xml:space="preserve">22 یزد؛ وزیری؛ شماره نسخه: 241</w:t>
      </w:r>
    </w:p>
    <w:p>
      <w:pPr>
        <w:pStyle w:val="BookText"/>
      </w:pPr>
      <w:r>
        <w:rPr>
          <w:rFonts w:ascii="IRNazanin" w:hAnsi="IRNazanin" w:eastAsia="IRNazanin" w:cs="IRNazanin"/>
          <w:lang w:bidi="fa-IR"/>
          <w:color w:val="111111"/>
          <w:sz w:val="28"/>
          <w:szCs w:val="28"/>
          <w:rtl/>
        </w:rPr>
        <w:t xml:space="preserve">آغاز: برابر؛ انجام: چهارم در ربیع و ارکان آن. .. و در آن چندفصل است.</w:t>
      </w:r>
    </w:p>
    <w:p>
      <w:pPr>
        <w:pStyle w:val="BookText"/>
      </w:pPr>
      <w:r>
        <w:rPr>
          <w:rFonts w:ascii="IRNazanin" w:hAnsi="IRNazanin" w:eastAsia="IRNazanin" w:cs="IRNazanin"/>
          <w:lang w:bidi="fa-IR"/>
          <w:color w:val="111111"/>
          <w:sz w:val="28"/>
          <w:szCs w:val="28"/>
          <w:rtl/>
        </w:rPr>
        <w:t xml:space="preserve">خط: نستعلیق، بی کا، تا: 1256ق؛ افتادگی: انجام؛ محشی؛ اهدایی حاج آقا رفیع؛ کاغذ: فرنگی آهار مهره، جلد: مقوایی با تیماج مشکی، 182گ، 24 سطر ، اندازه: 22</w:t>
      </w:r>
      <w:r>
        <w:rPr>
          <w:rFonts w:ascii="Times New Roman" w:hAnsi="Times New Roman" w:eastAsia="Times New Roman" w:cs="Times New Roman"/>
          <w:lang w:val="en-US" w:bidi="en-US"/>
          <w:color w:val="111111"/>
          <w:sz w:val="28"/>
          <w:szCs w:val="28"/>
          <w:rtl/>
        </w:rPr>
        <w:t xml:space="preserve">×35</w:t>
      </w:r>
      <w:r>
        <w:rPr>
          <w:rFonts w:ascii="IRNazanin" w:hAnsi="IRNazanin" w:eastAsia="IRNazanin" w:cs="IRNazanin"/>
          <w:lang w:bidi="fa-IR"/>
          <w:color w:val="111111"/>
          <w:sz w:val="28"/>
          <w:szCs w:val="28"/>
          <w:rtl/>
        </w:rPr>
        <w:t xml:space="preserve">سم [ف: 1-240]</w:t>
      </w:r>
    </w:p>
    <w:p>
      <w:pPr>
        <w:pStyle w:val="BookText"/>
      </w:pPr>
      <w:r>
        <w:rPr>
          <w:rFonts w:ascii="IRNazanin" w:hAnsi="IRNazanin" w:eastAsia="IRNazanin" w:cs="IRNazanin"/>
          <w:lang w:bidi="fa-IR"/>
          <w:color w:val="111111"/>
          <w:sz w:val="28"/>
          <w:szCs w:val="28"/>
          <w:rtl/>
        </w:rPr>
        <w:t xml:space="preserve">23 .آشتیان؛ حوزه علمیه؛ شماره نسخه: 60 بخش یکم</w:t>
      </w:r>
    </w:p>
    <w:p>
      <w:pPr>
        <w:pStyle w:val="BookText"/>
      </w:pPr>
      <w:r>
        <w:rPr>
          <w:rFonts w:ascii="IRNazanin" w:hAnsi="IRNazanin" w:eastAsia="IRNazanin" w:cs="IRNazanin"/>
          <w:lang w:bidi="fa-IR"/>
          <w:color w:val="111111"/>
          <w:sz w:val="28"/>
          <w:szCs w:val="28"/>
          <w:rtl/>
        </w:rPr>
        <w:t xml:space="preserve">آغاز: برابر؛ انجام: (انجام اول:) هر که بخواند او را به قبر مؤمنی می آمرزد خدای تعالی او را و صاحب قبر را تمام تمام شد جلد اول ارشاد المسترشدين وقتا الله اياكم من العالمين. .. تحرير شد شهر شوال سنه 1260ق. (انجام دوم:) مگر آن که قادر نباشد بر واجب که جایز است تمام شد مسائل خمس و زکوة و صوم به تاريخ یوم الثلثا شهر شوال، هزار و دویست و شصت 1260ق در  يوم قصبه آشتیان.</w:t>
      </w:r>
    </w:p>
    <w:p>
      <w:pPr>
        <w:pStyle w:val="BookText"/>
      </w:pPr>
      <w:r>
        <w:rPr>
          <w:rFonts w:ascii="IRNazanin" w:hAnsi="IRNazanin" w:eastAsia="IRNazanin" w:cs="IRNazanin"/>
          <w:lang w:bidi="fa-IR"/>
          <w:color w:val="111111"/>
          <w:sz w:val="28"/>
          <w:szCs w:val="28"/>
          <w:rtl/>
        </w:rPr>
        <w:t xml:space="preserve">جزء اول و مقصد سوم (زکات خمس، صوم)؛ خط: نستعليق،بی کا، تا: 3 شوال 1260ق؛ جا: آشتیان دارای وقف نامه «میرزا عبدالرحمن فرزند حیدر علی بیک»؛ کاغذ: شیری، جلد: چرم قهوه ای سیر مقوایی مجدول ضربی با هفت ترنج ،چلیپایی 158گ، 20 سطر، قطع: وزیری کوچک، اندازه: 14</w:t>
      </w:r>
      <w:r>
        <w:rPr>
          <w:rFonts w:ascii="Times New Roman" w:hAnsi="Times New Roman" w:eastAsia="Times New Roman" w:cs="Times New Roman"/>
          <w:lang w:val="en-US" w:bidi="en-US"/>
          <w:color w:val="111111"/>
          <w:sz w:val="28"/>
          <w:szCs w:val="28"/>
          <w:rtl/>
        </w:rPr>
        <w:t xml:space="preserve">× 22</w:t>
      </w:r>
      <w:r>
        <w:rPr>
          <w:rFonts w:ascii="IRNazanin" w:hAnsi="IRNazanin" w:eastAsia="IRNazanin" w:cs="IRNazanin"/>
          <w:lang w:bidi="fa-IR"/>
          <w:color w:val="111111"/>
          <w:sz w:val="28"/>
          <w:szCs w:val="28"/>
          <w:rtl/>
        </w:rPr>
        <w:t xml:space="preserve">سم [ف: 131]</w:t>
      </w:r>
    </w:p>
    <w:p>
      <w:pPr>
        <w:pStyle w:val="BookText"/>
      </w:pPr>
      <w:r>
        <w:rPr>
          <w:rFonts w:ascii="IRNazanin" w:hAnsi="IRNazanin" w:eastAsia="IRNazanin" w:cs="IRNazanin"/>
          <w:lang w:bidi="fa-IR"/>
          <w:color w:val="111111"/>
          <w:sz w:val="28"/>
          <w:szCs w:val="28"/>
          <w:rtl/>
        </w:rPr>
        <w:t xml:space="preserve">24 . تهران؛ دانشگاه؛ شماره نسخه: 8679</w:t>
      </w:r>
    </w:p>
    <w:p>
      <w:pPr>
        <w:pStyle w:val="BookText"/>
      </w:pPr>
      <w:r>
        <w:rPr>
          <w:rFonts w:ascii="IRNazanin" w:hAnsi="IRNazanin" w:eastAsia="IRNazanin" w:cs="IRNazanin"/>
          <w:lang w:bidi="fa-IR"/>
          <w:color w:val="111111"/>
          <w:sz w:val="28"/>
          <w:szCs w:val="28"/>
          <w:rtl/>
        </w:rPr>
        <w:t xml:space="preserve">جلد 1، از مقصد یکم در عبادات در چند منهج؛ خط: نسخ، کا: محمد حسین موسوی جزایری شوشتری، تا: قرن 13و 14؛ افتادگی: آغاز؛ کاغذ:فرنگی ،جلد: گالینگور آلبالویی و یشمی، 236گ، 16 سطر (8</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 قطع: ربعی، اندازه: 16/5</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سم [ف: 17- 194]</w:t>
      </w:r>
    </w:p>
    <w:p>
      <w:pPr>
        <w:pStyle w:val="BookText"/>
      </w:pPr>
      <w:r>
        <w:rPr>
          <w:rFonts w:ascii="IRNazanin" w:hAnsi="IRNazanin" w:eastAsia="IRNazanin" w:cs="IRNazanin"/>
          <w:lang w:bidi="fa-IR"/>
          <w:color w:val="111111"/>
          <w:sz w:val="28"/>
          <w:szCs w:val="28"/>
          <w:rtl/>
        </w:rPr>
        <w:t xml:space="preserve">25 . مشهد؛ رضوی؛ شماره نسخه: 13586</w:t>
      </w:r>
    </w:p>
    <w:p>
      <w:pPr>
        <w:pStyle w:val="BookText"/>
      </w:pPr>
      <w:r>
        <w:rPr>
          <w:rFonts w:ascii="IRNazanin" w:hAnsi="IRNazanin" w:eastAsia="IRNazanin" w:cs="IRNazanin"/>
          <w:lang w:bidi="fa-IR"/>
          <w:color w:val="111111"/>
          <w:sz w:val="28"/>
          <w:szCs w:val="28"/>
          <w:rtl/>
        </w:rPr>
        <w:t xml:space="preserve">آغاز: برابر؛ انجام: می آمرزد خدای تعالی او را و صاحب قبر را جلد 1؛ خط: نسخ، بی کا، بی تا :جلد: تیماج روغنی ضربی،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53" w:name="pg20365_260071"/>
    <w:bookmarkEnd w:id="53"/>
    <w:p>
      <w:pPr>
        <w:pStyle w:val="BookText"/>
      </w:pPr>
      <w:r>
        <w:rPr>
          <w:rFonts w:ascii="IRNazanin" w:hAnsi="IRNazanin" w:eastAsia="IRNazanin" w:cs="IRNazanin"/>
          <w:lang w:bidi="fa-IR"/>
          <w:color w:val="111111"/>
          <w:sz w:val="28"/>
          <w:szCs w:val="28"/>
          <w:rtl/>
        </w:rPr>
        <w:t xml:space="preserve">128گ، 17 سطر ، اندازه: 15</w:t>
      </w:r>
      <w:r>
        <w:rPr>
          <w:rFonts w:ascii="Times New Roman" w:hAnsi="Times New Roman" w:eastAsia="Times New Roman" w:cs="Times New Roman"/>
          <w:lang w:val="en-US" w:bidi="en-US"/>
          <w:color w:val="111111"/>
          <w:sz w:val="28"/>
          <w:szCs w:val="28"/>
          <w:rtl/>
        </w:rPr>
        <w:t xml:space="preserve">× 21</w:t>
      </w:r>
      <w:r>
        <w:rPr>
          <w:rFonts w:ascii="IRNazanin" w:hAnsi="IRNazanin" w:eastAsia="IRNazanin" w:cs="IRNazanin"/>
          <w:lang w:bidi="fa-IR"/>
          <w:color w:val="111111"/>
          <w:sz w:val="28"/>
          <w:szCs w:val="28"/>
          <w:rtl/>
        </w:rPr>
        <w:t xml:space="preserve">سم [ف: 20 - 36]</w:t>
      </w:r>
    </w:p>
    <w:p>
      <w:pPr>
        <w:pStyle w:val="BookText"/>
      </w:pPr>
      <w:r>
        <w:rPr>
          <w:rFonts w:ascii="Amiri" w:hAnsi="Amiri" w:eastAsia="Amiri" w:cs="Amiri"/>
          <w:lang w:bidi="ar-SA"/>
          <w:color w:val="111111"/>
          <w:sz w:val="28"/>
          <w:szCs w:val="28"/>
          <w:rtl/>
        </w:rPr>
        <w:t xml:space="preserve">26 . قم؛ فيضيه؛ شماره نسخه: 1563</w:t>
      </w:r>
    </w:p>
    <w:p>
      <w:pPr>
        <w:pStyle w:val="BookText"/>
      </w:pPr>
      <w:r>
        <w:rPr>
          <w:rFonts w:ascii="IRNazanin" w:hAnsi="IRNazanin" w:eastAsia="IRNazanin" w:cs="IRNazanin"/>
          <w:lang w:bidi="fa-IR"/>
          <w:color w:val="111111"/>
          <w:sz w:val="28"/>
          <w:szCs w:val="28"/>
          <w:rtl/>
        </w:rPr>
        <w:t xml:space="preserve">خط: نسخ ،بی کا، بی تا، با یادداشت حجة الاسلام شفتی درباره جواز تقلید از حاجی کلباسی به تاریخ 1244 بر برگ آخر آن ؛</w:t>
      </w:r>
    </w:p>
    <w:p>
      <w:pPr>
        <w:pStyle w:val="BookText"/>
      </w:pPr>
      <w:r>
        <w:rPr>
          <w:rFonts w:ascii="IRNazanin" w:hAnsi="IRNazanin" w:eastAsia="IRNazanin" w:cs="IRNazanin"/>
          <w:lang w:bidi="fa-IR"/>
          <w:color w:val="111111"/>
          <w:sz w:val="28"/>
          <w:szCs w:val="28"/>
          <w:rtl/>
        </w:rPr>
        <w:t xml:space="preserve">169گ، 19 سطر ، اندازه: 14</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2 - 12]</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قم؛ مرعشی؛ شماره نسخه: 528/2</w:t>
      </w:r>
    </w:p>
    <w:p>
      <w:pPr>
        <w:pStyle w:val="BookText"/>
      </w:pPr>
      <w:r>
        <w:rPr>
          <w:rFonts w:ascii="IRNazanin" w:hAnsi="IRNazanin" w:eastAsia="IRNazanin" w:cs="IRNazanin"/>
          <w:lang w:bidi="fa-IR"/>
          <w:color w:val="111111"/>
          <w:sz w:val="28"/>
          <w:szCs w:val="28"/>
          <w:rtl/>
        </w:rPr>
        <w:t xml:space="preserve">آغاز: برابر؛ انجام: پس اگر زائد از دو ماه باشد حکم مذكور ثابت نیست</w:t>
      </w:r>
    </w:p>
    <w:p>
      <w:pPr>
        <w:pStyle w:val="BookText"/>
      </w:pPr>
      <w:r>
        <w:rPr>
          <w:rFonts w:ascii="IRNazanin" w:hAnsi="IRNazanin" w:eastAsia="IRNazanin" w:cs="IRNazanin"/>
          <w:lang w:bidi="fa-IR"/>
          <w:color w:val="111111"/>
          <w:sz w:val="28"/>
          <w:szCs w:val="28"/>
          <w:rtl/>
        </w:rPr>
        <w:t xml:space="preserve">در دو مجلد از طهارت تا احکام روزه؛ خط: نستعلیق، بی کا، بی تا،جلد : تیماج قرمز ، 170گ( 95پ-264 پ) ، اندازه:10/5</w:t>
      </w:r>
      <w:r>
        <w:rPr>
          <w:rFonts w:ascii="Times New Roman" w:hAnsi="Times New Roman" w:eastAsia="Times New Roman" w:cs="Times New Roman"/>
          <w:lang w:val="en-US" w:bidi="en-US"/>
          <w:color w:val="111111"/>
          <w:sz w:val="28"/>
          <w:szCs w:val="28"/>
          <w:rtl/>
        </w:rPr>
        <w:t xml:space="preserve">×14/5</w:t>
      </w:r>
      <w:r>
        <w:rPr>
          <w:rFonts w:ascii="IRNazanin" w:hAnsi="IRNazanin" w:eastAsia="IRNazanin" w:cs="IRNazanin"/>
          <w:lang w:bidi="fa-IR"/>
          <w:color w:val="111111"/>
          <w:sz w:val="28"/>
          <w:szCs w:val="28"/>
          <w:rtl/>
        </w:rPr>
        <w:t xml:space="preserve">سم [ف 2 - 133]</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قم؛ مرعشی؛ شماره نسخه: 9456</w:t>
      </w:r>
    </w:p>
    <w:p>
      <w:pPr>
        <w:pStyle w:val="BookText"/>
      </w:pPr>
      <w:r>
        <w:rPr>
          <w:rFonts w:ascii="IRNazanin" w:hAnsi="IRNazanin" w:eastAsia="IRNazanin" w:cs="IRNazanin"/>
          <w:lang w:bidi="fa-IR"/>
          <w:color w:val="111111"/>
          <w:sz w:val="28"/>
          <w:szCs w:val="28"/>
          <w:rtl/>
        </w:rPr>
        <w:t xml:space="preserve">احکام زکات و روزه و اعتکاف؛ خط؛ نستعلیق، بی کا؛بی تا، مصحح، مقابله کتاب با نسخه اصل روز شنبه 8 شوال 1250 پایان</w:t>
      </w:r>
    </w:p>
    <w:p>
      <w:pPr>
        <w:pStyle w:val="BookText"/>
      </w:pPr>
      <w:r>
        <w:rPr>
          <w:rFonts w:ascii="IRNazanin" w:hAnsi="IRNazanin" w:eastAsia="IRNazanin" w:cs="IRNazanin"/>
          <w:lang w:bidi="fa-IR"/>
          <w:color w:val="111111"/>
          <w:sz w:val="28"/>
          <w:szCs w:val="28"/>
          <w:rtl/>
        </w:rPr>
        <w:t xml:space="preserve">یافته و در صفحه اول «ارشاد المؤمنین» نامیده شده ؛جلد: تیماج مشكى بدون مقوا، 61گ [ف: 24 - 220]</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زنجان؛ امام جمعه؛ شماره نسخه: بدون شماره</w:t>
      </w:r>
    </w:p>
    <w:p>
      <w:pPr>
        <w:pStyle w:val="BookText"/>
      </w:pPr>
      <w:r>
        <w:rPr>
          <w:rFonts w:ascii="IRNazanin" w:hAnsi="IRNazanin" w:eastAsia="IRNazanin" w:cs="IRNazanin"/>
          <w:lang w:bidi="fa-IR"/>
          <w:color w:val="111111"/>
          <w:sz w:val="28"/>
          <w:szCs w:val="28"/>
          <w:rtl/>
        </w:rPr>
        <w:t xml:space="preserve">اصول الدين و كتاب الطهارة؛ بی کا، بی تا [دليل المخطوطات 1 - 91]</w:t>
      </w:r>
    </w:p>
    <w:p>
      <w:pPr>
        <w:pStyle w:val="BookText"/>
      </w:pPr>
      <w:r>
        <w:rPr>
          <w:rFonts w:ascii="IRNazanin" w:hAnsi="IRNazanin" w:eastAsia="IRNazanin" w:cs="IRNazanin"/>
          <w:lang w:bidi="fa-IR"/>
          <w:color w:val="111111"/>
          <w:sz w:val="28"/>
          <w:szCs w:val="28"/>
          <w:rtl/>
        </w:rPr>
        <w:t xml:space="preserve">30.شیراز؛ ملی؛ شماره نسخه: 27- الف/ 253</w:t>
      </w:r>
    </w:p>
    <w:p>
      <w:pPr>
        <w:pStyle w:val="BookText"/>
      </w:pPr>
      <w:r>
        <w:rPr>
          <w:rFonts w:ascii="IRNazanin" w:hAnsi="IRNazanin" w:eastAsia="IRNazanin" w:cs="IRNazanin"/>
          <w:lang w:bidi="fa-IR"/>
          <w:color w:val="111111"/>
          <w:sz w:val="28"/>
          <w:szCs w:val="28"/>
          <w:rtl/>
        </w:rPr>
        <w:t xml:space="preserve">آغاز: برابر؛ انجام: در حدیث است که هر که بخواند آنرا برقبر مومنی میامرزد خدای تعالی او را و صاحب قبر را</w:t>
      </w:r>
    </w:p>
    <w:p>
      <w:pPr>
        <w:pStyle w:val="BookText"/>
      </w:pPr>
      <w:r>
        <w:rPr>
          <w:rFonts w:ascii="IRNazanin" w:hAnsi="IRNazanin" w:eastAsia="IRNazanin" w:cs="IRNazanin"/>
          <w:lang w:bidi="fa-IR"/>
          <w:color w:val="111111"/>
          <w:sz w:val="28"/>
          <w:szCs w:val="28"/>
          <w:rtl/>
        </w:rPr>
        <w:t xml:space="preserve">خط: نسخ، بی کا، بی تا؛ محشی؛ کاغذ: فرنگی سفید ،جلد: مقوا با تیماج مشکی ،ضربی، 160گ 17 سطر (8/5</w:t>
      </w:r>
      <w:r>
        <w:rPr>
          <w:rFonts w:ascii="Times New Roman" w:hAnsi="Times New Roman" w:eastAsia="Times New Roman" w:cs="Times New Roman"/>
          <w:lang w:val="en-US" w:bidi="en-US"/>
          <w:color w:val="111111"/>
          <w:sz w:val="28"/>
          <w:szCs w:val="28"/>
          <w:rtl/>
        </w:rPr>
        <w:t xml:space="preserve">×13/5) </w:t>
      </w:r>
      <w:r>
        <w:rPr>
          <w:rFonts w:ascii="IRNazanin" w:hAnsi="IRNazanin" w:eastAsia="IRNazanin" w:cs="IRNazanin"/>
          <w:lang w:bidi="fa-IR"/>
          <w:color w:val="111111"/>
          <w:sz w:val="28"/>
          <w:szCs w:val="28"/>
          <w:rtl/>
        </w:rPr>
        <w:t xml:space="preserve">اندازه: 15/5</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سم [ف: 1 - 234]</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قم؛ مسجد اعظم؛ شماره نسخه: 1170</w:t>
      </w:r>
    </w:p>
    <w:p>
      <w:pPr>
        <w:pStyle w:val="BookText"/>
      </w:pPr>
      <w:r>
        <w:rPr>
          <w:rFonts w:ascii="IRNazanin" w:hAnsi="IRNazanin" w:eastAsia="IRNazanin" w:cs="IRNazanin"/>
          <w:lang w:bidi="fa-IR"/>
          <w:color w:val="111111"/>
          <w:sz w:val="28"/>
          <w:szCs w:val="28"/>
          <w:rtl/>
        </w:rPr>
        <w:t xml:space="preserve">آغاز: در حج و آن شرعا عبارت است از افعالی که... چنانچه عمره نیز چنین است و در آن یک مقدمه و چند مبحث و یک خاتمه است؛ انجام: و هم چنین هر گاه از باب جاری شدن بر لسان باشد بی اختیار یا در حال غضب بدون قصد از لسان او صادر شود</w:t>
      </w:r>
    </w:p>
    <w:p>
      <w:pPr>
        <w:pStyle w:val="BookText"/>
      </w:pPr>
      <w:r>
        <w:rPr>
          <w:rFonts w:ascii="IRNazanin" w:hAnsi="IRNazanin" w:eastAsia="IRNazanin" w:cs="IRNazanin"/>
          <w:lang w:bidi="fa-IR"/>
          <w:color w:val="111111"/>
          <w:sz w:val="28"/>
          <w:szCs w:val="28"/>
          <w:rtl/>
        </w:rPr>
        <w:t xml:space="preserve">خط: نستعلیق، کا: محمد جعفر بن کربلایی خدابخش بروجنی، بی تا ؛جلد: تیماج قهوه ای با ترنج و سر، اسلیمی و بدون مقوا، 31گ 25 سطر [ف مخ: 1 - 132]</w:t>
      </w:r>
    </w:p>
    <w:p>
      <w:pPr>
        <w:pStyle w:val="BookText"/>
      </w:pPr>
      <w:r>
        <w:rPr>
          <w:rFonts w:ascii="IRNazanin" w:hAnsi="IRNazanin" w:eastAsia="IRNazanin" w:cs="IRNazanin"/>
          <w:lang w:bidi="fa-IR"/>
          <w:color w:val="111111"/>
          <w:sz w:val="28"/>
          <w:szCs w:val="28"/>
          <w:rtl/>
        </w:rPr>
        <w:t xml:space="preserve">32.قم؛ گلپایگانی؛ شماره نسخه : 1/ 7284- 74/ 37</w:t>
      </w:r>
    </w:p>
    <w:p>
      <w:pPr>
        <w:pStyle w:val="BookText"/>
      </w:pPr>
      <w:r>
        <w:rPr>
          <w:rFonts w:ascii="IRNazanin" w:hAnsi="IRNazanin" w:eastAsia="IRNazanin" w:cs="IRNazanin"/>
          <w:lang w:bidi="fa-IR"/>
          <w:color w:val="111111"/>
          <w:sz w:val="28"/>
          <w:szCs w:val="28"/>
          <w:rtl/>
        </w:rPr>
        <w:t xml:space="preserve">آغاز: برابر؛ انجام: صحیح نیست از کسی که در ذمه اوروزه  واجب باشد مگر آنکه قادر نباشد بر واجب که جایز است خط: نستعلیق، بی کا، تا: یک شنبه 14 جمادى الثانى 1255 (مقصد اول) پنج شنبه 13 شوال 1254( آخر کتاب)؛ مصحح ،جلد: تیماج قهوه ای مجدول با ترنج و سرترنج 122گ، 21 سطر ، اندازه: 15</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1 - 313]</w:t>
      </w:r>
    </w:p>
    <w:p>
      <w:pPr>
        <w:pStyle w:val="Heading3"/>
      </w:pPr>
      <w:bookmarkStart w:id="635" w:name="_Toc157"/>
      <w:r>
        <w:t>ارشاد المسترشدين و هداية الطالبين = واجب الاعتقاد / كلام و اعتقادات / عربی</w:t>
      </w:r>
      <w:bookmarkEnd w:id="635"/>
    </w:p>
    <w:p>
      <w:pPr>
        <w:pStyle w:val="BookText"/>
      </w:pPr>
      <w:r>
        <w:rPr>
          <w:rFonts w:ascii="Times New Roman" w:hAnsi="Times New Roman" w:eastAsia="Times New Roman" w:cs="Times New Roman"/>
          <w:lang w:val="en-US" w:bidi="en-US"/>
          <w:color w:val="111111"/>
          <w:sz w:val="28"/>
          <w:szCs w:val="28"/>
          <w:rtl/>
        </w:rPr>
        <w:t xml:space="preserve">iršad-ul-mustaršidin wa hidayat-ut-talibīn = wajib-ul-i'tiqād</w:t>
      </w:r>
    </w:p>
    <w:p>
      <w:pPr>
        <w:pStyle w:val="BookText"/>
      </w:pPr>
      <w:r>
        <w:rPr>
          <w:rFonts w:ascii="IRNazanin" w:hAnsi="IRNazanin" w:eastAsia="IRNazanin" w:cs="IRNazanin"/>
          <w:lang w:bidi="fa-IR"/>
          <w:color w:val="111111"/>
          <w:sz w:val="28"/>
          <w:szCs w:val="28"/>
          <w:rtl/>
        </w:rPr>
        <w:t xml:space="preserve">فخر المحققين محمد بن حسن، 682 - 771 قمری</w:t>
      </w:r>
    </w:p>
    <w:p>
      <w:pPr>
        <w:pStyle w:val="BookText"/>
      </w:pPr>
      <w:r>
        <w:rPr>
          <w:rFonts w:ascii="Times New Roman" w:hAnsi="Times New Roman" w:eastAsia="Times New Roman" w:cs="Times New Roman"/>
          <w:lang w:val="en-US" w:bidi="en-US"/>
          <w:color w:val="111111"/>
          <w:sz w:val="28"/>
          <w:szCs w:val="28"/>
          <w:rtl/>
        </w:rPr>
        <w:t xml:space="preserve">(1370-faxr-ol-mohaqqeqin, mohammad ebn-e hasan (1284 -</w:t>
      </w:r>
    </w:p>
    <w:p>
      <w:pPr>
        <w:pStyle w:val="BookText"/>
      </w:pPr>
      <w:r>
        <w:rPr>
          <w:rFonts w:ascii="IRNazanin" w:hAnsi="IRNazanin" w:eastAsia="IRNazanin" w:cs="IRNazanin"/>
          <w:lang w:bidi="fa-IR"/>
          <w:color w:val="111111"/>
          <w:sz w:val="28"/>
          <w:szCs w:val="28"/>
          <w:rtl/>
        </w:rPr>
        <w:t xml:space="preserve">رساله ای است مختصر در بیان واجبات اصول دین که دانستن آن بر هر مكلف واجب است. فاضل تنکابنی در شماره مؤلفات مؤلف دو کتاب به نام «کتاب المسترشدين» و «هداية الطالبين» یاد نموده گمان می رود آن دو تألیف یکی است و همین رساله باشد و این عبارت دیباچه این کتاب مشارالیه را به اشتباه انداخت است: «انی املیت هذه الرساله لارشاد المسترشدين و هداية الطالبين». صاحب «رياض العلماء» (به نوشته الذریعه) از این رساله با نام «اعتقادية فخریه» یاد کند و گوید مولی نظام الدین محمد قرشی ساوجی شاگرد شیخ بهائی (م- در حدود 1040) شرحی مبسوط و خوب بر آن نوشته و به نام رفیع الدین مرعشی کرده است. در «پنج اصل» است .1 معرفة الله ؛ 2. العدل؛ 3. الوعد والوعيد؛ 4 النبوة؛ 5. الامامة. در پایان آورده است که «من در اینجا تنها اصول را آوردم نه فروع را زیرا پدرم آنچه اجماعی شیعه است و به نقل درست از پیشوایان رسیده و هیچ شکی در آنها نیست آورده بدانها بنگرید و از آنها پیروی کنید. »</w:t>
      </w:r>
    </w:p>
    <w:p>
      <w:pPr>
        <w:pStyle w:val="BookText"/>
      </w:pPr>
      <w:r>
        <w:rPr>
          <w:rFonts w:ascii="IRNazanin" w:hAnsi="IRNazanin" w:eastAsia="IRNazanin" w:cs="IRNazanin"/>
          <w:lang w:bidi="fa-IR"/>
          <w:color w:val="111111"/>
          <w:sz w:val="28"/>
          <w:szCs w:val="28"/>
          <w:rtl/>
        </w:rPr>
        <w:t xml:space="preserve">آغاز: بسمله الحمد لله رب العالمين وصلى الله على سيد المرسلين محمد الصادق الامین و آله المعصومين اما بعد فيقول محمد بن حسن بن يوسف بن المطهر انى امليت هذه الرسالة لارشاد المهتدین و هدایت الطالبين و قد بينت فيها ما يجب على المكلفين من الاعتقاد في اصول الدين. .. ويجب ان يعتقدان يكون الواجب قديماً لانه لا يجوز عليه العدم</w:t>
      </w:r>
    </w:p>
    <w:p>
      <w:pPr>
        <w:pStyle w:val="BookText"/>
      </w:pPr>
      <w:r>
        <w:rPr>
          <w:rFonts w:ascii="Amiri" w:hAnsi="Amiri" w:eastAsia="Amiri" w:cs="Amiri"/>
          <w:lang w:bidi="ar-SA"/>
          <w:color w:val="111111"/>
          <w:sz w:val="28"/>
          <w:szCs w:val="28"/>
          <w:rtl/>
        </w:rPr>
        <w:t xml:space="preserve">انجام: و افتقرت على هذا الاصول و لم اذكر العبادات الشرعية لان والدى جمال الدين حسن بن يوسف بن المطهر قدس الله سرهم ذكر ما اجمع اهل البيت عليهم السلام و هم الائمة المعصومين. .. فايها المؤمنون تمسكوا واعتمدوا عليه و رحمة الله و بركاته</w:t>
      </w:r>
    </w:p>
    <w:p>
      <w:pPr>
        <w:pStyle w:val="BookText"/>
      </w:pPr>
      <w:r>
        <w:rPr>
          <w:rFonts w:ascii="Amiri" w:hAnsi="Amiri" w:eastAsia="Amiri" w:cs="Amiri"/>
          <w:lang w:bidi="ar-SA"/>
          <w:color w:val="111111"/>
          <w:sz w:val="28"/>
          <w:szCs w:val="28"/>
          <w:rtl/>
        </w:rPr>
        <w:t xml:space="preserve">[الذريعه 521/1 شماره 2539؛ رياض العلما 77/5؛ معجم التراث الكلامي 1/ 232؛ 1/ 180/ 33؛ دنا (690/1-691 ]</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Amiri" w:hAnsi="Amiri" w:eastAsia="Amiri" w:cs="Amiri"/>
          <w:lang w:bidi="ar-SA"/>
          <w:color w:val="111111"/>
          <w:sz w:val="28"/>
          <w:szCs w:val="28"/>
          <w:rtl/>
        </w:rPr>
        <w:t xml:space="preserve">1- شرح ارشاد المسترشدين و هداية الطالبين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مجلس؛ شماره نسخه: 10706/6</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کهن، بی کا، تا: قبل از 802ق؛ جلد: تیماج قهوه ای 20 ص (219-238) 17 سطر ، اندازه: 14</w:t>
      </w:r>
      <w:r>
        <w:rPr>
          <w:rFonts w:ascii="Times New Roman" w:hAnsi="Times New Roman" w:eastAsia="Times New Roman" w:cs="Times New Roman"/>
          <w:lang w:val="en-US" w:bidi="en-US"/>
          <w:color w:val="111111"/>
          <w:sz w:val="28"/>
          <w:szCs w:val="28"/>
          <w:rtl/>
        </w:rPr>
        <w:t xml:space="preserve">× 17</w:t>
      </w:r>
      <w:r>
        <w:rPr>
          <w:rFonts w:ascii="IRNazanin" w:hAnsi="IRNazanin" w:eastAsia="IRNazanin" w:cs="IRNazanin"/>
          <w:lang w:bidi="fa-IR"/>
          <w:color w:val="111111"/>
          <w:sz w:val="28"/>
          <w:szCs w:val="28"/>
          <w:rtl/>
        </w:rPr>
        <w:t xml:space="preserve">سم [ف: 1/ 23 - 180]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ملی؛ شماره نسخه: 3044/6</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جعفر بن حسن استرآبادی، تا: 845ق، جا: قریه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لاملبنگی ؛کاغذ: اصفهانی نخودی، جلد: تیماج سدری مقوایی ضربی ترنج دار 14گ (126-149پ)، 17 سطر (8</w:t>
      </w:r>
      <w:r>
        <w:rPr>
          <w:rFonts w:ascii="Times New Roman" w:hAnsi="Times New Roman" w:eastAsia="Times New Roman" w:cs="Times New Roman"/>
          <w:lang w:val="en-US" w:bidi="en-US"/>
          <w:color w:val="111111"/>
          <w:sz w:val="28"/>
          <w:szCs w:val="28"/>
          <w:rtl/>
        </w:rPr>
        <w:t xml:space="preserve">×115)</w:t>
      </w:r>
      <w:r>
        <w:rPr>
          <w:rFonts w:ascii="IRNazanin" w:hAnsi="IRNazanin" w:eastAsia="IRNazanin" w:cs="IRNazanin"/>
          <w:lang w:bidi="fa-IR"/>
          <w:color w:val="111111"/>
          <w:sz w:val="28"/>
          <w:szCs w:val="28"/>
          <w:rtl/>
        </w:rPr>
        <w:t xml:space="preserve">، اندازه: 12/5</w:t>
      </w:r>
      <w:r>
        <w:rPr>
          <w:rFonts w:ascii="Times New Roman" w:hAnsi="Times New Roman" w:eastAsia="Times New Roman" w:cs="Times New Roman"/>
          <w:lang w:val="en-US" w:bidi="en-US"/>
          <w:color w:val="111111"/>
          <w:sz w:val="28"/>
          <w:szCs w:val="28"/>
          <w:rtl/>
        </w:rPr>
        <w:t xml:space="preserve">×16/5</w:t>
      </w:r>
      <w:r>
        <w:rPr>
          <w:rFonts w:ascii="IRNazanin" w:hAnsi="IRNazanin" w:eastAsia="IRNazanin" w:cs="IRNazanin"/>
          <w:lang w:bidi="fa-IR"/>
          <w:color w:val="111111"/>
          <w:sz w:val="28"/>
          <w:szCs w:val="28"/>
          <w:rtl/>
        </w:rPr>
        <w:t xml:space="preserve">سم [ف: 14 - 162]</w:t>
      </w:r>
    </w:p>
    <w:p>
      <w:pPr>
        <w:pStyle w:val="BookText"/>
      </w:pPr>
      <w:r>
        <w:rPr>
          <w:rFonts w:ascii="IRNazanin" w:hAnsi="IRNazanin" w:eastAsia="IRNazanin" w:cs="IRNazanin"/>
          <w:lang w:bidi="fa-IR"/>
          <w:color w:val="111111"/>
          <w:sz w:val="28"/>
          <w:szCs w:val="28"/>
          <w:rtl/>
        </w:rPr>
        <w:t xml:space="preserve">3.تهران؛ ملی؛ شماره نسخه: 4572/3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حيدر حسینی، تا: 869ق مصحح، محشی با نشان «ه»؛ کاغذ: فرنگی نخودی ،جلد: تیماج قهوه ای روشن مقوایی مجدول ضربی 14گ (135پ - 149) ،17 سطر (5</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 اندازه: 9</w:t>
      </w:r>
      <w:r>
        <w:rPr>
          <w:rFonts w:ascii="Times New Roman" w:hAnsi="Times New Roman" w:eastAsia="Times New Roman" w:cs="Times New Roman"/>
          <w:lang w:val="en-US" w:bidi="en-US"/>
          <w:color w:val="111111"/>
          <w:sz w:val="28"/>
          <w:szCs w:val="28"/>
          <w:rtl/>
        </w:rPr>
        <w:t xml:space="preserve">× 17</w:t>
      </w:r>
      <w:r>
        <w:rPr>
          <w:rFonts w:ascii="IRNazanin" w:hAnsi="IRNazanin" w:eastAsia="IRNazanin" w:cs="IRNazanin"/>
          <w:lang w:bidi="fa-IR"/>
          <w:color w:val="111111"/>
          <w:sz w:val="28"/>
          <w:szCs w:val="28"/>
          <w:rtl/>
        </w:rPr>
        <w:t xml:space="preserve">سم [ف: 19 - 205]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خوانسار؛ فاضل؛ شماره نسخه: 112/1</w:t>
      </w:r>
    </w:p>
    <w:p>
      <w:pPr>
        <w:pStyle w:val="BookText"/>
      </w:pPr>
      <w:r>
        <w:rPr>
          <w:rFonts w:ascii="IRNazanin" w:hAnsi="IRNazanin" w:eastAsia="IRNazanin" w:cs="IRNazanin"/>
          <w:lang w:bidi="fa-IR"/>
          <w:color w:val="111111"/>
          <w:sz w:val="28"/>
          <w:szCs w:val="28"/>
          <w:rtl/>
        </w:rPr>
        <w:t xml:space="preserve">خط: نسخ نازیبا ،کا: محمد بن فیاض بن مهنا بن فياض تا جمعه 22 جمادى 869ق ،مجدول ،جلد:مقوایی، عطف پارچه مشکی31 ص (1-31) اندازه: 10/5</w:t>
      </w:r>
      <w:r>
        <w:rPr>
          <w:rFonts w:ascii="Times New Roman" w:hAnsi="Times New Roman" w:eastAsia="Times New Roman" w:cs="Times New Roman"/>
          <w:lang w:val="en-US" w:bidi="en-US"/>
          <w:color w:val="111111"/>
          <w:sz w:val="28"/>
          <w:szCs w:val="28"/>
          <w:rtl/>
        </w:rPr>
        <w:t xml:space="preserve">×15/5</w:t>
      </w:r>
      <w:r>
        <w:rPr>
          <w:rFonts w:ascii="IRNazanin" w:hAnsi="IRNazanin" w:eastAsia="IRNazanin" w:cs="IRNazanin"/>
          <w:lang w:bidi="fa-IR"/>
          <w:color w:val="111111"/>
          <w:sz w:val="28"/>
          <w:szCs w:val="28"/>
          <w:rtl/>
        </w:rPr>
        <w:t xml:space="preserve">سم [ف: 1 - 81]</w:t>
      </w:r>
    </w:p>
    <w:p>
      <w:pPr>
        <w:pStyle w:val="BookText"/>
      </w:pPr>
      <w:r>
        <w:rPr>
          <w:rFonts w:ascii="IRNazanin" w:hAnsi="IRNazanin" w:eastAsia="IRNazanin" w:cs="IRNazanin"/>
          <w:lang w:bidi="fa-IR"/>
          <w:color w:val="111111"/>
          <w:sz w:val="28"/>
          <w:szCs w:val="28"/>
          <w:rtl/>
        </w:rPr>
        <w:t xml:space="preserve">قم؛ مرکز احیاء؛ شماره نسخه: 307/1</w:t>
      </w:r>
    </w:p>
    <w:p>
      <w:pPr>
        <w:pStyle w:val="BookText"/>
      </w:pPr>
      <w:r>
        <w:rPr>
          <w:rFonts w:ascii="IRNazanin" w:hAnsi="IRNazanin" w:eastAsia="IRNazanin" w:cs="IRNazanin"/>
          <w:lang w:bidi="fa-IR"/>
          <w:color w:val="111111"/>
          <w:sz w:val="28"/>
          <w:szCs w:val="28"/>
          <w:rtl/>
        </w:rPr>
        <w:t xml:space="preserve">نسخه اصل: همان نسخه بالا [عکسی ف: 1 - 365]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تهران؛ ادبیات؛ شماره نسخه: 270</w:t>
      </w:r>
    </w:p>
    <w:p>
      <w:pPr>
        <w:pStyle w:val="BookText"/>
      </w:pPr>
      <w:r>
        <w:rPr>
          <w:rFonts w:ascii="IRNazanin" w:hAnsi="IRNazanin" w:eastAsia="IRNazanin" w:cs="IRNazanin"/>
          <w:lang w:bidi="fa-IR"/>
          <w:color w:val="111111"/>
          <w:sz w:val="28"/>
          <w:szCs w:val="28"/>
          <w:rtl/>
        </w:rPr>
        <w:t xml:space="preserve">خط: نسخ، کا: بابا علی بن بابا حسین بن بابا افضل بن بابا هلال بن خارخانی، تا: 873ق [ف 3 - 70]</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قم ؛مرعشی؛ شماره نسخه: 2247/3</w:t>
      </w:r>
    </w:p>
    <w:p>
      <w:pPr>
        <w:pStyle w:val="BookText"/>
      </w:pPr>
      <w:r>
        <w:rPr>
          <w:rFonts w:ascii="Amiri" w:hAnsi="Amiri" w:eastAsia="Amiri" w:cs="Amiri"/>
          <w:lang w:bidi="ar-SA"/>
          <w:color w:val="111111"/>
          <w:sz w:val="28"/>
          <w:szCs w:val="28"/>
          <w:rtl/>
        </w:rPr>
        <w:t xml:space="preserve">انجام: افتاده: و من عدل عنه الى غيره فقد عدل عن التعيين.</w:t>
      </w:r>
    </w:p>
    <w:p>
      <w:pPr>
        <w:pStyle w:val="BookText"/>
      </w:pPr>
      <w:r>
        <w:rPr>
          <w:rFonts w:ascii="IRNazanin" w:hAnsi="IRNazanin" w:eastAsia="IRNazanin" w:cs="IRNazanin"/>
          <w:lang w:bidi="fa-IR"/>
          <w:color w:val="111111"/>
          <w:sz w:val="28"/>
          <w:szCs w:val="28"/>
          <w:rtl/>
        </w:rPr>
        <w:t xml:space="preserve">خط: نسخ، بی کا، تا: 898ق؛ افتادگی: انجام؛ مصحح؛ جلد: مقوایی عطف تیماج مشکی 16گ (167 پ- 183پ)، 11 سطر ،اندازه: 12/5</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[ف: 6 - 232]</w:t>
      </w:r>
    </w:p>
    <w:p>
      <w:pPr>
        <w:pStyle w:val="BookText"/>
      </w:pPr>
      <w:r>
        <w:rPr>
          <w:rFonts w:ascii="IRNazanin" w:hAnsi="IRNazanin" w:eastAsia="IRNazanin" w:cs="IRNazanin"/>
          <w:lang w:bidi="fa-IR"/>
          <w:color w:val="111111"/>
          <w:sz w:val="28"/>
          <w:szCs w:val="28"/>
          <w:rtl/>
        </w:rPr>
        <w:t xml:space="preserve">7 .تهران؛ مفتاح؛ شماره نسخه: 135/7</w:t>
      </w:r>
    </w:p>
    <w:p>
      <w:pPr>
        <w:pStyle w:val="BookText"/>
      </w:pPr>
      <w:r>
        <w:rPr>
          <w:rFonts w:ascii="IRNazanin" w:hAnsi="IRNazanin" w:eastAsia="IRNazanin" w:cs="IRNazanin"/>
          <w:lang w:bidi="fa-IR"/>
          <w:color w:val="111111"/>
          <w:sz w:val="28"/>
          <w:szCs w:val="28"/>
          <w:rtl/>
        </w:rPr>
        <w:t xml:space="preserve">خط: نسخ، بی کا، تا: قرن 9 [نشریه: 7 - 230]</w:t>
      </w:r>
    </w:p>
    <w:p>
      <w:pPr>
        <w:pStyle w:val="BookText"/>
      </w:pPr>
      <w:r>
        <w:rPr>
          <w:rFonts w:ascii="IRNazanin" w:hAnsi="IRNazanin" w:eastAsia="IRNazanin" w:cs="IRNazanin"/>
          <w:lang w:bidi="fa-IR"/>
          <w:color w:val="111111"/>
          <w:sz w:val="28"/>
          <w:szCs w:val="28"/>
          <w:rtl/>
        </w:rPr>
        <w:t xml:space="preserve">8.قم؛ مرکز احیاء؛ شماره نسخه: 3446/1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و نستعلیق، بی کا، تا: قرن 9؛ مصحح؛ تملک «محمد باقر بن علی حسینی» با مهر بیضوی نام وی؛ 18گ (1پ- 18پ) 15 سطر ، اندازه: 10</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 [محدث ارموی مخ: 1 - 115]</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یزد؛ وزیری؛ شماره نسخه: 1490</w:t>
      </w:r>
    </w:p>
    <w:p>
      <w:pPr>
        <w:pStyle w:val="BookText"/>
      </w:pPr>
      <w:r>
        <w:rPr>
          <w:rFonts w:ascii="Amiri" w:hAnsi="Amiri" w:eastAsia="Amiri" w:cs="Amiri"/>
          <w:lang w:bidi="ar-SA"/>
          <w:color w:val="111111"/>
          <w:sz w:val="28"/>
          <w:szCs w:val="28"/>
          <w:rtl/>
        </w:rPr>
        <w:t xml:space="preserve">آغاز: برابر؛ انجام: و ما اشتمل عليه الكتاب الكريم</w:t>
      </w:r>
    </w:p>
    <w:p>
      <w:pPr>
        <w:pStyle w:val="BookText"/>
      </w:pPr>
      <w:r>
        <w:rPr>
          <w:rFonts w:ascii="IRNazanin" w:hAnsi="IRNazanin" w:eastAsia="IRNazanin" w:cs="IRNazanin"/>
          <w:lang w:bidi="fa-IR"/>
          <w:color w:val="111111"/>
          <w:sz w:val="28"/>
          <w:szCs w:val="28"/>
          <w:rtl/>
        </w:rPr>
        <w:t xml:space="preserve">نام مؤلف به اشتباه علامه حلی آمده است؛ خط: نسخ، کا: زین العابدین، تا: غره شعبان 924ق؛ اهدائی محمد جواد علمیه، کاغذ: پسته ای اصفهانی، جلد: مقوایی تیماج تریاکی لولادار، 66گ، سطر (9</w:t>
      </w:r>
      <w:r>
        <w:rPr>
          <w:rFonts w:ascii="Times New Roman" w:hAnsi="Times New Roman" w:eastAsia="Times New Roman" w:cs="Times New Roman"/>
          <w:lang w:val="en-US" w:bidi="en-US"/>
          <w:color w:val="111111"/>
          <w:sz w:val="28"/>
          <w:szCs w:val="28"/>
          <w:rtl/>
        </w:rPr>
        <w:t xml:space="preserve">×16/5)</w:t>
      </w:r>
      <w:r>
        <w:rPr>
          <w:rFonts w:ascii="IRNazanin" w:hAnsi="IRNazanin" w:eastAsia="IRNazanin" w:cs="IRNazanin"/>
          <w:lang w:bidi="fa-IR"/>
          <w:color w:val="111111"/>
          <w:sz w:val="28"/>
          <w:szCs w:val="28"/>
          <w:rtl/>
        </w:rPr>
        <w:t xml:space="preserve">، اندازه: 18</w:t>
      </w:r>
      <w:r>
        <w:rPr>
          <w:rFonts w:ascii="Times New Roman" w:hAnsi="Times New Roman" w:eastAsia="Times New Roman" w:cs="Times New Roman"/>
          <w:lang w:val="en-US" w:bidi="en-US"/>
          <w:color w:val="111111"/>
          <w:sz w:val="28"/>
          <w:szCs w:val="28"/>
          <w:rtl/>
        </w:rPr>
        <w:t xml:space="preserve">×29</w:t>
      </w:r>
      <w:r>
        <w:rPr>
          <w:rFonts w:ascii="IRNazanin" w:hAnsi="IRNazanin" w:eastAsia="IRNazanin" w:cs="IRNazanin"/>
          <w:lang w:bidi="fa-IR"/>
          <w:color w:val="111111"/>
          <w:sz w:val="28"/>
          <w:szCs w:val="28"/>
          <w:rtl/>
        </w:rPr>
        <w:t xml:space="preserve">سم [ف: 3 - 973]</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قم؛ مرعشی؛ شماره نسخه: 13732/1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خط:نسخ، كا: محمد بن ابراهیم اوالی (بحرانی) تا: 959 ق؛ مصحح، محشی با نشان «ق، ه-، 12، شیخ محمد، خواجه نصرالدین فاسی» و غیر آن؛ مهر: آیة الله مرعشی نجفی (رحمه الله)،«... المبين بالحسين الحسن. .. سنة ... 1126. ..» (مستطیل)، «محمد الله على ولى الله الفقير شيخ محمد» (دایره) کاغذ: فرنگی ،6گ (7-2) 25 سطر ، اندازه: 8</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سم [ف 34 - 690]</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مشهد؛ رضوی؛ شماره نسخه: 620/3</w:t>
      </w:r>
    </w:p>
    <w:p>
      <w:pPr>
        <w:pStyle w:val="BookText"/>
      </w:pPr>
      <w:r>
        <w:rPr>
          <w:rFonts w:ascii="IRNazanin" w:hAnsi="IRNazanin" w:eastAsia="IRNazanin" w:cs="IRNazanin"/>
          <w:lang w:bidi="fa-IR"/>
          <w:color w:val="111111"/>
          <w:sz w:val="28"/>
          <w:szCs w:val="28"/>
          <w:rtl/>
        </w:rPr>
        <w:t xml:space="preserve">كا: قطب الدين بن اسماعيل، تا: 969ق؛ افتادگی: آغاز؛ قطع: رقعی [اهدائی ف: 275]</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تهران؛ دانشگاه؛ شماره نسخه: 3459/2</w:t>
      </w:r>
    </w:p>
    <w:p>
      <w:pPr>
        <w:pStyle w:val="BookText"/>
      </w:pPr>
      <w:r>
        <w:rPr>
          <w:rFonts w:ascii="IRNazanin" w:hAnsi="IRNazanin" w:eastAsia="IRNazanin" w:cs="IRNazanin"/>
          <w:lang w:bidi="fa-IR"/>
          <w:color w:val="111111"/>
          <w:sz w:val="28"/>
          <w:szCs w:val="28"/>
          <w:rtl/>
        </w:rPr>
        <w:t xml:space="preserve">خط: نسخ، کا: شریف محمد شریف بن باباجان حسینی، تا: چهارشنبه 3 ربیع الثانی 972 ق ، جا: روستای رامجین ساوجبلاغ؛ کاتب مالک نسخه است؛ کاغذ: سپاهانی، جلد: تیماج قهوه ای، 20گ (37-17)، 23 سطر (4</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 اندازه: 10</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[ف: 11 - 2466]</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تهران؛ دانشگاه؛ شماره نسخه: 3532/1-ف</w:t>
      </w:r>
    </w:p>
    <w:p>
      <w:pPr>
        <w:pStyle w:val="BookText"/>
      </w:pPr>
      <w:r>
        <w:rPr>
          <w:rFonts w:ascii="IRNazanin" w:hAnsi="IRNazanin" w:eastAsia="IRNazanin" w:cs="IRNazanin"/>
          <w:lang w:bidi="fa-IR"/>
          <w:color w:val="111111"/>
          <w:sz w:val="28"/>
          <w:szCs w:val="28"/>
          <w:rtl/>
        </w:rPr>
        <w:t xml:space="preserve">خط: نسخ، بی کا، تا: قرن 11 ؛ قطع: بغلی [ فیلم ها - ف: 2 - 173] ؛</w:t>
      </w:r>
    </w:p>
    <w:p>
      <w:pPr>
        <w:pStyle w:val="BookText"/>
      </w:pPr>
      <w:r>
        <w:rPr>
          <w:rFonts w:ascii="IRNazanin" w:hAnsi="IRNazanin" w:eastAsia="IRNazanin" w:cs="IRNazanin"/>
          <w:lang w:bidi="fa-IR"/>
          <w:color w:val="111111"/>
          <w:sz w:val="28"/>
          <w:szCs w:val="28"/>
          <w:rtl/>
        </w:rPr>
        <w:t xml:space="preserve">14 . مشهد؛ گوهر شاد؛ شماره نسخه: 1564/6</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نستعليق، كا: علیشاه بن كمال بن مرتضی علی، تا: شعبان1029ق؛ کاغذ ،سپاهانی، جلد: تیماج مشکی، 8گ، 14-22 سطر (7</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اندازه: 13</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4 - 2117]</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تهران؛ مجلس؛ شماره نسخه: 8900/3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کامل؛ خط: نسخ، بی کا، تا: 15 شعبان 1038ق؛ کاغذ: فرنگی آهار مهره، جلد: میشن قهوه ای 13گ (44پ-56ر)، 19 سطر (5/5</w:t>
      </w:r>
      <w:r>
        <w:rPr>
          <w:rFonts w:ascii="Times New Roman" w:hAnsi="Times New Roman" w:eastAsia="Times New Roman" w:cs="Times New Roman"/>
          <w:lang w:val="en-US" w:bidi="en-US"/>
          <w:color w:val="111111"/>
          <w:sz w:val="28"/>
          <w:szCs w:val="28"/>
          <w:rtl/>
        </w:rPr>
        <w:t xml:space="preserve">×12/5) </w:t>
      </w:r>
      <w:r>
        <w:rPr>
          <w:rFonts w:ascii="IRNazanin" w:hAnsi="IRNazanin" w:eastAsia="IRNazanin" w:cs="IRNazanin"/>
          <w:lang w:bidi="fa-IR"/>
          <w:color w:val="111111"/>
          <w:sz w:val="28"/>
          <w:szCs w:val="28"/>
          <w:rtl/>
        </w:rPr>
        <w:t xml:space="preserve">، اندازه: 9/6</w:t>
      </w:r>
      <w:r>
        <w:rPr>
          <w:rFonts w:ascii="Times New Roman" w:hAnsi="Times New Roman" w:eastAsia="Times New Roman" w:cs="Times New Roman"/>
          <w:lang w:val="en-US" w:bidi="en-US"/>
          <w:color w:val="111111"/>
          <w:sz w:val="28"/>
          <w:szCs w:val="28"/>
          <w:rtl/>
        </w:rPr>
        <w:t xml:space="preserve">×16/9</w:t>
      </w:r>
      <w:r>
        <w:rPr>
          <w:rFonts w:ascii="IRNazanin" w:hAnsi="IRNazanin" w:eastAsia="IRNazanin" w:cs="IRNazanin"/>
          <w:lang w:bidi="fa-IR"/>
          <w:color w:val="111111"/>
          <w:sz w:val="28"/>
          <w:szCs w:val="28"/>
          <w:rtl/>
        </w:rPr>
        <w:t xml:space="preserve">سم [ف: 29/1 - 266]</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تهران؛ ملک؛ شماره نسخه: 5816/2</w:t>
      </w:r>
    </w:p>
    <w:p>
      <w:pPr>
        <w:pStyle w:val="BookText"/>
      </w:pPr>
      <w:r>
        <w:rPr>
          <w:rFonts w:ascii="IRNazanin" w:hAnsi="IRNazanin" w:eastAsia="IRNazanin" w:cs="IRNazanin"/>
          <w:lang w:bidi="fa-IR"/>
          <w:color w:val="111111"/>
          <w:sz w:val="28"/>
          <w:szCs w:val="28"/>
          <w:rtl/>
        </w:rPr>
        <w:t xml:space="preserve">خط: نستعلیق، کا: رضی بن محمد امین ،حسینی، تا: صفر 1057ق؛ کاغذ ،ترمه، جلد: میشن قرمز ،ضربی 16 سطر [ف 9-55]</w:t>
      </w:r>
    </w:p>
    <w:p>
      <w:pPr>
        <w:pStyle w:val="BookText"/>
      </w:pPr>
      <w:r>
        <w:rPr>
          <w:rFonts w:ascii="IRNazanin" w:hAnsi="IRNazanin" w:eastAsia="IRNazanin" w:cs="IRNazanin"/>
          <w:lang w:bidi="fa-IR"/>
          <w:color w:val="111111"/>
          <w:sz w:val="28"/>
          <w:szCs w:val="28"/>
          <w:rtl/>
        </w:rPr>
        <w:t xml:space="preserve">17 . مشهد؛ رضوی؛ شماره نسخه: 20830</w:t>
      </w:r>
    </w:p>
    <w:p>
      <w:pPr>
        <w:pStyle w:val="BookText"/>
      </w:pPr>
      <w:r>
        <w:rPr>
          <w:rFonts w:ascii="IRNazanin" w:hAnsi="IRNazanin" w:eastAsia="IRNazanin" w:cs="IRNazanin"/>
          <w:lang w:bidi="fa-IR"/>
          <w:color w:val="111111"/>
          <w:sz w:val="28"/>
          <w:szCs w:val="28"/>
          <w:rtl/>
        </w:rPr>
        <w:t xml:space="preserve">آغاز: برابر؛ انجام: مصطفی حشر کن در بهشت تمت تمام</w:t>
      </w:r>
    </w:p>
    <w:p>
      <w:pPr>
        <w:pStyle w:val="BookText"/>
      </w:pPr>
      <w:r>
        <w:rPr>
          <w:rFonts w:ascii="IRNazanin" w:hAnsi="IRNazanin" w:eastAsia="IRNazanin" w:cs="IRNazanin"/>
          <w:lang w:bidi="fa-IR"/>
          <w:color w:val="111111"/>
          <w:sz w:val="28"/>
          <w:szCs w:val="28"/>
          <w:rtl/>
        </w:rPr>
        <w:t xml:space="preserve">خط: نسخ، بی کا، تا: 1072ق؛ اهدایی رهبری، خرداد 1373؛ کاغذ: نخودی، جلد: تیماج ضربی، 32گ، 14 سطر [رایانه]</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تهران؛ سپهسالار؛ شماره نسخه: 4506/10</w:t>
      </w:r>
    </w:p>
    <w:p>
      <w:pPr>
        <w:pStyle w:val="BookText"/>
      </w:pPr>
      <w:r>
        <w:rPr>
          <w:rFonts w:ascii="IRNazanin" w:hAnsi="IRNazanin" w:eastAsia="IRNazanin" w:cs="IRNazanin"/>
          <w:lang w:bidi="fa-IR"/>
          <w:color w:val="111111"/>
          <w:sz w:val="28"/>
          <w:szCs w:val="28"/>
          <w:rtl/>
        </w:rPr>
        <w:t xml:space="preserve">خط: نستعلیق بی کا ،تا: 7 شعبان ،1072ق؛ 8گ (190 پ -197ر) ، [ف: 3 - 161]</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تبریز؛ تربیت؛ شماره نسخه: 242</w:t>
      </w:r>
    </w:p>
    <w:p>
      <w:pPr>
        <w:pStyle w:val="BookText"/>
      </w:pPr>
      <w:r>
        <w:rPr>
          <w:rFonts w:ascii="IRNazanin" w:hAnsi="IRNazanin" w:eastAsia="IRNazanin" w:cs="IRNazanin"/>
          <w:lang w:bidi="fa-IR"/>
          <w:color w:val="111111"/>
          <w:sz w:val="28"/>
          <w:szCs w:val="28"/>
          <w:rtl/>
        </w:rPr>
        <w:t xml:space="preserve">بی کا، تا: 1093ق [ف :99]</w:t>
      </w:r>
    </w:p>
    <w:p>
      <w:pPr>
        <w:pStyle w:val="BookText"/>
      </w:pPr>
      <w:r>
        <w:rPr>
          <w:rFonts w:ascii="IRNazanin" w:hAnsi="IRNazanin" w:eastAsia="IRNazanin" w:cs="IRNazanin"/>
          <w:lang w:bidi="fa-IR"/>
          <w:color w:val="111111"/>
          <w:sz w:val="28"/>
          <w:szCs w:val="28"/>
          <w:rtl/>
        </w:rPr>
        <w:t xml:space="preserve">20 . مشهد؛ رضوی؛ شماره نسخه: 9706/2</w:t>
      </w:r>
    </w:p>
    <w:p>
      <w:pPr>
        <w:pStyle w:val="BookText"/>
      </w:pPr>
      <w:r>
        <w:rPr>
          <w:rFonts w:ascii="IRNazanin" w:hAnsi="IRNazanin" w:eastAsia="IRNazanin" w:cs="IRNazanin"/>
          <w:lang w:bidi="fa-IR"/>
          <w:color w:val="111111"/>
          <w:sz w:val="28"/>
          <w:szCs w:val="28"/>
          <w:rtl/>
        </w:rPr>
        <w:t xml:space="preserve">خط: نسخ، کا: عبد العظم بن صالح حسینی، تا: شوال 1097ق؛ کاغذ: آهار مهره حنایی و شکری ،جلد: مقوا عطف میشن ،خرمایی 15 سطر ، اندازه (9</w:t>
      </w:r>
      <w:r>
        <w:rPr>
          <w:rFonts w:ascii="Times New Roman" w:hAnsi="Times New Roman" w:eastAsia="Times New Roman" w:cs="Times New Roman"/>
          <w:lang w:val="en-US" w:bidi="en-US"/>
          <w:color w:val="111111"/>
          <w:sz w:val="28"/>
          <w:szCs w:val="28"/>
          <w:rtl/>
        </w:rPr>
        <w:t xml:space="preserve">× 19)</w:t>
      </w:r>
      <w:r>
        <w:rPr>
          <w:rFonts w:ascii="IRNazanin" w:hAnsi="IRNazanin" w:eastAsia="IRNazanin" w:cs="IRNazanin"/>
          <w:lang w:bidi="fa-IR"/>
          <w:color w:val="111111"/>
          <w:sz w:val="28"/>
          <w:szCs w:val="28"/>
          <w:rtl/>
        </w:rPr>
        <w:t xml:space="preserve">سم [ف 11 - 321]</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قم؛ مرعشی؛ شماره نسخه: 8839/17</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12؛ جلد: تیماج قهوه ای، 4گ (241پ- 245پ) اندازه: 23</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23 - 29]</w:t>
      </w:r>
    </w:p>
    <w:p>
      <w:pPr>
        <w:pStyle w:val="BookText"/>
      </w:pPr>
      <w:r>
        <w:rPr>
          <w:rFonts w:ascii="IRNazanin" w:hAnsi="IRNazanin" w:eastAsia="IRNazanin" w:cs="IRNazanin"/>
          <w:lang w:bidi="fa-IR"/>
          <w:color w:val="111111"/>
          <w:sz w:val="28"/>
          <w:szCs w:val="28"/>
          <w:rtl/>
        </w:rPr>
        <w:t xml:space="preserve">قم؛ مرعشی؛ شماره نسخه: 1186/34</w:t>
      </w:r>
    </w:p>
    <w:p>
      <w:pPr>
        <w:pStyle w:val="BookText"/>
      </w:pPr>
      <w:r>
        <w:rPr>
          <w:rFonts w:ascii="IRNazanin" w:hAnsi="IRNazanin" w:eastAsia="IRNazanin" w:cs="IRNazanin"/>
          <w:lang w:bidi="fa-IR"/>
          <w:color w:val="111111"/>
          <w:sz w:val="28"/>
          <w:szCs w:val="28"/>
          <w:rtl/>
        </w:rPr>
        <w:t xml:space="preserve">نسخه اصل: همان نسخه بالا [ عکسی ف: 3 - 444]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تهران؛ ملی؛ شماره نسخه: 2787/7</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شکسته نستعلیق، كا: شهاب الدين حسين بن ناصرالدین حسین حسنی حسینی جعفری دیباجی، تا: قرن 12؛ کاغذ: اصفهانی نخودی ،جلد: مقوا با روکش ،گالینگر 3گ (35پ -38) ابعاد متن: 14/5</w:t>
      </w:r>
      <w:r>
        <w:rPr>
          <w:rFonts w:ascii="Times New Roman" w:hAnsi="Times New Roman" w:eastAsia="Times New Roman" w:cs="Times New Roman"/>
          <w:lang w:val="en-US" w:bidi="en-US"/>
          <w:color w:val="111111"/>
          <w:sz w:val="28"/>
          <w:szCs w:val="28"/>
          <w:rtl/>
        </w:rPr>
        <w:t xml:space="preserve">×22/5 </w:t>
      </w:r>
      <w:r>
        <w:rPr>
          <w:rFonts w:ascii="IRNazanin" w:hAnsi="IRNazanin" w:eastAsia="IRNazanin" w:cs="IRNazanin"/>
          <w:lang w:bidi="fa-IR"/>
          <w:color w:val="111111"/>
          <w:sz w:val="28"/>
          <w:szCs w:val="28"/>
          <w:rtl/>
        </w:rPr>
        <w:t xml:space="preserve">، اندازه: 10/5</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 ف : 13 - 270</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شیراز؛ علامه طباطبائی؛ شماره نسخه:67/3</w:t>
      </w:r>
    </w:p>
    <w:p>
      <w:pPr>
        <w:pStyle w:val="BookText"/>
      </w:pPr>
      <w:r>
        <w:rPr>
          <w:rFonts w:ascii="IRNazanin" w:hAnsi="IRNazanin" w:eastAsia="IRNazanin" w:cs="IRNazanin"/>
          <w:lang w:bidi="fa-IR"/>
          <w:color w:val="111111"/>
          <w:sz w:val="28"/>
          <w:szCs w:val="28"/>
          <w:rtl/>
        </w:rPr>
        <w:t xml:space="preserve">خط: نسخ، بی کا، تا: قرن 12؛ 23 گ (50 پ -73ر) ، اندازه: 10</w:t>
      </w:r>
      <w:r>
        <w:rPr>
          <w:rFonts w:ascii="Times New Roman" w:hAnsi="Times New Roman" w:eastAsia="Times New Roman" w:cs="Times New Roman"/>
          <w:lang w:val="en-US" w:bidi="en-US"/>
          <w:color w:val="111111"/>
          <w:sz w:val="28"/>
          <w:szCs w:val="28"/>
          <w:rtl/>
        </w:rPr>
        <w:t xml:space="preserve">×14/5</w:t>
      </w:r>
      <w:r>
        <w:rPr>
          <w:rFonts w:ascii="IRNazanin" w:hAnsi="IRNazanin" w:eastAsia="IRNazanin" w:cs="IRNazanin"/>
          <w:lang w:bidi="fa-IR"/>
          <w:color w:val="111111"/>
          <w:sz w:val="28"/>
          <w:szCs w:val="28"/>
          <w:rtl/>
        </w:rPr>
        <w:t xml:space="preserve">سم [ نسخه پژوهی: 3 - 74]</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تهران؛ دانشگاه؛ شماره نسخه:7033/2</w:t>
      </w:r>
    </w:p>
    <w:p>
      <w:pPr>
        <w:pStyle w:val="BookText"/>
      </w:pPr>
      <w:r>
        <w:rPr>
          <w:rFonts w:ascii="IRNazanin" w:hAnsi="IRNazanin" w:eastAsia="IRNazanin" w:cs="IRNazanin"/>
          <w:lang w:bidi="fa-IR"/>
          <w:color w:val="111111"/>
          <w:sz w:val="28"/>
          <w:szCs w:val="28"/>
          <w:rtl/>
        </w:rPr>
        <w:t xml:space="preserve">خط: نسخ،كا: محمد مومن بن محمد امین حسینی، تا: 1101ق؛ کاغذ ،سپاهانی ،جلد: تیماج تریاکی مقوایی، 15 سطر (7</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قطع ربعی اندازه: 13</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سم [ف: 16 - 434]</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قم؛ گلپایگانی؛ شماره نسخه: 6853/24-35/33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شنبه 12 ربيع الاول 1102ق؛ مجدول ، مذهب؛ جلد: تیماج دو رو 5گ، 25 سطر ، اندازه: 15/5</w:t>
      </w:r>
      <w:r>
        <w:rPr>
          <w:rFonts w:ascii="Times New Roman" w:hAnsi="Times New Roman" w:eastAsia="Times New Roman" w:cs="Times New Roman"/>
          <w:lang w:val="en-US" w:bidi="en-US"/>
          <w:color w:val="111111"/>
          <w:sz w:val="28"/>
          <w:szCs w:val="28"/>
          <w:rtl/>
        </w:rPr>
        <w:t xml:space="preserve">×29 [</w:t>
      </w:r>
      <w:r>
        <w:rPr>
          <w:rFonts w:ascii="IRNazanin" w:hAnsi="IRNazanin" w:eastAsia="IRNazanin" w:cs="IRNazanin"/>
          <w:lang w:bidi="fa-IR"/>
          <w:color w:val="111111"/>
          <w:sz w:val="28"/>
          <w:szCs w:val="28"/>
          <w:rtl/>
        </w:rPr>
        <w:t xml:space="preserve">ف: 1 - 314]</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تهران؛ مجلس؛ شماره نسخه: 3257/2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محمد مهدی ابن حاجی محمد تقی سبزواری،تا: دوشنبه جمادی الاول 1139ق؛ کاغذ: اصفهانی، جلد: تیماج مشکی با ترنج و نیم ترنج 24 ص(182-206)، 16 سطر ، قطع: ،رقعی اندازه: 9</w:t>
      </w:r>
      <w:r>
        <w:rPr>
          <w:rFonts w:ascii="Times New Roman" w:hAnsi="Times New Roman" w:eastAsia="Times New Roman" w:cs="Times New Roman"/>
          <w:lang w:val="en-US" w:bidi="en-US"/>
          <w:color w:val="111111"/>
          <w:sz w:val="28"/>
          <w:szCs w:val="28"/>
          <w:rtl/>
        </w:rPr>
        <w:t xml:space="preserve">×16/5</w:t>
      </w:r>
      <w:r>
        <w:rPr>
          <w:rFonts w:ascii="IRNazanin" w:hAnsi="IRNazanin" w:eastAsia="IRNazanin" w:cs="IRNazanin"/>
          <w:lang w:bidi="fa-IR"/>
          <w:color w:val="111111"/>
          <w:sz w:val="28"/>
          <w:szCs w:val="28"/>
          <w:rtl/>
        </w:rPr>
        <w:t xml:space="preserve">سم [ف: 10 - 848]</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قم؛ مرعشی؛ شماره نسخه: 13887/4</w:t>
      </w:r>
    </w:p>
    <w:p>
      <w:pPr>
        <w:pStyle w:val="BookText"/>
      </w:pPr>
      <w:r>
        <w:rPr>
          <w:rFonts w:ascii="Amiri" w:hAnsi="Amiri" w:eastAsia="Amiri" w:cs="Amiri"/>
          <w:lang w:bidi="ar-SA"/>
          <w:color w:val="111111"/>
          <w:sz w:val="28"/>
          <w:szCs w:val="28"/>
          <w:rtl/>
        </w:rPr>
        <w:t xml:space="preserve">آغاز: برابر؛ انجام: مقدمة اخرى؛ الفعل يقتضى بحسن بعض</w:t>
      </w:r>
    </w:p>
    <w:p>
      <w:pPr>
        <w:pStyle w:val="BookText"/>
      </w:pPr>
      <w:r>
        <w:rPr>
          <w:rFonts w:ascii="IRNazanin" w:hAnsi="IRNazanin" w:eastAsia="IRNazanin" w:cs="IRNazanin"/>
          <w:lang w:bidi="fa-IR"/>
          <w:color w:val="111111"/>
          <w:sz w:val="28"/>
          <w:szCs w:val="28"/>
          <w:rtl/>
        </w:rPr>
        <w:t xml:space="preserve">خط: نسخ زیبا، کا: سید حسین بن علی حسینی هندی، تا: قرن 13؛ افتادگی: انجام؛ کاغذ: فرنگی، 6گ (39پ- 44پ)، 16 سطر ، اندازه: 6/5</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سم [ف : 35 - 270]</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چالوس؛ امام صادق؛ شماره نسخه: 661/1</w:t>
      </w:r>
    </w:p>
    <w:p>
      <w:pPr>
        <w:pStyle w:val="BookText"/>
      </w:pPr>
      <w:r>
        <w:rPr>
          <w:rFonts w:ascii="IRNazanin" w:hAnsi="IRNazanin" w:eastAsia="IRNazanin" w:cs="IRNazanin"/>
          <w:lang w:bidi="fa-IR"/>
          <w:color w:val="111111"/>
          <w:sz w:val="28"/>
          <w:szCs w:val="28"/>
          <w:rtl/>
        </w:rPr>
        <w:t xml:space="preserve">آغاز: برابر؛ انجام: ما اتفقت عليه كل الائمة عليهم السلام لا يحتاج الى تقليد احد بعد معرفة واجب الاعتقاد و من عدل منه الى غیره فقد عدل عن يقين الى ظن... تمت</w:t>
      </w:r>
    </w:p>
    <w:p>
      <w:pPr>
        <w:pStyle w:val="BookText"/>
      </w:pPr>
      <w:r>
        <w:rPr>
          <w:rFonts w:ascii="IRNazanin" w:hAnsi="IRNazanin" w:eastAsia="IRNazanin" w:cs="IRNazanin"/>
          <w:lang w:bidi="fa-IR"/>
          <w:color w:val="111111"/>
          <w:sz w:val="28"/>
          <w:szCs w:val="28"/>
          <w:rtl/>
        </w:rPr>
        <w:t xml:space="preserve">کا: سید کاظم بن سید رضا، تا: اوایل رمضان 1203ق؛ جلد: گالینگور ،آبی 15گ ،اندازه: 12</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- 179]</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تهران؛ حقوق؛ شماره نسخه: 30/2 - د</w:t>
      </w:r>
    </w:p>
    <w:p>
      <w:pPr>
        <w:pStyle w:val="BookText"/>
      </w:pPr>
      <w:r>
        <w:rPr>
          <w:rFonts w:ascii="IRNazanin" w:hAnsi="IRNazanin" w:eastAsia="IRNazanin" w:cs="IRNazanin"/>
          <w:lang w:bidi="fa-IR"/>
          <w:color w:val="111111"/>
          <w:sz w:val="28"/>
          <w:szCs w:val="28"/>
          <w:rtl/>
        </w:rPr>
        <w:t xml:space="preserve">خط: نستعلیق، بی کا، تا: جمعه24 ربیع الثانی1293ق؛11گ (27 پ -38پ) [ف: 242]</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تهران؛ دانشگاه؛ شماره نسخه: 879/4</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نسخ، بی کا، بی تا؛ 16گ (121 پ - 136 ر) (ف: 3 - 532]</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تهران؛ دانشگاه؛ شماره نسخه: 377</w:t>
      </w:r>
    </w:p>
    <w:p>
      <w:pPr>
        <w:pStyle w:val="BookText"/>
      </w:pPr>
      <w:r>
        <w:rPr>
          <w:rFonts w:ascii="Amiri" w:hAnsi="Amiri" w:eastAsia="Amiri" w:cs="Amiri"/>
          <w:lang w:bidi="ar-SA"/>
          <w:color w:val="111111"/>
          <w:sz w:val="28"/>
          <w:szCs w:val="28"/>
          <w:rtl/>
        </w:rPr>
        <w:t xml:space="preserve">انجام: قال البخارى ان ابا طالب اول من وضع القسامة و قال ابو طالب للنبي عليه السلام ما اشد.</w:t>
      </w:r>
    </w:p>
    <w:p>
      <w:pPr>
        <w:pStyle w:val="BookText"/>
      </w:pPr>
      <w:r>
        <w:rPr>
          <w:rFonts w:ascii="IRNazanin" w:hAnsi="IRNazanin" w:eastAsia="IRNazanin" w:cs="IRNazanin"/>
          <w:lang w:bidi="fa-IR"/>
          <w:color w:val="111111"/>
          <w:sz w:val="28"/>
          <w:szCs w:val="28"/>
          <w:rtl/>
        </w:rPr>
        <w:t xml:space="preserve">خط: نسخ کهن، بی کا، بی تا؛ این نسخه به خط نسخ کهنه می باشد و چنین است از اصل امامت، در گ1ر به خط تازه تری این «کتاب ارشاد المسترشدين فی اصول الدین» نامیده شده و به همان خط باز عقيدة الشيخ فخرالدین یاد گردید، گویا نام نخستین را از آغاز دیباچه گرفته اند ؛کاغذ: سمرقندی، جلد: تازه شده، 29گ 20 سطر (9/5</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 اندازه: 13/5</w:t>
      </w:r>
      <w:r>
        <w:rPr>
          <w:rFonts w:ascii="Times New Roman" w:hAnsi="Times New Roman" w:eastAsia="Times New Roman" w:cs="Times New Roman"/>
          <w:lang w:val="en-US" w:bidi="en-US"/>
          <w:color w:val="111111"/>
          <w:sz w:val="28"/>
          <w:szCs w:val="28"/>
          <w:rtl/>
        </w:rPr>
        <w:t xml:space="preserve">× 18/5</w:t>
      </w:r>
      <w:r>
        <w:rPr>
          <w:rFonts w:ascii="IRNazanin" w:hAnsi="IRNazanin" w:eastAsia="IRNazanin" w:cs="IRNazanin"/>
          <w:lang w:bidi="fa-IR"/>
          <w:color w:val="111111"/>
          <w:sz w:val="28"/>
          <w:szCs w:val="28"/>
          <w:rtl/>
        </w:rPr>
        <w:t xml:space="preserve">سم [ف: 3 - 533]</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تهران؛ دانشگاه؛ شماره نسخه: 7693/5</w:t>
      </w:r>
    </w:p>
    <w:p>
      <w:pPr>
        <w:pStyle w:val="BookText"/>
      </w:pPr>
      <w:r>
        <w:rPr>
          <w:rFonts w:ascii="IRNazanin" w:hAnsi="IRNazanin" w:eastAsia="IRNazanin" w:cs="IRNazanin"/>
          <w:lang w:bidi="fa-IR"/>
          <w:color w:val="111111"/>
          <w:sz w:val="28"/>
          <w:szCs w:val="28"/>
          <w:rtl/>
        </w:rPr>
        <w:t xml:space="preserve">خط: نسخ، بی کا، بی تا، کاغذ: سمرقندی، جلد: تیماج تریاکی ضربی، 10 گ (45پ -55ر) 15 سطر (8</w:t>
      </w:r>
      <w:r>
        <w:rPr>
          <w:rFonts w:ascii="Times New Roman" w:hAnsi="Times New Roman" w:eastAsia="Times New Roman" w:cs="Times New Roman"/>
          <w:lang w:val="en-US" w:bidi="en-US"/>
          <w:color w:val="111111"/>
          <w:sz w:val="28"/>
          <w:szCs w:val="28"/>
          <w:rtl/>
        </w:rPr>
        <w:t xml:space="preserve">×10/5)</w:t>
      </w:r>
      <w:r>
        <w:rPr>
          <w:rFonts w:ascii="IRNazanin" w:hAnsi="IRNazanin" w:eastAsia="IRNazanin" w:cs="IRNazanin"/>
          <w:lang w:bidi="fa-IR"/>
          <w:color w:val="111111"/>
          <w:sz w:val="28"/>
          <w:szCs w:val="28"/>
          <w:rtl/>
        </w:rPr>
        <w:t xml:space="preserve">، اندازه: 12</w:t>
      </w:r>
      <w:r>
        <w:rPr>
          <w:rFonts w:ascii="Times New Roman" w:hAnsi="Times New Roman" w:eastAsia="Times New Roman" w:cs="Times New Roman"/>
          <w:lang w:val="en-US" w:bidi="en-US"/>
          <w:color w:val="111111"/>
          <w:sz w:val="28"/>
          <w:szCs w:val="28"/>
          <w:rtl/>
        </w:rPr>
        <w:t xml:space="preserve">× 17</w:t>
      </w:r>
      <w:r>
        <w:rPr>
          <w:rFonts w:ascii="IRNazanin" w:hAnsi="IRNazanin" w:eastAsia="IRNazanin" w:cs="IRNazanin"/>
          <w:lang w:bidi="fa-IR"/>
          <w:color w:val="111111"/>
          <w:sz w:val="28"/>
          <w:szCs w:val="28"/>
          <w:rtl/>
        </w:rPr>
        <w:t xml:space="preserve">سم [ف: 16 - 673]</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مشهد؛ رضوی؛ شماره نسخه: ض 10652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[الفبائی: 40]</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قم؛ مرعشی؛ شماره نسخه: 685/2</w:t>
      </w:r>
    </w:p>
    <w:p>
      <w:pPr>
        <w:pStyle w:val="BookText"/>
      </w:pPr>
      <w:r>
        <w:rPr>
          <w:rFonts w:ascii="Amiri" w:hAnsi="Amiri" w:eastAsia="Amiri" w:cs="Amiri"/>
          <w:lang w:bidi="ar-SA"/>
          <w:color w:val="111111"/>
          <w:sz w:val="28"/>
          <w:szCs w:val="28"/>
          <w:rtl/>
        </w:rPr>
        <w:t xml:space="preserve">انجام: ثم يقول يا الله يا ارحم الراحمين انى أودعتك</w:t>
      </w:r>
    </w:p>
    <w:p>
      <w:pPr>
        <w:pStyle w:val="BookText"/>
      </w:pPr>
      <w:r>
        <w:rPr>
          <w:rFonts w:ascii="IRNazanin" w:hAnsi="IRNazanin" w:eastAsia="IRNazanin" w:cs="IRNazanin"/>
          <w:lang w:bidi="fa-IR"/>
          <w:color w:val="111111"/>
          <w:sz w:val="28"/>
          <w:szCs w:val="28"/>
          <w:rtl/>
        </w:rPr>
        <w:t xml:space="preserve">خط: نسخ، بی کا، بی تا؛ افتادگی: انجام؛ جلد: مقوایی، 7گ (27پ-33پ)، اندازه: 13</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 [ف: 2 - 279]</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قم؛ مرعشی؛ شماره نسخه: 9529/4</w:t>
      </w:r>
    </w:p>
    <w:p>
      <w:pPr>
        <w:pStyle w:val="BookText"/>
      </w:pPr>
      <w:r>
        <w:rPr>
          <w:rFonts w:ascii="Amiri" w:hAnsi="Amiri" w:eastAsia="Amiri" w:cs="Amiri"/>
          <w:lang w:bidi="ar-SA"/>
          <w:color w:val="111111"/>
          <w:sz w:val="28"/>
          <w:szCs w:val="28"/>
          <w:rtl/>
        </w:rPr>
        <w:t xml:space="preserve">انجام: ثم من بعده ولده موسى بن جعفر الكاظم ثم من بعده ولده على بن. ..</w:t>
      </w:r>
    </w:p>
    <w:p>
      <w:pPr>
        <w:pStyle w:val="BookText"/>
      </w:pPr>
      <w:r>
        <w:rPr>
          <w:rFonts w:ascii="IRNazanin" w:hAnsi="IRNazanin" w:eastAsia="IRNazanin" w:cs="IRNazanin"/>
          <w:lang w:bidi="fa-IR"/>
          <w:color w:val="111111"/>
          <w:sz w:val="28"/>
          <w:szCs w:val="28"/>
          <w:rtl/>
        </w:rPr>
        <w:t xml:space="preserve">خط: نسخ، کا: شمس الدين بن علاء الدين بن فخر الدین حسینی کور سرخی، بی تا؛ افتادگی: انجام؛ جلد: تیماج قهوه ای، 14گ (40 پ- 53پ)، 13 سطر ، اندازه: 13</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[ف: 24-280] :</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قم ؛مرعشی؛ شماره نسخه: 454/1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جلد:مقوایی، 14گ (1پ-14پ)،:اندازه: 13</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2 - 56]</w:t>
      </w:r>
    </w:p>
    <w:p>
      <w:pPr>
        <w:pStyle w:val="BookText"/>
      </w:pPr>
      <w:r>
        <w:rPr>
          <w:rFonts w:ascii="IRNazanin" w:hAnsi="IRNazanin" w:eastAsia="IRNazanin" w:cs="IRNazanin"/>
          <w:lang w:bidi="fa-IR"/>
          <w:color w:val="111111"/>
          <w:sz w:val="28"/>
          <w:szCs w:val="28"/>
          <w:rtl/>
        </w:rPr>
        <w:t xml:space="preserve">37 .مشهد؛ رضوی؛ شماره نسخه: 327</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واقف نادر شاه 20گ، 20 سطر ، اندازه: 15</w:t>
      </w:r>
      <w:r>
        <w:rPr>
          <w:rFonts w:ascii="Times New Roman" w:hAnsi="Times New Roman" w:eastAsia="Times New Roman" w:cs="Times New Roman"/>
          <w:lang w:val="en-US" w:bidi="en-US"/>
          <w:color w:val="111111"/>
          <w:sz w:val="28"/>
          <w:szCs w:val="28"/>
          <w:rtl/>
        </w:rPr>
        <w:t xml:space="preserve">× 28 </w:t>
      </w:r>
      <w:r>
        <w:rPr>
          <w:rFonts w:ascii="IRNazanin" w:hAnsi="IRNazanin" w:eastAsia="IRNazanin" w:cs="IRNazanin"/>
          <w:lang w:bidi="fa-IR"/>
          <w:color w:val="111111"/>
          <w:sz w:val="28"/>
          <w:szCs w:val="28"/>
          <w:rtl/>
        </w:rPr>
        <w:t xml:space="preserve">سم [ف 4 - 24]</w:t>
      </w:r>
    </w:p>
    <w:p>
      <w:pPr>
        <w:pStyle w:val="BookText"/>
      </w:pPr>
      <w:r>
        <w:rPr>
          <w:rFonts w:ascii="IRNazanin" w:hAnsi="IRNazanin" w:eastAsia="IRNazanin" w:cs="IRNazanin"/>
          <w:lang w:bidi="fa-IR"/>
          <w:color w:val="111111"/>
          <w:sz w:val="28"/>
          <w:szCs w:val="28"/>
          <w:rtl/>
        </w:rPr>
        <w:t xml:space="preserve">38 .مشهد؛ رضوی؛ شماره نسخه: 546</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15گ، 13 سطر ، اندازه: 13</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[ف: 4- 24]</w:t>
      </w:r>
    </w:p>
    <w:p>
      <w:pPr>
        <w:pStyle w:val="BookText"/>
      </w:pPr>
      <w:r>
        <w:rPr>
          <w:rFonts w:ascii="IRNazanin" w:hAnsi="IRNazanin" w:eastAsia="IRNazanin" w:cs="IRNazanin"/>
          <w:lang w:bidi="fa-IR"/>
          <w:color w:val="111111"/>
          <w:sz w:val="28"/>
          <w:szCs w:val="28"/>
          <w:rtl/>
        </w:rPr>
        <w:t xml:space="preserve">39 .تهران؛ مجلس؛ شماره نسخه: 9062/3</w:t>
      </w:r>
    </w:p>
    <w:p>
      <w:pPr>
        <w:pStyle w:val="BookText"/>
      </w:pPr>
      <w:r>
        <w:rPr>
          <w:rFonts w:ascii="Amiri" w:hAnsi="Amiri" w:eastAsia="Amiri" w:cs="Amiri"/>
          <w:lang w:bidi="ar-SA"/>
          <w:color w:val="111111"/>
          <w:sz w:val="28"/>
          <w:szCs w:val="28"/>
          <w:rtl/>
        </w:rPr>
        <w:t xml:space="preserve">آغاز و انجام: برابر؛ تمت هذه النسخه الشريفه الموسومه بارشاد المرشدين المعروفه بواجب الاعتقاد.</w:t>
      </w:r>
    </w:p>
    <w:p>
      <w:pPr>
        <w:pStyle w:val="BookText"/>
      </w:pPr>
      <w:r>
        <w:rPr>
          <w:rFonts w:ascii="IRNazanin" w:hAnsi="IRNazanin" w:eastAsia="IRNazanin" w:cs="IRNazanin"/>
          <w:lang w:bidi="fa-IR"/>
          <w:color w:val="111111"/>
          <w:sz w:val="28"/>
          <w:szCs w:val="28"/>
          <w:rtl/>
        </w:rPr>
        <w:t xml:space="preserve">كامل؛ خط: نسخ، بی کا، بی تا: پایان رساله صیغه وکالت برای پرداخت زکات فطر به عربی و فارسی ؛کاغذ: نخودی آهار مهره ،جلد: تیماج ،مشکی 14گ (125پ - 139ر)، 14 سطر (8</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:اندازه 12/2</w:t>
      </w:r>
      <w:r>
        <w:rPr>
          <w:rFonts w:ascii="Times New Roman" w:hAnsi="Times New Roman" w:eastAsia="Times New Roman" w:cs="Times New Roman"/>
          <w:lang w:val="en-US" w:bidi="en-US"/>
          <w:color w:val="111111"/>
          <w:sz w:val="28"/>
          <w:szCs w:val="28"/>
          <w:rtl/>
        </w:rPr>
        <w:t xml:space="preserve">× 17/3</w:t>
      </w:r>
      <w:r>
        <w:rPr>
          <w:rFonts w:ascii="IRNazanin" w:hAnsi="IRNazanin" w:eastAsia="IRNazanin" w:cs="IRNazanin"/>
          <w:lang w:bidi="fa-IR"/>
          <w:color w:val="111111"/>
          <w:sz w:val="28"/>
          <w:szCs w:val="28"/>
          <w:rtl/>
        </w:rPr>
        <w:t xml:space="preserve">سم [ف: 29/2 - 689]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54" w:name="pg20365_260074"/>
    <w:bookmarkEnd w:id="54"/>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زهان؛ مدرسه جعفریه زهان؛ شماره نسخه: 84/4</w:t>
      </w:r>
    </w:p>
    <w:p>
      <w:pPr>
        <w:pStyle w:val="BookText"/>
      </w:pPr>
      <w:r>
        <w:rPr>
          <w:rFonts w:ascii="IRNazanin" w:hAnsi="IRNazanin" w:eastAsia="IRNazanin" w:cs="IRNazanin"/>
          <w:lang w:bidi="fa-IR"/>
          <w:color w:val="111111"/>
          <w:sz w:val="28"/>
          <w:szCs w:val="28"/>
          <w:rtl/>
        </w:rPr>
        <w:t xml:space="preserve">انجام: كل جزء لای بدن هو يعيده اليه و لهذا قال الله تعالى قال من يحيى العظام</w:t>
      </w:r>
    </w:p>
    <w:p>
      <w:pPr>
        <w:pStyle w:val="BookText"/>
      </w:pPr>
      <w:r>
        <w:rPr>
          <w:rFonts w:ascii="IRNazanin" w:hAnsi="IRNazanin" w:eastAsia="IRNazanin" w:cs="IRNazanin"/>
          <w:lang w:bidi="fa-IR"/>
          <w:color w:val="111111"/>
          <w:sz w:val="28"/>
          <w:szCs w:val="28"/>
          <w:rtl/>
        </w:rPr>
        <w:t xml:space="preserve">خط: نسخ، بی کا، بی تا؛ افتادگی: انجام؛ 15 سطر، اندازه:9</w:t>
      </w:r>
      <w:r>
        <w:rPr>
          <w:rFonts w:ascii="Times New Roman" w:hAnsi="Times New Roman" w:eastAsia="Times New Roman" w:cs="Times New Roman"/>
          <w:lang w:val="en-US" w:bidi="en-US"/>
          <w:color w:val="111111"/>
          <w:sz w:val="28"/>
          <w:szCs w:val="28"/>
          <w:rtl/>
        </w:rPr>
        <w:t xml:space="preserve">×16/5</w:t>
      </w:r>
      <w:r>
        <w:rPr>
          <w:rFonts w:ascii="IRNazanin" w:hAnsi="IRNazanin" w:eastAsia="IRNazanin" w:cs="IRNazanin"/>
          <w:lang w:bidi="fa-IR"/>
          <w:color w:val="111111"/>
          <w:sz w:val="28"/>
          <w:szCs w:val="28"/>
          <w:rtl/>
        </w:rPr>
        <w:t xml:space="preserve">سم [ف: 67]</w:t>
      </w:r>
    </w:p>
    <w:p>
      <w:pPr>
        <w:pStyle w:val="Heading3"/>
      </w:pPr>
      <w:bookmarkStart w:id="636" w:name="_Toc158"/>
      <w:r>
        <w:t>ارشاد المستمع / کلام و اعتقادات / فارسی</w:t>
      </w:r>
      <w:bookmarkEnd w:id="636"/>
    </w:p>
    <w:p>
      <w:pPr>
        <w:pStyle w:val="BookText"/>
      </w:pPr>
      <w:r>
        <w:rPr>
          <w:rFonts w:ascii="Times New Roman" w:hAnsi="Times New Roman" w:eastAsia="Times New Roman" w:cs="Times New Roman"/>
          <w:lang w:val="en-US" w:bidi="en-US"/>
          <w:color w:val="111111"/>
          <w:sz w:val="28"/>
          <w:szCs w:val="28"/>
          <w:rtl/>
        </w:rPr>
        <w:t xml:space="preserve">eršād-ol-mostame‘</w:t>
      </w:r>
    </w:p>
    <w:p>
      <w:pPr>
        <w:pStyle w:val="BookText"/>
      </w:pPr>
      <w:r>
        <w:rPr>
          <w:rFonts w:ascii="IRNazanin" w:hAnsi="IRNazanin" w:eastAsia="IRNazanin" w:cs="IRNazanin"/>
          <w:lang w:bidi="fa-IR"/>
          <w:color w:val="111111"/>
          <w:sz w:val="28"/>
          <w:szCs w:val="28"/>
          <w:rtl/>
        </w:rPr>
        <w:t xml:space="preserve">حسینی ،میبدی علی بن محمد علی - 1313 قمری</w:t>
      </w:r>
    </w:p>
    <w:p>
      <w:pPr>
        <w:pStyle w:val="BookText"/>
      </w:pPr>
      <w:r>
        <w:rPr>
          <w:rFonts w:ascii="Times New Roman" w:hAnsi="Times New Roman" w:eastAsia="Times New Roman" w:cs="Times New Roman"/>
          <w:lang w:val="en-US" w:bidi="en-US"/>
          <w:color w:val="111111"/>
          <w:sz w:val="28"/>
          <w:szCs w:val="28"/>
          <w:rtl/>
        </w:rPr>
        <w:t xml:space="preserve">(hoseynī meybodī, ‘alī ebn-e mohammad ‘alī ( - 1896)</w:t>
      </w:r>
    </w:p>
    <w:p>
      <w:pPr>
        <w:pStyle w:val="BookText"/>
      </w:pPr>
      <w:r>
        <w:rPr>
          <w:rFonts w:ascii="Amiri" w:hAnsi="Amiri" w:eastAsia="Amiri" w:cs="Amiri"/>
          <w:lang w:bidi="ar-SA"/>
          <w:color w:val="111111"/>
          <w:sz w:val="28"/>
          <w:szCs w:val="28"/>
          <w:rtl/>
        </w:rPr>
        <w:t xml:space="preserve">تاريخ تأليف: ربيع الاول 1303ق</w:t>
      </w:r>
    </w:p>
    <w:p>
      <w:pPr>
        <w:pStyle w:val="BookText"/>
      </w:pPr>
      <w:r>
        <w:rPr>
          <w:rFonts w:ascii="IRNazanin" w:hAnsi="IRNazanin" w:eastAsia="IRNazanin" w:cs="IRNazanin"/>
          <w:lang w:bidi="fa-IR"/>
          <w:color w:val="111111"/>
          <w:sz w:val="28"/>
          <w:szCs w:val="28"/>
          <w:rtl/>
        </w:rPr>
        <w:t xml:space="preserve">بحثی است تاریخی اعتقادی پیرامون روایتی که نقل شده است هنگامی که مأموران اموی سر حضرت امام حسین (علیه السّلام) را به شام می بردند با وی شراب نوشيدند «فجعلوا يشربون بالرأس» و بعضی در اثبات این واقعه شبهه داشته اند که به شبهه آنها در این رساله پاسخ گفته می شود. در یک «مقدمه» و  سه  «فصل»: مقدمه در سبب پنهانی مطالب از عامه مردم؛ 1. بیان قبول و رد؛ 2. صحت سند این واقعه؛ 3. بیان رفع استبعاد.</w:t>
      </w:r>
    </w:p>
    <w:p>
      <w:pPr>
        <w:pStyle w:val="BookText"/>
      </w:pPr>
      <w:r>
        <w:rPr>
          <w:rFonts w:ascii="IRNazanin" w:hAnsi="IRNazanin" w:eastAsia="IRNazanin" w:cs="IRNazanin"/>
          <w:lang w:bidi="fa-IR"/>
          <w:color w:val="111111"/>
          <w:sz w:val="28"/>
          <w:szCs w:val="28"/>
          <w:rtl/>
        </w:rPr>
        <w:t xml:space="preserve">آغاز: الحمد لله رب العالمين .. چون بیشتر مردم ربطی احوالات گذشتگان و عادات خدا با بندگان ندارند</w:t>
      </w:r>
    </w:p>
    <w:p>
      <w:pPr>
        <w:pStyle w:val="BookText"/>
      </w:pPr>
      <w:r>
        <w:rPr>
          <w:rFonts w:ascii="IRNazanin" w:hAnsi="IRNazanin" w:eastAsia="IRNazanin" w:cs="IRNazanin"/>
          <w:lang w:bidi="fa-IR"/>
          <w:color w:val="111111"/>
          <w:sz w:val="28"/>
          <w:szCs w:val="28"/>
          <w:rtl/>
        </w:rPr>
        <w:t xml:space="preserve">انجام: و عاقبت غضب خداوند و آتش است، نعوذ بالله منها</w:t>
      </w:r>
    </w:p>
    <w:p>
      <w:pPr>
        <w:pStyle w:val="BookText"/>
      </w:pPr>
      <w:r>
        <w:rPr>
          <w:rFonts w:ascii="IRNazanin" w:hAnsi="IRNazanin" w:eastAsia="IRNazanin" w:cs="IRNazanin"/>
          <w:lang w:bidi="fa-IR"/>
          <w:color w:val="111111"/>
          <w:sz w:val="28"/>
          <w:szCs w:val="28"/>
          <w:rtl/>
        </w:rPr>
        <w:t xml:space="preserve">[فهرستواره منزوی 156/7نسخه)]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کرمانشاه؛ میبدی (خاندان)؛ شماره نسخه: 2/10 مشهد</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کاتب - مؤلف، بی تا؛ مصحح ،جلد: تیماج قهوه ای 9 ص (120-111) اندازه: 17</w:t>
      </w:r>
      <w:r>
        <w:rPr>
          <w:rFonts w:ascii="Times New Roman" w:hAnsi="Times New Roman" w:eastAsia="Times New Roman" w:cs="Times New Roman"/>
          <w:lang w:val="en-US" w:bidi="en-US"/>
          <w:color w:val="111111"/>
          <w:sz w:val="28"/>
          <w:szCs w:val="28"/>
          <w:rtl/>
        </w:rPr>
        <w:t xml:space="preserve">×32/5</w:t>
      </w:r>
      <w:r>
        <w:rPr>
          <w:rFonts w:ascii="IRNazanin" w:hAnsi="IRNazanin" w:eastAsia="IRNazanin" w:cs="IRNazanin"/>
          <w:lang w:bidi="fa-IR"/>
          <w:color w:val="111111"/>
          <w:sz w:val="28"/>
          <w:szCs w:val="28"/>
          <w:rtl/>
        </w:rPr>
        <w:t xml:space="preserve">سم[ف: 125]</w:t>
      </w:r>
    </w:p>
    <w:p>
      <w:pPr>
        <w:pStyle w:val="BookText"/>
      </w:pPr>
      <w:r>
        <w:rPr>
          <w:rFonts w:ascii="IRNazanin" w:hAnsi="IRNazanin" w:eastAsia="IRNazanin" w:cs="IRNazanin"/>
          <w:lang w:bidi="fa-IR"/>
          <w:color w:val="111111"/>
          <w:sz w:val="28"/>
          <w:szCs w:val="28"/>
          <w:rtl/>
        </w:rPr>
        <w:t xml:space="preserve">مشهد؛ میبدی؛ شماره نسخه: 2/10</w:t>
      </w:r>
    </w:p>
    <w:p>
      <w:pPr>
        <w:pStyle w:val="BookText"/>
      </w:pPr>
      <w:r>
        <w:rPr>
          <w:rFonts w:ascii="IRNazanin" w:hAnsi="IRNazanin" w:eastAsia="IRNazanin" w:cs="IRNazanin"/>
          <w:lang w:bidi="fa-IR"/>
          <w:color w:val="111111"/>
          <w:sz w:val="28"/>
          <w:szCs w:val="28"/>
          <w:rtl/>
        </w:rPr>
        <w:t xml:space="preserve">همان نسخه بالا :[ف 1 - 15]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قم؛ مرکز احیاء؛ شماره نسخه: 2132/10</w:t>
      </w:r>
    </w:p>
    <w:p>
      <w:pPr>
        <w:pStyle w:val="BookText"/>
      </w:pPr>
      <w:r>
        <w:rPr>
          <w:rFonts w:ascii="IRNazanin" w:hAnsi="IRNazanin" w:eastAsia="IRNazanin" w:cs="IRNazanin"/>
          <w:lang w:bidi="fa-IR"/>
          <w:color w:val="111111"/>
          <w:sz w:val="28"/>
          <w:szCs w:val="28"/>
          <w:rtl/>
        </w:rPr>
        <w:t xml:space="preserve">نسخه اصل: همان نسخه بالا[ عکسی ف: 6 - 161]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یزد؛ وزیری؛ شماره نسخه: 835/2</w:t>
      </w:r>
    </w:p>
    <w:p>
      <w:pPr>
        <w:pStyle w:val="BookText"/>
      </w:pPr>
      <w:r>
        <w:rPr>
          <w:rFonts w:ascii="IRNazanin" w:hAnsi="IRNazanin" w:eastAsia="IRNazanin" w:cs="IRNazanin"/>
          <w:lang w:bidi="fa-IR"/>
          <w:color w:val="111111"/>
          <w:sz w:val="28"/>
          <w:szCs w:val="28"/>
          <w:rtl/>
        </w:rPr>
        <w:t xml:space="preserve">آغاز: حمد له، صلوات و لعنة الله على اعدائهم ابد الابدين. وبعد  می گوید احقر اهل خرد و اقل آگاهان سید علی بن محمد علی الحسيني الميیبدی؛ انجام: مادامیکه تکذیب شرع یا حکمی از احکام آن نشود. تمت.</w:t>
      </w:r>
    </w:p>
    <w:p>
      <w:pPr>
        <w:pStyle w:val="BookText"/>
      </w:pPr>
      <w:r>
        <w:rPr>
          <w:rFonts w:ascii="IRNazanin" w:hAnsi="IRNazanin" w:eastAsia="IRNazanin" w:cs="IRNazanin"/>
          <w:lang w:bidi="fa-IR"/>
          <w:color w:val="111111"/>
          <w:sz w:val="28"/>
          <w:szCs w:val="28"/>
          <w:rtl/>
        </w:rPr>
        <w:t xml:space="preserve">خط: نستعلیق، بی کا، تا: ربیع الاول 1307ق؛ اهدایی موسس کتابخانه ؛جلد: مقوایی با تیماج عنابی ، 5گ 20 سطر (12/5</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 اندازه: 17</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سم [ف 2 - 705]</w:t>
      </w:r>
    </w:p>
    <w:p>
      <w:pPr>
        <w:pStyle w:val="Heading3"/>
      </w:pPr>
      <w:bookmarkStart w:id="637" w:name="_Toc159"/>
      <w:r>
        <w:t>ارشاد المسلمين = ترجمه عقاید اهل اسلام / کلام اعتقادات / فارسی</w:t>
      </w:r>
      <w:bookmarkEnd w:id="637"/>
    </w:p>
    <w:p>
      <w:pPr>
        <w:pStyle w:val="BookText"/>
      </w:pPr>
      <w:r>
        <w:rPr>
          <w:rFonts w:ascii="Times New Roman" w:hAnsi="Times New Roman" w:eastAsia="Times New Roman" w:cs="Times New Roman"/>
          <w:lang w:val="en-US" w:bidi="en-US"/>
          <w:color w:val="111111"/>
          <w:sz w:val="28"/>
          <w:szCs w:val="28"/>
          <w:rtl/>
        </w:rPr>
        <w:t xml:space="preserve">eršād-ol moslemīn = t.-ye ‘aqāyed-e ahl-e eslām</w:t>
      </w:r>
    </w:p>
    <w:p>
      <w:pPr>
        <w:pStyle w:val="BookText"/>
      </w:pPr>
      <w:r>
        <w:rPr>
          <w:rFonts w:ascii="IRNazanin" w:hAnsi="IRNazanin" w:eastAsia="IRNazanin" w:cs="IRNazanin"/>
          <w:lang w:bidi="fa-IR"/>
          <w:color w:val="111111"/>
          <w:sz w:val="28"/>
          <w:szCs w:val="28"/>
          <w:rtl/>
        </w:rPr>
        <w:t xml:space="preserve">برهان مسکین، ق 10 قمری</w:t>
      </w:r>
    </w:p>
    <w:p>
      <w:pPr>
        <w:pStyle w:val="BookText"/>
      </w:pPr>
      <w:r>
        <w:rPr>
          <w:rFonts w:ascii="Times New Roman" w:hAnsi="Times New Roman" w:eastAsia="Times New Roman" w:cs="Times New Roman"/>
          <w:lang w:val="en-US" w:bidi="en-US"/>
          <w:color w:val="111111"/>
          <w:sz w:val="28"/>
          <w:szCs w:val="28"/>
          <w:rtl/>
        </w:rPr>
        <w:t xml:space="preserve">(borhān-e meskin ( - 16c)</w:t>
      </w:r>
    </w:p>
    <w:p>
      <w:pPr>
        <w:pStyle w:val="BookText"/>
      </w:pPr>
      <w:r>
        <w:rPr>
          <w:rFonts w:ascii="IRNazanin" w:hAnsi="IRNazanin" w:eastAsia="IRNazanin" w:cs="IRNazanin"/>
          <w:lang w:bidi="fa-IR"/>
          <w:color w:val="111111"/>
          <w:sz w:val="28"/>
          <w:szCs w:val="28"/>
          <w:rtl/>
        </w:rPr>
        <w:t xml:space="preserve">وابسته به بداية العقول = عقاید نسفی = عقائد نسفی - اعتقادات؛ نسفی، عمر بن محمد (461-537)</w:t>
      </w:r>
    </w:p>
    <w:p>
      <w:pPr>
        <w:pStyle w:val="BookText"/>
      </w:pPr>
      <w:r>
        <w:rPr>
          <w:rFonts w:ascii="IRNazanin" w:hAnsi="IRNazanin" w:eastAsia="IRNazanin" w:cs="IRNazanin"/>
          <w:lang w:bidi="fa-IR"/>
          <w:color w:val="111111"/>
          <w:sz w:val="28"/>
          <w:szCs w:val="28"/>
          <w:rtl/>
        </w:rPr>
        <w:t xml:space="preserve">تاریخ تأليف: 914ق؛ محل تأليف: هرات</w:t>
      </w:r>
    </w:p>
    <w:p>
      <w:pPr>
        <w:pStyle w:val="BookText"/>
      </w:pPr>
      <w:r>
        <w:rPr>
          <w:rFonts w:ascii="IRNazanin" w:hAnsi="IRNazanin" w:eastAsia="IRNazanin" w:cs="IRNazanin"/>
          <w:lang w:bidi="fa-IR"/>
          <w:color w:val="111111"/>
          <w:sz w:val="28"/>
          <w:szCs w:val="28"/>
          <w:rtl/>
        </w:rPr>
        <w:t xml:space="preserve">ترجمه و شرحی مزجی است به فارسی روان بر رساله «العقائد» نسفی با مقدمه ای در بیان ادیان و مذاهب مختلف و ذكر تألیفات شارح کتاب. مترجم  می گوید: بر هر یک از مومنان صادق و خداطلبان موافق لازم و واجب است که دین را از ادیان باطله بدانند و نسخه ای در آن فن بخوانند و در آن باب مطولات و مختصرات به زبان تازی نوشته اند و به عبارت فارسی تألیف و تصنیف فرموده»، بعد می گوید: «چون در پی کتابی مختصر بودم کتاب عقاید اهل اسلام نسفی را نیکو یافتم و سعی بر ترجمه آن البته مرا کتبی دیگر است چون «انیس الواعظين» و «روضه الاصفياء» و «مفتاح الصلوة و اوراد الاوقات» و «تذكره منهاج الانوار» و «تحفة الناصحین» در شعر با این همه دست به این ترجمه زدم و آن را ذخیره روز قیامت دانستم موضوعات رساله عبارت است از بیان بسم الله، بیان حقایق اشیاء، اسباب علم، حدوث عالم و قدیم بودن خداوند، در بیان کلام الله، رویت خداوند اختیاری بودن افعال عباد و مسایل مربوط به قبر برزخ ، قیامت و. ...</w:t>
      </w:r>
    </w:p>
    <w:p>
      <w:pPr>
        <w:pStyle w:val="BookText"/>
      </w:pPr>
      <w:r>
        <w:rPr>
          <w:rFonts w:ascii="IRNazanin" w:hAnsi="IRNazanin" w:eastAsia="IRNazanin" w:cs="IRNazanin"/>
          <w:lang w:bidi="fa-IR"/>
          <w:color w:val="111111"/>
          <w:sz w:val="28"/>
          <w:szCs w:val="28"/>
          <w:rtl/>
        </w:rPr>
        <w:t xml:space="preserve">آغاز:آغاز 1: الحمد الذى جعل السنة معتصماً لاهل الاسلام و مناراً لتبين الحلال والحرام والصلاة على مظهر الكلمات التامات. .. و بعد چنین گوید فقیر حقیر مسكين... برهان مسكين</w:t>
      </w:r>
    </w:p>
    <w:p>
      <w:pPr>
        <w:pStyle w:val="BookText"/>
      </w:pPr>
      <w:r>
        <w:rPr>
          <w:rFonts w:ascii="IRNazanin" w:hAnsi="IRNazanin" w:eastAsia="IRNazanin" w:cs="IRNazanin"/>
          <w:lang w:bidi="fa-IR"/>
          <w:color w:val="111111"/>
          <w:sz w:val="28"/>
          <w:szCs w:val="28"/>
          <w:rtl/>
        </w:rPr>
        <w:t xml:space="preserve">آغاز 2: بسمله رب یسر و تمم بالخير ربنا من  لدنک رحمة وهی لنا من امرنا رشدا</w:t>
      </w:r>
    </w:p>
    <w:p>
      <w:pPr>
        <w:pStyle w:val="BookText"/>
      </w:pPr>
      <w:r>
        <w:rPr>
          <w:rFonts w:ascii="IRNazanin" w:hAnsi="IRNazanin" w:eastAsia="IRNazanin" w:cs="IRNazanin"/>
          <w:lang w:bidi="fa-IR"/>
          <w:color w:val="111111"/>
          <w:sz w:val="28"/>
          <w:szCs w:val="28"/>
          <w:rtl/>
        </w:rPr>
        <w:t xml:space="preserve">انجام: منكران بعث و نشور عیان ببینند و به حجت های هویدا ملزم گرداند و الله يحكم فى خلقه بما يشاء و يفعل ما يريد.</w:t>
      </w:r>
    </w:p>
    <w:p>
      <w:pPr>
        <w:pStyle w:val="BookText"/>
      </w:pPr>
      <w:r>
        <w:rPr>
          <w:rFonts w:ascii="IRNazanin" w:hAnsi="IRNazanin" w:eastAsia="IRNazanin" w:cs="IRNazanin"/>
          <w:lang w:bidi="fa-IR"/>
          <w:color w:val="111111"/>
          <w:sz w:val="28"/>
          <w:szCs w:val="28"/>
          <w:rtl/>
        </w:rPr>
        <w:t xml:space="preserve">[فهرستواره منزوی 81/9؛ دانشنامه ادب فارسی (افغانستان): 168/3]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مرکز احیاء؛ شماره نسخه: 1128</w:t>
      </w:r>
    </w:p>
    <w:p>
      <w:pPr>
        <w:pStyle w:val="BookText"/>
      </w:pPr>
      <w:r>
        <w:rPr>
          <w:rFonts w:ascii="IRNazanin" w:hAnsi="IRNazanin" w:eastAsia="IRNazanin" w:cs="IRNazanin"/>
          <w:lang w:bidi="fa-IR"/>
          <w:color w:val="111111"/>
          <w:sz w:val="28"/>
          <w:szCs w:val="28"/>
          <w:rtl/>
        </w:rPr>
        <w:t xml:space="preserve">آغاز: برابر 1</w:t>
      </w:r>
    </w:p>
    <w:p>
      <w:pPr>
        <w:pStyle w:val="BookText"/>
      </w:pPr>
      <w:r>
        <w:rPr>
          <w:rFonts w:ascii="IRNazanin" w:hAnsi="IRNazanin" w:eastAsia="IRNazanin" w:cs="IRNazanin"/>
          <w:lang w:bidi="fa-IR"/>
          <w:color w:val="111111"/>
          <w:sz w:val="28"/>
          <w:szCs w:val="28"/>
          <w:rtl/>
        </w:rPr>
        <w:t xml:space="preserve">نسخه اصل: کتابخانه توبینگن -برلین 1777؛ خط: نسخ زیبا ،کاتب -مؤلف، تا: 942ق؛ مصحح؛ 400 ص [عکسی ف:3-410]</w:t>
      </w:r>
    </w:p>
    <w:p>
      <w:pPr>
        <w:pStyle w:val="BookText"/>
      </w:pPr>
      <w:r>
        <w:rPr>
          <w:rFonts w:ascii="IRNazanin" w:hAnsi="IRNazanin" w:eastAsia="IRNazanin" w:cs="IRNazanin"/>
          <w:lang w:bidi="fa-IR"/>
          <w:color w:val="111111"/>
          <w:sz w:val="28"/>
          <w:szCs w:val="28"/>
          <w:rtl/>
        </w:rPr>
        <w:t xml:space="preserve">تهران؛ مینوی؛ شماره نسخه: 33 بخش 2</w:t>
      </w:r>
    </w:p>
    <w:p>
      <w:pPr>
        <w:pStyle w:val="BookText"/>
      </w:pPr>
      <w:r>
        <w:rPr>
          <w:rFonts w:ascii="IRNazanin" w:hAnsi="IRNazanin" w:eastAsia="IRNazanin" w:cs="IRNazanin"/>
          <w:lang w:bidi="fa-IR"/>
          <w:color w:val="111111"/>
          <w:sz w:val="28"/>
          <w:szCs w:val="28"/>
          <w:rtl/>
        </w:rPr>
        <w:t xml:space="preserve">نسخه اصل: همان نسخه اصل بالا [ف: 69]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قم؛ مرعشی؛ شماره نسخه: 6399</w:t>
      </w:r>
    </w:p>
    <w:p>
      <w:pPr>
        <w:pStyle w:val="BookText"/>
      </w:pPr>
      <w:r>
        <w:rPr>
          <w:rFonts w:ascii="IRNazanin" w:hAnsi="IRNazanin" w:eastAsia="IRNazanin" w:cs="IRNazanin"/>
          <w:lang w:bidi="fa-IR"/>
          <w:color w:val="111111"/>
          <w:sz w:val="28"/>
          <w:szCs w:val="28"/>
          <w:rtl/>
        </w:rPr>
        <w:t xml:space="preserve">آغاز: برابر 1 :انجام: که این زیادت بر این احتمال ندارد، و الحمد لله رب العالمين.</w:t>
      </w:r>
    </w:p>
    <w:p>
      <w:pPr>
        <w:pStyle w:val="BookText"/>
      </w:pPr>
      <w:r>
        <w:rPr>
          <w:rFonts w:ascii="IRNazanin" w:hAnsi="IRNazanin" w:eastAsia="IRNazanin" w:cs="IRNazanin"/>
          <w:lang w:bidi="fa-IR"/>
          <w:color w:val="111111"/>
          <w:sz w:val="28"/>
          <w:szCs w:val="28"/>
          <w:rtl/>
        </w:rPr>
        <w:t xml:space="preserve">خط: نستعلیق، کا: جان محمد بن میر محمد عرف مکنی، تا: چهارشنبه 26 شعبان 1023ق؛ مصحح، دارای نشان بلاغ؛ جلد ، تیماج قهوه ای 81گ 19 سطر ، اندازه: 13</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سم[ف:16-354]</w:t>
      </w:r>
    </w:p>
    <w:p>
      <w:pPr>
        <w:pStyle w:val="BookText"/>
      </w:pPr>
      <w:r>
        <w:rPr>
          <w:rFonts w:ascii="IRNazanin" w:hAnsi="IRNazanin" w:eastAsia="IRNazanin" w:cs="IRNazanin"/>
          <w:lang w:bidi="fa-IR"/>
          <w:color w:val="111111"/>
          <w:sz w:val="28"/>
          <w:szCs w:val="28"/>
          <w:rtl/>
        </w:rPr>
        <w:t xml:space="preserve">3 .تهران؛ ملی؛ شماره نسخه: 3056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55" w:name="pg20365_260075"/>
    <w:bookmarkEnd w:id="55"/>
    <w:p>
      <w:pPr>
        <w:pStyle w:val="BookText"/>
      </w:pPr>
      <w:r>
        <w:rPr>
          <w:rFonts w:ascii="Amiri" w:hAnsi="Amiri" w:eastAsia="Amiri" w:cs="Amiri"/>
          <w:lang w:bidi="ar-SA"/>
          <w:color w:val="111111"/>
          <w:sz w:val="28"/>
          <w:szCs w:val="28"/>
          <w:rtl/>
        </w:rPr>
        <w:t xml:space="preserve">آغاز: برابر 2؛ انجام: اللهم احشرنا في زمرة المومنين الشافى فرقة المسلمين يا غياث المستغيثين و يا ارحم الراحمين</w:t>
      </w:r>
    </w:p>
    <w:p>
      <w:pPr>
        <w:pStyle w:val="BookText"/>
      </w:pPr>
      <w:r>
        <w:rPr>
          <w:rFonts w:ascii="IRNazanin" w:hAnsi="IRNazanin" w:eastAsia="IRNazanin" w:cs="IRNazanin"/>
          <w:lang w:bidi="fa-IR"/>
          <w:color w:val="111111"/>
          <w:sz w:val="28"/>
          <w:szCs w:val="28"/>
          <w:rtl/>
        </w:rPr>
        <w:t xml:space="preserve">خط: نستعلیق، کا: شیخ موسی لاهوری، تا: محتملاً قرن 12؛ کاغذ: فرنگی ،نخودی ،جلد: مقوایی میشن ماشی با ترنج و نیم تر منگنه کوبیده 236گ، 19 سطر ،(9</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 اندازه: 15</w:t>
      </w:r>
      <w:r>
        <w:rPr>
          <w:rFonts w:ascii="Times New Roman" w:hAnsi="Times New Roman" w:eastAsia="Times New Roman" w:cs="Times New Roman"/>
          <w:lang w:val="en-US" w:bidi="en-US"/>
          <w:color w:val="111111"/>
          <w:sz w:val="28"/>
          <w:szCs w:val="28"/>
          <w:rtl/>
        </w:rPr>
        <w:t xml:space="preserve">×22/5 [</w:t>
      </w:r>
      <w:r>
        <w:rPr>
          <w:rFonts w:ascii="IRNazanin" w:hAnsi="IRNazanin" w:eastAsia="IRNazanin" w:cs="IRNazanin"/>
          <w:lang w:bidi="fa-IR"/>
          <w:color w:val="111111"/>
          <w:sz w:val="28"/>
          <w:szCs w:val="28"/>
          <w:rtl/>
        </w:rPr>
        <w:t xml:space="preserve">ف: 6- 855]</w:t>
      </w:r>
    </w:p>
    <w:p>
      <w:pPr>
        <w:pStyle w:val="BookText"/>
      </w:pPr>
      <w:r>
        <w:rPr>
          <w:rFonts w:ascii="IRNazanin" w:hAnsi="IRNazanin" w:eastAsia="IRNazanin" w:cs="IRNazanin"/>
          <w:lang w:bidi="fa-IR"/>
          <w:color w:val="111111"/>
          <w:sz w:val="28"/>
          <w:szCs w:val="28"/>
          <w:rtl/>
        </w:rPr>
        <w:t xml:space="preserve">4.تهران؛ مجلس؛ شماره نسخه: 10660/2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:قرن 12 ؛جلد: تیماج قهوه ای با ترنج،( 72 گ(105پ-177ر)، 17سطر، اندازه: 21</w:t>
      </w:r>
      <w:r>
        <w:rPr>
          <w:rFonts w:ascii="Times New Roman" w:hAnsi="Times New Roman" w:eastAsia="Times New Roman" w:cs="Times New Roman"/>
          <w:lang w:val="en-US" w:bidi="en-US"/>
          <w:color w:val="111111"/>
          <w:sz w:val="28"/>
          <w:szCs w:val="28"/>
          <w:rtl/>
        </w:rPr>
        <w:t xml:space="preserve">×30</w:t>
      </w:r>
      <w:r>
        <w:rPr>
          <w:rFonts w:ascii="IRNazanin" w:hAnsi="IRNazanin" w:eastAsia="IRNazanin" w:cs="IRNazanin"/>
          <w:lang w:bidi="fa-IR"/>
          <w:color w:val="111111"/>
          <w:sz w:val="28"/>
          <w:szCs w:val="28"/>
          <w:rtl/>
        </w:rPr>
        <w:t xml:space="preserve">سم [ف: 33/1 - 153]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قم؛ مرعشی؛ شماره نسخه: 13948/7</w:t>
      </w:r>
    </w:p>
    <w:p>
      <w:pPr>
        <w:pStyle w:val="BookText"/>
      </w:pPr>
      <w:r>
        <w:rPr>
          <w:rFonts w:ascii="IRNazanin" w:hAnsi="IRNazanin" w:eastAsia="IRNazanin" w:cs="IRNazanin"/>
          <w:lang w:bidi="fa-IR"/>
          <w:color w:val="111111"/>
          <w:sz w:val="28"/>
          <w:szCs w:val="28"/>
          <w:rtl/>
        </w:rPr>
        <w:t xml:space="preserve">آغاز: برابر 1؛ انجام: و ایراد آن درین کتاب دشوار بعضی از در کتاب اربعین المسمى بانيس الواعظين و انيس العابدين ايراد کرده ایم باز جویند این رساله زیاده احتمال ندارد.</w:t>
      </w:r>
    </w:p>
    <w:p>
      <w:pPr>
        <w:pStyle w:val="BookText"/>
      </w:pPr>
      <w:r>
        <w:rPr>
          <w:rFonts w:ascii="IRNazanin" w:hAnsi="IRNazanin" w:eastAsia="IRNazanin" w:cs="IRNazanin"/>
          <w:lang w:bidi="fa-IR"/>
          <w:color w:val="111111"/>
          <w:sz w:val="28"/>
          <w:szCs w:val="28"/>
          <w:rtl/>
        </w:rPr>
        <w:t xml:space="preserve">خط: نستعلیق، کا: عمر، تا: قرن 13 ؛محشی با نشان (12) و «مص»، مطالب بسیاری به نقل از کتاب های مختلف خصوصاً «تكمیل الایمان» در حاشیه آمده؛ کاغذ ،شرقی 105 گ (57 پ- 161ر) 15 سطر ، اندازه: 9</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سم [ف: 35 - 387]</w:t>
      </w:r>
    </w:p>
    <w:p>
      <w:pPr>
        <w:pStyle w:val="BookText"/>
      </w:pPr>
      <w:r>
        <w:rPr>
          <w:rFonts w:ascii="IRNazanin" w:hAnsi="IRNazanin" w:eastAsia="IRNazanin" w:cs="IRNazanin"/>
          <w:lang w:bidi="fa-IR"/>
          <w:color w:val="111111"/>
          <w:sz w:val="28"/>
          <w:szCs w:val="28"/>
          <w:rtl/>
        </w:rPr>
        <w:t xml:space="preserve">6 . تهران؛ مجلس؛ شماره نسخه: 17502</w:t>
      </w:r>
    </w:p>
    <w:p>
      <w:pPr>
        <w:pStyle w:val="BookText"/>
      </w:pPr>
      <w:r>
        <w:rPr>
          <w:rFonts w:ascii="IRNazanin" w:hAnsi="IRNazanin" w:eastAsia="IRNazanin" w:cs="IRNazanin"/>
          <w:lang w:bidi="fa-IR"/>
          <w:color w:val="111111"/>
          <w:sz w:val="28"/>
          <w:szCs w:val="28"/>
          <w:rtl/>
        </w:rPr>
        <w:t xml:space="preserve">بی کا، بی تا [د.ث]</w:t>
      </w:r>
    </w:p>
    <w:p>
      <w:pPr>
        <w:pStyle w:val="Heading3"/>
      </w:pPr>
      <w:bookmarkStart w:id="638" w:name="_Toc160"/>
      <w:r>
        <w:t>ارشاد المصنف و ارغام المعتنف / کلام و اعتقادات / عربی و فارسی</w:t>
      </w:r>
      <w:bookmarkEnd w:id="638"/>
    </w:p>
    <w:p>
      <w:pPr>
        <w:pStyle w:val="BookText"/>
      </w:pPr>
      <w:r>
        <w:rPr>
          <w:rFonts w:ascii="Times New Roman" w:hAnsi="Times New Roman" w:eastAsia="Times New Roman" w:cs="Times New Roman"/>
          <w:lang w:val="en-US" w:bidi="en-US"/>
          <w:color w:val="111111"/>
          <w:sz w:val="28"/>
          <w:szCs w:val="28"/>
          <w:rtl/>
        </w:rPr>
        <w:t xml:space="preserve">iršād-ul muṣannif wa irġām-ul mu‘tanif</w:t>
      </w:r>
    </w:p>
    <w:p>
      <w:pPr>
        <w:pStyle w:val="BookText"/>
      </w:pPr>
      <w:r>
        <w:rPr>
          <w:rFonts w:ascii="IRNazanin" w:hAnsi="IRNazanin" w:eastAsia="IRNazanin" w:cs="IRNazanin"/>
          <w:lang w:bidi="fa-IR"/>
          <w:color w:val="111111"/>
          <w:sz w:val="28"/>
          <w:szCs w:val="28"/>
          <w:rtl/>
        </w:rPr>
        <w:t xml:space="preserve">مشهد؛ رضوی؛ شماره نسخه: 24404</w:t>
      </w:r>
    </w:p>
    <w:p>
      <w:pPr>
        <w:pStyle w:val="BookText"/>
      </w:pPr>
      <w:r>
        <w:rPr>
          <w:rFonts w:ascii="Amiri" w:hAnsi="Amiri" w:eastAsia="Amiri" w:cs="Amiri"/>
          <w:lang w:bidi="ar-SA"/>
          <w:color w:val="111111"/>
          <w:sz w:val="28"/>
          <w:szCs w:val="28"/>
          <w:rtl/>
        </w:rPr>
        <w:t xml:space="preserve">آغاز: متن الرابع قل لا اسئلكم عليه اجرا الا المود؛ انجام معصوم واجب الطاعة ... رسيده خلق . .. هو المط.</w:t>
      </w:r>
    </w:p>
    <w:p>
      <w:pPr>
        <w:pStyle w:val="BookText"/>
      </w:pPr>
      <w:r>
        <w:rPr>
          <w:rFonts w:ascii="IRNazanin" w:hAnsi="IRNazanin" w:eastAsia="IRNazanin" w:cs="IRNazanin"/>
          <w:lang w:bidi="fa-IR"/>
          <w:color w:val="111111"/>
          <w:sz w:val="28"/>
          <w:szCs w:val="28"/>
          <w:rtl/>
        </w:rPr>
        <w:t xml:space="preserve">خط: نسخ، بی کا، بی تا [رایانه]</w:t>
      </w:r>
    </w:p>
    <w:p>
      <w:pPr>
        <w:pStyle w:val="Heading3"/>
      </w:pPr>
      <w:bookmarkStart w:id="639" w:name="_Toc161"/>
      <w:r>
        <w:t>ارشاد المضلین / کلام و اعتقادات / فارسی</w:t>
      </w:r>
      <w:bookmarkEnd w:id="639"/>
    </w:p>
    <w:p>
      <w:pPr>
        <w:pStyle w:val="BookText"/>
      </w:pPr>
      <w:r>
        <w:rPr>
          <w:rFonts w:ascii="Times New Roman" w:hAnsi="Times New Roman" w:eastAsia="Times New Roman" w:cs="Times New Roman"/>
          <w:lang w:val="en-US" w:bidi="en-US"/>
          <w:color w:val="111111"/>
          <w:sz w:val="28"/>
          <w:szCs w:val="28"/>
          <w:rtl/>
        </w:rPr>
        <w:t xml:space="preserve">eršād-ol-mozellīn</w:t>
      </w:r>
    </w:p>
    <w:p>
      <w:pPr>
        <w:pStyle w:val="BookText"/>
      </w:pPr>
      <w:r>
        <w:rPr>
          <w:rFonts w:ascii="IRNazanin" w:hAnsi="IRNazanin" w:eastAsia="IRNazanin" w:cs="IRNazanin"/>
          <w:lang w:bidi="fa-IR"/>
          <w:color w:val="111111"/>
          <w:sz w:val="28"/>
          <w:szCs w:val="28"/>
          <w:rtl/>
        </w:rPr>
        <w:t xml:space="preserve">رشتی اصفهانی، محسن بن محمد رفیع، ق13 قمری</w:t>
      </w:r>
    </w:p>
    <w:p>
      <w:pPr>
        <w:pStyle w:val="BookText"/>
      </w:pPr>
      <w:r>
        <w:rPr>
          <w:rFonts w:ascii="Times New Roman" w:hAnsi="Times New Roman" w:eastAsia="Times New Roman" w:cs="Times New Roman"/>
          <w:lang w:val="en-US" w:bidi="en-US"/>
          <w:color w:val="111111"/>
          <w:sz w:val="28"/>
          <w:szCs w:val="28"/>
          <w:rtl/>
        </w:rPr>
        <w:t xml:space="preserve">raštī esfahānī, mohsen ebn-e mohammad rafī‘ ( - 19c)</w:t>
      </w:r>
    </w:p>
    <w:p>
      <w:pPr>
        <w:pStyle w:val="BookText"/>
      </w:pPr>
      <w:r>
        <w:rPr>
          <w:rFonts w:ascii="IRNazanin" w:hAnsi="IRNazanin" w:eastAsia="IRNazanin" w:cs="IRNazanin"/>
          <w:lang w:bidi="fa-IR"/>
          <w:color w:val="111111"/>
          <w:sz w:val="28"/>
          <w:szCs w:val="28"/>
          <w:rtl/>
        </w:rPr>
        <w:t xml:space="preserve">تاريخ تأليف: 1284ق؛ محل تالیف: قزوین</w:t>
      </w:r>
    </w:p>
    <w:p>
      <w:pPr>
        <w:pStyle w:val="BookText"/>
      </w:pPr>
      <w:r>
        <w:rPr>
          <w:rFonts w:ascii="IRNazanin" w:hAnsi="IRNazanin" w:eastAsia="IRNazanin" w:cs="IRNazanin"/>
          <w:lang w:bidi="fa-IR"/>
          <w:color w:val="111111"/>
          <w:sz w:val="28"/>
          <w:szCs w:val="28"/>
          <w:rtl/>
        </w:rPr>
        <w:t xml:space="preserve">کتابی است مفصل در رد شبهات گوناگون و رد بر شیخیان قزوین که به مناسبت مجالس ماه مبارک رمضان نگاشته شده است. عناوین این کتاب به صورت «ارشاد» و «سؤال و جواب» نیمی از آن فارسی و نیمه دیگر عربی می باشد.</w:t>
      </w:r>
    </w:p>
    <w:p>
      <w:pPr>
        <w:pStyle w:val="BookText"/>
      </w:pPr>
      <w:r>
        <w:rPr>
          <w:rFonts w:ascii="IRNazanin" w:hAnsi="IRNazanin" w:eastAsia="IRNazanin" w:cs="IRNazanin"/>
          <w:lang w:bidi="fa-IR"/>
          <w:color w:val="111111"/>
          <w:sz w:val="28"/>
          <w:szCs w:val="28"/>
          <w:rtl/>
        </w:rPr>
        <w:t xml:space="preserve">آغاز: بعد الحمد و الصلوة على سيدنا محمد (صلّی اللَّهِ علیه وَ آلِهِ وَ سَلَّمَ ) و آله الهدات (علیه السّلام) عرضه می دارد احقر بنده لغزنده شرمنده ابن المرحوم. ... این اوراق سطوری چنداند که با نهایت کسالت بسبب برودت هوا و کهولت پیری بجهاتی چند یکی از آنها حشر با ابناء جنس چند پا در هوا نوشته می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مرعشی؛ شماره نسخه: 13760</w:t>
      </w:r>
    </w:p>
    <w:p>
      <w:pPr>
        <w:pStyle w:val="BookText"/>
      </w:pPr>
      <w:r>
        <w:rPr>
          <w:rFonts w:ascii="Amiri" w:hAnsi="Amiri" w:eastAsia="Amiri" w:cs="Amiri"/>
          <w:lang w:bidi="ar-SA"/>
          <w:color w:val="111111"/>
          <w:sz w:val="28"/>
          <w:szCs w:val="28"/>
          <w:rtl/>
        </w:rPr>
        <w:t xml:space="preserve">آغاز: برابر؛ انجام: و الآثار الغريبة مؤثر. .. عصم الله عن الزلل و وفقه المجاوزة عن ..</w:t>
      </w:r>
    </w:p>
    <w:p>
      <w:pPr>
        <w:pStyle w:val="BookText"/>
      </w:pPr>
      <w:r>
        <w:rPr>
          <w:rFonts w:ascii="IRNazanin" w:hAnsi="IRNazanin" w:eastAsia="IRNazanin" w:cs="IRNazanin"/>
          <w:lang w:bidi="fa-IR"/>
          <w:color w:val="111111"/>
          <w:sz w:val="28"/>
          <w:szCs w:val="28"/>
          <w:rtl/>
        </w:rPr>
        <w:t xml:space="preserve">خط: نستعليق، كاتب - مؤلف، تا: 1284ق؛ جا: قزوین؛ افتادگی: انجام؛ مصحح، محشی با نشان «ح» و غیر آن، مقابله شده با نشان «بلغ»؛ مهر: «لا اله الا الله الملك الحق المبين عبده محمد رفيع...» (مستطیل) ؛کاغذ: ،فرنگی ؛جلد: تیماج قهوه ای ضربی با ترنج گل و بوته ،246گ، 15-24 سطر (16</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 اندازه: 18</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سم [ف:</w:t>
      </w:r>
    </w:p>
    <w:p>
      <w:pPr>
        <w:pStyle w:val="BookText"/>
      </w:pPr>
      <w:r>
        <w:rPr>
          <w:rFonts w:ascii="Times New Roman" w:hAnsi="Times New Roman" w:eastAsia="Times New Roman" w:cs="Times New Roman"/>
          <w:lang w:val="en-US" w:bidi="en-US"/>
          <w:color w:val="111111"/>
          <w:sz w:val="28"/>
          <w:szCs w:val="28"/>
          <w:rtl/>
        </w:rPr>
        <w:t xml:space="preserve">34 - 754]</w:t>
      </w:r>
    </w:p>
    <w:p>
      <w:pPr>
        <w:pStyle w:val="BookText"/>
      </w:pPr>
      <w:r>
        <w:rPr>
          <w:rFonts w:ascii="IRNazanin" w:hAnsi="IRNazanin" w:eastAsia="IRNazanin" w:cs="IRNazanin"/>
          <w:lang w:bidi="fa-IR"/>
          <w:color w:val="111111"/>
          <w:sz w:val="28"/>
          <w:szCs w:val="28"/>
          <w:rtl/>
        </w:rPr>
        <w:t xml:space="preserve">2.تهران؛ دانشگاه شماره نسخه: 5789</w:t>
      </w:r>
    </w:p>
    <w:p>
      <w:pPr>
        <w:pStyle w:val="BookText"/>
      </w:pPr>
      <w:r>
        <w:rPr>
          <w:rFonts w:ascii="IRNazanin" w:hAnsi="IRNazanin" w:eastAsia="IRNazanin" w:cs="IRNazanin"/>
          <w:lang w:bidi="fa-IR"/>
          <w:color w:val="111111"/>
          <w:sz w:val="28"/>
          <w:szCs w:val="28"/>
          <w:rtl/>
        </w:rPr>
        <w:t xml:space="preserve">خط: نسخ، كا: رحمة الله بن عناية الله، تا: 1287ق؛ با مقابله مؤلف در ساعت 4 شب سه شنبه 25 صفر؛ کاغذ: فرنگی، جلد: تیماج حنایی ضربی ترنجی ،مقوایی 650گ 13 سطر (9/5</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17</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16 - 91]</w:t>
      </w:r>
    </w:p>
    <w:p>
      <w:pPr>
        <w:pStyle w:val="Heading3"/>
      </w:pPr>
      <w:bookmarkStart w:id="640" w:name="_Toc162"/>
      <w:r>
        <w:t>ارشاد المضلين فى اخبار الانبياء المرسلين و فضائل الائمة / كلام و اعتقادات / عربی</w:t>
      </w:r>
      <w:bookmarkEnd w:id="640"/>
    </w:p>
    <w:p>
      <w:pPr>
        <w:pStyle w:val="BookText"/>
      </w:pPr>
      <w:r>
        <w:rPr>
          <w:rFonts w:ascii="Times New Roman" w:hAnsi="Times New Roman" w:eastAsia="Times New Roman" w:cs="Times New Roman"/>
          <w:lang w:val="en-US" w:bidi="en-US"/>
          <w:color w:val="111111"/>
          <w:sz w:val="28"/>
          <w:szCs w:val="28"/>
          <w:rtl/>
        </w:rPr>
        <w:t xml:space="preserve">iršad-ul-mudillin fi axbar-il-anbiya-il-mursalin wa</w:t>
      </w:r>
    </w:p>
    <w:p>
      <w:pPr>
        <w:pStyle w:val="BookText"/>
      </w:pPr>
      <w:r>
        <w:rPr>
          <w:rFonts w:ascii="Times New Roman" w:hAnsi="Times New Roman" w:eastAsia="Times New Roman" w:cs="Times New Roman"/>
          <w:lang w:val="en-US" w:bidi="en-US"/>
          <w:color w:val="111111"/>
          <w:sz w:val="28"/>
          <w:szCs w:val="28"/>
          <w:rtl/>
        </w:rPr>
        <w:t xml:space="preserve">fada'il-il-a'imma</w:t>
      </w:r>
    </w:p>
    <w:p>
      <w:pPr>
        <w:pStyle w:val="BookText"/>
      </w:pPr>
      <w:r>
        <w:rPr>
          <w:rFonts w:ascii="IRNazanin" w:hAnsi="IRNazanin" w:eastAsia="IRNazanin" w:cs="IRNazanin"/>
          <w:lang w:bidi="fa-IR"/>
          <w:color w:val="111111"/>
          <w:sz w:val="28"/>
          <w:szCs w:val="28"/>
          <w:rtl/>
        </w:rPr>
        <w:t xml:space="preserve">مشهدی، محمد هادی بن محمد مهدی</w:t>
      </w:r>
    </w:p>
    <w:p>
      <w:pPr>
        <w:pStyle w:val="BookText"/>
      </w:pPr>
      <w:r>
        <w:rPr>
          <w:rFonts w:ascii="Times New Roman" w:hAnsi="Times New Roman" w:eastAsia="Times New Roman" w:cs="Times New Roman"/>
          <w:lang w:val="en-US" w:bidi="en-US"/>
          <w:color w:val="111111"/>
          <w:sz w:val="28"/>
          <w:szCs w:val="28"/>
          <w:rtl/>
        </w:rPr>
        <w:t xml:space="preserve">mašhadī, mohammad hādī ebn-e mohammad mahdī</w:t>
      </w:r>
    </w:p>
    <w:p>
      <w:pPr>
        <w:pStyle w:val="BookText"/>
      </w:pPr>
      <w:r>
        <w:rPr>
          <w:rFonts w:ascii="IRNazanin" w:hAnsi="IRNazanin" w:eastAsia="IRNazanin" w:cs="IRNazanin"/>
          <w:lang w:bidi="fa-IR"/>
          <w:color w:val="111111"/>
          <w:sz w:val="28"/>
          <w:szCs w:val="28"/>
          <w:rtl/>
        </w:rPr>
        <w:t xml:space="preserve">نام کتاب و نگارنده و نمایه 78 «باب» در دیباچه آمده است، روزگارش به دست نیامد. شامل سی و هفت «باب» در جلد اول: 1. در حدوث عالم و اثبات محدث؛ 2. در اینکه خداوند قدیم است؛ 3. خداوند نظیر ندارد . 12. در عقل و فضیلت آن و جهل و مذمت آن... 23. در آنچه متعلق به نجوم و احکام آن است؛... 37. در بیان بهشت و دوزخ بسیاری از مطالب دیگر را از فضل علم، سعادت و نحوست ساعت ها، احوال پیامبران، اصحاب کهف دارد. واپسین باب (78) احوال بوذاسف و بلوهر است. در آن از کتاب های «بحار الانوار، اثنى عشريه روضة الواعظين، عوالى اللئالى، معانى الاخبار، مصباح الانوار، تحفة الرضويه زوائد الفوائد توضيح المقاصد شیخ بهائی» و. .. یاد شده است.</w:t>
      </w:r>
    </w:p>
    <w:p>
      <w:pPr>
        <w:pStyle w:val="BookText"/>
      </w:pPr>
      <w:r>
        <w:rPr>
          <w:rFonts w:ascii="IRNazanin" w:hAnsi="IRNazanin" w:eastAsia="IRNazanin" w:cs="IRNazanin"/>
          <w:lang w:bidi="fa-IR"/>
          <w:color w:val="111111"/>
          <w:sz w:val="28"/>
          <w:szCs w:val="28"/>
          <w:rtl/>
        </w:rPr>
        <w:t xml:space="preserve">آغاز: الحمد لله المتعالى عن صفات المخلوقين. المنزه عن نعوت الناعتين .. بعد، فيقول الفقير .. ابن محمد مهدی محمد هادی المشهدى عفى الله .. و سميته بارشاد المضلين في فضائل الائمة الطاهرين.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دائرة المعارف؛ شماره نسخه: 2052-عکسی</w:t>
      </w:r>
    </w:p>
    <w:p>
      <w:pPr>
        <w:pStyle w:val="BookText"/>
      </w:pPr>
      <w:r>
        <w:rPr>
          <w:rFonts w:ascii="Amiri" w:hAnsi="Amiri" w:eastAsia="Amiri" w:cs="Amiri"/>
          <w:lang w:bidi="ar-SA"/>
          <w:color w:val="111111"/>
          <w:sz w:val="28"/>
          <w:szCs w:val="28"/>
          <w:rtl/>
        </w:rPr>
        <w:t xml:space="preserve">آغاز: برابر؛ انجام: و حلية العيش اربع خصال القناعة و بذل</w:t>
      </w:r>
    </w:p>
    <w:p>
      <w:pPr>
        <w:pStyle w:val="BookText"/>
      </w:pPr>
      <w:r>
        <w:rPr>
          <w:rFonts w:ascii="IRNazanin" w:hAnsi="IRNazanin" w:eastAsia="IRNazanin" w:cs="IRNazanin"/>
          <w:lang w:bidi="fa-IR"/>
          <w:color w:val="111111"/>
          <w:sz w:val="28"/>
          <w:szCs w:val="28"/>
          <w:rtl/>
        </w:rPr>
        <w:t xml:space="preserve">جلد یکم؛ خط: نسخ تحریری، کاتب - مؤلف، تا: قرن 13؛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56" w:name="pg20365_260076"/>
    <w:bookmarkEnd w:id="56"/>
    <w:p>
      <w:pPr>
        <w:pStyle w:val="BookText"/>
      </w:pPr>
      <w:r>
        <w:rPr>
          <w:rFonts w:ascii="IRNazanin" w:hAnsi="IRNazanin" w:eastAsia="IRNazanin" w:cs="IRNazanin"/>
          <w:lang w:bidi="fa-IR"/>
          <w:color w:val="111111"/>
          <w:sz w:val="28"/>
          <w:szCs w:val="28"/>
          <w:rtl/>
        </w:rPr>
        <w:t xml:space="preserve">افتادگی: انجام؛ پیش از 1289ق؛ که تاریخ وقف نامه است؛با دستبردگی های بسیار در متن و افزوده هایی در کناره ها؛ وقف نامه برای گروه شیخیان کرمان با امضای حاج کریم خان کرمانی و تاريخ ربيع الاول 1289ق و نشان مهر گرد و نشان مهر بیضی؛ 320گ، 22 سطر (8</w:t>
      </w:r>
      <w:r>
        <w:rPr>
          <w:rFonts w:ascii="Times New Roman" w:hAnsi="Times New Roman" w:eastAsia="Times New Roman" w:cs="Times New Roman"/>
          <w:lang w:val="en-US" w:bidi="en-US"/>
          <w:color w:val="111111"/>
          <w:sz w:val="28"/>
          <w:szCs w:val="28"/>
          <w:rtl/>
        </w:rPr>
        <w:t xml:space="preserve">×20/5) </w:t>
      </w:r>
      <w:r>
        <w:rPr>
          <w:rFonts w:ascii="IRNazanin" w:hAnsi="IRNazanin" w:eastAsia="IRNazanin" w:cs="IRNazanin"/>
          <w:lang w:bidi="fa-IR"/>
          <w:color w:val="111111"/>
          <w:sz w:val="28"/>
          <w:szCs w:val="28"/>
          <w:rtl/>
        </w:rPr>
        <w:t xml:space="preserve">اندازه: 21</w:t>
      </w:r>
      <w:r>
        <w:rPr>
          <w:rFonts w:ascii="Times New Roman" w:hAnsi="Times New Roman" w:eastAsia="Times New Roman" w:cs="Times New Roman"/>
          <w:lang w:val="en-US" w:bidi="en-US"/>
          <w:color w:val="111111"/>
          <w:sz w:val="28"/>
          <w:szCs w:val="28"/>
          <w:rtl/>
        </w:rPr>
        <w:t xml:space="preserve">×30</w:t>
      </w:r>
      <w:r>
        <w:rPr>
          <w:rFonts w:ascii="IRNazanin" w:hAnsi="IRNazanin" w:eastAsia="IRNazanin" w:cs="IRNazanin"/>
          <w:lang w:bidi="fa-IR"/>
          <w:color w:val="111111"/>
          <w:sz w:val="28"/>
          <w:szCs w:val="28"/>
          <w:rtl/>
        </w:rPr>
        <w:t xml:space="preserve">سم [ عکسی ف: 1 - 20]</w:t>
      </w:r>
    </w:p>
    <w:p>
      <w:pPr>
        <w:pStyle w:val="BookText"/>
      </w:pPr>
      <w:r>
        <w:rPr>
          <w:rFonts w:ascii="IRNazanin" w:hAnsi="IRNazanin" w:eastAsia="IRNazanin" w:cs="IRNazanin"/>
          <w:lang w:bidi="fa-IR"/>
          <w:color w:val="111111"/>
          <w:sz w:val="28"/>
          <w:szCs w:val="28"/>
          <w:rtl/>
        </w:rPr>
        <w:t xml:space="preserve">2 . مشهد؛ مدیر شانه چی؛ شماره نسخه: 8</w:t>
      </w:r>
    </w:p>
    <w:p>
      <w:pPr>
        <w:pStyle w:val="BookText"/>
      </w:pPr>
      <w:r>
        <w:rPr>
          <w:rFonts w:ascii="IRNazanin" w:hAnsi="IRNazanin" w:eastAsia="IRNazanin" w:cs="IRNazanin"/>
          <w:lang w:bidi="fa-IR"/>
          <w:color w:val="111111"/>
          <w:sz w:val="28"/>
          <w:szCs w:val="28"/>
          <w:rtl/>
        </w:rPr>
        <w:t xml:space="preserve">جلد اول، در 37 باب؛ خط: نسخ، بی کا، تا: قرن 11؛ قطع: وزیری  [نشریه 5 - 591]</w:t>
      </w:r>
    </w:p>
    <w:p>
      <w:pPr>
        <w:pStyle w:val="BookText"/>
      </w:pPr>
      <w:r>
        <w:rPr>
          <w:rFonts w:ascii="IRNazanin" w:hAnsi="IRNazanin" w:eastAsia="IRNazanin" w:cs="IRNazanin"/>
          <w:lang w:bidi="fa-IR"/>
          <w:color w:val="111111"/>
          <w:sz w:val="28"/>
          <w:szCs w:val="28"/>
          <w:rtl/>
        </w:rPr>
        <w:t xml:space="preserve">3.مشهد؛ الهیات؛ شماره نسخه: 22674</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از آغاز تا اواخر باب 32 در بیان اوصاف ملائکه؛ خط: نسخ، بی کا، تا: قرن 12 یا 13؛ کاغذ: اصفهانی؛ جلد: تیماج عنابی لایه ای، 97گ، 22 سطر (7</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 اندازه: 12/5</w:t>
      </w:r>
      <w:r>
        <w:rPr>
          <w:rFonts w:ascii="Times New Roman" w:hAnsi="Times New Roman" w:eastAsia="Times New Roman" w:cs="Times New Roman"/>
          <w:lang w:val="en-US" w:bidi="en-US"/>
          <w:color w:val="111111"/>
          <w:sz w:val="28"/>
          <w:szCs w:val="28"/>
          <w:rtl/>
        </w:rPr>
        <w:t xml:space="preserve">×24/5</w:t>
      </w:r>
      <w:r>
        <w:rPr>
          <w:rFonts w:ascii="IRNazanin" w:hAnsi="IRNazanin" w:eastAsia="IRNazanin" w:cs="IRNazanin"/>
          <w:lang w:bidi="fa-IR"/>
          <w:color w:val="111111"/>
          <w:sz w:val="28"/>
          <w:szCs w:val="28"/>
          <w:rtl/>
        </w:rPr>
        <w:t xml:space="preserve">سم [ف: 3 - 827]</w:t>
      </w:r>
    </w:p>
    <w:p>
      <w:pPr>
        <w:pStyle w:val="Heading3"/>
      </w:pPr>
      <w:bookmarkStart w:id="641" w:name="_Toc163"/>
      <w:r>
        <w:t>ارشاد المضلين فى نبوة خاتم النبيين = منتخب مفتاح النبوة = مختصر اثبات النبوة / كلام و اعتقادات / فارسی</w:t>
      </w:r>
      <w:bookmarkEnd w:id="641"/>
    </w:p>
    <w:p>
      <w:pPr>
        <w:pStyle w:val="BookText"/>
      </w:pPr>
      <w:r>
        <w:rPr>
          <w:rFonts w:ascii="Times New Roman" w:hAnsi="Times New Roman" w:eastAsia="Times New Roman" w:cs="Times New Roman"/>
          <w:lang w:val="en-US" w:bidi="en-US"/>
          <w:color w:val="111111"/>
          <w:sz w:val="28"/>
          <w:szCs w:val="28"/>
          <w:rtl/>
        </w:rPr>
        <w:t xml:space="preserve">eršād-ol mozellīn fī nabovvat-e xātam-en nabīyīn =</w:t>
      </w:r>
    </w:p>
    <w:p>
      <w:pPr>
        <w:pStyle w:val="BookText"/>
      </w:pPr>
      <w:r>
        <w:rPr>
          <w:rFonts w:ascii="Times New Roman" w:hAnsi="Times New Roman" w:eastAsia="Times New Roman" w:cs="Times New Roman"/>
          <w:lang w:val="en-US" w:bidi="en-US"/>
          <w:color w:val="111111"/>
          <w:sz w:val="28"/>
          <w:szCs w:val="28"/>
          <w:rtl/>
        </w:rPr>
        <w:t xml:space="preserve">ntaxab-e meftah-on nabovva = moxtasar-e esbat-en</w:t>
      </w:r>
    </w:p>
    <w:p>
      <w:pPr>
        <w:pStyle w:val="BookText"/>
      </w:pPr>
      <w:r>
        <w:rPr>
          <w:rFonts w:ascii="Times New Roman" w:hAnsi="Times New Roman" w:eastAsia="Times New Roman" w:cs="Times New Roman"/>
          <w:lang w:val="en-US" w:bidi="en-US"/>
          <w:color w:val="111111"/>
          <w:sz w:val="28"/>
          <w:szCs w:val="28"/>
          <w:rtl/>
        </w:rPr>
        <w:t xml:space="preserve">povva</w:t>
      </w:r>
    </w:p>
    <w:p>
      <w:pPr>
        <w:pStyle w:val="BookText"/>
      </w:pPr>
      <w:r>
        <w:rPr>
          <w:rFonts w:ascii="IRNazanin" w:hAnsi="IRNazanin" w:eastAsia="IRNazanin" w:cs="IRNazanin"/>
          <w:lang w:bidi="fa-IR"/>
          <w:color w:val="111111"/>
          <w:sz w:val="28"/>
          <w:szCs w:val="28"/>
          <w:rtl/>
        </w:rPr>
        <w:t xml:space="preserve">کوثر ،همدانی محمد رضا بن محمد امین، - 1247 قمری</w:t>
      </w:r>
    </w:p>
    <w:p>
      <w:pPr>
        <w:pStyle w:val="BookText"/>
      </w:pPr>
      <w:r>
        <w:rPr>
          <w:rFonts w:ascii="Times New Roman" w:hAnsi="Times New Roman" w:eastAsia="Times New Roman" w:cs="Times New Roman"/>
          <w:lang w:val="en-US" w:bidi="en-US"/>
          <w:color w:val="111111"/>
          <w:sz w:val="28"/>
          <w:szCs w:val="28"/>
          <w:rtl/>
        </w:rPr>
        <w:t xml:space="preserve">wsar-e</w:t>
      </w:r>
    </w:p>
    <w:p>
      <w:pPr>
        <w:pStyle w:val="BookText"/>
      </w:pPr>
      <w:r>
        <w:rPr>
          <w:rFonts w:ascii="Times New Roman" w:hAnsi="Times New Roman" w:eastAsia="Times New Roman" w:cs="Times New Roman"/>
          <w:lang w:val="en-US" w:bidi="en-US"/>
          <w:color w:val="111111"/>
          <w:sz w:val="28"/>
          <w:szCs w:val="28"/>
          <w:rtl/>
        </w:rPr>
        <w:t xml:space="preserve">kowsar-e hamadānī, mohammad rezā ebn-e</w:t>
      </w:r>
    </w:p>
    <w:p>
      <w:pPr>
        <w:pStyle w:val="BookText"/>
      </w:pPr>
      <w:r>
        <w:rPr>
          <w:rFonts w:ascii="Times New Roman" w:hAnsi="Times New Roman" w:eastAsia="Times New Roman" w:cs="Times New Roman"/>
          <w:lang w:val="en-US" w:bidi="en-US"/>
          <w:color w:val="111111"/>
          <w:sz w:val="28"/>
          <w:szCs w:val="28"/>
          <w:rtl/>
        </w:rPr>
        <w:t xml:space="preserve">(mohammad amīn ( - 1832)</w:t>
      </w:r>
    </w:p>
    <w:p>
      <w:pPr>
        <w:pStyle w:val="BookText"/>
      </w:pPr>
      <w:r>
        <w:rPr>
          <w:rFonts w:ascii="IRNazanin" w:hAnsi="IRNazanin" w:eastAsia="IRNazanin" w:cs="IRNazanin"/>
          <w:lang w:bidi="fa-IR"/>
          <w:color w:val="111111"/>
          <w:sz w:val="28"/>
          <w:szCs w:val="28"/>
          <w:rtl/>
        </w:rPr>
        <w:t xml:space="preserve">وابسته به مفتاح النبوة؛ کوثر همدانی، محمد رضا بن محمد امین  (-1247) و میزان الحق، هانری مارتين (1810-1883)</w:t>
      </w:r>
    </w:p>
    <w:p>
      <w:pPr>
        <w:pStyle w:val="BookText"/>
      </w:pPr>
      <w:r>
        <w:rPr>
          <w:rFonts w:ascii="IRNazanin" w:hAnsi="IRNazanin" w:eastAsia="IRNazanin" w:cs="IRNazanin"/>
          <w:lang w:bidi="fa-IR"/>
          <w:color w:val="111111"/>
          <w:sz w:val="28"/>
          <w:szCs w:val="28"/>
          <w:rtl/>
        </w:rPr>
        <w:t xml:space="preserve">مؤلف «مفتاح النبوة» را در پاسخ كتاب «ميزان الحق» هانری مارتین مسیحی که  ردی بر مسلمین است، نگاشت اما چون  مفصل بود آن را در یک «مقدمه» و دو «مشکوة)» و یک «خاتمه» مختصر کرد و «ارشاد المضلین» نامید: مقدمه در بیان وجوب تخلیه قلب از شوائب شکوک و تحلیه ظاهر و باطن بحليه صدق و صواب؛ مشکوة 1. در دو «مصباح»؛ مشکوة .2 بيان ايراداتی که کشیش نصرانی نموده؛ خاتمه در پاره ای از مسائل دینی- «مفتاح النبوه» در سال 1240 ق با مقدمه میرزا ابوالقاسم قائم  مقام فراهانی در تهران چاپ سنگی شده است.</w:t>
      </w:r>
    </w:p>
    <w:p>
      <w:pPr>
        <w:pStyle w:val="BookText"/>
      </w:pPr>
      <w:r>
        <w:rPr>
          <w:rFonts w:ascii="IRNazanin" w:hAnsi="IRNazanin" w:eastAsia="IRNazanin" w:cs="IRNazanin"/>
          <w:lang w:bidi="fa-IR"/>
          <w:color w:val="111111"/>
          <w:sz w:val="28"/>
          <w:szCs w:val="28"/>
          <w:rtl/>
        </w:rPr>
        <w:t xml:space="preserve">آغاز: بسمله حمدله و بعد پوشیده نماند که هدایت و رایت ایقان اگر چه علی الظاهر مترتب است بر دلیل و برهان و اما فی الواقع و نفس الامر - موقوف است به توفیقات یزدانی</w:t>
      </w:r>
    </w:p>
    <w:p>
      <w:pPr>
        <w:pStyle w:val="BookText"/>
      </w:pPr>
      <w:r>
        <w:rPr>
          <w:rFonts w:ascii="IRNazanin" w:hAnsi="IRNazanin" w:eastAsia="IRNazanin" w:cs="IRNazanin"/>
          <w:lang w:bidi="fa-IR"/>
          <w:color w:val="111111"/>
          <w:sz w:val="28"/>
          <w:szCs w:val="28"/>
          <w:rtl/>
        </w:rPr>
        <w:t xml:space="preserve">انجام: و دانستی که حمل آن بر جبرئیل و روح القدس چنانکه نصاری تأویل می نمایند امکان ندارد و الحمدلله اولاً و آخر باطناً وصلى الله علی محمد و آله اجمعين.</w:t>
      </w:r>
    </w:p>
    <w:p>
      <w:pPr>
        <w:pStyle w:val="BookText"/>
      </w:pPr>
      <w:r>
        <w:rPr>
          <w:rFonts w:ascii="IRNazanin" w:hAnsi="IRNazanin" w:eastAsia="IRNazanin" w:cs="IRNazanin"/>
          <w:lang w:bidi="fa-IR"/>
          <w:color w:val="111111"/>
          <w:sz w:val="28"/>
          <w:szCs w:val="28"/>
          <w:rtl/>
        </w:rPr>
        <w:t xml:space="preserve">[الذريع101/1؛ نسخه های منزوی (993/2 ؛فهرستواره منزوی 481/9 نسخه)]</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فهرست ارشاد المضلین همدانی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ملی؛ شماره نسخه: 1285/1</w:t>
      </w:r>
    </w:p>
    <w:p>
      <w:pPr>
        <w:pStyle w:val="BookText"/>
      </w:pPr>
      <w:r>
        <w:rPr>
          <w:rFonts w:ascii="IRNazanin" w:hAnsi="IRNazanin" w:eastAsia="IRNazanin" w:cs="IRNazanin"/>
          <w:lang w:bidi="fa-IR"/>
          <w:color w:val="111111"/>
          <w:sz w:val="28"/>
          <w:szCs w:val="28"/>
          <w:rtl/>
        </w:rPr>
        <w:t xml:space="preserve">آغاز: الحمد لله رب العالمين والصلوة والسلام على المصطفين الهادين المهديين و العاقبة للمتقين؛ انجام: اللهم اهدنا بهداتیک و احفظنا بحفظك و حمایتک و السلام علی تابع الهدی پارس ثيل  شهرربیع الثانى 1224 (پایان نسخه:) تمت مقابلته مع نسخه قوبلت  مع نسخة الاصل بخط مصنف سلمه الله تعالى عن افات الزمان و سوانح الدوران على يد اقل الطلاب محمد حسين التفرشى غفر الله وله لولانه و معلمیه و جميع المؤمنين و المؤمنات. خط: شکسته نستعلیق و نسخ؛ کا: محمد حسین تفرشی و فرج الدین محمد ،سرابی ،تا: قرن 13؛ مقابله شده با  نسخه ای که با نسخه اصل مقابله شده بوده ؛کاغذ: فرنگی، جلد: تیماج سبز با ترنج و نیم ترنج کوبیده ،مقوایی 175گ ، 25 سطر (9</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15</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3 - 346]</w:t>
      </w:r>
    </w:p>
    <w:p>
      <w:pPr>
        <w:pStyle w:val="BookText"/>
      </w:pPr>
      <w:r>
        <w:rPr>
          <w:rFonts w:ascii="IRNazanin" w:hAnsi="IRNazanin" w:eastAsia="IRNazanin" w:cs="IRNazanin"/>
          <w:lang w:bidi="fa-IR"/>
          <w:color w:val="111111"/>
          <w:sz w:val="28"/>
          <w:szCs w:val="28"/>
          <w:rtl/>
        </w:rPr>
        <w:t xml:space="preserve">2 . مشهد؛ رضوی؛ شماره نسخه:43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و نستعلیق و شکسته ،کا: محمد محسن مازندرانی، تا: قرن 13؛ واقف: تاج ماه بیگم، 1263 ق؛ کاغذ: آبی آهار مهره، جلد: میشن دارچینی، 101گ، مختلف السطر ، اندازه : 16</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سم [ف: 1 - 39]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ملک؛ شماره نسخه: 1095</w:t>
      </w:r>
    </w:p>
    <w:p>
      <w:pPr>
        <w:pStyle w:val="BookText"/>
      </w:pPr>
      <w:r>
        <w:rPr>
          <w:rFonts w:ascii="IRNazanin" w:hAnsi="IRNazanin" w:eastAsia="IRNazanin" w:cs="IRNazanin"/>
          <w:lang w:bidi="fa-IR"/>
          <w:color w:val="111111"/>
          <w:sz w:val="28"/>
          <w:szCs w:val="28"/>
          <w:rtl/>
        </w:rPr>
        <w:t xml:space="preserve">آغاز: الحمد لله رب العالمين... محمد رضا بن محمد امین؛ انجام : و آنچه نوشته عاقل و دانا را کافی و منصف شنوا.</w:t>
      </w:r>
    </w:p>
    <w:p>
      <w:pPr>
        <w:pStyle w:val="BookText"/>
      </w:pPr>
      <w:r>
        <w:rPr>
          <w:rFonts w:ascii="IRNazanin" w:hAnsi="IRNazanin" w:eastAsia="IRNazanin" w:cs="IRNazanin"/>
          <w:lang w:bidi="fa-IR"/>
          <w:color w:val="111111"/>
          <w:sz w:val="28"/>
          <w:szCs w:val="28"/>
          <w:rtl/>
        </w:rPr>
        <w:t xml:space="preserve">خط: نسخ، بی کا، تا: قرن 13؛ مجدول به زر، کاغذ: کاغذ فستقی ،جلد: میشن سیاه ،ضربی 448گ 15 سطر ، اندازه:15</w:t>
      </w:r>
      <w:r>
        <w:rPr>
          <w:rFonts w:ascii="Times New Roman" w:hAnsi="Times New Roman" w:eastAsia="Times New Roman" w:cs="Times New Roman"/>
          <w:lang w:val="en-US" w:bidi="en-US"/>
          <w:color w:val="111111"/>
          <w:sz w:val="28"/>
          <w:szCs w:val="28"/>
          <w:rtl/>
        </w:rPr>
        <w:t xml:space="preserve">×21/3</w:t>
      </w:r>
      <w:r>
        <w:rPr>
          <w:rFonts w:ascii="IRNazanin" w:hAnsi="IRNazanin" w:eastAsia="IRNazanin" w:cs="IRNazanin"/>
          <w:lang w:bidi="fa-IR"/>
          <w:color w:val="111111"/>
          <w:sz w:val="28"/>
          <w:szCs w:val="28"/>
          <w:rtl/>
        </w:rPr>
        <w:t xml:space="preserve">سم [ف: 2 - 21]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مشهد؛ رضوی؛ شماره نسخه: 44</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مخلوط به شکسته ،کا: محمد محسن مازندرانی، تا: جمادی الاول 1229ق؛ واقف تاج ماه بیگم،1263ق؛ کاغذ: فرنگی الوان آهار مهره، جلد: میشن دار چینی، 108گ، 15 سطر ، اندازه: 15</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1 - 40]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خوی؛ ملا علی خوئی (شریف)؛ شماره نسخه: 40</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21 صفر 1230ق؛ 135گ، 16 سطر ، اندازه: 16</w:t>
      </w:r>
      <w:r>
        <w:rPr>
          <w:rFonts w:ascii="Times New Roman" w:hAnsi="Times New Roman" w:eastAsia="Times New Roman" w:cs="Times New Roman"/>
          <w:lang w:val="en-US" w:bidi="en-US"/>
          <w:color w:val="111111"/>
          <w:sz w:val="28"/>
          <w:szCs w:val="28"/>
          <w:rtl/>
        </w:rPr>
        <w:t xml:space="preserve">× 22 </w:t>
      </w:r>
      <w:r>
        <w:rPr>
          <w:rFonts w:ascii="Amiri" w:hAnsi="Amiri" w:eastAsia="Amiri" w:cs="Amiri"/>
          <w:lang w:bidi="ar-SA"/>
          <w:color w:val="111111"/>
          <w:sz w:val="28"/>
          <w:szCs w:val="28"/>
          <w:rtl/>
        </w:rPr>
        <w:t xml:space="preserve">سم [اوراق عتيق: 1 - 134]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مشهد؛ رضوی؛ شماره نسخه: 42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و نستعليق، كا: محمد محسن مازندارنی، تا: 1231ق؛ واقف تاج ماه بیگم، 1263 ق؛ کاغذ: آبی آهار مهره، جلد: میشن ،دارچینی 107گ، 15 سطر ، اندازه: 16</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1-38]</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قم؛ مسجد اعظم؛ شماره نسخه: 558/8</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57" w:name="pg20365_260077"/>
    <w:bookmarkEnd w:id="57"/>
    <w:p>
      <w:pPr>
        <w:pStyle w:val="BookText"/>
      </w:pPr>
      <w:r>
        <w:rPr>
          <w:rFonts w:ascii="IRNazanin" w:hAnsi="IRNazanin" w:eastAsia="IRNazanin" w:cs="IRNazanin"/>
          <w:lang w:bidi="fa-IR"/>
          <w:color w:val="111111"/>
          <w:sz w:val="28"/>
          <w:szCs w:val="28"/>
          <w:rtl/>
        </w:rPr>
        <w:t xml:space="preserve">آغاز :چون در این کتاب بابی از ابواب مسائل نوشته آمد که فهم همه آن على التفصیل مدلل به برهان و دلیل و متابعت قانون جرح و تعديل جز واقفين فنون حکمت و دانایان؛ انجام: و آن نوشته شد عاقل دانا را کافی و منصف شنوا را از خواب غفلت بیدار می سازد زیاده بر این زیاده است در خانه اگر کس است  يك حرف بس است  والا بر سیه دل چه سود خواندن وعظ نرود میخ آهنی  برسنگ</w:t>
      </w:r>
    </w:p>
    <w:p>
      <w:pPr>
        <w:pStyle w:val="BookText"/>
      </w:pPr>
      <w:r>
        <w:rPr>
          <w:rFonts w:ascii="IRNazanin" w:hAnsi="IRNazanin" w:eastAsia="IRNazanin" w:cs="IRNazanin"/>
          <w:lang w:bidi="fa-IR"/>
          <w:color w:val="111111"/>
          <w:sz w:val="28"/>
          <w:szCs w:val="28"/>
          <w:rtl/>
        </w:rPr>
        <w:t xml:space="preserve">خط: نستعلیق، بی كا، بی تا؛ چند فایده در حدیث و معما و شعر فارسی؛ جلد: گالینگور سبز عطف تیماج زرشکی، 8گ، 18سطر ، اندازه: 16</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سم [ف مخ: 5 - 1964]</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مشهد؛ رضوی؛ شماره نسخه: 22848</w:t>
      </w:r>
    </w:p>
    <w:p>
      <w:pPr>
        <w:pStyle w:val="BookText"/>
      </w:pPr>
      <w:r>
        <w:rPr>
          <w:rFonts w:ascii="IRNazanin" w:hAnsi="IRNazanin" w:eastAsia="IRNazanin" w:cs="IRNazanin"/>
          <w:lang w:bidi="fa-IR"/>
          <w:color w:val="111111"/>
          <w:sz w:val="28"/>
          <w:szCs w:val="28"/>
          <w:rtl/>
        </w:rPr>
        <w:t xml:space="preserve">آغاز: برابر؛ انجام: و احفظ بحفظك و حمایتك و السلام علی تابع الهدى</w:t>
      </w:r>
    </w:p>
    <w:p>
      <w:pPr>
        <w:pStyle w:val="BookText"/>
      </w:pPr>
      <w:r>
        <w:rPr>
          <w:rFonts w:ascii="IRNazanin" w:hAnsi="IRNazanin" w:eastAsia="IRNazanin" w:cs="IRNazanin"/>
          <w:lang w:bidi="fa-IR"/>
          <w:color w:val="111111"/>
          <w:sz w:val="28"/>
          <w:szCs w:val="28"/>
          <w:rtl/>
        </w:rPr>
        <w:t xml:space="preserve">خط: نستعلیق ،شکسته، بی کا، بی تا [رایانه]</w:t>
      </w:r>
    </w:p>
    <w:p>
      <w:pPr>
        <w:pStyle w:val="Heading3"/>
      </w:pPr>
      <w:bookmarkStart w:id="642" w:name="_Toc164"/>
      <w:r>
        <w:t>ارشاد الملوک / اخلاق / ترکی و عربی</w:t>
      </w:r>
      <w:bookmarkEnd w:id="642"/>
    </w:p>
    <w:p>
      <w:pPr>
        <w:pStyle w:val="BookText"/>
      </w:pPr>
      <w:r>
        <w:rPr>
          <w:rFonts w:ascii="Times New Roman" w:hAnsi="Times New Roman" w:eastAsia="Times New Roman" w:cs="Times New Roman"/>
          <w:lang w:val="en-US" w:bidi="en-US"/>
          <w:color w:val="111111"/>
          <w:sz w:val="28"/>
          <w:szCs w:val="28"/>
          <w:rtl/>
        </w:rPr>
        <w:t xml:space="preserve">iršād-ul mulūk</w:t>
      </w:r>
    </w:p>
    <w:p>
      <w:pPr>
        <w:pStyle w:val="BookText"/>
      </w:pPr>
      <w:r>
        <w:rPr>
          <w:rFonts w:ascii="IRNazanin" w:hAnsi="IRNazanin" w:eastAsia="IRNazanin" w:cs="IRNazanin"/>
          <w:lang w:bidi="fa-IR"/>
          <w:color w:val="111111"/>
          <w:sz w:val="28"/>
          <w:szCs w:val="28"/>
          <w:rtl/>
        </w:rPr>
        <w:t xml:space="preserve">برکلی، محمد بن پیر علی، 929 - 981 قمری</w:t>
      </w:r>
    </w:p>
    <w:p>
      <w:pPr>
        <w:pStyle w:val="BookText"/>
      </w:pPr>
      <w:r>
        <w:rPr>
          <w:rFonts w:ascii="Times New Roman" w:hAnsi="Times New Roman" w:eastAsia="Times New Roman" w:cs="Times New Roman"/>
          <w:lang w:val="en-US" w:bidi="en-US"/>
          <w:color w:val="111111"/>
          <w:sz w:val="28"/>
          <w:szCs w:val="28"/>
          <w:rtl/>
        </w:rPr>
        <w:t xml:space="preserve">(berkelī, mohammad ebn-e pīr-‘alī (1523 - 1574)</w:t>
      </w:r>
    </w:p>
    <w:p>
      <w:pPr>
        <w:pStyle w:val="BookText"/>
      </w:pPr>
      <w:r>
        <w:rPr>
          <w:rFonts w:ascii="IRNazanin" w:hAnsi="IRNazanin" w:eastAsia="IRNazanin" w:cs="IRNazanin"/>
          <w:lang w:bidi="fa-IR"/>
          <w:color w:val="111111"/>
          <w:sz w:val="28"/>
          <w:szCs w:val="28"/>
          <w:rtl/>
        </w:rPr>
        <w:t xml:space="preserve">مشهد رضوی شماره نسخه: 25129</w:t>
      </w:r>
    </w:p>
    <w:p>
      <w:pPr>
        <w:pStyle w:val="BookText"/>
      </w:pPr>
      <w:r>
        <w:rPr>
          <w:rFonts w:ascii="IRNazanin" w:hAnsi="IRNazanin" w:eastAsia="IRNazanin" w:cs="IRNazanin"/>
          <w:lang w:bidi="fa-IR"/>
          <w:color w:val="111111"/>
          <w:sz w:val="28"/>
          <w:szCs w:val="28"/>
          <w:rtl/>
        </w:rPr>
        <w:t xml:space="preserve">آغاز: ارشدنا الله الذى بسمله .الحمد لله رب العالمین؛ انجام: بحرمة حبيبك الامين... سنه مائة و ستة عر بعد الالف</w:t>
      </w:r>
    </w:p>
    <w:p>
      <w:pPr>
        <w:pStyle w:val="BookText"/>
      </w:pPr>
      <w:r>
        <w:rPr>
          <w:rFonts w:ascii="IRNazanin" w:hAnsi="IRNazanin" w:eastAsia="IRNazanin" w:cs="IRNazanin"/>
          <w:lang w:bidi="fa-IR"/>
          <w:color w:val="111111"/>
          <w:sz w:val="28"/>
          <w:szCs w:val="28"/>
          <w:rtl/>
        </w:rPr>
        <w:t xml:space="preserve">خط: نسخ، بی کا، تا: 1133ق [رایانه ]</w:t>
      </w:r>
    </w:p>
    <w:p>
      <w:pPr>
        <w:pStyle w:val="Heading3"/>
      </w:pPr>
      <w:bookmarkStart w:id="643" w:name="_Toc165"/>
      <w:r>
        <w:t>ارشاد الملوک فی سیر السلوک / کلام و اعتقادات / فارسی</w:t>
      </w:r>
      <w:bookmarkEnd w:id="643"/>
    </w:p>
    <w:p>
      <w:pPr>
        <w:pStyle w:val="BookText"/>
      </w:pPr>
      <w:r>
        <w:rPr>
          <w:rFonts w:ascii="Times New Roman" w:hAnsi="Times New Roman" w:eastAsia="Times New Roman" w:cs="Times New Roman"/>
          <w:lang w:val="en-US" w:bidi="en-US"/>
          <w:color w:val="111111"/>
          <w:sz w:val="28"/>
          <w:szCs w:val="28"/>
          <w:rtl/>
        </w:rPr>
        <w:t xml:space="preserve">eršād-ol-molūk fī seyr-es-solūk</w:t>
      </w:r>
    </w:p>
    <w:p>
      <w:pPr>
        <w:pStyle w:val="BookText"/>
      </w:pPr>
      <w:r>
        <w:rPr>
          <w:rFonts w:ascii="IRNazanin" w:hAnsi="IRNazanin" w:eastAsia="IRNazanin" w:cs="IRNazanin"/>
          <w:lang w:bidi="fa-IR"/>
          <w:color w:val="111111"/>
          <w:sz w:val="28"/>
          <w:szCs w:val="28"/>
          <w:rtl/>
        </w:rPr>
        <w:t xml:space="preserve">حسینی، قوام الدین بن حيدر، ق13 قمری</w:t>
      </w:r>
    </w:p>
    <w:p>
      <w:pPr>
        <w:pStyle w:val="BookText"/>
      </w:pPr>
      <w:r>
        <w:rPr>
          <w:rFonts w:ascii="Times New Roman" w:hAnsi="Times New Roman" w:eastAsia="Times New Roman" w:cs="Times New Roman"/>
          <w:lang w:val="en-US" w:bidi="en-US"/>
          <w:color w:val="111111"/>
          <w:sz w:val="28"/>
          <w:szCs w:val="28"/>
          <w:rtl/>
        </w:rPr>
        <w:t xml:space="preserve">hoseynī, qavām-od-dīn ebn-e heydar ( - 19c)</w:t>
      </w:r>
    </w:p>
    <w:p>
      <w:pPr>
        <w:pStyle w:val="BookText"/>
      </w:pPr>
      <w:r>
        <w:rPr>
          <w:rFonts w:ascii="Amiri" w:hAnsi="Amiri" w:eastAsia="Amiri" w:cs="Amiri"/>
          <w:lang w:bidi="ar-SA"/>
          <w:color w:val="111111"/>
          <w:sz w:val="28"/>
          <w:szCs w:val="28"/>
          <w:rtl/>
        </w:rPr>
        <w:t xml:space="preserve">تاريخ تأليف: 1256ق</w:t>
      </w:r>
    </w:p>
    <w:p>
      <w:pPr>
        <w:pStyle w:val="BookText"/>
      </w:pPr>
      <w:r>
        <w:rPr>
          <w:rFonts w:ascii="IRNazanin" w:hAnsi="IRNazanin" w:eastAsia="IRNazanin" w:cs="IRNazanin"/>
          <w:lang w:bidi="fa-IR"/>
          <w:color w:val="111111"/>
          <w:sz w:val="28"/>
          <w:szCs w:val="28"/>
          <w:rtl/>
        </w:rPr>
        <w:t xml:space="preserve">دارای یک «طلیعه» وسه «يوم»: طلیعه در مقدمات دارای پنج درجه يوم 1. در احوال واجب الوجود، دارای پنج ساغت؛ یوم .2 در نبوت و امامت دارای سه ساعت؛ یوم 3. در معاد دارای سه ساعت مؤلف کتاب دیگری به نام «مدائن الایمان» داشته که بخشی از آن را در آغاز «یوم ثانی» این کتاب آورده است و اشعار فراوانی از خود در سراسر کتاب به مناسبت هایی گنجانده است</w:t>
      </w:r>
    </w:p>
    <w:p>
      <w:pPr>
        <w:pStyle w:val="BookText"/>
      </w:pPr>
      <w:r>
        <w:rPr>
          <w:rFonts w:ascii="IRNazanin" w:hAnsi="IRNazanin" w:eastAsia="IRNazanin" w:cs="IRNazanin"/>
          <w:lang w:bidi="fa-IR"/>
          <w:color w:val="111111"/>
          <w:sz w:val="28"/>
          <w:szCs w:val="28"/>
          <w:rtl/>
        </w:rPr>
        <w:t xml:space="preserve">آغاز: گوارا شرابی که هشیاران خمخانه احدیت را سزا است</w:t>
      </w:r>
    </w:p>
    <w:p>
      <w:pPr>
        <w:pStyle w:val="BookText"/>
      </w:pPr>
      <w:r>
        <w:rPr>
          <w:rFonts w:ascii="IRNazanin" w:hAnsi="IRNazanin" w:eastAsia="IRNazanin" w:cs="IRNazanin"/>
          <w:lang w:bidi="fa-IR"/>
          <w:color w:val="111111"/>
          <w:sz w:val="28"/>
          <w:szCs w:val="28"/>
          <w:rtl/>
        </w:rPr>
        <w:t xml:space="preserve">انجام: تمام شد تنظیم کلام و تصنیف این رساله نیک آغاز و انجام در شب...</w:t>
      </w:r>
    </w:p>
    <w:p>
      <w:pPr>
        <w:pStyle w:val="BookText"/>
      </w:pPr>
      <w:r>
        <w:rPr>
          <w:rFonts w:ascii="IRNazanin" w:hAnsi="IRNazanin" w:eastAsia="IRNazanin" w:cs="IRNazanin"/>
          <w:lang w:bidi="fa-IR"/>
          <w:color w:val="111111"/>
          <w:sz w:val="28"/>
          <w:szCs w:val="28"/>
          <w:rtl/>
        </w:rPr>
        <w:t xml:space="preserve">[فهرستواره منزوی 82/9]</w:t>
      </w:r>
    </w:p>
    <w:p>
      <w:pPr>
        <w:pStyle w:val="BookText"/>
      </w:pPr>
      <w:r>
        <w:rPr>
          <w:rFonts w:ascii="IRNazanin" w:hAnsi="IRNazanin" w:eastAsia="IRNazanin" w:cs="IRNazanin"/>
          <w:lang w:bidi="fa-IR"/>
          <w:color w:val="111111"/>
          <w:sz w:val="28"/>
          <w:szCs w:val="28"/>
          <w:rtl/>
        </w:rPr>
        <w:t xml:space="preserve">قم؛ فیضیه؛ شماره نسخه: 1483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بی تا؛ 190گ 11 سطر ، اندازه: 13</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2 - 13]</w:t>
      </w:r>
    </w:p>
    <w:p>
      <w:pPr>
        <w:pStyle w:val="Heading3"/>
      </w:pPr>
      <w:bookmarkStart w:id="644" w:name="_Toc166"/>
      <w:r>
        <w:t>ارشاد المؤمنين / فقه / فارسی</w:t>
      </w:r>
      <w:bookmarkEnd w:id="644"/>
    </w:p>
    <w:p>
      <w:pPr>
        <w:pStyle w:val="BookText"/>
      </w:pPr>
      <w:r>
        <w:rPr>
          <w:rFonts w:ascii="Times New Roman" w:hAnsi="Times New Roman" w:eastAsia="Times New Roman" w:cs="Times New Roman"/>
          <w:lang w:val="en-US" w:bidi="en-US"/>
          <w:color w:val="111111"/>
          <w:sz w:val="28"/>
          <w:szCs w:val="28"/>
          <w:rtl/>
        </w:rPr>
        <w:t xml:space="preserve">eršād-ol mo’menīn</w:t>
      </w:r>
    </w:p>
    <w:p>
      <w:pPr>
        <w:pStyle w:val="BookText"/>
      </w:pPr>
      <w:r>
        <w:rPr>
          <w:rFonts w:ascii="IRNazanin" w:hAnsi="IRNazanin" w:eastAsia="IRNazanin" w:cs="IRNazanin"/>
          <w:lang w:bidi="fa-IR"/>
          <w:color w:val="111111"/>
          <w:sz w:val="28"/>
          <w:szCs w:val="28"/>
          <w:rtl/>
        </w:rPr>
        <w:t xml:space="preserve">،قاری ابراهیم بن حسن، ق 12 قمری</w:t>
      </w:r>
    </w:p>
    <w:p>
      <w:pPr>
        <w:pStyle w:val="BookText"/>
      </w:pPr>
      <w:r>
        <w:rPr>
          <w:rFonts w:ascii="Times New Roman" w:hAnsi="Times New Roman" w:eastAsia="Times New Roman" w:cs="Times New Roman"/>
          <w:lang w:val="en-US" w:bidi="en-US"/>
          <w:color w:val="111111"/>
          <w:sz w:val="28"/>
          <w:szCs w:val="28"/>
          <w:rtl/>
        </w:rPr>
        <w:t xml:space="preserve">(qārī, ebrāhīm ebn-e hasan-e (- 18c)</w:t>
      </w:r>
    </w:p>
    <w:p>
      <w:pPr>
        <w:pStyle w:val="BookText"/>
      </w:pPr>
      <w:r>
        <w:rPr>
          <w:rFonts w:ascii="IRNazanin" w:hAnsi="IRNazanin" w:eastAsia="IRNazanin" w:cs="IRNazanin"/>
          <w:lang w:bidi="fa-IR"/>
          <w:color w:val="111111"/>
          <w:sz w:val="28"/>
          <w:szCs w:val="28"/>
          <w:rtl/>
        </w:rPr>
        <w:t xml:space="preserve">کتابی است در عقاید و ضروریات و احکام، طبق عقايد اهل سنت و جماعت و به صورت پرسش و پاسخ، با عناوین «اگر ترا پرسند .. بگو» در 8«فصل»: 1 .بیان اعتقادات؛ 2. طهارت؛ 3. مسائل نماز؛ 4. بیان مسائل روزه؛ 5. بیان چهارم رکن اسلام که زکات است؛ 6. صدقه فطر ؛ 7. اضحیه؛ 8. بیان رکن پنجم که اسلام [حج] است. از کتاب هایی چون «کنز الدقائق» و حواشی آن و شرح عینی «بحرالرائق»، «شرح وقايه»، «عمدة الاسلام»، «كفاية المؤمنين»، «مفتاح»، «ترغيب الصلوة»، «تيسير الاحكام»، «نوازل»، «واقعات»، «منية المصلى»، کیدانی و شرح آن انتخاب شده است. وی آورده است ... و چون رغبت خوردان به سؤال و جواب بیشتر بود این فقیر اقتدا به صاحب كتاب احكام الصلوة کرده شروع نمود نهایتش بعضی مسائل که در آن کتاب غریبه بوده اند آن را اسقاط کرده و اکثر ضروری را که در آن نبوده اند درج ساخت و به ارشاد المؤمنین موسوم گردانید.....» او همچنین استاد سلطان اورنگ زیب، ابوالمظفرمحمد بهادر بن شاه جهان گورکانی هندی (1068- 1118ه) بوده است.</w:t>
      </w:r>
    </w:p>
    <w:p>
      <w:pPr>
        <w:pStyle w:val="BookText"/>
      </w:pPr>
      <w:r>
        <w:rPr>
          <w:rFonts w:ascii="IRNazanin" w:hAnsi="IRNazanin" w:eastAsia="IRNazanin" w:cs="IRNazanin"/>
          <w:lang w:bidi="fa-IR"/>
          <w:color w:val="111111"/>
          <w:sz w:val="28"/>
          <w:szCs w:val="28"/>
          <w:rtl/>
        </w:rPr>
        <w:t xml:space="preserve">قم؛ مرعشی؛ شماره نسخه: 15183</w:t>
      </w:r>
    </w:p>
    <w:p>
      <w:pPr>
        <w:pStyle w:val="BookText"/>
      </w:pPr>
      <w:r>
        <w:rPr>
          <w:rFonts w:ascii="IRNazanin" w:hAnsi="IRNazanin" w:eastAsia="IRNazanin" w:cs="IRNazanin"/>
          <w:lang w:bidi="fa-IR"/>
          <w:color w:val="111111"/>
          <w:sz w:val="28"/>
          <w:szCs w:val="28"/>
          <w:rtl/>
        </w:rPr>
        <w:t xml:space="preserve">آغاز: الحمد لله رب العالمين والصلوة والسلام على رسوله محمد آله و صحبه ،اجمعین اما ،بعد می گوید خاکسار بی مقدار فقیر ابراهيم بن حسن خویدم کلام کرد کار، بصره الله بعيوب نفسه جعل يومه خيراً من امسه که این کتابی است در بیان عقاید مجمله اهل سنت و جماعت و صفت ایمان و بیان طهارة و نماز و روزه و زکوة و حج از کتب معتبره چنانچه کنز الدقائق و....؛ انجام: اما بخوردن بسیاری از زعفران تنها یا مخلوط بچیزی مغلوب دم لازم آید.</w:t>
      </w:r>
    </w:p>
    <w:p>
      <w:pPr>
        <w:pStyle w:val="BookText"/>
      </w:pPr>
      <w:r>
        <w:rPr>
          <w:rFonts w:ascii="IRNazanin" w:hAnsi="IRNazanin" w:eastAsia="IRNazanin" w:cs="IRNazanin"/>
          <w:lang w:bidi="fa-IR"/>
          <w:color w:val="111111"/>
          <w:sz w:val="28"/>
          <w:szCs w:val="28"/>
          <w:rtl/>
        </w:rPr>
        <w:t xml:space="preserve">خط: نسخ و نستعلیق، کا: عبدالكريم بن عبدالملک، تا: جمعه 6 شعبان 1192ق؛ مصحح، محشی با نشان «ه»، «مولوی محمد صالح»، «هو لكاتبه» و «مخدوم محمد هاشم عفى عنه»، در چند موضع عبارات نامفهوم «محمد بخش» و «حافظ محمد بخش» و . .. همراه با عددهای» «103036 و 103053) و . .. آمده، یادداشتی</w:t>
      </w:r>
    </w:p>
    <w:p>
      <w:pPr>
        <w:pStyle w:val="BookText"/>
      </w:pPr>
      <w:r>
        <w:rPr>
          <w:rFonts w:ascii="IRNazanin" w:hAnsi="IRNazanin" w:eastAsia="IRNazanin" w:cs="IRNazanin"/>
          <w:lang w:bidi="fa-IR"/>
          <w:color w:val="111111"/>
          <w:sz w:val="28"/>
          <w:szCs w:val="28"/>
          <w:rtl/>
        </w:rPr>
        <w:t xml:space="preserve">به سال 1286ق و نام «محمد بخش» و «عبدالمجید» آمده است؛ کاغذ: شرقی، جلد: مقوایی عطف و گوشه ها تیماج زرشکی، 98گ، 21 سطر (8</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اندازه: 14/5</w:t>
      </w:r>
      <w:r>
        <w:rPr>
          <w:rFonts w:ascii="Times New Roman" w:hAnsi="Times New Roman" w:eastAsia="Times New Roman" w:cs="Times New Roman"/>
          <w:lang w:val="en-US" w:bidi="en-US"/>
          <w:color w:val="111111"/>
          <w:sz w:val="28"/>
          <w:szCs w:val="28"/>
          <w:rtl/>
        </w:rPr>
        <w:t xml:space="preserve">×23/5</w:t>
      </w:r>
      <w:r>
        <w:rPr>
          <w:rFonts w:ascii="IRNazanin" w:hAnsi="IRNazanin" w:eastAsia="IRNazanin" w:cs="IRNazanin"/>
          <w:lang w:bidi="fa-IR"/>
          <w:color w:val="111111"/>
          <w:sz w:val="28"/>
          <w:szCs w:val="28"/>
          <w:rtl/>
        </w:rPr>
        <w:t xml:space="preserve">سم [ف: 38 - 542]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58" w:name="pg20365_260078"/>
    <w:bookmarkEnd w:id="58"/>
    <w:p>
      <w:pPr>
        <w:pStyle w:val="Heading3"/>
      </w:pPr>
      <w:bookmarkStart w:id="645" w:name="_Toc167"/>
      <w:r>
        <w:t>ارشاد المؤمنين / فقه / عربي</w:t>
      </w:r>
      <w:bookmarkEnd w:id="645"/>
    </w:p>
    <w:p>
      <w:pPr>
        <w:pStyle w:val="BookText"/>
      </w:pPr>
      <w:r>
        <w:rPr>
          <w:rFonts w:ascii="Times New Roman" w:hAnsi="Times New Roman" w:eastAsia="Times New Roman" w:cs="Times New Roman"/>
          <w:lang w:val="en-US" w:bidi="en-US"/>
          <w:color w:val="111111"/>
          <w:sz w:val="28"/>
          <w:szCs w:val="28"/>
          <w:rtl/>
        </w:rPr>
        <w:t xml:space="preserve">eršād-ol mo’menīn</w:t>
      </w:r>
    </w:p>
    <w:p>
      <w:pPr>
        <w:pStyle w:val="BookText"/>
      </w:pPr>
      <w:r>
        <w:rPr>
          <w:rFonts w:ascii="IRNazanin" w:hAnsi="IRNazanin" w:eastAsia="IRNazanin" w:cs="IRNazanin"/>
          <w:lang w:bidi="fa-IR"/>
          <w:color w:val="111111"/>
          <w:sz w:val="28"/>
          <w:szCs w:val="28"/>
          <w:rtl/>
        </w:rPr>
        <w:t xml:space="preserve">نراقی، محمد جواد بن احمد 1222 - 1278 قمری</w:t>
      </w:r>
    </w:p>
    <w:p>
      <w:pPr>
        <w:pStyle w:val="BookText"/>
      </w:pPr>
      <w:r>
        <w:rPr>
          <w:rFonts w:ascii="Times New Roman" w:hAnsi="Times New Roman" w:eastAsia="Times New Roman" w:cs="Times New Roman"/>
          <w:lang w:val="en-US" w:bidi="en-US"/>
          <w:color w:val="111111"/>
          <w:sz w:val="28"/>
          <w:szCs w:val="28"/>
          <w:rtl/>
        </w:rPr>
        <w:t xml:space="preserve">(narāqī, mohammad javād ebn-e ahmad (1807 - 1862)</w:t>
      </w:r>
    </w:p>
    <w:p>
      <w:pPr>
        <w:pStyle w:val="BookText"/>
      </w:pPr>
      <w:r>
        <w:rPr>
          <w:rFonts w:ascii="IRNazanin" w:hAnsi="IRNazanin" w:eastAsia="IRNazanin" w:cs="IRNazanin"/>
          <w:lang w:bidi="fa-IR"/>
          <w:color w:val="111111"/>
          <w:sz w:val="28"/>
          <w:szCs w:val="28"/>
          <w:rtl/>
        </w:rPr>
        <w:t xml:space="preserve">قم؛ حجتیه شماره نسخه: 227</w:t>
      </w:r>
    </w:p>
    <w:p>
      <w:pPr>
        <w:pStyle w:val="BookText"/>
      </w:pPr>
      <w:r>
        <w:rPr>
          <w:rFonts w:ascii="Amiri" w:hAnsi="Amiri" w:eastAsia="Amiri" w:cs="Amiri"/>
          <w:lang w:bidi="ar-SA"/>
          <w:color w:val="111111"/>
          <w:sz w:val="28"/>
          <w:szCs w:val="28"/>
          <w:rtl/>
        </w:rPr>
        <w:t xml:space="preserve">آغاز: الحمد لله على جزيل فضله و انعامه و الشكر له</w:t>
      </w:r>
    </w:p>
    <w:p>
      <w:pPr>
        <w:pStyle w:val="BookText"/>
      </w:pPr>
      <w:r>
        <w:rPr>
          <w:rFonts w:ascii="IRNazanin" w:hAnsi="IRNazanin" w:eastAsia="IRNazanin" w:cs="IRNazanin"/>
          <w:lang w:bidi="fa-IR"/>
          <w:color w:val="111111"/>
          <w:sz w:val="28"/>
          <w:szCs w:val="28"/>
          <w:rtl/>
        </w:rPr>
        <w:t xml:space="preserve">کتاب طهارت. رساله عملیه است؛ خط: نسخ، بی کا، بی تا [ف: 2 ]</w:t>
      </w:r>
    </w:p>
    <w:p>
      <w:pPr>
        <w:pStyle w:val="Heading3"/>
      </w:pPr>
      <w:bookmarkStart w:id="646" w:name="_Toc168"/>
      <w:r>
        <w:t>ارشاد المؤمنين / فقه / فارسی</w:t>
      </w:r>
      <w:bookmarkEnd w:id="646"/>
    </w:p>
    <w:p>
      <w:pPr>
        <w:pStyle w:val="BookText"/>
      </w:pPr>
      <w:r>
        <w:rPr>
          <w:rFonts w:ascii="Times New Roman" w:hAnsi="Times New Roman" w:eastAsia="Times New Roman" w:cs="Times New Roman"/>
          <w:lang w:val="en-US" w:bidi="en-US"/>
          <w:color w:val="111111"/>
          <w:sz w:val="28"/>
          <w:szCs w:val="28"/>
          <w:rtl/>
        </w:rPr>
        <w:t xml:space="preserve">eršād-ol mo’menīn</w:t>
      </w:r>
    </w:p>
    <w:p>
      <w:pPr>
        <w:pStyle w:val="BookText"/>
      </w:pPr>
      <w:r>
        <w:rPr>
          <w:rFonts w:ascii="IRNazanin" w:hAnsi="IRNazanin" w:eastAsia="IRNazanin" w:cs="IRNazanin"/>
          <w:lang w:bidi="fa-IR"/>
          <w:color w:val="111111"/>
          <w:sz w:val="28"/>
          <w:szCs w:val="28"/>
          <w:rtl/>
        </w:rPr>
        <w:t xml:space="preserve">شيخ الاسلام دامغانی، محمد بن حسین، ق13 قمری</w:t>
      </w:r>
    </w:p>
    <w:p>
      <w:pPr>
        <w:pStyle w:val="BookText"/>
      </w:pPr>
      <w:r>
        <w:rPr>
          <w:rFonts w:ascii="Times New Roman" w:hAnsi="Times New Roman" w:eastAsia="Times New Roman" w:cs="Times New Roman"/>
          <w:lang w:val="en-US" w:bidi="en-US"/>
          <w:color w:val="111111"/>
          <w:sz w:val="28"/>
          <w:szCs w:val="28"/>
          <w:rtl/>
        </w:rPr>
        <w:t xml:space="preserve">šayx-ol-eslām dāmqānī, mohammad ebn-e hoseyn (</w:t>
      </w:r>
    </w:p>
    <w:p>
      <w:pPr>
        <w:pStyle w:val="BookText"/>
      </w:pPr>
      <w:r>
        <w:rPr>
          <w:rFonts w:ascii="Times New Roman" w:hAnsi="Times New Roman" w:eastAsia="Times New Roman" w:cs="Times New Roman"/>
          <w:lang w:val="en-US" w:bidi="en-US"/>
          <w:color w:val="111111"/>
          <w:sz w:val="28"/>
          <w:szCs w:val="28"/>
          <w:rtl/>
        </w:rPr>
        <w:t xml:space="preserve">(19c-)</w:t>
      </w:r>
    </w:p>
    <w:p>
      <w:pPr>
        <w:pStyle w:val="BookText"/>
      </w:pPr>
      <w:r>
        <w:rPr>
          <w:rFonts w:ascii="Amiri" w:hAnsi="Amiri" w:eastAsia="Amiri" w:cs="Amiri"/>
          <w:lang w:bidi="ar-SA"/>
          <w:color w:val="111111"/>
          <w:sz w:val="28"/>
          <w:szCs w:val="28"/>
          <w:rtl/>
        </w:rPr>
        <w:t xml:space="preserve">تاريخ تأليف: 1268ق</w:t>
      </w:r>
    </w:p>
    <w:p>
      <w:pPr>
        <w:pStyle w:val="BookText"/>
      </w:pPr>
      <w:r>
        <w:rPr>
          <w:rFonts w:ascii="IRNazanin" w:hAnsi="IRNazanin" w:eastAsia="IRNazanin" w:cs="IRNazanin"/>
          <w:lang w:bidi="fa-IR"/>
          <w:color w:val="111111"/>
          <w:sz w:val="28"/>
          <w:szCs w:val="28"/>
          <w:rtl/>
        </w:rPr>
        <w:t xml:space="preserve">کتابی در مسائل اصول دین و طهارت و صلاة که با استفاده اقوال شیخ انصاری و میرزای قمی و صاحب جواهر جمع آور نموده و اکثر مسائل آن از اتفاقیات است.</w:t>
      </w:r>
    </w:p>
    <w:p>
      <w:pPr>
        <w:pStyle w:val="BookText"/>
      </w:pPr>
      <w:r>
        <w:rPr>
          <w:rFonts w:ascii="IRNazanin" w:hAnsi="IRNazanin" w:eastAsia="IRNazanin" w:cs="IRNazanin"/>
          <w:lang w:bidi="fa-IR"/>
          <w:color w:val="111111"/>
          <w:sz w:val="28"/>
          <w:szCs w:val="28"/>
          <w:rtl/>
        </w:rPr>
        <w:t xml:space="preserve">دامغان؛ صادقیه؛ شماره نسخه: 200/5</w:t>
      </w:r>
    </w:p>
    <w:p>
      <w:pPr>
        <w:pStyle w:val="BookText"/>
      </w:pPr>
      <w:r>
        <w:rPr>
          <w:rFonts w:ascii="IRNazanin" w:hAnsi="IRNazanin" w:eastAsia="IRNazanin" w:cs="IRNazanin"/>
          <w:lang w:bidi="fa-IR"/>
          <w:color w:val="111111"/>
          <w:sz w:val="28"/>
          <w:szCs w:val="28"/>
          <w:rtl/>
        </w:rPr>
        <w:t xml:space="preserve">آغاز: الحمد لله رب العالمين... اما بعد فيقول الفكير الى الله الغنی .. این رساله ای است که جمع شده است مسائل آن از قول مجتهدین؛ انجام: از برای مأموم اینکه بشنواند امام را چیزی میگوید از اذکار اعم از آنکه واجب بوده باشد یا مستحب. خط: نستعليق كاتب - مؤلف، تا: سال 1268ق؛ مصحح، تیماج کرمی بدون مقوا، 73گ اندازه: 17</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سم [ف: - 11]</w:t>
      </w:r>
    </w:p>
    <w:p>
      <w:pPr>
        <w:pStyle w:val="Heading3"/>
      </w:pPr>
      <w:bookmarkStart w:id="647" w:name="_Toc169"/>
      <w:r>
        <w:t>ارشاد المؤمنين / فقه / فارسی</w:t>
      </w:r>
      <w:bookmarkEnd w:id="647"/>
    </w:p>
    <w:p>
      <w:pPr>
        <w:pStyle w:val="BookText"/>
      </w:pPr>
      <w:r>
        <w:rPr>
          <w:rFonts w:ascii="Times New Roman" w:hAnsi="Times New Roman" w:eastAsia="Times New Roman" w:cs="Times New Roman"/>
          <w:lang w:val="en-US" w:bidi="en-US"/>
          <w:color w:val="111111"/>
          <w:sz w:val="28"/>
          <w:szCs w:val="28"/>
          <w:rtl/>
        </w:rPr>
        <w:t xml:space="preserve">eršād-ol mo’menīn</w:t>
      </w:r>
    </w:p>
    <w:p>
      <w:pPr>
        <w:pStyle w:val="BookText"/>
      </w:pPr>
      <w:r>
        <w:rPr>
          <w:rFonts w:ascii="IRNazanin" w:hAnsi="IRNazanin" w:eastAsia="IRNazanin" w:cs="IRNazanin"/>
          <w:lang w:bidi="fa-IR"/>
          <w:color w:val="111111"/>
          <w:sz w:val="28"/>
          <w:szCs w:val="28"/>
          <w:rtl/>
        </w:rPr>
        <w:t xml:space="preserve">کاشانی، محمد تقی بن حسین، 1236 - 1321 قمری</w:t>
      </w:r>
    </w:p>
    <w:p>
      <w:pPr>
        <w:pStyle w:val="BookText"/>
      </w:pPr>
      <w:r>
        <w:rPr>
          <w:rFonts w:ascii="Times New Roman" w:hAnsi="Times New Roman" w:eastAsia="Times New Roman" w:cs="Times New Roman"/>
          <w:lang w:val="en-US" w:bidi="en-US"/>
          <w:color w:val="111111"/>
          <w:sz w:val="28"/>
          <w:szCs w:val="28"/>
          <w:rtl/>
        </w:rPr>
        <w:t xml:space="preserve">(kāšānī, mohammad taqī ebn-e hoseyn (1821 - 1903)</w:t>
      </w:r>
    </w:p>
    <w:p>
      <w:pPr>
        <w:pStyle w:val="BookText"/>
      </w:pPr>
      <w:r>
        <w:rPr>
          <w:rFonts w:ascii="IRNazanin" w:hAnsi="IRNazanin" w:eastAsia="IRNazanin" w:cs="IRNazanin"/>
          <w:lang w:bidi="fa-IR"/>
          <w:color w:val="111111"/>
          <w:sz w:val="28"/>
          <w:szCs w:val="28"/>
          <w:rtl/>
        </w:rPr>
        <w:t xml:space="preserve">آغاز: بسمله الحمد الله الذي هدانا الى الدين القويم و ارشدنا الی المنهج المستقيم و الصلوة و السلام... و بعد چنین گوید بنده</w:t>
      </w:r>
    </w:p>
    <w:p>
      <w:pPr>
        <w:pStyle w:val="BookText"/>
      </w:pPr>
      <w:r>
        <w:rPr>
          <w:rFonts w:ascii="IRNazanin" w:hAnsi="IRNazanin" w:eastAsia="IRNazanin" w:cs="IRNazanin"/>
          <w:lang w:bidi="fa-IR"/>
          <w:color w:val="111111"/>
          <w:sz w:val="28"/>
          <w:szCs w:val="28"/>
          <w:rtl/>
        </w:rPr>
        <w:t xml:space="preserve">چاپ :تهران، 1320ق ،ایران ،سنگی، 1320، جیبی، 42ص</w:t>
      </w:r>
    </w:p>
    <w:p>
      <w:pPr>
        <w:pStyle w:val="BookText"/>
      </w:pPr>
      <w:r>
        <w:rPr>
          <w:rFonts w:ascii="IRNazanin" w:hAnsi="IRNazanin" w:eastAsia="IRNazanin" w:cs="IRNazanin"/>
          <w:lang w:bidi="fa-IR"/>
          <w:color w:val="111111"/>
          <w:sz w:val="28"/>
          <w:szCs w:val="28"/>
          <w:rtl/>
        </w:rPr>
        <w:t xml:space="preserve">[فهرستواره منزوی (317/6]</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مشهد؛ رضوی؛ شماره نسخه: 11665</w:t>
      </w:r>
    </w:p>
    <w:p>
      <w:pPr>
        <w:pStyle w:val="BookText"/>
      </w:pPr>
      <w:r>
        <w:rPr>
          <w:rFonts w:ascii="IRNazanin" w:hAnsi="IRNazanin" w:eastAsia="IRNazanin" w:cs="IRNazanin"/>
          <w:lang w:bidi="fa-IR"/>
          <w:color w:val="111111"/>
          <w:sz w:val="28"/>
          <w:szCs w:val="28"/>
          <w:rtl/>
        </w:rPr>
        <w:t xml:space="preserve">آغاز: برابر؛ انجام: خرابی دین و ایمان است. ...ربیع الاول سنه 1320</w:t>
      </w:r>
    </w:p>
    <w:p>
      <w:pPr>
        <w:pStyle w:val="BookText"/>
      </w:pPr>
      <w:r>
        <w:rPr>
          <w:rFonts w:ascii="IRNazanin" w:hAnsi="IRNazanin" w:eastAsia="IRNazanin" w:cs="IRNazanin"/>
          <w:lang w:bidi="fa-IR"/>
          <w:color w:val="111111"/>
          <w:sz w:val="28"/>
          <w:szCs w:val="28"/>
          <w:rtl/>
        </w:rPr>
        <w:t xml:space="preserve">خط: نسخ، بی کا، تا: ربیع الاول 1320ق [الفبائي: 41]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مشهد؛ رضوی؛ شماره نسخه: 28737</w:t>
      </w:r>
    </w:p>
    <w:p>
      <w:pPr>
        <w:pStyle w:val="BookText"/>
      </w:pPr>
      <w:r>
        <w:rPr>
          <w:rFonts w:ascii="IRNazanin" w:hAnsi="IRNazanin" w:eastAsia="IRNazanin" w:cs="IRNazanin"/>
          <w:lang w:bidi="fa-IR"/>
          <w:color w:val="111111"/>
          <w:sz w:val="28"/>
          <w:szCs w:val="28"/>
          <w:rtl/>
        </w:rPr>
        <w:t xml:space="preserve">آغاز: برابر؛ انجام: نفع گرفتن مومن در همه معاملات اگر او را ضرورتی نباشد سزاوار و مستحب است تمام شد</w:t>
      </w:r>
    </w:p>
    <w:p>
      <w:pPr>
        <w:pStyle w:val="BookText"/>
      </w:pPr>
      <w:r>
        <w:rPr>
          <w:rFonts w:ascii="IRNazanin" w:hAnsi="IRNazanin" w:eastAsia="IRNazanin" w:cs="IRNazanin"/>
          <w:lang w:bidi="fa-IR"/>
          <w:color w:val="111111"/>
          <w:sz w:val="28"/>
          <w:szCs w:val="28"/>
          <w:rtl/>
        </w:rPr>
        <w:t xml:space="preserve">خط: نسخ جلی خوش، بی کا، تا: 1328ق [ رایانه ]</w:t>
      </w:r>
    </w:p>
    <w:p>
      <w:pPr>
        <w:pStyle w:val="Heading3"/>
      </w:pPr>
      <w:bookmarkStart w:id="648" w:name="_Toc170"/>
      <w:r>
        <w:t>ارشاد المؤمنین / کلام و اعتقادات / فارسی</w:t>
      </w:r>
      <w:bookmarkEnd w:id="648"/>
    </w:p>
    <w:p>
      <w:pPr>
        <w:pStyle w:val="BookText"/>
      </w:pPr>
      <w:r>
        <w:rPr>
          <w:rFonts w:ascii="Times New Roman" w:hAnsi="Times New Roman" w:eastAsia="Times New Roman" w:cs="Times New Roman"/>
          <w:lang w:val="en-US" w:bidi="en-US"/>
          <w:color w:val="111111"/>
          <w:sz w:val="28"/>
          <w:szCs w:val="28"/>
          <w:rtl/>
        </w:rPr>
        <w:t xml:space="preserve">eršād-ol mo'menīn</w:t>
      </w:r>
    </w:p>
    <w:p>
      <w:pPr>
        <w:pStyle w:val="BookText"/>
      </w:pPr>
      <w:r>
        <w:rPr>
          <w:rFonts w:ascii="IRNazanin" w:hAnsi="IRNazanin" w:eastAsia="IRNazanin" w:cs="IRNazanin"/>
          <w:lang w:bidi="fa-IR"/>
          <w:color w:val="111111"/>
          <w:sz w:val="28"/>
          <w:szCs w:val="28"/>
          <w:rtl/>
        </w:rPr>
        <w:t xml:space="preserve">شریعتمدار ،محمد علی بن اسدالله ،ق 14 قمری</w:t>
      </w:r>
    </w:p>
    <w:p>
      <w:pPr>
        <w:pStyle w:val="BookText"/>
      </w:pPr>
      <w:r>
        <w:rPr>
          <w:rFonts w:ascii="Times New Roman" w:hAnsi="Times New Roman" w:eastAsia="Times New Roman" w:cs="Times New Roman"/>
          <w:lang w:val="en-US" w:bidi="en-US"/>
          <w:color w:val="111111"/>
          <w:sz w:val="28"/>
          <w:szCs w:val="28"/>
          <w:rtl/>
        </w:rPr>
        <w:t xml:space="preserve">(šarī atmadar, mohammad ‘alī ebn-e asad-ol-lah ( - 20c)</w:t>
      </w:r>
    </w:p>
    <w:p>
      <w:pPr>
        <w:pStyle w:val="BookText"/>
      </w:pPr>
      <w:r>
        <w:rPr>
          <w:rFonts w:ascii="IRNazanin" w:hAnsi="IRNazanin" w:eastAsia="IRNazanin" w:cs="IRNazanin"/>
          <w:lang w:bidi="fa-IR"/>
          <w:color w:val="111111"/>
          <w:sz w:val="28"/>
          <w:szCs w:val="28"/>
          <w:rtl/>
        </w:rPr>
        <w:t xml:space="preserve">تاریخ تأليف: 17 ربيع الأول 1341ق</w:t>
      </w:r>
    </w:p>
    <w:p>
      <w:pPr>
        <w:pStyle w:val="BookText"/>
      </w:pPr>
      <w:r>
        <w:rPr>
          <w:rFonts w:ascii="IRNazanin" w:hAnsi="IRNazanin" w:eastAsia="IRNazanin" w:cs="IRNazanin"/>
          <w:lang w:bidi="fa-IR"/>
          <w:color w:val="111111"/>
          <w:sz w:val="28"/>
          <w:szCs w:val="28"/>
          <w:rtl/>
        </w:rPr>
        <w:t xml:space="preserve">رساله ای در اثبات رجعت و بازگشت حضرات معصومین (علیه السّلام) به دنیا، بر اساس احادیثی که در این موضوع روایت شده است که به درخواست گروهی از اخیار در یک «مقدمه» و چند «مقصد» و یک «خاتمه» تألیف شده است.</w:t>
      </w:r>
    </w:p>
    <w:p>
      <w:pPr>
        <w:pStyle w:val="BookText"/>
      </w:pPr>
      <w:r>
        <w:rPr>
          <w:rFonts w:ascii="IRNazanin" w:hAnsi="IRNazanin" w:eastAsia="IRNazanin" w:cs="IRNazanin"/>
          <w:lang w:bidi="fa-IR"/>
          <w:color w:val="111111"/>
          <w:sz w:val="28"/>
          <w:szCs w:val="28"/>
          <w:rtl/>
        </w:rPr>
        <w:t xml:space="preserve">آغاز: الحمد لله الذى جعلنا من الراشدين بارشاده و میزنا بالعقل عن جميع مخلوقاته و نور قلوبنا عرفانه الذي من علينا بلطفه و احسانه</w:t>
      </w:r>
    </w:p>
    <w:p>
      <w:pPr>
        <w:pStyle w:val="BookText"/>
      </w:pPr>
      <w:r>
        <w:rPr>
          <w:rFonts w:ascii="IRNazanin" w:hAnsi="IRNazanin" w:eastAsia="IRNazanin" w:cs="IRNazanin"/>
          <w:lang w:bidi="fa-IR"/>
          <w:color w:val="111111"/>
          <w:sz w:val="28"/>
          <w:szCs w:val="28"/>
          <w:rtl/>
        </w:rPr>
        <w:t xml:space="preserve">مشهد؛ میبدی؛ شماره نسخه: 27</w:t>
      </w:r>
    </w:p>
    <w:p>
      <w:pPr>
        <w:pStyle w:val="BookText"/>
      </w:pPr>
      <w:r>
        <w:rPr>
          <w:rFonts w:ascii="IRNazanin" w:hAnsi="IRNazanin" w:eastAsia="IRNazanin" w:cs="IRNazanin"/>
          <w:lang w:bidi="fa-IR"/>
          <w:color w:val="111111"/>
          <w:sz w:val="28"/>
          <w:szCs w:val="28"/>
          <w:rtl/>
        </w:rPr>
        <w:t xml:space="preserve">آغاز:برابر</w:t>
      </w:r>
    </w:p>
    <w:p>
      <w:pPr>
        <w:pStyle w:val="BookText"/>
      </w:pPr>
      <w:r>
        <w:rPr>
          <w:rFonts w:ascii="IRNazanin" w:hAnsi="IRNazanin" w:eastAsia="IRNazanin" w:cs="IRNazanin"/>
          <w:lang w:bidi="fa-IR"/>
          <w:color w:val="111111"/>
          <w:sz w:val="28"/>
          <w:szCs w:val="28"/>
          <w:rtl/>
        </w:rPr>
        <w:t xml:space="preserve">خط: نستعلیق، کا: میرزا اسد الله بن ملا محمد کحللی ساکن انزلی، تا: یک شنبه 29 جمادى الاول 1342ق؛ جلد: پارچه ،مشکی 54گ ، 15 سطر ، اندازه: 17/5</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سم [ف: 1 - 53] و [ف: 164]</w:t>
      </w:r>
    </w:p>
    <w:p>
      <w:pPr>
        <w:pStyle w:val="Heading3"/>
      </w:pPr>
      <w:bookmarkStart w:id="649" w:name="_Toc171"/>
      <w:r>
        <w:t>ارشاد المؤمنين / عرفان و تصوف / فارسی</w:t>
      </w:r>
      <w:bookmarkEnd w:id="649"/>
    </w:p>
    <w:p>
      <w:pPr>
        <w:pStyle w:val="BookText"/>
      </w:pPr>
      <w:r>
        <w:rPr>
          <w:rFonts w:ascii="Times New Roman" w:hAnsi="Times New Roman" w:eastAsia="Times New Roman" w:cs="Times New Roman"/>
          <w:lang w:val="en-US" w:bidi="en-US"/>
          <w:color w:val="111111"/>
          <w:sz w:val="28"/>
          <w:szCs w:val="28"/>
          <w:rtl/>
        </w:rPr>
        <w:t xml:space="preserve">eršād-ol mo’menīn</w:t>
      </w:r>
    </w:p>
    <w:p>
      <w:pPr>
        <w:pStyle w:val="BookText"/>
      </w:pPr>
      <w:r>
        <w:rPr>
          <w:rFonts w:ascii="IRNazanin" w:hAnsi="IRNazanin" w:eastAsia="IRNazanin" w:cs="IRNazanin"/>
          <w:lang w:bidi="fa-IR"/>
          <w:color w:val="111111"/>
          <w:sz w:val="28"/>
          <w:szCs w:val="28"/>
          <w:rtl/>
        </w:rPr>
        <w:t xml:space="preserve">بیدادزی، محمد</w:t>
      </w:r>
    </w:p>
    <w:p>
      <w:pPr>
        <w:pStyle w:val="BookText"/>
      </w:pPr>
      <w:r>
        <w:rPr>
          <w:rFonts w:ascii="Times New Roman" w:hAnsi="Times New Roman" w:eastAsia="Times New Roman" w:cs="Times New Roman"/>
          <w:lang w:val="en-US" w:bidi="en-US"/>
          <w:color w:val="111111"/>
          <w:sz w:val="28"/>
          <w:szCs w:val="28"/>
          <w:rtl/>
        </w:rPr>
        <w:t xml:space="preserve">bīdādzī, mohammad</w:t>
      </w:r>
    </w:p>
    <w:p>
      <w:pPr>
        <w:pStyle w:val="BookText"/>
      </w:pPr>
      <w:r>
        <w:rPr>
          <w:rFonts w:ascii="IRNazanin" w:hAnsi="IRNazanin" w:eastAsia="IRNazanin" w:cs="IRNazanin"/>
          <w:lang w:bidi="fa-IR"/>
          <w:color w:val="111111"/>
          <w:sz w:val="28"/>
          <w:szCs w:val="28"/>
          <w:rtl/>
        </w:rPr>
        <w:t xml:space="preserve">در آداب اهل طریقت و سیر و سلوک</w:t>
      </w:r>
    </w:p>
    <w:p>
      <w:pPr>
        <w:pStyle w:val="BookText"/>
      </w:pPr>
      <w:r>
        <w:rPr>
          <w:rFonts w:ascii="IRNazanin" w:hAnsi="IRNazanin" w:eastAsia="IRNazanin" w:cs="IRNazanin"/>
          <w:lang w:bidi="fa-IR"/>
          <w:color w:val="111111"/>
          <w:sz w:val="28"/>
          <w:szCs w:val="28"/>
          <w:rtl/>
        </w:rPr>
        <w:t xml:space="preserve">آغاز: بسمله، حمد بی قیاس ذات اقدس احدی را که کمال حمد حامدان کاملش در مقام تحمید</w:t>
      </w:r>
    </w:p>
    <w:p>
      <w:pPr>
        <w:pStyle w:val="BookText"/>
      </w:pPr>
      <w:r>
        <w:rPr>
          <w:rFonts w:ascii="IRNazanin" w:hAnsi="IRNazanin" w:eastAsia="IRNazanin" w:cs="IRNazanin"/>
          <w:lang w:bidi="fa-IR"/>
          <w:color w:val="111111"/>
          <w:sz w:val="28"/>
          <w:szCs w:val="28"/>
          <w:rtl/>
        </w:rPr>
        <w:t xml:space="preserve">انجام: يسر لنا الاعمال باركان الشريعة و وفقنا رعايه اداب الطريقه و اوصلنا الى كمال اليقين و الحقيقه امین یا رب العالمين</w:t>
      </w:r>
    </w:p>
    <w:p>
      <w:pPr>
        <w:pStyle w:val="BookText"/>
      </w:pPr>
      <w:r>
        <w:rPr>
          <w:rFonts w:ascii="IRNazanin" w:hAnsi="IRNazanin" w:eastAsia="IRNazanin" w:cs="IRNazanin"/>
          <w:lang w:bidi="fa-IR"/>
          <w:color w:val="111111"/>
          <w:sz w:val="28"/>
          <w:szCs w:val="28"/>
          <w:rtl/>
        </w:rPr>
        <w:t xml:space="preserve">تهران؛ ملی؛ شماره نسخه: 2163/4</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محمد بن عبداله محمد مولائی و سلطان محمد بن شیخ علی، تا: قرن 10؛ کاغذ ،اصفهانی، جلد: تیماج قرمز مقوایی 78 ص ، 19 سطر (10</w:t>
      </w:r>
      <w:r>
        <w:rPr>
          <w:rFonts w:ascii="Times New Roman" w:hAnsi="Times New Roman" w:eastAsia="Times New Roman" w:cs="Times New Roman"/>
          <w:lang w:val="en-US" w:bidi="en-US"/>
          <w:color w:val="111111"/>
          <w:sz w:val="28"/>
          <w:szCs w:val="28"/>
          <w:rtl/>
        </w:rPr>
        <w:t xml:space="preserve">×16/5)</w:t>
      </w:r>
      <w:r>
        <w:rPr>
          <w:rFonts w:ascii="IRNazanin" w:hAnsi="IRNazanin" w:eastAsia="IRNazanin" w:cs="IRNazanin"/>
          <w:lang w:bidi="fa-IR"/>
          <w:color w:val="111111"/>
          <w:sz w:val="28"/>
          <w:szCs w:val="28"/>
          <w:rtl/>
        </w:rPr>
        <w:t xml:space="preserve">، اندازه: 16/5</w:t>
      </w:r>
      <w:r>
        <w:rPr>
          <w:rFonts w:ascii="Times New Roman" w:hAnsi="Times New Roman" w:eastAsia="Times New Roman" w:cs="Times New Roman"/>
          <w:lang w:val="en-US" w:bidi="en-US"/>
          <w:color w:val="111111"/>
          <w:sz w:val="28"/>
          <w:szCs w:val="28"/>
          <w:rtl/>
        </w:rPr>
        <w:t xml:space="preserve">× 23</w:t>
      </w:r>
      <w:r>
        <w:rPr>
          <w:rFonts w:ascii="IRNazanin" w:hAnsi="IRNazanin" w:eastAsia="IRNazanin" w:cs="IRNazanin"/>
          <w:lang w:bidi="fa-IR"/>
          <w:color w:val="111111"/>
          <w:sz w:val="28"/>
          <w:szCs w:val="28"/>
          <w:rtl/>
        </w:rPr>
        <w:t xml:space="preserve">سم [ف: 5 - 229]</w:t>
      </w:r>
    </w:p>
    <w:p>
      <w:pPr>
        <w:pStyle w:val="Heading3"/>
      </w:pPr>
      <w:bookmarkStart w:id="650" w:name="_Toc172"/>
      <w:r>
        <w:t>ارشاد المؤمنين / فقه / فارسی</w:t>
      </w:r>
      <w:bookmarkEnd w:id="650"/>
    </w:p>
    <w:p>
      <w:pPr>
        <w:pStyle w:val="BookText"/>
      </w:pPr>
      <w:r>
        <w:rPr>
          <w:rFonts w:ascii="Times New Roman" w:hAnsi="Times New Roman" w:eastAsia="Times New Roman" w:cs="Times New Roman"/>
          <w:lang w:val="en-US" w:bidi="en-US"/>
          <w:color w:val="111111"/>
          <w:sz w:val="28"/>
          <w:szCs w:val="28"/>
          <w:rtl/>
        </w:rPr>
        <w:t xml:space="preserve">eršād-ol mo’menīn</w:t>
      </w:r>
    </w:p>
    <w:p>
      <w:pPr>
        <w:pStyle w:val="BookText"/>
      </w:pPr>
      <w:r>
        <w:rPr>
          <w:rFonts w:ascii="IRNazanin" w:hAnsi="IRNazanin" w:eastAsia="IRNazanin" w:cs="IRNazanin"/>
          <w:lang w:bidi="fa-IR"/>
          <w:color w:val="111111"/>
          <w:sz w:val="28"/>
          <w:szCs w:val="28"/>
          <w:rtl/>
        </w:rPr>
        <w:t xml:space="preserve">کرمانی، محمد جمال</w:t>
      </w:r>
    </w:p>
    <w:p>
      <w:pPr>
        <w:pStyle w:val="BookText"/>
      </w:pPr>
      <w:r>
        <w:rPr>
          <w:rFonts w:ascii="Times New Roman" w:hAnsi="Times New Roman" w:eastAsia="Times New Roman" w:cs="Times New Roman"/>
          <w:lang w:val="en-US" w:bidi="en-US"/>
          <w:color w:val="111111"/>
          <w:sz w:val="28"/>
          <w:szCs w:val="28"/>
          <w:rtl/>
        </w:rPr>
        <w:t xml:space="preserve">kermānī, mohammad jamāl</w:t>
      </w:r>
    </w:p>
    <w:p>
      <w:pPr>
        <w:pStyle w:val="BookText"/>
      </w:pPr>
      <w:r>
        <w:rPr>
          <w:rFonts w:ascii="Amiri" w:hAnsi="Amiri" w:eastAsia="Amiri" w:cs="Amiri"/>
          <w:lang w:bidi="ar-SA"/>
          <w:color w:val="111111"/>
          <w:sz w:val="28"/>
          <w:szCs w:val="28"/>
          <w:rtl/>
        </w:rPr>
        <w:t xml:space="preserve">ترجمه «كنز الدقايق» در فقه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59" w:name="pg20365_260079"/>
    <w:bookmarkEnd w:id="59"/>
    <w:p>
      <w:pPr>
        <w:pStyle w:val="BookText"/>
      </w:pPr>
      <w:r>
        <w:rPr>
          <w:rFonts w:ascii="IRNazanin" w:hAnsi="IRNazanin" w:eastAsia="IRNazanin" w:cs="IRNazanin"/>
          <w:lang w:bidi="fa-IR"/>
          <w:color w:val="111111"/>
          <w:sz w:val="28"/>
          <w:szCs w:val="28"/>
          <w:rtl/>
        </w:rPr>
        <w:t xml:space="preserve">تهران؛ دانشگاه؛ شماره نسخه: 5121-ف</w:t>
      </w:r>
    </w:p>
    <w:p>
      <w:pPr>
        <w:pStyle w:val="BookText"/>
      </w:pPr>
      <w:r>
        <w:rPr>
          <w:rFonts w:ascii="IRNazanin" w:hAnsi="IRNazanin" w:eastAsia="IRNazanin" w:cs="IRNazanin"/>
          <w:lang w:bidi="fa-IR"/>
          <w:color w:val="111111"/>
          <w:sz w:val="28"/>
          <w:szCs w:val="28"/>
          <w:rtl/>
        </w:rPr>
        <w:t xml:space="preserve">نسخه اصل: مونیخ 395 ؛خط: نستعلیق، کا: حاجی سعید محمد بن عبدالعزیز خان، تا: 5 ربیع الاول 1266 ق ، جا: کوادر بندر [ فیلم ها- ف: 3 - 134]</w:t>
      </w:r>
    </w:p>
    <w:p>
      <w:pPr>
        <w:pStyle w:val="Heading3"/>
      </w:pPr>
      <w:bookmarkStart w:id="651" w:name="_Toc173"/>
      <w:r>
        <w:t>ارشاد المؤمنين / عرفان و تصوف / فارسی</w:t>
      </w:r>
      <w:bookmarkEnd w:id="651"/>
    </w:p>
    <w:p>
      <w:pPr>
        <w:pStyle w:val="BookText"/>
      </w:pPr>
      <w:r>
        <w:rPr>
          <w:rFonts w:ascii="Times New Roman" w:hAnsi="Times New Roman" w:eastAsia="Times New Roman" w:cs="Times New Roman"/>
          <w:lang w:val="en-US" w:bidi="en-US"/>
          <w:color w:val="111111"/>
          <w:sz w:val="28"/>
          <w:szCs w:val="28"/>
          <w:rtl/>
        </w:rPr>
        <w:t xml:space="preserve">eršād-ol mo’menīn</w:t>
      </w:r>
    </w:p>
    <w:p>
      <w:pPr>
        <w:pStyle w:val="BookText"/>
      </w:pPr>
      <w:r>
        <w:rPr>
          <w:rFonts w:ascii="IRNazanin" w:hAnsi="IRNazanin" w:eastAsia="IRNazanin" w:cs="IRNazanin"/>
          <w:lang w:bidi="fa-IR"/>
          <w:color w:val="111111"/>
          <w:sz w:val="28"/>
          <w:szCs w:val="28"/>
          <w:rtl/>
        </w:rPr>
        <w:t xml:space="preserve">از ناشناسی که از گروه شطاریان بوده واز نگاشته دیگر خود «ارشاد العاشقین» نام می برد و شاید از شاه محمد رضا شطار لاهورى (د 1118ق /1707م) باشد که دو کتاب او «ارشاد المؤمنين» (مشترک، 1218/3) و «ارشاد «العاشقين» (همانجا 3/ 1244) را می شناسیم افزون بر آن«ارشاد العاشقين» او بر پایه «مقاله» ها بخش بندی شده است، در چند «باب» 1. بیان چهار ،دل چهار ،نفس چهار قطره و تلقین 2. بیان اذکار و مراقبات اشغال؛ .. 4 .دست بیعت پیر و مرید؛. .. 6. احوال خرقه و خلافت</w:t>
      </w:r>
    </w:p>
    <w:p>
      <w:pPr>
        <w:pStyle w:val="BookText"/>
      </w:pPr>
      <w:r>
        <w:rPr>
          <w:rFonts w:ascii="IRNazanin" w:hAnsi="IRNazanin" w:eastAsia="IRNazanin" w:cs="IRNazanin"/>
          <w:lang w:bidi="fa-IR"/>
          <w:color w:val="111111"/>
          <w:sz w:val="28"/>
          <w:szCs w:val="28"/>
          <w:rtl/>
        </w:rPr>
        <w:t xml:space="preserve">تهران؛ دائرة المعارف؛ شماره نسخه: 480- عکسی</w:t>
      </w:r>
    </w:p>
    <w:p>
      <w:pPr>
        <w:pStyle w:val="BookText"/>
      </w:pPr>
      <w:r>
        <w:rPr>
          <w:rFonts w:ascii="IRNazanin" w:hAnsi="IRNazanin" w:eastAsia="IRNazanin" w:cs="IRNazanin"/>
          <w:lang w:bidi="fa-IR"/>
          <w:color w:val="111111"/>
          <w:sz w:val="28"/>
          <w:szCs w:val="28"/>
          <w:rtl/>
        </w:rPr>
        <w:t xml:space="preserve">آغاز: حمدله. عاقبت صلات. اما بعد، و آنچه صاحب خلافت که مدت بیست و پنج سال خواهد بود که این خاکسار درویشان بلکه [خاک] راه درویشان، بعد از کسب و ریاضت؛ انجام: بفضلك وکرمک یا ارحم الراحمین. دفع بلاها این دعا را بسیار خوانند.</w:t>
      </w:r>
    </w:p>
    <w:p>
      <w:pPr>
        <w:pStyle w:val="BookText"/>
      </w:pPr>
      <w:r>
        <w:rPr>
          <w:rFonts w:ascii="IRNazanin" w:hAnsi="IRNazanin" w:eastAsia="IRNazanin" w:cs="IRNazanin"/>
          <w:lang w:bidi="fa-IR"/>
          <w:color w:val="111111"/>
          <w:sz w:val="28"/>
          <w:szCs w:val="28"/>
          <w:rtl/>
        </w:rPr>
        <w:t xml:space="preserve">اصل نسخه: گنج بخش ش 5319؛ خط: نستعلیق تحریری، بی تا: قرن 12؛ 251 ص 13 سطر [عکسی ف 2 - 18]</w:t>
      </w:r>
    </w:p>
    <w:p>
      <w:pPr>
        <w:pStyle w:val="Heading3"/>
      </w:pPr>
      <w:bookmarkStart w:id="652" w:name="_Toc174"/>
      <w:r>
        <w:t>ارشاد المؤمنين فى مختصر هداية الطالبين / كلام اعتقادات / فارسی</w:t>
      </w:r>
      <w:bookmarkEnd w:id="652"/>
    </w:p>
    <w:p>
      <w:pPr>
        <w:pStyle w:val="BookText"/>
      </w:pPr>
      <w:r>
        <w:rPr>
          <w:rFonts w:ascii="Times New Roman" w:hAnsi="Times New Roman" w:eastAsia="Times New Roman" w:cs="Times New Roman"/>
          <w:lang w:val="en-US" w:bidi="en-US"/>
          <w:color w:val="111111"/>
          <w:sz w:val="28"/>
          <w:szCs w:val="28"/>
          <w:rtl/>
        </w:rPr>
        <w:t xml:space="preserve">eršād-ol mo’menīn fī moxtasar-e hedāyat-ot tālebīn</w:t>
      </w:r>
    </w:p>
    <w:p>
      <w:pPr>
        <w:pStyle w:val="BookText"/>
      </w:pPr>
      <w:r>
        <w:rPr>
          <w:rFonts w:ascii="IRNazanin" w:hAnsi="IRNazanin" w:eastAsia="IRNazanin" w:cs="IRNazanin"/>
          <w:lang w:bidi="fa-IR"/>
          <w:color w:val="111111"/>
          <w:sz w:val="28"/>
          <w:szCs w:val="28"/>
          <w:rtl/>
        </w:rPr>
        <w:t xml:space="preserve">کاشانی، محمد تقی بن حسین، 1236 - 1321 قمری</w:t>
      </w:r>
    </w:p>
    <w:p>
      <w:pPr>
        <w:pStyle w:val="BookText"/>
      </w:pPr>
      <w:r>
        <w:rPr>
          <w:rFonts w:ascii="Times New Roman" w:hAnsi="Times New Roman" w:eastAsia="Times New Roman" w:cs="Times New Roman"/>
          <w:lang w:val="en-US" w:bidi="en-US"/>
          <w:color w:val="111111"/>
          <w:sz w:val="28"/>
          <w:szCs w:val="28"/>
          <w:rtl/>
        </w:rPr>
        <w:t xml:space="preserve">(kāšānī, mohammad taqī ebn-e hoseyn (1821 - 1903)</w:t>
      </w:r>
    </w:p>
    <w:p>
      <w:pPr>
        <w:pStyle w:val="BookText"/>
      </w:pPr>
      <w:r>
        <w:rPr>
          <w:rFonts w:ascii="IRNazanin" w:hAnsi="IRNazanin" w:eastAsia="IRNazanin" w:cs="IRNazanin"/>
          <w:lang w:bidi="fa-IR"/>
          <w:color w:val="111111"/>
          <w:sz w:val="28"/>
          <w:szCs w:val="28"/>
          <w:rtl/>
        </w:rPr>
        <w:t xml:space="preserve">گزیده ای است از کتاب «هداية الطالبين» (فى اصول الدين) خود مؤلف، وی از عالمان بزرگ و صاحب تألیفات بسیاری است، از شاگردان صاحبجواهر و داماد ملا محمد جعفر شريعتمدار استر آبادی بوده و در تهران اقامت گزیده است.</w:t>
      </w:r>
    </w:p>
    <w:p>
      <w:pPr>
        <w:pStyle w:val="BookText"/>
      </w:pPr>
      <w:r>
        <w:rPr>
          <w:rFonts w:ascii="IRNazanin" w:hAnsi="IRNazanin" w:eastAsia="IRNazanin" w:cs="IRNazanin"/>
          <w:lang w:bidi="fa-IR"/>
          <w:color w:val="111111"/>
          <w:sz w:val="28"/>
          <w:szCs w:val="28"/>
          <w:rtl/>
        </w:rPr>
        <w:t xml:space="preserve">قم؛ مرعشی؛ شماره نسخه : 15004/1</w:t>
      </w:r>
    </w:p>
    <w:p>
      <w:pPr>
        <w:pStyle w:val="BookText"/>
      </w:pPr>
      <w:r>
        <w:rPr>
          <w:rFonts w:ascii="IRNazanin" w:hAnsi="IRNazanin" w:eastAsia="IRNazanin" w:cs="IRNazanin"/>
          <w:lang w:bidi="fa-IR"/>
          <w:color w:val="111111"/>
          <w:sz w:val="28"/>
          <w:szCs w:val="28"/>
          <w:rtl/>
        </w:rPr>
        <w:t xml:space="preserve">آغاز: الحمد لله رب العالمين .. اما بعد این کتاب مختصری است  از كتاب هداية الطالبين. .. الحمد لله الذى تسربل بالاهوتية الازلیة و تفرد بالوحدانية الابدية السرمدية ... بر هر فردی از افراد مکلفین؛ انجام: و این رساله را ختم نمودیم بذکر ،بهشت امید که خدا خاتمه حقیر و شیعیان را دخول در بهشت بگرداند بحق محمدو آله الطاهرين.</w:t>
      </w:r>
    </w:p>
    <w:p>
      <w:pPr>
        <w:pStyle w:val="BookText"/>
      </w:pPr>
      <w:r>
        <w:rPr>
          <w:rFonts w:ascii="IRNazanin" w:hAnsi="IRNazanin" w:eastAsia="IRNazanin" w:cs="IRNazanin"/>
          <w:lang w:bidi="fa-IR"/>
          <w:color w:val="111111"/>
          <w:sz w:val="28"/>
          <w:szCs w:val="28"/>
          <w:rtl/>
        </w:rPr>
        <w:t xml:space="preserve">خط: نستعليق، كا: شیخ محمد علی تلواسکانی (ترواسکانی)</w:t>
      </w:r>
    </w:p>
    <w:p>
      <w:pPr>
        <w:pStyle w:val="BookText"/>
      </w:pPr>
      <w:r>
        <w:rPr>
          <w:rFonts w:ascii="IRNazanin" w:hAnsi="IRNazanin" w:eastAsia="IRNazanin" w:cs="IRNazanin"/>
          <w:lang w:bidi="fa-IR"/>
          <w:color w:val="111111"/>
          <w:sz w:val="28"/>
          <w:szCs w:val="28"/>
          <w:rtl/>
        </w:rPr>
        <w:t xml:space="preserve">صمدانی، تا: 1333ق؛ ترقیمه «تمام شد مختصر از کتاب هداية الطالبین در شب 3 شنبه 24 شهر ذيقعده سنه 1333، دانسته شود که این مجموعه مختصری است از کتاب هداية الطالبين مرحوم مغفور علام فهام عالم متبحر ملا محمد تقی فاضل کاشانی و بعضی دیگر از کتب معتبره کلامیه و اخبار و احادیث از کتب معتبره دینیه ایمانیه من العبد المذنب العاصى الشيخ محمد على التلواسکانی الصمدانی»، در برگ آغازین نیز آمده:«بسم الله الرحمن الرحيم الحمد لله رب العالمين .. اما بعد، این کتاب مختصری است از کتاب هداية الطالبين من تأليفات حجة الاسلام آقای ملا محمد تقی کاشانی (رحمه الله) و بعضی دیگر از کتب معتبر کلامیه و کتب اخبار و احاديث العبد المذنب العاصى الشيخ محمد على التلواسكانی عفی عنه» محشی با نشان «منه»، 2 برگ مطالب گوناگون در آغاز و پرسش و پاسخی منظوم در ارث در پایان نسخه آمده است؛ کاغذ ،فرنگی 176گ (4-179)، 14-16 سطر ، اندازه: 12</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سم [ف: 38 - 15]</w:t>
      </w:r>
    </w:p>
    <w:p>
      <w:pPr>
        <w:pStyle w:val="Heading3"/>
      </w:pPr>
      <w:bookmarkStart w:id="653" w:name="_Toc175"/>
      <w:r>
        <w:t>الارشاد (منتخب) / تاریخ معصومین / عربی</w:t>
      </w:r>
      <w:bookmarkEnd w:id="653"/>
    </w:p>
    <w:p>
      <w:pPr>
        <w:pStyle w:val="BookText"/>
      </w:pPr>
      <w:r>
        <w:rPr>
          <w:rFonts w:ascii="Times New Roman" w:hAnsi="Times New Roman" w:eastAsia="Times New Roman" w:cs="Times New Roman"/>
          <w:lang w:val="en-US" w:bidi="en-US"/>
          <w:color w:val="111111"/>
          <w:sz w:val="28"/>
          <w:szCs w:val="28"/>
          <w:rtl/>
        </w:rPr>
        <w:t xml:space="preserve">al-iršād (mn.)</w:t>
      </w:r>
    </w:p>
    <w:p>
      <w:pPr>
        <w:pStyle w:val="BookText"/>
      </w:pPr>
      <w:r>
        <w:rPr>
          <w:rFonts w:ascii="Amiri" w:hAnsi="Amiri" w:eastAsia="Amiri" w:cs="Amiri"/>
          <w:lang w:bidi="ar-SA"/>
          <w:color w:val="111111"/>
          <w:sz w:val="28"/>
          <w:szCs w:val="28"/>
          <w:rtl/>
        </w:rPr>
        <w:t xml:space="preserve">وابسته به: الارشاد في معرفة حجج الله على العباد مفيد، محمد بن محمد (336-413)</w:t>
      </w:r>
    </w:p>
    <w:p>
      <w:pPr>
        <w:pStyle w:val="BookText"/>
      </w:pPr>
      <w:r>
        <w:rPr>
          <w:rFonts w:ascii="IRNazanin" w:hAnsi="IRNazanin" w:eastAsia="IRNazanin" w:cs="IRNazanin"/>
          <w:lang w:bidi="fa-IR"/>
          <w:color w:val="111111"/>
          <w:sz w:val="28"/>
          <w:szCs w:val="28"/>
          <w:rtl/>
        </w:rPr>
        <w:t xml:space="preserve">تهران؛ مجلس؛ شماره نسخه: 18320</w:t>
      </w:r>
    </w:p>
    <w:p>
      <w:pPr>
        <w:pStyle w:val="BookText"/>
      </w:pPr>
      <w:r>
        <w:rPr>
          <w:rFonts w:ascii="IRNazanin" w:hAnsi="IRNazanin" w:eastAsia="IRNazanin" w:cs="IRNazanin"/>
          <w:lang w:bidi="fa-IR"/>
          <w:color w:val="111111"/>
          <w:sz w:val="28"/>
          <w:szCs w:val="28"/>
          <w:rtl/>
        </w:rPr>
        <w:t xml:space="preserve">بی کا، بی تا [د.ث]</w:t>
      </w:r>
    </w:p>
    <w:p>
      <w:pPr>
        <w:pStyle w:val="BookText"/>
      </w:pPr>
      <w:r>
        <w:rPr>
          <w:rFonts w:ascii="IRNazanin" w:hAnsi="IRNazanin" w:eastAsia="IRNazanin" w:cs="IRNazanin"/>
          <w:lang w:bidi="fa-IR"/>
          <w:color w:val="111111"/>
          <w:sz w:val="28"/>
          <w:szCs w:val="28"/>
          <w:rtl/>
        </w:rPr>
        <w:t xml:space="preserve">«ارشاد نامه» رخصت ارشاد</w:t>
      </w:r>
    </w:p>
    <w:p>
      <w:pPr>
        <w:pStyle w:val="BookText"/>
      </w:pPr>
      <w:r>
        <w:rPr>
          <w:rFonts w:ascii="IRNazanin" w:hAnsi="IRNazanin" w:eastAsia="IRNazanin" w:cs="IRNazanin"/>
          <w:lang w:bidi="fa-IR"/>
          <w:color w:val="111111"/>
          <w:sz w:val="28"/>
          <w:szCs w:val="28"/>
          <w:rtl/>
        </w:rPr>
        <w:t xml:space="preserve">«ارشاد نامه » رخصت</w:t>
      </w:r>
    </w:p>
    <w:p>
      <w:pPr>
        <w:pStyle w:val="BookText"/>
      </w:pPr>
      <w:r>
        <w:rPr>
          <w:rFonts w:ascii="IRNazanin" w:hAnsi="IRNazanin" w:eastAsia="IRNazanin" w:cs="IRNazanin"/>
          <w:lang w:bidi="fa-IR"/>
          <w:color w:val="111111"/>
          <w:sz w:val="28"/>
          <w:szCs w:val="28"/>
          <w:rtl/>
        </w:rPr>
        <w:t xml:space="preserve">«ارشاد نامه» اجازه به شاه قاسم</w:t>
      </w:r>
    </w:p>
    <w:p>
      <w:pPr>
        <w:pStyle w:val="BookText"/>
      </w:pPr>
      <w:r>
        <w:rPr>
          <w:rFonts w:ascii="IRNazanin" w:hAnsi="IRNazanin" w:eastAsia="IRNazanin" w:cs="IRNazanin"/>
          <w:lang w:bidi="fa-IR"/>
          <w:color w:val="111111"/>
          <w:sz w:val="28"/>
          <w:szCs w:val="28"/>
          <w:rtl/>
        </w:rPr>
        <w:t xml:space="preserve">«ارشاد نامه » اجازه</w:t>
      </w:r>
    </w:p>
    <w:p>
      <w:pPr>
        <w:pStyle w:val="BookText"/>
      </w:pPr>
      <w:r>
        <w:rPr>
          <w:rFonts w:ascii="IRNazanin" w:hAnsi="IRNazanin" w:eastAsia="IRNazanin" w:cs="IRNazanin"/>
          <w:lang w:bidi="fa-IR"/>
          <w:color w:val="111111"/>
          <w:sz w:val="28"/>
          <w:szCs w:val="28"/>
          <w:rtl/>
        </w:rPr>
        <w:t xml:space="preserve">«ارشاد نامه » اجازه به شیخ محمد رشید الدین بیدوازی</w:t>
      </w:r>
    </w:p>
    <w:p>
      <w:pPr>
        <w:pStyle w:val="Heading3"/>
      </w:pPr>
      <w:bookmarkStart w:id="654" w:name="_Toc176"/>
      <w:r>
        <w:t>ارشاد نامه = قصیده رائيه / شعر / فارسی</w:t>
      </w:r>
      <w:bookmarkEnd w:id="654"/>
    </w:p>
    <w:p>
      <w:pPr>
        <w:pStyle w:val="BookText"/>
      </w:pPr>
      <w:r>
        <w:rPr>
          <w:rFonts w:ascii="Times New Roman" w:hAnsi="Times New Roman" w:eastAsia="Times New Roman" w:cs="Times New Roman"/>
          <w:lang w:val="en-US" w:bidi="en-US"/>
          <w:color w:val="111111"/>
          <w:sz w:val="28"/>
          <w:szCs w:val="28"/>
          <w:rtl/>
        </w:rPr>
        <w:t xml:space="preserve">eršad-name = qaside-ye ra'iye</w:t>
      </w:r>
    </w:p>
    <w:p>
      <w:pPr>
        <w:pStyle w:val="BookText"/>
      </w:pPr>
      <w:r>
        <w:rPr>
          <w:rFonts w:ascii="IRNazanin" w:hAnsi="IRNazanin" w:eastAsia="IRNazanin" w:cs="IRNazanin"/>
          <w:lang w:bidi="fa-IR"/>
          <w:color w:val="111111"/>
          <w:sz w:val="28"/>
          <w:szCs w:val="28"/>
          <w:rtl/>
        </w:rPr>
        <w:t xml:space="preserve">عطار، محمد بن ،ابراهيم، 2537 - 627 ؟ قمری</w:t>
      </w:r>
    </w:p>
    <w:p>
      <w:pPr>
        <w:pStyle w:val="BookText"/>
      </w:pPr>
      <w:r>
        <w:rPr>
          <w:rFonts w:ascii="Times New Roman" w:hAnsi="Times New Roman" w:eastAsia="Times New Roman" w:cs="Times New Roman"/>
          <w:lang w:val="en-US" w:bidi="en-US"/>
          <w:color w:val="111111"/>
          <w:sz w:val="28"/>
          <w:szCs w:val="28"/>
          <w:rtl/>
        </w:rPr>
        <w:t xml:space="preserve">(attar mohammad ebn-e ebrahim (1143 - 1230)</w:t>
      </w:r>
    </w:p>
    <w:p>
      <w:pPr>
        <w:pStyle w:val="BookText"/>
      </w:pPr>
      <w:r>
        <w:rPr>
          <w:rFonts w:ascii="IRNazanin" w:hAnsi="IRNazanin" w:eastAsia="IRNazanin" w:cs="IRNazanin"/>
          <w:lang w:bidi="fa-IR"/>
          <w:color w:val="111111"/>
          <w:sz w:val="28"/>
          <w:szCs w:val="28"/>
          <w:rtl/>
        </w:rPr>
        <w:t xml:space="preserve">قصیده ای است عرفانی حدود 180 بیت که به پیروی قصیده معروف حكيم سنائی غزنوی سروده و در دیوانش چاپ شده است.</w:t>
      </w:r>
    </w:p>
    <w:p>
      <w:pPr>
        <w:pStyle w:val="BookText"/>
      </w:pPr>
      <w:r>
        <w:rPr>
          <w:rFonts w:ascii="IRNazanin" w:hAnsi="IRNazanin" w:eastAsia="IRNazanin" w:cs="IRNazanin"/>
          <w:lang w:bidi="fa-IR"/>
          <w:color w:val="111111"/>
          <w:sz w:val="28"/>
          <w:szCs w:val="28"/>
          <w:rtl/>
        </w:rPr>
        <w:t xml:space="preserve">آغاز: چشم بگشا که جلوه دلدار *** متجلی است از در و دیوار / نحن اقرب الیه آمده است*** دور افتاده ای تو از پندار</w:t>
      </w:r>
    </w:p>
    <w:p>
      <w:pPr>
        <w:pStyle w:val="BookText"/>
      </w:pPr>
      <w:r>
        <w:rPr>
          <w:rFonts w:ascii="IRNazanin" w:hAnsi="IRNazanin" w:eastAsia="IRNazanin" w:cs="IRNazanin"/>
          <w:lang w:bidi="fa-IR"/>
          <w:color w:val="111111"/>
          <w:sz w:val="28"/>
          <w:szCs w:val="28"/>
          <w:rtl/>
        </w:rPr>
        <w:t xml:space="preserve">انجام: این دو بیت از سنایی آوردم*** تا نهم مهر بر لب گفتار / آفرینش نثار مقدم تست *** بر مچین چون خسان زراه نثار / وارهان خویش را که وارسته*** خسر وحشی ز نشتر بیطار</w:t>
      </w:r>
    </w:p>
    <w:p>
      <w:pPr>
        <w:pStyle w:val="BookText"/>
      </w:pPr>
      <w:r>
        <w:rPr>
          <w:rFonts w:ascii="IRNazanin" w:hAnsi="IRNazanin" w:eastAsia="IRNazanin" w:cs="IRNazanin"/>
          <w:lang w:bidi="fa-IR"/>
          <w:color w:val="111111"/>
          <w:sz w:val="28"/>
          <w:szCs w:val="28"/>
          <w:rtl/>
        </w:rPr>
        <w:t xml:space="preserve">[نسخه های منزوی 3040/4؛ فهرست مشترک پاکستان 186/7]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60" w:name="pg20365_260080"/>
    <w:bookmarkEnd w:id="60"/>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ملک؛ شماره نسخه: 4937/5</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در فهرست نام مؤلف نیامده است؛ خط: نستعلیق خوش، بی کا،تا: قرن 12؛ در متن چلیپا ؛کاغذ: نوعی ترمه، جلد: روغنی گل بوته زمینه سیاه، درون گل نرگس زمینه سرخ، 10گ (98پ- 108ر)، 10سطر ، اندازه: 13/8</w:t>
      </w:r>
      <w:r>
        <w:rPr>
          <w:rFonts w:ascii="Times New Roman" w:hAnsi="Times New Roman" w:eastAsia="Times New Roman" w:cs="Times New Roman"/>
          <w:lang w:val="en-US" w:bidi="en-US"/>
          <w:color w:val="111111"/>
          <w:sz w:val="28"/>
          <w:szCs w:val="28"/>
          <w:rtl/>
        </w:rPr>
        <w:t xml:space="preserve">×24</w:t>
      </w:r>
      <w:r>
        <w:rPr>
          <w:rFonts w:ascii="IRNazanin" w:hAnsi="IRNazanin" w:eastAsia="IRNazanin" w:cs="IRNazanin"/>
          <w:lang w:bidi="fa-IR"/>
          <w:color w:val="111111"/>
          <w:sz w:val="28"/>
          <w:szCs w:val="28"/>
          <w:rtl/>
        </w:rPr>
        <w:t xml:space="preserve">سم [ف: 8 - 139]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دانشگاه؛ شماره نسخه: 8036/2</w:t>
      </w:r>
    </w:p>
    <w:p>
      <w:pPr>
        <w:pStyle w:val="BookText"/>
      </w:pPr>
      <w:r>
        <w:rPr>
          <w:rFonts w:ascii="IRNazanin" w:hAnsi="IRNazanin" w:eastAsia="IRNazanin" w:cs="IRNazanin"/>
          <w:lang w:bidi="fa-IR"/>
          <w:color w:val="111111"/>
          <w:sz w:val="28"/>
          <w:szCs w:val="28"/>
          <w:rtl/>
        </w:rPr>
        <w:t xml:space="preserve">آغاز: برابر؛ انجام: لیک باید که کارفرمایی *** ورنه خون خوردن دلم بچکار</w:t>
      </w:r>
    </w:p>
    <w:p>
      <w:pPr>
        <w:pStyle w:val="BookText"/>
      </w:pPr>
      <w:r>
        <w:rPr>
          <w:rFonts w:ascii="IRNazanin" w:hAnsi="IRNazanin" w:eastAsia="IRNazanin" w:cs="IRNazanin"/>
          <w:lang w:bidi="fa-IR"/>
          <w:color w:val="111111"/>
          <w:sz w:val="28"/>
          <w:szCs w:val="28"/>
          <w:rtl/>
        </w:rPr>
        <w:t xml:space="preserve">این قصیده در فهرست به نام قصیده اسرار و از عین القضاة همدانی داشته شده است؛ خط: نستعلیق، بی کا، تا: قرن 13؛ مجدول؛ کاغذ ،فرنگی ،جلد: مقوا 8 ص (18 پ- 26 پ)، 11 سطر (10</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قطع: وزیری، اندازه: 15/5</w:t>
      </w:r>
      <w:r>
        <w:rPr>
          <w:rFonts w:ascii="Times New Roman" w:hAnsi="Times New Roman" w:eastAsia="Times New Roman" w:cs="Times New Roman"/>
          <w:lang w:val="en-US" w:bidi="en-US"/>
          <w:color w:val="111111"/>
          <w:sz w:val="28"/>
          <w:szCs w:val="28"/>
          <w:rtl/>
        </w:rPr>
        <w:t xml:space="preserve">×24</w:t>
      </w:r>
      <w:r>
        <w:rPr>
          <w:rFonts w:ascii="IRNazanin" w:hAnsi="IRNazanin" w:eastAsia="IRNazanin" w:cs="IRNazanin"/>
          <w:lang w:bidi="fa-IR"/>
          <w:color w:val="111111"/>
          <w:sz w:val="28"/>
          <w:szCs w:val="28"/>
          <w:rtl/>
        </w:rPr>
        <w:t xml:space="preserve">سم [ف: 17-12]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مجلس؛ شماره نسخه: 1109/6</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بی کا، تا: قرن 13 ؛کاغذ: فرنگی ،سفید جلد: گالینگور مشکی عطف تیماج قهوه ای، 14ص (78-91)، 13 سطر ، قطع: رقعی، اندازه: 11 </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سم [ف: 3 - 558].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تهران؛ دانشگاه؛ شماره نسخه: 10756</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در نسخه با نام قصیده شیخ فریدالدین عطار خوانده شده است؛ خط: نستعلیق، بی کا، تا: قرن 13؛ با سرلوح مذهب مزدو مجدول؛ جلد: پارچه مخملی بنفش مجدول گرهی، 10گ، 10سطر (7</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اندازه: 10/5</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 [ف 20 - 285]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تهران؛ ملک؛ شماره نسخه: 4696/4</w:t>
      </w:r>
    </w:p>
    <w:p>
      <w:pPr>
        <w:pStyle w:val="BookText"/>
      </w:pPr>
      <w:r>
        <w:rPr>
          <w:rFonts w:ascii="IRNazanin" w:hAnsi="IRNazanin" w:eastAsia="IRNazanin" w:cs="IRNazanin"/>
          <w:lang w:bidi="fa-IR"/>
          <w:color w:val="111111"/>
          <w:sz w:val="28"/>
          <w:szCs w:val="28"/>
          <w:rtl/>
        </w:rPr>
        <w:t xml:space="preserve">آغاز: برابر؛ انجام: همه عشق است اندرین صفحه *** همه شوقست اندرین طومار</w:t>
      </w:r>
    </w:p>
    <w:p>
      <w:pPr>
        <w:pStyle w:val="BookText"/>
      </w:pPr>
      <w:r>
        <w:rPr>
          <w:rFonts w:ascii="IRNazanin" w:hAnsi="IRNazanin" w:eastAsia="IRNazanin" w:cs="IRNazanin"/>
          <w:lang w:bidi="fa-IR"/>
          <w:color w:val="111111"/>
          <w:sz w:val="28"/>
          <w:szCs w:val="28"/>
          <w:rtl/>
        </w:rPr>
        <w:t xml:space="preserve">خط: نسخ خوش، بی کا، تا: ذیحجه 1220ق؛ با سرلوح زرین؛ کاغذ: نوعی ترمه، جلد: میشن سرخ مغزی قهوه ای، 1گ (75پ-76پ) اندازه: 15/6</w:t>
      </w:r>
      <w:r>
        <w:rPr>
          <w:rFonts w:ascii="Times New Roman" w:hAnsi="Times New Roman" w:eastAsia="Times New Roman" w:cs="Times New Roman"/>
          <w:lang w:val="en-US" w:bidi="en-US"/>
          <w:color w:val="111111"/>
          <w:sz w:val="28"/>
          <w:szCs w:val="28"/>
          <w:rtl/>
        </w:rPr>
        <w:t xml:space="preserve">×15/8</w:t>
      </w:r>
      <w:r>
        <w:rPr>
          <w:rFonts w:ascii="IRNazanin" w:hAnsi="IRNazanin" w:eastAsia="IRNazanin" w:cs="IRNazanin"/>
          <w:lang w:bidi="fa-IR"/>
          <w:color w:val="111111"/>
          <w:sz w:val="28"/>
          <w:szCs w:val="28"/>
          <w:rtl/>
        </w:rPr>
        <w:t xml:space="preserve">سم [ف: 8 - 52]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مشهد؛ رضوی؛ شماره نسخه: 10461/3</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بی کا، تا: ربیع الثانی 1242ق؛ کاغذ: حنایی، جلد: تيماج خرمایی، اندازه: 14</w:t>
      </w:r>
      <w:r>
        <w:rPr>
          <w:rFonts w:ascii="Times New Roman" w:hAnsi="Times New Roman" w:eastAsia="Times New Roman" w:cs="Times New Roman"/>
          <w:lang w:val="en-US" w:bidi="en-US"/>
          <w:color w:val="111111"/>
          <w:sz w:val="28"/>
          <w:szCs w:val="28"/>
          <w:rtl/>
        </w:rPr>
        <w:t xml:space="preserve">× 22</w:t>
      </w:r>
      <w:r>
        <w:rPr>
          <w:rFonts w:ascii="IRNazanin" w:hAnsi="IRNazanin" w:eastAsia="IRNazanin" w:cs="IRNazanin"/>
          <w:lang w:bidi="fa-IR"/>
          <w:color w:val="111111"/>
          <w:sz w:val="28"/>
          <w:szCs w:val="28"/>
          <w:rtl/>
        </w:rPr>
        <w:t xml:space="preserve">سم [ف: 11 - 331]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تهران؛ مجلس؛ شماره نسخه: 17029/4</w:t>
      </w:r>
    </w:p>
    <w:p>
      <w:pPr>
        <w:pStyle w:val="BookText"/>
      </w:pPr>
      <w:r>
        <w:rPr>
          <w:rFonts w:ascii="IRNazanin" w:hAnsi="IRNazanin" w:eastAsia="IRNazanin" w:cs="IRNazanin"/>
          <w:lang w:bidi="fa-IR"/>
          <w:color w:val="111111"/>
          <w:sz w:val="28"/>
          <w:szCs w:val="28"/>
          <w:rtl/>
        </w:rPr>
        <w:t xml:space="preserve">آغاز: برابر؛ انجام: گفت قضاه این همه توحید *** سر بسر جمله مخزن اسرار</w:t>
      </w:r>
    </w:p>
    <w:p>
      <w:pPr>
        <w:pStyle w:val="BookText"/>
      </w:pPr>
      <w:r>
        <w:rPr>
          <w:rFonts w:ascii="IRNazanin" w:hAnsi="IRNazanin" w:eastAsia="IRNazanin" w:cs="IRNazanin"/>
          <w:lang w:bidi="fa-IR"/>
          <w:color w:val="111111"/>
          <w:sz w:val="28"/>
          <w:szCs w:val="28"/>
          <w:rtl/>
        </w:rPr>
        <w:t xml:space="preserve">در سیصد بیت؛ خط: نسخ و نستعلیق و تحریری، بی کا،تا: 1273ق؛ جلد: مقوایی با عطف ،چرمین 18 ص (509- 526) ،اندازه: 12</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سم [ف: 47 -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مشهد؛ رضوی؛ شماره نسخه: 8396</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حسین موسوی، بی تا؛ برای سلامتی وزیر نظام نوشته است؛ مجدول، با سر لوح زرین، مذهب؛ واقف: سردار کل یار محمد افشار ؛کاغذ: شکری فرنگی آهار مهره، جلد: مخمل ،بنفش، 10گ 10 سطر (7/5</w:t>
      </w:r>
      <w:r>
        <w:rPr>
          <w:rFonts w:ascii="Times New Roman" w:hAnsi="Times New Roman" w:eastAsia="Times New Roman" w:cs="Times New Roman"/>
          <w:lang w:val="en-US" w:bidi="en-US"/>
          <w:color w:val="111111"/>
          <w:sz w:val="28"/>
          <w:szCs w:val="28"/>
          <w:rtl/>
        </w:rPr>
        <w:t xml:space="preserve">×12/5)</w:t>
      </w:r>
      <w:r>
        <w:rPr>
          <w:rFonts w:ascii="IRNazanin" w:hAnsi="IRNazanin" w:eastAsia="IRNazanin" w:cs="IRNazanin"/>
          <w:lang w:bidi="fa-IR"/>
          <w:color w:val="111111"/>
          <w:sz w:val="28"/>
          <w:szCs w:val="28"/>
          <w:rtl/>
        </w:rPr>
        <w:t xml:space="preserve">، اندازه: 10/5</w:t>
      </w:r>
      <w:r>
        <w:rPr>
          <w:rFonts w:ascii="Times New Roman" w:hAnsi="Times New Roman" w:eastAsia="Times New Roman" w:cs="Times New Roman"/>
          <w:lang w:val="en-US" w:bidi="en-US"/>
          <w:color w:val="111111"/>
          <w:sz w:val="28"/>
          <w:szCs w:val="28"/>
          <w:rtl/>
        </w:rPr>
        <w:t xml:space="preserve">×17/2</w:t>
      </w:r>
      <w:r>
        <w:rPr>
          <w:rFonts w:ascii="IRNazanin" w:hAnsi="IRNazanin" w:eastAsia="IRNazanin" w:cs="IRNazanin"/>
          <w:lang w:bidi="fa-IR"/>
          <w:color w:val="111111"/>
          <w:sz w:val="28"/>
          <w:szCs w:val="28"/>
          <w:rtl/>
        </w:rPr>
        <w:t xml:space="preserve">سم [ف: 7- 662 ]</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قم؛ گلپایگانی؛ شماره نسخه: 2/ 517-3/137</w:t>
      </w:r>
    </w:p>
    <w:p>
      <w:pPr>
        <w:pStyle w:val="BookText"/>
      </w:pPr>
      <w:r>
        <w:rPr>
          <w:rFonts w:ascii="IRNazanin" w:hAnsi="IRNazanin" w:eastAsia="IRNazanin" w:cs="IRNazanin"/>
          <w:lang w:bidi="fa-IR"/>
          <w:color w:val="111111"/>
          <w:sz w:val="28"/>
          <w:szCs w:val="28"/>
          <w:rtl/>
        </w:rPr>
        <w:t xml:space="preserve">آغاز: برابر؛ انجام: همه شوق است اندرین صفحه *** همه عشق است اندرین طومار</w:t>
      </w:r>
    </w:p>
    <w:p>
      <w:pPr>
        <w:pStyle w:val="BookText"/>
      </w:pPr>
      <w:r>
        <w:rPr>
          <w:rFonts w:ascii="IRNazanin" w:hAnsi="IRNazanin" w:eastAsia="IRNazanin" w:cs="IRNazanin"/>
          <w:lang w:bidi="fa-IR"/>
          <w:color w:val="111111"/>
          <w:sz w:val="28"/>
          <w:szCs w:val="28"/>
          <w:rtl/>
        </w:rPr>
        <w:t xml:space="preserve">خط: نستعلیق، کا: لطف الله، بی تا؛ مجدول؛ 6گ، 14 سطر [ف: 1- 317]</w:t>
      </w:r>
    </w:p>
    <w:p>
      <w:pPr>
        <w:pStyle w:val="Heading3"/>
      </w:pPr>
      <w:bookmarkStart w:id="655" w:name="_Toc177"/>
      <w:r>
        <w:t>ارشاد نامه = اجازه تلقین ذکر و روایت / عرفان و تصوف / فارسی</w:t>
      </w:r>
      <w:bookmarkEnd w:id="655"/>
    </w:p>
    <w:p>
      <w:pPr>
        <w:pStyle w:val="BookText"/>
      </w:pPr>
      <w:r>
        <w:rPr>
          <w:rFonts w:ascii="Times New Roman" w:hAnsi="Times New Roman" w:eastAsia="Times New Roman" w:cs="Times New Roman"/>
          <w:lang w:val="en-US" w:bidi="en-US"/>
          <w:color w:val="111111"/>
          <w:sz w:val="28"/>
          <w:szCs w:val="28"/>
          <w:rtl/>
        </w:rPr>
        <w:t xml:space="preserve">eršād nāme = ejāze-ye talqin-e zekr va revayat</w:t>
      </w:r>
    </w:p>
    <w:p>
      <w:pPr>
        <w:pStyle w:val="BookText"/>
      </w:pPr>
      <w:r>
        <w:rPr>
          <w:rFonts w:ascii="IRNazanin" w:hAnsi="IRNazanin" w:eastAsia="IRNazanin" w:cs="IRNazanin"/>
          <w:lang w:bidi="fa-IR"/>
          <w:color w:val="111111"/>
          <w:sz w:val="28"/>
          <w:szCs w:val="28"/>
          <w:rtl/>
        </w:rPr>
        <w:t xml:space="preserve">علاء الدوله سمنانی احمد بن محمد، 659 - 736 ؟ قمری</w:t>
      </w:r>
    </w:p>
    <w:p>
      <w:pPr>
        <w:pStyle w:val="BookText"/>
      </w:pPr>
      <w:r>
        <w:rPr>
          <w:rFonts w:ascii="Times New Roman" w:hAnsi="Times New Roman" w:eastAsia="Times New Roman" w:cs="Times New Roman"/>
          <w:lang w:val="en-US" w:bidi="en-US"/>
          <w:color w:val="111111"/>
          <w:sz w:val="28"/>
          <w:szCs w:val="28"/>
          <w:rtl/>
        </w:rPr>
        <w:t xml:space="preserve">'ala -od dowle-ye semnānī, ahmad ebn-e mohammad</w:t>
      </w:r>
    </w:p>
    <w:p>
      <w:pPr>
        <w:pStyle w:val="BookText"/>
      </w:pPr>
      <w:r>
        <w:rPr>
          <w:rFonts w:ascii="Times New Roman" w:hAnsi="Times New Roman" w:eastAsia="Times New Roman" w:cs="Times New Roman"/>
          <w:lang w:val="en-US" w:bidi="en-US"/>
          <w:color w:val="111111"/>
          <w:sz w:val="28"/>
          <w:szCs w:val="28"/>
          <w:rtl/>
        </w:rPr>
        <w:t xml:space="preserve">(1262 - 1336)</w:t>
      </w:r>
    </w:p>
    <w:p>
      <w:pPr>
        <w:pStyle w:val="BookText"/>
      </w:pPr>
      <w:r>
        <w:rPr>
          <w:rFonts w:ascii="IRNazanin" w:hAnsi="IRNazanin" w:eastAsia="IRNazanin" w:cs="IRNazanin"/>
          <w:lang w:bidi="fa-IR"/>
          <w:color w:val="111111"/>
          <w:sz w:val="28"/>
          <w:szCs w:val="28"/>
          <w:rtl/>
        </w:rPr>
        <w:t xml:space="preserve">از علاء الدوله سمنانی به عبدالله بن احمد بن محمد</w:t>
      </w:r>
    </w:p>
    <w:p>
      <w:pPr>
        <w:pStyle w:val="BookText"/>
      </w:pPr>
      <w:r>
        <w:rPr>
          <w:rFonts w:ascii="IRNazanin" w:hAnsi="IRNazanin" w:eastAsia="IRNazanin" w:cs="IRNazanin"/>
          <w:lang w:bidi="fa-IR"/>
          <w:color w:val="111111"/>
          <w:sz w:val="28"/>
          <w:szCs w:val="28"/>
          <w:rtl/>
        </w:rPr>
        <w:t xml:space="preserve">[نسخه های منزوی 1024 ؛فهرستواره منزوی 2003/3]</w:t>
      </w:r>
    </w:p>
    <w:p>
      <w:pPr>
        <w:pStyle w:val="BookText"/>
      </w:pPr>
      <w:r>
        <w:rPr>
          <w:rFonts w:ascii="IRNazanin" w:hAnsi="IRNazanin" w:eastAsia="IRNazanin" w:cs="IRNazanin"/>
          <w:lang w:bidi="fa-IR"/>
          <w:color w:val="111111"/>
          <w:sz w:val="28"/>
          <w:szCs w:val="28"/>
          <w:rtl/>
        </w:rPr>
        <w:t xml:space="preserve">تهران؛ ملک؛ شماره نسخه: 4137/53</w:t>
      </w:r>
    </w:p>
    <w:p>
      <w:pPr>
        <w:pStyle w:val="BookText"/>
      </w:pPr>
      <w:r>
        <w:rPr>
          <w:rFonts w:ascii="IRNazanin" w:hAnsi="IRNazanin" w:eastAsia="IRNazanin" w:cs="IRNazanin"/>
          <w:lang w:bidi="fa-IR"/>
          <w:color w:val="111111"/>
          <w:sz w:val="28"/>
          <w:szCs w:val="28"/>
          <w:rtl/>
        </w:rPr>
        <w:t xml:space="preserve">آغاز: بخط شریف خود نوشته و نشان فرموده اند .. نوشتم این مجموعه</w:t>
      </w:r>
    </w:p>
    <w:p>
      <w:pPr>
        <w:pStyle w:val="BookText"/>
      </w:pPr>
      <w:r>
        <w:rPr>
          <w:rFonts w:ascii="IRNazanin" w:hAnsi="IRNazanin" w:eastAsia="IRNazanin" w:cs="IRNazanin"/>
          <w:lang w:bidi="fa-IR"/>
          <w:color w:val="111111"/>
          <w:sz w:val="28"/>
          <w:szCs w:val="28"/>
          <w:rtl/>
        </w:rPr>
        <w:t xml:space="preserve">خط: نستعلیق، بی کا، بی تا :کاغذ ،ترمه ،جلد: رویه میشن یشمی ضربی، اگ (80پ) ، اندازه: 15/9</w:t>
      </w:r>
      <w:r>
        <w:rPr>
          <w:rFonts w:ascii="Times New Roman" w:hAnsi="Times New Roman" w:eastAsia="Times New Roman" w:cs="Times New Roman"/>
          <w:lang w:val="en-US" w:bidi="en-US"/>
          <w:color w:val="111111"/>
          <w:sz w:val="28"/>
          <w:szCs w:val="28"/>
          <w:rtl/>
        </w:rPr>
        <w:t xml:space="preserve">×29/5</w:t>
      </w:r>
      <w:r>
        <w:rPr>
          <w:rFonts w:ascii="IRNazanin" w:hAnsi="IRNazanin" w:eastAsia="IRNazanin" w:cs="IRNazanin"/>
          <w:lang w:bidi="fa-IR"/>
          <w:color w:val="111111"/>
          <w:sz w:val="28"/>
          <w:szCs w:val="28"/>
          <w:rtl/>
        </w:rPr>
        <w:t xml:space="preserve">سم [ف: 7 - 217]</w:t>
      </w:r>
    </w:p>
    <w:p>
      <w:pPr>
        <w:pStyle w:val="Heading3"/>
      </w:pPr>
      <w:bookmarkStart w:id="656" w:name="_Toc178"/>
      <w:r>
        <w:t>ارشاد نامه / عرفان و تصوف / فارسی</w:t>
      </w:r>
      <w:bookmarkEnd w:id="656"/>
    </w:p>
    <w:p>
      <w:pPr>
        <w:pStyle w:val="BookText"/>
      </w:pPr>
      <w:r>
        <w:rPr>
          <w:rFonts w:ascii="Times New Roman" w:hAnsi="Times New Roman" w:eastAsia="Times New Roman" w:cs="Times New Roman"/>
          <w:lang w:val="en-US" w:bidi="en-US"/>
          <w:color w:val="111111"/>
          <w:sz w:val="28"/>
          <w:szCs w:val="28"/>
          <w:rtl/>
        </w:rPr>
        <w:t xml:space="preserve">eršād-nāme</w:t>
      </w:r>
    </w:p>
    <w:p>
      <w:pPr>
        <w:pStyle w:val="BookText"/>
      </w:pPr>
      <w:r>
        <w:rPr>
          <w:rFonts w:ascii="IRNazanin" w:hAnsi="IRNazanin" w:eastAsia="IRNazanin" w:cs="IRNazanin"/>
          <w:lang w:bidi="fa-IR"/>
          <w:color w:val="111111"/>
          <w:sz w:val="28"/>
          <w:szCs w:val="28"/>
          <w:rtl/>
        </w:rPr>
        <w:t xml:space="preserve">بیدوازی محمد بن شیخ علی، ق9 قمری</w:t>
      </w:r>
    </w:p>
    <w:p>
      <w:pPr>
        <w:pStyle w:val="BookText"/>
      </w:pPr>
      <w:r>
        <w:rPr>
          <w:rFonts w:ascii="Times New Roman" w:hAnsi="Times New Roman" w:eastAsia="Times New Roman" w:cs="Times New Roman"/>
          <w:lang w:val="en-US" w:bidi="en-US"/>
          <w:color w:val="111111"/>
          <w:sz w:val="28"/>
          <w:szCs w:val="28"/>
          <w:rtl/>
        </w:rPr>
        <w:t xml:space="preserve">(bīdvāzī, mohammad ebn-e šeyx ‘alī ( - 15c)</w:t>
      </w:r>
    </w:p>
    <w:p>
      <w:pPr>
        <w:pStyle w:val="BookText"/>
      </w:pPr>
      <w:r>
        <w:rPr>
          <w:rFonts w:ascii="IRNazanin" w:hAnsi="IRNazanin" w:eastAsia="IRNazanin" w:cs="IRNazanin"/>
          <w:lang w:bidi="fa-IR"/>
          <w:color w:val="111111"/>
          <w:sz w:val="28"/>
          <w:szCs w:val="28"/>
          <w:rtl/>
        </w:rPr>
        <w:t xml:space="preserve">تاریخ تألیف: 10 تأليف: 10 ربیع الثانی 873ق</w:t>
      </w:r>
    </w:p>
    <w:p>
      <w:pPr>
        <w:pStyle w:val="BookText"/>
      </w:pPr>
      <w:r>
        <w:rPr>
          <w:rFonts w:ascii="IRNazanin" w:hAnsi="IRNazanin" w:eastAsia="IRNazanin" w:cs="IRNazanin"/>
          <w:lang w:bidi="fa-IR"/>
          <w:color w:val="111111"/>
          <w:sz w:val="28"/>
          <w:szCs w:val="28"/>
          <w:rtl/>
        </w:rPr>
        <w:t xml:space="preserve">ارشادنامه ای به شیخ ،شاه که نزدیک 25 سال ملازم آستانه فقر بوده و آهنگ سفر حجاز را داشته است تا به توبه دادن و تلقین ذکر و خلوت مجاز باشد. از هموست «عشق و محبت» در عرفان.</w:t>
      </w:r>
    </w:p>
    <w:p>
      <w:pPr>
        <w:pStyle w:val="BookText"/>
      </w:pPr>
      <w:r>
        <w:rPr>
          <w:rFonts w:ascii="IRNazanin" w:hAnsi="IRNazanin" w:eastAsia="IRNazanin" w:cs="IRNazanin"/>
          <w:lang w:bidi="fa-IR"/>
          <w:color w:val="111111"/>
          <w:sz w:val="28"/>
          <w:szCs w:val="28"/>
          <w:rtl/>
        </w:rPr>
        <w:t xml:space="preserve">[فهرستواره 2003/3 مشترک 865/11؛ نسخه های منزوی 1024/2 چندارشاد نامه؛ نفیسی 320/1 ]</w:t>
      </w:r>
    </w:p>
    <w:p>
      <w:pPr>
        <w:pStyle w:val="BookText"/>
      </w:pPr>
      <w:r>
        <w:rPr>
          <w:rFonts w:ascii="IRNazanin" w:hAnsi="IRNazanin" w:eastAsia="IRNazanin" w:cs="IRNazanin"/>
          <w:lang w:bidi="fa-IR"/>
          <w:color w:val="111111"/>
          <w:sz w:val="28"/>
          <w:szCs w:val="28"/>
          <w:rtl/>
        </w:rPr>
        <w:t xml:space="preserve">تهران؛ دائرة المعارف؛ شماره نسخه: 264/7 عکسی</w:t>
      </w:r>
    </w:p>
    <w:p>
      <w:pPr>
        <w:pStyle w:val="BookText"/>
      </w:pPr>
      <w:r>
        <w:rPr>
          <w:rFonts w:ascii="IRNazanin" w:hAnsi="IRNazanin" w:eastAsia="IRNazanin" w:cs="IRNazanin"/>
          <w:lang w:bidi="fa-IR"/>
          <w:color w:val="111111"/>
          <w:sz w:val="28"/>
          <w:szCs w:val="28"/>
          <w:rtl/>
        </w:rPr>
        <w:t xml:space="preserve">آغاز: الحمد لله مبيض وجوه العابدین به آثار سيماء الركوع و السجود و نور بواطن العارفين .. اما بعد، چون علت غائیه عالم آدم و ذریات حق بود؛ انجام: و انا افقر. .. محمد بن شيخ على البيدوازى الاسفراينى الملقب بالرشيد تحريرآ في عاشر شهر ربيع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61" w:name="pg20365_260081"/>
    <w:bookmarkEnd w:id="61"/>
    <w:p>
      <w:pPr>
        <w:pStyle w:val="BookText"/>
      </w:pPr>
      <w:r>
        <w:rPr>
          <w:rFonts w:ascii="IRNazanin" w:hAnsi="IRNazanin" w:eastAsia="IRNazanin" w:cs="IRNazanin"/>
          <w:lang w:bidi="fa-IR"/>
          <w:color w:val="111111"/>
          <w:sz w:val="28"/>
          <w:szCs w:val="28"/>
          <w:rtl/>
        </w:rPr>
        <w:t xml:space="preserve">الثانى سنة ثلاث وسبعین و ثمانمایه. این سند با اصل موافق است.</w:t>
      </w:r>
    </w:p>
    <w:p>
      <w:pPr>
        <w:pStyle w:val="BookText"/>
      </w:pPr>
      <w:r>
        <w:rPr>
          <w:rFonts w:ascii="IRNazanin" w:hAnsi="IRNazanin" w:eastAsia="IRNazanin" w:cs="IRNazanin"/>
          <w:lang w:bidi="fa-IR"/>
          <w:color w:val="111111"/>
          <w:sz w:val="28"/>
          <w:szCs w:val="28"/>
          <w:rtl/>
        </w:rPr>
        <w:t xml:space="preserve">اصل نسخه: گنج بخشش 5250 فهرست نشده؛ خط: نستعلیق تحریری، بی کا، تا: 1003ق؛ 2 ص (27-28)[ عکسی ف 2 - 19 ]</w:t>
      </w:r>
    </w:p>
    <w:p>
      <w:pPr>
        <w:pStyle w:val="Heading3"/>
      </w:pPr>
      <w:bookmarkStart w:id="657" w:name="_Toc179"/>
      <w:r>
        <w:t>ارشاد نامه / تراجم / فارسی</w:t>
      </w:r>
      <w:bookmarkEnd w:id="657"/>
    </w:p>
    <w:p>
      <w:pPr>
        <w:pStyle w:val="BookText"/>
      </w:pPr>
      <w:r>
        <w:rPr>
          <w:rFonts w:ascii="Times New Roman" w:hAnsi="Times New Roman" w:eastAsia="Times New Roman" w:cs="Times New Roman"/>
          <w:lang w:val="en-US" w:bidi="en-US"/>
          <w:color w:val="111111"/>
          <w:sz w:val="28"/>
          <w:szCs w:val="28"/>
          <w:rtl/>
        </w:rPr>
        <w:t xml:space="preserve">eršād nāme</w:t>
      </w:r>
    </w:p>
    <w:p>
      <w:pPr>
        <w:pStyle w:val="BookText"/>
      </w:pPr>
      <w:r>
        <w:rPr>
          <w:rFonts w:ascii="IRNazanin" w:hAnsi="IRNazanin" w:eastAsia="IRNazanin" w:cs="IRNazanin"/>
          <w:lang w:bidi="fa-IR"/>
          <w:color w:val="111111"/>
          <w:sz w:val="28"/>
          <w:szCs w:val="28"/>
          <w:rtl/>
        </w:rPr>
        <w:t xml:space="preserve">خبوشانی حاجی محمد ق9 قمری</w:t>
      </w:r>
    </w:p>
    <w:p>
      <w:pPr>
        <w:pStyle w:val="BookText"/>
      </w:pPr>
      <w:r>
        <w:rPr>
          <w:rFonts w:ascii="Times New Roman" w:hAnsi="Times New Roman" w:eastAsia="Times New Roman" w:cs="Times New Roman"/>
          <w:lang w:val="en-US" w:bidi="en-US"/>
          <w:color w:val="111111"/>
          <w:sz w:val="28"/>
          <w:szCs w:val="28"/>
          <w:rtl/>
        </w:rPr>
        <w:t xml:space="preserve">(xabūšānī, hājī mohammad ( - 15c)</w:t>
      </w:r>
    </w:p>
    <w:p>
      <w:pPr>
        <w:pStyle w:val="BookText"/>
      </w:pPr>
      <w:r>
        <w:rPr>
          <w:rFonts w:ascii="IRNazanin" w:hAnsi="IRNazanin" w:eastAsia="IRNazanin" w:cs="IRNazanin"/>
          <w:lang w:bidi="fa-IR"/>
          <w:color w:val="111111"/>
          <w:sz w:val="28"/>
          <w:szCs w:val="28"/>
          <w:rtl/>
        </w:rPr>
        <w:t xml:space="preserve">اجازه ارشاد است به شیخ عماد الدين فضل الله برزش آبادی طوسی، که از بزرگ زادگان بوده و به سرعت غیر معمولی خلافت پیر خود خبوشانی میرسد و در 914ق/8-1509م  درمی گذرد.</w:t>
      </w:r>
    </w:p>
    <w:p>
      <w:pPr>
        <w:pStyle w:val="BookText"/>
      </w:pPr>
      <w:r>
        <w:rPr>
          <w:rFonts w:ascii="IRNazanin" w:hAnsi="IRNazanin" w:eastAsia="IRNazanin" w:cs="IRNazanin"/>
          <w:lang w:bidi="fa-IR"/>
          <w:color w:val="111111"/>
          <w:sz w:val="28"/>
          <w:szCs w:val="28"/>
          <w:rtl/>
        </w:rPr>
        <w:t xml:space="preserve">[نفیسی 322/1 عماد الدين فضل الله از سده 9ق، همانجا 565 همو و حاجی محمد خبوشانی؛ مشترک 832/11 همانجا1856/3) «شرح لوایح»؛ فهرستواره منزوی 2002/3) ارشاد نامه»]</w:t>
      </w:r>
    </w:p>
    <w:p>
      <w:pPr>
        <w:pStyle w:val="BookText"/>
      </w:pPr>
      <w:r>
        <w:rPr>
          <w:rFonts w:ascii="IRNazanin" w:hAnsi="IRNazanin" w:eastAsia="IRNazanin" w:cs="IRNazanin"/>
          <w:lang w:bidi="fa-IR"/>
          <w:color w:val="111111"/>
          <w:sz w:val="28"/>
          <w:szCs w:val="28"/>
          <w:rtl/>
        </w:rPr>
        <w:t xml:space="preserve">تهران؛ دائرة المعارف؛ شماره نسخه: 264/5-عکسی</w:t>
      </w:r>
    </w:p>
    <w:p>
      <w:pPr>
        <w:pStyle w:val="BookText"/>
      </w:pPr>
      <w:r>
        <w:rPr>
          <w:rFonts w:ascii="IRNazanin" w:hAnsi="IRNazanin" w:eastAsia="IRNazanin" w:cs="IRNazanin"/>
          <w:lang w:bidi="fa-IR"/>
          <w:color w:val="111111"/>
          <w:sz w:val="28"/>
          <w:szCs w:val="28"/>
          <w:rtl/>
        </w:rPr>
        <w:t xml:space="preserve">آغاز: حمد نامحدود حضرت معبودی را که عدد پیروان سرادقات عزت احدیت او نتواند شد، و شکر نامعدود واحدی را که عقول، انجام: و سلسله او را مؤید و مخلد گرداند. اللهم ثبتنا على نهج الاستقامة واعدنا من موجبات الندامة يوم القيامة وصلى الله علی محمد و آله اجمعین. تمت.</w:t>
      </w:r>
    </w:p>
    <w:p>
      <w:pPr>
        <w:pStyle w:val="BookText"/>
      </w:pPr>
      <w:r>
        <w:rPr>
          <w:rFonts w:ascii="IRNazanin" w:hAnsi="IRNazanin" w:eastAsia="IRNazanin" w:cs="IRNazanin"/>
          <w:lang w:bidi="fa-IR"/>
          <w:color w:val="111111"/>
          <w:sz w:val="28"/>
          <w:szCs w:val="28"/>
          <w:rtl/>
        </w:rPr>
        <w:t xml:space="preserve">اصل نسخه: گنج بخش، ش 5250 (گنج 2082/4)؛ خط نستعلیق، پخته،بی کا، تا: 1003ق؛ 5 ص (1-5) عکسی ف: 2-19]</w:t>
      </w:r>
    </w:p>
    <w:p>
      <w:pPr>
        <w:pStyle w:val="Heading3"/>
      </w:pPr>
      <w:bookmarkStart w:id="658" w:name="_Toc180"/>
      <w:r>
        <w:t>ارشاد نامه = اجازه و ارشاد نامه = اجازه طریقت /اجازات - فارسی</w:t>
      </w:r>
      <w:bookmarkEnd w:id="658"/>
    </w:p>
    <w:p>
      <w:pPr>
        <w:pStyle w:val="BookText"/>
      </w:pPr>
      <w:r>
        <w:rPr>
          <w:rFonts w:ascii="Times New Roman" w:hAnsi="Times New Roman" w:eastAsia="Times New Roman" w:cs="Times New Roman"/>
          <w:lang w:val="en-US" w:bidi="en-US"/>
          <w:color w:val="111111"/>
          <w:sz w:val="28"/>
          <w:szCs w:val="28"/>
          <w:rtl/>
        </w:rPr>
        <w:t xml:space="preserve">eršād-nāme = ejāze va eršād-nāme = ejāze-ye tarīqat</w:t>
      </w:r>
    </w:p>
    <w:p>
      <w:pPr>
        <w:pStyle w:val="BookText"/>
      </w:pPr>
      <w:r>
        <w:rPr>
          <w:rFonts w:ascii="IRNazanin" w:hAnsi="IRNazanin" w:eastAsia="IRNazanin" w:cs="IRNazanin"/>
          <w:lang w:bidi="fa-IR"/>
          <w:color w:val="111111"/>
          <w:sz w:val="28"/>
          <w:szCs w:val="28"/>
          <w:rtl/>
        </w:rPr>
        <w:t xml:space="preserve">نورعلیشاه، محمد علی بن عبد الحسين، 1160؟ - 1212 قمری</w:t>
      </w:r>
    </w:p>
    <w:p>
      <w:pPr>
        <w:pStyle w:val="BookText"/>
      </w:pPr>
      <w:r>
        <w:rPr>
          <w:rFonts w:ascii="Times New Roman" w:hAnsi="Times New Roman" w:eastAsia="Times New Roman" w:cs="Times New Roman"/>
          <w:lang w:val="en-US" w:bidi="en-US"/>
          <w:color w:val="111111"/>
          <w:sz w:val="28"/>
          <w:szCs w:val="28"/>
          <w:rtl/>
        </w:rPr>
        <w:t xml:space="preserve">nūr-‘alī-šāh, mohammad ‘alī ebn-e ‘abd-ol-hoseyn</w:t>
      </w:r>
    </w:p>
    <w:p>
      <w:pPr>
        <w:pStyle w:val="BookText"/>
      </w:pPr>
      <w:r>
        <w:rPr>
          <w:rFonts w:ascii="Times New Roman" w:hAnsi="Times New Roman" w:eastAsia="Times New Roman" w:cs="Times New Roman"/>
          <w:lang w:val="en-US" w:bidi="en-US"/>
          <w:color w:val="111111"/>
          <w:sz w:val="28"/>
          <w:szCs w:val="28"/>
          <w:rtl/>
        </w:rPr>
        <w:t xml:space="preserve">(747 -1798)</w:t>
      </w:r>
    </w:p>
    <w:p>
      <w:pPr>
        <w:pStyle w:val="BookText"/>
      </w:pPr>
      <w:r>
        <w:rPr>
          <w:rFonts w:ascii="IRNazanin" w:hAnsi="IRNazanin" w:eastAsia="IRNazanin" w:cs="IRNazanin"/>
          <w:lang w:bidi="fa-IR"/>
          <w:color w:val="111111"/>
          <w:sz w:val="28"/>
          <w:szCs w:val="28"/>
          <w:rtl/>
        </w:rPr>
        <w:t xml:space="preserve">تاریخ تأليف: 22 محرم 1207ق؛ محل تأليف: کربلا</w:t>
      </w:r>
    </w:p>
    <w:p>
      <w:pPr>
        <w:pStyle w:val="BookText"/>
      </w:pPr>
      <w:r>
        <w:rPr>
          <w:rFonts w:ascii="IRNazanin" w:hAnsi="IRNazanin" w:eastAsia="IRNazanin" w:cs="IRNazanin"/>
          <w:lang w:bidi="fa-IR"/>
          <w:color w:val="111111"/>
          <w:sz w:val="28"/>
          <w:szCs w:val="28"/>
          <w:rtl/>
        </w:rPr>
        <w:t xml:space="preserve">اجازه ارشادی است که برای ملا محمد جعفر بن صفر خان مجذوبعلی شاه همدانی که در آن به او اجازه میدهد که سالکان را ارشاد کند و او را بعد از خود قطب سلسله نعمت اللهی معرفی نموده است، همچنین در این اجازه به برادر ملامحمد جعفر یعنی حاج محمدرضا کوثر علی شاه، اجازه برای معاونت برادر خود داده است در آن آورده است مدتی است: «مدتی است مدید و عهدی است بعید که به ارشاد حضرت ولایت نشان تجرد شأن سلالة العارفين و زبدة الواصلين فرزند ارجمند حسینعلی شاه شرف هدایت یافته ... به تاریخ بیست و دویمشهر محرم الحرام سنه   1207 در ارض اقدس کربلای معلی مشار اليه را عارج معارج عزو علا و به تفویض شغل ارشاد موقع امتحان و ابتلای حضرت مولی نموده بین السالکینش به خطاب مستطاب شاهی مخاطب و در زمرة العارفین به لقب ارجمند مجذوبعلی ملقب گردانید...و به اجازه اذکار خفیه قلبيه و افکار علویه ملکوتيه ابواب تجلیات و طرق افاضات را بر چهره قلوب عشاق حضرت مولی گشوده دارد» و در کار باطن به آقا رضا« که او نیز عهدی است که به ارشاد حضرت ولايت شأن تجردنشان سلالة العارفين و زبدة الواصلين فرزند ارجمند کامکار رفیع مقدار حسینعلی شاه به شرف ذکر و اجازه فکر رسیده».</w:t>
      </w:r>
    </w:p>
    <w:p>
      <w:pPr>
        <w:pStyle w:val="BookText"/>
      </w:pPr>
      <w:r>
        <w:rPr>
          <w:rFonts w:ascii="IRNazanin" w:hAnsi="IRNazanin" w:eastAsia="IRNazanin" w:cs="IRNazanin"/>
          <w:lang w:bidi="fa-IR"/>
          <w:color w:val="111111"/>
          <w:sz w:val="28"/>
          <w:szCs w:val="28"/>
          <w:rtl/>
        </w:rPr>
        <w:t xml:space="preserve">آغاز: الحمد لمن ارشدنا بالحمد و الصلواة على نيبنا صاحب لواء الحمد و المقام المحمود والسلام على اوصياء خلفاء الله الملك المعين و بعد جون موجود ذیجود وجود کامل مکمل در هر جزوی از اجزاء بل در هر قطری از اقطار دایره امکان مراتب تکمیل که مقصود له ایجاد عباد آنست</w:t>
      </w:r>
    </w:p>
    <w:p>
      <w:pPr>
        <w:pStyle w:val="BookText"/>
      </w:pPr>
      <w:r>
        <w:rPr>
          <w:rFonts w:ascii="IRNazanin" w:hAnsi="IRNazanin" w:eastAsia="IRNazanin" w:cs="IRNazanin"/>
          <w:lang w:bidi="fa-IR"/>
          <w:color w:val="111111"/>
          <w:sz w:val="28"/>
          <w:szCs w:val="28"/>
          <w:rtl/>
        </w:rPr>
        <w:t xml:space="preserve">انجام: ابواب مغلقه تجلیات غیبی و طرق منسده افاضات لا ریبی را بر چهره خود بگشایند</w:t>
      </w:r>
    </w:p>
    <w:p>
      <w:pPr>
        <w:pStyle w:val="BookText"/>
      </w:pPr>
      <w:r>
        <w:rPr>
          <w:rFonts w:ascii="IRNazanin" w:hAnsi="IRNazanin" w:eastAsia="IRNazanin" w:cs="IRNazanin"/>
          <w:lang w:bidi="fa-IR"/>
          <w:color w:val="111111"/>
          <w:sz w:val="28"/>
          <w:szCs w:val="28"/>
          <w:rtl/>
        </w:rPr>
        <w:t xml:space="preserve">[فهرستواره منزوی 2005/3]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مجلس؛ شماره نسخه: 1158/10</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شکسته نستعلیق، بی کا، تا: قرن 13 ؛کاغذ: فرنگی ،جلد: تيماج 7 ص( 271- 277)، 16 سطر ، قطع: بغلی، اندازه: 15/5</w:t>
      </w:r>
      <w:r>
        <w:rPr>
          <w:rFonts w:ascii="Times New Roman" w:hAnsi="Times New Roman" w:eastAsia="Times New Roman" w:cs="Times New Roman"/>
          <w:lang w:val="en-US" w:bidi="en-US"/>
          <w:color w:val="111111"/>
          <w:sz w:val="28"/>
          <w:szCs w:val="28"/>
          <w:rtl/>
        </w:rPr>
        <w:t xml:space="preserve">×10/5</w:t>
      </w:r>
      <w:r>
        <w:rPr>
          <w:rFonts w:ascii="IRNazanin" w:hAnsi="IRNazanin" w:eastAsia="IRNazanin" w:cs="IRNazanin"/>
          <w:lang w:bidi="fa-IR"/>
          <w:color w:val="111111"/>
          <w:sz w:val="28"/>
          <w:szCs w:val="28"/>
          <w:rtl/>
        </w:rPr>
        <w:t xml:space="preserve">سم [ف: 3 - 432]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قم؛ مرکز احیاء؛ شماره نسخه: 1493/6</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و نستعلیق، کا: عباس بن محمد شیرازی؛ تا: 1256ق؛ جلد: مقوایی عطف ،پارچه گ (87ر-191ر) اندازه : 11</w:t>
      </w:r>
      <w:r>
        <w:rPr>
          <w:rFonts w:ascii="Times New Roman" w:hAnsi="Times New Roman" w:eastAsia="Times New Roman" w:cs="Times New Roman"/>
          <w:lang w:val="en-US" w:bidi="en-US"/>
          <w:color w:val="111111"/>
          <w:sz w:val="28"/>
          <w:szCs w:val="28"/>
          <w:rtl/>
        </w:rPr>
        <w:t xml:space="preserve">×19/5</w:t>
      </w:r>
      <w:r>
        <w:rPr>
          <w:rFonts w:ascii="IRNazanin" w:hAnsi="IRNazanin" w:eastAsia="IRNazanin" w:cs="IRNazanin"/>
          <w:lang w:bidi="fa-IR"/>
          <w:color w:val="111111"/>
          <w:sz w:val="28"/>
          <w:szCs w:val="28"/>
          <w:rtl/>
        </w:rPr>
        <w:t xml:space="preserve">سم [ف: 4 - 345]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مجلس؛ شماره نسخه: 3706/2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نستعليق، كا: محمد رضا گورکانی، تا: 1274ق؛ کاغذ: فرنگی، جلد: تیماج زرد یک لا 8ص(237-245)، 12 سطر ، قطع: رقعی، اندازه: 11</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 [ف: 10 - 1677]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تهران؛ مجلس؛ شماره نسخه: 15977/2</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نستعليق، كا: عبدالله بن قاسم خان افشار، تا: 1288ق؛ رکابه دار، تملک: محسن سالمی، محمد حسین سلطان آبادی؛ جلد: تیماج مشکی، 5 ص (152-157)، 15 سطر ، اندازه: 13/5</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سم [ف: 44 - 167]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تهران؛ دانشگاه؛ شماره نسخه: 10679/5</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قرن 13 و 14؛ جلد: تیماج زیتونی 13 مجدول، 3گ (57پ-59پ)، 16 سطر (8/5</w:t>
      </w:r>
      <w:r>
        <w:rPr>
          <w:rFonts w:ascii="Times New Roman" w:hAnsi="Times New Roman" w:eastAsia="Times New Roman" w:cs="Times New Roman"/>
          <w:lang w:val="en-US" w:bidi="en-US"/>
          <w:color w:val="111111"/>
          <w:sz w:val="28"/>
          <w:szCs w:val="28"/>
          <w:rtl/>
        </w:rPr>
        <w:t xml:space="preserve">×16/5)</w:t>
      </w:r>
      <w:r>
        <w:rPr>
          <w:rFonts w:ascii="IRNazanin" w:hAnsi="IRNazanin" w:eastAsia="IRNazanin" w:cs="IRNazanin"/>
          <w:lang w:bidi="fa-IR"/>
          <w:color w:val="111111"/>
          <w:sz w:val="28"/>
          <w:szCs w:val="28"/>
          <w:rtl/>
        </w:rPr>
        <w:t xml:space="preserve">، اندازه: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62" w:name="pg20365_260082"/>
    <w:bookmarkEnd w:id="62"/>
    <w:p>
      <w:pPr>
        <w:pStyle w:val="BookText"/>
      </w:pPr>
      <w:r>
        <w:rPr>
          <w:rFonts w:ascii="Times New Roman" w:hAnsi="Times New Roman" w:eastAsia="Times New Roman" w:cs="Times New Roman"/>
          <w:lang w:val="en-US" w:bidi="en-US"/>
          <w:color w:val="111111"/>
          <w:sz w:val="28"/>
          <w:szCs w:val="28"/>
          <w:rtl/>
        </w:rPr>
        <w:t xml:space="preserve">22×17</w:t>
      </w:r>
      <w:r>
        <w:rPr>
          <w:rFonts w:ascii="IRNazanin" w:hAnsi="IRNazanin" w:eastAsia="IRNazanin" w:cs="IRNazanin"/>
          <w:lang w:bidi="fa-IR"/>
          <w:color w:val="111111"/>
          <w:sz w:val="28"/>
          <w:szCs w:val="28"/>
          <w:rtl/>
        </w:rPr>
        <w:t xml:space="preserve">سم [ف : 20 - 172]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اراک؛ دهگان؛ شماره نسخه: 219/2</w:t>
      </w:r>
    </w:p>
    <w:p>
      <w:pPr>
        <w:pStyle w:val="BookText"/>
      </w:pPr>
      <w:r>
        <w:rPr>
          <w:rFonts w:ascii="IRNazanin" w:hAnsi="IRNazanin" w:eastAsia="IRNazanin" w:cs="IRNazanin"/>
          <w:lang w:bidi="fa-IR"/>
          <w:color w:val="111111"/>
          <w:sz w:val="28"/>
          <w:szCs w:val="28"/>
          <w:rtl/>
        </w:rPr>
        <w:t xml:space="preserve">خط: نستعلیق ،تحریری ،کا: ملا محمد باقر، تا: 14 ذیقعده 1305ق؛ جلد: مقوایی، زیتونی کاغذ لیمویی، گل بهی 9 ص (147-  155) ،  17 سطر، قطع: نیم رقعی، اندازه: 12</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سم [ف 2-293]</w:t>
      </w:r>
    </w:p>
    <w:p>
      <w:pPr>
        <w:pStyle w:val="BookText"/>
      </w:pPr>
      <w:r>
        <w:rPr>
          <w:rFonts w:ascii="IRNazanin" w:hAnsi="IRNazanin" w:eastAsia="IRNazanin" w:cs="IRNazanin"/>
          <w:lang w:bidi="fa-IR"/>
          <w:color w:val="111111"/>
          <w:sz w:val="28"/>
          <w:szCs w:val="28"/>
          <w:rtl/>
        </w:rPr>
        <w:t xml:space="preserve">7 . مشهد؛ الهیات شماره نسخه: 689/6</w:t>
      </w:r>
    </w:p>
    <w:p>
      <w:pPr>
        <w:pStyle w:val="BookText"/>
      </w:pPr>
      <w:r>
        <w:rPr>
          <w:rFonts w:ascii="IRNazanin" w:hAnsi="IRNazanin" w:eastAsia="IRNazanin" w:cs="IRNazanin"/>
          <w:lang w:bidi="fa-IR"/>
          <w:color w:val="111111"/>
          <w:sz w:val="28"/>
          <w:szCs w:val="28"/>
          <w:rtl/>
        </w:rPr>
        <w:t xml:space="preserve">خط: نستعلیق، بی کا، تا: 1306ق ؛کاغذ: فرنگی خط دار  و اصفهانی ،جلد: تیماج ،عنابی 7 ص 16 و 17 سطر (8</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 اندازه: 8/5</w:t>
      </w:r>
      <w:r>
        <w:rPr>
          <w:rFonts w:ascii="Times New Roman" w:hAnsi="Times New Roman" w:eastAsia="Times New Roman" w:cs="Times New Roman"/>
          <w:lang w:val="en-US" w:bidi="en-US"/>
          <w:color w:val="111111"/>
          <w:sz w:val="28"/>
          <w:szCs w:val="28"/>
          <w:rtl/>
        </w:rPr>
        <w:t xml:space="preserve">×22/5</w:t>
      </w:r>
      <w:r>
        <w:rPr>
          <w:rFonts w:ascii="IRNazanin" w:hAnsi="IRNazanin" w:eastAsia="IRNazanin" w:cs="IRNazanin"/>
          <w:lang w:bidi="fa-IR"/>
          <w:color w:val="111111"/>
          <w:sz w:val="28"/>
          <w:szCs w:val="28"/>
          <w:rtl/>
        </w:rPr>
        <w:t xml:space="preserve">سم [ف: 1 - 469]</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تهران؛ مجلس؛ شماره نسخه: 7960/2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تحریری، کا: وحید اشراقی، تا: 7 محرم 1325ق، جلد: عطف تيماج، 6 ص (76-82) ، اندازه: 13</w:t>
      </w:r>
      <w:r>
        <w:rPr>
          <w:rFonts w:ascii="Times New Roman" w:hAnsi="Times New Roman" w:eastAsia="Times New Roman" w:cs="Times New Roman"/>
          <w:lang w:val="en-US" w:bidi="en-US"/>
          <w:color w:val="111111"/>
          <w:sz w:val="28"/>
          <w:szCs w:val="28"/>
          <w:rtl/>
        </w:rPr>
        <w:t xml:space="preserve">×19/5</w:t>
      </w:r>
      <w:r>
        <w:rPr>
          <w:rFonts w:ascii="IRNazanin" w:hAnsi="IRNazanin" w:eastAsia="IRNazanin" w:cs="IRNazanin"/>
          <w:lang w:bidi="fa-IR"/>
          <w:color w:val="111111"/>
          <w:sz w:val="28"/>
          <w:szCs w:val="28"/>
          <w:rtl/>
        </w:rPr>
        <w:t xml:space="preserve">سم [ ف: 26 - 5 ]</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تهران؛ دانشگاه؛ شماره نسخه: 1628/3</w:t>
      </w:r>
    </w:p>
    <w:p>
      <w:pPr>
        <w:pStyle w:val="BookText"/>
      </w:pPr>
      <w:r>
        <w:rPr>
          <w:rFonts w:ascii="IRNazanin" w:hAnsi="IRNazanin" w:eastAsia="IRNazanin" w:cs="IRNazanin"/>
          <w:lang w:bidi="fa-IR"/>
          <w:color w:val="111111"/>
          <w:sz w:val="28"/>
          <w:szCs w:val="28"/>
          <w:rtl/>
        </w:rPr>
        <w:t xml:space="preserve">بی کا ، بی تا، تا: کاغذ ،فرنگی ،جلد: تیماج سبز ، 6 ص (68-73)، 12 سطر (7</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11</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[ف: 8 - 211]</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تهران؛ دانشگاه؛ شماره نسخه : 3167/1</w:t>
      </w:r>
    </w:p>
    <w:p>
      <w:pPr>
        <w:pStyle w:val="BookText"/>
      </w:pPr>
      <w:r>
        <w:rPr>
          <w:rFonts w:ascii="IRNazanin" w:hAnsi="IRNazanin" w:eastAsia="IRNazanin" w:cs="IRNazanin"/>
          <w:lang w:bidi="fa-IR"/>
          <w:color w:val="111111"/>
          <w:sz w:val="28"/>
          <w:szCs w:val="28"/>
          <w:rtl/>
        </w:rPr>
        <w:t xml:space="preserve">خط: نستعلیق، بی کا، بی تا ،کاغذ ،فرنگی ،جلد: تیماج حنایی ضربی ،مقوایی 4گ (2پ-6پ)، 16 سطر (5/5</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اندازه:</w:t>
      </w:r>
    </w:p>
    <w:p>
      <w:pPr>
        <w:pStyle w:val="BookText"/>
      </w:pPr>
      <w:r>
        <w:rPr>
          <w:rFonts w:ascii="Times New Roman" w:hAnsi="Times New Roman" w:eastAsia="Times New Roman" w:cs="Times New Roman"/>
          <w:lang w:val="en-US" w:bidi="en-US"/>
          <w:color w:val="111111"/>
          <w:sz w:val="28"/>
          <w:szCs w:val="28"/>
          <w:rtl/>
        </w:rPr>
        <w:t xml:space="preserve">10/5×20</w:t>
      </w:r>
      <w:r>
        <w:rPr>
          <w:rFonts w:ascii="IRNazanin" w:hAnsi="IRNazanin" w:eastAsia="IRNazanin" w:cs="IRNazanin"/>
          <w:lang w:bidi="fa-IR"/>
          <w:color w:val="111111"/>
          <w:sz w:val="28"/>
          <w:szCs w:val="28"/>
          <w:rtl/>
        </w:rPr>
        <w:t xml:space="preserve">سم [ف: 11 - 2130]</w:t>
      </w:r>
    </w:p>
    <w:p>
      <w:pPr>
        <w:pStyle w:val="Heading3"/>
      </w:pPr>
      <w:bookmarkStart w:id="659" w:name="_Toc181"/>
      <w:r>
        <w:t>ارشاد نامه / عرفان و تصوف / فارسی</w:t>
      </w:r>
      <w:bookmarkEnd w:id="659"/>
    </w:p>
    <w:p>
      <w:pPr>
        <w:pStyle w:val="BookText"/>
      </w:pPr>
      <w:r>
        <w:rPr>
          <w:rFonts w:ascii="Times New Roman" w:hAnsi="Times New Roman" w:eastAsia="Times New Roman" w:cs="Times New Roman"/>
          <w:lang w:val="en-US" w:bidi="en-US"/>
          <w:color w:val="111111"/>
          <w:sz w:val="28"/>
          <w:szCs w:val="28"/>
          <w:rtl/>
        </w:rPr>
        <w:t xml:space="preserve">eršād-nāme</w:t>
      </w:r>
    </w:p>
    <w:p>
      <w:pPr>
        <w:pStyle w:val="BookText"/>
      </w:pPr>
      <w:r>
        <w:rPr>
          <w:rFonts w:ascii="IRNazanin" w:hAnsi="IRNazanin" w:eastAsia="IRNazanin" w:cs="IRNazanin"/>
          <w:lang w:bidi="fa-IR"/>
          <w:color w:val="111111"/>
          <w:sz w:val="28"/>
          <w:szCs w:val="28"/>
          <w:rtl/>
        </w:rPr>
        <w:t xml:space="preserve">مجذوبعلی شاه، محمد جعفر بن صفر، 1175 - 1238 قمری</w:t>
      </w:r>
    </w:p>
    <w:p>
      <w:pPr>
        <w:pStyle w:val="BookText"/>
      </w:pPr>
      <w:r>
        <w:rPr>
          <w:rFonts w:ascii="Times New Roman" w:hAnsi="Times New Roman" w:eastAsia="Times New Roman" w:cs="Times New Roman"/>
          <w:lang w:val="en-US" w:bidi="en-US"/>
          <w:color w:val="111111"/>
          <w:sz w:val="28"/>
          <w:szCs w:val="28"/>
          <w:rtl/>
        </w:rPr>
        <w:t xml:space="preserve">( 1823- majzūb-‘alī-šāh, mohammad ja‘far ebn-e safar (1762</w:t>
      </w:r>
    </w:p>
    <w:p>
      <w:pPr>
        <w:pStyle w:val="BookText"/>
      </w:pPr>
      <w:r>
        <w:rPr>
          <w:rFonts w:ascii="IRNazanin" w:hAnsi="IRNazanin" w:eastAsia="IRNazanin" w:cs="IRNazanin"/>
          <w:lang w:bidi="fa-IR"/>
          <w:color w:val="111111"/>
          <w:sz w:val="28"/>
          <w:szCs w:val="28"/>
          <w:rtl/>
        </w:rPr>
        <w:t xml:space="preserve">چند اجازه ارشاد مختلف از مجذوبعلی شاه.</w:t>
      </w:r>
    </w:p>
    <w:p>
      <w:pPr>
        <w:pStyle w:val="BookText"/>
      </w:pPr>
      <w:r>
        <w:rPr>
          <w:rFonts w:ascii="IRNazanin" w:hAnsi="IRNazanin" w:eastAsia="IRNazanin" w:cs="IRNazanin"/>
          <w:lang w:bidi="fa-IR"/>
          <w:color w:val="111111"/>
          <w:sz w:val="28"/>
          <w:szCs w:val="28"/>
          <w:rtl/>
        </w:rPr>
        <w:t xml:space="preserve">[فهرستواره منزوی 2004/3]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تهران؛ دائرة المعارف شماره نسخه: 514/6</w:t>
      </w:r>
    </w:p>
    <w:p>
      <w:pPr>
        <w:pStyle w:val="BookText"/>
      </w:pPr>
      <w:r>
        <w:rPr>
          <w:rFonts w:ascii="IRNazanin" w:hAnsi="IRNazanin" w:eastAsia="IRNazanin" w:cs="IRNazanin"/>
          <w:lang w:bidi="fa-IR"/>
          <w:color w:val="111111"/>
          <w:sz w:val="28"/>
          <w:szCs w:val="28"/>
          <w:rtl/>
        </w:rPr>
        <w:t xml:space="preserve">آغاز: بسمله. الحمد لله الذى نور قلوب العارفين بنور معرفته . و بعد، فيقول . .. محمد جعفر، الملقب به مجذوبعلی شاه ... پوشیده نماند که حامل نوشته .. میرزا محمد مسلم آذربایجانی. .. مشارالیه را اجازت دادیم که بندگان خدا را دعوت و دلالت کند ؛انجام: هم به</w:t>
      </w:r>
    </w:p>
    <w:p>
      <w:pPr>
        <w:pStyle w:val="BookText"/>
      </w:pPr>
      <w:r>
        <w:rPr>
          <w:rFonts w:ascii="IRNazanin" w:hAnsi="IRNazanin" w:eastAsia="IRNazanin" w:cs="IRNazanin"/>
          <w:lang w:bidi="fa-IR"/>
          <w:color w:val="111111"/>
          <w:sz w:val="28"/>
          <w:szCs w:val="28"/>
          <w:rtl/>
        </w:rPr>
        <w:t xml:space="preserve">اذن و رخصت و امر امام*** منتشر عرفان شده درخاص و عام</w:t>
      </w:r>
    </w:p>
    <w:p>
      <w:pPr>
        <w:pStyle w:val="BookText"/>
      </w:pPr>
      <w:r>
        <w:rPr>
          <w:rFonts w:ascii="IRNazanin" w:hAnsi="IRNazanin" w:eastAsia="IRNazanin" w:cs="IRNazanin"/>
          <w:lang w:bidi="fa-IR"/>
          <w:color w:val="111111"/>
          <w:sz w:val="28"/>
          <w:szCs w:val="28"/>
          <w:rtl/>
        </w:rPr>
        <w:t xml:space="preserve">اجازه ارشادی است که وی به شاگرد خود میرزا محمد مسلم آذربایجانی داده است، با سلسله طریقت خود از حاج محمد حسین اصفهانی، ملقب به حسینعلی شاه، نور علی شاه اصفهانی، معصومعلی شاه دکنی که به سری سقطی و معروف کرخی می رسد. آنگاه سلسله  به صورت منظومه ای در می آید در 42 بیت او (کرخی) ز موسی رضا چه احسان یافت *** کفر بگذاشت ، راه ایمان یافت؛ خط: نستعلیق تحریری پخته ،کا: رونقعلی شاه، تا: قرن 13؛ برای مجذوبعلی شاه 5گ (67ر-63پ) [ف: 1 - 15]</w:t>
      </w:r>
    </w:p>
    <w:p>
      <w:pPr>
        <w:pStyle w:val="BookText"/>
      </w:pPr>
      <w:r>
        <w:rPr>
          <w:rFonts w:ascii="IRNazanin" w:hAnsi="IRNazanin" w:eastAsia="IRNazanin" w:cs="IRNazanin"/>
          <w:lang w:bidi="fa-IR"/>
          <w:color w:val="111111"/>
          <w:sz w:val="28"/>
          <w:szCs w:val="28"/>
          <w:rtl/>
        </w:rPr>
        <w:t xml:space="preserve">2 .تهران؛ دانشگاه؛ شماره نسخه: 10679/6</w:t>
      </w:r>
    </w:p>
    <w:p>
      <w:pPr>
        <w:pStyle w:val="BookText"/>
      </w:pPr>
      <w:r>
        <w:rPr>
          <w:rFonts w:ascii="IRNazanin" w:hAnsi="IRNazanin" w:eastAsia="IRNazanin" w:cs="IRNazanin"/>
          <w:lang w:bidi="fa-IR"/>
          <w:color w:val="111111"/>
          <w:sz w:val="28"/>
          <w:szCs w:val="28"/>
          <w:rtl/>
        </w:rPr>
        <w:t xml:space="preserve">آغاز چون از اشارات با بشارات فخر الأولياء و المحققين و تاج الاوصياء و المدققين حضرت شاه محقق و مبین گردید که شخص طالب را گزیری نیست جز آن که دست به دامن کامل مکملی زده؛ انجام: المؤمنون حى فى الدارين هر کسی سر از متابعت او پیچید بی سر باد. و السلام على من اتبع الهدى تحريراً في شهر شعبان المعظم سنة 1238. محل خاتم شريف مرحوم حاجی محمد جعفر طاب ثراه و ده مهر دیگر از حضار مجلس در پایین ورقه ثبت و ضبط استو مهر مرحوم حاج مزبور رفع الله مقامه: «صراط على حق نمسکه عبده محمد جعفر» و میانه وصل دو کاغذ پشت کاغذها مهر مرحوم حاج مزبور ثبت است. چهار موضع را هر فرموده اند</w:t>
      </w:r>
    </w:p>
    <w:p>
      <w:pPr>
        <w:pStyle w:val="BookText"/>
      </w:pPr>
      <w:r>
        <w:rPr>
          <w:rFonts w:ascii="IRNazanin" w:hAnsi="IRNazanin" w:eastAsia="IRNazanin" w:cs="IRNazanin"/>
          <w:lang w:bidi="fa-IR"/>
          <w:color w:val="111111"/>
          <w:sz w:val="28"/>
          <w:szCs w:val="28"/>
          <w:rtl/>
        </w:rPr>
        <w:t xml:space="preserve">خطاب به عبدالله بن محمد حسین بیکایی دامغانی در شعبان 1238ق. در آن می نویسد: این حقیر به عرض خلان صفا میرساند که جناب... آقا عبدالله ابن محمد حسین بیکایی دامغانی که در اطوار سیر و سلوک مرتبه قصوی و در مرحله ذکر دوام و فکر تمام پایه اعلی یافته و مورد امتحانات طريقه حقه ولويه به چندین اربعین گردیده و جمیع احوال او را به میزان تحقیق سنجیده و او را از رذایل نفسانیه مرده و به ملکات حسنه مستحسنه زنده یافته چنان چه در اجازه نامچه تفصیل احوالاتش مشروح است حسبة الله ترخص او را به ارشاد عباد بر خود لازم دانسته، در طریقت ملقب به انور علی شاه بين السالکین مفتخر نموده، پس این فرزند باید در خدمت مذکور مساعی مشکور به جلوه ظهور در آورده زمره سلاک را به قوت ولویه باطنیه متوجه تربیت شده چون بدرود عالم فانی مرا نزدیک [است]چنان که بیست و هفتم شهر شوال المكرم هذه السنة 1238 از مسکن مألوف که بیوک آباد است  روانه آستانه مقدسه حضرت معصومه به دارالايمان قم خاهم [خواهم] شد و پس از دریافت فیض زیارت آن معصومه از آن جا روانه آذربایجان که در عصر دوشنبه یازدهم شهر ذیقعده همین سال وارد دارالسلطنه تبریز می شوم و شب چهارشنبه بیست و یکم همین ماه مرض موت مرا خواهد دریافت و عصر چهارشنبه بیست و یکم ايضاً به درود عالم فانی خاهم [خواهم] نمود و در صحن مقدس حضرت شاه سید حمزه در جوار آن بزرگوار در محلی که خود معین نموده ام مدفون خاهم [خواهم ]گردید... و غرض از تسطیر این فقرات تعیین ولی خلف و تعدلو اولیای سلف بود. حقیر از جمله مریدهای قدوة المحققين و زبدة لواصلين حسینعلی شاه اصفهانی و آنحضرت فرزند جناب نور علی شاه اصفهانی و آن حضرت فرزند قطب دایره آفاق معصومعلی شاه دکنی و ... (و همه سلسله را تا معروف کرخی و امام رضا علیه السلام بالا می برد)</w:t>
      </w:r>
    </w:p>
    <w:p>
      <w:pPr>
        <w:pStyle w:val="BookText"/>
      </w:pPr>
      <w:r>
        <w:rPr>
          <w:rFonts w:ascii="IRNazanin" w:hAnsi="IRNazanin" w:eastAsia="IRNazanin" w:cs="IRNazanin"/>
          <w:lang w:bidi="fa-IR"/>
          <w:color w:val="111111"/>
          <w:sz w:val="28"/>
          <w:szCs w:val="28"/>
          <w:rtl/>
        </w:rPr>
        <w:t xml:space="preserve">خط: نستعلیق، بی کا، تا: قرن 13 و 14؛ جلد: تیماج زیتونی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63" w:name="pg20365_260083"/>
    <w:bookmarkEnd w:id="63"/>
    <w:p>
      <w:pPr>
        <w:pStyle w:val="BookText"/>
      </w:pPr>
      <w:r>
        <w:rPr>
          <w:rFonts w:ascii="IRNazanin" w:hAnsi="IRNazanin" w:eastAsia="IRNazanin" w:cs="IRNazanin"/>
          <w:lang w:bidi="fa-IR"/>
          <w:color w:val="111111"/>
          <w:sz w:val="28"/>
          <w:szCs w:val="28"/>
          <w:rtl/>
        </w:rPr>
        <w:t xml:space="preserve">مجدول 1گ (59 ر- 59 پ)، 16 سطر (8/5</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اندازه: 17</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سم [ف: 20 - 173]</w:t>
      </w:r>
    </w:p>
    <w:p>
      <w:pPr>
        <w:pStyle w:val="BookText"/>
      </w:pPr>
      <w:r>
        <w:rPr>
          <w:rFonts w:ascii="IRNazanin" w:hAnsi="IRNazanin" w:eastAsia="IRNazanin" w:cs="IRNazanin"/>
          <w:lang w:bidi="fa-IR"/>
          <w:color w:val="111111"/>
          <w:sz w:val="28"/>
          <w:szCs w:val="28"/>
          <w:rtl/>
        </w:rPr>
        <w:t xml:space="preserve">قم؛ گلپایگانی؛ شماره نسخه: 1645/7-9/195</w:t>
      </w:r>
    </w:p>
    <w:p>
      <w:pPr>
        <w:pStyle w:val="BookText"/>
      </w:pPr>
      <w:r>
        <w:rPr>
          <w:rFonts w:ascii="IRNazanin" w:hAnsi="IRNazanin" w:eastAsia="IRNazanin" w:cs="IRNazanin"/>
          <w:lang w:bidi="fa-IR"/>
          <w:color w:val="111111"/>
          <w:sz w:val="28"/>
          <w:szCs w:val="28"/>
          <w:rtl/>
        </w:rPr>
        <w:t xml:space="preserve">آغاز: صورت ارشاد نامه یکی از فرزندان. .. که آن فرزند درجه ارشاد را داشتند و ملقب به محب علی شاه بودند وفقه لما يحب ويرضی این است که بعد از سلوک واتمام مقامات مبتدئين از ذکر یونسیه و جبرئیله و مجاهدات نفسانیه؛ انجام: از این دستور العمل خواهیم داد و حقیر راقم الحروف محمدتقی در اربعین اول مشاهده روحانیات نموده با ایشان در نوم یقظه محشور بودم اللهم وفقنى لاتمامه بحرمة محمد و آله الاخيار.</w:t>
      </w:r>
    </w:p>
    <w:p>
      <w:pPr>
        <w:pStyle w:val="BookText"/>
      </w:pPr>
      <w:r>
        <w:rPr>
          <w:rFonts w:ascii="IRNazanin" w:hAnsi="IRNazanin" w:eastAsia="IRNazanin" w:cs="IRNazanin"/>
          <w:lang w:bidi="fa-IR"/>
          <w:color w:val="111111"/>
          <w:sz w:val="28"/>
          <w:szCs w:val="28"/>
          <w:rtl/>
        </w:rPr>
        <w:t xml:space="preserve">اجازه ای برای محبوب علی شاه؛ خط: نستعليق، كا: محمد تقی، بی تا، جلد: تیماج قهوه ای، 2گ، 15 سطر ، اندازه: 10/5</w:t>
      </w: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[ف: 1 - 316]</w:t>
      </w:r>
    </w:p>
    <w:p>
      <w:pPr>
        <w:pStyle w:val="Heading3"/>
      </w:pPr>
      <w:bookmarkStart w:id="660" w:name="_Toc182"/>
      <w:r>
        <w:t>ارشاد نامه / نامه نگاری / فارسی</w:t>
      </w:r>
      <w:bookmarkEnd w:id="660"/>
    </w:p>
    <w:p>
      <w:pPr>
        <w:pStyle w:val="BookText"/>
      </w:pPr>
      <w:r>
        <w:rPr>
          <w:rFonts w:ascii="Times New Roman" w:hAnsi="Times New Roman" w:eastAsia="Times New Roman" w:cs="Times New Roman"/>
          <w:lang w:val="en-US" w:bidi="en-US"/>
          <w:color w:val="111111"/>
          <w:sz w:val="28"/>
          <w:szCs w:val="28"/>
          <w:rtl/>
        </w:rPr>
        <w:t xml:space="preserve">eršād-nāme</w:t>
      </w:r>
    </w:p>
    <w:p>
      <w:pPr>
        <w:pStyle w:val="BookText"/>
      </w:pPr>
      <w:r>
        <w:rPr>
          <w:rFonts w:ascii="IRNazanin" w:hAnsi="IRNazanin" w:eastAsia="IRNazanin" w:cs="IRNazanin"/>
          <w:lang w:bidi="fa-IR"/>
          <w:color w:val="111111"/>
          <w:sz w:val="28"/>
          <w:szCs w:val="28"/>
          <w:rtl/>
        </w:rPr>
        <w:t xml:space="preserve">سلطانعلیشاه، سلطان محمد بن حيدر، 1251 - 1327 قمری</w:t>
      </w:r>
    </w:p>
    <w:p>
      <w:pPr>
        <w:pStyle w:val="BookText"/>
      </w:pPr>
      <w:r>
        <w:rPr>
          <w:rFonts w:ascii="Times New Roman" w:hAnsi="Times New Roman" w:eastAsia="Times New Roman" w:cs="Times New Roman"/>
          <w:lang w:val="en-US" w:bidi="en-US"/>
          <w:color w:val="111111"/>
          <w:sz w:val="28"/>
          <w:szCs w:val="28"/>
          <w:rtl/>
        </w:rPr>
        <w:t xml:space="preserve">(1909- soltān-‘alī-šāh, soltān-mohammad ebn-e heydar (1836</w:t>
      </w:r>
    </w:p>
    <w:p>
      <w:pPr>
        <w:pStyle w:val="BookText"/>
      </w:pPr>
      <w:r>
        <w:rPr>
          <w:rFonts w:ascii="IRNazanin" w:hAnsi="IRNazanin" w:eastAsia="IRNazanin" w:cs="IRNazanin"/>
          <w:lang w:bidi="fa-IR"/>
          <w:color w:val="111111"/>
          <w:sz w:val="28"/>
          <w:szCs w:val="28"/>
          <w:rtl/>
        </w:rPr>
        <w:t xml:space="preserve">نامه ای است (ظاهراً از سلطان علی شاه محمد بن حيدر محمد نعمت اللهی) درباره نظر علی شاه و حسنعلی شاه و در آن قید شده که درویشان بایستی اوامر حسنعلی شاه را اطاعت کنند.</w:t>
      </w:r>
    </w:p>
    <w:p>
      <w:pPr>
        <w:pStyle w:val="BookText"/>
      </w:pPr>
      <w:r>
        <w:rPr>
          <w:rFonts w:ascii="IRNazanin" w:hAnsi="IRNazanin" w:eastAsia="IRNazanin" w:cs="IRNazanin"/>
          <w:lang w:bidi="fa-IR"/>
          <w:color w:val="111111"/>
          <w:sz w:val="28"/>
          <w:szCs w:val="28"/>
          <w:rtl/>
        </w:rPr>
        <w:t xml:space="preserve">آغاز: بسمله راه نوردان طریق فقر و فنا و جرعه نوشان رحیق ثبات و بقاء فرزندان ارجمند رشادت پناه</w:t>
      </w:r>
    </w:p>
    <w:p>
      <w:pPr>
        <w:pStyle w:val="BookText"/>
      </w:pPr>
      <w:r>
        <w:rPr>
          <w:rFonts w:ascii="IRNazanin" w:hAnsi="IRNazanin" w:eastAsia="IRNazanin" w:cs="IRNazanin"/>
          <w:lang w:bidi="fa-IR"/>
          <w:color w:val="111111"/>
          <w:sz w:val="28"/>
          <w:szCs w:val="28"/>
          <w:rtl/>
        </w:rPr>
        <w:t xml:space="preserve">[فهرستواره منزوی 2003/3]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مجلس؛ شماره نسخه: 3706/3</w:t>
      </w:r>
    </w:p>
    <w:p>
      <w:pPr>
        <w:pStyle w:val="BookText"/>
      </w:pPr>
      <w:r>
        <w:rPr>
          <w:rFonts w:ascii="IRNazanin" w:hAnsi="IRNazanin" w:eastAsia="IRNazanin" w:cs="IRNazanin"/>
          <w:lang w:bidi="fa-IR"/>
          <w:color w:val="111111"/>
          <w:sz w:val="28"/>
          <w:szCs w:val="28"/>
          <w:rtl/>
        </w:rPr>
        <w:t xml:space="preserve">آغاز: برابر؛انجام؛ تا دست تصرف از ایشان کوتاه است بجهة اتمام حجت فرزند مشار اليه را بجهة تربيت (كلمه اخیر نشان صفحه بعد است که در نسخه نیست).</w:t>
      </w:r>
    </w:p>
    <w:p>
      <w:pPr>
        <w:pStyle w:val="BookText"/>
      </w:pPr>
      <w:r>
        <w:rPr>
          <w:rFonts w:ascii="IRNazanin" w:hAnsi="IRNazanin" w:eastAsia="IRNazanin" w:cs="IRNazanin"/>
          <w:lang w:bidi="fa-IR"/>
          <w:color w:val="111111"/>
          <w:sz w:val="28"/>
          <w:szCs w:val="28"/>
          <w:rtl/>
        </w:rPr>
        <w:t xml:space="preserve">در فهرست نام مؤلف ذکر نشده است و به استناد فهرستواره منزوی 2003/3 ذکر شد؛خط: نستعلیق، کا: محمد رضا گورکانی، تا: 1274ق؛ افتادگی: انجام؛ کاغذ: فرنگی،جلد: تیماج زرد یک لا، 2 ص )245-247 )، 12 سطر ، قطع: رقعی، اندا 11</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 [ف: 10 - 1677]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دانشگاه؛ شماره نسخه: 3167/2</w:t>
      </w:r>
    </w:p>
    <w:p>
      <w:pPr>
        <w:pStyle w:val="BookText"/>
      </w:pPr>
      <w:r>
        <w:rPr>
          <w:rFonts w:ascii="IRNazanin" w:hAnsi="IRNazanin" w:eastAsia="IRNazanin" w:cs="IRNazanin"/>
          <w:lang w:bidi="fa-IR"/>
          <w:color w:val="111111"/>
          <w:sz w:val="28"/>
          <w:szCs w:val="28"/>
          <w:rtl/>
        </w:rPr>
        <w:t xml:space="preserve">اجازه و ارشادنامه؛ خط: نستعلیق بی کا، بی تا؛ کاغذ: فرنگی، جلد: تیماج حنایی ضربی ،مقوایی اگ(7 ر - 8 ر ) ، 16 سطر (5/5</w:t>
      </w: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اندازه: 10/5</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11 - 2130]</w:t>
      </w:r>
    </w:p>
    <w:p>
      <w:pPr>
        <w:pStyle w:val="Heading3"/>
      </w:pPr>
      <w:bookmarkStart w:id="661" w:name="_Toc183"/>
      <w:r>
        <w:t>ارشاد نامه / عرفان و تصوف / فارسی</w:t>
      </w:r>
      <w:bookmarkEnd w:id="661"/>
    </w:p>
    <w:p>
      <w:pPr>
        <w:pStyle w:val="BookText"/>
      </w:pPr>
      <w:r>
        <w:rPr>
          <w:rFonts w:ascii="Times New Roman" w:hAnsi="Times New Roman" w:eastAsia="Times New Roman" w:cs="Times New Roman"/>
          <w:lang w:val="en-US" w:bidi="en-US"/>
          <w:color w:val="111111"/>
          <w:sz w:val="28"/>
          <w:szCs w:val="28"/>
          <w:rtl/>
        </w:rPr>
        <w:t xml:space="preserve">(eršād-nāme</w:t>
      </w:r>
    </w:p>
    <w:p>
      <w:pPr>
        <w:pStyle w:val="BookText"/>
      </w:pPr>
      <w:r>
        <w:rPr>
          <w:rFonts w:ascii="IRNazanin" w:hAnsi="IRNazanin" w:eastAsia="IRNazanin" w:cs="IRNazanin"/>
          <w:lang w:bidi="fa-IR"/>
          <w:color w:val="111111"/>
          <w:sz w:val="28"/>
          <w:szCs w:val="28"/>
          <w:rtl/>
        </w:rPr>
        <w:t xml:space="preserve">غلام رضا</w:t>
      </w:r>
    </w:p>
    <w:p>
      <w:pPr>
        <w:pStyle w:val="BookText"/>
      </w:pPr>
      <w:r>
        <w:rPr>
          <w:rFonts w:ascii="Times New Roman" w:hAnsi="Times New Roman" w:eastAsia="Times New Roman" w:cs="Times New Roman"/>
          <w:lang w:val="en-US" w:bidi="en-US"/>
          <w:color w:val="111111"/>
          <w:sz w:val="28"/>
          <w:szCs w:val="28"/>
          <w:rtl/>
        </w:rPr>
        <w:t xml:space="preserve">qolām rezā</w:t>
      </w:r>
    </w:p>
    <w:p>
      <w:pPr>
        <w:pStyle w:val="BookText"/>
      </w:pPr>
      <w:r>
        <w:rPr>
          <w:rFonts w:ascii="IRNazanin" w:hAnsi="IRNazanin" w:eastAsia="IRNazanin" w:cs="IRNazanin"/>
          <w:lang w:bidi="fa-IR"/>
          <w:color w:val="111111"/>
          <w:sz w:val="28"/>
          <w:szCs w:val="28"/>
          <w:rtl/>
        </w:rPr>
        <w:t xml:space="preserve">صورت ارشاد نامه ای است که استاد غلام رضا برای کاتب نسخه (محمد تقی) نوشته است.</w:t>
      </w:r>
    </w:p>
    <w:p>
      <w:pPr>
        <w:pStyle w:val="BookText"/>
      </w:pPr>
      <w:r>
        <w:rPr>
          <w:rFonts w:ascii="IRNazanin" w:hAnsi="IRNazanin" w:eastAsia="IRNazanin" w:cs="IRNazanin"/>
          <w:lang w:bidi="fa-IR"/>
          <w:color w:val="111111"/>
          <w:sz w:val="28"/>
          <w:szCs w:val="28"/>
          <w:rtl/>
        </w:rPr>
        <w:t xml:space="preserve">آغاز: بسم الله العلى العظيم الرحمن الرحيم قال على عليه السلام عليكم بتقوى الله فى السرو والعلانية وقلة الطعام وقلة المنام. .. اما بعد بحول الله تعالى در ثلث آخر شب چون از خواب بیدار شود استغفار كبير سه بار وهو استغفر الله الذى لا اله الا هو الحي القيوم</w:t>
      </w:r>
    </w:p>
    <w:p>
      <w:pPr>
        <w:pStyle w:val="BookText"/>
      </w:pPr>
      <w:r>
        <w:rPr>
          <w:rFonts w:ascii="IRNazanin" w:hAnsi="IRNazanin" w:eastAsia="IRNazanin" w:cs="IRNazanin"/>
          <w:lang w:bidi="fa-IR"/>
          <w:color w:val="111111"/>
          <w:sz w:val="28"/>
          <w:szCs w:val="28"/>
          <w:rtl/>
        </w:rPr>
        <w:t xml:space="preserve">قم؛ گلپایگانی؛ شماره نسخه: 1645/6-9/195</w:t>
      </w:r>
    </w:p>
    <w:p>
      <w:pPr>
        <w:pStyle w:val="BookText"/>
      </w:pPr>
      <w:r>
        <w:rPr>
          <w:rFonts w:ascii="IRNazanin" w:hAnsi="IRNazanin" w:eastAsia="IRNazanin" w:cs="IRNazanin"/>
          <w:lang w:bidi="fa-IR"/>
          <w:color w:val="111111"/>
          <w:sz w:val="28"/>
          <w:szCs w:val="28"/>
          <w:rtl/>
        </w:rPr>
        <w:t xml:space="preserve">آغاز: برابر؛ انجام : موجب ازدیاد نور و استنباط آن شده که قلب را آن نور خرد گیرد</w:t>
      </w:r>
    </w:p>
    <w:p>
      <w:pPr>
        <w:pStyle w:val="BookText"/>
      </w:pPr>
      <w:r>
        <w:rPr>
          <w:rFonts w:ascii="IRNazanin" w:hAnsi="IRNazanin" w:eastAsia="IRNazanin" w:cs="IRNazanin"/>
          <w:lang w:bidi="fa-IR"/>
          <w:color w:val="111111"/>
          <w:sz w:val="28"/>
          <w:szCs w:val="28"/>
          <w:rtl/>
        </w:rPr>
        <w:t xml:space="preserve">خط: نستعلیق، کا: محمد تقی، بی تا؛ جلد: تیماج قهوه ای، 2گ، 19 سطر ، اندازه: 10/5</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1 – 317]</w:t>
      </w:r>
    </w:p>
    <w:p>
      <w:pPr>
        <w:pStyle w:val="Heading3"/>
      </w:pPr>
      <w:bookmarkStart w:id="662" w:name="_Toc184"/>
      <w:r>
        <w:t>ارشاد نامه / تراجم / فارسی</w:t>
      </w:r>
      <w:bookmarkEnd w:id="662"/>
    </w:p>
    <w:p>
      <w:pPr>
        <w:pStyle w:val="BookText"/>
      </w:pPr>
      <w:r>
        <w:rPr>
          <w:rFonts w:ascii="Times New Roman" w:hAnsi="Times New Roman" w:eastAsia="Times New Roman" w:cs="Times New Roman"/>
          <w:lang w:val="en-US" w:bidi="en-US"/>
          <w:color w:val="111111"/>
          <w:sz w:val="28"/>
          <w:szCs w:val="28"/>
          <w:rtl/>
        </w:rPr>
        <w:t xml:space="preserve">eršād-nāme</w:t>
      </w:r>
    </w:p>
    <w:p>
      <w:pPr>
        <w:pStyle w:val="BookText"/>
      </w:pPr>
      <w:r>
        <w:rPr>
          <w:rFonts w:ascii="IRNazanin" w:hAnsi="IRNazanin" w:eastAsia="IRNazanin" w:cs="IRNazanin"/>
          <w:lang w:bidi="fa-IR"/>
          <w:color w:val="111111"/>
          <w:sz w:val="28"/>
          <w:szCs w:val="28"/>
          <w:rtl/>
        </w:rPr>
        <w:t xml:space="preserve">تهران؛ دائرة المعارف؛ شماره نسخه: 246/5-عکسی</w:t>
      </w:r>
    </w:p>
    <w:p>
      <w:pPr>
        <w:pStyle w:val="BookText"/>
      </w:pPr>
      <w:r>
        <w:rPr>
          <w:rFonts w:ascii="IRNazanin" w:hAnsi="IRNazanin" w:eastAsia="IRNazanin" w:cs="IRNazanin"/>
          <w:lang w:bidi="fa-IR"/>
          <w:color w:val="111111"/>
          <w:sz w:val="28"/>
          <w:szCs w:val="28"/>
          <w:rtl/>
        </w:rPr>
        <w:t xml:space="preserve">آغاز: باسمه ،سبحانه ارشاد (نامه ) حضرت مخدومی رجوی اسلامی ملاذى ملاذ الانامى غوث حقيقة الحق. .. شيخ حاجى محمد الخبوشانی (رح) بسمله . الحمد لله الذى نور مشكاة قلوب العارفين بانوار التجليات زوايا صدور العاشقين. .. اما بعد، چون حضرت رب الارباب به عنایت بی علت خود بعضی طالبان صادق ثابت قدم؛ انجام: و هو من شيخ حبيب حضرت الله محمد (صلّی اللَّهِ علیه وَ آلِهِ وَ سَلَّمَ ) تمت.</w:t>
      </w:r>
    </w:p>
    <w:p>
      <w:pPr>
        <w:pStyle w:val="BookText"/>
      </w:pPr>
      <w:r>
        <w:rPr>
          <w:rFonts w:ascii="IRNazanin" w:hAnsi="IRNazanin" w:eastAsia="IRNazanin" w:cs="IRNazanin"/>
          <w:lang w:bidi="fa-IR"/>
          <w:color w:val="111111"/>
          <w:sz w:val="28"/>
          <w:szCs w:val="28"/>
          <w:rtl/>
        </w:rPr>
        <w:t xml:space="preserve">اصل نسخه: گنج بخشش 5250 گویا فهرست نشده، از پدر خبوشانی به «فرزند سعادتمند مسند نشین قوانین شریعت... ابوالمیامن. .. شیخ حاجی محمد بن مرحوم مبرور خواجه جلال الدين يوسف المنصور الخبوشانی اطال الله عمره» که مدت مدید غربت اختیار کرده و علوم دینیه را در دار العلم هرات نزد علمای کبار ورزیده و به صحبت درویشان شتافته و پس از شدت مجاهدت به شرف مشاهده و لقا رسیده، و پیش از این «اجازه ارشاد» به دل و زبان جاری داشته بودم خواستم که مقید به کتابت گردد، تا به تربیت و توبه و تلقین و ذکر دیگران بپردازد. ارشاد کننده از خود نام نمی برد، جز آنکه زنجیره ارشاد خود را می آورد: رشیدالملة و الدین محمد بیدوازی (نفیسی( 320/1 که از وی به بیدآوزی متخلص به رشید، قرن 9ق نام می برد)، امیر سید عبدالله برزش آبادی ،(همانجا) خواجه قطب الدین اسحاق ختلانی، میر سید علی همدانی، مرزوقانی ،علاء الدوله سمنانی تا حضرت علی و پیامبر (صلّی اللَّهِ علیه وَ آلِهِ وَ سَلَّمَ )؛ خط: نستعلیق تحریری پخته، بی کا ، تا 1003ق؛ 3 ص (19- 21) [ عکسی ف: 2 - 18]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64" w:name="pg20365_260084"/>
    <w:bookmarkEnd w:id="64"/>
    <w:p>
      <w:pPr>
        <w:pStyle w:val="Heading3"/>
      </w:pPr>
      <w:bookmarkStart w:id="663" w:name="_Toc185"/>
      <w:r>
        <w:t>ارشاد نامه / عرفان و تصوف / فارسی</w:t>
      </w:r>
      <w:bookmarkEnd w:id="663"/>
    </w:p>
    <w:p>
      <w:pPr>
        <w:pStyle w:val="BookText"/>
      </w:pPr>
      <w:r>
        <w:rPr>
          <w:rFonts w:ascii="Times New Roman" w:hAnsi="Times New Roman" w:eastAsia="Times New Roman" w:cs="Times New Roman"/>
          <w:lang w:val="en-US" w:bidi="en-US"/>
          <w:color w:val="111111"/>
          <w:sz w:val="28"/>
          <w:szCs w:val="28"/>
          <w:rtl/>
        </w:rPr>
        <w:t xml:space="preserve">eršād-nāme</w:t>
      </w:r>
    </w:p>
    <w:p>
      <w:pPr>
        <w:pStyle w:val="BookText"/>
      </w:pPr>
      <w:r>
        <w:rPr>
          <w:rFonts w:ascii="IRNazanin" w:hAnsi="IRNazanin" w:eastAsia="IRNazanin" w:cs="IRNazanin"/>
          <w:lang w:bidi="fa-IR"/>
          <w:color w:val="111111"/>
          <w:sz w:val="28"/>
          <w:szCs w:val="28"/>
          <w:rtl/>
        </w:rPr>
        <w:t xml:space="preserve">تهران؛ ملک؛ شماره نسخه: 1732/16</w:t>
      </w:r>
    </w:p>
    <w:p>
      <w:pPr>
        <w:pStyle w:val="BookText"/>
      </w:pPr>
      <w:r>
        <w:rPr>
          <w:rFonts w:ascii="IRNazanin" w:hAnsi="IRNazanin" w:eastAsia="IRNazanin" w:cs="IRNazanin"/>
          <w:lang w:bidi="fa-IR"/>
          <w:color w:val="111111"/>
          <w:sz w:val="28"/>
          <w:szCs w:val="28"/>
          <w:rtl/>
        </w:rPr>
        <w:t xml:space="preserve">از نظر علی شاه و حسین علی شاه؛ خط: شکسته نستعلیق، بی کا، بی تا؛ اگ (127پ - 138 ر) [ف: 5 - 351]</w:t>
      </w:r>
    </w:p>
    <w:p>
      <w:pPr>
        <w:pStyle w:val="Heading3"/>
      </w:pPr>
      <w:bookmarkStart w:id="664" w:name="_Toc186"/>
      <w:r>
        <w:t>ارشاد النبوية الى السعادة الابدية / كلام و اعتقادات / فارسی</w:t>
      </w:r>
      <w:bookmarkEnd w:id="664"/>
    </w:p>
    <w:p>
      <w:pPr>
        <w:pStyle w:val="BookText"/>
      </w:pPr>
      <w:r>
        <w:rPr>
          <w:rFonts w:ascii="Times New Roman" w:hAnsi="Times New Roman" w:eastAsia="Times New Roman" w:cs="Times New Roman"/>
          <w:lang w:val="en-US" w:bidi="en-US"/>
          <w:color w:val="111111"/>
          <w:sz w:val="28"/>
          <w:szCs w:val="28"/>
          <w:rtl/>
        </w:rPr>
        <w:t xml:space="preserve">iršād-un nabawīya ila-s s‘ādat-il abadīya</w:t>
      </w:r>
    </w:p>
    <w:p>
      <w:pPr>
        <w:pStyle w:val="BookText"/>
      </w:pPr>
      <w:r>
        <w:rPr>
          <w:rFonts w:ascii="IRNazanin" w:hAnsi="IRNazanin" w:eastAsia="IRNazanin" w:cs="IRNazanin"/>
          <w:lang w:bidi="fa-IR"/>
          <w:color w:val="111111"/>
          <w:sz w:val="28"/>
          <w:szCs w:val="28"/>
          <w:rtl/>
        </w:rPr>
        <w:t xml:space="preserve">واعظى ،على بن محمود، ق 14 قمری</w:t>
      </w:r>
    </w:p>
    <w:p>
      <w:pPr>
        <w:pStyle w:val="BookText"/>
      </w:pPr>
      <w:r>
        <w:rPr>
          <w:rFonts w:ascii="Times New Roman" w:hAnsi="Times New Roman" w:eastAsia="Times New Roman" w:cs="Times New Roman"/>
          <w:lang w:val="en-US" w:bidi="en-US"/>
          <w:color w:val="111111"/>
          <w:sz w:val="28"/>
          <w:szCs w:val="28"/>
          <w:rtl/>
        </w:rPr>
        <w:t xml:space="preserve">(vā‘ezī, ‘alī ebn-e mahmūd ( - 20c)</w:t>
      </w:r>
    </w:p>
    <w:p>
      <w:pPr>
        <w:pStyle w:val="BookText"/>
      </w:pPr>
      <w:r>
        <w:rPr>
          <w:rFonts w:ascii="IRNazanin" w:hAnsi="IRNazanin" w:eastAsia="IRNazanin" w:cs="IRNazanin"/>
          <w:lang w:bidi="fa-IR"/>
          <w:color w:val="111111"/>
          <w:sz w:val="28"/>
          <w:szCs w:val="28"/>
          <w:rtl/>
        </w:rPr>
        <w:t xml:space="preserve">تاریخ تألیف: نیمه شعبان 1392ق</w:t>
      </w:r>
    </w:p>
    <w:p>
      <w:pPr>
        <w:pStyle w:val="BookText"/>
      </w:pPr>
      <w:r>
        <w:rPr>
          <w:rFonts w:ascii="IRNazanin" w:hAnsi="IRNazanin" w:eastAsia="IRNazanin" w:cs="IRNazanin"/>
          <w:lang w:bidi="fa-IR"/>
          <w:color w:val="111111"/>
          <w:sz w:val="28"/>
          <w:szCs w:val="28"/>
          <w:rtl/>
        </w:rPr>
        <w:t xml:space="preserve">کتابی در چهل «فصل» مشتمل بر مطالب اعتقادی و اخلاقی و بعضی از واجبات دینی و فقهی که گویا برای واعظان و اهل منبر، نگاشته شده و در آخر هر فصل، به ذکر مصیبت اهل بیت (علیه السّلام) پرداخته است. این کتاب در دو جلد تنظیم شده وجلد دوم آن نیمه ماه شعبان 1392 به پایان رسیده است.</w:t>
      </w:r>
    </w:p>
    <w:p>
      <w:pPr>
        <w:pStyle w:val="BookText"/>
      </w:pPr>
      <w:r>
        <w:rPr>
          <w:rFonts w:ascii="IRNazanin" w:hAnsi="IRNazanin" w:eastAsia="IRNazanin" w:cs="IRNazanin"/>
          <w:lang w:bidi="fa-IR"/>
          <w:color w:val="111111"/>
          <w:sz w:val="28"/>
          <w:szCs w:val="28"/>
          <w:rtl/>
        </w:rPr>
        <w:t xml:space="preserve">[فهرستواره منزوی (82/9]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مرعشی؛ شماره نسخه: 6973</w:t>
      </w:r>
    </w:p>
    <w:p>
      <w:pPr>
        <w:pStyle w:val="BookText"/>
      </w:pPr>
      <w:r>
        <w:rPr>
          <w:rFonts w:ascii="IRNazanin" w:hAnsi="IRNazanin" w:eastAsia="IRNazanin" w:cs="IRNazanin"/>
          <w:lang w:bidi="fa-IR"/>
          <w:color w:val="111111"/>
          <w:sz w:val="28"/>
          <w:szCs w:val="28"/>
          <w:rtl/>
        </w:rPr>
        <w:t xml:space="preserve">آغاز: فصل پنجم در حج است و تحج البيت اذا كان لك مال و کنت مستطیعاً  و حج بگذاری خانه خدا را؛ انجام: خداوند ستار العیوب است و دوست می دارد عیب پوشی را الحمد لله أولا و آخراً و ظاهراً وباطناً</w:t>
      </w:r>
    </w:p>
    <w:p>
      <w:pPr>
        <w:pStyle w:val="BookText"/>
      </w:pPr>
      <w:r>
        <w:rPr>
          <w:rFonts w:ascii="IRNazanin" w:hAnsi="IRNazanin" w:eastAsia="IRNazanin" w:cs="IRNazanin"/>
          <w:lang w:bidi="fa-IR"/>
          <w:color w:val="111111"/>
          <w:sz w:val="28"/>
          <w:szCs w:val="28"/>
          <w:rtl/>
        </w:rPr>
        <w:t xml:space="preserve">خط: نستعليق، كاتب - مؤلف، بی تا، افتادگی: آغاز؛ جلد: تیماج قهوه ای ، 264گ ، مختلف السطر ، اندازه: 16</w:t>
      </w:r>
      <w:r>
        <w:rPr>
          <w:rFonts w:ascii="Times New Roman" w:hAnsi="Times New Roman" w:eastAsia="Times New Roman" w:cs="Times New Roman"/>
          <w:lang w:val="en-US" w:bidi="en-US"/>
          <w:color w:val="111111"/>
          <w:sz w:val="28"/>
          <w:szCs w:val="28"/>
          <w:rtl/>
        </w:rPr>
        <w:t xml:space="preserve">×20/5</w:t>
      </w:r>
      <w:r>
        <w:rPr>
          <w:rFonts w:ascii="IRNazanin" w:hAnsi="IRNazanin" w:eastAsia="IRNazanin" w:cs="IRNazanin"/>
          <w:lang w:bidi="fa-IR"/>
          <w:color w:val="111111"/>
          <w:sz w:val="28"/>
          <w:szCs w:val="28"/>
          <w:rtl/>
        </w:rPr>
        <w:t xml:space="preserve">سم [ف: 18 - 150]</w:t>
      </w:r>
    </w:p>
    <w:p>
      <w:pPr>
        <w:pStyle w:val="Heading3"/>
      </w:pPr>
      <w:bookmarkStart w:id="665" w:name="_Toc187"/>
      <w:r>
        <w:t>ارشاد النقاد الى تيسير الاجتهاد / حدیث / عربي</w:t>
      </w:r>
      <w:bookmarkEnd w:id="665"/>
    </w:p>
    <w:p>
      <w:pPr>
        <w:pStyle w:val="BookText"/>
      </w:pPr>
      <w:r>
        <w:rPr>
          <w:rFonts w:ascii="Times New Roman" w:hAnsi="Times New Roman" w:eastAsia="Times New Roman" w:cs="Times New Roman"/>
          <w:lang w:val="en-US" w:bidi="en-US"/>
          <w:color w:val="111111"/>
          <w:sz w:val="28"/>
          <w:szCs w:val="28"/>
          <w:rtl/>
        </w:rPr>
        <w:t xml:space="preserve">iršād-un-naqqād ila taysīr-il-ijtihād</w:t>
      </w:r>
    </w:p>
    <w:p>
      <w:pPr>
        <w:pStyle w:val="BookText"/>
      </w:pPr>
      <w:r>
        <w:rPr>
          <w:rFonts w:ascii="IRNazanin" w:hAnsi="IRNazanin" w:eastAsia="IRNazanin" w:cs="IRNazanin"/>
          <w:lang w:bidi="fa-IR"/>
          <w:color w:val="111111"/>
          <w:sz w:val="28"/>
          <w:szCs w:val="28"/>
          <w:rtl/>
        </w:rPr>
        <w:t xml:space="preserve">امیر صنعانی، محمد بن اسماعیل، 1099 - 1182 قمری</w:t>
      </w:r>
    </w:p>
    <w:p>
      <w:pPr>
        <w:pStyle w:val="BookText"/>
      </w:pPr>
      <w:r>
        <w:rPr>
          <w:rFonts w:ascii="Times New Roman" w:hAnsi="Times New Roman" w:eastAsia="Times New Roman" w:cs="Times New Roman"/>
          <w:lang w:val="en-US" w:bidi="en-US"/>
          <w:color w:val="111111"/>
          <w:sz w:val="28"/>
          <w:szCs w:val="28"/>
          <w:rtl/>
        </w:rPr>
        <w:t xml:space="preserve">(1769- amīr-e san‘ānī, mohammad ebn-e esmā‘īl (1688 -</w:t>
      </w:r>
    </w:p>
    <w:p>
      <w:pPr>
        <w:pStyle w:val="BookText"/>
      </w:pPr>
      <w:r>
        <w:rPr>
          <w:rFonts w:ascii="IRNazanin" w:hAnsi="IRNazanin" w:eastAsia="IRNazanin" w:cs="IRNazanin"/>
          <w:lang w:bidi="fa-IR"/>
          <w:color w:val="111111"/>
          <w:sz w:val="28"/>
          <w:szCs w:val="28"/>
          <w:rtl/>
        </w:rPr>
        <w:t xml:space="preserve">در این که آیا در توثیق راوی یا تضعیف وی و همچنین در ضعیف یا صحیح دانستن روایت اجتهاد لازم  است یا می توان گفته های علمای رجال و حدیث را قبول کرد؟ در این رساله  ضمن چند فصل کوتاه اثبات می کند که قول بزرگان در این موضوع مورد قبول می باشد و اجتهاد برای متأخرین نیز امکان دارد.</w:t>
      </w:r>
    </w:p>
    <w:p>
      <w:pPr>
        <w:pStyle w:val="BookText"/>
      </w:pPr>
      <w:r>
        <w:rPr>
          <w:rFonts w:ascii="Amiri" w:hAnsi="Amiri" w:eastAsia="Amiri" w:cs="Amiri"/>
          <w:lang w:bidi="ar-SA"/>
          <w:color w:val="111111"/>
          <w:sz w:val="28"/>
          <w:szCs w:val="28"/>
          <w:rtl/>
        </w:rPr>
        <w:t xml:space="preserve">آغاز: الحمد لله الذى ذلل صعاب العلوم الاجتهادية لعلماء الامه و حفظها بأساطين الحفاظ و جهابذة الائمة</w:t>
      </w:r>
    </w:p>
    <w:p>
      <w:pPr>
        <w:pStyle w:val="BookText"/>
      </w:pPr>
      <w:r>
        <w:rPr>
          <w:rFonts w:ascii="IRNazanin" w:hAnsi="IRNazanin" w:eastAsia="IRNazanin" w:cs="IRNazanin"/>
          <w:lang w:bidi="fa-IR"/>
          <w:color w:val="111111"/>
          <w:sz w:val="28"/>
          <w:szCs w:val="28"/>
          <w:rtl/>
        </w:rPr>
        <w:t xml:space="preserve">انجام: و علی آله حمال المعارف و عيبة كل عارف ما أقام الصلاة من عند الله و قامت بربها الاشياء</w:t>
      </w:r>
    </w:p>
    <w:p>
      <w:pPr>
        <w:pStyle w:val="BookText"/>
      </w:pPr>
      <w:r>
        <w:rPr>
          <w:rFonts w:ascii="IRNazanin" w:hAnsi="IRNazanin" w:eastAsia="IRNazanin" w:cs="IRNazanin"/>
          <w:lang w:bidi="fa-IR"/>
          <w:color w:val="111111"/>
          <w:sz w:val="28"/>
          <w:szCs w:val="28"/>
          <w:rtl/>
        </w:rPr>
        <w:t xml:space="preserve">چاپ: ضمن «مجموعة الرسائل المنيرية» رياض و قاهره، مكتبة الطيبة ودار الكلمة الطيبة، 1346ق (جلد اول ص 1 - 47)</w:t>
      </w:r>
    </w:p>
    <w:p>
      <w:pPr>
        <w:pStyle w:val="BookText"/>
      </w:pPr>
      <w:r>
        <w:rPr>
          <w:rFonts w:ascii="IRNazanin" w:hAnsi="IRNazanin" w:eastAsia="IRNazanin" w:cs="IRNazanin"/>
          <w:lang w:bidi="fa-IR"/>
          <w:color w:val="111111"/>
          <w:sz w:val="28"/>
          <w:szCs w:val="28"/>
          <w:rtl/>
        </w:rPr>
        <w:t xml:space="preserve">قم؛ مرعشی؛ شماره نسخه: 5015/5</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احمد بن محمد بن علی بن محمد بن عامر، تا: شنبه 26 صفر 1167ق؛ مصحح، محشى؛ جلد: مقوایی عطف تیماج قهوه ای، 9گ (21 ر - 30ر) ، اندازه: 15/5</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13 - 211]</w:t>
      </w:r>
    </w:p>
    <w:p>
      <w:pPr>
        <w:pStyle w:val="Heading3"/>
      </w:pPr>
      <w:bookmarkStart w:id="666" w:name="_Toc188"/>
      <w:r>
        <w:t>ارشاد الواعظين و تذكرة الذاكرین = روح الجنان / گوناگون / فارسی</w:t>
      </w:r>
      <w:bookmarkEnd w:id="666"/>
    </w:p>
    <w:p>
      <w:pPr>
        <w:pStyle w:val="BookText"/>
      </w:pPr>
      <w:r>
        <w:rPr>
          <w:rFonts w:ascii="Times New Roman" w:hAnsi="Times New Roman" w:eastAsia="Times New Roman" w:cs="Times New Roman"/>
          <w:lang w:val="en-US" w:bidi="en-US"/>
          <w:color w:val="111111"/>
          <w:sz w:val="28"/>
          <w:szCs w:val="28"/>
          <w:rtl/>
        </w:rPr>
        <w:t xml:space="preserve">eršād-ol-vā ezīn va tazkerat-oz-zākerīn = rūh-ol-jenān</w:t>
      </w:r>
    </w:p>
    <w:p>
      <w:pPr>
        <w:pStyle w:val="BookText"/>
      </w:pPr>
      <w:r>
        <w:rPr>
          <w:rFonts w:ascii="IRNazanin" w:hAnsi="IRNazanin" w:eastAsia="IRNazanin" w:cs="IRNazanin"/>
          <w:lang w:bidi="fa-IR"/>
          <w:color w:val="111111"/>
          <w:sz w:val="28"/>
          <w:szCs w:val="28"/>
          <w:rtl/>
        </w:rPr>
        <w:t xml:space="preserve">نجفی، عبد الصاحب بن محمد علی، ق 14 قمری</w:t>
      </w:r>
    </w:p>
    <w:p>
      <w:pPr>
        <w:pStyle w:val="BookText"/>
      </w:pPr>
      <w:r>
        <w:rPr>
          <w:rFonts w:ascii="Times New Roman" w:hAnsi="Times New Roman" w:eastAsia="Times New Roman" w:cs="Times New Roman"/>
          <w:lang w:val="en-US" w:bidi="en-US"/>
          <w:color w:val="111111"/>
          <w:sz w:val="28"/>
          <w:szCs w:val="28"/>
          <w:rtl/>
        </w:rPr>
        <w:t xml:space="preserve">(najafi, ‘abd-os-saheb ebn-e mohammad ‘alī ( - 20c)</w:t>
      </w:r>
    </w:p>
    <w:p>
      <w:pPr>
        <w:pStyle w:val="BookText"/>
      </w:pPr>
      <w:r>
        <w:rPr>
          <w:rFonts w:ascii="IRNazanin" w:hAnsi="IRNazanin" w:eastAsia="IRNazanin" w:cs="IRNazanin"/>
          <w:lang w:bidi="fa-IR"/>
          <w:color w:val="111111"/>
          <w:sz w:val="28"/>
          <w:szCs w:val="28"/>
          <w:rtl/>
        </w:rPr>
        <w:t xml:space="preserve">تاریخ تأليف: 17 ذیقعده 1383ق</w:t>
      </w:r>
    </w:p>
    <w:p>
      <w:pPr>
        <w:pStyle w:val="BookText"/>
      </w:pPr>
      <w:r>
        <w:rPr>
          <w:rFonts w:ascii="IRNazanin" w:hAnsi="IRNazanin" w:eastAsia="IRNazanin" w:cs="IRNazanin"/>
          <w:lang w:bidi="fa-IR"/>
          <w:color w:val="111111"/>
          <w:sz w:val="28"/>
          <w:szCs w:val="28"/>
          <w:rtl/>
        </w:rPr>
        <w:t xml:space="preserve">کتابی است مفید و سودمند در چهل مجلس شامل آیات و روایات در بیان ایمان و کفر و شمه ای از فضایل و مناقب و اخلاق و مصایب حضرات معصومین (علیهم السّلام) می باشد. نام کتاب به تصریح مؤلف در مقدمه و خاتمه «ارشاد الواعظین» است ولی به خط مغایر و نیز در شناسنامه آن را روح الجنان نام نهاده اند.</w:t>
      </w:r>
    </w:p>
    <w:p>
      <w:pPr>
        <w:pStyle w:val="BookText"/>
      </w:pPr>
      <w:r>
        <w:rPr>
          <w:rFonts w:ascii="IRNazanin" w:hAnsi="IRNazanin" w:eastAsia="IRNazanin" w:cs="IRNazanin"/>
          <w:lang w:bidi="fa-IR"/>
          <w:color w:val="111111"/>
          <w:sz w:val="28"/>
          <w:szCs w:val="28"/>
          <w:rtl/>
        </w:rPr>
        <w:t xml:space="preserve">جلد دوم حاوی 20 مجلس که کلاً با آیات شریفه شروع شده و اهم مطالب آن به شرح زیر است: جریان هاروت و ماروت، عصمت فرشتگان و انبیا ماه های حرام، قصه داوود (علیه السّلام) و اصحاب رس ،قارون ماجرای سقیفه فدک، شفاعت نبی اکرم ائمه اطهار و مطالب دیگر در پند و اندرز و آداب و سنن و  اخلاق</w:t>
      </w:r>
    </w:p>
    <w:p>
      <w:pPr>
        <w:pStyle w:val="BookText"/>
      </w:pPr>
      <w:r>
        <w:rPr>
          <w:rFonts w:ascii="IRNazanin" w:hAnsi="IRNazanin" w:eastAsia="IRNazanin" w:cs="IRNazanin"/>
          <w:lang w:bidi="fa-IR"/>
          <w:color w:val="111111"/>
          <w:sz w:val="28"/>
          <w:szCs w:val="28"/>
          <w:rtl/>
        </w:rPr>
        <w:t xml:space="preserve">آغاز: بسمله بعرض اخوان دینی و احباء روحانی از اهل علم و سلسله جلیله اهل منبر .. میرساند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مشهد؛ رضوی؛ شماره نسخه: 17727</w:t>
      </w:r>
    </w:p>
    <w:p>
      <w:pPr>
        <w:pStyle w:val="BookText"/>
      </w:pPr>
      <w:r>
        <w:rPr>
          <w:rFonts w:ascii="IRNazanin" w:hAnsi="IRNazanin" w:eastAsia="IRNazanin" w:cs="IRNazanin"/>
          <w:lang w:bidi="fa-IR"/>
          <w:color w:val="111111"/>
          <w:sz w:val="28"/>
          <w:szCs w:val="28"/>
          <w:rtl/>
        </w:rPr>
        <w:t xml:space="preserve">آغاز :برابر؛ انجام: و نکتب ماقدموا و آثارهم و الحمدلله رب العالمين. .. عليه توكلت و اليه انيب.</w:t>
      </w:r>
    </w:p>
    <w:p>
      <w:pPr>
        <w:pStyle w:val="BookText"/>
      </w:pPr>
      <w:r>
        <w:rPr>
          <w:rFonts w:ascii="IRNazanin" w:hAnsi="IRNazanin" w:eastAsia="IRNazanin" w:cs="IRNazanin"/>
          <w:lang w:bidi="fa-IR"/>
          <w:color w:val="111111"/>
          <w:sz w:val="28"/>
          <w:szCs w:val="28"/>
          <w:rtl/>
        </w:rPr>
        <w:t xml:space="preserve">جلد 1 ؛خط: نستعليق، كاتب - مؤلف، تا: 15 رجب 1372ق، جا: مشهد رضوی؛ مجدول؛ واقف بانو شریفه محدث نجفی، مهر 1369؛ کاغذ: فرنگی ،جلد: مقوا 231گ، مختلف السطر ، :اندازه 16/6</w:t>
      </w:r>
      <w:r>
        <w:rPr>
          <w:rFonts w:ascii="Times New Roman" w:hAnsi="Times New Roman" w:eastAsia="Times New Roman" w:cs="Times New Roman"/>
          <w:lang w:val="en-US" w:bidi="en-US"/>
          <w:color w:val="111111"/>
          <w:sz w:val="28"/>
          <w:szCs w:val="28"/>
          <w:rtl/>
        </w:rPr>
        <w:t xml:space="preserve">× 20/7</w:t>
      </w:r>
      <w:r>
        <w:rPr>
          <w:rFonts w:ascii="IRNazanin" w:hAnsi="IRNazanin" w:eastAsia="IRNazanin" w:cs="IRNazanin"/>
          <w:lang w:bidi="fa-IR"/>
          <w:color w:val="111111"/>
          <w:sz w:val="28"/>
          <w:szCs w:val="28"/>
          <w:rtl/>
        </w:rPr>
        <w:t xml:space="preserve">سم [ف: 14 - 50]</w:t>
      </w:r>
    </w:p>
    <w:p>
      <w:pPr>
        <w:pStyle w:val="BookText"/>
      </w:pPr>
      <w:r>
        <w:rPr>
          <w:rFonts w:ascii="IRNazanin" w:hAnsi="IRNazanin" w:eastAsia="IRNazanin" w:cs="IRNazanin"/>
          <w:lang w:bidi="fa-IR"/>
          <w:color w:val="111111"/>
          <w:sz w:val="28"/>
          <w:szCs w:val="28"/>
          <w:rtl/>
        </w:rPr>
        <w:t xml:space="preserve">2 . مشهد؛ رضوی؛ شماره نسخه: 17727</w:t>
      </w:r>
    </w:p>
    <w:p>
      <w:pPr>
        <w:pStyle w:val="BookText"/>
      </w:pPr>
      <w:r>
        <w:rPr>
          <w:rFonts w:ascii="IRNazanin" w:hAnsi="IRNazanin" w:eastAsia="IRNazanin" w:cs="IRNazanin"/>
          <w:lang w:bidi="fa-IR"/>
          <w:color w:val="111111"/>
          <w:sz w:val="28"/>
          <w:szCs w:val="28"/>
          <w:rtl/>
        </w:rPr>
        <w:t xml:space="preserve">آغاز: بسمله و واعدنا موسى ثلاثين ليلة؛ انجام: تا سه روز برهنه روی خاکهای گرم کربلا مانده الا لعنة الله على الظالمين.</w:t>
      </w:r>
    </w:p>
    <w:p>
      <w:pPr>
        <w:pStyle w:val="BookText"/>
      </w:pPr>
      <w:r>
        <w:rPr>
          <w:rFonts w:ascii="IRNazanin" w:hAnsi="IRNazanin" w:eastAsia="IRNazanin" w:cs="IRNazanin"/>
          <w:lang w:bidi="fa-IR"/>
          <w:color w:val="111111"/>
          <w:sz w:val="28"/>
          <w:szCs w:val="28"/>
          <w:rtl/>
        </w:rPr>
        <w:t xml:space="preserve">جلد 2 ؛خط: نستعليق، كاتب - مؤلف، بی تا :مجدول؛ واقف بانوشریفه محدث نجفی ؛کاغذ: مشقی ،جلد: مقوا، 227گ، 18 سطر ، اندازه: 16/7</w:t>
      </w:r>
      <w:r>
        <w:rPr>
          <w:rFonts w:ascii="Times New Roman" w:hAnsi="Times New Roman" w:eastAsia="Times New Roman" w:cs="Times New Roman"/>
          <w:lang w:val="en-US" w:bidi="en-US"/>
          <w:color w:val="111111"/>
          <w:sz w:val="28"/>
          <w:szCs w:val="28"/>
          <w:rtl/>
        </w:rPr>
        <w:t xml:space="preserve">×20/5</w:t>
      </w:r>
      <w:r>
        <w:rPr>
          <w:rFonts w:ascii="IRNazanin" w:hAnsi="IRNazanin" w:eastAsia="IRNazanin" w:cs="IRNazanin"/>
          <w:lang w:bidi="fa-IR"/>
          <w:color w:val="111111"/>
          <w:sz w:val="28"/>
          <w:szCs w:val="28"/>
          <w:rtl/>
        </w:rPr>
        <w:t xml:space="preserve">سم [ف: 14 - 51]</w:t>
      </w:r>
    </w:p>
    <w:p>
      <w:pPr>
        <w:pStyle w:val="BookText"/>
      </w:pPr>
      <w:r>
        <w:rPr>
          <w:rFonts w:ascii="IRNazanin" w:hAnsi="IRNazanin" w:eastAsia="IRNazanin" w:cs="IRNazanin"/>
          <w:lang w:bidi="fa-IR"/>
          <w:color w:val="111111"/>
          <w:sz w:val="28"/>
          <w:szCs w:val="28"/>
          <w:rtl/>
        </w:rPr>
        <w:t xml:space="preserve">3.مشهد؛ رضوی؛ شماره نسخه: 17728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65" w:name="pg20365_260085"/>
    <w:bookmarkEnd w:id="65"/>
    <w:p>
      <w:pPr>
        <w:pStyle w:val="BookText"/>
      </w:pPr>
      <w:r>
        <w:rPr>
          <w:rFonts w:ascii="IRNazanin" w:hAnsi="IRNazanin" w:eastAsia="IRNazanin" w:cs="IRNazanin"/>
          <w:lang w:bidi="fa-IR"/>
          <w:color w:val="111111"/>
          <w:sz w:val="28"/>
          <w:szCs w:val="28"/>
          <w:rtl/>
        </w:rPr>
        <w:t xml:space="preserve">آغاز: بسمله اعوذ بالله من الشيطان الرجيم و واعدنا موسى ثلاثین لیله؛ انجام: قد فرغنا بعون الله وتوفيقاته... اقل عبد الصاحب 1383</w:t>
      </w:r>
    </w:p>
    <w:p>
      <w:pPr>
        <w:pStyle w:val="BookText"/>
      </w:pPr>
      <w:r>
        <w:rPr>
          <w:rFonts w:ascii="IRNazanin" w:hAnsi="IRNazanin" w:eastAsia="IRNazanin" w:cs="IRNazanin"/>
          <w:lang w:bidi="fa-IR"/>
          <w:color w:val="111111"/>
          <w:sz w:val="28"/>
          <w:szCs w:val="28"/>
          <w:rtl/>
        </w:rPr>
        <w:t xml:space="preserve">النجفى</w:t>
      </w:r>
    </w:p>
    <w:p>
      <w:pPr>
        <w:pStyle w:val="BookText"/>
      </w:pPr>
      <w:r>
        <w:rPr>
          <w:rFonts w:ascii="IRNazanin" w:hAnsi="IRNazanin" w:eastAsia="IRNazanin" w:cs="IRNazanin"/>
          <w:lang w:bidi="fa-IR"/>
          <w:color w:val="111111"/>
          <w:sz w:val="28"/>
          <w:szCs w:val="28"/>
          <w:rtl/>
        </w:rPr>
        <w:t xml:space="preserve">خط: نستعلیق، بی کا، تا: 1383ق [رایانه ]</w:t>
      </w:r>
    </w:p>
    <w:p>
      <w:pPr>
        <w:pStyle w:val="Heading3"/>
      </w:pPr>
      <w:bookmarkStart w:id="667" w:name="_Toc189"/>
      <w:r>
        <w:t>ارشاد الوزراء / حکومت و سیاست – فارسی</w:t>
      </w:r>
      <w:bookmarkEnd w:id="667"/>
    </w:p>
    <w:p>
      <w:pPr>
        <w:pStyle w:val="BookText"/>
      </w:pPr>
      <w:r>
        <w:rPr>
          <w:rFonts w:ascii="Times New Roman" w:hAnsi="Times New Roman" w:eastAsia="Times New Roman" w:cs="Times New Roman"/>
          <w:lang w:val="en-US" w:bidi="en-US"/>
          <w:color w:val="111111"/>
          <w:sz w:val="28"/>
          <w:szCs w:val="28"/>
          <w:rtl/>
        </w:rPr>
        <w:t xml:space="preserve">eršād-ol-vozarā’</w:t>
      </w:r>
    </w:p>
    <w:p>
      <w:pPr>
        <w:pStyle w:val="BookText"/>
      </w:pPr>
      <w:r>
        <w:rPr>
          <w:rFonts w:ascii="IRNazanin" w:hAnsi="IRNazanin" w:eastAsia="IRNazanin" w:cs="IRNazanin"/>
          <w:lang w:bidi="fa-IR"/>
          <w:color w:val="111111"/>
          <w:sz w:val="28"/>
          <w:szCs w:val="28"/>
          <w:rtl/>
        </w:rPr>
        <w:t xml:space="preserve">فائز، محمد بن زبر دست خان، ق11</w:t>
      </w:r>
    </w:p>
    <w:p>
      <w:pPr>
        <w:pStyle w:val="BookText"/>
      </w:pPr>
      <w:r>
        <w:rPr>
          <w:rFonts w:ascii="Times New Roman" w:hAnsi="Times New Roman" w:eastAsia="Times New Roman" w:cs="Times New Roman"/>
          <w:lang w:val="en-US" w:bidi="en-US"/>
          <w:color w:val="111111"/>
          <w:sz w:val="28"/>
          <w:szCs w:val="28"/>
          <w:rtl/>
        </w:rPr>
        <w:t xml:space="preserve">(fā’ez, mohammad ebn-e zabar dast xān ( - 11c)</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مرکز فرهنگی خراسان؛ شماره نسخه: 3 عکسی</w:t>
      </w:r>
    </w:p>
    <w:p>
      <w:pPr>
        <w:pStyle w:val="BookText"/>
      </w:pPr>
      <w:r>
        <w:rPr>
          <w:rFonts w:ascii="IRNazanin" w:hAnsi="IRNazanin" w:eastAsia="IRNazanin" w:cs="IRNazanin"/>
          <w:lang w:bidi="fa-IR"/>
          <w:color w:val="111111"/>
          <w:sz w:val="28"/>
          <w:szCs w:val="28"/>
          <w:rtl/>
        </w:rPr>
        <w:t xml:space="preserve">بی کا، تا: ربیع الاول 1302ق؛ 70 ص [ جنگ: 1 - 442]</w:t>
      </w:r>
    </w:p>
    <w:p>
      <w:pPr>
        <w:pStyle w:val="BookText"/>
      </w:pPr>
      <w:r>
        <w:rPr>
          <w:rFonts w:ascii="IRNazanin" w:hAnsi="IRNazanin" w:eastAsia="IRNazanin" w:cs="IRNazanin"/>
          <w:lang w:bidi="fa-IR"/>
          <w:color w:val="111111"/>
          <w:sz w:val="28"/>
          <w:szCs w:val="28"/>
          <w:rtl/>
        </w:rPr>
        <w:t xml:space="preserve">2.تهران؛ دانشگاه؛ شماره نسخه: 1458-ف</w:t>
      </w:r>
    </w:p>
    <w:p>
      <w:pPr>
        <w:pStyle w:val="BookText"/>
      </w:pPr>
      <w:r>
        <w:rPr>
          <w:rFonts w:ascii="IRNazanin" w:hAnsi="IRNazanin" w:eastAsia="IRNazanin" w:cs="IRNazanin"/>
          <w:lang w:bidi="fa-IR"/>
          <w:color w:val="111111"/>
          <w:sz w:val="28"/>
          <w:szCs w:val="28"/>
          <w:rtl/>
        </w:rPr>
        <w:t xml:space="preserve">بی کا، بی تا؛ موزه بریتانیا 233 .</w:t>
      </w:r>
      <w:r>
        <w:rPr>
          <w:rFonts w:ascii="Times New Roman" w:hAnsi="Times New Roman" w:eastAsia="Times New Roman" w:cs="Times New Roman"/>
          <w:lang w:val="en-US" w:bidi="en-US"/>
          <w:color w:val="111111"/>
          <w:sz w:val="28"/>
          <w:szCs w:val="28"/>
          <w:rtl/>
        </w:rPr>
        <w:t xml:space="preserve">Or 67</w:t>
      </w:r>
      <w:r>
        <w:rPr>
          <w:rFonts w:ascii="IRNazanin" w:hAnsi="IRNazanin" w:eastAsia="IRNazanin" w:cs="IRNazanin"/>
          <w:lang w:bidi="fa-IR"/>
          <w:color w:val="111111"/>
          <w:sz w:val="28"/>
          <w:szCs w:val="28"/>
          <w:rtl/>
        </w:rPr>
        <w:t xml:space="preserve">گ [ فیلم ها - ف: 1 - 9]</w:t>
      </w:r>
    </w:p>
    <w:p>
      <w:pPr>
        <w:pStyle w:val="Heading3"/>
      </w:pPr>
      <w:bookmarkStart w:id="668" w:name="_Toc190"/>
      <w:r>
        <w:t>ارشاد الولد / شعر / فارسی</w:t>
      </w:r>
      <w:bookmarkEnd w:id="668"/>
    </w:p>
    <w:p>
      <w:pPr>
        <w:pStyle w:val="BookText"/>
      </w:pPr>
      <w:r>
        <w:rPr>
          <w:rFonts w:ascii="Times New Roman" w:hAnsi="Times New Roman" w:eastAsia="Times New Roman" w:cs="Times New Roman"/>
          <w:lang w:val="en-US" w:bidi="en-US"/>
          <w:color w:val="111111"/>
          <w:sz w:val="28"/>
          <w:szCs w:val="28"/>
          <w:rtl/>
        </w:rPr>
        <w:t xml:space="preserve">eršād-ol-valad</w:t>
      </w:r>
    </w:p>
    <w:p>
      <w:pPr>
        <w:pStyle w:val="BookText"/>
      </w:pPr>
      <w:r>
        <w:rPr>
          <w:rFonts w:ascii="IRNazanin" w:hAnsi="IRNazanin" w:eastAsia="IRNazanin" w:cs="IRNazanin"/>
          <w:lang w:bidi="fa-IR"/>
          <w:color w:val="111111"/>
          <w:sz w:val="28"/>
          <w:szCs w:val="28"/>
          <w:rtl/>
        </w:rPr>
        <w:t xml:space="preserve">سریزدی، محمد بن محمد جعفر، - 1312 ؟ قمری</w:t>
      </w:r>
    </w:p>
    <w:p>
      <w:pPr>
        <w:pStyle w:val="BookText"/>
      </w:pPr>
      <w:r>
        <w:rPr>
          <w:rFonts w:ascii="Times New Roman" w:hAnsi="Times New Roman" w:eastAsia="Times New Roman" w:cs="Times New Roman"/>
          <w:lang w:val="en-US" w:bidi="en-US"/>
          <w:color w:val="111111"/>
          <w:sz w:val="28"/>
          <w:szCs w:val="28"/>
          <w:rtl/>
        </w:rPr>
        <w:t xml:space="preserve">(saryazdī, mohammad ebn-e mohammad ja‘far ( - 1895)</w:t>
      </w:r>
    </w:p>
    <w:p>
      <w:pPr>
        <w:pStyle w:val="BookText"/>
      </w:pPr>
      <w:r>
        <w:rPr>
          <w:rFonts w:ascii="IRNazanin" w:hAnsi="IRNazanin" w:eastAsia="IRNazanin" w:cs="IRNazanin"/>
          <w:lang w:bidi="fa-IR"/>
          <w:color w:val="111111"/>
          <w:sz w:val="28"/>
          <w:szCs w:val="28"/>
          <w:rtl/>
        </w:rPr>
        <w:t xml:space="preserve">تهران؛ دانشگاه؛ شماره نسخه: 1/ 5007-ف و 5021-ف</w:t>
      </w:r>
    </w:p>
    <w:p>
      <w:pPr>
        <w:pStyle w:val="BookText"/>
      </w:pPr>
      <w:r>
        <w:rPr>
          <w:rFonts w:ascii="IRNazanin" w:hAnsi="IRNazanin" w:eastAsia="IRNazanin" w:cs="IRNazanin"/>
          <w:lang w:bidi="fa-IR"/>
          <w:color w:val="111111"/>
          <w:sz w:val="28"/>
          <w:szCs w:val="28"/>
          <w:rtl/>
        </w:rPr>
        <w:t xml:space="preserve">کا: سید رضای سجادی پسر سید ابوتراب پسر سید حسین ، تا: فروردین 1339 تا جمعه 7 مهر 1340ش - ربیع الثانی 1381ق. از</w:t>
      </w:r>
    </w:p>
    <w:p>
      <w:pPr>
        <w:pStyle w:val="BookText"/>
      </w:pPr>
      <w:r>
        <w:rPr>
          <w:rFonts w:ascii="IRNazanin" w:hAnsi="IRNazanin" w:eastAsia="IRNazanin" w:cs="IRNazanin"/>
          <w:lang w:bidi="fa-IR"/>
          <w:color w:val="111111"/>
          <w:sz w:val="28"/>
          <w:szCs w:val="28"/>
          <w:rtl/>
        </w:rPr>
        <w:t xml:space="preserve">روی اصل خط سراینده [فیلم ها - ف: 3 - 122 و 124]</w:t>
      </w:r>
    </w:p>
    <w:p>
      <w:pPr>
        <w:pStyle w:val="Heading3"/>
      </w:pPr>
      <w:bookmarkStart w:id="669" w:name="_Toc191"/>
      <w:r>
        <w:t>الارشاد الهادى الى سبيل الرشاد / فقه / عربی</w:t>
      </w:r>
      <w:bookmarkEnd w:id="669"/>
    </w:p>
    <w:p>
      <w:pPr>
        <w:pStyle w:val="BookText"/>
      </w:pPr>
      <w:r>
        <w:rPr>
          <w:rFonts w:ascii="Times New Roman" w:hAnsi="Times New Roman" w:eastAsia="Times New Roman" w:cs="Times New Roman"/>
          <w:lang w:val="en-US" w:bidi="en-US"/>
          <w:color w:val="111111"/>
          <w:sz w:val="28"/>
          <w:szCs w:val="28"/>
          <w:rtl/>
        </w:rPr>
        <w:t xml:space="preserve">iršād-ul-hādī ila sabīl-ir-rašād</w:t>
      </w:r>
    </w:p>
    <w:p>
      <w:pPr>
        <w:pStyle w:val="BookText"/>
      </w:pPr>
      <w:r>
        <w:rPr>
          <w:rFonts w:ascii="IRNazanin" w:hAnsi="IRNazanin" w:eastAsia="IRNazanin" w:cs="IRNazanin"/>
          <w:lang w:bidi="fa-IR"/>
          <w:color w:val="111111"/>
          <w:sz w:val="28"/>
          <w:szCs w:val="28"/>
          <w:rtl/>
        </w:rPr>
        <w:t xml:space="preserve">منصور بالله، قاسم بن محمد، 967 - 1029قمری</w:t>
      </w:r>
    </w:p>
    <w:p>
      <w:pPr>
        <w:pStyle w:val="BookText"/>
      </w:pPr>
      <w:r>
        <w:rPr>
          <w:rFonts w:ascii="Times New Roman" w:hAnsi="Times New Roman" w:eastAsia="Times New Roman" w:cs="Times New Roman"/>
          <w:lang w:val="en-US" w:bidi="en-US"/>
          <w:color w:val="111111"/>
          <w:sz w:val="28"/>
          <w:szCs w:val="28"/>
          <w:rtl/>
        </w:rPr>
        <w:t xml:space="preserve">(1620-mansūr-o be-l-lāh, qāsem ebn-e mohammad (1560 -</w:t>
      </w:r>
    </w:p>
    <w:p>
      <w:pPr>
        <w:pStyle w:val="BookText"/>
      </w:pPr>
      <w:r>
        <w:rPr>
          <w:rFonts w:ascii="IRNazanin" w:hAnsi="IRNazanin" w:eastAsia="IRNazanin" w:cs="IRNazanin"/>
          <w:lang w:bidi="fa-IR"/>
          <w:color w:val="111111"/>
          <w:sz w:val="28"/>
          <w:szCs w:val="28"/>
          <w:rtl/>
        </w:rPr>
        <w:t xml:space="preserve">شش «فصل» است مشتمل بر رفع اختلاف امت در اجتهاد وغیر  آن و جمع بین اقوال مناسب با مذهب ائمه زیدیه. عناوین فصول چنین است: 1. الارشاد الى حكم الخلاف؛ 2. الارشاد الى مع معرفة المحق؛ 3. وقوع الاختلاف البين بين أهل البيت؛ 4. الارشاد ما يجب من العمل في اتباعهم؛ 5. الارشاد الى حكم أقو ال مخالفين للعترة؛ 6 .الارشاد الى حكم ما يحصله المقلدون.</w:t>
      </w:r>
    </w:p>
    <w:p>
      <w:pPr>
        <w:pStyle w:val="BookText"/>
      </w:pPr>
      <w:r>
        <w:rPr>
          <w:rFonts w:ascii="IRNazanin" w:hAnsi="IRNazanin" w:eastAsia="IRNazanin" w:cs="IRNazanin"/>
          <w:lang w:bidi="fa-IR"/>
          <w:color w:val="111111"/>
          <w:sz w:val="28"/>
          <w:szCs w:val="28"/>
          <w:rtl/>
        </w:rPr>
        <w:t xml:space="preserve">آغاز: الحمد لله ... و بعدفانه لما كان الخلاف فى الاحكام الشرعیة  بین الأمة المحمدية و قد عرفنا ان الله تبارک و تعالی و احد.</w:t>
      </w:r>
    </w:p>
    <w:p>
      <w:pPr>
        <w:pStyle w:val="BookText"/>
      </w:pPr>
      <w:r>
        <w:rPr>
          <w:rFonts w:ascii="Amiri" w:hAnsi="Amiri" w:eastAsia="Amiri" w:cs="Amiri"/>
          <w:lang w:bidi="ar-SA"/>
          <w:color w:val="111111"/>
          <w:sz w:val="28"/>
          <w:szCs w:val="28"/>
          <w:rtl/>
        </w:rPr>
        <w:t xml:space="preserve">[مؤلفات الزيدية 107/1؛ اعلام المؤلفين الزيدية ص 778]</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ملک شماره نسخه: 955/2</w:t>
      </w:r>
    </w:p>
    <w:p>
      <w:pPr>
        <w:pStyle w:val="BookText"/>
      </w:pPr>
      <w:r>
        <w:rPr>
          <w:rFonts w:ascii="Amiri" w:hAnsi="Amiri" w:eastAsia="Amiri" w:cs="Amiri"/>
          <w:lang w:bidi="ar-SA"/>
          <w:color w:val="111111"/>
          <w:sz w:val="28"/>
          <w:szCs w:val="28"/>
          <w:rtl/>
        </w:rPr>
        <w:t xml:space="preserve">آغاز: برابر؛ انجام: و سلك محجة الرشاد بحق محمد و آله.... العلى العظيم</w:t>
      </w:r>
    </w:p>
    <w:p>
      <w:pPr>
        <w:pStyle w:val="BookText"/>
      </w:pPr>
      <w:r>
        <w:rPr>
          <w:rFonts w:ascii="IRNazanin" w:hAnsi="IRNazanin" w:eastAsia="IRNazanin" w:cs="IRNazanin"/>
          <w:lang w:bidi="fa-IR"/>
          <w:color w:val="111111"/>
          <w:sz w:val="28"/>
          <w:szCs w:val="28"/>
          <w:rtl/>
        </w:rPr>
        <w:t xml:space="preserve">خط: نسخ، کا: احمد بن علی بن محمد بن على بن سليمان بن عمر الهادی، تا: جمادی الثانی 1033ق؛ کاغذ: پسته ای ،جلد: میشن لایی سورمه ای 16 سطر [ف 5 - 219]</w:t>
      </w:r>
    </w:p>
    <w:p>
      <w:pPr>
        <w:pStyle w:val="BookText"/>
      </w:pPr>
      <w:r>
        <w:rPr>
          <w:rFonts w:ascii="IRNazanin" w:hAnsi="IRNazanin" w:eastAsia="IRNazanin" w:cs="IRNazanin"/>
          <w:lang w:bidi="fa-IR"/>
          <w:color w:val="111111"/>
          <w:sz w:val="28"/>
          <w:szCs w:val="28"/>
          <w:rtl/>
        </w:rPr>
        <w:t xml:space="preserve">2 . قم؛ مرکز احیاء؛ شماره نسخه: 1611/3</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نسخه اصلی: کتابخانه واتیکان - رم 1029؛ خط: نسخ نازیبا، کا: على بن بدر بن علی اهجری، تا: 1055ق؛ مجدول؛ 55 ص (243-</w:t>
      </w:r>
    </w:p>
    <w:p>
      <w:pPr>
        <w:pStyle w:val="BookText"/>
      </w:pPr>
      <w:r>
        <w:rPr>
          <w:rFonts w:ascii="IRNazanin" w:hAnsi="IRNazanin" w:eastAsia="IRNazanin" w:cs="IRNazanin"/>
          <w:lang w:bidi="fa-IR"/>
          <w:color w:val="111111"/>
          <w:sz w:val="28"/>
          <w:szCs w:val="28"/>
          <w:rtl/>
        </w:rPr>
        <w:t xml:space="preserve">297 ) [عکسی :ف 5 - 25]</w:t>
      </w:r>
    </w:p>
    <w:p>
      <w:pPr>
        <w:pStyle w:val="Heading3"/>
      </w:pPr>
      <w:bookmarkStart w:id="670" w:name="_Toc192"/>
      <w:r>
        <w:t>ارشاد الهادى فى النحو / نحو / عربي</w:t>
      </w:r>
      <w:bookmarkEnd w:id="670"/>
    </w:p>
    <w:p>
      <w:pPr>
        <w:pStyle w:val="BookText"/>
      </w:pPr>
      <w:r>
        <w:rPr>
          <w:rFonts w:ascii="Times New Roman" w:hAnsi="Times New Roman" w:eastAsia="Times New Roman" w:cs="Times New Roman"/>
          <w:lang w:val="en-US" w:bidi="en-US"/>
          <w:color w:val="111111"/>
          <w:sz w:val="28"/>
          <w:szCs w:val="28"/>
          <w:rtl/>
        </w:rPr>
        <w:t xml:space="preserve">iršād-ul hādī fi-n nahw</w:t>
      </w:r>
    </w:p>
    <w:p>
      <w:pPr>
        <w:pStyle w:val="BookText"/>
      </w:pPr>
      <w:r>
        <w:rPr>
          <w:rFonts w:ascii="IRNazanin" w:hAnsi="IRNazanin" w:eastAsia="IRNazanin" w:cs="IRNazanin"/>
          <w:lang w:bidi="fa-IR"/>
          <w:color w:val="111111"/>
          <w:sz w:val="28"/>
          <w:szCs w:val="28"/>
          <w:rtl/>
        </w:rPr>
        <w:t xml:space="preserve">تفتازانی، مسعود بن عمر 722 - 792؟ قمری</w:t>
      </w:r>
    </w:p>
    <w:p>
      <w:pPr>
        <w:pStyle w:val="BookText"/>
      </w:pPr>
      <w:r>
        <w:rPr>
          <w:rFonts w:ascii="Times New Roman" w:hAnsi="Times New Roman" w:eastAsia="Times New Roman" w:cs="Times New Roman"/>
          <w:lang w:val="en-US" w:bidi="en-US"/>
          <w:color w:val="111111"/>
          <w:sz w:val="28"/>
          <w:szCs w:val="28"/>
          <w:rtl/>
        </w:rPr>
        <w:t xml:space="preserve">(taftāzānī, mas'ud ebn-e ‘omar (1323 - 1390)</w:t>
      </w:r>
    </w:p>
    <w:p>
      <w:pPr>
        <w:pStyle w:val="BookText"/>
      </w:pPr>
      <w:r>
        <w:rPr>
          <w:rFonts w:ascii="IRNazanin" w:hAnsi="IRNazanin" w:eastAsia="IRNazanin" w:cs="IRNazanin"/>
          <w:lang w:bidi="fa-IR"/>
          <w:color w:val="111111"/>
          <w:sz w:val="28"/>
          <w:szCs w:val="28"/>
          <w:rtl/>
        </w:rPr>
        <w:t xml:space="preserve">اهدا به: برای فرزندش</w:t>
      </w:r>
    </w:p>
    <w:p>
      <w:pPr>
        <w:pStyle w:val="BookText"/>
      </w:pPr>
      <w:r>
        <w:rPr>
          <w:rFonts w:ascii="IRNazanin" w:hAnsi="IRNazanin" w:eastAsia="IRNazanin" w:cs="IRNazanin"/>
          <w:lang w:bidi="fa-IR"/>
          <w:color w:val="111111"/>
          <w:sz w:val="28"/>
          <w:szCs w:val="28"/>
          <w:rtl/>
        </w:rPr>
        <w:t xml:space="preserve">تاریخ تأليف: 778ق؛ محل تألیف: خوارزم</w:t>
      </w:r>
    </w:p>
    <w:p>
      <w:pPr>
        <w:pStyle w:val="BookText"/>
      </w:pPr>
      <w:r>
        <w:rPr>
          <w:rFonts w:ascii="IRNazanin" w:hAnsi="IRNazanin" w:eastAsia="IRNazanin" w:cs="IRNazanin"/>
          <w:lang w:bidi="fa-IR"/>
          <w:color w:val="111111"/>
          <w:sz w:val="28"/>
          <w:szCs w:val="28"/>
          <w:rtl/>
        </w:rPr>
        <w:t xml:space="preserve">در یک «مقدمه» و  سه «قسم»: المقدمة في تعريف النحو و الكلمه؛ 1 .الاسم؛ 2. الفعل؛ 3. الحرف. شرح های زیادی بر این  کتاب نوشته اند.</w:t>
      </w:r>
    </w:p>
    <w:p>
      <w:pPr>
        <w:pStyle w:val="BookText"/>
      </w:pPr>
      <w:r>
        <w:rPr>
          <w:rFonts w:ascii="Amiri" w:hAnsi="Amiri" w:eastAsia="Amiri" w:cs="Amiri"/>
          <w:lang w:bidi="ar-SA"/>
          <w:color w:val="111111"/>
          <w:sz w:val="28"/>
          <w:szCs w:val="28"/>
          <w:rtl/>
        </w:rPr>
        <w:t xml:space="preserve">آغاز: بسمله الحمد لله الذى جعل بكلمته علم الاعراب مرفوع البناء منصوب اللواء مجرور ذيل الشرف</w:t>
      </w:r>
    </w:p>
    <w:p>
      <w:pPr>
        <w:pStyle w:val="BookText"/>
      </w:pPr>
      <w:r>
        <w:rPr>
          <w:rFonts w:ascii="Amiri" w:hAnsi="Amiri" w:eastAsia="Amiri" w:cs="Amiri"/>
          <w:lang w:bidi="ar-SA"/>
          <w:color w:val="111111"/>
          <w:sz w:val="28"/>
          <w:szCs w:val="28"/>
          <w:rtl/>
        </w:rPr>
        <w:t xml:space="preserve">انجام: والنون الثقيلة والخفيفة في الفعل للتاكيد.</w:t>
      </w:r>
    </w:p>
    <w:p>
      <w:pPr>
        <w:pStyle w:val="BookText"/>
      </w:pPr>
      <w:r>
        <w:rPr>
          <w:rFonts w:ascii="IRNazanin" w:hAnsi="IRNazanin" w:eastAsia="IRNazanin" w:cs="IRNazanin"/>
          <w:lang w:bidi="fa-IR"/>
          <w:color w:val="111111"/>
          <w:sz w:val="28"/>
          <w:szCs w:val="28"/>
          <w:rtl/>
        </w:rPr>
        <w:t xml:space="preserve">چاپ :محقق حسن شاذلی فرهود، مجلة كلية الآداب، جامعة الملك سعود، جلد 11، عدد 1، 1405ق.</w:t>
      </w:r>
    </w:p>
    <w:p>
      <w:pPr>
        <w:pStyle w:val="BookText"/>
      </w:pPr>
      <w:r>
        <w:rPr>
          <w:rFonts w:ascii="Amiri" w:hAnsi="Amiri" w:eastAsia="Amiri" w:cs="Amiri"/>
          <w:lang w:bidi="ar-SA"/>
          <w:color w:val="111111"/>
          <w:sz w:val="28"/>
          <w:szCs w:val="28"/>
          <w:rtl/>
        </w:rPr>
        <w:t xml:space="preserve">[كشف الظنون 67/1]</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IRNazanin" w:hAnsi="IRNazanin" w:eastAsia="IRNazanin" w:cs="IRNazanin"/>
          <w:lang w:bidi="fa-IR"/>
          <w:color w:val="111111"/>
          <w:sz w:val="28"/>
          <w:szCs w:val="28"/>
          <w:rtl/>
        </w:rPr>
        <w:t xml:space="preserve">1- الرشاد في شرح الارشاد = شرح ارشاد الهادی؛ جرجانی، محمد بن على ( -838)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توضيح الارشاد لارشاد العباد؛ امیرجان تبریزی محمد (-10)</w:t>
      </w:r>
    </w:p>
    <w:p>
      <w:pPr>
        <w:pStyle w:val="BookText"/>
      </w:pPr>
      <w:r>
        <w:rPr>
          <w:rFonts w:ascii="IRNazanin" w:hAnsi="IRNazanin" w:eastAsia="IRNazanin" w:cs="IRNazanin"/>
          <w:lang w:bidi="fa-IR"/>
          <w:color w:val="111111"/>
          <w:sz w:val="28"/>
          <w:szCs w:val="28"/>
          <w:rtl/>
        </w:rPr>
        <w:t xml:space="preserve">3- موضوع الرشاد في شرح الارشاد مدنی، علی خان بن احمد (1118-1052)</w:t>
      </w:r>
    </w:p>
    <w:p>
      <w:pPr>
        <w:pStyle w:val="BookText"/>
      </w:pPr>
      <w:r>
        <w:rPr>
          <w:rFonts w:ascii="IRNazanin" w:hAnsi="IRNazanin" w:eastAsia="IRNazanin" w:cs="IRNazanin"/>
          <w:lang w:bidi="fa-IR"/>
          <w:color w:val="111111"/>
          <w:sz w:val="28"/>
          <w:szCs w:val="28"/>
          <w:rtl/>
        </w:rPr>
        <w:t xml:space="preserve">4 - عمدة المراد في شرح الارشاد مازندرانی، محمد بن سرابعلی (-13)</w:t>
      </w:r>
    </w:p>
    <w:p>
      <w:pPr>
        <w:pStyle w:val="BookText"/>
      </w:pPr>
      <w:r>
        <w:rPr>
          <w:rFonts w:ascii="IRNazanin" w:hAnsi="IRNazanin" w:eastAsia="IRNazanin" w:cs="IRNazanin"/>
          <w:lang w:bidi="fa-IR"/>
          <w:color w:val="111111"/>
          <w:sz w:val="28"/>
          <w:szCs w:val="28"/>
          <w:rtl/>
        </w:rPr>
        <w:t xml:space="preserve">5-الرشاد في شرح الارشاد؛ حسینی خجندی، محمد بن محمود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مرعشی؛ شماره نسخه : 8255/1</w:t>
      </w:r>
    </w:p>
    <w:p>
      <w:pPr>
        <w:pStyle w:val="BookText"/>
      </w:pPr>
      <w:r>
        <w:rPr>
          <w:rFonts w:ascii="Amiri" w:hAnsi="Amiri" w:eastAsia="Amiri" w:cs="Amiri"/>
          <w:lang w:bidi="ar-SA"/>
          <w:color w:val="111111"/>
          <w:sz w:val="28"/>
          <w:szCs w:val="28"/>
          <w:rtl/>
        </w:rPr>
        <w:t xml:space="preserve">آغاز: الاعتضاد و اليه التفويض انه بصير بالعباد؛</w:t>
      </w:r>
    </w:p>
    <w:p>
      <w:pPr>
        <w:pStyle w:val="BookText"/>
      </w:pPr>
      <w:r>
        <w:rPr>
          <w:rFonts w:ascii="IRNazanin" w:hAnsi="IRNazanin" w:eastAsia="IRNazanin" w:cs="IRNazanin"/>
          <w:lang w:bidi="fa-IR"/>
          <w:color w:val="111111"/>
          <w:sz w:val="28"/>
          <w:szCs w:val="28"/>
          <w:rtl/>
        </w:rPr>
        <w:t xml:space="preserve">خط: نسخ، کا: ابولیث بن حسن بن ابراهیم، تا: قرن 10؛ افتادگی: آغاز؛ جلد : تیماج قرمز بدون مقوا 18گ (1ر-18پ)، اندازه: 13</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[ف: 21 - 213]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قم؛ گلپایگانی؛ شماره نسخه : 6950/1-35/130</w:t>
      </w:r>
    </w:p>
    <w:p>
      <w:pPr>
        <w:pStyle w:val="BookText"/>
      </w:pPr>
      <w:r>
        <w:rPr>
          <w:rFonts w:ascii="Amiri" w:hAnsi="Amiri" w:eastAsia="Amiri" w:cs="Amiri"/>
          <w:lang w:bidi="ar-SA"/>
          <w:color w:val="111111"/>
          <w:sz w:val="28"/>
          <w:szCs w:val="28"/>
          <w:rtl/>
        </w:rPr>
        <w:t xml:space="preserve">آغاز: هذه عصا ا اخذت عصا و ضربت .. و في التثنية و الجمع مثل مسلمان و مسلمون و اذا تعذر لفظاً؛ انجام: برابر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 کتاب و مؤلف به قرینه انجام نسخه تعیین شد؛ خط: نسخ ،بی کا، تا: قرن 10؛ افتادگی: آغاز؛ مصحح، محشی؛ جلد: تیماج قهوه ای، 22گ 9 سطر ، اندازه: 12</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سم [ف: 4 - 2040]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شاهرود؛ مدرسه اسماعیلیه؛ شماره نسخه: 81/4</w:t>
      </w:r>
    </w:p>
    <w:p>
      <w:pPr>
        <w:pStyle w:val="BookText"/>
      </w:pPr>
      <w:r>
        <w:rPr>
          <w:rFonts w:ascii="IRNazanin" w:hAnsi="IRNazanin" w:eastAsia="IRNazanin" w:cs="IRNazanin"/>
          <w:lang w:bidi="fa-IR"/>
          <w:color w:val="111111"/>
          <w:sz w:val="28"/>
          <w:szCs w:val="28"/>
          <w:rtl/>
        </w:rPr>
        <w:t xml:space="preserve">بی کا، تا: غره رجب 906ق [ف: 22]</w:t>
      </w:r>
    </w:p>
    <w:p>
      <w:pPr>
        <w:pStyle w:val="BookText"/>
      </w:pPr>
      <w:r>
        <w:rPr>
          <w:rFonts w:ascii="IRNazanin" w:hAnsi="IRNazanin" w:eastAsia="IRNazanin" w:cs="IRNazanin"/>
          <w:lang w:bidi="fa-IR"/>
          <w:color w:val="111111"/>
          <w:sz w:val="28"/>
          <w:szCs w:val="28"/>
          <w:rtl/>
        </w:rPr>
        <w:t xml:space="preserve">4.تهران؛ مجلس؛ شماره نسخه: 14782/2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11؛ جلد: تیماج مشکی ضربی گرهی بدون مقوا ،نرم 18گ (34پ - 52 پ) 21 و 10 سطر ، اندازه: 13</w:t>
      </w:r>
      <w:r>
        <w:rPr>
          <w:rFonts w:ascii="Times New Roman" w:hAnsi="Times New Roman" w:eastAsia="Times New Roman" w:cs="Times New Roman"/>
          <w:lang w:val="en-US" w:bidi="en-US"/>
          <w:color w:val="111111"/>
          <w:sz w:val="28"/>
          <w:szCs w:val="28"/>
          <w:rtl/>
        </w:rPr>
        <w:t xml:space="preserve">×20/5</w:t>
      </w:r>
      <w:r>
        <w:rPr>
          <w:rFonts w:ascii="IRNazanin" w:hAnsi="IRNazanin" w:eastAsia="IRNazanin" w:cs="IRNazanin"/>
          <w:lang w:bidi="fa-IR"/>
          <w:color w:val="111111"/>
          <w:sz w:val="28"/>
          <w:szCs w:val="28"/>
          <w:rtl/>
        </w:rPr>
        <w:t xml:space="preserve">سم [ف: 41 - 211]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قم؛ مسجد اعظم؛ شماره نسخه: 2903/2</w:t>
      </w:r>
    </w:p>
    <w:p>
      <w:pPr>
        <w:pStyle w:val="BookText"/>
      </w:pPr>
      <w:r>
        <w:rPr>
          <w:rFonts w:ascii="Amiri" w:hAnsi="Amiri" w:eastAsia="Amiri" w:cs="Amiri"/>
          <w:lang w:bidi="ar-SA"/>
          <w:color w:val="111111"/>
          <w:sz w:val="28"/>
          <w:szCs w:val="28"/>
          <w:rtl/>
        </w:rPr>
        <w:t xml:space="preserve">آغاز: برابر؛ انجام: فلا يشترط والصفة المشبهه لا يشترط عملها  لاعتماد و اللام مثل «زيد حسن وجهه» و «جاء فى الحسن وجهه»و الثلاثه يجوز اضافتها الى المعمول مثل</w:t>
      </w:r>
    </w:p>
    <w:p>
      <w:pPr>
        <w:pStyle w:val="BookText"/>
      </w:pPr>
      <w:r>
        <w:rPr>
          <w:rFonts w:ascii="IRNazanin" w:hAnsi="IRNazanin" w:eastAsia="IRNazanin" w:cs="IRNazanin"/>
          <w:lang w:bidi="fa-IR"/>
          <w:color w:val="111111"/>
          <w:sz w:val="28"/>
          <w:szCs w:val="28"/>
          <w:rtl/>
        </w:rPr>
        <w:t xml:space="preserve">خط: نسخ، بی کا، تا: قرن 11؛ افتادگی: انجام؛ 9گ، 13 سطر، اندازه 10</w:t>
      </w:r>
      <w:r>
        <w:rPr>
          <w:rFonts w:ascii="Times New Roman" w:hAnsi="Times New Roman" w:eastAsia="Times New Roman" w:cs="Times New Roman"/>
          <w:lang w:val="en-US" w:bidi="en-US"/>
          <w:color w:val="111111"/>
          <w:sz w:val="28"/>
          <w:szCs w:val="28"/>
          <w:rtl/>
        </w:rPr>
        <w:t xml:space="preserve">× 17</w:t>
      </w:r>
      <w:r>
        <w:rPr>
          <w:rFonts w:ascii="IRNazanin" w:hAnsi="IRNazanin" w:eastAsia="IRNazanin" w:cs="IRNazanin"/>
          <w:lang w:bidi="fa-IR"/>
          <w:color w:val="111111"/>
          <w:sz w:val="28"/>
          <w:szCs w:val="28"/>
          <w:rtl/>
        </w:rPr>
        <w:t xml:space="preserve">سم [ف مخ: 1 - 133]</w:t>
      </w:r>
    </w:p>
    <w:p>
      <w:pPr>
        <w:pStyle w:val="BookText"/>
      </w:pPr>
      <w:r>
        <w:rPr>
          <w:rFonts w:ascii="IRNazanin" w:hAnsi="IRNazanin" w:eastAsia="IRNazanin" w:cs="IRNazanin"/>
          <w:lang w:bidi="fa-IR"/>
          <w:color w:val="111111"/>
          <w:sz w:val="28"/>
          <w:szCs w:val="28"/>
          <w:rtl/>
        </w:rPr>
        <w:t xml:space="preserve">6.تهران؛ مجلس؛ شماره نسخه: 18654 ض</w:t>
      </w:r>
    </w:p>
    <w:p>
      <w:pPr>
        <w:pStyle w:val="BookText"/>
      </w:pPr>
      <w:r>
        <w:rPr>
          <w:rFonts w:ascii="IRNazanin" w:hAnsi="IRNazanin" w:eastAsia="IRNazanin" w:cs="IRNazanin"/>
          <w:lang w:bidi="fa-IR"/>
          <w:color w:val="111111"/>
          <w:sz w:val="28"/>
          <w:szCs w:val="28"/>
          <w:rtl/>
        </w:rPr>
        <w:t xml:space="preserve">بی کا، تا:  با تاریخ 1006ق[د.ث]</w:t>
      </w:r>
    </w:p>
    <w:p>
      <w:pPr>
        <w:pStyle w:val="BookText"/>
      </w:pPr>
      <w:r>
        <w:rPr>
          <w:rFonts w:ascii="IRNazanin" w:hAnsi="IRNazanin" w:eastAsia="IRNazanin" w:cs="IRNazanin"/>
          <w:lang w:bidi="fa-IR"/>
          <w:color w:val="111111"/>
          <w:sz w:val="28"/>
          <w:szCs w:val="28"/>
          <w:rtl/>
        </w:rPr>
        <w:t xml:space="preserve">7.قزوین؛ فحول قزوینی؛ شماره نسخه: بدون شماره</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کا: ملا نسیمی بن نعمة الله کوستانی، تا: 15 ذیحجه 1050 ق [ف: 5]</w:t>
      </w:r>
    </w:p>
    <w:p>
      <w:pPr>
        <w:pStyle w:val="BookText"/>
      </w:pPr>
      <w:r>
        <w:rPr>
          <w:rFonts w:ascii="IRNazanin" w:hAnsi="IRNazanin" w:eastAsia="IRNazanin" w:cs="IRNazanin"/>
          <w:lang w:bidi="fa-IR"/>
          <w:color w:val="111111"/>
          <w:sz w:val="28"/>
          <w:szCs w:val="28"/>
          <w:rtl/>
        </w:rPr>
        <w:t xml:space="preserve">8.مشهد؛ رضوی؛ شماره نسخه: 3779</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 نسخ، كا: نعمة الله بن سعيد عبدالله بن سید محمد بن سید حسین، تا: 1060ق؛ محشی؛ واقف حاج سید محمد، 1309ق؛کاغذ: نخودی، جلد: مقوا رویه پارچه، 18گ، 9 سطر ، اندازه: 14</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12 - 3]</w:t>
      </w:r>
    </w:p>
    <w:p>
      <w:pPr>
        <w:pStyle w:val="BookText"/>
      </w:pPr>
      <w:r>
        <w:rPr>
          <w:rFonts w:ascii="IRNazanin" w:hAnsi="IRNazanin" w:eastAsia="IRNazanin" w:cs="IRNazanin"/>
          <w:lang w:bidi="fa-IR"/>
          <w:color w:val="111111"/>
          <w:sz w:val="28"/>
          <w:szCs w:val="28"/>
          <w:rtl/>
        </w:rPr>
        <w:t xml:space="preserve">قم؛ مرکز احیاء؛ شماره نسخه: 572</w:t>
      </w:r>
    </w:p>
    <w:p>
      <w:pPr>
        <w:pStyle w:val="BookText"/>
      </w:pPr>
      <w:r>
        <w:rPr>
          <w:rFonts w:ascii="IRNazanin" w:hAnsi="IRNazanin" w:eastAsia="IRNazanin" w:cs="IRNazanin"/>
          <w:lang w:bidi="fa-IR"/>
          <w:color w:val="111111"/>
          <w:sz w:val="28"/>
          <w:szCs w:val="28"/>
          <w:rtl/>
        </w:rPr>
        <w:t xml:space="preserve">نسخه اصل: همان نسخه بالا [ عکسی ف: 2 - 165]</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یزد؛ وزیری؛ شماره نسخه: 1182/46</w:t>
      </w:r>
    </w:p>
    <w:p>
      <w:pPr>
        <w:pStyle w:val="BookText"/>
      </w:pPr>
      <w:r>
        <w:rPr>
          <w:rFonts w:ascii="IRNazanin" w:hAnsi="IRNazanin" w:eastAsia="IRNazanin" w:cs="IRNazanin"/>
          <w:lang w:bidi="fa-IR"/>
          <w:color w:val="111111"/>
          <w:sz w:val="28"/>
          <w:szCs w:val="28"/>
          <w:rtl/>
        </w:rPr>
        <w:t xml:space="preserve">خط: نسخ، بی کا، تا: 1079ق؛ کاغذ ،فرنگی ،جلد: تیماج یک لا تریاکی، ابعاد متن 6</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 اندازه 10</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سم [ف: 3 - 886]</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مشهد؛ رضوی؛ شماره نسخه 3780</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نستعليق متوسط ،کا: محمد هاشم بن محمد طالب حسنی حسینی اردستانی ؛تا: 1104ق؛ محشى؛ واقف نادرشاه، 1145 ق؛کاغذ: نوعی ترمه ،جلد: مقوا روکش پارچه 12گ 15 سطر، اندازه: 18/8</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12 - 4]</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مشهد؛ رضوی؛ شماره نسخه: 6261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،هندی ،کا :محمد شرف بن حافظ محمد قایم، 1163ق، جا: قصبه چمه چهته؛ مذیل است به رساله «تحفة الغلمان »در نحو در پنج صفحه که آغاز آن چنین است «بسمله، الحمدلله و سلام على عباده الذين اصطفى اللفظ كلمة ان وضع لمعنى لا ينقسم عليه» انجام: «فى اياه نحو ايا و اللواحق حروف وقيل هو اللواحق فقط». نسخه قدیمی نیست ولی در ورقه ای که منضم به نسخه است و نیز در «شناسنامه» کتاب این احمدشاه را سهواً از ملوک بهمنی تصور کرده اند که در سال 825 جلوس نموده و به همین جهت تاریخ تحریر آن را در همه جا 826 نوشته اند در حالی که این تاریخ مخالفت صریح دارد با ضوابط و موازین علمی و فنی نسخه شناسی، و تاریخ کتابت آن به هیچ وجه به طور قطع و</w:t>
      </w:r>
    </w:p>
    <w:p>
      <w:pPr>
        <w:pStyle w:val="BookText"/>
      </w:pPr>
      <w:r>
        <w:rPr>
          <w:rFonts w:ascii="IRNazanin" w:hAnsi="IRNazanin" w:eastAsia="IRNazanin" w:cs="IRNazanin"/>
          <w:lang w:bidi="fa-IR"/>
          <w:color w:val="111111"/>
          <w:sz w:val="28"/>
          <w:szCs w:val="28"/>
          <w:rtl/>
        </w:rPr>
        <w:t xml:space="preserve">و یقین مقدم بر قرن دوازدهم و از این طرف بدون ادنی شک شبهه ای متأخر از آن نمی تواند باشد. حال ببینیم این احمد شاه که در سال دوم پادشاهی او کتابت شده کیست؟ این احمدشاه در یک کلمه هیچ کس جز احمد بهادر از سلاطین مغولی (نه ملوک (بهمنی) هند نیست که در دوم جمادی الاول سال 1161 به سلطنت رسیده است و چون کاتب به اقرار خود نسخه را در سال دوم پادشاهی احمد بهادر نوشته پس لامحاله تاریخ کتابت آن 1163 خواهد بود (چندین ماه بعد از تحریر این حاشیه به مناسبتی بعد از یک تصفح دقیق نسخه مهر کاتب در صفحه آخر از رساله دوم دیده شد که صریحاً واضحاً تاریخ مذکور را دارد نه یک سال جلوتر و نه یک سال عقب تر)، محشی کاغذ ،نخودی، جلد ،پارچه 23گ 8 و 9 سطر ، اندازه: 15/5</w:t>
      </w:r>
      <w:r>
        <w:rPr>
          <w:rFonts w:ascii="Times New Roman" w:hAnsi="Times New Roman" w:eastAsia="Times New Roman" w:cs="Times New Roman"/>
          <w:lang w:val="en-US" w:bidi="en-US"/>
          <w:color w:val="111111"/>
          <w:sz w:val="28"/>
          <w:szCs w:val="28"/>
          <w:rtl/>
        </w:rPr>
        <w:t xml:space="preserve">×22/5</w:t>
      </w:r>
      <w:r>
        <w:rPr>
          <w:rFonts w:ascii="IRNazanin" w:hAnsi="IRNazanin" w:eastAsia="IRNazanin" w:cs="IRNazanin"/>
          <w:lang w:bidi="fa-IR"/>
          <w:color w:val="111111"/>
          <w:sz w:val="28"/>
          <w:szCs w:val="28"/>
          <w:rtl/>
        </w:rPr>
        <w:t xml:space="preserve">سم [ف: 12 - 4]</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مشهد؛ گوهرشاد؛ شماره نسخه : 959/1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13 ؛مهر: حاج سید سعید؛ جلد: تیماج عنابی ،لایه ای 21 گ (1-22)، 10 سطر (7/5</w:t>
      </w:r>
      <w:r>
        <w:rPr>
          <w:rFonts w:ascii="Times New Roman" w:hAnsi="Times New Roman" w:eastAsia="Times New Roman" w:cs="Times New Roman"/>
          <w:lang w:val="en-US" w:bidi="en-US"/>
          <w:color w:val="111111"/>
          <w:sz w:val="28"/>
          <w:szCs w:val="28"/>
          <w:rtl/>
        </w:rPr>
        <w:t xml:space="preserve">×12/5) </w:t>
      </w:r>
      <w:r>
        <w:rPr>
          <w:rFonts w:ascii="IRNazanin" w:hAnsi="IRNazanin" w:eastAsia="IRNazanin" w:cs="IRNazanin"/>
          <w:lang w:bidi="fa-IR"/>
          <w:color w:val="111111"/>
          <w:sz w:val="28"/>
          <w:szCs w:val="28"/>
          <w:rtl/>
        </w:rPr>
        <w:t xml:space="preserve">اندازه: 12</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[ف: 3 - 1315]</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قم؛ مرعشی؛ شماره نسخه: 9747/2</w:t>
      </w:r>
    </w:p>
    <w:p>
      <w:pPr>
        <w:pStyle w:val="BookText"/>
      </w:pPr>
      <w:r>
        <w:rPr>
          <w:rFonts w:ascii="IRNazanin" w:hAnsi="IRNazanin" w:eastAsia="IRNazanin" w:cs="IRNazanin"/>
          <w:lang w:bidi="fa-IR"/>
          <w:color w:val="111111"/>
          <w:sz w:val="28"/>
          <w:szCs w:val="28"/>
          <w:rtl/>
        </w:rPr>
        <w:t xml:space="preserve">خط: نسخ، بی کا، تا: قرن 13 ؛جلد: تیماج مشکی، 20گ، (38پ-57پ)، اندازه: 10/5</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سم [ف: 25 – 97]</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تهران؛ ملی؛ شماره نسخه: 1745/1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نام مؤلف به قرینه آغاز نسخه تعیین شد؛ کا: حاجى يحيى کشمیری فرزند ملا یوسف و چند کاتب دیگر، تا :1221ق؛ کاغذ ،اصفهانی ،جلد: میشن تریاکی ،مقوایی، 34 ص (1-35)، 15 سطر (5</w:t>
      </w:r>
      <w:r>
        <w:rPr>
          <w:rFonts w:ascii="Times New Roman" w:hAnsi="Times New Roman" w:eastAsia="Times New Roman" w:cs="Times New Roman"/>
          <w:lang w:val="en-US" w:bidi="en-US"/>
          <w:color w:val="111111"/>
          <w:sz w:val="28"/>
          <w:szCs w:val="28"/>
          <w:rtl/>
        </w:rPr>
        <w:t xml:space="preserve">×10) </w:t>
      </w:r>
      <w:r>
        <w:rPr>
          <w:rFonts w:ascii="IRNazanin" w:hAnsi="IRNazanin" w:eastAsia="IRNazanin" w:cs="IRNazanin"/>
          <w:lang w:bidi="fa-IR"/>
          <w:color w:val="111111"/>
          <w:sz w:val="28"/>
          <w:szCs w:val="28"/>
          <w:rtl/>
        </w:rPr>
        <w:t xml:space="preserve">، اندازه 90</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سم [ف: 10 - 325]</w:t>
      </w:r>
    </w:p>
    <w:p>
      <w:pPr>
        <w:pStyle w:val="BookText"/>
      </w:pPr>
      <w:r>
        <w:rPr>
          <w:rFonts w:ascii="IRNazanin" w:hAnsi="IRNazanin" w:eastAsia="IRNazanin" w:cs="IRNazanin"/>
          <w:lang w:bidi="fa-IR"/>
          <w:color w:val="111111"/>
          <w:sz w:val="28"/>
          <w:szCs w:val="28"/>
          <w:rtl/>
        </w:rPr>
        <w:t xml:space="preserve">15 . قم؛ مسجد اعظم؛ شماره نسخه: 476/2</w:t>
      </w:r>
    </w:p>
    <w:p>
      <w:pPr>
        <w:pStyle w:val="BookText"/>
      </w:pPr>
      <w:r>
        <w:rPr>
          <w:rFonts w:ascii="IRNazanin" w:hAnsi="IRNazanin" w:eastAsia="IRNazanin" w:cs="IRNazanin"/>
          <w:lang w:bidi="fa-IR"/>
          <w:color w:val="111111"/>
          <w:sz w:val="28"/>
          <w:szCs w:val="28"/>
          <w:rtl/>
        </w:rPr>
        <w:t xml:space="preserve">آغاز: احمدک یا من وهب لمن رفع يديه نحوه بالسؤال مسئوله و فتح لمن امل احسانه بابه من غير نصب حاجب واعطاه مأموله سبحانك انت المحمود؛ انجام: ساكنة عند يونس بالكسر عند بعضهم وحملوا عليه قوله تم ولاتتبعان و يمكن حمله على كون النون عوضا عن الرفع و الفعل خبرا وارد امورد الانشاء فالقول بعدم الدخول فمخالفته للقياس و استعمال الفصحاء احسن</w:t>
      </w:r>
    </w:p>
    <w:p>
      <w:pPr>
        <w:pStyle w:val="BookText"/>
      </w:pPr>
      <w:r>
        <w:rPr>
          <w:rFonts w:ascii="IRNazanin" w:hAnsi="IRNazanin" w:eastAsia="IRNazanin" w:cs="IRNazanin"/>
          <w:lang w:bidi="fa-IR"/>
          <w:color w:val="111111"/>
          <w:sz w:val="28"/>
          <w:szCs w:val="28"/>
          <w:rtl/>
        </w:rPr>
        <w:t xml:space="preserve">خط: نستعلیق، کا: محمدبن سهرابعلی مازندرانی، تا: 1229ق؛ خطوط سیاه؛ جلد: تیماج قهوه ای ،مجدول، 5گ، 16 سطر ،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66" w:name="pg20365_260087"/>
    <w:bookmarkEnd w:id="66"/>
    <w:p>
      <w:pPr>
        <w:pStyle w:val="BookText"/>
      </w:pPr>
      <w:r>
        <w:rPr>
          <w:rFonts w:ascii="IRNazanin" w:hAnsi="IRNazanin" w:eastAsia="IRNazanin" w:cs="IRNazanin"/>
          <w:lang w:bidi="fa-IR"/>
          <w:color w:val="111111"/>
          <w:sz w:val="28"/>
          <w:szCs w:val="28"/>
          <w:rtl/>
        </w:rPr>
        <w:t xml:space="preserve">اندازه: 15</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مخ: 1 - 133]</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تهران؛ ملک؛ شماره نسخه: 2316/2</w:t>
      </w:r>
    </w:p>
    <w:p>
      <w:pPr>
        <w:pStyle w:val="BookText"/>
      </w:pPr>
      <w:r>
        <w:rPr>
          <w:rFonts w:ascii="IRNazanin" w:hAnsi="IRNazanin" w:eastAsia="IRNazanin" w:cs="IRNazanin"/>
          <w:lang w:bidi="fa-IR"/>
          <w:color w:val="111111"/>
          <w:sz w:val="28"/>
          <w:szCs w:val="28"/>
          <w:rtl/>
        </w:rPr>
        <w:t xml:space="preserve">خط: نسخ، کا: محمدباقر بن ابوالفضل، تا: 27 جمادى الاول 1235ق؛ کاغذ: پسته ای ؛جلد: رویه کاغذ آبی [ف: 5 - 465]</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قم؛ فیضیه؛ شماره نسخه:2054/3</w:t>
      </w:r>
    </w:p>
    <w:p>
      <w:pPr>
        <w:pStyle w:val="BookText"/>
      </w:pPr>
      <w:r>
        <w:rPr>
          <w:rFonts w:ascii="IRNazanin" w:hAnsi="IRNazanin" w:eastAsia="IRNazanin" w:cs="IRNazanin"/>
          <w:lang w:bidi="fa-IR"/>
          <w:color w:val="111111"/>
          <w:sz w:val="28"/>
          <w:szCs w:val="28"/>
          <w:rtl/>
        </w:rPr>
        <w:t xml:space="preserve">خط: نسخ، بی کا، بی تا: 14گ (33-47)، 13 سطر ، اندازه:9</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سم [ف: 3 - 173]</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تهران؛ ملک؛ شماره نسخه: 2889/1</w:t>
      </w:r>
    </w:p>
    <w:p>
      <w:pPr>
        <w:pStyle w:val="BookText"/>
      </w:pPr>
      <w:r>
        <w:rPr>
          <w:rFonts w:ascii="IRNazanin" w:hAnsi="IRNazanin" w:eastAsia="IRNazanin" w:cs="IRNazanin"/>
          <w:lang w:bidi="fa-IR"/>
          <w:color w:val="111111"/>
          <w:sz w:val="28"/>
          <w:szCs w:val="28"/>
          <w:rtl/>
        </w:rPr>
        <w:t xml:space="preserve">خط: نسخ، بی کا، بی تا؛ کاغذ: فرنگی آهار مهره، جلد: قرمز، 10 سطر ، اندازه: 15/3</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سم [ف: 6 - 158]</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قم؛ مرعشی؛ شماره نسخه: 6525/2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نام مؤلف به قرینه آغاز نسخه تعیین شد؛ خط: نستعلیق، بی کا، بی تا؛ جلد: تیماج ،سبز، 4گ (17 ر - 21ر) اندازه: 17</w:t>
      </w:r>
      <w:r>
        <w:rPr>
          <w:rFonts w:ascii="Times New Roman" w:hAnsi="Times New Roman" w:eastAsia="Times New Roman" w:cs="Times New Roman"/>
          <w:lang w:val="en-US" w:bidi="en-US"/>
          <w:color w:val="111111"/>
          <w:sz w:val="28"/>
          <w:szCs w:val="28"/>
          <w:rtl/>
        </w:rPr>
        <w:t xml:space="preserve">×25</w:t>
      </w:r>
      <w:r>
        <w:rPr>
          <w:rFonts w:ascii="IRNazanin" w:hAnsi="IRNazanin" w:eastAsia="IRNazanin" w:cs="IRNazanin"/>
          <w:lang w:bidi="fa-IR"/>
          <w:color w:val="111111"/>
          <w:sz w:val="28"/>
          <w:szCs w:val="28"/>
          <w:rtl/>
        </w:rPr>
        <w:t xml:space="preserve">سم [ ف: 17- 105]</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مشهد؛ رضوی؛ شماره نسخه: 10343/8</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کاغذ: حنائی و نخودی ،جلد: مقوا روکش  پارچه، 39گ (183-144) ، اندازه: 16</w:t>
      </w:r>
      <w:r>
        <w:rPr>
          <w:rFonts w:ascii="Times New Roman" w:hAnsi="Times New Roman" w:eastAsia="Times New Roman" w:cs="Times New Roman"/>
          <w:lang w:val="en-US" w:bidi="en-US"/>
          <w:color w:val="111111"/>
          <w:sz w:val="28"/>
          <w:szCs w:val="28"/>
          <w:rtl/>
        </w:rPr>
        <w:t xml:space="preserve">× 25 </w:t>
      </w:r>
      <w:r>
        <w:rPr>
          <w:rFonts w:ascii="IRNazanin" w:hAnsi="IRNazanin" w:eastAsia="IRNazanin" w:cs="IRNazanin"/>
          <w:lang w:bidi="fa-IR"/>
          <w:color w:val="111111"/>
          <w:sz w:val="28"/>
          <w:szCs w:val="28"/>
          <w:rtl/>
        </w:rPr>
        <w:t xml:space="preserve">سم [ف: 12 - 348]</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مشهد؛ الهیات؛ شماره نسخه: 20359/2</w:t>
      </w:r>
    </w:p>
    <w:p>
      <w:pPr>
        <w:pStyle w:val="BookText"/>
      </w:pPr>
      <w:r>
        <w:rPr>
          <w:rFonts w:ascii="IRNazanin" w:hAnsi="IRNazanin" w:eastAsia="IRNazanin" w:cs="IRNazanin"/>
          <w:lang w:bidi="fa-IR"/>
          <w:color w:val="111111"/>
          <w:sz w:val="28"/>
          <w:szCs w:val="28"/>
          <w:rtl/>
        </w:rPr>
        <w:t xml:space="preserve">بی کا، بی تا، در حاشیه رساله اول مجموعه است؛ مهر: («عبده الراجى هاشم الحسینی»؛ جلد: تیماج ضربی دار قهوه ای، اندازه:13</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سم [ف: 2 - 427]</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شیراز؛ علامه طباطبائی؛ شماره نسخه: 1575</w:t>
      </w:r>
    </w:p>
    <w:p>
      <w:pPr>
        <w:pStyle w:val="BookText"/>
      </w:pPr>
      <w:r>
        <w:rPr>
          <w:rFonts w:ascii="IRNazanin" w:hAnsi="IRNazanin" w:eastAsia="IRNazanin" w:cs="IRNazanin"/>
          <w:lang w:bidi="fa-IR"/>
          <w:color w:val="111111"/>
          <w:sz w:val="28"/>
          <w:szCs w:val="28"/>
          <w:rtl/>
        </w:rPr>
        <w:t xml:space="preserve">خط: نسخ، کا: شمس الدين محمد بن ابوتراب حسینی، بی تا؛ مصحح؛ 13گ، اندازه: 12</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[نسخه پژوهی: 2 - 111]</w:t>
      </w:r>
    </w:p>
    <w:p>
      <w:pPr>
        <w:pStyle w:val="Heading3"/>
      </w:pPr>
      <w:bookmarkStart w:id="671" w:name="_Toc193"/>
      <w:r>
        <w:t>الارشادية / اخلاق / فارسی</w:t>
      </w:r>
      <w:bookmarkEnd w:id="671"/>
    </w:p>
    <w:p>
      <w:pPr>
        <w:pStyle w:val="BookText"/>
      </w:pPr>
      <w:r>
        <w:rPr>
          <w:rFonts w:ascii="Times New Roman" w:hAnsi="Times New Roman" w:eastAsia="Times New Roman" w:cs="Times New Roman"/>
          <w:lang w:val="en-US" w:bidi="en-US"/>
          <w:color w:val="111111"/>
          <w:sz w:val="28"/>
          <w:szCs w:val="28"/>
          <w:rtl/>
        </w:rPr>
        <w:t xml:space="preserve">eršādīye</w:t>
      </w:r>
    </w:p>
    <w:p>
      <w:pPr>
        <w:pStyle w:val="BookText"/>
      </w:pPr>
      <w:r>
        <w:rPr>
          <w:rFonts w:ascii="IRNazanin" w:hAnsi="IRNazanin" w:eastAsia="IRNazanin" w:cs="IRNazanin"/>
          <w:lang w:bidi="fa-IR"/>
          <w:color w:val="111111"/>
          <w:sz w:val="28"/>
          <w:szCs w:val="28"/>
          <w:rtl/>
        </w:rPr>
        <w:t xml:space="preserve">تویسرکانی محمد نبی بن احمد - 1320 ؟ قمری</w:t>
      </w:r>
    </w:p>
    <w:p>
      <w:pPr>
        <w:pStyle w:val="BookText"/>
      </w:pPr>
      <w:r>
        <w:rPr>
          <w:rFonts w:ascii="Times New Roman" w:hAnsi="Times New Roman" w:eastAsia="Times New Roman" w:cs="Times New Roman"/>
          <w:lang w:val="en-US" w:bidi="en-US"/>
          <w:color w:val="111111"/>
          <w:sz w:val="28"/>
          <w:szCs w:val="28"/>
          <w:rtl/>
        </w:rPr>
        <w:t xml:space="preserve">(toyserkānī, mohammad nabī ebn-e ahmad ( - 1902)</w:t>
      </w:r>
    </w:p>
    <w:p>
      <w:pPr>
        <w:pStyle w:val="BookText"/>
      </w:pPr>
      <w:r>
        <w:rPr>
          <w:rFonts w:ascii="IRNazanin" w:hAnsi="IRNazanin" w:eastAsia="IRNazanin" w:cs="IRNazanin"/>
          <w:lang w:bidi="fa-IR"/>
          <w:color w:val="111111"/>
          <w:sz w:val="28"/>
          <w:szCs w:val="28"/>
          <w:rtl/>
        </w:rPr>
        <w:t xml:space="preserve">تاریخ تأليف: 1290ق</w:t>
      </w:r>
    </w:p>
    <w:p>
      <w:pPr>
        <w:pStyle w:val="BookText"/>
      </w:pPr>
      <w:r>
        <w:rPr>
          <w:rFonts w:ascii="IRNazanin" w:hAnsi="IRNazanin" w:eastAsia="IRNazanin" w:cs="IRNazanin"/>
          <w:lang w:bidi="fa-IR"/>
          <w:color w:val="111111"/>
          <w:sz w:val="28"/>
          <w:szCs w:val="28"/>
          <w:rtl/>
        </w:rPr>
        <w:t xml:space="preserve">رساله استدلالی است بر وجوب ارشاد عوام به احکام شرعیه و تکالیف دینی آنان و این که این فریضه هیچگاه از کسی ساقط نمی باشد.</w:t>
      </w:r>
    </w:p>
    <w:p>
      <w:pPr>
        <w:pStyle w:val="BookText"/>
      </w:pPr>
      <w:r>
        <w:rPr>
          <w:rFonts w:ascii="IRNazanin" w:hAnsi="IRNazanin" w:eastAsia="IRNazanin" w:cs="IRNazanin"/>
          <w:lang w:bidi="fa-IR"/>
          <w:color w:val="111111"/>
          <w:sz w:val="28"/>
          <w:szCs w:val="28"/>
          <w:rtl/>
        </w:rPr>
        <w:t xml:space="preserve">آغاز: بدانکه گاهی بنظر می رسد که مقتضای آیه وافی هدایه انداز و سایر ادله داله بر وجوب تعلیم و ارشاد.</w:t>
      </w:r>
    </w:p>
    <w:p>
      <w:pPr>
        <w:pStyle w:val="BookText"/>
      </w:pPr>
      <w:r>
        <w:rPr>
          <w:rFonts w:ascii="IRNazanin" w:hAnsi="IRNazanin" w:eastAsia="IRNazanin" w:cs="IRNazanin"/>
          <w:lang w:bidi="fa-IR"/>
          <w:color w:val="111111"/>
          <w:sz w:val="28"/>
          <w:szCs w:val="28"/>
          <w:rtl/>
        </w:rPr>
        <w:t xml:space="preserve">انجام: و خود را مثل غالب مردم مستحق عذاب و مبغوض  خداوند قهار نگرداند.</w:t>
      </w:r>
    </w:p>
    <w:p>
      <w:pPr>
        <w:pStyle w:val="BookText"/>
      </w:pPr>
      <w:r>
        <w:rPr>
          <w:rFonts w:ascii="IRNazanin" w:hAnsi="IRNazanin" w:eastAsia="IRNazanin" w:cs="IRNazanin"/>
          <w:lang w:bidi="fa-IR"/>
          <w:color w:val="111111"/>
          <w:sz w:val="28"/>
          <w:szCs w:val="28"/>
          <w:rtl/>
        </w:rPr>
        <w:t xml:space="preserve">[فهرستواره منزوی 462/6]</w:t>
      </w:r>
    </w:p>
    <w:p>
      <w:pPr>
        <w:pStyle w:val="BookText"/>
      </w:pPr>
      <w:r>
        <w:rPr>
          <w:rFonts w:ascii="IRNazanin" w:hAnsi="IRNazanin" w:eastAsia="IRNazanin" w:cs="IRNazanin"/>
          <w:lang w:bidi="fa-IR"/>
          <w:color w:val="111111"/>
          <w:sz w:val="28"/>
          <w:szCs w:val="28"/>
          <w:rtl/>
        </w:rPr>
        <w:t xml:space="preserve">قم؛ مرعشی؛ شماره نسخه: 6039/3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توسط مؤلف در حاشیه تصحیح و اضافه شده؛ جلد: تیماج قهوه ای بدون ،مقوا ،5 گ (29پ-34ر)، اندازه:</w:t>
      </w:r>
    </w:p>
    <w:p>
      <w:pPr>
        <w:pStyle w:val="BookText"/>
      </w:pPr>
      <w:r>
        <w:rPr>
          <w:rFonts w:ascii="Times New Roman" w:hAnsi="Times New Roman" w:eastAsia="Times New Roman" w:cs="Times New Roman"/>
          <w:lang w:val="en-US" w:bidi="en-US"/>
          <w:color w:val="111111"/>
          <w:sz w:val="28"/>
          <w:szCs w:val="28"/>
          <w:rtl/>
        </w:rPr>
        <w:t xml:space="preserve">10/5× 17</w:t>
      </w:r>
      <w:r>
        <w:rPr>
          <w:rFonts w:ascii="IRNazanin" w:hAnsi="IRNazanin" w:eastAsia="IRNazanin" w:cs="IRNazanin"/>
          <w:lang w:bidi="fa-IR"/>
          <w:color w:val="111111"/>
          <w:sz w:val="28"/>
          <w:szCs w:val="28"/>
          <w:rtl/>
        </w:rPr>
        <w:t xml:space="preserve">سم [ف: 16 - 40]</w:t>
      </w:r>
    </w:p>
    <w:p>
      <w:pPr>
        <w:pStyle w:val="BookText"/>
      </w:pPr>
      <w:r>
        <w:rPr>
          <w:rFonts w:ascii="Amiri" w:hAnsi="Amiri" w:eastAsia="Amiri" w:cs="Amiri"/>
          <w:lang w:bidi="ar-SA"/>
          <w:color w:val="111111"/>
          <w:sz w:val="28"/>
          <w:szCs w:val="28"/>
          <w:rtl/>
        </w:rPr>
        <w:t xml:space="preserve">« ارض » المعرفة في فرائض الميراث</w:t>
      </w:r>
    </w:p>
    <w:p>
      <w:pPr>
        <w:pStyle w:val="Heading3"/>
      </w:pPr>
      <w:bookmarkStart w:id="672" w:name="_Toc194"/>
      <w:r>
        <w:t>ارضاع احدى الأختين ولد الأخرى / فقه / عربي</w:t>
      </w:r>
      <w:bookmarkEnd w:id="672"/>
    </w:p>
    <w:p>
      <w:pPr>
        <w:pStyle w:val="BookText"/>
      </w:pPr>
      <w:r>
        <w:rPr>
          <w:rFonts w:ascii="Times New Roman" w:hAnsi="Times New Roman" w:eastAsia="Times New Roman" w:cs="Times New Roman"/>
          <w:lang w:val="en-US" w:bidi="en-US"/>
          <w:color w:val="111111"/>
          <w:sz w:val="28"/>
          <w:szCs w:val="28"/>
          <w:rtl/>
        </w:rPr>
        <w:t xml:space="preserve">irdau ihda-l uxtayn walad-al 'uxra</w:t>
      </w:r>
    </w:p>
    <w:p>
      <w:pPr>
        <w:pStyle w:val="BookText"/>
      </w:pPr>
      <w:r>
        <w:rPr>
          <w:rFonts w:ascii="IRNazanin" w:hAnsi="IRNazanin" w:eastAsia="IRNazanin" w:cs="IRNazanin"/>
          <w:lang w:bidi="fa-IR"/>
          <w:color w:val="111111"/>
          <w:sz w:val="28"/>
          <w:szCs w:val="28"/>
          <w:rtl/>
        </w:rPr>
        <w:t xml:space="preserve">میرزای قمی، ابو القاسم بن محمد حسن، 1151 - 1231 قمری</w:t>
      </w:r>
    </w:p>
    <w:p>
      <w:pPr>
        <w:pStyle w:val="BookText"/>
      </w:pPr>
      <w:r>
        <w:rPr>
          <w:rFonts w:ascii="Times New Roman" w:hAnsi="Times New Roman" w:eastAsia="Times New Roman" w:cs="Times New Roman"/>
          <w:lang w:val="en-US" w:bidi="en-US"/>
          <w:color w:val="111111"/>
          <w:sz w:val="28"/>
          <w:szCs w:val="28"/>
          <w:rtl/>
        </w:rPr>
        <w:t xml:space="preserve">(mīrzā-ye qomī, ab-ol-qāsem ebn-e mohammadhasan (1739-1816)</w:t>
      </w:r>
    </w:p>
    <w:p>
      <w:pPr>
        <w:pStyle w:val="BookText"/>
      </w:pPr>
      <w:r>
        <w:rPr>
          <w:rFonts w:ascii="IRNazanin" w:hAnsi="IRNazanin" w:eastAsia="IRNazanin" w:cs="IRNazanin"/>
          <w:lang w:bidi="fa-IR"/>
          <w:color w:val="111111"/>
          <w:sz w:val="28"/>
          <w:szCs w:val="28"/>
          <w:rtl/>
        </w:rPr>
        <w:t xml:space="preserve">تاریخ تألیف نزدیک به پایان 1200ق؛ محل تألیف: قم</w:t>
      </w:r>
    </w:p>
    <w:p>
      <w:pPr>
        <w:pStyle w:val="BookText"/>
      </w:pPr>
      <w:r>
        <w:rPr>
          <w:rFonts w:ascii="IRNazanin" w:hAnsi="IRNazanin" w:eastAsia="IRNazanin" w:cs="IRNazanin"/>
          <w:lang w:bidi="fa-IR"/>
          <w:color w:val="111111"/>
          <w:sz w:val="28"/>
          <w:szCs w:val="28"/>
          <w:rtl/>
        </w:rPr>
        <w:t xml:space="preserve">پاسخ استدلالی پرسشی است پیرامون شیر دادن یکی از خواهران فرزند خواهرش را به اندازه محرمیت (انبات لحم، 15 بار یا یک شب و روز) و این که آیا فرزندان دیگر دو خواهر که (خاله دایه آنها نبوده) می توانند با یکدیگر ازدواج کنند یا نه؟ مؤلف با استدلال به احادیث جایز دانسته است این رساله مشتمل بر دو «مقدمه» و دو «مطلب»: مقدمه 1. فى أن الأحكام تابعة للعناوني و المعنونات؛ مقدمه 2 .معنى يحرم من الرضاع ما يحرم من النسب؛ مطلب 1. نكاح أولاد أب المرتضع في اولاد صاحب اللبن؛ مطلب .2 .نكاح أولاد أب المرتضع في أولاد المرضعة.</w:t>
      </w:r>
    </w:p>
    <w:p>
      <w:pPr>
        <w:pStyle w:val="BookText"/>
      </w:pPr>
      <w:r>
        <w:rPr>
          <w:rFonts w:ascii="Amiri" w:hAnsi="Amiri" w:eastAsia="Amiri" w:cs="Amiri"/>
          <w:lang w:bidi="ar-SA"/>
          <w:color w:val="111111"/>
          <w:sz w:val="28"/>
          <w:szCs w:val="28"/>
          <w:rtl/>
        </w:rPr>
        <w:t xml:space="preserve">آغاز: بسمله، حمدله، مسألة هل يجوز ارضاع احدى الاختين ولد الأخرى بحد الرضاع المحرم ام لا ؟ ثم إذا حصل الرضاع فهل يجوز المناكحة بين ولديهما الغير المتراضعين أم لا ؟</w:t>
      </w:r>
    </w:p>
    <w:p>
      <w:pPr>
        <w:pStyle w:val="BookText"/>
      </w:pPr>
      <w:r>
        <w:rPr>
          <w:rFonts w:ascii="Amiri" w:hAnsi="Amiri" w:eastAsia="Amiri" w:cs="Amiri"/>
          <w:lang w:bidi="ar-SA"/>
          <w:color w:val="111111"/>
          <w:sz w:val="28"/>
          <w:szCs w:val="28"/>
          <w:rtl/>
        </w:rPr>
        <w:t xml:space="preserve">انجام: و اذا لم يثبت الحكم فى اخوة الاخوة ففى اخوة اخوة الاخوة الأمر اوضح و لنقتصر بذلك و نختم الرسالة. .. و الحمد لله. .. اواخر شعبان المعظم من شهور سنة مائتين و ألف.</w:t>
      </w:r>
    </w:p>
    <w:p>
      <w:pPr>
        <w:pStyle w:val="BookText"/>
      </w:pPr>
      <w:r>
        <w:rPr>
          <w:rFonts w:ascii="IRNazanin" w:hAnsi="IRNazanin" w:eastAsia="IRNazanin" w:cs="IRNazanin"/>
          <w:lang w:bidi="fa-IR"/>
          <w:color w:val="111111"/>
          <w:sz w:val="28"/>
          <w:szCs w:val="28"/>
          <w:rtl/>
        </w:rPr>
        <w:t xml:space="preserve">1 . قم؛ مرعشی؛ شماره نسخه: 1411/2 عکسی</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نسخه اصل: گویا در نزد ورثه میرزا ابو طالب قمی است؛ خط: نستعلیق شکسته، کاتب - مؤلف، تا: اواخر شعبان 1200ق؛ به وسیله مؤلف در متن و حاشیه تصحیح شده، با حواشی از مؤلف؛ مهر وقف مرحوم میرزا ابو طالب قمی؛3 ص (5-7) مختلف السطر [عکسی ف: 4 - 220]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ملک؛ شماره نسخه: 2158/8</w:t>
      </w:r>
    </w:p>
    <w:p>
      <w:pPr>
        <w:pStyle w:val="BookText"/>
      </w:pPr>
      <w:r>
        <w:rPr>
          <w:rFonts w:ascii="IRNazanin" w:hAnsi="IRNazanin" w:eastAsia="IRNazanin" w:cs="IRNazanin"/>
          <w:lang w:bidi="fa-IR"/>
          <w:color w:val="111111"/>
          <w:sz w:val="28"/>
          <w:szCs w:val="28"/>
          <w:rtl/>
        </w:rPr>
        <w:t xml:space="preserve">خط: نسخ، بی کا، تا: قرن 13؛ 5گ( 79ر - 84ر) [ف: 5 - 439]</w:t>
      </w:r>
    </w:p>
    <w:p>
      <w:pPr>
        <w:pStyle w:val="BookText"/>
      </w:pPr>
      <w:r>
        <w:rPr>
          <w:rFonts w:ascii="IRNazanin" w:hAnsi="IRNazanin" w:eastAsia="IRNazanin" w:cs="IRNazanin"/>
          <w:lang w:bidi="fa-IR"/>
          <w:color w:val="111111"/>
          <w:sz w:val="28"/>
          <w:szCs w:val="28"/>
          <w:rtl/>
        </w:rPr>
        <w:t xml:space="preserve">3.مشهد؛ مدیر شانه چی؛ شماره نسخه: 55</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در فهرست ناشناس؛ خط: نستعلیق، بی کا، تا: قرن 13؛ قطع: ربعی [نشریه 5 - 596]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مشهد؛ رضوی؛ شماره نسخه: 7667ض6</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67" w:name="pg20365_260088"/>
    <w:bookmarkEnd w:id="67"/>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و نستعلیق، کا: محمد علی رضوی، تا: قرن 13؛ کاغذ: شکری آهار مهره،جلد:تیماج ماشی، 8ص،مختلف السطر، اندازه: 14</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21/1 - 663]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مشهد؛ رضوی؛ شماره نسخه: ض 14787</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قرن 13؛ واقف: سید محمد باقر سبزواری،محرم 1405؛ کاغذ: شکری آهار مهره ،جلد: مقوا رویه گالینگور</w:t>
      </w:r>
    </w:p>
    <w:p>
      <w:pPr>
        <w:pStyle w:val="BookText"/>
      </w:pPr>
      <w:r>
        <w:rPr>
          <w:rFonts w:ascii="IRNazanin" w:hAnsi="IRNazanin" w:eastAsia="IRNazanin" w:cs="IRNazanin"/>
          <w:lang w:bidi="fa-IR"/>
          <w:color w:val="111111"/>
          <w:sz w:val="28"/>
          <w:szCs w:val="28"/>
          <w:rtl/>
        </w:rPr>
        <w:t xml:space="preserve">عطف و گوشه تیماج قهوه ای سوخت، 9ص، 24 سطر ، اندازه: 14</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21/1 - 99]</w:t>
      </w:r>
    </w:p>
    <w:p>
      <w:pPr>
        <w:pStyle w:val="BookText"/>
      </w:pPr>
      <w:r>
        <w:rPr>
          <w:rFonts w:ascii="IRNazanin" w:hAnsi="IRNazanin" w:eastAsia="IRNazanin" w:cs="IRNazanin"/>
          <w:lang w:bidi="fa-IR"/>
          <w:color w:val="111111"/>
          <w:sz w:val="28"/>
          <w:szCs w:val="28"/>
          <w:rtl/>
        </w:rPr>
        <w:t xml:space="preserve">6 . مشهد؛ رضوی؛ شماره نسخه: 35689</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تحریری، کا: سید حسین بن اسماعیل موسوی ربیع الثانی 1219ق؛ اهدائی رهبری، خرداد 1373 ؛کاغذ: نخودی آهار مهره، فرنگی ،جلد: تیماج ضربی خرمایی با ترنج و  دوسر ترنج با عطف و سجاف میشن قهوه ای، 3گ 27 سطر ، اندازه: 14/5</w:t>
      </w:r>
      <w:r>
        <w:rPr>
          <w:rFonts w:ascii="Times New Roman" w:hAnsi="Times New Roman" w:eastAsia="Times New Roman" w:cs="Times New Roman"/>
          <w:lang w:val="en-US" w:bidi="en-US"/>
          <w:color w:val="111111"/>
          <w:sz w:val="28"/>
          <w:szCs w:val="28"/>
          <w:rtl/>
        </w:rPr>
        <w:t xml:space="preserve">×20/5</w:t>
      </w:r>
      <w:r>
        <w:rPr>
          <w:rFonts w:ascii="IRNazanin" w:hAnsi="IRNazanin" w:eastAsia="IRNazanin" w:cs="IRNazanin"/>
          <w:lang w:bidi="fa-IR"/>
          <w:color w:val="111111"/>
          <w:sz w:val="28"/>
          <w:szCs w:val="28"/>
          <w:rtl/>
        </w:rPr>
        <w:t xml:space="preserve">سم [اهدائی - ف: 3 - 59]</w:t>
      </w:r>
    </w:p>
    <w:p>
      <w:pPr>
        <w:pStyle w:val="BookText"/>
      </w:pPr>
      <w:r>
        <w:rPr>
          <w:rFonts w:ascii="IRNazanin" w:hAnsi="IRNazanin" w:eastAsia="IRNazanin" w:cs="IRNazanin"/>
          <w:lang w:bidi="fa-IR"/>
          <w:color w:val="111111"/>
          <w:sz w:val="28"/>
          <w:szCs w:val="28"/>
          <w:rtl/>
        </w:rPr>
        <w:t xml:space="preserve">7.مشهد؛ رضوی؛ شماره نسخه: ض 19998</w:t>
      </w:r>
    </w:p>
    <w:p>
      <w:pPr>
        <w:pStyle w:val="BookText"/>
      </w:pPr>
      <w:r>
        <w:rPr>
          <w:rFonts w:ascii="Amiri" w:hAnsi="Amiri" w:eastAsia="Amiri" w:cs="Amiri"/>
          <w:lang w:bidi="ar-SA"/>
          <w:color w:val="111111"/>
          <w:sz w:val="28"/>
          <w:szCs w:val="28"/>
          <w:rtl/>
        </w:rPr>
        <w:t xml:space="preserve">آغاز و انجام: برابر؛... ابو القاسم بن الحسن الجيلاني في اواخر شعبان من شهور سنة مأتين و الف 12 (كذا).</w:t>
      </w:r>
    </w:p>
    <w:p>
      <w:pPr>
        <w:pStyle w:val="BookText"/>
      </w:pPr>
      <w:r>
        <w:rPr>
          <w:rFonts w:ascii="IRNazanin" w:hAnsi="IRNazanin" w:eastAsia="IRNazanin" w:cs="IRNazanin"/>
          <w:lang w:bidi="fa-IR"/>
          <w:color w:val="111111"/>
          <w:sz w:val="28"/>
          <w:szCs w:val="28"/>
          <w:rtl/>
        </w:rPr>
        <w:t xml:space="preserve">خط: نستعلیق، کا: سید حسین بن اسماعیل موسوی، تا: ربیع الثانی 1219ق؛ اهدایی رهبری، خرداد 1373؛ کاغذ: نخودی آهار مهره ،جلد: تیماج مشکی ضربی مزین به ترنج و سرترنج، 9ص، 27 سطر ، اندازه: 14/5</w:t>
      </w:r>
      <w:r>
        <w:rPr>
          <w:rFonts w:ascii="Times New Roman" w:hAnsi="Times New Roman" w:eastAsia="Times New Roman" w:cs="Times New Roman"/>
          <w:lang w:val="en-US" w:bidi="en-US"/>
          <w:color w:val="111111"/>
          <w:sz w:val="28"/>
          <w:szCs w:val="28"/>
          <w:rtl/>
        </w:rPr>
        <w:t xml:space="preserve">×20/5 </w:t>
      </w:r>
      <w:r>
        <w:rPr>
          <w:rFonts w:ascii="IRNazanin" w:hAnsi="IRNazanin" w:eastAsia="IRNazanin" w:cs="IRNazanin"/>
          <w:lang w:bidi="fa-IR"/>
          <w:color w:val="111111"/>
          <w:sz w:val="28"/>
          <w:szCs w:val="28"/>
          <w:rtl/>
        </w:rPr>
        <w:t xml:space="preserve">سم [ف: 21/1 - 377]</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تهران؛ دانشگاه؛ شماره نسخه: 1020/10</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کا: محمد حسین ابن محمد مهدی همدانی، تا: 1226ق؛ 15 گ (123ر-138ر) [ف: 5 - 1803]</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آران کاشان؛ محمد هلال؛ شماره نسخه: 37/8</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کامل است؛ خط: نسخ، کا: ابو طالب بن محمدحسن آرائی کاشانی، تا: با تاریخ 1228ق؛ جلد: گالینگور قرمز عطف تیماج سرخ ، 11 ص ( 555-565) ، 22 سطر ، اندازه: 16</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سم [ف مخ: - 70]</w:t>
      </w:r>
    </w:p>
    <w:p>
      <w:pPr>
        <w:pStyle w:val="BookText"/>
      </w:pPr>
      <w:r>
        <w:rPr>
          <w:rFonts w:ascii="IRNazanin" w:hAnsi="IRNazanin" w:eastAsia="IRNazanin" w:cs="IRNazanin"/>
          <w:lang w:bidi="fa-IR"/>
          <w:color w:val="111111"/>
          <w:sz w:val="28"/>
          <w:szCs w:val="28"/>
          <w:rtl/>
        </w:rPr>
        <w:t xml:space="preserve">قم ؛مرکز احیاء؛ شماره نسخه: 262/8</w:t>
      </w:r>
    </w:p>
    <w:p>
      <w:pPr>
        <w:pStyle w:val="BookText"/>
      </w:pPr>
      <w:r>
        <w:rPr>
          <w:rFonts w:ascii="IRNazanin" w:hAnsi="IRNazanin" w:eastAsia="IRNazanin" w:cs="IRNazanin"/>
          <w:lang w:bidi="fa-IR"/>
          <w:color w:val="111111"/>
          <w:sz w:val="28"/>
          <w:szCs w:val="28"/>
          <w:rtl/>
        </w:rPr>
        <w:t xml:space="preserve">نسخه اصلی: همان نسخه بالا [عکسی ف: 1 - 304]</w:t>
      </w:r>
    </w:p>
    <w:p>
      <w:pPr>
        <w:pStyle w:val="BookText"/>
      </w:pPr>
      <w:r>
        <w:rPr>
          <w:rFonts w:ascii="IRNazanin" w:hAnsi="IRNazanin" w:eastAsia="IRNazanin" w:cs="IRNazanin"/>
          <w:lang w:bidi="fa-IR"/>
          <w:color w:val="111111"/>
          <w:sz w:val="28"/>
          <w:szCs w:val="28"/>
          <w:rtl/>
        </w:rPr>
        <w:t xml:space="preserve">10 . مشهد؛ الهیات؛ شماره نسخه: 22539/1</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در فهرست ناشناس آمده؛ خط: نستعلیق، بی کا، تا: 1245ق؛ جلد: تیماج عنابی 17 سطر ،(9</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اندازه: 15</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3 - 732]</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کاشان؛ جعفری؛ شماره نسخه: 76/3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1249ق ؛جلد: تیماج قهوه ای عطف گالینگور ،مجدول، 4گ ، 25 سطر ، اندازه: 15</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w:t>
      </w:r>
    </w:p>
    <w:p>
      <w:pPr>
        <w:pStyle w:val="BookText"/>
      </w:pPr>
      <w:r>
        <w:rPr>
          <w:rFonts w:ascii="IRNazanin" w:hAnsi="IRNazanin" w:eastAsia="IRNazanin" w:cs="IRNazanin"/>
          <w:lang w:bidi="fa-IR"/>
          <w:color w:val="111111"/>
          <w:sz w:val="28"/>
          <w:szCs w:val="28"/>
          <w:rtl/>
        </w:rPr>
        <w:t xml:space="preserve">12 . قم؛ گلپایگانی؛ شماره نسخه: 6745/6-34/115</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تا:8 صفر 1261ق؛ مصحح؛ جلد: تیماج مشکی مجدول، 6گ، 20 سطر ، اندازه: 15</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1 - 318]</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قم؛ مرعشی؛ شماره نسخه: 9290/14</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محمد حسن پودئی سمیری، تا: عصر مؤلف؛جلد: تیماج ،مشکی، 6گ (145 ر - 150ر)، 21 سطر ، اندازه: 15</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سم [ف: 24 - 79]</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قم؛ مرعشی؛ شماره نسخه: 9305/14</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عصر مؤلف ؛جلد: تیماج مشکی، 5گ (137ر-141پ)، 21 سطر ، اندازه:15</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24 - 101]</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قزوین؛ امام صادق؛ شماره نسخه: 504/6</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بی کا، بی تا؛ جلد: تیماج سیاه سوخت با ترنج با سر، 8گ [ف: 1 - 399]</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تهران؛ مدرسه مروی؛ شماره نسخه: 669/8</w:t>
      </w:r>
    </w:p>
    <w:p>
      <w:pPr>
        <w:pStyle w:val="BookText"/>
      </w:pPr>
      <w:r>
        <w:rPr>
          <w:rFonts w:ascii="IRNazanin" w:hAnsi="IRNazanin" w:eastAsia="IRNazanin" w:cs="IRNazanin"/>
          <w:lang w:bidi="fa-IR"/>
          <w:color w:val="111111"/>
          <w:sz w:val="28"/>
          <w:szCs w:val="28"/>
          <w:rtl/>
        </w:rPr>
        <w:t xml:space="preserve">بی کا، بی تا؛ قطع: خشتی [ف 292]</w:t>
      </w:r>
    </w:p>
    <w:p>
      <w:pPr>
        <w:pStyle w:val="BookText"/>
      </w:pPr>
      <w:r>
        <w:rPr>
          <w:rFonts w:ascii="Amiri" w:hAnsi="Amiri" w:eastAsia="Amiri" w:cs="Amiri"/>
          <w:lang w:bidi="ar-SA"/>
          <w:color w:val="111111"/>
          <w:sz w:val="28"/>
          <w:szCs w:val="28"/>
          <w:rtl/>
        </w:rPr>
        <w:t xml:space="preserve">«الارض المخروبة بعد العمران » احياء الموات</w:t>
      </w:r>
    </w:p>
    <w:p>
      <w:pPr>
        <w:pStyle w:val="BookText"/>
      </w:pPr>
      <w:r>
        <w:rPr>
          <w:rFonts w:ascii="Amiri" w:hAnsi="Amiri" w:eastAsia="Amiri" w:cs="Amiri"/>
          <w:lang w:bidi="ar-SA"/>
          <w:color w:val="111111"/>
          <w:sz w:val="28"/>
          <w:szCs w:val="28"/>
          <w:rtl/>
        </w:rPr>
        <w:t xml:space="preserve">«الارض المندرسة » احياء الموات</w:t>
      </w:r>
    </w:p>
    <w:p>
      <w:pPr>
        <w:pStyle w:val="BookText"/>
      </w:pPr>
      <w:r>
        <w:rPr>
          <w:rFonts w:ascii="Amiri" w:hAnsi="Amiri" w:eastAsia="Amiri" w:cs="Amiri"/>
          <w:lang w:bidi="ar-SA"/>
          <w:color w:val="111111"/>
          <w:sz w:val="28"/>
          <w:szCs w:val="28"/>
          <w:rtl/>
        </w:rPr>
        <w:t xml:space="preserve">«الارضية » علة قيام الارض في حيزها</w:t>
      </w:r>
    </w:p>
    <w:p>
      <w:pPr>
        <w:pStyle w:val="BookText"/>
      </w:pPr>
      <w:r>
        <w:rPr>
          <w:rFonts w:ascii="IRNazanin" w:hAnsi="IRNazanin" w:eastAsia="IRNazanin" w:cs="IRNazanin"/>
          <w:lang w:bidi="fa-IR"/>
          <w:color w:val="111111"/>
          <w:sz w:val="28"/>
          <w:szCs w:val="28"/>
          <w:rtl/>
        </w:rPr>
        <w:t xml:space="preserve">«ارضی در دائره» ترسیم دوائر عرضی و طولی فلکی</w:t>
      </w:r>
    </w:p>
    <w:p>
      <w:pPr>
        <w:pStyle w:val="Heading3"/>
      </w:pPr>
      <w:bookmarkStart w:id="673" w:name="_Toc195"/>
      <w:r>
        <w:t>ارغام اللئام فى كسر الأصنام / کلام و اعتقادات / فارسی</w:t>
      </w:r>
      <w:bookmarkEnd w:id="673"/>
    </w:p>
    <w:p>
      <w:pPr>
        <w:pStyle w:val="BookText"/>
      </w:pPr>
      <w:r>
        <w:rPr>
          <w:rFonts w:ascii="Times New Roman" w:hAnsi="Times New Roman" w:eastAsia="Times New Roman" w:cs="Times New Roman"/>
          <w:lang w:val="en-US" w:bidi="en-US"/>
          <w:color w:val="111111"/>
          <w:sz w:val="28"/>
          <w:szCs w:val="28"/>
          <w:rtl/>
        </w:rPr>
        <w:t xml:space="preserve">erqām-ol-le❜ām fi kasr-el-'asnām</w:t>
      </w:r>
    </w:p>
    <w:p>
      <w:pPr>
        <w:pStyle w:val="BookText"/>
      </w:pPr>
      <w:r>
        <w:rPr>
          <w:rFonts w:ascii="IRNazanin" w:hAnsi="IRNazanin" w:eastAsia="IRNazanin" w:cs="IRNazanin"/>
          <w:lang w:bidi="fa-IR"/>
          <w:color w:val="111111"/>
          <w:sz w:val="28"/>
          <w:szCs w:val="28"/>
          <w:rtl/>
        </w:rPr>
        <w:t xml:space="preserve">شریف ،نائینی محمد بن محمد هادی، - 1305 قمری</w:t>
      </w:r>
    </w:p>
    <w:p>
      <w:pPr>
        <w:pStyle w:val="BookText"/>
      </w:pPr>
      <w:r>
        <w:rPr>
          <w:rFonts w:ascii="Times New Roman" w:hAnsi="Times New Roman" w:eastAsia="Times New Roman" w:cs="Times New Roman"/>
          <w:lang w:val="en-US" w:bidi="en-US"/>
          <w:color w:val="111111"/>
          <w:sz w:val="28"/>
          <w:szCs w:val="28"/>
          <w:rtl/>
        </w:rPr>
        <w:t xml:space="preserve">šarīf-e nā īnī, mohammad ebn-e mohammad hādī ( ·</w:t>
      </w:r>
    </w:p>
    <w:p>
      <w:pPr>
        <w:pStyle w:val="BookText"/>
      </w:pPr>
      <w:r>
        <w:rPr>
          <w:rFonts w:ascii="Times New Roman" w:hAnsi="Times New Roman" w:eastAsia="Times New Roman" w:cs="Times New Roman"/>
          <w:lang w:val="en-US" w:bidi="en-US"/>
          <w:color w:val="111111"/>
          <w:sz w:val="28"/>
          <w:szCs w:val="28"/>
          <w:rtl/>
        </w:rPr>
        <w:t xml:space="preserve">(1888-)</w:t>
      </w:r>
    </w:p>
    <w:p>
      <w:pPr>
        <w:pStyle w:val="BookText"/>
      </w:pPr>
      <w:r>
        <w:rPr>
          <w:rFonts w:ascii="IRNazanin" w:hAnsi="IRNazanin" w:eastAsia="IRNazanin" w:cs="IRNazanin"/>
          <w:lang w:bidi="fa-IR"/>
          <w:color w:val="111111"/>
          <w:sz w:val="28"/>
          <w:szCs w:val="28"/>
          <w:rtl/>
        </w:rPr>
        <w:t xml:space="preserve">اهدا به: ناصرالدین شاه</w:t>
      </w:r>
    </w:p>
    <w:p>
      <w:pPr>
        <w:pStyle w:val="BookText"/>
      </w:pPr>
      <w:r>
        <w:rPr>
          <w:rFonts w:ascii="Amiri" w:hAnsi="Amiri" w:eastAsia="Amiri" w:cs="Amiri"/>
          <w:lang w:bidi="ar-SA"/>
          <w:color w:val="111111"/>
          <w:sz w:val="28"/>
          <w:szCs w:val="28"/>
          <w:rtl/>
        </w:rPr>
        <w:t xml:space="preserve">تاريخ تأليف: 1274ق</w:t>
      </w:r>
    </w:p>
    <w:p>
      <w:pPr>
        <w:pStyle w:val="BookText"/>
      </w:pPr>
      <w:r>
        <w:rPr>
          <w:rFonts w:ascii="IRNazanin" w:hAnsi="IRNazanin" w:eastAsia="IRNazanin" w:cs="IRNazanin"/>
          <w:lang w:bidi="fa-IR"/>
          <w:color w:val="111111"/>
          <w:sz w:val="28"/>
          <w:szCs w:val="28"/>
          <w:rtl/>
        </w:rPr>
        <w:t xml:space="preserve">این کتاب رد «تبصرة العوام» حاج كريم خان کرمانی است، نامی از این کتاب در «الذريعة» نیامده است نام مؤلف در اعیان الشيعة با عناوین «محمد هادی نائینی» و «محمد بن محمد هادی نائینی متخلص به فائض» آمده و رساله های رجالی زیادی به او نسبت داده شده است. منظومه «اللؤلؤة البهية في «الكلام تأليف همين مؤلف در الذریعه آمده است.</w:t>
      </w:r>
    </w:p>
    <w:p>
      <w:pPr>
        <w:pStyle w:val="BookText"/>
      </w:pPr>
      <w:r>
        <w:rPr>
          <w:rFonts w:ascii="Amiri" w:hAnsi="Amiri" w:eastAsia="Amiri" w:cs="Amiri"/>
          <w:lang w:bidi="ar-SA"/>
          <w:color w:val="111111"/>
          <w:sz w:val="28"/>
          <w:szCs w:val="28"/>
          <w:rtl/>
        </w:rPr>
        <w:t xml:space="preserve">[اعيان الشيعة 412/9 و 48/10]</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IRNazanin" w:hAnsi="IRNazanin" w:eastAsia="IRNazanin" w:cs="IRNazanin"/>
          <w:lang w:bidi="fa-IR"/>
          <w:color w:val="111111"/>
          <w:sz w:val="28"/>
          <w:szCs w:val="28"/>
          <w:rtl/>
        </w:rPr>
        <w:t xml:space="preserve">1- خلاصة إرغام اللئام فى كسر الأصنام؛ شریف نائینی، محمد بن محمد هادى (-1305)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68" w:name="pg20365_260089"/>
    <w:bookmarkEnd w:id="68"/>
    <w:p>
      <w:pPr>
        <w:pStyle w:val="BookText"/>
      </w:pPr>
      <w:r>
        <w:rPr>
          <w:rFonts w:ascii="IRNazanin" w:hAnsi="IRNazanin" w:eastAsia="IRNazanin" w:cs="IRNazanin"/>
          <w:lang w:bidi="fa-IR"/>
          <w:color w:val="111111"/>
          <w:sz w:val="28"/>
          <w:szCs w:val="28"/>
          <w:rtl/>
        </w:rPr>
        <w:t xml:space="preserve">قم؛ مرعشی؛ شماره نسخه: 12523/3</w:t>
      </w:r>
    </w:p>
    <w:p>
      <w:pPr>
        <w:pStyle w:val="BookText"/>
      </w:pPr>
      <w:r>
        <w:rPr>
          <w:rFonts w:ascii="IRNazanin" w:hAnsi="IRNazanin" w:eastAsia="IRNazanin" w:cs="IRNazanin"/>
          <w:lang w:bidi="fa-IR"/>
          <w:color w:val="111111"/>
          <w:sz w:val="28"/>
          <w:szCs w:val="28"/>
          <w:rtl/>
        </w:rPr>
        <w:t xml:space="preserve">آغاز: قسمت چهارم در شیعه و در آن سه باب است باب اول در معرفت احوال نقباء؛ انجام: و نیز بدیهی است که تا توحیدو نبوت و امامت حاصل نشود محبت مذکور ممکن نیست حاصل شود</w:t>
      </w:r>
    </w:p>
    <w:p>
      <w:pPr>
        <w:pStyle w:val="BookText"/>
      </w:pPr>
      <w:r>
        <w:rPr>
          <w:rFonts w:ascii="IRNazanin" w:hAnsi="IRNazanin" w:eastAsia="IRNazanin" w:cs="IRNazanin"/>
          <w:lang w:bidi="fa-IR"/>
          <w:color w:val="111111"/>
          <w:sz w:val="28"/>
          <w:szCs w:val="28"/>
          <w:rtl/>
        </w:rPr>
        <w:t xml:space="preserve">خط: شکسته نستعلیق، كاتب - مؤلف، تا: 1269ق؛ جا: تهران ؛مصحح، محشی :کاغذ ،فرنگی 145گ (187-43)، 24 - 26 سطر ، اندازه: 13</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31 - 572]</w:t>
      </w:r>
    </w:p>
    <w:p>
      <w:pPr>
        <w:pStyle w:val="Heading3"/>
      </w:pPr>
      <w:bookmarkStart w:id="674" w:name="_Toc196"/>
      <w:r>
        <w:t>ارقام ایام جمعه ها / هیئت / فارسی</w:t>
      </w:r>
      <w:bookmarkEnd w:id="674"/>
    </w:p>
    <w:p>
      <w:pPr>
        <w:pStyle w:val="BookText"/>
      </w:pPr>
      <w:r>
        <w:rPr>
          <w:rFonts w:ascii="Times New Roman" w:hAnsi="Times New Roman" w:eastAsia="Times New Roman" w:cs="Times New Roman"/>
          <w:lang w:val="en-US" w:bidi="en-US"/>
          <w:color w:val="111111"/>
          <w:sz w:val="28"/>
          <w:szCs w:val="28"/>
          <w:rtl/>
        </w:rPr>
        <w:t xml:space="preserve">arqām-e ayyām-e jom‘e-hā</w:t>
      </w:r>
    </w:p>
    <w:p>
      <w:pPr>
        <w:pStyle w:val="BookText"/>
      </w:pPr>
      <w:r>
        <w:rPr>
          <w:rFonts w:ascii="IRNazanin" w:hAnsi="IRNazanin" w:eastAsia="IRNazanin" w:cs="IRNazanin"/>
          <w:lang w:bidi="fa-IR"/>
          <w:color w:val="111111"/>
          <w:sz w:val="28"/>
          <w:szCs w:val="28"/>
          <w:rtl/>
        </w:rPr>
        <w:t xml:space="preserve">مشهد؛ الهیات؛ شماره نسخه: 500/12</w:t>
      </w:r>
    </w:p>
    <w:p>
      <w:pPr>
        <w:pStyle w:val="BookText"/>
      </w:pPr>
      <w:r>
        <w:rPr>
          <w:rFonts w:ascii="IRNazanin" w:hAnsi="IRNazanin" w:eastAsia="IRNazanin" w:cs="IRNazanin"/>
          <w:lang w:bidi="fa-IR"/>
          <w:color w:val="111111"/>
          <w:sz w:val="28"/>
          <w:szCs w:val="28"/>
          <w:rtl/>
        </w:rPr>
        <w:t xml:space="preserve">آغاز: مسئله ارقام جمعات در تقویم حروف ابجد است</w:t>
      </w:r>
    </w:p>
    <w:p>
      <w:pPr>
        <w:pStyle w:val="BookText"/>
      </w:pPr>
      <w:r>
        <w:rPr>
          <w:rFonts w:ascii="IRNazanin" w:hAnsi="IRNazanin" w:eastAsia="IRNazanin" w:cs="IRNazanin"/>
          <w:lang w:bidi="fa-IR"/>
          <w:color w:val="111111"/>
          <w:sz w:val="28"/>
          <w:szCs w:val="28"/>
          <w:rtl/>
        </w:rPr>
        <w:t xml:space="preserve">خط: نستعلیق، کا: عبدالصمد محلاتی، تا: 1281 - 6 جما الثاني 1283 ؛جا: اصفهان، مدرسه میرزا مهدی؛ در صفحه عنوان چنین  آمده «کاتبه و صاحبه و مالکه عبدالصمد بن حسینی المحلاتي في شهر شوال المكرم 1295»؛ کاغذ: سپاهانی، جلد:مقوا، قطع: خشتی، اندازه: 17</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سم [ف: 1 - 506]</w:t>
      </w:r>
    </w:p>
    <w:p>
      <w:pPr>
        <w:pStyle w:val="Heading3"/>
      </w:pPr>
      <w:bookmarkStart w:id="675" w:name="_Toc197"/>
      <w:r>
        <w:t>ارقام جمع و خرج گیلان / اسناد / فارسی</w:t>
      </w:r>
      <w:bookmarkEnd w:id="675"/>
    </w:p>
    <w:p>
      <w:pPr>
        <w:pStyle w:val="BookText"/>
      </w:pPr>
      <w:r>
        <w:rPr>
          <w:rFonts w:ascii="Times New Roman" w:hAnsi="Times New Roman" w:eastAsia="Times New Roman" w:cs="Times New Roman"/>
          <w:lang w:val="en-US" w:bidi="en-US"/>
          <w:color w:val="111111"/>
          <w:sz w:val="28"/>
          <w:szCs w:val="28"/>
          <w:rtl/>
        </w:rPr>
        <w:t xml:space="preserve">arqām-e jam‘ va xarj-e gīlān</w:t>
      </w:r>
    </w:p>
    <w:p>
      <w:pPr>
        <w:pStyle w:val="BookText"/>
      </w:pPr>
      <w:r>
        <w:rPr>
          <w:rFonts w:ascii="IRNazanin" w:hAnsi="IRNazanin" w:eastAsia="IRNazanin" w:cs="IRNazanin"/>
          <w:lang w:bidi="fa-IR"/>
          <w:color w:val="111111"/>
          <w:sz w:val="28"/>
          <w:szCs w:val="28"/>
          <w:rtl/>
        </w:rPr>
        <w:t xml:space="preserve">تهران؛ مجلس؛ شماره نسخه: 1083</w:t>
      </w:r>
    </w:p>
    <w:p>
      <w:pPr>
        <w:pStyle w:val="BookText"/>
      </w:pPr>
      <w:r>
        <w:rPr>
          <w:rFonts w:ascii="IRNazanin" w:hAnsi="IRNazanin" w:eastAsia="IRNazanin" w:cs="IRNazanin"/>
          <w:lang w:bidi="fa-IR"/>
          <w:color w:val="111111"/>
          <w:sz w:val="28"/>
          <w:szCs w:val="28"/>
          <w:rtl/>
        </w:rPr>
        <w:t xml:space="preserve">ابواب جمعی ملک آرا اعداد به سیاق است؛ خط: نستعلیق بی کا ،تا :قرن 14 مهر: صدراعظم وزیر دفتر در شوال 1311 ؛ جلد: مقوایی، ابعاد متن: 7</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17</w:t>
      </w:r>
      <w:r>
        <w:rPr>
          <w:rFonts w:ascii="Times New Roman" w:hAnsi="Times New Roman" w:eastAsia="Times New Roman" w:cs="Times New Roman"/>
          <w:lang w:val="en-US" w:bidi="en-US"/>
          <w:color w:val="111111"/>
          <w:sz w:val="28"/>
          <w:szCs w:val="28"/>
          <w:rtl/>
        </w:rPr>
        <w:t xml:space="preserve">×27</w:t>
      </w:r>
      <w:r>
        <w:rPr>
          <w:rFonts w:ascii="IRNazanin" w:hAnsi="IRNazanin" w:eastAsia="IRNazanin" w:cs="IRNazanin"/>
          <w:lang w:bidi="fa-IR"/>
          <w:color w:val="111111"/>
          <w:sz w:val="28"/>
          <w:szCs w:val="28"/>
          <w:rtl/>
        </w:rPr>
        <w:t xml:space="preserve">سم [سنا - ف: 2- 116]</w:t>
      </w:r>
    </w:p>
    <w:p>
      <w:pPr>
        <w:pStyle w:val="Heading3"/>
      </w:pPr>
      <w:bookmarkStart w:id="676" w:name="_Toc198"/>
      <w:r>
        <w:t>ارقامی که. .. / اسناد / فارسی</w:t>
      </w:r>
      <w:bookmarkEnd w:id="676"/>
    </w:p>
    <w:p>
      <w:pPr>
        <w:pStyle w:val="BookText"/>
      </w:pPr>
      <w:r>
        <w:rPr>
          <w:rFonts w:ascii="Times New Roman" w:hAnsi="Times New Roman" w:eastAsia="Times New Roman" w:cs="Times New Roman"/>
          <w:lang w:val="en-US" w:bidi="en-US"/>
          <w:color w:val="111111"/>
          <w:sz w:val="28"/>
          <w:szCs w:val="28"/>
          <w:rtl/>
        </w:rPr>
        <w:t xml:space="preserve">arqāmī ke. ..</w:t>
      </w:r>
    </w:p>
    <w:p>
      <w:pPr>
        <w:pStyle w:val="BookText"/>
      </w:pPr>
      <w:r>
        <w:rPr>
          <w:rFonts w:ascii="IRNazanin" w:hAnsi="IRNazanin" w:eastAsia="IRNazanin" w:cs="IRNazanin"/>
          <w:lang w:bidi="fa-IR"/>
          <w:color w:val="111111"/>
          <w:sz w:val="28"/>
          <w:szCs w:val="28"/>
          <w:rtl/>
        </w:rPr>
        <w:t xml:space="preserve">ارقامی که وزرای دولت عثمانیه از جانب صفی میرزای مجهول النسب بر اهل ایران نوشته اند مبتنی بر تاریخ صبحی افندی رومی.</w:t>
      </w:r>
    </w:p>
    <w:p>
      <w:pPr>
        <w:pStyle w:val="BookText"/>
      </w:pPr>
      <w:r>
        <w:rPr>
          <w:rFonts w:ascii="IRNazanin" w:hAnsi="IRNazanin" w:eastAsia="IRNazanin" w:cs="IRNazanin"/>
          <w:lang w:bidi="fa-IR"/>
          <w:color w:val="111111"/>
          <w:sz w:val="28"/>
          <w:szCs w:val="28"/>
          <w:rtl/>
        </w:rPr>
        <w:t xml:space="preserve">تهران؛ ملک؛ شماره نسخه: 3961/7</w:t>
      </w:r>
    </w:p>
    <w:p>
      <w:pPr>
        <w:pStyle w:val="BookText"/>
      </w:pPr>
      <w:r>
        <w:rPr>
          <w:rFonts w:ascii="IRNazanin" w:hAnsi="IRNazanin" w:eastAsia="IRNazanin" w:cs="IRNazanin"/>
          <w:lang w:bidi="fa-IR"/>
          <w:color w:val="111111"/>
          <w:sz w:val="28"/>
          <w:szCs w:val="28"/>
          <w:rtl/>
        </w:rPr>
        <w:t xml:space="preserve">خط: نستعلیق، بی کا، تا: قرن 14 [ف 7 - 113]</w:t>
      </w:r>
    </w:p>
    <w:p>
      <w:pPr>
        <w:pStyle w:val="Heading3"/>
      </w:pPr>
      <w:bookmarkStart w:id="677" w:name="_Toc199"/>
      <w:r>
        <w:t>ارقعه نوع (ازقنوغ) / طالع بینی / فارسی</w:t>
      </w:r>
      <w:bookmarkEnd w:id="677"/>
    </w:p>
    <w:p>
      <w:pPr>
        <w:pStyle w:val="BookText"/>
      </w:pPr>
      <w:r>
        <w:rPr>
          <w:rFonts w:ascii="Times New Roman" w:hAnsi="Times New Roman" w:eastAsia="Times New Roman" w:cs="Times New Roman"/>
          <w:lang w:val="en-US" w:bidi="en-US"/>
          <w:color w:val="111111"/>
          <w:sz w:val="28"/>
          <w:szCs w:val="28"/>
          <w:rtl/>
        </w:rPr>
        <w:t xml:space="preserve">arqe‘e-ye nu‘ (azqanūq)</w:t>
      </w:r>
    </w:p>
    <w:p>
      <w:pPr>
        <w:pStyle w:val="BookText"/>
      </w:pPr>
      <w:r>
        <w:rPr>
          <w:rFonts w:ascii="IRNazanin" w:hAnsi="IRNazanin" w:eastAsia="IRNazanin" w:cs="IRNazanin"/>
          <w:lang w:bidi="fa-IR"/>
          <w:color w:val="111111"/>
          <w:sz w:val="28"/>
          <w:szCs w:val="28"/>
          <w:rtl/>
        </w:rPr>
        <w:t xml:space="preserve">تهران؛ ملک؛ شماره نسخه: 3395/21</w:t>
      </w:r>
    </w:p>
    <w:p>
      <w:pPr>
        <w:pStyle w:val="BookText"/>
      </w:pPr>
      <w:r>
        <w:rPr>
          <w:rFonts w:ascii="IRNazanin" w:hAnsi="IRNazanin" w:eastAsia="IRNazanin" w:cs="IRNazanin"/>
          <w:lang w:bidi="fa-IR"/>
          <w:color w:val="111111"/>
          <w:sz w:val="28"/>
          <w:szCs w:val="28"/>
          <w:rtl/>
        </w:rPr>
        <w:t xml:space="preserve">خط: نسخ، بی کا، تا: قرن 11 [ ف : 6 - 391]</w:t>
      </w:r>
    </w:p>
    <w:p>
      <w:pPr>
        <w:pStyle w:val="BookText"/>
      </w:pPr>
      <w:r>
        <w:rPr>
          <w:rFonts w:ascii="IRNazanin" w:hAnsi="IRNazanin" w:eastAsia="IRNazanin" w:cs="IRNazanin"/>
          <w:lang w:bidi="fa-IR"/>
          <w:color w:val="111111"/>
          <w:sz w:val="28"/>
          <w:szCs w:val="28"/>
          <w:rtl/>
        </w:rPr>
        <w:t xml:space="preserve">«ارکان اربعه در صناعت » کبریت و زیبق</w:t>
      </w:r>
    </w:p>
    <w:p>
      <w:pPr>
        <w:pStyle w:val="Heading3"/>
      </w:pPr>
      <w:bookmarkStart w:id="678" w:name="_Toc200"/>
      <w:r>
        <w:t>الاركان الاربعة فى الحجر / كيميا / عربي</w:t>
      </w:r>
      <w:bookmarkEnd w:id="678"/>
    </w:p>
    <w:p>
      <w:pPr>
        <w:pStyle w:val="BookText"/>
      </w:pPr>
      <w:r>
        <w:rPr>
          <w:rFonts w:ascii="Times New Roman" w:hAnsi="Times New Roman" w:eastAsia="Times New Roman" w:cs="Times New Roman"/>
          <w:lang w:val="en-US" w:bidi="en-US"/>
          <w:color w:val="111111"/>
          <w:sz w:val="28"/>
          <w:szCs w:val="28"/>
          <w:rtl/>
        </w:rPr>
        <w:t xml:space="preserve">al-arkan-ul-arba a fi-l-hajar</w:t>
      </w:r>
    </w:p>
    <w:p>
      <w:pPr>
        <w:pStyle w:val="BookText"/>
      </w:pPr>
      <w:r>
        <w:rPr>
          <w:rFonts w:ascii="IRNazanin" w:hAnsi="IRNazanin" w:eastAsia="IRNazanin" w:cs="IRNazanin"/>
          <w:lang w:bidi="fa-IR"/>
          <w:color w:val="111111"/>
          <w:sz w:val="28"/>
          <w:szCs w:val="28"/>
          <w:rtl/>
        </w:rPr>
        <w:t xml:space="preserve">جابر بن حیان 120 - 198 ؟ قمری</w:t>
      </w:r>
    </w:p>
    <w:p>
      <w:pPr>
        <w:pStyle w:val="BookText"/>
      </w:pPr>
      <w:r>
        <w:rPr>
          <w:rFonts w:ascii="Times New Roman" w:hAnsi="Times New Roman" w:eastAsia="Times New Roman" w:cs="Times New Roman"/>
          <w:lang w:val="en-US" w:bidi="en-US"/>
          <w:color w:val="111111"/>
          <w:sz w:val="28"/>
          <w:szCs w:val="28"/>
          <w:rtl/>
        </w:rPr>
        <w:t xml:space="preserve">(jaber ebn-e hayyan (739 - 814)</w:t>
      </w:r>
    </w:p>
    <w:p>
      <w:pPr>
        <w:pStyle w:val="BookText"/>
      </w:pPr>
      <w:r>
        <w:rPr>
          <w:rFonts w:ascii="Amiri" w:hAnsi="Amiri" w:eastAsia="Amiri" w:cs="Amiri"/>
          <w:lang w:bidi="ar-SA"/>
          <w:color w:val="111111"/>
          <w:sz w:val="28"/>
          <w:szCs w:val="28"/>
          <w:rtl/>
        </w:rPr>
        <w:t xml:space="preserve">آغاز: الحمد لله الفرد الصمد واحد الوجود .. كتاب الاول نذكر فيه زيبق الشرق، و اما السؤال عن الزيبق الشرقي</w:t>
      </w:r>
    </w:p>
    <w:p>
      <w:pPr>
        <w:pStyle w:val="BookText"/>
      </w:pPr>
      <w:r>
        <w:rPr>
          <w:rFonts w:ascii="Amiri" w:hAnsi="Amiri" w:eastAsia="Amiri" w:cs="Amiri"/>
          <w:lang w:bidi="ar-SA"/>
          <w:color w:val="111111"/>
          <w:sz w:val="28"/>
          <w:szCs w:val="28"/>
          <w:rtl/>
        </w:rPr>
        <w:t xml:space="preserve">انجام: و اذ قد اتينا على ذلك فليكن الان آخر الكتاب من الاولى الاربع من الحجر الكريم المكرم في باب الاعظم، و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ملک؛ شماره نسخه : 3315/1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در چهار کتاب: زیبق شرق و غرب ،حجر ارض الحجر؛ خط: نسخ ،بی کا، تا: قرن 11 ؛کاغذ ،ترمه، جلد: رویه میشن یک لا سیاه، 12گ (1پ-12ر)، 18 سطر ، اندازه: 13/2</w:t>
      </w:r>
      <w:r>
        <w:rPr>
          <w:rFonts w:ascii="Times New Roman" w:hAnsi="Times New Roman" w:eastAsia="Times New Roman" w:cs="Times New Roman"/>
          <w:lang w:val="en-US" w:bidi="en-US"/>
          <w:color w:val="111111"/>
          <w:sz w:val="28"/>
          <w:szCs w:val="28"/>
          <w:rtl/>
        </w:rPr>
        <w:t xml:space="preserve">×22/5</w:t>
      </w:r>
      <w:r>
        <w:rPr>
          <w:rFonts w:ascii="IRNazanin" w:hAnsi="IRNazanin" w:eastAsia="IRNazanin" w:cs="IRNazanin"/>
          <w:lang w:bidi="fa-IR"/>
          <w:color w:val="111111"/>
          <w:sz w:val="28"/>
          <w:szCs w:val="28"/>
          <w:rtl/>
        </w:rPr>
        <w:t xml:space="preserve">سم [ف: 6 - 370]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قم؛ مرعشی؛ شماره نسخه: 12632/31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ریز ،کا: بھائی بن احمد عاملی کاظمی، تا: اواخر قرن 12 یا اوایل قرن 13ق ،مصحح، رکابه دار؛ کاغذ: فرنگی، 3گ ( 60 - 92) ، 64 سطر ، اندازه:8</w:t>
      </w:r>
      <w:r>
        <w:rPr>
          <w:rFonts w:ascii="Times New Roman" w:hAnsi="Times New Roman" w:eastAsia="Times New Roman" w:cs="Times New Roman"/>
          <w:lang w:val="en-US" w:bidi="en-US"/>
          <w:color w:val="111111"/>
          <w:sz w:val="28"/>
          <w:szCs w:val="28"/>
          <w:rtl/>
        </w:rPr>
        <w:t xml:space="preserve">×17/5</w:t>
      </w:r>
      <w:r>
        <w:rPr>
          <w:rFonts w:ascii="IRNazanin" w:hAnsi="IRNazanin" w:eastAsia="IRNazanin" w:cs="IRNazanin"/>
          <w:lang w:bidi="fa-IR"/>
          <w:color w:val="111111"/>
          <w:sz w:val="28"/>
          <w:szCs w:val="28"/>
          <w:rtl/>
        </w:rPr>
        <w:t xml:space="preserve">سم [ف: 32 - 83]</w:t>
      </w:r>
    </w:p>
    <w:p>
      <w:pPr>
        <w:pStyle w:val="BookText"/>
      </w:pPr>
      <w:r>
        <w:rPr>
          <w:rFonts w:ascii="IRNazanin" w:hAnsi="IRNazanin" w:eastAsia="IRNazanin" w:cs="IRNazanin"/>
          <w:lang w:bidi="fa-IR"/>
          <w:color w:val="111111"/>
          <w:sz w:val="28"/>
          <w:szCs w:val="28"/>
          <w:rtl/>
        </w:rPr>
        <w:t xml:space="preserve">3 .تهران؛ سپهسالار ؛ شماره نسخه: 2866</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غلامحسین ابن محمد تقی اصفهانی، تا: شوال 1279ق؛ کاغذ: فرنگی ،سفید :جلد: مقوا، 17گ، 17 سطر ،</w:t>
      </w:r>
    </w:p>
    <w:p>
      <w:pPr>
        <w:pStyle w:val="BookText"/>
      </w:pPr>
      <w:r>
        <w:rPr>
          <w:rFonts w:ascii="IRNazanin" w:hAnsi="IRNazanin" w:eastAsia="IRNazanin" w:cs="IRNazanin"/>
          <w:lang w:bidi="fa-IR"/>
          <w:color w:val="111111"/>
          <w:sz w:val="28"/>
          <w:szCs w:val="28"/>
          <w:rtl/>
        </w:rPr>
        <w:t xml:space="preserve">اندازه: 11/5</w:t>
      </w:r>
      <w:r>
        <w:rPr>
          <w:rFonts w:ascii="Times New Roman" w:hAnsi="Times New Roman" w:eastAsia="Times New Roman" w:cs="Times New Roman"/>
          <w:lang w:val="en-US" w:bidi="en-US"/>
          <w:color w:val="111111"/>
          <w:sz w:val="28"/>
          <w:szCs w:val="28"/>
          <w:rtl/>
        </w:rPr>
        <w:t xml:space="preserve">×17/5</w:t>
      </w:r>
      <w:r>
        <w:rPr>
          <w:rFonts w:ascii="IRNazanin" w:hAnsi="IRNazanin" w:eastAsia="IRNazanin" w:cs="IRNazanin"/>
          <w:lang w:bidi="fa-IR"/>
          <w:color w:val="111111"/>
          <w:sz w:val="28"/>
          <w:szCs w:val="28"/>
          <w:rtl/>
        </w:rPr>
        <w:t xml:space="preserve">سم [ف: 3 - 112]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یزد؛ وزیری؛ شماره نسخه: 3731/12</w:t>
      </w:r>
    </w:p>
    <w:p>
      <w:pPr>
        <w:pStyle w:val="BookText"/>
      </w:pPr>
      <w:r>
        <w:rPr>
          <w:rFonts w:ascii="Amiri" w:hAnsi="Amiri" w:eastAsia="Amiri" w:cs="Amiri"/>
          <w:lang w:bidi="ar-SA"/>
          <w:color w:val="111111"/>
          <w:sz w:val="28"/>
          <w:szCs w:val="28"/>
          <w:rtl/>
        </w:rPr>
        <w:t xml:space="preserve">آغاز: بسمله الحمد لله الذى هو الرزاق لمن يشاء بيده الخير</w:t>
      </w:r>
    </w:p>
    <w:p>
      <w:pPr>
        <w:pStyle w:val="BookText"/>
      </w:pPr>
      <w:r>
        <w:rPr>
          <w:rFonts w:ascii="IRNazanin" w:hAnsi="IRNazanin" w:eastAsia="IRNazanin" w:cs="IRNazanin"/>
          <w:lang w:bidi="fa-IR"/>
          <w:color w:val="111111"/>
          <w:sz w:val="28"/>
          <w:szCs w:val="28"/>
          <w:rtl/>
        </w:rPr>
        <w:t xml:space="preserve">بی کا، تا: 1300ق؛ جلد: مقوایی با گالینگور سبز، 4ص (72-68)، اندازه: 11</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[ف: 5 - 1769]</w:t>
      </w:r>
    </w:p>
    <w:p>
      <w:pPr>
        <w:pStyle w:val="BookText"/>
      </w:pPr>
      <w:r>
        <w:rPr>
          <w:rFonts w:ascii="Amiri" w:hAnsi="Amiri" w:eastAsia="Amiri" w:cs="Amiri"/>
          <w:lang w:bidi="ar-SA"/>
          <w:color w:val="111111"/>
          <w:sz w:val="28"/>
          <w:szCs w:val="28"/>
          <w:rtl/>
        </w:rPr>
        <w:t xml:space="preserve">«الاركان الاربعة من الخمس مائة » كتاب الاركان الاربعة من الخمس مائة</w:t>
      </w:r>
    </w:p>
    <w:p>
      <w:pPr>
        <w:pStyle w:val="Heading3"/>
      </w:pPr>
      <w:bookmarkStart w:id="679" w:name="_Toc201"/>
      <w:r>
        <w:t>ارکان الایمان / کلام و اعتقادات / فارسی</w:t>
      </w:r>
      <w:bookmarkEnd w:id="679"/>
    </w:p>
    <w:p>
      <w:pPr>
        <w:pStyle w:val="BookText"/>
      </w:pPr>
      <w:r>
        <w:rPr>
          <w:rFonts w:ascii="Times New Roman" w:hAnsi="Times New Roman" w:eastAsia="Times New Roman" w:cs="Times New Roman"/>
          <w:lang w:val="en-US" w:bidi="en-US"/>
          <w:color w:val="111111"/>
          <w:sz w:val="28"/>
          <w:szCs w:val="28"/>
          <w:rtl/>
        </w:rPr>
        <w:t xml:space="preserve">arkan-ol-iman</w:t>
      </w:r>
    </w:p>
    <w:p>
      <w:pPr>
        <w:pStyle w:val="BookText"/>
      </w:pPr>
      <w:r>
        <w:rPr>
          <w:rFonts w:ascii="IRNazanin" w:hAnsi="IRNazanin" w:eastAsia="IRNazanin" w:cs="IRNazanin"/>
          <w:lang w:bidi="fa-IR"/>
          <w:color w:val="111111"/>
          <w:sz w:val="28"/>
          <w:szCs w:val="28"/>
          <w:rtl/>
        </w:rPr>
        <w:t xml:space="preserve">ابیوردی ابوالحسن بن احمد - 966 قمری</w:t>
      </w:r>
    </w:p>
    <w:p>
      <w:pPr>
        <w:pStyle w:val="BookText"/>
      </w:pPr>
      <w:r>
        <w:rPr>
          <w:rFonts w:ascii="Times New Roman" w:hAnsi="Times New Roman" w:eastAsia="Times New Roman" w:cs="Times New Roman"/>
          <w:lang w:val="en-US" w:bidi="en-US"/>
          <w:color w:val="111111"/>
          <w:sz w:val="28"/>
          <w:szCs w:val="28"/>
          <w:rtl/>
        </w:rPr>
        <w:t xml:space="preserve">(abīvardī, ab-ol-hasan ebn-e ahmad (- 1559)</w:t>
      </w:r>
    </w:p>
    <w:p>
      <w:pPr>
        <w:pStyle w:val="BookText"/>
      </w:pPr>
      <w:r>
        <w:rPr>
          <w:rFonts w:ascii="IRNazanin" w:hAnsi="IRNazanin" w:eastAsia="IRNazanin" w:cs="IRNazanin"/>
          <w:lang w:bidi="fa-IR"/>
          <w:color w:val="111111"/>
          <w:sz w:val="28"/>
          <w:szCs w:val="28"/>
          <w:rtl/>
        </w:rPr>
        <w:t xml:space="preserve">اهدا به: شاهزاده خانم سلطانم (دختر شاه طهماسب)</w:t>
      </w:r>
    </w:p>
    <w:p>
      <w:pPr>
        <w:pStyle w:val="BookText"/>
      </w:pPr>
      <w:r>
        <w:rPr>
          <w:rFonts w:ascii="IRNazanin" w:hAnsi="IRNazanin" w:eastAsia="IRNazanin" w:cs="IRNazanin"/>
          <w:lang w:bidi="fa-IR"/>
          <w:color w:val="111111"/>
          <w:sz w:val="28"/>
          <w:szCs w:val="28"/>
          <w:rtl/>
        </w:rPr>
        <w:t xml:space="preserve">تاریخ تألیف:  28 ربيع الاول 964ق</w:t>
      </w:r>
    </w:p>
    <w:p>
      <w:pPr>
        <w:pStyle w:val="BookText"/>
      </w:pPr>
      <w:r>
        <w:rPr>
          <w:rFonts w:ascii="IRNazanin" w:hAnsi="IRNazanin" w:eastAsia="IRNazanin" w:cs="IRNazanin"/>
          <w:lang w:bidi="fa-IR"/>
          <w:color w:val="111111"/>
          <w:sz w:val="28"/>
          <w:szCs w:val="28"/>
          <w:rtl/>
        </w:rPr>
        <w:t xml:space="preserve">رساله ای کوتاه در اصول و عقاید دینی امامیه در پنج «اصل» و یک «خاتمه» اصل 1. اثبات واجب الوجود، در 14 «مطلب»؛ 2.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عدل و افعال واجب الوجود، در 5 «مطلب»؛ 3. نبوت، در6 «مقصد»؛ 4. امامت در 7 «مقصد»؛ 5. معاد و احوال نشأة آخرت در 3 «مقصد»؛ خاتمه در عفو و شفاعت و توبه .</w:t>
      </w:r>
    </w:p>
    <w:p>
      <w:pPr>
        <w:pStyle w:val="BookText"/>
      </w:pPr>
      <w:r>
        <w:rPr>
          <w:rFonts w:ascii="IRNazanin" w:hAnsi="IRNazanin" w:eastAsia="IRNazanin" w:cs="IRNazanin"/>
          <w:lang w:bidi="fa-IR"/>
          <w:color w:val="111111"/>
          <w:sz w:val="28"/>
          <w:szCs w:val="28"/>
          <w:rtl/>
        </w:rPr>
        <w:t xml:space="preserve">آغاز: بسمله و به نستعین با شریفترین نکته ای که از ورای سرادق خیال بر زبان ارباب حال جلوه شود حمد حضرت... این غبار راهروان دین منیف ابوالحسن شریف را رغبت مینمودند خلاصه اصول دین قویم.</w:t>
      </w:r>
    </w:p>
    <w:p>
      <w:pPr>
        <w:pStyle w:val="BookText"/>
      </w:pPr>
      <w:r>
        <w:rPr>
          <w:rFonts w:ascii="IRNazanin" w:hAnsi="IRNazanin" w:eastAsia="IRNazanin" w:cs="IRNazanin"/>
          <w:lang w:bidi="fa-IR"/>
          <w:color w:val="111111"/>
          <w:sz w:val="28"/>
          <w:szCs w:val="28"/>
          <w:rtl/>
        </w:rPr>
        <w:t xml:space="preserve">انجام :اینجاست ختم کلام و حمد ملک علام، و صلوات برسید انام، ما توالت الليالي و الايام.</w:t>
      </w:r>
    </w:p>
    <w:p>
      <w:pPr>
        <w:pStyle w:val="BookText"/>
      </w:pPr>
      <w:r>
        <w:rPr>
          <w:rFonts w:ascii="IRNazanin" w:hAnsi="IRNazanin" w:eastAsia="IRNazanin" w:cs="IRNazanin"/>
          <w:lang w:bidi="fa-IR"/>
          <w:color w:val="111111"/>
          <w:sz w:val="28"/>
          <w:szCs w:val="28"/>
          <w:rtl/>
        </w:rPr>
        <w:t xml:space="preserve">[الذريعة 525/1 - 526؛ نسخه های منزوی 875/2؛ اعیان الشیعة، چاپ مطبعة الانصاف 1379 ه- 186/6؛ فرهنگ بزرگان اسلام و ایران 159؛ ريحانة الادب 17/5]</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سپهسالار؛ شماره نسخه: 6306/2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محرم 986ق( دو سال بعد از تألیف) کاغذ: سپاهانی نخودی، جلد: تیماج سبز مقوایی، 58گ (102 پ- 159ر ) 14 سطر ، اندازه: 10/5</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 ف : 3 - 157]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مجلس؛ شماره نسخه: 1189 ط</w:t>
      </w:r>
    </w:p>
    <w:p>
      <w:pPr>
        <w:pStyle w:val="BookText"/>
      </w:pPr>
      <w:r>
        <w:rPr>
          <w:rFonts w:ascii="IRNazanin" w:hAnsi="IRNazanin" w:eastAsia="IRNazanin" w:cs="IRNazanin"/>
          <w:lang w:bidi="fa-IR"/>
          <w:color w:val="111111"/>
          <w:sz w:val="28"/>
          <w:szCs w:val="28"/>
          <w:rtl/>
        </w:rPr>
        <w:t xml:space="preserve">آغاز: برابر؛ انجام: تعالی فرموده که توبوا الى الله (زیر وصالی) کنید و باز گردید بدرگاه حق تع و نیز (زیر وصالی) الی الله توبة نصوحاً و امثال این (زیر وصالی)</w:t>
      </w:r>
    </w:p>
    <w:p>
      <w:pPr>
        <w:pStyle w:val="BookText"/>
      </w:pPr>
      <w:r>
        <w:rPr>
          <w:rFonts w:ascii="IRNazanin" w:hAnsi="IRNazanin" w:eastAsia="IRNazanin" w:cs="IRNazanin"/>
          <w:lang w:bidi="fa-IR"/>
          <w:color w:val="111111"/>
          <w:sz w:val="28"/>
          <w:szCs w:val="28"/>
          <w:rtl/>
        </w:rPr>
        <w:t xml:space="preserve">خط: نسخ، بی کا ، تا: قرن 11؛ برگ الحاقی پایان نسخه در یک سمت یادداشتی است با عنوان «آنچه از اهل خانه گرفته ام و جانب انشاءالله باید بدهم و بر صفحه پشت آن دعایی است به جهت خواب دیدن خوفناک؛ مهر: «محمد مهدى الموسوی ،1227 (بیضی) محمد بن صادق الحسينى الطباطبایی» (مربع)؛کاغذ: دولت آبادی ،جلد: تیماج قهوه ای با جدول و حاشیه 57گ، 15 سطر ، قطع: رقعی [ف: 24/2 - 168]</w:t>
      </w:r>
    </w:p>
    <w:p>
      <w:pPr>
        <w:pStyle w:val="BookText"/>
      </w:pPr>
      <w:r>
        <w:rPr>
          <w:rFonts w:ascii="IRNazanin" w:hAnsi="IRNazanin" w:eastAsia="IRNazanin" w:cs="IRNazanin"/>
          <w:lang w:bidi="fa-IR"/>
          <w:color w:val="111111"/>
          <w:sz w:val="28"/>
          <w:szCs w:val="28"/>
          <w:rtl/>
        </w:rPr>
        <w:t xml:space="preserve">3.تهران؛ مجلس؛ شماره نسخه: 5627</w:t>
      </w:r>
    </w:p>
    <w:p>
      <w:pPr>
        <w:pStyle w:val="BookText"/>
      </w:pPr>
      <w:r>
        <w:rPr>
          <w:rFonts w:ascii="IRNazanin" w:hAnsi="IRNazanin" w:eastAsia="IRNazanin" w:cs="IRNazanin"/>
          <w:lang w:bidi="fa-IR"/>
          <w:color w:val="111111"/>
          <w:sz w:val="28"/>
          <w:szCs w:val="28"/>
          <w:rtl/>
        </w:rPr>
        <w:t xml:space="preserve">آغاز: برابر؛ انجام: آن گمراهان بی دین بمحض جهالت و بطالب باشد و دلیل واضح بر آنکه.</w:t>
      </w:r>
    </w:p>
    <w:p>
      <w:pPr>
        <w:pStyle w:val="BookText"/>
      </w:pPr>
      <w:r>
        <w:rPr>
          <w:rFonts w:ascii="IRNazanin" w:hAnsi="IRNazanin" w:eastAsia="IRNazanin" w:cs="IRNazanin"/>
          <w:lang w:bidi="fa-IR"/>
          <w:color w:val="111111"/>
          <w:sz w:val="28"/>
          <w:szCs w:val="28"/>
          <w:rtl/>
        </w:rPr>
        <w:t xml:space="preserve">خط: نستعلیق، بی کا، تا: قرن 11 ؛ از پایان نسخه نیمی از مطلب تمام مطلب4 و تمام مطالب (فصل) 5 افتاده است؛ در پشت برگ اول نسخه تعییر خواب نقل از حضرت امام جعفر صادق (علیه السّلام) به نظم نوشته شده است؛ کاغذ: نباتی ،رنگ، جلد: تیماج تریاکی ساده ضربی 78ص ، 17 سطر ، قطع: رقعی، اندازه: 12</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سم [ف: 17 - 79]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قم؛ مرعشی؛ شماره نسخه : 3048/1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و نستعليق، كا: مقصود على بن اغرلو ایروانی، تا:3 ذیقعده 1006ق؛ جلد: تیماج قهوه ای 65گ (1پ-65ر) ، اندازه: 13</w:t>
      </w:r>
      <w:r>
        <w:rPr>
          <w:rFonts w:ascii="Times New Roman" w:hAnsi="Times New Roman" w:eastAsia="Times New Roman" w:cs="Times New Roman"/>
          <w:lang w:val="en-US" w:bidi="en-US"/>
          <w:color w:val="111111"/>
          <w:sz w:val="28"/>
          <w:szCs w:val="28"/>
          <w:rtl/>
        </w:rPr>
        <w:t xml:space="preserve">× 17/5</w:t>
      </w:r>
      <w:r>
        <w:rPr>
          <w:rFonts w:ascii="IRNazanin" w:hAnsi="IRNazanin" w:eastAsia="IRNazanin" w:cs="IRNazanin"/>
          <w:lang w:bidi="fa-IR"/>
          <w:color w:val="111111"/>
          <w:sz w:val="28"/>
          <w:szCs w:val="28"/>
          <w:rtl/>
        </w:rPr>
        <w:t xml:space="preserve">سم [ف 8 - 264]</w:t>
      </w:r>
    </w:p>
    <w:p>
      <w:pPr>
        <w:pStyle w:val="BookText"/>
      </w:pPr>
      <w:r>
        <w:rPr>
          <w:rFonts w:ascii="IRNazanin" w:hAnsi="IRNazanin" w:eastAsia="IRNazanin" w:cs="IRNazanin"/>
          <w:lang w:bidi="fa-IR"/>
          <w:color w:val="111111"/>
          <w:sz w:val="28"/>
          <w:szCs w:val="28"/>
          <w:rtl/>
        </w:rPr>
        <w:t xml:space="preserve">5 . قم؛ مرکز احیاء؛ شماره نسخه: 4379/2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یک شنبه 11 محرم 1012ق؛ مصحح؛ مهر: «عبده محمد صادق» (بیضی)؛ جلد: تیماج قرمز، 31گ (56پ- 87پ)، 19 سطر ، اندازه: 12</w:t>
      </w:r>
      <w:r>
        <w:rPr>
          <w:rFonts w:ascii="Times New Roman" w:hAnsi="Times New Roman" w:eastAsia="Times New Roman" w:cs="Times New Roman"/>
          <w:lang w:val="en-US" w:bidi="en-US"/>
          <w:color w:val="111111"/>
          <w:sz w:val="28"/>
          <w:szCs w:val="28"/>
          <w:rtl/>
        </w:rPr>
        <w:t xml:space="preserve">×18/5</w:t>
      </w:r>
      <w:r>
        <w:rPr>
          <w:rFonts w:ascii="IRNazanin" w:hAnsi="IRNazanin" w:eastAsia="IRNazanin" w:cs="IRNazanin"/>
          <w:lang w:bidi="fa-IR"/>
          <w:color w:val="111111"/>
          <w:sz w:val="28"/>
          <w:szCs w:val="28"/>
          <w:rtl/>
        </w:rPr>
        <w:t xml:space="preserve">سم [محدث ارموی مخ: 1 -118]</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آران کاشان؛ محمد هلال؛ شماره نسخه: 188/1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:غره محرم 1065ق؛ مصحح؛ جلد: تیماج سیاه سوخته با عطف پارچه ای ،38گ، 19 سطر ، اندازه: 13</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سم [ف مخ: - 11]</w:t>
      </w:r>
    </w:p>
    <w:p>
      <w:pPr>
        <w:pStyle w:val="BookText"/>
      </w:pPr>
      <w:r>
        <w:rPr>
          <w:rFonts w:ascii="IRNazanin" w:hAnsi="IRNazanin" w:eastAsia="IRNazanin" w:cs="IRNazanin"/>
          <w:lang w:bidi="fa-IR"/>
          <w:color w:val="111111"/>
          <w:sz w:val="28"/>
          <w:szCs w:val="28"/>
          <w:rtl/>
        </w:rPr>
        <w:t xml:space="preserve">7.قم؛ مرعشی؛ شماره نسخه: 13458</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عبدالهادي بن مرتضی رضوی دلیجانی، تا: 5 رمضان 1080ق؛ مصحح، تملک: خاندان فیض کاشانی، محمد جعفر بن محمد ابراهیم کاشانی مشهور به علامه فیضی در سال 1368ق، زین العابدين بن امیر مرتضی رضوی با مهر «یا امام زین العابدين» (دایره)، محمد معصوم بن محمد حکیم رضوی حسینی در سال 1086ق؛ مهر: «عبدالباقی بن صدرالدین محمد الفيضى»(بیضی)، ابوتراب بن نصیرالدین سلیمان بن محمد علم الهدى کاشانی فیضی با نشان «لا اله الا الله الملك الحق المبين عبده ابوتراب» (بیضی)، «يا عظيم العفو 1081) (بیضی)، آیة الله مرعشی نجفی عبدالباقی ،فیضی، «محمد هادی الفیضی» (مستطیل) کاغذ: فرنگی، جلد: تیماج ساغری مشکی یک لا 39گ، 19 سطر (5</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 اندازه 10/50</w:t>
      </w:r>
      <w:r>
        <w:rPr>
          <w:rFonts w:ascii="Times New Roman" w:hAnsi="Times New Roman" w:eastAsia="Times New Roman" w:cs="Times New Roman"/>
          <w:lang w:val="en-US" w:bidi="en-US"/>
          <w:color w:val="111111"/>
          <w:sz w:val="28"/>
          <w:szCs w:val="28"/>
          <w:rtl/>
        </w:rPr>
        <w:t xml:space="preserve">× 19</w:t>
      </w:r>
      <w:r>
        <w:rPr>
          <w:rFonts w:ascii="IRNazanin" w:hAnsi="IRNazanin" w:eastAsia="IRNazanin" w:cs="IRNazanin"/>
          <w:lang w:bidi="fa-IR"/>
          <w:color w:val="111111"/>
          <w:sz w:val="28"/>
          <w:szCs w:val="28"/>
          <w:rtl/>
        </w:rPr>
        <w:t xml:space="preserve">سم [ف: 34 - 156]</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تهران؛ مجلس؛ شماره نسخه: 10533/4</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12؛ جلد: تیماج قهوه ای، 17گ (127پ-144پ)، اندازه: 13</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33/1 - 84]</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قم؛ مرعشی؛ شماره نسخه: 5221</w:t>
      </w:r>
    </w:p>
    <w:p>
      <w:pPr>
        <w:pStyle w:val="BookText"/>
      </w:pPr>
      <w:r>
        <w:rPr>
          <w:rFonts w:ascii="IRNazanin" w:hAnsi="IRNazanin" w:eastAsia="IRNazanin" w:cs="IRNazanin"/>
          <w:lang w:bidi="fa-IR"/>
          <w:color w:val="111111"/>
          <w:sz w:val="28"/>
          <w:szCs w:val="28"/>
          <w:rtl/>
        </w:rPr>
        <w:t xml:space="preserve">انجام :دلیل نهم آنکه بصحت رسیده بلکه بتواتر انجامیده که حضرت رسول مؤاخاة فرمود ميان</w:t>
      </w:r>
    </w:p>
    <w:p>
      <w:pPr>
        <w:pStyle w:val="BookText"/>
      </w:pPr>
      <w:r>
        <w:rPr>
          <w:rFonts w:ascii="IRNazanin" w:hAnsi="IRNazanin" w:eastAsia="IRNazanin" w:cs="IRNazanin"/>
          <w:lang w:bidi="fa-IR"/>
          <w:color w:val="111111"/>
          <w:sz w:val="28"/>
          <w:szCs w:val="28"/>
          <w:rtl/>
        </w:rPr>
        <w:t xml:space="preserve">خط: نستعلیق، بی کا، تا: قرن 13؛افتادگی: انجام؛ جلد: مقوایی عطف تیماج قهوه ای، 14گ 17 سطر ، اندازه: 15</w:t>
      </w:r>
      <w:r>
        <w:rPr>
          <w:rFonts w:ascii="Times New Roman" w:hAnsi="Times New Roman" w:eastAsia="Times New Roman" w:cs="Times New Roman"/>
          <w:lang w:val="en-US" w:bidi="en-US"/>
          <w:color w:val="111111"/>
          <w:sz w:val="28"/>
          <w:szCs w:val="28"/>
          <w:rtl/>
        </w:rPr>
        <w:t xml:space="preserve">×22/5</w:t>
      </w:r>
      <w:r>
        <w:rPr>
          <w:rFonts w:ascii="IRNazanin" w:hAnsi="IRNazanin" w:eastAsia="IRNazanin" w:cs="IRNazanin"/>
          <w:lang w:bidi="fa-IR"/>
          <w:color w:val="111111"/>
          <w:sz w:val="28"/>
          <w:szCs w:val="28"/>
          <w:rtl/>
        </w:rPr>
        <w:t xml:space="preserve">سم [ف: 14 - 21 ]</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آران کاشان؛ محمد هلال؛ شماره نسخه: 196/6</w:t>
      </w:r>
    </w:p>
    <w:p>
      <w:pPr>
        <w:pStyle w:val="BookText"/>
      </w:pPr>
      <w:r>
        <w:rPr>
          <w:rFonts w:ascii="IRNazanin" w:hAnsi="IRNazanin" w:eastAsia="IRNazanin" w:cs="IRNazanin"/>
          <w:lang w:bidi="fa-IR"/>
          <w:color w:val="111111"/>
          <w:sz w:val="28"/>
          <w:szCs w:val="28"/>
          <w:rtl/>
        </w:rPr>
        <w:t xml:space="preserve">آغاز: برابر؛ انجام: زیرا که حق تعالی فرموده که توبوا الى الله.</w:t>
      </w:r>
    </w:p>
    <w:p>
      <w:pPr>
        <w:pStyle w:val="BookText"/>
      </w:pPr>
      <w:r>
        <w:rPr>
          <w:rFonts w:ascii="IRNazanin" w:hAnsi="IRNazanin" w:eastAsia="IRNazanin" w:cs="IRNazanin"/>
          <w:lang w:bidi="fa-IR"/>
          <w:color w:val="111111"/>
          <w:sz w:val="28"/>
          <w:szCs w:val="28"/>
          <w:rtl/>
        </w:rPr>
        <w:t xml:space="preserve">یعنی توبه کنید و بازگردید بدرگاه حق تعالی و نیز فرموده که توبوا الى الله توبةً نصوحا و ... و صلوات برسید انام و خیر الاوصياء الكرام.</w:t>
      </w:r>
    </w:p>
    <w:p>
      <w:pPr>
        <w:pStyle w:val="BookText"/>
      </w:pPr>
      <w:r>
        <w:rPr>
          <w:rFonts w:ascii="IRNazanin" w:hAnsi="IRNazanin" w:eastAsia="IRNazanin" w:cs="IRNazanin"/>
          <w:lang w:bidi="fa-IR"/>
          <w:color w:val="111111"/>
          <w:sz w:val="28"/>
          <w:szCs w:val="28"/>
          <w:rtl/>
        </w:rPr>
        <w:t xml:space="preserve">تا اواسط اصل چهارم؛ خط: نستعلیق، بی کا، بی تا؛ افتادگی: انجام؛ جلد: تیماج قهوه ای با عطف پارچه ای 31گ، 17 سطر ، اندازه:</w:t>
      </w:r>
    </w:p>
    <w:p>
      <w:pPr>
        <w:pStyle w:val="BookText"/>
      </w:pPr>
      <w:r>
        <w:rPr>
          <w:rFonts w:ascii="Times New Roman" w:hAnsi="Times New Roman" w:eastAsia="Times New Roman" w:cs="Times New Roman"/>
          <w:lang w:val="en-US" w:bidi="en-US"/>
          <w:color w:val="111111"/>
          <w:sz w:val="28"/>
          <w:szCs w:val="28"/>
          <w:rtl/>
        </w:rPr>
        <w:t xml:space="preserve">11×18</w:t>
      </w:r>
      <w:r>
        <w:rPr>
          <w:rFonts w:ascii="IRNazanin" w:hAnsi="IRNazanin" w:eastAsia="IRNazanin" w:cs="IRNazanin"/>
          <w:lang w:bidi="fa-IR"/>
          <w:color w:val="111111"/>
          <w:sz w:val="28"/>
          <w:szCs w:val="28"/>
          <w:rtl/>
        </w:rPr>
        <w:t xml:space="preserve">سم [ف مخ: - 11]</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تهران؛ مجلس؛ شماره نسخه: 18233 ض</w:t>
      </w:r>
    </w:p>
    <w:p>
      <w:pPr>
        <w:pStyle w:val="BookText"/>
      </w:pPr>
      <w:r>
        <w:rPr>
          <w:rFonts w:ascii="IRNazanin" w:hAnsi="IRNazanin" w:eastAsia="IRNazanin" w:cs="IRNazanin"/>
          <w:lang w:bidi="fa-IR"/>
          <w:color w:val="111111"/>
          <w:sz w:val="28"/>
          <w:szCs w:val="28"/>
          <w:rtl/>
        </w:rPr>
        <w:t xml:space="preserve">بی کا، بی تا [د.ث]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69" w:name="pg20365_260091"/>
    <w:bookmarkEnd w:id="69"/>
    <w:p>
      <w:pPr>
        <w:pStyle w:val="Heading3"/>
      </w:pPr>
      <w:bookmarkStart w:id="680" w:name="_Toc202"/>
      <w:r>
        <w:t>ارکان توحید / تاریخ معصومین / فارسی</w:t>
      </w:r>
      <w:bookmarkEnd w:id="680"/>
    </w:p>
    <w:p>
      <w:pPr>
        <w:pStyle w:val="BookText"/>
      </w:pPr>
      <w:r>
        <w:rPr>
          <w:rFonts w:ascii="Times New Roman" w:hAnsi="Times New Roman" w:eastAsia="Times New Roman" w:cs="Times New Roman"/>
          <w:lang w:val="en-US" w:bidi="en-US"/>
          <w:color w:val="111111"/>
          <w:sz w:val="28"/>
          <w:szCs w:val="28"/>
          <w:rtl/>
        </w:rPr>
        <w:t xml:space="preserve">arkān-e towhīd</w:t>
      </w:r>
    </w:p>
    <w:p>
      <w:pPr>
        <w:pStyle w:val="BookText"/>
      </w:pPr>
      <w:r>
        <w:rPr>
          <w:rFonts w:ascii="IRNazanin" w:hAnsi="IRNazanin" w:eastAsia="IRNazanin" w:cs="IRNazanin"/>
          <w:lang w:bidi="fa-IR"/>
          <w:color w:val="111111"/>
          <w:sz w:val="28"/>
          <w:szCs w:val="28"/>
          <w:rtl/>
        </w:rPr>
        <w:t xml:space="preserve">حيدرى، رضا بن ابى الحسن، ق 13 قمری</w:t>
      </w:r>
    </w:p>
    <w:p>
      <w:pPr>
        <w:pStyle w:val="BookText"/>
      </w:pPr>
      <w:r>
        <w:rPr>
          <w:rFonts w:ascii="Times New Roman" w:hAnsi="Times New Roman" w:eastAsia="Times New Roman" w:cs="Times New Roman"/>
          <w:lang w:val="en-US" w:bidi="en-US"/>
          <w:color w:val="111111"/>
          <w:sz w:val="28"/>
          <w:szCs w:val="28"/>
          <w:rtl/>
        </w:rPr>
        <w:t xml:space="preserve">(heydarī, rezā ebn-e ab-el-hasan ( - 19c)</w:t>
      </w:r>
    </w:p>
    <w:p>
      <w:pPr>
        <w:pStyle w:val="BookText"/>
      </w:pPr>
      <w:r>
        <w:rPr>
          <w:rFonts w:ascii="IRNazanin" w:hAnsi="IRNazanin" w:eastAsia="IRNazanin" w:cs="IRNazanin"/>
          <w:lang w:bidi="fa-IR"/>
          <w:color w:val="111111"/>
          <w:sz w:val="28"/>
          <w:szCs w:val="28"/>
          <w:rtl/>
        </w:rPr>
        <w:t xml:space="preserve">اهداء: ناصرالدین شاه قاجار</w:t>
      </w:r>
    </w:p>
    <w:p>
      <w:pPr>
        <w:pStyle w:val="BookText"/>
      </w:pPr>
      <w:r>
        <w:rPr>
          <w:rFonts w:ascii="IRNazanin" w:hAnsi="IRNazanin" w:eastAsia="IRNazanin" w:cs="IRNazanin"/>
          <w:lang w:bidi="fa-IR"/>
          <w:color w:val="111111"/>
          <w:sz w:val="28"/>
          <w:szCs w:val="28"/>
          <w:rtl/>
        </w:rPr>
        <w:t xml:space="preserve">زندگانی و فضایل و مناقب و برخی از معجزات و کرامات چهارده معصوم (علیه السّلام) است. مؤلف درمقدمه آن چنین می نگارد . و از برای آن چهارده رکن قرار دادم و هر رکنی را به مقامی چند و هر مقامی را به مراتب دلپسند مرتب ساختم. .. ركن اول در احوال خیر مآل حضرت خاتم الانبياء (صلّی اللَّهِ علیه وَ آلِهِ وَ سَلَّمَ )، ركن دوم احوال جناب ولایت مآب اسدالله الغالب. .. و هكذا الى قائمنا عجل الله فرجه. ..» تا احوال امام مجتبی (علیه السّلام) مرتب و منظم است و از آن  پس مطالب پراکنده و ناهماهنگ و مغایر با اهداف  مؤلف می باشد و عمده مطالب آن به این شرح است: 1. سب اسلام آوردن سلمان؛ 2 تفسیر آیه مرج البحرين؛ 3 .فتح خيبر .4 شهادت جعفر در موته .5. خطبه امام سجاد حضرت زینب فاطمه دختر امام حسين (علیه السّلام و ام كلثوم؛ 6. مجلس يزيد و اشعار معروف او؛ 7 دستگیری سادات؛ 8. وفات حضرت زينب (علیها السّلام) .9 عظمت عرش پروردگاراحوال هاشم. .. احوال حضرت جواد، امام هادی و امام عسگری و مطالب متفرقه دیگر. آغاز: بسمله سپاس بی قیاس مر خالقی را سزا و رواست.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مشهد؛ رضوی؛ شماره نسخه: 7264</w:t>
      </w:r>
    </w:p>
    <w:p>
      <w:pPr>
        <w:pStyle w:val="BookText"/>
      </w:pPr>
      <w:r>
        <w:rPr>
          <w:rFonts w:ascii="Amiri" w:hAnsi="Amiri" w:eastAsia="Amiri" w:cs="Amiri"/>
          <w:lang w:bidi="ar-SA"/>
          <w:color w:val="111111"/>
          <w:sz w:val="28"/>
          <w:szCs w:val="28"/>
          <w:rtl/>
        </w:rPr>
        <w:t xml:space="preserve">آغاز: برابر؛ انجام: اللهم العن بني امية قاطبة.</w:t>
      </w:r>
    </w:p>
    <w:p>
      <w:pPr>
        <w:pStyle w:val="BookText"/>
      </w:pPr>
      <w:r>
        <w:rPr>
          <w:rFonts w:ascii="IRNazanin" w:hAnsi="IRNazanin" w:eastAsia="IRNazanin" w:cs="IRNazanin"/>
          <w:lang w:bidi="fa-IR"/>
          <w:color w:val="111111"/>
          <w:sz w:val="28"/>
          <w:szCs w:val="28"/>
          <w:rtl/>
        </w:rPr>
        <w:t xml:space="preserve">خط: نستعلیق، کا: محمد علی بن محمد تقی، تا: جمعه ربیع الثانی 1295ق؛ کاغذ: شکری ،جلد: مقوا، رویه ،پارچه 240گ مختلف السطر ، اندازه: 19</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سم [ف: 14 - 51]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یزد؛ وزیری؛ شماره نسخه: 4136</w:t>
      </w:r>
    </w:p>
    <w:p>
      <w:pPr>
        <w:pStyle w:val="BookText"/>
      </w:pPr>
      <w:r>
        <w:rPr>
          <w:rFonts w:ascii="IRNazanin" w:hAnsi="IRNazanin" w:eastAsia="IRNazanin" w:cs="IRNazanin"/>
          <w:lang w:bidi="fa-IR"/>
          <w:color w:val="111111"/>
          <w:sz w:val="28"/>
          <w:szCs w:val="28"/>
          <w:rtl/>
        </w:rPr>
        <w:t xml:space="preserve">بی کا، بی تا[ نشریه: 13 - 369]</w:t>
      </w:r>
    </w:p>
    <w:p>
      <w:pPr>
        <w:pStyle w:val="Heading3"/>
      </w:pPr>
      <w:bookmarkStart w:id="681" w:name="_Toc203"/>
      <w:r>
        <w:t>اركان ثلاثة / کلام و اعتقادات / فارسی</w:t>
      </w:r>
      <w:bookmarkEnd w:id="681"/>
    </w:p>
    <w:p>
      <w:pPr>
        <w:pStyle w:val="BookText"/>
      </w:pPr>
      <w:r>
        <w:rPr>
          <w:rFonts w:ascii="Times New Roman" w:hAnsi="Times New Roman" w:eastAsia="Times New Roman" w:cs="Times New Roman"/>
          <w:lang w:val="en-US" w:bidi="en-US"/>
          <w:color w:val="111111"/>
          <w:sz w:val="28"/>
          <w:szCs w:val="28"/>
          <w:rtl/>
        </w:rPr>
        <w:t xml:space="preserve">arkān-e salāse</w:t>
      </w:r>
    </w:p>
    <w:p>
      <w:pPr>
        <w:pStyle w:val="BookText"/>
      </w:pPr>
      <w:r>
        <w:rPr>
          <w:rFonts w:ascii="IRNazanin" w:hAnsi="IRNazanin" w:eastAsia="IRNazanin" w:cs="IRNazanin"/>
          <w:lang w:bidi="fa-IR"/>
          <w:color w:val="111111"/>
          <w:sz w:val="28"/>
          <w:szCs w:val="28"/>
          <w:rtl/>
        </w:rPr>
        <w:t xml:space="preserve">تبریزی، ابراهیم بن عبدالجلیل، ق13 قمری</w:t>
      </w:r>
    </w:p>
    <w:p>
      <w:pPr>
        <w:pStyle w:val="BookText"/>
      </w:pPr>
      <w:r>
        <w:rPr>
          <w:rFonts w:ascii="Times New Roman" w:hAnsi="Times New Roman" w:eastAsia="Times New Roman" w:cs="Times New Roman"/>
          <w:lang w:val="en-US" w:bidi="en-US"/>
          <w:color w:val="111111"/>
          <w:sz w:val="28"/>
          <w:szCs w:val="28"/>
          <w:rtl/>
        </w:rPr>
        <w:t xml:space="preserve">(tabrīzī, ebrāhīm ebn-e ‘abd-ol-jalīl ( - 19c)</w:t>
      </w:r>
    </w:p>
    <w:p>
      <w:pPr>
        <w:pStyle w:val="BookText"/>
      </w:pPr>
      <w:r>
        <w:rPr>
          <w:rFonts w:ascii="IRNazanin" w:hAnsi="IRNazanin" w:eastAsia="IRNazanin" w:cs="IRNazanin"/>
          <w:lang w:bidi="fa-IR"/>
          <w:color w:val="111111"/>
          <w:sz w:val="28"/>
          <w:szCs w:val="28"/>
          <w:rtl/>
        </w:rPr>
        <w:t xml:space="preserve">در اصول اعتقادی با تفصیل بیشتر در بحث امامت، و تهذیب نفس با ذکر بعضی از دستورهای اخلاقی، و آداب دینی همچون احکام نماز و روزه، در علم حقیقت و طریقت و شریعت اما به روشی که در احادیث آمده نه به روش عرفا و صوفیه نام معلوم نشد و این عناوین در نسخه آمده است: مقاله ثانیه: در علم طریقت و معرفت نفس و تزکیه آن مقاله ثالثه: در علم شریعت (دستورات فقهی)</w:t>
      </w:r>
    </w:p>
    <w:p>
      <w:pPr>
        <w:pStyle w:val="BookText"/>
      </w:pPr>
      <w:r>
        <w:rPr>
          <w:rFonts w:ascii="IRNazanin" w:hAnsi="IRNazanin" w:eastAsia="IRNazanin" w:cs="IRNazanin"/>
          <w:lang w:bidi="fa-IR"/>
          <w:color w:val="111111"/>
          <w:sz w:val="28"/>
          <w:szCs w:val="28"/>
          <w:rtl/>
        </w:rPr>
        <w:t xml:space="preserve">قم؛ مرعشی؛ شماره نسخه: 5428/2</w:t>
      </w:r>
    </w:p>
    <w:p>
      <w:pPr>
        <w:pStyle w:val="BookText"/>
      </w:pPr>
      <w:r>
        <w:rPr>
          <w:rFonts w:ascii="IRNazanin" w:hAnsi="IRNazanin" w:eastAsia="IRNazanin" w:cs="IRNazanin"/>
          <w:lang w:bidi="fa-IR"/>
          <w:color w:val="111111"/>
          <w:sz w:val="28"/>
          <w:szCs w:val="28"/>
          <w:rtl/>
        </w:rPr>
        <w:t xml:space="preserve">آغاز: چون مبین شد که معرفت باری تعالی بآیات است معنی آیت چیست و شناختن آن چگونه باشد؛ انجام: و روزه ماه رجب و شعبان کلا</w:t>
      </w:r>
    </w:p>
    <w:p>
      <w:pPr>
        <w:pStyle w:val="BookText"/>
      </w:pPr>
      <w:r>
        <w:rPr>
          <w:rFonts w:ascii="IRNazanin" w:hAnsi="IRNazanin" w:eastAsia="IRNazanin" w:cs="IRNazanin"/>
          <w:lang w:bidi="fa-IR"/>
          <w:color w:val="111111"/>
          <w:sz w:val="28"/>
          <w:szCs w:val="28"/>
          <w:rtl/>
        </w:rPr>
        <w:t xml:space="preserve">خط: نستعلیق، کاتب - مؤلف، بی تا؛ افتادگی: آغاز؛ جلد: تیماج قهوه ای بدون مقوا، 98گ (91ر-188ر) اندازه: 15</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 14- 213]</w:t>
      </w:r>
    </w:p>
    <w:p>
      <w:pPr>
        <w:pStyle w:val="BookText"/>
      </w:pPr>
      <w:r>
        <w:rPr>
          <w:rFonts w:ascii="IRNazanin" w:hAnsi="IRNazanin" w:eastAsia="IRNazanin" w:cs="IRNazanin"/>
          <w:lang w:bidi="fa-IR"/>
          <w:color w:val="111111"/>
          <w:sz w:val="28"/>
          <w:szCs w:val="28"/>
          <w:rtl/>
        </w:rPr>
        <w:t xml:space="preserve">«رکان حج » مناسك حج</w:t>
      </w:r>
    </w:p>
    <w:p>
      <w:pPr>
        <w:pStyle w:val="Heading3"/>
      </w:pPr>
      <w:bookmarkStart w:id="682" w:name="_Toc204"/>
      <w:r>
        <w:t>ارکان حرب / فنون نظامی / فارسی</w:t>
      </w:r>
      <w:bookmarkEnd w:id="682"/>
    </w:p>
    <w:p>
      <w:pPr>
        <w:pStyle w:val="BookText"/>
      </w:pPr>
      <w:r>
        <w:rPr>
          <w:rFonts w:ascii="Times New Roman" w:hAnsi="Times New Roman" w:eastAsia="Times New Roman" w:cs="Times New Roman"/>
          <w:lang w:val="en-US" w:bidi="en-US"/>
          <w:color w:val="111111"/>
          <w:sz w:val="28"/>
          <w:szCs w:val="28"/>
          <w:rtl/>
        </w:rPr>
        <w:t xml:space="preserve">arkān-e harb</w:t>
      </w:r>
    </w:p>
    <w:p>
      <w:pPr>
        <w:pStyle w:val="BookText"/>
      </w:pPr>
      <w:r>
        <w:rPr>
          <w:rFonts w:ascii="IRNazanin" w:hAnsi="IRNazanin" w:eastAsia="IRNazanin" w:cs="IRNazanin"/>
          <w:lang w:bidi="fa-IR"/>
          <w:color w:val="111111"/>
          <w:sz w:val="28"/>
          <w:szCs w:val="28"/>
          <w:rtl/>
        </w:rPr>
        <w:t xml:space="preserve">کلاتی عباسقلی، ق 14 قمری</w:t>
      </w:r>
    </w:p>
    <w:p>
      <w:pPr>
        <w:pStyle w:val="BookText"/>
      </w:pPr>
      <w:r>
        <w:rPr>
          <w:rFonts w:ascii="Times New Roman" w:hAnsi="Times New Roman" w:eastAsia="Times New Roman" w:cs="Times New Roman"/>
          <w:lang w:val="en-US" w:bidi="en-US"/>
          <w:color w:val="111111"/>
          <w:sz w:val="28"/>
          <w:szCs w:val="28"/>
          <w:rtl/>
        </w:rPr>
        <w:t xml:space="preserve">(kalātī, ‘abbās-qolī ( - 20c)</w:t>
      </w:r>
    </w:p>
    <w:p>
      <w:pPr>
        <w:pStyle w:val="BookText"/>
      </w:pPr>
      <w:r>
        <w:rPr>
          <w:rFonts w:ascii="IRNazanin" w:hAnsi="IRNazanin" w:eastAsia="IRNazanin" w:cs="IRNazanin"/>
          <w:lang w:bidi="fa-IR"/>
          <w:color w:val="111111"/>
          <w:sz w:val="28"/>
          <w:szCs w:val="28"/>
          <w:rtl/>
        </w:rPr>
        <w:t xml:space="preserve">تاریخ تأليف: 1311ق</w:t>
      </w:r>
    </w:p>
    <w:p>
      <w:pPr>
        <w:pStyle w:val="BookText"/>
      </w:pPr>
      <w:r>
        <w:rPr>
          <w:rFonts w:ascii="IRNazanin" w:hAnsi="IRNazanin" w:eastAsia="IRNazanin" w:cs="IRNazanin"/>
          <w:lang w:bidi="fa-IR"/>
          <w:color w:val="111111"/>
          <w:sz w:val="28"/>
          <w:szCs w:val="28"/>
          <w:rtl/>
        </w:rPr>
        <w:t xml:space="preserve">مؤلف در سال 1303 ق همراه با سه نفر، برای آموزش نظامی از طرف دولت ایران به اسلامبول اعزام می شود و در سال 1308 ق در علوم نظامی فارغ التحصیل گردیده و سپس در مکتب انا ماژور (اركان حرب) مشغول تطبيقات عسکری گردیده است.</w:t>
      </w:r>
    </w:p>
    <w:p>
      <w:pPr>
        <w:pStyle w:val="BookText"/>
      </w:pPr>
      <w:r>
        <w:rPr>
          <w:rFonts w:ascii="IRNazanin" w:hAnsi="IRNazanin" w:eastAsia="IRNazanin" w:cs="IRNazanin"/>
          <w:lang w:bidi="fa-IR"/>
          <w:color w:val="111111"/>
          <w:sz w:val="28"/>
          <w:szCs w:val="28"/>
          <w:rtl/>
        </w:rPr>
        <w:t xml:space="preserve">او برای تعلیم نظامیان کتاب حاضر را پرداخته و در آن پیرامون وضعیت سازماندهی نیروهای نظامی امپراطوری عثمانی و آموزش و قوانین نظامی آنها توضیح داده و تألیف آن را در سال 1311ق در مکتب «انا ماژور» عثمانی» به پایان رسانیده است.</w:t>
      </w:r>
    </w:p>
    <w:p>
      <w:pPr>
        <w:pStyle w:val="BookText"/>
      </w:pPr>
      <w:r>
        <w:rPr>
          <w:rFonts w:ascii="IRNazanin" w:hAnsi="IRNazanin" w:eastAsia="IRNazanin" w:cs="IRNazanin"/>
          <w:lang w:bidi="fa-IR"/>
          <w:color w:val="111111"/>
          <w:sz w:val="28"/>
          <w:szCs w:val="28"/>
          <w:rtl/>
        </w:rPr>
        <w:t xml:space="preserve">مؤلف در شعبان سال 1314ق به سبب بعضی تغییراتی که در وضع دولت حاصل شده بود، تصحیحاتی در آن به عمل آورده و در حاشیه نسخه حاضر یادداشت نموده است. فهرست عناوین: فایده جنگ؛ اصول سربازگیری و محافظت آن؛ فایده قشون تحت سلاح؛ ترقی آلات ناریه؛ تاریخ مختصری از ملت عثمانی؛ طريق لشکری عثمانیان در این زمان؛ در بیان امور عسکریه دولت علیه عثمانی؛ اصول سربازگیری اردوهای عثمانی؛تدارک اسب؛ متصرفات عثمانی؛ نفوس و تبعه عثمانی؛ بودجه؛ وظایف صنوف مختلفه عساکر در وقت محاربه؛ مدت خدمت عسکری؛ اداره و اعاشه عساکر عثمانی؛ اسلحه عثمانی؛ تفنگهای عساکر عثمانی؛ قوه بحريه عثمانی؛ اخلاق عساکر عثمانی؛ مکاسب نظام عثمانی؛ مکتب حربي، مكتب اركان حرب.</w:t>
      </w:r>
    </w:p>
    <w:p>
      <w:pPr>
        <w:pStyle w:val="BookText"/>
      </w:pPr>
      <w:r>
        <w:rPr>
          <w:rFonts w:ascii="IRNazanin" w:hAnsi="IRNazanin" w:eastAsia="IRNazanin" w:cs="IRNazanin"/>
          <w:lang w:bidi="fa-IR"/>
          <w:color w:val="111111"/>
          <w:sz w:val="28"/>
          <w:szCs w:val="28"/>
          <w:rtl/>
        </w:rPr>
        <w:t xml:space="preserve">تهران؛ مجلس؛ شماره نسخه: 7971</w:t>
      </w:r>
    </w:p>
    <w:p>
      <w:pPr>
        <w:pStyle w:val="BookText"/>
      </w:pPr>
      <w:r>
        <w:rPr>
          <w:rFonts w:ascii="IRNazanin" w:hAnsi="IRNazanin" w:eastAsia="IRNazanin" w:cs="IRNazanin"/>
          <w:lang w:bidi="fa-IR"/>
          <w:color w:val="111111"/>
          <w:sz w:val="28"/>
          <w:szCs w:val="28"/>
          <w:rtl/>
        </w:rPr>
        <w:t xml:space="preserve">آغاز: سبب تألیف کتابچه، این بنده در سال 1303 بر حسب خواهش اعلی حضرت سلطان عثمانی از دربار دولت علیه ایران با سه نفر دیگر بجهت تحصیل فنون عسکریه باسلامبول رفته مشغول تحصیل شدم در سال 1308 فارغ التحصيل گشته در مکتب اناماژور (ارکان حرب) مشغول تطبيقات عسکری گردیدم؛ انجام: نسخه: فرمان ده کل لشکر است و در هر دو سال یک درجه دولت به او می دهد سال دویم تشکیلات اردوهای خارجه فن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70" w:name="pg20365_260092"/>
    <w:bookmarkEnd w:id="70"/>
    <w:p>
      <w:pPr>
        <w:pStyle w:val="BookText"/>
      </w:pPr>
      <w:r>
        <w:rPr>
          <w:rFonts w:ascii="IRNazanin" w:hAnsi="IRNazanin" w:eastAsia="IRNazanin" w:cs="IRNazanin"/>
          <w:lang w:bidi="fa-IR"/>
          <w:color w:val="111111"/>
          <w:sz w:val="28"/>
          <w:szCs w:val="28"/>
          <w:rtl/>
        </w:rPr>
        <w:t xml:space="preserve">اسلحه ثقلیه...</w:t>
      </w:r>
    </w:p>
    <w:p>
      <w:pPr>
        <w:pStyle w:val="BookText"/>
      </w:pPr>
      <w:r>
        <w:rPr>
          <w:rFonts w:ascii="IRNazanin" w:hAnsi="IRNazanin" w:eastAsia="IRNazanin" w:cs="IRNazanin"/>
          <w:lang w:bidi="fa-IR"/>
          <w:color w:val="111111"/>
          <w:sz w:val="28"/>
          <w:szCs w:val="28"/>
          <w:rtl/>
        </w:rPr>
        <w:t xml:space="preserve">خط: نستعلیق، کاتب - مؤلف، تا: 1311ق؛ افتادگی: انجام؛ عکس مؤلف در پشت طبله اول جلد الصاق شده ؛جلد: پارچه مخملی ،بنفش 70 گ، 12 سطر ، اندازه: 13</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26 - 449]</w:t>
      </w:r>
    </w:p>
    <w:p>
      <w:pPr>
        <w:pStyle w:val="Heading3"/>
      </w:pPr>
      <w:bookmarkStart w:id="683" w:name="_Toc205"/>
      <w:r>
        <w:t>اركان الحكمة / عرفان و تصوف / فارسی</w:t>
      </w:r>
      <w:bookmarkEnd w:id="683"/>
    </w:p>
    <w:p>
      <w:pPr>
        <w:pStyle w:val="BookText"/>
      </w:pPr>
      <w:r>
        <w:rPr>
          <w:rFonts w:ascii="Times New Roman" w:hAnsi="Times New Roman" w:eastAsia="Times New Roman" w:cs="Times New Roman"/>
          <w:lang w:val="en-US" w:bidi="en-US"/>
          <w:color w:val="111111"/>
          <w:sz w:val="28"/>
          <w:szCs w:val="28"/>
          <w:rtl/>
        </w:rPr>
        <w:t xml:space="preserve">arkān-ol-hekmat</w:t>
      </w:r>
    </w:p>
    <w:p>
      <w:pPr>
        <w:pStyle w:val="BookText"/>
      </w:pPr>
      <w:r>
        <w:rPr>
          <w:rFonts w:ascii="IRNazanin" w:hAnsi="IRNazanin" w:eastAsia="IRNazanin" w:cs="IRNazanin"/>
          <w:lang w:bidi="fa-IR"/>
          <w:color w:val="111111"/>
          <w:sz w:val="28"/>
          <w:szCs w:val="28"/>
          <w:rtl/>
        </w:rPr>
        <w:t xml:space="preserve">رساله ای در حکمت مبین و مبرهن به حیثیتی مبین و مبرهن «به حیثیتی که هیچ منتهی آن مسایل درنگذرد و مبتدی را زود به مقصود رساند». این رساله به خواجه شرف الدین تقدیم شده و در 11 «مسأله» تنظیم شده است.</w:t>
      </w:r>
    </w:p>
    <w:p>
      <w:pPr>
        <w:pStyle w:val="BookText"/>
      </w:pPr>
      <w:r>
        <w:rPr>
          <w:rFonts w:ascii="IRNazanin" w:hAnsi="IRNazanin" w:eastAsia="IRNazanin" w:cs="IRNazanin"/>
          <w:lang w:bidi="fa-IR"/>
          <w:color w:val="111111"/>
          <w:sz w:val="28"/>
          <w:szCs w:val="28"/>
          <w:rtl/>
        </w:rPr>
        <w:t xml:space="preserve">آغاز: الحمد لله رب العالمين. .. بدان اسعدك الله في الدارين که این مختصری است در حکمت مبین و مبرهن بحیثیتی که هیچ منتهی از آن مسایل در نگذرد و مبتدی را زود بمقصود رساند از وسایل مختصرات</w:t>
      </w:r>
    </w:p>
    <w:p>
      <w:pPr>
        <w:pStyle w:val="BookText"/>
      </w:pPr>
      <w:r>
        <w:rPr>
          <w:rFonts w:ascii="IRNazanin" w:hAnsi="IRNazanin" w:eastAsia="IRNazanin" w:cs="IRNazanin"/>
          <w:lang w:bidi="fa-IR"/>
          <w:color w:val="111111"/>
          <w:sz w:val="28"/>
          <w:szCs w:val="28"/>
          <w:rtl/>
        </w:rPr>
        <w:t xml:space="preserve">انجام: پس صفات را بر جناب صفرت او طلاق کردن جز بطریق تفهیم و کامل دانستن عوام ذات او را هیچ فایده دیگر نیست بلکه او منزه است از تنزیه و تشبیه و هو عما يقول الظالمون علوا كبيراً.</w:t>
      </w:r>
    </w:p>
    <w:p>
      <w:pPr>
        <w:pStyle w:val="BookText"/>
      </w:pPr>
      <w:r>
        <w:rPr>
          <w:rFonts w:ascii="IRNazanin" w:hAnsi="IRNazanin" w:eastAsia="IRNazanin" w:cs="IRNazanin"/>
          <w:lang w:bidi="fa-IR"/>
          <w:color w:val="111111"/>
          <w:sz w:val="28"/>
          <w:szCs w:val="28"/>
          <w:rtl/>
        </w:rPr>
        <w:t xml:space="preserve">قم؛ مسجد اعظم؛ شماره نسخه: 2811/3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حسن بن سيد كاظم طباطبایی تا: قرن 13؛ 8 گ، 16 سطر ، اندازه 10</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[ف مخ: 1 - 134]</w:t>
      </w:r>
    </w:p>
    <w:p>
      <w:pPr>
        <w:pStyle w:val="BookText"/>
      </w:pPr>
      <w:r>
        <w:rPr>
          <w:rFonts w:ascii="Amiri" w:hAnsi="Amiri" w:eastAsia="Amiri" w:cs="Amiri"/>
          <w:lang w:bidi="ar-SA"/>
          <w:color w:val="111111"/>
          <w:sz w:val="28"/>
          <w:szCs w:val="28"/>
          <w:rtl/>
        </w:rPr>
        <w:t xml:space="preserve">«الاركان فى الحجر » كتاب الاركان في الحجر</w:t>
      </w:r>
    </w:p>
    <w:p>
      <w:pPr>
        <w:pStyle w:val="Heading3"/>
      </w:pPr>
      <w:bookmarkStart w:id="684" w:name="_Toc206"/>
      <w:r>
        <w:t>الاركانية / كيميا / عربي - فارسی</w:t>
      </w:r>
      <w:bookmarkEnd w:id="684"/>
    </w:p>
    <w:p>
      <w:pPr>
        <w:pStyle w:val="BookText"/>
      </w:pPr>
      <w:r>
        <w:rPr>
          <w:rFonts w:ascii="Times New Roman" w:hAnsi="Times New Roman" w:eastAsia="Times New Roman" w:cs="Times New Roman"/>
          <w:lang w:val="en-US" w:bidi="en-US"/>
          <w:color w:val="111111"/>
          <w:sz w:val="28"/>
          <w:szCs w:val="28"/>
          <w:rtl/>
        </w:rPr>
        <w:t xml:space="preserve">al-arkānīye</w:t>
      </w:r>
    </w:p>
    <w:p>
      <w:pPr>
        <w:pStyle w:val="BookText"/>
      </w:pPr>
      <w:r>
        <w:rPr>
          <w:rFonts w:ascii="IRNazanin" w:hAnsi="IRNazanin" w:eastAsia="IRNazanin" w:cs="IRNazanin"/>
          <w:lang w:bidi="fa-IR"/>
          <w:color w:val="111111"/>
          <w:sz w:val="28"/>
          <w:szCs w:val="28"/>
          <w:rtl/>
        </w:rPr>
        <w:t xml:space="preserve">جابر بن حیان 120 - 198 ؟ قمری</w:t>
      </w:r>
    </w:p>
    <w:p>
      <w:pPr>
        <w:pStyle w:val="BookText"/>
      </w:pPr>
      <w:r>
        <w:rPr>
          <w:rFonts w:ascii="Times New Roman" w:hAnsi="Times New Roman" w:eastAsia="Times New Roman" w:cs="Times New Roman"/>
          <w:lang w:val="en-US" w:bidi="en-US"/>
          <w:color w:val="111111"/>
          <w:sz w:val="28"/>
          <w:szCs w:val="28"/>
          <w:rtl/>
        </w:rPr>
        <w:t xml:space="preserve">(jāber ebn-e hayyān (739 - 814)</w:t>
      </w:r>
    </w:p>
    <w:p>
      <w:pPr>
        <w:pStyle w:val="BookText"/>
      </w:pPr>
      <w:r>
        <w:rPr>
          <w:rFonts w:ascii="IRNazanin" w:hAnsi="IRNazanin" w:eastAsia="IRNazanin" w:cs="IRNazanin"/>
          <w:lang w:bidi="fa-IR"/>
          <w:color w:val="111111"/>
          <w:sz w:val="28"/>
          <w:szCs w:val="28"/>
          <w:rtl/>
        </w:rPr>
        <w:t xml:space="preserve">بدون دیباچه در 4 «رکن»، در :تدابیر: 1. أن تأخذ ثلاث امراق  جير؛ 2. أن تأخذ من الزاج الاصفر؛ 3 .تبييض الزرنيخ؛ 4. تبييض الكبريت با ترجمه زیرنویس فارسی.</w:t>
      </w:r>
    </w:p>
    <w:p>
      <w:pPr>
        <w:pStyle w:val="BookText"/>
      </w:pPr>
      <w:r>
        <w:rPr>
          <w:rFonts w:ascii="Amiri" w:hAnsi="Amiri" w:eastAsia="Amiri" w:cs="Amiri"/>
          <w:lang w:bidi="ar-SA"/>
          <w:color w:val="111111"/>
          <w:sz w:val="28"/>
          <w:szCs w:val="28"/>
          <w:rtl/>
        </w:rPr>
        <w:t xml:space="preserve">تهران؛ دائرة المعارف؛ شماره نسخه: 212/16</w:t>
      </w:r>
    </w:p>
    <w:p>
      <w:pPr>
        <w:pStyle w:val="BookText"/>
      </w:pPr>
      <w:r>
        <w:rPr>
          <w:rFonts w:ascii="IRNazanin" w:hAnsi="IRNazanin" w:eastAsia="IRNazanin" w:cs="IRNazanin"/>
          <w:lang w:bidi="fa-IR"/>
          <w:color w:val="111111"/>
          <w:sz w:val="28"/>
          <w:szCs w:val="28"/>
          <w:rtl/>
        </w:rPr>
        <w:t xml:space="preserve">آغاز: فصل من مسائل الجابر و تسمى بالاركانية، لانها اربعة ارکان صفت الركن الاول أن تأخذ ثلاث امراق جير. .. (آغاز ترجمه:) فصل از مسائل جابر و نامیده اند؛ انجام: للاكسير بمقطار الكحال تمت ترجمه: از جهت اکسیر به مقدار سرمه</w:t>
      </w:r>
    </w:p>
    <w:p>
      <w:pPr>
        <w:pStyle w:val="BookText"/>
      </w:pPr>
      <w:r>
        <w:rPr>
          <w:rFonts w:ascii="IRNazanin" w:hAnsi="IRNazanin" w:eastAsia="IRNazanin" w:cs="IRNazanin"/>
          <w:lang w:bidi="fa-IR"/>
          <w:color w:val="111111"/>
          <w:sz w:val="28"/>
          <w:szCs w:val="28"/>
          <w:rtl/>
        </w:rPr>
        <w:t xml:space="preserve">خط: نسخ پخته، بی کا، تا: قرن 11؛ زیرنویس نستعلیق تحریری پخته ؛ 6گ (334 پ-339ر) [ف: 1 - 15]</w:t>
      </w:r>
    </w:p>
    <w:p>
      <w:pPr>
        <w:pStyle w:val="Heading3"/>
      </w:pPr>
      <w:bookmarkStart w:id="685" w:name="_Toc207"/>
      <w:r>
        <w:t>ارمغان / ادبیات / فارسی</w:t>
      </w:r>
      <w:bookmarkEnd w:id="685"/>
    </w:p>
    <w:p>
      <w:pPr>
        <w:pStyle w:val="BookText"/>
      </w:pPr>
      <w:r>
        <w:rPr>
          <w:rFonts w:ascii="Times New Roman" w:hAnsi="Times New Roman" w:eastAsia="Times New Roman" w:cs="Times New Roman"/>
          <w:lang w:val="en-US" w:bidi="en-US"/>
          <w:color w:val="111111"/>
          <w:sz w:val="28"/>
          <w:szCs w:val="28"/>
          <w:rtl/>
        </w:rPr>
        <w:t xml:space="preserve">armaqān</w:t>
      </w:r>
    </w:p>
    <w:p>
      <w:pPr>
        <w:pStyle w:val="BookText"/>
      </w:pPr>
      <w:r>
        <w:rPr>
          <w:rFonts w:ascii="IRNazanin" w:hAnsi="IRNazanin" w:eastAsia="IRNazanin" w:cs="IRNazanin"/>
          <w:lang w:bidi="fa-IR"/>
          <w:color w:val="111111"/>
          <w:sz w:val="28"/>
          <w:szCs w:val="28"/>
          <w:rtl/>
        </w:rPr>
        <w:t xml:space="preserve">تسلیم شمس الدین محمد، ق13 قمری</w:t>
      </w:r>
    </w:p>
    <w:p>
      <w:pPr>
        <w:pStyle w:val="BookText"/>
      </w:pPr>
      <w:r>
        <w:rPr>
          <w:rFonts w:ascii="Times New Roman" w:hAnsi="Times New Roman" w:eastAsia="Times New Roman" w:cs="Times New Roman"/>
          <w:lang w:val="en-US" w:bidi="en-US"/>
          <w:color w:val="111111"/>
          <w:sz w:val="28"/>
          <w:szCs w:val="28"/>
          <w:rtl/>
        </w:rPr>
        <w:t xml:space="preserve">(taslīm, šams-od-dīn mohammad (- 19c)</w:t>
      </w:r>
    </w:p>
    <w:p>
      <w:pPr>
        <w:pStyle w:val="BookText"/>
      </w:pPr>
      <w:r>
        <w:rPr>
          <w:rFonts w:ascii="IRNazanin" w:hAnsi="IRNazanin" w:eastAsia="IRNazanin" w:cs="IRNazanin"/>
          <w:lang w:bidi="fa-IR"/>
          <w:color w:val="111111"/>
          <w:sz w:val="28"/>
          <w:szCs w:val="28"/>
          <w:rtl/>
        </w:rPr>
        <w:t xml:space="preserve">منشآت و مکاتباتی است ادبی، شامل عریضه به مولوی محمد لطف الله خان، به حافظ محمد کریم الله دهلوی، به خواجه عبد الرحمن، مولوی محمد سعد الله قطب الدوله بهادر، به میرزا علی آقا، شاهزاده میرزا به میرزا حسن، به خواجه عبدالله از مادر بزرگوار خود به سید اصغر علی از محمد نعیم خان، به منشی قمر الدین احمد، به خواجه عنایت الله از طرف زوجه شان، به سید حسن کاشانی، به میرزا علی شریف از سید عبدالحسین، به نواب اقبال الدوله بهادر از نوابشرف الدوله بهادر و بسیاری از مکاتیب دیگر همراه با اشعاری از مؤلف و جامع با تخلص تسلیم و اشعاری از شاعران دیگر در آغاز از محمد واجد علیشاه با عنوان «محمدت شاه کیهان پناه محمد واجد علیشاه خلد الله ملکه» ا(ین واجد علیشاه باید همان ابو منصور، ناصرالدین محمد واجد علیشاه بن امجد علیشاه مالک ممالک) «اوده» در هندوستان باشد که در سال 1264ق یا 1283ق به حکومت رسیده و ظاهراً در سال 1291ق در گذشته است وی صاحب دیوان اشعار است و شرح حالش در فرهنگ سخنوران ص 32 و الذريعة 61/9 و 397/6 آمده است) و علی نقی خان بهادر با عنوان «ستایش دستور اعظم نواب مدار الدولة على نقى خان بهادر این علی نقی خان شاید همان على نقى خان إبن قاسم خان بهادر شاهی لاهوری عظیم آبادی باشد، وی نیز صاحب دیوان اشعار است و لسانی تخلص می کرده، شرح حالش در تذکره شعرای کشمیر،ص493 آمده است) و استادانش آقا سید اکبر علی شیرازی و ميرزا ناطق مکرانی این( ناطق مکرانی ظاهراً همان گل محمد خان ناطق مکرانی است، وی نیز از شاعران بوده و نامش در فرهنگ سخنوران (ص 590) آمده و به سال 1264ق در گذشته) یاد نموده است. ظاهراً مشوق وی در نگاشتن و گردآوری این كتاب ميرزا عليرضا صاحب الشرط بوده است. از این میرزا عليرضا صاحب الشرط در دیباجه «تذكرة الشعراء» نیز در رساله دیگر نسخه حاضر یاد شده و به درخواست وی دیباجه را نگاشته و به همین قرینه و قرائن دیگر ،دیباجه «تذكرة الشعراء» و خاتمه  «شرح مقامات حریری» نیز در همین نسخه باید از همین مؤلف باشد.</w:t>
      </w:r>
    </w:p>
    <w:p>
      <w:pPr>
        <w:pStyle w:val="BookText"/>
      </w:pPr>
      <w:r>
        <w:rPr>
          <w:rFonts w:ascii="IRNazanin" w:hAnsi="IRNazanin" w:eastAsia="IRNazanin" w:cs="IRNazanin"/>
          <w:lang w:bidi="fa-IR"/>
          <w:color w:val="111111"/>
          <w:sz w:val="28"/>
          <w:szCs w:val="28"/>
          <w:rtl/>
        </w:rPr>
        <w:t xml:space="preserve">قم؛ مرعشی: شماره نسخه: 13700/3</w:t>
      </w:r>
    </w:p>
    <w:p>
      <w:pPr>
        <w:pStyle w:val="BookText"/>
      </w:pPr>
      <w:r>
        <w:rPr>
          <w:rFonts w:ascii="IRNazanin" w:hAnsi="IRNazanin" w:eastAsia="IRNazanin" w:cs="IRNazanin"/>
          <w:lang w:bidi="fa-IR"/>
          <w:color w:val="111111"/>
          <w:sz w:val="28"/>
          <w:szCs w:val="28"/>
          <w:rtl/>
        </w:rPr>
        <w:t xml:space="preserve">آغاز: انشای ثنای سنیه سخن آفرینیست که دو دفتر نشأتین نظم و ترتیب قلم انداز نگاشته اوست... اما بعد، عرضه میدهد آسیمه رای هرزه درای ژولیده بیان کج مج زبان... پس از تسلیم بواسطه؛ انجام: که شب نشینی و دود چراغ خوردن جمع نیاید و السلام</w:t>
      </w:r>
    </w:p>
    <w:p>
      <w:pPr>
        <w:pStyle w:val="BookText"/>
      </w:pPr>
      <w:r>
        <w:rPr>
          <w:rFonts w:ascii="IRNazanin" w:hAnsi="IRNazanin" w:eastAsia="IRNazanin" w:cs="IRNazanin"/>
          <w:lang w:bidi="fa-IR"/>
          <w:color w:val="111111"/>
          <w:sz w:val="28"/>
          <w:szCs w:val="28"/>
          <w:rtl/>
        </w:rPr>
        <w:t xml:space="preserve">خط: نستعلیق، بی کا، تا: اوایل سده 13ق؛ مصحح، محشی،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71" w:name="pg20365_260093"/>
    <w:bookmarkEnd w:id="71"/>
    <w:p>
      <w:pPr>
        <w:pStyle w:val="BookText"/>
      </w:pPr>
      <w:r>
        <w:rPr>
          <w:rFonts w:ascii="IRNazanin" w:hAnsi="IRNazanin" w:eastAsia="IRNazanin" w:cs="IRNazanin"/>
          <w:lang w:bidi="fa-IR"/>
          <w:color w:val="111111"/>
          <w:sz w:val="28"/>
          <w:szCs w:val="28"/>
          <w:rtl/>
        </w:rPr>
        <w:t xml:space="preserve">مجدول، مذهب، دارای سرلوح مرصع؛ کاغذ: فرنگی، جلد: مشمعی مشکی، عطف تیماج مشکی، 98گ (7-104) ، 17 سطر (13</w:t>
      </w:r>
      <w:r>
        <w:rPr>
          <w:rFonts w:ascii="Times New Roman" w:hAnsi="Times New Roman" w:eastAsia="Times New Roman" w:cs="Times New Roman"/>
          <w:lang w:val="en-US" w:bidi="en-US"/>
          <w:color w:val="111111"/>
          <w:sz w:val="28"/>
          <w:szCs w:val="28"/>
          <w:rtl/>
        </w:rPr>
        <w:t xml:space="preserve">×24) </w:t>
      </w:r>
      <w:r>
        <w:rPr>
          <w:rFonts w:ascii="IRNazanin" w:hAnsi="IRNazanin" w:eastAsia="IRNazanin" w:cs="IRNazanin"/>
          <w:lang w:bidi="fa-IR"/>
          <w:color w:val="111111"/>
          <w:sz w:val="28"/>
          <w:szCs w:val="28"/>
          <w:rtl/>
        </w:rPr>
        <w:t xml:space="preserve">اندازه: 18/5</w:t>
      </w:r>
      <w:r>
        <w:rPr>
          <w:rFonts w:ascii="Times New Roman" w:hAnsi="Times New Roman" w:eastAsia="Times New Roman" w:cs="Times New Roman"/>
          <w:lang w:val="en-US" w:bidi="en-US"/>
          <w:color w:val="111111"/>
          <w:sz w:val="28"/>
          <w:szCs w:val="28"/>
          <w:rtl/>
        </w:rPr>
        <w:t xml:space="preserve">×29</w:t>
      </w:r>
      <w:r>
        <w:rPr>
          <w:rFonts w:ascii="IRNazanin" w:hAnsi="IRNazanin" w:eastAsia="IRNazanin" w:cs="IRNazanin"/>
          <w:lang w:bidi="fa-IR"/>
          <w:color w:val="111111"/>
          <w:sz w:val="28"/>
          <w:szCs w:val="28"/>
          <w:rtl/>
        </w:rPr>
        <w:t xml:space="preserve">سم [ف: 34 - 618]</w:t>
      </w:r>
    </w:p>
    <w:p>
      <w:pPr>
        <w:pStyle w:val="Heading3"/>
      </w:pPr>
      <w:bookmarkStart w:id="686" w:name="_Toc208"/>
      <w:r>
        <w:t>ارمغان / فارسی</w:t>
      </w:r>
      <w:bookmarkEnd w:id="686"/>
    </w:p>
    <w:p>
      <w:pPr>
        <w:pStyle w:val="BookText"/>
      </w:pPr>
      <w:r>
        <w:rPr>
          <w:rFonts w:ascii="Times New Roman" w:hAnsi="Times New Roman" w:eastAsia="Times New Roman" w:cs="Times New Roman"/>
          <w:lang w:val="en-US" w:bidi="en-US"/>
          <w:color w:val="111111"/>
          <w:sz w:val="28"/>
          <w:szCs w:val="28"/>
          <w:rtl/>
        </w:rPr>
        <w:t xml:space="preserve">Armaqān</w:t>
      </w:r>
    </w:p>
    <w:p>
      <w:pPr>
        <w:pStyle w:val="BookText"/>
      </w:pPr>
      <w:r>
        <w:rPr>
          <w:rFonts w:ascii="IRNazanin" w:hAnsi="IRNazanin" w:eastAsia="IRNazanin" w:cs="IRNazanin"/>
          <w:lang w:bidi="fa-IR"/>
          <w:color w:val="111111"/>
          <w:sz w:val="28"/>
          <w:szCs w:val="28"/>
          <w:rtl/>
        </w:rPr>
        <w:t xml:space="preserve">تهران؛ ملی؛ شماره نسخه: 26856</w:t>
      </w:r>
    </w:p>
    <w:p>
      <w:pPr>
        <w:pStyle w:val="BookText"/>
      </w:pPr>
      <w:r>
        <w:rPr>
          <w:rFonts w:ascii="IRNazanin" w:hAnsi="IRNazanin" w:eastAsia="IRNazanin" w:cs="IRNazanin"/>
          <w:lang w:bidi="fa-IR"/>
          <w:color w:val="111111"/>
          <w:sz w:val="28"/>
          <w:szCs w:val="28"/>
          <w:rtl/>
        </w:rPr>
        <w:t xml:space="preserve">بی کا، تا: 1338ش؛ خریداری از جواد مخصوص [رایانه ]</w:t>
      </w:r>
    </w:p>
    <w:p>
      <w:pPr>
        <w:pStyle w:val="Heading3"/>
      </w:pPr>
      <w:bookmarkStart w:id="687" w:name="_Toc209"/>
      <w:r>
        <w:t>ارمغان الباكين فى مناقب آل یاسین / مقتل تاریخ / معصومین / فارسی</w:t>
      </w:r>
      <w:bookmarkEnd w:id="687"/>
    </w:p>
    <w:p>
      <w:pPr>
        <w:pStyle w:val="BookText"/>
      </w:pPr>
      <w:r>
        <w:rPr>
          <w:rFonts w:ascii="Times New Roman" w:hAnsi="Times New Roman" w:eastAsia="Times New Roman" w:cs="Times New Roman"/>
          <w:lang w:val="en-US" w:bidi="en-US"/>
          <w:color w:val="111111"/>
          <w:sz w:val="28"/>
          <w:szCs w:val="28"/>
          <w:rtl/>
        </w:rPr>
        <w:t xml:space="preserve">armaqān-ol-bākīn fī manāqeb-e āl-e yāsīn</w:t>
      </w:r>
    </w:p>
    <w:p>
      <w:pPr>
        <w:pStyle w:val="BookText"/>
      </w:pPr>
      <w:r>
        <w:rPr>
          <w:rFonts w:ascii="IRNazanin" w:hAnsi="IRNazanin" w:eastAsia="IRNazanin" w:cs="IRNazanin"/>
          <w:lang w:bidi="fa-IR"/>
          <w:color w:val="111111"/>
          <w:sz w:val="28"/>
          <w:szCs w:val="28"/>
          <w:rtl/>
        </w:rPr>
        <w:t xml:space="preserve">معین امینی سنقری</w:t>
      </w:r>
    </w:p>
    <w:p>
      <w:pPr>
        <w:pStyle w:val="BookText"/>
      </w:pPr>
      <w:r>
        <w:rPr>
          <w:rFonts w:ascii="Times New Roman" w:hAnsi="Times New Roman" w:eastAsia="Times New Roman" w:cs="Times New Roman"/>
          <w:lang w:val="en-US" w:bidi="en-US"/>
          <w:color w:val="111111"/>
          <w:sz w:val="28"/>
          <w:szCs w:val="28"/>
          <w:rtl/>
        </w:rPr>
        <w:t xml:space="preserve">o'in amīnī sonqorī</w:t>
      </w:r>
    </w:p>
    <w:p>
      <w:pPr>
        <w:pStyle w:val="BookText"/>
      </w:pPr>
      <w:r>
        <w:rPr>
          <w:rFonts w:ascii="IRNazanin" w:hAnsi="IRNazanin" w:eastAsia="IRNazanin" w:cs="IRNazanin"/>
          <w:lang w:bidi="fa-IR"/>
          <w:color w:val="111111"/>
          <w:sz w:val="28"/>
          <w:szCs w:val="28"/>
          <w:rtl/>
        </w:rPr>
        <w:t xml:space="preserve">تهران؛ مجلس؛ شماره نسخه: 18088</w:t>
      </w:r>
    </w:p>
    <w:p>
      <w:pPr>
        <w:pStyle w:val="BookText"/>
      </w:pPr>
      <w:r>
        <w:rPr>
          <w:rFonts w:ascii="IRNazanin" w:hAnsi="IRNazanin" w:eastAsia="IRNazanin" w:cs="IRNazanin"/>
          <w:lang w:bidi="fa-IR"/>
          <w:color w:val="111111"/>
          <w:sz w:val="28"/>
          <w:szCs w:val="28"/>
          <w:rtl/>
        </w:rPr>
        <w:t xml:space="preserve">بی کا، بی تا [د.ث]</w:t>
      </w:r>
    </w:p>
    <w:p>
      <w:pPr>
        <w:pStyle w:val="Heading3"/>
      </w:pPr>
      <w:bookmarkStart w:id="688" w:name="_Toc210"/>
      <w:r>
        <w:t>ارمغان مظفری / ادبیات / فارسی</w:t>
      </w:r>
      <w:bookmarkEnd w:id="688"/>
    </w:p>
    <w:p>
      <w:pPr>
        <w:pStyle w:val="BookText"/>
      </w:pPr>
      <w:r>
        <w:rPr>
          <w:rFonts w:ascii="Times New Roman" w:hAnsi="Times New Roman" w:eastAsia="Times New Roman" w:cs="Times New Roman"/>
          <w:lang w:val="en-US" w:bidi="en-US"/>
          <w:color w:val="111111"/>
          <w:sz w:val="28"/>
          <w:szCs w:val="28"/>
          <w:rtl/>
        </w:rPr>
        <w:t xml:space="preserve">armaqān-e mozaffarī</w:t>
      </w:r>
    </w:p>
    <w:p>
      <w:pPr>
        <w:pStyle w:val="BookText"/>
      </w:pPr>
      <w:r>
        <w:rPr>
          <w:rFonts w:ascii="IRNazanin" w:hAnsi="IRNazanin" w:eastAsia="IRNazanin" w:cs="IRNazanin"/>
          <w:lang w:bidi="fa-IR"/>
          <w:color w:val="111111"/>
          <w:sz w:val="28"/>
          <w:szCs w:val="28"/>
          <w:rtl/>
        </w:rPr>
        <w:t xml:space="preserve">ملك المورخين، عبد الحسين بن هداية الله، 1290 - 1352 قمری</w:t>
      </w:r>
    </w:p>
    <w:p>
      <w:pPr>
        <w:pStyle w:val="BookText"/>
      </w:pPr>
      <w:r>
        <w:rPr>
          <w:rFonts w:ascii="Times New Roman" w:hAnsi="Times New Roman" w:eastAsia="Times New Roman" w:cs="Times New Roman"/>
          <w:lang w:val="en-US" w:bidi="en-US"/>
          <w:color w:val="111111"/>
          <w:sz w:val="28"/>
          <w:szCs w:val="28"/>
          <w:rtl/>
        </w:rPr>
        <w:t xml:space="preserve">malek-ol-movarrexīn, ‘abd-ol-hoseyn ebn-e hedāyatol</w:t>
      </w:r>
    </w:p>
    <w:p>
      <w:pPr>
        <w:pStyle w:val="BookText"/>
      </w:pPr>
      <w:r>
        <w:rPr>
          <w:rFonts w:ascii="Times New Roman" w:hAnsi="Times New Roman" w:eastAsia="Times New Roman" w:cs="Times New Roman"/>
          <w:lang w:val="en-US" w:bidi="en-US"/>
          <w:color w:val="111111"/>
          <w:sz w:val="28"/>
          <w:szCs w:val="28"/>
          <w:rtl/>
        </w:rPr>
        <w:t xml:space="preserve">(lāh (1873 - 1934)</w:t>
      </w:r>
    </w:p>
    <w:p>
      <w:pPr>
        <w:pStyle w:val="BookText"/>
      </w:pPr>
      <w:r>
        <w:rPr>
          <w:rFonts w:ascii="IRNazanin" w:hAnsi="IRNazanin" w:eastAsia="IRNazanin" w:cs="IRNazanin"/>
          <w:lang w:bidi="fa-IR"/>
          <w:color w:val="111111"/>
          <w:sz w:val="28"/>
          <w:szCs w:val="28"/>
          <w:rtl/>
        </w:rPr>
        <w:t xml:space="preserve">اهدا به: مظفرالدین شاه قاجار</w:t>
      </w:r>
    </w:p>
    <w:p>
      <w:pPr>
        <w:pStyle w:val="BookText"/>
      </w:pPr>
      <w:r>
        <w:rPr>
          <w:rFonts w:ascii="IRNazanin" w:hAnsi="IRNazanin" w:eastAsia="IRNazanin" w:cs="IRNazanin"/>
          <w:lang w:bidi="fa-IR"/>
          <w:color w:val="111111"/>
          <w:sz w:val="28"/>
          <w:szCs w:val="28"/>
          <w:rtl/>
        </w:rPr>
        <w:t xml:space="preserve">مشتمل بر 157 داستان و امثله ظریفه و داستانهای لطیفه مضحکه از کلام حکما و سخنان پرمغز و دلکش رندان دانشمند که مؤلف جمع آوری و تنظیم نموده و به نام «ارمغان مظفر» تقدیم مظفرالدین شاه قاجار کرده است .</w:t>
      </w:r>
    </w:p>
    <w:p>
      <w:pPr>
        <w:pStyle w:val="BookText"/>
      </w:pPr>
      <w:r>
        <w:rPr>
          <w:rFonts w:ascii="IRNazanin" w:hAnsi="IRNazanin" w:eastAsia="IRNazanin" w:cs="IRNazanin"/>
          <w:lang w:bidi="fa-IR"/>
          <w:color w:val="111111"/>
          <w:sz w:val="28"/>
          <w:szCs w:val="28"/>
          <w:rtl/>
        </w:rPr>
        <w:t xml:space="preserve">آغاز: دیباچه ارمغان مظفرى بسم الله الرحمن الرحيم. بعد حمد خدای تعالی. بنده گنه کار عبد الحسين لسان السلطنة ملك المورخين پس از آنکه در اغلبی از فنون و تواریخ شجون گنجینه ها ساختم و نامه ها پرداختم... از هر خرمن خوشه و از هر انبان توشه بر گفتم و بنام نامی و اسم گرامی شهریار ایران مظفرالدین شاه قاجار به ارمغان مظفری مسمی ساختم</w:t>
      </w:r>
    </w:p>
    <w:p>
      <w:pPr>
        <w:pStyle w:val="BookText"/>
      </w:pPr>
      <w:r>
        <w:rPr>
          <w:rFonts w:ascii="IRNazanin" w:hAnsi="IRNazanin" w:eastAsia="IRNazanin" w:cs="IRNazanin"/>
          <w:lang w:bidi="fa-IR"/>
          <w:color w:val="111111"/>
          <w:sz w:val="28"/>
          <w:szCs w:val="28"/>
          <w:rtl/>
        </w:rPr>
        <w:t xml:space="preserve">انجام: شکایت از روزگار مرحوم جدم میرزا تقی سپهر الملک و پدرم و مرحوم میرزا هدایت الله لسان الملك ملک المورخین با آنهمه تصنیف و تألیف که در راه ملت  و دولت مرتب نمودند و عمر خود را باینکار مصروف داشتند و از تحصیل امر معاش باز ماندند و فقط بجزئی مقرری دولت قناعت کردند پس از آنکه ملک المورخین بدرود زندگی گفت شغل تاریخ نویسی باین بنده رجوع شد و هفت نفر اولاد از آن مرحوم</w:t>
      </w:r>
    </w:p>
    <w:p>
      <w:pPr>
        <w:pStyle w:val="BookText"/>
      </w:pPr>
      <w:r>
        <w:rPr>
          <w:rFonts w:ascii="IRNazanin" w:hAnsi="IRNazanin" w:eastAsia="IRNazanin" w:cs="IRNazanin"/>
          <w:lang w:bidi="fa-IR"/>
          <w:color w:val="111111"/>
          <w:sz w:val="28"/>
          <w:szCs w:val="28"/>
          <w:rtl/>
        </w:rPr>
        <w:t xml:space="preserve">بجای ماند در عوض آنهمه خدمات که از جد و پدر و خود این بنده که در معرض شهود رسیده دو قسمت از مواجب آن مرحوم را ضبط کرد بیش از قیمت نان خورشی ببازماندگانش نداد هان ای خفتگان وادی خواموشان برخیزید و نظری بحالت این بازماندگان نمائید که در تپه حیرت فرومانده و لگدکوب ناکسان شده خود کجائی تا به بینی این شریف ایسام ما علم پامال هنر در نکبت و بال نه از آن خبری و نه از این اثری هر چند که پادشاه ذى جاه و خسرو فلک خرکاه قصد ترویج بازار هنر و دانش خواهد لكن موانع آسمانی راه بمقصود ندهد.</w:t>
      </w:r>
    </w:p>
    <w:p>
      <w:pPr>
        <w:pStyle w:val="BookText"/>
      </w:pPr>
      <w:r>
        <w:rPr>
          <w:rFonts w:ascii="IRNazanin" w:hAnsi="IRNazanin" w:eastAsia="IRNazanin" w:cs="IRNazanin"/>
          <w:lang w:bidi="fa-IR"/>
          <w:color w:val="111111"/>
          <w:sz w:val="28"/>
          <w:szCs w:val="28"/>
          <w:rtl/>
        </w:rPr>
        <w:t xml:space="preserve">[فهرستواره منزوی (317/6]</w:t>
      </w:r>
    </w:p>
    <w:p>
      <w:pPr>
        <w:pStyle w:val="BookText"/>
      </w:pPr>
      <w:r>
        <w:rPr>
          <w:rFonts w:ascii="IRNazanin" w:hAnsi="IRNazanin" w:eastAsia="IRNazanin" w:cs="IRNazanin"/>
          <w:lang w:bidi="fa-IR"/>
          <w:color w:val="111111"/>
          <w:sz w:val="28"/>
          <w:szCs w:val="28"/>
          <w:rtl/>
        </w:rPr>
        <w:t xml:space="preserve">تهران؛ سلطنتی؛ شماره نسخه: 297</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محمد علی حسینی تفریشی نایب کالسکه خانه مبارکه ،همایونی، تا: 1323ق؛ مهر: کتابخانه دولت علیه ایران :1329 ؛کاغذ: فرنگی بخور رنگ آهار مهره، جلد: مقوای روکش مخمل بنفش اندرون کاغذ ابری فیلی رنگ گلدار، 540ص، 19 سطر ، قطع: رحلی اندازه: 22/5</w:t>
      </w:r>
      <w:r>
        <w:rPr>
          <w:rFonts w:ascii="Times New Roman" w:hAnsi="Times New Roman" w:eastAsia="Times New Roman" w:cs="Times New Roman"/>
          <w:lang w:val="en-US" w:bidi="en-US"/>
          <w:color w:val="111111"/>
          <w:sz w:val="28"/>
          <w:szCs w:val="28"/>
          <w:rtl/>
        </w:rPr>
        <w:t xml:space="preserve">×34/5</w:t>
      </w:r>
      <w:r>
        <w:rPr>
          <w:rFonts w:ascii="IRNazanin" w:hAnsi="IRNazanin" w:eastAsia="IRNazanin" w:cs="IRNazanin"/>
          <w:lang w:bidi="fa-IR"/>
          <w:color w:val="111111"/>
          <w:sz w:val="28"/>
          <w:szCs w:val="28"/>
          <w:rtl/>
        </w:rPr>
        <w:t xml:space="preserve">سم [ف: 7 - 29]</w:t>
      </w:r>
    </w:p>
    <w:p>
      <w:pPr>
        <w:pStyle w:val="Heading3"/>
      </w:pPr>
      <w:bookmarkStart w:id="689" w:name="_Toc211"/>
      <w:r>
        <w:t>ارمغان ندیم / شعر / فارسی</w:t>
      </w:r>
      <w:bookmarkEnd w:id="689"/>
    </w:p>
    <w:p>
      <w:pPr>
        <w:pStyle w:val="BookText"/>
      </w:pPr>
      <w:r>
        <w:rPr>
          <w:rFonts w:ascii="Times New Roman" w:hAnsi="Times New Roman" w:eastAsia="Times New Roman" w:cs="Times New Roman"/>
          <w:lang w:val="en-US" w:bidi="en-US"/>
          <w:color w:val="111111"/>
          <w:sz w:val="28"/>
          <w:szCs w:val="28"/>
          <w:rtl/>
        </w:rPr>
        <w:t xml:space="preserve">armaqan-e nadim</w:t>
      </w:r>
    </w:p>
    <w:p>
      <w:pPr>
        <w:pStyle w:val="BookText"/>
      </w:pPr>
      <w:r>
        <w:rPr>
          <w:rFonts w:ascii="IRNazanin" w:hAnsi="IRNazanin" w:eastAsia="IRNazanin" w:cs="IRNazanin"/>
          <w:lang w:bidi="fa-IR"/>
          <w:color w:val="111111"/>
          <w:sz w:val="28"/>
          <w:szCs w:val="28"/>
          <w:rtl/>
        </w:rPr>
        <w:t xml:space="preserve">فخر الادباء اصفهانی، حیدر علی بن محمد مهدی، ق 14 قمری</w:t>
      </w:r>
    </w:p>
    <w:p>
      <w:pPr>
        <w:pStyle w:val="BookText"/>
      </w:pPr>
      <w:r>
        <w:rPr>
          <w:rFonts w:ascii="Times New Roman" w:hAnsi="Times New Roman" w:eastAsia="Times New Roman" w:cs="Times New Roman"/>
          <w:lang w:val="en-US" w:bidi="en-US"/>
          <w:color w:val="111111"/>
          <w:sz w:val="28"/>
          <w:szCs w:val="28"/>
          <w:rtl/>
        </w:rPr>
        <w:t xml:space="preserve">faxr-ol-odabā' esfahānī, heydar 'alī ebn-e mohammad</w:t>
      </w:r>
    </w:p>
    <w:p>
      <w:pPr>
        <w:pStyle w:val="BookText"/>
      </w:pPr>
      <w:r>
        <w:rPr>
          <w:rFonts w:ascii="Times New Roman" w:hAnsi="Times New Roman" w:eastAsia="Times New Roman" w:cs="Times New Roman"/>
          <w:lang w:val="en-US" w:bidi="en-US"/>
          <w:color w:val="111111"/>
          <w:sz w:val="28"/>
          <w:szCs w:val="28"/>
          <w:rtl/>
        </w:rPr>
        <w:t xml:space="preserve">(mahdī ( - 20c)</w:t>
      </w:r>
    </w:p>
    <w:p>
      <w:pPr>
        <w:pStyle w:val="BookText"/>
      </w:pPr>
      <w:r>
        <w:rPr>
          <w:rFonts w:ascii="IRNazanin" w:hAnsi="IRNazanin" w:eastAsia="IRNazanin" w:cs="IRNazanin"/>
          <w:lang w:bidi="fa-IR"/>
          <w:color w:val="111111"/>
          <w:sz w:val="28"/>
          <w:szCs w:val="28"/>
          <w:rtl/>
        </w:rPr>
        <w:t xml:space="preserve">اهداء به: ناصرالدین شاه قاجار</w:t>
      </w:r>
    </w:p>
    <w:p>
      <w:pPr>
        <w:pStyle w:val="BookText"/>
      </w:pPr>
      <w:r>
        <w:rPr>
          <w:rFonts w:ascii="IRNazanin" w:hAnsi="IRNazanin" w:eastAsia="IRNazanin" w:cs="IRNazanin"/>
          <w:lang w:bidi="fa-IR"/>
          <w:color w:val="111111"/>
          <w:sz w:val="28"/>
          <w:szCs w:val="28"/>
          <w:rtl/>
        </w:rPr>
        <w:t xml:space="preserve">تاریخ تأليف: 1338ق، محل تالیف: تهران</w:t>
      </w:r>
    </w:p>
    <w:p>
      <w:pPr>
        <w:pStyle w:val="BookText"/>
      </w:pPr>
      <w:r>
        <w:rPr>
          <w:rFonts w:ascii="IRNazanin" w:hAnsi="IRNazanin" w:eastAsia="IRNazanin" w:cs="IRNazanin"/>
          <w:lang w:bidi="fa-IR"/>
          <w:color w:val="111111"/>
          <w:sz w:val="28"/>
          <w:szCs w:val="28"/>
          <w:rtl/>
        </w:rPr>
        <w:t xml:space="preserve">جنگ اشعار فارسی است که ندیم الملک اصفهانی آن را جمع آوری نموده و به خط خود نوشته و نام آن را ارمغان ندیم نهاده است و در پایان شرح حال خود را آورده است.</w:t>
      </w:r>
    </w:p>
    <w:p>
      <w:pPr>
        <w:pStyle w:val="BookText"/>
      </w:pPr>
      <w:r>
        <w:rPr>
          <w:rFonts w:ascii="IRNazanin" w:hAnsi="IRNazanin" w:eastAsia="IRNazanin" w:cs="IRNazanin"/>
          <w:lang w:bidi="fa-IR"/>
          <w:color w:val="111111"/>
          <w:sz w:val="28"/>
          <w:szCs w:val="28"/>
          <w:rtl/>
        </w:rPr>
        <w:t xml:space="preserve">قم؛ گلپایگانی؛ شماره نسخه: 7903-39/283</w:t>
      </w:r>
    </w:p>
    <w:p>
      <w:pPr>
        <w:pStyle w:val="BookText"/>
      </w:pPr>
      <w:r>
        <w:rPr>
          <w:rFonts w:ascii="IRNazanin" w:hAnsi="IRNazanin" w:eastAsia="IRNazanin" w:cs="IRNazanin"/>
          <w:lang w:bidi="fa-IR"/>
          <w:color w:val="111111"/>
          <w:sz w:val="28"/>
          <w:szCs w:val="28"/>
          <w:rtl/>
        </w:rPr>
        <w:t xml:space="preserve">آغاز: بسمله ارمغان ندیم، رباعی: آن خواجه که نور حق بود مایه او *** معراج بود پست ترین پایه او؛ انجام: برومند دارش درخت امید*** سرش سبز ورویش برحمت سفید</w:t>
      </w:r>
    </w:p>
    <w:p>
      <w:pPr>
        <w:pStyle w:val="BookText"/>
      </w:pPr>
      <w:r>
        <w:rPr>
          <w:rFonts w:ascii="IRNazanin" w:hAnsi="IRNazanin" w:eastAsia="IRNazanin" w:cs="IRNazanin"/>
          <w:lang w:bidi="fa-IR"/>
          <w:color w:val="111111"/>
          <w:sz w:val="28"/>
          <w:szCs w:val="28"/>
          <w:rtl/>
        </w:rPr>
        <w:t xml:space="preserve">خط: نستعليق، كاتب - مؤلف، تا: شوال 1338ق، جا: تهران؛ جلد: مقوا عطف و گوشه تیماج 47گ، 14 سطر ، اندازه: 9</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[ف: 1 - 318]</w:t>
      </w:r>
    </w:p>
    <w:p>
      <w:pPr>
        <w:pStyle w:val="Heading3"/>
      </w:pPr>
      <w:bookmarkStart w:id="690" w:name="_Toc212"/>
      <w:r>
        <w:t>ارمغان هندی / رمل / فارسی</w:t>
      </w:r>
      <w:bookmarkEnd w:id="690"/>
    </w:p>
    <w:p>
      <w:pPr>
        <w:pStyle w:val="BookText"/>
      </w:pPr>
      <w:r>
        <w:rPr>
          <w:rFonts w:ascii="Times New Roman" w:hAnsi="Times New Roman" w:eastAsia="Times New Roman" w:cs="Times New Roman"/>
          <w:lang w:val="en-US" w:bidi="en-US"/>
          <w:color w:val="111111"/>
          <w:sz w:val="28"/>
          <w:szCs w:val="28"/>
          <w:rtl/>
        </w:rPr>
        <w:t xml:space="preserve">armaqan-e hendi</w:t>
      </w:r>
    </w:p>
    <w:p>
      <w:pPr>
        <w:pStyle w:val="BookText"/>
      </w:pPr>
      <w:r>
        <w:rPr>
          <w:rFonts w:ascii="IRNazanin" w:hAnsi="IRNazanin" w:eastAsia="IRNazanin" w:cs="IRNazanin"/>
          <w:lang w:bidi="fa-IR"/>
          <w:color w:val="111111"/>
          <w:sz w:val="28"/>
          <w:szCs w:val="28"/>
          <w:rtl/>
        </w:rPr>
        <w:t xml:space="preserve">مستجاب الدعوه عابد حسین بن محمد علی ق13 قمری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72" w:name="pg20365_260094"/>
    <w:bookmarkEnd w:id="72"/>
    <w:p>
      <w:pPr>
        <w:pStyle w:val="BookText"/>
      </w:pPr>
      <w:r>
        <w:rPr>
          <w:rFonts w:ascii="Times New Roman" w:hAnsi="Times New Roman" w:eastAsia="Times New Roman" w:cs="Times New Roman"/>
          <w:lang w:val="en-US" w:bidi="en-US"/>
          <w:color w:val="111111"/>
          <w:sz w:val="28"/>
          <w:szCs w:val="28"/>
          <w:rtl/>
        </w:rPr>
        <w:t xml:space="preserve">mostajāb-od-da‘ve, ‘ābed hoseyn ebn-e mohammad</w:t>
      </w:r>
    </w:p>
    <w:p>
      <w:pPr>
        <w:pStyle w:val="BookText"/>
      </w:pPr>
      <w:r>
        <w:rPr>
          <w:rFonts w:ascii="Times New Roman" w:hAnsi="Times New Roman" w:eastAsia="Times New Roman" w:cs="Times New Roman"/>
          <w:lang w:val="en-US" w:bidi="en-US"/>
          <w:color w:val="111111"/>
          <w:sz w:val="28"/>
          <w:szCs w:val="28"/>
          <w:rtl/>
        </w:rPr>
        <w:t xml:space="preserve">‘(alī ( - 19c)</w:t>
      </w:r>
    </w:p>
    <w:p>
      <w:pPr>
        <w:pStyle w:val="BookText"/>
      </w:pPr>
      <w:r>
        <w:rPr>
          <w:rFonts w:ascii="IRNazanin" w:hAnsi="IRNazanin" w:eastAsia="IRNazanin" w:cs="IRNazanin"/>
          <w:lang w:bidi="fa-IR"/>
          <w:color w:val="111111"/>
          <w:sz w:val="28"/>
          <w:szCs w:val="28"/>
          <w:rtl/>
        </w:rPr>
        <w:t xml:space="preserve">آن را برای نواب نايب السلطنة امير كبير كامران میرزا در یک «مقدمه» در بیان آداب و اوقات سائل و شرایط رمال و هفت (باب) تألیف کرده است .1. رمل کشیدن و ضرب خطوط؛ 2.منسوبات اشکال شانزده گانه و قواعد کلیه آن؛ 3. قواعد آن؛ 4. ضمیر گفتن ؛ 5 خبر گفتن؛ 6. دفینه بیرون آورد .7. زايجه سایل و رمل کشیدن حکم کردن.</w:t>
      </w:r>
    </w:p>
    <w:p>
      <w:pPr>
        <w:pStyle w:val="BookText"/>
      </w:pPr>
      <w:r>
        <w:rPr>
          <w:rFonts w:ascii="IRNazanin" w:hAnsi="IRNazanin" w:eastAsia="IRNazanin" w:cs="IRNazanin"/>
          <w:lang w:bidi="fa-IR"/>
          <w:color w:val="111111"/>
          <w:sz w:val="28"/>
          <w:szCs w:val="28"/>
          <w:rtl/>
        </w:rPr>
        <w:t xml:space="preserve">آغاز: بسمله حمدله. .. چنین گوید ذره نابود سید عابد حسین شاه هندی مستجاب الدعوة .. این رساله است در علم رمل.</w:t>
      </w:r>
    </w:p>
    <w:p>
      <w:pPr>
        <w:pStyle w:val="BookText"/>
      </w:pPr>
      <w:r>
        <w:rPr>
          <w:rFonts w:ascii="IRNazanin" w:hAnsi="IRNazanin" w:eastAsia="IRNazanin" w:cs="IRNazanin"/>
          <w:lang w:bidi="fa-IR"/>
          <w:color w:val="111111"/>
          <w:sz w:val="28"/>
          <w:szCs w:val="28"/>
          <w:rtl/>
        </w:rPr>
        <w:t xml:space="preserve">تهران؛ دانشگاه؛ شماره نسخه: 9829</w:t>
      </w:r>
    </w:p>
    <w:p>
      <w:pPr>
        <w:pStyle w:val="BookText"/>
      </w:pPr>
      <w:r>
        <w:rPr>
          <w:rFonts w:ascii="IRNazanin" w:hAnsi="IRNazanin" w:eastAsia="IRNazanin" w:cs="IRNazanin"/>
          <w:lang w:bidi="fa-IR"/>
          <w:color w:val="111111"/>
          <w:sz w:val="28"/>
          <w:szCs w:val="28"/>
          <w:rtl/>
        </w:rPr>
        <w:t xml:space="preserve">آغاز: بسمله حمدله... چنین گوید ذره نابود سید عابد حسین . هندى مستجاب الدعوة .. این رساله است در علم رمل؛ انجام: این اشکال سعد و به اصلاح اند.</w:t>
      </w:r>
    </w:p>
    <w:p>
      <w:pPr>
        <w:pStyle w:val="BookText"/>
      </w:pPr>
      <w:r>
        <w:rPr>
          <w:rFonts w:ascii="IRNazanin" w:hAnsi="IRNazanin" w:eastAsia="IRNazanin" w:cs="IRNazanin"/>
          <w:lang w:bidi="fa-IR"/>
          <w:color w:val="111111"/>
          <w:sz w:val="28"/>
          <w:szCs w:val="28"/>
          <w:rtl/>
        </w:rPr>
        <w:t xml:space="preserve">خط: نسخ، کا: زین العابدین محلاتی، تا :2 محرم 1327ق، ،تهران ،مجدول با پیشانی ،زرین با عکس مؤلف در پایان؛ کاغذ:فرنگی ،جلد: مخملی ،مقوایی 83گ، 11 سطر (6</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 قطع: ،بغلی، اندازه: 10</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سم [ف: 17 - 491]</w:t>
      </w:r>
    </w:p>
    <w:p>
      <w:pPr>
        <w:pStyle w:val="Heading3"/>
      </w:pPr>
      <w:bookmarkStart w:id="691" w:name="_Toc213"/>
      <w:r>
        <w:t>ارمغانی طوس / گوناگون / فارسی</w:t>
      </w:r>
      <w:bookmarkEnd w:id="691"/>
    </w:p>
    <w:p>
      <w:pPr>
        <w:pStyle w:val="BookText"/>
      </w:pPr>
      <w:r>
        <w:rPr>
          <w:rFonts w:ascii="Times New Roman" w:hAnsi="Times New Roman" w:eastAsia="Times New Roman" w:cs="Times New Roman"/>
          <w:lang w:val="en-US" w:bidi="en-US"/>
          <w:color w:val="111111"/>
          <w:sz w:val="28"/>
          <w:szCs w:val="28"/>
          <w:rtl/>
        </w:rPr>
        <w:t xml:space="preserve">armaqānī-ye tūs</w:t>
      </w:r>
    </w:p>
    <w:p>
      <w:pPr>
        <w:pStyle w:val="BookText"/>
      </w:pPr>
      <w:r>
        <w:rPr>
          <w:rFonts w:ascii="IRNazanin" w:hAnsi="IRNazanin" w:eastAsia="IRNazanin" w:cs="IRNazanin"/>
          <w:lang w:bidi="fa-IR"/>
          <w:color w:val="111111"/>
          <w:sz w:val="28"/>
          <w:szCs w:val="28"/>
          <w:rtl/>
        </w:rPr>
        <w:t xml:space="preserve">حسینی ،علوی علی بن محمد علی ق 14 قمری</w:t>
      </w:r>
    </w:p>
    <w:p>
      <w:pPr>
        <w:pStyle w:val="BookText"/>
      </w:pPr>
      <w:r>
        <w:rPr>
          <w:rFonts w:ascii="Times New Roman" w:hAnsi="Times New Roman" w:eastAsia="Times New Roman" w:cs="Times New Roman"/>
          <w:lang w:val="en-US" w:bidi="en-US"/>
          <w:color w:val="111111"/>
          <w:sz w:val="28"/>
          <w:szCs w:val="28"/>
          <w:rtl/>
        </w:rPr>
        <w:t xml:space="preserve">(hoseynī ‘alavī, ‘alī ebn-e mohammad ‘alī ( - 20c)</w:t>
      </w:r>
    </w:p>
    <w:p>
      <w:pPr>
        <w:pStyle w:val="BookText"/>
      </w:pPr>
      <w:r>
        <w:rPr>
          <w:rFonts w:ascii="IRNazanin" w:hAnsi="IRNazanin" w:eastAsia="IRNazanin" w:cs="IRNazanin"/>
          <w:lang w:bidi="fa-IR"/>
          <w:color w:val="111111"/>
          <w:sz w:val="28"/>
          <w:szCs w:val="28"/>
          <w:rtl/>
        </w:rPr>
        <w:t xml:space="preserve">تاريخ تألیف: 23 رمضان 1377ق</w:t>
      </w:r>
    </w:p>
    <w:p>
      <w:pPr>
        <w:pStyle w:val="BookText"/>
      </w:pPr>
      <w:r>
        <w:rPr>
          <w:rFonts w:ascii="IRNazanin" w:hAnsi="IRNazanin" w:eastAsia="IRNazanin" w:cs="IRNazanin"/>
          <w:lang w:bidi="fa-IR"/>
          <w:color w:val="111111"/>
          <w:sz w:val="28"/>
          <w:szCs w:val="28"/>
          <w:rtl/>
        </w:rPr>
        <w:t xml:space="preserve">یادداشت های متفرقه ای است که مؤلف هنگام تشرف به مشهد مقدس به کتابخانه آستان قدس رضوی مراجعه کرده یادداشت های آن مطالعات را به این اسم نامیده است که از جمله منابع کتابش از «اثبات الرجعه» شیخ ولى سرابى، «دائرة المعارف» وجدى (جلد اول) دیوان اشعار وصال شیرازی، «زنبیل: فرهاد میرزا و «عدد السنت» واعظ سبزواری نام برده است.</w:t>
      </w:r>
    </w:p>
    <w:p>
      <w:pPr>
        <w:pStyle w:val="BookText"/>
      </w:pPr>
      <w:r>
        <w:rPr>
          <w:rFonts w:ascii="IRNazanin" w:hAnsi="IRNazanin" w:eastAsia="IRNazanin" w:cs="IRNazanin"/>
          <w:lang w:bidi="fa-IR"/>
          <w:color w:val="111111"/>
          <w:sz w:val="28"/>
          <w:szCs w:val="28"/>
          <w:rtl/>
        </w:rPr>
        <w:t xml:space="preserve">قم؛ مسجد اعظم؛ شماره نسخه: 378/2</w:t>
      </w:r>
    </w:p>
    <w:p>
      <w:pPr>
        <w:pStyle w:val="BookText"/>
      </w:pPr>
      <w:r>
        <w:rPr>
          <w:rFonts w:ascii="IRNazanin" w:hAnsi="IRNazanin" w:eastAsia="IRNazanin" w:cs="IRNazanin"/>
          <w:lang w:bidi="fa-IR"/>
          <w:color w:val="111111"/>
          <w:sz w:val="28"/>
          <w:szCs w:val="28"/>
          <w:rtl/>
        </w:rPr>
        <w:t xml:space="preserve">آغاز: بسمله. الحمد لله الذى عرفنا اولياءه المعصومين .. ازدیر زمان مشغول جمع متفرقات و نظم منشئات بوده و هستم و در سال سعادت اشتمال؛ انجام: و به نام علی علیه ختم شد رساله ارمغانی طوس و همین نام تاریخ مسافرت خراسان و هم تاریخ تألیف این رساله واقع شد (1377) و این از کرامات حضرت ثامن الائمه عليه السلام خواهد بود والا ابتداءً نگارنده در فکر این نکته  نبود.</w:t>
      </w:r>
    </w:p>
    <w:p>
      <w:pPr>
        <w:pStyle w:val="BookText"/>
      </w:pPr>
      <w:r>
        <w:rPr>
          <w:rFonts w:ascii="IRNazanin" w:hAnsi="IRNazanin" w:eastAsia="IRNazanin" w:cs="IRNazanin"/>
          <w:lang w:bidi="fa-IR"/>
          <w:color w:val="111111"/>
          <w:sz w:val="28"/>
          <w:szCs w:val="28"/>
          <w:rtl/>
        </w:rPr>
        <w:t xml:space="preserve">خط: نستعليق، كاتب - مؤلف، تا: چهارشنبه 27 ذیقعده 1381ق برابر با 12 اردیبهشت 1341ش؛ مهر: «علی الحسینی رفیعی على» (بيضى)؛ جلد: مقوا، عطف تیماج قهوه ای 12گ 20 سطر ، ، اندازه: 14/5</w:t>
      </w:r>
      <w:r>
        <w:rPr>
          <w:rFonts w:ascii="Times New Roman" w:hAnsi="Times New Roman" w:eastAsia="Times New Roman" w:cs="Times New Roman"/>
          <w:lang w:val="en-US" w:bidi="en-US"/>
          <w:color w:val="111111"/>
          <w:sz w:val="28"/>
          <w:szCs w:val="28"/>
          <w:rtl/>
        </w:rPr>
        <w:t xml:space="preserve">×24</w:t>
      </w:r>
      <w:r>
        <w:rPr>
          <w:rFonts w:ascii="IRNazanin" w:hAnsi="IRNazanin" w:eastAsia="IRNazanin" w:cs="IRNazanin"/>
          <w:lang w:bidi="fa-IR"/>
          <w:color w:val="111111"/>
          <w:sz w:val="28"/>
          <w:szCs w:val="28"/>
          <w:rtl/>
        </w:rPr>
        <w:t xml:space="preserve">سم [ف مخ: 1 - 134]</w:t>
      </w:r>
    </w:p>
    <w:p>
      <w:pPr>
        <w:pStyle w:val="BookText"/>
      </w:pPr>
      <w:r>
        <w:rPr>
          <w:rFonts w:ascii="IRNazanin" w:hAnsi="IRNazanin" w:eastAsia="IRNazanin" w:cs="IRNazanin"/>
          <w:lang w:bidi="fa-IR"/>
          <w:color w:val="111111"/>
          <w:sz w:val="28"/>
          <w:szCs w:val="28"/>
          <w:rtl/>
        </w:rPr>
        <w:t xml:space="preserve">«ارمنستان » گزارشات عمل ارمنستان ( مجموعه )</w:t>
      </w:r>
    </w:p>
    <w:p>
      <w:pPr>
        <w:pStyle w:val="Heading3"/>
      </w:pPr>
      <w:bookmarkStart w:id="692" w:name="_Toc214"/>
      <w:r>
        <w:t>ارواح / متفرقه / فارسی</w:t>
      </w:r>
      <w:bookmarkEnd w:id="692"/>
    </w:p>
    <w:p>
      <w:pPr>
        <w:pStyle w:val="BookText"/>
      </w:pPr>
      <w:r>
        <w:rPr>
          <w:rFonts w:ascii="Times New Roman" w:hAnsi="Times New Roman" w:eastAsia="Times New Roman" w:cs="Times New Roman"/>
          <w:lang w:val="en-US" w:bidi="en-US"/>
          <w:color w:val="111111"/>
          <w:sz w:val="28"/>
          <w:szCs w:val="28"/>
          <w:rtl/>
        </w:rPr>
        <w:t xml:space="preserve">arvāh</w:t>
      </w:r>
    </w:p>
    <w:p>
      <w:pPr>
        <w:pStyle w:val="BookText"/>
      </w:pPr>
      <w:r>
        <w:rPr>
          <w:rFonts w:ascii="Amiri" w:hAnsi="Amiri" w:eastAsia="Amiri" w:cs="Amiri"/>
          <w:lang w:bidi="ar-SA"/>
          <w:color w:val="111111"/>
          <w:sz w:val="28"/>
          <w:szCs w:val="28"/>
          <w:rtl/>
        </w:rPr>
        <w:t xml:space="preserve">ملكم، 1249 – 1326 قمرى</w:t>
      </w:r>
    </w:p>
    <w:p>
      <w:pPr>
        <w:pStyle w:val="BookText"/>
      </w:pPr>
      <w:r>
        <w:rPr>
          <w:rFonts w:ascii="Times New Roman" w:hAnsi="Times New Roman" w:eastAsia="Times New Roman" w:cs="Times New Roman"/>
          <w:lang w:val="en-US" w:bidi="en-US"/>
          <w:color w:val="111111"/>
          <w:sz w:val="28"/>
          <w:szCs w:val="28"/>
          <w:rtl/>
        </w:rPr>
        <w:t xml:space="preserve">(malkam (1834 - 1908)</w:t>
      </w:r>
    </w:p>
    <w:p>
      <w:pPr>
        <w:pStyle w:val="BookText"/>
      </w:pPr>
      <w:r>
        <w:rPr>
          <w:rFonts w:ascii="IRNazanin" w:hAnsi="IRNazanin" w:eastAsia="IRNazanin" w:cs="IRNazanin"/>
          <w:lang w:bidi="fa-IR"/>
          <w:color w:val="111111"/>
          <w:sz w:val="28"/>
          <w:szCs w:val="28"/>
          <w:rtl/>
        </w:rPr>
        <w:t xml:space="preserve">تبریز؛ ملی؛ شماره نسخه: 3563/4</w:t>
      </w:r>
    </w:p>
    <w:p>
      <w:pPr>
        <w:pStyle w:val="BookText"/>
      </w:pPr>
      <w:r>
        <w:rPr>
          <w:rFonts w:ascii="IRNazanin" w:hAnsi="IRNazanin" w:eastAsia="IRNazanin" w:cs="IRNazanin"/>
          <w:lang w:bidi="fa-IR"/>
          <w:color w:val="111111"/>
          <w:sz w:val="28"/>
          <w:szCs w:val="28"/>
          <w:rtl/>
        </w:rPr>
        <w:t xml:space="preserve">آغاز: بسمله. در تاریخ هزار و هشتصد و پنجاه مسیحی افکار و انظار مردم متوجه اتازونی آمریکا بواسطه بعضی اخبار و حوادثی که از آن ملک منتشر و حادث میشد و بسمع اهل اروپا میر سید گردید</w:t>
      </w:r>
    </w:p>
    <w:p>
      <w:pPr>
        <w:pStyle w:val="BookText"/>
      </w:pPr>
      <w:r>
        <w:rPr>
          <w:rFonts w:ascii="IRNazanin" w:hAnsi="IRNazanin" w:eastAsia="IRNazanin" w:cs="IRNazanin"/>
          <w:lang w:bidi="fa-IR"/>
          <w:color w:val="111111"/>
          <w:sz w:val="28"/>
          <w:szCs w:val="28"/>
          <w:rtl/>
        </w:rPr>
        <w:t xml:space="preserve">خط: نستعلیق شکسته، بی کا، بی تا ؛کاغذ: فرنگی سفید و سبز، جلد: مقوا، 19گ [ف: 3 - 1233]</w:t>
      </w:r>
    </w:p>
    <w:p>
      <w:pPr>
        <w:pStyle w:val="Heading3"/>
      </w:pPr>
      <w:bookmarkStart w:id="693" w:name="_Toc215"/>
      <w:r>
        <w:t>الارواح / شعر / فارسی</w:t>
      </w:r>
      <w:bookmarkEnd w:id="693"/>
    </w:p>
    <w:p>
      <w:pPr>
        <w:pStyle w:val="BookText"/>
      </w:pPr>
      <w:r>
        <w:rPr>
          <w:rFonts w:ascii="Times New Roman" w:hAnsi="Times New Roman" w:eastAsia="Times New Roman" w:cs="Times New Roman"/>
          <w:lang w:val="en-US" w:bidi="en-US"/>
          <w:color w:val="111111"/>
          <w:sz w:val="28"/>
          <w:szCs w:val="28"/>
          <w:rtl/>
        </w:rPr>
        <w:t xml:space="preserve">al-arvāh</w:t>
      </w:r>
    </w:p>
    <w:p>
      <w:pPr>
        <w:pStyle w:val="BookText"/>
      </w:pPr>
      <w:r>
        <w:rPr>
          <w:rFonts w:ascii="IRNazanin" w:hAnsi="IRNazanin" w:eastAsia="IRNazanin" w:cs="IRNazanin"/>
          <w:lang w:bidi="fa-IR"/>
          <w:color w:val="111111"/>
          <w:sz w:val="28"/>
          <w:szCs w:val="28"/>
          <w:rtl/>
        </w:rPr>
        <w:t xml:space="preserve">سپهر کاشانی، عباسقلی بن محمد تقی، 1268 - 1342قمری</w:t>
      </w:r>
    </w:p>
    <w:p>
      <w:pPr>
        <w:pStyle w:val="BookText"/>
      </w:pPr>
      <w:r>
        <w:rPr>
          <w:rFonts w:ascii="Times New Roman" w:hAnsi="Times New Roman" w:eastAsia="Times New Roman" w:cs="Times New Roman"/>
          <w:lang w:val="en-US" w:bidi="en-US"/>
          <w:color w:val="111111"/>
          <w:sz w:val="28"/>
          <w:szCs w:val="28"/>
          <w:rtl/>
        </w:rPr>
        <w:t xml:space="preserve">(sepehr-e kāšānī, 'abbās-qolī ebn-e mohammad taqi (1852-1924)</w:t>
      </w:r>
    </w:p>
    <w:p>
      <w:pPr>
        <w:pStyle w:val="BookText"/>
      </w:pPr>
      <w:r>
        <w:rPr>
          <w:rFonts w:ascii="IRNazanin" w:hAnsi="IRNazanin" w:eastAsia="IRNazanin" w:cs="IRNazanin"/>
          <w:lang w:bidi="fa-IR"/>
          <w:color w:val="111111"/>
          <w:sz w:val="28"/>
          <w:szCs w:val="28"/>
          <w:rtl/>
        </w:rPr>
        <w:t xml:space="preserve">تاریخ تأليف: 1238ق</w:t>
      </w:r>
    </w:p>
    <w:p>
      <w:pPr>
        <w:pStyle w:val="BookText"/>
      </w:pPr>
      <w:r>
        <w:rPr>
          <w:rFonts w:ascii="IRNazanin" w:hAnsi="IRNazanin" w:eastAsia="IRNazanin" w:cs="IRNazanin"/>
          <w:lang w:bidi="fa-IR"/>
          <w:color w:val="111111"/>
          <w:sz w:val="28"/>
          <w:szCs w:val="28"/>
          <w:rtl/>
        </w:rPr>
        <w:t xml:space="preserve">مثنوی حدود (نه هزار بیت )پیرامون روح و مراتب آن و ارواح انبیاء و اولیاء و برتری آنان از دیگران، با داستان هائی عرفانی. :</w:t>
      </w:r>
    </w:p>
    <w:p>
      <w:pPr>
        <w:pStyle w:val="BookText"/>
      </w:pPr>
      <w:r>
        <w:rPr>
          <w:rFonts w:ascii="IRNazanin" w:hAnsi="IRNazanin" w:eastAsia="IRNazanin" w:cs="IRNazanin"/>
          <w:lang w:bidi="fa-IR"/>
          <w:color w:val="111111"/>
          <w:sz w:val="28"/>
          <w:szCs w:val="28"/>
          <w:rtl/>
        </w:rPr>
        <w:t xml:space="preserve">آغاز: این رساله گر پر از پیچ و خم است *** از توالیف مشیر افخم است / وین مشیر افخم سپهرثانی است *** بر سماء شوق مهر ثانی است</w:t>
      </w:r>
    </w:p>
    <w:p>
      <w:pPr>
        <w:pStyle w:val="BookText"/>
      </w:pPr>
      <w:r>
        <w:rPr>
          <w:rFonts w:ascii="IRNazanin" w:hAnsi="IRNazanin" w:eastAsia="IRNazanin" w:cs="IRNazanin"/>
          <w:lang w:bidi="fa-IR"/>
          <w:color w:val="111111"/>
          <w:sz w:val="28"/>
          <w:szCs w:val="28"/>
          <w:rtl/>
        </w:rPr>
        <w:t xml:space="preserve">انجام: این رساله از سپهرثانی است*** غافرش آمرزش سبحانی است / ای خداوند غفور لایزال*** در گذر از لغزشم اندر مقال</w:t>
      </w:r>
    </w:p>
    <w:p>
      <w:pPr>
        <w:pStyle w:val="BookText"/>
      </w:pPr>
      <w:r>
        <w:rPr>
          <w:rFonts w:ascii="IRNazanin" w:hAnsi="IRNazanin" w:eastAsia="IRNazanin" w:cs="IRNazanin"/>
          <w:lang w:bidi="fa-IR"/>
          <w:color w:val="111111"/>
          <w:sz w:val="28"/>
          <w:szCs w:val="28"/>
          <w:rtl/>
        </w:rPr>
        <w:t xml:space="preserve">[فهرستواره منزوی 134/10]</w:t>
      </w:r>
    </w:p>
    <w:p>
      <w:pPr>
        <w:pStyle w:val="BookText"/>
      </w:pPr>
      <w:r>
        <w:rPr>
          <w:rFonts w:ascii="IRNazanin" w:hAnsi="IRNazanin" w:eastAsia="IRNazanin" w:cs="IRNazanin"/>
          <w:lang w:bidi="fa-IR"/>
          <w:color w:val="111111"/>
          <w:sz w:val="28"/>
          <w:szCs w:val="28"/>
          <w:rtl/>
        </w:rPr>
        <w:t xml:space="preserve">قم؛ مرعشی؛ شماره نسخه: 5670</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نستعليق، كاتب - مؤلف، بی تا، در پایان نسخه چند قصیده و منظومه از ناظم و به خط وی؛ جلد: مقوایی عطف تیماج قهوه ای، 184گ، مختلف السطر ، اندازه: 12/5</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15 - 69]</w:t>
      </w:r>
    </w:p>
    <w:p>
      <w:pPr>
        <w:pStyle w:val="Heading3"/>
      </w:pPr>
      <w:bookmarkStart w:id="694" w:name="_Toc216"/>
      <w:r>
        <w:t>ارواح / حدیث / فارسی</w:t>
      </w:r>
      <w:bookmarkEnd w:id="694"/>
    </w:p>
    <w:p>
      <w:pPr>
        <w:pStyle w:val="BookText"/>
      </w:pPr>
      <w:r>
        <w:rPr>
          <w:rFonts w:ascii="Times New Roman" w:hAnsi="Times New Roman" w:eastAsia="Times New Roman" w:cs="Times New Roman"/>
          <w:lang w:val="en-US" w:bidi="en-US"/>
          <w:color w:val="111111"/>
          <w:sz w:val="28"/>
          <w:szCs w:val="28"/>
          <w:rtl/>
        </w:rPr>
        <w:t xml:space="preserve">arvāh</w:t>
      </w:r>
    </w:p>
    <w:p>
      <w:pPr>
        <w:pStyle w:val="BookText"/>
      </w:pPr>
      <w:r>
        <w:rPr>
          <w:rFonts w:ascii="IRNazanin" w:hAnsi="IRNazanin" w:eastAsia="IRNazanin" w:cs="IRNazanin"/>
          <w:lang w:bidi="fa-IR"/>
          <w:color w:val="111111"/>
          <w:sz w:val="28"/>
          <w:szCs w:val="28"/>
          <w:rtl/>
        </w:rPr>
        <w:t xml:space="preserve">همدان؛ مدرسه غرب؛ شماره نسخه: 646/36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73" w:name="pg20365_260095"/>
    <w:bookmarkEnd w:id="73"/>
    <w:p>
      <w:pPr>
        <w:pStyle w:val="BookText"/>
      </w:pPr>
      <w:r>
        <w:rPr>
          <w:rFonts w:ascii="IRNazanin" w:hAnsi="IRNazanin" w:eastAsia="IRNazanin" w:cs="IRNazanin"/>
          <w:lang w:bidi="fa-IR"/>
          <w:color w:val="111111"/>
          <w:sz w:val="28"/>
          <w:szCs w:val="28"/>
          <w:rtl/>
        </w:rPr>
        <w:t xml:space="preserve">آغاز: و قال الصادق صلوات الله عليه ان الارواح فى ضفة الاجساد في شجرة ... و بسند صحیح از ابن اسکان از ابی بصیر منقول است که حضرت امام جعفر صادق (علیه السّلام) فرمودند که ارواح بر صفت اجساد یعنی در قالب مثالی در درختی اند از درختهای بهشت؛ انجام: و احادیث... وارد شده است در اکثر مشاهد که روضه ایست از ریاض بهشت و خواهد آمد و اینها در صورتی مجوز است که مثله نشود یعنی بوی بد نکند.</w:t>
      </w:r>
    </w:p>
    <w:p>
      <w:pPr>
        <w:pStyle w:val="BookText"/>
      </w:pPr>
      <w:r>
        <w:rPr>
          <w:rFonts w:ascii="IRNazanin" w:hAnsi="IRNazanin" w:eastAsia="IRNazanin" w:cs="IRNazanin"/>
          <w:lang w:bidi="fa-IR"/>
          <w:color w:val="111111"/>
          <w:sz w:val="28"/>
          <w:szCs w:val="28"/>
          <w:rtl/>
        </w:rPr>
        <w:t xml:space="preserve">خط: نسخ، بی کا، بی تا؛ 6ص (783-777) قطع : ربعی [ف: 432 ]</w:t>
      </w:r>
    </w:p>
    <w:p>
      <w:pPr>
        <w:pStyle w:val="Heading3"/>
      </w:pPr>
      <w:bookmarkStart w:id="695" w:name="_Toc217"/>
      <w:r>
        <w:t>ارواح ائمه ... / کلام و اعتقادات / فارسی</w:t>
      </w:r>
      <w:bookmarkEnd w:id="695"/>
    </w:p>
    <w:p>
      <w:pPr>
        <w:pStyle w:val="BookText"/>
      </w:pPr>
      <w:r>
        <w:rPr>
          <w:rFonts w:ascii="Times New Roman" w:hAnsi="Times New Roman" w:eastAsia="Times New Roman" w:cs="Times New Roman"/>
          <w:lang w:val="en-US" w:bidi="en-US"/>
          <w:color w:val="111111"/>
          <w:sz w:val="28"/>
          <w:szCs w:val="28"/>
          <w:rtl/>
        </w:rPr>
        <w:t xml:space="preserve">arvāh-e a’emme</w:t>
      </w:r>
    </w:p>
    <w:p>
      <w:pPr>
        <w:pStyle w:val="BookText"/>
      </w:pPr>
      <w:r>
        <w:rPr>
          <w:rFonts w:ascii="IRNazanin" w:hAnsi="IRNazanin" w:eastAsia="IRNazanin" w:cs="IRNazanin"/>
          <w:lang w:bidi="fa-IR"/>
          <w:color w:val="111111"/>
          <w:sz w:val="28"/>
          <w:szCs w:val="28"/>
          <w:rtl/>
        </w:rPr>
        <w:t xml:space="preserve">نراقی، احمد بن محمد مهدی، 1185 - 1245؟ قمری</w:t>
      </w:r>
    </w:p>
    <w:p>
      <w:pPr>
        <w:pStyle w:val="BookText"/>
      </w:pPr>
      <w:r>
        <w:rPr>
          <w:rFonts w:ascii="Times New Roman" w:hAnsi="Times New Roman" w:eastAsia="Times New Roman" w:cs="Times New Roman"/>
          <w:lang w:val="en-US" w:bidi="en-US"/>
          <w:color w:val="111111"/>
          <w:sz w:val="28"/>
          <w:szCs w:val="28"/>
          <w:rtl/>
        </w:rPr>
        <w:t xml:space="preserve">(narāqī, ahmad ebn-e mohammad mahdī (1772 - 1830)</w:t>
      </w:r>
    </w:p>
    <w:p>
      <w:pPr>
        <w:pStyle w:val="BookText"/>
      </w:pPr>
      <w:r>
        <w:rPr>
          <w:rFonts w:ascii="IRNazanin" w:hAnsi="IRNazanin" w:eastAsia="IRNazanin" w:cs="IRNazanin"/>
          <w:lang w:bidi="fa-IR"/>
          <w:color w:val="111111"/>
          <w:sz w:val="28"/>
          <w:szCs w:val="28"/>
          <w:rtl/>
        </w:rPr>
        <w:t xml:space="preserve">رساله ای مختصر در این که ارواح ائمه (علیه السّلام) بعد از مرگ وارد بهشت می شوند یا بعد از قیامت. مؤلف آن را در پاسخ فتحعلی شاه قاجار نوشته است این رساله غیر از رساله «شرح حدیث جسد الميت و انه يبلى الا طينته» از مؤلف است.</w:t>
      </w:r>
    </w:p>
    <w:p>
      <w:pPr>
        <w:pStyle w:val="BookText"/>
      </w:pPr>
      <w:r>
        <w:rPr>
          <w:rFonts w:ascii="IRNazanin" w:hAnsi="IRNazanin" w:eastAsia="IRNazanin" w:cs="IRNazanin"/>
          <w:lang w:bidi="fa-IR"/>
          <w:color w:val="111111"/>
          <w:sz w:val="28"/>
          <w:szCs w:val="28"/>
          <w:rtl/>
        </w:rPr>
        <w:t xml:space="preserve">آغاز: بسمله حمدله در محفل مینو شکل اعلی حضرت قدر قدرت پادشاه اسلام پناه ظل ظليل اله</w:t>
      </w:r>
    </w:p>
    <w:p>
      <w:pPr>
        <w:pStyle w:val="BookText"/>
      </w:pPr>
      <w:r>
        <w:rPr>
          <w:rFonts w:ascii="IRNazanin" w:hAnsi="IRNazanin" w:eastAsia="IRNazanin" w:cs="IRNazanin"/>
          <w:lang w:bidi="fa-IR"/>
          <w:color w:val="111111"/>
          <w:sz w:val="28"/>
          <w:szCs w:val="28"/>
          <w:rtl/>
        </w:rPr>
        <w:t xml:space="preserve">انجام: از ملازمان ایشان در منزل خود استراحتها کرده اند پسر سبحانه حسابنا في يوم الحساب بالنبى واله الاطهار بلغ تتمة الكتاب</w:t>
      </w:r>
    </w:p>
    <w:p>
      <w:pPr>
        <w:pStyle w:val="BookText"/>
      </w:pPr>
      <w:r>
        <w:rPr>
          <w:rFonts w:ascii="IRNazanin" w:hAnsi="IRNazanin" w:eastAsia="IRNazanin" w:cs="IRNazanin"/>
          <w:lang w:bidi="fa-IR"/>
          <w:color w:val="111111"/>
          <w:sz w:val="28"/>
          <w:szCs w:val="28"/>
          <w:rtl/>
        </w:rPr>
        <w:t xml:space="preserve">[الذريعة 195/13؛ فهرستواره منزوی 83/9( ارواح پیامبران و امامان)]</w:t>
      </w:r>
    </w:p>
    <w:p>
      <w:pPr>
        <w:pStyle w:val="BookText"/>
      </w:pPr>
      <w:r>
        <w:rPr>
          <w:rFonts w:ascii="IRNazanin" w:hAnsi="IRNazanin" w:eastAsia="IRNazanin" w:cs="IRNazanin"/>
          <w:lang w:bidi="fa-IR"/>
          <w:color w:val="111111"/>
          <w:sz w:val="28"/>
          <w:szCs w:val="28"/>
          <w:rtl/>
        </w:rPr>
        <w:t xml:space="preserve">قم؛ گلپایگانی؛ شماره نسخه: 5061/2-25/151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تحریری بی کا، تا: 1231ق؛ بعد از پایان رساله دو قصیده ملا احمد نراقی به فارسی تحریر شده است با تخلص صفائی؛ جلد: تیماج قهوه ای، 11گ 20 سطر ، اندازه: 15</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 ف : 4 - 85 ]</w:t>
      </w:r>
    </w:p>
    <w:p>
      <w:pPr>
        <w:pStyle w:val="Heading3"/>
      </w:pPr>
      <w:bookmarkStart w:id="696" w:name="_Toc218"/>
      <w:r>
        <w:t>الارواح بعد الموت / کلام و اعتقادات / عربی</w:t>
      </w:r>
      <w:bookmarkEnd w:id="696"/>
    </w:p>
    <w:p>
      <w:pPr>
        <w:pStyle w:val="BookText"/>
      </w:pPr>
      <w:r>
        <w:rPr>
          <w:rFonts w:ascii="Times New Roman" w:hAnsi="Times New Roman" w:eastAsia="Times New Roman" w:cs="Times New Roman"/>
          <w:lang w:val="en-US" w:bidi="en-US"/>
          <w:color w:val="111111"/>
          <w:sz w:val="28"/>
          <w:szCs w:val="28"/>
          <w:rtl/>
        </w:rPr>
        <w:t xml:space="preserve">al-arwāḥ ba‘d-al mawt</w:t>
      </w:r>
    </w:p>
    <w:p>
      <w:pPr>
        <w:pStyle w:val="BookText"/>
      </w:pPr>
      <w:r>
        <w:rPr>
          <w:rFonts w:ascii="IRNazanin" w:hAnsi="IRNazanin" w:eastAsia="IRNazanin" w:cs="IRNazanin"/>
          <w:lang w:bidi="fa-IR"/>
          <w:color w:val="111111"/>
          <w:sz w:val="28"/>
          <w:szCs w:val="28"/>
          <w:rtl/>
        </w:rPr>
        <w:t xml:space="preserve">مختصری است درباره فنا و یا بقاء روح پس از مرگ به نقل از بحار الانوار.</w:t>
      </w:r>
    </w:p>
    <w:p>
      <w:pPr>
        <w:pStyle w:val="BookText"/>
      </w:pPr>
      <w:r>
        <w:rPr>
          <w:rFonts w:ascii="IRNazanin" w:hAnsi="IRNazanin" w:eastAsia="IRNazanin" w:cs="IRNazanin"/>
          <w:lang w:bidi="fa-IR"/>
          <w:color w:val="111111"/>
          <w:sz w:val="28"/>
          <w:szCs w:val="28"/>
          <w:rtl/>
        </w:rPr>
        <w:t xml:space="preserve">تهران؛ مجلس؛ شماره نسخه: 1227/8-طباطبائی</w:t>
      </w:r>
    </w:p>
    <w:p>
      <w:pPr>
        <w:pStyle w:val="BookText"/>
      </w:pPr>
      <w:r>
        <w:rPr>
          <w:rFonts w:ascii="Amiri" w:hAnsi="Amiri" w:eastAsia="Amiri" w:cs="Amiri"/>
          <w:lang w:bidi="ar-SA"/>
          <w:color w:val="111111"/>
          <w:sz w:val="28"/>
          <w:szCs w:val="28"/>
          <w:rtl/>
        </w:rPr>
        <w:t xml:space="preserve">آغاز: فى فصول المهمه باب ان الارواح تفنى و كذا كل شي الا الله</w:t>
      </w:r>
    </w:p>
    <w:p>
      <w:pPr>
        <w:pStyle w:val="BookText"/>
      </w:pPr>
      <w:r>
        <w:rPr>
          <w:rFonts w:ascii="IRNazanin" w:hAnsi="IRNazanin" w:eastAsia="IRNazanin" w:cs="IRNazanin"/>
          <w:lang w:bidi="fa-IR"/>
          <w:color w:val="111111"/>
          <w:sz w:val="28"/>
          <w:szCs w:val="28"/>
          <w:rtl/>
        </w:rPr>
        <w:t xml:space="preserve">خط: نسخ، بی کا، تا : قرن 13 ؛کاغذ ،فرنگی ،جلد: تیماج قرمز تک لا، 2 ص( 313-314)، اندازه: 11</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سم [ف: 23 - 800]</w:t>
      </w:r>
    </w:p>
    <w:p>
      <w:pPr>
        <w:pStyle w:val="Heading3"/>
      </w:pPr>
      <w:bookmarkStart w:id="697" w:name="_Toc219"/>
      <w:r>
        <w:t>الارواح في البرزخ / کلام و اعتقادات / عربی</w:t>
      </w:r>
      <w:bookmarkEnd w:id="697"/>
    </w:p>
    <w:p>
      <w:pPr>
        <w:pStyle w:val="BookText"/>
      </w:pPr>
      <w:r>
        <w:rPr>
          <w:rFonts w:ascii="Times New Roman" w:hAnsi="Times New Roman" w:eastAsia="Times New Roman" w:cs="Times New Roman"/>
          <w:lang w:val="en-US" w:bidi="en-US"/>
          <w:color w:val="111111"/>
          <w:sz w:val="28"/>
          <w:szCs w:val="28"/>
          <w:rtl/>
        </w:rPr>
        <w:t xml:space="preserve">al-arwāḥ fi-l-barzax</w:t>
      </w:r>
    </w:p>
    <w:p>
      <w:pPr>
        <w:pStyle w:val="BookText"/>
      </w:pPr>
      <w:r>
        <w:rPr>
          <w:rFonts w:ascii="IRNazanin" w:hAnsi="IRNazanin" w:eastAsia="IRNazanin" w:cs="IRNazanin"/>
          <w:lang w:bidi="fa-IR"/>
          <w:color w:val="111111"/>
          <w:sz w:val="28"/>
          <w:szCs w:val="28"/>
          <w:rtl/>
        </w:rPr>
        <w:t xml:space="preserve">مطالبی درباره عالم برزخ و سؤال و جواب نکیر و منکر و چگونگی ارواح انبیاء اولیاءو مؤمنین و ارواح کفار در آن عالم.</w:t>
      </w:r>
    </w:p>
    <w:p>
      <w:pPr>
        <w:pStyle w:val="BookText"/>
      </w:pPr>
      <w:r>
        <w:rPr>
          <w:rFonts w:ascii="IRNazanin" w:hAnsi="IRNazanin" w:eastAsia="IRNazanin" w:cs="IRNazanin"/>
          <w:lang w:bidi="fa-IR"/>
          <w:color w:val="111111"/>
          <w:sz w:val="28"/>
          <w:szCs w:val="28"/>
          <w:rtl/>
        </w:rPr>
        <w:t xml:space="preserve">قم؛ مسجد اعظم؛ شماره نسخه: 850/1</w:t>
      </w:r>
    </w:p>
    <w:p>
      <w:pPr>
        <w:pStyle w:val="BookText"/>
      </w:pPr>
      <w:r>
        <w:rPr>
          <w:rFonts w:ascii="IRNazanin" w:hAnsi="IRNazanin" w:eastAsia="IRNazanin" w:cs="IRNazanin"/>
          <w:lang w:bidi="fa-IR"/>
          <w:color w:val="111111"/>
          <w:sz w:val="28"/>
          <w:szCs w:val="28"/>
          <w:rtl/>
        </w:rPr>
        <w:t xml:space="preserve">آغاز: فی ذکر سؤال جواب منکر و نکیر وجاء في الخبر اذا وضعت الميت فى القبر اتاه ملكان السودان ازرقان اصواتها كالرعد الصاعق وابصارها كالبرق الخاطف يخترقان الأرض؛ انجام: ارواح المؤمنين اذا خرج من البدن تذخل في جوف طيؤ الاصفر معلقه بين السماء والارض و لاقرار مثل الدنيا الى القيامة و اما ارواح الكافرين اذا خرج من البدن تدخل في جوف طير الاسود في سبعته تحت الثرى ومرد و تحمل الدنيا فى مقام السحيين منقول من الابرا</w:t>
      </w:r>
    </w:p>
    <w:p>
      <w:pPr>
        <w:pStyle w:val="BookText"/>
      </w:pPr>
      <w:r>
        <w:rPr>
          <w:rFonts w:ascii="IRNazanin" w:hAnsi="IRNazanin" w:eastAsia="IRNazanin" w:cs="IRNazanin"/>
          <w:lang w:bidi="fa-IR"/>
          <w:color w:val="111111"/>
          <w:sz w:val="28"/>
          <w:szCs w:val="28"/>
          <w:rtl/>
        </w:rPr>
        <w:t xml:space="preserve">خط: نستعلیق، کا: خال محمد ،بخاری، تا: 1174ق؛ فایده ای در حدیث در اول کتاب؛ جلد: تیماج قهوه ای، 6گ، اندازه:10</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[ف مخ: 3 - 981]</w:t>
      </w:r>
    </w:p>
    <w:p>
      <w:pPr>
        <w:pStyle w:val="BookText"/>
      </w:pPr>
      <w:r>
        <w:rPr>
          <w:rFonts w:ascii="IRNazanin" w:hAnsi="IRNazanin" w:eastAsia="IRNazanin" w:cs="IRNazanin"/>
          <w:lang w:bidi="fa-IR"/>
          <w:color w:val="111111"/>
          <w:sz w:val="28"/>
          <w:szCs w:val="28"/>
          <w:rtl/>
        </w:rPr>
        <w:t xml:space="preserve">«ارواح و اجسام » آفرینش ارواح و اجسام</w:t>
      </w:r>
    </w:p>
    <w:p>
      <w:pPr>
        <w:pStyle w:val="BookText"/>
      </w:pPr>
      <w:r>
        <w:rPr>
          <w:rFonts w:ascii="IRNazanin" w:hAnsi="IRNazanin" w:eastAsia="IRNazanin" w:cs="IRNazanin"/>
          <w:lang w:bidi="fa-IR"/>
          <w:color w:val="111111"/>
          <w:sz w:val="28"/>
          <w:szCs w:val="28"/>
          <w:rtl/>
        </w:rPr>
        <w:t xml:space="preserve">«الارواح و القوى » الحدود</w:t>
      </w:r>
    </w:p>
    <w:p>
      <w:pPr>
        <w:pStyle w:val="Heading3"/>
      </w:pPr>
      <w:bookmarkStart w:id="698" w:name="_Toc220"/>
      <w:r>
        <w:t>ارهاض اللغة = لغت زیرک / لغت / عربی</w:t>
      </w:r>
      <w:bookmarkEnd w:id="698"/>
    </w:p>
    <w:p>
      <w:pPr>
        <w:pStyle w:val="BookText"/>
      </w:pPr>
      <w:r>
        <w:rPr>
          <w:rFonts w:ascii="Times New Roman" w:hAnsi="Times New Roman" w:eastAsia="Times New Roman" w:cs="Times New Roman"/>
          <w:lang w:val="en-US" w:bidi="en-US"/>
          <w:color w:val="111111"/>
          <w:sz w:val="28"/>
          <w:szCs w:val="28"/>
          <w:rtl/>
        </w:rPr>
        <w:t xml:space="preserve">irhad-ul luga = loqat-e zirak</w:t>
      </w:r>
    </w:p>
    <w:p>
      <w:pPr>
        <w:pStyle w:val="BookText"/>
      </w:pPr>
      <w:r>
        <w:rPr>
          <w:rFonts w:ascii="IRNazanin" w:hAnsi="IRNazanin" w:eastAsia="IRNazanin" w:cs="IRNazanin"/>
          <w:lang w:bidi="fa-IR"/>
          <w:color w:val="111111"/>
          <w:sz w:val="28"/>
          <w:szCs w:val="28"/>
          <w:rtl/>
        </w:rPr>
        <w:t xml:space="preserve">از مولانا زیرک (؟) دو تن را به نام زیرک میشناسیم. یکی امیر زیرک خجندی و دیگری زیرک هروی که معلوم نیست یکی از این دو میباشد یا شخصی .دیگر نسخه بدون خطبه و خاتمه است در بالای صفحه اول آمده «کتاب لغة مولانا زیرک رحمه الله عليه» فرهنگ لغات عربی است در چند کتاب به ترتیب حروف آخر کلمه ها و هر کتاب دارای چند باب برای حروف آغاز کلمه ها پاره ای از لغات زیرنویس فارسی دارد.</w:t>
      </w:r>
    </w:p>
    <w:p>
      <w:pPr>
        <w:pStyle w:val="BookText"/>
      </w:pPr>
      <w:r>
        <w:rPr>
          <w:rFonts w:ascii="IRNazanin" w:hAnsi="IRNazanin" w:eastAsia="IRNazanin" w:cs="IRNazanin"/>
          <w:lang w:bidi="fa-IR"/>
          <w:color w:val="111111"/>
          <w:sz w:val="28"/>
          <w:szCs w:val="28"/>
          <w:rtl/>
        </w:rPr>
        <w:t xml:space="preserve">آغاز: بسمله ا ءُ ا ا جاءً، آ ءه، بوء بوء، و بأبأت الصبى، بَتَاءَ بالمكان، يتوء، بدءً بدة، بدء القوم، و بدءت به، بداً، و ابتديت به، فهو بدیی و بدء، و مبدوء</w:t>
      </w:r>
    </w:p>
    <w:p>
      <w:pPr>
        <w:pStyle w:val="BookText"/>
      </w:pPr>
      <w:r>
        <w:rPr>
          <w:rFonts w:ascii="IRNazanin" w:hAnsi="IRNazanin" w:eastAsia="IRNazanin" w:cs="IRNazanin"/>
          <w:lang w:bidi="fa-IR"/>
          <w:color w:val="111111"/>
          <w:sz w:val="28"/>
          <w:szCs w:val="28"/>
          <w:rtl/>
        </w:rPr>
        <w:t xml:space="preserve">انجام: هنا هناك هنالك ههنا هنا هیازید یازید. و الله اعلم بالصواب بحقيقة ظاهراً وباطناً من القيل والقال، تمت اللغة المسماة بارهاض مولانا زيرك رحمه الله عليه.</w:t>
      </w:r>
    </w:p>
    <w:p>
      <w:pPr>
        <w:pStyle w:val="BookText"/>
      </w:pPr>
      <w:r>
        <w:rPr>
          <w:rFonts w:ascii="IRNazanin" w:hAnsi="IRNazanin" w:eastAsia="IRNazanin" w:cs="IRNazanin"/>
          <w:lang w:bidi="fa-IR"/>
          <w:color w:val="111111"/>
          <w:sz w:val="28"/>
          <w:szCs w:val="28"/>
          <w:rtl/>
        </w:rPr>
        <w:t xml:space="preserve">1.قم؛ مرعشی؛ شماره نسخه: 6312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،معرب بی کا ،تا: غره شعبان 1047ق؛ جلد: تيماج قهوه ای، 192گ 11 سطر ، اندازه: 19</w:t>
      </w:r>
      <w:r>
        <w:rPr>
          <w:rFonts w:ascii="Times New Roman" w:hAnsi="Times New Roman" w:eastAsia="Times New Roman" w:cs="Times New Roman"/>
          <w:lang w:val="en-US" w:bidi="en-US"/>
          <w:color w:val="111111"/>
          <w:sz w:val="28"/>
          <w:szCs w:val="28"/>
          <w:rtl/>
        </w:rPr>
        <w:t xml:space="preserve">×12/5</w:t>
      </w:r>
      <w:r>
        <w:rPr>
          <w:rFonts w:ascii="IRNazanin" w:hAnsi="IRNazanin" w:eastAsia="IRNazanin" w:cs="IRNazanin"/>
          <w:lang w:bidi="fa-IR"/>
          <w:color w:val="111111"/>
          <w:sz w:val="28"/>
          <w:szCs w:val="28"/>
          <w:rtl/>
        </w:rPr>
        <w:t xml:space="preserve">سم [ف: 16 - 281]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مشهد؛ نواب؛ شماره نسخه: 51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محمد مختار بن حافظ احمد تبریزی تا: 1047ق ؛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74" w:name="pg20365_260096"/>
    <w:bookmarkEnd w:id="74"/>
    <w:p>
      <w:pPr>
        <w:pStyle w:val="BookText"/>
      </w:pPr>
      <w:r>
        <w:rPr>
          <w:rFonts w:ascii="IRNazanin" w:hAnsi="IRNazanin" w:eastAsia="IRNazanin" w:cs="IRNazanin"/>
          <w:lang w:bidi="fa-IR"/>
          <w:color w:val="111111"/>
          <w:sz w:val="28"/>
          <w:szCs w:val="28"/>
          <w:rtl/>
        </w:rPr>
        <w:t xml:space="preserve">پس از آن یک برگ آمده با آغاز: «بسمله اليقظة التوبة المحاسبة الاعتصام التفكر التذكر» انجام: «الود التجريد التفريد الجمع التوحيد»؛ مهر: «عبده محمد علی خادم» (بیضی)؛ کاغذ: آبدیده ،جلد: تیماج لایه ای قهوه ای 175 گ، 11 سطر (7/5</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 اندازه: 13</w:t>
      </w:r>
      <w:r>
        <w:rPr>
          <w:rFonts w:ascii="Times New Roman" w:hAnsi="Times New Roman" w:eastAsia="Times New Roman" w:cs="Times New Roman"/>
          <w:lang w:val="en-US" w:bidi="en-US"/>
          <w:color w:val="111111"/>
          <w:sz w:val="28"/>
          <w:szCs w:val="28"/>
          <w:rtl/>
        </w:rPr>
        <w:t xml:space="preserve">×20/5 [</w:t>
      </w:r>
      <w:r>
        <w:rPr>
          <w:rFonts w:ascii="IRNazanin" w:hAnsi="IRNazanin" w:eastAsia="IRNazanin" w:cs="IRNazanin"/>
          <w:lang w:bidi="fa-IR"/>
          <w:color w:val="111111"/>
          <w:sz w:val="28"/>
          <w:szCs w:val="28"/>
          <w:rtl/>
        </w:rPr>
        <w:t xml:space="preserve">ف: 63]</w:t>
      </w:r>
    </w:p>
    <w:p>
      <w:pPr>
        <w:pStyle w:val="Heading3"/>
      </w:pPr>
      <w:bookmarkStart w:id="699" w:name="_Toc221"/>
      <w:r>
        <w:t>ازاحة الاباطيل = رد ينابيع الاسلام / کلام و اعتقادات/ فارسی</w:t>
      </w:r>
      <w:bookmarkEnd w:id="699"/>
    </w:p>
    <w:p>
      <w:pPr>
        <w:pStyle w:val="BookText"/>
      </w:pPr>
      <w:r>
        <w:rPr>
          <w:rFonts w:ascii="Times New Roman" w:hAnsi="Times New Roman" w:eastAsia="Times New Roman" w:cs="Times New Roman"/>
          <w:lang w:val="en-US" w:bidi="en-US"/>
          <w:color w:val="111111"/>
          <w:sz w:val="28"/>
          <w:szCs w:val="28"/>
          <w:rtl/>
        </w:rPr>
        <w:t xml:space="preserve">ezāhat-ol-abātīl = radd-e yanābī‘-ol-eslām</w:t>
      </w:r>
    </w:p>
    <w:p>
      <w:pPr>
        <w:pStyle w:val="BookText"/>
      </w:pPr>
      <w:r>
        <w:rPr>
          <w:rFonts w:ascii="IRNazanin" w:hAnsi="IRNazanin" w:eastAsia="IRNazanin" w:cs="IRNazanin"/>
          <w:lang w:bidi="fa-IR"/>
          <w:color w:val="111111"/>
          <w:sz w:val="28"/>
          <w:szCs w:val="28"/>
          <w:rtl/>
        </w:rPr>
        <w:t xml:space="preserve">شریف رازی، عباسقلی بن قنبر علی، 1291 - 1374قمری</w:t>
      </w:r>
    </w:p>
    <w:p>
      <w:pPr>
        <w:pStyle w:val="BookText"/>
      </w:pPr>
      <w:r>
        <w:rPr>
          <w:rFonts w:ascii="Times New Roman" w:hAnsi="Times New Roman" w:eastAsia="Times New Roman" w:cs="Times New Roman"/>
          <w:lang w:val="en-US" w:bidi="en-US"/>
          <w:color w:val="111111"/>
          <w:sz w:val="28"/>
          <w:szCs w:val="28"/>
          <w:rtl/>
        </w:rPr>
        <w:t xml:space="preserve">(šarīf-e rāzī, ‘abbās-qolī ebn-e qanbar ‘alī (1874 - 1955)</w:t>
      </w:r>
    </w:p>
    <w:p>
      <w:pPr>
        <w:pStyle w:val="BookText"/>
      </w:pPr>
      <w:r>
        <w:rPr>
          <w:rFonts w:ascii="IRNazanin" w:hAnsi="IRNazanin" w:eastAsia="IRNazanin" w:cs="IRNazanin"/>
          <w:lang w:bidi="fa-IR"/>
          <w:color w:val="111111"/>
          <w:sz w:val="28"/>
          <w:szCs w:val="28"/>
          <w:rtl/>
        </w:rPr>
        <w:t xml:space="preserve">رساله مختصری است در رد کتاب «ینابیع الاسلام» که موفق به اتمام آن نشده است.</w:t>
      </w:r>
    </w:p>
    <w:p>
      <w:pPr>
        <w:pStyle w:val="BookText"/>
      </w:pPr>
      <w:r>
        <w:rPr>
          <w:rFonts w:ascii="IRNazanin" w:hAnsi="IRNazanin" w:eastAsia="IRNazanin" w:cs="IRNazanin"/>
          <w:lang w:bidi="fa-IR"/>
          <w:color w:val="111111"/>
          <w:sz w:val="28"/>
          <w:szCs w:val="28"/>
          <w:rtl/>
        </w:rPr>
        <w:t xml:space="preserve">مشهد؛ رضوی؛ شماره نسخه: 7274</w:t>
      </w:r>
    </w:p>
    <w:p>
      <w:pPr>
        <w:pStyle w:val="BookText"/>
      </w:pPr>
      <w:r>
        <w:rPr>
          <w:rFonts w:ascii="IRNazanin" w:hAnsi="IRNazanin" w:eastAsia="IRNazanin" w:cs="IRNazanin"/>
          <w:lang w:bidi="fa-IR"/>
          <w:color w:val="111111"/>
          <w:sz w:val="28"/>
          <w:szCs w:val="28"/>
          <w:rtl/>
        </w:rPr>
        <w:t xml:space="preserve">آغاز: الحمد لله الذى شرف الانسان بعقله؛ انجام: کتب دیگر هم ذکر مینمائیم</w:t>
      </w:r>
    </w:p>
    <w:p>
      <w:pPr>
        <w:pStyle w:val="BookText"/>
      </w:pPr>
      <w:r>
        <w:rPr>
          <w:rFonts w:ascii="IRNazanin" w:hAnsi="IRNazanin" w:eastAsia="IRNazanin" w:cs="IRNazanin"/>
          <w:lang w:bidi="fa-IR"/>
          <w:color w:val="111111"/>
          <w:sz w:val="28"/>
          <w:szCs w:val="28"/>
          <w:rtl/>
        </w:rPr>
        <w:t xml:space="preserve">خط: نسخ و نستعلیق و شکسته، کاتب - مؤلف، بی تا؛ نسخه پیش نویس و پاک نویس با هم جلد شده؛ واقف: مؤلف، آبان 1328 ؛کاغذ: مشقی ،جلد: مقوا با روکش پارچه خاکستری، 22گ، 20 سطر ، اندازه: 13</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11 - 11]</w:t>
      </w:r>
    </w:p>
    <w:p>
      <w:pPr>
        <w:pStyle w:val="Heading3"/>
      </w:pPr>
      <w:bookmarkStart w:id="700" w:name="_Toc222"/>
      <w:r>
        <w:t>ازاحة الاشكال عن عبارات الاعتزال / كلام و اعتقادات / عربی</w:t>
      </w:r>
      <w:bookmarkEnd w:id="700"/>
    </w:p>
    <w:p>
      <w:pPr>
        <w:pStyle w:val="BookText"/>
      </w:pPr>
      <w:r>
        <w:rPr>
          <w:rFonts w:ascii="Times New Roman" w:hAnsi="Times New Roman" w:eastAsia="Times New Roman" w:cs="Times New Roman"/>
          <w:lang w:val="en-US" w:bidi="en-US"/>
          <w:color w:val="111111"/>
          <w:sz w:val="28"/>
          <w:szCs w:val="28"/>
          <w:rtl/>
        </w:rPr>
        <w:t xml:space="preserve">izāḥat-ul aškal ‘an ‘ibārāt-il i‘tizāl</w:t>
      </w:r>
    </w:p>
    <w:p>
      <w:pPr>
        <w:pStyle w:val="BookText"/>
      </w:pPr>
      <w:r>
        <w:rPr>
          <w:rFonts w:ascii="IRNazanin" w:hAnsi="IRNazanin" w:eastAsia="IRNazanin" w:cs="IRNazanin"/>
          <w:lang w:bidi="fa-IR"/>
          <w:color w:val="111111"/>
          <w:sz w:val="28"/>
          <w:szCs w:val="28"/>
          <w:rtl/>
        </w:rPr>
        <w:t xml:space="preserve">شهاری محسن بن احمد، - 1295 قمری</w:t>
      </w:r>
    </w:p>
    <w:p>
      <w:pPr>
        <w:pStyle w:val="BookText"/>
      </w:pPr>
      <w:r>
        <w:rPr>
          <w:rFonts w:ascii="IRNazanin" w:hAnsi="IRNazanin" w:eastAsia="IRNazanin" w:cs="IRNazanin"/>
          <w:lang w:bidi="fa-IR"/>
          <w:color w:val="111111"/>
          <w:sz w:val="28"/>
          <w:szCs w:val="28"/>
          <w:rtl/>
        </w:rPr>
        <w:t xml:space="preserve">رساله ای است پیرامون صفات ثبوتیه و صفات سلبيه الهى بنا بر نظرات معتزله و فلاسفه، در پاسخ گفته های سید محمد بن احمد اهنومی شرفی در کتاب «شفاء صدور الناس في شرح معانی الاساس» که با معتزله در این موضوع بحث داشته است.</w:t>
      </w:r>
    </w:p>
    <w:p>
      <w:pPr>
        <w:pStyle w:val="BookText"/>
      </w:pPr>
      <w:r>
        <w:rPr>
          <w:rFonts w:ascii="Amiri" w:hAnsi="Amiri" w:eastAsia="Amiri" w:cs="Amiri"/>
          <w:lang w:bidi="ar-SA"/>
          <w:color w:val="111111"/>
          <w:sz w:val="28"/>
          <w:szCs w:val="28"/>
          <w:rtl/>
        </w:rPr>
        <w:t xml:space="preserve">آغاز: حمدا لمن ازاح الاشكال عن عبارات الاعتزال و حل مغلقات الاقفال بمفاتيح المقال على مقتضى الحال.</w:t>
      </w:r>
    </w:p>
    <w:p>
      <w:pPr>
        <w:pStyle w:val="BookText"/>
      </w:pPr>
      <w:r>
        <w:rPr>
          <w:rFonts w:ascii="Amiri" w:hAnsi="Amiri" w:eastAsia="Amiri" w:cs="Amiri"/>
          <w:lang w:bidi="ar-SA"/>
          <w:color w:val="111111"/>
          <w:sz w:val="28"/>
          <w:szCs w:val="28"/>
          <w:rtl/>
        </w:rPr>
        <w:t xml:space="preserve">انجام: و انتفاء القاطع الموجب للتكفير و التفسيق للمعتزلة والله ولى التوفيق والاصابة في المبتدا و التمام.</w:t>
      </w:r>
    </w:p>
    <w:p>
      <w:pPr>
        <w:pStyle w:val="BookText"/>
      </w:pPr>
      <w:r>
        <w:rPr>
          <w:rFonts w:ascii="IRNazanin" w:hAnsi="IRNazanin" w:eastAsia="IRNazanin" w:cs="IRNazanin"/>
          <w:lang w:bidi="fa-IR"/>
          <w:color w:val="111111"/>
          <w:sz w:val="28"/>
          <w:szCs w:val="28"/>
          <w:rtl/>
        </w:rPr>
        <w:t xml:space="preserve">قم؛ مرکز احیاء؛ شماره نسخه: 47/2</w:t>
      </w:r>
    </w:p>
    <w:p>
      <w:pPr>
        <w:pStyle w:val="BookText"/>
      </w:pPr>
      <w:r>
        <w:rPr>
          <w:rFonts w:ascii="IRNazanin" w:hAnsi="IRNazanin" w:eastAsia="IRNazanin" w:cs="IRNazanin"/>
          <w:lang w:bidi="fa-IR"/>
          <w:color w:val="111111"/>
          <w:sz w:val="28"/>
          <w:szCs w:val="28"/>
          <w:rtl/>
        </w:rPr>
        <w:t xml:space="preserve">آغاز: حمدا لمن ازاح الاشكال عن عبارات الاعتزال و حل مغلقات الاقفال بمفاتيح المقال على مقتضى الحال؛ انجام: و انت القاطع الموجب للتكفير و التفسيق للمعتزلة و الله ولى التوفیق والاصابة في المبتدا والتمام.</w:t>
      </w:r>
    </w:p>
    <w:p>
      <w:pPr>
        <w:pStyle w:val="BookText"/>
      </w:pPr>
      <w:r>
        <w:rPr>
          <w:rFonts w:ascii="IRNazanin" w:hAnsi="IRNazanin" w:eastAsia="IRNazanin" w:cs="IRNazanin"/>
          <w:lang w:bidi="fa-IR"/>
          <w:color w:val="111111"/>
          <w:sz w:val="28"/>
          <w:szCs w:val="28"/>
          <w:rtl/>
        </w:rPr>
        <w:t xml:space="preserve">خط: نسخ، کا: احمد بن محمد بانه، تا: 17 صفر 1382ق؛ جلد: مقوایی عطف تیماج ،مشکی، 3گ (45پ-48پ)، اندازه: 18/5</w:t>
      </w:r>
      <w:r>
        <w:rPr>
          <w:rFonts w:ascii="Times New Roman" w:hAnsi="Times New Roman" w:eastAsia="Times New Roman" w:cs="Times New Roman"/>
          <w:lang w:val="en-US" w:bidi="en-US"/>
          <w:color w:val="111111"/>
          <w:sz w:val="28"/>
          <w:szCs w:val="28"/>
          <w:rtl/>
        </w:rPr>
        <w:t xml:space="preserve">×24</w:t>
      </w:r>
      <w:r>
        <w:rPr>
          <w:rFonts w:ascii="IRNazanin" w:hAnsi="IRNazanin" w:eastAsia="IRNazanin" w:cs="IRNazanin"/>
          <w:lang w:bidi="fa-IR"/>
          <w:color w:val="111111"/>
          <w:sz w:val="28"/>
          <w:szCs w:val="28"/>
          <w:rtl/>
        </w:rPr>
        <w:t xml:space="preserve">سم [ف: 1- 72]</w:t>
      </w:r>
    </w:p>
    <w:p>
      <w:pPr>
        <w:pStyle w:val="Heading3"/>
      </w:pPr>
      <w:bookmarkStart w:id="701" w:name="_Toc223"/>
      <w:r>
        <w:t>ازاحة الاوهام / کلام و اعتقادات / فارسی</w:t>
      </w:r>
      <w:bookmarkEnd w:id="701"/>
    </w:p>
    <w:p>
      <w:pPr>
        <w:pStyle w:val="BookText"/>
      </w:pPr>
      <w:r>
        <w:rPr>
          <w:rFonts w:ascii="Times New Roman" w:hAnsi="Times New Roman" w:eastAsia="Times New Roman" w:cs="Times New Roman"/>
          <w:lang w:val="en-US" w:bidi="en-US"/>
          <w:color w:val="111111"/>
          <w:sz w:val="28"/>
          <w:szCs w:val="28"/>
          <w:rtl/>
        </w:rPr>
        <w:t xml:space="preserve">ezāhat-ol-owhām</w:t>
      </w:r>
    </w:p>
    <w:p>
      <w:pPr>
        <w:pStyle w:val="BookText"/>
      </w:pPr>
      <w:r>
        <w:rPr>
          <w:rFonts w:ascii="IRNazanin" w:hAnsi="IRNazanin" w:eastAsia="IRNazanin" w:cs="IRNazanin"/>
          <w:lang w:bidi="fa-IR"/>
          <w:color w:val="111111"/>
          <w:sz w:val="28"/>
          <w:szCs w:val="28"/>
          <w:rtl/>
        </w:rPr>
        <w:t xml:space="preserve">استرآبادی، عبدالنبی بن علی، - 1340 قمری</w:t>
      </w:r>
    </w:p>
    <w:p>
      <w:pPr>
        <w:pStyle w:val="BookText"/>
      </w:pPr>
      <w:r>
        <w:rPr>
          <w:rFonts w:ascii="Times New Roman" w:hAnsi="Times New Roman" w:eastAsia="Times New Roman" w:cs="Times New Roman"/>
          <w:lang w:val="en-US" w:bidi="en-US"/>
          <w:color w:val="111111"/>
          <w:sz w:val="28"/>
          <w:szCs w:val="28"/>
          <w:rtl/>
        </w:rPr>
        <w:t xml:space="preserve">(estarābādī, ‘abd-on-nabī ebn-e ‘alī ( - 1922)</w:t>
      </w:r>
    </w:p>
    <w:p>
      <w:pPr>
        <w:pStyle w:val="BookText"/>
      </w:pPr>
      <w:r>
        <w:rPr>
          <w:rFonts w:ascii="IRNazanin" w:hAnsi="IRNazanin" w:eastAsia="IRNazanin" w:cs="IRNazanin"/>
          <w:lang w:bidi="fa-IR"/>
          <w:color w:val="111111"/>
          <w:sz w:val="28"/>
          <w:szCs w:val="28"/>
          <w:rtl/>
        </w:rPr>
        <w:t xml:space="preserve">تاریخ تأليف: شوال 1336ق</w:t>
      </w:r>
    </w:p>
    <w:p>
      <w:pPr>
        <w:pStyle w:val="BookText"/>
      </w:pPr>
      <w:r>
        <w:rPr>
          <w:rFonts w:ascii="IRNazanin" w:hAnsi="IRNazanin" w:eastAsia="IRNazanin" w:cs="IRNazanin"/>
          <w:lang w:bidi="fa-IR"/>
          <w:color w:val="111111"/>
          <w:sz w:val="28"/>
          <w:szCs w:val="28"/>
          <w:rtl/>
        </w:rPr>
        <w:t xml:space="preserve">رساله مختصری است در اثبات عصمت انبیاء و ائمه معصومین و پاسخ شبهات مخالفان عصمت انبياء (صلّی اللَّهِ علیه وَ آلِهِ وَ سَلَّمَ ).</w:t>
      </w:r>
    </w:p>
    <w:p>
      <w:pPr>
        <w:pStyle w:val="BookText"/>
      </w:pPr>
      <w:r>
        <w:rPr>
          <w:rFonts w:ascii="IRNazanin" w:hAnsi="IRNazanin" w:eastAsia="IRNazanin" w:cs="IRNazanin"/>
          <w:lang w:bidi="fa-IR"/>
          <w:color w:val="111111"/>
          <w:sz w:val="28"/>
          <w:szCs w:val="28"/>
          <w:rtl/>
        </w:rPr>
        <w:t xml:space="preserve">آغاز: بعد از حمد تمام که تحفه و ارمغانی از جانب انبیاء عظامبه بارگاه ملک علام... پس گوید این ذره بی مقدار</w:t>
      </w:r>
    </w:p>
    <w:p>
      <w:pPr>
        <w:pStyle w:val="BookText"/>
      </w:pPr>
      <w:r>
        <w:rPr>
          <w:rFonts w:ascii="IRNazanin" w:hAnsi="IRNazanin" w:eastAsia="IRNazanin" w:cs="IRNazanin"/>
          <w:lang w:bidi="fa-IR"/>
          <w:color w:val="111111"/>
          <w:sz w:val="28"/>
          <w:szCs w:val="28"/>
          <w:rtl/>
        </w:rPr>
        <w:t xml:space="preserve">انجام: قلب از دست زننده این آتش بلاجهت طغیان دارد، بس است و سيعلم الذین ظلموا اي منقلب ينقلبون.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مرعشی؛ شماره نسخه: 13184/2</w:t>
      </w:r>
    </w:p>
    <w:p>
      <w:pPr>
        <w:pStyle w:val="BookText"/>
      </w:pPr>
      <w:r>
        <w:rPr>
          <w:rFonts w:ascii="IRNazanin" w:hAnsi="IRNazanin" w:eastAsia="IRNazanin" w:cs="IRNazanin"/>
          <w:lang w:bidi="fa-IR"/>
          <w:color w:val="111111"/>
          <w:sz w:val="28"/>
          <w:szCs w:val="28"/>
          <w:rtl/>
        </w:rPr>
        <w:t xml:space="preserve">آغاز: بعد از حمد تمام که تحفه و ارمغانی از جانب انبیاء عظامبه بارگاه ملک علام... پس گوید این ذره بی مقدار؛ انجام: قلب از دست زننده این آتش بلاجهت طغیان دارد، بس است و سیعلم الذين ظلموا اى منقلب ينقلبون.</w:t>
      </w:r>
    </w:p>
    <w:p>
      <w:pPr>
        <w:pStyle w:val="BookText"/>
      </w:pPr>
      <w:r>
        <w:rPr>
          <w:rFonts w:ascii="IRNazanin" w:hAnsi="IRNazanin" w:eastAsia="IRNazanin" w:cs="IRNazanin"/>
          <w:lang w:bidi="fa-IR"/>
          <w:color w:val="111111"/>
          <w:sz w:val="28"/>
          <w:szCs w:val="28"/>
          <w:rtl/>
        </w:rPr>
        <w:t xml:space="preserve">خط: نسخ، كاتب - مؤلف، تا: پنج شنبه 2 شوال 1336ق؛ ترقيمه: «شرع في تسويده و تألیفه .. عبدالنبی بن علی بن محمد جعفر الاستر آبادی .. بيمناه القاصر فى اوائل نهار الخميس من ثانى شهر شوال الكرم من شهور سنة 1336 و فرغ قبيل الغروب من ذلك اليوم و الحمد لله اولاً وآخراً»؛ محشی با نشان «منه»؛ کاغذ: فرنگی خط دار، 8گ (118 پ - 125 ر)، 10 سطر ، اندازه: 8</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سم [ف: 33- 350]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مجلس؛ شماره نسخه: 18564</w:t>
      </w:r>
    </w:p>
    <w:p>
      <w:pPr>
        <w:pStyle w:val="BookText"/>
      </w:pPr>
      <w:r>
        <w:rPr>
          <w:rFonts w:ascii="IRNazanin" w:hAnsi="IRNazanin" w:eastAsia="IRNazanin" w:cs="IRNazanin"/>
          <w:lang w:bidi="fa-IR"/>
          <w:color w:val="111111"/>
          <w:sz w:val="28"/>
          <w:szCs w:val="28"/>
          <w:rtl/>
        </w:rPr>
        <w:t xml:space="preserve">بی کا، تا: 1336ق [د.ث]</w:t>
      </w:r>
    </w:p>
    <w:p>
      <w:pPr>
        <w:pStyle w:val="Heading3"/>
      </w:pPr>
      <w:bookmarkStart w:id="702" w:name="_Toc224"/>
      <w:r>
        <w:t>ازاحة الشکوک فی تملک المملوك / فقه / عربی</w:t>
      </w:r>
      <w:bookmarkEnd w:id="702"/>
    </w:p>
    <w:p>
      <w:pPr>
        <w:pStyle w:val="BookText"/>
      </w:pPr>
      <w:r>
        <w:rPr>
          <w:rFonts w:ascii="Times New Roman" w:hAnsi="Times New Roman" w:eastAsia="Times New Roman" w:cs="Times New Roman"/>
          <w:lang w:val="en-US" w:bidi="en-US"/>
          <w:color w:val="111111"/>
          <w:sz w:val="28"/>
          <w:szCs w:val="28"/>
          <w:rtl/>
        </w:rPr>
        <w:t xml:space="preserve">izāḥat-uš šukūk fī tamalluk-il mamlūk</w:t>
      </w:r>
    </w:p>
    <w:p>
      <w:pPr>
        <w:pStyle w:val="BookText"/>
      </w:pPr>
      <w:r>
        <w:rPr>
          <w:rFonts w:ascii="IRNazanin" w:hAnsi="IRNazanin" w:eastAsia="IRNazanin" w:cs="IRNazanin"/>
          <w:lang w:bidi="fa-IR"/>
          <w:color w:val="111111"/>
          <w:sz w:val="28"/>
          <w:szCs w:val="28"/>
          <w:rtl/>
        </w:rPr>
        <w:t xml:space="preserve">مختار گلپایگانی، احمد بن علی، ق13 قمری</w:t>
      </w:r>
    </w:p>
    <w:p>
      <w:pPr>
        <w:pStyle w:val="BookText"/>
      </w:pPr>
      <w:r>
        <w:rPr>
          <w:rFonts w:ascii="Times New Roman" w:hAnsi="Times New Roman" w:eastAsia="Times New Roman" w:cs="Times New Roman"/>
          <w:lang w:val="en-US" w:bidi="en-US"/>
          <w:color w:val="111111"/>
          <w:sz w:val="28"/>
          <w:szCs w:val="28"/>
          <w:rtl/>
        </w:rPr>
        <w:t xml:space="preserve">(moxtar-e golpãy gānī, ahmad ebn-e 'alī (- 19c)</w:t>
      </w:r>
    </w:p>
    <w:p>
      <w:pPr>
        <w:pStyle w:val="BookText"/>
      </w:pPr>
      <w:r>
        <w:rPr>
          <w:rFonts w:ascii="IRNazanin" w:hAnsi="IRNazanin" w:eastAsia="IRNazanin" w:cs="IRNazanin"/>
          <w:lang w:bidi="fa-IR"/>
          <w:color w:val="111111"/>
          <w:sz w:val="28"/>
          <w:szCs w:val="28"/>
          <w:rtl/>
        </w:rPr>
        <w:t xml:space="preserve">تاریخ تألیف: یک شنبه 7 شعبان 1264ق</w:t>
      </w:r>
    </w:p>
    <w:p>
      <w:pPr>
        <w:pStyle w:val="BookText"/>
      </w:pPr>
      <w:r>
        <w:rPr>
          <w:rFonts w:ascii="IRNazanin" w:hAnsi="IRNazanin" w:eastAsia="IRNazanin" w:cs="IRNazanin"/>
          <w:lang w:bidi="fa-IR"/>
          <w:color w:val="111111"/>
          <w:sz w:val="28"/>
          <w:szCs w:val="28"/>
          <w:rtl/>
        </w:rPr>
        <w:t xml:space="preserve">کتابی استدلالی همراه با نقل اقوال فقهاء در احکام و فروع مربوط به عبد (بنده) است در یک «مقدمه» و شش «بحث» و یک خاتمه»: المقدمة فى ذكر امور مهمة، دارای 13 «امر»؛ بحث .1. في أن المملوك هل يستحق شيئاً من الحقوق الخلقية؛ 2. في أن المملوك هل له يملك شيئاً من التصرفات؛ 3. في أن المملوك هل له السلطنة على شيء ؛ 4. فى أن المملوك هل يباح له التصرف فى الاشياء 5. فى أن المملوك هل يملك التصرف بمعناه الاضافي .6.فى أن المملوك هل يملك ما كان مضموناً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75" w:name="pg20365_260097"/>
    <w:bookmarkEnd w:id="75"/>
    <w:p>
      <w:pPr>
        <w:pStyle w:val="BookText"/>
      </w:pPr>
      <w:r>
        <w:rPr>
          <w:rFonts w:ascii="Amiri" w:hAnsi="Amiri" w:eastAsia="Amiri" w:cs="Amiri"/>
          <w:lang w:bidi="ar-SA"/>
          <w:color w:val="111111"/>
          <w:sz w:val="28"/>
          <w:szCs w:val="28"/>
          <w:rtl/>
        </w:rPr>
        <w:t xml:space="preserve">فى الذمة؛ الخاتمة في مسائل متفرقة.</w:t>
      </w:r>
    </w:p>
    <w:p>
      <w:pPr>
        <w:pStyle w:val="BookText"/>
      </w:pPr>
      <w:r>
        <w:rPr>
          <w:rFonts w:ascii="Amiri" w:hAnsi="Amiri" w:eastAsia="Amiri" w:cs="Amiri"/>
          <w:lang w:bidi="ar-SA"/>
          <w:color w:val="111111"/>
          <w:sz w:val="28"/>
          <w:szCs w:val="28"/>
          <w:rtl/>
        </w:rPr>
        <w:t xml:space="preserve">آغاز: الحمد لله رب العالمين .. و بعد فيقول اقل الانام عملا جرماً و أجلهم زللا و جرماً العبد الاثم الجاني</w:t>
      </w:r>
    </w:p>
    <w:p>
      <w:pPr>
        <w:pStyle w:val="BookText"/>
      </w:pPr>
      <w:r>
        <w:rPr>
          <w:rFonts w:ascii="Amiri" w:hAnsi="Amiri" w:eastAsia="Amiri" w:cs="Amiri"/>
          <w:lang w:bidi="ar-SA"/>
          <w:color w:val="111111"/>
          <w:sz w:val="28"/>
          <w:szCs w:val="28"/>
          <w:rtl/>
        </w:rPr>
        <w:t xml:space="preserve">انجام: فالنقطع الكلام و لنختمه حامداً شاكراً مصلياً مستغفراً وقد وقع الفراغ من تأليف هذه العجالة و تنميق هذه الاوراق...</w:t>
      </w:r>
    </w:p>
    <w:p>
      <w:pPr>
        <w:pStyle w:val="BookText"/>
      </w:pPr>
      <w:r>
        <w:rPr>
          <w:rFonts w:ascii="IRNazanin" w:hAnsi="IRNazanin" w:eastAsia="IRNazanin" w:cs="IRNazanin"/>
          <w:lang w:bidi="fa-IR"/>
          <w:color w:val="111111"/>
          <w:sz w:val="28"/>
          <w:szCs w:val="28"/>
          <w:rtl/>
        </w:rPr>
        <w:t xml:space="preserve">قم؛ مرعشی؛ شماره نسخه: 3401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13 (در حیات مؤلف)؛ تملک: محمد رضا بن محمد جعفر به تاریخ 1349؛ جلد: تیماج قهوه ای بدون ،مقوا ،243گ 20 سطر ، اندازه: 15</w:t>
      </w:r>
      <w:r>
        <w:rPr>
          <w:rFonts w:ascii="Times New Roman" w:hAnsi="Times New Roman" w:eastAsia="Times New Roman" w:cs="Times New Roman"/>
          <w:lang w:val="en-US" w:bidi="en-US"/>
          <w:color w:val="111111"/>
          <w:sz w:val="28"/>
          <w:szCs w:val="28"/>
          <w:rtl/>
        </w:rPr>
        <w:t xml:space="preserve">×20/5 </w:t>
      </w:r>
      <w:r>
        <w:rPr>
          <w:rFonts w:ascii="IRNazanin" w:hAnsi="IRNazanin" w:eastAsia="IRNazanin" w:cs="IRNazanin"/>
          <w:lang w:bidi="fa-IR"/>
          <w:color w:val="111111"/>
          <w:sz w:val="28"/>
          <w:szCs w:val="28"/>
          <w:rtl/>
        </w:rPr>
        <w:t xml:space="preserve">سم [ف: 9 - 185]</w:t>
      </w:r>
    </w:p>
    <w:p>
      <w:pPr>
        <w:pStyle w:val="Heading3"/>
      </w:pPr>
      <w:bookmarkStart w:id="703" w:name="_Toc225"/>
      <w:r>
        <w:t>ازاحة العلة عن شرف حقيقة العزلة / عرفان و تصوف / عربی</w:t>
      </w:r>
      <w:bookmarkEnd w:id="703"/>
    </w:p>
    <w:p>
      <w:pPr>
        <w:pStyle w:val="BookText"/>
      </w:pPr>
      <w:r>
        <w:rPr>
          <w:rFonts w:ascii="Times New Roman" w:hAnsi="Times New Roman" w:eastAsia="Times New Roman" w:cs="Times New Roman"/>
          <w:lang w:val="en-US" w:bidi="en-US"/>
          <w:color w:val="111111"/>
          <w:sz w:val="28"/>
          <w:szCs w:val="28"/>
          <w:rtl/>
        </w:rPr>
        <w:t xml:space="preserve">izāḥat-ul-‘illa ‘an šaraf-i ḥaqīqat-il-‘uzla</w:t>
      </w:r>
    </w:p>
    <w:p>
      <w:pPr>
        <w:pStyle w:val="BookText"/>
      </w:pPr>
      <w:r>
        <w:rPr>
          <w:rFonts w:ascii="IRNazanin" w:hAnsi="IRNazanin" w:eastAsia="IRNazanin" w:cs="IRNazanin"/>
          <w:lang w:bidi="fa-IR"/>
          <w:color w:val="111111"/>
          <w:sz w:val="28"/>
          <w:szCs w:val="28"/>
          <w:rtl/>
        </w:rPr>
        <w:t xml:space="preserve">احسائی حسینی، شمس الدین ،محمد، ق 11 قمری</w:t>
      </w:r>
    </w:p>
    <w:p>
      <w:pPr>
        <w:pStyle w:val="BookText"/>
      </w:pPr>
      <w:r>
        <w:rPr>
          <w:rFonts w:ascii="Times New Roman" w:hAnsi="Times New Roman" w:eastAsia="Times New Roman" w:cs="Times New Roman"/>
          <w:lang w:val="en-US" w:bidi="en-US"/>
          <w:color w:val="111111"/>
          <w:sz w:val="28"/>
          <w:szCs w:val="28"/>
          <w:rtl/>
        </w:rPr>
        <w:t xml:space="preserve">(ahsā’ī hoseynī, šams-od-dīn mohammad ( - 17c)</w:t>
      </w:r>
    </w:p>
    <w:p>
      <w:pPr>
        <w:pStyle w:val="BookText"/>
      </w:pPr>
      <w:r>
        <w:rPr>
          <w:rFonts w:ascii="IRNazanin" w:hAnsi="IRNazanin" w:eastAsia="IRNazanin" w:cs="IRNazanin"/>
          <w:lang w:bidi="fa-IR"/>
          <w:color w:val="111111"/>
          <w:sz w:val="28"/>
          <w:szCs w:val="28"/>
          <w:rtl/>
        </w:rPr>
        <w:t xml:space="preserve">درباره عزلت است.</w:t>
      </w:r>
    </w:p>
    <w:p>
      <w:pPr>
        <w:pStyle w:val="BookText"/>
      </w:pPr>
      <w:r>
        <w:rPr>
          <w:rFonts w:ascii="IRNazanin" w:hAnsi="IRNazanin" w:eastAsia="IRNazanin" w:cs="IRNazanin"/>
          <w:lang w:bidi="fa-IR"/>
          <w:color w:val="111111"/>
          <w:sz w:val="28"/>
          <w:szCs w:val="28"/>
          <w:rtl/>
        </w:rPr>
        <w:t xml:space="preserve">تهران؛ سپهسالار؛ شماره نسخه: 8261/2</w:t>
      </w:r>
    </w:p>
    <w:p>
      <w:pPr>
        <w:pStyle w:val="BookText"/>
      </w:pPr>
      <w:r>
        <w:rPr>
          <w:rFonts w:ascii="Amiri" w:hAnsi="Amiri" w:eastAsia="Amiri" w:cs="Amiri"/>
          <w:lang w:bidi="ar-SA"/>
          <w:color w:val="111111"/>
          <w:sz w:val="28"/>
          <w:szCs w:val="28"/>
          <w:rtl/>
        </w:rPr>
        <w:t xml:space="preserve">آغاز: بسمله احمد الله الذى يلهم اوليائه طريقة المعارف و الاعتبار.</w:t>
      </w:r>
    </w:p>
    <w:p>
      <w:pPr>
        <w:pStyle w:val="BookText"/>
      </w:pPr>
      <w:r>
        <w:rPr>
          <w:rFonts w:ascii="IRNazanin" w:hAnsi="IRNazanin" w:eastAsia="IRNazanin" w:cs="IRNazanin"/>
          <w:lang w:bidi="fa-IR"/>
          <w:color w:val="111111"/>
          <w:sz w:val="28"/>
          <w:szCs w:val="28"/>
          <w:rtl/>
        </w:rPr>
        <w:t xml:space="preserve">...فبناءً على ذلك وفق الله لعبده الفقير شمس الدين محمد الحسينى لاملاء هذه الرسالة الموسومة بازاحه العلة عن شرف حقيقة العزلة؛ انجام: و العذر عند ذوى الالباب مقبول. و فرغ  من تسويدها مؤلفها شمس الدين ابن محمد الحسينى (رحمه الله) به مشهد مولاه على موسى الرضا فی 12 ربیع الاول 1083 حامداً ... و آله...</w:t>
      </w:r>
    </w:p>
    <w:p>
      <w:pPr>
        <w:pStyle w:val="BookText"/>
      </w:pPr>
      <w:r>
        <w:rPr>
          <w:rFonts w:ascii="IRNazanin" w:hAnsi="IRNazanin" w:eastAsia="IRNazanin" w:cs="IRNazanin"/>
          <w:lang w:bidi="fa-IR"/>
          <w:color w:val="111111"/>
          <w:sz w:val="28"/>
          <w:szCs w:val="28"/>
          <w:rtl/>
        </w:rPr>
        <w:t xml:space="preserve">خط: نسخ، کاتب - مؤلف، تا: 12 ربیع الاول 1083ق، جا: مشهد ؛کاغذ: فرنگی سفید، جلد: تیماج قهوه ای یک لا 30گ (41ر- 72ر)، 21 سطر ، اندازه: 10/5</w:t>
      </w:r>
      <w:r>
        <w:rPr>
          <w:rFonts w:ascii="Times New Roman" w:hAnsi="Times New Roman" w:eastAsia="Times New Roman" w:cs="Times New Roman"/>
          <w:lang w:val="en-US" w:bidi="en-US"/>
          <w:color w:val="111111"/>
          <w:sz w:val="28"/>
          <w:szCs w:val="28"/>
          <w:rtl/>
        </w:rPr>
        <w:t xml:space="preserve">×16/5</w:t>
      </w:r>
      <w:r>
        <w:rPr>
          <w:rFonts w:ascii="IRNazanin" w:hAnsi="IRNazanin" w:eastAsia="IRNazanin" w:cs="IRNazanin"/>
          <w:lang w:bidi="fa-IR"/>
          <w:color w:val="111111"/>
          <w:sz w:val="28"/>
          <w:szCs w:val="28"/>
          <w:rtl/>
        </w:rPr>
        <w:t xml:space="preserve">سم [ف: 3 - 113]</w:t>
      </w:r>
    </w:p>
    <w:p>
      <w:pPr>
        <w:pStyle w:val="Heading3"/>
      </w:pPr>
      <w:bookmarkStart w:id="704" w:name="_Toc226"/>
      <w:r>
        <w:t>ازاحة العلة فى معرفة القبلة / فقه / عربي</w:t>
      </w:r>
      <w:bookmarkEnd w:id="704"/>
    </w:p>
    <w:p>
      <w:pPr>
        <w:pStyle w:val="BookText"/>
      </w:pPr>
      <w:r>
        <w:rPr>
          <w:rFonts w:ascii="Times New Roman" w:hAnsi="Times New Roman" w:eastAsia="Times New Roman" w:cs="Times New Roman"/>
          <w:lang w:val="en-US" w:bidi="en-US"/>
          <w:color w:val="111111"/>
          <w:sz w:val="28"/>
          <w:szCs w:val="28"/>
          <w:rtl/>
        </w:rPr>
        <w:t xml:space="preserve">izāḥat-ul-‘illa fī ma‘rifat-il-qibla</w:t>
      </w:r>
    </w:p>
    <w:p>
      <w:pPr>
        <w:pStyle w:val="BookText"/>
      </w:pPr>
      <w:r>
        <w:rPr>
          <w:rFonts w:ascii="IRNazanin" w:hAnsi="IRNazanin" w:eastAsia="IRNazanin" w:cs="IRNazanin"/>
          <w:lang w:bidi="fa-IR"/>
          <w:color w:val="111111"/>
          <w:sz w:val="28"/>
          <w:szCs w:val="28"/>
          <w:rtl/>
        </w:rPr>
        <w:t xml:space="preserve">شاذان ،قمی ق6 قمری</w:t>
      </w:r>
    </w:p>
    <w:p>
      <w:pPr>
        <w:pStyle w:val="BookText"/>
      </w:pPr>
      <w:r>
        <w:rPr>
          <w:rFonts w:ascii="Times New Roman" w:hAnsi="Times New Roman" w:eastAsia="Times New Roman" w:cs="Times New Roman"/>
          <w:lang w:val="en-US" w:bidi="en-US"/>
          <w:color w:val="111111"/>
          <w:sz w:val="28"/>
          <w:szCs w:val="28"/>
          <w:rtl/>
        </w:rPr>
        <w:t xml:space="preserve">(šāzān-e qomī ( - 12c)</w:t>
      </w:r>
    </w:p>
    <w:p>
      <w:pPr>
        <w:pStyle w:val="BookText"/>
      </w:pPr>
      <w:r>
        <w:rPr>
          <w:rFonts w:ascii="IRNazanin" w:hAnsi="IRNazanin" w:eastAsia="IRNazanin" w:cs="IRNazanin"/>
          <w:lang w:bidi="fa-IR"/>
          <w:color w:val="111111"/>
          <w:sz w:val="28"/>
          <w:szCs w:val="28"/>
          <w:rtl/>
        </w:rPr>
        <w:t xml:space="preserve">به خواهش: امیر جمال الدین فرامرز بن علی بقرانی جرجانی</w:t>
      </w:r>
    </w:p>
    <w:p>
      <w:pPr>
        <w:pStyle w:val="BookText"/>
      </w:pPr>
      <w:r>
        <w:rPr>
          <w:rFonts w:ascii="Amiri" w:hAnsi="Amiri" w:eastAsia="Amiri" w:cs="Amiri"/>
          <w:lang w:bidi="ar-SA"/>
          <w:color w:val="111111"/>
          <w:sz w:val="28"/>
          <w:szCs w:val="28"/>
          <w:rtl/>
        </w:rPr>
        <w:t xml:space="preserve">تاريخ تأليف: 558ق؛ محل تاليف: مكه</w:t>
      </w:r>
    </w:p>
    <w:p>
      <w:pPr>
        <w:pStyle w:val="BookText"/>
      </w:pPr>
      <w:r>
        <w:rPr>
          <w:rFonts w:ascii="IRNazanin" w:hAnsi="IRNazanin" w:eastAsia="IRNazanin" w:cs="IRNazanin"/>
          <w:lang w:bidi="fa-IR"/>
          <w:color w:val="111111"/>
          <w:sz w:val="28"/>
          <w:szCs w:val="28"/>
          <w:rtl/>
        </w:rPr>
        <w:t xml:space="preserve">رساله ای درباره قبله است. شهید در «ذکری» فصلی از آن آورده است. حر عاملی(در فائده چهارم از خاتمه «وسایل الشيعه») و سید حسین بن حسن حسینی (زنده در 961) و شاگرد کرکی که در 941 نسخه ای از آن را نوشته بود آن را به غلط ازفضل بن شاذان نیشابوری (- 260ق) پنداشته اند [به تاریخ در دیباچه تصریح شده] (ذریعه 1: 527) و مجلسی در جلد دوم كتاب صلاة «بحار» هم آن رااز همو دانسته و بندی از آن</w:t>
      </w:r>
    </w:p>
    <w:p>
      <w:pPr>
        <w:pStyle w:val="BookText"/>
      </w:pPr>
      <w:r>
        <w:rPr>
          <w:rFonts w:ascii="IRNazanin" w:hAnsi="IRNazanin" w:eastAsia="IRNazanin" w:cs="IRNazanin"/>
          <w:lang w:bidi="fa-IR"/>
          <w:color w:val="111111"/>
          <w:sz w:val="28"/>
          <w:szCs w:val="28"/>
          <w:rtl/>
        </w:rPr>
        <w:t xml:space="preserve">را آورده است، ولی در جلد 81 «بحار الانوار» همه آن را آورده و از ابوالفضل شاذان دانسته و گفته است که برخی آن را نشناختند و از فضل بن شاذان پنداشتند کنتوری آن را از شیخ رکن الدین محمد بن فضل بن شاذان بن جبرئیل قمی دانسته و برای آغاز آن بند «اعلم ان الناس يتوجهون الى القبلة من اربع جوانب الارض فاهل العراق. ..» را که در آغاز فصل چهارم است یاد کرده است رساله دارای یک دیباچه در سبب تأليف كتاب و 18 «فصل (برخی 16 و برخی 17) است .1. وجوب توجه به قبله؛ 2. اقسام قبله .3. توجه رسول اکرم (صلّی اللَّهِ علیه وَ آلِهِ وَ سَلَّمَ ) از بیت المقدس به کعبه؛ 4. حکم کسی که در داخل کعبه است و یا بر بالای بام کعبه است؛ 5. چهار جهت قبله ,6. قبله عراق و خراسان و گیلان و غیره؛ 7. قبله مالطه و جزیره تا موصل؛ 8. قبله شام؛ 9. قبله مصر و قیروان؛ 10. قبله حبشه؛ 11. قبله چین و یمن؛ 12. قبله سند و هند 13. قبله بصره؛ 14. در صورتی که علائم قبله نباشد؛ 15. حكم شخص غریبی که وارد شهری شود و نداند قبله کدام سوی است؛ 16. حکم کسی که در مکه میباشد و خارج از مسجد الحرام است چگونه نماز بجای آورد؛ 17. در موردی علائم مذکور نباشد؛ 18 .حکم کسی که بر مرکبی سوار است چگونه بجهت قبله نماز بخواند؟</w:t>
      </w:r>
    </w:p>
    <w:p>
      <w:pPr>
        <w:pStyle w:val="BookText"/>
      </w:pPr>
      <w:r>
        <w:rPr>
          <w:rFonts w:ascii="IRNazanin" w:hAnsi="IRNazanin" w:eastAsia="IRNazanin" w:cs="IRNazanin"/>
          <w:lang w:bidi="fa-IR"/>
          <w:color w:val="111111"/>
          <w:sz w:val="28"/>
          <w:szCs w:val="28"/>
          <w:rtl/>
        </w:rPr>
        <w:t xml:space="preserve">آغاز: بسمله. الحمد لله الذي تفرد بالكبرياء و توحد بدوام البقاء و تفضل بالجود و النعماء و تعالى عن اتخاذ الصاحبة و الابناء و امتن علينا بالرسل والانبياء ثم اختار من بينهم من ختم به نبوتهم و سنم به ذروتهم و اشمل به دعوتهم محمد (صلّی اللَّهِ علیه وَ آلِهِ وَ سَلَّمَ ). .. اما بعد فان الامين الاجل الزاهد جمال الدين زين الاسلام و المسلمين الحاجى (؟) الحرمين الشريفين الفرامرز بن على المنقوانى الجرجاني ادام الله سعده لما كان بمكه المشرفة سنة ثمان و خمسين و خمسمائة كانه ظن ان الامارات التي يستدل بها على معرفة القبلة خارج الحرم يستدل بها ايضا داخل الحرم و عند مشاهدة الكعبة و كان الجواب عن ذلك ان الله تعالى جعل تلك الامارات دالة على معرفة القبلة لمن كان خارج الحرم نائيا عنه و كان شاهد الكعبة او جهتها فلايحتاج الى الاستدلال و لا الى معرفة الامارات .. (در بحار دیباچه نیامده و دارد: قال قدس سره سئلنى الامير فرامرز بن على الجرجانی املاء مختصرا يشتمل على ذكر معرفة القبلة. ...)</w:t>
      </w:r>
    </w:p>
    <w:p>
      <w:pPr>
        <w:pStyle w:val="BookText"/>
      </w:pPr>
      <w:r>
        <w:rPr>
          <w:rFonts w:ascii="IRNazanin" w:hAnsi="IRNazanin" w:eastAsia="IRNazanin" w:cs="IRNazanin"/>
          <w:lang w:bidi="fa-IR"/>
          <w:color w:val="111111"/>
          <w:sz w:val="28"/>
          <w:szCs w:val="28"/>
          <w:rtl/>
        </w:rPr>
        <w:t xml:space="preserve">انجام: فیصلى كيف شاء وليكن ايماء ويقتصر على التكبير على ما ذكره اصحابنا في كتبهم رضى الله عنهم و الحمد لله رب العالمين.</w:t>
      </w:r>
    </w:p>
    <w:p>
      <w:pPr>
        <w:pStyle w:val="BookText"/>
      </w:pPr>
      <w:r>
        <w:rPr>
          <w:rFonts w:ascii="Amiri" w:hAnsi="Amiri" w:eastAsia="Amiri" w:cs="Amiri"/>
          <w:lang w:bidi="ar-SA"/>
          <w:color w:val="111111"/>
          <w:sz w:val="28"/>
          <w:szCs w:val="28"/>
          <w:rtl/>
        </w:rPr>
        <w:t xml:space="preserve">[الذريعة 527/1؛ بحار الأنوار 73/81-85؛ مكتبة امير المومنين (93/1]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مجلس؛ شماره نسخه: 4339/11</w:t>
      </w:r>
    </w:p>
    <w:p>
      <w:pPr>
        <w:pStyle w:val="BookText"/>
      </w:pPr>
      <w:r>
        <w:rPr>
          <w:rFonts w:ascii="IRNazanin" w:hAnsi="IRNazanin" w:eastAsia="IRNazanin" w:cs="IRNazanin"/>
          <w:lang w:bidi="fa-IR"/>
          <w:color w:val="111111"/>
          <w:sz w:val="28"/>
          <w:szCs w:val="28"/>
          <w:rtl/>
        </w:rPr>
        <w:t xml:space="preserve">خط: نسخ، کا: محمد بن ابراهیم اوالی بحرانی، تا: قرن 10؛ جلد: تيماج سرخ، 4گ (260 پ- 264ر) ، 21 سطر ، اندازه: 11</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 12 - 42]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مجلس؛ شماره نسخه: 8421/2</w:t>
      </w:r>
    </w:p>
    <w:p>
      <w:pPr>
        <w:pStyle w:val="BookText"/>
      </w:pPr>
      <w:r>
        <w:rPr>
          <w:rFonts w:ascii="IRNazanin" w:hAnsi="IRNazanin" w:eastAsia="IRNazanin" w:cs="IRNazanin"/>
          <w:lang w:bidi="fa-IR"/>
          <w:color w:val="111111"/>
          <w:sz w:val="28"/>
          <w:szCs w:val="28"/>
          <w:rtl/>
        </w:rPr>
        <w:t xml:space="preserve">خط: نستعلیق، کا: عطاء الله بن مسيح بن ابراهيم بن حسن بن کرم الله آملی، تا: 22 ربیع الثانی 950ق؛ مصحح، محشی، به نقل مؤلف؛ جلد: تیماج دو رو قهوه ای مجدول ،زرین 4گ (49پ- 52ر)  ، اندازه 21/5</w:t>
      </w:r>
      <w:r>
        <w:rPr>
          <w:rFonts w:ascii="Times New Roman" w:hAnsi="Times New Roman" w:eastAsia="Times New Roman" w:cs="Times New Roman"/>
          <w:lang w:val="en-US" w:bidi="en-US"/>
          <w:color w:val="111111"/>
          <w:sz w:val="28"/>
          <w:szCs w:val="28"/>
          <w:rtl/>
        </w:rPr>
        <w:t xml:space="preserve">×15/5</w:t>
      </w:r>
      <w:r>
        <w:rPr>
          <w:rFonts w:ascii="IRNazanin" w:hAnsi="IRNazanin" w:eastAsia="IRNazanin" w:cs="IRNazanin"/>
          <w:lang w:bidi="fa-IR"/>
          <w:color w:val="111111"/>
          <w:sz w:val="28"/>
          <w:szCs w:val="28"/>
          <w:rtl/>
        </w:rPr>
        <w:t xml:space="preserve">سم [ف 28 - 26]</w:t>
      </w:r>
    </w:p>
    <w:p>
      <w:pPr>
        <w:pStyle w:val="BookText"/>
      </w:pPr>
      <w:r>
        <w:rPr>
          <w:rFonts w:ascii="IRNazanin" w:hAnsi="IRNazanin" w:eastAsia="IRNazanin" w:cs="IRNazanin"/>
          <w:lang w:bidi="fa-IR"/>
          <w:color w:val="111111"/>
          <w:sz w:val="28"/>
          <w:szCs w:val="28"/>
          <w:rtl/>
        </w:rPr>
        <w:t xml:space="preserve">3.قم؛ گلپایگانی؛ شماره نسخه: 96/5-1/96</w:t>
      </w:r>
    </w:p>
    <w:p>
      <w:pPr>
        <w:pStyle w:val="BookText"/>
      </w:pPr>
      <w:r>
        <w:rPr>
          <w:rFonts w:ascii="IRNazanin" w:hAnsi="IRNazanin" w:eastAsia="IRNazanin" w:cs="IRNazanin"/>
          <w:lang w:bidi="fa-IR"/>
          <w:color w:val="111111"/>
          <w:sz w:val="28"/>
          <w:szCs w:val="28"/>
          <w:rtl/>
        </w:rPr>
        <w:t xml:space="preserve">آغاز: التوجه اليها فى الصلوات كلها فرائضها و سننها مع الامكان عند الذبح... فصل فى ذكر اقسام القبلة واحكامها. المكلفون فی باب التوجه إلى القبلة على ثلاثة أقسام ؛انجام: برابر</w:t>
      </w:r>
    </w:p>
    <w:p>
      <w:pPr>
        <w:pStyle w:val="BookText"/>
      </w:pPr>
      <w:r>
        <w:rPr>
          <w:rFonts w:ascii="IRNazanin" w:hAnsi="IRNazanin" w:eastAsia="IRNazanin" w:cs="IRNazanin"/>
          <w:lang w:bidi="fa-IR"/>
          <w:color w:val="111111"/>
          <w:sz w:val="28"/>
          <w:szCs w:val="28"/>
          <w:rtl/>
        </w:rPr>
        <w:t xml:space="preserve">از «فصل فی ذکر اقسام القبلة» تا آخر ؛خط: نستعليق، كا: هدایت الله دست غیب حسنی حسینی،تا: دوشنبه ذیقعده 962ق؛ افتادگی: آغاز؛ 4گ، 23 سطر ، اندازه 14 </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1 - 319]</w:t>
      </w:r>
    </w:p>
    <w:p>
      <w:pPr>
        <w:pStyle w:val="BookText"/>
      </w:pPr>
      <w:r>
        <w:rPr>
          <w:rFonts w:ascii="IRNazanin" w:hAnsi="IRNazanin" w:eastAsia="IRNazanin" w:cs="IRNazanin"/>
          <w:lang w:bidi="fa-IR"/>
          <w:color w:val="111111"/>
          <w:sz w:val="28"/>
          <w:szCs w:val="28"/>
          <w:rtl/>
        </w:rPr>
        <w:t xml:space="preserve">4 . مشهد؛ رضوی؛ شماره نسخه: 20052</w:t>
      </w:r>
    </w:p>
    <w:p>
      <w:pPr>
        <w:pStyle w:val="BookText"/>
      </w:pPr>
      <w:r>
        <w:rPr>
          <w:rFonts w:ascii="IRNazanin" w:hAnsi="IRNazanin" w:eastAsia="IRNazanin" w:cs="IRNazanin"/>
          <w:lang w:bidi="fa-IR"/>
          <w:color w:val="111111"/>
          <w:sz w:val="28"/>
          <w:szCs w:val="28"/>
          <w:rtl/>
        </w:rPr>
        <w:t xml:space="preserve">آغاز: برابر؛ انجام: صلی الله علیه و آله الطيبين الطاهرين</w:t>
      </w:r>
    </w:p>
    <w:p>
      <w:pPr>
        <w:pStyle w:val="BookText"/>
      </w:pPr>
      <w:r>
        <w:rPr>
          <w:rFonts w:ascii="IRNazanin" w:hAnsi="IRNazanin" w:eastAsia="IRNazanin" w:cs="IRNazanin"/>
          <w:lang w:bidi="fa-IR"/>
          <w:color w:val="111111"/>
          <w:sz w:val="28"/>
          <w:szCs w:val="28"/>
          <w:rtl/>
        </w:rPr>
        <w:t xml:space="preserve">خط: نستعلیق، بی کا، تا: 966ق؛ اهدایی رهبری، خرداد 1373؛ کاغذ: نخودی ،جلد: تیماج قهوه ای، 6گ، 17 سطر ، اندازه: 10/5</w:t>
      </w:r>
      <w:r>
        <w:rPr>
          <w:rFonts w:ascii="Times New Roman" w:hAnsi="Times New Roman" w:eastAsia="Times New Roman" w:cs="Times New Roman"/>
          <w:lang w:val="en-US" w:bidi="en-US"/>
          <w:color w:val="111111"/>
          <w:sz w:val="28"/>
          <w:szCs w:val="28"/>
          <w:rtl/>
        </w:rPr>
        <w:t xml:space="preserve">×18/5</w:t>
      </w:r>
      <w:r>
        <w:rPr>
          <w:rFonts w:ascii="IRNazanin" w:hAnsi="IRNazanin" w:eastAsia="IRNazanin" w:cs="IRNazanin"/>
          <w:lang w:bidi="fa-IR"/>
          <w:color w:val="111111"/>
          <w:sz w:val="28"/>
          <w:szCs w:val="28"/>
          <w:rtl/>
        </w:rPr>
        <w:t xml:space="preserve">سم [ اهدائى - ف: 3 - 60]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قم؛ مرعشی؛ شماره نسخه: 14408/9</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شکسته، بی کا، تا: 967ق؛ کاغذ: شرقی 3گ (125 - 127)، 25 سطر ، اندازه: 9/5</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سم [ ف : 36 - 359]</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قم ؛گلپایگانی؛ شماره نسخه: 5279/5-26/159</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زین الدین بن ناصر، تا: یک شنبه 24 ربیع الثانی قرن 11، جا: یزد؛ در پایان رساله فایده ای از شهید ثانی در معرفت سمت قبله شام در یک برگ آمده است؛ جلد: تیماج قهوه ای، 7گ، 15 سطر ، اندازه: 12</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سم [ف: 1 - 319]</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تهران؛ مجلس؛ شماره نسخه: 5194/2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بد، بی کا، تا: قرن 11؛ محشی؛ کاغذ ،سپاهانی جلد: تیماج ضربی مشکی 7گ (55پ- 62ر)، 14 سطر (7</w:t>
      </w:r>
      <w:r>
        <w:rPr>
          <w:rFonts w:ascii="Times New Roman" w:hAnsi="Times New Roman" w:eastAsia="Times New Roman" w:cs="Times New Roman"/>
          <w:lang w:val="en-US" w:bidi="en-US"/>
          <w:color w:val="111111"/>
          <w:sz w:val="28"/>
          <w:szCs w:val="28"/>
          <w:rtl/>
        </w:rPr>
        <w:t xml:space="preserve">×12/5) </w:t>
      </w:r>
      <w:r>
        <w:rPr>
          <w:rFonts w:ascii="IRNazanin" w:hAnsi="IRNazanin" w:eastAsia="IRNazanin" w:cs="IRNazanin"/>
          <w:lang w:bidi="fa-IR"/>
          <w:color w:val="111111"/>
          <w:sz w:val="28"/>
          <w:szCs w:val="28"/>
          <w:rtl/>
        </w:rPr>
        <w:t xml:space="preserve">،اندازه: 12</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سم [ف: 16 - 24]</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تهران؛ ملک؛ شماره نسخه: 1729/5</w:t>
      </w:r>
    </w:p>
    <w:p>
      <w:pPr>
        <w:pStyle w:val="BookText"/>
      </w:pPr>
      <w:r>
        <w:rPr>
          <w:rFonts w:ascii="IRNazanin" w:hAnsi="IRNazanin" w:eastAsia="IRNazanin" w:cs="IRNazanin"/>
          <w:lang w:bidi="fa-IR"/>
          <w:color w:val="111111"/>
          <w:sz w:val="28"/>
          <w:szCs w:val="28"/>
          <w:rtl/>
        </w:rPr>
        <w:t xml:space="preserve">خط: نسخ، بی کا، تا: قرن 11 :کاغذ: ترمه، جلد: میشن سیاه، 19 سطر [ف: 5 - 348]</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تهران؛ دانشگاه؛ شماره نسخه: 7100/6</w:t>
      </w:r>
    </w:p>
    <w:p>
      <w:pPr>
        <w:pStyle w:val="BookText"/>
      </w:pPr>
      <w:r>
        <w:rPr>
          <w:rFonts w:ascii="IRNazanin" w:hAnsi="IRNazanin" w:eastAsia="IRNazanin" w:cs="IRNazanin"/>
          <w:lang w:bidi="fa-IR"/>
          <w:color w:val="111111"/>
          <w:sz w:val="28"/>
          <w:szCs w:val="28"/>
          <w:rtl/>
        </w:rPr>
        <w:t xml:space="preserve">خط: نسخ، بی کا، تا: قرن 11؛ کاغذ: سپاهانی، جلد: تیماج ،مقوایی 7 ص 20 سطر (7</w:t>
      </w:r>
      <w:r>
        <w:rPr>
          <w:rFonts w:ascii="Times New Roman" w:hAnsi="Times New Roman" w:eastAsia="Times New Roman" w:cs="Times New Roman"/>
          <w:lang w:val="en-US" w:bidi="en-US"/>
          <w:color w:val="111111"/>
          <w:sz w:val="28"/>
          <w:szCs w:val="28"/>
          <w:rtl/>
        </w:rPr>
        <w:t xml:space="preserve">×13/5) </w:t>
      </w:r>
      <w:r>
        <w:rPr>
          <w:rFonts w:ascii="IRNazanin" w:hAnsi="IRNazanin" w:eastAsia="IRNazanin" w:cs="IRNazanin"/>
          <w:lang w:bidi="fa-IR"/>
          <w:color w:val="111111"/>
          <w:sz w:val="28"/>
          <w:szCs w:val="28"/>
          <w:rtl/>
        </w:rPr>
        <w:t xml:space="preserve">، قطع: ربعی، اندازه: 13</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ف: 16 - 455]</w:t>
      </w:r>
    </w:p>
    <w:p>
      <w:pPr>
        <w:pStyle w:val="BookText"/>
      </w:pPr>
      <w:r>
        <w:rPr>
          <w:rFonts w:ascii="IRNazanin" w:hAnsi="IRNazanin" w:eastAsia="IRNazanin" w:cs="IRNazanin"/>
          <w:lang w:bidi="fa-IR"/>
          <w:color w:val="111111"/>
          <w:sz w:val="28"/>
          <w:szCs w:val="28"/>
          <w:rtl/>
        </w:rPr>
        <w:t xml:space="preserve">10 . اصفهان؛ دانشگاه؛ شماره نسخه: 83/5</w:t>
      </w:r>
    </w:p>
    <w:p>
      <w:pPr>
        <w:pStyle w:val="BookText"/>
      </w:pPr>
      <w:r>
        <w:rPr>
          <w:rFonts w:ascii="IRNazanin" w:hAnsi="IRNazanin" w:eastAsia="IRNazanin" w:cs="IRNazanin"/>
          <w:lang w:bidi="fa-IR"/>
          <w:color w:val="111111"/>
          <w:sz w:val="28"/>
          <w:szCs w:val="28"/>
          <w:rtl/>
        </w:rPr>
        <w:t xml:space="preserve">خط: نسخ، بی کا، تا: قرن 11؛ کاغذ: سپاهانی [ نشریه: 11 - 924]</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شیراز؛ علامه طباطبائی؛ شماره نسخه: 79/1</w:t>
      </w:r>
    </w:p>
    <w:p>
      <w:pPr>
        <w:pStyle w:val="BookText"/>
      </w:pPr>
      <w:r>
        <w:rPr>
          <w:rFonts w:ascii="IRNazanin" w:hAnsi="IRNazanin" w:eastAsia="IRNazanin" w:cs="IRNazanin"/>
          <w:lang w:bidi="fa-IR"/>
          <w:color w:val="111111"/>
          <w:sz w:val="28"/>
          <w:szCs w:val="28"/>
          <w:rtl/>
        </w:rPr>
        <w:t xml:space="preserve">خط: نسخ، کا: ابراهيم بن حسن بن علی بن ابراهيم بن يوسف بن مسلم بن سالم بن عامر کعبی جزائری، تا: قرن 11 ،5گ (1-6ر)، اندازه: 14</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 نسخه پژوهی: 3 - 77]</w:t>
      </w:r>
    </w:p>
    <w:p>
      <w:pPr>
        <w:pStyle w:val="BookText"/>
      </w:pPr>
      <w:r>
        <w:rPr>
          <w:rFonts w:ascii="IRNazanin" w:hAnsi="IRNazanin" w:eastAsia="IRNazanin" w:cs="IRNazanin"/>
          <w:lang w:bidi="fa-IR"/>
          <w:color w:val="111111"/>
          <w:sz w:val="28"/>
          <w:szCs w:val="28"/>
          <w:rtl/>
        </w:rPr>
        <w:t xml:space="preserve">12 . مشهد؛ گوهر شاد؛ شماره نسخه: 1109/10</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و نستعلیق، بی کا، تا: 12 ربیع الثانی 1031ق؛ مهر: حاج سید سعید؛ جلد: تیماج تریاکی 13ص، 17 سطر (7/5</w:t>
      </w:r>
      <w:r>
        <w:rPr>
          <w:rFonts w:ascii="Times New Roman" w:hAnsi="Times New Roman" w:eastAsia="Times New Roman" w:cs="Times New Roman"/>
          <w:lang w:val="en-US" w:bidi="en-US"/>
          <w:color w:val="111111"/>
          <w:sz w:val="28"/>
          <w:szCs w:val="28"/>
          <w:rtl/>
        </w:rPr>
        <w:t xml:space="preserve">×10)</w:t>
      </w:r>
      <w:r>
        <w:rPr>
          <w:rFonts w:ascii="IRNazanin" w:hAnsi="IRNazanin" w:eastAsia="IRNazanin" w:cs="IRNazanin"/>
          <w:lang w:bidi="fa-IR"/>
          <w:color w:val="111111"/>
          <w:sz w:val="28"/>
          <w:szCs w:val="28"/>
          <w:rtl/>
        </w:rPr>
        <w:t xml:space="preserve">، :اندازه: 12</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 [ف: 3 - 1536]</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تهران؛ مجلس؛ شماره نسخه : 15232/31</w:t>
      </w:r>
    </w:p>
    <w:p>
      <w:pPr>
        <w:pStyle w:val="BookText"/>
      </w:pPr>
      <w:r>
        <w:rPr>
          <w:rFonts w:ascii="IRNazanin" w:hAnsi="IRNazanin" w:eastAsia="IRNazanin" w:cs="IRNazanin"/>
          <w:lang w:bidi="fa-IR"/>
          <w:color w:val="111111"/>
          <w:sz w:val="28"/>
          <w:szCs w:val="28"/>
          <w:rtl/>
        </w:rPr>
        <w:t xml:space="preserve">خط: تحریری، بی کا، تا: 1035ق؛ 1گ (176ر) [مختصر-ف:49]</w:t>
      </w:r>
    </w:p>
    <w:p>
      <w:pPr>
        <w:pStyle w:val="BookText"/>
      </w:pPr>
      <w:r>
        <w:rPr>
          <w:rFonts w:ascii="IRNazanin" w:hAnsi="IRNazanin" w:eastAsia="IRNazanin" w:cs="IRNazanin"/>
          <w:lang w:bidi="fa-IR"/>
          <w:color w:val="111111"/>
          <w:sz w:val="28"/>
          <w:szCs w:val="28"/>
          <w:rtl/>
        </w:rPr>
        <w:t xml:space="preserve">14 . قم؛ مرعشی؛ شماره نسخه: 10966/1 و 1440/1عکسی</w:t>
      </w:r>
    </w:p>
    <w:p>
      <w:pPr>
        <w:pStyle w:val="BookText"/>
      </w:pPr>
      <w:r>
        <w:rPr>
          <w:rFonts w:ascii="IRNazanin" w:hAnsi="IRNazanin" w:eastAsia="IRNazanin" w:cs="IRNazanin"/>
          <w:lang w:bidi="fa-IR"/>
          <w:color w:val="111111"/>
          <w:sz w:val="28"/>
          <w:szCs w:val="28"/>
          <w:rtl/>
        </w:rPr>
        <w:t xml:space="preserve">خط: نسخ و نستعلیق، بی کا، تا: غره ربیع الثانی 1072ق؛ مصحح ؛جلد: تیماج مشکی ضربی، 10گ (1پ-11ر)، اندازه:15</w:t>
      </w:r>
      <w:r>
        <w:rPr>
          <w:rFonts w:ascii="Times New Roman" w:hAnsi="Times New Roman" w:eastAsia="Times New Roman" w:cs="Times New Roman"/>
          <w:lang w:val="en-US" w:bidi="en-US"/>
          <w:color w:val="111111"/>
          <w:sz w:val="28"/>
          <w:szCs w:val="28"/>
          <w:rtl/>
        </w:rPr>
        <w:t xml:space="preserve">×20/5</w:t>
      </w:r>
      <w:r>
        <w:rPr>
          <w:rFonts w:ascii="IRNazanin" w:hAnsi="IRNazanin" w:eastAsia="IRNazanin" w:cs="IRNazanin"/>
          <w:lang w:bidi="fa-IR"/>
          <w:color w:val="111111"/>
          <w:sz w:val="28"/>
          <w:szCs w:val="28"/>
          <w:rtl/>
        </w:rPr>
        <w:t xml:space="preserve">سم [ف: 27 - 376] و [عکسی ف 4 - 273]</w:t>
      </w:r>
    </w:p>
    <w:p>
      <w:pPr>
        <w:pStyle w:val="BookText"/>
      </w:pPr>
      <w:r>
        <w:rPr>
          <w:rFonts w:ascii="IRNazanin" w:hAnsi="IRNazanin" w:eastAsia="IRNazanin" w:cs="IRNazanin"/>
          <w:lang w:bidi="fa-IR"/>
          <w:color w:val="111111"/>
          <w:sz w:val="28"/>
          <w:szCs w:val="28"/>
          <w:rtl/>
        </w:rPr>
        <w:t xml:space="preserve">15 . مشهد؛ رضوی؛ شماره نسخه: 7187</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1072ق، جا: لاهیجان؛ مجدول، ضمیمه نسخه ش 2798؛ واقف: نائینی مرداد 1311؛ کاغذ: نخودی روشن، جلد: مقوا، 2گ 23 سطر ، اندازه: 43</w:t>
      </w:r>
      <w:r>
        <w:rPr>
          <w:rFonts w:ascii="Times New Roman" w:hAnsi="Times New Roman" w:eastAsia="Times New Roman" w:cs="Times New Roman"/>
          <w:lang w:val="en-US" w:bidi="en-US"/>
          <w:color w:val="111111"/>
          <w:sz w:val="28"/>
          <w:szCs w:val="28"/>
          <w:rtl/>
        </w:rPr>
        <w:t xml:space="preserve">×26</w:t>
      </w:r>
      <w:r>
        <w:rPr>
          <w:rFonts w:ascii="IRNazanin" w:hAnsi="IRNazanin" w:eastAsia="IRNazanin" w:cs="IRNazanin"/>
          <w:lang w:bidi="fa-IR"/>
          <w:color w:val="111111"/>
          <w:sz w:val="28"/>
          <w:szCs w:val="28"/>
          <w:rtl/>
        </w:rPr>
        <w:t xml:space="preserve">سم [ف 5-380]</w:t>
      </w:r>
    </w:p>
    <w:p>
      <w:pPr>
        <w:pStyle w:val="BookText"/>
      </w:pPr>
      <w:r>
        <w:rPr>
          <w:rFonts w:ascii="IRNazanin" w:hAnsi="IRNazanin" w:eastAsia="IRNazanin" w:cs="IRNazanin"/>
          <w:lang w:bidi="fa-IR"/>
          <w:color w:val="111111"/>
          <w:sz w:val="28"/>
          <w:szCs w:val="28"/>
          <w:rtl/>
        </w:rPr>
        <w:t xml:space="preserve">16 . تهران؛ دانشگاه؛ شماره نسخه: 6966/3</w:t>
      </w:r>
    </w:p>
    <w:p>
      <w:pPr>
        <w:pStyle w:val="BookText"/>
      </w:pPr>
      <w:r>
        <w:rPr>
          <w:rFonts w:ascii="IRNazanin" w:hAnsi="IRNazanin" w:eastAsia="IRNazanin" w:cs="IRNazanin"/>
          <w:lang w:bidi="fa-IR"/>
          <w:color w:val="111111"/>
          <w:sz w:val="28"/>
          <w:szCs w:val="28"/>
          <w:rtl/>
        </w:rPr>
        <w:t xml:space="preserve">خط: نسخ، کا: محمد بن حاکم بن حسن، تا: 1 محرم 1086ق؛ برای خودش؛ کاغذ ،سپاهانی، جلد: مقوا عطف و گرد مشکی، 21 سطر (8</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قطع: ربعی، اندازه: 15</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16 - 414]</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مشهد؛ رضوی؛ شماره نسخه: ض15318</w:t>
      </w:r>
    </w:p>
    <w:p>
      <w:pPr>
        <w:pStyle w:val="BookText"/>
      </w:pPr>
      <w:r>
        <w:rPr>
          <w:rFonts w:ascii="IRNazanin" w:hAnsi="IRNazanin" w:eastAsia="IRNazanin" w:cs="IRNazanin"/>
          <w:lang w:bidi="fa-IR"/>
          <w:color w:val="111111"/>
          <w:sz w:val="28"/>
          <w:szCs w:val="28"/>
          <w:rtl/>
        </w:rPr>
        <w:t xml:space="preserve">خط: نسخ، بی کا ،تا: 1096ق [الفبائی: 621]</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تهران؛ دائرة المعارف؛ شماره نسخه: 428/4</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تحریری، بی کا، تا: 1101ق؛ سپس فائده ای در معرفت سمت قبله از طرف شام، از شهید ثانی (33ر-33پ)؛ 5گ (30 پ - 34ر) [ف: 1 - 15]</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شیراز؛ امام عصر؛ شماره نسخه: 231/4</w:t>
      </w:r>
    </w:p>
    <w:p>
      <w:pPr>
        <w:pStyle w:val="BookText"/>
      </w:pPr>
      <w:r>
        <w:rPr>
          <w:rFonts w:ascii="IRNazanin" w:hAnsi="IRNazanin" w:eastAsia="IRNazanin" w:cs="IRNazanin"/>
          <w:lang w:bidi="fa-IR"/>
          <w:color w:val="111111"/>
          <w:sz w:val="28"/>
          <w:szCs w:val="28"/>
          <w:rtl/>
        </w:rPr>
        <w:t xml:space="preserve">آغاز: بسمله الحمد لله رب العالمين. و بعد این قیودیست سودمند ارباب تعلیم و تعلم</w:t>
      </w:r>
    </w:p>
    <w:p>
      <w:pPr>
        <w:pStyle w:val="BookText"/>
      </w:pPr>
      <w:r>
        <w:rPr>
          <w:rFonts w:ascii="IRNazanin" w:hAnsi="IRNazanin" w:eastAsia="IRNazanin" w:cs="IRNazanin"/>
          <w:lang w:bidi="fa-IR"/>
          <w:color w:val="111111"/>
          <w:sz w:val="28"/>
          <w:szCs w:val="28"/>
          <w:rtl/>
        </w:rPr>
        <w:t xml:space="preserve">آغاز: نقل شده در این نسخه غیر مرتبط است و این آغاز مربوط به حاشيه حاشیه تهذيب المنطق تجلی شیرازی است که معلوم نیست چرا فهرست نگار این چنین ثبت کرده و محتملاً نقل آغاز اشتباه شده چون نام کتاب و نام مؤلف صحيح آمده؛ خط: نسخ، محمد رفیع بن حسین علی، تا: دوشنبه 20 جمادى الثانى 1116ق؛ از «بحار الانوار» نوشته است؛ 4گ (31-35) اندازه:14</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1 - 104]</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قم؛ مرعشی؛ شماره نسخه: 12135/8</w:t>
      </w:r>
    </w:p>
    <w:p>
      <w:pPr>
        <w:pStyle w:val="BookText"/>
      </w:pPr>
      <w:r>
        <w:rPr>
          <w:rFonts w:ascii="Amiri" w:hAnsi="Amiri" w:eastAsia="Amiri" w:cs="Amiri"/>
          <w:lang w:bidi="ar-SA"/>
          <w:color w:val="111111"/>
          <w:sz w:val="28"/>
          <w:szCs w:val="28"/>
          <w:rtl/>
        </w:rPr>
        <w:t xml:space="preserve">آغاز: بسمله رب يسر يا كريم؛ فصل فى الجهة، الناس يتوجهون الى القبلة من أربع جوانب الأرض؛ انجام: و الشمال على عين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اليسرى و... و الجنوب بين الكتفين و الحمد لله رب العالمين الصلوة على محمد و آله أجمعين.</w:t>
      </w:r>
    </w:p>
    <w:p>
      <w:pPr>
        <w:pStyle w:val="BookText"/>
      </w:pPr>
      <w:r>
        <w:rPr>
          <w:rFonts w:ascii="IRNazanin" w:hAnsi="IRNazanin" w:eastAsia="IRNazanin" w:cs="IRNazanin"/>
          <w:lang w:bidi="fa-IR"/>
          <w:color w:val="111111"/>
          <w:sz w:val="28"/>
          <w:szCs w:val="28"/>
          <w:rtl/>
        </w:rPr>
        <w:t xml:space="preserve">خط: نسخ خوش، بی کا، تا: قرن 13؛ بعد از انجام 12 برگ افزودگی هایی شامل چند سؤال و جواب فقهی و کلامی از تولانية قواعد شهید و دروس و نیز چند بیت شعر عربی و سایر فوائد که در مناجات حج، اشعاری از «ابی نواس» و «اصمعی»و «خواجه نصیر طوسی» و فائده ای بین برگ های «(130-141) در «رضاع» از محقق کرکی دیده می شود؛ کاغذ: شرقی آهار مهره ؛جلد: تیماج حنایی مجدول عطف تیماج قهوه ای، 4گ، (127-130)، 14 سطر (9</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 اندازه: 13</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30- 591]</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شیراز؛ علامه طباطبائی؛ شماره نسخه: 69/4</w:t>
      </w:r>
    </w:p>
    <w:p>
      <w:pPr>
        <w:pStyle w:val="BookText"/>
      </w:pPr>
      <w:r>
        <w:rPr>
          <w:rFonts w:ascii="IRNazanin" w:hAnsi="IRNazanin" w:eastAsia="IRNazanin" w:cs="IRNazanin"/>
          <w:lang w:bidi="fa-IR"/>
          <w:color w:val="111111"/>
          <w:sz w:val="28"/>
          <w:szCs w:val="28"/>
          <w:rtl/>
        </w:rPr>
        <w:t xml:space="preserve">خط: نسخ، بی کا، تا: سه شنبه 21ربیع الاول 1250ق؛ اندازه: 10</w:t>
      </w:r>
      <w:r>
        <w:rPr>
          <w:rFonts w:ascii="Times New Roman" w:hAnsi="Times New Roman" w:eastAsia="Times New Roman" w:cs="Times New Roman"/>
          <w:lang w:val="en-US" w:bidi="en-US"/>
          <w:color w:val="111111"/>
          <w:sz w:val="28"/>
          <w:szCs w:val="28"/>
          <w:rtl/>
        </w:rPr>
        <w:t xml:space="preserve">× 14</w:t>
      </w:r>
      <w:r>
        <w:rPr>
          <w:rFonts w:ascii="IRNazanin" w:hAnsi="IRNazanin" w:eastAsia="IRNazanin" w:cs="IRNazanin"/>
          <w:lang w:bidi="fa-IR"/>
          <w:color w:val="111111"/>
          <w:sz w:val="28"/>
          <w:szCs w:val="28"/>
          <w:rtl/>
        </w:rPr>
        <w:t xml:space="preserve">سم [ نسخه پژوهی: 3 - 75]</w:t>
      </w:r>
    </w:p>
    <w:p>
      <w:pPr>
        <w:pStyle w:val="BookText"/>
      </w:pPr>
      <w:r>
        <w:rPr>
          <w:rFonts w:ascii="IRNazanin" w:hAnsi="IRNazanin" w:eastAsia="IRNazanin" w:cs="IRNazanin"/>
          <w:lang w:bidi="fa-IR"/>
          <w:color w:val="111111"/>
          <w:sz w:val="28"/>
          <w:szCs w:val="28"/>
          <w:rtl/>
        </w:rPr>
        <w:t xml:space="preserve">22.قم؛ مرعشی؛ شماره نسخه: 13096/42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ابوالقاسم حسینی فرزند میرزا عزیز، تا: 12 صفر 1262ق، جا: تهران؛ محشی؛ کاغذ: فرنگی آهار مهره ؛جلد: تیماج ضربی مجدول سبز با ترنج و سر ترنج گل و بوته و اژدها، 3گ (204پ - 206پ)، 33 سطر ، اندازه: 15</w:t>
      </w:r>
      <w:r>
        <w:rPr>
          <w:rFonts w:ascii="Times New Roman" w:hAnsi="Times New Roman" w:eastAsia="Times New Roman" w:cs="Times New Roman"/>
          <w:lang w:val="en-US" w:bidi="en-US"/>
          <w:color w:val="111111"/>
          <w:sz w:val="28"/>
          <w:szCs w:val="28"/>
          <w:rtl/>
        </w:rPr>
        <w:t xml:space="preserve">× 27</w:t>
      </w:r>
      <w:r>
        <w:rPr>
          <w:rFonts w:ascii="IRNazanin" w:hAnsi="IRNazanin" w:eastAsia="IRNazanin" w:cs="IRNazanin"/>
          <w:lang w:bidi="fa-IR"/>
          <w:color w:val="111111"/>
          <w:sz w:val="28"/>
          <w:szCs w:val="28"/>
          <w:rtl/>
        </w:rPr>
        <w:t xml:space="preserve">سم [ف: 33 - 194]</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خوی؛ ملا علی خوئی (شریف)؛ شماره نسخه: 24/2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مهدی بن محمد بن بابا خویی، تا: یک شنبه 25صفر 1273ق؛ جلد: تیماج زیتونی ضربی دارای ترنج با سر، مجدول، 6 گ،(14 -20) ، 17 سطر ، اندازه: 16/5</w:t>
      </w:r>
      <w:r>
        <w:rPr>
          <w:rFonts w:ascii="Times New Roman" w:hAnsi="Times New Roman" w:eastAsia="Times New Roman" w:cs="Times New Roman"/>
          <w:lang w:val="en-US" w:bidi="en-US"/>
          <w:color w:val="111111"/>
          <w:sz w:val="28"/>
          <w:szCs w:val="28"/>
          <w:rtl/>
        </w:rPr>
        <w:t xml:space="preserve">×21/5 </w:t>
      </w:r>
      <w:r>
        <w:rPr>
          <w:rFonts w:ascii="Amiri" w:hAnsi="Amiri" w:eastAsia="Amiri" w:cs="Amiri"/>
          <w:lang w:bidi="ar-SA"/>
          <w:color w:val="111111"/>
          <w:sz w:val="28"/>
          <w:szCs w:val="28"/>
          <w:rtl/>
        </w:rPr>
        <w:t xml:space="preserve">سم [ اورق عتيق: 1 - 129]</w:t>
      </w:r>
    </w:p>
    <w:p>
      <w:pPr>
        <w:pStyle w:val="BookText"/>
      </w:pPr>
      <w:r>
        <w:rPr>
          <w:rFonts w:ascii="IRNazanin" w:hAnsi="IRNazanin" w:eastAsia="IRNazanin" w:cs="IRNazanin"/>
          <w:lang w:bidi="fa-IR"/>
          <w:color w:val="111111"/>
          <w:sz w:val="28"/>
          <w:szCs w:val="28"/>
          <w:rtl/>
        </w:rPr>
        <w:t xml:space="preserve">24 . قم؛ مرعشی؛ شماره نسخه: 5143/4</w:t>
      </w:r>
    </w:p>
    <w:p>
      <w:pPr>
        <w:pStyle w:val="BookText"/>
      </w:pPr>
      <w:r>
        <w:rPr>
          <w:rFonts w:ascii="IRNazanin" w:hAnsi="IRNazanin" w:eastAsia="IRNazanin" w:cs="IRNazanin"/>
          <w:lang w:bidi="fa-IR"/>
          <w:color w:val="111111"/>
          <w:sz w:val="28"/>
          <w:szCs w:val="28"/>
          <w:rtl/>
        </w:rPr>
        <w:t xml:space="preserve">خط: نستعلیق، کا: محمد حسین قزوینی، تا: سه شنبه 25ربیع الاول 1286ق؛ افتادگی: آغاز؛ جلد: مقوایی عطف پارچه 5گ (65پ- 70ر)، اندازه: 11</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[ف: 13 - 348]</w:t>
      </w:r>
    </w:p>
    <w:p>
      <w:pPr>
        <w:pStyle w:val="BookText"/>
      </w:pPr>
      <w:r>
        <w:rPr>
          <w:rFonts w:ascii="IRNazanin" w:hAnsi="IRNazanin" w:eastAsia="IRNazanin" w:cs="IRNazanin"/>
          <w:lang w:bidi="fa-IR"/>
          <w:color w:val="111111"/>
          <w:sz w:val="28"/>
          <w:szCs w:val="28"/>
          <w:rtl/>
        </w:rPr>
        <w:t xml:space="preserve">25 . قم؛ مؤسسه آیة الله بروجردی؛ شماره نسخه: 458/2</w:t>
      </w:r>
    </w:p>
    <w:p>
      <w:pPr>
        <w:pStyle w:val="BookText"/>
      </w:pPr>
      <w:r>
        <w:rPr>
          <w:rFonts w:ascii="IRNazanin" w:hAnsi="IRNazanin" w:eastAsia="IRNazanin" w:cs="IRNazanin"/>
          <w:lang w:bidi="fa-IR"/>
          <w:color w:val="111111"/>
          <w:sz w:val="28"/>
          <w:szCs w:val="28"/>
          <w:rtl/>
        </w:rPr>
        <w:t xml:space="preserve">خط: نستعلیق، کا: میرزا حسین بن محمد تقی نوری طبرسی،تا: 1298ق، جا: مشهد مقدس؛ جلد: تیماج زرشکی 7گ (46پ- 53پ) اندازه: 10/5</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 [ف: 2 - 289]</w:t>
      </w:r>
    </w:p>
    <w:p>
      <w:pPr>
        <w:pStyle w:val="BookText"/>
      </w:pPr>
      <w:r>
        <w:rPr>
          <w:rFonts w:ascii="IRNazanin" w:hAnsi="IRNazanin" w:eastAsia="IRNazanin" w:cs="IRNazanin"/>
          <w:lang w:bidi="fa-IR"/>
          <w:color w:val="111111"/>
          <w:sz w:val="28"/>
          <w:szCs w:val="28"/>
          <w:rtl/>
        </w:rPr>
        <w:t xml:space="preserve">26 .قم؛ مرعشی؛ شماره نسخه: 679</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محمد تقی بن محمد صالح، تا: پنجشنبه 24 رجب 1330ق؛ به دستور سید ریحان الله؛ تملک: ریحان الله موسوی ومهر «العبد ريحان الله الموسوى» (بيضى)؛ 10گ، 14 سطر ، اندازه : 11</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 [ف: 2 - 278]</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شیراز؛ ملی؛ شماره نسخه 10-ر /472/8</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نام مؤلف و کتاب در فهرست مجهول مانده و با توجه به آغاز و انجام تصحیح شد؛ خط: نسخ، بی کا، بی تا؛ کاغذ: فرنگی،نخودی ،جلد: مقوایی، 8 ص 15 سطر (8/5</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اندازه: 14/5</w:t>
      </w:r>
      <w:r>
        <w:rPr>
          <w:rFonts w:ascii="Times New Roman" w:hAnsi="Times New Roman" w:eastAsia="Times New Roman" w:cs="Times New Roman"/>
          <w:lang w:val="en-US" w:bidi="en-US"/>
          <w:color w:val="111111"/>
          <w:sz w:val="28"/>
          <w:szCs w:val="28"/>
          <w:rtl/>
        </w:rPr>
        <w:t xml:space="preserve">×20/5</w:t>
      </w:r>
      <w:r>
        <w:rPr>
          <w:rFonts w:ascii="IRNazanin" w:hAnsi="IRNazanin" w:eastAsia="IRNazanin" w:cs="IRNazanin"/>
          <w:lang w:bidi="fa-IR"/>
          <w:color w:val="111111"/>
          <w:sz w:val="28"/>
          <w:szCs w:val="28"/>
          <w:rtl/>
        </w:rPr>
        <w:t xml:space="preserve">سم [ف: 2 - 66]</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قم؛ مرعشی؛ شماره نسخه: 7036/8</w:t>
      </w:r>
    </w:p>
    <w:p>
      <w:pPr>
        <w:pStyle w:val="BookText"/>
      </w:pPr>
      <w:r>
        <w:rPr>
          <w:rFonts w:ascii="IRNazanin" w:hAnsi="IRNazanin" w:eastAsia="IRNazanin" w:cs="IRNazanin"/>
          <w:lang w:bidi="fa-IR"/>
          <w:color w:val="111111"/>
          <w:sz w:val="28"/>
          <w:szCs w:val="28"/>
          <w:rtl/>
        </w:rPr>
        <w:t xml:space="preserve">خط: نسخ و نستعلیق، بی کا، بی تا؛ جلد: تیماج قهوه ای، 3گ (111ر - 113پ) ، اندازه: 18/5</w:t>
      </w:r>
      <w:r>
        <w:rPr>
          <w:rFonts w:ascii="Times New Roman" w:hAnsi="Times New Roman" w:eastAsia="Times New Roman" w:cs="Times New Roman"/>
          <w:lang w:val="en-US" w:bidi="en-US"/>
          <w:color w:val="111111"/>
          <w:sz w:val="28"/>
          <w:szCs w:val="28"/>
          <w:rtl/>
        </w:rPr>
        <w:t xml:space="preserve">×30</w:t>
      </w:r>
      <w:r>
        <w:rPr>
          <w:rFonts w:ascii="IRNazanin" w:hAnsi="IRNazanin" w:eastAsia="IRNazanin" w:cs="IRNazanin"/>
          <w:lang w:bidi="fa-IR"/>
          <w:color w:val="111111"/>
          <w:sz w:val="28"/>
          <w:szCs w:val="28"/>
          <w:rtl/>
        </w:rPr>
        <w:t xml:space="preserve">سم [ف : 18 - 198]</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مشهد؛ رضوی؛ شماره نسخه: 6045</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 نسخ، كا: عبدالمجيد حافظ بن حبيب الله، بی تا؛ ضمیمه نسخه شماره 2797؛ واقف: خواجه شیر احمد تونی؛ کاغذ: نخودی، جلد: تیماج عنابی عطف خرمایی، 6گ، 19 سطر ، اندازه: 14</w:t>
      </w:r>
      <w:r>
        <w:rPr>
          <w:rFonts w:ascii="Times New Roman" w:hAnsi="Times New Roman" w:eastAsia="Times New Roman" w:cs="Times New Roman"/>
          <w:lang w:val="en-US" w:bidi="en-US"/>
          <w:color w:val="111111"/>
          <w:sz w:val="28"/>
          <w:szCs w:val="28"/>
          <w:rtl/>
        </w:rPr>
        <w:t xml:space="preserve">× 24 </w:t>
      </w:r>
      <w:r>
        <w:rPr>
          <w:rFonts w:ascii="IRNazanin" w:hAnsi="IRNazanin" w:eastAsia="IRNazanin" w:cs="IRNazanin"/>
          <w:lang w:bidi="fa-IR"/>
          <w:color w:val="111111"/>
          <w:sz w:val="28"/>
          <w:szCs w:val="28"/>
          <w:rtl/>
        </w:rPr>
        <w:t xml:space="preserve">سم [ف: 5 - 381]</w:t>
      </w:r>
    </w:p>
    <w:p>
      <w:pPr>
        <w:pStyle w:val="BookText"/>
      </w:pPr>
      <w:r>
        <w:rPr>
          <w:rFonts w:ascii="IRNazanin" w:hAnsi="IRNazanin" w:eastAsia="IRNazanin" w:cs="IRNazanin"/>
          <w:lang w:bidi="fa-IR"/>
          <w:color w:val="111111"/>
          <w:sz w:val="28"/>
          <w:szCs w:val="28"/>
          <w:rtl/>
        </w:rPr>
        <w:t xml:space="preserve">30.قم؛ گلپایگانی؛ شماره نسخه: 147/7-1/147</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مصحح؛ 8گ، 15 سطر ، اندازه: 13</w:t>
      </w:r>
      <w:r>
        <w:rPr>
          <w:rFonts w:ascii="Times New Roman" w:hAnsi="Times New Roman" w:eastAsia="Times New Roman" w:cs="Times New Roman"/>
          <w:lang w:val="en-US" w:bidi="en-US"/>
          <w:color w:val="111111"/>
          <w:sz w:val="28"/>
          <w:szCs w:val="28"/>
          <w:rtl/>
        </w:rPr>
        <w:t xml:space="preserve">×19/5</w:t>
      </w:r>
      <w:r>
        <w:rPr>
          <w:rFonts w:ascii="IRNazanin" w:hAnsi="IRNazanin" w:eastAsia="IRNazanin" w:cs="IRNazanin"/>
          <w:lang w:bidi="fa-IR"/>
          <w:color w:val="111111"/>
          <w:sz w:val="28"/>
          <w:szCs w:val="28"/>
          <w:rtl/>
        </w:rPr>
        <w:t xml:space="preserve">سم [ف: 1 - 319]</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تهران؛ مجلس؛ شماره نسخه: 2761/16</w:t>
      </w:r>
    </w:p>
    <w:p>
      <w:pPr>
        <w:pStyle w:val="BookText"/>
      </w:pPr>
      <w:r>
        <w:rPr>
          <w:rFonts w:ascii="Amiri" w:hAnsi="Amiri" w:eastAsia="Amiri" w:cs="Amiri"/>
          <w:lang w:bidi="ar-SA"/>
          <w:color w:val="111111"/>
          <w:sz w:val="28"/>
          <w:szCs w:val="28"/>
          <w:rtl/>
        </w:rPr>
        <w:t xml:space="preserve">آغاز: بسمله و به نستعين .. قال الشيخ ركن الدين محمد بن فضل شاذان بن جبرئيل القمى رحمه الله فى الرسالة الموسومه بازاحة العله فى معرفة القبله فى التوجه الى القبله من اربع جوانب البيت اعلم؛ انجام: ان بها محراب للامام ابى الحسن الرضا عليه السلم فان صح النقل فلاعدول عنه والا ولى جواز المواجهة فى التيمن و التيا سروان كان بالاستقبال الى الركن العراقى تمت الرساله.</w:t>
      </w:r>
    </w:p>
    <w:p>
      <w:pPr>
        <w:pStyle w:val="BookText"/>
      </w:pPr>
      <w:r>
        <w:rPr>
          <w:rFonts w:ascii="IRNazanin" w:hAnsi="IRNazanin" w:eastAsia="IRNazanin" w:cs="IRNazanin"/>
          <w:lang w:bidi="fa-IR"/>
          <w:color w:val="111111"/>
          <w:sz w:val="28"/>
          <w:szCs w:val="28"/>
          <w:rtl/>
        </w:rPr>
        <w:t xml:space="preserve">خط: نسخ، کا: محمد بن بدوی، بی تا؛ کاغذ: اصفهانی، شکری، جلد:  تیماج مقوادار زرشکی ،سیر 11 ص (563-574)، 15 سطر ،</w:t>
      </w:r>
    </w:p>
    <w:p>
      <w:pPr>
        <w:pStyle w:val="BookText"/>
      </w:pPr>
      <w:r>
        <w:rPr>
          <w:rFonts w:ascii="IRNazanin" w:hAnsi="IRNazanin" w:eastAsia="IRNazanin" w:cs="IRNazanin"/>
          <w:lang w:bidi="fa-IR"/>
          <w:color w:val="111111"/>
          <w:sz w:val="28"/>
          <w:szCs w:val="28"/>
          <w:rtl/>
        </w:rPr>
        <w:t xml:space="preserve">قطع: خشتی، اندازه: 12</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سم [ف: 9 - 164]</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قم؛ مرکز احیاء؛ شماره نسخه: 362/4</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و نستعلیق، بی کا، بی تا؛ جلد: تیماج مشکی بدون مقوا، 2گ (36 پ - 38 ر) اندازه: 15</w:t>
      </w:r>
      <w:r>
        <w:rPr>
          <w:rFonts w:ascii="Times New Roman" w:hAnsi="Times New Roman" w:eastAsia="Times New Roman" w:cs="Times New Roman"/>
          <w:lang w:val="en-US" w:bidi="en-US"/>
          <w:color w:val="111111"/>
          <w:sz w:val="28"/>
          <w:szCs w:val="28"/>
          <w:rtl/>
        </w:rPr>
        <w:t xml:space="preserve">×20/5 </w:t>
      </w:r>
      <w:r>
        <w:rPr>
          <w:rFonts w:ascii="IRNazanin" w:hAnsi="IRNazanin" w:eastAsia="IRNazanin" w:cs="IRNazanin"/>
          <w:lang w:bidi="fa-IR"/>
          <w:color w:val="111111"/>
          <w:sz w:val="28"/>
          <w:szCs w:val="28"/>
          <w:rtl/>
        </w:rPr>
        <w:t xml:space="preserve">سم [ف: 1 - 473]</w:t>
      </w:r>
    </w:p>
    <w:p>
      <w:pPr>
        <w:pStyle w:val="BookText"/>
      </w:pPr>
      <w:r>
        <w:rPr>
          <w:rFonts w:ascii="IRNazanin" w:hAnsi="IRNazanin" w:eastAsia="IRNazanin" w:cs="IRNazanin"/>
          <w:lang w:bidi="fa-IR"/>
          <w:color w:val="111111"/>
          <w:sz w:val="28"/>
          <w:szCs w:val="28"/>
          <w:rtl/>
        </w:rPr>
        <w:t xml:space="preserve">33 .مشهد؛ حیدری؛ شماره نسخه: 31/6</w:t>
      </w:r>
    </w:p>
    <w:p>
      <w:pPr>
        <w:pStyle w:val="BookText"/>
      </w:pPr>
      <w:r>
        <w:rPr>
          <w:rFonts w:ascii="IRNazanin" w:hAnsi="IRNazanin" w:eastAsia="IRNazanin" w:cs="IRNazanin"/>
          <w:lang w:bidi="fa-IR"/>
          <w:color w:val="111111"/>
          <w:sz w:val="28"/>
          <w:szCs w:val="28"/>
          <w:rtl/>
        </w:rPr>
        <w:t xml:space="preserve">بی کا، بی تا[ اندیشه حوزه س 2، ش 7 - 213]</w:t>
      </w:r>
    </w:p>
    <w:p>
      <w:pPr>
        <w:pStyle w:val="BookText"/>
      </w:pPr>
      <w:r>
        <w:rPr>
          <w:rFonts w:ascii="IRNazanin" w:hAnsi="IRNazanin" w:eastAsia="IRNazanin" w:cs="IRNazanin"/>
          <w:lang w:bidi="fa-IR"/>
          <w:color w:val="111111"/>
          <w:sz w:val="28"/>
          <w:szCs w:val="28"/>
          <w:rtl/>
        </w:rPr>
        <w:t xml:space="preserve">34 . اصفهان؛ ادبیات؛ شماره نسخه: 41/5</w:t>
      </w:r>
    </w:p>
    <w:p>
      <w:pPr>
        <w:pStyle w:val="BookText"/>
      </w:pPr>
      <w:r>
        <w:rPr>
          <w:rFonts w:ascii="IRNazanin" w:hAnsi="IRNazanin" w:eastAsia="IRNazanin" w:cs="IRNazanin"/>
          <w:lang w:bidi="fa-IR"/>
          <w:color w:val="111111"/>
          <w:sz w:val="28"/>
          <w:szCs w:val="28"/>
          <w:rtl/>
        </w:rPr>
        <w:t xml:space="preserve">بی کا، بی تا[ نشریه: 5 - 304]</w:t>
      </w:r>
    </w:p>
    <w:p>
      <w:pPr>
        <w:pStyle w:val="BookText"/>
      </w:pPr>
      <w:r>
        <w:rPr>
          <w:rFonts w:ascii="IRNazanin" w:hAnsi="IRNazanin" w:eastAsia="IRNazanin" w:cs="IRNazanin"/>
          <w:lang w:bidi="fa-IR"/>
          <w:color w:val="111111"/>
          <w:sz w:val="28"/>
          <w:szCs w:val="28"/>
          <w:rtl/>
        </w:rPr>
        <w:t xml:space="preserve">35 .نجف آباد؛ حججی؛ شماره نسخه: 65/14</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كا: محمد معصوم بن محمد قاسم کشمیری، بی تا؛ جلد: تیماج قهوه ای مجدول لبه دار با ترنج و سرترنج، 3گ (113پ -115پ)،:اندازه: 17</w:t>
      </w:r>
      <w:r>
        <w:rPr>
          <w:rFonts w:ascii="Times New Roman" w:hAnsi="Times New Roman" w:eastAsia="Times New Roman" w:cs="Times New Roman"/>
          <w:lang w:val="en-US" w:bidi="en-US"/>
          <w:color w:val="111111"/>
          <w:sz w:val="28"/>
          <w:szCs w:val="28"/>
          <w:rtl/>
        </w:rPr>
        <w:t xml:space="preserve">×24</w:t>
      </w:r>
      <w:r>
        <w:rPr>
          <w:rFonts w:ascii="IRNazanin" w:hAnsi="IRNazanin" w:eastAsia="IRNazanin" w:cs="IRNazanin"/>
          <w:lang w:bidi="fa-IR"/>
          <w:color w:val="111111"/>
          <w:sz w:val="28"/>
          <w:szCs w:val="28"/>
          <w:rtl/>
        </w:rPr>
        <w:t xml:space="preserve">سم [ف: 106]</w:t>
      </w:r>
    </w:p>
    <w:p>
      <w:pPr>
        <w:pStyle w:val="BookText"/>
      </w:pPr>
      <w:r>
        <w:rPr>
          <w:rFonts w:ascii="IRNazanin" w:hAnsi="IRNazanin" w:eastAsia="IRNazanin" w:cs="IRNazanin"/>
          <w:lang w:bidi="fa-IR"/>
          <w:color w:val="111111"/>
          <w:sz w:val="28"/>
          <w:szCs w:val="28"/>
          <w:rtl/>
        </w:rPr>
        <w:t xml:space="preserve">36 .تهران؛ دانشگاه؛ شماره نسخه: 882/3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محشی؛ پس از این بحثی است درباره سمت قبله شام و عبارتی از حبل المتین بهائی (فصل 1 مقصد ص 6 ،197-190 چاپی) درباره قبله در برگ (66 ر-77 ر)؛ 7 گ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76" w:name="pg20365_260100"/>
    <w:bookmarkEnd w:id="76"/>
    <w:p>
      <w:pPr>
        <w:pStyle w:val="BookText"/>
      </w:pPr>
      <w:r>
        <w:rPr>
          <w:rFonts w:ascii="IRNazanin" w:hAnsi="IRNazanin" w:eastAsia="IRNazanin" w:cs="IRNazanin"/>
          <w:lang w:bidi="fa-IR"/>
          <w:color w:val="111111"/>
          <w:sz w:val="28"/>
          <w:szCs w:val="28"/>
          <w:rtl/>
        </w:rPr>
        <w:t xml:space="preserve">(59پ - 66 ر) [ف: 5 - 1774]</w:t>
      </w:r>
    </w:p>
    <w:p>
      <w:pPr>
        <w:pStyle w:val="Heading3"/>
      </w:pPr>
      <w:bookmarkStart w:id="705" w:name="_Toc227"/>
      <w:r>
        <w:t>ازاحة و اراحة / اصول فقه / عربی</w:t>
      </w:r>
      <w:bookmarkEnd w:id="705"/>
    </w:p>
    <w:p>
      <w:pPr>
        <w:pStyle w:val="BookText"/>
      </w:pPr>
      <w:r>
        <w:rPr>
          <w:rFonts w:ascii="Times New Roman" w:hAnsi="Times New Roman" w:eastAsia="Times New Roman" w:cs="Times New Roman"/>
          <w:lang w:val="en-US" w:bidi="en-US"/>
          <w:color w:val="111111"/>
          <w:sz w:val="28"/>
          <w:szCs w:val="28"/>
          <w:rtl/>
        </w:rPr>
        <w:t xml:space="preserve">izāḥa wa irāḥa</w:t>
      </w:r>
    </w:p>
    <w:p>
      <w:pPr>
        <w:pStyle w:val="BookText"/>
      </w:pPr>
      <w:r>
        <w:rPr>
          <w:rFonts w:ascii="IRNazanin" w:hAnsi="IRNazanin" w:eastAsia="IRNazanin" w:cs="IRNazanin"/>
          <w:lang w:bidi="fa-IR"/>
          <w:color w:val="111111"/>
          <w:sz w:val="28"/>
          <w:szCs w:val="28"/>
          <w:rtl/>
        </w:rPr>
        <w:t xml:space="preserve">اخباری، محمد بن عبدالنبی، 1178 - 1232 ؟ قمری</w:t>
      </w:r>
    </w:p>
    <w:p>
      <w:pPr>
        <w:pStyle w:val="BookText"/>
      </w:pPr>
      <w:r>
        <w:rPr>
          <w:rFonts w:ascii="Times New Roman" w:hAnsi="Times New Roman" w:eastAsia="Times New Roman" w:cs="Times New Roman"/>
          <w:lang w:val="en-US" w:bidi="en-US"/>
          <w:color w:val="111111"/>
          <w:sz w:val="28"/>
          <w:szCs w:val="28"/>
          <w:rtl/>
        </w:rPr>
        <w:t xml:space="preserve">(axbārī, mohammad ebn-e ‘abd-on-nabī (1765-1817)</w:t>
      </w:r>
    </w:p>
    <w:p>
      <w:pPr>
        <w:pStyle w:val="BookText"/>
      </w:pPr>
      <w:r>
        <w:rPr>
          <w:rFonts w:ascii="IRNazanin" w:hAnsi="IRNazanin" w:eastAsia="IRNazanin" w:cs="IRNazanin"/>
          <w:lang w:bidi="fa-IR"/>
          <w:color w:val="111111"/>
          <w:sz w:val="28"/>
          <w:szCs w:val="28"/>
          <w:rtl/>
        </w:rPr>
        <w:t xml:space="preserve">در پاسخ این ایراد که راوی گفته که یا تو باید رستگار باشی  یا دیگران، او می گوید که دانشمندان دیگر مانند من راه کاوش و جستجو پیش گرفتند و چشم به راه نبودند که دیگری با آنها همرأی باشد ولی باید از دلیل پیروی نمود و کسانی که در ضروریات به راه باطل روند بایسته نیست که تبهکار باشند.</w:t>
      </w:r>
    </w:p>
    <w:p>
      <w:pPr>
        <w:pStyle w:val="BookText"/>
      </w:pPr>
      <w:r>
        <w:rPr>
          <w:rFonts w:ascii="IRNazanin" w:hAnsi="IRNazanin" w:eastAsia="IRNazanin" w:cs="IRNazanin"/>
          <w:lang w:bidi="fa-IR"/>
          <w:color w:val="111111"/>
          <w:sz w:val="28"/>
          <w:szCs w:val="28"/>
          <w:rtl/>
        </w:rPr>
        <w:t xml:space="preserve">تهران؛ دانشگاه؛ شماره نسخه: 922/11</w:t>
      </w:r>
    </w:p>
    <w:p>
      <w:pPr>
        <w:pStyle w:val="BookText"/>
      </w:pPr>
      <w:r>
        <w:rPr>
          <w:rFonts w:ascii="IRNazanin" w:hAnsi="IRNazanin" w:eastAsia="IRNazanin" w:cs="IRNazanin"/>
          <w:lang w:bidi="fa-IR"/>
          <w:color w:val="111111"/>
          <w:sz w:val="28"/>
          <w:szCs w:val="28"/>
          <w:rtl/>
        </w:rPr>
        <w:t xml:space="preserve">آغاز: ازاحة و اراحة : لقد اورد على بعض الفضلاء... بانک تفردت فى المذهب اولا ثم قلت بان الحق فى واحد فيلزم اما هلاكك نجاة الكل او نجاتک و هلاک الکل فاجبته بانی لست متفردا المذهب اولا فان هذا كتابى الحجة البالغة ذكرت فيها جمیع المسائل الاصولية و ذكرت فيه الاقوال والادلة واخذت ما اخترت مشاركا فى كل مسئلة جماعة من اجلاء الاصحاب من اهل  الاصول و الكلام المرضيين عند جميع الاعلام مع ان مذهب التحقيق هو اخذ الطريق بمقتضى البرهان لم يكن تمة شريك ام كان قال الله تعالى و كان ابراهيم امة قانتا و قال قال رجل مؤمن من آل فرعون و في الحديث ان المؤمن وحده جماعة ؛ انجام: و ليس انكار من يخالفنى على من خواصى اذ ما من احد الا و ينكر علیه من يخالفه فما كان جوابهم فهو جوابنا و الله الهادى.</w:t>
      </w:r>
    </w:p>
    <w:p>
      <w:pPr>
        <w:pStyle w:val="BookText"/>
      </w:pPr>
      <w:r>
        <w:rPr>
          <w:rFonts w:ascii="IRNazanin" w:hAnsi="IRNazanin" w:eastAsia="IRNazanin" w:cs="IRNazanin"/>
          <w:lang w:bidi="fa-IR"/>
          <w:color w:val="111111"/>
          <w:sz w:val="28"/>
          <w:szCs w:val="28"/>
          <w:rtl/>
        </w:rPr>
        <w:t xml:space="preserve">خط: نستعلیق، بی کا، بی تا، کاغذ: فرنگی ،جلد: تیماج زرد ضربی ،مقوایی 2گ (142 پ- 143 پ) 17 سطر (9</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15</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سم [ف: 5 - 1689]</w:t>
      </w:r>
    </w:p>
    <w:p>
      <w:pPr>
        <w:pStyle w:val="Heading3"/>
      </w:pPr>
      <w:bookmarkStart w:id="706" w:name="_Toc228"/>
      <w:r>
        <w:t>ازالة الارتياب فى وجوب الحجاب / فقه / فارسی</w:t>
      </w:r>
      <w:bookmarkEnd w:id="706"/>
    </w:p>
    <w:p>
      <w:pPr>
        <w:pStyle w:val="BookText"/>
      </w:pPr>
      <w:r>
        <w:rPr>
          <w:rFonts w:ascii="Times New Roman" w:hAnsi="Times New Roman" w:eastAsia="Times New Roman" w:cs="Times New Roman"/>
          <w:lang w:val="en-US" w:bidi="en-US"/>
          <w:color w:val="111111"/>
          <w:sz w:val="28"/>
          <w:szCs w:val="28"/>
          <w:rtl/>
        </w:rPr>
        <w:t xml:space="preserve">ezālat-ol-ertīyāb fī vojūb-el-hejāb</w:t>
      </w:r>
    </w:p>
    <w:p>
      <w:pPr>
        <w:pStyle w:val="BookText"/>
      </w:pPr>
      <w:r>
        <w:rPr>
          <w:rFonts w:ascii="IRNazanin" w:hAnsi="IRNazanin" w:eastAsia="IRNazanin" w:cs="IRNazanin"/>
          <w:lang w:bidi="fa-IR"/>
          <w:color w:val="111111"/>
          <w:sz w:val="28"/>
          <w:szCs w:val="28"/>
          <w:rtl/>
        </w:rPr>
        <w:t xml:space="preserve">عصار، محمد بن محمود، 1264؟ - 1356 ؟ قمرى</w:t>
      </w:r>
    </w:p>
    <w:p>
      <w:pPr>
        <w:pStyle w:val="BookText"/>
      </w:pPr>
      <w:r>
        <w:rPr>
          <w:rFonts w:ascii="Times New Roman" w:hAnsi="Times New Roman" w:eastAsia="Times New Roman" w:cs="Times New Roman"/>
          <w:lang w:val="en-US" w:bidi="en-US"/>
          <w:color w:val="111111"/>
          <w:sz w:val="28"/>
          <w:szCs w:val="28"/>
          <w:rtl/>
        </w:rPr>
        <w:t xml:space="preserve">(assār, mohammad ebn-e mahmūd (1848 - 1937)</w:t>
      </w:r>
    </w:p>
    <w:p>
      <w:pPr>
        <w:pStyle w:val="BookText"/>
      </w:pPr>
      <w:r>
        <w:rPr>
          <w:rFonts w:ascii="IRNazanin" w:hAnsi="IRNazanin" w:eastAsia="IRNazanin" w:cs="IRNazanin"/>
          <w:lang w:bidi="fa-IR"/>
          <w:color w:val="111111"/>
          <w:sz w:val="28"/>
          <w:szCs w:val="28"/>
          <w:rtl/>
        </w:rPr>
        <w:t xml:space="preserve">تاریخ تألیف: 10 ذيحجه 1340ق</w:t>
      </w:r>
    </w:p>
    <w:p>
      <w:pPr>
        <w:pStyle w:val="BookText"/>
      </w:pPr>
      <w:r>
        <w:rPr>
          <w:rFonts w:ascii="IRNazanin" w:hAnsi="IRNazanin" w:eastAsia="IRNazanin" w:cs="IRNazanin"/>
          <w:lang w:bidi="fa-IR"/>
          <w:color w:val="111111"/>
          <w:sz w:val="28"/>
          <w:szCs w:val="28"/>
          <w:rtl/>
        </w:rPr>
        <w:t xml:space="preserve">رساله ای است استدلالی در وجوب نقاب برای زنان که دراثر مقاله مندرجه در شماره 32 از سال 34 روزنامه حبل المتین تألیف نموده است.</w:t>
      </w:r>
    </w:p>
    <w:p>
      <w:pPr>
        <w:pStyle w:val="BookText"/>
      </w:pPr>
      <w:r>
        <w:rPr>
          <w:rFonts w:ascii="IRNazanin" w:hAnsi="IRNazanin" w:eastAsia="IRNazanin" w:cs="IRNazanin"/>
          <w:lang w:bidi="fa-IR"/>
          <w:color w:val="111111"/>
          <w:sz w:val="28"/>
          <w:szCs w:val="28"/>
          <w:rtl/>
        </w:rPr>
        <w:t xml:space="preserve">آغاز: بر عکس نهند نام زنگی کافور روزنامه نگاری که خود را معرفی به جلال الدین مؤيد الاسلام نموده</w:t>
      </w:r>
    </w:p>
    <w:p>
      <w:pPr>
        <w:pStyle w:val="BookText"/>
      </w:pPr>
      <w:r>
        <w:rPr>
          <w:rFonts w:ascii="IRNazanin" w:hAnsi="IRNazanin" w:eastAsia="IRNazanin" w:cs="IRNazanin"/>
          <w:lang w:bidi="fa-IR"/>
          <w:color w:val="111111"/>
          <w:sz w:val="28"/>
          <w:szCs w:val="28"/>
          <w:rtl/>
        </w:rPr>
        <w:t xml:space="preserve">انجام: و ذکر حکایات مترتبه بر بی حجابی ننمودم.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مشهد؛ رضوی؛ شماره نسخه: 5836</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نستعليق، كاتب - مؤلف، بی تا ؛واقف: مؤلف، 18 مرداد 1315؛ كاغذ: كاغذ نسخه آبی ،جلد: مقوا با روکش پارچه، 24گ، 25 و 26 سطر ، اندازه: 12</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5 - 381]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مشهد؛ رضوی؛ شماره نسخه: 3506</w:t>
      </w:r>
    </w:p>
    <w:p>
      <w:pPr>
        <w:pStyle w:val="BookText"/>
      </w:pPr>
      <w:r>
        <w:rPr>
          <w:rFonts w:ascii="IRNazanin" w:hAnsi="IRNazanin" w:eastAsia="IRNazanin" w:cs="IRNazanin"/>
          <w:lang w:bidi="fa-IR"/>
          <w:color w:val="111111"/>
          <w:sz w:val="28"/>
          <w:szCs w:val="28"/>
          <w:rtl/>
        </w:rPr>
        <w:t xml:space="preserve">آغاز: برابر؛ انجام: وقایع تاریخی ناشیه از کشف حجاب نمودیم.</w:t>
      </w:r>
    </w:p>
    <w:p>
      <w:pPr>
        <w:pStyle w:val="BookText"/>
      </w:pPr>
      <w:r>
        <w:rPr>
          <w:rFonts w:ascii="IRNazanin" w:hAnsi="IRNazanin" w:eastAsia="IRNazanin" w:cs="IRNazanin"/>
          <w:lang w:bidi="fa-IR"/>
          <w:color w:val="111111"/>
          <w:sz w:val="28"/>
          <w:szCs w:val="28"/>
          <w:rtl/>
        </w:rPr>
        <w:t xml:space="preserve">...در روز عید قربان 1345 تعبیر باهل بیان شد</w:t>
      </w:r>
    </w:p>
    <w:p>
      <w:pPr>
        <w:pStyle w:val="BookText"/>
      </w:pPr>
      <w:r>
        <w:rPr>
          <w:rFonts w:ascii="IRNazanin" w:hAnsi="IRNazanin" w:eastAsia="IRNazanin" w:cs="IRNazanin"/>
          <w:lang w:bidi="fa-IR"/>
          <w:color w:val="111111"/>
          <w:sz w:val="28"/>
          <w:szCs w:val="28"/>
          <w:rtl/>
        </w:rPr>
        <w:t xml:space="preserve">خط: نستعلیق، بی کا، تا:1345ق [الفبائی: 41]</w:t>
      </w:r>
    </w:p>
    <w:p>
      <w:pPr>
        <w:pStyle w:val="Heading3"/>
      </w:pPr>
      <w:bookmarkStart w:id="707" w:name="_Toc229"/>
      <w:r>
        <w:t>ازالة الاوهام عن اشتباهات العوام في الاسماء و الاعلام / ادبیات / عربی</w:t>
      </w:r>
      <w:bookmarkEnd w:id="707"/>
    </w:p>
    <w:p>
      <w:pPr>
        <w:pStyle w:val="BookText"/>
      </w:pPr>
      <w:r>
        <w:rPr>
          <w:rFonts w:ascii="Times New Roman" w:hAnsi="Times New Roman" w:eastAsia="Times New Roman" w:cs="Times New Roman"/>
          <w:lang w:val="en-US" w:bidi="en-US"/>
          <w:color w:val="111111"/>
          <w:sz w:val="28"/>
          <w:szCs w:val="28"/>
          <w:rtl/>
        </w:rPr>
        <w:t xml:space="preserve">izālat-ul awhām 'an ištibāhāt-il 'awām fi-l asma' wa-l</w:t>
      </w:r>
    </w:p>
    <w:p>
      <w:pPr>
        <w:pStyle w:val="BookText"/>
      </w:pPr>
      <w:r>
        <w:rPr>
          <w:rFonts w:ascii="Times New Roman" w:hAnsi="Times New Roman" w:eastAsia="Times New Roman" w:cs="Times New Roman"/>
          <w:lang w:val="en-US" w:bidi="en-US"/>
          <w:color w:val="111111"/>
          <w:sz w:val="28"/>
          <w:szCs w:val="28"/>
          <w:rtl/>
        </w:rPr>
        <w:t xml:space="preserve">a'lām</w:t>
      </w:r>
    </w:p>
    <w:p>
      <w:pPr>
        <w:pStyle w:val="BookText"/>
      </w:pPr>
      <w:r>
        <w:rPr>
          <w:rFonts w:ascii="IRNazanin" w:hAnsi="IRNazanin" w:eastAsia="IRNazanin" w:cs="IRNazanin"/>
          <w:lang w:bidi="fa-IR"/>
          <w:color w:val="111111"/>
          <w:sz w:val="28"/>
          <w:szCs w:val="28"/>
          <w:rtl/>
        </w:rPr>
        <w:t xml:space="preserve">خوئی، ابوالقاسم بن عبدالله - 1365 قمری</w:t>
      </w:r>
    </w:p>
    <w:p>
      <w:pPr>
        <w:pStyle w:val="BookText"/>
      </w:pPr>
      <w:r>
        <w:rPr>
          <w:rFonts w:ascii="Times New Roman" w:hAnsi="Times New Roman" w:eastAsia="Times New Roman" w:cs="Times New Roman"/>
          <w:lang w:val="en-US" w:bidi="en-US"/>
          <w:color w:val="111111"/>
          <w:sz w:val="28"/>
          <w:szCs w:val="28"/>
          <w:rtl/>
        </w:rPr>
        <w:t xml:space="preserve">(xu'i, ab-ol-qasem ebn-e abd-ol-lah ( - 1946)</w:t>
      </w:r>
    </w:p>
    <w:p>
      <w:pPr>
        <w:pStyle w:val="BookText"/>
      </w:pPr>
      <w:r>
        <w:rPr>
          <w:rFonts w:ascii="IRNazanin" w:hAnsi="IRNazanin" w:eastAsia="IRNazanin" w:cs="IRNazanin"/>
          <w:lang w:bidi="fa-IR"/>
          <w:color w:val="111111"/>
          <w:sz w:val="28"/>
          <w:szCs w:val="28"/>
          <w:rtl/>
        </w:rPr>
        <w:t xml:space="preserve">رساله ای در ضبط لغات و اسماء و اصطلاحاتی است که به غلط شهرت یافته، با مباحثی مفصل و سودمند در بعضی از آن الفاظ بدون تنظيم الفبایی یا روشی دیگر گویا برگها پراکنده بوده و فرزند برادر مؤلف شیخ جابر فاضلی خوئی آنها را در سفر کربلا به سال 1371 یافته و برای آن مقدمه و فهرستی ساخته و در مقدمه مختصری از شرح حال عمویش را نیز آورده است. این كتاب عالمانه نگاشته شده و مطالعه آن برای تقویت ادب عربی بسیار مفید می باشد و مطالب منقوله از منابع مختلف با ذکر منبع نقل شده است.</w:t>
      </w:r>
    </w:p>
    <w:p>
      <w:pPr>
        <w:pStyle w:val="BookText"/>
      </w:pPr>
      <w:r>
        <w:rPr>
          <w:rFonts w:ascii="Amiri" w:hAnsi="Amiri" w:eastAsia="Amiri" w:cs="Amiri"/>
          <w:lang w:bidi="ar-SA"/>
          <w:color w:val="111111"/>
          <w:sz w:val="28"/>
          <w:szCs w:val="28"/>
          <w:rtl/>
        </w:rPr>
        <w:t xml:space="preserve">آغاز: من جملة اوهام بعض الناس انهم يقولون موت الفجاة بضم الفاء و سكون الجيم و فتح الهمزة و هوغلط.</w:t>
      </w:r>
    </w:p>
    <w:p>
      <w:pPr>
        <w:pStyle w:val="BookText"/>
      </w:pPr>
      <w:r>
        <w:rPr>
          <w:rFonts w:ascii="IRNazanin" w:hAnsi="IRNazanin" w:eastAsia="IRNazanin" w:cs="IRNazanin"/>
          <w:lang w:bidi="fa-IR"/>
          <w:color w:val="111111"/>
          <w:sz w:val="28"/>
          <w:szCs w:val="28"/>
          <w:rtl/>
        </w:rPr>
        <w:t xml:space="preserve">قم؛ مرکز احیاء؛ شماره نسخه: 68 و عکسی 887</w:t>
      </w:r>
    </w:p>
    <w:p>
      <w:pPr>
        <w:pStyle w:val="BookText"/>
      </w:pPr>
      <w:r>
        <w:rPr>
          <w:rFonts w:ascii="IRNazanin" w:hAnsi="IRNazanin" w:eastAsia="IRNazanin" w:cs="IRNazanin"/>
          <w:lang w:bidi="fa-IR"/>
          <w:color w:val="111111"/>
          <w:sz w:val="28"/>
          <w:szCs w:val="28"/>
          <w:rtl/>
        </w:rPr>
        <w:t xml:space="preserve">آغاز : برابر</w:t>
      </w:r>
    </w:p>
    <w:p>
      <w:pPr>
        <w:pStyle w:val="BookText"/>
      </w:pPr>
      <w:r>
        <w:rPr>
          <w:rFonts w:ascii="IRNazanin" w:hAnsi="IRNazanin" w:eastAsia="IRNazanin" w:cs="IRNazanin"/>
          <w:lang w:bidi="fa-IR"/>
          <w:color w:val="111111"/>
          <w:sz w:val="28"/>
          <w:szCs w:val="28"/>
          <w:rtl/>
        </w:rPr>
        <w:t xml:space="preserve">خط: نستعليق، كاتب - ،مؤلف، بی تا ،مصحح، محشی از وی، در برگی قبل از کتاب تقریظ آية الله نجفی مرعشی به تاریخ شوال 1377؛ جلد: مقوایی عطف تیماج قرمز، 441گ، مختلف السطر ، اندازه: 13</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1 - 97] و [عکسی ف: 3 - 80]</w:t>
      </w:r>
    </w:p>
    <w:p>
      <w:pPr>
        <w:pStyle w:val="Heading3"/>
      </w:pPr>
      <w:bookmarkStart w:id="708" w:name="_Toc230"/>
      <w:r>
        <w:t>ازالة الخفاء عن خلافة الخلفاء / كلام و اعتقادات / فارسی</w:t>
      </w:r>
      <w:bookmarkEnd w:id="708"/>
    </w:p>
    <w:p>
      <w:pPr>
        <w:pStyle w:val="BookText"/>
      </w:pPr>
      <w:r>
        <w:rPr>
          <w:rFonts w:ascii="Times New Roman" w:hAnsi="Times New Roman" w:eastAsia="Times New Roman" w:cs="Times New Roman"/>
          <w:lang w:val="en-US" w:bidi="en-US"/>
          <w:color w:val="111111"/>
          <w:sz w:val="28"/>
          <w:szCs w:val="28"/>
          <w:rtl/>
        </w:rPr>
        <w:t xml:space="preserve">ezālat-ol xafā’ ‘an xelāfat-el xolafā’</w:t>
      </w:r>
    </w:p>
    <w:p>
      <w:pPr>
        <w:pStyle w:val="BookText"/>
      </w:pPr>
      <w:r>
        <w:rPr>
          <w:rFonts w:ascii="IRNazanin" w:hAnsi="IRNazanin" w:eastAsia="IRNazanin" w:cs="IRNazanin"/>
          <w:lang w:bidi="fa-IR"/>
          <w:color w:val="111111"/>
          <w:sz w:val="28"/>
          <w:szCs w:val="28"/>
          <w:rtl/>
        </w:rPr>
        <w:t xml:space="preserve">شاه ولی الله، احمد بن عبدالرحيم، 1114 - 1176؟ قمری</w:t>
      </w:r>
    </w:p>
    <w:p>
      <w:pPr>
        <w:pStyle w:val="BookText"/>
      </w:pPr>
      <w:r>
        <w:rPr>
          <w:rFonts w:ascii="Times New Roman" w:hAnsi="Times New Roman" w:eastAsia="Times New Roman" w:cs="Times New Roman"/>
          <w:lang w:val="en-US" w:bidi="en-US"/>
          <w:color w:val="111111"/>
          <w:sz w:val="28"/>
          <w:szCs w:val="28"/>
          <w:rtl/>
        </w:rPr>
        <w:t xml:space="preserve">(1763- šāh valī-ol-lāh, ahmad ebn-e 'abd-or-rahim (1703 -</w:t>
      </w:r>
    </w:p>
    <w:p>
      <w:pPr>
        <w:pStyle w:val="BookText"/>
      </w:pPr>
      <w:r>
        <w:rPr>
          <w:rFonts w:ascii="Amiri" w:hAnsi="Amiri" w:eastAsia="Amiri" w:cs="Amiri"/>
          <w:lang w:bidi="ar-SA"/>
          <w:color w:val="111111"/>
          <w:sz w:val="28"/>
          <w:szCs w:val="28"/>
          <w:rtl/>
        </w:rPr>
        <w:t xml:space="preserve">آغاز: بسمله الحمد لله الذي بعث الينا اشرف الرسل واعيا الى قوم السبل و جعل اصحاباله وزراء في عهده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مشهد؛ رضوی؛ شماره نسخه: 18638</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77" w:name="pg20365_260101"/>
    <w:bookmarkEnd w:id="77"/>
    <w:p>
      <w:pPr>
        <w:pStyle w:val="BookText"/>
      </w:pPr>
      <w:r>
        <w:rPr>
          <w:rFonts w:ascii="Amiri" w:hAnsi="Amiri" w:eastAsia="Amiri" w:cs="Amiri"/>
          <w:lang w:bidi="ar-SA"/>
          <w:color w:val="111111"/>
          <w:sz w:val="28"/>
          <w:szCs w:val="28"/>
          <w:rtl/>
        </w:rPr>
        <w:t xml:space="preserve">آغاز: برابر؛ انجام: لقدر ايتموالروس تتروا عن كو اهلها كالحنفل</w:t>
      </w:r>
    </w:p>
    <w:p>
      <w:pPr>
        <w:pStyle w:val="BookText"/>
      </w:pPr>
      <w:r>
        <w:rPr>
          <w:rFonts w:ascii="IRNazanin" w:hAnsi="IRNazanin" w:eastAsia="IRNazanin" w:cs="IRNazanin"/>
          <w:lang w:bidi="fa-IR"/>
          <w:color w:val="111111"/>
          <w:sz w:val="28"/>
          <w:szCs w:val="28"/>
          <w:rtl/>
        </w:rPr>
        <w:t xml:space="preserve">خط: نستعلیق، بی کا، تا: قرن 13 [ رایانه]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مشهد؛ رضوی؛ شماره نسخه: 22263</w:t>
      </w:r>
    </w:p>
    <w:p>
      <w:pPr>
        <w:pStyle w:val="BookText"/>
      </w:pPr>
      <w:r>
        <w:rPr>
          <w:rFonts w:ascii="IRNazanin" w:hAnsi="IRNazanin" w:eastAsia="IRNazanin" w:cs="IRNazanin"/>
          <w:lang w:bidi="fa-IR"/>
          <w:color w:val="111111"/>
          <w:sz w:val="28"/>
          <w:szCs w:val="28"/>
          <w:rtl/>
        </w:rPr>
        <w:t xml:space="preserve">آغاز: برابر؛ انجام: فقال فيما يقول ايما الناس لانكرهوا ...کا حنظل</w:t>
      </w:r>
    </w:p>
    <w:p>
      <w:pPr>
        <w:pStyle w:val="BookText"/>
      </w:pPr>
      <w:r>
        <w:rPr>
          <w:rFonts w:ascii="IRNazanin" w:hAnsi="IRNazanin" w:eastAsia="IRNazanin" w:cs="IRNazanin"/>
          <w:lang w:bidi="fa-IR"/>
          <w:color w:val="111111"/>
          <w:sz w:val="28"/>
          <w:szCs w:val="28"/>
          <w:rtl/>
        </w:rPr>
        <w:t xml:space="preserve">خط: نستعلیق، بی کا، تا: قرن 13 [رایانه]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مشهد؛ رضوی؛ شماره نسخه: 28599</w:t>
      </w:r>
    </w:p>
    <w:p>
      <w:pPr>
        <w:pStyle w:val="BookText"/>
      </w:pPr>
      <w:r>
        <w:rPr>
          <w:rFonts w:ascii="IRNazanin" w:hAnsi="IRNazanin" w:eastAsia="IRNazanin" w:cs="IRNazanin"/>
          <w:lang w:bidi="fa-IR"/>
          <w:color w:val="111111"/>
          <w:sz w:val="28"/>
          <w:szCs w:val="28"/>
          <w:rtl/>
        </w:rPr>
        <w:t xml:space="preserve">آغاز: برابر؛ انجام: حضرت صلی الله عليه و سلم امر کرذند صدیق اکبر را بامامة در مرض اخیر مقصد ثانی</w:t>
      </w:r>
    </w:p>
    <w:p>
      <w:pPr>
        <w:pStyle w:val="BookText"/>
      </w:pPr>
      <w:r>
        <w:rPr>
          <w:rFonts w:ascii="IRNazanin" w:hAnsi="IRNazanin" w:eastAsia="IRNazanin" w:cs="IRNazanin"/>
          <w:lang w:bidi="fa-IR"/>
          <w:color w:val="111111"/>
          <w:sz w:val="28"/>
          <w:szCs w:val="28"/>
          <w:rtl/>
        </w:rPr>
        <w:t xml:space="preserve">خط: نستعلیق،بی کا، بی تا [رایانه]</w:t>
      </w:r>
    </w:p>
    <w:p>
      <w:pPr>
        <w:pStyle w:val="BookText"/>
      </w:pPr>
      <w:r>
        <w:rPr>
          <w:rFonts w:ascii="Amiri" w:hAnsi="Amiri" w:eastAsia="Amiri" w:cs="Amiri"/>
          <w:lang w:bidi="ar-SA"/>
          <w:color w:val="111111"/>
          <w:sz w:val="28"/>
          <w:szCs w:val="28"/>
          <w:rtl/>
        </w:rPr>
        <w:t xml:space="preserve">«ازالة الشكوك في النبوة و تأويل رموزهم و امثالهم » اثبات  النبوة</w:t>
      </w:r>
    </w:p>
    <w:p>
      <w:pPr>
        <w:pStyle w:val="Heading3"/>
      </w:pPr>
      <w:bookmarkStart w:id="709" w:name="_Toc231"/>
      <w:r>
        <w:t>ازالة القناع عن وجوه السماع = نغمه عشاق / عرفا وتصوف / فارسی</w:t>
      </w:r>
      <w:bookmarkEnd w:id="709"/>
    </w:p>
    <w:p>
      <w:pPr>
        <w:pStyle w:val="BookText"/>
      </w:pPr>
      <w:r>
        <w:rPr>
          <w:rFonts w:ascii="Times New Roman" w:hAnsi="Times New Roman" w:eastAsia="Times New Roman" w:cs="Times New Roman"/>
          <w:lang w:val="en-US" w:bidi="en-US"/>
          <w:color w:val="111111"/>
          <w:sz w:val="28"/>
          <w:szCs w:val="28"/>
          <w:rtl/>
        </w:rPr>
        <w:t xml:space="preserve">ezālat-ol-qenā‘ ‘an vojūh-es-samā‘ = naqme-ye ‘oššāq</w:t>
      </w:r>
    </w:p>
    <w:p>
      <w:pPr>
        <w:pStyle w:val="BookText"/>
      </w:pPr>
      <w:r>
        <w:rPr>
          <w:rFonts w:ascii="IRNazanin" w:hAnsi="IRNazanin" w:eastAsia="IRNazanin" w:cs="IRNazanin"/>
          <w:lang w:bidi="fa-IR"/>
          <w:color w:val="111111"/>
          <w:sz w:val="28"/>
          <w:szCs w:val="28"/>
          <w:rtl/>
        </w:rPr>
        <w:t xml:space="preserve">صابری ،چشتی نور الله بن محمد مقیم، ق 13 قمری</w:t>
      </w:r>
    </w:p>
    <w:p>
      <w:pPr>
        <w:pStyle w:val="BookText"/>
      </w:pPr>
      <w:r>
        <w:rPr>
          <w:rFonts w:ascii="Times New Roman" w:hAnsi="Times New Roman" w:eastAsia="Times New Roman" w:cs="Times New Roman"/>
          <w:lang w:val="en-US" w:bidi="en-US"/>
          <w:color w:val="111111"/>
          <w:sz w:val="28"/>
          <w:szCs w:val="28"/>
          <w:rtl/>
        </w:rPr>
        <w:t xml:space="preserve">(sāberī čaštī, nūr-ol-lāh ebn-e mohammad moqīm ( -19c</w:t>
      </w:r>
    </w:p>
    <w:p>
      <w:pPr>
        <w:pStyle w:val="BookText"/>
      </w:pPr>
      <w:r>
        <w:rPr>
          <w:rFonts w:ascii="IRNazanin" w:hAnsi="IRNazanin" w:eastAsia="IRNazanin" w:cs="IRNazanin"/>
          <w:lang w:bidi="fa-IR"/>
          <w:color w:val="111111"/>
          <w:sz w:val="28"/>
          <w:szCs w:val="28"/>
          <w:rtl/>
        </w:rPr>
        <w:t xml:space="preserve">تاریخ تأليف: (نغمه قدوسی =) 1275ق</w:t>
      </w:r>
    </w:p>
    <w:p>
      <w:pPr>
        <w:pStyle w:val="BookText"/>
      </w:pPr>
      <w:r>
        <w:rPr>
          <w:rFonts w:ascii="IRNazanin" w:hAnsi="IRNazanin" w:eastAsia="IRNazanin" w:cs="IRNazanin"/>
          <w:lang w:bidi="fa-IR"/>
          <w:color w:val="111111"/>
          <w:sz w:val="28"/>
          <w:szCs w:val="28"/>
          <w:rtl/>
        </w:rPr>
        <w:t xml:space="preserve">درباره سماع و حکم حلیت آن که به امر پیر و مرشدش ، عبد الرحمن لكهنوی ( - 1245ق) نوشته شده است. مشتمل «مقدمه» و 3 «باب» و «خاتمه»: مقدمه مشتمل است بر سه «افاده»: 1) معنی لغوی و اصطلاحی سماع و غنا و تغنی وفرق میان یک، 2) بیان تغنی ای که در قرآن مطلوب و مرغوب است تغنی ای که در فن موسیقی مستعمل است،3) بیان این که اصل سماع از کی شروع گشته و پیش از زمان پیغمبر ما (صلّی اللَّهِ علیه وَ آلِهِ وَ سَلَّمَ ) هم در شرایع سابقه بوده یا نه؛ باب 1. در اباحت سماع، در دو فصل:1) احادیث مثبته سماع آن حضرت (صلّی اللَّهِ علیه وَ آلِهِ وَ سَلَّمَ ) و سماع صحابه کرام (علیه السّلام) ،مشتمل بر سه «فصل»: فصل اول در ذکر اقسام ثلثه حدیث و ا ین که حال منکر هر یک قسم چیست و سر ترجیح حدیث بر قول مجتهد فصل دوم در ثبوت اجماع بر اباحت غنا بر وفق قاعده اصول مشعر بر این که جمله افعال نبی مقید به است و ادنی منزلت افعال نبی اباحت است، فصل سوم در ابطال احتمالات ثلاثه که مدعی حرمت را بر اباحت متوهم می کرد 2.) آثار اخبار مثبته سماع مجتهدین اربعه و تلامذه آنها و ذکر فقها و ائمه دین از تابعین و تبع تابعین؛باب؛2 .در روایات کتب معتبره فقهیه و اقوال ائمه دین که در اباحت غنا و ضرب دف و طبل و غیره آلات مباحه وارد گشته مشتمل بر 4 «فصل» : 1) در ذکر روایات اباحت از کتب اهل سنت؛ (2 در روایات اباحت از کتب امام در تحقیق معارف و مزامیر و ملاهی، مشتمل بر سه «قانون» قانون اول در معنی لغوی و عرفی معارف و مزامیر و ملاهی و ملاعب، قانون دوم در اقسام ملاهی و ملاعب و بیان احکام هر یک، قانون سوم در انواع مزامیر و معارف هر یک در تحلیل یا</w:t>
      </w:r>
    </w:p>
    <w:p>
      <w:pPr>
        <w:pStyle w:val="BookText"/>
      </w:pPr>
      <w:r>
        <w:rPr>
          <w:rFonts w:ascii="IRNazanin" w:hAnsi="IRNazanin" w:eastAsia="IRNazanin" w:cs="IRNazanin"/>
          <w:lang w:bidi="fa-IR"/>
          <w:color w:val="111111"/>
          <w:sz w:val="28"/>
          <w:szCs w:val="28"/>
          <w:rtl/>
        </w:rPr>
        <w:t xml:space="preserve">غنا تحريم 4 )ابطال دعوی چهارم مدعی به این که بر قول علمای صوفیه اعتمادی نیست؛ باب .،3. در جواب آیات و احادیث و روایات فقهیه که علمای محرمین از آن بر حرمت غنای مطلق تمسک می کنند و تکفیر مباشران مینمایند و افراط و تفریط نموده در حق و باطل خلط میسازند و آن مشتمل است بر دو ضابطه در اصول حدیث و اصول فقه و پنج «هدایه»: هدایه 1) ذکر آیاتی که از آن اهل ترحیم حرمت غنا استنباط می میکنند و جواب آن 2) ذکر احادیث موضوعه که دال بر تحریم هستند و بیان موضوعیت از روی کتب ،معتبره (3) ذكر احادیثی که در کتب صحاح هرگز یافته نمیشوند مگر در کتابهایی مروی اند که آن کتب نزد محدثین معتبر نیست یا در بعضی رواة آن حفاظ حدیث طعن گفته اند (4 ذکر احادیث که اهل تحریم تعصباً اختراع و افترا کرده شهرت داده اند و در کتب احادیث اصلاً یافته نمیشود (5) ذکر احادیثی که در تحریم غنای مقترن به منکرات در کتب صحاح یافته میشود مگر منکرین تعصباً آن را در حرمت غنای مطلق می پندارند؛ خاتمه: در آثار و فواید سماع و شرایط و آداب ،آن مشتمل بر 4 «تذکره»: 1) آثار و فواید سماع که موجب وجد و رقص و طرب سامع می گردد، (2 احادیث و اقاویل علما که در باب وجد و طرب وارد گشته (3 ) شرایط سماع و اسباب محرمه  آن، آن که اهل شریعت بدان تصریح نموده اند (4 )آداب سماع که اهل طریقت بدان تأکید فرموده اند.</w:t>
      </w:r>
    </w:p>
    <w:p>
      <w:pPr>
        <w:pStyle w:val="BookText"/>
      </w:pPr>
      <w:r>
        <w:rPr>
          <w:rFonts w:ascii="IRNazanin" w:hAnsi="IRNazanin" w:eastAsia="IRNazanin" w:cs="IRNazanin"/>
          <w:lang w:bidi="fa-IR"/>
          <w:color w:val="111111"/>
          <w:sz w:val="28"/>
          <w:szCs w:val="28"/>
          <w:rtl/>
        </w:rPr>
        <w:t xml:space="preserve">آغاز: الحمد الله السميع الذى له الغناء و الشكر للغنى الذى .. به نام ناطقه آرایی که به نشید کن غلغله جمال درچارسوی کون و مکان انداخته</w:t>
      </w:r>
    </w:p>
    <w:p>
      <w:pPr>
        <w:pStyle w:val="BookText"/>
      </w:pPr>
      <w:r>
        <w:rPr>
          <w:rFonts w:ascii="IRNazanin" w:hAnsi="IRNazanin" w:eastAsia="IRNazanin" w:cs="IRNazanin"/>
          <w:lang w:bidi="fa-IR"/>
          <w:color w:val="111111"/>
          <w:sz w:val="28"/>
          <w:szCs w:val="28"/>
          <w:rtl/>
        </w:rPr>
        <w:t xml:space="preserve">انجام: این زمزمه وحدت بشنید ملک گفتا ***تاریخ ختام او شد نغمه قدوسی / لیکن پی تکمیلش لاگشت از وبیرون *** تا هستی زاید را بندد ره جاسوسی / یک الف و دوصد هجری با چهل و چهار آمد *** چون کلک قلم  سر  را فرسود به پابوسی و الحمد لله على حسن الاختتام والصلوة و السلام على نبيه خير الانام و آله و اصحابه الكرام و اوليائه العظام.</w:t>
      </w:r>
    </w:p>
    <w:p>
      <w:pPr>
        <w:pStyle w:val="BookText"/>
      </w:pPr>
      <w:r>
        <w:rPr>
          <w:rFonts w:ascii="IRNazanin" w:hAnsi="IRNazanin" w:eastAsia="IRNazanin" w:cs="IRNazanin"/>
          <w:lang w:bidi="fa-IR"/>
          <w:color w:val="111111"/>
          <w:sz w:val="28"/>
          <w:szCs w:val="28"/>
          <w:rtl/>
        </w:rPr>
        <w:t xml:space="preserve">چاپ: لکهنو، نولکشور، 1320ق، سنگی، 218ص</w:t>
      </w:r>
    </w:p>
    <w:p>
      <w:pPr>
        <w:pStyle w:val="BookText"/>
      </w:pPr>
      <w:r>
        <w:rPr>
          <w:rFonts w:ascii="IRNazanin" w:hAnsi="IRNazanin" w:eastAsia="IRNazanin" w:cs="IRNazanin"/>
          <w:lang w:bidi="fa-IR"/>
          <w:color w:val="111111"/>
          <w:sz w:val="28"/>
          <w:szCs w:val="28"/>
          <w:rtl/>
        </w:rPr>
        <w:t xml:space="preserve">[فهرستواره منزوی : 7: 58، 8: 1036؛ مشترک پاکستان، 3: 2071]</w:t>
      </w:r>
    </w:p>
    <w:p>
      <w:pPr>
        <w:pStyle w:val="BookText"/>
      </w:pPr>
      <w:r>
        <w:rPr>
          <w:rFonts w:ascii="IRNazanin" w:hAnsi="IRNazanin" w:eastAsia="IRNazanin" w:cs="IRNazanin"/>
          <w:lang w:bidi="fa-IR"/>
          <w:color w:val="111111"/>
          <w:sz w:val="28"/>
          <w:szCs w:val="28"/>
          <w:rtl/>
        </w:rPr>
        <w:t xml:space="preserve">تهران؛ مجلس؛ شماره نسخه: 8924</w:t>
      </w:r>
    </w:p>
    <w:p>
      <w:pPr>
        <w:pStyle w:val="BookText"/>
      </w:pPr>
      <w:r>
        <w:rPr>
          <w:rFonts w:ascii="IRNazanin" w:hAnsi="IRNazanin" w:eastAsia="IRNazanin" w:cs="IRNazanin"/>
          <w:lang w:bidi="fa-IR"/>
          <w:color w:val="111111"/>
          <w:sz w:val="28"/>
          <w:szCs w:val="28"/>
          <w:rtl/>
        </w:rPr>
        <w:t xml:space="preserve">آغاز و انجام: برابر؛ انجامه: تمام شد نسخه نغمه عشاق فقط. الخاتمه بید محمد اسمعیل بن محمد حسن غفر له و عفى عنه في تاریخ خمس عشرین شهر محرم سنه 132.</w:t>
      </w:r>
    </w:p>
    <w:p>
      <w:pPr>
        <w:pStyle w:val="BookText"/>
      </w:pPr>
      <w:r>
        <w:rPr>
          <w:rFonts w:ascii="IRNazanin" w:hAnsi="IRNazanin" w:eastAsia="IRNazanin" w:cs="IRNazanin"/>
          <w:lang w:bidi="fa-IR"/>
          <w:color w:val="111111"/>
          <w:sz w:val="28"/>
          <w:szCs w:val="28"/>
          <w:rtl/>
        </w:rPr>
        <w:t xml:space="preserve">خط: نستعلیق تحریری ،کا:محمد اسماعیل بن محمد حسن، تا: محرم 1302ق یا 1320ق؛ نسخه پردازی هندی، رکابه دار، جزوها 10 برگی ؛ تملک: میرزا قاسم علی بیگ؛ کاغذ: شکری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78" w:name="pg20365_260102"/>
    <w:bookmarkEnd w:id="78"/>
    <w:p>
      <w:pPr>
        <w:pStyle w:val="BookText"/>
      </w:pPr>
      <w:r>
        <w:rPr>
          <w:rFonts w:ascii="IRNazanin" w:hAnsi="IRNazanin" w:eastAsia="IRNazanin" w:cs="IRNazanin"/>
          <w:lang w:bidi="fa-IR"/>
          <w:color w:val="111111"/>
          <w:sz w:val="28"/>
          <w:szCs w:val="28"/>
          <w:rtl/>
        </w:rPr>
        <w:t xml:space="preserve">آهار مهره ،جلد: گالینگور قهوه ای؛ 180گ، 13 سطر (10</w:t>
      </w:r>
      <w:r>
        <w:rPr>
          <w:rFonts w:ascii="Times New Roman" w:hAnsi="Times New Roman" w:eastAsia="Times New Roman" w:cs="Times New Roman"/>
          <w:lang w:val="en-US" w:bidi="en-US"/>
          <w:color w:val="111111"/>
          <w:sz w:val="28"/>
          <w:szCs w:val="28"/>
          <w:rtl/>
        </w:rPr>
        <w:t xml:space="preserve">×8) </w:t>
      </w:r>
      <w:r>
        <w:rPr>
          <w:rFonts w:ascii="IRNazanin" w:hAnsi="IRNazanin" w:eastAsia="IRNazanin" w:cs="IRNazanin"/>
          <w:lang w:bidi="fa-IR"/>
          <w:color w:val="111111"/>
          <w:sz w:val="28"/>
          <w:szCs w:val="28"/>
          <w:rtl/>
        </w:rPr>
        <w:t xml:space="preserve">، اندازه: 15/4</w:t>
      </w:r>
      <w:r>
        <w:rPr>
          <w:rFonts w:ascii="Times New Roman" w:hAnsi="Times New Roman" w:eastAsia="Times New Roman" w:cs="Times New Roman"/>
          <w:lang w:val="en-US" w:bidi="en-US"/>
          <w:color w:val="111111"/>
          <w:sz w:val="28"/>
          <w:szCs w:val="28"/>
          <w:rtl/>
        </w:rPr>
        <w:t xml:space="preserve">× 24/7</w:t>
      </w:r>
      <w:r>
        <w:rPr>
          <w:rFonts w:ascii="IRNazanin" w:hAnsi="IRNazanin" w:eastAsia="IRNazanin" w:cs="IRNazanin"/>
          <w:lang w:bidi="fa-IR"/>
          <w:color w:val="111111"/>
          <w:sz w:val="28"/>
          <w:szCs w:val="28"/>
          <w:rtl/>
        </w:rPr>
        <w:t xml:space="preserve">سم [ف: 29/1 - 49]</w:t>
      </w:r>
    </w:p>
    <w:p>
      <w:pPr>
        <w:pStyle w:val="Heading3"/>
      </w:pPr>
      <w:bookmarkStart w:id="710" w:name="_Toc232"/>
      <w:r>
        <w:t>از اهر المحیی و اشراق انوار ادب الضيا / شعر / عربی</w:t>
      </w:r>
      <w:bookmarkEnd w:id="710"/>
    </w:p>
    <w:p>
      <w:pPr>
        <w:pStyle w:val="BookText"/>
      </w:pPr>
      <w:r>
        <w:rPr>
          <w:rFonts w:ascii="Times New Roman" w:hAnsi="Times New Roman" w:eastAsia="Times New Roman" w:cs="Times New Roman"/>
          <w:lang w:val="en-US" w:bidi="en-US"/>
          <w:color w:val="111111"/>
          <w:sz w:val="28"/>
          <w:szCs w:val="28"/>
          <w:rtl/>
        </w:rPr>
        <w:t xml:space="preserve">azāhir-ul muḥayyī wa išrāq-u anwār-i adab-iḍ ḍīyā</w:t>
      </w:r>
    </w:p>
    <w:p>
      <w:pPr>
        <w:pStyle w:val="BookText"/>
      </w:pPr>
      <w:r>
        <w:rPr>
          <w:rFonts w:ascii="IRNazanin" w:hAnsi="IRNazanin" w:eastAsia="IRNazanin" w:cs="IRNazanin"/>
          <w:lang w:bidi="fa-IR"/>
          <w:color w:val="111111"/>
          <w:sz w:val="28"/>
          <w:szCs w:val="28"/>
          <w:rtl/>
        </w:rPr>
        <w:t xml:space="preserve">ناظم، اشعار سید ضياء الدين اسماعيل بن محمد بن على فایع صنعانی و مطالبی که در مدح وی بوده را قبلاً در مجموعه ای به نام «كفاية المتأدب فيما قاله السيد اسماعيل بن محمد  فایع النظم البديع و مدح به و کوتب» جمع آوری نموده است. سپس منتخبی از آن به همان ترتیب برگزیده و با ملحق نمودن اشعار مناسب با موضوعات مختلف از شعرای دیگر، کتاب حاضر تألیف نموده است. جامع دیوان گاه اشعاری که بین او و ضیاء الدین رد و بدل شده نقل کرده و گاه اشعاری به مناسبت به انشاء خویش افزوده است از جمله قصیده ای که آن را «الكنز المستفاد في عراض بانت سعاد» نامیده است، بدین مطلع «بانت سعاد و ربع الود مأهول *** و الحبل منها بحبل الوصل موصول». در این دیوان بیشتر اشعار، در مدح ائمه زیدیه می باشد از جمله در مدح امام منصور به سال 1144.</w:t>
      </w:r>
    </w:p>
    <w:p>
      <w:pPr>
        <w:pStyle w:val="BookText"/>
      </w:pPr>
      <w:r>
        <w:rPr>
          <w:rFonts w:ascii="IRNazanin" w:hAnsi="IRNazanin" w:eastAsia="IRNazanin" w:cs="IRNazanin"/>
          <w:lang w:bidi="fa-IR"/>
          <w:color w:val="111111"/>
          <w:sz w:val="28"/>
          <w:szCs w:val="28"/>
          <w:rtl/>
        </w:rPr>
        <w:t xml:space="preserve">قم؛ مرکز احیاء؛ شماره نسخه: 764</w:t>
      </w:r>
    </w:p>
    <w:p>
      <w:pPr>
        <w:pStyle w:val="BookText"/>
      </w:pPr>
      <w:r>
        <w:rPr>
          <w:rFonts w:ascii="Amiri" w:hAnsi="Amiri" w:eastAsia="Amiri" w:cs="Amiri"/>
          <w:lang w:bidi="ar-SA"/>
          <w:color w:val="111111"/>
          <w:sz w:val="28"/>
          <w:szCs w:val="28"/>
          <w:rtl/>
        </w:rPr>
        <w:t xml:space="preserve">آغاز: الحمد لله الذى اطلع الضياء بأنوار الآداب في سماء البصائر وحث ركاب الاذواق السليمة لرياض الانيقة على أسعد طالع.</w:t>
      </w:r>
    </w:p>
    <w:p>
      <w:pPr>
        <w:pStyle w:val="BookText"/>
      </w:pPr>
      <w:r>
        <w:rPr>
          <w:rFonts w:ascii="IRNazanin" w:hAnsi="IRNazanin" w:eastAsia="IRNazanin" w:cs="IRNazanin"/>
          <w:lang w:bidi="fa-IR"/>
          <w:color w:val="111111"/>
          <w:sz w:val="28"/>
          <w:szCs w:val="28"/>
          <w:rtl/>
        </w:rPr>
        <w:t xml:space="preserve">آغاز دیوان ضیاء الدین: بستانك الخيل بالتحجيل و الغرر *** تلهو بها لا بنجم الروض و السحر؛</w:t>
      </w:r>
    </w:p>
    <w:p>
      <w:pPr>
        <w:pStyle w:val="BookText"/>
      </w:pPr>
      <w:r>
        <w:rPr>
          <w:rFonts w:ascii="IRNazanin" w:hAnsi="IRNazanin" w:eastAsia="IRNazanin" w:cs="IRNazanin"/>
          <w:lang w:bidi="fa-IR"/>
          <w:color w:val="111111"/>
          <w:sz w:val="28"/>
          <w:szCs w:val="28"/>
          <w:rtl/>
        </w:rPr>
        <w:t xml:space="preserve">نسخه اصل: کتابخانه واتیکان رم 965 .خط: نسخ ،بی کا، تا: ربیع الثانى 1264ق؛ استنساخ سید حسن بن صلاح الدین فایع در ربیع الثانى 1264، 175ص [عکسی ف: 2 - 438]</w:t>
      </w:r>
    </w:p>
    <w:p>
      <w:pPr>
        <w:pStyle w:val="Heading3"/>
      </w:pPr>
      <w:bookmarkStart w:id="711" w:name="_Toc233"/>
      <w:r>
        <w:t>از پکن تا پاریس / سفرنامه، دعا / فارسی</w:t>
      </w:r>
      <w:bookmarkEnd w:id="711"/>
    </w:p>
    <w:p>
      <w:pPr>
        <w:pStyle w:val="BookText"/>
      </w:pPr>
      <w:r>
        <w:rPr>
          <w:rFonts w:ascii="Times New Roman" w:hAnsi="Times New Roman" w:eastAsia="Times New Roman" w:cs="Times New Roman"/>
          <w:lang w:val="en-US" w:bidi="en-US"/>
          <w:color w:val="111111"/>
          <w:sz w:val="28"/>
          <w:szCs w:val="28"/>
          <w:rtl/>
        </w:rPr>
        <w:t xml:space="preserve">az pekan tā pārīs</w:t>
      </w:r>
    </w:p>
    <w:p>
      <w:pPr>
        <w:pStyle w:val="BookText"/>
      </w:pPr>
      <w:r>
        <w:rPr>
          <w:rFonts w:ascii="IRNazanin" w:hAnsi="IRNazanin" w:eastAsia="IRNazanin" w:cs="IRNazanin"/>
          <w:lang w:bidi="fa-IR"/>
          <w:color w:val="111111"/>
          <w:sz w:val="28"/>
          <w:szCs w:val="28"/>
          <w:rtl/>
        </w:rPr>
        <w:t xml:space="preserve">محمد طاهر قاجار، 1250 - 1317 قمری</w:t>
      </w:r>
    </w:p>
    <w:p>
      <w:pPr>
        <w:pStyle w:val="BookText"/>
      </w:pPr>
      <w:r>
        <w:rPr>
          <w:rFonts w:ascii="Times New Roman" w:hAnsi="Times New Roman" w:eastAsia="Times New Roman" w:cs="Times New Roman"/>
          <w:lang w:val="en-US" w:bidi="en-US"/>
          <w:color w:val="111111"/>
          <w:sz w:val="28"/>
          <w:szCs w:val="28"/>
          <w:rtl/>
        </w:rPr>
        <w:t xml:space="preserve">(hammad tāher qājār (1835-1900)</w:t>
      </w:r>
    </w:p>
    <w:p>
      <w:pPr>
        <w:pStyle w:val="BookText"/>
      </w:pPr>
      <w:r>
        <w:rPr>
          <w:rFonts w:ascii="IRNazanin" w:hAnsi="IRNazanin" w:eastAsia="IRNazanin" w:cs="IRNazanin"/>
          <w:lang w:bidi="fa-IR"/>
          <w:color w:val="111111"/>
          <w:sz w:val="28"/>
          <w:szCs w:val="28"/>
          <w:rtl/>
        </w:rPr>
        <w:t xml:space="preserve">شارل واپرو در سال 1875م از پکن خارج می شود و ازطریق شرق روسیه شروع به سیاحت می کند با دیدن سیبری و روسیه شرقی به روسیه غربی می رود و سیرکنان از روسیه غربی خارج می شود وبا گذشت از شرق اروپا به فرانسه و پاریس می رسد. او خاطرات این سفر را در روزنامه «تور دومند» منتشر می کند و این نسخه ترجمه فارسی آن سفرنامه مندرج در «تور دو مند» .است</w:t>
      </w:r>
    </w:p>
    <w:p>
      <w:pPr>
        <w:pStyle w:val="BookText"/>
      </w:pPr>
      <w:r>
        <w:rPr>
          <w:rFonts w:ascii="IRNazanin" w:hAnsi="IRNazanin" w:eastAsia="IRNazanin" w:cs="IRNazanin"/>
          <w:lang w:bidi="fa-IR"/>
          <w:color w:val="111111"/>
          <w:sz w:val="28"/>
          <w:szCs w:val="28"/>
          <w:rtl/>
        </w:rPr>
        <w:t xml:space="preserve">تهران؛ ملی؛ شماره نسخه: 1736</w:t>
      </w:r>
    </w:p>
    <w:p>
      <w:pPr>
        <w:pStyle w:val="BookText"/>
      </w:pPr>
      <w:r>
        <w:rPr>
          <w:rFonts w:ascii="IRNazanin" w:hAnsi="IRNazanin" w:eastAsia="IRNazanin" w:cs="IRNazanin"/>
          <w:lang w:bidi="fa-IR"/>
          <w:color w:val="111111"/>
          <w:sz w:val="28"/>
          <w:szCs w:val="28"/>
          <w:rtl/>
        </w:rPr>
        <w:t xml:space="preserve">آغاز: از پکن تا پاریس، لا كوره- لامور- لا سيبری. تحرير مسیو شارل و اپرو؛ انجام: که از آنجا باز سفر را با کشتی بخار شروع نمائیم (شارل و اپرو) آخر لیوزرون</w:t>
      </w:r>
    </w:p>
    <w:p>
      <w:pPr>
        <w:pStyle w:val="BookText"/>
      </w:pPr>
      <w:r>
        <w:rPr>
          <w:rFonts w:ascii="IRNazanin" w:hAnsi="IRNazanin" w:eastAsia="IRNazanin" w:cs="IRNazanin"/>
          <w:lang w:bidi="fa-IR"/>
          <w:color w:val="111111"/>
          <w:sz w:val="28"/>
          <w:szCs w:val="28"/>
          <w:rtl/>
        </w:rPr>
        <w:t xml:space="preserve">خط: نستعلیق، بی کا، تا : قرن ،13 ؛جا: تهران؛ مجدول؛ كاغذ: فرنگی ،جلد: تیماج قرمز ،مقوایی 95گ، ابعاد متن: 14</w:t>
      </w:r>
      <w:r>
        <w:rPr>
          <w:rFonts w:ascii="Times New Roman" w:hAnsi="Times New Roman" w:eastAsia="Times New Roman" w:cs="Times New Roman"/>
          <w:lang w:val="en-US" w:bidi="en-US"/>
          <w:color w:val="111111"/>
          <w:sz w:val="28"/>
          <w:szCs w:val="28"/>
          <w:rtl/>
        </w:rPr>
        <w:t xml:space="preserve">×26</w:t>
      </w:r>
      <w:r>
        <w:rPr>
          <w:rFonts w:ascii="IRNazanin" w:hAnsi="IRNazanin" w:eastAsia="IRNazanin" w:cs="IRNazanin"/>
          <w:lang w:bidi="fa-IR"/>
          <w:color w:val="111111"/>
          <w:sz w:val="28"/>
          <w:szCs w:val="28"/>
          <w:rtl/>
        </w:rPr>
        <w:t xml:space="preserve">، اندازه: 21 </w:t>
      </w:r>
      <w:r>
        <w:rPr>
          <w:rFonts w:ascii="Times New Roman" w:hAnsi="Times New Roman" w:eastAsia="Times New Roman" w:cs="Times New Roman"/>
          <w:lang w:val="en-US" w:bidi="en-US"/>
          <w:color w:val="111111"/>
          <w:sz w:val="28"/>
          <w:szCs w:val="28"/>
          <w:rtl/>
        </w:rPr>
        <w:t xml:space="preserve">× 33</w:t>
      </w:r>
      <w:r>
        <w:rPr>
          <w:rFonts w:ascii="IRNazanin" w:hAnsi="IRNazanin" w:eastAsia="IRNazanin" w:cs="IRNazanin"/>
          <w:lang w:bidi="fa-IR"/>
          <w:color w:val="111111"/>
          <w:sz w:val="28"/>
          <w:szCs w:val="28"/>
          <w:rtl/>
        </w:rPr>
        <w:t xml:space="preserve">سم [ف: 4 - 199]</w:t>
      </w:r>
    </w:p>
    <w:p>
      <w:pPr>
        <w:pStyle w:val="Heading3"/>
      </w:pPr>
      <w:bookmarkStart w:id="712" w:name="_Toc234"/>
      <w:r>
        <w:t>از خط جمال الدین اسکافی / عربی</w:t>
      </w:r>
      <w:bookmarkEnd w:id="712"/>
    </w:p>
    <w:p>
      <w:pPr>
        <w:pStyle w:val="BookText"/>
      </w:pPr>
      <w:r>
        <w:rPr>
          <w:rFonts w:ascii="Times New Roman" w:hAnsi="Times New Roman" w:eastAsia="Times New Roman" w:cs="Times New Roman"/>
          <w:lang w:val="en-US" w:bidi="en-US"/>
          <w:color w:val="111111"/>
          <w:sz w:val="28"/>
          <w:szCs w:val="28"/>
          <w:rtl/>
        </w:rPr>
        <w:t xml:space="preserve">az xatt-e jamal-ed-dīn-e eskāfī</w:t>
      </w:r>
    </w:p>
    <w:p>
      <w:pPr>
        <w:pStyle w:val="BookText"/>
      </w:pPr>
      <w:r>
        <w:rPr>
          <w:rFonts w:ascii="IRNazanin" w:hAnsi="IRNazanin" w:eastAsia="IRNazanin" w:cs="IRNazanin"/>
          <w:lang w:bidi="fa-IR"/>
          <w:color w:val="111111"/>
          <w:sz w:val="28"/>
          <w:szCs w:val="28"/>
          <w:rtl/>
        </w:rPr>
        <w:t xml:space="preserve">تهران؛ مجلس؛ شماره نسخه: 8932/57</w:t>
      </w:r>
    </w:p>
    <w:p>
      <w:pPr>
        <w:pStyle w:val="BookText"/>
      </w:pPr>
      <w:r>
        <w:rPr>
          <w:rFonts w:ascii="Amiri" w:hAnsi="Amiri" w:eastAsia="Amiri" w:cs="Amiri"/>
          <w:lang w:bidi="ar-SA"/>
          <w:color w:val="111111"/>
          <w:sz w:val="28"/>
          <w:szCs w:val="28"/>
          <w:rtl/>
        </w:rPr>
        <w:t xml:space="preserve">آغاز: نقلت من خط الشيخ الفاضل الحاج جمال الدين الاسكافي و ذكر انه نقله من خط الشهيد بن مكى رحمه الله. روى ابن فضاح يدفعه قال اذا بلغ الرجل اربعين سنه</w:t>
      </w:r>
    </w:p>
    <w:p>
      <w:pPr>
        <w:pStyle w:val="BookText"/>
      </w:pPr>
      <w:r>
        <w:rPr>
          <w:rFonts w:ascii="IRNazanin" w:hAnsi="IRNazanin" w:eastAsia="IRNazanin" w:cs="IRNazanin"/>
          <w:lang w:bidi="fa-IR"/>
          <w:color w:val="111111"/>
          <w:sz w:val="28"/>
          <w:szCs w:val="28"/>
          <w:rtl/>
        </w:rPr>
        <w:t xml:space="preserve">خط : نسخ تحریری، کا: محمد بن علی بن حسن جباعی، تا: شنبه 18 شوال 852ق؛ کاغذ: نخودی آهار مهره، جلد: میشن بنفش</w:t>
      </w:r>
    </w:p>
    <w:p>
      <w:pPr>
        <w:pStyle w:val="BookText"/>
      </w:pPr>
      <w:r>
        <w:rPr>
          <w:rFonts w:ascii="IRNazanin" w:hAnsi="IRNazanin" w:eastAsia="IRNazanin" w:cs="IRNazanin"/>
          <w:lang w:bidi="fa-IR"/>
          <w:color w:val="111111"/>
          <w:sz w:val="28"/>
          <w:szCs w:val="28"/>
          <w:rtl/>
        </w:rPr>
        <w:t xml:space="preserve">اص (118) اندازه: 18/2 </w:t>
      </w:r>
      <w:r>
        <w:rPr>
          <w:rFonts w:ascii="Times New Roman" w:hAnsi="Times New Roman" w:eastAsia="Times New Roman" w:cs="Times New Roman"/>
          <w:lang w:val="en-US" w:bidi="en-US"/>
          <w:color w:val="111111"/>
          <w:sz w:val="28"/>
          <w:szCs w:val="28"/>
          <w:rtl/>
        </w:rPr>
        <w:t xml:space="preserve">× 28</w:t>
      </w:r>
      <w:r>
        <w:rPr>
          <w:rFonts w:ascii="IRNazanin" w:hAnsi="IRNazanin" w:eastAsia="IRNazanin" w:cs="IRNazanin"/>
          <w:lang w:bidi="fa-IR"/>
          <w:color w:val="111111"/>
          <w:sz w:val="28"/>
          <w:szCs w:val="28"/>
          <w:rtl/>
        </w:rPr>
        <w:t xml:space="preserve">سم [ف: 29/1 - 387]</w:t>
      </w:r>
    </w:p>
    <w:p>
      <w:pPr>
        <w:pStyle w:val="Heading3"/>
      </w:pPr>
      <w:bookmarkStart w:id="713" w:name="_Toc235"/>
      <w:r>
        <w:t>از خط سید صفی الدین محمد بن معد موسوی / حدیث / عربی</w:t>
      </w:r>
      <w:bookmarkEnd w:id="713"/>
    </w:p>
    <w:p>
      <w:pPr>
        <w:pStyle w:val="BookText"/>
      </w:pPr>
      <w:r>
        <w:rPr>
          <w:rFonts w:ascii="Times New Roman" w:hAnsi="Times New Roman" w:eastAsia="Times New Roman" w:cs="Times New Roman"/>
          <w:lang w:val="en-US" w:bidi="en-US"/>
          <w:color w:val="111111"/>
          <w:sz w:val="28"/>
          <w:szCs w:val="28"/>
          <w:rtl/>
        </w:rPr>
        <w:t xml:space="preserve">az xatt-e safī-yed-dīn mohammad ebn-e mo‘edd-e</w:t>
      </w:r>
    </w:p>
    <w:p>
      <w:pPr>
        <w:pStyle w:val="BookText"/>
      </w:pPr>
      <w:r>
        <w:rPr>
          <w:rFonts w:ascii="Times New Roman" w:hAnsi="Times New Roman" w:eastAsia="Times New Roman" w:cs="Times New Roman"/>
          <w:lang w:val="en-US" w:bidi="en-US"/>
          <w:color w:val="111111"/>
          <w:sz w:val="28"/>
          <w:szCs w:val="28"/>
          <w:rtl/>
        </w:rPr>
        <w:t xml:space="preserve">mūsavī</w:t>
      </w:r>
    </w:p>
    <w:p>
      <w:pPr>
        <w:pStyle w:val="BookText"/>
      </w:pPr>
      <w:r>
        <w:rPr>
          <w:rFonts w:ascii="IRNazanin" w:hAnsi="IRNazanin" w:eastAsia="IRNazanin" w:cs="IRNazanin"/>
          <w:lang w:bidi="fa-IR"/>
          <w:color w:val="111111"/>
          <w:sz w:val="28"/>
          <w:szCs w:val="28"/>
          <w:rtl/>
        </w:rPr>
        <w:t xml:space="preserve">تهران؛ مجلس؛ شماره نسخه: 8932/20</w:t>
      </w:r>
    </w:p>
    <w:p>
      <w:pPr>
        <w:pStyle w:val="BookText"/>
      </w:pPr>
      <w:r>
        <w:rPr>
          <w:rFonts w:ascii="IRNazanin" w:hAnsi="IRNazanin" w:eastAsia="IRNazanin" w:cs="IRNazanin"/>
          <w:lang w:bidi="fa-IR"/>
          <w:color w:val="111111"/>
          <w:sz w:val="28"/>
          <w:szCs w:val="28"/>
          <w:rtl/>
        </w:rPr>
        <w:t xml:space="preserve">آغاز: من خط السيد صفی الدین محمد بن معد الموسوى رحمه الله عتبه ابن ابی وقاص اخو سعد بن ابی وقاص هو كاسر . .. مولانا رسول الله صلى الله عليه و آله يوم احد و هاشم الملقب بالموقال؛ انجام: صيام يوم عاشورا امر بصيام شهر رمضان انتهى خط السيد.</w:t>
      </w:r>
    </w:p>
    <w:p>
      <w:pPr>
        <w:pStyle w:val="BookText"/>
      </w:pPr>
      <w:r>
        <w:rPr>
          <w:rFonts w:ascii="IRNazanin" w:hAnsi="IRNazanin" w:eastAsia="IRNazanin" w:cs="IRNazanin"/>
          <w:lang w:bidi="fa-IR"/>
          <w:color w:val="111111"/>
          <w:sz w:val="28"/>
          <w:szCs w:val="28"/>
          <w:rtl/>
        </w:rPr>
        <w:t xml:space="preserve">خط: نسخ تحریری، کا: محمد بن علی بن حسن جباعی، تا: شنبه 18 شوال 852ق؛ کاغذ: نخودی آهار مهره، جلد: میشن بنفش اص ( ص 64) ، اندازه: 18/2</w:t>
      </w:r>
      <w:r>
        <w:rPr>
          <w:rFonts w:ascii="Times New Roman" w:hAnsi="Times New Roman" w:eastAsia="Times New Roman" w:cs="Times New Roman"/>
          <w:lang w:val="en-US" w:bidi="en-US"/>
          <w:color w:val="111111"/>
          <w:sz w:val="28"/>
          <w:szCs w:val="28"/>
          <w:rtl/>
        </w:rPr>
        <w:t xml:space="preserve">×28</w:t>
      </w:r>
      <w:r>
        <w:rPr>
          <w:rFonts w:ascii="IRNazanin" w:hAnsi="IRNazanin" w:eastAsia="IRNazanin" w:cs="IRNazanin"/>
          <w:lang w:bidi="fa-IR"/>
          <w:color w:val="111111"/>
          <w:sz w:val="28"/>
          <w:szCs w:val="28"/>
          <w:rtl/>
        </w:rPr>
        <w:t xml:space="preserve">سم [ف: 29/1 - 384]</w:t>
      </w:r>
    </w:p>
    <w:p>
      <w:pPr>
        <w:pStyle w:val="BookText"/>
      </w:pPr>
      <w:r>
        <w:rPr>
          <w:rFonts w:ascii="IRNazanin" w:hAnsi="IRNazanin" w:eastAsia="IRNazanin" w:cs="IRNazanin"/>
          <w:lang w:bidi="fa-IR"/>
          <w:color w:val="111111"/>
          <w:sz w:val="28"/>
          <w:szCs w:val="28"/>
          <w:rtl/>
        </w:rPr>
        <w:t xml:space="preserve">«ازدواج » آداب ازدواج</w:t>
      </w:r>
    </w:p>
    <w:p>
      <w:pPr>
        <w:pStyle w:val="BookText"/>
      </w:pPr>
      <w:r>
        <w:rPr>
          <w:rFonts w:ascii="IRNazanin" w:hAnsi="IRNazanin" w:eastAsia="IRNazanin" w:cs="IRNazanin"/>
          <w:lang w:bidi="fa-IR"/>
          <w:color w:val="111111"/>
          <w:sz w:val="28"/>
          <w:szCs w:val="28"/>
          <w:rtl/>
        </w:rPr>
        <w:t xml:space="preserve">«ازدواج »«</w:t>
      </w:r>
    </w:p>
    <w:p>
      <w:pPr>
        <w:pStyle w:val="BookText"/>
      </w:pPr>
      <w:r>
        <w:rPr>
          <w:rFonts w:ascii="Amiri" w:hAnsi="Amiri" w:eastAsia="Amiri" w:cs="Amiri"/>
          <w:lang w:bidi="ar-SA"/>
          <w:color w:val="111111"/>
          <w:sz w:val="28"/>
          <w:szCs w:val="28"/>
          <w:rtl/>
        </w:rPr>
        <w:t xml:space="preserve">«ازدواج » آداب النكاح</w:t>
      </w:r>
    </w:p>
    <w:p>
      <w:pPr>
        <w:pStyle w:val="Heading3"/>
      </w:pPr>
      <w:bookmarkStart w:id="714" w:name="_Toc236"/>
      <w:r>
        <w:t>ازدواج روح و جسد / کیمیا / عربی</w:t>
      </w:r>
      <w:bookmarkEnd w:id="714"/>
    </w:p>
    <w:p>
      <w:pPr>
        <w:pStyle w:val="BookText"/>
      </w:pPr>
      <w:r>
        <w:rPr>
          <w:rFonts w:ascii="Times New Roman" w:hAnsi="Times New Roman" w:eastAsia="Times New Roman" w:cs="Times New Roman"/>
          <w:lang w:val="en-US" w:bidi="en-US"/>
          <w:color w:val="111111"/>
          <w:sz w:val="28"/>
          <w:szCs w:val="28"/>
          <w:rtl/>
        </w:rPr>
        <w:t xml:space="preserve">ezdevāj-e rūh va jasad</w:t>
      </w:r>
    </w:p>
    <w:p>
      <w:pPr>
        <w:pStyle w:val="BookText"/>
      </w:pPr>
      <w:r>
        <w:rPr>
          <w:rFonts w:ascii="IRNazanin" w:hAnsi="IRNazanin" w:eastAsia="IRNazanin" w:cs="IRNazanin"/>
          <w:lang w:bidi="fa-IR"/>
          <w:color w:val="111111"/>
          <w:sz w:val="28"/>
          <w:szCs w:val="28"/>
          <w:rtl/>
        </w:rPr>
        <w:t xml:space="preserve">تمیمی، محمد بن امیل، - 170 قمری</w:t>
      </w:r>
    </w:p>
    <w:p>
      <w:pPr>
        <w:pStyle w:val="BookText"/>
      </w:pPr>
      <w:r>
        <w:rPr>
          <w:rFonts w:ascii="Times New Roman" w:hAnsi="Times New Roman" w:eastAsia="Times New Roman" w:cs="Times New Roman"/>
          <w:lang w:val="en-US" w:bidi="en-US"/>
          <w:color w:val="111111"/>
          <w:sz w:val="28"/>
          <w:szCs w:val="28"/>
          <w:rtl/>
        </w:rPr>
        <w:t xml:space="preserve">(tamīmī, mohammad ebn-e amy al ( - 787)</w:t>
      </w:r>
    </w:p>
    <w:p>
      <w:pPr>
        <w:pStyle w:val="BookText"/>
      </w:pPr>
      <w:r>
        <w:rPr>
          <w:rFonts w:ascii="IRNazanin" w:hAnsi="IRNazanin" w:eastAsia="IRNazanin" w:cs="IRNazanin"/>
          <w:lang w:bidi="fa-IR"/>
          <w:color w:val="111111"/>
          <w:sz w:val="28"/>
          <w:szCs w:val="28"/>
          <w:rtl/>
        </w:rPr>
        <w:t xml:space="preserve">تهران؛ ملک؛ شماره نسخه: 5740/19</w:t>
      </w:r>
    </w:p>
    <w:p>
      <w:pPr>
        <w:pStyle w:val="BookText"/>
      </w:pPr>
      <w:r>
        <w:rPr>
          <w:rFonts w:ascii="IRNazanin" w:hAnsi="IRNazanin" w:eastAsia="IRNazanin" w:cs="IRNazanin"/>
          <w:lang w:bidi="fa-IR"/>
          <w:color w:val="111111"/>
          <w:sz w:val="28"/>
          <w:szCs w:val="28"/>
          <w:rtl/>
        </w:rPr>
        <w:t xml:space="preserve">آغاز: بسمله الحمد لله رب العالمين. .. اما بعد فيقول الشيخ الفاضل محمد بن امیل فی حل رمزه و هو مفتاح هذه الصناعة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79" w:name="pg20365_260103"/>
    <w:bookmarkEnd w:id="79"/>
    <w:p>
      <w:pPr>
        <w:pStyle w:val="BookText"/>
      </w:pPr>
      <w:r>
        <w:rPr>
          <w:rFonts w:ascii="IRNazanin" w:hAnsi="IRNazanin" w:eastAsia="IRNazanin" w:cs="IRNazanin"/>
          <w:lang w:bidi="fa-IR"/>
          <w:color w:val="111111"/>
          <w:sz w:val="28"/>
          <w:szCs w:val="28"/>
          <w:rtl/>
        </w:rPr>
        <w:t xml:space="preserve">خط: مختلف، بی کا، بی تا ؛کاغذ: فرنگی ،جلد: میشن آلبالولویی، 2گ (214 ر - 216ر)، اندازه: 17/5</w:t>
      </w:r>
      <w:r>
        <w:rPr>
          <w:rFonts w:ascii="Times New Roman" w:hAnsi="Times New Roman" w:eastAsia="Times New Roman" w:cs="Times New Roman"/>
          <w:lang w:val="en-US" w:bidi="en-US"/>
          <w:color w:val="111111"/>
          <w:sz w:val="28"/>
          <w:szCs w:val="28"/>
          <w:rtl/>
        </w:rPr>
        <w:t xml:space="preserve">×22/5 </w:t>
      </w:r>
      <w:r>
        <w:rPr>
          <w:rFonts w:ascii="IRNazanin" w:hAnsi="IRNazanin" w:eastAsia="IRNazanin" w:cs="IRNazanin"/>
          <w:lang w:bidi="fa-IR"/>
          <w:color w:val="111111"/>
          <w:sz w:val="28"/>
          <w:szCs w:val="28"/>
          <w:rtl/>
        </w:rPr>
        <w:t xml:space="preserve">سم [ف: 8-488]</w:t>
      </w:r>
    </w:p>
    <w:p>
      <w:pPr>
        <w:pStyle w:val="Heading3"/>
      </w:pPr>
      <w:bookmarkStart w:id="715" w:name="_Toc237"/>
      <w:r>
        <w:t>ازدواج و نکاح / فقه / عربی - فارسی</w:t>
      </w:r>
      <w:bookmarkEnd w:id="715"/>
    </w:p>
    <w:p>
      <w:pPr>
        <w:pStyle w:val="BookText"/>
      </w:pPr>
      <w:r>
        <w:rPr>
          <w:rFonts w:ascii="Times New Roman" w:hAnsi="Times New Roman" w:eastAsia="Times New Roman" w:cs="Times New Roman"/>
          <w:lang w:val="en-US" w:bidi="en-US"/>
          <w:color w:val="111111"/>
          <w:sz w:val="28"/>
          <w:szCs w:val="28"/>
          <w:rtl/>
        </w:rPr>
        <w:t xml:space="preserve">ezdevāj va nekāh</w:t>
      </w:r>
    </w:p>
    <w:p>
      <w:pPr>
        <w:pStyle w:val="BookText"/>
      </w:pPr>
      <w:r>
        <w:rPr>
          <w:rFonts w:ascii="IRNazanin" w:hAnsi="IRNazanin" w:eastAsia="IRNazanin" w:cs="IRNazanin"/>
          <w:lang w:bidi="fa-IR"/>
          <w:color w:val="111111"/>
          <w:sz w:val="28"/>
          <w:szCs w:val="28"/>
          <w:rtl/>
        </w:rPr>
        <w:t xml:space="preserve">مطالبی مربوط به ازدواج و نکاح</w:t>
      </w:r>
    </w:p>
    <w:p>
      <w:pPr>
        <w:pStyle w:val="BookText"/>
      </w:pPr>
      <w:r>
        <w:rPr>
          <w:rFonts w:ascii="IRNazanin" w:hAnsi="IRNazanin" w:eastAsia="IRNazanin" w:cs="IRNazanin"/>
          <w:lang w:bidi="fa-IR"/>
          <w:color w:val="111111"/>
          <w:sz w:val="28"/>
          <w:szCs w:val="28"/>
          <w:rtl/>
        </w:rPr>
        <w:t xml:space="preserve">یزد؛ وزیری؛ شماره نسخه: 2580/2</w:t>
      </w:r>
    </w:p>
    <w:p>
      <w:pPr>
        <w:pStyle w:val="BookText"/>
      </w:pPr>
      <w:r>
        <w:rPr>
          <w:rFonts w:ascii="Amiri" w:hAnsi="Amiri" w:eastAsia="Amiri" w:cs="Amiri"/>
          <w:lang w:bidi="ar-SA"/>
          <w:color w:val="111111"/>
          <w:sz w:val="28"/>
          <w:szCs w:val="28"/>
          <w:rtl/>
        </w:rPr>
        <w:t xml:space="preserve">آغاز: فى من لا يحضره الفقيه : قال رسول الله (صلّی اللَّهِ علیه وَ آلِهِ وَ سَلَّمَ ) من تزوج احرز نصف دینه؛ انجام: نه آنکه خبر میدهم از واقعه و قضیه.</w:t>
      </w:r>
    </w:p>
    <w:p>
      <w:pPr>
        <w:pStyle w:val="BookText"/>
      </w:pPr>
      <w:r>
        <w:rPr>
          <w:rFonts w:ascii="IRNazanin" w:hAnsi="IRNazanin" w:eastAsia="IRNazanin" w:cs="IRNazanin"/>
          <w:lang w:bidi="fa-IR"/>
          <w:color w:val="111111"/>
          <w:sz w:val="28"/>
          <w:szCs w:val="28"/>
          <w:rtl/>
        </w:rPr>
        <w:t xml:space="preserve">خط: نستعليق تحریری، بی کا، تا: ربیع الثانى 1244ق؛ اهدایی شیخ محمد جواد علمیه؛ کاغذ: اصفهانی، جلد: تیماج مشکی، 10گ (28-18) اندازه: 7</w:t>
      </w:r>
      <w:r>
        <w:rPr>
          <w:rFonts w:ascii="Times New Roman" w:hAnsi="Times New Roman" w:eastAsia="Times New Roman" w:cs="Times New Roman"/>
          <w:lang w:val="en-US" w:bidi="en-US"/>
          <w:color w:val="111111"/>
          <w:sz w:val="28"/>
          <w:szCs w:val="28"/>
          <w:rtl/>
        </w:rPr>
        <w:t xml:space="preserve">×15/5</w:t>
      </w:r>
      <w:r>
        <w:rPr>
          <w:rFonts w:ascii="IRNazanin" w:hAnsi="IRNazanin" w:eastAsia="IRNazanin" w:cs="IRNazanin"/>
          <w:lang w:bidi="fa-IR"/>
          <w:color w:val="111111"/>
          <w:sz w:val="28"/>
          <w:szCs w:val="28"/>
          <w:rtl/>
        </w:rPr>
        <w:t xml:space="preserve">سم [ف: 4 - 1351]</w:t>
      </w:r>
    </w:p>
    <w:p>
      <w:pPr>
        <w:pStyle w:val="Heading3"/>
      </w:pPr>
      <w:bookmarkStart w:id="716" w:name="_Toc238"/>
      <w:r>
        <w:t>الازدهار في عقد الشعرا من الآثار / گوناگون / عربی</w:t>
      </w:r>
      <w:bookmarkEnd w:id="716"/>
    </w:p>
    <w:p>
      <w:pPr>
        <w:pStyle w:val="BookText"/>
      </w:pPr>
      <w:r>
        <w:rPr>
          <w:rFonts w:ascii="Times New Roman" w:hAnsi="Times New Roman" w:eastAsia="Times New Roman" w:cs="Times New Roman"/>
          <w:lang w:val="en-US" w:bidi="en-US"/>
          <w:color w:val="111111"/>
          <w:sz w:val="28"/>
          <w:szCs w:val="28"/>
          <w:rtl/>
        </w:rPr>
        <w:t xml:space="preserve">al-izdihār fī ‘aqd-iš šu‘arā min-al āṯār</w:t>
      </w:r>
    </w:p>
    <w:p>
      <w:pPr>
        <w:pStyle w:val="BookText"/>
      </w:pPr>
      <w:r>
        <w:rPr>
          <w:rFonts w:ascii="IRNazanin" w:hAnsi="IRNazanin" w:eastAsia="IRNazanin" w:cs="IRNazanin"/>
          <w:lang w:bidi="fa-IR"/>
          <w:color w:val="111111"/>
          <w:sz w:val="28"/>
          <w:szCs w:val="28"/>
          <w:rtl/>
        </w:rPr>
        <w:t xml:space="preserve">سیوطی، عبدالرحمن بن ابى بكر، 849 - 911 قمری</w:t>
      </w:r>
    </w:p>
    <w:p>
      <w:pPr>
        <w:pStyle w:val="BookText"/>
      </w:pPr>
      <w:r>
        <w:rPr>
          <w:rFonts w:ascii="Times New Roman" w:hAnsi="Times New Roman" w:eastAsia="Times New Roman" w:cs="Times New Roman"/>
          <w:lang w:val="en-US" w:bidi="en-US"/>
          <w:color w:val="111111"/>
          <w:sz w:val="28"/>
          <w:szCs w:val="28"/>
          <w:rtl/>
        </w:rPr>
        <w:t xml:space="preserve">(soyūtī, ‘abd-or-rahmān ebn-e abī-bakr (1446 - 1506)</w:t>
      </w:r>
    </w:p>
    <w:p>
      <w:pPr>
        <w:pStyle w:val="BookText"/>
      </w:pPr>
      <w:r>
        <w:rPr>
          <w:rFonts w:ascii="IRNazanin" w:hAnsi="IRNazanin" w:eastAsia="IRNazanin" w:cs="IRNazanin"/>
          <w:lang w:bidi="fa-IR"/>
          <w:color w:val="111111"/>
          <w:sz w:val="28"/>
          <w:szCs w:val="28"/>
          <w:rtl/>
        </w:rPr>
        <w:t xml:space="preserve">مشهد؛ رضوی؛ شماره نسخه: 18810</w:t>
      </w:r>
    </w:p>
    <w:p>
      <w:pPr>
        <w:pStyle w:val="BookText"/>
      </w:pPr>
      <w:r>
        <w:rPr>
          <w:rFonts w:ascii="IRNazanin" w:hAnsi="IRNazanin" w:eastAsia="IRNazanin" w:cs="IRNazanin"/>
          <w:lang w:bidi="fa-IR"/>
          <w:color w:val="111111"/>
          <w:sz w:val="28"/>
          <w:szCs w:val="28"/>
          <w:rtl/>
        </w:rPr>
        <w:t xml:space="preserve">آغاز: بسمله الحمد لله و کفی و سلام على عباده الدين؛ انجام: وقد تم كتاب الازدهار بعون الملك القهار... وصحبه و سلم</w:t>
      </w:r>
    </w:p>
    <w:p>
      <w:pPr>
        <w:pStyle w:val="BookText"/>
      </w:pPr>
      <w:r>
        <w:rPr>
          <w:rFonts w:ascii="IRNazanin" w:hAnsi="IRNazanin" w:eastAsia="IRNazanin" w:cs="IRNazanin"/>
          <w:lang w:bidi="fa-IR"/>
          <w:color w:val="111111"/>
          <w:sz w:val="28"/>
          <w:szCs w:val="28"/>
          <w:rtl/>
        </w:rPr>
        <w:t xml:space="preserve">خط: نسخ، کا: غلام محی الدین، تا: قرن 12 [رایانه] [</w:t>
      </w:r>
    </w:p>
    <w:p>
      <w:pPr>
        <w:pStyle w:val="Heading3"/>
      </w:pPr>
      <w:bookmarkStart w:id="717" w:name="_Toc239"/>
      <w:r>
        <w:t>از سازمان ملل متفق چه نتیجه تواند / فارسی</w:t>
      </w:r>
      <w:bookmarkEnd w:id="717"/>
    </w:p>
    <w:p>
      <w:pPr>
        <w:pStyle w:val="BookText"/>
      </w:pPr>
      <w:r>
        <w:rPr>
          <w:rFonts w:ascii="Times New Roman" w:hAnsi="Times New Roman" w:eastAsia="Times New Roman" w:cs="Times New Roman"/>
          <w:lang w:val="en-US" w:bidi="en-US"/>
          <w:color w:val="111111"/>
          <w:sz w:val="28"/>
          <w:szCs w:val="28"/>
          <w:rtl/>
        </w:rPr>
        <w:t xml:space="preserve">az sāzmān-e melal-e mottafeq čhe natīje-ī tavānad</w:t>
      </w:r>
    </w:p>
    <w:p>
      <w:pPr>
        <w:pStyle w:val="BookText"/>
      </w:pPr>
      <w:r>
        <w:rPr>
          <w:rFonts w:ascii="IRNazanin" w:hAnsi="IRNazanin" w:eastAsia="IRNazanin" w:cs="IRNazanin"/>
          <w:lang w:bidi="fa-IR"/>
          <w:color w:val="111111"/>
          <w:sz w:val="28"/>
          <w:szCs w:val="28"/>
          <w:rtl/>
        </w:rPr>
        <w:t xml:space="preserve">کسروی، احمد، 1269 - 1324 شمسی</w:t>
      </w:r>
    </w:p>
    <w:p>
      <w:pPr>
        <w:pStyle w:val="BookText"/>
      </w:pPr>
      <w:r>
        <w:rPr>
          <w:rFonts w:ascii="Times New Roman" w:hAnsi="Times New Roman" w:eastAsia="Times New Roman" w:cs="Times New Roman"/>
          <w:lang w:val="en-US" w:bidi="en-US"/>
          <w:color w:val="111111"/>
          <w:sz w:val="28"/>
          <w:szCs w:val="28"/>
          <w:rtl/>
        </w:rPr>
        <w:t xml:space="preserve">(kasravī, ahmad (1890 - 1945)</w:t>
      </w:r>
    </w:p>
    <w:p>
      <w:pPr>
        <w:pStyle w:val="BookText"/>
      </w:pPr>
      <w:r>
        <w:rPr>
          <w:rFonts w:ascii="IRNazanin" w:hAnsi="IRNazanin" w:eastAsia="IRNazanin" w:cs="IRNazanin"/>
          <w:lang w:bidi="fa-IR"/>
          <w:color w:val="111111"/>
          <w:sz w:val="28"/>
          <w:szCs w:val="28"/>
          <w:rtl/>
        </w:rPr>
        <w:t xml:space="preserve">چاپ :تهران، 1324 ش، سربی، رقعی، 64ص</w:t>
      </w:r>
    </w:p>
    <w:p>
      <w:pPr>
        <w:pStyle w:val="BookText"/>
      </w:pPr>
      <w:r>
        <w:rPr>
          <w:rFonts w:ascii="IRNazanin" w:hAnsi="IRNazanin" w:eastAsia="IRNazanin" w:cs="IRNazanin"/>
          <w:lang w:bidi="fa-IR"/>
          <w:color w:val="111111"/>
          <w:sz w:val="28"/>
          <w:szCs w:val="28"/>
          <w:rtl/>
        </w:rPr>
        <w:t xml:space="preserve">[مشار فارسی 250/1]</w:t>
      </w:r>
    </w:p>
    <w:p>
      <w:pPr>
        <w:pStyle w:val="BookText"/>
      </w:pPr>
      <w:r>
        <w:rPr>
          <w:rFonts w:ascii="IRNazanin" w:hAnsi="IRNazanin" w:eastAsia="IRNazanin" w:cs="IRNazanin"/>
          <w:lang w:bidi="fa-IR"/>
          <w:color w:val="111111"/>
          <w:sz w:val="28"/>
          <w:szCs w:val="28"/>
          <w:rtl/>
        </w:rPr>
        <w:t xml:space="preserve">تهران؛ دانشگاه؛ شماره نسخه: 4752/2-4754-ف</w:t>
      </w:r>
    </w:p>
    <w:p>
      <w:pPr>
        <w:pStyle w:val="BookText"/>
      </w:pPr>
      <w:r>
        <w:rPr>
          <w:rFonts w:ascii="IRNazanin" w:hAnsi="IRNazanin" w:eastAsia="IRNazanin" w:cs="IRNazanin"/>
          <w:lang w:bidi="fa-IR"/>
          <w:color w:val="111111"/>
          <w:sz w:val="28"/>
          <w:szCs w:val="28"/>
          <w:rtl/>
        </w:rPr>
        <w:t xml:space="preserve">بی کا، بی تا [فیلم ها - ف 3 - 99]</w:t>
      </w:r>
    </w:p>
    <w:p>
      <w:pPr>
        <w:pStyle w:val="Heading3"/>
      </w:pPr>
      <w:bookmarkStart w:id="718" w:name="_Toc240"/>
      <w:r>
        <w:t>از سخنان ابراهیم خواص</w:t>
      </w:r>
      <w:bookmarkEnd w:id="718"/>
    </w:p>
    <w:p>
      <w:pPr>
        <w:pStyle w:val="BookText"/>
      </w:pPr>
      <w:r>
        <w:rPr>
          <w:rFonts w:ascii="Times New Roman" w:hAnsi="Times New Roman" w:eastAsia="Times New Roman" w:cs="Times New Roman"/>
          <w:lang w:val="en-US" w:bidi="en-US"/>
          <w:color w:val="111111"/>
          <w:sz w:val="28"/>
          <w:szCs w:val="28"/>
          <w:rtl/>
        </w:rPr>
        <w:t xml:space="preserve">az soxanān-e ebrāhīm-e xavās</w:t>
      </w:r>
    </w:p>
    <w:p>
      <w:pPr>
        <w:pStyle w:val="BookText"/>
      </w:pPr>
      <w:r>
        <w:rPr>
          <w:rFonts w:ascii="IRNazanin" w:hAnsi="IRNazanin" w:eastAsia="IRNazanin" w:cs="IRNazanin"/>
          <w:lang w:bidi="fa-IR"/>
          <w:color w:val="111111"/>
          <w:sz w:val="28"/>
          <w:szCs w:val="28"/>
          <w:rtl/>
        </w:rPr>
        <w:t xml:space="preserve">تهران؛ مجلس؛ شماره نسخه: 9087/54</w:t>
      </w:r>
    </w:p>
    <w:p>
      <w:pPr>
        <w:pStyle w:val="BookText"/>
      </w:pPr>
      <w:r>
        <w:rPr>
          <w:rFonts w:ascii="IRNazanin" w:hAnsi="IRNazanin" w:eastAsia="IRNazanin" w:cs="IRNazanin"/>
          <w:lang w:bidi="fa-IR"/>
          <w:color w:val="111111"/>
          <w:sz w:val="28"/>
          <w:szCs w:val="28"/>
          <w:rtl/>
        </w:rPr>
        <w:t xml:space="preserve">خط: نسخ کهن معرب، بی کا، بی تا؛ کاغذ: الوان آهار مهره، جلد: تیماج قهوه ای با ترنج و سرترنج و چهار لچکی با چند ردیف جدول ساده و گرهی عطف گالینگور اص ،(112ر) اندازه: 15/1</w:t>
      </w:r>
      <w:r>
        <w:rPr>
          <w:rFonts w:ascii="Times New Roman" w:hAnsi="Times New Roman" w:eastAsia="Times New Roman" w:cs="Times New Roman"/>
          <w:lang w:val="en-US" w:bidi="en-US"/>
          <w:color w:val="111111"/>
          <w:sz w:val="28"/>
          <w:szCs w:val="28"/>
          <w:rtl/>
        </w:rPr>
        <w:t xml:space="preserve">×28/4</w:t>
      </w:r>
      <w:r>
        <w:rPr>
          <w:rFonts w:ascii="IRNazanin" w:hAnsi="IRNazanin" w:eastAsia="IRNazanin" w:cs="IRNazanin"/>
          <w:lang w:bidi="fa-IR"/>
          <w:color w:val="111111"/>
          <w:sz w:val="28"/>
          <w:szCs w:val="28"/>
          <w:rtl/>
        </w:rPr>
        <w:t xml:space="preserve">سم [ف: 29/2 - 734]</w:t>
      </w:r>
    </w:p>
    <w:p>
      <w:pPr>
        <w:pStyle w:val="Heading3"/>
      </w:pPr>
      <w:bookmarkStart w:id="719" w:name="_Toc241"/>
      <w:r>
        <w:t>از عقاب تزار به بیرق سرخ / داستان / فارسی</w:t>
      </w:r>
      <w:bookmarkEnd w:id="719"/>
    </w:p>
    <w:p>
      <w:pPr>
        <w:pStyle w:val="BookText"/>
      </w:pPr>
      <w:r>
        <w:rPr>
          <w:rFonts w:ascii="Times New Roman" w:hAnsi="Times New Roman" w:eastAsia="Times New Roman" w:cs="Times New Roman"/>
          <w:lang w:val="en-US" w:bidi="en-US"/>
          <w:color w:val="111111"/>
          <w:sz w:val="28"/>
          <w:szCs w:val="28"/>
          <w:rtl/>
        </w:rPr>
        <w:t xml:space="preserve">az 'oqāb-e tezār be beyraq-e sorx</w:t>
      </w:r>
    </w:p>
    <w:p>
      <w:pPr>
        <w:pStyle w:val="BookText"/>
      </w:pPr>
      <w:r>
        <w:rPr>
          <w:rFonts w:ascii="IRNazanin" w:hAnsi="IRNazanin" w:eastAsia="IRNazanin" w:cs="IRNazanin"/>
          <w:lang w:bidi="fa-IR"/>
          <w:color w:val="111111"/>
          <w:sz w:val="28"/>
          <w:szCs w:val="28"/>
          <w:rtl/>
        </w:rPr>
        <w:t xml:space="preserve">داستانی سه جلدی در تاریخ انقلاب روسیه و حوادثی که در میانه سال های 1894 - 1921م در روسیه رخ می دهد که توسط «يتر كراسنف» نوشته شده و به فارسی ترجمه شده است. نسخه حاضر شامل مقدمه و قسمت اول است.</w:t>
      </w:r>
    </w:p>
    <w:p>
      <w:pPr>
        <w:pStyle w:val="BookText"/>
      </w:pPr>
      <w:r>
        <w:rPr>
          <w:rFonts w:ascii="IRNazanin" w:hAnsi="IRNazanin" w:eastAsia="IRNazanin" w:cs="IRNazanin"/>
          <w:lang w:bidi="fa-IR"/>
          <w:color w:val="111111"/>
          <w:sz w:val="28"/>
          <w:szCs w:val="28"/>
          <w:rtl/>
        </w:rPr>
        <w:t xml:space="preserve">قم؛ مسجد اعظم؛ شماره نسخه: 3268/2</w:t>
      </w:r>
    </w:p>
    <w:p>
      <w:pPr>
        <w:pStyle w:val="BookText"/>
      </w:pPr>
      <w:r>
        <w:rPr>
          <w:rFonts w:ascii="IRNazanin" w:hAnsi="IRNazanin" w:eastAsia="IRNazanin" w:cs="IRNazanin"/>
          <w:lang w:bidi="fa-IR"/>
          <w:color w:val="111111"/>
          <w:sz w:val="28"/>
          <w:szCs w:val="28"/>
          <w:rtl/>
        </w:rPr>
        <w:t xml:space="preserve">آغاز: مقدمه ای که مترجم آلمانی از کتاب اصلی که بزبان روسی است می نگارد بقرار ذیل است در اوایل اکتبر سال هزار و نهصد و نوزده بود حملات سنگین متفقین در فرنت غرب و شروع؛ انجام: بلی این آقای جوان هم که خود شرالنگه (له آن - تلس توی) می داند باید یک چیزی برای ما بخواند (سابلین) شانه های خود را بالا انداخته و رفت به (گریزن ک) متغیر باشد را نمی توانست</w:t>
      </w:r>
    </w:p>
    <w:p>
      <w:pPr>
        <w:pStyle w:val="BookText"/>
      </w:pPr>
      <w:r>
        <w:rPr>
          <w:rFonts w:ascii="IRNazanin" w:hAnsi="IRNazanin" w:eastAsia="IRNazanin" w:cs="IRNazanin"/>
          <w:lang w:bidi="fa-IR"/>
          <w:color w:val="111111"/>
          <w:sz w:val="28"/>
          <w:szCs w:val="28"/>
          <w:rtl/>
        </w:rPr>
        <w:t xml:space="preserve">خط: نستعلیق، بی کا، تا: قرن 14؛ توسط مترجم تصحیح و خط خورده است؛ 14گ، 20 سطر ، اندازه: 17</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مخ: 1-134]</w:t>
      </w:r>
    </w:p>
    <w:p>
      <w:pPr>
        <w:pStyle w:val="Heading3"/>
      </w:pPr>
      <w:bookmarkStart w:id="720" w:name="_Toc242"/>
      <w:r>
        <w:t>از علاج مسیحا / طب / فارسی</w:t>
      </w:r>
      <w:bookmarkEnd w:id="720"/>
    </w:p>
    <w:p>
      <w:pPr>
        <w:pStyle w:val="BookText"/>
      </w:pPr>
      <w:r>
        <w:rPr>
          <w:rFonts w:ascii="Times New Roman" w:hAnsi="Times New Roman" w:eastAsia="Times New Roman" w:cs="Times New Roman"/>
          <w:lang w:val="en-US" w:bidi="en-US"/>
          <w:color w:val="111111"/>
          <w:sz w:val="28"/>
          <w:szCs w:val="28"/>
          <w:rtl/>
        </w:rPr>
        <w:t xml:space="preserve">az 'alāj-e masīhā</w:t>
      </w:r>
    </w:p>
    <w:p>
      <w:pPr>
        <w:pStyle w:val="BookText"/>
      </w:pPr>
      <w:r>
        <w:rPr>
          <w:rFonts w:ascii="IRNazanin" w:hAnsi="IRNazanin" w:eastAsia="IRNazanin" w:cs="IRNazanin"/>
          <w:lang w:bidi="fa-IR"/>
          <w:color w:val="111111"/>
          <w:sz w:val="28"/>
          <w:szCs w:val="28"/>
          <w:rtl/>
        </w:rPr>
        <w:t xml:space="preserve">تهران؛ مجلس؛ شماره نسخه: 8899/8</w:t>
      </w:r>
    </w:p>
    <w:p>
      <w:pPr>
        <w:pStyle w:val="BookText"/>
      </w:pPr>
      <w:r>
        <w:rPr>
          <w:rFonts w:ascii="IRNazanin" w:hAnsi="IRNazanin" w:eastAsia="IRNazanin" w:cs="IRNazanin"/>
          <w:lang w:bidi="fa-IR"/>
          <w:color w:val="111111"/>
          <w:sz w:val="28"/>
          <w:szCs w:val="28"/>
          <w:rtl/>
        </w:rPr>
        <w:t xml:space="preserve">آغاز: از علاج مسیحا ياقوت لب دو مثقال مروارید ناسفته سی و دو دانه پاد زهر گفتار به قدر حاجت؛ انجام: دل بجوشانند چندان که به قوام آید و به قدر حوصله از آن تناول نمایند و از دوی پرهیز نمایند ان شاء الله تعالى نافع آید.</w:t>
      </w:r>
    </w:p>
    <w:p>
      <w:pPr>
        <w:pStyle w:val="BookText"/>
      </w:pPr>
      <w:r>
        <w:rPr>
          <w:rFonts w:ascii="IRNazanin" w:hAnsi="IRNazanin" w:eastAsia="IRNazanin" w:cs="IRNazanin"/>
          <w:lang w:bidi="fa-IR"/>
          <w:color w:val="111111"/>
          <w:sz w:val="28"/>
          <w:szCs w:val="28"/>
          <w:rtl/>
        </w:rPr>
        <w:t xml:space="preserve">خط: نستعليق، كا: سيف الدين بن شمس الدین، تا: 21 شعبان 1291ق؛ کاغذ: فرنگی آهارمهره، جلد: تیماج قهوه ای مجدول، 2گ (87پ- 88ر) 12 سطر (9/6</w:t>
      </w:r>
      <w:r>
        <w:rPr>
          <w:rFonts w:ascii="Times New Roman" w:hAnsi="Times New Roman" w:eastAsia="Times New Roman" w:cs="Times New Roman"/>
          <w:lang w:val="en-US" w:bidi="en-US"/>
          <w:color w:val="111111"/>
          <w:sz w:val="28"/>
          <w:szCs w:val="28"/>
          <w:rtl/>
        </w:rPr>
        <w:t xml:space="preserve">×14/4) </w:t>
      </w:r>
      <w:r>
        <w:rPr>
          <w:rFonts w:ascii="IRNazanin" w:hAnsi="IRNazanin" w:eastAsia="IRNazanin" w:cs="IRNazanin"/>
          <w:lang w:bidi="fa-IR"/>
          <w:color w:val="111111"/>
          <w:sz w:val="28"/>
          <w:szCs w:val="28"/>
          <w:rtl/>
        </w:rPr>
        <w:t xml:space="preserve">، اندازه: 12/9</w:t>
      </w:r>
      <w:r>
        <w:rPr>
          <w:rFonts w:ascii="Times New Roman" w:hAnsi="Times New Roman" w:eastAsia="Times New Roman" w:cs="Times New Roman"/>
          <w:lang w:val="en-US" w:bidi="en-US"/>
          <w:color w:val="111111"/>
          <w:sz w:val="28"/>
          <w:szCs w:val="28"/>
          <w:rtl/>
        </w:rPr>
        <w:t xml:space="preserve">× 19/3</w:t>
      </w:r>
      <w:r>
        <w:rPr>
          <w:rFonts w:ascii="IRNazanin" w:hAnsi="IRNazanin" w:eastAsia="IRNazanin" w:cs="IRNazanin"/>
          <w:lang w:bidi="fa-IR"/>
          <w:color w:val="111111"/>
          <w:sz w:val="28"/>
          <w:szCs w:val="28"/>
          <w:rtl/>
        </w:rPr>
        <w:t xml:space="preserve">سم [ف: 29/12 - 265]</w:t>
      </w:r>
    </w:p>
    <w:p>
      <w:pPr>
        <w:pStyle w:val="Heading3"/>
      </w:pPr>
      <w:bookmarkStart w:id="721" w:name="_Toc243"/>
      <w:r>
        <w:t>از کتاب شمس المعارف</w:t>
      </w:r>
      <w:bookmarkEnd w:id="721"/>
    </w:p>
    <w:p>
      <w:pPr>
        <w:pStyle w:val="BookText"/>
      </w:pPr>
      <w:r>
        <w:rPr>
          <w:rFonts w:ascii="Times New Roman" w:hAnsi="Times New Roman" w:eastAsia="Times New Roman" w:cs="Times New Roman"/>
          <w:lang w:val="en-US" w:bidi="en-US"/>
          <w:color w:val="111111"/>
          <w:sz w:val="28"/>
          <w:szCs w:val="28"/>
          <w:rtl/>
        </w:rPr>
        <w:t xml:space="preserve">az ketab-e šams-ol-ma'aref</w:t>
      </w:r>
    </w:p>
    <w:p>
      <w:pPr>
        <w:pStyle w:val="BookText"/>
      </w:pPr>
      <w:r>
        <w:rPr>
          <w:rFonts w:ascii="IRNazanin" w:hAnsi="IRNazanin" w:eastAsia="IRNazanin" w:cs="IRNazanin"/>
          <w:lang w:bidi="fa-IR"/>
          <w:color w:val="111111"/>
          <w:sz w:val="28"/>
          <w:szCs w:val="28"/>
          <w:rtl/>
        </w:rPr>
        <w:t xml:space="preserve">تهران؛ مجلس؛ شماره نسخه: 9043/16</w:t>
      </w:r>
    </w:p>
    <w:p>
      <w:pPr>
        <w:pStyle w:val="BookText"/>
      </w:pPr>
      <w:r>
        <w:rPr>
          <w:rFonts w:ascii="IRNazanin" w:hAnsi="IRNazanin" w:eastAsia="IRNazanin" w:cs="IRNazanin"/>
          <w:lang w:bidi="fa-IR"/>
          <w:color w:val="111111"/>
          <w:sz w:val="28"/>
          <w:szCs w:val="28"/>
          <w:rtl/>
        </w:rPr>
        <w:t xml:space="preserve">خط: نستعلیق شکسته تحریری، کا: جامع، تا: قرن 13؛ کاغذ: فرنگی شکری آهار مهره ،جلد: تیماج عنابی ضربی با ترنج و سر ترنج مجدول گرهی یک لا، 2گ (63پ-64پ) ، اندازه: 10/6</w:t>
      </w:r>
      <w:r>
        <w:rPr>
          <w:rFonts w:ascii="Times New Roman" w:hAnsi="Times New Roman" w:eastAsia="Times New Roman" w:cs="Times New Roman"/>
          <w:lang w:val="en-US" w:bidi="en-US"/>
          <w:color w:val="111111"/>
          <w:sz w:val="28"/>
          <w:szCs w:val="28"/>
          <w:rtl/>
        </w:rPr>
        <w:t xml:space="preserve">×15/9</w:t>
      </w:r>
      <w:r>
        <w:rPr>
          <w:rFonts w:ascii="IRNazanin" w:hAnsi="IRNazanin" w:eastAsia="IRNazanin" w:cs="IRNazanin"/>
          <w:lang w:bidi="fa-IR"/>
          <w:color w:val="111111"/>
          <w:sz w:val="28"/>
          <w:szCs w:val="28"/>
          <w:rtl/>
        </w:rPr>
        <w:t xml:space="preserve">سم [ف: 29/2 - 659]</w:t>
      </w:r>
    </w:p>
    <w:p>
      <w:pPr>
        <w:pStyle w:val="Heading3"/>
      </w:pPr>
      <w:bookmarkStart w:id="722" w:name="_Toc244"/>
      <w:r>
        <w:t>از کشکول شیخ بهایی</w:t>
      </w:r>
      <w:bookmarkEnd w:id="722"/>
    </w:p>
    <w:p>
      <w:pPr>
        <w:pStyle w:val="BookText"/>
      </w:pPr>
      <w:r>
        <w:rPr>
          <w:rFonts w:ascii="Times New Roman" w:hAnsi="Times New Roman" w:eastAsia="Times New Roman" w:cs="Times New Roman"/>
          <w:lang w:val="en-US" w:bidi="en-US"/>
          <w:color w:val="111111"/>
          <w:sz w:val="28"/>
          <w:szCs w:val="28"/>
          <w:rtl/>
        </w:rPr>
        <w:t xml:space="preserve">az kaškūl-e šeyx-e bahā’ī</w:t>
      </w:r>
    </w:p>
    <w:p>
      <w:pPr>
        <w:pStyle w:val="BookText"/>
      </w:pPr>
      <w:r>
        <w:rPr>
          <w:rFonts w:ascii="IRNazanin" w:hAnsi="IRNazanin" w:eastAsia="IRNazanin" w:cs="IRNazanin"/>
          <w:lang w:bidi="fa-IR"/>
          <w:color w:val="111111"/>
          <w:sz w:val="28"/>
          <w:szCs w:val="28"/>
          <w:rtl/>
        </w:rPr>
        <w:t xml:space="preserve">تهران؛ مجلس؛ شماره نسخه: 9043/20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80" w:name="pg20365_260104"/>
    <w:bookmarkEnd w:id="80"/>
    <w:p>
      <w:pPr>
        <w:pStyle w:val="BookText"/>
      </w:pPr>
      <w:r>
        <w:rPr>
          <w:rFonts w:ascii="IRNazanin" w:hAnsi="IRNazanin" w:eastAsia="IRNazanin" w:cs="IRNazanin"/>
          <w:lang w:bidi="fa-IR"/>
          <w:color w:val="111111"/>
          <w:sz w:val="28"/>
          <w:szCs w:val="28"/>
          <w:rtl/>
        </w:rPr>
        <w:t xml:space="preserve">خط: نستعلیق شکسته تحریری، بی کا، تا: قرن 13 ؛کاغذ: فرنگی شکری آهار مهره؛ جلد: تیماج عنابی ضربی با ترنج و سرترنج مجدول گرهی یک لا،3 گ (67پ و 69 پ) ، اندا زه: 10/6</w:t>
      </w:r>
      <w:r>
        <w:rPr>
          <w:rFonts w:ascii="Times New Roman" w:hAnsi="Times New Roman" w:eastAsia="Times New Roman" w:cs="Times New Roman"/>
          <w:lang w:val="en-US" w:bidi="en-US"/>
          <w:color w:val="111111"/>
          <w:sz w:val="28"/>
          <w:szCs w:val="28"/>
          <w:rtl/>
        </w:rPr>
        <w:t xml:space="preserve">×15/9</w:t>
      </w:r>
      <w:r>
        <w:rPr>
          <w:rFonts w:ascii="IRNazanin" w:hAnsi="IRNazanin" w:eastAsia="IRNazanin" w:cs="IRNazanin"/>
          <w:lang w:bidi="fa-IR"/>
          <w:color w:val="111111"/>
          <w:sz w:val="28"/>
          <w:szCs w:val="28"/>
          <w:rtl/>
        </w:rPr>
        <w:t xml:space="preserve">سم [ف: 29/2 - 659]</w:t>
      </w:r>
    </w:p>
    <w:p>
      <w:pPr>
        <w:pStyle w:val="Heading3"/>
      </w:pPr>
      <w:bookmarkStart w:id="723" w:name="_Toc245"/>
      <w:r>
        <w:t>ازگذشته ها / ادبیات / فارسی</w:t>
      </w:r>
      <w:bookmarkEnd w:id="723"/>
    </w:p>
    <w:p>
      <w:pPr>
        <w:pStyle w:val="BookText"/>
      </w:pPr>
      <w:r>
        <w:rPr>
          <w:rFonts w:ascii="Times New Roman" w:hAnsi="Times New Roman" w:eastAsia="Times New Roman" w:cs="Times New Roman"/>
          <w:lang w:val="en-US" w:bidi="en-US"/>
          <w:color w:val="111111"/>
          <w:sz w:val="28"/>
          <w:szCs w:val="28"/>
          <w:rtl/>
        </w:rPr>
        <w:t xml:space="preserve">az gozašte-hā</w:t>
      </w:r>
    </w:p>
    <w:p>
      <w:pPr>
        <w:pStyle w:val="BookText"/>
      </w:pPr>
      <w:r>
        <w:rPr>
          <w:rFonts w:ascii="IRNazanin" w:hAnsi="IRNazanin" w:eastAsia="IRNazanin" w:cs="IRNazanin"/>
          <w:lang w:bidi="fa-IR"/>
          <w:color w:val="111111"/>
          <w:sz w:val="28"/>
          <w:szCs w:val="28"/>
          <w:rtl/>
        </w:rPr>
        <w:t xml:space="preserve">باصری حسین، مسیح بن محمد بیک</w:t>
      </w:r>
    </w:p>
    <w:p>
      <w:pPr>
        <w:pStyle w:val="BookText"/>
      </w:pPr>
      <w:r>
        <w:rPr>
          <w:rFonts w:ascii="Times New Roman" w:hAnsi="Times New Roman" w:eastAsia="Times New Roman" w:cs="Times New Roman"/>
          <w:lang w:val="en-US" w:bidi="en-US"/>
          <w:color w:val="111111"/>
          <w:sz w:val="28"/>
          <w:szCs w:val="28"/>
          <w:rtl/>
        </w:rPr>
        <w:t xml:space="preserve">bāserī hoseyn, masīh ebn-e mohammad beyk</w:t>
      </w:r>
    </w:p>
    <w:p>
      <w:pPr>
        <w:pStyle w:val="BookText"/>
      </w:pPr>
      <w:r>
        <w:rPr>
          <w:rFonts w:ascii="IRNazanin" w:hAnsi="IRNazanin" w:eastAsia="IRNazanin" w:cs="IRNazanin"/>
          <w:lang w:bidi="fa-IR"/>
          <w:color w:val="111111"/>
          <w:sz w:val="28"/>
          <w:szCs w:val="28"/>
          <w:rtl/>
        </w:rPr>
        <w:t xml:space="preserve">شامل مقالات و اشعار و داستانهای کوتاه طنز آمیز و بحر طویل فکاهی و انتقادی و اجتماعی و سیاسی از کتب و مجلات جراید مربوط به دوره مظفرالدین شاه و پهلوی با نقاشی تابلوهای مربوط از خود مؤلف. دفترها و اوراق این کتاب که مؤلف به خط زیبا و نقاشی جالب نگاشته بود توسط آقای ناصر فرزان (همسر دختر وی) پس از مرگش در این جلدها فراهم آمده و برای آن مقدمه و شرح حال نگارنده تنظیم نموده است. جلد اول کتاب از 1319/12/19 تا 1320/1/11 ش و جلد دوم 1320/1/12 تا آبان ماه 1320 ش گرد آوری شده است.</w:t>
      </w:r>
    </w:p>
    <w:p>
      <w:pPr>
        <w:pStyle w:val="BookText"/>
      </w:pPr>
      <w:r>
        <w:rPr>
          <w:rFonts w:ascii="IRNazanin" w:hAnsi="IRNazanin" w:eastAsia="IRNazanin" w:cs="IRNazanin"/>
          <w:lang w:bidi="fa-IR"/>
          <w:color w:val="111111"/>
          <w:sz w:val="28"/>
          <w:szCs w:val="28"/>
          <w:rtl/>
        </w:rPr>
        <w:t xml:space="preserve">قم ؛ مرعشی؛ شماره نسخه: 8621</w:t>
      </w:r>
    </w:p>
    <w:p>
      <w:pPr>
        <w:pStyle w:val="BookText"/>
      </w:pPr>
      <w:r>
        <w:rPr>
          <w:rFonts w:ascii="IRNazanin" w:hAnsi="IRNazanin" w:eastAsia="IRNazanin" w:cs="IRNazanin"/>
          <w:lang w:bidi="fa-IR"/>
          <w:color w:val="111111"/>
          <w:sz w:val="28"/>
          <w:szCs w:val="28"/>
          <w:rtl/>
        </w:rPr>
        <w:t xml:space="preserve">جلد اول؛ خط: نستعلیق زیبا، كاتب - مؤلف، بی تا؛ با پانزده تابلو ؛جلد: تیماج مشکی، 80گ، مختلف السطر ، اندازه: 17</w:t>
      </w:r>
      <w:r>
        <w:rPr>
          <w:rFonts w:ascii="Times New Roman" w:hAnsi="Times New Roman" w:eastAsia="Times New Roman" w:cs="Times New Roman"/>
          <w:lang w:val="en-US" w:bidi="en-US"/>
          <w:color w:val="111111"/>
          <w:sz w:val="28"/>
          <w:szCs w:val="28"/>
          <w:rtl/>
        </w:rPr>
        <w:t xml:space="preserve">×20/5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[ف: 22 - 192]</w:t>
      </w:r>
    </w:p>
    <w:p>
      <w:pPr>
        <w:pStyle w:val="BookText"/>
      </w:pPr>
      <w:r>
        <w:rPr>
          <w:rFonts w:ascii="IRNazanin" w:hAnsi="IRNazanin" w:eastAsia="IRNazanin" w:cs="IRNazanin"/>
          <w:lang w:bidi="fa-IR"/>
          <w:color w:val="111111"/>
          <w:sz w:val="28"/>
          <w:szCs w:val="28"/>
          <w:rtl/>
        </w:rPr>
        <w:t xml:space="preserve">قم؛ مرعشی؛ شماره نسخه: 8622</w:t>
      </w:r>
    </w:p>
    <w:p>
      <w:pPr>
        <w:pStyle w:val="BookText"/>
      </w:pPr>
      <w:r>
        <w:rPr>
          <w:rFonts w:ascii="IRNazanin" w:hAnsi="IRNazanin" w:eastAsia="IRNazanin" w:cs="IRNazanin"/>
          <w:lang w:bidi="fa-IR"/>
          <w:color w:val="111111"/>
          <w:sz w:val="28"/>
          <w:szCs w:val="28"/>
          <w:rtl/>
        </w:rPr>
        <w:t xml:space="preserve">جلد دوم؛ خط: نستعلیق زیبا، بی کا، بی تا؛ با چهارده تابلو؛ 87 گ ؛ مختلف السطر ، اندازه: 17</w:t>
      </w:r>
      <w:r>
        <w:rPr>
          <w:rFonts w:ascii="Times New Roman" w:hAnsi="Times New Roman" w:eastAsia="Times New Roman" w:cs="Times New Roman"/>
          <w:lang w:val="en-US" w:bidi="en-US"/>
          <w:color w:val="111111"/>
          <w:sz w:val="28"/>
          <w:szCs w:val="28"/>
          <w:rtl/>
        </w:rPr>
        <w:t xml:space="preserve">×20/5</w:t>
      </w:r>
      <w:r>
        <w:rPr>
          <w:rFonts w:ascii="IRNazanin" w:hAnsi="IRNazanin" w:eastAsia="IRNazanin" w:cs="IRNazanin"/>
          <w:lang w:bidi="fa-IR"/>
          <w:color w:val="111111"/>
          <w:sz w:val="28"/>
          <w:szCs w:val="28"/>
          <w:rtl/>
        </w:rPr>
        <w:t xml:space="preserve">سم [ف: 22 - 192]</w:t>
      </w:r>
    </w:p>
    <w:p>
      <w:pPr>
        <w:pStyle w:val="Heading3"/>
      </w:pPr>
      <w:bookmarkStart w:id="724" w:name="_Toc246"/>
      <w:r>
        <w:t>الازل / عرفان و تصوف / عربی</w:t>
      </w:r>
      <w:bookmarkEnd w:id="724"/>
    </w:p>
    <w:p>
      <w:pPr>
        <w:pStyle w:val="BookText"/>
      </w:pPr>
      <w:r>
        <w:rPr>
          <w:rFonts w:ascii="Times New Roman" w:hAnsi="Times New Roman" w:eastAsia="Times New Roman" w:cs="Times New Roman"/>
          <w:lang w:val="en-US" w:bidi="en-US"/>
          <w:color w:val="111111"/>
          <w:sz w:val="28"/>
          <w:szCs w:val="28"/>
          <w:rtl/>
        </w:rPr>
        <w:t xml:space="preserve">al-azal</w:t>
      </w:r>
    </w:p>
    <w:p>
      <w:pPr>
        <w:pStyle w:val="BookText"/>
      </w:pPr>
      <w:r>
        <w:rPr>
          <w:rFonts w:ascii="IRNazanin" w:hAnsi="IRNazanin" w:eastAsia="IRNazanin" w:cs="IRNazanin"/>
          <w:lang w:bidi="fa-IR"/>
          <w:color w:val="111111"/>
          <w:sz w:val="28"/>
          <w:szCs w:val="28"/>
          <w:rtl/>
        </w:rPr>
        <w:t xml:space="preserve">ابن عربی محمد بن علی، 560 - 638 قمری</w:t>
      </w:r>
    </w:p>
    <w:p>
      <w:pPr>
        <w:pStyle w:val="BookText"/>
      </w:pPr>
      <w:r>
        <w:rPr>
          <w:rFonts w:ascii="Times New Roman" w:hAnsi="Times New Roman" w:eastAsia="Times New Roman" w:cs="Times New Roman"/>
          <w:lang w:val="en-US" w:bidi="en-US"/>
          <w:color w:val="111111"/>
          <w:sz w:val="28"/>
          <w:szCs w:val="28"/>
          <w:rtl/>
        </w:rPr>
        <w:t xml:space="preserve">(ebn-e ‘arabī, mohammad ebn-e ‘alī (1166 - 1241)</w:t>
      </w:r>
    </w:p>
    <w:p>
      <w:pPr>
        <w:pStyle w:val="BookText"/>
      </w:pPr>
      <w:r>
        <w:rPr>
          <w:rFonts w:ascii="IRNazanin" w:hAnsi="IRNazanin" w:eastAsia="IRNazanin" w:cs="IRNazanin"/>
          <w:lang w:bidi="fa-IR"/>
          <w:color w:val="111111"/>
          <w:sz w:val="28"/>
          <w:szCs w:val="28"/>
          <w:rtl/>
        </w:rPr>
        <w:t xml:space="preserve">رساله کوتاهی است در خصوص «ازل» که مراد از آن در بین عوام و خواص چیست.</w:t>
      </w:r>
    </w:p>
    <w:p>
      <w:pPr>
        <w:pStyle w:val="BookText"/>
      </w:pPr>
      <w:r>
        <w:rPr>
          <w:rFonts w:ascii="IRNazanin" w:hAnsi="IRNazanin" w:eastAsia="IRNazanin" w:cs="IRNazanin"/>
          <w:lang w:bidi="fa-IR"/>
          <w:color w:val="111111"/>
          <w:sz w:val="28"/>
          <w:szCs w:val="28"/>
          <w:rtl/>
        </w:rPr>
        <w:t xml:space="preserve">آغاز: قال سيدنا و امامنا الشيخ الوارث المحقق العارف محیی الدين أبي عبدالله محمد بن علی بن محمد بن العربي الحاتمی، الحمد لله الدائم الذى لم يزل بعطف الأبد.</w:t>
      </w:r>
    </w:p>
    <w:p>
      <w:pPr>
        <w:pStyle w:val="BookText"/>
      </w:pPr>
      <w:r>
        <w:rPr>
          <w:rFonts w:ascii="IRNazanin" w:hAnsi="IRNazanin" w:eastAsia="IRNazanin" w:cs="IRNazanin"/>
          <w:lang w:bidi="fa-IR"/>
          <w:color w:val="111111"/>
          <w:sz w:val="28"/>
          <w:szCs w:val="28"/>
          <w:rtl/>
        </w:rPr>
        <w:t xml:space="preserve">انجام: و يدل على حكم عند النفاة فقد مشى فى الازل ما في غنیة و مقنع لكل ذى قلب سليم و تم الكتاب.</w:t>
      </w:r>
    </w:p>
    <w:p>
      <w:pPr>
        <w:pStyle w:val="BookText"/>
      </w:pPr>
      <w:r>
        <w:rPr>
          <w:rFonts w:ascii="IRNazanin" w:hAnsi="IRNazanin" w:eastAsia="IRNazanin" w:cs="IRNazanin"/>
          <w:lang w:bidi="fa-IR"/>
          <w:color w:val="111111"/>
          <w:sz w:val="28"/>
          <w:szCs w:val="28"/>
          <w:rtl/>
        </w:rPr>
        <w:t xml:space="preserve">چاپ: در رسائل ابن العربي، جزء اول (حیدرآباد دکن، مطبعة دائرة المعارف العثمانية: 1361)</w:t>
      </w:r>
    </w:p>
    <w:p>
      <w:pPr>
        <w:pStyle w:val="BookText"/>
      </w:pPr>
      <w:r>
        <w:rPr>
          <w:rFonts w:ascii="Amiri" w:hAnsi="Amiri" w:eastAsia="Amiri" w:cs="Amiri"/>
          <w:lang w:bidi="ar-SA"/>
          <w:color w:val="111111"/>
          <w:sz w:val="28"/>
          <w:szCs w:val="28"/>
          <w:rtl/>
        </w:rPr>
        <w:t xml:space="preserve">[كشف الظنون : 844/1؛ معجم المؤلفين: 40/11]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ملی؛ شماره نسخه: 2928/8</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9؛ مقابله شده با نسخه ای که آن نسخه برای مصنف خوانده شد و مصنف به خط خود نوشته که ابوالفتح بن عبد الکریم در نهم جمادی الاول 625 آن را خواند؛ کاغذ: اصفهانی ،جلد: مقوایی میشن تریاکی، 5 ص (46-51) ، 19 سطر (9/5</w:t>
      </w:r>
      <w:r>
        <w:rPr>
          <w:rFonts w:ascii="Times New Roman" w:hAnsi="Times New Roman" w:eastAsia="Times New Roman" w:cs="Times New Roman"/>
          <w:lang w:val="en-US" w:bidi="en-US"/>
          <w:color w:val="111111"/>
          <w:sz w:val="28"/>
          <w:szCs w:val="28"/>
          <w:rtl/>
        </w:rPr>
        <w:t xml:space="preserve">×13/5) </w:t>
      </w:r>
      <w:r>
        <w:rPr>
          <w:rFonts w:ascii="IRNazanin" w:hAnsi="IRNazanin" w:eastAsia="IRNazanin" w:cs="IRNazanin"/>
          <w:lang w:bidi="fa-IR"/>
          <w:color w:val="111111"/>
          <w:sz w:val="28"/>
          <w:szCs w:val="28"/>
          <w:rtl/>
        </w:rPr>
        <w:t xml:space="preserve">، اندازه: 16/5</w:t>
      </w:r>
      <w:r>
        <w:rPr>
          <w:rFonts w:ascii="Times New Roman" w:hAnsi="Times New Roman" w:eastAsia="Times New Roman" w:cs="Times New Roman"/>
          <w:lang w:val="en-US" w:bidi="en-US"/>
          <w:color w:val="111111"/>
          <w:sz w:val="28"/>
          <w:szCs w:val="28"/>
          <w:rtl/>
        </w:rPr>
        <w:t xml:space="preserve">×20/5</w:t>
      </w:r>
      <w:r>
        <w:rPr>
          <w:rFonts w:ascii="IRNazanin" w:hAnsi="IRNazanin" w:eastAsia="IRNazanin" w:cs="IRNazanin"/>
          <w:lang w:bidi="fa-IR"/>
          <w:color w:val="111111"/>
          <w:sz w:val="28"/>
          <w:szCs w:val="28"/>
          <w:rtl/>
        </w:rPr>
        <w:t xml:space="preserve">سم [ف: 6 - 665]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قم؛ مرعشی؛ شماره نسخه: 13149/7</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محمد بن حصار بک، تا: 855ق؛ کاغذ: قرمز ،14گ (41 پ- 44پ)، 25 سطر ، اندازه: 4</w:t>
      </w:r>
      <w:r>
        <w:rPr>
          <w:rFonts w:ascii="Times New Roman" w:hAnsi="Times New Roman" w:eastAsia="Times New Roman" w:cs="Times New Roman"/>
          <w:lang w:val="en-US" w:bidi="en-US"/>
          <w:color w:val="111111"/>
          <w:sz w:val="28"/>
          <w:szCs w:val="28"/>
          <w:rtl/>
        </w:rPr>
        <w:t xml:space="preserve">×9/5</w:t>
      </w:r>
      <w:r>
        <w:rPr>
          <w:rFonts w:ascii="IRNazanin" w:hAnsi="IRNazanin" w:eastAsia="IRNazanin" w:cs="IRNazanin"/>
          <w:lang w:bidi="fa-IR"/>
          <w:color w:val="111111"/>
          <w:sz w:val="28"/>
          <w:szCs w:val="28"/>
          <w:rtl/>
        </w:rPr>
        <w:t xml:space="preserve">سم [ف:33-285]</w:t>
      </w:r>
    </w:p>
    <w:p>
      <w:pPr>
        <w:pStyle w:val="Heading3"/>
      </w:pPr>
      <w:bookmarkStart w:id="725" w:name="_Toc247"/>
      <w:r>
        <w:t>ازلية النفس وبقائها = بقاء النفس / فلسفه / عربي</w:t>
      </w:r>
      <w:bookmarkEnd w:id="725"/>
    </w:p>
    <w:p>
      <w:pPr>
        <w:pStyle w:val="BookText"/>
      </w:pPr>
      <w:r>
        <w:rPr>
          <w:rFonts w:ascii="Times New Roman" w:hAnsi="Times New Roman" w:eastAsia="Times New Roman" w:cs="Times New Roman"/>
          <w:lang w:val="en-US" w:bidi="en-US"/>
          <w:color w:val="111111"/>
          <w:sz w:val="28"/>
          <w:szCs w:val="28"/>
          <w:rtl/>
        </w:rPr>
        <w:t xml:space="preserve">azaliyyat-un-nafs wa baqa' -u-ha = baqa' -un-nafs</w:t>
      </w:r>
    </w:p>
    <w:p>
      <w:pPr>
        <w:pStyle w:val="BookText"/>
      </w:pPr>
      <w:r>
        <w:rPr>
          <w:rFonts w:ascii="IRNazanin" w:hAnsi="IRNazanin" w:eastAsia="IRNazanin" w:cs="IRNazanin"/>
          <w:lang w:bidi="fa-IR"/>
          <w:color w:val="111111"/>
          <w:sz w:val="28"/>
          <w:szCs w:val="28"/>
          <w:rtl/>
        </w:rPr>
        <w:t xml:space="preserve">ابن کمونه، سعد بن منصور، - 683 قمری</w:t>
      </w:r>
    </w:p>
    <w:p>
      <w:pPr>
        <w:pStyle w:val="BookText"/>
      </w:pPr>
      <w:r>
        <w:rPr>
          <w:rFonts w:ascii="Times New Roman" w:hAnsi="Times New Roman" w:eastAsia="Times New Roman" w:cs="Times New Roman"/>
          <w:lang w:val="en-US" w:bidi="en-US"/>
          <w:color w:val="111111"/>
          <w:sz w:val="28"/>
          <w:szCs w:val="28"/>
          <w:rtl/>
        </w:rPr>
        <w:t xml:space="preserve">(ebn-e kamūne, sa‘d ebn-e mansūr ( - 1285</w:t>
      </w:r>
    </w:p>
    <w:p>
      <w:pPr>
        <w:pStyle w:val="BookText"/>
      </w:pPr>
      <w:r>
        <w:rPr>
          <w:rFonts w:ascii="IRNazanin" w:hAnsi="IRNazanin" w:eastAsia="IRNazanin" w:cs="IRNazanin"/>
          <w:lang w:bidi="fa-IR"/>
          <w:color w:val="111111"/>
          <w:sz w:val="28"/>
          <w:szCs w:val="28"/>
          <w:rtl/>
        </w:rPr>
        <w:t xml:space="preserve">سه مقاله است از ابن کمونه در اثبات ازلی و ابدی بودن نفس به صورت مستدل و منطقی، که هر یک سر آغازی متفاوت دارد.</w:t>
      </w:r>
    </w:p>
    <w:p>
      <w:pPr>
        <w:pStyle w:val="BookText"/>
      </w:pPr>
      <w:r>
        <w:rPr>
          <w:rFonts w:ascii="IRNazanin" w:hAnsi="IRNazanin" w:eastAsia="IRNazanin" w:cs="IRNazanin"/>
          <w:lang w:bidi="fa-IR"/>
          <w:color w:val="111111"/>
          <w:sz w:val="28"/>
          <w:szCs w:val="28"/>
          <w:rtl/>
        </w:rPr>
        <w:t xml:space="preserve">مقاله اول در اثبات ابدیت نفس است و دارای 10 «فصل» می باشد، مقاله دوم در در اثبات ازلیت نفس است و این که نفس نه مزاج است نه متولد از مزاج، در 11 «فصل».مقاله تطبیقی که استاد حائری با دو مقاله نخست انجام داده است، گویا گزینشی است از دو مقاله نخست (ن .ک: نسخه مجلس ش 6/ 1837)</w:t>
      </w:r>
    </w:p>
    <w:p>
      <w:pPr>
        <w:pStyle w:val="BookText"/>
      </w:pPr>
      <w:r>
        <w:rPr>
          <w:rFonts w:ascii="IRNazanin" w:hAnsi="IRNazanin" w:eastAsia="IRNazanin" w:cs="IRNazanin"/>
          <w:lang w:bidi="fa-IR"/>
          <w:color w:val="111111"/>
          <w:sz w:val="28"/>
          <w:szCs w:val="28"/>
          <w:rtl/>
        </w:rPr>
        <w:t xml:space="preserve">فصول مقاله اول عبارتند از 1. القول الشارح لمعنى اسم النفس؛2. اثبات وجود نفس انسان؛ 3. الواجب و الممكن و انقسام الموجود اليهما؛ 4. فى ان الواجب الوجود لا يعدم ابدا؛ 5. في ان النفس الانسان قديمة ؛6. فى ان لكل ممكن قديم علة قديمة؛ 7. فى ان عدم المعلول لاينفك عن عدم علته؛ 8 .في ان جميع ينتهى فى سلسلة الحاجة الى الواجب الوجود لذاته؛ 9. ترتيب هذه المقدمات مع مقدمات آخر بديهة ينتج ان نفس الانسان لا يعدم ابدا؛ 10. ذكر ما وقفت عليه من حجج القائلین  بابدية نفس الانسان.</w:t>
      </w:r>
    </w:p>
    <w:p>
      <w:pPr>
        <w:pStyle w:val="BookText"/>
      </w:pPr>
      <w:r>
        <w:rPr>
          <w:rFonts w:ascii="IRNazanin" w:hAnsi="IRNazanin" w:eastAsia="IRNazanin" w:cs="IRNazanin"/>
          <w:lang w:bidi="fa-IR"/>
          <w:color w:val="111111"/>
          <w:sz w:val="28"/>
          <w:szCs w:val="28"/>
          <w:rtl/>
        </w:rPr>
        <w:t xml:space="preserve">ابن کمونه در این مقالات از براهین معروف و متداول سخن به میان نمی آورد و تنها به شرح و بسط برهان «اختراعی» خود و مقدمات آن بسنده می کند.</w:t>
      </w:r>
    </w:p>
    <w:p>
      <w:pPr>
        <w:pStyle w:val="BookText"/>
      </w:pPr>
      <w:r>
        <w:rPr>
          <w:rFonts w:ascii="IRNazanin" w:hAnsi="IRNazanin" w:eastAsia="IRNazanin" w:cs="IRNazanin"/>
          <w:lang w:bidi="fa-IR"/>
          <w:color w:val="111111"/>
          <w:sz w:val="28"/>
          <w:szCs w:val="28"/>
          <w:rtl/>
        </w:rPr>
        <w:t xml:space="preserve">آغاز: (آغاز مقاله اول) بسمله الحمد لله الذي نطقت بحكمته عجائب صنعه و وقفت افکار بریته دون تصور ماهيته. احمده حمد من ابصر اليقين بعين بصيرته فآثر طريق مسلوکه و محجته. .. فان الذى يتضمنه هذه المقاله هو اثبات ابدية نفس الانسان بطريق برهانی هو مما ادركته بفكرى و لم اعرف اني سبقت اليه و يتم الغرض منها بايراد عدة فصول ( الفصل الاول) فى القول الشارح لمعنى اسم النفس. قد بين فى العلوم المنطقيه ان تصور الاشياء على قسمين نام و ناقص.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(آغاز مقاله دوم) بسمله مقالة فى ان النفس ليست بمزاج البدن و لا كائنة عن مزاج البدن يشتمل على احد عشر فصلا فصل اعلم انه لابد لمن ارادان يبين ان النفس ليست بمزاج .. ان يبتدى ببیان امرين: ان المراد بقولنا ان النفس ما هو والثانى ان حقيقة المزاج. .. ما هو</w:t>
      </w:r>
    </w:p>
    <w:p>
      <w:pPr>
        <w:pStyle w:val="BookText"/>
      </w:pPr>
      <w:r>
        <w:rPr>
          <w:rFonts w:ascii="IRNazanin" w:hAnsi="IRNazanin" w:eastAsia="IRNazanin" w:cs="IRNazanin"/>
          <w:lang w:bidi="fa-IR"/>
          <w:color w:val="111111"/>
          <w:sz w:val="28"/>
          <w:szCs w:val="28"/>
          <w:rtl/>
        </w:rPr>
        <w:t xml:space="preserve">(آغاز مقاله سوم): الحمد لله الذى عدد مننه التي يعجز عن عدها و حصرها. .. و الصلوة على ملائكته المقربين... خصوصاً محمد آله الطاهرین و بعد فان نتایج الافكار و نفائس الانظار مما يجب اذاعتها لاجل الانتفاع بها و لا ينبغى اخفائها عن الراغبين و ان قل الراغب في طلبها سيما اذا كانت من اهم المطالب العلميه و انفع المباحث اليقينيه وقد اتيت فى هذه الاوراق ما قدحه زناد خاطری و حصلته بفکری و نظری برهانا شریفا</w:t>
      </w:r>
    </w:p>
    <w:p>
      <w:pPr>
        <w:pStyle w:val="BookText"/>
      </w:pPr>
      <w:r>
        <w:rPr>
          <w:rFonts w:ascii="IRNazanin" w:hAnsi="IRNazanin" w:eastAsia="IRNazanin" w:cs="IRNazanin"/>
          <w:lang w:bidi="fa-IR"/>
          <w:color w:val="111111"/>
          <w:sz w:val="28"/>
          <w:szCs w:val="28"/>
          <w:rtl/>
        </w:rPr>
        <w:t xml:space="preserve">انجام: (پایان مقاله اول:) الا بزيادة تقرير كما ذكرت و هذا خاتمة الكلام فى هذه المقاله و الحمد لله رب العالمين وصلوته على اهل قدسه من الانبياء و المرسلين خصوصاً على افضل مخترعاته محمد النبى و آله الطاهرين.</w:t>
      </w:r>
    </w:p>
    <w:p>
      <w:pPr>
        <w:pStyle w:val="BookText"/>
      </w:pPr>
      <w:r>
        <w:rPr>
          <w:rFonts w:ascii="IRNazanin" w:hAnsi="IRNazanin" w:eastAsia="IRNazanin" w:cs="IRNazanin"/>
          <w:lang w:bidi="fa-IR"/>
          <w:color w:val="111111"/>
          <w:sz w:val="28"/>
          <w:szCs w:val="28"/>
          <w:rtl/>
        </w:rPr>
        <w:t xml:space="preserve">(پایان مقاله دوم :) و على التقدير الثاني يلزم ان لايتبين مما قیل في هذه المقاله.</w:t>
      </w:r>
    </w:p>
    <w:p>
      <w:pPr>
        <w:pStyle w:val="BookText"/>
      </w:pPr>
      <w:r>
        <w:rPr>
          <w:rFonts w:ascii="IRNazanin" w:hAnsi="IRNazanin" w:eastAsia="IRNazanin" w:cs="IRNazanin"/>
          <w:lang w:bidi="fa-IR"/>
          <w:color w:val="111111"/>
          <w:sz w:val="28"/>
          <w:szCs w:val="28"/>
          <w:rtl/>
        </w:rPr>
        <w:t xml:space="preserve">(پایان مقاله سوم :) و من اراد ان بتحقق صحته و افضائه الی المطلوب فعليه بالالة التي تسمى بالمنطق يعتبره بها و الاستقضاء فيما عليه من السؤالات و الاجوبة فنذكر فى غير هذه المقالة فليطلب من اماکنه. .. و آله اجمعين</w:t>
      </w:r>
    </w:p>
    <w:p>
      <w:pPr>
        <w:pStyle w:val="BookText"/>
      </w:pPr>
      <w:r>
        <w:rPr>
          <w:rFonts w:ascii="IRNazanin" w:hAnsi="IRNazanin" w:eastAsia="IRNazanin" w:cs="IRNazanin"/>
          <w:lang w:bidi="fa-IR"/>
          <w:color w:val="111111"/>
          <w:sz w:val="28"/>
          <w:szCs w:val="28"/>
          <w:rtl/>
        </w:rPr>
        <w:t xml:space="preserve">[هدية العارفين 385/1؛ ذریعه 286/2 -287، 459/4 ،6/ 381، 8/ 89، 13/ 25،18/ 351؛؛ آثار و احوال خواجه نصیر از مدرس رضوی ص 147 - 150 و 287، العلم عند العرب تأليف الدوميلي ترجمه عربى ص 567 ، فهرست خزائن عراق از کورگیس عواد 35 و 138؛ بروکلمان ذیل یکم 768 یادداشت های قزوینی؛ ريحانة الادب 131/11؛ دائرةالمعارف بزرگ اسلامی 524/4]</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مجلس؛ شماره نسخه: 1837/6</w:t>
      </w:r>
    </w:p>
    <w:p>
      <w:pPr>
        <w:pStyle w:val="BookText"/>
      </w:pPr>
      <w:r>
        <w:rPr>
          <w:rFonts w:ascii="IRNazanin" w:hAnsi="IRNazanin" w:eastAsia="IRNazanin" w:cs="IRNazanin"/>
          <w:lang w:bidi="fa-IR"/>
          <w:color w:val="111111"/>
          <w:sz w:val="28"/>
          <w:szCs w:val="28"/>
          <w:rtl/>
        </w:rPr>
        <w:t xml:space="preserve">آغاز: برابر با مقاله سوم؛ انجام: برابر با مقاله سوم.</w:t>
      </w:r>
    </w:p>
    <w:p>
      <w:pPr>
        <w:pStyle w:val="BookText"/>
      </w:pPr>
      <w:r>
        <w:rPr>
          <w:rFonts w:ascii="IRNazanin" w:hAnsi="IRNazanin" w:eastAsia="IRNazanin" w:cs="IRNazanin"/>
          <w:lang w:bidi="fa-IR"/>
          <w:color w:val="111111"/>
          <w:sz w:val="28"/>
          <w:szCs w:val="28"/>
          <w:rtl/>
        </w:rPr>
        <w:t xml:space="preserve">مقاله:سوم .با مطابقت نسخه حاضر توسط فهرست نگار (استاد  حائری) با دو مقاله نخست نتیجه این شد: قسمت اول این رساله حاضر (پس از خطبه) که بدین گونه شروع می شود: «هذا تقریر صيغة البرهان: احد الامرين لازم» مطابق است با «صيغة ثاني تقرير بقاء النفس...» که فقره ای است از فصل 9 از مقاله اول.این مطابقت تا یک صفحه از نسخه ما ادامه دارد پس از 3 سطر (که این 3 سطر نیز عین عبارت فصلی از همین مقاله است باز نسخه مطابق است با فصل 4 (في ان واجب الوجود لا يعدم ابدا) و فصل 5 (في ان نفس الانسان قدیمه) و به همین گونه است بقیه رساله.</w:t>
      </w:r>
    </w:p>
    <w:p>
      <w:pPr>
        <w:pStyle w:val="BookText"/>
      </w:pPr>
      <w:r>
        <w:rPr>
          <w:rFonts w:ascii="IRNazanin" w:hAnsi="IRNazanin" w:eastAsia="IRNazanin" w:cs="IRNazanin"/>
          <w:lang w:bidi="fa-IR"/>
          <w:color w:val="111111"/>
          <w:sz w:val="28"/>
          <w:szCs w:val="28"/>
          <w:rtl/>
        </w:rPr>
        <w:t xml:space="preserve">ابن کمونه این رساله را برای اثبات بقاء نفس با بعضی از براهین اختراعی خویش پرداخته و در اثناء آن به مناسبت، برهان خود را بر قدیم بودن نفس نیز حکایت کرده و در آغاز نقل آن گوید« و قد اخترعت لذالك برهانا هذه حكايته»  و سپس عیناً همان برهان که در فصل 5 از مقاله اول و در فصل دهم و یازدهم از مقاله  دوم آورده و در اینجا نقل کرده است بنابراین پیداست خود ابن کمونه در این رساله به دو مقاله مزبور ناظر بوده است. در دیباجه رساله حاضر نیز پس از این که از برهان اختراعی خود با اشاره یاد می کند می گوید در این مقاله تنها به تقریربرهان ساخته خود پرداختم و در مقالات دیگر خود اعتراضات جمعی از فضلاء را بر مقدمات برهان خود با جوابها و توجیهات آن یاد کرده ام » .</w:t>
      </w:r>
    </w:p>
    <w:p>
      <w:pPr>
        <w:pStyle w:val="BookText"/>
      </w:pPr>
      <w:r>
        <w:rPr>
          <w:rFonts w:ascii="IRNazanin" w:hAnsi="IRNazanin" w:eastAsia="IRNazanin" w:cs="IRNazanin"/>
          <w:lang w:bidi="fa-IR"/>
          <w:color w:val="111111"/>
          <w:sz w:val="28"/>
          <w:szCs w:val="28"/>
          <w:rtl/>
        </w:rPr>
        <w:t xml:space="preserve">ابن کمونه در مقالات دیگر از سخنان اوحد الزمان در معتبر (مقصود هبة الله بن ملکهای یهودی (م-1155م) است)، ابن مسکویه امام فخر رازی و غزالی یاد کرده اما در این مقاله نام کسی یا کتابی را نیاورده است؛ خط: نسخ، بی کا، تا: قرن 11 ؛کاغذ: شکری رنگ ،جلد: تیماج ،قرمز 15 ص (127-142)، قطع: ،خشتی اندازه: 9/5</w:t>
      </w:r>
      <w:r>
        <w:rPr>
          <w:rFonts w:ascii="Times New Roman" w:hAnsi="Times New Roman" w:eastAsia="Times New Roman" w:cs="Times New Roman"/>
          <w:lang w:val="en-US" w:bidi="en-US"/>
          <w:color w:val="111111"/>
          <w:sz w:val="28"/>
          <w:szCs w:val="28"/>
          <w:rtl/>
        </w:rPr>
        <w:t xml:space="preserve">× 24/5 </w:t>
      </w:r>
      <w:r>
        <w:rPr>
          <w:rFonts w:ascii="IRNazanin" w:hAnsi="IRNazanin" w:eastAsia="IRNazanin" w:cs="IRNazanin"/>
          <w:lang w:bidi="fa-IR"/>
          <w:color w:val="111111"/>
          <w:sz w:val="28"/>
          <w:szCs w:val="28"/>
          <w:rtl/>
        </w:rPr>
        <w:t xml:space="preserve">سم [ف: 9 - 501]</w:t>
      </w:r>
    </w:p>
    <w:p>
      <w:pPr>
        <w:pStyle w:val="BookText"/>
      </w:pPr>
      <w:r>
        <w:rPr>
          <w:rFonts w:ascii="IRNazanin" w:hAnsi="IRNazanin" w:eastAsia="IRNazanin" w:cs="IRNazanin"/>
          <w:lang w:bidi="fa-IR"/>
          <w:color w:val="111111"/>
          <w:sz w:val="28"/>
          <w:szCs w:val="28"/>
          <w:rtl/>
        </w:rPr>
        <w:t xml:space="preserve">2 . همدان؛ مدرسه غرب شماره نسخه:1187/66</w:t>
      </w:r>
    </w:p>
    <w:p>
      <w:pPr>
        <w:pStyle w:val="BookText"/>
      </w:pPr>
      <w:r>
        <w:rPr>
          <w:rFonts w:ascii="IRNazanin" w:hAnsi="IRNazanin" w:eastAsia="IRNazanin" w:cs="IRNazanin"/>
          <w:lang w:bidi="fa-IR"/>
          <w:color w:val="111111"/>
          <w:sz w:val="28"/>
          <w:szCs w:val="28"/>
          <w:rtl/>
        </w:rPr>
        <w:t xml:space="preserve">انجام: فهذا برهان قاطع على ابدية النفس قد انطوى على ابحاث شريفة. .. فقد ذكرته فى غير هذا المقالة فليطلب من اماکنه و الحمد لله</w:t>
      </w:r>
    </w:p>
    <w:p>
      <w:pPr>
        <w:pStyle w:val="BookText"/>
      </w:pPr>
      <w:r>
        <w:rPr>
          <w:rFonts w:ascii="IRNazanin" w:hAnsi="IRNazanin" w:eastAsia="IRNazanin" w:cs="IRNazanin"/>
          <w:lang w:bidi="fa-IR"/>
          <w:color w:val="111111"/>
          <w:sz w:val="28"/>
          <w:szCs w:val="28"/>
          <w:rtl/>
        </w:rPr>
        <w:t xml:space="preserve">در فهرست با نام «ابدية النفس» يا «اثبات بقاء النفس» و ناشناس آمده نام مؤلف به قرینه مطابقت انجام نسخه با انجام مقاله سوم به دست آمد؛ خط: نسخ، بی کا، تا: قرن 10 یا 11؛ با سر لوح های زرین؛ کاغذ: اصفهانی نازک 4گ (286-290، 24 سطر ،(10</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،اندازه: 17</w:t>
      </w:r>
      <w:r>
        <w:rPr>
          <w:rFonts w:ascii="Times New Roman" w:hAnsi="Times New Roman" w:eastAsia="Times New Roman" w:cs="Times New Roman"/>
          <w:lang w:val="en-US" w:bidi="en-US"/>
          <w:color w:val="111111"/>
          <w:sz w:val="28"/>
          <w:szCs w:val="28"/>
          <w:rtl/>
        </w:rPr>
        <w:t xml:space="preserve">×27 </w:t>
      </w:r>
      <w:r>
        <w:rPr>
          <w:rFonts w:ascii="IRNazanin" w:hAnsi="IRNazanin" w:eastAsia="IRNazanin" w:cs="IRNazanin"/>
          <w:lang w:bidi="fa-IR"/>
          <w:color w:val="111111"/>
          <w:sz w:val="28"/>
          <w:szCs w:val="28"/>
          <w:rtl/>
        </w:rPr>
        <w:t xml:space="preserve">سم[ف: 1479]</w:t>
      </w:r>
    </w:p>
    <w:p>
      <w:pPr>
        <w:pStyle w:val="BookText"/>
      </w:pPr>
      <w:r>
        <w:rPr>
          <w:rFonts w:ascii="IRNazanin" w:hAnsi="IRNazanin" w:eastAsia="IRNazanin" w:cs="IRNazanin"/>
          <w:lang w:bidi="fa-IR"/>
          <w:color w:val="111111"/>
          <w:sz w:val="28"/>
          <w:szCs w:val="28"/>
          <w:rtl/>
        </w:rPr>
        <w:t xml:space="preserve">3.قم؛ مرعشی؛ شماره نسخه: 14099/8</w:t>
      </w:r>
    </w:p>
    <w:p>
      <w:pPr>
        <w:pStyle w:val="BookText"/>
      </w:pPr>
      <w:r>
        <w:rPr>
          <w:rFonts w:ascii="Amiri" w:hAnsi="Amiri" w:eastAsia="Amiri" w:cs="Amiri"/>
          <w:lang w:bidi="ar-SA"/>
          <w:color w:val="111111"/>
          <w:sz w:val="28"/>
          <w:szCs w:val="28"/>
          <w:rtl/>
        </w:rPr>
        <w:t xml:space="preserve">آغاز: برابر با آغاز مقاله اول؛ انجام: و من نظر الى الحق تعين الرضا و ام يسلك طريق الهوى... هو من قبيل الأقيسة التي لا يفيد اليقين و هذه خاتمة الكلام فى هذه المقالة. .. خصوصاً على سيد  الاولين و الآخرين محمد و آله الطاهرين.</w:t>
      </w:r>
    </w:p>
    <w:p>
      <w:pPr>
        <w:pStyle w:val="BookText"/>
      </w:pPr>
      <w:r>
        <w:rPr>
          <w:rFonts w:ascii="IRNazanin" w:hAnsi="IRNazanin" w:eastAsia="IRNazanin" w:cs="IRNazanin"/>
          <w:lang w:bidi="fa-IR"/>
          <w:color w:val="111111"/>
          <w:sz w:val="28"/>
          <w:szCs w:val="28"/>
          <w:rtl/>
        </w:rPr>
        <w:t xml:space="preserve">مقاله اول؛ خط: نسخ، بی کا، تا: قرن 11؛ مصحح؛ در برگ انجام مطلبی در 17 سطر با این آغاز «و قال ايضا في هذه الرسالة النفس الناطقة لايقبل الفساد ولا يضمحل فيه ولایفنی و لایموت بل يفارق البدن آمده؛ کاغذ ،شرقی، 36گ (33پ-68ر)، اندازه: 6</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سم [ف: 35 - 615]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شیراز؛ محلاتی؛ صدرالدین؛ شماره نسخه: 17/14</w:t>
      </w:r>
    </w:p>
    <w:p>
      <w:pPr>
        <w:pStyle w:val="BookText"/>
      </w:pPr>
      <w:r>
        <w:rPr>
          <w:rFonts w:ascii="IRNazanin" w:hAnsi="IRNazanin" w:eastAsia="IRNazanin" w:cs="IRNazanin"/>
          <w:lang w:bidi="fa-IR"/>
          <w:color w:val="111111"/>
          <w:sz w:val="28"/>
          <w:szCs w:val="28"/>
          <w:rtl/>
        </w:rPr>
        <w:t xml:space="preserve">در فهرست با عنوان «ابدية النفس و قدمها و بساطتها»؛ بی کا، تا: 1056ق ، جا: اصفهان [نشریه: 5 - 273]</w:t>
      </w:r>
    </w:p>
    <w:p>
      <w:pPr>
        <w:pStyle w:val="BookText"/>
      </w:pPr>
      <w:r>
        <w:rPr>
          <w:rFonts w:ascii="IRNazanin" w:hAnsi="IRNazanin" w:eastAsia="IRNazanin" w:cs="IRNazanin"/>
          <w:lang w:bidi="fa-IR"/>
          <w:color w:val="111111"/>
          <w:sz w:val="28"/>
          <w:szCs w:val="28"/>
          <w:rtl/>
        </w:rPr>
        <w:t xml:space="preserve">5.تهران؛ مجلس؛ شماره نسخه: 3814</w:t>
      </w:r>
    </w:p>
    <w:p>
      <w:pPr>
        <w:pStyle w:val="BookText"/>
      </w:pPr>
      <w:r>
        <w:rPr>
          <w:rFonts w:ascii="IRNazanin" w:hAnsi="IRNazanin" w:eastAsia="IRNazanin" w:cs="IRNazanin"/>
          <w:lang w:bidi="fa-IR"/>
          <w:color w:val="111111"/>
          <w:sz w:val="28"/>
          <w:szCs w:val="28"/>
          <w:rtl/>
        </w:rPr>
        <w:t xml:space="preserve">آغاز و انجام: برابر (با مقاله اول و مقاله دوم )</w:t>
      </w:r>
    </w:p>
    <w:p>
      <w:pPr>
        <w:pStyle w:val="BookText"/>
      </w:pPr>
      <w:r>
        <w:rPr>
          <w:rFonts w:ascii="IRNazanin" w:hAnsi="IRNazanin" w:eastAsia="IRNazanin" w:cs="IRNazanin"/>
          <w:lang w:bidi="fa-IR"/>
          <w:color w:val="111111"/>
          <w:sz w:val="28"/>
          <w:szCs w:val="28"/>
          <w:rtl/>
        </w:rPr>
        <w:t xml:space="preserve">مقاله اول و دوم؛ خط: نسخ، بی کا، تا: ربیع الاول 1062 ق يا 1067ق؛ در پشت برگ اول این نسخه نیز چند جا نام این کمونه آمده است؛ کاغذ: اصفهانی شکری آهار شده؛ جلد: تیماج قرمز روشن با آستر کاغذی؛ 170 ص 17 سطر ، قطع: رقعی اندازه: 11</w:t>
      </w:r>
      <w:r>
        <w:rPr>
          <w:rFonts w:ascii="Times New Roman" w:hAnsi="Times New Roman" w:eastAsia="Times New Roman" w:cs="Times New Roman"/>
          <w:lang w:val="en-US" w:bidi="en-US"/>
          <w:color w:val="111111"/>
          <w:sz w:val="28"/>
          <w:szCs w:val="28"/>
          <w:rtl/>
        </w:rPr>
        <w:t xml:space="preserve">×17/5</w:t>
      </w:r>
      <w:r>
        <w:rPr>
          <w:rFonts w:ascii="IRNazanin" w:hAnsi="IRNazanin" w:eastAsia="IRNazanin" w:cs="IRNazanin"/>
          <w:lang w:bidi="fa-IR"/>
          <w:color w:val="111111"/>
          <w:sz w:val="28"/>
          <w:szCs w:val="28"/>
          <w:rtl/>
        </w:rPr>
        <w:t xml:space="preserve">سم [ف: 10 - 1832]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81" w:name="pg20365_260106"/>
    <w:bookmarkEnd w:id="81"/>
    <w:p>
      <w:pPr>
        <w:pStyle w:val="BookText"/>
      </w:pPr>
      <w:r>
        <w:rPr>
          <w:rFonts w:ascii="IRNazanin" w:hAnsi="IRNazanin" w:eastAsia="IRNazanin" w:cs="IRNazanin"/>
          <w:lang w:bidi="fa-IR"/>
          <w:color w:val="111111"/>
          <w:sz w:val="28"/>
          <w:szCs w:val="28"/>
          <w:rtl/>
        </w:rPr>
        <w:t xml:space="preserve">6 . قم؛ مرعشی؛ شماره نسخه: 11619/1</w:t>
      </w:r>
    </w:p>
    <w:p>
      <w:pPr>
        <w:pStyle w:val="BookText"/>
      </w:pPr>
      <w:r>
        <w:rPr>
          <w:rFonts w:ascii="IRNazanin" w:hAnsi="IRNazanin" w:eastAsia="IRNazanin" w:cs="IRNazanin"/>
          <w:lang w:bidi="fa-IR"/>
          <w:color w:val="111111"/>
          <w:sz w:val="28"/>
          <w:szCs w:val="28"/>
          <w:rtl/>
        </w:rPr>
        <w:t xml:space="preserve">آغاز: برابر با مقاله سوم؛ انجام: برابر با مقاله سوم</w:t>
      </w:r>
    </w:p>
    <w:p>
      <w:pPr>
        <w:pStyle w:val="BookText"/>
      </w:pPr>
      <w:r>
        <w:rPr>
          <w:rFonts w:ascii="IRNazanin" w:hAnsi="IRNazanin" w:eastAsia="IRNazanin" w:cs="IRNazanin"/>
          <w:lang w:bidi="fa-IR"/>
          <w:color w:val="111111"/>
          <w:sz w:val="28"/>
          <w:szCs w:val="28"/>
          <w:rtl/>
        </w:rPr>
        <w:t xml:space="preserve">مقاله سوم؛ خط: نسخ، کا: محمد نصیر فرزند ملا حسن، بالانكایی  جیلانی ،تا: قرن 12؛ دارای طرح اولیه سرلوح با قلم سیاه، مجدول، مذهب؛ تملک: «کاظم حسینی موسوی» با مهر «عبده كاظم بن حسین الموسوی (1278) (مربع) کاغذ: فرنگی، 7 گ ، (1 تا 7)، 22 سطر ، اندازه: 15</w:t>
      </w:r>
      <w:r>
        <w:rPr>
          <w:rFonts w:ascii="Times New Roman" w:hAnsi="Times New Roman" w:eastAsia="Times New Roman" w:cs="Times New Roman"/>
          <w:lang w:val="en-US" w:bidi="en-US"/>
          <w:color w:val="111111"/>
          <w:sz w:val="28"/>
          <w:szCs w:val="28"/>
          <w:rtl/>
        </w:rPr>
        <w:t xml:space="preserve">×6</w:t>
      </w:r>
      <w:r>
        <w:rPr>
          <w:rFonts w:ascii="IRNazanin" w:hAnsi="IRNazanin" w:eastAsia="IRNazanin" w:cs="IRNazanin"/>
          <w:lang w:bidi="fa-IR"/>
          <w:color w:val="111111"/>
          <w:sz w:val="28"/>
          <w:szCs w:val="28"/>
          <w:rtl/>
        </w:rPr>
        <w:t xml:space="preserve">سم [ف: 29 - 363]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مشهد؛ رضوی؛ شماره نسخه: 21771</w:t>
      </w:r>
    </w:p>
    <w:p>
      <w:pPr>
        <w:pStyle w:val="BookText"/>
      </w:pPr>
      <w:r>
        <w:rPr>
          <w:rFonts w:ascii="IRNazanin" w:hAnsi="IRNazanin" w:eastAsia="IRNazanin" w:cs="IRNazanin"/>
          <w:lang w:bidi="fa-IR"/>
          <w:color w:val="111111"/>
          <w:sz w:val="28"/>
          <w:szCs w:val="28"/>
          <w:rtl/>
        </w:rPr>
        <w:t xml:space="preserve">آغاز: بسمله، قاله فى ان النفس ليست بمزاج البدن؛ انجام: و لایتم العقول الا بالفعل</w:t>
      </w:r>
    </w:p>
    <w:p>
      <w:pPr>
        <w:pStyle w:val="BookText"/>
      </w:pPr>
      <w:r>
        <w:rPr>
          <w:rFonts w:ascii="IRNazanin" w:hAnsi="IRNazanin" w:eastAsia="IRNazanin" w:cs="IRNazanin"/>
          <w:lang w:bidi="fa-IR"/>
          <w:color w:val="111111"/>
          <w:sz w:val="28"/>
          <w:szCs w:val="28"/>
          <w:rtl/>
        </w:rPr>
        <w:t xml:space="preserve">خط: نستعلیق شکسته، بی کا، تا: قرن 13؛ کاغذ ،نخودی، جلد: مقوا [رایانه]</w:t>
      </w:r>
    </w:p>
    <w:p>
      <w:pPr>
        <w:pStyle w:val="Heading3"/>
      </w:pPr>
      <w:bookmarkStart w:id="726" w:name="_Toc248"/>
      <w:r>
        <w:t>الازمان و ذكر ما يستعمل فی کل وقت و آن / عربی</w:t>
      </w:r>
      <w:bookmarkEnd w:id="726"/>
    </w:p>
    <w:p>
      <w:pPr>
        <w:pStyle w:val="BookText"/>
      </w:pPr>
      <w:r>
        <w:rPr>
          <w:rFonts w:ascii="Times New Roman" w:hAnsi="Times New Roman" w:eastAsia="Times New Roman" w:cs="Times New Roman"/>
          <w:lang w:val="en-US" w:bidi="en-US"/>
          <w:color w:val="111111"/>
          <w:sz w:val="28"/>
          <w:szCs w:val="28"/>
          <w:rtl/>
        </w:rPr>
        <w:t xml:space="preserve">al-azmān wa ḏikr-u mā yusta‘mal-u fī kull-i waqt-in</w:t>
      </w:r>
    </w:p>
    <w:p>
      <w:pPr>
        <w:pStyle w:val="BookText"/>
      </w:pPr>
      <w:r>
        <w:rPr>
          <w:rFonts w:ascii="Times New Roman" w:hAnsi="Times New Roman" w:eastAsia="Times New Roman" w:cs="Times New Roman"/>
          <w:lang w:val="en-US" w:bidi="en-US"/>
          <w:color w:val="111111"/>
          <w:sz w:val="28"/>
          <w:szCs w:val="28"/>
          <w:rtl/>
        </w:rPr>
        <w:t xml:space="preserve">wa ān</w:t>
      </w:r>
    </w:p>
    <w:p>
      <w:pPr>
        <w:pStyle w:val="BookText"/>
      </w:pPr>
      <w:r>
        <w:rPr>
          <w:rFonts w:ascii="IRNazanin" w:hAnsi="IRNazanin" w:eastAsia="IRNazanin" w:cs="IRNazanin"/>
          <w:lang w:bidi="fa-IR"/>
          <w:color w:val="111111"/>
          <w:sz w:val="28"/>
          <w:szCs w:val="28"/>
          <w:rtl/>
        </w:rPr>
        <w:t xml:space="preserve">ابن ماسوسه</w:t>
      </w:r>
    </w:p>
    <w:p>
      <w:pPr>
        <w:pStyle w:val="BookText"/>
      </w:pPr>
      <w:r>
        <w:rPr>
          <w:rFonts w:ascii="Times New Roman" w:hAnsi="Times New Roman" w:eastAsia="Times New Roman" w:cs="Times New Roman"/>
          <w:lang w:val="en-US" w:bidi="en-US"/>
          <w:color w:val="111111"/>
          <w:sz w:val="28"/>
          <w:szCs w:val="28"/>
          <w:rtl/>
        </w:rPr>
        <w:t xml:space="preserve">ebn-e māsūse</w:t>
      </w:r>
    </w:p>
    <w:p>
      <w:pPr>
        <w:pStyle w:val="BookText"/>
      </w:pPr>
      <w:r>
        <w:rPr>
          <w:rFonts w:ascii="IRNazanin" w:hAnsi="IRNazanin" w:eastAsia="IRNazanin" w:cs="IRNazanin"/>
          <w:lang w:bidi="fa-IR"/>
          <w:color w:val="111111"/>
          <w:sz w:val="28"/>
          <w:szCs w:val="28"/>
          <w:rtl/>
        </w:rPr>
        <w:t xml:space="preserve">تهران؛ دانشگاه؛ شماره نسخه: 535/10-ف</w:t>
      </w:r>
    </w:p>
    <w:p>
      <w:pPr>
        <w:pStyle w:val="BookText"/>
      </w:pPr>
      <w:r>
        <w:rPr>
          <w:rFonts w:ascii="IRNazanin" w:hAnsi="IRNazanin" w:eastAsia="IRNazanin" w:cs="IRNazanin"/>
          <w:lang w:bidi="fa-IR"/>
          <w:color w:val="111111"/>
          <w:sz w:val="28"/>
          <w:szCs w:val="28"/>
          <w:rtl/>
        </w:rPr>
        <w:t xml:space="preserve">نسخه اصل: اسعد افندی ش 1933؛ بی کا، بی تا [فیلم ها-ف: 1-6]</w:t>
      </w:r>
    </w:p>
    <w:p>
      <w:pPr>
        <w:pStyle w:val="Heading3"/>
      </w:pPr>
      <w:bookmarkStart w:id="727" w:name="_Toc249"/>
      <w:r>
        <w:t>از مجمع الحکایات / داستان / فارسی</w:t>
      </w:r>
      <w:bookmarkEnd w:id="727"/>
    </w:p>
    <w:p>
      <w:pPr>
        <w:pStyle w:val="BookText"/>
      </w:pPr>
      <w:r>
        <w:rPr>
          <w:rFonts w:ascii="Times New Roman" w:hAnsi="Times New Roman" w:eastAsia="Times New Roman" w:cs="Times New Roman"/>
          <w:lang w:val="en-US" w:bidi="en-US"/>
          <w:color w:val="111111"/>
          <w:sz w:val="28"/>
          <w:szCs w:val="28"/>
          <w:rtl/>
        </w:rPr>
        <w:t xml:space="preserve">az majma‘-ol hekāyāt</w:t>
      </w:r>
    </w:p>
    <w:p>
      <w:pPr>
        <w:pStyle w:val="BookText"/>
      </w:pPr>
      <w:r>
        <w:rPr>
          <w:rFonts w:ascii="IRNazanin" w:hAnsi="IRNazanin" w:eastAsia="IRNazanin" w:cs="IRNazanin"/>
          <w:lang w:bidi="fa-IR"/>
          <w:color w:val="111111"/>
          <w:sz w:val="28"/>
          <w:szCs w:val="28"/>
          <w:rtl/>
        </w:rPr>
        <w:t xml:space="preserve">تهران؛ مجلس؛ شماره نسخه: 9004/14</w:t>
      </w:r>
    </w:p>
    <w:p>
      <w:pPr>
        <w:pStyle w:val="BookText"/>
      </w:pPr>
      <w:r>
        <w:rPr>
          <w:rFonts w:ascii="IRNazanin" w:hAnsi="IRNazanin" w:eastAsia="IRNazanin" w:cs="IRNazanin"/>
          <w:lang w:bidi="fa-IR"/>
          <w:color w:val="111111"/>
          <w:sz w:val="28"/>
          <w:szCs w:val="28"/>
          <w:rtl/>
        </w:rPr>
        <w:t xml:space="preserve">آغاز: یکی از سلاطین بزرگی را پرسید که می گویند هر چیزی ذكاتيست (كذا) زكات سلاطین چیست؛ انجام: پس چون سلطان را طاعتی حاصل شد و معصیتی از من صادر نگشت محل شکر گذاری و سپاس داری باشد . کسی کاستعانت بدرویش برد *** اگر بر فریدون زد از پیش برد... و بالله (كذا) المستعان على ما تصفون.</w:t>
      </w:r>
    </w:p>
    <w:p>
      <w:pPr>
        <w:pStyle w:val="BookText"/>
      </w:pPr>
      <w:r>
        <w:rPr>
          <w:rFonts w:ascii="IRNazanin" w:hAnsi="IRNazanin" w:eastAsia="IRNazanin" w:cs="IRNazanin"/>
          <w:lang w:bidi="fa-IR"/>
          <w:color w:val="111111"/>
          <w:sz w:val="28"/>
          <w:szCs w:val="28"/>
          <w:rtl/>
        </w:rPr>
        <w:t xml:space="preserve">خط: نستعلیق، بی کا ،تا: قرن 11؛ کاغذ: نخودی آهار مهره، جلد: میشن قهوه ای ضربی با ترنج و سر ترنج، مجدول گرهی و ساده، 14گ؛ (154ر - 167پ)، سطور چلیپا و معمولی [ف: 29/2 - 600]</w:t>
      </w:r>
    </w:p>
    <w:p>
      <w:pPr>
        <w:pStyle w:val="Heading3"/>
      </w:pPr>
      <w:bookmarkStart w:id="728" w:name="_Toc250"/>
      <w:r>
        <w:t>الازمنة و الامكنة / هيئت / عربي</w:t>
      </w:r>
      <w:bookmarkEnd w:id="728"/>
    </w:p>
    <w:p>
      <w:pPr>
        <w:pStyle w:val="BookText"/>
      </w:pPr>
      <w:r>
        <w:rPr>
          <w:rFonts w:ascii="Times New Roman" w:hAnsi="Times New Roman" w:eastAsia="Times New Roman" w:cs="Times New Roman"/>
          <w:lang w:val="en-US" w:bidi="en-US"/>
          <w:color w:val="111111"/>
          <w:sz w:val="28"/>
          <w:szCs w:val="28"/>
          <w:rtl/>
        </w:rPr>
        <w:t xml:space="preserve">al-azmana wa-l amkana</w:t>
      </w:r>
    </w:p>
    <w:p>
      <w:pPr>
        <w:pStyle w:val="BookText"/>
      </w:pPr>
      <w:r>
        <w:rPr>
          <w:rFonts w:ascii="IRNazanin" w:hAnsi="IRNazanin" w:eastAsia="IRNazanin" w:cs="IRNazanin"/>
          <w:lang w:bidi="fa-IR"/>
          <w:color w:val="111111"/>
          <w:sz w:val="28"/>
          <w:szCs w:val="28"/>
          <w:rtl/>
        </w:rPr>
        <w:t xml:space="preserve">ابن كبرياء، موسى بن حسن، ق 4 قمری</w:t>
      </w:r>
    </w:p>
    <w:p>
      <w:pPr>
        <w:pStyle w:val="BookText"/>
      </w:pPr>
      <w:r>
        <w:rPr>
          <w:rFonts w:ascii="Times New Roman" w:hAnsi="Times New Roman" w:eastAsia="Times New Roman" w:cs="Times New Roman"/>
          <w:lang w:val="en-US" w:bidi="en-US"/>
          <w:color w:val="111111"/>
          <w:sz w:val="28"/>
          <w:szCs w:val="28"/>
          <w:rtl/>
        </w:rPr>
        <w:t xml:space="preserve">(ebn-e kebrīyā’, </w:t>
      </w:r>
      <w:r>
        <w:rPr>
          <w:rFonts w:ascii="IRNazanin" w:hAnsi="IRNazanin" w:eastAsia="IRNazanin" w:cs="IRNazanin"/>
          <w:lang w:bidi="fa-IR"/>
          <w:color w:val="111111"/>
          <w:sz w:val="28"/>
          <w:szCs w:val="28"/>
          <w:rtl/>
        </w:rPr>
        <w:t xml:space="preserve">،</w:t>
      </w:r>
      <w:r>
        <w:rPr>
          <w:rFonts w:ascii="Times New Roman" w:hAnsi="Times New Roman" w:eastAsia="Times New Roman" w:cs="Times New Roman"/>
          <w:lang w:val="en-US" w:bidi="en-US"/>
          <w:color w:val="111111"/>
          <w:sz w:val="28"/>
          <w:szCs w:val="28"/>
          <w:rtl/>
        </w:rPr>
        <w:t xml:space="preserve">mūsā ebn-e hasan ( - 10c</w:t>
      </w:r>
    </w:p>
    <w:p>
      <w:pPr>
        <w:pStyle w:val="BookText"/>
      </w:pPr>
      <w:r>
        <w:rPr>
          <w:rFonts w:ascii="Amiri" w:hAnsi="Amiri" w:eastAsia="Amiri" w:cs="Amiri"/>
          <w:lang w:bidi="ar-SA"/>
          <w:color w:val="111111"/>
          <w:sz w:val="28"/>
          <w:szCs w:val="28"/>
          <w:rtl/>
        </w:rPr>
        <w:t xml:space="preserve">تاريخ تأليف: 324ق</w:t>
      </w:r>
    </w:p>
    <w:p>
      <w:pPr>
        <w:pStyle w:val="BookText"/>
      </w:pPr>
      <w:r>
        <w:rPr>
          <w:rFonts w:ascii="IRNazanin" w:hAnsi="IRNazanin" w:eastAsia="IRNazanin" w:cs="IRNazanin"/>
          <w:lang w:bidi="fa-IR"/>
          <w:color w:val="111111"/>
          <w:sz w:val="28"/>
          <w:szCs w:val="28"/>
          <w:rtl/>
        </w:rPr>
        <w:t xml:space="preserve">تهران؛ دانشگاه؛ شماره نسخه: 228/2-ف</w:t>
      </w:r>
    </w:p>
    <w:p>
      <w:pPr>
        <w:pStyle w:val="BookText"/>
      </w:pPr>
      <w:r>
        <w:rPr>
          <w:rFonts w:ascii="IRNazanin" w:hAnsi="IRNazanin" w:eastAsia="IRNazanin" w:cs="IRNazanin"/>
          <w:lang w:bidi="fa-IR"/>
          <w:color w:val="111111"/>
          <w:sz w:val="28"/>
          <w:szCs w:val="28"/>
          <w:rtl/>
        </w:rPr>
        <w:t xml:space="preserve">نسخه اصل: اونیورسیته 3158؛ بی کا، بی تا [فیلم ها - ف: 1-438]</w:t>
      </w:r>
    </w:p>
    <w:p>
      <w:pPr>
        <w:pStyle w:val="Heading3"/>
      </w:pPr>
      <w:bookmarkStart w:id="729" w:name="_Toc251"/>
      <w:r>
        <w:t>الازمنة و الامكنة / دائرة المعارف، هيئت / عربي</w:t>
      </w:r>
      <w:bookmarkEnd w:id="729"/>
    </w:p>
    <w:p>
      <w:pPr>
        <w:pStyle w:val="BookText"/>
      </w:pPr>
      <w:r>
        <w:rPr>
          <w:rFonts w:ascii="Times New Roman" w:hAnsi="Times New Roman" w:eastAsia="Times New Roman" w:cs="Times New Roman"/>
          <w:lang w:val="en-US" w:bidi="en-US"/>
          <w:color w:val="111111"/>
          <w:sz w:val="28"/>
          <w:szCs w:val="28"/>
          <w:rtl/>
        </w:rPr>
        <w:t xml:space="preserve">al-azmana wa-l amkana</w:t>
      </w:r>
    </w:p>
    <w:p>
      <w:pPr>
        <w:pStyle w:val="BookText"/>
      </w:pPr>
      <w:r>
        <w:rPr>
          <w:rFonts w:ascii="IRNazanin" w:hAnsi="IRNazanin" w:eastAsia="IRNazanin" w:cs="IRNazanin"/>
          <w:lang w:bidi="fa-IR"/>
          <w:color w:val="111111"/>
          <w:sz w:val="28"/>
          <w:szCs w:val="28"/>
          <w:rtl/>
        </w:rPr>
        <w:t xml:space="preserve">مرزوقی اصفهانی احمد بن محمد، - 421 ؟ قمری</w:t>
      </w:r>
    </w:p>
    <w:p>
      <w:pPr>
        <w:pStyle w:val="BookText"/>
      </w:pPr>
      <w:r>
        <w:rPr>
          <w:rFonts w:ascii="Times New Roman" w:hAnsi="Times New Roman" w:eastAsia="Times New Roman" w:cs="Times New Roman"/>
          <w:lang w:val="en-US" w:bidi="en-US"/>
          <w:color w:val="111111"/>
          <w:sz w:val="28"/>
          <w:szCs w:val="28"/>
          <w:rtl/>
        </w:rPr>
        <w:t xml:space="preserve">(marzūqī esfahānī, ahmad ebn-e mohammad (- 1031)</w:t>
      </w:r>
    </w:p>
    <w:p>
      <w:pPr>
        <w:pStyle w:val="BookText"/>
      </w:pPr>
      <w:r>
        <w:rPr>
          <w:rFonts w:ascii="IRNazanin" w:hAnsi="IRNazanin" w:eastAsia="IRNazanin" w:cs="IRNazanin"/>
          <w:lang w:bidi="fa-IR"/>
          <w:color w:val="111111"/>
          <w:sz w:val="28"/>
          <w:szCs w:val="28"/>
          <w:rtl/>
        </w:rPr>
        <w:t xml:space="preserve">دائرة المعارفی است در احوال و اسماء و خواص زمان و مکان و کواکب و بروج با استشهاد به اشعار شعرای جاهلی مشتمل بر سه «قسم» در شصت و سه «باب» و نود و اند «فصل».</w:t>
      </w:r>
    </w:p>
    <w:p>
      <w:pPr>
        <w:pStyle w:val="BookText"/>
      </w:pPr>
      <w:r>
        <w:rPr>
          <w:rFonts w:ascii="IRNazanin" w:hAnsi="IRNazanin" w:eastAsia="IRNazanin" w:cs="IRNazanin"/>
          <w:lang w:bidi="fa-IR"/>
          <w:color w:val="111111"/>
          <w:sz w:val="28"/>
          <w:szCs w:val="28"/>
          <w:rtl/>
        </w:rPr>
        <w:t xml:space="preserve">چاپ: حیدر آباد دکن، سال 1332ق، دو جلد، چاپ سربی</w:t>
      </w:r>
    </w:p>
    <w:p>
      <w:pPr>
        <w:pStyle w:val="BookText"/>
      </w:pPr>
      <w:r>
        <w:rPr>
          <w:rFonts w:ascii="IRNazanin" w:hAnsi="IRNazanin" w:eastAsia="IRNazanin" w:cs="IRNazanin"/>
          <w:lang w:bidi="fa-IR"/>
          <w:color w:val="111111"/>
          <w:sz w:val="28"/>
          <w:szCs w:val="28"/>
          <w:rtl/>
        </w:rPr>
        <w:t xml:space="preserve">مشهد؛ رضوی؛ شماره نسخه: 4170</w:t>
      </w:r>
    </w:p>
    <w:p>
      <w:pPr>
        <w:pStyle w:val="BookText"/>
      </w:pPr>
      <w:r>
        <w:rPr>
          <w:rFonts w:ascii="Amiri" w:hAnsi="Amiri" w:eastAsia="Amiri" w:cs="Amiri"/>
          <w:lang w:bidi="ar-SA"/>
          <w:color w:val="111111"/>
          <w:sz w:val="28"/>
          <w:szCs w:val="28"/>
          <w:rtl/>
        </w:rPr>
        <w:t xml:space="preserve">آغاز: بسمله، الحمد لله الذى لا تحصر آلاؤه بتحديد و لا تعد نعماؤه بتعديد، انجام: و ان يتولا بالتوفيق و التسديد.</w:t>
      </w:r>
    </w:p>
    <w:p>
      <w:pPr>
        <w:pStyle w:val="BookText"/>
      </w:pPr>
      <w:r>
        <w:rPr>
          <w:rFonts w:ascii="IRNazanin" w:hAnsi="IRNazanin" w:eastAsia="IRNazanin" w:cs="IRNazanin"/>
          <w:lang w:bidi="fa-IR"/>
          <w:color w:val="111111"/>
          <w:sz w:val="28"/>
          <w:szCs w:val="28"/>
          <w:rtl/>
        </w:rPr>
        <w:t xml:space="preserve">خط: نسخ، کا: ابو محمد عابد بن محمد بن علی بن ابی بکر، تا: شنبه 13 جمادی الثانی 779ق ؛جا: یزد؛ واقف: شیخ بهائی؛ کاغذ ،نخودی ،جلد: چرمی قهوه ی 191گ 29 سطر (7/5</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اندازه: 13</w:t>
      </w:r>
      <w:r>
        <w:rPr>
          <w:rFonts w:ascii="Times New Roman" w:hAnsi="Times New Roman" w:eastAsia="Times New Roman" w:cs="Times New Roman"/>
          <w:lang w:val="en-US" w:bidi="en-US"/>
          <w:color w:val="111111"/>
          <w:sz w:val="28"/>
          <w:szCs w:val="28"/>
          <w:rtl/>
        </w:rPr>
        <w:t xml:space="preserve">×20/7</w:t>
      </w:r>
      <w:r>
        <w:rPr>
          <w:rFonts w:ascii="IRNazanin" w:hAnsi="IRNazanin" w:eastAsia="IRNazanin" w:cs="IRNazanin"/>
          <w:lang w:bidi="fa-IR"/>
          <w:color w:val="111111"/>
          <w:sz w:val="28"/>
          <w:szCs w:val="28"/>
          <w:rtl/>
        </w:rPr>
        <w:t xml:space="preserve">سم [ ف : 7 - 9]</w:t>
      </w:r>
    </w:p>
    <w:p>
      <w:pPr>
        <w:pStyle w:val="Heading3"/>
      </w:pPr>
      <w:bookmarkStart w:id="730" w:name="_Toc252"/>
      <w:r>
        <w:t>الازمنة و الشهور الرومية / هيئت / عربي</w:t>
      </w:r>
      <w:bookmarkEnd w:id="730"/>
    </w:p>
    <w:p>
      <w:pPr>
        <w:pStyle w:val="BookText"/>
      </w:pPr>
      <w:r>
        <w:rPr>
          <w:rFonts w:ascii="Times New Roman" w:hAnsi="Times New Roman" w:eastAsia="Times New Roman" w:cs="Times New Roman"/>
          <w:lang w:val="en-US" w:bidi="en-US"/>
          <w:color w:val="111111"/>
          <w:sz w:val="28"/>
          <w:szCs w:val="28"/>
          <w:rtl/>
        </w:rPr>
        <w:t xml:space="preserve">al-azmana wa-š šuhūr-ur rūmīya</w:t>
      </w:r>
    </w:p>
    <w:p>
      <w:pPr>
        <w:pStyle w:val="BookText"/>
      </w:pPr>
      <w:r>
        <w:rPr>
          <w:rFonts w:ascii="IRNazanin" w:hAnsi="IRNazanin" w:eastAsia="IRNazanin" w:cs="IRNazanin"/>
          <w:lang w:bidi="fa-IR"/>
          <w:color w:val="111111"/>
          <w:sz w:val="28"/>
          <w:szCs w:val="28"/>
          <w:rtl/>
        </w:rPr>
        <w:t xml:space="preserve">مشهد؛ رضوی؛ شماره نسخه: 5543/1</w:t>
      </w:r>
    </w:p>
    <w:p>
      <w:pPr>
        <w:pStyle w:val="BookText"/>
      </w:pPr>
      <w:r>
        <w:rPr>
          <w:rFonts w:ascii="IRNazanin" w:hAnsi="IRNazanin" w:eastAsia="IRNazanin" w:cs="IRNazanin"/>
          <w:lang w:bidi="fa-IR"/>
          <w:color w:val="111111"/>
          <w:sz w:val="28"/>
          <w:szCs w:val="28"/>
          <w:rtl/>
        </w:rPr>
        <w:t xml:space="preserve">آغاز: بسمله فصل فی معرفة الازمنة و الشهور الرومية و عدد ایامها؛ انجام: و تسقط بطن الحوت</w:t>
      </w:r>
    </w:p>
    <w:p>
      <w:pPr>
        <w:pStyle w:val="BookText"/>
      </w:pPr>
      <w:r>
        <w:rPr>
          <w:rFonts w:ascii="IRNazanin" w:hAnsi="IRNazanin" w:eastAsia="IRNazanin" w:cs="IRNazanin"/>
          <w:lang w:bidi="fa-IR"/>
          <w:color w:val="111111"/>
          <w:sz w:val="28"/>
          <w:szCs w:val="28"/>
          <w:rtl/>
        </w:rPr>
        <w:t xml:space="preserve">خط: نسخ، بی کا، تا: 1265ق؛ کاغذ: فستقی آهار مهره، جلد: پارچه ای، 10 ص (101)،  13 سطر (6</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اندازه: 10/9</w:t>
      </w:r>
      <w:r>
        <w:rPr>
          <w:rFonts w:ascii="Times New Roman" w:hAnsi="Times New Roman" w:eastAsia="Times New Roman" w:cs="Times New Roman"/>
          <w:lang w:val="en-US" w:bidi="en-US"/>
          <w:color w:val="111111"/>
          <w:sz w:val="28"/>
          <w:szCs w:val="28"/>
          <w:rtl/>
        </w:rPr>
        <w:t xml:space="preserve">×16/3</w:t>
      </w:r>
      <w:r>
        <w:rPr>
          <w:rFonts w:ascii="IRNazanin" w:hAnsi="IRNazanin" w:eastAsia="IRNazanin" w:cs="IRNazanin"/>
          <w:lang w:bidi="fa-IR"/>
          <w:color w:val="111111"/>
          <w:sz w:val="28"/>
          <w:szCs w:val="28"/>
          <w:rtl/>
        </w:rPr>
        <w:t xml:space="preserve">سم [ف: 8 - 311]</w:t>
      </w:r>
    </w:p>
    <w:p>
      <w:pPr>
        <w:pStyle w:val="Heading3"/>
      </w:pPr>
      <w:bookmarkStart w:id="731" w:name="_Toc253"/>
      <w:r>
        <w:t>ازواج النبی / تاریخ پیامبراکرم (صلّی اللَّهِ علیه وَ آلِهِ وَ سَلَّمَ ) / عربی</w:t>
      </w:r>
      <w:bookmarkEnd w:id="731"/>
    </w:p>
    <w:p>
      <w:pPr>
        <w:pStyle w:val="BookText"/>
      </w:pPr>
      <w:r>
        <w:rPr>
          <w:rFonts w:ascii="Times New Roman" w:hAnsi="Times New Roman" w:eastAsia="Times New Roman" w:cs="Times New Roman"/>
          <w:lang w:val="en-US" w:bidi="en-US"/>
          <w:color w:val="111111"/>
          <w:sz w:val="28"/>
          <w:szCs w:val="28"/>
          <w:rtl/>
        </w:rPr>
        <w:t xml:space="preserve">azwāj-un-nabī</w:t>
      </w:r>
    </w:p>
    <w:p>
      <w:pPr>
        <w:pStyle w:val="BookText"/>
      </w:pPr>
      <w:r>
        <w:rPr>
          <w:rFonts w:ascii="IRNazanin" w:hAnsi="IRNazanin" w:eastAsia="IRNazanin" w:cs="IRNazanin"/>
          <w:lang w:bidi="fa-IR"/>
          <w:color w:val="111111"/>
          <w:sz w:val="28"/>
          <w:szCs w:val="28"/>
          <w:rtl/>
        </w:rPr>
        <w:t xml:space="preserve">تهران؛ ملک؛ شماره نسخه : 604/41</w:t>
      </w:r>
    </w:p>
    <w:p>
      <w:pPr>
        <w:pStyle w:val="BookText"/>
      </w:pPr>
      <w:r>
        <w:rPr>
          <w:rFonts w:ascii="IRNazanin" w:hAnsi="IRNazanin" w:eastAsia="IRNazanin" w:cs="IRNazanin"/>
          <w:lang w:bidi="fa-IR"/>
          <w:color w:val="111111"/>
          <w:sz w:val="28"/>
          <w:szCs w:val="28"/>
          <w:rtl/>
        </w:rPr>
        <w:t xml:space="preserve">خط: نسخ، کا: شمس الدين محمد بن علی بن حسن جباعی،تا: قرن 9؛ 3 ص( 222- 224) [ف : 5 - 108]</w:t>
      </w:r>
    </w:p>
    <w:p>
      <w:pPr>
        <w:pStyle w:val="Heading3"/>
      </w:pPr>
      <w:bookmarkStart w:id="732" w:name="_Toc254"/>
      <w:r>
        <w:t>الازهار = المجموع / اخلاق / عربی</w:t>
      </w:r>
      <w:bookmarkEnd w:id="732"/>
    </w:p>
    <w:p>
      <w:pPr>
        <w:pStyle w:val="BookText"/>
      </w:pPr>
      <w:r>
        <w:rPr>
          <w:rFonts w:ascii="Times New Roman" w:hAnsi="Times New Roman" w:eastAsia="Times New Roman" w:cs="Times New Roman"/>
          <w:lang w:val="en-US" w:bidi="en-US"/>
          <w:color w:val="111111"/>
          <w:sz w:val="28"/>
          <w:szCs w:val="28"/>
          <w:rtl/>
        </w:rPr>
        <w:t xml:space="preserve">al-azhar = al-majmu</w:t>
      </w:r>
    </w:p>
    <w:p>
      <w:pPr>
        <w:pStyle w:val="BookText"/>
      </w:pPr>
      <w:r>
        <w:rPr>
          <w:rFonts w:ascii="IRNazanin" w:hAnsi="IRNazanin" w:eastAsia="IRNazanin" w:cs="IRNazanin"/>
          <w:lang w:bidi="fa-IR"/>
          <w:color w:val="111111"/>
          <w:sz w:val="28"/>
          <w:szCs w:val="28"/>
          <w:rtl/>
        </w:rPr>
        <w:t xml:space="preserve">تاج الدین اسفراینی، محمد بن محمد، - 684 قمری</w:t>
      </w:r>
    </w:p>
    <w:p>
      <w:pPr>
        <w:pStyle w:val="BookText"/>
      </w:pPr>
      <w:r>
        <w:rPr>
          <w:rFonts w:ascii="Times New Roman" w:hAnsi="Times New Roman" w:eastAsia="Times New Roman" w:cs="Times New Roman"/>
          <w:lang w:val="en-US" w:bidi="en-US"/>
          <w:color w:val="111111"/>
          <w:sz w:val="28"/>
          <w:szCs w:val="28"/>
          <w:rtl/>
        </w:rPr>
        <w:t xml:space="preserve">taj-od-din esfarayeni, mohammad ebn-e mohammad ( -</w:t>
      </w:r>
    </w:p>
    <w:p>
      <w:pPr>
        <w:pStyle w:val="BookText"/>
      </w:pPr>
      <w:r>
        <w:rPr>
          <w:rFonts w:ascii="Times New Roman" w:hAnsi="Times New Roman" w:eastAsia="Times New Roman" w:cs="Times New Roman"/>
          <w:lang w:val="en-US" w:bidi="en-US"/>
          <w:color w:val="111111"/>
          <w:sz w:val="28"/>
          <w:szCs w:val="28"/>
          <w:rtl/>
        </w:rPr>
        <w:t xml:space="preserve">(1286-)</w:t>
      </w:r>
    </w:p>
    <w:p>
      <w:pPr>
        <w:pStyle w:val="BookText"/>
      </w:pPr>
      <w:r>
        <w:rPr>
          <w:rFonts w:ascii="IRNazanin" w:hAnsi="IRNazanin" w:eastAsia="IRNazanin" w:cs="IRNazanin"/>
          <w:lang w:bidi="fa-IR"/>
          <w:color w:val="111111"/>
          <w:sz w:val="28"/>
          <w:szCs w:val="28"/>
          <w:rtl/>
        </w:rPr>
        <w:t xml:space="preserve">مؤلف قبل از این کتاب ریاض «المذکرین» را نگاشته بود و در کتاب حاضر آن را در سی «باب» و هر باب در چند «روضه» تلخیص و تحریر نموده است .1 فضائل النبي (صلّی اللَّهِ علیه وَ آلِهِ وَ سَلَّمَ )؛ 2. فضائل الصحابه؛ 3. فضائل العلماء؛ 4. الطهارة و الغسل ؛ 5.فضائل الاذان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82" w:name="pg20365_260107"/>
    <w:bookmarkEnd w:id="82"/>
    <w:p>
      <w:pPr>
        <w:pStyle w:val="BookText"/>
      </w:pPr>
      <w:r>
        <w:rPr>
          <w:rFonts w:ascii="IRNazanin" w:hAnsi="IRNazanin" w:eastAsia="IRNazanin" w:cs="IRNazanin"/>
          <w:lang w:bidi="fa-IR"/>
          <w:color w:val="111111"/>
          <w:sz w:val="28"/>
          <w:szCs w:val="28"/>
          <w:rtl/>
        </w:rPr>
        <w:t xml:space="preserve">والمساجد و المشى اليها ؛ 6. الصلوة؛ 7. الدعوات و التسبيحات؛8. فضائل القرآن؛ 9. فضائل الصيام و الايام المختار لها؛10. فضائل الصدقه؛ 11. السخاء و الاحسان الى الناس و الشفقة عليهم؛ 12 . الحج و الجهاد؛ 13.مصاحبة الناس و مداراتهم؛14. التجانب عن اهل المعاصى؛ 15. الاخلاص في العمل؛ 16.التزويج و المتأهل؛ 17. الزهد ؛ 18. التقوى و التواضع؛19. المجاهدة ؛ 20. الاداب ؛ 21. المظالم و الحث على اجتنابها؛22. الكبائر؛ 23. المنهيات؛ 24. الاصرار على الذنوب و الغفلة؛25. الانابة الى الله ؛ 26. المصائب؛ 27. ذكر الموت و لاموات؛ ، 28.الدعوات للاموات و الصدقة ؛ 29. ذكر القيامة ؛ 30. عفو الله غفرانه وصفة الجنة. مؤلف در این کتاب از «الازهار و الرياض» نقل می کند و گویا کتاب حاضر نامش «المجموع» است.</w:t>
      </w:r>
    </w:p>
    <w:p>
      <w:pPr>
        <w:pStyle w:val="BookText"/>
      </w:pPr>
      <w:r>
        <w:rPr>
          <w:rFonts w:ascii="IRNazanin" w:hAnsi="IRNazanin" w:eastAsia="IRNazanin" w:cs="IRNazanin"/>
          <w:lang w:bidi="fa-IR"/>
          <w:color w:val="111111"/>
          <w:sz w:val="28"/>
          <w:szCs w:val="28"/>
          <w:rtl/>
        </w:rPr>
        <w:t xml:space="preserve">قم گلپایگانی؛ شماره نسخه: 4540-23/60</w:t>
      </w:r>
    </w:p>
    <w:p>
      <w:pPr>
        <w:pStyle w:val="BookText"/>
      </w:pPr>
      <w:r>
        <w:rPr>
          <w:rFonts w:ascii="IRNazanin" w:hAnsi="IRNazanin" w:eastAsia="IRNazanin" w:cs="IRNazanin"/>
          <w:lang w:bidi="fa-IR"/>
          <w:color w:val="111111"/>
          <w:sz w:val="28"/>
          <w:szCs w:val="28"/>
          <w:rtl/>
        </w:rPr>
        <w:t xml:space="preserve">آغاز: بسمله الحمد الله الداعي الى دار السلام الهادى الى دین الاسلام. .. اما بعد فان الله تعالى لما خص بنی آدم بكرامته واختار الانبياء من بينهم للرسالة ؛ انجام: و اما ظلمة الغيح لا تذهب الابریح يذهبه و باستفراغ ما فيه فكذلك ظلمة الذنوب لا تذهب.</w:t>
      </w:r>
    </w:p>
    <w:p>
      <w:pPr>
        <w:pStyle w:val="BookText"/>
      </w:pPr>
      <w:r>
        <w:rPr>
          <w:rFonts w:ascii="IRNazanin" w:hAnsi="IRNazanin" w:eastAsia="IRNazanin" w:cs="IRNazanin"/>
          <w:lang w:bidi="fa-IR"/>
          <w:color w:val="111111"/>
          <w:sz w:val="28"/>
          <w:szCs w:val="28"/>
          <w:rtl/>
        </w:rPr>
        <w:t xml:space="preserve">خط: نسخ، بی کا، تا: قرن 12؛ جلد: تیماج مشکی، 400گ، سطر ، اندازه: 18</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سم [ف: 1 - 320]</w:t>
      </w:r>
    </w:p>
    <w:p>
      <w:pPr>
        <w:pStyle w:val="Heading3"/>
      </w:pPr>
      <w:bookmarkStart w:id="733" w:name="_Toc255"/>
      <w:r>
        <w:t>الازهار = رياض الازهار / ادبیات / عربی</w:t>
      </w:r>
      <w:bookmarkEnd w:id="733"/>
    </w:p>
    <w:p>
      <w:pPr>
        <w:pStyle w:val="BookText"/>
      </w:pPr>
      <w:r>
        <w:rPr>
          <w:rFonts w:ascii="Times New Roman" w:hAnsi="Times New Roman" w:eastAsia="Times New Roman" w:cs="Times New Roman"/>
          <w:lang w:val="en-US" w:bidi="en-US"/>
          <w:color w:val="111111"/>
          <w:sz w:val="28"/>
          <w:szCs w:val="28"/>
          <w:rtl/>
        </w:rPr>
        <w:t xml:space="preserve">al-azhār = rīyāḍ-ul azhār</w:t>
      </w:r>
    </w:p>
    <w:p>
      <w:pPr>
        <w:pStyle w:val="BookText"/>
      </w:pPr>
      <w:r>
        <w:rPr>
          <w:rFonts w:ascii="IRNazanin" w:hAnsi="IRNazanin" w:eastAsia="IRNazanin" w:cs="IRNazanin"/>
          <w:lang w:bidi="fa-IR"/>
          <w:color w:val="111111"/>
          <w:sz w:val="28"/>
          <w:szCs w:val="28"/>
          <w:rtl/>
        </w:rPr>
        <w:t xml:space="preserve">ابن اثیر، نصر الله بن محمد، 558 - 637 قمری</w:t>
      </w:r>
    </w:p>
    <w:p>
      <w:pPr>
        <w:pStyle w:val="BookText"/>
      </w:pPr>
      <w:r>
        <w:rPr>
          <w:rFonts w:ascii="Times New Roman" w:hAnsi="Times New Roman" w:eastAsia="Times New Roman" w:cs="Times New Roman"/>
          <w:lang w:val="en-US" w:bidi="en-US"/>
          <w:color w:val="111111"/>
          <w:sz w:val="28"/>
          <w:szCs w:val="28"/>
          <w:rtl/>
        </w:rPr>
        <w:t xml:space="preserve">(ebn-e asr, nasr-ol-lāh ebn-e mohammad (1163-1240)</w:t>
      </w:r>
    </w:p>
    <w:p>
      <w:pPr>
        <w:pStyle w:val="BookText"/>
      </w:pPr>
      <w:r>
        <w:rPr>
          <w:rFonts w:ascii="IRNazanin" w:hAnsi="IRNazanin" w:eastAsia="IRNazanin" w:cs="IRNazanin"/>
          <w:lang w:bidi="fa-IR"/>
          <w:color w:val="111111"/>
          <w:sz w:val="28"/>
          <w:szCs w:val="28"/>
          <w:rtl/>
        </w:rPr>
        <w:t xml:space="preserve">مقامه مانندی است از قاضی ضياء الدين بن الاثير.</w:t>
      </w:r>
    </w:p>
    <w:p>
      <w:pPr>
        <w:pStyle w:val="BookText"/>
      </w:pPr>
      <w:r>
        <w:rPr>
          <w:rFonts w:ascii="IRNazanin" w:hAnsi="IRNazanin" w:eastAsia="IRNazanin" w:cs="IRNazanin"/>
          <w:lang w:bidi="fa-IR"/>
          <w:color w:val="111111"/>
          <w:sz w:val="28"/>
          <w:szCs w:val="28"/>
          <w:rtl/>
        </w:rPr>
        <w:t xml:space="preserve">[دائرة المعارف بزرگ اسلامی 2 :707؛ بروکلمان 1: 358 و ذیل 1:  521؛ المخطوطات العربية فى مكتبة باريس الوطنية (حمودى)، 104)</w:t>
      </w:r>
    </w:p>
    <w:p>
      <w:pPr>
        <w:pStyle w:val="BookText"/>
      </w:pPr>
      <w:r>
        <w:rPr>
          <w:rFonts w:ascii="IRNazanin" w:hAnsi="IRNazanin" w:eastAsia="IRNazanin" w:cs="IRNazanin"/>
          <w:lang w:bidi="fa-IR"/>
          <w:color w:val="111111"/>
          <w:sz w:val="28"/>
          <w:szCs w:val="28"/>
          <w:rtl/>
        </w:rPr>
        <w:t xml:space="preserve">تهران؛ مجلس؛ شماره نسخه: 179- طباطبائی</w:t>
      </w:r>
    </w:p>
    <w:p>
      <w:pPr>
        <w:pStyle w:val="BookText"/>
      </w:pPr>
      <w:r>
        <w:rPr>
          <w:rFonts w:ascii="IRNazanin" w:hAnsi="IRNazanin" w:eastAsia="IRNazanin" w:cs="IRNazanin"/>
          <w:lang w:bidi="fa-IR"/>
          <w:color w:val="111111"/>
          <w:sz w:val="28"/>
          <w:szCs w:val="28"/>
          <w:rtl/>
        </w:rPr>
        <w:t xml:space="preserve">خط: نستعلیق، بی کا، تا: قرن 9 ؛در مجموعه آمده است؛ 9 ص ( 392 - 400) [ف: 22 - 111]</w:t>
      </w:r>
    </w:p>
    <w:p>
      <w:pPr>
        <w:pStyle w:val="Heading3"/>
      </w:pPr>
      <w:bookmarkStart w:id="734" w:name="_Toc256"/>
      <w:r>
        <w:t>ازهار الافكار في جواهر الاحجار / طبیعیات / عربی</w:t>
      </w:r>
      <w:bookmarkEnd w:id="734"/>
    </w:p>
    <w:p>
      <w:pPr>
        <w:pStyle w:val="BookText"/>
      </w:pPr>
      <w:r>
        <w:rPr>
          <w:rFonts w:ascii="Times New Roman" w:hAnsi="Times New Roman" w:eastAsia="Times New Roman" w:cs="Times New Roman"/>
          <w:lang w:val="en-US" w:bidi="en-US"/>
          <w:color w:val="111111"/>
          <w:sz w:val="28"/>
          <w:szCs w:val="28"/>
          <w:rtl/>
        </w:rPr>
        <w:t xml:space="preserve">azhār-ul-afkār fī jawāhir-il-ahjār</w:t>
      </w:r>
    </w:p>
    <w:p>
      <w:pPr>
        <w:pStyle w:val="BookText"/>
      </w:pPr>
      <w:r>
        <w:rPr>
          <w:rFonts w:ascii="IRNazanin" w:hAnsi="IRNazanin" w:eastAsia="IRNazanin" w:cs="IRNazanin"/>
          <w:lang w:bidi="fa-IR"/>
          <w:color w:val="111111"/>
          <w:sz w:val="28"/>
          <w:szCs w:val="28"/>
          <w:rtl/>
        </w:rPr>
        <w:t xml:space="preserve">تیفاشی، احمد بن یوسف، 580 - 651 قمری</w:t>
      </w:r>
    </w:p>
    <w:p>
      <w:pPr>
        <w:pStyle w:val="BookText"/>
      </w:pPr>
      <w:r>
        <w:rPr>
          <w:rFonts w:ascii="Times New Roman" w:hAnsi="Times New Roman" w:eastAsia="Times New Roman" w:cs="Times New Roman"/>
          <w:lang w:val="en-US" w:bidi="en-US"/>
          <w:color w:val="111111"/>
          <w:sz w:val="28"/>
          <w:szCs w:val="28"/>
          <w:rtl/>
        </w:rPr>
        <w:t xml:space="preserve">(tīfāšī, ahmad ebn-e yūsof (1185 - 1254)</w:t>
      </w:r>
    </w:p>
    <w:p>
      <w:pPr>
        <w:pStyle w:val="BookText"/>
      </w:pPr>
      <w:r>
        <w:rPr>
          <w:rFonts w:ascii="Amiri" w:hAnsi="Amiri" w:eastAsia="Amiri" w:cs="Amiri"/>
          <w:lang w:bidi="ar-SA"/>
          <w:color w:val="111111"/>
          <w:sz w:val="28"/>
          <w:szCs w:val="28"/>
          <w:rtl/>
        </w:rPr>
        <w:t xml:space="preserve">تاريخ تأليف: 640ق</w:t>
      </w:r>
    </w:p>
    <w:p>
      <w:pPr>
        <w:pStyle w:val="BookText"/>
      </w:pPr>
      <w:r>
        <w:rPr>
          <w:rFonts w:ascii="IRNazanin" w:hAnsi="IRNazanin" w:eastAsia="IRNazanin" w:cs="IRNazanin"/>
          <w:lang w:bidi="fa-IR"/>
          <w:color w:val="111111"/>
          <w:sz w:val="28"/>
          <w:szCs w:val="28"/>
          <w:rtl/>
        </w:rPr>
        <w:t xml:space="preserve">در شناسایی احجار کریمه و بیان خصایص هر یک از آنها، بیست و پنج «باب»: 1. جوهر ؛ 2 یاقوت ؛3. زمرد 4. زبرجد؛5. بلخش؛ 6 بنفش؛ 7. برادی؛ 8. الماس؛ 9. عین الهر ؛ 10. پازه .11. فیروزه؛ 12. عقیق؛ 13. جزع؛ 14. مغناطيس؛ 15. سنباد؛ 16. دهنج؛ 17. رازورد؛ 18. مرجان 19. سبج؛ 20. خمشت؛ 21.جماهان؛ 22. يشم؛ 23. يشب؛ 24. بلوره؛ 25. طلق.. تيفاشي مینویسد که از هر یک از گوهرها از پنج رهگذر بررسی نمودم .1. پیدا شدن آنها در کانها .2. سبب هر معدن و كان؛ 3 .بد و نیک و سره و ناسره هر گوهر؛ 4. خواص و منافع هر یک؛ 5. بهای هر یک. پس در این رساله هم خواص و هم معادین و هم بهای گوهرها آمده است. در آن از ارسطو و اسکندر و کندی و مسعودی و مسیحی و از «سر الطبیعه» بلینوس و «تحفة الملوك» رازی و احجار ابن الجزار احمد بن خالد یاد شده است.</w:t>
      </w:r>
    </w:p>
    <w:p>
      <w:pPr>
        <w:pStyle w:val="BookText"/>
      </w:pPr>
      <w:r>
        <w:rPr>
          <w:rFonts w:ascii="Amiri" w:hAnsi="Amiri" w:eastAsia="Amiri" w:cs="Amiri"/>
          <w:lang w:bidi="ar-SA"/>
          <w:color w:val="111111"/>
          <w:sz w:val="28"/>
          <w:szCs w:val="28"/>
          <w:rtl/>
        </w:rPr>
        <w:t xml:space="preserve">آغاز: بسمله. الحمد الله الملك الجبار العزيز القهار خالق السموات و الأرض و مابينهما من عجايب الآثار وغريب الأسرار المودع معظمها في جواهر الأحجار الموجودة في خزائن الملوك الكبار. .. هذا كتاب غريب الواضع عجيب النفع عظيم الجمع ضمنته ذكر الاحجار الملوكية التى توجد فى خزائن الملوك و ذخائر الرؤساء. .. و جملة عدد الاحجار التى هى نثبتة فيه خمسة وعشرون حجرا</w:t>
      </w:r>
    </w:p>
    <w:p>
      <w:pPr>
        <w:pStyle w:val="BookText"/>
      </w:pPr>
      <w:r>
        <w:rPr>
          <w:rFonts w:ascii="Amiri" w:hAnsi="Amiri" w:eastAsia="Amiri" w:cs="Amiri"/>
          <w:lang w:bidi="ar-SA"/>
          <w:color w:val="111111"/>
          <w:sz w:val="28"/>
          <w:szCs w:val="28"/>
          <w:rtl/>
        </w:rPr>
        <w:t xml:space="preserve">انجام: عند جميع العقلاء  محمود و هذا آخر ما أردت ايراده من هذ الكتاب و الحمد الله و الشكر لواجد الوجود، كمل الكتاب بحمد الله و حسن توفيقه و الحمد الله رب العالمين</w:t>
      </w:r>
    </w:p>
    <w:p>
      <w:pPr>
        <w:pStyle w:val="BookText"/>
      </w:pPr>
      <w:r>
        <w:rPr>
          <w:rFonts w:ascii="IRNazanin" w:hAnsi="IRNazanin" w:eastAsia="IRNazanin" w:cs="IRNazanin"/>
          <w:lang w:bidi="fa-IR"/>
          <w:color w:val="111111"/>
          <w:sz w:val="28"/>
          <w:szCs w:val="28"/>
          <w:rtl/>
        </w:rPr>
        <w:t xml:space="preserve">چاپ: با ترجمه ایطالیایی در فلورانس (فیورنسا </w:t>
      </w:r>
      <w:r>
        <w:rPr>
          <w:rFonts w:ascii="Times New Roman" w:hAnsi="Times New Roman" w:eastAsia="Times New Roman" w:cs="Times New Roman"/>
          <w:lang w:val="en-US" w:bidi="en-US"/>
          <w:color w:val="111111"/>
          <w:sz w:val="28"/>
          <w:szCs w:val="28"/>
          <w:rtl/>
        </w:rPr>
        <w:t xml:space="preserve">Firenze)</w:t>
      </w:r>
      <w:r>
        <w:rPr>
          <w:rFonts w:ascii="IRNazanin" w:hAnsi="IRNazanin" w:eastAsia="IRNazanin" w:cs="IRNazanin"/>
          <w:lang w:bidi="fa-IR"/>
          <w:color w:val="111111"/>
          <w:sz w:val="28"/>
          <w:szCs w:val="28"/>
          <w:rtl/>
        </w:rPr>
        <w:t xml:space="preserve">، سال 1818؛ محقق: محمد یوسف حسن و محمود بسیونی خفاجی ،قاهره الهيئة العامة للكتاب چاپ اول، 328ص، 1396ق.</w:t>
      </w:r>
    </w:p>
    <w:p>
      <w:pPr>
        <w:pStyle w:val="BookText"/>
      </w:pPr>
      <w:r>
        <w:rPr>
          <w:rFonts w:ascii="IRNazanin" w:hAnsi="IRNazanin" w:eastAsia="IRNazanin" w:cs="IRNazanin"/>
          <w:lang w:bidi="fa-IR"/>
          <w:color w:val="111111"/>
          <w:sz w:val="28"/>
          <w:szCs w:val="28"/>
          <w:rtl/>
        </w:rPr>
        <w:t xml:space="preserve">[ريحانة الادب 230/1؛ معجم المطبوعات - چلبی 88/1؛ بروکلمن 495/1 88/1 ؛ ذیل 904/1 ؛دانشنامه جهان اسلام 799/8-801 ]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مشهد؛ رضوی؛ شماره نسخه: 5047</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تا:10 صفر 607ق، جا: مدرسه اشرفیه حلب در نزدیکی جامع کبیر؛ رکابه دار؛ تملک: محمد ابن خاتون عاملی با مهر وی؛ واقف: محمد بن خاتون عاملی، 1067ق؛ 104ص، 17 سطر [الفبائي: 41]</w:t>
      </w:r>
    </w:p>
    <w:p>
      <w:pPr>
        <w:pStyle w:val="BookText"/>
      </w:pPr>
      <w:r>
        <w:rPr>
          <w:rFonts w:ascii="IRNazanin" w:hAnsi="IRNazanin" w:eastAsia="IRNazanin" w:cs="IRNazanin"/>
          <w:lang w:bidi="fa-IR"/>
          <w:color w:val="111111"/>
          <w:sz w:val="28"/>
          <w:szCs w:val="28"/>
          <w:rtl/>
        </w:rPr>
        <w:t xml:space="preserve">قم؛ مرعشی؛ شماره نسخه: 1958</w:t>
      </w:r>
    </w:p>
    <w:p>
      <w:pPr>
        <w:pStyle w:val="BookText"/>
      </w:pPr>
      <w:r>
        <w:rPr>
          <w:rFonts w:ascii="IRNazanin" w:hAnsi="IRNazanin" w:eastAsia="IRNazanin" w:cs="IRNazanin"/>
          <w:lang w:bidi="fa-IR"/>
          <w:color w:val="111111"/>
          <w:sz w:val="28"/>
          <w:szCs w:val="28"/>
          <w:rtl/>
        </w:rPr>
        <w:t xml:space="preserve">نسخه اصل: همان نسخه بالا [عکسی ف: 5 - 380]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دانشگاه؛ شماره نسخه: 3235ف</w:t>
      </w:r>
    </w:p>
    <w:p>
      <w:pPr>
        <w:pStyle w:val="BookText"/>
      </w:pPr>
      <w:r>
        <w:rPr>
          <w:rFonts w:ascii="IRNazanin" w:hAnsi="IRNazanin" w:eastAsia="IRNazanin" w:cs="IRNazanin"/>
          <w:lang w:bidi="fa-IR"/>
          <w:color w:val="111111"/>
          <w:sz w:val="28"/>
          <w:szCs w:val="28"/>
          <w:rtl/>
        </w:rPr>
        <w:t xml:space="preserve">نسخه اصل: لیدن 163 .</w:t>
      </w:r>
      <w:r>
        <w:rPr>
          <w:rFonts w:ascii="Times New Roman" w:hAnsi="Times New Roman" w:eastAsia="Times New Roman" w:cs="Times New Roman"/>
          <w:lang w:val="en-US" w:bidi="en-US"/>
          <w:color w:val="111111"/>
          <w:sz w:val="28"/>
          <w:szCs w:val="28"/>
          <w:rtl/>
        </w:rPr>
        <w:t xml:space="preserve">Or </w:t>
      </w:r>
      <w:r>
        <w:rPr>
          <w:rFonts w:ascii="IRNazanin" w:hAnsi="IRNazanin" w:eastAsia="IRNazanin" w:cs="IRNazanin"/>
          <w:lang w:bidi="fa-IR"/>
          <w:color w:val="111111"/>
          <w:sz w:val="28"/>
          <w:szCs w:val="28"/>
          <w:rtl/>
        </w:rPr>
        <w:t xml:space="preserve">؛خط: نسخ، بی کا، تا: یک شنبه 10 الثانى 731ق [ فيلم ها - ف: 2 - 105]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دانشگاه؛ شماره نسخه: 3188-ف</w:t>
      </w:r>
    </w:p>
    <w:p>
      <w:pPr>
        <w:pStyle w:val="BookText"/>
      </w:pPr>
      <w:r>
        <w:rPr>
          <w:rFonts w:ascii="IRNazanin" w:hAnsi="IRNazanin" w:eastAsia="IRNazanin" w:cs="IRNazanin"/>
          <w:lang w:bidi="fa-IR"/>
          <w:color w:val="111111"/>
          <w:sz w:val="28"/>
          <w:szCs w:val="28"/>
          <w:rtl/>
        </w:rPr>
        <w:t xml:space="preserve">نسخه اصل: کتابخانه دانشگاه اوترخت (لیدن)</w:t>
      </w:r>
      <w:r>
        <w:rPr>
          <w:rFonts w:ascii="Times New Roman" w:hAnsi="Times New Roman" w:eastAsia="Times New Roman" w:cs="Times New Roman"/>
          <w:lang w:val="en-US" w:bidi="en-US"/>
          <w:color w:val="111111"/>
          <w:sz w:val="28"/>
          <w:szCs w:val="28"/>
          <w:rtl/>
        </w:rPr>
        <w:t xml:space="preserve">Or. 25 arabe</w:t>
      </w:r>
      <w:r>
        <w:rPr>
          <w:rFonts w:ascii="IRNazanin" w:hAnsi="IRNazanin" w:eastAsia="IRNazanin" w:cs="IRNazanin"/>
          <w:lang w:bidi="fa-IR"/>
          <w:color w:val="111111"/>
          <w:sz w:val="28"/>
          <w:szCs w:val="28"/>
          <w:rtl/>
        </w:rPr>
        <w:t xml:space="preserve">؛ خط: نسخ ،معرب، کا: محمد بن محمود محمد تعريفا العارفي تبريزى، تا: نزدیک به پایان ربیع الثانی 769ق؛ مجدول؛ مهر:«برسم الخزانة العاليه الاميرية الكبيريه ... المخدومية السيفية ابوبكر المرحوم الباى. .. ی محمد... الركنى مورخ 759ق [فيلم ها - ف: 2 - 94]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تهران؛ ادبیات؛ شماره نسخه: 12/1 - د</w:t>
      </w:r>
    </w:p>
    <w:p>
      <w:pPr>
        <w:pStyle w:val="BookText"/>
      </w:pPr>
      <w:r>
        <w:rPr>
          <w:rFonts w:ascii="Amiri" w:hAnsi="Amiri" w:eastAsia="Amiri" w:cs="Amiri"/>
          <w:lang w:bidi="ar-SA"/>
          <w:color w:val="111111"/>
          <w:sz w:val="28"/>
          <w:szCs w:val="28"/>
          <w:rtl/>
        </w:rPr>
        <w:t xml:space="preserve">آغاز: برابر؛ انجام: و ثمنه الاوقية من جيده بدرهم نقره فاعلم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83" w:name="pg20365_260108"/>
    <w:bookmarkEnd w:id="83"/>
    <w:p>
      <w:pPr>
        <w:pStyle w:val="BookText"/>
      </w:pPr>
      <w:r>
        <w:rPr>
          <w:rFonts w:ascii="Amiri" w:hAnsi="Amiri" w:eastAsia="Amiri" w:cs="Amiri"/>
          <w:lang w:bidi="ar-SA"/>
          <w:color w:val="111111"/>
          <w:sz w:val="28"/>
          <w:szCs w:val="28"/>
          <w:rtl/>
        </w:rPr>
        <w:t xml:space="preserve">ذلك</w:t>
      </w:r>
    </w:p>
    <w:p>
      <w:pPr>
        <w:pStyle w:val="BookText"/>
      </w:pPr>
      <w:r>
        <w:rPr>
          <w:rFonts w:ascii="IRNazanin" w:hAnsi="IRNazanin" w:eastAsia="IRNazanin" w:cs="IRNazanin"/>
          <w:lang w:bidi="fa-IR"/>
          <w:color w:val="111111"/>
          <w:sz w:val="28"/>
          <w:szCs w:val="28"/>
          <w:rtl/>
        </w:rPr>
        <w:t xml:space="preserve">گویا دیباچه را ندارد؛ خط: نسخ، بی کا، تا: قرن 12؛ نسخه در یمن بوده است، در 42پ - 44 بندی آمده با عنوان «باب فی ذکر من الترياق الفاروق» و در 45ر و پ قصیده ای است به عربی از . عبد الله بن شرف الدین در ستایش القات با تخمیس برادرش مرتضی علی در 46ر آمده «من کلام فقيه محمد شکیلی» به عربی، در 46پ آمده «من كلام محمد بن عبدالله» کاغذ: سپاهانی و فرنگی ،جلد: تیماج ،مقوایی 182گ 17 سطر (8/5</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اندازه: 14/5</w:t>
      </w:r>
      <w:r>
        <w:rPr>
          <w:rFonts w:ascii="Times New Roman" w:hAnsi="Times New Roman" w:eastAsia="Times New Roman" w:cs="Times New Roman"/>
          <w:lang w:val="en-US" w:bidi="en-US"/>
          <w:color w:val="111111"/>
          <w:sz w:val="28"/>
          <w:szCs w:val="28"/>
          <w:rtl/>
        </w:rPr>
        <w:t xml:space="preserve">×19/5</w:t>
      </w:r>
      <w:r>
        <w:rPr>
          <w:rFonts w:ascii="IRNazanin" w:hAnsi="IRNazanin" w:eastAsia="IRNazanin" w:cs="IRNazanin"/>
          <w:lang w:bidi="fa-IR"/>
          <w:color w:val="111111"/>
          <w:sz w:val="28"/>
          <w:szCs w:val="28"/>
          <w:rtl/>
        </w:rPr>
        <w:t xml:space="preserve">سم [ف: 1 - 25]</w:t>
      </w:r>
    </w:p>
    <w:p>
      <w:pPr>
        <w:pStyle w:val="BookText"/>
      </w:pPr>
      <w:r>
        <w:rPr>
          <w:rFonts w:ascii="IRNazanin" w:hAnsi="IRNazanin" w:eastAsia="IRNazanin" w:cs="IRNazanin"/>
          <w:lang w:bidi="fa-IR"/>
          <w:color w:val="111111"/>
          <w:sz w:val="28"/>
          <w:szCs w:val="28"/>
          <w:rtl/>
        </w:rPr>
        <w:t xml:space="preserve">5.تبریز؛ ملی؛ شماره نسخه: 3668</w:t>
      </w:r>
    </w:p>
    <w:p>
      <w:pPr>
        <w:pStyle w:val="BookText"/>
      </w:pPr>
      <w:r>
        <w:rPr>
          <w:rFonts w:ascii="IRNazanin" w:hAnsi="IRNazanin" w:eastAsia="IRNazanin" w:cs="IRNazanin"/>
          <w:lang w:bidi="fa-IR"/>
          <w:color w:val="111111"/>
          <w:sz w:val="28"/>
          <w:szCs w:val="28"/>
          <w:rtl/>
        </w:rPr>
        <w:t xml:space="preserve">آغاز: برابر؛ انجام: الطلق نوعان. فضى و ذهبی فالفضی ابیض صافى اللون ... فهو باب الأحوال فاحمل عليها قوله الا بذكر الله تطمن القلوب فانه تقع تضريره ان شاء الله تعالى. تمت</w:t>
      </w:r>
    </w:p>
    <w:p>
      <w:pPr>
        <w:pStyle w:val="BookText"/>
      </w:pPr>
      <w:r>
        <w:rPr>
          <w:rFonts w:ascii="IRNazanin" w:hAnsi="IRNazanin" w:eastAsia="IRNazanin" w:cs="IRNazanin"/>
          <w:lang w:bidi="fa-IR"/>
          <w:color w:val="111111"/>
          <w:sz w:val="28"/>
          <w:szCs w:val="28"/>
          <w:rtl/>
        </w:rPr>
        <w:t xml:space="preserve">خط: نسخ، بی کا، بی تا( ولی نسخه نفیس و کهن است) کاغذ: سمرقندی ،جلد: چرمی ،ضربی 71گ 13 سطر، اندازه: 13/5</w:t>
      </w:r>
      <w:r>
        <w:rPr>
          <w:rFonts w:ascii="Times New Roman" w:hAnsi="Times New Roman" w:eastAsia="Times New Roman" w:cs="Times New Roman"/>
          <w:lang w:val="en-US" w:bidi="en-US"/>
          <w:color w:val="111111"/>
          <w:sz w:val="28"/>
          <w:szCs w:val="28"/>
          <w:rtl/>
        </w:rPr>
        <w:t xml:space="preserve">×18/5</w:t>
      </w:r>
      <w:r>
        <w:rPr>
          <w:rFonts w:ascii="IRNazanin" w:hAnsi="IRNazanin" w:eastAsia="IRNazanin" w:cs="IRNazanin"/>
          <w:lang w:bidi="fa-IR"/>
          <w:color w:val="111111"/>
          <w:sz w:val="28"/>
          <w:szCs w:val="28"/>
          <w:rtl/>
        </w:rPr>
        <w:t xml:space="preserve">سم [ف: 2 - 802]</w:t>
      </w:r>
    </w:p>
    <w:p>
      <w:pPr>
        <w:pStyle w:val="BookText"/>
      </w:pPr>
      <w:r>
        <w:rPr>
          <w:rFonts w:ascii="IRNazanin" w:hAnsi="IRNazanin" w:eastAsia="IRNazanin" w:cs="IRNazanin"/>
          <w:lang w:bidi="fa-IR"/>
          <w:color w:val="111111"/>
          <w:sz w:val="28"/>
          <w:szCs w:val="28"/>
          <w:rtl/>
        </w:rPr>
        <w:t xml:space="preserve">6.تهران؛ مجلس؛ شماره نسخه: 704</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بی کا، بی تا؛ 69گ، 17 سطر ، قطع : وزیری، اندازه: 15/5</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سم [ف: 2 - 446]</w:t>
      </w:r>
    </w:p>
    <w:p>
      <w:pPr>
        <w:pStyle w:val="Heading3"/>
      </w:pPr>
      <w:bookmarkStart w:id="735" w:name="_Toc257"/>
      <w:r>
        <w:t>الازهار البديعة فى علم الطبيعة / طبيعيات / عربي</w:t>
      </w:r>
      <w:bookmarkEnd w:id="735"/>
    </w:p>
    <w:p>
      <w:pPr>
        <w:pStyle w:val="BookText"/>
      </w:pPr>
      <w:r>
        <w:rPr>
          <w:rFonts w:ascii="Times New Roman" w:hAnsi="Times New Roman" w:eastAsia="Times New Roman" w:cs="Times New Roman"/>
          <w:lang w:val="en-US" w:bidi="en-US"/>
          <w:color w:val="111111"/>
          <w:sz w:val="28"/>
          <w:szCs w:val="28"/>
          <w:rtl/>
        </w:rPr>
        <w:t xml:space="preserve">azhār-ul badī‘a fī ‘ilm-iṭ ṭabī‘a</w:t>
      </w:r>
    </w:p>
    <w:p>
      <w:pPr>
        <w:pStyle w:val="BookText"/>
      </w:pPr>
      <w:r>
        <w:rPr>
          <w:rFonts w:ascii="IRNazanin" w:hAnsi="IRNazanin" w:eastAsia="IRNazanin" w:cs="IRNazanin"/>
          <w:lang w:bidi="fa-IR"/>
          <w:color w:val="111111"/>
          <w:sz w:val="28"/>
          <w:szCs w:val="28"/>
          <w:rtl/>
        </w:rPr>
        <w:t xml:space="preserve">هراوی، محمد</w:t>
      </w:r>
    </w:p>
    <w:p>
      <w:pPr>
        <w:pStyle w:val="BookText"/>
      </w:pPr>
      <w:r>
        <w:rPr>
          <w:rFonts w:ascii="Times New Roman" w:hAnsi="Times New Roman" w:eastAsia="Times New Roman" w:cs="Times New Roman"/>
          <w:lang w:val="en-US" w:bidi="en-US"/>
          <w:color w:val="111111"/>
          <w:sz w:val="28"/>
          <w:szCs w:val="28"/>
          <w:rtl/>
        </w:rPr>
        <w:t xml:space="preserve">harāvī, mohammad</w:t>
      </w:r>
    </w:p>
    <w:p>
      <w:pPr>
        <w:pStyle w:val="BookText"/>
      </w:pPr>
      <w:r>
        <w:rPr>
          <w:rFonts w:ascii="IRNazanin" w:hAnsi="IRNazanin" w:eastAsia="IRNazanin" w:cs="IRNazanin"/>
          <w:lang w:bidi="fa-IR"/>
          <w:color w:val="111111"/>
          <w:sz w:val="28"/>
          <w:szCs w:val="28"/>
          <w:rtl/>
        </w:rPr>
        <w:t xml:space="preserve">یکی از وزرای مصر (که نام وی در ترمیم کتاب از بین رفته و ظاهرا مراد محمد علی پاشاست) از مسیو بیرون فرانسوی (مدرسه مدرسه پزشکی) درخواست کتابی در علم طبیعت نموده و وی با مساعدت يوحنا عنحوری مدعو به حنین کتاب حاضر را تالیف نموده و شیخ محمد تونسی آن را تصحیح نموده است، سپس کتاب به دست مؤلف ما رسیده و به دستور وزیر مذکور نظر نهایی را در آن نموده تا آن را منقح سازد. این کتاب در «جزء» تنظیم شده با این عناوین الجزء الأول: في علم الطبيعة دارای 19 «باب» 1. كلام كلى فى الطبيعة، 2. المادة و خواص در نه «فصل» 3. احوال الاجسام، 4 .الاستاتيك؛ 5. الديناميك .6. الايدروستاتیك (ای موازنة السائلات) ، 7.الايدروديناميك الايدروليك ، 8. استاتيك ،الغازات 9. دینامیک الغازات؛10. الاکوستیک (اى فن السماع)، 11.الكهربائية، در پانزده« فصل» 12. السيالالجلواني او الكهربائية باللمس، 13. المغناطيسية، الايليكين وديناميک،15. الاوبتيك (اى فن الابصار)، ،16. الآلات الادتبيكية (اى البصرية)، 17. تشرف الضوء و تداخل الاشعة في بعضها، 18. ازواج انكسار الضوء، 19. عنصر الحرارة؛ الجزء الثاني: في كائنات الجو داراى 5 «باب»: 1. الجو، 2.الابخرة و ما ينسب اليها . 3.الكهربائية الجوية، 4. كائنات الجو الصادرة من الضوء ، 5. الحرارة الارضية.</w:t>
      </w:r>
    </w:p>
    <w:p>
      <w:pPr>
        <w:pStyle w:val="BookText"/>
      </w:pPr>
      <w:r>
        <w:rPr>
          <w:rFonts w:ascii="IRNazanin" w:hAnsi="IRNazanin" w:eastAsia="IRNazanin" w:cs="IRNazanin"/>
          <w:lang w:bidi="fa-IR"/>
          <w:color w:val="111111"/>
          <w:sz w:val="28"/>
          <w:szCs w:val="28"/>
          <w:rtl/>
        </w:rPr>
        <w:t xml:space="preserve">تهران؛ مجلس؛ شماره نسخه: 6604/1</w:t>
      </w:r>
    </w:p>
    <w:p>
      <w:pPr>
        <w:pStyle w:val="BookText"/>
      </w:pPr>
      <w:r>
        <w:rPr>
          <w:rFonts w:ascii="IRNazanin" w:hAnsi="IRNazanin" w:eastAsia="IRNazanin" w:cs="IRNazanin"/>
          <w:lang w:bidi="fa-IR"/>
          <w:color w:val="111111"/>
          <w:sz w:val="28"/>
          <w:szCs w:val="28"/>
          <w:rtl/>
        </w:rPr>
        <w:t xml:space="preserve">آغاز: یا باری الاجسام المختلفة الطباع من ذراتالابداع و يا مبدى الآثار العلوية على اختلاف الانواع في سماء الشعاع سحابا ينطق برعد يسبح بحمدک؛ انجام: و الوقوف على مواضعه حتى صار كل يعمل على شاكلته فربكم اعلم بمن هو اهدى سبيلا فله الحمد على ما انعم بن من انواع المعارف و له الشكر على ما تكرم به من معارف العوارف.</w:t>
      </w:r>
    </w:p>
    <w:p>
      <w:pPr>
        <w:pStyle w:val="BookText"/>
      </w:pPr>
      <w:r>
        <w:rPr>
          <w:rFonts w:ascii="IRNazanin" w:hAnsi="IRNazanin" w:eastAsia="IRNazanin" w:cs="IRNazanin"/>
          <w:lang w:bidi="fa-IR"/>
          <w:color w:val="111111"/>
          <w:sz w:val="28"/>
          <w:szCs w:val="28"/>
          <w:rtl/>
        </w:rPr>
        <w:t xml:space="preserve">خط: نسخ، بی کا، بی تا: دارای اشکال هندسی و جدول، مصحح، محشی؛ جلد: روغنی گل و بوته و در ترنج وسط نقش انسان و حیوان و عطف پارچه ای سرمه ای 86گ (1پ-87پ)، اندازه: 21/5</w:t>
      </w:r>
      <w:r>
        <w:rPr>
          <w:rFonts w:ascii="Times New Roman" w:hAnsi="Times New Roman" w:eastAsia="Times New Roman" w:cs="Times New Roman"/>
          <w:lang w:val="en-US" w:bidi="en-US"/>
          <w:color w:val="111111"/>
          <w:sz w:val="28"/>
          <w:szCs w:val="28"/>
          <w:rtl/>
        </w:rPr>
        <w:t xml:space="preserve">× 34 </w:t>
      </w:r>
      <w:r>
        <w:rPr>
          <w:rFonts w:ascii="IRNazanin" w:hAnsi="IRNazanin" w:eastAsia="IRNazanin" w:cs="IRNazanin"/>
          <w:lang w:bidi="fa-IR"/>
          <w:color w:val="111111"/>
          <w:sz w:val="28"/>
          <w:szCs w:val="28"/>
          <w:rtl/>
        </w:rPr>
        <w:t xml:space="preserve">سم [ف: 20 - 148]</w:t>
      </w:r>
    </w:p>
    <w:p>
      <w:pPr>
        <w:pStyle w:val="Heading3"/>
      </w:pPr>
      <w:bookmarkStart w:id="736" w:name="_Toc258"/>
      <w:r>
        <w:t>ازهار بستان الناظرين فى اخبار الاولین و الاخرين / تاریخ پیامبران - عربی</w:t>
      </w:r>
      <w:bookmarkEnd w:id="736"/>
    </w:p>
    <w:p>
      <w:pPr>
        <w:pStyle w:val="BookText"/>
      </w:pPr>
      <w:r>
        <w:rPr>
          <w:rFonts w:ascii="Times New Roman" w:hAnsi="Times New Roman" w:eastAsia="Times New Roman" w:cs="Times New Roman"/>
          <w:lang w:val="en-US" w:bidi="en-US"/>
          <w:color w:val="111111"/>
          <w:sz w:val="28"/>
          <w:szCs w:val="28"/>
          <w:rtl/>
        </w:rPr>
        <w:t xml:space="preserve">azhar-u bustan-in-nazirin fi axbar-il-awwalin wa-l-</w:t>
      </w:r>
    </w:p>
    <w:p>
      <w:pPr>
        <w:pStyle w:val="BookText"/>
      </w:pPr>
      <w:r>
        <w:rPr>
          <w:rFonts w:ascii="Times New Roman" w:hAnsi="Times New Roman" w:eastAsia="Times New Roman" w:cs="Times New Roman"/>
          <w:lang w:val="en-US" w:bidi="en-US"/>
          <w:color w:val="111111"/>
          <w:sz w:val="28"/>
          <w:szCs w:val="28"/>
          <w:rtl/>
        </w:rPr>
        <w:t xml:space="preserve">āxarīn</w:t>
      </w:r>
    </w:p>
    <w:p>
      <w:pPr>
        <w:pStyle w:val="BookText"/>
      </w:pPr>
      <w:r>
        <w:rPr>
          <w:rFonts w:ascii="IRNazanin" w:hAnsi="IRNazanin" w:eastAsia="IRNazanin" w:cs="IRNazanin"/>
          <w:lang w:bidi="fa-IR"/>
          <w:color w:val="111111"/>
          <w:sz w:val="28"/>
          <w:szCs w:val="28"/>
          <w:rtl/>
        </w:rPr>
        <w:t xml:space="preserve">موسوی حسینی عباس بن علی 1110 - 1201 قمری</w:t>
      </w:r>
    </w:p>
    <w:p>
      <w:pPr>
        <w:pStyle w:val="BookText"/>
      </w:pPr>
      <w:r>
        <w:rPr>
          <w:rFonts w:ascii="Times New Roman" w:hAnsi="Times New Roman" w:eastAsia="Times New Roman" w:cs="Times New Roman"/>
          <w:lang w:val="en-US" w:bidi="en-US"/>
          <w:color w:val="111111"/>
          <w:sz w:val="28"/>
          <w:szCs w:val="28"/>
          <w:rtl/>
        </w:rPr>
        <w:t xml:space="preserve">(mūsavī hoseynī, ‘abbās ebn-e 'alī (1699 - 1787)</w:t>
      </w:r>
    </w:p>
    <w:p>
      <w:pPr>
        <w:pStyle w:val="BookText"/>
      </w:pPr>
      <w:r>
        <w:rPr>
          <w:rFonts w:ascii="IRNazanin" w:hAnsi="IRNazanin" w:eastAsia="IRNazanin" w:cs="IRNazanin"/>
          <w:lang w:bidi="fa-IR"/>
          <w:color w:val="111111"/>
          <w:sz w:val="28"/>
          <w:szCs w:val="28"/>
          <w:rtl/>
        </w:rPr>
        <w:t xml:space="preserve">سال تألیف: سه شنبه 26 رجب 1201ق؛ محل تألیف: مرشد آباد</w:t>
      </w:r>
    </w:p>
    <w:p>
      <w:pPr>
        <w:pStyle w:val="BookText"/>
      </w:pPr>
      <w:r>
        <w:rPr>
          <w:rFonts w:ascii="IRNazanin" w:hAnsi="IRNazanin" w:eastAsia="IRNazanin" w:cs="IRNazanin"/>
          <w:lang w:bidi="fa-IR"/>
          <w:color w:val="111111"/>
          <w:sz w:val="28"/>
          <w:szCs w:val="28"/>
          <w:rtl/>
        </w:rPr>
        <w:t xml:space="preserve">برای سید محمد تقی پسر عبدالکریم مکی در داستان پیامبران تألیف کرده و در دیباچه آن از کشف الظنون یاد شده است.</w:t>
      </w:r>
    </w:p>
    <w:p>
      <w:pPr>
        <w:pStyle w:val="BookText"/>
      </w:pPr>
      <w:r>
        <w:rPr>
          <w:rFonts w:ascii="IRNazanin" w:hAnsi="IRNazanin" w:eastAsia="IRNazanin" w:cs="IRNazanin"/>
          <w:lang w:bidi="fa-IR"/>
          <w:color w:val="111111"/>
          <w:sz w:val="28"/>
          <w:szCs w:val="28"/>
          <w:rtl/>
        </w:rPr>
        <w:t xml:space="preserve">تهران؛ ملک؛ شماره نسخه: 1333/1</w:t>
      </w:r>
    </w:p>
    <w:p>
      <w:pPr>
        <w:pStyle w:val="BookText"/>
      </w:pPr>
      <w:r>
        <w:rPr>
          <w:rFonts w:ascii="IRNazanin" w:hAnsi="IRNazanin" w:eastAsia="IRNazanin" w:cs="IRNazanin"/>
          <w:lang w:bidi="fa-IR"/>
          <w:color w:val="111111"/>
          <w:sz w:val="28"/>
          <w:szCs w:val="28"/>
          <w:rtl/>
        </w:rPr>
        <w:t xml:space="preserve">خط: نسخ، کا: بدرالدین بن سید حسین فحاوی یمنی حسینی، بی تا، ماده تاریخی برای مرگ مؤلف آورده است: 1168 و آن با تاریخ نگارش آن 1201 سازگار نیست؛ کاغذ: ترمه، جلد: میشن ،قرمز، 31 سطر [ف: 5 - 260]</w:t>
      </w:r>
    </w:p>
    <w:p>
      <w:pPr>
        <w:pStyle w:val="Heading3"/>
      </w:pPr>
      <w:bookmarkStart w:id="737" w:name="_Toc259"/>
      <w:r>
        <w:t>ازهار الربيع و غاية الاماني في شرح الجواهر الرفيع و دوحة المعاني / بديع / عربي</w:t>
      </w:r>
      <w:bookmarkEnd w:id="737"/>
    </w:p>
    <w:p>
      <w:pPr>
        <w:pStyle w:val="BookText"/>
      </w:pPr>
      <w:r>
        <w:rPr>
          <w:rFonts w:ascii="Times New Roman" w:hAnsi="Times New Roman" w:eastAsia="Times New Roman" w:cs="Times New Roman"/>
          <w:lang w:val="en-US" w:bidi="en-US"/>
          <w:color w:val="111111"/>
          <w:sz w:val="28"/>
          <w:szCs w:val="28"/>
          <w:rtl/>
        </w:rPr>
        <w:t xml:space="preserve">azhār-ur rabi wa gayat-ul amānī fī š.-i jawahir-ir rafi</w:t>
      </w:r>
    </w:p>
    <w:p>
      <w:pPr>
        <w:pStyle w:val="BookText"/>
      </w:pPr>
      <w:r>
        <w:rPr>
          <w:rFonts w:ascii="Times New Roman" w:hAnsi="Times New Roman" w:eastAsia="Times New Roman" w:cs="Times New Roman"/>
          <w:lang w:val="en-US" w:bidi="en-US"/>
          <w:color w:val="111111"/>
          <w:sz w:val="28"/>
          <w:szCs w:val="28"/>
          <w:rtl/>
        </w:rPr>
        <w:t xml:space="preserve">wa dawhat-il ma'ānī</w:t>
      </w:r>
    </w:p>
    <w:p>
      <w:pPr>
        <w:pStyle w:val="BookText"/>
      </w:pPr>
      <w:r>
        <w:rPr>
          <w:rFonts w:ascii="IRNazanin" w:hAnsi="IRNazanin" w:eastAsia="IRNazanin" w:cs="IRNazanin"/>
          <w:lang w:bidi="fa-IR"/>
          <w:color w:val="111111"/>
          <w:sz w:val="28"/>
          <w:szCs w:val="28"/>
          <w:rtl/>
        </w:rPr>
        <w:t xml:space="preserve">بوصیری قصیده ای در مدح رسول خدا (صلّی اللَّهِ علیه وَ آلِهِ وَ سَلَّمَ ) سروده که بسیار معروف است صفى الدين حلى هم قصیده ای در معارضه و پیروی از او در مدح آن حضرت سروده که شامل همه انواع محسنات بدیعیه است از مؤلف این کتاب خواسته اند قصیده ای در معارضه و پیروی از صفی الدین بسازد که فقط در مدح حضرت باشد و همه انواع بدیع را داشته باشد. او قصیده ای به نام «الجوهر الرفيع ودوحة المعانى فى معرفة انواع البديع و مدح النبى العدناني» سروده و مورد توجه اهل ادب قرار گرفته است.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84" w:name="pg20365_260109"/>
    <w:bookmarkEnd w:id="84"/>
    <w:p>
      <w:pPr>
        <w:pStyle w:val="BookText"/>
      </w:pPr>
      <w:r>
        <w:rPr>
          <w:rFonts w:ascii="IRNazanin" w:hAnsi="IRNazanin" w:eastAsia="IRNazanin" w:cs="IRNazanin"/>
          <w:lang w:bidi="fa-IR"/>
          <w:color w:val="111111"/>
          <w:sz w:val="28"/>
          <w:szCs w:val="28"/>
          <w:rtl/>
        </w:rPr>
        <w:t xml:space="preserve">آنگاه یکی از فقها از او خواسته است که قصیده خود را شرح بنگارد، او این شرح را نگاشته حدود 150 بیت و هر بیت یک از محسنات بدیعیة را شامل می شود</w:t>
      </w:r>
    </w:p>
    <w:p>
      <w:pPr>
        <w:pStyle w:val="BookText"/>
      </w:pPr>
      <w:r>
        <w:rPr>
          <w:rFonts w:ascii="IRNazanin" w:hAnsi="IRNazanin" w:eastAsia="IRNazanin" w:cs="IRNazanin"/>
          <w:lang w:bidi="fa-IR"/>
          <w:color w:val="111111"/>
          <w:sz w:val="28"/>
          <w:szCs w:val="28"/>
          <w:rtl/>
        </w:rPr>
        <w:t xml:space="preserve">آغاز: الحمد لله الذي ابدع بدائع الحكم في قلب الانسان وأنبع أينابيع الفكر بجوهر الكلم... و بعد فقد افترح على بعض الأعیان لما رأى كثرة شعفى بمدح سيد ولد عدنان</w:t>
      </w:r>
    </w:p>
    <w:p>
      <w:pPr>
        <w:pStyle w:val="BookText"/>
      </w:pPr>
      <w:r>
        <w:rPr>
          <w:rFonts w:ascii="IRNazanin" w:hAnsi="IRNazanin" w:eastAsia="IRNazanin" w:cs="IRNazanin"/>
          <w:lang w:bidi="fa-IR"/>
          <w:color w:val="111111"/>
          <w:sz w:val="28"/>
          <w:szCs w:val="28"/>
          <w:rtl/>
        </w:rPr>
        <w:t xml:space="preserve">انجام: فألحقتهم بهذا البيت و سميته ختام الختام كماجعلوا فی كتب علم الرمل شكلا وسموه عاقبة العاقبة فنسأل الله تعالی حسن العاقبة العاقبة في الدارين</w:t>
      </w:r>
    </w:p>
    <w:p>
      <w:pPr>
        <w:pStyle w:val="BookText"/>
      </w:pPr>
      <w:r>
        <w:rPr>
          <w:rFonts w:ascii="IRNazanin" w:hAnsi="IRNazanin" w:eastAsia="IRNazanin" w:cs="IRNazanin"/>
          <w:lang w:bidi="fa-IR"/>
          <w:color w:val="111111"/>
          <w:sz w:val="28"/>
          <w:szCs w:val="28"/>
          <w:rtl/>
        </w:rPr>
        <w:t xml:space="preserve">تهران؛ مدرسه مروی؛ شماره نسخه: 758/2</w:t>
      </w:r>
    </w:p>
    <w:p>
      <w:pPr>
        <w:pStyle w:val="BookText"/>
      </w:pPr>
      <w:r>
        <w:rPr>
          <w:rFonts w:ascii="IRNazanin" w:hAnsi="IRNazanin" w:eastAsia="IRNazanin" w:cs="IRNazanin"/>
          <w:lang w:bidi="fa-IR"/>
          <w:color w:val="111111"/>
          <w:sz w:val="28"/>
          <w:szCs w:val="28"/>
          <w:rtl/>
        </w:rPr>
        <w:t xml:space="preserve">آغاز : برابر</w:t>
      </w:r>
    </w:p>
    <w:p>
      <w:pPr>
        <w:pStyle w:val="BookText"/>
      </w:pPr>
      <w:r>
        <w:rPr>
          <w:rFonts w:ascii="IRNazanin" w:hAnsi="IRNazanin" w:eastAsia="IRNazanin" w:cs="IRNazanin"/>
          <w:lang w:bidi="fa-IR"/>
          <w:color w:val="111111"/>
          <w:sz w:val="28"/>
          <w:szCs w:val="28"/>
          <w:rtl/>
        </w:rPr>
        <w:t xml:space="preserve">بی کا، تا: 1030ق؛ 90گ، قطع وزیری [ف: 307]</w:t>
      </w:r>
    </w:p>
    <w:p>
      <w:pPr>
        <w:pStyle w:val="Heading3"/>
      </w:pPr>
      <w:bookmarkStart w:id="738" w:name="_Toc260"/>
      <w:r>
        <w:t>ازهار الرياض / گوناگون / عربی</w:t>
      </w:r>
      <w:bookmarkEnd w:id="738"/>
    </w:p>
    <w:p>
      <w:pPr>
        <w:pStyle w:val="BookText"/>
      </w:pPr>
      <w:r>
        <w:rPr>
          <w:rFonts w:ascii="Times New Roman" w:hAnsi="Times New Roman" w:eastAsia="Times New Roman" w:cs="Times New Roman"/>
          <w:lang w:val="en-US" w:bidi="en-US"/>
          <w:color w:val="111111"/>
          <w:sz w:val="28"/>
          <w:szCs w:val="28"/>
          <w:rtl/>
        </w:rPr>
        <w:t xml:space="preserve">azhār-ur rīyāḍ</w:t>
      </w:r>
    </w:p>
    <w:p>
      <w:pPr>
        <w:pStyle w:val="BookText"/>
      </w:pPr>
      <w:r>
        <w:rPr>
          <w:rFonts w:ascii="IRNazanin" w:hAnsi="IRNazanin" w:eastAsia="IRNazanin" w:cs="IRNazanin"/>
          <w:lang w:bidi="fa-IR"/>
          <w:color w:val="111111"/>
          <w:sz w:val="28"/>
          <w:szCs w:val="28"/>
          <w:rtl/>
        </w:rPr>
        <w:t xml:space="preserve">بحرانی، سلیمان بن عبدالله ،1075؟ - 1121 قمری</w:t>
      </w:r>
    </w:p>
    <w:p>
      <w:pPr>
        <w:pStyle w:val="BookText"/>
      </w:pPr>
      <w:r>
        <w:rPr>
          <w:rFonts w:ascii="Times New Roman" w:hAnsi="Times New Roman" w:eastAsia="Times New Roman" w:cs="Times New Roman"/>
          <w:lang w:val="en-US" w:bidi="en-US"/>
          <w:color w:val="111111"/>
          <w:sz w:val="28"/>
          <w:szCs w:val="28"/>
          <w:rtl/>
        </w:rPr>
        <w:t xml:space="preserve">(bahrānī, soleymān ebn-e ‘abd-ol-lāh (1665 - 1710)</w:t>
      </w:r>
    </w:p>
    <w:p>
      <w:pPr>
        <w:pStyle w:val="BookText"/>
      </w:pPr>
      <w:r>
        <w:rPr>
          <w:rFonts w:ascii="IRNazanin" w:hAnsi="IRNazanin" w:eastAsia="IRNazanin" w:cs="IRNazanin"/>
          <w:lang w:bidi="fa-IR"/>
          <w:color w:val="111111"/>
          <w:sz w:val="28"/>
          <w:szCs w:val="28"/>
          <w:rtl/>
        </w:rPr>
        <w:t xml:space="preserve">مؤلف یادداشت های خود را در سه یا چهار [در آغاز نسخه واژه «ثالث» را کسی خط زده و آن را به صورت «رابع» در آورده است. ولی صاحب الذریعه گوید ازهار الریاض در سه مجلد بوده است] جلد گرد آورده و بدین نام خوانده است. صاحب الذریعه یک جلد آن را در کتابخانه حاجی نوری به خط یکی شاگردان نگارنده و یک نسخه از جلد سوم را در بحرین کتابخانه آل طعان ستری نشان داده است. تاریخ پایان نگارش جلد اول این کتاب در (گ 148ر) نسخه دانشگاه 3 جماه الثاني 1116ق یاد شده است و نگارش جلد سوم (چهارم) در(گ 16پ و 27 ر) ذیحجه 1120ق یک سال پیش از مرگ نگارنده یاد شده است.</w:t>
      </w:r>
    </w:p>
    <w:p>
      <w:pPr>
        <w:pStyle w:val="BookText"/>
      </w:pPr>
      <w:r>
        <w:rPr>
          <w:rFonts w:ascii="IRNazanin" w:hAnsi="IRNazanin" w:eastAsia="IRNazanin" w:cs="IRNazanin"/>
          <w:lang w:bidi="fa-IR"/>
          <w:color w:val="111111"/>
          <w:sz w:val="28"/>
          <w:szCs w:val="28"/>
          <w:rtl/>
        </w:rPr>
        <w:t xml:space="preserve">وی از کتابهای بسیار نقل آورده و از سه حاشیه خویش تفسیر بیضاوی و کتاب مدارک و اربعین بهائی یاد کرده است  واز شاعران بسیار و به ویژه از خود شعر فراوان آورده است یک چکامه لامی خویش را به نام «درة البحرين في مرثية الحسين» چند صفحه آورده است و نیز شعری در تاریخ مرگ استاد خویش سلیمان پسر علی راشد بن ابی ظبية در 1101ق و شعر در ستایش کتاب مدارک آورده است، شعری از سید علی خان مدنی آورده و مرگ او را در شیراز به سال 1118ق یاد کرده است، شعری از پدر خویش عبدالله آورده و مرگ او را 1104ق آورده است. وی کتاب «النقاية» سیوطی را کامل در این کتاب گنجانیده است. شعرهای فارسی از شریف تبریزی و دیگران نیز در این کتاب دیده می شود.</w:t>
      </w:r>
    </w:p>
    <w:p>
      <w:pPr>
        <w:pStyle w:val="BookText"/>
      </w:pPr>
      <w:r>
        <w:rPr>
          <w:rFonts w:ascii="IRNazanin" w:hAnsi="IRNazanin" w:eastAsia="IRNazanin" w:cs="IRNazanin"/>
          <w:lang w:bidi="fa-IR"/>
          <w:color w:val="111111"/>
          <w:sz w:val="28"/>
          <w:szCs w:val="28"/>
          <w:rtl/>
        </w:rPr>
        <w:t xml:space="preserve">تهران؛ دانشگاه؛ شماره نسخه: 902/1</w:t>
      </w:r>
    </w:p>
    <w:p>
      <w:pPr>
        <w:pStyle w:val="BookText"/>
      </w:pPr>
      <w:r>
        <w:rPr>
          <w:rFonts w:ascii="IRNazanin" w:hAnsi="IRNazanin" w:eastAsia="IRNazanin" w:cs="IRNazanin"/>
          <w:lang w:bidi="fa-IR"/>
          <w:color w:val="111111"/>
          <w:sz w:val="28"/>
          <w:szCs w:val="28"/>
          <w:rtl/>
        </w:rPr>
        <w:t xml:space="preserve">آغاز (آغاز جلد سوم:) و حمداً له على افضاله... و بعد فهذا هو المجلد الثالث (الرابع) [نسخه دست خورده و هر دو خوانده می شود. گ اپ دیده شود] من مجلدات كتابنا المسمى بازهار الرياض الذى جمعنا فيه نفایس الفنون و عرايس العيون انجام :(انجام جلد اول) و بحسب الظن أكثر من تأثرها بالنافعة في الحال و بسبب العقل. و ليكن هذا آخر الجزء الأول من هذا المجموع ... و كتب مؤلفه العبد . .. سليمان بن عبدالله البحراني باليوم الثالث من ثانية الجماديين سنة الف و مائة و ست عشرة .</w:t>
      </w:r>
    </w:p>
    <w:p>
      <w:pPr>
        <w:pStyle w:val="BookText"/>
      </w:pPr>
      <w:r>
        <w:rPr>
          <w:rFonts w:ascii="IRNazanin" w:hAnsi="IRNazanin" w:eastAsia="IRNazanin" w:cs="IRNazanin"/>
          <w:lang w:bidi="fa-IR"/>
          <w:color w:val="111111"/>
          <w:sz w:val="28"/>
          <w:szCs w:val="28"/>
          <w:rtl/>
        </w:rPr>
        <w:t xml:space="preserve">خط: نسخ، بی کا، بی تا؛ نامرتب و جابجا صحافی شده است، آغاز نسخه جلد سوم یا چهارم است و پایان آن جلد اول می باشد، نام کاتب ندارد ولی پیداست که شاگرد مؤلف بوده، تاریخ ندارد ولی چون در زندگی نگارنده نوشته است و چنانکه گفتم نگارش کتاب در 1120 پایان یافته و نگارنده در 1121 در گذشته، نسخه درست در این دو سال نوشته شده است؛کاغذ: هندی نخدی ،رنگ ،جلد: تیماج سرخ مقوایی، 149گ، 20 سطر (8</w:t>
      </w:r>
      <w:r>
        <w:rPr>
          <w:rFonts w:ascii="Times New Roman" w:hAnsi="Times New Roman" w:eastAsia="Times New Roman" w:cs="Times New Roman"/>
          <w:lang w:val="en-US" w:bidi="en-US"/>
          <w:color w:val="111111"/>
          <w:sz w:val="28"/>
          <w:szCs w:val="28"/>
          <w:rtl/>
        </w:rPr>
        <w:t xml:space="preserve">×15/2)</w:t>
      </w:r>
      <w:r>
        <w:rPr>
          <w:rFonts w:ascii="IRNazanin" w:hAnsi="IRNazanin" w:eastAsia="IRNazanin" w:cs="IRNazanin"/>
          <w:lang w:bidi="fa-IR"/>
          <w:color w:val="111111"/>
          <w:sz w:val="28"/>
          <w:szCs w:val="28"/>
          <w:rtl/>
        </w:rPr>
        <w:t xml:space="preserve">، اندازه: 16</w:t>
      </w:r>
      <w:r>
        <w:rPr>
          <w:rFonts w:ascii="Times New Roman" w:hAnsi="Times New Roman" w:eastAsia="Times New Roman" w:cs="Times New Roman"/>
          <w:lang w:val="en-US" w:bidi="en-US"/>
          <w:color w:val="111111"/>
          <w:sz w:val="28"/>
          <w:szCs w:val="28"/>
          <w:rtl/>
        </w:rPr>
        <w:t xml:space="preserve">× 22</w:t>
      </w:r>
      <w:r>
        <w:rPr>
          <w:rFonts w:ascii="IRNazanin" w:hAnsi="IRNazanin" w:eastAsia="IRNazanin" w:cs="IRNazanin"/>
          <w:lang w:bidi="fa-IR"/>
          <w:color w:val="111111"/>
          <w:sz w:val="28"/>
          <w:szCs w:val="28"/>
          <w:rtl/>
        </w:rPr>
        <w:t xml:space="preserve">سم [ف: 2 - 685]</w:t>
      </w:r>
    </w:p>
    <w:p>
      <w:pPr>
        <w:pStyle w:val="Heading3"/>
      </w:pPr>
      <w:bookmarkStart w:id="739" w:name="_Toc261"/>
      <w:r>
        <w:t>ازهار الریاض / گوناگون / عربی</w:t>
      </w:r>
      <w:bookmarkEnd w:id="739"/>
    </w:p>
    <w:p>
      <w:pPr>
        <w:pStyle w:val="BookText"/>
      </w:pPr>
      <w:r>
        <w:rPr>
          <w:rFonts w:ascii="Times New Roman" w:hAnsi="Times New Roman" w:eastAsia="Times New Roman" w:cs="Times New Roman"/>
          <w:lang w:val="en-US" w:bidi="en-US"/>
          <w:color w:val="111111"/>
          <w:sz w:val="28"/>
          <w:szCs w:val="28"/>
          <w:rtl/>
        </w:rPr>
        <w:t xml:space="preserve">azhār-ur rīyāḍ</w:t>
      </w:r>
    </w:p>
    <w:p>
      <w:pPr>
        <w:pStyle w:val="BookText"/>
      </w:pPr>
      <w:r>
        <w:rPr>
          <w:rFonts w:ascii="IRNazanin" w:hAnsi="IRNazanin" w:eastAsia="IRNazanin" w:cs="IRNazanin"/>
          <w:lang w:bidi="fa-IR"/>
          <w:color w:val="111111"/>
          <w:sz w:val="28"/>
          <w:szCs w:val="28"/>
          <w:rtl/>
        </w:rPr>
        <w:t xml:space="preserve">احمد بن عبدالرحمن</w:t>
      </w:r>
    </w:p>
    <w:p>
      <w:pPr>
        <w:pStyle w:val="BookText"/>
      </w:pPr>
      <w:r>
        <w:rPr>
          <w:rFonts w:ascii="Times New Roman" w:hAnsi="Times New Roman" w:eastAsia="Times New Roman" w:cs="Times New Roman"/>
          <w:lang w:val="en-US" w:bidi="en-US"/>
          <w:color w:val="111111"/>
          <w:sz w:val="28"/>
          <w:szCs w:val="28"/>
          <w:rtl/>
        </w:rPr>
        <w:t xml:space="preserve">ahmad ebn-e ‘abd-or-rahmān</w:t>
      </w:r>
    </w:p>
    <w:p>
      <w:pPr>
        <w:pStyle w:val="BookText"/>
      </w:pPr>
      <w:r>
        <w:rPr>
          <w:rFonts w:ascii="IRNazanin" w:hAnsi="IRNazanin" w:eastAsia="IRNazanin" w:cs="IRNazanin"/>
          <w:lang w:bidi="fa-IR"/>
          <w:color w:val="111111"/>
          <w:sz w:val="28"/>
          <w:szCs w:val="28"/>
          <w:rtl/>
        </w:rPr>
        <w:t xml:space="preserve">مشهد؛ رضوی؛ شماره نسخه: 25616</w:t>
      </w:r>
    </w:p>
    <w:p>
      <w:pPr>
        <w:pStyle w:val="BookText"/>
      </w:pPr>
      <w:r>
        <w:rPr>
          <w:rFonts w:ascii="Amiri" w:hAnsi="Amiri" w:eastAsia="Amiri" w:cs="Amiri"/>
          <w:lang w:bidi="ar-SA"/>
          <w:color w:val="111111"/>
          <w:sz w:val="28"/>
          <w:szCs w:val="28"/>
          <w:rtl/>
        </w:rPr>
        <w:t xml:space="preserve">آغاز: بسمله اما بعد فيقول الجانى الراجى عفو ربه؛ انجام: ان يغسله الثلاثون للثلثمائة حديث ان قوما</w:t>
      </w:r>
    </w:p>
    <w:p>
      <w:pPr>
        <w:pStyle w:val="BookText"/>
      </w:pPr>
      <w:r>
        <w:rPr>
          <w:rFonts w:ascii="IRNazanin" w:hAnsi="IRNazanin" w:eastAsia="IRNazanin" w:cs="IRNazanin"/>
          <w:lang w:bidi="fa-IR"/>
          <w:color w:val="111111"/>
          <w:sz w:val="28"/>
          <w:szCs w:val="28"/>
          <w:rtl/>
        </w:rPr>
        <w:t xml:space="preserve">خط: نسخ، بی کا، تا: 1003ق [رایانه]</w:t>
      </w:r>
    </w:p>
    <w:p>
      <w:pPr>
        <w:pStyle w:val="Heading3"/>
      </w:pPr>
      <w:bookmarkStart w:id="740" w:name="_Toc262"/>
      <w:r>
        <w:t>ازهار الرياض / گوناگون / فارسی</w:t>
      </w:r>
      <w:bookmarkEnd w:id="740"/>
    </w:p>
    <w:p>
      <w:pPr>
        <w:pStyle w:val="BookText"/>
      </w:pPr>
      <w:r>
        <w:rPr>
          <w:rFonts w:ascii="Times New Roman" w:hAnsi="Times New Roman" w:eastAsia="Times New Roman" w:cs="Times New Roman"/>
          <w:lang w:val="en-US" w:bidi="en-US"/>
          <w:color w:val="111111"/>
          <w:sz w:val="28"/>
          <w:szCs w:val="28"/>
          <w:rtl/>
        </w:rPr>
        <w:t xml:space="preserve">azhār-ur rīyāḍ</w:t>
      </w:r>
    </w:p>
    <w:p>
      <w:pPr>
        <w:pStyle w:val="BookText"/>
      </w:pPr>
      <w:r>
        <w:rPr>
          <w:rFonts w:ascii="IRNazanin" w:hAnsi="IRNazanin" w:eastAsia="IRNazanin" w:cs="IRNazanin"/>
          <w:lang w:bidi="fa-IR"/>
          <w:color w:val="111111"/>
          <w:sz w:val="28"/>
          <w:szCs w:val="28"/>
          <w:rtl/>
        </w:rPr>
        <w:t xml:space="preserve">حسینی، اسدالله بن آقامیر قوام الدین</w:t>
      </w:r>
    </w:p>
    <w:p>
      <w:pPr>
        <w:pStyle w:val="BookText"/>
      </w:pPr>
      <w:r>
        <w:rPr>
          <w:rFonts w:ascii="Times New Roman" w:hAnsi="Times New Roman" w:eastAsia="Times New Roman" w:cs="Times New Roman"/>
          <w:lang w:val="en-US" w:bidi="en-US"/>
          <w:color w:val="111111"/>
          <w:sz w:val="28"/>
          <w:szCs w:val="28"/>
          <w:rtl/>
        </w:rPr>
        <w:t xml:space="preserve">hoseyni, asad-ol-lah ebn-e aqamir qavam-od-din</w:t>
      </w:r>
    </w:p>
    <w:p>
      <w:pPr>
        <w:pStyle w:val="BookText"/>
      </w:pPr>
      <w:r>
        <w:rPr>
          <w:rFonts w:ascii="IRNazanin" w:hAnsi="IRNazanin" w:eastAsia="IRNazanin" w:cs="IRNazanin"/>
          <w:lang w:bidi="fa-IR"/>
          <w:color w:val="111111"/>
          <w:sz w:val="28"/>
          <w:szCs w:val="28"/>
          <w:rtl/>
        </w:rPr>
        <w:t xml:space="preserve">جنگی از مطالب مختلف تفسیر ،قرآن حدیث مشکل، اشعار ، معما و . ..</w:t>
      </w:r>
    </w:p>
    <w:p>
      <w:pPr>
        <w:pStyle w:val="BookText"/>
      </w:pPr>
      <w:r>
        <w:rPr>
          <w:rFonts w:ascii="IRNazanin" w:hAnsi="IRNazanin" w:eastAsia="IRNazanin" w:cs="IRNazanin"/>
          <w:lang w:bidi="fa-IR"/>
          <w:color w:val="111111"/>
          <w:sz w:val="28"/>
          <w:szCs w:val="28"/>
          <w:rtl/>
        </w:rPr>
        <w:t xml:space="preserve">شیراز؛ علامه طباطبائی؛ شماره نسخه: 1394</w:t>
      </w:r>
    </w:p>
    <w:p>
      <w:pPr>
        <w:pStyle w:val="BookText"/>
      </w:pPr>
      <w:r>
        <w:rPr>
          <w:rFonts w:ascii="IRNazanin" w:hAnsi="IRNazanin" w:eastAsia="IRNazanin" w:cs="IRNazanin"/>
          <w:lang w:bidi="fa-IR"/>
          <w:color w:val="111111"/>
          <w:sz w:val="28"/>
          <w:szCs w:val="28"/>
          <w:rtl/>
        </w:rPr>
        <w:t xml:space="preserve">آغاز: حمد نامحدود آفریدگار را که.... چون عنفوان شباب بما يوجب الاسف تلف گشت... دل به جمع نمودن این مجموعه نهادم... كشكولى اللطائف مشكلاتي الطرائف</w:t>
      </w:r>
    </w:p>
    <w:p>
      <w:pPr>
        <w:pStyle w:val="BookText"/>
      </w:pPr>
      <w:r>
        <w:rPr>
          <w:rFonts w:ascii="IRNazanin" w:hAnsi="IRNazanin" w:eastAsia="IRNazanin" w:cs="IRNazanin"/>
          <w:lang w:bidi="fa-IR"/>
          <w:color w:val="111111"/>
          <w:sz w:val="28"/>
          <w:szCs w:val="28"/>
          <w:rtl/>
        </w:rPr>
        <w:t xml:space="preserve">خط: نستعلیق ،بی کا ،تا: قرن 14؛ مجدول؛ اندازه 13</w:t>
      </w:r>
      <w:r>
        <w:rPr>
          <w:rFonts w:ascii="Times New Roman" w:hAnsi="Times New Roman" w:eastAsia="Times New Roman" w:cs="Times New Roman"/>
          <w:lang w:val="en-US" w:bidi="en-US"/>
          <w:color w:val="111111"/>
          <w:sz w:val="28"/>
          <w:szCs w:val="28"/>
          <w:rtl/>
        </w:rPr>
        <w:t xml:space="preserve">×20/5 [ </w:t>
      </w:r>
      <w:r>
        <w:rPr>
          <w:rFonts w:ascii="IRNazanin" w:hAnsi="IRNazanin" w:eastAsia="IRNazanin" w:cs="IRNazanin"/>
          <w:lang w:bidi="fa-IR"/>
          <w:color w:val="111111"/>
          <w:sz w:val="28"/>
          <w:szCs w:val="28"/>
          <w:rtl/>
        </w:rPr>
        <w:t xml:space="preserve">نسخه پژوهی 2 - 111]</w:t>
      </w:r>
    </w:p>
    <w:p>
      <w:pPr>
        <w:pStyle w:val="Heading3"/>
      </w:pPr>
      <w:bookmarkStart w:id="741" w:name="_Toc263"/>
      <w:r>
        <w:t>ازهار العروش فى اخبار الحبوش / حدیث / عربي</w:t>
      </w:r>
      <w:bookmarkEnd w:id="741"/>
    </w:p>
    <w:p>
      <w:pPr>
        <w:pStyle w:val="BookText"/>
      </w:pPr>
      <w:r>
        <w:rPr>
          <w:rFonts w:ascii="Times New Roman" w:hAnsi="Times New Roman" w:eastAsia="Times New Roman" w:cs="Times New Roman"/>
          <w:lang w:val="en-US" w:bidi="en-US"/>
          <w:color w:val="111111"/>
          <w:sz w:val="28"/>
          <w:szCs w:val="28"/>
          <w:rtl/>
        </w:rPr>
        <w:t xml:space="preserve">azhār-ul-'urūš fī axbar-il-ḥabūš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85" w:name="pg20365_260110"/>
    <w:bookmarkEnd w:id="85"/>
    <w:p>
      <w:pPr>
        <w:pStyle w:val="BookText"/>
      </w:pPr>
      <w:r>
        <w:rPr>
          <w:rFonts w:ascii="IRNazanin" w:hAnsi="IRNazanin" w:eastAsia="IRNazanin" w:cs="IRNazanin"/>
          <w:lang w:bidi="fa-IR"/>
          <w:color w:val="111111"/>
          <w:sz w:val="28"/>
          <w:szCs w:val="28"/>
          <w:rtl/>
        </w:rPr>
        <w:t xml:space="preserve">سیوطی عبدالرحمن بن ابی بکر، 849 - 911 قمری</w:t>
      </w:r>
    </w:p>
    <w:p>
      <w:pPr>
        <w:pStyle w:val="BookText"/>
      </w:pPr>
      <w:r>
        <w:rPr>
          <w:rFonts w:ascii="Times New Roman" w:hAnsi="Times New Roman" w:eastAsia="Times New Roman" w:cs="Times New Roman"/>
          <w:lang w:val="en-US" w:bidi="en-US"/>
          <w:color w:val="111111"/>
          <w:sz w:val="28"/>
          <w:szCs w:val="28"/>
          <w:rtl/>
        </w:rPr>
        <w:t xml:space="preserve">(soyūtī, ‘abd-or-rahmān ebn-e abī-bakr (1446 - 1506)</w:t>
      </w:r>
    </w:p>
    <w:p>
      <w:pPr>
        <w:pStyle w:val="BookText"/>
      </w:pPr>
      <w:r>
        <w:rPr>
          <w:rFonts w:ascii="IRNazanin" w:hAnsi="IRNazanin" w:eastAsia="IRNazanin" w:cs="IRNazanin"/>
          <w:lang w:bidi="fa-IR"/>
          <w:color w:val="111111"/>
          <w:sz w:val="28"/>
          <w:szCs w:val="28"/>
          <w:rtl/>
        </w:rPr>
        <w:t xml:space="preserve">این کتاب مختصر کتاب دیگر مؤلف به نام «رفع شأن الحبشان» است. در این کتاب مؤلف اخبار نبوی مربوط به حبشیان را جمع آوری نموده است. به گفته «کشف الظنون» این کتاب مأخذ «الطراز المنقوش »است.</w:t>
      </w:r>
    </w:p>
    <w:p>
      <w:pPr>
        <w:pStyle w:val="BookText"/>
      </w:pPr>
      <w:r>
        <w:rPr>
          <w:rFonts w:ascii="Amiri" w:hAnsi="Amiri" w:eastAsia="Amiri" w:cs="Amiri"/>
          <w:lang w:bidi="ar-SA"/>
          <w:color w:val="111111"/>
          <w:sz w:val="28"/>
          <w:szCs w:val="28"/>
          <w:rtl/>
        </w:rPr>
        <w:t xml:space="preserve">آغاز: بسمله هذا كتاب يسمى ازهار العروش فى اخبار الحبوش... ذكر اصل الحبوش قال الامام احمد في مسنده وابن سعد الطبقات معاً حدثنا عبدالوهاب</w:t>
      </w:r>
    </w:p>
    <w:p>
      <w:pPr>
        <w:pStyle w:val="BookText"/>
      </w:pPr>
      <w:r>
        <w:rPr>
          <w:rFonts w:ascii="Amiri" w:hAnsi="Amiri" w:eastAsia="Amiri" w:cs="Amiri"/>
          <w:lang w:bidi="ar-SA"/>
          <w:color w:val="111111"/>
          <w:sz w:val="28"/>
          <w:szCs w:val="28"/>
          <w:rtl/>
        </w:rPr>
        <w:t xml:space="preserve">انجام: اذا سلم من صلاته قال سبحان ربك رب العزة عما يصفون وسلام على المرسلين والحمد لله رب العالمين هذا آخر الكتاب ولله الحمد والمنه.</w:t>
      </w:r>
    </w:p>
    <w:p>
      <w:pPr>
        <w:pStyle w:val="BookText"/>
      </w:pPr>
      <w:r>
        <w:rPr>
          <w:rFonts w:ascii="IRNazanin" w:hAnsi="IRNazanin" w:eastAsia="IRNazanin" w:cs="IRNazanin"/>
          <w:lang w:bidi="fa-IR"/>
          <w:color w:val="111111"/>
          <w:sz w:val="28"/>
          <w:szCs w:val="28"/>
          <w:rtl/>
        </w:rPr>
        <w:t xml:space="preserve">[كشف الظنون 73/1 و 910؛ دلیل مخطوطات السيوطى ص 220 و 226]</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مرعشی؛ شماره نسخه: 1122/1</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نسخه اصل: کتابخانه ،اسکوریال مادریدش 1764 :خط نسخ،بی کا، بی تا؛ تملک: محمد بن محمد بن عبد القادر بن محمد الهواسى الشافعى در 936ق 37 ص (1- 37) 13 سطر [عکسی ف: 3- 257]</w:t>
      </w:r>
    </w:p>
    <w:p>
      <w:pPr>
        <w:pStyle w:val="BookText"/>
      </w:pPr>
      <w:r>
        <w:rPr>
          <w:rFonts w:ascii="IRNazanin" w:hAnsi="IRNazanin" w:eastAsia="IRNazanin" w:cs="IRNazanin"/>
          <w:lang w:bidi="fa-IR"/>
          <w:color w:val="111111"/>
          <w:sz w:val="28"/>
          <w:szCs w:val="28"/>
          <w:rtl/>
        </w:rPr>
        <w:t xml:space="preserve">2 . قم؛ گلپایگانی؛ شماره نسخه: 1083-6/173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10 ؛جلد: تیماج سرخ ضربی مجدول، 32گ 21 سطر ، اندازه: 13</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 [ف: 1 - 321]</w:t>
      </w:r>
    </w:p>
    <w:p>
      <w:pPr>
        <w:pStyle w:val="Heading3"/>
      </w:pPr>
      <w:bookmarkStart w:id="742" w:name="_Toc264"/>
      <w:r>
        <w:t>الازهار في فقه الأئمة الأطهار / فقه / عربي</w:t>
      </w:r>
      <w:bookmarkEnd w:id="742"/>
    </w:p>
    <w:p>
      <w:pPr>
        <w:pStyle w:val="BookText"/>
      </w:pPr>
      <w:r>
        <w:rPr>
          <w:rFonts w:ascii="Times New Roman" w:hAnsi="Times New Roman" w:eastAsia="Times New Roman" w:cs="Times New Roman"/>
          <w:lang w:val="en-US" w:bidi="en-US"/>
          <w:color w:val="111111"/>
          <w:sz w:val="28"/>
          <w:szCs w:val="28"/>
          <w:rtl/>
        </w:rPr>
        <w:t xml:space="preserve">al-azhār fī fiqh-il-’a’immat-il-’aṭhār</w:t>
      </w:r>
    </w:p>
    <w:p>
      <w:pPr>
        <w:pStyle w:val="BookText"/>
      </w:pPr>
      <w:r>
        <w:rPr>
          <w:rFonts w:ascii="IRNazanin" w:hAnsi="IRNazanin" w:eastAsia="IRNazanin" w:cs="IRNazanin"/>
          <w:lang w:bidi="fa-IR"/>
          <w:color w:val="111111"/>
          <w:sz w:val="28"/>
          <w:szCs w:val="28"/>
          <w:rtl/>
        </w:rPr>
        <w:t xml:space="preserve">یمنی، احمد بن يحيى، 775 - 0 775 -840 قمری</w:t>
      </w:r>
    </w:p>
    <w:p>
      <w:pPr>
        <w:pStyle w:val="BookText"/>
      </w:pPr>
      <w:r>
        <w:rPr>
          <w:rFonts w:ascii="Times New Roman" w:hAnsi="Times New Roman" w:eastAsia="Times New Roman" w:cs="Times New Roman"/>
          <w:lang w:val="en-US" w:bidi="en-US"/>
          <w:color w:val="111111"/>
          <w:sz w:val="28"/>
          <w:szCs w:val="28"/>
          <w:rtl/>
        </w:rPr>
        <w:t xml:space="preserve">(yamanī, ahmad ebn-e yahyā (1374 - 1437)</w:t>
      </w:r>
    </w:p>
    <w:p>
      <w:pPr>
        <w:pStyle w:val="BookText"/>
      </w:pPr>
      <w:r>
        <w:rPr>
          <w:rFonts w:ascii="Amiri" w:hAnsi="Amiri" w:eastAsia="Amiri" w:cs="Amiri"/>
          <w:lang w:bidi="ar-SA"/>
          <w:color w:val="111111"/>
          <w:sz w:val="28"/>
          <w:szCs w:val="28"/>
          <w:rtl/>
        </w:rPr>
        <w:t xml:space="preserve">وابسته به: التذكرة الفاخرة فى فقه العترة الطاهرة؛ نحوى، حسن بن محمد (-791ق)</w:t>
      </w:r>
    </w:p>
    <w:p>
      <w:pPr>
        <w:pStyle w:val="BookText"/>
      </w:pPr>
      <w:r>
        <w:rPr>
          <w:rFonts w:ascii="IRNazanin" w:hAnsi="IRNazanin" w:eastAsia="IRNazanin" w:cs="IRNazanin"/>
          <w:lang w:bidi="fa-IR"/>
          <w:color w:val="111111"/>
          <w:sz w:val="28"/>
          <w:szCs w:val="28"/>
          <w:rtl/>
        </w:rPr>
        <w:t xml:space="preserve">گزیده ای است از کتاب «التذكرة الفاخرة» فقيه حسن بن محمد مذحجي. بنا به گفته ابن مفتاح ،شارح این کتاب، مسائل کتاب «الازهار» - منطوقاً و مفهوماً - بیست و نه هزار مسأله می باشد .</w:t>
      </w:r>
    </w:p>
    <w:p>
      <w:pPr>
        <w:pStyle w:val="BookText"/>
      </w:pPr>
      <w:r>
        <w:rPr>
          <w:rFonts w:ascii="IRNazanin" w:hAnsi="IRNazanin" w:eastAsia="IRNazanin" w:cs="IRNazanin"/>
          <w:lang w:bidi="fa-IR"/>
          <w:color w:val="111111"/>
          <w:sz w:val="28"/>
          <w:szCs w:val="28"/>
          <w:rtl/>
        </w:rPr>
        <w:t xml:space="preserve">این کتاب را منابع مهم فقهی در نزد زیدیه بوده است و بر شروح و حواشی زیادی نگاشته و آن را تدریس می کرده اند. کیفیت تألیف این کتاب گفته شده است که امام مهدی احمد بن یحیی این کتاب را به جهت ترس از فراموشی فقه تألیف کرد بدین نحو که مسائل آن را بر سید علی بن هادی القاء می نمود چون نگهبان از ورود ادوات نگارش به داخل زندان منع نموده بود، سید مسائل را با گچ بر روی درها می نوشت، سپس به حفظ آنها پرداخته و مسائل قبلی را پاک نموده و مسائل جدید می نگاشت این کار تا دو سال ادامه یافته و تألیف آن پایان یافت.</w:t>
      </w:r>
    </w:p>
    <w:p>
      <w:pPr>
        <w:pStyle w:val="BookText"/>
      </w:pPr>
      <w:r>
        <w:rPr>
          <w:rFonts w:ascii="IRNazanin" w:hAnsi="IRNazanin" w:eastAsia="IRNazanin" w:cs="IRNazanin"/>
          <w:lang w:bidi="fa-IR"/>
          <w:color w:val="111111"/>
          <w:sz w:val="28"/>
          <w:szCs w:val="28"/>
          <w:rtl/>
        </w:rPr>
        <w:t xml:space="preserve">در آن وقت نگهبان اجازه داد تا کاغذ و دوات وارد زندان کنند، بنابراین مطالب محفوظ به اوراق انتقال داده شد.</w:t>
      </w:r>
    </w:p>
    <w:p>
      <w:pPr>
        <w:pStyle w:val="BookText"/>
      </w:pPr>
      <w:r>
        <w:rPr>
          <w:rFonts w:ascii="Amiri" w:hAnsi="Amiri" w:eastAsia="Amiri" w:cs="Amiri"/>
          <w:lang w:bidi="ar-SA"/>
          <w:color w:val="111111"/>
          <w:sz w:val="28"/>
          <w:szCs w:val="28"/>
          <w:rtl/>
        </w:rPr>
        <w:t xml:space="preserve">آغاز: مقدمة لايسع المقلد جهلها، فصل التقليد فيالمسائل الفرعية العملية الظنية و القطعية جائز لغير المجتهد. .. (آغاز) كتاب الطهارة باب النجاسات وهى عشرة ما خرج من سبيلى ذى دم لا يؤكل او حلال قبل الاستحالة و المسكر و ان طبخ ...</w:t>
      </w:r>
    </w:p>
    <w:p>
      <w:pPr>
        <w:pStyle w:val="BookText"/>
      </w:pPr>
      <w:r>
        <w:rPr>
          <w:rFonts w:ascii="IRNazanin" w:hAnsi="IRNazanin" w:eastAsia="IRNazanin" w:cs="IRNazanin"/>
          <w:lang w:bidi="fa-IR"/>
          <w:color w:val="111111"/>
          <w:sz w:val="28"/>
          <w:szCs w:val="28"/>
          <w:rtl/>
        </w:rPr>
        <w:t xml:space="preserve">چاپ: صنعاء، دار الحكمة اليمانية، 1414ق</w:t>
      </w:r>
    </w:p>
    <w:p>
      <w:pPr>
        <w:pStyle w:val="BookText"/>
      </w:pPr>
      <w:r>
        <w:rPr>
          <w:rFonts w:ascii="IRNazanin" w:hAnsi="IRNazanin" w:eastAsia="IRNazanin" w:cs="IRNazanin"/>
          <w:lang w:bidi="fa-IR"/>
          <w:color w:val="111111"/>
          <w:sz w:val="28"/>
          <w:szCs w:val="28"/>
          <w:rtl/>
        </w:rPr>
        <w:t xml:space="preserve">[الذريعة 532/1-533؛ كشف الظنون 73/1؛ معجم المؤلفين 206/2؛ مؤلفات الزيدية 112/1؛ مطلع البدور 2/ 101؛ عبد العظيم الهادى ص5] شرح و حواشی:</w:t>
      </w:r>
    </w:p>
    <w:p>
      <w:pPr>
        <w:pStyle w:val="BookText"/>
      </w:pPr>
      <w:r>
        <w:rPr>
          <w:rFonts w:ascii="IRNazanin" w:hAnsi="IRNazanin" w:eastAsia="IRNazanin" w:cs="IRNazanin"/>
          <w:lang w:bidi="fa-IR"/>
          <w:color w:val="111111"/>
          <w:sz w:val="28"/>
          <w:szCs w:val="28"/>
          <w:rtl/>
        </w:rPr>
        <w:t xml:space="preserve">1- شرح الازهار في فقه الائمة الاطهار ؛ ابن مفتاح، عبدالله بن ابی القاسم (-877)</w:t>
      </w:r>
    </w:p>
    <w:p>
      <w:pPr>
        <w:pStyle w:val="BookText"/>
      </w:pPr>
      <w:r>
        <w:rPr>
          <w:rFonts w:ascii="IRNazanin" w:hAnsi="IRNazanin" w:eastAsia="IRNazanin" w:cs="IRNazanin"/>
          <w:lang w:bidi="fa-IR"/>
          <w:color w:val="111111"/>
          <w:sz w:val="28"/>
          <w:szCs w:val="28"/>
          <w:rtl/>
        </w:rPr>
        <w:t xml:space="preserve">2- الاثمار في فقه الائمة الاطهار ؛ متوكل على الله، يحيى بن شمس الدین احمد (-965)</w:t>
      </w:r>
    </w:p>
    <w:p>
      <w:pPr>
        <w:pStyle w:val="BookText"/>
      </w:pPr>
      <w:r>
        <w:rPr>
          <w:rFonts w:ascii="Amiri" w:hAnsi="Amiri" w:eastAsia="Amiri" w:cs="Amiri"/>
          <w:lang w:bidi="ar-SA"/>
          <w:color w:val="111111"/>
          <w:sz w:val="28"/>
          <w:szCs w:val="28"/>
          <w:rtl/>
        </w:rPr>
        <w:t xml:space="preserve">3- التخليص فى شرح مقدمة الازهار؛ مقرائي، يحيى بن محمد (908- 990)</w:t>
      </w:r>
    </w:p>
    <w:p>
      <w:pPr>
        <w:pStyle w:val="BookText"/>
      </w:pPr>
      <w:r>
        <w:rPr>
          <w:rFonts w:ascii="Amiri" w:hAnsi="Amiri" w:eastAsia="Amiri" w:cs="Amiri"/>
          <w:lang w:bidi="ar-SA"/>
          <w:color w:val="111111"/>
          <w:sz w:val="28"/>
          <w:szCs w:val="28"/>
          <w:rtl/>
        </w:rPr>
        <w:t xml:space="preserve">4 - القدر المختار من نفحات الازهار = حاشية الازهار سحولي ، ابراهيم بن يحيى (987- 1060)</w:t>
      </w:r>
    </w:p>
    <w:p>
      <w:pPr>
        <w:pStyle w:val="BookText"/>
      </w:pPr>
      <w:r>
        <w:rPr>
          <w:rFonts w:ascii="IRNazanin" w:hAnsi="IRNazanin" w:eastAsia="IRNazanin" w:cs="IRNazanin"/>
          <w:lang w:bidi="fa-IR"/>
          <w:color w:val="111111"/>
          <w:sz w:val="28"/>
          <w:szCs w:val="28"/>
          <w:rtl/>
        </w:rPr>
        <w:t xml:space="preserve">5- الانتصار في شرح مقدمة الازهار - فائق الانظار في شرح مقدمة الازهار - مرقاة الانظار في شرح مقدمة الازهار؛ مضواحی، صلاح بن محمد</w:t>
      </w:r>
    </w:p>
    <w:p>
      <w:pPr>
        <w:pStyle w:val="BookText"/>
      </w:pPr>
      <w:r>
        <w:rPr>
          <w:rFonts w:ascii="Amiri" w:hAnsi="Amiri" w:eastAsia="Amiri" w:cs="Amiri"/>
          <w:lang w:bidi="ar-SA"/>
          <w:color w:val="111111"/>
          <w:sz w:val="28"/>
          <w:szCs w:val="28"/>
          <w:rtl/>
        </w:rPr>
        <w:t xml:space="preserve">6 -شرح الازهار في فقه ائمة الاطهار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مرکز احیاء؛ شماره نسخه: 774/1</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نسخه اصل: کتابخانه واتیکان، رم 1202؛ بی کا، تا: دهه آخر ذيقعده 869ق؛ 247گ (2-249) [عکسی ف: 2 - 454]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قم؛ امام صادق؛ شماره نسخه 35/1</w:t>
      </w:r>
    </w:p>
    <w:p>
      <w:pPr>
        <w:pStyle w:val="BookText"/>
      </w:pPr>
      <w:r>
        <w:rPr>
          <w:rFonts w:ascii="Amiri" w:hAnsi="Amiri" w:eastAsia="Amiri" w:cs="Amiri"/>
          <w:lang w:bidi="ar-SA"/>
          <w:color w:val="111111"/>
          <w:sz w:val="28"/>
          <w:szCs w:val="28"/>
          <w:rtl/>
        </w:rPr>
        <w:t xml:space="preserve">آغاز: برابر؛ انجام: و يحرم المولاة وهى انه يحب له كلما يحب و يكره له كلما يكره فتكون كفرا او فسقا بحسب الحال</w:t>
      </w:r>
    </w:p>
    <w:p>
      <w:pPr>
        <w:pStyle w:val="BookText"/>
      </w:pPr>
      <w:r>
        <w:rPr>
          <w:rFonts w:ascii="IRNazanin" w:hAnsi="IRNazanin" w:eastAsia="IRNazanin" w:cs="IRNazanin"/>
          <w:lang w:bidi="fa-IR"/>
          <w:color w:val="111111"/>
          <w:sz w:val="28"/>
          <w:szCs w:val="28"/>
          <w:rtl/>
        </w:rPr>
        <w:t xml:space="preserve">خط: نسخ، كا: حسين بن محمد بن احمد القاضي، تا: شنبه 7 جمادی الاول 1057ق؛ جلد: تیماج قهوه ای، 73گ (1پ-74ر)،</w:t>
      </w:r>
    </w:p>
    <w:p>
      <w:pPr>
        <w:pStyle w:val="BookText"/>
      </w:pPr>
      <w:r>
        <w:rPr>
          <w:rFonts w:ascii="IRNazanin" w:hAnsi="IRNazanin" w:eastAsia="IRNazanin" w:cs="IRNazanin"/>
          <w:lang w:bidi="fa-IR"/>
          <w:color w:val="111111"/>
          <w:sz w:val="28"/>
          <w:szCs w:val="28"/>
          <w:rtl/>
        </w:rPr>
        <w:t xml:space="preserve">اندازه 15</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سم [ف: - 34]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ملی؛ شماره نسخه:25713</w:t>
      </w:r>
    </w:p>
    <w:p>
      <w:pPr>
        <w:pStyle w:val="BookText"/>
      </w:pPr>
      <w:r>
        <w:rPr>
          <w:rFonts w:ascii="IRNazanin" w:hAnsi="IRNazanin" w:eastAsia="IRNazanin" w:cs="IRNazanin"/>
          <w:lang w:bidi="fa-IR"/>
          <w:color w:val="111111"/>
          <w:sz w:val="28"/>
          <w:szCs w:val="28"/>
          <w:rtl/>
        </w:rPr>
        <w:t xml:space="preserve">بی کا، بی تا، خریداری از میردادخان [رایانه]</w:t>
      </w:r>
    </w:p>
    <w:p>
      <w:pPr>
        <w:pStyle w:val="Heading3"/>
      </w:pPr>
      <w:bookmarkStart w:id="743" w:name="_Toc265"/>
      <w:r>
        <w:t>الازهار فيما جاء فى امام الابرار و اولاده الائمة الاطهار / فضایل و مناقب / عربی</w:t>
      </w:r>
      <w:bookmarkEnd w:id="743"/>
    </w:p>
    <w:p>
      <w:pPr>
        <w:pStyle w:val="BookText"/>
      </w:pPr>
      <w:r>
        <w:rPr>
          <w:rFonts w:ascii="Times New Roman" w:hAnsi="Times New Roman" w:eastAsia="Times New Roman" w:cs="Times New Roman"/>
          <w:lang w:val="en-US" w:bidi="en-US"/>
          <w:color w:val="111111"/>
          <w:sz w:val="28"/>
          <w:szCs w:val="28"/>
          <w:rtl/>
        </w:rPr>
        <w:t xml:space="preserve">al-azhār fīmā jā'-a fi imām-il abrar wa awlad-i-h-il</w:t>
      </w:r>
    </w:p>
    <w:p>
      <w:pPr>
        <w:pStyle w:val="BookText"/>
      </w:pPr>
      <w:r>
        <w:rPr>
          <w:rFonts w:ascii="Times New Roman" w:hAnsi="Times New Roman" w:eastAsia="Times New Roman" w:cs="Times New Roman"/>
          <w:lang w:val="en-US" w:bidi="en-US"/>
          <w:color w:val="111111"/>
          <w:sz w:val="28"/>
          <w:szCs w:val="28"/>
          <w:rtl/>
        </w:rPr>
        <w:t xml:space="preserve">a'immat-il athar</w:t>
      </w:r>
    </w:p>
    <w:p>
      <w:pPr>
        <w:pStyle w:val="BookText"/>
      </w:pPr>
      <w:r>
        <w:rPr>
          <w:rFonts w:ascii="IRNazanin" w:hAnsi="IRNazanin" w:eastAsia="IRNazanin" w:cs="IRNazanin"/>
          <w:lang w:bidi="fa-IR"/>
          <w:color w:val="111111"/>
          <w:sz w:val="28"/>
          <w:szCs w:val="28"/>
          <w:rtl/>
        </w:rPr>
        <w:t xml:space="preserve">عشیری، سليم بن ابی الهذام</w:t>
      </w:r>
    </w:p>
    <w:p>
      <w:pPr>
        <w:pStyle w:val="BookText"/>
      </w:pPr>
      <w:r>
        <w:rPr>
          <w:rFonts w:ascii="Times New Roman" w:hAnsi="Times New Roman" w:eastAsia="Times New Roman" w:cs="Times New Roman"/>
          <w:lang w:val="en-US" w:bidi="en-US"/>
          <w:color w:val="111111"/>
          <w:sz w:val="28"/>
          <w:szCs w:val="28"/>
          <w:rtl/>
        </w:rPr>
        <w:t xml:space="preserve">ašīrī, salīm-e-bn-e ab-el-hozām</w:t>
      </w:r>
    </w:p>
    <w:p>
      <w:pPr>
        <w:pStyle w:val="BookText"/>
      </w:pPr>
      <w:r>
        <w:rPr>
          <w:rFonts w:ascii="IRNazanin" w:hAnsi="IRNazanin" w:eastAsia="IRNazanin" w:cs="IRNazanin"/>
          <w:lang w:bidi="fa-IR"/>
          <w:color w:val="111111"/>
          <w:sz w:val="28"/>
          <w:szCs w:val="28"/>
          <w:rtl/>
        </w:rPr>
        <w:t xml:space="preserve">کتابی در فضایل و مناقب حضرت امیر المؤمنين (علیه السّلام) و آنچه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86" w:name="pg20365_260111"/>
    <w:bookmarkEnd w:id="86"/>
    <w:p>
      <w:pPr>
        <w:pStyle w:val="BookText"/>
      </w:pPr>
      <w:r>
        <w:rPr>
          <w:rFonts w:ascii="IRNazanin" w:hAnsi="IRNazanin" w:eastAsia="IRNazanin" w:cs="IRNazanin"/>
          <w:lang w:bidi="fa-IR"/>
          <w:color w:val="111111"/>
          <w:sz w:val="28"/>
          <w:szCs w:val="28"/>
          <w:rtl/>
        </w:rPr>
        <w:t xml:space="preserve">درباره شیعه آن حضرت (که مراد زیدیه هستند) در صحاح اخبار روایت شده، که بیشتر آنها از طریق ائمه زیدیه و کتاب های آنان نقل شده مشتمل بر شش «موضع»: 1. ذکر الثلاثة :2. الاحاديث الواردة في فضائل على (علیه السّلام)؛ 3. مقاماته الحروب؛ 4. الاحاديث الواردة فى فيه و في أولاده معاً؛ 5. فیما جاء في الشيعة .6. فيما انتقم الله به با غضهم در مؤلفات الزيدیه نام کتاب «الأزهار في مناقب امام الأبرار وصى الرسول المختار» آمده است.</w:t>
      </w:r>
    </w:p>
    <w:p>
      <w:pPr>
        <w:pStyle w:val="BookText"/>
      </w:pPr>
      <w:r>
        <w:rPr>
          <w:rFonts w:ascii="IRNazanin" w:hAnsi="IRNazanin" w:eastAsia="IRNazanin" w:cs="IRNazanin"/>
          <w:lang w:bidi="fa-IR"/>
          <w:color w:val="111111"/>
          <w:sz w:val="28"/>
          <w:szCs w:val="28"/>
          <w:rtl/>
        </w:rPr>
        <w:t xml:space="preserve">آغاز: بسمله. و به نستعين الحمد لله حق حمده و صلى الله علی محمد رسوله و عبده و علی علی و التابعين له من بعده... أما بعد فانى لما نظرت الى فضائل آل محمد (صلّی اللَّهِ علیه وَ آلِهِ وَ سَلَّمَ ) وجدتها كثيرة جمة.</w:t>
      </w:r>
    </w:p>
    <w:p>
      <w:pPr>
        <w:pStyle w:val="BookText"/>
      </w:pPr>
      <w:r>
        <w:rPr>
          <w:rFonts w:ascii="IRNazanin" w:hAnsi="IRNazanin" w:eastAsia="IRNazanin" w:cs="IRNazanin"/>
          <w:lang w:bidi="fa-IR"/>
          <w:color w:val="111111"/>
          <w:sz w:val="28"/>
          <w:szCs w:val="28"/>
          <w:rtl/>
        </w:rPr>
        <w:t xml:space="preserve">انجام: و لك المودة فى قلوب ذوى النهى *** و على عدوک  مقتة و دمار. تم حديث العوسجة، والحمد لله أولاً وآخراً</w:t>
      </w:r>
    </w:p>
    <w:p>
      <w:pPr>
        <w:pStyle w:val="BookText"/>
      </w:pPr>
      <w:r>
        <w:rPr>
          <w:rFonts w:ascii="Amiri" w:hAnsi="Amiri" w:eastAsia="Amiri" w:cs="Amiri"/>
          <w:lang w:bidi="ar-SA"/>
          <w:color w:val="111111"/>
          <w:sz w:val="28"/>
          <w:szCs w:val="28"/>
          <w:rtl/>
        </w:rPr>
        <w:t xml:space="preserve">[ أعلام المرلفين الزيدية 467؛ مؤلفات الزيدية 113/1]</w:t>
      </w:r>
    </w:p>
    <w:p>
      <w:pPr>
        <w:pStyle w:val="BookText"/>
      </w:pPr>
      <w:r>
        <w:rPr>
          <w:rFonts w:ascii="IRNazanin" w:hAnsi="IRNazanin" w:eastAsia="IRNazanin" w:cs="IRNazanin"/>
          <w:lang w:bidi="fa-IR"/>
          <w:color w:val="111111"/>
          <w:sz w:val="28"/>
          <w:szCs w:val="28"/>
          <w:rtl/>
        </w:rPr>
        <w:t xml:space="preserve">قم؛ مرعشی؛ شماره نسخه: 4557/2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با تاریخ 1026ق؛ مجدول؛ جلد: تیماج قهوه ای، 33گ (34ر - 66 پ) ، اندازه: 20</w:t>
      </w:r>
      <w:r>
        <w:rPr>
          <w:rFonts w:ascii="Times New Roman" w:hAnsi="Times New Roman" w:eastAsia="Times New Roman" w:cs="Times New Roman"/>
          <w:lang w:val="en-US" w:bidi="en-US"/>
          <w:color w:val="111111"/>
          <w:sz w:val="28"/>
          <w:szCs w:val="28"/>
          <w:rtl/>
        </w:rPr>
        <w:t xml:space="preserve">×30/5 </w:t>
      </w:r>
      <w:r>
        <w:rPr>
          <w:rFonts w:ascii="IRNazanin" w:hAnsi="IRNazanin" w:eastAsia="IRNazanin" w:cs="IRNazanin"/>
          <w:lang w:bidi="fa-IR"/>
          <w:color w:val="111111"/>
          <w:sz w:val="28"/>
          <w:szCs w:val="28"/>
          <w:rtl/>
        </w:rPr>
        <w:t xml:space="preserve">سم [ ف : 12-130]</w:t>
      </w:r>
    </w:p>
    <w:p>
      <w:pPr>
        <w:pStyle w:val="BookText"/>
      </w:pPr>
      <w:r>
        <w:rPr>
          <w:rFonts w:ascii="IRNazanin" w:hAnsi="IRNazanin" w:eastAsia="IRNazanin" w:cs="IRNazanin"/>
          <w:lang w:bidi="fa-IR"/>
          <w:color w:val="111111"/>
          <w:sz w:val="28"/>
          <w:szCs w:val="28"/>
          <w:rtl/>
        </w:rPr>
        <w:t xml:space="preserve">قم؛ مرعشی؛ شماره نسخه: 1280/2</w:t>
      </w:r>
    </w:p>
    <w:p>
      <w:pPr>
        <w:pStyle w:val="BookText"/>
      </w:pPr>
      <w:r>
        <w:rPr>
          <w:rFonts w:ascii="IRNazanin" w:hAnsi="IRNazanin" w:eastAsia="IRNazanin" w:cs="IRNazanin"/>
          <w:lang w:bidi="fa-IR"/>
          <w:color w:val="111111"/>
          <w:sz w:val="28"/>
          <w:szCs w:val="28"/>
          <w:rtl/>
        </w:rPr>
        <w:t xml:space="preserve">نسخه اصل: همان نسخه بالا [عکسی ف: 3 - 629]</w:t>
      </w:r>
    </w:p>
    <w:p>
      <w:pPr>
        <w:pStyle w:val="Heading3"/>
      </w:pPr>
      <w:bookmarkStart w:id="744" w:name="_Toc266"/>
      <w:r>
        <w:t>ازهار گلشن = درة التاج = شرح گلشن راز / عرفان وتصوف، شعر / فارسی</w:t>
      </w:r>
      <w:bookmarkEnd w:id="744"/>
    </w:p>
    <w:p>
      <w:pPr>
        <w:pStyle w:val="BookText"/>
      </w:pPr>
      <w:r>
        <w:rPr>
          <w:rFonts w:ascii="Times New Roman" w:hAnsi="Times New Roman" w:eastAsia="Times New Roman" w:cs="Times New Roman"/>
          <w:lang w:val="en-US" w:bidi="en-US"/>
          <w:color w:val="111111"/>
          <w:sz w:val="28"/>
          <w:szCs w:val="28"/>
          <w:rtl/>
        </w:rPr>
        <w:t xml:space="preserve">azhār-e golšan = dorrat-ot-tāj = s.-e golšan-e rāz</w:t>
      </w:r>
    </w:p>
    <w:p>
      <w:pPr>
        <w:pStyle w:val="BookText"/>
      </w:pPr>
      <w:r>
        <w:rPr>
          <w:rFonts w:ascii="IRNazanin" w:hAnsi="IRNazanin" w:eastAsia="IRNazanin" w:cs="IRNazanin"/>
          <w:lang w:bidi="fa-IR"/>
          <w:color w:val="111111"/>
          <w:sz w:val="28"/>
          <w:szCs w:val="28"/>
          <w:rtl/>
        </w:rPr>
        <w:t xml:space="preserve">؟ گلشنی بردعی ابراهیم بن محمد، 830-940 قمرى</w:t>
      </w:r>
    </w:p>
    <w:p>
      <w:pPr>
        <w:pStyle w:val="BookText"/>
      </w:pPr>
      <w:r>
        <w:rPr>
          <w:rFonts w:ascii="Times New Roman" w:hAnsi="Times New Roman" w:eastAsia="Times New Roman" w:cs="Times New Roman"/>
          <w:lang w:val="en-US" w:bidi="en-US"/>
          <w:color w:val="111111"/>
          <w:sz w:val="28"/>
          <w:szCs w:val="28"/>
          <w:rtl/>
        </w:rPr>
        <w:t xml:space="preserve">(1534-golšanī barda‘ī, ebrāhīm ebn-e mohammad (1427 -</w:t>
      </w:r>
    </w:p>
    <w:p>
      <w:pPr>
        <w:pStyle w:val="BookText"/>
      </w:pPr>
      <w:r>
        <w:rPr>
          <w:rFonts w:ascii="IRNazanin" w:hAnsi="IRNazanin" w:eastAsia="IRNazanin" w:cs="IRNazanin"/>
          <w:lang w:bidi="fa-IR"/>
          <w:color w:val="111111"/>
          <w:sz w:val="28"/>
          <w:szCs w:val="28"/>
          <w:rtl/>
        </w:rPr>
        <w:t xml:space="preserve">وابسته به: گلشن راز = گلشن الاسرار = گلشن محمودی، شبستری، محمود بن عبدالكريم (687-720)</w:t>
      </w:r>
    </w:p>
    <w:p>
      <w:pPr>
        <w:pStyle w:val="BookText"/>
      </w:pPr>
      <w:r>
        <w:rPr>
          <w:rFonts w:ascii="IRNazanin" w:hAnsi="IRNazanin" w:eastAsia="IRNazanin" w:cs="IRNazanin"/>
          <w:lang w:bidi="fa-IR"/>
          <w:color w:val="111111"/>
          <w:sz w:val="28"/>
          <w:szCs w:val="28"/>
          <w:rtl/>
        </w:rPr>
        <w:t xml:space="preserve">منظومه ای است عرفانی بر وزن و شیوه «گلشن راز» شبستری شامل یک دیباچه منظوم که سراینده در آن سبب نظم کتاب به روش «گلشن راز» بیان کرده و نامگذاری آن را توسط امیر بدرالدین احمد بن محمد حسنی حسینی لاله (-872ق)  سر سلسله خاندان سادات لاله ذکر نموده است که از ابیات زیر مستفاد می شود: «رسانیدش همایون بخت عالی *** بعالی مجلسی ز اهل معالی / شه ملک صفا مرآة اصفی*** امیر مجلس جام مصفى / عبای آل احمد را طراز او *** نوای کام جان اهل راز او / چون لاله سرخ ازو رخساره آل *** زفقرش بر جمال لاله گون خال/ گلی از لاله زار باغ احمد*** مسمی احمد آل محمد» نام کتاب که از بیت زیر کاملاًروشن است و ناظم اشعار هم به دلیل بیت زیر تخلصش گلشن بوده است. «بنامش زد رقم ازهار گلشن *** که هست او چون گل گلزار گلشن / ز گلشن اندرو گلها شکفته است*** که تا اکنون کسی دیگر نگفته است» و نام شاعر از این بیت به دست می آید: «خداوندا بعز آل يسين *** ببخشا جرم ابراهيم مسکین در شرح حال ابراهیم گلشنی در تذکره ها و دیگر کتب به جز «الذریعه»، مثنوی «ازهار گلشن» به او نسبت داده نشده است. در «هدية العارفين» ضمن آثار گلشنی منظومه فارسی در تصوف و پندنامه منظوم فارسی را نام می برد که شاید یکی از این دو منظومه همین «ازهار گلشن» باشد و در تاریخ نظم و نثر در ایران تألیف سعید نفیسی می نویسد: «چندین مثنوی از او مانده است از آنجمله معنوی الخفی». به هر حال آنچه مسلم است این اولین اثر منظوم شاعر است چون خود گوید: «نخستین نظم بود این درة التاج *** که در درج عبارت کردم ادراج / مرا عذری درین نقش جریده است </w:t>
      </w:r>
      <w:r>
        <w:rPr>
          <w:rFonts w:ascii="IRNazanin" w:hAnsi="IRNazanin" w:eastAsia="IRNazanin" w:cs="IRNazanin"/>
          <w:lang w:bidi="fa-IR"/>
          <w:color w:val="111111"/>
          <w:sz w:val="28"/>
          <w:szCs w:val="28"/>
          <w:b w:val="1"/>
          <w:bCs w:val="1"/>
          <w:i w:val="1"/>
          <w:iCs w:val="1"/>
          <w:rtl/>
        </w:rPr>
        <w:t xml:space="preserve">که خنگ نظم من جولان ندیده است / اگر در معنیش باشد خطایی *** برو از مغفرت پوشد عطایی دیگر اینکه پس از گذشت جوانی شروع به نظم این مثنوی نموده است چنانکه :گوید زمان قوت و عهد جوانی *** همه رفت اندر آمال و امانی / گهی غم خوردن این بیش و آن کم *** بحل عقده کردن عقده محکم/ گهی با علم رسم صعب و از سهل *** نمک بر ریش دل پاشیده از جهل / چو دست روزگار اندر زد و برد *** شعار موی رویم ساخت چون برد / شب عمر الفت روز اجل یافت</w:t>
      </w:r>
      <w:r>
        <w:rPr>
          <w:rFonts w:ascii="IRNazanin" w:hAnsi="IRNazanin" w:eastAsia="IRNazanin" w:cs="IRNazanin"/>
          <w:lang w:bidi="fa-IR"/>
          <w:color w:val="111111"/>
          <w:sz w:val="28"/>
          <w:szCs w:val="28"/>
          <w:rtl/>
        </w:rPr>
        <w:t xml:space="preserve"> سیاه اسفید موی سر بهم تافت / از این آیات روشن و ین دلالات *** مرا شد در درون تغییر حالات / زبستان سخن گیرم بری چند *** بنظم آرم ز معنی گوهری چند بنابراین مثنوی «ازهار گلشن» بایستی در اواخر عمر امیر بدرالدین احمد لاله سروده شده باشد یعنی بین 868 تا 872 که شاعر حدود چهل سال داشته است. این منظومه پس از دیباچه همان طور که گذشت به روش «گلشن راز» با عنوان های سؤال و جواب ،و تمثیل ،اشارت تذکره و شرح بعضی از آیات قرآن و احادیث نبوی است و 1380 بیت است.</w:t>
      </w:r>
    </w:p>
    <w:p>
      <w:pPr>
        <w:pStyle w:val="BookText"/>
      </w:pPr>
      <w:r>
        <w:rPr>
          <w:rFonts w:ascii="IRNazanin" w:hAnsi="IRNazanin" w:eastAsia="IRNazanin" w:cs="IRNazanin"/>
          <w:lang w:bidi="fa-IR"/>
          <w:color w:val="111111"/>
          <w:sz w:val="28"/>
          <w:szCs w:val="28"/>
          <w:rtl/>
        </w:rPr>
        <w:t xml:space="preserve">آغاز: بنام آنکه از انوار هستی *** دو عالم را بلندی داد و پستی / بفيض عام خویش از رشح یکجام *** دو گیتی را نهاد آغاز *** و انجام/ ز نظم ار چه کتب دیدم *** نه چون گلشن گلی بی خار / دیدم / بگل چینی در آن گلشن زدم دست *** اگر چه بود دست نطق از آن چیست / برای بلبل نطق نواساز *** بدست آمد گلی زان گلشن راز بطرز گلشن اندر سئوالات *** بوفق اصطلاح اهل حالات / بنامش زد قدم ازهار گلشن *** که هست او خود گل گلزار گلشن / ز گلشن اندرو گلشن شکفته است *** که تا اکنون کسی دیگر نگفته است / گل بستان گلشن بد نباشد *** در دریای روشن بد نباشد / سزد کافتد ببحر گلشن راز *** که قطره سوى بحر خود شود باز / نخستین نظم بود این درة التاج *** که در درج عبارت کردم ادراج</w:t>
      </w:r>
    </w:p>
    <w:p>
      <w:pPr>
        <w:pStyle w:val="BookText"/>
      </w:pPr>
      <w:r>
        <w:rPr>
          <w:rFonts w:ascii="IRNazanin" w:hAnsi="IRNazanin" w:eastAsia="IRNazanin" w:cs="IRNazanin"/>
          <w:lang w:bidi="fa-IR"/>
          <w:color w:val="111111"/>
          <w:sz w:val="28"/>
          <w:szCs w:val="28"/>
          <w:rtl/>
        </w:rPr>
        <w:t xml:space="preserve">انجام: از آن در دست این درهای و هاج *** از آن درها یکی این درة التاج / بپا کان ختم کن گنج حیاتش *** رسان در زمره اهل تجاتش / غرض آنست کزین گونه دعائی *** بیارد بر زبان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87" w:name="pg20365_260112"/>
    <w:bookmarkEnd w:id="87"/>
    <w:p>
      <w:pPr>
        <w:pStyle w:val="BookText"/>
      </w:pPr>
      <w:r>
        <w:rPr>
          <w:rFonts w:ascii="IRNazanin" w:hAnsi="IRNazanin" w:eastAsia="IRNazanin" w:cs="IRNazanin"/>
          <w:lang w:bidi="fa-IR"/>
          <w:color w:val="111111"/>
          <w:sz w:val="28"/>
          <w:szCs w:val="28"/>
          <w:rtl/>
        </w:rPr>
        <w:t xml:space="preserve">اهل وفائی / بماند یاد خیری در میانه *** نمانم من بماند ! فسانه / چه میگویم غرض چبود در این راه *** ز هر میل و غرم استغفر الله</w:t>
      </w:r>
    </w:p>
    <w:p>
      <w:pPr>
        <w:pStyle w:val="BookText"/>
      </w:pPr>
      <w:r>
        <w:rPr>
          <w:rFonts w:ascii="IRNazanin" w:hAnsi="IRNazanin" w:eastAsia="IRNazanin" w:cs="IRNazanin"/>
          <w:lang w:bidi="fa-IR"/>
          <w:color w:val="111111"/>
          <w:sz w:val="28"/>
          <w:szCs w:val="28"/>
          <w:rtl/>
        </w:rPr>
        <w:t xml:space="preserve">چاپ: با تحقیق آقای جلیل ،تجلیل، قم، انتشارات دار الثقلين</w:t>
      </w:r>
    </w:p>
    <w:p>
      <w:pPr>
        <w:pStyle w:val="BookText"/>
      </w:pPr>
      <w:r>
        <w:rPr>
          <w:rFonts w:ascii="IRNazanin" w:hAnsi="IRNazanin" w:eastAsia="IRNazanin" w:cs="IRNazanin"/>
          <w:lang w:bidi="fa-IR"/>
          <w:color w:val="111111"/>
          <w:sz w:val="28"/>
          <w:szCs w:val="28"/>
          <w:rtl/>
        </w:rPr>
        <w:t xml:space="preserve">[نسخه های منزوى 2626/4؛ الذريعة 64/9 و 934 و 113/19؛ فهرستواره منزوی 10/ 134]</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مجلس؛ شماره نسخه:2317</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 قرن 10؛ مصحح، مجدول، مذهب، با سرلوح، روی دو برگ الحاقی آغاز نسخه دو صورت نقاشی مدادی؛ کاغذ: ترمه ،اصفهانی ،جلد: مقوایی 114 ص 13 سطر (6</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اندازه: 11</w:t>
      </w:r>
      <w:r>
        <w:rPr>
          <w:rFonts w:ascii="Times New Roman" w:hAnsi="Times New Roman" w:eastAsia="Times New Roman" w:cs="Times New Roman"/>
          <w:lang w:val="en-US" w:bidi="en-US"/>
          <w:color w:val="111111"/>
          <w:sz w:val="28"/>
          <w:szCs w:val="28"/>
          <w:rtl/>
        </w:rPr>
        <w:t xml:space="preserve">×18/5</w:t>
      </w:r>
      <w:r>
        <w:rPr>
          <w:rFonts w:ascii="IRNazanin" w:hAnsi="IRNazanin" w:eastAsia="IRNazanin" w:cs="IRNazanin"/>
          <w:lang w:bidi="fa-IR"/>
          <w:color w:val="111111"/>
          <w:sz w:val="28"/>
          <w:szCs w:val="28"/>
          <w:rtl/>
        </w:rPr>
        <w:t xml:space="preserve">سم [ف: 8 - 1]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تبریز؛ ملی؛ شماره نسخه: 3232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11ق؛ یادداشت تملک: «نسخه شریفه را از ورثه آقا میر غفور مرحوم گرفته از ناظران التماس دعا دارم» با مهر «یا جلال» و «عبده جلال الدين الحسینی» ؛جلد: چرمی ، تریاکی، 66گ، 11 سطر ، اندازه: 13/5</w:t>
      </w:r>
      <w:r>
        <w:rPr>
          <w:rFonts w:ascii="Times New Roman" w:hAnsi="Times New Roman" w:eastAsia="Times New Roman" w:cs="Times New Roman"/>
          <w:lang w:val="en-US" w:bidi="en-US"/>
          <w:color w:val="111111"/>
          <w:sz w:val="28"/>
          <w:szCs w:val="28"/>
          <w:rtl/>
        </w:rPr>
        <w:t xml:space="preserve">×19/5</w:t>
      </w:r>
      <w:r>
        <w:rPr>
          <w:rFonts w:ascii="IRNazanin" w:hAnsi="IRNazanin" w:eastAsia="IRNazanin" w:cs="IRNazanin"/>
          <w:lang w:bidi="fa-IR"/>
          <w:color w:val="111111"/>
          <w:sz w:val="28"/>
          <w:szCs w:val="28"/>
          <w:rtl/>
        </w:rPr>
        <w:t xml:space="preserve">سم [ف: 1-50]</w:t>
      </w:r>
    </w:p>
    <w:p>
      <w:pPr>
        <w:pStyle w:val="BookText"/>
      </w:pPr>
      <w:r>
        <w:rPr>
          <w:rFonts w:ascii="IRNazanin" w:hAnsi="IRNazanin" w:eastAsia="IRNazanin" w:cs="IRNazanin"/>
          <w:lang w:bidi="fa-IR"/>
          <w:color w:val="111111"/>
          <w:sz w:val="28"/>
          <w:szCs w:val="28"/>
          <w:rtl/>
        </w:rPr>
        <w:t xml:space="preserve">تهران؛ دانشگاه؛ شماره نسخه 3232/1-ف</w:t>
      </w:r>
    </w:p>
    <w:p>
      <w:pPr>
        <w:pStyle w:val="BookText"/>
      </w:pPr>
      <w:r>
        <w:rPr>
          <w:rFonts w:ascii="Amiri" w:hAnsi="Amiri" w:eastAsia="Amiri" w:cs="Amiri"/>
          <w:lang w:bidi="ar-SA"/>
          <w:color w:val="111111"/>
          <w:sz w:val="28"/>
          <w:szCs w:val="28"/>
          <w:rtl/>
        </w:rPr>
        <w:t xml:space="preserve">نسخه اصل: همان نسخه بالا [فيلم ها - ف: 2 - 104]</w:t>
      </w:r>
    </w:p>
    <w:p>
      <w:pPr>
        <w:pStyle w:val="BookText"/>
      </w:pPr>
      <w:r>
        <w:rPr>
          <w:rFonts w:ascii="IRNazanin" w:hAnsi="IRNazanin" w:eastAsia="IRNazanin" w:cs="IRNazanin"/>
          <w:lang w:bidi="fa-IR"/>
          <w:color w:val="111111"/>
          <w:sz w:val="28"/>
          <w:szCs w:val="28"/>
          <w:rtl/>
        </w:rPr>
        <w:t xml:space="preserve">3.تهران؛ مجلس؛ شماره نسخه: 1151/3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شکسته، نستعلیق، بی کا، تا: قرن ،13، کاغذ: فرنگی، جلد: تیماج نیم ضربی، 29 ص (253-281) قطع: خشتی باریک، اندازه:</w:t>
      </w:r>
    </w:p>
    <w:p>
      <w:pPr>
        <w:pStyle w:val="BookText"/>
      </w:pPr>
      <w:r>
        <w:rPr>
          <w:rFonts w:ascii="Times New Roman" w:hAnsi="Times New Roman" w:eastAsia="Times New Roman" w:cs="Times New Roman"/>
          <w:lang w:val="en-US" w:bidi="en-US"/>
          <w:color w:val="111111"/>
          <w:sz w:val="28"/>
          <w:szCs w:val="28"/>
          <w:rtl/>
        </w:rPr>
        <w:t xml:space="preserve">14×22/5 </w:t>
      </w:r>
      <w:r>
        <w:rPr>
          <w:rFonts w:ascii="IRNazanin" w:hAnsi="IRNazanin" w:eastAsia="IRNazanin" w:cs="IRNazanin"/>
          <w:lang w:bidi="fa-IR"/>
          <w:color w:val="111111"/>
          <w:sz w:val="28"/>
          <w:szCs w:val="28"/>
          <w:rtl/>
        </w:rPr>
        <w:t xml:space="preserve">سم [ف: 3 - 405]</w:t>
      </w:r>
    </w:p>
    <w:p>
      <w:pPr>
        <w:pStyle w:val="BookText"/>
      </w:pPr>
      <w:r>
        <w:rPr>
          <w:rFonts w:ascii="IRNazanin" w:hAnsi="IRNazanin" w:eastAsia="IRNazanin" w:cs="IRNazanin"/>
          <w:lang w:bidi="fa-IR"/>
          <w:color w:val="111111"/>
          <w:sz w:val="28"/>
          <w:szCs w:val="28"/>
          <w:rtl/>
        </w:rPr>
        <w:t xml:space="preserve">4.تهران؛ مجلس؛ شماره نسخه: 4289/1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15 ذیحجه 1250ق ،کاغذ ،سپاهانی جلد: تیماج تازه 60گ (2پ - 61ر)، اندازه: 14/579سم [ف: 11 - 1 ]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تهران؛ مفتاح؛ شماره نسخه: 731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نام مؤلف در فهرست ابراهیم مسکین آمده که به قرینه آغاز و انجام نسخه تغییر یافت؛ خط: نستعلیق، بی کا، تا: 1 جمادی الاول 1261ق؛ قطع : رحلی [نشریه: 7 - 217]</w:t>
      </w:r>
    </w:p>
    <w:p>
      <w:pPr>
        <w:pStyle w:val="BookText"/>
      </w:pPr>
      <w:r>
        <w:rPr>
          <w:rFonts w:ascii="IRNazanin" w:hAnsi="IRNazanin" w:eastAsia="IRNazanin" w:cs="IRNazanin"/>
          <w:lang w:bidi="fa-IR"/>
          <w:color w:val="111111"/>
          <w:sz w:val="28"/>
          <w:szCs w:val="28"/>
          <w:rtl/>
        </w:rPr>
        <w:t xml:space="preserve">6.قم؛ گلپایگانی؛ شماره نسخه: 1224-7/124</w:t>
      </w:r>
    </w:p>
    <w:p>
      <w:pPr>
        <w:pStyle w:val="BookText"/>
      </w:pPr>
      <w:r>
        <w:rPr>
          <w:rFonts w:ascii="IRNazanin" w:hAnsi="IRNazanin" w:eastAsia="IRNazanin" w:cs="IRNazanin"/>
          <w:lang w:bidi="fa-IR"/>
          <w:color w:val="111111"/>
          <w:sz w:val="28"/>
          <w:szCs w:val="28"/>
          <w:rtl/>
        </w:rPr>
        <w:t xml:space="preserve">آغاز و انجام: برابر؛ قد تم دیوان ابراهیم ادهم</w:t>
      </w:r>
    </w:p>
    <w:p>
      <w:pPr>
        <w:pStyle w:val="BookText"/>
      </w:pPr>
      <w:r>
        <w:rPr>
          <w:rFonts w:ascii="IRNazanin" w:hAnsi="IRNazanin" w:eastAsia="IRNazanin" w:cs="IRNazanin"/>
          <w:lang w:bidi="fa-IR"/>
          <w:color w:val="111111"/>
          <w:sz w:val="28"/>
          <w:szCs w:val="28"/>
          <w:rtl/>
        </w:rPr>
        <w:t xml:space="preserve">خط: نستعلیق بی کا، تا: ذیحجه 1284ق؛ محشی ؛جلد: تیماج سرخ مجدول، 49گ، 15 سطر، اندازه: 14/5</w:t>
      </w:r>
      <w:r>
        <w:rPr>
          <w:rFonts w:ascii="Times New Roman" w:hAnsi="Times New Roman" w:eastAsia="Times New Roman" w:cs="Times New Roman"/>
          <w:lang w:val="en-US" w:bidi="en-US"/>
          <w:color w:val="111111"/>
          <w:sz w:val="28"/>
          <w:szCs w:val="28"/>
          <w:rtl/>
        </w:rPr>
        <w:t xml:space="preserve">×20/5</w:t>
      </w:r>
      <w:r>
        <w:rPr>
          <w:rFonts w:ascii="IRNazanin" w:hAnsi="IRNazanin" w:eastAsia="IRNazanin" w:cs="IRNazanin"/>
          <w:lang w:bidi="fa-IR"/>
          <w:color w:val="111111"/>
          <w:sz w:val="28"/>
          <w:szCs w:val="28"/>
          <w:rtl/>
        </w:rPr>
        <w:t xml:space="preserve">سم [ف: 1 - 321]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تهران؛ دانشگاه؛ شماره نسخه: 4802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در فهرست نام کتاب «درة التاج »و نام مؤلف «ابراهیم ادهم صفوی» ذکر شده ؛خط: نستعلیق بی کا، تا: قرن 14؛ کاغذ: فرنگی، جلد: تیماج قهوه ای ضربی مقوایی، 28گ 20 سطر ،(7</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اندازه: 21</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سم [ف: 14 - 3839]</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تهران؛ مجلس؛ شماره نسخه: 1494/2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شکسته، بی کا، تا: 10 صفر 1320ق، جا: تربت حیدریه؛ کاغذ: سفید جلد ،مقوایی عطف تيماج قرمز، 67ص (102-168) [سنا - ف: 2 - 301]</w:t>
      </w:r>
    </w:p>
    <w:p>
      <w:pPr>
        <w:pStyle w:val="Heading3"/>
      </w:pPr>
      <w:bookmarkStart w:id="745" w:name="_Toc267"/>
      <w:r>
        <w:t>ازهار مثنوی و انوار معنوی / ادبیات / فارسی</w:t>
      </w:r>
      <w:bookmarkEnd w:id="745"/>
    </w:p>
    <w:p>
      <w:pPr>
        <w:pStyle w:val="BookText"/>
      </w:pPr>
      <w:r>
        <w:rPr>
          <w:rFonts w:ascii="Times New Roman" w:hAnsi="Times New Roman" w:eastAsia="Times New Roman" w:cs="Times New Roman"/>
          <w:lang w:val="en-US" w:bidi="en-US"/>
          <w:color w:val="111111"/>
          <w:sz w:val="28"/>
          <w:szCs w:val="28"/>
          <w:rtl/>
        </w:rPr>
        <w:t xml:space="preserve">azhār-e masnavī va anvār-e ma‘navī</w:t>
      </w:r>
    </w:p>
    <w:p>
      <w:pPr>
        <w:pStyle w:val="BookText"/>
      </w:pPr>
      <w:r>
        <w:rPr>
          <w:rFonts w:ascii="IRNazanin" w:hAnsi="IRNazanin" w:eastAsia="IRNazanin" w:cs="IRNazanin"/>
          <w:lang w:bidi="fa-IR"/>
          <w:color w:val="111111"/>
          <w:sz w:val="28"/>
          <w:szCs w:val="28"/>
          <w:rtl/>
        </w:rPr>
        <w:t xml:space="preserve">؟ واعظ شیرازی، علاء الدين بن عين الدين</w:t>
      </w:r>
    </w:p>
    <w:p>
      <w:pPr>
        <w:pStyle w:val="BookText"/>
      </w:pPr>
      <w:r>
        <w:rPr>
          <w:rFonts w:ascii="Times New Roman" w:hAnsi="Times New Roman" w:eastAsia="Times New Roman" w:cs="Times New Roman"/>
          <w:lang w:val="en-US" w:bidi="en-US"/>
          <w:color w:val="111111"/>
          <w:sz w:val="28"/>
          <w:szCs w:val="28"/>
          <w:rtl/>
        </w:rPr>
        <w:t xml:space="preserve">vā ez-e šīrāzī, 'ala -od-dīn ebn-e 'ayn-od-dīn</w:t>
      </w:r>
    </w:p>
    <w:p>
      <w:pPr>
        <w:pStyle w:val="BookText"/>
      </w:pPr>
      <w:r>
        <w:rPr>
          <w:rFonts w:ascii="IRNazanin" w:hAnsi="IRNazanin" w:eastAsia="IRNazanin" w:cs="IRNazanin"/>
          <w:lang w:bidi="fa-IR"/>
          <w:color w:val="111111"/>
          <w:sz w:val="28"/>
          <w:szCs w:val="28"/>
          <w:rtl/>
        </w:rPr>
        <w:t xml:space="preserve">وابسته به: مثنوی معنوی = مثنوی مولوی؛ مولوی، جلال الدین محمد بن محمد (604-672)</w:t>
      </w:r>
    </w:p>
    <w:p>
      <w:pPr>
        <w:pStyle w:val="BookText"/>
      </w:pPr>
      <w:r>
        <w:rPr>
          <w:rFonts w:ascii="IRNazanin" w:hAnsi="IRNazanin" w:eastAsia="IRNazanin" w:cs="IRNazanin"/>
          <w:lang w:bidi="fa-IR"/>
          <w:color w:val="111111"/>
          <w:sz w:val="28"/>
          <w:szCs w:val="28"/>
          <w:rtl/>
        </w:rPr>
        <w:t xml:space="preserve">ترجمه عبارات و ابیات عربی و شرح ابیات منتخبه فارسی از مثنوی مولوی است. گمان می رود کتاب همان شرح علاءالدین بن يحيى واعظ شیرازی موسوم به «ازهار مثنوی و انوار معنوی» باشد.</w:t>
      </w:r>
    </w:p>
    <w:p>
      <w:pPr>
        <w:pStyle w:val="BookText"/>
      </w:pPr>
      <w:r>
        <w:rPr>
          <w:rFonts w:ascii="IRNazanin" w:hAnsi="IRNazanin" w:eastAsia="IRNazanin" w:cs="IRNazanin"/>
          <w:lang w:bidi="fa-IR"/>
          <w:color w:val="111111"/>
          <w:sz w:val="28"/>
          <w:szCs w:val="28"/>
          <w:rtl/>
        </w:rPr>
        <w:t xml:space="preserve">[فهرستواره منزوی 58/7]</w:t>
      </w:r>
    </w:p>
    <w:p>
      <w:pPr>
        <w:pStyle w:val="BookText"/>
      </w:pPr>
      <w:r>
        <w:rPr>
          <w:rFonts w:ascii="IRNazanin" w:hAnsi="IRNazanin" w:eastAsia="IRNazanin" w:cs="IRNazanin"/>
          <w:lang w:bidi="fa-IR"/>
          <w:color w:val="111111"/>
          <w:sz w:val="28"/>
          <w:szCs w:val="28"/>
          <w:rtl/>
        </w:rPr>
        <w:t xml:space="preserve">مشهد؛ رضوی؛ شماره نسخه: 744</w:t>
      </w:r>
    </w:p>
    <w:p>
      <w:pPr>
        <w:pStyle w:val="BookText"/>
      </w:pPr>
      <w:r>
        <w:rPr>
          <w:rFonts w:ascii="IRNazanin" w:hAnsi="IRNazanin" w:eastAsia="IRNazanin" w:cs="IRNazanin"/>
          <w:lang w:bidi="fa-IR"/>
          <w:color w:val="111111"/>
          <w:sz w:val="28"/>
          <w:szCs w:val="28"/>
          <w:rtl/>
        </w:rPr>
        <w:t xml:space="preserve">آغاز: آنها که غلبه کنند بر تو حق سبحانه تو را غالب گرداند تا ایشان را؛ انجام: که ما هر آینه او را نگاهداریم از هر چه میترسی تو بر او – ايضا در حکایت مذکور</w:t>
      </w:r>
    </w:p>
    <w:p>
      <w:pPr>
        <w:pStyle w:val="BookText"/>
      </w:pPr>
      <w:r>
        <w:rPr>
          <w:rFonts w:ascii="IRNazanin" w:hAnsi="IRNazanin" w:eastAsia="IRNazanin" w:cs="IRNazanin"/>
          <w:lang w:bidi="fa-IR"/>
          <w:color w:val="111111"/>
          <w:sz w:val="28"/>
          <w:szCs w:val="28"/>
          <w:rtl/>
        </w:rPr>
        <w:t xml:space="preserve">در فهرست با عنوان «شرح مثنوی» آمده و به احتمال ازهار مثنوی دانسته شده ولی در فهرستواره منزوی نام آن چنین است؛ خط: نستعلیق، بی کا، بی تا؛ افتادگی: آغاز، وسط و انجام؛ واقف: قائم مقام؛ 190گ، 17 سطر ، اندازه: 9</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 [ف: 4- 191]</w:t>
      </w:r>
    </w:p>
    <w:p>
      <w:pPr>
        <w:pStyle w:val="Heading3"/>
      </w:pPr>
      <w:bookmarkStart w:id="746" w:name="_Toc268"/>
      <w:r>
        <w:t>الازهار و مجمع الانوار / کلام و اعتقادات / فارسی</w:t>
      </w:r>
      <w:bookmarkEnd w:id="746"/>
    </w:p>
    <w:p>
      <w:pPr>
        <w:pStyle w:val="BookText"/>
      </w:pPr>
      <w:r>
        <w:rPr>
          <w:rFonts w:ascii="Times New Roman" w:hAnsi="Times New Roman" w:eastAsia="Times New Roman" w:cs="Times New Roman"/>
          <w:lang w:val="en-US" w:bidi="en-US"/>
          <w:color w:val="111111"/>
          <w:sz w:val="28"/>
          <w:szCs w:val="28"/>
          <w:rtl/>
        </w:rPr>
        <w:t xml:space="preserve">al-azhār va majma -ol-anvār</w:t>
      </w:r>
    </w:p>
    <w:p>
      <w:pPr>
        <w:pStyle w:val="BookText"/>
      </w:pPr>
      <w:r>
        <w:rPr>
          <w:rFonts w:ascii="IRNazanin" w:hAnsi="IRNazanin" w:eastAsia="IRNazanin" w:cs="IRNazanin"/>
          <w:lang w:bidi="fa-IR"/>
          <w:color w:val="111111"/>
          <w:sz w:val="28"/>
          <w:szCs w:val="28"/>
          <w:rtl/>
        </w:rPr>
        <w:t xml:space="preserve">بهروجی هندی، حسن بن نوح</w:t>
      </w:r>
    </w:p>
    <w:p>
      <w:pPr>
        <w:pStyle w:val="BookText"/>
      </w:pPr>
      <w:r>
        <w:rPr>
          <w:rFonts w:ascii="Times New Roman" w:hAnsi="Times New Roman" w:eastAsia="Times New Roman" w:cs="Times New Roman"/>
          <w:lang w:val="en-US" w:bidi="en-US"/>
          <w:color w:val="111111"/>
          <w:sz w:val="28"/>
          <w:szCs w:val="28"/>
          <w:rtl/>
        </w:rPr>
        <w:t xml:space="preserve">bahraji hendi, hasan ebn-e nuh</w:t>
      </w:r>
    </w:p>
    <w:p>
      <w:pPr>
        <w:pStyle w:val="BookText"/>
      </w:pPr>
      <w:r>
        <w:rPr>
          <w:rFonts w:ascii="IRNazanin" w:hAnsi="IRNazanin" w:eastAsia="IRNazanin" w:cs="IRNazanin"/>
          <w:lang w:bidi="fa-IR"/>
          <w:color w:val="111111"/>
          <w:sz w:val="28"/>
          <w:szCs w:val="28"/>
          <w:rtl/>
        </w:rPr>
        <w:t xml:space="preserve">کتابی در تاریخ اسماعیلیان و چگونگی دعوت و احوال دعاة و ائمه آنان است با فصولی انتخاب شده از کتابهای مهم این فرقه در 7 جلد و در آغاز آن سرگذشت مسافرت مؤلف از هند و کیفیت پیوستن وی به دعوت اسماعیلی آمده است.</w:t>
      </w:r>
    </w:p>
    <w:p>
      <w:pPr>
        <w:pStyle w:val="BookText"/>
      </w:pPr>
      <w:r>
        <w:rPr>
          <w:rFonts w:ascii="IRNazanin" w:hAnsi="IRNazanin" w:eastAsia="IRNazanin" w:cs="IRNazanin"/>
          <w:lang w:bidi="fa-IR"/>
          <w:color w:val="111111"/>
          <w:sz w:val="28"/>
          <w:szCs w:val="28"/>
          <w:rtl/>
        </w:rPr>
        <w:t xml:space="preserve">قم؛ مرعشی؛ شماره نسخه: 3223</w:t>
      </w:r>
    </w:p>
    <w:p>
      <w:pPr>
        <w:pStyle w:val="BookText"/>
      </w:pPr>
      <w:r>
        <w:rPr>
          <w:rFonts w:ascii="Amiri" w:hAnsi="Amiri" w:eastAsia="Amiri" w:cs="Amiri"/>
          <w:lang w:bidi="ar-SA"/>
          <w:color w:val="111111"/>
          <w:sz w:val="28"/>
          <w:szCs w:val="28"/>
          <w:rtl/>
        </w:rPr>
        <w:t xml:space="preserve">آغاز: الحمد لله الذى علم بالقلم علم الانسان ما لم يعلم الذى لم يقبل عملا منه من الامم الا من تلقاء نبيها أو وصيه أو امام من الائمة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88" w:name="pg20365_260113"/>
    <w:bookmarkEnd w:id="88"/>
    <w:p>
      <w:pPr>
        <w:pStyle w:val="BookText"/>
      </w:pPr>
      <w:r>
        <w:rPr>
          <w:rFonts w:ascii="IRNazanin" w:hAnsi="IRNazanin" w:eastAsia="IRNazanin" w:cs="IRNazanin"/>
          <w:lang w:bidi="fa-IR"/>
          <w:color w:val="111111"/>
          <w:sz w:val="28"/>
          <w:szCs w:val="28"/>
          <w:rtl/>
        </w:rPr>
        <w:t xml:space="preserve">جزء اول و دوم؛ خط: نسخ، کا: علی حسین بن عبدالعلی مبار کپوری، تا: چهارشنبه 15 جمادى الثانى 1350ق، جا: برهانی ،جلد: مقوایی عطف پارچه سفید 144گ، 17 سطر ، اندازه: 14</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سم [ف: 9 - 24]</w:t>
      </w:r>
    </w:p>
    <w:p>
      <w:pPr>
        <w:pStyle w:val="Heading3"/>
      </w:pPr>
      <w:bookmarkStart w:id="747" w:name="_Toc269"/>
      <w:r>
        <w:t>ازهاق الباطل / کلام و اعتقادات / عربی</w:t>
      </w:r>
      <w:bookmarkEnd w:id="747"/>
    </w:p>
    <w:p>
      <w:pPr>
        <w:pStyle w:val="BookText"/>
      </w:pPr>
      <w:r>
        <w:rPr>
          <w:rFonts w:ascii="Times New Roman" w:hAnsi="Times New Roman" w:eastAsia="Times New Roman" w:cs="Times New Roman"/>
          <w:lang w:val="en-US" w:bidi="en-US"/>
          <w:color w:val="111111"/>
          <w:sz w:val="28"/>
          <w:szCs w:val="28"/>
          <w:rtl/>
        </w:rPr>
        <w:t xml:space="preserve">izhāq-ul-bāṭil</w:t>
      </w:r>
    </w:p>
    <w:p>
      <w:pPr>
        <w:pStyle w:val="BookText"/>
      </w:pPr>
      <w:r>
        <w:rPr>
          <w:rFonts w:ascii="IRNazanin" w:hAnsi="IRNazanin" w:eastAsia="IRNazanin" w:cs="IRNazanin"/>
          <w:lang w:bidi="fa-IR"/>
          <w:color w:val="111111"/>
          <w:sz w:val="28"/>
          <w:szCs w:val="28"/>
          <w:rtl/>
        </w:rPr>
        <w:t xml:space="preserve">کرمانی، محمد کریم بن ابراهیم 1225-1288 قمری</w:t>
      </w:r>
    </w:p>
    <w:p>
      <w:pPr>
        <w:pStyle w:val="BookText"/>
      </w:pPr>
      <w:r>
        <w:rPr>
          <w:rFonts w:ascii="Times New Roman" w:hAnsi="Times New Roman" w:eastAsia="Times New Roman" w:cs="Times New Roman"/>
          <w:lang w:val="en-US" w:bidi="en-US"/>
          <w:color w:val="111111"/>
          <w:sz w:val="28"/>
          <w:szCs w:val="28"/>
          <w:rtl/>
        </w:rPr>
        <w:t xml:space="preserve">(1771-kermānī, mohammad karīm ebn-e ebrāhīm (1810 -</w:t>
      </w:r>
    </w:p>
    <w:p>
      <w:pPr>
        <w:pStyle w:val="BookText"/>
      </w:pPr>
      <w:r>
        <w:rPr>
          <w:rFonts w:ascii="IRNazanin" w:hAnsi="IRNazanin" w:eastAsia="IRNazanin" w:cs="IRNazanin"/>
          <w:lang w:bidi="fa-IR"/>
          <w:color w:val="111111"/>
          <w:sz w:val="28"/>
          <w:szCs w:val="28"/>
          <w:rtl/>
        </w:rPr>
        <w:t xml:space="preserve">تاریخ تألیف: چهارشنبه 12 رجب 1261ق</w:t>
      </w:r>
    </w:p>
    <w:p>
      <w:pPr>
        <w:pStyle w:val="BookText"/>
      </w:pPr>
      <w:r>
        <w:rPr>
          <w:rFonts w:ascii="IRNazanin" w:hAnsi="IRNazanin" w:eastAsia="IRNazanin" w:cs="IRNazanin"/>
          <w:lang w:bidi="fa-IR"/>
          <w:color w:val="111111"/>
          <w:sz w:val="28"/>
          <w:szCs w:val="28"/>
          <w:rtl/>
        </w:rPr>
        <w:t xml:space="preserve">در رد علی محمد باب در سه «باب» :1. فى ان القرآن كلام صدق لايماثل؛ 2. فى اثبات ان ما ادعاه من الخروج و القتل الجهاد خلاف اجماع الشيعة و نصوصهم؛3 . فى علامات النقبا و النجباء در آن از استادش سید کاظم رشتی نقل دارد.</w:t>
      </w:r>
    </w:p>
    <w:p>
      <w:pPr>
        <w:pStyle w:val="BookText"/>
      </w:pPr>
      <w:r>
        <w:rPr>
          <w:rFonts w:ascii="Amiri" w:hAnsi="Amiri" w:eastAsia="Amiri" w:cs="Amiri"/>
          <w:lang w:bidi="ar-SA"/>
          <w:color w:val="111111"/>
          <w:sz w:val="28"/>
          <w:szCs w:val="28"/>
          <w:rtl/>
        </w:rPr>
        <w:t xml:space="preserve">آغاز: الحمدلله حمداً يذر حمد الحامدين ورائه و يملأ اطباق ارضه و سمائه حمدا فوقه و لا كلام ولا غاية دونه ولامرام حمدا ليس له حد محدود</w:t>
      </w:r>
    </w:p>
    <w:p>
      <w:pPr>
        <w:pStyle w:val="BookText"/>
      </w:pPr>
      <w:r>
        <w:rPr>
          <w:rFonts w:ascii="IRNazanin" w:hAnsi="IRNazanin" w:eastAsia="IRNazanin" w:cs="IRNazanin"/>
          <w:lang w:bidi="fa-IR"/>
          <w:color w:val="111111"/>
          <w:sz w:val="28"/>
          <w:szCs w:val="28"/>
          <w:rtl/>
        </w:rPr>
        <w:t xml:space="preserve">انجام: و الاستشهاد بالايات و الاثار الكثيرةواقتصرت على ما كتبت و لاحول ولاقوة الا بالله العلى العظيم... وصلى الله علی محمد و آله الطاهرين</w:t>
      </w:r>
    </w:p>
    <w:p>
      <w:pPr>
        <w:pStyle w:val="BookText"/>
      </w:pPr>
      <w:r>
        <w:rPr>
          <w:rFonts w:ascii="IRNazanin" w:hAnsi="IRNazanin" w:eastAsia="IRNazanin" w:cs="IRNazanin"/>
          <w:lang w:bidi="fa-IR"/>
          <w:color w:val="111111"/>
          <w:sz w:val="28"/>
          <w:szCs w:val="28"/>
          <w:rtl/>
        </w:rPr>
        <w:t xml:space="preserve">چاپ ،ایران ،1277ق ،سنگی جیبی؛ کرمان 1351ق، سنگی ، عربی</w:t>
      </w:r>
    </w:p>
    <w:p>
      <w:pPr>
        <w:pStyle w:val="BookText"/>
      </w:pPr>
      <w:r>
        <w:rPr>
          <w:rFonts w:ascii="IRNazanin" w:hAnsi="IRNazanin" w:eastAsia="IRNazanin" w:cs="IRNazanin"/>
          <w:lang w:bidi="fa-IR"/>
          <w:color w:val="111111"/>
          <w:sz w:val="28"/>
          <w:szCs w:val="28"/>
          <w:rtl/>
        </w:rPr>
        <w:t xml:space="preserve">[الذريعة 536/1؛ فهرست کتب احسائى ص 176؛ مشار فارسی 1/ 256؛ فهرستواره منزوی 84/9 ]</w:t>
      </w:r>
    </w:p>
    <w:p>
      <w:pPr>
        <w:pStyle w:val="BookText"/>
      </w:pPr>
      <w:r>
        <w:rPr>
          <w:rFonts w:ascii="IRNazanin" w:hAnsi="IRNazanin" w:eastAsia="IRNazanin" w:cs="IRNazanin"/>
          <w:lang w:bidi="fa-IR"/>
          <w:color w:val="111111"/>
          <w:sz w:val="28"/>
          <w:szCs w:val="28"/>
          <w:rtl/>
        </w:rPr>
        <w:t xml:space="preserve">1 . تهران؛ سپهسالار؛ شماره نسخه: 2809/1</w:t>
      </w:r>
    </w:p>
    <w:p>
      <w:pPr>
        <w:pStyle w:val="BookText"/>
      </w:pPr>
      <w:r>
        <w:rPr>
          <w:rFonts w:ascii="Amiri" w:hAnsi="Amiri" w:eastAsia="Amiri" w:cs="Amiri"/>
          <w:lang w:bidi="ar-SA"/>
          <w:color w:val="111111"/>
          <w:sz w:val="28"/>
          <w:szCs w:val="28"/>
          <w:rtl/>
        </w:rPr>
        <w:t xml:space="preserve">آغاز: برابر ؛ انجام: فى الحياة الدنيا و الآخرة. وقد وقع الفراغ من تأليفها و تسويدها في يوم الاربعاء 12 رجب 1261 ق. حامدا مصليا.</w:t>
      </w:r>
    </w:p>
    <w:p>
      <w:pPr>
        <w:pStyle w:val="BookText"/>
      </w:pPr>
      <w:r>
        <w:rPr>
          <w:rFonts w:ascii="IRNazanin" w:hAnsi="IRNazanin" w:eastAsia="IRNazanin" w:cs="IRNazanin"/>
          <w:lang w:bidi="fa-IR"/>
          <w:color w:val="111111"/>
          <w:sz w:val="28"/>
          <w:szCs w:val="28"/>
          <w:rtl/>
        </w:rPr>
        <w:t xml:space="preserve">کا: حاج محمد کریمخان، تا: چهارشنبه 12 رجب 1261ق؛ كاغذ: فرنگی ،جلد: تیماج سبز مقوایی ضربی کناره سرخ، 77ص ( 1- 77)، 18 سطر ، اندازه: 12/5</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3 - 113]</w:t>
      </w:r>
    </w:p>
    <w:p>
      <w:pPr>
        <w:pStyle w:val="BookText"/>
      </w:pPr>
      <w:r>
        <w:rPr>
          <w:rFonts w:ascii="IRNazanin" w:hAnsi="IRNazanin" w:eastAsia="IRNazanin" w:cs="IRNazanin"/>
          <w:lang w:bidi="fa-IR"/>
          <w:color w:val="111111"/>
          <w:sz w:val="28"/>
          <w:szCs w:val="28"/>
          <w:rtl/>
        </w:rPr>
        <w:t xml:space="preserve">یزد؛ وزیری؛ شماره نسخه: 2143</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کامل؛ خط: نسخ، کا: ابراهیم بن حاج محمد علی یزدی، تا:شوال 1264ق؛ اهدایی موسس ،کاغذ ،فرنگی، 86گ ، 19 سطر (8</w:t>
      </w: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[ف 4 - 1178]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سپهسالار؛ شماره نسخه:6308</w:t>
      </w:r>
    </w:p>
    <w:p>
      <w:pPr>
        <w:pStyle w:val="BookText"/>
      </w:pPr>
      <w:r>
        <w:rPr>
          <w:rFonts w:ascii="IRNazanin" w:hAnsi="IRNazanin" w:eastAsia="IRNazanin" w:cs="IRNazanin"/>
          <w:lang w:bidi="fa-IR"/>
          <w:color w:val="111111"/>
          <w:sz w:val="28"/>
          <w:szCs w:val="28"/>
          <w:rtl/>
        </w:rPr>
        <w:t xml:space="preserve">خط: نسخ، کا :محمد جواد بن حسن حسینی خراسانی، یک شنبه 7 شوال 1265ق؛ جا: تهران ؛کاغذ: فرنگی ،سفید، جلد: تیماج سبز یک لا ،ضربی 128 گ 15 سطر ، اندازه: 11</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سم[ف: 3 - 114]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تهران؛ دائرة المعارف؛ شماره نسخه: 497</w:t>
      </w:r>
    </w:p>
    <w:p>
      <w:pPr>
        <w:pStyle w:val="BookText"/>
      </w:pPr>
      <w:r>
        <w:rPr>
          <w:rFonts w:ascii="Amiri" w:hAnsi="Amiri" w:eastAsia="Amiri" w:cs="Amiri"/>
          <w:lang w:bidi="ar-SA"/>
          <w:color w:val="111111"/>
          <w:sz w:val="28"/>
          <w:szCs w:val="28"/>
          <w:rtl/>
        </w:rPr>
        <w:t xml:space="preserve">آغاز: برابر؛ انجام: القول الثابت فى حياة الدنيا و في الاخرة و قد وقع الفراغ من تصنيف هذه الرسالة [12 رجب 1261] حامداً مصلياً مستغفراً وصلى الله على محمد و آله الطاهرين. تمت.</w:t>
      </w:r>
    </w:p>
    <w:p>
      <w:pPr>
        <w:pStyle w:val="BookText"/>
      </w:pPr>
      <w:r>
        <w:rPr>
          <w:rFonts w:ascii="IRNazanin" w:hAnsi="IRNazanin" w:eastAsia="IRNazanin" w:cs="IRNazanin"/>
          <w:lang w:bidi="fa-IR"/>
          <w:color w:val="111111"/>
          <w:sz w:val="28"/>
          <w:szCs w:val="28"/>
          <w:rtl/>
        </w:rPr>
        <w:t xml:space="preserve">خط: نسخ  تحریری، کا: علی بن محمد ابراهیمی، تا: غره جمادی الثاني 1270ق؛ کاغذ: نخودی ،فرنگی، جلد: تیماج مشکی یک لا، مجدول، 106گ، 16 سطر (6/5</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اندازه: 11</w:t>
      </w:r>
      <w:r>
        <w:rPr>
          <w:rFonts w:ascii="Times New Roman" w:hAnsi="Times New Roman" w:eastAsia="Times New Roman" w:cs="Times New Roman"/>
          <w:lang w:val="en-US" w:bidi="en-US"/>
          <w:color w:val="111111"/>
          <w:sz w:val="28"/>
          <w:szCs w:val="28"/>
          <w:rtl/>
        </w:rPr>
        <w:t xml:space="preserve">×17/5</w:t>
      </w:r>
      <w:r>
        <w:rPr>
          <w:rFonts w:ascii="IRNazanin" w:hAnsi="IRNazanin" w:eastAsia="IRNazanin" w:cs="IRNazanin"/>
          <w:lang w:bidi="fa-IR"/>
          <w:color w:val="111111"/>
          <w:sz w:val="28"/>
          <w:szCs w:val="28"/>
          <w:rtl/>
        </w:rPr>
        <w:t xml:space="preserve">سم [ف: 1 - 16]</w:t>
      </w:r>
    </w:p>
    <w:p>
      <w:pPr>
        <w:pStyle w:val="BookText"/>
      </w:pPr>
      <w:r>
        <w:rPr>
          <w:rFonts w:ascii="IRNazanin" w:hAnsi="IRNazanin" w:eastAsia="IRNazanin" w:cs="IRNazanin"/>
          <w:lang w:bidi="fa-IR"/>
          <w:color w:val="111111"/>
          <w:sz w:val="28"/>
          <w:szCs w:val="28"/>
          <w:rtl/>
        </w:rPr>
        <w:t xml:space="preserve">5.قم؛ معصومیه؛ شماره نسخه: 146/2</w:t>
      </w:r>
    </w:p>
    <w:p>
      <w:pPr>
        <w:pStyle w:val="BookText"/>
      </w:pPr>
      <w:r>
        <w:rPr>
          <w:rFonts w:ascii="Amiri" w:hAnsi="Amiri" w:eastAsia="Amiri" w:cs="Amiri"/>
          <w:lang w:bidi="ar-SA"/>
          <w:color w:val="111111"/>
          <w:sz w:val="28"/>
          <w:szCs w:val="28"/>
          <w:rtl/>
        </w:rPr>
        <w:t xml:space="preserve">آغاز: برابر؛ انجام :و لما كان القلب مشغولا بالتهيؤ بالسفر الى مشهد الرضا عليه السلام و كان متبلبلا لم يسعنى التفصيل.</w:t>
      </w:r>
    </w:p>
    <w:p>
      <w:pPr>
        <w:pStyle w:val="BookText"/>
      </w:pPr>
      <w:r>
        <w:rPr>
          <w:rFonts w:ascii="IRNazanin" w:hAnsi="IRNazanin" w:eastAsia="IRNazanin" w:cs="IRNazanin"/>
          <w:lang w:bidi="fa-IR"/>
          <w:color w:val="111111"/>
          <w:sz w:val="28"/>
          <w:szCs w:val="28"/>
          <w:rtl/>
        </w:rPr>
        <w:t xml:space="preserve">خط: نسخ، کا: محمد کاظم بن محمد رحیم، تا: 25 محرم 1271ق؛ جلد: شميز عطف تیماج ،قرمز، 73گ (50ر- 123پ):اندازه: 15/5</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 [ف: 1 - 167]</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قم گلپایگانی؛ شماره نسخه: 6960/2-35/140</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محمد بن محمدصادق مشهور به جناب، تا: پنج شنبه 25 ذیقعده 1298ق؛ مصحح، دارای علامت بلاغ؛ جلد: تیماج یشمی 98گ 15 سطر ، اندازه: 11</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[ف: 1 - 273]</w:t>
      </w:r>
    </w:p>
    <w:p>
      <w:pPr>
        <w:pStyle w:val="BookText"/>
      </w:pPr>
      <w:r>
        <w:rPr>
          <w:rFonts w:ascii="IRNazanin" w:hAnsi="IRNazanin" w:eastAsia="IRNazanin" w:cs="IRNazanin"/>
          <w:lang w:bidi="fa-IR"/>
          <w:color w:val="111111"/>
          <w:sz w:val="28"/>
          <w:szCs w:val="28"/>
          <w:rtl/>
        </w:rPr>
        <w:t xml:space="preserve">7.تهران؛ مجلس؛ شماره نسخه: 2751/2</w:t>
      </w:r>
    </w:p>
    <w:p>
      <w:pPr>
        <w:pStyle w:val="BookText"/>
      </w:pPr>
      <w:r>
        <w:rPr>
          <w:rFonts w:ascii="IRNazanin" w:hAnsi="IRNazanin" w:eastAsia="IRNazanin" w:cs="IRNazanin"/>
          <w:lang w:bidi="fa-IR"/>
          <w:color w:val="111111"/>
          <w:sz w:val="28"/>
          <w:szCs w:val="28"/>
          <w:rtl/>
        </w:rPr>
        <w:t xml:space="preserve">آغاز: برابر؛ انجام: المومنين بالقول الثابت في حياة الدنيا و في الاخرة و قد وقع الفراغ من تاليف هذه الرسالة و تسويدها في يوم الاربعاء لاثنى عشر خلون من رجب... و كتبه العبد الاثيم الراجي زین العابدين الرضوى امتثالا لامره العالى روحى له الفداء في غرة شهر جمادى الثانى 1262 كا: زين العابدين بن محمد ،رضوی، بی تا، کاغذ ،فرنگی ،جلد ،روغنی 128 ص (13-141) ، 23 سطر ، قطع: وزیری، اندازه: 14</w:t>
      </w:r>
      <w:r>
        <w:rPr>
          <w:rFonts w:ascii="Times New Roman" w:hAnsi="Times New Roman" w:eastAsia="Times New Roman" w:cs="Times New Roman"/>
          <w:lang w:val="en-US" w:bidi="en-US"/>
          <w:color w:val="111111"/>
          <w:sz w:val="28"/>
          <w:szCs w:val="28"/>
          <w:rtl/>
        </w:rPr>
        <w:t xml:space="preserve">×25</w:t>
      </w:r>
      <w:r>
        <w:rPr>
          <w:rFonts w:ascii="IRNazanin" w:hAnsi="IRNazanin" w:eastAsia="IRNazanin" w:cs="IRNazanin"/>
          <w:lang w:bidi="fa-IR"/>
          <w:color w:val="111111"/>
          <w:sz w:val="28"/>
          <w:szCs w:val="28"/>
          <w:rtl/>
        </w:rPr>
        <w:t xml:space="preserve">سم [ف: 9 - 128]</w:t>
      </w:r>
    </w:p>
    <w:p>
      <w:pPr>
        <w:pStyle w:val="Heading3"/>
      </w:pPr>
      <w:bookmarkStart w:id="748" w:name="_Toc270"/>
      <w:r>
        <w:t>ازهاق الباطل / کلام و اعتقادات / فارسی</w:t>
      </w:r>
      <w:bookmarkEnd w:id="748"/>
    </w:p>
    <w:p>
      <w:pPr>
        <w:pStyle w:val="BookText"/>
      </w:pPr>
      <w:r>
        <w:rPr>
          <w:rFonts w:ascii="Times New Roman" w:hAnsi="Times New Roman" w:eastAsia="Times New Roman" w:cs="Times New Roman"/>
          <w:lang w:val="en-US" w:bidi="en-US"/>
          <w:color w:val="111111"/>
          <w:sz w:val="28"/>
          <w:szCs w:val="28"/>
          <w:rtl/>
        </w:rPr>
        <w:t xml:space="preserve">izhāq-ul-bāṭil</w:t>
      </w:r>
    </w:p>
    <w:p>
      <w:pPr>
        <w:pStyle w:val="BookText"/>
      </w:pPr>
      <w:r>
        <w:rPr>
          <w:rFonts w:ascii="IRNazanin" w:hAnsi="IRNazanin" w:eastAsia="IRNazanin" w:cs="IRNazanin"/>
          <w:lang w:bidi="fa-IR"/>
          <w:color w:val="111111"/>
          <w:sz w:val="28"/>
          <w:szCs w:val="28"/>
          <w:rtl/>
        </w:rPr>
        <w:t xml:space="preserve">رساله ای در دفاع از شیخیه</w:t>
      </w:r>
    </w:p>
    <w:p>
      <w:pPr>
        <w:pStyle w:val="BookText"/>
      </w:pPr>
      <w:r>
        <w:rPr>
          <w:rFonts w:ascii="IRNazanin" w:hAnsi="IRNazanin" w:eastAsia="IRNazanin" w:cs="IRNazanin"/>
          <w:lang w:bidi="fa-IR"/>
          <w:color w:val="111111"/>
          <w:sz w:val="28"/>
          <w:szCs w:val="28"/>
          <w:rtl/>
        </w:rPr>
        <w:t xml:space="preserve">مشهد؛ شیخ علی حیدر؛ شماره نسخه: 528/2</w:t>
      </w:r>
    </w:p>
    <w:p>
      <w:pPr>
        <w:pStyle w:val="BookText"/>
      </w:pPr>
      <w:r>
        <w:rPr>
          <w:rFonts w:ascii="Amiri" w:hAnsi="Amiri" w:eastAsia="Amiri" w:cs="Amiri"/>
          <w:lang w:bidi="ar-SA"/>
          <w:color w:val="111111"/>
          <w:sz w:val="28"/>
          <w:szCs w:val="28"/>
          <w:rtl/>
        </w:rPr>
        <w:t xml:space="preserve">آغاز: قل يا ايها الكافريون لا أعبد ما تعبدون و لا انتم عابدون ما اعبد؛ انجام :و شيعتهم و محبيهم و سلم كثيرا والحمدلله رب العالمين</w:t>
      </w:r>
    </w:p>
    <w:p>
      <w:pPr>
        <w:pStyle w:val="BookText"/>
      </w:pPr>
      <w:r>
        <w:rPr>
          <w:rFonts w:ascii="IRNazanin" w:hAnsi="IRNazanin" w:eastAsia="IRNazanin" w:cs="IRNazanin"/>
          <w:lang w:bidi="fa-IR"/>
          <w:color w:val="111111"/>
          <w:sz w:val="28"/>
          <w:szCs w:val="28"/>
          <w:rtl/>
        </w:rPr>
        <w:t xml:space="preserve">خط: نستعلیق، بی کا، تا: 27 شوال و غره ذیقعده 1299ق؛ این کتاب در حاشيه الدرر المنظومة آمده است؛ جلد: چرم زرد، 15 سطر [مؤيد 2 - 30]</w:t>
      </w:r>
    </w:p>
    <w:p>
      <w:pPr>
        <w:pStyle w:val="Heading3"/>
      </w:pPr>
      <w:bookmarkStart w:id="749" w:name="_Toc271"/>
      <w:r>
        <w:t>ازهاق الباطل فى رد شبهة الفرقة الوهابية / كلام و اعتقادات / عربی</w:t>
      </w:r>
      <w:bookmarkEnd w:id="749"/>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89" w:name="pg20365_260114"/>
    <w:bookmarkEnd w:id="89"/>
    <w:p>
      <w:pPr>
        <w:pStyle w:val="BookText"/>
      </w:pPr>
      <w:r>
        <w:rPr>
          <w:rFonts w:ascii="Times New Roman" w:hAnsi="Times New Roman" w:eastAsia="Times New Roman" w:cs="Times New Roman"/>
          <w:lang w:val="en-US" w:bidi="en-US"/>
          <w:color w:val="111111"/>
          <w:sz w:val="28"/>
          <w:szCs w:val="28"/>
          <w:rtl/>
        </w:rPr>
        <w:t xml:space="preserve">izhāq-ul-bāṭil fī radd-i šubhat-il-firqat-il-wahhābīyya</w:t>
      </w:r>
    </w:p>
    <w:p>
      <w:pPr>
        <w:pStyle w:val="BookText"/>
      </w:pPr>
      <w:r>
        <w:rPr>
          <w:rFonts w:ascii="IRNazanin" w:hAnsi="IRNazanin" w:eastAsia="IRNazanin" w:cs="IRNazanin"/>
          <w:lang w:bidi="fa-IR"/>
          <w:color w:val="111111"/>
          <w:sz w:val="28"/>
          <w:szCs w:val="28"/>
          <w:rtl/>
        </w:rPr>
        <w:t xml:space="preserve">امام الحرمین  همدانی، محمد بن عبدالوهاب - 1303 ؟ قمری</w:t>
      </w:r>
    </w:p>
    <w:p>
      <w:pPr>
        <w:pStyle w:val="BookText"/>
      </w:pPr>
      <w:r>
        <w:rPr>
          <w:rFonts w:ascii="Times New Roman" w:hAnsi="Times New Roman" w:eastAsia="Times New Roman" w:cs="Times New Roman"/>
          <w:lang w:val="en-US" w:bidi="en-US"/>
          <w:color w:val="111111"/>
          <w:sz w:val="28"/>
          <w:szCs w:val="28"/>
          <w:rtl/>
        </w:rPr>
        <w:t xml:space="preserve">emām-ol-harameyn-e hamedānī, mohammad ebn-e</w:t>
      </w:r>
    </w:p>
    <w:p>
      <w:pPr>
        <w:pStyle w:val="BookText"/>
      </w:pPr>
      <w:r>
        <w:rPr>
          <w:rFonts w:ascii="Times New Roman" w:hAnsi="Times New Roman" w:eastAsia="Times New Roman" w:cs="Times New Roman"/>
          <w:lang w:val="en-US" w:bidi="en-US"/>
          <w:color w:val="111111"/>
          <w:sz w:val="28"/>
          <w:szCs w:val="28"/>
          <w:rtl/>
        </w:rPr>
        <w:t xml:space="preserve">(abd-ol-vahhāb ( - 1886)</w:t>
      </w:r>
    </w:p>
    <w:p>
      <w:pPr>
        <w:pStyle w:val="BookText"/>
      </w:pPr>
      <w:r>
        <w:rPr>
          <w:rFonts w:ascii="IRNazanin" w:hAnsi="IRNazanin" w:eastAsia="IRNazanin" w:cs="IRNazanin"/>
          <w:lang w:bidi="fa-IR"/>
          <w:color w:val="111111"/>
          <w:sz w:val="28"/>
          <w:szCs w:val="28"/>
          <w:rtl/>
        </w:rPr>
        <w:t xml:space="preserve">آن را به خواهش حاج ملا آقا بزرگ خراسانی در رد وهابیه نگاشته است.</w:t>
      </w:r>
    </w:p>
    <w:p>
      <w:pPr>
        <w:pStyle w:val="BookText"/>
      </w:pPr>
      <w:r>
        <w:rPr>
          <w:rFonts w:ascii="Amiri" w:hAnsi="Amiri" w:eastAsia="Amiri" w:cs="Amiri"/>
          <w:lang w:bidi="ar-SA"/>
          <w:color w:val="111111"/>
          <w:sz w:val="28"/>
          <w:szCs w:val="28"/>
          <w:rtl/>
        </w:rPr>
        <w:t xml:space="preserve">آغاز: بسمله، الحمد لله الذى شرح صدورنا باسرار كتابه... اما بعد فيقول المفتقر الى</w:t>
      </w:r>
    </w:p>
    <w:p>
      <w:pPr>
        <w:pStyle w:val="BookText"/>
      </w:pPr>
      <w:r>
        <w:rPr>
          <w:rFonts w:ascii="Amiri" w:hAnsi="Amiri" w:eastAsia="Amiri" w:cs="Amiri"/>
          <w:lang w:bidi="ar-SA"/>
          <w:color w:val="111111"/>
          <w:sz w:val="28"/>
          <w:szCs w:val="28"/>
          <w:rtl/>
        </w:rPr>
        <w:t xml:space="preserve">انجام: فى ذلك حظا من حظوظ الدنيا فاثره و الله تعالى اعلم. انتهى.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مشهد؛ نواب؛ شماره نسخه: 609/3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خوش، کا: محمد نجف آبادی، تا: ذیقعده 1287 ق؛جا: کاظمین؛ واقف: علیمردان خان تیموری، جلد: تیماج عنابی، 17 سطر (8/5</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 اندازه: 15</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ف: 491]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مشهد؛ مدرسه خیرات خان؛ شماره نسخه: 92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احتمالاً همان نسخه بالا؛ خط: نستعلیق، کا: محمد نجف آبادی،تا: ذیقعده 1287ق، جا: کاظمین؛ در آغاز نسخه تقریظی است از میرزا حسن شیرازی و بعد اجازه حسام الدین ماضی ابن بنت كاشف الغطاء را دارد؛ واقف: نصرة الملك، جلد: تيماج عناب 116گ، 17 سطر (8/5</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 قطع: پستی، اندازه: 15</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ف: 1720]</w:t>
      </w:r>
    </w:p>
    <w:p>
      <w:pPr>
        <w:pStyle w:val="BookText"/>
      </w:pPr>
      <w:r>
        <w:rPr>
          <w:rFonts w:ascii="IRNazanin" w:hAnsi="IRNazanin" w:eastAsia="IRNazanin" w:cs="IRNazanin"/>
          <w:lang w:bidi="fa-IR"/>
          <w:color w:val="111111"/>
          <w:sz w:val="28"/>
          <w:szCs w:val="28"/>
          <w:rtl/>
        </w:rPr>
        <w:t xml:space="preserve">3.قم ؛مرعشی؛ شماره نسخه: 10825</w:t>
      </w:r>
    </w:p>
    <w:p>
      <w:pPr>
        <w:pStyle w:val="BookText"/>
      </w:pPr>
      <w:r>
        <w:rPr>
          <w:rFonts w:ascii="IRNazanin" w:hAnsi="IRNazanin" w:eastAsia="IRNazanin" w:cs="IRNazanin"/>
          <w:lang w:bidi="fa-IR"/>
          <w:color w:val="111111"/>
          <w:sz w:val="28"/>
          <w:szCs w:val="28"/>
          <w:rtl/>
        </w:rPr>
        <w:t xml:space="preserve">خط: نستعلیق، بی کا، تا: قرن 14؛ قطع: رقعی [میراث شهاب: س 9 ش 2 - 4]</w:t>
      </w:r>
    </w:p>
    <w:p>
      <w:pPr>
        <w:pStyle w:val="Heading3"/>
      </w:pPr>
      <w:bookmarkStart w:id="750" w:name="_Toc272"/>
      <w:r>
        <w:t>از هر دری سخنی / تاریخ / فارسی</w:t>
      </w:r>
      <w:bookmarkEnd w:id="750"/>
    </w:p>
    <w:p>
      <w:pPr>
        <w:pStyle w:val="BookText"/>
      </w:pPr>
      <w:r>
        <w:rPr>
          <w:rFonts w:ascii="Times New Roman" w:hAnsi="Times New Roman" w:eastAsia="Times New Roman" w:cs="Times New Roman"/>
          <w:lang w:val="en-US" w:bidi="en-US"/>
          <w:color w:val="111111"/>
          <w:sz w:val="28"/>
          <w:szCs w:val="28"/>
          <w:rtl/>
        </w:rPr>
        <w:t xml:space="preserve">az har darī soxanī</w:t>
      </w:r>
    </w:p>
    <w:p>
      <w:pPr>
        <w:pStyle w:val="BookText"/>
      </w:pPr>
      <w:r>
        <w:rPr>
          <w:rFonts w:ascii="IRNazanin" w:hAnsi="IRNazanin" w:eastAsia="IRNazanin" w:cs="IRNazanin"/>
          <w:lang w:bidi="fa-IR"/>
          <w:color w:val="111111"/>
          <w:sz w:val="28"/>
          <w:szCs w:val="28"/>
          <w:rtl/>
        </w:rPr>
        <w:t xml:space="preserve">شفیعی اردستانی، مرتضی بن احمد، ق 14 شمسی</w:t>
      </w:r>
    </w:p>
    <w:p>
      <w:pPr>
        <w:pStyle w:val="BookText"/>
      </w:pPr>
      <w:r>
        <w:rPr>
          <w:rFonts w:ascii="Times New Roman" w:hAnsi="Times New Roman" w:eastAsia="Times New Roman" w:cs="Times New Roman"/>
          <w:lang w:val="en-US" w:bidi="en-US"/>
          <w:color w:val="111111"/>
          <w:sz w:val="28"/>
          <w:szCs w:val="28"/>
          <w:rtl/>
        </w:rPr>
        <w:t xml:space="preserve">(šafī‘ī ardestānī, morteza ebn-e ahmad ( - 20c)</w:t>
      </w:r>
    </w:p>
    <w:p>
      <w:pPr>
        <w:pStyle w:val="BookText"/>
      </w:pPr>
      <w:r>
        <w:rPr>
          <w:rFonts w:ascii="Amiri" w:hAnsi="Amiri" w:eastAsia="Amiri" w:cs="Amiri"/>
          <w:lang w:bidi="ar-SA"/>
          <w:color w:val="111111"/>
          <w:sz w:val="28"/>
          <w:szCs w:val="28"/>
          <w:rtl/>
        </w:rPr>
        <w:t xml:space="preserve">تاريخ تأليف: 13 مهر 1374ش</w:t>
      </w:r>
    </w:p>
    <w:p>
      <w:pPr>
        <w:pStyle w:val="BookText"/>
      </w:pPr>
      <w:r>
        <w:rPr>
          <w:rFonts w:ascii="IRNazanin" w:hAnsi="IRNazanin" w:eastAsia="IRNazanin" w:cs="IRNazanin"/>
          <w:lang w:bidi="fa-IR"/>
          <w:color w:val="111111"/>
          <w:sz w:val="28"/>
          <w:szCs w:val="28"/>
          <w:rtl/>
        </w:rPr>
        <w:t xml:space="preserve">کتابی مختصر مشتمل بر حوادث مهم ایران و جهان در قرون گذشته و  معاصر و نکته های نادر و غریب و شرح حال گروهی از فقها و دانشمندان مجموعاً دارای پانصد مطلب گوناگون است.</w:t>
      </w:r>
    </w:p>
    <w:p>
      <w:pPr>
        <w:pStyle w:val="BookText"/>
      </w:pPr>
      <w:r>
        <w:rPr>
          <w:rFonts w:ascii="IRNazanin" w:hAnsi="IRNazanin" w:eastAsia="IRNazanin" w:cs="IRNazanin"/>
          <w:lang w:bidi="fa-IR"/>
          <w:color w:val="111111"/>
          <w:sz w:val="28"/>
          <w:szCs w:val="28"/>
          <w:rtl/>
        </w:rPr>
        <w:t xml:space="preserve">قم؛ مرعشی؛ شماره نسخه: 10157</w:t>
      </w:r>
    </w:p>
    <w:p>
      <w:pPr>
        <w:pStyle w:val="BookText"/>
      </w:pPr>
      <w:r>
        <w:rPr>
          <w:rFonts w:ascii="IRNazanin" w:hAnsi="IRNazanin" w:eastAsia="IRNazanin" w:cs="IRNazanin"/>
          <w:lang w:bidi="fa-IR"/>
          <w:color w:val="111111"/>
          <w:sz w:val="28"/>
          <w:szCs w:val="28"/>
          <w:rtl/>
        </w:rPr>
        <w:t xml:space="preserve">خط: نستعليق، کاتب - مؤلف، بی تا؛ جلد: گالینگور خاکستری، 57گ، مختلف السطر ، اندازه: 17</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سم [ف: 26 - 115]</w:t>
      </w:r>
    </w:p>
    <w:p>
      <w:pPr>
        <w:pStyle w:val="Heading3"/>
      </w:pPr>
      <w:bookmarkStart w:id="751" w:name="_Toc273"/>
      <w:r>
        <w:t>از هر گلی برگی / شعر / فارسی</w:t>
      </w:r>
      <w:bookmarkEnd w:id="751"/>
    </w:p>
    <w:p>
      <w:pPr>
        <w:pStyle w:val="BookText"/>
      </w:pPr>
      <w:r>
        <w:rPr>
          <w:rFonts w:ascii="Times New Roman" w:hAnsi="Times New Roman" w:eastAsia="Times New Roman" w:cs="Times New Roman"/>
          <w:lang w:val="en-US" w:bidi="en-US"/>
          <w:color w:val="111111"/>
          <w:sz w:val="28"/>
          <w:szCs w:val="28"/>
          <w:rtl/>
        </w:rPr>
        <w:t xml:space="preserve">az har golī bargī</w:t>
      </w:r>
    </w:p>
    <w:p>
      <w:pPr>
        <w:pStyle w:val="BookText"/>
      </w:pPr>
      <w:r>
        <w:rPr>
          <w:rFonts w:ascii="IRNazanin" w:hAnsi="IRNazanin" w:eastAsia="IRNazanin" w:cs="IRNazanin"/>
          <w:lang w:bidi="fa-IR"/>
          <w:color w:val="111111"/>
          <w:sz w:val="28"/>
          <w:szCs w:val="28"/>
          <w:rtl/>
        </w:rPr>
        <w:t xml:space="preserve">شفیعی اردستانی، مرتضی بن احمد، ق 14 شمسی</w:t>
      </w:r>
    </w:p>
    <w:p>
      <w:pPr>
        <w:pStyle w:val="BookText"/>
      </w:pPr>
      <w:r>
        <w:rPr>
          <w:rFonts w:ascii="Times New Roman" w:hAnsi="Times New Roman" w:eastAsia="Times New Roman" w:cs="Times New Roman"/>
          <w:lang w:val="en-US" w:bidi="en-US"/>
          <w:color w:val="111111"/>
          <w:sz w:val="28"/>
          <w:szCs w:val="28"/>
          <w:rtl/>
        </w:rPr>
        <w:t xml:space="preserve">(šafī‘ī ardestānī, morteza ebn-e ahmad (- 20c)</w:t>
      </w:r>
    </w:p>
    <w:p>
      <w:pPr>
        <w:pStyle w:val="BookText"/>
      </w:pPr>
      <w:r>
        <w:rPr>
          <w:rFonts w:ascii="IRNazanin" w:hAnsi="IRNazanin" w:eastAsia="IRNazanin" w:cs="IRNazanin"/>
          <w:lang w:bidi="fa-IR"/>
          <w:color w:val="111111"/>
          <w:sz w:val="28"/>
          <w:szCs w:val="28"/>
          <w:rtl/>
        </w:rPr>
        <w:t xml:space="preserve">تاريخ تألیف: 1 خرداد 1371</w:t>
      </w:r>
    </w:p>
    <w:p>
      <w:pPr>
        <w:pStyle w:val="BookText"/>
      </w:pPr>
      <w:r>
        <w:rPr>
          <w:rFonts w:ascii="IRNazanin" w:hAnsi="IRNazanin" w:eastAsia="IRNazanin" w:cs="IRNazanin"/>
          <w:lang w:bidi="fa-IR"/>
          <w:color w:val="111111"/>
          <w:sz w:val="28"/>
          <w:szCs w:val="28"/>
          <w:rtl/>
        </w:rPr>
        <w:t xml:space="preserve">منتخباتی است از شعر شاعران بنام فارسی سرا که به دون ترتیب خاصی در این مجموعه گرد آورده شده است. این کتاب دارای سرآغازی است به نثر از مؤلف و مقدمه ای از دکتر سید محمد على احسانی طباطبائی.</w:t>
      </w:r>
    </w:p>
    <w:p>
      <w:pPr>
        <w:pStyle w:val="BookText"/>
      </w:pPr>
      <w:r>
        <w:rPr>
          <w:rFonts w:ascii="IRNazanin" w:hAnsi="IRNazanin" w:eastAsia="IRNazanin" w:cs="IRNazanin"/>
          <w:lang w:bidi="fa-IR"/>
          <w:color w:val="111111"/>
          <w:sz w:val="28"/>
          <w:szCs w:val="28"/>
          <w:rtl/>
        </w:rPr>
        <w:t xml:space="preserve">قم؛ مرعشی؛ شماره نسخه: 8412</w:t>
      </w:r>
    </w:p>
    <w:p>
      <w:pPr>
        <w:pStyle w:val="BookText"/>
      </w:pPr>
      <w:r>
        <w:rPr>
          <w:rFonts w:ascii="IRNazanin" w:hAnsi="IRNazanin" w:eastAsia="IRNazanin" w:cs="IRNazanin"/>
          <w:lang w:bidi="fa-IR"/>
          <w:color w:val="111111"/>
          <w:sz w:val="28"/>
          <w:szCs w:val="28"/>
          <w:rtl/>
        </w:rPr>
        <w:t xml:space="preserve">آغاز: مقدمه مؤلف: اثر کلام با معنی و دلنشین در روح و جسم انسان چنان است که داروی شفا بخش از تن بیمار</w:t>
      </w:r>
    </w:p>
    <w:p>
      <w:pPr>
        <w:pStyle w:val="BookText"/>
      </w:pPr>
      <w:r>
        <w:rPr>
          <w:rFonts w:ascii="IRNazanin" w:hAnsi="IRNazanin" w:eastAsia="IRNazanin" w:cs="IRNazanin"/>
          <w:lang w:bidi="fa-IR"/>
          <w:color w:val="111111"/>
          <w:sz w:val="28"/>
          <w:szCs w:val="28"/>
          <w:rtl/>
        </w:rPr>
        <w:t xml:space="preserve">خط: نستعليق، كاتب - مؤلف، تا: 14ش؛ جلد: پلاستیک، 85گ، مختلف السطر ، اندازه: 17</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 22 - 12]</w:t>
      </w:r>
    </w:p>
    <w:p>
      <w:pPr>
        <w:pStyle w:val="BookText"/>
      </w:pPr>
      <w:r>
        <w:rPr>
          <w:rFonts w:ascii="IRNazanin" w:hAnsi="IRNazanin" w:eastAsia="IRNazanin" w:cs="IRNazanin"/>
          <w:lang w:bidi="fa-IR"/>
          <w:color w:val="111111"/>
          <w:sz w:val="28"/>
          <w:szCs w:val="28"/>
          <w:rtl/>
        </w:rPr>
        <w:t xml:space="preserve">«از يقره تا شاء » تفسیر (کتاب در )</w:t>
      </w:r>
    </w:p>
    <w:p>
      <w:pPr>
        <w:pStyle w:val="Heading3"/>
      </w:pPr>
      <w:bookmarkStart w:id="752" w:name="_Toc274"/>
      <w:r>
        <w:t>اساتید قرائت قراء / قرائت، تجوید / عربی</w:t>
      </w:r>
      <w:bookmarkEnd w:id="752"/>
    </w:p>
    <w:p>
      <w:pPr>
        <w:pStyle w:val="BookText"/>
      </w:pPr>
      <w:r>
        <w:rPr>
          <w:rFonts w:ascii="Times New Roman" w:hAnsi="Times New Roman" w:eastAsia="Times New Roman" w:cs="Times New Roman"/>
          <w:lang w:val="en-US" w:bidi="en-US"/>
          <w:color w:val="111111"/>
          <w:sz w:val="28"/>
          <w:szCs w:val="28"/>
          <w:rtl/>
        </w:rPr>
        <w:t xml:space="preserve">asātīd-e qera'at-e qorra'</w:t>
      </w:r>
    </w:p>
    <w:p>
      <w:pPr>
        <w:pStyle w:val="BookText"/>
      </w:pPr>
      <w:r>
        <w:rPr>
          <w:rFonts w:ascii="IRNazanin" w:hAnsi="IRNazanin" w:eastAsia="IRNazanin" w:cs="IRNazanin"/>
          <w:lang w:bidi="fa-IR"/>
          <w:color w:val="111111"/>
          <w:sz w:val="28"/>
          <w:szCs w:val="28"/>
          <w:rtl/>
        </w:rPr>
        <w:t xml:space="preserve">خوانساری، محمد، ق14 قمری</w:t>
      </w:r>
    </w:p>
    <w:p>
      <w:pPr>
        <w:pStyle w:val="BookText"/>
      </w:pPr>
      <w:r>
        <w:rPr>
          <w:rFonts w:ascii="Times New Roman" w:hAnsi="Times New Roman" w:eastAsia="Times New Roman" w:cs="Times New Roman"/>
          <w:lang w:val="en-US" w:bidi="en-US"/>
          <w:color w:val="111111"/>
          <w:sz w:val="28"/>
          <w:szCs w:val="28"/>
          <w:rtl/>
        </w:rPr>
        <w:t xml:space="preserve">(xānsārī, mohammad (-20c)</w:t>
      </w:r>
    </w:p>
    <w:p>
      <w:pPr>
        <w:pStyle w:val="BookText"/>
      </w:pPr>
      <w:r>
        <w:rPr>
          <w:rFonts w:ascii="IRNazanin" w:hAnsi="IRNazanin" w:eastAsia="IRNazanin" w:cs="IRNazanin"/>
          <w:lang w:bidi="fa-IR"/>
          <w:color w:val="111111"/>
          <w:sz w:val="28"/>
          <w:szCs w:val="28"/>
          <w:rtl/>
        </w:rPr>
        <w:t xml:space="preserve">رساله ای است کوتاه در ذکر اسناد قرائت قاریان معروف مانند ابوجعفر يزيد بن قعقاع مدنی امام مدینه،ابوعبدالرحمن نافع بن عبدالرحمن مدنی عبدالله بن كثیر مکی داری، عبدالله بن عامر يحصبي، ابو عمرو بن علاء ابوبكر عاصم بن ابى الجنود کوفی، ابو الحسن على بن حمزه اسدی مشهور به کسایی ابو محمد اسحق بن زید فزاری معروف به یغوب ابو عبيد قاسم بن سلام بغدادی ابو محمد خلف بن هشام بن طالب بن بزار بغدادی و ابو حاتم سهل بن محمد بصری معروف به سجستانی قابل ذکر آنکه نسخه در واقع باب 29 کتاب تألیفی علماء عامه در علم قرائت و تجوید است.</w:t>
      </w:r>
    </w:p>
    <w:p>
      <w:pPr>
        <w:pStyle w:val="BookText"/>
      </w:pPr>
      <w:r>
        <w:rPr>
          <w:rFonts w:ascii="IRNazanin" w:hAnsi="IRNazanin" w:eastAsia="IRNazanin" w:cs="IRNazanin"/>
          <w:lang w:bidi="fa-IR"/>
          <w:color w:val="111111"/>
          <w:sz w:val="28"/>
          <w:szCs w:val="28"/>
          <w:rtl/>
        </w:rPr>
        <w:t xml:space="preserve">آغاز: بسمله، حمدله، اما بعد فهذا احد الابواب التى اصطفى الاخ الجليل و المولى الاصيل الميزا... اسناد قرائه ابی جعفر يزيد بن القعقاع المدنى</w:t>
      </w:r>
    </w:p>
    <w:p>
      <w:pPr>
        <w:pStyle w:val="BookText"/>
      </w:pPr>
      <w:r>
        <w:rPr>
          <w:rFonts w:ascii="IRNazanin" w:hAnsi="IRNazanin" w:eastAsia="IRNazanin" w:cs="IRNazanin"/>
          <w:lang w:bidi="fa-IR"/>
          <w:color w:val="111111"/>
          <w:sz w:val="28"/>
          <w:szCs w:val="28"/>
          <w:rtl/>
        </w:rPr>
        <w:t xml:space="preserve">انجام: فلذلك اختلف الحروف و الطرق الى انتهاءها النيا انتهى کلامه فى هذا الباب قدتم</w:t>
      </w:r>
    </w:p>
    <w:p>
      <w:pPr>
        <w:pStyle w:val="BookText"/>
      </w:pPr>
      <w:r>
        <w:rPr>
          <w:rFonts w:ascii="IRNazanin" w:hAnsi="IRNazanin" w:eastAsia="IRNazanin" w:cs="IRNazanin"/>
          <w:lang w:bidi="fa-IR"/>
          <w:color w:val="111111"/>
          <w:sz w:val="28"/>
          <w:szCs w:val="28"/>
          <w:rtl/>
        </w:rPr>
        <w:t xml:space="preserve">مشهد؛ رضوی؛ شماره نسخه: 19931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سید مصطفی حسینی خوانساری، تا: جمعه 20ربیع الاول 1341ق؛ مصحح؛ ضمیمه نسخه ش 19924؛ اهدایی رهبری، خرداد 1373؛ کاغذ: نخودی فرنگی، جلد: مقوا با عطف میشن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90" w:name="pg20365_260115"/>
    <w:bookmarkEnd w:id="90"/>
    <w:p>
      <w:pPr>
        <w:pStyle w:val="BookText"/>
      </w:pPr>
      <w:r>
        <w:rPr>
          <w:rFonts w:ascii="IRNazanin" w:hAnsi="IRNazanin" w:eastAsia="IRNazanin" w:cs="IRNazanin"/>
          <w:lang w:bidi="fa-IR"/>
          <w:color w:val="111111"/>
          <w:sz w:val="28"/>
          <w:szCs w:val="28"/>
          <w:rtl/>
        </w:rPr>
        <w:t xml:space="preserve">قهوه ای ،37گ، 15 سطر، اندازه 10/5</w:t>
      </w:r>
      <w:r>
        <w:rPr>
          <w:rFonts w:ascii="Times New Roman" w:hAnsi="Times New Roman" w:eastAsia="Times New Roman" w:cs="Times New Roman"/>
          <w:lang w:val="en-US" w:bidi="en-US"/>
          <w:color w:val="111111"/>
          <w:sz w:val="28"/>
          <w:szCs w:val="28"/>
          <w:rtl/>
        </w:rPr>
        <w:t xml:space="preserve">×16/5</w:t>
      </w:r>
      <w:r>
        <w:rPr>
          <w:rFonts w:ascii="IRNazanin" w:hAnsi="IRNazanin" w:eastAsia="IRNazanin" w:cs="IRNazanin"/>
          <w:lang w:bidi="fa-IR"/>
          <w:color w:val="111111"/>
          <w:sz w:val="28"/>
          <w:szCs w:val="28"/>
          <w:rtl/>
        </w:rPr>
        <w:t xml:space="preserve">سم [اهدائی رهبر -1 علوم قرآن - (296] [ف: 23-17]</w:t>
      </w:r>
    </w:p>
    <w:p>
      <w:pPr>
        <w:pStyle w:val="Heading3"/>
      </w:pPr>
      <w:bookmarkStart w:id="753" w:name="_Toc275"/>
      <w:r>
        <w:t>الاساس = الخمسة و ثمانون باباً / هيئت/ عربي</w:t>
      </w:r>
      <w:bookmarkEnd w:id="753"/>
    </w:p>
    <w:p>
      <w:pPr>
        <w:pStyle w:val="BookText"/>
      </w:pPr>
      <w:r>
        <w:rPr>
          <w:rFonts w:ascii="Times New Roman" w:hAnsi="Times New Roman" w:eastAsia="Times New Roman" w:cs="Times New Roman"/>
          <w:lang w:val="en-US" w:bidi="en-US"/>
          <w:color w:val="111111"/>
          <w:sz w:val="28"/>
          <w:szCs w:val="28"/>
          <w:rtl/>
        </w:rPr>
        <w:t xml:space="preserve">al-asās = al-xamsa wa ṯamānūn-a bābā</w:t>
      </w:r>
    </w:p>
    <w:p>
      <w:pPr>
        <w:pStyle w:val="BookText"/>
      </w:pPr>
      <w:r>
        <w:rPr>
          <w:rFonts w:ascii="IRNazanin" w:hAnsi="IRNazanin" w:eastAsia="IRNazanin" w:cs="IRNazanin"/>
          <w:lang w:bidi="fa-IR"/>
          <w:color w:val="111111"/>
          <w:sz w:val="28"/>
          <w:szCs w:val="28"/>
          <w:rtl/>
        </w:rPr>
        <w:t xml:space="preserve">هرمس</w:t>
      </w:r>
    </w:p>
    <w:p>
      <w:pPr>
        <w:pStyle w:val="BookText"/>
      </w:pPr>
      <w:r>
        <w:rPr>
          <w:rFonts w:ascii="IRNazanin" w:hAnsi="IRNazanin" w:eastAsia="IRNazanin" w:cs="IRNazanin"/>
          <w:lang w:bidi="fa-IR"/>
          <w:color w:val="111111"/>
          <w:sz w:val="28"/>
          <w:szCs w:val="28"/>
          <w:rtl/>
        </w:rPr>
        <w:t xml:space="preserve">این کتاب از هرمس تریسمگیستوس پروردگاریونانی پنداشته شده است و هشتاد و پنج باب کوتاه است در شناخت کواکب احکام و استخراجات نجومی که اساس این فن دانسته شده است. هرمس خود این کتاب را «الکتاب الکبیر» نامیده است وبه «الخمسة و الثمانون بابا» (هشتاد و پنج باب) نیز موسوم است. والیس در نگارش های خود می گوید که این  دانش را از«الاساس» گرفته است و آن را پایه ستاره شماری و کلید اختر بینی می داند. این رساله دو دفتر است: دفتر نخستین «مفتاح علم النجوم» در 45 باب دفتر دوم از باب 46 است تا انتها و برای  افتتاح قضاء می باشد.</w:t>
      </w:r>
    </w:p>
    <w:p>
      <w:pPr>
        <w:pStyle w:val="BookText"/>
      </w:pPr>
      <w:r>
        <w:rPr>
          <w:rFonts w:ascii="IRNazanin" w:hAnsi="IRNazanin" w:eastAsia="IRNazanin" w:cs="IRNazanin"/>
          <w:lang w:bidi="fa-IR"/>
          <w:color w:val="111111"/>
          <w:sz w:val="28"/>
          <w:szCs w:val="28"/>
          <w:rtl/>
        </w:rPr>
        <w:t xml:space="preserve">آغاز: الحمد لله بحمده... هذا كتاب الاساس وهو الذى يسمی فى كتب النجوم الخمسة و الثمانون بابا و هو كتاب هرمس المفضل بالنعمة.</w:t>
      </w:r>
    </w:p>
    <w:p>
      <w:pPr>
        <w:pStyle w:val="BookText"/>
      </w:pPr>
      <w:r>
        <w:rPr>
          <w:rFonts w:ascii="Amiri" w:hAnsi="Amiri" w:eastAsia="Amiri" w:cs="Amiri"/>
          <w:lang w:bidi="ar-SA"/>
          <w:color w:val="111111"/>
          <w:sz w:val="28"/>
          <w:szCs w:val="28"/>
          <w:rtl/>
        </w:rPr>
        <w:t xml:space="preserve">انجام: فانظر فيه و في سهمه كما نظرت في باب الرجاء، و اعلم بحقيقة الحال.</w:t>
      </w:r>
    </w:p>
    <w:p>
      <w:pPr>
        <w:pStyle w:val="BookText"/>
      </w:pPr>
      <w:r>
        <w:rPr>
          <w:rFonts w:ascii="IRNazanin" w:hAnsi="IRNazanin" w:eastAsia="IRNazanin" w:cs="IRNazanin"/>
          <w:lang w:bidi="fa-IR"/>
          <w:color w:val="111111"/>
          <w:sz w:val="28"/>
          <w:szCs w:val="28"/>
          <w:rtl/>
        </w:rPr>
        <w:t xml:space="preserve">[سزگین 55/7ش 7؛ الفلك والتنجيم 10؛ الفهرست 300؛ ابن جلجل 5- 10؛ نيلنو 142؛ طوقان 110]</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مرعشی؛ شماره نسخه: 8477/2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نظام بن عبدالله بن محمد، تا: 836ق جلد: تيماج قرمز عطف تیماج قهوه ای، 14گ (23 پ-37ر)، اندازه: 9</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[ف: 22 - 64]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تهران؛ دائرة المعارف؛ شماره نسخه: 114/5</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تحریری مخلوط به شکسته، بی کا، تا:1084 ق؛13گ (206پ-194پ) [ف: 1 - 16]</w:t>
      </w:r>
    </w:p>
    <w:p>
      <w:pPr>
        <w:pStyle w:val="BookText"/>
      </w:pPr>
      <w:r>
        <w:rPr>
          <w:rFonts w:ascii="IRNazanin" w:hAnsi="IRNazanin" w:eastAsia="IRNazanin" w:cs="IRNazanin"/>
          <w:lang w:bidi="fa-IR"/>
          <w:color w:val="111111"/>
          <w:sz w:val="28"/>
          <w:szCs w:val="28"/>
          <w:rtl/>
        </w:rPr>
        <w:t xml:space="preserve">3.قم؛ مرعشی؛ شماره نسخه: 15126/3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شکسته نستعلیق، بی کا، تا: قرن 12، این  نسخه، احتمالاً از روی نسخه نفیس شماره 8477 این کتابخانه، استنساخ گردیده است؛ کاغذ: فرنگی، 8گ (104-111)، 17 سطر، اندازه: 9/5</w:t>
      </w:r>
      <w:r>
        <w:rPr>
          <w:rFonts w:ascii="Times New Roman" w:hAnsi="Times New Roman" w:eastAsia="Times New Roman" w:cs="Times New Roman"/>
          <w:lang w:val="en-US" w:bidi="en-US"/>
          <w:color w:val="111111"/>
          <w:sz w:val="28"/>
          <w:szCs w:val="28"/>
          <w:rtl/>
        </w:rPr>
        <w:t xml:space="preserve">×15/5</w:t>
      </w:r>
      <w:r>
        <w:rPr>
          <w:rFonts w:ascii="IRNazanin" w:hAnsi="IRNazanin" w:eastAsia="IRNazanin" w:cs="IRNazanin"/>
          <w:lang w:bidi="fa-IR"/>
          <w:color w:val="111111"/>
          <w:sz w:val="28"/>
          <w:szCs w:val="28"/>
          <w:rtl/>
        </w:rPr>
        <w:t xml:space="preserve">سم [ف: 38 - 378]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تهران؛ ادبیات؛ شماره نسخه: 390/1</w:t>
      </w:r>
    </w:p>
    <w:p>
      <w:pPr>
        <w:pStyle w:val="BookText"/>
      </w:pPr>
      <w:r>
        <w:rPr>
          <w:rFonts w:ascii="IRNazanin" w:hAnsi="IRNazanin" w:eastAsia="IRNazanin" w:cs="IRNazanin"/>
          <w:lang w:bidi="fa-IR"/>
          <w:color w:val="111111"/>
          <w:sz w:val="28"/>
          <w:szCs w:val="28"/>
          <w:rtl/>
        </w:rPr>
        <w:t xml:space="preserve">خط: نسخ، کا: رجب علی سکاکی اصفهانی ابن مولانا عبدالعلی ، تا: 3 ذیحجه 1112ق [ف: 3 - 60]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تهران؛ مجلس؛ شماره نسخه: 6434/3</w:t>
      </w:r>
    </w:p>
    <w:p>
      <w:pPr>
        <w:pStyle w:val="BookText"/>
      </w:pPr>
      <w:r>
        <w:rPr>
          <w:rFonts w:ascii="IRNazanin" w:hAnsi="IRNazanin" w:eastAsia="IRNazanin" w:cs="IRNazanin"/>
          <w:lang w:bidi="fa-IR"/>
          <w:color w:val="111111"/>
          <w:sz w:val="28"/>
          <w:szCs w:val="28"/>
          <w:rtl/>
        </w:rPr>
        <w:t xml:space="preserve">خط: نستعلیق، بی کا، تا: شعبان 1170ق؛ مصحح؛ جلد: تيماج مشکی ضربی ترنج و سرترنج دار بدون مقوا، 2گ (198ر - 200 پ) اندازه: 13/5</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 20 - 21]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تهران؛ مجلس؛ شماره نسخه: 16545 ض</w:t>
      </w:r>
    </w:p>
    <w:p>
      <w:pPr>
        <w:pStyle w:val="BookText"/>
      </w:pPr>
      <w:r>
        <w:rPr>
          <w:rFonts w:ascii="IRNazanin" w:hAnsi="IRNazanin" w:eastAsia="IRNazanin" w:cs="IRNazanin"/>
          <w:lang w:bidi="fa-IR"/>
          <w:color w:val="111111"/>
          <w:sz w:val="28"/>
          <w:szCs w:val="28"/>
          <w:rtl/>
        </w:rPr>
        <w:t xml:space="preserve">بی کا، تا: قرن 13 [د.ث. مجلس ]</w:t>
      </w:r>
    </w:p>
    <w:p>
      <w:pPr>
        <w:pStyle w:val="BookText"/>
      </w:pPr>
      <w:r>
        <w:rPr>
          <w:rFonts w:ascii="IRNazanin" w:hAnsi="IRNazanin" w:eastAsia="IRNazanin" w:cs="IRNazanin"/>
          <w:lang w:bidi="fa-IR"/>
          <w:color w:val="111111"/>
          <w:sz w:val="28"/>
          <w:szCs w:val="28"/>
          <w:rtl/>
        </w:rPr>
        <w:t xml:space="preserve">7.تهران؛ ملک؛ شماره نسخه: 3242/1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شکسته نستعلیق ،کا: محمد باقر بن محمد حسین بن بديع الزمان منجم  اصفهانی، تا: 1248ق؛ جا: اصفهان؛ در دیباچه آمده که کتاب در 85 باب است ولی نسخه ما 45 باب را در کتاب یکم و 15 باب پس از آن را در کتاب دوم جای داده است؛ کاغذ: پسته ای، جلد: رویه میشن قهوه ای ،ضربی، 14گ (1پ-14ر)، 16 سطر،اندازه: 14</w:t>
      </w:r>
      <w:r>
        <w:rPr>
          <w:rFonts w:ascii="Times New Roman" w:hAnsi="Times New Roman" w:eastAsia="Times New Roman" w:cs="Times New Roman"/>
          <w:lang w:val="en-US" w:bidi="en-US"/>
          <w:color w:val="111111"/>
          <w:sz w:val="28"/>
          <w:szCs w:val="28"/>
          <w:rtl/>
        </w:rPr>
        <w:t xml:space="preserve">×21/6</w:t>
      </w:r>
      <w:r>
        <w:rPr>
          <w:rFonts w:ascii="IRNazanin" w:hAnsi="IRNazanin" w:eastAsia="IRNazanin" w:cs="IRNazanin"/>
          <w:lang w:bidi="fa-IR"/>
          <w:color w:val="111111"/>
          <w:sz w:val="28"/>
          <w:szCs w:val="28"/>
          <w:rtl/>
        </w:rPr>
        <w:t xml:space="preserve">سم [ف: 6 - 325]</w:t>
      </w:r>
    </w:p>
    <w:p>
      <w:pPr>
        <w:pStyle w:val="BookText"/>
      </w:pPr>
      <w:r>
        <w:rPr>
          <w:rFonts w:ascii="IRNazanin" w:hAnsi="IRNazanin" w:eastAsia="IRNazanin" w:cs="IRNazanin"/>
          <w:lang w:bidi="fa-IR"/>
          <w:color w:val="111111"/>
          <w:sz w:val="28"/>
          <w:szCs w:val="28"/>
          <w:rtl/>
        </w:rPr>
        <w:t xml:space="preserve">8 .تهران؛ شهشهانی حسین؛ شماره نسخه: بدون شماره</w:t>
      </w:r>
    </w:p>
    <w:p>
      <w:pPr>
        <w:pStyle w:val="BookText"/>
      </w:pPr>
      <w:r>
        <w:rPr>
          <w:rFonts w:ascii="IRNazanin" w:hAnsi="IRNazanin" w:eastAsia="IRNazanin" w:cs="IRNazanin"/>
          <w:lang w:bidi="fa-IR"/>
          <w:color w:val="111111"/>
          <w:sz w:val="28"/>
          <w:szCs w:val="28"/>
          <w:rtl/>
        </w:rPr>
        <w:t xml:space="preserve">بی کا، تا: 1254ق[ میراث اسلامی 5 - 605]</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تهران؛ مهدوی؛ شماره نسخه: 668</w:t>
      </w:r>
    </w:p>
    <w:p>
      <w:pPr>
        <w:pStyle w:val="BookText"/>
      </w:pPr>
      <w:r>
        <w:rPr>
          <w:rFonts w:ascii="IRNazanin" w:hAnsi="IRNazanin" w:eastAsia="IRNazanin" w:cs="IRNazanin"/>
          <w:lang w:bidi="fa-IR"/>
          <w:color w:val="111111"/>
          <w:sz w:val="28"/>
          <w:szCs w:val="28"/>
          <w:rtl/>
        </w:rPr>
        <w:t xml:space="preserve">آغاز: الكتاب الاول والثانى من كتاب الساس و هو من جملة الخمسة و الثمانين بابا و هو کتاب هرمس</w:t>
      </w:r>
    </w:p>
    <w:p>
      <w:pPr>
        <w:pStyle w:val="BookText"/>
      </w:pPr>
      <w:r>
        <w:rPr>
          <w:rFonts w:ascii="IRNazanin" w:hAnsi="IRNazanin" w:eastAsia="IRNazanin" w:cs="IRNazanin"/>
          <w:lang w:bidi="fa-IR"/>
          <w:color w:val="111111"/>
          <w:sz w:val="28"/>
          <w:szCs w:val="28"/>
          <w:rtl/>
        </w:rPr>
        <w:t xml:space="preserve">خط : نسخ، کا: اسماعیل بن حاجی مقیم سمنانی، تا: 1281ق [نشریه: 2 - 136]</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تهران؛ دانشگاه؛ شماره نسخه: 960/1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اسمعيل بن حاجى مقيم سرخه ای سمنانی، تا:1281ق، جا سرخه سمنان؛ 28گ (1ر-28پ) [ف: 4 - 962]</w:t>
      </w:r>
    </w:p>
    <w:p>
      <w:pPr>
        <w:pStyle w:val="Heading3"/>
      </w:pPr>
      <w:bookmarkStart w:id="754" w:name="_Toc276"/>
      <w:r>
        <w:t>اساس الاجتهاد / فقه / عربي</w:t>
      </w:r>
      <w:bookmarkEnd w:id="754"/>
    </w:p>
    <w:p>
      <w:pPr>
        <w:pStyle w:val="BookText"/>
      </w:pPr>
      <w:r>
        <w:rPr>
          <w:rFonts w:ascii="Times New Roman" w:hAnsi="Times New Roman" w:eastAsia="Times New Roman" w:cs="Times New Roman"/>
          <w:lang w:val="en-US" w:bidi="en-US"/>
          <w:color w:val="111111"/>
          <w:sz w:val="28"/>
          <w:szCs w:val="28"/>
          <w:rtl/>
        </w:rPr>
        <w:t xml:space="preserve">asas-ul-ijtihad</w:t>
      </w:r>
    </w:p>
    <w:p>
      <w:pPr>
        <w:pStyle w:val="BookText"/>
      </w:pPr>
      <w:r>
        <w:rPr>
          <w:rFonts w:ascii="IRNazanin" w:hAnsi="IRNazanin" w:eastAsia="IRNazanin" w:cs="IRNazanin"/>
          <w:lang w:bidi="fa-IR"/>
          <w:color w:val="111111"/>
          <w:sz w:val="28"/>
          <w:szCs w:val="28"/>
          <w:rtl/>
        </w:rPr>
        <w:t xml:space="preserve">نوربخشی، محمد حسن بن محمد صالح، ق13 قمری</w:t>
      </w:r>
    </w:p>
    <w:p>
      <w:pPr>
        <w:pStyle w:val="BookText"/>
      </w:pPr>
      <w:r>
        <w:rPr>
          <w:rFonts w:ascii="Times New Roman" w:hAnsi="Times New Roman" w:eastAsia="Times New Roman" w:cs="Times New Roman"/>
          <w:lang w:val="en-US" w:bidi="en-US"/>
          <w:color w:val="111111"/>
          <w:sz w:val="28"/>
          <w:szCs w:val="28"/>
          <w:rtl/>
        </w:rPr>
        <w:t xml:space="preserve">nūrbaxšī, mohammad hasan ebn-e mohammad sāleh ( -</w:t>
      </w:r>
    </w:p>
    <w:p>
      <w:pPr>
        <w:pStyle w:val="BookText"/>
      </w:pPr>
      <w:r>
        <w:rPr>
          <w:rFonts w:ascii="Times New Roman" w:hAnsi="Times New Roman" w:eastAsia="Times New Roman" w:cs="Times New Roman"/>
          <w:lang w:val="en-US" w:bidi="en-US"/>
          <w:color w:val="111111"/>
          <w:sz w:val="28"/>
          <w:szCs w:val="28"/>
          <w:rtl/>
        </w:rPr>
        <w:t xml:space="preserve">(19c-)</w:t>
      </w:r>
    </w:p>
    <w:p>
      <w:pPr>
        <w:pStyle w:val="BookText"/>
      </w:pPr>
      <w:r>
        <w:rPr>
          <w:rFonts w:ascii="IRNazanin" w:hAnsi="IRNazanin" w:eastAsia="IRNazanin" w:cs="IRNazanin"/>
          <w:lang w:bidi="fa-IR"/>
          <w:color w:val="111111"/>
          <w:sz w:val="28"/>
          <w:szCs w:val="28"/>
          <w:rtl/>
        </w:rPr>
        <w:t xml:space="preserve">کتابی مفصل در قواعد و مبانی اصولی در چهار کتاب ( عبادات ،معاملات ،عقود ایقاعات ) و با عناوین «اساس - اساس».</w:t>
      </w:r>
    </w:p>
    <w:p>
      <w:pPr>
        <w:pStyle w:val="BookText"/>
      </w:pPr>
      <w:r>
        <w:rPr>
          <w:rFonts w:ascii="IRNazanin" w:hAnsi="IRNazanin" w:eastAsia="IRNazanin" w:cs="IRNazanin"/>
          <w:lang w:bidi="fa-IR"/>
          <w:color w:val="111111"/>
          <w:sz w:val="28"/>
          <w:szCs w:val="28"/>
          <w:rtl/>
        </w:rPr>
        <w:t xml:space="preserve">قم؛ مرعشی؛ شماره نسخه: 9059/1</w:t>
      </w:r>
    </w:p>
    <w:p>
      <w:pPr>
        <w:pStyle w:val="BookText"/>
      </w:pPr>
      <w:r>
        <w:rPr>
          <w:rFonts w:ascii="Amiri" w:hAnsi="Amiri" w:eastAsia="Amiri" w:cs="Amiri"/>
          <w:lang w:bidi="ar-SA"/>
          <w:color w:val="111111"/>
          <w:sz w:val="28"/>
          <w:szCs w:val="28"/>
          <w:rtl/>
        </w:rPr>
        <w:t xml:space="preserve">آغاز: الحمد لله الذى اخرجنا من دياجي غسق الشكوك الشبهات بنور هدايته و لمعة ارشاده الى واضح المسالك و امثل الاديان؛</w:t>
      </w:r>
    </w:p>
    <w:p>
      <w:pPr>
        <w:pStyle w:val="BookText"/>
      </w:pPr>
      <w:r>
        <w:rPr>
          <w:rFonts w:ascii="IRNazanin" w:hAnsi="IRNazanin" w:eastAsia="IRNazanin" w:cs="IRNazanin"/>
          <w:lang w:bidi="fa-IR"/>
          <w:color w:val="111111"/>
          <w:sz w:val="28"/>
          <w:szCs w:val="28"/>
          <w:rtl/>
        </w:rPr>
        <w:t xml:space="preserve">خط: نسخ، کاتب - مؤلف، بی تا؛ جلد: تیماج مشکی، 45گ (1پ -46 پ)، مختلف السطر ، اندازه: 14/5</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 23 - 214]</w:t>
      </w:r>
    </w:p>
    <w:p>
      <w:pPr>
        <w:pStyle w:val="Heading3"/>
      </w:pPr>
      <w:bookmarkStart w:id="755" w:name="_Toc277"/>
      <w:r>
        <w:t>اساس الاحکام / اصول فقه / عربی</w:t>
      </w:r>
      <w:bookmarkEnd w:id="755"/>
    </w:p>
    <w:p>
      <w:pPr>
        <w:pStyle w:val="BookText"/>
      </w:pPr>
      <w:r>
        <w:rPr>
          <w:rFonts w:ascii="Times New Roman" w:hAnsi="Times New Roman" w:eastAsia="Times New Roman" w:cs="Times New Roman"/>
          <w:lang w:val="en-US" w:bidi="en-US"/>
          <w:color w:val="111111"/>
          <w:sz w:val="28"/>
          <w:szCs w:val="28"/>
          <w:rtl/>
        </w:rPr>
        <w:t xml:space="preserve">asas-ul-ahkam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نراقی، احمد بن محمد مهدی، 1185 - 1245 ؟ قمری</w:t>
      </w:r>
    </w:p>
    <w:p>
      <w:pPr>
        <w:pStyle w:val="BookText"/>
      </w:pPr>
      <w:r>
        <w:rPr>
          <w:rFonts w:ascii="Times New Roman" w:hAnsi="Times New Roman" w:eastAsia="Times New Roman" w:cs="Times New Roman"/>
          <w:lang w:val="en-US" w:bidi="en-US"/>
          <w:color w:val="111111"/>
          <w:sz w:val="28"/>
          <w:szCs w:val="28"/>
          <w:rtl/>
        </w:rPr>
        <w:t xml:space="preserve">(narāqī, ahmad ebn-e mohammad mahdī (1772 - 1830)</w:t>
      </w:r>
    </w:p>
    <w:p>
      <w:pPr>
        <w:pStyle w:val="BookText"/>
      </w:pPr>
      <w:r>
        <w:rPr>
          <w:rFonts w:ascii="Amiri" w:hAnsi="Amiri" w:eastAsia="Amiri" w:cs="Amiri"/>
          <w:lang w:bidi="ar-SA"/>
          <w:color w:val="111111"/>
          <w:sz w:val="28"/>
          <w:szCs w:val="28"/>
          <w:rtl/>
        </w:rPr>
        <w:t xml:space="preserve">سال  تأليف: 8 شعبان 1217ق</w:t>
      </w:r>
    </w:p>
    <w:p>
      <w:pPr>
        <w:pStyle w:val="BookText"/>
      </w:pPr>
      <w:r>
        <w:rPr>
          <w:rFonts w:ascii="IRNazanin" w:hAnsi="IRNazanin" w:eastAsia="IRNazanin" w:cs="IRNazanin"/>
          <w:lang w:bidi="fa-IR"/>
          <w:color w:val="111111"/>
          <w:sz w:val="28"/>
          <w:szCs w:val="28"/>
          <w:rtl/>
        </w:rPr>
        <w:t xml:space="preserve">کتابی جامع، مفصل و استدلالی است در بیان و توضیح مباحث اصولی به ویژه اصالت حجیت اخبار و مباحث راجع به حجیت خبر  واحد، مرتب بر چهار اصل و هر اصلی در چند فائده که ترتیب عبارت است از: اصل 1. الکلام فی الظن، در سه فائده:1) بيان اصالة عدم حجية الظن، 2) رد ادلة القائلين باصالة حجیة الظن، 3 ) اثبات جواز العمل بالظن؛ اصل 2. الكلام فى الاخبار الاحاد،2. و بیان حجيتها، در پنج فائده: 1) ذكر الادلة التى ذكر القوم على حجية الاخبار الاحاد، 2) الطريق الذي سلكته حجية ما لم يدل الدليل على عدم حجية، 3) رد ادلة المانعين عن قبول خبر الواحد مطلقا، 4) بیان ما خرج من الاخبار عن تحت الاصل و ثبت عدم حجيته، 5) بيان بعض ما يتعلق بهذالمقام؛ اصل 3. نبذة من مباحث المتعلقة بالالفاظ المعبرة عنها بمتن الحديث التي زعموا ان تماميتها لا يثبتالا بالقول باصالة حجیة الظن، در چهارده فائده :1) اعلم ان الكلام فى الظن فى اللغات كالكلام في الظن في الاحكام ... 14) قد وقع الخلاف في الالفاظ الموضوعة للمعانى المجعولة المخترعة من الشارع بنوع و ذواتها او بكيفياتها و اوصافها او بشرايطها و لوازمها هل هی اسماء للصحيحة اى المنهيات المستجمعة لجميع شرايط الصحة للاعم من الصحيحة؛ اصل 4. حكم الخبر من المتعارضين و التعارض اما يكون بين العام والخاص المطلقين او من وجه المتناقضین در چهار فائده: 1) بیان حكم محل التعارض ، 2) بیان حكم ما اذا ورد عام و خاص من وجه التنافى ، 3) بيان حکم الخبرين اللذين كان تعارضهما بالتساوى، 4) اشتهر بين القوم انهم يقولون ان الجمع بين الخبرين المتعارضين و العمل بهما مهما امکن.</w:t>
      </w:r>
    </w:p>
    <w:p>
      <w:pPr>
        <w:pStyle w:val="BookText"/>
      </w:pPr>
      <w:r>
        <w:rPr>
          <w:rFonts w:ascii="Amiri" w:hAnsi="Amiri" w:eastAsia="Amiri" w:cs="Amiri"/>
          <w:lang w:bidi="ar-SA"/>
          <w:color w:val="111111"/>
          <w:sz w:val="28"/>
          <w:szCs w:val="28"/>
          <w:rtl/>
        </w:rPr>
        <w:t xml:space="preserve">آغاز: الحمد لله الذى اضاء قلوبنا بانوار الكتاب و السنة لمعرفة احكام الدين و أغنانا بمتابعة اهل بيت نبيه عن الاجتهاد بالرأى و التخمين</w:t>
      </w:r>
    </w:p>
    <w:p>
      <w:pPr>
        <w:pStyle w:val="BookText"/>
      </w:pPr>
      <w:r>
        <w:rPr>
          <w:rFonts w:ascii="Amiri" w:hAnsi="Amiri" w:eastAsia="Amiri" w:cs="Amiri"/>
          <w:lang w:bidi="ar-SA"/>
          <w:color w:val="111111"/>
          <w:sz w:val="28"/>
          <w:szCs w:val="28"/>
          <w:rtl/>
        </w:rPr>
        <w:t xml:space="preserve">انجام: و ارشدنا الى جادة النجاة عند تعارض الشكوك و الشهاب بحق محمد و آله السادات.</w:t>
      </w:r>
    </w:p>
    <w:p>
      <w:pPr>
        <w:pStyle w:val="BookText"/>
      </w:pPr>
      <w:r>
        <w:rPr>
          <w:rFonts w:ascii="IRNazanin" w:hAnsi="IRNazanin" w:eastAsia="IRNazanin" w:cs="IRNazanin"/>
          <w:lang w:bidi="fa-IR"/>
          <w:color w:val="111111"/>
          <w:sz w:val="28"/>
          <w:szCs w:val="28"/>
          <w:rtl/>
        </w:rPr>
        <w:t xml:space="preserve">[الذريعة 4/2؛ مكتبة امير المومنین 96/1-97]</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مرکز احیاء؛ شماره نسخه: 269</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مغلوط، کا: محمد علی بن حسن رودباری، تا: دوشنبه 14 جمادی الثانی 1128ق؛ مصحح، با نشان بلاغ؛ تملک: علی بن محمد مهدی به تاریخ 13ربیع الاول؛ جلد: تيماج مشكی 151گ، 22 سطر، اندازه: 15</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سم [ف: 1 - 367]</w:t>
      </w:r>
    </w:p>
    <w:p>
      <w:pPr>
        <w:pStyle w:val="BookText"/>
      </w:pPr>
      <w:r>
        <w:rPr>
          <w:rFonts w:ascii="IRNazanin" w:hAnsi="IRNazanin" w:eastAsia="IRNazanin" w:cs="IRNazanin"/>
          <w:lang w:bidi="fa-IR"/>
          <w:color w:val="111111"/>
          <w:sz w:val="28"/>
          <w:szCs w:val="28"/>
          <w:rtl/>
        </w:rPr>
        <w:t xml:space="preserve">قم؛ مرکز احیاء؛ شماره نسخه: 828</w:t>
      </w:r>
    </w:p>
    <w:p>
      <w:pPr>
        <w:pStyle w:val="BookText"/>
      </w:pPr>
      <w:r>
        <w:rPr>
          <w:rFonts w:ascii="IRNazanin" w:hAnsi="IRNazanin" w:eastAsia="IRNazanin" w:cs="IRNazanin"/>
          <w:lang w:bidi="fa-IR"/>
          <w:color w:val="111111"/>
          <w:sz w:val="28"/>
          <w:szCs w:val="28"/>
          <w:rtl/>
        </w:rPr>
        <w:t xml:space="preserve">نسخه اصلی: همان نسخه بالا [ عکسی ف 3 - 25]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مشهد؛ رضوی شماره نسخه: 9623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و نستعلیق، کا: مهدی بن حسین حسینی خادم پنجه شاه، تا: نیمه اول قرن 13؛ مصحح، مقابله شده؛ واقف: خان بابا مشار، اردیبهشت 1364؛ کاغذ: فرنگی آهار مهره شکری، جلد: میشن ،خرمایی 164گ، مختلف السطر اندازه: 15</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16 - 11]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آران کاشان؛ محمد هلال؛ شماره نسخه: 113/1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غلامرضا بن محمد علی کاشانی آرانی، تا: 28 صفر 1219ق؛ محشی با امضای«غلامرضا و منه دام ظله»؛ وقف نامه نسخه توسط غلامرضا بن محمد علی آرانی در سال 1265ق با مهر وى «المتوكل على الله عبده غلامرضا» (مربع)؛ جلد: گالینگور قهوه ای عطف تیماج، 130گ، 23 سطر، اندازه: 16</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سم [محمد هلال مخ: 11]</w:t>
      </w:r>
    </w:p>
    <w:p>
      <w:pPr>
        <w:pStyle w:val="BookText"/>
      </w:pPr>
      <w:r>
        <w:rPr>
          <w:rFonts w:ascii="IRNazanin" w:hAnsi="IRNazanin" w:eastAsia="IRNazanin" w:cs="IRNazanin"/>
          <w:lang w:bidi="fa-IR"/>
          <w:color w:val="111111"/>
          <w:sz w:val="28"/>
          <w:szCs w:val="28"/>
          <w:rtl/>
        </w:rPr>
        <w:t xml:space="preserve">قم؛ مرکز احیاء؛ شماره نسخه: 2103/1</w:t>
      </w:r>
    </w:p>
    <w:p>
      <w:pPr>
        <w:pStyle w:val="BookText"/>
      </w:pPr>
      <w:r>
        <w:rPr>
          <w:rFonts w:ascii="IRNazanin" w:hAnsi="IRNazanin" w:eastAsia="IRNazanin" w:cs="IRNazanin"/>
          <w:lang w:bidi="fa-IR"/>
          <w:color w:val="111111"/>
          <w:sz w:val="28"/>
          <w:szCs w:val="28"/>
          <w:rtl/>
        </w:rPr>
        <w:t xml:space="preserve">نسخه اصل: همان نسخه بالا [ عکسی ف: 6 - 128]</w:t>
      </w:r>
    </w:p>
    <w:p>
      <w:pPr>
        <w:pStyle w:val="BookText"/>
      </w:pPr>
      <w:r>
        <w:rPr>
          <w:rFonts w:ascii="IRNazanin" w:hAnsi="IRNazanin" w:eastAsia="IRNazanin" w:cs="IRNazanin"/>
          <w:lang w:bidi="fa-IR"/>
          <w:color w:val="111111"/>
          <w:sz w:val="28"/>
          <w:szCs w:val="28"/>
          <w:rtl/>
        </w:rPr>
        <w:t xml:space="preserve">4 ،کاشان ،عاطفی افشین؛ شماره نسخه: 2</w:t>
      </w:r>
    </w:p>
    <w:p>
      <w:pPr>
        <w:pStyle w:val="BookText"/>
      </w:pPr>
      <w:r>
        <w:rPr>
          <w:rFonts w:ascii="IRNazanin" w:hAnsi="IRNazanin" w:eastAsia="IRNazanin" w:cs="IRNazanin"/>
          <w:lang w:bidi="fa-IR"/>
          <w:color w:val="111111"/>
          <w:sz w:val="28"/>
          <w:szCs w:val="28"/>
          <w:rtl/>
        </w:rPr>
        <w:t xml:space="preserve">خط: نسخ، کا: سید مهدی بن حسین حسینی خادم پنجه شاه، تا: ذیقعده 1221ق؛ محشی با عنوان «ابوتراب» ودیگری از «یحیی بن محمدعلی» کاشانی معروف به شیخ یحیی کاشانی آزادی خواه دروه مشروطه، کاغذ: الوان، جلد: مقوایی عطف تیماج قهوه ای سوخته، 198گ 16 سطر :اندازه: 15/5</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سم [ف: 9]</w:t>
      </w:r>
    </w:p>
    <w:p>
      <w:pPr>
        <w:pStyle w:val="BookText"/>
      </w:pPr>
      <w:r>
        <w:rPr>
          <w:rFonts w:ascii="IRNazanin" w:hAnsi="IRNazanin" w:eastAsia="IRNazanin" w:cs="IRNazanin"/>
          <w:lang w:bidi="fa-IR"/>
          <w:color w:val="111111"/>
          <w:sz w:val="28"/>
          <w:szCs w:val="28"/>
          <w:rtl/>
        </w:rPr>
        <w:t xml:space="preserve">5.مشهد؛ رضوی؛ شماره نسخه: 20573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حسن بن ابراهیم ،کاشانی، تا: چهارشنبه 3 ذیحجه 1221ق؛ مصحح، مقابله شده؛ اهدایی رهبری حضرت، خرداد 1374؛ در فهرست هزار و پانصد نسخه با شماره 320 معرفی شده است؛ کاغذ: فرنگی شکری، جلد: میشن خرمایی، عطف تیماج ،عنابی ،159گ 21 ،سطر، اندازه: 15/5</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سم [ف: 16 – 10] -</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قم ؛مرعشی ؛شماره نسخه: 8795/1</w:t>
      </w:r>
    </w:p>
    <w:p>
      <w:pPr>
        <w:pStyle w:val="BookText"/>
      </w:pPr>
      <w:r>
        <w:rPr>
          <w:rFonts w:ascii="IRNazanin" w:hAnsi="IRNazanin" w:eastAsia="IRNazanin" w:cs="IRNazanin"/>
          <w:lang w:bidi="fa-IR"/>
          <w:color w:val="111111"/>
          <w:sz w:val="28"/>
          <w:szCs w:val="28"/>
          <w:rtl/>
        </w:rPr>
        <w:t xml:space="preserve">خط: نسخ، کا: محمد بن محمد خان خوانساری، تا: 1228ق؛ جلد: تیماج ،روغنی 133گ( 2پ - 135پ)، اندازه: 14/5 </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22 - 327]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مشهد؛ رضوی؛ شماره نسخه: 19844</w:t>
      </w:r>
    </w:p>
    <w:p>
      <w:pPr>
        <w:pStyle w:val="BookText"/>
      </w:pPr>
      <w:r>
        <w:rPr>
          <w:rFonts w:ascii="Amiri" w:hAnsi="Amiri" w:eastAsia="Amiri" w:cs="Amiri"/>
          <w:lang w:bidi="ar-SA"/>
          <w:color w:val="111111"/>
          <w:sz w:val="28"/>
          <w:szCs w:val="28"/>
          <w:rtl/>
        </w:rPr>
        <w:t xml:space="preserve">آغاز: فائده مهمة اعلم ان من باب تعارض العام والخاص؛ انجام: قد يشغل لما يورث من الضعف او يشغل عن الصوم في يوم اخر غيره.</w:t>
      </w:r>
    </w:p>
    <w:p>
      <w:pPr>
        <w:pStyle w:val="BookText"/>
      </w:pPr>
      <w:r>
        <w:rPr>
          <w:rFonts w:ascii="IRNazanin" w:hAnsi="IRNazanin" w:eastAsia="IRNazanin" w:cs="IRNazanin"/>
          <w:lang w:bidi="fa-IR"/>
          <w:color w:val="111111"/>
          <w:sz w:val="28"/>
          <w:szCs w:val="28"/>
          <w:rtl/>
        </w:rPr>
        <w:t xml:space="preserve">از فائده دوم از اصل چهارم کتاب در اجتماع امر و نهی که انفراد در کتابت شد اما صاحب الذریعه آن را رساله ای مستقل معرفی نموده است. [الذریعة ،1: 267]؛ خط: نسخ تحریری، کا: شریف بن محمد صادق بروجردی ،تا: دوشنبه 18 شعبان 1239ق، جا: کربلای معلی؛ دارای حاشیه از ریحان الله موسوی، ضمیمه نسخه شماره 19841؛ اهدایی  رهبری، خرداد 1373؛ کاغذ: فرنگی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91" w:name="pg20365_260117"/>
    <w:bookmarkEnd w:id="91"/>
    <w:p>
      <w:pPr>
        <w:pStyle w:val="BookText"/>
      </w:pPr>
      <w:r>
        <w:rPr>
          <w:rFonts w:ascii="IRNazanin" w:hAnsi="IRNazanin" w:eastAsia="IRNazanin" w:cs="IRNazanin"/>
          <w:lang w:bidi="fa-IR"/>
          <w:color w:val="111111"/>
          <w:sz w:val="28"/>
          <w:szCs w:val="28"/>
          <w:rtl/>
        </w:rPr>
        <w:t xml:space="preserve">نخودی، 17گ، 21 سطر، اندازه: 15/5</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سم [ف: 16 - 12]</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قم؛ مرعشی؛ شماره نسخه: 6428</w:t>
      </w:r>
    </w:p>
    <w:p>
      <w:pPr>
        <w:pStyle w:val="BookText"/>
      </w:pPr>
      <w:r>
        <w:rPr>
          <w:rFonts w:ascii="IRNazanin" w:hAnsi="IRNazanin" w:eastAsia="IRNazanin" w:cs="IRNazanin"/>
          <w:lang w:bidi="fa-IR"/>
          <w:color w:val="111111"/>
          <w:sz w:val="28"/>
          <w:szCs w:val="28"/>
          <w:rtl/>
        </w:rPr>
        <w:t xml:space="preserve">خط ،نسخ، بی کا، تا: 13 جمادی الثانی 1267ق؛ جلد: تیماج قرمز، 163گ، 20 سطر، اندازه: 15</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 17 - 38]</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قم؛ مرعشی؛ شماره نسخه: 4805</w:t>
      </w:r>
    </w:p>
    <w:p>
      <w:pPr>
        <w:pStyle w:val="BookText"/>
      </w:pPr>
      <w:r>
        <w:rPr>
          <w:rFonts w:ascii="Amiri" w:hAnsi="Amiri" w:eastAsia="Amiri" w:cs="Amiri"/>
          <w:lang w:bidi="ar-SA"/>
          <w:color w:val="111111"/>
          <w:sz w:val="28"/>
          <w:szCs w:val="28"/>
          <w:rtl/>
        </w:rPr>
        <w:t xml:space="preserve">آغاز: برابر؛ انجام: و الصلاة على النبى و الال سيما صاحبنا و سلطاننا عجل الله فرجه و جعلنا من أنصاره و عدده</w:t>
      </w:r>
    </w:p>
    <w:p>
      <w:pPr>
        <w:pStyle w:val="BookText"/>
      </w:pPr>
      <w:r>
        <w:rPr>
          <w:rFonts w:ascii="IRNazanin" w:hAnsi="IRNazanin" w:eastAsia="IRNazanin" w:cs="IRNazanin"/>
          <w:lang w:bidi="fa-IR"/>
          <w:color w:val="111111"/>
          <w:sz w:val="28"/>
          <w:szCs w:val="28"/>
          <w:rtl/>
        </w:rPr>
        <w:t xml:space="preserve">خط: نسخ، بی کا، بی تا؛ مصحح؛ جلد: تیماج مشکی، 135گ، 21سطر ،اندازه: 14/5</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13 – 6]</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تهران؛ چهل ستون؛ شماره نسخه: 45</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بی کا، بی تا؛ 160گ قطع: خشتی [ چند نسخه -ف: 312]</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تهران؛ چهل ستون؛ شماره نسخه: 46</w:t>
      </w:r>
    </w:p>
    <w:p>
      <w:pPr>
        <w:pStyle w:val="BookText"/>
      </w:pPr>
      <w:r>
        <w:rPr>
          <w:rFonts w:ascii="IRNazanin" w:hAnsi="IRNazanin" w:eastAsia="IRNazanin" w:cs="IRNazanin"/>
          <w:lang w:bidi="fa-IR"/>
          <w:color w:val="111111"/>
          <w:sz w:val="28"/>
          <w:szCs w:val="28"/>
          <w:rtl/>
        </w:rPr>
        <w:t xml:space="preserve">خط: نستعلیق، بی کا، بی تا: [چند نسخه -ف: - 312]</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همدان؛ مدرسه غرب؛ شماره نسخه: 4617/2</w:t>
      </w:r>
    </w:p>
    <w:p>
      <w:pPr>
        <w:pStyle w:val="BookText"/>
      </w:pPr>
      <w:r>
        <w:rPr>
          <w:rFonts w:ascii="IRNazanin" w:hAnsi="IRNazanin" w:eastAsia="IRNazanin" w:cs="IRNazanin"/>
          <w:lang w:bidi="fa-IR"/>
          <w:color w:val="111111"/>
          <w:sz w:val="28"/>
          <w:szCs w:val="28"/>
          <w:rtl/>
        </w:rPr>
        <w:t xml:space="preserve">خط: نسخ، بی کا، بی تا؛ قطع: خشتی [رشت و همدان - ف: 1511]</w:t>
      </w:r>
    </w:p>
    <w:p>
      <w:pPr>
        <w:pStyle w:val="BookText"/>
      </w:pPr>
      <w:r>
        <w:rPr>
          <w:rFonts w:ascii="IRNazanin" w:hAnsi="IRNazanin" w:eastAsia="IRNazanin" w:cs="IRNazanin"/>
          <w:lang w:bidi="fa-IR"/>
          <w:color w:val="111111"/>
          <w:sz w:val="28"/>
          <w:szCs w:val="28"/>
          <w:rtl/>
        </w:rPr>
        <w:t xml:space="preserve">13 . مشهد؛ الهیات؛ شماره نسخه: 14815</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بی کا، بی تا؛ در پشت صفحه اول یادداشت وقف است ؛کاغذ: فرنگی آهار مهره ،جلد: مرغش زرافشان عطف میشن مشکی، 434 ص 16 سطر، قطع :پستی [ف 2 - 116]</w:t>
      </w:r>
    </w:p>
    <w:p>
      <w:pPr>
        <w:pStyle w:val="Heading3"/>
      </w:pPr>
      <w:bookmarkStart w:id="756" w:name="_Toc278"/>
      <w:r>
        <w:t>اساس الاحكام النجومية (ترجمه) / هیئت / فارسی</w:t>
      </w:r>
      <w:bookmarkEnd w:id="756"/>
    </w:p>
    <w:p>
      <w:pPr>
        <w:pStyle w:val="BookText"/>
      </w:pPr>
      <w:r>
        <w:rPr>
          <w:rFonts w:ascii="Times New Roman" w:hAnsi="Times New Roman" w:eastAsia="Times New Roman" w:cs="Times New Roman"/>
          <w:lang w:val="en-US" w:bidi="en-US"/>
          <w:color w:val="111111"/>
          <w:sz w:val="28"/>
          <w:szCs w:val="28"/>
          <w:rtl/>
        </w:rPr>
        <w:t xml:space="preserve">(asās-ul aḥkām-in nujūmīya (t.)</w:t>
      </w:r>
    </w:p>
    <w:p>
      <w:pPr>
        <w:pStyle w:val="BookText"/>
      </w:pPr>
      <w:r>
        <w:rPr>
          <w:rFonts w:ascii="IRNazanin" w:hAnsi="IRNazanin" w:eastAsia="IRNazanin" w:cs="IRNazanin"/>
          <w:lang w:bidi="fa-IR"/>
          <w:color w:val="111111"/>
          <w:sz w:val="28"/>
          <w:szCs w:val="28"/>
          <w:rtl/>
        </w:rPr>
        <w:t xml:space="preserve">یزدی، ابوالقاسم بن احمد، ق13 قمری</w:t>
      </w:r>
    </w:p>
    <w:p>
      <w:pPr>
        <w:pStyle w:val="BookText"/>
      </w:pPr>
      <w:r>
        <w:rPr>
          <w:rFonts w:ascii="Times New Roman" w:hAnsi="Times New Roman" w:eastAsia="Times New Roman" w:cs="Times New Roman"/>
          <w:lang w:val="en-US" w:bidi="en-US"/>
          <w:color w:val="111111"/>
          <w:sz w:val="28"/>
          <w:szCs w:val="28"/>
          <w:rtl/>
        </w:rPr>
        <w:t xml:space="preserve">(yazdī, ab-ol-qāsem ebn-e ahmad ( - 19c)</w:t>
      </w:r>
    </w:p>
    <w:p>
      <w:pPr>
        <w:pStyle w:val="BookText"/>
      </w:pPr>
      <w:r>
        <w:rPr>
          <w:rFonts w:ascii="IRNazanin" w:hAnsi="IRNazanin" w:eastAsia="IRNazanin" w:cs="IRNazanin"/>
          <w:lang w:bidi="fa-IR"/>
          <w:color w:val="111111"/>
          <w:sz w:val="28"/>
          <w:szCs w:val="28"/>
          <w:rtl/>
        </w:rPr>
        <w:t xml:space="preserve">اهدا به: محمد ولی میرزا</w:t>
      </w:r>
    </w:p>
    <w:p>
      <w:pPr>
        <w:pStyle w:val="BookText"/>
      </w:pPr>
      <w:r>
        <w:rPr>
          <w:rFonts w:ascii="IRNazanin" w:hAnsi="IRNazanin" w:eastAsia="IRNazanin" w:cs="IRNazanin"/>
          <w:lang w:bidi="fa-IR"/>
          <w:color w:val="111111"/>
          <w:sz w:val="28"/>
          <w:szCs w:val="28"/>
          <w:rtl/>
        </w:rPr>
        <w:t xml:space="preserve">ترجمه «اساس الاحكام النجوميه» ابوسعد ابن منصور بن علی بندار دامغانی (-507ق) است که برای محمد ولی میرزا در هفت «مقاله» و سی «باب» تدوین شده است ترجمه حاضر دارای همین عناوین اصل اما خطبه و دیباچه از مترجم است (و خطبه اصل را ترجمه نکرده است).</w:t>
      </w:r>
    </w:p>
    <w:p>
      <w:pPr>
        <w:pStyle w:val="BookText"/>
      </w:pPr>
      <w:r>
        <w:rPr>
          <w:rFonts w:ascii="IRNazanin" w:hAnsi="IRNazanin" w:eastAsia="IRNazanin" w:cs="IRNazanin"/>
          <w:lang w:bidi="fa-IR"/>
          <w:color w:val="111111"/>
          <w:sz w:val="28"/>
          <w:szCs w:val="28"/>
          <w:rtl/>
        </w:rPr>
        <w:t xml:space="preserve">آغاز: جواهر حمد و در سپاس بیرون از اندازه و هم قیاس سزاوار نثار بارگاه حکیمی است</w:t>
      </w:r>
    </w:p>
    <w:p>
      <w:pPr>
        <w:pStyle w:val="BookText"/>
      </w:pPr>
      <w:r>
        <w:rPr>
          <w:rFonts w:ascii="IRNazanin" w:hAnsi="IRNazanin" w:eastAsia="IRNazanin" w:cs="IRNazanin"/>
          <w:lang w:bidi="fa-IR"/>
          <w:color w:val="111111"/>
          <w:sz w:val="28"/>
          <w:szCs w:val="28"/>
          <w:rtl/>
        </w:rPr>
        <w:t xml:space="preserve">انجام: به خانه های سعود دلالت کند بر خیر و خوبی خدا ختم کند آخر ما را به خیر و خوبی ... عليهما اجمعين.</w:t>
      </w:r>
    </w:p>
    <w:p>
      <w:pPr>
        <w:pStyle w:val="BookText"/>
      </w:pPr>
      <w:r>
        <w:rPr>
          <w:rFonts w:ascii="IRNazanin" w:hAnsi="IRNazanin" w:eastAsia="IRNazanin" w:cs="IRNazanin"/>
          <w:lang w:bidi="fa-IR"/>
          <w:color w:val="111111"/>
          <w:sz w:val="28"/>
          <w:szCs w:val="28"/>
          <w:rtl/>
        </w:rPr>
        <w:t xml:space="preserve">[فهرستواره منزوی 2850/4]</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ملک؛ شماره نسخه: 3331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نام مؤلف به قرینه آغاز نسخه تعیین شد؛ خط: نسخ ، بی کا، تا: قرن 13؛ كاغذ: كاغذ فستقی ،جلد: میشن سیاه 228 گ 18 سطر :اندازه: 16</w:t>
      </w:r>
      <w:r>
        <w:rPr>
          <w:rFonts w:ascii="Times New Roman" w:hAnsi="Times New Roman" w:eastAsia="Times New Roman" w:cs="Times New Roman"/>
          <w:lang w:val="en-US" w:bidi="en-US"/>
          <w:color w:val="111111"/>
          <w:sz w:val="28"/>
          <w:szCs w:val="28"/>
          <w:rtl/>
        </w:rPr>
        <w:t xml:space="preserve">×21/1</w:t>
      </w:r>
      <w:r>
        <w:rPr>
          <w:rFonts w:ascii="IRNazanin" w:hAnsi="IRNazanin" w:eastAsia="IRNazanin" w:cs="IRNazanin"/>
          <w:lang w:bidi="fa-IR"/>
          <w:color w:val="111111"/>
          <w:sz w:val="28"/>
          <w:szCs w:val="28"/>
          <w:rtl/>
        </w:rPr>
        <w:t xml:space="preserve">سم [ف: 2 - 127]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مجلس؛ شماره نسخه: 6323/2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1255ق؛ کاغذ: فرنگی، جلد: تیماج قرمز، 358 ص (40-397 )، 21 ،سطر، قطع: رحلی :اندازه: 17/5</w:t>
      </w:r>
      <w:r>
        <w:rPr>
          <w:rFonts w:ascii="Times New Roman" w:hAnsi="Times New Roman" w:eastAsia="Times New Roman" w:cs="Times New Roman"/>
          <w:lang w:val="en-US" w:bidi="en-US"/>
          <w:color w:val="111111"/>
          <w:sz w:val="28"/>
          <w:szCs w:val="28"/>
          <w:rtl/>
        </w:rPr>
        <w:t xml:space="preserve">× 27</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[ف 19 - 325]</w:t>
      </w:r>
    </w:p>
    <w:p>
      <w:pPr>
        <w:pStyle w:val="Heading3"/>
      </w:pPr>
      <w:bookmarkStart w:id="757" w:name="_Toc279"/>
      <w:r>
        <w:t>اساس الادیان / ادیان و مذاهب / فارسی</w:t>
      </w:r>
      <w:bookmarkEnd w:id="757"/>
    </w:p>
    <w:p>
      <w:pPr>
        <w:pStyle w:val="BookText"/>
      </w:pPr>
      <w:r>
        <w:rPr>
          <w:rFonts w:ascii="Times New Roman" w:hAnsi="Times New Roman" w:eastAsia="Times New Roman" w:cs="Times New Roman"/>
          <w:lang w:val="en-US" w:bidi="en-US"/>
          <w:color w:val="111111"/>
          <w:sz w:val="28"/>
          <w:szCs w:val="28"/>
          <w:rtl/>
        </w:rPr>
        <w:t xml:space="preserve">asas-ol-adyan</w:t>
      </w:r>
    </w:p>
    <w:p>
      <w:pPr>
        <w:pStyle w:val="BookText"/>
      </w:pPr>
      <w:r>
        <w:rPr>
          <w:rFonts w:ascii="IRNazanin" w:hAnsi="IRNazanin" w:eastAsia="IRNazanin" w:cs="IRNazanin"/>
          <w:lang w:bidi="fa-IR"/>
          <w:color w:val="111111"/>
          <w:sz w:val="28"/>
          <w:szCs w:val="28"/>
          <w:rtl/>
        </w:rPr>
        <w:t xml:space="preserve">کاشانی، محمد اشرف بن محمد مهدی، ق 12 قمری</w:t>
      </w:r>
    </w:p>
    <w:p>
      <w:pPr>
        <w:pStyle w:val="BookText"/>
      </w:pPr>
      <w:r>
        <w:rPr>
          <w:rFonts w:ascii="Times New Roman" w:hAnsi="Times New Roman" w:eastAsia="Times New Roman" w:cs="Times New Roman"/>
          <w:lang w:val="en-US" w:bidi="en-US"/>
          <w:color w:val="111111"/>
          <w:sz w:val="28"/>
          <w:szCs w:val="28"/>
          <w:rtl/>
        </w:rPr>
        <w:t xml:space="preserve">kāšānī, mohammad ašraf ebn-e mohammad mahdī (-</w:t>
      </w:r>
    </w:p>
    <w:p>
      <w:pPr>
        <w:pStyle w:val="BookText"/>
      </w:pPr>
      <w:r>
        <w:rPr>
          <w:rFonts w:ascii="Times New Roman" w:hAnsi="Times New Roman" w:eastAsia="Times New Roman" w:cs="Times New Roman"/>
          <w:lang w:val="en-US" w:bidi="en-US"/>
          <w:color w:val="111111"/>
          <w:sz w:val="28"/>
          <w:szCs w:val="28"/>
          <w:rtl/>
        </w:rPr>
        <w:t xml:space="preserve">(18c-)</w:t>
      </w:r>
    </w:p>
    <w:p>
      <w:pPr>
        <w:pStyle w:val="BookText"/>
      </w:pPr>
      <w:r>
        <w:rPr>
          <w:rFonts w:ascii="IRNazanin" w:hAnsi="IRNazanin" w:eastAsia="IRNazanin" w:cs="IRNazanin"/>
          <w:lang w:bidi="fa-IR"/>
          <w:color w:val="111111"/>
          <w:sz w:val="28"/>
          <w:szCs w:val="28"/>
          <w:rtl/>
        </w:rPr>
        <w:t xml:space="preserve">سال تألیف: 11140ق</w:t>
      </w:r>
    </w:p>
    <w:p>
      <w:pPr>
        <w:pStyle w:val="BookText"/>
      </w:pPr>
      <w:r>
        <w:rPr>
          <w:rFonts w:ascii="IRNazanin" w:hAnsi="IRNazanin" w:eastAsia="IRNazanin" w:cs="IRNazanin"/>
          <w:lang w:bidi="fa-IR"/>
          <w:color w:val="111111"/>
          <w:sz w:val="28"/>
          <w:szCs w:val="28"/>
          <w:rtl/>
        </w:rPr>
        <w:t xml:space="preserve">مشتمل بر یک «مقدمه» و سه «اصل» و «خاتمه»: مقدمه در سبب اختلاف امت، که در آن از مذاهب فلاسفه و هنود و مجوس و اسلام بحث شده؛ اصل 1. مذاهب غیر مسلمان؛ اصل 2. مذاهب اسلام؛ اصل 3. فرقه ناجیه؛ خاتمه در سرگذشت امام دوازدهم. نام کتاب و مؤلف در دیباچه هست.</w:t>
      </w:r>
    </w:p>
    <w:p>
      <w:pPr>
        <w:pStyle w:val="BookText"/>
      </w:pPr>
      <w:r>
        <w:rPr>
          <w:rFonts w:ascii="IRNazanin" w:hAnsi="IRNazanin" w:eastAsia="IRNazanin" w:cs="IRNazanin"/>
          <w:lang w:bidi="fa-IR"/>
          <w:color w:val="111111"/>
          <w:sz w:val="28"/>
          <w:szCs w:val="28"/>
          <w:rtl/>
        </w:rPr>
        <w:t xml:space="preserve">تهران؛ دانشگاه؛ شماره نسخه: 3277</w:t>
      </w:r>
    </w:p>
    <w:p>
      <w:pPr>
        <w:pStyle w:val="BookText"/>
      </w:pPr>
      <w:r>
        <w:rPr>
          <w:rFonts w:ascii="IRNazanin" w:hAnsi="IRNazanin" w:eastAsia="IRNazanin" w:cs="IRNazanin"/>
          <w:lang w:bidi="fa-IR"/>
          <w:color w:val="111111"/>
          <w:sz w:val="28"/>
          <w:szCs w:val="28"/>
          <w:rtl/>
        </w:rPr>
        <w:t xml:space="preserve">آغاز: بسمله. الحمد الله الذى خلقنا فهدانا وربانا فاعطانا ... اما بعد چون بمقتضای آیه کریمه و ما خلقت الجن و الانس الا ليعبدون بر هر یک از احاد مكلفين مومنین معرفترب العالمین و بندگی او بر وجه یقین و اخذ مسائل دین از پیشوایان و محققین واجب و لازم است؛ انجام: سعید بن جبیر از حمله علما و صلحای عظام بود ... و قبر او در واسط است (فصل دوم اساس سیم اصل سیم) ؛خط: شکسته، نستعلیق، بی کا، تا: قرن 12 و 13؛ افتادگی: انجام؛ مهر: حسین؛ کاغذ ،فرنگی ،جلد: تیماج سرخ مقوایی، 48گ، 17 سطر :(8/5</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اندازه: 15 </w:t>
      </w:r>
      <w:r>
        <w:rPr>
          <w:rFonts w:ascii="Times New Roman" w:hAnsi="Times New Roman" w:eastAsia="Times New Roman" w:cs="Times New Roman"/>
          <w:lang w:val="en-US" w:bidi="en-US"/>
          <w:color w:val="111111"/>
          <w:sz w:val="28"/>
          <w:szCs w:val="28"/>
          <w:rtl/>
        </w:rPr>
        <w:t xml:space="preserve">× 20</w:t>
      </w:r>
      <w:r>
        <w:rPr>
          <w:rFonts w:ascii="IRNazanin" w:hAnsi="IRNazanin" w:eastAsia="IRNazanin" w:cs="IRNazanin"/>
          <w:lang w:bidi="fa-IR"/>
          <w:color w:val="111111"/>
          <w:sz w:val="28"/>
          <w:szCs w:val="28"/>
          <w:rtl/>
        </w:rPr>
        <w:t xml:space="preserve">سم [ف : 11 - 2236]</w:t>
      </w:r>
    </w:p>
    <w:p>
      <w:pPr>
        <w:pStyle w:val="Heading3"/>
      </w:pPr>
      <w:bookmarkStart w:id="758" w:name="_Toc280"/>
      <w:r>
        <w:t>اساس الادیان (منتخب) / ادیان و مذاهب / فارسی</w:t>
      </w:r>
      <w:bookmarkEnd w:id="758"/>
    </w:p>
    <w:p>
      <w:pPr>
        <w:pStyle w:val="BookText"/>
      </w:pPr>
      <w:r>
        <w:rPr>
          <w:rFonts w:ascii="Times New Roman" w:hAnsi="Times New Roman" w:eastAsia="Times New Roman" w:cs="Times New Roman"/>
          <w:lang w:val="en-US" w:bidi="en-US"/>
          <w:color w:val="111111"/>
          <w:sz w:val="28"/>
          <w:szCs w:val="28"/>
          <w:rtl/>
        </w:rPr>
        <w:t xml:space="preserve">(asās-ol-adyān (mn.)</w:t>
      </w:r>
    </w:p>
    <w:p>
      <w:pPr>
        <w:pStyle w:val="BookText"/>
      </w:pPr>
      <w:r>
        <w:rPr>
          <w:rFonts w:ascii="IRNazanin" w:hAnsi="IRNazanin" w:eastAsia="IRNazanin" w:cs="IRNazanin"/>
          <w:lang w:bidi="fa-IR"/>
          <w:color w:val="111111"/>
          <w:sz w:val="28"/>
          <w:szCs w:val="28"/>
          <w:rtl/>
        </w:rPr>
        <w:t xml:space="preserve">گفتاری است ظاهراً منتخب از اساس الادیان کاشانی (کتاب قبلی) در بیان مذاهب و ادیان و ملل مختلف در یک«مقدمه» سه «اصل» و یک «خاتمه» مقدمه در سبب اختلاف مذاهب؛ اصل .1. مذاهب هنود و بت پرستان (فرق مجوس و یهود و نصاری نیز در این اصل آمده است)؛ اصل 2. مذاهب اسلامی؛ اصل 3. فرقه ناجیه در این اصل حالات پیغمبر اکرم و ائمه طاهرین (علیهم السّلام) و گروهی از صحابه و تابعین و فقهاء و محدثین و بزرگان شیعه نیز مذکور است این کتاب به فارسی است و گاهی بعضی قطعه ها را به عربی نگاشته است.</w:t>
      </w:r>
    </w:p>
    <w:p>
      <w:pPr>
        <w:pStyle w:val="BookText"/>
      </w:pPr>
      <w:r>
        <w:rPr>
          <w:rFonts w:ascii="IRNazanin" w:hAnsi="IRNazanin" w:eastAsia="IRNazanin" w:cs="IRNazanin"/>
          <w:lang w:bidi="fa-IR"/>
          <w:color w:val="111111"/>
          <w:sz w:val="28"/>
          <w:szCs w:val="28"/>
          <w:rtl/>
        </w:rPr>
        <w:t xml:space="preserve">قم؛ مرعشی؛ شماره نسخه: 750/5</w:t>
      </w:r>
    </w:p>
    <w:p>
      <w:pPr>
        <w:pStyle w:val="BookText"/>
      </w:pPr>
      <w:r>
        <w:rPr>
          <w:rFonts w:ascii="Amiri" w:hAnsi="Amiri" w:eastAsia="Amiri" w:cs="Amiri"/>
          <w:lang w:bidi="ar-SA"/>
          <w:color w:val="111111"/>
          <w:sz w:val="28"/>
          <w:szCs w:val="28"/>
          <w:rtl/>
        </w:rPr>
        <w:t xml:space="preserve">آغاز: الحمد لله الذي خلقنا فهدانا و ربانا فأعطانا ... أما بعد فهذه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92" w:name="pg20365_260118"/>
    <w:bookmarkEnd w:id="92"/>
    <w:p>
      <w:pPr>
        <w:pStyle w:val="BookText"/>
      </w:pPr>
      <w:r>
        <w:rPr>
          <w:rFonts w:ascii="IRNazanin" w:hAnsi="IRNazanin" w:eastAsia="IRNazanin" w:cs="IRNazanin"/>
          <w:lang w:bidi="fa-IR"/>
          <w:color w:val="111111"/>
          <w:sz w:val="28"/>
          <w:szCs w:val="28"/>
          <w:rtl/>
        </w:rPr>
        <w:t xml:space="preserve">وجيزة منتخبة من أساس الاديان؛ انجام: یا بشيخ بهاء الدين محمد عاملی یا بمیر محمد باقر داماد منتهی می گردد.</w:t>
      </w:r>
    </w:p>
    <w:p>
      <w:pPr>
        <w:pStyle w:val="BookText"/>
      </w:pPr>
      <w:r>
        <w:rPr>
          <w:rFonts w:ascii="IRNazanin" w:hAnsi="IRNazanin" w:eastAsia="IRNazanin" w:cs="IRNazanin"/>
          <w:lang w:bidi="fa-IR"/>
          <w:color w:val="111111"/>
          <w:sz w:val="28"/>
          <w:szCs w:val="28"/>
          <w:rtl/>
        </w:rPr>
        <w:t xml:space="preserve">خط: نسخ، کا: محمد بن حسین خراسانی کرمانشاهی بی تا؛ جلد:  تيماج ،مشکی، 32گ (161پ-193ر) اندازه: 15</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2- 354]</w:t>
      </w:r>
    </w:p>
    <w:p>
      <w:pPr>
        <w:pStyle w:val="Heading3"/>
      </w:pPr>
      <w:bookmarkStart w:id="759" w:name="_Toc281"/>
      <w:r>
        <w:t>اساس الإسلام / كلام و اعتقادات، فقه / فارسی</w:t>
      </w:r>
      <w:bookmarkEnd w:id="759"/>
    </w:p>
    <w:p>
      <w:pPr>
        <w:pStyle w:val="BookText"/>
      </w:pPr>
      <w:r>
        <w:rPr>
          <w:rFonts w:ascii="Times New Roman" w:hAnsi="Times New Roman" w:eastAsia="Times New Roman" w:cs="Times New Roman"/>
          <w:lang w:val="en-US" w:bidi="en-US"/>
          <w:color w:val="111111"/>
          <w:sz w:val="28"/>
          <w:szCs w:val="28"/>
          <w:rtl/>
        </w:rPr>
        <w:t xml:space="preserve">asās-ol-eslām</w:t>
      </w:r>
    </w:p>
    <w:p>
      <w:pPr>
        <w:pStyle w:val="BookText"/>
      </w:pPr>
      <w:r>
        <w:rPr>
          <w:rFonts w:ascii="IRNazanin" w:hAnsi="IRNazanin" w:eastAsia="IRNazanin" w:cs="IRNazanin"/>
          <w:lang w:bidi="fa-IR"/>
          <w:color w:val="111111"/>
          <w:sz w:val="28"/>
          <w:szCs w:val="28"/>
          <w:rtl/>
        </w:rPr>
        <w:t xml:space="preserve">درویزه ننگرهاری، – 1048 قمری</w:t>
      </w:r>
    </w:p>
    <w:p>
      <w:pPr>
        <w:pStyle w:val="BookText"/>
      </w:pPr>
      <w:r>
        <w:rPr>
          <w:rFonts w:ascii="Times New Roman" w:hAnsi="Times New Roman" w:eastAsia="Times New Roman" w:cs="Times New Roman"/>
          <w:lang w:val="en-US" w:bidi="en-US"/>
          <w:color w:val="111111"/>
          <w:sz w:val="28"/>
          <w:szCs w:val="28"/>
          <w:rtl/>
        </w:rPr>
        <w:t xml:space="preserve">(darvīze nangerhārī ( - 1639)</w:t>
      </w:r>
    </w:p>
    <w:p>
      <w:pPr>
        <w:pStyle w:val="BookText"/>
      </w:pPr>
      <w:r>
        <w:rPr>
          <w:rFonts w:ascii="IRNazanin" w:hAnsi="IRNazanin" w:eastAsia="IRNazanin" w:cs="IRNazanin"/>
          <w:lang w:bidi="fa-IR"/>
          <w:color w:val="111111"/>
          <w:sz w:val="28"/>
          <w:szCs w:val="28"/>
          <w:rtl/>
        </w:rPr>
        <w:t xml:space="preserve">رساله ای است با عناوین «مسئله- مسئله» در عقاید و احکام اسلام که نخست مطالبی پیرامون ایمان آورده سپس احکام فقهی بدون در نظر گرفتن ترتیب ابواب فقهی بیان داشته است .مؤلف در این رساله از کتاب هایی چون «شرح قدوری» «فواید دینیه» «تفسیر قاضی شهاب»، «تفسیر یعقوب چرخی» و ... نقل نموده است.</w:t>
      </w:r>
    </w:p>
    <w:p>
      <w:pPr>
        <w:pStyle w:val="BookText"/>
      </w:pPr>
      <w:r>
        <w:rPr>
          <w:rFonts w:ascii="IRNazanin" w:hAnsi="IRNazanin" w:eastAsia="IRNazanin" w:cs="IRNazanin"/>
          <w:lang w:bidi="fa-IR"/>
          <w:color w:val="111111"/>
          <w:sz w:val="28"/>
          <w:szCs w:val="28"/>
          <w:rtl/>
        </w:rPr>
        <w:t xml:space="preserve">[فهرست مشترک پاکستان 394/14؛ دانشنامه ادب فارسی (افغانستان): 3/ 397]</w:t>
      </w:r>
    </w:p>
    <w:p>
      <w:pPr>
        <w:pStyle w:val="BookText"/>
      </w:pPr>
      <w:r>
        <w:rPr>
          <w:rFonts w:ascii="IRNazanin" w:hAnsi="IRNazanin" w:eastAsia="IRNazanin" w:cs="IRNazanin"/>
          <w:lang w:bidi="fa-IR"/>
          <w:color w:val="111111"/>
          <w:sz w:val="28"/>
          <w:szCs w:val="28"/>
          <w:rtl/>
        </w:rPr>
        <w:t xml:space="preserve">قم؛ مرعشی؛ شماره نسخه: 13948/5</w:t>
      </w:r>
    </w:p>
    <w:p>
      <w:pPr>
        <w:pStyle w:val="BookText"/>
      </w:pPr>
      <w:r>
        <w:rPr>
          <w:rFonts w:ascii="IRNazanin" w:hAnsi="IRNazanin" w:eastAsia="IRNazanin" w:cs="IRNazanin"/>
          <w:lang w:bidi="fa-IR"/>
          <w:color w:val="111111"/>
          <w:sz w:val="28"/>
          <w:szCs w:val="28"/>
          <w:rtl/>
        </w:rPr>
        <w:t xml:space="preserve">آغاز: الحمد لله رب العالمین ... بدان ای فرزند که حضرت رسالت پناه صلى الله علیه و سلم فرموده است طلب کردن علم فريضه است که مراد از این علم علم شناخت محمد آخر الزمان است ؛انجام: باید که هر شخص اهل و عیال خود را ویار و محب بیاموزد تا بعذاب ایشان شریک نباشد لا اله الا الله محمد رسول الله.</w:t>
      </w:r>
    </w:p>
    <w:p>
      <w:pPr>
        <w:pStyle w:val="BookText"/>
      </w:pPr>
      <w:r>
        <w:rPr>
          <w:rFonts w:ascii="IRNazanin" w:hAnsi="IRNazanin" w:eastAsia="IRNazanin" w:cs="IRNazanin"/>
          <w:lang w:bidi="fa-IR"/>
          <w:color w:val="111111"/>
          <w:sz w:val="28"/>
          <w:szCs w:val="28"/>
          <w:rtl/>
        </w:rPr>
        <w:t xml:space="preserve">خط: نستعلیق، کا: عمر، تا: قرن 13؛ از روی نسخه ای که در عصر مولف کتابت شده، در حاشیه مطالبی مناسب با متن به نقل کتاب هایی چون «ارشاد الطالبین»، «جامع الرموز» و برخی اشعار فارسی و یا اردو آمده؛ کاغذ ،شرقی، 24گ (19پ-42پ)، 15سطر، اندازه: 9</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سم [ف: 35 - 385]</w:t>
      </w:r>
    </w:p>
    <w:p>
      <w:pPr>
        <w:pStyle w:val="BookText"/>
      </w:pPr>
      <w:r>
        <w:rPr>
          <w:rFonts w:ascii="Amiri" w:hAnsi="Amiri" w:eastAsia="Amiri" w:cs="Amiri"/>
          <w:lang w:bidi="ar-SA"/>
          <w:color w:val="111111"/>
          <w:sz w:val="28"/>
          <w:szCs w:val="28"/>
          <w:rtl/>
        </w:rPr>
        <w:t xml:space="preserve">« اساس الاصول » النقطة فى الاصول</w:t>
      </w:r>
    </w:p>
    <w:p>
      <w:pPr>
        <w:pStyle w:val="Heading3"/>
      </w:pPr>
      <w:bookmarkStart w:id="760" w:name="_Toc282"/>
      <w:r>
        <w:t>اساس الاصول / اصول فقه / عربی</w:t>
      </w:r>
      <w:bookmarkEnd w:id="760"/>
    </w:p>
    <w:p>
      <w:pPr>
        <w:pStyle w:val="BookText"/>
      </w:pPr>
      <w:r>
        <w:rPr>
          <w:rFonts w:ascii="Times New Roman" w:hAnsi="Times New Roman" w:eastAsia="Times New Roman" w:cs="Times New Roman"/>
          <w:lang w:val="en-US" w:bidi="en-US"/>
          <w:color w:val="111111"/>
          <w:sz w:val="28"/>
          <w:szCs w:val="28"/>
          <w:rtl/>
        </w:rPr>
        <w:t xml:space="preserve">asās-ul-uṣūl</w:t>
      </w:r>
    </w:p>
    <w:p>
      <w:pPr>
        <w:pStyle w:val="BookText"/>
      </w:pPr>
      <w:r>
        <w:rPr>
          <w:rFonts w:ascii="IRNazanin" w:hAnsi="IRNazanin" w:eastAsia="IRNazanin" w:cs="IRNazanin"/>
          <w:lang w:bidi="fa-IR"/>
          <w:color w:val="111111"/>
          <w:sz w:val="28"/>
          <w:szCs w:val="28"/>
          <w:rtl/>
        </w:rPr>
        <w:t xml:space="preserve">نقوی نصیر آبادی، دلدار علی بن محمد معين ، 1235 قمری</w:t>
      </w:r>
    </w:p>
    <w:p>
      <w:pPr>
        <w:pStyle w:val="BookText"/>
      </w:pPr>
      <w:r>
        <w:rPr>
          <w:rFonts w:ascii="Times New Roman" w:hAnsi="Times New Roman" w:eastAsia="Times New Roman" w:cs="Times New Roman"/>
          <w:lang w:val="en-US" w:bidi="en-US"/>
          <w:color w:val="111111"/>
          <w:sz w:val="28"/>
          <w:szCs w:val="28"/>
          <w:rtl/>
        </w:rPr>
        <w:t xml:space="preserve">naqavī nasīr-ābādī, deldār-‘alī ebn-e mohammad mo‘īn</w:t>
      </w:r>
    </w:p>
    <w:p>
      <w:pPr>
        <w:pStyle w:val="BookText"/>
      </w:pPr>
      <w:r>
        <w:rPr>
          <w:rFonts w:ascii="Times New Roman" w:hAnsi="Times New Roman" w:eastAsia="Times New Roman" w:cs="Times New Roman"/>
          <w:lang w:val="en-US" w:bidi="en-US"/>
          <w:color w:val="111111"/>
          <w:sz w:val="28"/>
          <w:szCs w:val="28"/>
          <w:rtl/>
        </w:rPr>
        <w:t xml:space="preserve">(1753 - 1820)</w:t>
      </w:r>
    </w:p>
    <w:p>
      <w:pPr>
        <w:pStyle w:val="BookText"/>
      </w:pPr>
      <w:r>
        <w:rPr>
          <w:rFonts w:ascii="IRNazanin" w:hAnsi="IRNazanin" w:eastAsia="IRNazanin" w:cs="IRNazanin"/>
          <w:lang w:bidi="fa-IR"/>
          <w:color w:val="111111"/>
          <w:sz w:val="28"/>
          <w:szCs w:val="28"/>
          <w:rtl/>
        </w:rPr>
        <w:t xml:space="preserve">وابسته به: الفوائد المدنية فى الرد على من قال بالاجتهاد والتقلید فى الاحكام الالهية = الفوائد المدنية و حقايق قواعد الاصول الدينية؛ استرآبادی، محمد امین بن محمد شریف (-1033ق)</w:t>
      </w:r>
    </w:p>
    <w:p>
      <w:pPr>
        <w:pStyle w:val="BookText"/>
      </w:pPr>
      <w:r>
        <w:rPr>
          <w:rFonts w:ascii="IRNazanin" w:hAnsi="IRNazanin" w:eastAsia="IRNazanin" w:cs="IRNazanin"/>
          <w:lang w:bidi="fa-IR"/>
          <w:color w:val="111111"/>
          <w:sz w:val="28"/>
          <w:szCs w:val="28"/>
          <w:rtl/>
        </w:rPr>
        <w:t xml:space="preserve">این کتاب ردی بر کتاب «الفوائد المدنية» محمد امين استر آبادی، اخباری معروف، است هنگامی که اصولیان نجف میرزا محمد اخباری هندی را کشتند دلدار علی برای کمک ایشان به تأليف «اساس الاصول» پرداخت و محمد اخباری که رئیس العلمای فتحعلیشاه شده بود پاسخی بر این کتاب نگاشت. پس به گفته تنکابنی به فتوای کاشف الغطاء او را در کاظمین در 1232 کشتند. مؤلف ،کتاب سید جلیل القدر، علامه نبیل «سید دلدار علی، نقوی» ساکن  لکهنو، از شاگردان برجسته سید بحر العلوم، وحيد بهبهانی و شیخ جعفر کاشف الغطاء بوده و این کتاب را با متانت و به دور از طعن که شیوه اخباریان بوده با تکیه به دلایل عقلی و نقلی پرداخته است.</w:t>
      </w:r>
    </w:p>
    <w:p>
      <w:pPr>
        <w:pStyle w:val="BookText"/>
      </w:pPr>
      <w:r>
        <w:rPr>
          <w:rFonts w:ascii="Amiri" w:hAnsi="Amiri" w:eastAsia="Amiri" w:cs="Amiri"/>
          <w:lang w:bidi="ar-SA"/>
          <w:color w:val="111111"/>
          <w:sz w:val="28"/>
          <w:szCs w:val="28"/>
          <w:rtl/>
        </w:rPr>
        <w:t xml:space="preserve">آغاز: الحمد لله الذى جعل لنا العقل دليلا لا يخمد برهانه و حقا لا يخذل اعوانه] اما بعد، فيقول: ... ان اعظم العلوم الدينية قدرا...بعد علم التوحيد</w:t>
      </w:r>
    </w:p>
    <w:p>
      <w:pPr>
        <w:pStyle w:val="BookText"/>
      </w:pPr>
      <w:r>
        <w:rPr>
          <w:rFonts w:ascii="IRNazanin" w:hAnsi="IRNazanin" w:eastAsia="IRNazanin" w:cs="IRNazanin"/>
          <w:lang w:bidi="fa-IR"/>
          <w:color w:val="111111"/>
          <w:sz w:val="28"/>
          <w:szCs w:val="28"/>
          <w:rtl/>
        </w:rPr>
        <w:t xml:space="preserve">چاپ: این کتاب در هند چاپ شده است</w:t>
      </w:r>
    </w:p>
    <w:p>
      <w:pPr>
        <w:pStyle w:val="BookText"/>
      </w:pPr>
      <w:r>
        <w:rPr>
          <w:rFonts w:ascii="IRNazanin" w:hAnsi="IRNazanin" w:eastAsia="IRNazanin" w:cs="IRNazanin"/>
          <w:lang w:bidi="fa-IR"/>
          <w:color w:val="111111"/>
          <w:sz w:val="28"/>
          <w:szCs w:val="28"/>
          <w:rtl/>
        </w:rPr>
        <w:t xml:space="preserve">[طبقات قرن 13 ، 519 - 523؛ الذریعه 2 4 ش 7]</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IRNazanin" w:hAnsi="IRNazanin" w:eastAsia="IRNazanin" w:cs="IRNazanin"/>
          <w:lang w:bidi="fa-IR"/>
          <w:color w:val="111111"/>
          <w:sz w:val="28"/>
          <w:szCs w:val="28"/>
          <w:rtl/>
        </w:rPr>
        <w:t xml:space="preserve">1- معاول العقول فى قلع اساس الاصول - سيف الله المسلول على مخربی دین الرسول - قلع الاساس ،اخباری، محمد بن عبدالنبی</w:t>
      </w:r>
    </w:p>
    <w:p>
      <w:pPr>
        <w:pStyle w:val="BookText"/>
      </w:pPr>
      <w:r>
        <w:rPr>
          <w:rFonts w:ascii="Times New Roman" w:hAnsi="Times New Roman" w:eastAsia="Times New Roman" w:cs="Times New Roman"/>
          <w:lang w:val="en-US" w:bidi="en-US"/>
          <w:color w:val="111111"/>
          <w:sz w:val="28"/>
          <w:szCs w:val="28"/>
          <w:rtl/>
        </w:rPr>
        <w:t xml:space="preserve">(1232 - 1178)</w:t>
      </w:r>
    </w:p>
    <w:p>
      <w:pPr>
        <w:pStyle w:val="BookText"/>
      </w:pPr>
      <w:r>
        <w:rPr>
          <w:rFonts w:ascii="IRNazanin" w:hAnsi="IRNazanin" w:eastAsia="IRNazanin" w:cs="IRNazanin"/>
          <w:lang w:bidi="fa-IR"/>
          <w:color w:val="111111"/>
          <w:sz w:val="28"/>
          <w:szCs w:val="28"/>
          <w:rtl/>
        </w:rPr>
        <w:t xml:space="preserve">2- اساس الاصول (ترجمه) ،نیشابوری ،کنتوری حمایت حسین (-13)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مرعشی؛ شماره نسخه: 14662</w:t>
      </w:r>
    </w:p>
    <w:p>
      <w:pPr>
        <w:pStyle w:val="BookText"/>
      </w:pPr>
      <w:r>
        <w:rPr>
          <w:rFonts w:ascii="Amiri" w:hAnsi="Amiri" w:eastAsia="Amiri" w:cs="Amiri"/>
          <w:lang w:bidi="ar-SA"/>
          <w:color w:val="111111"/>
          <w:sz w:val="28"/>
          <w:szCs w:val="28"/>
          <w:rtl/>
        </w:rPr>
        <w:t xml:space="preserve">آغاز: برابر؛ انجام: و الشيخ المفيد و غيرهم من العلماء الكرام، فلا حاجة الى ذكره فانهم كانوا باتفاق الخصوم من اهل الاجتهاد، قد طعن على هولاء الجماعة المذكورين، صاحب الفوايد المدنية في موارد عديدة</w:t>
      </w:r>
    </w:p>
    <w:p>
      <w:pPr>
        <w:pStyle w:val="BookText"/>
      </w:pPr>
      <w:r>
        <w:rPr>
          <w:rFonts w:ascii="IRNazanin" w:hAnsi="IRNazanin" w:eastAsia="IRNazanin" w:cs="IRNazanin"/>
          <w:lang w:bidi="fa-IR"/>
          <w:color w:val="111111"/>
          <w:sz w:val="28"/>
          <w:szCs w:val="28"/>
          <w:rtl/>
        </w:rPr>
        <w:t xml:space="preserve">خطبه کتاب افتاده؛ خط: نستعلیق، بی کا، تا:حدود قرن 13؛ افتادگی: انجام؛ مصحح؛ تملک: «محمد حسين بن محمد على شهرستانی»؛ کاغذ ،فرنگی ،جلد: تیماج قهوه ای ضربی مجدول با لچک ترنج و سرترنج گل و بوته عطف تیماج قرمز، 155گ، 16 سطر (7/5</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اندازه: 12</w:t>
      </w:r>
      <w:r>
        <w:rPr>
          <w:rFonts w:ascii="Times New Roman" w:hAnsi="Times New Roman" w:eastAsia="Times New Roman" w:cs="Times New Roman"/>
          <w:lang w:val="en-US" w:bidi="en-US"/>
          <w:color w:val="111111"/>
          <w:sz w:val="28"/>
          <w:szCs w:val="28"/>
          <w:rtl/>
        </w:rPr>
        <w:t xml:space="preserve">×22/5</w:t>
      </w:r>
      <w:r>
        <w:rPr>
          <w:rFonts w:ascii="IRNazanin" w:hAnsi="IRNazanin" w:eastAsia="IRNazanin" w:cs="IRNazanin"/>
          <w:lang w:bidi="fa-IR"/>
          <w:color w:val="111111"/>
          <w:sz w:val="28"/>
          <w:szCs w:val="28"/>
          <w:rtl/>
        </w:rPr>
        <w:t xml:space="preserve">سم [ف: 37 - 139]</w:t>
      </w:r>
    </w:p>
    <w:p>
      <w:pPr>
        <w:pStyle w:val="BookText"/>
      </w:pPr>
      <w:r>
        <w:rPr>
          <w:rFonts w:ascii="IRNazanin" w:hAnsi="IRNazanin" w:eastAsia="IRNazanin" w:cs="IRNazanin"/>
          <w:lang w:bidi="fa-IR"/>
          <w:color w:val="111111"/>
          <w:sz w:val="28"/>
          <w:szCs w:val="28"/>
          <w:rtl/>
        </w:rPr>
        <w:t xml:space="preserve">2.قم؛ مرعشی؛ شماره نسخه: 11004/8</w:t>
      </w:r>
    </w:p>
    <w:p>
      <w:pPr>
        <w:pStyle w:val="BookText"/>
      </w:pPr>
      <w:r>
        <w:rPr>
          <w:rFonts w:ascii="Amiri" w:hAnsi="Amiri" w:eastAsia="Amiri" w:cs="Amiri"/>
          <w:lang w:bidi="ar-SA"/>
          <w:color w:val="111111"/>
          <w:sz w:val="28"/>
          <w:szCs w:val="28"/>
          <w:rtl/>
        </w:rPr>
        <w:t xml:space="preserve">آغاز: المقصد الثالث فى الاجماع و فيه مباحث الأول في ماهيته و هو فى اللغة بمعنى العزم؛ انجام: و بين ان ينفي اسناده الى سواه فان به ايضاً يعلم صحته، تمت مسالة الاجماع</w:t>
      </w:r>
    </w:p>
    <w:p>
      <w:pPr>
        <w:pStyle w:val="BookText"/>
      </w:pPr>
      <w:r>
        <w:rPr>
          <w:rFonts w:ascii="IRNazanin" w:hAnsi="IRNazanin" w:eastAsia="IRNazanin" w:cs="IRNazanin"/>
          <w:lang w:bidi="fa-IR"/>
          <w:color w:val="111111"/>
          <w:sz w:val="28"/>
          <w:szCs w:val="28"/>
          <w:rtl/>
        </w:rPr>
        <w:t xml:space="preserve">شامل مقصد سوم است؛ خط: نسخ، بی کا، تا: قرن 13؛ محشی؛ کاغذ: فرنگی ،7گ (254 – 261) 24 سطر، اندازه: 13</w:t>
      </w:r>
      <w:r>
        <w:rPr>
          <w:rFonts w:ascii="Times New Roman" w:hAnsi="Times New Roman" w:eastAsia="Times New Roman" w:cs="Times New Roman"/>
          <w:lang w:val="en-US" w:bidi="en-US"/>
          <w:color w:val="111111"/>
          <w:sz w:val="28"/>
          <w:szCs w:val="28"/>
          <w:rtl/>
        </w:rPr>
        <w:t xml:space="preserve">×22/5</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[ف: 28 - 22]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ملی؛ شماره نسخه: 3808/15</w:t>
      </w:r>
    </w:p>
    <w:p>
      <w:pPr>
        <w:pStyle w:val="BookText"/>
      </w:pPr>
      <w:r>
        <w:rPr>
          <w:rFonts w:ascii="Amiri" w:hAnsi="Amiri" w:eastAsia="Amiri" w:cs="Amiri"/>
          <w:lang w:bidi="ar-SA"/>
          <w:color w:val="111111"/>
          <w:sz w:val="28"/>
          <w:szCs w:val="28"/>
          <w:rtl/>
        </w:rPr>
        <w:t xml:space="preserve">آغاز: برابر ؛ انجام: فى هذا الحديث الذى يخالف نص الكتاب... الواضحات ان دلاله ظواهر الكتاب.</w:t>
      </w:r>
    </w:p>
    <w:p>
      <w:pPr>
        <w:pStyle w:val="BookText"/>
      </w:pPr>
      <w:r>
        <w:rPr>
          <w:rFonts w:ascii="IRNazanin" w:hAnsi="IRNazanin" w:eastAsia="IRNazanin" w:cs="IRNazanin"/>
          <w:lang w:bidi="fa-IR"/>
          <w:color w:val="111111"/>
          <w:sz w:val="28"/>
          <w:szCs w:val="28"/>
          <w:rtl/>
        </w:rPr>
        <w:t xml:space="preserve">خط: نسخ تحریری، بی کا، بی تا : افتادگی: انجام؛ کاغذ: فرنگی نخودی، جلد: مقوا رویه کاغذ ،زرد ته چرم قهوه ای، 4گ (93-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93" w:name="pg20365_260119"/>
    <w:bookmarkEnd w:id="93"/>
    <w:p>
      <w:pPr>
        <w:pStyle w:val="BookText"/>
      </w:pPr>
      <w:r>
        <w:rPr>
          <w:rFonts w:ascii="IRNazanin" w:hAnsi="IRNazanin" w:eastAsia="IRNazanin" w:cs="IRNazanin"/>
          <w:lang w:bidi="fa-IR"/>
          <w:color w:val="111111"/>
          <w:sz w:val="28"/>
          <w:szCs w:val="28"/>
          <w:rtl/>
        </w:rPr>
        <w:t xml:space="preserve">97 )، 22 سطر (10/5</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 اندازه: 15</w:t>
      </w:r>
      <w:r>
        <w:rPr>
          <w:rFonts w:ascii="Times New Roman" w:hAnsi="Times New Roman" w:eastAsia="Times New Roman" w:cs="Times New Roman"/>
          <w:lang w:val="en-US" w:bidi="en-US"/>
          <w:color w:val="111111"/>
          <w:sz w:val="28"/>
          <w:szCs w:val="28"/>
          <w:rtl/>
        </w:rPr>
        <w:t xml:space="preserve">×21/3</w:t>
      </w:r>
      <w:r>
        <w:rPr>
          <w:rFonts w:ascii="IRNazanin" w:hAnsi="IRNazanin" w:eastAsia="IRNazanin" w:cs="IRNazanin"/>
          <w:lang w:bidi="fa-IR"/>
          <w:color w:val="111111"/>
          <w:sz w:val="28"/>
          <w:szCs w:val="28"/>
          <w:rtl/>
        </w:rPr>
        <w:t xml:space="preserve">سم [ف : 17 - 21]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قم؛ مرعشی؛ شماره نسخه:بدون شماره</w:t>
      </w:r>
    </w:p>
    <w:p>
      <w:pPr>
        <w:pStyle w:val="BookText"/>
      </w:pPr>
      <w:r>
        <w:rPr>
          <w:rFonts w:ascii="IRNazanin" w:hAnsi="IRNazanin" w:eastAsia="IRNazanin" w:cs="IRNazanin"/>
          <w:lang w:bidi="fa-IR"/>
          <w:color w:val="111111"/>
          <w:sz w:val="28"/>
          <w:szCs w:val="28"/>
          <w:rtl/>
        </w:rPr>
        <w:t xml:space="preserve">خط: نستعلیق، بی کا، بی تا؛ افتادگی: آغاز و انجام؛ جلد: تیماج قهوه ای ضربی با ترنج و سرترنج و لچک [میراث شهاب: س 6ش 4 - 18]</w:t>
      </w:r>
    </w:p>
    <w:p>
      <w:pPr>
        <w:pStyle w:val="Heading3"/>
      </w:pPr>
      <w:bookmarkStart w:id="761" w:name="_Toc283"/>
      <w:r>
        <w:t>اساس الاصول (ترجمه) / اصول فقه / فارسی</w:t>
      </w:r>
      <w:bookmarkEnd w:id="761"/>
    </w:p>
    <w:p>
      <w:pPr>
        <w:pStyle w:val="BookText"/>
      </w:pPr>
      <w:r>
        <w:rPr>
          <w:rFonts w:ascii="Times New Roman" w:hAnsi="Times New Roman" w:eastAsia="Times New Roman" w:cs="Times New Roman"/>
          <w:lang w:val="en-US" w:bidi="en-US"/>
          <w:color w:val="111111"/>
          <w:sz w:val="28"/>
          <w:szCs w:val="28"/>
          <w:rtl/>
        </w:rPr>
        <w:t xml:space="preserve">(asās-ul usūl (t.)</w:t>
      </w:r>
    </w:p>
    <w:p>
      <w:pPr>
        <w:pStyle w:val="BookText"/>
      </w:pPr>
      <w:r>
        <w:rPr>
          <w:rFonts w:ascii="IRNazanin" w:hAnsi="IRNazanin" w:eastAsia="IRNazanin" w:cs="IRNazanin"/>
          <w:lang w:bidi="fa-IR"/>
          <w:color w:val="111111"/>
          <w:sz w:val="28"/>
          <w:szCs w:val="28"/>
          <w:rtl/>
        </w:rPr>
        <w:t xml:space="preserve">نیشابوری ،کنتوری حمایت حسین، ق13 قمری</w:t>
      </w:r>
    </w:p>
    <w:p>
      <w:pPr>
        <w:pStyle w:val="BookText"/>
      </w:pPr>
      <w:r>
        <w:rPr>
          <w:rFonts w:ascii="Times New Roman" w:hAnsi="Times New Roman" w:eastAsia="Times New Roman" w:cs="Times New Roman"/>
          <w:lang w:val="en-US" w:bidi="en-US"/>
          <w:color w:val="111111"/>
          <w:sz w:val="28"/>
          <w:szCs w:val="28"/>
          <w:rtl/>
        </w:rPr>
        <w:t xml:space="preserve">(neyšābūrī kantūrī, hemāyat hoseyn ( - 19c)</w:t>
      </w:r>
    </w:p>
    <w:p>
      <w:pPr>
        <w:pStyle w:val="BookText"/>
      </w:pPr>
      <w:r>
        <w:rPr>
          <w:rFonts w:ascii="IRNazanin" w:hAnsi="IRNazanin" w:eastAsia="IRNazanin" w:cs="IRNazanin"/>
          <w:lang w:bidi="fa-IR"/>
          <w:color w:val="111111"/>
          <w:sz w:val="28"/>
          <w:szCs w:val="28"/>
          <w:rtl/>
        </w:rPr>
        <w:t xml:space="preserve">وابسته به: اساس الاصول؛ نقوی نصیر آبادی، دلدار علی بن محمد معین (1235-1166)</w:t>
      </w:r>
    </w:p>
    <w:p>
      <w:pPr>
        <w:pStyle w:val="BookText"/>
      </w:pPr>
      <w:r>
        <w:rPr>
          <w:rFonts w:ascii="IRNazanin" w:hAnsi="IRNazanin" w:eastAsia="IRNazanin" w:cs="IRNazanin"/>
          <w:lang w:bidi="fa-IR"/>
          <w:color w:val="111111"/>
          <w:sz w:val="28"/>
          <w:szCs w:val="28"/>
          <w:rtl/>
        </w:rPr>
        <w:t xml:space="preserve">این کتاب ترجمه «اساس الاصول» استادش، سید دلدار علی نقوی لکهنوی است، که نقد و رد آراء محمد امین استرابادی اخباری در کتاب «فوائد المدینه» است مشتمل بر یک «مقدمه» و چهار «مقصد»: مقدمه در بیان مطاعن علامه حلی و اتباع او صاحب فوايد المدینه آن را ذکر کرده؛ مقصد .1 بیان حجت بودن کتاب خدا و بیان آن که ظواهر کتاب حجت است .مادام که بر خلاف آن دلیلی قایم نشود .2 بیان حجت بودن اخبار باید دانست که خبر بر دو معنی اطلاق می یابد ؛3. بیان حجت بودن اجماع و در آن چند مباحث است؛ 4. بیان ادله عقلیه؛ خاتمه در بیان اجتهاد و آنچه به آن تعلق دارد کتاب در حیات مؤلف ترجمه شده است.</w:t>
      </w:r>
    </w:p>
    <w:p>
      <w:pPr>
        <w:pStyle w:val="BookText"/>
      </w:pPr>
      <w:r>
        <w:rPr>
          <w:rFonts w:ascii="Amiri" w:hAnsi="Amiri" w:eastAsia="Amiri" w:cs="Amiri"/>
          <w:lang w:bidi="ar-SA"/>
          <w:color w:val="111111"/>
          <w:sz w:val="28"/>
          <w:szCs w:val="28"/>
          <w:rtl/>
        </w:rPr>
        <w:t xml:space="preserve">آغاز: اساس الاصول يتفرع عليها افضل القربات و دعامة مبان يبتنى عليها النيل بالغايات</w:t>
      </w:r>
    </w:p>
    <w:p>
      <w:pPr>
        <w:pStyle w:val="BookText"/>
      </w:pPr>
      <w:r>
        <w:rPr>
          <w:rFonts w:ascii="IRNazanin" w:hAnsi="IRNazanin" w:eastAsia="IRNazanin" w:cs="IRNazanin"/>
          <w:lang w:bidi="fa-IR"/>
          <w:color w:val="111111"/>
          <w:sz w:val="28"/>
          <w:szCs w:val="28"/>
          <w:rtl/>
        </w:rPr>
        <w:t xml:space="preserve">انجام: سوای این معنی احتمالی دیگر ندارد نعوذ بالله من ذلك این آخر مطالبی است که مصنف مد ظله العالی را ایراد آن در کتاب منظور بود و با تمام آن این کتاب نیز با تمام رسید سبحان رب العزه عما يصفون وسلام على المرسلين و الحمدلله رب العالمين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مشهد؛ رضوی؛ شماره نسخه: 19045</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،خوب، بی کا، تا : قرن 13؛ مصحح ،محشی نسخه امانتی رهبری در آبان 1372 تسلیم کتابخانه شده؛ کاغذ: نخودی آهاری، جلد: مقوا، عطف و گوشه ها تیماج خرمایی، 183گ، 19سطر، اندازه: 17</w:t>
      </w:r>
      <w:r>
        <w:rPr>
          <w:rFonts w:ascii="Times New Roman" w:hAnsi="Times New Roman" w:eastAsia="Times New Roman" w:cs="Times New Roman"/>
          <w:lang w:val="en-US" w:bidi="en-US"/>
          <w:color w:val="111111"/>
          <w:sz w:val="28"/>
          <w:szCs w:val="28"/>
          <w:rtl/>
        </w:rPr>
        <w:t xml:space="preserve">×27</w:t>
      </w:r>
      <w:r>
        <w:rPr>
          <w:rFonts w:ascii="IRNazanin" w:hAnsi="IRNazanin" w:eastAsia="IRNazanin" w:cs="IRNazanin"/>
          <w:lang w:bidi="fa-IR"/>
          <w:color w:val="111111"/>
          <w:sz w:val="28"/>
          <w:szCs w:val="28"/>
          <w:rtl/>
        </w:rPr>
        <w:t xml:space="preserve">سم [ف: 16 – 61]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مشهد؛ رضوی؛ شماره نسخه: 22134</w:t>
      </w:r>
    </w:p>
    <w:p>
      <w:pPr>
        <w:pStyle w:val="BookText"/>
      </w:pPr>
      <w:r>
        <w:rPr>
          <w:rFonts w:ascii="Amiri" w:hAnsi="Amiri" w:eastAsia="Amiri" w:cs="Amiri"/>
          <w:lang w:bidi="ar-SA"/>
          <w:color w:val="111111"/>
          <w:sz w:val="28"/>
          <w:szCs w:val="28"/>
          <w:rtl/>
        </w:rPr>
        <w:t xml:space="preserve">آغاز: برابر؛ انجام: باقدامه متلاصقه وهذا حين اطلق عنان القلم بترجمة اساس الاصول</w:t>
      </w:r>
    </w:p>
    <w:p>
      <w:pPr>
        <w:pStyle w:val="BookText"/>
      </w:pPr>
      <w:r>
        <w:rPr>
          <w:rFonts w:ascii="IRNazanin" w:hAnsi="IRNazanin" w:eastAsia="IRNazanin" w:cs="IRNazanin"/>
          <w:lang w:bidi="fa-IR"/>
          <w:color w:val="111111"/>
          <w:sz w:val="28"/>
          <w:szCs w:val="28"/>
          <w:rtl/>
        </w:rPr>
        <w:t xml:space="preserve">شامل مقدمه کتاب است؛ خط: شکسته نستعلیق، بی کا ،تا: 13؛ ضمیمه نسخه ش 22131؛ اهدایی رهبری، فروردین 1374؛ کاغذ: حنایی، جلد: مقوا عطف و گوشه ها تیماج ،خرمایی، 3 گ ،19 سطر، اندازه: 12/5</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سم [ف: 16 - 62]</w:t>
      </w:r>
    </w:p>
    <w:p>
      <w:pPr>
        <w:pStyle w:val="Heading3"/>
      </w:pPr>
      <w:bookmarkStart w:id="762" w:name="_Toc284"/>
      <w:r>
        <w:t>اساس الاصول / اصول فقه / عربی</w:t>
      </w:r>
      <w:bookmarkEnd w:id="762"/>
    </w:p>
    <w:p>
      <w:pPr>
        <w:pStyle w:val="BookText"/>
      </w:pPr>
      <w:r>
        <w:rPr>
          <w:rFonts w:ascii="Times New Roman" w:hAnsi="Times New Roman" w:eastAsia="Times New Roman" w:cs="Times New Roman"/>
          <w:lang w:val="en-US" w:bidi="en-US"/>
          <w:color w:val="111111"/>
          <w:sz w:val="28"/>
          <w:szCs w:val="28"/>
          <w:rtl/>
        </w:rPr>
        <w:t xml:space="preserve">asas-ul-usul</w:t>
      </w:r>
    </w:p>
    <w:p>
      <w:pPr>
        <w:pStyle w:val="BookText"/>
      </w:pPr>
      <w:r>
        <w:rPr>
          <w:rFonts w:ascii="IRNazanin" w:hAnsi="IRNazanin" w:eastAsia="IRNazanin" w:cs="IRNazanin"/>
          <w:lang w:bidi="fa-IR"/>
          <w:color w:val="111111"/>
          <w:sz w:val="28"/>
          <w:szCs w:val="28"/>
          <w:rtl/>
        </w:rPr>
        <w:t xml:space="preserve">بحث های استدلالی نسبتاً مختصری است با عناوین اصلی «اساس» و عناوین فرعی دیگری چون «فائدة، تنبیه ارشاد، هداية، ايضاح».</w:t>
      </w:r>
    </w:p>
    <w:p>
      <w:pPr>
        <w:pStyle w:val="BookText"/>
      </w:pPr>
      <w:r>
        <w:rPr>
          <w:rFonts w:ascii="IRNazanin" w:hAnsi="IRNazanin" w:eastAsia="IRNazanin" w:cs="IRNazanin"/>
          <w:lang w:bidi="fa-IR"/>
          <w:color w:val="111111"/>
          <w:sz w:val="28"/>
          <w:szCs w:val="28"/>
          <w:rtl/>
        </w:rPr>
        <w:t xml:space="preserve">قم ؛مؤسسه حضرت آیة الله بروجردی؛ شماره نسخه 502</w:t>
      </w:r>
    </w:p>
    <w:p>
      <w:pPr>
        <w:pStyle w:val="BookText"/>
      </w:pPr>
      <w:r>
        <w:rPr>
          <w:rFonts w:ascii="IRNazanin" w:hAnsi="IRNazanin" w:eastAsia="IRNazanin" w:cs="IRNazanin"/>
          <w:lang w:bidi="fa-IR"/>
          <w:color w:val="111111"/>
          <w:sz w:val="28"/>
          <w:szCs w:val="28"/>
          <w:rtl/>
        </w:rPr>
        <w:t xml:space="preserve">خط: نسخ، بی کا، تا: اواخر قرن 13؛ افتادگی: آغاز و انجام؛ مصحح، محشی، جلد: تیماج مشکی بدون مقوا، 143گ، 14 سطر، اندازه: 11</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2 - 320]</w:t>
      </w:r>
    </w:p>
    <w:p>
      <w:pPr>
        <w:pStyle w:val="Heading3"/>
      </w:pPr>
      <w:bookmarkStart w:id="763" w:name="_Toc285"/>
      <w:r>
        <w:t>اساس الاقتباس / منطق / فارسی</w:t>
      </w:r>
      <w:bookmarkEnd w:id="763"/>
    </w:p>
    <w:p>
      <w:pPr>
        <w:pStyle w:val="BookText"/>
      </w:pPr>
      <w:r>
        <w:rPr>
          <w:rFonts w:ascii="Times New Roman" w:hAnsi="Times New Roman" w:eastAsia="Times New Roman" w:cs="Times New Roman"/>
          <w:lang w:val="en-US" w:bidi="en-US"/>
          <w:color w:val="111111"/>
          <w:sz w:val="28"/>
          <w:szCs w:val="28"/>
          <w:rtl/>
        </w:rPr>
        <w:t xml:space="preserve">asās-ol eqtebās</w:t>
      </w:r>
    </w:p>
    <w:p>
      <w:pPr>
        <w:pStyle w:val="BookText"/>
      </w:pPr>
      <w:r>
        <w:rPr>
          <w:rFonts w:ascii="IRNazanin" w:hAnsi="IRNazanin" w:eastAsia="IRNazanin" w:cs="IRNazanin"/>
          <w:lang w:bidi="fa-IR"/>
          <w:color w:val="111111"/>
          <w:sz w:val="28"/>
          <w:szCs w:val="28"/>
          <w:rtl/>
        </w:rPr>
        <w:t xml:space="preserve">نصیرالدین طوسی محمد بن ،محمد 597 - 672 قمری</w:t>
      </w:r>
    </w:p>
    <w:p>
      <w:pPr>
        <w:pStyle w:val="BookText"/>
      </w:pPr>
      <w:r>
        <w:rPr>
          <w:rFonts w:ascii="Times New Roman" w:hAnsi="Times New Roman" w:eastAsia="Times New Roman" w:cs="Times New Roman"/>
          <w:lang w:val="en-US" w:bidi="en-US"/>
          <w:color w:val="111111"/>
          <w:sz w:val="28"/>
          <w:szCs w:val="28"/>
          <w:rtl/>
        </w:rPr>
        <w:t xml:space="preserve">nasīr-od-din-e tūsī, mohammad ebn-e mohammad</w:t>
      </w:r>
    </w:p>
    <w:p>
      <w:pPr>
        <w:pStyle w:val="BookText"/>
      </w:pPr>
      <w:r>
        <w:rPr>
          <w:rFonts w:ascii="Times New Roman" w:hAnsi="Times New Roman" w:eastAsia="Times New Roman" w:cs="Times New Roman"/>
          <w:lang w:val="en-US" w:bidi="en-US"/>
          <w:color w:val="111111"/>
          <w:sz w:val="28"/>
          <w:szCs w:val="28"/>
          <w:rtl/>
        </w:rPr>
        <w:t xml:space="preserve">(1201 - 1274)</w:t>
      </w:r>
    </w:p>
    <w:p>
      <w:pPr>
        <w:pStyle w:val="BookText"/>
      </w:pPr>
      <w:r>
        <w:rPr>
          <w:rFonts w:ascii="IRNazanin" w:hAnsi="IRNazanin" w:eastAsia="IRNazanin" w:cs="IRNazanin"/>
          <w:lang w:bidi="fa-IR"/>
          <w:color w:val="111111"/>
          <w:sz w:val="28"/>
          <w:szCs w:val="28"/>
          <w:rtl/>
        </w:rPr>
        <w:t xml:space="preserve">سال تألیف: 642ق؛ محل تألیف: قهستان</w:t>
      </w:r>
    </w:p>
    <w:p>
      <w:pPr>
        <w:pStyle w:val="BookText"/>
      </w:pPr>
      <w:r>
        <w:rPr>
          <w:rFonts w:ascii="IRNazanin" w:hAnsi="IRNazanin" w:eastAsia="IRNazanin" w:cs="IRNazanin"/>
          <w:lang w:bidi="fa-IR"/>
          <w:color w:val="111111"/>
          <w:sz w:val="28"/>
          <w:szCs w:val="28"/>
          <w:rtl/>
        </w:rPr>
        <w:t xml:space="preserve">ارسطو منطق خود را بر شش قسمت تألیف و آن را «ارغنون» نامید. سپس دو رساله دیگر در خطابه و شعر ساخت و بر آن افزود و آن را به هشت قسمت یا کتاب رسانید. بعد از او فرفوریوس (233-305م) مقدمه ای با نام «مدخل» یا  «ایساغوجی» بر آن افزود و از این روی کتب منطق شامل نه قسمت  گردید. تقسیمات هشتگانه ارسطو همراه با ایساغوجی، در تألیفات منطقی پس از او بالاخص در تألیفات منطقی دانشمندان اسلامی رعایت گردید و کتابهای آنها بر همین نه کتاب تنظیم گردید. از آن جمله ابن سینا که کتاب منطق شفا را بر نه بخش تقسیم نموده و هر کدام را کتابی خوانده و به فنی اختصاص داده است خواجه نصیر نیز این کتاب خود را - که مهتمرین کتاب او در منطق و از نمونه عالی نثر فارسی است - به روش منطق «شفا» تألیف نموده و و آن را به نه بخش تقسیم کرده و هر بخش را «مقاله» نامیده است بدین ترتیب: 1. مدخل منطق که آن را به یونانی ایسا غوجی خوانند. این همان مقدمه فرفوریوس صوری بر مقولات ارسطو است؛ 2. مقولات عشر که آن را به یونانی قاطیغوریاس نامند .3. اقوال جازمه که به یونانی باریر میناس گفته می شده؛ 4. قیاس که نام یونانی آن آنولوطیقای اول است؛ 5.برهان که به یونانی انولوطیقای دوم یا ابود قطیقا خوانده شده؛ 6. جدل که به یونانی طوبیقا خوانده شده؛ 7. مغالطه که به یونانی سوفسطیقا خوانند؛ 8. خطابه که نام یونانی آن ریطوریقا است؛ 9. شعر که آن را بوطیقا ..خوانند تالیف این کتاب در اغلب نسخ خطی سال 642ق آمده است و بنابراین تالیف آن بعد از «اخلاق ناصری» و پیش از «شرح اشارات» بوده  است. اساس «الاقتباس را به استناد آنچه در مقدمه ترجمه «اوصاف الاشراف» ،آورده رکن الدین محمد بن علی استر آبادی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عربی ترجمه کرده، ولی از ترجمه عربی این کتاب تا به حال نسخه ای در داخل نشده است و کسانی که از آن یاد کرده اند به استناد همین گفته او در مقدمه ترجمه «اوصاف الاشراف» است.</w:t>
      </w:r>
    </w:p>
    <w:p>
      <w:pPr>
        <w:pStyle w:val="BookText"/>
      </w:pPr>
      <w:r>
        <w:rPr>
          <w:rFonts w:ascii="IRNazanin" w:hAnsi="IRNazanin" w:eastAsia="IRNazanin" w:cs="IRNazanin"/>
          <w:lang w:bidi="fa-IR"/>
          <w:color w:val="111111"/>
          <w:sz w:val="28"/>
          <w:szCs w:val="28"/>
          <w:rtl/>
        </w:rPr>
        <w:t xml:space="preserve">آغاز: بسمله رب زدنی ،علما خداوندا متعلمان حکمت را بالهام حق و تلقین صدق و توفیق خیره مؤید گردان و همتهای ایشان را بطلب كمال و تحرى صواب و اقتناء فضیلت مصروف دار تا براستى واثق باشند و از کژی محترز ... محرر کتاب گوید:بعد از حمد و شکر خدای جل جلاله بر نعم و ایادی نامتناهی وصولش بهر یکی از بندگان متواتر و متوالی است ... هر علمی ادراکی که باشد چون آنرا اعتبار کنند از دو حال خالی نباشد</w:t>
      </w:r>
    </w:p>
    <w:p>
      <w:pPr>
        <w:pStyle w:val="BookText"/>
      </w:pPr>
      <w:r>
        <w:rPr>
          <w:rFonts w:ascii="IRNazanin" w:hAnsi="IRNazanin" w:eastAsia="IRNazanin" w:cs="IRNazanin"/>
          <w:lang w:bidi="fa-IR"/>
          <w:color w:val="111111"/>
          <w:sz w:val="28"/>
          <w:szCs w:val="28"/>
          <w:rtl/>
        </w:rPr>
        <w:t xml:space="preserve">انجام: و بباید دانست که همچنانک خطابت را اجزائی بود ما صدر و اقتصاص و تصدیر و خاتمه... و چون آنچه در صدر كتاب وعده داده بودیم بایجاد رسانیدیم سخن قطع کنم و توفيقى الا بالله عليه توكلت و اليه انيب</w:t>
      </w:r>
    </w:p>
    <w:p>
      <w:pPr>
        <w:pStyle w:val="BookText"/>
      </w:pPr>
      <w:r>
        <w:rPr>
          <w:rFonts w:ascii="IRNazanin" w:hAnsi="IRNazanin" w:eastAsia="IRNazanin" w:cs="IRNazanin"/>
          <w:lang w:bidi="fa-IR"/>
          <w:color w:val="111111"/>
          <w:sz w:val="28"/>
          <w:szCs w:val="28"/>
          <w:rtl/>
        </w:rPr>
        <w:t xml:space="preserve">چاپ: به کوشش محمدتقی مدرس رضوی در نشریه شماره 12 دانشگاه تهران 1326 ،ش، سربی، وزیری، 569ص</w:t>
      </w:r>
    </w:p>
    <w:p>
      <w:pPr>
        <w:pStyle w:val="BookText"/>
      </w:pPr>
      <w:r>
        <w:rPr>
          <w:rFonts w:ascii="IRNazanin" w:hAnsi="IRNazanin" w:eastAsia="IRNazanin" w:cs="IRNazanin"/>
          <w:lang w:bidi="fa-IR"/>
          <w:color w:val="111111"/>
          <w:sz w:val="28"/>
          <w:szCs w:val="28"/>
          <w:rtl/>
        </w:rPr>
        <w:t xml:space="preserve">[نسخه های منزوی 14922؛ الذریعة 5/2 - 6؛ تاریخ ادبیات در ایران دکتر ج 3(1). ص 242؛ ريحانة الأدب 181/2؛ آثار و احوال خواجه نصیر: 240؛ مكتبة امير المؤمنين (32/1]</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IRNazanin" w:hAnsi="IRNazanin" w:eastAsia="IRNazanin" w:cs="IRNazanin"/>
          <w:lang w:bidi="fa-IR"/>
          <w:color w:val="111111"/>
          <w:sz w:val="28"/>
          <w:szCs w:val="28"/>
          <w:rtl/>
        </w:rPr>
        <w:t xml:space="preserve">1- اساس الاقتباس (ترجمه)؛ علامه خسرو</w:t>
      </w:r>
    </w:p>
    <w:p>
      <w:pPr>
        <w:pStyle w:val="BookText"/>
      </w:pPr>
      <w:r>
        <w:rPr>
          <w:rFonts w:ascii="IRNazanin" w:hAnsi="IRNazanin" w:eastAsia="IRNazanin" w:cs="IRNazanin"/>
          <w:lang w:bidi="fa-IR"/>
          <w:color w:val="111111"/>
          <w:sz w:val="28"/>
          <w:szCs w:val="28"/>
          <w:rtl/>
        </w:rPr>
        <w:t xml:space="preserve">تهران؛ مجلس؛ شماره نسخه: 4929</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38 جزو؛ خط: نستعليق، كا: ضياء المعلم محمد بن محمد بن محمد، تا: پنج شنبه 843ق؛ جزو اول کتاب نونویس است، انجام: یادداشت هایی به تاریخ 855 ،هست نسخه متعلق به کتابخانه «حاج سید نصر الله تقوی» بوده است ؛کاغذ ،اصفهانی ،جلد: میشن  ،زرد ،295گ 23 سطر (7</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اندازه: 10/5</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[ف: 14 - 155]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ادبیات؛ شماره نسخه: 46 - ج</w:t>
      </w:r>
    </w:p>
    <w:p>
      <w:pPr>
        <w:pStyle w:val="BookText"/>
      </w:pPr>
      <w:r>
        <w:rPr>
          <w:rFonts w:ascii="IRNazanin" w:hAnsi="IRNazanin" w:eastAsia="IRNazanin" w:cs="IRNazanin"/>
          <w:lang w:bidi="fa-IR"/>
          <w:color w:val="111111"/>
          <w:sz w:val="28"/>
          <w:szCs w:val="28"/>
          <w:rtl/>
        </w:rPr>
        <w:t xml:space="preserve">خط: نستعليق ،كا: عبد الله بن شمس الدين.  تا: نزدیک به پایان رجب 946ق؛ کاتب مالک نسخه هم بوده است؛ کاغذ: سمرقندی، جلد: تیماج ،مشکی، 125گ، 19 سطر (12/5</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،اندازه: 19</w:t>
      </w:r>
      <w:r>
        <w:rPr>
          <w:rFonts w:ascii="Times New Roman" w:hAnsi="Times New Roman" w:eastAsia="Times New Roman" w:cs="Times New Roman"/>
          <w:lang w:val="en-US" w:bidi="en-US"/>
          <w:color w:val="111111"/>
          <w:sz w:val="28"/>
          <w:szCs w:val="28"/>
          <w:rtl/>
        </w:rPr>
        <w:t xml:space="preserve">×25</w:t>
      </w:r>
      <w:r>
        <w:rPr>
          <w:rFonts w:ascii="IRNazanin" w:hAnsi="IRNazanin" w:eastAsia="IRNazanin" w:cs="IRNazanin"/>
          <w:lang w:bidi="fa-IR"/>
          <w:color w:val="111111"/>
          <w:sz w:val="28"/>
          <w:szCs w:val="28"/>
          <w:rtl/>
        </w:rPr>
        <w:t xml:space="preserve">سم [ف: 1 - 26]</w:t>
      </w:r>
    </w:p>
    <w:p>
      <w:pPr>
        <w:pStyle w:val="BookText"/>
      </w:pPr>
      <w:r>
        <w:rPr>
          <w:rFonts w:ascii="IRNazanin" w:hAnsi="IRNazanin" w:eastAsia="IRNazanin" w:cs="IRNazanin"/>
          <w:lang w:bidi="fa-IR"/>
          <w:color w:val="111111"/>
          <w:sz w:val="28"/>
          <w:szCs w:val="28"/>
          <w:rtl/>
        </w:rPr>
        <w:t xml:space="preserve">3.قم؛ مرکز احیاء؛ شماره نسخه: 1650</w:t>
      </w:r>
    </w:p>
    <w:p>
      <w:pPr>
        <w:pStyle w:val="BookText"/>
      </w:pPr>
      <w:r>
        <w:rPr>
          <w:rFonts w:ascii="IRNazanin" w:hAnsi="IRNazanin" w:eastAsia="IRNazanin" w:cs="IRNazanin"/>
          <w:lang w:bidi="fa-IR"/>
          <w:color w:val="111111"/>
          <w:sz w:val="28"/>
          <w:szCs w:val="28"/>
          <w:rtl/>
        </w:rPr>
        <w:t xml:space="preserve">آغاز: خداوند متعلمان حکمت را بالهام حق و تلقين صدق توفیق خیر مؤید گردان و همتهای ایشان را بطلب کمال- مصروف دار؛ انجام: و از جهت آنکه علمی مفرد متکفل بیان این معانی است در این کتاب اقتصار بر این قدر کفایت بود، و ما توفیقی الا بالله عليه و توكلت و اليه أنيب. خط: نستعلیق، بی کا، تا: قرن 11؛ مصحح، دارای نشان  بلاغ، روی برگ اول چند بیت فارسی از آقا حسین سلمه الله؛ مهر: «فسره بمغفرة و اجر کریم» (بیضی)؛ جلد: دو رو تيماج رو قرمز ضربی اندرون قهوه ای، 374گ، 15 سطر ، اندازه: 12/5</w:t>
      </w:r>
      <w:r>
        <w:rPr>
          <w:rFonts w:ascii="Times New Roman" w:hAnsi="Times New Roman" w:eastAsia="Times New Roman" w:cs="Times New Roman"/>
          <w:lang w:val="en-US" w:bidi="en-US"/>
          <w:color w:val="111111"/>
          <w:sz w:val="28"/>
          <w:szCs w:val="28"/>
          <w:rtl/>
        </w:rPr>
        <w:t xml:space="preserve">×19/5</w:t>
      </w:r>
      <w:r>
        <w:rPr>
          <w:rFonts w:ascii="IRNazanin" w:hAnsi="IRNazanin" w:eastAsia="IRNazanin" w:cs="IRNazanin"/>
          <w:lang w:bidi="fa-IR"/>
          <w:color w:val="111111"/>
          <w:sz w:val="28"/>
          <w:szCs w:val="28"/>
          <w:rtl/>
        </w:rPr>
        <w:t xml:space="preserve">سم [ف: 5- 61]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تهران؛ ملی؛ شماره نسخه: 2029</w:t>
      </w:r>
    </w:p>
    <w:p>
      <w:pPr>
        <w:pStyle w:val="BookText"/>
      </w:pPr>
      <w:r>
        <w:rPr>
          <w:rFonts w:ascii="IRNazanin" w:hAnsi="IRNazanin" w:eastAsia="IRNazanin" w:cs="IRNazanin"/>
          <w:lang w:bidi="fa-IR"/>
          <w:color w:val="111111"/>
          <w:sz w:val="28"/>
          <w:szCs w:val="28"/>
          <w:rtl/>
        </w:rPr>
        <w:t xml:space="preserve">آغاز: بسمله خداوندا متعلمان حکمت را بالهام حق و تلقين صدق و توفیق خیر موید گردان؛ انجام: برابر</w:t>
      </w:r>
    </w:p>
    <w:p>
      <w:pPr>
        <w:pStyle w:val="BookText"/>
      </w:pPr>
      <w:r>
        <w:rPr>
          <w:rFonts w:ascii="IRNazanin" w:hAnsi="IRNazanin" w:eastAsia="IRNazanin" w:cs="IRNazanin"/>
          <w:lang w:bidi="fa-IR"/>
          <w:color w:val="111111"/>
          <w:sz w:val="28"/>
          <w:szCs w:val="28"/>
          <w:rtl/>
        </w:rPr>
        <w:t xml:space="preserve">خط: نستعليق ،خوش بی کا، تا: محتملاً قرن 11؛ مجدول، با سرلوح مذهب کاغذ ترمه ،جلد: گالینگور سیاه عطف تیماج سیاه مقوایی، 166گ، 21 سطر (16/5</w:t>
      </w:r>
      <w:r>
        <w:rPr>
          <w:rFonts w:ascii="Times New Roman" w:hAnsi="Times New Roman" w:eastAsia="Times New Roman" w:cs="Times New Roman"/>
          <w:lang w:val="en-US" w:bidi="en-US"/>
          <w:color w:val="111111"/>
          <w:sz w:val="28"/>
          <w:szCs w:val="28"/>
          <w:rtl/>
        </w:rPr>
        <w:t xml:space="preserve">×18/5)</w:t>
      </w:r>
      <w:r>
        <w:rPr>
          <w:rFonts w:ascii="IRNazanin" w:hAnsi="IRNazanin" w:eastAsia="IRNazanin" w:cs="IRNazanin"/>
          <w:lang w:bidi="fa-IR"/>
          <w:color w:val="111111"/>
          <w:sz w:val="28"/>
          <w:szCs w:val="28"/>
          <w:rtl/>
        </w:rPr>
        <w:t xml:space="preserve">، اندازه: 16</w:t>
      </w:r>
      <w:r>
        <w:rPr>
          <w:rFonts w:ascii="Times New Roman" w:hAnsi="Times New Roman" w:eastAsia="Times New Roman" w:cs="Times New Roman"/>
          <w:lang w:val="en-US" w:bidi="en-US"/>
          <w:color w:val="111111"/>
          <w:sz w:val="28"/>
          <w:szCs w:val="28"/>
          <w:rtl/>
        </w:rPr>
        <w:t xml:space="preserve">×26/5</w:t>
      </w:r>
      <w:r>
        <w:rPr>
          <w:rFonts w:ascii="IRNazanin" w:hAnsi="IRNazanin" w:eastAsia="IRNazanin" w:cs="IRNazanin"/>
          <w:lang w:bidi="fa-IR"/>
          <w:color w:val="111111"/>
          <w:sz w:val="28"/>
          <w:szCs w:val="28"/>
          <w:rtl/>
        </w:rPr>
        <w:t xml:space="preserve">سم [ف: 5 - 26]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یزد؛ وزیری؛ شماره نسخه:614</w:t>
      </w:r>
    </w:p>
    <w:p>
      <w:pPr>
        <w:pStyle w:val="BookText"/>
      </w:pPr>
      <w:r>
        <w:rPr>
          <w:rFonts w:ascii="IRNazanin" w:hAnsi="IRNazanin" w:eastAsia="IRNazanin" w:cs="IRNazanin"/>
          <w:lang w:bidi="fa-IR"/>
          <w:color w:val="111111"/>
          <w:sz w:val="28"/>
          <w:szCs w:val="28"/>
          <w:rtl/>
        </w:rPr>
        <w:t xml:space="preserve">آغاز: فهرست کتاب اساس الاقتباس مشتمل بر نه مقاله: مقاله اولی در مدخل منطق؛ انجام: برابر</w:t>
      </w:r>
    </w:p>
    <w:p>
      <w:pPr>
        <w:pStyle w:val="BookText"/>
      </w:pPr>
      <w:r>
        <w:rPr>
          <w:rFonts w:ascii="IRNazanin" w:hAnsi="IRNazanin" w:eastAsia="IRNazanin" w:cs="IRNazanin"/>
          <w:lang w:bidi="fa-IR"/>
          <w:color w:val="111111"/>
          <w:sz w:val="28"/>
          <w:szCs w:val="28"/>
          <w:rtl/>
        </w:rPr>
        <w:t xml:space="preserve">خط: نسخ، بی کا، تا: اوایل قرن 11؛ محشی به نشان ملا رفیعای جیلانی؛ اهدایی حاج وزیری؛ کاغذ: نخودی آهار مهره اصفهانی، جلد: مقوایی با روکش پارچه تریاکی عطف و گوشه ها تیماج ،قرمز، 323گ، 24 سطر (8</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اندازه: 14</w:t>
      </w:r>
      <w:r>
        <w:rPr>
          <w:rFonts w:ascii="Times New Roman" w:hAnsi="Times New Roman" w:eastAsia="Times New Roman" w:cs="Times New Roman"/>
          <w:lang w:val="en-US" w:bidi="en-US"/>
          <w:color w:val="111111"/>
          <w:sz w:val="28"/>
          <w:szCs w:val="28"/>
          <w:rtl/>
        </w:rPr>
        <w:t xml:space="preserve">×25</w:t>
      </w:r>
      <w:r>
        <w:rPr>
          <w:rFonts w:ascii="IRNazanin" w:hAnsi="IRNazanin" w:eastAsia="IRNazanin" w:cs="IRNazanin"/>
          <w:lang w:bidi="fa-IR"/>
          <w:color w:val="111111"/>
          <w:sz w:val="28"/>
          <w:szCs w:val="28"/>
          <w:rtl/>
        </w:rPr>
        <w:t xml:space="preserve">سم [ف: 2-521]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تهران؛ مجلس؛ شماره نسخه: 365/1-ط</w:t>
      </w:r>
    </w:p>
    <w:p>
      <w:pPr>
        <w:pStyle w:val="BookText"/>
      </w:pPr>
      <w:r>
        <w:rPr>
          <w:rFonts w:ascii="IRNazanin" w:hAnsi="IRNazanin" w:eastAsia="IRNazanin" w:cs="IRNazanin"/>
          <w:lang w:bidi="fa-IR"/>
          <w:color w:val="111111"/>
          <w:sz w:val="28"/>
          <w:szCs w:val="28"/>
          <w:rtl/>
        </w:rPr>
        <w:t xml:space="preserve">از مقاله برهان است تا قسمتی از مقاله 8 در خطابت؛ خط: نستعلیق، بی کا، تا: قرن 11؛ کاغذ: اصفهانی، جلد: تیماج قرمز، 79گ (1- 80) ، قطع: رقعی، اندازه: 12</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سم [ف: 22 - 127]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تهران؛ مجلس؛ شماره نسخه: 595/1</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شامل نه مقاله؛ خط: نستعلیق  شکسته، کا: ابن عطاء الله افضل نظام  لواسانی، تا: حدود قرن 11؛ مقداری از سطر هشتم صفحه 184 و عکسش جزوی لزومی بود تا صفحه 186 سطر هفتم را ندارد و ناقص است؛ 187 ص 23 سطر، قطع : وزیری ،اندازه: 16</w:t>
      </w:r>
      <w:r>
        <w:rPr>
          <w:rFonts w:ascii="Times New Roman" w:hAnsi="Times New Roman" w:eastAsia="Times New Roman" w:cs="Times New Roman"/>
          <w:lang w:val="en-US" w:bidi="en-US"/>
          <w:color w:val="111111"/>
          <w:sz w:val="28"/>
          <w:szCs w:val="28"/>
          <w:rtl/>
        </w:rPr>
        <w:t xml:space="preserve">×25 [</w:t>
      </w:r>
      <w:r>
        <w:rPr>
          <w:rFonts w:ascii="IRNazanin" w:hAnsi="IRNazanin" w:eastAsia="IRNazanin" w:cs="IRNazanin"/>
          <w:lang w:bidi="fa-IR"/>
          <w:color w:val="111111"/>
          <w:sz w:val="28"/>
          <w:szCs w:val="28"/>
          <w:rtl/>
        </w:rPr>
        <w:t xml:space="preserve">ف: 2 - 352]</w:t>
      </w:r>
    </w:p>
    <w:p>
      <w:pPr>
        <w:pStyle w:val="BookText"/>
      </w:pPr>
      <w:r>
        <w:rPr>
          <w:rFonts w:ascii="IRNazanin" w:hAnsi="IRNazanin" w:eastAsia="IRNazanin" w:cs="IRNazanin"/>
          <w:lang w:bidi="fa-IR"/>
          <w:color w:val="111111"/>
          <w:sz w:val="28"/>
          <w:szCs w:val="28"/>
          <w:rtl/>
        </w:rPr>
        <w:t xml:space="preserve">8.قم؛ حجتیه؛ شماره نسخه: 489</w:t>
      </w:r>
    </w:p>
    <w:p>
      <w:pPr>
        <w:pStyle w:val="BookText"/>
      </w:pPr>
      <w:r>
        <w:rPr>
          <w:rFonts w:ascii="IRNazanin" w:hAnsi="IRNazanin" w:eastAsia="IRNazanin" w:cs="IRNazanin"/>
          <w:lang w:bidi="fa-IR"/>
          <w:color w:val="111111"/>
          <w:sz w:val="28"/>
          <w:szCs w:val="28"/>
          <w:rtl/>
        </w:rPr>
        <w:t xml:space="preserve">خط: نسخ، بی کا، تا: 1059ق؛ افتادگی: آغاز؛ بخشی از پایان نسخه را موریانه خورده است [ف:2]</w:t>
      </w:r>
    </w:p>
    <w:p>
      <w:pPr>
        <w:pStyle w:val="BookText"/>
      </w:pPr>
      <w:r>
        <w:rPr>
          <w:rFonts w:ascii="IRNazanin" w:hAnsi="IRNazanin" w:eastAsia="IRNazanin" w:cs="IRNazanin"/>
          <w:lang w:bidi="fa-IR"/>
          <w:color w:val="111111"/>
          <w:sz w:val="28"/>
          <w:szCs w:val="28"/>
          <w:rtl/>
        </w:rPr>
        <w:t xml:space="preserve">9.تهران؛ ملک؛ شماره نسخه: 1144</w:t>
      </w:r>
    </w:p>
    <w:p>
      <w:pPr>
        <w:pStyle w:val="BookText"/>
      </w:pPr>
      <w:r>
        <w:rPr>
          <w:rFonts w:ascii="IRNazanin" w:hAnsi="IRNazanin" w:eastAsia="IRNazanin" w:cs="IRNazanin"/>
          <w:lang w:bidi="fa-IR"/>
          <w:color w:val="111111"/>
          <w:sz w:val="28"/>
          <w:szCs w:val="28"/>
          <w:rtl/>
        </w:rPr>
        <w:t xml:space="preserve">خط: نسخ، کا: محمد مؤمن جرفادقانی؛ تا: 1063ق؛ کاغذ: کاغذ ترمه، جلد: میشن ،مشکی، 214گ 25 سطر، اندازه: 13</w:t>
      </w:r>
      <w:r>
        <w:rPr>
          <w:rFonts w:ascii="Times New Roman" w:hAnsi="Times New Roman" w:eastAsia="Times New Roman" w:cs="Times New Roman"/>
          <w:lang w:val="en-US" w:bidi="en-US"/>
          <w:color w:val="111111"/>
          <w:sz w:val="28"/>
          <w:szCs w:val="28"/>
          <w:rtl/>
        </w:rPr>
        <w:t xml:space="preserve">×24/7</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[ف: 2 - 22]</w:t>
      </w:r>
    </w:p>
    <w:p>
      <w:pPr>
        <w:pStyle w:val="BookText"/>
      </w:pPr>
      <w:r>
        <w:rPr>
          <w:rFonts w:ascii="IRNazanin" w:hAnsi="IRNazanin" w:eastAsia="IRNazanin" w:cs="IRNazanin"/>
          <w:lang w:bidi="fa-IR"/>
          <w:color w:val="111111"/>
          <w:sz w:val="28"/>
          <w:szCs w:val="28"/>
          <w:rtl/>
        </w:rPr>
        <w:t xml:space="preserve">10.تهران؛ مجلس؛ شماره نسخه: 4934</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ابراهیم اصفهانی، تا: ربیع الثانی 1065ق؛ مصحح، محشی؛ مهر: «محمد باقر بن باقر»، «حاج سید نصر الله تقوی»؛ کاغذ: اصفهانی، نخودی، جلد: میشن سرخ مجدول زرکوب لولادار، 327گ 19 سطر (7/5</w:t>
      </w:r>
      <w:r>
        <w:rPr>
          <w:rFonts w:ascii="Times New Roman" w:hAnsi="Times New Roman" w:eastAsia="Times New Roman" w:cs="Times New Roman"/>
          <w:lang w:val="en-US" w:bidi="en-US"/>
          <w:color w:val="111111"/>
          <w:sz w:val="28"/>
          <w:szCs w:val="28"/>
          <w:rtl/>
        </w:rPr>
        <w:t xml:space="preserve">×16/5)</w:t>
      </w:r>
      <w:r>
        <w:rPr>
          <w:rFonts w:ascii="IRNazanin" w:hAnsi="IRNazanin" w:eastAsia="IRNazanin" w:cs="IRNazanin"/>
          <w:lang w:bidi="fa-IR"/>
          <w:color w:val="111111"/>
          <w:sz w:val="28"/>
          <w:szCs w:val="28"/>
          <w:rtl/>
        </w:rPr>
        <w:t xml:space="preserve">، اندازه: 12/5</w:t>
      </w:r>
      <w:r>
        <w:rPr>
          <w:rFonts w:ascii="Times New Roman" w:hAnsi="Times New Roman" w:eastAsia="Times New Roman" w:cs="Times New Roman"/>
          <w:lang w:val="en-US" w:bidi="en-US"/>
          <w:color w:val="111111"/>
          <w:sz w:val="28"/>
          <w:szCs w:val="28"/>
          <w:rtl/>
        </w:rPr>
        <w:t xml:space="preserve">×23</w:t>
      </w:r>
      <w:r>
        <w:rPr>
          <w:rFonts w:ascii="IRNazanin" w:hAnsi="IRNazanin" w:eastAsia="IRNazanin" w:cs="IRNazanin"/>
          <w:lang w:bidi="fa-IR"/>
          <w:color w:val="111111"/>
          <w:sz w:val="28"/>
          <w:szCs w:val="28"/>
          <w:rtl/>
        </w:rPr>
        <w:t xml:space="preserve">سم [ف: 14- 164]</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تهران؛ ملک؛ شماره نسخه: 762</w:t>
      </w:r>
    </w:p>
    <w:p>
      <w:pPr>
        <w:pStyle w:val="BookText"/>
      </w:pPr>
      <w:r>
        <w:rPr>
          <w:rFonts w:ascii="IRNazanin" w:hAnsi="IRNazanin" w:eastAsia="IRNazanin" w:cs="IRNazanin"/>
          <w:lang w:bidi="fa-IR"/>
          <w:color w:val="111111"/>
          <w:sz w:val="28"/>
          <w:szCs w:val="28"/>
          <w:rtl/>
        </w:rPr>
        <w:t xml:space="preserve">خط: نستعلیق، بی کا، تا: 1065ق، جا: اصفهان؛ کاغذ: کاغذ ترمه ،سمرقندی ،جلد: میشن قرمز مغزی  دار، 228گ، 22 سطر، اندازه: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11/5×20/3</w:t>
      </w:r>
      <w:r>
        <w:rPr>
          <w:rFonts w:ascii="IRNazanin" w:hAnsi="IRNazanin" w:eastAsia="IRNazanin" w:cs="IRNazanin"/>
          <w:lang w:bidi="fa-IR"/>
          <w:color w:val="111111"/>
          <w:sz w:val="28"/>
          <w:szCs w:val="28"/>
          <w:rtl/>
        </w:rPr>
        <w:t xml:space="preserve">سم [ف: 2 - 22]</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کرمانشاه؛ جلیلی؛ شماره نسخه: 290</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خوش ،کا: محمد علی بن منصور علی قمی، تا : پنج شنبه  22 جمادى الثانى ،1065ق، جا: اصفهان كاغذ: شكری  آهار مهره اصفهانی ،جلد: تیماج خرمایی عطف و حاشیه عنابی، 282گ، 22 سطر :اندازه: 10</w:t>
      </w:r>
      <w:r>
        <w:rPr>
          <w:rFonts w:ascii="Times New Roman" w:hAnsi="Times New Roman" w:eastAsia="Times New Roman" w:cs="Times New Roman"/>
          <w:lang w:val="en-US" w:bidi="en-US"/>
          <w:color w:val="111111"/>
          <w:sz w:val="28"/>
          <w:szCs w:val="28"/>
          <w:rtl/>
        </w:rPr>
        <w:t xml:space="preserve">×18/5</w:t>
      </w:r>
      <w:r>
        <w:rPr>
          <w:rFonts w:ascii="IRNazanin" w:hAnsi="IRNazanin" w:eastAsia="IRNazanin" w:cs="IRNazanin"/>
          <w:lang w:bidi="fa-IR"/>
          <w:color w:val="111111"/>
          <w:sz w:val="28"/>
          <w:szCs w:val="28"/>
          <w:rtl/>
        </w:rPr>
        <w:t xml:space="preserve">سم [ف: 23]</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قم؛ مرعشی؛ شماره نسخه: 6473/1</w:t>
      </w:r>
    </w:p>
    <w:p>
      <w:pPr>
        <w:pStyle w:val="BookText"/>
      </w:pPr>
      <w:r>
        <w:rPr>
          <w:rFonts w:ascii="IRNazanin" w:hAnsi="IRNazanin" w:eastAsia="IRNazanin" w:cs="IRNazanin"/>
          <w:lang w:bidi="fa-IR"/>
          <w:color w:val="111111"/>
          <w:sz w:val="28"/>
          <w:szCs w:val="28"/>
          <w:rtl/>
        </w:rPr>
        <w:t xml:space="preserve">آغاز: نتواند بود پس تصور بعضی معانی مقتضی بعضی تصور معنیهای دیگرباشد که داخل باشند در آن معانی ... فصل دوم در نسبة الفاظ با معانی گاه بود؛ انجام: برابر</w:t>
      </w:r>
    </w:p>
    <w:p>
      <w:pPr>
        <w:pStyle w:val="BookText"/>
      </w:pPr>
      <w:r>
        <w:rPr>
          <w:rFonts w:ascii="IRNazanin" w:hAnsi="IRNazanin" w:eastAsia="IRNazanin" w:cs="IRNazanin"/>
          <w:lang w:bidi="fa-IR"/>
          <w:color w:val="111111"/>
          <w:sz w:val="28"/>
          <w:szCs w:val="28"/>
          <w:rtl/>
        </w:rPr>
        <w:t xml:space="preserve">خط: نستعلیق، کا: شمس الدین، تا: 1 شعبان 1067ق؛ افتادگی: آغاز؛ کاغذ: شرقی نخودی آهار  مهر ،جلد: تیماج قهوه ای 159گ (121ر- 179ر) 23  سطر ،اندازه: 12</w:t>
      </w:r>
      <w:r>
        <w:rPr>
          <w:rFonts w:ascii="Times New Roman" w:hAnsi="Times New Roman" w:eastAsia="Times New Roman" w:cs="Times New Roman"/>
          <w:lang w:val="en-US" w:bidi="en-US"/>
          <w:color w:val="111111"/>
          <w:sz w:val="28"/>
          <w:szCs w:val="28"/>
          <w:rtl/>
        </w:rPr>
        <w:t xml:space="preserve">×24</w:t>
      </w:r>
      <w:r>
        <w:rPr>
          <w:rFonts w:ascii="IRNazanin" w:hAnsi="IRNazanin" w:eastAsia="IRNazanin" w:cs="IRNazanin"/>
          <w:lang w:bidi="fa-IR"/>
          <w:color w:val="111111"/>
          <w:sz w:val="28"/>
          <w:szCs w:val="28"/>
          <w:rtl/>
        </w:rPr>
        <w:t xml:space="preserve">سم [ف 17 - 67 ]</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مشهد؛ الهیات؛ شماره نسخه: 18</w:t>
      </w:r>
    </w:p>
    <w:p>
      <w:pPr>
        <w:pStyle w:val="BookText"/>
      </w:pPr>
      <w:r>
        <w:rPr>
          <w:rFonts w:ascii="IRNazanin" w:hAnsi="IRNazanin" w:eastAsia="IRNazanin" w:cs="IRNazanin"/>
          <w:lang w:bidi="fa-IR"/>
          <w:color w:val="111111"/>
          <w:sz w:val="28"/>
          <w:szCs w:val="28"/>
          <w:rtl/>
        </w:rPr>
        <w:t xml:space="preserve">خط: نسخ، بی کا ،تا :1067ق ،مصحح مقابله ،شده دارای علامت  بلاغ، در هامش صفحه آخر کتاب آمده: «بلغ قبالا» و و در آخر همین صفحه آمده: «بلغ قبالا بنسختين وكان مكتوبا في آخر احديهما نسخ من نسخة المصنف والله تعالى اعلم بالصواب»، مجدول، مذهب،دارای یک سرلوح کم کار دارای یادداشت شهر ربیع الثانی 1160 داخل عرض شد» با مهر «المتوكل على عبده سید مرتضی» (چهارگوش) یادداشت دیگری به این عبارت به تاریخ 14 شهر ربیع الاول سنه 1134 داخل عرض شد» با مهر «لا اله الا الله الملك الحق المبين محمد موسی سنه 1132»، درپایین همین صفحه نوشته شده به تاریخ 12 بشهر محرم الحرام 1128 داخل عرض شد، و بازنگاشته گردید بتاریخ 18 شهر ر الثاني سنه 1115 داخل عرض شد؛ تملک: ملاابراهیم در رمضان 1111 با مهر «لا اله الا الله الملك الحق المبين عبده محمد ابراهیم» (بیضی) کاغذ: دولت آبادی، جلد: تیماج لفافه دار مقوا، 199گ، 25 سطر (19</w:t>
      </w:r>
      <w:r>
        <w:rPr>
          <w:rFonts w:ascii="Times New Roman" w:hAnsi="Times New Roman" w:eastAsia="Times New Roman" w:cs="Times New Roman"/>
          <w:lang w:val="en-US" w:bidi="en-US"/>
          <w:color w:val="111111"/>
          <w:sz w:val="28"/>
          <w:szCs w:val="28"/>
          <w:rtl/>
        </w:rPr>
        <w:t xml:space="preserve">×9/5) </w:t>
      </w:r>
      <w:r>
        <w:rPr>
          <w:rFonts w:ascii="IRNazanin" w:hAnsi="IRNazanin" w:eastAsia="IRNazanin" w:cs="IRNazanin"/>
          <w:lang w:bidi="fa-IR"/>
          <w:color w:val="111111"/>
          <w:sz w:val="28"/>
          <w:szCs w:val="28"/>
          <w:rtl/>
        </w:rPr>
        <w:t xml:space="preserve">اندازه: 17</w:t>
      </w:r>
      <w:r>
        <w:rPr>
          <w:rFonts w:ascii="Times New Roman" w:hAnsi="Times New Roman" w:eastAsia="Times New Roman" w:cs="Times New Roman"/>
          <w:lang w:val="en-US" w:bidi="en-US"/>
          <w:color w:val="111111"/>
          <w:sz w:val="28"/>
          <w:szCs w:val="28"/>
          <w:rtl/>
        </w:rPr>
        <w:t xml:space="preserve">×28/5</w:t>
      </w:r>
      <w:r>
        <w:rPr>
          <w:rFonts w:ascii="IRNazanin" w:hAnsi="IRNazanin" w:eastAsia="IRNazanin" w:cs="IRNazanin"/>
          <w:lang w:bidi="fa-IR"/>
          <w:color w:val="111111"/>
          <w:sz w:val="28"/>
          <w:szCs w:val="28"/>
          <w:rtl/>
        </w:rPr>
        <w:t xml:space="preserve">سم [ف: 1 - 11]</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تهران؛ مجلس؛ شماره نسخه: 357-ط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جدول های آن کامل نیست و در اشكال اربعه صوراشکال را ندارد و محلش سفید مانده؛ خط: نسخ، کا: محمد صالح گوگد ی،گلپایگانی تا: 1068ق؛ کاغذ: اصفهانی آهار مهره ،جلد: تیماج ،قرمز، 171گ 25 ،سطر، اندازه: 14/5</w:t>
      </w:r>
      <w:r>
        <w:rPr>
          <w:rFonts w:ascii="Times New Roman" w:hAnsi="Times New Roman" w:eastAsia="Times New Roman" w:cs="Times New Roman"/>
          <w:lang w:val="en-US" w:bidi="en-US"/>
          <w:color w:val="111111"/>
          <w:sz w:val="28"/>
          <w:szCs w:val="28"/>
          <w:rtl/>
        </w:rPr>
        <w:t xml:space="preserve">×25</w:t>
      </w:r>
      <w:r>
        <w:rPr>
          <w:rFonts w:ascii="IRNazanin" w:hAnsi="IRNazanin" w:eastAsia="IRNazanin" w:cs="IRNazanin"/>
          <w:lang w:bidi="fa-IR"/>
          <w:color w:val="111111"/>
          <w:sz w:val="28"/>
          <w:szCs w:val="28"/>
          <w:rtl/>
        </w:rPr>
        <w:t xml:space="preserve">سم [ف: 24 - 246]</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تهران؛ مجلس؛ شماره نسخه: 3783</w:t>
      </w:r>
    </w:p>
    <w:p>
      <w:pPr>
        <w:pStyle w:val="BookText"/>
      </w:pPr>
      <w:r>
        <w:rPr>
          <w:rFonts w:ascii="IRNazanin" w:hAnsi="IRNazanin" w:eastAsia="IRNazanin" w:cs="IRNazanin"/>
          <w:lang w:bidi="fa-IR"/>
          <w:color w:val="111111"/>
          <w:sz w:val="28"/>
          <w:szCs w:val="28"/>
          <w:rtl/>
        </w:rPr>
        <w:t xml:space="preserve">خط: نستعلیق، بی کا، تا: 1075ق؛ کاغذ: سمرقندی ،جلد: تیماج قهوه ای 294 ص، 23 سطر، قطع ،وزیری، اندازه: 15</w:t>
      </w:r>
      <w:r>
        <w:rPr>
          <w:rFonts w:ascii="Times New Roman" w:hAnsi="Times New Roman" w:eastAsia="Times New Roman" w:cs="Times New Roman"/>
          <w:lang w:val="en-US" w:bidi="en-US"/>
          <w:color w:val="111111"/>
          <w:sz w:val="28"/>
          <w:szCs w:val="28"/>
          <w:rtl/>
        </w:rPr>
        <w:t xml:space="preserve">×24</w:t>
      </w:r>
      <w:r>
        <w:rPr>
          <w:rFonts w:ascii="IRNazanin" w:hAnsi="IRNazanin" w:eastAsia="IRNazanin" w:cs="IRNazanin"/>
          <w:lang w:bidi="fa-IR"/>
          <w:color w:val="111111"/>
          <w:sz w:val="28"/>
          <w:szCs w:val="28"/>
          <w:rtl/>
        </w:rPr>
        <w:t xml:space="preserve">سم [ ف: 10- 1771]</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تهران؛ دانشگاه؛ شماره نسخه: 2955</w:t>
      </w:r>
    </w:p>
    <w:p>
      <w:pPr>
        <w:pStyle w:val="BookText"/>
      </w:pPr>
      <w:r>
        <w:rPr>
          <w:rFonts w:ascii="IRNazanin" w:hAnsi="IRNazanin" w:eastAsia="IRNazanin" w:cs="IRNazanin"/>
          <w:lang w:bidi="fa-IR"/>
          <w:color w:val="111111"/>
          <w:sz w:val="28"/>
          <w:szCs w:val="28"/>
          <w:rtl/>
        </w:rPr>
        <w:t xml:space="preserve">خط: نستعلیق ،کا: شهریار بن الله داد فراهانی تا 1 صفر 1077ق؛ نسخه را محمد بن عبدالکریم کردستانی توسط ملا عبدالصمدمحلاتی کتابفروش بیک تومان در سپاهان خریده است با مهر مورخ 1294؛ کاغذ: سپاهانی، جلد: تیماج تریاکی مقوایی، 277گ، 25 سطر (9</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 اندازه: 17</w:t>
      </w:r>
      <w:r>
        <w:rPr>
          <w:rFonts w:ascii="Times New Roman" w:hAnsi="Times New Roman" w:eastAsia="Times New Roman" w:cs="Times New Roman"/>
          <w:lang w:val="en-US" w:bidi="en-US"/>
          <w:color w:val="111111"/>
          <w:sz w:val="28"/>
          <w:szCs w:val="28"/>
          <w:rtl/>
        </w:rPr>
        <w:t xml:space="preserve">×26</w:t>
      </w:r>
      <w:r>
        <w:rPr>
          <w:rFonts w:ascii="IRNazanin" w:hAnsi="IRNazanin" w:eastAsia="IRNazanin" w:cs="IRNazanin"/>
          <w:lang w:bidi="fa-IR"/>
          <w:color w:val="111111"/>
          <w:sz w:val="28"/>
          <w:szCs w:val="28"/>
          <w:rtl/>
        </w:rPr>
        <w:t xml:space="preserve">سم [ف : 10 - 1849]</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تهران؛ سپهسالار؛ شماره نسخه: 3000</w:t>
      </w:r>
    </w:p>
    <w:p>
      <w:pPr>
        <w:pStyle w:val="BookText"/>
      </w:pPr>
      <w:r>
        <w:rPr>
          <w:rFonts w:ascii="IRNazanin" w:hAnsi="IRNazanin" w:eastAsia="IRNazanin" w:cs="IRNazanin"/>
          <w:lang w:bidi="fa-IR"/>
          <w:color w:val="111111"/>
          <w:sz w:val="28"/>
          <w:szCs w:val="28"/>
          <w:rtl/>
        </w:rPr>
        <w:t xml:space="preserve">خط: نسخ، بی کا، تا: پنج شنبه 26 رمضان 1079ق؛ نویسنده نوشته است که این کتاب با جدولها 1400 بیت نوشته دارد؛ تملک: شيخ رضا بن حسن لاهیجی در 10 رجب 1226ق، اعتضاد السلطنه در 1261ق؛ واقف: سپهسالار 1297ق؛ کاغذ: سپاهانی، جلد: تیماج سرخ ضربی مقوایی کناره  مشکی، 296گ، 23 سطر، اندازه: 14</w:t>
      </w:r>
      <w:r>
        <w:rPr>
          <w:rFonts w:ascii="Times New Roman" w:hAnsi="Times New Roman" w:eastAsia="Times New Roman" w:cs="Times New Roman"/>
          <w:lang w:val="en-US" w:bidi="en-US"/>
          <w:color w:val="111111"/>
          <w:sz w:val="28"/>
          <w:szCs w:val="28"/>
          <w:rtl/>
        </w:rPr>
        <w:t xml:space="preserve">×24</w:t>
      </w:r>
      <w:r>
        <w:rPr>
          <w:rFonts w:ascii="IRNazanin" w:hAnsi="IRNazanin" w:eastAsia="IRNazanin" w:cs="IRNazanin"/>
          <w:lang w:bidi="fa-IR"/>
          <w:color w:val="111111"/>
          <w:sz w:val="28"/>
          <w:szCs w:val="28"/>
          <w:rtl/>
        </w:rPr>
        <w:t xml:space="preserve">سم [ف: 3 - 114]</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تهران؛ مجلس؛ شماره نسخه: 10536</w:t>
      </w:r>
    </w:p>
    <w:p>
      <w:pPr>
        <w:pStyle w:val="BookText"/>
      </w:pPr>
      <w:r>
        <w:rPr>
          <w:rFonts w:ascii="IRNazanin" w:hAnsi="IRNazanin" w:eastAsia="IRNazanin" w:cs="IRNazanin"/>
          <w:lang w:bidi="fa-IR"/>
          <w:color w:val="111111"/>
          <w:sz w:val="28"/>
          <w:szCs w:val="28"/>
          <w:rtl/>
        </w:rPr>
        <w:t xml:space="preserve">آغاز: خداوندا متعلمان حکمت را بالهام حق و تلقی صدق و توفیق خیر مؤید گردان؛ انجام: برابر</w:t>
      </w:r>
    </w:p>
    <w:p>
      <w:pPr>
        <w:pStyle w:val="BookText"/>
      </w:pPr>
      <w:r>
        <w:rPr>
          <w:rFonts w:ascii="IRNazanin" w:hAnsi="IRNazanin" w:eastAsia="IRNazanin" w:cs="IRNazanin"/>
          <w:lang w:bidi="fa-IR"/>
          <w:color w:val="111111"/>
          <w:sz w:val="28"/>
          <w:szCs w:val="28"/>
          <w:rtl/>
        </w:rPr>
        <w:t xml:space="preserve">خط: نستعلیق، کا: گویا محمد رضا قمی، تا: غره رجب 1080ق، جا: بلده دهلی؛ دارای نشان مقابله؛ تملک:محمدرضا القمی و گواهی ابتیاع آن در 1080ق؛ جلد: تیماج قهوه ای با ترنج زر، 201گ، 24 سطر، اندازه: 18</w:t>
      </w:r>
      <w:r>
        <w:rPr>
          <w:rFonts w:ascii="Times New Roman" w:hAnsi="Times New Roman" w:eastAsia="Times New Roman" w:cs="Times New Roman"/>
          <w:lang w:val="en-US" w:bidi="en-US"/>
          <w:color w:val="111111"/>
          <w:sz w:val="28"/>
          <w:szCs w:val="28"/>
          <w:rtl/>
        </w:rPr>
        <w:t xml:space="preserve">× 27</w:t>
      </w:r>
      <w:r>
        <w:rPr>
          <w:rFonts w:ascii="IRNazanin" w:hAnsi="IRNazanin" w:eastAsia="IRNazanin" w:cs="IRNazanin"/>
          <w:lang w:bidi="fa-IR"/>
          <w:color w:val="111111"/>
          <w:sz w:val="28"/>
          <w:szCs w:val="28"/>
          <w:rtl/>
        </w:rPr>
        <w:t xml:space="preserve">سم [ف: 33/1 - 85]</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مشهد؛ رضوی؛ شماره نسخه: 965</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محمد جعفر بن محمد امین انصاری، تا: رجب 1090ق؛ این نسخه مغلوط است و جداول آن قابل استفاده نیست؛ واقف: آقا زین العابدین خادم اصفهانی، 1166؛ کاغذ: نخودی آهار مهره، جلد: میشن زرشکی با ترنج و سرترنج ضربی، 296گ، 21 سطر، اندازه: 13</w:t>
      </w:r>
      <w:r>
        <w:rPr>
          <w:rFonts w:ascii="Times New Roman" w:hAnsi="Times New Roman" w:eastAsia="Times New Roman" w:cs="Times New Roman"/>
          <w:lang w:val="en-US" w:bidi="en-US"/>
          <w:color w:val="111111"/>
          <w:sz w:val="28"/>
          <w:szCs w:val="28"/>
          <w:rtl/>
        </w:rPr>
        <w:t xml:space="preserve">×24</w:t>
      </w:r>
      <w:r>
        <w:rPr>
          <w:rFonts w:ascii="IRNazanin" w:hAnsi="IRNazanin" w:eastAsia="IRNazanin" w:cs="IRNazanin"/>
          <w:lang w:bidi="fa-IR"/>
          <w:color w:val="111111"/>
          <w:sz w:val="28"/>
          <w:szCs w:val="28"/>
          <w:rtl/>
        </w:rPr>
        <w:t xml:space="preserve">سم [ف: 1 - 260]</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قم؛ مرکز احیاء؛ شماره نسخه: 2931</w:t>
      </w:r>
    </w:p>
    <w:p>
      <w:pPr>
        <w:pStyle w:val="BookText"/>
      </w:pPr>
      <w:r>
        <w:rPr>
          <w:rFonts w:ascii="IRNazanin" w:hAnsi="IRNazanin" w:eastAsia="IRNazanin" w:cs="IRNazanin"/>
          <w:lang w:bidi="fa-IR"/>
          <w:color w:val="111111"/>
          <w:sz w:val="28"/>
          <w:szCs w:val="28"/>
          <w:rtl/>
        </w:rPr>
        <w:t xml:space="preserve">آغاز: خداوندا متعلمان حکمت را بالهام حق و تلقين صدق و توفیق خیر مؤید گردان؛ انجام: برابر</w:t>
      </w:r>
    </w:p>
    <w:p>
      <w:pPr>
        <w:pStyle w:val="BookText"/>
      </w:pPr>
      <w:r>
        <w:rPr>
          <w:rFonts w:ascii="IRNazanin" w:hAnsi="IRNazanin" w:eastAsia="IRNazanin" w:cs="IRNazanin"/>
          <w:lang w:bidi="fa-IR"/>
          <w:color w:val="111111"/>
          <w:sz w:val="28"/>
          <w:szCs w:val="28"/>
          <w:rtl/>
        </w:rPr>
        <w:t xml:space="preserve">خط: نسخ، بی کا، تا: 14 شوال 1097ق، مصحح، مجدول، در برگ اول یادداشتی از «فرهاد بن ولیعهد» که نوشته کتاب را ملا لطف الله امين الاسلام به فرزندش عبدی هدیه داده به تاریخ 23 ذیحجه 1285؛ تملك: «حسن بن محمد عمری عاملی»؛ 212گ، 23 ،سطر، اندازه: 17</w:t>
      </w:r>
      <w:r>
        <w:rPr>
          <w:rFonts w:ascii="Times New Roman" w:hAnsi="Times New Roman" w:eastAsia="Times New Roman" w:cs="Times New Roman"/>
          <w:lang w:val="en-US" w:bidi="en-US"/>
          <w:color w:val="111111"/>
          <w:sz w:val="28"/>
          <w:szCs w:val="28"/>
          <w:rtl/>
        </w:rPr>
        <w:t xml:space="preserve">×27</w:t>
      </w:r>
      <w:r>
        <w:rPr>
          <w:rFonts w:ascii="IRNazanin" w:hAnsi="IRNazanin" w:eastAsia="IRNazanin" w:cs="IRNazanin"/>
          <w:lang w:bidi="fa-IR"/>
          <w:color w:val="111111"/>
          <w:sz w:val="28"/>
          <w:szCs w:val="28"/>
          <w:rtl/>
        </w:rPr>
        <w:t xml:space="preserve">سم [محدث ارموی مخ: 1 - 119]</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قم؛ مرعشی؛ شماره نسخه: 9315</w:t>
      </w:r>
    </w:p>
    <w:p>
      <w:pPr>
        <w:pStyle w:val="BookText"/>
      </w:pPr>
      <w:r>
        <w:rPr>
          <w:rFonts w:ascii="IRNazanin" w:hAnsi="IRNazanin" w:eastAsia="IRNazanin" w:cs="IRNazanin"/>
          <w:lang w:bidi="fa-IR"/>
          <w:color w:val="111111"/>
          <w:sz w:val="28"/>
          <w:szCs w:val="28"/>
          <w:rtl/>
        </w:rPr>
        <w:t xml:space="preserve">فاقد دیباچه؛ خط: نسخ، بی کا، تا: یکشنبه 13محرم 1099ق؛ ،مصحح، در صفحه آخر نشانی مقابله تصحیح محمد با مهر «الواثق بالله عبده محمد کریم» (بیضی)؛ تملک: فتحعلی بن محمد کریم خان زند به تاریخ دوم شعبان 1255 در مدرسه سلطانیه محله چهار باغ اصفهان؛ جلد: تیماج قرمز عطف تیماج قهوه ای، 125گ، 17 ،سطر، اندازه : 22/5</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سم [ف: 24 - 109]</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تهران؛ الهیات؛ شماره نسخه: 226</w:t>
      </w:r>
    </w:p>
    <w:p>
      <w:pPr>
        <w:pStyle w:val="BookText"/>
      </w:pPr>
      <w:r>
        <w:rPr>
          <w:rFonts w:ascii="IRNazanin" w:hAnsi="IRNazanin" w:eastAsia="IRNazanin" w:cs="IRNazanin"/>
          <w:lang w:bidi="fa-IR"/>
          <w:color w:val="111111"/>
          <w:sz w:val="28"/>
          <w:szCs w:val="28"/>
          <w:rtl/>
        </w:rPr>
        <w:t xml:space="preserve">خط: نستعلیق، بی کا، تا: قرن 11 و 12؛ افتادگی: آغاز و انجام؛ تملک: مجدالدین ؛کاغذ ،فرنگی ،جلد: مقوا، 250گ، 18 سطر (7</w:t>
      </w:r>
      <w:r>
        <w:rPr>
          <w:rFonts w:ascii="Times New Roman" w:hAnsi="Times New Roman" w:eastAsia="Times New Roman" w:cs="Times New Roman"/>
          <w:lang w:val="en-US" w:bidi="en-US"/>
          <w:color w:val="111111"/>
          <w:sz w:val="28"/>
          <w:szCs w:val="28"/>
          <w:rtl/>
        </w:rPr>
        <w:t xml:space="preserve">×12/5) </w:t>
      </w:r>
      <w:r>
        <w:rPr>
          <w:rFonts w:ascii="IRNazanin" w:hAnsi="IRNazanin" w:eastAsia="IRNazanin" w:cs="IRNazanin"/>
          <w:lang w:bidi="fa-IR"/>
          <w:color w:val="111111"/>
          <w:sz w:val="28"/>
          <w:szCs w:val="28"/>
          <w:rtl/>
        </w:rPr>
        <w:t xml:space="preserve">اندازه :11/5</w:t>
      </w:r>
      <w:r>
        <w:rPr>
          <w:rFonts w:ascii="Times New Roman" w:hAnsi="Times New Roman" w:eastAsia="Times New Roman" w:cs="Times New Roman"/>
          <w:lang w:val="en-US" w:bidi="en-US"/>
          <w:color w:val="111111"/>
          <w:sz w:val="28"/>
          <w:szCs w:val="28"/>
          <w:rtl/>
        </w:rPr>
        <w:t xml:space="preserve">×18/5</w:t>
      </w:r>
      <w:r>
        <w:rPr>
          <w:rFonts w:ascii="IRNazanin" w:hAnsi="IRNazanin" w:eastAsia="IRNazanin" w:cs="IRNazanin"/>
          <w:lang w:bidi="fa-IR"/>
          <w:color w:val="111111"/>
          <w:sz w:val="28"/>
          <w:szCs w:val="28"/>
          <w:rtl/>
        </w:rPr>
        <w:t xml:space="preserve">سم [ف :8]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مشهد؛ رضوی؛ شماره نسخه: 8461</w:t>
      </w:r>
    </w:p>
    <w:p>
      <w:pPr>
        <w:pStyle w:val="BookText"/>
      </w:pPr>
      <w:r>
        <w:rPr>
          <w:rFonts w:ascii="IRNazanin" w:hAnsi="IRNazanin" w:eastAsia="IRNazanin" w:cs="IRNazanin"/>
          <w:lang w:bidi="fa-IR"/>
          <w:color w:val="111111"/>
          <w:sz w:val="28"/>
          <w:szCs w:val="28"/>
          <w:rtl/>
        </w:rPr>
        <w:t xml:space="preserve">آغاز: که این حکم بر اطلاق نبود مثلا اگر جنس موضوع قضیه ؛انجام:که آن را حق نیزوضع کنند و باشد که نباشد پس هر هریکی از صور.</w:t>
      </w:r>
    </w:p>
    <w:p>
      <w:pPr>
        <w:pStyle w:val="BookText"/>
      </w:pPr>
      <w:r>
        <w:rPr>
          <w:rFonts w:ascii="IRNazanin" w:hAnsi="IRNazanin" w:eastAsia="IRNazanin" w:cs="IRNazanin"/>
          <w:lang w:bidi="fa-IR"/>
          <w:color w:val="111111"/>
          <w:sz w:val="28"/>
          <w:szCs w:val="28"/>
          <w:rtl/>
        </w:rPr>
        <w:t xml:space="preserve">از اول کتاب تا آخر فصل ششم از فن دوم از مقال پنجم؛ خط: نستعلیق، بی کا، تا: احتمالاً قرن 12؛ افتادگی: انجام؛ محشی به خط نستعلیق خفی بی اعجام؛ واقف: غلامعلی  فائقی، آذر 1332؛ کاغذ: حنایی و شکری، جلد: تیماج  دارچینی، 128گ 23 سطر، اندازه: 13</w:t>
      </w:r>
      <w:r>
        <w:rPr>
          <w:rFonts w:ascii="Times New Roman" w:hAnsi="Times New Roman" w:eastAsia="Times New Roman" w:cs="Times New Roman"/>
          <w:lang w:val="en-US" w:bidi="en-US"/>
          <w:color w:val="111111"/>
          <w:sz w:val="28"/>
          <w:szCs w:val="28"/>
          <w:rtl/>
        </w:rPr>
        <w:t xml:space="preserve">× 23</w:t>
      </w:r>
      <w:r>
        <w:rPr>
          <w:rFonts w:ascii="IRNazanin" w:hAnsi="IRNazanin" w:eastAsia="IRNazanin" w:cs="IRNazanin"/>
          <w:lang w:bidi="fa-IR"/>
          <w:color w:val="111111"/>
          <w:sz w:val="28"/>
          <w:szCs w:val="28"/>
          <w:rtl/>
        </w:rPr>
        <w:t xml:space="preserve">سم [ ف : 11 - 434]</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قم؛ مرعشی؛ شماره نسخه: 13405</w:t>
      </w:r>
    </w:p>
    <w:p>
      <w:pPr>
        <w:pStyle w:val="BookText"/>
      </w:pPr>
      <w:r>
        <w:rPr>
          <w:rFonts w:ascii="IRNazanin" w:hAnsi="IRNazanin" w:eastAsia="IRNazanin" w:cs="IRNazanin"/>
          <w:lang w:bidi="fa-IR"/>
          <w:color w:val="111111"/>
          <w:sz w:val="28"/>
          <w:szCs w:val="28"/>
          <w:rtl/>
        </w:rPr>
        <w:t xml:space="preserve">آغاز: برابر؛ انجام : و امتناع عبارت است از ضرورت انتفاءو  چنانکه گفته ایم عبارت از معنی... مشتمل بر عبارت ... نوشته نیست</w:t>
      </w:r>
    </w:p>
    <w:p>
      <w:pPr>
        <w:pStyle w:val="BookText"/>
      </w:pPr>
      <w:r>
        <w:rPr>
          <w:rFonts w:ascii="IRNazanin" w:hAnsi="IRNazanin" w:eastAsia="IRNazanin" w:cs="IRNazanin"/>
          <w:lang w:bidi="fa-IR"/>
          <w:color w:val="111111"/>
          <w:sz w:val="28"/>
          <w:szCs w:val="28"/>
          <w:rtl/>
        </w:rPr>
        <w:t xml:space="preserve">تا مقداری از فن دوم از مقاله سوم را دارد و افتادگی آن بسیار می باشد ؛خط: شکسته نستعلیق، بی  کا، تا :قرن 12 ؛مصحح؛ تملک: محمد جعفر بن محمد ابراهیم کاشانی مشهور به علامه فیضی به سال 1327ش؛ تملک و مهر: «عبد الباقى بن صدرالدین محمد الفيضى» (بیضی) از نوادگان   فیض کاشانی؛ مهر: مرحوم آیة الله مرعشی نجفی؛ کاغذ: شرقی نخودی، جلد: تیماج مشکی یک  لا ،64گ 17 سطر (7</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اندازه: 12</w:t>
      </w:r>
      <w:r>
        <w:rPr>
          <w:rFonts w:ascii="Times New Roman" w:hAnsi="Times New Roman" w:eastAsia="Times New Roman" w:cs="Times New Roman"/>
          <w:lang w:val="en-US" w:bidi="en-US"/>
          <w:color w:val="111111"/>
          <w:sz w:val="28"/>
          <w:szCs w:val="28"/>
          <w:rtl/>
        </w:rPr>
        <w:t xml:space="preserve">×18/5</w:t>
      </w:r>
      <w:r>
        <w:rPr>
          <w:rFonts w:ascii="IRNazanin" w:hAnsi="IRNazanin" w:eastAsia="IRNazanin" w:cs="IRNazanin"/>
          <w:lang w:bidi="fa-IR"/>
          <w:color w:val="111111"/>
          <w:sz w:val="28"/>
          <w:szCs w:val="28"/>
          <w:rtl/>
        </w:rPr>
        <w:t xml:space="preserve">سم [ف: 34- 21]</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یزد؛ سریزدی؛ شماره نسخه 60</w:t>
      </w:r>
    </w:p>
    <w:p>
      <w:pPr>
        <w:pStyle w:val="BookText"/>
      </w:pPr>
      <w:r>
        <w:rPr>
          <w:rFonts w:ascii="IRNazanin" w:hAnsi="IRNazanin" w:eastAsia="IRNazanin" w:cs="IRNazanin"/>
          <w:lang w:bidi="fa-IR"/>
          <w:color w:val="111111"/>
          <w:sz w:val="28"/>
          <w:szCs w:val="28"/>
          <w:rtl/>
        </w:rPr>
        <w:t xml:space="preserve">انجام: آن اسم را بجای آن ذاتیات بنهیم که آن جنس قریب  محدود باشد و اگر اسمی محصل نیاییم و بعضی را از آن</w:t>
      </w:r>
    </w:p>
    <w:p>
      <w:pPr>
        <w:pStyle w:val="BookText"/>
      </w:pPr>
      <w:r>
        <w:rPr>
          <w:rFonts w:ascii="IRNazanin" w:hAnsi="IRNazanin" w:eastAsia="IRNazanin" w:cs="IRNazanin"/>
          <w:lang w:bidi="fa-IR"/>
          <w:color w:val="111111"/>
          <w:sz w:val="28"/>
          <w:szCs w:val="28"/>
          <w:rtl/>
        </w:rPr>
        <w:t xml:space="preserve">خط:نسخ و نستعلیق، بی کا، تا: قرن 11 و 12؛ افتادگی: انجام؛ مصحح، در پنج برگ آغاز کتاب اشعاری به عربی؛ مهر: «محمدعلی» ((مربع) «لا اله الله الملک الحق المبين عبده محمد علی» «عبدالعلی» (بيضى) ، «الله لا اله الا هو الحى القيوم» (بيضى)؛ تملک: محمد مؤمن بن سالک الدین یزدی، محمد کاظم بن رفیع الدین با مهر بیضوی نام وی؛ محمد حسین بن محمد کاظم بامهر بیضوی نام وی ؛جلد ،مقوایی، عطف تیماج قرمز 200 گ، 23سطر، اندازه: 12</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1- 54]</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تهران؛ مجلس؛ شماره نسخه: 3828</w:t>
      </w:r>
    </w:p>
    <w:p>
      <w:pPr>
        <w:pStyle w:val="BookText"/>
      </w:pPr>
      <w:r>
        <w:rPr>
          <w:rFonts w:ascii="IRNazanin" w:hAnsi="IRNazanin" w:eastAsia="IRNazanin" w:cs="IRNazanin"/>
          <w:lang w:bidi="fa-IR"/>
          <w:color w:val="111111"/>
          <w:sz w:val="28"/>
          <w:szCs w:val="28"/>
          <w:rtl/>
        </w:rPr>
        <w:t xml:space="preserve">جدول های این نسخه کامل نیست؛ خط: شکسته نستعلیق، شرف الدين على بن غیاث الدین مسعود بن تقى الدين محمد معروف به میران حسینی؛ تا: قرن 12 تا اوایل قرن 13 ؛ تملک: کاتب، مهر: آقا علی زنوزی با نقش «هوالعلی»؛ کاغذ: آهار مهر شکری رنگ و ضخیم، جلد: تیماج قرمز با ترنج سوخته سحاف عطف و حواشی تیماج قرمز ،روشن 605ص، 21 سطر، قطع: نیم خشتی اندازه: 12/5</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سم [ف : 10 - 1865]</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قم؛ مرکز احیاء؛ شماره نسخه: 4050/12</w:t>
      </w:r>
    </w:p>
    <w:p>
      <w:pPr>
        <w:pStyle w:val="BookText"/>
      </w:pPr>
      <w:r>
        <w:rPr>
          <w:rFonts w:ascii="IRNazanin" w:hAnsi="IRNazanin" w:eastAsia="IRNazanin" w:cs="IRNazanin"/>
          <w:lang w:bidi="fa-IR"/>
          <w:color w:val="111111"/>
          <w:sz w:val="28"/>
          <w:szCs w:val="28"/>
          <w:rtl/>
        </w:rPr>
        <w:t xml:space="preserve">آغاز: خداوندا متعلمان حکمت را بالهام حق وتلقين صدق توفيق خير مؤید گردان؛ انجام: برابر</w:t>
      </w:r>
    </w:p>
    <w:p>
      <w:pPr>
        <w:pStyle w:val="BookText"/>
      </w:pPr>
      <w:r>
        <w:rPr>
          <w:rFonts w:ascii="IRNazanin" w:hAnsi="IRNazanin" w:eastAsia="IRNazanin" w:cs="IRNazanin"/>
          <w:lang w:bidi="fa-IR"/>
          <w:color w:val="111111"/>
          <w:sz w:val="28"/>
          <w:szCs w:val="28"/>
          <w:rtl/>
        </w:rPr>
        <w:t xml:space="preserve">منتخباتی از این کتاب است به انتخاب كاتب؛ خط نستعليق، بی کا، تا: محرم 1120ق، جا: اصفهان؛ 6گ (4ر-46پ)، اندازه: 12/5</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سم [محدث ارموی مخ: 1 - 119]</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قم؛ مرکز احیاء؛ شماره نسخه: 4304</w:t>
      </w:r>
    </w:p>
    <w:p>
      <w:pPr>
        <w:pStyle w:val="BookText"/>
      </w:pPr>
      <w:r>
        <w:rPr>
          <w:rFonts w:ascii="IRNazanin" w:hAnsi="IRNazanin" w:eastAsia="IRNazanin" w:cs="IRNazanin"/>
          <w:lang w:bidi="fa-IR"/>
          <w:color w:val="111111"/>
          <w:sz w:val="28"/>
          <w:szCs w:val="28"/>
          <w:rtl/>
        </w:rPr>
        <w:t xml:space="preserve">آغاز: خداوندا متعلمان حکمت را بالهام حق وتلقين صدق و توفیق خیر مؤید گردان؛ انجام: برابر</w:t>
      </w:r>
    </w:p>
    <w:p>
      <w:pPr>
        <w:pStyle w:val="BookText"/>
      </w:pPr>
      <w:r>
        <w:rPr>
          <w:rFonts w:ascii="IRNazanin" w:hAnsi="IRNazanin" w:eastAsia="IRNazanin" w:cs="IRNazanin"/>
          <w:lang w:bidi="fa-IR"/>
          <w:color w:val="111111"/>
          <w:sz w:val="28"/>
          <w:szCs w:val="28"/>
          <w:rtl/>
        </w:rPr>
        <w:t xml:space="preserve">خط: نستعلیق، کا: محمد خلیل بن محمد حسین عبدالعظیمی، حافظ  کوچک، تا: 5 رجب 1124ق، جا: اصفهان منزل میرزا ابوالحسن اوارجه نویس فارس (پایان بحث قياس)؛ مصحح ؛تملک: تملکی با مهر «المهدى من اهتديت» (مربع)، «محمد على بن نظام الدین محمد مازندرانی»؛ و تملکی با مهر «لا اله الا الله الملك الحق المبين عبده طاهر» (بیضی) ؛تملکی با مهر «محمد جعفر بن سلطان العلماء» (مربع)، تملکی با مهر بیضوی صلوات به سال 1190؛ مهر: «المتوكل على الله عبده محمد جعفر» (بیضی)؛ جلد: تیماج قهوه ای سوخته بدون مقوا، 227گ، 23 سطر، اندازه: 12</w:t>
      </w:r>
      <w:r>
        <w:rPr>
          <w:rFonts w:ascii="Times New Roman" w:hAnsi="Times New Roman" w:eastAsia="Times New Roman" w:cs="Times New Roman"/>
          <w:lang w:val="en-US" w:bidi="en-US"/>
          <w:color w:val="111111"/>
          <w:sz w:val="28"/>
          <w:szCs w:val="28"/>
          <w:rtl/>
        </w:rPr>
        <w:t xml:space="preserve">×23/5</w:t>
      </w:r>
      <w:r>
        <w:rPr>
          <w:rFonts w:ascii="IRNazanin" w:hAnsi="IRNazanin" w:eastAsia="IRNazanin" w:cs="IRNazanin"/>
          <w:lang w:bidi="fa-IR"/>
          <w:color w:val="111111"/>
          <w:sz w:val="28"/>
          <w:szCs w:val="28"/>
          <w:rtl/>
        </w:rPr>
        <w:t xml:space="preserve">سم [محدث ارموی مخ: 1 - 119]</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تهران؛ عبد العظیم؛ شماره نسخه: 197</w:t>
      </w:r>
    </w:p>
    <w:p>
      <w:pPr>
        <w:pStyle w:val="BookText"/>
      </w:pPr>
      <w:r>
        <w:rPr>
          <w:rFonts w:ascii="IRNazanin" w:hAnsi="IRNazanin" w:eastAsia="IRNazanin" w:cs="IRNazanin"/>
          <w:lang w:bidi="fa-IR"/>
          <w:color w:val="111111"/>
          <w:sz w:val="28"/>
          <w:szCs w:val="28"/>
          <w:rtl/>
        </w:rPr>
        <w:t xml:space="preserve">آغاز: خداوندا متعلمان حکمت را بالهام حق و تلقين صدق و توفيق خير مؤيد خير مؤید گردان و همتهای ایشان را به طلب کمال ... این مجموع را به اساس الاقتباس موسوم کردم؛ انجام: برابر</w:t>
      </w:r>
    </w:p>
    <w:p>
      <w:pPr>
        <w:pStyle w:val="BookText"/>
      </w:pPr>
      <w:r>
        <w:rPr>
          <w:rFonts w:ascii="IRNazanin" w:hAnsi="IRNazanin" w:eastAsia="IRNazanin" w:cs="IRNazanin"/>
          <w:lang w:bidi="fa-IR"/>
          <w:color w:val="111111"/>
          <w:sz w:val="28"/>
          <w:szCs w:val="28"/>
          <w:rtl/>
        </w:rPr>
        <w:t xml:space="preserve">خط: نستعلیق  زیبا، بی کا، تا: قرن 13؛ محشی یادداشتی که نسخه را از محمد رضا بن حاج میر محمد حسین خویی امانت گرفته در 1325 با مهر «محمد صادق بن مرتضى الحسینی» (بیضی)؛ مهر: «عبده محمد حسن الموسوی» (بیضی) جلد: تیماج قهوه ای مجدول با ترنج و سرترنج 140گ، 25 سطر، اندازه: 22/5</w:t>
      </w:r>
      <w:r>
        <w:rPr>
          <w:rFonts w:ascii="Times New Roman" w:hAnsi="Times New Roman" w:eastAsia="Times New Roman" w:cs="Times New Roman"/>
          <w:lang w:val="en-US" w:bidi="en-US"/>
          <w:color w:val="111111"/>
          <w:sz w:val="28"/>
          <w:szCs w:val="28"/>
          <w:rtl/>
        </w:rPr>
        <w:t xml:space="preserve">×35/5</w:t>
      </w:r>
      <w:r>
        <w:rPr>
          <w:rFonts w:ascii="IRNazanin" w:hAnsi="IRNazanin" w:eastAsia="IRNazanin" w:cs="IRNazanin"/>
          <w:lang w:bidi="fa-IR"/>
          <w:color w:val="111111"/>
          <w:sz w:val="28"/>
          <w:szCs w:val="28"/>
          <w:rtl/>
        </w:rPr>
        <w:t xml:space="preserve">سم [ف: 1 - 42]</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مشهد؛ رضوی؛ شماره نسخه: 9060</w:t>
      </w:r>
    </w:p>
    <w:p>
      <w:pPr>
        <w:pStyle w:val="BookText"/>
      </w:pPr>
      <w:r>
        <w:rPr>
          <w:rFonts w:ascii="IRNazanin" w:hAnsi="IRNazanin" w:eastAsia="IRNazanin" w:cs="IRNazanin"/>
          <w:lang w:bidi="fa-IR"/>
          <w:color w:val="111111"/>
          <w:sz w:val="28"/>
          <w:szCs w:val="28"/>
          <w:rtl/>
        </w:rPr>
        <w:t xml:space="preserve">آغاز: برابر؛ انجام: و فایده کل باجزاء در براهین و اقیسه بیشتر. فصل هفتم.</w:t>
      </w:r>
    </w:p>
    <w:p>
      <w:pPr>
        <w:pStyle w:val="BookText"/>
      </w:pPr>
      <w:r>
        <w:rPr>
          <w:rFonts w:ascii="IRNazanin" w:hAnsi="IRNazanin" w:eastAsia="IRNazanin" w:cs="IRNazanin"/>
          <w:lang w:bidi="fa-IR"/>
          <w:color w:val="111111"/>
          <w:sz w:val="28"/>
          <w:szCs w:val="28"/>
          <w:rtl/>
        </w:rPr>
        <w:t xml:space="preserve">خط: نستعلیق، بی کا، تا: احتمالاً قرن 13؛ کاغذ: حنایی و برخی نخودی، جلد: مقوا، 197گ، مختلف السطر، اندازه: 19</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[ف: 11 - 433]</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قم؛ مرعشی؛ شماره نسخه: 11054</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نستعليق، كا: حميد الدین  احمد، تا: چهارشنبه 9 جمادی الثانی 1252ق؛ این نسخه در عهد نصیر الدین حیدر، از روی نسخه مورخ به تاریخ 981 ق کتابت شده و آن نیز از روی نسخه مورخ 733ق نوشته شده است ،مصحح، محشی، فهرست نسخه در سه برگ در آغاز نسخه با مهر مرکز تحقیقات زبان فارسی دهلی نو،هند یک مهر بیضوی بزرگ مربوط به یک کتابخانه در هند؛تملک: «کرم احمد» همراه با مهر مربع؛ کاغذ: فرنگی، جلد: مشمعى يشمى، عطف و مغزی: تیماج زرشکی 230گ 21 سطر (12/5</w:t>
      </w:r>
      <w:r>
        <w:rPr>
          <w:rFonts w:ascii="Times New Roman" w:hAnsi="Times New Roman" w:eastAsia="Times New Roman" w:cs="Times New Roman"/>
          <w:lang w:val="en-US" w:bidi="en-US"/>
          <w:color w:val="111111"/>
          <w:sz w:val="28"/>
          <w:szCs w:val="28"/>
          <w:rtl/>
        </w:rPr>
        <w:t xml:space="preserve">×22/5) </w:t>
      </w:r>
      <w:r>
        <w:rPr>
          <w:rFonts w:ascii="IRNazanin" w:hAnsi="IRNazanin" w:eastAsia="IRNazanin" w:cs="IRNazanin"/>
          <w:lang w:bidi="fa-IR"/>
          <w:color w:val="111111"/>
          <w:sz w:val="28"/>
          <w:szCs w:val="28"/>
          <w:rtl/>
        </w:rPr>
        <w:t xml:space="preserve">اندازه:22/5</w:t>
      </w:r>
      <w:r>
        <w:rPr>
          <w:rFonts w:ascii="Times New Roman" w:hAnsi="Times New Roman" w:eastAsia="Times New Roman" w:cs="Times New Roman"/>
          <w:lang w:val="en-US" w:bidi="en-US"/>
          <w:color w:val="111111"/>
          <w:sz w:val="28"/>
          <w:szCs w:val="28"/>
          <w:rtl/>
        </w:rPr>
        <w:t xml:space="preserve">×34 </w:t>
      </w:r>
      <w:r>
        <w:rPr>
          <w:rFonts w:ascii="IRNazanin" w:hAnsi="IRNazanin" w:eastAsia="IRNazanin" w:cs="IRNazanin"/>
          <w:lang w:bidi="fa-IR"/>
          <w:color w:val="111111"/>
          <w:sz w:val="28"/>
          <w:szCs w:val="28"/>
          <w:rtl/>
        </w:rPr>
        <w:t xml:space="preserve">سم [ف: 28 - 80]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94" w:name="pg20365_260123"/>
    <w:bookmarkEnd w:id="94"/>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همدان؛ مدرسه غرب؛ شماره نسخه: 4506/1</w:t>
      </w:r>
    </w:p>
    <w:p>
      <w:pPr>
        <w:pStyle w:val="BookText"/>
      </w:pPr>
      <w:r>
        <w:rPr>
          <w:rFonts w:ascii="IRNazanin" w:hAnsi="IRNazanin" w:eastAsia="IRNazanin" w:cs="IRNazanin"/>
          <w:lang w:bidi="fa-IR"/>
          <w:color w:val="111111"/>
          <w:sz w:val="28"/>
          <w:szCs w:val="28"/>
          <w:rtl/>
        </w:rPr>
        <w:t xml:space="preserve">خط: نسخ، بی کا، تا: جمعه 17 ربیع الثاني 1273ق، قطع: رحلی [رشت و همدان - ف - 1499]</w:t>
      </w:r>
    </w:p>
    <w:p>
      <w:pPr>
        <w:pStyle w:val="BookText"/>
      </w:pPr>
      <w:r>
        <w:rPr>
          <w:rFonts w:ascii="IRNazanin" w:hAnsi="IRNazanin" w:eastAsia="IRNazanin" w:cs="IRNazanin"/>
          <w:lang w:bidi="fa-IR"/>
          <w:color w:val="111111"/>
          <w:sz w:val="28"/>
          <w:szCs w:val="28"/>
          <w:rtl/>
        </w:rPr>
        <w:t xml:space="preserve">34 .تهران؛ ادبیات؛ شماره نسخه: 221 - ج</w:t>
      </w:r>
    </w:p>
    <w:p>
      <w:pPr>
        <w:pStyle w:val="BookText"/>
      </w:pPr>
      <w:r>
        <w:rPr>
          <w:rFonts w:ascii="IRNazanin" w:hAnsi="IRNazanin" w:eastAsia="IRNazanin" w:cs="IRNazanin"/>
          <w:lang w:bidi="fa-IR"/>
          <w:color w:val="111111"/>
          <w:sz w:val="28"/>
          <w:szCs w:val="28"/>
          <w:rtl/>
        </w:rPr>
        <w:t xml:space="preserve">این نسخه بسیارمغلوط و بیشتر جداول را فاقد است؛ خط: نسخ، کا: اسماعیل سمنانی ساکن ،سرخه، تا: شنبه 14 ذیحجه 1283 ق؛کاغذ: فرنگی، جلد: تیماج حنایی ضربی مقوایی، 258ص، 19 سطر (8/5</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اندازه: 16</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سم [ف: 1 - 26]</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قم؛ مرعشی؛ شماره نسخه: 15113/20</w:t>
      </w:r>
    </w:p>
    <w:p>
      <w:pPr>
        <w:pStyle w:val="BookText"/>
      </w:pPr>
      <w:r>
        <w:rPr>
          <w:rFonts w:ascii="IRNazanin" w:hAnsi="IRNazanin" w:eastAsia="IRNazanin" w:cs="IRNazanin"/>
          <w:lang w:bidi="fa-IR"/>
          <w:color w:val="111111"/>
          <w:sz w:val="28"/>
          <w:szCs w:val="28"/>
          <w:rtl/>
        </w:rPr>
        <w:t xml:space="preserve">آغاز: مقاله پنجم در برهان و آن را انولوطیقا خوانند و این مقالت مشتمل بر دو فن فن اول در برهان، دوم در جدل، فن اول در کیفیت اکتساب تصدیقات یقینی؛ انجام: و بعد از معرفت  این اصول چند بحث دیگر از حوال علل مفید باشد در این علم و آن اینست که در فوق معلوم باشد ... از این عللها بعضی علل...</w:t>
      </w:r>
    </w:p>
    <w:p>
      <w:pPr>
        <w:pStyle w:val="BookText"/>
      </w:pPr>
      <w:r>
        <w:rPr>
          <w:rFonts w:ascii="IRNazanin" w:hAnsi="IRNazanin" w:eastAsia="IRNazanin" w:cs="IRNazanin"/>
          <w:lang w:bidi="fa-IR"/>
          <w:color w:val="111111"/>
          <w:sz w:val="28"/>
          <w:szCs w:val="28"/>
          <w:rtl/>
        </w:rPr>
        <w:t xml:space="preserve">از آغاز تا پایان فصل سوم از فن اول از مقاله از فن اول از مقاله پنجم؛ خط: نسخ ،کا: سید اسدالله صفوی ماسالی ،مصطفوی تا: قرن 14 ؛ افتادگی: انجام؛ مصحح، کاغذ ،فرنگی 7گ (61-67)، 23-25 سطر :اندازه 8</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38 - 306]</w:t>
      </w:r>
    </w:p>
    <w:p>
      <w:pPr>
        <w:pStyle w:val="BookText"/>
      </w:pPr>
      <w:r>
        <w:rPr>
          <w:rFonts w:ascii="IRNazanin" w:hAnsi="IRNazanin" w:eastAsia="IRNazanin" w:cs="IRNazanin"/>
          <w:lang w:bidi="fa-IR"/>
          <w:color w:val="111111"/>
          <w:sz w:val="28"/>
          <w:szCs w:val="28"/>
          <w:rtl/>
        </w:rPr>
        <w:t xml:space="preserve">36 .قم؛ گلپایگانی؛ شماره نسخه: 592-4/62</w:t>
      </w:r>
    </w:p>
    <w:p>
      <w:pPr>
        <w:pStyle w:val="BookText"/>
      </w:pPr>
      <w:r>
        <w:rPr>
          <w:rFonts w:ascii="IRNazanin" w:hAnsi="IRNazanin" w:eastAsia="IRNazanin" w:cs="IRNazanin"/>
          <w:lang w:bidi="fa-IR"/>
          <w:color w:val="111111"/>
          <w:sz w:val="28"/>
          <w:szCs w:val="28"/>
          <w:rtl/>
        </w:rPr>
        <w:t xml:space="preserve">آغاز: بسمله رب زدنی علما. خداوندا متعلمان حکمت را بالهام حق و تلقین صدق و توفیق خیر مؤید گردان ... و بر جمله مدار این علم بر نه مقالتست مقالت اول در مدخل منطق که ایسا غوجی خوانند چهار فنست؛ انجام: فصل سیم در احوال الفاظ و اشارت بصنعتها ... و چون آنچه در صدر کتاب وعده داده بودیم بانجاز رسید سخن قطع کنیم و ما توفیقی الا بالله علیه توكلت و اليه انيب.</w:t>
      </w:r>
    </w:p>
    <w:p>
      <w:pPr>
        <w:pStyle w:val="BookText"/>
      </w:pPr>
      <w:r>
        <w:rPr>
          <w:rFonts w:ascii="IRNazanin" w:hAnsi="IRNazanin" w:eastAsia="IRNazanin" w:cs="IRNazanin"/>
          <w:lang w:bidi="fa-IR"/>
          <w:color w:val="111111"/>
          <w:sz w:val="28"/>
          <w:szCs w:val="28"/>
          <w:rtl/>
        </w:rPr>
        <w:t xml:space="preserve">منطق؛ كا: محمد علی بن عبدالخالق مصاحبی نائینی متلخص به عبرت، تا: 1337ق؛ مصحح؛ جلد: تیماج مشکی، 216گ، 24 سطر، اندازه: 17</w:t>
      </w:r>
      <w:r>
        <w:rPr>
          <w:rFonts w:ascii="Times New Roman" w:hAnsi="Times New Roman" w:eastAsia="Times New Roman" w:cs="Times New Roman"/>
          <w:lang w:val="en-US" w:bidi="en-US"/>
          <w:color w:val="111111"/>
          <w:sz w:val="28"/>
          <w:szCs w:val="28"/>
          <w:rtl/>
        </w:rPr>
        <w:t xml:space="preserve">×23/5</w:t>
      </w:r>
      <w:r>
        <w:rPr>
          <w:rFonts w:ascii="IRNazanin" w:hAnsi="IRNazanin" w:eastAsia="IRNazanin" w:cs="IRNazanin"/>
          <w:lang w:bidi="fa-IR"/>
          <w:color w:val="111111"/>
          <w:sz w:val="28"/>
          <w:szCs w:val="28"/>
          <w:rtl/>
        </w:rPr>
        <w:t xml:space="preserve">سم [ف: 1 - 322]</w:t>
      </w:r>
    </w:p>
    <w:p>
      <w:pPr>
        <w:pStyle w:val="BookText"/>
      </w:pPr>
      <w:r>
        <w:rPr>
          <w:rFonts w:ascii="IRNazanin" w:hAnsi="IRNazanin" w:eastAsia="IRNazanin" w:cs="IRNazanin"/>
          <w:lang w:bidi="fa-IR"/>
          <w:color w:val="111111"/>
          <w:sz w:val="28"/>
          <w:szCs w:val="28"/>
          <w:rtl/>
        </w:rPr>
        <w:t xml:space="preserve">37 .تهران؛ دانشگاه؛ شماره نسخه:8634</w:t>
      </w:r>
    </w:p>
    <w:p>
      <w:pPr>
        <w:pStyle w:val="BookText"/>
      </w:pPr>
      <w:r>
        <w:rPr>
          <w:rFonts w:ascii="IRNazanin" w:hAnsi="IRNazanin" w:eastAsia="IRNazanin" w:cs="IRNazanin"/>
          <w:lang w:bidi="fa-IR"/>
          <w:color w:val="111111"/>
          <w:sz w:val="28"/>
          <w:szCs w:val="28"/>
          <w:rtl/>
        </w:rPr>
        <w:t xml:space="preserve">از برهان تا شعر؛ خط: نسخ، کا: عبرت نایینی، تا: شنبه 10 شوال1346ق( 12 فروردین 1307ش)؛ کاغذ: فرنگی، جلد: تیماج ضربی ،مقوایی 132گ 17 سطر (7/5</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قطع: ربعی؛ اندازه: 16</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 17 - 184]</w:t>
      </w:r>
    </w:p>
    <w:p>
      <w:pPr>
        <w:pStyle w:val="BookText"/>
      </w:pPr>
      <w:r>
        <w:rPr>
          <w:rFonts w:ascii="IRNazanin" w:hAnsi="IRNazanin" w:eastAsia="IRNazanin" w:cs="IRNazanin"/>
          <w:lang w:bidi="fa-IR"/>
          <w:color w:val="111111"/>
          <w:sz w:val="28"/>
          <w:szCs w:val="28"/>
          <w:rtl/>
        </w:rPr>
        <w:t xml:space="preserve">38 .تهران؛ حقوق شماره نسخه:269 – ج</w:t>
      </w:r>
    </w:p>
    <w:p>
      <w:pPr>
        <w:pStyle w:val="BookText"/>
      </w:pPr>
      <w:r>
        <w:rPr>
          <w:rFonts w:ascii="IRNazanin" w:hAnsi="IRNazanin" w:eastAsia="IRNazanin" w:cs="IRNazanin"/>
          <w:lang w:bidi="fa-IR"/>
          <w:color w:val="111111"/>
          <w:sz w:val="28"/>
          <w:szCs w:val="28"/>
          <w:rtl/>
        </w:rPr>
        <w:t xml:space="preserve">خط: نستعلیق ،کا: میرزا یدالله نظر پاک ،کجوری تا: رجب 1348ق؛ کاغذ: فرنگی سفید، جلد: تیماج مشکی مقوایی، 299گ، 13 سطر (10/5</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اندازه: 16/5</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12]</w:t>
      </w:r>
    </w:p>
    <w:p>
      <w:pPr>
        <w:pStyle w:val="BookText"/>
      </w:pPr>
      <w:r>
        <w:rPr>
          <w:rFonts w:ascii="IRNazanin" w:hAnsi="IRNazanin" w:eastAsia="IRNazanin" w:cs="IRNazanin"/>
          <w:lang w:bidi="fa-IR"/>
          <w:color w:val="111111"/>
          <w:sz w:val="28"/>
          <w:szCs w:val="28"/>
          <w:rtl/>
        </w:rPr>
        <w:t xml:space="preserve">39 .قم؛ مهدوی (کتابخانه)؛ شماره نسخه: بدون شماره</w:t>
      </w:r>
    </w:p>
    <w:p>
      <w:pPr>
        <w:pStyle w:val="BookText"/>
      </w:pPr>
      <w:r>
        <w:rPr>
          <w:rFonts w:ascii="IRNazanin" w:hAnsi="IRNazanin" w:eastAsia="IRNazanin" w:cs="IRNazanin"/>
          <w:lang w:bidi="fa-IR"/>
          <w:color w:val="111111"/>
          <w:sz w:val="28"/>
          <w:szCs w:val="28"/>
          <w:rtl/>
        </w:rPr>
        <w:t xml:space="preserve">بی کا، بی تا [ تراثنا س 18 ش 1و 2 - 204]</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تهران؛ لغت نامه دهخدا؛ شماره نسخه 260</w:t>
      </w:r>
    </w:p>
    <w:p>
      <w:pPr>
        <w:pStyle w:val="BookText"/>
      </w:pPr>
      <w:r>
        <w:rPr>
          <w:rFonts w:ascii="IRNazanin" w:hAnsi="IRNazanin" w:eastAsia="IRNazanin" w:cs="IRNazanin"/>
          <w:lang w:bidi="fa-IR"/>
          <w:color w:val="111111"/>
          <w:sz w:val="28"/>
          <w:szCs w:val="28"/>
          <w:rtl/>
        </w:rPr>
        <w:t xml:space="preserve">تا باب برهان و افتاده؛ خط: نسخ و نستعلیق، بی کا، بی تا؛ جلد: تیماج مشکی، قطع: ربعی [ نشریه: 3 - 388]</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قم؛ مسجد اعظم؛ شماره نسخه: 1094</w:t>
      </w:r>
    </w:p>
    <w:p>
      <w:pPr>
        <w:pStyle w:val="BookText"/>
      </w:pPr>
      <w:r>
        <w:rPr>
          <w:rFonts w:ascii="IRNazanin" w:hAnsi="IRNazanin" w:eastAsia="IRNazanin" w:cs="IRNazanin"/>
          <w:lang w:bidi="fa-IR"/>
          <w:color w:val="111111"/>
          <w:sz w:val="28"/>
          <w:szCs w:val="28"/>
          <w:rtl/>
        </w:rPr>
        <w:t xml:space="preserve">آغاز: خداوندا متعلمان حکمت را به الهام حق و تلقين صدق و توفیق خیر مؤید گردان و همتهای ایشان بطلب كمال و تحرى صواب و اقتناء فضیلت مصروف دار؛ انجام: برابر</w:t>
      </w:r>
    </w:p>
    <w:p>
      <w:pPr>
        <w:pStyle w:val="BookText"/>
      </w:pPr>
      <w:r>
        <w:rPr>
          <w:rFonts w:ascii="IRNazanin" w:hAnsi="IRNazanin" w:eastAsia="IRNazanin" w:cs="IRNazanin"/>
          <w:lang w:bidi="fa-IR"/>
          <w:color w:val="111111"/>
          <w:sz w:val="28"/>
          <w:szCs w:val="28"/>
          <w:rtl/>
        </w:rPr>
        <w:t xml:space="preserve">خط: نستعلیق، بی کا، بی تا، برگ اول و بعضی صفحات نونویس، در برگ آخر یادداشتی در چگونگی به دست آوردن این نسخه و تصحیح و مقابله آن با امضای «مرتضی فرهنگ سال 1314 شمسی»؛ مهر:«الواثق بالله عبد الرزاق بن علیرضا (1319) (بیضی) ؛جلد: تیماج مشکی با ترنج و سر، مجدول، 205گ، مختلف السطر، اندازه: 13</w:t>
      </w:r>
      <w:r>
        <w:rPr>
          <w:rFonts w:ascii="Times New Roman" w:hAnsi="Times New Roman" w:eastAsia="Times New Roman" w:cs="Times New Roman"/>
          <w:lang w:val="en-US" w:bidi="en-US"/>
          <w:color w:val="111111"/>
          <w:sz w:val="28"/>
          <w:szCs w:val="28"/>
          <w:rtl/>
        </w:rPr>
        <w:t xml:space="preserve">×25</w:t>
      </w:r>
      <w:r>
        <w:rPr>
          <w:rFonts w:ascii="IRNazanin" w:hAnsi="IRNazanin" w:eastAsia="IRNazanin" w:cs="IRNazanin"/>
          <w:lang w:bidi="fa-IR"/>
          <w:color w:val="111111"/>
          <w:sz w:val="28"/>
          <w:szCs w:val="28"/>
          <w:rtl/>
        </w:rPr>
        <w:t xml:space="preserve">سم [ف مخ: 1 - 135]</w:t>
      </w:r>
    </w:p>
    <w:p>
      <w:pPr>
        <w:pStyle w:val="BookText"/>
      </w:pPr>
      <w:r>
        <w:rPr>
          <w:rFonts w:ascii="IRNazanin" w:hAnsi="IRNazanin" w:eastAsia="IRNazanin" w:cs="IRNazanin"/>
          <w:lang w:bidi="fa-IR"/>
          <w:color w:val="111111"/>
          <w:sz w:val="28"/>
          <w:szCs w:val="28"/>
          <w:rtl/>
        </w:rPr>
        <w:t xml:space="preserve">42.تهران؛ مجلس؛ شماره نسخه: 1916/9</w:t>
      </w:r>
    </w:p>
    <w:p>
      <w:pPr>
        <w:pStyle w:val="BookText"/>
      </w:pPr>
      <w:r>
        <w:rPr>
          <w:rFonts w:ascii="IRNazanin" w:hAnsi="IRNazanin" w:eastAsia="IRNazanin" w:cs="IRNazanin"/>
          <w:lang w:bidi="fa-IR"/>
          <w:color w:val="111111"/>
          <w:sz w:val="28"/>
          <w:szCs w:val="28"/>
          <w:rtl/>
        </w:rPr>
        <w:t xml:space="preserve">آغاز: قال المحقق الطوسي قدس سره فى الاساس فصل دوازدهم در کلی بحسب این صناعة درباری ارمیناس گفته ایم آن قضیه بود که محمولش یک یک شخص را از اشخاص موضوع متناول بود و آنجامیان؛ انجام: صورت و طبیعه و قوت در علم طبیعی با آنکه بحقیقت هر سه بحسب ذات یکی اند و آن حدود حدود مفهومات مختلف باشد که از این اعتبارات لازم آید این است تمامی سخن درحد.</w:t>
      </w:r>
    </w:p>
    <w:p>
      <w:pPr>
        <w:pStyle w:val="BookText"/>
      </w:pPr>
      <w:r>
        <w:rPr>
          <w:rFonts w:ascii="IRNazanin" w:hAnsi="IRNazanin" w:eastAsia="IRNazanin" w:cs="IRNazanin"/>
          <w:lang w:bidi="fa-IR"/>
          <w:color w:val="111111"/>
          <w:sz w:val="28"/>
          <w:szCs w:val="28"/>
          <w:rtl/>
        </w:rPr>
        <w:t xml:space="preserve">بخشی از آن؛ خط: شکسته نستعلیق، کا: احمد بن على محمد  رشتی، بی تا، جا: نیم آورد اصفهان؛ کاغذ: اصفهانی نازک، جلد: پارچه ای چیت گلدار زمینه گلی 12ص( 262-273)، قطع: خشتی، اندازه: 15/5</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سم [ف: 9 - 577]</w:t>
      </w:r>
    </w:p>
    <w:p>
      <w:pPr>
        <w:pStyle w:val="BookText"/>
      </w:pPr>
      <w:r>
        <w:rPr>
          <w:rFonts w:ascii="IRNazanin" w:hAnsi="IRNazanin" w:eastAsia="IRNazanin" w:cs="IRNazanin"/>
          <w:lang w:bidi="fa-IR"/>
          <w:color w:val="111111"/>
          <w:sz w:val="28"/>
          <w:szCs w:val="28"/>
          <w:rtl/>
        </w:rPr>
        <w:t xml:space="preserve">43.تهران؛ دانشگاه؛ شماره نسخه: 1254</w:t>
      </w:r>
    </w:p>
    <w:p>
      <w:pPr>
        <w:pStyle w:val="BookText"/>
      </w:pPr>
      <w:r>
        <w:rPr>
          <w:rFonts w:ascii="IRNazanin" w:hAnsi="IRNazanin" w:eastAsia="IRNazanin" w:cs="IRNazanin"/>
          <w:lang w:bidi="fa-IR"/>
          <w:color w:val="111111"/>
          <w:sz w:val="28"/>
          <w:szCs w:val="28"/>
          <w:rtl/>
        </w:rPr>
        <w:t xml:space="preserve">خط: نستعلیق، بی کا، بی تا، کاغذ: سمرقندی سمرقندی، جلد: تیماج مشکی مقوایی، 104گ، 24 سطر (15</w:t>
      </w:r>
      <w:r>
        <w:rPr>
          <w:rFonts w:ascii="Times New Roman" w:hAnsi="Times New Roman" w:eastAsia="Times New Roman" w:cs="Times New Roman"/>
          <w:lang w:val="en-US" w:bidi="en-US"/>
          <w:color w:val="111111"/>
          <w:sz w:val="28"/>
          <w:szCs w:val="28"/>
          <w:rtl/>
        </w:rPr>
        <w:t xml:space="preserve">×23)</w:t>
      </w:r>
      <w:r>
        <w:rPr>
          <w:rFonts w:ascii="IRNazanin" w:hAnsi="IRNazanin" w:eastAsia="IRNazanin" w:cs="IRNazanin"/>
          <w:lang w:bidi="fa-IR"/>
          <w:color w:val="111111"/>
          <w:sz w:val="28"/>
          <w:szCs w:val="28"/>
          <w:rtl/>
        </w:rPr>
        <w:t xml:space="preserve">، اندازه: 16</w:t>
      </w:r>
      <w:r>
        <w:rPr>
          <w:rFonts w:ascii="Times New Roman" w:hAnsi="Times New Roman" w:eastAsia="Times New Roman" w:cs="Times New Roman"/>
          <w:lang w:val="en-US" w:bidi="en-US"/>
          <w:color w:val="111111"/>
          <w:sz w:val="28"/>
          <w:szCs w:val="28"/>
          <w:rtl/>
        </w:rPr>
        <w:t xml:space="preserve">×24</w:t>
      </w:r>
      <w:r>
        <w:rPr>
          <w:rFonts w:ascii="IRNazanin" w:hAnsi="IRNazanin" w:eastAsia="IRNazanin" w:cs="IRNazanin"/>
          <w:lang w:bidi="fa-IR"/>
          <w:color w:val="111111"/>
          <w:sz w:val="28"/>
          <w:szCs w:val="28"/>
          <w:rtl/>
        </w:rPr>
        <w:t xml:space="preserve">سم[ف: 7 - 2604]</w:t>
      </w:r>
    </w:p>
    <w:p>
      <w:pPr>
        <w:pStyle w:val="Heading3"/>
      </w:pPr>
      <w:bookmarkStart w:id="764" w:name="_Toc286"/>
      <w:r>
        <w:t>اساس الاقتباس = اوائل التحرير = البیان و الانشاء / اخلاق / عربی</w:t>
      </w:r>
      <w:bookmarkEnd w:id="764"/>
    </w:p>
    <w:p>
      <w:pPr>
        <w:pStyle w:val="BookText"/>
      </w:pPr>
      <w:r>
        <w:rPr>
          <w:rFonts w:ascii="Times New Roman" w:hAnsi="Times New Roman" w:eastAsia="Times New Roman" w:cs="Times New Roman"/>
          <w:lang w:val="en-US" w:bidi="en-US"/>
          <w:color w:val="111111"/>
          <w:sz w:val="28"/>
          <w:szCs w:val="28"/>
          <w:rtl/>
        </w:rPr>
        <w:t xml:space="preserve">asas-ul iqtibas = awa'il-ut tahrir = al-bayan wa-l insa</w:t>
      </w:r>
    </w:p>
    <w:p>
      <w:pPr>
        <w:pStyle w:val="BookText"/>
      </w:pPr>
      <w:r>
        <w:rPr>
          <w:rFonts w:ascii="IRNazanin" w:hAnsi="IRNazanin" w:eastAsia="IRNazanin" w:cs="IRNazanin"/>
          <w:lang w:bidi="fa-IR"/>
          <w:color w:val="111111"/>
          <w:sz w:val="28"/>
          <w:szCs w:val="28"/>
          <w:rtl/>
        </w:rPr>
        <w:t xml:space="preserve">حسینی  هروی، حسین بن غیاث الدین - 928 قمری</w:t>
      </w:r>
    </w:p>
    <w:p>
      <w:pPr>
        <w:pStyle w:val="BookText"/>
      </w:pPr>
      <w:r>
        <w:rPr>
          <w:rFonts w:ascii="Times New Roman" w:hAnsi="Times New Roman" w:eastAsia="Times New Roman" w:cs="Times New Roman"/>
          <w:lang w:val="en-US" w:bidi="en-US"/>
          <w:color w:val="111111"/>
          <w:sz w:val="28"/>
          <w:szCs w:val="28"/>
          <w:rtl/>
        </w:rPr>
        <w:t xml:space="preserve">(hoseyni-ye heravi, hoseyn ebn-e qiyas-od-din ( - 1522)</w:t>
      </w:r>
    </w:p>
    <w:p>
      <w:pPr>
        <w:pStyle w:val="BookText"/>
      </w:pPr>
      <w:r>
        <w:rPr>
          <w:rFonts w:ascii="IRNazanin" w:hAnsi="IRNazanin" w:eastAsia="IRNazanin" w:cs="IRNazanin"/>
          <w:lang w:bidi="fa-IR"/>
          <w:color w:val="111111"/>
          <w:sz w:val="28"/>
          <w:szCs w:val="28"/>
          <w:rtl/>
        </w:rPr>
        <w:t xml:space="preserve">اهداء به: امیر علی شیر نوائی</w:t>
      </w:r>
    </w:p>
    <w:p>
      <w:pPr>
        <w:pStyle w:val="BookText"/>
      </w:pPr>
      <w:r>
        <w:rPr>
          <w:rFonts w:ascii="Amiri" w:hAnsi="Amiri" w:eastAsia="Amiri" w:cs="Amiri"/>
          <w:lang w:bidi="ar-SA"/>
          <w:color w:val="111111"/>
          <w:sz w:val="28"/>
          <w:szCs w:val="28"/>
          <w:rtl/>
        </w:rPr>
        <w:t xml:space="preserve">سال تأليف: سلخ رجب 897ق</w:t>
      </w:r>
    </w:p>
    <w:p>
      <w:pPr>
        <w:pStyle w:val="BookText"/>
      </w:pPr>
      <w:r>
        <w:rPr>
          <w:rFonts w:ascii="IRNazanin" w:hAnsi="IRNazanin" w:eastAsia="IRNazanin" w:cs="IRNazanin"/>
          <w:lang w:bidi="fa-IR"/>
          <w:color w:val="111111"/>
          <w:sz w:val="28"/>
          <w:szCs w:val="28"/>
          <w:rtl/>
        </w:rPr>
        <w:t xml:space="preserve">فصولی است ادبی بسیار زیبا در موضوعات اعتقادی و اخلاقی که فرازهای کوتاهی از قرآن و حدیث و گفته های حکما و ابیاتی نغز از شعرا گرفته شده و در هر فصلی به موضوع مخصوص پرداخته و این عناوین در فصل ها تکرار می شود: «القرآن الحديث» الحكم والامثال الابيات»، دارای یک «افتتاح» و نه «سطر» و هر سطر مشتمل بر «حروف»: افتتاح در ستایش و  درود در پنج بخش به نام پنج «کلمه»؛ سطر یکم: کار و صفت پادشاهان شامل پانزده «حرف)» 1. لقب پادشاه، 2. لقب جانشین شاه،3. دادگستری شاهان، 4. ستم آنان، 5. جنگ و جهاد، 6. . نهی از کشتن  مسلمانان، 7. حیله و ،مکر ، 8. پهلوانی و شجاعت،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هیبت و سختی و درشتی، 10 ،فرار 11. پاداش و کیفر ،12. دشمنی، 13. نویسندگی و دبیری، 14. آشتی، 15. پیروزی؛ سطر دوم: پیش آمدهای آسمانی در سه «حرف»: 1. راهنمائی و توفیق ؛2. گشایش روزی و تنگی آن، 3. قضا و قدر؛ سطر سوم: صفت های ،نیک در بیست «حرف» 1. بخشش  مال، .2. شكيبائی 3. سپاس، 4 ،راستی 5. ،وفا 6. واگذاشتن به خدا ،7. توبت،8. گناه بخشی، 9 .حلم و بردباری 10. فروتنی، 11. قناعت، 12. نیکخوئی، 13 ،شرم، 14. خموشی، 15. مشورت، 16. پنهان  کاری، 17 ،فرصت .18 ،کوشش .19. میانه روی و اقتصاد راهنمائی؛ سطر چهارم صفت های بد در 15 «حرف»: 1. درو .2 خلف وعد، 3. دوروئی و نفاق 4 ،خودپسندی 5 ،رشک ،6.بخل ، 7.طمع، 8. حرص و آز، 9. نادانی، 10. سبکی و شتاب، 11. تنبلی، 12. شک و دودلی، 13. خشم، 14. منت گذاری،15.بدگوئی؛ سطر پنجم ،خویشان در هشت «حرف»: 1. پدر و مادر و فرزندان ،2 ،برادران .3. زن و  شوهر .4 ،دوستان .5 .همنشی .6. دیدار دوست ،7. همسایه داری 8. گله گذاری؛ سطر ششم :خوش گوئی و زیرکی و زرنگی در پنج «حرف»: 1.خوش گوئی، 2. شرافت به ادب است نه به نژاد، 3.خرد، 4.خوشروئی، 5. نتیجه کار و رفتار؛ سطر هفتم: زمین و جهان پنج «حرف»: 1. خانه کعبه و حج، 2. سفر و جهانگردی،3. میهن دوستی؛ 4. آبادی و کشت و گل کاری، 5. چارپایان؛ سطر هشتم: روزگار و زمان در ده «حرف»: 1. شب و روز و ماه سال، 2. چهار فصل، 3. گله از روزگار؛ 4. ناسازگاری ناهمواری روزگار؛ 5. نیستی پس از هستی، 6. آسانی پس سختی، 7. دنیا و دارایی، 8 ،تندرستی، 9. جوانی و پیری؛ 10.مرگ؛ سطر نهم: پراکنده در چهار «حرف»: 1. آسمانها، 2. حق و باطل ،3. پراکنده .4. نام کتاب های معروف از هر دانش اصطلاح های دانش های کلاسیک روزگار خویش؛ اختتام نیایش؛ آخرین فصل در داستانهای شیرین</w:t>
      </w:r>
    </w:p>
    <w:p>
      <w:pPr>
        <w:pStyle w:val="BookText"/>
      </w:pPr>
      <w:r>
        <w:rPr>
          <w:rFonts w:ascii="IRNazanin" w:hAnsi="IRNazanin" w:eastAsia="IRNazanin" w:cs="IRNazanin"/>
          <w:lang w:bidi="fa-IR"/>
          <w:color w:val="111111"/>
          <w:sz w:val="28"/>
          <w:szCs w:val="28"/>
          <w:rtl/>
        </w:rPr>
        <w:t xml:space="preserve">آغاز: بسمله، احمدلك اللهم و المحامد راجعه اليك و لا احصی ثنا عليك كيف اثنى ثنا يليق بجناب قدسك... و بعد فيقول  الفقير الى الله ... ان علم البيان و ان علم البيان و الانشا نعم العون على استحصال  المطالب العليه</w:t>
      </w:r>
    </w:p>
    <w:p>
      <w:pPr>
        <w:pStyle w:val="BookText"/>
      </w:pPr>
      <w:r>
        <w:rPr>
          <w:rFonts w:ascii="IRNazanin" w:hAnsi="IRNazanin" w:eastAsia="IRNazanin" w:cs="IRNazanin"/>
          <w:lang w:bidi="fa-IR"/>
          <w:color w:val="111111"/>
          <w:sz w:val="28"/>
          <w:szCs w:val="28"/>
          <w:rtl/>
        </w:rPr>
        <w:t xml:space="preserve">انجام : یا رب انت الكريم و الذنب منى عظيم/ قد قلت حقا صديقا و قولك المستقیم / نبا عبادی انى انا الغفور الرحيم/الحمد لله وحده و صلى الله على سيدنا محمد و آله وصحبه اجمعين وسلم تسليما كثيرا.</w:t>
      </w:r>
    </w:p>
    <w:p>
      <w:pPr>
        <w:pStyle w:val="BookText"/>
      </w:pPr>
      <w:r>
        <w:rPr>
          <w:rFonts w:ascii="IRNazanin" w:hAnsi="IRNazanin" w:eastAsia="IRNazanin" w:cs="IRNazanin"/>
          <w:lang w:bidi="fa-IR"/>
          <w:color w:val="111111"/>
          <w:sz w:val="28"/>
          <w:szCs w:val="28"/>
          <w:rtl/>
        </w:rPr>
        <w:t xml:space="preserve">چاپ ،استانه ،198 ص 1298 - 1299ق؛ مطبوعات السعادة ، 173 ص 1323ق</w:t>
      </w:r>
    </w:p>
    <w:p>
      <w:pPr>
        <w:pStyle w:val="BookText"/>
      </w:pPr>
      <w:r>
        <w:rPr>
          <w:rFonts w:ascii="IRNazanin" w:hAnsi="IRNazanin" w:eastAsia="IRNazanin" w:cs="IRNazanin"/>
          <w:lang w:bidi="fa-IR"/>
          <w:color w:val="111111"/>
          <w:sz w:val="28"/>
          <w:szCs w:val="28"/>
          <w:rtl/>
        </w:rPr>
        <w:t xml:space="preserve">[الذريعة 2/ 5 و 62/9؛ کشف الظنون 74/1؛ فرهنگ سخنوران 32]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لغت نامه دهخدا؛ شماره نسخه: 150</w:t>
      </w:r>
    </w:p>
    <w:p>
      <w:pPr>
        <w:pStyle w:val="BookText"/>
      </w:pPr>
      <w:r>
        <w:rPr>
          <w:rFonts w:ascii="Amiri" w:hAnsi="Amiri" w:eastAsia="Amiri" w:cs="Amiri"/>
          <w:lang w:bidi="ar-SA"/>
          <w:color w:val="111111"/>
          <w:sz w:val="28"/>
          <w:szCs w:val="28"/>
          <w:rtl/>
        </w:rPr>
        <w:t xml:space="preserve">آغاز: برابر انجام: و اليه انيب التاريخ و من اتفاقات الايام اتفاق لو</w:t>
      </w:r>
    </w:p>
    <w:p>
      <w:pPr>
        <w:pStyle w:val="BookText"/>
      </w:pPr>
      <w:r>
        <w:rPr>
          <w:rFonts w:ascii="IRNazanin" w:hAnsi="IRNazanin" w:eastAsia="IRNazanin" w:cs="IRNazanin"/>
          <w:lang w:bidi="fa-IR"/>
          <w:color w:val="111111"/>
          <w:sz w:val="28"/>
          <w:szCs w:val="28"/>
          <w:rtl/>
        </w:rPr>
        <w:t xml:space="preserve">لم (؟) الاتمام بعام الاختتام فقد تمتة بسلخ رجب و ذلك امر عجيب - تم بالخير جامع نافع - فارتقب يافتي بتعليمه – حين تمته بعون الله - تم تاريخه بتتميمه - 897 و الحمد لله رب العالمین 897</w:t>
      </w:r>
    </w:p>
    <w:p>
      <w:pPr>
        <w:pStyle w:val="BookText"/>
      </w:pPr>
      <w:r>
        <w:rPr>
          <w:rFonts w:ascii="IRNazanin" w:hAnsi="IRNazanin" w:eastAsia="IRNazanin" w:cs="IRNazanin"/>
          <w:lang w:bidi="fa-IR"/>
          <w:color w:val="111111"/>
          <w:sz w:val="28"/>
          <w:szCs w:val="28"/>
          <w:rtl/>
        </w:rPr>
        <w:t xml:space="preserve">خط: نسخ، بی کا، تا: قرن 9 و 10؛ مجدول؛ جلد: تیماج سرخ ،مقوایی وزیری [نشریه: 3 - 51]</w:t>
      </w:r>
    </w:p>
    <w:p>
      <w:pPr>
        <w:pStyle w:val="BookText"/>
      </w:pPr>
      <w:r>
        <w:rPr>
          <w:rFonts w:ascii="IRNazanin" w:hAnsi="IRNazanin" w:eastAsia="IRNazanin" w:cs="IRNazanin"/>
          <w:lang w:bidi="fa-IR"/>
          <w:color w:val="111111"/>
          <w:sz w:val="28"/>
          <w:szCs w:val="28"/>
          <w:rtl/>
        </w:rPr>
        <w:t xml:space="preserve">2 . مشهد؛ رضوی؛ شماره نسخه: 3983</w:t>
      </w:r>
    </w:p>
    <w:p>
      <w:pPr>
        <w:pStyle w:val="BookText"/>
      </w:pPr>
      <w:r>
        <w:rPr>
          <w:rFonts w:ascii="Amiri" w:hAnsi="Amiri" w:eastAsia="Amiri" w:cs="Amiri"/>
          <w:lang w:bidi="ar-SA"/>
          <w:color w:val="111111"/>
          <w:sz w:val="28"/>
          <w:szCs w:val="28"/>
          <w:rtl/>
        </w:rPr>
        <w:t xml:space="preserve">آغاز: برابر؛ انجام: و من اتفاقات الايام اتفاق لو لم لاتمام بعام الاختتام ... و الصلوه والسلام على رسوله</w:t>
      </w:r>
    </w:p>
    <w:p>
      <w:pPr>
        <w:pStyle w:val="BookText"/>
      </w:pPr>
      <w:r>
        <w:rPr>
          <w:rFonts w:ascii="IRNazanin" w:hAnsi="IRNazanin" w:eastAsia="IRNazanin" w:cs="IRNazanin"/>
          <w:lang w:bidi="fa-IR"/>
          <w:color w:val="111111"/>
          <w:sz w:val="28"/>
          <w:szCs w:val="28"/>
          <w:rtl/>
        </w:rPr>
        <w:t xml:space="preserve">خط: نسخ، بی کا، تا: قرن 10 [الفبائی :42 ]</w:t>
      </w:r>
    </w:p>
    <w:p>
      <w:pPr>
        <w:pStyle w:val="BookText"/>
      </w:pPr>
      <w:r>
        <w:rPr>
          <w:rFonts w:ascii="IRNazanin" w:hAnsi="IRNazanin" w:eastAsia="IRNazanin" w:cs="IRNazanin"/>
          <w:lang w:bidi="fa-IR"/>
          <w:color w:val="111111"/>
          <w:sz w:val="28"/>
          <w:szCs w:val="28"/>
          <w:rtl/>
        </w:rPr>
        <w:t xml:space="preserve">3.تهران ؛ الهیات؛ شماره نسخه: 252/2</w:t>
      </w:r>
    </w:p>
    <w:p>
      <w:pPr>
        <w:pStyle w:val="BookText"/>
      </w:pPr>
      <w:r>
        <w:rPr>
          <w:rFonts w:ascii="IRNazanin" w:hAnsi="IRNazanin" w:eastAsia="IRNazanin" w:cs="IRNazanin"/>
          <w:lang w:bidi="fa-IR"/>
          <w:color w:val="111111"/>
          <w:sz w:val="28"/>
          <w:szCs w:val="28"/>
          <w:rtl/>
        </w:rPr>
        <w:t xml:space="preserve">خط: نسخ، بی کا، تا: اواخر قرن 11؛ کاغذ: فرنگی، جلد: تیماج مشکی ،مقوایی، 51گ (34پ-84پ)، 24 سطر (10</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 اندازه:</w:t>
      </w:r>
    </w:p>
    <w:p>
      <w:pPr>
        <w:pStyle w:val="BookText"/>
      </w:pPr>
      <w:r>
        <w:rPr>
          <w:rFonts w:ascii="Times New Roman" w:hAnsi="Times New Roman" w:eastAsia="Times New Roman" w:cs="Times New Roman"/>
          <w:lang w:val="en-US" w:bidi="en-US"/>
          <w:color w:val="111111"/>
          <w:sz w:val="28"/>
          <w:szCs w:val="28"/>
          <w:rtl/>
        </w:rPr>
        <w:t xml:space="preserve">16×25/5</w:t>
      </w:r>
      <w:r>
        <w:rPr>
          <w:rFonts w:ascii="IRNazanin" w:hAnsi="IRNazanin" w:eastAsia="IRNazanin" w:cs="IRNazanin"/>
          <w:lang w:bidi="fa-IR"/>
          <w:color w:val="111111"/>
          <w:sz w:val="28"/>
          <w:szCs w:val="28"/>
          <w:rtl/>
        </w:rPr>
        <w:t xml:space="preserve">سم [ف: 190]</w:t>
      </w:r>
    </w:p>
    <w:p>
      <w:pPr>
        <w:pStyle w:val="BookText"/>
      </w:pPr>
      <w:r>
        <w:rPr>
          <w:rFonts w:ascii="IRNazanin" w:hAnsi="IRNazanin" w:eastAsia="IRNazanin" w:cs="IRNazanin"/>
          <w:lang w:bidi="fa-IR"/>
          <w:color w:val="111111"/>
          <w:sz w:val="28"/>
          <w:szCs w:val="28"/>
          <w:rtl/>
        </w:rPr>
        <w:t xml:space="preserve">4.قم؛ مرکز احیاء؛ شماره نسخه: 54</w:t>
      </w:r>
    </w:p>
    <w:p>
      <w:pPr>
        <w:pStyle w:val="BookText"/>
      </w:pPr>
      <w:r>
        <w:rPr>
          <w:rFonts w:ascii="Amiri" w:hAnsi="Amiri" w:eastAsia="Amiri" w:cs="Amiri"/>
          <w:lang w:bidi="ar-SA"/>
          <w:color w:val="111111"/>
          <w:sz w:val="28"/>
          <w:szCs w:val="28"/>
          <w:rtl/>
        </w:rPr>
        <w:t xml:space="preserve">آغاز: برابر؛ انجام: فقد تممته بسلخ رجب و ذلك امر عجب تم بالخير جامع فارتغب يا فتى بتعليمه حين تممته بعون الله قلت تاريخه بتميمه.</w:t>
      </w:r>
    </w:p>
    <w:p>
      <w:pPr>
        <w:pStyle w:val="BookText"/>
      </w:pPr>
      <w:r>
        <w:rPr>
          <w:rFonts w:ascii="IRNazanin" w:hAnsi="IRNazanin" w:eastAsia="IRNazanin" w:cs="IRNazanin"/>
          <w:lang w:bidi="fa-IR"/>
          <w:color w:val="111111"/>
          <w:sz w:val="28"/>
          <w:szCs w:val="28"/>
          <w:rtl/>
        </w:rPr>
        <w:t xml:space="preserve">خط:نسخ،بی کا،  تا: 14 شوال 1055ق، محشی؛ جلد: تیماج مشکی بدون مقوا، 134گ 14 سطر، اندازه: 11</w:t>
      </w:r>
      <w:r>
        <w:rPr>
          <w:rFonts w:ascii="Times New Roman" w:hAnsi="Times New Roman" w:eastAsia="Times New Roman" w:cs="Times New Roman"/>
          <w:lang w:val="en-US" w:bidi="en-US"/>
          <w:color w:val="111111"/>
          <w:sz w:val="28"/>
          <w:szCs w:val="28"/>
          <w:rtl/>
        </w:rPr>
        <w:t xml:space="preserve">×18/5</w:t>
      </w:r>
      <w:r>
        <w:rPr>
          <w:rFonts w:ascii="IRNazanin" w:hAnsi="IRNazanin" w:eastAsia="IRNazanin" w:cs="IRNazanin"/>
          <w:lang w:bidi="fa-IR"/>
          <w:color w:val="111111"/>
          <w:sz w:val="28"/>
          <w:szCs w:val="28"/>
          <w:rtl/>
        </w:rPr>
        <w:t xml:space="preserve">سم [ف: 1 – 80]</w:t>
      </w:r>
    </w:p>
    <w:p>
      <w:pPr>
        <w:pStyle w:val="BookText"/>
      </w:pPr>
      <w:r>
        <w:rPr>
          <w:rFonts w:ascii="IRNazanin" w:hAnsi="IRNazanin" w:eastAsia="IRNazanin" w:cs="IRNazanin"/>
          <w:lang w:bidi="fa-IR"/>
          <w:color w:val="111111"/>
          <w:sz w:val="28"/>
          <w:szCs w:val="28"/>
          <w:rtl/>
        </w:rPr>
        <w:t xml:space="preserve">5.تهران؛ مفتاح؛ شماره نسخه: 944</w:t>
      </w:r>
    </w:p>
    <w:p>
      <w:pPr>
        <w:pStyle w:val="BookText"/>
      </w:pPr>
      <w:r>
        <w:rPr>
          <w:rFonts w:ascii="IRNazanin" w:hAnsi="IRNazanin" w:eastAsia="IRNazanin" w:cs="IRNazanin"/>
          <w:lang w:bidi="fa-IR"/>
          <w:color w:val="111111"/>
          <w:sz w:val="28"/>
          <w:szCs w:val="28"/>
          <w:rtl/>
        </w:rPr>
        <w:t xml:space="preserve">خط: نسخ، بی کا، تا: 16 جمادی الثانی 1064ق، مجدول [نشریه: 7 - 101]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تهران؛ دانشگاه؛ شماره نسخه: 897</w:t>
      </w:r>
    </w:p>
    <w:p>
      <w:pPr>
        <w:pStyle w:val="BookText"/>
      </w:pPr>
      <w:r>
        <w:rPr>
          <w:rFonts w:ascii="IRNazanin" w:hAnsi="IRNazanin" w:eastAsia="IRNazanin" w:cs="IRNazanin"/>
          <w:lang w:bidi="fa-IR"/>
          <w:color w:val="111111"/>
          <w:sz w:val="28"/>
          <w:szCs w:val="28"/>
          <w:rtl/>
        </w:rPr>
        <w:t xml:space="preserve">آغاز: برابر؛ انجام: عليه توكلت و اليه انيب و من اتفاقات الايام اتفاق يوم الاتمام بعام الاختتام فقد تممته (بسلخ رجب) و ذلك امر عجب تم بالخير جامع نافع *** حين تممته بعون الله / فارتغب یافتى بتعليمه *** قلت تاريخه (بتتميمه)</w:t>
      </w:r>
    </w:p>
    <w:p>
      <w:pPr>
        <w:pStyle w:val="BookText"/>
      </w:pPr>
      <w:r>
        <w:rPr>
          <w:rFonts w:ascii="IRNazanin" w:hAnsi="IRNazanin" w:eastAsia="IRNazanin" w:cs="IRNazanin"/>
          <w:lang w:bidi="fa-IR"/>
          <w:color w:val="111111"/>
          <w:sz w:val="28"/>
          <w:szCs w:val="28"/>
          <w:rtl/>
        </w:rPr>
        <w:t xml:space="preserve">واژه های بتتمیمه و بسلخ رجب ایران برابر 897 تاریخ پایان یافتن نگارش است</w:t>
      </w:r>
    </w:p>
    <w:p>
      <w:pPr>
        <w:pStyle w:val="BookText"/>
      </w:pPr>
      <w:r>
        <w:rPr>
          <w:rFonts w:ascii="IRNazanin" w:hAnsi="IRNazanin" w:eastAsia="IRNazanin" w:cs="IRNazanin"/>
          <w:lang w:bidi="fa-IR"/>
          <w:color w:val="111111"/>
          <w:sz w:val="28"/>
          <w:szCs w:val="28"/>
          <w:rtl/>
        </w:rPr>
        <w:t xml:space="preserve">خط: نسخ، بی کا، تا: 1097؛ به دستور رئیس الکتاب در 1097ق نوشته شده و تاریخ عرفه (8-ذيحجه) 1097ق در پایان کتابچه چهارم دفتر دیده می شود تاریخ 1096 در پایان کتابچه سوم گ 59؛ پیش از آن« فوز اصغر» ابن مسکویه است؛ کاغذ: نخودی ،جلد: فرسوده 31 گ(20-51)، 28 سطر (26</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اندازه: 34</w:t>
      </w:r>
      <w:r>
        <w:rPr>
          <w:rFonts w:ascii="Times New Roman" w:hAnsi="Times New Roman" w:eastAsia="Times New Roman" w:cs="Times New Roman"/>
          <w:lang w:val="en-US" w:bidi="en-US"/>
          <w:color w:val="111111"/>
          <w:sz w:val="28"/>
          <w:szCs w:val="28"/>
          <w:rtl/>
        </w:rPr>
        <w:t xml:space="preserve">x21/5</w:t>
      </w:r>
      <w:r>
        <w:rPr>
          <w:rFonts w:ascii="IRNazanin" w:hAnsi="IRNazanin" w:eastAsia="IRNazanin" w:cs="IRNazanin"/>
          <w:lang w:bidi="fa-IR"/>
          <w:color w:val="111111"/>
          <w:sz w:val="28"/>
          <w:szCs w:val="28"/>
          <w:rtl/>
        </w:rPr>
        <w:t xml:space="preserve">سم [ف: 2 - 689]</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تهران؛ ملی؛ شماره نسخه: 3535/1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و نسخ خوش، بی کا، تا: 1164ق؛ مجدول با زر و سیاه، با کتیبه به زر ؛کاغذ: فرنگی شکری و نخودی، جلد: تیماج قهوه ای سوخته ضربی باترنج با گل و بوته برجسته و با بوم زر اشکال جداول حاشیه ای به زر لولادار با طرح ترنج مقوایی 109گ (3 پ-111پ)، 19 سطر (7</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12</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16- 69]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تهران؛ دانشگاه؛ شماره نسخه: 1292</w:t>
      </w:r>
    </w:p>
    <w:p>
      <w:pPr>
        <w:pStyle w:val="BookText"/>
      </w:pPr>
      <w:r>
        <w:rPr>
          <w:rFonts w:ascii="IRNazanin" w:hAnsi="IRNazanin" w:eastAsia="IRNazanin" w:cs="IRNazanin"/>
          <w:lang w:bidi="fa-IR"/>
          <w:color w:val="111111"/>
          <w:sz w:val="28"/>
          <w:szCs w:val="28"/>
          <w:rtl/>
        </w:rPr>
        <w:t xml:space="preserve">خط: نسخ، بی کا، تا: 1235ق؛ کاغذ: فرنگی، جلد: تیماج زرد، 135گ، 17 سطر (23</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اندازه: 11</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 [ف: 7 - 2621]</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قم؛ مرعشی؛ شماره نسخه: 6454</w:t>
      </w:r>
    </w:p>
    <w:p>
      <w:pPr>
        <w:pStyle w:val="BookText"/>
      </w:pPr>
      <w:r>
        <w:rPr>
          <w:rFonts w:ascii="IRNazanin" w:hAnsi="IRNazanin" w:eastAsia="IRNazanin" w:cs="IRNazanin"/>
          <w:lang w:bidi="fa-IR"/>
          <w:color w:val="111111"/>
          <w:sz w:val="28"/>
          <w:szCs w:val="28"/>
          <w:rtl/>
        </w:rPr>
        <w:t xml:space="preserve">خط: نسخ، کا: اسماعیل بن ابراهیم  قاری، تا: چهارشنبه 5جمادی الثانى 1237ق؛ جلد: تیماج مشکی بدون مقوا، 56گ، 20 سطر ،اندازه: 14/5</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 17 - 56]</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مشهد؛ رضوی؛ شماره نسخه: 5853</w:t>
      </w:r>
    </w:p>
    <w:p>
      <w:pPr>
        <w:pStyle w:val="BookText"/>
      </w:pPr>
      <w:r>
        <w:rPr>
          <w:rFonts w:ascii="Amiri" w:hAnsi="Amiri" w:eastAsia="Amiri" w:cs="Amiri"/>
          <w:lang w:bidi="ar-SA"/>
          <w:color w:val="111111"/>
          <w:sz w:val="28"/>
          <w:szCs w:val="28"/>
          <w:rtl/>
        </w:rPr>
        <w:t xml:space="preserve">آغاز: برابر؛ انجام: نلت تاريخه بتتميمه.</w:t>
      </w:r>
    </w:p>
    <w:p>
      <w:pPr>
        <w:pStyle w:val="BookText"/>
      </w:pPr>
      <w:r>
        <w:rPr>
          <w:rFonts w:ascii="IRNazanin" w:hAnsi="IRNazanin" w:eastAsia="IRNazanin" w:cs="IRNazanin"/>
          <w:lang w:bidi="fa-IR"/>
          <w:color w:val="111111"/>
          <w:sz w:val="28"/>
          <w:szCs w:val="28"/>
          <w:rtl/>
        </w:rPr>
        <w:t xml:space="preserve">خط: نسخ، کا: علی اکبر  شیرازی، تا: غره شعبان  1253ق ، واقف: نایینی؛ کاغذ: فرنگی آهار مهره؛ جلد: تیماج مشکی، 77گ، 19سطر (15/5</w:t>
      </w:r>
      <w:r>
        <w:rPr>
          <w:rFonts w:ascii="Times New Roman" w:hAnsi="Times New Roman" w:eastAsia="Times New Roman" w:cs="Times New Roman"/>
          <w:lang w:val="en-US" w:bidi="en-US"/>
          <w:color w:val="111111"/>
          <w:sz w:val="28"/>
          <w:szCs w:val="28"/>
          <w:rtl/>
        </w:rPr>
        <w:t xml:space="preserve">×9) </w:t>
      </w:r>
      <w:r>
        <w:rPr>
          <w:rFonts w:ascii="IRNazanin" w:hAnsi="IRNazanin" w:eastAsia="IRNazanin" w:cs="IRNazanin"/>
          <w:lang w:bidi="fa-IR"/>
          <w:color w:val="111111"/>
          <w:sz w:val="28"/>
          <w:szCs w:val="28"/>
          <w:rtl/>
        </w:rPr>
        <w:t xml:space="preserve">اندازه: 21/8</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7 - 196]</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قم؛ گلپایگانی؛ شماره نسخه: 845/1-5/135</w:t>
      </w:r>
    </w:p>
    <w:p>
      <w:pPr>
        <w:pStyle w:val="BookText"/>
      </w:pPr>
      <w:r>
        <w:rPr>
          <w:rFonts w:ascii="IRNazanin" w:hAnsi="IRNazanin" w:eastAsia="IRNazanin" w:cs="IRNazanin"/>
          <w:lang w:bidi="fa-IR"/>
          <w:color w:val="111111"/>
          <w:sz w:val="28"/>
          <w:szCs w:val="28"/>
          <w:rtl/>
        </w:rPr>
        <w:t xml:space="preserve">آغاز: برابر؛ انجام : عمل الطبيب للحبيب وما توفيقى الا بالله علیه توكلت واليه انيب ومن اتفاقات الايام اتفاق يوم الاتمام بعام الاختتام</w:t>
      </w:r>
    </w:p>
    <w:p>
      <w:pPr>
        <w:pStyle w:val="BookText"/>
      </w:pPr>
      <w:r>
        <w:rPr>
          <w:rFonts w:ascii="IRNazanin" w:hAnsi="IRNazanin" w:eastAsia="IRNazanin" w:cs="IRNazanin"/>
          <w:lang w:bidi="fa-IR"/>
          <w:color w:val="111111"/>
          <w:sz w:val="28"/>
          <w:szCs w:val="28"/>
          <w:rtl/>
        </w:rPr>
        <w:t xml:space="preserve">خط: نسخ و نستعلیق، بی کا، تا: جمعه 3 محرم1262ق؛  مصحح  با نسخه بدل؛ جلد: تیماج، زیتونی، ضربی، مجدول گرهی 84 گ ،اندازه: 12/50</w:t>
      </w:r>
      <w:r>
        <w:rPr>
          <w:rFonts w:ascii="Times New Roman" w:hAnsi="Times New Roman" w:eastAsia="Times New Roman" w:cs="Times New Roman"/>
          <w:lang w:val="en-US" w:bidi="en-US"/>
          <w:color w:val="111111"/>
          <w:sz w:val="28"/>
          <w:szCs w:val="28"/>
          <w:rtl/>
        </w:rPr>
        <w:t xml:space="preserve">×20/5</w:t>
      </w:r>
      <w:r>
        <w:rPr>
          <w:rFonts w:ascii="IRNazanin" w:hAnsi="IRNazanin" w:eastAsia="IRNazanin" w:cs="IRNazanin"/>
          <w:lang w:bidi="fa-IR"/>
          <w:color w:val="111111"/>
          <w:sz w:val="28"/>
          <w:szCs w:val="28"/>
          <w:rtl/>
        </w:rPr>
        <w:t xml:space="preserve">سم [ف: 1 - 322]</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زهان؛ مدرسه جعفریه زهان؛ شماره نسخه: 117/1</w:t>
      </w:r>
    </w:p>
    <w:p>
      <w:pPr>
        <w:pStyle w:val="BookText"/>
      </w:pPr>
      <w:r>
        <w:rPr>
          <w:rFonts w:ascii="IRNazanin" w:hAnsi="IRNazanin" w:eastAsia="IRNazanin" w:cs="IRNazanin"/>
          <w:lang w:bidi="fa-IR"/>
          <w:color w:val="111111"/>
          <w:sz w:val="28"/>
          <w:szCs w:val="28"/>
          <w:rtl/>
        </w:rPr>
        <w:t xml:space="preserve">خط: نسخ، کا: یوسف بن محمد، تا: 1264ق؛ جلد: تیماج مشکی، 62گ (2پ-64 پ)، اندازه: 10/5</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سم [ف: 92]</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زنجان؛ امام جمعه؛ شماره نسخه: بدون شماره</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بی کا، تا: 25 جمادی الاول 1264ق [ دليل المخطوطات 1 - 91]</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تهران؛ ملک؛ شماره نسخه: 3676</w:t>
      </w:r>
    </w:p>
    <w:p>
      <w:pPr>
        <w:pStyle w:val="BookText"/>
      </w:pPr>
      <w:r>
        <w:rPr>
          <w:rFonts w:ascii="IRNazanin" w:hAnsi="IRNazanin" w:eastAsia="IRNazanin" w:cs="IRNazanin"/>
          <w:lang w:bidi="fa-IR"/>
          <w:color w:val="111111"/>
          <w:sz w:val="28"/>
          <w:szCs w:val="28"/>
          <w:rtl/>
        </w:rPr>
        <w:t xml:space="preserve">خط: نسخ، کا: محمد صادق  آشتیانی، تا: 7 جمادی الاول 1267؛ کاغذ: کاغذ آهار مهره  فرنگی ،جلد: عطف و گوشه میشن رویه ساغری 99گ 15 سطر، اندازه: 13/3</w:t>
      </w:r>
      <w:r>
        <w:rPr>
          <w:rFonts w:ascii="Times New Roman" w:hAnsi="Times New Roman" w:eastAsia="Times New Roman" w:cs="Times New Roman"/>
          <w:lang w:val="en-US" w:bidi="en-US"/>
          <w:color w:val="111111"/>
          <w:sz w:val="28"/>
          <w:szCs w:val="28"/>
          <w:rtl/>
        </w:rPr>
        <w:t xml:space="preserve">×19/5</w:t>
      </w:r>
      <w:r>
        <w:rPr>
          <w:rFonts w:ascii="IRNazanin" w:hAnsi="IRNazanin" w:eastAsia="IRNazanin" w:cs="IRNazanin"/>
          <w:lang w:bidi="fa-IR"/>
          <w:color w:val="111111"/>
          <w:sz w:val="28"/>
          <w:szCs w:val="28"/>
          <w:rtl/>
        </w:rPr>
        <w:t xml:space="preserve">سم [ف: 1 - 58]</w:t>
      </w:r>
    </w:p>
    <w:p>
      <w:pPr>
        <w:pStyle w:val="BookText"/>
      </w:pPr>
      <w:r>
        <w:rPr>
          <w:rFonts w:ascii="IRNazanin" w:hAnsi="IRNazanin" w:eastAsia="IRNazanin" w:cs="IRNazanin"/>
          <w:lang w:bidi="fa-IR"/>
          <w:color w:val="111111"/>
          <w:sz w:val="28"/>
          <w:szCs w:val="28"/>
          <w:rtl/>
        </w:rPr>
        <w:t xml:space="preserve">15.تهران؛ ملی؛ شماره نسخه: 1368</w:t>
      </w:r>
    </w:p>
    <w:p>
      <w:pPr>
        <w:pStyle w:val="BookText"/>
      </w:pPr>
      <w:r>
        <w:rPr>
          <w:rFonts w:ascii="Amiri" w:hAnsi="Amiri" w:eastAsia="Amiri" w:cs="Amiri"/>
          <w:lang w:bidi="ar-SA"/>
          <w:color w:val="111111"/>
          <w:sz w:val="28"/>
          <w:szCs w:val="28"/>
          <w:rtl/>
        </w:rPr>
        <w:t xml:space="preserve">آغاز: برابر؛ انجام: حين تممته بعون الله / نلت تاريخه بتعميمه</w:t>
      </w:r>
    </w:p>
    <w:p>
      <w:pPr>
        <w:pStyle w:val="BookText"/>
      </w:pPr>
      <w:r>
        <w:rPr>
          <w:rFonts w:ascii="IRNazanin" w:hAnsi="IRNazanin" w:eastAsia="IRNazanin" w:cs="IRNazanin"/>
          <w:lang w:bidi="fa-IR"/>
          <w:color w:val="111111"/>
          <w:sz w:val="28"/>
          <w:szCs w:val="28"/>
          <w:rtl/>
        </w:rPr>
        <w:t xml:space="preserve">خط: نسخ خوش، بی کا، تا: 1267ق؛ کاغذ:  فرنگی ،جلد: تیماج تریاکی با ترنج و نیم  ترنج، 125 ص( 171-296)، 19 سطر (9</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اندازه: 15</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 [ف: 9 - 368]</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زهان؛ مدرسه جعفریه زهان؛ شماره نسخه: 113/1</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کا:غلامحسین بن محمد حسن  زهانی، تا: جمعه 27 رجب 1272ق، جا:قریه زهان، جلد: تیماج مشکی، 64گ (1پ- 65پ) اندازه: 10/5</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سم [ف :89]</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مشهد؛ رضوی؛ شماره نسخه:11651</w:t>
      </w:r>
    </w:p>
    <w:p>
      <w:pPr>
        <w:pStyle w:val="BookText"/>
      </w:pPr>
      <w:r>
        <w:rPr>
          <w:rFonts w:ascii="IRNazanin" w:hAnsi="IRNazanin" w:eastAsia="IRNazanin" w:cs="IRNazanin"/>
          <w:lang w:bidi="fa-IR"/>
          <w:color w:val="111111"/>
          <w:sz w:val="28"/>
          <w:szCs w:val="28"/>
          <w:rtl/>
        </w:rPr>
        <w:t xml:space="preserve">آغاز: برابر؛ انجام: حرره الجانى فى شهر بعد شهر جمادى الثانی حسين بن محمد القاينى الزهاني ... في تراب</w:t>
      </w:r>
    </w:p>
    <w:p>
      <w:pPr>
        <w:pStyle w:val="BookText"/>
      </w:pPr>
      <w:r>
        <w:rPr>
          <w:rFonts w:ascii="IRNazanin" w:hAnsi="IRNazanin" w:eastAsia="IRNazanin" w:cs="IRNazanin"/>
          <w:lang w:bidi="fa-IR"/>
          <w:color w:val="111111"/>
          <w:sz w:val="28"/>
          <w:szCs w:val="28"/>
          <w:rtl/>
        </w:rPr>
        <w:t xml:space="preserve">خط: نسخ، کا: حسین بن محمد قائنی زهانی، تا: 1274ق [ الفبائی: 75]</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تهران؛ دانشگاه؛ شماره نسخه: 5444</w:t>
      </w:r>
    </w:p>
    <w:p>
      <w:pPr>
        <w:pStyle w:val="BookText"/>
      </w:pPr>
      <w:r>
        <w:rPr>
          <w:rFonts w:ascii="IRNazanin" w:hAnsi="IRNazanin" w:eastAsia="IRNazanin" w:cs="IRNazanin"/>
          <w:lang w:bidi="fa-IR"/>
          <w:color w:val="111111"/>
          <w:sz w:val="28"/>
          <w:szCs w:val="28"/>
          <w:rtl/>
        </w:rPr>
        <w:t xml:space="preserve">خط: نستعلیق، کا: بدیع بن سید مصطفی موسوی رضاتوفیقی اصفهانی درب  امامی، تا: از جمعه 13 جمادی الاول تا دوشنبه 15 جمادی الثانی 1276؛ در آغاز حدیث ولایت علی (علیه السّلام) است به خط عبدالفاضل در 10 جمادی الاول 1283، نسخه به محمد رفیع در 29 رجب 1302 بخشیده شده؛ کاغذ: فرنگی، جلد: تیماج عنابی ضربی درون ،مشکی، 92گ 14 سطر (6/5</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قطع: ربعی اندازه: 13</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 16 - 10]</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شیراز؛ علامه طباطبائی؛ شماره نسخه: 1712</w:t>
      </w:r>
    </w:p>
    <w:p>
      <w:pPr>
        <w:pStyle w:val="BookText"/>
      </w:pPr>
      <w:r>
        <w:rPr>
          <w:rFonts w:ascii="Amiri" w:hAnsi="Amiri" w:eastAsia="Amiri" w:cs="Amiri"/>
          <w:lang w:bidi="ar-SA"/>
          <w:color w:val="111111"/>
          <w:sz w:val="28"/>
          <w:szCs w:val="28"/>
          <w:rtl/>
        </w:rPr>
        <w:t xml:space="preserve">آغاز: برابر؛ انجام: تاريخ الافتتاح فخذ بافتتاحه</w:t>
      </w:r>
    </w:p>
    <w:p>
      <w:pPr>
        <w:pStyle w:val="BookText"/>
      </w:pPr>
      <w:r>
        <w:rPr>
          <w:rFonts w:ascii="IRNazanin" w:hAnsi="IRNazanin" w:eastAsia="IRNazanin" w:cs="IRNazanin"/>
          <w:lang w:bidi="fa-IR"/>
          <w:color w:val="111111"/>
          <w:sz w:val="28"/>
          <w:szCs w:val="28"/>
          <w:rtl/>
        </w:rPr>
        <w:t xml:space="preserve">در پایان نام کتاب های مهم در علوم مختلف، و اصطلاحات آن علوم را بیان کرده است؛ خط: نستعلیق شکسته، کا: عبدالکریم بن محمد مهدی طبیب اصفهانی، تا: یک شنبه 9 جمادی الاول 1279ق، جا: مدرسه جلالیه؛ 83گ اندازه: 12/5</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[نسخه پژوهی: 2 - 196]</w:t>
      </w:r>
    </w:p>
    <w:p>
      <w:pPr>
        <w:pStyle w:val="BookText"/>
      </w:pPr>
      <w:r>
        <w:rPr>
          <w:rFonts w:ascii="IRNazanin" w:hAnsi="IRNazanin" w:eastAsia="IRNazanin" w:cs="IRNazanin"/>
          <w:lang w:bidi="fa-IR"/>
          <w:color w:val="111111"/>
          <w:sz w:val="28"/>
          <w:szCs w:val="28"/>
          <w:rtl/>
        </w:rPr>
        <w:t xml:space="preserve">20 . مشهد؛ رضوی؛ شماره نسخه: 5854</w:t>
      </w:r>
    </w:p>
    <w:p>
      <w:pPr>
        <w:pStyle w:val="BookText"/>
      </w:pPr>
      <w:r>
        <w:rPr>
          <w:rFonts w:ascii="IRNazanin" w:hAnsi="IRNazanin" w:eastAsia="IRNazanin" w:cs="IRNazanin"/>
          <w:lang w:bidi="fa-IR"/>
          <w:color w:val="111111"/>
          <w:sz w:val="28"/>
          <w:szCs w:val="28"/>
          <w:rtl/>
        </w:rPr>
        <w:t xml:space="preserve">آغاز: برابر؛ انجام: اتفاقات الايام اتفاقنا یوم الاتمام الاختتام...</w:t>
      </w:r>
    </w:p>
    <w:p>
      <w:pPr>
        <w:pStyle w:val="BookText"/>
      </w:pPr>
      <w:r>
        <w:rPr>
          <w:rFonts w:ascii="IRNazanin" w:hAnsi="IRNazanin" w:eastAsia="IRNazanin" w:cs="IRNazanin"/>
          <w:lang w:bidi="fa-IR"/>
          <w:color w:val="111111"/>
          <w:sz w:val="28"/>
          <w:szCs w:val="28"/>
          <w:rtl/>
        </w:rPr>
        <w:t xml:space="preserve">وقد فرغت من تسويده فى يوم الاحد الثالث والعشرين من شهر  ذيقعده الحرام ... محمد مهدی بن محمد کاظم خوانساری 1283</w:t>
      </w:r>
    </w:p>
    <w:p>
      <w:pPr>
        <w:pStyle w:val="BookText"/>
      </w:pPr>
      <w:r>
        <w:rPr>
          <w:rFonts w:ascii="IRNazanin" w:hAnsi="IRNazanin" w:eastAsia="IRNazanin" w:cs="IRNazanin"/>
          <w:lang w:bidi="fa-IR"/>
          <w:color w:val="111111"/>
          <w:sz w:val="28"/>
          <w:szCs w:val="28"/>
          <w:rtl/>
        </w:rPr>
        <w:t xml:space="preserve">خط: نسخ، ذیقعده 1283ق، مجدول؛ واقف: نایینی؛ کاغذ: آبی فرنگی آهار مهره ،جلد ،پارچه ای 133 گ 10 سطر (7</w:t>
      </w:r>
      <w:r>
        <w:rPr>
          <w:rFonts w:ascii="Times New Roman" w:hAnsi="Times New Roman" w:eastAsia="Times New Roman" w:cs="Times New Roman"/>
          <w:lang w:val="en-US" w:bidi="en-US"/>
          <w:color w:val="111111"/>
          <w:sz w:val="28"/>
          <w:szCs w:val="28"/>
          <w:rtl/>
        </w:rPr>
        <w:t xml:space="preserve">×15/5)</w:t>
      </w:r>
      <w:r>
        <w:rPr>
          <w:rFonts w:ascii="IRNazanin" w:hAnsi="IRNazanin" w:eastAsia="IRNazanin" w:cs="IRNazanin"/>
          <w:lang w:bidi="fa-IR"/>
          <w:color w:val="111111"/>
          <w:sz w:val="28"/>
          <w:szCs w:val="28"/>
          <w:rtl/>
        </w:rPr>
        <w:t xml:space="preserve">، اندازه:</w:t>
      </w:r>
    </w:p>
    <w:p>
      <w:pPr>
        <w:pStyle w:val="BookText"/>
      </w:pPr>
      <w:r>
        <w:rPr>
          <w:rFonts w:ascii="Times New Roman" w:hAnsi="Times New Roman" w:eastAsia="Times New Roman" w:cs="Times New Roman"/>
          <w:lang w:val="en-US" w:bidi="en-US"/>
          <w:color w:val="111111"/>
          <w:sz w:val="28"/>
          <w:szCs w:val="28"/>
          <w:rtl/>
        </w:rPr>
        <w:t xml:space="preserve">14/4×25/5</w:t>
      </w:r>
      <w:r>
        <w:rPr>
          <w:rFonts w:ascii="IRNazanin" w:hAnsi="IRNazanin" w:eastAsia="IRNazanin" w:cs="IRNazanin"/>
          <w:lang w:bidi="fa-IR"/>
          <w:color w:val="111111"/>
          <w:sz w:val="28"/>
          <w:szCs w:val="28"/>
          <w:rtl/>
        </w:rPr>
        <w:t xml:space="preserve">سم [ف: 7 - 199]</w:t>
      </w:r>
    </w:p>
    <w:p>
      <w:pPr>
        <w:pStyle w:val="BookText"/>
      </w:pPr>
      <w:r>
        <w:rPr>
          <w:rFonts w:ascii="IRNazanin" w:hAnsi="IRNazanin" w:eastAsia="IRNazanin" w:cs="IRNazanin"/>
          <w:lang w:bidi="fa-IR"/>
          <w:color w:val="111111"/>
          <w:sz w:val="28"/>
          <w:szCs w:val="28"/>
          <w:rtl/>
        </w:rPr>
        <w:t xml:space="preserve">21.مشهد؛ رضوی؛ شماره نسخه: 5855</w:t>
      </w:r>
    </w:p>
    <w:p>
      <w:pPr>
        <w:pStyle w:val="BookText"/>
      </w:pPr>
      <w:r>
        <w:rPr>
          <w:rFonts w:ascii="Amiri" w:hAnsi="Amiri" w:eastAsia="Amiri" w:cs="Amiri"/>
          <w:lang w:bidi="ar-SA"/>
          <w:color w:val="111111"/>
          <w:sz w:val="28"/>
          <w:szCs w:val="28"/>
          <w:rtl/>
        </w:rPr>
        <w:t xml:space="preserve">آغاز: برابر؛ انجام: فمن نظر فيه بعين الغمض و الاعتراض... تاريخه بتتميه تمت بعون الله ... الاكبر</w:t>
      </w:r>
    </w:p>
    <w:p>
      <w:pPr>
        <w:pStyle w:val="BookText"/>
      </w:pPr>
      <w:r>
        <w:rPr>
          <w:rFonts w:ascii="IRNazanin" w:hAnsi="IRNazanin" w:eastAsia="IRNazanin" w:cs="IRNazanin"/>
          <w:lang w:bidi="fa-IR"/>
          <w:color w:val="111111"/>
          <w:sz w:val="28"/>
          <w:szCs w:val="28"/>
          <w:rtl/>
        </w:rPr>
        <w:t xml:space="preserve">خط : نسخ، كا: علی اکبر، تا: ربیع الاول 1290ق؛ واقف نایینی؛ کاغذ: زرد فرنگی آهار  مهره ،جلد: پارچه ای، 111گ 14 سطر ، 7</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،اندازه: 14/4</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سم [ف: 1997]</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تبریز؛ ملی؛ شماره نسخه: 3512</w:t>
      </w:r>
    </w:p>
    <w:p>
      <w:pPr>
        <w:pStyle w:val="BookText"/>
      </w:pPr>
      <w:r>
        <w:rPr>
          <w:rFonts w:ascii="IRNazanin" w:hAnsi="IRNazanin" w:eastAsia="IRNazanin" w:cs="IRNazanin"/>
          <w:lang w:bidi="fa-IR"/>
          <w:color w:val="111111"/>
          <w:sz w:val="28"/>
          <w:szCs w:val="28"/>
          <w:rtl/>
        </w:rPr>
        <w:t xml:space="preserve">آغاز: برابر؛ انجام : و من اتفاق الايام اتفاق يوم الاتمام بعام الاختتام فقد تممته (بسلخ رجب 897) و ذلك من عجب تم بالخير جامع نافع فارتقب یافتى بتعلميه حين تممته بعون الله نلت تاريخه (بتتميمه 897) قد فرغ من تسويد هذه الاوراق یوم السبت علی بن محمد 1305</w:t>
      </w:r>
    </w:p>
    <w:p>
      <w:pPr>
        <w:pStyle w:val="BookText"/>
      </w:pPr>
      <w:r>
        <w:rPr>
          <w:rFonts w:ascii="IRNazanin" w:hAnsi="IRNazanin" w:eastAsia="IRNazanin" w:cs="IRNazanin"/>
          <w:lang w:bidi="fa-IR"/>
          <w:color w:val="111111"/>
          <w:sz w:val="28"/>
          <w:szCs w:val="28"/>
          <w:rtl/>
        </w:rPr>
        <w:t xml:space="preserve">خط: نسخ، كا: على بن  محمد، تا: 1305ق؛ مالک اولی (محمد حسن طباطبائی) یادداشتی با مهر خودش نوشته است، بعد دو فقره یادداشت تملک از مرحوم علی بن اسماعیل عماد لشکر که حاکی از خرید از کتاب های موروثی مرحوم میرزا حسن خان منشی اسرار است مورخ ذیحجه 1315 و شب شنبه 21 صفر 1318 ممهور با مهری به سجع «على حبه جنة»؛ کاغذ: فرنگی، جلد: چرمی ،سیاه ،92گ، 15 سطر اندازه: 15/5</w:t>
      </w:r>
      <w:r>
        <w:rPr>
          <w:rFonts w:ascii="Times New Roman" w:hAnsi="Times New Roman" w:eastAsia="Times New Roman" w:cs="Times New Roman"/>
          <w:lang w:val="en-US" w:bidi="en-US"/>
          <w:color w:val="111111"/>
          <w:sz w:val="28"/>
          <w:szCs w:val="28"/>
          <w:rtl/>
        </w:rPr>
        <w:t xml:space="preserve">× 23</w:t>
      </w:r>
      <w:r>
        <w:rPr>
          <w:rFonts w:ascii="IRNazanin" w:hAnsi="IRNazanin" w:eastAsia="IRNazanin" w:cs="IRNazanin"/>
          <w:lang w:bidi="fa-IR"/>
          <w:color w:val="111111"/>
          <w:sz w:val="28"/>
          <w:szCs w:val="28"/>
          <w:rtl/>
        </w:rPr>
        <w:t xml:space="preserve">سم [ف: 1 - 120]</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تهران؛ ملک شماره نسخه: 3662</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95" w:name="pg20365_260126"/>
    <w:bookmarkEnd w:id="95"/>
    <w:p>
      <w:pPr>
        <w:pStyle w:val="BookText"/>
      </w:pPr>
      <w:r>
        <w:rPr>
          <w:rFonts w:ascii="IRNazanin" w:hAnsi="IRNazanin" w:eastAsia="IRNazanin" w:cs="IRNazanin"/>
          <w:lang w:bidi="fa-IR"/>
          <w:color w:val="111111"/>
          <w:sz w:val="28"/>
          <w:szCs w:val="28"/>
          <w:rtl/>
        </w:rPr>
        <w:t xml:space="preserve">خط: شکسته نستعلیق، بی کا، تا: جمادى الثانى 1306ق؛ كاغذ: کاغذ فرنگی، جلد: میشن ،سرخ، 73گ، 14 سطر، اندازه: 13/4</w:t>
      </w:r>
      <w:r>
        <w:rPr>
          <w:rFonts w:ascii="Times New Roman" w:hAnsi="Times New Roman" w:eastAsia="Times New Roman" w:cs="Times New Roman"/>
          <w:lang w:val="en-US" w:bidi="en-US"/>
          <w:color w:val="111111"/>
          <w:sz w:val="28"/>
          <w:szCs w:val="28"/>
          <w:rtl/>
        </w:rPr>
        <w:t xml:space="preserve">× 21/3</w:t>
      </w:r>
      <w:r>
        <w:rPr>
          <w:rFonts w:ascii="IRNazanin" w:hAnsi="IRNazanin" w:eastAsia="IRNazanin" w:cs="IRNazanin"/>
          <w:lang w:bidi="fa-IR"/>
          <w:color w:val="111111"/>
          <w:sz w:val="28"/>
          <w:szCs w:val="28"/>
          <w:rtl/>
        </w:rPr>
        <w:t xml:space="preserve">سم [ف: 1 - 58]</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قم؛ مرعشی؛ شماره نسخه: 7913/1</w:t>
      </w:r>
    </w:p>
    <w:p>
      <w:pPr>
        <w:pStyle w:val="BookText"/>
      </w:pPr>
      <w:r>
        <w:rPr>
          <w:rFonts w:ascii="IRNazanin" w:hAnsi="IRNazanin" w:eastAsia="IRNazanin" w:cs="IRNazanin"/>
          <w:lang w:bidi="fa-IR"/>
          <w:color w:val="111111"/>
          <w:sz w:val="28"/>
          <w:szCs w:val="28"/>
          <w:rtl/>
        </w:rPr>
        <w:t xml:space="preserve">خط: نستعلیق، بی کا، تا: 1306ق؛ جلد: تیماج قهوه ای، 53 گ ،  (1 پ - 53 پ)، 20  سطر، اندازه: 14</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سم [ف : 20 - 243]</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قم؛ مرعشی؛ شماره نسخه: 1476</w:t>
      </w:r>
    </w:p>
    <w:p>
      <w:pPr>
        <w:pStyle w:val="BookText"/>
      </w:pPr>
      <w:r>
        <w:rPr>
          <w:rFonts w:ascii="IRNazanin" w:hAnsi="IRNazanin" w:eastAsia="IRNazanin" w:cs="IRNazanin"/>
          <w:lang w:bidi="fa-IR"/>
          <w:color w:val="111111"/>
          <w:sz w:val="28"/>
          <w:szCs w:val="28"/>
          <w:rtl/>
        </w:rPr>
        <w:t xml:space="preserve">آغاز: برابر؛ انجام: فقد تممته بسلخ رجب و ذلك أمر عجب ثم بالخير جامع نافع فار تغب یافتى بتعليمه حين تممته بعون الله نلت تاريخه بتميمه.</w:t>
      </w:r>
    </w:p>
    <w:p>
      <w:pPr>
        <w:pStyle w:val="BookText"/>
      </w:pPr>
      <w:r>
        <w:rPr>
          <w:rFonts w:ascii="IRNazanin" w:hAnsi="IRNazanin" w:eastAsia="IRNazanin" w:cs="IRNazanin"/>
          <w:lang w:bidi="fa-IR"/>
          <w:color w:val="111111"/>
          <w:sz w:val="28"/>
          <w:szCs w:val="28"/>
          <w:rtl/>
        </w:rPr>
        <w:t xml:space="preserve">خط: نسخ  زیبا، کا: محمد جعفر بن حسین همدانی، بی تا، حسب فرمایش عباسقلی خان خلف علیقلی خان کروسی؛ مصحح؛ مهر: «عبده الراجي عباسقلی» (بیضی)؛ جلد: تیماج قهوه ای، 105گ،19 سطر، اندازه: 15</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سم [ف: 4 - 268]</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تهران؛ ملی؛ شماره نسخه: 3115</w:t>
      </w:r>
    </w:p>
    <w:p>
      <w:pPr>
        <w:pStyle w:val="BookText"/>
      </w:pPr>
      <w:r>
        <w:rPr>
          <w:rFonts w:ascii="IRNazanin" w:hAnsi="IRNazanin" w:eastAsia="IRNazanin" w:cs="IRNazanin"/>
          <w:lang w:bidi="fa-IR"/>
          <w:color w:val="111111"/>
          <w:sz w:val="28"/>
          <w:szCs w:val="28"/>
          <w:rtl/>
        </w:rPr>
        <w:t xml:space="preserve">آغاز: برابر؛ انجام: قال المتوكل لابى العيناء ما اشد ما عليك فی ذهاب بصرك قال فوت رؤیتک یا امیرالمؤمنین</w:t>
      </w:r>
    </w:p>
    <w:p>
      <w:pPr>
        <w:pStyle w:val="BookText"/>
      </w:pPr>
      <w:r>
        <w:rPr>
          <w:rFonts w:ascii="IRNazanin" w:hAnsi="IRNazanin" w:eastAsia="IRNazanin" w:cs="IRNazanin"/>
          <w:lang w:bidi="fa-IR"/>
          <w:color w:val="111111"/>
          <w:sz w:val="28"/>
          <w:szCs w:val="28"/>
          <w:rtl/>
        </w:rPr>
        <w:t xml:space="preserve">خط: نسخ، بی کا، بی تا؛ افتادگی: انجام؛ کاغذ: فرنگی فسقی ونخودی، جلد: تیماج تریاکی روشن یک لا ضربی مجدول، اندرون جلد کاغذی کبود، عطف تیماج تریاکی تیره، 67گ، 18 سطر (8/5</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16/5</w:t>
      </w:r>
      <w:r>
        <w:rPr>
          <w:rFonts w:ascii="Times New Roman" w:hAnsi="Times New Roman" w:eastAsia="Times New Roman" w:cs="Times New Roman"/>
          <w:lang w:val="en-US" w:bidi="en-US"/>
          <w:color w:val="111111"/>
          <w:sz w:val="28"/>
          <w:szCs w:val="28"/>
          <w:rtl/>
        </w:rPr>
        <w:t xml:space="preserve">×20/5[</w:t>
      </w:r>
      <w:r>
        <w:rPr>
          <w:rFonts w:ascii="IRNazanin" w:hAnsi="IRNazanin" w:eastAsia="IRNazanin" w:cs="IRNazanin"/>
          <w:lang w:bidi="fa-IR"/>
          <w:color w:val="111111"/>
          <w:sz w:val="28"/>
          <w:szCs w:val="28"/>
          <w:rtl/>
        </w:rPr>
        <w:t xml:space="preserve">ف: : 14 - 238]</w:t>
      </w:r>
    </w:p>
    <w:p>
      <w:pPr>
        <w:pStyle w:val="BookText"/>
      </w:pPr>
      <w:r>
        <w:rPr>
          <w:rFonts w:ascii="IRNazanin" w:hAnsi="IRNazanin" w:eastAsia="IRNazanin" w:cs="IRNazanin"/>
          <w:lang w:bidi="fa-IR"/>
          <w:color w:val="111111"/>
          <w:sz w:val="28"/>
          <w:szCs w:val="28"/>
          <w:rtl/>
        </w:rPr>
        <w:t xml:space="preserve">27 .تهران؛ دانشگاه؛ شماره نسخه: 278/1-ف</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نسخه اصل: اسمعیل صائب ش205؛ خط: نستعليق، كا: عبدالله شريف  الدین حسینی (گویا)، بی تا؛ 32گ (2-34) [ فیلم ها -ف: 1 - 449]</w:t>
      </w:r>
    </w:p>
    <w:p>
      <w:pPr>
        <w:pStyle w:val="BookText"/>
      </w:pPr>
      <w:r>
        <w:rPr>
          <w:rFonts w:ascii="IRNazanin" w:hAnsi="IRNazanin" w:eastAsia="IRNazanin" w:cs="IRNazanin"/>
          <w:lang w:bidi="fa-IR"/>
          <w:color w:val="111111"/>
          <w:sz w:val="28"/>
          <w:szCs w:val="28"/>
          <w:rtl/>
        </w:rPr>
        <w:t xml:space="preserve">28.تهران؛ مجلس؛ شماره نسخه: 7901</w:t>
      </w:r>
    </w:p>
    <w:p>
      <w:pPr>
        <w:pStyle w:val="BookText"/>
      </w:pPr>
      <w:r>
        <w:rPr>
          <w:rFonts w:ascii="IRNazanin" w:hAnsi="IRNazanin" w:eastAsia="IRNazanin" w:cs="IRNazanin"/>
          <w:lang w:bidi="fa-IR"/>
          <w:color w:val="111111"/>
          <w:sz w:val="28"/>
          <w:szCs w:val="28"/>
          <w:rtl/>
        </w:rPr>
        <w:t xml:space="preserve">آغاز: برابر؛ انجام: هيا الله اسباب قلعهم و قمعهم و ختم الله علی قلوبهم و على سمعهم فاني عملت فيه عمل الطبيب للحبيب و توفيقى الا بالله عليه توكلت و اليه انيب.</w:t>
      </w:r>
    </w:p>
    <w:p>
      <w:pPr>
        <w:pStyle w:val="BookText"/>
      </w:pPr>
      <w:r>
        <w:rPr>
          <w:rFonts w:ascii="IRNazanin" w:hAnsi="IRNazanin" w:eastAsia="IRNazanin" w:cs="IRNazanin"/>
          <w:lang w:bidi="fa-IR"/>
          <w:color w:val="111111"/>
          <w:sz w:val="28"/>
          <w:szCs w:val="28"/>
          <w:rtl/>
        </w:rPr>
        <w:t xml:space="preserve">خط: نسخ، جلی، بی کا، بی تا؛ بی کا، بی تا :جلد: تیماج سرخ، 110گ 15 سطر، اندازه: 13/5</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26 - 379]</w:t>
      </w:r>
    </w:p>
    <w:p>
      <w:pPr>
        <w:pStyle w:val="Heading3"/>
      </w:pPr>
      <w:bookmarkStart w:id="765" w:name="_Toc287"/>
      <w:r>
        <w:t>اساس الایمان / کلام و اعتقادات / فارسی</w:t>
      </w:r>
      <w:bookmarkEnd w:id="765"/>
    </w:p>
    <w:p>
      <w:pPr>
        <w:pStyle w:val="BookText"/>
      </w:pPr>
      <w:r>
        <w:rPr>
          <w:rFonts w:ascii="Times New Roman" w:hAnsi="Times New Roman" w:eastAsia="Times New Roman" w:cs="Times New Roman"/>
          <w:lang w:val="en-US" w:bidi="en-US"/>
          <w:color w:val="111111"/>
          <w:sz w:val="28"/>
          <w:szCs w:val="28"/>
          <w:rtl/>
        </w:rPr>
        <w:t xml:space="preserve">asās-ol-īmān</w:t>
      </w:r>
    </w:p>
    <w:p>
      <w:pPr>
        <w:pStyle w:val="BookText"/>
      </w:pPr>
      <w:r>
        <w:rPr>
          <w:rFonts w:ascii="IRNazanin" w:hAnsi="IRNazanin" w:eastAsia="IRNazanin" w:cs="IRNazanin"/>
          <w:lang w:bidi="fa-IR"/>
          <w:color w:val="111111"/>
          <w:sz w:val="28"/>
          <w:szCs w:val="28"/>
          <w:rtl/>
        </w:rPr>
        <w:t xml:space="preserve">صاحب قبله  قادری، شاه حافظ حسین</w:t>
      </w:r>
    </w:p>
    <w:p>
      <w:pPr>
        <w:pStyle w:val="BookText"/>
      </w:pPr>
      <w:r>
        <w:rPr>
          <w:rFonts w:ascii="Times New Roman" w:hAnsi="Times New Roman" w:eastAsia="Times New Roman" w:cs="Times New Roman"/>
          <w:lang w:val="en-US" w:bidi="en-US"/>
          <w:color w:val="111111"/>
          <w:sz w:val="28"/>
          <w:szCs w:val="28"/>
          <w:rtl/>
        </w:rPr>
        <w:t xml:space="preserve">sāheb qeble qāderī, šāh hāfez hoseyn</w:t>
      </w:r>
    </w:p>
    <w:p>
      <w:pPr>
        <w:pStyle w:val="BookText"/>
      </w:pPr>
      <w:r>
        <w:rPr>
          <w:rFonts w:ascii="IRNazanin" w:hAnsi="IRNazanin" w:eastAsia="IRNazanin" w:cs="IRNazanin"/>
          <w:lang w:bidi="fa-IR"/>
          <w:color w:val="111111"/>
          <w:sz w:val="28"/>
          <w:szCs w:val="28"/>
          <w:rtl/>
        </w:rPr>
        <w:t xml:space="preserve">رساله ای است مشتمل بر دو «باب» و هر باب دارای چند (فصل) و در آن مسائل ایمان و کفر تحت عنوان پاسخ و پرسش به شده و با این عبارت آمده است «اگر تو را پرسند جواب بگو».</w:t>
      </w:r>
    </w:p>
    <w:p>
      <w:pPr>
        <w:pStyle w:val="BookText"/>
      </w:pPr>
      <w:r>
        <w:rPr>
          <w:rFonts w:ascii="IRNazanin" w:hAnsi="IRNazanin" w:eastAsia="IRNazanin" w:cs="IRNazanin"/>
          <w:lang w:bidi="fa-IR"/>
          <w:color w:val="111111"/>
          <w:sz w:val="28"/>
          <w:szCs w:val="28"/>
          <w:rtl/>
        </w:rPr>
        <w:t xml:space="preserve">آغاز: حمد حد خدای یکتا را که ارشاد نمود بندگان خود را</w:t>
      </w:r>
    </w:p>
    <w:p>
      <w:pPr>
        <w:pStyle w:val="BookText"/>
      </w:pPr>
      <w:r>
        <w:rPr>
          <w:rFonts w:ascii="IRNazanin" w:hAnsi="IRNazanin" w:eastAsia="IRNazanin" w:cs="IRNazanin"/>
          <w:lang w:bidi="fa-IR"/>
          <w:color w:val="111111"/>
          <w:sz w:val="28"/>
          <w:szCs w:val="28"/>
          <w:rtl/>
        </w:rPr>
        <w:t xml:space="preserve">انجام: و درود به رسول آفریدگار ختم کند تا خاتمه مجلس به خیر گردد. سبحانك اللهم ... وصحبه و سلم.</w:t>
      </w:r>
    </w:p>
    <w:p>
      <w:pPr>
        <w:pStyle w:val="BookText"/>
      </w:pPr>
      <w:r>
        <w:rPr>
          <w:rFonts w:ascii="IRNazanin" w:hAnsi="IRNazanin" w:eastAsia="IRNazanin" w:cs="IRNazanin"/>
          <w:lang w:bidi="fa-IR"/>
          <w:color w:val="111111"/>
          <w:sz w:val="28"/>
          <w:szCs w:val="28"/>
          <w:rtl/>
        </w:rPr>
        <w:t xml:space="preserve">[فهرستواره منزوی 85/9]</w:t>
      </w:r>
    </w:p>
    <w:p>
      <w:pPr>
        <w:pStyle w:val="BookText"/>
      </w:pPr>
      <w:r>
        <w:rPr>
          <w:rFonts w:ascii="IRNazanin" w:hAnsi="IRNazanin" w:eastAsia="IRNazanin" w:cs="IRNazanin"/>
          <w:lang w:bidi="fa-IR"/>
          <w:color w:val="111111"/>
          <w:sz w:val="28"/>
          <w:szCs w:val="28"/>
          <w:rtl/>
        </w:rPr>
        <w:t xml:space="preserve">تهران؛ نوربخش؛ شماره نسخه: 493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18 محرم 1263ق؛ کاغذ: هندی، جلد: مقوایی 62 ص 11 سطر، اندازه: 11/5</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سم [ف: 2 - 168]</w:t>
      </w:r>
    </w:p>
    <w:p>
      <w:pPr>
        <w:pStyle w:val="Heading3"/>
      </w:pPr>
      <w:bookmarkStart w:id="766" w:name="_Toc288"/>
      <w:r>
        <w:t>اساس الایمان (منتخب) / تاریخ معصومین / فارسی</w:t>
      </w:r>
      <w:bookmarkEnd w:id="766"/>
    </w:p>
    <w:p>
      <w:pPr>
        <w:pStyle w:val="BookText"/>
      </w:pPr>
      <w:r>
        <w:rPr>
          <w:rFonts w:ascii="Times New Roman" w:hAnsi="Times New Roman" w:eastAsia="Times New Roman" w:cs="Times New Roman"/>
          <w:lang w:val="en-US" w:bidi="en-US"/>
          <w:color w:val="111111"/>
          <w:sz w:val="28"/>
          <w:szCs w:val="28"/>
          <w:rtl/>
        </w:rPr>
        <w:t xml:space="preserve">(asās-ol īmān (mn.)</w:t>
      </w:r>
    </w:p>
    <w:p>
      <w:pPr>
        <w:pStyle w:val="BookText"/>
      </w:pPr>
      <w:r>
        <w:rPr>
          <w:rFonts w:ascii="IRNazanin" w:hAnsi="IRNazanin" w:eastAsia="IRNazanin" w:cs="IRNazanin"/>
          <w:lang w:bidi="fa-IR"/>
          <w:color w:val="111111"/>
          <w:sz w:val="28"/>
          <w:szCs w:val="28"/>
          <w:rtl/>
        </w:rPr>
        <w:t xml:space="preserve">واله، ق 12 قمری</w:t>
      </w:r>
    </w:p>
    <w:p>
      <w:pPr>
        <w:pStyle w:val="BookText"/>
      </w:pPr>
      <w:r>
        <w:rPr>
          <w:rFonts w:ascii="Times New Roman" w:hAnsi="Times New Roman" w:eastAsia="Times New Roman" w:cs="Times New Roman"/>
          <w:lang w:val="en-US" w:bidi="en-US"/>
          <w:color w:val="111111"/>
          <w:sz w:val="28"/>
          <w:szCs w:val="28"/>
          <w:rtl/>
        </w:rPr>
        <w:t xml:space="preserve">(vāle ( - 18c)</w:t>
      </w:r>
    </w:p>
    <w:p>
      <w:pPr>
        <w:pStyle w:val="BookText"/>
      </w:pPr>
      <w:r>
        <w:rPr>
          <w:rFonts w:ascii="IRNazanin" w:hAnsi="IRNazanin" w:eastAsia="IRNazanin" w:cs="IRNazanin"/>
          <w:lang w:bidi="fa-IR"/>
          <w:color w:val="111111"/>
          <w:sz w:val="28"/>
          <w:szCs w:val="28"/>
          <w:rtl/>
        </w:rPr>
        <w:t xml:space="preserve">سال تألیف: 1145ق؛</w:t>
      </w:r>
    </w:p>
    <w:p>
      <w:pPr>
        <w:pStyle w:val="BookText"/>
      </w:pPr>
      <w:r>
        <w:rPr>
          <w:rFonts w:ascii="IRNazanin" w:hAnsi="IRNazanin" w:eastAsia="IRNazanin" w:cs="IRNazanin"/>
          <w:lang w:bidi="fa-IR"/>
          <w:color w:val="111111"/>
          <w:sz w:val="28"/>
          <w:szCs w:val="28"/>
          <w:rtl/>
        </w:rPr>
        <w:t xml:space="preserve">دارای اشعاری است در مدح و منقبت و بیان معجزات ائمه اطهار (علیه السّلام) در دوازده «اساس» که برای هر امام یک «اساس» قرار داده است. درباره ناظم این اثر احتمالات مختلفی مطرح است. نسخه حاضر گویا منتخب «اساس الایمان» است.</w:t>
      </w:r>
    </w:p>
    <w:p>
      <w:pPr>
        <w:pStyle w:val="BookText"/>
      </w:pPr>
      <w:r>
        <w:rPr>
          <w:rFonts w:ascii="IRNazanin" w:hAnsi="IRNazanin" w:eastAsia="IRNazanin" w:cs="IRNazanin"/>
          <w:lang w:bidi="fa-IR"/>
          <w:color w:val="111111"/>
          <w:sz w:val="28"/>
          <w:szCs w:val="28"/>
          <w:rtl/>
        </w:rPr>
        <w:t xml:space="preserve">آغاز: بسمله ... ربنا لا تزغ قلوبنا بعداذ هديتنا ... حمد حق گویم که اکبر ذات اوست*** لا و الا نفى غير اثبات اوست / زو چو توفیق هدایت میشود *** آدمی مشمول رحمت می شود... منتخب از باب اول از اساس اول در فضایل شاه مردان</w:t>
      </w:r>
    </w:p>
    <w:p>
      <w:pPr>
        <w:pStyle w:val="BookText"/>
      </w:pPr>
      <w:r>
        <w:rPr>
          <w:rFonts w:ascii="IRNazanin" w:hAnsi="IRNazanin" w:eastAsia="IRNazanin" w:cs="IRNazanin"/>
          <w:lang w:bidi="fa-IR"/>
          <w:color w:val="111111"/>
          <w:sz w:val="28"/>
          <w:szCs w:val="28"/>
          <w:rtl/>
        </w:rPr>
        <w:t xml:space="preserve">انجام: بهر این بنیان فرخ پی که شد *** در حقیقت قصر رضوان را اساس/ جسته ام تاریخ ختم اندر حساب *** گفت هاتف گشت ایمان را اساس</w:t>
      </w:r>
    </w:p>
    <w:p>
      <w:pPr>
        <w:pStyle w:val="BookText"/>
      </w:pPr>
      <w:r>
        <w:rPr>
          <w:rFonts w:ascii="IRNazanin" w:hAnsi="IRNazanin" w:eastAsia="IRNazanin" w:cs="IRNazanin"/>
          <w:lang w:bidi="fa-IR"/>
          <w:color w:val="111111"/>
          <w:sz w:val="28"/>
          <w:szCs w:val="28"/>
          <w:rtl/>
        </w:rPr>
        <w:t xml:space="preserve">تمت هذه المعاجز من كتاب اساس الایمان</w:t>
      </w:r>
    </w:p>
    <w:p>
      <w:pPr>
        <w:pStyle w:val="BookText"/>
      </w:pPr>
      <w:r>
        <w:rPr>
          <w:rFonts w:ascii="IRNazanin" w:hAnsi="IRNazanin" w:eastAsia="IRNazanin" w:cs="IRNazanin"/>
          <w:lang w:bidi="fa-IR"/>
          <w:color w:val="111111"/>
          <w:sz w:val="28"/>
          <w:szCs w:val="28"/>
          <w:rtl/>
        </w:rPr>
        <w:t xml:space="preserve">[نسخه های منزوی 4/ 2626؛ فهرستواره منزوی 1544/3 و 85/9؛ فهرست مشترک پاکستان 1029/2؛ الذريعة 276/19]</w:t>
      </w:r>
    </w:p>
    <w:p>
      <w:pPr>
        <w:pStyle w:val="BookText"/>
      </w:pPr>
      <w:r>
        <w:rPr>
          <w:rFonts w:ascii="IRNazanin" w:hAnsi="IRNazanin" w:eastAsia="IRNazanin" w:cs="IRNazanin"/>
          <w:lang w:bidi="fa-IR"/>
          <w:color w:val="111111"/>
          <w:sz w:val="28"/>
          <w:szCs w:val="28"/>
          <w:rtl/>
        </w:rPr>
        <w:t xml:space="preserve">قم؛ گلپایگانی؛ شماره نسخه: 1768-10/78</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نستعليق، كا: يعقوب على بن محمد قشام بن علیمحمد، تا: 22 ذیقعده 1257ق؛ مجدول  محرر ،مذهب، با سرلوح با نقش گنبد و دو گلدسته مذهب ؛جلد: گالینگور آبی عطف و گوشه تیماج قهوه ای 330گ 13 سطر اندازه: 16</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سم [ف: 1 - 323]</w:t>
      </w:r>
    </w:p>
    <w:p>
      <w:pPr>
        <w:pStyle w:val="Heading3"/>
      </w:pPr>
      <w:bookmarkStart w:id="767" w:name="_Toc289"/>
      <w:r>
        <w:t>اساس البلاغة = اساس اللغة ومقياس البلاغة / لغت / عربی</w:t>
      </w:r>
      <w:bookmarkEnd w:id="767"/>
    </w:p>
    <w:p>
      <w:pPr>
        <w:pStyle w:val="BookText"/>
      </w:pPr>
      <w:r>
        <w:rPr>
          <w:rFonts w:ascii="Times New Roman" w:hAnsi="Times New Roman" w:eastAsia="Times New Roman" w:cs="Times New Roman"/>
          <w:lang w:val="en-US" w:bidi="en-US"/>
          <w:color w:val="111111"/>
          <w:sz w:val="28"/>
          <w:szCs w:val="28"/>
          <w:rtl/>
        </w:rPr>
        <w:t xml:space="preserve">asas-ul bilaga = asas-ul luga wa miqyas-ul bilaga</w:t>
      </w:r>
    </w:p>
    <w:p>
      <w:pPr>
        <w:pStyle w:val="BookText"/>
      </w:pPr>
      <w:r>
        <w:rPr>
          <w:rFonts w:ascii="IRNazanin" w:hAnsi="IRNazanin" w:eastAsia="IRNazanin" w:cs="IRNazanin"/>
          <w:lang w:bidi="fa-IR"/>
          <w:color w:val="111111"/>
          <w:sz w:val="28"/>
          <w:szCs w:val="28"/>
          <w:rtl/>
        </w:rPr>
        <w:t xml:space="preserve">زمخشری محمود بن ،عمر 467 - 538 قمری</w:t>
      </w:r>
    </w:p>
    <w:p>
      <w:pPr>
        <w:pStyle w:val="BookText"/>
      </w:pPr>
      <w:r>
        <w:rPr>
          <w:rFonts w:ascii="Times New Roman" w:hAnsi="Times New Roman" w:eastAsia="Times New Roman" w:cs="Times New Roman"/>
          <w:lang w:val="en-US" w:bidi="en-US"/>
          <w:color w:val="111111"/>
          <w:sz w:val="28"/>
          <w:szCs w:val="28"/>
          <w:rtl/>
        </w:rPr>
        <w:t xml:space="preserve">(zamaxšarī, mahmud ebn-e omar (1075 - 1144)</w:t>
      </w:r>
    </w:p>
    <w:p>
      <w:pPr>
        <w:pStyle w:val="BookText"/>
      </w:pPr>
      <w:r>
        <w:rPr>
          <w:rFonts w:ascii="IRNazanin" w:hAnsi="IRNazanin" w:eastAsia="IRNazanin" w:cs="IRNazanin"/>
          <w:lang w:bidi="fa-IR"/>
          <w:color w:val="111111"/>
          <w:sz w:val="28"/>
          <w:szCs w:val="28"/>
          <w:rtl/>
        </w:rPr>
        <w:t xml:space="preserve">لغتنامه مهم و معروف عربی به عربی است که مواد را به حسب حروف در 28 «باب» تنظیم نموده و در آن معنی واژه را از نظر جمله بندی «نه از نظر ریشه» بررسی کرده است. مؤلف اول   معانی حقیقی هر لغت را آورده و سپس به معانی مجازی آن پرداخته است.</w:t>
      </w:r>
    </w:p>
    <w:p>
      <w:pPr>
        <w:pStyle w:val="BookText"/>
      </w:pPr>
      <w:r>
        <w:rPr>
          <w:rFonts w:ascii="Amiri" w:hAnsi="Amiri" w:eastAsia="Amiri" w:cs="Amiri"/>
          <w:lang w:bidi="ar-SA"/>
          <w:color w:val="111111"/>
          <w:sz w:val="28"/>
          <w:szCs w:val="28"/>
          <w:rtl/>
        </w:rPr>
        <w:t xml:space="preserve">آغاز: بسمله، قال جار الله العلامة استاد الدنيا شيخ العرب و العجم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الكشاف فخر خوارزم ابوالقاسم محمود بن عمر الزمخشرى رحمة الله خير منطوق به امام کل کلام و افضل مصدر به کل کتاب حمدالله و مدحه بما تمدح به في كتابه الكريم و قرآنه المجيد من صفاته المجراه على اسمه لاعلی حربة الايضاح والتفصله و لاعلى سبيل الابانه و التفرقه از ليس بالمشارك فى اسمه المبارك رب السموات والارض و ما بينهما فاعبده و اصطبر لعبادته هل تعلم له سميا وانماهی تماجيد لذاته المكونه لجميع الذوات لااستعانه ثم بالاسباب ... الى آخر</w:t>
      </w:r>
    </w:p>
    <w:p>
      <w:pPr>
        <w:pStyle w:val="BookText"/>
      </w:pPr>
      <w:r>
        <w:rPr>
          <w:rFonts w:ascii="Amiri" w:hAnsi="Amiri" w:eastAsia="Amiri" w:cs="Amiri"/>
          <w:lang w:bidi="ar-SA"/>
          <w:color w:val="111111"/>
          <w:sz w:val="28"/>
          <w:szCs w:val="28"/>
          <w:rtl/>
        </w:rPr>
        <w:t xml:space="preserve">انجام: و من المجاز ذكر فى ايام العرب كذا اى فى وقائعها وذكرهم بايام الله بدمادمه على الكفرة مع الهاء مفازة يهما ما فيها ماء و اعوذ بالله</w:t>
      </w:r>
    </w:p>
    <w:p>
      <w:pPr>
        <w:pStyle w:val="BookText"/>
      </w:pPr>
      <w:r>
        <w:rPr>
          <w:rFonts w:ascii="Amiri" w:hAnsi="Amiri" w:eastAsia="Amiri" w:cs="Amiri"/>
          <w:lang w:bidi="ar-SA"/>
          <w:color w:val="111111"/>
          <w:sz w:val="28"/>
          <w:szCs w:val="28"/>
          <w:rtl/>
        </w:rPr>
        <w:t xml:space="preserve">من الايهمين الحرق و الفرق وقيل الليل والفحل الهايج.</w:t>
      </w:r>
    </w:p>
    <w:p>
      <w:pPr>
        <w:pStyle w:val="BookText"/>
      </w:pPr>
      <w:r>
        <w:rPr>
          <w:rFonts w:ascii="IRNazanin" w:hAnsi="IRNazanin" w:eastAsia="IRNazanin" w:cs="IRNazanin"/>
          <w:lang w:bidi="fa-IR"/>
          <w:color w:val="111111"/>
          <w:sz w:val="28"/>
          <w:szCs w:val="28"/>
          <w:rtl/>
        </w:rPr>
        <w:t xml:space="preserve">چاپ: مصر، ، 1299 و 1329ق ،بیروت، دارالمعرفة للطباعة والنشر، 1399ق.</w:t>
      </w:r>
    </w:p>
    <w:p>
      <w:pPr>
        <w:pStyle w:val="BookText"/>
      </w:pPr>
      <w:r>
        <w:rPr>
          <w:rFonts w:ascii="IRNazanin" w:hAnsi="IRNazanin" w:eastAsia="IRNazanin" w:cs="IRNazanin"/>
          <w:lang w:bidi="fa-IR"/>
          <w:color w:val="111111"/>
          <w:sz w:val="28"/>
          <w:szCs w:val="28"/>
          <w:rtl/>
        </w:rPr>
        <w:t xml:space="preserve">[كشف الظنون 74/1؛ بروکلمن 292:1 و ذیل 511:1 و 533]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ملی؛ شماره نسخه: 1366</w:t>
      </w:r>
    </w:p>
    <w:p>
      <w:pPr>
        <w:pStyle w:val="BookText"/>
      </w:pPr>
      <w:r>
        <w:rPr>
          <w:rFonts w:ascii="Amiri" w:hAnsi="Amiri" w:eastAsia="Amiri" w:cs="Amiri"/>
          <w:lang w:bidi="ar-SA"/>
          <w:color w:val="111111"/>
          <w:sz w:val="28"/>
          <w:szCs w:val="28"/>
          <w:rtl/>
        </w:rPr>
        <w:t xml:space="preserve">آغاز: بسمله، باب الضاد الضاد مع الهمزه هو من ضيضى؛ انجام : برابر</w:t>
      </w:r>
    </w:p>
    <w:p>
      <w:pPr>
        <w:pStyle w:val="BookText"/>
      </w:pPr>
      <w:r>
        <w:rPr>
          <w:rFonts w:ascii="IRNazanin" w:hAnsi="IRNazanin" w:eastAsia="IRNazanin" w:cs="IRNazanin"/>
          <w:lang w:bidi="fa-IR"/>
          <w:color w:val="111111"/>
          <w:sz w:val="28"/>
          <w:szCs w:val="28"/>
          <w:rtl/>
        </w:rPr>
        <w:t xml:space="preserve">خط: نسخ  کهن، بی کا، تا: 688ق؛ کاغذ ،اصفهانی، جلد: تیماج ،مشکی ،مقوایی 296گ 19 سطر (12</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اندازه: 17</w:t>
      </w:r>
      <w:r>
        <w:rPr>
          <w:rFonts w:ascii="Times New Roman" w:hAnsi="Times New Roman" w:eastAsia="Times New Roman" w:cs="Times New Roman"/>
          <w:lang w:val="en-US" w:bidi="en-US"/>
          <w:color w:val="111111"/>
          <w:sz w:val="28"/>
          <w:szCs w:val="28"/>
          <w:rtl/>
        </w:rPr>
        <w:t xml:space="preserve">×23 [</w:t>
      </w:r>
      <w:r>
        <w:rPr>
          <w:rFonts w:ascii="IRNazanin" w:hAnsi="IRNazanin" w:eastAsia="IRNazanin" w:cs="IRNazanin"/>
          <w:lang w:bidi="fa-IR"/>
          <w:color w:val="111111"/>
          <w:sz w:val="28"/>
          <w:szCs w:val="28"/>
          <w:rtl/>
        </w:rPr>
        <w:t xml:space="preserve">ف: 9 - 360]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خوی؛ نمازی؛ شماره نسخه: 162</w:t>
      </w:r>
    </w:p>
    <w:p>
      <w:pPr>
        <w:pStyle w:val="BookText"/>
      </w:pPr>
      <w:r>
        <w:rPr>
          <w:rFonts w:ascii="IRNazanin" w:hAnsi="IRNazanin" w:eastAsia="IRNazanin" w:cs="IRNazanin"/>
          <w:lang w:bidi="fa-IR"/>
          <w:color w:val="111111"/>
          <w:sz w:val="28"/>
          <w:szCs w:val="28"/>
          <w:rtl/>
        </w:rPr>
        <w:t xml:space="preserve">خط: نسخ، کا: عمر بن رمضان السنغر  کنتی ، تا: منتصف شعبان 698ق؛ صفحه اول کتاب به وسیله فتح الله بن محمد رضا 1314 کتابت شده و بعداً به آن ملحق شده؛ از موقوفات رمضانیه 1230 ؛جلد: تیماج مشکی پشت جلد اسلیمی، 25 سطر، اندازه: 17</w:t>
      </w:r>
      <w:r>
        <w:rPr>
          <w:rFonts w:ascii="Times New Roman" w:hAnsi="Times New Roman" w:eastAsia="Times New Roman" w:cs="Times New Roman"/>
          <w:lang w:val="en-US" w:bidi="en-US"/>
          <w:color w:val="111111"/>
          <w:sz w:val="28"/>
          <w:szCs w:val="28"/>
          <w:rtl/>
        </w:rPr>
        <w:t xml:space="preserve">×25</w:t>
      </w:r>
      <w:r>
        <w:rPr>
          <w:rFonts w:ascii="IRNazanin" w:hAnsi="IRNazanin" w:eastAsia="IRNazanin" w:cs="IRNazanin"/>
          <w:lang w:bidi="fa-IR"/>
          <w:color w:val="111111"/>
          <w:sz w:val="28"/>
          <w:szCs w:val="28"/>
          <w:rtl/>
        </w:rPr>
        <w:t xml:space="preserve">سم [ف: 90]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ملک؛ شماره نسخه: 407</w:t>
      </w:r>
    </w:p>
    <w:p>
      <w:pPr>
        <w:pStyle w:val="BookText"/>
      </w:pPr>
      <w:r>
        <w:rPr>
          <w:rFonts w:ascii="IRNazanin" w:hAnsi="IRNazanin" w:eastAsia="IRNazanin" w:cs="IRNazanin"/>
          <w:lang w:bidi="fa-IR"/>
          <w:color w:val="111111"/>
          <w:sz w:val="28"/>
          <w:szCs w:val="28"/>
          <w:rtl/>
        </w:rPr>
        <w:t xml:space="preserve">آغاز: و كان خط من الاعراب الذى هو ميزان اوضاع العربيه .. و قد رتب الكتاب على اشهر ترتيب متداولا ... باب الهمزة مع االیاء اطلب الامر فى ابائه؛ انجام: و كان على ديان هذه الامة بعد نبیها ای قاضیها انتهى باب الدال</w:t>
      </w:r>
    </w:p>
    <w:p>
      <w:pPr>
        <w:pStyle w:val="BookText"/>
      </w:pPr>
      <w:r>
        <w:rPr>
          <w:rFonts w:ascii="IRNazanin" w:hAnsi="IRNazanin" w:eastAsia="IRNazanin" w:cs="IRNazanin"/>
          <w:lang w:bidi="fa-IR"/>
          <w:color w:val="111111"/>
          <w:sz w:val="28"/>
          <w:szCs w:val="28"/>
          <w:rtl/>
        </w:rPr>
        <w:t xml:space="preserve">خط: نسخ، بی کا، تا: قرن 6 و 7 مقابله نسخه در 723 است؛ کاغذ: دولت  آبادی، جلد: میشن  قهوه ای، 252گ، 15 سطر، اندازه: 15</w:t>
      </w:r>
      <w:r>
        <w:rPr>
          <w:rFonts w:ascii="Times New Roman" w:hAnsi="Times New Roman" w:eastAsia="Times New Roman" w:cs="Times New Roman"/>
          <w:lang w:val="en-US" w:bidi="en-US"/>
          <w:color w:val="111111"/>
          <w:sz w:val="28"/>
          <w:szCs w:val="28"/>
          <w:rtl/>
        </w:rPr>
        <w:t xml:space="preserve">×19/4</w:t>
      </w:r>
      <w:r>
        <w:rPr>
          <w:rFonts w:ascii="IRNazanin" w:hAnsi="IRNazanin" w:eastAsia="IRNazanin" w:cs="IRNazanin"/>
          <w:lang w:bidi="fa-IR"/>
          <w:color w:val="111111"/>
          <w:sz w:val="28"/>
          <w:szCs w:val="28"/>
          <w:rtl/>
        </w:rPr>
        <w:t xml:space="preserve">سم [ف: 1 - 28]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تهران؛ دانشگاه؛ شماره نسخه: 2767</w:t>
      </w:r>
    </w:p>
    <w:p>
      <w:pPr>
        <w:pStyle w:val="BookText"/>
      </w:pPr>
      <w:r>
        <w:rPr>
          <w:rFonts w:ascii="IRNazanin" w:hAnsi="IRNazanin" w:eastAsia="IRNazanin" w:cs="IRNazanin"/>
          <w:lang w:bidi="fa-IR"/>
          <w:color w:val="111111"/>
          <w:sz w:val="28"/>
          <w:szCs w:val="28"/>
          <w:rtl/>
        </w:rPr>
        <w:t xml:space="preserve">از باب الطاء مع الهمزه تا باب الباء مع ا لهاء است؛ خط: نسخ، بی کا، تا: قرن 6 و 7؛ نسخه را سی بنکه دودانگی کم طسوجی خریده اند، شعری از نجم الدین کبری در صفحه عنوان هست شعرهای عرفانی دیگر از این ابی الحدید؛ تملک: صالح بن محمد صالح بن علی امامی جروری در 685  ق، صدرالدین محمد سعید قاضی قم با مهر او، محمد نامی در 1211 ، خواجه علیشاه طوسی، حسام الدين علی کیاپسر غیاث الدین حسینی، صدر الشریعه محمد در 1148 ،کمال مقرى طبيب ؛کاغذ: سمرقندی، جلد: تیماج عنابی ضربی ،مقوایی 222گ، 23 سطر (12</w:t>
      </w:r>
      <w:r>
        <w:rPr>
          <w:rFonts w:ascii="Times New Roman" w:hAnsi="Times New Roman" w:eastAsia="Times New Roman" w:cs="Times New Roman"/>
          <w:lang w:val="en-US" w:bidi="en-US"/>
          <w:color w:val="111111"/>
          <w:sz w:val="28"/>
          <w:szCs w:val="28"/>
          <w:rtl/>
        </w:rPr>
        <w:t xml:space="preserve">×23)</w:t>
      </w:r>
      <w:r>
        <w:rPr>
          <w:rFonts w:ascii="IRNazanin" w:hAnsi="IRNazanin" w:eastAsia="IRNazanin" w:cs="IRNazanin"/>
          <w:lang w:bidi="fa-IR"/>
          <w:color w:val="111111"/>
          <w:sz w:val="28"/>
          <w:szCs w:val="28"/>
          <w:rtl/>
        </w:rPr>
        <w:t xml:space="preserve">، اندازه: 20</w:t>
      </w:r>
      <w:r>
        <w:rPr>
          <w:rFonts w:ascii="Times New Roman" w:hAnsi="Times New Roman" w:eastAsia="Times New Roman" w:cs="Times New Roman"/>
          <w:lang w:val="en-US" w:bidi="en-US"/>
          <w:color w:val="111111"/>
          <w:sz w:val="28"/>
          <w:szCs w:val="28"/>
          <w:rtl/>
        </w:rPr>
        <w:t xml:space="preserve">×31</w:t>
      </w:r>
      <w:r>
        <w:rPr>
          <w:rFonts w:ascii="IRNazanin" w:hAnsi="IRNazanin" w:eastAsia="IRNazanin" w:cs="IRNazanin"/>
          <w:lang w:bidi="fa-IR"/>
          <w:color w:val="111111"/>
          <w:sz w:val="28"/>
          <w:szCs w:val="28"/>
          <w:rtl/>
        </w:rPr>
        <w:t xml:space="preserve">سم [ف: 10 - 1627]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تهران؛ مجلس؛ شماره نسخه: 8287</w:t>
      </w:r>
    </w:p>
    <w:p>
      <w:pPr>
        <w:pStyle w:val="BookText"/>
      </w:pPr>
      <w:r>
        <w:rPr>
          <w:rFonts w:ascii="IRNazanin" w:hAnsi="IRNazanin" w:eastAsia="IRNazanin" w:cs="IRNazanin"/>
          <w:lang w:bidi="fa-IR"/>
          <w:color w:val="111111"/>
          <w:sz w:val="28"/>
          <w:szCs w:val="28"/>
          <w:rtl/>
        </w:rPr>
        <w:t xml:space="preserve">آغاز: بسمله باب الطاء ماء مع الهمزة طأطأ  راسه صوبه؛ انجام: و یقال للماشطه المزينه و المقينه تم باب القاف من كتاب البلاغة</w:t>
      </w:r>
    </w:p>
    <w:p>
      <w:pPr>
        <w:pStyle w:val="BookText"/>
      </w:pPr>
      <w:r>
        <w:rPr>
          <w:rFonts w:ascii="IRNazanin" w:hAnsi="IRNazanin" w:eastAsia="IRNazanin" w:cs="IRNazanin"/>
          <w:lang w:bidi="fa-IR"/>
          <w:color w:val="111111"/>
          <w:sz w:val="28"/>
          <w:szCs w:val="28"/>
          <w:rtl/>
        </w:rPr>
        <w:t xml:space="preserve">از باب الطاء تا باب القاف؛ خط: نسخ کهن، بی کا: تا: احتمالاً قرن 7 و 8؛ مصحح، برخی صفحات ،نونویس در آغاز نسخه یادداشت محمد بن محمد حسین طباطبائی درباره خرید این نسخه از پسر ملامحرم  دلال به قیمت سه پناه آباد در 14 جمادی الاول 1318ق؛ جلد: تيماج ،یشمی، ترنج 323گ 13 سطر، اندازه: 14/5</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2/ 27- 51]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قم؛ مرعشی؛ شماره نسخه: 583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معرب، کا: ابو محمد عابد بن محمد بن علی بن ابی بکر، تا: شنبه 4 ذیحجه 787ق (در این تاریخ شک داریم) جا: یزد؛ مجدول، برگ اول نونویس است؛ تملک: علی بن میرزا لطفعلی بن احمد تبریزی به تاریخ 1265 با مهر «الواثق بالله عبده على بن لطفعلی» (مربع)، علی نقی به على؛ جلد: تيماج قرمز، 399گ 25 ،سطر، اندازه 15</w:t>
      </w:r>
      <w:r>
        <w:rPr>
          <w:rFonts w:ascii="Times New Roman" w:hAnsi="Times New Roman" w:eastAsia="Times New Roman" w:cs="Times New Roman"/>
          <w:lang w:val="en-US" w:bidi="en-US"/>
          <w:color w:val="111111"/>
          <w:sz w:val="28"/>
          <w:szCs w:val="28"/>
          <w:rtl/>
        </w:rPr>
        <w:t xml:space="preserve">×24</w:t>
      </w:r>
      <w:r>
        <w:rPr>
          <w:rFonts w:ascii="IRNazanin" w:hAnsi="IRNazanin" w:eastAsia="IRNazanin" w:cs="IRNazanin"/>
          <w:lang w:bidi="fa-IR"/>
          <w:color w:val="111111"/>
          <w:sz w:val="28"/>
          <w:szCs w:val="28"/>
          <w:rtl/>
        </w:rPr>
        <w:t xml:space="preserve">سم [ف: 2 - 176]</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تهران؛ دانشگاه؛ شماره نسخه: 3450</w:t>
      </w:r>
    </w:p>
    <w:p>
      <w:pPr>
        <w:pStyle w:val="BookText"/>
      </w:pPr>
      <w:r>
        <w:rPr>
          <w:rFonts w:ascii="IRNazanin" w:hAnsi="IRNazanin" w:eastAsia="IRNazanin" w:cs="IRNazanin"/>
          <w:lang w:bidi="fa-IR"/>
          <w:color w:val="111111"/>
          <w:sz w:val="28"/>
          <w:szCs w:val="28"/>
          <w:rtl/>
        </w:rPr>
        <w:t xml:space="preserve">از «باب الطاء مع الهمزة طاطا راسه صوبه و طاطات يدى بعنان الفرس اذا خففت يدك و ثم ترفعها للسكح» تا کلمه «قین» (برابر با ص 33-164 جزء دوم چاپ محمد افندی در مصر)؛ خط: نسخ، بی کا، تا: قرن 8 و 9 در عنوان آمده «الدفتر الثالث من اساس اللغة»؛ کاغذ: سمرقندی ،جلد» تیماج حنایی ضربی ترنجی مقوایی، 246گ، 15 سطر (9</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اندازه: 13</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[ف: 11-2460]</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تهران؛ مجلس؛ شماره نسخه: 9340</w:t>
      </w:r>
    </w:p>
    <w:p>
      <w:pPr>
        <w:pStyle w:val="BookText"/>
      </w:pPr>
      <w:r>
        <w:rPr>
          <w:rFonts w:ascii="IRNazanin" w:hAnsi="IRNazanin" w:eastAsia="IRNazanin" w:cs="IRNazanin"/>
          <w:lang w:bidi="fa-IR"/>
          <w:color w:val="111111"/>
          <w:sz w:val="28"/>
          <w:szCs w:val="28"/>
          <w:rtl/>
        </w:rPr>
        <w:t xml:space="preserve">آغاز: توهن فيه الضرحية بعد ما مضت فيه اذنا بلقعی و عامل و انشدنی بعض؛ انجام: قال زهیر تهامون نجديون كيدا و نجعة لكل اناس من</w:t>
      </w:r>
    </w:p>
    <w:p>
      <w:pPr>
        <w:pStyle w:val="BookText"/>
      </w:pPr>
      <w:r>
        <w:rPr>
          <w:rFonts w:ascii="IRNazanin" w:hAnsi="IRNazanin" w:eastAsia="IRNazanin" w:cs="IRNazanin"/>
          <w:lang w:bidi="fa-IR"/>
          <w:color w:val="111111"/>
          <w:sz w:val="28"/>
          <w:szCs w:val="28"/>
          <w:rtl/>
        </w:rPr>
        <w:t xml:space="preserve">خط: نسخ ،معرب، بی کا، تا: قرن 10؛ رکابه دار؛ جلد: تیماج مشکی، 126گ، 21 سطر، اندازه: 18</w:t>
      </w:r>
      <w:r>
        <w:rPr>
          <w:rFonts w:ascii="Times New Roman" w:hAnsi="Times New Roman" w:eastAsia="Times New Roman" w:cs="Times New Roman"/>
          <w:lang w:val="en-US" w:bidi="en-US"/>
          <w:color w:val="111111"/>
          <w:sz w:val="28"/>
          <w:szCs w:val="28"/>
          <w:rtl/>
        </w:rPr>
        <w:t xml:space="preserve">×26</w:t>
      </w:r>
      <w:r>
        <w:rPr>
          <w:rFonts w:ascii="IRNazanin" w:hAnsi="IRNazanin" w:eastAsia="IRNazanin" w:cs="IRNazanin"/>
          <w:lang w:bidi="fa-IR"/>
          <w:color w:val="111111"/>
          <w:sz w:val="28"/>
          <w:szCs w:val="28"/>
          <w:rtl/>
        </w:rPr>
        <w:t xml:space="preserve">سم [ف: 30 – 80]</w:t>
      </w:r>
    </w:p>
    <w:p>
      <w:pPr>
        <w:pStyle w:val="BookText"/>
      </w:pPr>
      <w:r>
        <w:rPr>
          <w:rFonts w:ascii="IRNazanin" w:hAnsi="IRNazanin" w:eastAsia="IRNazanin" w:cs="IRNazanin"/>
          <w:lang w:bidi="fa-IR"/>
          <w:color w:val="111111"/>
          <w:sz w:val="28"/>
          <w:szCs w:val="28"/>
          <w:rtl/>
        </w:rPr>
        <w:t xml:space="preserve">9 .تهران؛ مجلس؛ شماره نسخه: 7066</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10؛ مجدل مذهب، با سرلوح مزدوج مرصع مذهب؛ جلد: تیماج سرخ سوخت ترنج با سر با نقش گل و بوته مذهب لولادار پشت جلد ،اسلیمی 44گ، 15 سطر، اندازه: 12/5</w:t>
      </w:r>
      <w:r>
        <w:rPr>
          <w:rFonts w:ascii="Times New Roman" w:hAnsi="Times New Roman" w:eastAsia="Times New Roman" w:cs="Times New Roman"/>
          <w:lang w:val="en-US" w:bidi="en-US"/>
          <w:color w:val="111111"/>
          <w:sz w:val="28"/>
          <w:szCs w:val="28"/>
          <w:rtl/>
        </w:rPr>
        <w:t xml:space="preserve">×22/5</w:t>
      </w:r>
      <w:r>
        <w:rPr>
          <w:rFonts w:ascii="IRNazanin" w:hAnsi="IRNazanin" w:eastAsia="IRNazanin" w:cs="IRNazanin"/>
          <w:lang w:bidi="fa-IR"/>
          <w:color w:val="111111"/>
          <w:sz w:val="28"/>
          <w:szCs w:val="28"/>
          <w:rtl/>
        </w:rPr>
        <w:t xml:space="preserve">سم [ف: 25 - 77]</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تهران؛ ملک؛ شماره نسخه: 799/2</w:t>
      </w:r>
    </w:p>
    <w:p>
      <w:pPr>
        <w:pStyle w:val="BookText"/>
      </w:pPr>
      <w:r>
        <w:rPr>
          <w:rFonts w:ascii="IRNazanin" w:hAnsi="IRNazanin" w:eastAsia="IRNazanin" w:cs="IRNazanin"/>
          <w:lang w:bidi="fa-IR"/>
          <w:color w:val="111111"/>
          <w:sz w:val="28"/>
          <w:szCs w:val="28"/>
          <w:rtl/>
        </w:rPr>
        <w:t xml:space="preserve">خط: نستعلیق، بی کا،تا: قرن 10؛ 17گ (8ر-25 ر) [ف: 5 - 178]</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تهران؛ ملی؛ شماره نسخه: 765</w:t>
      </w:r>
    </w:p>
    <w:p>
      <w:pPr>
        <w:pStyle w:val="BookText"/>
      </w:pPr>
      <w:r>
        <w:rPr>
          <w:rFonts w:ascii="Amiri" w:hAnsi="Amiri" w:eastAsia="Amiri" w:cs="Amiri"/>
          <w:lang w:bidi="ar-SA"/>
          <w:color w:val="111111"/>
          <w:sz w:val="28"/>
          <w:szCs w:val="28"/>
          <w:rtl/>
        </w:rPr>
        <w:t xml:space="preserve">آغاز: برابر؛ انجام: الحرق و الغرق وقيل السيل... و الله اعلم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96" w:name="pg20365_260128"/>
    <w:bookmarkEnd w:id="96"/>
    <w:p>
      <w:pPr>
        <w:pStyle w:val="BookText"/>
      </w:pPr>
      <w:r>
        <w:rPr>
          <w:rFonts w:ascii="IRNazanin" w:hAnsi="IRNazanin" w:eastAsia="IRNazanin" w:cs="IRNazanin"/>
          <w:lang w:bidi="fa-IR"/>
          <w:color w:val="111111"/>
          <w:sz w:val="28"/>
          <w:szCs w:val="28"/>
          <w:rtl/>
        </w:rPr>
        <w:t xml:space="preserve">بالصواب</w:t>
      </w:r>
    </w:p>
    <w:p>
      <w:pPr>
        <w:pStyle w:val="BookText"/>
      </w:pPr>
      <w:r>
        <w:rPr>
          <w:rFonts w:ascii="IRNazanin" w:hAnsi="IRNazanin" w:eastAsia="IRNazanin" w:cs="IRNazanin"/>
          <w:lang w:bidi="fa-IR"/>
          <w:color w:val="111111"/>
          <w:sz w:val="28"/>
          <w:szCs w:val="28"/>
          <w:rtl/>
        </w:rPr>
        <w:t xml:space="preserve">خط: نسخ، کا: نورالدین بن ابراهیم مصری، تا: 983ق ؛ جا: قسطنطنیه ؛کاغذ:بخارایی ،جلد: تیماج سرخ  بغدادی، اندرون، تیماج  سبز، مقوایی، 607گ 25 سطر ،(9</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اندازه: 16</w:t>
      </w:r>
      <w:r>
        <w:rPr>
          <w:rFonts w:ascii="Times New Roman" w:hAnsi="Times New Roman" w:eastAsia="Times New Roman" w:cs="Times New Roman"/>
          <w:lang w:val="en-US" w:bidi="en-US"/>
          <w:color w:val="111111"/>
          <w:sz w:val="28"/>
          <w:szCs w:val="28"/>
          <w:rtl/>
        </w:rPr>
        <w:t xml:space="preserve">× 26/5</w:t>
      </w:r>
      <w:r>
        <w:rPr>
          <w:rFonts w:ascii="IRNazanin" w:hAnsi="IRNazanin" w:eastAsia="IRNazanin" w:cs="IRNazanin"/>
          <w:lang w:bidi="fa-IR"/>
          <w:color w:val="111111"/>
          <w:sz w:val="28"/>
          <w:szCs w:val="28"/>
          <w:rtl/>
        </w:rPr>
        <w:t xml:space="preserve">سم [ف: 8 - 263]</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مشهد؛ رضوی؛ شماره نسخه: 3705</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11 ،مجدول، باسرلوح؛ واقف: ميرزا رضاخان  نایینی، مرداد 1311 ؛کاغذ: سرکه ای ،جلد: تیماج مشکی، 335گ 27 سطر، اندازه: 19/9</w:t>
      </w:r>
      <w:r>
        <w:rPr>
          <w:rFonts w:ascii="Times New Roman" w:hAnsi="Times New Roman" w:eastAsia="Times New Roman" w:cs="Times New Roman"/>
          <w:lang w:val="en-US" w:bidi="en-US"/>
          <w:color w:val="111111"/>
          <w:sz w:val="28"/>
          <w:szCs w:val="28"/>
          <w:rtl/>
        </w:rPr>
        <w:t xml:space="preserve">×31/7</w:t>
      </w:r>
      <w:r>
        <w:rPr>
          <w:rFonts w:ascii="IRNazanin" w:hAnsi="IRNazanin" w:eastAsia="IRNazanin" w:cs="IRNazanin"/>
          <w:lang w:bidi="fa-IR"/>
          <w:color w:val="111111"/>
          <w:sz w:val="28"/>
          <w:szCs w:val="28"/>
          <w:rtl/>
        </w:rPr>
        <w:t xml:space="preserve">سم [ف: 13 - 9]</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تهران؛ مروی؛ شماره نسخه: 344</w:t>
      </w:r>
    </w:p>
    <w:p>
      <w:pPr>
        <w:pStyle w:val="BookText"/>
      </w:pPr>
      <w:r>
        <w:rPr>
          <w:rFonts w:ascii="IRNazanin" w:hAnsi="IRNazanin" w:eastAsia="IRNazanin" w:cs="IRNazanin"/>
          <w:lang w:bidi="fa-IR"/>
          <w:color w:val="111111"/>
          <w:sz w:val="28"/>
          <w:szCs w:val="28"/>
          <w:rtl/>
        </w:rPr>
        <w:t xml:space="preserve">بی کا، تا: 1002ق قطع: وزیری [ف: 65]</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قم؛ مرکز احیاء؛ شماره نسخه: 4286</w:t>
      </w:r>
    </w:p>
    <w:p>
      <w:pPr>
        <w:pStyle w:val="BookText"/>
      </w:pPr>
      <w:r>
        <w:rPr>
          <w:rFonts w:ascii="IRNazanin" w:hAnsi="IRNazanin" w:eastAsia="IRNazanin" w:cs="IRNazanin"/>
          <w:lang w:bidi="fa-IR"/>
          <w:color w:val="111111"/>
          <w:sz w:val="28"/>
          <w:szCs w:val="28"/>
          <w:rtl/>
        </w:rPr>
        <w:t xml:space="preserve">آغاز: و امعز معزك أى اعزلها و اضأت ضأنى و معزت معزی  و سقاء ضيئنى ضخم من جلد ضأن؛ انجام: برابر</w:t>
      </w:r>
    </w:p>
    <w:p>
      <w:pPr>
        <w:pStyle w:val="BookText"/>
      </w:pPr>
      <w:r>
        <w:rPr>
          <w:rFonts w:ascii="IRNazanin" w:hAnsi="IRNazanin" w:eastAsia="IRNazanin" w:cs="IRNazanin"/>
          <w:lang w:bidi="fa-IR"/>
          <w:color w:val="111111"/>
          <w:sz w:val="28"/>
          <w:szCs w:val="28"/>
          <w:rtl/>
        </w:rPr>
        <w:t xml:space="preserve">خط: نسخ، کا: فضل الله بن محمد، تا: 2 ربیع الاول 1029 ؛افتادگی: آغاز ،مصحح ،محشی؛تملک: آقا میرزا ،جلد: تیماج مشکی بدون مقوا، 148گ، 25 سطر، اندازه: 18</w:t>
      </w:r>
      <w:r>
        <w:rPr>
          <w:rFonts w:ascii="Times New Roman" w:hAnsi="Times New Roman" w:eastAsia="Times New Roman" w:cs="Times New Roman"/>
          <w:lang w:val="en-US" w:bidi="en-US"/>
          <w:color w:val="111111"/>
          <w:sz w:val="28"/>
          <w:szCs w:val="28"/>
          <w:rtl/>
        </w:rPr>
        <w:t xml:space="preserve">×24/5</w:t>
      </w:r>
      <w:r>
        <w:rPr>
          <w:rFonts w:ascii="IRNazanin" w:hAnsi="IRNazanin" w:eastAsia="IRNazanin" w:cs="IRNazanin"/>
          <w:lang w:bidi="fa-IR"/>
          <w:color w:val="111111"/>
          <w:sz w:val="28"/>
          <w:szCs w:val="28"/>
          <w:rtl/>
        </w:rPr>
        <w:t xml:space="preserve">سم [محدث ارموی مخ: 1 - 120]</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تبریز؛ قاضی طباطبائی؛ شماره نسخه:بدون شماره</w:t>
      </w:r>
    </w:p>
    <w:p>
      <w:pPr>
        <w:pStyle w:val="BookText"/>
      </w:pPr>
      <w:r>
        <w:rPr>
          <w:rFonts w:ascii="IRNazanin" w:hAnsi="IRNazanin" w:eastAsia="IRNazanin" w:cs="IRNazanin"/>
          <w:lang w:bidi="fa-IR"/>
          <w:color w:val="111111"/>
          <w:sz w:val="28"/>
          <w:szCs w:val="28"/>
          <w:rtl/>
        </w:rPr>
        <w:t xml:space="preserve">جلد دوم؛ از حرف ص تا پایان کتاب؛ خط: نسخ زیبا معرب، کا: علی بن محمد بن مسیب  نجفی ،تا: جمادی الثانی 1079ق، تبریز [نشریه: 7 - 511]</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تهران؛ سپهسالار؛ شماره نسخه: 3320</w:t>
      </w:r>
    </w:p>
    <w:p>
      <w:pPr>
        <w:pStyle w:val="BookText"/>
      </w:pPr>
      <w:r>
        <w:rPr>
          <w:rFonts w:ascii="IRNazanin" w:hAnsi="IRNazanin" w:eastAsia="IRNazanin" w:cs="IRNazanin"/>
          <w:lang w:bidi="fa-IR"/>
          <w:color w:val="111111"/>
          <w:sz w:val="28"/>
          <w:szCs w:val="28"/>
          <w:rtl/>
        </w:rPr>
        <w:t xml:space="preserve">خط: نسخ، بی کا، تا: قرن 12؛ تملک: اعتضاد السلطنه در 1291ق؛ واقف: سپهسالار 1297ق؛ کاغذ: فرنگی ،سفید، جلد: تیماج سرخ مقوایی ضربی، 408گ 23 سطر، اندازه: 22</w:t>
      </w:r>
      <w:r>
        <w:rPr>
          <w:rFonts w:ascii="Times New Roman" w:hAnsi="Times New Roman" w:eastAsia="Times New Roman" w:cs="Times New Roman"/>
          <w:lang w:val="en-US" w:bidi="en-US"/>
          <w:color w:val="111111"/>
          <w:sz w:val="28"/>
          <w:szCs w:val="28"/>
          <w:rtl/>
        </w:rPr>
        <w:t xml:space="preserve">×32</w:t>
      </w:r>
      <w:r>
        <w:rPr>
          <w:rFonts w:ascii="IRNazanin" w:hAnsi="IRNazanin" w:eastAsia="IRNazanin" w:cs="IRNazanin"/>
          <w:lang w:bidi="fa-IR"/>
          <w:color w:val="111111"/>
          <w:sz w:val="28"/>
          <w:szCs w:val="28"/>
          <w:rtl/>
        </w:rPr>
        <w:t xml:space="preserve">سم [ف: 3 - 115 ]</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تهران؛ ملک؛ شماره نسخه: 340</w:t>
      </w:r>
    </w:p>
    <w:p>
      <w:pPr>
        <w:pStyle w:val="BookText"/>
      </w:pPr>
      <w:r>
        <w:rPr>
          <w:rFonts w:ascii="IRNazanin" w:hAnsi="IRNazanin" w:eastAsia="IRNazanin" w:cs="IRNazanin"/>
          <w:lang w:bidi="fa-IR"/>
          <w:color w:val="111111"/>
          <w:sz w:val="28"/>
          <w:szCs w:val="28"/>
          <w:rtl/>
        </w:rPr>
        <w:t xml:space="preserve">خط: نسخ، کا: طالب بن ابراهيم نظام آبادی، تا: پنج شنبه 27جمادى الاول 1101ق؛ :کاغذ ،ترمه ،جلد: میشن قهوه ای ضربی مغزی دار، 227گ، 27  سطر، اندازه: 25/7</w:t>
      </w:r>
      <w:r>
        <w:rPr>
          <w:rFonts w:ascii="Times New Roman" w:hAnsi="Times New Roman" w:eastAsia="Times New Roman" w:cs="Times New Roman"/>
          <w:lang w:val="en-US" w:bidi="en-US"/>
          <w:color w:val="111111"/>
          <w:sz w:val="28"/>
          <w:szCs w:val="28"/>
          <w:rtl/>
        </w:rPr>
        <w:t xml:space="preserve">×37/6</w:t>
      </w:r>
      <w:r>
        <w:rPr>
          <w:rFonts w:ascii="IRNazanin" w:hAnsi="IRNazanin" w:eastAsia="IRNazanin" w:cs="IRNazanin"/>
          <w:lang w:bidi="fa-IR"/>
          <w:color w:val="111111"/>
          <w:sz w:val="28"/>
          <w:szCs w:val="28"/>
          <w:rtl/>
        </w:rPr>
        <w:t xml:space="preserve">سم [ ف : 12 - 27 ]</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تهران؛ ثامنی (آقای)؛ شماره نسخه 1</w:t>
      </w:r>
    </w:p>
    <w:p>
      <w:pPr>
        <w:pStyle w:val="BookText"/>
      </w:pPr>
      <w:r>
        <w:rPr>
          <w:rFonts w:ascii="IRNazanin" w:hAnsi="IRNazanin" w:eastAsia="IRNazanin" w:cs="IRNazanin"/>
          <w:lang w:bidi="fa-IR"/>
          <w:color w:val="111111"/>
          <w:sz w:val="28"/>
          <w:szCs w:val="28"/>
          <w:rtl/>
        </w:rPr>
        <w:t xml:space="preserve">بی کا، تا: 1180ق[نشریه: 5 - 111]</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تهران؛ سلطنتی؛ شماره نسخه: 1340</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خفی، کا: یحیی ابن فخرالدین  الدسطی، بی تا؛ مجدول؛ به سالهای 1282 و 1322 به ترتیب از عرض کتابخانه مبارکه گذشته است؛ مهر: ناصرالدین شاه قاجار تملک سید محمد شمس الدين المدرس در 1183 ؛کاغذ ،بغدادی ،جلد: مقوای روکش چرم قهوه ای سوخته وسط سه گل ترنج و چهار لچکی ضربی طلایی گل برجسته ،765ص 20-27 سطر، قطع: وزیری، اندازه: 17/5</w:t>
      </w:r>
      <w:r>
        <w:rPr>
          <w:rFonts w:ascii="Times New Roman" w:hAnsi="Times New Roman" w:eastAsia="Times New Roman" w:cs="Times New Roman"/>
          <w:lang w:val="en-US" w:bidi="en-US"/>
          <w:color w:val="111111"/>
          <w:sz w:val="28"/>
          <w:szCs w:val="28"/>
          <w:rtl/>
        </w:rPr>
        <w:t xml:space="preserve">×26</w:t>
      </w:r>
      <w:r>
        <w:rPr>
          <w:rFonts w:ascii="IRNazanin" w:hAnsi="IRNazanin" w:eastAsia="IRNazanin" w:cs="IRNazanin"/>
          <w:lang w:bidi="fa-IR"/>
          <w:color w:val="111111"/>
          <w:sz w:val="28"/>
          <w:szCs w:val="28"/>
          <w:rtl/>
        </w:rPr>
        <w:t xml:space="preserve">سم [ف: 7 - 35]</w:t>
      </w:r>
    </w:p>
    <w:p>
      <w:pPr>
        <w:pStyle w:val="BookText"/>
      </w:pPr>
      <w:r>
        <w:rPr>
          <w:rFonts w:ascii="IRNazanin" w:hAnsi="IRNazanin" w:eastAsia="IRNazanin" w:cs="IRNazanin"/>
          <w:lang w:bidi="fa-IR"/>
          <w:color w:val="111111"/>
          <w:sz w:val="28"/>
          <w:szCs w:val="28"/>
          <w:rtl/>
        </w:rPr>
        <w:t xml:space="preserve">20 . مشهد؛ رضوی؛ شماره نسخه: 8852</w:t>
      </w:r>
    </w:p>
    <w:p>
      <w:pPr>
        <w:pStyle w:val="BookText"/>
      </w:pPr>
      <w:r>
        <w:rPr>
          <w:rFonts w:ascii="Amiri" w:hAnsi="Amiri" w:eastAsia="Amiri" w:cs="Amiri"/>
          <w:lang w:bidi="ar-SA"/>
          <w:color w:val="111111"/>
          <w:sz w:val="28"/>
          <w:szCs w:val="28"/>
          <w:rtl/>
        </w:rPr>
        <w:t xml:space="preserve">آغاز: برابر؛ انجام : و قيل السيل و الفحل الهايج</w:t>
      </w:r>
    </w:p>
    <w:p>
      <w:pPr>
        <w:pStyle w:val="BookText"/>
      </w:pPr>
      <w:r>
        <w:rPr>
          <w:rFonts w:ascii="IRNazanin" w:hAnsi="IRNazanin" w:eastAsia="IRNazanin" w:cs="IRNazanin"/>
          <w:lang w:bidi="fa-IR"/>
          <w:color w:val="111111"/>
          <w:sz w:val="28"/>
          <w:szCs w:val="28"/>
          <w:rtl/>
        </w:rPr>
        <w:t xml:space="preserve">خط : نسخ، کا :ابوالقاسم بن محمد حسین قزوینی، تا: دوشنبه 2 جمادی الاول 1236ق ،جا :قزوین، برای محمد نظرخان مافی؛ واقف: حاج قطب المحدثين، بهمن 1338؛ کاغذ: نوعی ترمه، ،جلد: چرمی ،ضربی 303گ 28 سطر (8/13</w:t>
      </w:r>
      <w:r>
        <w:rPr>
          <w:rFonts w:ascii="Times New Roman" w:hAnsi="Times New Roman" w:eastAsia="Times New Roman" w:cs="Times New Roman"/>
          <w:lang w:val="en-US" w:bidi="en-US"/>
          <w:color w:val="111111"/>
          <w:sz w:val="28"/>
          <w:szCs w:val="28"/>
          <w:rtl/>
        </w:rPr>
        <w:t xml:space="preserve">×22/4)</w:t>
      </w:r>
      <w:r>
        <w:rPr>
          <w:rFonts w:ascii="IRNazanin" w:hAnsi="IRNazanin" w:eastAsia="IRNazanin" w:cs="IRNazanin"/>
          <w:lang w:bidi="fa-IR"/>
          <w:color w:val="111111"/>
          <w:sz w:val="28"/>
          <w:szCs w:val="28"/>
          <w:rtl/>
        </w:rPr>
        <w:t xml:space="preserve">، اندازه: 12</w:t>
      </w:r>
      <w:r>
        <w:rPr>
          <w:rFonts w:ascii="Times New Roman" w:hAnsi="Times New Roman" w:eastAsia="Times New Roman" w:cs="Times New Roman"/>
          <w:lang w:val="en-US" w:bidi="en-US"/>
          <w:color w:val="111111"/>
          <w:sz w:val="28"/>
          <w:szCs w:val="28"/>
          <w:rtl/>
        </w:rPr>
        <w:t xml:space="preserve">×30/2</w:t>
      </w:r>
      <w:r>
        <w:rPr>
          <w:rFonts w:ascii="IRNazanin" w:hAnsi="IRNazanin" w:eastAsia="IRNazanin" w:cs="IRNazanin"/>
          <w:lang w:bidi="fa-IR"/>
          <w:color w:val="111111"/>
          <w:sz w:val="28"/>
          <w:szCs w:val="28"/>
          <w:rtl/>
        </w:rPr>
        <w:t xml:space="preserve">سم [ف: 13 - 9]</w:t>
      </w:r>
    </w:p>
    <w:p>
      <w:pPr>
        <w:pStyle w:val="BookText"/>
      </w:pPr>
      <w:r>
        <w:rPr>
          <w:rFonts w:ascii="IRNazanin" w:hAnsi="IRNazanin" w:eastAsia="IRNazanin" w:cs="IRNazanin"/>
          <w:lang w:bidi="fa-IR"/>
          <w:color w:val="111111"/>
          <w:sz w:val="28"/>
          <w:szCs w:val="28"/>
          <w:rtl/>
        </w:rPr>
        <w:t xml:space="preserve">21.تهران؛ سلطنتی؛ شماره نسخه: 1796</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خفی، بی کا، بی تا؛ مجدول، مذهب، یک سرلوح مذهب منقش کار بغداد در پیشانی صفحه اول طرح است، این نسخه در سالهای 1282-1322 هجری قمری به ترتیب از عرض کتابخانه مبارکه گذشته است؛ مهر: ناصرالدین شاه قاجار؛ کاغذ: بغدادی، جلد: مقوای روکش چرم قهوه ای وسط ترنج و چهار لچکی ضربی طلایی زمینه زرشکی رنگ یک حاشیه مارپیچی طلایی، 1044ص، 29 سطر، قطع: وزیری، اندازه: 13/7</w:t>
      </w:r>
      <w:r>
        <w:rPr>
          <w:rFonts w:ascii="Times New Roman" w:hAnsi="Times New Roman" w:eastAsia="Times New Roman" w:cs="Times New Roman"/>
          <w:lang w:val="en-US" w:bidi="en-US"/>
          <w:color w:val="111111"/>
          <w:sz w:val="28"/>
          <w:szCs w:val="28"/>
          <w:rtl/>
        </w:rPr>
        <w:t xml:space="preserve">×24</w:t>
      </w:r>
      <w:r>
        <w:rPr>
          <w:rFonts w:ascii="IRNazanin" w:hAnsi="IRNazanin" w:eastAsia="IRNazanin" w:cs="IRNazanin"/>
          <w:lang w:bidi="fa-IR"/>
          <w:color w:val="111111"/>
          <w:sz w:val="28"/>
          <w:szCs w:val="28"/>
          <w:rtl/>
        </w:rPr>
        <w:t xml:space="preserve">سم [ف: 7 - 32]</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تبریز؛ ملی؛ شماره نسخه: 2545</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يحيى بن فخرالدين الدسطی، بی تا؛ مجدول مذهب؛ جلد: چرمی  سوخته، 326گ، 35 سطر، اندازه: 18</w:t>
      </w:r>
      <w:r>
        <w:rPr>
          <w:rFonts w:ascii="Times New Roman" w:hAnsi="Times New Roman" w:eastAsia="Times New Roman" w:cs="Times New Roman"/>
          <w:lang w:val="en-US" w:bidi="en-US"/>
          <w:color w:val="111111"/>
          <w:sz w:val="28"/>
          <w:szCs w:val="28"/>
          <w:rtl/>
        </w:rPr>
        <w:t xml:space="preserve">×29</w:t>
      </w:r>
      <w:r>
        <w:rPr>
          <w:rFonts w:ascii="IRNazanin" w:hAnsi="IRNazanin" w:eastAsia="IRNazanin" w:cs="IRNazanin"/>
          <w:lang w:bidi="fa-IR"/>
          <w:color w:val="111111"/>
          <w:sz w:val="28"/>
          <w:szCs w:val="28"/>
          <w:rtl/>
        </w:rPr>
        <w:t xml:space="preserve">سم [ف: 1 - 52]</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تهران؛ دانشگاه؛ شماره نسخه: 8795</w:t>
      </w:r>
    </w:p>
    <w:p>
      <w:pPr>
        <w:pStyle w:val="BookText"/>
      </w:pPr>
      <w:r>
        <w:rPr>
          <w:rFonts w:ascii="IRNazanin" w:hAnsi="IRNazanin" w:eastAsia="IRNazanin" w:cs="IRNazanin"/>
          <w:lang w:bidi="fa-IR"/>
          <w:color w:val="111111"/>
          <w:sz w:val="28"/>
          <w:szCs w:val="28"/>
          <w:rtl/>
        </w:rPr>
        <w:t xml:space="preserve">خط: نسخ، بی کا، بی تا؛ گویا از محمود بن حاجی سمیع اهری در 1282 که نامش در پایان دیده می شود؛ کاغذ: فرنگی، جلد: تیماج تریاکی ضربی مقوایی، 336گ، 25 سطر (13/5</w:t>
      </w:r>
      <w:r>
        <w:rPr>
          <w:rFonts w:ascii="Times New Roman" w:hAnsi="Times New Roman" w:eastAsia="Times New Roman" w:cs="Times New Roman"/>
          <w:lang w:val="en-US" w:bidi="en-US"/>
          <w:color w:val="111111"/>
          <w:sz w:val="28"/>
          <w:szCs w:val="28"/>
          <w:rtl/>
        </w:rPr>
        <w:t xml:space="preserve">×25)</w:t>
      </w:r>
      <w:r>
        <w:rPr>
          <w:rFonts w:ascii="IRNazanin" w:hAnsi="IRNazanin" w:eastAsia="IRNazanin" w:cs="IRNazanin"/>
          <w:lang w:bidi="fa-IR"/>
          <w:color w:val="111111"/>
          <w:sz w:val="28"/>
          <w:szCs w:val="28"/>
          <w:rtl/>
        </w:rPr>
        <w:t xml:space="preserve">، قطع: رحلی، اندازه: 22</w:t>
      </w:r>
      <w:r>
        <w:rPr>
          <w:rFonts w:ascii="Times New Roman" w:hAnsi="Times New Roman" w:eastAsia="Times New Roman" w:cs="Times New Roman"/>
          <w:lang w:val="en-US" w:bidi="en-US"/>
          <w:color w:val="111111"/>
          <w:sz w:val="28"/>
          <w:szCs w:val="28"/>
          <w:rtl/>
        </w:rPr>
        <w:t xml:space="preserve">×36</w:t>
      </w:r>
      <w:r>
        <w:rPr>
          <w:rFonts w:ascii="IRNazanin" w:hAnsi="IRNazanin" w:eastAsia="IRNazanin" w:cs="IRNazanin"/>
          <w:lang w:bidi="fa-IR"/>
          <w:color w:val="111111"/>
          <w:sz w:val="28"/>
          <w:szCs w:val="28"/>
          <w:rtl/>
        </w:rPr>
        <w:t xml:space="preserve">سم [ف: 17 - 222]</w:t>
      </w:r>
    </w:p>
    <w:p>
      <w:pPr>
        <w:pStyle w:val="Heading3"/>
      </w:pPr>
      <w:bookmarkStart w:id="768" w:name="_Toc290"/>
      <w:r>
        <w:t>اساس التأويل / کلام و اعتقادات / عربی</w:t>
      </w:r>
      <w:bookmarkEnd w:id="768"/>
    </w:p>
    <w:p>
      <w:pPr>
        <w:pStyle w:val="BookText"/>
      </w:pPr>
      <w:r>
        <w:rPr>
          <w:rFonts w:ascii="Times New Roman" w:hAnsi="Times New Roman" w:eastAsia="Times New Roman" w:cs="Times New Roman"/>
          <w:lang w:val="en-US" w:bidi="en-US"/>
          <w:color w:val="111111"/>
          <w:sz w:val="28"/>
          <w:szCs w:val="28"/>
          <w:rtl/>
        </w:rPr>
        <w:t xml:space="preserve">asās-ut-ta’wīl</w:t>
      </w:r>
    </w:p>
    <w:p>
      <w:pPr>
        <w:pStyle w:val="BookText"/>
      </w:pPr>
      <w:r>
        <w:rPr>
          <w:rFonts w:ascii="IRNazanin" w:hAnsi="IRNazanin" w:eastAsia="IRNazanin" w:cs="IRNazanin"/>
          <w:lang w:bidi="fa-IR"/>
          <w:color w:val="111111"/>
          <w:sz w:val="28"/>
          <w:szCs w:val="28"/>
          <w:rtl/>
        </w:rPr>
        <w:t xml:space="preserve">ابن حیون نعمان بن محمد - 363 قمری</w:t>
      </w:r>
    </w:p>
    <w:p>
      <w:pPr>
        <w:pStyle w:val="BookText"/>
      </w:pPr>
      <w:r>
        <w:rPr>
          <w:rFonts w:ascii="Times New Roman" w:hAnsi="Times New Roman" w:eastAsia="Times New Roman" w:cs="Times New Roman"/>
          <w:lang w:val="en-US" w:bidi="en-US"/>
          <w:color w:val="111111"/>
          <w:sz w:val="28"/>
          <w:szCs w:val="28"/>
          <w:rtl/>
        </w:rPr>
        <w:t xml:space="preserve">(ebn-e hayyun, no man ebn-e mohammad (-974)</w:t>
      </w:r>
    </w:p>
    <w:p>
      <w:pPr>
        <w:pStyle w:val="BookText"/>
      </w:pPr>
      <w:r>
        <w:rPr>
          <w:rFonts w:ascii="IRNazanin" w:hAnsi="IRNazanin" w:eastAsia="IRNazanin" w:cs="IRNazanin"/>
          <w:lang w:bidi="fa-IR"/>
          <w:color w:val="111111"/>
          <w:sz w:val="28"/>
          <w:szCs w:val="28"/>
          <w:rtl/>
        </w:rPr>
        <w:t xml:space="preserve">مؤلف در کتاب «دعائم الاسلام» خود روایت وارده در تکالیف ظاهری دین را از برای مکلفین گرد آورده و دستورات دینی را که در ظاهر شرع وارد شده بیان کرده بود، پس از منتشر شدن آن  کتاب، بر آن شد که باطن دین را (طبق مذهب اسماعيليه و باطنیه) با رمز و اشاره بیان کند و ملخص تأویل روایت های دعائم الاسلام را با همان ترتیب گزارش دهد.</w:t>
      </w:r>
    </w:p>
    <w:p>
      <w:pPr>
        <w:pStyle w:val="BookText"/>
      </w:pPr>
      <w:r>
        <w:rPr>
          <w:rFonts w:ascii="Amiri" w:hAnsi="Amiri" w:eastAsia="Amiri" w:cs="Amiri"/>
          <w:lang w:bidi="ar-SA"/>
          <w:color w:val="111111"/>
          <w:sz w:val="28"/>
          <w:szCs w:val="28"/>
          <w:rtl/>
        </w:rPr>
        <w:t xml:space="preserve">آغاز: الحمد لله مفيد النعمة وصلى الله على محمد نبي الرحمة و على وصيه على بن ابى طالب ولى الامة</w:t>
      </w:r>
    </w:p>
    <w:p>
      <w:pPr>
        <w:pStyle w:val="BookText"/>
      </w:pPr>
      <w:r>
        <w:rPr>
          <w:rFonts w:ascii="Amiri" w:hAnsi="Amiri" w:eastAsia="Amiri" w:cs="Amiri"/>
          <w:lang w:bidi="ar-SA"/>
          <w:color w:val="111111"/>
          <w:sz w:val="28"/>
          <w:szCs w:val="28"/>
          <w:rtl/>
        </w:rPr>
        <w:t xml:space="preserve">انجام: و انهزم الباقون بعد قتل طلحة والزبير و دخلت عائشة الى البصرة و ان على بن ابى طالب دعا همدان فأجابه منهم مائة رجل عليهم الدروع</w:t>
      </w:r>
    </w:p>
    <w:p>
      <w:pPr>
        <w:pStyle w:val="BookText"/>
      </w:pPr>
      <w:r>
        <w:rPr>
          <w:rFonts w:ascii="IRNazanin" w:hAnsi="IRNazanin" w:eastAsia="IRNazanin" w:cs="IRNazanin"/>
          <w:lang w:bidi="fa-IR"/>
          <w:color w:val="111111"/>
          <w:sz w:val="28"/>
          <w:szCs w:val="28"/>
          <w:rtl/>
        </w:rPr>
        <w:t xml:space="preserve">چاپ: بیروت، دار الثقافة، 1960م، نشره عارف تامر، 416ص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97" w:name="pg20365_260129"/>
    <w:bookmarkEnd w:id="97"/>
    <w:p>
      <w:pPr>
        <w:pStyle w:val="BookText"/>
      </w:pPr>
      <w:r>
        <w:rPr>
          <w:rFonts w:ascii="IRNazanin" w:hAnsi="IRNazanin" w:eastAsia="IRNazanin" w:cs="IRNazanin"/>
          <w:lang w:bidi="fa-IR"/>
          <w:color w:val="111111"/>
          <w:sz w:val="28"/>
          <w:szCs w:val="28"/>
          <w:rtl/>
        </w:rPr>
        <w:t xml:space="preserve">قم ؛مرعشی؛ شماره نسخه: 5239</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 نسخ، بی کا، تا: اوایل قرن 14؛ جلد: مقوایی عطف تیماج قهوه ای 205گ، 15 سطر، اندازه: 13/5</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سم [ف: 14 - 35]</w:t>
      </w:r>
    </w:p>
    <w:p>
      <w:pPr>
        <w:pStyle w:val="Heading3"/>
      </w:pPr>
      <w:bookmarkStart w:id="769" w:name="_Toc291"/>
      <w:r>
        <w:t>اساس التوحيد / فلسفه / فارسی</w:t>
      </w:r>
      <w:bookmarkEnd w:id="769"/>
    </w:p>
    <w:p>
      <w:pPr>
        <w:pStyle w:val="BookText"/>
      </w:pPr>
      <w:r>
        <w:rPr>
          <w:rFonts w:ascii="Times New Roman" w:hAnsi="Times New Roman" w:eastAsia="Times New Roman" w:cs="Times New Roman"/>
          <w:lang w:val="en-US" w:bidi="en-US"/>
          <w:color w:val="111111"/>
          <w:sz w:val="28"/>
          <w:szCs w:val="28"/>
          <w:rtl/>
        </w:rPr>
        <w:t xml:space="preserve">asās-ot-towhīd</w:t>
      </w:r>
    </w:p>
    <w:p>
      <w:pPr>
        <w:pStyle w:val="BookText"/>
      </w:pPr>
      <w:r>
        <w:rPr>
          <w:rFonts w:ascii="IRNazanin" w:hAnsi="IRNazanin" w:eastAsia="IRNazanin" w:cs="IRNazanin"/>
          <w:lang w:bidi="fa-IR"/>
          <w:color w:val="111111"/>
          <w:sz w:val="28"/>
          <w:szCs w:val="28"/>
          <w:rtl/>
        </w:rPr>
        <w:t xml:space="preserve">آشتیانی، مهدی بن جعفر، 1306 - - 1372 قمری</w:t>
      </w:r>
    </w:p>
    <w:p>
      <w:pPr>
        <w:pStyle w:val="BookText"/>
      </w:pPr>
      <w:r>
        <w:rPr>
          <w:rFonts w:ascii="Times New Roman" w:hAnsi="Times New Roman" w:eastAsia="Times New Roman" w:cs="Times New Roman"/>
          <w:lang w:val="en-US" w:bidi="en-US"/>
          <w:color w:val="111111"/>
          <w:sz w:val="28"/>
          <w:szCs w:val="28"/>
          <w:rtl/>
        </w:rPr>
        <w:t xml:space="preserve">(āštīyānī, mahdī ebn-e ja‘far (1889 - 1953)</w:t>
      </w:r>
    </w:p>
    <w:p>
      <w:pPr>
        <w:pStyle w:val="BookText"/>
      </w:pPr>
      <w:r>
        <w:rPr>
          <w:rFonts w:ascii="IRNazanin" w:hAnsi="IRNazanin" w:eastAsia="IRNazanin" w:cs="IRNazanin"/>
          <w:lang w:bidi="fa-IR"/>
          <w:color w:val="111111"/>
          <w:sz w:val="28"/>
          <w:szCs w:val="28"/>
          <w:rtl/>
        </w:rPr>
        <w:t xml:space="preserve">رساله ای در مبحث وحدت وجود</w:t>
      </w:r>
    </w:p>
    <w:p>
      <w:pPr>
        <w:pStyle w:val="BookText"/>
      </w:pPr>
      <w:r>
        <w:rPr>
          <w:rFonts w:ascii="IRNazanin" w:hAnsi="IRNazanin" w:eastAsia="IRNazanin" w:cs="IRNazanin"/>
          <w:lang w:bidi="fa-IR"/>
          <w:color w:val="111111"/>
          <w:sz w:val="28"/>
          <w:szCs w:val="28"/>
          <w:rtl/>
        </w:rPr>
        <w:t xml:space="preserve">چاپ ،تهران 1330ش</w:t>
      </w:r>
    </w:p>
    <w:p>
      <w:pPr>
        <w:pStyle w:val="BookText"/>
      </w:pPr>
      <w:r>
        <w:rPr>
          <w:rFonts w:ascii="IRNazanin" w:hAnsi="IRNazanin" w:eastAsia="IRNazanin" w:cs="IRNazanin"/>
          <w:lang w:bidi="fa-IR"/>
          <w:color w:val="111111"/>
          <w:sz w:val="28"/>
          <w:szCs w:val="28"/>
          <w:rtl/>
        </w:rPr>
        <w:t xml:space="preserve">1 . مشهد؛ الهیات؛ شماره نسخه: 19327</w:t>
      </w:r>
    </w:p>
    <w:p>
      <w:pPr>
        <w:pStyle w:val="BookText"/>
      </w:pPr>
      <w:r>
        <w:rPr>
          <w:rFonts w:ascii="IRNazanin" w:hAnsi="IRNazanin" w:eastAsia="IRNazanin" w:cs="IRNazanin"/>
          <w:lang w:bidi="fa-IR"/>
          <w:color w:val="111111"/>
          <w:sz w:val="28"/>
          <w:szCs w:val="28"/>
          <w:rtl/>
        </w:rPr>
        <w:t xml:space="preserve">بی کا ، بی تا؛ نسخه ماشین شده؛ 22 و 24 سطری که مؤلف آن تصحیح کرده است و برای چاپ آماده ساخته؛ جلد: مقوا عطف میشن مشکی، 376گ اندازه: 21/5</w:t>
      </w:r>
      <w:r>
        <w:rPr>
          <w:rFonts w:ascii="Times New Roman" w:hAnsi="Times New Roman" w:eastAsia="Times New Roman" w:cs="Times New Roman"/>
          <w:lang w:val="en-US" w:bidi="en-US"/>
          <w:color w:val="111111"/>
          <w:sz w:val="28"/>
          <w:szCs w:val="28"/>
          <w:rtl/>
        </w:rPr>
        <w:t xml:space="preserve">×32</w:t>
      </w:r>
      <w:r>
        <w:rPr>
          <w:rFonts w:ascii="IRNazanin" w:hAnsi="IRNazanin" w:eastAsia="IRNazanin" w:cs="IRNazanin"/>
          <w:lang w:bidi="fa-IR"/>
          <w:color w:val="111111"/>
          <w:sz w:val="28"/>
          <w:szCs w:val="28"/>
          <w:rtl/>
        </w:rPr>
        <w:t xml:space="preserve">سم [ف: 2 - 400]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مجلس؛ شماره نسخه: 18309</w:t>
      </w:r>
    </w:p>
    <w:p>
      <w:pPr>
        <w:pStyle w:val="BookText"/>
      </w:pPr>
      <w:r>
        <w:rPr>
          <w:rFonts w:ascii="IRNazanin" w:hAnsi="IRNazanin" w:eastAsia="IRNazanin" w:cs="IRNazanin"/>
          <w:lang w:bidi="fa-IR"/>
          <w:color w:val="111111"/>
          <w:sz w:val="28"/>
          <w:szCs w:val="28"/>
          <w:rtl/>
        </w:rPr>
        <w:t xml:space="preserve">کاتب - مؤلف، بی تا، با حواشی و تصحیحات به خط مؤلف [د.ث. مجلس]</w:t>
      </w:r>
    </w:p>
    <w:p>
      <w:pPr>
        <w:pStyle w:val="Heading3"/>
      </w:pPr>
      <w:bookmarkStart w:id="770" w:name="_Toc292"/>
      <w:r>
        <w:t>اساس الدین / کلام و اعتقادات / عربی</w:t>
      </w:r>
      <w:bookmarkEnd w:id="770"/>
    </w:p>
    <w:p>
      <w:pPr>
        <w:pStyle w:val="BookText"/>
      </w:pPr>
      <w:r>
        <w:rPr>
          <w:rFonts w:ascii="Times New Roman" w:hAnsi="Times New Roman" w:eastAsia="Times New Roman" w:cs="Times New Roman"/>
          <w:lang w:val="en-US" w:bidi="en-US"/>
          <w:color w:val="111111"/>
          <w:sz w:val="28"/>
          <w:szCs w:val="28"/>
          <w:rtl/>
        </w:rPr>
        <w:t xml:space="preserve">asās-ud-dīn</w:t>
      </w:r>
    </w:p>
    <w:p>
      <w:pPr>
        <w:pStyle w:val="BookText"/>
      </w:pPr>
      <w:r>
        <w:rPr>
          <w:rFonts w:ascii="IRNazanin" w:hAnsi="IRNazanin" w:eastAsia="IRNazanin" w:cs="IRNazanin"/>
          <w:lang w:bidi="fa-IR"/>
          <w:color w:val="111111"/>
          <w:sz w:val="28"/>
          <w:szCs w:val="28"/>
          <w:rtl/>
        </w:rPr>
        <w:t xml:space="preserve">اهداء به: میرزا محمد مقیم (خزانه دار حکومت آن زمان)</w:t>
      </w:r>
    </w:p>
    <w:p>
      <w:pPr>
        <w:pStyle w:val="BookText"/>
      </w:pPr>
      <w:r>
        <w:rPr>
          <w:rFonts w:ascii="IRNazanin" w:hAnsi="IRNazanin" w:eastAsia="IRNazanin" w:cs="IRNazanin"/>
          <w:lang w:bidi="fa-IR"/>
          <w:color w:val="111111"/>
          <w:sz w:val="28"/>
          <w:szCs w:val="28"/>
          <w:rtl/>
        </w:rPr>
        <w:t xml:space="preserve">رساله ای است در اصول دین بر اساس رویات وارده از پیامبر اسلام و ائمه اطهار مشتمل بر (مقدمه) و 5 «مقصد» و «خاتمه» نسخه حاضر متاسفانه فقط برگ نخست را دارد. در کشف الظنون ( 1: 74) تنها نام این کتاب آمده بدون مؤلف و در ایضاح المكنون (1: 67) به نام شیخ علی قسطمونی اطول مشهور به  قره باش خلوتی( - 1097 ق) و نسخه ای نیز به نام عبد الرحمان اخستی (؟) در «فهرست المنتخب من مقتنيات معهد المخطوطات  في باكو بآذربایجان» ص (21) از انتشارات مركز جمعة الماجد در دبی آمده؛ نسخه حاضر مشخص نیست کدامیک از آنها</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مرعشی؛ شماره نسخه: 12666/4</w:t>
      </w:r>
    </w:p>
    <w:p>
      <w:pPr>
        <w:pStyle w:val="BookText"/>
      </w:pPr>
      <w:r>
        <w:rPr>
          <w:rFonts w:ascii="IRNazanin" w:hAnsi="IRNazanin" w:eastAsia="IRNazanin" w:cs="IRNazanin"/>
          <w:lang w:bidi="fa-IR"/>
          <w:color w:val="111111"/>
          <w:sz w:val="28"/>
          <w:szCs w:val="28"/>
          <w:rtl/>
        </w:rPr>
        <w:t xml:space="preserve">آغاز: نحمدک یا من نضبت البحور في بحر هویتک و کلت الالسن عن غاية وصفك ... اما بعد فاعلموا ايها الاخوان؛ انجام: اعنى ميرزا محمد مقيم المشرف لخزانة العامرة نور الله تعالى قلبه  بانوار المعارف و افاض على نفسه القدسية آثار العوارف هذا مع تراکم...</w:t>
      </w:r>
    </w:p>
    <w:p>
      <w:pPr>
        <w:pStyle w:val="BookText"/>
      </w:pPr>
      <w:r>
        <w:rPr>
          <w:rFonts w:ascii="IRNazanin" w:hAnsi="IRNazanin" w:eastAsia="IRNazanin" w:cs="IRNazanin"/>
          <w:lang w:bidi="fa-IR"/>
          <w:color w:val="111111"/>
          <w:sz w:val="28"/>
          <w:szCs w:val="28"/>
          <w:rtl/>
        </w:rPr>
        <w:t xml:space="preserve">فقط برگ نخست را دارد؛ خط: نستعلیق، کا: محمد مؤمن بن علی نقی متخلص به مضیء، تا: اوایل قرن 12؛ افتادگی: انجام؛ مصحح؛ کاغذ: شرقی، 1گ (160)، 23 سطر مورب، اندازه: 10</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 [ف: 32 - 178]</w:t>
      </w:r>
    </w:p>
    <w:p>
      <w:pPr>
        <w:pStyle w:val="Heading3"/>
      </w:pPr>
      <w:bookmarkStart w:id="771" w:name="_Toc293"/>
      <w:r>
        <w:t>اساس الدين لتحصيل اليقين / حدیث / عربی</w:t>
      </w:r>
      <w:bookmarkEnd w:id="771"/>
    </w:p>
    <w:p>
      <w:pPr>
        <w:pStyle w:val="BookText"/>
      </w:pPr>
      <w:r>
        <w:rPr>
          <w:rFonts w:ascii="Times New Roman" w:hAnsi="Times New Roman" w:eastAsia="Times New Roman" w:cs="Times New Roman"/>
          <w:lang w:val="en-US" w:bidi="en-US"/>
          <w:color w:val="111111"/>
          <w:sz w:val="28"/>
          <w:szCs w:val="28"/>
          <w:rtl/>
        </w:rPr>
        <w:t xml:space="preserve">asas-ud-din li-tahsil-il-yaqin</w:t>
      </w:r>
    </w:p>
    <w:p>
      <w:pPr>
        <w:pStyle w:val="BookText"/>
      </w:pPr>
      <w:r>
        <w:rPr>
          <w:rFonts w:ascii="IRNazanin" w:hAnsi="IRNazanin" w:eastAsia="IRNazanin" w:cs="IRNazanin"/>
          <w:lang w:bidi="fa-IR"/>
          <w:color w:val="111111"/>
          <w:sz w:val="28"/>
          <w:szCs w:val="28"/>
          <w:rtl/>
        </w:rPr>
        <w:t xml:space="preserve">وابسته به ،الکافی ،کلینی، محمد بن يعقوب (-329)</w:t>
      </w:r>
    </w:p>
    <w:p>
      <w:pPr>
        <w:pStyle w:val="BookText"/>
      </w:pPr>
      <w:r>
        <w:rPr>
          <w:rFonts w:ascii="IRNazanin" w:hAnsi="IRNazanin" w:eastAsia="IRNazanin" w:cs="IRNazanin"/>
          <w:lang w:bidi="fa-IR"/>
          <w:color w:val="111111"/>
          <w:sz w:val="28"/>
          <w:szCs w:val="28"/>
          <w:rtl/>
        </w:rPr>
        <w:t xml:space="preserve">تلخیصی از «اصول کافی» است، به این صورت که ابوب مهم تر را با رعایت ترتیب «کافی» انتخاب کرده است، سپس در روایات منقول آن باب نیز گلچین کرده و سند را حذف می کند.</w:t>
      </w:r>
    </w:p>
    <w:p>
      <w:pPr>
        <w:pStyle w:val="BookText"/>
      </w:pPr>
      <w:r>
        <w:rPr>
          <w:rFonts w:ascii="IRNazanin" w:hAnsi="IRNazanin" w:eastAsia="IRNazanin" w:cs="IRNazanin"/>
          <w:lang w:bidi="fa-IR"/>
          <w:color w:val="111111"/>
          <w:sz w:val="28"/>
          <w:szCs w:val="28"/>
          <w:rtl/>
        </w:rPr>
        <w:t xml:space="preserve">تهران؛ مجلس؛ شماره نسخه: 15608</w:t>
      </w:r>
    </w:p>
    <w:p>
      <w:pPr>
        <w:pStyle w:val="BookText"/>
      </w:pPr>
      <w:r>
        <w:rPr>
          <w:rFonts w:ascii="IRNazanin" w:hAnsi="IRNazanin" w:eastAsia="IRNazanin" w:cs="IRNazanin"/>
          <w:lang w:bidi="fa-IR"/>
          <w:color w:val="111111"/>
          <w:sz w:val="28"/>
          <w:szCs w:val="28"/>
          <w:rtl/>
        </w:rPr>
        <w:t xml:space="preserve">آغاز: هم اولو الالباب الذين قال الله تبارک و تعالى و ما يتذكر ال اولوالالباب ... فرض العلم و وجوب طلبه و الحث عليه؛ انجام: امحوا كتاب الله بأطهر ما تجدون و نهى ان يحرق كتاب الله و نهى ان يمحى بالاقلام</w:t>
      </w:r>
    </w:p>
    <w:p>
      <w:pPr>
        <w:pStyle w:val="BookText"/>
      </w:pPr>
      <w:r>
        <w:rPr>
          <w:rFonts w:ascii="IRNazanin" w:hAnsi="IRNazanin" w:eastAsia="IRNazanin" w:cs="IRNazanin"/>
          <w:lang w:bidi="fa-IR"/>
          <w:color w:val="111111"/>
          <w:sz w:val="28"/>
          <w:szCs w:val="28"/>
          <w:rtl/>
        </w:rPr>
        <w:t xml:space="preserve">خط: نستعليق ،كا :على بن زين العابدین  رازی، تا: 1071ق؛ افتادگی: آغاز (برگ اول) مجدول، مذهب؛ جلد: تیماج سبز پسته ای ضربی، 221گ 16 سطر، اندازه: 10</w:t>
      </w:r>
      <w:r>
        <w:rPr>
          <w:rFonts w:ascii="Times New Roman" w:hAnsi="Times New Roman" w:eastAsia="Times New Roman" w:cs="Times New Roman"/>
          <w:lang w:val="en-US" w:bidi="en-US"/>
          <w:color w:val="111111"/>
          <w:sz w:val="28"/>
          <w:szCs w:val="28"/>
          <w:rtl/>
        </w:rPr>
        <w:t xml:space="preserve">×17/4</w:t>
      </w:r>
      <w:r>
        <w:rPr>
          <w:rFonts w:ascii="IRNazanin" w:hAnsi="IRNazanin" w:eastAsia="IRNazanin" w:cs="IRNazanin"/>
          <w:lang w:bidi="fa-IR"/>
          <w:color w:val="111111"/>
          <w:sz w:val="28"/>
          <w:szCs w:val="28"/>
          <w:rtl/>
        </w:rPr>
        <w:t xml:space="preserve">سم [ف: 43- 185]</w:t>
      </w:r>
    </w:p>
    <w:p>
      <w:pPr>
        <w:pStyle w:val="Heading3"/>
      </w:pPr>
      <w:bookmarkStart w:id="772" w:name="_Toc294"/>
      <w:r>
        <w:t>اساس السياسة فى تأسيس الرياسة / حکومت وسیاست / فارسی</w:t>
      </w:r>
      <w:bookmarkEnd w:id="772"/>
    </w:p>
    <w:p>
      <w:pPr>
        <w:pStyle w:val="BookText"/>
      </w:pPr>
      <w:r>
        <w:rPr>
          <w:rFonts w:ascii="Times New Roman" w:hAnsi="Times New Roman" w:eastAsia="Times New Roman" w:cs="Times New Roman"/>
          <w:lang w:val="en-US" w:bidi="en-US"/>
          <w:color w:val="111111"/>
          <w:sz w:val="28"/>
          <w:szCs w:val="28"/>
          <w:rtl/>
        </w:rPr>
        <w:t xml:space="preserve">asas-os siyasa fi ta'sis-er riyasa</w:t>
      </w:r>
    </w:p>
    <w:p>
      <w:pPr>
        <w:pStyle w:val="BookText"/>
      </w:pPr>
      <w:r>
        <w:rPr>
          <w:rFonts w:ascii="IRNazanin" w:hAnsi="IRNazanin" w:eastAsia="IRNazanin" w:cs="IRNazanin"/>
          <w:lang w:bidi="fa-IR"/>
          <w:color w:val="111111"/>
          <w:sz w:val="28"/>
          <w:szCs w:val="28"/>
          <w:rtl/>
        </w:rPr>
        <w:t xml:space="preserve">کجوری محمد بن اسماعیل، - 1353 قمری</w:t>
      </w:r>
    </w:p>
    <w:p>
      <w:pPr>
        <w:pStyle w:val="BookText"/>
      </w:pPr>
      <w:r>
        <w:rPr>
          <w:rFonts w:ascii="Times New Roman" w:hAnsi="Times New Roman" w:eastAsia="Times New Roman" w:cs="Times New Roman"/>
          <w:lang w:val="en-US" w:bidi="en-US"/>
          <w:color w:val="111111"/>
          <w:sz w:val="28"/>
          <w:szCs w:val="28"/>
          <w:rtl/>
        </w:rPr>
        <w:t xml:space="preserve">(kajūrī, mohammad ebn-e esmā‘īl (- 1934)</w:t>
      </w:r>
    </w:p>
    <w:p>
      <w:pPr>
        <w:pStyle w:val="BookText"/>
      </w:pPr>
      <w:r>
        <w:rPr>
          <w:rFonts w:ascii="IRNazanin" w:hAnsi="IRNazanin" w:eastAsia="IRNazanin" w:cs="IRNazanin"/>
          <w:lang w:bidi="fa-IR"/>
          <w:color w:val="111111"/>
          <w:sz w:val="28"/>
          <w:szCs w:val="28"/>
          <w:rtl/>
        </w:rPr>
        <w:t xml:space="preserve">وابسته به: عهد نامه مالک اشتر؛ منسوب به علی بن ابی طالب (علیه السّلام)، امام اول (-40)</w:t>
      </w:r>
    </w:p>
    <w:p>
      <w:pPr>
        <w:pStyle w:val="BookText"/>
      </w:pPr>
      <w:r>
        <w:rPr>
          <w:rFonts w:ascii="IRNazanin" w:hAnsi="IRNazanin" w:eastAsia="IRNazanin" w:cs="IRNazanin"/>
          <w:lang w:bidi="fa-IR"/>
          <w:color w:val="111111"/>
          <w:sz w:val="28"/>
          <w:szCs w:val="28"/>
          <w:rtl/>
        </w:rPr>
        <w:t xml:space="preserve">مؤلف در اوایل مسائل مشروطیت به درخواست جمعی و از جمله فرزندش «محمد علی ملقب به بیان المحققین» قصد داشته که عهدنامه علی (علیه السّلام) به مالک اشتر را شرح نماید تا آداب درست اداره کردن را به مسؤولان بیاموزد و سپس آنها را در مجالسی تنظیم نموده و در ابتدا آیه ای از قرآن و سپس مقداری از عهدنامه را شرح نموده است. در پایان بعضی از مسائل اخلاقی و آداب را متذکر شده است.</w:t>
      </w:r>
    </w:p>
    <w:p>
      <w:pPr>
        <w:pStyle w:val="BookText"/>
      </w:pPr>
      <w:r>
        <w:rPr>
          <w:rFonts w:ascii="Amiri" w:hAnsi="Amiri" w:eastAsia="Amiri" w:cs="Amiri"/>
          <w:lang w:bidi="ar-SA"/>
          <w:color w:val="111111"/>
          <w:sz w:val="28"/>
          <w:szCs w:val="28"/>
          <w:rtl/>
        </w:rPr>
        <w:t xml:space="preserve">[الذريعة 7/2]</w:t>
      </w:r>
    </w:p>
    <w:p>
      <w:pPr>
        <w:pStyle w:val="BookText"/>
      </w:pPr>
      <w:r>
        <w:rPr>
          <w:rFonts w:ascii="IRNazanin" w:hAnsi="IRNazanin" w:eastAsia="IRNazanin" w:cs="IRNazanin"/>
          <w:lang w:bidi="fa-IR"/>
          <w:color w:val="111111"/>
          <w:sz w:val="28"/>
          <w:szCs w:val="28"/>
          <w:rtl/>
        </w:rPr>
        <w:t xml:space="preserve">قم؛ مرکز احیاء؛ شماره نسخه: 2247</w:t>
      </w:r>
    </w:p>
    <w:p>
      <w:pPr>
        <w:pStyle w:val="BookText"/>
      </w:pPr>
      <w:r>
        <w:rPr>
          <w:rFonts w:ascii="Amiri" w:hAnsi="Amiri" w:eastAsia="Amiri" w:cs="Amiri"/>
          <w:lang w:bidi="ar-SA"/>
          <w:color w:val="111111"/>
          <w:sz w:val="28"/>
          <w:szCs w:val="28"/>
          <w:rtl/>
        </w:rPr>
        <w:t xml:space="preserve">آغاز: الحمد لله الذى اسس الرياسة و ترتب اساسها على السياسة و الصلاة والسلام على قطب فلك السيادة و مركز سماء السعادة؛ انجام: اني تارك فيكم الثقلين كتاب الله و عترتى الافهما الخليفات بين ملتى بعدى الى آخره.</w:t>
      </w:r>
    </w:p>
    <w:p>
      <w:pPr>
        <w:pStyle w:val="BookText"/>
      </w:pPr>
      <w:r>
        <w:rPr>
          <w:rFonts w:ascii="IRNazanin" w:hAnsi="IRNazanin" w:eastAsia="IRNazanin" w:cs="IRNazanin"/>
          <w:lang w:bidi="fa-IR"/>
          <w:color w:val="111111"/>
          <w:sz w:val="28"/>
          <w:szCs w:val="28"/>
          <w:rtl/>
        </w:rPr>
        <w:t xml:space="preserve">خط: نسخ، کاتب - مؤلف، تا: 1324ق؛ در دو برگ اول قصیده ای از «ملا باقر واعظ تهرانی» در مدح پیامبر اکرم (صلّی اللَّهِ علیه وَ آلِهِ وَ سَلَّمَ ) و مناجاتی از وی و در دو برگ آخر شرح مسافرت مؤلف از مشهد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98" w:name="pg20365_260130"/>
    <w:bookmarkEnd w:id="98"/>
    <w:p>
      <w:pPr>
        <w:pStyle w:val="BookText"/>
      </w:pPr>
      <w:r>
        <w:rPr>
          <w:rFonts w:ascii="IRNazanin" w:hAnsi="IRNazanin" w:eastAsia="IRNazanin" w:cs="IRNazanin"/>
          <w:lang w:bidi="fa-IR"/>
          <w:color w:val="111111"/>
          <w:sz w:val="28"/>
          <w:szCs w:val="28"/>
          <w:rtl/>
        </w:rPr>
        <w:t xml:space="preserve">به تهران به سال 1335 آمده است؛ جلد: تیماج قهوه ای 245گ، مختلف السطر :اندازه 34</w:t>
      </w:r>
      <w:r>
        <w:rPr>
          <w:rFonts w:ascii="Times New Roman" w:hAnsi="Times New Roman" w:eastAsia="Times New Roman" w:cs="Times New Roman"/>
          <w:lang w:val="en-US" w:bidi="en-US"/>
          <w:color w:val="111111"/>
          <w:sz w:val="28"/>
          <w:szCs w:val="28"/>
          <w:rtl/>
        </w:rPr>
        <w:t xml:space="preserve">x22</w:t>
      </w:r>
      <w:r>
        <w:rPr>
          <w:rFonts w:ascii="IRNazanin" w:hAnsi="IRNazanin" w:eastAsia="IRNazanin" w:cs="IRNazanin"/>
          <w:lang w:bidi="fa-IR"/>
          <w:color w:val="111111"/>
          <w:sz w:val="28"/>
          <w:szCs w:val="28"/>
          <w:rtl/>
        </w:rPr>
        <w:t xml:space="preserve">سم [محدث ارموی مخ: 1 - 120]</w:t>
      </w:r>
    </w:p>
    <w:p>
      <w:pPr>
        <w:pStyle w:val="Heading3"/>
      </w:pPr>
      <w:bookmarkStart w:id="773" w:name="_Toc295"/>
      <w:r>
        <w:t>اساس العلوم / نحو / فارسی و عربی</w:t>
      </w:r>
      <w:bookmarkEnd w:id="773"/>
    </w:p>
    <w:p>
      <w:pPr>
        <w:pStyle w:val="BookText"/>
      </w:pPr>
      <w:r>
        <w:rPr>
          <w:rFonts w:ascii="Times New Roman" w:hAnsi="Times New Roman" w:eastAsia="Times New Roman" w:cs="Times New Roman"/>
          <w:lang w:val="en-US" w:bidi="en-US"/>
          <w:color w:val="111111"/>
          <w:sz w:val="28"/>
          <w:szCs w:val="28"/>
          <w:rtl/>
        </w:rPr>
        <w:t xml:space="preserve">asās-ul ‘ulūm</w:t>
      </w:r>
    </w:p>
    <w:p>
      <w:pPr>
        <w:pStyle w:val="BookText"/>
      </w:pPr>
      <w:r>
        <w:rPr>
          <w:rFonts w:ascii="IRNazanin" w:hAnsi="IRNazanin" w:eastAsia="IRNazanin" w:cs="IRNazanin"/>
          <w:lang w:bidi="fa-IR"/>
          <w:color w:val="111111"/>
          <w:sz w:val="28"/>
          <w:szCs w:val="28"/>
          <w:rtl/>
        </w:rPr>
        <w:t xml:space="preserve">همانند «جامع المقدمات است» دارای: 1. امثله به فارسی درباره افعال آن زبان عربی؛ 2-3 دو تصريف الافعال برای زبان عربی؛ 4. العوامل المائة، جرجانی، عبدالقاهر بن عبدالرحمن؛ 5 ضوء المصباح، تاج الدین اسفراینی، محمد بن محمد.</w:t>
      </w:r>
    </w:p>
    <w:p>
      <w:pPr>
        <w:pStyle w:val="BookText"/>
      </w:pPr>
      <w:r>
        <w:rPr>
          <w:rFonts w:ascii="IRNazanin" w:hAnsi="IRNazanin" w:eastAsia="IRNazanin" w:cs="IRNazanin"/>
          <w:lang w:bidi="fa-IR"/>
          <w:color w:val="111111"/>
          <w:sz w:val="28"/>
          <w:szCs w:val="28"/>
          <w:rtl/>
        </w:rPr>
        <w:t xml:space="preserve">تهران؛ انجمن اسلامی؛ شماره نسخه: 2</w:t>
      </w:r>
    </w:p>
    <w:p>
      <w:pPr>
        <w:pStyle w:val="BookText"/>
      </w:pPr>
      <w:r>
        <w:rPr>
          <w:rFonts w:ascii="IRNazanin" w:hAnsi="IRNazanin" w:eastAsia="IRNazanin" w:cs="IRNazanin"/>
          <w:lang w:bidi="fa-IR"/>
          <w:color w:val="111111"/>
          <w:sz w:val="28"/>
          <w:szCs w:val="28"/>
          <w:rtl/>
        </w:rPr>
        <w:t xml:space="preserve">بی کا، بی تا [نشریه 11 - 1024]</w:t>
      </w:r>
    </w:p>
    <w:p>
      <w:pPr>
        <w:pStyle w:val="Heading3"/>
      </w:pPr>
      <w:bookmarkStart w:id="774" w:name="_Toc296"/>
      <w:r>
        <w:t>اساس العلوم شیخ ملکی / لغت / فارسی، عربی</w:t>
      </w:r>
      <w:bookmarkEnd w:id="774"/>
    </w:p>
    <w:p>
      <w:pPr>
        <w:pStyle w:val="BookText"/>
      </w:pPr>
      <w:r>
        <w:rPr>
          <w:rFonts w:ascii="Times New Roman" w:hAnsi="Times New Roman" w:eastAsia="Times New Roman" w:cs="Times New Roman"/>
          <w:lang w:val="en-US" w:bidi="en-US"/>
          <w:color w:val="111111"/>
          <w:sz w:val="28"/>
          <w:szCs w:val="28"/>
          <w:rtl/>
        </w:rPr>
        <w:t xml:space="preserve">asās-ol ‘olūm-e šeyx-e malekī</w:t>
      </w:r>
    </w:p>
    <w:p>
      <w:pPr>
        <w:pStyle w:val="BookText"/>
      </w:pPr>
      <w:r>
        <w:rPr>
          <w:rFonts w:ascii="IRNazanin" w:hAnsi="IRNazanin" w:eastAsia="IRNazanin" w:cs="IRNazanin"/>
          <w:lang w:bidi="fa-IR"/>
          <w:color w:val="111111"/>
          <w:sz w:val="28"/>
          <w:szCs w:val="28"/>
          <w:rtl/>
        </w:rPr>
        <w:t xml:space="preserve">لغت عربی به فارسی است.</w:t>
      </w:r>
    </w:p>
    <w:p>
      <w:pPr>
        <w:pStyle w:val="BookText"/>
      </w:pPr>
      <w:r>
        <w:rPr>
          <w:rFonts w:ascii="IRNazanin" w:hAnsi="IRNazanin" w:eastAsia="IRNazanin" w:cs="IRNazanin"/>
          <w:lang w:bidi="fa-IR"/>
          <w:color w:val="111111"/>
          <w:sz w:val="28"/>
          <w:szCs w:val="28"/>
          <w:rtl/>
        </w:rPr>
        <w:t xml:space="preserve">تهران؛ ملک؛ شماره نسخه: 2280</w:t>
      </w:r>
    </w:p>
    <w:p>
      <w:pPr>
        <w:pStyle w:val="BookText"/>
      </w:pPr>
      <w:r>
        <w:rPr>
          <w:rFonts w:ascii="IRNazanin" w:hAnsi="IRNazanin" w:eastAsia="IRNazanin" w:cs="IRNazanin"/>
          <w:lang w:bidi="fa-IR"/>
          <w:color w:val="111111"/>
          <w:sz w:val="28"/>
          <w:szCs w:val="28"/>
          <w:rtl/>
        </w:rPr>
        <w:t xml:space="preserve">آغاز: مکتوب غیر ملفوظ چون و او بعد همزه ... و نام کردیم  آن را اساس العلوم شیخ ملکی از بهرتبرک به اسم ملک عادل... باب الالف اء و عاطلب فهم و انکار و سرزنش؛ انجام: ک ظ كظم خشم فرو خوردن کظیم</w:t>
      </w:r>
    </w:p>
    <w:p>
      <w:pPr>
        <w:pStyle w:val="BookText"/>
      </w:pPr>
      <w:r>
        <w:rPr>
          <w:rFonts w:ascii="IRNazanin" w:hAnsi="IRNazanin" w:eastAsia="IRNazanin" w:cs="IRNazanin"/>
          <w:lang w:bidi="fa-IR"/>
          <w:color w:val="111111"/>
          <w:sz w:val="28"/>
          <w:szCs w:val="28"/>
          <w:rtl/>
        </w:rPr>
        <w:t xml:space="preserve">خط: نستعلیق، بی کا، تا: قرن 11؛ افتادگی: انجام؛ کاغذ: کاغذ ،ترمه :جلد: میشن سیاه  لایی، 92 گ، 15 سطر، اندازه: 9/4</w:t>
      </w:r>
      <w:r>
        <w:rPr>
          <w:rFonts w:ascii="Times New Roman" w:hAnsi="Times New Roman" w:eastAsia="Times New Roman" w:cs="Times New Roman"/>
          <w:lang w:val="en-US" w:bidi="en-US"/>
          <w:color w:val="111111"/>
          <w:sz w:val="28"/>
          <w:szCs w:val="28"/>
          <w:rtl/>
        </w:rPr>
        <w:t xml:space="preserve">×16/2</w:t>
      </w:r>
      <w:r>
        <w:rPr>
          <w:rFonts w:ascii="IRNazanin" w:hAnsi="IRNazanin" w:eastAsia="IRNazanin" w:cs="IRNazanin"/>
          <w:lang w:bidi="fa-IR"/>
          <w:color w:val="111111"/>
          <w:sz w:val="28"/>
          <w:szCs w:val="28"/>
          <w:rtl/>
        </w:rPr>
        <w:t xml:space="preserve">سم [ف: 2 - 22]</w:t>
      </w:r>
    </w:p>
    <w:p>
      <w:pPr>
        <w:pStyle w:val="Heading3"/>
      </w:pPr>
      <w:bookmarkStart w:id="775" w:name="_Toc297"/>
      <w:r>
        <w:t>اساس الفضل / معانی بیان / فارسی</w:t>
      </w:r>
      <w:bookmarkEnd w:id="775"/>
    </w:p>
    <w:p>
      <w:pPr>
        <w:pStyle w:val="BookText"/>
      </w:pPr>
      <w:r>
        <w:rPr>
          <w:rFonts w:ascii="Times New Roman" w:hAnsi="Times New Roman" w:eastAsia="Times New Roman" w:cs="Times New Roman"/>
          <w:lang w:val="en-US" w:bidi="en-US"/>
          <w:color w:val="111111"/>
          <w:sz w:val="28"/>
          <w:szCs w:val="28"/>
          <w:rtl/>
        </w:rPr>
        <w:t xml:space="preserve">asās-ul faḍl</w:t>
      </w:r>
    </w:p>
    <w:p>
      <w:pPr>
        <w:pStyle w:val="BookText"/>
      </w:pPr>
      <w:r>
        <w:rPr>
          <w:rFonts w:ascii="IRNazanin" w:hAnsi="IRNazanin" w:eastAsia="IRNazanin" w:cs="IRNazanin"/>
          <w:lang w:bidi="fa-IR"/>
          <w:color w:val="111111"/>
          <w:sz w:val="28"/>
          <w:szCs w:val="28"/>
          <w:rtl/>
        </w:rPr>
        <w:t xml:space="preserve">مشتمل بر دو «باب» ست: 1. محاسن سخن؛ 2. معایب سخن.</w:t>
      </w:r>
    </w:p>
    <w:p>
      <w:pPr>
        <w:pStyle w:val="BookText"/>
      </w:pPr>
      <w:r>
        <w:rPr>
          <w:rFonts w:ascii="IRNazanin" w:hAnsi="IRNazanin" w:eastAsia="IRNazanin" w:cs="IRNazanin"/>
          <w:lang w:bidi="fa-IR"/>
          <w:color w:val="111111"/>
          <w:sz w:val="28"/>
          <w:szCs w:val="28"/>
          <w:rtl/>
        </w:rPr>
        <w:t xml:space="preserve">آغاز: بسمله جمادی حمد جزیل و قصارای ثنای جمیل مرکز کردگاری که افضال قدیم او طبایع</w:t>
      </w:r>
    </w:p>
    <w:p>
      <w:pPr>
        <w:pStyle w:val="BookText"/>
      </w:pPr>
      <w:r>
        <w:rPr>
          <w:rFonts w:ascii="IRNazanin" w:hAnsi="IRNazanin" w:eastAsia="IRNazanin" w:cs="IRNazanin"/>
          <w:lang w:bidi="fa-IR"/>
          <w:color w:val="111111"/>
          <w:sz w:val="28"/>
          <w:szCs w:val="28"/>
          <w:rtl/>
        </w:rPr>
        <w:t xml:space="preserve">انجام: ای ز کمال قدس تو دیده قدسیان بخط *** عمده اولیاءتو، انت ولينا فقط</w:t>
      </w:r>
    </w:p>
    <w:p>
      <w:pPr>
        <w:pStyle w:val="BookText"/>
      </w:pPr>
      <w:r>
        <w:rPr>
          <w:rFonts w:ascii="IRNazanin" w:hAnsi="IRNazanin" w:eastAsia="IRNazanin" w:cs="IRNazanin"/>
          <w:lang w:bidi="fa-IR"/>
          <w:color w:val="111111"/>
          <w:sz w:val="28"/>
          <w:szCs w:val="28"/>
          <w:rtl/>
        </w:rPr>
        <w:t xml:space="preserve">تهران؛ مجلس؛ شماره نسخه: 8820</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8 و 9 [ مختصر - ف: - 49]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مشهد؛ رضوی؛ شماره نسخه: 19345</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 نسخ، بی کا، تا: قرن 13[ رایانه]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مشهد ؛رضوی؛ شماره نسخه: 4801/2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13؛ کاغذ: زرد فرنگی آهار مهره، جلد: ،مقوایی، 20 ص( 24-44) 27 سطر (8/9</w:t>
      </w:r>
      <w:r>
        <w:rPr>
          <w:rFonts w:ascii="Times New Roman" w:hAnsi="Times New Roman" w:eastAsia="Times New Roman" w:cs="Times New Roman"/>
          <w:lang w:val="en-US" w:bidi="en-US"/>
          <w:color w:val="111111"/>
          <w:sz w:val="28"/>
          <w:szCs w:val="28"/>
          <w:rtl/>
        </w:rPr>
        <w:t xml:space="preserve">× 23)</w:t>
      </w:r>
      <w:r>
        <w:rPr>
          <w:rFonts w:ascii="IRNazanin" w:hAnsi="IRNazanin" w:eastAsia="IRNazanin" w:cs="IRNazanin"/>
          <w:lang w:bidi="fa-IR"/>
          <w:color w:val="111111"/>
          <w:sz w:val="28"/>
          <w:szCs w:val="28"/>
          <w:rtl/>
        </w:rPr>
        <w:t xml:space="preserve">، اندازه: 19/7</w:t>
      </w:r>
      <w:r>
        <w:rPr>
          <w:rFonts w:ascii="Times New Roman" w:hAnsi="Times New Roman" w:eastAsia="Times New Roman" w:cs="Times New Roman"/>
          <w:lang w:val="en-US" w:bidi="en-US"/>
          <w:color w:val="111111"/>
          <w:sz w:val="28"/>
          <w:szCs w:val="28"/>
          <w:rtl/>
        </w:rPr>
        <w:t xml:space="preserve">×33/7</w:t>
      </w:r>
      <w:r>
        <w:rPr>
          <w:rFonts w:ascii="IRNazanin" w:hAnsi="IRNazanin" w:eastAsia="IRNazanin" w:cs="IRNazanin"/>
          <w:lang w:bidi="fa-IR"/>
          <w:color w:val="111111"/>
          <w:sz w:val="28"/>
          <w:szCs w:val="28"/>
          <w:rtl/>
        </w:rPr>
        <w:t xml:space="preserve">سم [ف: 7 - 749]</w:t>
      </w:r>
    </w:p>
    <w:p>
      <w:pPr>
        <w:pStyle w:val="Heading3"/>
      </w:pPr>
      <w:bookmarkStart w:id="776" w:name="_Toc298"/>
      <w:r>
        <w:t>الاساس فى مناقب بنى العباس / حدیث / عربی</w:t>
      </w:r>
      <w:bookmarkEnd w:id="776"/>
    </w:p>
    <w:p>
      <w:pPr>
        <w:pStyle w:val="BookText"/>
      </w:pPr>
      <w:r>
        <w:rPr>
          <w:rFonts w:ascii="Times New Roman" w:hAnsi="Times New Roman" w:eastAsia="Times New Roman" w:cs="Times New Roman"/>
          <w:lang w:val="en-US" w:bidi="en-US"/>
          <w:color w:val="111111"/>
          <w:sz w:val="28"/>
          <w:szCs w:val="28"/>
          <w:rtl/>
        </w:rPr>
        <w:t xml:space="preserve">al-asās fi manāqib-i bani-l-‘abbās</w:t>
      </w:r>
    </w:p>
    <w:p>
      <w:pPr>
        <w:pStyle w:val="BookText"/>
      </w:pPr>
      <w:r>
        <w:rPr>
          <w:rFonts w:ascii="IRNazanin" w:hAnsi="IRNazanin" w:eastAsia="IRNazanin" w:cs="IRNazanin"/>
          <w:lang w:bidi="fa-IR"/>
          <w:color w:val="111111"/>
          <w:sz w:val="28"/>
          <w:szCs w:val="28"/>
          <w:rtl/>
        </w:rPr>
        <w:t xml:space="preserve">سیوطی عبدالرحمن بن ابی بکر، 849 - 911 قمری</w:t>
      </w:r>
    </w:p>
    <w:p>
      <w:pPr>
        <w:pStyle w:val="BookText"/>
      </w:pPr>
      <w:r>
        <w:rPr>
          <w:rFonts w:ascii="Times New Roman" w:hAnsi="Times New Roman" w:eastAsia="Times New Roman" w:cs="Times New Roman"/>
          <w:lang w:val="en-US" w:bidi="en-US"/>
          <w:color w:val="111111"/>
          <w:sz w:val="28"/>
          <w:szCs w:val="28"/>
          <w:rtl/>
        </w:rPr>
        <w:t xml:space="preserve">(soyūtī, ‘abd-or-rahman ebn-e abī-bakr (1446 - 1506)</w:t>
      </w:r>
    </w:p>
    <w:p>
      <w:pPr>
        <w:pStyle w:val="BookText"/>
      </w:pPr>
      <w:r>
        <w:rPr>
          <w:rFonts w:ascii="IRNazanin" w:hAnsi="IRNazanin" w:eastAsia="IRNazanin" w:cs="IRNazanin"/>
          <w:lang w:bidi="fa-IR"/>
          <w:color w:val="111111"/>
          <w:sz w:val="28"/>
          <w:szCs w:val="28"/>
          <w:rtl/>
        </w:rPr>
        <w:t xml:space="preserve">در این رساله چهل حدیث که در فضایل و مناقب آل عباس از طریق اهل سنت رسیده گرد آوری شده است.</w:t>
      </w:r>
    </w:p>
    <w:p>
      <w:pPr>
        <w:pStyle w:val="BookText"/>
      </w:pPr>
      <w:r>
        <w:rPr>
          <w:rFonts w:ascii="Amiri" w:hAnsi="Amiri" w:eastAsia="Amiri" w:cs="Amiri"/>
          <w:lang w:bidi="ar-SA"/>
          <w:color w:val="111111"/>
          <w:sz w:val="28"/>
          <w:szCs w:val="28"/>
          <w:rtl/>
        </w:rPr>
        <w:t xml:space="preserve">آغاز: بسمله.الحمد لله الذي وعد هذه الامة المحمدية بالعصمة من الضلالة ما ان تمسكت بكتابه و عترة نبيه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مرعشی؛ شماره نسخه: 1471/8 عکسی</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نسخه اصل: کتابخانه اسکوریال در  اسپانیا، ش 1798؛ خط: نسخ، بی کا، تا: قرن 10 رکابه دار؛ 10 ص (89- 98)15- 19 سطر عکسی [ف: 4 - 335]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مشهد؛ رضوی؛ شماره نسخه: 18780</w:t>
      </w:r>
    </w:p>
    <w:p>
      <w:pPr>
        <w:pStyle w:val="BookText"/>
      </w:pPr>
      <w:r>
        <w:rPr>
          <w:rFonts w:ascii="Amiri" w:hAnsi="Amiri" w:eastAsia="Amiri" w:cs="Amiri"/>
          <w:lang w:bidi="ar-SA"/>
          <w:color w:val="111111"/>
          <w:sz w:val="28"/>
          <w:szCs w:val="28"/>
          <w:rtl/>
        </w:rPr>
        <w:t xml:space="preserve">آغاز: برابر ؛ انجام: و عن ابن عباس قال نحن اهل البيت شجرة النبوة و مختلف الملائكة و اهل بيت الرسالة و معدن العلم رواه ابن عساكر و الله اعلم ... وصحبه و سلم</w:t>
      </w:r>
    </w:p>
    <w:p>
      <w:pPr>
        <w:pStyle w:val="BookText"/>
      </w:pPr>
      <w:r>
        <w:rPr>
          <w:rFonts w:ascii="IRNazanin" w:hAnsi="IRNazanin" w:eastAsia="IRNazanin" w:cs="IRNazanin"/>
          <w:lang w:bidi="fa-IR"/>
          <w:color w:val="111111"/>
          <w:sz w:val="28"/>
          <w:szCs w:val="28"/>
          <w:rtl/>
        </w:rPr>
        <w:t xml:space="preserve">خط ،نسخ، کا: غلام محیی الدین، تا: قرن 12؛ مجدول؛ اهدایی ،رهبری فروردین 1372 ؛کاغذ: حنایی، جلد: مقوا با عطف و گوشه میشن قهوه ای 5گ 23 ،سطر، اندازه: 17</w:t>
      </w:r>
      <w:r>
        <w:rPr>
          <w:rFonts w:ascii="Times New Roman" w:hAnsi="Times New Roman" w:eastAsia="Times New Roman" w:cs="Times New Roman"/>
          <w:lang w:val="en-US" w:bidi="en-US"/>
          <w:color w:val="111111"/>
          <w:sz w:val="28"/>
          <w:szCs w:val="28"/>
          <w:rtl/>
        </w:rPr>
        <w:t xml:space="preserve">×25/5</w:t>
      </w:r>
      <w:r>
        <w:rPr>
          <w:rFonts w:ascii="IRNazanin" w:hAnsi="IRNazanin" w:eastAsia="IRNazanin" w:cs="IRNazanin"/>
          <w:lang w:bidi="fa-IR"/>
          <w:color w:val="111111"/>
          <w:sz w:val="28"/>
          <w:szCs w:val="28"/>
          <w:rtl/>
        </w:rPr>
        <w:t xml:space="preserve">سم [اهدائی :رهبر 2 اخبار 1 - 88]</w:t>
      </w:r>
    </w:p>
    <w:p>
      <w:pPr>
        <w:pStyle w:val="Heading3"/>
      </w:pPr>
      <w:bookmarkStart w:id="777" w:name="_Toc299"/>
      <w:r>
        <w:t>اساس القواعد فى اصول الفوائد / حساب / عربي</w:t>
      </w:r>
      <w:bookmarkEnd w:id="777"/>
    </w:p>
    <w:p>
      <w:pPr>
        <w:pStyle w:val="BookText"/>
      </w:pPr>
      <w:r>
        <w:rPr>
          <w:rFonts w:ascii="Times New Roman" w:hAnsi="Times New Roman" w:eastAsia="Times New Roman" w:cs="Times New Roman"/>
          <w:lang w:val="en-US" w:bidi="en-US"/>
          <w:color w:val="111111"/>
          <w:sz w:val="28"/>
          <w:szCs w:val="28"/>
          <w:rtl/>
        </w:rPr>
        <w:t xml:space="preserve">asas-ul qawaid fi usul-il fawaid</w:t>
      </w:r>
    </w:p>
    <w:p>
      <w:pPr>
        <w:pStyle w:val="BookText"/>
      </w:pPr>
      <w:r>
        <w:rPr>
          <w:rFonts w:ascii="IRNazanin" w:hAnsi="IRNazanin" w:eastAsia="IRNazanin" w:cs="IRNazanin"/>
          <w:lang w:bidi="fa-IR"/>
          <w:color w:val="111111"/>
          <w:sz w:val="28"/>
          <w:szCs w:val="28"/>
          <w:rtl/>
        </w:rPr>
        <w:t xml:space="preserve">فارسی حسن بن علی 668 - 718؟ قمری</w:t>
      </w:r>
    </w:p>
    <w:p>
      <w:pPr>
        <w:pStyle w:val="BookText"/>
      </w:pPr>
      <w:r>
        <w:rPr>
          <w:rFonts w:ascii="Times New Roman" w:hAnsi="Times New Roman" w:eastAsia="Times New Roman" w:cs="Times New Roman"/>
          <w:lang w:val="en-US" w:bidi="en-US"/>
          <w:color w:val="111111"/>
          <w:sz w:val="28"/>
          <w:szCs w:val="28"/>
          <w:rtl/>
        </w:rPr>
        <w:t xml:space="preserve">(fārsī, hasan ebn-e ‘alī (1270 - 1319)</w:t>
      </w:r>
    </w:p>
    <w:p>
      <w:pPr>
        <w:pStyle w:val="BookText"/>
      </w:pPr>
      <w:r>
        <w:rPr>
          <w:rFonts w:ascii="IRNazanin" w:hAnsi="IRNazanin" w:eastAsia="IRNazanin" w:cs="IRNazanin"/>
          <w:lang w:bidi="fa-IR"/>
          <w:color w:val="111111"/>
          <w:sz w:val="28"/>
          <w:szCs w:val="28"/>
          <w:rtl/>
        </w:rPr>
        <w:t xml:space="preserve">وابسته به: الفوائد البهائيه فى القواعد الحسابية؛ حربوی، عبدالله بن محمد (643-724)</w:t>
      </w:r>
    </w:p>
    <w:p>
      <w:pPr>
        <w:pStyle w:val="BookText"/>
      </w:pPr>
      <w:r>
        <w:rPr>
          <w:rFonts w:ascii="IRNazanin" w:hAnsi="IRNazanin" w:eastAsia="IRNazanin" w:cs="IRNazanin"/>
          <w:lang w:bidi="fa-IR"/>
          <w:color w:val="111111"/>
          <w:sz w:val="28"/>
          <w:szCs w:val="28"/>
          <w:rtl/>
        </w:rPr>
        <w:t xml:space="preserve">شرحی است با عنوان «قال - اقول» بر کتاب «الفوائد البهائية في القواعد الحسابية» عماد الدین عبدالله بن محمد البغدادی در الذريعه (7/2) مؤلف را کمال الدین حسین بن عبد الحق الهى اردبیلی (- 950ق) دانسته و همین اشتباه را منزوی در فهرستواره (2596/4) تکرار کرده است که بهترین گواه بر اشتباه بودن آن وجود نسخه در قرن 8 و 9 است جز آن که احتمالاً آن را فارسی تلقی  کرده که چنین نیست در کشف الظنون (296/1) مؤلف كمال الدين حسن فارسی معرفی شده است توضیح مؤلف نیز هرگونه شبهه ای را برطرف می کند ،نویسنده می گوید: «کتاب الفوائد البهائيه فى القواعد الحسابیه» از تصانیف عبدالله بن محمد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99" w:name="pg20365_260131"/>
    <w:bookmarkEnd w:id="99"/>
    <w:p>
      <w:pPr>
        <w:pStyle w:val="BookText"/>
      </w:pPr>
      <w:r>
        <w:rPr>
          <w:rFonts w:ascii="IRNazanin" w:hAnsi="IRNazanin" w:eastAsia="IRNazanin" w:cs="IRNazanin"/>
          <w:lang w:bidi="fa-IR"/>
          <w:color w:val="111111"/>
          <w:sz w:val="28"/>
          <w:szCs w:val="28"/>
          <w:rtl/>
        </w:rPr>
        <w:t xml:space="preserve">بغدادی که از کتب مهم در علم حساب و واجد نفاس جواهر آن علم است بشرح کشیدم و چون از شاگردان نویسنده این کتاب بودم خوب می دانستم که نگارنده آن در این کتاب مسائل دقیقی را نهفته است». بر این کتاب غیر از «اساس القواعد» حواشی و شروح دیگری هم نوشته اند، که از آن جمله است: شرح يحيى بن احمد کاشانی موسوم به «ايضاح المقاصد لفرائد الفوائد» و شرح ملا عبدالعلی بیرجندی در 891 هجری. آغاز: الحمد الله على نعمه الوافية الوافرة ومنحه المتوالیة المتكاثرة و نشكره علی جمیل آلائه وجزيل عطائه عمد مشمول بفنون من عوارفه</w:t>
      </w:r>
    </w:p>
    <w:p>
      <w:pPr>
        <w:pStyle w:val="BookText"/>
      </w:pPr>
      <w:r>
        <w:rPr>
          <w:rFonts w:ascii="Amiri" w:hAnsi="Amiri" w:eastAsia="Amiri" w:cs="Amiri"/>
          <w:lang w:bidi="ar-SA"/>
          <w:color w:val="111111"/>
          <w:sz w:val="28"/>
          <w:szCs w:val="28"/>
          <w:rtl/>
        </w:rPr>
        <w:t xml:space="preserve">انجام: و جميعها عينه عن البيان و قد حان لنا ان نختم الكلام ههنا حامدين لولى كل خير و جميل و الهادى الى سواء السبيل</w:t>
      </w:r>
    </w:p>
    <w:p>
      <w:pPr>
        <w:pStyle w:val="BookText"/>
      </w:pPr>
      <w:r>
        <w:rPr>
          <w:rFonts w:ascii="IRNazanin" w:hAnsi="IRNazanin" w:eastAsia="IRNazanin" w:cs="IRNazanin"/>
          <w:lang w:bidi="fa-IR"/>
          <w:color w:val="111111"/>
          <w:sz w:val="28"/>
          <w:szCs w:val="28"/>
          <w:rtl/>
        </w:rPr>
        <w:t xml:space="preserve">چاپ: محقق: مصطفی ،موالدی ،قاهره معهد المخطوطات العرب 647ص، 1994م.</w:t>
      </w:r>
    </w:p>
    <w:p>
      <w:pPr>
        <w:pStyle w:val="BookText"/>
      </w:pPr>
      <w:r>
        <w:rPr>
          <w:rFonts w:ascii="IRNazanin" w:hAnsi="IRNazanin" w:eastAsia="IRNazanin" w:cs="IRNazanin"/>
          <w:lang w:bidi="fa-IR"/>
          <w:color w:val="111111"/>
          <w:sz w:val="28"/>
          <w:szCs w:val="28"/>
          <w:rtl/>
        </w:rPr>
        <w:t xml:space="preserve">[فهرستواره منزوی 2596/4 که از کمال الدین الهی اردبیلی دانسته؛ الذریعه 7/2 از الهی اردبیلی دانسته]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اصفهان؛ مدرسه صدر بازار؛ شماره نسخه: 15/1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اواخر ربیع الاول 721ق (پایان رساله اول شاید تاریخ تالیف باشد)؛ مجدول و دارای اشکال هندسی؛ مهر: «عبدالوهاب بن محمدمهدى الموسوى» (بیضی)، «محمد باقر محمد نقى الموسوى» (بیضی)، مهر بیضوى وقف كتاب؛ تملک: ابراهیم با مهر «و ان من شيفته لابراهیم» (مربع)؛ 169گ (1پ- 169 پ)، 23 سطر، اندازه: 15</w:t>
      </w:r>
      <w:r>
        <w:rPr>
          <w:rFonts w:ascii="Times New Roman" w:hAnsi="Times New Roman" w:eastAsia="Times New Roman" w:cs="Times New Roman"/>
          <w:lang w:val="en-US" w:bidi="en-US"/>
          <w:color w:val="111111"/>
          <w:sz w:val="28"/>
          <w:szCs w:val="28"/>
          <w:rtl/>
        </w:rPr>
        <w:t xml:space="preserve">×25</w:t>
      </w:r>
      <w:r>
        <w:rPr>
          <w:rFonts w:ascii="IRNazanin" w:hAnsi="IRNazanin" w:eastAsia="IRNazanin" w:cs="IRNazanin"/>
          <w:lang w:bidi="fa-IR"/>
          <w:color w:val="111111"/>
          <w:sz w:val="28"/>
          <w:szCs w:val="28"/>
          <w:rtl/>
        </w:rPr>
        <w:t xml:space="preserve">سم [ف: 1 - 25]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ملی؛ شماره نسخه: 1307</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کهن، بی کا، تا: 729ق؛ حاوی اشکال؛ کاغذ: بخارائئ ،جلد: تیماج عنابی ،مقوایی 222گ 27 سطر (8</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اندازه: 12/5</w:t>
      </w:r>
      <w:r>
        <w:rPr>
          <w:rFonts w:ascii="Times New Roman" w:hAnsi="Times New Roman" w:eastAsia="Times New Roman" w:cs="Times New Roman"/>
          <w:lang w:val="en-US" w:bidi="en-US"/>
          <w:color w:val="111111"/>
          <w:sz w:val="28"/>
          <w:szCs w:val="28"/>
          <w:rtl/>
        </w:rPr>
        <w:t xml:space="preserve">×25/5</w:t>
      </w:r>
      <w:r>
        <w:rPr>
          <w:rFonts w:ascii="IRNazanin" w:hAnsi="IRNazanin" w:eastAsia="IRNazanin" w:cs="IRNazanin"/>
          <w:lang w:bidi="fa-IR"/>
          <w:color w:val="111111"/>
          <w:sz w:val="28"/>
          <w:szCs w:val="28"/>
          <w:rtl/>
        </w:rPr>
        <w:t xml:space="preserve">سم [ف 9 - 295]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مشهد؛ رضوی؛ شماره نسخه: 5578/1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آمیخته با  نسخ، کا: زین العابدين بن على بن محمد ،حسنی تا: رجب 848ق کاغذ: حنایی آهارمهره 232 ص (1- 232) 27 سطر (27/2</w:t>
      </w:r>
      <w:r>
        <w:rPr>
          <w:rFonts w:ascii="Times New Roman" w:hAnsi="Times New Roman" w:eastAsia="Times New Roman" w:cs="Times New Roman"/>
          <w:lang w:val="en-US" w:bidi="en-US"/>
          <w:color w:val="111111"/>
          <w:sz w:val="28"/>
          <w:szCs w:val="28"/>
          <w:rtl/>
        </w:rPr>
        <w:t xml:space="preserve">× 11/3) </w:t>
      </w:r>
      <w:r>
        <w:rPr>
          <w:rFonts w:ascii="IRNazanin" w:hAnsi="IRNazanin" w:eastAsia="IRNazanin" w:cs="IRNazanin"/>
          <w:lang w:bidi="fa-IR"/>
          <w:color w:val="111111"/>
          <w:sz w:val="28"/>
          <w:szCs w:val="28"/>
          <w:rtl/>
        </w:rPr>
        <w:t xml:space="preserve">اندازه: 27/2</w:t>
      </w:r>
      <w:r>
        <w:rPr>
          <w:rFonts w:ascii="Times New Roman" w:hAnsi="Times New Roman" w:eastAsia="Times New Roman" w:cs="Times New Roman"/>
          <w:lang w:val="en-US" w:bidi="en-US"/>
          <w:color w:val="111111"/>
          <w:sz w:val="28"/>
          <w:szCs w:val="28"/>
          <w:rtl/>
        </w:rPr>
        <w:t xml:space="preserve">×18/7</w:t>
      </w:r>
      <w:r>
        <w:rPr>
          <w:rFonts w:ascii="IRNazanin" w:hAnsi="IRNazanin" w:eastAsia="IRNazanin" w:cs="IRNazanin"/>
          <w:lang w:bidi="fa-IR"/>
          <w:color w:val="111111"/>
          <w:sz w:val="28"/>
          <w:szCs w:val="28"/>
          <w:rtl/>
        </w:rPr>
        <w:t xml:space="preserve">سم [ف: 8-239 ]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مشهد؛ رضوی؛ شماره نسخه: 5641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صفر 872ق؛ کاغذ: اصفهانی آهار مهره، جلد: تيماج  جگری، 114گ، 25 سطر (12</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 اندازه: 18/5</w:t>
      </w:r>
      <w:r>
        <w:rPr>
          <w:rFonts w:ascii="Times New Roman" w:hAnsi="Times New Roman" w:eastAsia="Times New Roman" w:cs="Times New Roman"/>
          <w:lang w:val="en-US" w:bidi="en-US"/>
          <w:color w:val="111111"/>
          <w:sz w:val="28"/>
          <w:szCs w:val="28"/>
          <w:rtl/>
        </w:rPr>
        <w:t xml:space="preserve">×27</w:t>
      </w:r>
      <w:r>
        <w:rPr>
          <w:rFonts w:ascii="IRNazanin" w:hAnsi="IRNazanin" w:eastAsia="IRNazanin" w:cs="IRNazanin"/>
          <w:lang w:bidi="fa-IR"/>
          <w:color w:val="111111"/>
          <w:sz w:val="28"/>
          <w:szCs w:val="28"/>
          <w:rtl/>
        </w:rPr>
        <w:t xml:space="preserve">سم [ف: 8 - 22]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مشهد؛ رضوی؛ شماره نسخه: 6641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872ق[ رایانه ]</w:t>
      </w:r>
    </w:p>
    <w:p>
      <w:pPr>
        <w:pStyle w:val="Heading3"/>
      </w:pPr>
      <w:bookmarkStart w:id="778" w:name="_Toc300"/>
      <w:r>
        <w:t>اساس الكمال / گوناگون / فارسی</w:t>
      </w:r>
      <w:bookmarkEnd w:id="778"/>
    </w:p>
    <w:p>
      <w:pPr>
        <w:pStyle w:val="BookText"/>
      </w:pPr>
      <w:r>
        <w:rPr>
          <w:rFonts w:ascii="Times New Roman" w:hAnsi="Times New Roman" w:eastAsia="Times New Roman" w:cs="Times New Roman"/>
          <w:lang w:val="en-US" w:bidi="en-US"/>
          <w:color w:val="111111"/>
          <w:sz w:val="28"/>
          <w:szCs w:val="28"/>
          <w:rtl/>
        </w:rPr>
        <w:t xml:space="preserve">asas-ol-kamal</w:t>
      </w:r>
    </w:p>
    <w:p>
      <w:pPr>
        <w:pStyle w:val="BookText"/>
      </w:pPr>
      <w:r>
        <w:rPr>
          <w:rFonts w:ascii="IRNazanin" w:hAnsi="IRNazanin" w:eastAsia="IRNazanin" w:cs="IRNazanin"/>
          <w:lang w:bidi="fa-IR"/>
          <w:color w:val="111111"/>
          <w:sz w:val="28"/>
          <w:szCs w:val="28"/>
          <w:rtl/>
        </w:rPr>
        <w:t xml:space="preserve">صدر الشریعه ،شیرازی عبدالحی بن مفید، ق14 قمری</w:t>
      </w:r>
    </w:p>
    <w:p>
      <w:pPr>
        <w:pStyle w:val="BookText"/>
      </w:pPr>
      <w:r>
        <w:rPr>
          <w:rFonts w:ascii="Times New Roman" w:hAnsi="Times New Roman" w:eastAsia="Times New Roman" w:cs="Times New Roman"/>
          <w:lang w:val="en-US" w:bidi="en-US"/>
          <w:color w:val="111111"/>
          <w:sz w:val="28"/>
          <w:szCs w:val="28"/>
          <w:rtl/>
        </w:rPr>
        <w:t xml:space="preserve">(sadr-oš-šarī ́e šīrāzī, 'abd-ol-hayy ebn-e mofid (- 20c)</w:t>
      </w:r>
    </w:p>
    <w:p>
      <w:pPr>
        <w:pStyle w:val="BookText"/>
      </w:pPr>
      <w:r>
        <w:rPr>
          <w:rFonts w:ascii="IRNazanin" w:hAnsi="IRNazanin" w:eastAsia="IRNazanin" w:cs="IRNazanin"/>
          <w:lang w:bidi="fa-IR"/>
          <w:color w:val="111111"/>
          <w:sz w:val="28"/>
          <w:szCs w:val="28"/>
          <w:rtl/>
        </w:rPr>
        <w:t xml:space="preserve">جنگ و کشکول مانند است.</w:t>
      </w:r>
    </w:p>
    <w:p>
      <w:pPr>
        <w:pStyle w:val="BookText"/>
      </w:pPr>
      <w:r>
        <w:rPr>
          <w:rFonts w:ascii="Amiri" w:hAnsi="Amiri" w:eastAsia="Amiri" w:cs="Amiri"/>
          <w:lang w:bidi="ar-SA"/>
          <w:color w:val="111111"/>
          <w:sz w:val="28"/>
          <w:szCs w:val="28"/>
          <w:rtl/>
        </w:rPr>
        <w:t xml:space="preserve">[الذريعه 7/2]</w:t>
      </w:r>
    </w:p>
    <w:p>
      <w:pPr>
        <w:pStyle w:val="BookText"/>
      </w:pPr>
      <w:r>
        <w:rPr>
          <w:rFonts w:ascii="IRNazanin" w:hAnsi="IRNazanin" w:eastAsia="IRNazanin" w:cs="IRNazanin"/>
          <w:lang w:bidi="fa-IR"/>
          <w:color w:val="111111"/>
          <w:sz w:val="28"/>
          <w:szCs w:val="28"/>
          <w:rtl/>
        </w:rPr>
        <w:t xml:space="preserve">تهران؛ ادبیات؛ شماره نسخه: 329 حکمت</w:t>
      </w:r>
    </w:p>
    <w:p>
      <w:pPr>
        <w:pStyle w:val="BookText"/>
      </w:pPr>
      <w:r>
        <w:rPr>
          <w:rFonts w:ascii="IRNazanin" w:hAnsi="IRNazanin" w:eastAsia="IRNazanin" w:cs="IRNazanin"/>
          <w:lang w:bidi="fa-IR"/>
          <w:color w:val="111111"/>
          <w:sz w:val="28"/>
          <w:szCs w:val="28"/>
          <w:rtl/>
        </w:rPr>
        <w:t xml:space="preserve">جزو نخستین؛ خط: نسخ، كا: علی اصغر بن محمد باقر شیرازی، تا: دوشنبه 22 ذیقعده 1311ق؛ جلد: مقوا، قطع :خشتی [ف:2- 3]</w:t>
      </w:r>
    </w:p>
    <w:p>
      <w:pPr>
        <w:pStyle w:val="Heading3"/>
      </w:pPr>
      <w:bookmarkStart w:id="779" w:name="_Toc301"/>
      <w:r>
        <w:t>اساس (... لات) في قمع الجهالات / كلام و اعتقادات / عربی</w:t>
      </w:r>
      <w:bookmarkEnd w:id="779"/>
    </w:p>
    <w:p>
      <w:pPr>
        <w:pStyle w:val="BookText"/>
      </w:pPr>
      <w:r>
        <w:rPr>
          <w:rFonts w:ascii="Times New Roman" w:hAnsi="Times New Roman" w:eastAsia="Times New Roman" w:cs="Times New Roman"/>
          <w:lang w:val="en-US" w:bidi="en-US"/>
          <w:color w:val="111111"/>
          <w:sz w:val="28"/>
          <w:szCs w:val="28"/>
          <w:rtl/>
        </w:rPr>
        <w:t xml:space="preserve">asās (... lāt) fi qam'-il jihālāt</w:t>
      </w:r>
    </w:p>
    <w:p>
      <w:pPr>
        <w:pStyle w:val="BookText"/>
      </w:pPr>
      <w:r>
        <w:rPr>
          <w:rFonts w:ascii="IRNazanin" w:hAnsi="IRNazanin" w:eastAsia="IRNazanin" w:cs="IRNazanin"/>
          <w:lang w:bidi="fa-IR"/>
          <w:color w:val="111111"/>
          <w:sz w:val="28"/>
          <w:szCs w:val="28"/>
          <w:rtl/>
        </w:rPr>
        <w:t xml:space="preserve">رساله ای در بیان اصول و قواعد مناظره و مباحثه با فرق کلامی اسلامی که در آن با بیان عقاید فرقه های منحرف آنها را رد و دیدگاه های اعتقادیشان را نقد می کند نام رساله تنها در یک جا آمده که آن هم کلمه  دوم پاک شده است. نویسنده شیعی زیدی مذهب است و در رساله آراء ،مرجئه اهل جبر، اهل نظر احمد بن حنبل اهل حدیث ،قرآن اهل امامت (نظریه شیعه امامی) و بالاخره اهل تجسیم را نقد و رد کرده است. به دلیل پاک شدن عنوان کتاب نام دقیق رساله معلوم نشد.</w:t>
      </w:r>
    </w:p>
    <w:p>
      <w:pPr>
        <w:pStyle w:val="BookText"/>
      </w:pPr>
      <w:r>
        <w:rPr>
          <w:rFonts w:ascii="IRNazanin" w:hAnsi="IRNazanin" w:eastAsia="IRNazanin" w:cs="IRNazanin"/>
          <w:lang w:bidi="fa-IR"/>
          <w:color w:val="111111"/>
          <w:sz w:val="28"/>
          <w:szCs w:val="28"/>
          <w:rtl/>
        </w:rPr>
        <w:t xml:space="preserve">تهران؛ مجلس؛ شماره نسخه: 10727/4</w:t>
      </w:r>
    </w:p>
    <w:p>
      <w:pPr>
        <w:pStyle w:val="BookText"/>
      </w:pPr>
      <w:r>
        <w:rPr>
          <w:rFonts w:ascii="IRNazanin" w:hAnsi="IRNazanin" w:eastAsia="IRNazanin" w:cs="IRNazanin"/>
          <w:lang w:bidi="fa-IR"/>
          <w:color w:val="111111"/>
          <w:sz w:val="28"/>
          <w:szCs w:val="28"/>
          <w:rtl/>
        </w:rPr>
        <w:t xml:space="preserve">آغاز: الحمد لله فاطر الخلق و موجده و مظهر الخلق و (...) الذى جعل الدين وزراً لمن اعتقده ... و جعل الباطل مزلاً لمن ابتغاه و مذلاً لمن اقتفاه؛ انجام: فصل فی شرح البقايق التي يبقبقونها على المتبقبق في ملة التجسيم...</w:t>
      </w:r>
    </w:p>
    <w:p>
      <w:pPr>
        <w:pStyle w:val="BookText"/>
      </w:pPr>
      <w:r>
        <w:rPr>
          <w:rFonts w:ascii="IRNazanin" w:hAnsi="IRNazanin" w:eastAsia="IRNazanin" w:cs="IRNazanin"/>
          <w:lang w:bidi="fa-IR"/>
          <w:color w:val="111111"/>
          <w:sz w:val="28"/>
          <w:szCs w:val="28"/>
          <w:rtl/>
        </w:rPr>
        <w:t xml:space="preserve">خط: نسخ کهن، بی کا، بی تا؛ افتادگی: انجام؛ نسخه نفیس و کهن و ارزشمند است؛ جلد: تیماج قهوه ای، 23گ (44پ-66پ)، اندازه: 13</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 [ف: 33/1 - 205]</w:t>
      </w:r>
    </w:p>
    <w:p>
      <w:pPr>
        <w:pStyle w:val="Heading3"/>
      </w:pPr>
      <w:bookmarkStart w:id="780" w:name="_Toc302"/>
      <w:r>
        <w:t>الأساس لأنساب الناس / انساب / عربي</w:t>
      </w:r>
      <w:bookmarkEnd w:id="780"/>
    </w:p>
    <w:p>
      <w:pPr>
        <w:pStyle w:val="BookText"/>
      </w:pPr>
      <w:r>
        <w:rPr>
          <w:rFonts w:ascii="Times New Roman" w:hAnsi="Times New Roman" w:eastAsia="Times New Roman" w:cs="Times New Roman"/>
          <w:lang w:val="en-US" w:bidi="en-US"/>
          <w:color w:val="111111"/>
          <w:sz w:val="28"/>
          <w:szCs w:val="28"/>
          <w:rtl/>
        </w:rPr>
        <w:t xml:space="preserve">al-a'sās li-a'nsāb-in nās</w:t>
      </w:r>
    </w:p>
    <w:p>
      <w:pPr>
        <w:pStyle w:val="BookText"/>
      </w:pPr>
      <w:r>
        <w:rPr>
          <w:rFonts w:ascii="IRNazanin" w:hAnsi="IRNazanin" w:eastAsia="IRNazanin" w:cs="IRNazanin"/>
          <w:lang w:bidi="fa-IR"/>
          <w:color w:val="111111"/>
          <w:sz w:val="28"/>
          <w:szCs w:val="28"/>
          <w:rtl/>
        </w:rPr>
        <w:t xml:space="preserve">حسینی اعرجی جعفر بن محمد - 1332 قمری</w:t>
      </w:r>
    </w:p>
    <w:p>
      <w:pPr>
        <w:pStyle w:val="BookText"/>
      </w:pPr>
      <w:r>
        <w:rPr>
          <w:rFonts w:ascii="Times New Roman" w:hAnsi="Times New Roman" w:eastAsia="Times New Roman" w:cs="Times New Roman"/>
          <w:lang w:val="en-US" w:bidi="en-US"/>
          <w:color w:val="111111"/>
          <w:sz w:val="28"/>
          <w:szCs w:val="28"/>
          <w:rtl/>
        </w:rPr>
        <w:t xml:space="preserve">(hoseynī-ye a‘rajī, ja‘far ebn-e mohammad (- 1914)</w:t>
      </w:r>
    </w:p>
    <w:p>
      <w:pPr>
        <w:pStyle w:val="BookText"/>
      </w:pPr>
      <w:r>
        <w:rPr>
          <w:rFonts w:ascii="IRNazanin" w:hAnsi="IRNazanin" w:eastAsia="IRNazanin" w:cs="IRNazanin"/>
          <w:lang w:bidi="fa-IR"/>
          <w:color w:val="111111"/>
          <w:sz w:val="28"/>
          <w:szCs w:val="28"/>
          <w:rtl/>
        </w:rPr>
        <w:t xml:space="preserve">کتاب بسیار مهمی است در علم  نسب. مؤلف در مقدمه آورده که با استفاده از صد کتاب نسب و دیدگاه های بزرگان این علم این کتاب را به رشته تحریر درآورده  است، مطالب کتاب از یک «مقدمه»، «مقاصد»، و «فصول» و «درر» ترتیب یافته است: مقصد 1. نسب کسانی که بین حضرت آدم و نوح نبی (علیه السّلام) قرار دارند؛ ... مقصد .5. انساب بنی هاشم؛ مقصد 6. انساب فاطميين.</w:t>
      </w:r>
    </w:p>
    <w:p>
      <w:pPr>
        <w:pStyle w:val="BookText"/>
      </w:pPr>
      <w:r>
        <w:rPr>
          <w:rFonts w:ascii="IRNazanin" w:hAnsi="IRNazanin" w:eastAsia="IRNazanin" w:cs="IRNazanin"/>
          <w:lang w:bidi="fa-IR"/>
          <w:color w:val="111111"/>
          <w:sz w:val="28"/>
          <w:szCs w:val="28"/>
          <w:rtl/>
        </w:rPr>
        <w:t xml:space="preserve">چاپ: به تصحیح سید حسين ابوسعيدة، نجف اشرف، 1427ق.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00" w:name="pg20365_260132"/>
    <w:bookmarkEnd w:id="100"/>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مرعشی شماره نسخه: 14533</w:t>
      </w:r>
    </w:p>
    <w:p>
      <w:pPr>
        <w:pStyle w:val="BookText"/>
      </w:pPr>
      <w:r>
        <w:rPr>
          <w:rFonts w:ascii="IRNazanin" w:hAnsi="IRNazanin" w:eastAsia="IRNazanin" w:cs="IRNazanin"/>
          <w:lang w:bidi="fa-IR"/>
          <w:color w:val="111111"/>
          <w:sz w:val="28"/>
          <w:szCs w:val="28"/>
          <w:rtl/>
        </w:rPr>
        <w:t xml:space="preserve">آغاز: بسمله الحمد لله رب العالمين ... اما بعد، فيقول .... إنى كنت في عنفوان الشباب مغرماً بمعرفة الأنساب منهمكاً على الوقو على أحساب ذوى أحساب ذوى الأحساب حتى وفقنى الملک الوهاب فجمعت منها مائة كتاب و كنت قد رسمت جمیع ما جمعه السيدان؛ انجام: و يشتمل على مقدمة و مقاصد و فصول...محمد بن الحسن ابى القاسم بن يوسف، منصور بن أبي يعقوب، قوت  القلوب</w:t>
      </w:r>
    </w:p>
    <w:p>
      <w:pPr>
        <w:pStyle w:val="BookText"/>
      </w:pPr>
      <w:r>
        <w:rPr>
          <w:rFonts w:ascii="IRNazanin" w:hAnsi="IRNazanin" w:eastAsia="IRNazanin" w:cs="IRNazanin"/>
          <w:lang w:bidi="fa-IR"/>
          <w:color w:val="111111"/>
          <w:sz w:val="28"/>
          <w:szCs w:val="28"/>
          <w:rtl/>
        </w:rPr>
        <w:t xml:space="preserve">خط: نسخ كاتب = مؤلف (احتمالاً) تا: قرن 14 ؛کاغذ: فرنگی، جلد: تیماج قهوه ای ضربی مجدول با لچک و ترنج، 177 گ، سطور اشجاری (19</w:t>
      </w:r>
      <w:r>
        <w:rPr>
          <w:rFonts w:ascii="Times New Roman" w:hAnsi="Times New Roman" w:eastAsia="Times New Roman" w:cs="Times New Roman"/>
          <w:lang w:val="en-US" w:bidi="en-US"/>
          <w:color w:val="111111"/>
          <w:sz w:val="28"/>
          <w:szCs w:val="28"/>
          <w:rtl/>
        </w:rPr>
        <w:t xml:space="preserve">×34) </w:t>
      </w:r>
      <w:r>
        <w:rPr>
          <w:rFonts w:ascii="IRNazanin" w:hAnsi="IRNazanin" w:eastAsia="IRNazanin" w:cs="IRNazanin"/>
          <w:lang w:bidi="fa-IR"/>
          <w:color w:val="111111"/>
          <w:sz w:val="28"/>
          <w:szCs w:val="28"/>
          <w:rtl/>
        </w:rPr>
        <w:t xml:space="preserve">اندازه: 22</w:t>
      </w:r>
      <w:r>
        <w:rPr>
          <w:rFonts w:ascii="Times New Roman" w:hAnsi="Times New Roman" w:eastAsia="Times New Roman" w:cs="Times New Roman"/>
          <w:lang w:val="en-US" w:bidi="en-US"/>
          <w:color w:val="111111"/>
          <w:sz w:val="28"/>
          <w:szCs w:val="28"/>
          <w:rtl/>
        </w:rPr>
        <w:t xml:space="preserve">×36</w:t>
      </w:r>
      <w:r>
        <w:rPr>
          <w:rFonts w:ascii="IRNazanin" w:hAnsi="IRNazanin" w:eastAsia="IRNazanin" w:cs="IRNazanin"/>
          <w:lang w:bidi="fa-IR"/>
          <w:color w:val="111111"/>
          <w:sz w:val="28"/>
          <w:szCs w:val="28"/>
          <w:rtl/>
        </w:rPr>
        <w:t xml:space="preserve">سم [ف: 36- 537]</w:t>
      </w:r>
    </w:p>
    <w:p>
      <w:pPr>
        <w:pStyle w:val="Heading3"/>
      </w:pPr>
      <w:bookmarkStart w:id="781" w:name="_Toc303"/>
      <w:r>
        <w:t>الاساس لعقائد الاكياس فى معرفة رب العالمين / كلام و اعتقادات / عربی</w:t>
      </w:r>
      <w:bookmarkEnd w:id="781"/>
    </w:p>
    <w:p>
      <w:pPr>
        <w:pStyle w:val="BookText"/>
      </w:pPr>
      <w:r>
        <w:rPr>
          <w:rFonts w:ascii="Times New Roman" w:hAnsi="Times New Roman" w:eastAsia="Times New Roman" w:cs="Times New Roman"/>
          <w:lang w:val="en-US" w:bidi="en-US"/>
          <w:color w:val="111111"/>
          <w:sz w:val="28"/>
          <w:szCs w:val="28"/>
          <w:rtl/>
        </w:rPr>
        <w:t xml:space="preserve">al-asās li-‘aqā’id-il-akyās fī ma‘rifat-i rabb-il-‘ālamīn</w:t>
      </w:r>
    </w:p>
    <w:p>
      <w:pPr>
        <w:pStyle w:val="BookText"/>
      </w:pPr>
      <w:r>
        <w:rPr>
          <w:rFonts w:ascii="IRNazanin" w:hAnsi="IRNazanin" w:eastAsia="IRNazanin" w:cs="IRNazanin"/>
          <w:lang w:bidi="fa-IR"/>
          <w:color w:val="111111"/>
          <w:sz w:val="28"/>
          <w:szCs w:val="28"/>
          <w:rtl/>
        </w:rPr>
        <w:t xml:space="preserve">منصور بالله قاسم بن محمد، 967 - 1029 قمری</w:t>
      </w:r>
    </w:p>
    <w:p>
      <w:pPr>
        <w:pStyle w:val="BookText"/>
      </w:pPr>
      <w:r>
        <w:rPr>
          <w:rFonts w:ascii="Times New Roman" w:hAnsi="Times New Roman" w:eastAsia="Times New Roman" w:cs="Times New Roman"/>
          <w:lang w:val="en-US" w:bidi="en-US"/>
          <w:color w:val="111111"/>
          <w:sz w:val="28"/>
          <w:szCs w:val="28"/>
          <w:rtl/>
        </w:rPr>
        <w:t xml:space="preserve">(1620-mansūr-o be-l-lāh, qāsem ebn-e mohammad (1560 -</w:t>
      </w:r>
    </w:p>
    <w:p>
      <w:pPr>
        <w:pStyle w:val="BookText"/>
      </w:pPr>
      <w:r>
        <w:rPr>
          <w:rFonts w:ascii="IRNazanin" w:hAnsi="IRNazanin" w:eastAsia="IRNazanin" w:cs="IRNazanin"/>
          <w:lang w:bidi="fa-IR"/>
          <w:color w:val="111111"/>
          <w:sz w:val="28"/>
          <w:szCs w:val="28"/>
          <w:rtl/>
        </w:rPr>
        <w:t xml:space="preserve">از مشهورترین کتابهای نوشته شده در اصول دین بر مذهب زیدیه می باشد که مورد توجه علمای بسیاری قرار گرفته و بر شروح و حواشی نگاشته اند .</w:t>
      </w:r>
    </w:p>
    <w:p>
      <w:pPr>
        <w:pStyle w:val="BookText"/>
      </w:pPr>
      <w:r>
        <w:rPr>
          <w:rFonts w:ascii="IRNazanin" w:hAnsi="IRNazanin" w:eastAsia="IRNazanin" w:cs="IRNazanin"/>
          <w:lang w:bidi="fa-IR"/>
          <w:color w:val="111111"/>
          <w:sz w:val="28"/>
          <w:szCs w:val="28"/>
          <w:rtl/>
        </w:rPr>
        <w:t xml:space="preserve">آغاز: الحمد لله الذى فلق اصباح العقول في قلوب اعلام بریته فاشعلها سبحانه بمصابيح الانوار القاشعة.</w:t>
      </w:r>
    </w:p>
    <w:p>
      <w:pPr>
        <w:pStyle w:val="BookText"/>
      </w:pPr>
      <w:r>
        <w:rPr>
          <w:rFonts w:ascii="Amiri" w:hAnsi="Amiri" w:eastAsia="Amiri" w:cs="Amiri"/>
          <w:lang w:bidi="ar-SA"/>
          <w:color w:val="111111"/>
          <w:sz w:val="28"/>
          <w:szCs w:val="28"/>
          <w:rtl/>
        </w:rPr>
        <w:t xml:space="preserve">انجام: ثم يجزيه الجزاء الاوفى وسلام على المرسلين و الحمه رب العالمين.</w:t>
      </w:r>
    </w:p>
    <w:p>
      <w:pPr>
        <w:pStyle w:val="BookText"/>
      </w:pPr>
      <w:r>
        <w:rPr>
          <w:rFonts w:ascii="IRNazanin" w:hAnsi="IRNazanin" w:eastAsia="IRNazanin" w:cs="IRNazanin"/>
          <w:lang w:bidi="fa-IR"/>
          <w:color w:val="111111"/>
          <w:sz w:val="28"/>
          <w:szCs w:val="28"/>
          <w:rtl/>
        </w:rPr>
        <w:t xml:space="preserve">چاپ: بیروت ،محقق: البير عصری  نادر، دار الطليعة للطباعة 1980م.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مجلس؛ شماره نسخه: 1367</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در فهرست شناسایی نشده است که به قرینه آغاز تعیین گردید؛ خط: نسخ مخلوط و ناخوانا، کا: سید احمد بن علی، تا: 1033 ق؛کاغذ: ایرانی ضخیم، جلد: تیماج ،سبز، 123ص، 16 سطر، قم ،وزیری اندازه: 15</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4 - 129]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ملک؛ شماره نسخه: 955/4</w:t>
      </w:r>
    </w:p>
    <w:p>
      <w:pPr>
        <w:pStyle w:val="BookText"/>
      </w:pPr>
      <w:r>
        <w:rPr>
          <w:rFonts w:ascii="IRNazanin" w:hAnsi="IRNazanin" w:eastAsia="IRNazanin" w:cs="IRNazanin"/>
          <w:lang w:bidi="fa-IR"/>
          <w:color w:val="111111"/>
          <w:sz w:val="28"/>
          <w:szCs w:val="28"/>
          <w:rtl/>
        </w:rPr>
        <w:t xml:space="preserve">نسخه در آغاز پیش از فصل ولا اكفار ... افتاده است؛ خط: نسخ ، کا ،احمد، تا :جمادی الاول 1033ق، جا: مسجد ریشا بنی شاده در لاغه؛ افتادگی: آغاز:کاغذ: پسته ای، جلد: میشن لایی سورمه ای، 16 سطر [ف: 5 - 219]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دانشگاه؛ شماره نسخه: 977-ف</w:t>
      </w:r>
    </w:p>
    <w:p>
      <w:pPr>
        <w:pStyle w:val="BookText"/>
      </w:pPr>
      <w:r>
        <w:rPr>
          <w:rFonts w:ascii="IRNazanin" w:hAnsi="IRNazanin" w:eastAsia="IRNazanin" w:cs="IRNazanin"/>
          <w:lang w:bidi="fa-IR"/>
          <w:color w:val="111111"/>
          <w:sz w:val="28"/>
          <w:szCs w:val="28"/>
          <w:rtl/>
        </w:rPr>
        <w:t xml:space="preserve">نسخه اصل: مكتبة الاوقاف بغدادش 7059( فهرست طلس 124) ؛خط: نسخ، بی کا، تا: 19 رجب 1305ق [ فیلم ها-ف: 1 - 282]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قم؛ مرکز احیاء؛ شماره نسخه: 1611/2</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نسخه اصلی: کتابخانه واتيكان- رم 1029؛ خط: نسخ نازیبا، کا: على بن بدر بن علی  اهجری، تا: پنج شنبه 13 شوال 1319ق، جا: محروس طویله؛ از روی نسخه کتابت شده در 29 ذیحجه 1054به خط احمد بن ناصر بن محمد بن يحيى بن الامام المتوكل على الله ؛ 217 ص( 25-242) [ عکسی :ف 5 - 24]</w:t>
      </w:r>
    </w:p>
    <w:p>
      <w:pPr>
        <w:pStyle w:val="BookText"/>
      </w:pPr>
      <w:r>
        <w:rPr>
          <w:rFonts w:ascii="Amiri" w:hAnsi="Amiri" w:eastAsia="Amiri" w:cs="Amiri"/>
          <w:lang w:bidi="ar-SA"/>
          <w:color w:val="111111"/>
          <w:sz w:val="28"/>
          <w:szCs w:val="28"/>
          <w:rtl/>
        </w:rPr>
        <w:t xml:space="preserve">«اساس اللغة ومقياس البلاغة » اساس البلاغة</w:t>
      </w:r>
    </w:p>
    <w:p>
      <w:pPr>
        <w:pStyle w:val="Heading3"/>
      </w:pPr>
      <w:bookmarkStart w:id="782" w:name="_Toc304"/>
      <w:r>
        <w:t>اساس المبانی - ترجمه حرز الامانی / قرائت / فارسی</w:t>
      </w:r>
      <w:bookmarkEnd w:id="782"/>
    </w:p>
    <w:p>
      <w:pPr>
        <w:pStyle w:val="BookText"/>
      </w:pPr>
      <w:r>
        <w:rPr>
          <w:rFonts w:ascii="Times New Roman" w:hAnsi="Times New Roman" w:eastAsia="Times New Roman" w:cs="Times New Roman"/>
          <w:lang w:val="en-US" w:bidi="en-US"/>
          <w:color w:val="111111"/>
          <w:sz w:val="28"/>
          <w:szCs w:val="28"/>
          <w:rtl/>
        </w:rPr>
        <w:t xml:space="preserve">asās-ol-mabānī = t.-ye herz-ol-amānī</w:t>
      </w:r>
    </w:p>
    <w:p>
      <w:pPr>
        <w:pStyle w:val="BookText"/>
      </w:pPr>
      <w:r>
        <w:rPr>
          <w:rFonts w:ascii="IRNazanin" w:hAnsi="IRNazanin" w:eastAsia="IRNazanin" w:cs="IRNazanin"/>
          <w:lang w:bidi="fa-IR"/>
          <w:color w:val="111111"/>
          <w:sz w:val="28"/>
          <w:szCs w:val="28"/>
          <w:rtl/>
        </w:rPr>
        <w:t xml:space="preserve">زواره،ای علی بن حسن، ق 10 قمری</w:t>
      </w:r>
    </w:p>
    <w:p>
      <w:pPr>
        <w:pStyle w:val="BookText"/>
      </w:pPr>
      <w:r>
        <w:rPr>
          <w:rFonts w:ascii="Times New Roman" w:hAnsi="Times New Roman" w:eastAsia="Times New Roman" w:cs="Times New Roman"/>
          <w:lang w:val="en-US" w:bidi="en-US"/>
          <w:color w:val="111111"/>
          <w:sz w:val="28"/>
          <w:szCs w:val="28"/>
          <w:rtl/>
        </w:rPr>
        <w:t xml:space="preserve">(zavvāre’ī, ‘alī ibn-i hasan (- 16c)</w:t>
      </w:r>
    </w:p>
    <w:p>
      <w:pPr>
        <w:pStyle w:val="BookText"/>
      </w:pPr>
      <w:r>
        <w:rPr>
          <w:rFonts w:ascii="IRNazanin" w:hAnsi="IRNazanin" w:eastAsia="IRNazanin" w:cs="IRNazanin"/>
          <w:lang w:bidi="fa-IR"/>
          <w:color w:val="111111"/>
          <w:sz w:val="28"/>
          <w:szCs w:val="28"/>
          <w:rtl/>
        </w:rPr>
        <w:t xml:space="preserve">وابسته به: حرز الامانی و وجه التهاني = قصيدة الشاطبية شاطبى، قاسم بن فيره (538-590 )</w:t>
      </w:r>
    </w:p>
    <w:p>
      <w:pPr>
        <w:pStyle w:val="BookText"/>
      </w:pPr>
      <w:r>
        <w:rPr>
          <w:rFonts w:ascii="IRNazanin" w:hAnsi="IRNazanin" w:eastAsia="IRNazanin" w:cs="IRNazanin"/>
          <w:lang w:bidi="fa-IR"/>
          <w:color w:val="111111"/>
          <w:sz w:val="28"/>
          <w:szCs w:val="28"/>
          <w:rtl/>
        </w:rPr>
        <w:t xml:space="preserve">ترجمه و شرح نیکویی بر قصیده «حرز الاماني و وجه التهاني» ابی محمد قاسم بن فيرة شاطبی  است .هر بیت را با سه عنوان «اللغة، الاعراب، حاصل المعنى» شرح کرده و به مباحث مفصل و مناقشات بسیار نپرداخته و در اول ترجمه ای از شاطبی است.</w:t>
      </w:r>
    </w:p>
    <w:p>
      <w:pPr>
        <w:pStyle w:val="BookText"/>
      </w:pPr>
      <w:r>
        <w:rPr>
          <w:rFonts w:ascii="IRNazanin" w:hAnsi="IRNazanin" w:eastAsia="IRNazanin" w:cs="IRNazanin"/>
          <w:lang w:bidi="fa-IR"/>
          <w:color w:val="111111"/>
          <w:sz w:val="28"/>
          <w:szCs w:val="28"/>
          <w:rtl/>
        </w:rPr>
        <w:t xml:space="preserve">آغاز: سپاس بی قیاس حضرت متکلمی را رواست که نظم با نظام تنزیل را از شائبه تغییر و تبدیل نگاه داشت</w:t>
      </w:r>
    </w:p>
    <w:p>
      <w:pPr>
        <w:pStyle w:val="BookText"/>
      </w:pPr>
      <w:r>
        <w:rPr>
          <w:rFonts w:ascii="IRNazanin" w:hAnsi="IRNazanin" w:eastAsia="IRNazanin" w:cs="IRNazanin"/>
          <w:lang w:bidi="fa-IR"/>
          <w:color w:val="111111"/>
          <w:sz w:val="28"/>
          <w:szCs w:val="28"/>
          <w:rtl/>
        </w:rPr>
        <w:t xml:space="preserve">انجام: و احشرنا في زمرة محبيهم الى يوم الدين بجاه سید المرسلين و الائمة المعصومين صلوات الله عليهم اجمعين</w:t>
      </w:r>
    </w:p>
    <w:p>
      <w:pPr>
        <w:pStyle w:val="BookText"/>
      </w:pPr>
      <w:r>
        <w:rPr>
          <w:rFonts w:ascii="IRNazanin" w:hAnsi="IRNazanin" w:eastAsia="IRNazanin" w:cs="IRNazanin"/>
          <w:lang w:bidi="fa-IR"/>
          <w:color w:val="111111"/>
          <w:sz w:val="28"/>
          <w:szCs w:val="28"/>
          <w:rtl/>
        </w:rPr>
        <w:t xml:space="preserve">مشهد؛ مرتضوی؛ شماره نسخه: بدون شماره</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نستعليق، كا: لطف الله بن شكر الله طبیب کاشانی، تا: 21 ربیع الاول 959ق؛ مصحح؛ تملکی به سال 1317 با مهر «عبده لطفعلی»</w:t>
      </w:r>
    </w:p>
    <w:p>
      <w:pPr>
        <w:pStyle w:val="BookText"/>
      </w:pPr>
      <w:r>
        <w:rPr>
          <w:rFonts w:ascii="IRNazanin" w:hAnsi="IRNazanin" w:eastAsia="IRNazanin" w:cs="IRNazanin"/>
          <w:lang w:bidi="fa-IR"/>
          <w:color w:val="111111"/>
          <w:sz w:val="28"/>
          <w:szCs w:val="28"/>
          <w:rtl/>
        </w:rPr>
        <w:t xml:space="preserve">(بیضی) [ف: 6]</w:t>
      </w:r>
    </w:p>
    <w:p>
      <w:pPr>
        <w:pStyle w:val="BookText"/>
      </w:pPr>
      <w:r>
        <w:rPr>
          <w:rFonts w:ascii="IRNazanin" w:hAnsi="IRNazanin" w:eastAsia="IRNazanin" w:cs="IRNazanin"/>
          <w:lang w:bidi="fa-IR"/>
          <w:color w:val="111111"/>
          <w:sz w:val="28"/>
          <w:szCs w:val="28"/>
          <w:rtl/>
        </w:rPr>
        <w:t xml:space="preserve">قم؛ مرکز احیاء؛ شماره نسخه: 2584</w:t>
      </w:r>
    </w:p>
    <w:p>
      <w:pPr>
        <w:pStyle w:val="BookText"/>
      </w:pPr>
      <w:r>
        <w:rPr>
          <w:rFonts w:ascii="IRNazanin" w:hAnsi="IRNazanin" w:eastAsia="IRNazanin" w:cs="IRNazanin"/>
          <w:lang w:bidi="fa-IR"/>
          <w:color w:val="111111"/>
          <w:sz w:val="28"/>
          <w:szCs w:val="28"/>
          <w:rtl/>
        </w:rPr>
        <w:t xml:space="preserve">نسخه اصل: همان نسخه بالا [عکسی ف: 7 - 173]</w:t>
      </w:r>
    </w:p>
    <w:p>
      <w:pPr>
        <w:pStyle w:val="Heading3"/>
      </w:pPr>
      <w:bookmarkStart w:id="783" w:name="_Toc305"/>
      <w:r>
        <w:t>اساس المصلى / فقه / فارسی</w:t>
      </w:r>
      <w:bookmarkEnd w:id="783"/>
    </w:p>
    <w:p>
      <w:pPr>
        <w:pStyle w:val="BookText"/>
      </w:pPr>
      <w:r>
        <w:rPr>
          <w:rFonts w:ascii="Times New Roman" w:hAnsi="Times New Roman" w:eastAsia="Times New Roman" w:cs="Times New Roman"/>
          <w:lang w:val="en-US" w:bidi="en-US"/>
          <w:color w:val="111111"/>
          <w:sz w:val="28"/>
          <w:szCs w:val="28"/>
          <w:rtl/>
        </w:rPr>
        <w:t xml:space="preserve">asās-ol-mosallā</w:t>
      </w:r>
    </w:p>
    <w:p>
      <w:pPr>
        <w:pStyle w:val="BookText"/>
      </w:pPr>
      <w:r>
        <w:rPr>
          <w:rFonts w:ascii="IRNazanin" w:hAnsi="IRNazanin" w:eastAsia="IRNazanin" w:cs="IRNazanin"/>
          <w:lang w:bidi="fa-IR"/>
          <w:color w:val="111111"/>
          <w:sz w:val="28"/>
          <w:szCs w:val="28"/>
          <w:rtl/>
        </w:rPr>
        <w:t xml:space="preserve">بدر رکن مذکر سندهی</w:t>
      </w:r>
    </w:p>
    <w:p>
      <w:pPr>
        <w:pStyle w:val="BookText"/>
      </w:pPr>
      <w:r>
        <w:rPr>
          <w:rFonts w:ascii="Times New Roman" w:hAnsi="Times New Roman" w:eastAsia="Times New Roman" w:cs="Times New Roman"/>
          <w:lang w:val="en-US" w:bidi="en-US"/>
          <w:color w:val="111111"/>
          <w:sz w:val="28"/>
          <w:szCs w:val="28"/>
          <w:rtl/>
        </w:rPr>
        <w:t xml:space="preserve">badr rokn-e mozakker-e sendehī</w:t>
      </w:r>
    </w:p>
    <w:p>
      <w:pPr>
        <w:pStyle w:val="BookText"/>
      </w:pPr>
      <w:r>
        <w:rPr>
          <w:rFonts w:ascii="IRNazanin" w:hAnsi="IRNazanin" w:eastAsia="IRNazanin" w:cs="IRNazanin"/>
          <w:lang w:bidi="fa-IR"/>
          <w:color w:val="111111"/>
          <w:sz w:val="28"/>
          <w:szCs w:val="28"/>
          <w:rtl/>
        </w:rPr>
        <w:t xml:space="preserve">رساله ای مختصر در احکام طهارت و نماز در دو «باب»: 1. وضو دارای ده «فصل» 2 ،نماز دارای بیست «فصل».</w:t>
      </w:r>
    </w:p>
    <w:p>
      <w:pPr>
        <w:pStyle w:val="BookText"/>
      </w:pPr>
      <w:r>
        <w:rPr>
          <w:rFonts w:ascii="IRNazanin" w:hAnsi="IRNazanin" w:eastAsia="IRNazanin" w:cs="IRNazanin"/>
          <w:lang w:bidi="fa-IR"/>
          <w:color w:val="111111"/>
          <w:sz w:val="28"/>
          <w:szCs w:val="28"/>
          <w:rtl/>
        </w:rPr>
        <w:t xml:space="preserve">قم؛ مرعشی؛ شماره نسخه: 8020/2</w:t>
      </w:r>
    </w:p>
    <w:p>
      <w:pPr>
        <w:pStyle w:val="BookText"/>
      </w:pPr>
      <w:r>
        <w:rPr>
          <w:rFonts w:ascii="IRNazanin" w:hAnsi="IRNazanin" w:eastAsia="IRNazanin" w:cs="IRNazanin"/>
          <w:lang w:bidi="fa-IR"/>
          <w:color w:val="111111"/>
          <w:sz w:val="28"/>
          <w:szCs w:val="28"/>
          <w:rtl/>
        </w:rPr>
        <w:t xml:space="preserve">آغاز: الحمد لله رب العالمين ... بدان اسعدك الله تعالى في الدارين که در فتاوی ناصری و فتاوی ظهیری و فتاوی شهابی؛ انجام: و چون با تیمم نماز می گذارد آب یافتن و صلى الله على خير خلقه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01" w:name="pg20365_260133"/>
    <w:bookmarkEnd w:id="101"/>
    <w:p>
      <w:pPr>
        <w:pStyle w:val="BookText"/>
      </w:pPr>
      <w:r>
        <w:rPr>
          <w:rFonts w:ascii="IRNazanin" w:hAnsi="IRNazanin" w:eastAsia="IRNazanin" w:cs="IRNazanin"/>
          <w:lang w:bidi="fa-IR"/>
          <w:color w:val="111111"/>
          <w:sz w:val="28"/>
          <w:szCs w:val="28"/>
          <w:rtl/>
        </w:rPr>
        <w:t xml:space="preserve">محمد و آله اجمعین برحمتک یا ارحم الراحمين</w:t>
      </w:r>
    </w:p>
    <w:p>
      <w:pPr>
        <w:pStyle w:val="BookText"/>
      </w:pPr>
      <w:r>
        <w:rPr>
          <w:rFonts w:ascii="IRNazanin" w:hAnsi="IRNazanin" w:eastAsia="IRNazanin" w:cs="IRNazanin"/>
          <w:lang w:bidi="fa-IR"/>
          <w:color w:val="111111"/>
          <w:sz w:val="28"/>
          <w:szCs w:val="28"/>
          <w:rtl/>
        </w:rPr>
        <w:t xml:space="preserve">خط: نسخ و نستعلیق، بی کا ،تا: قرن 11؛جلد: مقوایی عطف پارچه، 11گ (6پ -16ر) ،اندازه: 12</w:t>
      </w:r>
      <w:r>
        <w:rPr>
          <w:rFonts w:ascii="Times New Roman" w:hAnsi="Times New Roman" w:eastAsia="Times New Roman" w:cs="Times New Roman"/>
          <w:lang w:val="en-US" w:bidi="en-US"/>
          <w:color w:val="111111"/>
          <w:sz w:val="28"/>
          <w:szCs w:val="28"/>
          <w:rtl/>
        </w:rPr>
        <w:t xml:space="preserve">×17/5</w:t>
      </w:r>
      <w:r>
        <w:rPr>
          <w:rFonts w:ascii="IRNazanin" w:hAnsi="IRNazanin" w:eastAsia="IRNazanin" w:cs="IRNazanin"/>
          <w:lang w:bidi="fa-IR"/>
          <w:color w:val="111111"/>
          <w:sz w:val="28"/>
          <w:szCs w:val="28"/>
          <w:rtl/>
        </w:rPr>
        <w:t xml:space="preserve">سم [ف: 21 - 32]</w:t>
      </w:r>
    </w:p>
    <w:p>
      <w:pPr>
        <w:pStyle w:val="Heading3"/>
      </w:pPr>
      <w:bookmarkStart w:id="784" w:name="_Toc306"/>
      <w:r>
        <w:t>اساس معرفت / عرفان و تصوف / فارسی</w:t>
      </w:r>
      <w:bookmarkEnd w:id="784"/>
    </w:p>
    <w:p>
      <w:pPr>
        <w:pStyle w:val="BookText"/>
      </w:pPr>
      <w:r>
        <w:rPr>
          <w:rFonts w:ascii="Times New Roman" w:hAnsi="Times New Roman" w:eastAsia="Times New Roman" w:cs="Times New Roman"/>
          <w:lang w:val="en-US" w:bidi="en-US"/>
          <w:color w:val="111111"/>
          <w:sz w:val="28"/>
          <w:szCs w:val="28"/>
          <w:rtl/>
        </w:rPr>
        <w:t xml:space="preserve">asās-e ma‘refat</w:t>
      </w:r>
    </w:p>
    <w:p>
      <w:pPr>
        <w:pStyle w:val="BookText"/>
      </w:pPr>
      <w:r>
        <w:rPr>
          <w:rFonts w:ascii="IRNazanin" w:hAnsi="IRNazanin" w:eastAsia="IRNazanin" w:cs="IRNazanin"/>
          <w:lang w:bidi="fa-IR"/>
          <w:color w:val="111111"/>
          <w:sz w:val="28"/>
          <w:szCs w:val="28"/>
          <w:rtl/>
        </w:rPr>
        <w:t xml:space="preserve">صدیقی، کمال الدین، ق 9 قمری</w:t>
      </w:r>
    </w:p>
    <w:p>
      <w:pPr>
        <w:pStyle w:val="BookText"/>
      </w:pPr>
      <w:r>
        <w:rPr>
          <w:rFonts w:ascii="Times New Roman" w:hAnsi="Times New Roman" w:eastAsia="Times New Roman" w:cs="Times New Roman"/>
          <w:lang w:val="en-US" w:bidi="en-US"/>
          <w:color w:val="111111"/>
          <w:sz w:val="28"/>
          <w:szCs w:val="28"/>
          <w:rtl/>
        </w:rPr>
        <w:t xml:space="preserve">(sadīqī, kamāl-od-dīn (- 15c)</w:t>
      </w:r>
    </w:p>
    <w:p>
      <w:pPr>
        <w:pStyle w:val="BookText"/>
      </w:pPr>
      <w:r>
        <w:rPr>
          <w:rFonts w:ascii="IRNazanin" w:hAnsi="IRNazanin" w:eastAsia="IRNazanin" w:cs="IRNazanin"/>
          <w:lang w:bidi="fa-IR"/>
          <w:color w:val="111111"/>
          <w:sz w:val="28"/>
          <w:szCs w:val="28"/>
          <w:rtl/>
        </w:rPr>
        <w:t xml:space="preserve">مؤلف که از شاگردان عبدالرحمن جامی بوده رساله حاضر را سه طبقه (1 جبر و اختیار، 2. ذكر حق ،3. مسئله تجدد امثال) بر مبانی عرفانی تألیف نموده است.</w:t>
      </w:r>
    </w:p>
    <w:p>
      <w:pPr>
        <w:pStyle w:val="BookText"/>
      </w:pPr>
      <w:r>
        <w:rPr>
          <w:rFonts w:ascii="IRNazanin" w:hAnsi="IRNazanin" w:eastAsia="IRNazanin" w:cs="IRNazanin"/>
          <w:lang w:bidi="fa-IR"/>
          <w:color w:val="111111"/>
          <w:sz w:val="28"/>
          <w:szCs w:val="28"/>
          <w:rtl/>
        </w:rPr>
        <w:t xml:space="preserve">قم؛ گلپایگانی؛ شماره نسخه: 2001-11/101</w:t>
      </w:r>
    </w:p>
    <w:p>
      <w:pPr>
        <w:pStyle w:val="BookText"/>
      </w:pPr>
      <w:r>
        <w:rPr>
          <w:rFonts w:ascii="IRNazanin" w:hAnsi="IRNazanin" w:eastAsia="IRNazanin" w:cs="IRNazanin"/>
          <w:lang w:bidi="fa-IR"/>
          <w:color w:val="111111"/>
          <w:sz w:val="28"/>
          <w:szCs w:val="28"/>
          <w:rtl/>
        </w:rPr>
        <w:t xml:space="preserve">:آغاز بعد حمد و ثنای بر ذات بیچون که بیچون که موصوف به صفات کمال است و معروف منعوت جمال و جلال ... و آله و اصحاب سلم می گوید، بنده اضعف حقیقی کمال الدين ... تلميذ معنوی حضرت مولی؛ انجام: پس این هر دو حقیقت غیر یکدیگراند هرگز عین یکدیگر نیستند و این غریب حقیقی است سبحان ربک رب العزة عما يصفون وسلام على المرسلين و الحمد لله العالمين.</w:t>
      </w:r>
    </w:p>
    <w:p>
      <w:pPr>
        <w:pStyle w:val="BookText"/>
      </w:pPr>
      <w:r>
        <w:rPr>
          <w:rFonts w:ascii="IRNazanin" w:hAnsi="IRNazanin" w:eastAsia="IRNazanin" w:cs="IRNazanin"/>
          <w:lang w:bidi="fa-IR"/>
          <w:color w:val="111111"/>
          <w:sz w:val="28"/>
          <w:szCs w:val="28"/>
          <w:rtl/>
        </w:rPr>
        <w:t xml:space="preserve">خط ،شکسته، نستعلیق، بی کا، تا: جمعه 30 ذیحجه 1126ق، جلد: مقوا عطف و گوشه پارچه سبز 165گ، 13 سطر، اندازه:13</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سم [ف: 1 - 324]</w:t>
      </w:r>
    </w:p>
    <w:p>
      <w:pPr>
        <w:pStyle w:val="Heading3"/>
      </w:pPr>
      <w:bookmarkStart w:id="785" w:name="_Toc307"/>
      <w:r>
        <w:t>اساسنامه تشکیلات اداری ایران در سال 1332 ه ق) / متفرقه / فارسی</w:t>
      </w:r>
      <w:bookmarkEnd w:id="785"/>
    </w:p>
    <w:p>
      <w:pPr>
        <w:pStyle w:val="BookText"/>
      </w:pPr>
      <w:r>
        <w:rPr>
          <w:rFonts w:ascii="Times New Roman" w:hAnsi="Times New Roman" w:eastAsia="Times New Roman" w:cs="Times New Roman"/>
          <w:lang w:val="en-US" w:bidi="en-US"/>
          <w:color w:val="111111"/>
          <w:sz w:val="28"/>
          <w:szCs w:val="28"/>
          <w:rtl/>
        </w:rPr>
        <w:t xml:space="preserve">asās-nāme-ye taškīlāt-e edārī-ye īrān (dar sāl-e 1332</w:t>
      </w:r>
    </w:p>
    <w:p>
      <w:pPr>
        <w:pStyle w:val="BookText"/>
      </w:pPr>
      <w:r>
        <w:rPr>
          <w:rFonts w:ascii="Times New Roman" w:hAnsi="Times New Roman" w:eastAsia="Times New Roman" w:cs="Times New Roman"/>
          <w:lang w:val="en-US" w:bidi="en-US"/>
          <w:color w:val="111111"/>
          <w:sz w:val="28"/>
          <w:szCs w:val="28"/>
          <w:rtl/>
        </w:rPr>
        <w:t xml:space="preserve">(h.q)</w:t>
      </w:r>
    </w:p>
    <w:p>
      <w:pPr>
        <w:pStyle w:val="BookText"/>
      </w:pPr>
      <w:r>
        <w:rPr>
          <w:rFonts w:ascii="Amiri" w:hAnsi="Amiri" w:eastAsia="Amiri" w:cs="Amiri"/>
          <w:lang w:bidi="ar-SA"/>
          <w:color w:val="111111"/>
          <w:sz w:val="28"/>
          <w:szCs w:val="28"/>
          <w:rtl/>
        </w:rPr>
        <w:t xml:space="preserve">سال تأليف: 1332ق</w:t>
      </w:r>
    </w:p>
    <w:p>
      <w:pPr>
        <w:pStyle w:val="BookText"/>
      </w:pPr>
      <w:r>
        <w:rPr>
          <w:rFonts w:ascii="IRNazanin" w:hAnsi="IRNazanin" w:eastAsia="IRNazanin" w:cs="IRNazanin"/>
          <w:lang w:bidi="fa-IR"/>
          <w:color w:val="111111"/>
          <w:sz w:val="28"/>
          <w:szCs w:val="28"/>
          <w:rtl/>
        </w:rPr>
        <w:t xml:space="preserve">مشهد؛ رضوی؛ شماره نسخه: 12241</w:t>
      </w:r>
    </w:p>
    <w:p>
      <w:pPr>
        <w:pStyle w:val="BookText"/>
      </w:pPr>
      <w:r>
        <w:rPr>
          <w:rFonts w:ascii="IRNazanin" w:hAnsi="IRNazanin" w:eastAsia="IRNazanin" w:cs="IRNazanin"/>
          <w:lang w:bidi="fa-IR"/>
          <w:color w:val="111111"/>
          <w:sz w:val="28"/>
          <w:szCs w:val="28"/>
          <w:rtl/>
        </w:rPr>
        <w:t xml:space="preserve">آغاز: بسمله وظائف امروزه ایرانیان بساحت مقدسن اعلیحضرت قدر بسلطنت؛ انجام: وحده لا شريك له و السلام</w:t>
      </w:r>
    </w:p>
    <w:p>
      <w:pPr>
        <w:pStyle w:val="BookText"/>
      </w:pPr>
      <w:r>
        <w:rPr>
          <w:rFonts w:ascii="IRNazanin" w:hAnsi="IRNazanin" w:eastAsia="IRNazanin" w:cs="IRNazanin"/>
          <w:lang w:bidi="fa-IR"/>
          <w:color w:val="111111"/>
          <w:sz w:val="28"/>
          <w:szCs w:val="28"/>
          <w:rtl/>
        </w:rPr>
        <w:t xml:space="preserve">خط: شکسته ،کا، محمد  ارجانی، تا: 1332ق [الفبائی :42]</w:t>
      </w:r>
    </w:p>
    <w:p>
      <w:pPr>
        <w:pStyle w:val="Heading3"/>
      </w:pPr>
      <w:bookmarkStart w:id="786" w:name="_Toc308"/>
      <w:r>
        <w:t>اساسنامه شراکت عمومی امتعه ایران (چاپ سنگی) / حقوق / فارسی</w:t>
      </w:r>
      <w:bookmarkEnd w:id="786"/>
    </w:p>
    <w:p>
      <w:pPr>
        <w:pStyle w:val="BookText"/>
      </w:pPr>
      <w:r>
        <w:rPr>
          <w:rFonts w:ascii="Times New Roman" w:hAnsi="Times New Roman" w:eastAsia="Times New Roman" w:cs="Times New Roman"/>
          <w:lang w:val="en-US" w:bidi="en-US"/>
          <w:color w:val="111111"/>
          <w:sz w:val="28"/>
          <w:szCs w:val="28"/>
          <w:rtl/>
        </w:rPr>
        <w:t xml:space="preserve">asās-nāme-ye šerākat-e ‘omūmī-ye amta‘e-ye īrān</w:t>
      </w:r>
    </w:p>
    <w:p>
      <w:pPr>
        <w:pStyle w:val="BookText"/>
      </w:pPr>
      <w:r>
        <w:rPr>
          <w:rFonts w:ascii="Times New Roman" w:hAnsi="Times New Roman" w:eastAsia="Times New Roman" w:cs="Times New Roman"/>
          <w:lang w:val="en-US" w:bidi="en-US"/>
          <w:color w:val="111111"/>
          <w:sz w:val="28"/>
          <w:szCs w:val="28"/>
          <w:rtl/>
        </w:rPr>
        <w:t xml:space="preserve">(čāpp-e sangī)</w:t>
      </w:r>
    </w:p>
    <w:p>
      <w:pPr>
        <w:pStyle w:val="BookText"/>
      </w:pPr>
      <w:r>
        <w:rPr>
          <w:rFonts w:ascii="IRNazanin" w:hAnsi="IRNazanin" w:eastAsia="IRNazanin" w:cs="IRNazanin"/>
          <w:lang w:bidi="fa-IR"/>
          <w:color w:val="111111"/>
          <w:sz w:val="28"/>
          <w:szCs w:val="28"/>
          <w:rtl/>
        </w:rPr>
        <w:t xml:space="preserve">قم؛ گلپایگانی؛ شماره نسخه: 5402/4-27/72</w:t>
      </w:r>
    </w:p>
    <w:p>
      <w:pPr>
        <w:pStyle w:val="BookText"/>
      </w:pPr>
      <w:r>
        <w:rPr>
          <w:rFonts w:ascii="IRNazanin" w:hAnsi="IRNazanin" w:eastAsia="IRNazanin" w:cs="IRNazanin"/>
          <w:lang w:bidi="fa-IR"/>
          <w:color w:val="111111"/>
          <w:sz w:val="28"/>
          <w:szCs w:val="28"/>
          <w:rtl/>
        </w:rPr>
        <w:t xml:space="preserve">آغاز: بسمله صورت فصول شراکت عمومی امتعه ایران بعد از وضع دیباچه و مقدماتی که در اصل نسخه قلمی گردیده از قراری است که در این کتابچه بطبع رسیده؛ انجام: فصل هفدهم چون عجالة براى اطلاع ... هر کس هم مطلب صحیحی راجع باین اداره ملتفت گشته اظهار دارد با کمال امتنان پذیرفته شده و پس از تصویب شرکا بطبع خواهد رسید</w:t>
      </w:r>
    </w:p>
    <w:p>
      <w:pPr>
        <w:pStyle w:val="BookText"/>
      </w:pPr>
      <w:r>
        <w:rPr>
          <w:rFonts w:ascii="IRNazanin" w:hAnsi="IRNazanin" w:eastAsia="IRNazanin" w:cs="IRNazanin"/>
          <w:lang w:bidi="fa-IR"/>
          <w:color w:val="111111"/>
          <w:sz w:val="28"/>
          <w:szCs w:val="28"/>
          <w:rtl/>
        </w:rPr>
        <w:t xml:space="preserve">خط: نسخ، بی کا، تا: چاپ سنگی تحریر در ذیقعده 1318ق؛ جلد: تیماج مشکی ضربی ،مجدول 26گ، 11 سطر، اندازه: 21</w:t>
      </w:r>
      <w:r>
        <w:rPr>
          <w:rFonts w:ascii="Times New Roman" w:hAnsi="Times New Roman" w:eastAsia="Times New Roman" w:cs="Times New Roman"/>
          <w:lang w:val="en-US" w:bidi="en-US"/>
          <w:color w:val="111111"/>
          <w:sz w:val="28"/>
          <w:szCs w:val="28"/>
          <w:rtl/>
        </w:rPr>
        <w:t xml:space="preserve">×23</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[ف: 1- 324]</w:t>
      </w:r>
    </w:p>
    <w:p>
      <w:pPr>
        <w:pStyle w:val="Heading3"/>
      </w:pPr>
      <w:bookmarkStart w:id="787" w:name="_Toc309"/>
      <w:r>
        <w:t>اساسنامه کتابخانه آستان قدس / اسناد / فارسی</w:t>
      </w:r>
      <w:bookmarkEnd w:id="787"/>
    </w:p>
    <w:p>
      <w:pPr>
        <w:pStyle w:val="BookText"/>
      </w:pPr>
      <w:r>
        <w:rPr>
          <w:rFonts w:ascii="Times New Roman" w:hAnsi="Times New Roman" w:eastAsia="Times New Roman" w:cs="Times New Roman"/>
          <w:lang w:val="en-US" w:bidi="en-US"/>
          <w:color w:val="111111"/>
          <w:sz w:val="28"/>
          <w:szCs w:val="28"/>
          <w:rtl/>
        </w:rPr>
        <w:t xml:space="preserve">asas-name-ye ketabxane-ye astān-e qods</w:t>
      </w:r>
    </w:p>
    <w:p>
      <w:pPr>
        <w:pStyle w:val="BookText"/>
      </w:pPr>
      <w:r>
        <w:rPr>
          <w:rFonts w:ascii="IRNazanin" w:hAnsi="IRNazanin" w:eastAsia="IRNazanin" w:cs="IRNazanin"/>
          <w:lang w:bidi="fa-IR"/>
          <w:color w:val="111111"/>
          <w:sz w:val="28"/>
          <w:szCs w:val="28"/>
          <w:rtl/>
        </w:rPr>
        <w:t xml:space="preserve">مشهد؛ رضوی؛ شماره نسخه: 15662</w:t>
      </w:r>
    </w:p>
    <w:p>
      <w:pPr>
        <w:pStyle w:val="BookText"/>
      </w:pPr>
      <w:r>
        <w:rPr>
          <w:rFonts w:ascii="IRNazanin" w:hAnsi="IRNazanin" w:eastAsia="IRNazanin" w:cs="IRNazanin"/>
          <w:lang w:bidi="fa-IR"/>
          <w:color w:val="111111"/>
          <w:sz w:val="28"/>
          <w:szCs w:val="28"/>
          <w:rtl/>
        </w:rPr>
        <w:t xml:space="preserve">آغاز: اللهم صل على على بن موسى الذى؛ انجام: بوسیله امور اداری آستان قدس قابل اجرا خواهد بود</w:t>
      </w:r>
    </w:p>
    <w:p>
      <w:pPr>
        <w:pStyle w:val="BookText"/>
      </w:pPr>
      <w:r>
        <w:rPr>
          <w:rFonts w:ascii="IRNazanin" w:hAnsi="IRNazanin" w:eastAsia="IRNazanin" w:cs="IRNazanin"/>
          <w:lang w:bidi="fa-IR"/>
          <w:color w:val="111111"/>
          <w:sz w:val="28"/>
          <w:szCs w:val="28"/>
          <w:rtl/>
        </w:rPr>
        <w:t xml:space="preserve">خط: نستعلیق، کا: مصطفی مهدی زاده، تا: 1362ق [رایانه]</w:t>
      </w:r>
    </w:p>
    <w:p>
      <w:pPr>
        <w:pStyle w:val="Heading3"/>
      </w:pPr>
      <w:bookmarkStart w:id="788" w:name="_Toc310"/>
      <w:r>
        <w:t>اساسنامه هیئت امناء آستان قدس رضوی / اسناد / عربی و فارسی</w:t>
      </w:r>
      <w:bookmarkEnd w:id="788"/>
    </w:p>
    <w:p>
      <w:pPr>
        <w:pStyle w:val="BookText"/>
      </w:pPr>
      <w:r>
        <w:rPr>
          <w:rFonts w:ascii="Times New Roman" w:hAnsi="Times New Roman" w:eastAsia="Times New Roman" w:cs="Times New Roman"/>
          <w:lang w:val="en-US" w:bidi="en-US"/>
          <w:color w:val="111111"/>
          <w:sz w:val="28"/>
          <w:szCs w:val="28"/>
          <w:rtl/>
        </w:rPr>
        <w:t xml:space="preserve">asās-name-ye hey 'at omana'-e astan-e qods-e razavī</w:t>
      </w:r>
    </w:p>
    <w:p>
      <w:pPr>
        <w:pStyle w:val="BookText"/>
      </w:pPr>
      <w:r>
        <w:rPr>
          <w:rFonts w:ascii="IRNazanin" w:hAnsi="IRNazanin" w:eastAsia="IRNazanin" w:cs="IRNazanin"/>
          <w:lang w:bidi="fa-IR"/>
          <w:color w:val="111111"/>
          <w:sz w:val="28"/>
          <w:szCs w:val="28"/>
          <w:rtl/>
        </w:rPr>
        <w:t xml:space="preserve">مشهد؛ رضوی؛ شماره نسخه: 19393</w:t>
      </w:r>
    </w:p>
    <w:p>
      <w:pPr>
        <w:pStyle w:val="BookText"/>
      </w:pPr>
      <w:r>
        <w:rPr>
          <w:rFonts w:ascii="IRNazanin" w:hAnsi="IRNazanin" w:eastAsia="IRNazanin" w:cs="IRNazanin"/>
          <w:lang w:bidi="fa-IR"/>
          <w:color w:val="111111"/>
          <w:sz w:val="28"/>
          <w:szCs w:val="28"/>
          <w:rtl/>
        </w:rPr>
        <w:t xml:space="preserve">آغاز: بسمله اقراء باسم ربك الذي خلق؛ انجام: مقام منيع تولیت عظمی آستان قدس رضوی رسید امضاء</w:t>
      </w:r>
    </w:p>
    <w:p>
      <w:pPr>
        <w:pStyle w:val="BookText"/>
      </w:pPr>
      <w:r>
        <w:rPr>
          <w:rFonts w:ascii="IRNazanin" w:hAnsi="IRNazanin" w:eastAsia="IRNazanin" w:cs="IRNazanin"/>
          <w:lang w:bidi="fa-IR"/>
          <w:color w:val="111111"/>
          <w:sz w:val="28"/>
          <w:szCs w:val="28"/>
          <w:rtl/>
        </w:rPr>
        <w:t xml:space="preserve">خط: نستعلیق، بی کا، تا: 1373ق [رایانه ]</w:t>
      </w:r>
    </w:p>
    <w:p>
      <w:pPr>
        <w:pStyle w:val="Heading3"/>
      </w:pPr>
      <w:bookmarkStart w:id="789" w:name="_Toc311"/>
      <w:r>
        <w:t>اساسنامه هیئت امناء آستان قدس رضوی / متفرقه</w:t>
      </w:r>
      <w:bookmarkEnd w:id="789"/>
    </w:p>
    <w:p>
      <w:pPr>
        <w:pStyle w:val="BookText"/>
      </w:pPr>
      <w:r>
        <w:rPr>
          <w:rFonts w:ascii="Times New Roman" w:hAnsi="Times New Roman" w:eastAsia="Times New Roman" w:cs="Times New Roman"/>
          <w:lang w:val="en-US" w:bidi="en-US"/>
          <w:color w:val="111111"/>
          <w:sz w:val="28"/>
          <w:szCs w:val="28"/>
          <w:rtl/>
        </w:rPr>
        <w:t xml:space="preserve">/asās-nāme-ye hey 'at omana'-e āstān-e qods-e razavī</w:t>
      </w:r>
    </w:p>
    <w:p>
      <w:pPr>
        <w:pStyle w:val="BookText"/>
      </w:pPr>
      <w:r>
        <w:rPr>
          <w:rFonts w:ascii="IRNazanin" w:hAnsi="IRNazanin" w:eastAsia="IRNazanin" w:cs="IRNazanin"/>
          <w:lang w:bidi="fa-IR"/>
          <w:color w:val="111111"/>
          <w:sz w:val="28"/>
          <w:szCs w:val="28"/>
          <w:rtl/>
        </w:rPr>
        <w:t xml:space="preserve">مشهد؛ رضوی؛ شماره نسخه: 13718</w:t>
      </w:r>
    </w:p>
    <w:p>
      <w:pPr>
        <w:pStyle w:val="BookText"/>
      </w:pPr>
      <w:r>
        <w:rPr>
          <w:rFonts w:ascii="IRNazanin" w:hAnsi="IRNazanin" w:eastAsia="IRNazanin" w:cs="IRNazanin"/>
          <w:lang w:bidi="fa-IR"/>
          <w:color w:val="111111"/>
          <w:sz w:val="28"/>
          <w:szCs w:val="28"/>
          <w:rtl/>
        </w:rPr>
        <w:t xml:space="preserve">آغاز ،مقدمه ،پس از پیروزی انقلاب اسلامی؛ انجام: تنظیم و نگهداری خواهد شد... عباس و اعظ طبسی</w:t>
      </w:r>
    </w:p>
    <w:p>
      <w:pPr>
        <w:pStyle w:val="BookText"/>
      </w:pPr>
      <w:r>
        <w:rPr>
          <w:rFonts w:ascii="IRNazanin" w:hAnsi="IRNazanin" w:eastAsia="IRNazanin" w:cs="IRNazanin"/>
          <w:lang w:bidi="fa-IR"/>
          <w:color w:val="111111"/>
          <w:sz w:val="28"/>
          <w:szCs w:val="28"/>
          <w:rtl/>
        </w:rPr>
        <w:t xml:space="preserve">خط: نستعلیق، کا: مصطفی مهدیزاده، تا: 1362ق [الفبائی: 42]</w:t>
      </w:r>
    </w:p>
    <w:p>
      <w:pPr>
        <w:pStyle w:val="Heading3"/>
      </w:pPr>
      <w:bookmarkStart w:id="790" w:name="_Toc312"/>
      <w:r>
        <w:t>اساس النجاة ومنية البغاة فى شرح اخبار الهداة = اربعین ملا قاسم / شرح حدیث / عربی</w:t>
      </w:r>
      <w:bookmarkEnd w:id="790"/>
    </w:p>
    <w:p>
      <w:pPr>
        <w:pStyle w:val="BookText"/>
      </w:pPr>
      <w:r>
        <w:rPr>
          <w:rFonts w:ascii="Times New Roman" w:hAnsi="Times New Roman" w:eastAsia="Times New Roman" w:cs="Times New Roman"/>
          <w:lang w:val="en-US" w:bidi="en-US"/>
          <w:color w:val="111111"/>
          <w:sz w:val="28"/>
          <w:szCs w:val="28"/>
          <w:rtl/>
        </w:rPr>
        <w:t xml:space="preserve">asās-un-nijāt wa munyat-ul-bugāt fī š.-i axbār-il-huda arba in molla qasem</w:t>
      </w:r>
    </w:p>
    <w:p>
      <w:pPr>
        <w:pStyle w:val="BookText"/>
      </w:pPr>
      <w:r>
        <w:rPr>
          <w:rFonts w:ascii="IRNazanin" w:hAnsi="IRNazanin" w:eastAsia="IRNazanin" w:cs="IRNazanin"/>
          <w:lang w:bidi="fa-IR"/>
          <w:color w:val="111111"/>
          <w:sz w:val="28"/>
          <w:szCs w:val="28"/>
          <w:rtl/>
        </w:rPr>
        <w:t xml:space="preserve">هزار جریبی، محمد قاسم بن محمد رضا، 1094- 1132 قمری</w:t>
      </w:r>
    </w:p>
    <w:p>
      <w:pPr>
        <w:pStyle w:val="BookText"/>
      </w:pPr>
      <w:r>
        <w:rPr>
          <w:rFonts w:ascii="Times New Roman" w:hAnsi="Times New Roman" w:eastAsia="Times New Roman" w:cs="Times New Roman"/>
          <w:lang w:val="en-US" w:bidi="en-US"/>
          <w:color w:val="111111"/>
          <w:sz w:val="28"/>
          <w:szCs w:val="28"/>
          <w:rtl/>
        </w:rPr>
        <w:t xml:space="preserve">hezar-jaribi, mohammad qasem ebn-e- mohammad reza</w:t>
      </w:r>
    </w:p>
    <w:p>
      <w:pPr>
        <w:pStyle w:val="BookText"/>
      </w:pPr>
      <w:r>
        <w:rPr>
          <w:rFonts w:ascii="Times New Roman" w:hAnsi="Times New Roman" w:eastAsia="Times New Roman" w:cs="Times New Roman"/>
          <w:lang w:val="en-US" w:bidi="en-US"/>
          <w:color w:val="111111"/>
          <w:sz w:val="28"/>
          <w:szCs w:val="28"/>
          <w:rtl/>
        </w:rPr>
        <w:t xml:space="preserve">(1683 - 1720)</w:t>
      </w:r>
    </w:p>
    <w:p>
      <w:pPr>
        <w:pStyle w:val="BookText"/>
      </w:pPr>
      <w:r>
        <w:rPr>
          <w:rFonts w:ascii="IRNazanin" w:hAnsi="IRNazanin" w:eastAsia="IRNazanin" w:cs="IRNazanin"/>
          <w:lang w:bidi="fa-IR"/>
          <w:color w:val="111111"/>
          <w:sz w:val="28"/>
          <w:szCs w:val="28"/>
          <w:rtl/>
        </w:rPr>
        <w:t xml:space="preserve">تاریخ تأليف: محرم 1127ق</w:t>
      </w:r>
    </w:p>
    <w:p>
      <w:pPr>
        <w:pStyle w:val="BookText"/>
      </w:pPr>
      <w:r>
        <w:rPr>
          <w:rFonts w:ascii="Amiri" w:hAnsi="Amiri" w:eastAsia="Amiri" w:cs="Amiri"/>
          <w:lang w:bidi="ar-SA"/>
          <w:color w:val="111111"/>
          <w:sz w:val="28"/>
          <w:szCs w:val="28"/>
          <w:rtl/>
        </w:rPr>
        <w:t xml:space="preserve">مؤلف طبق روایت وارده از نبی اکرم (صلّی اللَّهِ علیه وَ آلِهِ وَ سَلَّمَ ) من حفظ على امتى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02" w:name="pg20365_260134"/>
    <w:bookmarkEnd w:id="102"/>
    <w:p>
      <w:pPr>
        <w:pStyle w:val="BookText"/>
      </w:pPr>
      <w:r>
        <w:rPr>
          <w:rFonts w:ascii="IRNazanin" w:hAnsi="IRNazanin" w:eastAsia="IRNazanin" w:cs="IRNazanin"/>
          <w:lang w:bidi="fa-IR"/>
          <w:color w:val="111111"/>
          <w:sz w:val="28"/>
          <w:szCs w:val="28"/>
          <w:rtl/>
        </w:rPr>
        <w:t xml:space="preserve">اربعين حديثاً مما يحتاجون اليه من امر دينهم بعثه الله عز وجل یوم القيمة فقيهاً عالماً چهل حدیث را که عمده آنها در اصول و بعضاً در فروع است با ذکر سلسله اسناد و با شرح و توضیح مبسوط گردآوری نموده است.</w:t>
      </w:r>
    </w:p>
    <w:p>
      <w:pPr>
        <w:pStyle w:val="BookText"/>
      </w:pPr>
      <w:r>
        <w:rPr>
          <w:rFonts w:ascii="Amiri" w:hAnsi="Amiri" w:eastAsia="Amiri" w:cs="Amiri"/>
          <w:lang w:bidi="ar-SA"/>
          <w:color w:val="111111"/>
          <w:sz w:val="28"/>
          <w:szCs w:val="28"/>
          <w:rtl/>
        </w:rPr>
        <w:t xml:space="preserve">آغاز: بسمله، الحمد لله المرتفع بكمال عظمته عن مطارح الافهام.</w:t>
      </w:r>
    </w:p>
    <w:p>
      <w:pPr>
        <w:pStyle w:val="BookText"/>
      </w:pPr>
      <w:r>
        <w:rPr>
          <w:rFonts w:ascii="Amiri" w:hAnsi="Amiri" w:eastAsia="Amiri" w:cs="Amiri"/>
          <w:lang w:bidi="ar-SA"/>
          <w:color w:val="111111"/>
          <w:sz w:val="28"/>
          <w:szCs w:val="28"/>
          <w:rtl/>
        </w:rPr>
        <w:t xml:space="preserve">انجام: الغفور له فى النشأتين و الصلوة على محمد وآله  البررة المصطفين.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ملی؛ شماره نسخه: 1343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محمد رضا بن عبد اللطيف، تا: 1127ق؛ کاغذ ،فرنگی ،جلد: میشن یشمی روشن لولادار مقوایی حاشیه منگنه زر، 280گ ، 17 سطر (7</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اندازه: 13</w:t>
      </w:r>
      <w:r>
        <w:rPr>
          <w:rFonts w:ascii="Times New Roman" w:hAnsi="Times New Roman" w:eastAsia="Times New Roman" w:cs="Times New Roman"/>
          <w:lang w:val="en-US" w:bidi="en-US"/>
          <w:color w:val="111111"/>
          <w:sz w:val="28"/>
          <w:szCs w:val="28"/>
          <w:rtl/>
        </w:rPr>
        <w:t xml:space="preserve">×23 </w:t>
      </w:r>
      <w:r>
        <w:rPr>
          <w:rFonts w:ascii="IRNazanin" w:hAnsi="IRNazanin" w:eastAsia="IRNazanin" w:cs="IRNazanin"/>
          <w:lang w:bidi="fa-IR"/>
          <w:color w:val="111111"/>
          <w:sz w:val="28"/>
          <w:szCs w:val="28"/>
          <w:rtl/>
        </w:rPr>
        <w:t xml:space="preserve">سم [ف: 9 - 336]</w:t>
      </w:r>
    </w:p>
    <w:p>
      <w:pPr>
        <w:pStyle w:val="BookText"/>
      </w:pPr>
      <w:r>
        <w:rPr>
          <w:rFonts w:ascii="IRNazanin" w:hAnsi="IRNazanin" w:eastAsia="IRNazanin" w:cs="IRNazanin"/>
          <w:lang w:bidi="fa-IR"/>
          <w:color w:val="111111"/>
          <w:sz w:val="28"/>
          <w:szCs w:val="28"/>
          <w:rtl/>
        </w:rPr>
        <w:t xml:space="preserve">2 . مشهد؛ رضوی؛ شماره نسخه: 11555</w:t>
      </w:r>
    </w:p>
    <w:p>
      <w:pPr>
        <w:pStyle w:val="BookText"/>
      </w:pPr>
      <w:r>
        <w:rPr>
          <w:rFonts w:ascii="IRNazanin" w:hAnsi="IRNazanin" w:eastAsia="IRNazanin" w:cs="IRNazanin"/>
          <w:lang w:bidi="fa-IR"/>
          <w:color w:val="111111"/>
          <w:sz w:val="28"/>
          <w:szCs w:val="28"/>
          <w:rtl/>
        </w:rPr>
        <w:t xml:space="preserve">آغاز: برابر؛ انجام: فان السهو عد من الطبيعة الثانية للانسان... والحمد لله و الصلوه علی محمد و آله</w:t>
      </w:r>
    </w:p>
    <w:p>
      <w:pPr>
        <w:pStyle w:val="BookText"/>
      </w:pPr>
      <w:r>
        <w:rPr>
          <w:rFonts w:ascii="IRNazanin" w:hAnsi="IRNazanin" w:eastAsia="IRNazanin" w:cs="IRNazanin"/>
          <w:lang w:bidi="fa-IR"/>
          <w:color w:val="111111"/>
          <w:sz w:val="28"/>
          <w:szCs w:val="28"/>
          <w:rtl/>
        </w:rPr>
        <w:t xml:space="preserve">خط: نسخ و نستعلیق، کا: محمد علی بن محمد صالح تنکابنی، تا:پنج شنبه 15ربیع الاول 1129ق؛ محشی با رمز «منه»واقف: حسن فرید محسنی، شهریور 1354؛ کاغذ: نخودی آهاری ،جلد: تیماج  قهوه ای  لایی، 17 سطر :اندازه: 11/6</w:t>
      </w:r>
      <w:r>
        <w:rPr>
          <w:rFonts w:ascii="Times New Roman" w:hAnsi="Times New Roman" w:eastAsia="Times New Roman" w:cs="Times New Roman"/>
          <w:lang w:val="en-US" w:bidi="en-US"/>
          <w:color w:val="111111"/>
          <w:sz w:val="28"/>
          <w:szCs w:val="28"/>
          <w:rtl/>
        </w:rPr>
        <w:t xml:space="preserve">×22/8</w:t>
      </w:r>
      <w:r>
        <w:rPr>
          <w:rFonts w:ascii="IRNazanin" w:hAnsi="IRNazanin" w:eastAsia="IRNazanin" w:cs="IRNazanin"/>
          <w:lang w:bidi="fa-IR"/>
          <w:color w:val="111111"/>
          <w:sz w:val="28"/>
          <w:szCs w:val="28"/>
          <w:rtl/>
        </w:rPr>
        <w:t xml:space="preserve">سم [ف 14 - 52]</w:t>
      </w:r>
    </w:p>
    <w:p>
      <w:pPr>
        <w:pStyle w:val="Heading3"/>
      </w:pPr>
      <w:bookmarkStart w:id="791" w:name="_Toc313"/>
      <w:r>
        <w:t>اساس الوحدانية و مبنى الفردانية / عرفان و تصوف / عربی</w:t>
      </w:r>
      <w:bookmarkEnd w:id="791"/>
    </w:p>
    <w:p>
      <w:pPr>
        <w:pStyle w:val="BookText"/>
      </w:pPr>
      <w:r>
        <w:rPr>
          <w:rFonts w:ascii="Times New Roman" w:hAnsi="Times New Roman" w:eastAsia="Times New Roman" w:cs="Times New Roman"/>
          <w:lang w:val="en-US" w:bidi="en-US"/>
          <w:color w:val="111111"/>
          <w:sz w:val="28"/>
          <w:szCs w:val="28"/>
          <w:rtl/>
        </w:rPr>
        <w:t xml:space="preserve">asās-ul-waḥdānīyya wa mabnīyy-ul-fardānīyya</w:t>
      </w:r>
    </w:p>
    <w:p>
      <w:pPr>
        <w:pStyle w:val="BookText"/>
      </w:pPr>
      <w:r>
        <w:rPr>
          <w:rFonts w:ascii="IRNazanin" w:hAnsi="IRNazanin" w:eastAsia="IRNazanin" w:cs="IRNazanin"/>
          <w:lang w:bidi="fa-IR"/>
          <w:color w:val="111111"/>
          <w:sz w:val="28"/>
          <w:szCs w:val="28"/>
          <w:rtl/>
        </w:rPr>
        <w:t xml:space="preserve">قیصری، داود بن محمود، - 751 قمری</w:t>
      </w:r>
    </w:p>
    <w:p>
      <w:pPr>
        <w:pStyle w:val="BookText"/>
      </w:pPr>
      <w:r>
        <w:rPr>
          <w:rFonts w:ascii="Times New Roman" w:hAnsi="Times New Roman" w:eastAsia="Times New Roman" w:cs="Times New Roman"/>
          <w:lang w:val="en-US" w:bidi="en-US"/>
          <w:color w:val="111111"/>
          <w:sz w:val="28"/>
          <w:szCs w:val="28"/>
          <w:rtl/>
        </w:rPr>
        <w:t xml:space="preserve">(qeysarī, dāvūd ebn-e mahmūd (- 1351</w:t>
      </w:r>
    </w:p>
    <w:p>
      <w:pPr>
        <w:pStyle w:val="BookText"/>
      </w:pPr>
      <w:r>
        <w:rPr>
          <w:rFonts w:ascii="IRNazanin" w:hAnsi="IRNazanin" w:eastAsia="IRNazanin" w:cs="IRNazanin"/>
          <w:lang w:bidi="fa-IR"/>
          <w:color w:val="111111"/>
          <w:sz w:val="28"/>
          <w:szCs w:val="28"/>
          <w:rtl/>
        </w:rPr>
        <w:t xml:space="preserve">رساله ای در بیان وحدت حق تعالی که در 4 «اصل» تنظیم شده: 1. مهية الوحدة و الكثرة؛ 2. اقسام الوحدة؛ 3. وحدة الحق سبحانه و تعالى؛ 4. فى ان الوحدات الكونيه و الكثرات كلها راجعة الوحدة الحقانيه الذاتيه.</w:t>
      </w:r>
    </w:p>
    <w:p>
      <w:pPr>
        <w:pStyle w:val="BookText"/>
      </w:pPr>
      <w:r>
        <w:rPr>
          <w:rFonts w:ascii="Amiri" w:hAnsi="Amiri" w:eastAsia="Amiri" w:cs="Amiri"/>
          <w:lang w:bidi="ar-SA"/>
          <w:color w:val="111111"/>
          <w:sz w:val="28"/>
          <w:szCs w:val="28"/>
          <w:rtl/>
        </w:rPr>
        <w:t xml:space="preserve">آغاز: بسمله الحمد لله الاحدى بالذات الواحدى بالصفات .. بعد يقول داود بن محمود بن محمد الرومى القيصرى وجدت اكثر مقلدى علماء العصر و حكماء الدهر ... ظانين وحدة الحق ... وحدة شخصية.</w:t>
      </w:r>
    </w:p>
    <w:p>
      <w:pPr>
        <w:pStyle w:val="BookText"/>
      </w:pPr>
      <w:r>
        <w:rPr>
          <w:rFonts w:ascii="IRNazanin" w:hAnsi="IRNazanin" w:eastAsia="IRNazanin" w:cs="IRNazanin"/>
          <w:lang w:bidi="fa-IR"/>
          <w:color w:val="111111"/>
          <w:sz w:val="28"/>
          <w:szCs w:val="28"/>
          <w:rtl/>
        </w:rPr>
        <w:t xml:space="preserve">انجام: و مظهر حقه محمد و آله الطيبين الطاهرين اجمعين وقع الفراغ على يد مؤلفه داود بن محمود بن محمد الرومى القيصری احسن الله و خاتمته.</w:t>
      </w:r>
    </w:p>
    <w:p>
      <w:pPr>
        <w:pStyle w:val="BookText"/>
      </w:pPr>
      <w:r>
        <w:rPr>
          <w:rFonts w:ascii="IRNazanin" w:hAnsi="IRNazanin" w:eastAsia="IRNazanin" w:cs="IRNazanin"/>
          <w:lang w:bidi="fa-IR"/>
          <w:color w:val="111111"/>
          <w:sz w:val="28"/>
          <w:szCs w:val="28"/>
          <w:rtl/>
        </w:rPr>
        <w:t xml:space="preserve">چاپ: به تصحیح سید جلال الدین آشتیانی، در رسائل قیصر (تهران، انجمن حکمت و فلسفه ایران: 1381( چاپ دوم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دانشگاه؛ شماره نسخه: 2096/9</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قرن 11 :کاغذ ،سپاهانی ،جلد: تیماج سرخ  ضربی، 12گ (60پ-71 پ)، 15 سطر (6</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13</w:t>
      </w:r>
      <w:r>
        <w:rPr>
          <w:rFonts w:ascii="Times New Roman" w:hAnsi="Times New Roman" w:eastAsia="Times New Roman" w:cs="Times New Roman"/>
          <w:lang w:val="en-US" w:bidi="en-US"/>
          <w:color w:val="111111"/>
          <w:sz w:val="28"/>
          <w:szCs w:val="28"/>
          <w:rtl/>
        </w:rPr>
        <w:t xml:space="preserve">×18/5</w:t>
      </w:r>
      <w:r>
        <w:rPr>
          <w:rFonts w:ascii="IRNazanin" w:hAnsi="IRNazanin" w:eastAsia="IRNazanin" w:cs="IRNazanin"/>
          <w:lang w:bidi="fa-IR"/>
          <w:color w:val="111111"/>
          <w:sz w:val="28"/>
          <w:szCs w:val="28"/>
          <w:rtl/>
        </w:rPr>
        <w:t xml:space="preserve">سم [ف: 8-723]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دانشگاه؛ شماره نسخه: 5908/8</w:t>
      </w:r>
    </w:p>
    <w:p>
      <w:pPr>
        <w:pStyle w:val="BookText"/>
      </w:pPr>
      <w:r>
        <w:rPr>
          <w:rFonts w:ascii="Amiri" w:hAnsi="Amiri" w:eastAsia="Amiri" w:cs="Amiri"/>
          <w:lang w:bidi="ar-SA"/>
          <w:color w:val="111111"/>
          <w:sz w:val="28"/>
          <w:szCs w:val="28"/>
          <w:rtl/>
        </w:rPr>
        <w:t xml:space="preserve">آغاز: برابر؛ انجام: و اظهرت كل شيء و الله على نقول وكيل الحمد الله رب العالمين.</w:t>
      </w:r>
    </w:p>
    <w:p>
      <w:pPr>
        <w:pStyle w:val="BookText"/>
      </w:pPr>
      <w:r>
        <w:rPr>
          <w:rFonts w:ascii="IRNazanin" w:hAnsi="IRNazanin" w:eastAsia="IRNazanin" w:cs="IRNazanin"/>
          <w:lang w:bidi="fa-IR"/>
          <w:color w:val="111111"/>
          <w:sz w:val="28"/>
          <w:szCs w:val="28"/>
          <w:rtl/>
        </w:rPr>
        <w:t xml:space="preserve">خط: نستعلیق، بی کا، تا: قرن 13؛ کاغذ: فرنگی، جلد: تیماج مشکی ضربی  لایی، 7 ص 18 سطر (6</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قطع: جیبی، اندازه: 10</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سم [ف : 16 - 144]</w:t>
      </w:r>
    </w:p>
    <w:p>
      <w:pPr>
        <w:pStyle w:val="BookText"/>
      </w:pPr>
      <w:r>
        <w:rPr>
          <w:rFonts w:ascii="IRNazanin" w:hAnsi="IRNazanin" w:eastAsia="IRNazanin" w:cs="IRNazanin"/>
          <w:lang w:bidi="fa-IR"/>
          <w:color w:val="111111"/>
          <w:sz w:val="28"/>
          <w:szCs w:val="28"/>
          <w:rtl/>
        </w:rPr>
        <w:t xml:space="preserve">مشهد؛ رضوی؛ شماره نسخه: 6400</w:t>
      </w:r>
    </w:p>
    <w:p>
      <w:pPr>
        <w:pStyle w:val="BookText"/>
      </w:pPr>
      <w:r>
        <w:rPr>
          <w:rFonts w:ascii="IRNazanin" w:hAnsi="IRNazanin" w:eastAsia="IRNazanin" w:cs="IRNazanin"/>
          <w:lang w:bidi="fa-IR"/>
          <w:color w:val="111111"/>
          <w:sz w:val="28"/>
          <w:szCs w:val="28"/>
          <w:rtl/>
        </w:rPr>
        <w:t xml:space="preserve">آغاز: برابر؛ انجام : و الاحاطه العلمية لا تنافي الاحاطه الذاتيه التي ظهرت و اظهرت کل شیئی والله على ما نقول وكيل</w:t>
      </w:r>
    </w:p>
    <w:p>
      <w:pPr>
        <w:pStyle w:val="BookText"/>
      </w:pPr>
      <w:r>
        <w:rPr>
          <w:rFonts w:ascii="IRNazanin" w:hAnsi="IRNazanin" w:eastAsia="IRNazanin" w:cs="IRNazanin"/>
          <w:lang w:bidi="fa-IR"/>
          <w:color w:val="111111"/>
          <w:sz w:val="28"/>
          <w:szCs w:val="28"/>
          <w:rtl/>
        </w:rPr>
        <w:t xml:space="preserve">خط: نستعلیق و شکسته ،بی کا، بی تا، واقف: تقی موسوی، 1119 ؛ 6گ، 20 سطر، اندازه: 10</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سم [ف: 4 - 15]</w:t>
      </w:r>
    </w:p>
    <w:p>
      <w:pPr>
        <w:pStyle w:val="Heading3"/>
      </w:pPr>
      <w:bookmarkStart w:id="792" w:name="_Toc314"/>
      <w:r>
        <w:t>اساس و شرایط بانک دیگر که برقرار خواهد شد = بانک خیالی / قانون / فارسی</w:t>
      </w:r>
      <w:bookmarkEnd w:id="792"/>
    </w:p>
    <w:p>
      <w:pPr>
        <w:pStyle w:val="BookText"/>
      </w:pPr>
      <w:r>
        <w:rPr>
          <w:rFonts w:ascii="Times New Roman" w:hAnsi="Times New Roman" w:eastAsia="Times New Roman" w:cs="Times New Roman"/>
          <w:lang w:val="en-US" w:bidi="en-US"/>
          <w:color w:val="111111"/>
          <w:sz w:val="28"/>
          <w:szCs w:val="28"/>
          <w:rtl/>
        </w:rPr>
        <w:t xml:space="preserve">asas va sarayet-e bank-e digar ke barqarar xahad šod = bānk-e xīyālī</w:t>
      </w:r>
    </w:p>
    <w:p>
      <w:pPr>
        <w:pStyle w:val="BookText"/>
      </w:pPr>
      <w:r>
        <w:rPr>
          <w:rFonts w:ascii="IRNazanin" w:hAnsi="IRNazanin" w:eastAsia="IRNazanin" w:cs="IRNazanin"/>
          <w:lang w:bidi="fa-IR"/>
          <w:color w:val="111111"/>
          <w:sz w:val="28"/>
          <w:szCs w:val="28"/>
          <w:rtl/>
        </w:rPr>
        <w:t xml:space="preserve">اعتماد السلطنه، محمد حسن بن علی، 1259قمری</w:t>
      </w:r>
    </w:p>
    <w:p>
      <w:pPr>
        <w:pStyle w:val="BookText"/>
      </w:pPr>
      <w:r>
        <w:rPr>
          <w:rFonts w:ascii="Times New Roman" w:hAnsi="Times New Roman" w:eastAsia="Times New Roman" w:cs="Times New Roman"/>
          <w:lang w:val="en-US" w:bidi="en-US"/>
          <w:color w:val="111111"/>
          <w:sz w:val="28"/>
          <w:szCs w:val="28"/>
          <w:rtl/>
        </w:rPr>
        <w:t xml:space="preserve">e'temād-os-saltane, mohammad hasan ebn-e ‘alī (1843</w:t>
      </w:r>
    </w:p>
    <w:p>
      <w:pPr>
        <w:pStyle w:val="BookText"/>
      </w:pPr>
      <w:r>
        <w:rPr>
          <w:rFonts w:ascii="Times New Roman" w:hAnsi="Times New Roman" w:eastAsia="Times New Roman" w:cs="Times New Roman"/>
          <w:lang w:val="en-US" w:bidi="en-US"/>
          <w:color w:val="111111"/>
          <w:sz w:val="28"/>
          <w:szCs w:val="28"/>
          <w:rtl/>
        </w:rPr>
        <w:t xml:space="preserve">(- 1896</w:t>
      </w:r>
    </w:p>
    <w:p>
      <w:pPr>
        <w:pStyle w:val="BookText"/>
      </w:pPr>
      <w:r>
        <w:rPr>
          <w:rFonts w:ascii="IRNazanin" w:hAnsi="IRNazanin" w:eastAsia="IRNazanin" w:cs="IRNazanin"/>
          <w:lang w:bidi="fa-IR"/>
          <w:color w:val="111111"/>
          <w:sz w:val="28"/>
          <w:szCs w:val="28"/>
          <w:rtl/>
        </w:rPr>
        <w:t xml:space="preserve">تهران؛ مجلس؛ شماره نسخه 9450/112</w:t>
      </w:r>
    </w:p>
    <w:p>
      <w:pPr>
        <w:pStyle w:val="BookText"/>
      </w:pPr>
      <w:r>
        <w:rPr>
          <w:rFonts w:ascii="IRNazanin" w:hAnsi="IRNazanin" w:eastAsia="IRNazanin" w:cs="IRNazanin"/>
          <w:lang w:bidi="fa-IR"/>
          <w:color w:val="111111"/>
          <w:sz w:val="28"/>
          <w:szCs w:val="28"/>
          <w:rtl/>
        </w:rPr>
        <w:t xml:space="preserve">خط: نستعلیق، بی کا، تا: قرن 14 3ص (597-595) [مختصر-ف: 49]</w:t>
      </w:r>
    </w:p>
    <w:p>
      <w:pPr>
        <w:pStyle w:val="Heading3"/>
      </w:pPr>
      <w:bookmarkStart w:id="793" w:name="_Toc315"/>
      <w:r>
        <w:t>الاساليب الخلابة في ردع ابن حزم / کلام و اعتقادات/ عربی</w:t>
      </w:r>
      <w:bookmarkEnd w:id="793"/>
    </w:p>
    <w:p>
      <w:pPr>
        <w:pStyle w:val="BookText"/>
      </w:pPr>
      <w:r>
        <w:rPr>
          <w:rFonts w:ascii="Times New Roman" w:hAnsi="Times New Roman" w:eastAsia="Times New Roman" w:cs="Times New Roman"/>
          <w:lang w:val="en-US" w:bidi="en-US"/>
          <w:color w:val="111111"/>
          <w:sz w:val="28"/>
          <w:szCs w:val="28"/>
          <w:rtl/>
        </w:rPr>
        <w:t xml:space="preserve">/al-asalib-ul xallaba fi rad-i ibn-i hazm</w:t>
      </w:r>
    </w:p>
    <w:p>
      <w:pPr>
        <w:pStyle w:val="BookText"/>
      </w:pPr>
      <w:r>
        <w:rPr>
          <w:rFonts w:ascii="IRNazanin" w:hAnsi="IRNazanin" w:eastAsia="IRNazanin" w:cs="IRNazanin"/>
          <w:lang w:bidi="fa-IR"/>
          <w:color w:val="111111"/>
          <w:sz w:val="28"/>
          <w:szCs w:val="28"/>
          <w:rtl/>
        </w:rPr>
        <w:t xml:space="preserve">مظفر ،نجفی عبدالواحد بن احمد ق 14 قمری</w:t>
      </w:r>
    </w:p>
    <w:p>
      <w:pPr>
        <w:pStyle w:val="BookText"/>
      </w:pPr>
      <w:r>
        <w:rPr>
          <w:rFonts w:ascii="Times New Roman" w:hAnsi="Times New Roman" w:eastAsia="Times New Roman" w:cs="Times New Roman"/>
          <w:lang w:val="en-US" w:bidi="en-US"/>
          <w:color w:val="111111"/>
          <w:sz w:val="28"/>
          <w:szCs w:val="28"/>
          <w:rtl/>
        </w:rPr>
        <w:t xml:space="preserve">(mozaffar-e najafi, 'abd-ol-vahed ebn-e ahmad (- 20c)</w:t>
      </w:r>
    </w:p>
    <w:p>
      <w:pPr>
        <w:pStyle w:val="BookText"/>
      </w:pPr>
      <w:r>
        <w:rPr>
          <w:rFonts w:ascii="IRNazanin" w:hAnsi="IRNazanin" w:eastAsia="IRNazanin" w:cs="IRNazanin"/>
          <w:lang w:bidi="fa-IR"/>
          <w:color w:val="111111"/>
          <w:sz w:val="28"/>
          <w:szCs w:val="28"/>
          <w:rtl/>
        </w:rPr>
        <w:t xml:space="preserve">کتاب ردی است مفصل بر كتاب «المفاضلة بين الصحابة» ابن حزم اندلسی (384-456ق) دو امر باعث تالیف آن شده است: یکی اصرار مرحوم شیخ محمد سماوی در نگارش آن و دیگری ناشر افغانی کتاب که آن را بسیار ستوده و در مقدمه چاپ آن قائل شده که براهین آن بسیار قوی و قابل رد نیست. این کتاب در آغاز «الاجابة على اغاليط ابن حزم في المفاضلة بين الصحابة» نامیده شده و علامه سماوی آن را «نقل الخزم لعرنين بن حزم» نامیده است که موافق تاریخ تالیف آن به سال1375 می باشد.</w:t>
      </w:r>
    </w:p>
    <w:p>
      <w:pPr>
        <w:pStyle w:val="BookText"/>
      </w:pPr>
      <w:r>
        <w:rPr>
          <w:rFonts w:ascii="IRNazanin" w:hAnsi="IRNazanin" w:eastAsia="IRNazanin" w:cs="IRNazanin"/>
          <w:lang w:bidi="fa-IR"/>
          <w:color w:val="111111"/>
          <w:sz w:val="28"/>
          <w:szCs w:val="28"/>
          <w:rtl/>
        </w:rPr>
        <w:t xml:space="preserve">قم ؛مرکز احیاء؛ شماره نسخه: 2219</w:t>
      </w:r>
    </w:p>
    <w:p>
      <w:pPr>
        <w:pStyle w:val="BookText"/>
      </w:pPr>
      <w:r>
        <w:rPr>
          <w:rFonts w:ascii="Amiri" w:hAnsi="Amiri" w:eastAsia="Amiri" w:cs="Amiri"/>
          <w:lang w:bidi="ar-SA"/>
          <w:color w:val="111111"/>
          <w:sz w:val="28"/>
          <w:szCs w:val="28"/>
          <w:rtl/>
        </w:rPr>
        <w:t xml:space="preserve">آغاز: بسمله، ... ان رسالة المفاضلة لابن ان رسالة المفاضلة لابن حزم الاندلسى الظاهرى التى سماها بالمفاضلة بين الصحابة وقد جعلها في رسالتين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03" w:name="pg20365_260135"/>
    <w:bookmarkEnd w:id="103"/>
    <w:p>
      <w:pPr>
        <w:pStyle w:val="BookText"/>
      </w:pPr>
      <w:r>
        <w:rPr>
          <w:rFonts w:ascii="IRNazanin" w:hAnsi="IRNazanin" w:eastAsia="IRNazanin" w:cs="IRNazanin"/>
          <w:lang w:bidi="fa-IR"/>
          <w:color w:val="111111"/>
          <w:sz w:val="28"/>
          <w:szCs w:val="28"/>
          <w:rtl/>
        </w:rPr>
        <w:t xml:space="preserve">نسخه  اصل: کتابخانه مولف - نجف اشرف. اساليب الخلابة فی ردع ابن حزم عن تفضيل الصحابة على القرابة؛ خط: نسخ مايل به رقعی، کاتب - مؤلف، بی تا، 494 ص [عکسی ف: 6 - 277]</w:t>
      </w:r>
    </w:p>
    <w:p>
      <w:pPr>
        <w:pStyle w:val="Heading3"/>
      </w:pPr>
      <w:bookmarkStart w:id="794" w:name="_Toc316"/>
      <w:r>
        <w:t>الاسامی / طب / عربی</w:t>
      </w:r>
      <w:bookmarkEnd w:id="794"/>
    </w:p>
    <w:p>
      <w:pPr>
        <w:pStyle w:val="BookText"/>
      </w:pPr>
      <w:r>
        <w:rPr>
          <w:rFonts w:ascii="Times New Roman" w:hAnsi="Times New Roman" w:eastAsia="Times New Roman" w:cs="Times New Roman"/>
          <w:lang w:val="en-US" w:bidi="en-US"/>
          <w:color w:val="111111"/>
          <w:sz w:val="28"/>
          <w:szCs w:val="28"/>
          <w:rtl/>
        </w:rPr>
        <w:t xml:space="preserve">al-asāmī</w:t>
      </w:r>
    </w:p>
    <w:p>
      <w:pPr>
        <w:pStyle w:val="BookText"/>
      </w:pPr>
      <w:r>
        <w:rPr>
          <w:rFonts w:ascii="IRNazanin" w:hAnsi="IRNazanin" w:eastAsia="IRNazanin" w:cs="IRNazanin"/>
          <w:lang w:bidi="fa-IR"/>
          <w:color w:val="111111"/>
          <w:sz w:val="28"/>
          <w:szCs w:val="28"/>
          <w:rtl/>
        </w:rPr>
        <w:t xml:space="preserve">ابو منصور قمری، حسن بن نوح، – 380 قمری</w:t>
      </w:r>
    </w:p>
    <w:p>
      <w:pPr>
        <w:pStyle w:val="BookText"/>
      </w:pPr>
      <w:r>
        <w:rPr>
          <w:rFonts w:ascii="Times New Roman" w:hAnsi="Times New Roman" w:eastAsia="Times New Roman" w:cs="Times New Roman"/>
          <w:lang w:val="en-US" w:bidi="en-US"/>
          <w:color w:val="111111"/>
          <w:sz w:val="28"/>
          <w:szCs w:val="28"/>
          <w:rtl/>
        </w:rPr>
        <w:t xml:space="preserve">(abū-mansūr-e qūmrī, hasan ebn-e nūh (- 991</w:t>
      </w:r>
    </w:p>
    <w:p>
      <w:pPr>
        <w:pStyle w:val="BookText"/>
      </w:pPr>
      <w:r>
        <w:rPr>
          <w:rFonts w:ascii="IRNazanin" w:hAnsi="IRNazanin" w:eastAsia="IRNazanin" w:cs="IRNazanin"/>
          <w:lang w:bidi="fa-IR"/>
          <w:color w:val="111111"/>
          <w:sz w:val="28"/>
          <w:szCs w:val="28"/>
          <w:rtl/>
        </w:rPr>
        <w:t xml:space="preserve">مشهد؛ رضوی؛ شماره نسخه: 27824</w:t>
      </w:r>
    </w:p>
    <w:p>
      <w:pPr>
        <w:pStyle w:val="BookText"/>
      </w:pPr>
      <w:r>
        <w:rPr>
          <w:rFonts w:ascii="IRNazanin" w:hAnsi="IRNazanin" w:eastAsia="IRNazanin" w:cs="IRNazanin"/>
          <w:lang w:bidi="fa-IR"/>
          <w:color w:val="111111"/>
          <w:sz w:val="28"/>
          <w:szCs w:val="28"/>
          <w:rtl/>
        </w:rPr>
        <w:t xml:space="preserve">آغاز: بسمله قال ابو منصور بن الحسين ... انى لكنه معرفتى بفضل علم الطب على سلير العلوم و علمى بحاجة كل شخص؛ انجام: و يكون لراسه طبق ... على مقدار مقور من الطرف الذى ... الانسان  حتی اذا اجلس فيه وضع عليه طبق وصار عنقه في التقوير و راسه</w:t>
      </w:r>
    </w:p>
    <w:p>
      <w:pPr>
        <w:pStyle w:val="BookText"/>
      </w:pPr>
      <w:r>
        <w:rPr>
          <w:rFonts w:ascii="IRNazanin" w:hAnsi="IRNazanin" w:eastAsia="IRNazanin" w:cs="IRNazanin"/>
          <w:lang w:bidi="fa-IR"/>
          <w:color w:val="111111"/>
          <w:sz w:val="28"/>
          <w:szCs w:val="28"/>
          <w:rtl/>
        </w:rPr>
        <w:t xml:space="preserve">خارجه منه</w:t>
      </w:r>
    </w:p>
    <w:p>
      <w:pPr>
        <w:pStyle w:val="BookText"/>
      </w:pPr>
      <w:r>
        <w:rPr>
          <w:rFonts w:ascii="IRNazanin" w:hAnsi="IRNazanin" w:eastAsia="IRNazanin" w:cs="IRNazanin"/>
          <w:lang w:bidi="fa-IR"/>
          <w:color w:val="111111"/>
          <w:sz w:val="28"/>
          <w:szCs w:val="28"/>
          <w:rtl/>
        </w:rPr>
        <w:t xml:space="preserve">خط: نسخ، بی کا، بی تا؛ ضمیمه نسخه ش 27818 [رایانه]</w:t>
      </w:r>
    </w:p>
    <w:p>
      <w:pPr>
        <w:pStyle w:val="Heading3"/>
      </w:pPr>
      <w:bookmarkStart w:id="795" w:name="_Toc317"/>
      <w:r>
        <w:t>اسامی / متفرقه / فارسی</w:t>
      </w:r>
      <w:bookmarkEnd w:id="795"/>
    </w:p>
    <w:p>
      <w:pPr>
        <w:pStyle w:val="BookText"/>
      </w:pPr>
      <w:r>
        <w:rPr>
          <w:rFonts w:ascii="Times New Roman" w:hAnsi="Times New Roman" w:eastAsia="Times New Roman" w:cs="Times New Roman"/>
          <w:lang w:val="en-US" w:bidi="en-US"/>
          <w:color w:val="111111"/>
          <w:sz w:val="28"/>
          <w:szCs w:val="28"/>
          <w:rtl/>
        </w:rPr>
        <w:t xml:space="preserve">a samī</w:t>
      </w:r>
    </w:p>
    <w:p>
      <w:pPr>
        <w:pStyle w:val="BookText"/>
      </w:pPr>
      <w:r>
        <w:rPr>
          <w:rFonts w:ascii="IRNazanin" w:hAnsi="IRNazanin" w:eastAsia="IRNazanin" w:cs="IRNazanin"/>
          <w:lang w:bidi="fa-IR"/>
          <w:color w:val="111111"/>
          <w:sz w:val="28"/>
          <w:szCs w:val="28"/>
          <w:rtl/>
        </w:rPr>
        <w:t xml:space="preserve">تهران؛ ملی؛ شماره نسخه: 17714</w:t>
      </w:r>
    </w:p>
    <w:p>
      <w:pPr>
        <w:pStyle w:val="BookText"/>
      </w:pPr>
      <w:r>
        <w:rPr>
          <w:rFonts w:ascii="IRNazanin" w:hAnsi="IRNazanin" w:eastAsia="IRNazanin" w:cs="IRNazanin"/>
          <w:lang w:bidi="fa-IR"/>
          <w:color w:val="111111"/>
          <w:sz w:val="28"/>
          <w:szCs w:val="28"/>
          <w:rtl/>
        </w:rPr>
        <w:t xml:space="preserve">مجموعه ای از اسامی، بی کا، بی تا، انتقالی از کتابخانه پهلوی - مجموعه نوازی؛ اندازه 36/4</w:t>
      </w:r>
      <w:r>
        <w:rPr>
          <w:rFonts w:ascii="Times New Roman" w:hAnsi="Times New Roman" w:eastAsia="Times New Roman" w:cs="Times New Roman"/>
          <w:lang w:val="en-US" w:bidi="en-US"/>
          <w:color w:val="111111"/>
          <w:sz w:val="28"/>
          <w:szCs w:val="28"/>
          <w:rtl/>
        </w:rPr>
        <w:t xml:space="preserve">x22/1</w:t>
      </w:r>
      <w:r>
        <w:rPr>
          <w:rFonts w:ascii="IRNazanin" w:hAnsi="IRNazanin" w:eastAsia="IRNazanin" w:cs="IRNazanin"/>
          <w:lang w:bidi="fa-IR"/>
          <w:color w:val="111111"/>
          <w:sz w:val="28"/>
          <w:szCs w:val="28"/>
          <w:rtl/>
        </w:rPr>
        <w:t xml:space="preserve">سم [رایانه]</w:t>
      </w:r>
    </w:p>
    <w:p>
      <w:pPr>
        <w:pStyle w:val="Heading3"/>
      </w:pPr>
      <w:bookmarkStart w:id="796" w:name="_Toc318"/>
      <w:r>
        <w:t>اسامی اجزاء انسان / لغت / فارسی</w:t>
      </w:r>
      <w:bookmarkEnd w:id="796"/>
    </w:p>
    <w:p>
      <w:pPr>
        <w:pStyle w:val="BookText"/>
      </w:pPr>
      <w:r>
        <w:rPr>
          <w:rFonts w:ascii="Times New Roman" w:hAnsi="Times New Roman" w:eastAsia="Times New Roman" w:cs="Times New Roman"/>
          <w:lang w:val="en-US" w:bidi="en-US"/>
          <w:color w:val="111111"/>
          <w:sz w:val="28"/>
          <w:szCs w:val="28"/>
          <w:rtl/>
        </w:rPr>
        <w:t xml:space="preserve">asāmī-ye ajzā’-e ensān</w:t>
      </w:r>
    </w:p>
    <w:p>
      <w:pPr>
        <w:pStyle w:val="BookText"/>
      </w:pPr>
      <w:r>
        <w:rPr>
          <w:rFonts w:ascii="IRNazanin" w:hAnsi="IRNazanin" w:eastAsia="IRNazanin" w:cs="IRNazanin"/>
          <w:lang w:bidi="fa-IR"/>
          <w:color w:val="111111"/>
          <w:sz w:val="28"/>
          <w:szCs w:val="28"/>
          <w:rtl/>
        </w:rPr>
        <w:t xml:space="preserve">فرهنگ مختصری است عربی به فارسی که تنها شامل اسامی اجزاء انسان به ترتیب حروف تهجی است. احتمالاً قطعه ای از«السامي في الاسامی» باشد</w:t>
      </w:r>
    </w:p>
    <w:p>
      <w:pPr>
        <w:pStyle w:val="BookText"/>
      </w:pPr>
      <w:r>
        <w:rPr>
          <w:rFonts w:ascii="IRNazanin" w:hAnsi="IRNazanin" w:eastAsia="IRNazanin" w:cs="IRNazanin"/>
          <w:lang w:bidi="fa-IR"/>
          <w:color w:val="111111"/>
          <w:sz w:val="28"/>
          <w:szCs w:val="28"/>
          <w:rtl/>
        </w:rPr>
        <w:t xml:space="preserve">قم؛ گلپایگانی؛ شماره نسخه: 993/8-6/83</w:t>
      </w:r>
    </w:p>
    <w:p>
      <w:pPr>
        <w:pStyle w:val="BookText"/>
      </w:pPr>
      <w:r>
        <w:rPr>
          <w:rFonts w:ascii="IRNazanin" w:hAnsi="IRNazanin" w:eastAsia="IRNazanin" w:cs="IRNazanin"/>
          <w:lang w:bidi="fa-IR"/>
          <w:color w:val="111111"/>
          <w:sz w:val="28"/>
          <w:szCs w:val="28"/>
          <w:rtl/>
        </w:rPr>
        <w:t xml:space="preserve">آغاز: اسامی اجزاء انسان به حروف تهجی به لسان لغت عربی .</w:t>
      </w:r>
    </w:p>
    <w:p>
      <w:pPr>
        <w:pStyle w:val="BookText"/>
      </w:pPr>
      <w:r>
        <w:rPr>
          <w:rFonts w:ascii="IRNazanin" w:hAnsi="IRNazanin" w:eastAsia="IRNazanin" w:cs="IRNazanin"/>
          <w:lang w:bidi="fa-IR"/>
          <w:color w:val="111111"/>
          <w:sz w:val="28"/>
          <w:szCs w:val="28"/>
          <w:rtl/>
        </w:rPr>
        <w:t xml:space="preserve">أنف. بینی، أذن ،گوش، اصم و اصلح کر؛ انجام: یمین دست  راست، یسار دست چپ، یربوع گوشت پشت</w:t>
      </w:r>
    </w:p>
    <w:p>
      <w:pPr>
        <w:pStyle w:val="BookText"/>
      </w:pPr>
      <w:r>
        <w:rPr>
          <w:rFonts w:ascii="IRNazanin" w:hAnsi="IRNazanin" w:eastAsia="IRNazanin" w:cs="IRNazanin"/>
          <w:lang w:bidi="fa-IR"/>
          <w:color w:val="111111"/>
          <w:sz w:val="28"/>
          <w:szCs w:val="28"/>
          <w:rtl/>
        </w:rPr>
        <w:t xml:space="preserve">خط: نستعلیق، بی کا، بی تا،  پس از اتمام اسامی اجزاء انسان لغات مربوط به ساعات روز و ... درج شده؛ 8گ،چهار ستونی، اندازه:</w:t>
      </w:r>
    </w:p>
    <w:p>
      <w:pPr>
        <w:pStyle w:val="BookText"/>
      </w:pPr>
      <w:r>
        <w:rPr>
          <w:rFonts w:ascii="Times New Roman" w:hAnsi="Times New Roman" w:eastAsia="Times New Roman" w:cs="Times New Roman"/>
          <w:lang w:val="en-US" w:bidi="en-US"/>
          <w:color w:val="111111"/>
          <w:sz w:val="28"/>
          <w:szCs w:val="28"/>
          <w:rtl/>
        </w:rPr>
        <w:t xml:space="preserve">13/5×20/5</w:t>
      </w:r>
      <w:r>
        <w:rPr>
          <w:rFonts w:ascii="IRNazanin" w:hAnsi="IRNazanin" w:eastAsia="IRNazanin" w:cs="IRNazanin"/>
          <w:lang w:bidi="fa-IR"/>
          <w:color w:val="111111"/>
          <w:sz w:val="28"/>
          <w:szCs w:val="28"/>
          <w:rtl/>
        </w:rPr>
        <w:t xml:space="preserve">سم [ف: 1 - 324]</w:t>
      </w:r>
    </w:p>
    <w:p>
      <w:pPr>
        <w:pStyle w:val="Heading3"/>
      </w:pPr>
      <w:bookmarkStart w:id="797" w:name="_Toc319"/>
      <w:r>
        <w:t>اسامی اجزاء مدرسه / متفرقه / فارسی</w:t>
      </w:r>
      <w:bookmarkEnd w:id="797"/>
    </w:p>
    <w:p>
      <w:pPr>
        <w:pStyle w:val="BookText"/>
      </w:pPr>
      <w:r>
        <w:rPr>
          <w:rFonts w:ascii="Times New Roman" w:hAnsi="Times New Roman" w:eastAsia="Times New Roman" w:cs="Times New Roman"/>
          <w:lang w:val="en-US" w:bidi="en-US"/>
          <w:color w:val="111111"/>
          <w:sz w:val="28"/>
          <w:szCs w:val="28"/>
          <w:rtl/>
        </w:rPr>
        <w:t xml:space="preserve">asāmī-ye ajzā’-e madrese</w:t>
      </w:r>
    </w:p>
    <w:p>
      <w:pPr>
        <w:pStyle w:val="BookText"/>
      </w:pPr>
      <w:r>
        <w:rPr>
          <w:rFonts w:ascii="IRNazanin" w:hAnsi="IRNazanin" w:eastAsia="IRNazanin" w:cs="IRNazanin"/>
          <w:lang w:bidi="fa-IR"/>
          <w:color w:val="111111"/>
          <w:sz w:val="28"/>
          <w:szCs w:val="28"/>
          <w:rtl/>
        </w:rPr>
        <w:t xml:space="preserve">اسامی  معلمین، مستخدمين و محصلین یکی از مدارس می باشد.</w:t>
      </w:r>
    </w:p>
    <w:p>
      <w:pPr>
        <w:pStyle w:val="BookText"/>
      </w:pPr>
      <w:r>
        <w:rPr>
          <w:rFonts w:ascii="IRNazanin" w:hAnsi="IRNazanin" w:eastAsia="IRNazanin" w:cs="IRNazanin"/>
          <w:lang w:bidi="fa-IR"/>
          <w:color w:val="111111"/>
          <w:sz w:val="28"/>
          <w:szCs w:val="28"/>
          <w:rtl/>
        </w:rPr>
        <w:t xml:space="preserve">قم؛ مسجد اعظم؛ شماره نسخه: 3871</w:t>
      </w:r>
    </w:p>
    <w:p>
      <w:pPr>
        <w:pStyle w:val="BookText"/>
      </w:pPr>
      <w:r>
        <w:rPr>
          <w:rFonts w:ascii="IRNazanin" w:hAnsi="IRNazanin" w:eastAsia="IRNazanin" w:cs="IRNazanin"/>
          <w:lang w:bidi="fa-IR"/>
          <w:color w:val="111111"/>
          <w:sz w:val="28"/>
          <w:szCs w:val="28"/>
          <w:rtl/>
        </w:rPr>
        <w:t xml:space="preserve">آغاز: آقا امیر حسن نقيب السادات قایم مقامی دفتر دار ومعلم سیاق؛ انجام: آقا سید تقی طهرانی طباخ.</w:t>
      </w:r>
    </w:p>
    <w:p>
      <w:pPr>
        <w:pStyle w:val="BookText"/>
      </w:pPr>
      <w:r>
        <w:rPr>
          <w:rFonts w:ascii="IRNazanin" w:hAnsi="IRNazanin" w:eastAsia="IRNazanin" w:cs="IRNazanin"/>
          <w:lang w:bidi="fa-IR"/>
          <w:color w:val="111111"/>
          <w:sz w:val="28"/>
          <w:szCs w:val="28"/>
          <w:rtl/>
        </w:rPr>
        <w:t xml:space="preserve">خط: نستعلیق، بی کا، تا: ذیقعده 1323ق؛ جلد: مقوا 4 برگ ، مختلف السطر ، اندازه: 14</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مخ: 1- 135]</w:t>
      </w:r>
    </w:p>
    <w:p>
      <w:pPr>
        <w:pStyle w:val="Heading3"/>
      </w:pPr>
      <w:bookmarkStart w:id="798" w:name="_Toc320"/>
      <w:r>
        <w:t>اسامی ادویه / طب / فارسی</w:t>
      </w:r>
      <w:bookmarkEnd w:id="798"/>
    </w:p>
    <w:p>
      <w:pPr>
        <w:pStyle w:val="BookText"/>
      </w:pPr>
      <w:r>
        <w:rPr>
          <w:rFonts w:ascii="Times New Roman" w:hAnsi="Times New Roman" w:eastAsia="Times New Roman" w:cs="Times New Roman"/>
          <w:lang w:val="en-US" w:bidi="en-US"/>
          <w:color w:val="111111"/>
          <w:sz w:val="28"/>
          <w:szCs w:val="28"/>
          <w:rtl/>
        </w:rPr>
        <w:t xml:space="preserve">asāmī-ye advīye</w:t>
      </w:r>
    </w:p>
    <w:p>
      <w:pPr>
        <w:pStyle w:val="BookText"/>
      </w:pPr>
      <w:r>
        <w:rPr>
          <w:rFonts w:ascii="IRNazanin" w:hAnsi="IRNazanin" w:eastAsia="IRNazanin" w:cs="IRNazanin"/>
          <w:lang w:bidi="fa-IR"/>
          <w:color w:val="111111"/>
          <w:sz w:val="28"/>
          <w:szCs w:val="28"/>
          <w:rtl/>
        </w:rPr>
        <w:t xml:space="preserve">تهران؛ ملی؛ شماره نسخه: 17966</w:t>
      </w:r>
    </w:p>
    <w:p>
      <w:pPr>
        <w:pStyle w:val="BookText"/>
      </w:pPr>
      <w:r>
        <w:rPr>
          <w:rFonts w:ascii="IRNazanin" w:hAnsi="IRNazanin" w:eastAsia="IRNazanin" w:cs="IRNazanin"/>
          <w:lang w:bidi="fa-IR"/>
          <w:color w:val="111111"/>
          <w:sz w:val="28"/>
          <w:szCs w:val="28"/>
          <w:rtl/>
        </w:rPr>
        <w:t xml:space="preserve">بی کا،  بی تا؛ انتقالی از کتابخانه پهلوی - مجموعه نوازی؛ 71گ، اندازه: 16/4</w:t>
      </w:r>
      <w:r>
        <w:rPr>
          <w:rFonts w:ascii="Times New Roman" w:hAnsi="Times New Roman" w:eastAsia="Times New Roman" w:cs="Times New Roman"/>
          <w:lang w:val="en-US" w:bidi="en-US"/>
          <w:color w:val="111111"/>
          <w:sz w:val="28"/>
          <w:szCs w:val="28"/>
          <w:rtl/>
        </w:rPr>
        <w:t xml:space="preserve">×21/9</w:t>
      </w:r>
      <w:r>
        <w:rPr>
          <w:rFonts w:ascii="IRNazanin" w:hAnsi="IRNazanin" w:eastAsia="IRNazanin" w:cs="IRNazanin"/>
          <w:lang w:bidi="fa-IR"/>
          <w:color w:val="111111"/>
          <w:sz w:val="28"/>
          <w:szCs w:val="28"/>
          <w:rtl/>
        </w:rPr>
        <w:t xml:space="preserve">سم [رایانه ]</w:t>
      </w:r>
    </w:p>
    <w:p>
      <w:pPr>
        <w:pStyle w:val="Heading3"/>
      </w:pPr>
      <w:bookmarkStart w:id="799" w:name="_Toc321"/>
      <w:r>
        <w:t>اسامی ادویه از رفائيل و يوحنا / طب</w:t>
      </w:r>
      <w:bookmarkEnd w:id="799"/>
    </w:p>
    <w:p>
      <w:pPr>
        <w:pStyle w:val="BookText"/>
      </w:pPr>
      <w:r>
        <w:rPr>
          <w:rFonts w:ascii="Times New Roman" w:hAnsi="Times New Roman" w:eastAsia="Times New Roman" w:cs="Times New Roman"/>
          <w:lang w:val="en-US" w:bidi="en-US"/>
          <w:color w:val="111111"/>
          <w:sz w:val="28"/>
          <w:szCs w:val="28"/>
          <w:rtl/>
        </w:rPr>
        <w:t xml:space="preserve">asāmī-ye advīye az rafā'īl va yūhannā</w:t>
      </w:r>
    </w:p>
    <w:p>
      <w:pPr>
        <w:pStyle w:val="BookText"/>
      </w:pPr>
      <w:r>
        <w:rPr>
          <w:rFonts w:ascii="IRNazanin" w:hAnsi="IRNazanin" w:eastAsia="IRNazanin" w:cs="IRNazanin"/>
          <w:lang w:bidi="fa-IR"/>
          <w:color w:val="111111"/>
          <w:sz w:val="28"/>
          <w:szCs w:val="28"/>
          <w:rtl/>
        </w:rPr>
        <w:t xml:space="preserve">تهران؛ مجلس؛ شماره نسخه: 88/30</w:t>
      </w:r>
    </w:p>
    <w:p>
      <w:pPr>
        <w:pStyle w:val="BookText"/>
      </w:pPr>
      <w:r>
        <w:rPr>
          <w:rFonts w:ascii="IRNazanin" w:hAnsi="IRNazanin" w:eastAsia="IRNazanin" w:cs="IRNazanin"/>
          <w:lang w:bidi="fa-IR"/>
          <w:color w:val="111111"/>
          <w:sz w:val="28"/>
          <w:szCs w:val="28"/>
          <w:rtl/>
        </w:rPr>
        <w:t xml:space="preserve">بی کا، تا: قرن 13 1ص (195) [سنا - ف: 1 - 48]</w:t>
      </w:r>
    </w:p>
    <w:p>
      <w:pPr>
        <w:pStyle w:val="Heading3"/>
      </w:pPr>
      <w:bookmarkStart w:id="800" w:name="_Toc322"/>
      <w:r>
        <w:t>اسامی اسبان سوقانی / متفرقه / فارسی</w:t>
      </w:r>
      <w:bookmarkEnd w:id="800"/>
    </w:p>
    <w:p>
      <w:pPr>
        <w:pStyle w:val="BookText"/>
      </w:pPr>
      <w:r>
        <w:rPr>
          <w:rFonts w:ascii="Times New Roman" w:hAnsi="Times New Roman" w:eastAsia="Times New Roman" w:cs="Times New Roman"/>
          <w:lang w:val="en-US" w:bidi="en-US"/>
          <w:color w:val="111111"/>
          <w:sz w:val="28"/>
          <w:szCs w:val="28"/>
          <w:rtl/>
        </w:rPr>
        <w:t xml:space="preserve">asāmī-ye asbān-e sūqānī</w:t>
      </w:r>
    </w:p>
    <w:p>
      <w:pPr>
        <w:pStyle w:val="BookText"/>
      </w:pPr>
      <w:r>
        <w:rPr>
          <w:rFonts w:ascii="IRNazanin" w:hAnsi="IRNazanin" w:eastAsia="IRNazanin" w:cs="IRNazanin"/>
          <w:lang w:bidi="fa-IR"/>
          <w:color w:val="111111"/>
          <w:sz w:val="28"/>
          <w:szCs w:val="28"/>
          <w:rtl/>
        </w:rPr>
        <w:t xml:space="preserve">تعداد اسب های سوقانی و مشخصات و رنگ هر یک و نام کسانی که آنها را هدیه کرده اند به تفصیل آمده و به صورت گزارشی به عرض ناصرالدین شاه رسیده است.</w:t>
      </w:r>
    </w:p>
    <w:p>
      <w:pPr>
        <w:pStyle w:val="BookText"/>
      </w:pPr>
      <w:r>
        <w:rPr>
          <w:rFonts w:ascii="IRNazanin" w:hAnsi="IRNazanin" w:eastAsia="IRNazanin" w:cs="IRNazanin"/>
          <w:lang w:bidi="fa-IR"/>
          <w:color w:val="111111"/>
          <w:sz w:val="28"/>
          <w:szCs w:val="28"/>
          <w:rtl/>
        </w:rPr>
        <w:t xml:space="preserve">تهران؛ ملی؛ شماره نسخه: 404</w:t>
      </w:r>
    </w:p>
    <w:p>
      <w:pPr>
        <w:pStyle w:val="BookText"/>
      </w:pPr>
      <w:r>
        <w:rPr>
          <w:rFonts w:ascii="IRNazanin" w:hAnsi="IRNazanin" w:eastAsia="IRNazanin" w:cs="IRNazanin"/>
          <w:lang w:bidi="fa-IR"/>
          <w:color w:val="111111"/>
          <w:sz w:val="28"/>
          <w:szCs w:val="28"/>
          <w:rtl/>
        </w:rPr>
        <w:t xml:space="preserve">آغاز کتابچه اسبان سوقانی که حضور مرحمت ظهور مبارک بدفتر از بابت هذه السنه قوى ئيل 1300 بتاریخ دوشنبه هشتم شهر جمادى الاخرى؛ انجام: اول دوم سوم چهارم پنجم</w:t>
      </w:r>
    </w:p>
    <w:p>
      <w:pPr>
        <w:pStyle w:val="BookText"/>
      </w:pPr>
      <w:r>
        <w:rPr>
          <w:rFonts w:ascii="IRNazanin" w:hAnsi="IRNazanin" w:eastAsia="IRNazanin" w:cs="IRNazanin"/>
          <w:lang w:bidi="fa-IR"/>
          <w:color w:val="111111"/>
          <w:sz w:val="28"/>
          <w:szCs w:val="28"/>
          <w:rtl/>
        </w:rPr>
        <w:t xml:space="preserve">خط: شکسته نستعلیق، بی کا، تا: 1300ق، جا: تهران؛ کاغذ: فرنگی، جلد: مخمل آبی، گل و بته و تاج کوبیده، مقوایی، 5گ، 16 سطر (7/5</w:t>
      </w:r>
      <w:r>
        <w:rPr>
          <w:rFonts w:ascii="Times New Roman" w:hAnsi="Times New Roman" w:eastAsia="Times New Roman" w:cs="Times New Roman"/>
          <w:lang w:val="en-US" w:bidi="en-US"/>
          <w:color w:val="111111"/>
          <w:sz w:val="28"/>
          <w:szCs w:val="28"/>
          <w:rtl/>
        </w:rPr>
        <w:t xml:space="preserve">×13/5)</w:t>
      </w:r>
      <w:r>
        <w:rPr>
          <w:rFonts w:ascii="IRNazanin" w:hAnsi="IRNazanin" w:eastAsia="IRNazanin" w:cs="IRNazanin"/>
          <w:lang w:bidi="fa-IR"/>
          <w:color w:val="111111"/>
          <w:sz w:val="28"/>
          <w:szCs w:val="28"/>
          <w:rtl/>
        </w:rPr>
        <w:t xml:space="preserve">، اندازه: 12</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سم [ف: 1 - 390]</w:t>
      </w:r>
    </w:p>
    <w:p>
      <w:pPr>
        <w:pStyle w:val="Heading3"/>
      </w:pPr>
      <w:bookmarkStart w:id="801" w:name="_Toc323"/>
      <w:r>
        <w:t>اسامی اشکال 16 گانه / فارسی</w:t>
      </w:r>
      <w:bookmarkEnd w:id="801"/>
    </w:p>
    <w:p>
      <w:pPr>
        <w:pStyle w:val="BookText"/>
      </w:pPr>
      <w:r>
        <w:rPr>
          <w:rFonts w:ascii="Times New Roman" w:hAnsi="Times New Roman" w:eastAsia="Times New Roman" w:cs="Times New Roman"/>
          <w:lang w:val="en-US" w:bidi="en-US"/>
          <w:color w:val="111111"/>
          <w:sz w:val="28"/>
          <w:szCs w:val="28"/>
          <w:rtl/>
        </w:rPr>
        <w:t xml:space="preserve">asāmī-ye aškāl-e šānzdah-gāne</w:t>
      </w:r>
    </w:p>
    <w:p>
      <w:pPr>
        <w:pStyle w:val="BookText"/>
      </w:pPr>
      <w:r>
        <w:rPr>
          <w:rFonts w:ascii="IRNazanin" w:hAnsi="IRNazanin" w:eastAsia="IRNazanin" w:cs="IRNazanin"/>
          <w:lang w:bidi="fa-IR"/>
          <w:color w:val="111111"/>
          <w:sz w:val="28"/>
          <w:szCs w:val="28"/>
          <w:rtl/>
        </w:rPr>
        <w:t xml:space="preserve">تهران؛ دانشگاه؛ شماره نسخه: 10684/11</w:t>
      </w:r>
    </w:p>
    <w:p>
      <w:pPr>
        <w:pStyle w:val="BookText"/>
      </w:pPr>
      <w:r>
        <w:rPr>
          <w:rFonts w:ascii="IRNazanin" w:hAnsi="IRNazanin" w:eastAsia="IRNazanin" w:cs="IRNazanin"/>
          <w:lang w:bidi="fa-IR"/>
          <w:color w:val="111111"/>
          <w:sz w:val="28"/>
          <w:szCs w:val="28"/>
          <w:rtl/>
        </w:rPr>
        <w:t xml:space="preserve">آغاز: فایده در اسامی اشکال 16 گانه. بدان که هر شکل را به چند نام خوانده اند. مولانا حسين عليه الرحمه هر شکل را لبسه بقت ذکر کرده یکی به عربی دویم یونانی سوم تبریزی و ما مجموع این جا ذکر کنیم؛ انجام: ایرید یعنی خبر دهنده از همه چیزو و بعضی او را به تبریزی طیقر روایت کرده اند تمت</w:t>
      </w:r>
    </w:p>
    <w:p>
      <w:pPr>
        <w:pStyle w:val="BookText"/>
      </w:pPr>
      <w:r>
        <w:rPr>
          <w:rFonts w:ascii="IRNazanin" w:hAnsi="IRNazanin" w:eastAsia="IRNazanin" w:cs="IRNazanin"/>
          <w:lang w:bidi="fa-IR"/>
          <w:color w:val="111111"/>
          <w:sz w:val="28"/>
          <w:szCs w:val="28"/>
          <w:rtl/>
        </w:rPr>
        <w:t xml:space="preserve">خط: نسخ، بی کا، بی تا :جلد: تیماج مشکی یک لا، اگ (31ر -31پ) ، 21 سطر (12</w:t>
      </w:r>
      <w:r>
        <w:rPr>
          <w:rFonts w:ascii="Times New Roman" w:hAnsi="Times New Roman" w:eastAsia="Times New Roman" w:cs="Times New Roman"/>
          <w:lang w:val="en-US" w:bidi="en-US"/>
          <w:color w:val="111111"/>
          <w:sz w:val="28"/>
          <w:szCs w:val="28"/>
          <w:rtl/>
        </w:rPr>
        <w:t xml:space="preserve">×15/5)</w:t>
      </w:r>
      <w:r>
        <w:rPr>
          <w:rFonts w:ascii="IRNazanin" w:hAnsi="IRNazanin" w:eastAsia="IRNazanin" w:cs="IRNazanin"/>
          <w:lang w:bidi="fa-IR"/>
          <w:color w:val="111111"/>
          <w:sz w:val="28"/>
          <w:szCs w:val="28"/>
          <w:rtl/>
        </w:rPr>
        <w:t xml:space="preserve">، اندازه: 17</w:t>
      </w:r>
      <w:r>
        <w:rPr>
          <w:rFonts w:ascii="Times New Roman" w:hAnsi="Times New Roman" w:eastAsia="Times New Roman" w:cs="Times New Roman"/>
          <w:lang w:val="en-US" w:bidi="en-US"/>
          <w:color w:val="111111"/>
          <w:sz w:val="28"/>
          <w:szCs w:val="28"/>
          <w:rtl/>
        </w:rPr>
        <w:t xml:space="preserve">×20/5</w:t>
      </w:r>
      <w:r>
        <w:rPr>
          <w:rFonts w:ascii="IRNazanin" w:hAnsi="IRNazanin" w:eastAsia="IRNazanin" w:cs="IRNazanin"/>
          <w:lang w:bidi="fa-IR"/>
          <w:color w:val="111111"/>
          <w:sz w:val="28"/>
          <w:szCs w:val="28"/>
          <w:rtl/>
        </w:rPr>
        <w:t xml:space="preserve">سم [ف: (20-188]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04" w:name="pg20365_260136"/>
    <w:bookmarkEnd w:id="104"/>
    <w:p>
      <w:pPr>
        <w:pStyle w:val="Heading3"/>
      </w:pPr>
      <w:bookmarkStart w:id="802" w:name="_Toc324"/>
      <w:r>
        <w:t>اسامى الذين نزل فيهم القرآن الحكيم / تفسير / عربی</w:t>
      </w:r>
      <w:bookmarkEnd w:id="802"/>
    </w:p>
    <w:p>
      <w:pPr>
        <w:pStyle w:val="BookText"/>
      </w:pPr>
      <w:r>
        <w:rPr>
          <w:rFonts w:ascii="Times New Roman" w:hAnsi="Times New Roman" w:eastAsia="Times New Roman" w:cs="Times New Roman"/>
          <w:lang w:val="en-US" w:bidi="en-US"/>
          <w:color w:val="111111"/>
          <w:sz w:val="28"/>
          <w:szCs w:val="28"/>
          <w:rtl/>
        </w:rPr>
        <w:t xml:space="preserve">asāmī-ul-laḏīn-a nuzzil-a fī-him al-qur‘ān-ul-ḥakīm</w:t>
      </w:r>
    </w:p>
    <w:p>
      <w:pPr>
        <w:pStyle w:val="BookText"/>
      </w:pPr>
      <w:r>
        <w:rPr>
          <w:rFonts w:ascii="Amiri" w:hAnsi="Amiri" w:eastAsia="Amiri" w:cs="Amiri"/>
          <w:lang w:bidi="ar-SA"/>
          <w:color w:val="111111"/>
          <w:sz w:val="28"/>
          <w:szCs w:val="28"/>
          <w:rtl/>
        </w:rPr>
        <w:t xml:space="preserve">طيفور بن منصور</w:t>
      </w:r>
    </w:p>
    <w:p>
      <w:pPr>
        <w:pStyle w:val="BookText"/>
      </w:pPr>
      <w:r>
        <w:rPr>
          <w:rFonts w:ascii="Times New Roman" w:hAnsi="Times New Roman" w:eastAsia="Times New Roman" w:cs="Times New Roman"/>
          <w:lang w:val="en-US" w:bidi="en-US"/>
          <w:color w:val="111111"/>
          <w:sz w:val="28"/>
          <w:szCs w:val="28"/>
          <w:rtl/>
        </w:rPr>
        <w:t xml:space="preserve">tayfor ebn-e mansūr</w:t>
      </w:r>
    </w:p>
    <w:p>
      <w:pPr>
        <w:pStyle w:val="BookText"/>
      </w:pPr>
      <w:r>
        <w:rPr>
          <w:rFonts w:ascii="IRNazanin" w:hAnsi="IRNazanin" w:eastAsia="IRNazanin" w:cs="IRNazanin"/>
          <w:lang w:bidi="fa-IR"/>
          <w:color w:val="111111"/>
          <w:sz w:val="28"/>
          <w:szCs w:val="28"/>
          <w:rtl/>
        </w:rPr>
        <w:t xml:space="preserve">در این کتاب نام کسانی که آیتی از قرآن درباره ایشان نازل شده یاد گردیده است مؤلف می گوید: قرآن بهترین کتاب، و علوم مربوط به آن از اجل علوم می باشد، مخصوصا علم تفسیر که آن از اخبار گذشتگان استفاده شده باشد». بر این  اساس، مؤلف تصمیم به جمع آوری این نوع تفسیر نموده و به قول ابن عباس این راستا اکتفا نموده و کتابش را به منظور تسهیل در مراجعه، به ترتيب حروف الفبا تنظیم کرده و در ذکر هر یک از اشخاص یا قبائل، آیه یا آیات مربوط به آنان را نیز متذکر شده است.</w:t>
      </w:r>
    </w:p>
    <w:p>
      <w:pPr>
        <w:pStyle w:val="BookText"/>
      </w:pPr>
      <w:r>
        <w:rPr>
          <w:rFonts w:ascii="IRNazanin" w:hAnsi="IRNazanin" w:eastAsia="IRNazanin" w:cs="IRNazanin"/>
          <w:lang w:bidi="fa-IR"/>
          <w:color w:val="111111"/>
          <w:sz w:val="28"/>
          <w:szCs w:val="28"/>
          <w:rtl/>
        </w:rPr>
        <w:t xml:space="preserve">آغاز: بسمله. في كتاب طيفور بن منصور: هذا كتاب «اسامی الذين نزل فيهم القرآن الحكيم؛ الحمد لله الواحد القديم، السند الكريم ... دعانى الى جمع هذا النوع من التنزيل و اختصرت علی قول ابن عباس ... الى انى جمعت فيه ترتيباً ... فرتبت الكتاب علی حروف المعجم و سميته كتاب «أسامى الذين نزل فيهم القرآن» و هو التصنيف الخامس عشر مما جمعت ... 1 - فاولها- «عنوان التفسير». 2- «تذكرة الواعظين» 3- مغيبث الواعظين»4- «كتاب التنزيل» 5- «معانی اسماء الله» 6 - «كتاب الوجوه» 7-«كتاب القرون فى شواذ الحروف» 8- «تواريخ المورخ» 9- «العريضه» 10- «علل عدد الايات» 11-« تفصيل مذاهب القراء في عدد الاى» 12- «علل القراآت السبع » 13- «قرائة ابى عمر» 14- «علل قرائة عاصم» 15 - «هذا الكتاب ... باب الالف</w:t>
      </w:r>
    </w:p>
    <w:p>
      <w:pPr>
        <w:pStyle w:val="BookText"/>
      </w:pPr>
      <w:r>
        <w:rPr>
          <w:rFonts w:ascii="IRNazanin" w:hAnsi="IRNazanin" w:eastAsia="IRNazanin" w:cs="IRNazanin"/>
          <w:lang w:bidi="fa-IR"/>
          <w:color w:val="111111"/>
          <w:sz w:val="28"/>
          <w:szCs w:val="28"/>
          <w:rtl/>
        </w:rPr>
        <w:t xml:space="preserve">تهران؛ سپهسالار؛ شماره نسخه: 7527/2</w:t>
      </w:r>
    </w:p>
    <w:p>
      <w:pPr>
        <w:pStyle w:val="BookText"/>
      </w:pPr>
      <w:r>
        <w:rPr>
          <w:rFonts w:ascii="IRNazanin" w:hAnsi="IRNazanin" w:eastAsia="IRNazanin" w:cs="IRNazanin"/>
          <w:lang w:bidi="fa-IR"/>
          <w:color w:val="111111"/>
          <w:sz w:val="28"/>
          <w:szCs w:val="28"/>
          <w:rtl/>
        </w:rPr>
        <w:t xml:space="preserve">آغاز: برابر؛ انجام: و عمرو بن عبدالله ابی عزة و هبيرة ابن ابى.</w:t>
      </w:r>
    </w:p>
    <w:p>
      <w:pPr>
        <w:pStyle w:val="BookText"/>
      </w:pPr>
      <w:r>
        <w:rPr>
          <w:rFonts w:ascii="IRNazanin" w:hAnsi="IRNazanin" w:eastAsia="IRNazanin" w:cs="IRNazanin"/>
          <w:lang w:bidi="fa-IR"/>
          <w:color w:val="111111"/>
          <w:sz w:val="28"/>
          <w:szCs w:val="28"/>
          <w:rtl/>
        </w:rPr>
        <w:t xml:space="preserve">در فهرست نام مؤلف نیامده است؛ خط: نسخ، کا: محمد علی کرمانشاهی، بی تا؛ آن را از روی نسخه موریانه خورده و ناقص نوشته؛ کاغذ: فرنگی ،سفید ،جلد: تیماج سرخ مقوایی، 11 گ( 97ر - 107ر)، اندازه: 12</w:t>
      </w:r>
      <w:r>
        <w:rPr>
          <w:rFonts w:ascii="Times New Roman" w:hAnsi="Times New Roman" w:eastAsia="Times New Roman" w:cs="Times New Roman"/>
          <w:lang w:val="en-US" w:bidi="en-US"/>
          <w:color w:val="111111"/>
          <w:sz w:val="28"/>
          <w:szCs w:val="28"/>
          <w:rtl/>
        </w:rPr>
        <w:t xml:space="preserve">×18/5</w:t>
      </w:r>
      <w:r>
        <w:rPr>
          <w:rFonts w:ascii="IRNazanin" w:hAnsi="IRNazanin" w:eastAsia="IRNazanin" w:cs="IRNazanin"/>
          <w:lang w:bidi="fa-IR"/>
          <w:color w:val="111111"/>
          <w:sz w:val="28"/>
          <w:szCs w:val="28"/>
          <w:rtl/>
        </w:rPr>
        <w:t xml:space="preserve">سم [ف 3 - 115]</w:t>
      </w:r>
    </w:p>
    <w:p>
      <w:pPr>
        <w:pStyle w:val="BookText"/>
      </w:pPr>
      <w:r>
        <w:rPr>
          <w:rFonts w:ascii="IRNazanin" w:hAnsi="IRNazanin" w:eastAsia="IRNazanin" w:cs="IRNazanin"/>
          <w:lang w:bidi="fa-IR"/>
          <w:color w:val="111111"/>
          <w:sz w:val="28"/>
          <w:szCs w:val="28"/>
          <w:rtl/>
        </w:rPr>
        <w:t xml:space="preserve">قم؛ مرکز احیاء؛ شماره نسخه: 691/3</w:t>
      </w:r>
    </w:p>
    <w:p>
      <w:pPr>
        <w:pStyle w:val="BookText"/>
      </w:pPr>
      <w:r>
        <w:rPr>
          <w:rFonts w:ascii="IRNazanin" w:hAnsi="IRNazanin" w:eastAsia="IRNazanin" w:cs="IRNazanin"/>
          <w:lang w:bidi="fa-IR"/>
          <w:color w:val="111111"/>
          <w:sz w:val="28"/>
          <w:szCs w:val="28"/>
          <w:rtl/>
        </w:rPr>
        <w:t xml:space="preserve">نسخه اصل: همان نسخه بالا [عکسی ف: 2 - 322]</w:t>
      </w:r>
    </w:p>
    <w:p>
      <w:pPr>
        <w:pStyle w:val="Heading3"/>
      </w:pPr>
      <w:bookmarkStart w:id="803" w:name="_Toc325"/>
      <w:r>
        <w:t>اسامی اماکن حجاز / جغرافيا / فارسی</w:t>
      </w:r>
      <w:bookmarkEnd w:id="803"/>
    </w:p>
    <w:p>
      <w:pPr>
        <w:pStyle w:val="BookText"/>
      </w:pPr>
      <w:r>
        <w:rPr>
          <w:rFonts w:ascii="Times New Roman" w:hAnsi="Times New Roman" w:eastAsia="Times New Roman" w:cs="Times New Roman"/>
          <w:lang w:val="en-US" w:bidi="en-US"/>
          <w:color w:val="111111"/>
          <w:sz w:val="28"/>
          <w:szCs w:val="28"/>
          <w:rtl/>
        </w:rPr>
        <w:t xml:space="preserve">asāmī-ye amāken-e hejāz</w:t>
      </w:r>
    </w:p>
    <w:p>
      <w:pPr>
        <w:pStyle w:val="BookText"/>
      </w:pPr>
      <w:r>
        <w:rPr>
          <w:rFonts w:ascii="IRNazanin" w:hAnsi="IRNazanin" w:eastAsia="IRNazanin" w:cs="IRNazanin"/>
          <w:lang w:bidi="fa-IR"/>
          <w:color w:val="111111"/>
          <w:sz w:val="28"/>
          <w:szCs w:val="28"/>
          <w:rtl/>
        </w:rPr>
        <w:t xml:space="preserve">بغایری، عبدالرزاق، 1246 - 1332 شمسی</w:t>
      </w:r>
    </w:p>
    <w:p>
      <w:pPr>
        <w:pStyle w:val="BookText"/>
      </w:pPr>
      <w:r>
        <w:rPr>
          <w:rFonts w:ascii="Times New Roman" w:hAnsi="Times New Roman" w:eastAsia="Times New Roman" w:cs="Times New Roman"/>
          <w:lang w:val="en-US" w:bidi="en-US"/>
          <w:color w:val="111111"/>
          <w:sz w:val="28"/>
          <w:szCs w:val="28"/>
          <w:rtl/>
        </w:rPr>
        <w:t xml:space="preserve">(baqāyerī, ‘abd-or-razzāq (1867 - 1953</w:t>
      </w:r>
    </w:p>
    <w:p>
      <w:pPr>
        <w:pStyle w:val="BookText"/>
      </w:pPr>
      <w:r>
        <w:rPr>
          <w:rFonts w:ascii="IRNazanin" w:hAnsi="IRNazanin" w:eastAsia="IRNazanin" w:cs="IRNazanin"/>
          <w:lang w:bidi="fa-IR"/>
          <w:color w:val="111111"/>
          <w:sz w:val="28"/>
          <w:szCs w:val="28"/>
          <w:rtl/>
        </w:rPr>
        <w:t xml:space="preserve">نام اماکن حجاز شامل منازل و اماکن مشرفه و شهرها و قری و قصبات که بیشتر آنها مسیر حجاج می باشد، در شصت و چهارجدول تنظیم شده و  مسافت هر یک را با دیگری به کیلو متر تعیین نموده و در پایان توضیحاتی با ارجاع به صفحه های گذشته می افزاید.</w:t>
      </w:r>
    </w:p>
    <w:p>
      <w:pPr>
        <w:pStyle w:val="BookText"/>
      </w:pPr>
      <w:r>
        <w:rPr>
          <w:rFonts w:ascii="IRNazanin" w:hAnsi="IRNazanin" w:eastAsia="IRNazanin" w:cs="IRNazanin"/>
          <w:lang w:bidi="fa-IR"/>
          <w:color w:val="111111"/>
          <w:sz w:val="28"/>
          <w:szCs w:val="28"/>
          <w:rtl/>
        </w:rPr>
        <w:t xml:space="preserve">قم؛ مرعشی؛ شماره نسخه: 9711</w:t>
      </w:r>
    </w:p>
    <w:p>
      <w:pPr>
        <w:pStyle w:val="BookText"/>
      </w:pPr>
      <w:r>
        <w:rPr>
          <w:rFonts w:ascii="Amiri" w:hAnsi="Amiri" w:eastAsia="Amiri" w:cs="Amiri"/>
          <w:lang w:bidi="ar-SA"/>
          <w:color w:val="111111"/>
          <w:sz w:val="28"/>
          <w:szCs w:val="28"/>
          <w:rtl/>
        </w:rPr>
        <w:t xml:space="preserve">آغاز: جدول شماره (1) جده - مكة المكرمة 12 جده - الرغامه</w:t>
      </w:r>
    </w:p>
    <w:p>
      <w:pPr>
        <w:pStyle w:val="BookText"/>
      </w:pPr>
      <w:r>
        <w:rPr>
          <w:rFonts w:ascii="IRNazanin" w:hAnsi="IRNazanin" w:eastAsia="IRNazanin" w:cs="IRNazanin"/>
          <w:lang w:bidi="fa-IR"/>
          <w:color w:val="111111"/>
          <w:sz w:val="28"/>
          <w:szCs w:val="28"/>
          <w:rtl/>
        </w:rPr>
        <w:t xml:space="preserve">خط: نستعليق، كاتب - ،مؤلف، بی تا، بیشتر برگها سفید مانده است؛ جلد: تیماج قهوه ای 90گ، 15 سطر، اندازه: 11 </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 [ف: 25 - 71]</w:t>
      </w:r>
    </w:p>
    <w:p>
      <w:pPr>
        <w:pStyle w:val="Heading3"/>
      </w:pPr>
      <w:bookmarkStart w:id="804" w:name="_Toc326"/>
      <w:r>
        <w:t>اسامی انبیاء مرسل / تاریخ پیامبران - عربی</w:t>
      </w:r>
      <w:bookmarkEnd w:id="804"/>
    </w:p>
    <w:p>
      <w:pPr>
        <w:pStyle w:val="BookText"/>
      </w:pPr>
      <w:r>
        <w:rPr>
          <w:rFonts w:ascii="Times New Roman" w:hAnsi="Times New Roman" w:eastAsia="Times New Roman" w:cs="Times New Roman"/>
          <w:lang w:val="en-US" w:bidi="en-US"/>
          <w:color w:val="111111"/>
          <w:sz w:val="28"/>
          <w:szCs w:val="28"/>
          <w:rtl/>
        </w:rPr>
        <w:t xml:space="preserve">asāmī-ye anbiya'-e morsal</w:t>
      </w:r>
    </w:p>
    <w:p>
      <w:pPr>
        <w:pStyle w:val="BookText"/>
      </w:pPr>
      <w:r>
        <w:rPr>
          <w:rFonts w:ascii="IRNazanin" w:hAnsi="IRNazanin" w:eastAsia="IRNazanin" w:cs="IRNazanin"/>
          <w:lang w:bidi="fa-IR"/>
          <w:color w:val="111111"/>
          <w:sz w:val="28"/>
          <w:szCs w:val="28"/>
          <w:rtl/>
        </w:rPr>
        <w:t xml:space="preserve">رساله کوتاهی است در بیان اسامی شریف پیامبرانی که مرسل بودند.</w:t>
      </w:r>
    </w:p>
    <w:p>
      <w:pPr>
        <w:pStyle w:val="BookText"/>
      </w:pPr>
      <w:r>
        <w:rPr>
          <w:rFonts w:ascii="IRNazanin" w:hAnsi="IRNazanin" w:eastAsia="IRNazanin" w:cs="IRNazanin"/>
          <w:lang w:bidi="fa-IR"/>
          <w:color w:val="111111"/>
          <w:sz w:val="28"/>
          <w:szCs w:val="28"/>
          <w:rtl/>
        </w:rPr>
        <w:t xml:space="preserve">قم؛ طبسی؛ شماره نسخه: 837/3</w:t>
      </w:r>
    </w:p>
    <w:p>
      <w:pPr>
        <w:pStyle w:val="BookText"/>
      </w:pPr>
      <w:r>
        <w:rPr>
          <w:rFonts w:ascii="IRNazanin" w:hAnsi="IRNazanin" w:eastAsia="IRNazanin" w:cs="IRNazanin"/>
          <w:lang w:bidi="fa-IR"/>
          <w:color w:val="111111"/>
          <w:sz w:val="28"/>
          <w:szCs w:val="28"/>
          <w:rtl/>
        </w:rPr>
        <w:t xml:space="preserve">آغاز: بسمله حمدله والصلوة على محمد وآله الطيبين وبعد اعلم ان اهل الملة قد اقروا بجميع الانبياء ... قال في اصول الديانا ان اهل... قال بعد ذلك والمرسلون منهم ثلثمائة و ثلث عشر نبياً مرسلاً اساميهم الشريفة آدم شیث؛ انجام: احيال عيسى محمد المصطفى صلوات الله وسلامه عليهم اجمعين</w:t>
      </w:r>
    </w:p>
    <w:p>
      <w:pPr>
        <w:pStyle w:val="BookText"/>
      </w:pPr>
      <w:r>
        <w:rPr>
          <w:rFonts w:ascii="IRNazanin" w:hAnsi="IRNazanin" w:eastAsia="IRNazanin" w:cs="IRNazanin"/>
          <w:lang w:bidi="fa-IR"/>
          <w:color w:val="111111"/>
          <w:sz w:val="28"/>
          <w:szCs w:val="28"/>
          <w:rtl/>
        </w:rPr>
        <w:t xml:space="preserve">خط: نسخ ،بی کا، تا: قرن 11؛ جلد: تیماج مشکی، 3گ (59پ - 61 پ)، 10 سطر، اندازه: 15</w:t>
      </w:r>
      <w:r>
        <w:rPr>
          <w:rFonts w:ascii="Times New Roman" w:hAnsi="Times New Roman" w:eastAsia="Times New Roman" w:cs="Times New Roman"/>
          <w:lang w:val="en-US" w:bidi="en-US"/>
          <w:color w:val="111111"/>
          <w:sz w:val="28"/>
          <w:szCs w:val="28"/>
          <w:rtl/>
        </w:rPr>
        <w:t xml:space="preserve">×19/5</w:t>
      </w:r>
      <w:r>
        <w:rPr>
          <w:rFonts w:ascii="IRNazanin" w:hAnsi="IRNazanin" w:eastAsia="IRNazanin" w:cs="IRNazanin"/>
          <w:lang w:bidi="fa-IR"/>
          <w:color w:val="111111"/>
          <w:sz w:val="28"/>
          <w:szCs w:val="28"/>
          <w:rtl/>
        </w:rPr>
        <w:t xml:space="preserve">سم [طبسی مخ: 1 - 39 ]</w:t>
      </w:r>
    </w:p>
    <w:p>
      <w:pPr>
        <w:pStyle w:val="Heading3"/>
      </w:pPr>
      <w:bookmarkStart w:id="805" w:name="_Toc327"/>
      <w:r>
        <w:t>اسامی اوزان و اکیال به ترتیب حروف معجم = اوزان عرف / متفرقه / فارسی</w:t>
      </w:r>
      <w:bookmarkEnd w:id="805"/>
    </w:p>
    <w:p>
      <w:pPr>
        <w:pStyle w:val="BookText"/>
      </w:pPr>
      <w:r>
        <w:rPr>
          <w:rFonts w:ascii="Times New Roman" w:hAnsi="Times New Roman" w:eastAsia="Times New Roman" w:cs="Times New Roman"/>
          <w:lang w:val="en-US" w:bidi="en-US"/>
          <w:color w:val="111111"/>
          <w:sz w:val="28"/>
          <w:szCs w:val="28"/>
          <w:rtl/>
        </w:rPr>
        <w:t xml:space="preserve">=asāmī-ye owzān va akyāl be tartīb-e horuf-emoʻjam</w:t>
      </w:r>
    </w:p>
    <w:p>
      <w:pPr>
        <w:pStyle w:val="BookText"/>
      </w:pPr>
      <w:r>
        <w:rPr>
          <w:rFonts w:ascii="Times New Roman" w:hAnsi="Times New Roman" w:eastAsia="Times New Roman" w:cs="Times New Roman"/>
          <w:lang w:val="en-US" w:bidi="en-US"/>
          <w:color w:val="111111"/>
          <w:sz w:val="28"/>
          <w:szCs w:val="28"/>
          <w:rtl/>
        </w:rPr>
        <w:t xml:space="preserve">owzān-e 'orf</w:t>
      </w:r>
    </w:p>
    <w:p>
      <w:pPr>
        <w:pStyle w:val="BookText"/>
      </w:pPr>
      <w:r>
        <w:rPr>
          <w:rFonts w:ascii="IRNazanin" w:hAnsi="IRNazanin" w:eastAsia="IRNazanin" w:cs="IRNazanin"/>
          <w:lang w:bidi="fa-IR"/>
          <w:color w:val="111111"/>
          <w:sz w:val="28"/>
          <w:szCs w:val="28"/>
          <w:rtl/>
        </w:rPr>
        <w:t xml:space="preserve">اندازه های وزنی و پیمانه ای است، به ترتیب تهجی آغاز می کند به: استار المن  رومى، المن  مصرى، القرطون، الدرهم المطرون.</w:t>
      </w:r>
    </w:p>
    <w:p>
      <w:pPr>
        <w:pStyle w:val="BookText"/>
      </w:pPr>
      <w:r>
        <w:rPr>
          <w:rFonts w:ascii="IRNazanin" w:hAnsi="IRNazanin" w:eastAsia="IRNazanin" w:cs="IRNazanin"/>
          <w:lang w:bidi="fa-IR"/>
          <w:color w:val="111111"/>
          <w:sz w:val="28"/>
          <w:szCs w:val="28"/>
          <w:rtl/>
        </w:rPr>
        <w:t xml:space="preserve">تهران؛ دائرة المعارف؛ شماره نسخه: 431/9-عکسی</w:t>
      </w:r>
    </w:p>
    <w:p>
      <w:pPr>
        <w:pStyle w:val="BookText"/>
      </w:pPr>
      <w:r>
        <w:rPr>
          <w:rFonts w:ascii="IRNazanin" w:hAnsi="IRNazanin" w:eastAsia="IRNazanin" w:cs="IRNazanin"/>
          <w:lang w:bidi="fa-IR"/>
          <w:color w:val="111111"/>
          <w:sz w:val="28"/>
          <w:szCs w:val="28"/>
          <w:rtl/>
        </w:rPr>
        <w:t xml:space="preserve">آغاز: اسامی اوزان و اکیال علی ترتیب حروف المعجم. «استار» وزن چهار مثقال  است «المن رومی» یک وقیه بود. «المن مصری» چهل استار  است. و استار این من چهار مثقال است و دو وانق «القوطون»  هفت وقیه است «الدرهم» یک «مثقال» و وزن این مثقال یک درم و ثمن است «المطرون الكبير»؛ انجام: اباریق پنج رطل است  و نزد بعضی دو من است.</w:t>
      </w:r>
    </w:p>
    <w:p>
      <w:pPr>
        <w:pStyle w:val="BookText"/>
      </w:pPr>
      <w:r>
        <w:rPr>
          <w:rFonts w:ascii="IRNazanin" w:hAnsi="IRNazanin" w:eastAsia="IRNazanin" w:cs="IRNazanin"/>
          <w:lang w:bidi="fa-IR"/>
          <w:color w:val="111111"/>
          <w:sz w:val="28"/>
          <w:szCs w:val="28"/>
          <w:rtl/>
        </w:rPr>
        <w:t xml:space="preserve">اصل  نسخه: موزه بریتانیاش 19619؛ خط: نستعلیق پخته، بی کا، تا: 21 جمادى الثانى 1103ق؛ 5ص (559-563) [ف: 2 - 20]</w:t>
      </w:r>
    </w:p>
    <w:p>
      <w:pPr>
        <w:pStyle w:val="BookText"/>
      </w:pPr>
      <w:r>
        <w:rPr>
          <w:rFonts w:ascii="IRNazanin" w:hAnsi="IRNazanin" w:eastAsia="IRNazanin" w:cs="IRNazanin"/>
          <w:lang w:bidi="fa-IR"/>
          <w:color w:val="111111"/>
          <w:sz w:val="28"/>
          <w:szCs w:val="28"/>
          <w:rtl/>
        </w:rPr>
        <w:t xml:space="preserve">تهران؛ دانشگاه؛ شماره نسخه: 694/9-ف</w:t>
      </w:r>
    </w:p>
    <w:p>
      <w:pPr>
        <w:pStyle w:val="BookText"/>
      </w:pPr>
      <w:r>
        <w:rPr>
          <w:rFonts w:ascii="IRNazanin" w:hAnsi="IRNazanin" w:eastAsia="IRNazanin" w:cs="IRNazanin"/>
          <w:lang w:bidi="fa-IR"/>
          <w:color w:val="111111"/>
          <w:sz w:val="28"/>
          <w:szCs w:val="28"/>
          <w:rtl/>
        </w:rPr>
        <w:t xml:space="preserve">نسخه اصل: همان نسخه اصل بالا [ فیلم ها -ف: 1 - 525]</w:t>
      </w:r>
    </w:p>
    <w:p>
      <w:pPr>
        <w:pStyle w:val="Heading3"/>
      </w:pPr>
      <w:bookmarkStart w:id="806" w:name="_Toc328"/>
      <w:r>
        <w:t>اسامی ائمه / تاریخ معصومین / فارسی</w:t>
      </w:r>
      <w:bookmarkEnd w:id="806"/>
    </w:p>
    <w:p>
      <w:pPr>
        <w:pStyle w:val="BookText"/>
      </w:pPr>
      <w:r>
        <w:rPr>
          <w:rFonts w:ascii="Times New Roman" w:hAnsi="Times New Roman" w:eastAsia="Times New Roman" w:cs="Times New Roman"/>
          <w:lang w:val="en-US" w:bidi="en-US"/>
          <w:color w:val="111111"/>
          <w:sz w:val="28"/>
          <w:szCs w:val="28"/>
          <w:rtl/>
        </w:rPr>
        <w:t xml:space="preserve">asāmī-ye a'emme</w:t>
      </w:r>
    </w:p>
    <w:p>
      <w:pPr>
        <w:pStyle w:val="BookText"/>
      </w:pPr>
      <w:r>
        <w:rPr>
          <w:rFonts w:ascii="IRNazanin" w:hAnsi="IRNazanin" w:eastAsia="IRNazanin" w:cs="IRNazanin"/>
          <w:lang w:bidi="fa-IR"/>
          <w:color w:val="111111"/>
          <w:sz w:val="28"/>
          <w:szCs w:val="28"/>
          <w:rtl/>
        </w:rPr>
        <w:t xml:space="preserve">قهی، ابوالحسن علی</w:t>
      </w:r>
    </w:p>
    <w:p>
      <w:pPr>
        <w:pStyle w:val="BookText"/>
      </w:pPr>
      <w:r>
        <w:rPr>
          <w:rFonts w:ascii="Times New Roman" w:hAnsi="Times New Roman" w:eastAsia="Times New Roman" w:cs="Times New Roman"/>
          <w:lang w:val="en-US" w:bidi="en-US"/>
          <w:color w:val="111111"/>
          <w:sz w:val="28"/>
          <w:szCs w:val="28"/>
          <w:rtl/>
        </w:rPr>
        <w:t xml:space="preserve">qohī, ab-ol-hasan 'alī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05" w:name="pg20365_260137"/>
    <w:bookmarkEnd w:id="105"/>
    <w:p>
      <w:pPr>
        <w:pStyle w:val="BookText"/>
      </w:pPr>
      <w:r>
        <w:rPr>
          <w:rFonts w:ascii="IRNazanin" w:hAnsi="IRNazanin" w:eastAsia="IRNazanin" w:cs="IRNazanin"/>
          <w:lang w:bidi="fa-IR"/>
          <w:color w:val="111111"/>
          <w:sz w:val="28"/>
          <w:szCs w:val="28"/>
          <w:rtl/>
        </w:rPr>
        <w:t xml:space="preserve">اسامی ائمه به ترتیبی که عدد هر یک موافق مرتبه ای غیرآن عددی درآورده به قاعده این مرتبه طرح نموده است، پس طرح عددی موافق آن مرتبه حاصل می آرد .</w:t>
      </w:r>
    </w:p>
    <w:p>
      <w:pPr>
        <w:pStyle w:val="BookText"/>
      </w:pPr>
      <w:r>
        <w:rPr>
          <w:rFonts w:ascii="IRNazanin" w:hAnsi="IRNazanin" w:eastAsia="IRNazanin" w:cs="IRNazanin"/>
          <w:lang w:bidi="fa-IR"/>
          <w:color w:val="111111"/>
          <w:sz w:val="28"/>
          <w:szCs w:val="28"/>
          <w:rtl/>
        </w:rPr>
        <w:t xml:space="preserve">تهران؛ ملک؛ شماره نسخه: 2052/2</w:t>
      </w:r>
    </w:p>
    <w:p>
      <w:pPr>
        <w:pStyle w:val="BookText"/>
      </w:pPr>
      <w:r>
        <w:rPr>
          <w:rFonts w:ascii="IRNazanin" w:hAnsi="IRNazanin" w:eastAsia="IRNazanin" w:cs="IRNazanin"/>
          <w:lang w:bidi="fa-IR"/>
          <w:color w:val="111111"/>
          <w:sz w:val="28"/>
          <w:szCs w:val="28"/>
          <w:rtl/>
        </w:rPr>
        <w:t xml:space="preserve">خط: نستعلیق، بی کا ،تا: قرن 13 ؛کاغذ: ترمه ،جلد: میشن قهوه ا ی،2 ص 14 سطر، اندازه: 9</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سم [ف: 5 - 416]</w:t>
      </w:r>
    </w:p>
    <w:p>
      <w:pPr>
        <w:pStyle w:val="Heading3"/>
      </w:pPr>
      <w:bookmarkStart w:id="807" w:name="_Toc329"/>
      <w:r>
        <w:t>اسامی ائمه اثنا عشر / تاریخ معصومین / فارسی</w:t>
      </w:r>
      <w:bookmarkEnd w:id="807"/>
    </w:p>
    <w:p>
      <w:pPr>
        <w:pStyle w:val="BookText"/>
      </w:pPr>
      <w:r>
        <w:rPr>
          <w:rFonts w:ascii="Times New Roman" w:hAnsi="Times New Roman" w:eastAsia="Times New Roman" w:cs="Times New Roman"/>
          <w:lang w:val="en-US" w:bidi="en-US"/>
          <w:color w:val="111111"/>
          <w:sz w:val="28"/>
          <w:szCs w:val="28"/>
          <w:rtl/>
        </w:rPr>
        <w:t xml:space="preserve">asāmī-ye a’emme-ye esnā ašar</w:t>
      </w:r>
    </w:p>
    <w:p>
      <w:pPr>
        <w:pStyle w:val="BookText"/>
      </w:pPr>
      <w:r>
        <w:rPr>
          <w:rFonts w:ascii="IRNazanin" w:hAnsi="IRNazanin" w:eastAsia="IRNazanin" w:cs="IRNazanin"/>
          <w:lang w:bidi="fa-IR"/>
          <w:color w:val="111111"/>
          <w:sz w:val="28"/>
          <w:szCs w:val="28"/>
          <w:rtl/>
        </w:rPr>
        <w:t xml:space="preserve">رساله مختصری است در بیان اسامی ائمه و مشخصات زندگی آنها مانند کنیه و لقب و نام پدر و تاریخ تولد و...</w:t>
      </w:r>
    </w:p>
    <w:p>
      <w:pPr>
        <w:pStyle w:val="BookText"/>
      </w:pPr>
      <w:r>
        <w:rPr>
          <w:rFonts w:ascii="IRNazanin" w:hAnsi="IRNazanin" w:eastAsia="IRNazanin" w:cs="IRNazanin"/>
          <w:lang w:bidi="fa-IR"/>
          <w:color w:val="111111"/>
          <w:sz w:val="28"/>
          <w:szCs w:val="28"/>
          <w:rtl/>
        </w:rPr>
        <w:t xml:space="preserve">مشهد؛ رضوی؛ شماره نسخه: 31968</w:t>
      </w:r>
    </w:p>
    <w:p>
      <w:pPr>
        <w:pStyle w:val="BookText"/>
      </w:pPr>
      <w:r>
        <w:rPr>
          <w:rFonts w:ascii="IRNazanin" w:hAnsi="IRNazanin" w:eastAsia="IRNazanin" w:cs="IRNazanin"/>
          <w:lang w:bidi="fa-IR"/>
          <w:color w:val="111111"/>
          <w:sz w:val="28"/>
          <w:szCs w:val="28"/>
          <w:rtl/>
        </w:rPr>
        <w:t xml:space="preserve">آغاز: الحمد لله رب العالمين والصلوة والسلام على خير خلقه محمد و آله الطاهرين اما بعد این فصلی است در بیان اسامی ائمه اثنا عشر عليهم صلوات الله الملك الاكبر. اسم امام اول حضرت اميرالمؤمنين على ابن ابی طالب است و کنیتش ابوالحسن ابوتراب و اسم پدر بزرگوارش عمران؛ انجام: امام حسن عسكری  و حسین و محمد با خواهرش ... ابی زید در مدفون است.</w:t>
      </w:r>
    </w:p>
    <w:p>
      <w:pPr>
        <w:pStyle w:val="BookText"/>
      </w:pPr>
      <w:r>
        <w:rPr>
          <w:rFonts w:ascii="IRNazanin" w:hAnsi="IRNazanin" w:eastAsia="IRNazanin" w:cs="IRNazanin"/>
          <w:lang w:bidi="fa-IR"/>
          <w:color w:val="111111"/>
          <w:sz w:val="28"/>
          <w:szCs w:val="28"/>
          <w:rtl/>
        </w:rPr>
        <w:t xml:space="preserve">فرزندان اما حسن عسکری امام ... صاحب الزمان در غیبت حکم خدای تعالی است ... ایام ظهورش .... برون آید خدا داند.</w:t>
      </w:r>
    </w:p>
    <w:p>
      <w:pPr>
        <w:pStyle w:val="BookText"/>
      </w:pPr>
      <w:r>
        <w:rPr>
          <w:rFonts w:ascii="IRNazanin" w:hAnsi="IRNazanin" w:eastAsia="IRNazanin" w:cs="IRNazanin"/>
          <w:lang w:bidi="fa-IR"/>
          <w:color w:val="111111"/>
          <w:sz w:val="28"/>
          <w:szCs w:val="28"/>
          <w:rtl/>
        </w:rPr>
        <w:t xml:space="preserve">خط: نسخ، بی کا، تا: قرن 12؛ ذیل نسخه یک صفحه نقل قول از كتاب شرف النبوة به فارسی؛ اهدائی  رهبری، بهمن 1383؛ کاغذ: نخودی، جلد: تیماج ،فرنگی 5گ 15 سطر، اندازه: 13</w:t>
      </w:r>
      <w:r>
        <w:rPr>
          <w:rFonts w:ascii="Times New Roman" w:hAnsi="Times New Roman" w:eastAsia="Times New Roman" w:cs="Times New Roman"/>
          <w:lang w:val="en-US" w:bidi="en-US"/>
          <w:color w:val="111111"/>
          <w:sz w:val="28"/>
          <w:szCs w:val="28"/>
          <w:rtl/>
        </w:rPr>
        <w:t xml:space="preserve">×18/5 </w:t>
      </w:r>
      <w:r>
        <w:rPr>
          <w:rFonts w:ascii="IRNazanin" w:hAnsi="IRNazanin" w:eastAsia="IRNazanin" w:cs="IRNazanin"/>
          <w:lang w:bidi="fa-IR"/>
          <w:color w:val="111111"/>
          <w:sz w:val="28"/>
          <w:szCs w:val="28"/>
          <w:rtl/>
        </w:rPr>
        <w:t xml:space="preserve">سم[اهدائی  رهبر: 8 - 146]</w:t>
      </w:r>
    </w:p>
    <w:p>
      <w:pPr>
        <w:pStyle w:val="Heading3"/>
      </w:pPr>
      <w:bookmarkStart w:id="808" w:name="_Toc330"/>
      <w:r>
        <w:t>اسامی ائمه اثنی عشریه / تاریخ معصومین / فارسی</w:t>
      </w:r>
      <w:bookmarkEnd w:id="808"/>
    </w:p>
    <w:p>
      <w:pPr>
        <w:pStyle w:val="BookText"/>
      </w:pPr>
      <w:r>
        <w:rPr>
          <w:rFonts w:ascii="Times New Roman" w:hAnsi="Times New Roman" w:eastAsia="Times New Roman" w:cs="Times New Roman"/>
          <w:lang w:val="en-US" w:bidi="en-US"/>
          <w:color w:val="111111"/>
          <w:sz w:val="28"/>
          <w:szCs w:val="28"/>
          <w:rtl/>
        </w:rPr>
        <w:t xml:space="preserve">asāmī-ye a’emme-ye esnā ‘ašarīye</w:t>
      </w:r>
    </w:p>
    <w:p>
      <w:pPr>
        <w:pStyle w:val="BookText"/>
      </w:pPr>
      <w:r>
        <w:rPr>
          <w:rFonts w:ascii="IRNazanin" w:hAnsi="IRNazanin" w:eastAsia="IRNazanin" w:cs="IRNazanin"/>
          <w:lang w:bidi="fa-IR"/>
          <w:color w:val="111111"/>
          <w:sz w:val="28"/>
          <w:szCs w:val="28"/>
          <w:rtl/>
        </w:rPr>
        <w:t xml:space="preserve">محمد هاشم، ق 11 قمری</w:t>
      </w:r>
    </w:p>
    <w:p>
      <w:pPr>
        <w:pStyle w:val="BookText"/>
      </w:pPr>
      <w:r>
        <w:rPr>
          <w:rFonts w:ascii="Times New Roman" w:hAnsi="Times New Roman" w:eastAsia="Times New Roman" w:cs="Times New Roman"/>
          <w:lang w:val="en-US" w:bidi="en-US"/>
          <w:color w:val="111111"/>
          <w:sz w:val="28"/>
          <w:szCs w:val="28"/>
          <w:rtl/>
        </w:rPr>
        <w:t xml:space="preserve">(mohammad hāšem (- 17c)</w:t>
      </w:r>
    </w:p>
    <w:p>
      <w:pPr>
        <w:pStyle w:val="BookText"/>
      </w:pPr>
      <w:r>
        <w:rPr>
          <w:rFonts w:ascii="IRNazanin" w:hAnsi="IRNazanin" w:eastAsia="IRNazanin" w:cs="IRNazanin"/>
          <w:lang w:bidi="fa-IR"/>
          <w:color w:val="111111"/>
          <w:sz w:val="28"/>
          <w:szCs w:val="28"/>
          <w:rtl/>
        </w:rPr>
        <w:t xml:space="preserve">نویسنده می گوید: در ایام عید سعید سلطانی که مشغول دید بازدید بودم در منزل یکی از برادران دینی جنگی یافتم که اعظم مطالب آن رساله ای بود به زبان  عربی، نگاشته سید محمد بن سید منصور بن سید صدر حسینی در باب این که اسامی ائمه اطهارو كنيتها و القاب و نام های این بزرگواران به حساب جمل بعد از جمع محصول و طرح دوازده، دوازده عدد باقی می ماند و این جمله اعجاز و کرامات  است، چون جناب سید مؤلف در مقام حساب تغییر در بعضی از اسامی داده بود که در ظاهر مورد ایراد بود لذا از من خواسته شد تا رساله ای در ایضاح مقاصد جنگ بپردازم. من این رساله را در دوازده «باب» در این زمینه تدوین کردم.»</w:t>
      </w:r>
    </w:p>
    <w:p>
      <w:pPr>
        <w:pStyle w:val="BookText"/>
      </w:pPr>
      <w:r>
        <w:rPr>
          <w:rFonts w:ascii="IRNazanin" w:hAnsi="IRNazanin" w:eastAsia="IRNazanin" w:cs="IRNazanin"/>
          <w:lang w:bidi="fa-IR"/>
          <w:color w:val="111111"/>
          <w:sz w:val="28"/>
          <w:szCs w:val="28"/>
          <w:rtl/>
        </w:rPr>
        <w:t xml:space="preserve">تهران؛ ملی؛ شماره نسخه: 2869/2</w:t>
      </w:r>
    </w:p>
    <w:p>
      <w:pPr>
        <w:pStyle w:val="BookText"/>
      </w:pPr>
      <w:r>
        <w:rPr>
          <w:rFonts w:ascii="IRNazanin" w:hAnsi="IRNazanin" w:eastAsia="IRNazanin" w:cs="IRNazanin"/>
          <w:lang w:bidi="fa-IR"/>
          <w:color w:val="111111"/>
          <w:sz w:val="28"/>
          <w:szCs w:val="28"/>
          <w:rtl/>
        </w:rPr>
        <w:t xml:space="preserve">آغاز: بسمله و به ثقتی و علیه توکلی، الحمد لله رب العالمين و الصلوة على اشرف المرسلين و آله الكرام الطيبين؛ انجام: الا ما رحم ربى ان ربى غفور رحيم</w:t>
      </w:r>
    </w:p>
    <w:p>
      <w:pPr>
        <w:pStyle w:val="BookText"/>
      </w:pPr>
      <w:r>
        <w:rPr>
          <w:rFonts w:ascii="IRNazanin" w:hAnsi="IRNazanin" w:eastAsia="IRNazanin" w:cs="IRNazanin"/>
          <w:lang w:bidi="fa-IR"/>
          <w:color w:val="111111"/>
          <w:sz w:val="28"/>
          <w:szCs w:val="28"/>
          <w:rtl/>
        </w:rPr>
        <w:t xml:space="preserve">خط: نسخ و نستعلیق، بی کا، تا: قرن 13؛ کاغذ: فرنگی، جلد: چرمی قرمز ضربی یک لا ،31 ص (93-63)، 19 سطر (8</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اندازه: 14</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6 - 530]</w:t>
      </w:r>
    </w:p>
    <w:p>
      <w:pPr>
        <w:pStyle w:val="Heading3"/>
      </w:pPr>
      <w:bookmarkStart w:id="809" w:name="_Toc331"/>
      <w:r>
        <w:t>اسامی ائمه اطهار و اولاد ایشان عليهم السلام / تاريخ معصومین / فارسی</w:t>
      </w:r>
      <w:bookmarkEnd w:id="809"/>
    </w:p>
    <w:p>
      <w:pPr>
        <w:pStyle w:val="BookText"/>
      </w:pPr>
      <w:r>
        <w:rPr>
          <w:rFonts w:ascii="Times New Roman" w:hAnsi="Times New Roman" w:eastAsia="Times New Roman" w:cs="Times New Roman"/>
          <w:lang w:val="en-US" w:bidi="en-US"/>
          <w:color w:val="111111"/>
          <w:sz w:val="28"/>
          <w:szCs w:val="28"/>
          <w:rtl/>
        </w:rPr>
        <w:t xml:space="preserve">asāmī-ye a'emme-ye athār va owlad-e īšān 'alayh-es-</w:t>
      </w:r>
    </w:p>
    <w:p>
      <w:pPr>
        <w:pStyle w:val="BookText"/>
      </w:pPr>
      <w:r>
        <w:rPr>
          <w:rFonts w:ascii="Times New Roman" w:hAnsi="Times New Roman" w:eastAsia="Times New Roman" w:cs="Times New Roman"/>
          <w:lang w:val="en-US" w:bidi="en-US"/>
          <w:color w:val="111111"/>
          <w:sz w:val="28"/>
          <w:szCs w:val="28"/>
          <w:rtl/>
        </w:rPr>
        <w:t xml:space="preserve">salām</w:t>
      </w:r>
    </w:p>
    <w:p>
      <w:pPr>
        <w:pStyle w:val="BookText"/>
      </w:pPr>
      <w:r>
        <w:rPr>
          <w:rFonts w:ascii="IRNazanin" w:hAnsi="IRNazanin" w:eastAsia="IRNazanin" w:cs="IRNazanin"/>
          <w:lang w:bidi="fa-IR"/>
          <w:color w:val="111111"/>
          <w:sz w:val="28"/>
          <w:szCs w:val="28"/>
          <w:rtl/>
        </w:rPr>
        <w:t xml:space="preserve">علوی حسینی، محمد بن مکارم، ق7 قمری</w:t>
      </w:r>
    </w:p>
    <w:p>
      <w:pPr>
        <w:pStyle w:val="BookText"/>
      </w:pPr>
      <w:r>
        <w:rPr>
          <w:rFonts w:ascii="Times New Roman" w:hAnsi="Times New Roman" w:eastAsia="Times New Roman" w:cs="Times New Roman"/>
          <w:lang w:val="en-US" w:bidi="en-US"/>
          <w:color w:val="111111"/>
          <w:sz w:val="28"/>
          <w:szCs w:val="28"/>
          <w:rtl/>
        </w:rPr>
        <w:t xml:space="preserve">(a‘lavī hoseynī, mohammad ebn-e makārem (- 13c)</w:t>
      </w:r>
    </w:p>
    <w:p>
      <w:pPr>
        <w:pStyle w:val="BookText"/>
      </w:pPr>
      <w:r>
        <w:rPr>
          <w:rFonts w:ascii="IRNazanin" w:hAnsi="IRNazanin" w:eastAsia="IRNazanin" w:cs="IRNazanin"/>
          <w:lang w:bidi="fa-IR"/>
          <w:color w:val="111111"/>
          <w:sz w:val="28"/>
          <w:szCs w:val="28"/>
          <w:rtl/>
        </w:rPr>
        <w:t xml:space="preserve">مشهد؛ گوهر شاد؛ شماره نسخه: 2358/2</w:t>
      </w:r>
    </w:p>
    <w:p>
      <w:pPr>
        <w:pStyle w:val="BookText"/>
      </w:pPr>
      <w:r>
        <w:rPr>
          <w:rFonts w:ascii="IRNazanin" w:hAnsi="IRNazanin" w:eastAsia="IRNazanin" w:cs="IRNazanin"/>
          <w:lang w:bidi="fa-IR"/>
          <w:color w:val="111111"/>
          <w:sz w:val="28"/>
          <w:szCs w:val="28"/>
          <w:rtl/>
        </w:rPr>
        <w:t xml:space="preserve">آغاز: بسمله، حمدله روى عن رسول الله صلى الله عليه و آله سلم كل حسبی و نسب يتقطع الا حسبي و نسبی؛ انجام: نام او منصور بن عبدالرحمن بن اسحاق بن عبدالله بن موسى بن جعفر الصادق عليهم السلام و التحية و الاكرام.</w:t>
      </w:r>
    </w:p>
    <w:p>
      <w:pPr>
        <w:pStyle w:val="BookText"/>
      </w:pPr>
      <w:r>
        <w:rPr>
          <w:rFonts w:ascii="IRNazanin" w:hAnsi="IRNazanin" w:eastAsia="IRNazanin" w:cs="IRNazanin"/>
          <w:lang w:bidi="fa-IR"/>
          <w:color w:val="111111"/>
          <w:sz w:val="28"/>
          <w:szCs w:val="28"/>
          <w:rtl/>
        </w:rPr>
        <w:t xml:space="preserve">خط: نسخ، کاتب - مؤلف، تا: قرن 13 ؛کاغذ: شکری آهار مهره ،جلد: تیماج یک لا ،مشکی 12 سطر :اندازه: 10/5</w:t>
      </w:r>
      <w:r>
        <w:rPr>
          <w:rFonts w:ascii="Times New Roman" w:hAnsi="Times New Roman" w:eastAsia="Times New Roman" w:cs="Times New Roman"/>
          <w:lang w:val="en-US" w:bidi="en-US"/>
          <w:color w:val="111111"/>
          <w:sz w:val="28"/>
          <w:szCs w:val="28"/>
          <w:rtl/>
        </w:rPr>
        <w:t xml:space="preserve">×14/5</w:t>
      </w:r>
      <w:r>
        <w:rPr>
          <w:rFonts w:ascii="IRNazanin" w:hAnsi="IRNazanin" w:eastAsia="IRNazanin" w:cs="IRNazanin"/>
          <w:lang w:bidi="fa-IR"/>
          <w:color w:val="111111"/>
          <w:sz w:val="28"/>
          <w:szCs w:val="28"/>
          <w:rtl/>
        </w:rPr>
        <w:t xml:space="preserve">سم [ف: 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705]</w:t>
      </w:r>
    </w:p>
    <w:p>
      <w:pPr>
        <w:pStyle w:val="Heading3"/>
      </w:pPr>
      <w:bookmarkStart w:id="810" w:name="_Toc332"/>
      <w:r>
        <w:t>اسامی بروج / هیئت / عربی</w:t>
      </w:r>
      <w:bookmarkEnd w:id="810"/>
    </w:p>
    <w:p>
      <w:pPr>
        <w:pStyle w:val="BookText"/>
      </w:pPr>
      <w:r>
        <w:rPr>
          <w:rFonts w:ascii="Times New Roman" w:hAnsi="Times New Roman" w:eastAsia="Times New Roman" w:cs="Times New Roman"/>
          <w:lang w:val="en-US" w:bidi="en-US"/>
          <w:color w:val="111111"/>
          <w:sz w:val="28"/>
          <w:szCs w:val="28"/>
          <w:rtl/>
        </w:rPr>
        <w:t xml:space="preserve">asāmī-ye borūj</w:t>
      </w:r>
    </w:p>
    <w:p>
      <w:pPr>
        <w:pStyle w:val="BookText"/>
      </w:pPr>
      <w:r>
        <w:rPr>
          <w:rFonts w:ascii="IRNazanin" w:hAnsi="IRNazanin" w:eastAsia="IRNazanin" w:cs="IRNazanin"/>
          <w:lang w:bidi="fa-IR"/>
          <w:color w:val="111111"/>
          <w:sz w:val="28"/>
          <w:szCs w:val="28"/>
          <w:rtl/>
        </w:rPr>
        <w:t xml:space="preserve">به نظم عربی و سال های ترکی و ارقام بروجو جز آن آمده است.</w:t>
      </w:r>
    </w:p>
    <w:p>
      <w:pPr>
        <w:pStyle w:val="BookText"/>
      </w:pPr>
      <w:r>
        <w:rPr>
          <w:rFonts w:ascii="IRNazanin" w:hAnsi="IRNazanin" w:eastAsia="IRNazanin" w:cs="IRNazanin"/>
          <w:lang w:bidi="fa-IR"/>
          <w:color w:val="111111"/>
          <w:sz w:val="28"/>
          <w:szCs w:val="28"/>
          <w:rtl/>
        </w:rPr>
        <w:t xml:space="preserve">تهران؛ ملک؛ شماره نسخه: 3207/7</w:t>
      </w:r>
    </w:p>
    <w:p>
      <w:pPr>
        <w:pStyle w:val="BookText"/>
      </w:pPr>
      <w:r>
        <w:rPr>
          <w:rFonts w:ascii="IRNazanin" w:hAnsi="IRNazanin" w:eastAsia="IRNazanin" w:cs="IRNazanin"/>
          <w:lang w:bidi="fa-IR"/>
          <w:color w:val="111111"/>
          <w:sz w:val="28"/>
          <w:szCs w:val="28"/>
          <w:rtl/>
        </w:rPr>
        <w:t xml:space="preserve">خط: نستعلیق بی کا، تا: قرن  11، 7گ[ 50ر -57پ) [ف: 6- 299]</w:t>
      </w:r>
    </w:p>
    <w:p>
      <w:pPr>
        <w:pStyle w:val="Heading3"/>
      </w:pPr>
      <w:bookmarkStart w:id="811" w:name="_Toc333"/>
      <w:r>
        <w:t>اسامی پرندگان / حیوان شناسی / فارسی</w:t>
      </w:r>
      <w:bookmarkEnd w:id="811"/>
    </w:p>
    <w:p>
      <w:pPr>
        <w:pStyle w:val="BookText"/>
      </w:pPr>
      <w:r>
        <w:rPr>
          <w:rFonts w:ascii="Times New Roman" w:hAnsi="Times New Roman" w:eastAsia="Times New Roman" w:cs="Times New Roman"/>
          <w:lang w:val="en-US" w:bidi="en-US"/>
          <w:color w:val="111111"/>
          <w:sz w:val="28"/>
          <w:szCs w:val="28"/>
          <w:rtl/>
        </w:rPr>
        <w:t xml:space="preserve">asāmī-ye parandegān</w:t>
      </w:r>
    </w:p>
    <w:p>
      <w:pPr>
        <w:pStyle w:val="BookText"/>
      </w:pPr>
      <w:r>
        <w:rPr>
          <w:rFonts w:ascii="IRNazanin" w:hAnsi="IRNazanin" w:eastAsia="IRNazanin" w:cs="IRNazanin"/>
          <w:lang w:bidi="fa-IR"/>
          <w:color w:val="111111"/>
          <w:sz w:val="28"/>
          <w:szCs w:val="28"/>
          <w:rtl/>
        </w:rPr>
        <w:t xml:space="preserve">تهران ،مروی؛ شماره نسخه: 204/7</w:t>
      </w:r>
    </w:p>
    <w:p>
      <w:pPr>
        <w:pStyle w:val="BookText"/>
      </w:pPr>
      <w:r>
        <w:rPr>
          <w:rFonts w:ascii="IRNazanin" w:hAnsi="IRNazanin" w:eastAsia="IRNazanin" w:cs="IRNazanin"/>
          <w:lang w:bidi="fa-IR"/>
          <w:color w:val="111111"/>
          <w:sz w:val="28"/>
          <w:szCs w:val="28"/>
          <w:rtl/>
        </w:rPr>
        <w:t xml:space="preserve">نام 132پرنده؛ بی کا، بی تا؛ 106ص، قطع : رحلی [ف: 278]</w:t>
      </w:r>
    </w:p>
    <w:p>
      <w:pPr>
        <w:pStyle w:val="Heading3"/>
      </w:pPr>
      <w:bookmarkStart w:id="812" w:name="_Toc334"/>
      <w:r>
        <w:t>اسامی تألیفات سید حسین / متفرقه</w:t>
      </w:r>
      <w:bookmarkEnd w:id="812"/>
    </w:p>
    <w:p>
      <w:pPr>
        <w:pStyle w:val="BookText"/>
      </w:pPr>
      <w:r>
        <w:rPr>
          <w:rFonts w:ascii="Times New Roman" w:hAnsi="Times New Roman" w:eastAsia="Times New Roman" w:cs="Times New Roman"/>
          <w:lang w:val="en-US" w:bidi="en-US"/>
          <w:color w:val="111111"/>
          <w:sz w:val="28"/>
          <w:szCs w:val="28"/>
          <w:rtl/>
        </w:rPr>
        <w:t xml:space="preserve">asami-ye talifat-e seyyed hoseyn</w:t>
      </w:r>
    </w:p>
    <w:p>
      <w:pPr>
        <w:pStyle w:val="BookText"/>
      </w:pPr>
      <w:r>
        <w:rPr>
          <w:rFonts w:ascii="IRNazanin" w:hAnsi="IRNazanin" w:eastAsia="IRNazanin" w:cs="IRNazanin"/>
          <w:lang w:bidi="fa-IR"/>
          <w:color w:val="111111"/>
          <w:sz w:val="28"/>
          <w:szCs w:val="28"/>
          <w:rtl/>
        </w:rPr>
        <w:t xml:space="preserve">اسامی تألیفات سید حسين بن صديق بن عبدالرحمن الاهدل که در آخر شرح دعای حزب خود نقل کرده است و حاشیه ای که مؤلف در حاشیه شرح مذکور نوشته است.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06" w:name="pg20365_260138"/>
    <w:bookmarkEnd w:id="106"/>
    <w:p>
      <w:pPr>
        <w:pStyle w:val="BookText"/>
      </w:pPr>
      <w:r>
        <w:rPr>
          <w:rFonts w:ascii="IRNazanin" w:hAnsi="IRNazanin" w:eastAsia="IRNazanin" w:cs="IRNazanin"/>
          <w:lang w:bidi="fa-IR"/>
          <w:color w:val="111111"/>
          <w:sz w:val="28"/>
          <w:szCs w:val="28"/>
          <w:rtl/>
        </w:rPr>
        <w:t xml:space="preserve">تهران؛ مجلس؛ شماره نسخه: 13456/7</w:t>
      </w:r>
    </w:p>
    <w:p>
      <w:pPr>
        <w:pStyle w:val="BookText"/>
      </w:pPr>
      <w:r>
        <w:rPr>
          <w:rFonts w:ascii="IRNazanin" w:hAnsi="IRNazanin" w:eastAsia="IRNazanin" w:cs="IRNazanin"/>
          <w:lang w:bidi="fa-IR"/>
          <w:color w:val="111111"/>
          <w:sz w:val="28"/>
          <w:szCs w:val="28"/>
          <w:rtl/>
        </w:rPr>
        <w:t xml:space="preserve">خط: نسخ، کا: حسين بن مهدى النعمى لطف الله، تا: شنبه 17یا  18 رجب 1172ق؛ مصحح؛ جلد: پارچه عطف و حاشیه تیماج  زرشکی، 1ص (130 ر) ، 23 ،سطر،اندازه: 15</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سم [ف: 36-403]</w:t>
      </w:r>
    </w:p>
    <w:p>
      <w:pPr>
        <w:pStyle w:val="BookText"/>
      </w:pPr>
      <w:r>
        <w:rPr>
          <w:rFonts w:ascii="IRNazanin" w:hAnsi="IRNazanin" w:eastAsia="IRNazanin" w:cs="IRNazanin"/>
          <w:lang w:bidi="fa-IR"/>
          <w:color w:val="111111"/>
          <w:sz w:val="28"/>
          <w:szCs w:val="28"/>
          <w:rtl/>
        </w:rPr>
        <w:t xml:space="preserve">«اسامی جاعلان الحدیث » اسامی وضاع الحديث</w:t>
      </w:r>
    </w:p>
    <w:p>
      <w:pPr>
        <w:pStyle w:val="Heading3"/>
      </w:pPr>
      <w:bookmarkStart w:id="813" w:name="_Toc335"/>
      <w:r>
        <w:t>اسامی چهارده معصوم / تاریخ معصومین / فارسی</w:t>
      </w:r>
      <w:bookmarkEnd w:id="813"/>
    </w:p>
    <w:p>
      <w:pPr>
        <w:pStyle w:val="BookText"/>
      </w:pPr>
      <w:r>
        <w:rPr>
          <w:rFonts w:ascii="Times New Roman" w:hAnsi="Times New Roman" w:eastAsia="Times New Roman" w:cs="Times New Roman"/>
          <w:lang w:val="en-US" w:bidi="en-US"/>
          <w:color w:val="111111"/>
          <w:sz w:val="28"/>
          <w:szCs w:val="28"/>
          <w:rtl/>
        </w:rPr>
        <w:t xml:space="preserve">asāmī-ye čāhārdah ma‘sūm</w:t>
      </w:r>
    </w:p>
    <w:p>
      <w:pPr>
        <w:pStyle w:val="BookText"/>
      </w:pPr>
      <w:r>
        <w:rPr>
          <w:rFonts w:ascii="IRNazanin" w:hAnsi="IRNazanin" w:eastAsia="IRNazanin" w:cs="IRNazanin"/>
          <w:lang w:bidi="fa-IR"/>
          <w:color w:val="111111"/>
          <w:sz w:val="28"/>
          <w:szCs w:val="28"/>
          <w:rtl/>
        </w:rPr>
        <w:t xml:space="preserve">تهران؛ مجلس؛ شماره نسخه: 8971/30</w:t>
      </w:r>
    </w:p>
    <w:p>
      <w:pPr>
        <w:pStyle w:val="BookText"/>
      </w:pPr>
      <w:r>
        <w:rPr>
          <w:rFonts w:ascii="IRNazanin" w:hAnsi="IRNazanin" w:eastAsia="IRNazanin" w:cs="IRNazanin"/>
          <w:lang w:bidi="fa-IR"/>
          <w:color w:val="111111"/>
          <w:sz w:val="28"/>
          <w:szCs w:val="28"/>
          <w:rtl/>
        </w:rPr>
        <w:t xml:space="preserve">خط: نستعلیق، بی کا، تا: قرن 12؛ بعد از آن بندی از حاشیه شرح چغمینی از ملا علی برجندی (61 ر - 61 پ) کاغذ: فرنگی نخودی آهار مهره، جلد: میشن  مشکی، 2گ (60پ-61ر)، 23 سطر  (9/5</w:t>
      </w:r>
      <w:r>
        <w:rPr>
          <w:rFonts w:ascii="Times New Roman" w:hAnsi="Times New Roman" w:eastAsia="Times New Roman" w:cs="Times New Roman"/>
          <w:lang w:val="en-US" w:bidi="en-US"/>
          <w:color w:val="111111"/>
          <w:sz w:val="28"/>
          <w:szCs w:val="28"/>
          <w:rtl/>
        </w:rPr>
        <w:t xml:space="preserve">×18/5)</w:t>
      </w:r>
      <w:r>
        <w:rPr>
          <w:rFonts w:ascii="IRNazanin" w:hAnsi="IRNazanin" w:eastAsia="IRNazanin" w:cs="IRNazanin"/>
          <w:lang w:bidi="fa-IR"/>
          <w:color w:val="111111"/>
          <w:sz w:val="28"/>
          <w:szCs w:val="28"/>
          <w:rtl/>
        </w:rPr>
        <w:t xml:space="preserve">، اندازه: 16/2</w:t>
      </w:r>
      <w:r>
        <w:rPr>
          <w:rFonts w:ascii="Times New Roman" w:hAnsi="Times New Roman" w:eastAsia="Times New Roman" w:cs="Times New Roman"/>
          <w:lang w:val="en-US" w:bidi="en-US"/>
          <w:color w:val="111111"/>
          <w:sz w:val="28"/>
          <w:szCs w:val="28"/>
          <w:rtl/>
        </w:rPr>
        <w:t xml:space="preserve">×26/1</w:t>
      </w:r>
      <w:r>
        <w:rPr>
          <w:rFonts w:ascii="IRNazanin" w:hAnsi="IRNazanin" w:eastAsia="IRNazanin" w:cs="IRNazanin"/>
          <w:lang w:bidi="fa-IR"/>
          <w:color w:val="111111"/>
          <w:sz w:val="28"/>
          <w:szCs w:val="28"/>
          <w:rtl/>
        </w:rPr>
        <w:t xml:space="preserve">سم [ف: 29/1 - 504]</w:t>
      </w:r>
    </w:p>
    <w:p>
      <w:pPr>
        <w:pStyle w:val="Heading3"/>
      </w:pPr>
      <w:bookmarkStart w:id="814" w:name="_Toc336"/>
      <w:r>
        <w:t>اسامی حضرت پیامبر / تاریخ پیامبراکرم (صلّی اللَّهِ علیه وَ آلِهِ وَ سَلَّمَ ) / فارسی</w:t>
      </w:r>
      <w:bookmarkEnd w:id="814"/>
    </w:p>
    <w:p>
      <w:pPr>
        <w:pStyle w:val="BookText"/>
      </w:pPr>
      <w:r>
        <w:rPr>
          <w:rFonts w:ascii="Times New Roman" w:hAnsi="Times New Roman" w:eastAsia="Times New Roman" w:cs="Times New Roman"/>
          <w:lang w:val="en-US" w:bidi="en-US"/>
          <w:color w:val="111111"/>
          <w:sz w:val="28"/>
          <w:szCs w:val="28"/>
          <w:rtl/>
        </w:rPr>
        <w:t xml:space="preserve">asāmī-ye hazrat-e payāmbar</w:t>
      </w:r>
    </w:p>
    <w:p>
      <w:pPr>
        <w:pStyle w:val="BookText"/>
      </w:pPr>
      <w:r>
        <w:rPr>
          <w:rFonts w:ascii="IRNazanin" w:hAnsi="IRNazanin" w:eastAsia="IRNazanin" w:cs="IRNazanin"/>
          <w:lang w:bidi="fa-IR"/>
          <w:color w:val="111111"/>
          <w:sz w:val="28"/>
          <w:szCs w:val="28"/>
          <w:rtl/>
        </w:rPr>
        <w:t xml:space="preserve">نود و نه نام است که ادعا شده اسامی حضرت پیامبر هستند،در رساله حاضر این نامها بدون هیچ توضیحی ذکر شده اند.</w:t>
      </w:r>
    </w:p>
    <w:p>
      <w:pPr>
        <w:pStyle w:val="BookText"/>
      </w:pPr>
      <w:r>
        <w:rPr>
          <w:rFonts w:ascii="IRNazanin" w:hAnsi="IRNazanin" w:eastAsia="IRNazanin" w:cs="IRNazanin"/>
          <w:lang w:bidi="fa-IR"/>
          <w:color w:val="111111"/>
          <w:sz w:val="28"/>
          <w:szCs w:val="28"/>
          <w:rtl/>
        </w:rPr>
        <w:t xml:space="preserve">قم؛ گلپایگانی؛ شماره نسخه: 8699/2-58/149</w:t>
      </w:r>
    </w:p>
    <w:p>
      <w:pPr>
        <w:pStyle w:val="BookText"/>
      </w:pPr>
      <w:r>
        <w:rPr>
          <w:rFonts w:ascii="IRNazanin" w:hAnsi="IRNazanin" w:eastAsia="IRNazanin" w:cs="IRNazanin"/>
          <w:lang w:bidi="fa-IR"/>
          <w:color w:val="111111"/>
          <w:sz w:val="28"/>
          <w:szCs w:val="28"/>
          <w:rtl/>
        </w:rPr>
        <w:t xml:space="preserve">آغاز: بسمله اسماء مبارک حضرت پیغمبر صلى الله عليه و وسلم وهى تسع وتسعون وبه نستعين، محمد احمد حامد محمود قاسم</w:t>
      </w:r>
    </w:p>
    <w:p>
      <w:pPr>
        <w:pStyle w:val="BookText"/>
      </w:pPr>
      <w:r>
        <w:rPr>
          <w:rFonts w:ascii="IRNazanin" w:hAnsi="IRNazanin" w:eastAsia="IRNazanin" w:cs="IRNazanin"/>
          <w:lang w:bidi="fa-IR"/>
          <w:color w:val="111111"/>
          <w:sz w:val="28"/>
          <w:szCs w:val="28"/>
          <w:rtl/>
        </w:rPr>
        <w:t xml:space="preserve">خط: نستعلیق، بی کا، بی تا؛ 2گ (41-42)، 9 سطر، اندازه: 10</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سم [ف: 1 - 325]</w:t>
      </w:r>
    </w:p>
    <w:p>
      <w:pPr>
        <w:pStyle w:val="Heading3"/>
      </w:pPr>
      <w:bookmarkStart w:id="815" w:name="_Toc337"/>
      <w:r>
        <w:t>اسامی داروها / بهداشت / فارسی</w:t>
      </w:r>
      <w:bookmarkEnd w:id="815"/>
    </w:p>
    <w:p>
      <w:pPr>
        <w:pStyle w:val="BookText"/>
      </w:pPr>
      <w:r>
        <w:rPr>
          <w:rFonts w:ascii="Times New Roman" w:hAnsi="Times New Roman" w:eastAsia="Times New Roman" w:cs="Times New Roman"/>
          <w:lang w:val="en-US" w:bidi="en-US"/>
          <w:color w:val="111111"/>
          <w:sz w:val="28"/>
          <w:szCs w:val="28"/>
          <w:rtl/>
        </w:rPr>
        <w:t xml:space="preserve">asāmī-ye dārū-hā</w:t>
      </w:r>
    </w:p>
    <w:p>
      <w:pPr>
        <w:pStyle w:val="BookText"/>
      </w:pPr>
      <w:r>
        <w:rPr>
          <w:rFonts w:ascii="IRNazanin" w:hAnsi="IRNazanin" w:eastAsia="IRNazanin" w:cs="IRNazanin"/>
          <w:lang w:bidi="fa-IR"/>
          <w:color w:val="111111"/>
          <w:sz w:val="28"/>
          <w:szCs w:val="28"/>
          <w:rtl/>
        </w:rPr>
        <w:t xml:space="preserve">این جزوه شامل اسامی برخی دواهاست به زبان عربی و فارسی و یونانی و هندی</w:t>
      </w:r>
    </w:p>
    <w:p>
      <w:pPr>
        <w:pStyle w:val="BookText"/>
      </w:pPr>
      <w:r>
        <w:rPr>
          <w:rFonts w:ascii="IRNazanin" w:hAnsi="IRNazanin" w:eastAsia="IRNazanin" w:cs="IRNazanin"/>
          <w:lang w:bidi="fa-IR"/>
          <w:color w:val="111111"/>
          <w:sz w:val="28"/>
          <w:szCs w:val="28"/>
          <w:rtl/>
        </w:rPr>
        <w:t xml:space="preserve">شیراز؛ شاهچراغ؛ شماره نسخه: 264</w:t>
      </w:r>
    </w:p>
    <w:p>
      <w:pPr>
        <w:pStyle w:val="BookText"/>
      </w:pPr>
      <w:r>
        <w:rPr>
          <w:rFonts w:ascii="IRNazanin" w:hAnsi="IRNazanin" w:eastAsia="IRNazanin" w:cs="IRNazanin"/>
          <w:lang w:bidi="fa-IR"/>
          <w:color w:val="111111"/>
          <w:sz w:val="28"/>
          <w:szCs w:val="28"/>
          <w:rtl/>
        </w:rPr>
        <w:t xml:space="preserve">آغاز: فصل اول برخی از اسم دوائی هائی که بزبان عربی و فارسی و یونانی و هندی؛ انجام: خروع چینی - حب الملوك وند حمال گونه.</w:t>
      </w:r>
    </w:p>
    <w:p>
      <w:pPr>
        <w:pStyle w:val="BookText"/>
      </w:pPr>
      <w:r>
        <w:rPr>
          <w:rFonts w:ascii="IRNazanin" w:hAnsi="IRNazanin" w:eastAsia="IRNazanin" w:cs="IRNazanin"/>
          <w:lang w:bidi="fa-IR"/>
          <w:color w:val="111111"/>
          <w:sz w:val="28"/>
          <w:szCs w:val="28"/>
          <w:rtl/>
        </w:rPr>
        <w:t xml:space="preserve">خط: نستعلیق، بی کا، بی تا؛ افتادگی؛ انجام: کاغذ ،نخودی جلد: مقوا با کاغذ  آبی، 21گ، مختلف السطر، اندازه: 14</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سم [ [417 - 2]</w:t>
      </w:r>
    </w:p>
    <w:p>
      <w:pPr>
        <w:pStyle w:val="Heading3"/>
      </w:pPr>
      <w:bookmarkStart w:id="816" w:name="_Toc338"/>
      <w:r>
        <w:t>اسامی ده قسم چینی آلات با وصف آنها / طبیعیات / فارسی</w:t>
      </w:r>
      <w:bookmarkEnd w:id="816"/>
    </w:p>
    <w:p>
      <w:pPr>
        <w:pStyle w:val="BookText"/>
      </w:pPr>
      <w:r>
        <w:rPr>
          <w:rFonts w:ascii="Times New Roman" w:hAnsi="Times New Roman" w:eastAsia="Times New Roman" w:cs="Times New Roman"/>
          <w:lang w:val="en-US" w:bidi="en-US"/>
          <w:color w:val="111111"/>
          <w:sz w:val="28"/>
          <w:szCs w:val="28"/>
          <w:rtl/>
        </w:rPr>
        <w:t xml:space="preserve">asāmī-ye dah qesm čīnī-ālāt bā vasaf-e ānhā</w:t>
      </w:r>
    </w:p>
    <w:p>
      <w:pPr>
        <w:pStyle w:val="BookText"/>
      </w:pPr>
      <w:r>
        <w:rPr>
          <w:rFonts w:ascii="IRNazanin" w:hAnsi="IRNazanin" w:eastAsia="IRNazanin" w:cs="IRNazanin"/>
          <w:lang w:bidi="fa-IR"/>
          <w:color w:val="111111"/>
          <w:sz w:val="28"/>
          <w:szCs w:val="28"/>
          <w:rtl/>
        </w:rPr>
        <w:t xml:space="preserve">اسامی ده قسم چینی آلات با وصف آنها که عبارت است از: 1. خطایی؛ .2 رشیدی؛ 3 .پای تختی؛ 4 .قاشقری ؛5. پارسی؛ 6. آتشی؛ 7 .غوری کهنه، 8 .غوری نو، 9 .زمانی نازک، 10 نوه.</w:t>
      </w:r>
    </w:p>
    <w:p>
      <w:pPr>
        <w:pStyle w:val="BookText"/>
      </w:pPr>
      <w:r>
        <w:rPr>
          <w:rFonts w:ascii="IRNazanin" w:hAnsi="IRNazanin" w:eastAsia="IRNazanin" w:cs="IRNazanin"/>
          <w:lang w:bidi="fa-IR"/>
          <w:color w:val="111111"/>
          <w:sz w:val="28"/>
          <w:szCs w:val="28"/>
          <w:rtl/>
        </w:rPr>
        <w:t xml:space="preserve">تهران؛ دانشگاه؛ شماره نسخه: 3743/39-ف</w:t>
      </w:r>
    </w:p>
    <w:p>
      <w:pPr>
        <w:pStyle w:val="BookText"/>
      </w:pPr>
      <w:r>
        <w:rPr>
          <w:rFonts w:ascii="IRNazanin" w:hAnsi="IRNazanin" w:eastAsia="IRNazanin" w:cs="IRNazanin"/>
          <w:lang w:bidi="fa-IR"/>
          <w:color w:val="111111"/>
          <w:sz w:val="28"/>
          <w:szCs w:val="28"/>
          <w:rtl/>
        </w:rPr>
        <w:t xml:space="preserve">بی کا،بی تا، نسخه  اصل: نسخه آقای دکتر حافظ فرمان فرمائیان؛ جلد: تيماج مشکی زرکوب ،مقوایی 1گ، قطع: ربعی [فیلم ها-</w:t>
      </w:r>
    </w:p>
    <w:p>
      <w:pPr>
        <w:pStyle w:val="BookText"/>
      </w:pPr>
      <w:r>
        <w:rPr>
          <w:rFonts w:ascii="IRNazanin" w:hAnsi="IRNazanin" w:eastAsia="IRNazanin" w:cs="IRNazanin"/>
          <w:lang w:bidi="fa-IR"/>
          <w:color w:val="111111"/>
          <w:sz w:val="28"/>
          <w:szCs w:val="28"/>
          <w:rtl/>
        </w:rPr>
        <w:t xml:space="preserve">ف: 2 - 240]</w:t>
      </w:r>
    </w:p>
    <w:p>
      <w:pPr>
        <w:pStyle w:val="Heading3"/>
      </w:pPr>
      <w:bookmarkStart w:id="817" w:name="_Toc339"/>
      <w:r>
        <w:t>اسامی الرجال المتكررة فى الاسناد / رجال / عربي</w:t>
      </w:r>
      <w:bookmarkEnd w:id="817"/>
    </w:p>
    <w:p>
      <w:pPr>
        <w:pStyle w:val="BookText"/>
      </w:pPr>
      <w:r>
        <w:rPr>
          <w:rFonts w:ascii="Times New Roman" w:hAnsi="Times New Roman" w:eastAsia="Times New Roman" w:cs="Times New Roman"/>
          <w:lang w:val="en-US" w:bidi="en-US"/>
          <w:color w:val="111111"/>
          <w:sz w:val="28"/>
          <w:szCs w:val="28"/>
          <w:rtl/>
        </w:rPr>
        <w:t xml:space="preserve">asāmī-ur-rijāl al-mutikarrira fi-1-asnād</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ملک؛ شماره نسخه: 3524/2</w:t>
      </w:r>
    </w:p>
    <w:p>
      <w:pPr>
        <w:pStyle w:val="BookText"/>
      </w:pPr>
      <w:r>
        <w:rPr>
          <w:rFonts w:ascii="IRNazanin" w:hAnsi="IRNazanin" w:eastAsia="IRNazanin" w:cs="IRNazanin"/>
          <w:lang w:bidi="fa-IR"/>
          <w:color w:val="111111"/>
          <w:sz w:val="28"/>
          <w:szCs w:val="28"/>
          <w:rtl/>
        </w:rPr>
        <w:t xml:space="preserve">در جدول؛ خط: نسخ، بی کا، تا: 1063ق؛ کاغذ: ترمه، جلد: میشن  آبی، 23  سطر، اندازه: 12/6</w:t>
      </w:r>
      <w:r>
        <w:rPr>
          <w:rFonts w:ascii="Times New Roman" w:hAnsi="Times New Roman" w:eastAsia="Times New Roman" w:cs="Times New Roman"/>
          <w:lang w:val="en-US" w:bidi="en-US"/>
          <w:color w:val="111111"/>
          <w:sz w:val="28"/>
          <w:szCs w:val="28"/>
          <w:rtl/>
        </w:rPr>
        <w:t xml:space="preserve">×20/5 </w:t>
      </w:r>
      <w:r>
        <w:rPr>
          <w:rFonts w:ascii="IRNazanin" w:hAnsi="IRNazanin" w:eastAsia="IRNazanin" w:cs="IRNazanin"/>
          <w:lang w:bidi="fa-IR"/>
          <w:color w:val="111111"/>
          <w:sz w:val="28"/>
          <w:szCs w:val="28"/>
          <w:rtl/>
        </w:rPr>
        <w:t xml:space="preserve">سم [ف: 6 - 465]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اصفهان؛ روضاتی سید احمد شماره نسخه: 179/4</w:t>
      </w:r>
    </w:p>
    <w:p>
      <w:pPr>
        <w:pStyle w:val="BookText"/>
      </w:pPr>
      <w:r>
        <w:rPr>
          <w:rFonts w:ascii="Amiri" w:hAnsi="Amiri" w:eastAsia="Amiri" w:cs="Amiri"/>
          <w:lang w:bidi="ar-SA"/>
          <w:color w:val="111111"/>
          <w:sz w:val="28"/>
          <w:szCs w:val="28"/>
          <w:rtl/>
        </w:rPr>
        <w:t xml:space="preserve">آغاز: هذا ما اصطلح عليه الوالد الماجد الاستاد في كتاب الوافي من أسامى الرجال المتكررة في الأسناد و ذكرها أدام الله تأييده و أبد تسديده فى التمهيد الثانى من تمهيدات المقدمة الثالثة من الكتاب، استضبطها فى هذا الجداول الحاضرة لها بحذافيرها تذكرة لمن أراد تناولها من الأصحاب، و ذرعتها ستة أقسام</w:t>
      </w:r>
    </w:p>
    <w:p>
      <w:pPr>
        <w:pStyle w:val="BookText"/>
      </w:pPr>
      <w:r>
        <w:rPr>
          <w:rFonts w:ascii="IRNazanin" w:hAnsi="IRNazanin" w:eastAsia="IRNazanin" w:cs="IRNazanin"/>
          <w:lang w:bidi="fa-IR"/>
          <w:color w:val="111111"/>
          <w:sz w:val="28"/>
          <w:szCs w:val="28"/>
          <w:rtl/>
        </w:rPr>
        <w:t xml:space="preserve">خط: نسخ، بی کا، تا: قرن 11 ؛مجدول مصحح؛ 19 سطر، اندازه: 15/5</w:t>
      </w:r>
      <w:r>
        <w:rPr>
          <w:rFonts w:ascii="Times New Roman" w:hAnsi="Times New Roman" w:eastAsia="Times New Roman" w:cs="Times New Roman"/>
          <w:lang w:val="en-US" w:bidi="en-US"/>
          <w:color w:val="111111"/>
          <w:sz w:val="28"/>
          <w:szCs w:val="28"/>
          <w:rtl/>
        </w:rPr>
        <w:t xml:space="preserve">×24</w:t>
      </w:r>
      <w:r>
        <w:rPr>
          <w:rFonts w:ascii="IRNazanin" w:hAnsi="IRNazanin" w:eastAsia="IRNazanin" w:cs="IRNazanin"/>
          <w:lang w:bidi="fa-IR"/>
          <w:color w:val="111111"/>
          <w:sz w:val="28"/>
          <w:szCs w:val="28"/>
          <w:rtl/>
        </w:rPr>
        <w:t xml:space="preserve">سم [ف: 121]</w:t>
      </w:r>
    </w:p>
    <w:p>
      <w:pPr>
        <w:pStyle w:val="Heading3"/>
      </w:pPr>
      <w:bookmarkStart w:id="818" w:name="_Toc340"/>
      <w:r>
        <w:t>اسامی ساعات اللیل و النهار / متفرقه / عربی</w:t>
      </w:r>
      <w:bookmarkEnd w:id="818"/>
    </w:p>
    <w:p>
      <w:pPr>
        <w:pStyle w:val="BookText"/>
      </w:pPr>
      <w:r>
        <w:rPr>
          <w:rFonts w:ascii="Times New Roman" w:hAnsi="Times New Roman" w:eastAsia="Times New Roman" w:cs="Times New Roman"/>
          <w:lang w:val="en-US" w:bidi="en-US"/>
          <w:color w:val="111111"/>
          <w:sz w:val="28"/>
          <w:szCs w:val="28"/>
          <w:rtl/>
        </w:rPr>
        <w:t xml:space="preserve">asami-ye saat-il layl wa-n nahar</w:t>
      </w:r>
    </w:p>
    <w:p>
      <w:pPr>
        <w:pStyle w:val="BookText"/>
      </w:pPr>
      <w:r>
        <w:rPr>
          <w:rFonts w:ascii="IRNazanin" w:hAnsi="IRNazanin" w:eastAsia="IRNazanin" w:cs="IRNazanin"/>
          <w:lang w:bidi="fa-IR"/>
          <w:color w:val="111111"/>
          <w:sz w:val="28"/>
          <w:szCs w:val="28"/>
          <w:rtl/>
        </w:rPr>
        <w:t xml:space="preserve">تهران؛ مجلس؛ شماره نسخه: 9466/4</w:t>
      </w:r>
    </w:p>
    <w:p>
      <w:pPr>
        <w:pStyle w:val="BookText"/>
      </w:pPr>
      <w:r>
        <w:rPr>
          <w:rFonts w:ascii="IRNazanin" w:hAnsi="IRNazanin" w:eastAsia="IRNazanin" w:cs="IRNazanin"/>
          <w:lang w:bidi="fa-IR"/>
          <w:color w:val="111111"/>
          <w:sz w:val="28"/>
          <w:szCs w:val="28"/>
          <w:rtl/>
        </w:rPr>
        <w:t xml:space="preserve">به نقل از شیخ بهائی؛ خط: نستعلیق، بی کا، تا: قرن 11؛ در حبات شیخ بهائی [مختصر - ف: 50]</w:t>
      </w:r>
    </w:p>
    <w:p>
      <w:pPr>
        <w:pStyle w:val="Heading3"/>
      </w:pPr>
      <w:bookmarkStart w:id="819" w:name="_Toc341"/>
      <w:r>
        <w:t>اسامی ساعات روز / متفرقه / عربی</w:t>
      </w:r>
      <w:bookmarkEnd w:id="819"/>
    </w:p>
    <w:p>
      <w:pPr>
        <w:pStyle w:val="BookText"/>
      </w:pPr>
      <w:r>
        <w:rPr>
          <w:rFonts w:ascii="Times New Roman" w:hAnsi="Times New Roman" w:eastAsia="Times New Roman" w:cs="Times New Roman"/>
          <w:lang w:val="en-US" w:bidi="en-US"/>
          <w:color w:val="111111"/>
          <w:sz w:val="28"/>
          <w:szCs w:val="28"/>
          <w:rtl/>
        </w:rPr>
        <w:t xml:space="preserve">asami-ye saat-e ruz</w:t>
      </w:r>
    </w:p>
    <w:p>
      <w:pPr>
        <w:pStyle w:val="BookText"/>
      </w:pPr>
      <w:r>
        <w:rPr>
          <w:rFonts w:ascii="IRNazanin" w:hAnsi="IRNazanin" w:eastAsia="IRNazanin" w:cs="IRNazanin"/>
          <w:lang w:bidi="fa-IR"/>
          <w:color w:val="111111"/>
          <w:sz w:val="28"/>
          <w:szCs w:val="28"/>
          <w:rtl/>
        </w:rPr>
        <w:t xml:space="preserve">تهران؛ ملک؛ شماره نسخه: 2534/17</w:t>
      </w:r>
    </w:p>
    <w:p>
      <w:pPr>
        <w:pStyle w:val="BookText"/>
      </w:pPr>
      <w:r>
        <w:rPr>
          <w:rFonts w:ascii="IRNazanin" w:hAnsi="IRNazanin" w:eastAsia="IRNazanin" w:cs="IRNazanin"/>
          <w:lang w:bidi="fa-IR"/>
          <w:color w:val="111111"/>
          <w:sz w:val="28"/>
          <w:szCs w:val="28"/>
          <w:rtl/>
        </w:rPr>
        <w:t xml:space="preserve">خط: شکسته نستعلیق، بی کا، تا: قرن 14 [ف: 6 - 38]</w:t>
      </w:r>
    </w:p>
    <w:p>
      <w:pPr>
        <w:pStyle w:val="BookText"/>
      </w:pPr>
      <w:r>
        <w:rPr>
          <w:rFonts w:ascii="IRNazanin" w:hAnsi="IRNazanin" w:eastAsia="IRNazanin" w:cs="IRNazanin"/>
          <w:lang w:bidi="fa-IR"/>
          <w:color w:val="111111"/>
          <w:sz w:val="28"/>
          <w:szCs w:val="28"/>
          <w:rtl/>
        </w:rPr>
        <w:t xml:space="preserve">« اسامی سلسله کبرویه حسینیه » ارشاد المريدين</w:t>
      </w:r>
    </w:p>
    <w:p>
      <w:pPr>
        <w:pStyle w:val="Heading3"/>
      </w:pPr>
      <w:bookmarkStart w:id="820" w:name="_Toc342"/>
      <w:r>
        <w:t>اسامی سور القرآن و ترتيبها / علوم قرآن / عربی</w:t>
      </w:r>
      <w:bookmarkEnd w:id="820"/>
    </w:p>
    <w:p>
      <w:pPr>
        <w:pStyle w:val="BookText"/>
      </w:pPr>
      <w:r>
        <w:rPr>
          <w:rFonts w:ascii="Times New Roman" w:hAnsi="Times New Roman" w:eastAsia="Times New Roman" w:cs="Times New Roman"/>
          <w:lang w:val="en-US" w:bidi="en-US"/>
          <w:color w:val="111111"/>
          <w:sz w:val="28"/>
          <w:szCs w:val="28"/>
          <w:rtl/>
        </w:rPr>
        <w:t xml:space="preserve">asāmī-u suwar-il qur'an wa tartīb-u-hā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07" w:name="pg20365_260139"/>
    <w:bookmarkEnd w:id="107"/>
    <w:p>
      <w:pPr>
        <w:pStyle w:val="BookText"/>
      </w:pPr>
      <w:r>
        <w:rPr>
          <w:rFonts w:ascii="IRNazanin" w:hAnsi="IRNazanin" w:eastAsia="IRNazanin" w:cs="IRNazanin"/>
          <w:lang w:bidi="fa-IR"/>
          <w:color w:val="111111"/>
          <w:sz w:val="28"/>
          <w:szCs w:val="28"/>
          <w:rtl/>
        </w:rPr>
        <w:t xml:space="preserve">تهران؛ ملک؛ شماره نسخه: 2694/7</w:t>
      </w:r>
    </w:p>
    <w:p>
      <w:pPr>
        <w:pStyle w:val="BookText"/>
      </w:pPr>
      <w:r>
        <w:rPr>
          <w:rFonts w:ascii="Amiri" w:hAnsi="Amiri" w:eastAsia="Amiri" w:cs="Amiri"/>
          <w:lang w:bidi="ar-SA"/>
          <w:color w:val="111111"/>
          <w:sz w:val="28"/>
          <w:szCs w:val="28"/>
          <w:rtl/>
        </w:rPr>
        <w:t xml:space="preserve">آغاز: اولاه فاتحة بعدها البقرا *** و آل عمران الضياء و النساء زهرا؛ انجام: قل هو الله احمد اخلاص الله احمد اخلاص مع الفلق *** و الناس آخرها  تمت مع الحصرا</w:t>
      </w:r>
    </w:p>
    <w:p>
      <w:pPr>
        <w:pStyle w:val="BookText"/>
      </w:pPr>
      <w:r>
        <w:rPr>
          <w:rFonts w:ascii="IRNazanin" w:hAnsi="IRNazanin" w:eastAsia="IRNazanin" w:cs="IRNazanin"/>
          <w:lang w:bidi="fa-IR"/>
          <w:color w:val="111111"/>
          <w:sz w:val="28"/>
          <w:szCs w:val="28"/>
          <w:rtl/>
        </w:rPr>
        <w:t xml:space="preserve">به عربی منظوم، خط: نسخ، بی کا، بی تا، کاغذ: ترمه، جلد: ساغری فرنگی سبز  مقوایی، اص ،(144ر) 17 و 15 سطر، اندازه: 15</w:t>
      </w:r>
      <w:r>
        <w:rPr>
          <w:rFonts w:ascii="Times New Roman" w:hAnsi="Times New Roman" w:eastAsia="Times New Roman" w:cs="Times New Roman"/>
          <w:lang w:val="en-US" w:bidi="en-US"/>
          <w:color w:val="111111"/>
          <w:sz w:val="28"/>
          <w:szCs w:val="28"/>
          <w:rtl/>
        </w:rPr>
        <w:t xml:space="preserve">×24/3</w:t>
      </w:r>
      <w:r>
        <w:rPr>
          <w:rFonts w:ascii="IRNazanin" w:hAnsi="IRNazanin" w:eastAsia="IRNazanin" w:cs="IRNazanin"/>
          <w:lang w:bidi="fa-IR"/>
          <w:color w:val="111111"/>
          <w:sz w:val="28"/>
          <w:szCs w:val="28"/>
          <w:rtl/>
        </w:rPr>
        <w:t xml:space="preserve">سم [ف: 6 - 92]</w:t>
      </w:r>
    </w:p>
    <w:p>
      <w:pPr>
        <w:pStyle w:val="Heading3"/>
      </w:pPr>
      <w:bookmarkStart w:id="821" w:name="_Toc343"/>
      <w:r>
        <w:t>اسامی سور قرآن (منظومه در) / شعر، تجوید / فارسی</w:t>
      </w:r>
      <w:bookmarkEnd w:id="821"/>
    </w:p>
    <w:p>
      <w:pPr>
        <w:pStyle w:val="BookText"/>
      </w:pPr>
      <w:r>
        <w:rPr>
          <w:rFonts w:ascii="Times New Roman" w:hAnsi="Times New Roman" w:eastAsia="Times New Roman" w:cs="Times New Roman"/>
          <w:lang w:val="en-US" w:bidi="en-US"/>
          <w:color w:val="111111"/>
          <w:sz w:val="28"/>
          <w:szCs w:val="28"/>
          <w:rtl/>
        </w:rPr>
        <w:t xml:space="preserve">(asāmī-ye sovar-e qor’ān (mnz. dar)</w:t>
      </w:r>
    </w:p>
    <w:p>
      <w:pPr>
        <w:pStyle w:val="BookText"/>
      </w:pPr>
      <w:r>
        <w:rPr>
          <w:rFonts w:ascii="IRNazanin" w:hAnsi="IRNazanin" w:eastAsia="IRNazanin" w:cs="IRNazanin"/>
          <w:lang w:bidi="fa-IR"/>
          <w:color w:val="111111"/>
          <w:sz w:val="28"/>
          <w:szCs w:val="28"/>
          <w:rtl/>
        </w:rPr>
        <w:t xml:space="preserve">قاری، محمد رضا بن محبعلی، - 1055 قمری</w:t>
      </w:r>
    </w:p>
    <w:p>
      <w:pPr>
        <w:pStyle w:val="BookText"/>
      </w:pPr>
      <w:r>
        <w:rPr>
          <w:rFonts w:ascii="Times New Roman" w:hAnsi="Times New Roman" w:eastAsia="Times New Roman" w:cs="Times New Roman"/>
          <w:lang w:val="en-US" w:bidi="en-US"/>
          <w:color w:val="111111"/>
          <w:sz w:val="28"/>
          <w:szCs w:val="28"/>
          <w:rtl/>
        </w:rPr>
        <w:t xml:space="preserve">(qārī, mohammad rezā ebn-e moheb-‘alī (- 1646)</w:t>
      </w:r>
    </w:p>
    <w:p>
      <w:pPr>
        <w:pStyle w:val="BookText"/>
      </w:pPr>
      <w:r>
        <w:rPr>
          <w:rFonts w:ascii="IRNazanin" w:hAnsi="IRNazanin" w:eastAsia="IRNazanin" w:cs="IRNazanin"/>
          <w:lang w:bidi="fa-IR"/>
          <w:color w:val="111111"/>
          <w:sz w:val="28"/>
          <w:szCs w:val="28"/>
          <w:rtl/>
        </w:rPr>
        <w:t xml:space="preserve">سراینده موضوعات قرآنی را چنین دسته بندی کرده است: و عد و وعيد (هزار ،آیه) حلال و حرام (پانصد ،آيه)، دعا و تسبیح (صد آیه)، ناسخ و منسوخ (شصت و شش آیه).</w:t>
      </w:r>
    </w:p>
    <w:p>
      <w:pPr>
        <w:pStyle w:val="BookText"/>
      </w:pPr>
      <w:r>
        <w:rPr>
          <w:rFonts w:ascii="IRNazanin" w:hAnsi="IRNazanin" w:eastAsia="IRNazanin" w:cs="IRNazanin"/>
          <w:lang w:bidi="fa-IR"/>
          <w:color w:val="111111"/>
          <w:sz w:val="28"/>
          <w:szCs w:val="28"/>
          <w:rtl/>
        </w:rPr>
        <w:t xml:space="preserve">تهران؛ مجلس؛ شماره نسخه: 8862/18</w:t>
      </w:r>
    </w:p>
    <w:p>
      <w:pPr>
        <w:pStyle w:val="BookText"/>
      </w:pPr>
      <w:r>
        <w:rPr>
          <w:rFonts w:ascii="IRNazanin" w:hAnsi="IRNazanin" w:eastAsia="IRNazanin" w:cs="IRNazanin"/>
          <w:lang w:bidi="fa-IR"/>
          <w:color w:val="111111"/>
          <w:sz w:val="28"/>
          <w:szCs w:val="28"/>
          <w:rtl/>
        </w:rPr>
        <w:t xml:space="preserve">آغاز: بعد الحمد از کلام کردگار *** دو الف لام میم باشد آشکار / پس نسا و مادیه انعام نیز *** سوره اعراف و انفال  ای عزیز؛ انجام: کوثر و قل یا و نصرش دان ز پس *** ثبت اخلاص و فلق ناس است و بس / تا بدانی نظم و ترتیب سور *** تحفه کرده قایل این عقد گهر</w:t>
      </w:r>
    </w:p>
    <w:p>
      <w:pPr>
        <w:pStyle w:val="BookText"/>
      </w:pPr>
      <w:r>
        <w:rPr>
          <w:rFonts w:ascii="IRNazanin" w:hAnsi="IRNazanin" w:eastAsia="IRNazanin" w:cs="IRNazanin"/>
          <w:lang w:bidi="fa-IR"/>
          <w:color w:val="111111"/>
          <w:sz w:val="28"/>
          <w:szCs w:val="28"/>
          <w:rtl/>
        </w:rPr>
        <w:t xml:space="preserve">خط: نستعلیق و شکسته، بی کا، تا: قرن 12 و 13؛ سطور چلیپا ومعمولی، پس از آن چند بیت درتعداد آیات و کلمات و موضوعات قرآن بدان الحاق شده است؛ کاغذ: نخودی آهار  مهره، جلد: میشن قهوه ای ضربی با ترنج بزرگ در وسط، 1 ص (166) اندازه: 13/3</w:t>
      </w:r>
      <w:r>
        <w:rPr>
          <w:rFonts w:ascii="Times New Roman" w:hAnsi="Times New Roman" w:eastAsia="Times New Roman" w:cs="Times New Roman"/>
          <w:lang w:val="en-US" w:bidi="en-US"/>
          <w:color w:val="111111"/>
          <w:sz w:val="28"/>
          <w:szCs w:val="28"/>
          <w:rtl/>
        </w:rPr>
        <w:t xml:space="preserve">×25/8</w:t>
      </w:r>
      <w:r>
        <w:rPr>
          <w:rFonts w:ascii="IRNazanin" w:hAnsi="IRNazanin" w:eastAsia="IRNazanin" w:cs="IRNazanin"/>
          <w:lang w:bidi="fa-IR"/>
          <w:color w:val="111111"/>
          <w:sz w:val="28"/>
          <w:szCs w:val="28"/>
          <w:rtl/>
        </w:rPr>
        <w:t xml:space="preserve">سم [ف: 29/1 - 164]</w:t>
      </w:r>
    </w:p>
    <w:p>
      <w:pPr>
        <w:pStyle w:val="Heading3"/>
      </w:pPr>
      <w:bookmarkStart w:id="822" w:name="_Toc344"/>
      <w:r>
        <w:t>اسامی سور قرآنی / علوم قرآن</w:t>
      </w:r>
      <w:bookmarkEnd w:id="822"/>
    </w:p>
    <w:p>
      <w:pPr>
        <w:pStyle w:val="BookText"/>
      </w:pPr>
      <w:r>
        <w:rPr>
          <w:rFonts w:ascii="IRNazanin" w:hAnsi="IRNazanin" w:eastAsia="IRNazanin" w:cs="IRNazanin"/>
          <w:lang w:bidi="fa-IR"/>
          <w:color w:val="111111"/>
          <w:sz w:val="28"/>
          <w:szCs w:val="28"/>
          <w:rtl/>
        </w:rPr>
        <w:t xml:space="preserve">تهران؛ مجلس؛ شماره نسخه: 12540/2</w:t>
      </w:r>
    </w:p>
    <w:p>
      <w:pPr>
        <w:pStyle w:val="BookText"/>
      </w:pPr>
      <w:r>
        <w:rPr>
          <w:rFonts w:ascii="Times New Roman" w:hAnsi="Times New Roman" w:eastAsia="Times New Roman" w:cs="Times New Roman"/>
          <w:lang w:val="en-US" w:bidi="en-US"/>
          <w:color w:val="111111"/>
          <w:sz w:val="28"/>
          <w:szCs w:val="28"/>
          <w:rtl/>
        </w:rPr>
        <w:t xml:space="preserve">asāmī-ye sovar-e qor’ānī</w:t>
      </w:r>
    </w:p>
    <w:p>
      <w:pPr>
        <w:pStyle w:val="BookText"/>
      </w:pPr>
      <w:r>
        <w:rPr>
          <w:rFonts w:ascii="IRNazanin" w:hAnsi="IRNazanin" w:eastAsia="IRNazanin" w:cs="IRNazanin"/>
          <w:lang w:bidi="fa-IR"/>
          <w:color w:val="111111"/>
          <w:sz w:val="28"/>
          <w:szCs w:val="28"/>
          <w:rtl/>
        </w:rPr>
        <w:t xml:space="preserve">خط: نسخ، بی کا، بی تا ،جلد: تیماج قهوه ای سوخت ترنج با سر ،مجدول 2گ (65پ-66 پ)، 15 سطر [ف: 36 - 70]</w:t>
      </w:r>
    </w:p>
    <w:p>
      <w:pPr>
        <w:pStyle w:val="Heading3"/>
      </w:pPr>
      <w:bookmarkStart w:id="823" w:name="_Toc345"/>
      <w:r>
        <w:t>اسامی شهور عربيه / متفرقه / عربی</w:t>
      </w:r>
      <w:bookmarkEnd w:id="823"/>
    </w:p>
    <w:p>
      <w:pPr>
        <w:pStyle w:val="BookText"/>
      </w:pPr>
      <w:r>
        <w:rPr>
          <w:rFonts w:ascii="Times New Roman" w:hAnsi="Times New Roman" w:eastAsia="Times New Roman" w:cs="Times New Roman"/>
          <w:lang w:val="en-US" w:bidi="en-US"/>
          <w:color w:val="111111"/>
          <w:sz w:val="28"/>
          <w:szCs w:val="28"/>
          <w:rtl/>
        </w:rPr>
        <w:t xml:space="preserve">asāmī-ye šohūr-e ‘arabīye</w:t>
      </w:r>
    </w:p>
    <w:p>
      <w:pPr>
        <w:pStyle w:val="BookText"/>
      </w:pPr>
      <w:r>
        <w:rPr>
          <w:rFonts w:ascii="IRNazanin" w:hAnsi="IRNazanin" w:eastAsia="IRNazanin" w:cs="IRNazanin"/>
          <w:lang w:bidi="fa-IR"/>
          <w:color w:val="111111"/>
          <w:sz w:val="28"/>
          <w:szCs w:val="28"/>
          <w:rtl/>
        </w:rPr>
        <w:t xml:space="preserve">وجه تسمیه آنها از محرم تا ذیحجه دارای یک خاتمه.</w:t>
      </w:r>
    </w:p>
    <w:p>
      <w:pPr>
        <w:pStyle w:val="BookText"/>
      </w:pPr>
      <w:r>
        <w:rPr>
          <w:rFonts w:ascii="IRNazanin" w:hAnsi="IRNazanin" w:eastAsia="IRNazanin" w:cs="IRNazanin"/>
          <w:lang w:bidi="fa-IR"/>
          <w:color w:val="111111"/>
          <w:sz w:val="28"/>
          <w:szCs w:val="28"/>
          <w:rtl/>
        </w:rPr>
        <w:t xml:space="preserve">تهران؛ مجلس؛ شماره نسخه: 1139/3-ط</w:t>
      </w:r>
    </w:p>
    <w:p>
      <w:pPr>
        <w:pStyle w:val="BookText"/>
      </w:pPr>
      <w:r>
        <w:rPr>
          <w:rFonts w:ascii="IRNazanin" w:hAnsi="IRNazanin" w:eastAsia="IRNazanin" w:cs="IRNazanin"/>
          <w:lang w:bidi="fa-IR"/>
          <w:color w:val="111111"/>
          <w:sz w:val="28"/>
          <w:szCs w:val="28"/>
          <w:rtl/>
        </w:rPr>
        <w:t xml:space="preserve">آغاز: اسامی شهور عربیه محرم سمی بذلك لتحريم القتال فيه و الحرب و الغارات عند العرب صفر سمى بذلك لا صفرار السحر  فيه؛ انجام: فمن هناك صار القمر ابرد من الشمس</w:t>
      </w:r>
    </w:p>
    <w:p>
      <w:pPr>
        <w:pStyle w:val="BookText"/>
      </w:pPr>
      <w:r>
        <w:rPr>
          <w:rFonts w:ascii="IRNazanin" w:hAnsi="IRNazanin" w:eastAsia="IRNazanin" w:cs="IRNazanin"/>
          <w:lang w:bidi="fa-IR"/>
          <w:color w:val="111111"/>
          <w:sz w:val="28"/>
          <w:szCs w:val="28"/>
          <w:rtl/>
        </w:rPr>
        <w:t xml:space="preserve">بی کا، بی تا؛ در ذیل اسامی شهور عربیه دستور پر کردن یک مربع است به نظم و نثر در حاشیه ص118؛ اگ (58-59) [ف:23-610]</w:t>
      </w:r>
    </w:p>
    <w:p>
      <w:pPr>
        <w:pStyle w:val="Heading3"/>
      </w:pPr>
      <w:bookmarkStart w:id="824" w:name="_Toc346"/>
      <w:r>
        <w:t>اسامی صاحب منصبان و سربازان توپخانه / اسناد / فارسی</w:t>
      </w:r>
      <w:bookmarkEnd w:id="824"/>
    </w:p>
    <w:p>
      <w:pPr>
        <w:pStyle w:val="BookText"/>
      </w:pPr>
      <w:r>
        <w:rPr>
          <w:rFonts w:ascii="Times New Roman" w:hAnsi="Times New Roman" w:eastAsia="Times New Roman" w:cs="Times New Roman"/>
          <w:lang w:val="en-US" w:bidi="en-US"/>
          <w:color w:val="111111"/>
          <w:sz w:val="28"/>
          <w:szCs w:val="28"/>
          <w:rtl/>
        </w:rPr>
        <w:t xml:space="preserve">asāmī-ye saheb mansaban va sarbāzān-e tūpxāne</w:t>
      </w:r>
    </w:p>
    <w:p>
      <w:pPr>
        <w:pStyle w:val="BookText"/>
      </w:pPr>
      <w:r>
        <w:rPr>
          <w:rFonts w:ascii="IRNazanin" w:hAnsi="IRNazanin" w:eastAsia="IRNazanin" w:cs="IRNazanin"/>
          <w:lang w:bidi="fa-IR"/>
          <w:color w:val="111111"/>
          <w:sz w:val="28"/>
          <w:szCs w:val="28"/>
          <w:rtl/>
        </w:rPr>
        <w:t xml:space="preserve">کتابچه اسامی صاحب منصبان و سربازان توپخانه اعداد به سیاق.</w:t>
      </w:r>
    </w:p>
    <w:p>
      <w:pPr>
        <w:pStyle w:val="BookText"/>
      </w:pPr>
      <w:r>
        <w:rPr>
          <w:rFonts w:ascii="IRNazanin" w:hAnsi="IRNazanin" w:eastAsia="IRNazanin" w:cs="IRNazanin"/>
          <w:lang w:bidi="fa-IR"/>
          <w:color w:val="111111"/>
          <w:sz w:val="28"/>
          <w:szCs w:val="28"/>
          <w:rtl/>
        </w:rPr>
        <w:t xml:space="preserve">تهران؛ مجلس؛ شماره نسخه: 988</w:t>
      </w:r>
    </w:p>
    <w:p>
      <w:pPr>
        <w:pStyle w:val="BookText"/>
      </w:pPr>
      <w:r>
        <w:rPr>
          <w:rFonts w:ascii="IRNazanin" w:hAnsi="IRNazanin" w:eastAsia="IRNazanin" w:cs="IRNazanin"/>
          <w:lang w:bidi="fa-IR"/>
          <w:color w:val="111111"/>
          <w:sz w:val="28"/>
          <w:szCs w:val="28"/>
          <w:rtl/>
        </w:rPr>
        <w:t xml:space="preserve">خط: نستعلیق، بی کا ،تا: قرن 14 :مهر ،توپچیان، محمد علی ابن  فتح الله؛ کاغذ: آبی ،جلد: گالینگور 22گ، اندازه متن: 8</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اندازه: 18</w:t>
      </w:r>
      <w:r>
        <w:rPr>
          <w:rFonts w:ascii="Times New Roman" w:hAnsi="Times New Roman" w:eastAsia="Times New Roman" w:cs="Times New Roman"/>
          <w:lang w:val="en-US" w:bidi="en-US"/>
          <w:color w:val="111111"/>
          <w:sz w:val="28"/>
          <w:szCs w:val="28"/>
          <w:rtl/>
        </w:rPr>
        <w:t xml:space="preserve">×23</w:t>
      </w:r>
      <w:r>
        <w:rPr>
          <w:rFonts w:ascii="IRNazanin" w:hAnsi="IRNazanin" w:eastAsia="IRNazanin" w:cs="IRNazanin"/>
          <w:lang w:bidi="fa-IR"/>
          <w:color w:val="111111"/>
          <w:sz w:val="28"/>
          <w:szCs w:val="28"/>
          <w:rtl/>
        </w:rPr>
        <w:t xml:space="preserve">سم [سنا - ف: 2 - 101]</w:t>
      </w:r>
    </w:p>
    <w:p>
      <w:pPr>
        <w:pStyle w:val="Heading3"/>
      </w:pPr>
      <w:bookmarkStart w:id="825" w:name="_Toc347"/>
      <w:r>
        <w:t>اسامی صاحب منصبان و سربازان دو فوج جلالی/ اسناد / فارسی</w:t>
      </w:r>
      <w:bookmarkEnd w:id="825"/>
    </w:p>
    <w:p>
      <w:pPr>
        <w:pStyle w:val="BookText"/>
      </w:pPr>
      <w:r>
        <w:rPr>
          <w:rFonts w:ascii="Times New Roman" w:hAnsi="Times New Roman" w:eastAsia="Times New Roman" w:cs="Times New Roman"/>
          <w:lang w:val="en-US" w:bidi="en-US"/>
          <w:color w:val="111111"/>
          <w:sz w:val="28"/>
          <w:szCs w:val="28"/>
          <w:rtl/>
        </w:rPr>
        <w:t xml:space="preserve">asami-ye saheb mansaban va sarbazān-e do fowj-e</w:t>
      </w:r>
    </w:p>
    <w:p>
      <w:pPr>
        <w:pStyle w:val="BookText"/>
      </w:pPr>
      <w:r>
        <w:rPr>
          <w:rFonts w:ascii="Times New Roman" w:hAnsi="Times New Roman" w:eastAsia="Times New Roman" w:cs="Times New Roman"/>
          <w:lang w:val="en-US" w:bidi="en-US"/>
          <w:color w:val="111111"/>
          <w:sz w:val="28"/>
          <w:szCs w:val="28"/>
          <w:rtl/>
        </w:rPr>
        <w:t xml:space="preserve">jalālī</w:t>
      </w:r>
    </w:p>
    <w:p>
      <w:pPr>
        <w:pStyle w:val="BookText"/>
      </w:pPr>
      <w:r>
        <w:rPr>
          <w:rFonts w:ascii="IRNazanin" w:hAnsi="IRNazanin" w:eastAsia="IRNazanin" w:cs="IRNazanin"/>
          <w:lang w:bidi="fa-IR"/>
          <w:color w:val="111111"/>
          <w:sz w:val="28"/>
          <w:szCs w:val="28"/>
          <w:rtl/>
        </w:rPr>
        <w:t xml:space="preserve">کتابچه اسامی صاحب منصبان و سربازان دو فوج جلالی.</w:t>
      </w:r>
    </w:p>
    <w:p>
      <w:pPr>
        <w:pStyle w:val="BookText"/>
      </w:pPr>
      <w:r>
        <w:rPr>
          <w:rFonts w:ascii="IRNazanin" w:hAnsi="IRNazanin" w:eastAsia="IRNazanin" w:cs="IRNazanin"/>
          <w:lang w:bidi="fa-IR"/>
          <w:color w:val="111111"/>
          <w:sz w:val="28"/>
          <w:szCs w:val="28"/>
          <w:rtl/>
        </w:rPr>
        <w:t xml:space="preserve">تهران؛ مجلس؛ شماره نسخه: 941</w:t>
      </w:r>
    </w:p>
    <w:p>
      <w:pPr>
        <w:pStyle w:val="BookText"/>
      </w:pPr>
      <w:r>
        <w:rPr>
          <w:rFonts w:ascii="IRNazanin" w:hAnsi="IRNazanin" w:eastAsia="IRNazanin" w:cs="IRNazanin"/>
          <w:lang w:bidi="fa-IR"/>
          <w:color w:val="111111"/>
          <w:sz w:val="28"/>
          <w:szCs w:val="28"/>
          <w:rtl/>
        </w:rPr>
        <w:t xml:space="preserve">خط: نستعلیق، بی کا، تا: قرن 14؛ با مهرهای سربازان دو فوج ؛کاغذ ،آبی ،جلد ،کالینگور 33گ 3 سطر(9</w:t>
      </w:r>
      <w:r>
        <w:rPr>
          <w:rFonts w:ascii="Times New Roman" w:hAnsi="Times New Roman" w:eastAsia="Times New Roman" w:cs="Times New Roman"/>
          <w:lang w:val="en-US" w:bidi="en-US"/>
          <w:color w:val="111111"/>
          <w:sz w:val="28"/>
          <w:szCs w:val="28"/>
          <w:rtl/>
        </w:rPr>
        <w:t xml:space="preserve">×10)</w:t>
      </w:r>
      <w:r>
        <w:rPr>
          <w:rFonts w:ascii="IRNazanin" w:hAnsi="IRNazanin" w:eastAsia="IRNazanin" w:cs="IRNazanin"/>
          <w:lang w:bidi="fa-IR"/>
          <w:color w:val="111111"/>
          <w:sz w:val="28"/>
          <w:szCs w:val="28"/>
          <w:rtl/>
        </w:rPr>
        <w:t xml:space="preserve">، اندازه: 18</w:t>
      </w:r>
      <w:r>
        <w:rPr>
          <w:rFonts w:ascii="Times New Roman" w:hAnsi="Times New Roman" w:eastAsia="Times New Roman" w:cs="Times New Roman"/>
          <w:lang w:val="en-US" w:bidi="en-US"/>
          <w:color w:val="111111"/>
          <w:sz w:val="28"/>
          <w:szCs w:val="28"/>
          <w:rtl/>
        </w:rPr>
        <w:t xml:space="preserve">×23</w:t>
      </w:r>
      <w:r>
        <w:rPr>
          <w:rFonts w:ascii="IRNazanin" w:hAnsi="IRNazanin" w:eastAsia="IRNazanin" w:cs="IRNazanin"/>
          <w:lang w:bidi="fa-IR"/>
          <w:color w:val="111111"/>
          <w:sz w:val="28"/>
          <w:szCs w:val="28"/>
          <w:rtl/>
        </w:rPr>
        <w:t xml:space="preserve">سم [سنا - ف: 2 - 96]</w:t>
      </w:r>
    </w:p>
    <w:p>
      <w:pPr>
        <w:pStyle w:val="Heading3"/>
      </w:pPr>
      <w:bookmarkStart w:id="826" w:name="_Toc348"/>
      <w:r>
        <w:t>اسامی صاحب منصبان و سربازان فوج جلال ناصری / اسناد / فارسی</w:t>
      </w:r>
      <w:bookmarkEnd w:id="826"/>
    </w:p>
    <w:p>
      <w:pPr>
        <w:pStyle w:val="BookText"/>
      </w:pPr>
      <w:r>
        <w:rPr>
          <w:rFonts w:ascii="Times New Roman" w:hAnsi="Times New Roman" w:eastAsia="Times New Roman" w:cs="Times New Roman"/>
          <w:lang w:val="en-US" w:bidi="en-US"/>
          <w:color w:val="111111"/>
          <w:sz w:val="28"/>
          <w:szCs w:val="28"/>
          <w:rtl/>
        </w:rPr>
        <w:t xml:space="preserve">asāmī-ye saheb mansabān va sarbāzān-e fowj-e jalal-e</w:t>
      </w:r>
    </w:p>
    <w:p>
      <w:pPr>
        <w:pStyle w:val="BookText"/>
      </w:pPr>
      <w:r>
        <w:rPr>
          <w:rFonts w:ascii="Times New Roman" w:hAnsi="Times New Roman" w:eastAsia="Times New Roman" w:cs="Times New Roman"/>
          <w:lang w:val="en-US" w:bidi="en-US"/>
          <w:color w:val="111111"/>
          <w:sz w:val="28"/>
          <w:szCs w:val="28"/>
          <w:rtl/>
        </w:rPr>
        <w:t xml:space="preserve">nāserī</w:t>
      </w:r>
    </w:p>
    <w:p>
      <w:pPr>
        <w:pStyle w:val="BookText"/>
      </w:pPr>
      <w:r>
        <w:rPr>
          <w:rFonts w:ascii="IRNazanin" w:hAnsi="IRNazanin" w:eastAsia="IRNazanin" w:cs="IRNazanin"/>
          <w:lang w:bidi="fa-IR"/>
          <w:color w:val="111111"/>
          <w:sz w:val="28"/>
          <w:szCs w:val="28"/>
          <w:rtl/>
        </w:rPr>
        <w:t xml:space="preserve">تهران؛ مجلس؛ شماره نسخه: 1022</w:t>
      </w:r>
    </w:p>
    <w:p>
      <w:pPr>
        <w:pStyle w:val="BookText"/>
      </w:pPr>
      <w:r>
        <w:rPr>
          <w:rFonts w:ascii="IRNazanin" w:hAnsi="IRNazanin" w:eastAsia="IRNazanin" w:cs="IRNazanin"/>
          <w:lang w:bidi="fa-IR"/>
          <w:color w:val="111111"/>
          <w:sz w:val="28"/>
          <w:szCs w:val="28"/>
          <w:rtl/>
        </w:rPr>
        <w:t xml:space="preserve">کتابچه اسامی صاحب منصبان و سربازان فوج جلال ناصری؛ خط: نستعلیق، بی کا، تا: قرن 14 ؛با مهرهای صاحب منصبان و سربازان و محمد علی بن فتح الله ؛ کاغذ: سفید، جلد: گالینگور، 16گ، اندازه متن: 9</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اندازه: 17</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سم [سنا - ف: 2 – 106]</w:t>
      </w:r>
    </w:p>
    <w:p>
      <w:pPr>
        <w:pStyle w:val="Heading3"/>
      </w:pPr>
      <w:bookmarkStart w:id="827" w:name="_Toc349"/>
      <w:r>
        <w:t>اسامی صاحب منصبان و سربازان فوج چهارمحالی / اسناد / فارسی</w:t>
      </w:r>
      <w:bookmarkEnd w:id="827"/>
    </w:p>
    <w:p>
      <w:pPr>
        <w:pStyle w:val="BookText"/>
      </w:pPr>
      <w:r>
        <w:rPr>
          <w:rFonts w:ascii="Times New Roman" w:hAnsi="Times New Roman" w:eastAsia="Times New Roman" w:cs="Times New Roman"/>
          <w:lang w:val="en-US" w:bidi="en-US"/>
          <w:color w:val="111111"/>
          <w:sz w:val="28"/>
          <w:szCs w:val="28"/>
          <w:rtl/>
        </w:rPr>
        <w:t xml:space="preserve">asāmī-ye sāheb-mansabān va sarbāzān-e fowj-e</w:t>
      </w:r>
    </w:p>
    <w:p>
      <w:pPr>
        <w:pStyle w:val="BookText"/>
      </w:pPr>
      <w:r>
        <w:rPr>
          <w:rFonts w:ascii="Times New Roman" w:hAnsi="Times New Roman" w:eastAsia="Times New Roman" w:cs="Times New Roman"/>
          <w:lang w:val="en-US" w:bidi="en-US"/>
          <w:color w:val="111111"/>
          <w:sz w:val="28"/>
          <w:szCs w:val="28"/>
          <w:rtl/>
        </w:rPr>
        <w:t xml:space="preserve">čahārmahālī</w:t>
      </w:r>
    </w:p>
    <w:p>
      <w:pPr>
        <w:pStyle w:val="BookText"/>
      </w:pPr>
      <w:r>
        <w:rPr>
          <w:rFonts w:ascii="IRNazanin" w:hAnsi="IRNazanin" w:eastAsia="IRNazanin" w:cs="IRNazanin"/>
          <w:lang w:bidi="fa-IR"/>
          <w:color w:val="111111"/>
          <w:sz w:val="28"/>
          <w:szCs w:val="28"/>
          <w:rtl/>
        </w:rPr>
        <w:t xml:space="preserve">کتابچه اسامی صاحب منصبان و سربازان فوج چهارمحالی.</w:t>
      </w:r>
    </w:p>
    <w:p>
      <w:pPr>
        <w:pStyle w:val="BookText"/>
      </w:pPr>
      <w:r>
        <w:rPr>
          <w:rFonts w:ascii="IRNazanin" w:hAnsi="IRNazanin" w:eastAsia="IRNazanin" w:cs="IRNazanin"/>
          <w:lang w:bidi="fa-IR"/>
          <w:color w:val="111111"/>
          <w:sz w:val="28"/>
          <w:szCs w:val="28"/>
          <w:rtl/>
        </w:rPr>
        <w:t xml:space="preserve">اعداد به سیاق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مجلس؛ شماره نسخه: 989</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08" w:name="pg20365_260140"/>
    <w:bookmarkEnd w:id="108"/>
    <w:p>
      <w:pPr>
        <w:pStyle w:val="BookText"/>
      </w:pPr>
      <w:r>
        <w:rPr>
          <w:rFonts w:ascii="IRNazanin" w:hAnsi="IRNazanin" w:eastAsia="IRNazanin" w:cs="IRNazanin"/>
          <w:lang w:bidi="fa-IR"/>
          <w:color w:val="111111"/>
          <w:sz w:val="28"/>
          <w:szCs w:val="28"/>
          <w:rtl/>
        </w:rPr>
        <w:t xml:space="preserve">خط: نستعلیق، بی کا، تا:قرن 14؛ کاغذ ،آبی ،جلد: گالینگور، 27گ، اندازه متن: 9</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 اندازه: 18</w:t>
      </w:r>
      <w:r>
        <w:rPr>
          <w:rFonts w:ascii="Times New Roman" w:hAnsi="Times New Roman" w:eastAsia="Times New Roman" w:cs="Times New Roman"/>
          <w:lang w:val="en-US" w:bidi="en-US"/>
          <w:color w:val="111111"/>
          <w:sz w:val="28"/>
          <w:szCs w:val="28"/>
          <w:rtl/>
        </w:rPr>
        <w:t xml:space="preserve">× 23</w:t>
      </w:r>
      <w:r>
        <w:rPr>
          <w:rFonts w:ascii="IRNazanin" w:hAnsi="IRNazanin" w:eastAsia="IRNazanin" w:cs="IRNazanin"/>
          <w:lang w:bidi="fa-IR"/>
          <w:color w:val="111111"/>
          <w:sz w:val="28"/>
          <w:szCs w:val="28"/>
          <w:rtl/>
        </w:rPr>
        <w:t xml:space="preserve">سم [سنا - ف: 2 - 102 ]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مجلس؛ شماره نسخه 990</w:t>
      </w:r>
    </w:p>
    <w:p>
      <w:pPr>
        <w:pStyle w:val="BookText"/>
      </w:pPr>
      <w:r>
        <w:rPr>
          <w:rFonts w:ascii="IRNazanin" w:hAnsi="IRNazanin" w:eastAsia="IRNazanin" w:cs="IRNazanin"/>
          <w:lang w:bidi="fa-IR"/>
          <w:color w:val="111111"/>
          <w:sz w:val="28"/>
          <w:szCs w:val="28"/>
          <w:rtl/>
        </w:rPr>
        <w:t xml:space="preserve">خط: نستعلیق، بی کا، تا: قرن 14، با مهرهای صاحب و منصبان سربازان و محمد علی ابن فتح الله ؛ کاغذ ،آبی ،جلد: گالینگور، 38گ اندازه متن: 11</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اندازه: 18</w:t>
      </w:r>
      <w:r>
        <w:rPr>
          <w:rFonts w:ascii="Times New Roman" w:hAnsi="Times New Roman" w:eastAsia="Times New Roman" w:cs="Times New Roman"/>
          <w:lang w:val="en-US" w:bidi="en-US"/>
          <w:color w:val="111111"/>
          <w:sz w:val="28"/>
          <w:szCs w:val="28"/>
          <w:rtl/>
        </w:rPr>
        <w:t xml:space="preserve">× 23</w:t>
      </w:r>
      <w:r>
        <w:rPr>
          <w:rFonts w:ascii="IRNazanin" w:hAnsi="IRNazanin" w:eastAsia="IRNazanin" w:cs="IRNazanin"/>
          <w:lang w:bidi="fa-IR"/>
          <w:color w:val="111111"/>
          <w:sz w:val="28"/>
          <w:szCs w:val="28"/>
          <w:rtl/>
        </w:rPr>
        <w:t xml:space="preserve">سم [سنا - ف: 2 - 102]</w:t>
      </w:r>
    </w:p>
    <w:p>
      <w:pPr>
        <w:pStyle w:val="Heading3"/>
      </w:pPr>
      <w:bookmarkStart w:id="828" w:name="_Toc350"/>
      <w:r>
        <w:t>اسامی و جیره صاحب منصبان و سربازان فوج درجزین و جیره آنها / اسناد / فارسی</w:t>
      </w:r>
      <w:bookmarkEnd w:id="828"/>
    </w:p>
    <w:p>
      <w:pPr>
        <w:pStyle w:val="BookText"/>
      </w:pPr>
      <w:r>
        <w:rPr>
          <w:rFonts w:ascii="Times New Roman" w:hAnsi="Times New Roman" w:eastAsia="Times New Roman" w:cs="Times New Roman"/>
          <w:lang w:val="en-US" w:bidi="en-US"/>
          <w:color w:val="111111"/>
          <w:sz w:val="28"/>
          <w:szCs w:val="28"/>
          <w:rtl/>
        </w:rPr>
        <w:t xml:space="preserve">iasāmī-ye sāheb-mansabān va sarbāzān-e fowj darjazīn</w:t>
      </w:r>
    </w:p>
    <w:p>
      <w:pPr>
        <w:pStyle w:val="BookText"/>
      </w:pPr>
      <w:r>
        <w:rPr>
          <w:rFonts w:ascii="Times New Roman" w:hAnsi="Times New Roman" w:eastAsia="Times New Roman" w:cs="Times New Roman"/>
          <w:lang w:val="en-US" w:bidi="en-US"/>
          <w:color w:val="111111"/>
          <w:sz w:val="28"/>
          <w:szCs w:val="28"/>
          <w:rtl/>
        </w:rPr>
        <w:t xml:space="preserve">va jīre-ye ānhā</w:t>
      </w:r>
    </w:p>
    <w:p>
      <w:pPr>
        <w:pStyle w:val="BookText"/>
      </w:pPr>
      <w:r>
        <w:rPr>
          <w:rFonts w:ascii="IRNazanin" w:hAnsi="IRNazanin" w:eastAsia="IRNazanin" w:cs="IRNazanin"/>
          <w:lang w:bidi="fa-IR"/>
          <w:color w:val="111111"/>
          <w:sz w:val="28"/>
          <w:szCs w:val="28"/>
          <w:rtl/>
        </w:rPr>
        <w:t xml:space="preserve">کتابچه اسامی صاحب منصبان و سربازان فوج در جزین و جیره آنها در مأموریت سرحد مریوان برای منع عشایر جاف در سال 1303، ابواب جمعی فتح الله خان سرهنگ اعداد به سیاق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مجلس؛ شماره نسخه: 998</w:t>
      </w:r>
    </w:p>
    <w:p>
      <w:pPr>
        <w:pStyle w:val="BookText"/>
      </w:pPr>
      <w:r>
        <w:rPr>
          <w:rFonts w:ascii="IRNazanin" w:hAnsi="IRNazanin" w:eastAsia="IRNazanin" w:cs="IRNazanin"/>
          <w:lang w:bidi="fa-IR"/>
          <w:color w:val="111111"/>
          <w:sz w:val="28"/>
          <w:szCs w:val="28"/>
          <w:rtl/>
        </w:rPr>
        <w:t xml:space="preserve">کتابچه اسامی صاحب منصبان و سربازان؛ خط: نستعلیق، بی کا،تا: قرن 14 ؛با مهرهای صاحب منصبان و سربازان فوج در جزین؛ کاغذ: سفید، جلد: گالینگور ،26گ اندازه متن: 10 </w:t>
      </w:r>
      <w:r>
        <w:rPr>
          <w:rFonts w:ascii="Times New Roman" w:hAnsi="Times New Roman" w:eastAsia="Times New Roman" w:cs="Times New Roman"/>
          <w:lang w:val="en-US" w:bidi="en-US"/>
          <w:color w:val="111111"/>
          <w:sz w:val="28"/>
          <w:szCs w:val="28"/>
          <w:rtl/>
        </w:rPr>
        <w:t xml:space="preserve">× 13 </w:t>
      </w:r>
      <w:r>
        <w:rPr>
          <w:rFonts w:ascii="IRNazanin" w:hAnsi="IRNazanin" w:eastAsia="IRNazanin" w:cs="IRNazanin"/>
          <w:lang w:bidi="fa-IR"/>
          <w:color w:val="111111"/>
          <w:sz w:val="28"/>
          <w:szCs w:val="28"/>
          <w:rtl/>
        </w:rPr>
        <w:t xml:space="preserve">، اندازه: 23</w:t>
      </w:r>
      <w:r>
        <w:rPr>
          <w:rFonts w:ascii="Times New Roman" w:hAnsi="Times New Roman" w:eastAsia="Times New Roman" w:cs="Times New Roman"/>
          <w:lang w:val="en-US" w:bidi="en-US"/>
          <w:color w:val="111111"/>
          <w:sz w:val="28"/>
          <w:szCs w:val="28"/>
          <w:rtl/>
        </w:rPr>
        <w:t xml:space="preserve">x18</w:t>
      </w:r>
      <w:r>
        <w:rPr>
          <w:rFonts w:ascii="IRNazanin" w:hAnsi="IRNazanin" w:eastAsia="IRNazanin" w:cs="IRNazanin"/>
          <w:lang w:bidi="fa-IR"/>
          <w:color w:val="111111"/>
          <w:sz w:val="28"/>
          <w:szCs w:val="28"/>
          <w:rtl/>
        </w:rPr>
        <w:t xml:space="preserve">سم [سنا - ف: 2 - 103]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مجلس؛ شماره نسخه: 1003</w:t>
      </w:r>
    </w:p>
    <w:p>
      <w:pPr>
        <w:pStyle w:val="BookText"/>
      </w:pPr>
      <w:r>
        <w:rPr>
          <w:rFonts w:ascii="IRNazanin" w:hAnsi="IRNazanin" w:eastAsia="IRNazanin" w:cs="IRNazanin"/>
          <w:lang w:bidi="fa-IR"/>
          <w:color w:val="111111"/>
          <w:sz w:val="28"/>
          <w:szCs w:val="28"/>
          <w:rtl/>
        </w:rPr>
        <w:t xml:space="preserve">کتابچه اسامی و جیره فوج؛ خط: نستعلیق، بی کا، تا: قرن 14،با مهر صاحب منصبان و سربازان فوج در جزین؛ کاغذ: سفید جلد،گالینگور ،25گ اندازه متن: 11</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 اندازه: 18</w:t>
      </w:r>
      <w:r>
        <w:rPr>
          <w:rFonts w:ascii="Times New Roman" w:hAnsi="Times New Roman" w:eastAsia="Times New Roman" w:cs="Times New Roman"/>
          <w:lang w:val="en-US" w:bidi="en-US"/>
          <w:color w:val="111111"/>
          <w:sz w:val="28"/>
          <w:szCs w:val="28"/>
          <w:rtl/>
        </w:rPr>
        <w:t xml:space="preserve">×23</w:t>
      </w:r>
      <w:r>
        <w:rPr>
          <w:rFonts w:ascii="IRNazanin" w:hAnsi="IRNazanin" w:eastAsia="IRNazanin" w:cs="IRNazanin"/>
          <w:lang w:bidi="fa-IR"/>
          <w:color w:val="111111"/>
          <w:sz w:val="28"/>
          <w:szCs w:val="28"/>
          <w:rtl/>
        </w:rPr>
        <w:t xml:space="preserve">سم [سنا- ف: 2 - 103]</w:t>
      </w:r>
    </w:p>
    <w:p>
      <w:pPr>
        <w:pStyle w:val="Heading3"/>
      </w:pPr>
      <w:bookmarkStart w:id="829" w:name="_Toc351"/>
      <w:r>
        <w:t>اسامی صاحب منصبان و سربازان فوج فریدنی / اسناد / فارسی</w:t>
      </w:r>
      <w:bookmarkEnd w:id="829"/>
    </w:p>
    <w:p>
      <w:pPr>
        <w:pStyle w:val="BookText"/>
      </w:pPr>
      <w:r>
        <w:rPr>
          <w:rFonts w:ascii="Times New Roman" w:hAnsi="Times New Roman" w:eastAsia="Times New Roman" w:cs="Times New Roman"/>
          <w:lang w:val="en-US" w:bidi="en-US"/>
          <w:color w:val="111111"/>
          <w:sz w:val="28"/>
          <w:szCs w:val="28"/>
          <w:rtl/>
        </w:rPr>
        <w:t xml:space="preserve">sāheb mansabān va sarbāzān-e fowj-e</w:t>
      </w:r>
    </w:p>
    <w:p>
      <w:pPr>
        <w:pStyle w:val="BookText"/>
      </w:pPr>
      <w:r>
        <w:rPr>
          <w:rFonts w:ascii="Times New Roman" w:hAnsi="Times New Roman" w:eastAsia="Times New Roman" w:cs="Times New Roman"/>
          <w:lang w:val="en-US" w:bidi="en-US"/>
          <w:color w:val="111111"/>
          <w:sz w:val="28"/>
          <w:szCs w:val="28"/>
          <w:rtl/>
        </w:rPr>
        <w:t xml:space="preserve">fereydonī</w:t>
      </w:r>
    </w:p>
    <w:p>
      <w:pPr>
        <w:pStyle w:val="BookText"/>
      </w:pPr>
      <w:r>
        <w:rPr>
          <w:rFonts w:ascii="IRNazanin" w:hAnsi="IRNazanin" w:eastAsia="IRNazanin" w:cs="IRNazanin"/>
          <w:lang w:bidi="fa-IR"/>
          <w:color w:val="111111"/>
          <w:sz w:val="28"/>
          <w:szCs w:val="28"/>
          <w:rtl/>
        </w:rPr>
        <w:t xml:space="preserve">کتابچه اسامی صاحب منصبان و سربازان فوج فریدنی در سال 1305.</w:t>
      </w:r>
    </w:p>
    <w:p>
      <w:pPr>
        <w:pStyle w:val="BookText"/>
      </w:pPr>
      <w:r>
        <w:rPr>
          <w:rFonts w:ascii="IRNazanin" w:hAnsi="IRNazanin" w:eastAsia="IRNazanin" w:cs="IRNazanin"/>
          <w:lang w:bidi="fa-IR"/>
          <w:color w:val="111111"/>
          <w:sz w:val="28"/>
          <w:szCs w:val="28"/>
          <w:rtl/>
        </w:rPr>
        <w:t xml:space="preserve">تهران؛ مجلس؛ شماره نسخه: 987</w:t>
      </w:r>
    </w:p>
    <w:p>
      <w:pPr>
        <w:pStyle w:val="BookText"/>
      </w:pPr>
      <w:r>
        <w:rPr>
          <w:rFonts w:ascii="IRNazanin" w:hAnsi="IRNazanin" w:eastAsia="IRNazanin" w:cs="IRNazanin"/>
          <w:lang w:bidi="fa-IR"/>
          <w:color w:val="111111"/>
          <w:sz w:val="28"/>
          <w:szCs w:val="28"/>
          <w:rtl/>
        </w:rPr>
        <w:t xml:space="preserve">خط: نستعلیق، بی کا، تا: قرن  14؛ با مهرهای صاحب منصبان سربازان و محمد علی ابن فتح الله ؛ کاغذ ،آبی ،جلد: گالینگور 21گ اندازه متن: 19</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اندازه: 18</w:t>
      </w:r>
      <w:r>
        <w:rPr>
          <w:rFonts w:ascii="Times New Roman" w:hAnsi="Times New Roman" w:eastAsia="Times New Roman" w:cs="Times New Roman"/>
          <w:lang w:val="en-US" w:bidi="en-US"/>
          <w:color w:val="111111"/>
          <w:sz w:val="28"/>
          <w:szCs w:val="28"/>
          <w:rtl/>
        </w:rPr>
        <w:t xml:space="preserve">×23</w:t>
      </w:r>
      <w:r>
        <w:rPr>
          <w:rFonts w:ascii="IRNazanin" w:hAnsi="IRNazanin" w:eastAsia="IRNazanin" w:cs="IRNazanin"/>
          <w:lang w:bidi="fa-IR"/>
          <w:color w:val="111111"/>
          <w:sz w:val="28"/>
          <w:szCs w:val="28"/>
          <w:rtl/>
        </w:rPr>
        <w:t xml:space="preserve">سم [سنا - ف: 2 - 101]</w:t>
      </w:r>
    </w:p>
    <w:p>
      <w:pPr>
        <w:pStyle w:val="Heading3"/>
      </w:pPr>
      <w:bookmarkStart w:id="830" w:name="_Toc352"/>
      <w:r>
        <w:t>اسامی صاحب منصبان و سربازان فوج کزازی و سربندی و جیره آنها / اسناد / فارسی</w:t>
      </w:r>
      <w:bookmarkEnd w:id="830"/>
    </w:p>
    <w:p>
      <w:pPr>
        <w:pStyle w:val="BookText"/>
      </w:pPr>
      <w:r>
        <w:rPr>
          <w:rFonts w:ascii="Times New Roman" w:hAnsi="Times New Roman" w:eastAsia="Times New Roman" w:cs="Times New Roman"/>
          <w:lang w:val="en-US" w:bidi="en-US"/>
          <w:color w:val="111111"/>
          <w:sz w:val="28"/>
          <w:szCs w:val="28"/>
          <w:rtl/>
        </w:rPr>
        <w:t xml:space="preserve">asāmī-ye sāheb mansabān va sarbāzān-e fowj-e kazāzī</w:t>
      </w:r>
    </w:p>
    <w:p>
      <w:pPr>
        <w:pStyle w:val="BookText"/>
      </w:pPr>
      <w:r>
        <w:rPr>
          <w:rFonts w:ascii="Times New Roman" w:hAnsi="Times New Roman" w:eastAsia="Times New Roman" w:cs="Times New Roman"/>
          <w:lang w:val="en-US" w:bidi="en-US"/>
          <w:color w:val="111111"/>
          <w:sz w:val="28"/>
          <w:szCs w:val="28"/>
          <w:rtl/>
        </w:rPr>
        <w:t xml:space="preserve">va sarbandī va jīre-ye ānhā</w:t>
      </w:r>
    </w:p>
    <w:p>
      <w:pPr>
        <w:pStyle w:val="BookText"/>
      </w:pPr>
      <w:r>
        <w:rPr>
          <w:rFonts w:ascii="IRNazanin" w:hAnsi="IRNazanin" w:eastAsia="IRNazanin" w:cs="IRNazanin"/>
          <w:lang w:bidi="fa-IR"/>
          <w:color w:val="111111"/>
          <w:sz w:val="28"/>
          <w:szCs w:val="28"/>
          <w:rtl/>
        </w:rPr>
        <w:t xml:space="preserve">کتابچه اسامی صاحب منصبان و سربازان فوج مخصوص كزازی و سربندی با مواجب و جیره آنان در مأموریت سرحد مریوان برای منع عشایر جاف در سال 1303، ابواب جمعی حاجی ذو الفقار خان سرتیپ اعداد به سیاق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مجلس؛ شماره نسخه: 997</w:t>
      </w:r>
    </w:p>
    <w:p>
      <w:pPr>
        <w:pStyle w:val="BookText"/>
      </w:pPr>
      <w:r>
        <w:rPr>
          <w:rFonts w:ascii="IRNazanin" w:hAnsi="IRNazanin" w:eastAsia="IRNazanin" w:cs="IRNazanin"/>
          <w:lang w:bidi="fa-IR"/>
          <w:color w:val="111111"/>
          <w:sz w:val="28"/>
          <w:szCs w:val="28"/>
          <w:rtl/>
        </w:rPr>
        <w:t xml:space="preserve">کتابچه اسامی صاحب منصبان و سربازان با مواجب آنان؛ خط: نستعلیق ،بی کا، تا: قرن 14؛ با مهرهای صاحب منصبان و سربازان فوج مخصوص، کاغذ ،سفید ،جلد :گالینگور، 23گ، اندازه متن: 10 </w:t>
      </w:r>
      <w:r>
        <w:rPr>
          <w:rFonts w:ascii="Times New Roman" w:hAnsi="Times New Roman" w:eastAsia="Times New Roman" w:cs="Times New Roman"/>
          <w:lang w:val="en-US" w:bidi="en-US"/>
          <w:color w:val="111111"/>
          <w:sz w:val="28"/>
          <w:szCs w:val="28"/>
          <w:rtl/>
        </w:rPr>
        <w:t xml:space="preserve">× 12 </w:t>
      </w:r>
      <w:r>
        <w:rPr>
          <w:rFonts w:ascii="IRNazanin" w:hAnsi="IRNazanin" w:eastAsia="IRNazanin" w:cs="IRNazanin"/>
          <w:lang w:bidi="fa-IR"/>
          <w:color w:val="111111"/>
          <w:sz w:val="28"/>
          <w:szCs w:val="28"/>
          <w:rtl/>
        </w:rPr>
        <w:t xml:space="preserve">، اندازه: 18 </w:t>
      </w:r>
      <w:r>
        <w:rPr>
          <w:rFonts w:ascii="Times New Roman" w:hAnsi="Times New Roman" w:eastAsia="Times New Roman" w:cs="Times New Roman"/>
          <w:lang w:val="en-US" w:bidi="en-US"/>
          <w:color w:val="111111"/>
          <w:sz w:val="28"/>
          <w:szCs w:val="28"/>
          <w:rtl/>
        </w:rPr>
        <w:t xml:space="preserve">× 23</w:t>
      </w:r>
      <w:r>
        <w:rPr>
          <w:rFonts w:ascii="IRNazanin" w:hAnsi="IRNazanin" w:eastAsia="IRNazanin" w:cs="IRNazanin"/>
          <w:lang w:bidi="fa-IR"/>
          <w:color w:val="111111"/>
          <w:sz w:val="28"/>
          <w:szCs w:val="28"/>
          <w:rtl/>
        </w:rPr>
        <w:t xml:space="preserve">سم [سنا - ف: 2 - 102]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مجلس؛ شماره نسخه: 1005</w:t>
      </w:r>
    </w:p>
    <w:p>
      <w:pPr>
        <w:pStyle w:val="BookText"/>
      </w:pPr>
      <w:r>
        <w:rPr>
          <w:rFonts w:ascii="IRNazanin" w:hAnsi="IRNazanin" w:eastAsia="IRNazanin" w:cs="IRNazanin"/>
          <w:lang w:bidi="fa-IR"/>
          <w:color w:val="111111"/>
          <w:sz w:val="28"/>
          <w:szCs w:val="28"/>
          <w:rtl/>
        </w:rPr>
        <w:t xml:space="preserve">کتابچه اسامی و جیره فوج، خط: نستعلیق، بی کا، تا: قرن 14، با مهر صاحب منصبان و سربازان فوج مخصوص؛ 34گ [سنا - ف:</w:t>
      </w:r>
    </w:p>
    <w:p>
      <w:pPr>
        <w:pStyle w:val="BookText"/>
      </w:pPr>
      <w:r>
        <w:rPr>
          <w:rFonts w:ascii="Times New Roman" w:hAnsi="Times New Roman" w:eastAsia="Times New Roman" w:cs="Times New Roman"/>
          <w:lang w:val="en-US" w:bidi="en-US"/>
          <w:color w:val="111111"/>
          <w:sz w:val="28"/>
          <w:szCs w:val="28"/>
          <w:rtl/>
        </w:rPr>
        <w:t xml:space="preserve">2 - 103 ]</w:t>
      </w:r>
    </w:p>
    <w:p>
      <w:pPr>
        <w:pStyle w:val="Heading3"/>
      </w:pPr>
      <w:bookmarkStart w:id="831" w:name="_Toc353"/>
      <w:r>
        <w:t>اسامی صاحب منصبان و سربازان فوج محمود ناصری / اسناد / فارسی</w:t>
      </w:r>
      <w:bookmarkEnd w:id="831"/>
    </w:p>
    <w:p>
      <w:pPr>
        <w:pStyle w:val="BookText"/>
      </w:pPr>
      <w:r>
        <w:rPr>
          <w:rFonts w:ascii="Times New Roman" w:hAnsi="Times New Roman" w:eastAsia="Times New Roman" w:cs="Times New Roman"/>
          <w:lang w:val="en-US" w:bidi="en-US"/>
          <w:color w:val="111111"/>
          <w:sz w:val="28"/>
          <w:szCs w:val="28"/>
          <w:rtl/>
        </w:rPr>
        <w:t xml:space="preserve">asāmī-ye sāheb mansabān va sarbāzān-e fowj-e</w:t>
      </w:r>
    </w:p>
    <w:p>
      <w:pPr>
        <w:pStyle w:val="BookText"/>
      </w:pPr>
      <w:r>
        <w:rPr>
          <w:rFonts w:ascii="Times New Roman" w:hAnsi="Times New Roman" w:eastAsia="Times New Roman" w:cs="Times New Roman"/>
          <w:lang w:val="en-US" w:bidi="en-US"/>
          <w:color w:val="111111"/>
          <w:sz w:val="28"/>
          <w:szCs w:val="28"/>
          <w:rtl/>
        </w:rPr>
        <w:t xml:space="preserve">mahmud-e naserī</w:t>
      </w:r>
    </w:p>
    <w:p>
      <w:pPr>
        <w:pStyle w:val="BookText"/>
      </w:pPr>
      <w:r>
        <w:rPr>
          <w:rFonts w:ascii="IRNazanin" w:hAnsi="IRNazanin" w:eastAsia="IRNazanin" w:cs="IRNazanin"/>
          <w:lang w:bidi="fa-IR"/>
          <w:color w:val="111111"/>
          <w:sz w:val="28"/>
          <w:szCs w:val="28"/>
          <w:rtl/>
        </w:rPr>
        <w:t xml:space="preserve">کتابچه اسامی صاحب منصبان و سربازان فوج محمود ناصری.</w:t>
      </w:r>
    </w:p>
    <w:p>
      <w:pPr>
        <w:pStyle w:val="BookText"/>
      </w:pPr>
      <w:r>
        <w:rPr>
          <w:rFonts w:ascii="IRNazanin" w:hAnsi="IRNazanin" w:eastAsia="IRNazanin" w:cs="IRNazanin"/>
          <w:lang w:bidi="fa-IR"/>
          <w:color w:val="111111"/>
          <w:sz w:val="28"/>
          <w:szCs w:val="28"/>
          <w:rtl/>
        </w:rPr>
        <w:t xml:space="preserve">تهران؛ مجلس؛ شماره نسخه: 1023</w:t>
      </w:r>
    </w:p>
    <w:p>
      <w:pPr>
        <w:pStyle w:val="BookText"/>
      </w:pPr>
      <w:r>
        <w:rPr>
          <w:rFonts w:ascii="IRNazanin" w:hAnsi="IRNazanin" w:eastAsia="IRNazanin" w:cs="IRNazanin"/>
          <w:lang w:bidi="fa-IR"/>
          <w:color w:val="111111"/>
          <w:sz w:val="28"/>
          <w:szCs w:val="28"/>
          <w:rtl/>
        </w:rPr>
        <w:t xml:space="preserve">خط: نستعلیق، بی کا، تا: قرن 14 ؛با مهرهای صاحب منصبان وسربازان و محمد علی بن فتح الله؛ کاغذ ،آبی ،جلد: گالینگور،</w:t>
      </w:r>
    </w:p>
    <w:p>
      <w:pPr>
        <w:pStyle w:val="BookText"/>
      </w:pPr>
      <w:r>
        <w:rPr>
          <w:rFonts w:ascii="IRNazanin" w:hAnsi="IRNazanin" w:eastAsia="IRNazanin" w:cs="IRNazanin"/>
          <w:lang w:bidi="fa-IR"/>
          <w:color w:val="111111"/>
          <w:sz w:val="28"/>
          <w:szCs w:val="28"/>
          <w:rtl/>
        </w:rPr>
        <w:t xml:space="preserve">؛ 12گ، اندازه متن: 8</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17</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سم [سناف: 2-106]</w:t>
      </w:r>
    </w:p>
    <w:p>
      <w:pPr>
        <w:pStyle w:val="Heading3"/>
      </w:pPr>
      <w:bookmarkStart w:id="832" w:name="_Toc354"/>
      <w:r>
        <w:t>اسامی صنایع / صنعت / فارسی</w:t>
      </w:r>
      <w:bookmarkEnd w:id="832"/>
    </w:p>
    <w:p>
      <w:pPr>
        <w:pStyle w:val="BookText"/>
      </w:pPr>
      <w:r>
        <w:rPr>
          <w:rFonts w:ascii="Times New Roman" w:hAnsi="Times New Roman" w:eastAsia="Times New Roman" w:cs="Times New Roman"/>
          <w:lang w:val="en-US" w:bidi="en-US"/>
          <w:color w:val="111111"/>
          <w:sz w:val="28"/>
          <w:szCs w:val="28"/>
          <w:rtl/>
        </w:rPr>
        <w:t xml:space="preserve">asāmī-ye sanāye‘</w:t>
      </w:r>
    </w:p>
    <w:p>
      <w:pPr>
        <w:pStyle w:val="BookText"/>
      </w:pPr>
      <w:r>
        <w:rPr>
          <w:rFonts w:ascii="IRNazanin" w:hAnsi="IRNazanin" w:eastAsia="IRNazanin" w:cs="IRNazanin"/>
          <w:lang w:bidi="fa-IR"/>
          <w:color w:val="111111"/>
          <w:sz w:val="28"/>
          <w:szCs w:val="28"/>
          <w:rtl/>
        </w:rPr>
        <w:t xml:space="preserve">قم؛ دار الحدیث؛ شماره نسخه: 357/3</w:t>
      </w:r>
    </w:p>
    <w:p>
      <w:pPr>
        <w:pStyle w:val="BookText"/>
      </w:pPr>
      <w:r>
        <w:rPr>
          <w:rFonts w:ascii="IRNazanin" w:hAnsi="IRNazanin" w:eastAsia="IRNazanin" w:cs="IRNazanin"/>
          <w:lang w:bidi="fa-IR"/>
          <w:color w:val="111111"/>
          <w:sz w:val="28"/>
          <w:szCs w:val="28"/>
          <w:rtl/>
        </w:rPr>
        <w:t xml:space="preserve">بی کا، بی تا؛ جلد: تیماج قهوه ای مجدول بدون مقوا، 2گ (41ر- 42ر )،اندازه: 7</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سم [ف: 162]</w:t>
      </w:r>
    </w:p>
    <w:p>
      <w:pPr>
        <w:pStyle w:val="Heading3"/>
      </w:pPr>
      <w:bookmarkStart w:id="833" w:name="_Toc355"/>
      <w:r>
        <w:t>اسامی علماء و مشاهیر در فنون / تاریخ / عربی</w:t>
      </w:r>
      <w:bookmarkEnd w:id="833"/>
    </w:p>
    <w:p>
      <w:pPr>
        <w:pStyle w:val="BookText"/>
      </w:pPr>
      <w:r>
        <w:rPr>
          <w:rFonts w:ascii="Times New Roman" w:hAnsi="Times New Roman" w:eastAsia="Times New Roman" w:cs="Times New Roman"/>
          <w:lang w:val="en-US" w:bidi="en-US"/>
          <w:color w:val="111111"/>
          <w:sz w:val="28"/>
          <w:szCs w:val="28"/>
          <w:rtl/>
        </w:rPr>
        <w:t xml:space="preserve">asāmī-ye 'olamā' va mašāhīr dar fonun</w:t>
      </w:r>
    </w:p>
    <w:p>
      <w:pPr>
        <w:pStyle w:val="BookText"/>
      </w:pPr>
      <w:r>
        <w:rPr>
          <w:rFonts w:ascii="IRNazanin" w:hAnsi="IRNazanin" w:eastAsia="IRNazanin" w:cs="IRNazanin"/>
          <w:lang w:bidi="fa-IR"/>
          <w:color w:val="111111"/>
          <w:sz w:val="28"/>
          <w:szCs w:val="28"/>
          <w:rtl/>
        </w:rPr>
        <w:t xml:space="preserve">تهران؛ مجلس؛ شماره نسخه: 1149/1</w:t>
      </w:r>
    </w:p>
    <w:p>
      <w:pPr>
        <w:pStyle w:val="BookText"/>
      </w:pPr>
      <w:r>
        <w:rPr>
          <w:rFonts w:ascii="IRNazanin" w:hAnsi="IRNazanin" w:eastAsia="IRNazanin" w:cs="IRNazanin"/>
          <w:lang w:bidi="fa-IR"/>
          <w:color w:val="111111"/>
          <w:sz w:val="28"/>
          <w:szCs w:val="28"/>
          <w:rtl/>
        </w:rPr>
        <w:t xml:space="preserve">خط: نستعليق، كاتب - مؤلف، بی تا؛ کاغذ: سفيد، جلد: تيماج تریاکی ضربی و ،مقوایی 2 ص ((9- 10) [سنا - ف: 2 - 139]</w:t>
      </w:r>
    </w:p>
    <w:p>
      <w:pPr>
        <w:pStyle w:val="Heading3"/>
      </w:pPr>
      <w:bookmarkStart w:id="834" w:name="_Toc356"/>
      <w:r>
        <w:t>اسامی علمای شیعه / تراجم</w:t>
      </w:r>
      <w:bookmarkEnd w:id="834"/>
    </w:p>
    <w:p>
      <w:pPr>
        <w:pStyle w:val="BookText"/>
      </w:pPr>
      <w:r>
        <w:rPr>
          <w:rFonts w:ascii="Times New Roman" w:hAnsi="Times New Roman" w:eastAsia="Times New Roman" w:cs="Times New Roman"/>
          <w:lang w:val="en-US" w:bidi="en-US"/>
          <w:color w:val="111111"/>
          <w:sz w:val="28"/>
          <w:szCs w:val="28"/>
          <w:rtl/>
        </w:rPr>
        <w:t xml:space="preserve">asāmī-ye 'olamā-ye šī ́e</w:t>
      </w:r>
    </w:p>
    <w:p>
      <w:pPr>
        <w:pStyle w:val="BookText"/>
      </w:pPr>
      <w:r>
        <w:rPr>
          <w:rFonts w:ascii="IRNazanin" w:hAnsi="IRNazanin" w:eastAsia="IRNazanin" w:cs="IRNazanin"/>
          <w:lang w:bidi="fa-IR"/>
          <w:color w:val="111111"/>
          <w:sz w:val="28"/>
          <w:szCs w:val="28"/>
          <w:rtl/>
        </w:rPr>
        <w:t xml:space="preserve">اصفهان؛ دانشگاه اصفهان؛ شماره نسخه: 83/6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09" w:name="pg20365_260141"/>
    <w:bookmarkEnd w:id="109"/>
    <w:p>
      <w:pPr>
        <w:pStyle w:val="BookText"/>
      </w:pPr>
      <w:r>
        <w:rPr>
          <w:rFonts w:ascii="IRNazanin" w:hAnsi="IRNazanin" w:eastAsia="IRNazanin" w:cs="IRNazanin"/>
          <w:lang w:bidi="fa-IR"/>
          <w:color w:val="111111"/>
          <w:sz w:val="28"/>
          <w:szCs w:val="28"/>
          <w:rtl/>
        </w:rPr>
        <w:t xml:space="preserve">از محمد بن عمیر؛ خط: نسخ، بی کا، تا: قرن 11؛ کاغذ: سپاهانی  [نشریه 11 - 924]</w:t>
      </w:r>
    </w:p>
    <w:p>
      <w:pPr>
        <w:pStyle w:val="Heading3"/>
      </w:pPr>
      <w:bookmarkStart w:id="835" w:name="_Toc357"/>
      <w:r>
        <w:t>اسامی فوج بزچلو / اسناد / فارسی</w:t>
      </w:r>
      <w:bookmarkEnd w:id="835"/>
    </w:p>
    <w:p>
      <w:pPr>
        <w:pStyle w:val="BookText"/>
      </w:pPr>
      <w:r>
        <w:rPr>
          <w:rFonts w:ascii="Times New Roman" w:hAnsi="Times New Roman" w:eastAsia="Times New Roman" w:cs="Times New Roman"/>
          <w:lang w:val="en-US" w:bidi="en-US"/>
          <w:color w:val="111111"/>
          <w:sz w:val="28"/>
          <w:szCs w:val="28"/>
          <w:rtl/>
        </w:rPr>
        <w:t xml:space="preserve">asāmī-ye fowj-e bozčallū</w:t>
      </w:r>
    </w:p>
    <w:p>
      <w:pPr>
        <w:pStyle w:val="BookText"/>
      </w:pPr>
      <w:r>
        <w:rPr>
          <w:rFonts w:ascii="IRNazanin" w:hAnsi="IRNazanin" w:eastAsia="IRNazanin" w:cs="IRNazanin"/>
          <w:lang w:bidi="fa-IR"/>
          <w:color w:val="111111"/>
          <w:sz w:val="28"/>
          <w:szCs w:val="28"/>
          <w:rtl/>
        </w:rPr>
        <w:t xml:space="preserve">کتابچه اسامی فوج بزچلو اعداد به سیاق است.</w:t>
      </w:r>
    </w:p>
    <w:p>
      <w:pPr>
        <w:pStyle w:val="BookText"/>
      </w:pPr>
      <w:r>
        <w:rPr>
          <w:rFonts w:ascii="IRNazanin" w:hAnsi="IRNazanin" w:eastAsia="IRNazanin" w:cs="IRNazanin"/>
          <w:lang w:bidi="fa-IR"/>
          <w:color w:val="111111"/>
          <w:sz w:val="28"/>
          <w:szCs w:val="28"/>
          <w:rtl/>
        </w:rPr>
        <w:t xml:space="preserve">تهران؛ مجلس؛ شماره نسخه: 986</w:t>
      </w:r>
    </w:p>
    <w:p>
      <w:pPr>
        <w:pStyle w:val="BookText"/>
      </w:pPr>
      <w:r>
        <w:rPr>
          <w:rFonts w:ascii="IRNazanin" w:hAnsi="IRNazanin" w:eastAsia="IRNazanin" w:cs="IRNazanin"/>
          <w:lang w:bidi="fa-IR"/>
          <w:color w:val="111111"/>
          <w:sz w:val="28"/>
          <w:szCs w:val="28"/>
          <w:rtl/>
        </w:rPr>
        <w:t xml:space="preserve">خط: نستعلیق، بی کا، تا: قرن 14؛ با مهر محمد علی ابن فتح الله، کاغذ ،آبی، جلد: گالینگور، 30گ اندازه متن: 9</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 اندازه: 23</w:t>
      </w:r>
      <w:r>
        <w:rPr>
          <w:rFonts w:ascii="Times New Roman" w:hAnsi="Times New Roman" w:eastAsia="Times New Roman" w:cs="Times New Roman"/>
          <w:lang w:val="en-US" w:bidi="en-US"/>
          <w:color w:val="111111"/>
          <w:sz w:val="28"/>
          <w:szCs w:val="28"/>
          <w:rtl/>
        </w:rPr>
        <w:t xml:space="preserve">x18</w:t>
      </w:r>
      <w:r>
        <w:rPr>
          <w:rFonts w:ascii="IRNazanin" w:hAnsi="IRNazanin" w:eastAsia="IRNazanin" w:cs="IRNazanin"/>
          <w:lang w:bidi="fa-IR"/>
          <w:color w:val="111111"/>
          <w:sz w:val="28"/>
          <w:szCs w:val="28"/>
          <w:rtl/>
        </w:rPr>
        <w:t xml:space="preserve">سم [سنا - ف: 2 - 101]</w:t>
      </w:r>
    </w:p>
    <w:p>
      <w:pPr>
        <w:pStyle w:val="Heading3"/>
      </w:pPr>
      <w:bookmarkStart w:id="836" w:name="_Toc358"/>
      <w:r>
        <w:t>اسامی فوج فتح ناصری / اسناد / فارسی</w:t>
      </w:r>
      <w:bookmarkEnd w:id="836"/>
    </w:p>
    <w:p>
      <w:pPr>
        <w:pStyle w:val="BookText"/>
      </w:pPr>
      <w:r>
        <w:rPr>
          <w:rFonts w:ascii="Times New Roman" w:hAnsi="Times New Roman" w:eastAsia="Times New Roman" w:cs="Times New Roman"/>
          <w:lang w:val="en-US" w:bidi="en-US"/>
          <w:color w:val="111111"/>
          <w:sz w:val="28"/>
          <w:szCs w:val="28"/>
          <w:rtl/>
        </w:rPr>
        <w:t xml:space="preserve">asāmī-ye fowj-e fath-e nāserī</w:t>
      </w:r>
    </w:p>
    <w:p>
      <w:pPr>
        <w:pStyle w:val="BookText"/>
      </w:pPr>
      <w:r>
        <w:rPr>
          <w:rFonts w:ascii="IRNazanin" w:hAnsi="IRNazanin" w:eastAsia="IRNazanin" w:cs="IRNazanin"/>
          <w:lang w:bidi="fa-IR"/>
          <w:color w:val="111111"/>
          <w:sz w:val="28"/>
          <w:szCs w:val="28"/>
          <w:rtl/>
        </w:rPr>
        <w:t xml:space="preserve">تهران؛ مجلس؛ شماره نسخه: 1015</w:t>
      </w:r>
    </w:p>
    <w:p>
      <w:pPr>
        <w:pStyle w:val="BookText"/>
      </w:pPr>
      <w:r>
        <w:rPr>
          <w:rFonts w:ascii="IRNazanin" w:hAnsi="IRNazanin" w:eastAsia="IRNazanin" w:cs="IRNazanin"/>
          <w:lang w:bidi="fa-IR"/>
          <w:color w:val="111111"/>
          <w:sz w:val="28"/>
          <w:szCs w:val="28"/>
          <w:rtl/>
        </w:rPr>
        <w:t xml:space="preserve">خط: نستعلیق، بی کا،  تا: قرن 14؛ با مهرهای صاحب منصبان و سربازان فوج ناصری و محمد علی بن فتح الله؛ کاغذ:  آبی، جلد: گالینگور ،13گ اندازه متن: 10</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اندازه: 17</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[سنا - ف: 2- 105]</w:t>
      </w:r>
    </w:p>
    <w:p>
      <w:pPr>
        <w:pStyle w:val="Heading3"/>
      </w:pPr>
      <w:bookmarkStart w:id="837" w:name="_Toc359"/>
      <w:r>
        <w:t>اسامی قاریان / قرائت</w:t>
      </w:r>
      <w:bookmarkEnd w:id="837"/>
    </w:p>
    <w:p>
      <w:pPr>
        <w:pStyle w:val="BookText"/>
      </w:pPr>
      <w:r>
        <w:rPr>
          <w:rFonts w:ascii="Times New Roman" w:hAnsi="Times New Roman" w:eastAsia="Times New Roman" w:cs="Times New Roman"/>
          <w:lang w:val="en-US" w:bidi="en-US"/>
          <w:color w:val="111111"/>
          <w:sz w:val="28"/>
          <w:szCs w:val="28"/>
          <w:rtl/>
        </w:rPr>
        <w:t xml:space="preserve">asāmī-ye qārīyān</w:t>
      </w:r>
    </w:p>
    <w:p>
      <w:pPr>
        <w:pStyle w:val="BookText"/>
      </w:pPr>
      <w:r>
        <w:rPr>
          <w:rFonts w:ascii="IRNazanin" w:hAnsi="IRNazanin" w:eastAsia="IRNazanin" w:cs="IRNazanin"/>
          <w:lang w:bidi="fa-IR"/>
          <w:color w:val="111111"/>
          <w:sz w:val="28"/>
          <w:szCs w:val="28"/>
          <w:rtl/>
        </w:rPr>
        <w:t xml:space="preserve">تهران؛ ملی؛ شماره نسخه: 17458</w:t>
      </w:r>
    </w:p>
    <w:p>
      <w:pPr>
        <w:pStyle w:val="BookText"/>
      </w:pPr>
      <w:r>
        <w:rPr>
          <w:rFonts w:ascii="IRNazanin" w:hAnsi="IRNazanin" w:eastAsia="IRNazanin" w:cs="IRNazanin"/>
          <w:lang w:bidi="fa-IR"/>
          <w:color w:val="111111"/>
          <w:sz w:val="28"/>
          <w:szCs w:val="28"/>
          <w:rtl/>
        </w:rPr>
        <w:t xml:space="preserve">بی کا، بی تا ،خریداری از مصطفی حسینی؛ 38گ [رایانه]</w:t>
      </w:r>
    </w:p>
    <w:p>
      <w:pPr>
        <w:pStyle w:val="Heading3"/>
      </w:pPr>
      <w:bookmarkStart w:id="838" w:name="_Toc360"/>
      <w:r>
        <w:t>اسامی القراء / قرائت، تجوید / فارسی</w:t>
      </w:r>
      <w:bookmarkEnd w:id="838"/>
    </w:p>
    <w:p>
      <w:pPr>
        <w:pStyle w:val="BookText"/>
      </w:pPr>
      <w:r>
        <w:rPr>
          <w:rFonts w:ascii="Times New Roman" w:hAnsi="Times New Roman" w:eastAsia="Times New Roman" w:cs="Times New Roman"/>
          <w:lang w:val="en-US" w:bidi="en-US"/>
          <w:color w:val="111111"/>
          <w:sz w:val="28"/>
          <w:szCs w:val="28"/>
          <w:rtl/>
        </w:rPr>
        <w:t xml:space="preserve">asāmīyy-ol-qorrā’</w:t>
      </w:r>
    </w:p>
    <w:p>
      <w:pPr>
        <w:pStyle w:val="BookText"/>
      </w:pPr>
      <w:r>
        <w:rPr>
          <w:rFonts w:ascii="IRNazanin" w:hAnsi="IRNazanin" w:eastAsia="IRNazanin" w:cs="IRNazanin"/>
          <w:lang w:bidi="fa-IR"/>
          <w:color w:val="111111"/>
          <w:sz w:val="28"/>
          <w:szCs w:val="28"/>
          <w:rtl/>
        </w:rPr>
        <w:t xml:space="preserve">قاری ،هروی ناصرالدین  محمد، ق 11 قمری</w:t>
      </w:r>
    </w:p>
    <w:p>
      <w:pPr>
        <w:pStyle w:val="BookText"/>
      </w:pPr>
      <w:r>
        <w:rPr>
          <w:rFonts w:ascii="Times New Roman" w:hAnsi="Times New Roman" w:eastAsia="Times New Roman" w:cs="Times New Roman"/>
          <w:lang w:val="en-US" w:bidi="en-US"/>
          <w:color w:val="111111"/>
          <w:sz w:val="28"/>
          <w:szCs w:val="28"/>
          <w:rtl/>
        </w:rPr>
        <w:t xml:space="preserve">(qārī-ye heravī, nāser-od-dīn mohammad (- 17c)</w:t>
      </w:r>
    </w:p>
    <w:p>
      <w:pPr>
        <w:pStyle w:val="BookText"/>
      </w:pPr>
      <w:r>
        <w:rPr>
          <w:rFonts w:ascii="IRNazanin" w:hAnsi="IRNazanin" w:eastAsia="IRNazanin" w:cs="IRNazanin"/>
          <w:lang w:bidi="fa-IR"/>
          <w:color w:val="111111"/>
          <w:sz w:val="28"/>
          <w:szCs w:val="28"/>
          <w:rtl/>
        </w:rPr>
        <w:t xml:space="preserve">رساله مختصری است مزین به اشعار فارسی از مؤلف در شرح حال و ترجمه احوال قراء سبعه وی در علت تألیف در رساله آورده که درآخر سال 1000ق در ولایت مرغاب در موضع ماروچاق چند بیت به شرح زیر در اسامی قراء می سراید و سپس در سال 1008ق شرحی در حد ترجمان احوال قراء بر ابیات مذکور می افزاید: «اسم  قراء کلام ای قاری با احترام </w:t>
      </w:r>
      <w:r>
        <w:rPr>
          <w:rFonts w:ascii="IRNazanin" w:hAnsi="IRNazanin" w:eastAsia="IRNazanin" w:cs="IRNazanin"/>
          <w:lang w:bidi="fa-IR"/>
          <w:color w:val="111111"/>
          <w:sz w:val="28"/>
          <w:szCs w:val="28"/>
          <w:b w:val="1"/>
          <w:bCs w:val="1"/>
          <w:i w:val="1"/>
          <w:iCs w:val="1"/>
          <w:rtl/>
        </w:rPr>
        <w:t xml:space="preserve">گر ندانی بشنو از من یک به یک را جا و نام / اولش نافع بود دویم بود ابن كثير *** سیمش بو عمر و چارم ابن عامر ای همام ...»ودر در آخر رساله ابیاتی از شاعری با تخلص صدری در رموز اسامی قراء نقل کرده است:« ای که میخواهی بدانی نام قرای کلام</w:t>
      </w:r>
      <w:r>
        <w:rPr>
          <w:rFonts w:ascii="IRNazanin" w:hAnsi="IRNazanin" w:eastAsia="IRNazanin" w:cs="IRNazanin"/>
          <w:lang w:bidi="fa-IR"/>
          <w:color w:val="111111"/>
          <w:sz w:val="28"/>
          <w:szCs w:val="28"/>
          <w:rtl/>
        </w:rPr>
        <w:t xml:space="preserve"> بشنو از من تا بگویم یک به یک را آشکار / وان ابج دهر حطی كلم نصع فسق رست*** یاد گیر این جمله ترکیبات را کاید به کار / حرف اول را از ترکیبات سبع استاد دان *** وان دوی دیگر که میماند از شاگردان شمار / هست الف نافع ز روی رمز و می قالون شناس ***ج رمز ورش باشد و ایما ای هوشیار ...»</w:t>
      </w:r>
    </w:p>
    <w:p>
      <w:pPr>
        <w:pStyle w:val="BookText"/>
      </w:pPr>
      <w:r>
        <w:rPr>
          <w:rFonts w:ascii="IRNazanin" w:hAnsi="IRNazanin" w:eastAsia="IRNazanin" w:cs="IRNazanin"/>
          <w:lang w:bidi="fa-IR"/>
          <w:color w:val="111111"/>
          <w:sz w:val="28"/>
          <w:szCs w:val="28"/>
          <w:rtl/>
        </w:rPr>
        <w:t xml:space="preserve">مشهد؛ رضوی؛ شماره نسخه: 13295/2</w:t>
      </w:r>
    </w:p>
    <w:p>
      <w:pPr>
        <w:pStyle w:val="BookText"/>
      </w:pPr>
      <w:r>
        <w:rPr>
          <w:rFonts w:ascii="IRNazanin" w:hAnsi="IRNazanin" w:eastAsia="IRNazanin" w:cs="IRNazanin"/>
          <w:lang w:bidi="fa-IR"/>
          <w:color w:val="111111"/>
          <w:sz w:val="28"/>
          <w:szCs w:val="28"/>
          <w:rtl/>
        </w:rPr>
        <w:t xml:space="preserve">آغاز ،بسمله حمد بیحد و ثنای بیعد پادشاهی را که از برای هدایت بندگان خود قرآن مجید را فرو فرستاد؛ انجام: س ابولحارث بود آنگاهت دوری شناس گفت صدری با تو یک یک یادگیر و یاددار</w:t>
      </w:r>
    </w:p>
    <w:p>
      <w:pPr>
        <w:pStyle w:val="BookText"/>
      </w:pPr>
      <w:r>
        <w:rPr>
          <w:rFonts w:ascii="IRNazanin" w:hAnsi="IRNazanin" w:eastAsia="IRNazanin" w:cs="IRNazanin"/>
          <w:lang w:bidi="fa-IR"/>
          <w:color w:val="111111"/>
          <w:sz w:val="28"/>
          <w:szCs w:val="28"/>
          <w:rtl/>
        </w:rPr>
        <w:t xml:space="preserve">کا: محمد مقیم همدانی، تا: 17 رمضان1017ق؛ کاغذ: حنایی آهار مهره، جلد: تیماج  خرمایی، 9 گ(12-21)، اندازه: 9</w:t>
      </w:r>
      <w:r>
        <w:rPr>
          <w:rFonts w:ascii="Times New Roman" w:hAnsi="Times New Roman" w:eastAsia="Times New Roman" w:cs="Times New Roman"/>
          <w:lang w:val="en-US" w:bidi="en-US"/>
          <w:color w:val="111111"/>
          <w:sz w:val="28"/>
          <w:szCs w:val="28"/>
          <w:rtl/>
        </w:rPr>
        <w:t xml:space="preserve">×16/5</w:t>
      </w:r>
      <w:r>
        <w:rPr>
          <w:rFonts w:ascii="IRNazanin" w:hAnsi="IRNazanin" w:eastAsia="IRNazanin" w:cs="IRNazanin"/>
          <w:lang w:bidi="fa-IR"/>
          <w:color w:val="111111"/>
          <w:sz w:val="28"/>
          <w:szCs w:val="28"/>
          <w:rtl/>
        </w:rPr>
        <w:t xml:space="preserve">سم [ف: 23 - 16]</w:t>
      </w:r>
    </w:p>
    <w:p>
      <w:pPr>
        <w:pStyle w:val="Heading3"/>
      </w:pPr>
      <w:bookmarkStart w:id="839" w:name="_Toc361"/>
      <w:r>
        <w:t>اسامی قراء با رموز آنها (جدول) / قرائت / عربی، فارسی</w:t>
      </w:r>
      <w:bookmarkEnd w:id="839"/>
    </w:p>
    <w:p>
      <w:pPr>
        <w:pStyle w:val="BookText"/>
      </w:pPr>
      <w:r>
        <w:rPr>
          <w:rFonts w:ascii="Times New Roman" w:hAnsi="Times New Roman" w:eastAsia="Times New Roman" w:cs="Times New Roman"/>
          <w:lang w:val="en-US" w:bidi="en-US"/>
          <w:color w:val="111111"/>
          <w:sz w:val="28"/>
          <w:szCs w:val="28"/>
          <w:rtl/>
        </w:rPr>
        <w:t xml:space="preserve">(asāmī-ye qorrā’ bā romūz-e ānhā (jadval)</w:t>
      </w:r>
    </w:p>
    <w:p>
      <w:pPr>
        <w:pStyle w:val="BookText"/>
      </w:pPr>
      <w:r>
        <w:rPr>
          <w:rFonts w:ascii="IRNazanin" w:hAnsi="IRNazanin" w:eastAsia="IRNazanin" w:cs="IRNazanin"/>
          <w:lang w:bidi="fa-IR"/>
          <w:color w:val="111111"/>
          <w:sz w:val="28"/>
          <w:szCs w:val="28"/>
          <w:rtl/>
        </w:rPr>
        <w:t xml:space="preserve">کا: محمد بن محمود نصير طوسی، تا: قرن ۸؛ كاغذ: ترمه، ۱ص،15 سطر [ ف: 5- 14]</w:t>
      </w:r>
    </w:p>
    <w:p>
      <w:pPr>
        <w:pStyle w:val="Heading3"/>
      </w:pPr>
      <w:bookmarkStart w:id="840" w:name="_Toc362"/>
      <w:r>
        <w:t>اسامی قراء عشره با اسامی روات و ارقام ايشان / قرائت-</w:t>
      </w:r>
      <w:bookmarkEnd w:id="840"/>
    </w:p>
    <w:p>
      <w:pPr>
        <w:pStyle w:val="BookText"/>
      </w:pPr>
      <w:r>
        <w:rPr>
          <w:rFonts w:ascii="Times New Roman" w:hAnsi="Times New Roman" w:eastAsia="Times New Roman" w:cs="Times New Roman"/>
          <w:lang w:val="en-US" w:bidi="en-US"/>
          <w:color w:val="111111"/>
          <w:sz w:val="28"/>
          <w:szCs w:val="28"/>
          <w:rtl/>
        </w:rPr>
        <w:t xml:space="preserve">asāmī-ye qorrā’-e ‘ašare bā asāmī-ye rovāt va arqām-e</w:t>
      </w:r>
    </w:p>
    <w:p>
      <w:pPr>
        <w:pStyle w:val="BookText"/>
      </w:pPr>
      <w:r>
        <w:rPr>
          <w:rFonts w:ascii="Times New Roman" w:hAnsi="Times New Roman" w:eastAsia="Times New Roman" w:cs="Times New Roman"/>
          <w:lang w:val="en-US" w:bidi="en-US"/>
          <w:color w:val="111111"/>
          <w:sz w:val="28"/>
          <w:szCs w:val="28"/>
          <w:rtl/>
        </w:rPr>
        <w:t xml:space="preserve">isan</w:t>
      </w:r>
    </w:p>
    <w:p>
      <w:pPr>
        <w:pStyle w:val="BookText"/>
      </w:pPr>
      <w:r>
        <w:rPr>
          <w:rFonts w:ascii="Times New Roman" w:hAnsi="Times New Roman" w:eastAsia="Times New Roman" w:cs="Times New Roman"/>
          <w:lang w:val="en-US" w:bidi="en-US"/>
          <w:color w:val="111111"/>
          <w:sz w:val="28"/>
          <w:szCs w:val="28"/>
          <w:rtl/>
        </w:rPr>
        <w:t xml:space="preserve">j</w:t>
      </w:r>
      <w:r>
        <w:rPr>
          <w:rFonts w:ascii="IRNazanin" w:hAnsi="IRNazanin" w:eastAsia="IRNazanin" w:cs="IRNazanin"/>
          <w:lang w:bidi="fa-IR"/>
          <w:color w:val="111111"/>
          <w:sz w:val="28"/>
          <w:szCs w:val="28"/>
          <w:rtl/>
        </w:rPr>
        <w:t xml:space="preserve">تهران؛ مجلس ؛ شماره نسخه: 4/ 12155</w:t>
      </w:r>
    </w:p>
    <w:p>
      <w:pPr>
        <w:pStyle w:val="BookText"/>
      </w:pPr>
      <w:r>
        <w:rPr>
          <w:rFonts w:ascii="IRNazanin" w:hAnsi="IRNazanin" w:eastAsia="IRNazanin" w:cs="IRNazanin"/>
          <w:lang w:bidi="fa-IR"/>
          <w:color w:val="111111"/>
          <w:sz w:val="28"/>
          <w:szCs w:val="28"/>
          <w:rtl/>
        </w:rPr>
        <w:t xml:space="preserve">بی كا، بی تا؛ جلد: تيماج قهو ه ای عطف سرخ ، 2ص( 223- 224)، اندازه:12</w:t>
      </w:r>
      <w:r>
        <w:rPr>
          <w:rFonts w:ascii="Times New Roman" w:hAnsi="Times New Roman" w:eastAsia="Times New Roman" w:cs="Times New Roman"/>
          <w:lang w:val="en-US" w:bidi="en-US"/>
          <w:color w:val="111111"/>
          <w:sz w:val="28"/>
          <w:szCs w:val="28"/>
          <w:rtl/>
        </w:rPr>
        <w:t xml:space="preserve">×18/5</w:t>
      </w:r>
      <w:r>
        <w:rPr>
          <w:rFonts w:ascii="IRNazanin" w:hAnsi="IRNazanin" w:eastAsia="IRNazanin" w:cs="IRNazanin"/>
          <w:lang w:bidi="fa-IR"/>
          <w:color w:val="111111"/>
          <w:sz w:val="28"/>
          <w:szCs w:val="28"/>
          <w:rtl/>
        </w:rPr>
        <w:t xml:space="preserve">سم[ ف: 35- 156]</w:t>
      </w:r>
    </w:p>
    <w:p>
      <w:pPr>
        <w:pStyle w:val="Heading3"/>
      </w:pPr>
      <w:bookmarkStart w:id="841" w:name="_Toc363"/>
      <w:r>
        <w:t>اسامی قراء مقدمه ای در / قرائت / فارسی</w:t>
      </w:r>
      <w:bookmarkEnd w:id="841"/>
    </w:p>
    <w:p>
      <w:pPr>
        <w:pStyle w:val="BookText"/>
      </w:pPr>
      <w:r>
        <w:rPr>
          <w:rFonts w:ascii="Times New Roman" w:hAnsi="Times New Roman" w:eastAsia="Times New Roman" w:cs="Times New Roman"/>
          <w:lang w:val="en-US" w:bidi="en-US"/>
          <w:color w:val="111111"/>
          <w:sz w:val="28"/>
          <w:szCs w:val="28"/>
          <w:rtl/>
        </w:rPr>
        <w:t xml:space="preserve">(asāmī-ye qorrā’ (moqaddame-ī dar)</w:t>
      </w:r>
    </w:p>
    <w:p>
      <w:pPr>
        <w:pStyle w:val="BookText"/>
      </w:pPr>
      <w:r>
        <w:rPr>
          <w:rFonts w:ascii="IRNazanin" w:hAnsi="IRNazanin" w:eastAsia="IRNazanin" w:cs="IRNazanin"/>
          <w:lang w:bidi="fa-IR"/>
          <w:color w:val="111111"/>
          <w:sz w:val="28"/>
          <w:szCs w:val="28"/>
          <w:rtl/>
        </w:rPr>
        <w:t xml:space="preserve">مقدمه ای به نحو موجز و مختصر در اسامی قراء عشره و راویان آنها که به اول کتاب ملحق شده است.</w:t>
      </w:r>
    </w:p>
    <w:p>
      <w:pPr>
        <w:pStyle w:val="BookText"/>
      </w:pPr>
      <w:r>
        <w:rPr>
          <w:rFonts w:ascii="IRNazanin" w:hAnsi="IRNazanin" w:eastAsia="IRNazanin" w:cs="IRNazanin"/>
          <w:lang w:bidi="fa-IR"/>
          <w:color w:val="111111"/>
          <w:sz w:val="28"/>
          <w:szCs w:val="28"/>
          <w:rtl/>
        </w:rPr>
        <w:t xml:space="preserve">خوی؛ نمازی؛ شماره نسخه: 710/2</w:t>
      </w:r>
    </w:p>
    <w:p>
      <w:pPr>
        <w:pStyle w:val="BookText"/>
      </w:pPr>
      <w:r>
        <w:rPr>
          <w:rFonts w:ascii="IRNazanin" w:hAnsi="IRNazanin" w:eastAsia="IRNazanin" w:cs="IRNazanin"/>
          <w:lang w:bidi="fa-IR"/>
          <w:color w:val="111111"/>
          <w:sz w:val="28"/>
          <w:szCs w:val="28"/>
          <w:rtl/>
        </w:rPr>
        <w:t xml:space="preserve">خط: نسخ، بی کا، تا: 1253ق؛ 4گ 14 سطر، اندازه: 14</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سم [ف: 383]</w:t>
      </w:r>
    </w:p>
    <w:p>
      <w:pPr>
        <w:pStyle w:val="Heading3"/>
      </w:pPr>
      <w:bookmarkStart w:id="842" w:name="_Toc364"/>
      <w:r>
        <w:t>اسامی قراء و راویان / قرائت / عربی</w:t>
      </w:r>
      <w:bookmarkEnd w:id="842"/>
    </w:p>
    <w:p>
      <w:pPr>
        <w:pStyle w:val="BookText"/>
      </w:pPr>
      <w:r>
        <w:rPr>
          <w:rFonts w:ascii="Times New Roman" w:hAnsi="Times New Roman" w:eastAsia="Times New Roman" w:cs="Times New Roman"/>
          <w:lang w:val="en-US" w:bidi="en-US"/>
          <w:color w:val="111111"/>
          <w:sz w:val="28"/>
          <w:szCs w:val="28"/>
          <w:rtl/>
        </w:rPr>
        <w:t xml:space="preserve">asāmī-ye qorrā' va rāvīyān</w:t>
      </w:r>
    </w:p>
    <w:p>
      <w:pPr>
        <w:pStyle w:val="BookText"/>
      </w:pPr>
      <w:r>
        <w:rPr>
          <w:rFonts w:ascii="IRNazanin" w:hAnsi="IRNazanin" w:eastAsia="IRNazanin" w:cs="IRNazanin"/>
          <w:lang w:bidi="fa-IR"/>
          <w:color w:val="111111"/>
          <w:sz w:val="28"/>
          <w:szCs w:val="28"/>
          <w:rtl/>
        </w:rPr>
        <w:t xml:space="preserve">گروه های مختلف قراء عشره و سبعه و مختاریه و غیر آنها شاید بخشی است از کتابی.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10" w:name="pg20365_260142"/>
    <w:bookmarkEnd w:id="110"/>
    <w:p>
      <w:pPr>
        <w:pStyle w:val="BookText"/>
      </w:pPr>
      <w:r>
        <w:rPr>
          <w:rFonts w:ascii="IRNazanin" w:hAnsi="IRNazanin" w:eastAsia="IRNazanin" w:cs="IRNazanin"/>
          <w:lang w:bidi="fa-IR"/>
          <w:color w:val="111111"/>
          <w:sz w:val="28"/>
          <w:szCs w:val="28"/>
          <w:rtl/>
        </w:rPr>
        <w:t xml:space="preserve">تهران؛ مجلس؛ شماره نسخه: ۵۰۰/۴-ط</w:t>
      </w:r>
    </w:p>
    <w:p>
      <w:pPr>
        <w:pStyle w:val="BookText"/>
      </w:pPr>
      <w:r>
        <w:rPr>
          <w:rFonts w:ascii="IRNazanin" w:hAnsi="IRNazanin" w:eastAsia="IRNazanin" w:cs="IRNazanin"/>
          <w:lang w:bidi="fa-IR"/>
          <w:color w:val="111111"/>
          <w:sz w:val="28"/>
          <w:szCs w:val="28"/>
          <w:rtl/>
        </w:rPr>
        <w:t xml:space="preserve">آغاز: ذکر اسامی قراء و راویان از پنج شهر مکه و مدینه و شام وبصره و کوفه بر طريق غاية تصنيف ابن مهران یازده ،امام، هـفت</w:t>
      </w:r>
    </w:p>
    <w:p>
      <w:pPr>
        <w:pStyle w:val="BookText"/>
      </w:pPr>
      <w:r>
        <w:rPr>
          <w:rFonts w:ascii="IRNazanin" w:hAnsi="IRNazanin" w:eastAsia="IRNazanin" w:cs="IRNazanin"/>
          <w:lang w:bidi="fa-IR"/>
          <w:color w:val="111111"/>
          <w:sz w:val="28"/>
          <w:szCs w:val="28"/>
          <w:rtl/>
        </w:rPr>
        <w:t xml:space="preserve">مختار و چهار اختیار</w:t>
      </w:r>
    </w:p>
    <w:p>
      <w:pPr>
        <w:pStyle w:val="BookText"/>
      </w:pPr>
      <w:r>
        <w:rPr>
          <w:rFonts w:ascii="IRNazanin" w:hAnsi="IRNazanin" w:eastAsia="IRNazanin" w:cs="IRNazanin"/>
          <w:lang w:bidi="fa-IR"/>
          <w:color w:val="111111"/>
          <w:sz w:val="28"/>
          <w:szCs w:val="28"/>
          <w:rtl/>
        </w:rPr>
        <w:t xml:space="preserve">بي كا،  بی تا ؛کاغذ: اصفهانی ،مختلف، جلد: تیماج سرمه ای، ۱گ (۱۱۳ پ -۱۱۴ر)، قطع :رقعی، اندازه: 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۱۷/۵سم :[ف ۲۲ - 188]</w:t>
      </w:r>
    </w:p>
    <w:p>
      <w:pPr>
        <w:pStyle w:val="Heading3"/>
      </w:pPr>
      <w:bookmarkStart w:id="843" w:name="_Toc365"/>
      <w:r>
        <w:t>اسامی قراء و علامات ایشان / قرائت</w:t>
      </w:r>
      <w:bookmarkEnd w:id="843"/>
    </w:p>
    <w:p>
      <w:pPr>
        <w:pStyle w:val="BookText"/>
      </w:pPr>
      <w:r>
        <w:rPr>
          <w:rFonts w:ascii="Times New Roman" w:hAnsi="Times New Roman" w:eastAsia="Times New Roman" w:cs="Times New Roman"/>
          <w:lang w:val="en-US" w:bidi="en-US"/>
          <w:color w:val="111111"/>
          <w:sz w:val="28"/>
          <w:szCs w:val="28"/>
          <w:rtl/>
        </w:rPr>
        <w:t xml:space="preserve">asāmī-ye qorrā’ va ‘alāmāt-e īšān</w:t>
      </w:r>
    </w:p>
    <w:p>
      <w:pPr>
        <w:pStyle w:val="BookText"/>
      </w:pPr>
      <w:r>
        <w:rPr>
          <w:rFonts w:ascii="IRNazanin" w:hAnsi="IRNazanin" w:eastAsia="IRNazanin" w:cs="IRNazanin"/>
          <w:lang w:bidi="fa-IR"/>
          <w:color w:val="111111"/>
          <w:sz w:val="28"/>
          <w:szCs w:val="28"/>
          <w:rtl/>
        </w:rPr>
        <w:t xml:space="preserve">شیراز؛ عینی( دکتر) شماره نسخه: ۱۴/۴</w:t>
      </w:r>
    </w:p>
    <w:p>
      <w:pPr>
        <w:pStyle w:val="BookText"/>
      </w:pPr>
      <w:r>
        <w:rPr>
          <w:rFonts w:ascii="IRNazanin" w:hAnsi="IRNazanin" w:eastAsia="IRNazanin" w:cs="IRNazanin"/>
          <w:lang w:bidi="fa-IR"/>
          <w:color w:val="111111"/>
          <w:sz w:val="28"/>
          <w:szCs w:val="28"/>
          <w:rtl/>
        </w:rPr>
        <w:t xml:space="preserve">كا: محمد بن محمد طاهر گیلانی دربار فروش بی تا [نشریه  : 5- 276]</w:t>
      </w:r>
    </w:p>
    <w:p>
      <w:pPr>
        <w:pStyle w:val="Heading3"/>
      </w:pPr>
      <w:bookmarkStart w:id="844" w:name="_Toc366"/>
      <w:r>
        <w:t>اسامی کسانی که در غزوه بدر حضور داشته اند  / تاریخ اسلام</w:t>
      </w:r>
      <w:bookmarkEnd w:id="844"/>
    </w:p>
    <w:p>
      <w:pPr>
        <w:pStyle w:val="BookText"/>
      </w:pPr>
      <w:r>
        <w:rPr>
          <w:rFonts w:ascii="Times New Roman" w:hAnsi="Times New Roman" w:eastAsia="Times New Roman" w:cs="Times New Roman"/>
          <w:lang w:val="en-US" w:bidi="en-US"/>
          <w:color w:val="111111"/>
          <w:sz w:val="28"/>
          <w:szCs w:val="28"/>
          <w:rtl/>
        </w:rPr>
        <w:t xml:space="preserve">asāmī-ye kasānī ke dar qazve-ye badr hozūr dāšte-and</w:t>
      </w:r>
    </w:p>
    <w:p>
      <w:pPr>
        <w:pStyle w:val="BookText"/>
      </w:pPr>
      <w:r>
        <w:rPr>
          <w:rFonts w:ascii="IRNazanin" w:hAnsi="IRNazanin" w:eastAsia="IRNazanin" w:cs="IRNazanin"/>
          <w:lang w:bidi="fa-IR"/>
          <w:color w:val="111111"/>
          <w:sz w:val="28"/>
          <w:szCs w:val="28"/>
          <w:rtl/>
        </w:rPr>
        <w:t xml:space="preserve">تهران؛ مجلس؛ شماره نسخه: ۱۲۴۵۴/۲</w:t>
      </w:r>
    </w:p>
    <w:p>
      <w:pPr>
        <w:pStyle w:val="BookText"/>
      </w:pPr>
      <w:r>
        <w:rPr>
          <w:rFonts w:ascii="IRNazanin" w:hAnsi="IRNazanin" w:eastAsia="IRNazanin" w:cs="IRNazanin"/>
          <w:lang w:bidi="fa-IR"/>
          <w:color w:val="111111"/>
          <w:sz w:val="28"/>
          <w:szCs w:val="28"/>
          <w:rtl/>
        </w:rPr>
        <w:t xml:space="preserve">خط: ثلث  زیبا، کا: موسی بن  مصطفی، بی تا، مجدول مذهب مرصع محرر؛ جلد: تیماج دورو سوخت ترنج با سر با نقش گل بوته، ۱۳ص(۲۲-۳۴) ۱۳ سطر، اندازه: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35- 408]</w:t>
      </w:r>
    </w:p>
    <w:p>
      <w:pPr>
        <w:pStyle w:val="Heading3"/>
      </w:pPr>
      <w:bookmarkStart w:id="845" w:name="_Toc367"/>
      <w:r>
        <w:t>اسامی کسانیکه نص بر ائمه اثنى عشر عليهم السلام   ذکر نموده اند / تراجم / عربی</w:t>
      </w:r>
      <w:bookmarkEnd w:id="845"/>
    </w:p>
    <w:p>
      <w:pPr>
        <w:pStyle w:val="BookText"/>
      </w:pPr>
      <w:r>
        <w:rPr>
          <w:rFonts w:ascii="Times New Roman" w:hAnsi="Times New Roman" w:eastAsia="Times New Roman" w:cs="Times New Roman"/>
          <w:lang w:val="en-US" w:bidi="en-US"/>
          <w:color w:val="111111"/>
          <w:sz w:val="28"/>
          <w:szCs w:val="28"/>
          <w:rtl/>
        </w:rPr>
        <w:t xml:space="preserve">asāmī-ye kasānī-ke nass bar a’emme-ye esnā ‘ašar</w:t>
      </w:r>
    </w:p>
    <w:p>
      <w:pPr>
        <w:pStyle w:val="BookText"/>
      </w:pPr>
      <w:r>
        <w:rPr>
          <w:rFonts w:ascii="Times New Roman" w:hAnsi="Times New Roman" w:eastAsia="Times New Roman" w:cs="Times New Roman"/>
          <w:lang w:val="en-US" w:bidi="en-US"/>
          <w:color w:val="111111"/>
          <w:sz w:val="28"/>
          <w:szCs w:val="28"/>
          <w:rtl/>
        </w:rPr>
        <w:t xml:space="preserve">alayhem-os-salam zekr nemūde-and</w:t>
      </w:r>
    </w:p>
    <w:p>
      <w:pPr>
        <w:pStyle w:val="BookText"/>
      </w:pPr>
      <w:r>
        <w:rPr>
          <w:rFonts w:ascii="IRNazanin" w:hAnsi="IRNazanin" w:eastAsia="IRNazanin" w:cs="IRNazanin"/>
          <w:lang w:bidi="fa-IR"/>
          <w:color w:val="111111"/>
          <w:sz w:val="28"/>
          <w:szCs w:val="28"/>
          <w:rtl/>
        </w:rPr>
        <w:t xml:space="preserve">این رساله نام مخصوصی ندارد، مؤلف نام اشخاصی را که نص امامت ائمه (صلّی اللَّهِ علیه وَ آلِهِ وَ سَلَّمَ ) نقل کرده اند به طریق حروف معجم  ذکر کرده و گویا از هاشم بن سلیمان بحرانی باشد.</w:t>
      </w:r>
    </w:p>
    <w:p>
      <w:pPr>
        <w:pStyle w:val="BookText"/>
      </w:pPr>
      <w:r>
        <w:rPr>
          <w:rFonts w:ascii="IRNazanin" w:hAnsi="IRNazanin" w:eastAsia="IRNazanin" w:cs="IRNazanin"/>
          <w:lang w:bidi="fa-IR"/>
          <w:color w:val="111111"/>
          <w:sz w:val="28"/>
          <w:szCs w:val="28"/>
          <w:rtl/>
        </w:rPr>
        <w:t xml:space="preserve">همدان؛ مدرسه غرب؛ شماره نسخه: ۱۱۲/۲</w:t>
      </w:r>
    </w:p>
    <w:p>
      <w:pPr>
        <w:pStyle w:val="BookText"/>
      </w:pPr>
      <w:r>
        <w:rPr>
          <w:rFonts w:ascii="IRNazanin" w:hAnsi="IRNazanin" w:eastAsia="IRNazanin" w:cs="IRNazanin"/>
          <w:lang w:bidi="fa-IR"/>
          <w:color w:val="111111"/>
          <w:sz w:val="28"/>
          <w:szCs w:val="28"/>
          <w:rtl/>
        </w:rPr>
        <w:t xml:space="preserve">در خاتمه این رساله حدیثی در نسب عمر بن الخطاب است؛خـط: نسخ، بی کا ،بی تا، جلد: پارچه ۴ ص (۹۰-۹۳)، قطع: رحـلی</w:t>
      </w:r>
    </w:p>
    <w:p>
      <w:pPr>
        <w:pStyle w:val="BookText"/>
      </w:pPr>
      <w:r>
        <w:rPr>
          <w:rFonts w:ascii="IRNazanin" w:hAnsi="IRNazanin" w:eastAsia="IRNazanin" w:cs="IRNazanin"/>
          <w:lang w:bidi="fa-IR"/>
          <w:color w:val="111111"/>
          <w:sz w:val="28"/>
          <w:szCs w:val="28"/>
          <w:rtl/>
        </w:rPr>
        <w:t xml:space="preserve">[رشت و همدان - ف - ۱۳۷۴]</w:t>
      </w:r>
    </w:p>
    <w:p>
      <w:pPr>
        <w:pStyle w:val="Heading3"/>
      </w:pPr>
      <w:bookmarkStart w:id="846" w:name="_Toc368"/>
      <w:r>
        <w:t>اسامی که لفظهای او را جمع کنند / علوم غریبه/ فارسی</w:t>
      </w:r>
      <w:bookmarkEnd w:id="846"/>
    </w:p>
    <w:p>
      <w:pPr>
        <w:pStyle w:val="BookText"/>
      </w:pPr>
      <w:r>
        <w:rPr>
          <w:rFonts w:ascii="Times New Roman" w:hAnsi="Times New Roman" w:eastAsia="Times New Roman" w:cs="Times New Roman"/>
          <w:lang w:val="en-US" w:bidi="en-US"/>
          <w:color w:val="111111"/>
          <w:sz w:val="28"/>
          <w:szCs w:val="28"/>
          <w:rtl/>
        </w:rPr>
        <w:t xml:space="preserve">asāmī ke lafz-hā-ye ū rā jam‘ konand</w:t>
      </w:r>
    </w:p>
    <w:p>
      <w:pPr>
        <w:pStyle w:val="BookText"/>
      </w:pPr>
      <w:r>
        <w:rPr>
          <w:rFonts w:ascii="IRNazanin" w:hAnsi="IRNazanin" w:eastAsia="IRNazanin" w:cs="IRNazanin"/>
          <w:lang w:bidi="fa-IR"/>
          <w:color w:val="111111"/>
          <w:sz w:val="28"/>
          <w:szCs w:val="28"/>
          <w:rtl/>
        </w:rPr>
        <w:t xml:space="preserve">دهقانی، عبدالمطلب بن  ابراهیم، ق ۱۱ قمری</w:t>
      </w:r>
    </w:p>
    <w:p>
      <w:pPr>
        <w:pStyle w:val="BookText"/>
      </w:pPr>
      <w:r>
        <w:rPr>
          <w:rFonts w:ascii="Times New Roman" w:hAnsi="Times New Roman" w:eastAsia="Times New Roman" w:cs="Times New Roman"/>
          <w:lang w:val="en-US" w:bidi="en-US"/>
          <w:color w:val="111111"/>
          <w:sz w:val="28"/>
          <w:szCs w:val="28"/>
          <w:rtl/>
        </w:rPr>
        <w:t xml:space="preserve">(dehqānī, ‘abd-ol-motalleb ebn-e ebrāhīm (- 17c)</w:t>
      </w:r>
    </w:p>
    <w:p>
      <w:pPr>
        <w:pStyle w:val="BookText"/>
      </w:pPr>
      <w:r>
        <w:rPr>
          <w:rFonts w:ascii="Amiri" w:hAnsi="Amiri" w:eastAsia="Amiri" w:cs="Amiri"/>
          <w:lang w:bidi="ar-SA"/>
          <w:color w:val="111111"/>
          <w:sz w:val="28"/>
          <w:szCs w:val="28"/>
          <w:rtl/>
        </w:rPr>
        <w:t xml:space="preserve">تاريخ تأليف: (فوايد ضيا =) ۱۰۱۲ق</w:t>
      </w:r>
    </w:p>
    <w:p>
      <w:pPr>
        <w:pStyle w:val="BookText"/>
      </w:pPr>
      <w:r>
        <w:rPr>
          <w:rFonts w:ascii="IRNazanin" w:hAnsi="IRNazanin" w:eastAsia="IRNazanin" w:cs="IRNazanin"/>
          <w:lang w:bidi="fa-IR"/>
          <w:color w:val="111111"/>
          <w:sz w:val="28"/>
          <w:szCs w:val="28"/>
          <w:rtl/>
        </w:rPr>
        <w:t xml:space="preserve">چگونگی استخراج امور پنهانی از حساب نمودن نام های اشخاص یا چیزهای متفرقه، بدین گونه که مؤلف در مقدمه اش  گوید: «محمد که از او میم و حا و میم و دال موجود شود یافته اند یعنی از خزان حای او تبدیل یافته به لفظ می و میزان شده مراد از او و او است هرگاه لفظ و ه محیط او شود در حالتی  که مغلوب باشد مقصود بحصول پیوندد ».</w:t>
      </w:r>
    </w:p>
    <w:p>
      <w:pPr>
        <w:pStyle w:val="BookText"/>
      </w:pPr>
      <w:r>
        <w:rPr>
          <w:rFonts w:ascii="IRNazanin" w:hAnsi="IRNazanin" w:eastAsia="IRNazanin" w:cs="IRNazanin"/>
          <w:lang w:bidi="fa-IR"/>
          <w:color w:val="111111"/>
          <w:sz w:val="28"/>
          <w:szCs w:val="28"/>
          <w:rtl/>
        </w:rPr>
        <w:t xml:space="preserve">قم ؛مرعشی؛ شماره نسخه: ۱۹۶۲</w:t>
      </w:r>
    </w:p>
    <w:p>
      <w:pPr>
        <w:pStyle w:val="BookText"/>
      </w:pPr>
      <w:r>
        <w:rPr>
          <w:rFonts w:ascii="IRNazanin" w:hAnsi="IRNazanin" w:eastAsia="IRNazanin" w:cs="IRNazanin"/>
          <w:lang w:bidi="fa-IR"/>
          <w:color w:val="111111"/>
          <w:sz w:val="28"/>
          <w:szCs w:val="28"/>
          <w:rtl/>
        </w:rPr>
        <w:t xml:space="preserve">آغاز: الحمد لله رب العالمین ... اما بعد این رساله ای است شریفه و مقاله ای لطیفه که عبد المطلب ؛انجام: هر نسخه که ارباب ذکا بنوشته *** از بهر بتان دل ربا بنوشته / چون کلک ضیا بنوشته این فایدها *** تاریخ فوائد ضیا بنوشته</w:t>
      </w:r>
    </w:p>
    <w:p>
      <w:pPr>
        <w:pStyle w:val="BookText"/>
      </w:pPr>
      <w:r>
        <w:rPr>
          <w:rFonts w:ascii="IRNazanin" w:hAnsi="IRNazanin" w:eastAsia="IRNazanin" w:cs="IRNazanin"/>
          <w:lang w:bidi="fa-IR"/>
          <w:color w:val="111111"/>
          <w:sz w:val="28"/>
          <w:szCs w:val="28"/>
          <w:rtl/>
        </w:rPr>
        <w:t xml:space="preserve">خط: نستعليق، كا: حسین بن شریف  بیکی، تا: پنج شنبه جمادی الاول ۹۸۳ق (بنابر آنچه در پایان نسخه آمده و با تاریخ تألیف درست نمی یاید)؛ جلد: مقوایی عطف تیماج قهوه ای، ۱۱گ، ۱۳ سطر،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۵ - ۳۳۳]</w:t>
      </w:r>
    </w:p>
    <w:p>
      <w:pPr>
        <w:pStyle w:val="Heading3"/>
      </w:pPr>
      <w:bookmarkStart w:id="847" w:name="_Toc369"/>
      <w:r>
        <w:t>اسامی گوشه های علم موسیقی / موسیقی / فارسی</w:t>
      </w:r>
      <w:bookmarkEnd w:id="847"/>
    </w:p>
    <w:p>
      <w:pPr>
        <w:pStyle w:val="BookText"/>
      </w:pPr>
      <w:r>
        <w:rPr>
          <w:rFonts w:ascii="Times New Roman" w:hAnsi="Times New Roman" w:eastAsia="Times New Roman" w:cs="Times New Roman"/>
          <w:lang w:val="en-US" w:bidi="en-US"/>
          <w:color w:val="111111"/>
          <w:sz w:val="28"/>
          <w:szCs w:val="28"/>
          <w:rtl/>
        </w:rPr>
        <w:t xml:space="preserve">asāmī-ye gūše-ha-ye ‘elm-e mūsīqi</w:t>
      </w:r>
    </w:p>
    <w:p>
      <w:pPr>
        <w:pStyle w:val="BookText"/>
      </w:pPr>
      <w:r>
        <w:rPr>
          <w:rFonts w:ascii="IRNazanin" w:hAnsi="IRNazanin" w:eastAsia="IRNazanin" w:cs="IRNazanin"/>
          <w:lang w:bidi="fa-IR"/>
          <w:color w:val="111111"/>
          <w:sz w:val="28"/>
          <w:szCs w:val="28"/>
          <w:rtl/>
        </w:rPr>
        <w:t xml:space="preserve">رساله کوتاهی است در شمارش گوشه های علم موسیقی که ناتمام مانده و فقط اسم ۳۹ مقام در آن آمده است.</w:t>
      </w:r>
    </w:p>
    <w:p>
      <w:pPr>
        <w:pStyle w:val="BookText"/>
      </w:pPr>
      <w:r>
        <w:rPr>
          <w:rFonts w:ascii="IRNazanin" w:hAnsi="IRNazanin" w:eastAsia="IRNazanin" w:cs="IRNazanin"/>
          <w:lang w:bidi="fa-IR"/>
          <w:color w:val="111111"/>
          <w:sz w:val="28"/>
          <w:szCs w:val="28"/>
          <w:rtl/>
        </w:rPr>
        <w:t xml:space="preserve">تهران؛ مجلس؛ شماره نسخه: ۸۸۵۸/۳</w:t>
      </w:r>
    </w:p>
    <w:p>
      <w:pPr>
        <w:pStyle w:val="BookText"/>
      </w:pPr>
      <w:r>
        <w:rPr>
          <w:rFonts w:ascii="IRNazanin" w:hAnsi="IRNazanin" w:eastAsia="IRNazanin" w:cs="IRNazanin"/>
          <w:lang w:bidi="fa-IR"/>
          <w:color w:val="111111"/>
          <w:sz w:val="28"/>
          <w:szCs w:val="28"/>
          <w:rtl/>
        </w:rPr>
        <w:t xml:space="preserve">آغاز: اسامی گوشه ها در علم موسیقی چهل و هشت است. اول ذوالخمس میانه پنج گانه و کرانیه دوم شهابی در پستی ایکیات؛ انجام: سی و هشتم ضبرای میانه چهارگاه. غزال. سی و نهم: کاروان میانه عراق.</w:t>
      </w:r>
    </w:p>
    <w:p>
      <w:pPr>
        <w:pStyle w:val="BookText"/>
      </w:pPr>
      <w:r>
        <w:rPr>
          <w:rFonts w:ascii="IRNazanin" w:hAnsi="IRNazanin" w:eastAsia="IRNazanin" w:cs="IRNazanin"/>
          <w:lang w:bidi="fa-IR"/>
          <w:color w:val="111111"/>
          <w:sz w:val="28"/>
          <w:szCs w:val="28"/>
          <w:rtl/>
        </w:rPr>
        <w:t xml:space="preserve">خط: نسخ خوش ،بی کا، تا: ۱۳۰۲ق؛ کاغذ: فرنگی حنایی آهار مهره با ته نقش: (اثر جدید عهد هم» جلد: تیماج زیتونی مجدول ۲ گ(۲۹ پ -۳۰ر) ۱۵ سطر (7</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1/ 29- 157]</w:t>
      </w:r>
    </w:p>
    <w:p>
      <w:pPr>
        <w:pStyle w:val="Heading3"/>
      </w:pPr>
      <w:bookmarkStart w:id="848" w:name="_Toc370"/>
      <w:r>
        <w:t>اسامی گیاهان به زبان آرامی / کشاورزی</w:t>
      </w:r>
      <w:bookmarkEnd w:id="848"/>
    </w:p>
    <w:p>
      <w:pPr>
        <w:pStyle w:val="BookText"/>
      </w:pPr>
      <w:r>
        <w:rPr>
          <w:rFonts w:ascii="Times New Roman" w:hAnsi="Times New Roman" w:eastAsia="Times New Roman" w:cs="Times New Roman"/>
          <w:lang w:val="en-US" w:bidi="en-US"/>
          <w:color w:val="111111"/>
          <w:sz w:val="28"/>
          <w:szCs w:val="28"/>
          <w:rtl/>
        </w:rPr>
        <w:t xml:space="preserve">asāmī-ye gīyāhān be zaban-e ārāmī</w:t>
      </w:r>
    </w:p>
    <w:p>
      <w:pPr>
        <w:pStyle w:val="BookText"/>
      </w:pPr>
      <w:r>
        <w:rPr>
          <w:rFonts w:ascii="IRNazanin" w:hAnsi="IRNazanin" w:eastAsia="IRNazanin" w:cs="IRNazanin"/>
          <w:lang w:bidi="fa-IR"/>
          <w:color w:val="111111"/>
          <w:sz w:val="28"/>
          <w:szCs w:val="28"/>
          <w:rtl/>
        </w:rPr>
        <w:t xml:space="preserve">تهران؛ دانشگاه؛ شماره نسخه: ف ۱۶۱۹ و ف ۱۶۲۰ و ۷۱۶۹-عکس</w:t>
      </w:r>
    </w:p>
    <w:p>
      <w:pPr>
        <w:pStyle w:val="BookText"/>
      </w:pPr>
      <w:r>
        <w:rPr>
          <w:rFonts w:ascii="IRNazanin" w:hAnsi="IRNazanin" w:eastAsia="IRNazanin" w:cs="IRNazanin"/>
          <w:lang w:bidi="fa-IR"/>
          <w:color w:val="111111"/>
          <w:sz w:val="28"/>
          <w:szCs w:val="28"/>
          <w:rtl/>
        </w:rPr>
        <w:t xml:space="preserve">از فرانکل (</w:t>
      </w:r>
      <w:r>
        <w:rPr>
          <w:rFonts w:ascii="Times New Roman" w:hAnsi="Times New Roman" w:eastAsia="Times New Roman" w:cs="Times New Roman"/>
          <w:lang w:val="en-US" w:bidi="en-US"/>
          <w:color w:val="111111"/>
          <w:sz w:val="28"/>
          <w:szCs w:val="28"/>
          <w:rtl/>
        </w:rPr>
        <w:t xml:space="preserve">Aramaische Pflannzennamen, von Frankel)</w:t>
      </w:r>
      <w:r>
        <w:rPr>
          <w:rFonts w:ascii="IRNazanin" w:hAnsi="IRNazanin" w:eastAsia="IRNazanin" w:cs="IRNazanin"/>
          <w:lang w:bidi="fa-IR"/>
          <w:color w:val="111111"/>
          <w:sz w:val="28"/>
          <w:szCs w:val="28"/>
          <w:rtl/>
        </w:rPr>
        <w:t xml:space="preserve">؛  -  بی کا؛ بی تا، [فیلم ها-ف: ۲-۸ و ۳ - ۲۷۹]</w:t>
      </w:r>
    </w:p>
    <w:p>
      <w:pPr>
        <w:pStyle w:val="Heading3"/>
      </w:pPr>
      <w:bookmarkStart w:id="849" w:name="_Toc371"/>
      <w:r>
        <w:t>اسامی ماههای رومی و فارسی و عربی / هیئت /  فارسی</w:t>
      </w:r>
      <w:bookmarkEnd w:id="849"/>
    </w:p>
    <w:p>
      <w:pPr>
        <w:pStyle w:val="BookText"/>
      </w:pPr>
      <w:r>
        <w:rPr>
          <w:rFonts w:ascii="Times New Roman" w:hAnsi="Times New Roman" w:eastAsia="Times New Roman" w:cs="Times New Roman"/>
          <w:lang w:val="en-US" w:bidi="en-US"/>
          <w:color w:val="111111"/>
          <w:sz w:val="28"/>
          <w:szCs w:val="28"/>
          <w:rtl/>
        </w:rPr>
        <w:t xml:space="preserve">asāmī-ye māh-ha-ye rūmī va fārsī va ‘arabī</w:t>
      </w:r>
    </w:p>
    <w:p>
      <w:pPr>
        <w:pStyle w:val="BookText"/>
      </w:pPr>
      <w:r>
        <w:rPr>
          <w:rFonts w:ascii="IRNazanin" w:hAnsi="IRNazanin" w:eastAsia="IRNazanin" w:cs="IRNazanin"/>
          <w:lang w:bidi="fa-IR"/>
          <w:color w:val="111111"/>
          <w:sz w:val="28"/>
          <w:szCs w:val="28"/>
          <w:rtl/>
        </w:rPr>
        <w:t xml:space="preserve">مشهد؛ الهیات شماره نسخه: ۵۰۰/۱۳</w:t>
      </w:r>
    </w:p>
    <w:p>
      <w:pPr>
        <w:pStyle w:val="BookText"/>
      </w:pPr>
      <w:r>
        <w:rPr>
          <w:rFonts w:ascii="IRNazanin" w:hAnsi="IRNazanin" w:eastAsia="IRNazanin" w:cs="IRNazanin"/>
          <w:lang w:bidi="fa-IR"/>
          <w:color w:val="111111"/>
          <w:sz w:val="28"/>
          <w:szCs w:val="28"/>
          <w:rtl/>
        </w:rPr>
        <w:t xml:space="preserve">منظوم؛ خط: نستعليق، كا: عبدالصمد محلاتی، تا: ۱۲۸۱ -۶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11" w:name="pg20365_260143"/>
    <w:bookmarkEnd w:id="111"/>
    <w:p>
      <w:pPr>
        <w:pStyle w:val="BookText"/>
      </w:pPr>
      <w:r>
        <w:rPr>
          <w:rFonts w:ascii="IRNazanin" w:hAnsi="IRNazanin" w:eastAsia="IRNazanin" w:cs="IRNazanin"/>
          <w:lang w:bidi="fa-IR"/>
          <w:color w:val="111111"/>
          <w:sz w:val="28"/>
          <w:szCs w:val="28"/>
          <w:rtl/>
        </w:rPr>
        <w:t xml:space="preserve">جمادى الثانى ،۱۲۸۳ :جا ،اصفهان مدرسه میرزا مهدی؛ تملک: «كاتبه وصاحبه ومالكه عبدالصمد بن حسينى المحلاتي فی  شهر شوال المكرم ۱۲۹۵ »؛کاغذ ،سپاهانی ،جلد ،مقوا ،۲گ قـطع ،خشتی،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۱ - ۵۰۶]</w:t>
      </w:r>
    </w:p>
    <w:p>
      <w:pPr>
        <w:pStyle w:val="Heading3"/>
      </w:pPr>
      <w:bookmarkStart w:id="850" w:name="_Toc372"/>
      <w:r>
        <w:t>اسامی مزینه / تراجم / فارسی</w:t>
      </w:r>
      <w:bookmarkEnd w:id="850"/>
    </w:p>
    <w:p>
      <w:pPr>
        <w:pStyle w:val="BookText"/>
      </w:pPr>
      <w:r>
        <w:rPr>
          <w:rFonts w:ascii="Times New Roman" w:hAnsi="Times New Roman" w:eastAsia="Times New Roman" w:cs="Times New Roman"/>
          <w:lang w:val="en-US" w:bidi="en-US"/>
          <w:color w:val="111111"/>
          <w:sz w:val="28"/>
          <w:szCs w:val="28"/>
          <w:rtl/>
        </w:rPr>
        <w:t xml:space="preserve">asāmī-ye mozayyane</w:t>
      </w:r>
    </w:p>
    <w:p>
      <w:pPr>
        <w:pStyle w:val="BookText"/>
      </w:pPr>
      <w:r>
        <w:rPr>
          <w:rFonts w:ascii="IRNazanin" w:hAnsi="IRNazanin" w:eastAsia="IRNazanin" w:cs="IRNazanin"/>
          <w:lang w:bidi="fa-IR"/>
          <w:color w:val="111111"/>
          <w:sz w:val="28"/>
          <w:szCs w:val="28"/>
          <w:rtl/>
        </w:rPr>
        <w:t xml:space="preserve">زنجانی، احمد بن عنایت الله ،۱۳۰۸ - ۱۳۹۳ قمری</w:t>
      </w:r>
    </w:p>
    <w:p>
      <w:pPr>
        <w:pStyle w:val="BookText"/>
      </w:pPr>
      <w:r>
        <w:rPr>
          <w:rFonts w:ascii="Times New Roman" w:hAnsi="Times New Roman" w:eastAsia="Times New Roman" w:cs="Times New Roman"/>
          <w:lang w:val="en-US" w:bidi="en-US"/>
          <w:color w:val="111111"/>
          <w:sz w:val="28"/>
          <w:szCs w:val="28"/>
          <w:rtl/>
        </w:rPr>
        <w:t xml:space="preserve">(zanjānī, ahmad ebn-e ‘enāyat-ol-lāh (1891 - 1973)</w:t>
      </w:r>
    </w:p>
    <w:p>
      <w:pPr>
        <w:pStyle w:val="BookText"/>
      </w:pPr>
      <w:r>
        <w:rPr>
          <w:rFonts w:ascii="IRNazanin" w:hAnsi="IRNazanin" w:eastAsia="IRNazanin" w:cs="IRNazanin"/>
          <w:lang w:bidi="fa-IR"/>
          <w:color w:val="111111"/>
          <w:sz w:val="28"/>
          <w:szCs w:val="28"/>
          <w:rtl/>
        </w:rPr>
        <w:t xml:space="preserve">در این رساله نام های مرکبی را که با یکی از دو نام «علی» و«حسین» ترکیب شده و آن را در کتاب ها دیده و یا از زباد  ها شنیده آورده است و در پایان به اجمال سرگذشت و آثار گروهی از دانشمندان را که نام مرکب داشته اند ضمیمه کرده است شامل: نام های مرکب با «علی» جز القاب دارويش ( 410  نام) به ترتیب الفباء؛ نام های مرکب با «حسین) به ترتیب الفبا (79 نام)؛ سرگذشت و آثار دانشمندانی که نام های مرکب با «علـی» داشته اند (۲۲۷نام)؛ سرگذشت و آثار دانشمندانی که نام های مرکب با «حسین» داشته اند (۹۰ نام)</w:t>
      </w:r>
    </w:p>
    <w:p>
      <w:pPr>
        <w:pStyle w:val="BookText"/>
      </w:pPr>
      <w:r>
        <w:rPr>
          <w:rFonts w:ascii="IRNazanin" w:hAnsi="IRNazanin" w:eastAsia="IRNazanin" w:cs="IRNazanin"/>
          <w:lang w:bidi="fa-IR"/>
          <w:color w:val="111111"/>
          <w:sz w:val="28"/>
          <w:szCs w:val="28"/>
          <w:rtl/>
        </w:rPr>
        <w:t xml:space="preserve">آغاز: بسمله بعد الحمد و الصلاة مولى اميرالمومنين على (علیه السّلام) شیعیان حضرتش در اثر کثرت محبت و چشم امید به شفاعت آن بزرگوار که دارند غالبا نام علی را جزو نام های خود قـرار می دهند</w:t>
      </w:r>
    </w:p>
    <w:p>
      <w:pPr>
        <w:pStyle w:val="BookText"/>
      </w:pPr>
      <w:r>
        <w:rPr>
          <w:rFonts w:ascii="IRNazanin" w:hAnsi="IRNazanin" w:eastAsia="IRNazanin" w:cs="IRNazanin"/>
          <w:lang w:bidi="fa-IR"/>
          <w:color w:val="111111"/>
          <w:sz w:val="28"/>
          <w:szCs w:val="28"/>
          <w:rtl/>
        </w:rPr>
        <w:t xml:space="preserve">انجام: ایضاح: کتابهائی که در هند تالیف شده بسیاری از آنهـا به زبان «اردو»ست و کمی به زبان گجرات است به زبان فارسی زیاد است.</w:t>
      </w:r>
    </w:p>
    <w:p>
      <w:pPr>
        <w:pStyle w:val="BookText"/>
      </w:pPr>
      <w:r>
        <w:rPr>
          <w:rFonts w:ascii="IRNazanin" w:hAnsi="IRNazanin" w:eastAsia="IRNazanin" w:cs="IRNazanin"/>
          <w:lang w:bidi="fa-IR"/>
          <w:color w:val="111111"/>
          <w:sz w:val="28"/>
          <w:szCs w:val="28"/>
          <w:rtl/>
        </w:rPr>
        <w:t xml:space="preserve">چاپ: به کوشش عبدالحسین جواهر کلام، میراث اسلامی ایران، دفتر چهارم، صص ۶۹۲-۶۵۷</w:t>
      </w:r>
    </w:p>
    <w:p>
      <w:pPr>
        <w:pStyle w:val="BookText"/>
      </w:pPr>
      <w:r>
        <w:rPr>
          <w:rFonts w:ascii="IRNazanin" w:hAnsi="IRNazanin" w:eastAsia="IRNazanin" w:cs="IRNazanin"/>
          <w:lang w:bidi="fa-IR"/>
          <w:color w:val="111111"/>
          <w:sz w:val="28"/>
          <w:szCs w:val="28"/>
          <w:rtl/>
        </w:rPr>
        <w:t xml:space="preserve">۱. قم؛ زنجانی (آیة الله)؛ شماره نسخه:۱۴۰</w:t>
      </w:r>
    </w:p>
    <w:p>
      <w:pPr>
        <w:pStyle w:val="BookText"/>
      </w:pPr>
      <w:r>
        <w:rPr>
          <w:rFonts w:ascii="IRNazanin" w:hAnsi="IRNazanin" w:eastAsia="IRNazanin" w:cs="IRNazanin"/>
          <w:lang w:bidi="fa-IR"/>
          <w:color w:val="111111"/>
          <w:sz w:val="28"/>
          <w:szCs w:val="28"/>
          <w:rtl/>
        </w:rPr>
        <w:t xml:space="preserve">آغاز: بسمله بعد الحمد و الصلاة مولی امیرالمومنین علی(علیه السّلام) شیعیان حضرتش در اثر کثرت محبت و چشم امید به شفاعت بزرگوار که دارند غالبا نام علی را جزونام های خود قرار میدهـند مسوده آن به خط مؤلف؛ کاتب - مؤلف، بی تا؛ ۱۷گ،  قطع: ربعی [چند نسخه -ف: - ۲۴۸]</w:t>
      </w:r>
    </w:p>
    <w:p>
      <w:pPr>
        <w:pStyle w:val="BookText"/>
      </w:pPr>
      <w:r>
        <w:rPr>
          <w:rFonts w:ascii="IRNazanin" w:hAnsi="IRNazanin" w:eastAsia="IRNazanin" w:cs="IRNazanin"/>
          <w:lang w:bidi="fa-IR"/>
          <w:color w:val="111111"/>
          <w:sz w:val="28"/>
          <w:szCs w:val="28"/>
          <w:rtl/>
        </w:rPr>
        <w:t xml:space="preserve">قم؛ مرعشی؛ شماره نسخه: ۱۶۲۶/۱</w:t>
      </w:r>
    </w:p>
    <w:p>
      <w:pPr>
        <w:pStyle w:val="BookText"/>
      </w:pPr>
      <w:r>
        <w:rPr>
          <w:rFonts w:ascii="IRNazanin" w:hAnsi="IRNazanin" w:eastAsia="IRNazanin" w:cs="IRNazanin"/>
          <w:lang w:bidi="fa-IR"/>
          <w:color w:val="111111"/>
          <w:sz w:val="28"/>
          <w:szCs w:val="28"/>
          <w:rtl/>
        </w:rPr>
        <w:t xml:space="preserve">نسخه اصل: همان نسخه بالا [عکسی ف: ۵ - ۳۸]</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قم؛ زنجانی (آیة الله) شماره نسخه: ۱۴۱/۱</w:t>
      </w:r>
    </w:p>
    <w:p>
      <w:pPr>
        <w:pStyle w:val="BookText"/>
      </w:pPr>
      <w:r>
        <w:rPr>
          <w:rFonts w:ascii="IRNazanin" w:hAnsi="IRNazanin" w:eastAsia="IRNazanin" w:cs="IRNazanin"/>
          <w:lang w:bidi="fa-IR"/>
          <w:color w:val="111111"/>
          <w:sz w:val="28"/>
          <w:szCs w:val="28"/>
          <w:rtl/>
        </w:rPr>
        <w:t xml:space="preserve">مبیضه آن به خط مؤلف؛ خط: نسخ و نستعليق، كاتب - مؤلف، قـرن ۱۴؛۲۶گ (۱پ-۲۷ر ) ، ۱۹ سطر، قطع: ربعی [ چند نسخه - ف 249]</w:t>
      </w:r>
    </w:p>
    <w:p>
      <w:pPr>
        <w:pStyle w:val="BookText"/>
      </w:pPr>
      <w:r>
        <w:rPr>
          <w:rFonts w:ascii="IRNazanin" w:hAnsi="IRNazanin" w:eastAsia="IRNazanin" w:cs="IRNazanin"/>
          <w:lang w:bidi="fa-IR"/>
          <w:color w:val="111111"/>
          <w:sz w:val="28"/>
          <w:szCs w:val="28"/>
          <w:rtl/>
        </w:rPr>
        <w:t xml:space="preserve">قم؛ مرعشی؛ شماره نسخه: ۱۶۲۶/۳</w:t>
      </w:r>
    </w:p>
    <w:p>
      <w:pPr>
        <w:pStyle w:val="BookText"/>
      </w:pPr>
      <w:r>
        <w:rPr>
          <w:rFonts w:ascii="IRNazanin" w:hAnsi="IRNazanin" w:eastAsia="IRNazanin" w:cs="IRNazanin"/>
          <w:lang w:bidi="fa-IR"/>
          <w:color w:val="111111"/>
          <w:sz w:val="28"/>
          <w:szCs w:val="28"/>
          <w:rtl/>
        </w:rPr>
        <w:t xml:space="preserve">نسخه اصل: همان نسخه بالا [عکسی ف: ۵ - ۳۹]</w:t>
      </w:r>
    </w:p>
    <w:p>
      <w:pPr>
        <w:pStyle w:val="Heading3"/>
      </w:pPr>
      <w:bookmarkStart w:id="851" w:name="_Toc373"/>
      <w:r>
        <w:t>اسامی مشترکین روزنامه فرهنگ / اسناد / فارسی</w:t>
      </w:r>
      <w:bookmarkEnd w:id="851"/>
    </w:p>
    <w:p>
      <w:pPr>
        <w:pStyle w:val="BookText"/>
      </w:pPr>
      <w:r>
        <w:rPr>
          <w:rFonts w:ascii="Times New Roman" w:hAnsi="Times New Roman" w:eastAsia="Times New Roman" w:cs="Times New Roman"/>
          <w:lang w:val="en-US" w:bidi="en-US"/>
          <w:color w:val="111111"/>
          <w:sz w:val="28"/>
          <w:szCs w:val="28"/>
          <w:rtl/>
        </w:rPr>
        <w:t xml:space="preserve">asāmī-ye moštarakīn-e rūznāme-ye farhang</w:t>
      </w:r>
    </w:p>
    <w:p>
      <w:pPr>
        <w:pStyle w:val="BookText"/>
      </w:pPr>
      <w:r>
        <w:rPr>
          <w:rFonts w:ascii="IRNazanin" w:hAnsi="IRNazanin" w:eastAsia="IRNazanin" w:cs="IRNazanin"/>
          <w:lang w:bidi="fa-IR"/>
          <w:color w:val="111111"/>
          <w:sz w:val="28"/>
          <w:szCs w:val="28"/>
          <w:rtl/>
        </w:rPr>
        <w:t xml:space="preserve">کتابچه اسامی مشترکین روزنامه فرهنگ در سال ۱۳۰۶ اعداد به  سیاق است.</w:t>
      </w:r>
    </w:p>
    <w:p>
      <w:pPr>
        <w:pStyle w:val="BookText"/>
      </w:pPr>
      <w:r>
        <w:rPr>
          <w:rFonts w:ascii="IRNazanin" w:hAnsi="IRNazanin" w:eastAsia="IRNazanin" w:cs="IRNazanin"/>
          <w:lang w:bidi="fa-IR"/>
          <w:color w:val="111111"/>
          <w:sz w:val="28"/>
          <w:szCs w:val="28"/>
          <w:rtl/>
        </w:rPr>
        <w:t xml:space="preserve">۱. تهران؛ مجلس؛ شماره نسخه: ۱۰۰۱</w:t>
      </w:r>
    </w:p>
    <w:p>
      <w:pPr>
        <w:pStyle w:val="BookText"/>
      </w:pPr>
      <w:r>
        <w:rPr>
          <w:rFonts w:ascii="IRNazanin" w:hAnsi="IRNazanin" w:eastAsia="IRNazanin" w:cs="IRNazanin"/>
          <w:lang w:bidi="fa-IR"/>
          <w:color w:val="111111"/>
          <w:sz w:val="28"/>
          <w:szCs w:val="28"/>
          <w:rtl/>
        </w:rPr>
        <w:t xml:space="preserve">خط: نستعلیق، بی کا، تا: قرن ۱۴ ؛کاغذ: سفید، جلد: گالینگور، ۳۶گ، اندازه متن: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[سنا - ف: ۲ - ۱۰۳]</w:t>
      </w:r>
    </w:p>
    <w:p>
      <w:pPr>
        <w:pStyle w:val="BookText"/>
      </w:pPr>
      <w:r>
        <w:rPr>
          <w:rFonts w:ascii="IRNazanin" w:hAnsi="IRNazanin" w:eastAsia="IRNazanin" w:cs="IRNazanin"/>
          <w:lang w:bidi="fa-IR"/>
          <w:color w:val="111111"/>
          <w:sz w:val="28"/>
          <w:szCs w:val="28"/>
          <w:rtl/>
        </w:rPr>
        <w:t xml:space="preserve">۲. تهران؛ مجلس؛ شماره نسخه: ۱۰۰۲</w:t>
      </w:r>
    </w:p>
    <w:p>
      <w:pPr>
        <w:pStyle w:val="BookText"/>
      </w:pPr>
      <w:r>
        <w:rPr>
          <w:rFonts w:ascii="IRNazanin" w:hAnsi="IRNazanin" w:eastAsia="IRNazanin" w:cs="IRNazanin"/>
          <w:lang w:bidi="fa-IR"/>
          <w:color w:val="111111"/>
          <w:sz w:val="28"/>
          <w:szCs w:val="28"/>
          <w:rtl/>
        </w:rPr>
        <w:t xml:space="preserve">خط: نستعلیق، بی  کا، تا: قرن ۱۴ ؛کاغذ: سفید، جلد: گالینگور، ۱۳گ، اندازه متن: 8</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اندازه» ۱۵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[سنا - ف: ۲ - ۱۰۳]</w:t>
      </w:r>
    </w:p>
    <w:p>
      <w:pPr>
        <w:pStyle w:val="Heading3"/>
      </w:pPr>
      <w:bookmarkStart w:id="852" w:name="_Toc374"/>
      <w:r>
        <w:t>اسامی مصدقين / كيميا / فارسی</w:t>
      </w:r>
      <w:bookmarkEnd w:id="852"/>
    </w:p>
    <w:p>
      <w:pPr>
        <w:pStyle w:val="BookText"/>
      </w:pPr>
      <w:r>
        <w:rPr>
          <w:rFonts w:ascii="Times New Roman" w:hAnsi="Times New Roman" w:eastAsia="Times New Roman" w:cs="Times New Roman"/>
          <w:lang w:val="en-US" w:bidi="en-US"/>
          <w:color w:val="111111"/>
          <w:sz w:val="28"/>
          <w:szCs w:val="28"/>
          <w:rtl/>
        </w:rPr>
        <w:t xml:space="preserve">asāmī-ye mosaddeqīn</w:t>
      </w:r>
    </w:p>
    <w:p>
      <w:pPr>
        <w:pStyle w:val="BookText"/>
      </w:pPr>
      <w:r>
        <w:rPr>
          <w:rFonts w:ascii="IRNazanin" w:hAnsi="IRNazanin" w:eastAsia="IRNazanin" w:cs="IRNazanin"/>
          <w:lang w:bidi="fa-IR"/>
          <w:color w:val="111111"/>
          <w:sz w:val="28"/>
          <w:szCs w:val="28"/>
          <w:rtl/>
        </w:rPr>
        <w:t xml:space="preserve">سید قاسم مجتهد</w:t>
      </w:r>
    </w:p>
    <w:p>
      <w:pPr>
        <w:pStyle w:val="BookText"/>
      </w:pPr>
      <w:r>
        <w:rPr>
          <w:rFonts w:ascii="Times New Roman" w:hAnsi="Times New Roman" w:eastAsia="Times New Roman" w:cs="Times New Roman"/>
          <w:lang w:val="en-US" w:bidi="en-US"/>
          <w:color w:val="111111"/>
          <w:sz w:val="28"/>
          <w:szCs w:val="28"/>
          <w:rtl/>
        </w:rPr>
        <w:t xml:space="preserve">seyyed qāsem-e mojtahed</w:t>
      </w:r>
    </w:p>
    <w:p>
      <w:pPr>
        <w:pStyle w:val="BookText"/>
      </w:pPr>
      <w:r>
        <w:rPr>
          <w:rFonts w:ascii="IRNazanin" w:hAnsi="IRNazanin" w:eastAsia="IRNazanin" w:cs="IRNazanin"/>
          <w:lang w:bidi="fa-IR"/>
          <w:color w:val="111111"/>
          <w:sz w:val="28"/>
          <w:szCs w:val="28"/>
          <w:rtl/>
        </w:rPr>
        <w:t xml:space="preserve">تهران؛ دانشگاه؛ شماره نسخه: ۷۷۸۹/۱۲</w:t>
      </w:r>
    </w:p>
    <w:p>
      <w:pPr>
        <w:pStyle w:val="BookText"/>
      </w:pPr>
      <w:r>
        <w:rPr>
          <w:rFonts w:ascii="IRNazanin" w:hAnsi="IRNazanin" w:eastAsia="IRNazanin" w:cs="IRNazanin"/>
          <w:lang w:bidi="fa-IR"/>
          <w:color w:val="111111"/>
          <w:sz w:val="28"/>
          <w:szCs w:val="28"/>
          <w:rtl/>
        </w:rPr>
        <w:t xml:space="preserve">خط: نستعلیق  هندی، کا: ابوالشرف سید عیسی حاجی میان، تا: ۲۵ ذیقعده ۱۳۴۳ق، جا: حیدر آباد دکن، محله چنچل کوره؛ کاغذ: هندی، جلد: مقوا، ۲۱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 قطع: رحلی،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۳۲سم [ف ۱۶ - ۶۹۹]</w:t>
      </w:r>
    </w:p>
    <w:p>
      <w:pPr>
        <w:pStyle w:val="Heading3"/>
      </w:pPr>
      <w:bookmarkStart w:id="853" w:name="_Toc375"/>
      <w:r>
        <w:t>اسامی مؤنثی که علامت تانیث ندارند / ادبیات / عربی</w:t>
      </w:r>
      <w:bookmarkEnd w:id="853"/>
    </w:p>
    <w:p>
      <w:pPr>
        <w:pStyle w:val="BookText"/>
      </w:pPr>
      <w:r>
        <w:rPr>
          <w:rFonts w:ascii="Times New Roman" w:hAnsi="Times New Roman" w:eastAsia="Times New Roman" w:cs="Times New Roman"/>
          <w:lang w:val="en-US" w:bidi="en-US"/>
          <w:color w:val="111111"/>
          <w:sz w:val="28"/>
          <w:szCs w:val="28"/>
          <w:rtl/>
        </w:rPr>
        <w:t xml:space="preserve">asāmī-ye mo❜annasī ke ‘alāmat-e ta'nīs nadārand</w:t>
      </w:r>
    </w:p>
    <w:p>
      <w:pPr>
        <w:pStyle w:val="BookText"/>
      </w:pPr>
      <w:r>
        <w:rPr>
          <w:rFonts w:ascii="IRNazanin" w:hAnsi="IRNazanin" w:eastAsia="IRNazanin" w:cs="IRNazanin"/>
          <w:lang w:bidi="fa-IR"/>
          <w:color w:val="111111"/>
          <w:sz w:val="28"/>
          <w:szCs w:val="28"/>
          <w:rtl/>
        </w:rPr>
        <w:t xml:space="preserve">تهران؛ مجلس؛ شماره نسخه: ۸۹۱۴/۱۸</w:t>
      </w:r>
    </w:p>
    <w:p>
      <w:pPr>
        <w:pStyle w:val="BookText"/>
      </w:pPr>
      <w:r>
        <w:rPr>
          <w:rFonts w:ascii="IRNazanin" w:hAnsi="IRNazanin" w:eastAsia="IRNazanin" w:cs="IRNazanin"/>
          <w:lang w:bidi="fa-IR"/>
          <w:color w:val="111111"/>
          <w:sz w:val="28"/>
          <w:szCs w:val="28"/>
          <w:rtl/>
        </w:rPr>
        <w:t xml:space="preserve">آغاز: من الاسماء المؤنثة ما لا يظهر فيه علامة التأنيث كالعين و النفس و الكبد و الكرش و الساق والید؛ انجام: واليد والرجل و الكف والعجز و القوس و النعل تمت.</w:t>
      </w:r>
    </w:p>
    <w:p>
      <w:pPr>
        <w:pStyle w:val="BookText"/>
      </w:pPr>
      <w:r>
        <w:rPr>
          <w:rFonts w:ascii="IRNazanin" w:hAnsi="IRNazanin" w:eastAsia="IRNazanin" w:cs="IRNazanin"/>
          <w:lang w:bidi="fa-IR"/>
          <w:color w:val="111111"/>
          <w:sz w:val="28"/>
          <w:szCs w:val="28"/>
          <w:rtl/>
        </w:rPr>
        <w:t xml:space="preserve">خط: نسخ و نستعلیق، بی کا، تا: قرن ۱۱؛ کاغذ: فرنگی نخودی، آهار مهره ،جلد: میشن زیتونی ضربی با ترنج و سرترج مجدول گرهی و ساده، اص ،(۱۳۸) اندازه جدول: 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اندازه: ۱۲/۳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۲۳/۶سم [ف: ۲۹/۱ - ۳۱۳]</w:t>
      </w:r>
    </w:p>
    <w:p>
      <w:pPr>
        <w:pStyle w:val="Heading3"/>
      </w:pPr>
      <w:bookmarkStart w:id="854" w:name="_Toc376"/>
      <w:r>
        <w:t>اسامی المعصومين (جدول) / تاریخ معصومین</w:t>
      </w:r>
      <w:bookmarkEnd w:id="854"/>
    </w:p>
    <w:p>
      <w:pPr>
        <w:pStyle w:val="BookText"/>
      </w:pPr>
      <w:r>
        <w:rPr>
          <w:rFonts w:ascii="Times New Roman" w:hAnsi="Times New Roman" w:eastAsia="Times New Roman" w:cs="Times New Roman"/>
          <w:lang w:val="en-US" w:bidi="en-US"/>
          <w:color w:val="111111"/>
          <w:sz w:val="28"/>
          <w:szCs w:val="28"/>
          <w:rtl/>
        </w:rPr>
        <w:t xml:space="preserve">(asāmī-yol ma'sūmīn (jadval)</w:t>
      </w:r>
    </w:p>
    <w:p>
      <w:pPr>
        <w:pStyle w:val="BookText"/>
      </w:pPr>
      <w:r>
        <w:rPr>
          <w:rFonts w:ascii="IRNazanin" w:hAnsi="IRNazanin" w:eastAsia="IRNazanin" w:cs="IRNazanin"/>
          <w:lang w:bidi="fa-IR"/>
          <w:color w:val="111111"/>
          <w:sz w:val="28"/>
          <w:szCs w:val="28"/>
          <w:rtl/>
        </w:rPr>
        <w:t xml:space="preserve">مجلسی، محمد باقر بن محمد تقی، ۱۰۳۷ - ۱۱۱۰  قمری</w:t>
      </w:r>
    </w:p>
    <w:p>
      <w:pPr>
        <w:pStyle w:val="BookText"/>
      </w:pPr>
      <w:r>
        <w:rPr>
          <w:rFonts w:ascii="Times New Roman" w:hAnsi="Times New Roman" w:eastAsia="Times New Roman" w:cs="Times New Roman"/>
          <w:lang w:val="en-US" w:bidi="en-US"/>
          <w:color w:val="111111"/>
          <w:sz w:val="28"/>
          <w:szCs w:val="28"/>
          <w:rtl/>
        </w:rPr>
        <w:t xml:space="preserve">majlesī, mohammad baqer ebn-e mohammad taqi</w:t>
      </w:r>
    </w:p>
    <w:p>
      <w:pPr>
        <w:pStyle w:val="BookText"/>
      </w:pPr>
      <w:r>
        <w:rPr>
          <w:rFonts w:ascii="Times New Roman" w:hAnsi="Times New Roman" w:eastAsia="Times New Roman" w:cs="Times New Roman"/>
          <w:lang w:val="en-US" w:bidi="en-US"/>
          <w:color w:val="111111"/>
          <w:sz w:val="28"/>
          <w:szCs w:val="28"/>
          <w:rtl/>
        </w:rPr>
        <w:t xml:space="preserve">(1628-1699)</w:t>
      </w:r>
    </w:p>
    <w:p>
      <w:pPr>
        <w:pStyle w:val="BookText"/>
      </w:pPr>
      <w:r>
        <w:rPr>
          <w:rFonts w:ascii="IRNazanin" w:hAnsi="IRNazanin" w:eastAsia="IRNazanin" w:cs="IRNazanin"/>
          <w:lang w:bidi="fa-IR"/>
          <w:color w:val="111111"/>
          <w:sz w:val="28"/>
          <w:szCs w:val="28"/>
          <w:rtl/>
        </w:rPr>
        <w:t xml:space="preserve">تهران؛ دانشگاه؛ شماره نسخه: ۹۲۵۵/۵</w:t>
      </w:r>
    </w:p>
    <w:p>
      <w:pPr>
        <w:pStyle w:val="BookText"/>
      </w:pPr>
      <w:r>
        <w:rPr>
          <w:rFonts w:ascii="IRNazanin" w:hAnsi="IRNazanin" w:eastAsia="IRNazanin" w:cs="IRNazanin"/>
          <w:lang w:bidi="fa-IR"/>
          <w:color w:val="111111"/>
          <w:sz w:val="28"/>
          <w:szCs w:val="28"/>
          <w:rtl/>
        </w:rPr>
        <w:t xml:space="preserve">خط: نسخ، بی کا، بی تا، کاغذ: سپاهانی، جلد: تیماج مشکی لایی، ۲گ (۱۷پ- ۱۸ر) ۲۲ سطر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 قطع: ربعی بیاضی،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12" w:name="pg20365_260144"/>
    <w:bookmarkEnd w:id="112"/>
    <w:p>
      <w:pPr>
        <w:pStyle w:val="BookText"/>
      </w:pPr>
      <w:r>
        <w:rPr>
          <w:rFonts w:ascii="IRNazanin" w:hAnsi="IRNazanin" w:eastAsia="IRNazanin" w:cs="IRNazanin"/>
          <w:lang w:bidi="fa-IR"/>
          <w:color w:val="111111"/>
          <w:sz w:val="28"/>
          <w:szCs w:val="28"/>
          <w:rtl/>
        </w:rPr>
        <w:t xml:space="preserve">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۲۴سم [ف: ۱۷ - ۳۳۲]</w:t>
      </w:r>
    </w:p>
    <w:p>
      <w:pPr>
        <w:pStyle w:val="Heading3"/>
      </w:pPr>
      <w:bookmarkStart w:id="855" w:name="_Toc377"/>
      <w:r>
        <w:t>اسامی النسابين / انساب / عربی</w:t>
      </w:r>
      <w:bookmarkEnd w:id="855"/>
    </w:p>
    <w:p>
      <w:pPr>
        <w:pStyle w:val="BookText"/>
      </w:pPr>
      <w:r>
        <w:rPr>
          <w:rFonts w:ascii="Times New Roman" w:hAnsi="Times New Roman" w:eastAsia="Times New Roman" w:cs="Times New Roman"/>
          <w:lang w:val="en-US" w:bidi="en-US"/>
          <w:color w:val="111111"/>
          <w:sz w:val="28"/>
          <w:szCs w:val="28"/>
          <w:rtl/>
        </w:rPr>
        <w:t xml:space="preserve">āmīyy-un-nassābīn</w:t>
      </w:r>
    </w:p>
    <w:p>
      <w:pPr>
        <w:pStyle w:val="BookText"/>
      </w:pPr>
      <w:r>
        <w:rPr>
          <w:rFonts w:ascii="IRNazanin" w:hAnsi="IRNazanin" w:eastAsia="IRNazanin" w:cs="IRNazanin"/>
          <w:lang w:bidi="fa-IR"/>
          <w:color w:val="111111"/>
          <w:sz w:val="28"/>
          <w:szCs w:val="28"/>
          <w:rtl/>
        </w:rPr>
        <w:t xml:space="preserve">در آن نام ۳۸ نسب نویس آمده است.</w:t>
      </w:r>
    </w:p>
    <w:p>
      <w:pPr>
        <w:pStyle w:val="BookText"/>
      </w:pPr>
      <w:r>
        <w:rPr>
          <w:rFonts w:ascii="IRNazanin" w:hAnsi="IRNazanin" w:eastAsia="IRNazanin" w:cs="IRNazanin"/>
          <w:lang w:bidi="fa-IR"/>
          <w:color w:val="111111"/>
          <w:sz w:val="28"/>
          <w:szCs w:val="28"/>
          <w:rtl/>
        </w:rPr>
        <w:t xml:space="preserve">تهران؛ ملک؛ شماره نسخه: ۳۵۳۲/۲</w:t>
      </w:r>
    </w:p>
    <w:p>
      <w:pPr>
        <w:pStyle w:val="BookText"/>
      </w:pPr>
      <w:r>
        <w:rPr>
          <w:rFonts w:ascii="IRNazanin" w:hAnsi="IRNazanin" w:eastAsia="IRNazanin" w:cs="IRNazanin"/>
          <w:lang w:bidi="fa-IR"/>
          <w:color w:val="111111"/>
          <w:sz w:val="28"/>
          <w:szCs w:val="28"/>
          <w:rtl/>
        </w:rPr>
        <w:t xml:space="preserve">آغاز اسامی النسابين على ما نقلناها من خطه ابينا سيد السادات زمانه السيد عز الملة و النقابة و الدين اسحاق النسابة . انجام : الـسید جمال الدین احمد بن عنبه و صلى الله علی و محمد و آلـه و اولاده</w:t>
      </w:r>
    </w:p>
    <w:p>
      <w:pPr>
        <w:pStyle w:val="BookText"/>
      </w:pPr>
      <w:r>
        <w:rPr>
          <w:rFonts w:ascii="IRNazanin" w:hAnsi="IRNazanin" w:eastAsia="IRNazanin" w:cs="IRNazanin"/>
          <w:lang w:bidi="fa-IR"/>
          <w:color w:val="111111"/>
          <w:sz w:val="28"/>
          <w:szCs w:val="28"/>
          <w:rtl/>
        </w:rPr>
        <w:t xml:space="preserve">خط: نسخ، بی کا، بی تا، کاغذ: ترمه، جلد: رویه میشن سیاه ضربی، لبه دار، ۱۲۰گ (۱۱پ - ۱۳۰پ)، ۱۴ سطر [ف: ۶ - ۴۷۴]</w:t>
      </w:r>
    </w:p>
    <w:p>
      <w:pPr>
        <w:pStyle w:val="Heading3"/>
      </w:pPr>
      <w:bookmarkStart w:id="856" w:name="_Toc378"/>
      <w:r>
        <w:t>اسامی نمایندگان مجلس شورای ملی از دوره  1تا ۲۳ / اسناد / فارسی</w:t>
      </w:r>
      <w:bookmarkEnd w:id="856"/>
    </w:p>
    <w:p>
      <w:pPr>
        <w:pStyle w:val="BookText"/>
      </w:pPr>
      <w:r>
        <w:rPr>
          <w:rFonts w:ascii="Times New Roman" w:hAnsi="Times New Roman" w:eastAsia="Times New Roman" w:cs="Times New Roman"/>
          <w:lang w:val="en-US" w:bidi="en-US"/>
          <w:color w:val="111111"/>
          <w:sz w:val="28"/>
          <w:szCs w:val="28"/>
          <w:rtl/>
        </w:rPr>
        <w:t xml:space="preserve">asāmī-ye namāyandegān-e majles-e šowrā-ye mellī (az</w:t>
      </w:r>
    </w:p>
    <w:p>
      <w:pPr>
        <w:pStyle w:val="BookText"/>
      </w:pPr>
      <w:r>
        <w:rPr>
          <w:rFonts w:ascii="Times New Roman" w:hAnsi="Times New Roman" w:eastAsia="Times New Roman" w:cs="Times New Roman"/>
          <w:lang w:val="en-US" w:bidi="en-US"/>
          <w:color w:val="111111"/>
          <w:sz w:val="28"/>
          <w:szCs w:val="28"/>
          <w:rtl/>
        </w:rPr>
        <w:t xml:space="preserve">(dowre-ye 1 tā 23)</w:t>
      </w:r>
    </w:p>
    <w:p>
      <w:pPr>
        <w:pStyle w:val="BookText"/>
      </w:pPr>
      <w:r>
        <w:rPr>
          <w:rFonts w:ascii="IRNazanin" w:hAnsi="IRNazanin" w:eastAsia="IRNazanin" w:cs="IRNazanin"/>
          <w:lang w:bidi="fa-IR"/>
          <w:color w:val="111111"/>
          <w:sz w:val="28"/>
          <w:szCs w:val="28"/>
          <w:rtl/>
        </w:rPr>
        <w:t xml:space="preserve">اسامی نمایندگان مجلس شورای ملی است از دوره اول تا دوره بیست و سوم به ترتیب الفبایی شهرها از آباده تا یزد.</w:t>
      </w:r>
    </w:p>
    <w:p>
      <w:pPr>
        <w:pStyle w:val="BookText"/>
      </w:pPr>
      <w:r>
        <w:rPr>
          <w:rFonts w:ascii="IRNazanin" w:hAnsi="IRNazanin" w:eastAsia="IRNazanin" w:cs="IRNazanin"/>
          <w:lang w:bidi="fa-IR"/>
          <w:color w:val="111111"/>
          <w:sz w:val="28"/>
          <w:szCs w:val="28"/>
          <w:rtl/>
        </w:rPr>
        <w:t xml:space="preserve">تهران؛ مجلس؛ شماره نسخه: ۱۱۶۳۹</w:t>
      </w:r>
    </w:p>
    <w:p>
      <w:pPr>
        <w:pStyle w:val="BookText"/>
      </w:pPr>
      <w:r>
        <w:rPr>
          <w:rFonts w:ascii="IRNazanin" w:hAnsi="IRNazanin" w:eastAsia="IRNazanin" w:cs="IRNazanin"/>
          <w:lang w:bidi="fa-IR"/>
          <w:color w:val="111111"/>
          <w:sz w:val="28"/>
          <w:szCs w:val="28"/>
          <w:rtl/>
        </w:rPr>
        <w:t xml:space="preserve">بی کا، بی تا، کاغذ: صنعتی ،جلد: مشمع ۲۸۵گ اندازه: ۲۳/۵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۳۰/۵سم [ف: ۳۴ - ۲۸]</w:t>
      </w:r>
    </w:p>
    <w:p>
      <w:pPr>
        <w:pStyle w:val="Heading3"/>
      </w:pPr>
      <w:bookmarkStart w:id="857" w:name="_Toc379"/>
      <w:r>
        <w:t>اسامی و اصطلاحات کره جغرافیائی / هیئت / فارسی</w:t>
      </w:r>
      <w:bookmarkEnd w:id="857"/>
    </w:p>
    <w:p>
      <w:pPr>
        <w:pStyle w:val="BookText"/>
      </w:pPr>
      <w:r>
        <w:rPr>
          <w:rFonts w:ascii="Times New Roman" w:hAnsi="Times New Roman" w:eastAsia="Times New Roman" w:cs="Times New Roman"/>
          <w:lang w:val="en-US" w:bidi="en-US"/>
          <w:color w:val="111111"/>
          <w:sz w:val="28"/>
          <w:szCs w:val="28"/>
          <w:rtl/>
        </w:rPr>
        <w:t xml:space="preserve">asāmī va estelāhāt-e kore-ye joqrāfīyā’ī</w:t>
      </w:r>
    </w:p>
    <w:p>
      <w:pPr>
        <w:pStyle w:val="BookText"/>
      </w:pPr>
      <w:r>
        <w:rPr>
          <w:rFonts w:ascii="IRNazanin" w:hAnsi="IRNazanin" w:eastAsia="IRNazanin" w:cs="IRNazanin"/>
          <w:lang w:bidi="fa-IR"/>
          <w:color w:val="111111"/>
          <w:sz w:val="28"/>
          <w:szCs w:val="28"/>
          <w:rtl/>
        </w:rPr>
        <w:t xml:space="preserve">مهندس، میرزا عبدالرزاق</w:t>
      </w:r>
    </w:p>
    <w:p>
      <w:pPr>
        <w:pStyle w:val="BookText"/>
      </w:pPr>
      <w:r>
        <w:rPr>
          <w:rFonts w:ascii="Times New Roman" w:hAnsi="Times New Roman" w:eastAsia="Times New Roman" w:cs="Times New Roman"/>
          <w:lang w:val="en-US" w:bidi="en-US"/>
          <w:color w:val="111111"/>
          <w:sz w:val="28"/>
          <w:szCs w:val="28"/>
          <w:rtl/>
        </w:rPr>
        <w:t xml:space="preserve">mohandes, mīrzā ‘abd-or-razzāq</w:t>
      </w:r>
    </w:p>
    <w:p>
      <w:pPr>
        <w:pStyle w:val="BookText"/>
      </w:pPr>
      <w:r>
        <w:rPr>
          <w:rFonts w:ascii="IRNazanin" w:hAnsi="IRNazanin" w:eastAsia="IRNazanin" w:cs="IRNazanin"/>
          <w:lang w:bidi="fa-IR"/>
          <w:color w:val="111111"/>
          <w:sz w:val="28"/>
          <w:szCs w:val="28"/>
          <w:rtl/>
        </w:rPr>
        <w:t xml:space="preserve">رساله ای است در توضیح اسامی و اصطلاحات جغرافیایی کره زمینی و آسمانی که خود ابداع کرده بوده و چاپی است.</w:t>
      </w:r>
    </w:p>
    <w:p>
      <w:pPr>
        <w:pStyle w:val="BookText"/>
      </w:pPr>
      <w:r>
        <w:rPr>
          <w:rFonts w:ascii="IRNazanin" w:hAnsi="IRNazanin" w:eastAsia="IRNazanin" w:cs="IRNazanin"/>
          <w:lang w:bidi="fa-IR"/>
          <w:color w:val="111111"/>
          <w:sz w:val="28"/>
          <w:szCs w:val="28"/>
          <w:rtl/>
        </w:rPr>
        <w:t xml:space="preserve">مشهد؛ رضوی؛ شماره نسخه: ۱۲۰۷۵/۳</w:t>
      </w:r>
    </w:p>
    <w:p>
      <w:pPr>
        <w:pStyle w:val="BookText"/>
      </w:pPr>
      <w:r>
        <w:rPr>
          <w:rFonts w:ascii="IRNazanin" w:hAnsi="IRNazanin" w:eastAsia="IRNazanin" w:cs="IRNazanin"/>
          <w:lang w:bidi="fa-IR"/>
          <w:color w:val="111111"/>
          <w:sz w:val="28"/>
          <w:szCs w:val="28"/>
          <w:rtl/>
        </w:rPr>
        <w:t xml:space="preserve">خط: مختلف،   بی کا،  بی تا، کاغذ ،نخودی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  ف: 10- 213]</w:t>
      </w:r>
    </w:p>
    <w:p>
      <w:pPr>
        <w:pStyle w:val="Heading3"/>
      </w:pPr>
      <w:bookmarkStart w:id="858" w:name="_Toc380"/>
      <w:r>
        <w:t>اسامی و القاب چهارده معصوم عليهم السلام /تاريخ  معصومین / فارسی</w:t>
      </w:r>
      <w:bookmarkEnd w:id="858"/>
    </w:p>
    <w:p>
      <w:pPr>
        <w:pStyle w:val="BookText"/>
      </w:pPr>
      <w:r>
        <w:rPr>
          <w:rFonts w:ascii="Times New Roman" w:hAnsi="Times New Roman" w:eastAsia="Times New Roman" w:cs="Times New Roman"/>
          <w:lang w:val="en-US" w:bidi="en-US"/>
          <w:color w:val="111111"/>
          <w:sz w:val="28"/>
          <w:szCs w:val="28"/>
          <w:rtl/>
        </w:rPr>
        <w:t xml:space="preserve">asāmī va alqāb-e čahārdah ma‘sūm ‘alayhem-os-salam</w:t>
      </w:r>
    </w:p>
    <w:p>
      <w:pPr>
        <w:pStyle w:val="BookText"/>
      </w:pPr>
      <w:r>
        <w:rPr>
          <w:rFonts w:ascii="IRNazanin" w:hAnsi="IRNazanin" w:eastAsia="IRNazanin" w:cs="IRNazanin"/>
          <w:lang w:bidi="fa-IR"/>
          <w:color w:val="111111"/>
          <w:sz w:val="28"/>
          <w:szCs w:val="28"/>
          <w:rtl/>
        </w:rPr>
        <w:t xml:space="preserve">ذوالقدر ،خلیل، ق ۱۱ قمری</w:t>
      </w:r>
    </w:p>
    <w:p>
      <w:pPr>
        <w:pStyle w:val="BookText"/>
      </w:pPr>
      <w:r>
        <w:rPr>
          <w:rFonts w:ascii="Times New Roman" w:hAnsi="Times New Roman" w:eastAsia="Times New Roman" w:cs="Times New Roman"/>
          <w:lang w:val="en-US" w:bidi="en-US"/>
          <w:color w:val="111111"/>
          <w:sz w:val="28"/>
          <w:szCs w:val="28"/>
          <w:rtl/>
        </w:rPr>
        <w:t xml:space="preserve">(zo-l-qadr, xalīl (- 17c)</w:t>
      </w:r>
    </w:p>
    <w:p>
      <w:pPr>
        <w:pStyle w:val="BookText"/>
      </w:pPr>
      <w:r>
        <w:rPr>
          <w:rFonts w:ascii="IRNazanin" w:hAnsi="IRNazanin" w:eastAsia="IRNazanin" w:cs="IRNazanin"/>
          <w:lang w:bidi="fa-IR"/>
          <w:color w:val="111111"/>
          <w:sz w:val="28"/>
          <w:szCs w:val="28"/>
          <w:rtl/>
        </w:rPr>
        <w:t xml:space="preserve">شرح اسامی و کنیت و مدت عمر و تاریخ وفات حضرات ائمه   معصومين(علیهم السّلام).</w:t>
      </w:r>
    </w:p>
    <w:p>
      <w:pPr>
        <w:pStyle w:val="BookText"/>
      </w:pPr>
      <w:r>
        <w:rPr>
          <w:rFonts w:ascii="IRNazanin" w:hAnsi="IRNazanin" w:eastAsia="IRNazanin" w:cs="IRNazanin"/>
          <w:lang w:bidi="fa-IR"/>
          <w:color w:val="111111"/>
          <w:sz w:val="28"/>
          <w:szCs w:val="28"/>
          <w:rtl/>
        </w:rPr>
        <w:t xml:space="preserve">تهران؛ مجلس؛ شماره نسخه: ۸۹۴۸/۲۵</w:t>
      </w:r>
    </w:p>
    <w:p>
      <w:pPr>
        <w:pStyle w:val="BookText"/>
      </w:pPr>
      <w:r>
        <w:rPr>
          <w:rFonts w:ascii="IRNazanin" w:hAnsi="IRNazanin" w:eastAsia="IRNazanin" w:cs="IRNazanin"/>
          <w:lang w:bidi="fa-IR"/>
          <w:color w:val="111111"/>
          <w:sz w:val="28"/>
          <w:szCs w:val="28"/>
          <w:rtl/>
        </w:rPr>
        <w:t xml:space="preserve">خط: نستعلیق  شکسته، كاتب - مؤلف، تا :حدود ۱۰۵۴ق، جا: احمد آباد گجرات؛ کاغذ: الوان آهار مهره، جلد: تیماج قهوه ای ضربی با ترنج و سرترنج، ۲گ (۲۵۷پ- ۲۵۸ر) اندازه: ۱۴/۴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۲۶/۴سم [ف: ۲۹/۱ - ۴۴۱]</w:t>
      </w:r>
    </w:p>
    <w:p>
      <w:pPr>
        <w:pStyle w:val="Heading3"/>
      </w:pPr>
      <w:bookmarkStart w:id="859" w:name="_Toc381"/>
      <w:r>
        <w:t>اسامی و القاب چهارده معصوم عليهم السلام / تاريخ  معصومین / فارسی</w:t>
      </w:r>
      <w:bookmarkEnd w:id="859"/>
    </w:p>
    <w:p>
      <w:pPr>
        <w:pStyle w:val="BookText"/>
      </w:pPr>
      <w:r>
        <w:rPr>
          <w:rFonts w:ascii="Times New Roman" w:hAnsi="Times New Roman" w:eastAsia="Times New Roman" w:cs="Times New Roman"/>
          <w:lang w:val="en-US" w:bidi="en-US"/>
          <w:color w:val="111111"/>
          <w:sz w:val="28"/>
          <w:szCs w:val="28"/>
          <w:rtl/>
        </w:rPr>
        <w:t xml:space="preserve">asāmī va alqāb-e čahārdah ma'sum ‘alayhem-os-salam</w:t>
      </w:r>
    </w:p>
    <w:p>
      <w:pPr>
        <w:pStyle w:val="BookText"/>
      </w:pPr>
      <w:r>
        <w:rPr>
          <w:rFonts w:ascii="IRNazanin" w:hAnsi="IRNazanin" w:eastAsia="IRNazanin" w:cs="IRNazanin"/>
          <w:lang w:bidi="fa-IR"/>
          <w:color w:val="111111"/>
          <w:sz w:val="28"/>
          <w:szCs w:val="28"/>
          <w:rtl/>
        </w:rPr>
        <w:t xml:space="preserve">تهران؛ مجلس؛ شماره نسخه: ۳۷۹/۴-ط</w:t>
      </w:r>
    </w:p>
    <w:p>
      <w:pPr>
        <w:pStyle w:val="BookText"/>
      </w:pPr>
      <w:r>
        <w:rPr>
          <w:rFonts w:ascii="IRNazanin" w:hAnsi="IRNazanin" w:eastAsia="IRNazanin" w:cs="IRNazanin"/>
          <w:lang w:bidi="fa-IR"/>
          <w:color w:val="111111"/>
          <w:sz w:val="28"/>
          <w:szCs w:val="28"/>
          <w:rtl/>
        </w:rPr>
        <w:t xml:space="preserve">آغاز: بسمله در بیان نامهای سامی و القابهای گرامی و کنیت همایون حضرتان امامان؛ انجام: این چند کلمات شریفه و فقرات بلیغه را از الفاظ عربی ... در آورده تا هر کس سواد جزئی داشته باشد از اسامی مترجمه و متبرکه ... معلوم خواهد بود و السلام  عليكم.</w:t>
      </w:r>
    </w:p>
    <w:p>
      <w:pPr>
        <w:pStyle w:val="BookText"/>
      </w:pPr>
      <w:r>
        <w:rPr>
          <w:rFonts w:ascii="IRNazanin" w:hAnsi="IRNazanin" w:eastAsia="IRNazanin" w:cs="IRNazanin"/>
          <w:lang w:bidi="fa-IR"/>
          <w:color w:val="111111"/>
          <w:sz w:val="28"/>
          <w:szCs w:val="28"/>
          <w:rtl/>
        </w:rPr>
        <w:t xml:space="preserve">متنی است با ترجمه عامیانه و باید ترجمه از قرن ۱۳باشد؛ خط: نستعلیق ،متوسط، بی کا ،تا: قرن ۱۳؛ کاغذ: فرنگی ،آبی ،جلد: تیماج قرمز ،یک  لا، ۲گ (8ر- 10پ)، قطع: رقعی، 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۱۶/۸سم [ف : ۲۲ - ۳۶۰]</w:t>
      </w:r>
    </w:p>
    <w:p>
      <w:pPr>
        <w:pStyle w:val="Heading3"/>
      </w:pPr>
      <w:bookmarkStart w:id="860" w:name="_Toc382"/>
      <w:r>
        <w:t>الاسامی و الکنی / رجال / عربی</w:t>
      </w:r>
      <w:bookmarkEnd w:id="860"/>
    </w:p>
    <w:p>
      <w:pPr>
        <w:pStyle w:val="BookText"/>
      </w:pPr>
      <w:r>
        <w:rPr>
          <w:rFonts w:ascii="Times New Roman" w:hAnsi="Times New Roman" w:eastAsia="Times New Roman" w:cs="Times New Roman"/>
          <w:lang w:val="en-US" w:bidi="en-US"/>
          <w:color w:val="111111"/>
          <w:sz w:val="28"/>
          <w:szCs w:val="28"/>
          <w:rtl/>
        </w:rPr>
        <w:t xml:space="preserve">al-asami wa-l-kunay</w:t>
      </w:r>
    </w:p>
    <w:p>
      <w:pPr>
        <w:pStyle w:val="BookText"/>
      </w:pPr>
      <w:r>
        <w:rPr>
          <w:rFonts w:ascii="IRNazanin" w:hAnsi="IRNazanin" w:eastAsia="IRNazanin" w:cs="IRNazanin"/>
          <w:lang w:bidi="fa-IR"/>
          <w:color w:val="111111"/>
          <w:sz w:val="28"/>
          <w:szCs w:val="28"/>
          <w:rtl/>
        </w:rPr>
        <w:t xml:space="preserve">حاکم نیشابوری، محمد بن محمد، ۲۸۵ – ۳۷۸ قمری</w:t>
      </w:r>
    </w:p>
    <w:p>
      <w:pPr>
        <w:pStyle w:val="BookText"/>
      </w:pPr>
      <w:r>
        <w:rPr>
          <w:rFonts w:ascii="Times New Roman" w:hAnsi="Times New Roman" w:eastAsia="Times New Roman" w:cs="Times New Roman"/>
          <w:lang w:val="en-US" w:bidi="en-US"/>
          <w:color w:val="111111"/>
          <w:sz w:val="28"/>
          <w:szCs w:val="28"/>
          <w:rtl/>
        </w:rPr>
        <w:t xml:space="preserve">hākem-e neyšābūrī, mohammad ebn-e mohammad</w:t>
      </w:r>
    </w:p>
    <w:p>
      <w:pPr>
        <w:pStyle w:val="BookText"/>
      </w:pPr>
      <w:r>
        <w:rPr>
          <w:rFonts w:ascii="Times New Roman" w:hAnsi="Times New Roman" w:eastAsia="Times New Roman" w:cs="Times New Roman"/>
          <w:lang w:val="en-US" w:bidi="en-US"/>
          <w:color w:val="111111"/>
          <w:sz w:val="28"/>
          <w:szCs w:val="28"/>
          <w:rtl/>
        </w:rPr>
        <w:t xml:space="preserve">(899 - 989)</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IRNazanin" w:hAnsi="IRNazanin" w:eastAsia="IRNazanin" w:cs="IRNazanin"/>
          <w:lang w:bidi="fa-IR"/>
          <w:color w:val="111111"/>
          <w:sz w:val="28"/>
          <w:szCs w:val="28"/>
          <w:rtl/>
        </w:rPr>
        <w:t xml:space="preserve">١ -الكنى ذهبی محمد بن احمد (۶۷۳-۷۴۸)</w:t>
      </w:r>
    </w:p>
    <w:p>
      <w:pPr>
        <w:pStyle w:val="BookText"/>
      </w:pPr>
      <w:r>
        <w:rPr>
          <w:rFonts w:ascii="IRNazanin" w:hAnsi="IRNazanin" w:eastAsia="IRNazanin" w:cs="IRNazanin"/>
          <w:lang w:bidi="fa-IR"/>
          <w:color w:val="111111"/>
          <w:sz w:val="28"/>
          <w:szCs w:val="28"/>
          <w:rtl/>
        </w:rPr>
        <w:t xml:space="preserve">تهران؛ دانشگاه؛ شماره نسخه ۴۲۵۵-ف</w:t>
      </w:r>
    </w:p>
    <w:p>
      <w:pPr>
        <w:pStyle w:val="BookText"/>
      </w:pPr>
      <w:r>
        <w:rPr>
          <w:rFonts w:ascii="IRNazanin" w:hAnsi="IRNazanin" w:eastAsia="IRNazanin" w:cs="IRNazanin"/>
          <w:lang w:bidi="fa-IR"/>
          <w:color w:val="111111"/>
          <w:sz w:val="28"/>
          <w:szCs w:val="28"/>
          <w:rtl/>
        </w:rPr>
        <w:t xml:space="preserve">نسخه اصل: دارالکتب الازهرية ۱۳۸ (۹۰۳۲) و ۲۲۸۹ (۱۸۹۲۹)  مصطلح الحديث. مجلد دوم؛ كا: محمد بن عبدالعظيم بن  عبد القوى بن عبدالله بن سلامة منذری، تا: ۱ محرم ۶۴۰ق [ فیلم ها  - ف ۳ - ۳۸]</w:t>
      </w:r>
    </w:p>
    <w:p>
      <w:pPr>
        <w:pStyle w:val="Heading3"/>
      </w:pPr>
      <w:bookmarkStart w:id="861" w:name="_Toc383"/>
      <w:r>
        <w:t>اسامی وضاع الحديث / رجال / عربي</w:t>
      </w:r>
      <w:bookmarkEnd w:id="861"/>
    </w:p>
    <w:p>
      <w:pPr>
        <w:pStyle w:val="BookText"/>
      </w:pPr>
      <w:r>
        <w:rPr>
          <w:rFonts w:ascii="Times New Roman" w:hAnsi="Times New Roman" w:eastAsia="Times New Roman" w:cs="Times New Roman"/>
          <w:lang w:val="en-US" w:bidi="en-US"/>
          <w:color w:val="111111"/>
          <w:sz w:val="28"/>
          <w:szCs w:val="28"/>
          <w:rtl/>
        </w:rPr>
        <w:t xml:space="preserve">asami-ye vozza-el-hadis</w:t>
      </w:r>
    </w:p>
    <w:p>
      <w:pPr>
        <w:pStyle w:val="BookText"/>
      </w:pPr>
      <w:r>
        <w:rPr>
          <w:rFonts w:ascii="IRNazanin" w:hAnsi="IRNazanin" w:eastAsia="IRNazanin" w:cs="IRNazanin"/>
          <w:lang w:bidi="fa-IR"/>
          <w:color w:val="111111"/>
          <w:sz w:val="28"/>
          <w:szCs w:val="28"/>
          <w:rtl/>
        </w:rPr>
        <w:t xml:space="preserve">گویا بخشی از رساله ای در معرفی واضعان (جاعلان) حدیث است. تنها تألیفی که در این باب می شناسیم رساله ای است از قاضی نورالله شوشتری با نام «اسامی وضاع الحدیث»، که صاحب ریاض العلما میگوید که آن را دیده است و در الذریعه(۲: ۱۱) از آن یاد شده است.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13" w:name="pg20365_260145"/>
    <w:bookmarkEnd w:id="113"/>
    <w:p>
      <w:pPr>
        <w:pStyle w:val="BookText"/>
      </w:pPr>
      <w:r>
        <w:rPr>
          <w:rFonts w:ascii="IRNazanin" w:hAnsi="IRNazanin" w:eastAsia="IRNazanin" w:cs="IRNazanin"/>
          <w:lang w:bidi="fa-IR"/>
          <w:color w:val="111111"/>
          <w:sz w:val="28"/>
          <w:szCs w:val="28"/>
          <w:rtl/>
        </w:rPr>
        <w:t xml:space="preserve">تهران؛ مجلس؛ شماره نسخه: ۷۵۲۵/۲</w:t>
      </w:r>
    </w:p>
    <w:p>
      <w:pPr>
        <w:pStyle w:val="BookText"/>
      </w:pPr>
      <w:r>
        <w:rPr>
          <w:rFonts w:ascii="IRNazanin" w:hAnsi="IRNazanin" w:eastAsia="IRNazanin" w:cs="IRNazanin"/>
          <w:lang w:bidi="fa-IR"/>
          <w:color w:val="111111"/>
          <w:sz w:val="28"/>
          <w:szCs w:val="28"/>
          <w:rtl/>
        </w:rPr>
        <w:t xml:space="preserve">آغاز: من رؤس الوضاعين ابو هريره الأوسى الذى ترى الجمهور قد شحنوا صحاحهم السقيمة من حديثه؛ انجام: و كذا الحكم  فی صحيح مسلم و المستدرك عليهما للحاكم ابي عبدالله النيشابوری فتامل فان الفكر فيهم طويل و التعجب منهم غير قليل و الله الهادی الى سواء السبيل.</w:t>
      </w:r>
    </w:p>
    <w:p>
      <w:pPr>
        <w:pStyle w:val="BookText"/>
      </w:pPr>
      <w:r>
        <w:rPr>
          <w:rFonts w:ascii="IRNazanin" w:hAnsi="IRNazanin" w:eastAsia="IRNazanin" w:cs="IRNazanin"/>
          <w:lang w:bidi="fa-IR"/>
          <w:color w:val="111111"/>
          <w:sz w:val="28"/>
          <w:szCs w:val="28"/>
          <w:rtl/>
        </w:rPr>
        <w:t xml:space="preserve">خط: نسخ، بی کا ،بی تا، جلد: گالینگور قرمز، ۴ ص( 279- 282)  ، ۲۳ سطر،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۲۵/۵سم [ف: ۲۶ - ۲۷]</w:t>
      </w:r>
    </w:p>
    <w:p>
      <w:pPr>
        <w:pStyle w:val="Heading3"/>
      </w:pPr>
      <w:bookmarkStart w:id="862" w:name="_Toc384"/>
      <w:r>
        <w:t>اسامی و مخارج فوج فراهانی / اسناد / فارسی</w:t>
      </w:r>
      <w:bookmarkEnd w:id="862"/>
    </w:p>
    <w:p>
      <w:pPr>
        <w:pStyle w:val="BookText"/>
      </w:pPr>
      <w:r>
        <w:rPr>
          <w:rFonts w:ascii="Times New Roman" w:hAnsi="Times New Roman" w:eastAsia="Times New Roman" w:cs="Times New Roman"/>
          <w:lang w:val="en-US" w:bidi="en-US"/>
          <w:color w:val="111111"/>
          <w:sz w:val="28"/>
          <w:szCs w:val="28"/>
          <w:rtl/>
        </w:rPr>
        <w:t xml:space="preserve">asāmī va maxārej-e fowj-e farāhānī</w:t>
      </w:r>
    </w:p>
    <w:p>
      <w:pPr>
        <w:pStyle w:val="BookText"/>
      </w:pPr>
      <w:r>
        <w:rPr>
          <w:rFonts w:ascii="IRNazanin" w:hAnsi="IRNazanin" w:eastAsia="IRNazanin" w:cs="IRNazanin"/>
          <w:lang w:bidi="fa-IR"/>
          <w:color w:val="111111"/>
          <w:sz w:val="28"/>
          <w:szCs w:val="28"/>
          <w:rtl/>
        </w:rPr>
        <w:t xml:space="preserve">کتابچه اسامی و مخارج فوج فراهانی اعداد به سیاق است.</w:t>
      </w:r>
    </w:p>
    <w:p>
      <w:pPr>
        <w:pStyle w:val="BookText"/>
      </w:pPr>
      <w:r>
        <w:rPr>
          <w:rFonts w:ascii="IRNazanin" w:hAnsi="IRNazanin" w:eastAsia="IRNazanin" w:cs="IRNazanin"/>
          <w:lang w:bidi="fa-IR"/>
          <w:color w:val="111111"/>
          <w:sz w:val="28"/>
          <w:szCs w:val="28"/>
          <w:rtl/>
        </w:rPr>
        <w:t xml:space="preserve">تهران؛ مجلس؛ شماره نسخه: ۱۰۰۴</w:t>
      </w:r>
    </w:p>
    <w:p>
      <w:pPr>
        <w:pStyle w:val="BookText"/>
      </w:pPr>
      <w:r>
        <w:rPr>
          <w:rFonts w:ascii="IRNazanin" w:hAnsi="IRNazanin" w:eastAsia="IRNazanin" w:cs="IRNazanin"/>
          <w:lang w:bidi="fa-IR"/>
          <w:color w:val="111111"/>
          <w:sz w:val="28"/>
          <w:szCs w:val="28"/>
          <w:rtl/>
        </w:rPr>
        <w:t xml:space="preserve">خط: نستعلیق، بی کا ،تا: قرن ۱۴؛ مهر: محمد علی بن فتح الله؛ کاغذ :آبی ،جلد ،گالینگور ،۳۶گ اندازه متن :9</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اندازه: ۱۷</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۲۳سم [سنا - ف: ۲ - ۱۰۳]</w:t>
      </w:r>
    </w:p>
    <w:p>
      <w:pPr>
        <w:pStyle w:val="Heading3"/>
      </w:pPr>
      <w:bookmarkStart w:id="863" w:name="_Toc385"/>
      <w:r>
        <w:t>اسامی و مشخصات سربازان فوج گلپایگان / اسناد  / فارسی</w:t>
      </w:r>
      <w:bookmarkEnd w:id="863"/>
    </w:p>
    <w:p>
      <w:pPr>
        <w:pStyle w:val="BookText"/>
      </w:pPr>
      <w:r>
        <w:rPr>
          <w:rFonts w:ascii="Times New Roman" w:hAnsi="Times New Roman" w:eastAsia="Times New Roman" w:cs="Times New Roman"/>
          <w:lang w:val="en-US" w:bidi="en-US"/>
          <w:color w:val="111111"/>
          <w:sz w:val="28"/>
          <w:szCs w:val="28"/>
          <w:rtl/>
        </w:rPr>
        <w:t xml:space="preserve">asāmī va mošaxxasāt-e sarbāzān-e fowj-e golpāygān</w:t>
      </w:r>
    </w:p>
    <w:p>
      <w:pPr>
        <w:pStyle w:val="BookText"/>
      </w:pPr>
      <w:r>
        <w:rPr>
          <w:rFonts w:ascii="IRNazanin" w:hAnsi="IRNazanin" w:eastAsia="IRNazanin" w:cs="IRNazanin"/>
          <w:lang w:bidi="fa-IR"/>
          <w:color w:val="111111"/>
          <w:sz w:val="28"/>
          <w:szCs w:val="28"/>
          <w:rtl/>
        </w:rPr>
        <w:t xml:space="preserve">کتابچه اسامی و مشخصات سربازان جدید فوج گلپایگان  در سال ۱۳۰۴ .</w:t>
      </w:r>
    </w:p>
    <w:p>
      <w:pPr>
        <w:pStyle w:val="BookText"/>
      </w:pPr>
      <w:r>
        <w:rPr>
          <w:rFonts w:ascii="IRNazanin" w:hAnsi="IRNazanin" w:eastAsia="IRNazanin" w:cs="IRNazanin"/>
          <w:lang w:bidi="fa-IR"/>
          <w:color w:val="111111"/>
          <w:sz w:val="28"/>
          <w:szCs w:val="28"/>
          <w:rtl/>
        </w:rPr>
        <w:t xml:space="preserve">تهران ؛مجلس؛ شماره نسخه: ۹۳۹</w:t>
      </w:r>
    </w:p>
    <w:p>
      <w:pPr>
        <w:pStyle w:val="BookText"/>
      </w:pPr>
      <w:r>
        <w:rPr>
          <w:rFonts w:ascii="IRNazanin" w:hAnsi="IRNazanin" w:eastAsia="IRNazanin" w:cs="IRNazanin"/>
          <w:lang w:bidi="fa-IR"/>
          <w:color w:val="111111"/>
          <w:sz w:val="28"/>
          <w:szCs w:val="28"/>
          <w:rtl/>
        </w:rPr>
        <w:t xml:space="preserve">خط: نستعلیق، بی کا، تا: قرن ۱۴؛ کاغذ:سفید ،جلد: گالینگور، ۱۴گ، اندازه متن: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۲۳سم [سنا-ف: ۲- ۹۶]</w:t>
      </w:r>
    </w:p>
    <w:p>
      <w:pPr>
        <w:pStyle w:val="Heading3"/>
      </w:pPr>
      <w:bookmarkStart w:id="864" w:name="_Toc386"/>
      <w:r>
        <w:t>اسامی و مشخصات صاحب منصبان و سربازان فوج جلالی / اسناد / فارسی</w:t>
      </w:r>
      <w:bookmarkEnd w:id="864"/>
    </w:p>
    <w:p>
      <w:pPr>
        <w:pStyle w:val="BookText"/>
      </w:pPr>
      <w:r>
        <w:rPr>
          <w:rFonts w:ascii="Times New Roman" w:hAnsi="Times New Roman" w:eastAsia="Times New Roman" w:cs="Times New Roman"/>
          <w:lang w:val="en-US" w:bidi="en-US"/>
          <w:color w:val="111111"/>
          <w:sz w:val="28"/>
          <w:szCs w:val="28"/>
          <w:rtl/>
        </w:rPr>
        <w:t xml:space="preserve">asāmī va mošaxxasāt-e sāheb-mansabān va sarbāzān-e</w:t>
      </w:r>
    </w:p>
    <w:p>
      <w:pPr>
        <w:pStyle w:val="BookText"/>
      </w:pPr>
      <w:r>
        <w:rPr>
          <w:rFonts w:ascii="Times New Roman" w:hAnsi="Times New Roman" w:eastAsia="Times New Roman" w:cs="Times New Roman"/>
          <w:lang w:val="en-US" w:bidi="en-US"/>
          <w:color w:val="111111"/>
          <w:sz w:val="28"/>
          <w:szCs w:val="28"/>
          <w:rtl/>
        </w:rPr>
        <w:t xml:space="preserve">fowj-e jalālī</w:t>
      </w:r>
    </w:p>
    <w:p>
      <w:pPr>
        <w:pStyle w:val="BookText"/>
      </w:pPr>
      <w:r>
        <w:rPr>
          <w:rFonts w:ascii="IRNazanin" w:hAnsi="IRNazanin" w:eastAsia="IRNazanin" w:cs="IRNazanin"/>
          <w:lang w:bidi="fa-IR"/>
          <w:color w:val="111111"/>
          <w:sz w:val="28"/>
          <w:szCs w:val="28"/>
          <w:rtl/>
        </w:rPr>
        <w:t xml:space="preserve">کتابچه اسامی و مشخصات صاحب منصبان و سربازان فوج جلالی. اعداد به سیاق  است. شامل اسم و تعداد عائله و اندازه و قدو قامت و چهره و سیمای فوج جلالی که به توشیح صارم الدوله و مشير الملک و میرزا فضل الله و میرزا فضل الله سرتیپ رسیده است می باشد.</w:t>
      </w:r>
    </w:p>
    <w:p>
      <w:pPr>
        <w:pStyle w:val="BookText"/>
      </w:pPr>
      <w:r>
        <w:rPr>
          <w:rFonts w:ascii="IRNazanin" w:hAnsi="IRNazanin" w:eastAsia="IRNazanin" w:cs="IRNazanin"/>
          <w:lang w:bidi="fa-IR"/>
          <w:color w:val="111111"/>
          <w:sz w:val="28"/>
          <w:szCs w:val="28"/>
          <w:rtl/>
        </w:rPr>
        <w:t xml:space="preserve">تهران؛ مجلس؛ شماره نسخه: ۱۰۵۷</w:t>
      </w:r>
    </w:p>
    <w:p>
      <w:pPr>
        <w:pStyle w:val="BookText"/>
      </w:pPr>
      <w:r>
        <w:rPr>
          <w:rFonts w:ascii="IRNazanin" w:hAnsi="IRNazanin" w:eastAsia="IRNazanin" w:cs="IRNazanin"/>
          <w:lang w:bidi="fa-IR"/>
          <w:color w:val="111111"/>
          <w:sz w:val="28"/>
          <w:szCs w:val="28"/>
          <w:rtl/>
        </w:rPr>
        <w:t xml:space="preserve">خط: نستعلیق، بی کا، تا: قرن  ۱۴؛ با مهرهای صاحب منصبان و سربازان و محمد علی بن فتح الله؛ كاغذ:آبی ،جلد: گالینگو ر،۴۹گ ابعاد متن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۳۶سم [سنا-ف: ۲-۱۱۰] ،</w:t>
      </w:r>
    </w:p>
    <w:p>
      <w:pPr>
        <w:pStyle w:val="Heading3"/>
      </w:pPr>
      <w:bookmarkStart w:id="865" w:name="_Toc387"/>
      <w:r>
        <w:t>اسامی و مشخصات صاحب منصبان و سربازان فوج  چهارمحالی / اسناد / فارسی</w:t>
      </w:r>
      <w:bookmarkEnd w:id="865"/>
    </w:p>
    <w:p>
      <w:pPr>
        <w:pStyle w:val="BookText"/>
      </w:pPr>
      <w:r>
        <w:rPr>
          <w:rFonts w:ascii="Times New Roman" w:hAnsi="Times New Roman" w:eastAsia="Times New Roman" w:cs="Times New Roman"/>
          <w:lang w:val="en-US" w:bidi="en-US"/>
          <w:color w:val="111111"/>
          <w:sz w:val="28"/>
          <w:szCs w:val="28"/>
          <w:rtl/>
        </w:rPr>
        <w:t xml:space="preserve">asāmī va mošaxxasāt-e saheb-mansabān va sarbāzān-e</w:t>
      </w:r>
    </w:p>
    <w:p>
      <w:pPr>
        <w:pStyle w:val="BookText"/>
      </w:pPr>
      <w:r>
        <w:rPr>
          <w:rFonts w:ascii="Times New Roman" w:hAnsi="Times New Roman" w:eastAsia="Times New Roman" w:cs="Times New Roman"/>
          <w:lang w:val="en-US" w:bidi="en-US"/>
          <w:color w:val="111111"/>
          <w:sz w:val="28"/>
          <w:szCs w:val="28"/>
          <w:rtl/>
        </w:rPr>
        <w:t xml:space="preserve">fowj-e čahārmahālī</w:t>
      </w:r>
    </w:p>
    <w:p>
      <w:pPr>
        <w:pStyle w:val="BookText"/>
      </w:pPr>
      <w:r>
        <w:rPr>
          <w:rFonts w:ascii="IRNazanin" w:hAnsi="IRNazanin" w:eastAsia="IRNazanin" w:cs="IRNazanin"/>
          <w:lang w:bidi="fa-IR"/>
          <w:color w:val="111111"/>
          <w:sz w:val="28"/>
          <w:szCs w:val="28"/>
          <w:rtl/>
        </w:rPr>
        <w:t xml:space="preserve">کتابچه اسامی و مشخصات صاحب منصبان و سربازان فوج چهار محالی در سال ۱۳۰۳ اعداد به سیاق است. شامل اسم و تعداد عائله و اندازه قد و قامت و چهره و سیمای فوج چهار محالی که به توضیح صارم الدوله و مشیرالملک و لشکر  نویس رسیده است می باشد.</w:t>
      </w:r>
    </w:p>
    <w:p>
      <w:pPr>
        <w:pStyle w:val="BookText"/>
      </w:pPr>
      <w:r>
        <w:rPr>
          <w:rFonts w:ascii="IRNazanin" w:hAnsi="IRNazanin" w:eastAsia="IRNazanin" w:cs="IRNazanin"/>
          <w:lang w:bidi="fa-IR"/>
          <w:color w:val="111111"/>
          <w:sz w:val="28"/>
          <w:szCs w:val="28"/>
          <w:rtl/>
        </w:rPr>
        <w:t xml:space="preserve">تهران؛ مجلس؛ شماره نسخه: ۱۰۵۸</w:t>
      </w:r>
    </w:p>
    <w:p>
      <w:pPr>
        <w:pStyle w:val="BookText"/>
      </w:pPr>
      <w:r>
        <w:rPr>
          <w:rFonts w:ascii="IRNazanin" w:hAnsi="IRNazanin" w:eastAsia="IRNazanin" w:cs="IRNazanin"/>
          <w:lang w:bidi="fa-IR"/>
          <w:color w:val="111111"/>
          <w:sz w:val="28"/>
          <w:szCs w:val="28"/>
          <w:rtl/>
        </w:rPr>
        <w:t xml:space="preserve">خط: نستعلیق، بی کا، تا: قرن ۱۴؛ با مهرهای صاحب منصبان و سربازان و محمد علی بن فتح الله؛ کاغذ: آبی، جلد: گالینگور ۳۶گ، ابعاد متن: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۳۶سم [سنا - ف: ۲ - ۱۱۰]</w:t>
      </w:r>
    </w:p>
    <w:p>
      <w:pPr>
        <w:pStyle w:val="Heading3"/>
      </w:pPr>
      <w:bookmarkStart w:id="866" w:name="_Toc388"/>
      <w:r>
        <w:t>اسامی و مقرری فوج مخصوص کزازی / اسناد /  فارسی</w:t>
      </w:r>
      <w:bookmarkEnd w:id="866"/>
    </w:p>
    <w:p>
      <w:pPr>
        <w:pStyle w:val="BookText"/>
      </w:pPr>
      <w:r>
        <w:rPr>
          <w:rFonts w:ascii="Times New Roman" w:hAnsi="Times New Roman" w:eastAsia="Times New Roman" w:cs="Times New Roman"/>
          <w:lang w:val="en-US" w:bidi="en-US"/>
          <w:color w:val="111111"/>
          <w:sz w:val="28"/>
          <w:szCs w:val="28"/>
          <w:rtl/>
        </w:rPr>
        <w:t xml:space="preserve">asāmī va moqarrarī-ye fowj-e maxsūs-e kazāzī</w:t>
      </w:r>
    </w:p>
    <w:p>
      <w:pPr>
        <w:pStyle w:val="BookText"/>
      </w:pPr>
      <w:r>
        <w:rPr>
          <w:rFonts w:ascii="IRNazanin" w:hAnsi="IRNazanin" w:eastAsia="IRNazanin" w:cs="IRNazanin"/>
          <w:lang w:bidi="fa-IR"/>
          <w:color w:val="111111"/>
          <w:sz w:val="28"/>
          <w:szCs w:val="28"/>
          <w:rtl/>
        </w:rPr>
        <w:t xml:space="preserve">کتابچه اسامی و مقرری فوج مخصوص کزازی اعداد به سیاق است.</w:t>
      </w:r>
    </w:p>
    <w:p>
      <w:pPr>
        <w:pStyle w:val="BookText"/>
      </w:pPr>
      <w:r>
        <w:rPr>
          <w:rFonts w:ascii="IRNazanin" w:hAnsi="IRNazanin" w:eastAsia="IRNazanin" w:cs="IRNazanin"/>
          <w:lang w:bidi="fa-IR"/>
          <w:color w:val="111111"/>
          <w:sz w:val="28"/>
          <w:szCs w:val="28"/>
          <w:rtl/>
        </w:rPr>
        <w:t xml:space="preserve">تهران؛ مجلس؛ شماره نسخه: ۱۰۰۷</w:t>
      </w:r>
    </w:p>
    <w:p>
      <w:pPr>
        <w:pStyle w:val="BookText"/>
      </w:pPr>
      <w:r>
        <w:rPr>
          <w:rFonts w:ascii="IRNazanin" w:hAnsi="IRNazanin" w:eastAsia="IRNazanin" w:cs="IRNazanin"/>
          <w:lang w:bidi="fa-IR"/>
          <w:color w:val="111111"/>
          <w:sz w:val="28"/>
          <w:szCs w:val="28"/>
          <w:rtl/>
        </w:rPr>
        <w:t xml:space="preserve">خط: نستعلیق، بی کا، تا: قرن ۱۴؛ با مهر محمد على بن فتح الله؛ کاغذ: سفید ،جلد ،گالینگور ،۳۶گ، اندازه متن: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[سنا - ف: ۲ - ۱۰۴]</w:t>
      </w:r>
    </w:p>
    <w:p>
      <w:pPr>
        <w:pStyle w:val="Heading3"/>
      </w:pPr>
      <w:bookmarkStart w:id="867" w:name="_Toc389"/>
      <w:r>
        <w:t>اسامی و مواجب صاحب منصبان و سربازان فوج  ظفر مهندسی کردستان / اسناد / فارسی</w:t>
      </w:r>
      <w:bookmarkEnd w:id="867"/>
    </w:p>
    <w:p>
      <w:pPr>
        <w:pStyle w:val="BookText"/>
      </w:pPr>
      <w:r>
        <w:rPr>
          <w:rFonts w:ascii="Times New Roman" w:hAnsi="Times New Roman" w:eastAsia="Times New Roman" w:cs="Times New Roman"/>
          <w:lang w:val="en-US" w:bidi="en-US"/>
          <w:color w:val="111111"/>
          <w:sz w:val="28"/>
          <w:szCs w:val="28"/>
          <w:rtl/>
        </w:rPr>
        <w:t xml:space="preserve">asami_va_mavajeb-e saheb-mansaban va sarbazan-e fowj-e zafar mohandesī-ye kordestan</w:t>
      </w:r>
    </w:p>
    <w:p>
      <w:pPr>
        <w:pStyle w:val="BookText"/>
      </w:pPr>
      <w:r>
        <w:rPr>
          <w:rFonts w:ascii="IRNazanin" w:hAnsi="IRNazanin" w:eastAsia="IRNazanin" w:cs="IRNazanin"/>
          <w:lang w:bidi="fa-IR"/>
          <w:color w:val="111111"/>
          <w:sz w:val="28"/>
          <w:szCs w:val="28"/>
          <w:rtl/>
        </w:rPr>
        <w:t xml:space="preserve">کتابچه اسامی و مواجب صاحب منصبان و سربازان فوج ظفر مهندسی کردستان در سال ۱۳۰۳ ابواب جمعی محمد علی خان  ظفر الملک اعداد به سیاق است.</w:t>
      </w:r>
    </w:p>
    <w:p>
      <w:pPr>
        <w:pStyle w:val="BookText"/>
      </w:pPr>
      <w:r>
        <w:rPr>
          <w:rFonts w:ascii="IRNazanin" w:hAnsi="IRNazanin" w:eastAsia="IRNazanin" w:cs="IRNazanin"/>
          <w:lang w:bidi="fa-IR"/>
          <w:color w:val="111111"/>
          <w:sz w:val="28"/>
          <w:szCs w:val="28"/>
          <w:rtl/>
        </w:rPr>
        <w:t xml:space="preserve">تهران؛ مجلس؛ شماره نسخه ۱۰۱۸</w:t>
      </w:r>
    </w:p>
    <w:p>
      <w:pPr>
        <w:pStyle w:val="BookText"/>
      </w:pPr>
      <w:r>
        <w:rPr>
          <w:rFonts w:ascii="IRNazanin" w:hAnsi="IRNazanin" w:eastAsia="IRNazanin" w:cs="IRNazanin"/>
          <w:lang w:bidi="fa-IR"/>
          <w:color w:val="111111"/>
          <w:sz w:val="28"/>
          <w:szCs w:val="28"/>
          <w:rtl/>
        </w:rPr>
        <w:t xml:space="preserve">خط: نستعلیق ،بی کا، تا: قرن  ۱۴، با مهرهای صاحب منصبان و  سربازان فوج ظفر و مهر و یادداشت ظفرالملک؛ کاغذ: سفید ،جلد: گالینگور، ۲۸گ، اندازه متن: 9</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۲۳سم [سنا - ف: ۲ - ۱۰۵]</w:t>
      </w:r>
    </w:p>
    <w:p>
      <w:pPr>
        <w:pStyle w:val="Heading3"/>
      </w:pPr>
      <w:bookmarkStart w:id="868" w:name="_Toc390"/>
      <w:r>
        <w:t>اس انقلاب (ترجمه) / تاریخ / فارسی</w:t>
      </w:r>
      <w:bookmarkEnd w:id="868"/>
    </w:p>
    <w:p>
      <w:pPr>
        <w:pStyle w:val="BookText"/>
      </w:pPr>
      <w:r>
        <w:rPr>
          <w:rFonts w:ascii="Times New Roman" w:hAnsi="Times New Roman" w:eastAsia="Times New Roman" w:cs="Times New Roman"/>
          <w:lang w:val="en-US" w:bidi="en-US"/>
          <w:color w:val="111111"/>
          <w:sz w:val="28"/>
          <w:szCs w:val="28"/>
          <w:rtl/>
        </w:rPr>
        <w:t xml:space="preserve">(oss-e enqelab (t.)</w:t>
      </w:r>
    </w:p>
    <w:p>
      <w:pPr>
        <w:pStyle w:val="BookText"/>
      </w:pPr>
      <w:r>
        <w:rPr>
          <w:rFonts w:ascii="IRNazanin" w:hAnsi="IRNazanin" w:eastAsia="IRNazanin" w:cs="IRNazanin"/>
          <w:lang w:bidi="fa-IR"/>
          <w:color w:val="111111"/>
          <w:sz w:val="28"/>
          <w:szCs w:val="28"/>
          <w:rtl/>
        </w:rPr>
        <w:t xml:space="preserve">تأليف احمد مدحت ،مترجم معلوم نیست. مؤلف کتاب را به نام و به امر سلطان غازی عبدالحمید خان در وقایع ۱۲۹۳ تا ۱۲۹۴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14" w:name="pg20365_260146"/>
    <w:bookmarkEnd w:id="114"/>
    <w:p>
      <w:pPr>
        <w:pStyle w:val="BookText"/>
      </w:pPr>
      <w:r>
        <w:rPr>
          <w:rFonts w:ascii="IRNazanin" w:hAnsi="IRNazanin" w:eastAsia="IRNazanin" w:cs="IRNazanin"/>
          <w:lang w:bidi="fa-IR"/>
          <w:color w:val="111111"/>
          <w:sz w:val="28"/>
          <w:szCs w:val="28"/>
          <w:rtl/>
        </w:rPr>
        <w:t xml:space="preserve">نوشته است مشتمل بر دو «مقدمه» و منقسم به دو «قسم» قـسم اول محتوی بر دوازده فقره است که این ترجمه شامل دو مقدمه و قسم اول است.</w:t>
      </w:r>
    </w:p>
    <w:p>
      <w:pPr>
        <w:pStyle w:val="BookText"/>
      </w:pPr>
      <w:r>
        <w:rPr>
          <w:rFonts w:ascii="IRNazanin" w:hAnsi="IRNazanin" w:eastAsia="IRNazanin" w:cs="IRNazanin"/>
          <w:lang w:bidi="fa-IR"/>
          <w:color w:val="111111"/>
          <w:sz w:val="28"/>
          <w:szCs w:val="28"/>
          <w:rtl/>
        </w:rPr>
        <w:t xml:space="preserve">اصفهان؛ صارم الدوله (کتابخانه فرهنگ اصفهان)؛ شماره نسخه: ۹۴۱</w:t>
      </w:r>
    </w:p>
    <w:p>
      <w:pPr>
        <w:pStyle w:val="BookText"/>
      </w:pPr>
      <w:r>
        <w:rPr>
          <w:rFonts w:ascii="IRNazanin" w:hAnsi="IRNazanin" w:eastAsia="IRNazanin" w:cs="IRNazanin"/>
          <w:lang w:bidi="fa-IR"/>
          <w:color w:val="111111"/>
          <w:sz w:val="28"/>
          <w:szCs w:val="28"/>
          <w:rtl/>
        </w:rPr>
        <w:t xml:space="preserve">آغاز: آغاز مقدمه مصنف تاریخ داستان وضع و حال مدنیت دینی نوع بشر است که در واقع وصف حال جامعی است چون از؛ انجام: و با چندین مظفریات عظیمه شان و شوکت دولت و ملت را تزیید بفرمایاد آمین  تمت.</w:t>
      </w:r>
    </w:p>
    <w:p>
      <w:pPr>
        <w:pStyle w:val="BookText"/>
      </w:pPr>
      <w:r>
        <w:rPr>
          <w:rFonts w:ascii="IRNazanin" w:hAnsi="IRNazanin" w:eastAsia="IRNazanin" w:cs="IRNazanin"/>
          <w:lang w:bidi="fa-IR"/>
          <w:color w:val="111111"/>
          <w:sz w:val="28"/>
          <w:szCs w:val="28"/>
          <w:rtl/>
        </w:rPr>
        <w:t xml:space="preserve">خط: نستعلیق، بی کا، تا: قرن ۱۴؛ کاغذ: فرنگی آبی، جلد: مقوایی، با کاغذ الوان عطف میشن  عنابی، ۲۸۱ ص، ۱۷ سطر (9</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۷۰]</w:t>
      </w:r>
    </w:p>
    <w:p>
      <w:pPr>
        <w:pStyle w:val="Heading3"/>
      </w:pPr>
      <w:bookmarkStart w:id="869" w:name="_Toc391"/>
      <w:r>
        <w:t>الاسانيد الحيوية فى الاحاديث النبوية / حديث / عربی</w:t>
      </w:r>
      <w:bookmarkEnd w:id="869"/>
    </w:p>
    <w:p>
      <w:pPr>
        <w:pStyle w:val="BookText"/>
      </w:pPr>
      <w:r>
        <w:rPr>
          <w:rFonts w:ascii="Times New Roman" w:hAnsi="Times New Roman" w:eastAsia="Times New Roman" w:cs="Times New Roman"/>
          <w:lang w:val="en-US" w:bidi="en-US"/>
          <w:color w:val="111111"/>
          <w:sz w:val="28"/>
          <w:szCs w:val="28"/>
          <w:rtl/>
        </w:rPr>
        <w:t xml:space="preserve">asanid-ul hayawiya fi-l ahadit-in nabawiyaaya ebn-e hoseyn ebn-e qasem</w:t>
      </w:r>
    </w:p>
    <w:p>
      <w:pPr>
        <w:pStyle w:val="BookText"/>
      </w:pPr>
      <w:r>
        <w:rPr>
          <w:rFonts w:ascii="Amiri" w:hAnsi="Amiri" w:eastAsia="Amiri" w:cs="Amiri"/>
          <w:lang w:bidi="ar-SA"/>
          <w:color w:val="111111"/>
          <w:sz w:val="28"/>
          <w:szCs w:val="28"/>
          <w:rtl/>
        </w:rPr>
        <w:t xml:space="preserve">يحيى بن حسين بن قاسم</w:t>
      </w:r>
    </w:p>
    <w:p>
      <w:pPr>
        <w:pStyle w:val="BookText"/>
      </w:pPr>
      <w:r>
        <w:rPr>
          <w:rFonts w:ascii="IRNazanin" w:hAnsi="IRNazanin" w:eastAsia="IRNazanin" w:cs="IRNazanin"/>
          <w:lang w:bidi="fa-IR"/>
          <w:color w:val="111111"/>
          <w:sz w:val="28"/>
          <w:szCs w:val="28"/>
          <w:rtl/>
        </w:rPr>
        <w:t xml:space="preserve">قم ؛مرعشی؛ شماره نسخه: ۹۸۲۹/۳</w:t>
      </w:r>
    </w:p>
    <w:p>
      <w:pPr>
        <w:pStyle w:val="BookText"/>
      </w:pPr>
      <w:r>
        <w:rPr>
          <w:rFonts w:ascii="IRNazanin" w:hAnsi="IRNazanin" w:eastAsia="IRNazanin" w:cs="IRNazanin"/>
          <w:lang w:bidi="fa-IR"/>
          <w:color w:val="111111"/>
          <w:sz w:val="28"/>
          <w:szCs w:val="28"/>
          <w:rtl/>
        </w:rPr>
        <w:t xml:space="preserve">خط: نسخ، بی کا، بی تا؛ از کتب بسیار نفیس و نایاب زیدیه است ؛قطع: وزیری [میراث شهاب: س ۷ش ۳-۴ - ۲۵]</w:t>
      </w:r>
    </w:p>
    <w:p>
      <w:pPr>
        <w:pStyle w:val="Heading3"/>
      </w:pPr>
      <w:bookmarkStart w:id="870" w:name="_Toc392"/>
      <w:r>
        <w:t>اسانيد القراء / اجازات / عربي</w:t>
      </w:r>
      <w:bookmarkEnd w:id="870"/>
    </w:p>
    <w:p>
      <w:pPr>
        <w:pStyle w:val="BookText"/>
      </w:pPr>
      <w:r>
        <w:rPr>
          <w:rFonts w:ascii="Times New Roman" w:hAnsi="Times New Roman" w:eastAsia="Times New Roman" w:cs="Times New Roman"/>
          <w:lang w:val="en-US" w:bidi="en-US"/>
          <w:color w:val="111111"/>
          <w:sz w:val="28"/>
          <w:szCs w:val="28"/>
          <w:rtl/>
        </w:rPr>
        <w:t xml:space="preserve">asānīd-ul-qurrā’</w:t>
      </w:r>
    </w:p>
    <w:p>
      <w:pPr>
        <w:pStyle w:val="BookText"/>
      </w:pPr>
      <w:r>
        <w:rPr>
          <w:rFonts w:ascii="IRNazanin" w:hAnsi="IRNazanin" w:eastAsia="IRNazanin" w:cs="IRNazanin"/>
          <w:lang w:bidi="fa-IR"/>
          <w:color w:val="111111"/>
          <w:sz w:val="28"/>
          <w:szCs w:val="28"/>
          <w:rtl/>
        </w:rPr>
        <w:t xml:space="preserve">دمشقی عبدالوهاب بن يوسف، ۶۹۸ - ۷۸۲ قمری</w:t>
      </w:r>
    </w:p>
    <w:p>
      <w:pPr>
        <w:pStyle w:val="BookText"/>
      </w:pPr>
      <w:r>
        <w:rPr>
          <w:rFonts w:ascii="Times New Roman" w:hAnsi="Times New Roman" w:eastAsia="Times New Roman" w:cs="Times New Roman"/>
          <w:lang w:val="en-US" w:bidi="en-US"/>
          <w:color w:val="111111"/>
          <w:sz w:val="28"/>
          <w:szCs w:val="28"/>
          <w:rtl/>
        </w:rPr>
        <w:t xml:space="preserve">(mešqī, ‘abd-ol-vahhab ebn-e yusof (1299 - 1381)</w:t>
      </w:r>
    </w:p>
    <w:p>
      <w:pPr>
        <w:pStyle w:val="BookText"/>
      </w:pPr>
      <w:r>
        <w:rPr>
          <w:rFonts w:ascii="IRNazanin" w:hAnsi="IRNazanin" w:eastAsia="IRNazanin" w:cs="IRNazanin"/>
          <w:lang w:bidi="fa-IR"/>
          <w:color w:val="111111"/>
          <w:sz w:val="28"/>
          <w:szCs w:val="28"/>
          <w:rtl/>
        </w:rPr>
        <w:t xml:space="preserve">این کتاب اجازه ای است که او به شاگرد خود ابومحـمد معز الدین حسن بن تاج الدين حسين بن سید مجد الدين على بن عبیدالله حسنی حنبلی پس از ختم قرآن داده و در آن فهرست کتاب های قراآت و سند روایت آنها و اسناد قراء به نام هریک و سلسله اسناد روایت خود را به قراء جدا جدا یاد کرده است.</w:t>
      </w:r>
    </w:p>
    <w:p>
      <w:pPr>
        <w:pStyle w:val="BookText"/>
      </w:pPr>
      <w:r>
        <w:rPr>
          <w:rFonts w:ascii="Amiri" w:hAnsi="Amiri" w:eastAsia="Amiri" w:cs="Amiri"/>
          <w:lang w:bidi="ar-SA"/>
          <w:color w:val="111111"/>
          <w:sz w:val="28"/>
          <w:szCs w:val="28"/>
          <w:rtl/>
        </w:rPr>
        <w:t xml:space="preserve">آغاز: الحمد الله الواحد الصمد الذي لم يلد ولم يولد ولم يكن له كفواً احد هو الذي خلق الانام بحكمته و فطر السموات و الارض بقدرته الاول بلا عديل و الآخر بلا تمثيل.[معجم المؤلفين ۲۳۱/۶]</w:t>
      </w:r>
    </w:p>
    <w:p>
      <w:pPr>
        <w:pStyle w:val="BookText"/>
      </w:pPr>
      <w:r>
        <w:rPr>
          <w:rFonts w:ascii="IRNazanin" w:hAnsi="IRNazanin" w:eastAsia="IRNazanin" w:cs="IRNazanin"/>
          <w:lang w:bidi="fa-IR"/>
          <w:color w:val="111111"/>
          <w:sz w:val="28"/>
          <w:szCs w:val="28"/>
          <w:rtl/>
        </w:rPr>
        <w:t xml:space="preserve">تهران؛ ملک؛ شماره نسخه: ۲۷۹</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ثلث، بی کا ،تا: ذیقعده ۷۷۱ق؛ در پایان اجازه ای است مؤلف به مجیز در ۲۷ محرم ۷۷۱ق و شهادتدیگری از «اسماعیل بن خلیفه حسنائی شافعی» در تأیید اجازه مؤلف به تاریخ ربیع الثاني ۷۷۲ق و شهادت دومی از «محمد بن حسن بن محـمد حارثی شافعی» آمده که تاریخ آن پاک شده و از بین رفته،  و شهادت سومی از «محمد بن علی حنفی» در ربیع الثانی ۷۷۲؛ و شهادت چهارمی از «احمد بن على بن الارموی» در ۲۵ جمادی  الثاني ۷۷۳، و در پایان نیز چند نشانی قرائت کتاب آمده یکی از «قاضی حاتم» و دیگری از «قاضی بخاری»، در برگ اول تاریخ های تولد و وفات بسیاری مکتوب است به سال های ۹۳۷، ،۹۴۳ ،۹۴۶، ۹۶۳، و غیره؛ تملک: «شیخ خلیل»، محمد حسين بن کاظم علوی فاطمی حسنی حسینی حافظ تبریطی ملقب به سلطان القراء در حرم امام رضا (علیه السّلام) ؛کاغذ: دولت آبادی، جلد: مقوا رویه کاغذ کهنه، ۱۰۶گ، ۱۳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۱ - ۲۸]</w:t>
      </w:r>
    </w:p>
    <w:p>
      <w:pPr>
        <w:pStyle w:val="BookText"/>
      </w:pPr>
      <w:r>
        <w:rPr>
          <w:rFonts w:ascii="IRNazanin" w:hAnsi="IRNazanin" w:eastAsia="IRNazanin" w:cs="IRNazanin"/>
          <w:lang w:bidi="fa-IR"/>
          <w:color w:val="111111"/>
          <w:sz w:val="28"/>
          <w:szCs w:val="28"/>
          <w:rtl/>
        </w:rPr>
        <w:t xml:space="preserve">قم؛ مرکز احیاء؛ شماره نسخه: ۹۷۷</w:t>
      </w:r>
    </w:p>
    <w:p>
      <w:pPr>
        <w:pStyle w:val="BookText"/>
      </w:pPr>
      <w:r>
        <w:rPr>
          <w:rFonts w:ascii="IRNazanin" w:hAnsi="IRNazanin" w:eastAsia="IRNazanin" w:cs="IRNazanin"/>
          <w:lang w:bidi="fa-IR"/>
          <w:color w:val="111111"/>
          <w:sz w:val="28"/>
          <w:szCs w:val="28"/>
          <w:rtl/>
        </w:rPr>
        <w:t xml:space="preserve">نسخه اصل: همان نسخه بالا [عکسی ف ۳ - ۲۲۰]</w:t>
      </w:r>
    </w:p>
    <w:p>
      <w:pPr>
        <w:pStyle w:val="Heading3"/>
      </w:pPr>
      <w:bookmarkStart w:id="871" w:name="_Toc393"/>
      <w:r>
        <w:t>اسانید صدوق / رجال / عربی</w:t>
      </w:r>
      <w:bookmarkEnd w:id="871"/>
    </w:p>
    <w:p>
      <w:pPr>
        <w:pStyle w:val="BookText"/>
      </w:pPr>
      <w:r>
        <w:rPr>
          <w:rFonts w:ascii="Times New Roman" w:hAnsi="Times New Roman" w:eastAsia="Times New Roman" w:cs="Times New Roman"/>
          <w:lang w:val="en-US" w:bidi="en-US"/>
          <w:color w:val="111111"/>
          <w:sz w:val="28"/>
          <w:szCs w:val="28"/>
          <w:rtl/>
        </w:rPr>
        <w:t xml:space="preserve">asānīd-e sadūq</w:t>
      </w:r>
    </w:p>
    <w:p>
      <w:pPr>
        <w:pStyle w:val="BookText"/>
      </w:pPr>
      <w:r>
        <w:rPr>
          <w:rFonts w:ascii="IRNazanin" w:hAnsi="IRNazanin" w:eastAsia="IRNazanin" w:cs="IRNazanin"/>
          <w:lang w:bidi="fa-IR"/>
          <w:color w:val="111111"/>
          <w:sz w:val="28"/>
          <w:szCs w:val="28"/>
          <w:rtl/>
        </w:rPr>
        <w:t xml:space="preserve">تهران؛ ملک شماره نسخه: ۳۵۶۸/۲</w:t>
      </w:r>
    </w:p>
    <w:p>
      <w:pPr>
        <w:pStyle w:val="BookText"/>
      </w:pPr>
      <w:r>
        <w:rPr>
          <w:rFonts w:ascii="IRNazanin" w:hAnsi="IRNazanin" w:eastAsia="IRNazanin" w:cs="IRNazanin"/>
          <w:lang w:bidi="fa-IR"/>
          <w:color w:val="111111"/>
          <w:sz w:val="28"/>
          <w:szCs w:val="28"/>
          <w:rtl/>
        </w:rPr>
        <w:t xml:space="preserve">خط: نسخ، بی کا، بی تا [ف: ۶ – ۴۹۵]</w:t>
      </w:r>
    </w:p>
    <w:p>
      <w:pPr>
        <w:pStyle w:val="Heading3"/>
      </w:pPr>
      <w:bookmarkStart w:id="872" w:name="_Toc394"/>
      <w:r>
        <w:t>اسانید صدوق / رجال / عربی</w:t>
      </w:r>
      <w:bookmarkEnd w:id="872"/>
    </w:p>
    <w:p>
      <w:pPr>
        <w:pStyle w:val="BookText"/>
      </w:pPr>
      <w:r>
        <w:rPr>
          <w:rFonts w:ascii="Times New Roman" w:hAnsi="Times New Roman" w:eastAsia="Times New Roman" w:cs="Times New Roman"/>
          <w:lang w:val="en-US" w:bidi="en-US"/>
          <w:color w:val="111111"/>
          <w:sz w:val="28"/>
          <w:szCs w:val="28"/>
          <w:rtl/>
        </w:rPr>
        <w:t xml:space="preserve">asānīd-e sadūq</w:t>
      </w:r>
    </w:p>
    <w:p>
      <w:pPr>
        <w:pStyle w:val="BookText"/>
      </w:pPr>
      <w:r>
        <w:rPr>
          <w:rFonts w:ascii="IRNazanin" w:hAnsi="IRNazanin" w:eastAsia="IRNazanin" w:cs="IRNazanin"/>
          <w:lang w:bidi="fa-IR"/>
          <w:color w:val="111111"/>
          <w:sz w:val="28"/>
          <w:szCs w:val="28"/>
          <w:rtl/>
        </w:rPr>
        <w:t xml:space="preserve">تهران؛ مجلس؛ شماره نسخه: ۱۰۳۲/۱۲-ط</w:t>
      </w:r>
    </w:p>
    <w:p>
      <w:pPr>
        <w:pStyle w:val="BookText"/>
      </w:pPr>
      <w:r>
        <w:rPr>
          <w:rFonts w:ascii="IRNazanin" w:hAnsi="IRNazanin" w:eastAsia="IRNazanin" w:cs="IRNazanin"/>
          <w:lang w:bidi="fa-IR"/>
          <w:color w:val="111111"/>
          <w:sz w:val="28"/>
          <w:szCs w:val="28"/>
          <w:rtl/>
        </w:rPr>
        <w:t xml:space="preserve">آغاز: بسمله لما كتبت رسالة الرجال للفاضل المجلسى و لم يكن في خاتمة المنتسخ ما كان فى بعض النسخ من بيان حال الاحاديث الواقعه في الفقه ثم الطلعت عليها فاوردت ها هنا فاقول قال الفاضل المجلسى ... و لنختم الرساله بذکر احوال اسانيد الصدوق في الفقيه الى الاصول التى اخذ الاخبار منها</w:t>
      </w:r>
    </w:p>
    <w:p>
      <w:pPr>
        <w:pStyle w:val="BookText"/>
      </w:pPr>
      <w:r>
        <w:rPr>
          <w:rFonts w:ascii="IRNazanin" w:hAnsi="IRNazanin" w:eastAsia="IRNazanin" w:cs="IRNazanin"/>
          <w:lang w:bidi="fa-IR"/>
          <w:color w:val="111111"/>
          <w:sz w:val="28"/>
          <w:szCs w:val="28"/>
          <w:rtl/>
        </w:rPr>
        <w:t xml:space="preserve">نقل است از خاتمه رجال مجلسی (- وجيزه)؛ کا: محمد رضا بن محمد رشید نائینی، بی تا؛ قطع: وزیری کوچک (خشتی)؛ کاغذ: فرنگی، جلد: تیماج یک لا ،مشکی، ص (۱۲-۱۴)، قطع : وزیری ،کوچک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 ۲۳ - ۳۲۵]</w:t>
      </w:r>
    </w:p>
    <w:p>
      <w:pPr>
        <w:pStyle w:val="Heading3"/>
      </w:pPr>
      <w:bookmarkStart w:id="873" w:name="_Toc395"/>
      <w:r>
        <w:t>اسانید کتاب من لا يحضره الفقيه / رجال / عربي</w:t>
      </w:r>
      <w:bookmarkEnd w:id="873"/>
    </w:p>
    <w:p>
      <w:pPr>
        <w:pStyle w:val="BookText"/>
      </w:pPr>
      <w:r>
        <w:rPr>
          <w:rFonts w:ascii="Times New Roman" w:hAnsi="Times New Roman" w:eastAsia="Times New Roman" w:cs="Times New Roman"/>
          <w:lang w:val="en-US" w:bidi="en-US"/>
          <w:color w:val="111111"/>
          <w:sz w:val="28"/>
          <w:szCs w:val="28"/>
          <w:rtl/>
        </w:rPr>
        <w:t xml:space="preserve">asānīd-e k.-e man lā-yaḥḍar-u-h-ul-faqīh</w:t>
      </w:r>
    </w:p>
    <w:p>
      <w:pPr>
        <w:pStyle w:val="BookText"/>
      </w:pPr>
      <w:r>
        <w:rPr>
          <w:rFonts w:ascii="IRNazanin" w:hAnsi="IRNazanin" w:eastAsia="IRNazanin" w:cs="IRNazanin"/>
          <w:lang w:bidi="fa-IR"/>
          <w:color w:val="111111"/>
          <w:sz w:val="28"/>
          <w:szCs w:val="28"/>
          <w:rtl/>
        </w:rPr>
        <w:t xml:space="preserve">شیخ صدوق، محمد بن علی، ۳۱۱ - ۳۸۱ قمری</w:t>
      </w:r>
    </w:p>
    <w:p>
      <w:pPr>
        <w:pStyle w:val="BookText"/>
      </w:pPr>
      <w:r>
        <w:rPr>
          <w:rFonts w:ascii="Times New Roman" w:hAnsi="Times New Roman" w:eastAsia="Times New Roman" w:cs="Times New Roman"/>
          <w:lang w:val="en-US" w:bidi="en-US"/>
          <w:color w:val="111111"/>
          <w:sz w:val="28"/>
          <w:szCs w:val="28"/>
          <w:rtl/>
        </w:rPr>
        <w:t xml:space="preserve">(šeyx-e sadūq, mohammad ebn-e ‘alī (924 - 992)</w:t>
      </w:r>
    </w:p>
    <w:p>
      <w:pPr>
        <w:pStyle w:val="BookText"/>
      </w:pPr>
      <w:r>
        <w:rPr>
          <w:rFonts w:ascii="IRNazanin" w:hAnsi="IRNazanin" w:eastAsia="IRNazanin" w:cs="IRNazanin"/>
          <w:lang w:bidi="fa-IR"/>
          <w:color w:val="111111"/>
          <w:sz w:val="28"/>
          <w:szCs w:val="28"/>
          <w:rtl/>
        </w:rPr>
        <w:t xml:space="preserve">۱. مشهد ؛رضوی؛ شماره نسخه: ۲۳۱۴۰</w:t>
      </w:r>
    </w:p>
    <w:p>
      <w:pPr>
        <w:pStyle w:val="BookText"/>
      </w:pPr>
      <w:r>
        <w:rPr>
          <w:rFonts w:ascii="Amiri" w:hAnsi="Amiri" w:eastAsia="Amiri" w:cs="Amiri"/>
          <w:lang w:bidi="ar-SA"/>
          <w:color w:val="111111"/>
          <w:sz w:val="28"/>
          <w:szCs w:val="28"/>
          <w:rtl/>
        </w:rPr>
        <w:t xml:space="preserve">آغاز: بسمله و لنختم الرساله بذكر اسانيد الصدوق؛ انجام: على  خاتم الرساله محمد و اهل بيت العصمه ... آمين</w:t>
      </w:r>
    </w:p>
    <w:p>
      <w:pPr>
        <w:pStyle w:val="BookText"/>
      </w:pPr>
      <w:r>
        <w:rPr>
          <w:rFonts w:ascii="IRNazanin" w:hAnsi="IRNazanin" w:eastAsia="IRNazanin" w:cs="IRNazanin"/>
          <w:lang w:bidi="fa-IR"/>
          <w:color w:val="111111"/>
          <w:sz w:val="28"/>
          <w:szCs w:val="28"/>
          <w:rtl/>
        </w:rPr>
        <w:t xml:space="preserve">خط: نستعلیق، بی کا، تا: ۱۱۲۰ق) [رایانه]</w:t>
      </w:r>
    </w:p>
    <w:p>
      <w:pPr>
        <w:pStyle w:val="BookText"/>
      </w:pPr>
      <w:r>
        <w:rPr>
          <w:rFonts w:ascii="IRNazanin" w:hAnsi="IRNazanin" w:eastAsia="IRNazanin" w:cs="IRNazanin"/>
          <w:lang w:bidi="fa-IR"/>
          <w:color w:val="111111"/>
          <w:sz w:val="28"/>
          <w:szCs w:val="28"/>
          <w:rtl/>
        </w:rPr>
        <w:t xml:space="preserve">٢ . مشهد؛ رضوی؛ شماره نسخه: ض ۱۳۳۷۷</w:t>
      </w:r>
    </w:p>
    <w:p>
      <w:pPr>
        <w:pStyle w:val="BookText"/>
      </w:pPr>
      <w:r>
        <w:rPr>
          <w:rFonts w:ascii="IRNazanin" w:hAnsi="IRNazanin" w:eastAsia="IRNazanin" w:cs="IRNazanin"/>
          <w:lang w:bidi="fa-IR"/>
          <w:color w:val="111111"/>
          <w:sz w:val="28"/>
          <w:szCs w:val="28"/>
          <w:rtl/>
        </w:rPr>
        <w:t xml:space="preserve">آغاز: بسمله يقول محمد بن على بن الحسين ابن موسی ابن بابویه  القمى ؛انجام: ثابت عن سعد بن طريف الخفاف  تم  ...  سنه 1270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15" w:name="pg20365_260147"/>
    <w:bookmarkEnd w:id="115"/>
    <w:p>
      <w:pPr>
        <w:pStyle w:val="BookText"/>
      </w:pPr>
      <w:r>
        <w:rPr>
          <w:rFonts w:ascii="IRNazanin" w:hAnsi="IRNazanin" w:eastAsia="IRNazanin" w:cs="IRNazanin"/>
          <w:lang w:bidi="fa-IR"/>
          <w:color w:val="111111"/>
          <w:sz w:val="28"/>
          <w:szCs w:val="28"/>
          <w:rtl/>
        </w:rPr>
        <w:t xml:space="preserve">خط: نسخ، بی کا، تا :۱۲۷۰ق [الفبائی: ۴۲]</w:t>
      </w:r>
    </w:p>
    <w:p>
      <w:pPr>
        <w:pStyle w:val="BookText"/>
      </w:pPr>
      <w:r>
        <w:rPr>
          <w:rFonts w:ascii="Amiri" w:hAnsi="Amiri" w:eastAsia="Amiri" w:cs="Amiri"/>
          <w:lang w:bidi="ar-SA"/>
          <w:color w:val="111111"/>
          <w:sz w:val="28"/>
          <w:szCs w:val="28"/>
          <w:rtl/>
        </w:rPr>
        <w:t xml:space="preserve">«اسانيد من لا يحضره الفقيه » مشيخة من لا يحضره الفقيه</w:t>
      </w:r>
    </w:p>
    <w:p>
      <w:pPr>
        <w:pStyle w:val="BookText"/>
      </w:pPr>
      <w:r>
        <w:rPr>
          <w:rFonts w:ascii="IRNazanin" w:hAnsi="IRNazanin" w:eastAsia="IRNazanin" w:cs="IRNazanin"/>
          <w:lang w:bidi="fa-IR"/>
          <w:color w:val="111111"/>
          <w:sz w:val="28"/>
          <w:szCs w:val="28"/>
          <w:rtl/>
        </w:rPr>
        <w:t xml:space="preserve">اسانید من لا یحضره الفقيه  » ترتيب مشيخة من لا يحضـره الفقيه</w:t>
      </w:r>
    </w:p>
    <w:p>
      <w:pPr>
        <w:pStyle w:val="Heading3"/>
      </w:pPr>
      <w:bookmarkStart w:id="874" w:name="_Toc396"/>
      <w:r>
        <w:t>اسئله اثنی عشریه / کلام و اعتقادات / فارسی</w:t>
      </w:r>
      <w:bookmarkEnd w:id="874"/>
    </w:p>
    <w:p>
      <w:pPr>
        <w:pStyle w:val="BookText"/>
      </w:pPr>
      <w:r>
        <w:rPr>
          <w:rFonts w:ascii="Times New Roman" w:hAnsi="Times New Roman" w:eastAsia="Times New Roman" w:cs="Times New Roman"/>
          <w:lang w:val="en-US" w:bidi="en-US"/>
          <w:color w:val="111111"/>
          <w:sz w:val="28"/>
          <w:szCs w:val="28"/>
          <w:rtl/>
        </w:rPr>
        <w:t xml:space="preserve">as’ele-ye esnā ‘ašarīye</w:t>
      </w:r>
    </w:p>
    <w:p>
      <w:pPr>
        <w:pStyle w:val="BookText"/>
      </w:pPr>
      <w:r>
        <w:rPr>
          <w:rFonts w:ascii="IRNazanin" w:hAnsi="IRNazanin" w:eastAsia="IRNazanin" w:cs="IRNazanin"/>
          <w:lang w:bidi="fa-IR"/>
          <w:color w:val="111111"/>
          <w:sz w:val="28"/>
          <w:szCs w:val="28"/>
          <w:rtl/>
        </w:rPr>
        <w:t xml:space="preserve">میرزا بابا  شیرازی، ابوالقاسم بن عبد النبي،١٢١٢؟  - ۱۲۸۶ قمری</w:t>
      </w:r>
    </w:p>
    <w:p>
      <w:pPr>
        <w:pStyle w:val="BookText"/>
      </w:pPr>
      <w:r>
        <w:rPr>
          <w:rFonts w:ascii="Times New Roman" w:hAnsi="Times New Roman" w:eastAsia="Times New Roman" w:cs="Times New Roman"/>
          <w:lang w:val="en-US" w:bidi="en-US"/>
          <w:color w:val="111111"/>
          <w:sz w:val="28"/>
          <w:szCs w:val="28"/>
          <w:rtl/>
        </w:rPr>
        <w:t xml:space="preserve">mīrzā bābā šīrāzī, ab-ol-qāsem ebn-e ‘abd-on-nabī</w:t>
      </w:r>
    </w:p>
    <w:p>
      <w:pPr>
        <w:pStyle w:val="BookText"/>
      </w:pPr>
      <w:r>
        <w:rPr>
          <w:rFonts w:ascii="Times New Roman" w:hAnsi="Times New Roman" w:eastAsia="Times New Roman" w:cs="Times New Roman"/>
          <w:lang w:val="en-US" w:bidi="en-US"/>
          <w:color w:val="111111"/>
          <w:sz w:val="28"/>
          <w:szCs w:val="28"/>
          <w:rtl/>
        </w:rPr>
        <w:t xml:space="preserve">(1798 - 1870)</w:t>
      </w:r>
    </w:p>
    <w:p>
      <w:pPr>
        <w:pStyle w:val="BookText"/>
      </w:pPr>
      <w:r>
        <w:rPr>
          <w:rFonts w:ascii="Amiri" w:hAnsi="Amiri" w:eastAsia="Amiri" w:cs="Amiri"/>
          <w:lang w:bidi="ar-SA"/>
          <w:color w:val="111111"/>
          <w:sz w:val="28"/>
          <w:szCs w:val="28"/>
          <w:rtl/>
        </w:rPr>
        <w:t xml:space="preserve">آغاز: بسمله الحمد لوليه مبدء خلقته و منشأ لواء رحمته اخرى دعوى اهل جنته والصلاة و السلام على نبيه. .. والاطهار ...</w:t>
      </w:r>
    </w:p>
    <w:p>
      <w:pPr>
        <w:pStyle w:val="BookText"/>
      </w:pPr>
      <w:r>
        <w:rPr>
          <w:rFonts w:ascii="IRNazanin" w:hAnsi="IRNazanin" w:eastAsia="IRNazanin" w:cs="IRNazanin"/>
          <w:lang w:bidi="fa-IR"/>
          <w:color w:val="111111"/>
          <w:sz w:val="28"/>
          <w:szCs w:val="28"/>
          <w:rtl/>
        </w:rPr>
        <w:t xml:space="preserve">انجام: و تفصیل این مطلب در کتاب مذكور (قوائم الانوار) طلب فرمایید</w:t>
      </w:r>
    </w:p>
    <w:p>
      <w:pPr>
        <w:pStyle w:val="BookText"/>
      </w:pPr>
      <w:r>
        <w:rPr>
          <w:rFonts w:ascii="IRNazanin" w:hAnsi="IRNazanin" w:eastAsia="IRNazanin" w:cs="IRNazanin"/>
          <w:lang w:bidi="fa-IR"/>
          <w:color w:val="111111"/>
          <w:sz w:val="28"/>
          <w:szCs w:val="28"/>
          <w:rtl/>
        </w:rPr>
        <w:t xml:space="preserve">۱. مشهد؛ گوهر شاد؛ شماره نسخه: ۲۰۶۹/۲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تحریری، کا: محمد جعفر بن ابو القاسم، تا ذیقعـده  ۱۲۹۱ق؛ کاغذ: نخودی آهار مهره، ۱۶ سطر  ، اندازه:۱۰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۱۶/۵سم [ف: ۵ - ۴۵۷]</w:t>
      </w:r>
    </w:p>
    <w:p>
      <w:pPr>
        <w:pStyle w:val="BookText"/>
      </w:pPr>
      <w:r>
        <w:rPr>
          <w:rFonts w:ascii="IRNazanin" w:hAnsi="IRNazanin" w:eastAsia="IRNazanin" w:cs="IRNazanin"/>
          <w:lang w:bidi="fa-IR"/>
          <w:color w:val="111111"/>
          <w:sz w:val="28"/>
          <w:szCs w:val="28"/>
          <w:rtl/>
        </w:rPr>
        <w:t xml:space="preserve">۲. مشهد؛ رضوی؛ شماره نسخه: ۹۲۷۴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حبیب الله، تا: ۱۳۰۹ق [الفبائی: ۴۲]</w:t>
      </w:r>
    </w:p>
    <w:p>
      <w:pPr>
        <w:pStyle w:val="BookText"/>
      </w:pPr>
      <w:r>
        <w:rPr>
          <w:rFonts w:ascii="Amiri" w:hAnsi="Amiri" w:eastAsia="Amiri" w:cs="Amiri"/>
          <w:lang w:bidi="ar-SA"/>
          <w:color w:val="111111"/>
          <w:sz w:val="28"/>
          <w:szCs w:val="28"/>
          <w:rtl/>
        </w:rPr>
        <w:t xml:space="preserve">«اسئلة احمدية و اجوبة اسرارية » اجوبة مسائل اليزدى</w:t>
      </w:r>
    </w:p>
    <w:p>
      <w:pPr>
        <w:pStyle w:val="Heading3"/>
      </w:pPr>
      <w:bookmarkStart w:id="875" w:name="_Toc397"/>
      <w:r>
        <w:t>اسئلة بشر اليهودى / کلام و اعتقادات / عربی</w:t>
      </w:r>
      <w:bookmarkEnd w:id="875"/>
    </w:p>
    <w:p>
      <w:pPr>
        <w:pStyle w:val="BookText"/>
      </w:pPr>
      <w:r>
        <w:rPr>
          <w:rFonts w:ascii="Times New Roman" w:hAnsi="Times New Roman" w:eastAsia="Times New Roman" w:cs="Times New Roman"/>
          <w:lang w:val="en-US" w:bidi="en-US"/>
          <w:color w:val="111111"/>
          <w:sz w:val="28"/>
          <w:szCs w:val="28"/>
          <w:rtl/>
        </w:rPr>
        <w:t xml:space="preserve">as’ilat-u bišr-il-yahūdī</w:t>
      </w:r>
    </w:p>
    <w:p>
      <w:pPr>
        <w:pStyle w:val="BookText"/>
      </w:pPr>
      <w:r>
        <w:rPr>
          <w:rFonts w:ascii="IRNazanin" w:hAnsi="IRNazanin" w:eastAsia="IRNazanin" w:cs="IRNazanin"/>
          <w:lang w:bidi="fa-IR"/>
          <w:color w:val="111111"/>
          <w:sz w:val="28"/>
          <w:szCs w:val="28"/>
          <w:rtl/>
        </w:rPr>
        <w:t xml:space="preserve">يحيى بن عدى ۲۸۰ - ۳۶۴ قمری</w:t>
      </w:r>
    </w:p>
    <w:p>
      <w:pPr>
        <w:pStyle w:val="BookText"/>
      </w:pPr>
      <w:r>
        <w:rPr>
          <w:rFonts w:ascii="Times New Roman" w:hAnsi="Times New Roman" w:eastAsia="Times New Roman" w:cs="Times New Roman"/>
          <w:lang w:val="en-US" w:bidi="en-US"/>
          <w:color w:val="111111"/>
          <w:sz w:val="28"/>
          <w:szCs w:val="28"/>
          <w:rtl/>
        </w:rPr>
        <w:t xml:space="preserve">(yahyā ebn-e ‘adī (894 - 975)</w:t>
      </w:r>
    </w:p>
    <w:p>
      <w:pPr>
        <w:pStyle w:val="BookText"/>
      </w:pPr>
      <w:r>
        <w:rPr>
          <w:rFonts w:ascii="IRNazanin" w:hAnsi="IRNazanin" w:eastAsia="IRNazanin" w:cs="IRNazanin"/>
          <w:lang w:bidi="fa-IR"/>
          <w:color w:val="111111"/>
          <w:sz w:val="28"/>
          <w:szCs w:val="28"/>
          <w:rtl/>
        </w:rPr>
        <w:t xml:space="preserve">دارای چهارده مسئله است.</w:t>
      </w:r>
    </w:p>
    <w:p>
      <w:pPr>
        <w:pStyle w:val="BookText"/>
      </w:pPr>
      <w:r>
        <w:rPr>
          <w:rFonts w:ascii="IRNazanin" w:hAnsi="IRNazanin" w:eastAsia="IRNazanin" w:cs="IRNazanin"/>
          <w:lang w:bidi="fa-IR"/>
          <w:color w:val="111111"/>
          <w:sz w:val="28"/>
          <w:szCs w:val="28"/>
          <w:rtl/>
        </w:rPr>
        <w:t xml:space="preserve">تهران؛ دانشگاه؛ شماره نسخه: ۴۹۰۱/۱۹</w:t>
      </w:r>
    </w:p>
    <w:p>
      <w:pPr>
        <w:pStyle w:val="BookText"/>
      </w:pPr>
      <w:r>
        <w:rPr>
          <w:rFonts w:ascii="IRNazanin" w:hAnsi="IRNazanin" w:eastAsia="IRNazanin" w:cs="IRNazanin"/>
          <w:lang w:bidi="fa-IR"/>
          <w:color w:val="111111"/>
          <w:sz w:val="28"/>
          <w:szCs w:val="28"/>
          <w:rtl/>
        </w:rPr>
        <w:t xml:space="preserve">آغاز: بسمله اورد على انا يحيى بن عدي بن حميد بن زكريا بشر بن سمسان اليهودى يوم الاحد بخمس ليال من ذى الحجة من سنة اربعين وثلثمائة كتاب عنوانه لابي زكريا يحيى بن عدى بن حـمید بن  زكريا،بشر بن سمسان من (؟) عرس بن عثمان ذکرانه كتـاب ابن ابی سعید بن عثمان بن سعيد اليهودى الموصلى صاحب بنی عمران و هذه .نسخته .بسمله. لما كان العلماء في زماننا هذا یاسیدی اطال الله بقاك قليلين و خاصة بلدنا اعنى ممن يفاوض و يباحث في اشياء جليلة من علم الفلسنة تحركت نفسی و تشوقت الی مسایلتک؛ انجام: و البرهان على ذلك و حسبنا الله و نعم الوكيل هذه نسخة جميع ما في الكتاب الوارد من عرس بن عثمان بن سعد اليهودى الموصلى.</w:t>
      </w:r>
    </w:p>
    <w:p>
      <w:pPr>
        <w:pStyle w:val="BookText"/>
      </w:pPr>
      <w:r>
        <w:rPr>
          <w:rFonts w:ascii="IRNazanin" w:hAnsi="IRNazanin" w:eastAsia="IRNazanin" w:cs="IRNazanin"/>
          <w:lang w:bidi="fa-IR"/>
          <w:color w:val="111111"/>
          <w:sz w:val="28"/>
          <w:szCs w:val="28"/>
          <w:rtl/>
        </w:rPr>
        <w:t xml:space="preserve">خط: نستعلیق، بی کا، بی تا؛کاغذ ،سپاهانی، جلد: تیماج سرخ زرکوب  مقوایی، ۱۰گ (۱۴۳ پ -۱۵۲پ)، ۱۵ سطر (۵/۵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۱۴ - ۳۹۷۶]</w:t>
      </w:r>
    </w:p>
    <w:p>
      <w:pPr>
        <w:pStyle w:val="BookText"/>
      </w:pPr>
      <w:r>
        <w:rPr>
          <w:rFonts w:ascii="Amiri" w:hAnsi="Amiri" w:eastAsia="Amiri" w:cs="Amiri"/>
          <w:lang w:bidi="ar-SA"/>
          <w:color w:val="111111"/>
          <w:sz w:val="28"/>
          <w:szCs w:val="28"/>
          <w:rtl/>
        </w:rPr>
        <w:t xml:space="preserve">«اسئلة بعض الفضلاء عن الشيخ الرئيس و اجوبته له » الاجوبة  عن المسائل الاثنا و عشرين</w:t>
      </w:r>
    </w:p>
    <w:p>
      <w:pPr>
        <w:pStyle w:val="Heading3"/>
      </w:pPr>
      <w:bookmarkStart w:id="876" w:name="_Toc398"/>
      <w:r>
        <w:t>الاسئلة البهية مع الاجوبة الجلية / نحو / عربي</w:t>
      </w:r>
      <w:bookmarkEnd w:id="876"/>
    </w:p>
    <w:p>
      <w:pPr>
        <w:pStyle w:val="BookText"/>
      </w:pPr>
      <w:r>
        <w:rPr>
          <w:rFonts w:ascii="Times New Roman" w:hAnsi="Times New Roman" w:eastAsia="Times New Roman" w:cs="Times New Roman"/>
          <w:lang w:val="en-US" w:bidi="en-US"/>
          <w:color w:val="111111"/>
          <w:sz w:val="28"/>
          <w:szCs w:val="28"/>
          <w:rtl/>
        </w:rPr>
        <w:t xml:space="preserve">al-as’ilat-ul-bahīyya ma‘-al-ajwibat-ul-jalīyya</w:t>
      </w:r>
    </w:p>
    <w:p>
      <w:pPr>
        <w:pStyle w:val="BookText"/>
      </w:pPr>
      <w:r>
        <w:rPr>
          <w:rFonts w:ascii="IRNazanin" w:hAnsi="IRNazanin" w:eastAsia="IRNazanin" w:cs="IRNazanin"/>
          <w:lang w:bidi="fa-IR"/>
          <w:color w:val="111111"/>
          <w:sz w:val="28"/>
          <w:szCs w:val="28"/>
          <w:rtl/>
        </w:rPr>
        <w:t xml:space="preserve">شمسی، احمد بن ابراهیم، ق۱۳ قمری</w:t>
      </w:r>
    </w:p>
    <w:p>
      <w:pPr>
        <w:pStyle w:val="BookText"/>
      </w:pPr>
      <w:r>
        <w:rPr>
          <w:rFonts w:ascii="Times New Roman" w:hAnsi="Times New Roman" w:eastAsia="Times New Roman" w:cs="Times New Roman"/>
          <w:lang w:val="en-US" w:bidi="en-US"/>
          <w:color w:val="111111"/>
          <w:sz w:val="28"/>
          <w:szCs w:val="28"/>
          <w:rtl/>
        </w:rPr>
        <w:t xml:space="preserve">(šamsī, ahmad ebn-e ebrāhīm ( - 19c)</w:t>
      </w:r>
    </w:p>
    <w:p>
      <w:pPr>
        <w:pStyle w:val="BookText"/>
      </w:pPr>
      <w:r>
        <w:rPr>
          <w:rFonts w:ascii="IRNazanin" w:hAnsi="IRNazanin" w:eastAsia="IRNazanin" w:cs="IRNazanin"/>
          <w:lang w:bidi="fa-IR"/>
          <w:color w:val="111111"/>
          <w:sz w:val="28"/>
          <w:szCs w:val="28"/>
          <w:rtl/>
        </w:rPr>
        <w:t xml:space="preserve">رساله ای در نحو که به صورت سؤال و جواب به معربات و مبنيات و مرفوعات و منصوبات و مجرورات و توابع و افعال  پرداخته شده است.</w:t>
      </w:r>
    </w:p>
    <w:p>
      <w:pPr>
        <w:pStyle w:val="BookText"/>
      </w:pPr>
      <w:r>
        <w:rPr>
          <w:rFonts w:ascii="Amiri" w:hAnsi="Amiri" w:eastAsia="Amiri" w:cs="Amiri"/>
          <w:lang w:bidi="ar-SA"/>
          <w:color w:val="111111"/>
          <w:sz w:val="28"/>
          <w:szCs w:val="28"/>
          <w:rtl/>
        </w:rPr>
        <w:t xml:space="preserve">آغاز: مبحث في النحو، س: ماحد النحو، ج: له معان كثيرة.</w:t>
      </w:r>
    </w:p>
    <w:p>
      <w:pPr>
        <w:pStyle w:val="BookText"/>
      </w:pPr>
      <w:r>
        <w:rPr>
          <w:rFonts w:ascii="IRNazanin" w:hAnsi="IRNazanin" w:eastAsia="IRNazanin" w:cs="IRNazanin"/>
          <w:lang w:bidi="fa-IR"/>
          <w:color w:val="111111"/>
          <w:sz w:val="28"/>
          <w:szCs w:val="28"/>
          <w:rtl/>
        </w:rPr>
        <w:t xml:space="preserve">انجام: بین اثنین توجب لثابيهما الجرابدا.</w:t>
      </w:r>
    </w:p>
    <w:p>
      <w:pPr>
        <w:pStyle w:val="BookText"/>
      </w:pPr>
      <w:r>
        <w:rPr>
          <w:rFonts w:ascii="IRNazanin" w:hAnsi="IRNazanin" w:eastAsia="IRNazanin" w:cs="IRNazanin"/>
          <w:lang w:bidi="fa-IR"/>
          <w:color w:val="111111"/>
          <w:sz w:val="28"/>
          <w:szCs w:val="28"/>
          <w:rtl/>
        </w:rPr>
        <w:t xml:space="preserve">تهران؛ ملی؛ شماره نسخه: ۱۷۴۲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محمد توفیق، تا: ۱۲۹۱ق؛ کاغذ: فرنگی، جلد: مقوایی کالینگور با ترنج ،کوبیده، ۴۳گ ۱۱ سطر (8</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اندازه:۱۱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۱٠ - ۳۲۲]</w:t>
      </w:r>
    </w:p>
    <w:p>
      <w:pPr>
        <w:pStyle w:val="Heading3"/>
      </w:pPr>
      <w:bookmarkStart w:id="877" w:name="_Toc399"/>
      <w:r>
        <w:t>الاسئلة الحموية / فقه / عربي</w:t>
      </w:r>
      <w:bookmarkEnd w:id="877"/>
    </w:p>
    <w:p>
      <w:pPr>
        <w:pStyle w:val="BookText"/>
      </w:pPr>
      <w:r>
        <w:rPr>
          <w:rFonts w:ascii="Times New Roman" w:hAnsi="Times New Roman" w:eastAsia="Times New Roman" w:cs="Times New Roman"/>
          <w:lang w:val="en-US" w:bidi="en-US"/>
          <w:color w:val="111111"/>
          <w:sz w:val="28"/>
          <w:szCs w:val="28"/>
          <w:rtl/>
        </w:rPr>
        <w:t xml:space="preserve">al-as'ilat-ul himawīyya</w:t>
      </w:r>
    </w:p>
    <w:p>
      <w:pPr>
        <w:pStyle w:val="BookText"/>
      </w:pPr>
      <w:r>
        <w:rPr>
          <w:rFonts w:ascii="IRNazanin" w:hAnsi="IRNazanin" w:eastAsia="IRNazanin" w:cs="IRNazanin"/>
          <w:lang w:bidi="fa-IR"/>
          <w:color w:val="111111"/>
          <w:sz w:val="28"/>
          <w:szCs w:val="28"/>
          <w:rtl/>
        </w:rPr>
        <w:t xml:space="preserve">پاسخ به سؤال های فقهی شیخ جمال الدين عبدالرحيم اسنوى.</w:t>
      </w:r>
    </w:p>
    <w:p>
      <w:pPr>
        <w:pStyle w:val="BookText"/>
      </w:pPr>
      <w:r>
        <w:rPr>
          <w:rFonts w:ascii="IRNazanin" w:hAnsi="IRNazanin" w:eastAsia="IRNazanin" w:cs="IRNazanin"/>
          <w:lang w:bidi="fa-IR"/>
          <w:color w:val="111111"/>
          <w:sz w:val="28"/>
          <w:szCs w:val="28"/>
          <w:rtl/>
        </w:rPr>
        <w:t xml:space="preserve">قم؛ مرعشی؛ شماره نسخه: ۲۶۷۶/۲</w:t>
      </w:r>
    </w:p>
    <w:p>
      <w:pPr>
        <w:pStyle w:val="BookText"/>
      </w:pPr>
      <w:r>
        <w:rPr>
          <w:rFonts w:ascii="IRNazanin" w:hAnsi="IRNazanin" w:eastAsia="IRNazanin" w:cs="IRNazanin"/>
          <w:lang w:bidi="fa-IR"/>
          <w:color w:val="111111"/>
          <w:sz w:val="28"/>
          <w:szCs w:val="28"/>
          <w:rtl/>
        </w:rPr>
        <w:t xml:space="preserve">آغاز: الحمد لله المستحق للحمد حمداً يوافی نعمه و یکافی مزیده  و الصلاة  و السلام الاتمان الاكملان على سيدنا محمد؛ انجام: و</w:t>
      </w:r>
    </w:p>
    <w:p>
      <w:pPr>
        <w:pStyle w:val="BookText"/>
      </w:pPr>
      <w:r>
        <w:rPr>
          <w:rFonts w:ascii="Amiri" w:hAnsi="Amiri" w:eastAsia="Amiri" w:cs="Amiri"/>
          <w:lang w:bidi="ar-SA"/>
          <w:color w:val="111111"/>
          <w:sz w:val="28"/>
          <w:szCs w:val="28"/>
          <w:rtl/>
        </w:rPr>
        <w:t xml:space="preserve">تزويج البكر الصغيرة دون غيرهما من الأولياء و الله اعلم.</w:t>
      </w:r>
    </w:p>
    <w:p>
      <w:pPr>
        <w:pStyle w:val="BookText"/>
      </w:pPr>
      <w:r>
        <w:rPr>
          <w:rFonts w:ascii="IRNazanin" w:hAnsi="IRNazanin" w:eastAsia="IRNazanin" w:cs="IRNazanin"/>
          <w:lang w:bidi="fa-IR"/>
          <w:color w:val="111111"/>
          <w:sz w:val="28"/>
          <w:szCs w:val="28"/>
          <w:rtl/>
        </w:rPr>
        <w:t xml:space="preserve">خط: نسخ، کا: شعیب بن مسعود، تا: ۸۶۳ق؛ مصحح؛ جلد: مقوایی عطف تيماج  مشکی، ۱۸گ(۱۴۸ پ - ۱۶۵پ)، ۲۷ سطر ،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۲۸سم [ف: ۷ - ۲۵۴]</w:t>
      </w:r>
    </w:p>
    <w:p>
      <w:pPr>
        <w:pStyle w:val="Heading3"/>
      </w:pPr>
      <w:bookmarkStart w:id="878" w:name="_Toc400"/>
      <w:r>
        <w:t>اسئله خواجه نصیر از شیخ جمال الدین جليل /  نامه نگاری / عربی</w:t>
      </w:r>
      <w:bookmarkEnd w:id="878"/>
    </w:p>
    <w:p>
      <w:pPr>
        <w:pStyle w:val="BookText"/>
      </w:pPr>
      <w:r>
        <w:rPr>
          <w:rFonts w:ascii="Times New Roman" w:hAnsi="Times New Roman" w:eastAsia="Times New Roman" w:cs="Times New Roman"/>
          <w:lang w:val="en-US" w:bidi="en-US"/>
          <w:color w:val="111111"/>
          <w:sz w:val="28"/>
          <w:szCs w:val="28"/>
          <w:rtl/>
        </w:rPr>
        <w:t xml:space="preserve">as'ele-ye xaje nasir az seyx jamal-ed-din jalil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16" w:name="pg20365_260148"/>
    <w:bookmarkEnd w:id="116"/>
    <w:p>
      <w:pPr>
        <w:pStyle w:val="BookText"/>
      </w:pPr>
      <w:r>
        <w:rPr>
          <w:rFonts w:ascii="IRNazanin" w:hAnsi="IRNazanin" w:eastAsia="IRNazanin" w:cs="IRNazanin"/>
          <w:lang w:bidi="fa-IR"/>
          <w:color w:val="111111"/>
          <w:sz w:val="28"/>
          <w:szCs w:val="28"/>
          <w:rtl/>
        </w:rPr>
        <w:t xml:space="preserve">نصیرالدین طوسی محمد بن محمد، ۵۹۷ - ۶۷۲ قمری</w:t>
      </w:r>
    </w:p>
    <w:p>
      <w:pPr>
        <w:pStyle w:val="BookText"/>
      </w:pPr>
      <w:r>
        <w:rPr>
          <w:rFonts w:ascii="Times New Roman" w:hAnsi="Times New Roman" w:eastAsia="Times New Roman" w:cs="Times New Roman"/>
          <w:lang w:val="en-US" w:bidi="en-US"/>
          <w:color w:val="111111"/>
          <w:sz w:val="28"/>
          <w:szCs w:val="28"/>
          <w:rtl/>
        </w:rPr>
        <w:t xml:space="preserve">nasīr-od-dīn-e tūsī, mohammad ebn-e mohammad(201 - 1274)</w:t>
      </w:r>
    </w:p>
    <w:p>
      <w:pPr>
        <w:pStyle w:val="BookText"/>
      </w:pPr>
      <w:r>
        <w:rPr>
          <w:rFonts w:ascii="IRNazanin" w:hAnsi="IRNazanin" w:eastAsia="IRNazanin" w:cs="IRNazanin"/>
          <w:lang w:bidi="fa-IR"/>
          <w:color w:val="111111"/>
          <w:sz w:val="28"/>
          <w:szCs w:val="28"/>
          <w:rtl/>
        </w:rPr>
        <w:t xml:space="preserve">در فهرست نمازی خوی بدون هیچ توضیح و اطلاعی آورده آن را در ضمن مجموعه ای معرفی کرده که جمال الدین جلیل  را هم شناخته نشد.</w:t>
      </w:r>
    </w:p>
    <w:p>
      <w:pPr>
        <w:pStyle w:val="BookText"/>
      </w:pPr>
      <w:r>
        <w:rPr>
          <w:rFonts w:ascii="IRNazanin" w:hAnsi="IRNazanin" w:eastAsia="IRNazanin" w:cs="IRNazanin"/>
          <w:lang w:bidi="fa-IR"/>
          <w:color w:val="111111"/>
          <w:sz w:val="28"/>
          <w:szCs w:val="28"/>
          <w:rtl/>
        </w:rPr>
        <w:t xml:space="preserve">خوی؛ نمازی؛ شماره نسخه: ۶۶۰/۷</w:t>
      </w:r>
    </w:p>
    <w:p>
      <w:pPr>
        <w:pStyle w:val="BookText"/>
      </w:pPr>
      <w:r>
        <w:rPr>
          <w:rFonts w:ascii="IRNazanin" w:hAnsi="IRNazanin" w:eastAsia="IRNazanin" w:cs="IRNazanin"/>
          <w:lang w:bidi="fa-IR"/>
          <w:color w:val="111111"/>
          <w:sz w:val="28"/>
          <w:szCs w:val="28"/>
          <w:rtl/>
        </w:rPr>
        <w:t xml:space="preserve">سه  سؤال؛ خط: نسخ، کا: اسدالله بن ظهیرالدین علی دوانی  ، تا: قرن ۱۱ :[ف (۳۵۸]</w:t>
      </w:r>
    </w:p>
    <w:p>
      <w:pPr>
        <w:pStyle w:val="BookText"/>
      </w:pPr>
      <w:r>
        <w:rPr>
          <w:rFonts w:ascii="Amiri" w:hAnsi="Amiri" w:eastAsia="Amiri" w:cs="Amiri"/>
          <w:lang w:bidi="ar-SA"/>
          <w:color w:val="111111"/>
          <w:sz w:val="28"/>
          <w:szCs w:val="28"/>
          <w:rtl/>
        </w:rPr>
        <w:t xml:space="preserve">«اسئلة سميعية و اجوبة اسرارية » اجوبة المسائل الخلخالية</w:t>
      </w:r>
    </w:p>
    <w:p>
      <w:pPr>
        <w:pStyle w:val="Heading3"/>
      </w:pPr>
      <w:bookmarkStart w:id="879" w:name="_Toc401"/>
      <w:r>
        <w:t>اسئله طوالع / پیشگویی /فارسی</w:t>
      </w:r>
      <w:bookmarkEnd w:id="879"/>
    </w:p>
    <w:p>
      <w:pPr>
        <w:pStyle w:val="BookText"/>
      </w:pPr>
      <w:r>
        <w:rPr>
          <w:rFonts w:ascii="Times New Roman" w:hAnsi="Times New Roman" w:eastAsia="Times New Roman" w:cs="Times New Roman"/>
          <w:lang w:val="en-US" w:bidi="en-US"/>
          <w:color w:val="111111"/>
          <w:sz w:val="28"/>
          <w:szCs w:val="28"/>
          <w:rtl/>
        </w:rPr>
        <w:t xml:space="preserve">as’ele-ye tavāle‘</w:t>
      </w:r>
    </w:p>
    <w:p>
      <w:pPr>
        <w:pStyle w:val="BookText"/>
      </w:pPr>
      <w:r>
        <w:rPr>
          <w:rFonts w:ascii="IRNazanin" w:hAnsi="IRNazanin" w:eastAsia="IRNazanin" w:cs="IRNazanin"/>
          <w:lang w:bidi="fa-IR"/>
          <w:color w:val="111111"/>
          <w:sz w:val="28"/>
          <w:szCs w:val="28"/>
          <w:rtl/>
        </w:rPr>
        <w:t xml:space="preserve">تاریخ تالیف : ۱۲۳۵ تا ۱۲۳۷</w:t>
      </w:r>
    </w:p>
    <w:p>
      <w:pPr>
        <w:pStyle w:val="BookText"/>
      </w:pPr>
      <w:r>
        <w:rPr>
          <w:rFonts w:ascii="IRNazanin" w:hAnsi="IRNazanin" w:eastAsia="IRNazanin" w:cs="IRNazanin"/>
          <w:lang w:bidi="fa-IR"/>
          <w:color w:val="111111"/>
          <w:sz w:val="28"/>
          <w:szCs w:val="28"/>
          <w:rtl/>
        </w:rPr>
        <w:t xml:space="preserve">نویسنده که طالع بین شاهزاده حسنعلی میرزا پسر فتحعلی شاه بوده  است در این رساله تعدادی سؤال که در اوقات معین برای بـیان</w:t>
      </w:r>
    </w:p>
    <w:p>
      <w:pPr>
        <w:pStyle w:val="BookText"/>
      </w:pPr>
      <w:r>
        <w:rPr>
          <w:rFonts w:ascii="IRNazanin" w:hAnsi="IRNazanin" w:eastAsia="IRNazanin" w:cs="IRNazanin"/>
          <w:lang w:bidi="fa-IR"/>
          <w:color w:val="111111"/>
          <w:sz w:val="28"/>
          <w:szCs w:val="28"/>
          <w:rtl/>
        </w:rPr>
        <w:t xml:space="preserve">نتیجه کارهایی از او شده می آورد. او برای پاسخ به این سؤال  ها شروع به طالع بینی می کند و از آن جواب می جوید بیشتراین سؤالها از طریق حسنعلی میرزا به عمل آمده و جواب اغلب آ نها  کلی و قابل تعبیر به هر منظور است.</w:t>
      </w:r>
    </w:p>
    <w:p>
      <w:pPr>
        <w:pStyle w:val="BookText"/>
      </w:pPr>
      <w:r>
        <w:rPr>
          <w:rFonts w:ascii="IRNazanin" w:hAnsi="IRNazanin" w:eastAsia="IRNazanin" w:cs="IRNazanin"/>
          <w:lang w:bidi="fa-IR"/>
          <w:color w:val="111111"/>
          <w:sz w:val="28"/>
          <w:szCs w:val="28"/>
          <w:rtl/>
        </w:rPr>
        <w:t xml:space="preserve">۱. تهران؛ ملی؛ شماره نسخه: ۲۹۰۷/۵</w:t>
      </w:r>
    </w:p>
    <w:p>
      <w:pPr>
        <w:pStyle w:val="BookText"/>
      </w:pPr>
      <w:r>
        <w:rPr>
          <w:rFonts w:ascii="IRNazanin" w:hAnsi="IRNazanin" w:eastAsia="IRNazanin" w:cs="IRNazanin"/>
          <w:lang w:bidi="fa-IR"/>
          <w:color w:val="111111"/>
          <w:sz w:val="28"/>
          <w:szCs w:val="28"/>
          <w:rtl/>
        </w:rPr>
        <w:t xml:space="preserve">آغاز: سؤال از پیش آمد احوال نواب کامیاب سپهر رکاب شاهزاده اعظم و الا ابو المظفر؛ انجام: و در اوایل شهر ربیع الثانی  دلیلی بر مصالحه هست و در اواسط شهر ربیع الثانی نیز دلیلی مصالحه هست و العلم عند الله</w:t>
      </w:r>
    </w:p>
    <w:p>
      <w:pPr>
        <w:pStyle w:val="BookText"/>
      </w:pPr>
      <w:r>
        <w:rPr>
          <w:rFonts w:ascii="IRNazanin" w:hAnsi="IRNazanin" w:eastAsia="IRNazanin" w:cs="IRNazanin"/>
          <w:lang w:bidi="fa-IR"/>
          <w:color w:val="111111"/>
          <w:sz w:val="28"/>
          <w:szCs w:val="28"/>
          <w:rtl/>
        </w:rPr>
        <w:t xml:space="preserve">بی کا، تا: قرن ۱۳؛ دارای جداول نجومی ؛کاغذ ،فرنگی، جـلد: تیماج یک لا تریاکی، ۴۵ ص (۱۲۲-۱۶۶)، ۱۴ سطر (۸/۵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۴/۵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۶ - ۶۱۹]</w:t>
      </w:r>
    </w:p>
    <w:p>
      <w:pPr>
        <w:pStyle w:val="BookText"/>
      </w:pPr>
      <w:r>
        <w:rPr>
          <w:rFonts w:ascii="IRNazanin" w:hAnsi="IRNazanin" w:eastAsia="IRNazanin" w:cs="IRNazanin"/>
          <w:lang w:bidi="fa-IR"/>
          <w:color w:val="111111"/>
          <w:sz w:val="28"/>
          <w:szCs w:val="28"/>
          <w:rtl/>
        </w:rPr>
        <w:t xml:space="preserve">«اسئلة الطوسى من الابهرى » نامه طوسی به ابهری</w:t>
      </w:r>
    </w:p>
    <w:p>
      <w:pPr>
        <w:pStyle w:val="Heading3"/>
      </w:pPr>
      <w:bookmarkStart w:id="880" w:name="_Toc402"/>
      <w:r>
        <w:t>اسئلة قاضي القضاة هرات = پرسش از خواجه  طوسی / پاسخ پرسش ها / عربی</w:t>
      </w:r>
      <w:bookmarkEnd w:id="880"/>
    </w:p>
    <w:p>
      <w:pPr>
        <w:pStyle w:val="BookText"/>
      </w:pPr>
      <w:r>
        <w:rPr>
          <w:rFonts w:ascii="Times New Roman" w:hAnsi="Times New Roman" w:eastAsia="Times New Roman" w:cs="Times New Roman"/>
          <w:lang w:val="en-US" w:bidi="en-US"/>
          <w:color w:val="111111"/>
          <w:sz w:val="28"/>
          <w:szCs w:val="28"/>
          <w:rtl/>
        </w:rPr>
        <w:t xml:space="preserve">as’ilat-u qāḍīyy-ul-quḍāt-i harāt = porseš az xāje tūsī</w:t>
      </w:r>
    </w:p>
    <w:p>
      <w:pPr>
        <w:pStyle w:val="BookText"/>
      </w:pPr>
      <w:r>
        <w:rPr>
          <w:rFonts w:ascii="IRNazanin" w:hAnsi="IRNazanin" w:eastAsia="IRNazanin" w:cs="IRNazanin"/>
          <w:lang w:bidi="fa-IR"/>
          <w:color w:val="111111"/>
          <w:sz w:val="28"/>
          <w:szCs w:val="28"/>
          <w:rtl/>
        </w:rPr>
        <w:t xml:space="preserve">تهران؛ دانشگاه؛ شماره نسخه: ۶۷۱۰/۱۸</w:t>
      </w:r>
    </w:p>
    <w:p>
      <w:pPr>
        <w:pStyle w:val="BookText"/>
      </w:pPr>
      <w:r>
        <w:rPr>
          <w:rFonts w:ascii="IRNazanin" w:hAnsi="IRNazanin" w:eastAsia="IRNazanin" w:cs="IRNazanin"/>
          <w:lang w:bidi="fa-IR"/>
          <w:color w:val="111111"/>
          <w:sz w:val="28"/>
          <w:szCs w:val="28"/>
          <w:rtl/>
        </w:rPr>
        <w:t xml:space="preserve">خط: نستعلیق ریز، کا: نصیر الدین محمد رضوی شاگرد آقا حسین خوانساری، تا: قرن ۱۱ ؛کاغذ: سپاهانی، جلد: تیماج حنایی مقوایی درون سرخ با لولا ۲گ (64پ- 65ر)، ۴۲ سطر (۱۳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 قطع: رحلی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۳۱سم [ف : ۱۶ - ۳۳۸]</w:t>
      </w:r>
    </w:p>
    <w:p>
      <w:pPr>
        <w:pStyle w:val="Heading3"/>
      </w:pPr>
      <w:bookmarkStart w:id="881" w:name="_Toc403"/>
      <w:r>
        <w:t>اسئلة القرآن و اجوبتها = انموذج جليل / تفسیر / عربی</w:t>
      </w:r>
      <w:bookmarkEnd w:id="881"/>
    </w:p>
    <w:p>
      <w:pPr>
        <w:pStyle w:val="BookText"/>
      </w:pPr>
      <w:r>
        <w:rPr>
          <w:rFonts w:ascii="Times New Roman" w:hAnsi="Times New Roman" w:eastAsia="Times New Roman" w:cs="Times New Roman"/>
          <w:lang w:val="en-US" w:bidi="en-US"/>
          <w:color w:val="111111"/>
          <w:sz w:val="28"/>
          <w:szCs w:val="28"/>
          <w:rtl/>
        </w:rPr>
        <w:t xml:space="preserve">as'ilat-ul quran wa ajwibat-u-ha = unmudaj-i jalil</w:t>
      </w:r>
    </w:p>
    <w:p>
      <w:pPr>
        <w:pStyle w:val="BookText"/>
      </w:pPr>
      <w:r>
        <w:rPr>
          <w:rFonts w:ascii="IRNazanin" w:hAnsi="IRNazanin" w:eastAsia="IRNazanin" w:cs="IRNazanin"/>
          <w:lang w:bidi="fa-IR"/>
          <w:color w:val="111111"/>
          <w:sz w:val="28"/>
          <w:szCs w:val="28"/>
          <w:rtl/>
        </w:rPr>
        <w:t xml:space="preserve">زین الدین الرازی محمد بن ابی بکر - ۶۶۶؟ قمری</w:t>
      </w:r>
    </w:p>
    <w:p>
      <w:pPr>
        <w:pStyle w:val="BookText"/>
      </w:pPr>
      <w:r>
        <w:rPr>
          <w:rFonts w:ascii="Times New Roman" w:hAnsi="Times New Roman" w:eastAsia="Times New Roman" w:cs="Times New Roman"/>
          <w:lang w:val="en-US" w:bidi="en-US"/>
          <w:color w:val="111111"/>
          <w:sz w:val="28"/>
          <w:szCs w:val="28"/>
          <w:rtl/>
        </w:rPr>
        <w:t xml:space="preserve">(zayn-od-dīn ar-rāzī, mohammad ebn-e abī-bakr (- 1268)</w:t>
      </w:r>
    </w:p>
    <w:p>
      <w:pPr>
        <w:pStyle w:val="BookText"/>
      </w:pPr>
      <w:r>
        <w:rPr>
          <w:rFonts w:ascii="IRNazanin" w:hAnsi="IRNazanin" w:eastAsia="IRNazanin" w:cs="IRNazanin"/>
          <w:lang w:bidi="fa-IR"/>
          <w:color w:val="111111"/>
          <w:sz w:val="28"/>
          <w:szCs w:val="28"/>
          <w:rtl/>
        </w:rPr>
        <w:t xml:space="preserve">۱۲۰۰ پرسش و پاسخ است درباره آیات مشکله و جهات ادبی و معنوی آنها که مؤلف به طور بسیار مختصر به آنها پرداخته است.</w:t>
      </w:r>
    </w:p>
    <w:p>
      <w:pPr>
        <w:pStyle w:val="BookText"/>
      </w:pPr>
      <w:r>
        <w:rPr>
          <w:rFonts w:ascii="IRNazanin" w:hAnsi="IRNazanin" w:eastAsia="IRNazanin" w:cs="IRNazanin"/>
          <w:lang w:bidi="fa-IR"/>
          <w:color w:val="111111"/>
          <w:sz w:val="28"/>
          <w:szCs w:val="28"/>
          <w:rtl/>
        </w:rPr>
        <w:t xml:space="preserve">این کتاب از سوره فاتحه شروع و به سوره ناس ختم می گردد و با عنوان « فان قیل - قلنا »می باشد. این کتاب در بعضی منابع یا نسخه ها «انموذج جليل فى اسئلة و اجوبة من غرائب اى التنزيل» نامیده شده و به «انموذج جلیل» نیز مشهور می باشد و گویا مؤلف نامی برای تألیف خود ننهاده است.</w:t>
      </w:r>
    </w:p>
    <w:p>
      <w:pPr>
        <w:pStyle w:val="BookText"/>
      </w:pPr>
      <w:r>
        <w:rPr>
          <w:rFonts w:ascii="Amiri" w:hAnsi="Amiri" w:eastAsia="Amiri" w:cs="Amiri"/>
          <w:lang w:bidi="ar-SA"/>
          <w:color w:val="111111"/>
          <w:sz w:val="28"/>
          <w:szCs w:val="28"/>
          <w:rtl/>
        </w:rPr>
        <w:t xml:space="preserve">آغاز: قال الفقير الى رحمة الله ربه ... هذا مختصر جمعت فيه انموذجاً يسيراً من اسئلة القرآن المجيد و أجوبتها</w:t>
      </w:r>
    </w:p>
    <w:p>
      <w:pPr>
        <w:pStyle w:val="BookText"/>
      </w:pPr>
      <w:r>
        <w:rPr>
          <w:rFonts w:ascii="IRNazanin" w:hAnsi="IRNazanin" w:eastAsia="IRNazanin" w:cs="IRNazanin"/>
          <w:lang w:bidi="fa-IR"/>
          <w:color w:val="111111"/>
          <w:sz w:val="28"/>
          <w:szCs w:val="28"/>
          <w:rtl/>
        </w:rPr>
        <w:t xml:space="preserve">انجام: و كما قرىء من حيث افاض الناسى بين الجنة و الناس لان الثقلين هما الجنسان الموصوفان بنسیان حقوق الله تعالى [دنا ۱۵۷۰۲/۱ نسخه؛ کشف الظنون (۹۲/۱ هدية العارفين ۱۲٧/٢]</w:t>
      </w:r>
    </w:p>
    <w:p>
      <w:pPr>
        <w:pStyle w:val="BookText"/>
      </w:pPr>
      <w:r>
        <w:rPr>
          <w:rFonts w:ascii="IRNazanin" w:hAnsi="IRNazanin" w:eastAsia="IRNazanin" w:cs="IRNazanin"/>
          <w:lang w:bidi="fa-IR"/>
          <w:color w:val="111111"/>
          <w:sz w:val="28"/>
          <w:szCs w:val="28"/>
          <w:rtl/>
        </w:rPr>
        <w:t xml:space="preserve">۱. تهران ،ملک؛ شماره نسخه: ۶۱۵۹</w:t>
      </w:r>
    </w:p>
    <w:p>
      <w:pPr>
        <w:pStyle w:val="BookText"/>
      </w:pPr>
      <w:r>
        <w:rPr>
          <w:rFonts w:ascii="IRNazanin" w:hAnsi="IRNazanin" w:eastAsia="IRNazanin" w:cs="IRNazanin"/>
          <w:lang w:bidi="fa-IR"/>
          <w:color w:val="111111"/>
          <w:sz w:val="28"/>
          <w:szCs w:val="28"/>
          <w:rtl/>
        </w:rPr>
        <w:t xml:space="preserve">خط  : نسخ، كا: حسن بن علی فقیه  موسی، تا: ۸ جمادى الاول ،  ۷۲۵ق؛ تملک: عبدالکریم بحرانی در ۱۰۶۴؛ کاغذ: دولت آبادی ،جلد: میشن تریاکی، ۱۶۷ گ، ۲۳ سطر ،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۲۴/۵سم [ف:  1- 34]</w:t>
      </w:r>
    </w:p>
    <w:p>
      <w:pPr>
        <w:pStyle w:val="BookText"/>
      </w:pPr>
      <w:r>
        <w:rPr>
          <w:rFonts w:ascii="IRNazanin" w:hAnsi="IRNazanin" w:eastAsia="IRNazanin" w:cs="IRNazanin"/>
          <w:lang w:bidi="fa-IR"/>
          <w:color w:val="111111"/>
          <w:sz w:val="28"/>
          <w:szCs w:val="28"/>
          <w:rtl/>
        </w:rPr>
        <w:t xml:space="preserve">۲. قم؛ مرعشی؛ شماره نسخه: ۹۹۲۷</w:t>
      </w:r>
    </w:p>
    <w:p>
      <w:pPr>
        <w:pStyle w:val="BookText"/>
      </w:pPr>
      <w:r>
        <w:rPr>
          <w:rFonts w:ascii="IRNazanin" w:hAnsi="IRNazanin" w:eastAsia="IRNazanin" w:cs="IRNazanin"/>
          <w:lang w:bidi="fa-IR"/>
          <w:color w:val="111111"/>
          <w:sz w:val="28"/>
          <w:szCs w:val="28"/>
          <w:rtl/>
        </w:rPr>
        <w:t xml:space="preserve">خط ، نسخ، کا: مسعود بن الياس بن رضا ،طلمش، تا: ذیحجه ۷۸۷ق؛ مصحح، محشی؛ تملک: عماد الدين على شريف استرآبادی (قاری) جلد: تیماج قهوه ای، ۱۸۹گ، ۱۹ سطر  ، اندازه: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۲۵ – ۲۱۱]</w:t>
      </w:r>
    </w:p>
    <w:p>
      <w:pPr>
        <w:pStyle w:val="BookText"/>
      </w:pPr>
      <w:r>
        <w:rPr>
          <w:rFonts w:ascii="IRNazanin" w:hAnsi="IRNazanin" w:eastAsia="IRNazanin" w:cs="IRNazanin"/>
          <w:lang w:bidi="fa-IR"/>
          <w:color w:val="111111"/>
          <w:sz w:val="28"/>
          <w:szCs w:val="28"/>
          <w:rtl/>
        </w:rPr>
        <w:t xml:space="preserve">3.قم؛ مرکز احیاء؛ شماره نسخه: ۲۳۰۴</w:t>
      </w:r>
    </w:p>
    <w:p>
      <w:pPr>
        <w:pStyle w:val="BookText"/>
      </w:pPr>
      <w:r>
        <w:rPr>
          <w:rFonts w:ascii="IRNazanin" w:hAnsi="IRNazanin" w:eastAsia="IRNazanin" w:cs="IRNazanin"/>
          <w:lang w:bidi="fa-IR"/>
          <w:color w:val="111111"/>
          <w:sz w:val="28"/>
          <w:szCs w:val="28"/>
          <w:rtl/>
        </w:rPr>
        <w:t xml:space="preserve">آغاز: برابر؛ انجام: فان قیل این جواب لو يعلمون قلنا هو محذوف تقديره لو يعلمون الامر يقينا لشغلكم</w:t>
      </w:r>
    </w:p>
    <w:p>
      <w:pPr>
        <w:pStyle w:val="BookText"/>
      </w:pPr>
      <w:r>
        <w:rPr>
          <w:rFonts w:ascii="IRNazanin" w:hAnsi="IRNazanin" w:eastAsia="IRNazanin" w:cs="IRNazanin"/>
          <w:lang w:bidi="fa-IR"/>
          <w:color w:val="111111"/>
          <w:sz w:val="28"/>
          <w:szCs w:val="28"/>
          <w:rtl/>
        </w:rPr>
        <w:t xml:space="preserve">از ابتدا تا اوایل سوره تکاثر؛ خط: نستعلیق، بی  کا، تا: قرن ۹ یا ۱۰ق؛ افتادگی: انجام: مصحح؛ جلد: تيماج مشكى بدون مقوا، ۲۳۰گ، ۱۹ سطر، اندازه:۱۹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۲۳/۵سم [محدث ارموی مخ: ۱ - ۱۱۸]</w:t>
      </w:r>
    </w:p>
    <w:p>
      <w:pPr>
        <w:pStyle w:val="BookText"/>
      </w:pPr>
      <w:r>
        <w:rPr>
          <w:rFonts w:ascii="IRNazanin" w:hAnsi="IRNazanin" w:eastAsia="IRNazanin" w:cs="IRNazanin"/>
          <w:lang w:bidi="fa-IR"/>
          <w:color w:val="111111"/>
          <w:sz w:val="28"/>
          <w:szCs w:val="28"/>
          <w:rtl/>
        </w:rPr>
        <w:t xml:space="preserve">۴. تهران؛ مجلس؛ شماره نسخه: ۱۰۱۰۶/۲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و نستعلیق، کا: عبدالعلی بن تاج الدين شبوج؟، تا: ۹۵۸ ق ؛جلد: تیماج قهوه ای ۲۵۶ ص (۶۳-۳۱۸)، 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۳۲ - ۱۳۱]</w:t>
      </w:r>
    </w:p>
    <w:p>
      <w:pPr>
        <w:pStyle w:val="BookText"/>
      </w:pPr>
      <w:r>
        <w:rPr>
          <w:rFonts w:ascii="IRNazanin" w:hAnsi="IRNazanin" w:eastAsia="IRNazanin" w:cs="IRNazanin"/>
          <w:lang w:bidi="fa-IR"/>
          <w:color w:val="111111"/>
          <w:sz w:val="28"/>
          <w:szCs w:val="28"/>
          <w:rtl/>
        </w:rPr>
        <w:t xml:space="preserve">۵. تهران؛ دانشگاه؛ شماره نسخه: ۴۹۰۸</w:t>
      </w:r>
    </w:p>
    <w:p>
      <w:pPr>
        <w:pStyle w:val="BookText"/>
      </w:pPr>
      <w:r>
        <w:rPr>
          <w:rFonts w:ascii="IRNazanin" w:hAnsi="IRNazanin" w:eastAsia="IRNazanin" w:cs="IRNazanin"/>
          <w:lang w:bidi="fa-IR"/>
          <w:color w:val="111111"/>
          <w:sz w:val="28"/>
          <w:szCs w:val="28"/>
          <w:rtl/>
        </w:rPr>
        <w:t xml:space="preserve">خط: نسخ ، بی کا، تا: جمعه ۹ شوال ۹۶۰ ق؛ مهر: يعقوب مورخ ۱۰۳۴؛ تملك: علاءالدین طیبی در ص ع آمده که بهای آن دو هزار دینار  است، بخشیده آقای الفت است؛ کاغذ: سمرقندی،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17" w:name="pg20365_260149"/>
    <w:bookmarkEnd w:id="117"/>
    <w:p>
      <w:pPr>
        <w:pStyle w:val="BookText"/>
      </w:pPr>
      <w:r>
        <w:rPr>
          <w:rFonts w:ascii="IRNazanin" w:hAnsi="IRNazanin" w:eastAsia="IRNazanin" w:cs="IRNazanin"/>
          <w:lang w:bidi="fa-IR"/>
          <w:color w:val="111111"/>
          <w:sz w:val="28"/>
          <w:szCs w:val="28"/>
          <w:rtl/>
        </w:rPr>
        <w:t xml:space="preserve">جلد: تیماج قهوه ای ضربی زرکوب ترنجی مقوایی درون تریاکی، ۱۸۸گ، ۲۴ سطر (9</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اندازه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 ف : ۱۴ - ۹۹۲  ]</w:t>
      </w:r>
    </w:p>
    <w:p>
      <w:pPr>
        <w:pStyle w:val="BookText"/>
      </w:pPr>
      <w:r>
        <w:rPr>
          <w:rFonts w:ascii="IRNazanin" w:hAnsi="IRNazanin" w:eastAsia="IRNazanin" w:cs="IRNazanin"/>
          <w:lang w:bidi="fa-IR"/>
          <w:color w:val="111111"/>
          <w:sz w:val="28"/>
          <w:szCs w:val="28"/>
          <w:rtl/>
        </w:rPr>
        <w:t xml:space="preserve">تهران؛ دانشگاه؛ شماره نسخه: ۱۳۶۴-ف</w:t>
      </w:r>
    </w:p>
    <w:p>
      <w:pPr>
        <w:pStyle w:val="BookText"/>
      </w:pPr>
      <w:r>
        <w:rPr>
          <w:rFonts w:ascii="Amiri" w:hAnsi="Amiri" w:eastAsia="Amiri" w:cs="Amiri"/>
          <w:lang w:bidi="ar-SA"/>
          <w:color w:val="111111"/>
          <w:sz w:val="28"/>
          <w:szCs w:val="28"/>
          <w:rtl/>
        </w:rPr>
        <w:t xml:space="preserve">نسخه اصل: همان نسخه بالا [فيلم ها-ف: ۱ - ۲۸۲]</w:t>
      </w:r>
    </w:p>
    <w:p>
      <w:pPr>
        <w:pStyle w:val="BookText"/>
      </w:pPr>
      <w:r>
        <w:rPr>
          <w:rFonts w:ascii="IRNazanin" w:hAnsi="IRNazanin" w:eastAsia="IRNazanin" w:cs="IRNazanin"/>
          <w:lang w:bidi="fa-IR"/>
          <w:color w:val="111111"/>
          <w:sz w:val="28"/>
          <w:szCs w:val="28"/>
          <w:rtl/>
        </w:rPr>
        <w:t xml:space="preserve">۶ .مشهد؛ رضوی؛ شماره نسخه: ۱۲۰۶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عبد القادر بن قاضی علی یمنی، تا: ذیحجه ۹۶۹ ق؛ واقف: ملاموسی؛ کاغذ: نخودی آهار مهره، جلد: تیماج سبز با عطف خرمایی، ۲۵۹گ، ۱۷ سطر ،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۱-۴۰۳]</w:t>
      </w:r>
    </w:p>
    <w:p>
      <w:pPr>
        <w:pStyle w:val="BookText"/>
      </w:pPr>
      <w:r>
        <w:rPr>
          <w:rFonts w:ascii="IRNazanin" w:hAnsi="IRNazanin" w:eastAsia="IRNazanin" w:cs="IRNazanin"/>
          <w:lang w:bidi="fa-IR"/>
          <w:color w:val="111111"/>
          <w:sz w:val="28"/>
          <w:szCs w:val="28"/>
          <w:rtl/>
        </w:rPr>
        <w:t xml:space="preserve">۷. تهران؛ ملک؛ شماره نسخه: ۲۹۹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منصور بن علی بن محمد بن احمد بن رجب بن محمد بن احمد نساوی  حنفی، تا: چهارشنبه ۱۶ شوال ۹۷۵ق؛در ص ع آمده که هدیه علاء الدين الطيبى الشامى الانصارى اسـت؛ تملک: محمد باقر واعظ تبریزی در ۱۰۴۴ ، محمد بن عمر بيلونی، محمد حسین بن محمد کاظم علوی فاطمی حسنی حسینی حافظ تبریزی ملقب به سلطان القراء در شوال ۱۳۲۳ با مهر ۱۳۲۱؛ کاغذ: فستقی، جلد: مقوا رویه  کاغذ، ۱۶۱گ، ۲۵ سطر  ، اندازه:۱۶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۱- ۳۴]</w:t>
      </w:r>
    </w:p>
    <w:p>
      <w:pPr>
        <w:pStyle w:val="BookText"/>
      </w:pPr>
      <w:r>
        <w:rPr>
          <w:rFonts w:ascii="IRNazanin" w:hAnsi="IRNazanin" w:eastAsia="IRNazanin" w:cs="IRNazanin"/>
          <w:lang w:bidi="fa-IR"/>
          <w:color w:val="111111"/>
          <w:sz w:val="28"/>
          <w:szCs w:val="28"/>
          <w:rtl/>
        </w:rPr>
        <w:t xml:space="preserve">۸. تبریز؛ محقق (آقای)؛ شماره نسخه: 2</w:t>
      </w:r>
    </w:p>
    <w:p>
      <w:pPr>
        <w:pStyle w:val="BookText"/>
      </w:pPr>
      <w:r>
        <w:rPr>
          <w:rFonts w:ascii="IRNazanin" w:hAnsi="IRNazanin" w:eastAsia="IRNazanin" w:cs="IRNazanin"/>
          <w:lang w:bidi="fa-IR"/>
          <w:color w:val="111111"/>
          <w:sz w:val="28"/>
          <w:szCs w:val="28"/>
          <w:rtl/>
        </w:rPr>
        <w:t xml:space="preserve">خط: نسخ، کا: خضر بن عبدالله بن علی بحری مالکی، تا: 3 رمضان ۹۸۹ق قطع: ربعی [نشریه: ۴ - ۳۲۹]</w:t>
      </w:r>
    </w:p>
    <w:p>
      <w:pPr>
        <w:pStyle w:val="BookText"/>
      </w:pPr>
      <w:r>
        <w:rPr>
          <w:rFonts w:ascii="IRNazanin" w:hAnsi="IRNazanin" w:eastAsia="IRNazanin" w:cs="IRNazanin"/>
          <w:lang w:bidi="fa-IR"/>
          <w:color w:val="111111"/>
          <w:sz w:val="28"/>
          <w:szCs w:val="28"/>
          <w:rtl/>
        </w:rPr>
        <w:t xml:space="preserve">۹ .قم ؛مرعشی؛ شماره نسخه: ۱۲۷۴۲</w:t>
      </w:r>
    </w:p>
    <w:p>
      <w:pPr>
        <w:pStyle w:val="BookText"/>
      </w:pPr>
      <w:r>
        <w:rPr>
          <w:rFonts w:ascii="IRNazanin" w:hAnsi="IRNazanin" w:eastAsia="IRNazanin" w:cs="IRNazanin"/>
          <w:lang w:bidi="fa-IR"/>
          <w:color w:val="111111"/>
          <w:sz w:val="28"/>
          <w:szCs w:val="28"/>
          <w:rtl/>
        </w:rPr>
        <w:t xml:space="preserve">آغاز: و یتغمدنی و اخى الصالح بمغفرته انه غفور رحيم.سورة الفاتحة فان قيل الرحمن ابلغ فى الوصف بالرحمة من الرحيم بالنقل</w:t>
      </w:r>
    </w:p>
    <w:p>
      <w:pPr>
        <w:pStyle w:val="BookText"/>
      </w:pPr>
      <w:r>
        <w:rPr>
          <w:rFonts w:ascii="IRNazanin" w:hAnsi="IRNazanin" w:eastAsia="IRNazanin" w:cs="IRNazanin"/>
          <w:lang w:bidi="fa-IR"/>
          <w:color w:val="111111"/>
          <w:sz w:val="28"/>
          <w:szCs w:val="28"/>
          <w:rtl/>
        </w:rPr>
        <w:t xml:space="preserve">عن الزجاج و غیره؛ انجام: برابر</w:t>
      </w:r>
    </w:p>
    <w:p>
      <w:pPr>
        <w:pStyle w:val="BookText"/>
      </w:pPr>
      <w:r>
        <w:rPr>
          <w:rFonts w:ascii="IRNazanin" w:hAnsi="IRNazanin" w:eastAsia="IRNazanin" w:cs="IRNazanin"/>
          <w:lang w:bidi="fa-IR"/>
          <w:color w:val="111111"/>
          <w:sz w:val="28"/>
          <w:szCs w:val="28"/>
          <w:rtl/>
        </w:rPr>
        <w:t xml:space="preserve">خط: نسخ و نستعلیق، کا: محمود بن علی دسبولی روناشی،تا: سه شنبه ۲۰ رمضان ۹۹۵ق؛ افتادگی: آغاز (یک برگ) و وسـط</w:t>
      </w:r>
    </w:p>
    <w:p>
      <w:pPr>
        <w:pStyle w:val="BookText"/>
      </w:pPr>
      <w:r>
        <w:rPr>
          <w:rFonts w:ascii="IRNazanin" w:hAnsi="IRNazanin" w:eastAsia="IRNazanin" w:cs="IRNazanin"/>
          <w:lang w:bidi="fa-IR"/>
          <w:color w:val="111111"/>
          <w:sz w:val="28"/>
          <w:szCs w:val="28"/>
          <w:rtl/>
        </w:rPr>
        <w:t xml:space="preserve">(سه برگ)؛ مقابله شده با نشان «بلغ قبلا»، محشی، مصحح؛ شرقی، جلد: تیماج زرشکی ،مجدول۱۹۷گ، ۱۷-۲۰ سـطر ،(7</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 سم [ف ۳۲ - ۳۸۸]</w:t>
      </w:r>
    </w:p>
    <w:p>
      <w:pPr>
        <w:pStyle w:val="BookText"/>
      </w:pPr>
      <w:r>
        <w:rPr>
          <w:rFonts w:ascii="IRNazanin" w:hAnsi="IRNazanin" w:eastAsia="IRNazanin" w:cs="IRNazanin"/>
          <w:lang w:bidi="fa-IR"/>
          <w:color w:val="111111"/>
          <w:sz w:val="28"/>
          <w:szCs w:val="28"/>
          <w:rtl/>
        </w:rPr>
        <w:t xml:space="preserve">۱۰. مشهد؛ رضوی؛ شماره نسخه: ۱۷۱۳۶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قرن ۱۱؛ انتقالی از دانشگاه علوم اسلامی رضوی در آذر ۱۳۶۸ ؛کاغذ: حنایی ،جلد: تیماج مشکی،۱۹۱ گ، ۱۵ سطر ،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 ۲۲ - ۲۴]</w:t>
      </w:r>
    </w:p>
    <w:p>
      <w:pPr>
        <w:pStyle w:val="BookText"/>
      </w:pPr>
      <w:r>
        <w:rPr>
          <w:rFonts w:ascii="IRNazanin" w:hAnsi="IRNazanin" w:eastAsia="IRNazanin" w:cs="IRNazanin"/>
          <w:lang w:bidi="fa-IR"/>
          <w:color w:val="111111"/>
          <w:sz w:val="28"/>
          <w:szCs w:val="28"/>
          <w:rtl/>
        </w:rPr>
        <w:t xml:space="preserve">۱۱. تهران؛ مجلس؛ شماره نسخه: ۱۸۰۲۰ ض</w:t>
      </w:r>
    </w:p>
    <w:p>
      <w:pPr>
        <w:pStyle w:val="BookText"/>
      </w:pPr>
      <w:r>
        <w:rPr>
          <w:rFonts w:ascii="IRNazanin" w:hAnsi="IRNazanin" w:eastAsia="IRNazanin" w:cs="IRNazanin"/>
          <w:lang w:bidi="fa-IR"/>
          <w:color w:val="111111"/>
          <w:sz w:val="28"/>
          <w:szCs w:val="28"/>
          <w:rtl/>
        </w:rPr>
        <w:t xml:space="preserve">بی کا بی تا [د.ث. مجلس ]</w:t>
      </w:r>
    </w:p>
    <w:p>
      <w:pPr>
        <w:pStyle w:val="BookText"/>
      </w:pPr>
      <w:r>
        <w:rPr>
          <w:rFonts w:ascii="IRNazanin" w:hAnsi="IRNazanin" w:eastAsia="IRNazanin" w:cs="IRNazanin"/>
          <w:lang w:bidi="fa-IR"/>
          <w:color w:val="111111"/>
          <w:sz w:val="28"/>
          <w:szCs w:val="28"/>
          <w:rtl/>
        </w:rPr>
        <w:t xml:space="preserve">۱۲. قم؛ مرعشی؛ شماره نسخه: ۱۴۷۹</w:t>
      </w:r>
    </w:p>
    <w:p>
      <w:pPr>
        <w:pStyle w:val="BookText"/>
      </w:pPr>
      <w:r>
        <w:rPr>
          <w:rFonts w:ascii="IRNazanin" w:hAnsi="IRNazanin" w:eastAsia="IRNazanin" w:cs="IRNazanin"/>
          <w:lang w:bidi="fa-IR"/>
          <w:color w:val="111111"/>
          <w:sz w:val="28"/>
          <w:szCs w:val="28"/>
          <w:rtl/>
        </w:rPr>
        <w:t xml:space="preserve">آغاز: الواو لا تدل على الترتيب اذ المراد بهذه العبارة، انجـام: كعصف مأكول لايلاف قريش و يؤيد هذا انهما في مصحف أبـی.</w:t>
      </w:r>
    </w:p>
    <w:p>
      <w:pPr>
        <w:pStyle w:val="BookText"/>
      </w:pPr>
      <w:r>
        <w:rPr>
          <w:rFonts w:ascii="IRNazanin" w:hAnsi="IRNazanin" w:eastAsia="IRNazanin" w:cs="IRNazanin"/>
          <w:lang w:bidi="fa-IR"/>
          <w:color w:val="111111"/>
          <w:sz w:val="28"/>
          <w:szCs w:val="28"/>
          <w:rtl/>
        </w:rPr>
        <w:t xml:space="preserve">خط: نسخ، بی کا، بی تا؛ افتادگی: آغاز و انجام؛ نسخه قدیمی، محشی؛ جلد: تیماج ،مشکی۱۲۷گ، ۲۳ سطر ،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۴ - ۲۷۰]</w:t>
      </w:r>
    </w:p>
    <w:p>
      <w:pPr>
        <w:pStyle w:val="BookText"/>
      </w:pPr>
      <w:r>
        <w:rPr>
          <w:rFonts w:ascii="IRNazanin" w:hAnsi="IRNazanin" w:eastAsia="IRNazanin" w:cs="IRNazanin"/>
          <w:lang w:bidi="fa-IR"/>
          <w:color w:val="111111"/>
          <w:sz w:val="28"/>
          <w:szCs w:val="28"/>
          <w:rtl/>
        </w:rPr>
        <w:t xml:space="preserve">۱۳. قم؛مرعشی؛ شماره نسخه: ۹۵۲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مایل به خط  مغربی، کا: محمود بن عزمی خواه، بی تا؛ نسخه  قدیمی ،مصحح، محشی با عنوان «المحرره»؛ جلد: مقوایی عطف تيماج ،مشکی، ۸۴گ، ۲۷ سطر، اندازه:۱۴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۳-۱۴۲] ۱۴. مشهد؛ مدرسه باقریه؛ شماره نسخه: ۱۵</w:t>
      </w:r>
    </w:p>
    <w:p>
      <w:pPr>
        <w:pStyle w:val="BookText"/>
      </w:pPr>
      <w:r>
        <w:rPr>
          <w:rFonts w:ascii="IRNazanin" w:hAnsi="IRNazanin" w:eastAsia="IRNazanin" w:cs="IRNazanin"/>
          <w:lang w:bidi="fa-IR"/>
          <w:color w:val="111111"/>
          <w:sz w:val="28"/>
          <w:szCs w:val="28"/>
          <w:rtl/>
        </w:rPr>
        <w:t xml:space="preserve">خط: نسخ، بی کا، بی تا ،واقف: ملا عبدالسميع؛ ۱۵ سطر ، اندازه:  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۱۵/۵سم [ تراثنا: س۶ش ۱ - ۷۲]</w:t>
      </w:r>
    </w:p>
    <w:p>
      <w:pPr>
        <w:pStyle w:val="Heading3"/>
      </w:pPr>
      <w:bookmarkStart w:id="882" w:name="_Toc404"/>
      <w:r>
        <w:t>اسئلة القرآن و اجوبتها / تفسیر / عربی</w:t>
      </w:r>
      <w:bookmarkEnd w:id="882"/>
    </w:p>
    <w:p>
      <w:pPr>
        <w:pStyle w:val="BookText"/>
      </w:pPr>
      <w:r>
        <w:rPr>
          <w:rFonts w:ascii="Times New Roman" w:hAnsi="Times New Roman" w:eastAsia="Times New Roman" w:cs="Times New Roman"/>
          <w:lang w:val="en-US" w:bidi="en-US"/>
          <w:color w:val="111111"/>
          <w:sz w:val="28"/>
          <w:szCs w:val="28"/>
          <w:rtl/>
        </w:rPr>
        <w:t xml:space="preserve">as'ilat-ul qur'an wa ajwibat-u-hā</w:t>
      </w:r>
    </w:p>
    <w:p>
      <w:pPr>
        <w:pStyle w:val="BookText"/>
      </w:pPr>
      <w:r>
        <w:rPr>
          <w:rFonts w:ascii="IRNazanin" w:hAnsi="IRNazanin" w:eastAsia="IRNazanin" w:cs="IRNazanin"/>
          <w:lang w:bidi="fa-IR"/>
          <w:color w:val="111111"/>
          <w:sz w:val="28"/>
          <w:szCs w:val="28"/>
          <w:rtl/>
        </w:rPr>
        <w:t xml:space="preserve">هدف از نگارش کتاب پاسخ به پرسش هایی است که احتمالاً در مورد برخی از آیات شریفه به نظر تلاوت کننده برسد و برایش لاینحل باشد. مؤلف آیات مورد نظر را از ابتدا تا انتهای قرآن آورده و با حذاقت و مهارت کامل به بیان و توضیح سؤالات پرداخته است به عنوان مثال می توان به پرسش های زیر اشاره کرد: خداوند در سوره مبارکه بقره می فرماید:« و یا آدم اسکن انت و زوجك الجنة و كلا منها رغدا حيث شئتما» و در سوره اعراف می فرماید:« و یا آدم اسکن انت و زوجك الجنة فكلا» چرا در آیه نخست فعل «کلا» با حرف «واو» و در آیه دوم با حرف «فاء» عطف شده است؟ همچنین در آیاتی چون «ان الذین آمنوا و الذين هادوا و النصارى و الصابئين من آمن بالله و اليوم الآخر» و «ان الذين  آمنوا و الذين هادوا و الصائبون و النصارى من آمن بالله واليوم الآخر و لاخوف عليهم» (مائده) و «ان الذين آمنوا والذين هادوا والصابئين و النصارى و المجوس و الذين اشرکوا» (حج) آیا در تقدم و تأخر دادن به این فرق و آوردن صائبین در آیه ای و رفع آن در آیه دیگر نکته ای هست؟ در آيات «وقد فصلنا الآيات لقوم يعلمون و هو الذي انشأكم» و «قد</w:t>
      </w:r>
    </w:p>
    <w:p>
      <w:pPr>
        <w:pStyle w:val="BookText"/>
      </w:pPr>
      <w:r>
        <w:rPr>
          <w:rFonts w:ascii="IRNazanin" w:hAnsi="IRNazanin" w:eastAsia="IRNazanin" w:cs="IRNazanin"/>
          <w:lang w:bidi="fa-IR"/>
          <w:color w:val="111111"/>
          <w:sz w:val="28"/>
          <w:szCs w:val="28"/>
          <w:rtl/>
        </w:rPr>
        <w:t xml:space="preserve">فصلنا الآيات لقوم يفقهون و هو الذي انزل من السماء ماء  ...  یؤمنون چرا آخر آیه اول به قول «يعملون» اختصاص یافته، دومی به «یفقهون و سومی به یؤمنون»؟</w:t>
      </w:r>
    </w:p>
    <w:p>
      <w:pPr>
        <w:pStyle w:val="BookText"/>
      </w:pPr>
      <w:r>
        <w:rPr>
          <w:rFonts w:ascii="IRNazanin" w:hAnsi="IRNazanin" w:eastAsia="IRNazanin" w:cs="IRNazanin"/>
          <w:lang w:bidi="fa-IR"/>
          <w:color w:val="111111"/>
          <w:sz w:val="28"/>
          <w:szCs w:val="28"/>
          <w:rtl/>
        </w:rPr>
        <w:t xml:space="preserve">مشهد؛ رضوی؛ شماره نسخه: ۱۹۲۶۸</w:t>
      </w:r>
    </w:p>
    <w:p>
      <w:pPr>
        <w:pStyle w:val="BookText"/>
      </w:pPr>
      <w:r>
        <w:rPr>
          <w:rFonts w:ascii="IRNazanin" w:hAnsi="IRNazanin" w:eastAsia="IRNazanin" w:cs="IRNazanin"/>
          <w:lang w:bidi="fa-IR"/>
          <w:color w:val="111111"/>
          <w:sz w:val="28"/>
          <w:szCs w:val="28"/>
          <w:rtl/>
        </w:rPr>
        <w:t xml:space="preserve">آغاز: المعانى الاكثر و امليت من احتجاج القراآت المختصة و كانت هذه الخلوة خلوة؛ انجام: سورة الناس التكرار فيه اعلم ان الله تعالى انما انصرف اولا برب الناس ثم ملك الناس ... فيعلم انه عبد مملوک و ان الذى بلغ به تلك الحالة من حد الطفولة هو.</w:t>
      </w:r>
    </w:p>
    <w:p>
      <w:pPr>
        <w:pStyle w:val="BookText"/>
      </w:pPr>
      <w:r>
        <w:rPr>
          <w:rFonts w:ascii="IRNazanin" w:hAnsi="IRNazanin" w:eastAsia="IRNazanin" w:cs="IRNazanin"/>
          <w:lang w:bidi="fa-IR"/>
          <w:color w:val="111111"/>
          <w:sz w:val="28"/>
          <w:szCs w:val="28"/>
          <w:rtl/>
        </w:rPr>
        <w:t xml:space="preserve">خط: نسخ، بی کا، تا »اوایل قرن ۱۰؛ افتادگی: آغاز و انجام؛ واقف:  غلامعلی ،همدانچی اردیبهشت ۱۳۷۳ کاغذ: نخودی آهار مهره ،جلد: تیماج خرمایی ضربی با ترنج و سرترنج  زرین، ۱۷۸گ، ۱۷ سطر ،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۲۴/۵سم [ف: ۲۲ - ۲۵]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18" w:name="pg20365_260150"/>
    <w:bookmarkEnd w:id="118"/>
    <w:p>
      <w:pPr>
        <w:pStyle w:val="Heading3"/>
      </w:pPr>
      <w:bookmarkStart w:id="883" w:name="_Toc405"/>
      <w:r>
        <w:t>اسئلة القرآن و اجوبتها / تفسیر / عربی</w:t>
      </w:r>
      <w:bookmarkEnd w:id="883"/>
    </w:p>
    <w:p>
      <w:pPr>
        <w:pStyle w:val="BookText"/>
      </w:pPr>
      <w:r>
        <w:rPr>
          <w:rFonts w:ascii="Times New Roman" w:hAnsi="Times New Roman" w:eastAsia="Times New Roman" w:cs="Times New Roman"/>
          <w:lang w:val="en-US" w:bidi="en-US"/>
          <w:color w:val="111111"/>
          <w:sz w:val="28"/>
          <w:szCs w:val="28"/>
          <w:rtl/>
        </w:rPr>
        <w:t xml:space="preserve">as’ilat-ul qur‘ān wa ajwibat-u-hā</w:t>
      </w:r>
    </w:p>
    <w:p>
      <w:pPr>
        <w:pStyle w:val="BookText"/>
      </w:pPr>
      <w:r>
        <w:rPr>
          <w:rFonts w:ascii="IRNazanin" w:hAnsi="IRNazanin" w:eastAsia="IRNazanin" w:cs="IRNazanin"/>
          <w:lang w:bidi="fa-IR"/>
          <w:color w:val="111111"/>
          <w:sz w:val="28"/>
          <w:szCs w:val="28"/>
          <w:rtl/>
        </w:rPr>
        <w:t xml:space="preserve">از آنجا که صفحه های اول نسخه افتاده است، مؤلف شناخته نشـد. مؤلف از امام فخر رازی نقل مطلب کرده است، از این رو مؤلـف از مردم قرن ۷ق به بعد است [در کشف الظنون (۱۰۰.۱ چاپ مصر) دو کتاب به نام «اسئلة القرآن و اجوبتها» ضبط شده است: یکی اثر خامه شمس الدین ابوبکر محمد بن ابی بکر رازی، دومی به نام «فتح الرحيم» تالیف احمد بن محمد بن  عمران بابلی (از مردمان قرن ۱۰ق) شاید این نسخه موجود همان «فتح الرحيـم» باشد]. روش این تفسیر چنین است که سوره ها به ترتیب آورده شده و تمام تفسیر نشده است و تنها برخی از آیات هر سوره ای که مورد نظر و جای پرسش بوده به طور «سئوال)- الجواب» توضیح داده شده است. برای معرفی کتاب سطوری از آن نـقل می گردد: «سئوال قلنا یا نار کونی بردا وسلاما على ابراهيم كيـف تصح مخاطبة النار و هى جماد الجواب ان خطاب التكوين التحويل لا يختص بمن يعقل لقوله تعالى انما قولنا لشيىء اذا اردناه ان نقول له كن فيكون يا جبال او بی معه. يا ارض ابلـعی ماءك (كذ) و يا سماء اقلعي و هو كثير».</w:t>
      </w:r>
    </w:p>
    <w:p>
      <w:pPr>
        <w:pStyle w:val="BookText"/>
      </w:pPr>
      <w:r>
        <w:rPr>
          <w:rFonts w:ascii="IRNazanin" w:hAnsi="IRNazanin" w:eastAsia="IRNazanin" w:cs="IRNazanin"/>
          <w:lang w:bidi="fa-IR"/>
          <w:color w:val="111111"/>
          <w:sz w:val="28"/>
          <w:szCs w:val="28"/>
          <w:rtl/>
        </w:rPr>
        <w:t xml:space="preserve">مشهد؛ رضوی؛ شماره نسخه: ۷۴۲۸</w:t>
      </w:r>
    </w:p>
    <w:p>
      <w:pPr>
        <w:pStyle w:val="BookText"/>
      </w:pPr>
      <w:r>
        <w:rPr>
          <w:rFonts w:ascii="Amiri" w:hAnsi="Amiri" w:eastAsia="Amiri" w:cs="Amiri"/>
          <w:lang w:bidi="ar-SA"/>
          <w:color w:val="111111"/>
          <w:sz w:val="28"/>
          <w:szCs w:val="28"/>
          <w:rtl/>
        </w:rPr>
        <w:t xml:space="preserve">آغاز: انهم يسخرون بمحمد صلى الله عليه و سلم و باصحابه باظهار الاسلام؛ انجام: و هذا الجواب عزيز من محاسن الاجوبة الزمخشرى رحمة الله عليه فى اخر هذه السورة قوله من الجنـة الناس هو بيان.</w:t>
      </w:r>
    </w:p>
    <w:p>
      <w:pPr>
        <w:pStyle w:val="BookText"/>
      </w:pPr>
      <w:r>
        <w:rPr>
          <w:rFonts w:ascii="IRNazanin" w:hAnsi="IRNazanin" w:eastAsia="IRNazanin" w:cs="IRNazanin"/>
          <w:lang w:bidi="fa-IR"/>
          <w:color w:val="111111"/>
          <w:sz w:val="28"/>
          <w:szCs w:val="28"/>
          <w:rtl/>
        </w:rPr>
        <w:t xml:space="preserve">از اواخر آیه ۲۱ سوره بقره تا آخر کتاب؛ خط: نسخ، بی کا، حدود قرن ۱۲ ؛افتادگی: آغاز؛ کاغذ: آهاری  شکری ،جلد: تیماج عنابی عطف و دوره میشن سرخ ۱۲۵گ، ۱۹ سطر ،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۱۱ - ۵۲۱]</w:t>
      </w:r>
    </w:p>
    <w:p>
      <w:pPr>
        <w:pStyle w:val="Heading3"/>
      </w:pPr>
      <w:bookmarkStart w:id="884" w:name="_Toc406"/>
      <w:r>
        <w:t>اسئلة القونوي عن الطوسى = مسائل القونوي  = المفاوضات / فلسفه / عربی – فارسی</w:t>
      </w:r>
      <w:bookmarkEnd w:id="884"/>
    </w:p>
    <w:p>
      <w:pPr>
        <w:pStyle w:val="BookText"/>
      </w:pPr>
      <w:r>
        <w:rPr>
          <w:rFonts w:ascii="Times New Roman" w:hAnsi="Times New Roman" w:eastAsia="Times New Roman" w:cs="Times New Roman"/>
          <w:lang w:val="en-US" w:bidi="en-US"/>
          <w:color w:val="111111"/>
          <w:sz w:val="28"/>
          <w:szCs w:val="28"/>
          <w:rtl/>
        </w:rPr>
        <w:t xml:space="preserve">as’ilat-ul-qūnawī ‘an-iṭ-ṭūsī = masā’il-ul-qūnawī = almufāwiḍāt</w:t>
      </w:r>
    </w:p>
    <w:p>
      <w:pPr>
        <w:pStyle w:val="BookText"/>
      </w:pPr>
      <w:r>
        <w:rPr>
          <w:rFonts w:ascii="IRNazanin" w:hAnsi="IRNazanin" w:eastAsia="IRNazanin" w:cs="IRNazanin"/>
          <w:lang w:bidi="fa-IR"/>
          <w:color w:val="111111"/>
          <w:sz w:val="28"/>
          <w:szCs w:val="28"/>
          <w:rtl/>
        </w:rPr>
        <w:t xml:space="preserve">صدرالدین قونیوی، محمد بن اسحاق، ۶۰۷-۶۷۳ قمری</w:t>
      </w:r>
    </w:p>
    <w:p>
      <w:pPr>
        <w:pStyle w:val="BookText"/>
      </w:pPr>
      <w:r>
        <w:rPr>
          <w:rFonts w:ascii="Times New Roman" w:hAnsi="Times New Roman" w:eastAsia="Times New Roman" w:cs="Times New Roman"/>
          <w:lang w:val="en-US" w:bidi="en-US"/>
          <w:color w:val="111111"/>
          <w:sz w:val="28"/>
          <w:szCs w:val="28"/>
          <w:rtl/>
        </w:rPr>
        <w:t xml:space="preserve">sadr-od-dīn-e qūnīyavī, mohammad-e-bn-e eshāq</w:t>
      </w:r>
    </w:p>
    <w:p>
      <w:pPr>
        <w:pStyle w:val="BookText"/>
      </w:pPr>
      <w:r>
        <w:rPr>
          <w:rFonts w:ascii="Times New Roman" w:hAnsi="Times New Roman" w:eastAsia="Times New Roman" w:cs="Times New Roman"/>
          <w:lang w:val="en-US" w:bidi="en-US"/>
          <w:color w:val="111111"/>
          <w:sz w:val="28"/>
          <w:szCs w:val="28"/>
          <w:rtl/>
        </w:rPr>
        <w:t xml:space="preserve">(1211 - 1275)</w:t>
      </w:r>
    </w:p>
    <w:p>
      <w:pPr>
        <w:pStyle w:val="BookText"/>
      </w:pPr>
      <w:r>
        <w:rPr>
          <w:rFonts w:ascii="IRNazanin" w:hAnsi="IRNazanin" w:eastAsia="IRNazanin" w:cs="IRNazanin"/>
          <w:lang w:bidi="fa-IR"/>
          <w:color w:val="111111"/>
          <w:sz w:val="28"/>
          <w:szCs w:val="28"/>
          <w:rtl/>
        </w:rPr>
        <w:t xml:space="preserve">وابسته به اجوبة المسائل القونوي = المفاوضات= المفصحة؛ نصیر الدین طوسی، محمد بن محمد (۶۷۲-۵۹۷)</w:t>
      </w:r>
    </w:p>
    <w:p>
      <w:pPr>
        <w:pStyle w:val="BookText"/>
      </w:pPr>
      <w:r>
        <w:rPr>
          <w:rFonts w:ascii="IRNazanin" w:hAnsi="IRNazanin" w:eastAsia="IRNazanin" w:cs="IRNazanin"/>
          <w:lang w:bidi="fa-IR"/>
          <w:color w:val="111111"/>
          <w:sz w:val="28"/>
          <w:szCs w:val="28"/>
          <w:rtl/>
        </w:rPr>
        <w:t xml:space="preserve">صدرالدین قونوی که با خواجه نصیر طوسی همزمان بوده اسـت با این نامه باب مراسله و مفاوضه را با خواجه افتتاح کرده به طوری که مطالعه این نامه که به نثر شیوای فارسی است نشـان می دهد، قونوی پیش از این «رساله ای ساخته و مسئله ای چند از مشکلات مسائل در آن درج کرده و به صورت مفاوضه با بعضی   از اکابر فضلاء دوستان در بحث آورده در صحبت این مکاتبه به خدمت خواجه فرستاد». گویا وجه تسمیه این رساله به مفاوضه همین سخن قونوی است و خطاباتی که در اثناء رساله هست با خواجه نیست بلکه با بعضی از اکابر فضلا دوستان است که در سطور قبل قونوی از او یاد کرده  است. قونوی در این نامه تصریح کرده که به وسیله این نامه مراسلات خود را با خواجه آغاز نموده و لذا فاتحه آن را مفاتحه نام نهاده است. عین گفته او در این باب این است: «چون التقاء من حيث الصورة ... تعذرى  داشت. طلب مواصلت بطریق مکاتبه که آن را احد اللقائلین نام نهاده اند متعین بود و نخواست که از فوائد علمی ... این مفاتحه خالی باشد لهذا رساله ای که پیش از این بمدتی مدید ... ساخته بود ... بخدمت فرستاد.</w:t>
      </w:r>
    </w:p>
    <w:p>
      <w:pPr>
        <w:pStyle w:val="BookText"/>
      </w:pPr>
      <w:r>
        <w:rPr>
          <w:rFonts w:ascii="IRNazanin" w:hAnsi="IRNazanin" w:eastAsia="IRNazanin" w:cs="IRNazanin"/>
          <w:lang w:bidi="fa-IR"/>
          <w:color w:val="111111"/>
          <w:sz w:val="28"/>
          <w:szCs w:val="28"/>
          <w:rtl/>
        </w:rPr>
        <w:t xml:space="preserve">رساله در مجموع شامل ۹ «مسئله» است که از خواجه نصیرالدین طوسی پرسیده است : 1. هل ثبت عندكم ان وجود الواجب امر زايد حقيقتا؛ ۲. هل المهيات الممكنة مجعولة او غير مجعولة؛ ٣. المسمى بوجود العام المشترك فى كونه وجودا فقط هل هو من جملة الممكنات ام لا .۴ .الواحد لا يصدر عنه الا واحد؛ ۵. ما حقيقة النفس الانسانية و ما البرهان الدال على اثباتها .۶ من اليقين ان الاجسام متناهية القوة ... ؛ ۷. الانسان فى هذه النشأة و الدار يتعذر عليه التجريدالتام، ۸. فى حقيقة الفيض الصادر من الحق و ما المتعقل العقلاء من معرفته .۹. الهيولى المجردة لا يقبل القسمته عقلا و هكذا الصورة فكيف بحلول الصورة صارتا جسماً و قبلت لقسمة قونوی چنین پرسشهایی را از سعد الدين حمویی هم کرده و پاسخ گرفته است.</w:t>
      </w:r>
    </w:p>
    <w:p>
      <w:pPr>
        <w:pStyle w:val="BookText"/>
      </w:pPr>
      <w:r>
        <w:rPr>
          <w:rFonts w:ascii="IRNazanin" w:hAnsi="IRNazanin" w:eastAsia="IRNazanin" w:cs="IRNazanin"/>
          <w:lang w:bidi="fa-IR"/>
          <w:color w:val="111111"/>
          <w:sz w:val="28"/>
          <w:szCs w:val="28"/>
          <w:rtl/>
        </w:rPr>
        <w:t xml:space="preserve">آغاز: کتاب و اسؤلة كتبهما الشيخ صدرالدين القونوى... الكتاب. بسمله. مازال سمعى من طبيب لذكرك، ما يزري على الروض ... گوش ایام و لیالی باستماع مآثر و معالی مجلس عالی خواجه معظم ... نصير الملة و الدين ... المسئلة الأولى: هل ثبت  عندكم ان وجود الواجب الوجود امر زايد</w:t>
      </w:r>
    </w:p>
    <w:p>
      <w:pPr>
        <w:pStyle w:val="BookText"/>
      </w:pPr>
      <w:r>
        <w:rPr>
          <w:rFonts w:ascii="IRNazanin" w:hAnsi="IRNazanin" w:eastAsia="IRNazanin" w:cs="IRNazanin"/>
          <w:lang w:bidi="fa-IR"/>
          <w:color w:val="111111"/>
          <w:sz w:val="28"/>
          <w:szCs w:val="28"/>
          <w:rtl/>
        </w:rPr>
        <w:t xml:space="preserve">انجام: لايزال انه اللطيف المجيب. و الحمد لله ذى الجود الفايض و   الكرم العام، وصلى الله على محمد و آله خیر الانام.</w:t>
      </w:r>
    </w:p>
    <w:p>
      <w:pPr>
        <w:pStyle w:val="BookText"/>
      </w:pPr>
      <w:r>
        <w:rPr>
          <w:rFonts w:ascii="IRNazanin" w:hAnsi="IRNazanin" w:eastAsia="IRNazanin" w:cs="IRNazanin"/>
          <w:lang w:bidi="fa-IR"/>
          <w:color w:val="111111"/>
          <w:sz w:val="28"/>
          <w:szCs w:val="28"/>
          <w:rtl/>
        </w:rPr>
        <w:t xml:space="preserve">چاپ: به اهتمام عبدالله  نورانی، در اجوبة المسائل النصيرية ،(تهران، پژهشگاه علوم انسانی :۱۳۸۳)</w:t>
      </w:r>
    </w:p>
    <w:p>
      <w:pPr>
        <w:pStyle w:val="BookText"/>
      </w:pPr>
      <w:r>
        <w:rPr>
          <w:rFonts w:ascii="Amiri" w:hAnsi="Amiri" w:eastAsia="Amiri" w:cs="Amiri"/>
          <w:lang w:bidi="ar-SA"/>
          <w:color w:val="111111"/>
          <w:sz w:val="28"/>
          <w:szCs w:val="28"/>
          <w:rtl/>
        </w:rPr>
        <w:t xml:space="preserve">[دنا ۷۰۲/۱ (۱۹ نسخه)؛ الذريعة ۳۱۲/۲۱؛ هدية العارفين ۱۳۱/۲؛ ريحانة  الادب ۴۳۲/۳]</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IRNazanin" w:hAnsi="IRNazanin" w:eastAsia="IRNazanin" w:cs="IRNazanin"/>
          <w:lang w:bidi="fa-IR"/>
          <w:color w:val="111111"/>
          <w:sz w:val="28"/>
          <w:szCs w:val="28"/>
          <w:rtl/>
        </w:rPr>
        <w:t xml:space="preserve">١- اجوبة المسائل القونوي - المفاوضات - المفصحة؛ نصير الدين  طوسی، محمد بن محمد (۶۷۲-۵۹۷)</w:t>
      </w:r>
    </w:p>
    <w:p>
      <w:pPr>
        <w:pStyle w:val="BookText"/>
      </w:pPr>
      <w:r>
        <w:rPr>
          <w:rFonts w:ascii="IRNazanin" w:hAnsi="IRNazanin" w:eastAsia="IRNazanin" w:cs="IRNazanin"/>
          <w:lang w:bidi="fa-IR"/>
          <w:color w:val="111111"/>
          <w:sz w:val="28"/>
          <w:szCs w:val="28"/>
          <w:rtl/>
        </w:rPr>
        <w:t xml:space="preserve">٢ - اسئلة القونوي عن الطوسي - مسائل القونوي - المفاوضات؛ صدرالدین ،قونیوی محمد بن اسحاق (۶۷۳-۶۰۷)</w:t>
      </w:r>
    </w:p>
    <w:p>
      <w:pPr>
        <w:pStyle w:val="BookText"/>
      </w:pPr>
      <w:r>
        <w:rPr>
          <w:rFonts w:ascii="IRNazanin" w:hAnsi="IRNazanin" w:eastAsia="IRNazanin" w:cs="IRNazanin"/>
          <w:lang w:bidi="fa-IR"/>
          <w:color w:val="111111"/>
          <w:sz w:val="28"/>
          <w:szCs w:val="28"/>
          <w:rtl/>
        </w:rPr>
        <w:t xml:space="preserve">٣- الرسالةالمفصحة - المفاوضات؛ صدرالدین قونیوی، محمد بن اسحاق (۶۷۳-۶۰۷)</w:t>
      </w:r>
    </w:p>
    <w:p>
      <w:pPr>
        <w:pStyle w:val="BookText"/>
      </w:pPr>
      <w:r>
        <w:rPr>
          <w:rFonts w:ascii="IRNazanin" w:hAnsi="IRNazanin" w:eastAsia="IRNazanin" w:cs="IRNazanin"/>
          <w:lang w:bidi="fa-IR"/>
          <w:color w:val="111111"/>
          <w:sz w:val="28"/>
          <w:szCs w:val="28"/>
          <w:rtl/>
        </w:rPr>
        <w:t xml:space="preserve">٤ - الرسالة الهادية - پاسخ قونوی به طوسی؛ صدرالدین قونیوی،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اسحاق (۶۰۷-۶۷۳)</w:t>
      </w:r>
    </w:p>
    <w:p>
      <w:pPr>
        <w:pStyle w:val="BookText"/>
      </w:pPr>
      <w:r>
        <w:rPr>
          <w:rFonts w:ascii="IRNazanin" w:hAnsi="IRNazanin" w:eastAsia="IRNazanin" w:cs="IRNazanin"/>
          <w:lang w:bidi="fa-IR"/>
          <w:color w:val="111111"/>
          <w:sz w:val="28"/>
          <w:szCs w:val="28"/>
          <w:rtl/>
        </w:rPr>
        <w:t xml:space="preserve">۱. تهران؛ دانشگاه؛ شماره نسخه: ۱۶۱۲/۷۴-ف</w:t>
      </w:r>
    </w:p>
    <w:p>
      <w:pPr>
        <w:pStyle w:val="BookText"/>
      </w:pPr>
      <w:r>
        <w:rPr>
          <w:rFonts w:ascii="IRNazanin" w:hAnsi="IRNazanin" w:eastAsia="IRNazanin" w:cs="IRNazanin"/>
          <w:lang w:bidi="fa-IR"/>
          <w:color w:val="111111"/>
          <w:sz w:val="28"/>
          <w:szCs w:val="28"/>
          <w:rtl/>
        </w:rPr>
        <w:t xml:space="preserve">نسخه اصل: نسخهش ۲۱۶ کتابخانه تقوی که اکنون در کتاب مجلس شورای اسلامی است 6414- 4559؛ کا: عبدالحی،تا: ۸۲۲ق، جا: ماردین در شمال عراق؛ کاغذ: سمرقندی ،جلد: تیماج،قهوه ای ضربی [ فیلم ها-ف: ۱ - ۶۲۱]</w:t>
      </w:r>
    </w:p>
    <w:p>
      <w:pPr>
        <w:pStyle w:val="BookText"/>
      </w:pPr>
      <w:r>
        <w:rPr>
          <w:rFonts w:ascii="IRNazanin" w:hAnsi="IRNazanin" w:eastAsia="IRNazanin" w:cs="IRNazanin"/>
          <w:lang w:bidi="fa-IR"/>
          <w:color w:val="111111"/>
          <w:sz w:val="28"/>
          <w:szCs w:val="28"/>
          <w:rtl/>
        </w:rPr>
        <w:t xml:space="preserve">۲ . مشهد؛ رضوی؛ شماره نسخه: ۹۲۹</w:t>
      </w:r>
    </w:p>
    <w:p>
      <w:pPr>
        <w:pStyle w:val="BookText"/>
      </w:pPr>
      <w:r>
        <w:rPr>
          <w:rFonts w:ascii="IRNazanin" w:hAnsi="IRNazanin" w:eastAsia="IRNazanin" w:cs="IRNazanin"/>
          <w:lang w:bidi="fa-IR"/>
          <w:color w:val="111111"/>
          <w:sz w:val="28"/>
          <w:szCs w:val="28"/>
          <w:rtl/>
        </w:rPr>
        <w:t xml:space="preserve">خط: نستعلیق، بی کا، تا: ۸۴۷ق [الفبائی: ۵۱۵]</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دانشگاه؛ شماره نسخه: ۵۵۰/۱ف</w:t>
      </w:r>
    </w:p>
    <w:p>
      <w:pPr>
        <w:pStyle w:val="BookText"/>
      </w:pPr>
      <w:r>
        <w:rPr>
          <w:rFonts w:ascii="IRNazanin" w:hAnsi="IRNazanin" w:eastAsia="IRNazanin" w:cs="IRNazanin"/>
          <w:lang w:bidi="fa-IR"/>
          <w:color w:val="111111"/>
          <w:sz w:val="28"/>
          <w:szCs w:val="28"/>
          <w:rtl/>
        </w:rPr>
        <w:t xml:space="preserve">آغاز: برابر؛ انجام: و انواع خیرات باد .و السلام معاد عليه و رحمة الله. تم.</w:t>
      </w:r>
    </w:p>
    <w:p>
      <w:pPr>
        <w:pStyle w:val="BookText"/>
      </w:pPr>
      <w:r>
        <w:rPr>
          <w:rFonts w:ascii="IRNazanin" w:hAnsi="IRNazanin" w:eastAsia="IRNazanin" w:cs="IRNazanin"/>
          <w:lang w:bidi="fa-IR"/>
          <w:color w:val="111111"/>
          <w:sz w:val="28"/>
          <w:szCs w:val="28"/>
          <w:rtl/>
        </w:rPr>
        <w:t xml:space="preserve">اصل نسخه: اسعد افندی، ش ۳۷۱۷ ؛خط: نستعلیق تحریری،کا: مصطفى بن محمد و اداری، تا: ۹۵۵ق، جا: قسطنطنیه؛ ا(گ 6)</w:t>
      </w:r>
    </w:p>
    <w:p>
      <w:pPr>
        <w:pStyle w:val="BookText"/>
      </w:pPr>
      <w:r>
        <w:rPr>
          <w:rFonts w:ascii="IRNazanin" w:hAnsi="IRNazanin" w:eastAsia="IRNazanin" w:cs="IRNazanin"/>
          <w:lang w:bidi="fa-IR"/>
          <w:color w:val="111111"/>
          <w:sz w:val="28"/>
          <w:szCs w:val="28"/>
          <w:rtl/>
        </w:rPr>
        <w:t xml:space="preserve">[فیلم ها: ۴۹۷/۱]</w:t>
      </w:r>
    </w:p>
    <w:p>
      <w:pPr>
        <w:pStyle w:val="BookText"/>
      </w:pPr>
      <w:r>
        <w:rPr>
          <w:rFonts w:ascii="IRNazanin" w:hAnsi="IRNazanin" w:eastAsia="IRNazanin" w:cs="IRNazanin"/>
          <w:lang w:bidi="fa-IR"/>
          <w:color w:val="111111"/>
          <w:sz w:val="28"/>
          <w:szCs w:val="28"/>
          <w:rtl/>
        </w:rPr>
        <w:t xml:space="preserve">تهران؛ دائرة المعارف؛ شماره نسخه: ۳۵۲/۱-عکسی و ۳۸۰/۱-عکسی</w:t>
      </w:r>
    </w:p>
    <w:p>
      <w:pPr>
        <w:pStyle w:val="BookText"/>
      </w:pPr>
      <w:r>
        <w:rPr>
          <w:rFonts w:ascii="IRNazanin" w:hAnsi="IRNazanin" w:eastAsia="IRNazanin" w:cs="IRNazanin"/>
          <w:lang w:bidi="fa-IR"/>
          <w:color w:val="111111"/>
          <w:sz w:val="28"/>
          <w:szCs w:val="28"/>
          <w:rtl/>
        </w:rPr>
        <w:t xml:space="preserve">اصل  نسخه: همان نسخه اصل بالا :[ف ۲ - ۲۷۸ و ۲۷۹]</w:t>
      </w:r>
    </w:p>
    <w:p>
      <w:pPr>
        <w:pStyle w:val="BookText"/>
      </w:pPr>
      <w:r>
        <w:rPr>
          <w:rFonts w:ascii="IRNazanin" w:hAnsi="IRNazanin" w:eastAsia="IRNazanin" w:cs="IRNazanin"/>
          <w:lang w:bidi="fa-IR"/>
          <w:color w:val="111111"/>
          <w:sz w:val="28"/>
          <w:szCs w:val="28"/>
          <w:rtl/>
        </w:rPr>
        <w:t xml:space="preserve">4.تهران؛ دانشگاه؛ شماره نسخه: ۶۷۱۰/۱۵</w:t>
      </w:r>
    </w:p>
    <w:p>
      <w:pPr>
        <w:pStyle w:val="BookText"/>
      </w:pPr>
      <w:r>
        <w:rPr>
          <w:rFonts w:ascii="IRNazanin" w:hAnsi="IRNazanin" w:eastAsia="IRNazanin" w:cs="IRNazanin"/>
          <w:lang w:bidi="fa-IR"/>
          <w:color w:val="111111"/>
          <w:sz w:val="28"/>
          <w:szCs w:val="28"/>
          <w:rtl/>
        </w:rPr>
        <w:t xml:space="preserve">خط: نستعلیق  ریز، کا: صدرالدین محمد رضوی شاگرد آقا حسـین خوانساری، تا: قرن ۱۱ ؛کاغذ: سپاهانی ،جلد: تیماج حنایی مقوایی درون سرخ با لولا، 3گ (۶۰پ-۶۲ پ)، ۴۲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 قطع: رحلی،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۳۱سم [ف: ۱۶ - ۳۳۸]</w:t>
      </w:r>
    </w:p>
    <w:p>
      <w:pPr>
        <w:pStyle w:val="BookText"/>
      </w:pPr>
      <w:r>
        <w:rPr>
          <w:rFonts w:ascii="IRNazanin" w:hAnsi="IRNazanin" w:eastAsia="IRNazanin" w:cs="IRNazanin"/>
          <w:lang w:bidi="fa-IR"/>
          <w:color w:val="111111"/>
          <w:sz w:val="28"/>
          <w:szCs w:val="28"/>
          <w:rtl/>
        </w:rPr>
        <w:t xml:space="preserve">۵. تهران؛ ملک؛ شماره نسخه: ۴۶۸۱/۶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شکسته نستعلیق، کا: محمد قاسم بن بهزاد، تا: قرن 11؛کاغذ: نوعی  ترمه ،جلد: میشن زرد ،سیر، ٩گ (۶ر-۱۴ر)، سطور</w:t>
      </w:r>
    </w:p>
    <w:p>
      <w:pPr>
        <w:pStyle w:val="BookText"/>
      </w:pPr>
      <w:r>
        <w:rPr>
          <w:rFonts w:ascii="IRNazanin" w:hAnsi="IRNazanin" w:eastAsia="IRNazanin" w:cs="IRNazanin"/>
          <w:lang w:bidi="fa-IR"/>
          <w:color w:val="111111"/>
          <w:sz w:val="28"/>
          <w:szCs w:val="28"/>
          <w:rtl/>
        </w:rPr>
        <w:t xml:space="preserve">راسته و چلیپا، اندازه: ۱۶/۶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۲۵/۲سم [ف ۸ - ۲۳]</w:t>
      </w:r>
    </w:p>
    <w:p>
      <w:pPr>
        <w:pStyle w:val="BookText"/>
      </w:pPr>
      <w:r>
        <w:rPr>
          <w:rFonts w:ascii="IRNazanin" w:hAnsi="IRNazanin" w:eastAsia="IRNazanin" w:cs="IRNazanin"/>
          <w:lang w:bidi="fa-IR"/>
          <w:color w:val="111111"/>
          <w:sz w:val="28"/>
          <w:szCs w:val="28"/>
          <w:rtl/>
        </w:rPr>
        <w:t xml:space="preserve">۶. تهران؛ ملک؛ شماره نسخه: ۲۵۰۸/۵</w:t>
      </w:r>
    </w:p>
    <w:p>
      <w:pPr>
        <w:pStyle w:val="BookText"/>
      </w:pPr>
      <w:r>
        <w:rPr>
          <w:rFonts w:ascii="IRNazanin" w:hAnsi="IRNazanin" w:eastAsia="IRNazanin" w:cs="IRNazanin"/>
          <w:lang w:bidi="fa-IR"/>
          <w:color w:val="111111"/>
          <w:sz w:val="28"/>
          <w:szCs w:val="28"/>
          <w:rtl/>
        </w:rPr>
        <w:t xml:space="preserve">خط: نستعلیق شکسته بی  نقطه، بی کا، تا: ۱۷ صفر ۱۰۲۰ق؛ كاغذ: ترمه، جلد: رویه کاغذ فرنگی عطف و گوشه میشن تریاکی، ۱۲گ (۵۱پ-62ر) ۱۲ گ ۲۳ سطر ،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۶ - ۲۷]</w:t>
      </w:r>
    </w:p>
    <w:p>
      <w:pPr>
        <w:pStyle w:val="BookText"/>
      </w:pPr>
      <w:r>
        <w:rPr>
          <w:rFonts w:ascii="IRNazanin" w:hAnsi="IRNazanin" w:eastAsia="IRNazanin" w:cs="IRNazanin"/>
          <w:lang w:bidi="fa-IR"/>
          <w:color w:val="111111"/>
          <w:sz w:val="28"/>
          <w:szCs w:val="28"/>
          <w:rtl/>
        </w:rPr>
        <w:t xml:space="preserve">۷ .تهران؛ ملی؛ شماره نسخه: ۲۷۸۷/۱۲</w:t>
      </w:r>
    </w:p>
    <w:p>
      <w:pPr>
        <w:pStyle w:val="BookText"/>
      </w:pPr>
      <w:r>
        <w:rPr>
          <w:rFonts w:ascii="Amiri" w:hAnsi="Amiri" w:eastAsia="Amiri" w:cs="Amiri"/>
          <w:lang w:bidi="ar-SA"/>
          <w:color w:val="111111"/>
          <w:sz w:val="28"/>
          <w:szCs w:val="28"/>
          <w:rtl/>
        </w:rPr>
        <w:t xml:space="preserve">آغاز: برابر ؛انجام: لا تحقق لها بنفسها بالتبعية لماله وجود محـقق  كما سبقت الاشارة اليه فى بعض الاسئلة المقدمة</w:t>
      </w:r>
    </w:p>
    <w:p>
      <w:pPr>
        <w:pStyle w:val="BookText"/>
      </w:pPr>
      <w:r>
        <w:rPr>
          <w:rFonts w:ascii="IRNazanin" w:hAnsi="IRNazanin" w:eastAsia="IRNazanin" w:cs="IRNazanin"/>
          <w:lang w:bidi="fa-IR"/>
          <w:color w:val="111111"/>
          <w:sz w:val="28"/>
          <w:szCs w:val="28"/>
          <w:rtl/>
        </w:rPr>
        <w:t xml:space="preserve">خط: شکسته نستعلیق ،كا: شهاب الدين حسين بن ناصرالدین  حسین حسنی حسینی جعفری  دیباجی، تا: قرن ۱۲؛ کاغذ: اصفهانی نخودی ،جلد: مقوا با روکش گالینگور ۶گ (۵۰پ ۵۵) ابعاد متن: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 ،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۲۲/۵سم [ف : ۱۳ - 273]</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قم؛ مرعشی؛ شماره نسخه: ۱۱۰۷۰/۲</w:t>
      </w:r>
    </w:p>
    <w:p>
      <w:pPr>
        <w:pStyle w:val="BookText"/>
      </w:pPr>
      <w:r>
        <w:rPr>
          <w:rFonts w:ascii="IRNazanin" w:hAnsi="IRNazanin" w:eastAsia="IRNazanin" w:cs="IRNazanin"/>
          <w:lang w:bidi="fa-IR"/>
          <w:color w:val="111111"/>
          <w:sz w:val="28"/>
          <w:szCs w:val="28"/>
          <w:rtl/>
        </w:rPr>
        <w:t xml:space="preserve">آغاز: المسألة الأولى، هل ثبت عندكم ان وجود واجب الوجـود امر زائد على حقيقته ام وجوده عين مهيته؛ انجام: و انه نسبة تحقق لها بنفسها بالتبعية لما له وجود محقق كما سبقت الاشارة من بعض الاسولة المقدمة  سؤالات قونوی از خواجه؛ خط: نستعلیق، کا: محمد كاظم بن محمد حسن تویسرکانی، تا: ۱۱۱۸ق؛ مصحح، فاقد خطبه کتاب؛کاغذ: سمرقندی سمرقندی آهار مهره  ۱۴گ،( ۲۰ - ۳۳)، ۱۵ سطر ، اندازه:  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۲۸ - ۹۸]</w:t>
      </w:r>
    </w:p>
    <w:p>
      <w:pPr>
        <w:pStyle w:val="BookText"/>
      </w:pPr>
      <w:r>
        <w:rPr>
          <w:rFonts w:ascii="IRNazanin" w:hAnsi="IRNazanin" w:eastAsia="IRNazanin" w:cs="IRNazanin"/>
          <w:lang w:bidi="fa-IR"/>
          <w:color w:val="111111"/>
          <w:sz w:val="28"/>
          <w:szCs w:val="28"/>
          <w:rtl/>
        </w:rPr>
        <w:t xml:space="preserve">۹. قم؛ مرعشی؛ شماره نسخه: ۱۱۱۱۰/۶</w:t>
      </w:r>
    </w:p>
    <w:p>
      <w:pPr>
        <w:pStyle w:val="BookText"/>
      </w:pPr>
      <w:r>
        <w:rPr>
          <w:rFonts w:ascii="Amiri" w:hAnsi="Amiri" w:eastAsia="Amiri" w:cs="Amiri"/>
          <w:lang w:bidi="ar-SA"/>
          <w:color w:val="111111"/>
          <w:sz w:val="28"/>
          <w:szCs w:val="28"/>
          <w:rtl/>
        </w:rPr>
        <w:t xml:space="preserve">آغاز: و هذا المفهوم من حيث انه هو مع قطع النظر عن كل ما سواه اما ان يقتضى ان يكون؛ انجام: كما سبقت الاشارة اليه فى بعض الاسئوالة المتقدمة؛ تمت بعون الله و حسن توفيقه والحمد لله  وحده</w:t>
      </w:r>
    </w:p>
    <w:p>
      <w:pPr>
        <w:pStyle w:val="BookText"/>
      </w:pPr>
      <w:r>
        <w:rPr>
          <w:rFonts w:ascii="IRNazanin" w:hAnsi="IRNazanin" w:eastAsia="IRNazanin" w:cs="IRNazanin"/>
          <w:lang w:bidi="fa-IR"/>
          <w:color w:val="111111"/>
          <w:sz w:val="28"/>
          <w:szCs w:val="28"/>
          <w:rtl/>
        </w:rPr>
        <w:t xml:space="preserve">خط: نسخ و نستعلیق، کا: محمد بن عبد الكريم، تفرشی، تا: ۱۲۷۴ق؛ افتادگی: آغاز؛ مصحح، کاغذ: فرنگی، ۴گ (۲۲- ۲۵)، ۲۹ سطر ، اندازه: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۱۶/۵سم [ف: ۲۸ - ۱۶۷]</w:t>
      </w:r>
    </w:p>
    <w:p>
      <w:pPr>
        <w:pStyle w:val="BookText"/>
      </w:pPr>
      <w:r>
        <w:rPr>
          <w:rFonts w:ascii="IRNazanin" w:hAnsi="IRNazanin" w:eastAsia="IRNazanin" w:cs="IRNazanin"/>
          <w:lang w:bidi="fa-IR"/>
          <w:color w:val="111111"/>
          <w:sz w:val="28"/>
          <w:szCs w:val="28"/>
          <w:rtl/>
        </w:rPr>
        <w:t xml:space="preserve">۱۰. تهران؛ مجلس؛ شماره نسخه: ۳۷۷۹/۱</w:t>
      </w:r>
    </w:p>
    <w:p>
      <w:pPr>
        <w:pStyle w:val="BookText"/>
      </w:pPr>
      <w:r>
        <w:rPr>
          <w:rFonts w:ascii="IRNazanin" w:hAnsi="IRNazanin" w:eastAsia="IRNazanin" w:cs="IRNazanin"/>
          <w:lang w:bidi="fa-IR"/>
          <w:color w:val="111111"/>
          <w:sz w:val="28"/>
          <w:szCs w:val="28"/>
          <w:rtl/>
        </w:rPr>
        <w:t xml:space="preserve">تنها متن سئوال هاست و مقدمه فارسی آن جداگانه آمده؛ خط: شکسته نستعلیق، کا: میرزا عبدالله مازندرانی ریاضی، تا: ۱۳۰۲ق؛ کاغذ: فرنگی، ۵۵ ص (۲-۵۶)، ۱۷ سطر ، قطع: خشتی،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 ۱۰ - ۱۷۶۴]</w:t>
      </w:r>
    </w:p>
    <w:p>
      <w:pPr>
        <w:pStyle w:val="BookText"/>
      </w:pPr>
      <w:r>
        <w:rPr>
          <w:rFonts w:ascii="IRNazanin" w:hAnsi="IRNazanin" w:eastAsia="IRNazanin" w:cs="IRNazanin"/>
          <w:lang w:bidi="fa-IR"/>
          <w:color w:val="111111"/>
          <w:sz w:val="28"/>
          <w:szCs w:val="28"/>
          <w:rtl/>
        </w:rPr>
        <w:t xml:space="preserve">۱۱. تهران؛ ادبیات؛ شماره نسخه: ۹۰/۲۶ ـ د</w:t>
      </w:r>
    </w:p>
    <w:p>
      <w:pPr>
        <w:pStyle w:val="BookText"/>
      </w:pPr>
      <w:r>
        <w:rPr>
          <w:rFonts w:ascii="Amiri" w:hAnsi="Amiri" w:eastAsia="Amiri" w:cs="Amiri"/>
          <w:lang w:bidi="ar-SA"/>
          <w:color w:val="111111"/>
          <w:sz w:val="28"/>
          <w:szCs w:val="28"/>
          <w:rtl/>
        </w:rPr>
        <w:t xml:space="preserve">آغاز: بسمله هذه هي المسائل التي كتبها الشيخ صدر الدين من الروم الى افضل العالم مولانا نصير الحق و الدين الطوسي  المسئله الاولى : هل يثبت عندكم ان وجود الواجب امر زائد على حقيقته ام  وجوده عين ماهيته و ان ليست له حقيقة وراء الوجود</w:t>
      </w:r>
    </w:p>
    <w:p>
      <w:pPr>
        <w:pStyle w:val="BookText"/>
      </w:pPr>
      <w:r>
        <w:rPr>
          <w:rFonts w:ascii="IRNazanin" w:hAnsi="IRNazanin" w:eastAsia="IRNazanin" w:cs="IRNazanin"/>
          <w:lang w:bidi="fa-IR"/>
          <w:color w:val="111111"/>
          <w:sz w:val="28"/>
          <w:szCs w:val="28"/>
          <w:rtl/>
        </w:rPr>
        <w:t xml:space="preserve">بی کا، بی تا؛ ۱۳گ (۵۸پ- ۶۱ پ و69ر-78ر ) [ف: ۱ - ۴۳۳]</w:t>
      </w:r>
    </w:p>
    <w:p>
      <w:pPr>
        <w:pStyle w:val="BookText"/>
      </w:pPr>
      <w:r>
        <w:rPr>
          <w:rFonts w:ascii="IRNazanin" w:hAnsi="IRNazanin" w:eastAsia="IRNazanin" w:cs="IRNazanin"/>
          <w:lang w:bidi="fa-IR"/>
          <w:color w:val="111111"/>
          <w:sz w:val="28"/>
          <w:szCs w:val="28"/>
          <w:rtl/>
        </w:rPr>
        <w:t xml:space="preserve">۱۲. تهران؛ مجلس؛ شماره نسخه: ۱۸۳۰/۳۷</w:t>
      </w:r>
    </w:p>
    <w:p>
      <w:pPr>
        <w:pStyle w:val="BookText"/>
      </w:pPr>
      <w:r>
        <w:rPr>
          <w:rFonts w:ascii="Amiri" w:hAnsi="Amiri" w:eastAsia="Amiri" w:cs="Amiri"/>
          <w:lang w:bidi="ar-SA"/>
          <w:color w:val="111111"/>
          <w:sz w:val="28"/>
          <w:szCs w:val="28"/>
          <w:rtl/>
        </w:rPr>
        <w:t xml:space="preserve">آغاز: رساله المسئله الاولى هل ثبت عندكم؛ انجام: كما سبقت الاشارة اليه فى بعض الاسؤله المتقدمه تمت الاسؤله بحمد الله و  حسن توفيقه.</w:t>
      </w:r>
    </w:p>
    <w:p>
      <w:pPr>
        <w:pStyle w:val="BookText"/>
      </w:pPr>
      <w:r>
        <w:rPr>
          <w:rFonts w:ascii="IRNazanin" w:hAnsi="IRNazanin" w:eastAsia="IRNazanin" w:cs="IRNazanin"/>
          <w:lang w:bidi="fa-IR"/>
          <w:color w:val="111111"/>
          <w:sz w:val="28"/>
          <w:szCs w:val="28"/>
          <w:rtl/>
        </w:rPr>
        <w:t xml:space="preserve">نامه قونوی به خواجه نصیر و رساله مفاوضات؛ خط: شکسته نستعلیق،کا:عقیلی استر آبادی،بی تا؛ ۲۳ص (۱۷۲-۱۹۴)[ف: ۹- ۴۷۳]</w:t>
      </w:r>
    </w:p>
    <w:p>
      <w:pPr>
        <w:pStyle w:val="BookText"/>
      </w:pPr>
      <w:r>
        <w:rPr>
          <w:rFonts w:ascii="IRNazanin" w:hAnsi="IRNazanin" w:eastAsia="IRNazanin" w:cs="IRNazanin"/>
          <w:lang w:bidi="fa-IR"/>
          <w:color w:val="111111"/>
          <w:sz w:val="28"/>
          <w:szCs w:val="28"/>
          <w:rtl/>
        </w:rPr>
        <w:t xml:space="preserve">۱۳. مشهد؛ رضوی؛ شماره نسخه: ۹۲۹</w:t>
      </w:r>
    </w:p>
    <w:p>
      <w:pPr>
        <w:pStyle w:val="BookText"/>
      </w:pPr>
      <w:r>
        <w:rPr>
          <w:rFonts w:ascii="IRNazanin" w:hAnsi="IRNazanin" w:eastAsia="IRNazanin" w:cs="IRNazanin"/>
          <w:lang w:bidi="fa-IR"/>
          <w:color w:val="111111"/>
          <w:sz w:val="28"/>
          <w:szCs w:val="28"/>
          <w:rtl/>
        </w:rPr>
        <w:t xml:space="preserve">آغاز: برابر؛ انجام: كما سبقت الاشارة اليه في الاسئلة و الاجوبة بعون الله و حسن توفیقه</w:t>
      </w:r>
    </w:p>
    <w:p>
      <w:pPr>
        <w:pStyle w:val="BookText"/>
      </w:pPr>
      <w:r>
        <w:rPr>
          <w:rFonts w:ascii="IRNazanin" w:hAnsi="IRNazanin" w:eastAsia="IRNazanin" w:cs="IRNazanin"/>
          <w:lang w:bidi="fa-IR"/>
          <w:color w:val="111111"/>
          <w:sz w:val="28"/>
          <w:szCs w:val="28"/>
          <w:rtl/>
        </w:rPr>
        <w:t xml:space="preserve">خط: نستعلیق، بی کا،بی تا ،واقف: ابن خاتون؛ ۱۷گ، ۱۸ سطر  ،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۲۳سم [ف: ۴ – ۲۴۱]</w:t>
      </w:r>
    </w:p>
    <w:p>
      <w:pPr>
        <w:pStyle w:val="BookText"/>
      </w:pPr>
      <w:r>
        <w:rPr>
          <w:rFonts w:ascii="IRNazanin" w:hAnsi="IRNazanin" w:eastAsia="IRNazanin" w:cs="IRNazanin"/>
          <w:lang w:bidi="fa-IR"/>
          <w:color w:val="111111"/>
          <w:sz w:val="28"/>
          <w:szCs w:val="28"/>
          <w:rtl/>
        </w:rPr>
        <w:t xml:space="preserve">۱۴ مشهد؛ رضوی؛ شماره نسخه: ض ۱۰۳۱۷</w:t>
      </w:r>
    </w:p>
    <w:p>
      <w:pPr>
        <w:pStyle w:val="BookText"/>
      </w:pPr>
      <w:r>
        <w:rPr>
          <w:rFonts w:ascii="IRNazanin" w:hAnsi="IRNazanin" w:eastAsia="IRNazanin" w:cs="IRNazanin"/>
          <w:lang w:bidi="fa-IR"/>
          <w:color w:val="111111"/>
          <w:sz w:val="28"/>
          <w:szCs w:val="28"/>
          <w:rtl/>
        </w:rPr>
        <w:t xml:space="preserve">خط: نسخ، بی کا، بی تا [الفبائی: ۵۴۰]</w:t>
      </w:r>
    </w:p>
    <w:p>
      <w:pPr>
        <w:pStyle w:val="BookText"/>
      </w:pPr>
      <w:r>
        <w:rPr>
          <w:rFonts w:ascii="IRNazanin" w:hAnsi="IRNazanin" w:eastAsia="IRNazanin" w:cs="IRNazanin"/>
          <w:lang w:bidi="fa-IR"/>
          <w:color w:val="111111"/>
          <w:sz w:val="28"/>
          <w:szCs w:val="28"/>
          <w:rtl/>
        </w:rPr>
        <w:t xml:space="preserve">۱۵. تهران؛ مروی؛ شماره نسخه: ۷۱۵/۳</w:t>
      </w:r>
    </w:p>
    <w:p>
      <w:pPr>
        <w:pStyle w:val="BookText"/>
      </w:pPr>
      <w:r>
        <w:rPr>
          <w:rFonts w:ascii="IRNazanin" w:hAnsi="IRNazanin" w:eastAsia="IRNazanin" w:cs="IRNazanin"/>
          <w:lang w:bidi="fa-IR"/>
          <w:color w:val="111111"/>
          <w:sz w:val="28"/>
          <w:szCs w:val="28"/>
          <w:rtl/>
        </w:rPr>
        <w:t xml:space="preserve">بی کا، بی تا؛ قطع: خشتی [ف: ۲۹۹]</w:t>
      </w:r>
    </w:p>
    <w:p>
      <w:pPr>
        <w:pStyle w:val="BookText"/>
      </w:pPr>
      <w:r>
        <w:rPr>
          <w:rFonts w:ascii="IRNazanin" w:hAnsi="IRNazanin" w:eastAsia="IRNazanin" w:cs="IRNazanin"/>
          <w:lang w:bidi="fa-IR"/>
          <w:color w:val="111111"/>
          <w:sz w:val="28"/>
          <w:szCs w:val="28"/>
          <w:rtl/>
        </w:rPr>
        <w:t xml:space="preserve">۱۶. تهران؛ دانشگاه؛ شماره نسخه: ۵۰۲/۱-ف</w:t>
      </w:r>
    </w:p>
    <w:p>
      <w:pPr>
        <w:pStyle w:val="BookText"/>
      </w:pPr>
      <w:r>
        <w:rPr>
          <w:rFonts w:ascii="IRNazanin" w:hAnsi="IRNazanin" w:eastAsia="IRNazanin" w:cs="IRNazanin"/>
          <w:lang w:bidi="fa-IR"/>
          <w:color w:val="111111"/>
          <w:sz w:val="28"/>
          <w:szCs w:val="28"/>
          <w:rtl/>
        </w:rPr>
        <w:t xml:space="preserve">نسخه  اصل: بشیر آغا ش ۳۵۵؛ خط: نستعلیق، بی کا، بی تا؛ ۳۱گ  (۳۵-۴) ۱۵ سطر [ فیلم ها -ف: ۱ - ۴۹۲]</w:t>
      </w:r>
    </w:p>
    <w:p>
      <w:pPr>
        <w:pStyle w:val="BookText"/>
      </w:pPr>
      <w:r>
        <w:rPr>
          <w:rFonts w:ascii="IRNazanin" w:hAnsi="IRNazanin" w:eastAsia="IRNazanin" w:cs="IRNazanin"/>
          <w:lang w:bidi="fa-IR"/>
          <w:color w:val="111111"/>
          <w:sz w:val="28"/>
          <w:szCs w:val="28"/>
          <w:rtl/>
        </w:rPr>
        <w:t xml:space="preserve">۱۷. تهران؛ دانشگاه؛ شماره نسخه: ۶۶۱۶/۴۸</w:t>
      </w:r>
    </w:p>
    <w:p>
      <w:pPr>
        <w:pStyle w:val="BookText"/>
      </w:pPr>
      <w:r>
        <w:rPr>
          <w:rFonts w:ascii="IRNazanin" w:hAnsi="IRNazanin" w:eastAsia="IRNazanin" w:cs="IRNazanin"/>
          <w:lang w:bidi="fa-IR"/>
          <w:color w:val="111111"/>
          <w:sz w:val="28"/>
          <w:szCs w:val="28"/>
          <w:rtl/>
        </w:rPr>
        <w:t xml:space="preserve">بی کا، بی تا ،کاغذ: سپاهانی ،جلد: تیماج تریاکی ضربی مقوایی،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19" w:name="pg20365_260152"/>
    <w:bookmarkEnd w:id="119"/>
    <w:p>
      <w:pPr>
        <w:pStyle w:val="BookText"/>
      </w:pPr>
      <w:r>
        <w:rPr>
          <w:rFonts w:ascii="IRNazanin" w:hAnsi="IRNazanin" w:eastAsia="IRNazanin" w:cs="IRNazanin"/>
          <w:lang w:bidi="fa-IR"/>
          <w:color w:val="111111"/>
          <w:sz w:val="28"/>
          <w:szCs w:val="28"/>
          <w:rtl/>
        </w:rPr>
        <w:t xml:space="preserve">8گ (215ر- 222پ)، ۲۷ سطر (10</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،قطع: رحلی،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۳۱سم [ف : ۱۶ - ۳۱۲]</w:t>
      </w:r>
    </w:p>
    <w:p>
      <w:pPr>
        <w:pStyle w:val="BookText"/>
      </w:pPr>
      <w:r>
        <w:rPr>
          <w:rFonts w:ascii="Amiri" w:hAnsi="Amiri" w:eastAsia="Amiri" w:cs="Amiri"/>
          <w:lang w:bidi="ar-SA"/>
          <w:color w:val="111111"/>
          <w:sz w:val="28"/>
          <w:szCs w:val="28"/>
          <w:rtl/>
        </w:rPr>
        <w:t xml:space="preserve">«اسألة اللوكرى و اجوبته » عويص المسائل</w:t>
      </w:r>
    </w:p>
    <w:p>
      <w:pPr>
        <w:pStyle w:val="Heading3"/>
      </w:pPr>
      <w:bookmarkStart w:id="885" w:name="_Toc407"/>
      <w:r>
        <w:t>الاسئلة المائة / گوناگون / عربی</w:t>
      </w:r>
      <w:bookmarkEnd w:id="885"/>
    </w:p>
    <w:p>
      <w:pPr>
        <w:pStyle w:val="BookText"/>
      </w:pPr>
      <w:r>
        <w:rPr>
          <w:rFonts w:ascii="Times New Roman" w:hAnsi="Times New Roman" w:eastAsia="Times New Roman" w:cs="Times New Roman"/>
          <w:lang w:val="en-US" w:bidi="en-US"/>
          <w:color w:val="111111"/>
          <w:sz w:val="28"/>
          <w:szCs w:val="28"/>
          <w:rtl/>
        </w:rPr>
        <w:t xml:space="preserve">al-as’ilat-ul mi’a</w:t>
      </w:r>
    </w:p>
    <w:p>
      <w:pPr>
        <w:pStyle w:val="BookText"/>
      </w:pPr>
      <w:r>
        <w:rPr>
          <w:rFonts w:ascii="IRNazanin" w:hAnsi="IRNazanin" w:eastAsia="IRNazanin" w:cs="IRNazanin"/>
          <w:lang w:bidi="fa-IR"/>
          <w:color w:val="111111"/>
          <w:sz w:val="28"/>
          <w:szCs w:val="28"/>
          <w:rtl/>
        </w:rPr>
        <w:t xml:space="preserve">ابن حجر عسقلانی احمد بن ،علی ۷۳۳ - ۸۵۲ قمری</w:t>
      </w:r>
    </w:p>
    <w:p>
      <w:pPr>
        <w:pStyle w:val="BookText"/>
      </w:pPr>
      <w:r>
        <w:rPr>
          <w:rFonts w:ascii="Times New Roman" w:hAnsi="Times New Roman" w:eastAsia="Times New Roman" w:cs="Times New Roman"/>
          <w:lang w:val="en-US" w:bidi="en-US"/>
          <w:color w:val="111111"/>
          <w:sz w:val="28"/>
          <w:szCs w:val="28"/>
          <w:rtl/>
        </w:rPr>
        <w:t xml:space="preserve">(ebn-e hajar-e ‘asqalānī, ahmad ebn-e ‘alī (1333 - 1449)</w:t>
      </w:r>
    </w:p>
    <w:p>
      <w:pPr>
        <w:pStyle w:val="BookText"/>
      </w:pPr>
      <w:r>
        <w:rPr>
          <w:rFonts w:ascii="IRNazanin" w:hAnsi="IRNazanin" w:eastAsia="IRNazanin" w:cs="IRNazanin"/>
          <w:lang w:bidi="fa-IR"/>
          <w:color w:val="111111"/>
          <w:sz w:val="28"/>
          <w:szCs w:val="28"/>
          <w:rtl/>
        </w:rPr>
        <w:t xml:space="preserve">در صد مسأله گوناگون و به صورت منظوم.</w:t>
      </w:r>
    </w:p>
    <w:p>
      <w:pPr>
        <w:pStyle w:val="BookText"/>
      </w:pPr>
      <w:r>
        <w:rPr>
          <w:rFonts w:ascii="IRNazanin" w:hAnsi="IRNazanin" w:eastAsia="IRNazanin" w:cs="IRNazanin"/>
          <w:lang w:bidi="fa-IR"/>
          <w:color w:val="111111"/>
          <w:sz w:val="28"/>
          <w:szCs w:val="28"/>
          <w:rtl/>
        </w:rPr>
        <w:t xml:space="preserve">تهران؛ الهیات شماره نسخه: ۱۹۳/۳</w:t>
      </w:r>
    </w:p>
    <w:p>
      <w:pPr>
        <w:pStyle w:val="BookText"/>
      </w:pPr>
      <w:r>
        <w:rPr>
          <w:rFonts w:ascii="IRNazanin" w:hAnsi="IRNazanin" w:eastAsia="IRNazanin" w:cs="IRNazanin"/>
          <w:lang w:bidi="fa-IR"/>
          <w:color w:val="111111"/>
          <w:sz w:val="28"/>
          <w:szCs w:val="28"/>
          <w:rtl/>
        </w:rPr>
        <w:t xml:space="preserve">آغاز: بسمله و به نستعين. الحمد لله صلى ذوالجلال على *** خلاصة  الانبياء كنز المساكين / من اثبت الله مولانا رسالته *** قدما و آدم بین الماء و الطين / ما حكم قوله اله العرش خالقنا *** سبحانه جل  عن كيف و عن اين / في آية هى فى الاحزاب تذكران*** المسلمين الى وعد العظيمين؛ انجام: نلتم ثوابا من المولى و مغـفرة *** على الدوام و اجرا غير ممنون / ثم الصلوة على اعلى الوری شرفا *** محمد المصطفى خير النبيين / والال و الصحب ما هـب  الصبا وصبا *** صب لذكر احاديث المحبين</w:t>
      </w:r>
    </w:p>
    <w:p>
      <w:pPr>
        <w:pStyle w:val="BookText"/>
      </w:pPr>
      <w:r>
        <w:rPr>
          <w:rFonts w:ascii="IRNazanin" w:hAnsi="IRNazanin" w:eastAsia="IRNazanin" w:cs="IRNazanin"/>
          <w:lang w:bidi="fa-IR"/>
          <w:color w:val="111111"/>
          <w:sz w:val="28"/>
          <w:szCs w:val="28"/>
          <w:rtl/>
        </w:rPr>
        <w:t xml:space="preserve">خط: نسخ، کا: محمد بن قاسم کعکی، بی تا ،کاغذ ،فرنگی، جـلد: تیماج مشکی ضربی، ۳گ (21پ- 23پ)، ۲۲-۲۹ سطر</w:t>
      </w:r>
    </w:p>
    <w:p>
      <w:pPr>
        <w:pStyle w:val="BookText"/>
      </w:pPr>
      <w:r>
        <w:rPr>
          <w:rFonts w:ascii="IRNazanin" w:hAnsi="IRNazanin" w:eastAsia="IRNazanin" w:cs="IRNazanin"/>
          <w:lang w:bidi="fa-IR"/>
          <w:color w:val="111111"/>
          <w:sz w:val="28"/>
          <w:szCs w:val="28"/>
          <w:rtl/>
        </w:rPr>
        <w:t xml:space="preserve">(۱۰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۷۲۸]</w:t>
      </w:r>
    </w:p>
    <w:p>
      <w:pPr>
        <w:pStyle w:val="BookText"/>
      </w:pPr>
      <w:r>
        <w:rPr>
          <w:rFonts w:ascii="IRNazanin" w:hAnsi="IRNazanin" w:eastAsia="IRNazanin" w:cs="IRNazanin"/>
          <w:lang w:bidi="fa-IR"/>
          <w:color w:val="111111"/>
          <w:sz w:val="28"/>
          <w:szCs w:val="28"/>
          <w:rtl/>
        </w:rPr>
        <w:t xml:space="preserve">«اسئلة و اجوبة » اجوبة المسائل شمسای گیلانی</w:t>
      </w:r>
    </w:p>
    <w:p>
      <w:pPr>
        <w:pStyle w:val="BookText"/>
      </w:pPr>
      <w:r>
        <w:rPr>
          <w:rFonts w:ascii="IRNazanin" w:hAnsi="IRNazanin" w:eastAsia="IRNazanin" w:cs="IRNazanin"/>
          <w:lang w:bidi="fa-IR"/>
          <w:color w:val="111111"/>
          <w:sz w:val="28"/>
          <w:szCs w:val="28"/>
          <w:rtl/>
        </w:rPr>
        <w:t xml:space="preserve">«الاسئلة والاجوبة » اجوبة مسائل ابی ریحان البیرونی</w:t>
      </w:r>
    </w:p>
    <w:p>
      <w:pPr>
        <w:pStyle w:val="BookText"/>
      </w:pPr>
      <w:r>
        <w:rPr>
          <w:rFonts w:ascii="Amiri" w:hAnsi="Amiri" w:eastAsia="Amiri" w:cs="Amiri"/>
          <w:lang w:bidi="ar-SA"/>
          <w:color w:val="111111"/>
          <w:sz w:val="28"/>
          <w:szCs w:val="28"/>
          <w:rtl/>
        </w:rPr>
        <w:t xml:space="preserve">« الاسئلة والاجوبة » مكاتيب الرشيد الوطواط الى شرف الزمان الايلاقي</w:t>
      </w:r>
    </w:p>
    <w:p>
      <w:pPr>
        <w:pStyle w:val="BookText"/>
      </w:pPr>
      <w:r>
        <w:rPr>
          <w:rFonts w:ascii="IRNazanin" w:hAnsi="IRNazanin" w:eastAsia="IRNazanin" w:cs="IRNazanin"/>
          <w:lang w:bidi="fa-IR"/>
          <w:color w:val="111111"/>
          <w:sz w:val="28"/>
          <w:szCs w:val="28"/>
          <w:rtl/>
        </w:rPr>
        <w:t xml:space="preserve">«اسئله و اجوبه » جواب مسائل فقهی</w:t>
      </w:r>
    </w:p>
    <w:p>
      <w:pPr>
        <w:pStyle w:val="BookText"/>
      </w:pPr>
      <w:r>
        <w:rPr>
          <w:rFonts w:ascii="IRNazanin" w:hAnsi="IRNazanin" w:eastAsia="IRNazanin" w:cs="IRNazanin"/>
          <w:lang w:bidi="fa-IR"/>
          <w:color w:val="111111"/>
          <w:sz w:val="28"/>
          <w:szCs w:val="28"/>
          <w:rtl/>
        </w:rPr>
        <w:t xml:space="preserve">«اسئله و اجوبه » سؤال و جواب</w:t>
      </w:r>
    </w:p>
    <w:p>
      <w:pPr>
        <w:pStyle w:val="BookText"/>
      </w:pPr>
      <w:r>
        <w:rPr>
          <w:rFonts w:ascii="Amiri" w:hAnsi="Amiri" w:eastAsia="Amiri" w:cs="Amiri"/>
          <w:lang w:bidi="ar-SA"/>
          <w:color w:val="111111"/>
          <w:sz w:val="28"/>
          <w:szCs w:val="28"/>
          <w:rtl/>
        </w:rPr>
        <w:t xml:space="preserve">«الاسئولة والاجوبة » القانون الكلى في التأويل الخفى</w:t>
      </w:r>
    </w:p>
    <w:p>
      <w:pPr>
        <w:pStyle w:val="Heading3"/>
      </w:pPr>
      <w:bookmarkStart w:id="886" w:name="_Toc408"/>
      <w:r>
        <w:t>الاسئلة و الاجوبة / پاسخ پرسش ها / عربی</w:t>
      </w:r>
      <w:bookmarkEnd w:id="886"/>
    </w:p>
    <w:p>
      <w:pPr>
        <w:pStyle w:val="BookText"/>
      </w:pPr>
      <w:r>
        <w:rPr>
          <w:rFonts w:ascii="Times New Roman" w:hAnsi="Times New Roman" w:eastAsia="Times New Roman" w:cs="Times New Roman"/>
          <w:lang w:val="en-US" w:bidi="en-US"/>
          <w:color w:val="111111"/>
          <w:sz w:val="28"/>
          <w:szCs w:val="28"/>
          <w:rtl/>
        </w:rPr>
        <w:t xml:space="preserve">al-as’ila wa-l ajwiba</w:t>
      </w:r>
    </w:p>
    <w:p>
      <w:pPr>
        <w:pStyle w:val="BookText"/>
      </w:pPr>
      <w:r>
        <w:rPr>
          <w:rFonts w:ascii="IRNazanin" w:hAnsi="IRNazanin" w:eastAsia="IRNazanin" w:cs="IRNazanin"/>
          <w:lang w:bidi="fa-IR"/>
          <w:color w:val="111111"/>
          <w:sz w:val="28"/>
          <w:szCs w:val="28"/>
          <w:rtl/>
        </w:rPr>
        <w:t xml:space="preserve">بطلميوس ،کلاودیوس ،ش، ۱۰۰؟ - ۱۷۸ میلادی</w:t>
      </w:r>
    </w:p>
    <w:p>
      <w:pPr>
        <w:pStyle w:val="BookText"/>
      </w:pPr>
      <w:r>
        <w:rPr>
          <w:rFonts w:ascii="Times New Roman" w:hAnsi="Times New Roman" w:eastAsia="Times New Roman" w:cs="Times New Roman"/>
          <w:lang w:val="en-US" w:bidi="en-US"/>
          <w:color w:val="111111"/>
          <w:sz w:val="28"/>
          <w:szCs w:val="28"/>
          <w:rtl/>
        </w:rPr>
        <w:t xml:space="preserve">(batlamīyūs, kelāvdīyūs, š (100 - 178)</w:t>
      </w:r>
    </w:p>
    <w:p>
      <w:pPr>
        <w:pStyle w:val="BookText"/>
      </w:pPr>
      <w:r>
        <w:rPr>
          <w:rFonts w:ascii="IRNazanin" w:hAnsi="IRNazanin" w:eastAsia="IRNazanin" w:cs="IRNazanin"/>
          <w:lang w:bidi="fa-IR"/>
          <w:color w:val="111111"/>
          <w:sz w:val="28"/>
          <w:szCs w:val="28"/>
          <w:rtl/>
        </w:rPr>
        <w:t xml:space="preserve">پرسش و پاسخ های مختلف بسیار کوتاهی است با عناوین «س-ج که بیشتر آنها پزشکی و طبیعی است. نزدیک به «مابـال» ارسطوست. البته مشابه این آغاز به ارسطو نیز نسبت داده شـده است [ن ک. رساله بعدی)</w:t>
      </w:r>
    </w:p>
    <w:p>
      <w:pPr>
        <w:pStyle w:val="BookText"/>
      </w:pPr>
      <w:r>
        <w:rPr>
          <w:rFonts w:ascii="Amiri" w:hAnsi="Amiri" w:eastAsia="Amiri" w:cs="Amiri"/>
          <w:lang w:bidi="ar-SA"/>
          <w:color w:val="111111"/>
          <w:sz w:val="28"/>
          <w:szCs w:val="28"/>
          <w:rtl/>
        </w:rPr>
        <w:t xml:space="preserve">آغاز: س لم صار من كانت رؤيته شنيعة كان الجهل عليه غالباً،  ج لان حسن الخلق يتبع  شدة القوة من النفس</w:t>
      </w:r>
    </w:p>
    <w:p>
      <w:pPr>
        <w:pStyle w:val="BookText"/>
      </w:pPr>
      <w:r>
        <w:rPr>
          <w:rFonts w:ascii="Amiri" w:hAnsi="Amiri" w:eastAsia="Amiri" w:cs="Amiri"/>
          <w:lang w:bidi="ar-SA"/>
          <w:color w:val="111111"/>
          <w:sz w:val="28"/>
          <w:szCs w:val="28"/>
          <w:rtl/>
        </w:rPr>
        <w:t xml:space="preserve">انجام: لان النفس اذا تحرك معه البدن ايضاً فاذا تحرك البدن اثخن و الحرارة تحل به السبب المحدث له</w:t>
      </w:r>
    </w:p>
    <w:p>
      <w:pPr>
        <w:pStyle w:val="BookText"/>
      </w:pPr>
      <w:r>
        <w:rPr>
          <w:rFonts w:ascii="IRNazanin" w:hAnsi="IRNazanin" w:eastAsia="IRNazanin" w:cs="IRNazanin"/>
          <w:lang w:bidi="fa-IR"/>
          <w:color w:val="111111"/>
          <w:sz w:val="28"/>
          <w:szCs w:val="28"/>
          <w:rtl/>
        </w:rPr>
        <w:t xml:space="preserve">۱. قم؛ مرکز احیاء؛ شماره نسخه: ۱۴۶۳/۶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تذکر: نام مولف به قرینه آغاز و انجام نسخه ذکر شد؛ خط: نستعلیق، کا: علاء الدین محمد بن حسین حافظ قاری، تا: شعبان ۹۶۵ق؛ جلد: تیماج ،سبز، ۳گ (67پ- 69پ) اندازه: 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۴ - ۲۹۴] 2.تهران؛ مجلس؛ شماره نسخه: ۱۰۰۲۹/۵۴</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و نستعلیق، کا: ابن لطف الله محمد اسماعیل، تا: قرن۱۱؛ مصحح؛ جلد: تیماج جگری با ترنج با سرترنج طلائی، ۲ص (۱۵۷-۱۵۶)،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۳۲ - ۴۱]</w:t>
      </w:r>
    </w:p>
    <w:p>
      <w:pPr>
        <w:pStyle w:val="BookText"/>
      </w:pPr>
      <w:r>
        <w:rPr>
          <w:rFonts w:ascii="IRNazanin" w:hAnsi="IRNazanin" w:eastAsia="IRNazanin" w:cs="IRNazanin"/>
          <w:lang w:bidi="fa-IR"/>
          <w:color w:val="111111"/>
          <w:sz w:val="28"/>
          <w:szCs w:val="28"/>
          <w:rtl/>
        </w:rPr>
        <w:t xml:space="preserve">3.تهران؛ حقوق؛ شماره نسخه: ۱۱۲/۸ – ب</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بی کا، بی تا، ۳گ (85پ- 87پ) [ف: ۵۰۸]</w:t>
      </w:r>
    </w:p>
    <w:p>
      <w:pPr>
        <w:pStyle w:val="Heading3"/>
      </w:pPr>
      <w:bookmarkStart w:id="887" w:name="_Toc409"/>
      <w:r>
        <w:t>الاسئلة والاجوبة - رسالة لم صار / فلسفه / عربي</w:t>
      </w:r>
      <w:bookmarkEnd w:id="887"/>
    </w:p>
    <w:p>
      <w:pPr>
        <w:pStyle w:val="BookText"/>
      </w:pPr>
      <w:r>
        <w:rPr>
          <w:rFonts w:ascii="Times New Roman" w:hAnsi="Times New Roman" w:eastAsia="Times New Roman" w:cs="Times New Roman"/>
          <w:lang w:val="en-US" w:bidi="en-US"/>
          <w:color w:val="111111"/>
          <w:sz w:val="28"/>
          <w:szCs w:val="28"/>
          <w:rtl/>
        </w:rPr>
        <w:t xml:space="preserve">al-as'ila wa-l-ajwiba = r.-u lima Sara</w:t>
      </w:r>
    </w:p>
    <w:p>
      <w:pPr>
        <w:pStyle w:val="BookText"/>
      </w:pPr>
      <w:r>
        <w:rPr>
          <w:rFonts w:ascii="IRNazanin" w:hAnsi="IRNazanin" w:eastAsia="IRNazanin" w:cs="IRNazanin"/>
          <w:lang w:bidi="fa-IR"/>
          <w:color w:val="111111"/>
          <w:sz w:val="28"/>
          <w:szCs w:val="28"/>
          <w:rtl/>
        </w:rPr>
        <w:t xml:space="preserve">ارسطو، ۳۸۴ - ۳۲۲ ؟ قبل میلاد</w:t>
      </w:r>
    </w:p>
    <w:p>
      <w:pPr>
        <w:pStyle w:val="BookText"/>
      </w:pPr>
      <w:r>
        <w:rPr>
          <w:rFonts w:ascii="Times New Roman" w:hAnsi="Times New Roman" w:eastAsia="Times New Roman" w:cs="Times New Roman"/>
          <w:lang w:val="en-US" w:bidi="en-US"/>
          <w:color w:val="111111"/>
          <w:sz w:val="28"/>
          <w:szCs w:val="28"/>
          <w:rtl/>
        </w:rPr>
        <w:t xml:space="preserve">(arastū (-384 - 322)</w:t>
      </w:r>
    </w:p>
    <w:p>
      <w:pPr>
        <w:pStyle w:val="BookText"/>
      </w:pPr>
      <w:r>
        <w:rPr>
          <w:rFonts w:ascii="IRNazanin" w:hAnsi="IRNazanin" w:eastAsia="IRNazanin" w:cs="IRNazanin"/>
          <w:lang w:bidi="fa-IR"/>
          <w:color w:val="111111"/>
          <w:sz w:val="28"/>
          <w:szCs w:val="28"/>
          <w:rtl/>
        </w:rPr>
        <w:t xml:space="preserve">رساله ای مختصر و فلسفی در علت صیرورت اشیاء که با کلمه «لم صار» آغاز و پاسخ داده شده است. در این رساله ۲۴ سؤال مطرح شده است.مانند رساله «مابال» است و شاید همان مسائل فرقلیس ترجمه اسحاق بن حنین  باشد. مشابه همان رساله ای که  به بطلمیوس نیز نسبت داده شده اس(ن ک. رساله قبلی)</w:t>
      </w:r>
    </w:p>
    <w:p>
      <w:pPr>
        <w:pStyle w:val="BookText"/>
      </w:pPr>
      <w:r>
        <w:rPr>
          <w:rFonts w:ascii="Amiri" w:hAnsi="Amiri" w:eastAsia="Amiri" w:cs="Amiri"/>
          <w:lang w:bidi="ar-SA"/>
          <w:color w:val="111111"/>
          <w:sz w:val="28"/>
          <w:szCs w:val="28"/>
          <w:rtl/>
        </w:rPr>
        <w:t xml:space="preserve">آغاز: هذه اسئلة واجوبة من كلام ارسطا طاليس، سؤال: لم صار من كانت رؤيته شنيعة كان الجهل فيه غالباً جواب: لان حسن</w:t>
      </w:r>
    </w:p>
    <w:p>
      <w:pPr>
        <w:pStyle w:val="BookText"/>
      </w:pPr>
      <w:r>
        <w:rPr>
          <w:rFonts w:ascii="Amiri" w:hAnsi="Amiri" w:eastAsia="Amiri" w:cs="Amiri"/>
          <w:lang w:bidi="ar-SA"/>
          <w:color w:val="111111"/>
          <w:sz w:val="28"/>
          <w:szCs w:val="28"/>
          <w:rtl/>
        </w:rPr>
        <w:t xml:space="preserve">الخلق يتبع شدة القوة من النفس وقبح الجهل يتبع ضعفها</w:t>
      </w:r>
    </w:p>
    <w:p>
      <w:pPr>
        <w:pStyle w:val="BookText"/>
      </w:pPr>
      <w:r>
        <w:rPr>
          <w:rFonts w:ascii="IRNazanin" w:hAnsi="IRNazanin" w:eastAsia="IRNazanin" w:cs="IRNazanin"/>
          <w:lang w:bidi="fa-IR"/>
          <w:color w:val="111111"/>
          <w:sz w:val="28"/>
          <w:szCs w:val="28"/>
          <w:rtl/>
        </w:rPr>
        <w:t xml:space="preserve">۱ .تهران؛ مجلس؛ شماره نسخه: ۳۹۳۲/۲</w:t>
      </w:r>
    </w:p>
    <w:p>
      <w:pPr>
        <w:pStyle w:val="BookText"/>
      </w:pPr>
      <w:r>
        <w:rPr>
          <w:rFonts w:ascii="Amiri" w:hAnsi="Amiri" w:eastAsia="Amiri" w:cs="Amiri"/>
          <w:lang w:bidi="ar-SA"/>
          <w:color w:val="111111"/>
          <w:sz w:val="28"/>
          <w:szCs w:val="28"/>
          <w:rtl/>
        </w:rPr>
        <w:t xml:space="preserve">آغاز: مسائل ارسطو طاليس الحكيم. قال لم صار من به عطش اذا دخل الحمام سكن عطشه</w:t>
      </w:r>
    </w:p>
    <w:p>
      <w:pPr>
        <w:pStyle w:val="BookText"/>
      </w:pPr>
      <w:r>
        <w:rPr>
          <w:rFonts w:ascii="IRNazanin" w:hAnsi="IRNazanin" w:eastAsia="IRNazanin" w:cs="IRNazanin"/>
          <w:lang w:bidi="fa-IR"/>
          <w:color w:val="111111"/>
          <w:sz w:val="28"/>
          <w:szCs w:val="28"/>
          <w:rtl/>
        </w:rPr>
        <w:t xml:space="preserve">در عنوان نسخه چنین آمده است: «مسائل ارسطو طاليس الحكيم»؛ خط: نسخ، بی کا، تا: قرن ۸؛کاغذ: ضخیم سمرقندی، جلد: تیماج</w:t>
      </w:r>
    </w:p>
    <w:p>
      <w:pPr>
        <w:pStyle w:val="BookText"/>
      </w:pPr>
      <w:r>
        <w:rPr>
          <w:rFonts w:ascii="IRNazanin" w:hAnsi="IRNazanin" w:eastAsia="IRNazanin" w:cs="IRNazanin"/>
          <w:lang w:bidi="fa-IR"/>
          <w:color w:val="111111"/>
          <w:sz w:val="28"/>
          <w:szCs w:val="28"/>
          <w:rtl/>
        </w:rPr>
        <w:t xml:space="preserve">مشکی، ۴ص (۸۸-۹۱)، قطع: رقعی [ف ۱۰ - ۲۰۳۳]</w:t>
      </w:r>
    </w:p>
    <w:p>
      <w:pPr>
        <w:pStyle w:val="BookText"/>
      </w:pPr>
      <w:r>
        <w:rPr>
          <w:rFonts w:ascii="IRNazanin" w:hAnsi="IRNazanin" w:eastAsia="IRNazanin" w:cs="IRNazanin"/>
          <w:lang w:bidi="fa-IR"/>
          <w:color w:val="111111"/>
          <w:sz w:val="28"/>
          <w:szCs w:val="28"/>
          <w:rtl/>
        </w:rPr>
        <w:t xml:space="preserve">۲. قم؛ مسجد اعظم؛ شماره نسخه: ۲۲۲۸/۱۰</w:t>
      </w:r>
    </w:p>
    <w:p>
      <w:pPr>
        <w:pStyle w:val="BookText"/>
      </w:pPr>
      <w:r>
        <w:rPr>
          <w:rFonts w:ascii="Amiri" w:hAnsi="Amiri" w:eastAsia="Amiri" w:cs="Amiri"/>
          <w:lang w:bidi="ar-SA"/>
          <w:color w:val="111111"/>
          <w:sz w:val="28"/>
          <w:szCs w:val="28"/>
          <w:rtl/>
        </w:rPr>
        <w:t xml:space="preserve">آغاز: برابر؛ انجام :لم صار من به فواق اذا قرع وسمع ما يقرعه براء، جواب: لان حركة النفس يوجب حركة البدن فانار الحرارة وارتفع سبب الفواق</w:t>
      </w:r>
    </w:p>
    <w:p>
      <w:pPr>
        <w:pStyle w:val="BookText"/>
      </w:pPr>
      <w:r>
        <w:rPr>
          <w:rFonts w:ascii="IRNazanin" w:hAnsi="IRNazanin" w:eastAsia="IRNazanin" w:cs="IRNazanin"/>
          <w:lang w:bidi="fa-IR"/>
          <w:color w:val="111111"/>
          <w:sz w:val="28"/>
          <w:szCs w:val="28"/>
          <w:rtl/>
        </w:rPr>
        <w:t xml:space="preserve">خط  ،نسخ، بی کا ،تا: قرن ۱۳ ؛جای سؤال و جواب خالی، سطور  ،چلیپا ،۲گ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مخ: ۱ - ۱۳۶]</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مجلس؛ شماره نسخه: ۶۸۲۹/۲</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20" w:name="pg20365_260153"/>
    <w:bookmarkEnd w:id="120"/>
    <w:p>
      <w:pPr>
        <w:pStyle w:val="BookText"/>
      </w:pPr>
      <w:r>
        <w:rPr>
          <w:rFonts w:ascii="IRNazanin" w:hAnsi="IRNazanin" w:eastAsia="IRNazanin" w:cs="IRNazanin"/>
          <w:lang w:bidi="fa-IR"/>
          <w:color w:val="111111"/>
          <w:sz w:val="28"/>
          <w:szCs w:val="28"/>
          <w:rtl/>
        </w:rPr>
        <w:t xml:space="preserve">خط: نسخ، کا: محمد قاسم بن  سعید، تا: چهارشنبه ۲۲ شوال ۱۲۲۷ق؛ جلد: تیماج قرمز ضربی ترنج دار، ۴گ (4پ- 7ر)،  17</w:t>
      </w:r>
    </w:p>
    <w:p>
      <w:pPr>
        <w:pStyle w:val="BookText"/>
      </w:pPr>
      <w:r>
        <w:rPr>
          <w:rFonts w:ascii="IRNazanin" w:hAnsi="IRNazanin" w:eastAsia="IRNazanin" w:cs="IRNazanin"/>
          <w:lang w:bidi="fa-IR"/>
          <w:color w:val="111111"/>
          <w:sz w:val="28"/>
          <w:szCs w:val="28"/>
          <w:rtl/>
        </w:rPr>
        <w:t xml:space="preserve">سطر ، اندازه: 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۱۴/۵سم [ف: ۲۰ - ۲۹۱]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تهران؛ مجلس؛ شماره نسخه: ۶۱۴۹/۱</w:t>
      </w:r>
    </w:p>
    <w:p>
      <w:pPr>
        <w:pStyle w:val="BookText"/>
      </w:pPr>
      <w:r>
        <w:rPr>
          <w:rFonts w:ascii="Amiri" w:hAnsi="Amiri" w:eastAsia="Amiri" w:cs="Amiri"/>
          <w:lang w:bidi="ar-SA"/>
          <w:color w:val="111111"/>
          <w:sz w:val="28"/>
          <w:szCs w:val="28"/>
          <w:rtl/>
        </w:rPr>
        <w:t xml:space="preserve">آغاز: قال الحكيم المعلم الاول ... لم صار من نالته حلقه يعطش  دائما</w:t>
      </w:r>
    </w:p>
    <w:p>
      <w:pPr>
        <w:pStyle w:val="BookText"/>
      </w:pPr>
      <w:r>
        <w:rPr>
          <w:rFonts w:ascii="IRNazanin" w:hAnsi="IRNazanin" w:eastAsia="IRNazanin" w:cs="IRNazanin"/>
          <w:lang w:bidi="fa-IR"/>
          <w:color w:val="111111"/>
          <w:sz w:val="28"/>
          <w:szCs w:val="28"/>
          <w:rtl/>
        </w:rPr>
        <w:t xml:space="preserve">خط: شکسته نستعلیق ،متوسط ،کا: احمد بن محمد حسين بن احـمد شریف تنکابنی طبیب، تا: ۱۲۸۵ق؛ دارای حاشیه ای از احـمد تنکابنی؛ کاغذ: فرنگی ،سفید ،جلد: تیماج قرمز ،روشن ۲۳ ص (2- ۲۴)، ۱۶ سطر، قطع: رقعی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۱۷/۵سم [ف ۱۹ - ۱۳۴]</w:t>
      </w:r>
    </w:p>
    <w:p>
      <w:pPr>
        <w:pStyle w:val="BookText"/>
      </w:pPr>
      <w:r>
        <w:rPr>
          <w:rFonts w:ascii="IRNazanin" w:hAnsi="IRNazanin" w:eastAsia="IRNazanin" w:cs="IRNazanin"/>
          <w:lang w:bidi="fa-IR"/>
          <w:color w:val="111111"/>
          <w:sz w:val="28"/>
          <w:szCs w:val="28"/>
          <w:rtl/>
        </w:rPr>
        <w:t xml:space="preserve">۵. تهران؛ مجلس؛ شماره نسخه: ۶۴۹۹/۲</w:t>
      </w:r>
    </w:p>
    <w:p>
      <w:pPr>
        <w:pStyle w:val="BookText"/>
      </w:pPr>
      <w:r>
        <w:rPr>
          <w:rFonts w:ascii="IRNazanin" w:hAnsi="IRNazanin" w:eastAsia="IRNazanin" w:cs="IRNazanin"/>
          <w:lang w:bidi="fa-IR"/>
          <w:color w:val="111111"/>
          <w:sz w:val="28"/>
          <w:szCs w:val="28"/>
          <w:rtl/>
        </w:rPr>
        <w:t xml:space="preserve">خط: نستعلیق، کا: محمد صفی بن اسکندر متطبب، بی تا؛ جـلد: تیماج قهوه ای سرطبل  دار، ۹ برگ (۷۱ پ-۷۹ر)، ۱۹ سطر ، اندازه: ۱۳</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۲۳سم [ ف : ۲۰ - ۷۸]</w:t>
      </w:r>
    </w:p>
    <w:p>
      <w:pPr>
        <w:pStyle w:val="BookText"/>
      </w:pPr>
      <w:r>
        <w:rPr>
          <w:rFonts w:ascii="IRNazanin" w:hAnsi="IRNazanin" w:eastAsia="IRNazanin" w:cs="IRNazanin"/>
          <w:lang w:bidi="fa-IR"/>
          <w:color w:val="111111"/>
          <w:sz w:val="28"/>
          <w:szCs w:val="28"/>
          <w:rtl/>
        </w:rPr>
        <w:t xml:space="preserve">۶. قم؛ مسجد اعظم؛ شماره نسخه: ۳۹۱۷/۴</w:t>
      </w:r>
    </w:p>
    <w:p>
      <w:pPr>
        <w:pStyle w:val="BookText"/>
      </w:pPr>
      <w:r>
        <w:rPr>
          <w:rFonts w:ascii="IRNazanin" w:hAnsi="IRNazanin" w:eastAsia="IRNazanin" w:cs="IRNazanin"/>
          <w:lang w:bidi="fa-IR"/>
          <w:color w:val="111111"/>
          <w:sz w:val="28"/>
          <w:szCs w:val="28"/>
          <w:rtl/>
        </w:rPr>
        <w:t xml:space="preserve">آغاز: برابر؛ انجام: در لم صارفی ... اذا قرع و سمع ما يقرعه سراً . لان حركة النفس يوجب حركة البدن فأثار الحرارة وارتفع  سبب الفواق</w:t>
      </w:r>
    </w:p>
    <w:p>
      <w:pPr>
        <w:pStyle w:val="BookText"/>
      </w:pPr>
      <w:r>
        <w:rPr>
          <w:rFonts w:ascii="IRNazanin" w:hAnsi="IRNazanin" w:eastAsia="IRNazanin" w:cs="IRNazanin"/>
          <w:lang w:bidi="fa-IR"/>
          <w:color w:val="111111"/>
          <w:sz w:val="28"/>
          <w:szCs w:val="28"/>
          <w:rtl/>
        </w:rPr>
        <w:t xml:space="preserve">خط: نستعلیق، بی کا، بی تا ،جلد: مقوا ،3گ،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[ف مخ: ۱ - ۱۳۶]</w:t>
      </w:r>
    </w:p>
    <w:p>
      <w:pPr>
        <w:pStyle w:val="Heading3"/>
      </w:pPr>
      <w:bookmarkStart w:id="888" w:name="_Toc410"/>
      <w:r>
        <w:t>الاسئلة و الاجوبة / كلام و اعتقادات / عربي</w:t>
      </w:r>
      <w:bookmarkEnd w:id="888"/>
    </w:p>
    <w:p>
      <w:pPr>
        <w:pStyle w:val="BookText"/>
      </w:pPr>
      <w:r>
        <w:rPr>
          <w:rFonts w:ascii="Times New Roman" w:hAnsi="Times New Roman" w:eastAsia="Times New Roman" w:cs="Times New Roman"/>
          <w:lang w:val="en-US" w:bidi="en-US"/>
          <w:color w:val="111111"/>
          <w:sz w:val="28"/>
          <w:szCs w:val="28"/>
          <w:rtl/>
        </w:rPr>
        <w:t xml:space="preserve">al-as’ila wa-l ajwiba</w:t>
      </w:r>
    </w:p>
    <w:p>
      <w:pPr>
        <w:pStyle w:val="BookText"/>
      </w:pPr>
      <w:r>
        <w:rPr>
          <w:rFonts w:ascii="IRNazanin" w:hAnsi="IRNazanin" w:eastAsia="IRNazanin" w:cs="IRNazanin"/>
          <w:lang w:bidi="fa-IR"/>
          <w:color w:val="111111"/>
          <w:sz w:val="28"/>
          <w:szCs w:val="28"/>
          <w:rtl/>
        </w:rPr>
        <w:t xml:space="preserve">مغربی سموئل بن یحیی - ۵۷۰ ؟ قمری</w:t>
      </w:r>
    </w:p>
    <w:p>
      <w:pPr>
        <w:pStyle w:val="BookText"/>
      </w:pPr>
      <w:r>
        <w:rPr>
          <w:rFonts w:ascii="Times New Roman" w:hAnsi="Times New Roman" w:eastAsia="Times New Roman" w:cs="Times New Roman"/>
          <w:lang w:val="en-US" w:bidi="en-US"/>
          <w:color w:val="111111"/>
          <w:sz w:val="28"/>
          <w:szCs w:val="28"/>
          <w:rtl/>
        </w:rPr>
        <w:t xml:space="preserve">(maqrebī, samaw’al ebn-e yahyā ( - 1175)</w:t>
      </w:r>
    </w:p>
    <w:p>
      <w:pPr>
        <w:pStyle w:val="BookText"/>
      </w:pPr>
      <w:r>
        <w:rPr>
          <w:rFonts w:ascii="IRNazanin" w:hAnsi="IRNazanin" w:eastAsia="IRNazanin" w:cs="IRNazanin"/>
          <w:lang w:bidi="fa-IR"/>
          <w:color w:val="111111"/>
          <w:sz w:val="28"/>
          <w:szCs w:val="28"/>
          <w:rtl/>
        </w:rPr>
        <w:t xml:space="preserve">رساله بعضی از زنادقه («نسخة مسئله وردت من بعض الزنادقة المتفلسفة») که گویا از سموئل می پرسد و او پاسخ می دهد خرده گیری بر اسلام و اصل تعلیم است همراه با رساله جواب آن (نسخة الجواب).</w:t>
      </w:r>
    </w:p>
    <w:p>
      <w:pPr>
        <w:pStyle w:val="BookText"/>
      </w:pPr>
      <w:r>
        <w:rPr>
          <w:rFonts w:ascii="IRNazanin" w:hAnsi="IRNazanin" w:eastAsia="IRNazanin" w:cs="IRNazanin"/>
          <w:lang w:bidi="fa-IR"/>
          <w:color w:val="111111"/>
          <w:sz w:val="28"/>
          <w:szCs w:val="28"/>
          <w:rtl/>
        </w:rPr>
        <w:t xml:space="preserve">آغاز: بسمله. نسخة مسئلة وردت على السموئل من بعض الزنادقة المتفلسفة. بسمله انتقال سيدنا الامام البحر العالم الأوحد الرئيـس المويد الدين شمس الاسلام ... ادام الله تاییده و ارغم حسوده من الملة الاسرائيلية الى الملة الاسلامية</w:t>
      </w:r>
    </w:p>
    <w:p>
      <w:pPr>
        <w:pStyle w:val="BookText"/>
      </w:pPr>
      <w:r>
        <w:rPr>
          <w:rFonts w:ascii="IRNazanin" w:hAnsi="IRNazanin" w:eastAsia="IRNazanin" w:cs="IRNazanin"/>
          <w:lang w:bidi="fa-IR"/>
          <w:color w:val="111111"/>
          <w:sz w:val="28"/>
          <w:szCs w:val="28"/>
          <w:rtl/>
        </w:rPr>
        <w:t xml:space="preserve">انجام: و اما ختم به کلامه فذالك أمر مرفوع على الحقيقة ألا ان الملوك و السلاطين جرت عادتهم أن يخصو كل أحد بما يرونه له اهلاً حراسةً للمراتب من تطاول عين الاكفاء ... تم الجواب.</w:t>
      </w:r>
    </w:p>
    <w:p>
      <w:pPr>
        <w:pStyle w:val="BookText"/>
      </w:pPr>
      <w:r>
        <w:rPr>
          <w:rFonts w:ascii="IRNazanin" w:hAnsi="IRNazanin" w:eastAsia="IRNazanin" w:cs="IRNazanin"/>
          <w:lang w:bidi="fa-IR"/>
          <w:color w:val="111111"/>
          <w:sz w:val="28"/>
          <w:szCs w:val="28"/>
          <w:rtl/>
        </w:rPr>
        <w:t xml:space="preserve">1.تهران؛ مجلس؛ شماره نسخه: ۱۰۱۱۷/۷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قطب الدین  شیرازی، تا: قرن ۷؛ مصحح، قطب الدین شیرازی از نسخه ای به خط مؤلف به تاریخ ۵۵۸ کتابت کرده؛ جلد: تیماج مشکی، ۳ص (290- 292) ، ۱۷ سطر ،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۳۲ - ۱۴۷]</w:t>
      </w:r>
    </w:p>
    <w:p>
      <w:pPr>
        <w:pStyle w:val="BookText"/>
      </w:pPr>
      <w:r>
        <w:rPr>
          <w:rFonts w:ascii="IRNazanin" w:hAnsi="IRNazanin" w:eastAsia="IRNazanin" w:cs="IRNazanin"/>
          <w:lang w:bidi="fa-IR"/>
          <w:color w:val="111111"/>
          <w:sz w:val="28"/>
          <w:szCs w:val="28"/>
          <w:rtl/>
        </w:rPr>
        <w:t xml:space="preserve">۲. قم؛ مرعشی ؛شماره نسخه: ۱۲۸۶۸/۶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قطب الدین محمود بن مسعود شیرازی، تا ۶۸۵ق؛  مصحح، مجدول مذهب، در بخشی از برگ های ۱۳۶ و 137 خطوط عبری در متن رساله به خط قطب الدین شیرازی نگاشته  شده  و احتمالاً و وی با زبان و خط عبری آشنایی داشته است؛ کاغذ: شرقی، جلد: تیماج قهوه ای ضربی با ترنج «بسم الله الرحمن الرحيم» و «أن یکاد ...»، ۴گ (۱۴۴پ-۱۴۷ر)، ۲۷ سطر (۵/۵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قطع: ،بیاضی اندازه: ۱۸/۵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۲۵/۵سم [ف: ۳۲ - ۶۴۲]</w:t>
      </w:r>
    </w:p>
    <w:p>
      <w:pPr>
        <w:pStyle w:val="BookText"/>
      </w:pPr>
      <w:r>
        <w:rPr>
          <w:rFonts w:ascii="IRNazanin" w:hAnsi="IRNazanin" w:eastAsia="IRNazanin" w:cs="IRNazanin"/>
          <w:lang w:bidi="fa-IR"/>
          <w:color w:val="111111"/>
          <w:sz w:val="28"/>
          <w:szCs w:val="28"/>
          <w:rtl/>
        </w:rPr>
        <w:t xml:space="preserve">3.تهران؛ مجلس؛ شماره نسخه: ۴۵۴۷/۱۴</w:t>
      </w:r>
    </w:p>
    <w:p>
      <w:pPr>
        <w:pStyle w:val="BookText"/>
      </w:pPr>
      <w:r>
        <w:rPr>
          <w:rFonts w:ascii="IRNazanin" w:hAnsi="IRNazanin" w:eastAsia="IRNazanin" w:cs="IRNazanin"/>
          <w:lang w:bidi="fa-IR"/>
          <w:color w:val="111111"/>
          <w:sz w:val="28"/>
          <w:szCs w:val="28"/>
          <w:rtl/>
        </w:rPr>
        <w:t xml:space="preserve">آغاز: برابر؛ انجام: بسمله. سيقول السفهاء ما ولاهم عنقبلتهم التي كانوا عليها، قل الله المشرق و المغرب ... تاملت ما ذكره هذا المعترض السایل عما لا يعنيه فليعلم ان الله تعالى هداني بالدليل  واضح</w:t>
      </w:r>
    </w:p>
    <w:p>
      <w:pPr>
        <w:pStyle w:val="BookText"/>
      </w:pPr>
      <w:r>
        <w:rPr>
          <w:rFonts w:ascii="IRNazanin" w:hAnsi="IRNazanin" w:eastAsia="IRNazanin" w:cs="IRNazanin"/>
          <w:lang w:bidi="fa-IR"/>
          <w:color w:val="111111"/>
          <w:sz w:val="28"/>
          <w:szCs w:val="28"/>
          <w:rtl/>
        </w:rPr>
        <w:t xml:space="preserve">این نسخه از روی خط محمود بن مسعود شیرازی مورخ ربیع الثانى ۶۸۵ در شهر قونیه نوشته شده است که او نیز از روی خط نسخه اصل مولف ابو نصر سموئل نوشته بوده است؛ خط: نستعلیق، بی کا، تا: قرن ۱۱ ؛کاغذ ،اصفهانی ،جلد: تیماج قهوه ای مقوایی،3 گ (۱۱۸ ر- ۱۲۰ر) ، قطع: ربعی،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۱۲-۲۲۷]</w:t>
      </w:r>
    </w:p>
    <w:p>
      <w:pPr>
        <w:pStyle w:val="BookText"/>
      </w:pPr>
      <w:r>
        <w:rPr>
          <w:rFonts w:ascii="IRNazanin" w:hAnsi="IRNazanin" w:eastAsia="IRNazanin" w:cs="IRNazanin"/>
          <w:lang w:bidi="fa-IR"/>
          <w:color w:val="111111"/>
          <w:sz w:val="28"/>
          <w:szCs w:val="28"/>
          <w:rtl/>
        </w:rPr>
        <w:t xml:space="preserve">تهران؛ دانشگاه؛ شماره نسخه: ۲۷۹۴/۱۴-ف</w:t>
      </w:r>
    </w:p>
    <w:p>
      <w:pPr>
        <w:pStyle w:val="BookText"/>
      </w:pPr>
      <w:r>
        <w:rPr>
          <w:rFonts w:ascii="IRNazanin" w:hAnsi="IRNazanin" w:eastAsia="IRNazanin" w:cs="IRNazanin"/>
          <w:lang w:bidi="fa-IR"/>
          <w:color w:val="111111"/>
          <w:sz w:val="28"/>
          <w:szCs w:val="28"/>
          <w:rtl/>
        </w:rPr>
        <w:t xml:space="preserve">نسخه اصل: همان نسخه بالا [ فیلم ها-ف: ۱ - ۷۳۰]</w:t>
      </w:r>
    </w:p>
    <w:p>
      <w:pPr>
        <w:pStyle w:val="Heading3"/>
      </w:pPr>
      <w:bookmarkStart w:id="889" w:name="_Toc411"/>
      <w:r>
        <w:t>الاسئلة والاجوبة / نامه نگاری / فارسی</w:t>
      </w:r>
      <w:bookmarkEnd w:id="889"/>
    </w:p>
    <w:p>
      <w:pPr>
        <w:pStyle w:val="BookText"/>
      </w:pPr>
      <w:r>
        <w:rPr>
          <w:rFonts w:ascii="Times New Roman" w:hAnsi="Times New Roman" w:eastAsia="Times New Roman" w:cs="Times New Roman"/>
          <w:lang w:val="en-US" w:bidi="en-US"/>
          <w:color w:val="111111"/>
          <w:sz w:val="28"/>
          <w:szCs w:val="28"/>
          <w:rtl/>
        </w:rPr>
        <w:t xml:space="preserve">al-as’ila wa-l ajwiba</w:t>
      </w:r>
    </w:p>
    <w:p>
      <w:pPr>
        <w:pStyle w:val="BookText"/>
      </w:pPr>
      <w:r>
        <w:rPr>
          <w:rFonts w:ascii="IRNazanin" w:hAnsi="IRNazanin" w:eastAsia="IRNazanin" w:cs="IRNazanin"/>
          <w:lang w:bidi="fa-IR"/>
          <w:color w:val="111111"/>
          <w:sz w:val="28"/>
          <w:szCs w:val="28"/>
          <w:rtl/>
        </w:rPr>
        <w:t xml:space="preserve">مجدالدین ،بغدادی ،محمد ۵۴۴ - ۶۰۷ قمری</w:t>
      </w:r>
    </w:p>
    <w:p>
      <w:pPr>
        <w:pStyle w:val="BookText"/>
      </w:pPr>
      <w:r>
        <w:rPr>
          <w:rFonts w:ascii="Times New Roman" w:hAnsi="Times New Roman" w:eastAsia="Times New Roman" w:cs="Times New Roman"/>
          <w:lang w:val="en-US" w:bidi="en-US"/>
          <w:color w:val="111111"/>
          <w:sz w:val="28"/>
          <w:szCs w:val="28"/>
          <w:rtl/>
        </w:rPr>
        <w:t xml:space="preserve">(majd-od-dīn-e baqdādī, mohammad (1150 - 1211)</w:t>
      </w:r>
    </w:p>
    <w:p>
      <w:pPr>
        <w:pStyle w:val="BookText"/>
      </w:pPr>
      <w:r>
        <w:rPr>
          <w:rFonts w:ascii="IRNazanin" w:hAnsi="IRNazanin" w:eastAsia="IRNazanin" w:cs="IRNazanin"/>
          <w:lang w:bidi="fa-IR"/>
          <w:color w:val="111111"/>
          <w:sz w:val="28"/>
          <w:szCs w:val="28"/>
          <w:rtl/>
        </w:rPr>
        <w:t xml:space="preserve">اسئلة و اجوبة شيخ مجدالدين بغدادی با امام فخر رازی</w:t>
      </w:r>
    </w:p>
    <w:p>
      <w:pPr>
        <w:pStyle w:val="BookText"/>
      </w:pPr>
      <w:r>
        <w:rPr>
          <w:rFonts w:ascii="IRNazanin" w:hAnsi="IRNazanin" w:eastAsia="IRNazanin" w:cs="IRNazanin"/>
          <w:lang w:bidi="fa-IR"/>
          <w:color w:val="111111"/>
          <w:sz w:val="28"/>
          <w:szCs w:val="28"/>
          <w:rtl/>
        </w:rPr>
        <w:t xml:space="preserve">تهران؛ دانشگاه؛ شماره نسخه: ۴۶۲/۲۸(آ) -۴۶۳/۲۸(ب)-ف</w:t>
      </w:r>
    </w:p>
    <w:p>
      <w:pPr>
        <w:pStyle w:val="BookText"/>
      </w:pPr>
      <w:r>
        <w:rPr>
          <w:rFonts w:ascii="IRNazanin" w:hAnsi="IRNazanin" w:eastAsia="IRNazanin" w:cs="IRNazanin"/>
          <w:lang w:bidi="fa-IR"/>
          <w:color w:val="111111"/>
          <w:sz w:val="28"/>
          <w:szCs w:val="28"/>
          <w:rtl/>
        </w:rPr>
        <w:t xml:space="preserve">نسخه  اصل: کوپرولوش ۱۵۸۹؛ بی کا، تا: با تاریخ ۷۵۴ق، ۱گ (۴۱۳ ر-پ) [فیلم ها -ف: ۱- ۴۸۱]</w:t>
      </w:r>
    </w:p>
    <w:p>
      <w:pPr>
        <w:pStyle w:val="Heading3"/>
      </w:pPr>
      <w:bookmarkStart w:id="890" w:name="_Toc412"/>
      <w:r>
        <w:t>الاسئلة و الاجوبة / فقه / عربي</w:t>
      </w:r>
      <w:bookmarkEnd w:id="890"/>
    </w:p>
    <w:p>
      <w:pPr>
        <w:pStyle w:val="BookText"/>
      </w:pPr>
      <w:r>
        <w:rPr>
          <w:rFonts w:ascii="Times New Roman" w:hAnsi="Times New Roman" w:eastAsia="Times New Roman" w:cs="Times New Roman"/>
          <w:lang w:val="en-US" w:bidi="en-US"/>
          <w:color w:val="111111"/>
          <w:sz w:val="28"/>
          <w:szCs w:val="28"/>
          <w:rtl/>
        </w:rPr>
        <w:t xml:space="preserve">al-as'ila wa-l ajwiba</w:t>
      </w:r>
    </w:p>
    <w:p>
      <w:pPr>
        <w:pStyle w:val="BookText"/>
      </w:pPr>
      <w:r>
        <w:rPr>
          <w:rFonts w:ascii="IRNazanin" w:hAnsi="IRNazanin" w:eastAsia="IRNazanin" w:cs="IRNazanin"/>
          <w:lang w:bidi="fa-IR"/>
          <w:color w:val="111111"/>
          <w:sz w:val="28"/>
          <w:szCs w:val="28"/>
          <w:rtl/>
        </w:rPr>
        <w:t xml:space="preserve">ابن عبد السلام، عبدالعزیز بن عبدالسلام، ۵۷۷ - ۶۶۰  قمری</w:t>
      </w:r>
    </w:p>
    <w:p>
      <w:pPr>
        <w:pStyle w:val="BookText"/>
      </w:pPr>
      <w:r>
        <w:rPr>
          <w:rFonts w:ascii="Times New Roman" w:hAnsi="Times New Roman" w:eastAsia="Times New Roman" w:cs="Times New Roman"/>
          <w:lang w:val="en-US" w:bidi="en-US"/>
          <w:color w:val="111111"/>
          <w:sz w:val="28"/>
          <w:szCs w:val="28"/>
          <w:rtl/>
        </w:rPr>
        <w:t xml:space="preserve">(ebn-e 'abd-os-salām. 'abd-ol-'aziz ebn-e 'abd-os-salām(1182 - 1262)</w:t>
      </w:r>
    </w:p>
    <w:p>
      <w:pPr>
        <w:pStyle w:val="BookText"/>
      </w:pPr>
      <w:r>
        <w:rPr>
          <w:rFonts w:ascii="IRNazanin" w:hAnsi="IRNazanin" w:eastAsia="IRNazanin" w:cs="IRNazanin"/>
          <w:lang w:bidi="fa-IR"/>
          <w:color w:val="111111"/>
          <w:sz w:val="28"/>
          <w:szCs w:val="28"/>
          <w:rtl/>
        </w:rPr>
        <w:t xml:space="preserve">فتاوی عزالدین ابو محمد عبدالعزيز بن عبد السلام شافعی سلمی  دمشقی، در مسائل فقه و جز  آن، عنوان ها در پاره ای از جاها</w:t>
      </w:r>
    </w:p>
    <w:p>
      <w:pPr>
        <w:pStyle w:val="BookText"/>
      </w:pPr>
      <w:r>
        <w:rPr>
          <w:rFonts w:ascii="Amiri" w:hAnsi="Amiri" w:eastAsia="Amiri" w:cs="Amiri"/>
          <w:lang w:bidi="ar-SA"/>
          <w:color w:val="111111"/>
          <w:sz w:val="28"/>
          <w:szCs w:val="28"/>
          <w:rtl/>
        </w:rPr>
        <w:t xml:space="preserve">«سوال فاجاب يا الجواب» است.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21" w:name="pg20365_260154"/>
    <w:bookmarkEnd w:id="121"/>
    <w:p>
      <w:pPr>
        <w:pStyle w:val="BookText"/>
      </w:pPr>
      <w:r>
        <w:rPr>
          <w:rFonts w:ascii="IRNazanin" w:hAnsi="IRNazanin" w:eastAsia="IRNazanin" w:cs="IRNazanin"/>
          <w:lang w:bidi="fa-IR"/>
          <w:color w:val="111111"/>
          <w:sz w:val="28"/>
          <w:szCs w:val="28"/>
          <w:rtl/>
        </w:rPr>
        <w:t xml:space="preserve">تهران؛ الهیات؛ شماره نسخه: ۱۹۳/۱</w:t>
      </w:r>
    </w:p>
    <w:p>
      <w:pPr>
        <w:pStyle w:val="BookText"/>
      </w:pPr>
      <w:r>
        <w:rPr>
          <w:rFonts w:ascii="IRNazanin" w:hAnsi="IRNazanin" w:eastAsia="IRNazanin" w:cs="IRNazanin"/>
          <w:lang w:bidi="fa-IR"/>
          <w:color w:val="111111"/>
          <w:sz w:val="28"/>
          <w:szCs w:val="28"/>
          <w:rtl/>
        </w:rPr>
        <w:t xml:space="preserve">آغاز: قال الشيخ زكريا في كتاب شرح الروض فى باب الطهارة... (پس از دو صفحه) هذه مسائل من فتاوى شيخنا الشيخ الا العلامة مفتى المسلمین شیخ الاسلام عزالدین عبدالسلام رحمه تعالى. بسمله اللهم صل و على سيدنا محمد و آله اسئلة ما يقول... وفقه الله تعالى في الداعى بسم الله تعالى؛ انجام: فنزل قوله تعـالی فلاجناح عليه ان يطوف بهما كيلا يترك حق لاجل الباطل والله تعالى اعلم و كان الفراغ من تعليق هذه النسخة نهار السبت الثامن من شهر المحرم سنة الف ومائة و ستة وثلاثون بقلم الفقير الى الله  محمد بن قاسم الكعكى وصلى الله</w:t>
      </w:r>
    </w:p>
    <w:p>
      <w:pPr>
        <w:pStyle w:val="BookText"/>
      </w:pPr>
      <w:r>
        <w:rPr>
          <w:rFonts w:ascii="IRNazanin" w:hAnsi="IRNazanin" w:eastAsia="IRNazanin" w:cs="IRNazanin"/>
          <w:lang w:bidi="fa-IR"/>
          <w:color w:val="111111"/>
          <w:sz w:val="28"/>
          <w:szCs w:val="28"/>
          <w:rtl/>
        </w:rPr>
        <w:t xml:space="preserve">خط: نسخ، کا: محمد بن قاسم  کعکی، تا: شنبه ۸ محرم ۱۱۳۶ق ؛کاغذ ،فرنگی ،جلد: تیماج مشکی ضربی ۱۵گ (۲ پ-۱۶ ر)۲۹-۲۲ 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۷۲۷]</w:t>
      </w:r>
    </w:p>
    <w:p>
      <w:pPr>
        <w:pStyle w:val="Heading3"/>
      </w:pPr>
      <w:bookmarkStart w:id="891" w:name="_Toc413"/>
      <w:r>
        <w:t>اسئلة و اجوبة / گوناگون / فارسی</w:t>
      </w:r>
      <w:bookmarkEnd w:id="891"/>
    </w:p>
    <w:p>
      <w:pPr>
        <w:pStyle w:val="BookText"/>
      </w:pPr>
      <w:r>
        <w:rPr>
          <w:rFonts w:ascii="Times New Roman" w:hAnsi="Times New Roman" w:eastAsia="Times New Roman" w:cs="Times New Roman"/>
          <w:lang w:val="en-US" w:bidi="en-US"/>
          <w:color w:val="111111"/>
          <w:sz w:val="28"/>
          <w:szCs w:val="28"/>
          <w:rtl/>
        </w:rPr>
        <w:t xml:space="preserve">as’ala wa ajwiba</w:t>
      </w:r>
    </w:p>
    <w:p>
      <w:pPr>
        <w:pStyle w:val="BookText"/>
      </w:pPr>
      <w:r>
        <w:rPr>
          <w:rFonts w:ascii="IRNazanin" w:hAnsi="IRNazanin" w:eastAsia="IRNazanin" w:cs="IRNazanin"/>
          <w:lang w:bidi="fa-IR"/>
          <w:color w:val="111111"/>
          <w:sz w:val="28"/>
          <w:szCs w:val="28"/>
          <w:rtl/>
        </w:rPr>
        <w:t xml:space="preserve">رشیدالدین فضل الله ،همدانی ۶۴۸ - ۷۱۸ قمری</w:t>
      </w:r>
    </w:p>
    <w:p>
      <w:pPr>
        <w:pStyle w:val="BookText"/>
      </w:pPr>
      <w:r>
        <w:rPr>
          <w:rFonts w:ascii="Times New Roman" w:hAnsi="Times New Roman" w:eastAsia="Times New Roman" w:cs="Times New Roman"/>
          <w:lang w:val="en-US" w:bidi="en-US"/>
          <w:color w:val="111111"/>
          <w:sz w:val="28"/>
          <w:szCs w:val="28"/>
          <w:rtl/>
        </w:rPr>
        <w:t xml:space="preserve">(rašīd-od-dīn fazl-ol-lāh-e hamadānī (1251 - 1319)</w:t>
      </w:r>
    </w:p>
    <w:p>
      <w:pPr>
        <w:pStyle w:val="BookText"/>
      </w:pPr>
      <w:r>
        <w:rPr>
          <w:rFonts w:ascii="IRNazanin" w:hAnsi="IRNazanin" w:eastAsia="IRNazanin" w:cs="IRNazanin"/>
          <w:lang w:bidi="fa-IR"/>
          <w:color w:val="111111"/>
          <w:sz w:val="28"/>
          <w:szCs w:val="28"/>
          <w:rtl/>
        </w:rPr>
        <w:t xml:space="preserve">خواجه رشید الدین فضل الله وزیر و پزشک معروف اواخر دوره مغول در این کتاب به سؤالاتی که از طرف افرادی چـون خوارزم بن احمد شاه الولواجى و فخر الملة و الدين خجندى الطراح و جمال الدین شرفشاهی و شهاب الدین و شمس الدین الحجرى درباره مسائل طبی و حکمی و فقهی و تفسیری شـده است پاسخ می دهد. علاوه بر این خود خواجه نیز مسائلی چند در این کتاب طرح می کند و پاسخ می گوید که آنها را یا از زبان واعظی بر منبری شنیده یا قولی است که در کتابی خوانده است.</w:t>
      </w:r>
    </w:p>
    <w:p>
      <w:pPr>
        <w:pStyle w:val="BookText"/>
      </w:pPr>
      <w:r>
        <w:rPr>
          <w:rFonts w:ascii="IRNazanin" w:hAnsi="IRNazanin" w:eastAsia="IRNazanin" w:cs="IRNazanin"/>
          <w:lang w:bidi="fa-IR"/>
          <w:color w:val="111111"/>
          <w:sz w:val="28"/>
          <w:szCs w:val="28"/>
          <w:rtl/>
        </w:rPr>
        <w:t xml:space="preserve">آغاز: بسمله و به نستعین حمد بی نهایت حضرت موجودیست  واجب الوجود که مبدع انواع.</w:t>
      </w:r>
    </w:p>
    <w:p>
      <w:pPr>
        <w:pStyle w:val="BookText"/>
      </w:pPr>
      <w:r>
        <w:rPr>
          <w:rFonts w:ascii="IRNazanin" w:hAnsi="IRNazanin" w:eastAsia="IRNazanin" w:cs="IRNazanin"/>
          <w:lang w:bidi="fa-IR"/>
          <w:color w:val="111111"/>
          <w:sz w:val="28"/>
          <w:szCs w:val="28"/>
          <w:rtl/>
        </w:rPr>
        <w:t xml:space="preserve">انجام: وسائل و قضایا و دلائل مذکوره ثایت</w:t>
      </w:r>
    </w:p>
    <w:p>
      <w:pPr>
        <w:pStyle w:val="BookText"/>
      </w:pPr>
      <w:r>
        <w:rPr>
          <w:rFonts w:ascii="IRNazanin" w:hAnsi="IRNazanin" w:eastAsia="IRNazanin" w:cs="IRNazanin"/>
          <w:lang w:bidi="fa-IR"/>
          <w:color w:val="111111"/>
          <w:sz w:val="28"/>
          <w:szCs w:val="28"/>
          <w:rtl/>
        </w:rPr>
        <w:t xml:space="preserve">تهران؛ ملی؛ شماره نسخه: ۲۳۵۱</w:t>
      </w:r>
    </w:p>
    <w:p>
      <w:pPr>
        <w:pStyle w:val="BookText"/>
      </w:pPr>
      <w:r>
        <w:rPr>
          <w:rFonts w:ascii="IRNazanin" w:hAnsi="IRNazanin" w:eastAsia="IRNazanin" w:cs="IRNazanin"/>
          <w:lang w:bidi="fa-IR"/>
          <w:color w:val="111111"/>
          <w:sz w:val="28"/>
          <w:szCs w:val="28"/>
          <w:rtl/>
        </w:rPr>
        <w:t xml:space="preserve">آغاز و انجام : برابر</w:t>
      </w:r>
    </w:p>
    <w:p>
      <w:pPr>
        <w:pStyle w:val="BookText"/>
      </w:pPr>
      <w:r>
        <w:rPr>
          <w:rFonts w:ascii="IRNazanin" w:hAnsi="IRNazanin" w:eastAsia="IRNazanin" w:cs="IRNazanin"/>
          <w:lang w:bidi="fa-IR"/>
          <w:color w:val="111111"/>
          <w:sz w:val="28"/>
          <w:szCs w:val="28"/>
          <w:rtl/>
        </w:rPr>
        <w:t xml:space="preserve">خط: نسخ، بی کا، تا: محتملاً قرن ۱۱؛ کاغذ: اصفهانی، جلد: ساغری مقوایی ،مشکی، ۲۳ سطر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 22/5</w:t>
      </w:r>
      <w:r>
        <w:rPr>
          <w:rFonts w:ascii="Times New Roman" w:hAnsi="Times New Roman" w:eastAsia="Times New Roman" w:cs="Times New Roman"/>
          <w:lang w:val="en-US" w:bidi="en-US"/>
          <w:color w:val="111111"/>
          <w:sz w:val="28"/>
          <w:szCs w:val="28"/>
          <w:rtl/>
        </w:rPr>
        <w:t xml:space="preserve">×30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[ف: ۵ - ۴۷۱]</w:t>
      </w:r>
    </w:p>
    <w:p>
      <w:pPr>
        <w:pStyle w:val="Heading3"/>
      </w:pPr>
      <w:bookmarkStart w:id="892" w:name="_Toc414"/>
      <w:r>
        <w:t>الاسئلة والاجوبة / چنددانشی / عربی</w:t>
      </w:r>
      <w:bookmarkEnd w:id="892"/>
    </w:p>
    <w:p>
      <w:pPr>
        <w:pStyle w:val="BookText"/>
      </w:pPr>
      <w:r>
        <w:rPr>
          <w:rFonts w:ascii="Times New Roman" w:hAnsi="Times New Roman" w:eastAsia="Times New Roman" w:cs="Times New Roman"/>
          <w:lang w:val="en-US" w:bidi="en-US"/>
          <w:color w:val="111111"/>
          <w:sz w:val="28"/>
          <w:szCs w:val="28"/>
          <w:rtl/>
        </w:rPr>
        <w:t xml:space="preserve">al-as’ila wa-l ajwiba</w:t>
      </w:r>
    </w:p>
    <w:p>
      <w:pPr>
        <w:pStyle w:val="BookText"/>
      </w:pPr>
      <w:r>
        <w:rPr>
          <w:rFonts w:ascii="IRNazanin" w:hAnsi="IRNazanin" w:eastAsia="IRNazanin" w:cs="IRNazanin"/>
          <w:lang w:bidi="fa-IR"/>
          <w:color w:val="111111"/>
          <w:sz w:val="28"/>
          <w:szCs w:val="28"/>
          <w:rtl/>
        </w:rPr>
        <w:t xml:space="preserve">آقسرائی، محمد بن محمد، ۷۷۱؟ قمری</w:t>
      </w:r>
    </w:p>
    <w:p>
      <w:pPr>
        <w:pStyle w:val="BookText"/>
      </w:pPr>
      <w:r>
        <w:rPr>
          <w:rFonts w:ascii="Times New Roman" w:hAnsi="Times New Roman" w:eastAsia="Times New Roman" w:cs="Times New Roman"/>
          <w:lang w:val="en-US" w:bidi="en-US"/>
          <w:color w:val="111111"/>
          <w:sz w:val="28"/>
          <w:szCs w:val="28"/>
          <w:rtl/>
        </w:rPr>
        <w:t xml:space="preserve">(āqsarā’ī, mohammad ebn-e mohammad ( - 1370)</w:t>
      </w:r>
    </w:p>
    <w:p>
      <w:pPr>
        <w:pStyle w:val="BookText"/>
      </w:pPr>
      <w:r>
        <w:rPr>
          <w:rFonts w:ascii="IRNazanin" w:hAnsi="IRNazanin" w:eastAsia="IRNazanin" w:cs="IRNazanin"/>
          <w:lang w:bidi="fa-IR"/>
          <w:color w:val="111111"/>
          <w:sz w:val="28"/>
          <w:szCs w:val="28"/>
          <w:rtl/>
        </w:rPr>
        <w:t xml:space="preserve">اسئله و اجوبه از علم تفسیر و حدیث. به دستور سیف الدولة  و الدین الحاج شاد گلدی پاشا ساخته است.</w:t>
      </w:r>
    </w:p>
    <w:p>
      <w:pPr>
        <w:pStyle w:val="BookText"/>
      </w:pPr>
      <w:r>
        <w:rPr>
          <w:rFonts w:ascii="IRNazanin" w:hAnsi="IRNazanin" w:eastAsia="IRNazanin" w:cs="IRNazanin"/>
          <w:lang w:bidi="fa-IR"/>
          <w:color w:val="111111"/>
          <w:sz w:val="28"/>
          <w:szCs w:val="28"/>
          <w:rtl/>
        </w:rPr>
        <w:t xml:space="preserve">تهران؛ دانشگاه؛ شماره نسخه: ۲۰۱۶/۱۳-ف</w:t>
      </w:r>
    </w:p>
    <w:p>
      <w:pPr>
        <w:pStyle w:val="BookText"/>
      </w:pPr>
      <w:r>
        <w:rPr>
          <w:rFonts w:ascii="IRNazanin" w:hAnsi="IRNazanin" w:eastAsia="IRNazanin" w:cs="IRNazanin"/>
          <w:lang w:bidi="fa-IR"/>
          <w:color w:val="111111"/>
          <w:sz w:val="28"/>
          <w:szCs w:val="28"/>
          <w:rtl/>
        </w:rPr>
        <w:t xml:space="preserve">نسخه اصل: آغاز و انجام چند نسخه از کتابخانه های یوگسلاوی؛  بی کا، بی تا[ فیلم ها-ف: ۱ - ۶۳۶]</w:t>
      </w:r>
    </w:p>
    <w:p>
      <w:pPr>
        <w:pStyle w:val="Heading3"/>
      </w:pPr>
      <w:bookmarkStart w:id="893" w:name="_Toc415"/>
      <w:r>
        <w:t>اسئلة و اجوبة / كلام و اعتقادات / عربی</w:t>
      </w:r>
      <w:bookmarkEnd w:id="893"/>
    </w:p>
    <w:p>
      <w:pPr>
        <w:pStyle w:val="BookText"/>
      </w:pPr>
      <w:r>
        <w:rPr>
          <w:rFonts w:ascii="Times New Roman" w:hAnsi="Times New Roman" w:eastAsia="Times New Roman" w:cs="Times New Roman"/>
          <w:lang w:val="en-US" w:bidi="en-US"/>
          <w:color w:val="111111"/>
          <w:sz w:val="28"/>
          <w:szCs w:val="28"/>
          <w:rtl/>
        </w:rPr>
        <w:t xml:space="preserve">as'ila wa ajwiba</w:t>
      </w:r>
    </w:p>
    <w:p>
      <w:pPr>
        <w:pStyle w:val="BookText"/>
      </w:pPr>
      <w:r>
        <w:rPr>
          <w:rFonts w:ascii="IRNazanin" w:hAnsi="IRNazanin" w:eastAsia="IRNazanin" w:cs="IRNazanin"/>
          <w:lang w:bidi="fa-IR"/>
          <w:color w:val="111111"/>
          <w:sz w:val="28"/>
          <w:szCs w:val="28"/>
          <w:rtl/>
        </w:rPr>
        <w:t xml:space="preserve">؟ ابن فهد حلی، احمد بن محمد ۹۷۵۷ - ۸۴۱ قمری</w:t>
      </w:r>
    </w:p>
    <w:p>
      <w:pPr>
        <w:pStyle w:val="BookText"/>
      </w:pPr>
      <w:r>
        <w:rPr>
          <w:rFonts w:ascii="Times New Roman" w:hAnsi="Times New Roman" w:eastAsia="Times New Roman" w:cs="Times New Roman"/>
          <w:lang w:val="en-US" w:bidi="en-US"/>
          <w:color w:val="111111"/>
          <w:sz w:val="28"/>
          <w:szCs w:val="28"/>
          <w:rtl/>
        </w:rPr>
        <w:t xml:space="preserve">( 1438-ebn-e fahad-e helli, ahmad ebn-e mohammad (1357</w:t>
      </w:r>
    </w:p>
    <w:p>
      <w:pPr>
        <w:pStyle w:val="BookText"/>
      </w:pPr>
      <w:r>
        <w:rPr>
          <w:rFonts w:ascii="IRNazanin" w:hAnsi="IRNazanin" w:eastAsia="IRNazanin" w:cs="IRNazanin"/>
          <w:lang w:bidi="fa-IR"/>
          <w:color w:val="111111"/>
          <w:sz w:val="28"/>
          <w:szCs w:val="28"/>
          <w:rtl/>
        </w:rPr>
        <w:t xml:space="preserve">پاسخ و پرسشی است در بیان مسئله تکفیر و احباط. پاسخ دهنده گویا همان ابن فهد حلی است.</w:t>
      </w:r>
    </w:p>
    <w:p>
      <w:pPr>
        <w:pStyle w:val="BookText"/>
      </w:pPr>
      <w:r>
        <w:rPr>
          <w:rFonts w:ascii="IRNazanin" w:hAnsi="IRNazanin" w:eastAsia="IRNazanin" w:cs="IRNazanin"/>
          <w:lang w:bidi="fa-IR"/>
          <w:color w:val="111111"/>
          <w:sz w:val="28"/>
          <w:szCs w:val="28"/>
          <w:rtl/>
        </w:rPr>
        <w:t xml:space="preserve">تهران؛ مجلس؛ شماره نسخه: ۲۷۵۰/۴</w:t>
      </w:r>
    </w:p>
    <w:p>
      <w:pPr>
        <w:pStyle w:val="BookText"/>
      </w:pPr>
      <w:r>
        <w:rPr>
          <w:rFonts w:ascii="Amiri" w:hAnsi="Amiri" w:eastAsia="Amiri" w:cs="Amiri"/>
          <w:lang w:bidi="ar-SA"/>
          <w:color w:val="111111"/>
          <w:sz w:val="28"/>
          <w:szCs w:val="28"/>
          <w:rtl/>
        </w:rPr>
        <w:t xml:space="preserve">آغاز: بسمله. ما يقول مولانا الشيخ احسن الله لك هل يجوز للمومن ان يكفرام لا و على تقدير جوازه لو حصل منه ارتداد في اثناء الصوم او الاخر هل يبطل فيهما او في احدهما... الجواب اختلف الناس فى ان الايمان هل يجوز ان يتعقبه كفرام لا و فى ان الاحباط هل هو صحيح ام لا و فى ان الموافاة هل هي شرط في الايمان ام لا، انجام: فهذا وجه الفرق بينهما ثم رده اه ... و حكم يطهارته قبل اعماله و لم نقبل فى الظاهر بل يجب مثله و يثاب  عليه</w:t>
      </w:r>
    </w:p>
    <w:p>
      <w:pPr>
        <w:pStyle w:val="BookText"/>
      </w:pPr>
      <w:r>
        <w:rPr>
          <w:rFonts w:ascii="IRNazanin" w:hAnsi="IRNazanin" w:eastAsia="IRNazanin" w:cs="IRNazanin"/>
          <w:lang w:bidi="fa-IR"/>
          <w:color w:val="111111"/>
          <w:sz w:val="28"/>
          <w:szCs w:val="28"/>
          <w:rtl/>
        </w:rPr>
        <w:t xml:space="preserve">خط: نسخ  کهن، بی کا، تا: سه شنبه ۲۹ ربیع الاول ۸۲۲ق؛ كاغذ: سفید ،کهنه ،جلد: مقوایی با عطف تیماج ۳۰۳ ص، ۲۰ و ۲۱ سطر ،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۹ - ۱۲۶]</w:t>
      </w:r>
    </w:p>
    <w:p>
      <w:pPr>
        <w:pStyle w:val="Heading3"/>
      </w:pPr>
      <w:bookmarkStart w:id="894" w:name="_Toc416"/>
      <w:r>
        <w:t>الاسئلة والاجوبة / ادبیات / عربي</w:t>
      </w:r>
      <w:bookmarkEnd w:id="894"/>
    </w:p>
    <w:p>
      <w:pPr>
        <w:pStyle w:val="BookText"/>
      </w:pPr>
      <w:r>
        <w:rPr>
          <w:rFonts w:ascii="Times New Roman" w:hAnsi="Times New Roman" w:eastAsia="Times New Roman" w:cs="Times New Roman"/>
          <w:lang w:val="en-US" w:bidi="en-US"/>
          <w:color w:val="111111"/>
          <w:sz w:val="28"/>
          <w:szCs w:val="28"/>
          <w:rtl/>
        </w:rPr>
        <w:t xml:space="preserve">al-as'ila wa-l ajwiba</w:t>
      </w:r>
    </w:p>
    <w:p>
      <w:pPr>
        <w:pStyle w:val="BookText"/>
      </w:pPr>
      <w:r>
        <w:rPr>
          <w:rFonts w:ascii="IRNazanin" w:hAnsi="IRNazanin" w:eastAsia="IRNazanin" w:cs="IRNazanin"/>
          <w:lang w:bidi="fa-IR"/>
          <w:color w:val="111111"/>
          <w:sz w:val="28"/>
          <w:szCs w:val="28"/>
          <w:rtl/>
        </w:rPr>
        <w:t xml:space="preserve">سیوطی عبدالرحمن بن ابی بکر، ۸۴۹ - ۹۱۱ قمری</w:t>
      </w:r>
    </w:p>
    <w:p>
      <w:pPr>
        <w:pStyle w:val="BookText"/>
      </w:pPr>
      <w:r>
        <w:rPr>
          <w:rFonts w:ascii="Times New Roman" w:hAnsi="Times New Roman" w:eastAsia="Times New Roman" w:cs="Times New Roman"/>
          <w:lang w:val="en-US" w:bidi="en-US"/>
          <w:color w:val="111111"/>
          <w:sz w:val="28"/>
          <w:szCs w:val="28"/>
          <w:rtl/>
        </w:rPr>
        <w:t xml:space="preserve">(soyūtī, ‘abd-or-rahman ebn-e abī-bakr (1446 - 1506)</w:t>
      </w:r>
    </w:p>
    <w:p>
      <w:pPr>
        <w:pStyle w:val="BookText"/>
      </w:pPr>
      <w:r>
        <w:rPr>
          <w:rFonts w:ascii="IRNazanin" w:hAnsi="IRNazanin" w:eastAsia="IRNazanin" w:cs="IRNazanin"/>
          <w:lang w:bidi="fa-IR"/>
          <w:color w:val="111111"/>
          <w:sz w:val="28"/>
          <w:szCs w:val="28"/>
          <w:rtl/>
        </w:rPr>
        <w:t xml:space="preserve">نویسنده و کاتب این رساله می گوید به سال ۸۹۸ق، به سؤال و جواب سیوطی واقف شدم و این سؤال و جواب حاوی مباحث مفصل در وضع و اشتراک و حقیقت و مجاز و به طور کلی مباحث معانى علم الالفاظ بود چون این گفتارهای سیوطی به صورت سؤال طرح و به شکل جواب پاسخ آن آمده بوده لذا آنها را جمع کردم.</w:t>
      </w:r>
    </w:p>
    <w:p>
      <w:pPr>
        <w:pStyle w:val="BookText"/>
      </w:pPr>
      <w:r>
        <w:rPr>
          <w:rFonts w:ascii="Amiri" w:hAnsi="Amiri" w:eastAsia="Amiri" w:cs="Amiri"/>
          <w:lang w:bidi="ar-SA"/>
          <w:color w:val="111111"/>
          <w:sz w:val="28"/>
          <w:szCs w:val="28"/>
          <w:rtl/>
        </w:rPr>
        <w:t xml:space="preserve">آغاز: بسمله. حمدله ... و بعد فقد وقفت فى الثالث والعشرين من رجب ۸۷۸ق. على اجوبة للشيخ الحافظ عبدالرحمان ابي الفضل</w:t>
      </w:r>
    </w:p>
    <w:p>
      <w:pPr>
        <w:pStyle w:val="BookText"/>
      </w:pPr>
      <w:r>
        <w:rPr>
          <w:rFonts w:ascii="Amiri" w:hAnsi="Amiri" w:eastAsia="Amiri" w:cs="Amiri"/>
          <w:lang w:bidi="ar-SA"/>
          <w:color w:val="111111"/>
          <w:sz w:val="28"/>
          <w:szCs w:val="28"/>
          <w:rtl/>
        </w:rPr>
        <w:t xml:space="preserve">السيوطى عن  اسئلة</w:t>
      </w:r>
    </w:p>
    <w:p>
      <w:pPr>
        <w:pStyle w:val="BookText"/>
      </w:pPr>
      <w:r>
        <w:rPr>
          <w:rFonts w:ascii="IRNazanin" w:hAnsi="IRNazanin" w:eastAsia="IRNazanin" w:cs="IRNazanin"/>
          <w:lang w:bidi="fa-IR"/>
          <w:color w:val="111111"/>
          <w:sz w:val="28"/>
          <w:szCs w:val="28"/>
          <w:rtl/>
        </w:rPr>
        <w:t xml:space="preserve">1.تهران؛ ملی؛ شماره نسخه: ۱۱۷۵/۴</w:t>
      </w:r>
    </w:p>
    <w:p>
      <w:pPr>
        <w:pStyle w:val="BookText"/>
      </w:pPr>
      <w:r>
        <w:rPr>
          <w:rFonts w:ascii="Amiri" w:hAnsi="Amiri" w:eastAsia="Amiri" w:cs="Amiri"/>
          <w:lang w:bidi="ar-SA"/>
          <w:color w:val="111111"/>
          <w:sz w:val="28"/>
          <w:szCs w:val="28"/>
          <w:rtl/>
        </w:rPr>
        <w:t xml:space="preserve">آغاز: برابر؛ انجام: و من الاشكال ما لا يخفى.</w:t>
      </w:r>
    </w:p>
    <w:p>
      <w:pPr>
        <w:pStyle w:val="BookText"/>
      </w:pPr>
      <w:r>
        <w:rPr>
          <w:rFonts w:ascii="IRNazanin" w:hAnsi="IRNazanin" w:eastAsia="IRNazanin" w:cs="IRNazanin"/>
          <w:lang w:bidi="fa-IR"/>
          <w:color w:val="111111"/>
          <w:sz w:val="28"/>
          <w:szCs w:val="28"/>
          <w:rtl/>
        </w:rPr>
        <w:t xml:space="preserve">خط: نستعلیق  کهن ،بی کا، تا: محتملاً قرن ۱۰؛ با جداول نجومی؛ کاغذ: دولت آبادی، جلد ،مقوایی مجموعه حسين بن عبدالصمد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22" w:name="pg20365_260155"/>
    <w:bookmarkEnd w:id="122"/>
    <w:p>
      <w:pPr>
        <w:pStyle w:val="BookText"/>
      </w:pPr>
      <w:r>
        <w:rPr>
          <w:rFonts w:ascii="IRNazanin" w:hAnsi="IRNazanin" w:eastAsia="IRNazanin" w:cs="IRNazanin"/>
          <w:lang w:bidi="fa-IR"/>
          <w:color w:val="111111"/>
          <w:sz w:val="28"/>
          <w:szCs w:val="28"/>
          <w:rtl/>
        </w:rPr>
        <w:t xml:space="preserve">حارثی جلد ،جدید ساز، ۶ ص ،(۴۶-۵۱) ۲۱ سطر (10/5</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۹ - ۱۶۱]</w:t>
      </w:r>
    </w:p>
    <w:p>
      <w:pPr>
        <w:pStyle w:val="BookText"/>
      </w:pPr>
      <w:r>
        <w:rPr>
          <w:rFonts w:ascii="IRNazanin" w:hAnsi="IRNazanin" w:eastAsia="IRNazanin" w:cs="IRNazanin"/>
          <w:lang w:bidi="fa-IR"/>
          <w:color w:val="111111"/>
          <w:sz w:val="28"/>
          <w:szCs w:val="28"/>
          <w:rtl/>
        </w:rPr>
        <w:t xml:space="preserve">۲. تهران؛ سپهسالار؛ شماره نسخه: ۷۵۲۵/۶</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بی کا، بی تا؛ کاغذ: سپاهانی، جلد: تیماج مشکی مقوایی، ۵گ (۴۶ - ۵۰ر)، ۱۹ سطر ،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۳ - ۱۱۶]</w:t>
      </w:r>
    </w:p>
    <w:p>
      <w:pPr>
        <w:pStyle w:val="Heading3"/>
      </w:pPr>
      <w:bookmarkStart w:id="895" w:name="_Toc417"/>
      <w:r>
        <w:t>الاسئلة و الاجوبة / فقه / عربي</w:t>
      </w:r>
      <w:bookmarkEnd w:id="895"/>
    </w:p>
    <w:p>
      <w:pPr>
        <w:pStyle w:val="BookText"/>
      </w:pPr>
      <w:r>
        <w:rPr>
          <w:rFonts w:ascii="Times New Roman" w:hAnsi="Times New Roman" w:eastAsia="Times New Roman" w:cs="Times New Roman"/>
          <w:lang w:val="en-US" w:bidi="en-US"/>
          <w:color w:val="111111"/>
          <w:sz w:val="28"/>
          <w:szCs w:val="28"/>
          <w:rtl/>
        </w:rPr>
        <w:t xml:space="preserve">al-as’ila wa-l ajwiba</w:t>
      </w:r>
    </w:p>
    <w:p>
      <w:pPr>
        <w:pStyle w:val="BookText"/>
      </w:pPr>
      <w:r>
        <w:rPr>
          <w:rFonts w:ascii="IRNazanin" w:hAnsi="IRNazanin" w:eastAsia="IRNazanin" w:cs="IRNazanin"/>
          <w:lang w:bidi="fa-IR"/>
          <w:color w:val="111111"/>
          <w:sz w:val="28"/>
          <w:szCs w:val="28"/>
          <w:rtl/>
        </w:rPr>
        <w:t xml:space="preserve">محقق کرکی، علی بن حسین، ۸۹۰ - ۹۴۰ قمری</w:t>
      </w:r>
    </w:p>
    <w:p>
      <w:pPr>
        <w:pStyle w:val="BookText"/>
      </w:pPr>
      <w:r>
        <w:rPr>
          <w:rFonts w:ascii="Times New Roman" w:hAnsi="Times New Roman" w:eastAsia="Times New Roman" w:cs="Times New Roman"/>
          <w:lang w:val="en-US" w:bidi="en-US"/>
          <w:color w:val="111111"/>
          <w:sz w:val="28"/>
          <w:szCs w:val="28"/>
          <w:rtl/>
        </w:rPr>
        <w:t xml:space="preserve">(mohaqqeq-e karakī, ‘alī ebn-e hoseyn (1486 - 1534)</w:t>
      </w:r>
    </w:p>
    <w:p>
      <w:pPr>
        <w:pStyle w:val="BookText"/>
      </w:pPr>
      <w:r>
        <w:rPr>
          <w:rFonts w:ascii="IRNazanin" w:hAnsi="IRNazanin" w:eastAsia="IRNazanin" w:cs="IRNazanin"/>
          <w:lang w:bidi="fa-IR"/>
          <w:color w:val="111111"/>
          <w:sz w:val="28"/>
          <w:szCs w:val="28"/>
          <w:rtl/>
        </w:rPr>
        <w:t xml:space="preserve">در مسائل متفرقه فقهی از محقق کرکی</w:t>
      </w:r>
    </w:p>
    <w:p>
      <w:pPr>
        <w:pStyle w:val="BookText"/>
      </w:pPr>
      <w:r>
        <w:rPr>
          <w:rFonts w:ascii="IRNazanin" w:hAnsi="IRNazanin" w:eastAsia="IRNazanin" w:cs="IRNazanin"/>
          <w:lang w:bidi="fa-IR"/>
          <w:color w:val="111111"/>
          <w:sz w:val="28"/>
          <w:szCs w:val="28"/>
          <w:rtl/>
        </w:rPr>
        <w:t xml:space="preserve">مشهد؛ رضوی؛ شماره نسخه: ۱۳۴۵۱/۱</w:t>
      </w:r>
    </w:p>
    <w:p>
      <w:pPr>
        <w:pStyle w:val="BookText"/>
      </w:pPr>
      <w:r>
        <w:rPr>
          <w:rFonts w:ascii="Amiri" w:hAnsi="Amiri" w:eastAsia="Amiri" w:cs="Amiri"/>
          <w:lang w:bidi="ar-SA"/>
          <w:color w:val="111111"/>
          <w:sz w:val="28"/>
          <w:szCs w:val="28"/>
          <w:rtl/>
        </w:rPr>
        <w:t xml:space="preserve">آغاز: بسمله، ماقوله دام ظله في التنور هل يطهر بالماء القليل ام لا... ماقوله دام ظله فى ماء الحمام اذا كان سطح المادة اعلى؛ انجـام: و كلام الأصحاب يدل على انتفاء وجوب الخمس عن مثل هذا</w:t>
      </w:r>
    </w:p>
    <w:p>
      <w:pPr>
        <w:pStyle w:val="BookText"/>
      </w:pPr>
      <w:r>
        <w:rPr>
          <w:rFonts w:ascii="IRNazanin" w:hAnsi="IRNazanin" w:eastAsia="IRNazanin" w:cs="IRNazanin"/>
          <w:lang w:bidi="fa-IR"/>
          <w:color w:val="111111"/>
          <w:sz w:val="28"/>
          <w:szCs w:val="28"/>
          <w:rtl/>
        </w:rPr>
        <w:t xml:space="preserve">خط: نسخ، کا: نصر الله بن برقع  طرفی، تا: چهارشنبه ۲۵ محرم  ۹۸۴ق؛ کاغذ: نباتی  آهار مهره ،جلد: مقوا ، عطف و گوشه میشن مشکی، ۵۵گ، ۲۵ سطر ،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۲۳/۵سم [ف: ۲۱ - ۱۲۵۸]</w:t>
      </w:r>
    </w:p>
    <w:p>
      <w:pPr>
        <w:pStyle w:val="Heading3"/>
      </w:pPr>
      <w:bookmarkStart w:id="896" w:name="_Toc418"/>
      <w:r>
        <w:t>الاسئلة و الاجوبة / فقه / عربي</w:t>
      </w:r>
      <w:bookmarkEnd w:id="896"/>
    </w:p>
    <w:p>
      <w:pPr>
        <w:pStyle w:val="BookText"/>
      </w:pPr>
      <w:r>
        <w:rPr>
          <w:rFonts w:ascii="Times New Roman" w:hAnsi="Times New Roman" w:eastAsia="Times New Roman" w:cs="Times New Roman"/>
          <w:lang w:val="en-US" w:bidi="en-US"/>
          <w:color w:val="111111"/>
          <w:sz w:val="28"/>
          <w:szCs w:val="28"/>
          <w:rtl/>
        </w:rPr>
        <w:t xml:space="preserve">al-as’ila wa-l ajwiba</w:t>
      </w:r>
    </w:p>
    <w:p>
      <w:pPr>
        <w:pStyle w:val="BookText"/>
      </w:pPr>
      <w:r>
        <w:rPr>
          <w:rFonts w:ascii="IRNazanin" w:hAnsi="IRNazanin" w:eastAsia="IRNazanin" w:cs="IRNazanin"/>
          <w:lang w:bidi="fa-IR"/>
          <w:color w:val="111111"/>
          <w:sz w:val="28"/>
          <w:szCs w:val="28"/>
          <w:rtl/>
        </w:rPr>
        <w:t xml:space="preserve">آل عصفور، حسین بن محمد، - ۱۲۱۶ قمری</w:t>
      </w:r>
    </w:p>
    <w:p>
      <w:pPr>
        <w:pStyle w:val="BookText"/>
      </w:pPr>
      <w:r>
        <w:rPr>
          <w:rFonts w:ascii="Times New Roman" w:hAnsi="Times New Roman" w:eastAsia="Times New Roman" w:cs="Times New Roman"/>
          <w:lang w:val="en-US" w:bidi="en-US"/>
          <w:color w:val="111111"/>
          <w:sz w:val="28"/>
          <w:szCs w:val="28"/>
          <w:rtl/>
        </w:rPr>
        <w:t xml:space="preserve">(āl-e ‘osfūr, hoseyn ebn-e mohammad ( - 1802)</w:t>
      </w:r>
    </w:p>
    <w:p>
      <w:pPr>
        <w:pStyle w:val="BookText"/>
      </w:pPr>
      <w:r>
        <w:rPr>
          <w:rFonts w:ascii="IRNazanin" w:hAnsi="IRNazanin" w:eastAsia="IRNazanin" w:cs="IRNazanin"/>
          <w:lang w:bidi="fa-IR"/>
          <w:color w:val="111111"/>
          <w:sz w:val="28"/>
          <w:szCs w:val="28"/>
          <w:rtl/>
        </w:rPr>
        <w:t xml:space="preserve">نه سؤال فقهی است که فرزند مؤلف «احمد بن حسین» پرسید وی با عناوین «قال سلمه الله تعالى – الجواب» به آن پاسخ گـفته  است.</w:t>
      </w:r>
    </w:p>
    <w:p>
      <w:pPr>
        <w:pStyle w:val="BookText"/>
      </w:pPr>
      <w:r>
        <w:rPr>
          <w:rFonts w:ascii="IRNazanin" w:hAnsi="IRNazanin" w:eastAsia="IRNazanin" w:cs="IRNazanin"/>
          <w:lang w:bidi="fa-IR"/>
          <w:color w:val="111111"/>
          <w:sz w:val="28"/>
          <w:szCs w:val="28"/>
          <w:rtl/>
        </w:rPr>
        <w:t xml:space="preserve">قم؛ مسجد اعظم؛ شماره نسخه: ۴۰۰۹/۲</w:t>
      </w:r>
    </w:p>
    <w:p>
      <w:pPr>
        <w:pStyle w:val="BookText"/>
      </w:pPr>
      <w:r>
        <w:rPr>
          <w:rFonts w:ascii="IRNazanin" w:hAnsi="IRNazanin" w:eastAsia="IRNazanin" w:cs="IRNazanin"/>
          <w:lang w:bidi="fa-IR"/>
          <w:color w:val="111111"/>
          <w:sz w:val="28"/>
          <w:szCs w:val="28"/>
          <w:rtl/>
        </w:rPr>
        <w:t xml:space="preserve">آغاز: اللهم نحمدک ... قال سلمه الله تعالى ماقولك فى ذبيـحة ذبحه [ للقبله ] كقبلة البحرين مثلاً رأسها شمالا ورجليها جنوباً كـهیئة الذبح [باليسر] هل هي حلال ام حرام؛ انجام: واما مجرد [الحوق] عليه من الشق فلا يحل تركه بل لابد من اجراء الحكم عليه اما لوكان غير مستقر الحياة كالاشهر الاول فانه في حكم الجزءلان اخراجه لاتترتب عليه حياة والله العالم بالصواب وهنا انتهى جـری القلم</w:t>
      </w:r>
    </w:p>
    <w:p>
      <w:pPr>
        <w:pStyle w:val="BookText"/>
      </w:pPr>
      <w:r>
        <w:rPr>
          <w:rFonts w:ascii="IRNazanin" w:hAnsi="IRNazanin" w:eastAsia="IRNazanin" w:cs="IRNazanin"/>
          <w:lang w:bidi="fa-IR"/>
          <w:color w:val="111111"/>
          <w:sz w:val="28"/>
          <w:szCs w:val="28"/>
          <w:rtl/>
        </w:rPr>
        <w:t xml:space="preserve">خط: نسخ، بی کا، تا: ذیحجه ۱۲۲۰ق؛ جلد: گالینگور سبز عطف تیماج زرشکی، ۲گ ، ۱۹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مخ: ۳- 1115]</w:t>
      </w:r>
    </w:p>
    <w:p>
      <w:pPr>
        <w:pStyle w:val="Heading3"/>
      </w:pPr>
      <w:bookmarkStart w:id="897" w:name="_Toc419"/>
      <w:r>
        <w:t>اسئلة و اجوبة / كلام و اعتقادات / فارسی</w:t>
      </w:r>
      <w:bookmarkEnd w:id="897"/>
    </w:p>
    <w:p>
      <w:pPr>
        <w:pStyle w:val="BookText"/>
      </w:pPr>
      <w:r>
        <w:rPr>
          <w:rFonts w:ascii="Times New Roman" w:hAnsi="Times New Roman" w:eastAsia="Times New Roman" w:cs="Times New Roman"/>
          <w:lang w:val="en-US" w:bidi="en-US"/>
          <w:color w:val="111111"/>
          <w:sz w:val="28"/>
          <w:szCs w:val="28"/>
          <w:rtl/>
        </w:rPr>
        <w:t xml:space="preserve">as’ela va ajveba</w:t>
      </w:r>
    </w:p>
    <w:p>
      <w:pPr>
        <w:pStyle w:val="BookText"/>
      </w:pPr>
      <w:r>
        <w:rPr>
          <w:rFonts w:ascii="IRNazanin" w:hAnsi="IRNazanin" w:eastAsia="IRNazanin" w:cs="IRNazanin"/>
          <w:lang w:bidi="fa-IR"/>
          <w:color w:val="111111"/>
          <w:sz w:val="28"/>
          <w:szCs w:val="28"/>
          <w:rtl/>
        </w:rPr>
        <w:t xml:space="preserve">ارومیه ای، حبیب الله</w:t>
      </w:r>
    </w:p>
    <w:p>
      <w:pPr>
        <w:pStyle w:val="BookText"/>
      </w:pPr>
      <w:r>
        <w:rPr>
          <w:rFonts w:ascii="Times New Roman" w:hAnsi="Times New Roman" w:eastAsia="Times New Roman" w:cs="Times New Roman"/>
          <w:lang w:val="en-US" w:bidi="en-US"/>
          <w:color w:val="111111"/>
          <w:sz w:val="28"/>
          <w:szCs w:val="28"/>
          <w:rtl/>
        </w:rPr>
        <w:t xml:space="preserve">orūmīye’ī, habīb-ol-lāh</w:t>
      </w:r>
    </w:p>
    <w:p>
      <w:pPr>
        <w:pStyle w:val="BookText"/>
      </w:pPr>
      <w:r>
        <w:rPr>
          <w:rFonts w:ascii="IRNazanin" w:hAnsi="IRNazanin" w:eastAsia="IRNazanin" w:cs="IRNazanin"/>
          <w:lang w:bidi="fa-IR"/>
          <w:color w:val="111111"/>
          <w:sz w:val="28"/>
          <w:szCs w:val="28"/>
          <w:rtl/>
        </w:rPr>
        <w:t xml:space="preserve">رساله در توحید است.</w:t>
      </w:r>
    </w:p>
    <w:p>
      <w:pPr>
        <w:pStyle w:val="BookText"/>
      </w:pPr>
      <w:r>
        <w:rPr>
          <w:rFonts w:ascii="IRNazanin" w:hAnsi="IRNazanin" w:eastAsia="IRNazanin" w:cs="IRNazanin"/>
          <w:lang w:bidi="fa-IR"/>
          <w:color w:val="111111"/>
          <w:sz w:val="28"/>
          <w:szCs w:val="28"/>
          <w:rtl/>
        </w:rPr>
        <w:t xml:space="preserve">[فهرستواره منزوی ۸۵/۹]</w:t>
      </w:r>
    </w:p>
    <w:p>
      <w:pPr>
        <w:pStyle w:val="BookText"/>
      </w:pPr>
      <w:r>
        <w:rPr>
          <w:rFonts w:ascii="IRNazanin" w:hAnsi="IRNazanin" w:eastAsia="IRNazanin" w:cs="IRNazanin"/>
          <w:lang w:bidi="fa-IR"/>
          <w:color w:val="111111"/>
          <w:sz w:val="28"/>
          <w:szCs w:val="28"/>
          <w:rtl/>
        </w:rPr>
        <w:t xml:space="preserve">تهران؛ مجلس؛ شماره نسخه: ۵۴۶۳</w:t>
      </w:r>
    </w:p>
    <w:p>
      <w:pPr>
        <w:pStyle w:val="BookText"/>
      </w:pPr>
      <w:r>
        <w:rPr>
          <w:rFonts w:ascii="IRNazanin" w:hAnsi="IRNazanin" w:eastAsia="IRNazanin" w:cs="IRNazanin"/>
          <w:lang w:bidi="fa-IR"/>
          <w:color w:val="111111"/>
          <w:sz w:val="28"/>
          <w:szCs w:val="28"/>
          <w:rtl/>
        </w:rPr>
        <w:t xml:space="preserve">آغاز: بهترین عمل خیری که مقبول اهل خیر و فلاح باشد حمد ذات عالمیست که بفیض اقدس و بقدس خود اعیان موجودات را؛ انجام: فمن اراد الاخذ فعليه التمسك و السلوك وصلى الله على اكمل الانبياء و افضل الأولياء ... اجمعين</w:t>
      </w:r>
    </w:p>
    <w:p>
      <w:pPr>
        <w:pStyle w:val="BookText"/>
      </w:pPr>
      <w:r>
        <w:rPr>
          <w:rFonts w:ascii="IRNazanin" w:hAnsi="IRNazanin" w:eastAsia="IRNazanin" w:cs="IRNazanin"/>
          <w:lang w:bidi="fa-IR"/>
          <w:color w:val="111111"/>
          <w:sz w:val="28"/>
          <w:szCs w:val="28"/>
          <w:rtl/>
        </w:rPr>
        <w:t xml:space="preserve">خط: نستعلیق شکسته، بی کا، تا: قرن ۱۳ ؛کاغذ: فرنگی خط دار،   جلد: تیماج مقوایی قهوه ای ،۹۹گ، ۱۳ سطر ، اندازه:</w:t>
      </w:r>
    </w:p>
    <w:p>
      <w:pPr>
        <w:pStyle w:val="BookText"/>
      </w:pPr>
      <w:r>
        <w:rPr>
          <w:rFonts w:ascii="IRNazanin" w:hAnsi="IRNazanin" w:eastAsia="IRNazanin" w:cs="IRNazanin"/>
          <w:lang w:bidi="fa-IR"/>
          <w:color w:val="111111"/>
          <w:sz w:val="28"/>
          <w:szCs w:val="28"/>
          <w:rtl/>
        </w:rPr>
        <w:t xml:space="preserve">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 ۱۶ - ۳۶۶]</w:t>
      </w:r>
    </w:p>
    <w:p>
      <w:pPr>
        <w:pStyle w:val="Heading3"/>
      </w:pPr>
      <w:bookmarkStart w:id="898" w:name="_Toc420"/>
      <w:r>
        <w:t>الاسئلة و الاجوبة / فقه / عربي</w:t>
      </w:r>
      <w:bookmarkEnd w:id="898"/>
    </w:p>
    <w:p>
      <w:pPr>
        <w:pStyle w:val="BookText"/>
      </w:pPr>
      <w:r>
        <w:rPr>
          <w:rFonts w:ascii="Times New Roman" w:hAnsi="Times New Roman" w:eastAsia="Times New Roman" w:cs="Times New Roman"/>
          <w:lang w:val="en-US" w:bidi="en-US"/>
          <w:color w:val="111111"/>
          <w:sz w:val="28"/>
          <w:szCs w:val="28"/>
          <w:rtl/>
        </w:rPr>
        <w:t xml:space="preserve">al-as'ila wa-l ajwiba</w:t>
      </w:r>
    </w:p>
    <w:p>
      <w:pPr>
        <w:pStyle w:val="BookText"/>
      </w:pPr>
      <w:r>
        <w:rPr>
          <w:rFonts w:ascii="IRNazanin" w:hAnsi="IRNazanin" w:eastAsia="IRNazanin" w:cs="IRNazanin"/>
          <w:lang w:bidi="fa-IR"/>
          <w:color w:val="111111"/>
          <w:sz w:val="28"/>
          <w:szCs w:val="28"/>
          <w:rtl/>
        </w:rPr>
        <w:t xml:space="preserve">انصاری، مرتضی بن محمد  امین، ۱۲۱۴ - ۱۲۸۱ قمری</w:t>
      </w:r>
    </w:p>
    <w:p>
      <w:pPr>
        <w:pStyle w:val="BookText"/>
      </w:pPr>
      <w:r>
        <w:rPr>
          <w:rFonts w:ascii="Times New Roman" w:hAnsi="Times New Roman" w:eastAsia="Times New Roman" w:cs="Times New Roman"/>
          <w:lang w:val="en-US" w:bidi="en-US"/>
          <w:color w:val="111111"/>
          <w:sz w:val="28"/>
          <w:szCs w:val="28"/>
          <w:rtl/>
        </w:rPr>
        <w:t xml:space="preserve">(ansari, morteza ebn-e mohammad amin (1800 - 1865)</w:t>
      </w:r>
    </w:p>
    <w:p>
      <w:pPr>
        <w:pStyle w:val="BookText"/>
      </w:pPr>
      <w:r>
        <w:rPr>
          <w:rFonts w:ascii="IRNazanin" w:hAnsi="IRNazanin" w:eastAsia="IRNazanin" w:cs="IRNazanin"/>
          <w:lang w:bidi="fa-IR"/>
          <w:color w:val="111111"/>
          <w:sz w:val="28"/>
          <w:szCs w:val="28"/>
          <w:rtl/>
        </w:rPr>
        <w:t xml:space="preserve">سؤالات مختلف فقهی است که شیخ به آنها پاسخ گفته است.</w:t>
      </w:r>
    </w:p>
    <w:p>
      <w:pPr>
        <w:pStyle w:val="BookText"/>
      </w:pPr>
      <w:r>
        <w:rPr>
          <w:rFonts w:ascii="Amiri" w:hAnsi="Amiri" w:eastAsia="Amiri" w:cs="Amiri"/>
          <w:lang w:bidi="ar-SA"/>
          <w:color w:val="111111"/>
          <w:sz w:val="28"/>
          <w:szCs w:val="28"/>
          <w:rtl/>
        </w:rPr>
        <w:t xml:space="preserve">آغاز: س غير المجتهد هل له أن يفتى بمذهب مجتهد من عند نفسه من دون أن يحكى منه ام لا.</w:t>
      </w:r>
    </w:p>
    <w:p>
      <w:pPr>
        <w:pStyle w:val="BookText"/>
      </w:pPr>
      <w:r>
        <w:rPr>
          <w:rFonts w:ascii="IRNazanin" w:hAnsi="IRNazanin" w:eastAsia="IRNazanin" w:cs="IRNazanin"/>
          <w:lang w:bidi="fa-IR"/>
          <w:color w:val="111111"/>
          <w:sz w:val="28"/>
          <w:szCs w:val="28"/>
          <w:rtl/>
        </w:rPr>
        <w:t xml:space="preserve">انجام: ولک کله رجع الى الظنون الحدسيه والاستقرائيه و لا يسقط التكليف بحال و الله العالم اعلم بحقايق احكامه</w:t>
      </w:r>
    </w:p>
    <w:p>
      <w:pPr>
        <w:pStyle w:val="BookText"/>
      </w:pPr>
      <w:r>
        <w:rPr>
          <w:rFonts w:ascii="IRNazanin" w:hAnsi="IRNazanin" w:eastAsia="IRNazanin" w:cs="IRNazanin"/>
          <w:lang w:bidi="fa-IR"/>
          <w:color w:val="111111"/>
          <w:sz w:val="28"/>
          <w:szCs w:val="28"/>
          <w:rtl/>
        </w:rPr>
        <w:t xml:space="preserve">شیراز؛ ملی؛ شماره نسخه: ۱۴۸/۱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جمعه ۲۱ رمضان ۱۲۷۷ق، محشی؛ ۱۷  سطر ، اندازه: 1</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 [ف: ۱ - ۱۲۶]</w:t>
      </w:r>
    </w:p>
    <w:p>
      <w:pPr>
        <w:pStyle w:val="BookText"/>
      </w:pPr>
      <w:r>
        <w:rPr>
          <w:rFonts w:ascii="IRNazanin" w:hAnsi="IRNazanin" w:eastAsia="IRNazanin" w:cs="IRNazanin"/>
          <w:lang w:bidi="fa-IR"/>
          <w:color w:val="111111"/>
          <w:sz w:val="28"/>
          <w:szCs w:val="28"/>
          <w:rtl/>
        </w:rPr>
        <w:t xml:space="preserve">قم؛ مرکز احیاء؛ شماره نسخه: ۱۶۵۴/۱</w:t>
      </w:r>
    </w:p>
    <w:p>
      <w:pPr>
        <w:pStyle w:val="BookText"/>
      </w:pPr>
      <w:r>
        <w:rPr>
          <w:rFonts w:ascii="IRNazanin" w:hAnsi="IRNazanin" w:eastAsia="IRNazanin" w:cs="IRNazanin"/>
          <w:lang w:bidi="fa-IR"/>
          <w:color w:val="111111"/>
          <w:sz w:val="28"/>
          <w:szCs w:val="28"/>
          <w:rtl/>
        </w:rPr>
        <w:t xml:space="preserve">نسخه اصل: همان نسخه بالا [عکسی ف: ۵ - ۹۸]</w:t>
      </w:r>
    </w:p>
    <w:p>
      <w:pPr>
        <w:pStyle w:val="Heading3"/>
      </w:pPr>
      <w:bookmarkStart w:id="899" w:name="_Toc421"/>
      <w:r>
        <w:t>الاسئلة و الاجوبة / پاسخ پرسشها / عربی</w:t>
      </w:r>
      <w:bookmarkEnd w:id="899"/>
    </w:p>
    <w:p>
      <w:pPr>
        <w:pStyle w:val="BookText"/>
      </w:pPr>
      <w:r>
        <w:rPr>
          <w:rFonts w:ascii="Times New Roman" w:hAnsi="Times New Roman" w:eastAsia="Times New Roman" w:cs="Times New Roman"/>
          <w:lang w:val="en-US" w:bidi="en-US"/>
          <w:color w:val="111111"/>
          <w:sz w:val="28"/>
          <w:szCs w:val="28"/>
          <w:rtl/>
        </w:rPr>
        <w:t xml:space="preserve">al-as'ila wa-l ajwiba</w:t>
      </w:r>
    </w:p>
    <w:p>
      <w:pPr>
        <w:pStyle w:val="BookText"/>
      </w:pPr>
      <w:r>
        <w:rPr>
          <w:rFonts w:ascii="IRNazanin" w:hAnsi="IRNazanin" w:eastAsia="IRNazanin" w:cs="IRNazanin"/>
          <w:lang w:bidi="fa-IR"/>
          <w:color w:val="111111"/>
          <w:sz w:val="28"/>
          <w:szCs w:val="28"/>
          <w:rtl/>
        </w:rPr>
        <w:t xml:space="preserve">صدرالدین استرآبادی، ق۱۳ قمری</w:t>
      </w:r>
    </w:p>
    <w:p>
      <w:pPr>
        <w:pStyle w:val="BookText"/>
      </w:pPr>
      <w:r>
        <w:rPr>
          <w:rFonts w:ascii="Times New Roman" w:hAnsi="Times New Roman" w:eastAsia="Times New Roman" w:cs="Times New Roman"/>
          <w:lang w:val="en-US" w:bidi="en-US"/>
          <w:color w:val="111111"/>
          <w:sz w:val="28"/>
          <w:szCs w:val="28"/>
          <w:rtl/>
        </w:rPr>
        <w:t xml:space="preserve">(sadr-od-dīn estarābādī (- 19c)</w:t>
      </w:r>
    </w:p>
    <w:p>
      <w:pPr>
        <w:pStyle w:val="BookText"/>
      </w:pPr>
      <w:r>
        <w:rPr>
          <w:rFonts w:ascii="IRNazanin" w:hAnsi="IRNazanin" w:eastAsia="IRNazanin" w:cs="IRNazanin"/>
          <w:lang w:bidi="fa-IR"/>
          <w:color w:val="111111"/>
          <w:sz w:val="28"/>
          <w:szCs w:val="28"/>
          <w:rtl/>
        </w:rPr>
        <w:t xml:space="preserve">تهران؛ دانشگاه؛ شماره نسخه: ۲۱۲۷/۶-ف</w:t>
      </w:r>
    </w:p>
    <w:p>
      <w:pPr>
        <w:pStyle w:val="BookText"/>
      </w:pPr>
      <w:r>
        <w:rPr>
          <w:rFonts w:ascii="IRNazanin" w:hAnsi="IRNazanin" w:eastAsia="IRNazanin" w:cs="IRNazanin"/>
          <w:lang w:bidi="fa-IR"/>
          <w:color w:val="111111"/>
          <w:sz w:val="28"/>
          <w:szCs w:val="28"/>
          <w:rtl/>
        </w:rPr>
        <w:t xml:space="preserve">نسخه  اصل: مدرسه نواب ش ۵۸ [این نسخه در مدرسه نواب  شناخته نشد]؛ بی کا، بی تا،[ فیلم ها -ف: ۱- ۶۴۵]</w:t>
      </w:r>
    </w:p>
    <w:p>
      <w:pPr>
        <w:pStyle w:val="Heading3"/>
      </w:pPr>
      <w:bookmarkStart w:id="900" w:name="_Toc422"/>
      <w:r>
        <w:t>الاسئلة و الاجوبة / كلام و اعتقادات / عربی</w:t>
      </w:r>
      <w:bookmarkEnd w:id="900"/>
    </w:p>
    <w:p>
      <w:pPr>
        <w:pStyle w:val="BookText"/>
      </w:pPr>
      <w:r>
        <w:rPr>
          <w:rFonts w:ascii="Times New Roman" w:hAnsi="Times New Roman" w:eastAsia="Times New Roman" w:cs="Times New Roman"/>
          <w:lang w:val="en-US" w:bidi="en-US"/>
          <w:color w:val="111111"/>
          <w:sz w:val="28"/>
          <w:szCs w:val="28"/>
          <w:rtl/>
        </w:rPr>
        <w:t xml:space="preserve">al-as’ila wa-l ajwiba</w:t>
      </w:r>
    </w:p>
    <w:p>
      <w:pPr>
        <w:pStyle w:val="BookText"/>
      </w:pPr>
      <w:r>
        <w:rPr>
          <w:rFonts w:ascii="IRNazanin" w:hAnsi="IRNazanin" w:eastAsia="IRNazanin" w:cs="IRNazanin"/>
          <w:lang w:bidi="fa-IR"/>
          <w:color w:val="111111"/>
          <w:sz w:val="28"/>
          <w:szCs w:val="28"/>
          <w:rtl/>
        </w:rPr>
        <w:t xml:space="preserve">عبدالجلیل</w:t>
      </w:r>
    </w:p>
    <w:p>
      <w:pPr>
        <w:pStyle w:val="BookText"/>
      </w:pPr>
      <w:r>
        <w:rPr>
          <w:rFonts w:ascii="Times New Roman" w:hAnsi="Times New Roman" w:eastAsia="Times New Roman" w:cs="Times New Roman"/>
          <w:lang w:val="en-US" w:bidi="en-US"/>
          <w:color w:val="111111"/>
          <w:sz w:val="28"/>
          <w:szCs w:val="28"/>
          <w:rtl/>
        </w:rPr>
        <w:t xml:space="preserve">abd-ol-jalil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23" w:name="pg20365_260156"/>
    <w:bookmarkEnd w:id="123"/>
    <w:p>
      <w:pPr>
        <w:pStyle w:val="BookText"/>
      </w:pPr>
      <w:r>
        <w:rPr>
          <w:rFonts w:ascii="IRNazanin" w:hAnsi="IRNazanin" w:eastAsia="IRNazanin" w:cs="IRNazanin"/>
          <w:lang w:bidi="fa-IR"/>
          <w:color w:val="111111"/>
          <w:sz w:val="28"/>
          <w:szCs w:val="28"/>
          <w:rtl/>
        </w:rPr>
        <w:t xml:space="preserve">قزوین؛ امام صادق؛ شماره نسخه: ۴۸۰/۳</w:t>
      </w:r>
    </w:p>
    <w:p>
      <w:pPr>
        <w:pStyle w:val="BookText"/>
      </w:pPr>
      <w:r>
        <w:rPr>
          <w:rFonts w:ascii="IRNazanin" w:hAnsi="IRNazanin" w:eastAsia="IRNazanin" w:cs="IRNazanin"/>
          <w:lang w:bidi="fa-IR"/>
          <w:color w:val="111111"/>
          <w:sz w:val="28"/>
          <w:szCs w:val="28"/>
          <w:rtl/>
        </w:rPr>
        <w:t xml:space="preserve">آغاز: بسمله، سوال سيدنا ومولينا قد اشكل على مسائل متعددة... منها ان تبينوا بالبيان الواضح من الكتاب والسنة على ترتيب السلسلة الثمانية الطوليه... و منها النسبة بلين سيدنا المرحوم وشيخنا اعـلی الله مقامه و كذا النسبة بين الذكر القائم بالامر بعدها بالامر بعدها ... الجواب الله بسم الله البديع الذى لا اله الا هو ... من عبد الله عبدالجليل فاعلم   ايها الواقف على خط القسيم</w:t>
      </w:r>
    </w:p>
    <w:p>
      <w:pPr>
        <w:pStyle w:val="BookText"/>
      </w:pPr>
      <w:r>
        <w:rPr>
          <w:rFonts w:ascii="IRNazanin" w:hAnsi="IRNazanin" w:eastAsia="IRNazanin" w:cs="IRNazanin"/>
          <w:lang w:bidi="fa-IR"/>
          <w:color w:val="111111"/>
          <w:sz w:val="28"/>
          <w:szCs w:val="28"/>
          <w:rtl/>
        </w:rPr>
        <w:t xml:space="preserve">بی  کا، بی تا ،جلد: گالینگور سیاه، ۲گ [ف ۱ - ۳۹۰]</w:t>
      </w:r>
    </w:p>
    <w:p>
      <w:pPr>
        <w:pStyle w:val="Heading3"/>
      </w:pPr>
      <w:bookmarkStart w:id="901" w:name="_Toc423"/>
      <w:r>
        <w:t>الاسئلة والاجوبة / عرفان و تصوف، پاسخ پرسش ها / عربی</w:t>
      </w:r>
      <w:bookmarkEnd w:id="901"/>
    </w:p>
    <w:p>
      <w:pPr>
        <w:pStyle w:val="BookText"/>
      </w:pPr>
      <w:r>
        <w:rPr>
          <w:rFonts w:ascii="Times New Roman" w:hAnsi="Times New Roman" w:eastAsia="Times New Roman" w:cs="Times New Roman"/>
          <w:lang w:val="en-US" w:bidi="en-US"/>
          <w:color w:val="111111"/>
          <w:sz w:val="28"/>
          <w:szCs w:val="28"/>
          <w:rtl/>
        </w:rPr>
        <w:t xml:space="preserve">al-as’ila wa-l ajwiba</w:t>
      </w:r>
    </w:p>
    <w:p>
      <w:pPr>
        <w:pStyle w:val="BookText"/>
      </w:pPr>
      <w:r>
        <w:rPr>
          <w:rFonts w:ascii="IRNazanin" w:hAnsi="IRNazanin" w:eastAsia="IRNazanin" w:cs="IRNazanin"/>
          <w:lang w:bidi="fa-IR"/>
          <w:color w:val="111111"/>
          <w:sz w:val="28"/>
          <w:szCs w:val="28"/>
          <w:rtl/>
        </w:rPr>
        <w:t xml:space="preserve">تهران؛ دانشگاه؛ شماره نسخه ۱۹۵/۴۰-ف</w:t>
      </w:r>
    </w:p>
    <w:p>
      <w:pPr>
        <w:pStyle w:val="BookText"/>
      </w:pPr>
      <w:r>
        <w:rPr>
          <w:rFonts w:ascii="IRNazanin" w:hAnsi="IRNazanin" w:eastAsia="IRNazanin" w:cs="IRNazanin"/>
          <w:lang w:bidi="fa-IR"/>
          <w:color w:val="111111"/>
          <w:sz w:val="28"/>
          <w:szCs w:val="28"/>
          <w:rtl/>
        </w:rPr>
        <w:t xml:space="preserve">نسخه  اصل: حمیدیه ش ۱۴۴۷ ؛پاسخ و پرسش عرفانی؛ بی کا با تاریخ ۷۵۰ تا ۸۱۱ق [ فیلم ها -ف: ۱ - ۴۲۴]</w:t>
      </w:r>
    </w:p>
    <w:p>
      <w:pPr>
        <w:pStyle w:val="Heading3"/>
      </w:pPr>
      <w:bookmarkStart w:id="902" w:name="_Toc424"/>
      <w:r>
        <w:t>الاسئلة و الاجوبة / فقه، پاسخ پرسشها / عربیکا</w:t>
      </w:r>
      <w:bookmarkEnd w:id="902"/>
    </w:p>
    <w:p>
      <w:pPr>
        <w:pStyle w:val="BookText"/>
      </w:pPr>
      <w:r>
        <w:rPr>
          <w:rFonts w:ascii="Times New Roman" w:hAnsi="Times New Roman" w:eastAsia="Times New Roman" w:cs="Times New Roman"/>
          <w:lang w:val="en-US" w:bidi="en-US"/>
          <w:color w:val="111111"/>
          <w:sz w:val="28"/>
          <w:szCs w:val="28"/>
          <w:rtl/>
        </w:rPr>
        <w:t xml:space="preserve">as'ila wa-l ajwiba</w:t>
      </w:r>
    </w:p>
    <w:p>
      <w:pPr>
        <w:pStyle w:val="BookText"/>
      </w:pPr>
      <w:r>
        <w:rPr>
          <w:rFonts w:ascii="IRNazanin" w:hAnsi="IRNazanin" w:eastAsia="IRNazanin" w:cs="IRNazanin"/>
          <w:lang w:bidi="fa-IR"/>
          <w:color w:val="111111"/>
          <w:sz w:val="28"/>
          <w:szCs w:val="28"/>
          <w:rtl/>
        </w:rPr>
        <w:t xml:space="preserve">در این رساله پرسش کننده ای که نام او از متن به دست نیامد از« مولانا ادام الله تعالی برکته» مسائلی چند از پارچه حریر و زیبق  و</w:t>
      </w:r>
    </w:p>
    <w:p>
      <w:pPr>
        <w:pStyle w:val="BookText"/>
      </w:pPr>
      <w:r>
        <w:rPr>
          <w:rFonts w:ascii="IRNazanin" w:hAnsi="IRNazanin" w:eastAsia="IRNazanin" w:cs="IRNazanin"/>
          <w:lang w:bidi="fa-IR"/>
          <w:color w:val="111111"/>
          <w:sz w:val="28"/>
          <w:szCs w:val="28"/>
          <w:rtl/>
        </w:rPr>
        <w:t xml:space="preserve">شراب و امثال آن می پرسد و استاد  به او جواب می دهد.</w:t>
      </w:r>
    </w:p>
    <w:p>
      <w:pPr>
        <w:pStyle w:val="BookText"/>
      </w:pPr>
      <w:r>
        <w:rPr>
          <w:rFonts w:ascii="IRNazanin" w:hAnsi="IRNazanin" w:eastAsia="IRNazanin" w:cs="IRNazanin"/>
          <w:lang w:bidi="fa-IR"/>
          <w:color w:val="111111"/>
          <w:sz w:val="28"/>
          <w:szCs w:val="28"/>
          <w:rtl/>
        </w:rPr>
        <w:t xml:space="preserve">تهران: ملی؛ شماره نسخه: ۱۲۶۲/۵</w:t>
      </w:r>
    </w:p>
    <w:p>
      <w:pPr>
        <w:pStyle w:val="BookText"/>
      </w:pPr>
      <w:r>
        <w:rPr>
          <w:rFonts w:ascii="Amiri" w:hAnsi="Amiri" w:eastAsia="Amiri" w:cs="Amiri"/>
          <w:lang w:bidi="ar-SA"/>
          <w:color w:val="111111"/>
          <w:sz w:val="28"/>
          <w:szCs w:val="28"/>
          <w:rtl/>
        </w:rPr>
        <w:t xml:space="preserve">آغاز: بسمله، مسائله ما يقول سيدنا و مولانا ادام الله تعالى بركـته ؛انجام: فى الاعضاء الحمد لله على الاتمام و للرسول افضل السلام</w:t>
      </w:r>
    </w:p>
    <w:p>
      <w:pPr>
        <w:pStyle w:val="BookText"/>
      </w:pPr>
      <w:r>
        <w:rPr>
          <w:rFonts w:ascii="IRNazanin" w:hAnsi="IRNazanin" w:eastAsia="IRNazanin" w:cs="IRNazanin"/>
          <w:lang w:bidi="fa-IR"/>
          <w:color w:val="111111"/>
          <w:sz w:val="28"/>
          <w:szCs w:val="28"/>
          <w:rtl/>
        </w:rPr>
        <w:t xml:space="preserve">خط: نسخ، بی کا، تا: محتملاً قرن ۱۱ ؛کاغذ :فرنگی ،جلد: تیماج تریاکی روشن یک لا،۵۱ ص (135- 185)، ۲۰ سطر (13</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۹ - ۲۵۳]</w:t>
      </w:r>
    </w:p>
    <w:p>
      <w:pPr>
        <w:pStyle w:val="Heading3"/>
      </w:pPr>
      <w:bookmarkStart w:id="903" w:name="_Toc425"/>
      <w:r>
        <w:t>الاسئلة و الاجوبة / فلسفه، پاسخ پرسشها / عربی</w:t>
      </w:r>
      <w:bookmarkEnd w:id="903"/>
    </w:p>
    <w:p>
      <w:pPr>
        <w:pStyle w:val="BookText"/>
      </w:pPr>
      <w:r>
        <w:rPr>
          <w:rFonts w:ascii="Times New Roman" w:hAnsi="Times New Roman" w:eastAsia="Times New Roman" w:cs="Times New Roman"/>
          <w:lang w:val="en-US" w:bidi="en-US"/>
          <w:color w:val="111111"/>
          <w:sz w:val="28"/>
          <w:szCs w:val="28"/>
          <w:rtl/>
        </w:rPr>
        <w:t xml:space="preserve">al-as’ila wa-l ajwiba</w:t>
      </w:r>
    </w:p>
    <w:p>
      <w:pPr>
        <w:pStyle w:val="BookText"/>
      </w:pPr>
      <w:r>
        <w:rPr>
          <w:rFonts w:ascii="IRNazanin" w:hAnsi="IRNazanin" w:eastAsia="IRNazanin" w:cs="IRNazanin"/>
          <w:lang w:bidi="fa-IR"/>
          <w:color w:val="111111"/>
          <w:sz w:val="28"/>
          <w:szCs w:val="28"/>
          <w:rtl/>
        </w:rPr>
        <w:t xml:space="preserve">رساله ای در اسئله و اجوبه حکمی در الهیات.</w:t>
      </w:r>
    </w:p>
    <w:p>
      <w:pPr>
        <w:pStyle w:val="BookText"/>
      </w:pPr>
      <w:r>
        <w:rPr>
          <w:rFonts w:ascii="IRNazanin" w:hAnsi="IRNazanin" w:eastAsia="IRNazanin" w:cs="IRNazanin"/>
          <w:lang w:bidi="fa-IR"/>
          <w:color w:val="111111"/>
          <w:sz w:val="28"/>
          <w:szCs w:val="28"/>
          <w:rtl/>
        </w:rPr>
        <w:t xml:space="preserve">تهران؛ دانشگاه؛ شماره نسخه: ۱۰۳۰/۲۵-ف</w:t>
      </w:r>
    </w:p>
    <w:p>
      <w:pPr>
        <w:pStyle w:val="BookText"/>
      </w:pPr>
      <w:r>
        <w:rPr>
          <w:rFonts w:ascii="IRNazanin" w:hAnsi="IRNazanin" w:eastAsia="IRNazanin" w:cs="IRNazanin"/>
          <w:lang w:bidi="fa-IR"/>
          <w:color w:val="111111"/>
          <w:sz w:val="28"/>
          <w:szCs w:val="28"/>
          <w:rtl/>
        </w:rPr>
        <w:t xml:space="preserve">نسخه اصل: بادلیان ش ۹۵ اوزلی (۱۴۲۲)؛ بی کا، تا: 1042ق؛ [ فیلم ها-ف: ۱ - ۵۵۸]</w:t>
      </w:r>
    </w:p>
    <w:p>
      <w:pPr>
        <w:pStyle w:val="Heading3"/>
      </w:pPr>
      <w:bookmarkStart w:id="904" w:name="_Toc426"/>
      <w:r>
        <w:t>الاسئلة و الاجوبة / پاسخ پرسش ها / عربی</w:t>
      </w:r>
      <w:bookmarkEnd w:id="904"/>
    </w:p>
    <w:p>
      <w:pPr>
        <w:pStyle w:val="BookText"/>
      </w:pPr>
      <w:r>
        <w:rPr>
          <w:rFonts w:ascii="Times New Roman" w:hAnsi="Times New Roman" w:eastAsia="Times New Roman" w:cs="Times New Roman"/>
          <w:lang w:val="en-US" w:bidi="en-US"/>
          <w:color w:val="111111"/>
          <w:sz w:val="28"/>
          <w:szCs w:val="28"/>
          <w:rtl/>
        </w:rPr>
        <w:t xml:space="preserve">al-as’ila wa-l ajwiba</w:t>
      </w:r>
    </w:p>
    <w:p>
      <w:pPr>
        <w:pStyle w:val="BookText"/>
      </w:pPr>
      <w:r>
        <w:rPr>
          <w:rFonts w:ascii="Amiri" w:hAnsi="Amiri" w:eastAsia="Amiri" w:cs="Amiri"/>
          <w:lang w:bidi="ar-SA"/>
          <w:color w:val="111111"/>
          <w:sz w:val="28"/>
          <w:szCs w:val="28"/>
          <w:rtl/>
        </w:rPr>
        <w:t xml:space="preserve">الاسئلة و الاجوبة المهدية و العلامية</w:t>
      </w:r>
    </w:p>
    <w:p>
      <w:pPr>
        <w:pStyle w:val="BookText"/>
      </w:pPr>
      <w:r>
        <w:rPr>
          <w:rFonts w:ascii="IRNazanin" w:hAnsi="IRNazanin" w:eastAsia="IRNazanin" w:cs="IRNazanin"/>
          <w:lang w:bidi="fa-IR"/>
          <w:color w:val="111111"/>
          <w:sz w:val="28"/>
          <w:szCs w:val="28"/>
          <w:rtl/>
        </w:rPr>
        <w:t xml:space="preserve">تهران؛ دانشگاه؛ شماره نسخه: ۱۰۳۹/۲۳-ف</w:t>
      </w:r>
    </w:p>
    <w:p>
      <w:pPr>
        <w:pStyle w:val="BookText"/>
      </w:pPr>
      <w:r>
        <w:rPr>
          <w:rFonts w:ascii="IRNazanin" w:hAnsi="IRNazanin" w:eastAsia="IRNazanin" w:cs="IRNazanin"/>
          <w:lang w:bidi="fa-IR"/>
          <w:color w:val="111111"/>
          <w:sz w:val="28"/>
          <w:szCs w:val="28"/>
          <w:rtl/>
        </w:rPr>
        <w:t xml:space="preserve">نسخه :اصل بادلیان 20.</w:t>
      </w:r>
      <w:r>
        <w:rPr>
          <w:rFonts w:ascii="Times New Roman" w:hAnsi="Times New Roman" w:eastAsia="Times New Roman" w:cs="Times New Roman"/>
          <w:lang w:val="en-US" w:bidi="en-US"/>
          <w:color w:val="111111"/>
          <w:sz w:val="28"/>
          <w:szCs w:val="28"/>
          <w:rtl/>
        </w:rPr>
        <w:t xml:space="preserve">Ind inst. Arahb M. S </w:t>
      </w:r>
      <w:r>
        <w:rPr>
          <w:rFonts w:ascii="IRNazanin" w:hAnsi="IRNazanin" w:eastAsia="IRNazanin" w:cs="IRNazanin"/>
          <w:lang w:bidi="fa-IR"/>
          <w:color w:val="111111"/>
          <w:sz w:val="28"/>
          <w:szCs w:val="28"/>
          <w:rtl/>
        </w:rPr>
        <w:t xml:space="preserve">خط نستعلـیق،  کا: میر علی نقی بن نورالدین محمد  گیلانی، تا:ربیع الثانی ۱۰۸۵ق؛ ۲۳ سطر چلیپا [ فیلم ها-ف: ۱ – ۵۶۱]</w:t>
      </w:r>
    </w:p>
    <w:p>
      <w:pPr>
        <w:pStyle w:val="Heading3"/>
      </w:pPr>
      <w:bookmarkStart w:id="905" w:name="_Toc427"/>
      <w:r>
        <w:t>اسئلة و اجوبة / فلسفه / عربی</w:t>
      </w:r>
      <w:bookmarkEnd w:id="905"/>
    </w:p>
    <w:p>
      <w:pPr>
        <w:pStyle w:val="BookText"/>
      </w:pPr>
      <w:r>
        <w:rPr>
          <w:rFonts w:ascii="Times New Roman" w:hAnsi="Times New Roman" w:eastAsia="Times New Roman" w:cs="Times New Roman"/>
          <w:lang w:val="en-US" w:bidi="en-US"/>
          <w:color w:val="111111"/>
          <w:sz w:val="28"/>
          <w:szCs w:val="28"/>
          <w:rtl/>
        </w:rPr>
        <w:t xml:space="preserve">as’ila wa ajwiba</w:t>
      </w:r>
    </w:p>
    <w:p>
      <w:pPr>
        <w:pStyle w:val="BookText"/>
      </w:pPr>
      <w:r>
        <w:rPr>
          <w:rFonts w:ascii="IRNazanin" w:hAnsi="IRNazanin" w:eastAsia="IRNazanin" w:cs="IRNazanin"/>
          <w:lang w:bidi="fa-IR"/>
          <w:color w:val="111111"/>
          <w:sz w:val="28"/>
          <w:szCs w:val="28"/>
          <w:rtl/>
        </w:rPr>
        <w:t xml:space="preserve">مشهد؛ رضوی؛ شماره نسخه: ۲۲۵۳۲</w:t>
      </w:r>
    </w:p>
    <w:p>
      <w:pPr>
        <w:pStyle w:val="BookText"/>
      </w:pPr>
      <w:r>
        <w:rPr>
          <w:rFonts w:ascii="Amiri" w:hAnsi="Amiri" w:eastAsia="Amiri" w:cs="Amiri"/>
          <w:lang w:bidi="ar-SA"/>
          <w:color w:val="111111"/>
          <w:sz w:val="28"/>
          <w:szCs w:val="28"/>
          <w:rtl/>
        </w:rPr>
        <w:t xml:space="preserve">آغاز: بسمله روى فى كتاب التوحيد ان الصادق عليه السلام؛</w:t>
      </w:r>
    </w:p>
    <w:p>
      <w:pPr>
        <w:pStyle w:val="BookText"/>
      </w:pPr>
      <w:r>
        <w:rPr>
          <w:rFonts w:ascii="IRNazanin" w:hAnsi="IRNazanin" w:eastAsia="IRNazanin" w:cs="IRNazanin"/>
          <w:lang w:bidi="fa-IR"/>
          <w:color w:val="111111"/>
          <w:sz w:val="28"/>
          <w:szCs w:val="28"/>
          <w:rtl/>
        </w:rPr>
        <w:t xml:space="preserve">انجام :من جلد صفر النفس من الاسفار الاربعه</w:t>
      </w:r>
    </w:p>
    <w:p>
      <w:pPr>
        <w:pStyle w:val="BookText"/>
      </w:pPr>
      <w:r>
        <w:rPr>
          <w:rFonts w:ascii="IRNazanin" w:hAnsi="IRNazanin" w:eastAsia="IRNazanin" w:cs="IRNazanin"/>
          <w:lang w:bidi="fa-IR"/>
          <w:color w:val="111111"/>
          <w:sz w:val="28"/>
          <w:szCs w:val="28"/>
          <w:rtl/>
        </w:rPr>
        <w:t xml:space="preserve">خط: نستعلیق، بی کا، تا: ۱۲۶۳ق [رایانه ]</w:t>
      </w:r>
    </w:p>
    <w:p>
      <w:pPr>
        <w:pStyle w:val="Heading3"/>
      </w:pPr>
      <w:bookmarkStart w:id="906" w:name="_Toc428"/>
      <w:r>
        <w:t>الاسئلة و الاجوبة / پاسخ پرسش ها / عربی</w:t>
      </w:r>
      <w:bookmarkEnd w:id="906"/>
    </w:p>
    <w:p>
      <w:pPr>
        <w:pStyle w:val="BookText"/>
      </w:pPr>
      <w:r>
        <w:rPr>
          <w:rFonts w:ascii="Times New Roman" w:hAnsi="Times New Roman" w:eastAsia="Times New Roman" w:cs="Times New Roman"/>
          <w:lang w:val="en-US" w:bidi="en-US"/>
          <w:color w:val="111111"/>
          <w:sz w:val="28"/>
          <w:szCs w:val="28"/>
          <w:rtl/>
        </w:rPr>
        <w:t xml:space="preserve">al-as'ila wa-l ajwiba</w:t>
      </w:r>
    </w:p>
    <w:p>
      <w:pPr>
        <w:pStyle w:val="BookText"/>
      </w:pPr>
      <w:r>
        <w:rPr>
          <w:rFonts w:ascii="IRNazanin" w:hAnsi="IRNazanin" w:eastAsia="IRNazanin" w:cs="IRNazanin"/>
          <w:lang w:bidi="fa-IR"/>
          <w:color w:val="111111"/>
          <w:sz w:val="28"/>
          <w:szCs w:val="28"/>
          <w:rtl/>
        </w:rPr>
        <w:t xml:space="preserve">در این رساله این سؤالات مطرح شده است: ۱. ان المومن خلق من عليين و الكافر من سجين؛ ان المصلى حين يقول اياك نعبد و ایاک نستعين كيف يقصد المخاطب بخطابه و اى معنى يعتقد قبله عليه هل يقصد الغير المدركة بصفة من صفاته الجمالية و لا الجلالية ام يقصد شيئا آخر؛ ۲ مشيت ؛3.«شجره طیبه» در آیه شجره مباركة زيتونية .۴ .التسعه المفيدة فى الارض و العشرة الجبال؛ ۵. معنى «دحو الارض من تحت الکعبه»؛ ۶ .صورتی که در آیینه می آید چگونه است. نام جواب دهنده معلوم نشد.</w:t>
      </w:r>
    </w:p>
    <w:p>
      <w:pPr>
        <w:pStyle w:val="BookText"/>
      </w:pPr>
      <w:r>
        <w:rPr>
          <w:rFonts w:ascii="IRNazanin" w:hAnsi="IRNazanin" w:eastAsia="IRNazanin" w:cs="IRNazanin"/>
          <w:lang w:bidi="fa-IR"/>
          <w:color w:val="111111"/>
          <w:sz w:val="28"/>
          <w:szCs w:val="28"/>
          <w:rtl/>
        </w:rPr>
        <w:t xml:space="preserve">تهران؛ ملی؛ شماره نسخه: ۲۸۷۳/۵</w:t>
      </w:r>
    </w:p>
    <w:p>
      <w:pPr>
        <w:pStyle w:val="BookText"/>
      </w:pPr>
      <w:r>
        <w:rPr>
          <w:rFonts w:ascii="IRNazanin" w:hAnsi="IRNazanin" w:eastAsia="IRNazanin" w:cs="IRNazanin"/>
          <w:lang w:bidi="fa-IR"/>
          <w:color w:val="111111"/>
          <w:sz w:val="28"/>
          <w:szCs w:val="28"/>
          <w:rtl/>
        </w:rPr>
        <w:t xml:space="preserve">آغاز: قال سلمه الله تعالى، سوال: المعروف من الاخبار و من کلمات امناء الابرار؛ انجام: و هذا هو الذى يدل عليه الدليل النقلى و العقلى</w:t>
      </w:r>
    </w:p>
    <w:p>
      <w:pPr>
        <w:pStyle w:val="BookText"/>
      </w:pPr>
      <w:r>
        <w:rPr>
          <w:rFonts w:ascii="IRNazanin" w:hAnsi="IRNazanin" w:eastAsia="IRNazanin" w:cs="IRNazanin"/>
          <w:lang w:bidi="fa-IR"/>
          <w:color w:val="111111"/>
          <w:sz w:val="28"/>
          <w:szCs w:val="28"/>
          <w:rtl/>
        </w:rPr>
        <w:t xml:space="preserve">خط: نستعلیق، بی کا ،تا: قرن ۱۳ ؛جلد: مقوایی، تمام میشن تریاکی، ۱۴ص (۱۴۳-۱۵۶)،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۶ - ۵۴۱]</w:t>
      </w:r>
    </w:p>
    <w:p>
      <w:pPr>
        <w:pStyle w:val="Heading3"/>
      </w:pPr>
      <w:bookmarkStart w:id="907" w:name="_Toc429"/>
      <w:r>
        <w:t>الاسئلة والاجوبة / كلام و اعتقادات، پاسخ پرسشها / عربی</w:t>
      </w:r>
      <w:bookmarkEnd w:id="907"/>
    </w:p>
    <w:p>
      <w:pPr>
        <w:pStyle w:val="BookText"/>
      </w:pPr>
      <w:r>
        <w:rPr>
          <w:rFonts w:ascii="Times New Roman" w:hAnsi="Times New Roman" w:eastAsia="Times New Roman" w:cs="Times New Roman"/>
          <w:lang w:val="en-US" w:bidi="en-US"/>
          <w:color w:val="111111"/>
          <w:sz w:val="28"/>
          <w:szCs w:val="28"/>
          <w:rtl/>
        </w:rPr>
        <w:t xml:space="preserve">al-as'ila wa-l ajwiba</w:t>
      </w:r>
    </w:p>
    <w:p>
      <w:pPr>
        <w:pStyle w:val="BookText"/>
      </w:pPr>
      <w:r>
        <w:rPr>
          <w:rFonts w:ascii="IRNazanin" w:hAnsi="IRNazanin" w:eastAsia="IRNazanin" w:cs="IRNazanin"/>
          <w:lang w:bidi="fa-IR"/>
          <w:color w:val="111111"/>
          <w:sz w:val="28"/>
          <w:szCs w:val="28"/>
          <w:rtl/>
        </w:rPr>
        <w:t xml:space="preserve">در مسائل مختلفه در اعتقادات از تقریرات میرزا محمد باقر شیرازی اصطهباناتی است.</w:t>
      </w:r>
    </w:p>
    <w:p>
      <w:pPr>
        <w:pStyle w:val="BookText"/>
      </w:pPr>
      <w:r>
        <w:rPr>
          <w:rFonts w:ascii="IRNazanin" w:hAnsi="IRNazanin" w:eastAsia="IRNazanin" w:cs="IRNazanin"/>
          <w:lang w:bidi="fa-IR"/>
          <w:color w:val="111111"/>
          <w:sz w:val="28"/>
          <w:szCs w:val="28"/>
          <w:rtl/>
        </w:rPr>
        <w:t xml:space="preserve">تهران؛ مجلس؛ شماره نسخه: ۴۳۷۳/۱</w:t>
      </w:r>
    </w:p>
    <w:p>
      <w:pPr>
        <w:pStyle w:val="BookText"/>
      </w:pPr>
      <w:r>
        <w:rPr>
          <w:rFonts w:ascii="Amiri" w:hAnsi="Amiri" w:eastAsia="Amiri" w:cs="Amiri"/>
          <w:lang w:bidi="ar-SA"/>
          <w:color w:val="111111"/>
          <w:sz w:val="28"/>
          <w:szCs w:val="28"/>
          <w:rtl/>
        </w:rPr>
        <w:t xml:space="preserve">آغاز: سوال. ان كان تقليد الاعلم واجبا في تكليف المقلدين فانه شكل ذلك على الخواص؛ انجام: بالقيام الصدورى لانه ظلمهم فاذا خلق الانسان ظهر ان اى واحد منهم احسن و اكمل.</w:t>
      </w:r>
    </w:p>
    <w:p>
      <w:pPr>
        <w:pStyle w:val="BookText"/>
      </w:pPr>
      <w:r>
        <w:rPr>
          <w:rFonts w:ascii="IRNazanin" w:hAnsi="IRNazanin" w:eastAsia="IRNazanin" w:cs="IRNazanin"/>
          <w:lang w:bidi="fa-IR"/>
          <w:color w:val="111111"/>
          <w:sz w:val="28"/>
          <w:szCs w:val="28"/>
          <w:rtl/>
        </w:rPr>
        <w:t xml:space="preserve">خط: نستعلیق، کا: سید حسن موسوی طباطبائی مازندرانی،تا: قرن  ۱۳ ،کاغذ ،فرنگی ،جلد: ابری  مقوایی، ۲گ (1- 2ر)، ۱۹ سطر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اندازه: ۱۸/۵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۲۴/۵سم [ف: ۱۲ – ۸۱]</w:t>
      </w:r>
    </w:p>
    <w:p>
      <w:pPr>
        <w:pStyle w:val="Heading3"/>
      </w:pPr>
      <w:bookmarkStart w:id="908" w:name="_Toc430"/>
      <w:r>
        <w:t>الاسئلة و الاجوبة / فقه / عربي</w:t>
      </w:r>
      <w:bookmarkEnd w:id="908"/>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24" w:name="pg20365_260157"/>
    <w:bookmarkEnd w:id="124"/>
    <w:p>
      <w:pPr>
        <w:pStyle w:val="BookText"/>
      </w:pPr>
      <w:r>
        <w:rPr>
          <w:rFonts w:ascii="Times New Roman" w:hAnsi="Times New Roman" w:eastAsia="Times New Roman" w:cs="Times New Roman"/>
          <w:lang w:val="en-US" w:bidi="en-US"/>
          <w:color w:val="111111"/>
          <w:sz w:val="28"/>
          <w:szCs w:val="28"/>
          <w:rtl/>
        </w:rPr>
        <w:t xml:space="preserve">al-as’ila wa-l ajwiba</w:t>
      </w:r>
    </w:p>
    <w:p>
      <w:pPr>
        <w:pStyle w:val="BookText"/>
      </w:pPr>
      <w:r>
        <w:rPr>
          <w:rFonts w:ascii="IRNazanin" w:hAnsi="IRNazanin" w:eastAsia="IRNazanin" w:cs="IRNazanin"/>
          <w:lang w:bidi="fa-IR"/>
          <w:color w:val="111111"/>
          <w:sz w:val="28"/>
          <w:szCs w:val="28"/>
          <w:rtl/>
        </w:rPr>
        <w:t xml:space="preserve">تهران؛ مجلس؛ شماره نسخه: ۱۶۹۷۹/۴</w:t>
      </w:r>
    </w:p>
    <w:p>
      <w:pPr>
        <w:pStyle w:val="BookText"/>
      </w:pPr>
      <w:r>
        <w:rPr>
          <w:rFonts w:ascii="IRNazanin" w:hAnsi="IRNazanin" w:eastAsia="IRNazanin" w:cs="IRNazanin"/>
          <w:lang w:bidi="fa-IR"/>
          <w:color w:val="111111"/>
          <w:sz w:val="28"/>
          <w:szCs w:val="28"/>
          <w:rtl/>
        </w:rPr>
        <w:t xml:space="preserve">آغاز: بسمله. الحمد الله بارئ الانام ذى الطول والانعام احمده علی نعمه العظام والشكره ... اما بعد ان التصنيف في الدين من شرائف الطائات؛ انجام: كذا ذكره الامام العالم الربانى المشهور بالفرقـانی في كتابه المسمى بانوار البروق شرح فرائض للشيرازي. تمت.</w:t>
      </w:r>
    </w:p>
    <w:p>
      <w:pPr>
        <w:pStyle w:val="BookText"/>
      </w:pPr>
      <w:r>
        <w:rPr>
          <w:rFonts w:ascii="IRNazanin" w:hAnsi="IRNazanin" w:eastAsia="IRNazanin" w:cs="IRNazanin"/>
          <w:lang w:bidi="fa-IR"/>
          <w:color w:val="111111"/>
          <w:sz w:val="28"/>
          <w:szCs w:val="28"/>
          <w:rtl/>
        </w:rPr>
        <w:t xml:space="preserve">خط: نسخ، بی کا، بی تا، جلد: چرم قهوه ای، ۳۷ ص (268- 304)19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۲۸سم [ف: ۴۷ -]</w:t>
      </w:r>
    </w:p>
    <w:p>
      <w:pPr>
        <w:pStyle w:val="Heading3"/>
      </w:pPr>
      <w:bookmarkStart w:id="909" w:name="_Toc431"/>
      <w:r>
        <w:t>الاسئلة و الاجوبة / كلام و اعتقادات / عربی و فارسی</w:t>
      </w:r>
      <w:bookmarkEnd w:id="909"/>
    </w:p>
    <w:p>
      <w:pPr>
        <w:pStyle w:val="BookText"/>
      </w:pPr>
      <w:r>
        <w:rPr>
          <w:rFonts w:ascii="Times New Roman" w:hAnsi="Times New Roman" w:eastAsia="Times New Roman" w:cs="Times New Roman"/>
          <w:lang w:val="en-US" w:bidi="en-US"/>
          <w:color w:val="111111"/>
          <w:sz w:val="28"/>
          <w:szCs w:val="28"/>
          <w:rtl/>
        </w:rPr>
        <w:t xml:space="preserve">al-as’ila wa-l ajwiba</w:t>
      </w:r>
    </w:p>
    <w:p>
      <w:pPr>
        <w:pStyle w:val="BookText"/>
      </w:pPr>
      <w:r>
        <w:rPr>
          <w:rFonts w:ascii="IRNazanin" w:hAnsi="IRNazanin" w:eastAsia="IRNazanin" w:cs="IRNazanin"/>
          <w:lang w:bidi="fa-IR"/>
          <w:color w:val="111111"/>
          <w:sz w:val="28"/>
          <w:szCs w:val="28"/>
          <w:rtl/>
        </w:rPr>
        <w:t xml:space="preserve">پرسش هایی است از جمله: سؤال از «و ما كانت لاحد فيها مقرا لا مقاما» از دعای کمیل؛ سؤال از آيه «و لاتومنو الا لمن تبع دينكم» سؤال از معنی دار الاسلام؛ سؤال از «رد الشمس» واز آیه «لا تنكحوا ما نكح آباؤكم من النساء» و پاسخ آنها.</w:t>
      </w:r>
    </w:p>
    <w:p>
      <w:pPr>
        <w:pStyle w:val="BookText"/>
      </w:pPr>
      <w:r>
        <w:rPr>
          <w:rFonts w:ascii="IRNazanin" w:hAnsi="IRNazanin" w:eastAsia="IRNazanin" w:cs="IRNazanin"/>
          <w:lang w:bidi="fa-IR"/>
          <w:color w:val="111111"/>
          <w:sz w:val="28"/>
          <w:szCs w:val="28"/>
          <w:rtl/>
        </w:rPr>
        <w:t xml:space="preserve">مشهد؛ نواب؛ شماره نسخه: ۳۳۲/۶</w:t>
      </w:r>
    </w:p>
    <w:p>
      <w:pPr>
        <w:pStyle w:val="BookText"/>
      </w:pPr>
      <w:r>
        <w:rPr>
          <w:rFonts w:ascii="IRNazanin" w:hAnsi="IRNazanin" w:eastAsia="IRNazanin" w:cs="IRNazanin"/>
          <w:lang w:bidi="fa-IR"/>
          <w:color w:val="111111"/>
          <w:sz w:val="28"/>
          <w:szCs w:val="28"/>
          <w:rtl/>
        </w:rPr>
        <w:t xml:space="preserve">آغاز: سؤال فى دعاء کمیل؛ انجام: اذا لا تفرق العجم  بین المذكر والمونث فى هذا المقام من مقامع.</w:t>
      </w:r>
    </w:p>
    <w:p>
      <w:pPr>
        <w:pStyle w:val="BookText"/>
      </w:pPr>
      <w:r>
        <w:rPr>
          <w:rFonts w:ascii="IRNazanin" w:hAnsi="IRNazanin" w:eastAsia="IRNazanin" w:cs="IRNazanin"/>
          <w:lang w:bidi="fa-IR"/>
          <w:color w:val="111111"/>
          <w:sz w:val="28"/>
          <w:szCs w:val="28"/>
          <w:rtl/>
        </w:rPr>
        <w:t xml:space="preserve">خط: نستعلیق، کا: عبدالحمید خویی چوریسی کتابفروش، تا: ربیع الاول ۱۲۳۲ق؛ جا: اصفهان، مدرسه مبارکیه ؛کاغذ: آهار مهـره ،جلد: مقوا عطف مشمع سرخ، ۶ص، ۱۸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۲۸۱]</w:t>
      </w:r>
    </w:p>
    <w:p>
      <w:pPr>
        <w:pStyle w:val="Heading3"/>
      </w:pPr>
      <w:bookmarkStart w:id="910" w:name="_Toc432"/>
      <w:r>
        <w:t>الاسئلة و الاجوبة / پاسخ پرسش ها / فارسی</w:t>
      </w:r>
      <w:bookmarkEnd w:id="910"/>
    </w:p>
    <w:p>
      <w:pPr>
        <w:pStyle w:val="BookText"/>
      </w:pPr>
      <w:r>
        <w:rPr>
          <w:rFonts w:ascii="Times New Roman" w:hAnsi="Times New Roman" w:eastAsia="Times New Roman" w:cs="Times New Roman"/>
          <w:lang w:val="en-US" w:bidi="en-US"/>
          <w:color w:val="111111"/>
          <w:sz w:val="28"/>
          <w:szCs w:val="28"/>
          <w:rtl/>
        </w:rPr>
        <w:t xml:space="preserve">al-as’ila wa-l ajwiba</w:t>
      </w:r>
    </w:p>
    <w:p>
      <w:pPr>
        <w:pStyle w:val="BookText"/>
      </w:pPr>
      <w:r>
        <w:rPr>
          <w:rFonts w:ascii="IRNazanin" w:hAnsi="IRNazanin" w:eastAsia="IRNazanin" w:cs="IRNazanin"/>
          <w:lang w:bidi="fa-IR"/>
          <w:color w:val="111111"/>
          <w:sz w:val="28"/>
          <w:szCs w:val="28"/>
          <w:rtl/>
        </w:rPr>
        <w:t xml:space="preserve">تهران؛ دانشگاه؛ شماره نسخه: ۴۶۲/۴۰(آ)-۴۶۳/۴۰(ب)-ف</w:t>
      </w:r>
    </w:p>
    <w:p>
      <w:pPr>
        <w:pStyle w:val="BookText"/>
      </w:pPr>
      <w:r>
        <w:rPr>
          <w:rFonts w:ascii="IRNazanin" w:hAnsi="IRNazanin" w:eastAsia="IRNazanin" w:cs="IRNazanin"/>
          <w:lang w:bidi="fa-IR"/>
          <w:color w:val="111111"/>
          <w:sz w:val="28"/>
          <w:szCs w:val="28"/>
          <w:rtl/>
        </w:rPr>
        <w:t xml:space="preserve">نسخه  اصل: کوپرولوش ،۱۵۸۹ بی کا، تا: با تاریخ ۷۵۴ق؛ ۱  گ (۴۲۴ ر) [فیلم ها-ف: ۱ - ۴۸۲]</w:t>
      </w:r>
    </w:p>
    <w:p>
      <w:pPr>
        <w:pStyle w:val="Heading3"/>
      </w:pPr>
      <w:bookmarkStart w:id="911" w:name="_Toc433"/>
      <w:r>
        <w:t>الاسئلة و الاجوبة / پاسخ پرسشها / فارسی</w:t>
      </w:r>
      <w:bookmarkEnd w:id="911"/>
    </w:p>
    <w:p>
      <w:pPr>
        <w:pStyle w:val="BookText"/>
      </w:pPr>
      <w:r>
        <w:rPr>
          <w:rFonts w:ascii="Times New Roman" w:hAnsi="Times New Roman" w:eastAsia="Times New Roman" w:cs="Times New Roman"/>
          <w:lang w:val="en-US" w:bidi="en-US"/>
          <w:color w:val="111111"/>
          <w:sz w:val="28"/>
          <w:szCs w:val="28"/>
          <w:rtl/>
        </w:rPr>
        <w:t xml:space="preserve">al-as’ela va-l ajveba</w:t>
      </w:r>
    </w:p>
    <w:p>
      <w:pPr>
        <w:pStyle w:val="BookText"/>
      </w:pPr>
      <w:r>
        <w:rPr>
          <w:rFonts w:ascii="IRNazanin" w:hAnsi="IRNazanin" w:eastAsia="IRNazanin" w:cs="IRNazanin"/>
          <w:lang w:bidi="fa-IR"/>
          <w:color w:val="111111"/>
          <w:sz w:val="28"/>
          <w:szCs w:val="28"/>
          <w:rtl/>
        </w:rPr>
        <w:t xml:space="preserve">مشهد؛ شیخ علی حیدر؛ شماره نسخه: ۶۲۲/۴</w:t>
      </w:r>
    </w:p>
    <w:p>
      <w:pPr>
        <w:pStyle w:val="BookText"/>
      </w:pPr>
      <w:r>
        <w:rPr>
          <w:rFonts w:ascii="IRNazanin" w:hAnsi="IRNazanin" w:eastAsia="IRNazanin" w:cs="IRNazanin"/>
          <w:lang w:bidi="fa-IR"/>
          <w:color w:val="111111"/>
          <w:sz w:val="28"/>
          <w:szCs w:val="28"/>
          <w:rtl/>
        </w:rPr>
        <w:t xml:space="preserve">آغاز: در خبر است از خالد بن قیس و از سوید بن عبدالله  و از قتاده؛ انجام: به آب رحمت و مغفرت شسته گردان و والدین مـا را</w:t>
      </w:r>
    </w:p>
    <w:p>
      <w:pPr>
        <w:pStyle w:val="BookText"/>
      </w:pPr>
      <w:r>
        <w:rPr>
          <w:rFonts w:ascii="IRNazanin" w:hAnsi="IRNazanin" w:eastAsia="IRNazanin" w:cs="IRNazanin"/>
          <w:lang w:bidi="fa-IR"/>
          <w:color w:val="111111"/>
          <w:sz w:val="28"/>
          <w:szCs w:val="28"/>
          <w:rtl/>
        </w:rPr>
        <w:t xml:space="preserve">از دریای مغفرت سیراب گردان امین یا رب العالمین</w:t>
      </w:r>
    </w:p>
    <w:p>
      <w:pPr>
        <w:pStyle w:val="BookText"/>
      </w:pPr>
      <w:r>
        <w:rPr>
          <w:rFonts w:ascii="IRNazanin" w:hAnsi="IRNazanin" w:eastAsia="IRNazanin" w:cs="IRNazanin"/>
          <w:lang w:bidi="fa-IR"/>
          <w:color w:val="111111"/>
          <w:sz w:val="28"/>
          <w:szCs w:val="28"/>
          <w:rtl/>
        </w:rPr>
        <w:t xml:space="preserve">حول المسائل العقائدية و التاريخية؛ خط: نسخ، کا: براتعلی بن محمد تقی، تا: شنبه ۲۶ شعبان ۱۲۶۹ق؛ جلد: چرم مشکی، ۳۴گ( ۱۵۸پ-191 ر)  ۲۱ سطر ،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[مؤید: ۲ - ۱۳۲]</w:t>
      </w:r>
    </w:p>
    <w:p>
      <w:pPr>
        <w:pStyle w:val="Heading3"/>
      </w:pPr>
      <w:bookmarkStart w:id="912" w:name="_Toc434"/>
      <w:r>
        <w:t>الاسئلة و الاجوبة / پاسخ پرسش ها / فارسی</w:t>
      </w:r>
      <w:bookmarkEnd w:id="912"/>
    </w:p>
    <w:p>
      <w:pPr>
        <w:pStyle w:val="BookText"/>
      </w:pPr>
      <w:r>
        <w:rPr>
          <w:rFonts w:ascii="Times New Roman" w:hAnsi="Times New Roman" w:eastAsia="Times New Roman" w:cs="Times New Roman"/>
          <w:lang w:val="en-US" w:bidi="en-US"/>
          <w:color w:val="111111"/>
          <w:sz w:val="28"/>
          <w:szCs w:val="28"/>
          <w:rtl/>
        </w:rPr>
        <w:t xml:space="preserve">al-as’ela va-l ajveba</w:t>
      </w:r>
    </w:p>
    <w:p>
      <w:pPr>
        <w:pStyle w:val="BookText"/>
      </w:pPr>
      <w:r>
        <w:rPr>
          <w:rFonts w:ascii="IRNazanin" w:hAnsi="IRNazanin" w:eastAsia="IRNazanin" w:cs="IRNazanin"/>
          <w:lang w:bidi="fa-IR"/>
          <w:color w:val="111111"/>
          <w:sz w:val="28"/>
          <w:szCs w:val="28"/>
          <w:rtl/>
        </w:rPr>
        <w:t xml:space="preserve">قم؛ مرعشی؛ شماره نسخه: ۱۱۸۰۳/۱</w:t>
      </w:r>
    </w:p>
    <w:p>
      <w:pPr>
        <w:pStyle w:val="BookText"/>
      </w:pPr>
      <w:r>
        <w:rPr>
          <w:rFonts w:ascii="IRNazanin" w:hAnsi="IRNazanin" w:eastAsia="IRNazanin" w:cs="IRNazanin"/>
          <w:lang w:bidi="fa-IR"/>
          <w:color w:val="111111"/>
          <w:sz w:val="28"/>
          <w:szCs w:val="28"/>
          <w:rtl/>
        </w:rPr>
        <w:t xml:space="preserve">مؤلف مجهول؛ بی کا، بی تا؛ مصحح [میراث شهاب:س ۱۰ ش ۱-۲-۲۵- 25]</w:t>
      </w:r>
    </w:p>
    <w:p>
      <w:pPr>
        <w:pStyle w:val="Heading3"/>
      </w:pPr>
      <w:bookmarkStart w:id="913" w:name="_Toc435"/>
      <w:r>
        <w:t>الاسئلة و الاجوبة (امين الدوله) = پاسخ طوسی  درباره تنفس / طب / عربی</w:t>
      </w:r>
      <w:bookmarkEnd w:id="913"/>
    </w:p>
    <w:p>
      <w:pPr>
        <w:pStyle w:val="BookText"/>
      </w:pPr>
      <w:r>
        <w:rPr>
          <w:rFonts w:ascii="Times New Roman" w:hAnsi="Times New Roman" w:eastAsia="Times New Roman" w:cs="Times New Roman"/>
          <w:lang w:val="en-US" w:bidi="en-US"/>
          <w:color w:val="111111"/>
          <w:sz w:val="28"/>
          <w:szCs w:val="28"/>
          <w:rtl/>
        </w:rPr>
        <w:t xml:space="preserve">al-as’ila wa-l ajwiba (amīn-ud dawla) = pāsox-e tūsī</w:t>
      </w:r>
    </w:p>
    <w:p>
      <w:pPr>
        <w:pStyle w:val="BookText"/>
      </w:pPr>
      <w:r>
        <w:rPr>
          <w:rFonts w:ascii="Times New Roman" w:hAnsi="Times New Roman" w:eastAsia="Times New Roman" w:cs="Times New Roman"/>
          <w:lang w:val="en-US" w:bidi="en-US"/>
          <w:color w:val="111111"/>
          <w:sz w:val="28"/>
          <w:szCs w:val="28"/>
          <w:rtl/>
        </w:rPr>
        <w:t xml:space="preserve">darbāre-ye tanaffos</w:t>
      </w:r>
    </w:p>
    <w:p>
      <w:pPr>
        <w:pStyle w:val="BookText"/>
      </w:pPr>
      <w:r>
        <w:rPr>
          <w:rFonts w:ascii="IRNazanin" w:hAnsi="IRNazanin" w:eastAsia="IRNazanin" w:cs="IRNazanin"/>
          <w:lang w:bidi="fa-IR"/>
          <w:color w:val="111111"/>
          <w:sz w:val="28"/>
          <w:szCs w:val="28"/>
          <w:rtl/>
        </w:rPr>
        <w:t xml:space="preserve">نصیرالدین طوسی محمد بن محمد، ۵۹۷ - ۶۷۲ قمری</w:t>
      </w:r>
    </w:p>
    <w:p>
      <w:pPr>
        <w:pStyle w:val="BookText"/>
      </w:pPr>
      <w:r>
        <w:rPr>
          <w:rFonts w:ascii="Times New Roman" w:hAnsi="Times New Roman" w:eastAsia="Times New Roman" w:cs="Times New Roman"/>
          <w:lang w:val="en-US" w:bidi="en-US"/>
          <w:color w:val="111111"/>
          <w:sz w:val="28"/>
          <w:szCs w:val="28"/>
          <w:rtl/>
        </w:rPr>
        <w:t xml:space="preserve">nasīr-od-din-e tūsī, mohammad ebn-e mohammad</w:t>
      </w:r>
    </w:p>
    <w:p>
      <w:pPr>
        <w:pStyle w:val="BookText"/>
      </w:pPr>
      <w:r>
        <w:rPr>
          <w:rFonts w:ascii="Times New Roman" w:hAnsi="Times New Roman" w:eastAsia="Times New Roman" w:cs="Times New Roman"/>
          <w:lang w:val="en-US" w:bidi="en-US"/>
          <w:color w:val="111111"/>
          <w:sz w:val="28"/>
          <w:szCs w:val="28"/>
          <w:rtl/>
        </w:rPr>
        <w:t xml:space="preserve">(1201 - 1274)</w:t>
      </w:r>
    </w:p>
    <w:p>
      <w:pPr>
        <w:pStyle w:val="BookText"/>
      </w:pPr>
      <w:r>
        <w:rPr>
          <w:rFonts w:ascii="IRNazanin" w:hAnsi="IRNazanin" w:eastAsia="IRNazanin" w:cs="IRNazanin"/>
          <w:lang w:bidi="fa-IR"/>
          <w:color w:val="111111"/>
          <w:sz w:val="28"/>
          <w:szCs w:val="28"/>
          <w:rtl/>
        </w:rPr>
        <w:t xml:space="preserve">مختصری است مشتمل بر سؤالات امین الدوله [مقصود امین الدوله ابوالشجاع بن موفق الدوله ابوالفرج عالی است مذکور درتلخیص مجمع الاداب لابن الفوطى (ذيل ترجمه احوال موفق  الدوله)  و عم خواجه رشیدالدین فضل الله صاحب تاریخ معروف جامع التواریخ] از خواجه نصیرالدین طوسی در خصوص مشکلات و عویصات مسائلی که در فن ۱۰ کتاب ۳ قانون از تنفس مطرح کرده است و جواب های خواجه به سؤالات و اشکالات او و گفته اگر باز هم دشواری هست بگوید تا پاسخ  دهد.</w:t>
      </w:r>
    </w:p>
    <w:p>
      <w:pPr>
        <w:pStyle w:val="BookText"/>
      </w:pPr>
      <w:r>
        <w:rPr>
          <w:rFonts w:ascii="Amiri" w:hAnsi="Amiri" w:eastAsia="Amiri" w:cs="Amiri"/>
          <w:lang w:bidi="ar-SA"/>
          <w:color w:val="111111"/>
          <w:sz w:val="28"/>
          <w:szCs w:val="28"/>
          <w:rtl/>
        </w:rPr>
        <w:t xml:space="preserve">آغاز: ذكر الشيخ الرئيس فى الفن العاشر من الكتاب الثالث من القانون كلام كلى فى التنفس - التنفس يتم بحركتين و وقفتين بينها . . المسئول من انعامه . ان يبين يبين هذه الاشكالات. . تاملت هذه  الاشكالات فاقول ما قول الشيخ الرئيس في التنفس</w:t>
      </w:r>
    </w:p>
    <w:p>
      <w:pPr>
        <w:pStyle w:val="BookText"/>
      </w:pPr>
      <w:r>
        <w:rPr>
          <w:rFonts w:ascii="Amiri" w:hAnsi="Amiri" w:eastAsia="Amiri" w:cs="Amiri"/>
          <w:lang w:bidi="ar-SA"/>
          <w:color w:val="111111"/>
          <w:sz w:val="28"/>
          <w:szCs w:val="28"/>
          <w:rtl/>
        </w:rPr>
        <w:t xml:space="preserve">انجام: فهذا ما عندى فيما ذكره فان كان موافقاً للحق فهو المطلوب والا فلينعم بالانعام عما يخالفه بالاعلام عما يخالفه ان شاء الله تعالى يحرس فضله و مجده و يحصل مقاصده بلطفه انه اللطيف المجيب و الله اعلم بالصواب.</w:t>
      </w:r>
    </w:p>
    <w:p>
      <w:pPr>
        <w:pStyle w:val="BookText"/>
      </w:pPr>
      <w:r>
        <w:rPr>
          <w:rFonts w:ascii="IRNazanin" w:hAnsi="IRNazanin" w:eastAsia="IRNazanin" w:cs="IRNazanin"/>
          <w:lang w:bidi="fa-IR"/>
          <w:color w:val="111111"/>
          <w:sz w:val="28"/>
          <w:szCs w:val="28"/>
          <w:rtl/>
        </w:rPr>
        <w:t xml:space="preserve">چاپ: به اهتمام عبدالله  نورانی، در اجوبة المسائل النصيرية (تهران، پژهشگاه علوم انسانی: (۱۳۸۳)</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الهیات؛ شماره نسخه: ۸۴/۳</w:t>
      </w:r>
    </w:p>
    <w:p>
      <w:pPr>
        <w:pStyle w:val="BookText"/>
      </w:pPr>
      <w:r>
        <w:rPr>
          <w:rFonts w:ascii="IRNazanin" w:hAnsi="IRNazanin" w:eastAsia="IRNazanin" w:cs="IRNazanin"/>
          <w:lang w:bidi="fa-IR"/>
          <w:color w:val="111111"/>
          <w:sz w:val="28"/>
          <w:szCs w:val="28"/>
          <w:rtl/>
        </w:rPr>
        <w:t xml:space="preserve">خط: نستعلیق، بی کا، تا: قرن ۱۰، ۶گ (20ر- 25پ) [ف: ۷۱۳]</w:t>
      </w:r>
    </w:p>
    <w:p>
      <w:pPr>
        <w:pStyle w:val="BookText"/>
      </w:pPr>
      <w:r>
        <w:rPr>
          <w:rFonts w:ascii="IRNazanin" w:hAnsi="IRNazanin" w:eastAsia="IRNazanin" w:cs="IRNazanin"/>
          <w:lang w:bidi="fa-IR"/>
          <w:color w:val="111111"/>
          <w:sz w:val="28"/>
          <w:szCs w:val="28"/>
          <w:rtl/>
        </w:rPr>
        <w:t xml:space="preserve">۲ . مشهد؛ رضوی؛ شماره نسخه: ۱۶۷۶۶/۵</w:t>
      </w:r>
    </w:p>
    <w:p>
      <w:pPr>
        <w:pStyle w:val="BookText"/>
      </w:pPr>
      <w:r>
        <w:rPr>
          <w:rFonts w:ascii="Amiri" w:hAnsi="Amiri" w:eastAsia="Amiri" w:cs="Amiri"/>
          <w:lang w:bidi="ar-SA"/>
          <w:color w:val="111111"/>
          <w:sz w:val="28"/>
          <w:szCs w:val="28"/>
          <w:rtl/>
        </w:rPr>
        <w:t xml:space="preserve">آغاز: برابر؛ انجام: هذا شئ جربه اصحاب الاكسير...خصوصا ابن زكريا فى كتاب الاسرار له والله اعلم تمت الرسالة.</w:t>
      </w:r>
    </w:p>
    <w:p>
      <w:pPr>
        <w:pStyle w:val="BookText"/>
      </w:pPr>
      <w:r>
        <w:rPr>
          <w:rFonts w:ascii="IRNazanin" w:hAnsi="IRNazanin" w:eastAsia="IRNazanin" w:cs="IRNazanin"/>
          <w:lang w:bidi="fa-IR"/>
          <w:color w:val="111111"/>
          <w:sz w:val="28"/>
          <w:szCs w:val="28"/>
          <w:rtl/>
        </w:rPr>
        <w:t xml:space="preserve">خط: نستعليق، كا: محمد بن كمال الدين حسین، تا: یک شنبه ۲۱ صفر ،۹۴۴ق جا: قم؛ کاغذ: شکری و نخودی آهار مهره، جلد: مقوا، ۹ ص (۲۳۵-۲۴۳)، ۲۱ سطر،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۱۷/۵سم [ف: ۱۹-۳۵۰]</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شیراز؛ محلاتی، صدرالدین؛ شماره نسخه: ۱۷/۲۲</w:t>
      </w:r>
    </w:p>
    <w:p>
      <w:pPr>
        <w:pStyle w:val="BookText"/>
      </w:pPr>
      <w:r>
        <w:rPr>
          <w:rFonts w:ascii="IRNazanin" w:hAnsi="IRNazanin" w:eastAsia="IRNazanin" w:cs="IRNazanin"/>
          <w:lang w:bidi="fa-IR"/>
          <w:color w:val="111111"/>
          <w:sz w:val="28"/>
          <w:szCs w:val="28"/>
          <w:rtl/>
        </w:rPr>
        <w:t xml:space="preserve">بی  کا، تا: ۱۰۵۶ق [ نشریه ۵ - ۲۷۳]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25" w:name="pg20365_260158"/>
    <w:bookmarkEnd w:id="125"/>
    <w:p>
      <w:pPr>
        <w:pStyle w:val="BookText"/>
      </w:pPr>
      <w:r>
        <w:rPr>
          <w:rFonts w:ascii="IRNazanin" w:hAnsi="IRNazanin" w:eastAsia="IRNazanin" w:cs="IRNazanin"/>
          <w:lang w:bidi="fa-IR"/>
          <w:color w:val="111111"/>
          <w:sz w:val="28"/>
          <w:szCs w:val="28"/>
          <w:rtl/>
        </w:rPr>
        <w:t xml:space="preserve">۴. تهران؛ دانشگاه؛ شماره نسخه: ۲۱۱۴/۱۵</w:t>
      </w:r>
    </w:p>
    <w:p>
      <w:pPr>
        <w:pStyle w:val="BookText"/>
      </w:pPr>
      <w:r>
        <w:rPr>
          <w:rFonts w:ascii="Amiri" w:hAnsi="Amiri" w:eastAsia="Amiri" w:cs="Amiri"/>
          <w:lang w:bidi="ar-SA"/>
          <w:color w:val="111111"/>
          <w:sz w:val="28"/>
          <w:szCs w:val="28"/>
          <w:rtl/>
        </w:rPr>
        <w:t xml:space="preserve">آغاز: برابر؛ انجام: خصوصاً ابن زكريا في كتاب اسرار والله اعلم.</w:t>
      </w:r>
    </w:p>
    <w:p>
      <w:pPr>
        <w:pStyle w:val="BookText"/>
      </w:pPr>
      <w:r>
        <w:rPr>
          <w:rFonts w:ascii="IRNazanin" w:hAnsi="IRNazanin" w:eastAsia="IRNazanin" w:cs="IRNazanin"/>
          <w:lang w:bidi="fa-IR"/>
          <w:color w:val="111111"/>
          <w:sz w:val="28"/>
          <w:szCs w:val="28"/>
          <w:rtl/>
        </w:rPr>
        <w:t xml:space="preserve">خط: نستعلیق، بی کا، بی تا؛ گ ۷۶ دنباله رساله ای است؛ کاغذ: سپاهان، جلد: مقوا، ۶ گ (66پ- 71پ)، ۱۶ سطر (5</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۸ - ۷۵۱]</w:t>
      </w:r>
    </w:p>
    <w:p>
      <w:pPr>
        <w:pStyle w:val="BookText"/>
      </w:pPr>
      <w:r>
        <w:rPr>
          <w:rFonts w:ascii="IRNazanin" w:hAnsi="IRNazanin" w:eastAsia="IRNazanin" w:cs="IRNazanin"/>
          <w:lang w:bidi="fa-IR"/>
          <w:color w:val="111111"/>
          <w:sz w:val="28"/>
          <w:szCs w:val="28"/>
          <w:rtl/>
        </w:rPr>
        <w:t xml:space="preserve">۵.تهران؛ دانشگاه؛ شماره نسخه: ۱۰۷۹/۷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تعلیق، بی کا، بی تا؛ 3ص (۱۸-۲۰) [ف: ۳ - ۱۸۵]</w:t>
      </w:r>
    </w:p>
    <w:p>
      <w:pPr>
        <w:pStyle w:val="BookText"/>
      </w:pPr>
      <w:r>
        <w:rPr>
          <w:rFonts w:ascii="IRNazanin" w:hAnsi="IRNazanin" w:eastAsia="IRNazanin" w:cs="IRNazanin"/>
          <w:lang w:bidi="fa-IR"/>
          <w:color w:val="111111"/>
          <w:sz w:val="28"/>
          <w:szCs w:val="28"/>
          <w:rtl/>
        </w:rPr>
        <w:t xml:space="preserve">«اسئله و اجوبه رشیدیه » فوائد رشیدیه</w:t>
      </w:r>
    </w:p>
    <w:p>
      <w:pPr>
        <w:pStyle w:val="Heading3"/>
      </w:pPr>
      <w:bookmarkStart w:id="914" w:name="_Toc436"/>
      <w:r>
        <w:t>الاسئلة والاجوبة على شرح الشمسية / منطق / عربي</w:t>
      </w:r>
      <w:bookmarkEnd w:id="914"/>
    </w:p>
    <w:p>
      <w:pPr>
        <w:pStyle w:val="BookText"/>
      </w:pPr>
      <w:r>
        <w:rPr>
          <w:rFonts w:ascii="Times New Roman" w:hAnsi="Times New Roman" w:eastAsia="Times New Roman" w:cs="Times New Roman"/>
          <w:lang w:val="en-US" w:bidi="en-US"/>
          <w:color w:val="111111"/>
          <w:sz w:val="28"/>
          <w:szCs w:val="28"/>
          <w:rtl/>
        </w:rPr>
        <w:t xml:space="preserve">al-as’ila wa-l-ajwiba ‘alā s.-iš-šamsīyya</w:t>
      </w:r>
    </w:p>
    <w:p>
      <w:pPr>
        <w:pStyle w:val="BookText"/>
      </w:pPr>
      <w:r>
        <w:rPr>
          <w:rFonts w:ascii="IRNazanin" w:hAnsi="IRNazanin" w:eastAsia="IRNazanin" w:cs="IRNazanin"/>
          <w:lang w:bidi="fa-IR"/>
          <w:color w:val="111111"/>
          <w:sz w:val="28"/>
          <w:szCs w:val="28"/>
          <w:rtl/>
        </w:rPr>
        <w:t xml:space="preserve">حسینی ،بحرانی، عبدالله بن سلیمان</w:t>
      </w:r>
    </w:p>
    <w:p>
      <w:pPr>
        <w:pStyle w:val="BookText"/>
      </w:pPr>
      <w:r>
        <w:rPr>
          <w:rFonts w:ascii="Times New Roman" w:hAnsi="Times New Roman" w:eastAsia="Times New Roman" w:cs="Times New Roman"/>
          <w:lang w:val="en-US" w:bidi="en-US"/>
          <w:color w:val="111111"/>
          <w:sz w:val="28"/>
          <w:szCs w:val="28"/>
          <w:rtl/>
        </w:rPr>
        <w:t xml:space="preserve">hoseynī bahrānī, ‘abd-ol-lāh ebn-e soleymān</w:t>
      </w:r>
    </w:p>
    <w:p>
      <w:pPr>
        <w:pStyle w:val="BookText"/>
      </w:pPr>
      <w:r>
        <w:rPr>
          <w:rFonts w:ascii="IRNazanin" w:hAnsi="IRNazanin" w:eastAsia="IRNazanin" w:cs="IRNazanin"/>
          <w:lang w:bidi="fa-IR"/>
          <w:color w:val="111111"/>
          <w:sz w:val="28"/>
          <w:szCs w:val="28"/>
          <w:rtl/>
        </w:rPr>
        <w:t xml:space="preserve">یزد؛ وزیری؛ شماره نسخه: ۳۴۶۲</w:t>
      </w:r>
    </w:p>
    <w:p>
      <w:pPr>
        <w:pStyle w:val="BookText"/>
      </w:pPr>
      <w:r>
        <w:rPr>
          <w:rFonts w:ascii="Amiri" w:hAnsi="Amiri" w:eastAsia="Amiri" w:cs="Amiri"/>
          <w:lang w:bidi="ar-SA"/>
          <w:color w:val="111111"/>
          <w:sz w:val="28"/>
          <w:szCs w:val="28"/>
          <w:rtl/>
        </w:rPr>
        <w:t xml:space="preserve">آغاز: لحوق امر الآخر بلاواسطة في نفس الامر يستلزم ان - يكـون ذلك الشيىء؛ انجام: و الاوسط مضايف الاكبر يكون الاصغر الاكبر كلاهما</w:t>
      </w:r>
    </w:p>
    <w:p>
      <w:pPr>
        <w:pStyle w:val="BookText"/>
      </w:pPr>
      <w:r>
        <w:rPr>
          <w:rFonts w:ascii="IRNazanin" w:hAnsi="IRNazanin" w:eastAsia="IRNazanin" w:cs="IRNazanin"/>
          <w:lang w:bidi="fa-IR"/>
          <w:color w:val="111111"/>
          <w:sz w:val="28"/>
          <w:szCs w:val="28"/>
          <w:rtl/>
        </w:rPr>
        <w:t xml:space="preserve">خط: نستعلیق، بی کا، بی تا؛ افتادگی: آغاز و انجام؛ اهدایی احـمد آثاری؛ کاغذ: اصفهانی،جلد: مقوایی روکش کاغذ ابری عطف تيماج قرمز ، ۸۲گ ۲۵ سطر ،(۸/۵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1663]</w:t>
      </w:r>
    </w:p>
    <w:p>
      <w:pPr>
        <w:pStyle w:val="Heading3"/>
      </w:pPr>
      <w:bookmarkStart w:id="915" w:name="_Toc437"/>
      <w:r>
        <w:t>اسئلة و اجوبة فى بيان العقل / پاسخ پرسشها /فارسی</w:t>
      </w:r>
      <w:bookmarkEnd w:id="915"/>
    </w:p>
    <w:p>
      <w:pPr>
        <w:pStyle w:val="BookText"/>
      </w:pPr>
      <w:r>
        <w:rPr>
          <w:rFonts w:ascii="Times New Roman" w:hAnsi="Times New Roman" w:eastAsia="Times New Roman" w:cs="Times New Roman"/>
          <w:lang w:val="en-US" w:bidi="en-US"/>
          <w:color w:val="111111"/>
          <w:sz w:val="28"/>
          <w:szCs w:val="28"/>
          <w:rtl/>
        </w:rPr>
        <w:t xml:space="preserve">as’ela va ajveba fī bayān-el-‘aql</w:t>
      </w:r>
    </w:p>
    <w:p>
      <w:pPr>
        <w:pStyle w:val="BookText"/>
      </w:pPr>
      <w:r>
        <w:rPr>
          <w:rFonts w:ascii="IRNazanin" w:hAnsi="IRNazanin" w:eastAsia="IRNazanin" w:cs="IRNazanin"/>
          <w:lang w:bidi="fa-IR"/>
          <w:color w:val="111111"/>
          <w:sz w:val="28"/>
          <w:szCs w:val="28"/>
          <w:rtl/>
        </w:rPr>
        <w:t xml:space="preserve">تهران؛ دانشگاه؛ شماره نسخه: ۴۶۲/۱۵(آ)-۴۶۳/۱۵(ب)-ف</w:t>
      </w:r>
    </w:p>
    <w:p>
      <w:pPr>
        <w:pStyle w:val="BookText"/>
      </w:pPr>
      <w:r>
        <w:rPr>
          <w:rFonts w:ascii="IRNazanin" w:hAnsi="IRNazanin" w:eastAsia="IRNazanin" w:cs="IRNazanin"/>
          <w:lang w:bidi="fa-IR"/>
          <w:color w:val="111111"/>
          <w:sz w:val="28"/>
          <w:szCs w:val="28"/>
          <w:rtl/>
        </w:rPr>
        <w:t xml:space="preserve">نسخه  اصل: کوپرولوش ۱۵۸۹  ؛ بی  کا، تا: با تاریخ ۷۵۴ق؛ ۴گ(۲۳۷ ر - ۲۴۰ ر) [فیلم ها-ف: ۱ - ۴۸۰]</w:t>
      </w:r>
    </w:p>
    <w:p>
      <w:pPr>
        <w:pStyle w:val="BookText"/>
      </w:pPr>
      <w:r>
        <w:rPr>
          <w:rFonts w:ascii="IRNazanin" w:hAnsi="IRNazanin" w:eastAsia="IRNazanin" w:cs="IRNazanin"/>
          <w:lang w:bidi="fa-IR"/>
          <w:color w:val="111111"/>
          <w:sz w:val="28"/>
          <w:szCs w:val="28"/>
          <w:rtl/>
        </w:rPr>
        <w:t xml:space="preserve">«الاسئلة اليوسفية » مناظره میرزا یوسف علی</w:t>
      </w:r>
    </w:p>
    <w:p>
      <w:pPr>
        <w:pStyle w:val="BookText"/>
      </w:pPr>
      <w:r>
        <w:rPr>
          <w:rFonts w:ascii="IRNazanin" w:hAnsi="IRNazanin" w:eastAsia="IRNazanin" w:cs="IRNazanin"/>
          <w:lang w:bidi="fa-IR"/>
          <w:color w:val="111111"/>
          <w:sz w:val="28"/>
          <w:szCs w:val="28"/>
          <w:rtl/>
        </w:rPr>
        <w:t xml:space="preserve">«اس المواهب السنية فى المناقب الصفوية » صفوة الصفاء  فی مناقب الاولياء ومعارج الأصفياء</w:t>
      </w:r>
    </w:p>
    <w:p>
      <w:pPr>
        <w:pStyle w:val="Heading3"/>
      </w:pPr>
      <w:bookmarkStart w:id="916" w:name="_Toc438"/>
      <w:r>
        <w:t>اسباب اجابت دعا / کلام و اعتقادات / فارسی</w:t>
      </w:r>
      <w:bookmarkEnd w:id="916"/>
    </w:p>
    <w:p>
      <w:pPr>
        <w:pStyle w:val="BookText"/>
      </w:pPr>
      <w:r>
        <w:rPr>
          <w:rFonts w:ascii="Times New Roman" w:hAnsi="Times New Roman" w:eastAsia="Times New Roman" w:cs="Times New Roman"/>
          <w:lang w:val="en-US" w:bidi="en-US"/>
          <w:color w:val="111111"/>
          <w:sz w:val="28"/>
          <w:szCs w:val="28"/>
          <w:rtl/>
        </w:rPr>
        <w:t xml:space="preserve">asbāb-e ejābat-e do‘ā</w:t>
      </w:r>
    </w:p>
    <w:p>
      <w:pPr>
        <w:pStyle w:val="BookText"/>
      </w:pPr>
      <w:r>
        <w:rPr>
          <w:rFonts w:ascii="IRNazanin" w:hAnsi="IRNazanin" w:eastAsia="IRNazanin" w:cs="IRNazanin"/>
          <w:lang w:bidi="fa-IR"/>
          <w:color w:val="111111"/>
          <w:sz w:val="28"/>
          <w:szCs w:val="28"/>
          <w:rtl/>
        </w:rPr>
        <w:t xml:space="preserve">رساله ای درباره اسباب اجابت دعا از دیدگاه شیعی که در روی جلد نسخه، به عنوان ناز و نیاز معرفی شده است.</w:t>
      </w:r>
    </w:p>
    <w:p>
      <w:pPr>
        <w:pStyle w:val="BookText"/>
      </w:pPr>
      <w:r>
        <w:rPr>
          <w:rFonts w:ascii="IRNazanin" w:hAnsi="IRNazanin" w:eastAsia="IRNazanin" w:cs="IRNazanin"/>
          <w:lang w:bidi="fa-IR"/>
          <w:color w:val="111111"/>
          <w:sz w:val="28"/>
          <w:szCs w:val="28"/>
          <w:rtl/>
        </w:rPr>
        <w:t xml:space="preserve">تهران؛ مجلس؛ شماره نسخه: ۱۵۷۰۲/۱</w:t>
      </w:r>
    </w:p>
    <w:p>
      <w:pPr>
        <w:pStyle w:val="BookText"/>
      </w:pPr>
      <w:r>
        <w:rPr>
          <w:rFonts w:ascii="IRNazanin" w:hAnsi="IRNazanin" w:eastAsia="IRNazanin" w:cs="IRNazanin"/>
          <w:lang w:bidi="fa-IR"/>
          <w:color w:val="111111"/>
          <w:sz w:val="28"/>
          <w:szCs w:val="28"/>
          <w:rtl/>
        </w:rPr>
        <w:t xml:space="preserve">آغاز: بسمله. بدانکه هرگاه کسی خواهد باصرار یعنی بحول و قوه خود از خدا چیزی بگیرد مشرک است و داعی و متوکل نیست بجهت آنکه خود را سبب وصول بمطلب خود کرده است؛ انجام: از مسبب الاسباب غافل میشوند و شده اند و بدانکه بعضی از مطالب هست که بخصوصه بشرع شریف امر صادر.</w:t>
      </w:r>
    </w:p>
    <w:p>
      <w:pPr>
        <w:pStyle w:val="BookText"/>
      </w:pPr>
      <w:r>
        <w:rPr>
          <w:rFonts w:ascii="IRNazanin" w:hAnsi="IRNazanin" w:eastAsia="IRNazanin" w:cs="IRNazanin"/>
          <w:lang w:bidi="fa-IR"/>
          <w:color w:val="111111"/>
          <w:sz w:val="28"/>
          <w:szCs w:val="28"/>
          <w:rtl/>
        </w:rPr>
        <w:t xml:space="preserve">خط: نستعلیق بی کا،بی تا، افتادگی: انجام؛ جلد: تیماج قهوه ای یک  لا،6 گ (1پ- 6پ)، ۱۵-۱۸- سطر ،اندازه: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۱۷/۵سم  [ف: ۴۴ - ۱۰]</w:t>
      </w:r>
    </w:p>
    <w:p>
      <w:pPr>
        <w:pStyle w:val="Heading3"/>
      </w:pPr>
      <w:bookmarkStart w:id="917" w:name="_Toc439"/>
      <w:r>
        <w:t>اسباب الاشياء / طب / فارسی</w:t>
      </w:r>
      <w:bookmarkEnd w:id="917"/>
    </w:p>
    <w:p>
      <w:pPr>
        <w:pStyle w:val="BookText"/>
      </w:pPr>
      <w:r>
        <w:rPr>
          <w:rFonts w:ascii="Times New Roman" w:hAnsi="Times New Roman" w:eastAsia="Times New Roman" w:cs="Times New Roman"/>
          <w:lang w:val="en-US" w:bidi="en-US"/>
          <w:color w:val="111111"/>
          <w:sz w:val="28"/>
          <w:szCs w:val="28"/>
          <w:rtl/>
        </w:rPr>
        <w:t xml:space="preserve">asbāb-ol-ašyā’</w:t>
      </w:r>
    </w:p>
    <w:p>
      <w:pPr>
        <w:pStyle w:val="BookText"/>
      </w:pPr>
      <w:r>
        <w:rPr>
          <w:rFonts w:ascii="IRNazanin" w:hAnsi="IRNazanin" w:eastAsia="IRNazanin" w:cs="IRNazanin"/>
          <w:lang w:bidi="fa-IR"/>
          <w:color w:val="111111"/>
          <w:sz w:val="28"/>
          <w:szCs w:val="28"/>
          <w:rtl/>
        </w:rPr>
        <w:t xml:space="preserve">طبیب اصفهانی، ابوالقارح</w:t>
      </w:r>
    </w:p>
    <w:p>
      <w:pPr>
        <w:pStyle w:val="BookText"/>
      </w:pPr>
      <w:r>
        <w:rPr>
          <w:rFonts w:ascii="Times New Roman" w:hAnsi="Times New Roman" w:eastAsia="Times New Roman" w:cs="Times New Roman"/>
          <w:lang w:val="en-US" w:bidi="en-US"/>
          <w:color w:val="111111"/>
          <w:sz w:val="28"/>
          <w:szCs w:val="28"/>
          <w:rtl/>
        </w:rPr>
        <w:t xml:space="preserve">tabib esfahani, ab-ol-qareh</w:t>
      </w:r>
    </w:p>
    <w:p>
      <w:pPr>
        <w:pStyle w:val="BookText"/>
      </w:pPr>
      <w:r>
        <w:rPr>
          <w:rFonts w:ascii="IRNazanin" w:hAnsi="IRNazanin" w:eastAsia="IRNazanin" w:cs="IRNazanin"/>
          <w:lang w:bidi="fa-IR"/>
          <w:color w:val="111111"/>
          <w:sz w:val="28"/>
          <w:szCs w:val="28"/>
          <w:rtl/>
        </w:rPr>
        <w:t xml:space="preserve">نسخه حاضر قسم دوم در طب عملی و در پنج «مقاله» است. مقاله اول در اسباب ماده صحت در چهار «باب».</w:t>
      </w:r>
    </w:p>
    <w:p>
      <w:pPr>
        <w:pStyle w:val="BookText"/>
      </w:pPr>
      <w:r>
        <w:rPr>
          <w:rFonts w:ascii="IRNazanin" w:hAnsi="IRNazanin" w:eastAsia="IRNazanin" w:cs="IRNazanin"/>
          <w:lang w:bidi="fa-IR"/>
          <w:color w:val="111111"/>
          <w:sz w:val="28"/>
          <w:szCs w:val="28"/>
          <w:rtl/>
        </w:rPr>
        <w:t xml:space="preserve">[فهرستواره منزوی ۳۲۷۶/۵]</w:t>
      </w:r>
    </w:p>
    <w:p>
      <w:pPr>
        <w:pStyle w:val="BookText"/>
      </w:pPr>
      <w:r>
        <w:rPr>
          <w:rFonts w:ascii="IRNazanin" w:hAnsi="IRNazanin" w:eastAsia="IRNazanin" w:cs="IRNazanin"/>
          <w:lang w:bidi="fa-IR"/>
          <w:color w:val="111111"/>
          <w:sz w:val="28"/>
          <w:szCs w:val="28"/>
          <w:rtl/>
        </w:rPr>
        <w:t xml:space="preserve">تهران؛ ملک؛ شماره نسخه: ۴۴۰۲</w:t>
      </w:r>
    </w:p>
    <w:p>
      <w:pPr>
        <w:pStyle w:val="BookText"/>
      </w:pPr>
      <w:r>
        <w:rPr>
          <w:rFonts w:ascii="IRNazanin" w:hAnsi="IRNazanin" w:eastAsia="IRNazanin" w:cs="IRNazanin"/>
          <w:lang w:bidi="fa-IR"/>
          <w:color w:val="111111"/>
          <w:sz w:val="28"/>
          <w:szCs w:val="28"/>
          <w:rtl/>
        </w:rPr>
        <w:t xml:space="preserve">آغاز: بسمله، قل هو الله احد... چنین گوید ... ابوالقارح الطبيب  الاصفهانی که این رساله اسباب الاشياء است ... با کثر کتاب</w:t>
      </w:r>
    </w:p>
    <w:p>
      <w:pPr>
        <w:pStyle w:val="BookText"/>
      </w:pPr>
      <w:r>
        <w:rPr>
          <w:rFonts w:ascii="IRNazanin" w:hAnsi="IRNazanin" w:eastAsia="IRNazanin" w:cs="IRNazanin"/>
          <w:lang w:bidi="fa-IR"/>
          <w:color w:val="111111"/>
          <w:sz w:val="28"/>
          <w:szCs w:val="28"/>
          <w:rtl/>
        </w:rPr>
        <w:t xml:space="preserve">حكما  جمع نمودم؛ انجام: مسبب الاسباب باقی بهانه است...  هرچه خواهد کند که حکم او راست.</w:t>
      </w:r>
    </w:p>
    <w:p>
      <w:pPr>
        <w:pStyle w:val="BookText"/>
      </w:pPr>
      <w:r>
        <w:rPr>
          <w:rFonts w:ascii="IRNazanin" w:hAnsi="IRNazanin" w:eastAsia="IRNazanin" w:cs="IRNazanin"/>
          <w:lang w:bidi="fa-IR"/>
          <w:color w:val="111111"/>
          <w:sz w:val="28"/>
          <w:szCs w:val="28"/>
          <w:rtl/>
        </w:rPr>
        <w:t xml:space="preserve">قسم دوم در طب عملی؛ خط: نسخ و نستعلیق ،کا: محمد كاظم بن محب  علی، تا: شعبان ۱۰۸۱ق؛ كاغذ: کاغذ، فستقى، جلد: میشن ،آلبالویی، ۱۹۹گ ۱۷ سطر، اندازه: ۹/۳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۲ - ۲۲]</w:t>
      </w:r>
    </w:p>
    <w:p>
      <w:pPr>
        <w:pStyle w:val="Heading3"/>
      </w:pPr>
      <w:bookmarkStart w:id="918" w:name="_Toc440"/>
      <w:r>
        <w:t>اسباب اعتلال المملكة و معالجاته / حکومت و سیاست /  عربی</w:t>
      </w:r>
      <w:bookmarkEnd w:id="918"/>
    </w:p>
    <w:p>
      <w:pPr>
        <w:pStyle w:val="BookText"/>
      </w:pPr>
      <w:r>
        <w:rPr>
          <w:rFonts w:ascii="Times New Roman" w:hAnsi="Times New Roman" w:eastAsia="Times New Roman" w:cs="Times New Roman"/>
          <w:lang w:val="en-US" w:bidi="en-US"/>
          <w:color w:val="111111"/>
          <w:sz w:val="28"/>
          <w:szCs w:val="28"/>
          <w:rtl/>
        </w:rPr>
        <w:t xml:space="preserve">asbāb-u i‘tilāl-il-mamlikat-i wa mu‘ālijāt-i-h</w:t>
      </w:r>
    </w:p>
    <w:p>
      <w:pPr>
        <w:pStyle w:val="BookText"/>
      </w:pPr>
      <w:r>
        <w:rPr>
          <w:rFonts w:ascii="IRNazanin" w:hAnsi="IRNazanin" w:eastAsia="IRNazanin" w:cs="IRNazanin"/>
          <w:lang w:bidi="fa-IR"/>
          <w:color w:val="111111"/>
          <w:sz w:val="28"/>
          <w:szCs w:val="28"/>
          <w:rtl/>
        </w:rPr>
        <w:t xml:space="preserve">نیریزی، قطب الدین محمد، ۱۱۰۰ - ۱۱۷۳ قمری</w:t>
      </w:r>
    </w:p>
    <w:p>
      <w:pPr>
        <w:pStyle w:val="BookText"/>
      </w:pPr>
      <w:r>
        <w:rPr>
          <w:rFonts w:ascii="Times New Roman" w:hAnsi="Times New Roman" w:eastAsia="Times New Roman" w:cs="Times New Roman"/>
          <w:lang w:val="en-US" w:bidi="en-US"/>
          <w:color w:val="111111"/>
          <w:sz w:val="28"/>
          <w:szCs w:val="28"/>
          <w:rtl/>
        </w:rPr>
        <w:t xml:space="preserve">(neyrīzī, qotb-od-dīn mohammad (1689 - 1760)</w:t>
      </w:r>
    </w:p>
    <w:p>
      <w:pPr>
        <w:pStyle w:val="BookText"/>
      </w:pPr>
      <w:r>
        <w:rPr>
          <w:rFonts w:ascii="IRNazanin" w:hAnsi="IRNazanin" w:eastAsia="IRNazanin" w:cs="IRNazanin"/>
          <w:lang w:bidi="fa-IR"/>
          <w:color w:val="111111"/>
          <w:sz w:val="28"/>
          <w:szCs w:val="28"/>
          <w:rtl/>
        </w:rPr>
        <w:t xml:space="preserve">مؤلف که در عصر صفوی میزیسته  است، وضعیت ظاهری کشور چون مریض احوال و آشوب زده و مختل می دید با توجه به آیات قرآنی و روایات ائمه هدی به ویژه عهدنامه مالک اشتر به تشخیص اعتلال واختلال و علامات آن و نیز روش معالجات آنها پرداخته و بزرگان را به انتخاب یکی از بزرگان صفوی به حکم قرعه و تن دادن و تمکین کردن به احکام او توصیه کرده است.</w:t>
      </w:r>
    </w:p>
    <w:p>
      <w:pPr>
        <w:pStyle w:val="BookText"/>
      </w:pPr>
      <w:r>
        <w:rPr>
          <w:rFonts w:ascii="IRNazanin" w:hAnsi="IRNazanin" w:eastAsia="IRNazanin" w:cs="IRNazanin"/>
          <w:lang w:bidi="fa-IR"/>
          <w:color w:val="111111"/>
          <w:sz w:val="28"/>
          <w:szCs w:val="28"/>
          <w:rtl/>
        </w:rPr>
        <w:t xml:space="preserve">قم ؛مسجد اعظم؛ شماره نسخه: ۲۲۶۴/۴</w:t>
      </w:r>
    </w:p>
    <w:p>
      <w:pPr>
        <w:pStyle w:val="BookText"/>
      </w:pPr>
      <w:r>
        <w:rPr>
          <w:rFonts w:ascii="Amiri" w:hAnsi="Amiri" w:eastAsia="Amiri" w:cs="Amiri"/>
          <w:lang w:bidi="ar-SA"/>
          <w:color w:val="111111"/>
          <w:sz w:val="28"/>
          <w:szCs w:val="28"/>
          <w:rtl/>
        </w:rPr>
        <w:t xml:space="preserve">آغاز: الحمد لله الذى هو موليكم نعم المولى ونعم النصير و هو القاهر فوق عباده ... اما بعد فيا معاشر العلماء ان هذا الكتاب الذى  لاح</w:t>
      </w:r>
    </w:p>
    <w:p>
      <w:pPr>
        <w:pStyle w:val="BookText"/>
      </w:pPr>
      <w:r>
        <w:rPr>
          <w:rFonts w:ascii="Amiri" w:hAnsi="Amiri" w:eastAsia="Amiri" w:cs="Amiri"/>
          <w:lang w:bidi="ar-SA"/>
          <w:color w:val="111111"/>
          <w:sz w:val="28"/>
          <w:szCs w:val="28"/>
          <w:rtl/>
        </w:rPr>
        <w:t xml:space="preserve">هو الحق القراح و ان كان الحق مراً و لقد  جيء من سبأ ،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26" w:name="pg20365_260159"/>
    <w:bookmarkEnd w:id="126"/>
    <w:p>
      <w:pPr>
        <w:pStyle w:val="BookText"/>
      </w:pPr>
      <w:r>
        <w:rPr>
          <w:rFonts w:ascii="IRNazanin" w:hAnsi="IRNazanin" w:eastAsia="IRNazanin" w:cs="IRNazanin"/>
          <w:lang w:bidi="fa-IR"/>
          <w:color w:val="111111"/>
          <w:sz w:val="28"/>
          <w:szCs w:val="28"/>
          <w:rtl/>
        </w:rPr>
        <w:t xml:space="preserve">انجام: و جعلنا الله واياكم من الذين اخلصوا دينهم الله والا الله الدين الخالص والسلام علينا وعليكم وعلى كل من اتبع الهـدی من المسلمين والمسلمات والمومنين والمؤمنات وصلى الله عـلی محمد و آله الطاهرين.</w:t>
      </w:r>
    </w:p>
    <w:p>
      <w:pPr>
        <w:pStyle w:val="BookText"/>
      </w:pPr>
      <w:r>
        <w:rPr>
          <w:rFonts w:ascii="IRNazanin" w:hAnsi="IRNazanin" w:eastAsia="IRNazanin" w:cs="IRNazanin"/>
          <w:lang w:bidi="fa-IR"/>
          <w:color w:val="111111"/>
          <w:sz w:val="28"/>
          <w:szCs w:val="28"/>
          <w:rtl/>
        </w:rPr>
        <w:t xml:space="preserve">خط: نسخ، بی کا، تا :قرن  ۱۳؛ ۱۴گ، ۱۲ سطر،اندازه: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  [ف مخ: ۳ - ۹۸۷]</w:t>
      </w:r>
    </w:p>
    <w:p>
      <w:pPr>
        <w:pStyle w:val="Heading3"/>
      </w:pPr>
      <w:bookmarkStart w:id="919" w:name="_Toc441"/>
      <w:r>
        <w:t>اسباب الامراض = الاسباب و العلامات / طب / عربی</w:t>
      </w:r>
      <w:bookmarkEnd w:id="919"/>
    </w:p>
    <w:p>
      <w:pPr>
        <w:pStyle w:val="BookText"/>
      </w:pPr>
      <w:r>
        <w:rPr>
          <w:rFonts w:ascii="Times New Roman" w:hAnsi="Times New Roman" w:eastAsia="Times New Roman" w:cs="Times New Roman"/>
          <w:lang w:val="en-US" w:bidi="en-US"/>
          <w:color w:val="111111"/>
          <w:sz w:val="28"/>
          <w:szCs w:val="28"/>
          <w:rtl/>
        </w:rPr>
        <w:t xml:space="preserve">asbāb-ul amrāḍ = al-asbāb wa-l ‘alāmāt</w:t>
      </w:r>
    </w:p>
    <w:p>
      <w:pPr>
        <w:pStyle w:val="BookText"/>
      </w:pPr>
      <w:r>
        <w:rPr>
          <w:rFonts w:ascii="IRNazanin" w:hAnsi="IRNazanin" w:eastAsia="IRNazanin" w:cs="IRNazanin"/>
          <w:lang w:bidi="fa-IR"/>
          <w:color w:val="111111"/>
          <w:sz w:val="28"/>
          <w:szCs w:val="28"/>
          <w:rtl/>
        </w:rPr>
        <w:t xml:space="preserve">قسمتی است از کتاب تقاسيم العلل در بیان امراض مختلف از  سر تا پا</w:t>
      </w:r>
    </w:p>
    <w:p>
      <w:pPr>
        <w:pStyle w:val="BookText"/>
      </w:pPr>
      <w:r>
        <w:rPr>
          <w:rFonts w:ascii="IRNazanin" w:hAnsi="IRNazanin" w:eastAsia="IRNazanin" w:cs="IRNazanin"/>
          <w:lang w:bidi="fa-IR"/>
          <w:color w:val="111111"/>
          <w:sz w:val="28"/>
          <w:szCs w:val="28"/>
          <w:rtl/>
        </w:rPr>
        <w:t xml:space="preserve">آغاز: بسمله، حمدله، صلاه، الصداع، سبب الصداع، اما سـوء مزاج مختلف ساذج موجب بالذات او [لا] بالذات</w:t>
      </w:r>
    </w:p>
    <w:p>
      <w:pPr>
        <w:pStyle w:val="BookText"/>
      </w:pPr>
      <w:r>
        <w:rPr>
          <w:rFonts w:ascii="IRNazanin" w:hAnsi="IRNazanin" w:eastAsia="IRNazanin" w:cs="IRNazanin"/>
          <w:lang w:bidi="fa-IR"/>
          <w:color w:val="111111"/>
          <w:sz w:val="28"/>
          <w:szCs w:val="28"/>
          <w:rtl/>
        </w:rPr>
        <w:t xml:space="preserve">انجام: (فى الوباء) الوباء هو تغير يكون للهواء عن جهة عفـونة واقعة فى الهواء ... فصل ينبغى للطبيب انلا يقتصر على ما فی الكتب ... و زان الكتابة و الله اعلم.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ملک؛ شماره نسخه: ۴۲۳۶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ابوالقاسم بن ابى الفتح اسحاق، تا: سه شنبه ۵ شوال ۵۹۹ق؛ در دنبال نسخه های حب المقل است از تلخیص نظامی حب سورنجان و چند قرص دیگر هم دیده می شود؛ کاغذ: ترمه ،جلد: میشن قهوه ای ۱۹۴گ، ۱۹ سطر، اندازه : 10/8</w:t>
      </w:r>
      <w:r>
        <w:rPr>
          <w:rFonts w:ascii="Times New Roman" w:hAnsi="Times New Roman" w:eastAsia="Times New Roman" w:cs="Times New Roman"/>
          <w:lang w:val="en-US" w:bidi="en-US"/>
          <w:color w:val="111111"/>
          <w:sz w:val="28"/>
          <w:szCs w:val="28"/>
          <w:rtl/>
        </w:rPr>
        <w:t xml:space="preserve">×19/7[</w:t>
      </w:r>
      <w:r>
        <w:rPr>
          <w:rFonts w:ascii="IRNazanin" w:hAnsi="IRNazanin" w:eastAsia="IRNazanin" w:cs="IRNazanin"/>
          <w:lang w:bidi="fa-IR"/>
          <w:color w:val="111111"/>
          <w:sz w:val="28"/>
          <w:szCs w:val="28"/>
          <w:rtl/>
        </w:rPr>
        <w:t xml:space="preserve">ف ۱ - ۲۹  ]</w:t>
      </w:r>
    </w:p>
    <w:p>
      <w:pPr>
        <w:pStyle w:val="BookText"/>
      </w:pPr>
      <w:r>
        <w:rPr>
          <w:rFonts w:ascii="IRNazanin" w:hAnsi="IRNazanin" w:eastAsia="IRNazanin" w:cs="IRNazanin"/>
          <w:lang w:bidi="fa-IR"/>
          <w:color w:val="111111"/>
          <w:sz w:val="28"/>
          <w:szCs w:val="28"/>
          <w:rtl/>
        </w:rPr>
        <w:t xml:space="preserve">۲ . مشهد؛ رضوی؛ شماره نسخه: ۲۲۷۰۶/۷</w:t>
      </w:r>
    </w:p>
    <w:p>
      <w:pPr>
        <w:pStyle w:val="BookText"/>
      </w:pPr>
      <w:r>
        <w:rPr>
          <w:rFonts w:ascii="IRNazanin" w:hAnsi="IRNazanin" w:eastAsia="IRNazanin" w:cs="IRNazanin"/>
          <w:lang w:bidi="fa-IR"/>
          <w:color w:val="111111"/>
          <w:sz w:val="28"/>
          <w:szCs w:val="28"/>
          <w:rtl/>
        </w:rPr>
        <w:t xml:space="preserve">آغاز: برابر؛ انجام: سبب جميع  ذلک يبس و مزاج سوداوی و  الله اعلم</w:t>
      </w:r>
    </w:p>
    <w:p>
      <w:pPr>
        <w:pStyle w:val="BookText"/>
      </w:pPr>
      <w:r>
        <w:rPr>
          <w:rFonts w:ascii="IRNazanin" w:hAnsi="IRNazanin" w:eastAsia="IRNazanin" w:cs="IRNazanin"/>
          <w:lang w:bidi="fa-IR"/>
          <w:color w:val="111111"/>
          <w:sz w:val="28"/>
          <w:szCs w:val="28"/>
          <w:rtl/>
        </w:rPr>
        <w:t xml:space="preserve">خط: نسخ، كا: عبدالعزيز الحكیم، بی تا؛ کاغذ: حنایی، (۱۱۸ - ۱۳۰) ۳۱ سطر، اندازه: 18</w:t>
      </w:r>
      <w:r>
        <w:rPr>
          <w:rFonts w:ascii="Times New Roman" w:hAnsi="Times New Roman" w:eastAsia="Times New Roman" w:cs="Times New Roman"/>
          <w:lang w:val="en-US" w:bidi="en-US"/>
          <w:color w:val="111111"/>
          <w:sz w:val="28"/>
          <w:szCs w:val="28"/>
          <w:rtl/>
        </w:rPr>
        <w:t xml:space="preserve">×26/7</w:t>
      </w:r>
      <w:r>
        <w:rPr>
          <w:rFonts w:ascii="IRNazanin" w:hAnsi="IRNazanin" w:eastAsia="IRNazanin" w:cs="IRNazanin"/>
          <w:lang w:bidi="fa-IR"/>
          <w:color w:val="111111"/>
          <w:sz w:val="28"/>
          <w:szCs w:val="28"/>
          <w:rtl/>
        </w:rPr>
        <w:t xml:space="preserve">سم [ف : ۱۹ - ۵۰۲]</w:t>
      </w:r>
    </w:p>
    <w:p>
      <w:pPr>
        <w:pStyle w:val="Heading3"/>
      </w:pPr>
      <w:bookmarkStart w:id="920" w:name="_Toc442"/>
      <w:r>
        <w:t>اسباب التدوية / طب / فارسى</w:t>
      </w:r>
      <w:bookmarkEnd w:id="920"/>
    </w:p>
    <w:p>
      <w:pPr>
        <w:pStyle w:val="BookText"/>
      </w:pPr>
      <w:r>
        <w:rPr>
          <w:rFonts w:ascii="Times New Roman" w:hAnsi="Times New Roman" w:eastAsia="Times New Roman" w:cs="Times New Roman"/>
          <w:lang w:val="en-US" w:bidi="en-US"/>
          <w:color w:val="111111"/>
          <w:sz w:val="28"/>
          <w:szCs w:val="28"/>
          <w:rtl/>
        </w:rPr>
        <w:t xml:space="preserve">asbāb-ot tadvīye</w:t>
      </w:r>
    </w:p>
    <w:p>
      <w:pPr>
        <w:pStyle w:val="BookText"/>
      </w:pPr>
      <w:r>
        <w:rPr>
          <w:rFonts w:ascii="IRNazanin" w:hAnsi="IRNazanin" w:eastAsia="IRNazanin" w:cs="IRNazanin"/>
          <w:lang w:bidi="fa-IR"/>
          <w:color w:val="111111"/>
          <w:sz w:val="28"/>
          <w:szCs w:val="28"/>
          <w:rtl/>
        </w:rPr>
        <w:t xml:space="preserve">اشلیمر ،فلمنکی، ق ۱۳ قمری</w:t>
      </w:r>
    </w:p>
    <w:p>
      <w:pPr>
        <w:pStyle w:val="BookText"/>
      </w:pPr>
      <w:r>
        <w:rPr>
          <w:rFonts w:ascii="Times New Roman" w:hAnsi="Times New Roman" w:eastAsia="Times New Roman" w:cs="Times New Roman"/>
          <w:lang w:val="en-US" w:bidi="en-US"/>
          <w:color w:val="111111"/>
          <w:sz w:val="28"/>
          <w:szCs w:val="28"/>
          <w:rtl/>
        </w:rPr>
        <w:t xml:space="preserve">(ešlīmer, felemenkī (- 19c)</w:t>
      </w:r>
    </w:p>
    <w:p>
      <w:pPr>
        <w:pStyle w:val="BookText"/>
      </w:pPr>
      <w:r>
        <w:rPr>
          <w:rFonts w:ascii="IRNazanin" w:hAnsi="IRNazanin" w:eastAsia="IRNazanin" w:cs="IRNazanin"/>
          <w:lang w:bidi="fa-IR"/>
          <w:color w:val="111111"/>
          <w:sz w:val="28"/>
          <w:szCs w:val="28"/>
          <w:rtl/>
        </w:rPr>
        <w:t xml:space="preserve">نویسنده که از طبیبان فرنگی مقیم ایران به روزگار ناصرالدین شاه بوده و در دارالفنون تدریس می کرده  است، برای مطالـب درسی خود چندین کتاب نوشته که کتاب حاضر از آن جـمله می باشد این کتاب شامل مقدمه ای است در اسامی شیمیایی داروها به صورت فهرست با مرادف فرنگی هر کلمه در مقـابل آن پس از مقدمه (= فهرست) مطالب مندرج در فهرست به شیوه طبيبان جدید مورد بحث قرار گرفته است. ترجمه از یک از شاگردان اوست.</w:t>
      </w:r>
    </w:p>
    <w:p>
      <w:pPr>
        <w:pStyle w:val="BookText"/>
      </w:pPr>
      <w:r>
        <w:rPr>
          <w:rFonts w:ascii="IRNazanin" w:hAnsi="IRNazanin" w:eastAsia="IRNazanin" w:cs="IRNazanin"/>
          <w:lang w:bidi="fa-IR"/>
          <w:color w:val="111111"/>
          <w:sz w:val="28"/>
          <w:szCs w:val="28"/>
          <w:rtl/>
        </w:rPr>
        <w:t xml:space="preserve">آغاز: مطلب اول در آب در حالتیکه بواسطه قواعد علوم طبيـعیه اجسام را منقسم نمائیم</w:t>
      </w:r>
    </w:p>
    <w:p>
      <w:pPr>
        <w:pStyle w:val="BookText"/>
      </w:pPr>
      <w:r>
        <w:rPr>
          <w:rFonts w:ascii="IRNazanin" w:hAnsi="IRNazanin" w:eastAsia="IRNazanin" w:cs="IRNazanin"/>
          <w:lang w:bidi="fa-IR"/>
          <w:color w:val="111111"/>
          <w:sz w:val="28"/>
          <w:szCs w:val="28"/>
          <w:rtl/>
        </w:rPr>
        <w:t xml:space="preserve">انجام: بل در حین غذا یا در اواخر و ادویه یدیه را میل نمایند</w:t>
      </w:r>
    </w:p>
    <w:p>
      <w:pPr>
        <w:pStyle w:val="BookText"/>
      </w:pPr>
      <w:r>
        <w:rPr>
          <w:rFonts w:ascii="IRNazanin" w:hAnsi="IRNazanin" w:eastAsia="IRNazanin" w:cs="IRNazanin"/>
          <w:lang w:bidi="fa-IR"/>
          <w:color w:val="111111"/>
          <w:sz w:val="28"/>
          <w:szCs w:val="28"/>
          <w:rtl/>
        </w:rPr>
        <w:t xml:space="preserve">[استوری ۲۹۴/۲؛ تاریخ طب ایرانی الگود ۵۰۲ و ۵۱۲؛ امیرکبیر و دارالفنون ۳۱۸ تاریخ مؤسسات تمدنی جدید از محبوبی اردکانی ۲۲۷:۱ و ۳۰۲ و ۳۰۸  ؛ فهرستواره منزوی ۳۲۷۷/۵]</w:t>
      </w:r>
    </w:p>
    <w:p>
      <w:pPr>
        <w:pStyle w:val="BookText"/>
      </w:pPr>
      <w:r>
        <w:rPr>
          <w:rFonts w:ascii="IRNazanin" w:hAnsi="IRNazanin" w:eastAsia="IRNazanin" w:cs="IRNazanin"/>
          <w:lang w:bidi="fa-IR"/>
          <w:color w:val="111111"/>
          <w:sz w:val="28"/>
          <w:szCs w:val="28"/>
          <w:rtl/>
        </w:rPr>
        <w:t xml:space="preserve">١. تهران؛ دانشگاه؛ شماره نسخه: ۹۱۳۴</w:t>
      </w:r>
    </w:p>
    <w:p>
      <w:pPr>
        <w:pStyle w:val="BookText"/>
      </w:pPr>
      <w:r>
        <w:rPr>
          <w:rFonts w:ascii="IRNazanin" w:hAnsi="IRNazanin" w:eastAsia="IRNazanin" w:cs="IRNazanin"/>
          <w:lang w:bidi="fa-IR"/>
          <w:color w:val="111111"/>
          <w:sz w:val="28"/>
          <w:szCs w:val="28"/>
          <w:rtl/>
        </w:rPr>
        <w:t xml:space="preserve">خط: نستعلیق، بی کا، تا: قرن ۱۳ ؛کاغذ: فرنگی رحلی؛ ۲۳۷گ  ،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۳۵سم [ف : ۱۷ - ۳۰۰]</w:t>
      </w:r>
    </w:p>
    <w:p>
      <w:pPr>
        <w:pStyle w:val="BookText"/>
      </w:pPr>
      <w:r>
        <w:rPr>
          <w:rFonts w:ascii="IRNazanin" w:hAnsi="IRNazanin" w:eastAsia="IRNazanin" w:cs="IRNazanin"/>
          <w:lang w:bidi="fa-IR"/>
          <w:color w:val="111111"/>
          <w:sz w:val="28"/>
          <w:szCs w:val="28"/>
          <w:rtl/>
        </w:rPr>
        <w:t xml:space="preserve">۲. تهران؛ دانشگاه؛ شماره نسخه: ۹۱۳۳</w:t>
      </w:r>
    </w:p>
    <w:p>
      <w:pPr>
        <w:pStyle w:val="BookText"/>
      </w:pPr>
      <w:r>
        <w:rPr>
          <w:rFonts w:ascii="IRNazanin" w:hAnsi="IRNazanin" w:eastAsia="IRNazanin" w:cs="IRNazanin"/>
          <w:lang w:bidi="fa-IR"/>
          <w:color w:val="111111"/>
          <w:sz w:val="28"/>
          <w:szCs w:val="28"/>
          <w:rtl/>
        </w:rPr>
        <w:t xml:space="preserve">خط: نستعلیق، بی کا ،تا: ۲۲ شعبان ،۱۲۸۷ق؛ با اشکال ؛کاغذ: فرنگی، ۳۳۶گ، ۲۱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۲۸)، قطع: رحلی، اندازه: ۲۱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۳۴سم [ف : ۱۷ - ۳۰۰]</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ملی؛ شماره نسخه: ۱۰۵۶</w:t>
      </w:r>
    </w:p>
    <w:p>
      <w:pPr>
        <w:pStyle w:val="BookText"/>
      </w:pPr>
      <w:r>
        <w:rPr>
          <w:rFonts w:ascii="IRNazanin" w:hAnsi="IRNazanin" w:eastAsia="IRNazanin" w:cs="IRNazanin"/>
          <w:lang w:bidi="fa-IR"/>
          <w:color w:val="111111"/>
          <w:sz w:val="28"/>
          <w:szCs w:val="28"/>
          <w:rtl/>
        </w:rPr>
        <w:t xml:space="preserve">آغاز و انجام: برابر؛ پایان نسخه: العبد تقى بروجردى ولد مرحمت پناه جاحی شاه محمد بیک غفر الله له بتاريخ بيست و چهارم جمادی الثانی سنه ۱۲۹۲.</w:t>
      </w:r>
    </w:p>
    <w:p>
      <w:pPr>
        <w:pStyle w:val="BookText"/>
      </w:pPr>
      <w:r>
        <w:rPr>
          <w:rFonts w:ascii="IRNazanin" w:hAnsi="IRNazanin" w:eastAsia="IRNazanin" w:cs="IRNazanin"/>
          <w:lang w:bidi="fa-IR"/>
          <w:color w:val="111111"/>
          <w:sz w:val="28"/>
          <w:szCs w:val="28"/>
          <w:rtl/>
        </w:rPr>
        <w:t xml:space="preserve">خط: نسخ، کا: تقی بروجردی، تا: ۲۴ جمادی الثانی ۱۲۹۲ق؛ در اول کتاب آمده،« فهرست مفردات و مرکباب مذکوره و تدبیرات مستعمله در اسباب – التدويه ...»؛ کاغذ: فرنگی، جلد: تیماج آبی، مقوایی، ۳۵۷گ ۲۱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۱۳/۴) اندازه: ۲۱/۵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۳۴سم [ف:</w:t>
      </w:r>
    </w:p>
    <w:p>
      <w:pPr>
        <w:pStyle w:val="BookText"/>
      </w:pPr>
      <w:r>
        <w:rPr>
          <w:rFonts w:ascii="Times New Roman" w:hAnsi="Times New Roman" w:eastAsia="Times New Roman" w:cs="Times New Roman"/>
          <w:lang w:val="en-US" w:bidi="en-US"/>
          <w:color w:val="111111"/>
          <w:sz w:val="28"/>
          <w:szCs w:val="28"/>
          <w:rtl/>
        </w:rPr>
        <w:t xml:space="preserve">3- 74]</w:t>
      </w:r>
    </w:p>
    <w:p>
      <w:pPr>
        <w:pStyle w:val="BookText"/>
      </w:pPr>
      <w:r>
        <w:rPr>
          <w:rFonts w:ascii="IRNazanin" w:hAnsi="IRNazanin" w:eastAsia="IRNazanin" w:cs="IRNazanin"/>
          <w:lang w:bidi="fa-IR"/>
          <w:color w:val="111111"/>
          <w:sz w:val="28"/>
          <w:szCs w:val="28"/>
          <w:rtl/>
        </w:rPr>
        <w:t xml:space="preserve">۴ .تهران؛ مجلس؛ شماره نسخه: ۶۰۰۸</w:t>
      </w:r>
    </w:p>
    <w:p>
      <w:pPr>
        <w:pStyle w:val="BookText"/>
      </w:pPr>
      <w:r>
        <w:rPr>
          <w:rFonts w:ascii="IRNazanin" w:hAnsi="IRNazanin" w:eastAsia="IRNazanin" w:cs="IRNazanin"/>
          <w:lang w:bidi="fa-IR"/>
          <w:color w:val="111111"/>
          <w:sz w:val="28"/>
          <w:szCs w:val="28"/>
          <w:rtl/>
        </w:rPr>
        <w:t xml:space="preserve">کا: رضا پسر محمد حسین خان قاجار سیاح، تا: ۱۲۹۴ق؛ پس از پایان ۸ صفحه یادداشت طبی با قلم دیگر؛کاغذ: فرنگی، جلد: تیماج ،عنابی ۸۱۰ص، ۱۷ سطر، قطع : خشتی،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۱۹ - ۵]</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قم؛ مرعشی؛ شماره نسخه: ۱۱۳۵۲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شکسته نستعلیق و نسخ، كا،موسی تا: شعبان 1296ق؛ مصحح ،برگ های آن پراکندگی دارد؛ مهر: کتابخانه حکیم الهى؛ جلد: کاغذ ،فرنگی ،جلد: تیماج قهوه ای، ۴۲۴گ، ۱۷  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۲۸ - ۵۹۲]</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قم؛ مرعشی؛ شماره نسخه: ۱۰۲۳۶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رجب ۱۳۰۰ق، جا: تهران مدرسه پادشاه در خیابان الماسیه؛ قبل از کتاب فهرست الفبائی نسخه های قرابادین؛ تملک: ابو القاسم ضياء الاطبا فرزند آقا عبدالرحمن بن  جواد تاجر بنارسی هندی با مهرهای «الراجي ابوالقاسم بن عبد الرحمن» (بیضی) و «ابوالقاسم ضياء الاطبا» (بيضى)؛ جلد: تیماج قهوه ای، ۳۴۶گ ۱۱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۲۶-۱۹۹]</w:t>
      </w:r>
    </w:p>
    <w:p>
      <w:pPr>
        <w:pStyle w:val="BookText"/>
      </w:pPr>
      <w:r>
        <w:rPr>
          <w:rFonts w:ascii="IRNazanin" w:hAnsi="IRNazanin" w:eastAsia="IRNazanin" w:cs="IRNazanin"/>
          <w:lang w:bidi="fa-IR"/>
          <w:color w:val="111111"/>
          <w:sz w:val="28"/>
          <w:szCs w:val="28"/>
          <w:rtl/>
        </w:rPr>
        <w:t xml:space="preserve">۷. یزد؛ وزیری؛ شماره نسخه: ۱۳۲۱</w:t>
      </w:r>
    </w:p>
    <w:p>
      <w:pPr>
        <w:pStyle w:val="BookText"/>
      </w:pPr>
      <w:r>
        <w:rPr>
          <w:rFonts w:ascii="IRNazanin" w:hAnsi="IRNazanin" w:eastAsia="IRNazanin" w:cs="IRNazanin"/>
          <w:lang w:bidi="fa-IR"/>
          <w:color w:val="111111"/>
          <w:sz w:val="28"/>
          <w:szCs w:val="28"/>
          <w:rtl/>
        </w:rPr>
        <w:t xml:space="preserve">آغاز: حمدله. و بعد درباره ... خطائی، بیخ نباتی است کثیر الوقوع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27" w:name="pg20365_260160"/>
    <w:bookmarkEnd w:id="127"/>
    <w:p>
      <w:pPr>
        <w:pStyle w:val="BookText"/>
      </w:pPr>
      <w:r>
        <w:rPr>
          <w:rFonts w:ascii="IRNazanin" w:hAnsi="IRNazanin" w:eastAsia="IRNazanin" w:cs="IRNazanin"/>
          <w:lang w:bidi="fa-IR"/>
          <w:color w:val="111111"/>
          <w:sz w:val="28"/>
          <w:szCs w:val="28"/>
          <w:rtl/>
        </w:rPr>
        <w:t xml:space="preserve">و معطر که بری او در کوه های بلند هندوچین و ماچین  در فرنگستان عمومیت دارد؛ انجام: برابر</w:t>
      </w:r>
    </w:p>
    <w:p>
      <w:pPr>
        <w:pStyle w:val="BookText"/>
      </w:pPr>
      <w:r>
        <w:rPr>
          <w:rFonts w:ascii="IRNazanin" w:hAnsi="IRNazanin" w:eastAsia="IRNazanin" w:cs="IRNazanin"/>
          <w:lang w:bidi="fa-IR"/>
          <w:color w:val="111111"/>
          <w:sz w:val="28"/>
          <w:szCs w:val="28"/>
          <w:rtl/>
        </w:rPr>
        <w:t xml:space="preserve">جلد سیم؛خط: نستعلیق، شکسته، بی کا، تا: ۱۷ ذیحجه ۱۳۲۴  ق؛ کاغذ: فرنگی ،جلد: مقوایی با تیماج ،قرمز، ۳۴۳گ، ۱۰ سـطر  (6</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اندازه ۱۰</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١٧سم [ف: ۳ - ۹۲۷]</w:t>
      </w:r>
    </w:p>
    <w:p>
      <w:pPr>
        <w:pStyle w:val="Heading3"/>
      </w:pPr>
      <w:bookmarkStart w:id="921" w:name="_Toc443"/>
      <w:r>
        <w:t>اسباب التدوية / طب / فارسى</w:t>
      </w:r>
      <w:bookmarkEnd w:id="921"/>
    </w:p>
    <w:p>
      <w:pPr>
        <w:pStyle w:val="BookText"/>
      </w:pPr>
      <w:r>
        <w:rPr>
          <w:rFonts w:ascii="Times New Roman" w:hAnsi="Times New Roman" w:eastAsia="Times New Roman" w:cs="Times New Roman"/>
          <w:lang w:val="en-US" w:bidi="en-US"/>
          <w:color w:val="111111"/>
          <w:sz w:val="28"/>
          <w:szCs w:val="28"/>
          <w:rtl/>
        </w:rPr>
        <w:t xml:space="preserve">asbāb-ot tadvīye</w:t>
      </w:r>
    </w:p>
    <w:p>
      <w:pPr>
        <w:pStyle w:val="BookText"/>
      </w:pPr>
      <w:r>
        <w:rPr>
          <w:rFonts w:ascii="IRNazanin" w:hAnsi="IRNazanin" w:eastAsia="IRNazanin" w:cs="IRNazanin"/>
          <w:lang w:bidi="fa-IR"/>
          <w:color w:val="111111"/>
          <w:sz w:val="28"/>
          <w:szCs w:val="28"/>
          <w:rtl/>
        </w:rPr>
        <w:t xml:space="preserve">طبیبی ،کرمانی ق۱۳ قمری</w:t>
      </w:r>
    </w:p>
    <w:p>
      <w:pPr>
        <w:pStyle w:val="BookText"/>
      </w:pPr>
      <w:r>
        <w:rPr>
          <w:rFonts w:ascii="Times New Roman" w:hAnsi="Times New Roman" w:eastAsia="Times New Roman" w:cs="Times New Roman"/>
          <w:lang w:val="en-US" w:bidi="en-US"/>
          <w:color w:val="111111"/>
          <w:sz w:val="28"/>
          <w:szCs w:val="28"/>
          <w:rtl/>
        </w:rPr>
        <w:t xml:space="preserve">(tabībī kermānī (- 19c)</w:t>
      </w:r>
    </w:p>
    <w:p>
      <w:pPr>
        <w:pStyle w:val="BookText"/>
      </w:pPr>
      <w:r>
        <w:rPr>
          <w:rFonts w:ascii="IRNazanin" w:hAnsi="IRNazanin" w:eastAsia="IRNazanin" w:cs="IRNazanin"/>
          <w:lang w:bidi="fa-IR"/>
          <w:color w:val="111111"/>
          <w:sz w:val="28"/>
          <w:szCs w:val="28"/>
          <w:rtl/>
        </w:rPr>
        <w:t xml:space="preserve">در هزار مطلب در طب زمان قاجار</w:t>
      </w:r>
    </w:p>
    <w:p>
      <w:pPr>
        <w:pStyle w:val="BookText"/>
      </w:pPr>
      <w:r>
        <w:rPr>
          <w:rFonts w:ascii="IRNazanin" w:hAnsi="IRNazanin" w:eastAsia="IRNazanin" w:cs="IRNazanin"/>
          <w:lang w:bidi="fa-IR"/>
          <w:color w:val="111111"/>
          <w:sz w:val="28"/>
          <w:szCs w:val="28"/>
          <w:rtl/>
        </w:rPr>
        <w:t xml:space="preserve">[فهرستواره منزوی (۳۲۷۷/۵]</w:t>
      </w:r>
    </w:p>
    <w:p>
      <w:pPr>
        <w:pStyle w:val="BookText"/>
      </w:pPr>
      <w:r>
        <w:rPr>
          <w:rFonts w:ascii="IRNazanin" w:hAnsi="IRNazanin" w:eastAsia="IRNazanin" w:cs="IRNazanin"/>
          <w:lang w:bidi="fa-IR"/>
          <w:color w:val="111111"/>
          <w:sz w:val="28"/>
          <w:szCs w:val="28"/>
          <w:rtl/>
        </w:rPr>
        <w:t xml:space="preserve">تهران؛ دانشگاه شماره نسخه: ۷۴۰۲</w:t>
      </w:r>
    </w:p>
    <w:p>
      <w:pPr>
        <w:pStyle w:val="BookText"/>
      </w:pPr>
      <w:r>
        <w:rPr>
          <w:rFonts w:ascii="IRNazanin" w:hAnsi="IRNazanin" w:eastAsia="IRNazanin" w:cs="IRNazanin"/>
          <w:lang w:bidi="fa-IR"/>
          <w:color w:val="111111"/>
          <w:sz w:val="28"/>
          <w:szCs w:val="28"/>
          <w:rtl/>
        </w:rPr>
        <w:t xml:space="preserve">خط: نستعليق،كاتب - مؤلف، تا: جمعه ۱۲ ذیحجه ۱۲۹۲ق؛ فهرست نویسانده در روز دوشنبه ۱۵ ذیحجه ۱۲۹۳ در دارالفنون ؛کاغذ: فرنگی ،جلد: تیماج تریاکی  مقوایی، ۲۷۷گ ۲۰ سـطر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 قطع: خشتی اندازه: ۱۶/۵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 ۱۶ - ۵۴۶]</w:t>
      </w:r>
    </w:p>
    <w:p>
      <w:pPr>
        <w:pStyle w:val="Heading3"/>
      </w:pPr>
      <w:bookmarkStart w:id="922" w:name="_Toc444"/>
      <w:r>
        <w:t>اسباب حدوث الحروف = معرفة حدوث الحروف  = مخارج الحروف = مخارج الصوت / فلسفه / عربي</w:t>
      </w:r>
      <w:bookmarkEnd w:id="922"/>
    </w:p>
    <w:p>
      <w:pPr>
        <w:pStyle w:val="BookText"/>
      </w:pPr>
      <w:r>
        <w:rPr>
          <w:rFonts w:ascii="Times New Roman" w:hAnsi="Times New Roman" w:eastAsia="Times New Roman" w:cs="Times New Roman"/>
          <w:lang w:val="en-US" w:bidi="en-US"/>
          <w:color w:val="111111"/>
          <w:sz w:val="28"/>
          <w:szCs w:val="28"/>
          <w:rtl/>
        </w:rPr>
        <w:t xml:space="preserve">asbāb-u ḥudūṯ-il ḥurūf = m‘rifat-u ḥudūṯ-il ḥurūf =</w:t>
      </w:r>
    </w:p>
    <w:p>
      <w:pPr>
        <w:pStyle w:val="BookText"/>
      </w:pPr>
      <w:r>
        <w:rPr>
          <w:rFonts w:ascii="Times New Roman" w:hAnsi="Times New Roman" w:eastAsia="Times New Roman" w:cs="Times New Roman"/>
          <w:lang w:val="en-US" w:bidi="en-US"/>
          <w:color w:val="111111"/>
          <w:sz w:val="28"/>
          <w:szCs w:val="28"/>
          <w:rtl/>
        </w:rPr>
        <w:t xml:space="preserve">mxārij-ul ḥurūf = mxārij-uṣ ṣawt</w:t>
      </w:r>
    </w:p>
    <w:p>
      <w:pPr>
        <w:pStyle w:val="BookText"/>
      </w:pPr>
      <w:r>
        <w:rPr>
          <w:rFonts w:ascii="IRNazanin" w:hAnsi="IRNazanin" w:eastAsia="IRNazanin" w:cs="IRNazanin"/>
          <w:lang w:bidi="fa-IR"/>
          <w:color w:val="111111"/>
          <w:sz w:val="28"/>
          <w:szCs w:val="28"/>
          <w:rtl/>
        </w:rPr>
        <w:t xml:space="preserve">ابن سینا حسین بن عبد الله، ۳۷۰ - ۴۲۸ قمری</w:t>
      </w:r>
    </w:p>
    <w:p>
      <w:pPr>
        <w:pStyle w:val="BookText"/>
      </w:pPr>
      <w:r>
        <w:rPr>
          <w:rFonts w:ascii="Times New Roman" w:hAnsi="Times New Roman" w:eastAsia="Times New Roman" w:cs="Times New Roman"/>
          <w:lang w:val="en-US" w:bidi="en-US"/>
          <w:color w:val="111111"/>
          <w:sz w:val="28"/>
          <w:szCs w:val="28"/>
          <w:rtl/>
        </w:rPr>
        <w:t xml:space="preserve">(ebn-e sīnā, hoseyn ebn-e ‘abd-ol-lāh (981 - 1038)</w:t>
      </w:r>
    </w:p>
    <w:p>
      <w:pPr>
        <w:pStyle w:val="BookText"/>
      </w:pPr>
      <w:r>
        <w:rPr>
          <w:rFonts w:ascii="IRNazanin" w:hAnsi="IRNazanin" w:eastAsia="IRNazanin" w:cs="IRNazanin"/>
          <w:lang w:bidi="fa-IR"/>
          <w:color w:val="111111"/>
          <w:sz w:val="28"/>
          <w:szCs w:val="28"/>
          <w:rtl/>
        </w:rPr>
        <w:t xml:space="preserve">به خواهش ابو منصور محمد بن على بن عمر بن جبان</w:t>
      </w:r>
    </w:p>
    <w:p>
      <w:pPr>
        <w:pStyle w:val="BookText"/>
      </w:pPr>
      <w:r>
        <w:rPr>
          <w:rFonts w:ascii="IRNazanin" w:hAnsi="IRNazanin" w:eastAsia="IRNazanin" w:cs="IRNazanin"/>
          <w:lang w:bidi="fa-IR"/>
          <w:color w:val="111111"/>
          <w:sz w:val="28"/>
          <w:szCs w:val="28"/>
          <w:rtl/>
        </w:rPr>
        <w:t xml:space="preserve">رساله ای است در چگونگی  حروف، شامل شش «فصل»:1. حدوث صوت؛ ۲. سبب حدوث حروف؛ ٣. تشریح حنجره زبان؛ ۴ .اسباب حرف از حروف؛ ۵. حروف مشبهه به این حروف؛ ۶. در این که این حروف گاهی از حرکاتی غیرنطقی شنیده می شوند. دکتر مهدوی سه کتاب یا سه روایت با این نام می شناساند که سومین آنها مطابق این رساله است این رساله  نیز بیش از یک تحریر دارد</w:t>
      </w:r>
    </w:p>
    <w:p>
      <w:pPr>
        <w:pStyle w:val="BookText"/>
      </w:pPr>
      <w:r>
        <w:rPr>
          <w:rFonts w:ascii="IRNazanin" w:hAnsi="IRNazanin" w:eastAsia="IRNazanin" w:cs="IRNazanin"/>
          <w:lang w:bidi="fa-IR"/>
          <w:color w:val="111111"/>
          <w:sz w:val="28"/>
          <w:szCs w:val="28"/>
          <w:rtl/>
        </w:rPr>
        <w:t xml:space="preserve">آغاز ۱: بسمله الحمد لله وحده حمداً يستأهله بعظمة ذاته و بسعة رحمته و فیضان جوده و صلوته على نبيه محمد و آله و بعد فلیس كل قابل هديته محتاجاً اليها ولاكل طالب تحفة. فاقداً لها بل  ربما آثر الغنى فى ذلك اكرام الفقير و توخى الكبير به البسط من الصغير و الشيخ الكريم و الاستاذ ابومنصور محمد بن على عمر ادام الله فضله</w:t>
      </w:r>
    </w:p>
    <w:p>
      <w:pPr>
        <w:pStyle w:val="BookText"/>
      </w:pPr>
      <w:r>
        <w:rPr>
          <w:rFonts w:ascii="Amiri" w:hAnsi="Amiri" w:eastAsia="Amiri" w:cs="Amiri"/>
          <w:lang w:bidi="ar-SA"/>
          <w:color w:val="111111"/>
          <w:sz w:val="28"/>
          <w:szCs w:val="28"/>
          <w:rtl/>
        </w:rPr>
        <w:t xml:space="preserve">آغاز ۲: بسمله، ما كل من يقبل هديه اواتهب شيئا يكون عادما لذلك الشيء فقد يقبل الغنى من الفقير عرضا... والاسـتاذ ابو منصور محمد بن على بن عمر بن جبان طلب منى طلب مباسطة لاطلب افتقار أن أكتب له الحاصل عندى من معرفة  حدوث الحروف و اختلافها في المسموع في رسالة موجزة</w:t>
      </w:r>
    </w:p>
    <w:p>
      <w:pPr>
        <w:pStyle w:val="BookText"/>
      </w:pPr>
      <w:r>
        <w:rPr>
          <w:rFonts w:ascii="Amiri" w:hAnsi="Amiri" w:eastAsia="Amiri" w:cs="Amiri"/>
          <w:lang w:bidi="ar-SA"/>
          <w:color w:val="111111"/>
          <w:sz w:val="28"/>
          <w:szCs w:val="28"/>
          <w:rtl/>
        </w:rPr>
        <w:t xml:space="preserve">انجام ١: و الياء عن قلع الاجسام اللينة المتلاصقة بعضها ببعض و اظن اني قد بلغت الكفاية و عبرت عن المقدار الذى نبلغه من المعرفة تقرباً الى الشيخ الكريم الاستاذ جعلني الله فداه فههنا اختم الرسالة متوكلا على الله فهو حسبى و نعم الوكيل</w:t>
      </w:r>
    </w:p>
    <w:p>
      <w:pPr>
        <w:pStyle w:val="BookText"/>
      </w:pPr>
      <w:r>
        <w:rPr>
          <w:rFonts w:ascii="Amiri" w:hAnsi="Amiri" w:eastAsia="Amiri" w:cs="Amiri"/>
          <w:lang w:bidi="ar-SA"/>
          <w:color w:val="111111"/>
          <w:sz w:val="28"/>
          <w:szCs w:val="28"/>
          <w:rtl/>
        </w:rPr>
        <w:t xml:space="preserve">انجام ۲: و يسمع اكثرها من الطيور و من لغات أهم شبيهة اللغات بنغم الطيور. و الظن انى قد بلغت الكفاية و عبرت عن المقدار الذي تبلغه معرفتى فجاز ان اختم الرسالة. تمت رسالة مخارج الصوت و الحروف لابي على، رح.</w:t>
      </w:r>
    </w:p>
    <w:p>
      <w:pPr>
        <w:pStyle w:val="BookText"/>
      </w:pPr>
      <w:r>
        <w:rPr>
          <w:rFonts w:ascii="IRNazanin" w:hAnsi="IRNazanin" w:eastAsia="IRNazanin" w:cs="IRNazanin"/>
          <w:lang w:bidi="fa-IR"/>
          <w:color w:val="111111"/>
          <w:sz w:val="28"/>
          <w:szCs w:val="28"/>
          <w:rtl/>
        </w:rPr>
        <w:t xml:space="preserve">چاپ: قاهره، ۱۳۳۲ق و ۱۳۴۸ق</w:t>
      </w:r>
    </w:p>
    <w:p>
      <w:pPr>
        <w:pStyle w:val="BookText"/>
      </w:pPr>
      <w:r>
        <w:rPr>
          <w:rFonts w:ascii="IRNazanin" w:hAnsi="IRNazanin" w:eastAsia="IRNazanin" w:cs="IRNazanin"/>
          <w:lang w:bidi="fa-IR"/>
          <w:color w:val="111111"/>
          <w:sz w:val="28"/>
          <w:szCs w:val="28"/>
          <w:rtl/>
        </w:rPr>
        <w:t xml:space="preserve">[الذريعة 2/ 11؛ فهرست آثار ابن سینا (مجله ،معارف دوره نهم شماره ۲)؛  الاوقاف العامة موصل ،۹۳/۲ ،مهدوی، فهرست مصنفات ۳۰ ؛دنا ۱: 716(27) :نسخه بعضی از نسخه ها مربوطه به رساله «حدوث الحروف» ابن سیناست که  خلط شده)]</w:t>
      </w:r>
    </w:p>
    <w:p>
      <w:pPr>
        <w:pStyle w:val="BookText"/>
      </w:pPr>
      <w:r>
        <w:rPr>
          <w:rFonts w:ascii="IRNazanin" w:hAnsi="IRNazanin" w:eastAsia="IRNazanin" w:cs="IRNazanin"/>
          <w:lang w:bidi="fa-IR"/>
          <w:color w:val="111111"/>
          <w:sz w:val="28"/>
          <w:szCs w:val="28"/>
          <w:rtl/>
        </w:rPr>
        <w:t xml:space="preserve">۱. تهران؛ مجلس؛ شماره نسخه: ۵۹۹/۵</w:t>
      </w:r>
    </w:p>
    <w:p>
      <w:pPr>
        <w:pStyle w:val="BookText"/>
      </w:pPr>
      <w:r>
        <w:rPr>
          <w:rFonts w:ascii="IRNazanin" w:hAnsi="IRNazanin" w:eastAsia="IRNazanin" w:cs="IRNazanin"/>
          <w:lang w:bidi="fa-IR"/>
          <w:color w:val="111111"/>
          <w:sz w:val="28"/>
          <w:szCs w:val="28"/>
          <w:rtl/>
        </w:rPr>
        <w:t xml:space="preserve">آغاز: برابر ۱</w:t>
      </w:r>
    </w:p>
    <w:p>
      <w:pPr>
        <w:pStyle w:val="BookText"/>
      </w:pPr>
      <w:r>
        <w:rPr>
          <w:rFonts w:ascii="IRNazanin" w:hAnsi="IRNazanin" w:eastAsia="IRNazanin" w:cs="IRNazanin"/>
          <w:lang w:bidi="fa-IR"/>
          <w:color w:val="111111"/>
          <w:sz w:val="28"/>
          <w:szCs w:val="28"/>
          <w:rtl/>
        </w:rPr>
        <w:t xml:space="preserve">مشتمل بر شش فصل، فصل چهارم و پنجم و ششم که در نسخه دیگر با این نسخه موافق نبوده عیناً در آخر مندرج گردیده؛ خط: نسخ، کا: نوح بن يوسف بن علی  سیرافی، تا: چهارشنبه ۱۵ رجب ۵۶۹ ق؛ قطع ،وزیری،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۱۹/۵سم [ف: ۲ - ۳۵۶]</w:t>
      </w:r>
    </w:p>
    <w:p>
      <w:pPr>
        <w:pStyle w:val="BookText"/>
      </w:pPr>
      <w:r>
        <w:rPr>
          <w:rFonts w:ascii="IRNazanin" w:hAnsi="IRNazanin" w:eastAsia="IRNazanin" w:cs="IRNazanin"/>
          <w:lang w:bidi="fa-IR"/>
          <w:color w:val="111111"/>
          <w:sz w:val="28"/>
          <w:szCs w:val="28"/>
          <w:rtl/>
        </w:rPr>
        <w:t xml:space="preserve">تهران؛ دانشگاه؛ شماره نسخه: ۱۰۹۴/۵ -ف و ۴۷۶۰/۱-ف</w:t>
      </w:r>
    </w:p>
    <w:p>
      <w:pPr>
        <w:pStyle w:val="BookText"/>
      </w:pPr>
      <w:r>
        <w:rPr>
          <w:rFonts w:ascii="IRNazanin" w:hAnsi="IRNazanin" w:eastAsia="IRNazanin" w:cs="IRNazanin"/>
          <w:lang w:bidi="fa-IR"/>
          <w:color w:val="111111"/>
          <w:sz w:val="28"/>
          <w:szCs w:val="28"/>
          <w:rtl/>
        </w:rPr>
        <w:t xml:space="preserve">نسخه  اصل: همان نسخه بالا [فیلم ها-ف: ۱ - ۵۶۴ و ۳ - ۱۰۳]</w:t>
      </w:r>
    </w:p>
    <w:p>
      <w:pPr>
        <w:pStyle w:val="BookText"/>
      </w:pPr>
      <w:r>
        <w:rPr>
          <w:rFonts w:ascii="IRNazanin" w:hAnsi="IRNazanin" w:eastAsia="IRNazanin" w:cs="IRNazanin"/>
          <w:lang w:bidi="fa-IR"/>
          <w:color w:val="111111"/>
          <w:sz w:val="28"/>
          <w:szCs w:val="28"/>
          <w:rtl/>
        </w:rPr>
        <w:t xml:space="preserve">۲. تهران؛ دانشگاه؛ شماره نسخه: ۲۳۰/۴-ف</w:t>
      </w:r>
    </w:p>
    <w:p>
      <w:pPr>
        <w:pStyle w:val="BookText"/>
      </w:pPr>
      <w:r>
        <w:rPr>
          <w:rFonts w:ascii="IRNazanin" w:hAnsi="IRNazanin" w:eastAsia="IRNazanin" w:cs="IRNazanin"/>
          <w:lang w:bidi="fa-IR"/>
          <w:color w:val="111111"/>
          <w:sz w:val="28"/>
          <w:szCs w:val="28"/>
          <w:rtl/>
        </w:rPr>
        <w:t xml:space="preserve">نسخ اصل: اونیورسیته ش .۴۷۱۱. در شش فصل؛ خط: نسخ، کا: الحوفى المتطبب، تا: اوایل شعبان ۵۷۰ ق؛ در پایان آمده «و کتبه الحوفى المتطبب في اوائل شعبان سنة ثمان سبعين و خمسمائة يومئذ و صلاح الدين يوسف بن ابوب نایبا بباب الموصل بالحمامات»؛ ۶گ (۲۸-۳۳)، ۲۴ سطر [ فیلم ها -ف: ۱ - ۴۳۸]</w:t>
      </w:r>
    </w:p>
    <w:p>
      <w:pPr>
        <w:pStyle w:val="BookText"/>
      </w:pPr>
      <w:r>
        <w:rPr>
          <w:rFonts w:ascii="IRNazanin" w:hAnsi="IRNazanin" w:eastAsia="IRNazanin" w:cs="IRNazanin"/>
          <w:lang w:bidi="fa-IR"/>
          <w:color w:val="111111"/>
          <w:sz w:val="28"/>
          <w:szCs w:val="28"/>
          <w:rtl/>
        </w:rPr>
        <w:t xml:space="preserve">3.تهران؛ مهدوی ؛شماره نسخه : ۵۸۷/۱۵</w:t>
      </w:r>
    </w:p>
    <w:p>
      <w:pPr>
        <w:pStyle w:val="BookText"/>
      </w:pPr>
      <w:r>
        <w:rPr>
          <w:rFonts w:ascii="IRNazanin" w:hAnsi="IRNazanin" w:eastAsia="IRNazanin" w:cs="IRNazanin"/>
          <w:lang w:bidi="fa-IR"/>
          <w:color w:val="111111"/>
          <w:sz w:val="28"/>
          <w:szCs w:val="28"/>
          <w:rtl/>
        </w:rPr>
        <w:t xml:space="preserve">خط: نسخ، بی کا، تا: قرن ۶؛ ۶گ (۲۲۲پ-۲۱۷پ)، ۲۲ سطر  [ نشریه: ۲-۱۲۴]</w:t>
      </w:r>
    </w:p>
    <w:p>
      <w:pPr>
        <w:pStyle w:val="BookText"/>
      </w:pPr>
      <w:r>
        <w:rPr>
          <w:rFonts w:ascii="IRNazanin" w:hAnsi="IRNazanin" w:eastAsia="IRNazanin" w:cs="IRNazanin"/>
          <w:lang w:bidi="fa-IR"/>
          <w:color w:val="111111"/>
          <w:sz w:val="28"/>
          <w:szCs w:val="28"/>
          <w:rtl/>
        </w:rPr>
        <w:t xml:space="preserve">تهران؛ دانشگاه؛ شماره نسخه: ۱۰۹۱/۱۵-ف</w:t>
      </w:r>
    </w:p>
    <w:p>
      <w:pPr>
        <w:pStyle w:val="BookText"/>
      </w:pPr>
      <w:r>
        <w:rPr>
          <w:rFonts w:ascii="IRNazanin" w:hAnsi="IRNazanin" w:eastAsia="IRNazanin" w:cs="IRNazanin"/>
          <w:lang w:bidi="fa-IR"/>
          <w:color w:val="111111"/>
          <w:sz w:val="28"/>
          <w:szCs w:val="28"/>
          <w:rtl/>
        </w:rPr>
        <w:t xml:space="preserve">نسخه اصل: همان نسخه بالا [ فیلم ها-ف: ۱ - ۵۶۴]</w:t>
      </w:r>
    </w:p>
    <w:p>
      <w:pPr>
        <w:pStyle w:val="BookText"/>
      </w:pPr>
      <w:r>
        <w:rPr>
          <w:rFonts w:ascii="IRNazanin" w:hAnsi="IRNazanin" w:eastAsia="IRNazanin" w:cs="IRNazanin"/>
          <w:lang w:bidi="fa-IR"/>
          <w:color w:val="111111"/>
          <w:sz w:val="28"/>
          <w:szCs w:val="28"/>
          <w:rtl/>
        </w:rPr>
        <w:t xml:space="preserve">4.تهران؛ ملک؛ شماره نسخه: ۴۶۵۱/۱۰</w:t>
      </w:r>
    </w:p>
    <w:p>
      <w:pPr>
        <w:pStyle w:val="BookText"/>
      </w:pPr>
      <w:r>
        <w:rPr>
          <w:rFonts w:ascii="IRNazanin" w:hAnsi="IRNazanin" w:eastAsia="IRNazanin" w:cs="IRNazanin"/>
          <w:lang w:bidi="fa-IR"/>
          <w:color w:val="111111"/>
          <w:sz w:val="28"/>
          <w:szCs w:val="28"/>
          <w:rtl/>
        </w:rPr>
        <w:t xml:space="preserve">خط: نسخ، بی کا، تا: قرن ۷؛ کاغذ: نوعی ترمه، جلد: میشن سیاه، اندازه :12/7</w:t>
      </w:r>
      <w:r>
        <w:rPr>
          <w:rFonts w:ascii="Times New Roman" w:hAnsi="Times New Roman" w:eastAsia="Times New Roman" w:cs="Times New Roman"/>
          <w:lang w:val="en-US" w:bidi="en-US"/>
          <w:color w:val="111111"/>
          <w:sz w:val="28"/>
          <w:szCs w:val="28"/>
          <w:rtl/>
        </w:rPr>
        <w:t xml:space="preserve">×21/4</w:t>
      </w:r>
      <w:r>
        <w:rPr>
          <w:rFonts w:ascii="IRNazanin" w:hAnsi="IRNazanin" w:eastAsia="IRNazanin" w:cs="IRNazanin"/>
          <w:lang w:bidi="fa-IR"/>
          <w:color w:val="111111"/>
          <w:sz w:val="28"/>
          <w:szCs w:val="28"/>
          <w:rtl/>
        </w:rPr>
        <w:t xml:space="preserve">سم [ف: ۷ - ۴۵۱]</w:t>
      </w:r>
    </w:p>
    <w:p>
      <w:pPr>
        <w:pStyle w:val="BookText"/>
      </w:pPr>
      <w:r>
        <w:rPr>
          <w:rFonts w:ascii="IRNazanin" w:hAnsi="IRNazanin" w:eastAsia="IRNazanin" w:cs="IRNazanin"/>
          <w:lang w:bidi="fa-IR"/>
          <w:color w:val="111111"/>
          <w:sz w:val="28"/>
          <w:szCs w:val="28"/>
          <w:rtl/>
        </w:rPr>
        <w:t xml:space="preserve">۵. تهران؛ دانشگاه؛ شماره نسخه: ۴۳۸/۱۴-ف</w:t>
      </w:r>
    </w:p>
    <w:p>
      <w:pPr>
        <w:pStyle w:val="BookText"/>
      </w:pPr>
      <w:r>
        <w:rPr>
          <w:rFonts w:ascii="IRNazanin" w:hAnsi="IRNazanin" w:eastAsia="IRNazanin" w:cs="IRNazanin"/>
          <w:lang w:bidi="fa-IR"/>
          <w:color w:val="111111"/>
          <w:sz w:val="28"/>
          <w:szCs w:val="28"/>
          <w:rtl/>
        </w:rPr>
        <w:t xml:space="preserve">نسخه اصل: نسخه  اصل: ایاصوفیا ش  ۴۸۵۳؛ بی کا، تا: شاید اوایل  قرن ۷ ؛۷گ( ۱۰۲-۱۰۸) ۲۱ 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 فیلم ها -</w:t>
      </w:r>
    </w:p>
    <w:p>
      <w:pPr>
        <w:pStyle w:val="BookText"/>
      </w:pPr>
      <w:r>
        <w:rPr>
          <w:rFonts w:ascii="IRNazanin" w:hAnsi="IRNazanin" w:eastAsia="IRNazanin" w:cs="IRNazanin"/>
          <w:lang w:bidi="fa-IR"/>
          <w:color w:val="111111"/>
          <w:sz w:val="28"/>
          <w:szCs w:val="28"/>
          <w:rtl/>
        </w:rPr>
        <w:t xml:space="preserve">ف: ۱ - ۴۷۲]</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تهران؛ دانشگاه؛ شماره نسخه: ۱۱۹۰/۲-ف</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28" w:name="pg20365_260161"/>
    <w:bookmarkEnd w:id="128"/>
    <w:p>
      <w:pPr>
        <w:pStyle w:val="BookText"/>
      </w:pPr>
      <w:r>
        <w:rPr>
          <w:rFonts w:ascii="IRNazanin" w:hAnsi="IRNazanin" w:eastAsia="IRNazanin" w:cs="IRNazanin"/>
          <w:lang w:bidi="fa-IR"/>
          <w:color w:val="111111"/>
          <w:sz w:val="28"/>
          <w:szCs w:val="28"/>
          <w:rtl/>
        </w:rPr>
        <w:t xml:space="preserve">آغاز و انجام: برابر ۲</w:t>
      </w:r>
    </w:p>
    <w:p>
      <w:pPr>
        <w:pStyle w:val="BookText"/>
      </w:pPr>
      <w:r>
        <w:rPr>
          <w:rFonts w:ascii="IRNazanin" w:hAnsi="IRNazanin" w:eastAsia="IRNazanin" w:cs="IRNazanin"/>
          <w:lang w:bidi="fa-IR"/>
          <w:color w:val="111111"/>
          <w:sz w:val="28"/>
          <w:szCs w:val="28"/>
          <w:rtl/>
        </w:rPr>
        <w:t xml:space="preserve">نسخه اصل: ایاصوفیا ،۴۸۴۹ بی کا: تا: مقابله شده در 697ق؛ 10گ (4پ- 13ر) [فیلم ها -ف: ۱ - ۵۷۶]</w:t>
      </w:r>
    </w:p>
    <w:p>
      <w:pPr>
        <w:pStyle w:val="BookText"/>
      </w:pPr>
      <w:r>
        <w:rPr>
          <w:rFonts w:ascii="IRNazanin" w:hAnsi="IRNazanin" w:eastAsia="IRNazanin" w:cs="IRNazanin"/>
          <w:lang w:bidi="fa-IR"/>
          <w:color w:val="111111"/>
          <w:sz w:val="28"/>
          <w:szCs w:val="28"/>
          <w:rtl/>
        </w:rPr>
        <w:t xml:space="preserve">تهران؛ دائرة المعارف؛ شماره نسخه: ۳۷۱/۲- عکسی و ۴۳۷/۲- عکسی  و ۳۵۹/۲- عکسی</w:t>
      </w:r>
    </w:p>
    <w:p>
      <w:pPr>
        <w:pStyle w:val="BookText"/>
      </w:pPr>
      <w:r>
        <w:rPr>
          <w:rFonts w:ascii="IRNazanin" w:hAnsi="IRNazanin" w:eastAsia="IRNazanin" w:cs="IRNazanin"/>
          <w:lang w:bidi="fa-IR"/>
          <w:color w:val="111111"/>
          <w:sz w:val="28"/>
          <w:szCs w:val="28"/>
          <w:rtl/>
        </w:rPr>
        <w:t xml:space="preserve">اصل نسخه: همان نسخه بالا [ف: ۲ - ۲۰]</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تهران؛ دانشگاه؛ شماره نسخه: ۲۲۶۴/۲۵-ف</w:t>
      </w:r>
    </w:p>
    <w:p>
      <w:pPr>
        <w:pStyle w:val="BookText"/>
      </w:pPr>
      <w:r>
        <w:rPr>
          <w:rFonts w:ascii="IRNazanin" w:hAnsi="IRNazanin" w:eastAsia="IRNazanin" w:cs="IRNazanin"/>
          <w:lang w:bidi="fa-IR"/>
          <w:color w:val="111111"/>
          <w:sz w:val="28"/>
          <w:szCs w:val="28"/>
          <w:rtl/>
        </w:rPr>
        <w:t xml:space="preserve">نسخه اصل: ایاصوفیا ش ۴۸۲۹؛ بی کا، تا: قرن ۱۰؛ ۳گ (۱۰۵پ- ۱۰۷ پ)، ۳۵ ،سطر،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۳۶سم[ فیلم ها -ف: ۱ - ۶۶۳]</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همدان؛ مدرسه غرب؛ شماره نسخه: ۱۱۸۷/۲۹</w:t>
      </w:r>
    </w:p>
    <w:p>
      <w:pPr>
        <w:pStyle w:val="BookText"/>
      </w:pPr>
      <w:r>
        <w:rPr>
          <w:rFonts w:ascii="IRNazanin" w:hAnsi="IRNazanin" w:eastAsia="IRNazanin" w:cs="IRNazanin"/>
          <w:lang w:bidi="fa-IR"/>
          <w:color w:val="111111"/>
          <w:sz w:val="28"/>
          <w:szCs w:val="28"/>
          <w:rtl/>
        </w:rPr>
        <w:t xml:space="preserve">خط: نسخ، بی کا، تا: قرن ۱۰ یا ۱۱؛ با سر لوح های زرین؛ کاغذ: اصفهانی نازک، ۴گ (۱۵۶ پ -۱۶۰)، ۲۴ 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 اندازه:</w:t>
      </w:r>
    </w:p>
    <w:p>
      <w:pPr>
        <w:pStyle w:val="BookText"/>
      </w:pPr>
      <w:r>
        <w:rPr>
          <w:rFonts w:ascii="IRNazanin" w:hAnsi="IRNazanin" w:eastAsia="IRNazanin" w:cs="IRNazanin"/>
          <w:lang w:bidi="fa-IR"/>
          <w:color w:val="111111"/>
          <w:sz w:val="28"/>
          <w:szCs w:val="28"/>
          <w:rtl/>
        </w:rPr>
        <w:t xml:space="preserve">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۲۷سم [رشت و همدان - ف - ۱۴۷۱]</w:t>
      </w:r>
    </w:p>
    <w:p>
      <w:pPr>
        <w:pStyle w:val="BookText"/>
      </w:pPr>
      <w:r>
        <w:rPr>
          <w:rFonts w:ascii="IRNazanin" w:hAnsi="IRNazanin" w:eastAsia="IRNazanin" w:cs="IRNazanin"/>
          <w:lang w:bidi="fa-IR"/>
          <w:color w:val="111111"/>
          <w:sz w:val="28"/>
          <w:szCs w:val="28"/>
          <w:rtl/>
        </w:rPr>
        <w:t xml:space="preserve">9.تهران؛ مجلس؛ شماره نسخه: ۴۵۴۷/۱۶</w:t>
      </w:r>
    </w:p>
    <w:p>
      <w:pPr>
        <w:pStyle w:val="BookText"/>
      </w:pPr>
      <w:r>
        <w:rPr>
          <w:rFonts w:ascii="IRNazanin" w:hAnsi="IRNazanin" w:eastAsia="IRNazanin" w:cs="IRNazanin"/>
          <w:lang w:bidi="fa-IR"/>
          <w:color w:val="111111"/>
          <w:sz w:val="28"/>
          <w:szCs w:val="28"/>
          <w:rtl/>
        </w:rPr>
        <w:t xml:space="preserve">آغاز: برابر ۲؛ انجام : برابر ۱</w:t>
      </w:r>
    </w:p>
    <w:p>
      <w:pPr>
        <w:pStyle w:val="BookText"/>
      </w:pPr>
      <w:r>
        <w:rPr>
          <w:rFonts w:ascii="IRNazanin" w:hAnsi="IRNazanin" w:eastAsia="IRNazanin" w:cs="IRNazanin"/>
          <w:lang w:bidi="fa-IR"/>
          <w:color w:val="111111"/>
          <w:sz w:val="28"/>
          <w:szCs w:val="28"/>
          <w:rtl/>
        </w:rPr>
        <w:t xml:space="preserve">خط: نستعلیق، بی کا، تا: با تاریخ ۱۰۲۱؛ کاغذ: اصفهانی، جـلد: تیماح قهوه ای ،مقوایی ۸گ (۱۲۸پ-۱۳۶پ)، قطع: ربعی، اندازه:</w:t>
      </w:r>
    </w:p>
    <w:p>
      <w:pPr>
        <w:pStyle w:val="BookText"/>
      </w:pPr>
      <w:r>
        <w:rPr>
          <w:rFonts w:ascii="IRNazanin" w:hAnsi="IRNazanin" w:eastAsia="IRNazanin" w:cs="IRNazanin"/>
          <w:lang w:bidi="fa-IR"/>
          <w:color w:val="111111"/>
          <w:sz w:val="28"/>
          <w:szCs w:val="28"/>
          <w:rtl/>
        </w:rPr>
        <w:t xml:space="preserve">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 ۱۲ - ۲۲۸]</w:t>
      </w:r>
    </w:p>
    <w:p>
      <w:pPr>
        <w:pStyle w:val="BookText"/>
      </w:pPr>
      <w:r>
        <w:rPr>
          <w:rFonts w:ascii="IRNazanin" w:hAnsi="IRNazanin" w:eastAsia="IRNazanin" w:cs="IRNazanin"/>
          <w:lang w:bidi="fa-IR"/>
          <w:color w:val="111111"/>
          <w:sz w:val="28"/>
          <w:szCs w:val="28"/>
          <w:rtl/>
        </w:rPr>
        <w:t xml:space="preserve">تهران؛ دانشگاه؛ شماره نسخه: ۲۷۹۴/۱۶-ف</w:t>
      </w:r>
    </w:p>
    <w:p>
      <w:pPr>
        <w:pStyle w:val="BookText"/>
      </w:pPr>
      <w:r>
        <w:rPr>
          <w:rFonts w:ascii="Amiri" w:hAnsi="Amiri" w:eastAsia="Amiri" w:cs="Amiri"/>
          <w:lang w:bidi="ar-SA"/>
          <w:color w:val="111111"/>
          <w:sz w:val="28"/>
          <w:szCs w:val="28"/>
          <w:rtl/>
        </w:rPr>
        <w:t xml:space="preserve">نسخه اصل: همان نسخه بالا [فيلم ها -ف: ۱ - ۷۳۱]</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تهران؛ مجلس؛ شماره نسخه: ۶۳۴/۲۷</w:t>
      </w:r>
    </w:p>
    <w:p>
      <w:pPr>
        <w:pStyle w:val="BookText"/>
      </w:pPr>
      <w:r>
        <w:rPr>
          <w:rFonts w:ascii="IRNazanin" w:hAnsi="IRNazanin" w:eastAsia="IRNazanin" w:cs="IRNazanin"/>
          <w:lang w:bidi="fa-IR"/>
          <w:color w:val="111111"/>
          <w:sz w:val="28"/>
          <w:szCs w:val="28"/>
          <w:rtl/>
        </w:rPr>
        <w:t xml:space="preserve">آغاز: برابر ۱</w:t>
      </w:r>
    </w:p>
    <w:p>
      <w:pPr>
        <w:pStyle w:val="BookText"/>
      </w:pPr>
      <w:r>
        <w:rPr>
          <w:rFonts w:ascii="IRNazanin" w:hAnsi="IRNazanin" w:eastAsia="IRNazanin" w:cs="IRNazanin"/>
          <w:lang w:bidi="fa-IR"/>
          <w:color w:val="111111"/>
          <w:sz w:val="28"/>
          <w:szCs w:val="28"/>
          <w:rtl/>
        </w:rPr>
        <w:t xml:space="preserve">مشتمل بر شش فصل؛ خط: نستعلیق، بی کا، تا: ۱۰۴۳ق؛ ۳۱ سـطر  ، قطع: بیاضی،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۳۱سم [ف: ۲ - ۳۹۹]</w:t>
      </w:r>
    </w:p>
    <w:p>
      <w:pPr>
        <w:pStyle w:val="BookText"/>
      </w:pPr>
      <w:r>
        <w:rPr>
          <w:rFonts w:ascii="IRNazanin" w:hAnsi="IRNazanin" w:eastAsia="IRNazanin" w:cs="IRNazanin"/>
          <w:lang w:bidi="fa-IR"/>
          <w:color w:val="111111"/>
          <w:sz w:val="28"/>
          <w:szCs w:val="28"/>
          <w:rtl/>
        </w:rPr>
        <w:t xml:space="preserve">۱۱. تهران؛ چهل ستون؛ شماره نسخه: ۳۱۹/۲</w:t>
      </w:r>
    </w:p>
    <w:p>
      <w:pPr>
        <w:pStyle w:val="BookText"/>
      </w:pPr>
      <w:r>
        <w:rPr>
          <w:rFonts w:ascii="IRNazanin" w:hAnsi="IRNazanin" w:eastAsia="IRNazanin" w:cs="IRNazanin"/>
          <w:lang w:bidi="fa-IR"/>
          <w:color w:val="111111"/>
          <w:sz w:val="28"/>
          <w:szCs w:val="28"/>
          <w:rtl/>
        </w:rPr>
        <w:t xml:space="preserve">آغاز: برابر ۲</w:t>
      </w:r>
    </w:p>
    <w:p>
      <w:pPr>
        <w:pStyle w:val="BookText"/>
      </w:pPr>
      <w:r>
        <w:rPr>
          <w:rFonts w:ascii="IRNazanin" w:hAnsi="IRNazanin" w:eastAsia="IRNazanin" w:cs="IRNazanin"/>
          <w:lang w:bidi="fa-IR"/>
          <w:color w:val="111111"/>
          <w:sz w:val="28"/>
          <w:szCs w:val="28"/>
          <w:rtl/>
        </w:rPr>
        <w:t xml:space="preserve">بی  کا، تا: ۱۰۷۷ق؛ ۷گ، قطع: خشتی [چند نسخه-ف: ۳۸۷]</w:t>
      </w:r>
    </w:p>
    <w:p>
      <w:pPr>
        <w:pStyle w:val="BookText"/>
      </w:pPr>
      <w:r>
        <w:rPr>
          <w:rFonts w:ascii="IRNazanin" w:hAnsi="IRNazanin" w:eastAsia="IRNazanin" w:cs="IRNazanin"/>
          <w:lang w:bidi="fa-IR"/>
          <w:color w:val="111111"/>
          <w:sz w:val="28"/>
          <w:szCs w:val="28"/>
          <w:rtl/>
        </w:rPr>
        <w:t xml:space="preserve">۱۲. تهران؛ ملی؛ شماره نسخه: ۹/۷</w:t>
      </w:r>
    </w:p>
    <w:p>
      <w:pPr>
        <w:pStyle w:val="BookText"/>
      </w:pPr>
      <w:r>
        <w:rPr>
          <w:rFonts w:ascii="IRNazanin" w:hAnsi="IRNazanin" w:eastAsia="IRNazanin" w:cs="IRNazanin"/>
          <w:lang w:bidi="fa-IR"/>
          <w:color w:val="111111"/>
          <w:sz w:val="28"/>
          <w:szCs w:val="28"/>
          <w:rtl/>
        </w:rPr>
        <w:t xml:space="preserve">آغاز: برابر ۲؛ انجام: برابر ۱</w:t>
      </w:r>
    </w:p>
    <w:p>
      <w:pPr>
        <w:pStyle w:val="BookText"/>
      </w:pPr>
      <w:r>
        <w:rPr>
          <w:rFonts w:ascii="IRNazanin" w:hAnsi="IRNazanin" w:eastAsia="IRNazanin" w:cs="IRNazanin"/>
          <w:lang w:bidi="fa-IR"/>
          <w:color w:val="111111"/>
          <w:sz w:val="28"/>
          <w:szCs w:val="28"/>
          <w:rtl/>
        </w:rPr>
        <w:t xml:space="preserve">كا: محمد نصير، تا: ۱۱۰۶ق؛ کاغذ: اصفهانی، جلد: تیماج قرمز، یک  لا، ۱۹ ص( ۱۳۳-۱۵۱)، ۱۴ سطر (۶/۵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۱۰/۵) اندازه:۱۰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۱۴/۵سم [ف: ۷ - ۱۳]</w:t>
      </w:r>
    </w:p>
    <w:p>
      <w:pPr>
        <w:pStyle w:val="BookText"/>
      </w:pPr>
      <w:r>
        <w:rPr>
          <w:rFonts w:ascii="IRNazanin" w:hAnsi="IRNazanin" w:eastAsia="IRNazanin" w:cs="IRNazanin"/>
          <w:lang w:bidi="fa-IR"/>
          <w:color w:val="111111"/>
          <w:sz w:val="28"/>
          <w:szCs w:val="28"/>
          <w:rtl/>
        </w:rPr>
        <w:t xml:space="preserve">۱۳. تهران؛ عبد العظیم؛ شماره نسخه: ۶۲۰/۴</w:t>
      </w:r>
    </w:p>
    <w:p>
      <w:pPr>
        <w:pStyle w:val="BookText"/>
      </w:pPr>
      <w:r>
        <w:rPr>
          <w:rFonts w:ascii="IRNazanin" w:hAnsi="IRNazanin" w:eastAsia="IRNazanin" w:cs="IRNazanin"/>
          <w:lang w:bidi="fa-IR"/>
          <w:color w:val="111111"/>
          <w:sz w:val="28"/>
          <w:szCs w:val="28"/>
          <w:rtl/>
        </w:rPr>
        <w:t xml:space="preserve">آغاز و انجام: برابر ۱</w:t>
      </w:r>
    </w:p>
    <w:p>
      <w:pPr>
        <w:pStyle w:val="BookText"/>
      </w:pPr>
      <w:r>
        <w:rPr>
          <w:rFonts w:ascii="IRNazanin" w:hAnsi="IRNazanin" w:eastAsia="IRNazanin" w:cs="IRNazanin"/>
          <w:lang w:bidi="fa-IR"/>
          <w:color w:val="111111"/>
          <w:sz w:val="28"/>
          <w:szCs w:val="28"/>
          <w:rtl/>
        </w:rPr>
        <w:t xml:space="preserve">خط: شکسته نستعلیق، کا: یدالله کجوری ،نظر پاک، تا: ۱۳۵۲ق جا: تهران ۸گ، ۱۲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۲۲/۵سم [ف: ۱ - ۲۳۶]</w:t>
      </w:r>
    </w:p>
    <w:p>
      <w:pPr>
        <w:pStyle w:val="BookText"/>
      </w:pPr>
      <w:r>
        <w:rPr>
          <w:rFonts w:ascii="IRNazanin" w:hAnsi="IRNazanin" w:eastAsia="IRNazanin" w:cs="IRNazanin"/>
          <w:lang w:bidi="fa-IR"/>
          <w:color w:val="111111"/>
          <w:sz w:val="28"/>
          <w:szCs w:val="28"/>
          <w:rtl/>
        </w:rPr>
        <w:t xml:space="preserve">۱۴. تهران؛ مجلس؛ شماره نسخه: ۶۹۱۴/۴</w:t>
      </w:r>
    </w:p>
    <w:p>
      <w:pPr>
        <w:pStyle w:val="BookText"/>
      </w:pPr>
      <w:r>
        <w:rPr>
          <w:rFonts w:ascii="IRNazanin" w:hAnsi="IRNazanin" w:eastAsia="IRNazanin" w:cs="IRNazanin"/>
          <w:lang w:bidi="fa-IR"/>
          <w:color w:val="111111"/>
          <w:sz w:val="28"/>
          <w:szCs w:val="28"/>
          <w:rtl/>
        </w:rPr>
        <w:t xml:space="preserve">خط: نسخ، بی کا، بی تا؛ پس از آن اشعاری پراکنده به فارسی و عربی برخی از محقق سبزواری و آقا میرزا محمود خوئی (اخوی) برخی از تواریخ سلاطین صفویه؛ جلد: تیماج قهوه ای بدون مقـوا،3 گ (۵۷ر - ۱۶۰ر) ۱۸ سطر، اندازه: ۱۷/۵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 ف : ۲۰ - 341]</w:t>
      </w:r>
    </w:p>
    <w:p>
      <w:pPr>
        <w:pStyle w:val="BookText"/>
      </w:pPr>
      <w:r>
        <w:rPr>
          <w:rFonts w:ascii="IRNazanin" w:hAnsi="IRNazanin" w:eastAsia="IRNazanin" w:cs="IRNazanin"/>
          <w:lang w:bidi="fa-IR"/>
          <w:color w:val="111111"/>
          <w:sz w:val="28"/>
          <w:szCs w:val="28"/>
          <w:rtl/>
        </w:rPr>
        <w:t xml:space="preserve">۱۵. مشهد؛ الهیات؛ شماره نسخه: ۴۷۵/۳</w:t>
      </w:r>
    </w:p>
    <w:p>
      <w:pPr>
        <w:pStyle w:val="BookText"/>
      </w:pPr>
      <w:r>
        <w:rPr>
          <w:rFonts w:ascii="IRNazanin" w:hAnsi="IRNazanin" w:eastAsia="IRNazanin" w:cs="IRNazanin"/>
          <w:lang w:bidi="fa-IR"/>
          <w:color w:val="111111"/>
          <w:sz w:val="28"/>
          <w:szCs w:val="28"/>
          <w:rtl/>
        </w:rPr>
        <w:t xml:space="preserve">خط: نسخ، بی کا، بی تا؛ ۲۶ سطر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۸/۵) [ف: ۱ - ۳۵۷]</w:t>
      </w:r>
    </w:p>
    <w:p>
      <w:pPr>
        <w:pStyle w:val="BookText"/>
      </w:pPr>
      <w:r>
        <w:rPr>
          <w:rFonts w:ascii="IRNazanin" w:hAnsi="IRNazanin" w:eastAsia="IRNazanin" w:cs="IRNazanin"/>
          <w:lang w:bidi="fa-IR"/>
          <w:color w:val="111111"/>
          <w:sz w:val="28"/>
          <w:szCs w:val="28"/>
          <w:rtl/>
        </w:rPr>
        <w:t xml:space="preserve">۱۶. تهران؛ دانشگاه؛ شماره نسخه: ۱۱۴۹/۵</w:t>
      </w:r>
    </w:p>
    <w:p>
      <w:pPr>
        <w:pStyle w:val="BookText"/>
      </w:pPr>
      <w:r>
        <w:rPr>
          <w:rFonts w:ascii="IRNazanin" w:hAnsi="IRNazanin" w:eastAsia="IRNazanin" w:cs="IRNazanin"/>
          <w:lang w:bidi="fa-IR"/>
          <w:color w:val="111111"/>
          <w:sz w:val="28"/>
          <w:szCs w:val="28"/>
          <w:rtl/>
        </w:rPr>
        <w:t xml:space="preserve">آغاز و انجام: برابر ۱</w:t>
      </w:r>
    </w:p>
    <w:p>
      <w:pPr>
        <w:pStyle w:val="BookText"/>
      </w:pPr>
      <w:r>
        <w:rPr>
          <w:rFonts w:ascii="IRNazanin" w:hAnsi="IRNazanin" w:eastAsia="IRNazanin" w:cs="IRNazanin"/>
          <w:lang w:bidi="fa-IR"/>
          <w:color w:val="111111"/>
          <w:sz w:val="28"/>
          <w:szCs w:val="28"/>
          <w:rtl/>
        </w:rPr>
        <w:t xml:space="preserve">خط: تعلیق، بی کا، بی تا، کاغذ: سمرقندی کلفت، جلد: تیماج تریاکی ضربی مقوایی، ۴گ (۲۵ پ-۲۸پ)، ۳۱ سطر، اندازه:</w:t>
      </w:r>
    </w:p>
    <w:p>
      <w:pPr>
        <w:pStyle w:val="BookText"/>
      </w:pPr>
      <w:r>
        <w:rPr>
          <w:rFonts w:ascii="IRNazanin" w:hAnsi="IRNazanin" w:eastAsia="IRNazanin" w:cs="IRNazanin"/>
          <w:lang w:bidi="fa-IR"/>
          <w:color w:val="111111"/>
          <w:sz w:val="28"/>
          <w:szCs w:val="28"/>
          <w:rtl/>
        </w:rPr>
        <w:t xml:space="preserve">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۲۳سم [ف: ۶ - ۲۳۹۴]</w:t>
      </w:r>
    </w:p>
    <w:p>
      <w:pPr>
        <w:pStyle w:val="BookText"/>
      </w:pPr>
      <w:r>
        <w:rPr>
          <w:rFonts w:ascii="IRNazanin" w:hAnsi="IRNazanin" w:eastAsia="IRNazanin" w:cs="IRNazanin"/>
          <w:lang w:bidi="fa-IR"/>
          <w:color w:val="111111"/>
          <w:sz w:val="28"/>
          <w:szCs w:val="28"/>
          <w:rtl/>
        </w:rPr>
        <w:t xml:space="preserve">۱۷. شیراز؛ ملی؛ شماره نسخه: ۷۸-ح /۵۹۵/۵</w:t>
      </w:r>
    </w:p>
    <w:p>
      <w:pPr>
        <w:pStyle w:val="BookText"/>
      </w:pPr>
      <w:r>
        <w:rPr>
          <w:rFonts w:ascii="IRNazanin" w:hAnsi="IRNazanin" w:eastAsia="IRNazanin" w:cs="IRNazanin"/>
          <w:lang w:bidi="fa-IR"/>
          <w:color w:val="111111"/>
          <w:sz w:val="28"/>
          <w:szCs w:val="28"/>
          <w:rtl/>
        </w:rPr>
        <w:t xml:space="preserve">آغاز و انجام: برابر ۲</w:t>
      </w:r>
    </w:p>
    <w:p>
      <w:pPr>
        <w:pStyle w:val="BookText"/>
      </w:pPr>
      <w:r>
        <w:rPr>
          <w:rFonts w:ascii="IRNazanin" w:hAnsi="IRNazanin" w:eastAsia="IRNazanin" w:cs="IRNazanin"/>
          <w:lang w:bidi="fa-IR"/>
          <w:color w:val="111111"/>
          <w:sz w:val="28"/>
          <w:szCs w:val="28"/>
          <w:rtl/>
        </w:rPr>
        <w:t xml:space="preserve">خط: نستعلیق، بی کا، بی تا؛ کاغذ: مختلف، جلد: مقوا با تیماج مشکی، ۵گ ۲۶ سطر (7</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۲ - ۱۸۶]</w:t>
      </w:r>
    </w:p>
    <w:p>
      <w:pPr>
        <w:pStyle w:val="Heading3"/>
      </w:pPr>
      <w:bookmarkStart w:id="923" w:name="_Toc445"/>
      <w:r>
        <w:t>اسباب الرعد والبرق / طبیعیات / عربی</w:t>
      </w:r>
      <w:bookmarkEnd w:id="923"/>
    </w:p>
    <w:p>
      <w:pPr>
        <w:pStyle w:val="BookText"/>
      </w:pPr>
      <w:r>
        <w:rPr>
          <w:rFonts w:ascii="Times New Roman" w:hAnsi="Times New Roman" w:eastAsia="Times New Roman" w:cs="Times New Roman"/>
          <w:lang w:val="en-US" w:bidi="en-US"/>
          <w:color w:val="111111"/>
          <w:sz w:val="28"/>
          <w:szCs w:val="28"/>
          <w:rtl/>
        </w:rPr>
        <w:t xml:space="preserve">asbāb-ur ra‘d wa-l barq</w:t>
      </w:r>
    </w:p>
    <w:p>
      <w:pPr>
        <w:pStyle w:val="BookText"/>
      </w:pPr>
      <w:r>
        <w:rPr>
          <w:rFonts w:ascii="IRNazanin" w:hAnsi="IRNazanin" w:eastAsia="IRNazanin" w:cs="IRNazanin"/>
          <w:lang w:bidi="fa-IR"/>
          <w:color w:val="111111"/>
          <w:sz w:val="28"/>
          <w:szCs w:val="28"/>
          <w:rtl/>
        </w:rPr>
        <w:t xml:space="preserve">ابن سينا، حسین بن عبدالله، ۳۷۰؟ - ۴۲۸ قمری</w:t>
      </w:r>
    </w:p>
    <w:p>
      <w:pPr>
        <w:pStyle w:val="BookText"/>
      </w:pPr>
      <w:r>
        <w:rPr>
          <w:rFonts w:ascii="Times New Roman" w:hAnsi="Times New Roman" w:eastAsia="Times New Roman" w:cs="Times New Roman"/>
          <w:lang w:val="en-US" w:bidi="en-US"/>
          <w:color w:val="111111"/>
          <w:sz w:val="28"/>
          <w:szCs w:val="28"/>
          <w:rtl/>
        </w:rPr>
        <w:t xml:space="preserve">(ebn-e sīnā, hoseyn ebn-e ‘abd-ol-lāh (981 - 1038)</w:t>
      </w:r>
    </w:p>
    <w:p>
      <w:pPr>
        <w:pStyle w:val="BookText"/>
      </w:pPr>
      <w:r>
        <w:rPr>
          <w:rFonts w:ascii="IRNazanin" w:hAnsi="IRNazanin" w:eastAsia="IRNazanin" w:cs="IRNazanin"/>
          <w:lang w:bidi="fa-IR"/>
          <w:color w:val="111111"/>
          <w:sz w:val="28"/>
          <w:szCs w:val="28"/>
          <w:rtl/>
        </w:rPr>
        <w:t xml:space="preserve">شیخ الرئیس در این نامه از رعد و برق و صاعقه گفتگو نمود.</w:t>
      </w:r>
    </w:p>
    <w:p>
      <w:pPr>
        <w:pStyle w:val="BookText"/>
      </w:pPr>
      <w:r>
        <w:rPr>
          <w:rFonts w:ascii="IRNazanin" w:hAnsi="IRNazanin" w:eastAsia="IRNazanin" w:cs="IRNazanin"/>
          <w:lang w:bidi="fa-IR"/>
          <w:color w:val="111111"/>
          <w:sz w:val="28"/>
          <w:szCs w:val="28"/>
          <w:rtl/>
        </w:rPr>
        <w:t xml:space="preserve">چاپ: دکن، ۱۳۵۳</w:t>
      </w:r>
    </w:p>
    <w:p>
      <w:pPr>
        <w:pStyle w:val="BookText"/>
      </w:pPr>
      <w:r>
        <w:rPr>
          <w:rFonts w:ascii="IRNazanin" w:hAnsi="IRNazanin" w:eastAsia="IRNazanin" w:cs="IRNazanin"/>
          <w:lang w:bidi="fa-IR"/>
          <w:color w:val="111111"/>
          <w:sz w:val="28"/>
          <w:szCs w:val="28"/>
          <w:rtl/>
        </w:rPr>
        <w:t xml:space="preserve">۱. مشهد؛ رضوی؛ شماره نسخه: ۵۹۰۸</w:t>
      </w:r>
    </w:p>
    <w:p>
      <w:pPr>
        <w:pStyle w:val="BookText"/>
      </w:pPr>
      <w:r>
        <w:rPr>
          <w:rFonts w:ascii="Amiri" w:hAnsi="Amiri" w:eastAsia="Amiri" w:cs="Amiri"/>
          <w:lang w:bidi="ar-SA"/>
          <w:color w:val="111111"/>
          <w:sz w:val="28"/>
          <w:szCs w:val="28"/>
          <w:rtl/>
        </w:rPr>
        <w:t xml:space="preserve">آغاز: تقول ان الارعاد يكون من اسباب سبعة الاول منها انها اذا  تصادمت غمامتان؛ انجام: و على هذه الجملة تتولد الصاعقة</w:t>
      </w:r>
    </w:p>
    <w:p>
      <w:pPr>
        <w:pStyle w:val="BookText"/>
      </w:pPr>
      <w:r>
        <w:rPr>
          <w:rFonts w:ascii="IRNazanin" w:hAnsi="IRNazanin" w:eastAsia="IRNazanin" w:cs="IRNazanin"/>
          <w:lang w:bidi="fa-IR"/>
          <w:color w:val="111111"/>
          <w:sz w:val="28"/>
          <w:szCs w:val="28"/>
          <w:rtl/>
        </w:rPr>
        <w:t xml:space="preserve">خط: نسخ، کا: احمد بن محمد علی اسفیدواجانی کرونی اصفهانی ،تا: شعبان ۱۲۳۸ق؛ در ۱۲۴۱ مقابله شده، مجدول، ،مذهب، با سرلوح مذهب؛ واقف نائینی؛ ۳ص، ۲۷ سطر، اندازه: ۳۰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۴ - ۱۱۳]</w:t>
      </w:r>
    </w:p>
    <w:p>
      <w:pPr>
        <w:pStyle w:val="BookText"/>
      </w:pPr>
      <w:r>
        <w:rPr>
          <w:rFonts w:ascii="IRNazanin" w:hAnsi="IRNazanin" w:eastAsia="IRNazanin" w:cs="IRNazanin"/>
          <w:lang w:bidi="fa-IR"/>
          <w:color w:val="111111"/>
          <w:sz w:val="28"/>
          <w:szCs w:val="28"/>
          <w:rtl/>
        </w:rPr>
        <w:t xml:space="preserve">۲ .تهران؛ دانشگاه؛ شماره نسخه: ۱۰۸۹/۶</w:t>
      </w:r>
    </w:p>
    <w:p>
      <w:pPr>
        <w:pStyle w:val="BookText"/>
      </w:pPr>
      <w:r>
        <w:rPr>
          <w:rFonts w:ascii="IRNazanin" w:hAnsi="IRNazanin" w:eastAsia="IRNazanin" w:cs="IRNazanin"/>
          <w:lang w:bidi="fa-IR"/>
          <w:color w:val="111111"/>
          <w:sz w:val="28"/>
          <w:szCs w:val="28"/>
          <w:rtl/>
        </w:rPr>
        <w:t xml:space="preserve">خط: تعليق، كا: محمد تقی تفرشی و حسن تقدیسی، تا: ۱۳۵۵ -  ۱۳۵۶ق؛ به خط محمد تقی تفرشی به سال ۱۳۵۵ و حسن تقدیسی به سال ۱۳۵۶؛ کاغذ ،فرنگی ،جلد: مقوا ۳ گ (۵۷پ-۵۹پ)، ۱۹  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۳ - ۲۶۳]</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مشهد؛ ادبیات؛ شماره نسخه: ۲۲۸/۱۱ فرخ</w:t>
      </w:r>
    </w:p>
    <w:p>
      <w:pPr>
        <w:pStyle w:val="BookText"/>
      </w:pPr>
      <w:r>
        <w:rPr>
          <w:rFonts w:ascii="Amiri" w:hAnsi="Amiri" w:eastAsia="Amiri" w:cs="Amiri"/>
          <w:lang w:bidi="ar-SA"/>
          <w:color w:val="111111"/>
          <w:sz w:val="28"/>
          <w:szCs w:val="28"/>
          <w:rtl/>
        </w:rPr>
        <w:t xml:space="preserve">آغاز: بسمله نقول ان الارعاد يكون من اسباب سبعه الواحد منها</w:t>
      </w:r>
    </w:p>
    <w:p>
      <w:pPr>
        <w:pStyle w:val="BookText"/>
      </w:pPr>
      <w:r>
        <w:rPr>
          <w:rFonts w:ascii="IRNazanin" w:hAnsi="IRNazanin" w:eastAsia="IRNazanin" w:cs="IRNazanin"/>
          <w:lang w:bidi="fa-IR"/>
          <w:color w:val="111111"/>
          <w:sz w:val="28"/>
          <w:szCs w:val="28"/>
          <w:rtl/>
        </w:rPr>
        <w:t xml:space="preserve">خط: نسخ  و نستعلیق، بی کا، بی تا؛ کاغذ: سپاهانی؛ جلد: تیماج  سوخته عطف و لبه تیماج قهوه ای ۴ ص (۶۴-۶۷) قطع: رقعی</w:t>
      </w:r>
    </w:p>
    <w:p>
      <w:pPr>
        <w:pStyle w:val="BookText"/>
      </w:pPr>
      <w:r>
        <w:rPr>
          <w:rFonts w:ascii="IRNazanin" w:hAnsi="IRNazanin" w:eastAsia="IRNazanin" w:cs="IRNazanin"/>
          <w:lang w:bidi="fa-IR"/>
          <w:color w:val="111111"/>
          <w:sz w:val="28"/>
          <w:szCs w:val="28"/>
          <w:rtl/>
        </w:rPr>
        <w:t xml:space="preserve">اندازه: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۱۹/۵سم [ف: ۲۰۹]</w:t>
      </w:r>
    </w:p>
    <w:p>
      <w:pPr>
        <w:pStyle w:val="Heading3"/>
      </w:pPr>
      <w:bookmarkStart w:id="924" w:name="_Toc446"/>
      <w:r>
        <w:t>اسباب روزی و فقر / اخلاق / فارسی</w:t>
      </w:r>
      <w:bookmarkEnd w:id="924"/>
    </w:p>
    <w:p>
      <w:pPr>
        <w:pStyle w:val="BookText"/>
      </w:pPr>
      <w:r>
        <w:rPr>
          <w:rFonts w:ascii="Times New Roman" w:hAnsi="Times New Roman" w:eastAsia="Times New Roman" w:cs="Times New Roman"/>
          <w:lang w:val="en-US" w:bidi="en-US"/>
          <w:color w:val="111111"/>
          <w:sz w:val="28"/>
          <w:szCs w:val="28"/>
          <w:rtl/>
        </w:rPr>
        <w:t xml:space="preserve">asbāb-e rūzī va faqr</w:t>
      </w:r>
    </w:p>
    <w:p>
      <w:pPr>
        <w:pStyle w:val="BookText"/>
      </w:pPr>
      <w:r>
        <w:rPr>
          <w:rFonts w:ascii="IRNazanin" w:hAnsi="IRNazanin" w:eastAsia="IRNazanin" w:cs="IRNazanin"/>
          <w:lang w:bidi="fa-IR"/>
          <w:color w:val="111111"/>
          <w:sz w:val="28"/>
          <w:szCs w:val="28"/>
          <w:rtl/>
        </w:rPr>
        <w:t xml:space="preserve">نوری ،برزنجی احمد، - ۱۳۲۵ قمری</w:t>
      </w:r>
    </w:p>
    <w:p>
      <w:pPr>
        <w:pStyle w:val="BookText"/>
      </w:pPr>
      <w:r>
        <w:rPr>
          <w:rFonts w:ascii="Times New Roman" w:hAnsi="Times New Roman" w:eastAsia="Times New Roman" w:cs="Times New Roman"/>
          <w:lang w:val="en-US" w:bidi="en-US"/>
          <w:color w:val="111111"/>
          <w:sz w:val="28"/>
          <w:szCs w:val="28"/>
          <w:rtl/>
        </w:rPr>
        <w:t xml:space="preserve">(nūrī barzanjī, ahmad (- 1907)</w:t>
      </w:r>
    </w:p>
    <w:p>
      <w:pPr>
        <w:pStyle w:val="BookText"/>
      </w:pPr>
      <w:r>
        <w:rPr>
          <w:rFonts w:ascii="IRNazanin" w:hAnsi="IRNazanin" w:eastAsia="IRNazanin" w:cs="IRNazanin"/>
          <w:lang w:bidi="fa-IR"/>
          <w:color w:val="111111"/>
          <w:sz w:val="28"/>
          <w:szCs w:val="28"/>
          <w:rtl/>
        </w:rPr>
        <w:t xml:space="preserve">در این رساله به اسباب فقر و منع روزی یا اسباب زیادی مال منال پرداخته، با ذکر روایت هایی مناسب موضوع و چند دعا برای گشایش مشکلات.</w:t>
      </w:r>
    </w:p>
    <w:p>
      <w:pPr>
        <w:pStyle w:val="BookText"/>
      </w:pPr>
      <w:r>
        <w:rPr>
          <w:rFonts w:ascii="IRNazanin" w:hAnsi="IRNazanin" w:eastAsia="IRNazanin" w:cs="IRNazanin"/>
          <w:lang w:bidi="fa-IR"/>
          <w:color w:val="111111"/>
          <w:sz w:val="28"/>
          <w:szCs w:val="28"/>
          <w:rtl/>
        </w:rPr>
        <w:t xml:space="preserve">آغاز: الحمد لله الذى وسع الرزق على من شاء من عباده من عباده ... و عبد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29" w:name="pg20365_260162"/>
    <w:bookmarkEnd w:id="129"/>
    <w:p>
      <w:pPr>
        <w:pStyle w:val="BookText"/>
      </w:pPr>
      <w:r>
        <w:rPr>
          <w:rFonts w:ascii="IRNazanin" w:hAnsi="IRNazanin" w:eastAsia="IRNazanin" w:cs="IRNazanin"/>
          <w:lang w:bidi="fa-IR"/>
          <w:color w:val="111111"/>
          <w:sz w:val="28"/>
          <w:szCs w:val="28"/>
          <w:rtl/>
        </w:rPr>
        <w:t xml:space="preserve">برادران این مکتوب جمیعش برای احبائی که خوانده اند انفع است.</w:t>
      </w:r>
    </w:p>
    <w:p>
      <w:pPr>
        <w:pStyle w:val="BookText"/>
      </w:pPr>
      <w:r>
        <w:rPr>
          <w:rFonts w:ascii="IRNazanin" w:hAnsi="IRNazanin" w:eastAsia="IRNazanin" w:cs="IRNazanin"/>
          <w:lang w:bidi="fa-IR"/>
          <w:color w:val="111111"/>
          <w:sz w:val="28"/>
          <w:szCs w:val="28"/>
          <w:rtl/>
        </w:rPr>
        <w:t xml:space="preserve">انجام: امید است که به برکت حضرتت عليه الصلاة والسلام  نفع کلی ببینند.</w:t>
      </w:r>
    </w:p>
    <w:p>
      <w:pPr>
        <w:pStyle w:val="BookText"/>
      </w:pPr>
      <w:r>
        <w:rPr>
          <w:rFonts w:ascii="IRNazanin" w:hAnsi="IRNazanin" w:eastAsia="IRNazanin" w:cs="IRNazanin"/>
          <w:lang w:bidi="fa-IR"/>
          <w:color w:val="111111"/>
          <w:sz w:val="28"/>
          <w:szCs w:val="28"/>
          <w:rtl/>
        </w:rPr>
        <w:t xml:space="preserve">[فهرستواره منزوی (۳۱۸/۶]</w:t>
      </w:r>
    </w:p>
    <w:p>
      <w:pPr>
        <w:pStyle w:val="BookText"/>
      </w:pPr>
      <w:r>
        <w:rPr>
          <w:rFonts w:ascii="IRNazanin" w:hAnsi="IRNazanin" w:eastAsia="IRNazanin" w:cs="IRNazanin"/>
          <w:lang w:bidi="fa-IR"/>
          <w:color w:val="111111"/>
          <w:sz w:val="28"/>
          <w:szCs w:val="28"/>
          <w:rtl/>
        </w:rPr>
        <w:t xml:space="preserve">قم؛ مرعشی؛ شماره نسخه: ۹۳۴۸/۳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معرب و نستعلیق، کا: ابراهيم بن حاج فيض الله سنندجی ،تا: شنبه ۸ ذیقعده ۱۳۱۲ق؛ جلد: مقوایی عطف وحواشی تیماج قهوه ای، ۱۳گ (۶۴ر-۷۶ر)، ۱۵ سطر، اندازه: ۱۶/۵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۲۴ - ۱۳۹]</w:t>
      </w:r>
    </w:p>
    <w:p>
      <w:pPr>
        <w:pStyle w:val="Heading3"/>
      </w:pPr>
      <w:bookmarkStart w:id="925" w:name="_Toc447"/>
      <w:r>
        <w:t>الاسباب الصادة عن ادراك الصواب / فلسفه / عربي</w:t>
      </w:r>
      <w:bookmarkEnd w:id="925"/>
    </w:p>
    <w:p>
      <w:pPr>
        <w:pStyle w:val="BookText"/>
      </w:pPr>
      <w:r>
        <w:rPr>
          <w:rFonts w:ascii="Times New Roman" w:hAnsi="Times New Roman" w:eastAsia="Times New Roman" w:cs="Times New Roman"/>
          <w:lang w:val="en-US" w:bidi="en-US"/>
          <w:color w:val="111111"/>
          <w:sz w:val="28"/>
          <w:szCs w:val="28"/>
          <w:rtl/>
        </w:rPr>
        <w:t xml:space="preserve">al-asbāb-uṣ ṣāda ‘an idrāk-uṣ ṣawāb</w:t>
      </w:r>
    </w:p>
    <w:p>
      <w:pPr>
        <w:pStyle w:val="BookText"/>
      </w:pPr>
      <w:r>
        <w:rPr>
          <w:rFonts w:ascii="IRNazanin" w:hAnsi="IRNazanin" w:eastAsia="IRNazanin" w:cs="IRNazanin"/>
          <w:lang w:bidi="fa-IR"/>
          <w:color w:val="111111"/>
          <w:sz w:val="28"/>
          <w:szCs w:val="28"/>
          <w:rtl/>
        </w:rPr>
        <w:t xml:space="preserve">؟ کراجکی، محمد بن علی، - ۴۴۹ قمری</w:t>
      </w:r>
    </w:p>
    <w:p>
      <w:pPr>
        <w:pStyle w:val="BookText"/>
      </w:pPr>
      <w:r>
        <w:rPr>
          <w:rFonts w:ascii="Times New Roman" w:hAnsi="Times New Roman" w:eastAsia="Times New Roman" w:cs="Times New Roman"/>
          <w:lang w:val="en-US" w:bidi="en-US"/>
          <w:color w:val="111111"/>
          <w:sz w:val="28"/>
          <w:szCs w:val="28"/>
          <w:rtl/>
        </w:rPr>
        <w:t xml:space="preserve">(karājakī, mohammad ebn-e ‘alī (- 1058)</w:t>
      </w:r>
    </w:p>
    <w:p>
      <w:pPr>
        <w:pStyle w:val="BookText"/>
      </w:pPr>
      <w:r>
        <w:rPr>
          <w:rFonts w:ascii="IRNazanin" w:hAnsi="IRNazanin" w:eastAsia="IRNazanin" w:cs="IRNazanin"/>
          <w:lang w:bidi="fa-IR"/>
          <w:color w:val="111111"/>
          <w:sz w:val="28"/>
          <w:szCs w:val="28"/>
          <w:rtl/>
        </w:rPr>
        <w:t xml:space="preserve">در ذکر علل و اسبابی که مانع شناخت آدمی هستند مشتمل بر چهار «فصل» نام مؤلف در این نسخه نیامده اما در فهرستی مصنفات كراجکی توسط یکی از شاگردان وی تنظیم شده  نام این رساله ذکر شده است.</w:t>
      </w:r>
    </w:p>
    <w:p>
      <w:pPr>
        <w:pStyle w:val="BookText"/>
      </w:pPr>
      <w:r>
        <w:rPr>
          <w:rFonts w:ascii="IRNazanin" w:hAnsi="IRNazanin" w:eastAsia="IRNazanin" w:cs="IRNazanin"/>
          <w:lang w:bidi="fa-IR"/>
          <w:color w:val="111111"/>
          <w:sz w:val="28"/>
          <w:szCs w:val="28"/>
          <w:rtl/>
        </w:rPr>
        <w:t xml:space="preserve">آغاز: بسمله الحمد لله ولى المحامد و مولى المراشد و صلواته على افضل منذر شاهد   و ... و بعد وقفت على ما رغب  فیه الاخوان ... من ذكر الاسباب الصادة عن ادراك الصواب.</w:t>
      </w:r>
    </w:p>
    <w:p>
      <w:pPr>
        <w:pStyle w:val="BookText"/>
      </w:pPr>
      <w:r>
        <w:rPr>
          <w:rFonts w:ascii="Amiri" w:hAnsi="Amiri" w:eastAsia="Amiri" w:cs="Amiri"/>
          <w:lang w:bidi="ar-SA"/>
          <w:color w:val="111111"/>
          <w:sz w:val="28"/>
          <w:szCs w:val="28"/>
          <w:rtl/>
        </w:rPr>
        <w:t xml:space="preserve">انجام: قد ذكرت ايها الاخوان ما التمسوه فى بيان هذه الاشياء...الى اكرم المآب</w:t>
      </w:r>
    </w:p>
    <w:p>
      <w:pPr>
        <w:pStyle w:val="BookText"/>
      </w:pPr>
      <w:r>
        <w:rPr>
          <w:rFonts w:ascii="IRNazanin" w:hAnsi="IRNazanin" w:eastAsia="IRNazanin" w:cs="IRNazanin"/>
          <w:lang w:bidi="fa-IR"/>
          <w:color w:val="111111"/>
          <w:sz w:val="28"/>
          <w:szCs w:val="28"/>
          <w:rtl/>
        </w:rPr>
        <w:t xml:space="preserve">تهران؛ مجلس؛ شماره نسخه: ۱۰۱۱۵/۲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تاج الدین حسین مشهور به صاعد، تا: با تاریخ ۹۷۲ق؛ در انجامه کاتب آمده که این رساله با دو نسخه مقـابله شده که یکی از آنها به خط عبدالله یزدی بوده است؛ ۱۴ ص ( 104- ۱۱۸)، ۱۹ سطر، 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۳۲ - ۱۳۵]</w:t>
      </w:r>
    </w:p>
    <w:p>
      <w:pPr>
        <w:pStyle w:val="Heading3"/>
      </w:pPr>
      <w:bookmarkStart w:id="926" w:name="_Toc448"/>
      <w:r>
        <w:t>اسباب الضمان و مسقطاته / فقه / عربی</w:t>
      </w:r>
      <w:bookmarkEnd w:id="926"/>
    </w:p>
    <w:p>
      <w:pPr>
        <w:pStyle w:val="BookText"/>
      </w:pPr>
      <w:r>
        <w:rPr>
          <w:rFonts w:ascii="Times New Roman" w:hAnsi="Times New Roman" w:eastAsia="Times New Roman" w:cs="Times New Roman"/>
          <w:lang w:val="en-US" w:bidi="en-US"/>
          <w:color w:val="111111"/>
          <w:sz w:val="28"/>
          <w:szCs w:val="28"/>
          <w:rtl/>
        </w:rPr>
        <w:t xml:space="preserve">asbāb-uḍ-ḍimān wa masqaṭāt-i-h</w:t>
      </w:r>
    </w:p>
    <w:p>
      <w:pPr>
        <w:pStyle w:val="BookText"/>
      </w:pPr>
      <w:r>
        <w:rPr>
          <w:rFonts w:ascii="IRNazanin" w:hAnsi="IRNazanin" w:eastAsia="IRNazanin" w:cs="IRNazanin"/>
          <w:lang w:bidi="fa-IR"/>
          <w:color w:val="111111"/>
          <w:sz w:val="28"/>
          <w:szCs w:val="28"/>
          <w:rtl/>
        </w:rPr>
        <w:t xml:space="preserve">کوثر  علیشاه، محمد رضا بن علینقی، ۱۲۶۱  - 1318قمری</w:t>
      </w:r>
    </w:p>
    <w:p>
      <w:pPr>
        <w:pStyle w:val="BookText"/>
      </w:pPr>
      <w:r>
        <w:rPr>
          <w:rFonts w:ascii="Times New Roman" w:hAnsi="Times New Roman" w:eastAsia="Times New Roman" w:cs="Times New Roman"/>
          <w:lang w:val="en-US" w:bidi="en-US"/>
          <w:color w:val="111111"/>
          <w:sz w:val="28"/>
          <w:szCs w:val="28"/>
          <w:rtl/>
        </w:rPr>
        <w:t xml:space="preserve">(1901-kowsar ‘alī-šāh, mohammad rezā ebn-e ‘alī-naqī (1845</w:t>
      </w:r>
    </w:p>
    <w:p>
      <w:pPr>
        <w:pStyle w:val="BookText"/>
      </w:pPr>
      <w:r>
        <w:rPr>
          <w:rFonts w:ascii="IRNazanin" w:hAnsi="IRNazanin" w:eastAsia="IRNazanin" w:cs="IRNazanin"/>
          <w:lang w:bidi="fa-IR"/>
          <w:color w:val="111111"/>
          <w:sz w:val="28"/>
          <w:szCs w:val="28"/>
          <w:rtl/>
        </w:rPr>
        <w:t xml:space="preserve">رساله ای استدلالی در دو «فصل» در أسباب الضمان و مسقطاته.</w:t>
      </w:r>
    </w:p>
    <w:p>
      <w:pPr>
        <w:pStyle w:val="BookText"/>
      </w:pPr>
      <w:r>
        <w:rPr>
          <w:rFonts w:ascii="IRNazanin" w:hAnsi="IRNazanin" w:eastAsia="IRNazanin" w:cs="IRNazanin"/>
          <w:lang w:bidi="fa-IR"/>
          <w:color w:val="111111"/>
          <w:sz w:val="28"/>
          <w:szCs w:val="28"/>
          <w:rtl/>
        </w:rPr>
        <w:t xml:space="preserve">مشهد؛ شیخ علی حیدر؛ شماره نسخه: ۴۸۶/۷</w:t>
      </w:r>
    </w:p>
    <w:p>
      <w:pPr>
        <w:pStyle w:val="BookText"/>
      </w:pPr>
      <w:r>
        <w:rPr>
          <w:rFonts w:ascii="Amiri" w:hAnsi="Amiri" w:eastAsia="Amiri" w:cs="Amiri"/>
          <w:lang w:bidi="ar-SA"/>
          <w:color w:val="111111"/>
          <w:sz w:val="28"/>
          <w:szCs w:val="28"/>
          <w:rtl/>
        </w:rPr>
        <w:t xml:space="preserve">آغاز: قاعدة في أسباب الضمان و مسقطاته. فيقع الكلام في فصلين؛ انجام: هذا تمام الكلام فى المقصد الثاني المتكفل لمسألة الضمان بالاتلاف، و بقى الكلام</w:t>
      </w:r>
    </w:p>
    <w:p>
      <w:pPr>
        <w:pStyle w:val="BookText"/>
      </w:pPr>
      <w:r>
        <w:rPr>
          <w:rFonts w:ascii="IRNazanin" w:hAnsi="IRNazanin" w:eastAsia="IRNazanin" w:cs="IRNazanin"/>
          <w:lang w:bidi="fa-IR"/>
          <w:color w:val="111111"/>
          <w:sz w:val="28"/>
          <w:szCs w:val="28"/>
          <w:rtl/>
        </w:rPr>
        <w:t xml:space="preserve">خط: نستعلیق، بی کا، تا: یک شنبه جمادی الثانی ۱۳۳۰ق؛ جلد: چرم زرد، ۹ص (۱۰۹-۱۱۷)، اندازه: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۱۹/۵سم [مؤید: ۱-۳۹۴]</w:t>
      </w:r>
    </w:p>
    <w:p>
      <w:pPr>
        <w:pStyle w:val="Heading3"/>
      </w:pPr>
      <w:bookmarkStart w:id="927" w:name="_Toc449"/>
      <w:r>
        <w:t>اسباب العلاقات / طب / فارسی</w:t>
      </w:r>
      <w:bookmarkEnd w:id="927"/>
    </w:p>
    <w:p>
      <w:pPr>
        <w:pStyle w:val="BookText"/>
      </w:pPr>
      <w:r>
        <w:rPr>
          <w:rFonts w:ascii="Times New Roman" w:hAnsi="Times New Roman" w:eastAsia="Times New Roman" w:cs="Times New Roman"/>
          <w:lang w:val="en-US" w:bidi="en-US"/>
          <w:color w:val="111111"/>
          <w:sz w:val="28"/>
          <w:szCs w:val="28"/>
          <w:rtl/>
        </w:rPr>
        <w:t xml:space="preserve">asbab-ol-alaqat</w:t>
      </w:r>
    </w:p>
    <w:p>
      <w:pPr>
        <w:pStyle w:val="BookText"/>
      </w:pPr>
      <w:r>
        <w:rPr>
          <w:rFonts w:ascii="IRNazanin" w:hAnsi="IRNazanin" w:eastAsia="IRNazanin" w:cs="IRNazanin"/>
          <w:lang w:bidi="fa-IR"/>
          <w:color w:val="111111"/>
          <w:sz w:val="28"/>
          <w:szCs w:val="28"/>
          <w:rtl/>
        </w:rPr>
        <w:t xml:space="preserve">يوسفى هروی، یوسف بن محمد - ۹۶۶ قمری</w:t>
      </w:r>
    </w:p>
    <w:p>
      <w:pPr>
        <w:pStyle w:val="BookText"/>
      </w:pPr>
      <w:r>
        <w:rPr>
          <w:rFonts w:ascii="Times New Roman" w:hAnsi="Times New Roman" w:eastAsia="Times New Roman" w:cs="Times New Roman"/>
          <w:lang w:val="en-US" w:bidi="en-US"/>
          <w:color w:val="111111"/>
          <w:sz w:val="28"/>
          <w:szCs w:val="28"/>
          <w:rtl/>
        </w:rPr>
        <w:t xml:space="preserve">(yūsofī heravī, yūsof ebn-e mohammad (- 1559)</w:t>
      </w:r>
    </w:p>
    <w:p>
      <w:pPr>
        <w:pStyle w:val="BookText"/>
      </w:pPr>
      <w:r>
        <w:rPr>
          <w:rFonts w:ascii="IRNazanin" w:hAnsi="IRNazanin" w:eastAsia="IRNazanin" w:cs="IRNazanin"/>
          <w:lang w:bidi="fa-IR"/>
          <w:color w:val="111111"/>
          <w:sz w:val="28"/>
          <w:szCs w:val="28"/>
          <w:rtl/>
        </w:rPr>
        <w:t xml:space="preserve">نسخه ای به پزشکی.</w:t>
      </w:r>
    </w:p>
    <w:p>
      <w:pPr>
        <w:pStyle w:val="BookText"/>
      </w:pPr>
      <w:r>
        <w:rPr>
          <w:rFonts w:ascii="IRNazanin" w:hAnsi="IRNazanin" w:eastAsia="IRNazanin" w:cs="IRNazanin"/>
          <w:lang w:bidi="fa-IR"/>
          <w:color w:val="111111"/>
          <w:sz w:val="28"/>
          <w:szCs w:val="28"/>
          <w:rtl/>
        </w:rPr>
        <w:t xml:space="preserve">تهران؛ ملی؛ شماره نسخه: ۱۹۱۳۸</w:t>
      </w:r>
    </w:p>
    <w:p>
      <w:pPr>
        <w:pStyle w:val="BookText"/>
      </w:pPr>
      <w:r>
        <w:rPr>
          <w:rFonts w:ascii="IRNazanin" w:hAnsi="IRNazanin" w:eastAsia="IRNazanin" w:cs="IRNazanin"/>
          <w:lang w:bidi="fa-IR"/>
          <w:color w:val="111111"/>
          <w:sz w:val="28"/>
          <w:szCs w:val="28"/>
          <w:rtl/>
        </w:rPr>
        <w:t xml:space="preserve">بی کا، تا: ۱۰۶۴ق؛ انتقالی از کتابخانه پهلوی - مجموعه نوازی؛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۲۴/۴سم [رایانه ]</w:t>
      </w:r>
    </w:p>
    <w:p>
      <w:pPr>
        <w:pStyle w:val="BookText"/>
      </w:pPr>
      <w:r>
        <w:rPr>
          <w:rFonts w:ascii="IRNazanin" w:hAnsi="IRNazanin" w:eastAsia="IRNazanin" w:cs="IRNazanin"/>
          <w:lang w:bidi="fa-IR"/>
          <w:color w:val="111111"/>
          <w:sz w:val="28"/>
          <w:szCs w:val="28"/>
          <w:rtl/>
        </w:rPr>
        <w:t xml:space="preserve">« اسباب العلل و علاجها وعلاماتها » الاسباب و العلامات</w:t>
      </w:r>
    </w:p>
    <w:p>
      <w:pPr>
        <w:pStyle w:val="Heading3"/>
      </w:pPr>
      <w:bookmarkStart w:id="928" w:name="_Toc450"/>
      <w:r>
        <w:t>الاسباب المضعفة للبصر ثلاثة عشر / طب / عربي</w:t>
      </w:r>
      <w:bookmarkEnd w:id="928"/>
    </w:p>
    <w:p>
      <w:pPr>
        <w:pStyle w:val="BookText"/>
      </w:pPr>
      <w:r>
        <w:rPr>
          <w:rFonts w:ascii="Times New Roman" w:hAnsi="Times New Roman" w:eastAsia="Times New Roman" w:cs="Times New Roman"/>
          <w:lang w:val="en-US" w:bidi="en-US"/>
          <w:color w:val="111111"/>
          <w:sz w:val="28"/>
          <w:szCs w:val="28"/>
          <w:rtl/>
        </w:rPr>
        <w:t xml:space="preserve">al-asbab-ul-mud afa li-l-başar-i talatat-a ašar</w:t>
      </w:r>
    </w:p>
    <w:p>
      <w:pPr>
        <w:pStyle w:val="BookText"/>
      </w:pPr>
      <w:r>
        <w:rPr>
          <w:rFonts w:ascii="IRNazanin" w:hAnsi="IRNazanin" w:eastAsia="IRNazanin" w:cs="IRNazanin"/>
          <w:lang w:bidi="fa-IR"/>
          <w:color w:val="111111"/>
          <w:sz w:val="28"/>
          <w:szCs w:val="28"/>
          <w:rtl/>
        </w:rPr>
        <w:t xml:space="preserve">تهران؛ ملک؛ شماره نسخه ۴۲۱۸/۱۰</w:t>
      </w:r>
    </w:p>
    <w:p>
      <w:pPr>
        <w:pStyle w:val="BookText"/>
      </w:pPr>
      <w:r>
        <w:rPr>
          <w:rFonts w:ascii="IRNazanin" w:hAnsi="IRNazanin" w:eastAsia="IRNazanin" w:cs="IRNazanin"/>
          <w:lang w:bidi="fa-IR"/>
          <w:color w:val="111111"/>
          <w:sz w:val="28"/>
          <w:szCs w:val="28"/>
          <w:rtl/>
        </w:rPr>
        <w:t xml:space="preserve">خط: نستعلیق، بی کا، تا: ۸۴۶ق؛ ۸ سطر [ف ۷ - ۲۸۵]</w:t>
      </w:r>
    </w:p>
    <w:p>
      <w:pPr>
        <w:pStyle w:val="Heading3"/>
      </w:pPr>
      <w:bookmarkStart w:id="929" w:name="_Toc451"/>
      <w:r>
        <w:t>اسباب مهندسی = علم بکار بردن اسباب مهندسی /  ریاضیات / فارسی</w:t>
      </w:r>
      <w:bookmarkEnd w:id="929"/>
    </w:p>
    <w:p>
      <w:pPr>
        <w:pStyle w:val="BookText"/>
      </w:pPr>
      <w:r>
        <w:rPr>
          <w:rFonts w:ascii="Times New Roman" w:hAnsi="Times New Roman" w:eastAsia="Times New Roman" w:cs="Times New Roman"/>
          <w:lang w:val="en-US" w:bidi="en-US"/>
          <w:color w:val="111111"/>
          <w:sz w:val="28"/>
          <w:szCs w:val="28"/>
          <w:rtl/>
        </w:rPr>
        <w:t xml:space="preserve">asbāb-e mohandesī = ‘elm-e bekār-bordan-e asbāb-e</w:t>
      </w:r>
    </w:p>
    <w:p>
      <w:pPr>
        <w:pStyle w:val="BookText"/>
      </w:pPr>
      <w:r>
        <w:rPr>
          <w:rFonts w:ascii="Times New Roman" w:hAnsi="Times New Roman" w:eastAsia="Times New Roman" w:cs="Times New Roman"/>
          <w:lang w:val="en-US" w:bidi="en-US"/>
          <w:color w:val="111111"/>
          <w:sz w:val="28"/>
          <w:szCs w:val="28"/>
          <w:rtl/>
        </w:rPr>
        <w:t xml:space="preserve">mohandesī</w:t>
      </w:r>
    </w:p>
    <w:p>
      <w:pPr>
        <w:pStyle w:val="BookText"/>
      </w:pPr>
      <w:r>
        <w:rPr>
          <w:rFonts w:ascii="IRNazanin" w:hAnsi="IRNazanin" w:eastAsia="IRNazanin" w:cs="IRNazanin"/>
          <w:lang w:bidi="fa-IR"/>
          <w:color w:val="111111"/>
          <w:sz w:val="28"/>
          <w:szCs w:val="28"/>
          <w:rtl/>
        </w:rPr>
        <w:t xml:space="preserve">رساله در چگونگی اسباب مهندسی است. گویا از کتب کلاسیک دارالفنون در پایان سده سیزدهم بوده است.</w:t>
      </w:r>
    </w:p>
    <w:p>
      <w:pPr>
        <w:pStyle w:val="BookText"/>
      </w:pPr>
      <w:r>
        <w:rPr>
          <w:rFonts w:ascii="Amiri" w:hAnsi="Amiri" w:eastAsia="Amiri" w:cs="Amiri"/>
          <w:lang w:bidi="ar-SA"/>
          <w:color w:val="111111"/>
          <w:sz w:val="28"/>
          <w:szCs w:val="28"/>
          <w:rtl/>
        </w:rPr>
        <w:t xml:space="preserve">آغاز: هو الله تعالى شانه حسب الحكم ...اعتضاد السلطنه.</w:t>
      </w:r>
    </w:p>
    <w:p>
      <w:pPr>
        <w:pStyle w:val="BookText"/>
      </w:pPr>
      <w:r>
        <w:rPr>
          <w:rFonts w:ascii="IRNazanin" w:hAnsi="IRNazanin" w:eastAsia="IRNazanin" w:cs="IRNazanin"/>
          <w:lang w:bidi="fa-IR"/>
          <w:color w:val="111111"/>
          <w:sz w:val="28"/>
          <w:szCs w:val="28"/>
          <w:rtl/>
        </w:rPr>
        <w:t xml:space="preserve">عالیجاها موسيو بهلو سرتیپ فرانسوی این مختصر را در علم بکار بردن اسباب مهندسی تألیف  نمود. بسمله. بجهت تعیین نمودن مقدار انحطاط زمین از زمین دیگر</w:t>
      </w:r>
    </w:p>
    <w:p>
      <w:pPr>
        <w:pStyle w:val="BookText"/>
      </w:pPr>
      <w:r>
        <w:rPr>
          <w:rFonts w:ascii="IRNazanin" w:hAnsi="IRNazanin" w:eastAsia="IRNazanin" w:cs="IRNazanin"/>
          <w:lang w:bidi="fa-IR"/>
          <w:color w:val="111111"/>
          <w:sz w:val="28"/>
          <w:szCs w:val="28"/>
          <w:rtl/>
        </w:rPr>
        <w:t xml:space="preserve">انجام: که مطلوب حاصل خواهد شد</w:t>
      </w:r>
    </w:p>
    <w:p>
      <w:pPr>
        <w:pStyle w:val="BookText"/>
      </w:pPr>
      <w:r>
        <w:rPr>
          <w:rFonts w:ascii="IRNazanin" w:hAnsi="IRNazanin" w:eastAsia="IRNazanin" w:cs="IRNazanin"/>
          <w:lang w:bidi="fa-IR"/>
          <w:color w:val="111111"/>
          <w:sz w:val="28"/>
          <w:szCs w:val="28"/>
          <w:rtl/>
        </w:rPr>
        <w:t xml:space="preserve">[فهرستواره منزوی ۲۵۹۶/۴]</w:t>
      </w:r>
    </w:p>
    <w:p>
      <w:pPr>
        <w:pStyle w:val="BookText"/>
      </w:pPr>
      <w:r>
        <w:rPr>
          <w:rFonts w:ascii="IRNazanin" w:hAnsi="IRNazanin" w:eastAsia="IRNazanin" w:cs="IRNazanin"/>
          <w:lang w:bidi="fa-IR"/>
          <w:color w:val="111111"/>
          <w:sz w:val="28"/>
          <w:szCs w:val="28"/>
          <w:rtl/>
        </w:rPr>
        <w:t xml:space="preserve">تهران؛ سپهسالار؛ شماره نسخه: ۵۴۱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شکسته نستعلیق، بی کا، تا: قرن ۱۳؛ کاغذ: فرنگی، جلد: تیماج سبز یک لا، ۹گ (۲پ - ۱۰پ)، ۱۰ سطر، اندازه ۱۱</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۱۷سم</w:t>
      </w:r>
    </w:p>
    <w:p>
      <w:pPr>
        <w:pStyle w:val="BookText"/>
      </w:pPr>
      <w:r>
        <w:rPr>
          <w:rFonts w:ascii="IRNazanin" w:hAnsi="IRNazanin" w:eastAsia="IRNazanin" w:cs="IRNazanin"/>
          <w:lang w:bidi="fa-IR"/>
          <w:color w:val="111111"/>
          <w:sz w:val="28"/>
          <w:szCs w:val="28"/>
          <w:rtl/>
        </w:rPr>
        <w:t xml:space="preserve">[ف: ۳ - ۱۱۶ و ۵-۳۳۰]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30" w:name="pg20365_260163"/>
    <w:bookmarkEnd w:id="130"/>
    <w:p>
      <w:pPr>
        <w:pStyle w:val="Heading3"/>
      </w:pPr>
      <w:bookmarkStart w:id="930" w:name="_Toc452"/>
      <w:r>
        <w:t>اسباب النزول / علوم قرآن / عربی</w:t>
      </w:r>
      <w:bookmarkEnd w:id="930"/>
    </w:p>
    <w:p>
      <w:pPr>
        <w:pStyle w:val="BookText"/>
      </w:pPr>
      <w:r>
        <w:rPr>
          <w:rFonts w:ascii="Times New Roman" w:hAnsi="Times New Roman" w:eastAsia="Times New Roman" w:cs="Times New Roman"/>
          <w:lang w:val="en-US" w:bidi="en-US"/>
          <w:color w:val="111111"/>
          <w:sz w:val="28"/>
          <w:szCs w:val="28"/>
          <w:rtl/>
        </w:rPr>
        <w:t xml:space="preserve">asbāb-un-nuzūl</w:t>
      </w:r>
    </w:p>
    <w:p>
      <w:pPr>
        <w:pStyle w:val="BookText"/>
      </w:pPr>
      <w:r>
        <w:rPr>
          <w:rFonts w:ascii="IRNazanin" w:hAnsi="IRNazanin" w:eastAsia="IRNazanin" w:cs="IRNazanin"/>
          <w:lang w:bidi="fa-IR"/>
          <w:color w:val="111111"/>
          <w:sz w:val="28"/>
          <w:szCs w:val="28"/>
          <w:rtl/>
        </w:rPr>
        <w:t xml:space="preserve">واحدى، على بن احمد، - ۴۶۸ قمری</w:t>
      </w:r>
    </w:p>
    <w:p>
      <w:pPr>
        <w:pStyle w:val="BookText"/>
      </w:pPr>
      <w:r>
        <w:rPr>
          <w:rFonts w:ascii="IRNazanin" w:hAnsi="IRNazanin" w:eastAsia="IRNazanin" w:cs="IRNazanin"/>
          <w:lang w:bidi="fa-IR"/>
          <w:color w:val="111111"/>
          <w:sz w:val="28"/>
          <w:szCs w:val="28"/>
          <w:rtl/>
        </w:rPr>
        <w:t xml:space="preserve">مؤلف درباره شأن نزول آیات می نویسد: «آگاهی از شأن نزول می تواند روشنگر مفاهیم و معانی آنها باشد و بدون آشنایی با رویدادی که آیه ای در پی آن فرود آمده است دریافت تفسیر راستین و معنی درست آن امکان پذیر نبوده و دور از لغزش نخواهد بود». مفسر معتقد است شأن نزول باید مستند به روایـت باشد و گرنه سخن گفتن درباره آن حرام و مشمول «من  کذب على القرآن من غير علم فليتبوء مقعده من النار » خواهد بود. کتاب به ترتیب سوره های قرآن با یک «مقدمه» در کیفیت نزول قرآن مشتمل بر اقوال سه گانه است: القول فى اول ما نزل من القرآن القول: فى آخر ما نزل من القرآن القول: في آية التسـمیة و بیان نزولها.</w:t>
      </w:r>
    </w:p>
    <w:p>
      <w:pPr>
        <w:pStyle w:val="BookText"/>
      </w:pPr>
      <w:r>
        <w:rPr>
          <w:rFonts w:ascii="Amiri" w:hAnsi="Amiri" w:eastAsia="Amiri" w:cs="Amiri"/>
          <w:lang w:bidi="ar-SA"/>
          <w:color w:val="111111"/>
          <w:sz w:val="28"/>
          <w:szCs w:val="28"/>
          <w:rtl/>
        </w:rPr>
        <w:t xml:space="preserve">آغاز: الحمد لله الكريم الوهاب هادم الاحزاب و منقح الابواب و منشى الحساب.</w:t>
      </w:r>
    </w:p>
    <w:p>
      <w:pPr>
        <w:pStyle w:val="BookText"/>
      </w:pPr>
      <w:r>
        <w:rPr>
          <w:rFonts w:ascii="Amiri" w:hAnsi="Amiri" w:eastAsia="Amiri" w:cs="Amiri"/>
          <w:lang w:bidi="ar-SA"/>
          <w:color w:val="111111"/>
          <w:sz w:val="28"/>
          <w:szCs w:val="28"/>
          <w:rtl/>
        </w:rPr>
        <w:t xml:space="preserve">انجام:روى البخارى عن عبيد بن اسماعيل عن ابي اسامة و لـهذا الحديث طرق فى الصحيحين تم الكتاب و الحمد لله اولاً و آخراً و وصلى الله على محمد و آله الطاهرين.</w:t>
      </w:r>
    </w:p>
    <w:p>
      <w:pPr>
        <w:pStyle w:val="BookText"/>
      </w:pPr>
      <w:r>
        <w:rPr>
          <w:rFonts w:ascii="IRNazanin" w:hAnsi="IRNazanin" w:eastAsia="IRNazanin" w:cs="IRNazanin"/>
          <w:lang w:bidi="fa-IR"/>
          <w:color w:val="111111"/>
          <w:sz w:val="28"/>
          <w:szCs w:val="28"/>
          <w:rtl/>
        </w:rPr>
        <w:t xml:space="preserve">چاپ: القاهرة، مكتبة البابي الحلبى، ۱۹۵۹م، ۲۶۶ ص؛ محقق: السيد احمد صقر ،دار الكتاب  الجدید ،چاپ ،جدید، ۵۴۲ص ،  ۱۳۸۹ق.</w:t>
      </w:r>
    </w:p>
    <w:p>
      <w:pPr>
        <w:pStyle w:val="BookText"/>
      </w:pPr>
      <w:r>
        <w:rPr>
          <w:rFonts w:ascii="IRNazanin" w:hAnsi="IRNazanin" w:eastAsia="IRNazanin" w:cs="IRNazanin"/>
          <w:lang w:bidi="fa-IR"/>
          <w:color w:val="111111"/>
          <w:sz w:val="28"/>
          <w:szCs w:val="28"/>
          <w:rtl/>
        </w:rPr>
        <w:t xml:space="preserve">[معجم مصنفات القرآن ۱۲۸/۱؛ سرکیس ۱۹۰۵/۲؛ الاوقاف العامة بغداد ١  / 42 و ۴۳؛ طبقات الاسنوی ۵۳۸/۲؛ بروکلمان ۴۱۱/۱؛ و الذیل ۷۳۰/۱]</w:t>
      </w:r>
    </w:p>
    <w:p>
      <w:pPr>
        <w:pStyle w:val="BookText"/>
      </w:pPr>
      <w:r>
        <w:rPr>
          <w:rFonts w:ascii="IRNazanin" w:hAnsi="IRNazanin" w:eastAsia="IRNazanin" w:cs="IRNazanin"/>
          <w:lang w:bidi="fa-IR"/>
          <w:color w:val="111111"/>
          <w:sz w:val="28"/>
          <w:szCs w:val="28"/>
          <w:rtl/>
        </w:rPr>
        <w:t xml:space="preserve">۱. تهران؛ مجلس؛ شماره نسخه: ۱۲۲۶۵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سليمان بن يونس بن حسن، تا: جمادی الثـانی ۶۱۰ق؛ به وسیله عبدالله بن انس بن ربیع بن يوسف بن عبدالله ربیع در دهه اول ذیحجه ۶۱۱ مقابله و تصحیح شده؛ تملک: احـمد بن شیخ علوان ؛جلد: تیماج مشکی ۱۶۲گ، ۱۹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۲۴سم [ف: ۳۵ - ۲۵۹]</w:t>
      </w:r>
    </w:p>
    <w:p>
      <w:pPr>
        <w:pStyle w:val="BookText"/>
      </w:pPr>
      <w:r>
        <w:rPr>
          <w:rFonts w:ascii="IRNazanin" w:hAnsi="IRNazanin" w:eastAsia="IRNazanin" w:cs="IRNazanin"/>
          <w:lang w:bidi="fa-IR"/>
          <w:color w:val="111111"/>
          <w:sz w:val="28"/>
          <w:szCs w:val="28"/>
          <w:rtl/>
        </w:rPr>
        <w:t xml:space="preserve">۲ . مشهد؛ رضوی؛ شماره نسخه: ۱۴۳۸</w:t>
      </w:r>
    </w:p>
    <w:p>
      <w:pPr>
        <w:pStyle w:val="BookText"/>
      </w:pPr>
      <w:r>
        <w:rPr>
          <w:rFonts w:ascii="Amiri" w:hAnsi="Amiri" w:eastAsia="Amiri" w:cs="Amiri"/>
          <w:lang w:bidi="ar-SA"/>
          <w:color w:val="111111"/>
          <w:sz w:val="28"/>
          <w:szCs w:val="28"/>
          <w:rtl/>
        </w:rPr>
        <w:t xml:space="preserve">آغاز: الرسالة و الصادع بالدلالة الهادى للامه؛ انجام: برابر</w:t>
      </w:r>
    </w:p>
    <w:p>
      <w:pPr>
        <w:pStyle w:val="BookText"/>
      </w:pPr>
      <w:r>
        <w:rPr>
          <w:rFonts w:ascii="IRNazanin" w:hAnsi="IRNazanin" w:eastAsia="IRNazanin" w:cs="IRNazanin"/>
          <w:lang w:bidi="fa-IR"/>
          <w:color w:val="111111"/>
          <w:sz w:val="28"/>
          <w:szCs w:val="28"/>
          <w:rtl/>
        </w:rPr>
        <w:t xml:space="preserve">خط: نسخ،کا، حسن بن على بن سليمان بن فخر بن عبدالله  بن مسعود جلفاری ،تا: دوشنبه آخر جمادی الاول ۹۹۴ ق؛ افتادگی: آغاز (چند سطری از اول دیباچه را ندارد)؛ واقف: ابن خاتون؛  17 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۴ - ۴۰۵]</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مشهد؛ رضوی؛ شماره نسخه: ۲۴۷۹۳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۱۱؛ اهدایی رهبری، اسفند ۱۳۷۶؛ کاغذ : نخودی، جلد: مقوا، ۱۵۰گ ، ۲۳ سطر، اندازه: ۱۲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۲۰سم [ ف : ۲۲ -  26]</w:t>
      </w:r>
    </w:p>
    <w:p>
      <w:pPr>
        <w:pStyle w:val="BookText"/>
      </w:pPr>
      <w:r>
        <w:rPr>
          <w:rFonts w:ascii="IRNazanin" w:hAnsi="IRNazanin" w:eastAsia="IRNazanin" w:cs="IRNazanin"/>
          <w:lang w:bidi="fa-IR"/>
          <w:color w:val="111111"/>
          <w:sz w:val="28"/>
          <w:szCs w:val="28"/>
          <w:rtl/>
        </w:rPr>
        <w:t xml:space="preserve">4.مشهد؛ رضوی؛ شماره نسخه: ۲۴۷۹۳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۱۱؛ پشت برگ اول دارای یادداشت خرید کتاب در ۱۲۸۵ق؛ اهدائی  رهبری، اسفند ۱۳۷۶؛ کاغذ: نخودی لمینه شده، جلد: مقوا با عطف و گوشه پارچه، ۱۵۰گ،  23 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[اهدائی رهبر: ۱علوم قرآن - ۶۲]</w:t>
      </w:r>
    </w:p>
    <w:p>
      <w:pPr>
        <w:pStyle w:val="Heading3"/>
      </w:pPr>
      <w:bookmarkStart w:id="931" w:name="_Toc453"/>
      <w:r>
        <w:t>اسباب النزول / علوم قرآن / عربی</w:t>
      </w:r>
      <w:bookmarkEnd w:id="931"/>
    </w:p>
    <w:p>
      <w:pPr>
        <w:pStyle w:val="BookText"/>
      </w:pPr>
      <w:r>
        <w:rPr>
          <w:rFonts w:ascii="Times New Roman" w:hAnsi="Times New Roman" w:eastAsia="Times New Roman" w:cs="Times New Roman"/>
          <w:lang w:val="en-US" w:bidi="en-US"/>
          <w:color w:val="111111"/>
          <w:sz w:val="28"/>
          <w:szCs w:val="28"/>
          <w:rtl/>
        </w:rPr>
        <w:t xml:space="preserve">asbab-un-nuzul</w:t>
      </w:r>
    </w:p>
    <w:p>
      <w:pPr>
        <w:pStyle w:val="BookText"/>
      </w:pPr>
      <w:r>
        <w:rPr>
          <w:rFonts w:ascii="IRNazanin" w:hAnsi="IRNazanin" w:eastAsia="IRNazanin" w:cs="IRNazanin"/>
          <w:lang w:bidi="fa-IR"/>
          <w:color w:val="111111"/>
          <w:sz w:val="28"/>
          <w:szCs w:val="28"/>
          <w:rtl/>
        </w:rPr>
        <w:t xml:space="preserve">بغوی، حسین بن مسعود ۴۳۶ - ۵۱۰؟ قمری</w:t>
      </w:r>
    </w:p>
    <w:p>
      <w:pPr>
        <w:pStyle w:val="BookText"/>
      </w:pPr>
      <w:r>
        <w:rPr>
          <w:rFonts w:ascii="Times New Roman" w:hAnsi="Times New Roman" w:eastAsia="Times New Roman" w:cs="Times New Roman"/>
          <w:lang w:val="en-US" w:bidi="en-US"/>
          <w:color w:val="111111"/>
          <w:sz w:val="28"/>
          <w:szCs w:val="28"/>
          <w:rtl/>
        </w:rPr>
        <w:t xml:space="preserve">(baqavi, hoseyn ebn-e mas'ud (1045 - 1117)</w:t>
      </w:r>
    </w:p>
    <w:p>
      <w:pPr>
        <w:pStyle w:val="BookText"/>
      </w:pPr>
      <w:r>
        <w:rPr>
          <w:rFonts w:ascii="IRNazanin" w:hAnsi="IRNazanin" w:eastAsia="IRNazanin" w:cs="IRNazanin"/>
          <w:lang w:bidi="fa-IR"/>
          <w:color w:val="111111"/>
          <w:sz w:val="28"/>
          <w:szCs w:val="28"/>
          <w:rtl/>
        </w:rPr>
        <w:t xml:space="preserve">مؤلف چون دانستن علم تفسیر را متوقف بر دانستن سبب فرود آمدن آیات بر پیامبر اکرم (صلّی اللَّهِ علیه وَ آلِهِ وَ سَلَّمَ ) می دانست، این کتاب را از روایات و نقل اصحاب گرد آورده. نسبت این کتاب به بغوی بر فراز صفحه اول نسخه آمده و باید تحقیق شود.</w:t>
      </w:r>
    </w:p>
    <w:p>
      <w:pPr>
        <w:pStyle w:val="BookText"/>
      </w:pPr>
      <w:r>
        <w:rPr>
          <w:rFonts w:ascii="IRNazanin" w:hAnsi="IRNazanin" w:eastAsia="IRNazanin" w:cs="IRNazanin"/>
          <w:lang w:bidi="fa-IR"/>
          <w:color w:val="111111"/>
          <w:sz w:val="28"/>
          <w:szCs w:val="28"/>
          <w:rtl/>
        </w:rPr>
        <w:t xml:space="preserve">قم؛ مرعشی؛ شماره نسخه: ۲۸۹۲</w:t>
      </w:r>
    </w:p>
    <w:p>
      <w:pPr>
        <w:pStyle w:val="BookText"/>
      </w:pPr>
      <w:r>
        <w:rPr>
          <w:rFonts w:ascii="IRNazanin" w:hAnsi="IRNazanin" w:eastAsia="IRNazanin" w:cs="IRNazanin"/>
          <w:lang w:bidi="fa-IR"/>
          <w:color w:val="111111"/>
          <w:sz w:val="28"/>
          <w:szCs w:val="28"/>
          <w:rtl/>
        </w:rPr>
        <w:t xml:space="preserve">آغاز: و قوی به الاسلام و الدين فلمح منهاجه و ثقب سراجه ... و لمعت حكمته على خاتم الرسالة ؛انجام: رواه البخاري عن عبيد  بن اسماعيل عن ابي اسامة و لهذا الحديث طرق في الصحيحين</w:t>
      </w:r>
    </w:p>
    <w:p>
      <w:pPr>
        <w:pStyle w:val="BookText"/>
      </w:pPr>
      <w:r>
        <w:rPr>
          <w:rFonts w:ascii="IRNazanin" w:hAnsi="IRNazanin" w:eastAsia="IRNazanin" w:cs="IRNazanin"/>
          <w:lang w:bidi="fa-IR"/>
          <w:color w:val="111111"/>
          <w:sz w:val="28"/>
          <w:szCs w:val="28"/>
          <w:rtl/>
        </w:rPr>
        <w:t xml:space="preserve">خط: نسخ، بی کا، تا: شنبه ۲۴ جمادی الثانی ۶۳۷ق؛ افتادگی: آغاز؛ مصحح ؛تملک: حاجی علی؛ جلد: تیماج قرمز، ۱۸۵گ، ۱۷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۸ - ۹۳]</w:t>
      </w:r>
    </w:p>
    <w:p>
      <w:pPr>
        <w:pStyle w:val="Heading3"/>
      </w:pPr>
      <w:bookmarkStart w:id="932" w:name="_Toc454"/>
      <w:r>
        <w:t>اسباب النزول / علوم قرآن / عربی</w:t>
      </w:r>
      <w:bookmarkEnd w:id="932"/>
    </w:p>
    <w:p>
      <w:pPr>
        <w:pStyle w:val="BookText"/>
      </w:pPr>
      <w:r>
        <w:rPr>
          <w:rFonts w:ascii="Times New Roman" w:hAnsi="Times New Roman" w:eastAsia="Times New Roman" w:cs="Times New Roman"/>
          <w:lang w:val="en-US" w:bidi="en-US"/>
          <w:color w:val="111111"/>
          <w:sz w:val="28"/>
          <w:szCs w:val="28"/>
          <w:rtl/>
        </w:rPr>
        <w:t xml:space="preserve">asbāb-un-nuzūl</w:t>
      </w:r>
    </w:p>
    <w:p>
      <w:pPr>
        <w:pStyle w:val="BookText"/>
      </w:pPr>
      <w:r>
        <w:rPr>
          <w:rFonts w:ascii="IRNazanin" w:hAnsi="IRNazanin" w:eastAsia="IRNazanin" w:cs="IRNazanin"/>
          <w:lang w:bidi="fa-IR"/>
          <w:color w:val="111111"/>
          <w:sz w:val="28"/>
          <w:szCs w:val="28"/>
          <w:rtl/>
        </w:rPr>
        <w:t xml:space="preserve">تفسیر مختصری به ترتیب سوره های قرآنی در این تفسیر از هر سوره فقط آیه هایی که مؤلف می خواسته سبب نزول آن را ذکر  کند نقل شده و به همین دلیل عنوان سوره ها را «و من السورة» آورده است. این تفسیر بسیار فشرده برگزار شده و مؤلف از آوردن نام و اقوال دیگر مفسران خودداری نموده و تنها در اواخر کتاب از بیهقی و کتاب الدلایل وی یاد نموده است. این تفسير غير از «الاسباب و النزول» ابوالحسن علی بن احمد واحدی نیشابوری [- ۴۶۸ق] است.</w:t>
      </w:r>
    </w:p>
    <w:p>
      <w:pPr>
        <w:pStyle w:val="BookText"/>
      </w:pPr>
      <w:r>
        <w:rPr>
          <w:rFonts w:ascii="IRNazanin" w:hAnsi="IRNazanin" w:eastAsia="IRNazanin" w:cs="IRNazanin"/>
          <w:lang w:bidi="fa-IR"/>
          <w:color w:val="111111"/>
          <w:sz w:val="28"/>
          <w:szCs w:val="28"/>
          <w:rtl/>
        </w:rPr>
        <w:t xml:space="preserve">تهران؛ مجلس؛ شماره نسخه: ۱۲۶۴۰</w:t>
      </w:r>
    </w:p>
    <w:p>
      <w:pPr>
        <w:pStyle w:val="BookText"/>
      </w:pPr>
      <w:r>
        <w:rPr>
          <w:rFonts w:ascii="Amiri" w:hAnsi="Amiri" w:eastAsia="Amiri" w:cs="Amiri"/>
          <w:lang w:bidi="ar-SA"/>
          <w:color w:val="111111"/>
          <w:sz w:val="28"/>
          <w:szCs w:val="28"/>
          <w:rtl/>
        </w:rPr>
        <w:t xml:space="preserve">آغاز: و من سورة النساء يا ايها الناس هم المكلفون مطلقاً و قيل اهل مكة، نفس هو آدم، زوجها هى حوا خلقه من ضلعه السفها</w:t>
      </w:r>
    </w:p>
    <w:p>
      <w:pPr>
        <w:pStyle w:val="BookText"/>
      </w:pPr>
      <w:r>
        <w:rPr>
          <w:rFonts w:ascii="IRNazanin" w:hAnsi="IRNazanin" w:eastAsia="IRNazanin" w:cs="IRNazanin"/>
          <w:lang w:bidi="fa-IR"/>
          <w:color w:val="111111"/>
          <w:sz w:val="28"/>
          <w:szCs w:val="28"/>
          <w:rtl/>
        </w:rPr>
        <w:t xml:space="preserve">المبذرون السفها وصبى وقيل النساء والصبيان سوره مريم: كهيعص قيل هو اسم من اسماء الله تعالى وقيل من اسماء القرآن و قيل اسم السورة وقيل قسم و قيل غير ذلك، عبده زكريا بن اذن من سبط يهودا و كان نجاراً خفت الموالى هم عصبته و اقاربه من بنی اسرائیل خاف ضياعهم الدين بعده؛ انجام: الوسواس الخناس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31" w:name="pg20365_260164"/>
    <w:bookmarkEnd w:id="131"/>
    <w:p>
      <w:pPr>
        <w:pStyle w:val="BookText"/>
      </w:pPr>
      <w:r>
        <w:rPr>
          <w:rFonts w:ascii="IRNazanin" w:hAnsi="IRNazanin" w:eastAsia="IRNazanin" w:cs="IRNazanin"/>
          <w:lang w:bidi="fa-IR"/>
          <w:color w:val="111111"/>
          <w:sz w:val="28"/>
          <w:szCs w:val="28"/>
          <w:rtl/>
        </w:rPr>
        <w:t xml:space="preserve">هو الشیطان يوسوس لابن آدم اذا غفل و يخنس اذا ذكر الله تعـالی من الجنة و الناس كقوله شياطين الجن و الانس وقيل هو يتعلق بیوسوس ای يوصل وسوسته من جهة الجن و من جهة الانس و اعوذ بالله و بكلماته التامات من وسوسته مطلقا ومن كل شر دين او بدن او نعمة منحها الله تعالى متوسلا الیه به و بنبيه صلی  الله علیه و سلم وفيما يقرب اليه خاتمة خير في عافية. آمين.</w:t>
      </w:r>
    </w:p>
    <w:p>
      <w:pPr>
        <w:pStyle w:val="BookText"/>
      </w:pPr>
      <w:r>
        <w:rPr>
          <w:rFonts w:ascii="IRNazanin" w:hAnsi="IRNazanin" w:eastAsia="IRNazanin" w:cs="IRNazanin"/>
          <w:lang w:bidi="fa-IR"/>
          <w:color w:val="111111"/>
          <w:sz w:val="28"/>
          <w:szCs w:val="28"/>
          <w:rtl/>
        </w:rPr>
        <w:t xml:space="preserve">از سوره نساء تا آ. نساء تا آخر قرآن کریم :خط: نسخ، کا: حاجی محـمد ملقب به مجنون، تا: دوشنبه ۱۸ صفر ۱۰۱۷ق؛ جلد: تیماج، قهوه ای، ۹۵گ، ۱۵ ،سطر،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۳۶ - ۲۰۳]</w:t>
      </w:r>
    </w:p>
    <w:p>
      <w:pPr>
        <w:pStyle w:val="BookText"/>
      </w:pPr>
      <w:r>
        <w:rPr>
          <w:rFonts w:ascii="Amiri" w:hAnsi="Amiri" w:eastAsia="Amiri" w:cs="Amiri"/>
          <w:lang w:bidi="ar-SA"/>
          <w:color w:val="111111"/>
          <w:sz w:val="28"/>
          <w:szCs w:val="28"/>
          <w:rtl/>
        </w:rPr>
        <w:t xml:space="preserve">«اسباب نكبت » نصيحت حكماء</w:t>
      </w:r>
    </w:p>
    <w:p>
      <w:pPr>
        <w:pStyle w:val="BookText"/>
      </w:pPr>
      <w:r>
        <w:rPr>
          <w:rFonts w:ascii="IRNazanin" w:hAnsi="IRNazanin" w:eastAsia="IRNazanin" w:cs="IRNazanin"/>
          <w:lang w:bidi="fa-IR"/>
          <w:color w:val="111111"/>
          <w:sz w:val="28"/>
          <w:szCs w:val="28"/>
          <w:rtl/>
        </w:rPr>
        <w:t xml:space="preserve">«اسباب نكبت » نصیحت نامه</w:t>
      </w:r>
    </w:p>
    <w:p>
      <w:pPr>
        <w:pStyle w:val="Heading3"/>
      </w:pPr>
      <w:bookmarkStart w:id="933" w:name="_Toc455"/>
      <w:r>
        <w:t>الاسباب و العلامات = المعالجات الايلاقية = الطب الايلاقى = مختصر القانون / طب / عربي</w:t>
      </w:r>
      <w:bookmarkEnd w:id="933"/>
    </w:p>
    <w:p>
      <w:pPr>
        <w:pStyle w:val="BookText"/>
      </w:pPr>
      <w:r>
        <w:rPr>
          <w:rFonts w:ascii="Times New Roman" w:hAnsi="Times New Roman" w:eastAsia="Times New Roman" w:cs="Times New Roman"/>
          <w:lang w:val="en-US" w:bidi="en-US"/>
          <w:color w:val="111111"/>
          <w:sz w:val="28"/>
          <w:szCs w:val="28"/>
          <w:rtl/>
        </w:rPr>
        <w:t xml:space="preserve">al-asbāb wa-l-‘alāmāt = al-mu‘ālijāt-il-īlāqīyya = aṭ-</w:t>
      </w:r>
    </w:p>
    <w:p>
      <w:pPr>
        <w:pStyle w:val="BookText"/>
      </w:pPr>
      <w:r>
        <w:rPr>
          <w:rFonts w:ascii="Times New Roman" w:hAnsi="Times New Roman" w:eastAsia="Times New Roman" w:cs="Times New Roman"/>
          <w:lang w:val="en-US" w:bidi="en-US"/>
          <w:color w:val="111111"/>
          <w:sz w:val="28"/>
          <w:szCs w:val="28"/>
          <w:rtl/>
        </w:rPr>
        <w:t xml:space="preserve">ṭibb-ul-īlāqī = muxtaṣar-ul-qānūn</w:t>
      </w:r>
    </w:p>
    <w:p>
      <w:pPr>
        <w:pStyle w:val="BookText"/>
      </w:pPr>
      <w:r>
        <w:rPr>
          <w:rFonts w:ascii="IRNazanin" w:hAnsi="IRNazanin" w:eastAsia="IRNazanin" w:cs="IRNazanin"/>
          <w:lang w:bidi="fa-IR"/>
          <w:color w:val="111111"/>
          <w:sz w:val="28"/>
          <w:szCs w:val="28"/>
          <w:rtl/>
        </w:rPr>
        <w:t xml:space="preserve">ایلاقی، محمد بن یوسف، – ۵۳۶ قمری</w:t>
      </w:r>
    </w:p>
    <w:p>
      <w:pPr>
        <w:pStyle w:val="BookText"/>
      </w:pPr>
      <w:r>
        <w:rPr>
          <w:rFonts w:ascii="Times New Roman" w:hAnsi="Times New Roman" w:eastAsia="Times New Roman" w:cs="Times New Roman"/>
          <w:lang w:val="en-US" w:bidi="en-US"/>
          <w:color w:val="111111"/>
          <w:sz w:val="28"/>
          <w:szCs w:val="28"/>
          <w:rtl/>
        </w:rPr>
        <w:t xml:space="preserve">(īlāqī, mohammad ebn-e yūsof (- 1142)</w:t>
      </w:r>
    </w:p>
    <w:p>
      <w:pPr>
        <w:pStyle w:val="BookText"/>
      </w:pPr>
      <w:r>
        <w:rPr>
          <w:rFonts w:ascii="IRNazanin" w:hAnsi="IRNazanin" w:eastAsia="IRNazanin" w:cs="IRNazanin"/>
          <w:lang w:bidi="fa-IR"/>
          <w:color w:val="111111"/>
          <w:sz w:val="28"/>
          <w:szCs w:val="28"/>
          <w:rtl/>
        </w:rPr>
        <w:t xml:space="preserve">وابسته به: القانون فى الطب؛ ابن سينا حسین بن عبدالله (370- ۴۲۸)</w:t>
      </w:r>
    </w:p>
    <w:p>
      <w:pPr>
        <w:pStyle w:val="BookText"/>
      </w:pPr>
      <w:r>
        <w:rPr>
          <w:rFonts w:ascii="IRNazanin" w:hAnsi="IRNazanin" w:eastAsia="IRNazanin" w:cs="IRNazanin"/>
          <w:lang w:bidi="fa-IR"/>
          <w:color w:val="111111"/>
          <w:sz w:val="28"/>
          <w:szCs w:val="28"/>
          <w:rtl/>
        </w:rPr>
        <w:t xml:space="preserve">گزیده ای است از کتاب «قانون» ابن سینا، در بیان کلیه امراض اسباب و علامت ها و طریق معالجه آن بیماری ها و بابی مسهلات و کیفیت استعمال  آنها. این کتاب از حيث حجم حدود نصف کتاب «قانون»بوعلی سیناست. ظاهراً همان اسـت که با نام های «فصول ایلاقیه» و «مختصر القانون» و ... معرفی شـده است گرچه سر آغاز و انجام ها بعضاً متفاوت است.</w:t>
      </w:r>
    </w:p>
    <w:p>
      <w:pPr>
        <w:pStyle w:val="BookText"/>
      </w:pPr>
      <w:r>
        <w:rPr>
          <w:rFonts w:ascii="Amiri" w:hAnsi="Amiri" w:eastAsia="Amiri" w:cs="Amiri"/>
          <w:lang w:bidi="ar-SA"/>
          <w:color w:val="111111"/>
          <w:sz w:val="28"/>
          <w:szCs w:val="28"/>
          <w:rtl/>
        </w:rPr>
        <w:t xml:space="preserve">آغاز ۱: بسمله حمدله فصل اعلم ان الطب علم يعرف منه احوال بدن الانسان من جهة ما يصح و يزول عن الصحة.</w:t>
      </w:r>
    </w:p>
    <w:p>
      <w:pPr>
        <w:pStyle w:val="BookText"/>
      </w:pPr>
      <w:r>
        <w:rPr>
          <w:rFonts w:ascii="IRNazanin" w:hAnsi="IRNazanin" w:eastAsia="IRNazanin" w:cs="IRNazanin"/>
          <w:lang w:bidi="fa-IR"/>
          <w:color w:val="111111"/>
          <w:sz w:val="28"/>
          <w:szCs w:val="28"/>
          <w:rtl/>
        </w:rPr>
        <w:t xml:space="preserve">آغاز ۲: بسمله الحمد لله بارى النسم و منسئى الاشياء من بعد العد العدم و الصلوة...و بعد فقد قال الشيخ الامام الاجل الامير السيد محـمد بن محمد بن يوسف الايلاقى النيسابورى لما كان البدن الانسانی هو المفضل و المكرم على اكثر ما في الخلق</w:t>
      </w:r>
    </w:p>
    <w:p>
      <w:pPr>
        <w:pStyle w:val="BookText"/>
      </w:pPr>
      <w:r>
        <w:rPr>
          <w:rFonts w:ascii="Amiri" w:hAnsi="Amiri" w:eastAsia="Amiri" w:cs="Amiri"/>
          <w:lang w:bidi="ar-SA"/>
          <w:color w:val="111111"/>
          <w:sz w:val="28"/>
          <w:szCs w:val="28"/>
          <w:rtl/>
        </w:rPr>
        <w:t xml:space="preserve">انجام ١: و كما نوخر الواجب من الفصد لضعف المعدة اوالاسهال  متقدم او غشى فى الحميات.</w:t>
      </w:r>
    </w:p>
    <w:p>
      <w:pPr>
        <w:pStyle w:val="BookText"/>
      </w:pPr>
      <w:r>
        <w:rPr>
          <w:rFonts w:ascii="IRNazanin" w:hAnsi="IRNazanin" w:eastAsia="IRNazanin" w:cs="IRNazanin"/>
          <w:lang w:bidi="fa-IR"/>
          <w:color w:val="111111"/>
          <w:sz w:val="28"/>
          <w:szCs w:val="28"/>
          <w:rtl/>
        </w:rPr>
        <w:t xml:space="preserve">انجام ۲: والبصل المربى بالخل منع التهوع و الغثيان المتولد من الدواء و به کمل الكتاب و الله اعلم بالصواب و اليه المرجع  والمآب</w:t>
      </w:r>
    </w:p>
    <w:p>
      <w:pPr>
        <w:pStyle w:val="BookText"/>
      </w:pPr>
      <w:r>
        <w:rPr>
          <w:rFonts w:ascii="IRNazanin" w:hAnsi="IRNazanin" w:eastAsia="IRNazanin" w:cs="IRNazanin"/>
          <w:lang w:bidi="fa-IR"/>
          <w:color w:val="111111"/>
          <w:sz w:val="28"/>
          <w:szCs w:val="28"/>
          <w:rtl/>
        </w:rPr>
        <w:t xml:space="preserve">[بروکلمن ۴۵۸/۱ و ذیل ۸۲۵/۸۲</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و ۸۲۶/۸۲ </w:t>
      </w:r>
      <w:r>
        <w:rPr>
          <w:rFonts w:ascii="Times New Roman" w:hAnsi="Times New Roman" w:eastAsia="Times New Roman" w:cs="Times New Roman"/>
          <w:lang w:val="en-US" w:bidi="en-US"/>
          <w:color w:val="111111"/>
          <w:sz w:val="28"/>
          <w:szCs w:val="28"/>
          <w:rtl/>
        </w:rPr>
        <w:t xml:space="preserve">c</w:t>
      </w:r>
      <w:r>
        <w:rPr>
          <w:rFonts w:ascii="IRNazanin" w:hAnsi="IRNazanin" w:eastAsia="IRNazanin" w:cs="IRNazanin"/>
          <w:lang w:bidi="fa-IR"/>
          <w:color w:val="111111"/>
          <w:sz w:val="28"/>
          <w:szCs w:val="28"/>
          <w:rtl/>
        </w:rPr>
        <w:t xml:space="preserve">؛ معجم المؤلفين ۸۲/۹ مـجلة معهد المخطوطات ۲۷۹/۵ کشف الظنون ۱۲۶۶]</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IRNazanin" w:hAnsi="IRNazanin" w:eastAsia="IRNazanin" w:cs="IRNazanin"/>
          <w:lang w:bidi="fa-IR"/>
          <w:color w:val="111111"/>
          <w:sz w:val="28"/>
          <w:szCs w:val="28"/>
          <w:rtl/>
        </w:rPr>
        <w:t xml:space="preserve">١- شرح مختصر القانون - شرح الفصول - شرح الطب الايلاقي؛ شمس الدین  آملی، محمد بن محمود (-۷۵۳)</w:t>
      </w:r>
    </w:p>
    <w:p>
      <w:pPr>
        <w:pStyle w:val="BookText"/>
      </w:pPr>
      <w:r>
        <w:rPr>
          <w:rFonts w:ascii="IRNazanin" w:hAnsi="IRNazanin" w:eastAsia="IRNazanin" w:cs="IRNazanin"/>
          <w:lang w:bidi="fa-IR"/>
          <w:color w:val="111111"/>
          <w:sz w:val="28"/>
          <w:szCs w:val="28"/>
          <w:rtl/>
        </w:rPr>
        <w:t xml:space="preserve">2- شرح الجوامع - شرح الفصول؛ تنکابنی، احمد بن محمد حسین  (- 13)</w:t>
      </w:r>
    </w:p>
    <w:p>
      <w:pPr>
        <w:pStyle w:val="BookText"/>
      </w:pPr>
      <w:r>
        <w:rPr>
          <w:rFonts w:ascii="Amiri" w:hAnsi="Amiri" w:eastAsia="Amiri" w:cs="Amiri"/>
          <w:lang w:bidi="ar-SA"/>
          <w:color w:val="111111"/>
          <w:sz w:val="28"/>
          <w:szCs w:val="28"/>
          <w:rtl/>
        </w:rPr>
        <w:t xml:space="preserve">الامالى العراقية فى شرح الفصول الايلاقية</w:t>
      </w:r>
    </w:p>
    <w:p>
      <w:pPr>
        <w:pStyle w:val="BookText"/>
      </w:pPr>
      <w:r>
        <w:rPr>
          <w:rFonts w:ascii="IRNazanin" w:hAnsi="IRNazanin" w:eastAsia="IRNazanin" w:cs="IRNazanin"/>
          <w:lang w:bidi="fa-IR"/>
          <w:color w:val="111111"/>
          <w:sz w:val="28"/>
          <w:szCs w:val="28"/>
          <w:rtl/>
        </w:rPr>
        <w:t xml:space="preserve">۱. قم؛ مرعشی؛ شماره نسخه: ۱۲۶۵۶</w:t>
      </w:r>
    </w:p>
    <w:p>
      <w:pPr>
        <w:pStyle w:val="BookText"/>
      </w:pPr>
      <w:r>
        <w:rPr>
          <w:rFonts w:ascii="Amiri" w:hAnsi="Amiri" w:eastAsia="Amiri" w:cs="Amiri"/>
          <w:lang w:bidi="ar-SA"/>
          <w:color w:val="111111"/>
          <w:sz w:val="28"/>
          <w:szCs w:val="28"/>
          <w:rtl/>
        </w:rPr>
        <w:t xml:space="preserve">آغاز: الامعاء و يكون المجارى بين الكبد و بين هذه الاعضاء عروق دفاق؛ انجام: برابر</w:t>
      </w:r>
    </w:p>
    <w:p>
      <w:pPr>
        <w:pStyle w:val="BookText"/>
      </w:pPr>
      <w:r>
        <w:rPr>
          <w:rFonts w:ascii="IRNazanin" w:hAnsi="IRNazanin" w:eastAsia="IRNazanin" w:cs="IRNazanin"/>
          <w:lang w:bidi="fa-IR"/>
          <w:color w:val="111111"/>
          <w:sz w:val="28"/>
          <w:szCs w:val="28"/>
          <w:rtl/>
        </w:rPr>
        <w:t xml:space="preserve">خط: نسخ، کا: ابى الفتح محمد بن ابى المكارم بن محمد شيخ طوسی، تا: ۱۱ شعبان ۶۵۳ق؛ افتادگی: آغاز؛ مصحح، محشی، یادداشت «ثق بالصمد محمد بن محمد» در انجام؛ کاغذ: شرقی ،جلد: تيماج مشکی ضربی با ترنج ۵۰گ، ۱۹ سطر (9</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۳۲ – ۱۴۶]</w:t>
      </w:r>
    </w:p>
    <w:p>
      <w:pPr>
        <w:pStyle w:val="BookText"/>
      </w:pPr>
      <w:r>
        <w:rPr>
          <w:rFonts w:ascii="IRNazanin" w:hAnsi="IRNazanin" w:eastAsia="IRNazanin" w:cs="IRNazanin"/>
          <w:lang w:bidi="fa-IR"/>
          <w:color w:val="111111"/>
          <w:sz w:val="28"/>
          <w:szCs w:val="28"/>
          <w:rtl/>
        </w:rPr>
        <w:t xml:space="preserve">۲ . مشهد؛ رضوی؛ شماره نسخه: ۲۲۷۰۶/۴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عبدالعزيز الحكيم، تا: ۷ رمضان ۶۸۷ق؛ کاغذ:  حنایی ، جلد: میشن ، ۲۴گ (۴۶-۲۳)، ۳۱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۲۶/۷سم [ف ۱۹ - ۵۰۱]</w:t>
      </w:r>
    </w:p>
    <w:p>
      <w:pPr>
        <w:pStyle w:val="BookText"/>
      </w:pPr>
      <w:r>
        <w:rPr>
          <w:rFonts w:ascii="IRNazanin" w:hAnsi="IRNazanin" w:eastAsia="IRNazanin" w:cs="IRNazanin"/>
          <w:lang w:bidi="fa-IR"/>
          <w:color w:val="111111"/>
          <w:sz w:val="28"/>
          <w:szCs w:val="28"/>
          <w:rtl/>
        </w:rPr>
        <w:t xml:space="preserve">3.یزد؛ مدرسه خان؛ شماره نسخه: ۵۸</w:t>
      </w:r>
    </w:p>
    <w:p>
      <w:pPr>
        <w:pStyle w:val="BookText"/>
      </w:pPr>
      <w:r>
        <w:rPr>
          <w:rFonts w:ascii="IRNazanin" w:hAnsi="IRNazanin" w:eastAsia="IRNazanin" w:cs="IRNazanin"/>
          <w:lang w:bidi="fa-IR"/>
          <w:color w:val="111111"/>
          <w:sz w:val="28"/>
          <w:szCs w:val="28"/>
          <w:rtl/>
        </w:rPr>
        <w:t xml:space="preserve">خط: نسخ، کا: ابوالمعالی بن ابی الكرم بن ابی سهل نصرانی، تا: ۶۸۸ق؛ مقابله  شده در برگی قبل از کتاب نشانی خرید آن توسط زين العابدين بن محمد حسین به تاریخ ربیع الاول ۱۲۲۰ و نام چند کتاب آمده؛ تملک: یوسف بن بدرالدین بن عبدالاله الغرى، ابوالطيب الغرى؛ جلد: تیماج قرمز ،ضربی، ۱۲۱گ، ۱۱ 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۴۱]</w:t>
      </w:r>
    </w:p>
    <w:p>
      <w:pPr>
        <w:pStyle w:val="BookText"/>
      </w:pPr>
      <w:r>
        <w:rPr>
          <w:rFonts w:ascii="IRNazanin" w:hAnsi="IRNazanin" w:eastAsia="IRNazanin" w:cs="IRNazanin"/>
          <w:lang w:bidi="fa-IR"/>
          <w:color w:val="111111"/>
          <w:sz w:val="28"/>
          <w:szCs w:val="28"/>
          <w:rtl/>
        </w:rPr>
        <w:t xml:space="preserve">۴. تهران؛ الهیات؛ شماره نسخه: ۵۴</w:t>
      </w:r>
    </w:p>
    <w:p>
      <w:pPr>
        <w:pStyle w:val="BookText"/>
      </w:pPr>
      <w:r>
        <w:rPr>
          <w:rFonts w:ascii="IRNazanin" w:hAnsi="IRNazanin" w:eastAsia="IRNazanin" w:cs="IRNazanin"/>
          <w:lang w:bidi="fa-IR"/>
          <w:color w:val="111111"/>
          <w:sz w:val="28"/>
          <w:szCs w:val="28"/>
          <w:rtl/>
        </w:rPr>
        <w:t xml:space="preserve">خط: نستعلیق، بی کا، تا: قرن ۸ ؛محشی با نشان «تحفه، شرح آملی، ،قانون کناش ،فاخر ،جواهر اللغة اغذيه و اشربه» در برگ ۱ و ۲ روایات مربوط به طب و سر گذشت ایلاقی از تاریخ الحکماء شهروزی؛ کاغذ: سمرقندی، جلد: تیماج قهوه ای زرکوب مقوایی، ۲۶۰گ، ۲۵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۲۵/۵سم [ف: ۶۲۰]</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قم؛ مرعشی ؛شماره نسخه: ۱۳۸۷۸</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عبد القاهر بن بهاء الدین فولادی، تا:24 محرم  739ق، مصحح، دارای حواشی با نشان «هـ»، یادگاری محمد اسماعیل از نوادگان ملا محمد باقر بهبهانی به سال ۱۳۳۵ ش در قبل از آغاز وجود دارد؛ تملک: «منتقل شد این کتاب از ورثه مرحوم حكيم الغ بيك بفقير حقير محمد باقر بن زين العابدين الحسيني المرعشى غفر لهما» با مهر «يا غياث المستغيثين اغثنی» (بیضی)؛ مهر: «ابن محمد علی محمد اسماعیل» (بیضی) «محمد صالح بن محمد اسماعيل بن محمد علی» (بیضی)؛ کاغذ: شرقی، جلد: تیماج قهوه ای ۶۹ ص ۱۵ سطر (۱۲۹)، اندازه :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۳۵ - ۲۵۱]</w:t>
      </w:r>
    </w:p>
    <w:p>
      <w:pPr>
        <w:pStyle w:val="BookText"/>
      </w:pPr>
      <w:r>
        <w:rPr>
          <w:rFonts w:ascii="IRNazanin" w:hAnsi="IRNazanin" w:eastAsia="IRNazanin" w:cs="IRNazanin"/>
          <w:lang w:bidi="fa-IR"/>
          <w:color w:val="111111"/>
          <w:sz w:val="28"/>
          <w:szCs w:val="28"/>
          <w:rtl/>
        </w:rPr>
        <w:t xml:space="preserve">۶. تهران؛ ادبیات؛ شماره نسخه: ۲۱۰ - ج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حسین بن محمد، تا: جمعه ۱ رجب ۷۷۵ق؛ در پایان بندی است در پزشکی به عربی و فارسی و سپس باب دوم کتابی در پزشکی گویا یادگار گرگانی؛ کاغذ: سمرقندی، جلد: تیماج  مشکی، ۷۲گ ۱۷ سطر (9</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۱ - 418]</w:t>
      </w:r>
    </w:p>
    <w:p>
      <w:pPr>
        <w:pStyle w:val="BookText"/>
      </w:pPr>
      <w:r>
        <w:rPr>
          <w:rFonts w:ascii="IRNazanin" w:hAnsi="IRNazanin" w:eastAsia="IRNazanin" w:cs="IRNazanin"/>
          <w:lang w:bidi="fa-IR"/>
          <w:color w:val="111111"/>
          <w:sz w:val="28"/>
          <w:szCs w:val="28"/>
          <w:rtl/>
        </w:rPr>
        <w:t xml:space="preserve">۷. مشهد؛ گوهر شاد؛ شماره نسخه: ۱۸۷۷/۱</w:t>
      </w:r>
    </w:p>
    <w:p>
      <w:pPr>
        <w:pStyle w:val="BookText"/>
      </w:pPr>
      <w:r>
        <w:rPr>
          <w:rFonts w:ascii="IRNazanin" w:hAnsi="IRNazanin" w:eastAsia="IRNazanin" w:cs="IRNazanin"/>
          <w:lang w:bidi="fa-IR"/>
          <w:color w:val="111111"/>
          <w:sz w:val="28"/>
          <w:szCs w:val="28"/>
          <w:rtl/>
        </w:rPr>
        <w:t xml:space="preserve">آغاز و انجام :برابر ۲</w:t>
      </w:r>
    </w:p>
    <w:p>
      <w:pPr>
        <w:pStyle w:val="BookText"/>
      </w:pPr>
      <w:r>
        <w:rPr>
          <w:rFonts w:ascii="IRNazanin" w:hAnsi="IRNazanin" w:eastAsia="IRNazanin" w:cs="IRNazanin"/>
          <w:lang w:bidi="fa-IR"/>
          <w:color w:val="111111"/>
          <w:sz w:val="28"/>
          <w:szCs w:val="28"/>
          <w:rtl/>
        </w:rPr>
        <w:t xml:space="preserve">خط: نستعلیق  خوش، بی کا، تا: ۳ شوال ۸۸۱ق؛ تملک: ابوطالب حکیم در جمادی الاول ۹۳۲؛ تاریخ وقف: ۱۳۳۲؛ كاغذ: حنایی آهار مهره، جلد: تیماج مشکی ضربی با ترنج و سرترنج، ۲۰۷ گ،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۵ - ۲۷۳]</w:t>
      </w:r>
    </w:p>
    <w:p>
      <w:pPr>
        <w:pStyle w:val="BookText"/>
      </w:pPr>
      <w:r>
        <w:rPr>
          <w:rFonts w:ascii="IRNazanin" w:hAnsi="IRNazanin" w:eastAsia="IRNazanin" w:cs="IRNazanin"/>
          <w:lang w:bidi="fa-IR"/>
          <w:color w:val="111111"/>
          <w:sz w:val="28"/>
          <w:szCs w:val="28"/>
          <w:rtl/>
        </w:rPr>
        <w:t xml:space="preserve">۸. تهران؛ ملک؛ شماره نسخه: ۴۲۹۰</w:t>
      </w:r>
    </w:p>
    <w:p>
      <w:pPr>
        <w:pStyle w:val="BookText"/>
      </w:pPr>
      <w:r>
        <w:rPr>
          <w:rFonts w:ascii="IRNazanin" w:hAnsi="IRNazanin" w:eastAsia="IRNazanin" w:cs="IRNazanin"/>
          <w:lang w:bidi="fa-IR"/>
          <w:color w:val="111111"/>
          <w:sz w:val="28"/>
          <w:szCs w:val="28"/>
          <w:rtl/>
        </w:rPr>
        <w:t xml:space="preserve">آغاز و انجام: برابر ۲</w:t>
      </w:r>
    </w:p>
    <w:p>
      <w:pPr>
        <w:pStyle w:val="BookText"/>
      </w:pPr>
      <w:r>
        <w:rPr>
          <w:rFonts w:ascii="IRNazanin" w:hAnsi="IRNazanin" w:eastAsia="IRNazanin" w:cs="IRNazanin"/>
          <w:lang w:bidi="fa-IR"/>
          <w:color w:val="111111"/>
          <w:sz w:val="28"/>
          <w:szCs w:val="28"/>
          <w:rtl/>
        </w:rPr>
        <w:t xml:space="preserve">خط: نسخ و نستعليق، كا: جلال الدين بن شمس الدین محمد بن جلال الدین ،خوارزمی ،تا: رمضان ،۸۹۶ق ؛جا: هرات؛ با تاریخ تولد ۸۸۷ سلطان زاده و محمد مسیح طبیب رازی؛ تملک: نظام الدین علی با مهر، قطب الدین محمد طبیب شیرازی با مـهر، ضیاءالدین پسر او، کاغذ:ترمه ، جلد: روغنی زرافشان ترنج دار ۲۵۷گ، ۲۵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۲۵/۵سم [ف: ۱-۵۰۹]</w:t>
      </w:r>
    </w:p>
    <w:p>
      <w:pPr>
        <w:pStyle w:val="BookText"/>
      </w:pPr>
      <w:r>
        <w:rPr>
          <w:rFonts w:ascii="IRNazanin" w:hAnsi="IRNazanin" w:eastAsia="IRNazanin" w:cs="IRNazanin"/>
          <w:lang w:bidi="fa-IR"/>
          <w:color w:val="111111"/>
          <w:sz w:val="28"/>
          <w:szCs w:val="28"/>
          <w:rtl/>
        </w:rPr>
        <w:t xml:space="preserve">9.تهران؛ مجلس؛ شماره نسخه: ۷۷۳/۲</w:t>
      </w:r>
    </w:p>
    <w:p>
      <w:pPr>
        <w:pStyle w:val="BookText"/>
      </w:pPr>
      <w:r>
        <w:rPr>
          <w:rFonts w:ascii="IRNazanin" w:hAnsi="IRNazanin" w:eastAsia="IRNazanin" w:cs="IRNazanin"/>
          <w:lang w:bidi="fa-IR"/>
          <w:color w:val="111111"/>
          <w:sz w:val="28"/>
          <w:szCs w:val="28"/>
          <w:rtl/>
        </w:rPr>
        <w:t xml:space="preserve">خط: نستعلیق، کا: اسماعیل بن حسین نائینی، تا: قرن ۱۰،جا: دیلمیه اصفهان؛ کاغذ: سفید، جلد: تیماج سبز ضربی و مقوایی نو، ۱۵۸ ص، (73- 230)، ۱۵ سطر (۵/۵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۱۰/۵ )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  سنا- ف: 2- 57]</w:t>
      </w:r>
    </w:p>
    <w:p>
      <w:pPr>
        <w:pStyle w:val="BookText"/>
      </w:pPr>
      <w:r>
        <w:rPr>
          <w:rFonts w:ascii="IRNazanin" w:hAnsi="IRNazanin" w:eastAsia="IRNazanin" w:cs="IRNazanin"/>
          <w:lang w:bidi="fa-IR"/>
          <w:color w:val="111111"/>
          <w:sz w:val="28"/>
          <w:szCs w:val="28"/>
          <w:rtl/>
        </w:rPr>
        <w:t xml:space="preserve">۱۰ .مشهد؛ الهیات؛ شماره نسخه: ۷۲۷</w:t>
      </w:r>
    </w:p>
    <w:p>
      <w:pPr>
        <w:pStyle w:val="BookText"/>
      </w:pPr>
      <w:r>
        <w:rPr>
          <w:rFonts w:ascii="IRNazanin" w:hAnsi="IRNazanin" w:eastAsia="IRNazanin" w:cs="IRNazanin"/>
          <w:lang w:bidi="fa-IR"/>
          <w:color w:val="111111"/>
          <w:sz w:val="28"/>
          <w:szCs w:val="28"/>
          <w:rtl/>
        </w:rPr>
        <w:t xml:space="preserve">آغاز و انجام: برابر ۲</w:t>
      </w:r>
    </w:p>
    <w:p>
      <w:pPr>
        <w:pStyle w:val="BookText"/>
      </w:pPr>
      <w:r>
        <w:rPr>
          <w:rFonts w:ascii="IRNazanin" w:hAnsi="IRNazanin" w:eastAsia="IRNazanin" w:cs="IRNazanin"/>
          <w:lang w:bidi="fa-IR"/>
          <w:color w:val="111111"/>
          <w:sz w:val="28"/>
          <w:szCs w:val="28"/>
          <w:rtl/>
        </w:rPr>
        <w:t xml:space="preserve">خط: نسخ، کا: احمد بن  مجدالدین، تا: غره رمضان۹۱۶ق،جا: قریه مراباد؛ در صفحه عنوان فهرست کتاب در ۲۷ رمضان 1248</w:t>
      </w:r>
    </w:p>
    <w:p>
      <w:pPr>
        <w:pStyle w:val="BookText"/>
      </w:pPr>
      <w:r>
        <w:rPr>
          <w:rFonts w:ascii="IRNazanin" w:hAnsi="IRNazanin" w:eastAsia="IRNazanin" w:cs="IRNazanin"/>
          <w:lang w:bidi="fa-IR"/>
          <w:color w:val="111111"/>
          <w:sz w:val="28"/>
          <w:szCs w:val="28"/>
          <w:rtl/>
        </w:rPr>
        <w:t xml:space="preserve">وسیله محمد باقر ابن محمدمصطفی نوشته شده، در صفحه3 مطالبی گوناگون در صفحه چهارم دستورات طبی و در صفـحه پنجم چنین آمده: «بدانکه در شهور سنه ست و تسعمائه در خراسان بلکه در جمیع بلاد و ولایت مرضی ظاهر شده که او  راآبله فرنگی گویند و معالجه او بسیار مشکل است»؛ تملک: محـمد سعيد بن ميرزا محمد صالح ،صدرالدین محمد بن علی اصغرـ طبيب؛ مهر: «فصبر جمیل ۱۱۶۶»؛ جلد: تیماج ،مشکی، ۱۵۷گ ۲۷ سطر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،قطع: وزیری،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۱ - 562]</w:t>
      </w:r>
    </w:p>
    <w:p>
      <w:pPr>
        <w:pStyle w:val="BookText"/>
      </w:pPr>
      <w:r>
        <w:rPr>
          <w:rFonts w:ascii="IRNazanin" w:hAnsi="IRNazanin" w:eastAsia="IRNazanin" w:cs="IRNazanin"/>
          <w:lang w:bidi="fa-IR"/>
          <w:color w:val="111111"/>
          <w:sz w:val="28"/>
          <w:szCs w:val="28"/>
          <w:rtl/>
        </w:rPr>
        <w:t xml:space="preserve">۱۱. یزد؛ وزیری؛ شماره نسخه: ۳۱۵</w:t>
      </w:r>
    </w:p>
    <w:p>
      <w:pPr>
        <w:pStyle w:val="BookText"/>
      </w:pPr>
      <w:r>
        <w:rPr>
          <w:rFonts w:ascii="IRNazanin" w:hAnsi="IRNazanin" w:eastAsia="IRNazanin" w:cs="IRNazanin"/>
          <w:lang w:bidi="fa-IR"/>
          <w:color w:val="111111"/>
          <w:sz w:val="28"/>
          <w:szCs w:val="28"/>
          <w:rtl/>
        </w:rPr>
        <w:t xml:space="preserve">آغاز: برابر ۲؛ انجام: الملح و اكل على موضع العضد، تم فی السادس من شهر رجب...</w:t>
      </w:r>
    </w:p>
    <w:p>
      <w:pPr>
        <w:pStyle w:val="BookText"/>
      </w:pPr>
      <w:r>
        <w:rPr>
          <w:rFonts w:ascii="IRNazanin" w:hAnsi="IRNazanin" w:eastAsia="IRNazanin" w:cs="IRNazanin"/>
          <w:lang w:bidi="fa-IR"/>
          <w:color w:val="111111"/>
          <w:sz w:val="28"/>
          <w:szCs w:val="28"/>
          <w:rtl/>
        </w:rPr>
        <w:t xml:space="preserve">خط: نسخ، بی کا، تا: قرن ۱۱؛ اهدائی شیخ احمد شریعت عقدائی؛ کاغذ:حنایی ،جلد: مقوایی با تیماج آلبالویی ضربی درون ۲۸۹گ، ۲۳ 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۲۹سم [ف: ۱ - ۳۰۰]</w:t>
      </w:r>
    </w:p>
    <w:p>
      <w:pPr>
        <w:pStyle w:val="BookText"/>
      </w:pPr>
      <w:r>
        <w:rPr>
          <w:rFonts w:ascii="IRNazanin" w:hAnsi="IRNazanin" w:eastAsia="IRNazanin" w:cs="IRNazanin"/>
          <w:lang w:bidi="fa-IR"/>
          <w:color w:val="111111"/>
          <w:sz w:val="28"/>
          <w:szCs w:val="28"/>
          <w:rtl/>
        </w:rPr>
        <w:t xml:space="preserve">۱۲. تهران؛ علوم پزشکی؛ شماره نسخه: ۲۰۰</w:t>
      </w:r>
    </w:p>
    <w:p>
      <w:pPr>
        <w:pStyle w:val="BookText"/>
      </w:pPr>
      <w:r>
        <w:rPr>
          <w:rFonts w:ascii="IRNazanin" w:hAnsi="IRNazanin" w:eastAsia="IRNazanin" w:cs="IRNazanin"/>
          <w:lang w:bidi="fa-IR"/>
          <w:color w:val="111111"/>
          <w:sz w:val="28"/>
          <w:szCs w:val="28"/>
          <w:rtl/>
        </w:rPr>
        <w:t xml:space="preserve">آغاز و انجام: برابر ۲</w:t>
      </w:r>
    </w:p>
    <w:p>
      <w:pPr>
        <w:pStyle w:val="BookText"/>
      </w:pPr>
      <w:r>
        <w:rPr>
          <w:rFonts w:ascii="IRNazanin" w:hAnsi="IRNazanin" w:eastAsia="IRNazanin" w:cs="IRNazanin"/>
          <w:lang w:bidi="fa-IR"/>
          <w:color w:val="111111"/>
          <w:sz w:val="28"/>
          <w:szCs w:val="28"/>
          <w:rtl/>
        </w:rPr>
        <w:t xml:space="preserve">این کتاب در فهرست به نام «الفصول» آمده و تغییر آن با توجه به آغاز آن بوده است؛ خط: نسخ، بی کا، تا: قرن ۱۰ و ۱۱، با تاریخ ساختگی رمضان ۸۸۹؛ ۴۹۹ ص ۲۵ سطر، اندازه: ۱۷/۵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[نشریه: ۳ - ۳۷۹]</w:t>
      </w:r>
    </w:p>
    <w:p>
      <w:pPr>
        <w:pStyle w:val="BookText"/>
      </w:pPr>
      <w:r>
        <w:rPr>
          <w:rFonts w:ascii="IRNazanin" w:hAnsi="IRNazanin" w:eastAsia="IRNazanin" w:cs="IRNazanin"/>
          <w:lang w:bidi="fa-IR"/>
          <w:color w:val="111111"/>
          <w:sz w:val="28"/>
          <w:szCs w:val="28"/>
          <w:rtl/>
        </w:rPr>
        <w:t xml:space="preserve">۱۳. تهران؛ دانشگاه؛ شماره نسخه: ۴۳۸</w:t>
      </w:r>
    </w:p>
    <w:p>
      <w:pPr>
        <w:pStyle w:val="BookText"/>
      </w:pPr>
      <w:r>
        <w:rPr>
          <w:rFonts w:ascii="IRNazanin" w:hAnsi="IRNazanin" w:eastAsia="IRNazanin" w:cs="IRNazanin"/>
          <w:lang w:bidi="fa-IR"/>
          <w:color w:val="111111"/>
          <w:sz w:val="28"/>
          <w:szCs w:val="28"/>
          <w:rtl/>
        </w:rPr>
        <w:t xml:space="preserve">آغاز و انجام: برابر ۲</w:t>
      </w:r>
    </w:p>
    <w:p>
      <w:pPr>
        <w:pStyle w:val="BookText"/>
      </w:pPr>
      <w:r>
        <w:rPr>
          <w:rFonts w:ascii="IRNazanin" w:hAnsi="IRNazanin" w:eastAsia="IRNazanin" w:cs="IRNazanin"/>
          <w:lang w:bidi="fa-IR"/>
          <w:color w:val="111111"/>
          <w:sz w:val="28"/>
          <w:szCs w:val="28"/>
          <w:rtl/>
        </w:rPr>
        <w:t xml:space="preserve">خط: نستعلیق، بی کا ،تا: ۱۰۶۲ق؛ در صفحه عنوان دارد: «کتاب فى الطب من مؤلفات الفاضل الكامل السيد الحسيب النسيب الاوحد في زمانه السيد محمد الايلاقى تلميذ الشيخ الرئيس ابي على السينا قدس الله سرهما و نور ضريحهما»؛ تملك: محمد كازا با مهر او؛ ۷۱گ (۱۵۷ پ - ۲۲۷پ)، ۱۶ سطر [ف: ۴ - ۷۹۴]</w:t>
      </w:r>
    </w:p>
    <w:p>
      <w:pPr>
        <w:pStyle w:val="BookText"/>
      </w:pPr>
      <w:r>
        <w:rPr>
          <w:rFonts w:ascii="IRNazanin" w:hAnsi="IRNazanin" w:eastAsia="IRNazanin" w:cs="IRNazanin"/>
          <w:lang w:bidi="fa-IR"/>
          <w:color w:val="111111"/>
          <w:sz w:val="28"/>
          <w:szCs w:val="28"/>
          <w:rtl/>
        </w:rPr>
        <w:t xml:space="preserve">۱۴ . مشهد؛ رضوی؛ شماره نسخه: ۲۳۲۲۱</w:t>
      </w:r>
    </w:p>
    <w:p>
      <w:pPr>
        <w:pStyle w:val="BookText"/>
      </w:pPr>
      <w:r>
        <w:rPr>
          <w:rFonts w:ascii="IRNazanin" w:hAnsi="IRNazanin" w:eastAsia="IRNazanin" w:cs="IRNazanin"/>
          <w:lang w:bidi="fa-IR"/>
          <w:color w:val="111111"/>
          <w:sz w:val="28"/>
          <w:szCs w:val="28"/>
          <w:rtl/>
        </w:rPr>
        <w:t xml:space="preserve">آغاز و انجام: برابر ۲</w:t>
      </w:r>
    </w:p>
    <w:p>
      <w:pPr>
        <w:pStyle w:val="BookText"/>
      </w:pPr>
      <w:r>
        <w:rPr>
          <w:rFonts w:ascii="IRNazanin" w:hAnsi="IRNazanin" w:eastAsia="IRNazanin" w:cs="IRNazanin"/>
          <w:lang w:bidi="fa-IR"/>
          <w:color w:val="111111"/>
          <w:sz w:val="28"/>
          <w:szCs w:val="28"/>
          <w:rtl/>
        </w:rPr>
        <w:t xml:space="preserve">خط: نستعلیق، کا: محمد شفیع بن محمد صلاح ،تا: محرم ۱۰۹۶ق؛ واقف عباسعلی صائبی، شهریور ۱۳۷۵؛ کاغذ: نخودی ،جلد: تیماج ضربی عطف پارچه با سجاف، ۴۴۹گ، ۱۵ سطر، ،اندازه: ۱۸/۵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۲۴/۵سم [ف : ۱۹ - ۳۳۶]</w:t>
      </w:r>
    </w:p>
    <w:p>
      <w:pPr>
        <w:pStyle w:val="BookText"/>
      </w:pPr>
      <w:r>
        <w:rPr>
          <w:rFonts w:ascii="IRNazanin" w:hAnsi="IRNazanin" w:eastAsia="IRNazanin" w:cs="IRNazanin"/>
          <w:lang w:bidi="fa-IR"/>
          <w:color w:val="111111"/>
          <w:sz w:val="28"/>
          <w:szCs w:val="28"/>
          <w:rtl/>
        </w:rPr>
        <w:t xml:space="preserve">۱۵. مشهد؛ گوهر شاد؛ شماره نسخه: ۱۲۵۶</w:t>
      </w:r>
    </w:p>
    <w:p>
      <w:pPr>
        <w:pStyle w:val="BookText"/>
      </w:pPr>
      <w:r>
        <w:rPr>
          <w:rFonts w:ascii="IRNazanin" w:hAnsi="IRNazanin" w:eastAsia="IRNazanin" w:cs="IRNazanin"/>
          <w:lang w:bidi="fa-IR"/>
          <w:color w:val="111111"/>
          <w:sz w:val="28"/>
          <w:szCs w:val="28"/>
          <w:rtl/>
        </w:rPr>
        <w:t xml:space="preserve">آغاز و انجام: برابر ۲</w:t>
      </w:r>
    </w:p>
    <w:p>
      <w:pPr>
        <w:pStyle w:val="BookText"/>
      </w:pPr>
      <w:r>
        <w:rPr>
          <w:rFonts w:ascii="IRNazanin" w:hAnsi="IRNazanin" w:eastAsia="IRNazanin" w:cs="IRNazanin"/>
          <w:lang w:bidi="fa-IR"/>
          <w:color w:val="111111"/>
          <w:sz w:val="28"/>
          <w:szCs w:val="28"/>
          <w:rtl/>
        </w:rPr>
        <w:t xml:space="preserve">خط: نسخ، بی کا، تا: قرن ۱۲؛ محشی، در آخر نسخه یادداشت خریداری از محمد اسماعیل حسینی مورخ ۱۱۶۸ق در دارالعلم شیراز از میرزا محمد باقر کتابفروش با مهر بادامی شکل کوچک او که روی مهر را پاک کرده اند، در پشت صفحه اول یادداشت محمد اسماعيل بن شمس الدین محمد طبیب مورخ ۱۲۳۴ق آمده که «این جلد کتاب دستور ایلاقی مثل سایر کتب بهمان شروط که در نسخه مسطور است وقف اولاد می باشد تغییر دهنده بلعنت خدا گرفتار» با مهر او «العبد محمد اسمعيل» (چهارگوش)؛ کاغذ: فرنگی، جلد: تیماج مشکی ،ضربی دار ۲۵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 اندازه: ۲۰/۵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۳۰سم [ف ۴ - ۱۸۷۸]</w:t>
      </w:r>
    </w:p>
    <w:p>
      <w:pPr>
        <w:pStyle w:val="BookText"/>
      </w:pPr>
      <w:r>
        <w:rPr>
          <w:rFonts w:ascii="IRNazanin" w:hAnsi="IRNazanin" w:eastAsia="IRNazanin" w:cs="IRNazanin"/>
          <w:lang w:bidi="fa-IR"/>
          <w:color w:val="111111"/>
          <w:sz w:val="28"/>
          <w:szCs w:val="28"/>
          <w:rtl/>
        </w:rPr>
        <w:t xml:space="preserve">۱۶. تهران؛ مؤسسه مطالعات اسلامی؛ شماره نسخه: ۳۹</w:t>
      </w:r>
    </w:p>
    <w:p>
      <w:pPr>
        <w:pStyle w:val="BookText"/>
      </w:pPr>
      <w:r>
        <w:rPr>
          <w:rFonts w:ascii="Amiri" w:hAnsi="Amiri" w:eastAsia="Amiri" w:cs="Amiri"/>
          <w:lang w:bidi="ar-SA"/>
          <w:color w:val="111111"/>
          <w:sz w:val="28"/>
          <w:szCs w:val="28"/>
          <w:rtl/>
        </w:rPr>
        <w:t xml:space="preserve">آغاز: برابر ۱؛ انجام: الفصل الثالث عشر في احوال البطيخ اما سفيد باج فهى ملينة والخلنبات</w:t>
      </w:r>
    </w:p>
    <w:p>
      <w:pPr>
        <w:pStyle w:val="BookText"/>
      </w:pPr>
      <w:r>
        <w:rPr>
          <w:rFonts w:ascii="IRNazanin" w:hAnsi="IRNazanin" w:eastAsia="IRNazanin" w:cs="IRNazanin"/>
          <w:lang w:bidi="fa-IR"/>
          <w:color w:val="111111"/>
          <w:sz w:val="28"/>
          <w:szCs w:val="28"/>
          <w:rtl/>
        </w:rPr>
        <w:t xml:space="preserve">در فهرست مؤلف ناشناخته مانده است؛ خط: نسخ و نستعلیق، بی کا، تا: قرن ۱۳ ؛کاغذ: زرد نازک آهار زده، جلد: مقوایی ۱۱۷ ص ۱۱ سطر (۵/۵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۱۰/۵)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 ف : ۳۴]</w:t>
      </w:r>
    </w:p>
    <w:p>
      <w:pPr>
        <w:pStyle w:val="BookText"/>
      </w:pPr>
      <w:r>
        <w:rPr>
          <w:rFonts w:ascii="IRNazanin" w:hAnsi="IRNazanin" w:eastAsia="IRNazanin" w:cs="IRNazanin"/>
          <w:lang w:bidi="fa-IR"/>
          <w:color w:val="111111"/>
          <w:sz w:val="28"/>
          <w:szCs w:val="28"/>
          <w:rtl/>
        </w:rPr>
        <w:t xml:space="preserve">۱۷. تهران؛ مجلس؛ شماره نسخه: ۶۰۰۹</w:t>
      </w:r>
    </w:p>
    <w:p>
      <w:pPr>
        <w:pStyle w:val="BookText"/>
      </w:pPr>
      <w:r>
        <w:rPr>
          <w:rFonts w:ascii="IRNazanin" w:hAnsi="IRNazanin" w:eastAsia="IRNazanin" w:cs="IRNazanin"/>
          <w:lang w:bidi="fa-IR"/>
          <w:color w:val="111111"/>
          <w:sz w:val="28"/>
          <w:szCs w:val="28"/>
          <w:rtl/>
        </w:rPr>
        <w:t xml:space="preserve">آغاز برابر ۱؛ انجام: برابر ۲</w:t>
      </w:r>
    </w:p>
    <w:p>
      <w:pPr>
        <w:pStyle w:val="BookText"/>
      </w:pPr>
      <w:r>
        <w:rPr>
          <w:rFonts w:ascii="IRNazanin" w:hAnsi="IRNazanin" w:eastAsia="IRNazanin" w:cs="IRNazanin"/>
          <w:lang w:bidi="fa-IR"/>
          <w:color w:val="111111"/>
          <w:sz w:val="28"/>
          <w:szCs w:val="28"/>
          <w:rtl/>
        </w:rPr>
        <w:t xml:space="preserve">خط: نستعلیق، بی کا ،تا: قرن ۱۳؛ کاغذ :فرنگی سفید، جلد: تیماج عنابی عطف تیماج قهوه ای، ۵۵۶ ص ۲۳ سطر، قطع: رحلی،</w:t>
      </w:r>
    </w:p>
    <w:p>
      <w:pPr>
        <w:pStyle w:val="BookText"/>
      </w:pPr>
      <w:r>
        <w:rPr>
          <w:rFonts w:ascii="IRNazanin" w:hAnsi="IRNazanin" w:eastAsia="IRNazanin" w:cs="IRNazanin"/>
          <w:lang w:bidi="fa-IR"/>
          <w:color w:val="111111"/>
          <w:sz w:val="28"/>
          <w:szCs w:val="28"/>
          <w:rtl/>
        </w:rPr>
        <w:t xml:space="preserve">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۲۹سم [ف : ۱۹ - ۵]</w:t>
      </w:r>
    </w:p>
    <w:p>
      <w:pPr>
        <w:pStyle w:val="BookText"/>
      </w:pPr>
      <w:r>
        <w:rPr>
          <w:rFonts w:ascii="IRNazanin" w:hAnsi="IRNazanin" w:eastAsia="IRNazanin" w:cs="IRNazanin"/>
          <w:lang w:bidi="fa-IR"/>
          <w:color w:val="111111"/>
          <w:sz w:val="28"/>
          <w:szCs w:val="28"/>
          <w:rtl/>
        </w:rPr>
        <w:t xml:space="preserve">۱۸. تهران؛ علوم پزشکی؛ شماره نسخه: ۱۹۹</w:t>
      </w:r>
    </w:p>
    <w:p>
      <w:pPr>
        <w:pStyle w:val="BookText"/>
      </w:pPr>
      <w:r>
        <w:rPr>
          <w:rFonts w:ascii="IRNazanin" w:hAnsi="IRNazanin" w:eastAsia="IRNazanin" w:cs="IRNazanin"/>
          <w:lang w:bidi="fa-IR"/>
          <w:color w:val="111111"/>
          <w:sz w:val="28"/>
          <w:szCs w:val="28"/>
          <w:rtl/>
        </w:rPr>
        <w:t xml:space="preserve">آغاز و انجام: برابر ۲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32" w:name="pg20365_260166"/>
    <w:bookmarkEnd w:id="132"/>
    <w:p>
      <w:pPr>
        <w:pStyle w:val="BookText"/>
      </w:pPr>
      <w:r>
        <w:rPr>
          <w:rFonts w:ascii="IRNazanin" w:hAnsi="IRNazanin" w:eastAsia="IRNazanin" w:cs="IRNazanin"/>
          <w:lang w:bidi="fa-IR"/>
          <w:color w:val="111111"/>
          <w:sz w:val="28"/>
          <w:szCs w:val="28"/>
          <w:rtl/>
        </w:rPr>
        <w:t xml:space="preserve">در فهرست «الفصول» آمده؛ خط: تحریری، بی کا، تا: ۲۲ ص ۱۲۳۹ق؛ ۵۴۸ ص (۵۴۴+ 4) ۱۹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۲۹/۵سم [نشریه: ۳ - ۳۷۹]</w:t>
      </w:r>
    </w:p>
    <w:p>
      <w:pPr>
        <w:pStyle w:val="BookText"/>
      </w:pPr>
      <w:r>
        <w:rPr>
          <w:rFonts w:ascii="IRNazanin" w:hAnsi="IRNazanin" w:eastAsia="IRNazanin" w:cs="IRNazanin"/>
          <w:lang w:bidi="fa-IR"/>
          <w:color w:val="111111"/>
          <w:sz w:val="28"/>
          <w:szCs w:val="28"/>
          <w:rtl/>
        </w:rPr>
        <w:t xml:space="preserve">۱۹. تهران؛ مجلس؛ شماره نسخه: ۶۲۲۸</w:t>
      </w:r>
    </w:p>
    <w:p>
      <w:pPr>
        <w:pStyle w:val="BookText"/>
      </w:pPr>
      <w:r>
        <w:rPr>
          <w:rFonts w:ascii="IRNazanin" w:hAnsi="IRNazanin" w:eastAsia="IRNazanin" w:cs="IRNazanin"/>
          <w:lang w:bidi="fa-IR"/>
          <w:color w:val="111111"/>
          <w:sz w:val="28"/>
          <w:szCs w:val="28"/>
          <w:rtl/>
        </w:rPr>
        <w:t xml:space="preserve">کا: سید محمد طاهر طبیب ،اصفهانی، تا: ۱۲۵۰ق؛ کاتب که خود پزشک بوده در سه برگ آخر پاره ای از اصطلاحات پزشکی و اوراق و مقادیر را با رسم چند جدول تفسیر و شرح کرده است ؛کاغذ: فرنگی سفید رنگ آهار مهره، جلد: تیماج يشمى ترنج منگنه شده، ۲۳۹ ص، ۲۵ سطر، قطع: رحلی :اندازه ۲۰/۵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۳۰[ف ۱۹ - ۲۰۳]</w:t>
      </w:r>
    </w:p>
    <w:p>
      <w:pPr>
        <w:pStyle w:val="BookText"/>
      </w:pPr>
      <w:r>
        <w:rPr>
          <w:rFonts w:ascii="IRNazanin" w:hAnsi="IRNazanin" w:eastAsia="IRNazanin" w:cs="IRNazanin"/>
          <w:lang w:bidi="fa-IR"/>
          <w:color w:val="111111"/>
          <w:sz w:val="28"/>
          <w:szCs w:val="28"/>
          <w:rtl/>
        </w:rPr>
        <w:t xml:space="preserve">۲۰. قم؛ مرعشی؛ شماره نسخه: ۷۰۵۷</w:t>
      </w:r>
    </w:p>
    <w:p>
      <w:pPr>
        <w:pStyle w:val="BookText"/>
      </w:pPr>
      <w:r>
        <w:rPr>
          <w:rFonts w:ascii="IRNazanin" w:hAnsi="IRNazanin" w:eastAsia="IRNazanin" w:cs="IRNazanin"/>
          <w:lang w:bidi="fa-IR"/>
          <w:color w:val="111111"/>
          <w:sz w:val="28"/>
          <w:szCs w:val="28"/>
          <w:rtl/>
        </w:rPr>
        <w:t xml:space="preserve">آغاز: برابر ۲؛ انجام: و البصل المربى بالخل يمنع التهوع و القـیء المتولد من الدواء</w:t>
      </w:r>
    </w:p>
    <w:p>
      <w:pPr>
        <w:pStyle w:val="BookText"/>
      </w:pPr>
      <w:r>
        <w:rPr>
          <w:rFonts w:ascii="IRNazanin" w:hAnsi="IRNazanin" w:eastAsia="IRNazanin" w:cs="IRNazanin"/>
          <w:lang w:bidi="fa-IR"/>
          <w:color w:val="111111"/>
          <w:sz w:val="28"/>
          <w:szCs w:val="28"/>
          <w:rtl/>
        </w:rPr>
        <w:t xml:space="preserve">خط: نستعلیق، کا: محمد هادی بن محمد صادق حسینی، سه شنبه ۱۱ شعبان۱۲۵۷ق؛ تملک: محمد موسوی کاشانی به تاریخ ۲۶ شعبان ۱۳۲۱ با مهر «الراجي محمد بن نصر الموسوى» (بیضی)؛ جلد: مقوایی عطف تیماج قرمز، ۱۹۲گ،  26سطر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۳۰سم [ف : ۱۸ - ۲۲۵]</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تهران؛ مجلس؛ شماره نسخه: ۱۳۶۱</w:t>
      </w:r>
    </w:p>
    <w:p>
      <w:pPr>
        <w:pStyle w:val="BookText"/>
      </w:pPr>
      <w:r>
        <w:rPr>
          <w:rFonts w:ascii="IRNazanin" w:hAnsi="IRNazanin" w:eastAsia="IRNazanin" w:cs="IRNazanin"/>
          <w:lang w:bidi="fa-IR"/>
          <w:color w:val="111111"/>
          <w:sz w:val="28"/>
          <w:szCs w:val="28"/>
          <w:rtl/>
        </w:rPr>
        <w:t xml:space="preserve">خط: نستعلیق، کا: محمد طبیب بن محمد على طبيب نظام قاینی،تا: دهه دوم ماه چهارم سال ۱۳۱۰ و اندی (در ۱۵ روز)؛ با تصحـیح نسخه در 17 ربیع  الاول ۱۳۱۷؛ کاغذ: سفید ،جلد: تیماج سرخ  و  مقوایی ،۳۱۵گ، ۱۵ سطر (7</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اندازه:۱۳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[سنا - ف:</w:t>
      </w:r>
    </w:p>
    <w:p>
      <w:pPr>
        <w:pStyle w:val="BookText"/>
      </w:pPr>
      <w:r>
        <w:rPr>
          <w:rFonts w:ascii="IRNazanin" w:hAnsi="IRNazanin" w:eastAsia="IRNazanin" w:cs="IRNazanin"/>
          <w:lang w:bidi="fa-IR"/>
          <w:color w:val="111111"/>
          <w:sz w:val="28"/>
          <w:szCs w:val="28"/>
          <w:rtl/>
        </w:rPr>
        <w:t xml:space="preserve">۲۳۵ ]</w:t>
      </w:r>
    </w:p>
    <w:p>
      <w:pPr>
        <w:pStyle w:val="BookText"/>
      </w:pPr>
      <w:r>
        <w:rPr>
          <w:rFonts w:ascii="IRNazanin" w:hAnsi="IRNazanin" w:eastAsia="IRNazanin" w:cs="IRNazanin"/>
          <w:lang w:bidi="fa-IR"/>
          <w:color w:val="111111"/>
          <w:sz w:val="28"/>
          <w:szCs w:val="28"/>
          <w:rtl/>
        </w:rPr>
        <w:t xml:space="preserve">۲۲. تهران؛ مجلس؛ شماره نسخه: ۴۶۰۱/۷</w:t>
      </w:r>
    </w:p>
    <w:p>
      <w:pPr>
        <w:pStyle w:val="BookText"/>
      </w:pPr>
      <w:r>
        <w:rPr>
          <w:rFonts w:ascii="Amiri" w:hAnsi="Amiri" w:eastAsia="Amiri" w:cs="Amiri"/>
          <w:lang w:bidi="ar-SA"/>
          <w:color w:val="111111"/>
          <w:sz w:val="28"/>
          <w:szCs w:val="28"/>
          <w:rtl/>
        </w:rPr>
        <w:t xml:space="preserve">آغاز: برابر ۱؛ انجام: والله اعلم بالصواب. تم المختصر الجزء العلمى من الطب من  كتاب القانون فى الطب المسمى بايلاقى. تـم.</w:t>
      </w:r>
    </w:p>
    <w:p>
      <w:pPr>
        <w:pStyle w:val="BookText"/>
      </w:pPr>
      <w:r>
        <w:rPr>
          <w:rFonts w:ascii="IRNazanin" w:hAnsi="IRNazanin" w:eastAsia="IRNazanin" w:cs="IRNazanin"/>
          <w:lang w:bidi="fa-IR"/>
          <w:color w:val="111111"/>
          <w:sz w:val="28"/>
          <w:szCs w:val="28"/>
          <w:rtl/>
        </w:rPr>
        <w:t xml:space="preserve">خط: نسخ متوسط و نستعلیق، بی کا، تا: از دوره صفوی؛ محشی، مهر: «كلب علی ابوالحسن محکوک» مورخ ۱۰۴۷ (دایره)؛ کاغذ: اصفهانی، جلد: تیماج  زرد، ۳۸ ص (۸۶-۱۲۳)، ۲۵ سطر، اندازه: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۱۲-۳۰۳]</w:t>
      </w:r>
    </w:p>
    <w:p>
      <w:pPr>
        <w:pStyle w:val="BookText"/>
      </w:pPr>
      <w:r>
        <w:rPr>
          <w:rFonts w:ascii="IRNazanin" w:hAnsi="IRNazanin" w:eastAsia="IRNazanin" w:cs="IRNazanin"/>
          <w:lang w:bidi="fa-IR"/>
          <w:color w:val="111111"/>
          <w:sz w:val="28"/>
          <w:szCs w:val="28"/>
          <w:rtl/>
        </w:rPr>
        <w:t xml:space="preserve">۲۳. تهران؛ مجلس؛ شماره نسخه: ۶۵۳۴/۳</w:t>
      </w:r>
    </w:p>
    <w:p>
      <w:pPr>
        <w:pStyle w:val="BookText"/>
      </w:pPr>
      <w:r>
        <w:rPr>
          <w:rFonts w:ascii="IRNazanin" w:hAnsi="IRNazanin" w:eastAsia="IRNazanin" w:cs="IRNazanin"/>
          <w:lang w:bidi="fa-IR"/>
          <w:color w:val="111111"/>
          <w:sz w:val="28"/>
          <w:szCs w:val="28"/>
          <w:rtl/>
        </w:rPr>
        <w:t xml:space="preserve">خط: نسخ، کا: ابو الغنایم بن احمد بن ابي الفضايل بن محمد محمد بن نصر، بی تا: ،مصحح ،محشی، بسیاری از برگ ها جابجا صحافی شده است؛ تملک: ابن ابوالقاسم با مهرمربع ؛جلد: تیماج  قهوه ای، ۱۷۳گ (۸۷پ - ۲۶۰پ)، ۱۹ سطر، اندازه: 9/5</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ف: ۲۰- ۱۰۹]</w:t>
      </w:r>
    </w:p>
    <w:p>
      <w:pPr>
        <w:pStyle w:val="BookText"/>
      </w:pPr>
      <w:r>
        <w:rPr>
          <w:rFonts w:ascii="IRNazanin" w:hAnsi="IRNazanin" w:eastAsia="IRNazanin" w:cs="IRNazanin"/>
          <w:lang w:bidi="fa-IR"/>
          <w:color w:val="111111"/>
          <w:sz w:val="28"/>
          <w:szCs w:val="28"/>
          <w:rtl/>
        </w:rPr>
        <w:t xml:space="preserve">۲۴. همدان؛ دانشگاه بوعلی؛ شماره نسخه: ۱۰۸</w:t>
      </w:r>
    </w:p>
    <w:p>
      <w:pPr>
        <w:pStyle w:val="BookText"/>
      </w:pPr>
      <w:r>
        <w:rPr>
          <w:rFonts w:ascii="IRNazanin" w:hAnsi="IRNazanin" w:eastAsia="IRNazanin" w:cs="IRNazanin"/>
          <w:lang w:bidi="fa-IR"/>
          <w:color w:val="111111"/>
          <w:sz w:val="28"/>
          <w:szCs w:val="28"/>
          <w:rtl/>
        </w:rPr>
        <w:t xml:space="preserve">خط: نسخ و نستعلیق، مختلف، بی کا، بی تا؛ تملک: محمد مؤمن  بن  ولی الله حسینی جنابدی قائنی محمد بن محمد باقر رشتی مشهـور به بغدادی به تاریخ ۱۲۲۹؛ جلد: تیماج  قرمز، ۱۸۱گ، مختلـف السطر،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 ف : - ۵۸]</w:t>
      </w:r>
    </w:p>
    <w:p>
      <w:pPr>
        <w:pStyle w:val="BookText"/>
      </w:pPr>
      <w:r>
        <w:rPr>
          <w:rFonts w:ascii="IRNazanin" w:hAnsi="IRNazanin" w:eastAsia="IRNazanin" w:cs="IRNazanin"/>
          <w:lang w:bidi="fa-IR"/>
          <w:color w:val="111111"/>
          <w:sz w:val="28"/>
          <w:szCs w:val="28"/>
          <w:rtl/>
        </w:rPr>
        <w:t xml:space="preserve">۲۵. تهران؛ ملی؛ شماره نسخه: ۲۰۱۰۴</w:t>
      </w:r>
    </w:p>
    <w:p>
      <w:pPr>
        <w:pStyle w:val="BookText"/>
      </w:pPr>
      <w:r>
        <w:rPr>
          <w:rFonts w:ascii="IRNazanin" w:hAnsi="IRNazanin" w:eastAsia="IRNazanin" w:cs="IRNazanin"/>
          <w:lang w:bidi="fa-IR"/>
          <w:color w:val="111111"/>
          <w:sz w:val="28"/>
          <w:szCs w:val="28"/>
          <w:rtl/>
        </w:rPr>
        <w:t xml:space="preserve">بی  کا، بی تا، خریداری از مهردخت همایی [ رایانه]</w:t>
      </w:r>
    </w:p>
    <w:p>
      <w:pPr>
        <w:pStyle w:val="Heading3"/>
      </w:pPr>
      <w:bookmarkStart w:id="934" w:name="_Toc456"/>
      <w:r>
        <w:t>الاسباب والعلامات = اسباب العلل و علاجها و  علاماتها / طب / عربي</w:t>
      </w:r>
      <w:bookmarkEnd w:id="934"/>
    </w:p>
    <w:p>
      <w:pPr>
        <w:pStyle w:val="BookText"/>
      </w:pPr>
      <w:r>
        <w:rPr>
          <w:rFonts w:ascii="Times New Roman" w:hAnsi="Times New Roman" w:eastAsia="Times New Roman" w:cs="Times New Roman"/>
          <w:lang w:val="en-US" w:bidi="en-US"/>
          <w:color w:val="111111"/>
          <w:sz w:val="28"/>
          <w:szCs w:val="28"/>
          <w:rtl/>
        </w:rPr>
        <w:t xml:space="preserve">al-asbab wa-l alamat = asbab-ul ilal wa alaj-u-ha wa</w:t>
      </w:r>
    </w:p>
    <w:p>
      <w:pPr>
        <w:pStyle w:val="BookText"/>
      </w:pPr>
      <w:r>
        <w:rPr>
          <w:rFonts w:ascii="Times New Roman" w:hAnsi="Times New Roman" w:eastAsia="Times New Roman" w:cs="Times New Roman"/>
          <w:lang w:val="en-US" w:bidi="en-US"/>
          <w:color w:val="111111"/>
          <w:sz w:val="28"/>
          <w:szCs w:val="28"/>
          <w:rtl/>
        </w:rPr>
        <w:t xml:space="preserve">'alāmāt-u-hā</w:t>
      </w:r>
    </w:p>
    <w:p>
      <w:pPr>
        <w:pStyle w:val="BookText"/>
      </w:pPr>
      <w:r>
        <w:rPr>
          <w:rFonts w:ascii="IRNazanin" w:hAnsi="IRNazanin" w:eastAsia="IRNazanin" w:cs="IRNazanin"/>
          <w:lang w:bidi="fa-IR"/>
          <w:color w:val="111111"/>
          <w:sz w:val="28"/>
          <w:szCs w:val="28"/>
          <w:rtl/>
        </w:rPr>
        <w:t xml:space="preserve">سمرقندی، محمد بن علی - ۶۱۹ قمری</w:t>
      </w:r>
    </w:p>
    <w:p>
      <w:pPr>
        <w:pStyle w:val="BookText"/>
      </w:pPr>
      <w:r>
        <w:rPr>
          <w:rFonts w:ascii="Times New Roman" w:hAnsi="Times New Roman" w:eastAsia="Times New Roman" w:cs="Times New Roman"/>
          <w:lang w:val="en-US" w:bidi="en-US"/>
          <w:color w:val="111111"/>
          <w:sz w:val="28"/>
          <w:szCs w:val="28"/>
          <w:rtl/>
        </w:rPr>
        <w:t xml:space="preserve">(samarqandī, mohammad ebn-e 'alī (- 1223)</w:t>
      </w:r>
    </w:p>
    <w:p>
      <w:pPr>
        <w:pStyle w:val="BookText"/>
      </w:pPr>
      <w:r>
        <w:rPr>
          <w:rFonts w:ascii="IRNazanin" w:hAnsi="IRNazanin" w:eastAsia="IRNazanin" w:cs="IRNazanin"/>
          <w:lang w:bidi="fa-IR"/>
          <w:color w:val="111111"/>
          <w:sz w:val="28"/>
          <w:szCs w:val="28"/>
          <w:rtl/>
        </w:rPr>
        <w:t xml:space="preserve">کتابی است در بیماری های بدن از سر تا قدم و علامت هر یک از آنها و چگونگی درمان آنها براساس کتب مشاهير اطبا به خصوص «قانون» ابن سینا و «معالجات» بقراطی و «کامل الصناعه» علی بن عباس مجوسی  اهوازی، که آن را برای تسهیل مراجعه شخصی به مطالب مهم طبی در مواقع ضروری برای خود ترتیب داده بوده است و خود می گوید: «این یادداشت ها را برای کارهای خود گرد آورده و به سفارش محمد بن زکریای رازی عمل نموده ام که گفته طبیب باید آنچه را که بدان احتیاج دارد در جنگی فراهم آورد تا در وقت حاجت به آن مراجعه نماید». بر این کتاب برهان الدین نفیس بن عوض کرمانی شرح مفصل و معروفی نوشت .</w:t>
      </w:r>
    </w:p>
    <w:p>
      <w:pPr>
        <w:pStyle w:val="BookText"/>
      </w:pPr>
      <w:r>
        <w:rPr>
          <w:rFonts w:ascii="IRNazanin" w:hAnsi="IRNazanin" w:eastAsia="IRNazanin" w:cs="IRNazanin"/>
          <w:lang w:bidi="fa-IR"/>
          <w:color w:val="111111"/>
          <w:sz w:val="28"/>
          <w:szCs w:val="28"/>
          <w:rtl/>
        </w:rPr>
        <w:t xml:space="preserve">آغاز: الحمد لله على نعمه السابقة و اياديه اللاحقة حمداً  یمتری من انعامه المزيد والصلاة و السلام على خير خلقه محمد و آله</w:t>
      </w:r>
    </w:p>
    <w:p>
      <w:pPr>
        <w:pStyle w:val="BookText"/>
      </w:pPr>
      <w:r>
        <w:rPr>
          <w:rFonts w:ascii="Amiri" w:hAnsi="Amiri" w:eastAsia="Amiri" w:cs="Amiri"/>
          <w:lang w:bidi="ar-SA"/>
          <w:color w:val="111111"/>
          <w:sz w:val="28"/>
          <w:szCs w:val="28"/>
          <w:rtl/>
        </w:rPr>
        <w:t xml:space="preserve">انجام: أو بماء العسل و زهر الخنثى من ترياقاته و ربما كفى فيه استعمال الملح و الخل على موضع العضة</w:t>
      </w:r>
    </w:p>
    <w:p>
      <w:pPr>
        <w:pStyle w:val="BookText"/>
      </w:pPr>
      <w:r>
        <w:rPr>
          <w:rFonts w:ascii="IRNazanin" w:hAnsi="IRNazanin" w:eastAsia="IRNazanin" w:cs="IRNazanin"/>
          <w:lang w:bidi="fa-IR"/>
          <w:color w:val="111111"/>
          <w:sz w:val="28"/>
          <w:szCs w:val="28"/>
          <w:rtl/>
        </w:rPr>
        <w:t xml:space="preserve">چاپ: کلکته، چاپ سنگی، ۷۵۵ص، ۱۸۳۶م؛ لكنهو، چاپ ستگی، ۱۸۷۹م.</w:t>
      </w:r>
    </w:p>
    <w:p>
      <w:pPr>
        <w:pStyle w:val="BookText"/>
      </w:pPr>
      <w:r>
        <w:rPr>
          <w:rFonts w:ascii="IRNazanin" w:hAnsi="IRNazanin" w:eastAsia="IRNazanin" w:cs="IRNazanin"/>
          <w:lang w:bidi="fa-IR"/>
          <w:color w:val="111111"/>
          <w:sz w:val="28"/>
          <w:szCs w:val="28"/>
          <w:rtl/>
        </w:rPr>
        <w:t xml:space="preserve">[کتاب شناسی نسخ خطی پزشکی ایران ص ۱۸؛ کشف الظنون (۷۷/۱]</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IRNazanin" w:hAnsi="IRNazanin" w:eastAsia="IRNazanin" w:cs="IRNazanin"/>
          <w:lang w:bidi="fa-IR"/>
          <w:color w:val="111111"/>
          <w:sz w:val="28"/>
          <w:szCs w:val="28"/>
          <w:rtl/>
        </w:rPr>
        <w:t xml:space="preserve">١- شرح الاسباب و العلامات - شرح نفیسی؛ نفیس کرمانی، نفیس بن عوض (-۸۴۲)</w:t>
      </w:r>
    </w:p>
    <w:p>
      <w:pPr>
        <w:pStyle w:val="BookText"/>
      </w:pPr>
      <w:r>
        <w:rPr>
          <w:rFonts w:ascii="IRNazanin" w:hAnsi="IRNazanin" w:eastAsia="IRNazanin" w:cs="IRNazanin"/>
          <w:lang w:bidi="fa-IR"/>
          <w:color w:val="111111"/>
          <w:sz w:val="28"/>
          <w:szCs w:val="28"/>
          <w:rtl/>
        </w:rPr>
        <w:t xml:space="preserve">۲- طب اکبری - تشریح طب اکبری - طب الاکبر ؛ شاه ارزانی،  محمد اکبر بن محمد (-۱۱۳۴)</w:t>
      </w:r>
    </w:p>
    <w:p>
      <w:pPr>
        <w:pStyle w:val="BookText"/>
      </w:pPr>
      <w:r>
        <w:rPr>
          <w:rFonts w:ascii="IRNazanin" w:hAnsi="IRNazanin" w:eastAsia="IRNazanin" w:cs="IRNazanin"/>
          <w:lang w:bidi="fa-IR"/>
          <w:color w:val="111111"/>
          <w:sz w:val="28"/>
          <w:szCs w:val="28"/>
          <w:rtl/>
        </w:rPr>
        <w:t xml:space="preserve">٣- شرح الاسباب و العلامات (ترجمه)؛ تنکابنی، احمد بن محمد  حسین (-۱۳)</w:t>
      </w:r>
    </w:p>
    <w:p>
      <w:pPr>
        <w:pStyle w:val="BookText"/>
      </w:pPr>
      <w:r>
        <w:rPr>
          <w:rFonts w:ascii="IRNazanin" w:hAnsi="IRNazanin" w:eastAsia="IRNazanin" w:cs="IRNazanin"/>
          <w:lang w:bidi="fa-IR"/>
          <w:color w:val="111111"/>
          <w:sz w:val="28"/>
          <w:szCs w:val="28"/>
          <w:rtl/>
        </w:rPr>
        <w:t xml:space="preserve">٤- الاسباب و العلامات (ترجمه)؛ آقا  کوچک، عباس بن محمد کاظم  (-13)</w:t>
      </w:r>
    </w:p>
    <w:p>
      <w:pPr>
        <w:pStyle w:val="BookText"/>
      </w:pPr>
      <w:r>
        <w:rPr>
          <w:rFonts w:ascii="IRNazanin" w:hAnsi="IRNazanin" w:eastAsia="IRNazanin" w:cs="IRNazanin"/>
          <w:lang w:bidi="fa-IR"/>
          <w:color w:val="111111"/>
          <w:sz w:val="28"/>
          <w:szCs w:val="28"/>
          <w:rtl/>
        </w:rPr>
        <w:t xml:space="preserve">٥- شرح الاسباب و العلامات؛ هرندی، محمد عابد</w:t>
      </w:r>
    </w:p>
    <w:p>
      <w:pPr>
        <w:pStyle w:val="BookText"/>
      </w:pPr>
      <w:r>
        <w:rPr>
          <w:rFonts w:ascii="IRNazanin" w:hAnsi="IRNazanin" w:eastAsia="IRNazanin" w:cs="IRNazanin"/>
          <w:lang w:bidi="fa-IR"/>
          <w:color w:val="111111"/>
          <w:sz w:val="28"/>
          <w:szCs w:val="28"/>
          <w:rtl/>
        </w:rPr>
        <w:t xml:space="preserve">٦- الاسباب و العلامات (مختصر)</w:t>
      </w:r>
    </w:p>
    <w:p>
      <w:pPr>
        <w:pStyle w:val="BookText"/>
      </w:pPr>
      <w:r>
        <w:rPr>
          <w:rFonts w:ascii="IRNazanin" w:hAnsi="IRNazanin" w:eastAsia="IRNazanin" w:cs="IRNazanin"/>
          <w:lang w:bidi="fa-IR"/>
          <w:color w:val="111111"/>
          <w:sz w:val="28"/>
          <w:szCs w:val="28"/>
          <w:rtl/>
        </w:rPr>
        <w:t xml:space="preserve">٧-حاشية شرح الاسباب و العلامات؛ رکن الدین</w:t>
      </w:r>
    </w:p>
    <w:p>
      <w:pPr>
        <w:pStyle w:val="BookText"/>
      </w:pPr>
      <w:r>
        <w:rPr>
          <w:rFonts w:ascii="IRNazanin" w:hAnsi="IRNazanin" w:eastAsia="IRNazanin" w:cs="IRNazanin"/>
          <w:lang w:bidi="fa-IR"/>
          <w:color w:val="111111"/>
          <w:sz w:val="28"/>
          <w:szCs w:val="28"/>
          <w:rtl/>
        </w:rPr>
        <w:t xml:space="preserve">١. تهران؛ ملک؛ شماره نسخه: ۴۴۰۱/۱</w:t>
      </w:r>
    </w:p>
    <w:p>
      <w:pPr>
        <w:pStyle w:val="BookText"/>
      </w:pPr>
      <w:r>
        <w:rPr>
          <w:rFonts w:ascii="Amiri" w:hAnsi="Amiri" w:eastAsia="Amiri" w:cs="Amiri"/>
          <w:lang w:bidi="ar-SA"/>
          <w:color w:val="111111"/>
          <w:sz w:val="28"/>
          <w:szCs w:val="28"/>
          <w:rtl/>
        </w:rPr>
        <w:t xml:space="preserve">آغاز: حرارة الحمى والسهر و خفة الرأس؛ انجام: برابر</w:t>
      </w:r>
    </w:p>
    <w:p>
      <w:pPr>
        <w:pStyle w:val="BookText"/>
      </w:pPr>
      <w:r>
        <w:rPr>
          <w:rFonts w:ascii="IRNazanin" w:hAnsi="IRNazanin" w:eastAsia="IRNazanin" w:cs="IRNazanin"/>
          <w:lang w:bidi="fa-IR"/>
          <w:color w:val="111111"/>
          <w:sz w:val="28"/>
          <w:szCs w:val="28"/>
          <w:rtl/>
        </w:rPr>
        <w:t xml:space="preserve">خط : نسخ ،بی کا، تا: چهارشنبه ۶۱۳ق؛ افتادگی: آغاز؛ کاغذ: ترمه، جلد: میشن تریاکی نو، ۲۹ سطر، اندازه: ۸/۸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۱۷/۱سم [ف: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۳۸۳ - ۷  ]</w:t>
      </w:r>
    </w:p>
    <w:p>
      <w:pPr>
        <w:pStyle w:val="BookText"/>
      </w:pPr>
      <w:r>
        <w:rPr>
          <w:rFonts w:ascii="IRNazanin" w:hAnsi="IRNazanin" w:eastAsia="IRNazanin" w:cs="IRNazanin"/>
          <w:lang w:bidi="fa-IR"/>
          <w:color w:val="111111"/>
          <w:sz w:val="28"/>
          <w:szCs w:val="28"/>
          <w:rtl/>
        </w:rPr>
        <w:t xml:space="preserve">۲. قم؛ مرعشی؛ شماره نسخه: ۱۰۸۶۰/۱</w:t>
      </w:r>
    </w:p>
    <w:p>
      <w:pPr>
        <w:pStyle w:val="BookText"/>
      </w:pPr>
      <w:r>
        <w:rPr>
          <w:rFonts w:ascii="IRNazanin" w:hAnsi="IRNazanin" w:eastAsia="IRNazanin" w:cs="IRNazanin"/>
          <w:lang w:bidi="fa-IR"/>
          <w:color w:val="111111"/>
          <w:sz w:val="28"/>
          <w:szCs w:val="28"/>
          <w:rtl/>
        </w:rPr>
        <w:t xml:space="preserve">خط: نسخ، کا: حسن بن شاپور بن حسن الفتوى، تا: ۱۴ جما الاول ۶۶۸ق؛ جلد: تیماج  مشکی، ۱۷۹گ (۹پ-۱۸۷پ)،  17سطر،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۲۷ - ۲۸۱]</w:t>
      </w:r>
    </w:p>
    <w:p>
      <w:pPr>
        <w:pStyle w:val="BookText"/>
      </w:pPr>
      <w:r>
        <w:rPr>
          <w:rFonts w:ascii="IRNazanin" w:hAnsi="IRNazanin" w:eastAsia="IRNazanin" w:cs="IRNazanin"/>
          <w:lang w:bidi="fa-IR"/>
          <w:color w:val="111111"/>
          <w:sz w:val="28"/>
          <w:szCs w:val="28"/>
          <w:rtl/>
        </w:rPr>
        <w:t xml:space="preserve">3.قم؛ مرعشی؛ شماره نسخه: ۸۰۳۶</w:t>
      </w:r>
    </w:p>
    <w:p>
      <w:pPr>
        <w:pStyle w:val="BookText"/>
      </w:pPr>
      <w:r>
        <w:rPr>
          <w:rFonts w:ascii="IRNazanin" w:hAnsi="IRNazanin" w:eastAsia="IRNazanin" w:cs="IRNazanin"/>
          <w:lang w:bidi="fa-IR"/>
          <w:color w:val="111111"/>
          <w:sz w:val="28"/>
          <w:szCs w:val="28"/>
          <w:rtl/>
        </w:rPr>
        <w:t xml:space="preserve">خط: نسخ،  کا: محمود بن مختار  اتابکی، تا: اوایل صفر 687ق؛ مصحح، سه برگ  اول نونویس است؛ تملک: محمد طاهر بن محمد رضا به تاریخ ۱۰۵۴؛ جلد: تیماج قهوه ای، ۱۸۶گ،  20 سطر :اندازه: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۱۸/۵سم [ف: ۲۱ - ۴۵]</w:t>
      </w:r>
    </w:p>
    <w:p>
      <w:pPr>
        <w:pStyle w:val="BookText"/>
      </w:pPr>
      <w:r>
        <w:rPr>
          <w:rFonts w:ascii="IRNazanin" w:hAnsi="IRNazanin" w:eastAsia="IRNazanin" w:cs="IRNazanin"/>
          <w:lang w:bidi="fa-IR"/>
          <w:color w:val="111111"/>
          <w:sz w:val="28"/>
          <w:szCs w:val="28"/>
          <w:rtl/>
        </w:rPr>
        <w:t xml:space="preserve">۴. تهران؛ ملی؛ شماره نسخه: ۳۷۷۸/۱</w:t>
      </w:r>
    </w:p>
    <w:p>
      <w:pPr>
        <w:pStyle w:val="BookText"/>
      </w:pPr>
      <w:r>
        <w:rPr>
          <w:rFonts w:ascii="IRNazanin" w:hAnsi="IRNazanin" w:eastAsia="IRNazanin" w:cs="IRNazanin"/>
          <w:lang w:bidi="fa-IR"/>
          <w:color w:val="111111"/>
          <w:sz w:val="28"/>
          <w:szCs w:val="28"/>
          <w:rtl/>
        </w:rPr>
        <w:t xml:space="preserve">خط: نسخ، کا: محمد بن محمود  منشی، تا: ۶۹۸ق؛ جا: کازرون ؛  مصحح، مجدول مذهب، با سرلوح مذهب؛ حاشیه برگ ۲پ یادداشت عبدالرحیم بن میرزا ممهور به مهر «الراجي عبدالرحـیم» (خشتی)؛ مهر: «الراجي عبدالله الحسینی» (خشتی)، «لا اله الا الملك الحق المبين عبده عبدالله الحسینی» (خشتی)، «افوض امـری الى الله عبده عبدالرحيم» (خشتی) ؛کاغذ: اصفهانی  نخودی، جـلد: میشن عنابی دارای ترنج و سرترنج با گل و بوته ومرغ به زر ،مقوایی ۲۲۱گ (۲-۲۲۲پ)، ۲۱ سطر (7</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۲۲/۵سم [ف: ۱۶ - ۴۲۶]</w:t>
      </w:r>
    </w:p>
    <w:p>
      <w:pPr>
        <w:pStyle w:val="BookText"/>
      </w:pPr>
      <w:r>
        <w:rPr>
          <w:rFonts w:ascii="IRNazanin" w:hAnsi="IRNazanin" w:eastAsia="IRNazanin" w:cs="IRNazanin"/>
          <w:lang w:bidi="fa-IR"/>
          <w:color w:val="111111"/>
          <w:sz w:val="28"/>
          <w:szCs w:val="28"/>
          <w:rtl/>
        </w:rPr>
        <w:t xml:space="preserve">۵. تهران؛ مجلس؛ شماره نسخه: ۱۱۲۶</w:t>
      </w:r>
    </w:p>
    <w:p>
      <w:pPr>
        <w:pStyle w:val="BookText"/>
      </w:pPr>
      <w:r>
        <w:rPr>
          <w:rFonts w:ascii="IRNazanin" w:hAnsi="IRNazanin" w:eastAsia="IRNazanin" w:cs="IRNazanin"/>
          <w:lang w:bidi="fa-IR"/>
          <w:color w:val="111111"/>
          <w:sz w:val="28"/>
          <w:szCs w:val="28"/>
          <w:rtl/>
        </w:rPr>
        <w:t xml:space="preserve">خط: نسخ، بی کا، تا: قرن ۸؛ افتادگی: آغاز؛ محشی؛ با مهر و یادداشت محمد على المتطبب ،اجازه قرائت سعدالدین نزد پدرش فضل الله بن سعد بن عبد السلام در ۲۰ جمادی الاول ۷۵۷ به خط پدر در پایان نسخه یادداشت تولد شمس الدین حسن در روز سه شنبه ۹ شعبان ۷۵۰ و اندی و یادداشت های پراکنده طبی عربی و عبری و فارسی به نثر و نظم ؛مهر: محمد حسین؛ تملک: جلال ابن سعد بن عبد السلام المتطبب الاصفهاني، كاغذ: سفـید ،جلد: تیماج مشکی، ضربی و مقوایی، ۱۷۰گ ، ۲۳ سطر (8</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۲۴سم [سنا - ف: ۲ - ۱۲۵]</w:t>
      </w:r>
    </w:p>
    <w:p>
      <w:pPr>
        <w:pStyle w:val="BookText"/>
      </w:pPr>
      <w:r>
        <w:rPr>
          <w:rFonts w:ascii="IRNazanin" w:hAnsi="IRNazanin" w:eastAsia="IRNazanin" w:cs="IRNazanin"/>
          <w:lang w:bidi="fa-IR"/>
          <w:color w:val="111111"/>
          <w:sz w:val="28"/>
          <w:szCs w:val="28"/>
          <w:rtl/>
        </w:rPr>
        <w:t xml:space="preserve">۶. مشهد؛ رضوی؛ شماره نسخه: ۸۷۵۰</w:t>
      </w:r>
    </w:p>
    <w:p>
      <w:pPr>
        <w:pStyle w:val="BookText"/>
      </w:pPr>
      <w:r>
        <w:rPr>
          <w:rFonts w:ascii="IRNazanin" w:hAnsi="IRNazanin" w:eastAsia="IRNazanin" w:cs="IRNazanin"/>
          <w:lang w:bidi="fa-IR"/>
          <w:color w:val="111111"/>
          <w:sz w:val="28"/>
          <w:szCs w:val="28"/>
          <w:rtl/>
        </w:rPr>
        <w:t xml:space="preserve">آغاز: حاصله في الرأس ... وقلة الهضم ؛انجام: دفلی .... فیه روی ايضا ويعرض من سقى الدفلى.</w:t>
      </w:r>
    </w:p>
    <w:p>
      <w:pPr>
        <w:pStyle w:val="BookText"/>
      </w:pPr>
      <w:r>
        <w:rPr>
          <w:rFonts w:ascii="IRNazanin" w:hAnsi="IRNazanin" w:eastAsia="IRNazanin" w:cs="IRNazanin"/>
          <w:lang w:bidi="fa-IR"/>
          <w:color w:val="111111"/>
          <w:sz w:val="28"/>
          <w:szCs w:val="28"/>
          <w:rtl/>
        </w:rPr>
        <w:t xml:space="preserve">خط: نسخ، بی کا، تا: اواخر قرن ۷ و اوایل قرن ۸ ؛افتادگی: آغاز و انجام؛ افتادگی: آغاز (یک برگ) و انجام؛ واقف: خان بابا مشار، شهریور ۱۳۳۸؛ کاغذ ،نخودی، جلد: مقوا با رویه ،پارچه ۱۱۹  گ، ۲۳ سطر (۱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۲۳سم [ف: ۱۹ - ۱۶]</w:t>
      </w:r>
    </w:p>
    <w:p>
      <w:pPr>
        <w:pStyle w:val="BookText"/>
      </w:pPr>
      <w:r>
        <w:rPr>
          <w:rFonts w:ascii="IRNazanin" w:hAnsi="IRNazanin" w:eastAsia="IRNazanin" w:cs="IRNazanin"/>
          <w:lang w:bidi="fa-IR"/>
          <w:color w:val="111111"/>
          <w:sz w:val="28"/>
          <w:szCs w:val="28"/>
          <w:rtl/>
        </w:rPr>
        <w:t xml:space="preserve">۷ .تهران؛ مجلس؛ شماره نسخه: ۵۳۶/۶</w:t>
      </w:r>
    </w:p>
    <w:p>
      <w:pPr>
        <w:pStyle w:val="BookText"/>
      </w:pPr>
      <w:r>
        <w:rPr>
          <w:rFonts w:ascii="IRNazanin" w:hAnsi="IRNazanin" w:eastAsia="IRNazanin" w:cs="IRNazanin"/>
          <w:lang w:bidi="fa-IR"/>
          <w:color w:val="111111"/>
          <w:sz w:val="28"/>
          <w:szCs w:val="28"/>
          <w:rtl/>
        </w:rPr>
        <w:t xml:space="preserve">خط: نسخ، کا: مظهرالدين بن نصیر طبیب، تا: ربیع الثانی ۷۴۶ق؛با اجازه قرائت و روایت ابن الکتبی شافعی به کاتب در آغاز محـرم 748 به خط اجازه دهنده؛ کاغذ: سفید ،جلد: تیماج زرد حنایی ضربی ،مقوایی ۹۷ص (۱۱-۱۰۷)، ۲۵ سطر ،(9</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[سنا - ف: ۱ - ۳۴۳]</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شیراز؛ علامه طباطبائی؛ شماره نسخه: ۱۱۴۴</w:t>
      </w:r>
    </w:p>
    <w:p>
      <w:pPr>
        <w:pStyle w:val="BookText"/>
      </w:pPr>
      <w:r>
        <w:rPr>
          <w:rFonts w:ascii="IRNazanin" w:hAnsi="IRNazanin" w:eastAsia="IRNazanin" w:cs="IRNazanin"/>
          <w:lang w:bidi="fa-IR"/>
          <w:color w:val="111111"/>
          <w:sz w:val="28"/>
          <w:szCs w:val="28"/>
          <w:rtl/>
        </w:rPr>
        <w:t xml:space="preserve">خط: تعليق ،كا: ضياء بن  كمال، تا: ۱۵ رجب ۷۵۴ق؛ مصحح، محشی، در انتهای نسخه  آمده؛ «طالعته و كتبت عليه حواشى من كلام ... كجالينوس و غيره في مدة آخرها عاشر شهر رمضان المبارک سنه ۸۰۰ هلالية وكتبه العبد الفقير الى رحمة ربه الغنى، سلمان المنظر عفى الله عنه»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۱۸/۵سم [ نسخه پژوهی:  1- 18]</w:t>
      </w:r>
    </w:p>
    <w:p>
      <w:pPr>
        <w:pStyle w:val="BookText"/>
      </w:pPr>
      <w:r>
        <w:rPr>
          <w:rFonts w:ascii="IRNazanin" w:hAnsi="IRNazanin" w:eastAsia="IRNazanin" w:cs="IRNazanin"/>
          <w:lang w:bidi="fa-IR"/>
          <w:color w:val="111111"/>
          <w:sz w:val="28"/>
          <w:szCs w:val="28"/>
          <w:rtl/>
        </w:rPr>
        <w:t xml:space="preserve">۹. مشهد؛ رضوی؛ شماره نسخه: ۱۳۹۹۵</w:t>
      </w:r>
    </w:p>
    <w:p>
      <w:pPr>
        <w:pStyle w:val="BookText"/>
      </w:pPr>
      <w:r>
        <w:rPr>
          <w:rFonts w:ascii="Amiri" w:hAnsi="Amiri" w:eastAsia="Amiri" w:cs="Amiri"/>
          <w:lang w:bidi="ar-SA"/>
          <w:color w:val="111111"/>
          <w:sz w:val="28"/>
          <w:szCs w:val="28"/>
          <w:rtl/>
        </w:rPr>
        <w:t xml:space="preserve">آغاز: و اغفله في كل واحدة من العلل؛ انجام: والحل على مواضع  العضه  ...  سنه تسع و سبعين</w:t>
      </w:r>
    </w:p>
    <w:p>
      <w:pPr>
        <w:pStyle w:val="BookText"/>
      </w:pPr>
      <w:r>
        <w:rPr>
          <w:rFonts w:ascii="IRNazanin" w:hAnsi="IRNazanin" w:eastAsia="IRNazanin" w:cs="IRNazanin"/>
          <w:lang w:bidi="fa-IR"/>
          <w:color w:val="111111"/>
          <w:sz w:val="28"/>
          <w:szCs w:val="28"/>
          <w:rtl/>
        </w:rPr>
        <w:t xml:space="preserve">خط: نسخ، بی کا، تا: شنبه ۳ جمادی الاول ۷۷۹ق؛ افتادگی: آغاز(یکی دو برگ)؛ واقف فاضل خان، ۱۰۶۵ق؛ کاغذ: نخودی، جلد :تیماج خرمایی با حاشیه  ضربی، ۱۴۹گ ۲۴ سطر (۶/۵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اندازه: 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 ۱۹ - ۱۷]</w:t>
      </w:r>
    </w:p>
    <w:p>
      <w:pPr>
        <w:pStyle w:val="BookText"/>
      </w:pPr>
      <w:r>
        <w:rPr>
          <w:rFonts w:ascii="IRNazanin" w:hAnsi="IRNazanin" w:eastAsia="IRNazanin" w:cs="IRNazanin"/>
          <w:lang w:bidi="fa-IR"/>
          <w:color w:val="111111"/>
          <w:sz w:val="28"/>
          <w:szCs w:val="28"/>
          <w:rtl/>
        </w:rPr>
        <w:t xml:space="preserve">۱۰. تبریز؛ نخجوانی، حسین؛ شماره نسخه: ۲</w:t>
      </w:r>
    </w:p>
    <w:p>
      <w:pPr>
        <w:pStyle w:val="BookText"/>
      </w:pPr>
      <w:r>
        <w:rPr>
          <w:rFonts w:ascii="IRNazanin" w:hAnsi="IRNazanin" w:eastAsia="IRNazanin" w:cs="IRNazanin"/>
          <w:lang w:bidi="fa-IR"/>
          <w:color w:val="111111"/>
          <w:sz w:val="28"/>
          <w:szCs w:val="28"/>
          <w:rtl/>
        </w:rPr>
        <w:t xml:space="preserve">بی کا، تا: قرن ۹؛ ش ۴۸۶۶ [ نشریه: ۴ - ۳۳۸]</w:t>
      </w:r>
    </w:p>
    <w:p>
      <w:pPr>
        <w:pStyle w:val="BookText"/>
      </w:pPr>
      <w:r>
        <w:rPr>
          <w:rFonts w:ascii="IRNazanin" w:hAnsi="IRNazanin" w:eastAsia="IRNazanin" w:cs="IRNazanin"/>
          <w:lang w:bidi="fa-IR"/>
          <w:color w:val="111111"/>
          <w:sz w:val="28"/>
          <w:szCs w:val="28"/>
          <w:rtl/>
        </w:rPr>
        <w:t xml:space="preserve">۱۱ . شیراز؛ خانقاه احمدیه؛ شماره نسخه: ۱۰۵</w:t>
      </w:r>
    </w:p>
    <w:p>
      <w:pPr>
        <w:pStyle w:val="BookText"/>
      </w:pPr>
      <w:r>
        <w:rPr>
          <w:rFonts w:ascii="IRNazanin" w:hAnsi="IRNazanin" w:eastAsia="IRNazanin" w:cs="IRNazanin"/>
          <w:lang w:bidi="fa-IR"/>
          <w:color w:val="111111"/>
          <w:sz w:val="28"/>
          <w:szCs w:val="28"/>
          <w:rtl/>
        </w:rPr>
        <w:t xml:space="preserve">در مقدمه آن آمده که ایلاقی اسباب و علامات را هر یک جداگانه نوشته و من هر دو را یکجا آوردم؛ بی کا، تا: ۸۰۶ق [نشریه ۵ - ۲۰۹]</w:t>
      </w:r>
    </w:p>
    <w:p>
      <w:pPr>
        <w:pStyle w:val="BookText"/>
      </w:pPr>
      <w:r>
        <w:rPr>
          <w:rFonts w:ascii="IRNazanin" w:hAnsi="IRNazanin" w:eastAsia="IRNazanin" w:cs="IRNazanin"/>
          <w:lang w:bidi="fa-IR"/>
          <w:color w:val="111111"/>
          <w:sz w:val="28"/>
          <w:szCs w:val="28"/>
          <w:rtl/>
        </w:rPr>
        <w:t xml:space="preserve">۱۲.قم؛ مرعشی؛ شماره نسخه: ۳۵۱۳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،معرب، کا: علی بن عبدالله بن علی حاجی، تا: شعبان ۸۲۸ق؛ مصحح، محشی؛ محشی؛ تملک قادر بن كمال الدين، محمد بن  حسین، جلال  الطبيب، حسین بن محمد شمس الدین؛ جلد: مقوایی عطف تیماج قهوه ای، ۱۲۸ گ، ۲۳ سطر،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۹ - ۳۱۰]</w:t>
      </w:r>
    </w:p>
    <w:p>
      <w:pPr>
        <w:pStyle w:val="BookText"/>
      </w:pPr>
      <w:r>
        <w:rPr>
          <w:rFonts w:ascii="IRNazanin" w:hAnsi="IRNazanin" w:eastAsia="IRNazanin" w:cs="IRNazanin"/>
          <w:lang w:bidi="fa-IR"/>
          <w:color w:val="111111"/>
          <w:sz w:val="28"/>
          <w:szCs w:val="28"/>
          <w:rtl/>
        </w:rPr>
        <w:t xml:space="preserve">۱۳. تهران؛ مجلس؛ شماره نسخه: ۱۰۴۷ 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تحریری، بی کا، تا: ۸۳۲ق؛ تعلیقاتی در هامش نسخه به نقل از شرح کلیات، مصباح و صحاح؛ تملک: همایون؛ کاغذ: سمرقندی، جلد: تیماج مشکی باترنج و نیم ترنج، ۱۸۹گ، ۱۷  سطر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۲۴/۲ - ۱۱۸]</w:t>
      </w:r>
    </w:p>
    <w:p>
      <w:pPr>
        <w:pStyle w:val="BookText"/>
      </w:pPr>
      <w:r>
        <w:rPr>
          <w:rFonts w:ascii="IRNazanin" w:hAnsi="IRNazanin" w:eastAsia="IRNazanin" w:cs="IRNazanin"/>
          <w:lang w:bidi="fa-IR"/>
          <w:color w:val="111111"/>
          <w:sz w:val="28"/>
          <w:szCs w:val="28"/>
          <w:rtl/>
        </w:rPr>
        <w:t xml:space="preserve">۱۴. تهران؛ علوم پزشکی؛ شماره نسخه: ۱۶</w:t>
      </w:r>
    </w:p>
    <w:p>
      <w:pPr>
        <w:pStyle w:val="BookText"/>
      </w:pPr>
      <w:r>
        <w:rPr>
          <w:rFonts w:ascii="Amiri" w:hAnsi="Amiri" w:eastAsia="Amiri" w:cs="Amiri"/>
          <w:lang w:bidi="ar-SA"/>
          <w:color w:val="111111"/>
          <w:sz w:val="28"/>
          <w:szCs w:val="28"/>
          <w:rtl/>
        </w:rPr>
        <w:t xml:space="preserve">آغاز: برابر؛ انجام: والله اعلم بالصواب و اليه المرجع والمآب</w:t>
      </w:r>
    </w:p>
    <w:p>
      <w:pPr>
        <w:pStyle w:val="BookText"/>
      </w:pPr>
      <w:r>
        <w:rPr>
          <w:rFonts w:ascii="IRNazanin" w:hAnsi="IRNazanin" w:eastAsia="IRNazanin" w:cs="IRNazanin"/>
          <w:lang w:bidi="fa-IR"/>
          <w:color w:val="111111"/>
          <w:sz w:val="28"/>
          <w:szCs w:val="28"/>
          <w:rtl/>
        </w:rPr>
        <w:t xml:space="preserve">خط: نسخ، بی کا، تا: قرن ۱۰؛ محشی؛ ۲۸۱گ، ۲۱-۲۲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۲۴/۵سم [ نشریه: ۳ - ۳۶۶]</w:t>
      </w:r>
    </w:p>
    <w:p>
      <w:pPr>
        <w:pStyle w:val="BookText"/>
      </w:pPr>
      <w:r>
        <w:rPr>
          <w:rFonts w:ascii="IRNazanin" w:hAnsi="IRNazanin" w:eastAsia="IRNazanin" w:cs="IRNazanin"/>
          <w:lang w:bidi="fa-IR"/>
          <w:color w:val="111111"/>
          <w:sz w:val="28"/>
          <w:szCs w:val="28"/>
          <w:rtl/>
        </w:rPr>
        <w:t xml:space="preserve">۱۵. تهران؛ ملک؛ شماره نسخه: ۴۷۸۸/۴</w:t>
      </w:r>
    </w:p>
    <w:p>
      <w:pPr>
        <w:pStyle w:val="BookText"/>
      </w:pPr>
      <w:r>
        <w:rPr>
          <w:rFonts w:ascii="IRNazanin" w:hAnsi="IRNazanin" w:eastAsia="IRNazanin" w:cs="IRNazanin"/>
          <w:lang w:bidi="fa-IR"/>
          <w:color w:val="111111"/>
          <w:sz w:val="28"/>
          <w:szCs w:val="28"/>
          <w:rtl/>
        </w:rPr>
        <w:t xml:space="preserve">خط: نسخ و نستعلیق، بی کا، تا: قرن ۱۰ ؛کاغذ: نوعی ترمه، جلد:  میشن قرمز ،نو ،۲۵ ،سطر اندازه: ۲۱/۲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۲۷/۱سم [ف: ۸ - ۹۰]</w:t>
      </w:r>
    </w:p>
    <w:p>
      <w:pPr>
        <w:pStyle w:val="BookText"/>
      </w:pPr>
      <w:r>
        <w:rPr>
          <w:rFonts w:ascii="IRNazanin" w:hAnsi="IRNazanin" w:eastAsia="IRNazanin" w:cs="IRNazanin"/>
          <w:lang w:bidi="fa-IR"/>
          <w:color w:val="111111"/>
          <w:sz w:val="28"/>
          <w:szCs w:val="28"/>
          <w:rtl/>
        </w:rPr>
        <w:t xml:space="preserve">۱۶. یزد؛ وزیری؛ شماره نسخه: ۹۴۷</w:t>
      </w:r>
    </w:p>
    <w:p>
      <w:pPr>
        <w:pStyle w:val="BookText"/>
      </w:pPr>
      <w:r>
        <w:rPr>
          <w:rFonts w:ascii="Amiri" w:hAnsi="Amiri" w:eastAsia="Amiri" w:cs="Amiri"/>
          <w:lang w:bidi="ar-SA"/>
          <w:color w:val="111111"/>
          <w:sz w:val="28"/>
          <w:szCs w:val="28"/>
          <w:rtl/>
        </w:rPr>
        <w:t xml:space="preserve">آغاز: برابر؛ انجام: ولا يعرض من لسعتها في اول الامر وجع يعتد به و لكن.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 نسخ، بی کا، تا: قرن ۱۰؛ افتادگی: انجام؛ مجدول؛ تملک: رجب على لطف الله؛کاغذ: سمرقندی ،جلد: مقوایی با تیماج مشکی ضربی، ۱۷۱گ ۲۱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۱۰سم [ف ۲ - 772]</w:t>
      </w:r>
    </w:p>
    <w:p>
      <w:pPr>
        <w:pStyle w:val="BookText"/>
      </w:pPr>
      <w:r>
        <w:rPr>
          <w:rFonts w:ascii="IRNazanin" w:hAnsi="IRNazanin" w:eastAsia="IRNazanin" w:cs="IRNazanin"/>
          <w:lang w:bidi="fa-IR"/>
          <w:color w:val="111111"/>
          <w:sz w:val="28"/>
          <w:szCs w:val="28"/>
          <w:rtl/>
        </w:rPr>
        <w:t xml:space="preserve">۱۷. قم؛ مرعشی؛ شماره نسخه: ۱۴۳۸۴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نصوح بسنوی، تا: ۹۹۹ق؛ مصحح؛ مهر : «فـخر الأطباء» (بيضى) با تملک، «عبد آقالر» (کوچک مدور)؛ کاغذ: شرقی، جلد: چرم حنایی ،مجدول درون کاغذ بنفش، ۱۷۵گ، ۱۹ سطر (7/5</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۳۶ - ۳۱۵]</w:t>
      </w:r>
    </w:p>
    <w:p>
      <w:pPr>
        <w:pStyle w:val="BookText"/>
      </w:pPr>
      <w:r>
        <w:rPr>
          <w:rFonts w:ascii="IRNazanin" w:hAnsi="IRNazanin" w:eastAsia="IRNazanin" w:cs="IRNazanin"/>
          <w:lang w:bidi="fa-IR"/>
          <w:color w:val="111111"/>
          <w:sz w:val="28"/>
          <w:szCs w:val="28"/>
          <w:rtl/>
        </w:rPr>
        <w:t xml:space="preserve">۱۸. مشهد؛ گوهرشاد؛ شماره نسخه: ۵۷۸</w:t>
      </w:r>
    </w:p>
    <w:p>
      <w:pPr>
        <w:pStyle w:val="BookText"/>
      </w:pPr>
      <w:r>
        <w:rPr>
          <w:rFonts w:ascii="Amiri" w:hAnsi="Amiri" w:eastAsia="Amiri" w:cs="Amiri"/>
          <w:lang w:bidi="ar-SA"/>
          <w:color w:val="111111"/>
          <w:sz w:val="28"/>
          <w:szCs w:val="28"/>
          <w:rtl/>
        </w:rPr>
        <w:t xml:space="preserve">آغاز: برابر انجام: الخامس و الثلثون في بلاذر</w:t>
      </w:r>
    </w:p>
    <w:p>
      <w:pPr>
        <w:pStyle w:val="BookText"/>
      </w:pPr>
      <w:r>
        <w:rPr>
          <w:rFonts w:ascii="IRNazanin" w:hAnsi="IRNazanin" w:eastAsia="IRNazanin" w:cs="IRNazanin"/>
          <w:lang w:bidi="fa-IR"/>
          <w:color w:val="111111"/>
          <w:sz w:val="28"/>
          <w:szCs w:val="28"/>
          <w:rtl/>
        </w:rPr>
        <w:t xml:space="preserve">خط: نسخ، بی کا، تا: قرن ۱۱؛ افتادگی: انجام؛ محشی با امضاء  محمد حسینی؛ مهر: «عبده على الحسينى» (بيضی)،حاج  سید سعید؛ تملک: علی  اصغر، شمس الدین محمد حسینی؛ جـلد: تیماج عنابی ضربی دار با کنج و ترنج، ۱۹ سطر (۶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۲ - ۶۹۱]</w:t>
      </w:r>
    </w:p>
    <w:p>
      <w:pPr>
        <w:pStyle w:val="BookText"/>
      </w:pPr>
      <w:r>
        <w:rPr>
          <w:rFonts w:ascii="IRNazanin" w:hAnsi="IRNazanin" w:eastAsia="IRNazanin" w:cs="IRNazanin"/>
          <w:lang w:bidi="fa-IR"/>
          <w:color w:val="111111"/>
          <w:sz w:val="28"/>
          <w:szCs w:val="28"/>
          <w:rtl/>
        </w:rPr>
        <w:t xml:space="preserve">۱۹. مشهد؛ رضوی؛ شماره نسخه: ۹۸۴۱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ربیع الاول ۱۰۲۶ق؛ واقف: خان بابا مشـار،  اردیبهشت ۱۳۴۶ ؛کاغذ: نخودی، جلد: مقوا عطف و گوشه چـرم،</w:t>
      </w:r>
    </w:p>
    <w:p>
      <w:pPr>
        <w:pStyle w:val="BookText"/>
      </w:pPr>
      <w:r>
        <w:rPr>
          <w:rFonts w:ascii="IRNazanin" w:hAnsi="IRNazanin" w:eastAsia="IRNazanin" w:cs="IRNazanin"/>
          <w:lang w:bidi="fa-IR"/>
          <w:color w:val="111111"/>
          <w:sz w:val="28"/>
          <w:szCs w:val="28"/>
          <w:rtl/>
        </w:rPr>
        <w:t xml:space="preserve">۱۵۶گ، ۱۹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۱۹ - ۱۵]</w:t>
      </w:r>
    </w:p>
    <w:p>
      <w:pPr>
        <w:pStyle w:val="BookText"/>
      </w:pPr>
      <w:r>
        <w:rPr>
          <w:rFonts w:ascii="IRNazanin" w:hAnsi="IRNazanin" w:eastAsia="IRNazanin" w:cs="IRNazanin"/>
          <w:lang w:bidi="fa-IR"/>
          <w:color w:val="111111"/>
          <w:sz w:val="28"/>
          <w:szCs w:val="28"/>
          <w:rtl/>
        </w:rPr>
        <w:t xml:space="preserve">۲۰ . مشهد؛ رضوی؛ شماره نسخه ۹۸۴۱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۱۰۲۶ق [رایانه]</w:t>
      </w:r>
    </w:p>
    <w:p>
      <w:pPr>
        <w:pStyle w:val="BookText"/>
      </w:pPr>
      <w:r>
        <w:rPr>
          <w:rFonts w:ascii="IRNazanin" w:hAnsi="IRNazanin" w:eastAsia="IRNazanin" w:cs="IRNazanin"/>
          <w:lang w:bidi="fa-IR"/>
          <w:color w:val="111111"/>
          <w:sz w:val="28"/>
          <w:szCs w:val="28"/>
          <w:rtl/>
        </w:rPr>
        <w:t xml:space="preserve">21.تهران؛ ملی؛ شماره نسخه: ۲۴۹۹</w:t>
      </w:r>
    </w:p>
    <w:p>
      <w:pPr>
        <w:pStyle w:val="BookText"/>
      </w:pPr>
      <w:r>
        <w:rPr>
          <w:rFonts w:ascii="Amiri" w:hAnsi="Amiri" w:eastAsia="Amiri" w:cs="Amiri"/>
          <w:lang w:bidi="ar-SA"/>
          <w:color w:val="111111"/>
          <w:sz w:val="28"/>
          <w:szCs w:val="28"/>
          <w:rtl/>
        </w:rPr>
        <w:t xml:space="preserve">آغاز: الصداع، الم فى اعضاء الراس و يكون اما من سوء مزاج  حار ساذج؛ انجام: برابر</w:t>
      </w:r>
    </w:p>
    <w:p>
      <w:pPr>
        <w:pStyle w:val="BookText"/>
      </w:pPr>
      <w:r>
        <w:rPr>
          <w:rFonts w:ascii="IRNazanin" w:hAnsi="IRNazanin" w:eastAsia="IRNazanin" w:cs="IRNazanin"/>
          <w:lang w:bidi="fa-IR"/>
          <w:color w:val="111111"/>
          <w:sz w:val="28"/>
          <w:szCs w:val="28"/>
          <w:rtl/>
        </w:rPr>
        <w:t xml:space="preserve">خط: نسخ، کا: صلاح بن عبد الخالق و فرزندش عبدالله بن صلاح، تا: ۱۰۳۸ق؛ افتادگی: آغاز ،مصحح، مقابله شده، مجدول سرلوح، در برگ های دوم و پایانی نسخه مطالب حاشیه ای ارتباط با متن کتاب همچون طرز تهیه آب لیموی ساده و مطـلبی از «تذکره» در ذکر حمام و جذب سم و فائده در مادة الجماع خواص زعفران نوشته شده، در برگ اول مطلبی در معرفی کتـاب و مؤلف آن توسط ابوحامد عریشی حیدر آبادی نوشته شده که در آن تاریخ کتابت نسخه حاضر سال ۸۶۳ بیان شده که تاریخ مذکور به غلط از عبارت پایانی کتاب به دست آمده است؛ مـهر:«الفقير ناصر بن علی»؛ تملک: درسال ۱۲۶۲؛ کاغذ: فرنگی، جـلد: مقوایی با روکش  کاغذی، گوشه ها و عطف گالینگر، نارنجی، ۲۸۳گ، متغیر بین متغیر بین ۱۸ و ۲۰ سطر (9</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  ف: 12- 360]</w:t>
      </w:r>
    </w:p>
    <w:p>
      <w:pPr>
        <w:pStyle w:val="BookText"/>
      </w:pPr>
      <w:r>
        <w:rPr>
          <w:rFonts w:ascii="IRNazanin" w:hAnsi="IRNazanin" w:eastAsia="IRNazanin" w:cs="IRNazanin"/>
          <w:lang w:bidi="fa-IR"/>
          <w:color w:val="111111"/>
          <w:sz w:val="28"/>
          <w:szCs w:val="28"/>
          <w:rtl/>
        </w:rPr>
        <w:t xml:space="preserve">۲۲ . قم؛ گلپایگانی؛ شماره نسخه: ۷۷۸۹-۳۹/۱۶۹</w:t>
      </w:r>
    </w:p>
    <w:p>
      <w:pPr>
        <w:pStyle w:val="BookText"/>
      </w:pPr>
      <w:r>
        <w:rPr>
          <w:rFonts w:ascii="IRNazanin" w:hAnsi="IRNazanin" w:eastAsia="IRNazanin" w:cs="IRNazanin"/>
          <w:lang w:bidi="fa-IR"/>
          <w:color w:val="111111"/>
          <w:sz w:val="28"/>
          <w:szCs w:val="28"/>
          <w:rtl/>
        </w:rPr>
        <w:t xml:space="preserve">آغاز: بسمله من امراض الرأس الصداع فى اعضا الراس وسـببه اما سعه  .. و علاماته ... اما الدم محمرة لون و؛ انجام: فهوکلب</w:t>
      </w:r>
    </w:p>
    <w:p>
      <w:pPr>
        <w:pStyle w:val="BookText"/>
      </w:pPr>
      <w:r>
        <w:rPr>
          <w:rFonts w:ascii="Amiri" w:hAnsi="Amiri" w:eastAsia="Amiri" w:cs="Amiri"/>
          <w:lang w:bidi="ar-SA"/>
          <w:color w:val="111111"/>
          <w:sz w:val="28"/>
          <w:szCs w:val="28"/>
          <w:rtl/>
        </w:rPr>
        <w:t xml:space="preserve">وكذلك ان اكلته و ماتت تمت الرسالة الموسومة باسباب  وعلامات.</w:t>
      </w:r>
    </w:p>
    <w:p>
      <w:pPr>
        <w:pStyle w:val="BookText"/>
      </w:pPr>
      <w:r>
        <w:rPr>
          <w:rFonts w:ascii="IRNazanin" w:hAnsi="IRNazanin" w:eastAsia="IRNazanin" w:cs="IRNazanin"/>
          <w:lang w:bidi="fa-IR"/>
          <w:color w:val="111111"/>
          <w:sz w:val="28"/>
          <w:szCs w:val="28"/>
          <w:rtl/>
        </w:rPr>
        <w:t xml:space="preserve">خط: نستعلیق، کا: حکیم محمد کاظم گیلانی، تا: اوایل محرم ۱۰۸۰ق؛ تملک: محمد كاظم بن عبدالرزاق جیلانی با مهر وی؛ :جلد: مقوا با عطف گالینگور قهوه ای ۲۲گ، ۲۲ سطر، اندازه: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۱ - ۳۲۶]</w:t>
      </w:r>
    </w:p>
    <w:p>
      <w:pPr>
        <w:pStyle w:val="BookText"/>
      </w:pPr>
      <w:r>
        <w:rPr>
          <w:rFonts w:ascii="IRNazanin" w:hAnsi="IRNazanin" w:eastAsia="IRNazanin" w:cs="IRNazanin"/>
          <w:lang w:bidi="fa-IR"/>
          <w:color w:val="111111"/>
          <w:sz w:val="28"/>
          <w:szCs w:val="28"/>
          <w:rtl/>
        </w:rPr>
        <w:t xml:space="preserve">۲۳. تهران؛ ملک؛ شماره نسخه: ۴۴۵۷</w:t>
      </w:r>
    </w:p>
    <w:p>
      <w:pPr>
        <w:pStyle w:val="BookText"/>
      </w:pPr>
      <w:r>
        <w:rPr>
          <w:rFonts w:ascii="IRNazanin" w:hAnsi="IRNazanin" w:eastAsia="IRNazanin" w:cs="IRNazanin"/>
          <w:lang w:bidi="fa-IR"/>
          <w:color w:val="111111"/>
          <w:sz w:val="28"/>
          <w:szCs w:val="28"/>
          <w:rtl/>
        </w:rPr>
        <w:t xml:space="preserve">خط: نسخ، کا: يونس بن منصور حسینی، تا: ۲۳ رجب ۱۰۸۷ق؛ کاغذ: فستقی، جلد: میشن سرخ لایی مغزی یشمی، ۲۳۶گ، ۱۵ سطر ،اندازه :۱۲/۸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٢٠/٢سم [ف: ١ - ٢٩]</w:t>
      </w:r>
    </w:p>
    <w:p>
      <w:pPr>
        <w:pStyle w:val="BookText"/>
      </w:pPr>
      <w:r>
        <w:rPr>
          <w:rFonts w:ascii="IRNazanin" w:hAnsi="IRNazanin" w:eastAsia="IRNazanin" w:cs="IRNazanin"/>
          <w:lang w:bidi="fa-IR"/>
          <w:color w:val="111111"/>
          <w:sz w:val="28"/>
          <w:szCs w:val="28"/>
          <w:rtl/>
        </w:rPr>
        <w:t xml:space="preserve">۲۴. تهران؛ مفتاح؛ شماره نسخه: ۳۳۷/۱</w:t>
      </w:r>
    </w:p>
    <w:p>
      <w:pPr>
        <w:pStyle w:val="BookText"/>
      </w:pPr>
      <w:r>
        <w:rPr>
          <w:rFonts w:ascii="IRNazanin" w:hAnsi="IRNazanin" w:eastAsia="IRNazanin" w:cs="IRNazanin"/>
          <w:lang w:bidi="fa-IR"/>
          <w:color w:val="111111"/>
          <w:sz w:val="28"/>
          <w:szCs w:val="28"/>
          <w:rtl/>
        </w:rPr>
        <w:t xml:space="preserve">خط: نسخ، کا: محمد حسین بن محمد خضر  موکینی، تا: صفر  ۱۱۳۹ق [ نشریه: ۷ - ۲۳۴]</w:t>
      </w:r>
    </w:p>
    <w:p>
      <w:pPr>
        <w:pStyle w:val="BookText"/>
      </w:pPr>
      <w:r>
        <w:rPr>
          <w:rFonts w:ascii="IRNazanin" w:hAnsi="IRNazanin" w:eastAsia="IRNazanin" w:cs="IRNazanin"/>
          <w:lang w:bidi="fa-IR"/>
          <w:color w:val="111111"/>
          <w:sz w:val="28"/>
          <w:szCs w:val="28"/>
          <w:rtl/>
        </w:rPr>
        <w:t xml:space="preserve">۲۵. تهران؛ ملی؛ شماره نسخه: ۳۸۱۵/۱</w:t>
      </w:r>
    </w:p>
    <w:p>
      <w:pPr>
        <w:pStyle w:val="BookText"/>
      </w:pPr>
      <w:r>
        <w:rPr>
          <w:rFonts w:ascii="Amiri" w:hAnsi="Amiri" w:eastAsia="Amiri" w:cs="Amiri"/>
          <w:lang w:bidi="ar-SA"/>
          <w:color w:val="111111"/>
          <w:sz w:val="28"/>
          <w:szCs w:val="28"/>
          <w:rtl/>
        </w:rPr>
        <w:t xml:space="preserve">آغاز: بسمله حمدله و الصلاه ... قال الشيخ الامام .... نجيب المله و الدين ابو حامد محمد بن على بن عمر المتطبب السمرقندي؛ انجام: برابر</w:t>
      </w:r>
    </w:p>
    <w:p>
      <w:pPr>
        <w:pStyle w:val="BookText"/>
      </w:pPr>
      <w:r>
        <w:rPr>
          <w:rFonts w:ascii="IRNazanin" w:hAnsi="IRNazanin" w:eastAsia="IRNazanin" w:cs="IRNazanin"/>
          <w:lang w:bidi="fa-IR"/>
          <w:color w:val="111111"/>
          <w:sz w:val="28"/>
          <w:szCs w:val="28"/>
          <w:rtl/>
        </w:rPr>
        <w:t xml:space="preserve">خط: نسخ  خوش، کا: ابن محمد خضر موكئى الغ محمد حسین، تا: ۱۱۳۹ق؛ کاغذ: فرنگی ،نخودی ،جلد: مقوا رویه تیماج قهوه ای ضربی گل و بوته در میان ترنج  فشاری، ۱۶۳گ (۱پ-۱۶۳)، ۲۰  سطر (8</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 ۱۷ - ۴۶]</w:t>
      </w:r>
    </w:p>
    <w:p>
      <w:pPr>
        <w:pStyle w:val="BookText"/>
      </w:pPr>
      <w:r>
        <w:rPr>
          <w:rFonts w:ascii="IRNazanin" w:hAnsi="IRNazanin" w:eastAsia="IRNazanin" w:cs="IRNazanin"/>
          <w:lang w:bidi="fa-IR"/>
          <w:color w:val="111111"/>
          <w:sz w:val="28"/>
          <w:szCs w:val="28"/>
          <w:rtl/>
        </w:rPr>
        <w:t xml:space="preserve">۲۶. تهران؛ علوم پزشکی؛ شماره نسخه: ۱۷</w:t>
      </w:r>
    </w:p>
    <w:p>
      <w:pPr>
        <w:pStyle w:val="BookText"/>
      </w:pPr>
      <w:r>
        <w:rPr>
          <w:rFonts w:ascii="Amiri" w:hAnsi="Amiri" w:eastAsia="Amiri" w:cs="Amiri"/>
          <w:lang w:bidi="ar-SA"/>
          <w:color w:val="111111"/>
          <w:sz w:val="28"/>
          <w:szCs w:val="28"/>
          <w:rtl/>
        </w:rPr>
        <w:t xml:space="preserve">آغاز: برابر؛ انجام: وقد اتفق اتمام كتابته كتاب الاسباب و  العلامات</w:t>
      </w:r>
    </w:p>
    <w:p>
      <w:pPr>
        <w:pStyle w:val="BookText"/>
      </w:pPr>
      <w:r>
        <w:rPr>
          <w:rFonts w:ascii="IRNazanin" w:hAnsi="IRNazanin" w:eastAsia="IRNazanin" w:cs="IRNazanin"/>
          <w:lang w:bidi="fa-IR"/>
          <w:color w:val="111111"/>
          <w:sz w:val="28"/>
          <w:szCs w:val="28"/>
          <w:rtl/>
        </w:rPr>
        <w:t xml:space="preserve">خط: تحریری، کا: میرزا رحیم بن طبيب بن ملا مهدى ساكن  مدرسه جامع رشت، تا: سه شنبه ۱۸ ربیع الاول ۱۲۳۴ق؛ کاغذ: الوان ۴۴۲ ص ،۱۷ سطر (8</w:t>
      </w:r>
      <w:r>
        <w:rPr>
          <w:rFonts w:ascii="Times New Roman" w:hAnsi="Times New Roman" w:eastAsia="Times New Roman" w:cs="Times New Roman"/>
          <w:lang w:val="en-US" w:bidi="en-US"/>
          <w:color w:val="111111"/>
          <w:sz w:val="28"/>
          <w:szCs w:val="28"/>
          <w:rtl/>
        </w:rPr>
        <w:t xml:space="preserve">×10) :</w:t>
      </w:r>
      <w:r>
        <w:rPr>
          <w:rFonts w:ascii="IRNazanin" w:hAnsi="IRNazanin" w:eastAsia="IRNazanin" w:cs="IRNazanin"/>
          <w:lang w:bidi="fa-IR"/>
          <w:color w:val="111111"/>
          <w:sz w:val="28"/>
          <w:szCs w:val="28"/>
          <w:rtl/>
        </w:rPr>
        <w:t xml:space="preserve">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[نشریه: ۳ - ۳۶۶]</w:t>
      </w:r>
    </w:p>
    <w:p>
      <w:pPr>
        <w:pStyle w:val="BookText"/>
      </w:pPr>
      <w:r>
        <w:rPr>
          <w:rFonts w:ascii="IRNazanin" w:hAnsi="IRNazanin" w:eastAsia="IRNazanin" w:cs="IRNazanin"/>
          <w:lang w:bidi="fa-IR"/>
          <w:color w:val="111111"/>
          <w:sz w:val="28"/>
          <w:szCs w:val="28"/>
          <w:rtl/>
        </w:rPr>
        <w:t xml:space="preserve">۲۷ . قم؛ مرکز مطالعات؛ شماره نسخه: ۳۲۶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۱۴ شوال ۱۲۸۳ق؛ جلد: تیماج، قهوه ای، ضربی ،مجدول ۱۴۳گ ۱۷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۱ - ۲۸۷]</w:t>
      </w:r>
    </w:p>
    <w:p>
      <w:pPr>
        <w:pStyle w:val="BookText"/>
      </w:pPr>
      <w:r>
        <w:rPr>
          <w:rFonts w:ascii="IRNazanin" w:hAnsi="IRNazanin" w:eastAsia="IRNazanin" w:cs="IRNazanin"/>
          <w:lang w:bidi="fa-IR"/>
          <w:color w:val="111111"/>
          <w:sz w:val="28"/>
          <w:szCs w:val="28"/>
          <w:rtl/>
        </w:rPr>
        <w:t xml:space="preserve">۲۸. قم؛ گلپایگانی؛ شماره نسخه: ۸۴۹۲-۵۷/۱۶۲</w:t>
      </w:r>
    </w:p>
    <w:p>
      <w:pPr>
        <w:pStyle w:val="BookText"/>
      </w:pPr>
      <w:r>
        <w:rPr>
          <w:rFonts w:ascii="Amiri" w:hAnsi="Amiri" w:eastAsia="Amiri" w:cs="Amiri"/>
          <w:lang w:bidi="ar-SA"/>
          <w:color w:val="111111"/>
          <w:sz w:val="28"/>
          <w:szCs w:val="28"/>
          <w:rtl/>
        </w:rPr>
        <w:t xml:space="preserve">آغاز: خصوصا في الصنف الاول و تدهين المعدة خصوصا فمها فى المرافق بدهن الورد و السنبل</w:t>
      </w:r>
    </w:p>
    <w:p>
      <w:pPr>
        <w:pStyle w:val="BookText"/>
      </w:pPr>
      <w:r>
        <w:rPr>
          <w:rFonts w:ascii="IRNazanin" w:hAnsi="IRNazanin" w:eastAsia="IRNazanin" w:cs="IRNazanin"/>
          <w:lang w:bidi="fa-IR"/>
          <w:color w:val="111111"/>
          <w:sz w:val="28"/>
          <w:szCs w:val="28"/>
          <w:rtl/>
        </w:rPr>
        <w:t xml:space="preserve">خط: نسخ، بی کا، بی تا، افتادگی: آغاز؛ ۱۰۸ گ، ۱۹-۱۸ سطر،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۱ - ۳۲۶]</w:t>
      </w:r>
    </w:p>
    <w:p>
      <w:pPr>
        <w:pStyle w:val="BookText"/>
      </w:pPr>
      <w:r>
        <w:rPr>
          <w:rFonts w:ascii="IRNazanin" w:hAnsi="IRNazanin" w:eastAsia="IRNazanin" w:cs="IRNazanin"/>
          <w:lang w:bidi="fa-IR"/>
          <w:color w:val="111111"/>
          <w:sz w:val="28"/>
          <w:szCs w:val="28"/>
          <w:rtl/>
        </w:rPr>
        <w:t xml:space="preserve">۲۹. یزد؛ وزیری؛ شماره نسخه: ۳۱۷۰</w:t>
      </w:r>
    </w:p>
    <w:p>
      <w:pPr>
        <w:pStyle w:val="BookText"/>
      </w:pPr>
      <w:r>
        <w:rPr>
          <w:rFonts w:ascii="IRNazanin" w:hAnsi="IRNazanin" w:eastAsia="IRNazanin" w:cs="IRNazanin"/>
          <w:lang w:bidi="fa-IR"/>
          <w:color w:val="111111"/>
          <w:sz w:val="28"/>
          <w:szCs w:val="28"/>
          <w:rtl/>
        </w:rPr>
        <w:t xml:space="preserve">آغاز: بسمله، الحمدلله على نعمائه السابقة و اياديه السابعة؛ انجام: و يظهر فيه آثار الماليخوليا ثم بعد ذلك  با عنوان «خلاصة فى الطب»؛ خط: نستعليق، بی کا، بی تا؛ افتادگی: انجام؛ اهدایی حافظ الصحي؛ كاغذ: سمرقندی، جلد: مقوایی با تیماج مشکی، درون کاغذ سفید ،۱۵۸گ، ۱۴ سطر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۱۸/۵سم [ف: ۵ - ۱۵۵۷]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33" w:name="pg20365_260169"/>
    <w:bookmarkEnd w:id="133"/>
    <w:p>
      <w:pPr>
        <w:pStyle w:val="BookText"/>
      </w:pPr>
      <w:r>
        <w:rPr>
          <w:rFonts w:ascii="IRNazanin" w:hAnsi="IRNazanin" w:eastAsia="IRNazanin" w:cs="IRNazanin"/>
          <w:lang w:bidi="fa-IR"/>
          <w:color w:val="111111"/>
          <w:sz w:val="28"/>
          <w:szCs w:val="28"/>
          <w:rtl/>
        </w:rPr>
        <w:t xml:space="preserve">۳۰ . قم؛ مسجد اعظم؛ شماره نسخه: ۱۹۶۳/۴</w:t>
      </w:r>
    </w:p>
    <w:p>
      <w:pPr>
        <w:pStyle w:val="BookText"/>
      </w:pPr>
      <w:r>
        <w:rPr>
          <w:rFonts w:ascii="IRNazanin" w:hAnsi="IRNazanin" w:eastAsia="IRNazanin" w:cs="IRNazanin"/>
          <w:lang w:bidi="fa-IR"/>
          <w:color w:val="111111"/>
          <w:sz w:val="28"/>
          <w:szCs w:val="28"/>
          <w:rtl/>
        </w:rPr>
        <w:t xml:space="preserve">آغاز: الصراع الم فى اعضاء الراس ويكون اما من سوء مزاح مختلف حار ساذج او من اسباب خارجه كالكائن عن الاحتراق الشمس و غيرها و علامته؛ انجام: و هذا النوع ربما انفتح في ثلثة مواضع و اکثر و يحتاج فى هذا النوع الى المفجرات مثل الخـمیر الحامض و برز المرء و زبل الحمام النورة الحية ... فاذا انفجرت خرجت المدة يعالج.</w:t>
      </w:r>
    </w:p>
    <w:p>
      <w:pPr>
        <w:pStyle w:val="BookText"/>
      </w:pPr>
      <w:r>
        <w:rPr>
          <w:rFonts w:ascii="IRNazanin" w:hAnsi="IRNazanin" w:eastAsia="IRNazanin" w:cs="IRNazanin"/>
          <w:lang w:bidi="fa-IR"/>
          <w:color w:val="111111"/>
          <w:sz w:val="28"/>
          <w:szCs w:val="28"/>
          <w:rtl/>
        </w:rPr>
        <w:t xml:space="preserve">خط: نستعلیق، بی کا، بی تا :افتادگی: انجام :جلد: مقوا عطف گالینگور، ۱۱۱گ ۸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مخ: ۱ - ۱۳۷ ]</w:t>
      </w:r>
    </w:p>
    <w:p>
      <w:pPr>
        <w:pStyle w:val="BookText"/>
      </w:pPr>
      <w:r>
        <w:rPr>
          <w:rFonts w:ascii="IRNazanin" w:hAnsi="IRNazanin" w:eastAsia="IRNazanin" w:cs="IRNazanin"/>
          <w:lang w:bidi="fa-IR"/>
          <w:color w:val="111111"/>
          <w:sz w:val="28"/>
          <w:szCs w:val="28"/>
          <w:rtl/>
        </w:rPr>
        <w:t xml:space="preserve">۳۱. قم؛ مرعشی؛ شماره نسخه ۶۲۰۰</w:t>
      </w:r>
    </w:p>
    <w:p>
      <w:pPr>
        <w:pStyle w:val="BookText"/>
      </w:pPr>
      <w:r>
        <w:rPr>
          <w:rFonts w:ascii="IRNazanin" w:hAnsi="IRNazanin" w:eastAsia="IRNazanin" w:cs="IRNazanin"/>
          <w:lang w:bidi="fa-IR"/>
          <w:color w:val="111111"/>
          <w:sz w:val="28"/>
          <w:szCs w:val="28"/>
          <w:rtl/>
        </w:rPr>
        <w:t xml:space="preserve">برگ های پراکنده ای است از عوارض رحم و بیماریهای زایمـان؛ خط: نسخ، بی کا، بی تا؛ نسخه قدیم؛ جلد: مقوایی عطف تیماج قهوه ای ۴۹گ ۱۸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۲۳سم [ف: ۱۶ - ۱۹۹]</w:t>
      </w:r>
    </w:p>
    <w:p>
      <w:pPr>
        <w:pStyle w:val="Heading3"/>
      </w:pPr>
      <w:bookmarkStart w:id="935" w:name="_Toc457"/>
      <w:r>
        <w:t>الاسباب و العلامات (ترجمه) / طب / فارسی</w:t>
      </w:r>
      <w:bookmarkEnd w:id="935"/>
    </w:p>
    <w:p>
      <w:pPr>
        <w:pStyle w:val="BookText"/>
      </w:pPr>
      <w:r>
        <w:rPr>
          <w:rFonts w:ascii="Times New Roman" w:hAnsi="Times New Roman" w:eastAsia="Times New Roman" w:cs="Times New Roman"/>
          <w:lang w:val="en-US" w:bidi="en-US"/>
          <w:color w:val="111111"/>
          <w:sz w:val="28"/>
          <w:szCs w:val="28"/>
          <w:rtl/>
        </w:rPr>
        <w:t xml:space="preserve">(al-asbāb wa-l ‘alāmāt (t.)</w:t>
      </w:r>
    </w:p>
    <w:p>
      <w:pPr>
        <w:pStyle w:val="BookText"/>
      </w:pPr>
      <w:r>
        <w:rPr>
          <w:rFonts w:ascii="IRNazanin" w:hAnsi="IRNazanin" w:eastAsia="IRNazanin" w:cs="IRNazanin"/>
          <w:lang w:bidi="fa-IR"/>
          <w:color w:val="111111"/>
          <w:sz w:val="28"/>
          <w:szCs w:val="28"/>
          <w:rtl/>
        </w:rPr>
        <w:t xml:space="preserve">آقا کوچک عباس بن محمد کاظم، ق۱۳ قمری</w:t>
      </w:r>
    </w:p>
    <w:p>
      <w:pPr>
        <w:pStyle w:val="BookText"/>
      </w:pPr>
      <w:r>
        <w:rPr>
          <w:rFonts w:ascii="Times New Roman" w:hAnsi="Times New Roman" w:eastAsia="Times New Roman" w:cs="Times New Roman"/>
          <w:lang w:val="en-US" w:bidi="en-US"/>
          <w:color w:val="111111"/>
          <w:sz w:val="28"/>
          <w:szCs w:val="28"/>
          <w:rtl/>
        </w:rPr>
        <w:t xml:space="preserve">(āqā kočak, ‘abbās ebn-e mohammad kāzem (- 19c)</w:t>
      </w:r>
    </w:p>
    <w:p>
      <w:pPr>
        <w:pStyle w:val="BookText"/>
      </w:pPr>
      <w:r>
        <w:rPr>
          <w:rFonts w:ascii="IRNazanin" w:hAnsi="IRNazanin" w:eastAsia="IRNazanin" w:cs="IRNazanin"/>
          <w:lang w:bidi="fa-IR"/>
          <w:color w:val="111111"/>
          <w:sz w:val="28"/>
          <w:szCs w:val="28"/>
          <w:rtl/>
        </w:rPr>
        <w:t xml:space="preserve">وابسته به الاسباب و العلامات = اسباب العلل و علاجها و علاماتها؛ سمرقندی، محمد بن علی (-۶۱۹)  به دستور حاجی میرزا اسدالله موسوی</w:t>
      </w:r>
    </w:p>
    <w:p>
      <w:pPr>
        <w:pStyle w:val="BookText"/>
      </w:pPr>
      <w:r>
        <w:rPr>
          <w:rFonts w:ascii="Amiri" w:hAnsi="Amiri" w:eastAsia="Amiri" w:cs="Amiri"/>
          <w:lang w:bidi="ar-SA"/>
          <w:color w:val="111111"/>
          <w:sz w:val="28"/>
          <w:szCs w:val="28"/>
          <w:rtl/>
        </w:rPr>
        <w:t xml:space="preserve">سال تأليف: ۱۳۰۲ق</w:t>
      </w:r>
    </w:p>
    <w:p>
      <w:pPr>
        <w:pStyle w:val="BookText"/>
      </w:pPr>
      <w:r>
        <w:rPr>
          <w:rFonts w:ascii="IRNazanin" w:hAnsi="IRNazanin" w:eastAsia="IRNazanin" w:cs="IRNazanin"/>
          <w:lang w:bidi="fa-IR"/>
          <w:color w:val="111111"/>
          <w:sz w:val="28"/>
          <w:szCs w:val="28"/>
          <w:rtl/>
        </w:rPr>
        <w:t xml:space="preserve">در  ۲۷ «باب» و ۴۰۷ »فصل».</w:t>
      </w:r>
    </w:p>
    <w:p>
      <w:pPr>
        <w:pStyle w:val="BookText"/>
      </w:pPr>
      <w:r>
        <w:rPr>
          <w:rFonts w:ascii="IRNazanin" w:hAnsi="IRNazanin" w:eastAsia="IRNazanin" w:cs="IRNazanin"/>
          <w:lang w:bidi="fa-IR"/>
          <w:color w:val="111111"/>
          <w:sz w:val="28"/>
          <w:szCs w:val="28"/>
          <w:rtl/>
        </w:rPr>
        <w:t xml:space="preserve">[فهرستواره منزوی ۳۲۷۷/۵  ]</w:t>
      </w:r>
    </w:p>
    <w:p>
      <w:pPr>
        <w:pStyle w:val="BookText"/>
      </w:pPr>
      <w:r>
        <w:rPr>
          <w:rFonts w:ascii="IRNazanin" w:hAnsi="IRNazanin" w:eastAsia="IRNazanin" w:cs="IRNazanin"/>
          <w:lang w:bidi="fa-IR"/>
          <w:color w:val="111111"/>
          <w:sz w:val="28"/>
          <w:szCs w:val="28"/>
          <w:rtl/>
        </w:rPr>
        <w:t xml:space="preserve">تهران؛ علوم پزشکی؛ شماره نسخه: ۸۱/۲</w:t>
      </w:r>
    </w:p>
    <w:p>
      <w:pPr>
        <w:pStyle w:val="BookText"/>
      </w:pPr>
      <w:r>
        <w:rPr>
          <w:rFonts w:ascii="IRNazanin" w:hAnsi="IRNazanin" w:eastAsia="IRNazanin" w:cs="IRNazanin"/>
          <w:lang w:bidi="fa-IR"/>
          <w:color w:val="111111"/>
          <w:sz w:val="28"/>
          <w:szCs w:val="28"/>
          <w:rtl/>
        </w:rPr>
        <w:t xml:space="preserve">كاتب - مؤلف (گویا)، تا: ۱۳۰۲ق [ نشریه: ۳ - ۳۲۴]</w:t>
      </w:r>
    </w:p>
    <w:p>
      <w:pPr>
        <w:pStyle w:val="Heading3"/>
      </w:pPr>
      <w:bookmarkStart w:id="936" w:name="_Toc458"/>
      <w:r>
        <w:t>الاسباب و العلامات (ترجمه) / طب / فارسی</w:t>
      </w:r>
      <w:bookmarkEnd w:id="936"/>
    </w:p>
    <w:p>
      <w:pPr>
        <w:pStyle w:val="BookText"/>
      </w:pPr>
      <w:r>
        <w:rPr>
          <w:rFonts w:ascii="Times New Roman" w:hAnsi="Times New Roman" w:eastAsia="Times New Roman" w:cs="Times New Roman"/>
          <w:lang w:val="en-US" w:bidi="en-US"/>
          <w:color w:val="111111"/>
          <w:sz w:val="28"/>
          <w:szCs w:val="28"/>
          <w:rtl/>
        </w:rPr>
        <w:t xml:space="preserve">(al-asbāb wa-l ‘alāmāt (t.)</w:t>
      </w:r>
    </w:p>
    <w:p>
      <w:pPr>
        <w:pStyle w:val="BookText"/>
      </w:pPr>
      <w:r>
        <w:rPr>
          <w:rFonts w:ascii="IRNazanin" w:hAnsi="IRNazanin" w:eastAsia="IRNazanin" w:cs="IRNazanin"/>
          <w:lang w:bidi="fa-IR"/>
          <w:color w:val="111111"/>
          <w:sz w:val="28"/>
          <w:szCs w:val="28"/>
          <w:rtl/>
        </w:rPr>
        <w:t xml:space="preserve">به نظر می رسد ترجمه ای است نه از مؤلف «خلاصة التجارب» «عنوان المسخنات ،المرطبات، اسباب مفسدات شكل» مؤلـف برخی از جای ها سخن خود را (در متن و گاه در حاشیه) به عربی  بیان می کند و گاه متن عربی شرح اسباب را عیناً می آورد... وی از شرح خویش بر تشریح مرکبات قانون و نیز از کتابین خویش یاد می کند و هم چنین از پدرش که مبتلا به خمر بود و آن را  از جوانی ترک کرد.</w:t>
      </w:r>
    </w:p>
    <w:p>
      <w:pPr>
        <w:pStyle w:val="BookText"/>
      </w:pPr>
      <w:r>
        <w:rPr>
          <w:rFonts w:ascii="IRNazanin" w:hAnsi="IRNazanin" w:eastAsia="IRNazanin" w:cs="IRNazanin"/>
          <w:lang w:bidi="fa-IR"/>
          <w:color w:val="111111"/>
          <w:sz w:val="28"/>
          <w:szCs w:val="28"/>
          <w:rtl/>
        </w:rPr>
        <w:t xml:space="preserve">تهران؛ مجلس؛ شماره نسخه: ۸۳۸/۴-ط</w:t>
      </w:r>
    </w:p>
    <w:p>
      <w:pPr>
        <w:pStyle w:val="BookText"/>
      </w:pPr>
      <w:r>
        <w:rPr>
          <w:rFonts w:ascii="IRNazanin" w:hAnsi="IRNazanin" w:eastAsia="IRNazanin" w:cs="IRNazanin"/>
          <w:lang w:bidi="fa-IR"/>
          <w:color w:val="111111"/>
          <w:sz w:val="28"/>
          <w:szCs w:val="28"/>
          <w:rtl/>
        </w:rPr>
        <w:t xml:space="preserve">آغاز: بسمله الحمد لله رب العالمين ... المسخنات اى اسبـاب السخونه غذای معتدل المقدار حار؛ انجام: و در علاج نیز این قـدر دخل دارد که هرگاه که موجب یبوست معلوم شود از آن باید کرد تا سبب قوی نشود و امثال این فوائد و منافع است.</w:t>
      </w:r>
    </w:p>
    <w:p>
      <w:pPr>
        <w:pStyle w:val="BookText"/>
      </w:pPr>
      <w:r>
        <w:rPr>
          <w:rFonts w:ascii="IRNazanin" w:hAnsi="IRNazanin" w:eastAsia="IRNazanin" w:cs="IRNazanin"/>
          <w:lang w:bidi="fa-IR"/>
          <w:color w:val="111111"/>
          <w:sz w:val="28"/>
          <w:szCs w:val="28"/>
          <w:rtl/>
        </w:rPr>
        <w:t xml:space="preserve">خط: نسخ، بی کا، تا: قرن ۱۲؛ کاغذ: اصفهانی، جلد: تیماج مشکی، ۱۲۳ص (۱۲۸-۲۵۱)، ۱۹ سطر، قطع: وزیری، اندازه: ۱۶/۵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۲۹سم [ف : ۲۳ - ۱۳۲]</w:t>
      </w:r>
    </w:p>
    <w:p>
      <w:pPr>
        <w:pStyle w:val="Heading3"/>
      </w:pPr>
      <w:bookmarkStart w:id="937" w:name="_Toc459"/>
      <w:r>
        <w:t>الاسباب و العلامات (ترجمه) / طب / فارسی</w:t>
      </w:r>
      <w:bookmarkEnd w:id="937"/>
    </w:p>
    <w:p>
      <w:pPr>
        <w:pStyle w:val="BookText"/>
      </w:pPr>
      <w:r>
        <w:rPr>
          <w:rFonts w:ascii="Times New Roman" w:hAnsi="Times New Roman" w:eastAsia="Times New Roman" w:cs="Times New Roman"/>
          <w:lang w:val="en-US" w:bidi="en-US"/>
          <w:color w:val="111111"/>
          <w:sz w:val="28"/>
          <w:szCs w:val="28"/>
          <w:rtl/>
        </w:rPr>
        <w:t xml:space="preserve">(al-asbab wa-l 'alāmāt (t.)</w:t>
      </w:r>
    </w:p>
    <w:p>
      <w:pPr>
        <w:pStyle w:val="BookText"/>
      </w:pPr>
      <w:r>
        <w:rPr>
          <w:rFonts w:ascii="IRNazanin" w:hAnsi="IRNazanin" w:eastAsia="IRNazanin" w:cs="IRNazanin"/>
          <w:lang w:bidi="fa-IR"/>
          <w:color w:val="111111"/>
          <w:sz w:val="28"/>
          <w:szCs w:val="28"/>
          <w:rtl/>
        </w:rPr>
        <w:t xml:space="preserve">مانند ترجمه ای است از «الاسباب و العلامات» سمرقندی.</w:t>
      </w:r>
    </w:p>
    <w:p>
      <w:pPr>
        <w:pStyle w:val="BookText"/>
      </w:pPr>
      <w:r>
        <w:rPr>
          <w:rFonts w:ascii="IRNazanin" w:hAnsi="IRNazanin" w:eastAsia="IRNazanin" w:cs="IRNazanin"/>
          <w:lang w:bidi="fa-IR"/>
          <w:color w:val="111111"/>
          <w:sz w:val="28"/>
          <w:szCs w:val="28"/>
          <w:rtl/>
        </w:rPr>
        <w:t xml:space="preserve">تهران؛ علوم پزشکی؛ شماره نسخه: ۲۴۳/۱</w:t>
      </w:r>
    </w:p>
    <w:p>
      <w:pPr>
        <w:pStyle w:val="BookText"/>
      </w:pPr>
      <w:r>
        <w:rPr>
          <w:rFonts w:ascii="IRNazanin" w:hAnsi="IRNazanin" w:eastAsia="IRNazanin" w:cs="IRNazanin"/>
          <w:lang w:bidi="fa-IR"/>
          <w:color w:val="111111"/>
          <w:sz w:val="28"/>
          <w:szCs w:val="28"/>
          <w:rtl/>
        </w:rPr>
        <w:t xml:space="preserve">آغاز: بسمله و به نستعین. حمدله والصلوة ... اجمعين و بعد فى الصداع. صداع دردیست در اعضای سر و سبب درد یکی از سه جیز است؛ انجام: داغ کنند آخر الدواء الکی در «اوجاع المفاصل  و النقرس»</w:t>
      </w:r>
    </w:p>
    <w:p>
      <w:pPr>
        <w:pStyle w:val="BookText"/>
      </w:pPr>
      <w:r>
        <w:rPr>
          <w:rFonts w:ascii="IRNazanin" w:hAnsi="IRNazanin" w:eastAsia="IRNazanin" w:cs="IRNazanin"/>
          <w:lang w:bidi="fa-IR"/>
          <w:color w:val="111111"/>
          <w:sz w:val="28"/>
          <w:szCs w:val="28"/>
          <w:rtl/>
        </w:rPr>
        <w:t xml:space="preserve">كا: محمد باقر بن محمد ربیع، تا: ۲۶ شعبان ۱۱۰۱ق؛ ۶۶ ص (۱- ۶۶)، ۱۹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۲۳سم [ نشریه: ۳ - ۳۳۵]</w:t>
      </w:r>
    </w:p>
    <w:p>
      <w:pPr>
        <w:pStyle w:val="Heading3"/>
      </w:pPr>
      <w:bookmarkStart w:id="938" w:name="_Toc460"/>
      <w:r>
        <w:t>الاسباب و العلامات (ترجمه) / طب / فارسی</w:t>
      </w:r>
      <w:bookmarkEnd w:id="938"/>
    </w:p>
    <w:p>
      <w:pPr>
        <w:pStyle w:val="BookText"/>
      </w:pPr>
      <w:r>
        <w:rPr>
          <w:rFonts w:ascii="Times New Roman" w:hAnsi="Times New Roman" w:eastAsia="Times New Roman" w:cs="Times New Roman"/>
          <w:lang w:val="en-US" w:bidi="en-US"/>
          <w:color w:val="111111"/>
          <w:sz w:val="28"/>
          <w:szCs w:val="28"/>
          <w:rtl/>
        </w:rPr>
        <w:t xml:space="preserve">(al-asbāb wa-l ‘alāmāt (t.)</w:t>
      </w:r>
    </w:p>
    <w:p>
      <w:pPr>
        <w:pStyle w:val="BookText"/>
      </w:pPr>
      <w:r>
        <w:rPr>
          <w:rFonts w:ascii="IRNazanin" w:hAnsi="IRNazanin" w:eastAsia="IRNazanin" w:cs="IRNazanin"/>
          <w:lang w:bidi="fa-IR"/>
          <w:color w:val="111111"/>
          <w:sz w:val="28"/>
          <w:szCs w:val="28"/>
          <w:rtl/>
        </w:rPr>
        <w:t xml:space="preserve">شاید همان باشد که در علوم پزشکی معرفی شده و در فهرست  منزوى ص ۴۷۱ نیز آمده است.</w:t>
      </w:r>
    </w:p>
    <w:p>
      <w:pPr>
        <w:pStyle w:val="BookText"/>
      </w:pPr>
      <w:r>
        <w:rPr>
          <w:rFonts w:ascii="IRNazanin" w:hAnsi="IRNazanin" w:eastAsia="IRNazanin" w:cs="IRNazanin"/>
          <w:lang w:bidi="fa-IR"/>
          <w:color w:val="111111"/>
          <w:sz w:val="28"/>
          <w:szCs w:val="28"/>
          <w:rtl/>
        </w:rPr>
        <w:t xml:space="preserve">همدان؛ دانشگاه بوعلی؛ شماره نسخه: ۲۵</w:t>
      </w:r>
    </w:p>
    <w:p>
      <w:pPr>
        <w:pStyle w:val="BookText"/>
      </w:pPr>
      <w:r>
        <w:rPr>
          <w:rFonts w:ascii="IRNazanin" w:hAnsi="IRNazanin" w:eastAsia="IRNazanin" w:cs="IRNazanin"/>
          <w:lang w:bidi="fa-IR"/>
          <w:color w:val="111111"/>
          <w:sz w:val="28"/>
          <w:szCs w:val="28"/>
          <w:rtl/>
        </w:rPr>
        <w:t xml:space="preserve">خط: نستعلیق، بی کا، تا: قرن ۱۳؛ افتادگی: آغاز و انجام؛ مصحح، و دارای مطالب متفرقه؛ جلد: تیماج سبز، ۲۵۹گ، ۲۵ سطر،</w:t>
      </w:r>
    </w:p>
    <w:p>
      <w:pPr>
        <w:pStyle w:val="BookText"/>
      </w:pPr>
      <w:r>
        <w:rPr>
          <w:rFonts w:ascii="IRNazanin" w:hAnsi="IRNazanin" w:eastAsia="IRNazanin" w:cs="IRNazanin"/>
          <w:lang w:bidi="fa-IR"/>
          <w:color w:val="111111"/>
          <w:sz w:val="28"/>
          <w:szCs w:val="28"/>
          <w:rtl/>
        </w:rPr>
        <w:t xml:space="preserve">اندازه: ۲۱</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۳۳سم [ ف : - ۱۹]</w:t>
      </w:r>
    </w:p>
    <w:p>
      <w:pPr>
        <w:pStyle w:val="Heading3"/>
      </w:pPr>
      <w:bookmarkStart w:id="939" w:name="_Toc461"/>
      <w:r>
        <w:t>الاسباب و العلامات (مختصر) / طب / عربی</w:t>
      </w:r>
      <w:bookmarkEnd w:id="939"/>
    </w:p>
    <w:p>
      <w:pPr>
        <w:pStyle w:val="BookText"/>
      </w:pPr>
      <w:r>
        <w:rPr>
          <w:rFonts w:ascii="Times New Roman" w:hAnsi="Times New Roman" w:eastAsia="Times New Roman" w:cs="Times New Roman"/>
          <w:lang w:val="en-US" w:bidi="en-US"/>
          <w:color w:val="111111"/>
          <w:sz w:val="28"/>
          <w:szCs w:val="28"/>
          <w:rtl/>
        </w:rPr>
        <w:t xml:space="preserve">(al-asbab wa-l 'alāmāt (muxtaṣar)</w:t>
      </w:r>
    </w:p>
    <w:p>
      <w:pPr>
        <w:pStyle w:val="BookText"/>
      </w:pPr>
      <w:r>
        <w:rPr>
          <w:rFonts w:ascii="IRNazanin" w:hAnsi="IRNazanin" w:eastAsia="IRNazanin" w:cs="IRNazanin"/>
          <w:lang w:bidi="fa-IR"/>
          <w:color w:val="111111"/>
          <w:sz w:val="28"/>
          <w:szCs w:val="28"/>
          <w:rtl/>
        </w:rPr>
        <w:t xml:space="preserve">وابسته به الاسباب والعلامات = اسباب العلل و علاجها و علاماتها سمرقندی، محمد بن علی (-۶۱۹)</w:t>
      </w:r>
    </w:p>
    <w:p>
      <w:pPr>
        <w:pStyle w:val="BookText"/>
      </w:pPr>
      <w:r>
        <w:rPr>
          <w:rFonts w:ascii="IRNazanin" w:hAnsi="IRNazanin" w:eastAsia="IRNazanin" w:cs="IRNazanin"/>
          <w:lang w:bidi="fa-IR"/>
          <w:color w:val="111111"/>
          <w:sz w:val="28"/>
          <w:szCs w:val="28"/>
          <w:rtl/>
        </w:rPr>
        <w:t xml:space="preserve">گویا از کتاب سمرقندی گزین شده است. فصول کتاب عبارت است از الصداع، الدوار السدر، السبات السهر، النسيان الماليخوليا، الكابوس الصرع، السكته الفالج و الاسترخا، التشنج، التمدد و الكزاز ،الرعشه الخدر ، اللقوه الاختلاج، الزكام، العصابه، في حسن يظهر فى الدماغ على العين ضعف البصر، امراض الاذن، امراض الانف امراض اللسان والفم والشفتين؛ امراض الاسنان،البثور فى الحلق امراض الصدر والريه، امراض الثدى، امراض المعده، امراض الكبد، امراض المرارة و الطحال في اليرقان، امراض الأمعاء و المقعد امراض الكليه المثانه، امراض الرحم امراض الصفاق فى الفتق اوجاع المفاضل و النقرس ،الحميات الاورام و البثور، في سقى السموم، طرد الهوام، الغدد و العقد.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34" w:name="pg20365_260170"/>
    <w:bookmarkEnd w:id="134"/>
    <w:p>
      <w:pPr>
        <w:pStyle w:val="BookText"/>
      </w:pPr>
      <w:r>
        <w:rPr>
          <w:rFonts w:ascii="IRNazanin" w:hAnsi="IRNazanin" w:eastAsia="IRNazanin" w:cs="IRNazanin"/>
          <w:lang w:bidi="fa-IR"/>
          <w:color w:val="111111"/>
          <w:sz w:val="28"/>
          <w:szCs w:val="28"/>
          <w:rtl/>
        </w:rPr>
        <w:t xml:space="preserve">تهران؛ علوم پزشکی؛ شماره نسخه: ۲۹۲</w:t>
      </w:r>
    </w:p>
    <w:p>
      <w:pPr>
        <w:pStyle w:val="BookText"/>
      </w:pPr>
      <w:r>
        <w:rPr>
          <w:rFonts w:ascii="IRNazanin" w:hAnsi="IRNazanin" w:eastAsia="IRNazanin" w:cs="IRNazanin"/>
          <w:lang w:bidi="fa-IR"/>
          <w:color w:val="111111"/>
          <w:sz w:val="28"/>
          <w:szCs w:val="28"/>
          <w:rtl/>
        </w:rPr>
        <w:t xml:space="preserve">آغاز بسمله. الحمد لله رب العالمين وصلى الله على محمد و آلـه و صحبه الطيبين الطاهرين. و بعد لما كان كتاب الاسباب معلوم الطب و مشتهريين الاطبا فاخذنا منه فواید مهمه بان علم الطب  واجب عينى على كل ببشر فكان الاقتصار على الاقتصار منه و توفيق وعلى الله التوکل ؛انجام: و علاجه تنقية البدن من البـدن بالايارجات و استعمال القى و تناول الأغذية الناشفه</w:t>
      </w:r>
    </w:p>
    <w:p>
      <w:pPr>
        <w:pStyle w:val="BookText"/>
      </w:pPr>
      <w:r>
        <w:rPr>
          <w:rFonts w:ascii="IRNazanin" w:hAnsi="IRNazanin" w:eastAsia="IRNazanin" w:cs="IRNazanin"/>
          <w:lang w:bidi="fa-IR"/>
          <w:color w:val="111111"/>
          <w:sz w:val="28"/>
          <w:szCs w:val="28"/>
          <w:rtl/>
        </w:rPr>
        <w:t xml:space="preserve">خط ،تحریری، بی کا، تا: قرن ۱۲ و ۱۳؛ افتادگی: انجام (ظاهراً یکی دو صفحه)؛ ۲۴۰گ، ۱۵ سطر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۱۱/۵)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 نشریه: ۳ - ۳۸۳]</w:t>
      </w:r>
    </w:p>
    <w:p>
      <w:pPr>
        <w:pStyle w:val="Heading3"/>
      </w:pPr>
      <w:bookmarkStart w:id="940" w:name="_Toc462"/>
      <w:r>
        <w:t>اسباب و علامات و اوجاع مفاصل و نقرس و طریقه معالجه آنها / طب / عربی</w:t>
      </w:r>
      <w:bookmarkEnd w:id="940"/>
    </w:p>
    <w:p>
      <w:pPr>
        <w:pStyle w:val="BookText"/>
      </w:pPr>
      <w:r>
        <w:rPr>
          <w:rFonts w:ascii="Times New Roman" w:hAnsi="Times New Roman" w:eastAsia="Times New Roman" w:cs="Times New Roman"/>
          <w:lang w:val="en-US" w:bidi="en-US"/>
          <w:color w:val="111111"/>
          <w:sz w:val="28"/>
          <w:szCs w:val="28"/>
          <w:rtl/>
        </w:rPr>
        <w:t xml:space="preserve">asbāb va ‘alāmāt va owjā‘-e mafāsel va neqres va</w:t>
      </w:r>
    </w:p>
    <w:p>
      <w:pPr>
        <w:pStyle w:val="BookText"/>
      </w:pPr>
      <w:r>
        <w:rPr>
          <w:rFonts w:ascii="Times New Roman" w:hAnsi="Times New Roman" w:eastAsia="Times New Roman" w:cs="Times New Roman"/>
          <w:lang w:val="en-US" w:bidi="en-US"/>
          <w:color w:val="111111"/>
          <w:sz w:val="28"/>
          <w:szCs w:val="28"/>
          <w:rtl/>
        </w:rPr>
        <w:t xml:space="preserve">tarīqe-ye mo‘āleje-ye ānhā</w:t>
      </w:r>
    </w:p>
    <w:p>
      <w:pPr>
        <w:pStyle w:val="BookText"/>
      </w:pPr>
      <w:r>
        <w:rPr>
          <w:rFonts w:ascii="IRNazanin" w:hAnsi="IRNazanin" w:eastAsia="IRNazanin" w:cs="IRNazanin"/>
          <w:lang w:bidi="fa-IR"/>
          <w:color w:val="111111"/>
          <w:sz w:val="28"/>
          <w:szCs w:val="28"/>
          <w:rtl/>
        </w:rPr>
        <w:t xml:space="preserve">ابن سينا حسین بن عبد الله ۳۷۰؟ - ۴۲۸ قمری</w:t>
      </w:r>
    </w:p>
    <w:p>
      <w:pPr>
        <w:pStyle w:val="BookText"/>
      </w:pPr>
      <w:r>
        <w:rPr>
          <w:rFonts w:ascii="Times New Roman" w:hAnsi="Times New Roman" w:eastAsia="Times New Roman" w:cs="Times New Roman"/>
          <w:lang w:val="en-US" w:bidi="en-US"/>
          <w:color w:val="111111"/>
          <w:sz w:val="28"/>
          <w:szCs w:val="28"/>
          <w:rtl/>
        </w:rPr>
        <w:t xml:space="preserve">(ebn-e sīnā, hoseyn ebn-e ‘abd-ol-lāh (981 - 1038)</w:t>
      </w:r>
    </w:p>
    <w:p>
      <w:pPr>
        <w:pStyle w:val="BookText"/>
      </w:pPr>
      <w:r>
        <w:rPr>
          <w:rFonts w:ascii="IRNazanin" w:hAnsi="IRNazanin" w:eastAsia="IRNazanin" w:cs="IRNazanin"/>
          <w:lang w:bidi="fa-IR"/>
          <w:color w:val="111111"/>
          <w:sz w:val="28"/>
          <w:szCs w:val="28"/>
          <w:rtl/>
        </w:rPr>
        <w:t xml:space="preserve">چنین نام و چنین کتاب و یا رساله ای به شیخ نسبت داده نشد و  ممکن است بخشی از دیگر تالیفات او باشد.</w:t>
      </w:r>
    </w:p>
    <w:p>
      <w:pPr>
        <w:pStyle w:val="BookText"/>
      </w:pPr>
      <w:r>
        <w:rPr>
          <w:rFonts w:ascii="IRNazanin" w:hAnsi="IRNazanin" w:eastAsia="IRNazanin" w:cs="IRNazanin"/>
          <w:lang w:bidi="fa-IR"/>
          <w:color w:val="111111"/>
          <w:sz w:val="28"/>
          <w:szCs w:val="28"/>
          <w:rtl/>
        </w:rPr>
        <w:t xml:space="preserve">مشهد؛ رضوی؛ شماره نسخه: ۲۲۷۰۶/۲</w:t>
      </w:r>
    </w:p>
    <w:p>
      <w:pPr>
        <w:pStyle w:val="BookText"/>
      </w:pPr>
      <w:r>
        <w:rPr>
          <w:rFonts w:ascii="Amiri" w:hAnsi="Amiri" w:eastAsia="Amiri" w:cs="Amiri"/>
          <w:lang w:bidi="ar-SA"/>
          <w:color w:val="111111"/>
          <w:sz w:val="28"/>
          <w:szCs w:val="28"/>
          <w:rtl/>
        </w:rPr>
        <w:t xml:space="preserve">آغاز: بسمله فصل في اوجاع المفاصل و النقرس و علاماته؛ انجام: معجونا لينة مدقوقة و يضمد به نافع ان شاء الله  تعالى</w:t>
      </w:r>
    </w:p>
    <w:p>
      <w:pPr>
        <w:pStyle w:val="BookText"/>
      </w:pPr>
      <w:r>
        <w:rPr>
          <w:rFonts w:ascii="IRNazanin" w:hAnsi="IRNazanin" w:eastAsia="IRNazanin" w:cs="IRNazanin"/>
          <w:lang w:bidi="fa-IR"/>
          <w:color w:val="111111"/>
          <w:sz w:val="28"/>
          <w:szCs w:val="28"/>
          <w:rtl/>
        </w:rPr>
        <w:t xml:space="preserve">خط: نسخ، كا: عبدالعزيز الحكيم، تا: ۷ رمضان ۶۸۷ق کاغذ ،حنایی ،جلد ،میشن، ۳گ (۱۸-۲۰)، گ (۱۸-۲۰، ۳۱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۲۶/۷سم [ف: ۱۹ - ۵۰۰]</w:t>
      </w:r>
    </w:p>
    <w:p>
      <w:pPr>
        <w:pStyle w:val="Heading3"/>
      </w:pPr>
      <w:bookmarkStart w:id="941" w:name="_Toc463"/>
      <w:r>
        <w:t>اسباغ المنة فى انهار الجنة / كلام و اعتقادات / عربي</w:t>
      </w:r>
      <w:bookmarkEnd w:id="941"/>
    </w:p>
    <w:p>
      <w:pPr>
        <w:pStyle w:val="BookText"/>
      </w:pPr>
      <w:r>
        <w:rPr>
          <w:rFonts w:ascii="Times New Roman" w:hAnsi="Times New Roman" w:eastAsia="Times New Roman" w:cs="Times New Roman"/>
          <w:lang w:val="en-US" w:bidi="en-US"/>
          <w:color w:val="111111"/>
          <w:sz w:val="28"/>
          <w:szCs w:val="28"/>
          <w:rtl/>
        </w:rPr>
        <w:t xml:space="preserve">asbāq-ul-minna fī anhār-il-janna</w:t>
      </w:r>
    </w:p>
    <w:p>
      <w:pPr>
        <w:pStyle w:val="BookText"/>
      </w:pPr>
      <w:r>
        <w:rPr>
          <w:rFonts w:ascii="IRNazanin" w:hAnsi="IRNazanin" w:eastAsia="IRNazanin" w:cs="IRNazanin"/>
          <w:lang w:bidi="fa-IR"/>
          <w:color w:val="111111"/>
          <w:sz w:val="28"/>
          <w:szCs w:val="28"/>
          <w:rtl/>
        </w:rPr>
        <w:t xml:space="preserve">نابلسی، عبدالغنی بن اسماعیل، ۱۰۵۰ - ۱۱۴۳ قمری</w:t>
      </w:r>
    </w:p>
    <w:p>
      <w:pPr>
        <w:pStyle w:val="BookText"/>
      </w:pPr>
      <w:r>
        <w:rPr>
          <w:rFonts w:ascii="Times New Roman" w:hAnsi="Times New Roman" w:eastAsia="Times New Roman" w:cs="Times New Roman"/>
          <w:lang w:val="en-US" w:bidi="en-US"/>
          <w:color w:val="111111"/>
          <w:sz w:val="28"/>
          <w:szCs w:val="28"/>
          <w:rtl/>
        </w:rPr>
        <w:t xml:space="preserve">(nābolosī, ‘abd-ol-qanī ebn-e esmā‘īl (1641 - 1731)</w:t>
      </w:r>
    </w:p>
    <w:p>
      <w:pPr>
        <w:pStyle w:val="BookText"/>
      </w:pPr>
      <w:r>
        <w:rPr>
          <w:rFonts w:ascii="IRNazanin" w:hAnsi="IRNazanin" w:eastAsia="IRNazanin" w:cs="IRNazanin"/>
          <w:lang w:bidi="fa-IR"/>
          <w:color w:val="111111"/>
          <w:sz w:val="28"/>
          <w:szCs w:val="28"/>
          <w:rtl/>
        </w:rPr>
        <w:t xml:space="preserve">رساله ای است کوتاه در نهرهای بهشت و احادیث و روایات در این خصوص.</w:t>
      </w:r>
    </w:p>
    <w:p>
      <w:pPr>
        <w:pStyle w:val="BookText"/>
      </w:pPr>
      <w:r>
        <w:rPr>
          <w:rFonts w:ascii="IRNazanin" w:hAnsi="IRNazanin" w:eastAsia="IRNazanin" w:cs="IRNazanin"/>
          <w:lang w:bidi="fa-IR"/>
          <w:color w:val="111111"/>
          <w:sz w:val="28"/>
          <w:szCs w:val="28"/>
          <w:rtl/>
        </w:rPr>
        <w:t xml:space="preserve">[ايضاح المكنون ۶۹/۱۸؛ هدية العارفین ۵۹۰/۱؛ معجم المؤلفين ۲۷۱/۵]</w:t>
      </w:r>
    </w:p>
    <w:p>
      <w:pPr>
        <w:pStyle w:val="BookText"/>
      </w:pPr>
      <w:r>
        <w:rPr>
          <w:rFonts w:ascii="IRNazanin" w:hAnsi="IRNazanin" w:eastAsia="IRNazanin" w:cs="IRNazanin"/>
          <w:lang w:bidi="fa-IR"/>
          <w:color w:val="111111"/>
          <w:sz w:val="28"/>
          <w:szCs w:val="28"/>
          <w:rtl/>
        </w:rPr>
        <w:t xml:space="preserve">قم؛ مرعشی؛ شماره نسخه: ۱۳۷۰۴/۶</w:t>
      </w:r>
    </w:p>
    <w:p>
      <w:pPr>
        <w:pStyle w:val="BookText"/>
      </w:pPr>
      <w:r>
        <w:rPr>
          <w:rFonts w:ascii="Amiri" w:hAnsi="Amiri" w:eastAsia="Amiri" w:cs="Amiri"/>
          <w:lang w:bidi="ar-SA"/>
          <w:color w:val="111111"/>
          <w:sz w:val="28"/>
          <w:szCs w:val="28"/>
          <w:rtl/>
        </w:rPr>
        <w:t xml:space="preserve">آغاز: الحمد لله رب العالمين ... اما بعد، فيقول العبد الحقير ...</w:t>
      </w:r>
    </w:p>
    <w:p>
      <w:pPr>
        <w:pStyle w:val="BookText"/>
      </w:pPr>
      <w:r>
        <w:rPr>
          <w:rFonts w:ascii="IRNazanin" w:hAnsi="IRNazanin" w:eastAsia="IRNazanin" w:cs="IRNazanin"/>
          <w:lang w:bidi="fa-IR"/>
          <w:color w:val="111111"/>
          <w:sz w:val="28"/>
          <w:szCs w:val="28"/>
          <w:rtl/>
        </w:rPr>
        <w:t xml:space="preserve">سيحون و جيحون قال الشيخ شهاب الدين ابن حجر الهيتمي فی شرحه؛ انجام: و هذا هو الصواب فى ذلك و الله اعلم بما هنالكـ وصلى الله على سيدنا محمد و علی آله و صحبه و سلم</w:t>
      </w:r>
    </w:p>
    <w:p>
      <w:pPr>
        <w:pStyle w:val="BookText"/>
      </w:pPr>
      <w:r>
        <w:rPr>
          <w:rFonts w:ascii="IRNazanin" w:hAnsi="IRNazanin" w:eastAsia="IRNazanin" w:cs="IRNazanin"/>
          <w:lang w:bidi="fa-IR"/>
          <w:color w:val="111111"/>
          <w:sz w:val="28"/>
          <w:szCs w:val="28"/>
          <w:rtl/>
        </w:rPr>
        <w:t xml:space="preserve">خط: نسخ ، كا: محيى الدين بن قاسم ،نبکی، تا: ۱۱۹۶ق؛ نام  کتاب و مؤلف در پشت برگ آغازین نسخه آمده است؛ کاغذ: فرنگی،</w:t>
      </w:r>
    </w:p>
    <w:p>
      <w:pPr>
        <w:pStyle w:val="BookText"/>
      </w:pPr>
      <w:r>
        <w:rPr>
          <w:rFonts w:ascii="IRNazanin" w:hAnsi="IRNazanin" w:eastAsia="IRNazanin" w:cs="IRNazanin"/>
          <w:lang w:bidi="fa-IR"/>
          <w:color w:val="111111"/>
          <w:sz w:val="28"/>
          <w:szCs w:val="28"/>
          <w:rtl/>
        </w:rPr>
        <w:t xml:space="preserve">۲گ (۸۵-۸۴) ،۲۵ ،سطر، اندازه: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۳۴ - ۶۲۷]</w:t>
      </w:r>
    </w:p>
    <w:p>
      <w:pPr>
        <w:pStyle w:val="Heading3"/>
      </w:pPr>
      <w:bookmarkStart w:id="942" w:name="_Toc464"/>
      <w:r>
        <w:t>اسباغ النائل بتحقيق المسائل / فقه / اردو</w:t>
      </w:r>
      <w:bookmarkEnd w:id="942"/>
    </w:p>
    <w:p>
      <w:pPr>
        <w:pStyle w:val="BookText"/>
      </w:pPr>
      <w:r>
        <w:rPr>
          <w:rFonts w:ascii="Times New Roman" w:hAnsi="Times New Roman" w:eastAsia="Times New Roman" w:cs="Times New Roman"/>
          <w:lang w:val="en-US" w:bidi="en-US"/>
          <w:color w:val="111111"/>
          <w:sz w:val="28"/>
          <w:szCs w:val="28"/>
          <w:rtl/>
        </w:rPr>
        <w:t xml:space="preserve">asbaq-un nā'il bi-tahqiq-il masa'il</w:t>
      </w:r>
    </w:p>
    <w:p>
      <w:pPr>
        <w:pStyle w:val="BookText"/>
      </w:pPr>
      <w:r>
        <w:rPr>
          <w:rFonts w:ascii="IRNazanin" w:hAnsi="IRNazanin" w:eastAsia="IRNazanin" w:cs="IRNazanin"/>
          <w:lang w:bidi="fa-IR"/>
          <w:color w:val="111111"/>
          <w:sz w:val="28"/>
          <w:szCs w:val="28"/>
          <w:rtl/>
        </w:rPr>
        <w:t xml:space="preserve">کنتوری، ناصر حسین بن  حامد حسین  ، ۱۲۸۴  - ۱۳۶۱  قمری</w:t>
      </w:r>
    </w:p>
    <w:p>
      <w:pPr>
        <w:pStyle w:val="BookText"/>
      </w:pPr>
      <w:r>
        <w:rPr>
          <w:rFonts w:ascii="Times New Roman" w:hAnsi="Times New Roman" w:eastAsia="Times New Roman" w:cs="Times New Roman"/>
          <w:lang w:val="en-US" w:bidi="en-US"/>
          <w:color w:val="111111"/>
          <w:sz w:val="28"/>
          <w:szCs w:val="28"/>
          <w:rtl/>
        </w:rPr>
        <w:t xml:space="preserve">(1942-kanturi, naser hoseyn ebn-e hamed hoseyn (1868 -</w:t>
      </w:r>
    </w:p>
    <w:p>
      <w:pPr>
        <w:pStyle w:val="BookText"/>
      </w:pPr>
      <w:r>
        <w:rPr>
          <w:rFonts w:ascii="IRNazanin" w:hAnsi="IRNazanin" w:eastAsia="IRNazanin" w:cs="IRNazanin"/>
          <w:lang w:bidi="fa-IR"/>
          <w:color w:val="111111"/>
          <w:sz w:val="28"/>
          <w:szCs w:val="28"/>
          <w:rtl/>
        </w:rPr>
        <w:t xml:space="preserve">فتاوی فقهی و عملی ایشان در نه جزء (برخی هشت جزء)به صورت سؤال و جواب تدوین شده است.  ۱. مشهد؛ رضوی؛ شماره نسخه: ۲۴۴۳۱</w:t>
      </w:r>
    </w:p>
    <w:p>
      <w:pPr>
        <w:pStyle w:val="BookText"/>
      </w:pPr>
      <w:r>
        <w:rPr>
          <w:rFonts w:ascii="IRNazanin" w:hAnsi="IRNazanin" w:eastAsia="IRNazanin" w:cs="IRNazanin"/>
          <w:lang w:bidi="fa-IR"/>
          <w:color w:val="111111"/>
          <w:sz w:val="28"/>
          <w:szCs w:val="28"/>
          <w:rtl/>
        </w:rPr>
        <w:t xml:space="preserve">آغاز: بسمله کیا ارشاد هین حضرات علمای دین کااس مسئله  مین که اگر کسی مقام پر چند مسجدین بالكل؛ انجام: لكن هذا  الناصب قد اعمت العصبية عينيه</w:t>
      </w:r>
    </w:p>
    <w:p>
      <w:pPr>
        <w:pStyle w:val="BookText"/>
      </w:pPr>
      <w:r>
        <w:rPr>
          <w:rFonts w:ascii="IRNazanin" w:hAnsi="IRNazanin" w:eastAsia="IRNazanin" w:cs="IRNazanin"/>
          <w:lang w:bidi="fa-IR"/>
          <w:color w:val="111111"/>
          <w:sz w:val="28"/>
          <w:szCs w:val="28"/>
          <w:rtl/>
        </w:rPr>
        <w:t xml:space="preserve">جزء ۱؛ خط: نستعلیق و شکسته  تحریری، کاتب - مؤلف، تا: قرن ۱۴؛ اهدائی  رهبری، اسفند ۱۳۷۶ ؛کاغذ: نخودی آهار مهره فرنگی، جلد: تیماج جگری رنگ با جداول زرکوب، ۲۰۰گ، مختلف السطر،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۲۴سم [اهدائی رهبر ۳ - ۶۱]</w:t>
      </w:r>
    </w:p>
    <w:p>
      <w:pPr>
        <w:pStyle w:val="BookText"/>
      </w:pPr>
      <w:r>
        <w:rPr>
          <w:rFonts w:ascii="IRNazanin" w:hAnsi="IRNazanin" w:eastAsia="IRNazanin" w:cs="IRNazanin"/>
          <w:lang w:bidi="fa-IR"/>
          <w:color w:val="111111"/>
          <w:sz w:val="28"/>
          <w:szCs w:val="28"/>
          <w:rtl/>
        </w:rPr>
        <w:t xml:space="preserve">۲ . مشهد؛ رضوی؛ شماره نسخه: ۲۷۹۴۰</w:t>
      </w:r>
    </w:p>
    <w:p>
      <w:pPr>
        <w:pStyle w:val="BookText"/>
      </w:pPr>
      <w:r>
        <w:rPr>
          <w:rFonts w:ascii="IRNazanin" w:hAnsi="IRNazanin" w:eastAsia="IRNazanin" w:cs="IRNazanin"/>
          <w:lang w:bidi="fa-IR"/>
          <w:color w:val="111111"/>
          <w:sz w:val="28"/>
          <w:szCs w:val="28"/>
          <w:rtl/>
        </w:rPr>
        <w:t xml:space="preserve">آغاز: مسئله اول کیا فرماتی هین علمای دین و مفتیان شرع متین اس مسئله که سگ چینی کی ظرف؛ انجام: اذا مات المقر على اقراره ثم الموصى  له بجمیع المال  ثم بیت المال والله اعلم بحقايق الاحكام</w:t>
      </w:r>
    </w:p>
    <w:p>
      <w:pPr>
        <w:pStyle w:val="BookText"/>
      </w:pPr>
      <w:r>
        <w:rPr>
          <w:rFonts w:ascii="IRNazanin" w:hAnsi="IRNazanin" w:eastAsia="IRNazanin" w:cs="IRNazanin"/>
          <w:lang w:bidi="fa-IR"/>
          <w:color w:val="111111"/>
          <w:sz w:val="28"/>
          <w:szCs w:val="28"/>
          <w:rtl/>
        </w:rPr>
        <w:t xml:space="preserve">جزء ۲؛ خط: نستعلیق خوش، بی کا، تا: قرن ۱۴؛ اهدائی رهبری، دی ۱۳۸۰؛ کاغذ: حنایی و نخودی آهار مهره، جلد: فرنگی ،ماشی ۱۲۴گ، ۱۷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[اهدائی رهبر: ۳ - ۶۲]</w:t>
      </w:r>
    </w:p>
    <w:p>
      <w:pPr>
        <w:pStyle w:val="BookText"/>
      </w:pPr>
      <w:r>
        <w:rPr>
          <w:rFonts w:ascii="IRNazanin" w:hAnsi="IRNazanin" w:eastAsia="IRNazanin" w:cs="IRNazanin"/>
          <w:lang w:bidi="fa-IR"/>
          <w:color w:val="111111"/>
          <w:sz w:val="28"/>
          <w:szCs w:val="28"/>
          <w:rtl/>
        </w:rPr>
        <w:t xml:space="preserve">3.مشهد؛ رضوی؛ شماره نسخه :۲۲۳۴۰</w:t>
      </w:r>
    </w:p>
    <w:p>
      <w:pPr>
        <w:pStyle w:val="BookText"/>
      </w:pPr>
      <w:r>
        <w:rPr>
          <w:rFonts w:ascii="IRNazanin" w:hAnsi="IRNazanin" w:eastAsia="IRNazanin" w:cs="IRNazanin"/>
          <w:lang w:bidi="fa-IR"/>
          <w:color w:val="111111"/>
          <w:sz w:val="28"/>
          <w:szCs w:val="28"/>
          <w:rtl/>
        </w:rPr>
        <w:t xml:space="preserve">آغاز: بسمله، ما قولكم مدظلكم سيد مضطر اولاد امام محمد نقی علیه السلام کو امام ضامن؛ انجام: لیکن واقعه در باب روز حدیث نواب هندسی استیناس اسکاهو سکتاهی و الله اعلم.</w:t>
      </w:r>
    </w:p>
    <w:p>
      <w:pPr>
        <w:pStyle w:val="BookText"/>
      </w:pPr>
      <w:r>
        <w:rPr>
          <w:rFonts w:ascii="IRNazanin" w:hAnsi="IRNazanin" w:eastAsia="IRNazanin" w:cs="IRNazanin"/>
          <w:lang w:bidi="fa-IR"/>
          <w:color w:val="111111"/>
          <w:sz w:val="28"/>
          <w:szCs w:val="28"/>
          <w:rtl/>
        </w:rPr>
        <w:t xml:space="preserve">جزء ۳؛ خط: نستعليق  شکسته، بی کا، تا: قرن ۱۴؛ اهدایی رهبری، خرداد ۱۳۷۳؛ کاغذ ،نخودی، جلد: مقوا، ۱۳۰گ، مختلف السطر</w:t>
      </w:r>
    </w:p>
    <w:p>
      <w:pPr>
        <w:pStyle w:val="BookText"/>
      </w:pPr>
      <w:r>
        <w:rPr>
          <w:rFonts w:ascii="IRNazanin" w:hAnsi="IRNazanin" w:eastAsia="IRNazanin" w:cs="IRNazanin"/>
          <w:lang w:bidi="fa-IR"/>
          <w:color w:val="111111"/>
          <w:sz w:val="28"/>
          <w:szCs w:val="28"/>
          <w:rtl/>
        </w:rPr>
        <w:t xml:space="preserve">[اهدائی :رهبر ۳ - ۶۲]</w:t>
      </w:r>
    </w:p>
    <w:p>
      <w:pPr>
        <w:pStyle w:val="BookText"/>
      </w:pPr>
      <w:r>
        <w:rPr>
          <w:rFonts w:ascii="IRNazanin" w:hAnsi="IRNazanin" w:eastAsia="IRNazanin" w:cs="IRNazanin"/>
          <w:lang w:bidi="fa-IR"/>
          <w:color w:val="111111"/>
          <w:sz w:val="28"/>
          <w:szCs w:val="28"/>
          <w:rtl/>
        </w:rPr>
        <w:t xml:space="preserve">۴. مشهد؛ رضوی؛ شماره نسخه: ۲۲۳۱۵</w:t>
      </w:r>
    </w:p>
    <w:p>
      <w:pPr>
        <w:pStyle w:val="BookText"/>
      </w:pPr>
      <w:r>
        <w:rPr>
          <w:rFonts w:ascii="IRNazanin" w:hAnsi="IRNazanin" w:eastAsia="IRNazanin" w:cs="IRNazanin"/>
          <w:lang w:bidi="fa-IR"/>
          <w:color w:val="111111"/>
          <w:sz w:val="28"/>
          <w:szCs w:val="28"/>
          <w:rtl/>
        </w:rPr>
        <w:t xml:space="preserve">آغاز: کیا فرمانی هین علمای دین و مفتیان شرع متین مسؤله جات ذیل مین؛ انجام: والله اعلم ۲۹ شعبان ...</w:t>
      </w:r>
    </w:p>
    <w:p>
      <w:pPr>
        <w:pStyle w:val="BookText"/>
      </w:pPr>
      <w:r>
        <w:rPr>
          <w:rFonts w:ascii="IRNazanin" w:hAnsi="IRNazanin" w:eastAsia="IRNazanin" w:cs="IRNazanin"/>
          <w:lang w:bidi="fa-IR"/>
          <w:color w:val="111111"/>
          <w:sz w:val="28"/>
          <w:szCs w:val="28"/>
          <w:rtl/>
        </w:rPr>
        <w:t xml:space="preserve">جزء ۴ :خط: نستعلیق، بی کا، تا: قرن ۱۴؛ اهدائی  رهبری، فروردین ۱۳۷۴؛ کاغذ: نخودی ،جلد: مقوا ،۳۵۲گ، مختلف السطر، اندازه:  22</w:t>
      </w:r>
      <w:r>
        <w:rPr>
          <w:rFonts w:ascii="Times New Roman" w:hAnsi="Times New Roman" w:eastAsia="Times New Roman" w:cs="Times New Roman"/>
          <w:lang w:val="en-US" w:bidi="en-US"/>
          <w:color w:val="111111"/>
          <w:sz w:val="28"/>
          <w:szCs w:val="28"/>
          <w:rtl/>
        </w:rPr>
        <w:t xml:space="preserve">×32</w:t>
      </w:r>
      <w:r>
        <w:rPr>
          <w:rFonts w:ascii="IRNazanin" w:hAnsi="IRNazanin" w:eastAsia="IRNazanin" w:cs="IRNazanin"/>
          <w:lang w:bidi="fa-IR"/>
          <w:color w:val="111111"/>
          <w:sz w:val="28"/>
          <w:szCs w:val="28"/>
          <w:rtl/>
        </w:rPr>
        <w:t xml:space="preserve">سم [اهدائی :رهبر ۳ - ۶۳]</w:t>
      </w:r>
    </w:p>
    <w:p>
      <w:pPr>
        <w:pStyle w:val="BookText"/>
      </w:pPr>
      <w:r>
        <w:rPr>
          <w:rFonts w:ascii="IRNazanin" w:hAnsi="IRNazanin" w:eastAsia="IRNazanin" w:cs="IRNazanin"/>
          <w:lang w:bidi="fa-IR"/>
          <w:color w:val="111111"/>
          <w:sz w:val="28"/>
          <w:szCs w:val="28"/>
          <w:rtl/>
        </w:rPr>
        <w:t xml:space="preserve">5.مشهد؛ رضوی؛ شماره نسخه: ۲۲۲۷۸</w:t>
      </w:r>
    </w:p>
    <w:p>
      <w:pPr>
        <w:pStyle w:val="BookText"/>
      </w:pPr>
      <w:r>
        <w:rPr>
          <w:rFonts w:ascii="IRNazanin" w:hAnsi="IRNazanin" w:eastAsia="IRNazanin" w:cs="IRNazanin"/>
          <w:lang w:bidi="fa-IR"/>
          <w:color w:val="111111"/>
          <w:sz w:val="28"/>
          <w:szCs w:val="28"/>
          <w:rtl/>
        </w:rPr>
        <w:t xml:space="preserve">آغاز: (س) کیا فرماتی هین علماء دین و مفتیان شرع متین مسأله جات ذیل مین؛ انجام: اور سوا اسکی زید کسی طرح طلاق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35" w:name="pg20365_260171"/>
    <w:bookmarkEnd w:id="135"/>
    <w:p>
      <w:pPr>
        <w:pStyle w:val="BookText"/>
      </w:pPr>
      <w:r>
        <w:rPr>
          <w:rFonts w:ascii="IRNazanin" w:hAnsi="IRNazanin" w:eastAsia="IRNazanin" w:cs="IRNazanin"/>
          <w:lang w:bidi="fa-IR"/>
          <w:color w:val="111111"/>
          <w:sz w:val="28"/>
          <w:szCs w:val="28"/>
          <w:rtl/>
        </w:rPr>
        <w:t xml:space="preserve">پر آمادہ کیا جاوی کوی چاره نظر نهین آتا و الله اعلم.</w:t>
      </w:r>
    </w:p>
    <w:p>
      <w:pPr>
        <w:pStyle w:val="BookText"/>
      </w:pPr>
      <w:r>
        <w:rPr>
          <w:rFonts w:ascii="IRNazanin" w:hAnsi="IRNazanin" w:eastAsia="IRNazanin" w:cs="IRNazanin"/>
          <w:lang w:bidi="fa-IR"/>
          <w:color w:val="111111"/>
          <w:sz w:val="28"/>
          <w:szCs w:val="28"/>
          <w:rtl/>
        </w:rPr>
        <w:t xml:space="preserve">جزء ۴ ؛خط: نستعلیق، بی کا، تا: قرن ۱۴؛ اهدائی  رهبری، فروردین ۱۳۷۴؛ کاغذ: نخودی ،جلد: مقوا، ۲۰۰گ، ۱۹ سطر، اندازه: /۱۹/۵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۳۰/۵سم [اهدائی رهبر ۳ - ۶۳]</w:t>
      </w:r>
    </w:p>
    <w:p>
      <w:pPr>
        <w:pStyle w:val="BookText"/>
      </w:pPr>
      <w:r>
        <w:rPr>
          <w:rFonts w:ascii="IRNazanin" w:hAnsi="IRNazanin" w:eastAsia="IRNazanin" w:cs="IRNazanin"/>
          <w:lang w:bidi="fa-IR"/>
          <w:color w:val="111111"/>
          <w:sz w:val="28"/>
          <w:szCs w:val="28"/>
          <w:rtl/>
        </w:rPr>
        <w:t xml:space="preserve">۶. مشهد؛ رضوی؛ شماره نسخه: ۲۲۲۷۱</w:t>
      </w:r>
    </w:p>
    <w:p>
      <w:pPr>
        <w:pStyle w:val="BookText"/>
      </w:pPr>
      <w:r>
        <w:rPr>
          <w:rFonts w:ascii="IRNazanin" w:hAnsi="IRNazanin" w:eastAsia="IRNazanin" w:cs="IRNazanin"/>
          <w:lang w:bidi="fa-IR"/>
          <w:color w:val="111111"/>
          <w:sz w:val="28"/>
          <w:szCs w:val="28"/>
          <w:rtl/>
        </w:rPr>
        <w:t xml:space="preserve">آغاز: بسمله، چه می فرمایند علمای دین و مفتیان متین زادالله تحقیقاتهم ؛انجام: عام الفیل سی کیا مرادهی او کونسی سن کوکهی تین</w:t>
      </w:r>
    </w:p>
    <w:p>
      <w:pPr>
        <w:pStyle w:val="BookText"/>
      </w:pPr>
      <w:r>
        <w:rPr>
          <w:rFonts w:ascii="IRNazanin" w:hAnsi="IRNazanin" w:eastAsia="IRNazanin" w:cs="IRNazanin"/>
          <w:lang w:bidi="fa-IR"/>
          <w:color w:val="111111"/>
          <w:sz w:val="28"/>
          <w:szCs w:val="28"/>
          <w:rtl/>
        </w:rPr>
        <w:t xml:space="preserve">جزء ۵ ؛خط: نستعلیق، بی کا، تا: ۱۳۲۲ق، ظهر ورق اول مزین به خط مؤلف درباره فقدان نسخه و بازگشت آن در سال 1338؛اهدائی  رهبری، فروردین ۱۳۷۴؛ کاغذ: مشقی  نخودی،جلد: مقـوا،۱۷۰گ، مختلف السطر،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۳۲/۵سم [اهدائی :رهبر ۳ - 63]</w:t>
      </w:r>
    </w:p>
    <w:p>
      <w:pPr>
        <w:pStyle w:val="BookText"/>
      </w:pPr>
      <w:r>
        <w:rPr>
          <w:rFonts w:ascii="IRNazanin" w:hAnsi="IRNazanin" w:eastAsia="IRNazanin" w:cs="IRNazanin"/>
          <w:lang w:bidi="fa-IR"/>
          <w:color w:val="111111"/>
          <w:sz w:val="28"/>
          <w:szCs w:val="28"/>
          <w:rtl/>
        </w:rPr>
        <w:t xml:space="preserve">۷. مشهد؛ رضوی؛ شماره نسخه: ۲۲۲۹۳</w:t>
      </w:r>
    </w:p>
    <w:p>
      <w:pPr>
        <w:pStyle w:val="BookText"/>
      </w:pPr>
      <w:r>
        <w:rPr>
          <w:rFonts w:ascii="IRNazanin" w:hAnsi="IRNazanin" w:eastAsia="IRNazanin" w:cs="IRNazanin"/>
          <w:lang w:bidi="fa-IR"/>
          <w:color w:val="111111"/>
          <w:sz w:val="28"/>
          <w:szCs w:val="28"/>
          <w:rtl/>
        </w:rPr>
        <w:t xml:space="preserve">آغاز: بسمله، کیا حکم هی شریعت و قرآن شریف کا آن مسائل؛ انجام: اطاعت لازم هی لیکن مطالبه اجنبى (كذا) حقوق واجبه. کاکرسکتي هي و الله العالم.</w:t>
      </w:r>
    </w:p>
    <w:p>
      <w:pPr>
        <w:pStyle w:val="BookText"/>
      </w:pPr>
      <w:r>
        <w:rPr>
          <w:rFonts w:ascii="IRNazanin" w:hAnsi="IRNazanin" w:eastAsia="IRNazanin" w:cs="IRNazanin"/>
          <w:lang w:bidi="fa-IR"/>
          <w:color w:val="111111"/>
          <w:sz w:val="28"/>
          <w:szCs w:val="28"/>
          <w:rtl/>
        </w:rPr>
        <w:t xml:space="preserve">جزء ۶ ؛خط: نستعلیق  شکسته، بی کا، تا: قرن ۱۴؛ اهدایی رهبری، فروردین ۱۳۷۴ ؛کاغذ: مشقی،جلد: مقوا، ۵۰گ مختلف السطر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۳۰سم [اهدائی رهبر: ۳ - ۶۳]</w:t>
      </w:r>
    </w:p>
    <w:p>
      <w:pPr>
        <w:pStyle w:val="BookText"/>
      </w:pPr>
      <w:r>
        <w:rPr>
          <w:rFonts w:ascii="IRNazanin" w:hAnsi="IRNazanin" w:eastAsia="IRNazanin" w:cs="IRNazanin"/>
          <w:lang w:bidi="fa-IR"/>
          <w:color w:val="111111"/>
          <w:sz w:val="28"/>
          <w:szCs w:val="28"/>
          <w:rtl/>
        </w:rPr>
        <w:t xml:space="preserve">۸ .مشهد؛ رضوی؛ شماره نسخه ۲۲۲۷۰</w:t>
      </w:r>
    </w:p>
    <w:p>
      <w:pPr>
        <w:pStyle w:val="BookText"/>
      </w:pPr>
      <w:r>
        <w:rPr>
          <w:rFonts w:ascii="IRNazanin" w:hAnsi="IRNazanin" w:eastAsia="IRNazanin" w:cs="IRNazanin"/>
          <w:lang w:bidi="fa-IR"/>
          <w:color w:val="111111"/>
          <w:sz w:val="28"/>
          <w:szCs w:val="28"/>
          <w:rtl/>
        </w:rPr>
        <w:t xml:space="preserve">آغاز: بسمله (س) کیا فرماهین بین علمای دین و مفتیان شرع متین؛  انجام: اور غیاث اللغات من(؟)   لفظ معنى منديل هن  مذكـور هی  جزء ٧؛ خط: نستعلیق  شکسته، بی کا، تا: قرن ۱۴؛ اهدایی رهبری، فروردین ۱۳۷۴؛ کاغذ: مشقی، جلد: مقوا، ۵۰گ، مختلف السطر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۳۰سم [اهدائی :رهبر ۳ - ۶۴]</w:t>
      </w:r>
    </w:p>
    <w:p>
      <w:pPr>
        <w:pStyle w:val="BookText"/>
      </w:pPr>
      <w:r>
        <w:rPr>
          <w:rFonts w:ascii="IRNazanin" w:hAnsi="IRNazanin" w:eastAsia="IRNazanin" w:cs="IRNazanin"/>
          <w:lang w:bidi="fa-IR"/>
          <w:color w:val="111111"/>
          <w:sz w:val="28"/>
          <w:szCs w:val="28"/>
          <w:rtl/>
        </w:rPr>
        <w:t xml:space="preserve">۹. مشهد؛ رضوی؛ شماره نسخه: ۲۲۳۰۴</w:t>
      </w:r>
    </w:p>
    <w:p>
      <w:pPr>
        <w:pStyle w:val="BookText"/>
      </w:pPr>
      <w:r>
        <w:rPr>
          <w:rFonts w:ascii="IRNazanin" w:hAnsi="IRNazanin" w:eastAsia="IRNazanin" w:cs="IRNazanin"/>
          <w:lang w:bidi="fa-IR"/>
          <w:color w:val="111111"/>
          <w:sz w:val="28"/>
          <w:szCs w:val="28"/>
          <w:rtl/>
        </w:rPr>
        <w:t xml:space="preserve">آغاز: سؤال تاریخ ولادت با سعادت جناب سید الشهدا کی قول هین اوراون اقوال کی مستند کیا گیاهین؛ انجام درست است  هی</w:t>
      </w:r>
    </w:p>
    <w:p>
      <w:pPr>
        <w:pStyle w:val="BookText"/>
      </w:pPr>
      <w:r>
        <w:rPr>
          <w:rFonts w:ascii="IRNazanin" w:hAnsi="IRNazanin" w:eastAsia="IRNazanin" w:cs="IRNazanin"/>
          <w:lang w:bidi="fa-IR"/>
          <w:color w:val="111111"/>
          <w:sz w:val="28"/>
          <w:szCs w:val="28"/>
          <w:rtl/>
        </w:rPr>
        <w:t xml:space="preserve">اگر ارواح خبیثه هی مراد آپکی همزاد هون و الله اعلم</w:t>
      </w:r>
    </w:p>
    <w:p>
      <w:pPr>
        <w:pStyle w:val="BookText"/>
      </w:pPr>
      <w:r>
        <w:rPr>
          <w:rFonts w:ascii="IRNazanin" w:hAnsi="IRNazanin" w:eastAsia="IRNazanin" w:cs="IRNazanin"/>
          <w:lang w:bidi="fa-IR"/>
          <w:color w:val="111111"/>
          <w:sz w:val="28"/>
          <w:szCs w:val="28"/>
          <w:rtl/>
        </w:rPr>
        <w:t xml:space="preserve">جزء ۸؛ خط: نستعلیق، بی کا، تا: قرن ۱۴؛ اهدائی،رهبری، فروردین ۱۳۷۴؛ جلد: مقوا، ۱۴۰گ، مختلف السطر، اندازه: ۳۲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[اهدائی :رهبر ۳ - ۶۴]</w:t>
      </w:r>
    </w:p>
    <w:p>
      <w:pPr>
        <w:pStyle w:val="Heading3"/>
      </w:pPr>
      <w:bookmarkStart w:id="943" w:name="_Toc465"/>
      <w:r>
        <w:t>اسبال المطر على قصب الشكر / ادبیات / عربي</w:t>
      </w:r>
      <w:bookmarkEnd w:id="943"/>
    </w:p>
    <w:p>
      <w:pPr>
        <w:pStyle w:val="BookText"/>
      </w:pPr>
      <w:r>
        <w:rPr>
          <w:rFonts w:ascii="Times New Roman" w:hAnsi="Times New Roman" w:eastAsia="Times New Roman" w:cs="Times New Roman"/>
          <w:lang w:val="en-US" w:bidi="en-US"/>
          <w:color w:val="111111"/>
          <w:sz w:val="28"/>
          <w:szCs w:val="28"/>
          <w:rtl/>
        </w:rPr>
        <w:t xml:space="preserve">isbāl-ul maṭar ‘alā qaṣb-iš šikar</w:t>
      </w:r>
    </w:p>
    <w:p>
      <w:pPr>
        <w:pStyle w:val="BookText"/>
      </w:pPr>
      <w:r>
        <w:rPr>
          <w:rFonts w:ascii="IRNazanin" w:hAnsi="IRNazanin" w:eastAsia="IRNazanin" w:cs="IRNazanin"/>
          <w:lang w:bidi="fa-IR"/>
          <w:color w:val="111111"/>
          <w:sz w:val="28"/>
          <w:szCs w:val="28"/>
          <w:rtl/>
        </w:rPr>
        <w:t xml:space="preserve">امیر  صنعانی، محمد بن اسماعیل، ۱۰۹۹ - ۱۱۸۲ قمری</w:t>
      </w:r>
    </w:p>
    <w:p>
      <w:pPr>
        <w:pStyle w:val="BookText"/>
      </w:pPr>
      <w:r>
        <w:rPr>
          <w:rFonts w:ascii="Times New Roman" w:hAnsi="Times New Roman" w:eastAsia="Times New Roman" w:cs="Times New Roman"/>
          <w:lang w:val="en-US" w:bidi="en-US"/>
          <w:color w:val="111111"/>
          <w:sz w:val="28"/>
          <w:szCs w:val="28"/>
          <w:rtl/>
        </w:rPr>
        <w:t xml:space="preserve">(1769-amīr-ol san‘ānī, mohammad ebn-e esmā‘īl (1688 -</w:t>
      </w:r>
    </w:p>
    <w:p>
      <w:pPr>
        <w:pStyle w:val="BookText"/>
      </w:pPr>
      <w:r>
        <w:rPr>
          <w:rFonts w:ascii="IRNazanin" w:hAnsi="IRNazanin" w:eastAsia="IRNazanin" w:cs="IRNazanin"/>
          <w:lang w:bidi="fa-IR"/>
          <w:color w:val="111111"/>
          <w:sz w:val="28"/>
          <w:szCs w:val="28"/>
          <w:rtl/>
        </w:rPr>
        <w:t xml:space="preserve">۱. مشهد؛ رضوی؛ شماره نسخه: ۲۱۶۳۰</w:t>
      </w:r>
    </w:p>
    <w:p>
      <w:pPr>
        <w:pStyle w:val="BookText"/>
      </w:pPr>
      <w:r>
        <w:rPr>
          <w:rFonts w:ascii="IRNazanin" w:hAnsi="IRNazanin" w:eastAsia="IRNazanin" w:cs="IRNazanin"/>
          <w:lang w:bidi="fa-IR"/>
          <w:color w:val="111111"/>
          <w:sz w:val="28"/>
          <w:szCs w:val="28"/>
          <w:rtl/>
        </w:rPr>
        <w:t xml:space="preserve">آغاز: قال مولانا بدر الاسلام؛ انجام: لنفسه محمد بن اسماعیل غفر له و عفا عنهما</w:t>
      </w:r>
    </w:p>
    <w:p>
      <w:pPr>
        <w:pStyle w:val="BookText"/>
      </w:pPr>
      <w:r>
        <w:rPr>
          <w:rFonts w:ascii="IRNazanin" w:hAnsi="IRNazanin" w:eastAsia="IRNazanin" w:cs="IRNazanin"/>
          <w:lang w:bidi="fa-IR"/>
          <w:color w:val="111111"/>
          <w:sz w:val="28"/>
          <w:szCs w:val="28"/>
          <w:rtl/>
        </w:rPr>
        <w:t xml:space="preserve">خط: نسخ ،تحریری، بی کا، تا: ۱۱۷۹ق [رایانه]</w:t>
      </w:r>
    </w:p>
    <w:p>
      <w:pPr>
        <w:pStyle w:val="BookText"/>
      </w:pPr>
      <w:r>
        <w:rPr>
          <w:rFonts w:ascii="IRNazanin" w:hAnsi="IRNazanin" w:eastAsia="IRNazanin" w:cs="IRNazanin"/>
          <w:lang w:bidi="fa-IR"/>
          <w:color w:val="111111"/>
          <w:sz w:val="28"/>
          <w:szCs w:val="28"/>
          <w:rtl/>
        </w:rPr>
        <w:t xml:space="preserve">۲. مشهد؛ رضوی؛ شماره نسخه: ۲۱۶۳۱</w:t>
      </w:r>
    </w:p>
    <w:p>
      <w:pPr>
        <w:pStyle w:val="BookText"/>
      </w:pPr>
      <w:r>
        <w:rPr>
          <w:rFonts w:ascii="Amiri" w:hAnsi="Amiri" w:eastAsia="Amiri" w:cs="Amiri"/>
          <w:lang w:bidi="ar-SA"/>
          <w:color w:val="111111"/>
          <w:sz w:val="28"/>
          <w:szCs w:val="28"/>
          <w:rtl/>
        </w:rPr>
        <w:t xml:space="preserve">آغاز: بسمله الحمد لله ... و هذه النظم المسمى يقصب الشكر؛</w:t>
      </w:r>
    </w:p>
    <w:p>
      <w:pPr>
        <w:pStyle w:val="BookText"/>
      </w:pPr>
      <w:r>
        <w:rPr>
          <w:rFonts w:ascii="Amiri" w:hAnsi="Amiri" w:eastAsia="Amiri" w:cs="Amiri"/>
          <w:lang w:bidi="ar-SA"/>
          <w:color w:val="111111"/>
          <w:sz w:val="28"/>
          <w:szCs w:val="28"/>
          <w:rtl/>
        </w:rPr>
        <w:t xml:space="preserve">انجام: هذا مستفيض اسما</w:t>
      </w:r>
    </w:p>
    <w:p>
      <w:pPr>
        <w:pStyle w:val="BookText"/>
      </w:pPr>
      <w:r>
        <w:rPr>
          <w:rFonts w:ascii="IRNazanin" w:hAnsi="IRNazanin" w:eastAsia="IRNazanin" w:cs="IRNazanin"/>
          <w:lang w:bidi="fa-IR"/>
          <w:color w:val="111111"/>
          <w:sz w:val="28"/>
          <w:szCs w:val="28"/>
          <w:rtl/>
        </w:rPr>
        <w:t xml:space="preserve">خط: نسخ تحریری، بی کا، تا: ۱۱۷۹ق[ رایانه ]</w:t>
      </w:r>
    </w:p>
    <w:p>
      <w:pPr>
        <w:pStyle w:val="Heading3"/>
      </w:pPr>
      <w:bookmarkStart w:id="944" w:name="_Toc466"/>
      <w:r>
        <w:t>الاسبال لكساء على النساء / گوناگون / عربی</w:t>
      </w:r>
      <w:bookmarkEnd w:id="944"/>
    </w:p>
    <w:p>
      <w:pPr>
        <w:pStyle w:val="BookText"/>
      </w:pPr>
      <w:r>
        <w:rPr>
          <w:rFonts w:ascii="Times New Roman" w:hAnsi="Times New Roman" w:eastAsia="Times New Roman" w:cs="Times New Roman"/>
          <w:lang w:val="en-US" w:bidi="en-US"/>
          <w:color w:val="111111"/>
          <w:sz w:val="28"/>
          <w:szCs w:val="28"/>
          <w:rtl/>
        </w:rPr>
        <w:t xml:space="preserve">al-isbal li-kasā' ‘ala-n nisā'</w:t>
      </w:r>
    </w:p>
    <w:p>
      <w:pPr>
        <w:pStyle w:val="BookText"/>
      </w:pPr>
      <w:r>
        <w:rPr>
          <w:rFonts w:ascii="IRNazanin" w:hAnsi="IRNazanin" w:eastAsia="IRNazanin" w:cs="IRNazanin"/>
          <w:lang w:bidi="fa-IR"/>
          <w:color w:val="111111"/>
          <w:sz w:val="28"/>
          <w:szCs w:val="28"/>
          <w:rtl/>
        </w:rPr>
        <w:t xml:space="preserve">سیوطی، عبدالرحمن بن ابی بکر، ۸۴۹ -۹۱۱ قمری</w:t>
      </w:r>
    </w:p>
    <w:p>
      <w:pPr>
        <w:pStyle w:val="BookText"/>
      </w:pPr>
      <w:r>
        <w:rPr>
          <w:rFonts w:ascii="Times New Roman" w:hAnsi="Times New Roman" w:eastAsia="Times New Roman" w:cs="Times New Roman"/>
          <w:lang w:val="en-US" w:bidi="en-US"/>
          <w:color w:val="111111"/>
          <w:sz w:val="28"/>
          <w:szCs w:val="28"/>
          <w:rtl/>
        </w:rPr>
        <w:t xml:space="preserve">(soyū-tī, 'abd-or-rahman ebn-e abī-bakr (1446 1506)</w:t>
      </w:r>
    </w:p>
    <w:p>
      <w:pPr>
        <w:pStyle w:val="BookText"/>
      </w:pPr>
      <w:r>
        <w:rPr>
          <w:rFonts w:ascii="IRNazanin" w:hAnsi="IRNazanin" w:eastAsia="IRNazanin" w:cs="IRNazanin"/>
          <w:lang w:bidi="fa-IR"/>
          <w:color w:val="111111"/>
          <w:sz w:val="28"/>
          <w:szCs w:val="28"/>
          <w:rtl/>
        </w:rPr>
        <w:t xml:space="preserve">مشهد؛ رضوی؛ شماره نسخه: ۱۸۸۱۵</w:t>
      </w:r>
    </w:p>
    <w:p>
      <w:pPr>
        <w:pStyle w:val="BookText"/>
      </w:pPr>
      <w:r>
        <w:rPr>
          <w:rFonts w:ascii="IRNazanin" w:hAnsi="IRNazanin" w:eastAsia="IRNazanin" w:cs="IRNazanin"/>
          <w:lang w:bidi="fa-IR"/>
          <w:color w:val="111111"/>
          <w:sz w:val="28"/>
          <w:szCs w:val="28"/>
          <w:rtl/>
        </w:rPr>
        <w:t xml:space="preserve">آغاز: بسمله الحمدلله و کفی و سلام على عباده؛ انجام: يكون تفاوت الناس فيه على قدر معرفتهم فى هذه الدار بالجلال و الاعظام ... الى يوم الدين آمين</w:t>
      </w:r>
    </w:p>
    <w:p>
      <w:pPr>
        <w:pStyle w:val="BookText"/>
      </w:pPr>
      <w:r>
        <w:rPr>
          <w:rFonts w:ascii="IRNazanin" w:hAnsi="IRNazanin" w:eastAsia="IRNazanin" w:cs="IRNazanin"/>
          <w:lang w:bidi="fa-IR"/>
          <w:color w:val="111111"/>
          <w:sz w:val="28"/>
          <w:szCs w:val="28"/>
          <w:rtl/>
        </w:rPr>
        <w:t xml:space="preserve">خط: نسخ، کا: غلام حی الدین، تا: قرن ۱۲ [رایانه]</w:t>
      </w:r>
    </w:p>
    <w:p>
      <w:pPr>
        <w:pStyle w:val="Heading3"/>
      </w:pPr>
      <w:bookmarkStart w:id="945" w:name="_Toc467"/>
      <w:r>
        <w:t>اسبان پادشاهی (بیان مجملی از) / متفرقه / فارسی</w:t>
      </w:r>
      <w:bookmarkEnd w:id="945"/>
    </w:p>
    <w:p>
      <w:pPr>
        <w:pStyle w:val="BookText"/>
      </w:pPr>
      <w:r>
        <w:rPr>
          <w:rFonts w:ascii="Times New Roman" w:hAnsi="Times New Roman" w:eastAsia="Times New Roman" w:cs="Times New Roman"/>
          <w:lang w:val="en-US" w:bidi="en-US"/>
          <w:color w:val="111111"/>
          <w:sz w:val="28"/>
          <w:szCs w:val="28"/>
          <w:rtl/>
        </w:rPr>
        <w:t xml:space="preserve">(asbān-e pādešāhī (bayān-e mojmalī az)</w:t>
      </w:r>
    </w:p>
    <w:p>
      <w:pPr>
        <w:pStyle w:val="BookText"/>
      </w:pPr>
      <w:r>
        <w:rPr>
          <w:rFonts w:ascii="IRNazanin" w:hAnsi="IRNazanin" w:eastAsia="IRNazanin" w:cs="IRNazanin"/>
          <w:lang w:bidi="fa-IR"/>
          <w:color w:val="111111"/>
          <w:sz w:val="28"/>
          <w:szCs w:val="28"/>
          <w:rtl/>
        </w:rPr>
        <w:t xml:space="preserve">تهران؛ ملک؛ شماره نسخه: ۴۸۱/۲</w:t>
      </w:r>
    </w:p>
    <w:p>
      <w:pPr>
        <w:pStyle w:val="BookText"/>
      </w:pPr>
      <w:r>
        <w:rPr>
          <w:rFonts w:ascii="IRNazanin" w:hAnsi="IRNazanin" w:eastAsia="IRNazanin" w:cs="IRNazanin"/>
          <w:lang w:bidi="fa-IR"/>
          <w:color w:val="111111"/>
          <w:sz w:val="28"/>
          <w:szCs w:val="28"/>
          <w:rtl/>
        </w:rPr>
        <w:t xml:space="preserve">خط: شکسته نستعلیق ،کا: محمد  مؤمن، تا: ۱۲۱۶ق، جا: قریه رنگ سار گسکر گیلان در منزل حاج ابراهیم وزیر؛ ۴ص، سطور  چلیپا [ف: ۵ - ۳۵]</w:t>
      </w:r>
    </w:p>
    <w:p>
      <w:pPr>
        <w:pStyle w:val="BookText"/>
      </w:pPr>
      <w:r>
        <w:rPr>
          <w:rFonts w:ascii="IRNazanin" w:hAnsi="IRNazanin" w:eastAsia="IRNazanin" w:cs="IRNazanin"/>
          <w:lang w:bidi="fa-IR"/>
          <w:color w:val="111111"/>
          <w:sz w:val="28"/>
          <w:szCs w:val="28"/>
          <w:rtl/>
        </w:rPr>
        <w:t xml:space="preserve">«اسب دوانی » آداب اسب دوانی و تیراندازی</w:t>
      </w:r>
    </w:p>
    <w:p>
      <w:pPr>
        <w:pStyle w:val="BookText"/>
      </w:pPr>
      <w:r>
        <w:rPr>
          <w:rFonts w:ascii="IRNazanin" w:hAnsi="IRNazanin" w:eastAsia="IRNazanin" w:cs="IRNazanin"/>
          <w:lang w:bidi="fa-IR"/>
          <w:color w:val="111111"/>
          <w:sz w:val="28"/>
          <w:szCs w:val="28"/>
          <w:rtl/>
        </w:rPr>
        <w:t xml:space="preserve">«اسب نامه » فرسنامه</w:t>
      </w:r>
    </w:p>
    <w:p>
      <w:pPr>
        <w:pStyle w:val="Heading3"/>
      </w:pPr>
      <w:bookmarkStart w:id="946" w:name="_Toc468"/>
      <w:r>
        <w:t>اسب نامه = فرس نامه / حیوان شناسی / فارسی</w:t>
      </w:r>
      <w:bookmarkEnd w:id="946"/>
    </w:p>
    <w:p>
      <w:pPr>
        <w:pStyle w:val="BookText"/>
      </w:pPr>
      <w:r>
        <w:rPr>
          <w:rFonts w:ascii="Times New Roman" w:hAnsi="Times New Roman" w:eastAsia="Times New Roman" w:cs="Times New Roman"/>
          <w:lang w:val="en-US" w:bidi="en-US"/>
          <w:color w:val="111111"/>
          <w:sz w:val="28"/>
          <w:szCs w:val="28"/>
          <w:rtl/>
        </w:rPr>
        <w:t xml:space="preserve">asb-nāme = faras-nāme</w:t>
      </w:r>
    </w:p>
    <w:p>
      <w:pPr>
        <w:pStyle w:val="BookText"/>
      </w:pPr>
      <w:r>
        <w:rPr>
          <w:rFonts w:ascii="IRNazanin" w:hAnsi="IRNazanin" w:eastAsia="IRNazanin" w:cs="IRNazanin"/>
          <w:lang w:bidi="fa-IR"/>
          <w:color w:val="111111"/>
          <w:sz w:val="28"/>
          <w:szCs w:val="28"/>
          <w:rtl/>
        </w:rPr>
        <w:t xml:space="preserve">دارای عنوان های «باب دوم اندر حرب کردن، سوار و پیاده، آگاه باش که حرب دو گونه است یکی سوار دیگر پیاده ... باب هفدهم اندر شناختن دندان  است، که در آن دندان بود.»</w:t>
      </w:r>
    </w:p>
    <w:p>
      <w:pPr>
        <w:pStyle w:val="BookText"/>
      </w:pPr>
      <w:r>
        <w:rPr>
          <w:rFonts w:ascii="IRNazanin" w:hAnsi="IRNazanin" w:eastAsia="IRNazanin" w:cs="IRNazanin"/>
          <w:lang w:bidi="fa-IR"/>
          <w:color w:val="111111"/>
          <w:sz w:val="28"/>
          <w:szCs w:val="28"/>
          <w:rtl/>
        </w:rPr>
        <w:t xml:space="preserve">تهران؛ دانشگاه؛ شماره نسخه: ۷۸۰۷/۲</w:t>
      </w:r>
    </w:p>
    <w:p>
      <w:pPr>
        <w:pStyle w:val="BookText"/>
      </w:pPr>
      <w:r>
        <w:rPr>
          <w:rFonts w:ascii="IRNazanin" w:hAnsi="IRNazanin" w:eastAsia="IRNazanin" w:cs="IRNazanin"/>
          <w:lang w:bidi="fa-IR"/>
          <w:color w:val="111111"/>
          <w:sz w:val="28"/>
          <w:szCs w:val="28"/>
          <w:rtl/>
        </w:rPr>
        <w:t xml:space="preserve">خط: نستعلیق، بی کا، تا: قرن ۹ ؛کاغذ: سمرقندی، جلد: گالینگور ۱۵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 قطع: ربعی،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۲۴سم [ف : ۱۶ - ۷۰۸]</w:t>
      </w:r>
    </w:p>
    <w:p>
      <w:pPr>
        <w:pStyle w:val="Heading3"/>
      </w:pPr>
      <w:bookmarkStart w:id="947" w:name="_Toc469"/>
      <w:r>
        <w:t>اسب نامه = فرس نامه / حیوان شناسی / فارسی</w:t>
      </w:r>
      <w:bookmarkEnd w:id="947"/>
    </w:p>
    <w:p>
      <w:pPr>
        <w:pStyle w:val="BookText"/>
      </w:pPr>
      <w:r>
        <w:rPr>
          <w:rFonts w:ascii="Times New Roman" w:hAnsi="Times New Roman" w:eastAsia="Times New Roman" w:cs="Times New Roman"/>
          <w:lang w:val="en-US" w:bidi="en-US"/>
          <w:color w:val="111111"/>
          <w:sz w:val="28"/>
          <w:szCs w:val="28"/>
          <w:rtl/>
        </w:rPr>
        <w:t xml:space="preserve">asb-name = faras-name</w:t>
      </w:r>
    </w:p>
    <w:p>
      <w:pPr>
        <w:pStyle w:val="BookText"/>
      </w:pPr>
      <w:r>
        <w:rPr>
          <w:rFonts w:ascii="IRNazanin" w:hAnsi="IRNazanin" w:eastAsia="IRNazanin" w:cs="IRNazanin"/>
          <w:lang w:bidi="fa-IR"/>
          <w:color w:val="111111"/>
          <w:sz w:val="28"/>
          <w:szCs w:val="28"/>
          <w:rtl/>
        </w:rPr>
        <w:t xml:space="preserve">گویا مضمار دانش یا رساله فیض کاشانی با عنوان «در ذکر آنچه  تعلق به هیات اعضا دارد» و می رسد به عنوان «بیان مجملی از اسبان پادشاهی».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36" w:name="pg20365_260172"/>
    <w:bookmarkEnd w:id="136"/>
    <w:p>
      <w:pPr>
        <w:pStyle w:val="BookText"/>
      </w:pPr>
      <w:r>
        <w:rPr>
          <w:rFonts w:ascii="IRNazanin" w:hAnsi="IRNazanin" w:eastAsia="IRNazanin" w:cs="IRNazanin"/>
          <w:lang w:bidi="fa-IR"/>
          <w:color w:val="111111"/>
          <w:sz w:val="28"/>
          <w:szCs w:val="28"/>
          <w:rtl/>
        </w:rPr>
        <w:t xml:space="preserve">تهران؛ ملک؛ شماره نسخه: ۱۷۰۰/۱</w:t>
      </w:r>
    </w:p>
    <w:p>
      <w:pPr>
        <w:pStyle w:val="BookText"/>
      </w:pPr>
      <w:r>
        <w:rPr>
          <w:rFonts w:ascii="IRNazanin" w:hAnsi="IRNazanin" w:eastAsia="IRNazanin" w:cs="IRNazanin"/>
          <w:lang w:bidi="fa-IR"/>
          <w:color w:val="111111"/>
          <w:sz w:val="28"/>
          <w:szCs w:val="28"/>
          <w:rtl/>
        </w:rPr>
        <w:t xml:space="preserve">خط: نستعلیق، بی کا، تا: قرن ۱۳ ؛کاغذ: پسته ای، جلد: میشن قهوه ای ،لایی ۱۴ سطر [ف ۵ - ۳۳۹]</w:t>
      </w:r>
    </w:p>
    <w:p>
      <w:pPr>
        <w:pStyle w:val="Heading3"/>
      </w:pPr>
      <w:bookmarkStart w:id="948" w:name="_Toc470"/>
      <w:r>
        <w:t>اسب نامه / حیوان شناسی / فارسی</w:t>
      </w:r>
      <w:bookmarkEnd w:id="948"/>
    </w:p>
    <w:p>
      <w:pPr>
        <w:pStyle w:val="BookText"/>
      </w:pPr>
      <w:r>
        <w:rPr>
          <w:rFonts w:ascii="Times New Roman" w:hAnsi="Times New Roman" w:eastAsia="Times New Roman" w:cs="Times New Roman"/>
          <w:lang w:val="en-US" w:bidi="en-US"/>
          <w:color w:val="111111"/>
          <w:sz w:val="28"/>
          <w:szCs w:val="28"/>
          <w:rtl/>
        </w:rPr>
        <w:t xml:space="preserve">asb-nāme</w:t>
      </w:r>
    </w:p>
    <w:p>
      <w:pPr>
        <w:pStyle w:val="BookText"/>
      </w:pPr>
      <w:r>
        <w:rPr>
          <w:rFonts w:ascii="IRNazanin" w:hAnsi="IRNazanin" w:eastAsia="IRNazanin" w:cs="IRNazanin"/>
          <w:lang w:bidi="fa-IR"/>
          <w:color w:val="111111"/>
          <w:sz w:val="28"/>
          <w:szCs w:val="28"/>
          <w:rtl/>
        </w:rPr>
        <w:t xml:space="preserve">تهران؛ ملک؛ شماره نسخه: ۱۷۰۰/۲</w:t>
      </w:r>
    </w:p>
    <w:p>
      <w:pPr>
        <w:pStyle w:val="BookText"/>
      </w:pPr>
      <w:r>
        <w:rPr>
          <w:rFonts w:ascii="IRNazanin" w:hAnsi="IRNazanin" w:eastAsia="IRNazanin" w:cs="IRNazanin"/>
          <w:lang w:bidi="fa-IR"/>
          <w:color w:val="111111"/>
          <w:sz w:val="28"/>
          <w:szCs w:val="28"/>
          <w:rtl/>
        </w:rPr>
        <w:t xml:space="preserve">نخستین عنوان «در معالجه علتی که در سر اسب باشد »بازپسین آنها «در معالجه اسبی که ضعیف و پریشان شده باشد»؛ خـط ،نستعلیق بی کا، تا: قرن ۱۳ ؛کاغذ: پسته ای ،جلد: میشن قهوه  ای لایی، ۱۴ سطر [ف: ۵ - ۳۳۹]</w:t>
      </w:r>
    </w:p>
    <w:p>
      <w:pPr>
        <w:pStyle w:val="Heading3"/>
      </w:pPr>
      <w:bookmarkStart w:id="949" w:name="_Toc471"/>
      <w:r>
        <w:t>اسب نامه = فرس نامه / حیوان شناسی / فارسی</w:t>
      </w:r>
      <w:bookmarkEnd w:id="949"/>
    </w:p>
    <w:p>
      <w:pPr>
        <w:pStyle w:val="BookText"/>
      </w:pPr>
      <w:r>
        <w:rPr>
          <w:rFonts w:ascii="Times New Roman" w:hAnsi="Times New Roman" w:eastAsia="Times New Roman" w:cs="Times New Roman"/>
          <w:lang w:val="en-US" w:bidi="en-US"/>
          <w:color w:val="111111"/>
          <w:sz w:val="28"/>
          <w:szCs w:val="28"/>
          <w:rtl/>
        </w:rPr>
        <w:t xml:space="preserve">asb-nāme = faras-nāme</w:t>
      </w:r>
    </w:p>
    <w:p>
      <w:pPr>
        <w:pStyle w:val="BookText"/>
      </w:pPr>
      <w:r>
        <w:rPr>
          <w:rFonts w:ascii="IRNazanin" w:hAnsi="IRNazanin" w:eastAsia="IRNazanin" w:cs="IRNazanin"/>
          <w:lang w:bidi="fa-IR"/>
          <w:color w:val="111111"/>
          <w:sz w:val="28"/>
          <w:szCs w:val="28"/>
          <w:rtl/>
        </w:rPr>
        <w:t xml:space="preserve">غیر همانند:</w:t>
      </w:r>
    </w:p>
    <w:p>
      <w:pPr>
        <w:pStyle w:val="BookText"/>
      </w:pPr>
      <w:r>
        <w:rPr>
          <w:rFonts w:ascii="IRNazanin" w:hAnsi="IRNazanin" w:eastAsia="IRNazanin" w:cs="IRNazanin"/>
          <w:lang w:bidi="fa-IR"/>
          <w:color w:val="111111"/>
          <w:sz w:val="28"/>
          <w:szCs w:val="28"/>
          <w:rtl/>
        </w:rPr>
        <w:t xml:space="preserve">1.تهران؛ سادات  ناصری، حسن؛ شماره نسخه: ۲۴۲</w:t>
      </w:r>
    </w:p>
    <w:p>
      <w:pPr>
        <w:pStyle w:val="BookText"/>
      </w:pPr>
      <w:r>
        <w:rPr>
          <w:rFonts w:ascii="IRNazanin" w:hAnsi="IRNazanin" w:eastAsia="IRNazanin" w:cs="IRNazanin"/>
          <w:lang w:bidi="fa-IR"/>
          <w:color w:val="111111"/>
          <w:sz w:val="28"/>
          <w:szCs w:val="28"/>
          <w:rtl/>
        </w:rPr>
        <w:t xml:space="preserve">در دو بخش چهل «باب» و شصت «باب»؛ خط: نستعلیق، بی کا، تا: قرن ۱۳؛ قطع : ربعی [ نشریه: ۶ - ۶۹۶]</w:t>
      </w:r>
    </w:p>
    <w:p>
      <w:pPr>
        <w:pStyle w:val="BookText"/>
      </w:pPr>
      <w:r>
        <w:rPr>
          <w:rFonts w:ascii="IRNazanin" w:hAnsi="IRNazanin" w:eastAsia="IRNazanin" w:cs="IRNazanin"/>
          <w:lang w:bidi="fa-IR"/>
          <w:color w:val="111111"/>
          <w:sz w:val="28"/>
          <w:szCs w:val="28"/>
          <w:rtl/>
        </w:rPr>
        <w:t xml:space="preserve">۲. تهران؛ دانشگاه؛ شماره نسخه: ۹۷۲۰/۲</w:t>
      </w:r>
    </w:p>
    <w:p>
      <w:pPr>
        <w:pStyle w:val="BookText"/>
      </w:pPr>
      <w:r>
        <w:rPr>
          <w:rFonts w:ascii="IRNazanin" w:hAnsi="IRNazanin" w:eastAsia="IRNazanin" w:cs="IRNazanin"/>
          <w:lang w:bidi="fa-IR"/>
          <w:color w:val="111111"/>
          <w:sz w:val="28"/>
          <w:szCs w:val="28"/>
          <w:rtl/>
        </w:rPr>
        <w:t xml:space="preserve">در درمان بیماری های اسبان (ص ۱۳۲ تا پایان) با عنوان «بـاب فصل سیوم در بیان کرکری که هشت قسم باشد»؛ خط: نستعلیق، کا: غلام  حسین، تا: ۵ ربیع الاول ۱۲۰۲ق؛ کاغذ: هندی، جـلد: تازه  مقوایی، ۶۳ ص (۱۳-۱۹۵)، ۱۱ سطر (۹/۵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 قـطع: ربعی، اندازه: ۱۵</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۲۴سم [ ف : ۱۷ - ۴۶۴  ]</w:t>
      </w:r>
    </w:p>
    <w:p>
      <w:pPr>
        <w:pStyle w:val="BookText"/>
      </w:pPr>
      <w:r>
        <w:rPr>
          <w:rFonts w:ascii="IRNazanin" w:hAnsi="IRNazanin" w:eastAsia="IRNazanin" w:cs="IRNazanin"/>
          <w:lang w:bidi="fa-IR"/>
          <w:color w:val="111111"/>
          <w:sz w:val="28"/>
          <w:szCs w:val="28"/>
          <w:rtl/>
        </w:rPr>
        <w:t xml:space="preserve">3.تهران؛ ملک؛ شماره نسخه: ۲۸۳۱/۳</w:t>
      </w:r>
    </w:p>
    <w:p>
      <w:pPr>
        <w:pStyle w:val="BookText"/>
      </w:pPr>
      <w:r>
        <w:rPr>
          <w:rFonts w:ascii="IRNazanin" w:hAnsi="IRNazanin" w:eastAsia="IRNazanin" w:cs="IRNazanin"/>
          <w:lang w:bidi="fa-IR"/>
          <w:color w:val="111111"/>
          <w:sz w:val="28"/>
          <w:szCs w:val="28"/>
          <w:rtl/>
        </w:rPr>
        <w:t xml:space="preserve">آغاز: وحشی دستها و پاها جهت ریختن موی که از گری ریخته باشد و ضعیف قوایم در جهت باگران و جراحت سم و خرسالان دورک است ؛انجام: و دعای خیر برای نصف بکند که هر  دو بفیض رسیده باشد</w:t>
      </w:r>
    </w:p>
    <w:p>
      <w:pPr>
        <w:pStyle w:val="BookText"/>
      </w:pPr>
      <w:r>
        <w:rPr>
          <w:rFonts w:ascii="IRNazanin" w:hAnsi="IRNazanin" w:eastAsia="IRNazanin" w:cs="IRNazanin"/>
          <w:lang w:bidi="fa-IR"/>
          <w:color w:val="111111"/>
          <w:sz w:val="28"/>
          <w:szCs w:val="28"/>
          <w:rtl/>
        </w:rPr>
        <w:t xml:space="preserve">در درمان و نگاهداری اسب؛ خط: شکسته نستعلیق، بی کا، تا:15 شعبان ۱۲۵۶ق ؛افتادگی: آغاز؛ کاغذ: پسته ای ،جلد: میشن لایی سیاه، ۳۶گ (47ر-۸۲ر)، ۱۶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۶  - 130]</w:t>
      </w:r>
    </w:p>
    <w:p>
      <w:pPr>
        <w:pStyle w:val="Heading3"/>
      </w:pPr>
      <w:bookmarkStart w:id="950" w:name="_Toc472"/>
      <w:r>
        <w:t>اسب نامه (منظوم) / شعر، حیوان شناسی /فارسی</w:t>
      </w:r>
      <w:bookmarkEnd w:id="950"/>
    </w:p>
    <w:p>
      <w:pPr>
        <w:pStyle w:val="BookText"/>
      </w:pPr>
      <w:r>
        <w:rPr>
          <w:rFonts w:ascii="Times New Roman" w:hAnsi="Times New Roman" w:eastAsia="Times New Roman" w:cs="Times New Roman"/>
          <w:lang w:val="en-US" w:bidi="en-US"/>
          <w:color w:val="111111"/>
          <w:sz w:val="28"/>
          <w:szCs w:val="28"/>
          <w:rtl/>
        </w:rPr>
        <w:t xml:space="preserve">(asb-nāme (manzūm)</w:t>
      </w:r>
    </w:p>
    <w:p>
      <w:pPr>
        <w:pStyle w:val="BookText"/>
      </w:pPr>
      <w:r>
        <w:rPr>
          <w:rFonts w:ascii="IRNazanin" w:hAnsi="IRNazanin" w:eastAsia="IRNazanin" w:cs="IRNazanin"/>
          <w:lang w:bidi="fa-IR"/>
          <w:color w:val="111111"/>
          <w:sz w:val="28"/>
          <w:szCs w:val="28"/>
          <w:rtl/>
        </w:rPr>
        <w:t xml:space="preserve">منظومه در درمان بیماریهای اسبان با عنوانهایی مانند در بـیان معالجه شاش بند فرس: شود اگر شاش بند اسب تو هشدار*** علاجش زودتر از در میان آر / نشاسته با عسل هم وزن باید*** به آب انداز چون شربت نماید/ میان آفتابه پس فرو ریز *** به اندر زمان در حلق شبدیز / علاج دیگر آنکه آسان تر نمایم*** گره از مشکل تو بر گشایم / تو شیره پوست گندم را فرو کـش  ***بریز آنگه میان شیره خوش</w:t>
      </w:r>
    </w:p>
    <w:p>
      <w:pPr>
        <w:pStyle w:val="BookText"/>
      </w:pPr>
      <w:r>
        <w:rPr>
          <w:rFonts w:ascii="IRNazanin" w:hAnsi="IRNazanin" w:eastAsia="IRNazanin" w:cs="IRNazanin"/>
          <w:lang w:bidi="fa-IR"/>
          <w:color w:val="111111"/>
          <w:sz w:val="28"/>
          <w:szCs w:val="28"/>
          <w:rtl/>
        </w:rPr>
        <w:t xml:space="preserve">آغاز: در بیان معالجه قراقوش فرس قراقوش آنکه در بالای زانو  *** براید استخوانی ای نکو خو</w:t>
      </w:r>
    </w:p>
    <w:p>
      <w:pPr>
        <w:pStyle w:val="BookText"/>
      </w:pPr>
      <w:r>
        <w:rPr>
          <w:rFonts w:ascii="IRNazanin" w:hAnsi="IRNazanin" w:eastAsia="IRNazanin" w:cs="IRNazanin"/>
          <w:lang w:bidi="fa-IR"/>
          <w:color w:val="111111"/>
          <w:sz w:val="28"/>
          <w:szCs w:val="28"/>
          <w:rtl/>
        </w:rPr>
        <w:t xml:space="preserve">[فهرستواره منزوی ۱۳۸/۱۰]</w:t>
      </w:r>
    </w:p>
    <w:p>
      <w:pPr>
        <w:pStyle w:val="BookText"/>
      </w:pPr>
      <w:r>
        <w:rPr>
          <w:rFonts w:ascii="IRNazanin" w:hAnsi="IRNazanin" w:eastAsia="IRNazanin" w:cs="IRNazanin"/>
          <w:lang w:bidi="fa-IR"/>
          <w:color w:val="111111"/>
          <w:sz w:val="28"/>
          <w:szCs w:val="28"/>
          <w:rtl/>
        </w:rPr>
        <w:t xml:space="preserve">رشت؛ جمعیت نشر فرهنگ؛ شماره نسخه: ۵۶۳۱/۲</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کا: استاد فرج الله بناء  قزوینی، تا: ۱۳۰۲ق؛ مجدول؛ جلد: مقوا، اندازه متن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رشت و همدان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 ۱۲۲۱]</w:t>
      </w:r>
    </w:p>
    <w:p>
      <w:pPr>
        <w:pStyle w:val="BookText"/>
      </w:pPr>
      <w:r>
        <w:rPr>
          <w:rFonts w:ascii="IRNazanin" w:hAnsi="IRNazanin" w:eastAsia="IRNazanin" w:cs="IRNazanin"/>
          <w:lang w:bidi="fa-IR"/>
          <w:color w:val="111111"/>
          <w:sz w:val="28"/>
          <w:szCs w:val="28"/>
          <w:rtl/>
        </w:rPr>
        <w:t xml:space="preserve">«اسب نامه هندی - فرسنامه</w:t>
      </w:r>
    </w:p>
    <w:p>
      <w:pPr>
        <w:pStyle w:val="Heading3"/>
      </w:pPr>
      <w:bookmarkStart w:id="951" w:name="_Toc473"/>
      <w:r>
        <w:t>اسب نامه هندی / حیوان شناسی / فارسی</w:t>
      </w:r>
      <w:bookmarkEnd w:id="951"/>
    </w:p>
    <w:p>
      <w:pPr>
        <w:pStyle w:val="BookText"/>
      </w:pPr>
      <w:r>
        <w:rPr>
          <w:rFonts w:ascii="Times New Roman" w:hAnsi="Times New Roman" w:eastAsia="Times New Roman" w:cs="Times New Roman"/>
          <w:lang w:val="en-US" w:bidi="en-US"/>
          <w:color w:val="111111"/>
          <w:sz w:val="28"/>
          <w:szCs w:val="28"/>
          <w:rtl/>
        </w:rPr>
        <w:t xml:space="preserve">asb name-ye hendi</w:t>
      </w:r>
    </w:p>
    <w:p>
      <w:pPr>
        <w:pStyle w:val="BookText"/>
      </w:pPr>
      <w:r>
        <w:rPr>
          <w:rFonts w:ascii="IRNazanin" w:hAnsi="IRNazanin" w:eastAsia="IRNazanin" w:cs="IRNazanin"/>
          <w:lang w:bidi="fa-IR"/>
          <w:color w:val="111111"/>
          <w:sz w:val="28"/>
          <w:szCs w:val="28"/>
          <w:rtl/>
        </w:rPr>
        <w:t xml:space="preserve">تهران؛ دانشگاه؛ شماره نسخه: ۹۷۸۸/۲</w:t>
      </w:r>
    </w:p>
    <w:p>
      <w:pPr>
        <w:pStyle w:val="BookText"/>
      </w:pPr>
      <w:r>
        <w:rPr>
          <w:rFonts w:ascii="IRNazanin" w:hAnsi="IRNazanin" w:eastAsia="IRNazanin" w:cs="IRNazanin"/>
          <w:lang w:bidi="fa-IR"/>
          <w:color w:val="111111"/>
          <w:sz w:val="28"/>
          <w:szCs w:val="28"/>
          <w:rtl/>
        </w:rPr>
        <w:t xml:space="preserve">اسب نامه هندی به فارسی و اردو بدین گونه «اول ناسارت دل ... آنکهه درست هولی» ؛خط: نستعلیق، بی کا، تا: قرن ۱۳؛ کاغذ: هندی، جلد: مقوا، ۱۲گ (۶۷ر -۷۸پ)، ۱۰ سطر (۷/۵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قطع: ربعی،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 ۱۷ - ۴۸۳]</w:t>
      </w:r>
    </w:p>
    <w:p>
      <w:pPr>
        <w:pStyle w:val="Heading3"/>
      </w:pPr>
      <w:bookmarkStart w:id="952" w:name="_Toc474"/>
      <w:r>
        <w:t>اسب و انواع آن / حیوان شناسی / فارسی</w:t>
      </w:r>
      <w:bookmarkEnd w:id="952"/>
    </w:p>
    <w:p>
      <w:pPr>
        <w:pStyle w:val="BookText"/>
      </w:pPr>
      <w:r>
        <w:rPr>
          <w:rFonts w:ascii="Times New Roman" w:hAnsi="Times New Roman" w:eastAsia="Times New Roman" w:cs="Times New Roman"/>
          <w:lang w:val="en-US" w:bidi="en-US"/>
          <w:color w:val="111111"/>
          <w:sz w:val="28"/>
          <w:szCs w:val="28"/>
          <w:rtl/>
        </w:rPr>
        <w:t xml:space="preserve">asb va anvā ̊-e an</w:t>
      </w:r>
    </w:p>
    <w:p>
      <w:pPr>
        <w:pStyle w:val="BookText"/>
      </w:pPr>
      <w:r>
        <w:rPr>
          <w:rFonts w:ascii="IRNazanin" w:hAnsi="IRNazanin" w:eastAsia="IRNazanin" w:cs="IRNazanin"/>
          <w:lang w:bidi="fa-IR"/>
          <w:color w:val="111111"/>
          <w:sz w:val="28"/>
          <w:szCs w:val="28"/>
          <w:rtl/>
        </w:rPr>
        <w:t xml:space="preserve">کاشان ،عاطفی، حسن؛ شماره نسخه: بدون شماره/ ۳</w:t>
      </w:r>
    </w:p>
    <w:p>
      <w:pPr>
        <w:pStyle w:val="BookText"/>
      </w:pPr>
      <w:r>
        <w:rPr>
          <w:rFonts w:ascii="IRNazanin" w:hAnsi="IRNazanin" w:eastAsia="IRNazanin" w:cs="IRNazanin"/>
          <w:lang w:bidi="fa-IR"/>
          <w:color w:val="111111"/>
          <w:sz w:val="28"/>
          <w:szCs w:val="28"/>
          <w:rtl/>
        </w:rPr>
        <w:t xml:space="preserve">اسب دوانی و داستانهای مربوط به اسب در ۱۵ «باب» قسمت دوم این رساله در معالجات اسب و در این نسخه ۸ باب است. دو باب از مقدمه رساله افتاده است؛ خط: نستعلیق، بی کا، تا: قرن ۱۲؛ :کاغذ ،فرنگی ،جلد: چرمی قهوه ای ،نرم،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 نشریه:</w:t>
      </w:r>
    </w:p>
    <w:p>
      <w:pPr>
        <w:pStyle w:val="BookText"/>
      </w:pPr>
      <w:r>
        <w:rPr>
          <w:rFonts w:ascii="Times New Roman" w:hAnsi="Times New Roman" w:eastAsia="Times New Roman" w:cs="Times New Roman"/>
          <w:lang w:val="en-US" w:bidi="en-US"/>
          <w:color w:val="111111"/>
          <w:sz w:val="28"/>
          <w:szCs w:val="28"/>
          <w:rtl/>
        </w:rPr>
        <w:t xml:space="preserve">7- 751]</w:t>
      </w:r>
    </w:p>
    <w:p>
      <w:pPr>
        <w:pStyle w:val="Heading3"/>
      </w:pPr>
      <w:bookmarkStart w:id="953" w:name="_Toc475"/>
      <w:r>
        <w:t>الاسبوعية فى الاعمال الخيرية / دعا / فارسى</w:t>
      </w:r>
      <w:bookmarkEnd w:id="953"/>
    </w:p>
    <w:p>
      <w:pPr>
        <w:pStyle w:val="BookText"/>
      </w:pPr>
      <w:r>
        <w:rPr>
          <w:rFonts w:ascii="Times New Roman" w:hAnsi="Times New Roman" w:eastAsia="Times New Roman" w:cs="Times New Roman"/>
          <w:lang w:val="en-US" w:bidi="en-US"/>
          <w:color w:val="111111"/>
          <w:sz w:val="28"/>
          <w:szCs w:val="28"/>
          <w:rtl/>
        </w:rPr>
        <w:t xml:space="preserve">al-osbū'īye fi a'mal-el-xeyriye</w:t>
      </w:r>
    </w:p>
    <w:p>
      <w:pPr>
        <w:pStyle w:val="BookText"/>
      </w:pPr>
      <w:r>
        <w:rPr>
          <w:rFonts w:ascii="IRNazanin" w:hAnsi="IRNazanin" w:eastAsia="IRNazanin" w:cs="IRNazanin"/>
          <w:lang w:bidi="fa-IR"/>
          <w:color w:val="111111"/>
          <w:sz w:val="28"/>
          <w:szCs w:val="28"/>
          <w:rtl/>
        </w:rPr>
        <w:t xml:space="preserve">نوری ،فشارکی، محمد علی بن زین العابدین، ق ۱۴ قمری</w:t>
      </w:r>
    </w:p>
    <w:p>
      <w:pPr>
        <w:pStyle w:val="BookText"/>
      </w:pPr>
      <w:r>
        <w:rPr>
          <w:rFonts w:ascii="Times New Roman" w:hAnsi="Times New Roman" w:eastAsia="Times New Roman" w:cs="Times New Roman"/>
          <w:lang w:val="en-US" w:bidi="en-US"/>
          <w:color w:val="111111"/>
          <w:sz w:val="28"/>
          <w:szCs w:val="28"/>
          <w:rtl/>
        </w:rPr>
        <w:t xml:space="preserve">)nūrī fešārakī, mohammad ‘alī ebn-e ziyn-ol-‘ābedīn (-20)</w:t>
      </w:r>
    </w:p>
    <w:p>
      <w:pPr>
        <w:pStyle w:val="BookText"/>
      </w:pPr>
      <w:r>
        <w:rPr>
          <w:rFonts w:ascii="IRNazanin" w:hAnsi="IRNazanin" w:eastAsia="IRNazanin" w:cs="IRNazanin"/>
          <w:lang w:bidi="fa-IR"/>
          <w:color w:val="111111"/>
          <w:sz w:val="28"/>
          <w:szCs w:val="28"/>
          <w:rtl/>
        </w:rPr>
        <w:t xml:space="preserve">در شب جمعه ربیع الاول ۱۳۳۵ به مؤلف الهام شد که کتابی اعمال و اذکار و ادعیه بنویسد و او این کتاب را در یک مقدمه و ۷ «فصل» و یک «خاتمه» نوشته است: مقدمه در فضل دعا و ترغیب به زهد و تقوی و هر فصل برای ادعیه روزهای  هفته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37" w:name="pg20365_260173"/>
    <w:bookmarkEnd w:id="137"/>
    <w:p>
      <w:pPr>
        <w:pStyle w:val="BookText"/>
      </w:pPr>
      <w:r>
        <w:rPr>
          <w:rFonts w:ascii="IRNazanin" w:hAnsi="IRNazanin" w:eastAsia="IRNazanin" w:cs="IRNazanin"/>
          <w:lang w:bidi="fa-IR"/>
          <w:color w:val="111111"/>
          <w:sz w:val="28"/>
          <w:szCs w:val="28"/>
          <w:rtl/>
        </w:rPr>
        <w:t xml:space="preserve">قم؛ گلپایگانی؛ شماره نسخه: 5و 1596- 146/ 9</w:t>
      </w:r>
    </w:p>
    <w:p>
      <w:pPr>
        <w:pStyle w:val="BookText"/>
      </w:pPr>
      <w:r>
        <w:rPr>
          <w:rFonts w:ascii="IRNazanin" w:hAnsi="IRNazanin" w:eastAsia="IRNazanin" w:cs="IRNazanin"/>
          <w:lang w:bidi="fa-IR"/>
          <w:color w:val="111111"/>
          <w:sz w:val="28"/>
          <w:szCs w:val="28"/>
          <w:rtl/>
        </w:rPr>
        <w:t xml:space="preserve">آغاز: نحمده على توفر آلائه و نشكره على توارد نعمائه...و بعد چنین گوید تراب اقدام مؤمنین طلبه قليل البضاعة كثير الرجاء . محمد على بن العالم الفاضل المحقق؛ انجام: پس آهسته می گویی اعوذبالله من الشيطان الرجيم آنگاه مشغول قرائت حمد و سوره می شوید</w:t>
      </w:r>
    </w:p>
    <w:p>
      <w:pPr>
        <w:pStyle w:val="BookText"/>
      </w:pPr>
      <w:r>
        <w:rPr>
          <w:rFonts w:ascii="IRNazanin" w:hAnsi="IRNazanin" w:eastAsia="IRNazanin" w:cs="IRNazanin"/>
          <w:lang w:bidi="fa-IR"/>
          <w:color w:val="111111"/>
          <w:sz w:val="28"/>
          <w:szCs w:val="28"/>
          <w:rtl/>
        </w:rPr>
        <w:t xml:space="preserve">فقط مقدمه و فصل اول درج شده است. در میان نسخه دو صفحه ـ از این رساله درج شده (برگ ۵۸ روپ) و پس از آن در اواخر نسخه از آغاز تا بخشی از فصل اول درج شده است؛ خـط:   نستعليق، كاتب - مؤلف، تا: قرن ۱۴؛ متن خط خوردگی دارد،در پایان ابیاتی به فارسی در مناجات و جدولی در طلسم و مطالب متفرقه درج شده است؛ جلد: مقوای نارنجی عطف پارچه طوسی، 9گ، ۱۸ 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۱ - ۳۲۶]</w:t>
      </w:r>
    </w:p>
    <w:p>
      <w:pPr>
        <w:pStyle w:val="Heading3"/>
      </w:pPr>
      <w:bookmarkStart w:id="954" w:name="_Toc476"/>
      <w:r>
        <w:t>استاد افضل مهابادی / تراجم / فارسی</w:t>
      </w:r>
      <w:bookmarkEnd w:id="954"/>
    </w:p>
    <w:p>
      <w:pPr>
        <w:pStyle w:val="BookText"/>
      </w:pPr>
      <w:r>
        <w:rPr>
          <w:rFonts w:ascii="Times New Roman" w:hAnsi="Times New Roman" w:eastAsia="Times New Roman" w:cs="Times New Roman"/>
          <w:lang w:val="en-US" w:bidi="en-US"/>
          <w:color w:val="111111"/>
          <w:sz w:val="28"/>
          <w:szCs w:val="28"/>
          <w:rtl/>
        </w:rPr>
        <w:t xml:space="preserve">ostād afzal-e mahābādī</w:t>
      </w:r>
    </w:p>
    <w:p>
      <w:pPr>
        <w:pStyle w:val="BookText"/>
      </w:pPr>
      <w:r>
        <w:rPr>
          <w:rFonts w:ascii="IRNazanin" w:hAnsi="IRNazanin" w:eastAsia="IRNazanin" w:cs="IRNazanin"/>
          <w:lang w:bidi="fa-IR"/>
          <w:color w:val="111111"/>
          <w:sz w:val="28"/>
          <w:szCs w:val="28"/>
          <w:rtl/>
        </w:rPr>
        <w:t xml:space="preserve">شفیعی اردستانی، مرتضی بن احمد، ق۱۴ شمسی</w:t>
      </w:r>
    </w:p>
    <w:p>
      <w:pPr>
        <w:pStyle w:val="BookText"/>
      </w:pPr>
      <w:r>
        <w:rPr>
          <w:rFonts w:ascii="Times New Roman" w:hAnsi="Times New Roman" w:eastAsia="Times New Roman" w:cs="Times New Roman"/>
          <w:lang w:val="en-US" w:bidi="en-US"/>
          <w:color w:val="111111"/>
          <w:sz w:val="28"/>
          <w:szCs w:val="28"/>
          <w:rtl/>
        </w:rPr>
        <w:t xml:space="preserve">(šafī‘ī ardestānī, morteza ebn-e ahmad (- 20c)</w:t>
      </w:r>
    </w:p>
    <w:p>
      <w:pPr>
        <w:pStyle w:val="BookText"/>
      </w:pPr>
      <w:r>
        <w:rPr>
          <w:rFonts w:ascii="IRNazanin" w:hAnsi="IRNazanin" w:eastAsia="IRNazanin" w:cs="IRNazanin"/>
          <w:lang w:bidi="fa-IR"/>
          <w:color w:val="111111"/>
          <w:sz w:val="28"/>
          <w:szCs w:val="28"/>
          <w:rtl/>
        </w:rPr>
        <w:t xml:space="preserve">تاریخ تألیف: اول اسفند ۱۳۸۳ش؛ محل تأليف: تهران</w:t>
      </w:r>
    </w:p>
    <w:p>
      <w:pPr>
        <w:pStyle w:val="BookText"/>
      </w:pPr>
      <w:r>
        <w:rPr>
          <w:rFonts w:ascii="IRNazanin" w:hAnsi="IRNazanin" w:eastAsia="IRNazanin" w:cs="IRNazanin"/>
          <w:lang w:bidi="fa-IR"/>
          <w:color w:val="111111"/>
          <w:sz w:val="28"/>
          <w:szCs w:val="28"/>
          <w:rtl/>
        </w:rPr>
        <w:t xml:space="preserve">رساله کوتاهی است در شرح حال حسن بن على بن احـمد مهابادی اردستانی معروف به افضل و افضل الدین (- ۸۵۸ ق)که از عالمان، فقیهان و محدثان بزرگ شیعه بوده است.</w:t>
      </w:r>
    </w:p>
    <w:p>
      <w:pPr>
        <w:pStyle w:val="BookText"/>
      </w:pPr>
      <w:r>
        <w:rPr>
          <w:rFonts w:ascii="IRNazanin" w:hAnsi="IRNazanin" w:eastAsia="IRNazanin" w:cs="IRNazanin"/>
          <w:lang w:bidi="fa-IR"/>
          <w:color w:val="111111"/>
          <w:sz w:val="28"/>
          <w:szCs w:val="28"/>
          <w:rtl/>
        </w:rPr>
        <w:t xml:space="preserve">قم؛ مرعشی ؛شماره نسخه: ۱۵۲۹۰/۱۸</w:t>
      </w:r>
    </w:p>
    <w:p>
      <w:pPr>
        <w:pStyle w:val="BookText"/>
      </w:pPr>
      <w:r>
        <w:rPr>
          <w:rFonts w:ascii="IRNazanin" w:hAnsi="IRNazanin" w:eastAsia="IRNazanin" w:cs="IRNazanin"/>
          <w:lang w:bidi="fa-IR"/>
          <w:color w:val="111111"/>
          <w:sz w:val="28"/>
          <w:szCs w:val="28"/>
          <w:rtl/>
        </w:rPr>
        <w:t xml:space="preserve">آغاز: استاد فاضل و شهیر حسن بن علی بن احمد بن على ملقـب به افضل الدین و معروف به افضل مهابادی از مشاهیر علـماء حدیث و از فقهای شیعه و مدرسان بزرگ در قرن ششم هجـری قمری است ؛انجام: وی پس از عمری تلاش در تحصیل عـلم، تألیف و تدریس به سال ۵۸۵ هجری قمری در گذشته است. آرد چو او مادر روزگار.</w:t>
      </w:r>
    </w:p>
    <w:p>
      <w:pPr>
        <w:pStyle w:val="BookText"/>
      </w:pPr>
      <w:r>
        <w:rPr>
          <w:rFonts w:ascii="IRNazanin" w:hAnsi="IRNazanin" w:eastAsia="IRNazanin" w:cs="IRNazanin"/>
          <w:lang w:bidi="fa-IR"/>
          <w:color w:val="111111"/>
          <w:sz w:val="28"/>
          <w:szCs w:val="28"/>
          <w:rtl/>
        </w:rPr>
        <w:t xml:space="preserve">خط: نستعليق، كاتب- مؤلف ، تا: ۱۳۸۳ق؛ ترقیمه: تهران کوی نـصر ... مرتضی شفیعی اردستانی، ۱۳۸۳/۱۲/۱ شمسی، مجدول؛ کاغذ: جدید، ۲گ (۹۸-۹۹) ۱۹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۲۸سم [ف: ۳۸ - 821]</w:t>
      </w:r>
    </w:p>
    <w:p>
      <w:pPr>
        <w:pStyle w:val="Heading3"/>
      </w:pPr>
      <w:bookmarkStart w:id="955" w:name="_Toc477"/>
      <w:r>
        <w:t>استاد سلمانی / آداب و سنن / ترکی</w:t>
      </w:r>
      <w:bookmarkEnd w:id="955"/>
    </w:p>
    <w:p>
      <w:pPr>
        <w:pStyle w:val="BookText"/>
      </w:pPr>
      <w:r>
        <w:rPr>
          <w:rFonts w:ascii="Times New Roman" w:hAnsi="Times New Roman" w:eastAsia="Times New Roman" w:cs="Times New Roman"/>
          <w:lang w:val="en-US" w:bidi="en-US"/>
          <w:color w:val="111111"/>
          <w:sz w:val="28"/>
          <w:szCs w:val="28"/>
          <w:rtl/>
        </w:rPr>
        <w:t xml:space="preserve">ostād-e salmānī</w:t>
      </w:r>
    </w:p>
    <w:p>
      <w:pPr>
        <w:pStyle w:val="BookText"/>
      </w:pPr>
      <w:r>
        <w:rPr>
          <w:rFonts w:ascii="IRNazanin" w:hAnsi="IRNazanin" w:eastAsia="IRNazanin" w:cs="IRNazanin"/>
          <w:lang w:bidi="fa-IR"/>
          <w:color w:val="111111"/>
          <w:sz w:val="28"/>
          <w:szCs w:val="28"/>
          <w:rtl/>
        </w:rPr>
        <w:t xml:space="preserve">رساله مختصری در کیفیت و آداب سر تراشي (حلق رأس) كه به صورت پرسش و پاسخ و با عنوان های «اگر سؤال اولونسه -  جواب بودر» نگارش یافته است.</w:t>
      </w:r>
    </w:p>
    <w:p>
      <w:pPr>
        <w:pStyle w:val="BookText"/>
      </w:pPr>
      <w:r>
        <w:rPr>
          <w:rFonts w:ascii="IRNazanin" w:hAnsi="IRNazanin" w:eastAsia="IRNazanin" w:cs="IRNazanin"/>
          <w:lang w:bidi="fa-IR"/>
          <w:color w:val="111111"/>
          <w:sz w:val="28"/>
          <w:szCs w:val="28"/>
          <w:rtl/>
        </w:rPr>
        <w:t xml:space="preserve">قم؛ مرعشی؛ شماره نسخه: ۱۱۹۸۸/۱۰</w:t>
      </w:r>
    </w:p>
    <w:p>
      <w:pPr>
        <w:pStyle w:val="BookText"/>
      </w:pPr>
      <w:r>
        <w:rPr>
          <w:rFonts w:ascii="IRNazanin" w:hAnsi="IRNazanin" w:eastAsia="IRNazanin" w:cs="IRNazanin"/>
          <w:lang w:bidi="fa-IR"/>
          <w:color w:val="111111"/>
          <w:sz w:val="28"/>
          <w:szCs w:val="28"/>
          <w:rtl/>
        </w:rPr>
        <w:t xml:space="preserve">آغاز: الحمد لله رب العالمین ... اما بعد اگر سؤال اولونسه اولگـوج ندن خلق اولدی، جواب اولدر که آدم پیغمبرنک قندلندن خـلق  اولدی دنیای احاطه ایلمشدر ؛انجام: یا سلمان حضرتنک حدیثی یلان ایمش که من نه کماله و نه زواله يتشرم اولدمده سلمان پک اول جهودنک بوغازی ...</w:t>
      </w:r>
    </w:p>
    <w:p>
      <w:pPr>
        <w:pStyle w:val="BookText"/>
      </w:pPr>
      <w:r>
        <w:rPr>
          <w:rFonts w:ascii="IRNazanin" w:hAnsi="IRNazanin" w:eastAsia="IRNazanin" w:cs="IRNazanin"/>
          <w:lang w:bidi="fa-IR"/>
          <w:color w:val="111111"/>
          <w:sz w:val="28"/>
          <w:szCs w:val="28"/>
          <w:rtl/>
        </w:rPr>
        <w:t xml:space="preserve">خط: نستعلیق  ترک ،کا: یوسف فرزند ملا  کریم، تا: ۱۱۶۶ق، جا: روستای اخی صوفیلوی پادار (ترکیه)؛ افتادگی: انجام؛ مصحح، ،محشی در انجام در برگ های ۵۹-۶۰ فوائدی در گونه های استخارات و مطالب مخصر فقهی و برخی احادیث به چشم می خورد ؛کاغذ: فرنگی ،نخودی ۲گ (۵۷ و ۵۸)، ۱۵ سطر، اندازه: 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۳۰ - ۳۱۹]</w:t>
      </w:r>
    </w:p>
    <w:p>
      <w:pPr>
        <w:pStyle w:val="Heading3"/>
      </w:pPr>
      <w:bookmarkStart w:id="956" w:name="_Toc478"/>
      <w:r>
        <w:t>استاد مجید وکیل مجلس انتخاب میکند / فارسی</w:t>
      </w:r>
      <w:bookmarkEnd w:id="956"/>
    </w:p>
    <w:p>
      <w:pPr>
        <w:pStyle w:val="BookText"/>
      </w:pPr>
      <w:r>
        <w:rPr>
          <w:rFonts w:ascii="Times New Roman" w:hAnsi="Times New Roman" w:eastAsia="Times New Roman" w:cs="Times New Roman"/>
          <w:lang w:val="en-US" w:bidi="en-US"/>
          <w:color w:val="111111"/>
          <w:sz w:val="28"/>
          <w:szCs w:val="28"/>
          <w:rtl/>
        </w:rPr>
        <w:t xml:space="preserve">ostād majīd vakil-e majles entexāb mī-konad</w:t>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کسروی ،احمد، ۱۲۶۹ - ۱۳۲۴ شمسی</w:t>
      </w:r>
    </w:p>
    <w:p>
      <w:pPr>
        <w:pStyle w:val="BookText"/>
      </w:pPr>
      <w:r>
        <w:rPr>
          <w:rFonts w:ascii="IRNazanin" w:hAnsi="IRNazanin" w:eastAsia="IRNazanin" w:cs="IRNazanin"/>
          <w:lang w:bidi="fa-IR"/>
          <w:color w:val="111111"/>
          <w:sz w:val="28"/>
          <w:szCs w:val="28"/>
          <w:rtl/>
        </w:rPr>
        <w:t xml:space="preserve">تاریخ تأليف: ۱۳۲۵</w:t>
      </w:r>
    </w:p>
    <w:p>
      <w:pPr>
        <w:pStyle w:val="BookText"/>
      </w:pPr>
      <w:r>
        <w:rPr>
          <w:rFonts w:ascii="Times New Roman" w:hAnsi="Times New Roman" w:eastAsia="Times New Roman" w:cs="Times New Roman"/>
          <w:lang w:val="en-US" w:bidi="en-US"/>
          <w:color w:val="111111"/>
          <w:sz w:val="28"/>
          <w:szCs w:val="28"/>
          <w:rtl/>
        </w:rPr>
        <w:t xml:space="preserve">(kasravi, ahmad (1890 - 1945)</w:t>
      </w:r>
    </w:p>
    <w:p>
      <w:pPr>
        <w:pStyle w:val="BookText"/>
      </w:pPr>
      <w:r>
        <w:rPr>
          <w:rFonts w:ascii="IRNazanin" w:hAnsi="IRNazanin" w:eastAsia="IRNazanin" w:cs="IRNazanin"/>
          <w:lang w:bidi="fa-IR"/>
          <w:color w:val="111111"/>
          <w:sz w:val="28"/>
          <w:szCs w:val="28"/>
          <w:rtl/>
        </w:rPr>
        <w:t xml:space="preserve">تهران ؛دانشگاه؛ شماره نسخه: ۴۷۵۲/۳-۴۷۵۴-ف</w:t>
      </w:r>
    </w:p>
    <w:p>
      <w:pPr>
        <w:pStyle w:val="BookText"/>
      </w:pPr>
      <w:r>
        <w:rPr>
          <w:rFonts w:ascii="IRNazanin" w:hAnsi="IRNazanin" w:eastAsia="IRNazanin" w:cs="IRNazanin"/>
          <w:lang w:bidi="fa-IR"/>
          <w:color w:val="111111"/>
          <w:sz w:val="28"/>
          <w:szCs w:val="28"/>
          <w:rtl/>
        </w:rPr>
        <w:t xml:space="preserve">بی کا ،بی تا [فیلم هاف ۳ - ۹۹] [</w:t>
      </w:r>
    </w:p>
    <w:p>
      <w:pPr>
        <w:pStyle w:val="Heading3"/>
      </w:pPr>
      <w:bookmarkStart w:id="957" w:name="_Toc479"/>
      <w:r>
        <w:t>استبداد (رساله در) / سیاست و حکومت / فارسی</w:t>
      </w:r>
      <w:bookmarkEnd w:id="957"/>
    </w:p>
    <w:p>
      <w:pPr>
        <w:pStyle w:val="BookText"/>
      </w:pPr>
      <w:r>
        <w:rPr>
          <w:rFonts w:ascii="Times New Roman" w:hAnsi="Times New Roman" w:eastAsia="Times New Roman" w:cs="Times New Roman"/>
          <w:lang w:val="en-US" w:bidi="en-US"/>
          <w:color w:val="111111"/>
          <w:sz w:val="28"/>
          <w:szCs w:val="28"/>
          <w:rtl/>
        </w:rPr>
        <w:t xml:space="preserve">(estebdād (r. dar)</w:t>
      </w:r>
    </w:p>
    <w:p>
      <w:pPr>
        <w:pStyle w:val="BookText"/>
      </w:pPr>
      <w:r>
        <w:rPr>
          <w:rFonts w:ascii="IRNazanin" w:hAnsi="IRNazanin" w:eastAsia="IRNazanin" w:cs="IRNazanin"/>
          <w:lang w:bidi="fa-IR"/>
          <w:color w:val="111111"/>
          <w:sz w:val="28"/>
          <w:szCs w:val="28"/>
          <w:rtl/>
        </w:rPr>
        <w:t xml:space="preserve">در بیان لغوی و اصطلاحی استبداد و خصوصیات مستبد، استبداد و دین و مباحث مربوط بدان.</w:t>
      </w:r>
    </w:p>
    <w:p>
      <w:pPr>
        <w:pStyle w:val="BookText"/>
      </w:pPr>
      <w:r>
        <w:rPr>
          <w:rFonts w:ascii="IRNazanin" w:hAnsi="IRNazanin" w:eastAsia="IRNazanin" w:cs="IRNazanin"/>
          <w:lang w:bidi="fa-IR"/>
          <w:color w:val="111111"/>
          <w:sz w:val="28"/>
          <w:szCs w:val="28"/>
          <w:rtl/>
        </w:rPr>
        <w:t xml:space="preserve">تهران؛ مجلس؛ شماره نسخه: ۱۴۳۲/۲ط</w:t>
      </w:r>
    </w:p>
    <w:p>
      <w:pPr>
        <w:pStyle w:val="BookText"/>
      </w:pPr>
      <w:r>
        <w:rPr>
          <w:rFonts w:ascii="IRNazanin" w:hAnsi="IRNazanin" w:eastAsia="IRNazanin" w:cs="IRNazanin"/>
          <w:lang w:bidi="fa-IR"/>
          <w:color w:val="111111"/>
          <w:sz w:val="28"/>
          <w:szCs w:val="28"/>
          <w:rtl/>
        </w:rPr>
        <w:t xml:space="preserve">آغاز: بسمله. استبداد لغتا قناعت کردن شخص است برای خودش در اموریکه لازمست در آنها استشاره نماید؛ انجام: لا رطب و لا</w:t>
      </w:r>
    </w:p>
    <w:p>
      <w:pPr>
        <w:pStyle w:val="BookText"/>
      </w:pPr>
      <w:r>
        <w:rPr>
          <w:rFonts w:ascii="IRNazanin" w:hAnsi="IRNazanin" w:eastAsia="IRNazanin" w:cs="IRNazanin"/>
          <w:lang w:bidi="fa-IR"/>
          <w:color w:val="111111"/>
          <w:sz w:val="28"/>
          <w:szCs w:val="28"/>
          <w:rtl/>
        </w:rPr>
        <w:t xml:space="preserve">يابس الا فى كتاب مبین ببرهان عیان نه مجرد تصدیق و تسلیم.</w:t>
      </w:r>
    </w:p>
    <w:p>
      <w:pPr>
        <w:pStyle w:val="BookText"/>
      </w:pPr>
      <w:r>
        <w:rPr>
          <w:rFonts w:ascii="IRNazanin" w:hAnsi="IRNazanin" w:eastAsia="IRNazanin" w:cs="IRNazanin"/>
          <w:lang w:bidi="fa-IR"/>
          <w:color w:val="111111"/>
          <w:sz w:val="28"/>
          <w:szCs w:val="28"/>
          <w:rtl/>
        </w:rPr>
        <w:t xml:space="preserve">خط: نستعلیق، بی کا، تا: قرن ۱۴؛ در ص ۱۸۲ و ص ۱۸۳، گفتاری است (گوینده معلوم نیست) خطاب به آقا سید عبدالله مجتهد و العلماء و سید احمد و سلطان العلماء و شیخ محمد رضا و  میرزا مصطفی در منع از دخالت آنها در امور مملکت؛ جلد: مقوایی ابر و باد و عطف تیماج آبی، ۱۸۳ص،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۲۴/۳ - ۱۲۳]</w:t>
      </w:r>
    </w:p>
    <w:p>
      <w:pPr>
        <w:pStyle w:val="Heading3"/>
      </w:pPr>
      <w:bookmarkStart w:id="958" w:name="_Toc480"/>
      <w:r>
        <w:t>صدرالاستبداد و المستبد / حکومت و سیاست / عربی</w:t>
      </w:r>
      <w:bookmarkEnd w:id="958"/>
    </w:p>
    <w:p>
      <w:pPr>
        <w:pStyle w:val="BookText"/>
      </w:pPr>
      <w:r>
        <w:rPr>
          <w:rFonts w:ascii="Times New Roman" w:hAnsi="Times New Roman" w:eastAsia="Times New Roman" w:cs="Times New Roman"/>
          <w:lang w:val="en-US" w:bidi="en-US"/>
          <w:color w:val="111111"/>
          <w:sz w:val="28"/>
          <w:szCs w:val="28"/>
          <w:rtl/>
        </w:rPr>
        <w:t xml:space="preserve">al-istibdad wa-l-mustabidd</w:t>
      </w:r>
    </w:p>
    <w:p>
      <w:pPr>
        <w:pStyle w:val="BookText"/>
      </w:pPr>
      <w:r>
        <w:rPr>
          <w:rFonts w:ascii="IRNazanin" w:hAnsi="IRNazanin" w:eastAsia="IRNazanin" w:cs="IRNazanin"/>
          <w:lang w:bidi="fa-IR"/>
          <w:color w:val="111111"/>
          <w:sz w:val="28"/>
          <w:szCs w:val="28"/>
          <w:rtl/>
        </w:rPr>
        <w:t xml:space="preserve">استر آبادی، عبدالنبی بن علی، - ۱۳۴۰ قمری</w:t>
      </w:r>
    </w:p>
    <w:p>
      <w:pPr>
        <w:pStyle w:val="BookText"/>
      </w:pPr>
      <w:r>
        <w:rPr>
          <w:rFonts w:ascii="Times New Roman" w:hAnsi="Times New Roman" w:eastAsia="Times New Roman" w:cs="Times New Roman"/>
          <w:lang w:val="en-US" w:bidi="en-US"/>
          <w:color w:val="111111"/>
          <w:sz w:val="28"/>
          <w:szCs w:val="28"/>
          <w:rtl/>
        </w:rPr>
        <w:t xml:space="preserve">(estarābādī, ‘abd-on-nabī-ye-bn-e ‘alī (- 1922)</w:t>
      </w:r>
    </w:p>
    <w:p>
      <w:pPr>
        <w:pStyle w:val="BookText"/>
      </w:pPr>
      <w:r>
        <w:rPr>
          <w:rFonts w:ascii="IRNazanin" w:hAnsi="IRNazanin" w:eastAsia="IRNazanin" w:cs="IRNazanin"/>
          <w:lang w:bidi="fa-IR"/>
          <w:color w:val="111111"/>
          <w:sz w:val="28"/>
          <w:szCs w:val="28"/>
          <w:rtl/>
        </w:rPr>
        <w:t xml:space="preserve">رساله ای است کوتاه در خصوص استبداد مستبد با عناوینی  چون: استبداد ،حکام، استبداد و مال، و استبداد و اخلاق. از آنجا که بیشتر رساله های مجموعه ای که نسخه حاضر در آن قرار دارد، از آن عبدالنبی استرآبادی  است از این رو این رساله نیز از وی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38" w:name="pg20365_260174"/>
    <w:bookmarkEnd w:id="138"/>
    <w:p>
      <w:pPr>
        <w:pStyle w:val="BookText"/>
      </w:pPr>
      <w:r>
        <w:rPr>
          <w:rFonts w:ascii="IRNazanin" w:hAnsi="IRNazanin" w:eastAsia="IRNazanin" w:cs="IRNazanin"/>
          <w:lang w:bidi="fa-IR"/>
          <w:color w:val="111111"/>
          <w:sz w:val="28"/>
          <w:szCs w:val="28"/>
          <w:rtl/>
        </w:rPr>
        <w:t xml:space="preserve">دانسته شد. در برگ ۱۴۳  مجموعه، فهرست کتاب های خود آورده که احتمال می رود رساله حاضر «اتمام الحجة» يا «تذکار  الغافلین» باشد.</w:t>
      </w:r>
    </w:p>
    <w:p>
      <w:pPr>
        <w:pStyle w:val="BookText"/>
      </w:pPr>
      <w:r>
        <w:rPr>
          <w:rFonts w:ascii="Amiri" w:hAnsi="Amiri" w:eastAsia="Amiri" w:cs="Amiri"/>
          <w:lang w:bidi="ar-SA"/>
          <w:color w:val="111111"/>
          <w:sz w:val="28"/>
          <w:szCs w:val="28"/>
          <w:rtl/>
        </w:rPr>
        <w:t xml:space="preserve">[الذريعة : ۲۵۲/۱۱؛ نقباء البشر: ۱۲۴۳/۳]</w:t>
      </w:r>
    </w:p>
    <w:p>
      <w:pPr>
        <w:pStyle w:val="BookText"/>
      </w:pPr>
      <w:r>
        <w:rPr>
          <w:rFonts w:ascii="IRNazanin" w:hAnsi="IRNazanin" w:eastAsia="IRNazanin" w:cs="IRNazanin"/>
          <w:lang w:bidi="fa-IR"/>
          <w:color w:val="111111"/>
          <w:sz w:val="28"/>
          <w:szCs w:val="28"/>
          <w:rtl/>
        </w:rPr>
        <w:t xml:space="preserve">قم؛ مرعشی؛ شماره نسخه: ۱۳۱۸۴/۳</w:t>
      </w:r>
    </w:p>
    <w:p>
      <w:pPr>
        <w:pStyle w:val="BookText"/>
      </w:pPr>
      <w:r>
        <w:rPr>
          <w:rFonts w:ascii="IRNazanin" w:hAnsi="IRNazanin" w:eastAsia="IRNazanin" w:cs="IRNazanin"/>
          <w:lang w:bidi="fa-IR"/>
          <w:color w:val="111111"/>
          <w:sz w:val="28"/>
          <w:szCs w:val="28"/>
          <w:rtl/>
        </w:rPr>
        <w:t xml:space="preserve">آغاز: التشريفات و ربما يغتر المطالع كما اغتر بعضش المورخین البسطاء بانكثيرا من وزراء المستبدين؛ انجام: و يهذبونه من الزوئد مما يطرء اعادة عليكل دين يتقام عهده فيحتاج الى مجددین يرجعون به الى اصله المبين البرى.</w:t>
      </w:r>
    </w:p>
    <w:p>
      <w:pPr>
        <w:pStyle w:val="BookText"/>
      </w:pPr>
      <w:r>
        <w:rPr>
          <w:rFonts w:ascii="IRNazanin" w:hAnsi="IRNazanin" w:eastAsia="IRNazanin" w:cs="IRNazanin"/>
          <w:lang w:bidi="fa-IR"/>
          <w:color w:val="111111"/>
          <w:sz w:val="28"/>
          <w:szCs w:val="28"/>
          <w:rtl/>
        </w:rPr>
        <w:t xml:space="preserve">خط: نسخ، کاتب - مؤلف، تا: حدود نیمه قرن ۱۴؛ محشی؛ کاغذ ،فرنگی، ۱۶گ (۱۲۷ ر - ۱۴۲ر)، ۱۷) ،سطر، اندازه: 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w:t>
      </w:r>
    </w:p>
    <w:p>
      <w:pPr>
        <w:pStyle w:val="BookText"/>
      </w:pPr>
      <w:r>
        <w:rPr>
          <w:rFonts w:ascii="IRNazanin" w:hAnsi="IRNazanin" w:eastAsia="IRNazanin" w:cs="IRNazanin"/>
          <w:lang w:bidi="fa-IR"/>
          <w:color w:val="111111"/>
          <w:sz w:val="28"/>
          <w:szCs w:val="28"/>
          <w:rtl/>
        </w:rPr>
        <w:t xml:space="preserve">[۳۵۱ - ۳۳  ]</w:t>
      </w:r>
    </w:p>
    <w:p>
      <w:pPr>
        <w:pStyle w:val="Heading3"/>
      </w:pPr>
      <w:bookmarkStart w:id="959" w:name="_Toc481"/>
      <w:r>
        <w:t>استبراء الامة الباكرة / فقه / عربي</w:t>
      </w:r>
      <w:bookmarkEnd w:id="959"/>
    </w:p>
    <w:p>
      <w:pPr>
        <w:pStyle w:val="BookText"/>
      </w:pPr>
      <w:r>
        <w:rPr>
          <w:rFonts w:ascii="Times New Roman" w:hAnsi="Times New Roman" w:eastAsia="Times New Roman" w:cs="Times New Roman"/>
          <w:lang w:val="en-US" w:bidi="en-US"/>
          <w:color w:val="111111"/>
          <w:sz w:val="28"/>
          <w:szCs w:val="28"/>
          <w:rtl/>
        </w:rPr>
        <w:t xml:space="preserve">istibrā’-ul amat-il bākira</w:t>
      </w:r>
    </w:p>
    <w:p>
      <w:pPr>
        <w:pStyle w:val="BookText"/>
      </w:pPr>
      <w:r>
        <w:rPr>
          <w:rFonts w:ascii="IRNazanin" w:hAnsi="IRNazanin" w:eastAsia="IRNazanin" w:cs="IRNazanin"/>
          <w:lang w:bidi="fa-IR"/>
          <w:color w:val="111111"/>
          <w:sz w:val="28"/>
          <w:szCs w:val="28"/>
          <w:rtl/>
        </w:rPr>
        <w:t xml:space="preserve">میسی، لطف الله بن عبدالکریم، – ۱۰۳۲ قمری</w:t>
      </w:r>
    </w:p>
    <w:p>
      <w:pPr>
        <w:pStyle w:val="BookText"/>
      </w:pPr>
      <w:r>
        <w:rPr>
          <w:rFonts w:ascii="Times New Roman" w:hAnsi="Times New Roman" w:eastAsia="Times New Roman" w:cs="Times New Roman"/>
          <w:lang w:val="en-US" w:bidi="en-US"/>
          <w:color w:val="111111"/>
          <w:sz w:val="28"/>
          <w:szCs w:val="28"/>
          <w:rtl/>
        </w:rPr>
        <w:t xml:space="preserve">(mīsī, lotf-ol-lāh ebn-e ‘abd-ol-karīm (- 1623)</w:t>
      </w:r>
    </w:p>
    <w:p>
      <w:pPr>
        <w:pStyle w:val="BookText"/>
      </w:pPr>
      <w:r>
        <w:rPr>
          <w:rFonts w:ascii="IRNazanin" w:hAnsi="IRNazanin" w:eastAsia="IRNazanin" w:cs="IRNazanin"/>
          <w:lang w:bidi="fa-IR"/>
          <w:color w:val="111111"/>
          <w:sz w:val="28"/>
          <w:szCs w:val="28"/>
          <w:rtl/>
        </w:rPr>
        <w:t xml:space="preserve">رساله ای استدلالی است در این که اگر شخصی کنیز بکری داشته و با وی وطی در دبر نموده، هنگام فروش باید او را استبراء نمود مانند کنیزی که در قبل و طی شده است. این رساله یک برگی توضیحاتی است بر گفته های کرکی در کتاب «جامع المقاصد».</w:t>
      </w:r>
    </w:p>
    <w:p>
      <w:pPr>
        <w:pStyle w:val="BookText"/>
      </w:pPr>
      <w:r>
        <w:rPr>
          <w:rFonts w:ascii="IRNazanin" w:hAnsi="IRNazanin" w:eastAsia="IRNazanin" w:cs="IRNazanin"/>
          <w:lang w:bidi="fa-IR"/>
          <w:color w:val="111111"/>
          <w:sz w:val="28"/>
          <w:szCs w:val="28"/>
          <w:rtl/>
        </w:rPr>
        <w:t xml:space="preserve">قم؛ مؤسسه حضرت آیة الله بروجردی؛ شماره نسخه: ۳۵۵/۱۱</w:t>
      </w:r>
    </w:p>
    <w:p>
      <w:pPr>
        <w:pStyle w:val="BookText"/>
      </w:pPr>
      <w:r>
        <w:rPr>
          <w:rFonts w:ascii="IRNazanin" w:hAnsi="IRNazanin" w:eastAsia="IRNazanin" w:cs="IRNazanin"/>
          <w:lang w:bidi="fa-IR"/>
          <w:color w:val="111111"/>
          <w:sz w:val="28"/>
          <w:szCs w:val="28"/>
          <w:rtl/>
        </w:rPr>
        <w:t xml:space="preserve">آغاز: الحمد الله رب العالمين ... مسالة هل يجب استبراء الـامة الباكرة على البائع و شبهه اذا كان قد وطئها دبرا؛ انجام: و في كفاية لمن وعی و تامل وصغی، و الحمدالله وحده</w:t>
      </w:r>
    </w:p>
    <w:p>
      <w:pPr>
        <w:pStyle w:val="BookText"/>
      </w:pPr>
      <w:r>
        <w:rPr>
          <w:rFonts w:ascii="IRNazanin" w:hAnsi="IRNazanin" w:eastAsia="IRNazanin" w:cs="IRNazanin"/>
          <w:lang w:bidi="fa-IR"/>
          <w:color w:val="111111"/>
          <w:sz w:val="28"/>
          <w:szCs w:val="28"/>
          <w:rtl/>
        </w:rPr>
        <w:t xml:space="preserve">خط: نستعلیق ،زیبا ،کاتب - مؤلف، بی تا، مصحح ،جلد: پارچه ای، ۲گ (۱۲۳پ- ۱۲۴ر)،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۱ - ۲۱۲]</w:t>
      </w:r>
    </w:p>
    <w:p>
      <w:pPr>
        <w:pStyle w:val="Heading3"/>
      </w:pPr>
      <w:bookmarkStart w:id="960" w:name="_Toc482"/>
      <w:r>
        <w:t>استبصار الاخبار = جامع اسرار العلماء = جامع الاحادیث و الاقوال = الجامع الكبير / شرح حدیث / عربی</w:t>
      </w:r>
      <w:bookmarkEnd w:id="960"/>
    </w:p>
    <w:p>
      <w:pPr>
        <w:pStyle w:val="BookText"/>
      </w:pPr>
      <w:r>
        <w:rPr>
          <w:rFonts w:ascii="Times New Roman" w:hAnsi="Times New Roman" w:eastAsia="Times New Roman" w:cs="Times New Roman"/>
          <w:lang w:val="en-US" w:bidi="en-US"/>
          <w:color w:val="111111"/>
          <w:sz w:val="28"/>
          <w:szCs w:val="28"/>
          <w:rtl/>
        </w:rPr>
        <w:t xml:space="preserve">istibṣār-ul axbār = jāmi‘-u asrār-il ‘ulamā’ = jāmi‘-ul</w:t>
      </w:r>
    </w:p>
    <w:p>
      <w:pPr>
        <w:pStyle w:val="BookText"/>
      </w:pPr>
      <w:r>
        <w:rPr>
          <w:rFonts w:ascii="Times New Roman" w:hAnsi="Times New Roman" w:eastAsia="Times New Roman" w:cs="Times New Roman"/>
          <w:lang w:val="en-US" w:bidi="en-US"/>
          <w:color w:val="111111"/>
          <w:sz w:val="28"/>
          <w:szCs w:val="28"/>
          <w:rtl/>
        </w:rPr>
        <w:t xml:space="preserve">aḥādīṯ wa-l aqwāl = al-jāmi‘-ul kabīr</w:t>
      </w:r>
    </w:p>
    <w:p>
      <w:pPr>
        <w:pStyle w:val="BookText"/>
      </w:pPr>
      <w:r>
        <w:rPr>
          <w:rFonts w:ascii="IRNazanin" w:hAnsi="IRNazanin" w:eastAsia="IRNazanin" w:cs="IRNazanin"/>
          <w:lang w:bidi="fa-IR"/>
          <w:color w:val="111111"/>
          <w:sz w:val="28"/>
          <w:szCs w:val="28"/>
          <w:rtl/>
        </w:rPr>
        <w:t xml:space="preserve">ابن الوندى قاسم بن محمد، – ۱۱۰۰ ؟ قمری</w:t>
      </w:r>
    </w:p>
    <w:p>
      <w:pPr>
        <w:pStyle w:val="BookText"/>
      </w:pPr>
      <w:r>
        <w:rPr>
          <w:rFonts w:ascii="Times New Roman" w:hAnsi="Times New Roman" w:eastAsia="Times New Roman" w:cs="Times New Roman"/>
          <w:lang w:val="en-US" w:bidi="en-US"/>
          <w:color w:val="111111"/>
          <w:sz w:val="28"/>
          <w:szCs w:val="28"/>
          <w:rtl/>
        </w:rPr>
        <w:t xml:space="preserve">(ebn-e alvandī, qāsem ebn-e mohammad (- 1689)</w:t>
      </w:r>
    </w:p>
    <w:p>
      <w:pPr>
        <w:pStyle w:val="BookText"/>
      </w:pPr>
      <w:r>
        <w:rPr>
          <w:rFonts w:ascii="IRNazanin" w:hAnsi="IRNazanin" w:eastAsia="IRNazanin" w:cs="IRNazanin"/>
          <w:lang w:bidi="fa-IR"/>
          <w:color w:val="111111"/>
          <w:sz w:val="28"/>
          <w:szCs w:val="28"/>
          <w:rtl/>
        </w:rPr>
        <w:t xml:space="preserve">وابسته به: الاستبصار فيما اختلف من الاخبار شیخ طوسی، محـمد بن حسن (۳۸۵-۴۶۰)</w:t>
      </w:r>
    </w:p>
    <w:p>
      <w:pPr>
        <w:pStyle w:val="BookText"/>
      </w:pPr>
      <w:r>
        <w:rPr>
          <w:rFonts w:ascii="IRNazanin" w:hAnsi="IRNazanin" w:eastAsia="IRNazanin" w:cs="IRNazanin"/>
          <w:lang w:bidi="fa-IR"/>
          <w:color w:val="111111"/>
          <w:sz w:val="28"/>
          <w:szCs w:val="28"/>
          <w:rtl/>
        </w:rPr>
        <w:t xml:space="preserve">تاريخ تأليف : ۱۰۸۷ق( كتاب الزكاة)، ۱۰۸۸ق (كتاب الصوم ۲۲ ربیع الاول ۱۰۸۹ ق (كتاب الحج)</w:t>
      </w:r>
    </w:p>
    <w:p>
      <w:pPr>
        <w:pStyle w:val="BookText"/>
      </w:pPr>
      <w:r>
        <w:rPr>
          <w:rFonts w:ascii="IRNazanin" w:hAnsi="IRNazanin" w:eastAsia="IRNazanin" w:cs="IRNazanin"/>
          <w:lang w:bidi="fa-IR"/>
          <w:color w:val="111111"/>
          <w:sz w:val="28"/>
          <w:szCs w:val="28"/>
          <w:rtl/>
        </w:rPr>
        <w:t xml:space="preserve">مؤلف بنا داشت که شرحی بر کتاب «استبصار» شیخ طوسی بنویسد، اما اخبار کتاب «کافی» و «من لا يحضر» و «تهذيب» و  چند کتاب حدیثی دیگر را بر آن افزود که فهرست آنها در مقدمه آمده  است، همراه با نقل اقوال فقها و علما و مطالبی از  کتاب های آنها در برخی از اجازاتش از آن به «الجامع الكبير»  یاد می کند. این کتاب در چند جلد  است. در «الذریعه» به چند نام آمده «استبصار الاخبار» (ج ۲ :۱۷)، «جامع اسرار العلماء» و «جامع الاحاديث و الاقوال» (ج ۵ :۳۹) «شرح الاستبصار» (ج ۱۳:  86)</w:t>
      </w:r>
    </w:p>
    <w:p>
      <w:pPr>
        <w:pStyle w:val="BookText"/>
      </w:pPr>
      <w:r>
        <w:rPr>
          <w:rFonts w:ascii="Amiri" w:hAnsi="Amiri" w:eastAsia="Amiri" w:cs="Amiri"/>
          <w:lang w:bidi="ar-SA"/>
          <w:color w:val="111111"/>
          <w:sz w:val="28"/>
          <w:szCs w:val="28"/>
          <w:rtl/>
        </w:rPr>
        <w:t xml:space="preserve">[الذريعة ۳۹/۵ و ۱۷/۲۲؛ رياض العلما ۳۹۹/۴]</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مرعشی؛ شماره نسخه: ۳۱۸</w:t>
      </w:r>
    </w:p>
    <w:p>
      <w:pPr>
        <w:pStyle w:val="BookText"/>
      </w:pPr>
      <w:r>
        <w:rPr>
          <w:rFonts w:ascii="IRNazanin" w:hAnsi="IRNazanin" w:eastAsia="IRNazanin" w:cs="IRNazanin"/>
          <w:lang w:bidi="fa-IR"/>
          <w:color w:val="111111"/>
          <w:sz w:val="28"/>
          <w:szCs w:val="28"/>
          <w:rtl/>
        </w:rPr>
        <w:t xml:space="preserve">آغاز: كتاب الزكاة و لنقدم فيه فوائد الفائدة الأولى في وجوب فرض الزكاة وما يجب فى المال فى الحقوق؛ انجام: كما امر رسول الله بدیل بن ورقاء ألا لا تصوم فانها ایام اکل و شرب و بعال،  كان حسناً.</w:t>
      </w:r>
    </w:p>
    <w:p>
      <w:pPr>
        <w:pStyle w:val="BookText"/>
      </w:pPr>
      <w:r>
        <w:rPr>
          <w:rFonts w:ascii="IRNazanin" w:hAnsi="IRNazanin" w:eastAsia="IRNazanin" w:cs="IRNazanin"/>
          <w:lang w:bidi="fa-IR"/>
          <w:color w:val="111111"/>
          <w:sz w:val="28"/>
          <w:szCs w:val="28"/>
          <w:rtl/>
        </w:rPr>
        <w:t xml:space="preserve">از اول کتاب زکاة تا آخر كتاب حج؛ خط: نسخ، كا: فياض بن حاج محمد  بارمانی، تا: ۲۰ ربیع الثانی ۱۰۹۴ق؛ مصحح، در صفحه آخر مؤلف نوشته است: «قوبل بأصله على الدقة بقدر الوسع و الطاقة كتب جامعه الاقل قاسم» پس از آن مهر وی «محمد قاسم الكاظمی» (بیضی)؛ جلد: تیماج قرمز، ۵۱۲گ، ۲۷  سطر، اندازه: ۱۹/۵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۳۰سم [ف: ۱ - ۳۵۷]</w:t>
      </w:r>
    </w:p>
    <w:p>
      <w:pPr>
        <w:pStyle w:val="BookText"/>
      </w:pPr>
      <w:r>
        <w:rPr>
          <w:rFonts w:ascii="IRNazanin" w:hAnsi="IRNazanin" w:eastAsia="IRNazanin" w:cs="IRNazanin"/>
          <w:lang w:bidi="fa-IR"/>
          <w:color w:val="111111"/>
          <w:sz w:val="28"/>
          <w:szCs w:val="28"/>
          <w:rtl/>
        </w:rPr>
        <w:t xml:space="preserve">۲. زنجان؛ امام جمعه؛ شماره نسخه: ۲۶</w:t>
      </w:r>
    </w:p>
    <w:p>
      <w:pPr>
        <w:pStyle w:val="BookText"/>
      </w:pPr>
      <w:r>
        <w:rPr>
          <w:rFonts w:ascii="IRNazanin" w:hAnsi="IRNazanin" w:eastAsia="IRNazanin" w:cs="IRNazanin"/>
          <w:lang w:bidi="fa-IR"/>
          <w:color w:val="111111"/>
          <w:sz w:val="28"/>
          <w:szCs w:val="28"/>
          <w:rtl/>
        </w:rPr>
        <w:t xml:space="preserve">كتاب المكاسب والبيوع؛ خط: نسخ، کا: خلف بارمایی نجفی، تا: جمادی الثانی ۱۰۹۴ق؛ مصحح، در برگ پایانی آنهائی از مؤلف جهت فرزندش محمد ابراهیم به سال ۱۰۹۴ق، دارای حواشی مفصل با عنوان «ولد المؤلف محمد ابراهیم» و به نقل از مؤلف، در ۹ برگ آغازین مقدمه مؤلف بر جلد اول و نام کتاب و مؤلف و مقدار مطالبی که از کتاب حاضر به تألیف رسیده و فواید پراکنده ای به نقل از مؤلف برخی به خط محمد ابراهیم فرزند مؤلف، اشعار عربی فرزند مؤلف در مدح کتاب و وصیت محقق حلی به خط محمد ابراهيم بن قاسم کاظمی (فرزند مؤلف) به سال ۱۰۹۴ق دیده می شود؛ مهر: وقف کتاب بر خزانه مجتهدیه (دایره) ؛جلد: تیماج قهوه ای ضربی، ۳۹۶گ، اندازه:  ۲۱/۵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۳۱/۵سم [اوراق عتیق: ۱ - ۱۵۲]</w:t>
      </w:r>
    </w:p>
    <w:p>
      <w:pPr>
        <w:pStyle w:val="BookText"/>
      </w:pPr>
      <w:r>
        <w:rPr>
          <w:rFonts w:ascii="IRNazanin" w:hAnsi="IRNazanin" w:eastAsia="IRNazanin" w:cs="IRNazanin"/>
          <w:lang w:bidi="fa-IR"/>
          <w:color w:val="111111"/>
          <w:sz w:val="28"/>
          <w:szCs w:val="28"/>
          <w:rtl/>
        </w:rPr>
        <w:t xml:space="preserve">قم؛ مرکز احیاء؛ شماره نسخه: ۱۸۰۹</w:t>
      </w:r>
    </w:p>
    <w:p>
      <w:pPr>
        <w:pStyle w:val="BookText"/>
      </w:pPr>
      <w:r>
        <w:rPr>
          <w:rFonts w:ascii="IRNazanin" w:hAnsi="IRNazanin" w:eastAsia="IRNazanin" w:cs="IRNazanin"/>
          <w:lang w:bidi="fa-IR"/>
          <w:color w:val="111111"/>
          <w:sz w:val="28"/>
          <w:szCs w:val="28"/>
          <w:rtl/>
        </w:rPr>
        <w:t xml:space="preserve">نسخه اصل: همان نسخه بالا [ عکسی ف: ۵ - ۲۷۵]</w:t>
      </w:r>
    </w:p>
    <w:p>
      <w:pPr>
        <w:pStyle w:val="BookText"/>
      </w:pPr>
      <w:r>
        <w:rPr>
          <w:rFonts w:ascii="IRNazanin" w:hAnsi="IRNazanin" w:eastAsia="IRNazanin" w:cs="IRNazanin"/>
          <w:lang w:bidi="fa-IR"/>
          <w:color w:val="111111"/>
          <w:sz w:val="28"/>
          <w:szCs w:val="28"/>
          <w:rtl/>
        </w:rPr>
        <w:t xml:space="preserve">۳. زنجان؛ امام جمعه؛ شماره نسخه: ۳۰</w:t>
      </w:r>
    </w:p>
    <w:p>
      <w:pPr>
        <w:pStyle w:val="BookText"/>
      </w:pPr>
      <w:r>
        <w:rPr>
          <w:rFonts w:ascii="IRNazanin" w:hAnsi="IRNazanin" w:eastAsia="IRNazanin" w:cs="IRNazanin"/>
          <w:lang w:bidi="fa-IR"/>
          <w:color w:val="111111"/>
          <w:sz w:val="28"/>
          <w:szCs w:val="28"/>
          <w:rtl/>
        </w:rPr>
        <w:t xml:space="preserve">كتاب النکاح تا پایان عقیقه؛ خط: نسخ، کا: محمد ابراهیم ابراهیم کاظمی (فرزند مؤلف)، تا: جمعه ۴ رجب ۱۰۹۴ق؛ مصحح، ، با امضای بلاغی به خط مؤلف، و مقابله آن در مسجد کوفه و هنگام اعتکاف دهه آخر  رمضان، در برخی از برگ ها تاریخ شروع تأليف آن جزء از کتاب در ماه های مختلف سال ۱۰۹۳ و ۱۰۹۴ق دیده می شود؛ مهر: وقف کتاب بر خزانه مجتهدیه (دایره) ؛جلد: تیماج قرمز ضربی سر طبل  دار، ۳۷۳گ، ۲۹ سطر، اندازه: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/۲۰/۵</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۳۱/۵سم [اوراق عتيق: ۱ - ۱۵۳]</w:t>
      </w:r>
    </w:p>
    <w:p>
      <w:pPr>
        <w:pStyle w:val="BookText"/>
      </w:pPr>
      <w:r>
        <w:rPr>
          <w:rFonts w:ascii="IRNazanin" w:hAnsi="IRNazanin" w:eastAsia="IRNazanin" w:cs="IRNazanin"/>
          <w:lang w:bidi="fa-IR"/>
          <w:color w:val="111111"/>
          <w:sz w:val="28"/>
          <w:szCs w:val="28"/>
          <w:rtl/>
        </w:rPr>
        <w:t xml:space="preserve">۴. زنجان؛ امام جمعه؛ شماره نسخه: بدون شماره</w:t>
      </w:r>
    </w:p>
    <w:p>
      <w:pPr>
        <w:pStyle w:val="BookText"/>
      </w:pPr>
      <w:r>
        <w:rPr>
          <w:rFonts w:ascii="IRNazanin" w:hAnsi="IRNazanin" w:eastAsia="IRNazanin" w:cs="IRNazanin"/>
          <w:lang w:bidi="fa-IR"/>
          <w:color w:val="111111"/>
          <w:sz w:val="28"/>
          <w:szCs w:val="28"/>
          <w:rtl/>
        </w:rPr>
        <w:t xml:space="preserve">كتاب الوصايا و الفرائض؛ كا: محمد ابراهیم کاظمی ( پسرمؤلف)، بی تا [دليل المخطوطات: ۱ - ۱۰۱]</w:t>
      </w:r>
    </w:p>
    <w:p>
      <w:pPr>
        <w:pStyle w:val="BookText"/>
      </w:pPr>
      <w:r>
        <w:rPr>
          <w:rFonts w:ascii="IRNazanin" w:hAnsi="IRNazanin" w:eastAsia="IRNazanin" w:cs="IRNazanin"/>
          <w:lang w:bidi="fa-IR"/>
          <w:color w:val="111111"/>
          <w:sz w:val="28"/>
          <w:szCs w:val="28"/>
          <w:rtl/>
        </w:rPr>
        <w:t xml:space="preserve">۵. تهران؛ دانشگاه؛ شماره نسخه: ۵۷۶</w:t>
      </w:r>
    </w:p>
    <w:p>
      <w:pPr>
        <w:pStyle w:val="BookText"/>
      </w:pPr>
      <w:r>
        <w:rPr>
          <w:rFonts w:ascii="IRNazanin" w:hAnsi="IRNazanin" w:eastAsia="IRNazanin" w:cs="IRNazanin"/>
          <w:lang w:bidi="fa-IR"/>
          <w:color w:val="111111"/>
          <w:sz w:val="28"/>
          <w:szCs w:val="28"/>
          <w:rtl/>
        </w:rPr>
        <w:t xml:space="preserve">آغاز: بسمله و به نستعين. الحمد لله الذى يريد بعباده اليسر ولا يـرید بهم العسر  ... كتاب الطلاق و حيث قديم الشيخ رحمه الله في اوله ابواب الايلاء كما فعل فى التهذيب عند عبارة المفيد رحمه فلنقدم بیان جوازه؛ انجام: و ستقف على ذلك كله ... في كتـاب الحدود. وهذا آخر كتاب الطلاق من الاستبصار وقد استوفينا الاخبار من الكافى و التهذيب و الفقيه و ما انضاف اليها  من جميع العلل و غيرها وفقهها على ما نعتقده و وصل اليه جهدنا نسال الله ان يجعله خالصا أو جهة الكريم و نبيه الرحيم ووصيه  العليم اوصيائه الحجج الميامين و يتلوه كتاب العتق و بالله ... (فرسو شده و رفته) و ذلك فى الثانى من جمادى الأولى من سنة خمـس و تسعين بعد الالف على يد جامعه اقل الاقلين و اذن الاذلين القـسم بن محمد الكاظمى المعروف بابن الوندى نزیل مولاه و صلی علی محمد و آله و سلم (كذا صورة خط المؤلف ايده الله تعالـی) (قد تشرف بكتابته الفن الضعيف الى رحمة ربه اللطيف ونبیه الشريف ووصيه الحنيف عباس بن خضر بن عباس بن النجفى اصلا و مولدا و انشاء الله مسكنا في النجف الاشرف في  سنة ۱۰۹۴ فى وقت الزوال الثامن عشر جمادى الاخر  و الحمد لله وحده)</w:t>
      </w:r>
    </w:p>
    <w:p>
      <w:pPr>
        <w:pStyle w:val="BookText"/>
      </w:pPr>
      <w:r>
        <w:rPr>
          <w:rFonts w:ascii="IRNazanin" w:hAnsi="IRNazanin" w:eastAsia="IRNazanin" w:cs="IRNazanin"/>
          <w:lang w:bidi="fa-IR"/>
          <w:color w:val="111111"/>
          <w:sz w:val="28"/>
          <w:szCs w:val="28"/>
          <w:rtl/>
        </w:rPr>
        <w:t xml:space="preserve">جلد پنجم از طلاق؛ خط:نسخ،کا:عباس  بن خضر بن عباس  بن  نصر نجفى (كاتب شاگرد مؤلف است چنانچه آیة الله مرعـشی نوشته اند)، تا: ۱۸ جمادی الثانی  ۱۰۹۴ق، جا: نجف؛ محشی با نشان «منه» در برگ الف دارد: «بسمله. هذا كتاب الاصل  بيدالاصل اید الله الفرع و الاصل بمحمد و آله - هذا المجلد الخامـس من الكتاب «الجامع لاقوال العلماء و عبارات الفضلاء» و «الحمـدلله وحده وصلى الله علی محمد و آله» در همین جا سرگذشتی اسـت کوتاه از کاظمی نگارنده کتاب و نگارش های او دارد که او را همه باب های فقه کتابی است و «معالم» و «زبدة الاصول» «مختصر نافع» را شرح نوشت ولی گزارش «نافع» را به پایان نرسـاندهمچنین كتاب رجال و کتاب اعتقادات دارد، باز در همین جا محمد ابراهیم پسر همین کاظمی گواهی می دهد که من این جزء را از روز چهارشنبه دهم شوال ۱۰۹۵ نزد پدرم خواندم، در برگ ۱۹۸پ دارد: «انهاه قراءة وفقه الله تعالى» (چنانکه «بلغ قراءة اید الله تعالی» نیز در جاهای دیگر هست ) سپس دارد: «و علیه عنهم الكتاب و الابواب و المسائل بخط المؤلف ایده الله تعالى و امـا ما تضمنه فبالاملاء، و الحمد لله وصلى الله على اصحاب الكساء حـرره محمد بن القسم الكاظمي (كذا) كان على نسخة المؤلف ايده الله)، و نیز دارد: «بسمله الله الحمد لله وصلى الله على محمد و آله تمت. قراءة الكتاب على مؤلفه ايده الله تعالى و ييده نسخة الاصل نفع  الله بهما في يوم الاحد فى الثامن عشر من شهر شوال من سنة سبع و تسعين و الف و الحمد لله. وكتب القارى ولد المؤلف سلمهما الله تعالی محمد ابراهيم بن القسم الكاظمى وفقهما الله للمراضي و جعل المستقبل خيرا من الماضى بمحمد و آله انه رحيم كريم جواد و الحمدلله وصلى الله على محمد و آله»، از همه این نوشته ها برمی آید که کاظمی در دوم جمادی الاول ۱۰۹۵ این مجلد را نوشت و پسرش از روز چهارشنبه دهم شوال ۱۰۹۵ خواندن آن را نزد پدر که نسخه اصل را در دست داشته آغاز نمود و در روز یک شنبه ۱۸ شوال ۱۰۹۷ خواندنش را به انجام رساند و نوشتن را( از روی مسوده کاظمی) به پایان رساند و تاریخی که خود کاظمی در پایان طلاق آورده برای نسخه پاکنویس و مبیضه می باشد؛ کاغذ ،فرنگی ،جلد: مقوا دور آن تیماج، ۱۹۸، ۲۹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۳۱سم [ف: ۵ - ۱۰۸۳]</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قم؛ مرعشی؛ شماره نسخه: ۳۱۹</w:t>
      </w:r>
    </w:p>
    <w:p>
      <w:pPr>
        <w:pStyle w:val="BookText"/>
      </w:pPr>
      <w:r>
        <w:rPr>
          <w:rFonts w:ascii="Amiri" w:hAnsi="Amiri" w:eastAsia="Amiri" w:cs="Amiri"/>
          <w:lang w:bidi="ar-SA"/>
          <w:color w:val="111111"/>
          <w:sz w:val="28"/>
          <w:szCs w:val="28"/>
          <w:rtl/>
        </w:rPr>
        <w:t xml:space="preserve">آغاز: كتاب المزار الحمد لله رب العالمين ... ابواب ماجاء في السفر و آدابه و ما يتعلق به؛ باب ما جاء في السفر الى الحج؛ انجام: و قد استوفينا جميع الاخبار منه على ما نعتقده والله الموفق و المعين.</w:t>
      </w:r>
    </w:p>
    <w:p>
      <w:pPr>
        <w:pStyle w:val="BookText"/>
      </w:pPr>
      <w:r>
        <w:rPr>
          <w:rFonts w:ascii="IRNazanin" w:hAnsi="IRNazanin" w:eastAsia="IRNazanin" w:cs="IRNazanin"/>
          <w:lang w:bidi="fa-IR"/>
          <w:color w:val="111111"/>
          <w:sz w:val="28"/>
          <w:szCs w:val="28"/>
          <w:rtl/>
        </w:rPr>
        <w:t xml:space="preserve">از کتاب مزار تا آخر کتاب بیوع؛ خط: نسخ،  کا: عباس بن خضر بن عباس بن نصیر  نجفی ،تا: سه شنبه غره شعبان ۱۰۹۴ق؛ از روی نسخه  مصنف، مصحح، محشی از مؤلف، دارای آثار بلاغ، محمد يوسف بن يس بن حسن نجفی در آخر کتاب نوشته است که آن را تصحیح و مقابله نموده است به تاریخ صفر ۱۰۹۷، مؤلف نوشته است «صحت المقابلة و الله الداعى قاسم» و مهر وی «محمد قاسم الكاظمى» (بیضی)؛ جلد: تیماج قرمز، ۵۰۹گ، ۲۹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۳۲سم [ف: ۱ - ۳۵۸]</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قم ؛مرعشی؛ شماره نسخه ۳۹۲</w:t>
      </w:r>
    </w:p>
    <w:p>
      <w:pPr>
        <w:pStyle w:val="BookText"/>
      </w:pPr>
      <w:r>
        <w:rPr>
          <w:rFonts w:ascii="Amiri" w:hAnsi="Amiri" w:eastAsia="Amiri" w:cs="Amiri"/>
          <w:lang w:bidi="ar-SA"/>
          <w:color w:val="111111"/>
          <w:sz w:val="28"/>
          <w:szCs w:val="28"/>
          <w:rtl/>
        </w:rPr>
        <w:t xml:space="preserve">آغاز: و السنة و الاجماع، اما الكتاب فقوله تعالى و اذتقول للذى أنعم الله عليه و أنعمت عليه</w:t>
      </w:r>
    </w:p>
    <w:p>
      <w:pPr>
        <w:pStyle w:val="BookText"/>
      </w:pPr>
      <w:r>
        <w:rPr>
          <w:rFonts w:ascii="IRNazanin" w:hAnsi="IRNazanin" w:eastAsia="IRNazanin" w:cs="IRNazanin"/>
          <w:lang w:bidi="fa-IR"/>
          <w:color w:val="111111"/>
          <w:sz w:val="28"/>
          <w:szCs w:val="28"/>
          <w:rtl/>
        </w:rPr>
        <w:t xml:space="preserve">از اوایل کتاب عتق تا آخر کتاب وقوف و صدقات؛ خط: نسخ، کا: عباس بن خضر بن عباس  نجفی، تا: دوشنبه ۲۱ جمادی الاول ۱۰۹۷ق ؛افتادگی: آغاز ،مصحح، در چند جا محمد یونس بن یس نجفی نوشته است که با نسخه اصل مقابله نموده است و تاریخ مقابله در آخر نسخه جمادی الاول ۱۰۹۷ می باشد؛ جلد: تیماج قهوه ای عطف تیماج  قرمز، ۳۸۳گ، ۲۷ سطر، اندازه: ۱۸/۵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۲۴سم [ف: ۱ - ۴۰۹]</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قم؛ مرعشی؛ شماره نسخه ۳۲۰</w:t>
      </w:r>
    </w:p>
    <w:p>
      <w:pPr>
        <w:pStyle w:val="BookText"/>
      </w:pPr>
      <w:r>
        <w:rPr>
          <w:rFonts w:ascii="IRNazanin" w:hAnsi="IRNazanin" w:eastAsia="IRNazanin" w:cs="IRNazanin"/>
          <w:lang w:bidi="fa-IR"/>
          <w:color w:val="111111"/>
          <w:sz w:val="28"/>
          <w:szCs w:val="28"/>
          <w:rtl/>
        </w:rPr>
        <w:t xml:space="preserve">آغاز: يؤكل ماصاد المجوس و اصناف الكفار و نقل صحيح الحلبي المذكور فى أول الباب؛ انجام: فعلى هذا لا منع الا انه  متروک و الاعتماد على ما عليه الفتوى و ظاهر الاخبار.</w:t>
      </w:r>
    </w:p>
    <w:p>
      <w:pPr>
        <w:pStyle w:val="BookText"/>
      </w:pPr>
      <w:r>
        <w:rPr>
          <w:rFonts w:ascii="IRNazanin" w:hAnsi="IRNazanin" w:eastAsia="IRNazanin" w:cs="IRNazanin"/>
          <w:lang w:bidi="fa-IR"/>
          <w:color w:val="111111"/>
          <w:sz w:val="28"/>
          <w:szCs w:val="28"/>
          <w:rtl/>
        </w:rPr>
        <w:t xml:space="preserve">ازکتاب اطعمه و اشربه تا آخر کتاب میراث؛ خط: نسخ، کا: عباس بن خضر بن عباس  نجفی، تا: شنبه سلخ ذیقعده ۱۰۹۹ق( تاریخ به پایان رسیدن کتاب وقوف و صدقات غره ربیع الاول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۱۰۹۷، و تاریخ به پایان رسیدن وصایا سه شنبه ۲۰ ذیقعده 1097)؛ افتادگی: آغاز و انجام ،مصحح، محشی، دارای بلاغاتی در حاشیه و گویا بعضی از آنها به خط خود مؤلف باشد؛ جلد: تیماج قهوه ای ۳۵۴گ، ۲۹  سطر، اندازه: ۲۱/۵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۳۰/۵سم [ف: ۱ - ۵۸  ]</w:t>
      </w:r>
    </w:p>
    <w:p>
      <w:pPr>
        <w:pStyle w:val="BookText"/>
      </w:pPr>
      <w:r>
        <w:rPr>
          <w:rFonts w:ascii="IRNazanin" w:hAnsi="IRNazanin" w:eastAsia="IRNazanin" w:cs="IRNazanin"/>
          <w:lang w:bidi="fa-IR"/>
          <w:color w:val="111111"/>
          <w:sz w:val="28"/>
          <w:szCs w:val="28"/>
          <w:rtl/>
        </w:rPr>
        <w:t xml:space="preserve">۹. قم ؛مرعشی؛ شماره نسخه: ۲۹۲</w:t>
      </w:r>
    </w:p>
    <w:p>
      <w:pPr>
        <w:pStyle w:val="BookText"/>
      </w:pPr>
      <w:r>
        <w:rPr>
          <w:rFonts w:ascii="Amiri" w:hAnsi="Amiri" w:eastAsia="Amiri" w:cs="Amiri"/>
          <w:lang w:bidi="ar-SA"/>
          <w:color w:val="111111"/>
          <w:sz w:val="28"/>
          <w:szCs w:val="28"/>
          <w:rtl/>
        </w:rPr>
        <w:t xml:space="preserve">آغاز: كتاب الحج و لنذكر ههنا ابواباً من الكافي حتى نرجع الى عنونه الشيخ، من باب ماهية الاستطاعة؛ انجام: و نسلك فيه تقدم فى الجزء الاول و الثانى انشاء الله، و الحمد لله رب العالمين</w:t>
      </w:r>
    </w:p>
    <w:p>
      <w:pPr>
        <w:pStyle w:val="BookText"/>
      </w:pPr>
      <w:r>
        <w:rPr>
          <w:rFonts w:ascii="IRNazanin" w:hAnsi="IRNazanin" w:eastAsia="IRNazanin" w:cs="IRNazanin"/>
          <w:lang w:bidi="fa-IR"/>
          <w:color w:val="111111"/>
          <w:sz w:val="28"/>
          <w:szCs w:val="28"/>
          <w:rtl/>
        </w:rPr>
        <w:t xml:space="preserve">كتاب حج؛ خط: نسخ، کا: عباس بن خضر بن عباس نجفی، ۱۰۹۹ق، جا: نجف اشرف؛ مصحح، و دارای بلاغ روی برگ اول نوشته ای است به خط پسر مؤلف که به تاریخ پنجشنبه رجـب ۱۱۰۰ نوشته؛ جلد: تیماج  قرمز، ۳۱۵گ، ۲۹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۲۸سم [ف: ۱ - ۳۳۷]</w:t>
      </w:r>
    </w:p>
    <w:p>
      <w:pPr>
        <w:pStyle w:val="BookText"/>
      </w:pPr>
      <w:r>
        <w:rPr>
          <w:rFonts w:ascii="IRNazanin" w:hAnsi="IRNazanin" w:eastAsia="IRNazanin" w:cs="IRNazanin"/>
          <w:lang w:bidi="fa-IR"/>
          <w:color w:val="111111"/>
          <w:sz w:val="28"/>
          <w:szCs w:val="28"/>
          <w:rtl/>
        </w:rPr>
        <w:t xml:space="preserve">۱۰. تهران؛ ملک؛ شماره نسخه: ۱۹۱۷</w:t>
      </w:r>
    </w:p>
    <w:p>
      <w:pPr>
        <w:pStyle w:val="BookText"/>
      </w:pPr>
      <w:r>
        <w:rPr>
          <w:rFonts w:ascii="IRNazanin" w:hAnsi="IRNazanin" w:eastAsia="IRNazanin" w:cs="IRNazanin"/>
          <w:lang w:bidi="fa-IR"/>
          <w:color w:val="111111"/>
          <w:sz w:val="28"/>
          <w:szCs w:val="28"/>
          <w:rtl/>
        </w:rPr>
        <w:t xml:space="preserve">از وصیت تا پایان فرایض؛ خط: نسخ، بی کا، تا: جمعه ۱۲ رمضـان ۱۱۰۰ق، جا: نجف؛ در برگ نخستین یک صفحه تمام به خط حاج شیخ عباس محدث قمی است؛ کاغذ ،ترمه ،جلد: میشن قهوه ای لبه دار مغزی ،سبز، ۲۸۰ گ، ۲۵ سطر، اندازه:۱۸/۷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۲۵/۵سم [ف: ۱ - ۱۴۲]</w:t>
      </w:r>
    </w:p>
    <w:p>
      <w:pPr>
        <w:pStyle w:val="BookText"/>
      </w:pPr>
      <w:r>
        <w:rPr>
          <w:rFonts w:ascii="IRNazanin" w:hAnsi="IRNazanin" w:eastAsia="IRNazanin" w:cs="IRNazanin"/>
          <w:lang w:bidi="fa-IR"/>
          <w:color w:val="111111"/>
          <w:sz w:val="28"/>
          <w:szCs w:val="28"/>
          <w:rtl/>
        </w:rPr>
        <w:t xml:space="preserve">11.تهران؛ مجلس؛ شماره نسخه ۹۶۳۲</w:t>
      </w:r>
    </w:p>
    <w:p>
      <w:pPr>
        <w:pStyle w:val="BookText"/>
      </w:pPr>
      <w:r>
        <w:rPr>
          <w:rFonts w:ascii="IRNazanin" w:hAnsi="IRNazanin" w:eastAsia="IRNazanin" w:cs="IRNazanin"/>
          <w:lang w:bidi="fa-IR"/>
          <w:color w:val="111111"/>
          <w:sz w:val="28"/>
          <w:szCs w:val="28"/>
          <w:rtl/>
        </w:rPr>
        <w:t xml:space="preserve">آغاز: حماد عن الحلبى قال سئل ابو عبد الله عليه السلام من الذهب و الفضة ما اقل ما يكون فيه الزكوة؛ انجام: ایام اکل و شرب و بعال كان حسن تم كتاب الحج و هو الجزء الثالث الجامع لابواب الاستبصار وغيرها من كتب الاستدلال حرز الامـانی جامع سراير العلماء رحمهم الله تعالى و يتلوه كتاب المزار من التهذيب و الكافى والفقيه وغيرها فاذا وفق الله بفضله و منه کرمه لاتمامه نرجع</w:t>
      </w:r>
    </w:p>
    <w:p>
      <w:pPr>
        <w:pStyle w:val="BookText"/>
      </w:pPr>
      <w:r>
        <w:rPr>
          <w:rFonts w:ascii="IRNazanin" w:hAnsi="IRNazanin" w:eastAsia="IRNazanin" w:cs="IRNazanin"/>
          <w:lang w:bidi="fa-IR"/>
          <w:color w:val="111111"/>
          <w:sz w:val="28"/>
          <w:szCs w:val="28"/>
          <w:rtl/>
        </w:rPr>
        <w:t xml:space="preserve">از کتاب الزكاة تا کتاب الحج و افتادگی دارد؛ خط: نسخ، بی تا،قرن ۱۲ ؛ مصحح، محشی، با نشان «لكاتبها» و «منه سلمه تعالی» جلد: مقوا رویه كاغذ  سبز عطف و گوشه تیماج، ۵۰۸  گ، ۲۳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۲۹سم [ف: ۳۱ - ۲۴  ]</w:t>
      </w:r>
    </w:p>
    <w:p>
      <w:pPr>
        <w:pStyle w:val="BookText"/>
      </w:pPr>
      <w:r>
        <w:rPr>
          <w:rFonts w:ascii="IRNazanin" w:hAnsi="IRNazanin" w:eastAsia="IRNazanin" w:cs="IRNazanin"/>
          <w:lang w:bidi="fa-IR"/>
          <w:color w:val="111111"/>
          <w:sz w:val="28"/>
          <w:szCs w:val="28"/>
          <w:rtl/>
        </w:rPr>
        <w:t xml:space="preserve">۱۲ . مشهد؛ رضوی؛ شماره نسخه ۷۷۲۰</w:t>
      </w:r>
    </w:p>
    <w:p>
      <w:pPr>
        <w:pStyle w:val="BookText"/>
      </w:pPr>
      <w:r>
        <w:rPr>
          <w:rFonts w:ascii="Amiri" w:hAnsi="Amiri" w:eastAsia="Amiri" w:cs="Amiri"/>
          <w:lang w:bidi="ar-SA"/>
          <w:color w:val="111111"/>
          <w:sz w:val="28"/>
          <w:szCs w:val="28"/>
          <w:rtl/>
        </w:rPr>
        <w:t xml:space="preserve">آغاز: و يسفك الدماء فاعرض عنها فران (كذا) ان ذلك من سخطه؛ انجام: و في الشرايع و يكره الاكل على الشبع و فيها ايـضاً  و الممتلى من الماكل و ربما كان الافراط حراما</w:t>
      </w:r>
    </w:p>
    <w:p>
      <w:pPr>
        <w:pStyle w:val="BookText"/>
      </w:pPr>
      <w:r>
        <w:rPr>
          <w:rFonts w:ascii="IRNazanin" w:hAnsi="IRNazanin" w:eastAsia="IRNazanin" w:cs="IRNazanin"/>
          <w:lang w:bidi="fa-IR"/>
          <w:color w:val="111111"/>
          <w:sz w:val="28"/>
          <w:szCs w:val="28"/>
          <w:rtl/>
        </w:rPr>
        <w:t xml:space="preserve">كتب حج، صید و ذباحه و اطعمه و اشربه؛ خط: نسخ، بی کا، اوایل قرن ۱۲؛ افتادگی: آغاز و انجام؛ دارای دو نوع  بلاغ، محشی ، بعضاً از مصنف با نشان «منه» و گاهی از فرزندش ابراهیم با عناوین «ولد المصنف»؛ كاغذ ،نخودی، جلد: تیماج قهوهای ضربی با ترنج و سرترنج و گوشه، ۳۲۵گ ۲۹ سطر، اندازه: ۲۱/۸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۳۲سم [  ۵۳ - ۱۴  ]</w:t>
      </w:r>
    </w:p>
    <w:p>
      <w:pPr>
        <w:pStyle w:val="BookText"/>
      </w:pPr>
      <w:r>
        <w:rPr>
          <w:rFonts w:ascii="IRNazanin" w:hAnsi="IRNazanin" w:eastAsia="IRNazanin" w:cs="IRNazanin"/>
          <w:lang w:bidi="fa-IR"/>
          <w:color w:val="111111"/>
          <w:sz w:val="28"/>
          <w:szCs w:val="28"/>
          <w:rtl/>
        </w:rPr>
        <w:t xml:space="preserve">۱۳. مشهد؛ رضوی؛ شماره نسخه: ۷۷۱۹</w:t>
      </w:r>
    </w:p>
    <w:p>
      <w:pPr>
        <w:pStyle w:val="BookText"/>
      </w:pPr>
      <w:r>
        <w:rPr>
          <w:rFonts w:ascii="IRNazanin" w:hAnsi="IRNazanin" w:eastAsia="IRNazanin" w:cs="IRNazanin"/>
          <w:lang w:bidi="fa-IR"/>
          <w:color w:val="111111"/>
          <w:sz w:val="28"/>
          <w:szCs w:val="28"/>
          <w:rtl/>
        </w:rPr>
        <w:t xml:space="preserve">آغاز: عن ابی عبدالله عليه السلام قال سأل عن الكوز او الاناء يكون قذرا كيف يغتسل؛ انجام: قال باب صلاة الحاجة و روى حديث سماعة المذكور عن الفقيه ثم قال صلاة اخرى للحاجة</w:t>
      </w:r>
    </w:p>
    <w:p>
      <w:pPr>
        <w:pStyle w:val="BookText"/>
      </w:pPr>
      <w:r>
        <w:rPr>
          <w:rFonts w:ascii="IRNazanin" w:hAnsi="IRNazanin" w:eastAsia="IRNazanin" w:cs="IRNazanin"/>
          <w:lang w:bidi="fa-IR"/>
          <w:color w:val="111111"/>
          <w:sz w:val="28"/>
          <w:szCs w:val="28"/>
          <w:rtl/>
        </w:rPr>
        <w:t xml:space="preserve">خط: نسخ ،تحریری، کا: عباس خضر بن عباس  نجفی، تا: اواخر  1100ق؛ مصحح، مقابله شده در محرم ۱۱۰۰( در زمان حیات مولف) با نسخه اصل تصحیح و مقابله شده، محشی به لفظ «منه»؛ کاغذ: نخودی، آهار مهره ،جلد: مقوا رویه گالینگور عطف و گوشه تیماج قهوه ای، ۳۶۰گ، ۲۹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۲۹سم [ف:  ۳۰۲ - ۲۶  ]</w:t>
      </w:r>
    </w:p>
    <w:p>
      <w:pPr>
        <w:pStyle w:val="BookText"/>
      </w:pPr>
      <w:r>
        <w:rPr>
          <w:rFonts w:ascii="IRNazanin" w:hAnsi="IRNazanin" w:eastAsia="IRNazanin" w:cs="IRNazanin"/>
          <w:lang w:bidi="fa-IR"/>
          <w:color w:val="111111"/>
          <w:sz w:val="28"/>
          <w:szCs w:val="28"/>
          <w:rtl/>
        </w:rPr>
        <w:t xml:space="preserve">۱۴. قم؛ مرعشی؛ شماره نسخه: ۷۰۳۸</w:t>
      </w:r>
    </w:p>
    <w:p>
      <w:pPr>
        <w:pStyle w:val="BookText"/>
      </w:pPr>
      <w:r>
        <w:rPr>
          <w:rFonts w:ascii="Amiri" w:hAnsi="Amiri" w:eastAsia="Amiri" w:cs="Amiri"/>
          <w:lang w:bidi="ar-SA"/>
          <w:color w:val="111111"/>
          <w:sz w:val="28"/>
          <w:szCs w:val="28"/>
          <w:rtl/>
        </w:rPr>
        <w:t xml:space="preserve">انجام: عن ابي الحسن عليه السلام في قول الله عز و جل و رهبانية ابتدعوها . قال صلاة الليل</w:t>
      </w:r>
    </w:p>
    <w:p>
      <w:pPr>
        <w:pStyle w:val="BookText"/>
      </w:pPr>
      <w:r>
        <w:rPr>
          <w:rFonts w:ascii="IRNazanin" w:hAnsi="IRNazanin" w:eastAsia="IRNazanin" w:cs="IRNazanin"/>
          <w:lang w:bidi="fa-IR"/>
          <w:color w:val="111111"/>
          <w:sz w:val="28"/>
          <w:szCs w:val="28"/>
          <w:rtl/>
        </w:rPr>
        <w:t xml:space="preserve">كتاب طهارة وصلاة؛ خط: نسخ، كا: عباس بن خضر بن عباس نجفی در نجف، بی تا؛ افتادگی: انجام؛ مصحح، محشی از مؤلف؛ جلد: تيماج قهوه ای، ۴۰۴گ، ۲۹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۳۱/۵سم [ف:  18- 214]</w:t>
      </w:r>
    </w:p>
    <w:p>
      <w:pPr>
        <w:pStyle w:val="BookText"/>
      </w:pPr>
      <w:r>
        <w:rPr>
          <w:rFonts w:ascii="IRNazanin" w:hAnsi="IRNazanin" w:eastAsia="IRNazanin" w:cs="IRNazanin"/>
          <w:lang w:bidi="fa-IR"/>
          <w:color w:val="111111"/>
          <w:sz w:val="28"/>
          <w:szCs w:val="28"/>
          <w:rtl/>
        </w:rPr>
        <w:t xml:space="preserve">۱۵. تهران؛ سپهسالار؛ شماره نسخه: ۵۸۸۸</w:t>
      </w:r>
    </w:p>
    <w:p>
      <w:pPr>
        <w:pStyle w:val="BookText"/>
      </w:pPr>
      <w:r>
        <w:rPr>
          <w:rFonts w:ascii="IRNazanin" w:hAnsi="IRNazanin" w:eastAsia="IRNazanin" w:cs="IRNazanin"/>
          <w:lang w:bidi="fa-IR"/>
          <w:color w:val="111111"/>
          <w:sz w:val="28"/>
          <w:szCs w:val="28"/>
          <w:rtl/>
        </w:rPr>
        <w:t xml:space="preserve">آغاز ،بسمله، قال الکلینی باب ثواب العتق وفضله والرغبة فيه؛ انجام: وقد تم كتاب الوقوف والصدقات من كتاب «الجامع لاسرار العلماء» ويتلوه كتاب الوصايا ... على يد جامعه ... القاسم بن محمد الكاظمى وذلك غرة ربيع الاول سنة ١٠٩٧ في حرم امير المؤمنين ... رب العالمين.</w:t>
      </w:r>
    </w:p>
    <w:p>
      <w:pPr>
        <w:pStyle w:val="BookText"/>
      </w:pPr>
      <w:r>
        <w:rPr>
          <w:rFonts w:ascii="IRNazanin" w:hAnsi="IRNazanin" w:eastAsia="IRNazanin" w:cs="IRNazanin"/>
          <w:lang w:bidi="fa-IR"/>
          <w:color w:val="111111"/>
          <w:sz w:val="28"/>
          <w:szCs w:val="28"/>
          <w:rtl/>
        </w:rPr>
        <w:t xml:space="preserve">از عتق تا وقف و صدقات؛ خط:  نسخ، کا: عبدالله بن ناصر بن حميدان بن سالم  قطیعی، تا: پنج شنبه ۱ ربیع الاول ۱۱۲۳ق، جا: مدرسه خلیفه سلطان خیابان قزوین؛ محشی با نشان «لولده ره»؛ کاغذ: سپاهانی ،نخدی ،جلد: تیماج سرخ مقوایی، ضربی با  برگردان ،۴۵۴گ، ۲۳ سطر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۲۴سم [ف:  ۷ - ۴  ]</w:t>
      </w:r>
    </w:p>
    <w:p>
      <w:pPr>
        <w:pStyle w:val="BookText"/>
      </w:pPr>
      <w:r>
        <w:rPr>
          <w:rFonts w:ascii="IRNazanin" w:hAnsi="IRNazanin" w:eastAsia="IRNazanin" w:cs="IRNazanin"/>
          <w:lang w:bidi="fa-IR"/>
          <w:color w:val="111111"/>
          <w:sz w:val="28"/>
          <w:szCs w:val="28"/>
          <w:rtl/>
        </w:rPr>
        <w:t xml:space="preserve">۱۶ . زنجان؛ امام جمعه؛ شماره نسخه:۴</w:t>
      </w:r>
    </w:p>
    <w:p>
      <w:pPr>
        <w:pStyle w:val="BookText"/>
      </w:pPr>
      <w:r>
        <w:rPr>
          <w:rFonts w:ascii="IRNazanin" w:hAnsi="IRNazanin" w:eastAsia="IRNazanin" w:cs="IRNazanin"/>
          <w:lang w:bidi="fa-IR"/>
          <w:color w:val="111111"/>
          <w:sz w:val="28"/>
          <w:szCs w:val="28"/>
          <w:rtl/>
        </w:rPr>
        <w:t xml:space="preserve">كتاب المكاسب والبيع؛ خط: نسخ، کا: میرزا محمد بن اسماعیل حسینی طالقانی قزوینی ،تا: ذیقعده ۱۱۲۳ق؛ مصحح، محشی با عناوين «لولد المصنف محمد ابراهیم» و «لراقمه رضی»، در ده برگ آغازین مقدمه مؤلف بر جلد اول کتاب در چگونگی یافتن احادیث در کتاب حاضر و برخی فواید پراکنده به نقل از مؤلف و اشعاری عربی از فرزند مؤلف در مدح کتاب حاضر دیده می شود، در دو برگ پایانی وقف کتاب از علی بن رضی و آنهایی از مؤلف جهت فرزندش محمد ابراهیم در اواخر رمضان ۱۰۹۴ق در مسجد کوفه آمده است؛ مهر: «هذا من الكتب الموقوفة للخزانة المجتهدية قدس سره و هو محمد بن قاسم الحسینی ۱۱۲۶» (دایره)؛ جلد: تیماج مشکی سرطبل  دار، ۳۳۲گ، ۲۵ سطر، اندازه: ۱۹</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۳۱سم [اوراق عتيق ۱ - ۱۴۷]</w:t>
      </w:r>
    </w:p>
    <w:p>
      <w:pPr>
        <w:pStyle w:val="BookText"/>
      </w:pPr>
      <w:r>
        <w:rPr>
          <w:rFonts w:ascii="IRNazanin" w:hAnsi="IRNazanin" w:eastAsia="IRNazanin" w:cs="IRNazanin"/>
          <w:lang w:bidi="fa-IR"/>
          <w:color w:val="111111"/>
          <w:sz w:val="28"/>
          <w:szCs w:val="28"/>
          <w:rtl/>
        </w:rPr>
        <w:t xml:space="preserve">۱۷. زنجان؛ امام جمعه؛ شماره نسخه: ۸</w:t>
      </w:r>
    </w:p>
    <w:p>
      <w:pPr>
        <w:pStyle w:val="BookText"/>
      </w:pPr>
      <w:r>
        <w:rPr>
          <w:rFonts w:ascii="IRNazanin" w:hAnsi="IRNazanin" w:eastAsia="IRNazanin" w:cs="IRNazanin"/>
          <w:lang w:bidi="fa-IR"/>
          <w:color w:val="111111"/>
          <w:sz w:val="28"/>
          <w:szCs w:val="28"/>
          <w:rtl/>
        </w:rPr>
        <w:t xml:space="preserve">كتاب النكاح تا كتاب العتيقه ؛ خط: نسخ، کا: میرزا محمد بن اسماعیل حسینی طالقانی قزوینی، تا: ۳ ربیع الاول ۱۱۲۴ق؛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39" w:name="pg20365_260177"/>
    <w:bookmarkEnd w:id="139"/>
    <w:p>
      <w:pPr>
        <w:pStyle w:val="BookText"/>
      </w:pPr>
      <w:r>
        <w:rPr>
          <w:rFonts w:ascii="IRNazanin" w:hAnsi="IRNazanin" w:eastAsia="IRNazanin" w:cs="IRNazanin"/>
          <w:lang w:bidi="fa-IR"/>
          <w:color w:val="111111"/>
          <w:sz w:val="28"/>
          <w:szCs w:val="28"/>
          <w:rtl/>
        </w:rPr>
        <w:t xml:space="preserve">مصحح، در برگ پایانی صورت قرائت فرزند مؤلف کتاب را نزد پدرش به سال ۱۰۹۵ق آمده؛ مهر: «صراط على حق نمسکه» (بیضی)، وقف كتاب بر خزانه مجتهدیه (دایره)؛ واقف: على  بن رضی قزوینی؛ جلد: تیماج قهوه ای ضربی سرطبل  دار، ۳۷۴گ ؛اندازه: ۱۸/۵</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۳۱سم [اوراق عتيق ۱ - ۱۴۸]</w:t>
      </w:r>
    </w:p>
    <w:p>
      <w:pPr>
        <w:pStyle w:val="BookText"/>
      </w:pPr>
      <w:r>
        <w:rPr>
          <w:rFonts w:ascii="IRNazanin" w:hAnsi="IRNazanin" w:eastAsia="IRNazanin" w:cs="IRNazanin"/>
          <w:lang w:bidi="fa-IR"/>
          <w:color w:val="111111"/>
          <w:sz w:val="28"/>
          <w:szCs w:val="28"/>
          <w:rtl/>
        </w:rPr>
        <w:t xml:space="preserve">قم؛ مرکز احیاء؛ شماره نسخه: ۱۸۱۰</w:t>
      </w:r>
    </w:p>
    <w:p>
      <w:pPr>
        <w:pStyle w:val="BookText"/>
      </w:pPr>
      <w:r>
        <w:rPr>
          <w:rFonts w:ascii="IRNazanin" w:hAnsi="IRNazanin" w:eastAsia="IRNazanin" w:cs="IRNazanin"/>
          <w:lang w:bidi="fa-IR"/>
          <w:color w:val="111111"/>
          <w:sz w:val="28"/>
          <w:szCs w:val="28"/>
          <w:rtl/>
        </w:rPr>
        <w:t xml:space="preserve">نسخه اصل: همان نسخه بالا [عکسی ف: ۵ - ۲۷۶]</w:t>
      </w:r>
    </w:p>
    <w:p>
      <w:pPr>
        <w:pStyle w:val="BookText"/>
      </w:pPr>
      <w:r>
        <w:rPr>
          <w:rFonts w:ascii="IRNazanin" w:hAnsi="IRNazanin" w:eastAsia="IRNazanin" w:cs="IRNazanin"/>
          <w:lang w:bidi="fa-IR"/>
          <w:color w:val="111111"/>
          <w:sz w:val="28"/>
          <w:szCs w:val="28"/>
          <w:rtl/>
        </w:rPr>
        <w:t xml:space="preserve">۱۸. تهران؛ ملی؛ شماره نسخه ۲۳۶۰</w:t>
      </w:r>
    </w:p>
    <w:p>
      <w:pPr>
        <w:pStyle w:val="BookText"/>
      </w:pPr>
      <w:r>
        <w:rPr>
          <w:rFonts w:ascii="IRNazanin" w:hAnsi="IRNazanin" w:eastAsia="IRNazanin" w:cs="IRNazanin"/>
          <w:lang w:bidi="fa-IR"/>
          <w:color w:val="111111"/>
          <w:sz w:val="28"/>
          <w:szCs w:val="28"/>
          <w:rtl/>
        </w:rPr>
        <w:t xml:space="preserve">آغاز: كتاب الزكوة و لنقدم فيه فوائد الفائدة الأولى فى وجو فرض الزكوة و ما تجب فى المال من الحقوق؛ انجام: لا تصوموا فانها ایام اكل و شرب و بعال كام حسنا، تم الكتاب الحج و هو الجزء الثالث ... بالنبي الكريم و الوصى العليم.</w:t>
      </w:r>
    </w:p>
    <w:p>
      <w:pPr>
        <w:pStyle w:val="BookText"/>
      </w:pPr>
      <w:r>
        <w:rPr>
          <w:rFonts w:ascii="IRNazanin" w:hAnsi="IRNazanin" w:eastAsia="IRNazanin" w:cs="IRNazanin"/>
          <w:lang w:bidi="fa-IR"/>
          <w:color w:val="111111"/>
          <w:sz w:val="28"/>
          <w:szCs w:val="28"/>
          <w:rtl/>
        </w:rPr>
        <w:t xml:space="preserve">كتاب الزكوة وكتاب الصيام و كتاب الحج ؛ خط: نسخ و نستعلیق، کا: محمد تقی بن بكتاش بن جاسر بن نصر الله کاظمی،تا: ۱۱۸۹ق، جا: نجف اشرف؛ در برگ ۲ مطلبی به خط حمائلی نوشته مبنی بر این که «محمد علی نجفی و ناصر بن حسين بن نويح محمد بن یس» نسخه را مقابله و در آن نظر نموده و در حوات پاره ای از اوراق نسخه عبارت «بلغ مقابلة ايده الله و بلغ قرائة ا الله تعالی» نوشته شده، در حاشیه برگ ۳ یادداشتی در وقف نسـخه طلاب دینی در سال ۱۲۳۸ توسط حاج محمد حسن قزویـنی، محشی بیشتر از خود مؤلف و پاره ای ازمطالب توضیح لغـات مشکل متن با استفاده از کتبی همچون صحاح، در بر رگ ۱۰۵تا ۱۱۲ (حد فاصل بین جلد دوم و سوم دوم و سوم کتاب) مطالبی در ارتباط با کتاب الصیام در چند فائده و خاتمه نوشته شده، در ابتداء نسـخه حاضر قبل از شروع مطالب کتاب نام آن الجامع للحكم المسـمی «حرز الامانی» نوشته شده که این نام به غلط از عبارت پایـانی کتاب گرفته شده است؛ کاغذ: فرنگی ،جلد: تیماج مشکـی ،مقوایی ، اندرون جلد روکش کاغذی فرنگی، ۴۴۶گ متغیر بین ۲۸ و ۳۰ سطر (12</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۲۰/۵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۳۰/۵سم [ف : ۱۲ - ۱۱۵]</w:t>
      </w:r>
    </w:p>
    <w:p>
      <w:pPr>
        <w:pStyle w:val="BookText"/>
      </w:pPr>
      <w:r>
        <w:rPr>
          <w:rFonts w:ascii="IRNazanin" w:hAnsi="IRNazanin" w:eastAsia="IRNazanin" w:cs="IRNazanin"/>
          <w:lang w:bidi="fa-IR"/>
          <w:color w:val="111111"/>
          <w:sz w:val="28"/>
          <w:szCs w:val="28"/>
          <w:rtl/>
        </w:rPr>
        <w:t xml:space="preserve">۱۹. زنجان؛ امام جمعه؛ شماره نسخه: ۱۰</w:t>
      </w:r>
    </w:p>
    <w:p>
      <w:pPr>
        <w:pStyle w:val="BookText"/>
      </w:pPr>
      <w:r>
        <w:rPr>
          <w:rFonts w:ascii="IRNazanin" w:hAnsi="IRNazanin" w:eastAsia="IRNazanin" w:cs="IRNazanin"/>
          <w:lang w:bidi="fa-IR"/>
          <w:color w:val="111111"/>
          <w:sz w:val="28"/>
          <w:szCs w:val="28"/>
          <w:rtl/>
        </w:rPr>
        <w:t xml:space="preserve">كتاب الوصايا تألیف شده در ۲۰ ذیقعده ۱۰۹۷ق و کتـاب  الفرائض تأليف ۱۲ رمضان ۱۱۱۰ق؛ بی کا، بی تا؛ مصحح، محشی ،با عنوان «لولد المؤلف محمد ابراهيم»، در پایان کتاب الوصایا یادداشتی از فرزند مؤلف که کتاب بر او توسط پدرش املا شـده؛ مهر: وقف کتاب بر خزانه مجتهدیه (دایره)؛ جلد: مقوایی تیماج  قرمز، ۲۲۰گ مختلف السطر، اندازه: ۲۲</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۳۱/۵سم [اوراق عتيق: ۱ - ۱۴۹]</w:t>
      </w:r>
    </w:p>
    <w:p>
      <w:pPr>
        <w:pStyle w:val="BookText"/>
      </w:pPr>
      <w:r>
        <w:rPr>
          <w:rFonts w:ascii="IRNazanin" w:hAnsi="IRNazanin" w:eastAsia="IRNazanin" w:cs="IRNazanin"/>
          <w:lang w:bidi="fa-IR"/>
          <w:color w:val="111111"/>
          <w:sz w:val="28"/>
          <w:szCs w:val="28"/>
          <w:rtl/>
        </w:rPr>
        <w:t xml:space="preserve">۲۰. تهران؛ مفتاح؛ شماره نسخه ۷۰</w:t>
      </w:r>
    </w:p>
    <w:p>
      <w:pPr>
        <w:pStyle w:val="BookText"/>
      </w:pPr>
      <w:r>
        <w:rPr>
          <w:rFonts w:ascii="IRNazanin" w:hAnsi="IRNazanin" w:eastAsia="IRNazanin" w:cs="IRNazanin"/>
          <w:lang w:bidi="fa-IR"/>
          <w:color w:val="111111"/>
          <w:sz w:val="28"/>
          <w:szCs w:val="28"/>
          <w:rtl/>
        </w:rPr>
        <w:t xml:space="preserve">از زکات تا  حج که جزء سوم است وساخته در ۲۲  ربیع الاول ۱۰۸۹؛ خط: نسخ، کا: محمد تقی بن بكتاش بن جابر نصیر الدین کاظمی الوندی، تا: دوشنبه ۲۳ جمادی سال؛ افتادگی: انجام؛ از ص ع بر می آید که در این هنگام مؤلف هنوز زنده بوده است؛ ناصر بن حاجی حسین بن تويج بن محمد بن يس نجفی  و محمد علی نجفی و كطکر سهفین طعفق آن را خوانده اند؛ واقف: حاج محمد حسن  قزوینی، جمادی الاول ۱۲۳۸ق؛ جلد: تيماج مشکی  مقوایی، قطع: رحلی [نشریه: ۷ - ۱۲۷]</w:t>
      </w:r>
    </w:p>
    <w:p>
      <w:pPr>
        <w:pStyle w:val="BookText"/>
      </w:pPr>
      <w:r>
        <w:rPr>
          <w:rFonts w:ascii="IRNazanin" w:hAnsi="IRNazanin" w:eastAsia="IRNazanin" w:cs="IRNazanin"/>
          <w:lang w:bidi="fa-IR"/>
          <w:color w:val="111111"/>
          <w:sz w:val="28"/>
          <w:szCs w:val="28"/>
          <w:rtl/>
        </w:rPr>
        <w:t xml:space="preserve">۲۱. قم؛ مرعشی؛ شماره نسخه: ۳۱۷</w:t>
      </w:r>
    </w:p>
    <w:p>
      <w:pPr>
        <w:pStyle w:val="BookText"/>
      </w:pPr>
      <w:r>
        <w:rPr>
          <w:rFonts w:ascii="Amiri" w:hAnsi="Amiri" w:eastAsia="Amiri" w:cs="Amiri"/>
          <w:lang w:bidi="ar-SA"/>
          <w:color w:val="111111"/>
          <w:sz w:val="28"/>
          <w:szCs w:val="28"/>
          <w:rtl/>
        </w:rPr>
        <w:t xml:space="preserve">آغاز: للايجاز و الاختصار و اقتصرنا على هذه الجملة التي قدمناها؛</w:t>
      </w:r>
    </w:p>
    <w:p>
      <w:pPr>
        <w:pStyle w:val="BookText"/>
      </w:pPr>
      <w:r>
        <w:rPr>
          <w:rFonts w:ascii="Amiri" w:hAnsi="Amiri" w:eastAsia="Amiri" w:cs="Amiri"/>
          <w:lang w:bidi="ar-SA"/>
          <w:color w:val="111111"/>
          <w:sz w:val="28"/>
          <w:szCs w:val="28"/>
          <w:rtl/>
        </w:rPr>
        <w:t xml:space="preserve">انجام فيحتج على اهل كل قرية من اهتم بصلاته و من ضيعها.</w:t>
      </w:r>
    </w:p>
    <w:p>
      <w:pPr>
        <w:pStyle w:val="BookText"/>
      </w:pPr>
      <w:r>
        <w:rPr>
          <w:rFonts w:ascii="IRNazanin" w:hAnsi="IRNazanin" w:eastAsia="IRNazanin" w:cs="IRNazanin"/>
          <w:lang w:bidi="fa-IR"/>
          <w:color w:val="111111"/>
          <w:sz w:val="28"/>
          <w:szCs w:val="28"/>
          <w:rtl/>
        </w:rPr>
        <w:t xml:space="preserve">از اول کتاب تا آخر کتاب صلاة، در آخر کتاب طهارت کتاب را به نام «الاصل في الحکم» نامیده چنانکه در آخر کتاب صلاة کتاب را به نام «جامع الحکم» نامیده است؛ خط: نسخ، کا: محمد بن شیخ احمد کاظمی نزیل ،نجف، تا: ۲ جمادی الاول ۸۷ ؟؛ افتادگی: آغاز؛ از روی خط ،مصنف محشی از خود مؤلف، دارای آثار بلاغ ،جلد: تیماج  قرمز، ۳۲۸گ، ۲۹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۳۰سم [ف: ۱ - ۳۵۶]</w:t>
      </w:r>
    </w:p>
    <w:p>
      <w:pPr>
        <w:pStyle w:val="BookText"/>
      </w:pPr>
      <w:r>
        <w:rPr>
          <w:rFonts w:ascii="IRNazanin" w:hAnsi="IRNazanin" w:eastAsia="IRNazanin" w:cs="IRNazanin"/>
          <w:lang w:bidi="fa-IR"/>
          <w:color w:val="111111"/>
          <w:sz w:val="28"/>
          <w:szCs w:val="28"/>
          <w:rtl/>
        </w:rPr>
        <w:t xml:space="preserve">۲۲. قم؛ مرعشی؛ شماره نسخه: ۹۸۵۱</w:t>
      </w:r>
    </w:p>
    <w:p>
      <w:pPr>
        <w:pStyle w:val="BookText"/>
      </w:pPr>
      <w:r>
        <w:rPr>
          <w:rFonts w:ascii="IRNazanin" w:hAnsi="IRNazanin" w:eastAsia="IRNazanin" w:cs="IRNazanin"/>
          <w:lang w:bidi="fa-IR"/>
          <w:color w:val="111111"/>
          <w:sz w:val="28"/>
          <w:szCs w:val="28"/>
          <w:rtl/>
        </w:rPr>
        <w:t xml:space="preserve">قطعه ای از کتاب ارث و قضاء؛ خط: نسخ، بی کا، تا: در عصر مؤلف؛ افتادگی: آغاز و انجام؛ مصحح؛ ۹۳گ، ۲۳ سطر، اندازه:</w:t>
      </w:r>
    </w:p>
    <w:p>
      <w:pPr>
        <w:pStyle w:val="BookText"/>
      </w:pPr>
      <w:r>
        <w:rPr>
          <w:rFonts w:ascii="IRNazanin" w:hAnsi="IRNazanin" w:eastAsia="IRNazanin" w:cs="IRNazanin"/>
          <w:lang w:bidi="fa-IR"/>
          <w:color w:val="111111"/>
          <w:sz w:val="28"/>
          <w:szCs w:val="28"/>
          <w:rtl/>
        </w:rPr>
        <w:t xml:space="preserve">۱۸/۵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۲۵ - ۱۶۷]</w:t>
      </w:r>
    </w:p>
    <w:p>
      <w:pPr>
        <w:pStyle w:val="BookText"/>
      </w:pPr>
      <w:r>
        <w:rPr>
          <w:rFonts w:ascii="IRNazanin" w:hAnsi="IRNazanin" w:eastAsia="IRNazanin" w:cs="IRNazanin"/>
          <w:lang w:bidi="fa-IR"/>
          <w:color w:val="111111"/>
          <w:sz w:val="28"/>
          <w:szCs w:val="28"/>
          <w:rtl/>
        </w:rPr>
        <w:t xml:space="preserve">۲۳. قم؛ مرعشی؛ شماره نسخه: ۱۸۹۷</w:t>
      </w:r>
    </w:p>
    <w:p>
      <w:pPr>
        <w:pStyle w:val="BookText"/>
      </w:pPr>
      <w:r>
        <w:rPr>
          <w:rFonts w:ascii="IRNazanin" w:hAnsi="IRNazanin" w:eastAsia="IRNazanin" w:cs="IRNazanin"/>
          <w:lang w:bidi="fa-IR"/>
          <w:color w:val="111111"/>
          <w:sz w:val="28"/>
          <w:szCs w:val="28"/>
          <w:rtl/>
        </w:rPr>
        <w:t xml:space="preserve">انجام: عن حفص بن عمر البجلي قال شكوت الى ابي عبدالله عليه  السلام حالی و انتشار امری الیه</w:t>
      </w:r>
    </w:p>
    <w:p>
      <w:pPr>
        <w:pStyle w:val="BookText"/>
      </w:pPr>
      <w:r>
        <w:rPr>
          <w:rFonts w:ascii="IRNazanin" w:hAnsi="IRNazanin" w:eastAsia="IRNazanin" w:cs="IRNazanin"/>
          <w:lang w:bidi="fa-IR"/>
          <w:color w:val="111111"/>
          <w:sz w:val="28"/>
          <w:szCs w:val="28"/>
          <w:rtl/>
        </w:rPr>
        <w:t xml:space="preserve">کتاب مکاسب؛ خط: نسخ، بی کا، بی تا؛ افتادگی: انجام؛ مصحح، محشی؛ مهر: «سید محمد مولانا تبریزی) (بیضی)؛ جلد: دورو تیماج رو مشکی پشت قهوه ای،۲۶۴ گ، ۲۹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۲۹سم [ف: ۵ - ۲۷۰]</w:t>
      </w:r>
    </w:p>
    <w:p>
      <w:pPr>
        <w:pStyle w:val="Heading3"/>
      </w:pPr>
      <w:bookmarkStart w:id="961" w:name="_Toc483"/>
      <w:r>
        <w:t>الاستبصار فى النص على الائمة الاطهار / كلام و  اعتقادات و حدیث / عربی</w:t>
      </w:r>
      <w:bookmarkEnd w:id="961"/>
    </w:p>
    <w:p>
      <w:pPr>
        <w:pStyle w:val="BookText"/>
      </w:pPr>
      <w:r>
        <w:rPr>
          <w:rFonts w:ascii="Times New Roman" w:hAnsi="Times New Roman" w:eastAsia="Times New Roman" w:cs="Times New Roman"/>
          <w:lang w:val="en-US" w:bidi="en-US"/>
          <w:color w:val="111111"/>
          <w:sz w:val="28"/>
          <w:szCs w:val="28"/>
          <w:rtl/>
        </w:rPr>
        <w:t xml:space="preserve">al-istibşar fi-n-nass al-al-a'immat-il-athar</w:t>
      </w:r>
    </w:p>
    <w:p>
      <w:pPr>
        <w:pStyle w:val="BookText"/>
      </w:pPr>
      <w:r>
        <w:rPr>
          <w:rFonts w:ascii="IRNazanin" w:hAnsi="IRNazanin" w:eastAsia="IRNazanin" w:cs="IRNazanin"/>
          <w:lang w:bidi="fa-IR"/>
          <w:color w:val="111111"/>
          <w:sz w:val="28"/>
          <w:szCs w:val="28"/>
          <w:rtl/>
        </w:rPr>
        <w:t xml:space="preserve">کراجکی، محمد بن علی، - ۴۴۹ قمری</w:t>
      </w:r>
    </w:p>
    <w:p>
      <w:pPr>
        <w:pStyle w:val="BookText"/>
      </w:pPr>
      <w:r>
        <w:rPr>
          <w:rFonts w:ascii="Times New Roman" w:hAnsi="Times New Roman" w:eastAsia="Times New Roman" w:cs="Times New Roman"/>
          <w:lang w:val="en-US" w:bidi="en-US"/>
          <w:color w:val="111111"/>
          <w:sz w:val="28"/>
          <w:szCs w:val="28"/>
          <w:rtl/>
        </w:rPr>
        <w:t xml:space="preserve">(karājakī, mohammad ebn-e ‘alī (- 1058</w:t>
      </w:r>
    </w:p>
    <w:p>
      <w:pPr>
        <w:pStyle w:val="BookText"/>
      </w:pPr>
      <w:r>
        <w:rPr>
          <w:rFonts w:ascii="IRNazanin" w:hAnsi="IRNazanin" w:eastAsia="IRNazanin" w:cs="IRNazanin"/>
          <w:lang w:bidi="fa-IR"/>
          <w:color w:val="111111"/>
          <w:sz w:val="28"/>
          <w:szCs w:val="28"/>
          <w:rtl/>
        </w:rPr>
        <w:t xml:space="preserve">کتابی است در اثبات امامت و ولایت ائمه اطهار (علیهم السّلام)با استفاده از نصوص روایی از طرق شیعه و اهل سنت، گرچه از حجم اندکی برخوردار است لیکن محتوای علمی دارد، برخی نام کتاب را «الاستنصار» آورده،اند، لیکن صاحب الذريعه و علامه سید عبدالعزیز طباطبائی (رحمه الله) همان «الاستبصار» را صحيح دانسته اند، مشتمل بر دو «باب» .۱ روایتهای طریق خاصه؛ ۲. روایت های طریق  عامه، هر کدام دارای چند «فصل».</w:t>
      </w:r>
    </w:p>
    <w:p>
      <w:pPr>
        <w:pStyle w:val="BookText"/>
      </w:pPr>
      <w:r>
        <w:rPr>
          <w:rFonts w:ascii="IRNazanin" w:hAnsi="IRNazanin" w:eastAsia="IRNazanin" w:cs="IRNazanin"/>
          <w:lang w:bidi="fa-IR"/>
          <w:color w:val="111111"/>
          <w:sz w:val="28"/>
          <w:szCs w:val="28"/>
          <w:rtl/>
        </w:rPr>
        <w:t xml:space="preserve">آغاز: بسمله. الحمد لله الذى أوضح سبيل الحق و أبانه و أقام عليه دلیله و برهانه و لطف فى الهداية اليه و التعريف و اراح العلل في جمیع   التكليف.</w:t>
      </w:r>
    </w:p>
    <w:p>
      <w:pPr>
        <w:pStyle w:val="BookText"/>
      </w:pPr>
      <w:r>
        <w:rPr>
          <w:rFonts w:ascii="IRNazanin" w:hAnsi="IRNazanin" w:eastAsia="IRNazanin" w:cs="IRNazanin"/>
          <w:lang w:bidi="fa-IR"/>
          <w:color w:val="111111"/>
          <w:sz w:val="28"/>
          <w:szCs w:val="28"/>
          <w:rtl/>
        </w:rPr>
        <w:t xml:space="preserve">انجام: و بیان على انهم بعد النبى ائمة الازمان و حجج  الله تعالى  على الانس والجان و قدوفيت بما وعدت في اول هذا الكتاب... الحمد لله الموفق للهداية والارشاد وصلى الله على خيرته من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40" w:name="pg20365_260178"/>
    <w:bookmarkEnd w:id="140"/>
    <w:p>
      <w:pPr>
        <w:pStyle w:val="BookText"/>
      </w:pPr>
      <w:r>
        <w:rPr>
          <w:rFonts w:ascii="Amiri" w:hAnsi="Amiri" w:eastAsia="Amiri" w:cs="Amiri"/>
          <w:lang w:bidi="ar-SA"/>
          <w:color w:val="111111"/>
          <w:sz w:val="28"/>
          <w:szCs w:val="28"/>
          <w:rtl/>
        </w:rPr>
        <w:t xml:space="preserve">جميع  العباد سيدنا محمد خاتم النبيين و آله الطاهرين و سـلم تسليماً والحمد لله كثيراً تمت.</w:t>
      </w:r>
    </w:p>
    <w:p>
      <w:pPr>
        <w:pStyle w:val="BookText"/>
      </w:pPr>
      <w:r>
        <w:rPr>
          <w:rFonts w:ascii="IRNazanin" w:hAnsi="IRNazanin" w:eastAsia="IRNazanin" w:cs="IRNazanin"/>
          <w:lang w:bidi="fa-IR"/>
          <w:color w:val="111111"/>
          <w:sz w:val="28"/>
          <w:szCs w:val="28"/>
          <w:rtl/>
        </w:rPr>
        <w:t xml:space="preserve">چاپ: با نام «الاستبصار» ،نجف، ۱۳۴۶؛ با تحقیق محمد اسلامی یزدی، در مجموعه حدیث شیعه، دفتر دوم از سوی مؤسـسه دار الحديث قم، ۱۳۷۸ش</w:t>
      </w:r>
    </w:p>
    <w:p>
      <w:pPr>
        <w:pStyle w:val="BookText"/>
      </w:pPr>
      <w:r>
        <w:rPr>
          <w:rFonts w:ascii="IRNazanin" w:hAnsi="IRNazanin" w:eastAsia="IRNazanin" w:cs="IRNazanin"/>
          <w:lang w:bidi="fa-IR"/>
          <w:color w:val="111111"/>
          <w:sz w:val="28"/>
          <w:szCs w:val="28"/>
          <w:rtl/>
        </w:rPr>
        <w:t xml:space="preserve">[الذريعة ،۱۶/۲ میراث حدیث شیعه 2/ 89- 124]</w:t>
      </w:r>
    </w:p>
    <w:p>
      <w:pPr>
        <w:pStyle w:val="BookText"/>
      </w:pPr>
      <w:r>
        <w:rPr>
          <w:rFonts w:ascii="IRNazanin" w:hAnsi="IRNazanin" w:eastAsia="IRNazanin" w:cs="IRNazanin"/>
          <w:lang w:bidi="fa-IR"/>
          <w:color w:val="111111"/>
          <w:sz w:val="28"/>
          <w:szCs w:val="28"/>
          <w:rtl/>
        </w:rPr>
        <w:t xml:space="preserve">۱. تهران؛ مجلس؛ شماره نسخه: ۴۵۶۶/۹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محمد بن علی مشهور به صفی الدین، تا: ۹۶۰ق؛ کاغذ: سپاهانی، جلد: تیماج قهوه ای ۵گ (۳۱ پ-۳۶ر)، اندازه:</w:t>
      </w:r>
    </w:p>
    <w:p>
      <w:pPr>
        <w:pStyle w:val="BookText"/>
      </w:pPr>
      <w:r>
        <w:rPr>
          <w:rFonts w:ascii="IRNazanin" w:hAnsi="IRNazanin" w:eastAsia="IRNazanin" w:cs="IRNazanin"/>
          <w:lang w:bidi="fa-IR"/>
          <w:color w:val="111111"/>
          <w:sz w:val="28"/>
          <w:szCs w:val="28"/>
          <w:rtl/>
        </w:rPr>
        <w:t xml:space="preserve">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۱۲ - ۲۶۲]</w:t>
      </w:r>
    </w:p>
    <w:p>
      <w:pPr>
        <w:pStyle w:val="BookText"/>
      </w:pPr>
      <w:r>
        <w:rPr>
          <w:rFonts w:ascii="IRNazanin" w:hAnsi="IRNazanin" w:eastAsia="IRNazanin" w:cs="IRNazanin"/>
          <w:lang w:bidi="fa-IR"/>
          <w:color w:val="111111"/>
          <w:sz w:val="28"/>
          <w:szCs w:val="28"/>
          <w:rtl/>
        </w:rPr>
        <w:t xml:space="preserve">1.تهران؛ مجلس؛ شماره نسخه: ۱۵۳۵۹/۱۳</w:t>
      </w:r>
    </w:p>
    <w:p>
      <w:pPr>
        <w:pStyle w:val="BookText"/>
      </w:pPr>
      <w:r>
        <w:rPr>
          <w:rFonts w:ascii="IRNazanin" w:hAnsi="IRNazanin" w:eastAsia="IRNazanin" w:cs="IRNazanin"/>
          <w:lang w:bidi="fa-IR"/>
          <w:color w:val="111111"/>
          <w:sz w:val="28"/>
          <w:szCs w:val="28"/>
          <w:rtl/>
        </w:rPr>
        <w:t xml:space="preserve">آغاز: حسین بن زید بن على عن جعفر بن محمد عن آبائه عليهم السلام قال قال رسول الله صلى الله عليه و آله ابشروا ثم ابشروا  ثم ابشروا</w:t>
      </w:r>
    </w:p>
    <w:p>
      <w:pPr>
        <w:pStyle w:val="BookText"/>
      </w:pPr>
      <w:r>
        <w:rPr>
          <w:rFonts w:ascii="IRNazanin" w:hAnsi="IRNazanin" w:eastAsia="IRNazanin" w:cs="IRNazanin"/>
          <w:lang w:bidi="fa-IR"/>
          <w:color w:val="111111"/>
          <w:sz w:val="28"/>
          <w:szCs w:val="28"/>
          <w:rtl/>
        </w:rPr>
        <w:t xml:space="preserve">خط: نسخ، کا: سید محمد مقیم موسوی، تا: شنبه ۱۶ربیع الاول، ۱۰۶۳ق، جا: نجف اشرف ،افتادگی: آغاز؛ جلد: تیماج يشـمی، ضربی، ۳۰ ص (۳۲۲-۳۵۱) ، ۱۹ سطر ،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۱۸/۸سم[ ف:۴۳-  46]</w:t>
      </w:r>
    </w:p>
    <w:p>
      <w:pPr>
        <w:pStyle w:val="BookText"/>
      </w:pPr>
      <w:r>
        <w:rPr>
          <w:rFonts w:ascii="IRNazanin" w:hAnsi="IRNazanin" w:eastAsia="IRNazanin" w:cs="IRNazanin"/>
          <w:lang w:bidi="fa-IR"/>
          <w:color w:val="111111"/>
          <w:sz w:val="28"/>
          <w:szCs w:val="28"/>
          <w:rtl/>
        </w:rPr>
        <w:t xml:space="preserve">3.تهران؛ دانشگاه ؛شماره نسخه: ۶۹۱۴/۳۰</w:t>
      </w:r>
    </w:p>
    <w:p>
      <w:pPr>
        <w:pStyle w:val="BookText"/>
      </w:pPr>
      <w:r>
        <w:rPr>
          <w:rFonts w:ascii="IRNazanin" w:hAnsi="IRNazanin" w:eastAsia="IRNazanin" w:cs="IRNazanin"/>
          <w:lang w:bidi="fa-IR"/>
          <w:color w:val="111111"/>
          <w:sz w:val="28"/>
          <w:szCs w:val="28"/>
          <w:rtl/>
        </w:rPr>
        <w:t xml:space="preserve">خط: نسخ، بی کا، تا: قرن ۱۳؛ کاغذ: فرنگی، جلد: تیماج تریاکی گرد و عطف مشکی لایی ۱۷ سطر (9</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قطع: ربعی  ، اندازه:۱۵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۱۶ - ۳۹۹]</w:t>
      </w:r>
    </w:p>
    <w:p>
      <w:pPr>
        <w:pStyle w:val="BookText"/>
      </w:pPr>
      <w:r>
        <w:rPr>
          <w:rFonts w:ascii="IRNazanin" w:hAnsi="IRNazanin" w:eastAsia="IRNazanin" w:cs="IRNazanin"/>
          <w:lang w:bidi="fa-IR"/>
          <w:color w:val="111111"/>
          <w:sz w:val="28"/>
          <w:szCs w:val="28"/>
          <w:rtl/>
        </w:rPr>
        <w:t xml:space="preserve">4.قم، مرعشی؛ شماره نسخه: ۱۴۶۷۳/۷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 نسخ، کا: عبد الله بن محمد سعید خوانساری، تا: ۱۲۳۳  ق؛ مجدول مذهب ،کاغذ: فرنگی آهار مهره، ۱۰گ ۱۵۴ ر-۱۶۳ پ) ۲۳ ،سطر، اندازه: 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۱۴/۵سم [ف: ۳۷ - ۱۵۴]</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تهران؛ مجلس؛ شماره نسخه: ۹۵۸۴/۱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۱۳۱۸ق، جلد: تیماج سرخ، ۲۱گ (۲پ-۲۲ر)، ۱۵ سطر،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۳۰ - ۲۳۵]</w:t>
      </w:r>
    </w:p>
    <w:p>
      <w:pPr>
        <w:pStyle w:val="BookText"/>
      </w:pPr>
      <w:r>
        <w:rPr>
          <w:rFonts w:ascii="IRNazanin" w:hAnsi="IRNazanin" w:eastAsia="IRNazanin" w:cs="IRNazanin"/>
          <w:lang w:bidi="fa-IR"/>
          <w:color w:val="111111"/>
          <w:sz w:val="28"/>
          <w:szCs w:val="28"/>
          <w:rtl/>
        </w:rPr>
        <w:t xml:space="preserve">6.قم؛ مرعشی؛ شماره نسخه: ۱۲۸۰۶/۲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محمد امین صدر الاسلام  خوئی، تا: ۱۳۳۶ق؛ آیت الله محمد امین صدر الاسلام خوئی کتابخانه بسیار نفیسی داشته که در آن تألیفات وی افزون بر پنجاه نسخه موجود بوده است.</w:t>
      </w:r>
    </w:p>
    <w:p>
      <w:pPr>
        <w:pStyle w:val="BookText"/>
      </w:pPr>
      <w:r>
        <w:rPr>
          <w:rFonts w:ascii="IRNazanin" w:hAnsi="IRNazanin" w:eastAsia="IRNazanin" w:cs="IRNazanin"/>
          <w:lang w:bidi="fa-IR"/>
          <w:color w:val="111111"/>
          <w:sz w:val="28"/>
          <w:szCs w:val="28"/>
          <w:rtl/>
        </w:rPr>
        <w:t xml:space="preserve">فرزند آن مرحوم دکتر امامی خوئی آنها را توسط زنده یاد مرحوم استاد دکتر عباس زریاب خوئی به این کتابخانه اهداء نمودند؛ ۱۸گ( ۷ر- ر - ۲۴ پ)، ۱۵ ،سطر، اندازه: 9</w:t>
      </w:r>
      <w:r>
        <w:rPr>
          <w:rFonts w:ascii="Times New Roman" w:hAnsi="Times New Roman" w:eastAsia="Times New Roman" w:cs="Times New Roman"/>
          <w:lang w:val="en-US" w:bidi="en-US"/>
          <w:color w:val="111111"/>
          <w:sz w:val="28"/>
          <w:szCs w:val="28"/>
          <w:rtl/>
        </w:rPr>
        <w:t xml:space="preserve">× 15/5</w:t>
      </w:r>
      <w:r>
        <w:rPr>
          <w:rFonts w:ascii="IRNazanin" w:hAnsi="IRNazanin" w:eastAsia="IRNazanin" w:cs="IRNazanin"/>
          <w:lang w:bidi="fa-IR"/>
          <w:color w:val="111111"/>
          <w:sz w:val="28"/>
          <w:szCs w:val="28"/>
          <w:rtl/>
        </w:rPr>
        <w:t xml:space="preserve">سم [ف: 32- 511]</w:t>
      </w:r>
    </w:p>
    <w:p>
      <w:pPr>
        <w:pStyle w:val="BookText"/>
      </w:pPr>
      <w:r>
        <w:rPr>
          <w:rFonts w:ascii="IRNazanin" w:hAnsi="IRNazanin" w:eastAsia="IRNazanin" w:cs="IRNazanin"/>
          <w:lang w:bidi="fa-IR"/>
          <w:color w:val="111111"/>
          <w:sz w:val="28"/>
          <w:szCs w:val="28"/>
          <w:rtl/>
        </w:rPr>
        <w:t xml:space="preserve">۷. قم؛ مرعشی؛ شماره نسخه: ۳۶۹۴/۶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جلد: مقوایی عطف تیماج قهوه ای، ۱۱گ  (۳۷ر-۴۷ر)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۱۰ - ۹۳]</w:t>
      </w:r>
    </w:p>
    <w:p>
      <w:pPr>
        <w:pStyle w:val="BookText"/>
      </w:pPr>
      <w:r>
        <w:rPr>
          <w:rFonts w:ascii="IRNazanin" w:hAnsi="IRNazanin" w:eastAsia="IRNazanin" w:cs="IRNazanin"/>
          <w:lang w:bidi="fa-IR"/>
          <w:color w:val="111111"/>
          <w:sz w:val="28"/>
          <w:szCs w:val="28"/>
          <w:rtl/>
        </w:rPr>
        <w:t xml:space="preserve">۸. قم؛ مرعشی؛ شماره نسخه: ۱۳۱۳/۶ عکسی</w:t>
      </w:r>
    </w:p>
    <w:p>
      <w:pPr>
        <w:pStyle w:val="BookText"/>
      </w:pPr>
      <w:r>
        <w:rPr>
          <w:rFonts w:ascii="Amiri" w:hAnsi="Amiri" w:eastAsia="Amiri" w:cs="Amiri"/>
          <w:lang w:bidi="ar-SA"/>
          <w:color w:val="111111"/>
          <w:sz w:val="28"/>
          <w:szCs w:val="28"/>
          <w:rtl/>
        </w:rPr>
        <w:t xml:space="preserve">آغاز: و الناصبة وهما جميعاً ما رواه الايمة مع تباينهما في الاعتقاد و ما بينهما من الاختلاف والتضاد</w:t>
      </w:r>
    </w:p>
    <w:p>
      <w:pPr>
        <w:pStyle w:val="BookText"/>
      </w:pPr>
      <w:r>
        <w:rPr>
          <w:rFonts w:ascii="IRNazanin" w:hAnsi="IRNazanin" w:eastAsia="IRNazanin" w:cs="IRNazanin"/>
          <w:lang w:bidi="fa-IR"/>
          <w:color w:val="111111"/>
          <w:sz w:val="28"/>
          <w:szCs w:val="28"/>
          <w:rtl/>
        </w:rPr>
        <w:t xml:space="preserve">نسخه اصل: کتابخانه شخصی فخرالدین نصیری، تهران؛خط ،نسخ، بی کا، بی تا، افتادگی: آغاز ۱۹ ص( ۷۰-۸۸) ، ۱۴ سطر</w:t>
      </w:r>
    </w:p>
    <w:p>
      <w:pPr>
        <w:pStyle w:val="BookText"/>
      </w:pPr>
      <w:r>
        <w:rPr>
          <w:rFonts w:ascii="IRNazanin" w:hAnsi="IRNazanin" w:eastAsia="IRNazanin" w:cs="IRNazanin"/>
          <w:lang w:bidi="fa-IR"/>
          <w:color w:val="111111"/>
          <w:sz w:val="28"/>
          <w:szCs w:val="28"/>
          <w:rtl/>
        </w:rPr>
        <w:t xml:space="preserve">[عکسی ف: ۴ - ۲۶]</w:t>
      </w:r>
    </w:p>
    <w:p>
      <w:pPr>
        <w:pStyle w:val="BookText"/>
      </w:pPr>
      <w:r>
        <w:rPr>
          <w:rFonts w:ascii="IRNazanin" w:hAnsi="IRNazanin" w:eastAsia="IRNazanin" w:cs="IRNazanin"/>
          <w:lang w:bidi="fa-IR"/>
          <w:color w:val="111111"/>
          <w:sz w:val="28"/>
          <w:szCs w:val="28"/>
          <w:rtl/>
        </w:rPr>
        <w:t xml:space="preserve">۹. تهران؛ سپهسالار؛ شماره نسخه: ۲۵۳۳/۱۳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بی کا، بی تا؛ ۱۲گ (256پ-۲۶۷پ) [ف: ۳ - ۱۱۹]</w:t>
      </w:r>
    </w:p>
    <w:p>
      <w:pPr>
        <w:pStyle w:val="BookText"/>
      </w:pPr>
      <w:r>
        <w:rPr>
          <w:rFonts w:ascii="IRNazanin" w:hAnsi="IRNazanin" w:eastAsia="IRNazanin" w:cs="IRNazanin"/>
          <w:lang w:bidi="fa-IR"/>
          <w:color w:val="111111"/>
          <w:sz w:val="28"/>
          <w:szCs w:val="28"/>
          <w:rtl/>
        </w:rPr>
        <w:t xml:space="preserve">۱۰. تهران؛ دانشگاه؛ شماره نسخه: ۲۱۳۳/۴</w:t>
      </w:r>
    </w:p>
    <w:p>
      <w:pPr>
        <w:pStyle w:val="BookText"/>
      </w:pPr>
      <w:r>
        <w:rPr>
          <w:rFonts w:ascii="IRNazanin" w:hAnsi="IRNazanin" w:eastAsia="IRNazanin" w:cs="IRNazanin"/>
          <w:lang w:bidi="fa-IR"/>
          <w:color w:val="111111"/>
          <w:sz w:val="28"/>
          <w:szCs w:val="28"/>
          <w:rtl/>
        </w:rPr>
        <w:t xml:space="preserve">خط: نسخ، کا: حسن، بی تا، کاغذ ،فرنگی، جلد: مقوا، ۱۹ص (۱- 19)  ،  ۲۳ 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۲۵/۵سم [ف: ۹ - ۷۷۵]</w:t>
      </w:r>
    </w:p>
    <w:p>
      <w:pPr>
        <w:pStyle w:val="BookText"/>
      </w:pPr>
      <w:r>
        <w:rPr>
          <w:rFonts w:ascii="IRNazanin" w:hAnsi="IRNazanin" w:eastAsia="IRNazanin" w:cs="IRNazanin"/>
          <w:lang w:bidi="fa-IR"/>
          <w:color w:val="111111"/>
          <w:sz w:val="28"/>
          <w:szCs w:val="28"/>
          <w:rtl/>
        </w:rPr>
        <w:t xml:space="preserve">۱۱. اصفهان؛ مدرسه صدر بازار؛ شماره نسخه: ۹۱۴/۶</w:t>
      </w:r>
    </w:p>
    <w:p>
      <w:pPr>
        <w:pStyle w:val="BookText"/>
      </w:pPr>
      <w:r>
        <w:rPr>
          <w:rFonts w:ascii="IRNazanin" w:hAnsi="IRNazanin" w:eastAsia="IRNazanin" w:cs="IRNazanin"/>
          <w:lang w:bidi="fa-IR"/>
          <w:color w:val="111111"/>
          <w:sz w:val="28"/>
          <w:szCs w:val="28"/>
          <w:rtl/>
        </w:rPr>
        <w:t xml:space="preserve">خط: نسخ، بی کا، بی تا؛ ۹گ (55ر-۶۳ر)،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۲۷سم [ف:  3- 682]</w:t>
      </w:r>
    </w:p>
    <w:p>
      <w:pPr>
        <w:pStyle w:val="Heading3"/>
      </w:pPr>
      <w:bookmarkStart w:id="962" w:name="_Toc484"/>
      <w:r>
        <w:t>الاستبصار فى انساب الانصار / انساب / عربي</w:t>
      </w:r>
      <w:bookmarkEnd w:id="962"/>
    </w:p>
    <w:p>
      <w:pPr>
        <w:pStyle w:val="BookText"/>
      </w:pPr>
      <w:r>
        <w:rPr>
          <w:rFonts w:ascii="Times New Roman" w:hAnsi="Times New Roman" w:eastAsia="Times New Roman" w:cs="Times New Roman"/>
          <w:lang w:val="en-US" w:bidi="en-US"/>
          <w:color w:val="111111"/>
          <w:sz w:val="28"/>
          <w:szCs w:val="28"/>
          <w:rtl/>
        </w:rPr>
        <w:t xml:space="preserve">al-istibşar fi ansab-il-ansar</w:t>
      </w:r>
    </w:p>
    <w:p>
      <w:pPr>
        <w:pStyle w:val="BookText"/>
      </w:pPr>
      <w:r>
        <w:rPr>
          <w:rFonts w:ascii="IRNazanin" w:hAnsi="IRNazanin" w:eastAsia="IRNazanin" w:cs="IRNazanin"/>
          <w:lang w:bidi="fa-IR"/>
          <w:color w:val="111111"/>
          <w:sz w:val="28"/>
          <w:szCs w:val="28"/>
          <w:rtl/>
        </w:rPr>
        <w:t xml:space="preserve">ابن قدامه عبدالله بن  احمد، ۵۴۱ - ۶۲۰ قمری</w:t>
      </w:r>
    </w:p>
    <w:p>
      <w:pPr>
        <w:pStyle w:val="BookText"/>
      </w:pPr>
      <w:r>
        <w:rPr>
          <w:rFonts w:ascii="Times New Roman" w:hAnsi="Times New Roman" w:eastAsia="Times New Roman" w:cs="Times New Roman"/>
          <w:lang w:val="en-US" w:bidi="en-US"/>
          <w:color w:val="111111"/>
          <w:sz w:val="28"/>
          <w:szCs w:val="28"/>
          <w:rtl/>
        </w:rPr>
        <w:t xml:space="preserve">(ebn-e qodāma, ‘abd-ol-lāh ebn-e ahmad (1147 - 1224)</w:t>
      </w:r>
    </w:p>
    <w:p>
      <w:pPr>
        <w:pStyle w:val="BookText"/>
      </w:pPr>
      <w:r>
        <w:rPr>
          <w:rFonts w:ascii="IRNazanin" w:hAnsi="IRNazanin" w:eastAsia="IRNazanin" w:cs="IRNazanin"/>
          <w:lang w:bidi="fa-IR"/>
          <w:color w:val="111111"/>
          <w:sz w:val="28"/>
          <w:szCs w:val="28"/>
          <w:rtl/>
        </w:rPr>
        <w:t xml:space="preserve">چاپ: محقق: على نويهض ،بیروت، دار الفکر، ۱۳۹۱ق.</w:t>
      </w:r>
    </w:p>
    <w:p>
      <w:pPr>
        <w:pStyle w:val="BookText"/>
      </w:pPr>
      <w:r>
        <w:rPr>
          <w:rFonts w:ascii="IRNazanin" w:hAnsi="IRNazanin" w:eastAsia="IRNazanin" w:cs="IRNazanin"/>
          <w:lang w:bidi="fa-IR"/>
          <w:color w:val="111111"/>
          <w:sz w:val="28"/>
          <w:szCs w:val="28"/>
          <w:rtl/>
        </w:rPr>
        <w:t xml:space="preserve">تهران؛ دانشگاه؛ شماره نسخه ۴۲۵۴-ف</w:t>
      </w:r>
    </w:p>
    <w:p>
      <w:pPr>
        <w:pStyle w:val="BookText"/>
      </w:pPr>
      <w:r>
        <w:rPr>
          <w:rFonts w:ascii="IRNazanin" w:hAnsi="IRNazanin" w:eastAsia="IRNazanin" w:cs="IRNazanin"/>
          <w:lang w:bidi="fa-IR"/>
          <w:color w:val="111111"/>
          <w:sz w:val="28"/>
          <w:szCs w:val="28"/>
          <w:rtl/>
        </w:rPr>
        <w:t xml:space="preserve">نسخه اصل: قاهره دار الكتب المصرية ۳۴۹ تاریخ ۵۷۵؛  بی کا، تا:قرن ۷ [ فیلم ها -ف: ۳ - ۳۸]</w:t>
      </w:r>
    </w:p>
    <w:p>
      <w:pPr>
        <w:pStyle w:val="Heading3"/>
      </w:pPr>
      <w:bookmarkStart w:id="963" w:name="_Toc485"/>
      <w:r>
        <w:t>الاستبصار فيما اختلف من الاخبار / حدیث / عربي</w:t>
      </w:r>
      <w:bookmarkEnd w:id="963"/>
    </w:p>
    <w:p>
      <w:pPr>
        <w:pStyle w:val="BookText"/>
      </w:pPr>
      <w:r>
        <w:rPr>
          <w:rFonts w:ascii="Times New Roman" w:hAnsi="Times New Roman" w:eastAsia="Times New Roman" w:cs="Times New Roman"/>
          <w:lang w:val="en-US" w:bidi="en-US"/>
          <w:color w:val="111111"/>
          <w:sz w:val="28"/>
          <w:szCs w:val="28"/>
          <w:rtl/>
        </w:rPr>
        <w:t xml:space="preserve">al-istibsar fima-xtalif-a min-al axbar</w:t>
      </w:r>
    </w:p>
    <w:p>
      <w:pPr>
        <w:pStyle w:val="BookText"/>
      </w:pPr>
      <w:r>
        <w:rPr>
          <w:rFonts w:ascii="IRNazanin" w:hAnsi="IRNazanin" w:eastAsia="IRNazanin" w:cs="IRNazanin"/>
          <w:lang w:bidi="fa-IR"/>
          <w:color w:val="111111"/>
          <w:sz w:val="28"/>
          <w:szCs w:val="28"/>
          <w:rtl/>
        </w:rPr>
        <w:t xml:space="preserve">شیخ طوسی، محمد بن حسن، ۳۸۵ - ۴۶۰ قمری</w:t>
      </w:r>
    </w:p>
    <w:p>
      <w:pPr>
        <w:pStyle w:val="BookText"/>
      </w:pPr>
      <w:r>
        <w:rPr>
          <w:rFonts w:ascii="Times New Roman" w:hAnsi="Times New Roman" w:eastAsia="Times New Roman" w:cs="Times New Roman"/>
          <w:lang w:val="en-US" w:bidi="en-US"/>
          <w:color w:val="111111"/>
          <w:sz w:val="28"/>
          <w:szCs w:val="28"/>
          <w:rtl/>
        </w:rPr>
        <w:t xml:space="preserve">(šayx-e tūsī, mohammad ebn-e hasan (996 - 1069)</w:t>
      </w:r>
    </w:p>
    <w:p>
      <w:pPr>
        <w:pStyle w:val="BookText"/>
      </w:pPr>
      <w:r>
        <w:rPr>
          <w:rFonts w:ascii="IRNazanin" w:hAnsi="IRNazanin" w:eastAsia="IRNazanin" w:cs="IRNazanin"/>
          <w:lang w:bidi="fa-IR"/>
          <w:color w:val="111111"/>
          <w:sz w:val="28"/>
          <w:szCs w:val="28"/>
          <w:rtl/>
        </w:rPr>
        <w:t xml:space="preserve">این کتاب از کتب اربعه شیعه به شمار می آید و مؤلف ابتدا «تهذیب» و سپس «النهایه» (که کتابی فتوایی است) را تألیف نمود و چون هنگام گردآوری  آن، با تعارض و تخالف ظواهر برخی از اخبار مواجه گردید از این روی تصمیم گرفت کتاب مستقلی که جامع این گونه اخبار باشد بنگارد. وی خود درباره انگیزه تألیف چنین می نویسد «گروهی از یاران ما کتاب «تهذيب الاحکام» را برای دستیابی بر حلال و حرام نیکو شمردند و خواستار این شدند که احادیث مختلف به طور اختصار ومجزا گردآوری شود تا شخص متوسط و متبحر در فقه از آن استفاده نماید و بیشتر احادیث را که با هم مختلف و اصحاب ما بازگو نموده اند در یک مجموعه گردآوری شود و تاکنون کسی از دانشمندان اقدام به این امر مهم نکرده است. اینان از من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خواستند که در هر باب نخست احادیث و روایاتی را که مورد اعتماد من است و به آنها فتوا می دهم بیاورم و سپس اخبار مخالف با هم  را نوشته و جمع بین آنها را تاحد امکان شرح دهم تا چیزی از آنها ساقط نگردد» و در پایان کتاب چنین فرموده است: «و كنت سلكت فى اول الكتاب ايراد الاحادیث باسانیدها و على ذلك اعتمدت فى الجزء الاول و الثاني ثم اختصرت الجزء الثالث و عولت على الابتداء بذكر الراوى الذى اخذت الحديث من كتابه او اصله على ان اورد عند الفراغ من الكتاب جملة من الاسانيد يتوصل بها الى هذه الكتب والاصول حسـب ما عملته في كتاب تهذيب الاحكام».</w:t>
      </w:r>
    </w:p>
    <w:p>
      <w:pPr>
        <w:pStyle w:val="BookText"/>
      </w:pPr>
      <w:r>
        <w:rPr>
          <w:rFonts w:ascii="IRNazanin" w:hAnsi="IRNazanin" w:eastAsia="IRNazanin" w:cs="IRNazanin"/>
          <w:lang w:bidi="fa-IR"/>
          <w:color w:val="111111"/>
          <w:sz w:val="28"/>
          <w:szCs w:val="28"/>
          <w:rtl/>
        </w:rPr>
        <w:t xml:space="preserve">کتاب در سه جزء ترتیب یافته که جلد ۱ و ۲ شامل عبادات جلد ۳ درباره سایر ابواب فقه یعنی عقود، ایقاعات و احکام اسـت تا حدود و دیات جلد اول مشتمل بر ۳۰۰ «باب» و 1899 حدیث،جلد دوم ۲۱۷ «باب» و ۱۱۷۹ حدیث و جلد سوم398 «باب» و ۲۴۵۵ حدیث می باشد که به حساب مؤلف مجموع ابواب سه جزء ۹۲۵ «باب» و احادیث آنها بالغ بر ۵۵۱۱ حدیث است ولی در حساب سهو شده و صحیح این است که تعداد ابواب ۹۱۵ و شمار احادیث ۵۵۳۳ است). شیخ طوسی چون در «تهذیب» و «استبصار» در همه جا همه سند و رجال روایت را یاد نکرده برای هر دو مشیخه ای نوشت که یکی هستند. پس برای  این که خبرهای این دو کتاب مرسل نگردد ناگزیر بایستی به این دو مشیخه و فهرست و رجال طوسی و همچنین رجال نجاشی و دیگران نگریست و سندها را یافت (مستدرک ۷۱۹ )لذا سـید مهدی بحر العلوم بروجردی (۱۱۵۵-۱۲۱۲) مشیخه ای نوشت  آن از سستی و درستی سندهای روایت های شیخ طوسی مشیخه و فهرست گفتگو کرد. حاج محمد بن علی اردبيلی شاگرد مجلسی (زنده در ۱۰۹۸) «تصحيح الاسانيد» نوشته بسیاری از سندهای «تهذیب» و «استبصار» که در مشیخه فهرست نادرست و سست می نمود درست نشان داد و گزیده ای از همین را در فائده ۷ «جامع الرواة» خود آورده است. شیخ  حر عاملی در فائده دوم خاتمه «تفصيل وسائل الشیعه» هم از سندهای  مشيخه (تهذیب» و «استبصار» گفتگو کرده است. محدث نوری در فائده ۶ «مستدرک» همه تصحیح الاسانید اردبیلی را با کاوش هایی از خود آورد و مامقانی در پایان «تنقیح المقـال»  گزیده ای از همان «تصحیح الاسانید» را یاد نموده است.</w:t>
      </w:r>
    </w:p>
    <w:p>
      <w:pPr>
        <w:pStyle w:val="BookText"/>
      </w:pPr>
      <w:r>
        <w:rPr>
          <w:rFonts w:ascii="IRNazanin" w:hAnsi="IRNazanin" w:eastAsia="IRNazanin" w:cs="IRNazanin"/>
          <w:lang w:bidi="fa-IR"/>
          <w:color w:val="111111"/>
          <w:sz w:val="28"/>
          <w:szCs w:val="28"/>
          <w:rtl/>
        </w:rPr>
        <w:t xml:space="preserve">آغاز: الحمد لله ولى الحمد ومستحقه والصلوة على خيرته خلقه محمد وآله الطاهرين من عترته وسلم تسليما، اما بعد فانی رايت جماعة من اصحابنا لما نظروا فى كتبنا الكبير</w:t>
      </w:r>
    </w:p>
    <w:p>
      <w:pPr>
        <w:pStyle w:val="BookText"/>
      </w:pPr>
      <w:r>
        <w:rPr>
          <w:rFonts w:ascii="IRNazanin" w:hAnsi="IRNazanin" w:eastAsia="IRNazanin" w:cs="IRNazanin"/>
          <w:lang w:bidi="fa-IR"/>
          <w:color w:val="111111"/>
          <w:sz w:val="28"/>
          <w:szCs w:val="28"/>
          <w:rtl/>
        </w:rPr>
        <w:t xml:space="preserve">انجام: (پایان کتاب:) و يمكن ان تحمل هذه الروايات عـلی ضرب من التقية لان ذلك مذهب كثير من العامة و قد روی  ذلك عن النبي صلى الله عليه و آله الطاهرين.</w:t>
      </w:r>
    </w:p>
    <w:p>
      <w:pPr>
        <w:pStyle w:val="BookText"/>
      </w:pPr>
      <w:r>
        <w:rPr>
          <w:rFonts w:ascii="IRNazanin" w:hAnsi="IRNazanin" w:eastAsia="IRNazanin" w:cs="IRNazanin"/>
          <w:lang w:bidi="fa-IR"/>
          <w:color w:val="111111"/>
          <w:sz w:val="28"/>
          <w:szCs w:val="28"/>
          <w:rtl/>
        </w:rPr>
        <w:t xml:space="preserve">(پایان مشیخه) یشتمل على خمسة الف و خمسمائه واحد عـشر حديثا حصرتها لئلا يقع فيها زيادة او نقصان والله الموفق للصواب  والحمد لله...</w:t>
      </w:r>
    </w:p>
    <w:p>
      <w:pPr>
        <w:pStyle w:val="BookText"/>
      </w:pPr>
      <w:r>
        <w:rPr>
          <w:rFonts w:ascii="IRNazanin" w:hAnsi="IRNazanin" w:eastAsia="IRNazanin" w:cs="IRNazanin"/>
          <w:lang w:bidi="fa-IR"/>
          <w:color w:val="111111"/>
          <w:sz w:val="28"/>
          <w:szCs w:val="28"/>
          <w:rtl/>
        </w:rPr>
        <w:t xml:space="preserve">چاپ: لکهنو، سنگی، بدون تاریخ وزیری بزرگ، (۱۵+۱- ۱۷۲+۱۰۲۴۵ صص)؛ لکهنو ،سنگی در ۳ جلد، ۱۳۰۷، وزیری بزرگ؛ به کوشش حسن موسوی خرسان و اهتمام محمد آخوندی، نجف، ۱۳۷۵-۱۳۷۶ق، در ۴ جلد  [الذريعة ،۱۴/۲-۱۷، ۱۷/۶-۱۹؛ مشار عربی ۴۸ و ۴۷؛ معجم المطبوعات ۱۲۴۸۲؛ فهرستگان خطی حدیث ۲۲۷/۲-۲۶۲]</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IRNazanin" w:hAnsi="IRNazanin" w:eastAsia="IRNazanin" w:cs="IRNazanin"/>
          <w:lang w:bidi="fa-IR"/>
          <w:color w:val="111111"/>
          <w:sz w:val="28"/>
          <w:szCs w:val="28"/>
          <w:rtl/>
        </w:rPr>
        <w:t xml:space="preserve">١- مشيخة التهذيب و الاستبصار؛ شیخ طوسی، محمد بن حسن (۳۸۵-۴۶۰)</w:t>
      </w:r>
    </w:p>
    <w:p>
      <w:pPr>
        <w:pStyle w:val="BookText"/>
      </w:pPr>
      <w:r>
        <w:rPr>
          <w:rFonts w:ascii="IRNazanin" w:hAnsi="IRNazanin" w:eastAsia="IRNazanin" w:cs="IRNazanin"/>
          <w:lang w:bidi="fa-IR"/>
          <w:color w:val="111111"/>
          <w:sz w:val="28"/>
          <w:szCs w:val="28"/>
          <w:rtl/>
        </w:rPr>
        <w:t xml:space="preserve">۲- تحرير بيان الاخبار التى فى اول الاستبصار - شرح مقدمة  الاستبصار؛ قطب راوندی، سعید بن هبة الله (-۵۷۳)</w:t>
      </w:r>
    </w:p>
    <w:p>
      <w:pPr>
        <w:pStyle w:val="BookText"/>
      </w:pPr>
      <w:r>
        <w:rPr>
          <w:rFonts w:ascii="Amiri" w:hAnsi="Amiri" w:eastAsia="Amiri" w:cs="Amiri"/>
          <w:lang w:bidi="ar-SA"/>
          <w:color w:val="111111"/>
          <w:sz w:val="28"/>
          <w:szCs w:val="28"/>
          <w:rtl/>
        </w:rPr>
        <w:t xml:space="preserve">3- استقصاء الاعتبار في شرح الاستبصار ؛ سبط الشهيد، محمد بن حسن  (۱۰۳۰ - ۹۸۰)</w:t>
      </w:r>
    </w:p>
    <w:p>
      <w:pPr>
        <w:pStyle w:val="BookText"/>
      </w:pPr>
      <w:r>
        <w:rPr>
          <w:rFonts w:ascii="IRNazanin" w:hAnsi="IRNazanin" w:eastAsia="IRNazanin" w:cs="IRNazanin"/>
          <w:lang w:bidi="fa-IR"/>
          <w:color w:val="111111"/>
          <w:sz w:val="28"/>
          <w:szCs w:val="28"/>
          <w:rtl/>
        </w:rPr>
        <w:t xml:space="preserve">٤ - الفوائد المكية - حاشية الاستبصار؛ استر آبادی، محمد امین بن محمد شريف (-۱۰۳۳)</w:t>
      </w:r>
    </w:p>
    <w:p>
      <w:pPr>
        <w:pStyle w:val="BookText"/>
      </w:pPr>
      <w:r>
        <w:rPr>
          <w:rFonts w:ascii="IRNazanin" w:hAnsi="IRNazanin" w:eastAsia="IRNazanin" w:cs="IRNazanin"/>
          <w:lang w:bidi="fa-IR"/>
          <w:color w:val="111111"/>
          <w:sz w:val="28"/>
          <w:szCs w:val="28"/>
          <w:rtl/>
        </w:rPr>
        <w:t xml:space="preserve">٥- حاشية الاستبصار ؛ میرداماد محمد باقر بن محمد (-۱۰۴۱)</w:t>
      </w:r>
    </w:p>
    <w:p>
      <w:pPr>
        <w:pStyle w:val="BookText"/>
      </w:pPr>
      <w:r>
        <w:rPr>
          <w:rFonts w:ascii="IRNazanin" w:hAnsi="IRNazanin" w:eastAsia="IRNazanin" w:cs="IRNazanin"/>
          <w:lang w:bidi="fa-IR"/>
          <w:color w:val="111111"/>
          <w:sz w:val="28"/>
          <w:szCs w:val="28"/>
          <w:rtl/>
        </w:rPr>
        <w:t xml:space="preserve">٦- مناهج الاخبار فى شرح كتاب الاستبصار ؛ علوی عاملی، احمد بن زين العابدین (-۱۰۵۴)</w:t>
      </w:r>
    </w:p>
    <w:p>
      <w:pPr>
        <w:pStyle w:val="BookText"/>
      </w:pPr>
      <w:r>
        <w:rPr>
          <w:rFonts w:ascii="IRNazanin" w:hAnsi="IRNazanin" w:eastAsia="IRNazanin" w:cs="IRNazanin"/>
          <w:lang w:bidi="fa-IR"/>
          <w:color w:val="111111"/>
          <w:sz w:val="28"/>
          <w:szCs w:val="28"/>
          <w:rtl/>
        </w:rPr>
        <w:t xml:space="preserve">٧- حاشية الاستبصار ،شیروانی، محمد بن حسن (۱۰۳۳-۱۰۹۸)</w:t>
      </w:r>
    </w:p>
    <w:p>
      <w:pPr>
        <w:pStyle w:val="BookText"/>
      </w:pPr>
      <w:r>
        <w:rPr>
          <w:rFonts w:ascii="IRNazanin" w:hAnsi="IRNazanin" w:eastAsia="IRNazanin" w:cs="IRNazanin"/>
          <w:lang w:bidi="fa-IR"/>
          <w:color w:val="111111"/>
          <w:sz w:val="28"/>
          <w:szCs w:val="28"/>
          <w:rtl/>
        </w:rPr>
        <w:t xml:space="preserve">۸- حاشية الاستبصار ؛ محقق خوانساری حسین بن محمد (۱۰۱۶  - 1099)</w:t>
      </w:r>
    </w:p>
    <w:p>
      <w:pPr>
        <w:pStyle w:val="BookText"/>
      </w:pPr>
      <w:r>
        <w:rPr>
          <w:rFonts w:ascii="Amiri" w:hAnsi="Amiri" w:eastAsia="Amiri" w:cs="Amiri"/>
          <w:lang w:bidi="ar-SA"/>
          <w:color w:val="111111"/>
          <w:sz w:val="28"/>
          <w:szCs w:val="28"/>
          <w:rtl/>
        </w:rPr>
        <w:t xml:space="preserve">9- استبصار الاخبار - جامع اسرار العلماء - جامع الاحاديث و الاقوال  - الجامع الكبير ؛ ابن الوندى، قاسم بن محمد (-۱۱۰۰)</w:t>
      </w:r>
    </w:p>
    <w:p>
      <w:pPr>
        <w:pStyle w:val="BookText"/>
      </w:pPr>
      <w:r>
        <w:rPr>
          <w:rFonts w:ascii="IRNazanin" w:hAnsi="IRNazanin" w:eastAsia="IRNazanin" w:cs="IRNazanin"/>
          <w:lang w:bidi="fa-IR"/>
          <w:color w:val="111111"/>
          <w:sz w:val="28"/>
          <w:szCs w:val="28"/>
          <w:rtl/>
        </w:rPr>
        <w:t xml:space="preserve">١٠- كشف الاسرار في شرح الاستبصار؛ جزایری، نعمة الله بن عبد الله  (۱۱۱۲-۱۰۵۰ )</w:t>
      </w:r>
    </w:p>
    <w:p>
      <w:pPr>
        <w:pStyle w:val="BookText"/>
      </w:pPr>
      <w:r>
        <w:rPr>
          <w:rFonts w:ascii="IRNazanin" w:hAnsi="IRNazanin" w:eastAsia="IRNazanin" w:cs="IRNazanin"/>
          <w:lang w:bidi="fa-IR"/>
          <w:color w:val="111111"/>
          <w:sz w:val="28"/>
          <w:szCs w:val="28"/>
          <w:rtl/>
        </w:rPr>
        <w:t xml:space="preserve">۱۱ - الاعتبار فى اختصار الاستبصار؛ بختیاری حویزی، یعقوب بن ابراهيم ( - ۱۱۵۰)</w:t>
      </w:r>
    </w:p>
    <w:p>
      <w:pPr>
        <w:pStyle w:val="BookText"/>
      </w:pPr>
      <w:r>
        <w:rPr>
          <w:rFonts w:ascii="IRNazanin" w:hAnsi="IRNazanin" w:eastAsia="IRNazanin" w:cs="IRNazanin"/>
          <w:lang w:bidi="fa-IR"/>
          <w:color w:val="111111"/>
          <w:sz w:val="28"/>
          <w:szCs w:val="28"/>
          <w:rtl/>
        </w:rPr>
        <w:t xml:space="preserve">۱۲- شرح و ترتیب مشیخه تهذیب و استبصار؛ استر آبادی، محمد جعفر بن سيف الدین (۱۱۹۸-۱۲۶۳)</w:t>
      </w:r>
    </w:p>
    <w:p>
      <w:pPr>
        <w:pStyle w:val="BookText"/>
      </w:pPr>
      <w:r>
        <w:rPr>
          <w:rFonts w:ascii="IRNazanin" w:hAnsi="IRNazanin" w:eastAsia="IRNazanin" w:cs="IRNazanin"/>
          <w:lang w:bidi="fa-IR"/>
          <w:color w:val="111111"/>
          <w:sz w:val="28"/>
          <w:szCs w:val="28"/>
          <w:rtl/>
        </w:rPr>
        <w:t xml:space="preserve">۱۳ - حديقة الانظار فى مشيخة الفقيه و التهذيب و الاستبصار حائرى  ، محمد علی بن قاسم (-۱۳)</w:t>
      </w:r>
    </w:p>
    <w:p>
      <w:pPr>
        <w:pStyle w:val="BookText"/>
      </w:pPr>
      <w:r>
        <w:rPr>
          <w:rFonts w:ascii="IRNazanin" w:hAnsi="IRNazanin" w:eastAsia="IRNazanin" w:cs="IRNazanin"/>
          <w:lang w:bidi="fa-IR"/>
          <w:color w:val="111111"/>
          <w:sz w:val="28"/>
          <w:szCs w:val="28"/>
          <w:rtl/>
        </w:rPr>
        <w:t xml:space="preserve">١٤ - حواشى الاستبصار</w:t>
      </w:r>
    </w:p>
    <w:p>
      <w:pPr>
        <w:pStyle w:val="BookText"/>
      </w:pPr>
      <w:r>
        <w:rPr>
          <w:rFonts w:ascii="Amiri" w:hAnsi="Amiri" w:eastAsia="Amiri" w:cs="Amiri"/>
          <w:lang w:bidi="ar-SA"/>
          <w:color w:val="111111"/>
          <w:sz w:val="28"/>
          <w:szCs w:val="28"/>
          <w:rtl/>
        </w:rPr>
        <w:t xml:space="preserve">١٥ - مشيخة الاستبصار</w:t>
      </w:r>
    </w:p>
    <w:p>
      <w:pPr>
        <w:pStyle w:val="BookText"/>
      </w:pPr>
      <w:r>
        <w:rPr>
          <w:rFonts w:ascii="IRNazanin" w:hAnsi="IRNazanin" w:eastAsia="IRNazanin" w:cs="IRNazanin"/>
          <w:lang w:bidi="fa-IR"/>
          <w:color w:val="111111"/>
          <w:sz w:val="28"/>
          <w:szCs w:val="28"/>
          <w:rtl/>
        </w:rPr>
        <w:t xml:space="preserve">١٦ - الاستبصار (منتخب)</w:t>
      </w:r>
    </w:p>
    <w:p>
      <w:pPr>
        <w:pStyle w:val="BookText"/>
      </w:pPr>
      <w:r>
        <w:rPr>
          <w:rFonts w:ascii="IRNazanin" w:hAnsi="IRNazanin" w:eastAsia="IRNazanin" w:cs="IRNazanin"/>
          <w:lang w:bidi="fa-IR"/>
          <w:color w:val="111111"/>
          <w:sz w:val="28"/>
          <w:szCs w:val="28"/>
          <w:rtl/>
        </w:rPr>
        <w:t xml:space="preserve">۱۷ - شرح الاستبصار</w:t>
      </w:r>
    </w:p>
    <w:p>
      <w:pPr>
        <w:pStyle w:val="BookText"/>
      </w:pPr>
      <w:r>
        <w:rPr>
          <w:rFonts w:ascii="Amiri" w:hAnsi="Amiri" w:eastAsia="Amiri" w:cs="Amiri"/>
          <w:lang w:bidi="ar-SA"/>
          <w:color w:val="111111"/>
          <w:sz w:val="28"/>
          <w:szCs w:val="28"/>
          <w:rtl/>
        </w:rPr>
        <w:t xml:space="preserve">۱۸ - جامع الاخبار في ايضاح الاستبصار</w:t>
      </w:r>
    </w:p>
    <w:p>
      <w:pPr>
        <w:pStyle w:val="BookText"/>
      </w:pPr>
      <w:r>
        <w:rPr>
          <w:rFonts w:ascii="IRNazanin" w:hAnsi="IRNazanin" w:eastAsia="IRNazanin" w:cs="IRNazanin"/>
          <w:lang w:bidi="fa-IR"/>
          <w:color w:val="111111"/>
          <w:sz w:val="28"/>
          <w:szCs w:val="28"/>
          <w:rtl/>
        </w:rPr>
        <w:t xml:space="preserve">۱۹ - الرجال - مشترکات و مشتبهات رجال كتاب التهذيب و  الاستبصار</w:t>
      </w:r>
    </w:p>
    <w:p>
      <w:pPr>
        <w:pStyle w:val="BookText"/>
      </w:pPr>
      <w:r>
        <w:rPr>
          <w:rFonts w:ascii="IRNazanin" w:hAnsi="IRNazanin" w:eastAsia="IRNazanin" w:cs="IRNazanin"/>
          <w:lang w:bidi="fa-IR"/>
          <w:color w:val="111111"/>
          <w:sz w:val="28"/>
          <w:szCs w:val="28"/>
          <w:rtl/>
        </w:rPr>
        <w:t xml:space="preserve">20- فهرست الاستبصار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مرعشی؛ شماره نسخه: ۱۳۶۷۹ و عکسی ۱۹۸۳</w:t>
      </w:r>
    </w:p>
    <w:p>
      <w:pPr>
        <w:pStyle w:val="BookText"/>
      </w:pPr>
      <w:r>
        <w:rPr>
          <w:rFonts w:ascii="Amiri" w:hAnsi="Amiri" w:eastAsia="Amiri" w:cs="Amiri"/>
          <w:lang w:bidi="ar-SA"/>
          <w:color w:val="111111"/>
          <w:sz w:val="28"/>
          <w:szCs w:val="28"/>
          <w:rtl/>
        </w:rPr>
        <w:t xml:space="preserve">آغاز: ما يسألون عنه، باب حكم الماء الكثير اذا تغير احد اوصافه؛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انجام: وكذلك في مسجد الكوفه لان احداً لا يفرق بین  والموضعين</w:t>
      </w:r>
    </w:p>
    <w:p>
      <w:pPr>
        <w:pStyle w:val="BookText"/>
      </w:pPr>
      <w:r>
        <w:rPr>
          <w:rFonts w:ascii="IRNazanin" w:hAnsi="IRNazanin" w:eastAsia="IRNazanin" w:cs="IRNazanin"/>
          <w:lang w:bidi="fa-IR"/>
          <w:color w:val="111111"/>
          <w:sz w:val="28"/>
          <w:szCs w:val="28"/>
          <w:rtl/>
        </w:rPr>
        <w:t xml:space="preserve">جلد ۱ و ۲، تا پایان کتاب حج؛ خط: نسخ، کا: محمد بن حسن محمد بن  عباس، تا: صفر ۵۶۹ق؛ افتادگی: آغاز؛ این نسخه نفیس</w:t>
      </w:r>
    </w:p>
    <w:p>
      <w:pPr>
        <w:pStyle w:val="BookText"/>
      </w:pPr>
      <w:r>
        <w:rPr>
          <w:rFonts w:ascii="IRNazanin" w:hAnsi="IRNazanin" w:eastAsia="IRNazanin" w:cs="IRNazanin"/>
          <w:lang w:bidi="fa-IR"/>
          <w:color w:val="111111"/>
          <w:sz w:val="28"/>
          <w:szCs w:val="28"/>
          <w:rtl/>
        </w:rPr>
        <w:t xml:space="preserve">یک سال پس از  کتابت، در سال ۵۷۰ ق بر قطب الدین سعید بن هبة الله راوندی قرائت شده با این عبارات در برگ پایانی «بلغت القرائة و لله الحمد و وقع الفراغ منه فى الخامس ... من ذى حـجة سنة سبعين و خمس .... قراه على الامام قطب الدين شيخ ابوالحسين الراوندی دام  علی» در پایان جلد نخست نیز عبارت آمده است: «بلغ القراه الى هاهنا و انتهت الجزء الاول فی الثالث عشر من شوال سنة سبعين و خمس مائة» چهار سـطر  پایانی کتاب به  خط  حيدر بن ابي الفضل بن حسن مهمين کاشانی در سال ۵۶۹ق است، ۵ برگ نخست آن در قرن ۹ق نونویس گردیده؛ کاغذ: شرقی، جلد: تیماج قهوه ای ۱۹۹گ ۲۴-25 سطر (۱۲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۲۰)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۲۶/۵سم [ف: ۳۴ - ۵۸۳] و [عکسی  ف: ۳۹۸ - ۵  ]</w:t>
      </w:r>
    </w:p>
    <w:p>
      <w:pPr>
        <w:pStyle w:val="BookText"/>
      </w:pPr>
      <w:r>
        <w:rPr>
          <w:rFonts w:ascii="IRNazanin" w:hAnsi="IRNazanin" w:eastAsia="IRNazanin" w:cs="IRNazanin"/>
          <w:lang w:bidi="fa-IR"/>
          <w:color w:val="111111"/>
          <w:sz w:val="28"/>
          <w:szCs w:val="28"/>
          <w:rtl/>
        </w:rPr>
        <w:t xml:space="preserve">۲. قم؛ مرعشی؛ شماره نسخه: ۱۳۶۸۰ و عکسی ۱۹۸۴</w:t>
      </w:r>
    </w:p>
    <w:p>
      <w:pPr>
        <w:pStyle w:val="BookText"/>
      </w:pPr>
      <w:r>
        <w:rPr>
          <w:rFonts w:ascii="Amiri" w:hAnsi="Amiri" w:eastAsia="Amiri" w:cs="Amiri"/>
          <w:lang w:bidi="ar-SA"/>
          <w:color w:val="111111"/>
          <w:sz w:val="28"/>
          <w:szCs w:val="28"/>
          <w:rtl/>
        </w:rPr>
        <w:t xml:space="preserve">آغاز: كتاب الجهاد ، باب من تستحق ان تقسم الغنايم فيهم ،اخبرني الشيخ رحمه الله  عن احمد بن محمد عن ابيه عن الصفـار؛</w:t>
      </w:r>
    </w:p>
    <w:p>
      <w:pPr>
        <w:pStyle w:val="BookText"/>
      </w:pPr>
      <w:r>
        <w:rPr>
          <w:rFonts w:ascii="IRNazanin" w:hAnsi="IRNazanin" w:eastAsia="IRNazanin" w:cs="IRNazanin"/>
          <w:lang w:bidi="fa-IR"/>
          <w:color w:val="111111"/>
          <w:sz w:val="28"/>
          <w:szCs w:val="28"/>
          <w:rtl/>
        </w:rPr>
        <w:t xml:space="preserve">انجام: فقد رویته بهذه الاسانيد عن الحسن بن سعيد عنهم... و ما ذكر</w:t>
      </w:r>
    </w:p>
    <w:p>
      <w:pPr>
        <w:pStyle w:val="BookText"/>
      </w:pPr>
      <w:r>
        <w:rPr>
          <w:rFonts w:ascii="IRNazanin" w:hAnsi="IRNazanin" w:eastAsia="IRNazanin" w:cs="IRNazanin"/>
          <w:lang w:bidi="fa-IR"/>
          <w:color w:val="111111"/>
          <w:sz w:val="28"/>
          <w:szCs w:val="28"/>
          <w:rtl/>
        </w:rPr>
        <w:t xml:space="preserve">جلد ۳ و ۴، تا پایان کتاب ،خط ،نسخ، كا: محمد بن حسن محمد بن عباس، تا: اواخر ۵۶۹ یا اوایل ۵۷۰ ق؛ افتادگی: انجـام، حواشی این نسخه نیز به خط همان مقابله کننده نسخه قبلی اسـت، برگ آغاز و چند برگ از لا به لای نسخه در قرن ۹ق نونویس شده است، بخشی از مشیخه آن افتاده است ؛کاغذ ،شرقی، جـلد: تیماج قهوه ای ۱۷۴گ ۲۵ سطر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۲۶/۵ [ف: ۳۴ - ۵۸۶] و [عکسی :ف ۵ - ۳۹۹]</w:t>
      </w:r>
    </w:p>
    <w:p>
      <w:pPr>
        <w:pStyle w:val="BookText"/>
      </w:pPr>
      <w:r>
        <w:rPr>
          <w:rFonts w:ascii="IRNazanin" w:hAnsi="IRNazanin" w:eastAsia="IRNazanin" w:cs="IRNazanin"/>
          <w:lang w:bidi="fa-IR"/>
          <w:color w:val="111111"/>
          <w:sz w:val="28"/>
          <w:szCs w:val="28"/>
          <w:rtl/>
        </w:rPr>
        <w:t xml:space="preserve">۳. قم؛ مرعشی؛ شماره نسخه: ۹۷ عکسی</w:t>
      </w:r>
    </w:p>
    <w:p>
      <w:pPr>
        <w:pStyle w:val="BookText"/>
      </w:pPr>
      <w:r>
        <w:rPr>
          <w:rFonts w:ascii="IRNazanin" w:hAnsi="IRNazanin" w:eastAsia="IRNazanin" w:cs="IRNazanin"/>
          <w:lang w:bidi="fa-IR"/>
          <w:color w:val="111111"/>
          <w:sz w:val="28"/>
          <w:szCs w:val="28"/>
          <w:rtl/>
        </w:rPr>
        <w:t xml:space="preserve">آغاز: الحمد لله ولى الحمد و مستحقه، الصلوة على خيرته خلقه محمد و الطاهرین من عترته ؛انجام: باب من احق بالصلوة  على المراه ... موافقان لمذاهب العامه</w:t>
      </w:r>
    </w:p>
    <w:p>
      <w:pPr>
        <w:pStyle w:val="BookText"/>
      </w:pPr>
      <w:r>
        <w:rPr>
          <w:rFonts w:ascii="IRNazanin" w:hAnsi="IRNazanin" w:eastAsia="IRNazanin" w:cs="IRNazanin"/>
          <w:lang w:bidi="fa-IR"/>
          <w:color w:val="111111"/>
          <w:sz w:val="28"/>
          <w:szCs w:val="28"/>
          <w:rtl/>
        </w:rPr>
        <w:t xml:space="preserve">مباحث طهارت و صلوة؛ نسخه اصل: کتابخانه شیخ هادی کاشـف الغطاء - نجف اشرف؛ خط: نسخ، کا: جعفر بن على بن جـعفر مشهدی پدر محمد بن جعفر مشهدی صاحب «مزار» تا: شنبه ذیعقده ۵۷۳ق؛ افتادگی: آغاز و انجام؛ صاحب الذریعه از این نسخه  اطلاع داشته و شرحی راجع به آن نوشته است (الذریعه 2/ 14) دارای نشانه مقابله با نسخه خط  مصنف، در پایان کاتب صور فائده ای را از خط مبارک شیخ طوسی به حکایت از دو استادش شیخ مفید و ابن  غضائری، در تعیین رجال عده  کلینی، آورده است؛ ۱۷۲گ ۲۴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۲۴سم [عکسی ف: ۱ - ۱۰۰  ]</w:t>
      </w:r>
    </w:p>
    <w:p>
      <w:pPr>
        <w:pStyle w:val="BookText"/>
      </w:pPr>
      <w:r>
        <w:rPr>
          <w:rFonts w:ascii="IRNazanin" w:hAnsi="IRNazanin" w:eastAsia="IRNazanin" w:cs="IRNazanin"/>
          <w:lang w:bidi="fa-IR"/>
          <w:color w:val="111111"/>
          <w:sz w:val="28"/>
          <w:szCs w:val="28"/>
          <w:rtl/>
        </w:rPr>
        <w:t xml:space="preserve">مشهد؛ الهیات؛ شماره نسخه: ۱۳۰۸۶ عکسی</w:t>
      </w:r>
    </w:p>
    <w:p>
      <w:pPr>
        <w:pStyle w:val="BookText"/>
      </w:pPr>
      <w:r>
        <w:rPr>
          <w:rFonts w:ascii="IRNazanin" w:hAnsi="IRNazanin" w:eastAsia="IRNazanin" w:cs="IRNazanin"/>
          <w:lang w:bidi="fa-IR"/>
          <w:color w:val="111111"/>
          <w:sz w:val="28"/>
          <w:szCs w:val="28"/>
          <w:rtl/>
        </w:rPr>
        <w:t xml:space="preserve">همان نسخه بالا :[ف ۳ - ۱۲۸۰]</w:t>
      </w:r>
    </w:p>
    <w:p>
      <w:pPr>
        <w:pStyle w:val="BookText"/>
      </w:pPr>
      <w:r>
        <w:rPr>
          <w:rFonts w:ascii="IRNazanin" w:hAnsi="IRNazanin" w:eastAsia="IRNazanin" w:cs="IRNazanin"/>
          <w:lang w:bidi="fa-IR"/>
          <w:color w:val="111111"/>
          <w:sz w:val="28"/>
          <w:szCs w:val="28"/>
          <w:rtl/>
        </w:rPr>
        <w:t xml:space="preserve">تهران؛ دانشگاه؛ شماره نسخه: ۳۶۴۴-ف</w:t>
      </w:r>
    </w:p>
    <w:p>
      <w:pPr>
        <w:pStyle w:val="BookText"/>
      </w:pPr>
      <w:r>
        <w:rPr>
          <w:rFonts w:ascii="IRNazanin" w:hAnsi="IRNazanin" w:eastAsia="IRNazanin" w:cs="IRNazanin"/>
          <w:lang w:bidi="fa-IR"/>
          <w:color w:val="111111"/>
          <w:sz w:val="28"/>
          <w:szCs w:val="28"/>
          <w:rtl/>
        </w:rPr>
        <w:t xml:space="preserve">همان نسخه بالا [ فیلم ها-ف: ۲ - ۲۰۹]</w:t>
      </w:r>
    </w:p>
    <w:p>
      <w:pPr>
        <w:pStyle w:val="BookText"/>
      </w:pPr>
      <w:r>
        <w:rPr>
          <w:rFonts w:ascii="IRNazanin" w:hAnsi="IRNazanin" w:eastAsia="IRNazanin" w:cs="IRNazanin"/>
          <w:lang w:bidi="fa-IR"/>
          <w:color w:val="111111"/>
          <w:sz w:val="28"/>
          <w:szCs w:val="28"/>
          <w:rtl/>
        </w:rPr>
        <w:t xml:space="preserve">قم ؛مرکز احیاء؛ شماره نسخه: ۸۴۳</w:t>
      </w:r>
    </w:p>
    <w:p>
      <w:pPr>
        <w:pStyle w:val="BookText"/>
      </w:pPr>
      <w:r>
        <w:rPr>
          <w:rFonts w:ascii="IRNazanin" w:hAnsi="IRNazanin" w:eastAsia="IRNazanin" w:cs="IRNazanin"/>
          <w:lang w:bidi="fa-IR"/>
          <w:color w:val="111111"/>
          <w:sz w:val="28"/>
          <w:szCs w:val="28"/>
          <w:rtl/>
        </w:rPr>
        <w:t xml:space="preserve">همان نسخه بالا [ عکسی ف ۳ - ۳۴]</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قم؛ مرعشی؛ شماره نسخه: ۱۵۸۰</w:t>
      </w:r>
    </w:p>
    <w:p>
      <w:pPr>
        <w:pStyle w:val="BookText"/>
      </w:pPr>
      <w:r>
        <w:rPr>
          <w:rFonts w:ascii="IRNazanin" w:hAnsi="IRNazanin" w:eastAsia="IRNazanin" w:cs="IRNazanin"/>
          <w:lang w:bidi="fa-IR"/>
          <w:color w:val="111111"/>
          <w:sz w:val="28"/>
          <w:szCs w:val="28"/>
          <w:rtl/>
        </w:rPr>
        <w:t xml:space="preserve">از کتاب جهاد تا پایان مشیخه؛ خط: نسخ، بی کا، تا: قرن ۸؛ مصحح ولی نسخه بسیار مغلوط؛ تملک: عبدالصمد بن عبدالعلی، محمد علی بن عبدالغفار از حاجی ابراهیم بن شیخ حسین بلاغی در قم به تاریخ ۱۲۴۰؛ جلد: دو رو تیماج رو مشکی پشت قرمز، ۲۰۵گ ۲۵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۴ - ۳۸۶]</w:t>
      </w:r>
    </w:p>
    <w:p>
      <w:pPr>
        <w:pStyle w:val="BookText"/>
      </w:pPr>
      <w:r>
        <w:rPr>
          <w:rFonts w:ascii="IRNazanin" w:hAnsi="IRNazanin" w:eastAsia="IRNazanin" w:cs="IRNazanin"/>
          <w:lang w:bidi="fa-IR"/>
          <w:color w:val="111111"/>
          <w:sz w:val="28"/>
          <w:szCs w:val="28"/>
          <w:rtl/>
        </w:rPr>
        <w:t xml:space="preserve">۵. یزد؛ وزیری؛ شماره نسخه ۷۰۰</w:t>
      </w:r>
    </w:p>
    <w:p>
      <w:pPr>
        <w:pStyle w:val="BookText"/>
      </w:pPr>
      <w:r>
        <w:rPr>
          <w:rFonts w:ascii="Amiri" w:hAnsi="Amiri" w:eastAsia="Amiri" w:cs="Amiri"/>
          <w:lang w:bidi="ar-SA"/>
          <w:color w:val="111111"/>
          <w:sz w:val="28"/>
          <w:szCs w:val="28"/>
          <w:rtl/>
        </w:rPr>
        <w:t xml:space="preserve">آغاز: كتاب النكاح ابواب تحليل الرجل جاريته لغيره؛ انجام:  واعلموا ايديكم الله انى جزيت هذا الكتاب ثلثة اجزاء.</w:t>
      </w:r>
    </w:p>
    <w:p>
      <w:pPr>
        <w:pStyle w:val="BookText"/>
      </w:pPr>
      <w:r>
        <w:rPr>
          <w:rFonts w:ascii="IRNazanin" w:hAnsi="IRNazanin" w:eastAsia="IRNazanin" w:cs="IRNazanin"/>
          <w:lang w:bidi="fa-IR"/>
          <w:color w:val="111111"/>
          <w:sz w:val="28"/>
          <w:szCs w:val="28"/>
          <w:rtl/>
        </w:rPr>
        <w:t xml:space="preserve">خط: نسخ، بی کا، تا: قرن ۹؛ افتادگی: انجام؛ یادداشتی مورخ ۱۲۳۰ با مهر تملک «محمد کاظم» دارد؛ اهدایی حاج وزیری؛ کاغذ: حنایی سمرقندی ،جلد: چرمی عنابی، ۲۲۵گ ۲۰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 اندازه: ۱۹/۵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۲ - ۵۹۶]</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تهران؛ مجلس؛ شماره نسخه: ۱۶۳۴۳</w:t>
      </w:r>
    </w:p>
    <w:p>
      <w:pPr>
        <w:pStyle w:val="BookText"/>
      </w:pPr>
      <w:r>
        <w:rPr>
          <w:rFonts w:ascii="IRNazanin" w:hAnsi="IRNazanin" w:eastAsia="IRNazanin" w:cs="IRNazanin"/>
          <w:lang w:bidi="fa-IR"/>
          <w:color w:val="111111"/>
          <w:sz w:val="28"/>
          <w:szCs w:val="28"/>
          <w:rtl/>
        </w:rPr>
        <w:t xml:space="preserve">جلد ۱؛ بی کا، تا: قرن ۱۰؛ افتادگی: آغاز و انجام؛ محشی؛ قطع: رحلی [د.ث. مجلس]</w:t>
      </w:r>
    </w:p>
    <w:p>
      <w:pPr>
        <w:pStyle w:val="BookText"/>
      </w:pPr>
      <w:r>
        <w:rPr>
          <w:rFonts w:ascii="IRNazanin" w:hAnsi="IRNazanin" w:eastAsia="IRNazanin" w:cs="IRNazanin"/>
          <w:lang w:bidi="fa-IR"/>
          <w:color w:val="111111"/>
          <w:sz w:val="28"/>
          <w:szCs w:val="28"/>
          <w:rtl/>
        </w:rPr>
        <w:t xml:space="preserve">۷ .تهران؛ مجلس؛ شماره نسخه: ۱۶۳۴۴</w:t>
      </w:r>
    </w:p>
    <w:p>
      <w:pPr>
        <w:pStyle w:val="BookText"/>
      </w:pPr>
      <w:r>
        <w:rPr>
          <w:rFonts w:ascii="IRNazanin" w:hAnsi="IRNazanin" w:eastAsia="IRNazanin" w:cs="IRNazanin"/>
          <w:lang w:bidi="fa-IR"/>
          <w:color w:val="111111"/>
          <w:sz w:val="28"/>
          <w:szCs w:val="28"/>
          <w:rtl/>
        </w:rPr>
        <w:t xml:space="preserve">جلد ۲؛ بی کا، تا: قرن ۱۰؛ افتادگی: آغاز و انجام؛ محشی؛ قطع: رحلی [د.ث. مجلس]</w:t>
      </w:r>
    </w:p>
    <w:p>
      <w:pPr>
        <w:pStyle w:val="BookText"/>
      </w:pPr>
      <w:r>
        <w:rPr>
          <w:rFonts w:ascii="IRNazanin" w:hAnsi="IRNazanin" w:eastAsia="IRNazanin" w:cs="IRNazanin"/>
          <w:lang w:bidi="fa-IR"/>
          <w:color w:val="111111"/>
          <w:sz w:val="28"/>
          <w:szCs w:val="28"/>
          <w:rtl/>
        </w:rPr>
        <w:t xml:space="preserve">۸ .قم؛ مرعشی؛ شماره نسخه: ۷۹۴۹</w:t>
      </w:r>
    </w:p>
    <w:p>
      <w:pPr>
        <w:pStyle w:val="BookText"/>
      </w:pPr>
      <w:r>
        <w:rPr>
          <w:rFonts w:ascii="IRNazanin" w:hAnsi="IRNazanin" w:eastAsia="IRNazanin" w:cs="IRNazanin"/>
          <w:lang w:bidi="fa-IR"/>
          <w:color w:val="111111"/>
          <w:sz w:val="28"/>
          <w:szCs w:val="28"/>
          <w:rtl/>
        </w:rPr>
        <w:t xml:space="preserve">خط: نسخ، بی کا، تا: قرن ۱۰؛ مصحح، و دارای نشان بلاغ، پایان جزء اول انهائی به خط ملا محمد تقی مجلسی برای مولانا مرتضی به تاریخ اوایل رجب ۱۰۵۸ جلد مقوایی عطف گالینگور قرمز ۳۷۸گ ۲۶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۲۹سم [ف: ۲۰ - ۲۸۵]</w:t>
      </w:r>
    </w:p>
    <w:p>
      <w:pPr>
        <w:pStyle w:val="BookText"/>
      </w:pPr>
      <w:r>
        <w:rPr>
          <w:rFonts w:ascii="IRNazanin" w:hAnsi="IRNazanin" w:eastAsia="IRNazanin" w:cs="IRNazanin"/>
          <w:lang w:bidi="fa-IR"/>
          <w:color w:val="111111"/>
          <w:sz w:val="28"/>
          <w:szCs w:val="28"/>
          <w:rtl/>
        </w:rPr>
        <w:t xml:space="preserve">۹ .مشهد؛ رضوی؛ شماره نسخه: ۳۱۴۵۵</w:t>
      </w:r>
    </w:p>
    <w:p>
      <w:pPr>
        <w:pStyle w:val="BookText"/>
      </w:pPr>
      <w:r>
        <w:rPr>
          <w:rFonts w:ascii="IRNazanin" w:hAnsi="IRNazanin" w:eastAsia="IRNazanin" w:cs="IRNazanin"/>
          <w:lang w:bidi="fa-IR"/>
          <w:color w:val="111111"/>
          <w:sz w:val="28"/>
          <w:szCs w:val="28"/>
          <w:rtl/>
        </w:rPr>
        <w:t xml:space="preserve">خط: نسخ، بی کا ، تا: قرن ۱۰؛ اهدایی ،رهبری، بهمن ۱۳۸۳؛ کاغذ: حنایی آهار مهره، جلد: تیماج  فرنگی، ۲۱۱گ، ۲۳ سطر، اندازه: ۲۶/۵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۳۱سم [اهدائی :رهبر ۲ اخبار ۱ - ۸۹]</w:t>
      </w:r>
    </w:p>
    <w:p>
      <w:pPr>
        <w:pStyle w:val="BookText"/>
      </w:pPr>
      <w:r>
        <w:rPr>
          <w:rFonts w:ascii="IRNazanin" w:hAnsi="IRNazanin" w:eastAsia="IRNazanin" w:cs="IRNazanin"/>
          <w:lang w:bidi="fa-IR"/>
          <w:color w:val="111111"/>
          <w:sz w:val="28"/>
          <w:szCs w:val="28"/>
          <w:rtl/>
        </w:rPr>
        <w:t xml:space="preserve">۱۰. مشهد؛ رضوی؛ شماره نسخه: ۳۳۰۶۴</w:t>
      </w:r>
    </w:p>
    <w:p>
      <w:pPr>
        <w:pStyle w:val="BookText"/>
      </w:pPr>
      <w:r>
        <w:rPr>
          <w:rFonts w:ascii="IRNazanin" w:hAnsi="IRNazanin" w:eastAsia="IRNazanin" w:cs="IRNazanin"/>
          <w:lang w:bidi="fa-IR"/>
          <w:color w:val="111111"/>
          <w:sz w:val="28"/>
          <w:szCs w:val="28"/>
          <w:rtl/>
        </w:rPr>
        <w:t xml:space="preserve">جلد 3-1؛ خط: نسخ  خوش، بی کا، تا: قرن ۱۰؛ اهدایی رهبری،بهمن ۱۳۸۴؛ کاغذ: نخودی آهار مهره ترمه کشمیری ،جلد: مقوا با عطف گوشه میشن ،عنابی ،۳۲۹گ، ۲۷ سطر، اندازه:  ۲۶</w:t>
      </w:r>
      <w:r>
        <w:rPr>
          <w:rFonts w:ascii="Times New Roman" w:hAnsi="Times New Roman" w:eastAsia="Times New Roman" w:cs="Times New Roman"/>
          <w:lang w:val="en-US" w:bidi="en-US"/>
          <w:color w:val="111111"/>
          <w:sz w:val="28"/>
          <w:szCs w:val="28"/>
          <w:rtl/>
        </w:rPr>
        <w:t xml:space="preserve">x</w:t>
      </w:r>
      <w:r>
        <w:rPr>
          <w:rFonts w:ascii="IRNazanin" w:hAnsi="IRNazanin" w:eastAsia="IRNazanin" w:cs="IRNazanin"/>
          <w:lang w:bidi="fa-IR"/>
          <w:color w:val="111111"/>
          <w:sz w:val="28"/>
          <w:szCs w:val="28"/>
          <w:rtl/>
        </w:rPr>
        <w:t xml:space="preserve">۱۶/۵سم [ اهدائی :رهبر ۲ اخبار ۱ - ۹۰]</w:t>
      </w:r>
    </w:p>
    <w:p>
      <w:pPr>
        <w:pStyle w:val="BookText"/>
      </w:pPr>
      <w:r>
        <w:rPr>
          <w:rFonts w:ascii="IRNazanin" w:hAnsi="IRNazanin" w:eastAsia="IRNazanin" w:cs="IRNazanin"/>
          <w:lang w:bidi="fa-IR"/>
          <w:color w:val="111111"/>
          <w:sz w:val="28"/>
          <w:szCs w:val="28"/>
          <w:rtl/>
        </w:rPr>
        <w:t xml:space="preserve">۱۱ . قم؛ فیضیه؛ شماره نسخه: ۵۵۳</w:t>
      </w:r>
    </w:p>
    <w:p>
      <w:pPr>
        <w:pStyle w:val="BookText"/>
      </w:pPr>
      <w:r>
        <w:rPr>
          <w:rFonts w:ascii="IRNazanin" w:hAnsi="IRNazanin" w:eastAsia="IRNazanin" w:cs="IRNazanin"/>
          <w:lang w:bidi="fa-IR"/>
          <w:color w:val="111111"/>
          <w:sz w:val="28"/>
          <w:szCs w:val="28"/>
          <w:rtl/>
        </w:rPr>
        <w:t xml:space="preserve">خط: نسخ، كا: على بن حسينن ...نجفی، تا: گویا قرن ۱۰؛۱۳۸گ ۲۵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۱ - ۱۰]</w:t>
      </w:r>
    </w:p>
    <w:p>
      <w:pPr>
        <w:pStyle w:val="BookText"/>
      </w:pPr>
      <w:r>
        <w:rPr>
          <w:rFonts w:ascii="IRNazanin" w:hAnsi="IRNazanin" w:eastAsia="IRNazanin" w:cs="IRNazanin"/>
          <w:lang w:bidi="fa-IR"/>
          <w:color w:val="111111"/>
          <w:sz w:val="28"/>
          <w:szCs w:val="28"/>
          <w:rtl/>
        </w:rPr>
        <w:t xml:space="preserve">۱۲. قم؛ فیضیه؛ شماره نسخه: ۵۵۴</w:t>
      </w:r>
    </w:p>
    <w:p>
      <w:pPr>
        <w:pStyle w:val="BookText"/>
      </w:pPr>
      <w:r>
        <w:rPr>
          <w:rFonts w:ascii="IRNazanin" w:hAnsi="IRNazanin" w:eastAsia="IRNazanin" w:cs="IRNazanin"/>
          <w:lang w:bidi="fa-IR"/>
          <w:color w:val="111111"/>
          <w:sz w:val="28"/>
          <w:szCs w:val="28"/>
          <w:rtl/>
        </w:rPr>
        <w:t xml:space="preserve">جلد اول و دوم؛ خط: نسخ، کا: علی بن حسین ... نجفی، تا: گویا  قرن ۱۰؛ ۲۲۰گ ۲۰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۱ - ۱۰]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13.قم؛ مرعشی؛ شماره نسخه: ۵۸۹</w:t>
      </w:r>
    </w:p>
    <w:p>
      <w:pPr>
        <w:pStyle w:val="BookText"/>
      </w:pPr>
      <w:r>
        <w:rPr>
          <w:rFonts w:ascii="Amiri" w:hAnsi="Amiri" w:eastAsia="Amiri" w:cs="Amiri"/>
          <w:lang w:bidi="ar-SA"/>
          <w:color w:val="111111"/>
          <w:sz w:val="28"/>
          <w:szCs w:val="28"/>
          <w:rtl/>
        </w:rPr>
        <w:t xml:space="preserve">آغاز: باب من نسى الركوع؛ أخبرني الشيخ رحمه الله عن احمد بن محمد عن ابيه عن الحسين بن الحسن بن ابان؛ انجام: و ما ذكـرته</w:t>
      </w:r>
    </w:p>
    <w:p>
      <w:pPr>
        <w:pStyle w:val="BookText"/>
      </w:pPr>
      <w:r>
        <w:rPr>
          <w:rFonts w:ascii="IRNazanin" w:hAnsi="IRNazanin" w:eastAsia="IRNazanin" w:cs="IRNazanin"/>
          <w:lang w:bidi="fa-IR"/>
          <w:color w:val="111111"/>
          <w:sz w:val="28"/>
          <w:szCs w:val="28"/>
          <w:rtl/>
        </w:rPr>
        <w:t xml:space="preserve">عن ابراهيم... و الحسين بن عبيد الله عن ابی محمد هارون بن موسی التلعكبرى</w:t>
      </w:r>
    </w:p>
    <w:p>
      <w:pPr>
        <w:pStyle w:val="BookText"/>
      </w:pPr>
      <w:r>
        <w:rPr>
          <w:rFonts w:ascii="IRNazanin" w:hAnsi="IRNazanin" w:eastAsia="IRNazanin" w:cs="IRNazanin"/>
          <w:lang w:bidi="fa-IR"/>
          <w:color w:val="111111"/>
          <w:sz w:val="28"/>
          <w:szCs w:val="28"/>
          <w:rtl/>
        </w:rPr>
        <w:t xml:space="preserve">خط: نسخ، بی کا، تا: شاید قرن ۱۰ق؛ افتادگی: آغاز و انجام؛ به دو خط، قسمت دوم که از جزء سوم شروع می شود بیشتر معرب است، در مصحح ،محشی، دارای علامت  بلاغ ،روی برگ اول  جزء سوم صورت اجازه محمد بن جعفر بن هبة الله بن نما را كه به ابراهیم داده حسین ابن محمد مذکور به تاریخ ۱۴ رمضان 1028 نوشته و تصریح نموده است که این اجازه در نسخه ای بوده کتاب بر آن نسخه آن نسخه تصحیح شده، همچنین حسین بن محمد نسب خود را تا حضرت علی علیه السلام در همین صفحه نوشته؛ تملک: حسین بن محمد بن ابى الحسن الحسينى (پسر صاحـب مدارک) با مهر وی «عبد آل محمد حسين بن محمد الحسينی» (بیضی)؛ جلد: تیماج دو رو قهوه ای ۳۵۳گ، ۲۵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۲۴سم [ف: ۲ - ۱۸۱]</w:t>
      </w:r>
    </w:p>
    <w:p>
      <w:pPr>
        <w:pStyle w:val="BookText"/>
      </w:pPr>
      <w:r>
        <w:rPr>
          <w:rFonts w:ascii="IRNazanin" w:hAnsi="IRNazanin" w:eastAsia="IRNazanin" w:cs="IRNazanin"/>
          <w:lang w:bidi="fa-IR"/>
          <w:color w:val="111111"/>
          <w:sz w:val="28"/>
          <w:szCs w:val="28"/>
          <w:rtl/>
        </w:rPr>
        <w:t xml:space="preserve">۱۴. تهران؛ الهیات؛ شماره نسخه: ۵۸</w:t>
      </w:r>
    </w:p>
    <w:p>
      <w:pPr>
        <w:pStyle w:val="BookText"/>
      </w:pPr>
      <w:r>
        <w:rPr>
          <w:rFonts w:ascii="IRNazanin" w:hAnsi="IRNazanin" w:eastAsia="IRNazanin" w:cs="IRNazanin"/>
          <w:lang w:bidi="fa-IR"/>
          <w:color w:val="111111"/>
          <w:sz w:val="28"/>
          <w:szCs w:val="28"/>
          <w:rtl/>
        </w:rPr>
        <w:t xml:space="preserve">کامل؛ خط: نسخ، بی کا، تا: قرن ۱۰؛ مجدول، با سرلوح؛ ۲۳ سطر (9</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ف: ۷۴۸]</w:t>
      </w:r>
    </w:p>
    <w:p>
      <w:pPr>
        <w:pStyle w:val="BookText"/>
      </w:pPr>
      <w:r>
        <w:rPr>
          <w:rFonts w:ascii="IRNazanin" w:hAnsi="IRNazanin" w:eastAsia="IRNazanin" w:cs="IRNazanin"/>
          <w:lang w:bidi="fa-IR"/>
          <w:color w:val="111111"/>
          <w:sz w:val="28"/>
          <w:szCs w:val="28"/>
          <w:rtl/>
        </w:rPr>
        <w:t xml:space="preserve">۱۵. مشهد؛ نواب؛ شماره نسخه: ۳۶۲</w:t>
      </w:r>
    </w:p>
    <w:p>
      <w:pPr>
        <w:pStyle w:val="BookText"/>
      </w:pPr>
      <w:r>
        <w:rPr>
          <w:rFonts w:ascii="IRNazanin" w:hAnsi="IRNazanin" w:eastAsia="IRNazanin" w:cs="IRNazanin"/>
          <w:lang w:bidi="fa-IR"/>
          <w:color w:val="111111"/>
          <w:sz w:val="28"/>
          <w:szCs w:val="28"/>
          <w:rtl/>
        </w:rPr>
        <w:t xml:space="preserve">آغاز: برابر؛ انجام: باب انه اذامات الرجل غايبا عن زوجته کان عليها العدة من يوم يبلغها . يتلوه فى الاجزاء الباقية انشاء الله.</w:t>
      </w:r>
    </w:p>
    <w:p>
      <w:pPr>
        <w:pStyle w:val="BookText"/>
      </w:pPr>
      <w:r>
        <w:rPr>
          <w:rFonts w:ascii="IRNazanin" w:hAnsi="IRNazanin" w:eastAsia="IRNazanin" w:cs="IRNazanin"/>
          <w:lang w:bidi="fa-IR"/>
          <w:color w:val="111111"/>
          <w:sz w:val="28"/>
          <w:szCs w:val="28"/>
          <w:rtl/>
        </w:rPr>
        <w:t xml:space="preserve">خط: نستعلیق  زیبا، بی کا، تا: قرن ۱۰؛ مجدول، برگ اول و نیـمی از برگ آخر در تاریخ رجب ۱۳۱۸ق کسرنویسی شده؛ جلد: تیماج مشکی، ۲۰۶گ ۲۱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۲۶/۵)، اندازه: ۳۳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  سم[ف: ۳۰۲]</w:t>
      </w:r>
    </w:p>
    <w:p>
      <w:pPr>
        <w:pStyle w:val="BookText"/>
      </w:pPr>
      <w:r>
        <w:rPr>
          <w:rFonts w:ascii="IRNazanin" w:hAnsi="IRNazanin" w:eastAsia="IRNazanin" w:cs="IRNazanin"/>
          <w:lang w:bidi="fa-IR"/>
          <w:color w:val="111111"/>
          <w:sz w:val="28"/>
          <w:szCs w:val="28"/>
          <w:rtl/>
        </w:rPr>
        <w:t xml:space="preserve">۱۶. چالوس؛ امام صادق؛ شماره نسخه: ۶۳</w:t>
      </w:r>
    </w:p>
    <w:p>
      <w:pPr>
        <w:pStyle w:val="BookText"/>
      </w:pPr>
      <w:r>
        <w:rPr>
          <w:rFonts w:ascii="Amiri" w:hAnsi="Amiri" w:eastAsia="Amiri" w:cs="Amiri"/>
          <w:lang w:bidi="ar-SA"/>
          <w:color w:val="111111"/>
          <w:sz w:val="28"/>
          <w:szCs w:val="28"/>
          <w:rtl/>
        </w:rPr>
        <w:t xml:space="preserve">آغاز: برابر؛ انجام: ابواب الكتاب تسعمائة و خمسة و عشرون باباً تشتمل على خمسة آلاف وخمسمائة واحد عشر حديثاً حصرتها</w:t>
      </w:r>
    </w:p>
    <w:p>
      <w:pPr>
        <w:pStyle w:val="BookText"/>
      </w:pPr>
      <w:r>
        <w:rPr>
          <w:rFonts w:ascii="IRNazanin" w:hAnsi="IRNazanin" w:eastAsia="IRNazanin" w:cs="IRNazanin"/>
          <w:lang w:bidi="fa-IR"/>
          <w:color w:val="111111"/>
          <w:sz w:val="28"/>
          <w:szCs w:val="28"/>
          <w:rtl/>
        </w:rPr>
        <w:t xml:space="preserve">خط: نسخ، بی کا، تا: قرن ۱۰؛ افتادگی: انجام (یک برگ) ،مصحح، محشی، دارای علامت بلاغ؛ مجيز مولانا عبدالكریم طبسی و مجاز شخصی به نام سید محسن الحسینی است که به وی گواهی سماع کثیری از بخش های استبصار را در ۱۰۷۲ق و اجازه نقل روایت از طریق اساتیدش که به مؤلف می رسد در تاریخ دوازدهم جمادى الاول ۱۰۷۵ق داده است، در هامش برخی صفحات افاداتی از وی با امضای مولانا عبدالکریم نگاشته  شده؛ تملک: محمد امين حارثى الجزائری با مهر «محمد امین الله ۱۲۸۳» ((مربع)؛ جلد: تیماج قهوه ای با ترنج و با سرنج، ۳۱۵گ،  23سطر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 [ف: ۳۷]</w:t>
      </w:r>
    </w:p>
    <w:p>
      <w:pPr>
        <w:pStyle w:val="BookText"/>
      </w:pPr>
      <w:r>
        <w:rPr>
          <w:rFonts w:ascii="IRNazanin" w:hAnsi="IRNazanin" w:eastAsia="IRNazanin" w:cs="IRNazanin"/>
          <w:lang w:bidi="fa-IR"/>
          <w:color w:val="111111"/>
          <w:sz w:val="28"/>
          <w:szCs w:val="28"/>
          <w:rtl/>
        </w:rPr>
        <w:t xml:space="preserve">۱۷. قم؛ مرعشی شماره نسخه: ۹۸۷۸</w:t>
      </w:r>
    </w:p>
    <w:p>
      <w:pPr>
        <w:pStyle w:val="BookText"/>
      </w:pPr>
      <w:r>
        <w:rPr>
          <w:rFonts w:ascii="IRNazanin" w:hAnsi="IRNazanin" w:eastAsia="IRNazanin" w:cs="IRNazanin"/>
          <w:lang w:bidi="fa-IR"/>
          <w:color w:val="111111"/>
          <w:sz w:val="28"/>
          <w:szCs w:val="28"/>
          <w:rtl/>
        </w:rPr>
        <w:t xml:space="preserve">جلد اول و دوم؛ خط: نستعلیق، کا: جعفر بن محمد بن بکیر حسینی، تا: ۱۰ شعبان ۹۲۸ق؛ مصحح نشانی های بلاغ، کاتب نسخه را با نسخه قطب الدین راوندی مقابله و تصحیح کرده است، روی برگ اول وقف نامه کتاب به تاریخ ۱۰۷۶، در پایان کتاب اجازه ای است در دو صفحه که علی بن حسين بن ابى الحسن عاملی به تاریخ هفدهم ربیع الاول ۹۷۲ برای محمد بن حیدر آقا جانی نوشته است؛ تملک: محمد بن على الشريف البغدادى به تاریخ ۹۴۴، محمود الخادم با مهر «خادم روضة الرضا محمود قمى الدارين» (دایره) شاه محمد بن محمد علی سمنانی با مهر وی «المتوكل على الله الصمد شاه محمد بن محمد علی» (دایره)؛ مهر: كاتب «الله محمد على ولى الله ... محمد المدعو بآقاجانی» (دایره) محمود (دایره)؛ جلد: تیماج سبز  سیر، ۲۰۱گ، ۲۹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۲۵/۵سم [ف ۲۵ - ۱۷۸]</w:t>
      </w:r>
    </w:p>
    <w:p>
      <w:pPr>
        <w:pStyle w:val="BookText"/>
      </w:pPr>
      <w:r>
        <w:rPr>
          <w:rFonts w:ascii="IRNazanin" w:hAnsi="IRNazanin" w:eastAsia="IRNazanin" w:cs="IRNazanin"/>
          <w:lang w:bidi="fa-IR"/>
          <w:color w:val="111111"/>
          <w:sz w:val="28"/>
          <w:szCs w:val="28"/>
          <w:rtl/>
        </w:rPr>
        <w:t xml:space="preserve">۱۸. قم؛ مرعشی؛ شماره نسخه: ۱۰۵۳۶</w:t>
      </w:r>
    </w:p>
    <w:p>
      <w:pPr>
        <w:pStyle w:val="BookText"/>
      </w:pPr>
      <w:r>
        <w:rPr>
          <w:rFonts w:ascii="IRNazanin" w:hAnsi="IRNazanin" w:eastAsia="IRNazanin" w:cs="IRNazanin"/>
          <w:lang w:bidi="fa-IR"/>
          <w:color w:val="111111"/>
          <w:sz w:val="28"/>
          <w:szCs w:val="28"/>
          <w:rtl/>
        </w:rPr>
        <w:t xml:space="preserve">خط: نسخ،کا:يوسف بن محمد خلخالی، تا: غره ربیع الاول ۹۵۲ ق؛ قطع: وزیری کوچک[ میراث شهاب: س ۹ ش ۲ - ۴]</w:t>
      </w:r>
    </w:p>
    <w:p>
      <w:pPr>
        <w:pStyle w:val="BookText"/>
      </w:pPr>
      <w:r>
        <w:rPr>
          <w:rFonts w:ascii="IRNazanin" w:hAnsi="IRNazanin" w:eastAsia="IRNazanin" w:cs="IRNazanin"/>
          <w:lang w:bidi="fa-IR"/>
          <w:color w:val="111111"/>
          <w:sz w:val="28"/>
          <w:szCs w:val="28"/>
          <w:rtl/>
        </w:rPr>
        <w:t xml:space="preserve">۱۹. قم؛ معصومیه شماره نسخه:-۶۱۵۷</w:t>
      </w:r>
    </w:p>
    <w:p>
      <w:pPr>
        <w:pStyle w:val="BookText"/>
      </w:pPr>
      <w:r>
        <w:rPr>
          <w:rFonts w:ascii="IRNazanin" w:hAnsi="IRNazanin" w:eastAsia="IRNazanin" w:cs="IRNazanin"/>
          <w:lang w:bidi="fa-IR"/>
          <w:color w:val="111111"/>
          <w:sz w:val="28"/>
          <w:szCs w:val="28"/>
          <w:rtl/>
        </w:rPr>
        <w:t xml:space="preserve">از طهارت تا مزار؛ خط: نسخ، کا: اسماعيل بن عباس بن احمد  اصفهانی، تا: ۳ رجب ۹۶۳ق؛ افتادگی: آغاز؛ کاغذ: سمرقندی،</w:t>
      </w:r>
    </w:p>
    <w:p>
      <w:pPr>
        <w:pStyle w:val="BookText"/>
      </w:pPr>
      <w:r>
        <w:rPr>
          <w:rFonts w:ascii="IRNazanin" w:hAnsi="IRNazanin" w:eastAsia="IRNazanin" w:cs="IRNazanin"/>
          <w:lang w:bidi="fa-IR"/>
          <w:color w:val="111111"/>
          <w:sz w:val="28"/>
          <w:szCs w:val="28"/>
          <w:rtl/>
        </w:rPr>
        <w:t xml:space="preserve">۲۲۸گ، ۲۵ سطر، قطع: وزیری [ آستانه قم: ۷۸]</w:t>
      </w:r>
    </w:p>
    <w:p>
      <w:pPr>
        <w:pStyle w:val="BookText"/>
      </w:pPr>
      <w:r>
        <w:rPr>
          <w:rFonts w:ascii="IRNazanin" w:hAnsi="IRNazanin" w:eastAsia="IRNazanin" w:cs="IRNazanin"/>
          <w:lang w:bidi="fa-IR"/>
          <w:color w:val="111111"/>
          <w:sz w:val="28"/>
          <w:szCs w:val="28"/>
          <w:rtl/>
        </w:rPr>
        <w:t xml:space="preserve">۲۰. تهران؛ ملک؛ شماره نسخه: ۲۴۰۷</w:t>
      </w:r>
    </w:p>
    <w:p>
      <w:pPr>
        <w:pStyle w:val="BookText"/>
      </w:pPr>
      <w:r>
        <w:rPr>
          <w:rFonts w:ascii="IRNazanin" w:hAnsi="IRNazanin" w:eastAsia="IRNazanin" w:cs="IRNazanin"/>
          <w:lang w:bidi="fa-IR"/>
          <w:color w:val="111111"/>
          <w:sz w:val="28"/>
          <w:szCs w:val="28"/>
          <w:rtl/>
        </w:rPr>
        <w:t xml:space="preserve">از مکاسب تا آخر؛ خط: نسخ، کا: رفیع بن علی حسینی جوینی، تا: میانه های محرم ۹۶۶ق؛ کاغذ: ترمه ،جلد: میشن سیاه، ۲۱۹گ، ۲۱ سطر، اندازه: ۱۶/۳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۲۳/۴سم [ف: ۱ - ۳۰]</w:t>
      </w:r>
    </w:p>
    <w:p>
      <w:pPr>
        <w:pStyle w:val="BookText"/>
      </w:pPr>
      <w:r>
        <w:rPr>
          <w:rFonts w:ascii="IRNazanin" w:hAnsi="IRNazanin" w:eastAsia="IRNazanin" w:cs="IRNazanin"/>
          <w:lang w:bidi="fa-IR"/>
          <w:color w:val="111111"/>
          <w:sz w:val="28"/>
          <w:szCs w:val="28"/>
          <w:rtl/>
        </w:rPr>
        <w:t xml:space="preserve">۲۱. تهران؛ چهل ستون؛ شماره نسخه: ۴۸</w:t>
      </w:r>
    </w:p>
    <w:p>
      <w:pPr>
        <w:pStyle w:val="BookText"/>
      </w:pPr>
      <w:r>
        <w:rPr>
          <w:rFonts w:ascii="IRNazanin" w:hAnsi="IRNazanin" w:eastAsia="IRNazanin" w:cs="IRNazanin"/>
          <w:lang w:bidi="fa-IR"/>
          <w:color w:val="111111"/>
          <w:sz w:val="28"/>
          <w:szCs w:val="28"/>
          <w:rtl/>
        </w:rPr>
        <w:t xml:space="preserve">خط: نسخ، بی کا، تا: شنبه ۱۷ ذیقعده ۹۷۰ق؛ [چند نسخه-ف: ۳۱۲]</w:t>
      </w:r>
    </w:p>
    <w:p>
      <w:pPr>
        <w:pStyle w:val="BookText"/>
      </w:pPr>
      <w:r>
        <w:rPr>
          <w:rFonts w:ascii="IRNazanin" w:hAnsi="IRNazanin" w:eastAsia="IRNazanin" w:cs="IRNazanin"/>
          <w:lang w:bidi="fa-IR"/>
          <w:color w:val="111111"/>
          <w:sz w:val="28"/>
          <w:szCs w:val="28"/>
          <w:rtl/>
        </w:rPr>
        <w:t xml:space="preserve">۲۲ . قم؛ مسجد اعظم؛ شماره نسخه: ۱۸۵</w:t>
      </w:r>
    </w:p>
    <w:p>
      <w:pPr>
        <w:pStyle w:val="BookText"/>
      </w:pPr>
      <w:r>
        <w:rPr>
          <w:rFonts w:ascii="IRNazanin" w:hAnsi="IRNazanin" w:eastAsia="IRNazanin" w:cs="IRNazanin"/>
          <w:lang w:bidi="fa-IR"/>
          <w:color w:val="111111"/>
          <w:sz w:val="28"/>
          <w:szCs w:val="28"/>
          <w:rtl/>
        </w:rPr>
        <w:t xml:space="preserve">آغاز: اما بعد فانی رایت جماعة من اصحابنا لما نظروا في كتابنا الكبير الموسوم بتهذيب الاحكام ورأواما، جمعنا فيه من الاخبار المتعلقة بالحلال والحرام و وجدوها مشتملة على اكثر ؛ انجام: وان ابت ان يرضى بقولك فدعها واياكم والكواشف والدواعى والبغايا وذوات الازواج قلت ماالكواشف قال اللوائى لكاشفن وبيوتهن معلومة ويزنين قلت فالدواعى قال  طهارت تا نکاح؛ خط: نسخ، کا: ماجد بن فلاح (جزء دوم) تا: ۹۷۲ق (جزء دوم)؛ افتادگی: انجام؛ جزء اول احتمالاً از روی نسخه مورخه ۵۶۹ق محمد بن الحسن، مصحح؛ جلد: تیماج رو عطف مشکی و پشت زرشکی کهنه  مجدول، ۲۲۸گ، ۲۵ سطر، :اندازه 21</w:t>
      </w:r>
      <w:r>
        <w:rPr>
          <w:rFonts w:ascii="Times New Roman" w:hAnsi="Times New Roman" w:eastAsia="Times New Roman" w:cs="Times New Roman"/>
          <w:lang w:val="en-US" w:bidi="en-US"/>
          <w:color w:val="111111"/>
          <w:sz w:val="28"/>
          <w:szCs w:val="28"/>
          <w:rtl/>
        </w:rPr>
        <w:t xml:space="preserve">×31</w:t>
      </w:r>
      <w:r>
        <w:rPr>
          <w:rFonts w:ascii="IRNazanin" w:hAnsi="IRNazanin" w:eastAsia="IRNazanin" w:cs="IRNazanin"/>
          <w:lang w:bidi="fa-IR"/>
          <w:color w:val="111111"/>
          <w:sz w:val="28"/>
          <w:szCs w:val="28"/>
          <w:rtl/>
        </w:rPr>
        <w:t xml:space="preserve">سم [ف مخ: ۱ - ۱۳۸]</w:t>
      </w:r>
    </w:p>
    <w:p>
      <w:pPr>
        <w:pStyle w:val="BookText"/>
      </w:pPr>
      <w:r>
        <w:rPr>
          <w:rFonts w:ascii="IRNazanin" w:hAnsi="IRNazanin" w:eastAsia="IRNazanin" w:cs="IRNazanin"/>
          <w:lang w:bidi="fa-IR"/>
          <w:color w:val="111111"/>
          <w:sz w:val="28"/>
          <w:szCs w:val="28"/>
          <w:rtl/>
        </w:rPr>
        <w:t xml:space="preserve">۲۳. تهران؛ ادبیات؛ شماره نسخه: ۵۵ ـ ب</w:t>
      </w:r>
    </w:p>
    <w:p>
      <w:pPr>
        <w:pStyle w:val="BookText"/>
      </w:pPr>
      <w:r>
        <w:rPr>
          <w:rFonts w:ascii="IRNazanin" w:hAnsi="IRNazanin" w:eastAsia="IRNazanin" w:cs="IRNazanin"/>
          <w:lang w:bidi="fa-IR"/>
          <w:color w:val="111111"/>
          <w:sz w:val="28"/>
          <w:szCs w:val="28"/>
          <w:rtl/>
        </w:rPr>
        <w:t xml:space="preserve">خط: نسخ کا عبد علی قلقاس شداد، تا: ۱۷ جمادی الثانی ۹۷۶ق؛ ،محشی، تا صلواة را عبدعلی بن قلقاس شداد نوشته و به کوشش ابو القاسم محمد بن فتح الله حسینی در روز جمعه ۱۶ شوال ۹۷۶ مقابله  شده، تا: پایان نسخه را محمد بن حاج قوام الدين بن محمد بن قوام الدین لیثی در حله در ۷ شوال ۹۷۷ نوشته و همان حسینی در نجف در روز یک شنبه ۳ دیقعده ۹۷۷ با نسخه شهید مقابله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 است، خط ماجد بن محمد حسینی بحرانی در صفحه عنوان؛ تملک: احمدی بن عبدالحق خاکی، حبیب الله موسوی در 1342؛ کاغذ: سمرقندی، جلد: تیماج سرخ عطف  زرد، ۲۷۴گ ۲۹ سـطر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۳۱سم [ف: ۱ - ۲۶]</w:t>
      </w:r>
    </w:p>
    <w:p>
      <w:pPr>
        <w:pStyle w:val="BookText"/>
      </w:pPr>
      <w:r>
        <w:rPr>
          <w:rFonts w:ascii="IRNazanin" w:hAnsi="IRNazanin" w:eastAsia="IRNazanin" w:cs="IRNazanin"/>
          <w:lang w:bidi="fa-IR"/>
          <w:color w:val="111111"/>
          <w:sz w:val="28"/>
          <w:szCs w:val="28"/>
          <w:rtl/>
        </w:rPr>
        <w:t xml:space="preserve">۲۴. قم؛ مرعشی؛ شماره نسخه: ۹۱۰۵</w:t>
      </w:r>
    </w:p>
    <w:p>
      <w:pPr>
        <w:pStyle w:val="BookText"/>
      </w:pPr>
      <w:r>
        <w:rPr>
          <w:rFonts w:ascii="IRNazanin" w:hAnsi="IRNazanin" w:eastAsia="IRNazanin" w:cs="IRNazanin"/>
          <w:lang w:bidi="fa-IR"/>
          <w:color w:val="111111"/>
          <w:sz w:val="28"/>
          <w:szCs w:val="28"/>
          <w:rtl/>
        </w:rPr>
        <w:t xml:space="preserve">خط: نسخ، کا: کتاب الله  بن اهل الله بن نعمت الله  قمی، تا: ۹۷۷ق؛ جزء اول مصحح و کار مقابله آن ۱۷ رمضان ۹۷۷ پایان یافته؛ تملک: جلال الدين محمد بن محمد قاسم بن تاج الدين محمـود بن شمس الدين على حسینی حسنی جعفری، محمد بن عبدالله، حسن بن محمد امین بن ابو الحسن بن حيدر حسینی نجفی؛ جـلد: تیماج مشکی بدون مقوا، ۱۹۵گ ۲۷ سطر،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  سم[ ف: ۲۳ - ۲۵۱]</w:t>
      </w:r>
    </w:p>
    <w:p>
      <w:pPr>
        <w:pStyle w:val="BookText"/>
      </w:pPr>
      <w:r>
        <w:rPr>
          <w:rFonts w:ascii="IRNazanin" w:hAnsi="IRNazanin" w:eastAsia="IRNazanin" w:cs="IRNazanin"/>
          <w:lang w:bidi="fa-IR"/>
          <w:color w:val="111111"/>
          <w:sz w:val="28"/>
          <w:szCs w:val="28"/>
          <w:rtl/>
        </w:rPr>
        <w:t xml:space="preserve">۲۵. مشهد؛ رضوی؛ شماره نسخه: ۱۳۰۵۰</w:t>
      </w:r>
    </w:p>
    <w:p>
      <w:pPr>
        <w:pStyle w:val="BookText"/>
      </w:pPr>
      <w:r>
        <w:rPr>
          <w:rFonts w:ascii="IRNazanin" w:hAnsi="IRNazanin" w:eastAsia="IRNazanin" w:cs="IRNazanin"/>
          <w:lang w:bidi="fa-IR"/>
          <w:color w:val="111111"/>
          <w:sz w:val="28"/>
          <w:szCs w:val="28"/>
          <w:rtl/>
        </w:rPr>
        <w:t xml:space="preserve">جلد ۱-۳؛ خط: نسخ، کا: محمد بن قوام الدين بن محمود بن قوام الدين ليثي، تا: جمعه ۸ ربیع الثانی ۹۸۱ق؛ ورق آخر کسرنویسی شده به خط حسین بن شمس الدین محمد اصفهانی در ۸ رمضـان  ۱۰۴۲، محشی غالباً با نشان «زین الدین، ابن زین الدین، س م ده، پشت ورق اول دو ورق در مطالب متفرقه جلد ۱ دارای بلاغ محمد تقی مجلسی (دستخطشان در پایان جلد ۱ دیده می شود)؛ اهدائی کاظم مدیر شانه چی در آبان ۱۳۶۲؛ کاغذ ،نخودی، جـلد: تیماج ضربی ،قهوه ای دو رویه ۱۹۶گ، ۳۵ سطر،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۳۳/۸سم [ف : ۱۴ - ۵۸]</w:t>
      </w:r>
    </w:p>
    <w:p>
      <w:pPr>
        <w:pStyle w:val="BookText"/>
      </w:pPr>
      <w:r>
        <w:rPr>
          <w:rFonts w:ascii="IRNazanin" w:hAnsi="IRNazanin" w:eastAsia="IRNazanin" w:cs="IRNazanin"/>
          <w:lang w:bidi="fa-IR"/>
          <w:color w:val="111111"/>
          <w:sz w:val="28"/>
          <w:szCs w:val="28"/>
          <w:rtl/>
        </w:rPr>
        <w:t xml:space="preserve">۲۶. مشهد؛ رضوی؛ شماره نسخه: ۱۴۰۳۸</w:t>
      </w:r>
    </w:p>
    <w:p>
      <w:pPr>
        <w:pStyle w:val="BookText"/>
      </w:pPr>
      <w:r>
        <w:rPr>
          <w:rFonts w:ascii="IRNazanin" w:hAnsi="IRNazanin" w:eastAsia="IRNazanin" w:cs="IRNazanin"/>
          <w:lang w:bidi="fa-IR"/>
          <w:color w:val="111111"/>
          <w:sz w:val="28"/>
          <w:szCs w:val="28"/>
          <w:rtl/>
        </w:rPr>
        <w:t xml:space="preserve">آغاز: امکن العمل بالآخر على بعض الوجوه وضرب من التأویل؛</w:t>
      </w:r>
    </w:p>
    <w:p>
      <w:pPr>
        <w:pStyle w:val="BookText"/>
      </w:pPr>
      <w:r>
        <w:rPr>
          <w:rFonts w:ascii="Amiri" w:hAnsi="Amiri" w:eastAsia="Amiri" w:cs="Amiri"/>
          <w:lang w:bidi="ar-SA"/>
          <w:color w:val="111111"/>
          <w:sz w:val="28"/>
          <w:szCs w:val="28"/>
          <w:rtl/>
        </w:rPr>
        <w:t xml:space="preserve">انجام : لا يقع فيها زياده او تقصان</w:t>
      </w:r>
    </w:p>
    <w:p>
      <w:pPr>
        <w:pStyle w:val="BookText"/>
      </w:pPr>
      <w:r>
        <w:rPr>
          <w:rFonts w:ascii="IRNazanin" w:hAnsi="IRNazanin" w:eastAsia="IRNazanin" w:cs="IRNazanin"/>
          <w:lang w:bidi="fa-IR"/>
          <w:color w:val="111111"/>
          <w:sz w:val="28"/>
          <w:szCs w:val="28"/>
          <w:rtl/>
        </w:rPr>
        <w:t xml:space="preserve">جلد ۱-۳؛ خط: نسخ، کا: علی بن قوام الدين بن محمود بن قوام الدين ليثى  حلی، تا: ۹۸۱ق؛ افتادگی: آغاز (یک برگ)؛ واقف: فاضلخان، ۱۰۶۵ق که در سال ۱۳۶۳ به کتابخانه تحویل گردیده است؛ کاغذ: نخودی ،آهاری ،جلد: تیماج عنابی ضربی با ترنج سرترنج ترنج، ۲۰۹گ، ۳۱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۳۰/۵سم [ف: ۱۴ – ۶۴]</w:t>
      </w:r>
    </w:p>
    <w:p>
      <w:pPr>
        <w:pStyle w:val="BookText"/>
      </w:pPr>
      <w:r>
        <w:rPr>
          <w:rFonts w:ascii="IRNazanin" w:hAnsi="IRNazanin" w:eastAsia="IRNazanin" w:cs="IRNazanin"/>
          <w:lang w:bidi="fa-IR"/>
          <w:color w:val="111111"/>
          <w:sz w:val="28"/>
          <w:szCs w:val="28"/>
          <w:rtl/>
        </w:rPr>
        <w:t xml:space="preserve">۲۷. قم؛ مرعشی؛ شماره نسخه: ۱۳۹۷۹</w:t>
      </w:r>
    </w:p>
    <w:p>
      <w:pPr>
        <w:pStyle w:val="BookText"/>
      </w:pPr>
      <w:r>
        <w:rPr>
          <w:rFonts w:ascii="IRNazanin" w:hAnsi="IRNazanin" w:eastAsia="IRNazanin" w:cs="IRNazanin"/>
          <w:lang w:bidi="fa-IR"/>
          <w:color w:val="111111"/>
          <w:sz w:val="28"/>
          <w:szCs w:val="28"/>
          <w:rtl/>
        </w:rPr>
        <w:t xml:space="preserve">آغاز: کتاب الجهاد باب من يستحق أن يقسم الغنائم فيهم أخبرنی الشيخ رحمه الله عن احمد بن محمد ... كتب الى بعض اخوانی ان اسال ابا عبدالله علیه السلام، انجام: برابر</w:t>
      </w:r>
    </w:p>
    <w:p>
      <w:pPr>
        <w:pStyle w:val="BookText"/>
      </w:pPr>
      <w:r>
        <w:rPr>
          <w:rFonts w:ascii="IRNazanin" w:hAnsi="IRNazanin" w:eastAsia="IRNazanin" w:cs="IRNazanin"/>
          <w:lang w:bidi="fa-IR"/>
          <w:color w:val="111111"/>
          <w:sz w:val="28"/>
          <w:szCs w:val="28"/>
          <w:rtl/>
        </w:rPr>
        <w:t xml:space="preserve">از آغاز کتاب الجهاد تا پایان کتاب استبصار؛ خط: نسخ،  کا: خواجه جان عبدالله بن على بن قنبر علی غفاری  طبسی، تا: ۹۸۵ق؛ محشی با نشان «ق»، «ق س م»، س م د»، «قسم» و «محمدهادی ايده الله»، مصحح، و با نشان «بلغ» و «بلغ سماعاً ايده الله تعالى» مقابله گردیده، عبارت مقابله در انجام نسخه چنین آمده: «... مقـابلة و تصحيحاً من اول الكتاب ... هنا و المستعان حسب ما تيسرلنا و الحمد لله رب العالمين وصلوته على سيدنا محمد و آله الطيـبین الطاهرين ... الحسين بن مظفر بن الحسين بن ... الكركى العاملی عاملهم الله بلطفه ... الاطهار الاخيار»؛ تملک: محمد هادی طبـسی با مهر «افوض امری الی الله عبده محمدهادی» (مستطیل)، عبدالنبی بن ... با مهر «المذنب عبد النبی» (بیضی) مهر: «لا اله الا الله الملك  الحق المبين المذنب محمد حسین» (مستطیل)؛ واقف: امیر حسن خان بن امیر حسن خان بن امیر علیمردان خان زنگویی، ۱۲۲۳ق، کتاب را وقف طلاب طبس کرده است؛ جلد: تیماج قهوه ای با ترنج و لچک ۲۴۹ص، ۱۹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۲۵/۵سم  [ف ۳۵ - ۴۳۴  ]</w:t>
      </w:r>
    </w:p>
    <w:p>
      <w:pPr>
        <w:pStyle w:val="BookText"/>
      </w:pPr>
      <w:r>
        <w:rPr>
          <w:rFonts w:ascii="IRNazanin" w:hAnsi="IRNazanin" w:eastAsia="IRNazanin" w:cs="IRNazanin"/>
          <w:lang w:bidi="fa-IR"/>
          <w:color w:val="111111"/>
          <w:sz w:val="28"/>
          <w:szCs w:val="28"/>
          <w:rtl/>
        </w:rPr>
        <w:t xml:space="preserve">۲۸. تهران؛ ملک؛ شماره نسخه: ۴۳۴۵</w:t>
      </w:r>
    </w:p>
    <w:p>
      <w:pPr>
        <w:pStyle w:val="BookText"/>
      </w:pPr>
      <w:r>
        <w:rPr>
          <w:rFonts w:ascii="IRNazanin" w:hAnsi="IRNazanin" w:eastAsia="IRNazanin" w:cs="IRNazanin"/>
          <w:lang w:bidi="fa-IR"/>
          <w:color w:val="111111"/>
          <w:sz w:val="28"/>
          <w:szCs w:val="28"/>
          <w:rtl/>
        </w:rPr>
        <w:t xml:space="preserve">خط: نسخ، کا: محمد بن احمد بن ناصرالدین حسینی، تا: ۹۸۶ق؛ تملک: محمد رفیع بن عبدالکافی با مهر او؛ جلد: رویه میشن سیاه ضربی مغزی قهوه ای لبه دار، ۳۸۳گ، ۱۹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۳۲/۷سم [ف: ۱ - ۳۰]</w:t>
      </w:r>
    </w:p>
    <w:p>
      <w:pPr>
        <w:pStyle w:val="BookText"/>
      </w:pPr>
      <w:r>
        <w:rPr>
          <w:rFonts w:ascii="IRNazanin" w:hAnsi="IRNazanin" w:eastAsia="IRNazanin" w:cs="IRNazanin"/>
          <w:lang w:bidi="fa-IR"/>
          <w:color w:val="111111"/>
          <w:sz w:val="28"/>
          <w:szCs w:val="28"/>
          <w:rtl/>
        </w:rPr>
        <w:t xml:space="preserve">۲۹. مشهد؛ نواب؛ شماره نسخه: ۳۷۵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و  ثلث، کا: حسن بن جمعه بن علی نجفی، تا: سه شنبه 24 ربيع الثانى ۹۸۸ ق؛ دارای بلاغ ؛ نسخه در ذیقعده ۱۰۵۱ق در مشهد مقدس رضوی توسط محمد مومن بن شاه قاسم سبزواری، و نیز در مدینه طیبه توسط محمد امین شریف مقابله گردیده؛ تملک: محمد امین بن شاه قلم، واقف (این جلد همراه با ۶۲ جلد دیگر): ملا محمد مومن بن شاه قاسم سبزواری (پدر محقق سبزواری) ۱۰۶۵ق؛ جلد: تیماج  مشکی، ۲۹۵گ، ۳۱ سطر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۳۱سم [ف: ۳۱۶]</w:t>
      </w:r>
    </w:p>
    <w:p>
      <w:pPr>
        <w:pStyle w:val="BookText"/>
      </w:pPr>
      <w:r>
        <w:rPr>
          <w:rFonts w:ascii="IRNazanin" w:hAnsi="IRNazanin" w:eastAsia="IRNazanin" w:cs="IRNazanin"/>
          <w:lang w:bidi="fa-IR"/>
          <w:color w:val="111111"/>
          <w:sz w:val="28"/>
          <w:szCs w:val="28"/>
          <w:rtl/>
        </w:rPr>
        <w:t xml:space="preserve">۳۰. تهران؛ مجلس؛ شماره نسخه: ۷۶۳۶</w:t>
      </w:r>
    </w:p>
    <w:p>
      <w:pPr>
        <w:pStyle w:val="BookText"/>
      </w:pPr>
      <w:r>
        <w:rPr>
          <w:rFonts w:ascii="IRNazanin" w:hAnsi="IRNazanin" w:eastAsia="IRNazanin" w:cs="IRNazanin"/>
          <w:lang w:bidi="fa-IR"/>
          <w:color w:val="111111"/>
          <w:sz w:val="28"/>
          <w:szCs w:val="28"/>
          <w:rtl/>
        </w:rPr>
        <w:t xml:space="preserve">خط: نسخ، كا: صالح بن محمد بن عبدالله سلامی نجفی، تا:پنج شنبه ۱۶ رجب ۹۸۹ق؛ محشی با نشان «س م» و«سلمه الله» «دام ظله» در پایان کتاب صوم انهاء از محمد بن ابی الحسن  الحسینی در نجف ،جلد: تیماج قهوه ای سوخت با شمسه، ۳۲۱گ، ۲۷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۳۱سم [ف: ۲۶ - ۱۳۱]</w:t>
      </w:r>
    </w:p>
    <w:p>
      <w:pPr>
        <w:pStyle w:val="BookText"/>
      </w:pPr>
      <w:r>
        <w:rPr>
          <w:rFonts w:ascii="IRNazanin" w:hAnsi="IRNazanin" w:eastAsia="IRNazanin" w:cs="IRNazanin"/>
          <w:lang w:bidi="fa-IR"/>
          <w:color w:val="111111"/>
          <w:sz w:val="28"/>
          <w:szCs w:val="28"/>
          <w:rtl/>
        </w:rPr>
        <w:t xml:space="preserve">۳۱. مشهد؛ رضوی؛ شماره نسخه: ۱۴۰۳۶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جلد ۱ تا ۳؛ خط: نسخ،  کا، حسین بن عيسى حوری، تا: صفر ۹۸۹ق ،مجداول، دارای  بلاغ ، محشی؛ واقف: فاضلخان،۱۰۶۵ق؛ کاغذ: حنایی ،جلد: تیماج  مشکی، ۳۶۸گ، ۲۵ سطر، اندازه:۱۸/۳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۲۹سم [ف: ۱۴ - ۵۷]</w:t>
      </w:r>
    </w:p>
    <w:p>
      <w:pPr>
        <w:pStyle w:val="BookText"/>
      </w:pPr>
      <w:r>
        <w:rPr>
          <w:rFonts w:ascii="IRNazanin" w:hAnsi="IRNazanin" w:eastAsia="IRNazanin" w:cs="IRNazanin"/>
          <w:lang w:bidi="fa-IR"/>
          <w:color w:val="111111"/>
          <w:sz w:val="28"/>
          <w:szCs w:val="28"/>
          <w:rtl/>
        </w:rPr>
        <w:t xml:space="preserve">۳۲. مشهد؛ رضوی؛ شماره نسخه: ۱۶۶۳۵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جلد ۱-۳؛ خط: نسخ، بی کا، تا: قرن ۱۱؛ کاتب اوراق نونویس: علی بن حاجی محمد، محشی با رموز «م ح ق م د، سلطان و ...»، دارای بلاغ واقف: سیدمهدی واعظ سیستانی، رجب ۱۳۸۱؛ کاغذ: حنایی، جلد: تیماج  مشکی، ۳۴۱گ، ۲۴ سطر، اندازه:</w:t>
      </w:r>
    </w:p>
    <w:p>
      <w:pPr>
        <w:pStyle w:val="BookText"/>
      </w:pPr>
      <w:r>
        <w:rPr>
          <w:rFonts w:ascii="IRNazanin" w:hAnsi="IRNazanin" w:eastAsia="IRNazanin" w:cs="IRNazanin"/>
          <w:lang w:bidi="fa-IR"/>
          <w:color w:val="111111"/>
          <w:sz w:val="28"/>
          <w:szCs w:val="28"/>
          <w:rtl/>
        </w:rPr>
        <w:t xml:space="preserve">۲۰/۷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۲۹/۳سم [ف ۱۴ - ۵۹]</w:t>
      </w:r>
    </w:p>
    <w:p>
      <w:pPr>
        <w:pStyle w:val="BookText"/>
      </w:pPr>
      <w:r>
        <w:rPr>
          <w:rFonts w:ascii="IRNazanin" w:hAnsi="IRNazanin" w:eastAsia="IRNazanin" w:cs="IRNazanin"/>
          <w:lang w:bidi="fa-IR"/>
          <w:color w:val="111111"/>
          <w:sz w:val="28"/>
          <w:szCs w:val="28"/>
          <w:rtl/>
        </w:rPr>
        <w:t xml:space="preserve">۳۳. تهران؛ ملک؛ شماره نسخه: ۲۴۶۹</w:t>
      </w:r>
    </w:p>
    <w:p>
      <w:pPr>
        <w:pStyle w:val="BookText"/>
      </w:pPr>
      <w:r>
        <w:rPr>
          <w:rFonts w:ascii="IRNazanin" w:hAnsi="IRNazanin" w:eastAsia="IRNazanin" w:cs="IRNazanin"/>
          <w:lang w:bidi="fa-IR"/>
          <w:color w:val="111111"/>
          <w:sz w:val="28"/>
          <w:szCs w:val="28"/>
          <w:rtl/>
        </w:rPr>
        <w:t xml:space="preserve">جلد ۱ در باب جهاد افتاده؛ خط: نسخ، بی کا، تا: قرن ۱۱؛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افتادگی: آغاز؛ محشی ؛کاغذ: ترمه، جلد: میشن آلبالویی ضربی، ۲۷۱گ ۲۰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۲۴/۸سم [ف: ۱ - ۳۰]</w:t>
      </w:r>
    </w:p>
    <w:p>
      <w:pPr>
        <w:pStyle w:val="BookText"/>
      </w:pPr>
      <w:r>
        <w:rPr>
          <w:rFonts w:ascii="IRNazanin" w:hAnsi="IRNazanin" w:eastAsia="IRNazanin" w:cs="IRNazanin"/>
          <w:lang w:bidi="fa-IR"/>
          <w:color w:val="111111"/>
          <w:sz w:val="28"/>
          <w:szCs w:val="28"/>
          <w:rtl/>
        </w:rPr>
        <w:t xml:space="preserve">۳۴. تهران؛ ملک؛ شماره نسخه: ۲۷۷۱</w:t>
      </w:r>
    </w:p>
    <w:p>
      <w:pPr>
        <w:pStyle w:val="BookText"/>
      </w:pPr>
      <w:r>
        <w:rPr>
          <w:rFonts w:ascii="IRNazanin" w:hAnsi="IRNazanin" w:eastAsia="IRNazanin" w:cs="IRNazanin"/>
          <w:lang w:bidi="fa-IR"/>
          <w:color w:val="111111"/>
          <w:sz w:val="28"/>
          <w:szCs w:val="28"/>
          <w:rtl/>
        </w:rPr>
        <w:t xml:space="preserve">خط: نسخ، کا: محمد مؤمن بن نقد علی، تا: قرن ۱۱؛ محشی به خط میرزا مهدی شهید خراسانی ؛کاغذ: فستقی ،جلد: میشن سیاه لبه دار ،۳۷۴گ، ۲۵ سطر، اندازه: ۱۹/۳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۲۹سم [ف: ۱ - ۳۰]</w:t>
      </w:r>
    </w:p>
    <w:p>
      <w:pPr>
        <w:pStyle w:val="BookText"/>
      </w:pPr>
      <w:r>
        <w:rPr>
          <w:rFonts w:ascii="IRNazanin" w:hAnsi="IRNazanin" w:eastAsia="IRNazanin" w:cs="IRNazanin"/>
          <w:lang w:bidi="fa-IR"/>
          <w:color w:val="111111"/>
          <w:sz w:val="28"/>
          <w:szCs w:val="28"/>
          <w:rtl/>
        </w:rPr>
        <w:t xml:space="preserve">۳۵. مشهد؛ رضوی؛ شماره نسخه: ۹۰۶۲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جلد ۱- ۳؛ خط: نسخ، بی کا، تا: قرن ۱۱؛ محشی با رموز مختلف،مصحح، مقابله شده توسط عبدالاول بن ابراهیم گیلانی نزد حاجی حسین نیشابوری مکی و اجازه روایت او به گیلانی در مکه مکرمه در  ۱۰۶۸، دارای بلاغ از ایشان در موارد متعدد؛ کاغذ: نخودی آهار مهره ،جلد: تیماج قهوه ای ضربی با ترنج و سرترنج و گوشه، ۳۷۴ ص، ۲۵سطر، اندازه: ۲۱/۲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۳۰/۸سم [ف : ۱۴ - ۵۶]</w:t>
      </w:r>
    </w:p>
    <w:p>
      <w:pPr>
        <w:pStyle w:val="BookText"/>
      </w:pPr>
      <w:r>
        <w:rPr>
          <w:rFonts w:ascii="IRNazanin" w:hAnsi="IRNazanin" w:eastAsia="IRNazanin" w:cs="IRNazanin"/>
          <w:lang w:bidi="fa-IR"/>
          <w:color w:val="111111"/>
          <w:sz w:val="28"/>
          <w:szCs w:val="28"/>
          <w:rtl/>
        </w:rPr>
        <w:t xml:space="preserve">۳۶. مشهد؛ رضوی؛ شماره نسخه: ۱۳۴۴۸</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جلد ۱-۳؛ خط: نسخ، بی کا، تا:قرن ۱۱؛ مذیل است به شـرح استبصار از شارحی نامعلوم با عناوین فصل بر مقدمه استبصار درباره انواع اخبار و مذهب شیخ در عمل کردن به  اخبار، با آغاز: «بسمله، اما بعد حمد الله الذى خلقنا وعلمنا البيان والصلوه علی  محمد ...) ، انجام: «فانها صحيحه على ما قدمناه والحمدلله رب العالمین» محشی با رموز  مختلف، دارای سه نوع بلاغ، اوراق صدر و ذیل توسط محمد مهدی بن محمد حسن بن مرتضـی جزایری کسر نویسی شده؛ کاغذ: نخودی ،آهار مهره ،جلد: تیماج  عنابی، ۵۴۵گ، ۱۹ سطر اندازه: ۱۷/۳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۲۶سم [ف : ۱۴ - ۵۷]</w:t>
      </w:r>
    </w:p>
    <w:p>
      <w:pPr>
        <w:pStyle w:val="BookText"/>
      </w:pPr>
      <w:r>
        <w:rPr>
          <w:rFonts w:ascii="IRNazanin" w:hAnsi="IRNazanin" w:eastAsia="IRNazanin" w:cs="IRNazanin"/>
          <w:lang w:bidi="fa-IR"/>
          <w:color w:val="111111"/>
          <w:sz w:val="28"/>
          <w:szCs w:val="28"/>
          <w:rtl/>
        </w:rPr>
        <w:t xml:space="preserve">۳۷. مشهد؛ رضوی؛ شماره نسخه: ۱۵۹۴۳</w:t>
      </w:r>
    </w:p>
    <w:p>
      <w:pPr>
        <w:pStyle w:val="BookText"/>
      </w:pPr>
      <w:r>
        <w:rPr>
          <w:rFonts w:ascii="IRNazanin" w:hAnsi="IRNazanin" w:eastAsia="IRNazanin" w:cs="IRNazanin"/>
          <w:lang w:bidi="fa-IR"/>
          <w:color w:val="111111"/>
          <w:sz w:val="28"/>
          <w:szCs w:val="28"/>
          <w:rtl/>
        </w:rPr>
        <w:t xml:space="preserve">آغاز: و هو كل خبر بقرن اليه قرنته (كذا) توجب العلم و ما یجری  هذا المجرى؛ انجام: برابر</w:t>
      </w:r>
    </w:p>
    <w:p>
      <w:pPr>
        <w:pStyle w:val="BookText"/>
      </w:pPr>
      <w:r>
        <w:rPr>
          <w:rFonts w:ascii="IRNazanin" w:hAnsi="IRNazanin" w:eastAsia="IRNazanin" w:cs="IRNazanin"/>
          <w:lang w:bidi="fa-IR"/>
          <w:color w:val="111111"/>
          <w:sz w:val="28"/>
          <w:szCs w:val="28"/>
          <w:rtl/>
        </w:rPr>
        <w:t xml:space="preserve">جلد ۱-۳ ؛خط: نسخ  خوش، کا: قاضى على بن شمس الدین  شولستانی، تا: قرن ۱۱؛ افتادگی: آغاز( یک ورق)؛ مجدول ،مذهب، دارای بلاغ و اجازه روایت از شرف الدین علی بن حجة الله حسینی شولستانی به کاتب در دوشنبه سلخ جمادی الاول ۱۰۴۷، محشی با رموز مختلف و غالباً «س م د»، واگذاری بنیاد مستضعفان در شهریور ۱۳۶۷؛ کاغذ: حنایی آهار مهره، جـلد: تیماج عنابی، ۴۰۰گ، ۲۵ سطر (۱۱/۲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 اندازه: ۱۹/۳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۳۳/۴سم [ف : ۱۴ - ۶۲]</w:t>
      </w:r>
    </w:p>
    <w:p>
      <w:pPr>
        <w:pStyle w:val="BookText"/>
      </w:pPr>
      <w:r>
        <w:rPr>
          <w:rFonts w:ascii="IRNazanin" w:hAnsi="IRNazanin" w:eastAsia="IRNazanin" w:cs="IRNazanin"/>
          <w:lang w:bidi="fa-IR"/>
          <w:color w:val="111111"/>
          <w:sz w:val="28"/>
          <w:szCs w:val="28"/>
          <w:rtl/>
        </w:rPr>
        <w:t xml:space="preserve">۳۸. مشهد؛ رضوی؛ شماره نسخه: ۱۶۹۲۶</w:t>
      </w:r>
    </w:p>
    <w:p>
      <w:pPr>
        <w:pStyle w:val="BookText"/>
      </w:pPr>
      <w:r>
        <w:rPr>
          <w:rFonts w:ascii="IRNazanin" w:hAnsi="IRNazanin" w:eastAsia="IRNazanin" w:cs="IRNazanin"/>
          <w:lang w:bidi="fa-IR"/>
          <w:color w:val="111111"/>
          <w:sz w:val="28"/>
          <w:szCs w:val="28"/>
          <w:rtl/>
        </w:rPr>
        <w:t xml:space="preserve">آغاز: برابر؛ انجام: عن ابی غالب احمد بن محمد الرازی وابی محمد هرون</w:t>
      </w:r>
    </w:p>
    <w:p>
      <w:pPr>
        <w:pStyle w:val="BookText"/>
      </w:pPr>
      <w:r>
        <w:rPr>
          <w:rFonts w:ascii="IRNazanin" w:hAnsi="IRNazanin" w:eastAsia="IRNazanin" w:cs="IRNazanin"/>
          <w:lang w:bidi="fa-IR"/>
          <w:color w:val="111111"/>
          <w:sz w:val="28"/>
          <w:szCs w:val="28"/>
          <w:rtl/>
        </w:rPr>
        <w:t xml:space="preserve">جلد ۱-۳؛ خط: نسخ، بی کا، تا: قرن ۱۱؛ افتادگی: انجام( ورق آخر اسانید)؛ مصحح ، مقابله شده، محشی؛ واگذاری دانشگاه علوم اسلامی رضوی در مهرماه ۱۳۶۸؛ کاغذ: نخودی آهار مهـره ،جلد: تیماج عنابی دو رویه، ۳۳۶گ، ۲۷ سطر، اندازه:۱۹/۸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۳۱/۸سم [ف ۱۴ - ۶۲  ]</w:t>
      </w:r>
    </w:p>
    <w:p>
      <w:pPr>
        <w:pStyle w:val="BookText"/>
      </w:pPr>
      <w:r>
        <w:rPr>
          <w:rFonts w:ascii="IRNazanin" w:hAnsi="IRNazanin" w:eastAsia="IRNazanin" w:cs="IRNazanin"/>
          <w:lang w:bidi="fa-IR"/>
          <w:color w:val="111111"/>
          <w:sz w:val="28"/>
          <w:szCs w:val="28"/>
          <w:rtl/>
        </w:rPr>
        <w:t xml:space="preserve">۳۹. مشهد؛ رضوی؛ شماره نسخه: ۱۳۱۰۲</w:t>
      </w:r>
    </w:p>
    <w:p>
      <w:pPr>
        <w:pStyle w:val="BookText"/>
      </w:pPr>
      <w:r>
        <w:rPr>
          <w:rFonts w:ascii="IRNazanin" w:hAnsi="IRNazanin" w:eastAsia="IRNazanin" w:cs="IRNazanin"/>
          <w:lang w:bidi="fa-IR"/>
          <w:color w:val="111111"/>
          <w:sz w:val="28"/>
          <w:szCs w:val="28"/>
          <w:rtl/>
        </w:rPr>
        <w:t xml:space="preserve">آغاز: الدم و اصلی و بهذا الاسناد عن محمد بن يحيى عن محمد بن علی بن محبوب عن احمد بن ابراهيم؛ انجام: باب انه اذا اعنف احد الزوجين على صاحبه فقتله ماحكمه... عن ابی عبدالله عليه السلام قال</w:t>
      </w:r>
    </w:p>
    <w:p>
      <w:pPr>
        <w:pStyle w:val="BookText"/>
      </w:pPr>
      <w:r>
        <w:rPr>
          <w:rFonts w:ascii="IRNazanin" w:hAnsi="IRNazanin" w:eastAsia="IRNazanin" w:cs="IRNazanin"/>
          <w:lang w:bidi="fa-IR"/>
          <w:color w:val="111111"/>
          <w:sz w:val="28"/>
          <w:szCs w:val="28"/>
          <w:rtl/>
        </w:rPr>
        <w:t xml:space="preserve">جلد ۱-۳؛ خط: نسخ، بی کا، تا: قرن ۱۱؛ افتادگی: آغاز (۳۰ برگ) و انجام (۱۲ برگ)؛ محشی غالباً به عنوان «حسن» و رمز «س م» ، دارای بلاغ اهدائی کاظم مدیر شانه چی در آبان ۱۳۶۲؛ کاغذ: حنایی، جلد: تیماج  عنابی، ۳۵۲گ، ۲۵ سطر، اندازه:  ۱۷/۵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۲۵/۷سم [ف : ۱۴ - ۶۵]</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مشهد؛ رضوی؛ شماره نسخه: ۱۶۹۲۹</w:t>
      </w:r>
    </w:p>
    <w:p>
      <w:pPr>
        <w:pStyle w:val="BookText"/>
      </w:pPr>
      <w:r>
        <w:rPr>
          <w:rFonts w:ascii="Amiri" w:hAnsi="Amiri" w:eastAsia="Amiri" w:cs="Amiri"/>
          <w:lang w:bidi="ar-SA"/>
          <w:color w:val="111111"/>
          <w:sz w:val="28"/>
          <w:szCs w:val="28"/>
          <w:rtl/>
        </w:rPr>
        <w:t xml:space="preserve">آغاز: بسمله كتاب الزكوة باب ما يجب فيه الزكوة؛ انجام: لئلا يقع فيها زيادة او نقصان تم ... اجمعين</w:t>
      </w:r>
    </w:p>
    <w:p>
      <w:pPr>
        <w:pStyle w:val="BookText"/>
      </w:pPr>
      <w:r>
        <w:rPr>
          <w:rFonts w:ascii="IRNazanin" w:hAnsi="IRNazanin" w:eastAsia="IRNazanin" w:cs="IRNazanin"/>
          <w:lang w:bidi="fa-IR"/>
          <w:color w:val="111111"/>
          <w:sz w:val="28"/>
          <w:szCs w:val="28"/>
          <w:rtl/>
        </w:rPr>
        <w:t xml:space="preserve">جلد  ۳-۲ ؛از زکات تا اسانید؛ خط: نسخ، بی کا، تا: نیمه اول قرن ۱۱؛ محشی، مصحح، مقابله شده در سال ۱۰۳۵ق)؛ واگذاری دانشگاه علوم اسلامی رضوی، در مهر ۱۳۶۸؛ کاغذ: حنایی آهار  مهره، جلد: تیماج قهوه ای ضربی با ترنج و سرترنج، ۳۸۹گ، ۱۹ ،سطر ،اندازه: ۱۸/۸۲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۲۴/۹سم [ف: ۱۴ - ۶۶]</w:t>
      </w:r>
    </w:p>
    <w:p>
      <w:pPr>
        <w:pStyle w:val="BookText"/>
      </w:pPr>
      <w:r>
        <w:rPr>
          <w:rFonts w:ascii="IRNazanin" w:hAnsi="IRNazanin" w:eastAsia="IRNazanin" w:cs="IRNazanin"/>
          <w:lang w:bidi="fa-IR"/>
          <w:color w:val="111111"/>
          <w:sz w:val="28"/>
          <w:szCs w:val="28"/>
          <w:rtl/>
        </w:rPr>
        <w:t xml:space="preserve">۴۱. مشهد؛ رضوی؛ شماره نسخه: ۱۸۰۱۰</w:t>
      </w:r>
    </w:p>
    <w:p>
      <w:pPr>
        <w:pStyle w:val="BookText"/>
      </w:pPr>
      <w:r>
        <w:rPr>
          <w:rFonts w:ascii="IRNazanin" w:hAnsi="IRNazanin" w:eastAsia="IRNazanin" w:cs="IRNazanin"/>
          <w:lang w:bidi="fa-IR"/>
          <w:color w:val="111111"/>
          <w:sz w:val="28"/>
          <w:szCs w:val="28"/>
          <w:rtl/>
        </w:rPr>
        <w:t xml:space="preserve">آغاز: برابر؛ انجام: و اما مارواه علی بن ابراهيم عن ابيه عن ابن ابى جلد ۱ - ۳. از ابتدا تا اواسط «باب من يعد على المراة سوى ابيها» از کتاب نکاح؛ خط: نسخ، بی کا، تا: قرن ۱۱؛ افتادگی: انجام؛ محشی بارموز مختلف، واقف: بخشعلی زنجانی توسط آیت الله شبیری در ۱۱ رجب ۱۴۱۱؛ کاغذ: نخودی  آهار مهره، ۳۳۶گ، ۲۳ ،سطر، اندازه: ۱۷/۸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۲۵/۴سم [ف: ۱۴ – ۶۷]</w:t>
      </w:r>
    </w:p>
    <w:p>
      <w:pPr>
        <w:pStyle w:val="BookText"/>
      </w:pPr>
      <w:r>
        <w:rPr>
          <w:rFonts w:ascii="IRNazanin" w:hAnsi="IRNazanin" w:eastAsia="IRNazanin" w:cs="IRNazanin"/>
          <w:lang w:bidi="fa-IR"/>
          <w:color w:val="111111"/>
          <w:sz w:val="28"/>
          <w:szCs w:val="28"/>
          <w:rtl/>
        </w:rPr>
        <w:t xml:space="preserve">۴۲. مشهد؛ رضوی؛ شماره نسخه: ۱۴۲۱۴</w:t>
      </w:r>
    </w:p>
    <w:p>
      <w:pPr>
        <w:pStyle w:val="BookText"/>
      </w:pPr>
      <w:r>
        <w:rPr>
          <w:rFonts w:ascii="IRNazanin" w:hAnsi="IRNazanin" w:eastAsia="IRNazanin" w:cs="IRNazanin"/>
          <w:lang w:bidi="fa-IR"/>
          <w:color w:val="111111"/>
          <w:sz w:val="28"/>
          <w:szCs w:val="28"/>
          <w:rtl/>
        </w:rPr>
        <w:t xml:space="preserve">آغاز: له من الاجر كحاج بيت الله و روی العلا عن محمد بن مسلم عن احد هما عليهما السلام؛ انجام: فلا ينا في الاخبار لان الوجه فى هذا الخبر ان نحمله على احد شيئين احمد هما ان نحمله على التقية لان فى الفقهاء من لا</w:t>
      </w:r>
    </w:p>
    <w:p>
      <w:pPr>
        <w:pStyle w:val="BookText"/>
      </w:pPr>
      <w:r>
        <w:rPr>
          <w:rFonts w:ascii="IRNazanin" w:hAnsi="IRNazanin" w:eastAsia="IRNazanin" w:cs="IRNazanin"/>
          <w:lang w:bidi="fa-IR"/>
          <w:color w:val="111111"/>
          <w:sz w:val="28"/>
          <w:szCs w:val="28"/>
          <w:rtl/>
        </w:rPr>
        <w:t xml:space="preserve">جلد ۳-۱ ؛از اوایل «باب كراهية النوم بعد الصلوة الغداة» تا اواخر «باب جواز قتل الاثنين» از کتاب الديات؛ خط: نسخ،بی کا، تا:</w:t>
      </w:r>
    </w:p>
    <w:p>
      <w:pPr>
        <w:pStyle w:val="BookText"/>
      </w:pPr>
      <w:r>
        <w:rPr>
          <w:rFonts w:ascii="IRNazanin" w:hAnsi="IRNazanin" w:eastAsia="IRNazanin" w:cs="IRNazanin"/>
          <w:lang w:bidi="fa-IR"/>
          <w:color w:val="111111"/>
          <w:sz w:val="28"/>
          <w:szCs w:val="28"/>
          <w:rtl/>
        </w:rPr>
        <w:t xml:space="preserve">قرن ۱۱؛ افتادگی: آغاز و انجام؛ محشى غالباً با نشان «س م د» ،واقف: سيد محمد باقر  سبزواری، محرم ۱۴۰۵؛ کاغذ: حنایی و شکری آهار مهره، جلد: مقوا، عطف و گوشه تیماج قهوه ای، ۳۰۶گ، ۲۵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۲۹سم [ف : ۱۴ - ۶۷]</w:t>
      </w:r>
    </w:p>
    <w:p>
      <w:pPr>
        <w:pStyle w:val="BookText"/>
      </w:pPr>
      <w:r>
        <w:rPr>
          <w:rFonts w:ascii="IRNazanin" w:hAnsi="IRNazanin" w:eastAsia="IRNazanin" w:cs="IRNazanin"/>
          <w:lang w:bidi="fa-IR"/>
          <w:color w:val="111111"/>
          <w:sz w:val="28"/>
          <w:szCs w:val="28"/>
          <w:rtl/>
        </w:rPr>
        <w:t xml:space="preserve">۴۳. قم؛ مرکز احیاء؛ شماره نسخه: ۳۷۰۹</w:t>
      </w:r>
    </w:p>
    <w:p>
      <w:pPr>
        <w:pStyle w:val="BookText"/>
      </w:pPr>
      <w:r>
        <w:rPr>
          <w:rFonts w:ascii="IRNazanin" w:hAnsi="IRNazanin" w:eastAsia="IRNazanin" w:cs="IRNazanin"/>
          <w:lang w:bidi="fa-IR"/>
          <w:color w:val="111111"/>
          <w:sz w:val="28"/>
          <w:szCs w:val="28"/>
          <w:rtl/>
        </w:rPr>
        <w:t xml:space="preserve">آغاز: عدداً و ان كانا متساويين في العدالة و العدد و هما عاريان من جميع القرائن التي ذكرناها؛ انجام: و ما ذكرته عن الشيخ المفيد عمادالدین ابی جعفر محمد بن علی بن الحسين بن موسى بن بابويه القمى رضى الله عنه...</w:t>
      </w:r>
    </w:p>
    <w:p>
      <w:pPr>
        <w:pStyle w:val="BookText"/>
      </w:pPr>
      <w:r>
        <w:rPr>
          <w:rFonts w:ascii="IRNazanin" w:hAnsi="IRNazanin" w:eastAsia="IRNazanin" w:cs="IRNazanin"/>
          <w:lang w:bidi="fa-IR"/>
          <w:color w:val="111111"/>
          <w:sz w:val="28"/>
          <w:szCs w:val="28"/>
          <w:rtl/>
        </w:rPr>
        <w:t xml:space="preserve">خط: نستعلیق، بی کا، تا: قرن ۱۰ یا ۱۱؛ افتادگی: آغاز و انجام؛،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مصحح، دارای علامت بلاغ با عبارت «بلغ مقابلة ثانية» محشـی ؛جلد: تیماج قهوه ای دورو عطف تیماج  مشکی، ۳۳۳گ، ۲۵ سـطر ،اندازه: ۱۸/۵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۲۵/۵سم [محدث ارموی مخ: ۱ - ۱۲۳]</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تهران؛ عبدالعظیم؛ شماره نسخه: ۲۸۱</w:t>
      </w:r>
    </w:p>
    <w:p>
      <w:pPr>
        <w:pStyle w:val="BookText"/>
      </w:pPr>
      <w:r>
        <w:rPr>
          <w:rFonts w:ascii="IRNazanin" w:hAnsi="IRNazanin" w:eastAsia="IRNazanin" w:cs="IRNazanin"/>
          <w:lang w:bidi="fa-IR"/>
          <w:color w:val="111111"/>
          <w:sz w:val="28"/>
          <w:szCs w:val="28"/>
          <w:rtl/>
        </w:rPr>
        <w:t xml:space="preserve">آغاز: برابر؛ انجام: ابن ابي يعفور هو عبد الله بن ابی  یعفور، تمت.</w:t>
      </w:r>
    </w:p>
    <w:p>
      <w:pPr>
        <w:pStyle w:val="BookText"/>
      </w:pPr>
      <w:r>
        <w:rPr>
          <w:rFonts w:ascii="IRNazanin" w:hAnsi="IRNazanin" w:eastAsia="IRNazanin" w:cs="IRNazanin"/>
          <w:lang w:bidi="fa-IR"/>
          <w:color w:val="111111"/>
          <w:sz w:val="28"/>
          <w:szCs w:val="28"/>
          <w:rtl/>
        </w:rPr>
        <w:t xml:space="preserve">کامل به ضمیمه مشیخه؛ خط: نستعلیق، بی کا، تا: قرن ۱۱ و کامل شده در قرن ۱۳ افتادگی: آغاز و وسط؛ مصحح، محشی به رمز «م س ر ه» یک برگ از آغاز و دو برگ در انجام نسخه نونویس  است، در اول نسخه تعداد ابواب کتاب ۹۲۵ باب و احادیث ۵۵۱۱ حدیث شمرده شده؛ واقف: آیت الله مرعشی نجفی؛ جـلد: تیماج قهوه ای مجدول، ۳۸۰گ، ۲۵ سطر،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  سم[ف: ۱- ۴۴]</w:t>
      </w:r>
    </w:p>
    <w:p>
      <w:pPr>
        <w:pStyle w:val="BookText"/>
      </w:pPr>
      <w:r>
        <w:rPr>
          <w:rFonts w:ascii="IRNazanin" w:hAnsi="IRNazanin" w:eastAsia="IRNazanin" w:cs="IRNazanin"/>
          <w:lang w:bidi="fa-IR"/>
          <w:color w:val="111111"/>
          <w:sz w:val="28"/>
          <w:szCs w:val="28"/>
          <w:rtl/>
        </w:rPr>
        <w:t xml:space="preserve">۴۵. مشهد؛ رضوی؛ شماره نسخه: ۱۶۹۲۳</w:t>
      </w:r>
    </w:p>
    <w:p>
      <w:pPr>
        <w:pStyle w:val="BookText"/>
      </w:pPr>
      <w:r>
        <w:rPr>
          <w:rFonts w:ascii="Amiri" w:hAnsi="Amiri" w:eastAsia="Amiri" w:cs="Amiri"/>
          <w:lang w:bidi="ar-SA"/>
          <w:color w:val="111111"/>
          <w:sz w:val="28"/>
          <w:szCs w:val="28"/>
          <w:rtl/>
        </w:rPr>
        <w:t xml:space="preserve">آغاز: برابر؛ انجام: محمد بن الحسن الصفار عن احمد بن محـمد بن عيسى عن محمد بن سنان عن العلا عن الفضيل قال سالته  رجل</w:t>
      </w:r>
    </w:p>
    <w:p>
      <w:pPr>
        <w:pStyle w:val="BookText"/>
      </w:pPr>
      <w:r>
        <w:rPr>
          <w:rFonts w:ascii="IRNazanin" w:hAnsi="IRNazanin" w:eastAsia="IRNazanin" w:cs="IRNazanin"/>
          <w:lang w:bidi="fa-IR"/>
          <w:color w:val="111111"/>
          <w:sz w:val="28"/>
          <w:szCs w:val="28"/>
          <w:rtl/>
        </w:rPr>
        <w:t xml:space="preserve">جلد ۳-۱؛ خط: نسخ، کا: محمد قاسم مازندرانی، تا: قرن11؛ افتادگی: انجام، از اواسط «ابواب حكم الابار» تا «باب التسـبیح والتشهد فى سجدتي السهو» و نیز از اواسط «باب ان ولد الملاعنه يرث اخواله ويرثونه» تا آخر کتاب ساقط است؛ محشی از ملا مراد و دیگران، مصحح؛ انتقالی از دانشگاه علوم اسلامی رضوی در مهر ۱۳۶۸؛ کاغذ ،نخودی ،جلد: مقوا، ۲۳۲گ ۲۴ سطر  ، اندازه: ۲۴/۷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۱۸/۵سم [ف: ۱۴ - ۶۸]</w:t>
      </w:r>
    </w:p>
    <w:p>
      <w:pPr>
        <w:pStyle w:val="BookText"/>
      </w:pPr>
      <w:r>
        <w:rPr>
          <w:rFonts w:ascii="IRNazanin" w:hAnsi="IRNazanin" w:eastAsia="IRNazanin" w:cs="IRNazanin"/>
          <w:lang w:bidi="fa-IR"/>
          <w:color w:val="111111"/>
          <w:sz w:val="28"/>
          <w:szCs w:val="28"/>
          <w:rtl/>
        </w:rPr>
        <w:t xml:space="preserve">۴۶. مشهد؛ رضوی؛ شماره نسخه: ۱۳۳۲۶</w:t>
      </w:r>
    </w:p>
    <w:p>
      <w:pPr>
        <w:pStyle w:val="BookText"/>
      </w:pPr>
      <w:r>
        <w:rPr>
          <w:rFonts w:ascii="IRNazanin" w:hAnsi="IRNazanin" w:eastAsia="IRNazanin" w:cs="IRNazanin"/>
          <w:lang w:bidi="fa-IR"/>
          <w:color w:val="111111"/>
          <w:sz w:val="28"/>
          <w:szCs w:val="28"/>
          <w:rtl/>
        </w:rPr>
        <w:t xml:space="preserve">آغاز: بسمله، کتاب الجهاد باب من يستحق ان يقسم الغنايم فيهم  ؛</w:t>
      </w:r>
    </w:p>
    <w:p>
      <w:pPr>
        <w:pStyle w:val="BookText"/>
      </w:pPr>
      <w:r>
        <w:rPr>
          <w:rFonts w:ascii="Amiri" w:hAnsi="Amiri" w:eastAsia="Amiri" w:cs="Amiri"/>
          <w:lang w:bidi="ar-SA"/>
          <w:color w:val="111111"/>
          <w:sz w:val="28"/>
          <w:szCs w:val="28"/>
          <w:rtl/>
        </w:rPr>
        <w:t xml:space="preserve">انجام: فقد روى هو ايضا انه لا فرق بينهم</w:t>
      </w:r>
    </w:p>
    <w:p>
      <w:pPr>
        <w:pStyle w:val="BookText"/>
      </w:pPr>
      <w:r>
        <w:rPr>
          <w:rFonts w:ascii="IRNazanin" w:hAnsi="IRNazanin" w:eastAsia="IRNazanin" w:cs="IRNazanin"/>
          <w:lang w:bidi="fa-IR"/>
          <w:color w:val="111111"/>
          <w:sz w:val="28"/>
          <w:szCs w:val="28"/>
          <w:rtl/>
        </w:rPr>
        <w:t xml:space="preserve">از ابتدای کتاب جهاد تا اواخر «باب دية اهل الذمه»؛ جلد ۳؛ خـط: نسخ، بی کا، تا: قرن ۱۱؛ افتادگی: انجام؛ واقف: عباس فخیمی، آذر ۱۳۶۲؛ کاغذ: حنایی آهار مهره ،جلد: تیماج عنابی لبه دار ،ضربی، ۲۲۴گ، ۲۲ - ۲۵ ،سطر، اندازه: ۱۸/۷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۱۴ - 68]</w:t>
      </w:r>
    </w:p>
    <w:p>
      <w:pPr>
        <w:pStyle w:val="BookText"/>
      </w:pPr>
      <w:r>
        <w:rPr>
          <w:rFonts w:ascii="IRNazanin" w:hAnsi="IRNazanin" w:eastAsia="IRNazanin" w:cs="IRNazanin"/>
          <w:lang w:bidi="fa-IR"/>
          <w:color w:val="111111"/>
          <w:sz w:val="28"/>
          <w:szCs w:val="28"/>
          <w:rtl/>
        </w:rPr>
        <w:t xml:space="preserve">۴۷. تهران؛ ملک؛ شماره نسخه: ۱۰۱۰</w:t>
      </w:r>
    </w:p>
    <w:p>
      <w:pPr>
        <w:pStyle w:val="BookText"/>
      </w:pPr>
      <w:r>
        <w:rPr>
          <w:rFonts w:ascii="IRNazanin" w:hAnsi="IRNazanin" w:eastAsia="IRNazanin" w:cs="IRNazanin"/>
          <w:lang w:bidi="fa-IR"/>
          <w:color w:val="111111"/>
          <w:sz w:val="28"/>
          <w:szCs w:val="28"/>
          <w:rtl/>
        </w:rPr>
        <w:t xml:space="preserve">از دیون تا پایان مشیخه؛ خط: نسخ، بی کا، تا: قرن ۱۱؛ محشی، با اجازه محمد تقی مجلسی به محمد باقر مجلسی در نه صفحه و نیم؛ کاغذ: ترمه ،جلد: میشن مشکی، مغزی  دار، ۲۴۱گ ۲۰ سـطر ،اندازه: ۱۸/۶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۲۴/۸سم [ف: ۱ - ۲۹]</w:t>
      </w:r>
    </w:p>
    <w:p>
      <w:pPr>
        <w:pStyle w:val="BookText"/>
      </w:pPr>
      <w:r>
        <w:rPr>
          <w:rFonts w:ascii="IRNazanin" w:hAnsi="IRNazanin" w:eastAsia="IRNazanin" w:cs="IRNazanin"/>
          <w:lang w:bidi="fa-IR"/>
          <w:color w:val="111111"/>
          <w:sz w:val="28"/>
          <w:szCs w:val="28"/>
          <w:rtl/>
        </w:rPr>
        <w:t xml:space="preserve">۴۸. تهران؛ ملک؛ شماره نسخه: ۱۲۱۵</w:t>
      </w:r>
    </w:p>
    <w:p>
      <w:pPr>
        <w:pStyle w:val="BookText"/>
      </w:pPr>
      <w:r>
        <w:rPr>
          <w:rFonts w:ascii="IRNazanin" w:hAnsi="IRNazanin" w:eastAsia="IRNazanin" w:cs="IRNazanin"/>
          <w:lang w:bidi="fa-IR"/>
          <w:color w:val="111111"/>
          <w:sz w:val="28"/>
          <w:szCs w:val="28"/>
          <w:rtl/>
        </w:rPr>
        <w:t xml:space="preserve">از آغاز است تا جهاد؛ خط: نسخ، بی کا، تا: قرن ۱۱؛ صفحه اول و آخر نونویس با بلاغ  قرائت، محشی به خط امیر فضل الله بن محب الله حسینی دست غیب شیرازی از چندین کتاب مورخ ۱۳۳۹، با خط شیخ موسی پسر کاشف الغطاء؛ كاغذ: فستقى، جـلد: میشن سرخ  ضربی، ۱۴۴گ ۳۱ سطر، اندازه: ۲۱/۲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۲۹/۵سم [ ف: 1- 29]</w:t>
      </w:r>
    </w:p>
    <w:p>
      <w:pPr>
        <w:pStyle w:val="BookText"/>
      </w:pPr>
      <w:r>
        <w:rPr>
          <w:rFonts w:ascii="IRNazanin" w:hAnsi="IRNazanin" w:eastAsia="IRNazanin" w:cs="IRNazanin"/>
          <w:lang w:bidi="fa-IR"/>
          <w:color w:val="111111"/>
          <w:sz w:val="28"/>
          <w:szCs w:val="28"/>
          <w:rtl/>
        </w:rPr>
        <w:t xml:space="preserve">۴۹. قم؛ طبسی؛ شماره نسخه: ۱۶</w:t>
      </w:r>
    </w:p>
    <w:p>
      <w:pPr>
        <w:pStyle w:val="BookText"/>
      </w:pPr>
      <w:r>
        <w:rPr>
          <w:rFonts w:ascii="Amiri" w:hAnsi="Amiri" w:eastAsia="Amiri" w:cs="Amiri"/>
          <w:lang w:bidi="ar-SA"/>
          <w:color w:val="111111"/>
          <w:sz w:val="28"/>
          <w:szCs w:val="28"/>
          <w:rtl/>
        </w:rPr>
        <w:t xml:space="preserve">آغاز: برابر؛ انجام: باب دية من قطع رأس الميت على بن ابراهيم  ... قال ابو عبد الله عليه السلام ابا الله ان يظن في المؤمن الا خيراً</w:t>
      </w:r>
    </w:p>
    <w:p>
      <w:pPr>
        <w:pStyle w:val="BookText"/>
      </w:pPr>
      <w:r>
        <w:rPr>
          <w:rFonts w:ascii="IRNazanin" w:hAnsi="IRNazanin" w:eastAsia="IRNazanin" w:cs="IRNazanin"/>
          <w:lang w:bidi="fa-IR"/>
          <w:color w:val="111111"/>
          <w:sz w:val="28"/>
          <w:szCs w:val="28"/>
          <w:rtl/>
        </w:rPr>
        <w:t xml:space="preserve">از ابتدای کتاب تا کتاب الديات؛ خط: نسخ، بی کا، تا: قرن ۱۱؛ افتادگی: انجام، مصحح، با علامت بلاغ، بلاغ قرائت و بلاغ  تصحيح اولیه و ثانویه، محشی با نشان «ع س ره) «س ص» «س م د ره»؛ واقف: میرزا ابراهیم بن میرزا  ابوطالب طالقانی در ۱۲۸۲؛ تملکی در ۱۰۸۶ و ۱۱۰۴؛ ۲۶۱گ، ۳۰ سطر،  اندازه: ۲۰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۳۰سم [طبسی مخ: ۱ - ۳۹]</w:t>
      </w:r>
    </w:p>
    <w:p>
      <w:pPr>
        <w:pStyle w:val="BookText"/>
      </w:pPr>
      <w:r>
        <w:rPr>
          <w:rFonts w:ascii="IRNazanin" w:hAnsi="IRNazanin" w:eastAsia="IRNazanin" w:cs="IRNazanin"/>
          <w:lang w:bidi="fa-IR"/>
          <w:color w:val="111111"/>
          <w:sz w:val="28"/>
          <w:szCs w:val="28"/>
          <w:rtl/>
        </w:rPr>
        <w:t xml:space="preserve">۵۰. قائن؛ مدرسه جعفریه؛ شماره نسخه: ۱۴۲</w:t>
      </w:r>
    </w:p>
    <w:p>
      <w:pPr>
        <w:pStyle w:val="BookText"/>
      </w:pPr>
      <w:r>
        <w:rPr>
          <w:rFonts w:ascii="IRNazanin" w:hAnsi="IRNazanin" w:eastAsia="IRNazanin" w:cs="IRNazanin"/>
          <w:lang w:bidi="fa-IR"/>
          <w:color w:val="111111"/>
          <w:sz w:val="28"/>
          <w:szCs w:val="28"/>
          <w:rtl/>
        </w:rPr>
        <w:t xml:space="preserve">انجام: قال قضی امیر المومنين (علیه السّلام) في رجل اهذ بيضة من المغنم و قالوا قد سرق اقطعه فقال اني لم اقطع</w:t>
      </w:r>
    </w:p>
    <w:p>
      <w:pPr>
        <w:pStyle w:val="BookText"/>
      </w:pPr>
      <w:r>
        <w:rPr>
          <w:rFonts w:ascii="IRNazanin" w:hAnsi="IRNazanin" w:eastAsia="IRNazanin" w:cs="IRNazanin"/>
          <w:lang w:bidi="fa-IR"/>
          <w:color w:val="111111"/>
          <w:sz w:val="28"/>
          <w:szCs w:val="28"/>
          <w:rtl/>
        </w:rPr>
        <w:t xml:space="preserve">خط: نسخ زیبا، بی کا، تا: قرن ۱۱؛ افتادگی: انجام؛ مجدول، با سرلوح، مصحح، محشى مفصل بعضاً با عناوین «حسن عفى عنه»، دارای علامت بلاغ؛ ۲۷۱گ ۲۶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۳۲/۵سم [کتابخانه های قائن - ف: ۱۲۱]</w:t>
      </w:r>
    </w:p>
    <w:p>
      <w:pPr>
        <w:pStyle w:val="BookText"/>
      </w:pPr>
      <w:r>
        <w:rPr>
          <w:rFonts w:ascii="IRNazanin" w:hAnsi="IRNazanin" w:eastAsia="IRNazanin" w:cs="IRNazanin"/>
          <w:lang w:bidi="fa-IR"/>
          <w:color w:val="111111"/>
          <w:sz w:val="28"/>
          <w:szCs w:val="28"/>
          <w:rtl/>
        </w:rPr>
        <w:t xml:space="preserve">۵۱ .تهران؛ سپهسالار؛ شماره نسخه: ۴۵۱۶</w:t>
      </w:r>
    </w:p>
    <w:p>
      <w:pPr>
        <w:pStyle w:val="BookText"/>
      </w:pPr>
      <w:r>
        <w:rPr>
          <w:rFonts w:ascii="IRNazanin" w:hAnsi="IRNazanin" w:eastAsia="IRNazanin" w:cs="IRNazanin"/>
          <w:lang w:bidi="fa-IR"/>
          <w:color w:val="111111"/>
          <w:sz w:val="28"/>
          <w:szCs w:val="28"/>
          <w:rtl/>
        </w:rPr>
        <w:t xml:space="preserve">جزو نخست تا صلاة جنازه؛ خط: نسخ، بی کا، تا: قرن ۱۱؛ محشی با نشان « س م د» و «حبل المتين» و («ب هـ» و «مدارک» و «ذخيرة»   و «منتهی» و «ذکری» و «م ق د» و «ع ا هـ»  دارد، صفحه آغاز نو نویس است؛ تملک: عبدالله بن محمد رضا در ۱۲۳۲  ق، ابراهیم بلاغی؛ کاغذ: سپاهانی، جلد: تیماج ضربی یک لا، ۲۱۵گ، ۱۹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۲۴/۵سم [ف: ۳ - ۱۱۸]</w:t>
      </w:r>
    </w:p>
    <w:p>
      <w:pPr>
        <w:pStyle w:val="BookText"/>
      </w:pPr>
      <w:r>
        <w:rPr>
          <w:rFonts w:ascii="IRNazanin" w:hAnsi="IRNazanin" w:eastAsia="IRNazanin" w:cs="IRNazanin"/>
          <w:lang w:bidi="fa-IR"/>
          <w:color w:val="111111"/>
          <w:sz w:val="28"/>
          <w:szCs w:val="28"/>
          <w:rtl/>
        </w:rPr>
        <w:t xml:space="preserve">۵۲. یزد؛ وزیری؛ شماره نسخه ۱۵۵۰</w:t>
      </w:r>
    </w:p>
    <w:p>
      <w:pPr>
        <w:pStyle w:val="BookText"/>
      </w:pPr>
      <w:r>
        <w:rPr>
          <w:rFonts w:ascii="Amiri" w:hAnsi="Amiri" w:eastAsia="Amiri" w:cs="Amiri"/>
          <w:lang w:bidi="ar-SA"/>
          <w:color w:val="111111"/>
          <w:sz w:val="28"/>
          <w:szCs w:val="28"/>
          <w:rtl/>
        </w:rPr>
        <w:t xml:space="preserve">انجام: ويتلوه فى الجزء الثانى كتاب الزكوة بحمد الله و منه.</w:t>
      </w:r>
    </w:p>
    <w:p>
      <w:pPr>
        <w:pStyle w:val="BookText"/>
      </w:pPr>
      <w:r>
        <w:rPr>
          <w:rFonts w:ascii="IRNazanin" w:hAnsi="IRNazanin" w:eastAsia="IRNazanin" w:cs="IRNazanin"/>
          <w:lang w:bidi="fa-IR"/>
          <w:color w:val="111111"/>
          <w:sz w:val="28"/>
          <w:szCs w:val="28"/>
          <w:rtl/>
        </w:rPr>
        <w:t xml:space="preserve">از طهارت تا صلوة؛ خط: نسخ و نستعلیق، بی کا، تا: قرن ۱۱؛ اهدایی حاج  وزیری؛ جلد: مقوایی با تیماج عنابی دو جدول زرین در درون، ۱۵ سطر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۲۶سم [ف: ۳ - ۹۸۷]</w:t>
      </w:r>
    </w:p>
    <w:p>
      <w:pPr>
        <w:pStyle w:val="BookText"/>
      </w:pPr>
      <w:r>
        <w:rPr>
          <w:rFonts w:ascii="IRNazanin" w:hAnsi="IRNazanin" w:eastAsia="IRNazanin" w:cs="IRNazanin"/>
          <w:lang w:bidi="fa-IR"/>
          <w:color w:val="111111"/>
          <w:sz w:val="28"/>
          <w:szCs w:val="28"/>
          <w:rtl/>
        </w:rPr>
        <w:t xml:space="preserve">۵۳. یزد؛ وزیری؛ شماره نسخه: ۱۷۲۴</w:t>
      </w:r>
    </w:p>
    <w:p>
      <w:pPr>
        <w:pStyle w:val="BookText"/>
      </w:pPr>
      <w:r>
        <w:rPr>
          <w:rFonts w:ascii="IRNazanin" w:hAnsi="IRNazanin" w:eastAsia="IRNazanin" w:cs="IRNazanin"/>
          <w:lang w:bidi="fa-IR"/>
          <w:color w:val="111111"/>
          <w:sz w:val="28"/>
          <w:szCs w:val="28"/>
          <w:rtl/>
        </w:rPr>
        <w:t xml:space="preserve">خط: نسخ، بی کا، تا:اوایل قرن ۱۱؛ افتادگی: انجام؛ محشی؛ اهدایی موسس، کاغذ: سمرقندی ،جلد: مقوایی، ۱۸۷گ ۱۹  سطر (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اندازه: ۱۷/۵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۲۴سم [ف: ۳ - ۱۰۳۷]</w:t>
      </w:r>
    </w:p>
    <w:p>
      <w:pPr>
        <w:pStyle w:val="BookText"/>
      </w:pPr>
      <w:r>
        <w:rPr>
          <w:rFonts w:ascii="IRNazanin" w:hAnsi="IRNazanin" w:eastAsia="IRNazanin" w:cs="IRNazanin"/>
          <w:lang w:bidi="fa-IR"/>
          <w:color w:val="111111"/>
          <w:sz w:val="28"/>
          <w:szCs w:val="28"/>
          <w:rtl/>
        </w:rPr>
        <w:t xml:space="preserve">۵۴. قم؛ مرعشی؛ شماره نسخه: ۸۱۶۰</w:t>
      </w:r>
    </w:p>
    <w:p>
      <w:pPr>
        <w:pStyle w:val="BookText"/>
      </w:pPr>
      <w:r>
        <w:rPr>
          <w:rFonts w:ascii="IRNazanin" w:hAnsi="IRNazanin" w:eastAsia="IRNazanin" w:cs="IRNazanin"/>
          <w:lang w:bidi="fa-IR"/>
          <w:color w:val="111111"/>
          <w:sz w:val="28"/>
          <w:szCs w:val="28"/>
          <w:rtl/>
        </w:rPr>
        <w:t xml:space="preserve">خط: نسخ زیبا، بی کا، تا: قرن ۱۱؛ مجدول، مذهب، با سرلوح  ممتاز ،مصحح ،محشی، دارای نشان ،بلاغ در پایان کتاب صورت اجازه ملا محمد تقی مجلسی به فرزندش ملا محمد باقر مجلسی به خط کاتب نسخه؛ تملک: محمد حسین بن محمد صالح حسینی (خواتون آبادی) محمد حسین بن عبدالباقی حسینی، محمد بن محمد حسن بن محمد حسین بن عبدالباقی بن محمد حسین بن  محمد صالح به تاریخ 28 محرم ۱۲۷۹ با مهرهای بیضوی آنها؛ جلد: دو رو تیماج رو قهوه ای ضربی پشت قرمز، ۴۱۸گ، ۲۹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۲۹سم [ف: ۲۱ - ۱۴۶]</w:t>
      </w:r>
    </w:p>
    <w:p>
      <w:pPr>
        <w:pStyle w:val="BookText"/>
      </w:pPr>
      <w:r>
        <w:rPr>
          <w:rFonts w:ascii="IRNazanin" w:hAnsi="IRNazanin" w:eastAsia="IRNazanin" w:cs="IRNazanin"/>
          <w:lang w:bidi="fa-IR"/>
          <w:color w:val="111111"/>
          <w:sz w:val="28"/>
          <w:szCs w:val="28"/>
          <w:rtl/>
        </w:rPr>
        <w:t xml:space="preserve">55.قم؛ مرعشی؛ شماره نسخه: ۷۷۲۷</w:t>
      </w:r>
    </w:p>
    <w:p>
      <w:pPr>
        <w:pStyle w:val="BookText"/>
      </w:pPr>
      <w:r>
        <w:rPr>
          <w:rFonts w:ascii="IRNazanin" w:hAnsi="IRNazanin" w:eastAsia="IRNazanin" w:cs="IRNazanin"/>
          <w:lang w:bidi="fa-IR"/>
          <w:color w:val="111111"/>
          <w:sz w:val="28"/>
          <w:szCs w:val="28"/>
          <w:rtl/>
        </w:rPr>
        <w:t xml:space="preserve">از آغاز کتاب تا آخر حج؛ خط: نستعلیق، بی کا، تا: قرن ۱۱؛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افتادگی: آغاز و انجام؛ مصحح ،محشی، مجدول، با چند سر لوح،روی برگ  اول وقف نامه کتاب به تاریخ محرم ۱۱۰۲ با مهر علامه مجلسی «محمد باقر العلوم»؛ مهر : «يا على الاعلى» ((مربع) جـلد: تیماج مشکی ، ۲۲۳گ، ۳۹ سطر،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۳۸/۵سم [ف: ۲۰ - 101]</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قم؛ مرعشی؛ شماره نسخه: ۸۴۴۱</w:t>
      </w:r>
    </w:p>
    <w:p>
      <w:pPr>
        <w:pStyle w:val="BookText"/>
      </w:pPr>
      <w:r>
        <w:rPr>
          <w:rFonts w:ascii="IRNazanin" w:hAnsi="IRNazanin" w:eastAsia="IRNazanin" w:cs="IRNazanin"/>
          <w:lang w:bidi="fa-IR"/>
          <w:color w:val="111111"/>
          <w:sz w:val="28"/>
          <w:szCs w:val="28"/>
          <w:rtl/>
        </w:rPr>
        <w:t xml:space="preserve">از کتاب الدیون می باشد؛ خط: نسخ، بی کا، تا: قرن ۱۱؛ افتادگی: انجام؛ مصحح، در صفحه اول اجازه ای است که آیة الله مرعشی برای شیخ قوام الدین و شنوی به تاریخ چهارشنبه نیمه رجب 1356 در قم نوشته؛ تملک: جمال الدین بن محمد قاسم عاملی با مهر «یا  من له الجمال ...» (بیضی)، محمد مهدی حسینی به تاریخ 1256 با مهر «عبده محمد مهدی الحسینی» (بیضی)؛ مهر: «الله محمد نبی الله على ولى الله»؛ جلد: تیماج قرمز ضربی عطف تیماج قهوه ای، ۱۸۶گ، ۲۱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۲۶سم [ف: ۲۲ - ۳۳]</w:t>
      </w:r>
    </w:p>
    <w:p>
      <w:pPr>
        <w:pStyle w:val="BookText"/>
      </w:pPr>
      <w:r>
        <w:rPr>
          <w:rFonts w:ascii="IRNazanin" w:hAnsi="IRNazanin" w:eastAsia="IRNazanin" w:cs="IRNazanin"/>
          <w:lang w:bidi="fa-IR"/>
          <w:color w:val="111111"/>
          <w:sz w:val="28"/>
          <w:szCs w:val="28"/>
          <w:rtl/>
        </w:rPr>
        <w:t xml:space="preserve">۵۷. قم؛ مرعشی؛ شماره نسخه: ۱۰۷۳۸</w:t>
      </w:r>
    </w:p>
    <w:p>
      <w:pPr>
        <w:pStyle w:val="BookText"/>
      </w:pPr>
      <w:r>
        <w:rPr>
          <w:rFonts w:ascii="IRNazanin" w:hAnsi="IRNazanin" w:eastAsia="IRNazanin" w:cs="IRNazanin"/>
          <w:lang w:bidi="fa-IR"/>
          <w:color w:val="111111"/>
          <w:sz w:val="28"/>
          <w:szCs w:val="28"/>
          <w:rtl/>
        </w:rPr>
        <w:t xml:space="preserve">خط: نسخ، بی  کا، تا: قرن ۱۱؛ مصحح ،محشی، دارای نشان بلاغ، مجدول؛ جلد: دو رو تیماج رو ضربی زرین پشت  قرمز، ۴۳۸ گ ،</w:t>
      </w:r>
    </w:p>
    <w:p>
      <w:pPr>
        <w:pStyle w:val="BookText"/>
      </w:pPr>
      <w:r>
        <w:rPr>
          <w:rFonts w:ascii="IRNazanin" w:hAnsi="IRNazanin" w:eastAsia="IRNazanin" w:cs="IRNazanin"/>
          <w:lang w:bidi="fa-IR"/>
          <w:color w:val="111111"/>
          <w:sz w:val="28"/>
          <w:szCs w:val="28"/>
          <w:rtl/>
        </w:rPr>
        <w:t xml:space="preserve">۲۴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۲۹/۵سم [ف: ۲۷ - ۱۷۴]</w:t>
      </w:r>
    </w:p>
    <w:p>
      <w:pPr>
        <w:pStyle w:val="BookText"/>
      </w:pPr>
      <w:r>
        <w:rPr>
          <w:rFonts w:ascii="IRNazanin" w:hAnsi="IRNazanin" w:eastAsia="IRNazanin" w:cs="IRNazanin"/>
          <w:lang w:bidi="fa-IR"/>
          <w:color w:val="111111"/>
          <w:sz w:val="28"/>
          <w:szCs w:val="28"/>
          <w:rtl/>
        </w:rPr>
        <w:t xml:space="preserve">۵۸. قم؛ مرعشی؛ شماره نسخه: ۱۳۶۵۵</w:t>
      </w:r>
    </w:p>
    <w:p>
      <w:pPr>
        <w:pStyle w:val="BookText"/>
      </w:pPr>
      <w:r>
        <w:rPr>
          <w:rFonts w:ascii="Amiri" w:hAnsi="Amiri" w:eastAsia="Amiri" w:cs="Amiri"/>
          <w:lang w:bidi="ar-SA"/>
          <w:color w:val="111111"/>
          <w:sz w:val="28"/>
          <w:szCs w:val="28"/>
          <w:rtl/>
        </w:rPr>
        <w:t xml:space="preserve">آغاز: برابر؛ انجام: فلما كان يوم الجمعة القاه تحت اقدام الناس</w:t>
      </w:r>
    </w:p>
    <w:p>
      <w:pPr>
        <w:pStyle w:val="BookText"/>
      </w:pPr>
      <w:r>
        <w:rPr>
          <w:rFonts w:ascii="IRNazanin" w:hAnsi="IRNazanin" w:eastAsia="IRNazanin" w:cs="IRNazanin"/>
          <w:lang w:bidi="fa-IR"/>
          <w:color w:val="111111"/>
          <w:sz w:val="28"/>
          <w:szCs w:val="28"/>
          <w:rtl/>
        </w:rPr>
        <w:t xml:space="preserve">از آغاز و تا بخشی از کتاب الفرائض؛ خط: نسخ، بی کا، تا: ۱۱؛ افتادگی: انجام؛ نسخه بر علامه محمد باقر بن غازی قزوینی   به سال ۱۰۶۹ق خوانده و تصحیح شده و دستخط وی با این عبارات در برگ ۲۴۵ نسخه آمده است: «قدتم قراءة على فی مدرسة الالتفاتية فى شهر محرم الحرام سنة ۱۰۶۹ نمقه محمد باقر بن الغازى القزوينى عفى عنهما»، عبارت «بلغ ... ۱۰۸۷» در برگ ۱۴۸، و عبارت «بلغ سماعاً ایده الله تعالی» در بسیاری از برگ ها، محشی با نشان «ام ن رحمه الله تعالی» و غیر آن یادداشت مرحـوم آية الله مرعشی نجفی در پشت برگ آغازین: «بسمه تعالی هذه  نسخة من الاستبصار مقروة على العلامة المولى خليل شارح الكافی المدرس في روضة سيدنا عبد العظيم الحسنى شهاب الدین الحسينى المرعشي النجفي ۱۳۵۰»؛ واقف: آقا میر سید علی، همراه مهر «... محمد عبد حسین... صادف ...» (مستطیل) کاغذ: شرقی، جلد: تیماج قهوه ای عطف تیماج زرشکی، ۴۱۵گ ، 19- 20   سطر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۲۷سم [ف: ۳۴ - ۵۴۹]</w:t>
      </w:r>
    </w:p>
    <w:p>
      <w:pPr>
        <w:pStyle w:val="BookText"/>
      </w:pPr>
      <w:r>
        <w:rPr>
          <w:rFonts w:ascii="IRNazanin" w:hAnsi="IRNazanin" w:eastAsia="IRNazanin" w:cs="IRNazanin"/>
          <w:lang w:bidi="fa-IR"/>
          <w:color w:val="111111"/>
          <w:sz w:val="28"/>
          <w:szCs w:val="28"/>
          <w:rtl/>
        </w:rPr>
        <w:t xml:space="preserve">۵۹. قم، مرعشی؛ شماره نسخه: ۹۱۸۷</w:t>
      </w:r>
    </w:p>
    <w:p>
      <w:pPr>
        <w:pStyle w:val="BookText"/>
      </w:pPr>
      <w:r>
        <w:rPr>
          <w:rFonts w:ascii="IRNazanin" w:hAnsi="IRNazanin" w:eastAsia="IRNazanin" w:cs="IRNazanin"/>
          <w:lang w:bidi="fa-IR"/>
          <w:color w:val="111111"/>
          <w:sz w:val="28"/>
          <w:szCs w:val="28"/>
          <w:rtl/>
        </w:rPr>
        <w:t xml:space="preserve">خط: نسخ، بی کا، تا: قرن ۱۱؛ جلد: دورو تیماج رو قرمز ضربی پشت زرد ،۳۴۲گ ۲۵ سطر اندازه: ۲۰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۳۴سم [ف : ۲۳ - ۲۹۹ ]</w:t>
      </w:r>
    </w:p>
    <w:p>
      <w:pPr>
        <w:pStyle w:val="BookText"/>
      </w:pPr>
      <w:r>
        <w:rPr>
          <w:rFonts w:ascii="IRNazanin" w:hAnsi="IRNazanin" w:eastAsia="IRNazanin" w:cs="IRNazanin"/>
          <w:lang w:bidi="fa-IR"/>
          <w:color w:val="111111"/>
          <w:sz w:val="28"/>
          <w:szCs w:val="28"/>
          <w:rtl/>
        </w:rPr>
        <w:t xml:space="preserve">۶۰. تهران؛ مجلس؛ شماره نسخه: ۱۴ خوئی</w:t>
      </w:r>
    </w:p>
    <w:p>
      <w:pPr>
        <w:pStyle w:val="BookText"/>
      </w:pPr>
      <w:r>
        <w:rPr>
          <w:rFonts w:ascii="Amiri" w:hAnsi="Amiri" w:eastAsia="Amiri" w:cs="Amiri"/>
          <w:lang w:bidi="ar-SA"/>
          <w:color w:val="111111"/>
          <w:sz w:val="28"/>
          <w:szCs w:val="28"/>
          <w:rtl/>
        </w:rPr>
        <w:t xml:space="preserve">آغاز: برابر؛ انجام: و اعلموا اننى جزأت هذا الكتاب ثلاثة اجـزاء ... ثم كتاب الاستبصار فيما اختلف من الاخبار.</w:t>
      </w:r>
    </w:p>
    <w:p>
      <w:pPr>
        <w:pStyle w:val="BookText"/>
      </w:pPr>
      <w:r>
        <w:rPr>
          <w:rFonts w:ascii="IRNazanin" w:hAnsi="IRNazanin" w:eastAsia="IRNazanin" w:cs="IRNazanin"/>
          <w:lang w:bidi="fa-IR"/>
          <w:color w:val="111111"/>
          <w:sz w:val="28"/>
          <w:szCs w:val="28"/>
          <w:rtl/>
        </w:rPr>
        <w:t xml:space="preserve">خط: نسخ، بی کا، تا: قرن ۱۱؛  بر پشت نخستین برگ نوشته است از فیص الله بن غیاث الدین محمود که نسخه را به فرزند خـود غياث الدين محمود بخشیده، محشی بانشان «س م د، ع ر  ه» و غیره؛ کاغذ ،اصفهانی ،جلد: تیماج ،قرمز ۲۳ سطر، قطع: خشتی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۷ - ۱۰]</w:t>
      </w:r>
    </w:p>
    <w:p>
      <w:pPr>
        <w:pStyle w:val="BookText"/>
      </w:pPr>
      <w:r>
        <w:rPr>
          <w:rFonts w:ascii="IRNazanin" w:hAnsi="IRNazanin" w:eastAsia="IRNazanin" w:cs="IRNazanin"/>
          <w:lang w:bidi="fa-IR"/>
          <w:color w:val="111111"/>
          <w:sz w:val="28"/>
          <w:szCs w:val="28"/>
          <w:rtl/>
        </w:rPr>
        <w:t xml:space="preserve">61.تهران؛ مجلس؛ شماره نسخه: ۸۴۷۱</w:t>
      </w:r>
    </w:p>
    <w:p>
      <w:pPr>
        <w:pStyle w:val="BookText"/>
      </w:pPr>
      <w:r>
        <w:rPr>
          <w:rFonts w:ascii="IRNazanin" w:hAnsi="IRNazanin" w:eastAsia="IRNazanin" w:cs="IRNazanin"/>
          <w:lang w:bidi="fa-IR"/>
          <w:color w:val="111111"/>
          <w:sz w:val="28"/>
          <w:szCs w:val="28"/>
          <w:rtl/>
        </w:rPr>
        <w:t xml:space="preserve">آغاز: على ضربین متواتر و غیر متواتر فالمتواتر منه ما اوجب العلم فما هذا سبيله يجب العمل به من غير توقع شي ينضاف اليه و لا امر يقوى به؛ انجام: عن علي بن حاتم القزويني فقد رويته عن الشيخ ابی عبدالله و احمد بن عبدون عن ابی عبدالله الحسين بن على بن</w:t>
      </w:r>
    </w:p>
    <w:p>
      <w:pPr>
        <w:pStyle w:val="BookText"/>
      </w:pPr>
      <w:r>
        <w:rPr>
          <w:rFonts w:ascii="IRNazanin" w:hAnsi="IRNazanin" w:eastAsia="IRNazanin" w:cs="IRNazanin"/>
          <w:lang w:bidi="fa-IR"/>
          <w:color w:val="111111"/>
          <w:sz w:val="28"/>
          <w:szCs w:val="28"/>
          <w:rtl/>
        </w:rPr>
        <w:t xml:space="preserve">شیبانی.</w:t>
      </w:r>
    </w:p>
    <w:p>
      <w:pPr>
        <w:pStyle w:val="BookText"/>
      </w:pPr>
      <w:r>
        <w:rPr>
          <w:rFonts w:ascii="IRNazanin" w:hAnsi="IRNazanin" w:eastAsia="IRNazanin" w:cs="IRNazanin"/>
          <w:lang w:bidi="fa-IR"/>
          <w:color w:val="111111"/>
          <w:sz w:val="28"/>
          <w:szCs w:val="28"/>
          <w:rtl/>
        </w:rPr>
        <w:t xml:space="preserve">خط: نسخ، بی کا، تا: قرن ۱۱؛ افتادگی: آغاز و انجام؛ مصحح، محشی ،جلد: تیماج سرمه ای 454گ، 19 سطر، اندازه: ۱۸/۵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۲۴/۵سم [ف: ۲۸ - ۵۹]</w:t>
      </w:r>
    </w:p>
    <w:p>
      <w:pPr>
        <w:pStyle w:val="BookText"/>
      </w:pPr>
      <w:r>
        <w:rPr>
          <w:rFonts w:ascii="IRNazanin" w:hAnsi="IRNazanin" w:eastAsia="IRNazanin" w:cs="IRNazanin"/>
          <w:lang w:bidi="fa-IR"/>
          <w:color w:val="111111"/>
          <w:sz w:val="28"/>
          <w:szCs w:val="28"/>
          <w:rtl/>
        </w:rPr>
        <w:t xml:space="preserve">۶۲. تهران؛ مجلس؛ شماره نسخه: ۱۱۵۲۵/۱</w:t>
      </w:r>
    </w:p>
    <w:p>
      <w:pPr>
        <w:pStyle w:val="BookText"/>
      </w:pPr>
      <w:r>
        <w:rPr>
          <w:rFonts w:ascii="Amiri" w:hAnsi="Amiri" w:eastAsia="Amiri" w:cs="Amiri"/>
          <w:lang w:bidi="ar-SA"/>
          <w:color w:val="111111"/>
          <w:sz w:val="28"/>
          <w:szCs w:val="28"/>
          <w:rtl/>
        </w:rPr>
        <w:t xml:space="preserve">آغاز: برابر؛ انجام: اذا اقام البينه و يرجع الذي هي في يده على امير الجيش بالثمن.</w:t>
      </w:r>
    </w:p>
    <w:p>
      <w:pPr>
        <w:pStyle w:val="BookText"/>
      </w:pPr>
      <w:r>
        <w:rPr>
          <w:rFonts w:ascii="IRNazanin" w:hAnsi="IRNazanin" w:eastAsia="IRNazanin" w:cs="IRNazanin"/>
          <w:lang w:bidi="fa-IR"/>
          <w:color w:val="111111"/>
          <w:sz w:val="28"/>
          <w:szCs w:val="28"/>
          <w:rtl/>
        </w:rPr>
        <w:t xml:space="preserve">جلد اول و دوم، از ابتدا تا انتهای کتاب الجهاد؛ خط: نسخ، بی کا، تا: قرن ۱۱ ،محشی، در سال ۱۱۹۱ق از ابتدا تا انتها مقابله شده؛ جلد: تیماج زرشکی با طبله  لولادار ۲۷۰گ، ۱۹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۲۶سم [ف: ۳۳/۲ - ۱۶۶]</w:t>
      </w:r>
    </w:p>
    <w:p>
      <w:pPr>
        <w:pStyle w:val="BookText"/>
      </w:pPr>
      <w:r>
        <w:rPr>
          <w:rFonts w:ascii="IRNazanin" w:hAnsi="IRNazanin" w:eastAsia="IRNazanin" w:cs="IRNazanin"/>
          <w:lang w:bidi="fa-IR"/>
          <w:color w:val="111111"/>
          <w:sz w:val="28"/>
          <w:szCs w:val="28"/>
          <w:rtl/>
        </w:rPr>
        <w:t xml:space="preserve">۶۳. تهران؛ مجلس؛ شماره نسخه: ۸۴۹۳</w:t>
      </w:r>
    </w:p>
    <w:p>
      <w:pPr>
        <w:pStyle w:val="BookText"/>
      </w:pPr>
      <w:r>
        <w:rPr>
          <w:rFonts w:ascii="IRNazanin" w:hAnsi="IRNazanin" w:eastAsia="IRNazanin" w:cs="IRNazanin"/>
          <w:lang w:bidi="fa-IR"/>
          <w:color w:val="111111"/>
          <w:sz w:val="28"/>
          <w:szCs w:val="28"/>
          <w:rtl/>
        </w:rPr>
        <w:t xml:space="preserve">خط:نسخ ، بی کا،  تا: قرن ۱۱ ؛ مجدول، با سرلوح و کتیبه مرصع ،مذهب روی برگ اول ۱۴ بیت شعر عربی در مدح کتاب و مؤلف، در برگ دوم حاشیه ای با نام «محمد هاشم الموسوى» آمده تملک: شاعر باتخلص هاشم به سال ۱۳۴۴ق، سید محمد باقر سبزواری به سال ۱۳۲۸ق؛ جلد: تیماج قهوه ای، ۳۳۳گ، ۲۵  سطر، اندازه: ۲۰/۵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۳۱/۵سم [ف: ۲۸ - ۶۷]</w:t>
      </w:r>
    </w:p>
    <w:p>
      <w:pPr>
        <w:pStyle w:val="BookText"/>
      </w:pPr>
      <w:r>
        <w:rPr>
          <w:rFonts w:ascii="IRNazanin" w:hAnsi="IRNazanin" w:eastAsia="IRNazanin" w:cs="IRNazanin"/>
          <w:lang w:bidi="fa-IR"/>
          <w:color w:val="111111"/>
          <w:sz w:val="28"/>
          <w:szCs w:val="28"/>
          <w:rtl/>
        </w:rPr>
        <w:t xml:space="preserve">۶۴. قم؛ مرعشی؛ شماره نسخه: ۵۵۱۷</w:t>
      </w:r>
    </w:p>
    <w:p>
      <w:pPr>
        <w:pStyle w:val="BookText"/>
      </w:pPr>
      <w:r>
        <w:rPr>
          <w:rFonts w:ascii="Amiri" w:hAnsi="Amiri" w:eastAsia="Amiri" w:cs="Amiri"/>
          <w:lang w:bidi="ar-SA"/>
          <w:color w:val="111111"/>
          <w:sz w:val="28"/>
          <w:szCs w:val="28"/>
          <w:rtl/>
        </w:rPr>
        <w:t xml:space="preserve">انجام: فأما ما رواه على بن ابراهيم ... و الحسين بن سعيد عن حماد عن عباد الله بن المغيرة</w:t>
      </w:r>
    </w:p>
    <w:p>
      <w:pPr>
        <w:pStyle w:val="BookText"/>
      </w:pPr>
      <w:r>
        <w:rPr>
          <w:rFonts w:ascii="IRNazanin" w:hAnsi="IRNazanin" w:eastAsia="IRNazanin" w:cs="IRNazanin"/>
          <w:lang w:bidi="fa-IR"/>
          <w:color w:val="111111"/>
          <w:sz w:val="28"/>
          <w:szCs w:val="28"/>
          <w:rtl/>
        </w:rPr>
        <w:t xml:space="preserve">خط: نسخ، بی کا، تا: قرن ۱۱؛ افتادگی: انجام؛ روی برگ اول وقف نامه کتاب نوشته شده که علامه مجلسی کتاب را از طرف امیر محمد علی بن میر هدایت... وقف کرده با مهر مجلسی «محمد باقر العلوم» (بیضی) و مهر واقف «محب شه دین محمد علی» (دایره ) این وقف نامه پاک شده و بیشتر کلماتش خوانده نمی شود؛ جلد: مقوایی عطف تیماج قهوه ای، ۴۳۰گ، ۲۱ سطر، اندازه۲۰/۵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۲۸سم [ف : ۱۴ - ۲۸۹]</w:t>
      </w:r>
    </w:p>
    <w:p>
      <w:pPr>
        <w:pStyle w:val="BookText"/>
      </w:pPr>
      <w:r>
        <w:rPr>
          <w:rFonts w:ascii="IRNazanin" w:hAnsi="IRNazanin" w:eastAsia="IRNazanin" w:cs="IRNazanin"/>
          <w:lang w:bidi="fa-IR"/>
          <w:color w:val="111111"/>
          <w:sz w:val="28"/>
          <w:szCs w:val="28"/>
          <w:rtl/>
        </w:rPr>
        <w:t xml:space="preserve">۶۵. قم؛ مرعشی؛ شماره نسخه: ۴۸۶۸</w:t>
      </w:r>
    </w:p>
    <w:p>
      <w:pPr>
        <w:pStyle w:val="BookText"/>
      </w:pPr>
      <w:r>
        <w:rPr>
          <w:rFonts w:ascii="IRNazanin" w:hAnsi="IRNazanin" w:eastAsia="IRNazanin" w:cs="IRNazanin"/>
          <w:lang w:bidi="fa-IR"/>
          <w:color w:val="111111"/>
          <w:sz w:val="28"/>
          <w:szCs w:val="28"/>
          <w:rtl/>
        </w:rPr>
        <w:t xml:space="preserve">خط: نسخ، بی کا ، تا: قرن ۱۱، مصحح؛ پایان کتاب طهارت آنهائی است که حسین بن حیدر حسینی کرکی عاملی به جهت مولانا احمد (همان که تملکش روی برگ اول آمده) به تاریخ یکشنبه ۲۰ شوال ۱۰۳۹ نوشته؛ تملک: احمد بن حسین اصفهانی؛ جلد: دو رو تیماج ۳۴۲گ ۲۳ سطر، اندازه: ۱۸/۵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۱۳-۵۳]</w:t>
      </w:r>
    </w:p>
    <w:p>
      <w:pPr>
        <w:pStyle w:val="BookText"/>
      </w:pPr>
      <w:r>
        <w:rPr>
          <w:rFonts w:ascii="IRNazanin" w:hAnsi="IRNazanin" w:eastAsia="IRNazanin" w:cs="IRNazanin"/>
          <w:lang w:bidi="fa-IR"/>
          <w:color w:val="111111"/>
          <w:sz w:val="28"/>
          <w:szCs w:val="28"/>
          <w:rtl/>
        </w:rPr>
        <w:t xml:space="preserve">۶۶. قم؛ مرعشی؛ شماره نسخه: ۱۳۱۶</w:t>
      </w:r>
    </w:p>
    <w:p>
      <w:pPr>
        <w:pStyle w:val="BookText"/>
      </w:pPr>
      <w:r>
        <w:rPr>
          <w:rFonts w:ascii="IRNazanin" w:hAnsi="IRNazanin" w:eastAsia="IRNazanin" w:cs="IRNazanin"/>
          <w:lang w:bidi="fa-IR"/>
          <w:color w:val="111111"/>
          <w:sz w:val="28"/>
          <w:szCs w:val="28"/>
          <w:rtl/>
        </w:rPr>
        <w:t xml:space="preserve">خط: نسخ زیبا، بی کا، تا: قرن ۱۱ ،مصحح، محشی ،مجدول با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سرلوح رنگین در صفحه آخر محمد صادق بن محمد قاسم می نویسد که کتاب را به دستور میرزا محمد جعفر با نسخه ملا محمد باقر (مجلسی) ادام الله بقاه مقابله نموده است؛ تملک: عبدالكريم بن محمد علی الحسینی به تاریخ ۱۲۲۴ و مهر«عـبده عبد الكريم الحسینی» (بیضی)، محمد رحيم بن مرتضى الحسينى تاریخ ۱۲۲۵؛ مهر: «بسم الله الرحمن الرحيم» (مربع) ؛جلد: تیماج مشکی ضربی، ۳۹۲گ، ۲۵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۳۰/۵سم [ف: 4- 102]</w:t>
      </w:r>
    </w:p>
    <w:p>
      <w:pPr>
        <w:pStyle w:val="BookText"/>
      </w:pPr>
      <w:r>
        <w:rPr>
          <w:rFonts w:ascii="IRNazanin" w:hAnsi="IRNazanin" w:eastAsia="IRNazanin" w:cs="IRNazanin"/>
          <w:lang w:bidi="fa-IR"/>
          <w:color w:val="111111"/>
          <w:sz w:val="28"/>
          <w:szCs w:val="28"/>
          <w:rtl/>
        </w:rPr>
        <w:t xml:space="preserve">۶۷. قم؛ مرعشی؛ شماره نسخه: ۳۵۶۱</w:t>
      </w:r>
    </w:p>
    <w:p>
      <w:pPr>
        <w:pStyle w:val="BookText"/>
      </w:pPr>
      <w:r>
        <w:rPr>
          <w:rFonts w:ascii="IRNazanin" w:hAnsi="IRNazanin" w:eastAsia="IRNazanin" w:cs="IRNazanin"/>
          <w:lang w:bidi="fa-IR"/>
          <w:color w:val="111111"/>
          <w:sz w:val="28"/>
          <w:szCs w:val="28"/>
          <w:rtl/>
        </w:rPr>
        <w:t xml:space="preserve">خط: نسخ ، بی کا، تا: قرن ۱۱؛ از روی نسخه شیخ حسین عبدالصمد عاملی که از روی نسخه شیخ طوسی مقابله شده بود،  پایان کتاب الطهارة وكتاب الصلاة دو انهاء است که احمدبن محمد تونی به تاریخ های دوشنبه ۲۸ رمضان ۱۰۷۳ و ۱۸ ذیقعـده ۱۰۷۳ نوشته و پایان کتاب تجارت انهائی است بدون نام به تاریخ سه شنبه ۱۱ جمادی الثانی ۱۱۴۱ ؛ جلد: تیماج مشکی ضربی سوخته ،۶۷۸گ ۲۵ ،سطر، اندازه: ۱۹/۵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۲۵/۵سم [ف: ۹ - 350]</w:t>
      </w:r>
    </w:p>
    <w:p>
      <w:pPr>
        <w:pStyle w:val="BookText"/>
      </w:pPr>
      <w:r>
        <w:rPr>
          <w:rFonts w:ascii="IRNazanin" w:hAnsi="IRNazanin" w:eastAsia="IRNazanin" w:cs="IRNazanin"/>
          <w:lang w:bidi="fa-IR"/>
          <w:color w:val="111111"/>
          <w:sz w:val="28"/>
          <w:szCs w:val="28"/>
          <w:rtl/>
        </w:rPr>
        <w:t xml:space="preserve">۶۸. مشهد؛ رضوی؛ شماره نسخه: ۱۴۰۳۷</w:t>
      </w:r>
    </w:p>
    <w:p>
      <w:pPr>
        <w:pStyle w:val="BookText"/>
      </w:pPr>
      <w:r>
        <w:rPr>
          <w:rFonts w:ascii="Amiri" w:hAnsi="Amiri" w:eastAsia="Amiri" w:cs="Amiri"/>
          <w:lang w:bidi="ar-SA"/>
          <w:color w:val="111111"/>
          <w:sz w:val="28"/>
          <w:szCs w:val="28"/>
          <w:rtl/>
        </w:rPr>
        <w:t xml:space="preserve">آغاز: برابر؛ انجام: ما فرق بين الموضعين</w:t>
      </w:r>
    </w:p>
    <w:p>
      <w:pPr>
        <w:pStyle w:val="BookText"/>
      </w:pPr>
      <w:r>
        <w:rPr>
          <w:rFonts w:ascii="IRNazanin" w:hAnsi="IRNazanin" w:eastAsia="IRNazanin" w:cs="IRNazanin"/>
          <w:lang w:bidi="fa-IR"/>
          <w:color w:val="111111"/>
          <w:sz w:val="28"/>
          <w:szCs w:val="28"/>
          <w:rtl/>
        </w:rPr>
        <w:t xml:space="preserve">جلد ۱-۲؛ خط: نسخ، بی کا، تا:قرن ۱۱؛ مصحح و مقابله شـده پشت ورق اول وقف نامه عبدالکریم کشمیری و مطالب متفـرقه دیگر؛ واقف:  فاضلخان، ۱۰۶۵ق که در سال ۱۳۶۳ به کتابخانه تحویل گردیده؛ کاغذ: نخودی آهار مهره، جلد: تیماج ضربی با ترنج و سرترنج، ۳۲۵گ، ۲۲ سطر، اندازه: ۱۶/۵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۲۴/۵سم [ف : ۱۴ - ۷۰]</w:t>
      </w:r>
    </w:p>
    <w:p>
      <w:pPr>
        <w:pStyle w:val="BookText"/>
      </w:pPr>
      <w:r>
        <w:rPr>
          <w:rFonts w:ascii="IRNazanin" w:hAnsi="IRNazanin" w:eastAsia="IRNazanin" w:cs="IRNazanin"/>
          <w:lang w:bidi="fa-IR"/>
          <w:color w:val="111111"/>
          <w:sz w:val="28"/>
          <w:szCs w:val="28"/>
          <w:rtl/>
        </w:rPr>
        <w:t xml:space="preserve">۶۹. مشهد؛ رضوی؛ شماره نسخه: ۱۳۱۰۳</w:t>
      </w:r>
    </w:p>
    <w:p>
      <w:pPr>
        <w:pStyle w:val="BookText"/>
      </w:pPr>
      <w:r>
        <w:rPr>
          <w:rFonts w:ascii="Amiri" w:hAnsi="Amiri" w:eastAsia="Amiri" w:cs="Amiri"/>
          <w:lang w:bidi="ar-SA"/>
          <w:color w:val="111111"/>
          <w:sz w:val="28"/>
          <w:szCs w:val="28"/>
          <w:rtl/>
        </w:rPr>
        <w:t xml:space="preserve">آغاز: برابر؛ انجام: لايفرق بين الموضعين ... الجزء الثالث كتـاب الجهاد</w:t>
      </w:r>
    </w:p>
    <w:p>
      <w:pPr>
        <w:pStyle w:val="BookText"/>
      </w:pPr>
      <w:r>
        <w:rPr>
          <w:rFonts w:ascii="IRNazanin" w:hAnsi="IRNazanin" w:eastAsia="IRNazanin" w:cs="IRNazanin"/>
          <w:lang w:bidi="fa-IR"/>
          <w:color w:val="111111"/>
          <w:sz w:val="28"/>
          <w:szCs w:val="28"/>
          <w:rtl/>
        </w:rPr>
        <w:t xml:space="preserve">جلد ۲-۱؛ خط: نسخ، بی کا، تا: قرن ۱۱؛ محشی با رموز مختلف  ، غالباً  «س م د،  م د و ملا محمد مؤمن»، مصحح، مقابله شده در سنوات ۱۰۵۶ و ۱۰۷۸ق، دارای چند نوع بلاغ که یکی از آنها متعلق به ملا محمد مؤمن مزبور می باشد؛ اهدائی کاظم مدیر شانه چی در آبان ۱۳۶۲ ؛کاغذ: نخودی و حنایی، ۲۲۵ گ، ۲۵ ،سطر، اندازه: ۱۴/۶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۲۵/۵سم [ف : ۱۴ - ۷۰]</w:t>
      </w:r>
    </w:p>
    <w:p>
      <w:pPr>
        <w:pStyle w:val="BookText"/>
      </w:pPr>
      <w:r>
        <w:rPr>
          <w:rFonts w:ascii="IRNazanin" w:hAnsi="IRNazanin" w:eastAsia="IRNazanin" w:cs="IRNazanin"/>
          <w:lang w:bidi="fa-IR"/>
          <w:color w:val="111111"/>
          <w:sz w:val="28"/>
          <w:szCs w:val="28"/>
          <w:rtl/>
        </w:rPr>
        <w:t xml:space="preserve">۷۰ .مشهد؛ رضوی؛ شماره نسخه: ۱۱۳۴۴</w:t>
      </w:r>
    </w:p>
    <w:p>
      <w:pPr>
        <w:pStyle w:val="BookText"/>
      </w:pPr>
      <w:r>
        <w:rPr>
          <w:rFonts w:ascii="Amiri" w:hAnsi="Amiri" w:eastAsia="Amiri" w:cs="Amiri"/>
          <w:lang w:bidi="ar-SA"/>
          <w:color w:val="111111"/>
          <w:sz w:val="28"/>
          <w:szCs w:val="28"/>
          <w:rtl/>
        </w:rPr>
        <w:t xml:space="preserve">آغاز: برابر؛ انجام: ثم ينام حتى يصبح قال يتمم صومه ... لئلا فيها زيادة و نقصان.</w:t>
      </w:r>
    </w:p>
    <w:p>
      <w:pPr>
        <w:pStyle w:val="BookText"/>
      </w:pPr>
      <w:r>
        <w:rPr>
          <w:rFonts w:ascii="IRNazanin" w:hAnsi="IRNazanin" w:eastAsia="IRNazanin" w:cs="IRNazanin"/>
          <w:lang w:bidi="fa-IR"/>
          <w:color w:val="111111"/>
          <w:sz w:val="28"/>
          <w:szCs w:val="28"/>
          <w:rtl/>
        </w:rPr>
        <w:t xml:space="preserve">جلد ۱-۲ ؛ تا اواسط «باب حكم من اصبح جنبا في شهر رمضـان» است و ۳ ورق از آخر جزء سوم نیز به آن ضمیمه شده اسـت؛ خط: نسخ، بی کا، تا: قرن ۱۱؛ افتادگی: انجام؛ محشی غالباً از سید نعمت الله جزایری، علامه مجلسی و بعضاً دیگران، واقف: علامه حائری، مرداد ۱۳۵۱؛ کاغذ: نخودی آهار مهره، جلد: مقوا، رویه ،پارچه، ۲۵۲گ، ۱۸ سطر، اندازه: ۱۸/۲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۲۴/۹سم [ف : ۱۴ - ۷۰]</w:t>
      </w:r>
    </w:p>
    <w:p>
      <w:pPr>
        <w:pStyle w:val="BookText"/>
      </w:pPr>
      <w:r>
        <w:rPr>
          <w:rFonts w:ascii="IRNazanin" w:hAnsi="IRNazanin" w:eastAsia="IRNazanin" w:cs="IRNazanin"/>
          <w:lang w:bidi="fa-IR"/>
          <w:color w:val="111111"/>
          <w:sz w:val="28"/>
          <w:szCs w:val="28"/>
          <w:rtl/>
        </w:rPr>
        <w:t xml:space="preserve">۷۱. مشهد؛ رضوی؛ شماره نسخه: ۱۰۰۰۵</w:t>
      </w:r>
    </w:p>
    <w:p>
      <w:pPr>
        <w:pStyle w:val="BookText"/>
      </w:pPr>
      <w:r>
        <w:rPr>
          <w:rFonts w:ascii="IRNazanin" w:hAnsi="IRNazanin" w:eastAsia="IRNazanin" w:cs="IRNazanin"/>
          <w:lang w:bidi="fa-IR"/>
          <w:color w:val="111111"/>
          <w:sz w:val="28"/>
          <w:szCs w:val="28"/>
          <w:rtl/>
        </w:rPr>
        <w:t xml:space="preserve">آغاز: يمر بالميتة فى الماء فقال يتوضأ من الناحية التي ليس فیها الميتة؛ انجام: و يرجع الذى هى فى يده على امير الجيش بالثمن.</w:t>
      </w:r>
    </w:p>
    <w:p>
      <w:pPr>
        <w:pStyle w:val="BookText"/>
      </w:pPr>
      <w:r>
        <w:rPr>
          <w:rFonts w:ascii="IRNazanin" w:hAnsi="IRNazanin" w:eastAsia="IRNazanin" w:cs="IRNazanin"/>
          <w:lang w:bidi="fa-IR"/>
          <w:color w:val="111111"/>
          <w:sz w:val="28"/>
          <w:szCs w:val="28"/>
          <w:rtl/>
        </w:rPr>
        <w:t xml:space="preserve">جلد ۲-۱، از اواسط «باب الماء القليل» تا پایان «کتاب الجهاد»؛ خط: نسخ، بی کا، تا: قرن ۱۱؛ افتادگی: آغاز (۸ برگ) و وسط (۴ برگ) و انجام؛ ۲ ورق از آخر نونویسی؛ محشی با رموز مختلف، دارای بلاغ ،واقف: دکتر شمس الدین جزایری، شهریور ۱۳۴۸؛ کاغذ: حنایی آهار مهره ،جلد: تیماج مشکی ضربی با ترنج و سرترنج، ۲۴۰گ ۲۰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۲۴/۸سم [ف: ۱۴ – ۷۱]</w:t>
      </w:r>
    </w:p>
    <w:p>
      <w:pPr>
        <w:pStyle w:val="BookText"/>
      </w:pPr>
      <w:r>
        <w:rPr>
          <w:rFonts w:ascii="IRNazanin" w:hAnsi="IRNazanin" w:eastAsia="IRNazanin" w:cs="IRNazanin"/>
          <w:lang w:bidi="fa-IR"/>
          <w:color w:val="111111"/>
          <w:sz w:val="28"/>
          <w:szCs w:val="28"/>
          <w:rtl/>
        </w:rPr>
        <w:t xml:space="preserve">۷۲. مشهد؛ رضوی؛ شماره نسخه: ۱۴۸۰۶</w:t>
      </w:r>
    </w:p>
    <w:p>
      <w:pPr>
        <w:pStyle w:val="BookText"/>
      </w:pPr>
      <w:r>
        <w:rPr>
          <w:rFonts w:ascii="IRNazanin" w:hAnsi="IRNazanin" w:eastAsia="IRNazanin" w:cs="IRNazanin"/>
          <w:lang w:bidi="fa-IR"/>
          <w:color w:val="111111"/>
          <w:sz w:val="28"/>
          <w:szCs w:val="28"/>
          <w:rtl/>
        </w:rPr>
        <w:t xml:space="preserve">آغاز: برابر؛ انجام: علی امير الجيش بالثمن</w:t>
      </w:r>
    </w:p>
    <w:p>
      <w:pPr>
        <w:pStyle w:val="BookText"/>
      </w:pPr>
      <w:r>
        <w:rPr>
          <w:rFonts w:ascii="IRNazanin" w:hAnsi="IRNazanin" w:eastAsia="IRNazanin" w:cs="IRNazanin"/>
          <w:lang w:bidi="fa-IR"/>
          <w:color w:val="111111"/>
          <w:sz w:val="28"/>
          <w:szCs w:val="28"/>
          <w:rtl/>
        </w:rPr>
        <w:t xml:space="preserve">جلد ۱-۲ ،کامل؛ خط: نسخ، بی کا ، تا: قرن ۱۱؛ محشی با رموز مختلف؛ واقف: سيد محمد باقر سبزواری،محرم 1405؛کاغذ: حنائی آهار مهره، جلد: تیماج عنابی، ۲۵۴گ، ۱۹-۲۱ سطر،:اندازه ۱۸/۷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۲۴/۲سم [ف : ۱۴ - ۷۱]</w:t>
      </w:r>
    </w:p>
    <w:p>
      <w:pPr>
        <w:pStyle w:val="BookText"/>
      </w:pPr>
      <w:r>
        <w:rPr>
          <w:rFonts w:ascii="IRNazanin" w:hAnsi="IRNazanin" w:eastAsia="IRNazanin" w:cs="IRNazanin"/>
          <w:lang w:bidi="fa-IR"/>
          <w:color w:val="111111"/>
          <w:sz w:val="28"/>
          <w:szCs w:val="28"/>
          <w:rtl/>
        </w:rPr>
        <w:t xml:space="preserve">۷۳. مشهد؛ رضوی؛ شماره نسخه: ۱۴۸۹۱</w:t>
      </w:r>
    </w:p>
    <w:p>
      <w:pPr>
        <w:pStyle w:val="BookText"/>
      </w:pPr>
      <w:r>
        <w:rPr>
          <w:rFonts w:ascii="Amiri" w:hAnsi="Amiri" w:eastAsia="Amiri" w:cs="Amiri"/>
          <w:lang w:bidi="ar-SA"/>
          <w:color w:val="111111"/>
          <w:sz w:val="28"/>
          <w:szCs w:val="28"/>
          <w:rtl/>
        </w:rPr>
        <w:t xml:space="preserve">آغاز: ثان فليس لاحدان يجعل ذلك دليلا على ان المراد بمقادير النزح؛ انجام: عن عثمان بن عيسى عن سماعة عن ابي بصير قال سمعت ابا عبدالله.</w:t>
      </w:r>
    </w:p>
    <w:p>
      <w:pPr>
        <w:pStyle w:val="BookText"/>
      </w:pPr>
      <w:r>
        <w:rPr>
          <w:rFonts w:ascii="IRNazanin" w:hAnsi="IRNazanin" w:eastAsia="IRNazanin" w:cs="IRNazanin"/>
          <w:lang w:bidi="fa-IR"/>
          <w:color w:val="111111"/>
          <w:sz w:val="28"/>
          <w:szCs w:val="28"/>
          <w:rtl/>
        </w:rPr>
        <w:t xml:space="preserve">جلد ۱؛ خط: نسخ، بی کا، تا: قرن ۱۱؛ افتادگی: آغاز و انجام، از اواسط «باب البئريقع فيها ما يغير احدا وصاف الماء» تا اوایل «باب ان التسليم ليس بفرض» است، محشی؛ واقف: محمد باقر  سبزواری، محرم ۱۴۰۵ ؛کاغذ: نخودی آهار مهره، ۱۵۷گ، ۱۷  سطر ،اندازه: ۱۹/۲۲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۲۶/۵سم [ف: ۱۴ - ۷۲]</w:t>
      </w:r>
    </w:p>
    <w:p>
      <w:pPr>
        <w:pStyle w:val="BookText"/>
      </w:pPr>
      <w:r>
        <w:rPr>
          <w:rFonts w:ascii="IRNazanin" w:hAnsi="IRNazanin" w:eastAsia="IRNazanin" w:cs="IRNazanin"/>
          <w:lang w:bidi="fa-IR"/>
          <w:color w:val="111111"/>
          <w:sz w:val="28"/>
          <w:szCs w:val="28"/>
          <w:rtl/>
        </w:rPr>
        <w:t xml:space="preserve">۷۴. مشهد؛ رضوی؛ شماره نسخه: ۳۷۹۶۴</w:t>
      </w:r>
    </w:p>
    <w:p>
      <w:pPr>
        <w:pStyle w:val="BookText"/>
      </w:pPr>
      <w:r>
        <w:rPr>
          <w:rFonts w:ascii="IRNazanin" w:hAnsi="IRNazanin" w:eastAsia="IRNazanin" w:cs="IRNazanin"/>
          <w:lang w:bidi="fa-IR"/>
          <w:color w:val="111111"/>
          <w:sz w:val="28"/>
          <w:szCs w:val="28"/>
          <w:rtl/>
        </w:rPr>
        <w:t xml:space="preserve">آغاز: سعيد عن فضالة عن حماد بن عثمان عن ... قلت لابي جعفر (علیه السّلام) ان أبا ظبيان حدثنى انه رأى علياً (علیه السّلام) أراق الماء ثم مسح؛ انجام: لان ذلك مذهب كثير من العامة و قد روى ذلك عن النبى (صلّی اللَّهِ علیه وَ آلِهِ وَ سَلَّمَ ) تم كتاب الاستبصار(مشيخه) و ما ذكرته عن سعد بن عبدالله  فقد اخبرنی</w:t>
      </w:r>
    </w:p>
    <w:p>
      <w:pPr>
        <w:pStyle w:val="BookText"/>
      </w:pPr>
      <w:r>
        <w:rPr>
          <w:rFonts w:ascii="IRNazanin" w:hAnsi="IRNazanin" w:eastAsia="IRNazanin" w:cs="IRNazanin"/>
          <w:lang w:bidi="fa-IR"/>
          <w:color w:val="111111"/>
          <w:sz w:val="28"/>
          <w:szCs w:val="28"/>
          <w:rtl/>
        </w:rPr>
        <w:t xml:space="preserve">جلد 3- 1، از اوایل كتاب الطهارة (باب المسح على الجبائر) تا اواسط مشیخه و اسانید می باشد و موجودی کتاب دیات و مشیخه</w:t>
      </w:r>
    </w:p>
    <w:p>
      <w:pPr>
        <w:pStyle w:val="BookText"/>
      </w:pPr>
      <w:r>
        <w:rPr>
          <w:rFonts w:ascii="IRNazanin" w:hAnsi="IRNazanin" w:eastAsia="IRNazanin" w:cs="IRNazanin"/>
          <w:lang w:bidi="fa-IR"/>
          <w:color w:val="111111"/>
          <w:sz w:val="28"/>
          <w:szCs w:val="28"/>
          <w:rtl/>
        </w:rPr>
        <w:t xml:space="preserve">(ضمن ۱۴ برگ) در ابتدای نسخه صحافی شده است؛ خط: نسخ، بی کا، تا: قرن ۱۱؛ افتادگی: آغاز و وسط (از اواخر کتاب الفرائض (باب ارث الموالی) تا اواسط کتاب الحدود (باب انه يعتبر فى الاقرار بالسرقة دفعتان لا دفعة واحدة) و انجام؛ محشى؛ اهدایی  رهبری، مهر ۱۳۸۶؛ کاغذ: نخودی آهار مهره دولت آبادی سمرقند ،جلد: مقوا با روکش مشمع قهوه ای، ۳۲۲گ، ۲۳ سطر اندازه: ۲۰/۵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۳۰/۵ سم [اهدائی رهبر ۲ اخبار ۱ - ۹۶]</w:t>
      </w:r>
    </w:p>
    <w:p>
      <w:pPr>
        <w:pStyle w:val="BookText"/>
      </w:pPr>
      <w:r>
        <w:rPr>
          <w:rFonts w:ascii="IRNazanin" w:hAnsi="IRNazanin" w:eastAsia="IRNazanin" w:cs="IRNazanin"/>
          <w:lang w:bidi="fa-IR"/>
          <w:color w:val="111111"/>
          <w:sz w:val="28"/>
          <w:szCs w:val="28"/>
          <w:rtl/>
        </w:rPr>
        <w:t xml:space="preserve">۷۵. مشهد؛ رضوی؛ شماره نسخه: ۲۶۸۷۹</w:t>
      </w:r>
    </w:p>
    <w:p>
      <w:pPr>
        <w:pStyle w:val="BookText"/>
      </w:pPr>
      <w:r>
        <w:rPr>
          <w:rFonts w:ascii="IRNazanin" w:hAnsi="IRNazanin" w:eastAsia="IRNazanin" w:cs="IRNazanin"/>
          <w:lang w:bidi="fa-IR"/>
          <w:color w:val="111111"/>
          <w:sz w:val="28"/>
          <w:szCs w:val="28"/>
          <w:rtl/>
        </w:rPr>
        <w:t xml:space="preserve">آغاز: الصلوة اذا كان تركه معتمدا و ليس؛ انجام: و نعم الوكيل و الحمد لله رب العالمين وصلى الله علی اشرف خلقه محمد النبي و آله الطاهرين</w:t>
      </w:r>
    </w:p>
    <w:p>
      <w:pPr>
        <w:pStyle w:val="BookText"/>
      </w:pPr>
      <w:r>
        <w:rPr>
          <w:rFonts w:ascii="IRNazanin" w:hAnsi="IRNazanin" w:eastAsia="IRNazanin" w:cs="IRNazanin"/>
          <w:lang w:bidi="fa-IR"/>
          <w:color w:val="111111"/>
          <w:sz w:val="28"/>
          <w:szCs w:val="28"/>
          <w:rtl/>
        </w:rPr>
        <w:t xml:space="preserve">خط: نسخ، بی کا، تا: قرن ۱۱؛ افتادگی: آغاز [رایانه]</w:t>
      </w:r>
    </w:p>
    <w:p>
      <w:pPr>
        <w:pStyle w:val="BookText"/>
      </w:pPr>
      <w:r>
        <w:rPr>
          <w:rFonts w:ascii="IRNazanin" w:hAnsi="IRNazanin" w:eastAsia="IRNazanin" w:cs="IRNazanin"/>
          <w:lang w:bidi="fa-IR"/>
          <w:color w:val="111111"/>
          <w:sz w:val="28"/>
          <w:szCs w:val="28"/>
          <w:rtl/>
        </w:rPr>
        <w:t xml:space="preserve">۷۶. مشهد؛ رضوی؛ شماره نسخه: ۱۱۲۸۸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آغاز: برابر؛ انجام: واخبرنى ايضا الحسين بن عبيد الله عن  ابی المفضل محمد</w:t>
      </w:r>
    </w:p>
    <w:p>
      <w:pPr>
        <w:pStyle w:val="BookText"/>
      </w:pPr>
      <w:r>
        <w:rPr>
          <w:rFonts w:ascii="IRNazanin" w:hAnsi="IRNazanin" w:eastAsia="IRNazanin" w:cs="IRNazanin"/>
          <w:lang w:bidi="fa-IR"/>
          <w:color w:val="111111"/>
          <w:sz w:val="28"/>
          <w:szCs w:val="28"/>
          <w:rtl/>
        </w:rPr>
        <w:t xml:space="preserve">خط: نسخ، بی کا، تا: قرن ۱۱؛ افتادگی: انجام (برگ آخر) مقابله شده، دارای  بلاغ، محشی با رمز «س م د» و « م ا رحمه الله» و «م ح ق ر ه»؛ پشت ورق اول وقف نامه بانو خاتـون فرزند ابوالحسن کاسکر پازواری در ذیقعده ۱۱۹۴؛ واقف: شیخ محمد صالح علامه حائری، مرداد ۱۳۵۱؛ کاغذ: نخودی، جـلد: تیماج قهوه ای سوخت ضربی با ترنج و سرترنج، ۳۶۷گ،  25سطر،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۳۰سم [ف: ۲۶ - ۷۹]</w:t>
      </w:r>
    </w:p>
    <w:p>
      <w:pPr>
        <w:pStyle w:val="BookText"/>
      </w:pPr>
      <w:r>
        <w:rPr>
          <w:rFonts w:ascii="IRNazanin" w:hAnsi="IRNazanin" w:eastAsia="IRNazanin" w:cs="IRNazanin"/>
          <w:lang w:bidi="fa-IR"/>
          <w:color w:val="111111"/>
          <w:sz w:val="28"/>
          <w:szCs w:val="28"/>
          <w:rtl/>
        </w:rPr>
        <w:t xml:space="preserve">۷۷. مشهد؛ رضوی؛ شماره نسخه: ۲۵۲۵۵</w:t>
      </w:r>
    </w:p>
    <w:p>
      <w:pPr>
        <w:pStyle w:val="BookText"/>
      </w:pPr>
      <w:r>
        <w:rPr>
          <w:rFonts w:ascii="Amiri" w:hAnsi="Amiri" w:eastAsia="Amiri" w:cs="Amiri"/>
          <w:lang w:bidi="ar-SA"/>
          <w:color w:val="111111"/>
          <w:sz w:val="28"/>
          <w:szCs w:val="28"/>
          <w:rtl/>
        </w:rPr>
        <w:t xml:space="preserve">آغاز: برابر؛ انجام :تم الجزء الثالث من كتاب الاستبصار و الحمد لله</w:t>
      </w:r>
    </w:p>
    <w:p>
      <w:pPr>
        <w:pStyle w:val="BookText"/>
      </w:pPr>
      <w:r>
        <w:rPr>
          <w:rFonts w:ascii="IRNazanin" w:hAnsi="IRNazanin" w:eastAsia="IRNazanin" w:cs="IRNazanin"/>
          <w:lang w:bidi="fa-IR"/>
          <w:color w:val="111111"/>
          <w:sz w:val="28"/>
          <w:szCs w:val="28"/>
          <w:rtl/>
        </w:rPr>
        <w:t xml:space="preserve">جلد ۳-۱ ؛خط: نسخ، کا: محمد علی بن محمد  امین، تا: قرن 11؛ محشی به لفظ «بدرالدین سلمه الله و بعضا با رمز رمز» «ا م ن ر ه» پشت ورق اول وقف نامه ملا احمد دامغانی واقف: استاد جـعفر زاهدی، دی ۱۳۷۷ ؛کاغذ: نخودی آهار مهره ،جلد: مقوا رویه گالینگور  مشکی، ۳۷۶گ ۲۷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۳۲سم[ ف: ۲۶-  72]</w:t>
      </w:r>
    </w:p>
    <w:p>
      <w:pPr>
        <w:pStyle w:val="BookText"/>
      </w:pPr>
      <w:r>
        <w:rPr>
          <w:rFonts w:ascii="IRNazanin" w:hAnsi="IRNazanin" w:eastAsia="IRNazanin" w:cs="IRNazanin"/>
          <w:lang w:bidi="fa-IR"/>
          <w:color w:val="111111"/>
          <w:sz w:val="28"/>
          <w:szCs w:val="28"/>
          <w:rtl/>
        </w:rPr>
        <w:t xml:space="preserve">۷۸ . مشهد؛ رضوی؛ شماره نسخه: ۲۰۴۳۴</w:t>
      </w:r>
    </w:p>
    <w:p>
      <w:pPr>
        <w:pStyle w:val="BookText"/>
      </w:pPr>
      <w:r>
        <w:rPr>
          <w:rFonts w:ascii="IRNazanin" w:hAnsi="IRNazanin" w:eastAsia="IRNazanin" w:cs="IRNazanin"/>
          <w:lang w:bidi="fa-IR"/>
          <w:color w:val="111111"/>
          <w:sz w:val="28"/>
          <w:szCs w:val="28"/>
          <w:rtl/>
        </w:rPr>
        <w:t xml:space="preserve">آغاز: بسمله رب پسر و به نستعین و بعد فانی رایت؛ انجام:  و صلى الله على محمد و آله الطاهرين مهر مصطفى</w:t>
      </w:r>
    </w:p>
    <w:p>
      <w:pPr>
        <w:pStyle w:val="BookText"/>
      </w:pPr>
      <w:r>
        <w:rPr>
          <w:rFonts w:ascii="IRNazanin" w:hAnsi="IRNazanin" w:eastAsia="IRNazanin" w:cs="IRNazanin"/>
          <w:lang w:bidi="fa-IR"/>
          <w:color w:val="111111"/>
          <w:sz w:val="28"/>
          <w:szCs w:val="28"/>
          <w:rtl/>
        </w:rPr>
        <w:t xml:space="preserve">جلد 3- 1؛ خط: نسخ، بی کا، تا: قرن ۱۱؛ محشی، مصحح، پنج برگ نونویس؛ اهدایی رهبری، خرداد ۱۳۷۳؛ کاغذ: نخودی آهار مهـره ۳۸۲گ، ۳۰ سطر،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۲۸سم [اهدائی رهبر: ۲ اخبار -  92]</w:t>
      </w:r>
    </w:p>
    <w:p>
      <w:pPr>
        <w:pStyle w:val="BookText"/>
      </w:pPr>
      <w:r>
        <w:rPr>
          <w:rFonts w:ascii="IRNazanin" w:hAnsi="IRNazanin" w:eastAsia="IRNazanin" w:cs="IRNazanin"/>
          <w:lang w:bidi="fa-IR"/>
          <w:color w:val="111111"/>
          <w:sz w:val="28"/>
          <w:szCs w:val="28"/>
          <w:rtl/>
        </w:rPr>
        <w:t xml:space="preserve">۷۹. مشهد؛ رضوی؛ شماره نسخه: ۲۱۴۰۱</w:t>
      </w:r>
    </w:p>
    <w:p>
      <w:pPr>
        <w:pStyle w:val="BookText"/>
      </w:pPr>
      <w:r>
        <w:rPr>
          <w:rFonts w:ascii="IRNazanin" w:hAnsi="IRNazanin" w:eastAsia="IRNazanin" w:cs="IRNazanin"/>
          <w:lang w:bidi="fa-IR"/>
          <w:color w:val="111111"/>
          <w:sz w:val="28"/>
          <w:szCs w:val="28"/>
          <w:rtl/>
        </w:rPr>
        <w:t xml:space="preserve">آغاز: برابر؛ انجام: قد خصا في هذين الخبرين فكذلك فی مسجد الكوفة لان احداً لا يفرق بين الموضعين تم الجزء الثاني</w:t>
      </w:r>
    </w:p>
    <w:p>
      <w:pPr>
        <w:pStyle w:val="BookText"/>
      </w:pPr>
      <w:r>
        <w:rPr>
          <w:rFonts w:ascii="IRNazanin" w:hAnsi="IRNazanin" w:eastAsia="IRNazanin" w:cs="IRNazanin"/>
          <w:lang w:bidi="fa-IR"/>
          <w:color w:val="111111"/>
          <w:sz w:val="28"/>
          <w:szCs w:val="28"/>
          <w:rtl/>
        </w:rPr>
        <w:t xml:space="preserve">جلد 2- 1؛ از ابتدای مقدمه تا پایان کتاب حج؛ خط: نسخ، بی تا: قرن ۱۱؛ محشی با رمز «م ق ر مدظله العالی» «س م د» «ع ا ه  ر» میرزا محمد و غیره، مصحح، مقابله شده، دارای بلاغ از علامه مجلسی؛ مهر: سید محمد باقر اصفهانی رشتی معروف به حجة الاسلام با نقش «محمد باقر بن محمد تقی موسوی»؛ اهدائی رهبری، خرداد ۱۳۷۳ ؛کاغذ: نخودی آهار مهره ،جلد: تیماج مشکی، ۲۸۴گ، ۲۱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۲۵سم[اهدائی رهبر:  2 اخبار ۱ - ۹۳]</w:t>
      </w:r>
    </w:p>
    <w:p>
      <w:pPr>
        <w:pStyle w:val="BookText"/>
      </w:pPr>
      <w:r>
        <w:rPr>
          <w:rFonts w:ascii="IRNazanin" w:hAnsi="IRNazanin" w:eastAsia="IRNazanin" w:cs="IRNazanin"/>
          <w:lang w:bidi="fa-IR"/>
          <w:color w:val="111111"/>
          <w:sz w:val="28"/>
          <w:szCs w:val="28"/>
          <w:rtl/>
        </w:rPr>
        <w:t xml:space="preserve">80.مشهد؛ رضوی؛ شماره نسخه: ۲۰۶۸۳</w:t>
      </w:r>
    </w:p>
    <w:p>
      <w:pPr>
        <w:pStyle w:val="BookText"/>
      </w:pPr>
      <w:r>
        <w:rPr>
          <w:rFonts w:ascii="IRNazanin" w:hAnsi="IRNazanin" w:eastAsia="IRNazanin" w:cs="IRNazanin"/>
          <w:lang w:bidi="fa-IR"/>
          <w:color w:val="111111"/>
          <w:sz w:val="28"/>
          <w:szCs w:val="28"/>
          <w:rtl/>
        </w:rPr>
        <w:t xml:space="preserve">آغاز: بسمله كتاب الجهاد باب من يستحق ان تقسم الغنائم فيـهم ... بسمله، ابواب الصلاة وحدودها قال الرضا (علیه السّلام) الصلاة لها اربعة آلاف باب؛ انجام: فان الله عزوجل يقول للمومنين و اذا قریء القرآن</w:t>
      </w:r>
    </w:p>
    <w:p>
      <w:pPr>
        <w:pStyle w:val="BookText"/>
      </w:pPr>
      <w:r>
        <w:rPr>
          <w:rFonts w:ascii="IRNazanin" w:hAnsi="IRNazanin" w:eastAsia="IRNazanin" w:cs="IRNazanin"/>
          <w:lang w:bidi="fa-IR"/>
          <w:color w:val="111111"/>
          <w:sz w:val="28"/>
          <w:szCs w:val="28"/>
          <w:rtl/>
        </w:rPr>
        <w:t xml:space="preserve">جلد سوم  از کتاب الجهاد تا پایان استبصار؛ خط: نسخ و نستعلـیق، بی کا، تا: قرن ۱۱؛ مذیل است به ۴۶ برگ از کتاب صلاة«من لا يحضره الفقیه» شیخ صدوق، دو برگ توسط مرحوم سید مصطفی صفائی خوانساری نونویسی شده؛ اهدایی  رهبری، خرداد۱۳۷۳؛ كاغذ:  حنائی آهار مهره، جلد: تیماج عنابی ضربی، ۴۹۱گ،  ۲۱ سطر،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۲۴/۵سم [اهدائی :رهبر ۲ اخبار ۱-۹۵]</w:t>
      </w:r>
    </w:p>
    <w:p>
      <w:pPr>
        <w:pStyle w:val="BookText"/>
      </w:pPr>
      <w:r>
        <w:rPr>
          <w:rFonts w:ascii="IRNazanin" w:hAnsi="IRNazanin" w:eastAsia="IRNazanin" w:cs="IRNazanin"/>
          <w:lang w:bidi="fa-IR"/>
          <w:color w:val="111111"/>
          <w:sz w:val="28"/>
          <w:szCs w:val="28"/>
          <w:rtl/>
        </w:rPr>
        <w:t xml:space="preserve">۸۱ .مشهد؛ رضوی؛ شماره نسخه: ۲۰۱۹۶</w:t>
      </w:r>
    </w:p>
    <w:p>
      <w:pPr>
        <w:pStyle w:val="BookText"/>
      </w:pPr>
      <w:r>
        <w:rPr>
          <w:rFonts w:ascii="IRNazanin" w:hAnsi="IRNazanin" w:eastAsia="IRNazanin" w:cs="IRNazanin"/>
          <w:lang w:bidi="fa-IR"/>
          <w:color w:val="111111"/>
          <w:sz w:val="28"/>
          <w:szCs w:val="28"/>
          <w:rtl/>
        </w:rPr>
        <w:t xml:space="preserve">آغاز: برابر؛ انجام: عن على بن ابراهيم عن ابيه بن حماد عن عزيز عن محمد بن مسلم عن ابی عبدالله عليه السلام قال سألته عن رجل جلد ۲-۱ ، از ابتدای مقدمه تا اوایل کتاب مکاسب؛ خط: نسخ، بی کا، تا:قرن ۱۱؛ افتادگی: انجام؛ محشی، یک برگ از وسط توسط مرحوم سید مصطفی صفایی خوانساری نونویسی شده؛ اهدایی  رهبری، خرداد ۱۳۷۳ ؛کاغذ: نخودی آهار مهره، جلد:، تیماج عنابی ضربی با ترنج و سر ترنج عطف شیرازه بندی با  نخ های الوان، ۲۹۴گ، ۲۳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۲۶سم [اهدائی رهبر: ۲  اخبار ۱ - ۹۴]</w:t>
      </w:r>
    </w:p>
    <w:p>
      <w:pPr>
        <w:pStyle w:val="BookText"/>
      </w:pPr>
      <w:r>
        <w:rPr>
          <w:rFonts w:ascii="IRNazanin" w:hAnsi="IRNazanin" w:eastAsia="IRNazanin" w:cs="IRNazanin"/>
          <w:lang w:bidi="fa-IR"/>
          <w:color w:val="111111"/>
          <w:sz w:val="28"/>
          <w:szCs w:val="28"/>
          <w:rtl/>
        </w:rPr>
        <w:t xml:space="preserve">82.مشهد؛ رضوی؛ شماره نسخه: ۲۰۴۷۸</w:t>
      </w:r>
    </w:p>
    <w:p>
      <w:pPr>
        <w:pStyle w:val="BookText"/>
      </w:pPr>
      <w:r>
        <w:rPr>
          <w:rFonts w:ascii="IRNazanin" w:hAnsi="IRNazanin" w:eastAsia="IRNazanin" w:cs="IRNazanin"/>
          <w:lang w:bidi="fa-IR"/>
          <w:color w:val="111111"/>
          <w:sz w:val="28"/>
          <w:szCs w:val="28"/>
          <w:rtl/>
        </w:rPr>
        <w:t xml:space="preserve">آغاز: بسمله الزكوه و ما يجب فيه الزكوه اخبرنی ابوعبدالله احمد؛ انجام: قد خصا في هذين الخبرين فكذلك في مسجد الكوفة لان احداً لا يفرق بين الموضعين تم الجزء الثاني.</w:t>
      </w:r>
    </w:p>
    <w:p>
      <w:pPr>
        <w:pStyle w:val="BookText"/>
      </w:pPr>
      <w:r>
        <w:rPr>
          <w:rFonts w:ascii="IRNazanin" w:hAnsi="IRNazanin" w:eastAsia="IRNazanin" w:cs="IRNazanin"/>
          <w:lang w:bidi="fa-IR"/>
          <w:color w:val="111111"/>
          <w:sz w:val="28"/>
          <w:szCs w:val="28"/>
          <w:rtl/>
        </w:rPr>
        <w:t xml:space="preserve">جلد ۲، از ابتدای زکات تا پایان حج؛ خط: نسخ، کا: محمد مهدی حسینی اصفهانی، تا: قرن  ۱۱ ؛جا ،اصفهانی، مدرسه جده؛ محشی با رموز «س م د» «م ح ق دام ظله و سلمه الله»، مصحح، مقابله ،شده دارای بلاغ اهدایی  رهبری، خرداد ۱۳۷۳؛ كاغذ: الوان، جلد: تیماج مشکی یک لا ضربی با ترنج و سرترنج، ۱۲۲گ، ۲۱ سطر، اندازه: ۱۹/۵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۲۴/۵سم [اهدائی رهبر: ۲ اخبار ۱ – ۹۴]</w:t>
      </w:r>
    </w:p>
    <w:p>
      <w:pPr>
        <w:pStyle w:val="BookText"/>
      </w:pPr>
      <w:r>
        <w:rPr>
          <w:rFonts w:ascii="IRNazanin" w:hAnsi="IRNazanin" w:eastAsia="IRNazanin" w:cs="IRNazanin"/>
          <w:lang w:bidi="fa-IR"/>
          <w:color w:val="111111"/>
          <w:sz w:val="28"/>
          <w:szCs w:val="28"/>
          <w:rtl/>
        </w:rPr>
        <w:t xml:space="preserve">۸۳. مشهد؛ رضوی؛ شماره نسخه: ۲۸۶۶۱</w:t>
      </w:r>
    </w:p>
    <w:p>
      <w:pPr>
        <w:pStyle w:val="BookText"/>
      </w:pPr>
      <w:r>
        <w:rPr>
          <w:rFonts w:ascii="IRNazanin" w:hAnsi="IRNazanin" w:eastAsia="IRNazanin" w:cs="IRNazanin"/>
          <w:lang w:bidi="fa-IR"/>
          <w:color w:val="111111"/>
          <w:sz w:val="28"/>
          <w:szCs w:val="28"/>
          <w:rtl/>
        </w:rPr>
        <w:t xml:space="preserve">آغاز: مانند ۲۰۵۷۷؛ انجام: برابر</w:t>
      </w:r>
    </w:p>
    <w:p>
      <w:pPr>
        <w:pStyle w:val="BookText"/>
      </w:pPr>
      <w:r>
        <w:rPr>
          <w:rFonts w:ascii="IRNazanin" w:hAnsi="IRNazanin" w:eastAsia="IRNazanin" w:cs="IRNazanin"/>
          <w:lang w:bidi="fa-IR"/>
          <w:color w:val="111111"/>
          <w:sz w:val="28"/>
          <w:szCs w:val="28"/>
          <w:rtl/>
        </w:rPr>
        <w:t xml:space="preserve">جلد3، از ابتدای جهاد تا پایان کتاب؛ خط: نسخ، بی کا، تا: قرن ۱۱؛ محشی با رموز «رف ی»« م ق ر مدظله»؛ واقف: احمد شاه، آبان ۱۳۸۱ ؛کاغذ: نخودی آهار مهره، جلد: تیماج  عنابی، ۲۲۰گ، ۲۳  سطر، اندازه: ۲۵/۱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۱۹/۵سم [ف: ۲۶ - ۸۰]</w:t>
      </w:r>
    </w:p>
    <w:p>
      <w:pPr>
        <w:pStyle w:val="BookText"/>
      </w:pPr>
      <w:r>
        <w:rPr>
          <w:rFonts w:ascii="IRNazanin" w:hAnsi="IRNazanin" w:eastAsia="IRNazanin" w:cs="IRNazanin"/>
          <w:lang w:bidi="fa-IR"/>
          <w:color w:val="111111"/>
          <w:sz w:val="28"/>
          <w:szCs w:val="28"/>
          <w:rtl/>
        </w:rPr>
        <w:t xml:space="preserve">۸۴. مشهد؛ رضوی؛ شماره نسخه: ۲۵۹۱۳</w:t>
      </w:r>
    </w:p>
    <w:p>
      <w:pPr>
        <w:pStyle w:val="BookText"/>
      </w:pPr>
      <w:r>
        <w:rPr>
          <w:rFonts w:ascii="IRNazanin" w:hAnsi="IRNazanin" w:eastAsia="IRNazanin" w:cs="IRNazanin"/>
          <w:lang w:bidi="fa-IR"/>
          <w:color w:val="111111"/>
          <w:sz w:val="28"/>
          <w:szCs w:val="28"/>
          <w:rtl/>
        </w:rPr>
        <w:t xml:space="preserve">آغاز: برابر؛ انجام: عن ابی عبدالله (علیه السّلام) في المرأة تقول لزوجها جاريتي لك قال لا يحل له فرجها</w:t>
      </w:r>
    </w:p>
    <w:p>
      <w:pPr>
        <w:pStyle w:val="BookText"/>
      </w:pPr>
      <w:r>
        <w:rPr>
          <w:rFonts w:ascii="IRNazanin" w:hAnsi="IRNazanin" w:eastAsia="IRNazanin" w:cs="IRNazanin"/>
          <w:lang w:bidi="fa-IR"/>
          <w:color w:val="111111"/>
          <w:sz w:val="28"/>
          <w:szCs w:val="28"/>
          <w:rtl/>
        </w:rPr>
        <w:t xml:space="preserve">جلد ۳-۱؛ از ابتدای مقدمه تا اندکی از کتاب النکاح؛ خط: نسخ، کا ،تا: قرن ۱۱؛ محشی به حواشی سید محمد و دیگران، بی کا، مصحح ؛ تملک: محمد باقر بن محمد صادق سمنانی؛ واقف: استاد جعفر زاهدی دی ۱۳۷۷؛ کاغذ: نخودی آهار مهره، جلد: تیماج مستعمل، ۲۱۱گ، ۲۵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۲۴سم [ف: ۲۶- ۸۱]</w:t>
      </w:r>
    </w:p>
    <w:p>
      <w:pPr>
        <w:pStyle w:val="BookText"/>
      </w:pPr>
      <w:r>
        <w:rPr>
          <w:rFonts w:ascii="IRNazanin" w:hAnsi="IRNazanin" w:eastAsia="IRNazanin" w:cs="IRNazanin"/>
          <w:lang w:bidi="fa-IR"/>
          <w:color w:val="111111"/>
          <w:sz w:val="28"/>
          <w:szCs w:val="28"/>
          <w:rtl/>
        </w:rPr>
        <w:t xml:space="preserve">۸۵. تهران؛ ملی؛ شماره نسخه: ۶۹۸</w:t>
      </w:r>
    </w:p>
    <w:p>
      <w:pPr>
        <w:pStyle w:val="BookText"/>
      </w:pPr>
      <w:r>
        <w:rPr>
          <w:rFonts w:ascii="IRNazanin" w:hAnsi="IRNazanin" w:eastAsia="IRNazanin" w:cs="IRNazanin"/>
          <w:lang w:bidi="fa-IR"/>
          <w:color w:val="111111"/>
          <w:sz w:val="28"/>
          <w:szCs w:val="28"/>
          <w:rtl/>
        </w:rPr>
        <w:t xml:space="preserve">آغاز و انجامک برابر</w:t>
      </w:r>
    </w:p>
    <w:p>
      <w:pPr>
        <w:pStyle w:val="BookText"/>
      </w:pPr>
      <w:r>
        <w:rPr>
          <w:rFonts w:ascii="IRNazanin" w:hAnsi="IRNazanin" w:eastAsia="IRNazanin" w:cs="IRNazanin"/>
          <w:lang w:bidi="fa-IR"/>
          <w:color w:val="111111"/>
          <w:sz w:val="28"/>
          <w:szCs w:val="28"/>
          <w:rtl/>
        </w:rPr>
        <w:t xml:space="preserve">جزء اول و ثانی و ثالث؛ خط: نسخ، بی کا، تا: محتملاً قرن ۱۱؛ کاغذ: بخارائی، جلد: تیماج سبز مجدول ،مقوایی ۴۱۲گ، ۲۳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 اندازه: ۱۸/۵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۳۲سم [ف: ۸ - ۱۶۲]</w:t>
      </w:r>
    </w:p>
    <w:p>
      <w:pPr>
        <w:pStyle w:val="BookText"/>
      </w:pPr>
      <w:r>
        <w:rPr>
          <w:rFonts w:ascii="IRNazanin" w:hAnsi="IRNazanin" w:eastAsia="IRNazanin" w:cs="IRNazanin"/>
          <w:lang w:bidi="fa-IR"/>
          <w:color w:val="111111"/>
          <w:sz w:val="28"/>
          <w:szCs w:val="28"/>
          <w:rtl/>
        </w:rPr>
        <w:t xml:space="preserve">۸۶. تهران؛ ملی؛ شماره نسخه: ۵۹۳</w:t>
      </w:r>
    </w:p>
    <w:p>
      <w:pPr>
        <w:pStyle w:val="BookText"/>
      </w:pPr>
      <w:r>
        <w:rPr>
          <w:rFonts w:ascii="IRNazanin" w:hAnsi="IRNazanin" w:eastAsia="IRNazanin" w:cs="IRNazanin"/>
          <w:lang w:bidi="fa-IR"/>
          <w:color w:val="111111"/>
          <w:sz w:val="28"/>
          <w:szCs w:val="28"/>
          <w:rtl/>
        </w:rPr>
        <w:t xml:space="preserve">آغاز: برابر؛ انجام : عن الحسين بن خالد و رواه محمد بن علی بن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محبوب</w:t>
      </w:r>
    </w:p>
    <w:p>
      <w:pPr>
        <w:pStyle w:val="BookText"/>
      </w:pPr>
      <w:r>
        <w:rPr>
          <w:rFonts w:ascii="IRNazanin" w:hAnsi="IRNazanin" w:eastAsia="IRNazanin" w:cs="IRNazanin"/>
          <w:lang w:bidi="fa-IR"/>
          <w:color w:val="111111"/>
          <w:sz w:val="28"/>
          <w:szCs w:val="28"/>
          <w:rtl/>
        </w:rPr>
        <w:t xml:space="preserve">از طهارة تا دیات در بیست و دو ،باب کتاب مشایخ و اسانید مؤلف از ملحقات جزء سوم و یک باب و نیم از دیات آن افتاده یعنی از بیست و سه باب استبصار این نسخه بیست و دو باب دارد؛ خط: نسخ و نستعلیق  قدیم، بی کا، تا: محتملاً قرن ۱۱؛ افتادگی: انجام؛ کاغذ: اصفهانی ،جلد: تیماج قهوه ای با ترنج و نیم ترنج، ضربی یک لا، ۳۶۰گ، ۲۹ سطر (14</w:t>
      </w:r>
      <w:r>
        <w:rPr>
          <w:rFonts w:ascii="Times New Roman" w:hAnsi="Times New Roman" w:eastAsia="Times New Roman" w:cs="Times New Roman"/>
          <w:lang w:val="en-US" w:bidi="en-US"/>
          <w:color w:val="111111"/>
          <w:sz w:val="28"/>
          <w:szCs w:val="28"/>
          <w:rtl/>
        </w:rPr>
        <w:t xml:space="preserve">× 22/5) </w:t>
      </w:r>
      <w:r>
        <w:rPr>
          <w:rFonts w:ascii="IRNazanin" w:hAnsi="IRNazanin" w:eastAsia="IRNazanin" w:cs="IRNazanin"/>
          <w:lang w:bidi="fa-IR"/>
          <w:color w:val="111111"/>
          <w:sz w:val="28"/>
          <w:szCs w:val="28"/>
          <w:rtl/>
        </w:rPr>
        <w:t xml:space="preserve">اندازه: ۲۹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  سم[ف: ۸ - ۸۰]</w:t>
      </w:r>
    </w:p>
    <w:p>
      <w:pPr>
        <w:pStyle w:val="BookText"/>
      </w:pPr>
      <w:r>
        <w:rPr>
          <w:rFonts w:ascii="IRNazanin" w:hAnsi="IRNazanin" w:eastAsia="IRNazanin" w:cs="IRNazanin"/>
          <w:lang w:bidi="fa-IR"/>
          <w:color w:val="111111"/>
          <w:sz w:val="28"/>
          <w:szCs w:val="28"/>
          <w:rtl/>
        </w:rPr>
        <w:t xml:space="preserve">۸۷. اردکان یزد؛ امام صادق؛ شماره نسخه:۵</w:t>
      </w:r>
    </w:p>
    <w:p>
      <w:pPr>
        <w:pStyle w:val="BookText"/>
      </w:pPr>
      <w:r>
        <w:rPr>
          <w:rFonts w:ascii="IRNazanin" w:hAnsi="IRNazanin" w:eastAsia="IRNazanin" w:cs="IRNazanin"/>
          <w:lang w:bidi="fa-IR"/>
          <w:color w:val="111111"/>
          <w:sz w:val="28"/>
          <w:szCs w:val="28"/>
          <w:rtl/>
        </w:rPr>
        <w:t xml:space="preserve">خط: نسخ، بی کا، تا: قرن ۱۱؛ مجدول، دارای سرلوح، مصحح، پایان کتاب یادداشت مقابله ای در خدمت سیدامیر محمد محـسن به مشارکت سید امیر محمد هاشم در روز پنج شنبه ۶ شعبان 1084، و بعد از مشیخه اجازه ای از محمد محسن جهت میرزا ابوالحسن میرزا سعدالدین محمد وزیر در صفر ،۱۰۸۸، محشی، در دو برگ آغازین یادداشتی در اهداء کتاب از ورثه سلطان العلماء و چندین یادداشت حدیثی، در برگ پایانی خطبه نکاحی به نقل از شـیخ بهائی ؛تملک: ابوالحسن در اوایل جمادی الاول ۱۰۸۲  در اصفهان؛ جلد: تیماج دورورو مشکی ضربی، اندرون قرمز، ۳۹۵گ، ۲۷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۳۳سم [ف: ۱ - ۹]</w:t>
      </w:r>
    </w:p>
    <w:p>
      <w:pPr>
        <w:pStyle w:val="BookText"/>
      </w:pPr>
      <w:r>
        <w:rPr>
          <w:rFonts w:ascii="IRNazanin" w:hAnsi="IRNazanin" w:eastAsia="IRNazanin" w:cs="IRNazanin"/>
          <w:lang w:bidi="fa-IR"/>
          <w:color w:val="111111"/>
          <w:sz w:val="28"/>
          <w:szCs w:val="28"/>
          <w:rtl/>
        </w:rPr>
        <w:t xml:space="preserve">۸۸. یزد؛ صدوقی یزدی؛ شماره نسخه: ۶۵</w:t>
      </w:r>
    </w:p>
    <w:p>
      <w:pPr>
        <w:pStyle w:val="BookText"/>
      </w:pPr>
      <w:r>
        <w:rPr>
          <w:rFonts w:ascii="IRNazanin" w:hAnsi="IRNazanin" w:eastAsia="IRNazanin" w:cs="IRNazanin"/>
          <w:lang w:bidi="fa-IR"/>
          <w:color w:val="111111"/>
          <w:sz w:val="28"/>
          <w:szCs w:val="28"/>
          <w:rtl/>
        </w:rPr>
        <w:t xml:space="preserve">از کتاب طهارت تا ضمان؛ خط: نسخ، بی کا، تا: قرن ۱۱؛ مصحح ،جلد: تيماج قهوه ای عطف تیماج  قرمز، ۳۰۵گ، ۲۰ سطر، اندازه: ۲۶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 کتابخانه های قائن - ف - ۴۹]</w:t>
      </w:r>
    </w:p>
    <w:p>
      <w:pPr>
        <w:pStyle w:val="BookText"/>
      </w:pPr>
      <w:r>
        <w:rPr>
          <w:rFonts w:ascii="IRNazanin" w:hAnsi="IRNazanin" w:eastAsia="IRNazanin" w:cs="IRNazanin"/>
          <w:lang w:bidi="fa-IR"/>
          <w:color w:val="111111"/>
          <w:sz w:val="28"/>
          <w:szCs w:val="28"/>
          <w:rtl/>
        </w:rPr>
        <w:t xml:space="preserve">۸۹. تهران؛ الهیات؛ شماره نسخه:۳۶</w:t>
      </w:r>
    </w:p>
    <w:p>
      <w:pPr>
        <w:pStyle w:val="BookText"/>
      </w:pPr>
      <w:r>
        <w:rPr>
          <w:rFonts w:ascii="IRNazanin" w:hAnsi="IRNazanin" w:eastAsia="IRNazanin" w:cs="IRNazanin"/>
          <w:lang w:bidi="fa-IR"/>
          <w:color w:val="111111"/>
          <w:sz w:val="28"/>
          <w:szCs w:val="28"/>
          <w:rtl/>
        </w:rPr>
        <w:t xml:space="preserve">کامل؛ خط: نسخ، بی کا، تا: قرن ۱۱؛ افتادگی: آغاز و انجام؛ کاغذ: اصفهانی ،جلد: تیماج سرخ ضربی مقوایی، ۲۵ سـطر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 [ف: ۷۴۸]</w:t>
      </w:r>
    </w:p>
    <w:p>
      <w:pPr>
        <w:pStyle w:val="BookText"/>
      </w:pPr>
      <w:r>
        <w:rPr>
          <w:rFonts w:ascii="IRNazanin" w:hAnsi="IRNazanin" w:eastAsia="IRNazanin" w:cs="IRNazanin"/>
          <w:lang w:bidi="fa-IR"/>
          <w:color w:val="111111"/>
          <w:sz w:val="28"/>
          <w:szCs w:val="28"/>
          <w:rtl/>
        </w:rPr>
        <w:t xml:space="preserve">۹۰. تهران؛ الهیات؛ شماره نسخه: ۱۷۱</w:t>
      </w:r>
    </w:p>
    <w:p>
      <w:pPr>
        <w:pStyle w:val="BookText"/>
      </w:pPr>
      <w:r>
        <w:rPr>
          <w:rFonts w:ascii="IRNazanin" w:hAnsi="IRNazanin" w:eastAsia="IRNazanin" w:cs="IRNazanin"/>
          <w:lang w:bidi="fa-IR"/>
          <w:color w:val="111111"/>
          <w:sz w:val="28"/>
          <w:szCs w:val="28"/>
          <w:rtl/>
        </w:rPr>
        <w:t xml:space="preserve">خط: نستعلیق، بی کا، تا: قرن ۱۱؛ حاشیه به خط نستعلیق ابوالفضـل ابن شیخ عیسی کیا کجوری کدیری در ۱۳۰۶ (پایان نسخه: کدیر ناحیه ای است درکجور)، محشی با نشان «م ح ق، م د، شرح شـیخ محمد، رجال مص» و غیره ؛کاغذ: سپاهانی، جلد: تیماج  سرخ مقوایی، ۳۳۲گ، ۲۷ سطر (9/5</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 قطع: رحلی،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۲۹سم [ف: ۴۵۴]</w:t>
      </w:r>
    </w:p>
    <w:p>
      <w:pPr>
        <w:pStyle w:val="BookText"/>
      </w:pPr>
      <w:r>
        <w:rPr>
          <w:rFonts w:ascii="Amiri" w:hAnsi="Amiri" w:eastAsia="Amiri" w:cs="Amiri"/>
          <w:lang w:bidi="ar-SA"/>
          <w:color w:val="111111"/>
          <w:sz w:val="28"/>
          <w:szCs w:val="28"/>
          <w:rtl/>
        </w:rPr>
        <w:t xml:space="preserve">۹۱. قم؛ مفتى الشيعه؛ شماره نسخه: ۵۵</w:t>
      </w:r>
    </w:p>
    <w:p>
      <w:pPr>
        <w:pStyle w:val="BookText"/>
      </w:pPr>
      <w:r>
        <w:rPr>
          <w:rFonts w:ascii="IRNazanin" w:hAnsi="IRNazanin" w:eastAsia="IRNazanin" w:cs="IRNazanin"/>
          <w:lang w:bidi="fa-IR"/>
          <w:color w:val="111111"/>
          <w:sz w:val="28"/>
          <w:szCs w:val="28"/>
          <w:rtl/>
        </w:rPr>
        <w:t xml:space="preserve">خط: نسخ، بی کا، تا: قرن ۱۱؛ مجدول، مصحح، دارای نشان بلاغ ؛تملک: محمد تقی بن مرتضی موسوی خلخالی اردبیلی به تاریخ  12</w:t>
      </w:r>
    </w:p>
    <w:p>
      <w:pPr>
        <w:pStyle w:val="BookText"/>
      </w:pPr>
      <w:r>
        <w:rPr>
          <w:rFonts w:ascii="IRNazanin" w:hAnsi="IRNazanin" w:eastAsia="IRNazanin" w:cs="IRNazanin"/>
          <w:lang w:bidi="fa-IR"/>
          <w:color w:val="111111"/>
          <w:sz w:val="28"/>
          <w:szCs w:val="28"/>
          <w:rtl/>
        </w:rPr>
        <w:t xml:space="preserve">ربیع الثانی ۱۳۱۶؛ جلد: مقوایی عطف تیماج مشکی، ۴۵۱ گ، ۲۲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 ۵۸]</w:t>
      </w:r>
    </w:p>
    <w:p>
      <w:pPr>
        <w:pStyle w:val="BookText"/>
      </w:pPr>
      <w:r>
        <w:rPr>
          <w:rFonts w:ascii="IRNazanin" w:hAnsi="IRNazanin" w:eastAsia="IRNazanin" w:cs="IRNazanin"/>
          <w:lang w:bidi="fa-IR"/>
          <w:color w:val="111111"/>
          <w:sz w:val="28"/>
          <w:szCs w:val="28"/>
          <w:rtl/>
        </w:rPr>
        <w:t xml:space="preserve">۹۲. مشهد؛ میبدی؛ شماره نسخه:۲۰۶</w:t>
      </w:r>
    </w:p>
    <w:p>
      <w:pPr>
        <w:pStyle w:val="BookText"/>
      </w:pPr>
      <w:r>
        <w:rPr>
          <w:rFonts w:ascii="Amiri" w:hAnsi="Amiri" w:eastAsia="Amiri" w:cs="Amiri"/>
          <w:lang w:bidi="ar-SA"/>
          <w:color w:val="111111"/>
          <w:sz w:val="28"/>
          <w:szCs w:val="28"/>
          <w:rtl/>
        </w:rPr>
        <w:t xml:space="preserve">آغاز: بالميتة في الماء قال يتوضأ من الناحية التي ليس فيها الميتة</w:t>
      </w:r>
    </w:p>
    <w:p>
      <w:pPr>
        <w:pStyle w:val="BookText"/>
      </w:pPr>
      <w:r>
        <w:rPr>
          <w:rFonts w:ascii="IRNazanin" w:hAnsi="IRNazanin" w:eastAsia="IRNazanin" w:cs="IRNazanin"/>
          <w:lang w:bidi="fa-IR"/>
          <w:color w:val="111111"/>
          <w:sz w:val="28"/>
          <w:szCs w:val="28"/>
          <w:rtl/>
        </w:rPr>
        <w:t xml:space="preserve">خط: نسخ، بی کا، تا: قرن ۱۱؛ افتادگی: آغاز؛ محشی روی برگی قبل از کتاب یادداشت ابو محمد ناصر بن احمد بن باقر بن جواد</w:t>
      </w:r>
    </w:p>
    <w:p>
      <w:pPr>
        <w:pStyle w:val="BookText"/>
      </w:pPr>
      <w:r>
        <w:rPr>
          <w:rFonts w:ascii="IRNazanin" w:hAnsi="IRNazanin" w:eastAsia="IRNazanin" w:cs="IRNazanin"/>
          <w:lang w:bidi="fa-IR"/>
          <w:color w:val="111111"/>
          <w:sz w:val="28"/>
          <w:szCs w:val="28"/>
          <w:rtl/>
        </w:rPr>
        <w:t xml:space="preserve">بن سید علی حسینی میبدی (مؤسس کتابخانه) به تاریخ ۱۴۲۴ با مهر «ناصر بن احمد الميبدى الحسينى» (بیضی)؛ جلد: تیماج قهوه ای ضربی، ۳۰۲گ، ۲۳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۱ - ۱۶۰]</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قم؛ معصومیه؛ شماره نسخه: 1/ 60- 6364</w:t>
      </w:r>
    </w:p>
    <w:p>
      <w:pPr>
        <w:pStyle w:val="BookText"/>
      </w:pPr>
      <w:r>
        <w:rPr>
          <w:rFonts w:ascii="IRNazanin" w:hAnsi="IRNazanin" w:eastAsia="IRNazanin" w:cs="IRNazanin"/>
          <w:lang w:bidi="fa-IR"/>
          <w:color w:val="111111"/>
          <w:sz w:val="28"/>
          <w:szCs w:val="28"/>
          <w:rtl/>
        </w:rPr>
        <w:t xml:space="preserve">از آغاز تا باب صيام الثلثة ايام في شهر ؛ خط: نسخ، بی کا، تا: قرن ۱۱؛ محشی با نشان «س م  د» با بلاغ ،سماع، وقف فرزندان محمد بن غیاث کاظمی؛ کاغذ: سپاهانی، جلد: مقوا، عطف تيماج ،مشکی، ۱۷۴گ، ۲۴  سطر، قطع: خشتی [ آستانه قم - ۷۷]</w:t>
      </w:r>
    </w:p>
    <w:p>
      <w:pPr>
        <w:pStyle w:val="BookText"/>
      </w:pPr>
      <w:r>
        <w:rPr>
          <w:rFonts w:ascii="IRNazanin" w:hAnsi="IRNazanin" w:eastAsia="IRNazanin" w:cs="IRNazanin"/>
          <w:lang w:bidi="fa-IR"/>
          <w:color w:val="111111"/>
          <w:sz w:val="28"/>
          <w:szCs w:val="28"/>
          <w:rtl/>
        </w:rPr>
        <w:t xml:space="preserve">۹۴. شیراز؛ امام عصر؛ شماره نسخه: ۳۳۵</w:t>
      </w:r>
    </w:p>
    <w:p>
      <w:pPr>
        <w:pStyle w:val="BookText"/>
      </w:pPr>
      <w:r>
        <w:rPr>
          <w:rFonts w:ascii="IRNazanin" w:hAnsi="IRNazanin" w:eastAsia="IRNazanin" w:cs="IRNazanin"/>
          <w:lang w:bidi="fa-IR"/>
          <w:color w:val="111111"/>
          <w:sz w:val="28"/>
          <w:szCs w:val="28"/>
          <w:rtl/>
        </w:rPr>
        <w:t xml:space="preserve">از اول مبحث دیون تا آخر کتاب؛ خط: نسخ، بی کا، تا: قرن ۱۱؛ افتادگی: انجام مصحح؛ این نسخه را کربلایی محمد تقی بن محمود بر طلاب دینیه شیراز در پنج شنبه ۱۲ شعبان۱۲۵۴ وقف و تولیت را به سید محمد باقر بن حسن حسینی واگذار نموده؛ ۲۸۲گ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۲۶/۵سم [ف: ۱ - ۶]</w:t>
      </w:r>
    </w:p>
    <w:p>
      <w:pPr>
        <w:pStyle w:val="BookText"/>
      </w:pPr>
      <w:r>
        <w:rPr>
          <w:rFonts w:ascii="IRNazanin" w:hAnsi="IRNazanin" w:eastAsia="IRNazanin" w:cs="IRNazanin"/>
          <w:lang w:bidi="fa-IR"/>
          <w:color w:val="111111"/>
          <w:sz w:val="28"/>
          <w:szCs w:val="28"/>
          <w:rtl/>
        </w:rPr>
        <w:t xml:space="preserve">۹۵. قم؛ فیضیه؛ شماره نسخه: ۱۵۲</w:t>
      </w:r>
    </w:p>
    <w:p>
      <w:pPr>
        <w:pStyle w:val="BookText"/>
      </w:pPr>
      <w:r>
        <w:rPr>
          <w:rFonts w:ascii="IRNazanin" w:hAnsi="IRNazanin" w:eastAsia="IRNazanin" w:cs="IRNazanin"/>
          <w:lang w:bidi="fa-IR"/>
          <w:color w:val="111111"/>
          <w:sz w:val="28"/>
          <w:szCs w:val="28"/>
          <w:rtl/>
        </w:rPr>
        <w:t xml:space="preserve">خط: نسخ، بی کا، تا: قرن ۱۱، دو بار مقابله شده، با این یادداشت بر برگ آغاز: «نظر فيه افقر الطلبة شرف الدين محمد مكي بن محمد شمس الدین بن حسن بن زين الدين من ذرية الشرف ابى عبدالله الشهيد محمد بن مكي المطلبي العاملى له نسبة الى المطلب اخو هاشم سنة  ۱۱۷۳»، برگ پایان در ۱۲۷۰ تحریر شده است؛  ۳۵۰گ، ۲۵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۳۰سم [ف ۱ - ۹]</w:t>
      </w:r>
    </w:p>
    <w:p>
      <w:pPr>
        <w:pStyle w:val="BookText"/>
      </w:pPr>
      <w:r>
        <w:rPr>
          <w:rFonts w:ascii="IRNazanin" w:hAnsi="IRNazanin" w:eastAsia="IRNazanin" w:cs="IRNazanin"/>
          <w:lang w:bidi="fa-IR"/>
          <w:color w:val="111111"/>
          <w:sz w:val="28"/>
          <w:szCs w:val="28"/>
          <w:rtl/>
        </w:rPr>
        <w:t xml:space="preserve">۹۶. قم؛ فیضیه؛ شماره نسخه: ۴۹۵</w:t>
      </w:r>
    </w:p>
    <w:p>
      <w:pPr>
        <w:pStyle w:val="BookText"/>
      </w:pPr>
      <w:r>
        <w:rPr>
          <w:rFonts w:ascii="IRNazanin" w:hAnsi="IRNazanin" w:eastAsia="IRNazanin" w:cs="IRNazanin"/>
          <w:lang w:bidi="fa-IR"/>
          <w:color w:val="111111"/>
          <w:sz w:val="28"/>
          <w:szCs w:val="28"/>
          <w:rtl/>
        </w:rPr>
        <w:t xml:space="preserve">خط: نسخ، بی کا، تا: قرن ۱۱؛  مصحح، مقابله شده؛ ۳۴۰گ، ۲۳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۱ - ۹]  ۹۷ . قم؛ فیضیه؛ شماره نسخه: ۴۹۸</w:t>
      </w:r>
    </w:p>
    <w:p>
      <w:pPr>
        <w:pStyle w:val="BookText"/>
      </w:pPr>
      <w:r>
        <w:rPr>
          <w:rFonts w:ascii="IRNazanin" w:hAnsi="IRNazanin" w:eastAsia="IRNazanin" w:cs="IRNazanin"/>
          <w:lang w:bidi="fa-IR"/>
          <w:color w:val="111111"/>
          <w:sz w:val="28"/>
          <w:szCs w:val="28"/>
          <w:rtl/>
        </w:rPr>
        <w:t xml:space="preserve">جلد سوم؛  خط: نسخ، بی کا، تا: قرن  ۱۱، مقابله شده؛ ۲۴۵گ، ۱۹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۱ - ۱۰]</w:t>
      </w:r>
    </w:p>
    <w:p>
      <w:pPr>
        <w:pStyle w:val="BookText"/>
      </w:pPr>
      <w:r>
        <w:rPr>
          <w:rFonts w:ascii="IRNazanin" w:hAnsi="IRNazanin" w:eastAsia="IRNazanin" w:cs="IRNazanin"/>
          <w:lang w:bidi="fa-IR"/>
          <w:color w:val="111111"/>
          <w:sz w:val="28"/>
          <w:szCs w:val="28"/>
          <w:rtl/>
        </w:rPr>
        <w:t xml:space="preserve">۹۸ . قم؛ فیضیه؛ شماره نسخه: ۵۰۲</w:t>
      </w:r>
    </w:p>
    <w:p>
      <w:pPr>
        <w:pStyle w:val="BookText"/>
      </w:pPr>
      <w:r>
        <w:rPr>
          <w:rFonts w:ascii="IRNazanin" w:hAnsi="IRNazanin" w:eastAsia="IRNazanin" w:cs="IRNazanin"/>
          <w:lang w:bidi="fa-IR"/>
          <w:color w:val="111111"/>
          <w:sz w:val="28"/>
          <w:szCs w:val="28"/>
          <w:rtl/>
        </w:rPr>
        <w:t xml:space="preserve">جلد اول و دوم؛ خط: نسخ، بی کا، تا: قرن ۱۱؛ ۲۹۰گ، ۱۹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 سم [ف ۱ - ۱۰]</w:t>
      </w:r>
    </w:p>
    <w:p>
      <w:pPr>
        <w:pStyle w:val="BookText"/>
      </w:pPr>
      <w:r>
        <w:rPr>
          <w:rFonts w:ascii="IRNazanin" w:hAnsi="IRNazanin" w:eastAsia="IRNazanin" w:cs="IRNazanin"/>
          <w:lang w:bidi="fa-IR"/>
          <w:color w:val="111111"/>
          <w:sz w:val="28"/>
          <w:szCs w:val="28"/>
          <w:rtl/>
        </w:rPr>
        <w:t xml:space="preserve">۹۹. قم؛ مرکز احیاء؛ شماره نسخه: ۴۰۰۱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۱۱؛ مصحح، محشی، در برخی اوراق امضای بلاغ میرداماد؛ تملک: عبدالله بن محمد رضا بن باقر مازندرانی؛ جلد: تیماج  مشکی، ۴۰۳گ، ۲۱ سطر،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۲۶سم [محدث ارموی مخ: ۱ – ۱۲۲]</w:t>
      </w:r>
    </w:p>
    <w:p>
      <w:pPr>
        <w:pStyle w:val="BookText"/>
      </w:pPr>
      <w:r>
        <w:rPr>
          <w:rFonts w:ascii="IRNazanin" w:hAnsi="IRNazanin" w:eastAsia="IRNazanin" w:cs="IRNazanin"/>
          <w:lang w:bidi="fa-IR"/>
          <w:color w:val="111111"/>
          <w:sz w:val="28"/>
          <w:szCs w:val="28"/>
          <w:rtl/>
        </w:rPr>
        <w:t xml:space="preserve">۱۰۰ . قم؛ مرکز احیاء؛ شماره نسخه: ۳۵۷۱/۱</w:t>
      </w:r>
    </w:p>
    <w:p>
      <w:pPr>
        <w:pStyle w:val="BookText"/>
      </w:pPr>
      <w:r>
        <w:rPr>
          <w:rFonts w:ascii="Amiri" w:hAnsi="Amiri" w:eastAsia="Amiri" w:cs="Amiri"/>
          <w:lang w:bidi="ar-SA"/>
          <w:color w:val="111111"/>
          <w:sz w:val="28"/>
          <w:szCs w:val="28"/>
          <w:rtl/>
        </w:rPr>
        <w:t xml:space="preserve">انجام: أخبر أبو الحسين بن أبى جيد القمى عن محمد بن الحسن بن الوليد عن الحسين بن أبان عن الحسين بن ...</w:t>
      </w:r>
    </w:p>
    <w:p>
      <w:pPr>
        <w:pStyle w:val="BookText"/>
      </w:pPr>
      <w:r>
        <w:rPr>
          <w:rFonts w:ascii="IRNazanin" w:hAnsi="IRNazanin" w:eastAsia="IRNazanin" w:cs="IRNazanin"/>
          <w:lang w:bidi="fa-IR"/>
          <w:color w:val="111111"/>
          <w:sz w:val="28"/>
          <w:szCs w:val="28"/>
          <w:rtl/>
        </w:rPr>
        <w:t xml:space="preserve">از آغاز تا آغاز باب تلقى الأرض باليدين لمن اراد السجود؛ خط: نسخ، بی کا، تا: قرن ۱۱؛ مصحح، در برخی اوراق امضای بلاغ علامه مجلسی، محشی؛ ۹۴گ (۱پ -۹۳ر) ۲۷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۳۱ سم [محدث ارموی مخ: ۱ - ۱۲۲]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قم؛ مرکز احیاء؛ شماره نسخه: ۳۳۸۸</w:t>
      </w:r>
    </w:p>
    <w:p>
      <w:pPr>
        <w:pStyle w:val="BookText"/>
      </w:pPr>
      <w:r>
        <w:rPr>
          <w:rFonts w:ascii="Amiri" w:hAnsi="Amiri" w:eastAsia="Amiri" w:cs="Amiri"/>
          <w:lang w:bidi="ar-SA"/>
          <w:color w:val="111111"/>
          <w:sz w:val="28"/>
          <w:szCs w:val="28"/>
          <w:rtl/>
        </w:rPr>
        <w:t xml:space="preserve">آغاز: و ماء البرد و ماء المصنع و ماء القرب و كل ذلك اضافة مجاورة و فى ذلك اسقاط التعلق بالخبر ؛انجام: سألت اباعبدالله عليه السلام عن المختضب اذا تمكن من السجود و القراءة أيـضاً أيصلى في حنائه قال ...</w:t>
      </w:r>
    </w:p>
    <w:p>
      <w:pPr>
        <w:pStyle w:val="BookText"/>
      </w:pPr>
      <w:r>
        <w:rPr>
          <w:rFonts w:ascii="IRNazanin" w:hAnsi="IRNazanin" w:eastAsia="IRNazanin" w:cs="IRNazanin"/>
          <w:lang w:bidi="fa-IR"/>
          <w:color w:val="111111"/>
          <w:sz w:val="28"/>
          <w:szCs w:val="28"/>
          <w:rtl/>
        </w:rPr>
        <w:t xml:space="preserve">كتاب الطهارة و مقداری از کتاب الصلاة؛ خط: نسخ، بی کا،تا: قرن۱۱ یا ۱۲؛ افتادگی: آغاز و انجام؛ مصحح، دارای علامت  بلاغ محشی با نشان «س ل دام ظله»؛ جلد: تیماج مشكـی، ۱۱۱گ، ۲۳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۲۶سم [محدث ارموی مخ: ۱ - ۲۳  ]</w:t>
      </w:r>
    </w:p>
    <w:p>
      <w:pPr>
        <w:pStyle w:val="BookText"/>
      </w:pPr>
      <w:r>
        <w:rPr>
          <w:rFonts w:ascii="IRNazanin" w:hAnsi="IRNazanin" w:eastAsia="IRNazanin" w:cs="IRNazanin"/>
          <w:lang w:bidi="fa-IR"/>
          <w:color w:val="111111"/>
          <w:sz w:val="28"/>
          <w:szCs w:val="28"/>
          <w:rtl/>
        </w:rPr>
        <w:t xml:space="preserve">۱۰۲. تهران؛ حقوق؛ شماره نسخه: ۴۹ - ب</w:t>
      </w:r>
    </w:p>
    <w:p>
      <w:pPr>
        <w:pStyle w:val="BookText"/>
      </w:pPr>
      <w:r>
        <w:rPr>
          <w:rFonts w:ascii="IRNazanin" w:hAnsi="IRNazanin" w:eastAsia="IRNazanin" w:cs="IRNazanin"/>
          <w:lang w:bidi="fa-IR"/>
          <w:color w:val="111111"/>
          <w:sz w:val="28"/>
          <w:szCs w:val="28"/>
          <w:rtl/>
        </w:rPr>
        <w:t xml:space="preserve">با مشیخه؛ خط: نسخ و نستعلیق، بی کا، تا: قرن ۱۱ ؛کاغذ: سپاهانی ،جلد: تیماج سرخ درون قهوه ای زرکوب و مقوایی، ۷۳۱گ، 27 سطر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۲۴۲]</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تهران؛ حقوق؛ شماره نسخه:۱۱۰ - ب</w:t>
      </w:r>
    </w:p>
    <w:p>
      <w:pPr>
        <w:pStyle w:val="BookText"/>
      </w:pPr>
      <w:r>
        <w:rPr>
          <w:rFonts w:ascii="IRNazanin" w:hAnsi="IRNazanin" w:eastAsia="IRNazanin" w:cs="IRNazanin"/>
          <w:lang w:bidi="fa-IR"/>
          <w:color w:val="111111"/>
          <w:sz w:val="28"/>
          <w:szCs w:val="28"/>
          <w:rtl/>
        </w:rPr>
        <w:t xml:space="preserve">مشیخه را ندارد؛ خط: نسخ، بی کا، تا: قرن ۱۱؛ دو برگ پایان تازه است و حسن بن علی بن على يزدى كثنوی در رجب ۱۲۶۱آن را افزوده و می نویسد که از کتاب های وقفی آخوند ملا مقیمـای یزدی است؛ کاغذ: سپاهانی  نخودی، جلد: تیماج سرخ مقوایـی، ۵۱۵گ، ۲۰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۲۷سم [ف: ۲۴۳]</w:t>
      </w:r>
    </w:p>
    <w:p>
      <w:pPr>
        <w:pStyle w:val="BookText"/>
      </w:pPr>
      <w:r>
        <w:rPr>
          <w:rFonts w:ascii="Amiri" w:hAnsi="Amiri" w:eastAsia="Amiri" w:cs="Amiri"/>
          <w:lang w:bidi="ar-SA"/>
          <w:color w:val="111111"/>
          <w:sz w:val="28"/>
          <w:szCs w:val="28"/>
          <w:rtl/>
        </w:rPr>
        <w:t xml:space="preserve">۱۰۴. تهران؛ دائرة المعارف؛ شماره نسخه: ۴۱۶</w:t>
      </w:r>
    </w:p>
    <w:p>
      <w:pPr>
        <w:pStyle w:val="BookText"/>
      </w:pPr>
      <w:r>
        <w:rPr>
          <w:rFonts w:ascii="IRNazanin" w:hAnsi="IRNazanin" w:eastAsia="IRNazanin" w:cs="IRNazanin"/>
          <w:lang w:bidi="fa-IR"/>
          <w:color w:val="111111"/>
          <w:sz w:val="28"/>
          <w:szCs w:val="28"/>
          <w:rtl/>
        </w:rPr>
        <w:t xml:space="preserve">آغاز: برابر؛ انجام: ابوالحسین بن ابى جيد جميعا عن  ...</w:t>
      </w:r>
    </w:p>
    <w:p>
      <w:pPr>
        <w:pStyle w:val="BookText"/>
      </w:pPr>
      <w:r>
        <w:rPr>
          <w:rFonts w:ascii="IRNazanin" w:hAnsi="IRNazanin" w:eastAsia="IRNazanin" w:cs="IRNazanin"/>
          <w:lang w:bidi="fa-IR"/>
          <w:color w:val="111111"/>
          <w:sz w:val="28"/>
          <w:szCs w:val="28"/>
          <w:rtl/>
        </w:rPr>
        <w:t xml:space="preserve">خط: نسخ، بی  کا، تا: قرن ۱۱؛ مقابله  شده ،محشی با امضاهـای شیخ محمد، میرزا محمد؛ تملک: شیخ فضل الله نوری و نشان مهر بزرگ چهارگوش او ؛کاغذ: نخودی آهار مهره، جلد: تیماج قرمز، ۳۵۶گ، ۲۵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۳۱/۵سم [ف: ۱-۱۶]</w:t>
      </w:r>
    </w:p>
    <w:p>
      <w:pPr>
        <w:pStyle w:val="BookText"/>
      </w:pPr>
      <w:r>
        <w:rPr>
          <w:rFonts w:ascii="Amiri" w:hAnsi="Amiri" w:eastAsia="Amiri" w:cs="Amiri"/>
          <w:lang w:bidi="ar-SA"/>
          <w:color w:val="111111"/>
          <w:sz w:val="28"/>
          <w:szCs w:val="28"/>
          <w:rtl/>
        </w:rPr>
        <w:t xml:space="preserve">۱۰۵. تهران؛ دائرة المعارف؛ شماره نسخه: ۵۴۱</w:t>
      </w:r>
    </w:p>
    <w:p>
      <w:pPr>
        <w:pStyle w:val="BookText"/>
      </w:pPr>
      <w:r>
        <w:rPr>
          <w:rFonts w:ascii="Amiri" w:hAnsi="Amiri" w:eastAsia="Amiri" w:cs="Amiri"/>
          <w:lang w:bidi="ar-SA"/>
          <w:color w:val="111111"/>
          <w:sz w:val="28"/>
          <w:szCs w:val="28"/>
          <w:rtl/>
        </w:rPr>
        <w:t xml:space="preserve">آغاز: شروط فاذا كان خبر لا يعارضه خبر آخر ... كتاب الطهارة؛ انجام: ... و قد روى ذلك عن النبي (صلّی اللَّهِ علیه وَ آلِهِ وَ سَلَّمَ ). تم كتاب الاستبصار</w:t>
      </w:r>
    </w:p>
    <w:p>
      <w:pPr>
        <w:pStyle w:val="BookText"/>
      </w:pPr>
      <w:r>
        <w:rPr>
          <w:rFonts w:ascii="IRNazanin" w:hAnsi="IRNazanin" w:eastAsia="IRNazanin" w:cs="IRNazanin"/>
          <w:lang w:bidi="fa-IR"/>
          <w:color w:val="111111"/>
          <w:sz w:val="28"/>
          <w:szCs w:val="28"/>
          <w:rtl/>
        </w:rPr>
        <w:t xml:space="preserve">خط: نسخ  پخته، کا: ابن خواجه کلان خواجه محمد قاینی، شنبه ۲۸ شعبان قرن ۱۱؛ افتادگی: آغاز (چند سطری از دیباچه) ،محشی، مقابله شده؛ کاغذ: چند گونه ترمه  نخودی، جلد: مقوایی ته تیماج قهوه ای، ۳۳۲گ، ۲۴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اندازه: ۱۸/۵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۲۴/۵سم [ف: ۲ - ۱۴]</w:t>
      </w:r>
    </w:p>
    <w:p>
      <w:pPr>
        <w:pStyle w:val="BookText"/>
      </w:pPr>
      <w:r>
        <w:rPr>
          <w:rFonts w:ascii="IRNazanin" w:hAnsi="IRNazanin" w:eastAsia="IRNazanin" w:cs="IRNazanin"/>
          <w:lang w:bidi="fa-IR"/>
          <w:color w:val="111111"/>
          <w:sz w:val="28"/>
          <w:szCs w:val="28"/>
          <w:rtl/>
        </w:rPr>
        <w:t xml:space="preserve">۱۰۶ . قم؛ زنجانی ؛(آیة الله)؛ شماره نسخه: ۶۸</w:t>
      </w:r>
    </w:p>
    <w:p>
      <w:pPr>
        <w:pStyle w:val="BookText"/>
      </w:pPr>
      <w:r>
        <w:rPr>
          <w:rFonts w:ascii="IRNazanin" w:hAnsi="IRNazanin" w:eastAsia="IRNazanin" w:cs="IRNazanin"/>
          <w:lang w:bidi="fa-IR"/>
          <w:color w:val="111111"/>
          <w:sz w:val="28"/>
          <w:szCs w:val="28"/>
          <w:rtl/>
        </w:rPr>
        <w:t xml:space="preserve">خط: نستعلیق، بی کا، تا: قرن ۱۱؛ با حواشی از «ایضاح و دروس  وحبل المتين و تهذیب و نهایه «م هـ د» و «م ق ر» و جز آن»؛ تملک: محمد جعفر، اقل الخليفه سید حسین بن عبدالغنی، حسن بن عبدالغنی حسینی در ۱۱۵۲؛ مهر:«يا حبيب قلوب العارفين» مورخ ۱۳۲۳؛ ۳۷۵گ، قطع: رحلی [چند نسخه -ف: ۲۱۳]</w:t>
      </w:r>
    </w:p>
    <w:p>
      <w:pPr>
        <w:pStyle w:val="BookText"/>
      </w:pPr>
      <w:r>
        <w:rPr>
          <w:rFonts w:ascii="IRNazanin" w:hAnsi="IRNazanin" w:eastAsia="IRNazanin" w:cs="IRNazanin"/>
          <w:lang w:bidi="fa-IR"/>
          <w:color w:val="111111"/>
          <w:sz w:val="28"/>
          <w:szCs w:val="28"/>
          <w:rtl/>
        </w:rPr>
        <w:t xml:space="preserve">۱۰۷ . مشهد؛ مدرسه سلیمانیه؛ شماره نسخه: ۵۳</w:t>
      </w:r>
    </w:p>
    <w:p>
      <w:pPr>
        <w:pStyle w:val="BookText"/>
      </w:pPr>
      <w:r>
        <w:rPr>
          <w:rFonts w:ascii="IRNazanin" w:hAnsi="IRNazanin" w:eastAsia="IRNazanin" w:cs="IRNazanin"/>
          <w:lang w:bidi="fa-IR"/>
          <w:color w:val="111111"/>
          <w:sz w:val="28"/>
          <w:szCs w:val="28"/>
          <w:rtl/>
        </w:rPr>
        <w:t xml:space="preserve">از صلاة تا دیات؛ خط: نسخ، بی کا، تا: قرن ۱۱؛ افتادگی: انجام؛ مصحح؛ قطع: وزیری عریض [چهار کتابخانه مشهد-ف: - ۵]</w:t>
      </w:r>
    </w:p>
    <w:p>
      <w:pPr>
        <w:pStyle w:val="BookText"/>
      </w:pPr>
      <w:r>
        <w:rPr>
          <w:rFonts w:ascii="IRNazanin" w:hAnsi="IRNazanin" w:eastAsia="IRNazanin" w:cs="IRNazanin"/>
          <w:lang w:bidi="fa-IR"/>
          <w:color w:val="111111"/>
          <w:sz w:val="28"/>
          <w:szCs w:val="28"/>
          <w:rtl/>
        </w:rPr>
        <w:t xml:space="preserve">۱۰۸ . مشهد؛ مدرسه سلیمانیه؛ شماره نسخه: ۴۰/۲</w:t>
      </w:r>
    </w:p>
    <w:p>
      <w:pPr>
        <w:pStyle w:val="BookText"/>
      </w:pPr>
      <w:r>
        <w:rPr>
          <w:rFonts w:ascii="IRNazanin" w:hAnsi="IRNazanin" w:eastAsia="IRNazanin" w:cs="IRNazanin"/>
          <w:lang w:bidi="fa-IR"/>
          <w:color w:val="111111"/>
          <w:sz w:val="28"/>
          <w:szCs w:val="28"/>
          <w:rtl/>
        </w:rPr>
        <w:t xml:space="preserve">از آغاز مکاسب؛ خط: نسخ  خوش، بی کا، تا: قرن ۱۱؛ مصحح، مقابله شده، محشی لغوی؛ قطع: خشتی [چهار کتابخانه مشهد-ف:۱۷]</w:t>
      </w:r>
    </w:p>
    <w:p>
      <w:pPr>
        <w:pStyle w:val="BookText"/>
      </w:pPr>
      <w:r>
        <w:rPr>
          <w:rFonts w:ascii="IRNazanin" w:hAnsi="IRNazanin" w:eastAsia="IRNazanin" w:cs="IRNazanin"/>
          <w:lang w:bidi="fa-IR"/>
          <w:color w:val="111111"/>
          <w:sz w:val="28"/>
          <w:szCs w:val="28"/>
          <w:rtl/>
        </w:rPr>
        <w:t xml:space="preserve">۱۰۹. تهران؛ مجلس؛ شماره نسخه: ۱۲۵۸</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و ثلث، بی کا، تا: با تاریخ قرن ۱۱ق؛ مجدول، مذهب، با کتیبه  زرین، طبق یادداشت آخر نسخه بر میرزا رفیعای نائینی که از اعلام قرن ۱۱ق است قرائت شده ولی باز هم مشتمل بر اغلاط بسیار است؛ کاغذ: فرنگی خوب ،جلد: تیماج ضخیم ۱۱۵۵ص،</w:t>
      </w:r>
    </w:p>
    <w:p>
      <w:pPr>
        <w:pStyle w:val="BookText"/>
      </w:pPr>
      <w:r>
        <w:rPr>
          <w:rFonts w:ascii="IRNazanin" w:hAnsi="IRNazanin" w:eastAsia="IRNazanin" w:cs="IRNazanin"/>
          <w:lang w:bidi="fa-IR"/>
          <w:color w:val="111111"/>
          <w:sz w:val="28"/>
          <w:szCs w:val="28"/>
          <w:rtl/>
        </w:rPr>
        <w:t xml:space="preserve">۲۱ سطر، قطع: رحلی اندازه: ۲۰</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۲۳سم [ف: ۴ - ۳۷]</w:t>
      </w:r>
    </w:p>
    <w:p>
      <w:pPr>
        <w:pStyle w:val="BookText"/>
      </w:pPr>
      <w:r>
        <w:rPr>
          <w:rFonts w:ascii="IRNazanin" w:hAnsi="IRNazanin" w:eastAsia="IRNazanin" w:cs="IRNazanin"/>
          <w:lang w:bidi="fa-IR"/>
          <w:color w:val="111111"/>
          <w:sz w:val="28"/>
          <w:szCs w:val="28"/>
          <w:rtl/>
        </w:rPr>
        <w:t xml:space="preserve">۱۱۰. بیرجند؛ دیانی؛ شماره نسخه: ۳۰</w:t>
      </w:r>
    </w:p>
    <w:p>
      <w:pPr>
        <w:pStyle w:val="BookText"/>
      </w:pPr>
      <w:r>
        <w:rPr>
          <w:rFonts w:ascii="Amiri" w:hAnsi="Amiri" w:eastAsia="Amiri" w:cs="Amiri"/>
          <w:lang w:bidi="ar-SA"/>
          <w:color w:val="111111"/>
          <w:sz w:val="28"/>
          <w:szCs w:val="28"/>
          <w:rtl/>
        </w:rPr>
        <w:t xml:space="preserve">انجام: اذا لم يكن شهود فان رجع ترك ولم يرجم فاما رواه الحسين بن سعيد بن عن الحسن بن محبوب</w:t>
      </w:r>
    </w:p>
    <w:p>
      <w:pPr>
        <w:pStyle w:val="BookText"/>
      </w:pPr>
      <w:r>
        <w:rPr>
          <w:rFonts w:ascii="IRNazanin" w:hAnsi="IRNazanin" w:eastAsia="IRNazanin" w:cs="IRNazanin"/>
          <w:lang w:bidi="fa-IR"/>
          <w:color w:val="111111"/>
          <w:sz w:val="28"/>
          <w:szCs w:val="28"/>
          <w:rtl/>
        </w:rPr>
        <w:t xml:space="preserve">از آغاز کتاب الجهاد تا اواخر كتاب الحدود؛ خط: نسخ، بی کا، تا: قرن ۱۱؛ افتادگی: انجام؛ تملک: «محمد طاهر بن محمد كاظم نائینی منوچهری» به سال ۱۰۸۳ ،۲۱۹گ، ۲۰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۲۶/۵سم [ف: - ۲۹]</w:t>
      </w:r>
    </w:p>
    <w:p>
      <w:pPr>
        <w:pStyle w:val="BookText"/>
      </w:pPr>
      <w:r>
        <w:rPr>
          <w:rFonts w:ascii="IRNazanin" w:hAnsi="IRNazanin" w:eastAsia="IRNazanin" w:cs="IRNazanin"/>
          <w:lang w:bidi="fa-IR"/>
          <w:color w:val="111111"/>
          <w:sz w:val="28"/>
          <w:szCs w:val="28"/>
          <w:rtl/>
        </w:rPr>
        <w:t xml:space="preserve">۱۱۱. بیرجند؛ دیانی؛ شماره نسخه: ۱۲۲</w:t>
      </w:r>
    </w:p>
    <w:p>
      <w:pPr>
        <w:pStyle w:val="BookText"/>
      </w:pPr>
      <w:r>
        <w:rPr>
          <w:rFonts w:ascii="IRNazanin" w:hAnsi="IRNazanin" w:eastAsia="IRNazanin" w:cs="IRNazanin"/>
          <w:lang w:bidi="fa-IR"/>
          <w:color w:val="111111"/>
          <w:sz w:val="28"/>
          <w:szCs w:val="28"/>
          <w:rtl/>
        </w:rPr>
        <w:t xml:space="preserve">از کتاب الطهارة تا پایان کتاب الحج ؛خط: نسخ، بی کا، تا: قرن ۱۱؛ افتادگی: آغاز؛ از روی نسخه ای به خط حسین بن اردشیر اندراوذی به تاریخ محرم ۶۷۸ چنانکه در پایان کتاب الصلاة آمده ،مصحح در پایان اکثر  کتب ،بلاغی از ملک عزالدین بن  محمد اشرف تونی</w:t>
      </w:r>
    </w:p>
    <w:p>
      <w:pPr>
        <w:pStyle w:val="BookText"/>
      </w:pPr>
      <w:r>
        <w:rPr>
          <w:rFonts w:ascii="IRNazanin" w:hAnsi="IRNazanin" w:eastAsia="IRNazanin" w:cs="IRNazanin"/>
          <w:lang w:bidi="fa-IR"/>
          <w:color w:val="111111"/>
          <w:sz w:val="28"/>
          <w:szCs w:val="28"/>
          <w:rtl/>
        </w:rPr>
        <w:t xml:space="preserve">در ۸ رمضان ۱۰۳۴ (پایان کتابالصلاة) و 8 ذیقعده ۱۰۳۴ (پایان کتاب الحج) محشی؛ ۲۲۰گ، مختلف السطر،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۲۶/۵سم [ف: - ۹۳]</w:t>
      </w:r>
    </w:p>
    <w:p>
      <w:pPr>
        <w:pStyle w:val="BookText"/>
      </w:pPr>
      <w:r>
        <w:rPr>
          <w:rFonts w:ascii="IRNazanin" w:hAnsi="IRNazanin" w:eastAsia="IRNazanin" w:cs="IRNazanin"/>
          <w:lang w:bidi="fa-IR"/>
          <w:color w:val="111111"/>
          <w:sz w:val="28"/>
          <w:szCs w:val="28"/>
          <w:rtl/>
        </w:rPr>
        <w:t xml:space="preserve">۱۱۲. تهران؛ چهل ستون؛ شماره نسخه: ۴۷</w:t>
      </w:r>
    </w:p>
    <w:p>
      <w:pPr>
        <w:pStyle w:val="BookText"/>
      </w:pPr>
      <w:r>
        <w:rPr>
          <w:rFonts w:ascii="IRNazanin" w:hAnsi="IRNazanin" w:eastAsia="IRNazanin" w:cs="IRNazanin"/>
          <w:lang w:bidi="fa-IR"/>
          <w:color w:val="111111"/>
          <w:sz w:val="28"/>
          <w:szCs w:val="28"/>
          <w:rtl/>
        </w:rPr>
        <w:t xml:space="preserve">خط: نسخ، بی کا، تا: قرن ۱۱؛  مصحح به  نشان « س م د» و جزء [چند نسخه ف: ۳۱۲]</w:t>
      </w:r>
    </w:p>
    <w:p>
      <w:pPr>
        <w:pStyle w:val="BookText"/>
      </w:pPr>
      <w:r>
        <w:rPr>
          <w:rFonts w:ascii="IRNazanin" w:hAnsi="IRNazanin" w:eastAsia="IRNazanin" w:cs="IRNazanin"/>
          <w:lang w:bidi="fa-IR"/>
          <w:color w:val="111111"/>
          <w:sz w:val="28"/>
          <w:szCs w:val="28"/>
          <w:rtl/>
        </w:rPr>
        <w:t xml:space="preserve">۱۱۳. شیراز؛ شاهچراغ؛ شماره نسخه: ۲۴۱۹</w:t>
      </w:r>
    </w:p>
    <w:p>
      <w:pPr>
        <w:pStyle w:val="BookText"/>
      </w:pPr>
      <w:r>
        <w:rPr>
          <w:rFonts w:ascii="IRNazanin" w:hAnsi="IRNazanin" w:eastAsia="IRNazanin" w:cs="IRNazanin"/>
          <w:lang w:bidi="fa-IR"/>
          <w:color w:val="111111"/>
          <w:sz w:val="28"/>
          <w:szCs w:val="28"/>
          <w:rtl/>
        </w:rPr>
        <w:t xml:space="preserve">خط: نسخ، بی کا، تا قرن ۱۱؛ افتادگی: انجام؛ مصحح، محشی؛  واقف: حسن بن على بن نصار حسینی جزایری ۱۰۸۹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۲۸/۵سم [ف ۳ - ۷]</w:t>
      </w:r>
    </w:p>
    <w:p>
      <w:pPr>
        <w:pStyle w:val="BookText"/>
      </w:pPr>
      <w:r>
        <w:rPr>
          <w:rFonts w:ascii="IRNazanin" w:hAnsi="IRNazanin" w:eastAsia="IRNazanin" w:cs="IRNazanin"/>
          <w:lang w:bidi="fa-IR"/>
          <w:color w:val="111111"/>
          <w:sz w:val="28"/>
          <w:szCs w:val="28"/>
          <w:rtl/>
        </w:rPr>
        <w:t xml:space="preserve">۱۱۴. تهران؛ فرهاد معتمد؛ شماره نسخه: ۴۲خط</w:t>
      </w:r>
    </w:p>
    <w:p>
      <w:pPr>
        <w:pStyle w:val="BookText"/>
      </w:pPr>
      <w:r>
        <w:rPr>
          <w:rFonts w:ascii="IRNazanin" w:hAnsi="IRNazanin" w:eastAsia="IRNazanin" w:cs="IRNazanin"/>
          <w:lang w:bidi="fa-IR"/>
          <w:color w:val="111111"/>
          <w:sz w:val="28"/>
          <w:szCs w:val="28"/>
          <w:rtl/>
        </w:rPr>
        <w:t xml:space="preserve">خط:نسخ، كا: حسين بن حاجی ترشیزی، تا: قرن ۱۱ محشی؛  کاغذ ،سپاهانی، جلد: تیماج سبز  مقوایی، ۲۲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۲۴/۵سم [ نشریه: ۳ - ۱۴۸]</w:t>
      </w:r>
    </w:p>
    <w:p>
      <w:pPr>
        <w:pStyle w:val="BookText"/>
      </w:pPr>
      <w:r>
        <w:rPr>
          <w:rFonts w:ascii="IRNazanin" w:hAnsi="IRNazanin" w:eastAsia="IRNazanin" w:cs="IRNazanin"/>
          <w:lang w:bidi="fa-IR"/>
          <w:color w:val="111111"/>
          <w:sz w:val="28"/>
          <w:szCs w:val="28"/>
          <w:rtl/>
        </w:rPr>
        <w:t xml:space="preserve">۱۱۵ . زهان؛ مدرسه جعفریه زهان؛، شماره نسخه: ۹</w:t>
      </w:r>
    </w:p>
    <w:p>
      <w:pPr>
        <w:pStyle w:val="BookText"/>
      </w:pPr>
      <w:r>
        <w:rPr>
          <w:rFonts w:ascii="Amiri" w:hAnsi="Amiri" w:eastAsia="Amiri" w:cs="Amiri"/>
          <w:lang w:bidi="ar-SA"/>
          <w:color w:val="111111"/>
          <w:sz w:val="28"/>
          <w:szCs w:val="28"/>
          <w:rtl/>
        </w:rPr>
        <w:t xml:space="preserve">آغاز: عظيم النفع و جميل الذكر اذلم يسبق الى هذا المعنى احد من شيوخ اصحابنا المصنفين في الاخبار و الفقه</w:t>
      </w:r>
    </w:p>
    <w:p>
      <w:pPr>
        <w:pStyle w:val="BookText"/>
      </w:pPr>
      <w:r>
        <w:rPr>
          <w:rFonts w:ascii="IRNazanin" w:hAnsi="IRNazanin" w:eastAsia="IRNazanin" w:cs="IRNazanin"/>
          <w:lang w:bidi="fa-IR"/>
          <w:color w:val="111111"/>
          <w:sz w:val="28"/>
          <w:szCs w:val="28"/>
          <w:rtl/>
        </w:rPr>
        <w:t xml:space="preserve">خط: نسخ، بی کا، تا: قرن ۱۱؛ افتادگی: آغاز؛ مصحح، محشی؛ جلد: تیماج مشکی عطف تیماج قهوه ای، ۲۶۷گ، ۲۳ سطر،</w:t>
      </w:r>
    </w:p>
    <w:p>
      <w:pPr>
        <w:pStyle w:val="BookText"/>
      </w:pPr>
      <w:r>
        <w:rPr>
          <w:rFonts w:ascii="IRNazanin" w:hAnsi="IRNazanin" w:eastAsia="IRNazanin" w:cs="IRNazanin"/>
          <w:lang w:bidi="fa-IR"/>
          <w:color w:val="111111"/>
          <w:sz w:val="28"/>
          <w:szCs w:val="28"/>
          <w:rtl/>
        </w:rPr>
        <w:t xml:space="preserve">اندازه: ۱۶/۵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۲۴/۵سم [ف: ۱۳]</w:t>
      </w:r>
    </w:p>
    <w:p>
      <w:pPr>
        <w:pStyle w:val="BookText"/>
      </w:pPr>
      <w:r>
        <w:rPr>
          <w:rFonts w:ascii="IRNazanin" w:hAnsi="IRNazanin" w:eastAsia="IRNazanin" w:cs="IRNazanin"/>
          <w:lang w:bidi="fa-IR"/>
          <w:color w:val="111111"/>
          <w:sz w:val="28"/>
          <w:szCs w:val="28"/>
          <w:rtl/>
        </w:rPr>
        <w:t xml:space="preserve">۱۱۶ . یزد؛ سریزدی؛ شماره نسخه: ۱۴۱</w:t>
      </w:r>
    </w:p>
    <w:p>
      <w:pPr>
        <w:pStyle w:val="BookText"/>
      </w:pPr>
      <w:r>
        <w:rPr>
          <w:rFonts w:ascii="IRNazanin" w:hAnsi="IRNazanin" w:eastAsia="IRNazanin" w:cs="IRNazanin"/>
          <w:lang w:bidi="fa-IR"/>
          <w:color w:val="111111"/>
          <w:sz w:val="28"/>
          <w:szCs w:val="28"/>
          <w:rtl/>
        </w:rPr>
        <w:t xml:space="preserve">از آغاز کتاب الطهارة تا اواخر كتاب الحج؛ خط: نسخ، بی کا، تا: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۱۱؛ افتادگی: انجام؛ مصحح، در برگ اول چند یادداشت متفرقه و وقف نامه کتاب به سال ۱۳۷۷ آمده است؛ محشی؛ جـلد: تیماج  قرمز، ۲۹۲گ، ۲۱  سطر ،اندازه: ۱۹/۵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۱ - 120]</w:t>
      </w:r>
    </w:p>
    <w:p>
      <w:pPr>
        <w:pStyle w:val="BookText"/>
      </w:pPr>
      <w:r>
        <w:rPr>
          <w:rFonts w:ascii="IRNazanin" w:hAnsi="IRNazanin" w:eastAsia="IRNazanin" w:cs="IRNazanin"/>
          <w:lang w:bidi="fa-IR"/>
          <w:color w:val="111111"/>
          <w:sz w:val="28"/>
          <w:szCs w:val="28"/>
          <w:rtl/>
        </w:rPr>
        <w:t xml:space="preserve">۱۱۷. قم؛ مرعشی؛ شماره نسخه:۷۶۵۳</w:t>
      </w:r>
    </w:p>
    <w:p>
      <w:pPr>
        <w:pStyle w:val="BookText"/>
      </w:pPr>
      <w:r>
        <w:rPr>
          <w:rFonts w:ascii="IRNazanin" w:hAnsi="IRNazanin" w:eastAsia="IRNazanin" w:cs="IRNazanin"/>
          <w:lang w:bidi="fa-IR"/>
          <w:color w:val="111111"/>
          <w:sz w:val="28"/>
          <w:szCs w:val="28"/>
          <w:rtl/>
        </w:rPr>
        <w:t xml:space="preserve">خط: نسخ، بی کا، تا: از اوایل قرن ۱۱؛ افتادگی: آغاز و انجام؛ مصحح، محشی با نشانی های ،بلاغ برگ اول نونویس نسخه را محمد حسین بن حیدر علی شوشتری با نسخه ای که نزد استادانش خوانده، مقابله نموده و در غره ربیع الاول ۱۰۷۹ به پایان برده؛ جـلد: تیماج قهوه ای، عطف تیماج  مشکی، ۳۷۷گ، ۲۱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۲۶سم [ف: (۲۰ - ۵۱]</w:t>
      </w:r>
    </w:p>
    <w:p>
      <w:pPr>
        <w:pStyle w:val="BookText"/>
      </w:pPr>
      <w:r>
        <w:rPr>
          <w:rFonts w:ascii="IRNazanin" w:hAnsi="IRNazanin" w:eastAsia="IRNazanin" w:cs="IRNazanin"/>
          <w:lang w:bidi="fa-IR"/>
          <w:color w:val="111111"/>
          <w:sz w:val="28"/>
          <w:szCs w:val="28"/>
          <w:rtl/>
        </w:rPr>
        <w:t xml:space="preserve">۱۱۸ . اصفهان؛ مدرسه صدر بازار؛ شماره نسخه: ۵</w:t>
      </w:r>
    </w:p>
    <w:p>
      <w:pPr>
        <w:pStyle w:val="BookText"/>
      </w:pPr>
      <w:r>
        <w:rPr>
          <w:rFonts w:ascii="Amiri" w:hAnsi="Amiri" w:eastAsia="Amiri" w:cs="Amiri"/>
          <w:lang w:bidi="ar-SA"/>
          <w:color w:val="111111"/>
          <w:sz w:val="28"/>
          <w:szCs w:val="28"/>
          <w:rtl/>
        </w:rPr>
        <w:t xml:space="preserve">انجام: اذا لم يكن شهود فان رجع ترك و لم يرجم فاما  رواه الحسين بن سعيد بن عن الحسن بن محبوب</w:t>
      </w:r>
    </w:p>
    <w:p>
      <w:pPr>
        <w:pStyle w:val="BookText"/>
      </w:pPr>
      <w:r>
        <w:rPr>
          <w:rFonts w:ascii="IRNazanin" w:hAnsi="IRNazanin" w:eastAsia="IRNazanin" w:cs="IRNazanin"/>
          <w:lang w:bidi="fa-IR"/>
          <w:color w:val="111111"/>
          <w:sz w:val="28"/>
          <w:szCs w:val="28"/>
          <w:rtl/>
        </w:rPr>
        <w:t xml:space="preserve">از آغاز کتاب الطهاره تا اوایل کتاب الصوم؛ خط: نسخ، کا، محمد مومن بن حاجی محمد علی مازندرانی، تا: قرن11؛ افتادگی: انجام؛ مصحح، محشی، با حاشیه رساله مصباح الشریعه ناقصاً كتابت شده است؛ تملک: ابن حاج محمد ندوشنی با مهر بیضوی  ناخوان، علی تقی موسوی زنجانی با مهر مربع، محـمد صادق موسوی زنجانی با مهر «عبده محمد صادق بنعلی الموسوى» (مربع) ،تملکی به سال ۱۳۱۵ در نائین؛ جلد: مقوایی، عطف تيماج قهوه ای ۱۸۷گ ۲۰ سطر، اندازه: ۱۸/۵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  1- 14]</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قم؛ مؤسسه حضرت آیة الله بروجردی؛ شماره نسخه: ۶۰۹</w:t>
      </w:r>
    </w:p>
    <w:p>
      <w:pPr>
        <w:pStyle w:val="BookText"/>
      </w:pPr>
      <w:r>
        <w:rPr>
          <w:rFonts w:ascii="IRNazanin" w:hAnsi="IRNazanin" w:eastAsia="IRNazanin" w:cs="IRNazanin"/>
          <w:lang w:bidi="fa-IR"/>
          <w:color w:val="111111"/>
          <w:sz w:val="28"/>
          <w:szCs w:val="28"/>
          <w:rtl/>
        </w:rPr>
        <w:t xml:space="preserve">خط: نسخ، بی کا، تا: قرن  ۱۱؛ جزء اول پنج شنبه ۴ رمضان 1070؛ مصحح و تا «باب كراهية لحم الغرائب» نشان بلاغ  دارد، محشی؛ ۳۱۶گ، ۲۸  سطر،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۳۷/۵سم [ف: ۲ - ۳۸۱]</w:t>
      </w:r>
    </w:p>
    <w:p>
      <w:pPr>
        <w:pStyle w:val="BookText"/>
      </w:pPr>
      <w:r>
        <w:rPr>
          <w:rFonts w:ascii="IRNazanin" w:hAnsi="IRNazanin" w:eastAsia="IRNazanin" w:cs="IRNazanin"/>
          <w:lang w:bidi="fa-IR"/>
          <w:color w:val="111111"/>
          <w:sz w:val="28"/>
          <w:szCs w:val="28"/>
          <w:rtl/>
        </w:rPr>
        <w:t xml:space="preserve">۱۲۰. همدان؛ برنا  قاسم؛ شماره نسخه:۱</w:t>
      </w:r>
    </w:p>
    <w:p>
      <w:pPr>
        <w:pStyle w:val="BookText"/>
      </w:pPr>
      <w:r>
        <w:rPr>
          <w:rFonts w:ascii="IRNazanin" w:hAnsi="IRNazanin" w:eastAsia="IRNazanin" w:cs="IRNazanin"/>
          <w:lang w:bidi="fa-IR"/>
          <w:color w:val="111111"/>
          <w:sz w:val="28"/>
          <w:szCs w:val="28"/>
          <w:rtl/>
        </w:rPr>
        <w:t xml:space="preserve">خط: نسخ و نستعلیق، بی کا، تا: قرن  ۱۱، با تاریخ تولد 1201و تاریخ فروش ۱۸ جمادی الثانی ۱۲۵۵ [ نشریه: ۵ - ۳۸۰]</w:t>
      </w:r>
    </w:p>
    <w:p>
      <w:pPr>
        <w:pStyle w:val="BookText"/>
      </w:pPr>
      <w:r>
        <w:rPr>
          <w:rFonts w:ascii="IRNazanin" w:hAnsi="IRNazanin" w:eastAsia="IRNazanin" w:cs="IRNazanin"/>
          <w:lang w:bidi="fa-IR"/>
          <w:color w:val="111111"/>
          <w:sz w:val="28"/>
          <w:szCs w:val="28"/>
          <w:rtl/>
        </w:rPr>
        <w:t xml:space="preserve">۱۲۱. اراک؛ دهگان؛ شماره نسخه: ۱۰۹</w:t>
      </w:r>
    </w:p>
    <w:p>
      <w:pPr>
        <w:pStyle w:val="BookText"/>
      </w:pPr>
      <w:r>
        <w:rPr>
          <w:rFonts w:ascii="IRNazanin" w:hAnsi="IRNazanin" w:eastAsia="IRNazanin" w:cs="IRNazanin"/>
          <w:lang w:bidi="fa-IR"/>
          <w:color w:val="111111"/>
          <w:sz w:val="28"/>
          <w:szCs w:val="28"/>
          <w:rtl/>
        </w:rPr>
        <w:t xml:space="preserve">خط: نسخ، بی کا، تا: گویا قرن ۱۱؛ از کتب مرحوم ابراهیم دهگـان ؛ كاغذ: كاغذ  مختلف، جلد: تیماج عنابی دارای سه ترنج مجدول ضربی،  ۲۷۳گ، ۲۷ سطر، قطع: رحلی،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۳۲سم [ف:  1- 123]</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قم؛ موقوفه میرزا ابوطالب قمی؛ شماره نسخه: ۱۴</w:t>
      </w:r>
    </w:p>
    <w:p>
      <w:pPr>
        <w:pStyle w:val="BookText"/>
      </w:pPr>
      <w:r>
        <w:rPr>
          <w:rFonts w:ascii="Amiri" w:hAnsi="Amiri" w:eastAsia="Amiri" w:cs="Amiri"/>
          <w:lang w:bidi="ar-SA"/>
          <w:color w:val="111111"/>
          <w:sz w:val="28"/>
          <w:szCs w:val="28"/>
          <w:rtl/>
        </w:rPr>
        <w:t xml:space="preserve">انجام: باب انه لا يجوز الوصية باكثر من الثلث</w:t>
      </w:r>
    </w:p>
    <w:p>
      <w:pPr>
        <w:pStyle w:val="BookText"/>
      </w:pPr>
      <w:r>
        <w:rPr>
          <w:rFonts w:ascii="IRNazanin" w:hAnsi="IRNazanin" w:eastAsia="IRNazanin" w:cs="IRNazanin"/>
          <w:lang w:bidi="fa-IR"/>
          <w:color w:val="111111"/>
          <w:sz w:val="28"/>
          <w:szCs w:val="28"/>
          <w:rtl/>
        </w:rPr>
        <w:t xml:space="preserve">خط: نسخ، بی کا، تا: قرن ۱۱؛ افتادگی: انجام: مصحح، مجدول  به  زر و مشکی؛ تملک: میرزای قمی، محمد بن علی عسـکر گلپایگانی در ۱۱۷۵؛ جلد: تیماج قرمز ،ضربی، ۲۵۳گ، ۲۷ سـطر[جنگ ۱ - ۴۹۵]  ۱۲۳. قم؛ دار الحدیث؛ شماره نسخه: ۱۱۴</w:t>
      </w:r>
    </w:p>
    <w:p>
      <w:pPr>
        <w:pStyle w:val="BookText"/>
      </w:pPr>
      <w:r>
        <w:rPr>
          <w:rFonts w:ascii="IRNazanin" w:hAnsi="IRNazanin" w:eastAsia="IRNazanin" w:cs="IRNazanin"/>
          <w:lang w:bidi="fa-IR"/>
          <w:color w:val="111111"/>
          <w:sz w:val="28"/>
          <w:szCs w:val="28"/>
          <w:rtl/>
        </w:rPr>
        <w:t xml:space="preserve">آغاز: بسمله. كتاب الحج باب ماهية الاستطاعة و أنها شرط فی وجوب الحج أخبرنى الحسين بن عبيد الله عن عدة من أصحابنا</w:t>
      </w:r>
    </w:p>
    <w:p>
      <w:pPr>
        <w:pStyle w:val="BookText"/>
      </w:pPr>
      <w:r>
        <w:rPr>
          <w:rFonts w:ascii="Amiri" w:hAnsi="Amiri" w:eastAsia="Amiri" w:cs="Amiri"/>
          <w:lang w:bidi="ar-SA"/>
          <w:color w:val="111111"/>
          <w:sz w:val="28"/>
          <w:szCs w:val="28"/>
          <w:rtl/>
        </w:rPr>
        <w:t xml:space="preserve">انجام: و يمكن أن يحمل هذه الروايات على ضرب من التقية لان ذلك مذهب كثير من العامة و قد روى عن النبي صلى الله عليه و آله الطاهرين تم</w:t>
      </w:r>
    </w:p>
    <w:p>
      <w:pPr>
        <w:pStyle w:val="BookText"/>
      </w:pPr>
      <w:r>
        <w:rPr>
          <w:rFonts w:ascii="IRNazanin" w:hAnsi="IRNazanin" w:eastAsia="IRNazanin" w:cs="IRNazanin"/>
          <w:lang w:bidi="fa-IR"/>
          <w:color w:val="111111"/>
          <w:sz w:val="28"/>
          <w:szCs w:val="28"/>
          <w:rtl/>
        </w:rPr>
        <w:t xml:space="preserve">از اول کتاب الحج تا آخر کتاب دیات؛ خط: نسخ، بی کا، تا: قرن  11؛مصحح، دارای علامت  بلاغ، محشی به امضای «نهایه، ق و ...»؛ جلد: تیماج عنابی دورو ضربی با ترنج و سرترنج مجدول، ۳۸۲گ ۲۴ ،سطر، اندازه ۲۶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۲۵]</w:t>
      </w:r>
    </w:p>
    <w:p>
      <w:pPr>
        <w:pStyle w:val="BookText"/>
      </w:pPr>
      <w:r>
        <w:rPr>
          <w:rFonts w:ascii="IRNazanin" w:hAnsi="IRNazanin" w:eastAsia="IRNazanin" w:cs="IRNazanin"/>
          <w:lang w:bidi="fa-IR"/>
          <w:color w:val="111111"/>
          <w:sz w:val="28"/>
          <w:szCs w:val="28"/>
          <w:rtl/>
        </w:rPr>
        <w:t xml:space="preserve">۱۲۴. اصفهان؛ عمومی اصفهان (فرهنگ سابق)؛ شماره نسخه: ۵۰۹۸</w:t>
      </w:r>
    </w:p>
    <w:p>
      <w:pPr>
        <w:pStyle w:val="BookText"/>
      </w:pPr>
      <w:r>
        <w:rPr>
          <w:rFonts w:ascii="IRNazanin" w:hAnsi="IRNazanin" w:eastAsia="IRNazanin" w:cs="IRNazanin"/>
          <w:lang w:bidi="fa-IR"/>
          <w:color w:val="111111"/>
          <w:sz w:val="28"/>
          <w:szCs w:val="28"/>
          <w:rtl/>
        </w:rPr>
        <w:t xml:space="preserve">خط: نسخ، بی کا، تا: قرن ۱۱؛ کاغذ ،اصفهانی، جلد: چرمی آلبالویی، ۴۱۰ص، ۳۰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۳۸سم [ف: ۱ - ۱۷۹]</w:t>
      </w:r>
    </w:p>
    <w:p>
      <w:pPr>
        <w:pStyle w:val="BookText"/>
      </w:pPr>
      <w:r>
        <w:rPr>
          <w:rFonts w:ascii="IRNazanin" w:hAnsi="IRNazanin" w:eastAsia="IRNazanin" w:cs="IRNazanin"/>
          <w:lang w:bidi="fa-IR"/>
          <w:color w:val="111111"/>
          <w:sz w:val="28"/>
          <w:szCs w:val="28"/>
          <w:rtl/>
        </w:rPr>
        <w:t xml:space="preserve">۱۲۵. قم؛ مرعشی؛ شماره نسخه: ۱۳۵۹۲</w:t>
      </w:r>
    </w:p>
    <w:p>
      <w:pPr>
        <w:pStyle w:val="BookText"/>
      </w:pPr>
      <w:r>
        <w:rPr>
          <w:rFonts w:ascii="Amiri" w:hAnsi="Amiri" w:eastAsia="Amiri" w:cs="Amiri"/>
          <w:lang w:bidi="ar-SA"/>
          <w:color w:val="111111"/>
          <w:sz w:val="28"/>
          <w:szCs w:val="28"/>
          <w:rtl/>
        </w:rPr>
        <w:t xml:space="preserve">آغاز: برابر؛ انجام: و الوجه فى هذين الخبرين ضرب من التقية لانهماموافقان لمذاهب العامة</w:t>
      </w:r>
    </w:p>
    <w:p>
      <w:pPr>
        <w:pStyle w:val="BookText"/>
      </w:pPr>
      <w:r>
        <w:rPr>
          <w:rFonts w:ascii="IRNazanin" w:hAnsi="IRNazanin" w:eastAsia="IRNazanin" w:cs="IRNazanin"/>
          <w:lang w:bidi="fa-IR"/>
          <w:color w:val="111111"/>
          <w:sz w:val="28"/>
          <w:szCs w:val="28"/>
          <w:rtl/>
        </w:rPr>
        <w:t xml:space="preserve">جلد اول؛ خط: نسخ، کا: مرتضی بن شاه مرتضى اول إبن شاه محمود کاشانی (بخش دوم) تا اوایل قرن ۱۱؛ از برگ ۹۷ تا پایان و چند برگ دیگر و نیز تمامی حواشی نسخه به خط مرتضی بن شاه مرتضی کاشانی برادر کوچک فیض کاشانی است، محشی با نشان «کرمانی، میرزا  محمد، ق» و غیر آن، مصحح؛ مهر: «... كمال الدين ...» (مستطیل) واقف: عبدالرحيم بن ملا قاسمعلی طهرانی، ۱۲۳۱؛ کاغذ: شرقی، جلد: تیماج مشکی ضربی، با ترنج و سرترنج، ۱۷۷گ، 20-۲۳ سطر ،(8</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24- 429]</w:t>
      </w:r>
    </w:p>
    <w:p>
      <w:pPr>
        <w:pStyle w:val="BookText"/>
      </w:pPr>
      <w:r>
        <w:rPr>
          <w:rFonts w:ascii="IRNazanin" w:hAnsi="IRNazanin" w:eastAsia="IRNazanin" w:cs="IRNazanin"/>
          <w:lang w:bidi="fa-IR"/>
          <w:color w:val="111111"/>
          <w:sz w:val="28"/>
          <w:szCs w:val="28"/>
          <w:rtl/>
        </w:rPr>
        <w:t xml:space="preserve">۱۲۶. اصفهان؛ عمومی اصفهان (فرهنگ سابق)؛ شماره نسخه: ۵۲۰۵</w:t>
      </w:r>
    </w:p>
    <w:p>
      <w:pPr>
        <w:pStyle w:val="BookText"/>
      </w:pPr>
      <w:r>
        <w:rPr>
          <w:rFonts w:ascii="IRNazanin" w:hAnsi="IRNazanin" w:eastAsia="IRNazanin" w:cs="IRNazanin"/>
          <w:lang w:bidi="fa-IR"/>
          <w:color w:val="111111"/>
          <w:sz w:val="28"/>
          <w:szCs w:val="28"/>
          <w:rtl/>
        </w:rPr>
        <w:t xml:space="preserve">خط: نسخ، بی کا، تا: قرن ۱۱ ؛کاغذ: اصفهانی سفید، جلد: ساغری کوبیده  قرمز، ۹۶۰ ص، ۲۳ سطر (9</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۳۰سم [ف: 1- 179]</w:t>
      </w:r>
    </w:p>
    <w:p>
      <w:pPr>
        <w:pStyle w:val="BookText"/>
      </w:pPr>
      <w:r>
        <w:rPr>
          <w:rFonts w:ascii="IRNazanin" w:hAnsi="IRNazanin" w:eastAsia="IRNazanin" w:cs="IRNazanin"/>
          <w:lang w:bidi="fa-IR"/>
          <w:color w:val="111111"/>
          <w:sz w:val="28"/>
          <w:szCs w:val="28"/>
          <w:rtl/>
        </w:rPr>
        <w:t xml:space="preserve">۱۲۷. اصفهان؛ عمومی اصفهان (فرهنگ سابق)؛ شماره نسخه: ۵۴۱۴</w:t>
      </w:r>
    </w:p>
    <w:p>
      <w:pPr>
        <w:pStyle w:val="BookText"/>
      </w:pPr>
      <w:r>
        <w:rPr>
          <w:rFonts w:ascii="IRNazanin" w:hAnsi="IRNazanin" w:eastAsia="IRNazanin" w:cs="IRNazanin"/>
          <w:lang w:bidi="fa-IR"/>
          <w:color w:val="111111"/>
          <w:sz w:val="28"/>
          <w:szCs w:val="28"/>
          <w:rtl/>
        </w:rPr>
        <w:t xml:space="preserve">جزء اول، كتاب الطهاره تا آخر حج و اول كتاب الجهاد؛ خط: نسخ، بی کا، تا: قرن ۱۱؛ کاغذ: اصفهانی، جلد: مقوایی، ۵۴۰ص، ۲۳ سطر ،(8</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۲۶سم [ف: ۱ - ۱۸۰]</w:t>
      </w:r>
    </w:p>
    <w:p>
      <w:pPr>
        <w:pStyle w:val="BookText"/>
      </w:pPr>
      <w:r>
        <w:rPr>
          <w:rFonts w:ascii="IRNazanin" w:hAnsi="IRNazanin" w:eastAsia="IRNazanin" w:cs="IRNazanin"/>
          <w:lang w:bidi="fa-IR"/>
          <w:color w:val="111111"/>
          <w:sz w:val="28"/>
          <w:szCs w:val="28"/>
          <w:rtl/>
        </w:rPr>
        <w:t xml:space="preserve">۱۲۸. تهران؛ مروی؛ شماره نسخه: ۱۸۹</w:t>
      </w:r>
    </w:p>
    <w:p>
      <w:pPr>
        <w:pStyle w:val="BookText"/>
      </w:pPr>
      <w:r>
        <w:rPr>
          <w:rFonts w:ascii="IRNazanin" w:hAnsi="IRNazanin" w:eastAsia="IRNazanin" w:cs="IRNazanin"/>
          <w:lang w:bidi="fa-IR"/>
          <w:color w:val="111111"/>
          <w:sz w:val="28"/>
          <w:szCs w:val="28"/>
          <w:rtl/>
        </w:rPr>
        <w:t xml:space="preserve">دوره؛ كا: عبدالله بن صالح بن عبدالله، تا: قرن ۱۱؛ در پایان جزء اول اجازه جعفر بن کمال الدین بحرانی به شیخ عبدالحسین بن المرحوم ... النجفی مورخ ۱۰۶۶ به خط او؛ قطع: رحلی [ف: ۶۶]</w:t>
      </w:r>
    </w:p>
    <w:p>
      <w:pPr>
        <w:pStyle w:val="BookText"/>
      </w:pPr>
      <w:r>
        <w:rPr>
          <w:rFonts w:ascii="IRNazanin" w:hAnsi="IRNazanin" w:eastAsia="IRNazanin" w:cs="IRNazanin"/>
          <w:lang w:bidi="fa-IR"/>
          <w:color w:val="111111"/>
          <w:sz w:val="28"/>
          <w:szCs w:val="28"/>
          <w:rtl/>
        </w:rPr>
        <w:t xml:space="preserve">۱۲۹. تهران؛ مروی؛ شماره نسخه: ۱۹۰</w:t>
      </w:r>
    </w:p>
    <w:p>
      <w:pPr>
        <w:pStyle w:val="BookText"/>
      </w:pPr>
      <w:r>
        <w:rPr>
          <w:rFonts w:ascii="IRNazanin" w:hAnsi="IRNazanin" w:eastAsia="IRNazanin" w:cs="IRNazanin"/>
          <w:lang w:bidi="fa-IR"/>
          <w:color w:val="111111"/>
          <w:sz w:val="28"/>
          <w:szCs w:val="28"/>
          <w:rtl/>
        </w:rPr>
        <w:t xml:space="preserve">جلد ۱ و ۲؛ بی کا، تا: قرن  ۱۱، با سرلوح زرین؛ قطع: رحلی [ف: ۶۶]</w:t>
      </w:r>
    </w:p>
    <w:p>
      <w:pPr>
        <w:pStyle w:val="BookText"/>
      </w:pPr>
      <w:r>
        <w:rPr>
          <w:rFonts w:ascii="IRNazanin" w:hAnsi="IRNazanin" w:eastAsia="IRNazanin" w:cs="IRNazanin"/>
          <w:lang w:bidi="fa-IR"/>
          <w:color w:val="111111"/>
          <w:sz w:val="28"/>
          <w:szCs w:val="28"/>
          <w:rtl/>
        </w:rPr>
        <w:t xml:space="preserve">۱۳۰. تهران؛ مروی؛ شماره نسخه: ۲۶۶</w:t>
      </w:r>
    </w:p>
    <w:p>
      <w:pPr>
        <w:pStyle w:val="BookText"/>
      </w:pPr>
      <w:r>
        <w:rPr>
          <w:rFonts w:ascii="IRNazanin" w:hAnsi="IRNazanin" w:eastAsia="IRNazanin" w:cs="IRNazanin"/>
          <w:lang w:bidi="fa-IR"/>
          <w:color w:val="111111"/>
          <w:sz w:val="28"/>
          <w:szCs w:val="28"/>
          <w:rtl/>
        </w:rPr>
        <w:t xml:space="preserve">دوره؛ بی کا، تا: قرن ۱۱؛ با سرلوح کوچک، در پایان جزء اول اجازه ای از محمد بن علی ... برای آخوند ملا محمد صادق شیرازی که این جزء را نزد او خوانده بود مورخ ۱۱۷۶؛ جلد: نفیس، قطع: رحلی [ف: ۶۷]</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IRNazanin" w:hAnsi="IRNazanin" w:eastAsia="IRNazanin" w:cs="IRNazanin"/>
          <w:lang w:bidi="fa-IR"/>
          <w:color w:val="111111"/>
          <w:sz w:val="28"/>
          <w:szCs w:val="28"/>
          <w:rtl/>
        </w:rPr>
        <w:t xml:space="preserve">اصفهان؛ مدرسه صدر خواجو؛ شماره نسخه: ۵۸</w:t>
      </w:r>
    </w:p>
    <w:p>
      <w:pPr>
        <w:pStyle w:val="BookText"/>
      </w:pPr>
      <w:r>
        <w:rPr>
          <w:rFonts w:ascii="IRNazanin" w:hAnsi="IRNazanin" w:eastAsia="IRNazanin" w:cs="IRNazanin"/>
          <w:lang w:bidi="fa-IR"/>
          <w:color w:val="111111"/>
          <w:sz w:val="28"/>
          <w:szCs w:val="28"/>
          <w:rtl/>
        </w:rPr>
        <w:t xml:space="preserve">از کتاب الدیون تا پایان کتاب ؛خط:نسخ، كا: محمد نصیر بن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استاد محمد اصفهانی، تا: قرن ۱۱؛ افتادگی: آغاز (چند سطری) مصحح، در برگ پایان امضای مقابله ای بدون نام، محشی؛ ۲۱۷گ، ۲۱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 ۵۰]</w:t>
      </w:r>
    </w:p>
    <w:p>
      <w:pPr>
        <w:pStyle w:val="BookText"/>
      </w:pPr>
      <w:r>
        <w:rPr>
          <w:rFonts w:ascii="IRNazanin" w:hAnsi="IRNazanin" w:eastAsia="IRNazanin" w:cs="IRNazanin"/>
          <w:lang w:bidi="fa-IR"/>
          <w:color w:val="111111"/>
          <w:sz w:val="28"/>
          <w:szCs w:val="28"/>
          <w:rtl/>
        </w:rPr>
        <w:t xml:space="preserve">۱۳۲. ساری؛ عمومی؛ شماره نسخه ۴۳</w:t>
      </w:r>
    </w:p>
    <w:p>
      <w:pPr>
        <w:pStyle w:val="BookText"/>
      </w:pPr>
      <w:r>
        <w:rPr>
          <w:rFonts w:ascii="Amiri" w:hAnsi="Amiri" w:eastAsia="Amiri" w:cs="Amiri"/>
          <w:lang w:bidi="ar-SA"/>
          <w:color w:val="111111"/>
          <w:sz w:val="28"/>
          <w:szCs w:val="28"/>
          <w:rtl/>
        </w:rPr>
        <w:t xml:space="preserve">آغاز: برابر؛ انجام: و قد روى ذلك عن النبي صلى الله عليه وآله سلم .</w:t>
      </w:r>
    </w:p>
    <w:p>
      <w:pPr>
        <w:pStyle w:val="BookText"/>
      </w:pPr>
      <w:r>
        <w:rPr>
          <w:rFonts w:ascii="IRNazanin" w:hAnsi="IRNazanin" w:eastAsia="IRNazanin" w:cs="IRNazanin"/>
          <w:lang w:bidi="fa-IR"/>
          <w:color w:val="111111"/>
          <w:sz w:val="28"/>
          <w:szCs w:val="28"/>
          <w:rtl/>
        </w:rPr>
        <w:t xml:space="preserve">خط: نسخ  شیرین، بی کا، تا: قرن ۱۱؛ در پیشانی صفحه اول آمـده که بانو حاجیه خاله شاه دو دانگ از روستای شخصی خود را موسوم به روستای ملیک از توابع ساری وقف کرده یک دانگ آن بر عزاداری حضرت سید الشهدا (علیه السّلام) و دانگ دیگرش وقـف کتاب است، این وقف نامه مورخ ذیحجه ۱۲۵۲ق می باشد؛ مـهر: تیمور میرزا ملک آرای ساروی «المتوكل على الله عبده تيمور» (بیضی) ؛جلد: تیماج ،عنابی ۱۷ 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۳۰سم [ف - ۳۶]</w:t>
      </w:r>
    </w:p>
    <w:p>
      <w:pPr>
        <w:pStyle w:val="BookText"/>
      </w:pPr>
      <w:r>
        <w:rPr>
          <w:rFonts w:ascii="IRNazanin" w:hAnsi="IRNazanin" w:eastAsia="IRNazanin" w:cs="IRNazanin"/>
          <w:lang w:bidi="fa-IR"/>
          <w:color w:val="111111"/>
          <w:sz w:val="28"/>
          <w:szCs w:val="28"/>
          <w:rtl/>
        </w:rPr>
        <w:t xml:space="preserve">۱۳۳. قم؛ مرعشی؛ شماره نسخه: ۱۰۴۸۱</w:t>
      </w:r>
    </w:p>
    <w:p>
      <w:pPr>
        <w:pStyle w:val="BookText"/>
      </w:pPr>
      <w:r>
        <w:rPr>
          <w:rFonts w:ascii="IRNazanin" w:hAnsi="IRNazanin" w:eastAsia="IRNazanin" w:cs="IRNazanin"/>
          <w:lang w:bidi="fa-IR"/>
          <w:color w:val="111111"/>
          <w:sz w:val="28"/>
          <w:szCs w:val="28"/>
          <w:rtl/>
        </w:rPr>
        <w:t xml:space="preserve">خط: نسخ، کا: محمد  امین، تا: غره رجب ۱۰۰۵ق؛ مصحح، دارای نشان بلاغ، محشی بعضی از بهاءالدین محمد (نیشابوری) به خط خودش، در صفحه آخر تذکره ای محمد بن علی شوشتری برای بهاء الدین به تاریخ ۱۱۰۹ در مشهد مقدس ؛جلد: مقوایی عطف گوشه ها تیماج قهوه ای، ۴۲۴گ ۲۰ سطر، اندازه: ۱۷/۵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  سم [ف: ۲۶ - ۳۹۲]</w:t>
      </w:r>
    </w:p>
    <w:p>
      <w:pPr>
        <w:pStyle w:val="BookText"/>
      </w:pPr>
      <w:r>
        <w:rPr>
          <w:rFonts w:ascii="IRNazanin" w:hAnsi="IRNazanin" w:eastAsia="IRNazanin" w:cs="IRNazanin"/>
          <w:lang w:bidi="fa-IR"/>
          <w:color w:val="111111"/>
          <w:sz w:val="28"/>
          <w:szCs w:val="28"/>
          <w:rtl/>
        </w:rPr>
        <w:t xml:space="preserve">۱۳۴. قم؛ گلپایگانی؛ شماره نسخه: 4286- 6/ 22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،تحریری، کا: محمد بن حسین طالقانی، تا: ۱۵ رجـب ۱۰۰۶ق؛ با نسخه ملا احمد اردبیلی مقابله  شده، اجازه ای از شـیخ بهائی به ملا محمد صالح که در اواخر ربیع الثانی ۱۰۱۸ عطا نموده؛ جلد: تیماج قهوه ای سیر ،لولادار، ۳۹۱گ، ۲۸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۳۰سم [ف: ۱ - ۳۲۸]</w:t>
      </w:r>
    </w:p>
    <w:p>
      <w:pPr>
        <w:pStyle w:val="BookText"/>
      </w:pPr>
      <w:r>
        <w:rPr>
          <w:rFonts w:ascii="IRNazanin" w:hAnsi="IRNazanin" w:eastAsia="IRNazanin" w:cs="IRNazanin"/>
          <w:lang w:bidi="fa-IR"/>
          <w:color w:val="111111"/>
          <w:sz w:val="28"/>
          <w:szCs w:val="28"/>
          <w:rtl/>
        </w:rPr>
        <w:t xml:space="preserve">۱۳۵. تهران؛ دانشگاه؛ شماره نسخه: ۵۱۹۱</w:t>
      </w:r>
    </w:p>
    <w:p>
      <w:pPr>
        <w:pStyle w:val="BookText"/>
      </w:pPr>
      <w:r>
        <w:rPr>
          <w:rFonts w:ascii="IRNazanin" w:hAnsi="IRNazanin" w:eastAsia="IRNazanin" w:cs="IRNazanin"/>
          <w:lang w:bidi="fa-IR"/>
          <w:color w:val="111111"/>
          <w:sz w:val="28"/>
          <w:szCs w:val="28"/>
          <w:rtl/>
        </w:rPr>
        <w:t xml:space="preserve">آغاز در وضو افتاده و می رسد به پایان جزو نخستین تا پایان صلوة، خط: نسخ، کا: حیدر علی، تا: سه شنبه ۷ جمادی الاول ۱۰۰۷ق، جا: نجف؛ محشی با نشان «س م د، س م د دام ضـله، مدظله العالی، سلمه الله، دامت  افاداته» با اجازه محمد بن علی بن ابی الحسن حسینی به روایت از پدر خود در اواخر جمادی الاول ۱۰۰۷ گویا به نویسنده نسخه، کاغذ: سپاهانی ،جلد: تیماج  مقوایی، ۱۲۸گ، ۲۱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 قطع: رحلی، اندازه: 6۲۲/۵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۳۱/۵سم [ف: ۱۵ - ۴۱۴۲]</w:t>
      </w:r>
    </w:p>
    <w:p>
      <w:pPr>
        <w:pStyle w:val="BookText"/>
      </w:pPr>
      <w:r>
        <w:rPr>
          <w:rFonts w:ascii="IRNazanin" w:hAnsi="IRNazanin" w:eastAsia="IRNazanin" w:cs="IRNazanin"/>
          <w:lang w:bidi="fa-IR"/>
          <w:color w:val="111111"/>
          <w:sz w:val="28"/>
          <w:szCs w:val="28"/>
          <w:rtl/>
        </w:rPr>
        <w:t xml:space="preserve">۱۳۶ . مشهد؛ رضوی؛ شماره نسخه: ۱۳۰۵۱</w:t>
      </w:r>
    </w:p>
    <w:p>
      <w:pPr>
        <w:pStyle w:val="BookText"/>
      </w:pPr>
      <w:r>
        <w:rPr>
          <w:rFonts w:ascii="IRNazanin" w:hAnsi="IRNazanin" w:eastAsia="IRNazanin" w:cs="IRNazanin"/>
          <w:lang w:bidi="fa-IR"/>
          <w:color w:val="111111"/>
          <w:sz w:val="28"/>
          <w:szCs w:val="28"/>
          <w:rtl/>
        </w:rPr>
        <w:t xml:space="preserve">آغاز: نسخه ۱۳۰۵ باب حكم المياه؛ انجام: و عقیب صلواته و الحمد لله وحده ... وسلم كثيرا</w:t>
      </w:r>
    </w:p>
    <w:p>
      <w:pPr>
        <w:pStyle w:val="BookText"/>
      </w:pPr>
      <w:r>
        <w:rPr>
          <w:rFonts w:ascii="IRNazanin" w:hAnsi="IRNazanin" w:eastAsia="IRNazanin" w:cs="IRNazanin"/>
          <w:lang w:bidi="fa-IR"/>
          <w:color w:val="111111"/>
          <w:sz w:val="28"/>
          <w:szCs w:val="28"/>
          <w:rtl/>
        </w:rPr>
        <w:t xml:space="preserve">جلد ۱-۳؛ خط: نسخ و نستعلیق، کا: محمد باقر بن فخرالدین احمد موسوی استر آبادی، تا: اواخر شعبان  ۱۰۱۵ق، جا: مـکه مکرمه؛ افتادگی: آغاز (دو ورق) مذیل به اجازه روایت از محـمد  بن حسن بن زین الدین به کاتب، با نسخ متعدد مقابله شده که کاتب می نویسد: «بلغ قبالا و تصحيحاً مع عدة نسخ منها نسخة   الشيخ نعمة الله بن احمد بن خاتون رحمه الله التى صححها ونقلها من كتاب المكاسب الى هنا من نسخة بخط المصنف و عليها تصحیح بخط ابن ادريس رضى الله عنه ... في شهور السنة السادسة عشر بعد الالف الهجریه ...» و نیز می افزاید «بار دیگر از اول تا ده  ورق آخر با کتابی که استادم ابوابراهیم محمد بن علی بن ابراهیم استر آبادی آنرا به طور کامل تصحیح کرده بود مقابله نمودم و چون به نسخه استاد دست یافتم ده ورق باقیمانده را از روی آن تصحیح نمودم »محشی با نشان «م د سلمه الله، پشت ورق اول ج ۳ صورت خط شیخ نعمة الله مزبور اهدائی کاظم مدیر شانه چی در آبان ۱۳۶۲؛ کاغذ ،حنایی ،جلد: مقوا، عطف، تیماج مشكی،  ۲۹۱گ، ۲۶ - ۲۷ ،سطر، اندازه: ۱۸/۵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۳۱/۲سم [ف :۱۴ - ۶۳]</w:t>
      </w:r>
    </w:p>
    <w:p>
      <w:pPr>
        <w:pStyle w:val="BookText"/>
      </w:pPr>
      <w:r>
        <w:rPr>
          <w:rFonts w:ascii="IRNazanin" w:hAnsi="IRNazanin" w:eastAsia="IRNazanin" w:cs="IRNazanin"/>
          <w:lang w:bidi="fa-IR"/>
          <w:color w:val="111111"/>
          <w:sz w:val="28"/>
          <w:szCs w:val="28"/>
          <w:rtl/>
        </w:rPr>
        <w:t xml:space="preserve">۱۳۷. قم؛ مرعشی؛ شماره نسخه: ۷۲۷۷</w:t>
      </w:r>
    </w:p>
    <w:p>
      <w:pPr>
        <w:pStyle w:val="BookText"/>
      </w:pPr>
      <w:r>
        <w:rPr>
          <w:rFonts w:ascii="IRNazanin" w:hAnsi="IRNazanin" w:eastAsia="IRNazanin" w:cs="IRNazanin"/>
          <w:lang w:bidi="fa-IR"/>
          <w:color w:val="111111"/>
          <w:sz w:val="28"/>
          <w:szCs w:val="28"/>
          <w:rtl/>
        </w:rPr>
        <w:t xml:space="preserve">خط: نسخ،  کا: سید مراد بن محمد نبی قارنی قائنی، تا: دوشنبه ۹  رمضان ۱۰۱۶ق؛ مصحح، دارای علامت بلاغ، محشی، روی برگ اول چند یادداشت؛ تملک: محمد قاسم بن محمد سبزواری به تاریخ رجب ۱۱۳۲؛ جلد: دورو تیماج مشکی، ۲۶۴گ، ۲۹ سطر، اندازه: ۱۸/۵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۳۰/۵سم [ف: ۱۹ – ۶۴]</w:t>
      </w:r>
    </w:p>
    <w:p>
      <w:pPr>
        <w:pStyle w:val="BookText"/>
      </w:pPr>
      <w:r>
        <w:rPr>
          <w:rFonts w:ascii="IRNazanin" w:hAnsi="IRNazanin" w:eastAsia="IRNazanin" w:cs="IRNazanin"/>
          <w:lang w:bidi="fa-IR"/>
          <w:color w:val="111111"/>
          <w:sz w:val="28"/>
          <w:szCs w:val="28"/>
          <w:rtl/>
        </w:rPr>
        <w:t xml:space="preserve">۱۳۸. تهران؛ مجلس؛ شماره نسخه: ۱۱۵۲۴</w:t>
      </w:r>
    </w:p>
    <w:p>
      <w:pPr>
        <w:pStyle w:val="BookText"/>
      </w:pPr>
      <w:r>
        <w:rPr>
          <w:rFonts w:ascii="Amiri" w:hAnsi="Amiri" w:eastAsia="Amiri" w:cs="Amiri"/>
          <w:lang w:bidi="ar-SA"/>
          <w:color w:val="111111"/>
          <w:sz w:val="28"/>
          <w:szCs w:val="28"/>
          <w:rtl/>
        </w:rPr>
        <w:t xml:space="preserve">آغاز: برابر؛ انجام: و انتم تبلغكم عن الرجل منكم القبيح فلا ينكرون عليه و لا تهجرونه و لا تودونه (؟) بتركه تم.</w:t>
      </w:r>
    </w:p>
    <w:p>
      <w:pPr>
        <w:pStyle w:val="BookText"/>
      </w:pPr>
      <w:r>
        <w:rPr>
          <w:rFonts w:ascii="IRNazanin" w:hAnsi="IRNazanin" w:eastAsia="IRNazanin" w:cs="IRNazanin"/>
          <w:lang w:bidi="fa-IR"/>
          <w:color w:val="111111"/>
          <w:sz w:val="28"/>
          <w:szCs w:val="28"/>
          <w:rtl/>
        </w:rPr>
        <w:t xml:space="preserve">از ابتدا تا پایان کتاب جهاد و امر به معروف؛ خط: نسخ، کا: بدرالدین بن نورالدین بن محمد بن محفوظ سعدی کربلائی، تا: ربیع الثانی ۱۰۱۶ق؛ محشی، نشانی قرائت در پایان نسخه؛ تملک: بدرالدین بن نورالدین بن محمد بن شیخ محفوظ بن شیخ بدر السعدی کربلایی؛ جلد: مقوا با عطف و کنار تیماج قهوه ای، ۳۱۰گ ۲۱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۳۳/۲ - ۱۶۶]</w:t>
      </w:r>
    </w:p>
    <w:p>
      <w:pPr>
        <w:pStyle w:val="BookText"/>
      </w:pPr>
      <w:r>
        <w:rPr>
          <w:rFonts w:ascii="IRNazanin" w:hAnsi="IRNazanin" w:eastAsia="IRNazanin" w:cs="IRNazanin"/>
          <w:lang w:bidi="fa-IR"/>
          <w:color w:val="111111"/>
          <w:sz w:val="28"/>
          <w:szCs w:val="28"/>
          <w:rtl/>
        </w:rPr>
        <w:t xml:space="preserve">۱۳۹. مشهد؛ مدرسه سلیمانیه؛ شماره نسخه: ۳۹</w:t>
      </w:r>
    </w:p>
    <w:p>
      <w:pPr>
        <w:pStyle w:val="BookText"/>
      </w:pPr>
      <w:r>
        <w:rPr>
          <w:rFonts w:ascii="IRNazanin" w:hAnsi="IRNazanin" w:eastAsia="IRNazanin" w:cs="IRNazanin"/>
          <w:lang w:bidi="fa-IR"/>
          <w:color w:val="111111"/>
          <w:sz w:val="28"/>
          <w:szCs w:val="28"/>
          <w:rtl/>
        </w:rPr>
        <w:t xml:space="preserve">خط: نسخ، کا: خداداد بن رمضان شولستانی، تا: ۱۰۱۸ق؛ مصحح، مقابله شده، با نشان بلاغ در هامش، محشی با نشان«م د»؛ خشتی [چهار کتابخانه مشهد -ف: ۵]</w:t>
      </w:r>
    </w:p>
    <w:p>
      <w:pPr>
        <w:pStyle w:val="BookText"/>
      </w:pPr>
      <w:r>
        <w:rPr>
          <w:rFonts w:ascii="IRNazanin" w:hAnsi="IRNazanin" w:eastAsia="IRNazanin" w:cs="IRNazanin"/>
          <w:lang w:bidi="fa-IR"/>
          <w:color w:val="111111"/>
          <w:sz w:val="28"/>
          <w:szCs w:val="28"/>
          <w:rtl/>
        </w:rPr>
        <w:t xml:space="preserve">۱۴۰ . مشهد؛ رضوی؛ شماره نسخه: ۲۱۳۸۸</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کامل؛ خط: نسخ، کا: عبدالعظیم بن ابو البقاء مهدوی، تا: چهارشنبه صفر ۱۰۱۹ق؛ مصحح، مقابله شده، دارای بلاغ اهدایی رهبری، خرداد ۱۳۷۲ ؛کاغذ: نخودی آهارمهره، جلد: تیماج، رویه پارچه ،اخرا، ۳۹۳گ، ۲۳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۲۳سم [اهدائی رهبری: ۲ اخبار ۱ - ۹۱]</w:t>
      </w:r>
    </w:p>
    <w:p>
      <w:pPr>
        <w:pStyle w:val="BookText"/>
      </w:pPr>
      <w:r>
        <w:rPr>
          <w:rFonts w:ascii="IRNazanin" w:hAnsi="IRNazanin" w:eastAsia="IRNazanin" w:cs="IRNazanin"/>
          <w:lang w:bidi="fa-IR"/>
          <w:color w:val="111111"/>
          <w:sz w:val="28"/>
          <w:szCs w:val="28"/>
          <w:rtl/>
        </w:rPr>
        <w:t xml:space="preserve">۱۴۱. تهران؛ ملک؛ شماره نسخه: ۱۹۶۴</w:t>
      </w:r>
    </w:p>
    <w:p>
      <w:pPr>
        <w:pStyle w:val="BookText"/>
      </w:pPr>
      <w:r>
        <w:rPr>
          <w:rFonts w:ascii="IRNazanin" w:hAnsi="IRNazanin" w:eastAsia="IRNazanin" w:cs="IRNazanin"/>
          <w:lang w:bidi="fa-IR"/>
          <w:color w:val="111111"/>
          <w:sz w:val="28"/>
          <w:szCs w:val="28"/>
          <w:rtl/>
        </w:rPr>
        <w:t xml:space="preserve">خط: نستعلیق ،کا: حسین علی  سبزواری، تا: ذیحجه ۱۰۲۰ق؛ افتادگی: آغاز (یک برگ)؛ کاغذ: ترمه، جلد: میشن سیاه،  ۴۳۱گ، ۱۹ سطر، اندازه: ۱۹/۵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۲۵/۳سم [ف: ۱ - ۳۰]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۱۴۲. قم؛ مرکز احیاء؛ شماره نسخه: ۱۱۱۱</w:t>
      </w:r>
    </w:p>
    <w:p>
      <w:pPr>
        <w:pStyle w:val="BookText"/>
      </w:pPr>
      <w:r>
        <w:rPr>
          <w:rFonts w:ascii="IRNazanin" w:hAnsi="IRNazanin" w:eastAsia="IRNazanin" w:cs="IRNazanin"/>
          <w:lang w:bidi="fa-IR"/>
          <w:color w:val="111111"/>
          <w:sz w:val="28"/>
          <w:szCs w:val="28"/>
          <w:rtl/>
        </w:rPr>
        <w:t xml:space="preserve">خط: نستعلیق، کا: عبد الله بن حسین سمنانی، تا: جمعه ۱۶ رجـب ۱۰۲۰ق، جا: مدینه منوره؛ افتادگی: انجام؛ مصحح، محشی، دارای بلاغ در مدینه طیبه، در صفحه آخر نشان بلاغ مقابله به خط محـمد امین شریف (ظاهر ملا محمد امین استرآبادی) کاتب نسخه روز سه شنبه ۲۵ شعبان ۱۰۲۰ کار مقابله را در خدمت استادش به پایان برده است، روی برگ اول یادداشتی است به خط عبدالمـجید به تاریخ 17 محرم ۱۲۶۹؛ جلد: تیماج  مشکی، ۳۶۰گ، ۲۵ سطر، اندازه: ۲۰/۵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۳۰سم [ف ۳ - ۳۴۷]</w:t>
      </w:r>
    </w:p>
    <w:p>
      <w:pPr>
        <w:pStyle w:val="BookText"/>
      </w:pPr>
      <w:r>
        <w:rPr>
          <w:rFonts w:ascii="IRNazanin" w:hAnsi="IRNazanin" w:eastAsia="IRNazanin" w:cs="IRNazanin"/>
          <w:lang w:bidi="fa-IR"/>
          <w:color w:val="111111"/>
          <w:sz w:val="28"/>
          <w:szCs w:val="28"/>
          <w:rtl/>
        </w:rPr>
        <w:t xml:space="preserve">۱۴۳. تهران؛ الهیات؛ شماره نسخه: ۱۰۵</w:t>
      </w:r>
    </w:p>
    <w:p>
      <w:pPr>
        <w:pStyle w:val="BookText"/>
      </w:pPr>
      <w:r>
        <w:rPr>
          <w:rFonts w:ascii="IRNazanin" w:hAnsi="IRNazanin" w:eastAsia="IRNazanin" w:cs="IRNazanin"/>
          <w:lang w:bidi="fa-IR"/>
          <w:color w:val="111111"/>
          <w:sz w:val="28"/>
          <w:szCs w:val="28"/>
          <w:rtl/>
        </w:rPr>
        <w:t xml:space="preserve">خط: نسخ، كا: محمد حسین بن محمد شاہ بن سید صدرالدین ابن سید حسین حسینی شوشتری ،تا: سه شنبه ۲۰ جمادى الثـانی ۱۰۲۰ق؛ با سرلوح، مجدول، محشی با نشان «م ق ر مد ظله العالی،شیخ محمد ره، س م  دره، محمد بن مولانا ،لاچین» در پایان اجـازه و سماع به خط مجلسی برای محمد ملا لاچین؛ تملک: محمد بن ملا  لاچین، محمد رضا در ۱۲ رجب ۱۲۹۴؛ کاغذ ،سپاهانی، جـلد: تیماج سرخ زرکوب ،مقوایی ۳۸۷گ، ۲۳ سطر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 ، قـطع: رحلی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۲۷/۵سم [ف: ۴۵۳]</w:t>
      </w:r>
    </w:p>
    <w:p>
      <w:pPr>
        <w:pStyle w:val="BookText"/>
      </w:pPr>
      <w:r>
        <w:rPr>
          <w:rFonts w:ascii="IRNazanin" w:hAnsi="IRNazanin" w:eastAsia="IRNazanin" w:cs="IRNazanin"/>
          <w:lang w:bidi="fa-IR"/>
          <w:color w:val="111111"/>
          <w:sz w:val="28"/>
          <w:szCs w:val="28"/>
          <w:rtl/>
        </w:rPr>
        <w:t xml:space="preserve">۱۴۴. مشهد؛ رضوی؛ شماره نسخه: ۱۳۱۰۴</w:t>
      </w:r>
    </w:p>
    <w:p>
      <w:pPr>
        <w:pStyle w:val="BookText"/>
      </w:pPr>
      <w:r>
        <w:rPr>
          <w:rFonts w:ascii="Amiri" w:hAnsi="Amiri" w:eastAsia="Amiri" w:cs="Amiri"/>
          <w:lang w:bidi="ar-SA"/>
          <w:color w:val="111111"/>
          <w:sz w:val="28"/>
          <w:szCs w:val="28"/>
          <w:rtl/>
        </w:rPr>
        <w:t xml:space="preserve">آغاز: برابر؛ انجام: واحد عشر حديثنا ... صانها الله  عن نوائب الزمان</w:t>
      </w:r>
    </w:p>
    <w:p>
      <w:pPr>
        <w:pStyle w:val="BookText"/>
      </w:pPr>
      <w:r>
        <w:rPr>
          <w:rFonts w:ascii="IRNazanin" w:hAnsi="IRNazanin" w:eastAsia="IRNazanin" w:cs="IRNazanin"/>
          <w:lang w:bidi="fa-IR"/>
          <w:color w:val="111111"/>
          <w:sz w:val="28"/>
          <w:szCs w:val="28"/>
          <w:rtl/>
        </w:rPr>
        <w:t xml:space="preserve">جلد ۱-۳؛ خط: نسخ خفی، خوش، کا: محمد بن مظفر بن ابراهیم مشهور به تقی صوفی  قزوینی ،تا: یک شنبه۲۱ شعبان ۱۰۲۲ق،جا: کوش مغان؛ محشی؛ تملک: محمد تقی بن مظفر، محمد باقر درویشعلی؛ اهدائی کاظم مدیر شانه چی در آبان ۱۳۶۲؛ کاغذ: نخودی آهاری ،جلد: تیماج  عنابی، ۲۷۸گ، ۳۲ سطر، اندازه: ۱۸/۶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۱۴- ۶۱]</w:t>
      </w:r>
    </w:p>
    <w:p>
      <w:pPr>
        <w:pStyle w:val="BookText"/>
      </w:pPr>
      <w:r>
        <w:rPr>
          <w:rFonts w:ascii="IRNazanin" w:hAnsi="IRNazanin" w:eastAsia="IRNazanin" w:cs="IRNazanin"/>
          <w:lang w:bidi="fa-IR"/>
          <w:color w:val="111111"/>
          <w:sz w:val="28"/>
          <w:szCs w:val="28"/>
          <w:rtl/>
        </w:rPr>
        <w:t xml:space="preserve">۱۴۵. قم؛ مرعشی؛ شماره نسخه: ۴۶۲۷</w:t>
      </w:r>
    </w:p>
    <w:p>
      <w:pPr>
        <w:pStyle w:val="BookText"/>
      </w:pPr>
      <w:r>
        <w:rPr>
          <w:rFonts w:ascii="IRNazanin" w:hAnsi="IRNazanin" w:eastAsia="IRNazanin" w:cs="IRNazanin"/>
          <w:lang w:bidi="fa-IR"/>
          <w:color w:val="111111"/>
          <w:sz w:val="28"/>
          <w:szCs w:val="28"/>
          <w:rtl/>
        </w:rPr>
        <w:t xml:space="preserve">خط: نسخ، كا: عبد علی بن محمد بن حماد جلی، تا: یک شنبه 6 محرم ۱۰۲۲ق؛ مصحح، با علامت  بلاغ، در پایان کتاب طهارت و صلاة وحج انهاءهایی است که حسین بن كمال الدين الابزر الحسيني الحلی به جهت شیخ ابراهیم بن حاج على السكرى الحـلی به تاریخ های مختلف نوشته که اجازه آخر به تاریخ دوشنبه ذیقعده ۱۰۴۱ می باشد، همین ابزر در روی برگ اول می نویسد که شیخ ابراهیم به تاریخ چهارشنبه ۴ محرم همان سال خواندن کتاب را نزد وی شروع کرده است، پایان کتاب صلاة انهائی اسـت که ابوالحسن الشريف به جهت شیخ محمد على بن بشارة آل موحی به تاریخ آخر محرم ۱۱۲۶ نوشته است؛ تملک: حیدر  بن بشارة الجزائرى، يحيى بن ميرزا اسدالله امام جمعه خوئی به تاریخ جمادی الاولی ۱۳۰۶؛ جلد: تیماج  قرمز، ۲۰۶گ ۳۳ سـطر،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۳۰سم [ف : ۱۲ - ۱۸۹]</w:t>
      </w:r>
    </w:p>
    <w:p>
      <w:pPr>
        <w:pStyle w:val="BookText"/>
      </w:pPr>
      <w:r>
        <w:rPr>
          <w:rFonts w:ascii="IRNazanin" w:hAnsi="IRNazanin" w:eastAsia="IRNazanin" w:cs="IRNazanin"/>
          <w:lang w:bidi="fa-IR"/>
          <w:color w:val="111111"/>
          <w:sz w:val="28"/>
          <w:szCs w:val="28"/>
          <w:rtl/>
        </w:rPr>
        <w:t xml:space="preserve">۱۴۶. تهران؛ مجلس؛ شماره نسخه: ۷۲۰۳</w:t>
      </w:r>
    </w:p>
    <w:p>
      <w:pPr>
        <w:pStyle w:val="BookText"/>
      </w:pPr>
      <w:r>
        <w:rPr>
          <w:rFonts w:ascii="IRNazanin" w:hAnsi="IRNazanin" w:eastAsia="IRNazanin" w:cs="IRNazanin"/>
          <w:lang w:bidi="fa-IR"/>
          <w:color w:val="111111"/>
          <w:sz w:val="28"/>
          <w:szCs w:val="28"/>
          <w:rtl/>
        </w:rPr>
        <w:t xml:space="preserve">آغاز: برابر؛ انجام: و يمكن ان يحمل هذه الروايات على ضرب  من  التقية لان ذلك مذهب كثير من العامة و قد روی ذلك عن  النبی.</w:t>
      </w:r>
    </w:p>
    <w:p>
      <w:pPr>
        <w:pStyle w:val="BookText"/>
      </w:pPr>
      <w:r>
        <w:rPr>
          <w:rFonts w:ascii="IRNazanin" w:hAnsi="IRNazanin" w:eastAsia="IRNazanin" w:cs="IRNazanin"/>
          <w:lang w:bidi="fa-IR"/>
          <w:color w:val="111111"/>
          <w:sz w:val="28"/>
          <w:szCs w:val="28"/>
          <w:rtl/>
        </w:rPr>
        <w:t xml:space="preserve">خط: نسخ، کا: عبدالعلی بن محمد علی بن جمال بن عطاء الله بن فضل الله حلی، تا: آخر محرم ۱۰۲۳ق، جا: حله؛ مقابله شده به تاریخ ربیع الثانی ۱۰۷۷، در اول نسخه صیغه وقف از ملامحمد صالح مازندرانی که نسخه را با تولیت خود بر محصلین اثنا عشریه در شیراز به تاریخ جمادى الثانى ۱۰۷۷ وقف نموده و چند نفر بر آن شهادت داده اند که عبارتند از: علی بن عبدالکریم غروی جمادى الثانى ۱۰۷۷ با مهر مربع، عبدالله انصاری بن احمد شریف امامی با مهر مدور، تاج الدين حسن و حمزة بن شمس الدين نجفی؛ تملک: عبدالجواد جهرمی به تاریخ ۱۲۶۰ به مهر مربع؛ جلد: تیماج  زیتونی، پشت جلد اسلیمی ۲۶۹گ، ۳۱ سطر، اندازه:۱۹/۵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۲۹/۵سم [ف: ۲۵ - ۲۰۲]</w:t>
      </w:r>
    </w:p>
    <w:p>
      <w:pPr>
        <w:pStyle w:val="BookText"/>
      </w:pPr>
      <w:r>
        <w:rPr>
          <w:rFonts w:ascii="IRNazanin" w:hAnsi="IRNazanin" w:eastAsia="IRNazanin" w:cs="IRNazanin"/>
          <w:lang w:bidi="fa-IR"/>
          <w:color w:val="111111"/>
          <w:sz w:val="28"/>
          <w:szCs w:val="28"/>
          <w:rtl/>
        </w:rPr>
        <w:t xml:space="preserve">۱۴۷. قم؛ مرعشی؛ شماره نسخه: ۱۲۵۵۰</w:t>
      </w:r>
    </w:p>
    <w:p>
      <w:pPr>
        <w:pStyle w:val="BookText"/>
      </w:pPr>
      <w:r>
        <w:rPr>
          <w:rFonts w:ascii="Amiri" w:hAnsi="Amiri" w:eastAsia="Amiri" w:cs="Amiri"/>
          <w:lang w:bidi="ar-SA"/>
          <w:color w:val="111111"/>
          <w:sz w:val="28"/>
          <w:szCs w:val="28"/>
          <w:rtl/>
        </w:rPr>
        <w:t xml:space="preserve">آغاز: برابر؛ انجام: فكذلك فى مسجد الكوفة لأن أحداً لا يفرق بين الموضعين، تم الجزء الثاني من كتاب الاستبصار  ... و يتلوه إن شاء الله عزو جل الجزء الثالث كتاب الجهاد ... و الحمد لله رب  العالمين</w:t>
      </w:r>
    </w:p>
    <w:p>
      <w:pPr>
        <w:pStyle w:val="BookText"/>
      </w:pPr>
      <w:r>
        <w:rPr>
          <w:rFonts w:ascii="IRNazanin" w:hAnsi="IRNazanin" w:eastAsia="IRNazanin" w:cs="IRNazanin"/>
          <w:lang w:bidi="fa-IR"/>
          <w:color w:val="111111"/>
          <w:sz w:val="28"/>
          <w:szCs w:val="28"/>
          <w:rtl/>
        </w:rPr>
        <w:t xml:space="preserve">جلد اول و دوم؛ خط: نسخ، کا: جلال بن نورالدین احمد حسنی حسینی، تا: ۱۰۲۴ق، جا: شیراز خوانده شده بر علامه مولی محمد</w:t>
      </w:r>
    </w:p>
    <w:p>
      <w:pPr>
        <w:pStyle w:val="BookText"/>
      </w:pPr>
      <w:r>
        <w:rPr>
          <w:rFonts w:ascii="IRNazanin" w:hAnsi="IRNazanin" w:eastAsia="IRNazanin" w:cs="IRNazanin"/>
          <w:lang w:bidi="fa-IR"/>
          <w:color w:val="111111"/>
          <w:sz w:val="28"/>
          <w:szCs w:val="28"/>
          <w:rtl/>
        </w:rPr>
        <w:t xml:space="preserve">بن شاه محمد [شیرازی اصفهانی] از معاصران علامه مجلسی، در پایان جزء نخست کتاب اجازه ای از «محمد بن شاه محمد» به شاگردش «محمد تقی شیرازی» در سال ۱۱۱۱  ق، مصحح ، با عبارت «تم بلغ سماعاً أيده الله تعالى» مقابله گردیده، محشی از سوى على بن سليمان [بحرانی] و با نشان های «ق، فپ ح ک ، ۱۲، ،م، د، س و نیز کاتب» دارد همچنین از کتاب های «منتهی، نهایه و ...»، در آغاز دستخط مرحوم آیت الله  مرعشی نجفی درباره نسخه به تاریخ ۱۳۷۱ق؛ تملک: «حسن بن سید آقا حسینی اردبیلی» با مهر «المذنب حسن الحسينى ۱۰۹۹»؛ کاغذ: شرقی، جلد: پارچه ای [گالینگور] قرمز عطف و گوشه تیماج كرم عطف برجسته و به شیوه مصری، ۳۱۳گ، ۲۱ سطر (12/5</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۲۶سم  [ف: ۳۱ - ۶۱۷]</w:t>
      </w:r>
    </w:p>
    <w:p>
      <w:pPr>
        <w:pStyle w:val="BookText"/>
      </w:pPr>
      <w:r>
        <w:rPr>
          <w:rFonts w:ascii="IRNazanin" w:hAnsi="IRNazanin" w:eastAsia="IRNazanin" w:cs="IRNazanin"/>
          <w:lang w:bidi="fa-IR"/>
          <w:color w:val="111111"/>
          <w:sz w:val="28"/>
          <w:szCs w:val="28"/>
          <w:rtl/>
        </w:rPr>
        <w:t xml:space="preserve">۱۴۸. تهران؛ حقوق؛ شماره نسخه: ۱ - ج</w:t>
      </w:r>
    </w:p>
    <w:p>
      <w:pPr>
        <w:pStyle w:val="BookText"/>
      </w:pPr>
      <w:r>
        <w:rPr>
          <w:rFonts w:ascii="IRNazanin" w:hAnsi="IRNazanin" w:eastAsia="IRNazanin" w:cs="IRNazanin"/>
          <w:lang w:bidi="fa-IR"/>
          <w:color w:val="111111"/>
          <w:sz w:val="28"/>
          <w:szCs w:val="28"/>
          <w:rtl/>
        </w:rPr>
        <w:t xml:space="preserve">با مشیخه؛ خط: نسخ، کا: عبدالعلی بن محمد علی بن حماد حلی، ،تا: یکشنبه پایان جمادى الاول ۱۰۲۶ق، جا: حله؛ محشی به نشان «ک، م ق ر طاب ثراه، ع ى عفى الله عنه، طم در ه»، رجال آن از نسخه سید عبدالله بحرانی ذوالشهادتین شاگرد شیخ سلیمان بحرانی که در روز شنبه ۲۷ شعبان ۱۱۶۳ نوشته شده گرفته شده است، یادداشت ۱۷ جمادی الاول ۱۱۷۵ و اجازه حسین بن محمد تقی نوری طبرسی در طوس در ۲۶ جمادی الاول ۱۳۱۹ به سید اسمعیل بهبهانی در آغاز نسخه، کاغذ: سپاهانی نخودی، جلد: تیماج قهوه ای  مقوایی، ۳۰۰گ، ۲۷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 اندازه: ۱۸/۵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۲۶سم  [ف: ۲۴۳]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۱۴۹. تهران؛ مهدوی؛ شماره نسخه: ۷۸۰</w:t>
      </w:r>
    </w:p>
    <w:p>
      <w:pPr>
        <w:pStyle w:val="BookText"/>
      </w:pPr>
      <w:r>
        <w:rPr>
          <w:rFonts w:ascii="IRNazanin" w:hAnsi="IRNazanin" w:eastAsia="IRNazanin" w:cs="IRNazanin"/>
          <w:lang w:bidi="fa-IR"/>
          <w:color w:val="111111"/>
          <w:sz w:val="28"/>
          <w:szCs w:val="28"/>
          <w:rtl/>
        </w:rPr>
        <w:t xml:space="preserve">خط: نسخ، كا: كمال الدین حسین  طالقانی ،تا: دوشنبه ۲۰ ربیع الثانى ۱۰۲۷ق؛ حاشیه های میر محمد باقر داماد و آقا حسـین خوانساری دارد به خط آنها؛ تملک: ملا احمد مجتهد (جز مقدس اردبیلی در گذشته ۹۹۳) کاغذ: ترمه [نشریه ۲ - ۱۳۷]</w:t>
      </w:r>
    </w:p>
    <w:p>
      <w:pPr>
        <w:pStyle w:val="BookText"/>
      </w:pPr>
      <w:r>
        <w:rPr>
          <w:rFonts w:ascii="IRNazanin" w:hAnsi="IRNazanin" w:eastAsia="IRNazanin" w:cs="IRNazanin"/>
          <w:lang w:bidi="fa-IR"/>
          <w:color w:val="111111"/>
          <w:sz w:val="28"/>
          <w:szCs w:val="28"/>
          <w:rtl/>
        </w:rPr>
        <w:t xml:space="preserve">۱۵۰ . قم؛ مرعشی؛ شماره نسخه: ۴۰۴۲</w:t>
      </w:r>
    </w:p>
    <w:p>
      <w:pPr>
        <w:pStyle w:val="BookText"/>
      </w:pPr>
      <w:r>
        <w:rPr>
          <w:rFonts w:ascii="IRNazanin" w:hAnsi="IRNazanin" w:eastAsia="IRNazanin" w:cs="IRNazanin"/>
          <w:lang w:bidi="fa-IR"/>
          <w:color w:val="111111"/>
          <w:sz w:val="28"/>
          <w:szCs w:val="28"/>
          <w:rtl/>
        </w:rPr>
        <w:t xml:space="preserve">خط: نسخ، کا: عبدالعلی بن محمد علی بن حماد حلی، تا: 14شعبان ۱۰۲۸ق، جا: حله؛ افتادگی: آغاز و انجام؛ مصحح، با نشان  ،بلاغ در پایان جزء دوم بلاغی است که فرج الله به تاریخ شنبه نهم جمادى الثانى ۱۰۳۱ در کربلا  نوشته، همچنین در این صفـحه  انهائی است که فخرالدین بن محمد علی طریح نجفی (شـیخ  فخرالدین طریحی) برای سید محمود بن فتحی به تاریخ یک شنبه ۲۴ جمادی الاول ۱۰۵۹ نوشته؛ جلد: تیماج قهوه ای بدون مقـوا، ۲۳۶گ، ۳۱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۳۰سم [ف ۱۱ - ۴۳]</w:t>
      </w:r>
    </w:p>
    <w:p>
      <w:pPr>
        <w:pStyle w:val="BookText"/>
      </w:pPr>
      <w:r>
        <w:rPr>
          <w:rFonts w:ascii="IRNazanin" w:hAnsi="IRNazanin" w:eastAsia="IRNazanin" w:cs="IRNazanin"/>
          <w:lang w:bidi="fa-IR"/>
          <w:color w:val="111111"/>
          <w:sz w:val="28"/>
          <w:szCs w:val="28"/>
          <w:rtl/>
        </w:rPr>
        <w:t xml:space="preserve">۱۵۱ . قم؛ گلپایگانی؛ شماره نسخه: 5149- 29/ 26</w:t>
      </w:r>
    </w:p>
    <w:p>
      <w:pPr>
        <w:pStyle w:val="BookText"/>
      </w:pPr>
      <w:r>
        <w:rPr>
          <w:rFonts w:ascii="IRNazanin" w:hAnsi="IRNazanin" w:eastAsia="IRNazanin" w:cs="IRNazanin"/>
          <w:lang w:bidi="fa-IR"/>
          <w:color w:val="111111"/>
          <w:sz w:val="28"/>
          <w:szCs w:val="28"/>
          <w:rtl/>
        </w:rPr>
        <w:t xml:space="preserve">آغاز: برابر؛ انجام: يعنى لا يصوم الرجل يومين متواليين من غیر افطار وقد يستحب للعبد ان لايدع السحور</w:t>
      </w:r>
    </w:p>
    <w:p>
      <w:pPr>
        <w:pStyle w:val="BookText"/>
      </w:pPr>
      <w:r>
        <w:rPr>
          <w:rFonts w:ascii="IRNazanin" w:hAnsi="IRNazanin" w:eastAsia="IRNazanin" w:cs="IRNazanin"/>
          <w:lang w:bidi="fa-IR"/>
          <w:color w:val="111111"/>
          <w:sz w:val="28"/>
          <w:szCs w:val="28"/>
          <w:rtl/>
        </w:rPr>
        <w:t xml:space="preserve">طهارةه تا صوم؛ خط: نسخ، بی کا، تا: محرم 1029ق؛ جلد: گالینگور، ۳۱۳گ، ۱۵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۲۶سم [ف: ۱ - ۳۲۹]</w:t>
      </w:r>
    </w:p>
    <w:p>
      <w:pPr>
        <w:pStyle w:val="BookText"/>
      </w:pPr>
      <w:r>
        <w:rPr>
          <w:rFonts w:ascii="IRNazanin" w:hAnsi="IRNazanin" w:eastAsia="IRNazanin" w:cs="IRNazanin"/>
          <w:lang w:bidi="fa-IR"/>
          <w:color w:val="111111"/>
          <w:sz w:val="28"/>
          <w:szCs w:val="28"/>
          <w:rtl/>
        </w:rPr>
        <w:t xml:space="preserve">۱۵۲. یزد؛ سریزدی؛ شماره نسخه: ۱۹۷</w:t>
      </w:r>
    </w:p>
    <w:p>
      <w:pPr>
        <w:pStyle w:val="BookText"/>
      </w:pPr>
      <w:r>
        <w:rPr>
          <w:rFonts w:ascii="IRNazanin" w:hAnsi="IRNazanin" w:eastAsia="IRNazanin" w:cs="IRNazanin"/>
          <w:lang w:bidi="fa-IR"/>
          <w:color w:val="111111"/>
          <w:sz w:val="28"/>
          <w:szCs w:val="28"/>
          <w:rtl/>
        </w:rPr>
        <w:t xml:space="preserve">خط: نسخ، کا: عبدالعلی بن محمد علی بن حماد حلی، تا: دوشنبه  ۱ محرم ۱۰۳۱ق (پایان جزء اول) و جمعه اول ربیع الاول 1030ق (پایان کتاب جلد اول) حله ؛جلد: تيماج قهوه ای عطف تیماج قرمز، ۲۹۸گ، ۲۹ سطر، اندازه: ۲۰/۵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۳۱سم [ف: ۱ - ۱۶۲]</w:t>
      </w:r>
    </w:p>
    <w:p>
      <w:pPr>
        <w:pStyle w:val="BookText"/>
      </w:pPr>
      <w:r>
        <w:rPr>
          <w:rFonts w:ascii="IRNazanin" w:hAnsi="IRNazanin" w:eastAsia="IRNazanin" w:cs="IRNazanin"/>
          <w:lang w:bidi="fa-IR"/>
          <w:color w:val="111111"/>
          <w:sz w:val="28"/>
          <w:szCs w:val="28"/>
          <w:rtl/>
        </w:rPr>
        <w:t xml:space="preserve">۱۵۳. تهران؛ الهیات؛ شماره نسخه: ۵۷</w:t>
      </w:r>
    </w:p>
    <w:p>
      <w:pPr>
        <w:pStyle w:val="BookText"/>
      </w:pPr>
      <w:r>
        <w:rPr>
          <w:rFonts w:ascii="IRNazanin" w:hAnsi="IRNazanin" w:eastAsia="IRNazanin" w:cs="IRNazanin"/>
          <w:lang w:bidi="fa-IR"/>
          <w:color w:val="111111"/>
          <w:sz w:val="28"/>
          <w:szCs w:val="28"/>
          <w:rtl/>
        </w:rPr>
        <w:t xml:space="preserve">کامل؛ خط: نسخ، کا: قطب الدین محمد حسینی کلبادی، تا: ۱۰۳۲ق؛ محشى با نشان «كفاية الاحكام، منتقى الجمان، م ق ر، اطال الله، شیخ محمد رحمه الله، م ح ق، دام ظله العالی، در رحمه الله»؛ کاغذ: اصفهانی ،جلد: تیماج سرخ ضربی  مقوایی، ۲۱ سـطر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 [ف: ۷۴۸]</w:t>
      </w:r>
    </w:p>
    <w:p>
      <w:pPr>
        <w:pStyle w:val="BookText"/>
      </w:pPr>
      <w:r>
        <w:rPr>
          <w:rFonts w:ascii="IRNazanin" w:hAnsi="IRNazanin" w:eastAsia="IRNazanin" w:cs="IRNazanin"/>
          <w:lang w:bidi="fa-IR"/>
          <w:color w:val="111111"/>
          <w:sz w:val="28"/>
          <w:szCs w:val="28"/>
          <w:rtl/>
        </w:rPr>
        <w:t xml:space="preserve">۱۵۴. بیرجند؛ دیانی؛ شماره نسخه:۳۴</w:t>
      </w:r>
    </w:p>
    <w:p>
      <w:pPr>
        <w:pStyle w:val="BookText"/>
      </w:pPr>
      <w:r>
        <w:rPr>
          <w:rFonts w:ascii="IRNazanin" w:hAnsi="IRNazanin" w:eastAsia="IRNazanin" w:cs="IRNazanin"/>
          <w:lang w:bidi="fa-IR"/>
          <w:color w:val="111111"/>
          <w:sz w:val="28"/>
          <w:szCs w:val="28"/>
          <w:rtl/>
        </w:rPr>
        <w:t xml:space="preserve">آغاز: الاول قلت المرأة ترى الطهر قبل غروب الشمس کیف تصنع بالصلاة؛ انجام: قال اضربه قال قلت فان اخذه ثالثه قال يقـتل كما يقتل شارب الخمر قلت</w:t>
      </w:r>
    </w:p>
    <w:p>
      <w:pPr>
        <w:pStyle w:val="BookText"/>
      </w:pPr>
      <w:r>
        <w:rPr>
          <w:rFonts w:ascii="IRNazanin" w:hAnsi="IRNazanin" w:eastAsia="IRNazanin" w:cs="IRNazanin"/>
          <w:lang w:bidi="fa-IR"/>
          <w:color w:val="111111"/>
          <w:sz w:val="28"/>
          <w:szCs w:val="28"/>
          <w:rtl/>
        </w:rPr>
        <w:t xml:space="preserve">از مباحث حيض كتاب الطهارة تا مباحث ميراث؛ خط:نسخ،کا: محمد حسن بن محمد فتونی نباطی  عاملی، تا: ۱۵ شوال ۱۰۳۴ ؛جا: اصفهان؛ افتادگی: آغاز و انجام ،مصحح، در پایان کتـاب الصلاة دو امضای بلاغ بدون نام به تاریخ شوال ۱۰۵۸ و بار دوم در رمضان ۱۰۵۹ در تفرش  آمده، در برخی صفحات امضای بـلاغ میرداماد، در پایان جزء دوم بلاغی از جمال الدين مصطفى حسینی  (صاحب نقد الرجال) در ذیحجه ۱۰۵۸ در تفرش آمده؛ ۳۷۸گ، ۲۳ سطر، اندازه: ۱۹/۵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۲۶سم [ف: - ۳۱]</w:t>
      </w:r>
    </w:p>
    <w:p>
      <w:pPr>
        <w:pStyle w:val="BookText"/>
      </w:pPr>
      <w:r>
        <w:rPr>
          <w:rFonts w:ascii="IRNazanin" w:hAnsi="IRNazanin" w:eastAsia="IRNazanin" w:cs="IRNazanin"/>
          <w:lang w:bidi="fa-IR"/>
          <w:color w:val="111111"/>
          <w:sz w:val="28"/>
          <w:szCs w:val="28"/>
          <w:rtl/>
        </w:rPr>
        <w:t xml:space="preserve">۱۵۵. تهران؛ مجلس؛ شماره نسخه: ۱۶۰۴۲</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کامل؛ خط : نسخ ،كا: عنایت بن قاسم شوشتری، تا: جمعه ۲۴؛ ذیقعده ۱۰۳۴ق، مصحح؛ تملک: محمد بن محمد علی غروی، ابوالحسن بن محمود مهر: «محمود بن محسن» (بیضی)؛ جلد: تیماج سرخ دورو با ترنج و سرترنج، ۴۰۴گ، ۲۳ سطر، اندازه:19</w:t>
      </w:r>
      <w:r>
        <w:rPr>
          <w:rFonts w:ascii="Times New Roman" w:hAnsi="Times New Roman" w:eastAsia="Times New Roman" w:cs="Times New Roman"/>
          <w:lang w:val="en-US" w:bidi="en-US"/>
          <w:color w:val="111111"/>
          <w:sz w:val="28"/>
          <w:szCs w:val="28"/>
          <w:rtl/>
        </w:rPr>
        <w:t xml:space="preserve">×30/5</w:t>
      </w:r>
    </w:p>
    <w:p>
      <w:pPr>
        <w:pStyle w:val="BookText"/>
      </w:pPr>
      <w:r>
        <w:rPr>
          <w:rFonts w:ascii="IRNazanin" w:hAnsi="IRNazanin" w:eastAsia="IRNazanin" w:cs="IRNazanin"/>
          <w:lang w:bidi="fa-IR"/>
          <w:color w:val="111111"/>
          <w:sz w:val="28"/>
          <w:szCs w:val="28"/>
          <w:rtl/>
        </w:rPr>
        <w:t xml:space="preserve">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۳۰/۵سم [ف ۴۴ - ۲۱۱]</w:t>
      </w:r>
    </w:p>
    <w:p>
      <w:pPr>
        <w:pStyle w:val="BookText"/>
      </w:pPr>
      <w:r>
        <w:rPr>
          <w:rFonts w:ascii="IRNazanin" w:hAnsi="IRNazanin" w:eastAsia="IRNazanin" w:cs="IRNazanin"/>
          <w:lang w:bidi="fa-IR"/>
          <w:color w:val="111111"/>
          <w:sz w:val="28"/>
          <w:szCs w:val="28"/>
          <w:rtl/>
        </w:rPr>
        <w:t xml:space="preserve">۱۵۶. مشهد؛ مدرسه باقریه؛ شماره نسخه: ۸</w:t>
      </w:r>
    </w:p>
    <w:p>
      <w:pPr>
        <w:pStyle w:val="BookText"/>
      </w:pPr>
      <w:r>
        <w:rPr>
          <w:rFonts w:ascii="IRNazanin" w:hAnsi="IRNazanin" w:eastAsia="IRNazanin" w:cs="IRNazanin"/>
          <w:lang w:bidi="fa-IR"/>
          <w:color w:val="111111"/>
          <w:sz w:val="28"/>
          <w:szCs w:val="28"/>
          <w:rtl/>
        </w:rPr>
        <w:t xml:space="preserve">از الزكاة تا آخر کتاب؛ خط: نسخ، بی کا، تا: شنبه ۱۸ ربیع الاول ۱۰۳۵ق؛ محشی با نشان (أحمد طاب ثراه)؛ واقف: حاج محمد مهدی خادم روضه رضوی برا فقهای امامیه خراسان، رجب ۱۱۲۱؛ کاغذ: سپاهانی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۲۴/۵سم [ تراثنا : س ۶ش ۱ - ۷۰]</w:t>
      </w:r>
    </w:p>
    <w:p>
      <w:pPr>
        <w:pStyle w:val="BookText"/>
      </w:pPr>
      <w:r>
        <w:rPr>
          <w:rFonts w:ascii="IRNazanin" w:hAnsi="IRNazanin" w:eastAsia="IRNazanin" w:cs="IRNazanin"/>
          <w:lang w:bidi="fa-IR"/>
          <w:color w:val="111111"/>
          <w:sz w:val="28"/>
          <w:szCs w:val="28"/>
          <w:rtl/>
        </w:rPr>
        <w:t xml:space="preserve">۱۵۷. یزد؛ وزیری؛ شماره نسخه: ۱۷۲۵</w:t>
      </w:r>
    </w:p>
    <w:p>
      <w:pPr>
        <w:pStyle w:val="BookText"/>
      </w:pPr>
      <w:r>
        <w:rPr>
          <w:rFonts w:ascii="IRNazanin" w:hAnsi="IRNazanin" w:eastAsia="IRNazanin" w:cs="IRNazanin"/>
          <w:lang w:bidi="fa-IR"/>
          <w:color w:val="111111"/>
          <w:sz w:val="28"/>
          <w:szCs w:val="28"/>
          <w:rtl/>
        </w:rPr>
        <w:t xml:space="preserve">خط:نسخ، بی کا، تا: ۱۰۳۶ق؛ اهدایی مؤسس؛ کاغذ: اصفهانی ،جلد: مقوایی با تیماج  مشکی، ۴۵۹گ ۱۹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اندازه:</w:t>
      </w:r>
    </w:p>
    <w:p>
      <w:pPr>
        <w:pStyle w:val="BookText"/>
      </w:pPr>
      <w:r>
        <w:rPr>
          <w:rFonts w:ascii="IRNazanin" w:hAnsi="IRNazanin" w:eastAsia="IRNazanin" w:cs="IRNazanin"/>
          <w:lang w:bidi="fa-IR"/>
          <w:color w:val="111111"/>
          <w:sz w:val="28"/>
          <w:szCs w:val="28"/>
          <w:rtl/>
        </w:rPr>
        <w:t xml:space="preserve">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۳ - ۱۰۳۷]</w:t>
      </w:r>
    </w:p>
    <w:p>
      <w:pPr>
        <w:pStyle w:val="BookText"/>
      </w:pPr>
      <w:r>
        <w:rPr>
          <w:rFonts w:ascii="IRNazanin" w:hAnsi="IRNazanin" w:eastAsia="IRNazanin" w:cs="IRNazanin"/>
          <w:lang w:bidi="fa-IR"/>
          <w:color w:val="111111"/>
          <w:sz w:val="28"/>
          <w:szCs w:val="28"/>
          <w:rtl/>
        </w:rPr>
        <w:t xml:space="preserve">۱۵۸ . قم؛ گلپایگانی؛ شماره نسخه: ۱۱۱۲-۷/۱۲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از اول كتاب الطهارة تا كتاب الديات به ضمیمه مشخيه؛ خط ،نسخ، بی کا، تا: دوشنبه ۱۲ شعبان ۱۰۳۷ق؛ مصحح با عباراتی رحيم بن محمد نصیر به تاریخ محرم ۱۲۷۹ آورده شده؛جلد: تیماج سرخ ضربی با ترنج با سر، عطف و حاشیه قهوه ای، ۳۲۵گ ۲۵ ،سطر، اندازه: ۱۸/۵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۳۲سم [ف: ۱ - ۳۲۷]</w:t>
      </w:r>
    </w:p>
    <w:p>
      <w:pPr>
        <w:pStyle w:val="BookText"/>
      </w:pPr>
      <w:r>
        <w:rPr>
          <w:rFonts w:ascii="IRNazanin" w:hAnsi="IRNazanin" w:eastAsia="IRNazanin" w:cs="IRNazanin"/>
          <w:lang w:bidi="fa-IR"/>
          <w:color w:val="111111"/>
          <w:sz w:val="28"/>
          <w:szCs w:val="28"/>
          <w:rtl/>
        </w:rPr>
        <w:t xml:space="preserve">۱۵۹ . شیراز؛ علامه طباطبائی؛ شماره نسخه: ۱۶۶۷</w:t>
      </w:r>
    </w:p>
    <w:p>
      <w:pPr>
        <w:pStyle w:val="BookText"/>
      </w:pPr>
      <w:r>
        <w:rPr>
          <w:rFonts w:ascii="IRNazanin" w:hAnsi="IRNazanin" w:eastAsia="IRNazanin" w:cs="IRNazanin"/>
          <w:lang w:bidi="fa-IR"/>
          <w:color w:val="111111"/>
          <w:sz w:val="28"/>
          <w:szCs w:val="28"/>
          <w:rtl/>
        </w:rPr>
        <w:t xml:space="preserve">خط:نسخ، كا: سيف الدين بن نور الدين  حروفی، تا: با تاریخ  سماع ۱۰۳۷ق؛ افتادگی: آغاز (۹ برگ)؛ مصحح، با بلاغ سماع، در آخر نسخه آمده: «سمع  هذا الكتاب بتمامه سماعا نشهد باتفاقه  وضبطه و امعانه سهل الله عليه غوامض العلوم الدينية و هداه لاستنباط المعارف اليقينية ، كتبه الفقير الى تایید ربه الباری ابی الفضل عبدالكريم بن شمس الدین محمد القارى سنه ۱۰۳۷»؛ ۲۹۵گ،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۲۹سم [نسخه پژوهی: ۲ - ۱۱۲]</w:t>
      </w:r>
    </w:p>
    <w:p>
      <w:pPr>
        <w:pStyle w:val="BookText"/>
      </w:pPr>
      <w:r>
        <w:rPr>
          <w:rFonts w:ascii="IRNazanin" w:hAnsi="IRNazanin" w:eastAsia="IRNazanin" w:cs="IRNazanin"/>
          <w:lang w:bidi="fa-IR"/>
          <w:color w:val="111111"/>
          <w:sz w:val="28"/>
          <w:szCs w:val="28"/>
          <w:rtl/>
        </w:rPr>
        <w:t xml:space="preserve">۱۶۰. تهران؛ ملک؛ شماره نسخه: ۱۲۱۶</w:t>
      </w:r>
    </w:p>
    <w:p>
      <w:pPr>
        <w:pStyle w:val="BookText"/>
      </w:pPr>
      <w:r>
        <w:rPr>
          <w:rFonts w:ascii="IRNazanin" w:hAnsi="IRNazanin" w:eastAsia="IRNazanin" w:cs="IRNazanin"/>
          <w:lang w:bidi="fa-IR"/>
          <w:color w:val="111111"/>
          <w:sz w:val="28"/>
          <w:szCs w:val="28"/>
          <w:rtl/>
        </w:rPr>
        <w:t xml:space="preserve">از صوم تا حدود؛ خط: نسخ، كا: احمد بن محمود ساری، تا: ۶  محرم  1038 ق( پایان جزء سوم) با اجازه محمد تقی بن مولانا ابوالحسن در رجب ۱۰۶۰؛ کاغذ: فستقی، جلد: میشن سیاه،  ۲۳۳گ، ۲۱  سطر، اندازه: ۲۰/۵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٢٩/٩سم [ف: ۱ - ۳۰]</w:t>
      </w:r>
    </w:p>
    <w:p>
      <w:pPr>
        <w:pStyle w:val="BookText"/>
      </w:pPr>
      <w:r>
        <w:rPr>
          <w:rFonts w:ascii="IRNazanin" w:hAnsi="IRNazanin" w:eastAsia="IRNazanin" w:cs="IRNazanin"/>
          <w:lang w:bidi="fa-IR"/>
          <w:color w:val="111111"/>
          <w:sz w:val="28"/>
          <w:szCs w:val="28"/>
          <w:rtl/>
        </w:rPr>
        <w:t xml:space="preserve">۱۶۱. تهران؛ سپهسالار؛ شماره نسخه: ۱۹۰۰</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متوسط، کا: علی بن محمد حلی، تا: ۱۰۳۹ق ،مصحح مقابله شده؛ واقف: سپهسالار، کاغذ: حنایی ،جلد: تیماج، ۳۳۲ ص ، ۲۶  سطر، قطع: رحلی،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۲۶سم [ف: ۱ - ۲۰۳]</w:t>
      </w:r>
    </w:p>
    <w:p>
      <w:pPr>
        <w:pStyle w:val="BookText"/>
      </w:pPr>
      <w:r>
        <w:rPr>
          <w:rFonts w:ascii="IRNazanin" w:hAnsi="IRNazanin" w:eastAsia="IRNazanin" w:cs="IRNazanin"/>
          <w:lang w:bidi="fa-IR"/>
          <w:color w:val="111111"/>
          <w:sz w:val="28"/>
          <w:szCs w:val="28"/>
          <w:rtl/>
        </w:rPr>
        <w:t xml:space="preserve">۱۶۲. قم؛ مرعشی؛ شماره نسخه: ۱۳۶۰۴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محمد مؤمن بن جلال الدین محمد کاشانی،تا: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۱۰۴۰ق؛ مقابله شده با نشان «ابتدأ سماعاً افاض الله تعالى علىه» «بلغ سماعاً افاض الله تعالى عليه»، «ثم بلغ سماعاً افاض الله تعـالی علیه»، محشی با نشان «م ح ق دام ظله، ق، حبل المتين» و غير آن،مصحح، تملک: محمد هادی بن مرتضی  کاشانی، و فرزند</w:t>
      </w:r>
    </w:p>
    <w:p>
      <w:pPr>
        <w:pStyle w:val="BookText"/>
      </w:pPr>
      <w:r>
        <w:rPr>
          <w:rFonts w:ascii="IRNazanin" w:hAnsi="IRNazanin" w:eastAsia="IRNazanin" w:cs="IRNazanin"/>
          <w:lang w:bidi="fa-IR"/>
          <w:color w:val="111111"/>
          <w:sz w:val="28"/>
          <w:szCs w:val="28"/>
          <w:rtl/>
        </w:rPr>
        <w:t xml:space="preserve">او محمد مهدی فرزند محمد هادی با مهر وی «محمد مهدی 1092» (بیضی)؛ دارای وقف نامه مفصلی به سال ۱۲۲۰ق؛ کاغذ: فرنگی و شرقی، جلد: دو رو برون تیماج زرشکی، عطف تیماج مشكـی، درون تیماج سبز، ۳۷۱گ، ۲۵ 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۲۶سم[ف: ۳۴ - ۴۶۸]</w:t>
      </w:r>
    </w:p>
    <w:p>
      <w:pPr>
        <w:pStyle w:val="BookText"/>
      </w:pPr>
      <w:r>
        <w:rPr>
          <w:rFonts w:ascii="IRNazanin" w:hAnsi="IRNazanin" w:eastAsia="IRNazanin" w:cs="IRNazanin"/>
          <w:lang w:bidi="fa-IR"/>
          <w:color w:val="111111"/>
          <w:sz w:val="28"/>
          <w:szCs w:val="28"/>
          <w:rtl/>
        </w:rPr>
        <w:t xml:space="preserve">۱۶۳. مشهد؛ رضوی؛ شماره نسخه: ۳۸۵۳۲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جلد 3- 1؛ خط: نسخ، کا: عبدعلی بن محمد علی بن حماد حلی، تا: ۱۰۴۱ق؛ محشی، مصحح، مقابله شده، دارای بلاغ؛ اهدائی رهبری، مهر ۱۳۸۶؛ کاغذ: نخودی فرنگی، جلد: تیماج قهوه ای ضربی با ترنج منقش و سجاف مشمع، ۲۴۱گ، ۳۱ سطر، اندازه:</w:t>
      </w:r>
    </w:p>
    <w:p>
      <w:pPr>
        <w:pStyle w:val="BookText"/>
      </w:pPr>
      <w:r>
        <w:rPr>
          <w:rFonts w:ascii="IRNazanin" w:hAnsi="IRNazanin" w:eastAsia="IRNazanin" w:cs="IRNazanin"/>
          <w:lang w:bidi="fa-IR"/>
          <w:color w:val="111111"/>
          <w:sz w:val="28"/>
          <w:szCs w:val="28"/>
          <w:rtl/>
        </w:rPr>
        <w:t xml:space="preserve">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۲۹[سم اهدائی رهبر: ۲ اخبار ۱ - ۸۹]</w:t>
      </w:r>
    </w:p>
    <w:p>
      <w:pPr>
        <w:pStyle w:val="BookText"/>
      </w:pPr>
      <w:r>
        <w:rPr>
          <w:rFonts w:ascii="IRNazanin" w:hAnsi="IRNazanin" w:eastAsia="IRNazanin" w:cs="IRNazanin"/>
          <w:lang w:bidi="fa-IR"/>
          <w:color w:val="111111"/>
          <w:sz w:val="28"/>
          <w:szCs w:val="28"/>
          <w:rtl/>
        </w:rPr>
        <w:t xml:space="preserve">مشهد؛ شیخ علی حیدر؛ شماره نسخه: ۳۹۰</w:t>
      </w:r>
    </w:p>
    <w:p>
      <w:pPr>
        <w:pStyle w:val="BookText"/>
      </w:pPr>
      <w:r>
        <w:rPr>
          <w:rFonts w:ascii="Amiri" w:hAnsi="Amiri" w:eastAsia="Amiri" w:cs="Amiri"/>
          <w:lang w:bidi="ar-SA"/>
          <w:color w:val="111111"/>
          <w:sz w:val="28"/>
          <w:szCs w:val="28"/>
          <w:rtl/>
        </w:rPr>
        <w:t xml:space="preserve">همان نسخه بالا [مؤيد: ۱ - ۳۲۰]</w:t>
      </w:r>
    </w:p>
    <w:p>
      <w:pPr>
        <w:pStyle w:val="BookText"/>
      </w:pPr>
      <w:r>
        <w:rPr>
          <w:rFonts w:ascii="IRNazanin" w:hAnsi="IRNazanin" w:eastAsia="IRNazanin" w:cs="IRNazanin"/>
          <w:lang w:bidi="fa-IR"/>
          <w:color w:val="111111"/>
          <w:sz w:val="28"/>
          <w:szCs w:val="28"/>
          <w:rtl/>
        </w:rPr>
        <w:t xml:space="preserve">۱۶۴. مشهد؛ رضوی؛ شماره نسخه:۱۹۰۷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عبد علی بن محمد علی بن حماد  حلی، تا: پنج شـنبه  ۲۴ جمادی الاول ۱۰۴۱ق؛ در آخر نسخه دو اجازه  است:اول اجازه مفصل (ضمن ۴ صفحه) از شرف الدين على بن حجة الله شولستانی نجفی حسنی حسینی به مولانا عزیز الله بن مولانا محـمد تقی مجلسی، تاریخ آن پنج شنبه ۲۴ رمضان ۱۰۴۱ در نجف بوده است، دوم اجازه ای است متوسط (ضمن دو صفحه )از مولانا محمد بن جابر بن عباس نجفی برای مولانا عزیز  الله مذكور، تاریخ آن ۲۰ رمضان ۱۰۴۱  است، مصحح، مقابله شده متن اجـازه اول می رساند که نسخه را مولانا عزیز الله بر شرف الدین علی شولستانی خوانده و مقابله نموده و تصحیح داشته؛ واقف: نائیـنی، مرداد ۱۳۱۱ ؛کاغذ: شکری آهار مهره، جلد: تیماج عنابی، ۲۴۸گ، ۳۱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۳۰سم [ف: ۵ - ۳۰]</w:t>
      </w:r>
    </w:p>
    <w:p>
      <w:pPr>
        <w:pStyle w:val="BookText"/>
      </w:pPr>
      <w:r>
        <w:rPr>
          <w:rFonts w:ascii="Amiri" w:hAnsi="Amiri" w:eastAsia="Amiri" w:cs="Amiri"/>
          <w:lang w:bidi="ar-SA"/>
          <w:color w:val="111111"/>
          <w:sz w:val="28"/>
          <w:szCs w:val="28"/>
          <w:rtl/>
        </w:rPr>
        <w:t xml:space="preserve">۱۶۵. اصفهان؛ مكتبة الزهراء؛ شماره نسخه: ۵۴</w:t>
      </w:r>
    </w:p>
    <w:p>
      <w:pPr>
        <w:pStyle w:val="BookText"/>
      </w:pPr>
      <w:r>
        <w:rPr>
          <w:rFonts w:ascii="Amiri" w:hAnsi="Amiri" w:eastAsia="Amiri" w:cs="Amiri"/>
          <w:lang w:bidi="ar-SA"/>
          <w:color w:val="111111"/>
          <w:sz w:val="28"/>
          <w:szCs w:val="28"/>
          <w:rtl/>
        </w:rPr>
        <w:t xml:space="preserve">آغاز: أو فحواه فكل هذه القراين توجب العلم و يخرج [تخرج] الخبر من [عن] حيز الآحاد</w:t>
      </w:r>
    </w:p>
    <w:p>
      <w:pPr>
        <w:pStyle w:val="BookText"/>
      </w:pPr>
      <w:r>
        <w:rPr>
          <w:rFonts w:ascii="IRNazanin" w:hAnsi="IRNazanin" w:eastAsia="IRNazanin" w:cs="IRNazanin"/>
          <w:lang w:bidi="fa-IR"/>
          <w:color w:val="111111"/>
          <w:sz w:val="28"/>
          <w:szCs w:val="28"/>
          <w:rtl/>
        </w:rPr>
        <w:t xml:space="preserve">خط: نسخ خوانا ،کا: ابوالمکارم ابن محمد  دوانی، تا: رجـب ۱۰۴۱ق؛ افتادگی: آغاز؛ افتادگی: آغاز؛ (صفحه اول)؛ ۴۳۲  گ،۲۲ سطر، اندازه: ۱۹/۵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۴۵]</w:t>
      </w:r>
    </w:p>
    <w:p>
      <w:pPr>
        <w:pStyle w:val="BookText"/>
      </w:pPr>
      <w:r>
        <w:rPr>
          <w:rFonts w:ascii="IRNazanin" w:hAnsi="IRNazanin" w:eastAsia="IRNazanin" w:cs="IRNazanin"/>
          <w:lang w:bidi="fa-IR"/>
          <w:color w:val="111111"/>
          <w:sz w:val="28"/>
          <w:szCs w:val="28"/>
          <w:rtl/>
        </w:rPr>
        <w:t xml:space="preserve">۱۶۶. خوانسار؛ فاضل؛ شماره نسخه ۳۳۱</w:t>
      </w:r>
    </w:p>
    <w:p>
      <w:pPr>
        <w:pStyle w:val="BookText"/>
      </w:pPr>
      <w:r>
        <w:rPr>
          <w:rFonts w:ascii="IRNazanin" w:hAnsi="IRNazanin" w:eastAsia="IRNazanin" w:cs="IRNazanin"/>
          <w:lang w:bidi="fa-IR"/>
          <w:color w:val="111111"/>
          <w:sz w:val="28"/>
          <w:szCs w:val="28"/>
          <w:rtl/>
        </w:rPr>
        <w:t xml:space="preserve">آغاز: فبين انه انما لم يحمل نجاسه اذا زد على الراويه و تلک الزياده لا يمتنع ان يكون المراد بها</w:t>
      </w:r>
    </w:p>
    <w:p>
      <w:pPr>
        <w:pStyle w:val="BookText"/>
      </w:pPr>
      <w:r>
        <w:rPr>
          <w:rFonts w:ascii="IRNazanin" w:hAnsi="IRNazanin" w:eastAsia="IRNazanin" w:cs="IRNazanin"/>
          <w:lang w:bidi="fa-IR"/>
          <w:color w:val="111111"/>
          <w:sz w:val="28"/>
          <w:szCs w:val="28"/>
          <w:rtl/>
        </w:rPr>
        <w:t xml:space="preserve">جزء اول؛ خط: نسخ، بی کا، تا: ذیقعده ۱۰۴۲ق؛ افتادگی: آغاز، مصحح، محشی، از کتب روایی و با عبارات «بهاء الدين رحمه الـله»،</w:t>
      </w:r>
    </w:p>
    <w:p>
      <w:pPr>
        <w:pStyle w:val="BookText"/>
      </w:pPr>
      <w:r>
        <w:rPr>
          <w:rFonts w:ascii="IRNazanin" w:hAnsi="IRNazanin" w:eastAsia="IRNazanin" w:cs="IRNazanin"/>
          <w:lang w:bidi="fa-IR"/>
          <w:color w:val="111111"/>
          <w:sz w:val="28"/>
          <w:szCs w:val="28"/>
          <w:rtl/>
        </w:rPr>
        <w:t xml:space="preserve">«آقا حسین سلمه الله»،  «س م د»، «ن ع مد ظله»؛ جلد: تيماج  قهوه ای، ۱۳۸گ، ۲۵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۲ - ۳۹]</w:t>
      </w:r>
    </w:p>
    <w:p>
      <w:pPr>
        <w:pStyle w:val="BookText"/>
      </w:pPr>
      <w:r>
        <w:rPr>
          <w:rFonts w:ascii="IRNazanin" w:hAnsi="IRNazanin" w:eastAsia="IRNazanin" w:cs="IRNazanin"/>
          <w:lang w:bidi="fa-IR"/>
          <w:color w:val="111111"/>
          <w:sz w:val="28"/>
          <w:szCs w:val="28"/>
          <w:rtl/>
        </w:rPr>
        <w:t xml:space="preserve">۱۶۷ . مشهد؛ رضوی؛ شماره نسخه: ۲۱۲۲۳</w:t>
      </w:r>
    </w:p>
    <w:p>
      <w:pPr>
        <w:pStyle w:val="BookText"/>
      </w:pPr>
      <w:r>
        <w:rPr>
          <w:rFonts w:ascii="IRNazanin" w:hAnsi="IRNazanin" w:eastAsia="IRNazanin" w:cs="IRNazanin"/>
          <w:lang w:bidi="fa-IR"/>
          <w:color w:val="111111"/>
          <w:sz w:val="28"/>
          <w:szCs w:val="28"/>
          <w:rtl/>
        </w:rPr>
        <w:t xml:space="preserve">آغاز: بسمله و یک استعانه فى الامور یا کریم الحمد لله .؛ انجام : فی شوال سنه ۱۰۴۲ ... سامن تریه ویرانیو</w:t>
      </w:r>
    </w:p>
    <w:p>
      <w:pPr>
        <w:pStyle w:val="BookText"/>
      </w:pPr>
      <w:r>
        <w:rPr>
          <w:rFonts w:ascii="IRNazanin" w:hAnsi="IRNazanin" w:eastAsia="IRNazanin" w:cs="IRNazanin"/>
          <w:lang w:bidi="fa-IR"/>
          <w:color w:val="111111"/>
          <w:sz w:val="28"/>
          <w:szCs w:val="28"/>
          <w:rtl/>
        </w:rPr>
        <w:t xml:space="preserve">جلد ۳-۱؛ خط: نسخ، کا: محمد قاسم بن ابوالحسن مشهدی، تا: شوال ۱۰۴۳ق؛ محشی، مصحح، مقابله شده، دارای چند بلاغ از حسن رضوی قائنی و اجازه او به آقا محمد حسین سمنانی در  ۱۰۴۶، با اجازه ای از سید حسن بن ولى الله بن هداية الله  بن مراد بن نعمة الله بن ولی الله ابن سيد على بن تاج العراق بن شرفشاه بن على بن ناصر بن احمد بن موسی ابن احمد بن محمد الأعرج بن احمد بن موسى المبرقع که از شیخ محمد پسر صاحب معالم اجازه داشته و شاگرد او  بوده به خط او برای محمد حسین سمنانی ساکن مشهد که این نسخه را نزد سید حسن مذکور خوانده است تاریخ اجازه ۱۰۴۶ و امضاء حسن الرضوى القائينى در پایان آن اهدایی رهبری خرداد ۱۳۷۳؛ کاغذ: نخودی آهار مهره، جلد: تيماج مشکی ضربی با ترنج سرترنج، ۳۳۶گ، ۲۱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۲۵/۵سم [اهدائی رهبر: ۲ اخبار ۱ - ۹۰]</w:t>
      </w:r>
    </w:p>
    <w:p>
      <w:pPr>
        <w:pStyle w:val="BookText"/>
      </w:pPr>
      <w:r>
        <w:rPr>
          <w:rFonts w:ascii="IRNazanin" w:hAnsi="IRNazanin" w:eastAsia="IRNazanin" w:cs="IRNazanin"/>
          <w:lang w:bidi="fa-IR"/>
          <w:color w:val="111111"/>
          <w:sz w:val="28"/>
          <w:szCs w:val="28"/>
          <w:rtl/>
        </w:rPr>
        <w:t xml:space="preserve">۱۶۸ . قم؛ مرکز احیاء؛ شماره نسخه: ۱۸۷۹</w:t>
      </w:r>
    </w:p>
    <w:p>
      <w:pPr>
        <w:pStyle w:val="BookText"/>
      </w:pPr>
      <w:r>
        <w:rPr>
          <w:rFonts w:ascii="IRNazanin" w:hAnsi="IRNazanin" w:eastAsia="IRNazanin" w:cs="IRNazanin"/>
          <w:lang w:bidi="fa-IR"/>
          <w:color w:val="111111"/>
          <w:sz w:val="28"/>
          <w:szCs w:val="28"/>
          <w:rtl/>
        </w:rPr>
        <w:t xml:space="preserve">خط: نسخ، بی کا، تا: ۱۰۴۳ق ،مجدول، با سرلوح رنگین، پایان جزء اول نوشته شده که کتاب را شیخ علی بن حاجی ابراهیم نجفی بر شیخ ابراهیم بن شیخ کاظم خوانده است؛ تملک: محمد تقى بن محمد بن حسين شريف (حجة الاسلام نيز) تبريزى ممقانی با مهر وی محمد تقی (بیضی)؛ مهر:« مهر کنده بدل محمد حسن» (بیضی)؛ جلد: تیماج مشکی، ۵۲۵گ، ۲۱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۲۹سم [ف: ۵ - ۳۰۶]</w:t>
      </w:r>
    </w:p>
    <w:p>
      <w:pPr>
        <w:pStyle w:val="BookText"/>
      </w:pPr>
      <w:r>
        <w:rPr>
          <w:rFonts w:ascii="IRNazanin" w:hAnsi="IRNazanin" w:eastAsia="IRNazanin" w:cs="IRNazanin"/>
          <w:lang w:bidi="fa-IR"/>
          <w:color w:val="111111"/>
          <w:sz w:val="28"/>
          <w:szCs w:val="28"/>
          <w:rtl/>
        </w:rPr>
        <w:t xml:space="preserve">۱۶۹. مشهد؛ رضوی؛ شماره نسخه: ۶۶۷۱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محمد بن محمد جزایری، تا: سلخ ربیع الثانی 1044ق؛ مصحح،   مقابله شده؛ واقف: حاج سید رضا قوچانی که</w:t>
      </w:r>
    </w:p>
    <w:p>
      <w:pPr>
        <w:pStyle w:val="BookText"/>
      </w:pPr>
      <w:r>
        <w:rPr>
          <w:rFonts w:ascii="IRNazanin" w:hAnsi="IRNazanin" w:eastAsia="IRNazanin" w:cs="IRNazanin"/>
          <w:lang w:bidi="fa-IR"/>
          <w:color w:val="111111"/>
          <w:sz w:val="28"/>
          <w:szCs w:val="28"/>
          <w:rtl/>
        </w:rPr>
        <w:t xml:space="preserve">به وسیله فرزندش جواد قوچانی در ۱۰ مرداد ۱۳۲۴ به کتابخانه تسلیم شد؛ کاغذ: آهاری  حنایی، جلد: تیماج قهوه ای تیره، ۳۶۲گ، ۲۷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۳۲سم [ف: ۵ - ۳۲]</w:t>
      </w:r>
    </w:p>
    <w:p>
      <w:pPr>
        <w:pStyle w:val="BookText"/>
      </w:pPr>
      <w:r>
        <w:rPr>
          <w:rFonts w:ascii="IRNazanin" w:hAnsi="IRNazanin" w:eastAsia="IRNazanin" w:cs="IRNazanin"/>
          <w:lang w:bidi="fa-IR"/>
          <w:color w:val="111111"/>
          <w:sz w:val="28"/>
          <w:szCs w:val="28"/>
          <w:rtl/>
        </w:rPr>
        <w:t xml:space="preserve">۱۷۰. یزد؛ وزیری؛ شماره نسخه ۵۸۰</w:t>
      </w:r>
    </w:p>
    <w:p>
      <w:pPr>
        <w:pStyle w:val="BookText"/>
      </w:pPr>
      <w:r>
        <w:rPr>
          <w:rFonts w:ascii="IRNazanin" w:hAnsi="IRNazanin" w:eastAsia="IRNazanin" w:cs="IRNazanin"/>
          <w:lang w:bidi="fa-IR"/>
          <w:color w:val="111111"/>
          <w:sz w:val="28"/>
          <w:szCs w:val="28"/>
          <w:rtl/>
        </w:rPr>
        <w:t xml:space="preserve">آغاز: على الاستصحاب ويجوزان يكون المراد لخروج البول و الغسل ما ينتقض الوضوء؛ انجام: عرضنا کتاب الفرائض عن امير المومنين عليه السلام جعل ديه الجنين مائة دينارا.</w:t>
      </w:r>
    </w:p>
    <w:p>
      <w:pPr>
        <w:pStyle w:val="BookText"/>
      </w:pPr>
      <w:r>
        <w:rPr>
          <w:rFonts w:ascii="IRNazanin" w:hAnsi="IRNazanin" w:eastAsia="IRNazanin" w:cs="IRNazanin"/>
          <w:lang w:bidi="fa-IR"/>
          <w:color w:val="111111"/>
          <w:sz w:val="28"/>
          <w:szCs w:val="28"/>
          <w:rtl/>
        </w:rPr>
        <w:t xml:space="preserve">خط: نسخ ،بی کا تا: ۱۰۴۵ق؛ افتادگی: آغاز؛ اهدایی حاج وزیری؛ کاغذ: پسته ای ،جلد ،مقوایی ۴۰۰گ، ۲۳ سطر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۳۱سم [ف: ۲ -۴۸۹]</w:t>
      </w:r>
    </w:p>
    <w:p>
      <w:pPr>
        <w:pStyle w:val="BookText"/>
      </w:pPr>
      <w:r>
        <w:rPr>
          <w:rFonts w:ascii="IRNazanin" w:hAnsi="IRNazanin" w:eastAsia="IRNazanin" w:cs="IRNazanin"/>
          <w:lang w:bidi="fa-IR"/>
          <w:color w:val="111111"/>
          <w:sz w:val="28"/>
          <w:szCs w:val="28"/>
          <w:rtl/>
        </w:rPr>
        <w:t xml:space="preserve">۱۷۱ . قم؛ حجتیه؛ شماره نسخه: ۳۶۲</w:t>
      </w:r>
    </w:p>
    <w:p>
      <w:pPr>
        <w:pStyle w:val="BookText"/>
      </w:pPr>
      <w:r>
        <w:rPr>
          <w:rFonts w:ascii="IRNazanin" w:hAnsi="IRNazanin" w:eastAsia="IRNazanin" w:cs="IRNazanin"/>
          <w:lang w:bidi="fa-IR"/>
          <w:color w:val="111111"/>
          <w:sz w:val="28"/>
          <w:szCs w:val="28"/>
          <w:rtl/>
        </w:rPr>
        <w:t xml:space="preserve">خط: نستعلیق، بی کا، تا: ۱۰۴۸ق [ف: ۳۵]</w:t>
      </w:r>
    </w:p>
    <w:p>
      <w:pPr>
        <w:pStyle w:val="BookText"/>
      </w:pPr>
      <w:r>
        <w:rPr>
          <w:rFonts w:ascii="IRNazanin" w:hAnsi="IRNazanin" w:eastAsia="IRNazanin" w:cs="IRNazanin"/>
          <w:lang w:bidi="fa-IR"/>
          <w:color w:val="111111"/>
          <w:sz w:val="28"/>
          <w:szCs w:val="28"/>
          <w:rtl/>
        </w:rPr>
        <w:t xml:space="preserve">۱۷۲. همدان؛ مدرسه غرب؛ شماره نسخه: ۹۷۲۱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 نسخ، بی کا، تا: رجب ۱۰۴۹ق؛ با سر لوح مذهب؛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رشت و همدان - ف: - ۱۶۰۴]</w:t>
      </w:r>
    </w:p>
    <w:p>
      <w:pPr>
        <w:pStyle w:val="BookText"/>
      </w:pPr>
      <w:r>
        <w:rPr>
          <w:rFonts w:ascii="IRNazanin" w:hAnsi="IRNazanin" w:eastAsia="IRNazanin" w:cs="IRNazanin"/>
          <w:lang w:bidi="fa-IR"/>
          <w:color w:val="111111"/>
          <w:sz w:val="28"/>
          <w:szCs w:val="28"/>
          <w:rtl/>
        </w:rPr>
        <w:t xml:space="preserve">۱۷۳. تهران؛ دانشگاه؛ شماره نسخه: ۱۷۲۷</w:t>
      </w:r>
    </w:p>
    <w:p>
      <w:pPr>
        <w:pStyle w:val="BookText"/>
      </w:pPr>
      <w:r>
        <w:rPr>
          <w:rFonts w:ascii="IRNazanin" w:hAnsi="IRNazanin" w:eastAsia="IRNazanin" w:cs="IRNazanin"/>
          <w:lang w:bidi="fa-IR"/>
          <w:color w:val="111111"/>
          <w:sz w:val="28"/>
          <w:szCs w:val="28"/>
          <w:rtl/>
        </w:rPr>
        <w:t xml:space="preserve">خط: نسخ، کا: حاجی محمد بن محمد حسین  حافظ، تا: رجـب ۱۰۴۹ق، محشی با نشان «م ک، س م د، م ق ر، مدظله، ع آل ،معالم منتقى الجمان ،نهایه م ب ق ره»؛ کاغذ: سپاهانی، جـلد: تیماج سرخ  مقوایی، ۴۹۱گ ۲۰سطر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۸ - ۲۶۳]</w:t>
      </w:r>
    </w:p>
    <w:p>
      <w:pPr>
        <w:pStyle w:val="BookText"/>
      </w:pPr>
      <w:r>
        <w:rPr>
          <w:rFonts w:ascii="IRNazanin" w:hAnsi="IRNazanin" w:eastAsia="IRNazanin" w:cs="IRNazanin"/>
          <w:lang w:bidi="fa-IR"/>
          <w:color w:val="111111"/>
          <w:sz w:val="28"/>
          <w:szCs w:val="28"/>
          <w:rtl/>
        </w:rPr>
        <w:t xml:space="preserve">۱۷۴ . مشهد؛ رضوی؛ شماره نسخه:۱۶۹۲۸</w:t>
      </w:r>
    </w:p>
    <w:p>
      <w:pPr>
        <w:pStyle w:val="BookText"/>
      </w:pPr>
      <w:r>
        <w:rPr>
          <w:rFonts w:ascii="Amiri" w:hAnsi="Amiri" w:eastAsia="Amiri" w:cs="Amiri"/>
          <w:lang w:bidi="ar-SA"/>
          <w:color w:val="111111"/>
          <w:sz w:val="28"/>
          <w:szCs w:val="28"/>
          <w:rtl/>
        </w:rPr>
        <w:t xml:space="preserve">آغاز: برابر؛ انجام: بعد خمسين و الف على يد العبد الراجى... على يديه التنزيل</w:t>
      </w:r>
    </w:p>
    <w:p>
      <w:pPr>
        <w:pStyle w:val="BookText"/>
      </w:pPr>
      <w:r>
        <w:rPr>
          <w:rFonts w:ascii="IRNazanin" w:hAnsi="IRNazanin" w:eastAsia="IRNazanin" w:cs="IRNazanin"/>
          <w:lang w:bidi="fa-IR"/>
          <w:color w:val="111111"/>
          <w:sz w:val="28"/>
          <w:szCs w:val="28"/>
          <w:rtl/>
        </w:rPr>
        <w:t xml:space="preserve">جلد ۱-۳؛ خط: نسخ، کا: مهدی بن میر حبیب الله بندر آبادی،تا: ۱۰۵۰ق؛ محشی با عناوین «شیخ  محمد ،جعفر م ن، م د و.. .»،مصحح ،مقابله شده؛ واگذاری دانشگاه علوم اسلامی رضوی در ۱۳۶۸ش؛ کاغذ: حنائی آهار مهره، جلد: تیماج  مشکی، ۴۷۸ گ</w:t>
      </w:r>
    </w:p>
    <w:p>
      <w:pPr>
        <w:pStyle w:val="BookText"/>
      </w:pPr>
      <w:r>
        <w:rPr>
          <w:rFonts w:ascii="IRNazanin" w:hAnsi="IRNazanin" w:eastAsia="IRNazanin" w:cs="IRNazanin"/>
          <w:lang w:bidi="fa-IR"/>
          <w:color w:val="111111"/>
          <w:sz w:val="28"/>
          <w:szCs w:val="28"/>
          <w:rtl/>
        </w:rPr>
        <w:t xml:space="preserve">، ۲۱ سطر ،اندازه: ۱۹/۸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۲۵/۷سم [ف: ۱۴ - ۶۰]</w:t>
      </w:r>
    </w:p>
    <w:p>
      <w:pPr>
        <w:pStyle w:val="BookText"/>
      </w:pPr>
      <w:r>
        <w:rPr>
          <w:rFonts w:ascii="IRNazanin" w:hAnsi="IRNazanin" w:eastAsia="IRNazanin" w:cs="IRNazanin"/>
          <w:lang w:bidi="fa-IR"/>
          <w:color w:val="111111"/>
          <w:sz w:val="28"/>
          <w:szCs w:val="28"/>
          <w:rtl/>
        </w:rPr>
        <w:t xml:space="preserve">۱۷۵. تهران؛ مجلس؛ شماره نسخه: ۴۶۵ ط</w:t>
      </w:r>
    </w:p>
    <w:p>
      <w:pPr>
        <w:pStyle w:val="BookText"/>
      </w:pPr>
      <w:r>
        <w:rPr>
          <w:rFonts w:ascii="IRNazanin" w:hAnsi="IRNazanin" w:eastAsia="IRNazanin" w:cs="IRNazanin"/>
          <w:lang w:bidi="fa-IR"/>
          <w:color w:val="111111"/>
          <w:sz w:val="28"/>
          <w:szCs w:val="28"/>
          <w:rtl/>
        </w:rPr>
        <w:t xml:space="preserve">خط: نسخ، کا: محمد سعبد بن ابى البقاء تویسرکانی، تا: 1050ق[ مختصر - ف: ۵۱]</w:t>
      </w:r>
    </w:p>
    <w:p>
      <w:pPr>
        <w:pStyle w:val="BookText"/>
      </w:pPr>
      <w:r>
        <w:rPr>
          <w:rFonts w:ascii="IRNazanin" w:hAnsi="IRNazanin" w:eastAsia="IRNazanin" w:cs="IRNazanin"/>
          <w:lang w:bidi="fa-IR"/>
          <w:color w:val="111111"/>
          <w:sz w:val="28"/>
          <w:szCs w:val="28"/>
          <w:rtl/>
        </w:rPr>
        <w:t xml:space="preserve">۱۷۶. تهران؛ مجلس؛ شماره نسخه: ۴۶۵-ط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محمد سعید بن ابى البقاء تویسرکانی، تا: ۱۰۵۰ق ؛ جا: قم؛ دارای گواهی بلاغ، تملک: شیخ ابراهیم بحرانی مورخ ۱۱۶۴، محمدعلی بن حاج حسین سلطان  ۱۱۶۲، عبدالصمد بن حاج سرور جامعی  ۱۱۶۶، محمد بن اسماعیل ۱۲۲۸ ؛کاغذ: اصفهانی آهار مهره ،جلد: تیماج زرشکی با ترنج، ۳۸۲گ،  23سطر، قطع: وزیری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۲۶سم [ف: ۲۴ - ۳۰۳]</w:t>
      </w:r>
    </w:p>
    <w:p>
      <w:pPr>
        <w:pStyle w:val="BookText"/>
      </w:pPr>
      <w:r>
        <w:rPr>
          <w:rFonts w:ascii="IRNazanin" w:hAnsi="IRNazanin" w:eastAsia="IRNazanin" w:cs="IRNazanin"/>
          <w:lang w:bidi="fa-IR"/>
          <w:color w:val="111111"/>
          <w:sz w:val="28"/>
          <w:szCs w:val="28"/>
          <w:rtl/>
        </w:rPr>
        <w:t xml:space="preserve">۱۷۷. مشهد؛ مدرسه باقریه؛ شماره نسخه:۹</w:t>
      </w:r>
    </w:p>
    <w:p>
      <w:pPr>
        <w:pStyle w:val="BookText"/>
      </w:pPr>
      <w:r>
        <w:rPr>
          <w:rFonts w:ascii="IRNazanin" w:hAnsi="IRNazanin" w:eastAsia="IRNazanin" w:cs="IRNazanin"/>
          <w:lang w:bidi="fa-IR"/>
          <w:color w:val="111111"/>
          <w:sz w:val="28"/>
          <w:szCs w:val="28"/>
          <w:rtl/>
        </w:rPr>
        <w:t xml:space="preserve">خط: نسخ، کا: لطف الله بن عبدالله، تا: صفر ۱۰۵۱ق، جا: شیراز، تصحیح و مقابله شرف الدين على ابن حجة الله الحسنى الحسيـنی</w:t>
      </w:r>
    </w:p>
    <w:p>
      <w:pPr>
        <w:pStyle w:val="BookText"/>
      </w:pPr>
      <w:r>
        <w:rPr>
          <w:rFonts w:ascii="IRNazanin" w:hAnsi="IRNazanin" w:eastAsia="IRNazanin" w:cs="IRNazanin"/>
          <w:lang w:bidi="fa-IR"/>
          <w:color w:val="111111"/>
          <w:sz w:val="28"/>
          <w:szCs w:val="28"/>
          <w:rtl/>
        </w:rPr>
        <w:t xml:space="preserve">در صفر  ۱۰۵۱، در هامش این عبارت تکرار شده:«ثم بلغ  سمـاعاً  أيده الله»، مجدول؛ کاغذ: ترمه ۴۹۰ برگ، ۲۰  سطر، قطع: مصری،</w:t>
      </w:r>
    </w:p>
    <w:p>
      <w:pPr>
        <w:pStyle w:val="BookText"/>
      </w:pPr>
      <w:r>
        <w:rPr>
          <w:rFonts w:ascii="IRNazanin" w:hAnsi="IRNazanin" w:eastAsia="IRNazanin" w:cs="IRNazanin"/>
          <w:lang w:bidi="fa-IR"/>
          <w:color w:val="111111"/>
          <w:sz w:val="28"/>
          <w:szCs w:val="28"/>
          <w:rtl/>
        </w:rPr>
        <w:t xml:space="preserve">اندازه: ۱۷/۵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۹سم [ تراثنا: س ۶ش ۱ - ۷۰]</w:t>
      </w:r>
    </w:p>
    <w:p>
      <w:pPr>
        <w:pStyle w:val="BookText"/>
      </w:pPr>
      <w:r>
        <w:rPr>
          <w:rFonts w:ascii="IRNazanin" w:hAnsi="IRNazanin" w:eastAsia="IRNazanin" w:cs="IRNazanin"/>
          <w:lang w:bidi="fa-IR"/>
          <w:color w:val="111111"/>
          <w:sz w:val="28"/>
          <w:szCs w:val="28"/>
          <w:rtl/>
        </w:rPr>
        <w:t xml:space="preserve">۱۷۸. مشهد؛ رضوی؛ شماره نسخه: ۱۶۹۲۵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جلد ۱-۳؛ خط: نسخ، کا: لطف الله بن عبدالله  شریف، تا: پنج شـنبه ۱۴ محرم ۱۰۵۱ق؛ با سرلوح کم کار ،مجدول دارای انواع بلاغ، محشی با رموز «ع س ، ع ل، س م د، شیخ محمد و ... » ؛ واگذاری دانشگاه علوم اسلام رضوی در ۱۳۶۸؛ کاغذ: حنائی آهارمهره ،جلد: تیماج  مشکی، ۴۸۶گ ۲۱ سطر (9/8</w:t>
      </w:r>
      <w:r>
        <w:rPr>
          <w:rFonts w:ascii="Times New Roman" w:hAnsi="Times New Roman" w:eastAsia="Times New Roman" w:cs="Times New Roman"/>
          <w:lang w:val="en-US" w:bidi="en-US"/>
          <w:color w:val="111111"/>
          <w:sz w:val="28"/>
          <w:szCs w:val="28"/>
          <w:rtl/>
        </w:rPr>
        <w:t xml:space="preserve">×19/2)</w:t>
      </w:r>
      <w:r>
        <w:rPr>
          <w:rFonts w:ascii="IRNazanin" w:hAnsi="IRNazanin" w:eastAsia="IRNazanin" w:cs="IRNazanin"/>
          <w:lang w:bidi="fa-IR"/>
          <w:color w:val="111111"/>
          <w:sz w:val="28"/>
          <w:szCs w:val="28"/>
          <w:rtl/>
        </w:rPr>
        <w:t xml:space="preserve">، اندازه: 15/2</w:t>
      </w:r>
      <w:r>
        <w:rPr>
          <w:rFonts w:ascii="Times New Roman" w:hAnsi="Times New Roman" w:eastAsia="Times New Roman" w:cs="Times New Roman"/>
          <w:lang w:val="en-US" w:bidi="en-US"/>
          <w:color w:val="111111"/>
          <w:sz w:val="28"/>
          <w:szCs w:val="28"/>
          <w:rtl/>
        </w:rPr>
        <w:t xml:space="preserve">×27</w:t>
      </w:r>
      <w:r>
        <w:rPr>
          <w:rFonts w:ascii="IRNazanin" w:hAnsi="IRNazanin" w:eastAsia="IRNazanin" w:cs="IRNazanin"/>
          <w:lang w:bidi="fa-IR"/>
          <w:color w:val="111111"/>
          <w:sz w:val="28"/>
          <w:szCs w:val="28"/>
          <w:rtl/>
        </w:rPr>
        <w:t xml:space="preserve">سم [ف: ۱۴ - ۵۹]</w:t>
      </w:r>
    </w:p>
    <w:p>
      <w:pPr>
        <w:pStyle w:val="BookText"/>
      </w:pPr>
      <w:r>
        <w:rPr>
          <w:rFonts w:ascii="IRNazanin" w:hAnsi="IRNazanin" w:eastAsia="IRNazanin" w:cs="IRNazanin"/>
          <w:lang w:bidi="fa-IR"/>
          <w:color w:val="111111"/>
          <w:sz w:val="28"/>
          <w:szCs w:val="28"/>
          <w:rtl/>
        </w:rPr>
        <w:t xml:space="preserve">۱۷۹. مشهد؛ رضوی؛ شماره نسخه: ۲۶۵۲۱</w:t>
      </w:r>
    </w:p>
    <w:p>
      <w:pPr>
        <w:pStyle w:val="BookText"/>
      </w:pPr>
      <w:r>
        <w:rPr>
          <w:rFonts w:ascii="Amiri" w:hAnsi="Amiri" w:eastAsia="Amiri" w:cs="Amiri"/>
          <w:lang w:bidi="ar-SA"/>
          <w:color w:val="111111"/>
          <w:sz w:val="28"/>
          <w:szCs w:val="28"/>
          <w:rtl/>
        </w:rPr>
        <w:t xml:space="preserve">آغاز: عداوان كانا متساويين في العدالة والعدد؛ انجام: برابر</w:t>
      </w:r>
    </w:p>
    <w:p>
      <w:pPr>
        <w:pStyle w:val="BookText"/>
      </w:pPr>
      <w:r>
        <w:rPr>
          <w:rFonts w:ascii="IRNazanin" w:hAnsi="IRNazanin" w:eastAsia="IRNazanin" w:cs="IRNazanin"/>
          <w:lang w:bidi="fa-IR"/>
          <w:color w:val="111111"/>
          <w:sz w:val="28"/>
          <w:szCs w:val="28"/>
          <w:rtl/>
        </w:rPr>
        <w:t xml:space="preserve">جلد 3- 1؛ از اوایل طهارت تا پایان کتاب؛ خط: نسخ و نستعلیق، بی کا، تا: پنج شنبه ذیقعده ۱۰۵۲ق؛ مصحح، مقابله شده، دارای دو نوع  بلاغ، محشی با رموز «م ح ق رحمه الله» «س م د»؛ یادداشت مالكيت محمد صالح؛ کاغذ: نخودی آهار مهره، جلد: دفه اول  ساقط دفه و دوم تیماج  عنابی، ۲۸۱گ، ۲۸ سطر، اندازه:۱۹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۳۲سم [ف: ۲۶ - ۸۰]</w:t>
      </w:r>
    </w:p>
    <w:p>
      <w:pPr>
        <w:pStyle w:val="BookText"/>
      </w:pPr>
      <w:r>
        <w:rPr>
          <w:rFonts w:ascii="IRNazanin" w:hAnsi="IRNazanin" w:eastAsia="IRNazanin" w:cs="IRNazanin"/>
          <w:lang w:bidi="fa-IR"/>
          <w:color w:val="111111"/>
          <w:sz w:val="28"/>
          <w:szCs w:val="28"/>
          <w:rtl/>
        </w:rPr>
        <w:t xml:space="preserve">۱۸۰ . شیراز؛ علامه طباطبائی؛ شماره نسخه: ۱۵۰۶</w:t>
      </w:r>
    </w:p>
    <w:p>
      <w:pPr>
        <w:pStyle w:val="BookText"/>
      </w:pPr>
      <w:r>
        <w:rPr>
          <w:rFonts w:ascii="IRNazanin" w:hAnsi="IRNazanin" w:eastAsia="IRNazanin" w:cs="IRNazanin"/>
          <w:lang w:bidi="fa-IR"/>
          <w:color w:val="111111"/>
          <w:sz w:val="28"/>
          <w:szCs w:val="28"/>
          <w:rtl/>
        </w:rPr>
        <w:t xml:space="preserve">خط: نسخ، بی کا، تا: با تاریخ ۱۰۵۲ق؛ افتادگی: آغاز و انجام؛ تملک: علی بن سلیمان بحرانی به خط علی بن خط علی بن احمد بن عبدالسلام بحرانی در ۲۰ ذیقعده سال ۱۰۵۲؛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۲۴سم  [نسخه پژوهی ۲ - ۱۱۲]</w:t>
      </w:r>
    </w:p>
    <w:p>
      <w:pPr>
        <w:pStyle w:val="BookText"/>
      </w:pPr>
      <w:r>
        <w:rPr>
          <w:rFonts w:ascii="IRNazanin" w:hAnsi="IRNazanin" w:eastAsia="IRNazanin" w:cs="IRNazanin"/>
          <w:lang w:bidi="fa-IR"/>
          <w:color w:val="111111"/>
          <w:sz w:val="28"/>
          <w:szCs w:val="28"/>
          <w:rtl/>
        </w:rPr>
        <w:t xml:space="preserve">۱۸۱. تهران؛ سپهسالار؛ شماره نسخه: ۱۸۹۷</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جلد اول و دوم؛ خط: نسخ، بی کا، تا: ۱۰۵۳ق؛ واقف: سپهسالار؛ کاغذ: نباتی، جلد: چرمی ۲۶۵ ص، ۲۲ سطر، قطع: رحلی، اندازه: ۲۰/۵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۱ - ۲۰۴]</w:t>
      </w:r>
    </w:p>
    <w:p>
      <w:pPr>
        <w:pStyle w:val="BookText"/>
      </w:pPr>
      <w:r>
        <w:rPr>
          <w:rFonts w:ascii="IRNazanin" w:hAnsi="IRNazanin" w:eastAsia="IRNazanin" w:cs="IRNazanin"/>
          <w:lang w:bidi="fa-IR"/>
          <w:color w:val="111111"/>
          <w:sz w:val="28"/>
          <w:szCs w:val="28"/>
          <w:rtl/>
        </w:rPr>
        <w:t xml:space="preserve">۱۸۲ . قم؛ گلپایگانی؛ شماره نسخه: ۷۵۸۴- ۵۱/۴۴</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کا: محمد نصير بن عبدالمطلب طالقانی، تا: ۸ ذیحجه  ۱۰۵۳ ق ،۴۴۷گ ۱۹  سطر، قطع: وزیری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۲۶سم [ف:</w:t>
      </w:r>
    </w:p>
    <w:p>
      <w:pPr>
        <w:pStyle w:val="BookText"/>
      </w:pPr>
      <w:r>
        <w:rPr>
          <w:rFonts w:ascii="Times New Roman" w:hAnsi="Times New Roman" w:eastAsia="Times New Roman" w:cs="Times New Roman"/>
          <w:lang w:val="en-US" w:bidi="en-US"/>
          <w:color w:val="111111"/>
          <w:sz w:val="28"/>
          <w:szCs w:val="28"/>
          <w:rtl/>
        </w:rPr>
        <w:t xml:space="preserve">1- 332]</w:t>
      </w:r>
    </w:p>
    <w:p>
      <w:pPr>
        <w:pStyle w:val="BookText"/>
      </w:pPr>
      <w:r>
        <w:rPr>
          <w:rFonts w:ascii="IRNazanin" w:hAnsi="IRNazanin" w:eastAsia="IRNazanin" w:cs="IRNazanin"/>
          <w:lang w:bidi="fa-IR"/>
          <w:color w:val="111111"/>
          <w:sz w:val="28"/>
          <w:szCs w:val="28"/>
          <w:rtl/>
        </w:rPr>
        <w:t xml:space="preserve">۱۸۳. مشهد؛ مدرسه سلیمانیه؛ شماره نسخه: ۴۸</w:t>
      </w:r>
    </w:p>
    <w:p>
      <w:pPr>
        <w:pStyle w:val="BookText"/>
      </w:pPr>
      <w:r>
        <w:rPr>
          <w:rFonts w:ascii="IRNazanin" w:hAnsi="IRNazanin" w:eastAsia="IRNazanin" w:cs="IRNazanin"/>
          <w:lang w:bidi="fa-IR"/>
          <w:color w:val="111111"/>
          <w:sz w:val="28"/>
          <w:szCs w:val="28"/>
          <w:rtl/>
        </w:rPr>
        <w:t xml:space="preserve">از آغاز تا کتاب الحج؛ خط: نسخ، كا: حاجی غلامحسین، تا: ۱۰۵۳ق، جا: مشهد؛ مصحح، با نشان های بلاغ؛ قطع: خشتی [چهار</w:t>
      </w:r>
    </w:p>
    <w:p>
      <w:pPr>
        <w:pStyle w:val="BookText"/>
      </w:pPr>
      <w:r>
        <w:rPr>
          <w:rFonts w:ascii="IRNazanin" w:hAnsi="IRNazanin" w:eastAsia="IRNazanin" w:cs="IRNazanin"/>
          <w:lang w:bidi="fa-IR"/>
          <w:color w:val="111111"/>
          <w:sz w:val="28"/>
          <w:szCs w:val="28"/>
          <w:rtl/>
        </w:rPr>
        <w:t xml:space="preserve">کتابخانه مشهد -ف - ۵]</w:t>
      </w:r>
    </w:p>
    <w:p>
      <w:pPr>
        <w:pStyle w:val="BookText"/>
      </w:pPr>
      <w:r>
        <w:rPr>
          <w:rFonts w:ascii="IRNazanin" w:hAnsi="IRNazanin" w:eastAsia="IRNazanin" w:cs="IRNazanin"/>
          <w:lang w:bidi="fa-IR"/>
          <w:color w:val="111111"/>
          <w:sz w:val="28"/>
          <w:szCs w:val="28"/>
          <w:rtl/>
        </w:rPr>
        <w:t xml:space="preserve">۱۸۴ مشهد؛ نواب شماره نسخه: ۳۹۸</w:t>
      </w:r>
    </w:p>
    <w:p>
      <w:pPr>
        <w:pStyle w:val="BookText"/>
      </w:pPr>
      <w:r>
        <w:rPr>
          <w:rFonts w:ascii="Amiri" w:hAnsi="Amiri" w:eastAsia="Amiri" w:cs="Amiri"/>
          <w:lang w:bidi="ar-SA"/>
          <w:color w:val="111111"/>
          <w:sz w:val="28"/>
          <w:szCs w:val="28"/>
          <w:rtl/>
        </w:rPr>
        <w:t xml:space="preserve">آغاز: برابر؛ انجام: و كذلك فى المسجد الكوفه لان ... فرق بين الموضعين . تم الجزء الثانى.</w:t>
      </w:r>
    </w:p>
    <w:p>
      <w:pPr>
        <w:pStyle w:val="BookText"/>
      </w:pPr>
      <w:r>
        <w:rPr>
          <w:rFonts w:ascii="IRNazanin" w:hAnsi="IRNazanin" w:eastAsia="IRNazanin" w:cs="IRNazanin"/>
          <w:lang w:bidi="fa-IR"/>
          <w:color w:val="111111"/>
          <w:sz w:val="28"/>
          <w:szCs w:val="28"/>
          <w:rtl/>
        </w:rPr>
        <w:t xml:space="preserve">جلد اول و دوم، از اول تا آخر صلاة؛ خط: نسخ و ثلث، کا: کلب على بن مسعود  طالقانی، تا: جمادی الاول ۱۰۵۴ق؛ پشت صفحه اول وقفنامه کتابت توسط آخوند ملا ملک علی با مهر او «الواثق بالله الغنى عبدالملک علی» (بیضی) تملک: محمد رفیع بن محمد قاسم با مهر «يا رفيع الدرجات» (بادامی شکل)؛ جلد: تیماج لولایی قهوه ای، ۲۴۱گ ۲۱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 اندازه: ۲۱/۵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۳۱سم [ف ۳۳۳]</w:t>
      </w:r>
    </w:p>
    <w:p>
      <w:pPr>
        <w:pStyle w:val="BookText"/>
      </w:pPr>
      <w:r>
        <w:rPr>
          <w:rFonts w:ascii="IRNazanin" w:hAnsi="IRNazanin" w:eastAsia="IRNazanin" w:cs="IRNazanin"/>
          <w:lang w:bidi="fa-IR"/>
          <w:color w:val="111111"/>
          <w:sz w:val="28"/>
          <w:szCs w:val="28"/>
          <w:rtl/>
        </w:rPr>
        <w:t xml:space="preserve">۱۸۵. قم؛ مرعشی؛ شماره نسخه ۱۱۴۲۰</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حسن بن علی بن محمد بن مسلم مقابی، تا: ۶  رمضان ۱۰۵۵ق؛ مصحح، مقابله شده با عبارت: ، مقابله شده با عبارت «بلغ قبالاً» و «بلغ قبالاً أيده الله تعالی» دو برگ از آغاز نسخه و مشیخه کتاب در  پایان نونویس است که توسط حیدر قلی خان مشهور به سردار کابلی در ۵ رمضان ۱۳۴۸ق کتابت و مقابله شده است، دستخط آیت الله مرعشی نجفی در ۸ محرم ۱۳۹۱ق در مورد نسخه؛ تملک: «حسین کی استوان تهرانی» به سال ۱۳۳۲ش، «علی اصغر فاضل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کرمانشاهی به سال ۱۳۰۳ق همراه مهر بیضوی، «ابراهیم بلاغی» «مهدی بن حسن حسینی اعرجی» عموی علامه سید محسن اعرجی، «حیدر قلی خان بن نور محمد خان کابلی» مهر: «و علی الله فى كل الأمور توكلى و بالخمس أصحاب العباء توسلى، عـبده محمد باقر ۱۱۰۹ »(دایره)؛ «علی اصغر بن على» (بيضى) كاغذ:فرنگی، آهار مهره ،جلد: مشمعی قهوه ای عطف تیماج قهوه ای، ۳۱۴گ، ۳۰ سطر، اندازه: ۳۰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۲۹ - ۲۸]</w:t>
      </w:r>
    </w:p>
    <w:p>
      <w:pPr>
        <w:pStyle w:val="BookText"/>
      </w:pPr>
      <w:r>
        <w:rPr>
          <w:rFonts w:ascii="IRNazanin" w:hAnsi="IRNazanin" w:eastAsia="IRNazanin" w:cs="IRNazanin"/>
          <w:lang w:bidi="fa-IR"/>
          <w:color w:val="111111"/>
          <w:sz w:val="28"/>
          <w:szCs w:val="28"/>
          <w:rtl/>
        </w:rPr>
        <w:t xml:space="preserve">۱۸۶. تهران؛ دانشگاه؛ شماره نسخه: ۱۴۰۴</w:t>
      </w:r>
    </w:p>
    <w:p>
      <w:pPr>
        <w:pStyle w:val="BookText"/>
      </w:pPr>
      <w:r>
        <w:rPr>
          <w:rFonts w:ascii="IRNazanin" w:hAnsi="IRNazanin" w:eastAsia="IRNazanin" w:cs="IRNazanin"/>
          <w:lang w:bidi="fa-IR"/>
          <w:color w:val="111111"/>
          <w:sz w:val="28"/>
          <w:szCs w:val="28"/>
          <w:rtl/>
        </w:rPr>
        <w:t xml:space="preserve">خط: نسخ، بی کا، تا: ۱۰۵۴ق؛ مجدول ، با سرلوح زیبا، مصحح  و مقابله نورالدین بن كاظم کربلائی در روز ۲۴ محرم ۱۰۵۶؛ کاغذ: سپاهانی ،جلد: تیماج مشکی زرکوب ضربی مقوایی درون عنابی زرکوب، ۲۶۲گ، ۲۸سطر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۱۰/۵)،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۲۹سم [ف ۸ - ۸۳]</w:t>
      </w:r>
    </w:p>
    <w:p>
      <w:pPr>
        <w:pStyle w:val="BookText"/>
      </w:pPr>
      <w:r>
        <w:rPr>
          <w:rFonts w:ascii="IRNazanin" w:hAnsi="IRNazanin" w:eastAsia="IRNazanin" w:cs="IRNazanin"/>
          <w:lang w:bidi="fa-IR"/>
          <w:color w:val="111111"/>
          <w:sz w:val="28"/>
          <w:szCs w:val="28"/>
          <w:rtl/>
        </w:rPr>
        <w:t xml:space="preserve">۱۸۷ . قم؛ مرعشی؛ شماره نسخه: ۱۴۷۱۸</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محمد بن علی بن احمد عاملی حرفوشی، تا: محـرم۱۰۵۴ق، جا: اصفهان؛ کاتب از علمای بزرگ امامیه و مؤلـف</w:t>
      </w:r>
    </w:p>
    <w:p>
      <w:pPr>
        <w:pStyle w:val="BookText"/>
      </w:pPr>
      <w:r>
        <w:rPr>
          <w:rFonts w:ascii="IRNazanin" w:hAnsi="IRNazanin" w:eastAsia="IRNazanin" w:cs="IRNazanin"/>
          <w:lang w:bidi="fa-IR"/>
          <w:color w:val="111111"/>
          <w:sz w:val="28"/>
          <w:szCs w:val="28"/>
          <w:rtl/>
        </w:rPr>
        <w:t xml:space="preserve">شرح هایی بر «قواعد شهید»، «آجرومیه»، «صمديه»، «زبدة الاصول» و ... است، در برگ آغازین چنین آمده: «كتبه لنفسه و لمن الله من بعدى الفقير محمد بن على الحرفوشی» با دو مهر بیضی، مصحح، محشی با نشان «م د رحمه الله» دارد؛ تملک «سید عنایت الله حسینی سبزواری نسابه» به همراه دستخط وی به تاریخ محـرم سال ۱۱۱۳ق با دو مهر بیضی؛ کاغذ ،شرقی، جلد: مشمع مشـکی عطف تیماج  مشکی، ۳۲۰گ، ۲۹ سطر(۱۱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 اندازه: ۲۰/۵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۲۶سم [ف: ۳۷ - ۲۶۶]</w:t>
      </w:r>
    </w:p>
    <w:p>
      <w:pPr>
        <w:pStyle w:val="BookText"/>
      </w:pPr>
      <w:r>
        <w:rPr>
          <w:rFonts w:ascii="IRNazanin" w:hAnsi="IRNazanin" w:eastAsia="IRNazanin" w:cs="IRNazanin"/>
          <w:lang w:bidi="fa-IR"/>
          <w:color w:val="111111"/>
          <w:sz w:val="28"/>
          <w:szCs w:val="28"/>
          <w:rtl/>
        </w:rPr>
        <w:t xml:space="preserve">۱۸۸. قم؛ مرعشی؛ شماره نسخه:۶۲۳۶</w:t>
      </w:r>
    </w:p>
    <w:p>
      <w:pPr>
        <w:pStyle w:val="BookText"/>
      </w:pPr>
      <w:r>
        <w:rPr>
          <w:rFonts w:ascii="IRNazanin" w:hAnsi="IRNazanin" w:eastAsia="IRNazanin" w:cs="IRNazanin"/>
          <w:lang w:bidi="fa-IR"/>
          <w:color w:val="111111"/>
          <w:sz w:val="28"/>
          <w:szCs w:val="28"/>
          <w:rtl/>
        </w:rPr>
        <w:t xml:space="preserve">از کتاب جهاد تا پایان مشیخه؛ خط: نسخ، کا: محمد بن ابراهیم مشهور به ابن المغسل ،تا: سه شنبه ۲۳ ذیحجه ۱۰۵۴ق؛ افتادگی: آغاز؛ مصحح، محشی، با نشان بلاغ، سه مرتبه خوانده شده،در پایان کتاب قبل از مشیخه اجازه ای که جعفر بن کمال الدین بحرانی برای شیخ ... بن حاجی محمد مازندرانی (متأسفانه نام این شخص در صحافی بریده شده) نوشته در حاشیه صفحه نهم وقف نامه کتاب است که ابو القاسم بن محمد باقر مازندرانی هـزار جریبی با مهر «عبده الراجى ابو القاسم» (بیضی)؛ جلد: تیماج قرمز، ۴۵۸گ، مختلف السطر ،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۲۵/۵سم [ف : ۱۶ - ۲۲۵]</w:t>
      </w:r>
    </w:p>
    <w:p>
      <w:pPr>
        <w:pStyle w:val="BookText"/>
      </w:pPr>
      <w:r>
        <w:rPr>
          <w:rFonts w:ascii="IRNazanin" w:hAnsi="IRNazanin" w:eastAsia="IRNazanin" w:cs="IRNazanin"/>
          <w:lang w:bidi="fa-IR"/>
          <w:color w:val="111111"/>
          <w:sz w:val="28"/>
          <w:szCs w:val="28"/>
          <w:rtl/>
        </w:rPr>
        <w:t xml:space="preserve">۱۸۹. قم؛ مرعشی؛ شماره نسخه ۳۵۵۲</w:t>
      </w:r>
    </w:p>
    <w:p>
      <w:pPr>
        <w:pStyle w:val="BookText"/>
      </w:pPr>
      <w:r>
        <w:rPr>
          <w:rFonts w:ascii="IRNazanin" w:hAnsi="IRNazanin" w:eastAsia="IRNazanin" w:cs="IRNazanin"/>
          <w:lang w:bidi="fa-IR"/>
          <w:color w:val="111111"/>
          <w:sz w:val="28"/>
          <w:szCs w:val="28"/>
          <w:rtl/>
        </w:rPr>
        <w:t xml:space="preserve">کا: حسین بن مطر بن علی  جزائری، تا: شب ۲۰ ذیحجه ۱۰۵۵ مصحح، محشی، دارای علامت بلاغ به سه خط، کاتب نسخه در پایان می نویسد که از روی نسخه ای که نزد شیخ محمد بن سلیـمان مقابی بحرانی خوانده شده و در آن برای شیخ ابراهیم بن علی مبارک مقابی بحرانی اجازه ای نوشته شده  است، مقابله شده .قبل از کتاب ۵ برگ است دارای یادداشت هایی مختلف و اجـازه هاشم بن سليمان بن اسماعيل بن عبد الجواد الحسينى البحرانی به جهت شيخ هيكل بن عبد عبد على اسدی جزائری به تاریخ نهم  ربيع الاول ۱۱۰۰ و اجازه عبدالله بن علی بن احمد بن سلیمان بلادی بحرانی به جهت شیخ حسین (؟) به تاریخ ۹ شوال ۱۲۴۲؛ تملک: محمد قمی، محمد مؤمن بن محمد شفیع، حسين بن على بن محمد بن علی مقابی بحرانی؛ جلد: تیماج قرمز، ۳۷۸گ ۲۴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۲۴سم [ف: ۹ - ۳۴۴]</w:t>
      </w:r>
    </w:p>
    <w:p>
      <w:pPr>
        <w:pStyle w:val="BookText"/>
      </w:pPr>
      <w:r>
        <w:rPr>
          <w:rFonts w:ascii="IRNazanin" w:hAnsi="IRNazanin" w:eastAsia="IRNazanin" w:cs="IRNazanin"/>
          <w:lang w:bidi="fa-IR"/>
          <w:color w:val="111111"/>
          <w:sz w:val="28"/>
          <w:szCs w:val="28"/>
          <w:rtl/>
        </w:rPr>
        <w:t xml:space="preserve">۱۹۰. تهران؛ دانشگاه؛ شماره نسخه:۶۲۶</w:t>
      </w:r>
    </w:p>
    <w:p>
      <w:pPr>
        <w:pStyle w:val="BookText"/>
      </w:pPr>
      <w:r>
        <w:rPr>
          <w:rFonts w:ascii="IRNazanin" w:hAnsi="IRNazanin" w:eastAsia="IRNazanin" w:cs="IRNazanin"/>
          <w:lang w:bidi="fa-IR"/>
          <w:color w:val="111111"/>
          <w:sz w:val="28"/>
          <w:szCs w:val="28"/>
          <w:rtl/>
        </w:rPr>
        <w:t xml:space="preserve">کامل؛ کا: ابی الفضائل محمد بن عبدالله زواری  قاضی، تا: ۱ محرم ۱۰۵۵ق، محشی از ملا عبدالله و بهاء محمد و دیگران و با نشان های «ع ل» و«س م د» و «ب هـ؛ کاغذ: آهار مهره ،فرنگی ،جلد: تیماج  زرد، ۲۱۴گ، ۳۰ سطر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۲۸سم [ف: ۵ - ۱۰۸۷]</w:t>
      </w:r>
    </w:p>
    <w:p>
      <w:pPr>
        <w:pStyle w:val="BookText"/>
      </w:pPr>
      <w:r>
        <w:rPr>
          <w:rFonts w:ascii="IRNazanin" w:hAnsi="IRNazanin" w:eastAsia="IRNazanin" w:cs="IRNazanin"/>
          <w:lang w:bidi="fa-IR"/>
          <w:color w:val="111111"/>
          <w:sz w:val="28"/>
          <w:szCs w:val="28"/>
          <w:rtl/>
        </w:rPr>
        <w:t xml:space="preserve">۱۹۱. یزد؛ وزیری؛ شماره نسخه: ۷۰۳</w:t>
      </w:r>
    </w:p>
    <w:p>
      <w:pPr>
        <w:pStyle w:val="BookText"/>
      </w:pPr>
      <w:r>
        <w:rPr>
          <w:rFonts w:ascii="Amiri" w:hAnsi="Amiri" w:eastAsia="Amiri" w:cs="Amiri"/>
          <w:lang w:bidi="ar-SA"/>
          <w:color w:val="111111"/>
          <w:sz w:val="28"/>
          <w:szCs w:val="28"/>
          <w:rtl/>
        </w:rPr>
        <w:t xml:space="preserve">آغاز: برابر؛ انجام: والثالث يتعلق بالمعاملات و غيرها من ابواب  الفقه تم.</w:t>
      </w:r>
    </w:p>
    <w:p>
      <w:pPr>
        <w:pStyle w:val="BookText"/>
      </w:pPr>
      <w:r>
        <w:rPr>
          <w:rFonts w:ascii="IRNazanin" w:hAnsi="IRNazanin" w:eastAsia="IRNazanin" w:cs="IRNazanin"/>
          <w:lang w:bidi="fa-IR"/>
          <w:color w:val="111111"/>
          <w:sz w:val="28"/>
          <w:szCs w:val="28"/>
          <w:rtl/>
        </w:rPr>
        <w:t xml:space="preserve">خط:نسخ، کا: محسن  رکن آبادی، تا: ۱۰۵۵ق؛ اهدایی سید  حسین رضوی ؛کاغذ ،فرنگی ،جلد: تیماج تریاکی زرد ۵۶۶گ، ۲۱ سطر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۳۵سم [ف: ۲ - ۵۹۷]</w:t>
      </w:r>
    </w:p>
    <w:p>
      <w:pPr>
        <w:pStyle w:val="BookText"/>
      </w:pPr>
      <w:r>
        <w:rPr>
          <w:rFonts w:ascii="IRNazanin" w:hAnsi="IRNazanin" w:eastAsia="IRNazanin" w:cs="IRNazanin"/>
          <w:lang w:bidi="fa-IR"/>
          <w:color w:val="111111"/>
          <w:sz w:val="28"/>
          <w:szCs w:val="28"/>
          <w:rtl/>
        </w:rPr>
        <w:t xml:space="preserve">۱۹۲. یزد؛ مدرسه خان؛ شماره نسخه: ۸۵</w:t>
      </w:r>
    </w:p>
    <w:p>
      <w:pPr>
        <w:pStyle w:val="BookText"/>
      </w:pPr>
      <w:r>
        <w:rPr>
          <w:rFonts w:ascii="IRNazanin" w:hAnsi="IRNazanin" w:eastAsia="IRNazanin" w:cs="IRNazanin"/>
          <w:lang w:bidi="fa-IR"/>
          <w:color w:val="111111"/>
          <w:sz w:val="28"/>
          <w:szCs w:val="28"/>
          <w:rtl/>
        </w:rPr>
        <w:t xml:space="preserve">خط: نسخ، کا: محمد بن احمد بن جعفر بن احمد بن على بن حسين بن محمود بن سعيد بن محمد بن علی بن جعفر عسکری شاطری اوالی بحرانی، تا: ۱۸ ذیحجه ۱۰۵۵ق، برای کتابخانه شیخ اسماعيل بن حاج محمد بن علی ساری اوالی بحرانی؛ مصحح، محشی، کتاب را از اول تا آخر ابراهيم بن علی بن مدارک بحرانی با نسخه استادش شیخ محمد بن سليمان بن محمد بن علی (بحرانی) مقابله کرده و این کار را به تاریخ ۵ صفر ۱۰۸۳ به پایان برده است؛ جلد: تیماج لبه دار و قرمز سوخته  ضربی، ۳۳۶گ، ۲۷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۲۸سم [ف: ۶۷]</w:t>
      </w:r>
    </w:p>
    <w:p>
      <w:pPr>
        <w:pStyle w:val="BookText"/>
      </w:pPr>
      <w:r>
        <w:rPr>
          <w:rFonts w:ascii="IRNazanin" w:hAnsi="IRNazanin" w:eastAsia="IRNazanin" w:cs="IRNazanin"/>
          <w:lang w:bidi="fa-IR"/>
          <w:color w:val="111111"/>
          <w:sz w:val="28"/>
          <w:szCs w:val="28"/>
          <w:rtl/>
        </w:rPr>
        <w:t xml:space="preserve">۱۹۳. قم؛ حجتیه؛ شماره نسخه: ۱۴۲</w:t>
      </w:r>
    </w:p>
    <w:p>
      <w:pPr>
        <w:pStyle w:val="BookText"/>
      </w:pPr>
      <w:r>
        <w:rPr>
          <w:rFonts w:ascii="IRNazanin" w:hAnsi="IRNazanin" w:eastAsia="IRNazanin" w:cs="IRNazanin"/>
          <w:lang w:bidi="fa-IR"/>
          <w:color w:val="111111"/>
          <w:sz w:val="28"/>
          <w:szCs w:val="28"/>
          <w:rtl/>
        </w:rPr>
        <w:t xml:space="preserve">خط: نسخ، کا: زین العابدين بن عزيز الله حسینی، تا: ۱۰۵۵ق [ف: ۳۵]</w:t>
      </w:r>
    </w:p>
    <w:p>
      <w:pPr>
        <w:pStyle w:val="BookText"/>
      </w:pPr>
      <w:r>
        <w:rPr>
          <w:rFonts w:ascii="IRNazanin" w:hAnsi="IRNazanin" w:eastAsia="IRNazanin" w:cs="IRNazanin"/>
          <w:lang w:bidi="fa-IR"/>
          <w:color w:val="111111"/>
          <w:sz w:val="28"/>
          <w:szCs w:val="28"/>
          <w:rtl/>
        </w:rPr>
        <w:t xml:space="preserve">۱۹۴. قم؛ مرعشی؛ شماره نسخه:۵۶۷</w:t>
      </w:r>
    </w:p>
    <w:p>
      <w:pPr>
        <w:pStyle w:val="BookText"/>
      </w:pPr>
      <w:r>
        <w:rPr>
          <w:rFonts w:ascii="IRNazanin" w:hAnsi="IRNazanin" w:eastAsia="IRNazanin" w:cs="IRNazanin"/>
          <w:lang w:bidi="fa-IR"/>
          <w:color w:val="111111"/>
          <w:sz w:val="28"/>
          <w:szCs w:val="28"/>
          <w:rtl/>
        </w:rPr>
        <w:t xml:space="preserve">خط ، نسخ، کا: خان محمد بن محمد رضا تو سرکانی، تا: سه شنبه ۲۰ ذیحجه ۱۰۵۶ق؛ مصحح، روی برگ اول وقف نامه ای است که مهدی بن ابی ذر (ملا مهدی) نراقی نوشته است و مهر وی «یا امام محمد مهدی ادرکنی» (بیضی) در برگی پس از کتاب اجازه ای است که محمد على الرضوی به جهت مولانا خلیل الله رازی نوشته است؛ تملک: ذوالفقار بن محمد علی اصفهانی با مهر «لا فتى الا على لا سيف الا ذوالفقار»(بيضى)؛ مهر: «نعم المولى نعم النصير» (بيضى)،«تلك الجنة التى نورث من عبادنا من كان تقياً» (مربع)؛ جلد: تیماج قهوه ای، ۴۷۷گ، ۲۰ سطر،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۲ - ۱۶۶]</w:t>
      </w:r>
    </w:p>
    <w:p>
      <w:pPr>
        <w:pStyle w:val="BookText"/>
      </w:pPr>
      <w:r>
        <w:rPr>
          <w:rFonts w:ascii="IRNazanin" w:hAnsi="IRNazanin" w:eastAsia="IRNazanin" w:cs="IRNazanin"/>
          <w:lang w:bidi="fa-IR"/>
          <w:color w:val="111111"/>
          <w:sz w:val="28"/>
          <w:szCs w:val="28"/>
          <w:rtl/>
        </w:rPr>
        <w:t xml:space="preserve">۱۹۵. کاشان؛ مدرسه سلطانی؛ شماره نسخه: ۷۰</w:t>
      </w:r>
    </w:p>
    <w:p>
      <w:pPr>
        <w:pStyle w:val="BookText"/>
      </w:pPr>
      <w:r>
        <w:rPr>
          <w:rFonts w:ascii="IRNazanin" w:hAnsi="IRNazanin" w:eastAsia="IRNazanin" w:cs="IRNazanin"/>
          <w:lang w:bidi="fa-IR"/>
          <w:color w:val="111111"/>
          <w:sz w:val="28"/>
          <w:szCs w:val="28"/>
          <w:rtl/>
        </w:rPr>
        <w:t xml:space="preserve">آغاز: برابر؛ انجام: على بن ابراهيم عن ابيه عن ابن ابي عمير عن حماد عن الحلبي عن ابی عبدالله عليه السلام قال سألته عن رجل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لقيه العدو فاصابوا</w:t>
      </w:r>
    </w:p>
    <w:p>
      <w:pPr>
        <w:pStyle w:val="BookText"/>
      </w:pPr>
      <w:r>
        <w:rPr>
          <w:rFonts w:ascii="IRNazanin" w:hAnsi="IRNazanin" w:eastAsia="IRNazanin" w:cs="IRNazanin"/>
          <w:lang w:bidi="fa-IR"/>
          <w:color w:val="111111"/>
          <w:sz w:val="28"/>
          <w:szCs w:val="28"/>
          <w:rtl/>
        </w:rPr>
        <w:t xml:space="preserve">از ابتدای کتاب تا ابتدای کتاب  الجهاد؛ خط: نسخ، بی کا،  تا: رمضان ۱۰۵۷ق؛ افتادگی: انجام؛ مصحح، محشی، دارای علامت</w:t>
      </w:r>
    </w:p>
    <w:p>
      <w:pPr>
        <w:pStyle w:val="BookText"/>
      </w:pPr>
      <w:r>
        <w:rPr>
          <w:rFonts w:ascii="IRNazanin" w:hAnsi="IRNazanin" w:eastAsia="IRNazanin" w:cs="IRNazanin"/>
          <w:lang w:bidi="fa-IR"/>
          <w:color w:val="111111"/>
          <w:sz w:val="28"/>
          <w:szCs w:val="28"/>
          <w:rtl/>
        </w:rPr>
        <w:t xml:space="preserve">بلاغ؛ تملکی به تاریخ ۱۱۹۹ق با مهر «عبده رضی الحسینی 1191» (بیضی) جلد: تیماج سرخ با ترنج با سر مجدول مذهب لولادار،</w:t>
      </w:r>
    </w:p>
    <w:p>
      <w:pPr>
        <w:pStyle w:val="BookText"/>
      </w:pPr>
      <w:r>
        <w:rPr>
          <w:rFonts w:ascii="IRNazanin" w:hAnsi="IRNazanin" w:eastAsia="IRNazanin" w:cs="IRNazanin"/>
          <w:lang w:bidi="fa-IR"/>
          <w:color w:val="111111"/>
          <w:sz w:val="28"/>
          <w:szCs w:val="28"/>
          <w:rtl/>
        </w:rPr>
        <w:t xml:space="preserve">273برگ، ۱۹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۲۵/۵سم [ف]</w:t>
      </w:r>
    </w:p>
    <w:p>
      <w:pPr>
        <w:pStyle w:val="BookText"/>
      </w:pPr>
      <w:r>
        <w:rPr>
          <w:rFonts w:ascii="IRNazanin" w:hAnsi="IRNazanin" w:eastAsia="IRNazanin" w:cs="IRNazanin"/>
          <w:lang w:bidi="fa-IR"/>
          <w:color w:val="111111"/>
          <w:sz w:val="28"/>
          <w:szCs w:val="28"/>
          <w:rtl/>
        </w:rPr>
        <w:t xml:space="preserve">۱۹۶ . قم؛ مرعشی؛ شماره نسخه: ۲۸۹۷</w:t>
      </w:r>
    </w:p>
    <w:p>
      <w:pPr>
        <w:pStyle w:val="BookText"/>
      </w:pPr>
      <w:r>
        <w:rPr>
          <w:rFonts w:ascii="IRNazanin" w:hAnsi="IRNazanin" w:eastAsia="IRNazanin" w:cs="IRNazanin"/>
          <w:lang w:bidi="fa-IR"/>
          <w:color w:val="111111"/>
          <w:sz w:val="28"/>
          <w:szCs w:val="28"/>
          <w:rtl/>
        </w:rPr>
        <w:t xml:space="preserve">خط: نسخ، بی کا، تا: با تاریخ ۱۰۵۷ق؛ افتادگی: آغاز و انجـام ،مصحح، دارای علامت  بلاغ، در پایان کتاب دیات و پیش از مشیخه شیخ علی ابن سلیمان بحرانی اجازه ای برای شیخ خمیس جزائری به تاریخ ۴ شعبان ۱۰۵۷ نوشته؛ جلد: تیماج قرمز،454گ، ۲۲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۲۶سم [ف: ۸ - ۹۶]</w:t>
      </w:r>
    </w:p>
    <w:p>
      <w:pPr>
        <w:pStyle w:val="BookText"/>
      </w:pPr>
      <w:r>
        <w:rPr>
          <w:rFonts w:ascii="IRNazanin" w:hAnsi="IRNazanin" w:eastAsia="IRNazanin" w:cs="IRNazanin"/>
          <w:lang w:bidi="fa-IR"/>
          <w:color w:val="111111"/>
          <w:sz w:val="28"/>
          <w:szCs w:val="28"/>
          <w:rtl/>
        </w:rPr>
        <w:t xml:space="preserve">۱۹۷. مشهد؛ رضوی؛ شماره نسخه: ۱۶۹۲۴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197.جلد ۱-۳؛ خط: نسخ، کا: علی بن محمد عيسى بن صدرالدین حسینی مرعشی  شوشتری، تا: ۱ ذیحجه ۱۰۵۷ق؛ دارای سرلـوح مذهب كم كار و کتیبه، مجدول؛ واگذاری دانشگاه علوم اسلامی   رضوی در ۱۳۶۸؛ کاغذ: حنائی آهار مهره، جلد: تیماج قهوه ای، ۳۵۹گ، ۲۵  سطر، اندازه: ۱۸/۵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۳۰/۸سم [ف: ۱۴ - ۵۹]</w:t>
      </w:r>
    </w:p>
    <w:p>
      <w:pPr>
        <w:pStyle w:val="BookText"/>
      </w:pPr>
      <w:r>
        <w:rPr>
          <w:rFonts w:ascii="IRNazanin" w:hAnsi="IRNazanin" w:eastAsia="IRNazanin" w:cs="IRNazanin"/>
          <w:lang w:bidi="fa-IR"/>
          <w:color w:val="111111"/>
          <w:sz w:val="28"/>
          <w:szCs w:val="28"/>
          <w:rtl/>
        </w:rPr>
        <w:t xml:space="preserve">۱۹۸. کرمانشاه؛ نجومی شماره نسخه:بدون شماره</w:t>
      </w:r>
    </w:p>
    <w:p>
      <w:pPr>
        <w:pStyle w:val="BookText"/>
      </w:pPr>
      <w:r>
        <w:rPr>
          <w:rFonts w:ascii="IRNazanin" w:hAnsi="IRNazanin" w:eastAsia="IRNazanin" w:cs="IRNazanin"/>
          <w:lang w:bidi="fa-IR"/>
          <w:color w:val="111111"/>
          <w:sz w:val="28"/>
          <w:szCs w:val="28"/>
          <w:rtl/>
        </w:rPr>
        <w:t xml:space="preserve">کا: محمد شفیع بن محمد مومن قائنی مشهدی، تا: از محرم تا غره رمضان ۱۰۵۷ق؛ دارای علامت  بلاغ [دليل المخطوطات: ۱ - 217]</w:t>
      </w:r>
    </w:p>
    <w:p>
      <w:pPr>
        <w:pStyle w:val="BookText"/>
      </w:pPr>
      <w:r>
        <w:rPr>
          <w:rFonts w:ascii="IRNazanin" w:hAnsi="IRNazanin" w:eastAsia="IRNazanin" w:cs="IRNazanin"/>
          <w:lang w:bidi="fa-IR"/>
          <w:color w:val="111111"/>
          <w:sz w:val="28"/>
          <w:szCs w:val="28"/>
          <w:rtl/>
        </w:rPr>
        <w:t xml:space="preserve">۱۹۹. مشهد؛ مدرسه باقریه؛ شماره نسخه ۱۰</w:t>
      </w:r>
    </w:p>
    <w:p>
      <w:pPr>
        <w:pStyle w:val="BookText"/>
      </w:pPr>
      <w:r>
        <w:rPr>
          <w:rFonts w:ascii="IRNazanin" w:hAnsi="IRNazanin" w:eastAsia="IRNazanin" w:cs="IRNazanin"/>
          <w:lang w:bidi="fa-IR"/>
          <w:color w:val="111111"/>
          <w:sz w:val="28"/>
          <w:szCs w:val="28"/>
          <w:rtl/>
        </w:rPr>
        <w:t xml:space="preserve">از اول الطهارة تا آخر الديات؛ خط: نسخ، کا: علی بن محمد عيسى بن صدرالدین حسینی  شوشتری، تا: شنبه غره ذیحـجه ۱۰۵۷ق؛ مجدول مذهب؛ وقف بر مدرسه سمیعیه، واقف: میرزا اسحاق حسنی خادم؛ کاغذ ،ترمه ۲۵  سطر، قطع:رحلی، اندازه: ۲۲/۵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۱۰/۵سم [ تراثنا : س۶ش ۱ - ۷۱]</w:t>
      </w:r>
    </w:p>
    <w:p>
      <w:pPr>
        <w:pStyle w:val="BookText"/>
      </w:pPr>
      <w:r>
        <w:rPr>
          <w:rFonts w:ascii="IRNazanin" w:hAnsi="IRNazanin" w:eastAsia="IRNazanin" w:cs="IRNazanin"/>
          <w:lang w:bidi="fa-IR"/>
          <w:color w:val="111111"/>
          <w:sz w:val="28"/>
          <w:szCs w:val="28"/>
          <w:rtl/>
        </w:rPr>
        <w:t xml:space="preserve">۲۰۰. همدان؛ مدرسه زنگنه؛ شماره نسخه: ۱</w:t>
      </w:r>
    </w:p>
    <w:p>
      <w:pPr>
        <w:pStyle w:val="BookText"/>
      </w:pPr>
      <w:r>
        <w:rPr>
          <w:rFonts w:ascii="IRNazanin" w:hAnsi="IRNazanin" w:eastAsia="IRNazanin" w:cs="IRNazanin"/>
          <w:lang w:bidi="fa-IR"/>
          <w:color w:val="111111"/>
          <w:sz w:val="28"/>
          <w:szCs w:val="28"/>
          <w:rtl/>
        </w:rPr>
        <w:t xml:space="preserve">جلد ۱ و ۲؛ کا: جعفر بن غازی، تا: سه شنبه پایان محرم ۱۰۵۸ق، برای محمد حسین بن حاجی دوستی بیک قزوینی [ نشریه : 5- 350]</w:t>
      </w:r>
    </w:p>
    <w:p>
      <w:pPr>
        <w:pStyle w:val="BookText"/>
      </w:pPr>
      <w:r>
        <w:rPr>
          <w:rFonts w:ascii="IRNazanin" w:hAnsi="IRNazanin" w:eastAsia="IRNazanin" w:cs="IRNazanin"/>
          <w:lang w:bidi="fa-IR"/>
          <w:color w:val="111111"/>
          <w:sz w:val="28"/>
          <w:szCs w:val="28"/>
          <w:rtl/>
        </w:rPr>
        <w:t xml:space="preserve">201.تهرا؛ن الهیات؛ شماره نسخه: ۱۶۷</w:t>
      </w:r>
    </w:p>
    <w:p>
      <w:pPr>
        <w:pStyle w:val="BookText"/>
      </w:pPr>
      <w:r>
        <w:rPr>
          <w:rFonts w:ascii="IRNazanin" w:hAnsi="IRNazanin" w:eastAsia="IRNazanin" w:cs="IRNazanin"/>
          <w:lang w:bidi="fa-IR"/>
          <w:color w:val="111111"/>
          <w:sz w:val="28"/>
          <w:szCs w:val="28"/>
          <w:rtl/>
        </w:rPr>
        <w:t xml:space="preserve">خط: نسخ، كا: محمد بن حسن بن محمد الحر الشامي (شيخ حر عاملی)، تا: دهه دوم رمضان ۱۰۵۸ق؛ مجدول در برگ ۳ اشعاری در وصف کتاب و مؤلف؛ تملک: عبد الله موسوی ؛کاغذ: فرنگـی ،جلد: تیماج قهوه ای ضربی مقوایی، ۲۶۶گ، ۲۵ سطر (14</w:t>
      </w: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،قطع: رحلی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۳۰سم [ف: ۴۵۳]</w:t>
      </w:r>
    </w:p>
    <w:p>
      <w:pPr>
        <w:pStyle w:val="BookText"/>
      </w:pPr>
      <w:r>
        <w:rPr>
          <w:rFonts w:ascii="IRNazanin" w:hAnsi="IRNazanin" w:eastAsia="IRNazanin" w:cs="IRNazanin"/>
          <w:lang w:bidi="fa-IR"/>
          <w:color w:val="111111"/>
          <w:sz w:val="28"/>
          <w:szCs w:val="28"/>
          <w:rtl/>
        </w:rPr>
        <w:t xml:space="preserve">۲۰۲. تهران؛ مجلس؛ شماره نسخه: ۴۷۱۱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عبادات - احکام - تا آخر دیات؛ خط: نسخ، کا: حسینبن  بن قاسم علی  مازندرانی، تا: سه شنبه ۷ ذیحجه ۱۰۵۸ق؛ محشی؛ کاغذ:،اصفهانی ،جلد: تیماج قرمز طلاکوب، ۲۳ 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 ،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 ۱۳ - ۹۲]</w:t>
      </w:r>
    </w:p>
    <w:p>
      <w:pPr>
        <w:pStyle w:val="BookText"/>
      </w:pPr>
      <w:r>
        <w:rPr>
          <w:rFonts w:ascii="IRNazanin" w:hAnsi="IRNazanin" w:eastAsia="IRNazanin" w:cs="IRNazanin"/>
          <w:lang w:bidi="fa-IR"/>
          <w:color w:val="111111"/>
          <w:sz w:val="28"/>
          <w:szCs w:val="28"/>
          <w:rtl/>
        </w:rPr>
        <w:t xml:space="preserve">۲۰۳. قم؛ مرعشی؛ شماره نسخه: ۱۲۸۵۶</w:t>
      </w:r>
    </w:p>
    <w:p>
      <w:pPr>
        <w:pStyle w:val="BookText"/>
      </w:pPr>
      <w:r>
        <w:rPr>
          <w:rFonts w:ascii="Amiri" w:hAnsi="Amiri" w:eastAsia="Amiri" w:cs="Amiri"/>
          <w:lang w:bidi="ar-SA"/>
          <w:color w:val="111111"/>
          <w:sz w:val="28"/>
          <w:szCs w:val="28"/>
          <w:rtl/>
        </w:rPr>
        <w:t xml:space="preserve">آغاز: يصوم شعبان و شهر رمضان يصلهما وينهى الناس يصلوهما ... كتاب الحج ، ماهية الاستطاعظ و انها شرط في وجوب الحج؛ انجام: برابر</w:t>
      </w:r>
    </w:p>
    <w:p>
      <w:pPr>
        <w:pStyle w:val="BookText"/>
      </w:pPr>
      <w:r>
        <w:rPr>
          <w:rFonts w:ascii="IRNazanin" w:hAnsi="IRNazanin" w:eastAsia="IRNazanin" w:cs="IRNazanin"/>
          <w:lang w:bidi="fa-IR"/>
          <w:color w:val="111111"/>
          <w:sz w:val="28"/>
          <w:szCs w:val="28"/>
          <w:rtl/>
        </w:rPr>
        <w:t xml:space="preserve">از اواخر کتاب الصوم تا پایان باب دیات؛ خط: نسخ، کا: خواجه  ثریا، تا: سه شنبه ۱۴ صفر ۱۰۵۸ق؛ افتادگی: آغاز؛ مصحح، علامت «بلغ أفاض الله تعالى عليه» مقابله شده، محشی، پشت برگ انجام دستخط مرحوم مجلسی اول مولی محمد تقى مبنى بر إنهاء و اجازه ایشان به ترکه با این عبارت آمده است: «أنها المولى الفاضل الكامل اللوذعى الالمعي ... ابو الهادى تركه «أدام الله تعالى تأییده سماعاً وتحقيقاً وتصحيحاً فى مجالس، آخرها آخر شهر ربیع الاول لسنة اثنى وستين بعد الألف، أجزت له دام تأييده أن یروی عنی هذا  الكتب ، مع سایر الکتاب  الأربعة للأبي جعفرين  محمدین الثلاثة رضی الله تعالی عنهم أخذاً عليه ... أخذ على من الاحتياط في النقل، نمقه بيده الجانية احوج المربوبين الى رحمة ربه الغنى محمد تقی بن مجلسی عفى عنهما بالنبي آله  والمعصومين الحمد لله رب رب العالمين والصلاة ... الطاهرين»؛ كاغذ: شرقی، جلد: تیماج مشکی ضربی با ترنج گل و بوته، ۳۱۲گ، ۲۱ سطر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۲۹سم [ف: ۳۲ – ۶۲۳]</w:t>
      </w:r>
    </w:p>
    <w:p>
      <w:pPr>
        <w:pStyle w:val="BookText"/>
      </w:pPr>
      <w:r>
        <w:rPr>
          <w:rFonts w:ascii="IRNazanin" w:hAnsi="IRNazanin" w:eastAsia="IRNazanin" w:cs="IRNazanin"/>
          <w:lang w:bidi="fa-IR"/>
          <w:color w:val="111111"/>
          <w:sz w:val="28"/>
          <w:szCs w:val="28"/>
          <w:rtl/>
        </w:rPr>
        <w:t xml:space="preserve">۲۰۴ . مشهد؛ رضوی؛ شماره نسخه: ۲۰۵۷۷</w:t>
      </w:r>
    </w:p>
    <w:p>
      <w:pPr>
        <w:pStyle w:val="BookText"/>
      </w:pPr>
      <w:r>
        <w:rPr>
          <w:rFonts w:ascii="Amiri" w:hAnsi="Amiri" w:eastAsia="Amiri" w:cs="Amiri"/>
          <w:lang w:bidi="ar-SA"/>
          <w:color w:val="111111"/>
          <w:sz w:val="28"/>
          <w:szCs w:val="28"/>
          <w:rtl/>
        </w:rPr>
        <w:t xml:space="preserve">آغاز: بسمله، كتاب الجهاد باب من يستحق ان تقسم الغنايم فيهم .</w:t>
      </w:r>
    </w:p>
    <w:p>
      <w:pPr>
        <w:pStyle w:val="BookText"/>
      </w:pPr>
      <w:r>
        <w:rPr>
          <w:rFonts w:ascii="IRNazanin" w:hAnsi="IRNazanin" w:eastAsia="IRNazanin" w:cs="IRNazanin"/>
          <w:lang w:bidi="fa-IR"/>
          <w:color w:val="111111"/>
          <w:sz w:val="28"/>
          <w:szCs w:val="28"/>
          <w:rtl/>
        </w:rPr>
        <w:t xml:space="preserve">بسمله.ابواب الصلاة وحدودها قال الرضا (علیه السّلام) الصلاة لها اربعة آلاف باب؛ انجام: سنه الف و تسع و خمسين بعد الالف من  الهجره  من</w:t>
      </w:r>
    </w:p>
    <w:p>
      <w:pPr>
        <w:pStyle w:val="BookText"/>
      </w:pPr>
      <w:r>
        <w:rPr>
          <w:rFonts w:ascii="IRNazanin" w:hAnsi="IRNazanin" w:eastAsia="IRNazanin" w:cs="IRNazanin"/>
          <w:lang w:bidi="fa-IR"/>
          <w:color w:val="111111"/>
          <w:sz w:val="28"/>
          <w:szCs w:val="28"/>
          <w:rtl/>
        </w:rPr>
        <w:t xml:space="preserve">جلد ۳؛ خط: نسخ، بی کا، تا: شب شنبه ۶ ذیحجه ۱۰۵۹ق؛ محشی؛ اهدایی  رهبری، خرداد ۱۳۷۳؛ کاغذ: نخودی آهار مهره، ۲۶۶گ،  ۱۷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[اهدائی رهبر ۲ اخبار ۱ - ۹۶]</w:t>
      </w:r>
    </w:p>
    <w:p>
      <w:pPr>
        <w:pStyle w:val="BookText"/>
      </w:pPr>
      <w:r>
        <w:rPr>
          <w:rFonts w:ascii="IRNazanin" w:hAnsi="IRNazanin" w:eastAsia="IRNazanin" w:cs="IRNazanin"/>
          <w:lang w:bidi="fa-IR"/>
          <w:color w:val="111111"/>
          <w:sz w:val="28"/>
          <w:szCs w:val="28"/>
          <w:rtl/>
        </w:rPr>
        <w:t xml:space="preserve">۲۰۵. کرمانشاه؛ جلیلی؛ شماره نسخه: ۱۷۴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احمد بن ذعفل  حویزی، تا: ۳ جمادی الاول ۱۰۵۹ق ؛جا: رامهرمز؛ تجلید نسخه در بلده شوشتر، مصحح؛ تملک: حاجی الحرمین محب در ۱۰۵۹، کاتب در ۱۲ جمادی الثانى ،۱۰۶۰ عبد الاحد بن عبدالجلیل كرمانشاهی در رمضان ۱۲۴۰؛ کاغذ: نخودی آهار مهره دولت آبادی، جلد: تیماج عنابی ضربی لبه دار، ۳۴۴گ، ۲۵ سطر،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۳۹/۵سم [ف: ۲۴]</w:t>
      </w:r>
    </w:p>
    <w:p>
      <w:pPr>
        <w:pStyle w:val="BookText"/>
      </w:pPr>
      <w:r>
        <w:rPr>
          <w:rFonts w:ascii="IRNazanin" w:hAnsi="IRNazanin" w:eastAsia="IRNazanin" w:cs="IRNazanin"/>
          <w:lang w:bidi="fa-IR"/>
          <w:color w:val="111111"/>
          <w:sz w:val="28"/>
          <w:szCs w:val="28"/>
          <w:rtl/>
        </w:rPr>
        <w:t xml:space="preserve">۲۰۶. کاشان؛ رضوی؛ شماره نسخه: ۴</w:t>
      </w:r>
    </w:p>
    <w:p>
      <w:pPr>
        <w:pStyle w:val="BookText"/>
      </w:pPr>
      <w:r>
        <w:rPr>
          <w:rFonts w:ascii="IRNazanin" w:hAnsi="IRNazanin" w:eastAsia="IRNazanin" w:cs="IRNazanin"/>
          <w:lang w:bidi="fa-IR"/>
          <w:color w:val="111111"/>
          <w:sz w:val="28"/>
          <w:szCs w:val="28"/>
          <w:rtl/>
        </w:rPr>
        <w:t xml:space="preserve">چند سطری پیش از دیون تا آخر؛ خط: نسخ و نستعلیق، کا: محمد زمان بن مقری سلطان، تا: جمعه ۲۱ جمادی الثانی ۱۰۵۹ق؛ افتادگی: آغاز: قطع: وزیری [نشریه: ۷ - ۳۲]</w:t>
      </w:r>
    </w:p>
    <w:p>
      <w:pPr>
        <w:pStyle w:val="BookText"/>
      </w:pPr>
      <w:r>
        <w:rPr>
          <w:rFonts w:ascii="Times New Roman" w:hAnsi="Times New Roman" w:eastAsia="Times New Roman" w:cs="Times New Roman"/>
          <w:lang w:val="en-US" w:bidi="en-US"/>
          <w:color w:val="111111"/>
          <w:sz w:val="28"/>
          <w:szCs w:val="28"/>
          <w:rtl/>
        </w:rPr>
        <w:t xml:space="preserve">207.</w:t>
      </w:r>
    </w:p>
    <w:p>
      <w:pPr>
        <w:pStyle w:val="BookText"/>
      </w:pPr>
      <w:r>
        <w:rPr>
          <w:rFonts w:ascii="IRNazanin" w:hAnsi="IRNazanin" w:eastAsia="IRNazanin" w:cs="IRNazanin"/>
          <w:lang w:bidi="fa-IR"/>
          <w:color w:val="111111"/>
          <w:sz w:val="28"/>
          <w:szCs w:val="28"/>
          <w:rtl/>
        </w:rPr>
        <w:t xml:space="preserve">شیراز؛ علامه طباطبائی؛ شماره نسخه: ۱۰۲۰</w:t>
      </w:r>
    </w:p>
    <w:p>
      <w:pPr>
        <w:pStyle w:val="BookText"/>
      </w:pPr>
      <w:r>
        <w:rPr>
          <w:rFonts w:ascii="IRNazanin" w:hAnsi="IRNazanin" w:eastAsia="IRNazanin" w:cs="IRNazanin"/>
          <w:lang w:bidi="fa-IR"/>
          <w:color w:val="111111"/>
          <w:sz w:val="28"/>
          <w:szCs w:val="28"/>
          <w:rtl/>
        </w:rPr>
        <w:t xml:space="preserve">خط: نسخ، کا: زكريا بن عبدالله، تا: ربیع الثانی ۱۰۶۰ق؛ مصحح؛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[نسخه پژوهی: ۲ - ۱۱۲]</w:t>
      </w:r>
    </w:p>
    <w:p>
      <w:pPr>
        <w:pStyle w:val="BookText"/>
      </w:pPr>
      <w:r>
        <w:rPr>
          <w:rFonts w:ascii="IRNazanin" w:hAnsi="IRNazanin" w:eastAsia="IRNazanin" w:cs="IRNazanin"/>
          <w:lang w:bidi="fa-IR"/>
          <w:color w:val="111111"/>
          <w:sz w:val="28"/>
          <w:szCs w:val="28"/>
          <w:rtl/>
        </w:rPr>
        <w:t xml:space="preserve">۲۰۸. تهران؛ الهیات؛ شماره نسخه: ۲۲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کامل؛ خط: نسخ، کا: محمد بن  اسد، تا:شنبه ۶ ذیقعده ۱۰۶۱ ق؛ کاغذ ،اصفهانی، ۲۵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 [ف: ۷۴۸]</w:t>
      </w:r>
    </w:p>
    <w:p>
      <w:pPr>
        <w:pStyle w:val="BookText"/>
      </w:pPr>
      <w:r>
        <w:rPr>
          <w:rFonts w:ascii="IRNazanin" w:hAnsi="IRNazanin" w:eastAsia="IRNazanin" w:cs="IRNazanin"/>
          <w:lang w:bidi="fa-IR"/>
          <w:color w:val="111111"/>
          <w:sz w:val="28"/>
          <w:szCs w:val="28"/>
          <w:rtl/>
        </w:rPr>
        <w:t xml:space="preserve">۲۰۹. شیراز؛ امام عصر؛ شماره نسخه: ۳۱۲</w:t>
      </w:r>
    </w:p>
    <w:p>
      <w:pPr>
        <w:pStyle w:val="BookText"/>
      </w:pPr>
      <w:r>
        <w:rPr>
          <w:rFonts w:ascii="IRNazanin" w:hAnsi="IRNazanin" w:eastAsia="IRNazanin" w:cs="IRNazanin"/>
          <w:lang w:bidi="fa-IR"/>
          <w:color w:val="111111"/>
          <w:sz w:val="28"/>
          <w:szCs w:val="28"/>
          <w:rtl/>
        </w:rPr>
        <w:t xml:space="preserve">خط: نسخ، بی کا، تا: سه شنبه ۱۵ محرم ۱۰۶۱ق (جزء دوم) ؛افتادگی: انجام؛ دارای بلاغ سماع و قرائت؛ واقف: محمد يوسـف بن عبد الرزاق تاجر شیرازی معروف به  آتشی، ۱۱۰۵، ۳۱۸گ،اندازه: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۳۱سم [ف: ۱ - ۷]</w:t>
      </w:r>
    </w:p>
    <w:p>
      <w:pPr>
        <w:pStyle w:val="BookText"/>
      </w:pPr>
      <w:r>
        <w:rPr>
          <w:rFonts w:ascii="IRNazanin" w:hAnsi="IRNazanin" w:eastAsia="IRNazanin" w:cs="IRNazanin"/>
          <w:lang w:bidi="fa-IR"/>
          <w:color w:val="111111"/>
          <w:sz w:val="28"/>
          <w:szCs w:val="28"/>
          <w:rtl/>
        </w:rPr>
        <w:t xml:space="preserve">۲۱ . قم؛ گلپایگانی؛ شماره نسخه: 1389- 99/ 8</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از اول تا آخر کتاب به همراه مشیخه؛ خط: نسخ، کا: حسین منصور  سبزواری، تا: شنبه دهه دوم جمادی الاول ۱۰۶۱ق، جا: مدرسه فخریه؛ محشی به امضاء «محمد تقی»، مصحح، با علامت  بلاغ، در پایان نسخه چند مسأله در رضاع به فارسی؛ جلد: تیماج قهوه ای سوخت با ترنج با  سر ،مجدول، ۳۷۰گ ۲۱  سطر، اندازه: ۱۷/۵</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۲۳سم [ف: ۱ - ۳۲۸]</w:t>
      </w:r>
    </w:p>
    <w:p>
      <w:pPr>
        <w:pStyle w:val="BookText"/>
      </w:pPr>
      <w:r>
        <w:rPr>
          <w:rFonts w:ascii="IRNazanin" w:hAnsi="IRNazanin" w:eastAsia="IRNazanin" w:cs="IRNazanin"/>
          <w:lang w:bidi="fa-IR"/>
          <w:color w:val="111111"/>
          <w:sz w:val="28"/>
          <w:szCs w:val="28"/>
          <w:rtl/>
        </w:rPr>
        <w:t xml:space="preserve">۲۱۱ . قم؛ مرعشی؛ شماره نسخه: ۳۵۹۰</w:t>
      </w:r>
    </w:p>
    <w:p>
      <w:pPr>
        <w:pStyle w:val="BookText"/>
      </w:pPr>
      <w:r>
        <w:rPr>
          <w:rFonts w:ascii="IRNazanin" w:hAnsi="IRNazanin" w:eastAsia="IRNazanin" w:cs="IRNazanin"/>
          <w:lang w:bidi="fa-IR"/>
          <w:color w:val="111111"/>
          <w:sz w:val="28"/>
          <w:szCs w:val="28"/>
          <w:rtl/>
        </w:rPr>
        <w:t xml:space="preserve">خط: نسخ، کا: شاهمیر بن فخر الدين بن يونس حسینی هزار جریبی، تا: شب ۱۲ محرم ۱۰۶۲ق ،مصحح، محشی، دارای علامت  بلاغ، پایان جزء دوم و در آخر کتاب دو انهاء است ملا محمد تقی مجلسی برای کاتب نوشته و دومین آنها به تاریخ آخر ربیع الاول ۱۰۶۲ می باشد؛ تملک: آقا میرزا محمد علی حسینی به تاریخ ۱۸ جمادى الاول ۱۱۷۰، محمد باقر بن اسماعیل حسینی اصفهانی به تاریخ جمادى الاول ۱۲۰۱، تملکی بدون نام به تاریخ سه شنبه ۷ جمادی الاول ۱۲۴۳؛ جلد: تیماج  قرمز، ۴۰۴گ ۲۷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۳۰/۵سم [ف: ۹ - ۳۷۳]</w:t>
      </w:r>
    </w:p>
    <w:p>
      <w:pPr>
        <w:pStyle w:val="BookText"/>
      </w:pPr>
      <w:r>
        <w:rPr>
          <w:rFonts w:ascii="IRNazanin" w:hAnsi="IRNazanin" w:eastAsia="IRNazanin" w:cs="IRNazanin"/>
          <w:lang w:bidi="fa-IR"/>
          <w:color w:val="111111"/>
          <w:sz w:val="28"/>
          <w:szCs w:val="28"/>
          <w:rtl/>
        </w:rPr>
        <w:t xml:space="preserve">۲۱۲. تهران؛ مجلس؛ شماره نسخه: ۹۶۱۰</w:t>
      </w:r>
    </w:p>
    <w:p>
      <w:pPr>
        <w:pStyle w:val="BookText"/>
      </w:pPr>
      <w:r>
        <w:rPr>
          <w:rFonts w:ascii="IRNazanin" w:hAnsi="IRNazanin" w:eastAsia="IRNazanin" w:cs="IRNazanin"/>
          <w:lang w:bidi="fa-IR"/>
          <w:color w:val="111111"/>
          <w:sz w:val="28"/>
          <w:szCs w:val="28"/>
          <w:rtl/>
        </w:rPr>
        <w:t xml:space="preserve">آغاز: ان يستظل ويحتمل ان يكون الكناية راجعة الى العليل... باب المريض يظل عن نفسه؛ انجام: باب جواز قتل الاثنين فصاعدا بواحد... لوكان حرا لكان عليه ذلك على ما بيناه فحكم الـعبد حكمه على السواء  از اوایل کتاب الحج تا اواخر كتاب الديات؛ خط: تحریری، محمد بن عبدالرحمن  حلی ،تا: چهارشنبه ۱۷ جمادی الاول ۱۰۶۳ق؛ افتادگی: آغاز و انجام؛ مصحح، دارای بلاغ قرائت دربرگ  ۴ اجازه فخرالدین طریحی به کتاب نسخه آمده است: «انهاه قرائة و سماعا و بحثا وتحقيقا الاخر الاعز الاسعد الامجد الفاضـل الكامل الشيخ محمد الحلى شكر الله سعيه في اوقات متعددة و مجالس متبددة آخرها عشية يوم الخميس من شهر جمادى الاول من سنة سبعين بعد الالف الهجرية على مشرفها الصلوة و التحية و قد اجزت له ادام الله اعزازه روايته عنی ورواية ما يجوز لى روایته بالطرق المذكورة الى المشايخ فى اماكنها و الشرط عليه ما شـرط على من الاحتياط فى الرواية و العمل وفقه الله لذلك و كتب الفـیر تراب الاقدام فخرالدین بن محمد على طريح النجفى مسكنا و مولدا و تحصیلا محشی به امضای «فخرالدین» و «س م د»،رکابه دار؛ جلد: تیماج مشکی با ترنج و سرترنج، ۱۰۶گ، ۲۹  سطر، اندازه: ۲۰/۵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۳۰سم [ف: ۳۱ - ۱۳]</w:t>
      </w:r>
    </w:p>
    <w:p>
      <w:pPr>
        <w:pStyle w:val="BookText"/>
      </w:pPr>
      <w:r>
        <w:rPr>
          <w:rFonts w:ascii="IRNazanin" w:hAnsi="IRNazanin" w:eastAsia="IRNazanin" w:cs="IRNazanin"/>
          <w:lang w:bidi="fa-IR"/>
          <w:color w:val="111111"/>
          <w:sz w:val="28"/>
          <w:szCs w:val="28"/>
          <w:rtl/>
        </w:rPr>
        <w:t xml:space="preserve">۲۱۳. تهران؛ سپهسالار؛ شماره نسخه: ۱۸۹۹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تمام  سه جلد کتاب؛ خط: نسخ، بی کا، تا: ۱۰۶۳ق؛ مصحح و مقابله شده توسط سید محمد شفیع طباطبائی؛ واقف: سپهسالار؛ کاغذ: اصفهانی، جلد ،چرمی ۳۷۷ ص، ۲۵ سطر، قطع: رحلی  ،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۳۱سم [ف: ۱ - ۲۰۳]</w:t>
      </w:r>
    </w:p>
    <w:p>
      <w:pPr>
        <w:pStyle w:val="BookText"/>
      </w:pPr>
      <w:r>
        <w:rPr>
          <w:rFonts w:ascii="IRNazanin" w:hAnsi="IRNazanin" w:eastAsia="IRNazanin" w:cs="IRNazanin"/>
          <w:lang w:bidi="fa-IR"/>
          <w:color w:val="111111"/>
          <w:sz w:val="28"/>
          <w:szCs w:val="28"/>
          <w:rtl/>
        </w:rPr>
        <w:t xml:space="preserve">۲۱۴. قم؛ مرکز احیاء؛ شماره نسخه:۲۲۵۴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شنبه ۱۶ شعبان ۱۰۶۳ق؛ مصحح، دارای بلاغی از «عبدالصمد بن عبد القادر بن عبدالصمد بن حسين بن محمد بن على بن اسماعيل بن حسن بن يحيی حسینی موسوی عریضی» در ۲۵ رمضان ۱۰۶۹ که نسخه را با نسخه ای که بر «شیخ على بن سليمان بحرانی» به سال ۱۰۶۶ تصحیح شده بود مقابله نموده  نیز بلاغ دومی از همو آمده که نسخه را برای بار دوم با نسخه ای که با نسخه شهید دوم مقابله و تصحیح و تصحیح شده مقابله نموده است، در برگ آخر اجازه ای از «شیخ صالح بن عبدالكريم بحرانی» به «عبدالصمد حسینی عریضی بحرانی» در ۱۴ شوال ۱۰۷۵، در برگ اول و دوم چند یادداشت متفرقه و یادداشتی از «لطفعلي بن محمد کاظم» در اهمیت کتاب آمده است، دارای یادداشتی از «محمد علی بن نجم الدین» و یادداشتی درباره مؤلف کتاب؛ تملک: «محمد زمان طباطبائی» با مهر «لا اله الا الله الملك الحق المبین، محمد زمان الحسینی» (بیضی)؛ مهر: کتابخانه مجدالدین؛ جلد: تیماج مشکی  ضربی، ۳۱۶گ، ۲۶ سطر، اندازه:۲۰/۵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۳۰سم [محدث ارموی مخ: ۱ – ۱۲۱]</w:t>
      </w:r>
    </w:p>
    <w:p>
      <w:pPr>
        <w:pStyle w:val="BookText"/>
      </w:pPr>
      <w:r>
        <w:rPr>
          <w:rFonts w:ascii="IRNazanin" w:hAnsi="IRNazanin" w:eastAsia="IRNazanin" w:cs="IRNazanin"/>
          <w:lang w:bidi="fa-IR"/>
          <w:color w:val="111111"/>
          <w:sz w:val="28"/>
          <w:szCs w:val="28"/>
          <w:rtl/>
        </w:rPr>
        <w:t xml:space="preserve">۲۱۵. قم؛ مرعشی؛ شماره نسخه ۱۲۱۹۰</w:t>
      </w:r>
    </w:p>
    <w:p>
      <w:pPr>
        <w:pStyle w:val="BookText"/>
      </w:pPr>
      <w:r>
        <w:rPr>
          <w:rFonts w:ascii="IRNazanin" w:hAnsi="IRNazanin" w:eastAsia="IRNazanin" w:cs="IRNazanin"/>
          <w:lang w:bidi="fa-IR"/>
          <w:color w:val="111111"/>
          <w:sz w:val="28"/>
          <w:szCs w:val="28"/>
          <w:rtl/>
        </w:rPr>
        <w:t xml:space="preserve">آغاز و انجام : برابر</w:t>
      </w:r>
    </w:p>
    <w:p>
      <w:pPr>
        <w:pStyle w:val="BookText"/>
      </w:pPr>
      <w:r>
        <w:rPr>
          <w:rFonts w:ascii="IRNazanin" w:hAnsi="IRNazanin" w:eastAsia="IRNazanin" w:cs="IRNazanin"/>
          <w:lang w:bidi="fa-IR"/>
          <w:color w:val="111111"/>
          <w:sz w:val="28"/>
          <w:szCs w:val="28"/>
          <w:rtl/>
        </w:rPr>
        <w:t xml:space="preserve">خط: نسخ،  كا، زين العابدین فرزند اسماعیل حسینی شوشتری  عبدالجواد فرزند عبدالرحیم بانجا بادارانی (بخش نونویس)، تا: ۱۰۶۴ق، شب ۱۸ جمادى الأول سال ۱۳۰۷) (بخش نونویس)؛  مصحح،  ، مقابله شده با نسخه تصحیح شده توسط سید محمد باقر</w:t>
      </w:r>
    </w:p>
    <w:p>
      <w:pPr>
        <w:pStyle w:val="BookText"/>
      </w:pPr>
      <w:r>
        <w:rPr>
          <w:rFonts w:ascii="IRNazanin" w:hAnsi="IRNazanin" w:eastAsia="IRNazanin" w:cs="IRNazanin"/>
          <w:lang w:bidi="fa-IR"/>
          <w:color w:val="111111"/>
          <w:sz w:val="28"/>
          <w:szCs w:val="28"/>
          <w:rtl/>
        </w:rPr>
        <w:t xml:space="preserve">استرآبادی از روی نسخه استادش میراز محمد استر آبادی مقابله شده و این تصحیح در جبل ابی قبیس در مکه صورت پذیرفته است، همچنین محمد صادق بروجردی در ۱۰۶۵ آن را با نسخه مولی حسنعلی بن عبدالله تستری در اصفهان مقابله کرده است، در برگ اول یادداشتی آیت الله مرعشی به تاریخ ۱۳۴۵ق در مورد نسخه، همچنین عبارت «بلغ سماعاً أيده الله تعالى» نیز به صورت  متعدد در حاشیه برگها دیده می شود محشی با رموز «ق ،م، دره، ۱۲، م ذ ن ر ،م ر ،س م د، م ق ر ه ،ص و ...» و همچنین از ، كتب منتقی نهایه و .... نقل مطلب شده است ؛کاغذ: شرقی آهار مهره بخش نونویس فرنگی و شرقی متنوع، جلد: تیماج زرشکی مجدول ضربی با ترنج و سر ترنج زمینه گل و بوته عطف و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گوشه ها تیماج قهوه ای، ۵۴۸گ، ۱۸-۱۹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۲۶/۵سم [ف: ۳۰ - ۶۹۳]</w:t>
      </w:r>
    </w:p>
    <w:p>
      <w:pPr>
        <w:pStyle w:val="BookText"/>
      </w:pPr>
      <w:r>
        <w:rPr>
          <w:rFonts w:ascii="IRNazanin" w:hAnsi="IRNazanin" w:eastAsia="IRNazanin" w:cs="IRNazanin"/>
          <w:lang w:bidi="fa-IR"/>
          <w:color w:val="111111"/>
          <w:sz w:val="28"/>
          <w:szCs w:val="28"/>
          <w:rtl/>
        </w:rPr>
        <w:t xml:space="preserve">۲۱۶ . قم؛ مسجد اعظم؛ شماره نسخه: ۱۶۲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ملا مهر علی  اردبیلی، تا: ۱۰۶۵ق، جا: مشـهد؛ مصحح؛ مهر: «این کتاب از تملکات وجزو کتابخانه احقر محسن الحسینی است ۱۳۲۲» ((مربع) ؛جلد: گالینگور سبز عطف تیماج  زرشکی، ۴۵۷گ، ۲۲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۳۱سم [ف مخ: ۱-۱۳۷]</w:t>
      </w:r>
    </w:p>
    <w:p>
      <w:pPr>
        <w:pStyle w:val="BookText"/>
      </w:pPr>
      <w:r>
        <w:rPr>
          <w:rFonts w:ascii="IRNazanin" w:hAnsi="IRNazanin" w:eastAsia="IRNazanin" w:cs="IRNazanin"/>
          <w:lang w:bidi="fa-IR"/>
          <w:color w:val="111111"/>
          <w:sz w:val="28"/>
          <w:szCs w:val="28"/>
          <w:rtl/>
        </w:rPr>
        <w:t xml:space="preserve">۲۱۷. قم؛ گلپایگانی؛ شماره نسخه: ۶۴۰۸-۳۲/۱۰۸</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کامل با مشیخه؛ خط: نسخ، بی کا، تا: ۱۲ ربیع الاول 1065 ق؛مصحح، محشی با امضای «ع ل» و «ص»، دو صفحه اول هر کتـاب مجدول مذهب با سرلوح، دارای علامت مقابله و تصحیح از علی قلى بن ميرزا علی؛ جلد: تیماج قهوه ای دو رو، مجدول گرهی ۳۳۰گ، ۲۵ سطر، اندازه: ۲۱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۳۴سم [ف: ۱ - ۳۲۸]</w:t>
      </w:r>
    </w:p>
    <w:p>
      <w:pPr>
        <w:pStyle w:val="BookText"/>
      </w:pPr>
      <w:r>
        <w:rPr>
          <w:rFonts w:ascii="IRNazanin" w:hAnsi="IRNazanin" w:eastAsia="IRNazanin" w:cs="IRNazanin"/>
          <w:lang w:bidi="fa-IR"/>
          <w:color w:val="111111"/>
          <w:sz w:val="28"/>
          <w:szCs w:val="28"/>
          <w:rtl/>
        </w:rPr>
        <w:t xml:space="preserve">۲۱۸. قم؛ مرکز احیاء؛ شماره نسخه: ۴۳۱۸</w:t>
      </w:r>
    </w:p>
    <w:p>
      <w:pPr>
        <w:pStyle w:val="BookText"/>
      </w:pPr>
      <w:r>
        <w:rPr>
          <w:rFonts w:ascii="Amiri" w:hAnsi="Amiri" w:eastAsia="Amiri" w:cs="Amiri"/>
          <w:lang w:bidi="ar-SA"/>
          <w:color w:val="111111"/>
          <w:sz w:val="28"/>
          <w:szCs w:val="28"/>
          <w:rtl/>
        </w:rPr>
        <w:t xml:space="preserve">آغاز: الحسن عليه السلام عن الجمعة فى السفر ما أقرأ فيها فـقال اقرأ فيها بقل هو الله أحد؛ انجام: فأما ما رواه محمد بن يعقوب الحسين بن محمد عن معلى بن محمد عن الحسن بن على حماد بن عثمان قال قلت لأبي عبدالله عليه السلام</w:t>
      </w:r>
    </w:p>
    <w:p>
      <w:pPr>
        <w:pStyle w:val="BookText"/>
      </w:pPr>
      <w:r>
        <w:rPr>
          <w:rFonts w:ascii="IRNazanin" w:hAnsi="IRNazanin" w:eastAsia="IRNazanin" w:cs="IRNazanin"/>
          <w:lang w:bidi="fa-IR"/>
          <w:color w:val="111111"/>
          <w:sz w:val="28"/>
          <w:szCs w:val="28"/>
          <w:rtl/>
        </w:rPr>
        <w:t xml:space="preserve">صلاة الجمعة تا باب حد المملوك فى شرب المسكر؛ خط: نسـخ، کا، محمد رضا بن عبدالکریم  همدانی، تا:۱۰۶۵ق؛ افتادگی: آغاز و انجام؛ مصحح؛ جلد: مقوایی، ۳۴۸گ، ۲۱ سطر، اندازه: ۱۹/۵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۲۶/۵سم [محدث ارموی مخ: ۱ - ۱۲۳]</w:t>
      </w:r>
    </w:p>
    <w:p>
      <w:pPr>
        <w:pStyle w:val="BookText"/>
      </w:pPr>
      <w:r>
        <w:rPr>
          <w:rFonts w:ascii="IRNazanin" w:hAnsi="IRNazanin" w:eastAsia="IRNazanin" w:cs="IRNazanin"/>
          <w:lang w:bidi="fa-IR"/>
          <w:color w:val="111111"/>
          <w:sz w:val="28"/>
          <w:szCs w:val="28"/>
          <w:rtl/>
        </w:rPr>
        <w:t xml:space="preserve">۲۱۹. یزد؛ صدوقی یزدی؛ شماره نسخه:۱۱۵</w:t>
      </w:r>
    </w:p>
    <w:p>
      <w:pPr>
        <w:pStyle w:val="BookText"/>
      </w:pPr>
      <w:r>
        <w:rPr>
          <w:rFonts w:ascii="IRNazanin" w:hAnsi="IRNazanin" w:eastAsia="IRNazanin" w:cs="IRNazanin"/>
          <w:lang w:bidi="fa-IR"/>
          <w:color w:val="111111"/>
          <w:sz w:val="28"/>
          <w:szCs w:val="28"/>
          <w:rtl/>
        </w:rPr>
        <w:t xml:space="preserve">از کتاب الدیون تا مشیخه ؛ خط: نسخ، کا: حسن بن جلال الد محمد، تا: شنبه ۲۰ ربیع الثانی ۱۰۶۵ق؛ مجدول دارای سرلوح کم کار؛ تملکی بدون نام به تاریخ ماه رمضان ۱۳۶۰؛ جلد: دو تیماج لبه دار، رو مشکی ضربی اندرون قهوه ای، ۲۵۸گ، 20سطر، اندازه :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۲۷/۵سم [ف: ۹۲]</w:t>
      </w:r>
    </w:p>
    <w:p>
      <w:pPr>
        <w:pStyle w:val="BookText"/>
      </w:pPr>
      <w:r>
        <w:rPr>
          <w:rFonts w:ascii="IRNazanin" w:hAnsi="IRNazanin" w:eastAsia="IRNazanin" w:cs="IRNazanin"/>
          <w:lang w:bidi="fa-IR"/>
          <w:color w:val="111111"/>
          <w:sz w:val="28"/>
          <w:szCs w:val="28"/>
          <w:rtl/>
        </w:rPr>
        <w:t xml:space="preserve">۲۲۰. خوانسار؛ مدرسه علوی؛ شماره نسخه: بدون شماره</w:t>
      </w:r>
    </w:p>
    <w:p>
      <w:pPr>
        <w:pStyle w:val="BookText"/>
      </w:pPr>
      <w:r>
        <w:rPr>
          <w:rFonts w:ascii="IRNazanin" w:hAnsi="IRNazanin" w:eastAsia="IRNazanin" w:cs="IRNazanin"/>
          <w:lang w:bidi="fa-IR"/>
          <w:color w:val="111111"/>
          <w:sz w:val="28"/>
          <w:szCs w:val="28"/>
          <w:rtl/>
        </w:rPr>
        <w:t xml:space="preserve">کامل و شامل آخرین باب استبصار درباره ترتیب کتاب و ذکر اساتید آن نیز هست؛ خط: نسخ ،زیبا ،کا: سهراب داود کرخی،تا: ذیقعده ۱۰۶۶ق؛ مصحح؛ تاریخ وقف: ۱۱۲۲؛ ۳۸۴گ، ۲۵ سـطر ،اندازه: ۳۰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[آینه پژوهش: سال ۴ش ۲۲ – ۹۳]</w:t>
      </w:r>
    </w:p>
    <w:p>
      <w:pPr>
        <w:pStyle w:val="BookText"/>
      </w:pPr>
      <w:r>
        <w:rPr>
          <w:rFonts w:ascii="IRNazanin" w:hAnsi="IRNazanin" w:eastAsia="IRNazanin" w:cs="IRNazanin"/>
          <w:lang w:bidi="fa-IR"/>
          <w:color w:val="111111"/>
          <w:sz w:val="28"/>
          <w:szCs w:val="28"/>
          <w:rtl/>
        </w:rPr>
        <w:t xml:space="preserve">۲۲۱ . مشهد؛ رضوی؛ شماره نسخه: ۳۲۹۱۳</w:t>
      </w:r>
    </w:p>
    <w:p>
      <w:pPr>
        <w:pStyle w:val="BookText"/>
      </w:pPr>
      <w:r>
        <w:rPr>
          <w:rFonts w:ascii="Amiri" w:hAnsi="Amiri" w:eastAsia="Amiri" w:cs="Amiri"/>
          <w:lang w:bidi="ar-SA"/>
          <w:color w:val="111111"/>
          <w:sz w:val="28"/>
          <w:szCs w:val="28"/>
          <w:rtl/>
        </w:rPr>
        <w:t xml:space="preserve">انجام: قد خصا فىهذين الخبرين فكذلك في مسجد الكوفة لان  احداً  لايفرق بين الموضعين تم الجزء الثاني.</w:t>
      </w:r>
    </w:p>
    <w:p>
      <w:pPr>
        <w:pStyle w:val="BookText"/>
      </w:pPr>
      <w:r>
        <w:rPr>
          <w:rFonts w:ascii="IRNazanin" w:hAnsi="IRNazanin" w:eastAsia="IRNazanin" w:cs="IRNazanin"/>
          <w:lang w:bidi="fa-IR"/>
          <w:color w:val="111111"/>
          <w:sz w:val="28"/>
          <w:szCs w:val="28"/>
          <w:rtl/>
        </w:rPr>
        <w:t xml:space="preserve">جلد 3-1، از ابتدای مقدمه تا پایان کتاب الحج؛ خط: نسخ، بی کا، تا: پنج  شنبه ۲۷ شعبان ۱۰۶۶ق؛ اهدایی  رهبری، بهمن ۸۴</w:t>
      </w:r>
    </w:p>
    <w:p>
      <w:pPr>
        <w:pStyle w:val="BookText"/>
      </w:pPr>
      <w:r>
        <w:rPr>
          <w:rFonts w:ascii="IRNazanin" w:hAnsi="IRNazanin" w:eastAsia="IRNazanin" w:cs="IRNazanin"/>
          <w:lang w:bidi="fa-IR"/>
          <w:color w:val="111111"/>
          <w:sz w:val="28"/>
          <w:szCs w:val="28"/>
          <w:rtl/>
        </w:rPr>
        <w:t xml:space="preserve">کاغذ: نخودی آهار مهره ،جلد: تیماج زرشکی، ۲۶۴گ  ، 23سطر، اندازه ۳۴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 سم [اهدائی رهبر: ۲ اخبار ۱ - ۹۰]</w:t>
      </w:r>
    </w:p>
    <w:p>
      <w:pPr>
        <w:pStyle w:val="BookText"/>
      </w:pPr>
      <w:r>
        <w:rPr>
          <w:rFonts w:ascii="IRNazanin" w:hAnsi="IRNazanin" w:eastAsia="IRNazanin" w:cs="IRNazanin"/>
          <w:lang w:bidi="fa-IR"/>
          <w:color w:val="111111"/>
          <w:sz w:val="28"/>
          <w:szCs w:val="28"/>
          <w:rtl/>
        </w:rPr>
        <w:t xml:space="preserve">۲۲۲ . مشهد؛ رضوی؛ شماره نسخه: ۲۱۰۴۳</w:t>
      </w:r>
    </w:p>
    <w:p>
      <w:pPr>
        <w:pStyle w:val="BookText"/>
      </w:pPr>
      <w:r>
        <w:rPr>
          <w:rFonts w:ascii="IRNazanin" w:hAnsi="IRNazanin" w:eastAsia="IRNazanin" w:cs="IRNazanin"/>
          <w:lang w:bidi="fa-IR"/>
          <w:color w:val="111111"/>
          <w:sz w:val="28"/>
          <w:szCs w:val="28"/>
          <w:rtl/>
        </w:rPr>
        <w:t xml:space="preserve">آغاز: برابر؛ انجام: نسقه سبع وستين بعد الالف من الهجره النبويه صلى الله علیه و آله اجمعین</w:t>
      </w:r>
    </w:p>
    <w:p>
      <w:pPr>
        <w:pStyle w:val="BookText"/>
      </w:pPr>
      <w:r>
        <w:rPr>
          <w:rFonts w:ascii="IRNazanin" w:hAnsi="IRNazanin" w:eastAsia="IRNazanin" w:cs="IRNazanin"/>
          <w:lang w:bidi="fa-IR"/>
          <w:color w:val="111111"/>
          <w:sz w:val="28"/>
          <w:szCs w:val="28"/>
          <w:rtl/>
        </w:rPr>
        <w:t xml:space="preserve">جلد ۱-۲ ؛خط: نسخ، بی کا، تا: ربیع الثانی ۱۰۶۷ق ،  مصحح ؛ اهدایی  رهبری، خرداد ۱۳۷۳؛ کاغذ: نخودی آهار مهره، جلد: تیماج  عنابی، ۲۴۵گ، ۲۲  سطر، اندازه: ۲۰/۵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۲۹/۵سم [اهدائی  رهبر: ۲ اخبار ۱ - ۹۰]</w:t>
      </w:r>
    </w:p>
    <w:p>
      <w:pPr>
        <w:pStyle w:val="BookText"/>
      </w:pPr>
      <w:r>
        <w:rPr>
          <w:rFonts w:ascii="IRNazanin" w:hAnsi="IRNazanin" w:eastAsia="IRNazanin" w:cs="IRNazanin"/>
          <w:lang w:bidi="fa-IR"/>
          <w:color w:val="111111"/>
          <w:sz w:val="28"/>
          <w:szCs w:val="28"/>
          <w:rtl/>
        </w:rPr>
        <w:t xml:space="preserve">۲۲۳ . مشهد؛ رضوی؛ شماره نسخه: ۲۶۷۰۹</w:t>
      </w:r>
    </w:p>
    <w:p>
      <w:pPr>
        <w:pStyle w:val="BookText"/>
      </w:pPr>
      <w:r>
        <w:rPr>
          <w:rFonts w:ascii="IRNazanin" w:hAnsi="IRNazanin" w:eastAsia="IRNazanin" w:cs="IRNazanin"/>
          <w:lang w:bidi="fa-IR"/>
          <w:color w:val="111111"/>
          <w:sz w:val="28"/>
          <w:szCs w:val="28"/>
          <w:rtl/>
        </w:rPr>
        <w:t xml:space="preserve">آغاز: برابر؛ انجام: فمن اراد الوقوف على جميع ذلک طلبه من هناك انشاء الله تعالى</w:t>
      </w:r>
    </w:p>
    <w:p>
      <w:pPr>
        <w:pStyle w:val="BookText"/>
      </w:pPr>
      <w:r>
        <w:rPr>
          <w:rFonts w:ascii="IRNazanin" w:hAnsi="IRNazanin" w:eastAsia="IRNazanin" w:cs="IRNazanin"/>
          <w:lang w:bidi="fa-IR"/>
          <w:color w:val="111111"/>
          <w:sz w:val="28"/>
          <w:szCs w:val="28"/>
          <w:rtl/>
        </w:rPr>
        <w:t xml:space="preserve">از ابتدای مقدمه تا پایان خمس؛ خط: نسخ، بی کا، تا: ۱۰۶۷ق؛ ،مصحح، مقابله شده دارای دو نوع بلاغ که یکی (به احتمال قوی از محمد تقی مجلسی اصفهانی) و دیگری نامعلوم؛ کاغذ: نخودی آهار مهره، جلد: تیماج یک لا، عنابی سجاف دار، ۱۷۶گ، ۲۵ سطر، اندازه: ۱۸/۵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۳۱سم [ف: ۲۶ - ۸۲]</w:t>
      </w:r>
    </w:p>
    <w:p>
      <w:pPr>
        <w:pStyle w:val="BookText"/>
      </w:pPr>
      <w:r>
        <w:rPr>
          <w:rFonts w:ascii="IRNazanin" w:hAnsi="IRNazanin" w:eastAsia="IRNazanin" w:cs="IRNazanin"/>
          <w:lang w:bidi="fa-IR"/>
          <w:color w:val="111111"/>
          <w:sz w:val="28"/>
          <w:szCs w:val="28"/>
          <w:rtl/>
        </w:rPr>
        <w:t xml:space="preserve">۲۲۴. تهران؛ ملی؛ شماره نسخه: ۴۵۷۹</w:t>
      </w:r>
    </w:p>
    <w:p>
      <w:pPr>
        <w:pStyle w:val="BookText"/>
      </w:pPr>
      <w:r>
        <w:rPr>
          <w:rFonts w:ascii="Amiri" w:hAnsi="Amiri" w:eastAsia="Amiri" w:cs="Amiri"/>
          <w:lang w:bidi="ar-SA"/>
          <w:color w:val="111111"/>
          <w:sz w:val="28"/>
          <w:szCs w:val="28"/>
          <w:rtl/>
        </w:rPr>
        <w:t xml:space="preserve">آغاز: بسمله، كتاب الجهاد باب من يستحق ان يقسم الغنايم فيهم؛</w:t>
      </w:r>
    </w:p>
    <w:p>
      <w:pPr>
        <w:pStyle w:val="BookText"/>
      </w:pPr>
      <w:r>
        <w:rPr>
          <w:rFonts w:ascii="IRNazanin" w:hAnsi="IRNazanin" w:eastAsia="IRNazanin" w:cs="IRNazanin"/>
          <w:lang w:bidi="fa-IR"/>
          <w:color w:val="111111"/>
          <w:sz w:val="28"/>
          <w:szCs w:val="28"/>
          <w:rtl/>
        </w:rPr>
        <w:t xml:space="preserve">انجام: برابر</w:t>
      </w:r>
    </w:p>
    <w:p>
      <w:pPr>
        <w:pStyle w:val="BookText"/>
      </w:pPr>
      <w:r>
        <w:rPr>
          <w:rFonts w:ascii="IRNazanin" w:hAnsi="IRNazanin" w:eastAsia="IRNazanin" w:cs="IRNazanin"/>
          <w:lang w:bidi="fa-IR"/>
          <w:color w:val="111111"/>
          <w:sz w:val="28"/>
          <w:szCs w:val="28"/>
          <w:rtl/>
        </w:rPr>
        <w:t xml:space="preserve">خط: نسخ، کا: محمد شفیع بن حسین اصفهانی، تا: ۱۰۶۷ق، جا: قم، مصحح ؛ مهر : «عبده مخدوم الرضوى» (بیضی) «بود نور چشم علی فاطمه» (هشت پهلو) کاغذ: اصفهانی نخودی، جلد: مقوایی دامن دار ضربی مجدول میان جداول بوته های ریسه ای، اندرون جلد تیماج قهوه ای  روشن، ۲۶۰گ ۲۱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 اندازه:  ۱۹/۵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۲۹/۵سم [ف ۱۹ - ۲۱۶]</w:t>
      </w:r>
    </w:p>
    <w:p>
      <w:pPr>
        <w:pStyle w:val="BookText"/>
      </w:pPr>
      <w:r>
        <w:rPr>
          <w:rFonts w:ascii="IRNazanin" w:hAnsi="IRNazanin" w:eastAsia="IRNazanin" w:cs="IRNazanin"/>
          <w:lang w:bidi="fa-IR"/>
          <w:color w:val="111111"/>
          <w:sz w:val="28"/>
          <w:szCs w:val="28"/>
          <w:rtl/>
        </w:rPr>
        <w:t xml:space="preserve">۲۲۵. قم؛ مرعشی؛ شماره نسخه: ۱۰۷۷۱</w:t>
      </w:r>
    </w:p>
    <w:p>
      <w:pPr>
        <w:pStyle w:val="BookText"/>
      </w:pPr>
      <w:r>
        <w:rPr>
          <w:rFonts w:ascii="IRNazanin" w:hAnsi="IRNazanin" w:eastAsia="IRNazanin" w:cs="IRNazanin"/>
          <w:lang w:bidi="fa-IR"/>
          <w:color w:val="111111"/>
          <w:sz w:val="28"/>
          <w:szCs w:val="28"/>
          <w:rtl/>
        </w:rPr>
        <w:t xml:space="preserve">خط: نسخ، کا: محمد قاسم بن درويش محمد شیرازی، تا: چهارشنبه ۲۱ جمادی الاول ۱۰۶۷ق؛ نشانی بخشیدن محمد زکی بن عبد الصمد کتاب را به مولانا محمد علی تونی به تاریخ محرم ۱۱۳۹ و بخشیدن تونی کتاب را به فرزندش محمد حسین به تاریخ ۱۱۴۴؛ جلد: قرمز عطف قهوه ای، ۴۵۸ گ، ۲۳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۲۹سم [ف: ۲۷ - ۱۹۵]</w:t>
      </w:r>
    </w:p>
    <w:p>
      <w:pPr>
        <w:pStyle w:val="BookText"/>
      </w:pPr>
      <w:r>
        <w:rPr>
          <w:rFonts w:ascii="IRNazanin" w:hAnsi="IRNazanin" w:eastAsia="IRNazanin" w:cs="IRNazanin"/>
          <w:lang w:bidi="fa-IR"/>
          <w:color w:val="111111"/>
          <w:sz w:val="28"/>
          <w:szCs w:val="28"/>
          <w:rtl/>
        </w:rPr>
        <w:t xml:space="preserve">۲۲۶. قم؛ مرعشی؛ شماره نسخه: ۶۷۶۶</w:t>
      </w:r>
    </w:p>
    <w:p>
      <w:pPr>
        <w:pStyle w:val="BookText"/>
      </w:pPr>
      <w:r>
        <w:rPr>
          <w:rFonts w:ascii="IRNazanin" w:hAnsi="IRNazanin" w:eastAsia="IRNazanin" w:cs="IRNazanin"/>
          <w:lang w:bidi="fa-IR"/>
          <w:color w:val="111111"/>
          <w:sz w:val="28"/>
          <w:szCs w:val="28"/>
          <w:rtl/>
        </w:rPr>
        <w:t xml:space="preserve">خط: نسخ،  کا: محمود بن غلامعلی طبسی، تا: ۹ محرم  1067ق؛ مصحح، محشی با نشانی «م د»، مقابله شده در تاریخ  ۲۲  محرم  ۱۰۸۴ق در مشهد، همچنین فرزندش محد امین خادم کتاب را در ۲۳ شعبان ۱۱۰۰ مقابله کرده تملک: ابو طالب حسینی قائنی، علی قلی بن ميرزا علی با مهر؛ جلد: تیماج قهوه ای، ۴۱۱گ، ۲۲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 ۱۷ - ۳۱۳]</w:t>
      </w:r>
    </w:p>
    <w:p>
      <w:pPr>
        <w:pStyle w:val="BookText"/>
      </w:pPr>
      <w:r>
        <w:rPr>
          <w:rFonts w:ascii="IRNazanin" w:hAnsi="IRNazanin" w:eastAsia="IRNazanin" w:cs="IRNazanin"/>
          <w:lang w:bidi="fa-IR"/>
          <w:color w:val="111111"/>
          <w:sz w:val="28"/>
          <w:szCs w:val="28"/>
          <w:rtl/>
        </w:rPr>
        <w:t xml:space="preserve">۲۲۷. قم؛ گلپایگانی؛ شماره نسخه: ۷۳۱۶-۳۷/۱۰۶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کامل با مشیخه؛ خط: نسخ، کا:محمد صادق بن صالح سبزواری، تا: ۸ ربيع الاول ۱۰۶۷ق؛ مصحح، دارای علامت بلاغ سماع، محشی به نقل از «شیخ حر عاملی»، در آخر انها قرائت و تحشیه و اجازه از شیخ حر عاملی در ربیع الثانی ۱۰۷۹ برای ملا محمد مراد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کشمیری؛ جلد: تیماج قهوه ای لولادار دورو سوخت با ترنج سر ترنج مجدول گرهی، ۴۱۲گ، ۲۷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w:t>
      </w:r>
    </w:p>
    <w:p>
      <w:pPr>
        <w:pStyle w:val="BookText"/>
      </w:pPr>
      <w:r>
        <w:rPr>
          <w:rFonts w:ascii="IRNazanin" w:hAnsi="IRNazanin" w:eastAsia="IRNazanin" w:cs="IRNazanin"/>
          <w:lang w:bidi="fa-IR"/>
          <w:color w:val="111111"/>
          <w:sz w:val="28"/>
          <w:szCs w:val="28"/>
          <w:rtl/>
        </w:rPr>
        <w:t xml:space="preserve">[ ١  - 329]</w:t>
      </w:r>
    </w:p>
    <w:p>
      <w:pPr>
        <w:pStyle w:val="BookText"/>
      </w:pPr>
      <w:r>
        <w:rPr>
          <w:rFonts w:ascii="Times New Roman" w:hAnsi="Times New Roman" w:eastAsia="Times New Roman" w:cs="Times New Roman"/>
          <w:lang w:val="en-US" w:bidi="en-US"/>
          <w:color w:val="111111"/>
          <w:sz w:val="28"/>
          <w:szCs w:val="28"/>
          <w:rtl/>
        </w:rPr>
        <w:t xml:space="preserve">228.</w:t>
      </w:r>
    </w:p>
    <w:p>
      <w:pPr>
        <w:pStyle w:val="BookText"/>
      </w:pPr>
      <w:r>
        <w:rPr>
          <w:rFonts w:ascii="IRNazanin" w:hAnsi="IRNazanin" w:eastAsia="IRNazanin" w:cs="IRNazanin"/>
          <w:lang w:bidi="fa-IR"/>
          <w:color w:val="111111"/>
          <w:sz w:val="28"/>
          <w:szCs w:val="28"/>
          <w:rtl/>
        </w:rPr>
        <w:t xml:space="preserve">خوی؛ نمازی؛ شماره نسخه: ۸۷۴</w:t>
      </w:r>
    </w:p>
    <w:p>
      <w:pPr>
        <w:pStyle w:val="BookText"/>
      </w:pPr>
      <w:r>
        <w:rPr>
          <w:rFonts w:ascii="IRNazanin" w:hAnsi="IRNazanin" w:eastAsia="IRNazanin" w:cs="IRNazanin"/>
          <w:lang w:bidi="fa-IR"/>
          <w:color w:val="111111"/>
          <w:sz w:val="28"/>
          <w:szCs w:val="28"/>
          <w:rtl/>
        </w:rPr>
        <w:t xml:space="preserve">خط: نسخ، کا: محمد شفيع بن حيدر علی  سبزواری، تا: جمادی الاول ۱۰۶۷ق؛ محشی از محمد علی؛ تملک: محمد هادی بن میر محمد مهدی حسینی؛ محمد رفیع؛ جلد: تیماج سرخ لولادار، ۴۱ گ، ۲۷ سطر،اندازه:۱۸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۲۹/۵سم [میراث اسلامی: دفتر دهم- 762] 229. مشهد؛ رجائی مغزی (کتابخانه)؛ شماره نسخه: بدون شماره</w:t>
      </w:r>
    </w:p>
    <w:p>
      <w:pPr>
        <w:pStyle w:val="BookText"/>
      </w:pPr>
      <w:r>
        <w:rPr>
          <w:rFonts w:ascii="IRNazanin" w:hAnsi="IRNazanin" w:eastAsia="IRNazanin" w:cs="IRNazanin"/>
          <w:lang w:bidi="fa-IR"/>
          <w:color w:val="111111"/>
          <w:sz w:val="28"/>
          <w:szCs w:val="28"/>
          <w:rtl/>
        </w:rPr>
        <w:t xml:space="preserve">كا: يوسف بن عبدالحسین شجاع حلی نجفی، تا: ۱۰۶۷ق؛ مصحح، دارای علامت بلاغ [ تراثنا: س ۱۳ ش ۱ - ۱۳۰]</w:t>
      </w:r>
    </w:p>
    <w:p>
      <w:pPr>
        <w:pStyle w:val="BookText"/>
      </w:pPr>
      <w:r>
        <w:rPr>
          <w:rFonts w:ascii="IRNazanin" w:hAnsi="IRNazanin" w:eastAsia="IRNazanin" w:cs="IRNazanin"/>
          <w:lang w:bidi="fa-IR"/>
          <w:color w:val="111111"/>
          <w:sz w:val="28"/>
          <w:szCs w:val="28"/>
          <w:rtl/>
        </w:rPr>
        <w:t xml:space="preserve">۲۳۰. تهران؛ مروی؛ شماره نسخه: ۲۱۸</w:t>
      </w:r>
    </w:p>
    <w:p>
      <w:pPr>
        <w:pStyle w:val="BookText"/>
      </w:pPr>
      <w:r>
        <w:rPr>
          <w:rFonts w:ascii="IRNazanin" w:hAnsi="IRNazanin" w:eastAsia="IRNazanin" w:cs="IRNazanin"/>
          <w:lang w:bidi="fa-IR"/>
          <w:color w:val="111111"/>
          <w:sz w:val="28"/>
          <w:szCs w:val="28"/>
          <w:rtl/>
        </w:rPr>
        <w:t xml:space="preserve">دوره؛ کا: عبداللطیف حیدر آبادی، تا: ۱۰۶۷ق، قطع:رحلی [ف:66]</w:t>
      </w:r>
    </w:p>
    <w:p>
      <w:pPr>
        <w:pStyle w:val="BookText"/>
      </w:pPr>
      <w:r>
        <w:rPr>
          <w:rFonts w:ascii="IRNazanin" w:hAnsi="IRNazanin" w:eastAsia="IRNazanin" w:cs="IRNazanin"/>
          <w:lang w:bidi="fa-IR"/>
          <w:color w:val="111111"/>
          <w:sz w:val="28"/>
          <w:szCs w:val="28"/>
          <w:rtl/>
        </w:rPr>
        <w:t xml:space="preserve">۲۳۱. تهران؛ ادبیات؛ شماره نسخه:۴۹۵</w:t>
      </w:r>
    </w:p>
    <w:p>
      <w:pPr>
        <w:pStyle w:val="BookText"/>
      </w:pPr>
      <w:r>
        <w:rPr>
          <w:rFonts w:ascii="IRNazanin" w:hAnsi="IRNazanin" w:eastAsia="IRNazanin" w:cs="IRNazanin"/>
          <w:lang w:bidi="fa-IR"/>
          <w:color w:val="111111"/>
          <w:sz w:val="28"/>
          <w:szCs w:val="28"/>
          <w:rtl/>
        </w:rPr>
        <w:t xml:space="preserve">صهارة وصلاة؛ خط: نسخ، بی کا، تا: پایان ماه آخر ۱۰۶۷ق؛ مقابله شده با نسخه مقابله شده با نسخه حسین بن عبدالصمد بلاغ شهید ثانی و اجازه او به او در روز پنج شنبه ۲۰ رمضان را داشته است. [ف ۳ - ۷۰]</w:t>
      </w:r>
    </w:p>
    <w:p>
      <w:pPr>
        <w:pStyle w:val="BookText"/>
      </w:pPr>
      <w:r>
        <w:rPr>
          <w:rFonts w:ascii="IRNazanin" w:hAnsi="IRNazanin" w:eastAsia="IRNazanin" w:cs="IRNazanin"/>
          <w:lang w:bidi="fa-IR"/>
          <w:color w:val="111111"/>
          <w:sz w:val="28"/>
          <w:szCs w:val="28"/>
          <w:rtl/>
        </w:rPr>
        <w:t xml:space="preserve">۲۳۲. قم؛ مؤسسه حضرت آیة الله بروجردی؛ شماره نسخه: ۵۹۹</w:t>
      </w:r>
    </w:p>
    <w:p>
      <w:pPr>
        <w:pStyle w:val="BookText"/>
      </w:pPr>
      <w:r>
        <w:rPr>
          <w:rFonts w:ascii="IRNazanin" w:hAnsi="IRNazanin" w:eastAsia="IRNazanin" w:cs="IRNazanin"/>
          <w:lang w:bidi="fa-IR"/>
          <w:color w:val="111111"/>
          <w:sz w:val="28"/>
          <w:szCs w:val="28"/>
          <w:rtl/>
        </w:rPr>
        <w:t xml:space="preserve">کتاب صلاة تا دیات؛ خط: نسخ ،کا: محمد امین یزدی، تا: سه شنبه ۱۹ ذیقعده ۱۰۶۷ق، جا: مکه؛ برگها در هم می باشد ،مصحح ،محشی، دارای بلاغی است که حاج حسین نیشابوری مکی به تاریخ دوشنبه ۱۳ جمادی الثانی ۱۰۶۸ نوشته اسـت؛ ۲۴۱گ، ۲۷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۲ - ۳۷۶]</w:t>
      </w:r>
    </w:p>
    <w:p>
      <w:pPr>
        <w:pStyle w:val="BookText"/>
      </w:pPr>
      <w:r>
        <w:rPr>
          <w:rFonts w:ascii="IRNazanin" w:hAnsi="IRNazanin" w:eastAsia="IRNazanin" w:cs="IRNazanin"/>
          <w:lang w:bidi="fa-IR"/>
          <w:color w:val="111111"/>
          <w:sz w:val="28"/>
          <w:szCs w:val="28"/>
          <w:rtl/>
        </w:rPr>
        <w:t xml:space="preserve">۲۳۳. قم؛ مرکز احیاء؛ شماره نسخه:۶۰۷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کتاب صلاة تا مشیخه؛ خط: نسخ، کا: محمد امین بن حسين علی شیرازی، تا: ذیقعده ۱۰۶۸ق؛ افتادگی: آغاز؛ مصحح، محشی، دارای  بلاغ، شيخ صالح بن عبد الكریم (بحرانی) در پایان کتـاب صوم به تاریخ ۱۲ جمادی الاول ۱۰۷۵ و پایان کتاب حج به تاریخ ۷ ذیحجه همان سال و پایان مشیخه بلاغ هایی برای ملا محمد تقی نوشته است؛ جلد: مقوایی عطف تیماج قهوه ای، ۳۴۹گ،  22سطر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۲۸سم [ف: ۲ - ۲۵۹]</w:t>
      </w:r>
    </w:p>
    <w:p>
      <w:pPr>
        <w:pStyle w:val="BookText"/>
      </w:pPr>
      <w:r>
        <w:rPr>
          <w:rFonts w:ascii="IRNazanin" w:hAnsi="IRNazanin" w:eastAsia="IRNazanin" w:cs="IRNazanin"/>
          <w:lang w:bidi="fa-IR"/>
          <w:color w:val="111111"/>
          <w:sz w:val="28"/>
          <w:szCs w:val="28"/>
          <w:rtl/>
        </w:rPr>
        <w:t xml:space="preserve">۲۳۴. مشهد؛ حیدری؛ شماره نسخه: ۲۷</w:t>
      </w:r>
    </w:p>
    <w:p>
      <w:pPr>
        <w:pStyle w:val="BookText"/>
      </w:pPr>
      <w:r>
        <w:rPr>
          <w:rFonts w:ascii="IRNazanin" w:hAnsi="IRNazanin" w:eastAsia="IRNazanin" w:cs="IRNazanin"/>
          <w:lang w:bidi="fa-IR"/>
          <w:color w:val="111111"/>
          <w:sz w:val="28"/>
          <w:szCs w:val="28"/>
          <w:rtl/>
        </w:rPr>
        <w:t xml:space="preserve">مصحح، مقابله شده؛ بی  کا، تا: ۱۰۶۸ ق ؛ [اندیشه حوزه س ۲، ش ۷ - ۱۳ ]</w:t>
      </w:r>
    </w:p>
    <w:p>
      <w:pPr>
        <w:pStyle w:val="BookText"/>
      </w:pPr>
      <w:r>
        <w:rPr>
          <w:rFonts w:ascii="IRNazanin" w:hAnsi="IRNazanin" w:eastAsia="IRNazanin" w:cs="IRNazanin"/>
          <w:lang w:bidi="fa-IR"/>
          <w:color w:val="111111"/>
          <w:sz w:val="28"/>
          <w:szCs w:val="28"/>
          <w:rtl/>
        </w:rPr>
        <w:t xml:space="preserve">۲۳۵. مشهد؛ مدرسه آیة الله خوئی؛ شماره نسخه: ۸</w:t>
      </w:r>
    </w:p>
    <w:p>
      <w:pPr>
        <w:pStyle w:val="BookText"/>
      </w:pPr>
      <w:r>
        <w:rPr>
          <w:rFonts w:ascii="IRNazanin" w:hAnsi="IRNazanin" w:eastAsia="IRNazanin" w:cs="IRNazanin"/>
          <w:lang w:bidi="fa-IR"/>
          <w:color w:val="111111"/>
          <w:sz w:val="28"/>
          <w:szCs w:val="28"/>
          <w:rtl/>
        </w:rPr>
        <w:t xml:space="preserve">خط: نسخ، كا: سلطان محمد بن رفيع الدین محمداصفهانی، تا: دوشنبه ۱۳ربیع الثانی ۱۰۶۸ق؛ مصحح، محشی؛  تملک: روح الامين بن محمد حسین بن محمد علی قمشه ای به خط راشد على بن راشد بن حسين بن ابراهيم بن على بن ابى سروال بحرانی جوازی به تاریخ ذیحجه ۱۰۷۰؛ وقف نامه کتاب با مهر «فى الاخرة المصطفى والعترة الطاهرة» (بيضى)؛ جلد: تیماج مشكى عطف و حواشی تیماج قرمز، ۳۹۴گ، ۲۵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۳۰سم [ف:  -9]</w:t>
      </w:r>
    </w:p>
    <w:p>
      <w:pPr>
        <w:pStyle w:val="BookText"/>
      </w:pPr>
      <w:r>
        <w:rPr>
          <w:rFonts w:ascii="IRNazanin" w:hAnsi="IRNazanin" w:eastAsia="IRNazanin" w:cs="IRNazanin"/>
          <w:lang w:bidi="fa-IR"/>
          <w:color w:val="111111"/>
          <w:sz w:val="28"/>
          <w:szCs w:val="28"/>
          <w:rtl/>
        </w:rPr>
        <w:t xml:space="preserve">۲۳۶ . مشهد؛ رضوی؛ شماره نسخه: ۱۵۲۵۳</w:t>
      </w:r>
    </w:p>
    <w:p>
      <w:pPr>
        <w:pStyle w:val="BookText"/>
      </w:pPr>
      <w:r>
        <w:rPr>
          <w:rFonts w:ascii="Amiri" w:hAnsi="Amiri" w:eastAsia="Amiri" w:cs="Amiri"/>
          <w:lang w:bidi="ar-SA"/>
          <w:color w:val="111111"/>
          <w:sz w:val="28"/>
          <w:szCs w:val="28"/>
          <w:rtl/>
        </w:rPr>
        <w:t xml:space="preserve">آغاز: برابر؛ انجام: و هذا الكتاب يشتمل على جميع ماروى من  الاخبار المختلفة و بيان وجه التأويل فيها والجمع بينها.</w:t>
      </w:r>
    </w:p>
    <w:p>
      <w:pPr>
        <w:pStyle w:val="BookText"/>
      </w:pPr>
      <w:r>
        <w:rPr>
          <w:rFonts w:ascii="IRNazanin" w:hAnsi="IRNazanin" w:eastAsia="IRNazanin" w:cs="IRNazanin"/>
          <w:lang w:bidi="fa-IR"/>
          <w:color w:val="111111"/>
          <w:sz w:val="28"/>
          <w:szCs w:val="28"/>
          <w:rtl/>
        </w:rPr>
        <w:t xml:space="preserve">جلد ۳-۱؛ خط: نسخ، کا: محمد باقر حسینی  رضوی، تا: ۷ شوال ۱۰۶۸ق؛ افتادگی: انجام (یک ورق) محشی با رموز مختلف، جلد ۱ دارای بلاغ؛ واقف: حاج احمد فاضل اسفند ۱۳۶۵؛ کاغذ: حنائی و نخودی ،آهار مهره، جلد: تیماج عنابی، ۳۸۶گ، ۲۴ سطر،</w:t>
      </w:r>
    </w:p>
    <w:p>
      <w:pPr>
        <w:pStyle w:val="BookText"/>
      </w:pPr>
      <w:r>
        <w:rPr>
          <w:rFonts w:ascii="IRNazanin" w:hAnsi="IRNazanin" w:eastAsia="IRNazanin" w:cs="IRNazanin"/>
          <w:lang w:bidi="fa-IR"/>
          <w:color w:val="111111"/>
          <w:sz w:val="28"/>
          <w:szCs w:val="28"/>
          <w:rtl/>
        </w:rPr>
        <w:t xml:space="preserve">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۳۰سم [ف: ۱۴ – ۶۳]</w:t>
      </w:r>
    </w:p>
    <w:p>
      <w:pPr>
        <w:pStyle w:val="BookText"/>
      </w:pPr>
      <w:r>
        <w:rPr>
          <w:rFonts w:ascii="IRNazanin" w:hAnsi="IRNazanin" w:eastAsia="IRNazanin" w:cs="IRNazanin"/>
          <w:lang w:bidi="fa-IR"/>
          <w:color w:val="111111"/>
          <w:sz w:val="28"/>
          <w:szCs w:val="28"/>
          <w:rtl/>
        </w:rPr>
        <w:t xml:space="preserve">۲۳۷. یزد؛ وزیری؛ شماره نسخه: ۴۰۷۶</w:t>
      </w:r>
    </w:p>
    <w:p>
      <w:pPr>
        <w:pStyle w:val="BookText"/>
      </w:pPr>
      <w:r>
        <w:rPr>
          <w:rFonts w:ascii="IRNazanin" w:hAnsi="IRNazanin" w:eastAsia="IRNazanin" w:cs="IRNazanin"/>
          <w:lang w:bidi="fa-IR"/>
          <w:color w:val="111111"/>
          <w:sz w:val="28"/>
          <w:szCs w:val="28"/>
          <w:rtl/>
        </w:rPr>
        <w:t xml:space="preserve">بی کا، تا: ۱۰۶۸ق [نشریه: ۱۳ - ۳۶۲]</w:t>
      </w:r>
    </w:p>
    <w:p>
      <w:pPr>
        <w:pStyle w:val="BookText"/>
      </w:pPr>
      <w:r>
        <w:rPr>
          <w:rFonts w:ascii="IRNazanin" w:hAnsi="IRNazanin" w:eastAsia="IRNazanin" w:cs="IRNazanin"/>
          <w:lang w:bidi="fa-IR"/>
          <w:color w:val="111111"/>
          <w:sz w:val="28"/>
          <w:szCs w:val="28"/>
          <w:rtl/>
        </w:rPr>
        <w:t xml:space="preserve">۲۳۸. تهران؛ ملی؛ شماره نسخه: ۵۹۴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محمد كا محمد سمیع بن عوض دیزجی، تا: ۱۰۶۸ق؛ کاغذ: ترمه، جلد: میشن سرخ با ترنج ونیم ترنج، منگنه لولادار مقوایی، ۲۸۹گ، ۲۴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۳۰سم [ف: ۸ - ۸۱]</w:t>
      </w:r>
    </w:p>
    <w:p>
      <w:pPr>
        <w:pStyle w:val="BookText"/>
      </w:pPr>
      <w:r>
        <w:rPr>
          <w:rFonts w:ascii="IRNazanin" w:hAnsi="IRNazanin" w:eastAsia="IRNazanin" w:cs="IRNazanin"/>
          <w:lang w:bidi="fa-IR"/>
          <w:color w:val="111111"/>
          <w:sz w:val="28"/>
          <w:szCs w:val="28"/>
          <w:rtl/>
        </w:rPr>
        <w:t xml:space="preserve">۲۳۹ . مشهد؛ رضوی؛ شماره نسخه: ۳۱۴۶۷</w:t>
      </w:r>
    </w:p>
    <w:p>
      <w:pPr>
        <w:pStyle w:val="BookText"/>
      </w:pPr>
      <w:r>
        <w:rPr>
          <w:rFonts w:ascii="Amiri" w:hAnsi="Amiri" w:eastAsia="Amiri" w:cs="Amiri"/>
          <w:lang w:bidi="ar-SA"/>
          <w:color w:val="111111"/>
          <w:sz w:val="28"/>
          <w:szCs w:val="28"/>
          <w:rtl/>
        </w:rPr>
        <w:t xml:space="preserve">آغاز: جعلت فداك ان هذا ابنى صرورة و قد ماتت امه</w:t>
      </w:r>
    </w:p>
    <w:p>
      <w:pPr>
        <w:pStyle w:val="BookText"/>
      </w:pPr>
      <w:r>
        <w:rPr>
          <w:rFonts w:ascii="IRNazanin" w:hAnsi="IRNazanin" w:eastAsia="IRNazanin" w:cs="IRNazanin"/>
          <w:lang w:bidi="fa-IR"/>
          <w:color w:val="111111"/>
          <w:sz w:val="28"/>
          <w:szCs w:val="28"/>
          <w:rtl/>
        </w:rPr>
        <w:t xml:space="preserve">جلد  ۲-۳، از اواخر كتاب الحج (باب جواز حج الضرورة عن الصرورة) تا پایان استبصار؛ خط: نسخ، کا: ملا نور محمد، تا: ۱۰۶۸ق؛ افتادگی: آغاز؛ اهدایی  رهبری، بهمن ۱۳۸۳؛ کاغذ: حنایی آهار مهره ،جلد: تیماج  فرنگی، ۲۰۴گ، ۲۳ سطر، اندازه: ٢٣</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٣٠سم [اهدائی رهبر: ۲ اخبار ۱ – ۹۵]</w:t>
      </w:r>
    </w:p>
    <w:p>
      <w:pPr>
        <w:pStyle w:val="BookText"/>
      </w:pPr>
      <w:r>
        <w:rPr>
          <w:rFonts w:ascii="IRNazanin" w:hAnsi="IRNazanin" w:eastAsia="IRNazanin" w:cs="IRNazanin"/>
          <w:lang w:bidi="fa-IR"/>
          <w:color w:val="111111"/>
          <w:sz w:val="28"/>
          <w:szCs w:val="28"/>
          <w:rtl/>
        </w:rPr>
        <w:t xml:space="preserve">۲۴۰ . مشهد؛ رضوی؛ شماره نسخه: ۱۵۲۵۲</w:t>
      </w:r>
    </w:p>
    <w:p>
      <w:pPr>
        <w:pStyle w:val="BookText"/>
      </w:pPr>
      <w:r>
        <w:rPr>
          <w:rFonts w:ascii="IRNazanin" w:hAnsi="IRNazanin" w:eastAsia="IRNazanin" w:cs="IRNazanin"/>
          <w:lang w:bidi="fa-IR"/>
          <w:color w:val="111111"/>
          <w:sz w:val="28"/>
          <w:szCs w:val="28"/>
          <w:rtl/>
        </w:rPr>
        <w:t xml:space="preserve">خط: نسخ، کا: محمد باقر حسینی  رضوی، تا: ۱۰۶۸ق [الفبائی: ۶۲۱]</w:t>
      </w:r>
    </w:p>
    <w:p>
      <w:pPr>
        <w:pStyle w:val="BookText"/>
      </w:pPr>
      <w:r>
        <w:rPr>
          <w:rFonts w:ascii="IRNazanin" w:hAnsi="IRNazanin" w:eastAsia="IRNazanin" w:cs="IRNazanin"/>
          <w:lang w:bidi="fa-IR"/>
          <w:color w:val="111111"/>
          <w:sz w:val="28"/>
          <w:szCs w:val="28"/>
          <w:rtl/>
        </w:rPr>
        <w:t xml:space="preserve">۲۴۱. تهران؛ مجلس؛ شماره نسخه: ۱۳۸۸</w:t>
      </w:r>
    </w:p>
    <w:p>
      <w:pPr>
        <w:pStyle w:val="BookText"/>
      </w:pPr>
      <w:r>
        <w:rPr>
          <w:rFonts w:ascii="IRNazanin" w:hAnsi="IRNazanin" w:eastAsia="IRNazanin" w:cs="IRNazanin"/>
          <w:lang w:bidi="fa-IR"/>
          <w:color w:val="111111"/>
          <w:sz w:val="28"/>
          <w:szCs w:val="28"/>
          <w:rtl/>
        </w:rPr>
        <w:t xml:space="preserve">دو جلد (۱- از مياه تا پایان صلوة ٢- زکوة تا پایان حج)؛ خط ،نسخ، بی کا، تا: ۲۰ ربیع الثانی ۱۰۶۹ق؛ محشی، دارای بلاغ، با یادداشت خریداری آن با ۷۹ جلددیگر برای موقوفه بهرام بیک، از نماء رقباتی مانند موران و طهرانچی و ایل بیگی به پانزده تومان با مهر وقف او؛ ؛ کاغذ: سفید ،جلد: تیماج قرمز ضربی با لولا، ۲۵۰گ، ۲۲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۲۴سم [سنا - ف: ۲ - ۲۴۲]</w:t>
      </w:r>
    </w:p>
    <w:p>
      <w:pPr>
        <w:pStyle w:val="BookText"/>
      </w:pPr>
      <w:r>
        <w:rPr>
          <w:rFonts w:ascii="IRNazanin" w:hAnsi="IRNazanin" w:eastAsia="IRNazanin" w:cs="IRNazanin"/>
          <w:lang w:bidi="fa-IR"/>
          <w:color w:val="111111"/>
          <w:sz w:val="28"/>
          <w:szCs w:val="28"/>
          <w:rtl/>
        </w:rPr>
        <w:t xml:space="preserve">۲۴۲. قم؛ گلپایگانی؛ شماره نسخه: ۳۹۴۰-۲۰/۶۰</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۱۵ ربیع الاول ۱۰۶۹ق؛ دارای علامت بلاغ ،جلد: تیماج مشکی، ۴۶۱گ، ۲۲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۱-۳۲۸]</w:t>
      </w:r>
    </w:p>
    <w:p>
      <w:pPr>
        <w:pStyle w:val="BookText"/>
      </w:pPr>
      <w:r>
        <w:rPr>
          <w:rFonts w:ascii="IRNazanin" w:hAnsi="IRNazanin" w:eastAsia="IRNazanin" w:cs="IRNazanin"/>
          <w:lang w:bidi="fa-IR"/>
          <w:color w:val="111111"/>
          <w:sz w:val="28"/>
          <w:szCs w:val="28"/>
          <w:rtl/>
        </w:rPr>
        <w:t xml:space="preserve">۲۴۳. قم؛ گلپایگانی؛ شماره نسخه: ۵۳۲-۴/۲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از آغاز کتاب تا پایان مشیخه؛ خط: نسخ، بی کا، تا: دوشنبه ۲۰ ربیع الاول ۱۰۶۹ق؛ مجدول، مصحح، دارای علامت بلاغ، در آخر نسخه یادداشتی است دال برمقابله با نسخه سید محمدباقر استرآبادی و نسخ دیگر؛ مهر: کتابخانه مجدالدین؛ جلد: تیماج قهوه ای دورو مجدول مذهب، ۴۲۰گ، ۲۷ سطر، اندازه:۲۰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۳۲/۵سم [ف: ۱ - ۳۲۹]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۲۴۴. آران کاشان؛ محمد هلال؛ شماره نسخه: ۷۷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کامل؛ خط: ثلث، کا: محمد صالح بن ملا قاسم شهمیرزادی، ۱۰۶۹ق؛ محشی دارای علامت بلاغ و سماع که در چند جا به بلاغ مل محمد باقر مجلسی دیده می شود؛ نسخه در نزد استادی خوانده شده و علامت «بلغ سماعاً ایده الله تعالی» در هامش بسیاری صفحات؛ نسخه وقف اولاد ذكور ملاغلامرضا آرانی اسـت؛تملک: شیخ علی بن شیخ درویش بن حاجى رحال الكربلائی الكاظمي، جلد: مشمای قهوه ای، عطف تیماج، ۳۷۴گ ۲۷ سـطر  ،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۳۰سم [محمد هلال مخ: ۱۲]</w:t>
      </w:r>
    </w:p>
    <w:p>
      <w:pPr>
        <w:pStyle w:val="BookText"/>
      </w:pPr>
      <w:r>
        <w:rPr>
          <w:rFonts w:ascii="IRNazanin" w:hAnsi="IRNazanin" w:eastAsia="IRNazanin" w:cs="IRNazanin"/>
          <w:lang w:bidi="fa-IR"/>
          <w:color w:val="111111"/>
          <w:sz w:val="28"/>
          <w:szCs w:val="28"/>
          <w:rtl/>
        </w:rPr>
        <w:t xml:space="preserve">قم؛ مرکز احیاء؛ شماره نسخه: ۶۹۰</w:t>
      </w:r>
    </w:p>
    <w:p>
      <w:pPr>
        <w:pStyle w:val="BookText"/>
      </w:pPr>
      <w:r>
        <w:rPr>
          <w:rFonts w:ascii="IRNazanin" w:hAnsi="IRNazanin" w:eastAsia="IRNazanin" w:cs="IRNazanin"/>
          <w:lang w:bidi="fa-IR"/>
          <w:color w:val="111111"/>
          <w:sz w:val="28"/>
          <w:szCs w:val="28"/>
          <w:rtl/>
        </w:rPr>
        <w:t xml:space="preserve">نسخه اصل: همان نسخه بالا [ عکسی ف: ۲ - ۳۲۰]</w:t>
      </w:r>
    </w:p>
    <w:p>
      <w:pPr>
        <w:pStyle w:val="BookText"/>
      </w:pPr>
      <w:r>
        <w:rPr>
          <w:rFonts w:ascii="IRNazanin" w:hAnsi="IRNazanin" w:eastAsia="IRNazanin" w:cs="IRNazanin"/>
          <w:lang w:bidi="fa-IR"/>
          <w:color w:val="111111"/>
          <w:sz w:val="28"/>
          <w:szCs w:val="28"/>
          <w:rtl/>
        </w:rPr>
        <w:t xml:space="preserve">۲۴۵. یزد؛ محمود آبادی میرزا حسن؛ شماره نسخه: ۱</w:t>
      </w:r>
    </w:p>
    <w:p>
      <w:pPr>
        <w:pStyle w:val="BookText"/>
      </w:pPr>
      <w:r>
        <w:rPr>
          <w:rFonts w:ascii="IRNazanin" w:hAnsi="IRNazanin" w:eastAsia="IRNazanin" w:cs="IRNazanin"/>
          <w:lang w:bidi="fa-IR"/>
          <w:color w:val="111111"/>
          <w:sz w:val="28"/>
          <w:szCs w:val="28"/>
          <w:rtl/>
        </w:rPr>
        <w:t xml:space="preserve">خط: نسخ، کا: محمد رضا بن علی رضای  تبریزی، تا: چهارشنبـه5 جمادی ۱۰۶۹ق؛ با حواشی مدرس یزدی؛ قطع: رحلی [نشریه:  4- 451]</w:t>
      </w:r>
    </w:p>
    <w:p>
      <w:pPr>
        <w:pStyle w:val="BookText"/>
      </w:pPr>
      <w:r>
        <w:rPr>
          <w:rFonts w:ascii="IRNazanin" w:hAnsi="IRNazanin" w:eastAsia="IRNazanin" w:cs="IRNazanin"/>
          <w:lang w:bidi="fa-IR"/>
          <w:color w:val="111111"/>
          <w:sz w:val="28"/>
          <w:szCs w:val="28"/>
          <w:rtl/>
        </w:rPr>
        <w:t xml:space="preserve">۲۴۶. تهران؛ مجلس؛ شماره نسخه: ۹۶۸۹</w:t>
      </w:r>
    </w:p>
    <w:p>
      <w:pPr>
        <w:pStyle w:val="BookText"/>
      </w:pPr>
      <w:r>
        <w:rPr>
          <w:rFonts w:ascii="IRNazanin" w:hAnsi="IRNazanin" w:eastAsia="IRNazanin" w:cs="IRNazanin"/>
          <w:lang w:bidi="fa-IR"/>
          <w:color w:val="111111"/>
          <w:sz w:val="28"/>
          <w:szCs w:val="28"/>
          <w:rtl/>
        </w:rPr>
        <w:t xml:space="preserve">خط: نسخ، کا: فضل علی بن کربلائی عوض  تبریزی، تا: ۱۰۷۰ق، افتادگی: آغاز؛ مصحح، دارای بلاغ  سماع، در انتهای جزء ثـانی آمده است: «انتهى عرضها لنسخة الشيخ العالم الفاضل الكامل محمد صالح البحرانى التى هى مكتوبة و منقولة من نسخة الشـهید الثاني مقابلة و تصحيحا و سماعا من شيخنا البحراني سلمه تعالی» و در آخر نسخه آمده: «انتهی عرضها على نسخة الفاضل الكامل المحقق العالم الربانى مولانا عبدالله الشوشترى مقـابلة وتصحيحا من كتاب المكاسب الخ بحمد الله و منه»، محشى با نشانی «ق» و «م ا ر» و «س م د» یک برگ از آخر مشیخه به ابتدای نسخه ملحق شده است؛ دارای تملکی در شعبان 1227؛ جلد: تیماج تریاکی عطف و سجاف مشکی، ۴۲۱گ ۲۰ سـطر ،اندازه: ۱۸/۵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۳۰سم [ف: ۳۱ - ۵۲]</w:t>
      </w:r>
    </w:p>
    <w:p>
      <w:pPr>
        <w:pStyle w:val="BookText"/>
      </w:pPr>
      <w:r>
        <w:rPr>
          <w:rFonts w:ascii="IRNazanin" w:hAnsi="IRNazanin" w:eastAsia="IRNazanin" w:cs="IRNazanin"/>
          <w:lang w:bidi="fa-IR"/>
          <w:color w:val="111111"/>
          <w:sz w:val="28"/>
          <w:szCs w:val="28"/>
          <w:rtl/>
        </w:rPr>
        <w:t xml:space="preserve">۲۴۷. قم؛ مؤسسه حضرت آیة الله بروجردی؛ شماره نسخه:۴۹</w:t>
      </w:r>
    </w:p>
    <w:p>
      <w:pPr>
        <w:pStyle w:val="BookText"/>
      </w:pPr>
      <w:r>
        <w:rPr>
          <w:rFonts w:ascii="IRNazanin" w:hAnsi="IRNazanin" w:eastAsia="IRNazanin" w:cs="IRNazanin"/>
          <w:lang w:bidi="fa-IR"/>
          <w:color w:val="111111"/>
          <w:sz w:val="28"/>
          <w:szCs w:val="28"/>
          <w:rtl/>
        </w:rPr>
        <w:t xml:space="preserve">خط: نسخ، بی کا، تا: ۱۰۷۰ق؛ پایان کتاب جهاد عبارت «نسـخه مولانا محمد سعيد» نوشته شده و گویا این شخص کاتب باشد، مصحح ؛ تملک: زین العابدین طباطبائی که از داییش میرزا اسحـاق خان مفخم الدوله به تاریخ ۱۳۱۸ به او رسید، علی رضا بیک با مهر بیضوی، تملکی دیگر به تاریخ ۱۲۶۸ با مهر بیضوی؛ جلد: دو رو تیماج رو قهوه ای اندرون  قرمز، ۳۰۵گ، ۲۱ سطر، اندازه: ۱۹/۵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۲۶سم [ف: ۱ - ۳۷]</w:t>
      </w:r>
    </w:p>
    <w:p>
      <w:pPr>
        <w:pStyle w:val="BookText"/>
      </w:pPr>
      <w:r>
        <w:rPr>
          <w:rFonts w:ascii="IRNazanin" w:hAnsi="IRNazanin" w:eastAsia="IRNazanin" w:cs="IRNazanin"/>
          <w:lang w:bidi="fa-IR"/>
          <w:color w:val="111111"/>
          <w:sz w:val="28"/>
          <w:szCs w:val="28"/>
          <w:rtl/>
        </w:rPr>
        <w:t xml:space="preserve">۲۴۸. رشت؛ جمعیت نشر فرهنگ؛ شماره نسخه:۳۰الف</w:t>
      </w:r>
    </w:p>
    <w:p>
      <w:pPr>
        <w:pStyle w:val="BookText"/>
      </w:pPr>
      <w:r>
        <w:rPr>
          <w:rFonts w:ascii="IRNazanin" w:hAnsi="IRNazanin" w:eastAsia="IRNazanin" w:cs="IRNazanin"/>
          <w:lang w:bidi="fa-IR"/>
          <w:color w:val="111111"/>
          <w:sz w:val="28"/>
          <w:szCs w:val="28"/>
          <w:rtl/>
        </w:rPr>
        <w:t xml:space="preserve">خط: نسخ، کا: عبد الله بن حسين بن عبدالله  نجفی، تا: ۱۰۷۰ ق؛ اندازه: ۲۰/۵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۲۹/۵ سم [رشت و همدان - ف - ۱۰۸۸]</w:t>
      </w:r>
    </w:p>
    <w:p>
      <w:pPr>
        <w:pStyle w:val="BookText"/>
      </w:pPr>
      <w:r>
        <w:rPr>
          <w:rFonts w:ascii="IRNazanin" w:hAnsi="IRNazanin" w:eastAsia="IRNazanin" w:cs="IRNazanin"/>
          <w:lang w:bidi="fa-IR"/>
          <w:color w:val="111111"/>
          <w:sz w:val="28"/>
          <w:szCs w:val="28"/>
          <w:rtl/>
        </w:rPr>
        <w:t xml:space="preserve">۲۴۹. مشهد؛ نواب؛ شماره نسخه: ۲۴۱</w:t>
      </w:r>
    </w:p>
    <w:p>
      <w:pPr>
        <w:pStyle w:val="BookText"/>
      </w:pPr>
      <w:r>
        <w:rPr>
          <w:rFonts w:ascii="IRNazanin" w:hAnsi="IRNazanin" w:eastAsia="IRNazanin" w:cs="IRNazanin"/>
          <w:lang w:bidi="fa-IR"/>
          <w:color w:val="111111"/>
          <w:sz w:val="28"/>
          <w:szCs w:val="28"/>
          <w:rtl/>
        </w:rPr>
        <w:t xml:space="preserve">آغاز: برابر؛ انجام: کتاب الحج باب ماهية الاستطاعه... عن عدة من اصحابنا عن احمد بن محمد عن ابن. جلد ۱؛ از کتاب صلاة تا اول حج؛ خط: نسخ، بی کا، تا: شوال ۱۰۷۰ق؛ افتادگی: انجام؛ محشی با توضیحات لغوی، مصحح؛ در پشت صفحه اول وقفنامه کتاب از شیخ محمد مورخ رجب ۱۲۹۳ق؛ واقف: شيخ  محمد، رجب ۱۲۹۳ق؛ کاغذ: سپاهانی ،جلد: تیماج عنابی  ضربی، ۲۱۶گ ۲۳ سطر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۱۱/۵)،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۲۱۲]</w:t>
      </w:r>
    </w:p>
    <w:p>
      <w:pPr>
        <w:pStyle w:val="BookText"/>
      </w:pPr>
      <w:r>
        <w:rPr>
          <w:rFonts w:ascii="IRNazanin" w:hAnsi="IRNazanin" w:eastAsia="IRNazanin" w:cs="IRNazanin"/>
          <w:lang w:bidi="fa-IR"/>
          <w:color w:val="111111"/>
          <w:sz w:val="28"/>
          <w:szCs w:val="28"/>
          <w:rtl/>
        </w:rPr>
        <w:t xml:space="preserve">۲۵۰. اردستان؛ اردستانی- آية الله سید علیرضا؛ شماره نسخه:بدون شماره</w:t>
      </w:r>
    </w:p>
    <w:p>
      <w:pPr>
        <w:pStyle w:val="BookText"/>
      </w:pPr>
      <w:r>
        <w:rPr>
          <w:rFonts w:ascii="IRNazanin" w:hAnsi="IRNazanin" w:eastAsia="IRNazanin" w:cs="IRNazanin"/>
          <w:lang w:bidi="fa-IR"/>
          <w:color w:val="111111"/>
          <w:sz w:val="28"/>
          <w:szCs w:val="28"/>
          <w:rtl/>
        </w:rPr>
        <w:t xml:space="preserve">کا: محمد رضا بن محمد  زمان، تا: ۱۵ ذیحجه ۱۰۷۰ق [ميراث  اسلامی: ۵ - 611]</w:t>
      </w:r>
    </w:p>
    <w:p>
      <w:pPr>
        <w:pStyle w:val="BookText"/>
      </w:pPr>
      <w:r>
        <w:rPr>
          <w:rFonts w:ascii="IRNazanin" w:hAnsi="IRNazanin" w:eastAsia="IRNazanin" w:cs="IRNazanin"/>
          <w:lang w:bidi="fa-IR"/>
          <w:color w:val="111111"/>
          <w:sz w:val="28"/>
          <w:szCs w:val="28"/>
          <w:rtl/>
        </w:rPr>
        <w:t xml:space="preserve">251.. قم؛ گلپایگانی؛ شماره نسخه: ۳۷۰۷-۱۹/۳۷</w:t>
      </w:r>
    </w:p>
    <w:p>
      <w:pPr>
        <w:pStyle w:val="BookText"/>
      </w:pPr>
      <w:r>
        <w:rPr>
          <w:rFonts w:ascii="Amiri" w:hAnsi="Amiri" w:eastAsia="Amiri" w:cs="Amiri"/>
          <w:lang w:bidi="ar-SA"/>
          <w:color w:val="111111"/>
          <w:sz w:val="28"/>
          <w:szCs w:val="28"/>
          <w:rtl/>
        </w:rPr>
        <w:t xml:space="preserve">آغاز: بسمله كتاب الجهاد باب من يستحق ان يقسم الغنائم فيهم اخبرني الشيخ ره عن احمد بن محمد عن ابيه عن الصفار؛ انجام:  برابر</w:t>
      </w:r>
    </w:p>
    <w:p>
      <w:pPr>
        <w:pStyle w:val="BookText"/>
      </w:pPr>
      <w:r>
        <w:rPr>
          <w:rFonts w:ascii="IRNazanin" w:hAnsi="IRNazanin" w:eastAsia="IRNazanin" w:cs="IRNazanin"/>
          <w:lang w:bidi="fa-IR"/>
          <w:color w:val="111111"/>
          <w:sz w:val="28"/>
          <w:szCs w:val="28"/>
          <w:rtl/>
        </w:rPr>
        <w:t xml:space="preserve">از کتاب الجهاد تا آخر؛ خط: نسخ، کا: مجد الدین مجدی، تا: غره ربیع الثانى ۱۰۷۰ق؛ مصحح، محشی، مقابله کتاب را اسماعیل حسینی خاتون آبادی اصفهانی به پایان رسانده است؛ جلد: تیماج قهوه ای، ۱۵۰گ ۲۳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۳۴سم [ف: ۱ - ۳۳۰]</w:t>
      </w:r>
    </w:p>
    <w:p>
      <w:pPr>
        <w:pStyle w:val="BookText"/>
      </w:pPr>
      <w:r>
        <w:rPr>
          <w:rFonts w:ascii="IRNazanin" w:hAnsi="IRNazanin" w:eastAsia="IRNazanin" w:cs="IRNazanin"/>
          <w:lang w:bidi="fa-IR"/>
          <w:color w:val="111111"/>
          <w:sz w:val="28"/>
          <w:szCs w:val="28"/>
          <w:rtl/>
        </w:rPr>
        <w:t xml:space="preserve">۲۵۲. تهران؛ ملک؛ شماره نسخه: ۲۷۵۹</w:t>
      </w:r>
    </w:p>
    <w:p>
      <w:pPr>
        <w:pStyle w:val="BookText"/>
      </w:pPr>
      <w:r>
        <w:rPr>
          <w:rFonts w:ascii="IRNazanin" w:hAnsi="IRNazanin" w:eastAsia="IRNazanin" w:cs="IRNazanin"/>
          <w:lang w:bidi="fa-IR"/>
          <w:color w:val="111111"/>
          <w:sz w:val="28"/>
          <w:szCs w:val="28"/>
          <w:rtl/>
        </w:rPr>
        <w:t xml:space="preserve">خط: نسخ، کا: محمد امین بن محمد بن محمد هاشم و انشانی جرفادقانی (گلپایگانی) تا: ۱۸ ذیحجه ۱۰۷۰ق؛ محشی با نشان «ع ق ره» کاغذ ،ترمه ،جلد: میشن سیاه، ۳۹۵گ، ۲۶ سطر، اندازه: ۱۸/۲</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۲۹/۷سم [ف: ۱ . ف: ۱ - ۳۰]</w:t>
      </w:r>
    </w:p>
    <w:p>
      <w:pPr>
        <w:pStyle w:val="BookText"/>
      </w:pPr>
      <w:r>
        <w:rPr>
          <w:rFonts w:ascii="IRNazanin" w:hAnsi="IRNazanin" w:eastAsia="IRNazanin" w:cs="IRNazanin"/>
          <w:lang w:bidi="fa-IR"/>
          <w:color w:val="111111"/>
          <w:sz w:val="28"/>
          <w:szCs w:val="28"/>
          <w:rtl/>
        </w:rPr>
        <w:t xml:space="preserve">۲۵۳ . مشهد؛ رضوی؛ شماره نسخه ۱۹۱۰</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پنج شنبه اواخر جمادی الثانی ۱۰۷۰ق؛ مصحح؛ واقف: ملا محمد  اسماعیل، ۱۲۴۱؛ کاغذ: آهاری نخودی، جلد: تیماج  زرشکی، ۲۷۱گ، ۲۷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۳۰سم [ف: ۵ - ۳۲] 254. تهران؛ مجلس؛ شماره نسخه: ۸۴۹۸</w:t>
      </w:r>
    </w:p>
    <w:p>
      <w:pPr>
        <w:pStyle w:val="BookText"/>
      </w:pPr>
      <w:r>
        <w:rPr>
          <w:rFonts w:ascii="IRNazanin" w:hAnsi="IRNazanin" w:eastAsia="IRNazanin" w:cs="IRNazanin"/>
          <w:lang w:bidi="fa-IR"/>
          <w:color w:val="111111"/>
          <w:sz w:val="28"/>
          <w:szCs w:val="28"/>
          <w:rtl/>
        </w:rPr>
        <w:t xml:space="preserve">خط: نسخ، کا: فضل الله بن عباس خادم نجفی، تا: جمعه ۱۴ رجب ۱۰۷۰ق؛ مصحح، در پایان جزء دوم و سوم و پایان مشیخه</w:t>
      </w:r>
    </w:p>
    <w:p>
      <w:pPr>
        <w:pStyle w:val="BookText"/>
      </w:pPr>
      <w:r>
        <w:rPr>
          <w:rFonts w:ascii="IRNazanin" w:hAnsi="IRNazanin" w:eastAsia="IRNazanin" w:cs="IRNazanin"/>
          <w:lang w:bidi="fa-IR"/>
          <w:color w:val="111111"/>
          <w:sz w:val="28"/>
          <w:szCs w:val="28"/>
          <w:rtl/>
        </w:rPr>
        <w:t xml:space="preserve">،  انهاءاتى از خلف بن حردان غطاوي جهت كاتب فضل الله بن عباس بن عبدالله  و در پایان کتاب قبل از مشیخه اجازه وی به همو  در سال ۱۰۷۳ق دیده می شود، محشی؛ جلد: تیماج قهوه ای ضربی ترنج و سرترنج دار با سرطبل، ۴۰۶گ، ۲۳ سطر، اندازه:۱۹/۵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۲۸ - ۶۹]</w:t>
      </w:r>
    </w:p>
    <w:p>
      <w:pPr>
        <w:pStyle w:val="BookText"/>
      </w:pPr>
      <w:r>
        <w:rPr>
          <w:rFonts w:ascii="IRNazanin" w:hAnsi="IRNazanin" w:eastAsia="IRNazanin" w:cs="IRNazanin"/>
          <w:lang w:bidi="fa-IR"/>
          <w:color w:val="111111"/>
          <w:sz w:val="28"/>
          <w:szCs w:val="28"/>
          <w:rtl/>
        </w:rPr>
        <w:t xml:space="preserve">۲۵۵. مشهد؛ رضوی؛ شماره نسخه: ۲۰۵۵۵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جلد ۳-۱؛ خط: نسخ، کا: سید علی بن فتح الله حسینی فارسکی مشهدی (جلد ۱ و ۲) تا: چهارشنبه ۵ رمضان ۱۰۷۱ق، کاتب جلد ۱ و ۲ سيد على بن فتح الله حسینی فارسکی مشهدی و بقیه از کاتبی نامعلوم در جمعه ۲۶ ذیحجه ۱۰۰۰؛ محشی با رموز مختلف،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مصحح،  مقابله شده؛ اهدایی  رهبری، خرداد ۱۳۷۳؛ کاغذ: نخودی، آهار مهره، جلد: تیماج  عنابی، ۴۳۵گ، ۲۱ سطر، اندازه:</w:t>
      </w:r>
    </w:p>
    <w:p>
      <w:pPr>
        <w:pStyle w:val="BookText"/>
      </w:pPr>
      <w:r>
        <w:rPr>
          <w:rFonts w:ascii="IRNazanin" w:hAnsi="IRNazanin" w:eastAsia="IRNazanin" w:cs="IRNazanin"/>
          <w:lang w:bidi="fa-IR"/>
          <w:color w:val="111111"/>
          <w:sz w:val="28"/>
          <w:szCs w:val="28"/>
          <w:rtl/>
        </w:rPr>
        <w:t xml:space="preserve">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۲۴/۵سم [اهدائی رهبر: ۲ اخبار ۱ – ۹۱]</w:t>
      </w:r>
    </w:p>
    <w:p>
      <w:pPr>
        <w:pStyle w:val="BookText"/>
      </w:pPr>
      <w:r>
        <w:rPr>
          <w:rFonts w:ascii="IRNazanin" w:hAnsi="IRNazanin" w:eastAsia="IRNazanin" w:cs="IRNazanin"/>
          <w:lang w:bidi="fa-IR"/>
          <w:color w:val="111111"/>
          <w:sz w:val="28"/>
          <w:szCs w:val="28"/>
          <w:rtl/>
        </w:rPr>
        <w:t xml:space="preserve">۲۵۶ . مشهد؛ رضوی؛ شماره نسخه: ۱۵۲۵۹</w:t>
      </w:r>
    </w:p>
    <w:p>
      <w:pPr>
        <w:pStyle w:val="BookText"/>
      </w:pPr>
      <w:r>
        <w:rPr>
          <w:rFonts w:ascii="Amiri" w:hAnsi="Amiri" w:eastAsia="Amiri" w:cs="Amiri"/>
          <w:lang w:bidi="ar-SA"/>
          <w:color w:val="111111"/>
          <w:sz w:val="28"/>
          <w:szCs w:val="28"/>
          <w:rtl/>
        </w:rPr>
        <w:t xml:space="preserve">آغاز: برابر؛انجام؛ فكذلك في مسجد الكوفة لان احدا لا يفـرق بين الموضعين.</w:t>
      </w:r>
    </w:p>
    <w:p>
      <w:pPr>
        <w:pStyle w:val="BookText"/>
      </w:pPr>
      <w:r>
        <w:rPr>
          <w:rFonts w:ascii="IRNazanin" w:hAnsi="IRNazanin" w:eastAsia="IRNazanin" w:cs="IRNazanin"/>
          <w:lang w:bidi="fa-IR"/>
          <w:color w:val="111111"/>
          <w:sz w:val="28"/>
          <w:szCs w:val="28"/>
          <w:rtl/>
        </w:rPr>
        <w:t xml:space="preserve">جلد ۲-۱؛ خط: نسخ،کا: صدرالدین محمد بن فتح الله خـادم  حسینی، تا: پنج شنبه ۲۰ رمضان ۱۰۷۱ق؛ مقابله و تصحیح توسط على بن فتح الله حسینی استرآبادی مشهدی در ۱۰۷۱ق، محشـی؛ واقف: حاج احمد فاضل، اسفند ۱۳۶۵؛ کاغذ: نخودی آهار مهـره، جلد: تيماج قهوه ای ضربی با ترنج و سرترنج  زرپوش، ۲۶۹  گ، ۲۱ سطر ،اندازه: ۱۹/۸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۲۶/۲سم [ف: ۱۴ – ۶۹]</w:t>
      </w:r>
    </w:p>
    <w:p>
      <w:pPr>
        <w:pStyle w:val="BookText"/>
      </w:pPr>
      <w:r>
        <w:rPr>
          <w:rFonts w:ascii="IRNazanin" w:hAnsi="IRNazanin" w:eastAsia="IRNazanin" w:cs="IRNazanin"/>
          <w:lang w:bidi="fa-IR"/>
          <w:color w:val="111111"/>
          <w:sz w:val="28"/>
          <w:szCs w:val="28"/>
          <w:rtl/>
        </w:rPr>
        <w:t xml:space="preserve">۲۵۷. مشهد؛ رضوی؛ شماره نسخه: ۶۸۱۱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 کا: محمد حسین بن منصور نجفی ،تا: شنبه ۱۳ صفر  ۱۰۷۱ق؛ دارای یک سرلوح کوچک زمینه طلا،مجدول؛ واقف: ملکزاده  کوثر، آبان ۱۳۲۶؛ کاغذ: حنایی  آهاری ،جلد: تیماج ضربی  عنابی، ۴۸۵گ، ۲۳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۳۱سم :[ف: ۵ - ۳۳ ]</w:t>
      </w:r>
    </w:p>
    <w:p>
      <w:pPr>
        <w:pStyle w:val="BookText"/>
      </w:pPr>
      <w:r>
        <w:rPr>
          <w:rFonts w:ascii="IRNazanin" w:hAnsi="IRNazanin" w:eastAsia="IRNazanin" w:cs="IRNazanin"/>
          <w:lang w:bidi="fa-IR"/>
          <w:color w:val="111111"/>
          <w:sz w:val="28"/>
          <w:szCs w:val="28"/>
          <w:rtl/>
        </w:rPr>
        <w:t xml:space="preserve">۲۵۸ . مشهد؛ رضوی؛ شماره نسخه: ۱۵۰۸۴</w:t>
      </w:r>
    </w:p>
    <w:p>
      <w:pPr>
        <w:pStyle w:val="BookText"/>
      </w:pPr>
      <w:r>
        <w:rPr>
          <w:rFonts w:ascii="IRNazanin" w:hAnsi="IRNazanin" w:eastAsia="IRNazanin" w:cs="IRNazanin"/>
          <w:lang w:bidi="fa-IR"/>
          <w:color w:val="111111"/>
          <w:sz w:val="28"/>
          <w:szCs w:val="28"/>
          <w:rtl/>
        </w:rPr>
        <w:t xml:space="preserve">آغاز: برابر؛ انجام: على يد الضعيف محمد سالم بن محمد شریـف خوانساری غفر ذنوبه جميع المومنين و المومنات بمحمد وآله  المجاد</w:t>
      </w:r>
    </w:p>
    <w:p>
      <w:pPr>
        <w:pStyle w:val="BookText"/>
      </w:pPr>
      <w:r>
        <w:rPr>
          <w:rFonts w:ascii="IRNazanin" w:hAnsi="IRNazanin" w:eastAsia="IRNazanin" w:cs="IRNazanin"/>
          <w:lang w:bidi="fa-IR"/>
          <w:color w:val="111111"/>
          <w:sz w:val="28"/>
          <w:szCs w:val="28"/>
          <w:rtl/>
        </w:rPr>
        <w:t xml:space="preserve">جلد ۱-۳، خط: نسخ، کا: محمد سالم بن محمد شریف خوانساری، تا: ۱۵ ربيع الاول ۱۰۷۱ق؛ دارای بلاغ؛ وقفی مکتبة  الامام در اردیبهشت ۱۳۶۵؛ کاغذ: نخودی آهار مهره ،جلد: تیماج  عنابی، اندازه: ۱۹/۲۲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۲۹/۵سم [ف: ۱۴- ۶۱]</w:t>
      </w:r>
    </w:p>
    <w:p>
      <w:pPr>
        <w:pStyle w:val="BookText"/>
      </w:pPr>
      <w:r>
        <w:rPr>
          <w:rFonts w:ascii="IRNazanin" w:hAnsi="IRNazanin" w:eastAsia="IRNazanin" w:cs="IRNazanin"/>
          <w:lang w:bidi="fa-IR"/>
          <w:color w:val="111111"/>
          <w:sz w:val="28"/>
          <w:szCs w:val="28"/>
          <w:rtl/>
        </w:rPr>
        <w:t xml:space="preserve">۲۵۹. قم؛ مسجد اعظم؛ شماره نسخه:۱۸۷</w:t>
      </w:r>
    </w:p>
    <w:p>
      <w:pPr>
        <w:pStyle w:val="BookText"/>
      </w:pPr>
      <w:r>
        <w:rPr>
          <w:rFonts w:ascii="IRNazanin" w:hAnsi="IRNazanin" w:eastAsia="IRNazanin" w:cs="IRNazanin"/>
          <w:lang w:bidi="fa-IR"/>
          <w:color w:val="111111"/>
          <w:sz w:val="28"/>
          <w:szCs w:val="28"/>
          <w:rtl/>
        </w:rPr>
        <w:t xml:space="preserve">آغاز: برابر؛ انجام: و ما ذكرته عن ابي طالب الانبارى فقد رویته عن احمد بن عبدون عنه رض قال المصنف هذا الكتاب رضى الله فقداوردت جملا ... ابواب الكتاب تسعمأة و خمس و عشرون  بابا يشتمل على خمسة ...</w:t>
      </w:r>
    </w:p>
    <w:p>
      <w:pPr>
        <w:pStyle w:val="BookText"/>
      </w:pPr>
      <w:r>
        <w:rPr>
          <w:rFonts w:ascii="IRNazanin" w:hAnsi="IRNazanin" w:eastAsia="IRNazanin" w:cs="IRNazanin"/>
          <w:lang w:bidi="fa-IR"/>
          <w:color w:val="111111"/>
          <w:sz w:val="28"/>
          <w:szCs w:val="28"/>
          <w:rtl/>
        </w:rPr>
        <w:t xml:space="preserve">خط:  نسخ، كا: محمد صادق  جرفادقانی، تا: محرم ۱۰۷۲ق،جا: اصفهان؛ مصحح ؛ مهر : «عبده محمد علی بن علی ۱۲۸۴» (بیضی) ؛جلد: تیماج مشکی با ترنج و سر مجدول گرهی، ۲۷۸گ، 26سطر،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۳۱سم [ف مخ: ۱ - ۱۳۸]</w:t>
      </w:r>
    </w:p>
    <w:p>
      <w:pPr>
        <w:pStyle w:val="BookText"/>
      </w:pPr>
      <w:r>
        <w:rPr>
          <w:rFonts w:ascii="IRNazanin" w:hAnsi="IRNazanin" w:eastAsia="IRNazanin" w:cs="IRNazanin"/>
          <w:lang w:bidi="fa-IR"/>
          <w:color w:val="111111"/>
          <w:sz w:val="28"/>
          <w:szCs w:val="28"/>
          <w:rtl/>
        </w:rPr>
        <w:t xml:space="preserve">۲۶۰. اصفهان؛ عمومی اصفهان (فرهنگ سابق)؛ شماره نسخه: ۲۹۳۶</w:t>
      </w:r>
    </w:p>
    <w:p>
      <w:pPr>
        <w:pStyle w:val="BookText"/>
      </w:pPr>
      <w:r>
        <w:rPr>
          <w:rFonts w:ascii="IRNazanin" w:hAnsi="IRNazanin" w:eastAsia="IRNazanin" w:cs="IRNazanin"/>
          <w:lang w:bidi="fa-IR"/>
          <w:color w:val="111111"/>
          <w:sz w:val="28"/>
          <w:szCs w:val="28"/>
          <w:rtl/>
        </w:rPr>
        <w:t xml:space="preserve">خط: نسخ، کا: درويش على بن يوسف  طالقانی ،تا: محـرم   ۱۰۷۲ق؛ کاغذ ،اصفهانی، جلد: تیماج ۸۷۵ص ، ۲۳ سطر (9</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،اندازه: ۱۶</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۲۳سم [عمومی اصفهان؛ (فرهنگ سابق)-ف: ۱-۱۷۸]</w:t>
      </w:r>
    </w:p>
    <w:p>
      <w:pPr>
        <w:pStyle w:val="BookText"/>
      </w:pPr>
      <w:r>
        <w:rPr>
          <w:rFonts w:ascii="IRNazanin" w:hAnsi="IRNazanin" w:eastAsia="IRNazanin" w:cs="IRNazanin"/>
          <w:lang w:bidi="fa-IR"/>
          <w:color w:val="111111"/>
          <w:sz w:val="28"/>
          <w:szCs w:val="28"/>
          <w:rtl/>
        </w:rPr>
        <w:t xml:space="preserve">۲۶۱. قم؛ گلپایگانی؛ شماره نسخه: ۵۳۵۸-۲۷/۲۸</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خداداد بن رمضان شولستانی (جلد دوم) تا:6 جمادی ۱۰۷۳ (جلد اول) و پنج شنبه ۱۶ ذیقعده ۱۰۸۰ (جلد دوم)؛</w:t>
      </w:r>
    </w:p>
    <w:p>
      <w:pPr>
        <w:pStyle w:val="BookText"/>
      </w:pPr>
      <w:r>
        <w:rPr>
          <w:rFonts w:ascii="IRNazanin" w:hAnsi="IRNazanin" w:eastAsia="IRNazanin" w:cs="IRNazanin"/>
          <w:lang w:bidi="fa-IR"/>
          <w:color w:val="111111"/>
          <w:sz w:val="28"/>
          <w:szCs w:val="28"/>
          <w:rtl/>
        </w:rPr>
        <w:t xml:space="preserve">جلد: تیماج نارنجی سوخت با ترنج باسر جدول دار، ۴۹۸گ، ۲۲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۱ - ۳۲۸  ]</w:t>
      </w:r>
    </w:p>
    <w:p>
      <w:pPr>
        <w:pStyle w:val="BookText"/>
      </w:pPr>
      <w:r>
        <w:rPr>
          <w:rFonts w:ascii="IRNazanin" w:hAnsi="IRNazanin" w:eastAsia="IRNazanin" w:cs="IRNazanin"/>
          <w:lang w:bidi="fa-IR"/>
          <w:color w:val="111111"/>
          <w:sz w:val="28"/>
          <w:szCs w:val="28"/>
          <w:rtl/>
        </w:rPr>
        <w:t xml:space="preserve">۲۶۲ . مشهد؛ رضوی؛ شماره نسخه: ۱۴۹۴۶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جلد ۱-۳؛ خط: نسخ، کا، شمس الدین محمدبن شانور الله حسینی، تا: چهارشنبه ۱۰ محرم ۱۰۷۳ق؛ دارای بلاغ، واقف: سیدمحمد باقر سبزواری، محرم  ۱۴۰۵؛ کاغذ: نخودی آهار مهره، جلد: تیماج عنابی ضربی با ترنج و سرترنج، ۲۹۳گ، ۲۷ سطر، اندازه: ۱۹/۵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۲۸/۷سم [ف: ۱۴- ۶۱]</w:t>
      </w:r>
    </w:p>
    <w:p>
      <w:pPr>
        <w:pStyle w:val="BookText"/>
      </w:pPr>
      <w:r>
        <w:rPr>
          <w:rFonts w:ascii="IRNazanin" w:hAnsi="IRNazanin" w:eastAsia="IRNazanin" w:cs="IRNazanin"/>
          <w:lang w:bidi="fa-IR"/>
          <w:color w:val="111111"/>
          <w:sz w:val="28"/>
          <w:szCs w:val="28"/>
          <w:rtl/>
        </w:rPr>
        <w:t xml:space="preserve">۲۶۳. قم؛ مرعشی؛ شماره نسخه: ۸۴۲۰</w:t>
      </w:r>
    </w:p>
    <w:p>
      <w:pPr>
        <w:pStyle w:val="BookText"/>
      </w:pPr>
      <w:r>
        <w:rPr>
          <w:rFonts w:ascii="IRNazanin" w:hAnsi="IRNazanin" w:eastAsia="IRNazanin" w:cs="IRNazanin"/>
          <w:lang w:bidi="fa-IR"/>
          <w:color w:val="111111"/>
          <w:sz w:val="28"/>
          <w:szCs w:val="28"/>
          <w:rtl/>
        </w:rPr>
        <w:t xml:space="preserve">خط: نسخ، کا: صدرالدین محمد بن فتح الله خادم حسینی (نیمه اول) و سلطان محمد بن محمود روشناوندی جنابذی تونی (نیمه دوم) تا: سه شنبه ۱۶ رجب ۱۰۷۱ (جلد اول)، چهارشنبه ۱۹ ربيع الاول ۱۰۷۳ (جلد دوم) جا: مشهد مقدس؛ مصحح، محشی، دارای نشان  بلاغ، پایان کتاب صوم و دیات انهاءهایی است به خط ملا احمد بن محمد تونی دومین آنها به تاریخ اوایل محرم ۱۰۷۵؛ تملک: احمد بن لطفعلی تبریزی با مهر «مبشرا برسول يأتى من بعدی اسمه احمد» (مربع) ؛ جلد: تیماج قرمز عطف تیماج قهوه ای، ۵۰۹گ، ۲۲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۲۵/۵سم [ف : ۲۲ - ۱۷]</w:t>
      </w:r>
    </w:p>
    <w:p>
      <w:pPr>
        <w:pStyle w:val="BookText"/>
      </w:pPr>
      <w:r>
        <w:rPr>
          <w:rFonts w:ascii="IRNazanin" w:hAnsi="IRNazanin" w:eastAsia="IRNazanin" w:cs="IRNazanin"/>
          <w:lang w:bidi="fa-IR"/>
          <w:color w:val="111111"/>
          <w:sz w:val="28"/>
          <w:szCs w:val="28"/>
          <w:rtl/>
        </w:rPr>
        <w:t xml:space="preserve">۲۶۴. تهران؛ ملی؛ شماره نسخه: ۶۳۵۶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کامل همراه مشیخه؛ خط: نسخ، کا: محمد معصوم بن ناصرالدین  محمد سبزواری، تا: پنج شنبه ۲۱ ربیع الثانى ۱۰۷۴ق؛ مصحح ،محشی با بلاغ قرائت مهر: «عبده رضى الحسينى» (بيضي) مورخ ۱۱۸۲ق؛ كاغذ: اصفهانی نخودی آهار مهره، جلد: تیماج مشکی مقوایی عطف و لبه ها سجاف قهوه ای  مجدول، ۳۱۰گ، ۳۰-۳۲  سطر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۱۹/۸)، اندازه: ۱۸/۵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۲۹/۲سم [رایانه]</w:t>
      </w:r>
    </w:p>
    <w:p>
      <w:pPr>
        <w:pStyle w:val="BookText"/>
      </w:pPr>
      <w:r>
        <w:rPr>
          <w:rFonts w:ascii="IRNazanin" w:hAnsi="IRNazanin" w:eastAsia="IRNazanin" w:cs="IRNazanin"/>
          <w:lang w:bidi="fa-IR"/>
          <w:color w:val="111111"/>
          <w:sz w:val="28"/>
          <w:szCs w:val="28"/>
          <w:rtl/>
        </w:rPr>
        <w:t xml:space="preserve">۲۶۵ .قم؛ مرعشی؛ شماره نسخه: ۶۷۴۹</w:t>
      </w:r>
    </w:p>
    <w:p>
      <w:pPr>
        <w:pStyle w:val="BookText"/>
      </w:pPr>
      <w:r>
        <w:rPr>
          <w:rFonts w:ascii="IRNazanin" w:hAnsi="IRNazanin" w:eastAsia="IRNazanin" w:cs="IRNazanin"/>
          <w:lang w:bidi="fa-IR"/>
          <w:color w:val="111111"/>
          <w:sz w:val="28"/>
          <w:szCs w:val="28"/>
          <w:rtl/>
        </w:rPr>
        <w:t xml:space="preserve">خط: نسخ، كا: محمد طاهر بن حسن علی معلم کوساری، تا: ۱۰۷۳ق، بخش مشیخه در اواخر ۱۰۸۱؛ افتادگی: انجام؛ مصحح، ،محشی در پایان جزء اول کاتب نسخه می نویسد که مقابله این بخش در حضور مولانا محمد علی استر آبادی به تاریخ ربیع الاول ۱۰۷۴ انجام شد؛ جلد: تیماج قرمز عطف و حواشی تیماج مشکی  ، ۲۹۷گ، ۲۷ سطر، اندازه: ۱۹</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۲۷سم [ف : ۱۷ - ۳۰۲]</w:t>
      </w:r>
    </w:p>
    <w:p>
      <w:pPr>
        <w:pStyle w:val="BookText"/>
      </w:pPr>
      <w:r>
        <w:rPr>
          <w:rFonts w:ascii="IRNazanin" w:hAnsi="IRNazanin" w:eastAsia="IRNazanin" w:cs="IRNazanin"/>
          <w:lang w:bidi="fa-IR"/>
          <w:color w:val="111111"/>
          <w:sz w:val="28"/>
          <w:szCs w:val="28"/>
          <w:rtl/>
        </w:rPr>
        <w:t xml:space="preserve">266.قم؛ مرعشی؛ شماره نسخه: ۵۵۷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محمد بن نعمت الله، تا: ۲۰ رجب ۱۰۷۴ق؛  مصحح، محشی، در صفحه آخر آية الله مرعشی نوشته اند که مشیخه را میرزا حسین رحمانی طهرانی به تاریخ محرم 1354نزد من خوانده است؛ تملک: محسن بن محمد طاهر و مهر «یا محسن قد أتاك المسيء» (بیضی)؛ مهر «و رفعناه مكاناً علياً» (مربع)؛ جلد: تيماج قرمز عطف تیماج مشکی، ۴۲۵گ، ۲۳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۲۶سم [ف: ۲ - ۱۵۸]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۲۶۷. مشهد؛ رضوی؛ شماره نسخه:۱۶۹۳۰</w:t>
      </w:r>
    </w:p>
    <w:p>
      <w:pPr>
        <w:pStyle w:val="BookText"/>
      </w:pPr>
      <w:r>
        <w:rPr>
          <w:rFonts w:ascii="IRNazanin" w:hAnsi="IRNazanin" w:eastAsia="IRNazanin" w:cs="IRNazanin"/>
          <w:lang w:bidi="fa-IR"/>
          <w:color w:val="111111"/>
          <w:sz w:val="28"/>
          <w:szCs w:val="28"/>
          <w:rtl/>
        </w:rPr>
        <w:t xml:space="preserve">آغاز: اظفاره بالحديد اوجز شعره او حلق قفاه فان عليه ان يمسحه  بالماء قبل ان یصلی؛ انجام: برابر</w:t>
      </w:r>
    </w:p>
    <w:p>
      <w:pPr>
        <w:pStyle w:val="BookText"/>
      </w:pPr>
      <w:r>
        <w:rPr>
          <w:rFonts w:ascii="IRNazanin" w:hAnsi="IRNazanin" w:eastAsia="IRNazanin" w:cs="IRNazanin"/>
          <w:lang w:bidi="fa-IR"/>
          <w:color w:val="111111"/>
          <w:sz w:val="28"/>
          <w:szCs w:val="28"/>
          <w:rtl/>
        </w:rPr>
        <w:t xml:space="preserve">جلد ۱-۳ خط: نسخ ،کا: سهی کورنزونی، تا: سه شنبه ۲۰ رجـب   ۱۰۷۴ق؛ افتادگی: آغاز (از ابتدای نسخه تا باب شرب البان الـبقر و الابل)؛ مصحح، محشی؛ واگذاری دانشگاه علوم اسلامی  رضوی در مهر ۱۳۶۸؛ کاغذ: نخودی  آهار مهره ،جلد: تیماج، ۳۸۰گ، ۲۳  سطر، اندازه: ۱۸/۷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۲۵/۳سم [ف: ۱۴ - ۶۴]</w:t>
      </w:r>
    </w:p>
    <w:p>
      <w:pPr>
        <w:pStyle w:val="BookText"/>
      </w:pPr>
      <w:r>
        <w:rPr>
          <w:rFonts w:ascii="IRNazanin" w:hAnsi="IRNazanin" w:eastAsia="IRNazanin" w:cs="IRNazanin"/>
          <w:lang w:bidi="fa-IR"/>
          <w:color w:val="111111"/>
          <w:sz w:val="28"/>
          <w:szCs w:val="28"/>
          <w:rtl/>
        </w:rPr>
        <w:t xml:space="preserve">۲۶۸ . مشهد؛ رضوی؛ شماره نسخه: ۱۱۵۷۳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جلد ۱-۳؛ خط: نسخ  خوش، بی کا، تا: چهارشنبه ۱۷ جما الثانی ۱۰۷۴ق؛ نسخه در سال ۱۱۲۸ توسط حبیب الله اصفهانی در نزد عالم بزرگوار محمدبن حسن اصفهانی معروف به بهاء تصحیح گردیده که دستخط سماع و اجازه روایت ایشان به نامبرده در پایان صلوة دیده می شود ، محشی با رموز مختلف از جمله مصـحح مزبور با عناوین «بهاء سلمه الله»؛ واقف: حسن فرید محسنی، شهریور ۱۳۵۴ ؛کاغذ: حنائی  آهار مهره ،جلد: میشن عنابی ضربی دو رویه، ۳۲۳گ، ۲۷  سطر، اندازه: ۲۴/۷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۳۸سم [ف: ۱۴ - ۶۰]</w:t>
      </w:r>
    </w:p>
    <w:p>
      <w:pPr>
        <w:pStyle w:val="BookText"/>
      </w:pPr>
      <w:r>
        <w:rPr>
          <w:rFonts w:ascii="IRNazanin" w:hAnsi="IRNazanin" w:eastAsia="IRNazanin" w:cs="IRNazanin"/>
          <w:lang w:bidi="fa-IR"/>
          <w:color w:val="111111"/>
          <w:sz w:val="28"/>
          <w:szCs w:val="28"/>
          <w:rtl/>
        </w:rPr>
        <w:t xml:space="preserve">۲۶۹ مشهد؛ رضوی؛ شماره نسخه: ۱۹۰۶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محمد بن محمود اردکانی، تا: دوشنبه ۳ ربیع الاول ۱۰۷۴ق؛ مصحح، محشى؛ واقف: حاج قائم مقام، بهمن 1316؛کاغذ: آهاری نخودی، جلد: میشنی خرمایی، ۲۹۹گ،۲۵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۲۴/۵سم [ف: ۵ - ۳۳]</w:t>
      </w:r>
    </w:p>
    <w:p>
      <w:pPr>
        <w:pStyle w:val="BookText"/>
      </w:pPr>
      <w:r>
        <w:rPr>
          <w:rFonts w:ascii="IRNazanin" w:hAnsi="IRNazanin" w:eastAsia="IRNazanin" w:cs="IRNazanin"/>
          <w:lang w:bidi="fa-IR"/>
          <w:color w:val="111111"/>
          <w:sz w:val="28"/>
          <w:szCs w:val="28"/>
          <w:rtl/>
        </w:rPr>
        <w:t xml:space="preserve">۲۷۰. مشهد؛ رضوی؛ شماره نسخه: ۱۹۰۸</w:t>
      </w:r>
    </w:p>
    <w:p>
      <w:pPr>
        <w:pStyle w:val="BookText"/>
      </w:pPr>
      <w:r>
        <w:rPr>
          <w:rFonts w:ascii="Amiri" w:hAnsi="Amiri" w:eastAsia="Amiri" w:cs="Amiri"/>
          <w:lang w:bidi="ar-SA"/>
          <w:color w:val="111111"/>
          <w:sz w:val="28"/>
          <w:szCs w:val="28"/>
          <w:rtl/>
        </w:rPr>
        <w:t xml:space="preserve">آغاز: برابر؛ انجام: و قد روى ذلك عن النبي صلى الله عليه و آله</w:t>
      </w:r>
    </w:p>
    <w:p>
      <w:pPr>
        <w:pStyle w:val="BookText"/>
      </w:pPr>
      <w:r>
        <w:rPr>
          <w:rFonts w:ascii="IRNazanin" w:hAnsi="IRNazanin" w:eastAsia="IRNazanin" w:cs="IRNazanin"/>
          <w:lang w:bidi="fa-IR"/>
          <w:color w:val="111111"/>
          <w:sz w:val="28"/>
          <w:szCs w:val="28"/>
          <w:rtl/>
        </w:rPr>
        <w:t xml:space="preserve">خط: نسخ، كا: محمد حسین بن حاج نوری، تا: ۱۰۷۴ق؛ در تاریخ اسفند ۱۳۰۹، به وسیله منتجب الدین، تسلیم کتابخانه گردید؛ کاغذ: آهاری  نخودی، جلد: تیماج قهوه ای، ۴۰۲گ، ۲۳ سـطر  ،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۲۴/۵سم [ف: ۵ - ۳۳]</w:t>
      </w:r>
    </w:p>
    <w:p>
      <w:pPr>
        <w:pStyle w:val="BookText"/>
      </w:pPr>
      <w:r>
        <w:rPr>
          <w:rFonts w:ascii="IRNazanin" w:hAnsi="IRNazanin" w:eastAsia="IRNazanin" w:cs="IRNazanin"/>
          <w:lang w:bidi="fa-IR"/>
          <w:color w:val="111111"/>
          <w:sz w:val="28"/>
          <w:szCs w:val="28"/>
          <w:rtl/>
        </w:rPr>
        <w:t xml:space="preserve">۲۷۱. مشهد؛ مدرسه باقریه؛ شماره نسخه: ۱۳</w:t>
      </w:r>
    </w:p>
    <w:p>
      <w:pPr>
        <w:pStyle w:val="BookText"/>
      </w:pPr>
      <w:r>
        <w:rPr>
          <w:rFonts w:ascii="IRNazanin" w:hAnsi="IRNazanin" w:eastAsia="IRNazanin" w:cs="IRNazanin"/>
          <w:lang w:bidi="fa-IR"/>
          <w:color w:val="111111"/>
          <w:sz w:val="28"/>
          <w:szCs w:val="28"/>
          <w:rtl/>
        </w:rPr>
        <w:t xml:space="preserve">از الأغسال تا آخر کتاب؛ خط: نسخ،  کا: سهی کوز  نروئی، تا: 20 رجب ۱۰۷۴ق؛ از اوقاف مدرسه سمیعیه؛ ۲۳ سطر( 15/5</w:t>
      </w: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قطع: وزیری، اندازه: ۱۸/۵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۲۵/۵سم [ تراثنا: س۶ش ۱ - ۷۲]</w:t>
      </w:r>
    </w:p>
    <w:p>
      <w:pPr>
        <w:pStyle w:val="BookText"/>
      </w:pPr>
      <w:r>
        <w:rPr>
          <w:rFonts w:ascii="IRNazanin" w:hAnsi="IRNazanin" w:eastAsia="IRNazanin" w:cs="IRNazanin"/>
          <w:lang w:bidi="fa-IR"/>
          <w:color w:val="111111"/>
          <w:sz w:val="28"/>
          <w:szCs w:val="28"/>
          <w:rtl/>
        </w:rPr>
        <w:t xml:space="preserve">۲۷۲. شیراز؛ علامه طباطبائی؛ شماره نسخه: ۷</w:t>
      </w:r>
    </w:p>
    <w:p>
      <w:pPr>
        <w:pStyle w:val="BookText"/>
      </w:pPr>
      <w:r>
        <w:rPr>
          <w:rFonts w:ascii="IRNazanin" w:hAnsi="IRNazanin" w:eastAsia="IRNazanin" w:cs="IRNazanin"/>
          <w:lang w:bidi="fa-IR"/>
          <w:color w:val="111111"/>
          <w:sz w:val="28"/>
          <w:szCs w:val="28"/>
          <w:rtl/>
        </w:rPr>
        <w:t xml:space="preserve">خط: نسخ، کا: محمد بن نعمت الله طبسی گیلکی، تا: شنبه10 جمادى الاول ۱۰۷۴ق؛ در آخر نسخه اجازه عبدالله بن علی بحرانی به نصر الله بن شيخ محمد بن علی بن مظفر نوری میدری در سلخ شعبان  ۱۱۴۷، دارای بلاغ  قرائت، محشی با رمز «ع س دام ظله» و «شیخ محمد رحمه الله»؛ تملک: محمد تقی بن محـمد مومن فسوی در رجب  ۱۲۹۴، شمس الدین محمد مغربی؛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[نسخه پژوهی: ۲ - ۱۱۲]</w:t>
      </w:r>
    </w:p>
    <w:p>
      <w:pPr>
        <w:pStyle w:val="BookText"/>
      </w:pPr>
      <w:r>
        <w:rPr>
          <w:rFonts w:ascii="IRNazanin" w:hAnsi="IRNazanin" w:eastAsia="IRNazanin" w:cs="IRNazanin"/>
          <w:lang w:bidi="fa-IR"/>
          <w:color w:val="111111"/>
          <w:sz w:val="28"/>
          <w:szCs w:val="28"/>
          <w:rtl/>
        </w:rPr>
        <w:t xml:space="preserve">۲۷۳. شیراز؛ علامه طباطبائی؛ شماره نسخه: ۸</w:t>
      </w:r>
    </w:p>
    <w:p>
      <w:pPr>
        <w:pStyle w:val="BookText"/>
      </w:pPr>
      <w:r>
        <w:rPr>
          <w:rFonts w:ascii="IRNazanin" w:hAnsi="IRNazanin" w:eastAsia="IRNazanin" w:cs="IRNazanin"/>
          <w:lang w:bidi="fa-IR"/>
          <w:color w:val="111111"/>
          <w:sz w:val="28"/>
          <w:szCs w:val="28"/>
          <w:rtl/>
        </w:rPr>
        <w:t xml:space="preserve">خط: نسخ، کا: محمد جعفر بن سلطان علی اهری، تا: جمعه غره  ربیع الثانى  ۱۰۷۴ق، ،جا ،اصفهان ،محشی، مصحح شده با نسخه سید میرحسین قائنی که اجازه صاحب معالم به میرحسین در آن نسخه بوده مقابله شده صورت اجازه معالم آخر نسخه آمده؛  ۳۲۲گ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۳۰/۵سم [نسخه پژوهی: ۲ - ۱۱۲]</w:t>
      </w:r>
    </w:p>
    <w:p>
      <w:pPr>
        <w:pStyle w:val="BookText"/>
      </w:pPr>
      <w:r>
        <w:rPr>
          <w:rFonts w:ascii="IRNazanin" w:hAnsi="IRNazanin" w:eastAsia="IRNazanin" w:cs="IRNazanin"/>
          <w:lang w:bidi="fa-IR"/>
          <w:color w:val="111111"/>
          <w:sz w:val="28"/>
          <w:szCs w:val="28"/>
          <w:rtl/>
        </w:rPr>
        <w:t xml:space="preserve">۲۷۴. اراک؛ دهگان؛ شماره نسخه: ۱۳۰</w:t>
      </w:r>
    </w:p>
    <w:p>
      <w:pPr>
        <w:pStyle w:val="BookText"/>
      </w:pPr>
      <w:r>
        <w:rPr>
          <w:rFonts w:ascii="IRNazanin" w:hAnsi="IRNazanin" w:eastAsia="IRNazanin" w:cs="IRNazanin"/>
          <w:lang w:bidi="fa-IR"/>
          <w:color w:val="111111"/>
          <w:sz w:val="28"/>
          <w:szCs w:val="28"/>
          <w:rtl/>
        </w:rPr>
        <w:t xml:space="preserve">کامل با مشیخه؛ خط: نسخ، کا: ابن محمد باقر محمد مقيم  اصفهانی، تا: ۳ ذیحجه ۱۰۷۴ق؛ محشی با امضاء «م ق ر» «دام ظله العالى» «س م و» «رحمة الله» رف سلمه الله» «۵» «۱۲» «ص» «ق» و تعلیقاتی به نقل از کافی تهذیب الاحکام، قاموس، نهایه میرزا محمد، در آغاز کتاب الشهادات دو نشان بیضوی با دو نشان پاک  شده و در آغاز و پشت همان نشان« المعتصم بالله ابن حمزه مکنی بابی جعفر»، بر دو برگ اضافی آغاز مطلبی در فضیلت روز جمعه و اسامی تعدادی از اجله محدثین با نشان سجع آنها آمده، جلوی نام محمد طاهر هزار جریبی نشان چهارگوش و توقیع محمد بن حسن طوسی و مولودی مورخ ۱۲۳۰ و صلح نامه ۷ شعبان ۱۲۲۷ و این رباعی از کلام حمزه درج  است: «مکن زور بر پنجه لاغران *** که می ترسم از عزلت ناکسان / بحسن سلوک و بخلق حسن *** به عزت توان رفت بر آسمان» تملک: «نجل حسین بن محراب ابو جعفر احمد، مورخ ۶ ربیع الثانی ۱۲۱۳»؛ از کتاب های مرحوم ابراهیم دهگان؛ کاغذ: لیموئی، جلد: تیماج عنابی، ۵۰۶گ، ۱۹ سطر، قطع: وزیری بزرگ،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۲۶سم [دهگان  - ف: ۱ - ۱۴۳]</w:t>
      </w:r>
    </w:p>
    <w:p>
      <w:pPr>
        <w:pStyle w:val="BookText"/>
      </w:pPr>
      <w:r>
        <w:rPr>
          <w:rFonts w:ascii="IRNazanin" w:hAnsi="IRNazanin" w:eastAsia="IRNazanin" w:cs="IRNazanin"/>
          <w:lang w:bidi="fa-IR"/>
          <w:color w:val="111111"/>
          <w:sz w:val="28"/>
          <w:szCs w:val="28"/>
          <w:rtl/>
        </w:rPr>
        <w:t xml:space="preserve">۲۷۵. قم؛ مرکز مطالعات؛ شماره نسخه:۶۴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عبد على بن بحر الصارمي ساکن نجف، تا: دوشنبه ۳ صفر ۱۰۷۴ق، مشیخه همان کاتب در ۱۰۷۶؛ مصحح، دوبار ، مقابله  شده، محشی به امضاء «س م د»؛ اهدایی جواد کمالیان ۱۳۵۴؛ جلد: تیماج قهوه ای،ضربی، ترنج با سر، مجدول، ۳۱۱گ، ۲۹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۲۹سم [ف: ۱ - ۶۲]</w:t>
      </w:r>
    </w:p>
    <w:p>
      <w:pPr>
        <w:pStyle w:val="BookText"/>
      </w:pPr>
      <w:r>
        <w:rPr>
          <w:rFonts w:ascii="IRNazanin" w:hAnsi="IRNazanin" w:eastAsia="IRNazanin" w:cs="IRNazanin"/>
          <w:lang w:bidi="fa-IR"/>
          <w:color w:val="111111"/>
          <w:sz w:val="28"/>
          <w:szCs w:val="28"/>
          <w:rtl/>
        </w:rPr>
        <w:t xml:space="preserve">۲۷۶. قزوین؛ امام صادق؛ شماره نسخه: ۷۱</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جلد اول و دوم کتاب و از ابتدای طهارت تا ابتدای جهاد؛ خط: نسخ، کا: محمد باقر بن محمد علی طالقانی، تا: ۲۸ رمضان ۱۰۷۴ق؛ مصحح، كل نسخه که آخرین آن دهه آن دهه سوم شعبان ۱۱۰۷ق بوده  توسط محمد مهدی بن علی اصغر قزوینی تصحیح و مقابله شده  است؛ جلد: تیماج قهوه ای، ۲۵۰گ، ۲۴ سطر [ف: ۱-۳۰]</w:t>
      </w:r>
    </w:p>
    <w:p>
      <w:pPr>
        <w:pStyle w:val="BookText"/>
      </w:pPr>
      <w:r>
        <w:rPr>
          <w:rFonts w:ascii="IRNazanin" w:hAnsi="IRNazanin" w:eastAsia="IRNazanin" w:cs="IRNazanin"/>
          <w:lang w:bidi="fa-IR"/>
          <w:color w:val="111111"/>
          <w:sz w:val="28"/>
          <w:szCs w:val="28"/>
          <w:rtl/>
        </w:rPr>
        <w:t xml:space="preserve">۲۷۷. خوی؛ نمازی؛ شماره نسخه ۲۲۱</w:t>
      </w:r>
    </w:p>
    <w:p>
      <w:pPr>
        <w:pStyle w:val="BookText"/>
      </w:pPr>
      <w:r>
        <w:rPr>
          <w:rFonts w:ascii="IRNazanin" w:hAnsi="IRNazanin" w:eastAsia="IRNazanin" w:cs="IRNazanin"/>
          <w:lang w:bidi="fa-IR"/>
          <w:color w:val="111111"/>
          <w:sz w:val="28"/>
          <w:szCs w:val="28"/>
          <w:rtl/>
        </w:rPr>
        <w:t xml:space="preserve">خط: نسخ ،جلی، کا: جعفر خداداد شهرکی، تا: ۱۰۷۵ق؛ مصحح ، محشی با نشان بلاغ ،حسن شاه بن ملک اسماعیل اصطهباناتی</w:t>
      </w:r>
    </w:p>
    <w:p>
      <w:pPr>
        <w:pStyle w:val="BookText"/>
      </w:pPr>
      <w:r>
        <w:rPr>
          <w:rFonts w:ascii="IRNazanin" w:hAnsi="IRNazanin" w:eastAsia="IRNazanin" w:cs="IRNazanin"/>
          <w:lang w:bidi="fa-IR"/>
          <w:color w:val="111111"/>
          <w:sz w:val="28"/>
          <w:szCs w:val="28"/>
          <w:rtl/>
        </w:rPr>
        <w:t xml:space="preserve">پیش صالح بحرانی در جمادیالثانی ۱۰۹۸ قسمتی از کتاب را سماعاً تصحیح کرده و بعد از فوت وی در همان سال بقیه را پیش محمد مسیح فسوی تصحیح و آنچه را از وی شنیده با لفظ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«استادنا» در حواشی نقل کرده؛ نسخه وقف علی اکبر با تولیت عبدالرسول حسینی تبریزی؛ مهر: «محمد باقر بن محمد حسـین» (مربع) «محمد باقر العلوم ۱۱۱۰» (بیضی)؛ تملک: صدرالدین محمد بن سلام الله حسینی موسوی روزبهانی با مهر «محمد صـدر دین است کاينات ...» (مربع)،  حسن شاه بن ملک اسماع اصطهباناتی؛ واقف: ابراهیم شریف حسینی، از موقوفات رمضانیه  ۱۲۳۰؛ جلد: تیماج با ترنج با سر و نقش گل وب و ته مرصع ،مجدول ۲۹ سطر،اندازه: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۳۱سم [ف: ۱۱۳]</w:t>
      </w:r>
    </w:p>
    <w:p>
      <w:pPr>
        <w:pStyle w:val="BookText"/>
      </w:pPr>
      <w:r>
        <w:rPr>
          <w:rFonts w:ascii="IRNazanin" w:hAnsi="IRNazanin" w:eastAsia="IRNazanin" w:cs="IRNazanin"/>
          <w:lang w:bidi="fa-IR"/>
          <w:color w:val="111111"/>
          <w:sz w:val="28"/>
          <w:szCs w:val="28"/>
          <w:rtl/>
        </w:rPr>
        <w:t xml:space="preserve">قم ؛مرکز احیاء؛ شماره نسخه: ۴۲۸</w:t>
      </w:r>
    </w:p>
    <w:p>
      <w:pPr>
        <w:pStyle w:val="BookText"/>
      </w:pPr>
      <w:r>
        <w:rPr>
          <w:rFonts w:ascii="IRNazanin" w:hAnsi="IRNazanin" w:eastAsia="IRNazanin" w:cs="IRNazanin"/>
          <w:lang w:bidi="fa-IR"/>
          <w:color w:val="111111"/>
          <w:sz w:val="28"/>
          <w:szCs w:val="28"/>
          <w:rtl/>
        </w:rPr>
        <w:t xml:space="preserve">نسخه اصل: همان نسخه بالا [ عکسی ف: ۲ - ۲۵]</w:t>
      </w:r>
    </w:p>
    <w:p>
      <w:pPr>
        <w:pStyle w:val="BookText"/>
      </w:pPr>
      <w:r>
        <w:rPr>
          <w:rFonts w:ascii="IRNazanin" w:hAnsi="IRNazanin" w:eastAsia="IRNazanin" w:cs="IRNazanin"/>
          <w:lang w:bidi="fa-IR"/>
          <w:color w:val="111111"/>
          <w:sz w:val="28"/>
          <w:szCs w:val="28"/>
          <w:rtl/>
        </w:rPr>
        <w:t xml:space="preserve">۲۷۸ . مشهد؛ رضوی؛ شماره نسخه: ۱۱۱۷۴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صالح بن ابراهيم بن حرز بن ناصر بن سـعید حمیری، تا: جمعه جمادی الثانی ۱۰۷۵ق؛ محشی با رمز «ع س» ـ دارای بلاغ، واقف: شیخ محمدصالح علامه حائری مرداد 1351؛ کاغذ: نخودی، جلد: تیماج  عنابی، ۳۲۷گ، ۲۶-۲۷ سطر، اندازه:</w:t>
      </w:r>
    </w:p>
    <w:p>
      <w:pPr>
        <w:pStyle w:val="BookText"/>
      </w:pPr>
      <w:r>
        <w:rPr>
          <w:rFonts w:ascii="IRNazanin" w:hAnsi="IRNazanin" w:eastAsia="IRNazanin" w:cs="IRNazanin"/>
          <w:lang w:bidi="fa-IR"/>
          <w:color w:val="111111"/>
          <w:sz w:val="28"/>
          <w:szCs w:val="28"/>
          <w:rtl/>
        </w:rPr>
        <w:t xml:space="preserve">۲۰/۳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۲۹/۴سم [ف ۱۴ - ۵۵]</w:t>
      </w:r>
    </w:p>
    <w:p>
      <w:pPr>
        <w:pStyle w:val="BookText"/>
      </w:pPr>
      <w:r>
        <w:rPr>
          <w:rFonts w:ascii="IRNazanin" w:hAnsi="IRNazanin" w:eastAsia="IRNazanin" w:cs="IRNazanin"/>
          <w:lang w:bidi="fa-IR"/>
          <w:color w:val="111111"/>
          <w:sz w:val="28"/>
          <w:szCs w:val="28"/>
          <w:rtl/>
        </w:rPr>
        <w:t xml:space="preserve">۲۷۹ . قم؛ گلپایگانی؛ شماره نسخه: ۱۳۰۲-۸/۱۲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طهارت تا دیات و مشیخه؛ خط: نسخ، كا: محمد بن علی (جلد اول) و حسین بن ابراهيم بن ناصر بن محمد بن خلف احسائی ، تا: سه شنبه ۱۸ رجب ۱۰۷۳ (جلد اول) و سه شنبه ۱۹ شوال ۱۰۷۵ق؛ برای میرزا محمد جعفر و فرزندش میرزا غياث الدين؛ مصحـح ،جلد: تیماج  مشکی، ۱۷۶گ، ۴۱ سطر، اندازه: ۲۴/۵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۳۷/۵  [ف ۱ - ۳۲۷  ]</w:t>
      </w:r>
    </w:p>
    <w:p>
      <w:pPr>
        <w:pStyle w:val="BookText"/>
      </w:pPr>
      <w:r>
        <w:rPr>
          <w:rFonts w:ascii="IRNazanin" w:hAnsi="IRNazanin" w:eastAsia="IRNazanin" w:cs="IRNazanin"/>
          <w:lang w:bidi="fa-IR"/>
          <w:color w:val="111111"/>
          <w:sz w:val="28"/>
          <w:szCs w:val="28"/>
          <w:rtl/>
        </w:rPr>
        <w:t xml:space="preserve">۲۸۰. قم؛ مرعشی؛ شماره نسخه: ۸۴۹</w:t>
      </w:r>
    </w:p>
    <w:p>
      <w:pPr>
        <w:pStyle w:val="BookText"/>
      </w:pPr>
      <w:r>
        <w:rPr>
          <w:rFonts w:ascii="IRNazanin" w:hAnsi="IRNazanin" w:eastAsia="IRNazanin" w:cs="IRNazanin"/>
          <w:lang w:bidi="fa-IR"/>
          <w:color w:val="111111"/>
          <w:sz w:val="28"/>
          <w:szCs w:val="28"/>
          <w:rtl/>
        </w:rPr>
        <w:t xml:space="preserve">خط: نسخ،   کا:  فرج الله بن محمد اکبری حویزی جزائری، تا: دوشنبه ۱۷ صفر ۱۰۷۵ق؛ مصحح، محشی، دارای علامت بلاغ، روی برگ اول تاریخ تولدهای فراوان؛ مهر: «عبدالحسین الرضوى» ((مربع)؛ جلد: دورو تیماج رو زرد و پشت سبز، ۲۲۱  گ، ۳۷ سطر،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۴۰سم [ف: ۳ - ۴۳]</w:t>
      </w:r>
    </w:p>
    <w:p>
      <w:pPr>
        <w:pStyle w:val="BookText"/>
      </w:pPr>
      <w:r>
        <w:rPr>
          <w:rFonts w:ascii="IRNazanin" w:hAnsi="IRNazanin" w:eastAsia="IRNazanin" w:cs="IRNazanin"/>
          <w:lang w:bidi="fa-IR"/>
          <w:color w:val="111111"/>
          <w:sz w:val="28"/>
          <w:szCs w:val="28"/>
          <w:rtl/>
        </w:rPr>
        <w:t xml:space="preserve">۲۸۱. قم؛ مرعشی؛ شماره نسخه: ۷۴۲۸</w:t>
      </w:r>
    </w:p>
    <w:p>
      <w:pPr>
        <w:pStyle w:val="BookText"/>
      </w:pPr>
      <w:r>
        <w:rPr>
          <w:rFonts w:ascii="IRNazanin" w:hAnsi="IRNazanin" w:eastAsia="IRNazanin" w:cs="IRNazanin"/>
          <w:lang w:bidi="fa-IR"/>
          <w:color w:val="111111"/>
          <w:sz w:val="28"/>
          <w:szCs w:val="28"/>
          <w:rtl/>
        </w:rPr>
        <w:t xml:space="preserve">خط: نسخ، بی کا، تا: یک شنبه ذیقعده ۱۰۷۵ق؛ مصحح، محـشی به چند خط، دارای نشان بلاغ ،جلد: تیماج قرمز عطف تیماج قهوه ای، ۳۶۴گ، ۲۱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 ۱۹ - ۲۳۹]</w:t>
      </w:r>
    </w:p>
    <w:p>
      <w:pPr>
        <w:pStyle w:val="BookText"/>
      </w:pPr>
      <w:r>
        <w:rPr>
          <w:rFonts w:ascii="IRNazanin" w:hAnsi="IRNazanin" w:eastAsia="IRNazanin" w:cs="IRNazanin"/>
          <w:lang w:bidi="fa-IR"/>
          <w:color w:val="111111"/>
          <w:sz w:val="28"/>
          <w:szCs w:val="28"/>
          <w:rtl/>
        </w:rPr>
        <w:t xml:space="preserve">۲۸۲.  تهران؛ ملی؛ شماره نسخه: ۹۷۹</w:t>
      </w:r>
    </w:p>
    <w:p>
      <w:pPr>
        <w:pStyle w:val="BookText"/>
      </w:pPr>
      <w:r>
        <w:rPr>
          <w:rFonts w:ascii="Amiri" w:hAnsi="Amiri" w:eastAsia="Amiri" w:cs="Amiri"/>
          <w:lang w:bidi="ar-SA"/>
          <w:color w:val="111111"/>
          <w:sz w:val="28"/>
          <w:szCs w:val="28"/>
          <w:rtl/>
        </w:rPr>
        <w:t xml:space="preserve">آغاز: برابر؛ انجام: غفر الله له ولوالد يهما كتبه ... سنه خمس سبعين بعد الالف من هجرة النبويه</w:t>
      </w:r>
    </w:p>
    <w:p>
      <w:pPr>
        <w:pStyle w:val="BookText"/>
      </w:pPr>
      <w:r>
        <w:rPr>
          <w:rFonts w:ascii="IRNazanin" w:hAnsi="IRNazanin" w:eastAsia="IRNazanin" w:cs="IRNazanin"/>
          <w:lang w:bidi="fa-IR"/>
          <w:color w:val="111111"/>
          <w:sz w:val="28"/>
          <w:szCs w:val="28"/>
          <w:rtl/>
        </w:rPr>
        <w:t xml:space="preserve">خط: نسخ، کا: محمد مهدی بن علی، تا: ۱۰۷۵ق؛ کاغذ: اصفهانی، جلد: تیماج حنایی مقوایی، ۴۳۲گ، ۲۲ سـطر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 اندازه: ۱۸/۵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۲۵/۵سم [ف: ۸ - ۴۶۹]</w:t>
      </w:r>
    </w:p>
    <w:p>
      <w:pPr>
        <w:pStyle w:val="BookText"/>
      </w:pPr>
      <w:r>
        <w:rPr>
          <w:rFonts w:ascii="IRNazanin" w:hAnsi="IRNazanin" w:eastAsia="IRNazanin" w:cs="IRNazanin"/>
          <w:lang w:bidi="fa-IR"/>
          <w:color w:val="111111"/>
          <w:sz w:val="28"/>
          <w:szCs w:val="28"/>
          <w:rtl/>
        </w:rPr>
        <w:t xml:space="preserve">۲۸۳ . مشهد؛ رضوی؛ شماره نسخه: ۲۵۶۶۹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زین العابدين بن محمد وادانی، تا: پنج شنبه ۴ شعبان ۱۰۷۵ق؛ محشی با رموز «ق س م ر ه»، «م ح ق ر ه»، «میر قاسم؛ واقف جعفر ،زاهدی دی ۱۳۷۷؛ جلد: تیماج عنابی، دفه اول ضربی با ترنج و سر ترنج با نقش «یا محمد» [ف: ۲۶ - ۷۹]</w:t>
      </w:r>
    </w:p>
    <w:p>
      <w:pPr>
        <w:pStyle w:val="BookText"/>
      </w:pPr>
      <w:r>
        <w:rPr>
          <w:rFonts w:ascii="IRNazanin" w:hAnsi="IRNazanin" w:eastAsia="IRNazanin" w:cs="IRNazanin"/>
          <w:lang w:bidi="fa-IR"/>
          <w:color w:val="111111"/>
          <w:sz w:val="28"/>
          <w:szCs w:val="28"/>
          <w:rtl/>
        </w:rPr>
        <w:t xml:space="preserve">۲۸۴. قم؛ مرعشی؛ شماره نسخه: ۸۴۸</w:t>
      </w:r>
    </w:p>
    <w:p>
      <w:pPr>
        <w:pStyle w:val="BookText"/>
      </w:pPr>
      <w:r>
        <w:rPr>
          <w:rFonts w:ascii="IRNazanin" w:hAnsi="IRNazanin" w:eastAsia="IRNazanin" w:cs="IRNazanin"/>
          <w:lang w:bidi="fa-IR"/>
          <w:color w:val="111111"/>
          <w:sz w:val="28"/>
          <w:szCs w:val="28"/>
          <w:rtl/>
        </w:rPr>
        <w:t xml:space="preserve">خط: نسخ، كا: محمد معصوم بن محمد قاری جنابذی، تا: چهارشنبه ۹ جمادی الثانی ۱۰۷۶ق؛ مصحح، محشی، دو صفحه قبل از کتاب دارای حدیثی است که محمد شفیع به تاریخ ربیع الثانی ۱۰۸۲ نوشته؛ مهر «عبده رفیع الدین ...» (بیضی)، «محمد رضا بن محمد صفی الحسینی» (مربع)، «عبده المرتضى الحسينى (مربع)جلد: تیماج ،سبز، ۲۴۱گ، ۳۵ سطر،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۳۹سم  [ف: ۳ - ۴۳]</w:t>
      </w:r>
    </w:p>
    <w:p>
      <w:pPr>
        <w:pStyle w:val="BookText"/>
      </w:pPr>
      <w:r>
        <w:rPr>
          <w:rFonts w:ascii="IRNazanin" w:hAnsi="IRNazanin" w:eastAsia="IRNazanin" w:cs="IRNazanin"/>
          <w:lang w:bidi="fa-IR"/>
          <w:color w:val="111111"/>
          <w:sz w:val="28"/>
          <w:szCs w:val="28"/>
          <w:rtl/>
        </w:rPr>
        <w:t xml:space="preserve">۲۸۵.تهران؛ دانشگاه؛ شماره نسخه: ۲۶۴۷</w:t>
      </w:r>
    </w:p>
    <w:p>
      <w:pPr>
        <w:pStyle w:val="BookText"/>
      </w:pPr>
      <w:r>
        <w:rPr>
          <w:rFonts w:ascii="IRNazanin" w:hAnsi="IRNazanin" w:eastAsia="IRNazanin" w:cs="IRNazanin"/>
          <w:lang w:bidi="fa-IR"/>
          <w:color w:val="111111"/>
          <w:sz w:val="28"/>
          <w:szCs w:val="28"/>
          <w:rtl/>
        </w:rPr>
        <w:t xml:space="preserve">خط: نسخ و نستعلیق، كا: جعفر بن ميرزا بیک مشهدی، تا: ۱۲ محرم ۱۰۷۶ق؛ مجدول محشی با نشان «محمد تقی حسینی، حسن علی، م د سلمه الله»؛ کاغذ: سپاهانی، جلد: تیماج مشکی ضربی درون  عنابی، ۲۹۴گ، ۲۷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 اندازه: ۲۵</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۳۸سم [ف: ۱۰ - ۱۵۲۰]</w:t>
      </w:r>
    </w:p>
    <w:p>
      <w:pPr>
        <w:pStyle w:val="BookText"/>
      </w:pPr>
      <w:r>
        <w:rPr>
          <w:rFonts w:ascii="IRNazanin" w:hAnsi="IRNazanin" w:eastAsia="IRNazanin" w:cs="IRNazanin"/>
          <w:lang w:bidi="fa-IR"/>
          <w:color w:val="111111"/>
          <w:sz w:val="28"/>
          <w:szCs w:val="28"/>
          <w:rtl/>
        </w:rPr>
        <w:t xml:space="preserve">۲۸۶. خوی؛ نمازی؛ شماره نسخه: ۲۰۲</w:t>
      </w:r>
    </w:p>
    <w:p>
      <w:pPr>
        <w:pStyle w:val="BookText"/>
      </w:pPr>
      <w:r>
        <w:rPr>
          <w:rFonts w:ascii="Amiri" w:hAnsi="Amiri" w:eastAsia="Amiri" w:cs="Amiri"/>
          <w:lang w:bidi="ar-SA"/>
          <w:color w:val="111111"/>
          <w:sz w:val="28"/>
          <w:szCs w:val="28"/>
          <w:rtl/>
        </w:rPr>
        <w:t xml:space="preserve">از اول تا آخر جزء دوم؛ خط: نستعليق كا: عبدالله بن مندى النبيلى، تا: ۱۰۷۶ق، جا: مشهد مقدس ؛ مهر: «هو الباقى و انا الفاني»</w:t>
      </w:r>
    </w:p>
    <w:p>
      <w:pPr>
        <w:pStyle w:val="BookText"/>
      </w:pPr>
      <w:r>
        <w:rPr>
          <w:rFonts w:ascii="IRNazanin" w:hAnsi="IRNazanin" w:eastAsia="IRNazanin" w:cs="IRNazanin"/>
          <w:lang w:bidi="fa-IR"/>
          <w:color w:val="111111"/>
          <w:sz w:val="28"/>
          <w:szCs w:val="28"/>
          <w:rtl/>
        </w:rPr>
        <w:t xml:space="preserve">(مستطيل) واقف: حاج محمد ۱۰۹۲ با مهر «افوض امری الی الله عبده...»  ((مربع) ؛جلد: تیماج ،نارنجی، ۱۹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۲۴/۵سم [ف: ۱۰۳]</w:t>
      </w:r>
    </w:p>
    <w:p>
      <w:pPr>
        <w:pStyle w:val="BookText"/>
      </w:pPr>
      <w:r>
        <w:rPr>
          <w:rFonts w:ascii="IRNazanin" w:hAnsi="IRNazanin" w:eastAsia="IRNazanin" w:cs="IRNazanin"/>
          <w:lang w:bidi="fa-IR"/>
          <w:color w:val="111111"/>
          <w:sz w:val="28"/>
          <w:szCs w:val="28"/>
          <w:rtl/>
        </w:rPr>
        <w:t xml:space="preserve">۲۸۷ . قم؛ مرکز احیاء؛ شماره نسخه: ۳۵۸۰</w:t>
      </w:r>
    </w:p>
    <w:p>
      <w:pPr>
        <w:pStyle w:val="BookText"/>
      </w:pPr>
      <w:r>
        <w:rPr>
          <w:rFonts w:ascii="IRNazanin" w:hAnsi="IRNazanin" w:eastAsia="IRNazanin" w:cs="IRNazanin"/>
          <w:lang w:bidi="fa-IR"/>
          <w:color w:val="111111"/>
          <w:sz w:val="28"/>
          <w:szCs w:val="28"/>
          <w:rtl/>
        </w:rPr>
        <w:t xml:space="preserve">خط: نسخ، کا: ناصر بن حماد حسینی، تا: ۱۰۷۶ق (جزء اول) و ۱۰۷۴ق (جزء دوم) و غره شوال ۱۰۷۷ق (پایان کتاب) و ۹ شوال ۱۰۷۷ )پایان مشیخه) ،جا: نجف اشرف؛ محشى بعضاً با عناوین «محمد حسين بن عباس»، مصحح، دارای دو امضای بلاغ؛ جلد: تیماج جگری ضربی عطف قهوه ای، ۲۸۴گ، ۲۹ سطر، اندازه: ۲۰/۵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٢٩ سم [محدث ارموی مخ: ۱ - ۱۲۲]</w:t>
      </w:r>
    </w:p>
    <w:p>
      <w:pPr>
        <w:pStyle w:val="BookText"/>
      </w:pPr>
      <w:r>
        <w:rPr>
          <w:rFonts w:ascii="IRNazanin" w:hAnsi="IRNazanin" w:eastAsia="IRNazanin" w:cs="IRNazanin"/>
          <w:lang w:bidi="fa-IR"/>
          <w:color w:val="111111"/>
          <w:sz w:val="28"/>
          <w:szCs w:val="28"/>
          <w:rtl/>
        </w:rPr>
        <w:t xml:space="preserve">۲۸۸. مشهد؛ نواب شماره نسخه: ۱۷۴</w:t>
      </w:r>
    </w:p>
    <w:p>
      <w:pPr>
        <w:pStyle w:val="BookText"/>
      </w:pPr>
      <w:r>
        <w:rPr>
          <w:rFonts w:ascii="Amiri" w:hAnsi="Amiri" w:eastAsia="Amiri" w:cs="Amiri"/>
          <w:lang w:bidi="ar-SA"/>
          <w:color w:val="111111"/>
          <w:sz w:val="28"/>
          <w:szCs w:val="28"/>
          <w:rtl/>
        </w:rPr>
        <w:t xml:space="preserve">آغاز: بسمله حمدله اما بعد هذه المجلد كتاب الحج من كتاب استبصار فيما اختلف من الاخبار، كتاب الحج باب ماهية الاستطاعة</w:t>
      </w:r>
    </w:p>
    <w:p>
      <w:pPr>
        <w:pStyle w:val="BookText"/>
      </w:pPr>
      <w:r>
        <w:rPr>
          <w:rFonts w:ascii="Amiri" w:hAnsi="Amiri" w:eastAsia="Amiri" w:cs="Amiri"/>
          <w:lang w:bidi="ar-SA"/>
          <w:color w:val="111111"/>
          <w:sz w:val="28"/>
          <w:szCs w:val="28"/>
          <w:rtl/>
        </w:rPr>
        <w:t xml:space="preserve">انها شرط في وجوب الحج؛ انجام: برابر</w:t>
      </w:r>
    </w:p>
    <w:p>
      <w:pPr>
        <w:pStyle w:val="BookText"/>
      </w:pPr>
      <w:r>
        <w:rPr>
          <w:rFonts w:ascii="IRNazanin" w:hAnsi="IRNazanin" w:eastAsia="IRNazanin" w:cs="IRNazanin"/>
          <w:lang w:bidi="fa-IR"/>
          <w:color w:val="111111"/>
          <w:sz w:val="28"/>
          <w:szCs w:val="28"/>
          <w:rtl/>
        </w:rPr>
        <w:t xml:space="preserve">از آغاز کتاب حج تا آخر کتاب؛ خط: نسخ، بی کا، تا: اواخر جمادی الاول ۱۰۷۶ق؛ واقف: شیخ محمد پیشنماز، رجب ۱۲۹۳ق؛ كاغذ: صیقلی، جلد: تیماج عنابی ضربی دار، ۲۶۲گ، ۲۵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۱۵۶]</w:t>
      </w:r>
    </w:p>
    <w:p>
      <w:pPr>
        <w:pStyle w:val="BookText"/>
      </w:pPr>
      <w:r>
        <w:rPr>
          <w:rFonts w:ascii="IRNazanin" w:hAnsi="IRNazanin" w:eastAsia="IRNazanin" w:cs="IRNazanin"/>
          <w:lang w:bidi="fa-IR"/>
          <w:color w:val="111111"/>
          <w:sz w:val="28"/>
          <w:szCs w:val="28"/>
          <w:rtl/>
        </w:rPr>
        <w:t xml:space="preserve">۲۸۹. اصفهان؛ عمومی اصفهان (فرهنگ سابق)؛ شماره نسخه:۵۲۵۸</w:t>
      </w:r>
    </w:p>
    <w:p>
      <w:pPr>
        <w:pStyle w:val="BookText"/>
      </w:pPr>
      <w:r>
        <w:rPr>
          <w:rFonts w:ascii="IRNazanin" w:hAnsi="IRNazanin" w:eastAsia="IRNazanin" w:cs="IRNazanin"/>
          <w:lang w:bidi="fa-IR"/>
          <w:color w:val="111111"/>
          <w:sz w:val="28"/>
          <w:szCs w:val="28"/>
          <w:rtl/>
        </w:rPr>
        <w:t xml:space="preserve">جلد سوم، از کتاب الجهاد تا آخر؛ خط: نسخ، كا: درويش على بن یوسف ،طالقانی، تا: ۹ ربیع الثانی ۱۰۷۷ق؛ کاغذ: اصفهانی، جلد: چرمی زرد، ۵۴۶ص، ۱۹ سطر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۲۴سم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[عمومی اصفهان (فرهنگ سابق) - ف: ۱ - ۱۷۹]</w:t>
      </w:r>
    </w:p>
    <w:p>
      <w:pPr>
        <w:pStyle w:val="BookText"/>
      </w:pPr>
      <w:r>
        <w:rPr>
          <w:rFonts w:ascii="IRNazanin" w:hAnsi="IRNazanin" w:eastAsia="IRNazanin" w:cs="IRNazanin"/>
          <w:lang w:bidi="fa-IR"/>
          <w:color w:val="111111"/>
          <w:sz w:val="28"/>
          <w:szCs w:val="28"/>
          <w:rtl/>
        </w:rPr>
        <w:t xml:space="preserve">۲۹۰. مشهد؛ گوهر شاد؛ شماره نسخه: ۴۹</w:t>
      </w:r>
    </w:p>
    <w:p>
      <w:pPr>
        <w:pStyle w:val="BookText"/>
      </w:pPr>
      <w:r>
        <w:rPr>
          <w:rFonts w:ascii="IRNazanin" w:hAnsi="IRNazanin" w:eastAsia="IRNazanin" w:cs="IRNazanin"/>
          <w:lang w:bidi="fa-IR"/>
          <w:color w:val="111111"/>
          <w:sz w:val="28"/>
          <w:szCs w:val="28"/>
          <w:rtl/>
        </w:rPr>
        <w:t xml:space="preserve">از آغاز تا پایان صوم؛ خط: نسخ، کا: محمد طاهر تبریزی،تا: ۱۰۷۷ق، جا: اصفهان؛ محشی با رمز «م ق ر ، م ت ق ر ه» با سمـاع در پایان؛ ۲۳ سطر، قطع: وزیری [چهار کتابخانه مشهد-ف: - ۲۱۱  ]</w:t>
      </w:r>
    </w:p>
    <w:p>
      <w:pPr>
        <w:pStyle w:val="BookText"/>
      </w:pPr>
      <w:r>
        <w:rPr>
          <w:rFonts w:ascii="IRNazanin" w:hAnsi="IRNazanin" w:eastAsia="IRNazanin" w:cs="IRNazanin"/>
          <w:lang w:bidi="fa-IR"/>
          <w:color w:val="111111"/>
          <w:sz w:val="28"/>
          <w:szCs w:val="28"/>
          <w:rtl/>
        </w:rPr>
        <w:t xml:space="preserve">۲۹۱. مشهد؛ رضوی؛ شماره نسخه:۱۳۶۳۳</w:t>
      </w:r>
    </w:p>
    <w:p>
      <w:pPr>
        <w:pStyle w:val="BookText"/>
      </w:pPr>
      <w:r>
        <w:rPr>
          <w:rFonts w:ascii="Amiri" w:hAnsi="Amiri" w:eastAsia="Amiri" w:cs="Amiri"/>
          <w:lang w:bidi="ar-SA"/>
          <w:color w:val="111111"/>
          <w:sz w:val="28"/>
          <w:szCs w:val="28"/>
          <w:rtl/>
        </w:rPr>
        <w:t xml:space="preserve">آغاز: ذلك على غاية من الاختصار اذ شرح ذلك ليس  هذا موضعه؛ انجام :و قد روى ذلك عن النبى صلى الله عليه وآلـه و سلم.</w:t>
      </w:r>
    </w:p>
    <w:p>
      <w:pPr>
        <w:pStyle w:val="BookText"/>
      </w:pPr>
      <w:r>
        <w:rPr>
          <w:rFonts w:ascii="IRNazanin" w:hAnsi="IRNazanin" w:eastAsia="IRNazanin" w:cs="IRNazanin"/>
          <w:lang w:bidi="fa-IR"/>
          <w:color w:val="111111"/>
          <w:sz w:val="28"/>
          <w:szCs w:val="28"/>
          <w:rtl/>
        </w:rPr>
        <w:t xml:space="preserve">از طهارت تا پایان؛ خط: نسخ، بی کا، تا: شنبه ۴ ذیقعده ۱۰۷۷ ق؛افتادگی: آغاز (ورق اول)؛ دارای بلاغ محشی غالباً با رموز «م د، ب هـ، س م د ،م ق م ا ،و ...»؛ کاغذ: نخودی ،آهار مهره، جـلد: ، تیماج عنابی ضربی با ترنج و سرترنج، ۲۲۴گ، ۲۳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۲۹/۴سم [ف : ۱۴ - ۶۶]</w:t>
      </w:r>
    </w:p>
    <w:p>
      <w:pPr>
        <w:pStyle w:val="BookText"/>
      </w:pPr>
      <w:r>
        <w:rPr>
          <w:rFonts w:ascii="IRNazanin" w:hAnsi="IRNazanin" w:eastAsia="IRNazanin" w:cs="IRNazanin"/>
          <w:lang w:bidi="fa-IR"/>
          <w:color w:val="111111"/>
          <w:sz w:val="28"/>
          <w:szCs w:val="28"/>
          <w:rtl/>
        </w:rPr>
        <w:t xml:space="preserve">۲۹۲ . قم؛ مسجد اعظم؛ شماره نسخه: ۳۶۳۷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محمدتقی بن  علمدار، تا: صفر ۱۰۷۸ق؛ مصحح ؛جلد: تیماج قهوه ای با ترنج و سر مجدول، ۳۳۳گ، مختلف</w:t>
      </w:r>
    </w:p>
    <w:p>
      <w:pPr>
        <w:pStyle w:val="BookText"/>
      </w:pPr>
      <w:r>
        <w:rPr>
          <w:rFonts w:ascii="IRNazanin" w:hAnsi="IRNazanin" w:eastAsia="IRNazanin" w:cs="IRNazanin"/>
          <w:lang w:bidi="fa-IR"/>
          <w:color w:val="111111"/>
          <w:sz w:val="28"/>
          <w:szCs w:val="28"/>
          <w:rtl/>
        </w:rPr>
        <w:t xml:space="preserve">السطر،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۲۹سم [ف مخ: ۱ - ۱۳۸]</w:t>
      </w:r>
    </w:p>
    <w:p>
      <w:pPr>
        <w:pStyle w:val="BookText"/>
      </w:pPr>
      <w:r>
        <w:rPr>
          <w:rFonts w:ascii="IRNazanin" w:hAnsi="IRNazanin" w:eastAsia="IRNazanin" w:cs="IRNazanin"/>
          <w:lang w:bidi="fa-IR"/>
          <w:color w:val="111111"/>
          <w:sz w:val="28"/>
          <w:szCs w:val="28"/>
          <w:rtl/>
        </w:rPr>
        <w:t xml:space="preserve">۲۹۳. تهران؛ دانشگاه؛ شماره نسخه: ۲۲۶۹</w:t>
      </w:r>
    </w:p>
    <w:p>
      <w:pPr>
        <w:pStyle w:val="BookText"/>
      </w:pPr>
      <w:r>
        <w:rPr>
          <w:rFonts w:ascii="IRNazanin" w:hAnsi="IRNazanin" w:eastAsia="IRNazanin" w:cs="IRNazanin"/>
          <w:lang w:bidi="fa-IR"/>
          <w:color w:val="111111"/>
          <w:sz w:val="28"/>
          <w:szCs w:val="28"/>
          <w:rtl/>
        </w:rPr>
        <w:t xml:space="preserve">در مشیخه؛ خط: نسخ و نستعلیق، کا: نوروز بن اسماعیل، تا: ۱ربیع الاول۱۰۷۸ق؛ دارای بلاغ قرائت؛ کاغذ ،سپاهانی ،جلد: تیماج سرخ مقوایی گرد  زرد، ۴۰۲گ، ۲۱ سطر (12/5</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۲۶سم [ف: ۹ - ۹۲۰]</w:t>
      </w:r>
    </w:p>
    <w:p>
      <w:pPr>
        <w:pStyle w:val="BookText"/>
      </w:pPr>
      <w:r>
        <w:rPr>
          <w:rFonts w:ascii="IRNazanin" w:hAnsi="IRNazanin" w:eastAsia="IRNazanin" w:cs="IRNazanin"/>
          <w:lang w:bidi="fa-IR"/>
          <w:color w:val="111111"/>
          <w:sz w:val="28"/>
          <w:szCs w:val="28"/>
          <w:rtl/>
        </w:rPr>
        <w:t xml:space="preserve">۲۹۴. تهران؛ مهدوی؛ شماره نسخه: ۸۴۹</w:t>
      </w:r>
    </w:p>
    <w:p>
      <w:pPr>
        <w:pStyle w:val="BookText"/>
      </w:pPr>
      <w:r>
        <w:rPr>
          <w:rFonts w:ascii="IRNazanin" w:hAnsi="IRNazanin" w:eastAsia="IRNazanin" w:cs="IRNazanin"/>
          <w:lang w:bidi="fa-IR"/>
          <w:color w:val="111111"/>
          <w:sz w:val="28"/>
          <w:szCs w:val="28"/>
          <w:rtl/>
        </w:rPr>
        <w:t xml:space="preserve">خط: نستعلیق، کا: محمد حسین بن محمد علی مشهد، تا: ۱۰۷۸ق   ؛ کاغذ: هندی [ نشریه: ۲ - ۱۳۷]</w:t>
      </w:r>
    </w:p>
    <w:p>
      <w:pPr>
        <w:pStyle w:val="BookText"/>
      </w:pPr>
      <w:r>
        <w:rPr>
          <w:rFonts w:ascii="IRNazanin" w:hAnsi="IRNazanin" w:eastAsia="IRNazanin" w:cs="IRNazanin"/>
          <w:lang w:bidi="fa-IR"/>
          <w:color w:val="111111"/>
          <w:sz w:val="28"/>
          <w:szCs w:val="28"/>
          <w:rtl/>
        </w:rPr>
        <w:t xml:space="preserve">۲۹۵. تهران؛ الهیات؛ شماره نسخه: ۵۹</w:t>
      </w:r>
    </w:p>
    <w:p>
      <w:pPr>
        <w:pStyle w:val="BookText"/>
      </w:pPr>
      <w:r>
        <w:rPr>
          <w:rFonts w:ascii="IRNazanin" w:hAnsi="IRNazanin" w:eastAsia="IRNazanin" w:cs="IRNazanin"/>
          <w:lang w:bidi="fa-IR"/>
          <w:color w:val="111111"/>
          <w:sz w:val="28"/>
          <w:szCs w:val="28"/>
          <w:rtl/>
        </w:rPr>
        <w:t xml:space="preserve">طهارت تا پایان؛ خط: نسخ، بی کا، تا: جمعه ۲۳ شوال ۱۰۷۸ق؛ کاغذ ،اصفهانی ،جلد: پارچه عطف میشن  مقوایی، ۱۹ سـطر</w:t>
      </w:r>
    </w:p>
    <w:p>
      <w:pPr>
        <w:pStyle w:val="BookText"/>
      </w:pPr>
      <w:r>
        <w:rPr>
          <w:rFonts w:ascii="IRNazanin" w:hAnsi="IRNazanin" w:eastAsia="IRNazanin" w:cs="IRNazanin"/>
          <w:lang w:bidi="fa-IR"/>
          <w:color w:val="111111"/>
          <w:sz w:val="28"/>
          <w:szCs w:val="28"/>
          <w:rtl/>
        </w:rPr>
        <w:t xml:space="preserve">(۱۰/۵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[ف: ۷۴۸]</w:t>
      </w:r>
    </w:p>
    <w:p>
      <w:pPr>
        <w:pStyle w:val="BookText"/>
      </w:pPr>
      <w:r>
        <w:rPr>
          <w:rFonts w:ascii="IRNazanin" w:hAnsi="IRNazanin" w:eastAsia="IRNazanin" w:cs="IRNazanin"/>
          <w:lang w:bidi="fa-IR"/>
          <w:color w:val="111111"/>
          <w:sz w:val="28"/>
          <w:szCs w:val="28"/>
          <w:rtl/>
        </w:rPr>
        <w:t xml:space="preserve">۲۹۶ تهران؛ مجلس؛ شماره نسخه: ۴۰۳۳</w:t>
      </w:r>
    </w:p>
    <w:p>
      <w:pPr>
        <w:pStyle w:val="BookText"/>
      </w:pPr>
      <w:r>
        <w:rPr>
          <w:rFonts w:ascii="IRNazanin" w:hAnsi="IRNazanin" w:eastAsia="IRNazanin" w:cs="IRNazanin"/>
          <w:lang w:bidi="fa-IR"/>
          <w:color w:val="111111"/>
          <w:sz w:val="28"/>
          <w:szCs w:val="28"/>
          <w:rtl/>
        </w:rPr>
        <w:t xml:space="preserve">آغاز: بسمله. كتاب الحج، باب ماهية الاستطاعة وانها شرط  فی الوجوب اخبرنى الحسين بن .... انجام: برابر</w:t>
      </w:r>
    </w:p>
    <w:p>
      <w:pPr>
        <w:pStyle w:val="BookText"/>
      </w:pPr>
      <w:r>
        <w:rPr>
          <w:rFonts w:ascii="IRNazanin" w:hAnsi="IRNazanin" w:eastAsia="IRNazanin" w:cs="IRNazanin"/>
          <w:lang w:bidi="fa-IR"/>
          <w:color w:val="111111"/>
          <w:sz w:val="28"/>
          <w:szCs w:val="28"/>
          <w:rtl/>
        </w:rPr>
        <w:t xml:space="preserve">از حج  تا پایان دیه؛ خط: نسخ، بی کا :تا: شعبان ۱۰۷۹ق؛ محشی   با نشان «س م رحمه الله»، در پایان نسخه  آمده؛ باب ترتیب هذا الكتاب و ذکر اسانیده و عدد ابوابه و مسائله؛ وقف اولاد ذكـور بزرگتر  واتقی، به تاریخ ۲۳ شوال ۱۲۲۹ با مهر واقف «الحسن بن حسين  الموسوى ۱۲۲۱» (چهارگوش)؛ کاغذ: سپاهانی، جـلد: تیماج مشکی مغزیدار ،ضربی، ۲۸۷گ، ۲۴ سطر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w:t>
      </w:r>
    </w:p>
    <w:p>
      <w:pPr>
        <w:pStyle w:val="BookText"/>
      </w:pPr>
      <w:r>
        <w:rPr>
          <w:rFonts w:ascii="IRNazanin" w:hAnsi="IRNazanin" w:eastAsia="IRNazanin" w:cs="IRNazanin"/>
          <w:lang w:bidi="fa-IR"/>
          <w:color w:val="111111"/>
          <w:sz w:val="28"/>
          <w:szCs w:val="28"/>
          <w:rtl/>
        </w:rPr>
        <w:t xml:space="preserve">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۳۱سم [ف: ۱۱ - ۳۸]</w:t>
      </w:r>
    </w:p>
    <w:p>
      <w:pPr>
        <w:pStyle w:val="BookText"/>
      </w:pPr>
      <w:r>
        <w:rPr>
          <w:rFonts w:ascii="IRNazanin" w:hAnsi="IRNazanin" w:eastAsia="IRNazanin" w:cs="IRNazanin"/>
          <w:lang w:bidi="fa-IR"/>
          <w:color w:val="111111"/>
          <w:sz w:val="28"/>
          <w:szCs w:val="28"/>
          <w:rtl/>
        </w:rPr>
        <w:t xml:space="preserve">۲۹۷ تهران؛ مجلس؛ شماره نسخه: ۴۷۱۲</w:t>
      </w:r>
    </w:p>
    <w:p>
      <w:pPr>
        <w:pStyle w:val="BookText"/>
      </w:pPr>
      <w:r>
        <w:rPr>
          <w:rFonts w:ascii="IRNazanin" w:hAnsi="IRNazanin" w:eastAsia="IRNazanin" w:cs="IRNazanin"/>
          <w:lang w:bidi="fa-IR"/>
          <w:color w:val="111111"/>
          <w:sz w:val="28"/>
          <w:szCs w:val="28"/>
          <w:rtl/>
        </w:rPr>
        <w:t xml:space="preserve">آغاز: برابر؛ انجام: کتاب حج تم الجزء الثاني من  کتاب الاستبصار و يتلوه انشاء الله الجزء الثالث تم هذا الجزء في خمس رجب المرجب سنة تسع وسبعين و الف على يداقل خلق الله و احوجهم الى عفو رب الكريم ابن الحاج الفيضى محمد مقيم  القزويني.</w:t>
      </w:r>
    </w:p>
    <w:p>
      <w:pPr>
        <w:pStyle w:val="BookText"/>
      </w:pPr>
      <w:r>
        <w:rPr>
          <w:rFonts w:ascii="IRNazanin" w:hAnsi="IRNazanin" w:eastAsia="IRNazanin" w:cs="IRNazanin"/>
          <w:lang w:bidi="fa-IR"/>
          <w:color w:val="111111"/>
          <w:sz w:val="28"/>
          <w:szCs w:val="28"/>
          <w:rtl/>
        </w:rPr>
        <w:t xml:space="preserve">كتاب الطهارة و كتاب الصلاة و كتاب الصوم و كتاب الحج؛ خط ،نسخ، کا: محمد مقیم ،قزوینی ،تا: رجب ۱۰۷۹ق، جا: قزوین؛ محشی؛ کاغذ: اصفهانی، جلد: تیماج قرمز طلاکوب با لولا، ۲۳ 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۱۳ - ۹۳]</w:t>
      </w:r>
    </w:p>
    <w:p>
      <w:pPr>
        <w:pStyle w:val="BookText"/>
      </w:pPr>
      <w:r>
        <w:rPr>
          <w:rFonts w:ascii="IRNazanin" w:hAnsi="IRNazanin" w:eastAsia="IRNazanin" w:cs="IRNazanin"/>
          <w:lang w:bidi="fa-IR"/>
          <w:color w:val="111111"/>
          <w:sz w:val="28"/>
          <w:szCs w:val="28"/>
          <w:rtl/>
        </w:rPr>
        <w:t xml:space="preserve">۲۹۸. مشهد؛ گوهرشاد؛ شماره نسخه:۲۵۲</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بی کا، تا: جمعه ۷ شعبان ۱۰۷۹ق، جا: مدینه طیبه؛ کاتب نسخه، این کتاب را بعد از ۱۴ کتاب دیگر که تحریر نموده است نوشته و بیشتر آنها را به طلابی که مستحق بوده اند بخشیده است، مصحح و دارای بلاغ و سماع، محشی با رموز «م ح ق ر ، رحمه الله» و «میرزا محمد»، وسیله کاتب نسخه با مولا حسن علی مقابله شده است، دارای سماع و  بلاغ، در برگ الحاقی و پشت صفحه اول یادداشت های روایی و فهرست مشیخه و ... در آخر نسخه استبصار، فهرست  مشیخه، و پس از آن اجازه قاسم بن محمد حسنی حسینی طباطبائی به شیخ حسن بحرانی در یک صفحه و پس از آن اسانید از آن اسانید و مشيخه من لا يحضره الفقيه به خط حسن بن عبدالكريم بن حسن بن صالح بن احمد بن ابراهيم بن کمال بحرانی در ۲۶ ربیع الثانی ۱۰۴۸ق در مدرسه لطفیه شیراز که آن را برای خویشتن کتابت نموده است در ۱۵ برگ؛ کاغذ: اصفهانی، جلد: تیماج عنابی، ۳۲۵گ، ۲۰ سطر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اندازه:۱۸/۵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۱ - ۲۱۹]</w:t>
      </w:r>
    </w:p>
    <w:p>
      <w:pPr>
        <w:pStyle w:val="BookText"/>
      </w:pPr>
      <w:r>
        <w:rPr>
          <w:rFonts w:ascii="IRNazanin" w:hAnsi="IRNazanin" w:eastAsia="IRNazanin" w:cs="IRNazanin"/>
          <w:lang w:bidi="fa-IR"/>
          <w:color w:val="111111"/>
          <w:sz w:val="28"/>
          <w:szCs w:val="28"/>
          <w:rtl/>
        </w:rPr>
        <w:t xml:space="preserve">۲۹۹. مشهد؛ مدرسه خیرات خان؛ شماره نسخه: ۲۳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محمد جعفر بن سلیمان دشت بیاضی، تا: ذیحجه ۱۰۷۹ق و غره محرم ۱۰۸۰ ،محشی در عنوان یادداشتی از بهاء الدين محمد الحسينى ابن عبد الرحيم است، در آخر نسخه ضمیمه ای دارد به نام (ترتیب کتاب الاستبصار)؛ تملك: بهاء الدين محمد بن عبدالرحیم حسینی با مهر او؛ واقف: نصرة الملک (علیمردان خان تیموری) ؛کاغذ: اصفهانی، جلد: تیماج  عنابی، ۳۴۴گ، ۲۶ سطر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قطع: وزیری،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۲۵/۵سم [رشت و همدان - ف ۱۷۲۰]</w:t>
      </w:r>
    </w:p>
    <w:p>
      <w:pPr>
        <w:pStyle w:val="BookText"/>
      </w:pPr>
      <w:r>
        <w:rPr>
          <w:rFonts w:ascii="IRNazanin" w:hAnsi="IRNazanin" w:eastAsia="IRNazanin" w:cs="IRNazanin"/>
          <w:lang w:bidi="fa-IR"/>
          <w:color w:val="111111"/>
          <w:sz w:val="28"/>
          <w:szCs w:val="28"/>
          <w:rtl/>
        </w:rPr>
        <w:t xml:space="preserve">مشهد؛ نواب؛ شماره نسخه: ۶۳۴</w:t>
      </w:r>
    </w:p>
    <w:p>
      <w:pPr>
        <w:pStyle w:val="BookText"/>
      </w:pPr>
      <w:r>
        <w:rPr>
          <w:rFonts w:ascii="IRNazanin" w:hAnsi="IRNazanin" w:eastAsia="IRNazanin" w:cs="IRNazanin"/>
          <w:lang w:bidi="fa-IR"/>
          <w:color w:val="111111"/>
          <w:sz w:val="28"/>
          <w:szCs w:val="28"/>
          <w:rtl/>
        </w:rPr>
        <w:t xml:space="preserve">همان نسخه بالا [ف: ۵۱۰]</w:t>
      </w:r>
    </w:p>
    <w:p>
      <w:pPr>
        <w:pStyle w:val="BookText"/>
      </w:pPr>
      <w:r>
        <w:rPr>
          <w:rFonts w:ascii="IRNazanin" w:hAnsi="IRNazanin" w:eastAsia="IRNazanin" w:cs="IRNazanin"/>
          <w:lang w:bidi="fa-IR"/>
          <w:color w:val="111111"/>
          <w:sz w:val="28"/>
          <w:szCs w:val="28"/>
          <w:rtl/>
        </w:rPr>
        <w:t xml:space="preserve">۳۰۰ . مشهد؛ رضوی؛ شماره نسخه: ۱۰۰۴۰</w:t>
      </w:r>
    </w:p>
    <w:p>
      <w:pPr>
        <w:pStyle w:val="BookText"/>
      </w:pPr>
      <w:r>
        <w:rPr>
          <w:rFonts w:ascii="Amiri" w:hAnsi="Amiri" w:eastAsia="Amiri" w:cs="Amiri"/>
          <w:lang w:bidi="ar-SA"/>
          <w:color w:val="111111"/>
          <w:sz w:val="28"/>
          <w:szCs w:val="28"/>
          <w:rtl/>
        </w:rPr>
        <w:t xml:space="preserve">آغاز: برابر؛ انجام: فكذلك فى مسجد الكوفة لان احدا لا يفرق بين الموضعين.</w:t>
      </w:r>
    </w:p>
    <w:p>
      <w:pPr>
        <w:pStyle w:val="BookText"/>
      </w:pPr>
      <w:r>
        <w:rPr>
          <w:rFonts w:ascii="IRNazanin" w:hAnsi="IRNazanin" w:eastAsia="IRNazanin" w:cs="IRNazanin"/>
          <w:lang w:bidi="fa-IR"/>
          <w:color w:val="111111"/>
          <w:sz w:val="28"/>
          <w:szCs w:val="28"/>
          <w:rtl/>
        </w:rPr>
        <w:t xml:space="preserve">جلد ۲-۱ ؛ از ابتدای کتاب تا انتهای حج؛ خط: نسخ، کا: محمد هادی نیریزی، تا: سه شنبه ۲۶ شعبان ۱۰۷۹ق؛ محشی غالباً با رموز «س م ر و م ،د» دارای سه نوع  بلاغ، پشت ورق اول برخی از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فوائد خبری و اقسام آن واقف: دکتر شمس الدین جزایری، شهریور ۱۳۴۸ ؛کاغذ: نخودی آهار مهره، جلد: تیماج قهوه ای لبه دار ضربی با ترنج و سر ترنج، ۲۵۲گ، ۱۹ سطر، اندازه: ۱۹/۳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۱۴ - ۶۹]</w:t>
      </w:r>
    </w:p>
    <w:p>
      <w:pPr>
        <w:pStyle w:val="BookText"/>
      </w:pPr>
      <w:r>
        <w:rPr>
          <w:rFonts w:ascii="IRNazanin" w:hAnsi="IRNazanin" w:eastAsia="IRNazanin" w:cs="IRNazanin"/>
          <w:lang w:bidi="fa-IR"/>
          <w:color w:val="111111"/>
          <w:sz w:val="28"/>
          <w:szCs w:val="28"/>
          <w:rtl/>
        </w:rPr>
        <w:t xml:space="preserve">301.مشهد؛ الهیات؛ شماره نسخه: ۲۲۸۳۸</w:t>
      </w:r>
    </w:p>
    <w:p>
      <w:pPr>
        <w:pStyle w:val="BookText"/>
      </w:pPr>
      <w:r>
        <w:rPr>
          <w:rFonts w:ascii="IRNazanin" w:hAnsi="IRNazanin" w:eastAsia="IRNazanin" w:cs="IRNazanin"/>
          <w:lang w:bidi="fa-IR"/>
          <w:color w:val="111111"/>
          <w:sz w:val="28"/>
          <w:szCs w:val="28"/>
          <w:rtl/>
        </w:rPr>
        <w:t xml:space="preserve">خط: نسخ، کا: میر محمد محسن بنمحسن مازندرانی، تا:۱۰۸۰ق؛ در پشت صفحه اول یادداشتی به خط محمد شریـف کلارستانی در ۱۱۱۲ق؛ کاغذ:  اصفهانی ،جلد: تیماج قهوه ای، ۴۳۲گ، ۲۵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۳۰سم [ف: ۳ - ۹۵۲]</w:t>
      </w:r>
    </w:p>
    <w:p>
      <w:pPr>
        <w:pStyle w:val="BookText"/>
      </w:pPr>
      <w:r>
        <w:rPr>
          <w:rFonts w:ascii="IRNazanin" w:hAnsi="IRNazanin" w:eastAsia="IRNazanin" w:cs="IRNazanin"/>
          <w:lang w:bidi="fa-IR"/>
          <w:color w:val="111111"/>
          <w:sz w:val="28"/>
          <w:szCs w:val="28"/>
          <w:rtl/>
        </w:rPr>
        <w:t xml:space="preserve">۳۰۲. قم؛ مرعشی؛ شماره نسخه: ۱۰۲۶۵</w:t>
      </w:r>
    </w:p>
    <w:p>
      <w:pPr>
        <w:pStyle w:val="BookText"/>
      </w:pPr>
      <w:r>
        <w:rPr>
          <w:rFonts w:ascii="IRNazanin" w:hAnsi="IRNazanin" w:eastAsia="IRNazanin" w:cs="IRNazanin"/>
          <w:lang w:bidi="fa-IR"/>
          <w:color w:val="111111"/>
          <w:sz w:val="28"/>
          <w:szCs w:val="28"/>
          <w:rtl/>
        </w:rPr>
        <w:t xml:space="preserve">خط: نسخ، کا: محمد هادی بن عبدالله القاضی، تا: چهارشنبه ربیع الثانی ۱۰۸۰ق؛ مصحح، محشی، برگ اول نونویس و روی آن وقف نامه کتاب به تاریخ ۱۳۱۳ با مهر «محمد باقر بن محـمد حسن» (بیضی)، در صفحه ای قبل از مشیخه بلاغی که محمد بن قاسم معروف به میرزا محمد اصفهانی برای یکی از شاگردانش نوشته و احتمالاً ميرزا كمال الدين محمد بن معين الدين محـمد فسوی باشد که پس از  این بلاغ می نویسد کتاب را طی چند ماه نزد استاد خوانده و نیمه ماه شعبان ۱۰۸۶ به پایان برده است،  درهمین صفحه ابوالفتوح بن محمد الشريف از خدا توفیق می طلبد برای مقابله و خواندن و بحث کتاب؛ جلد: تیماج مشكـی، ۵۰۹گ، ۲۱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۲۶ - ۲۱۹]</w:t>
      </w:r>
    </w:p>
    <w:p>
      <w:pPr>
        <w:pStyle w:val="BookText"/>
      </w:pPr>
      <w:r>
        <w:rPr>
          <w:rFonts w:ascii="IRNazanin" w:hAnsi="IRNazanin" w:eastAsia="IRNazanin" w:cs="IRNazanin"/>
          <w:lang w:bidi="fa-IR"/>
          <w:color w:val="111111"/>
          <w:sz w:val="28"/>
          <w:szCs w:val="28"/>
          <w:rtl/>
        </w:rPr>
        <w:t xml:space="preserve">٣٠٣ .همدان؛ مدرسه غرب؛ شماره نسخه: ۱۰۴۲</w:t>
      </w:r>
    </w:p>
    <w:p>
      <w:pPr>
        <w:pStyle w:val="BookText"/>
      </w:pPr>
      <w:r>
        <w:rPr>
          <w:rFonts w:ascii="IRNazanin" w:hAnsi="IRNazanin" w:eastAsia="IRNazanin" w:cs="IRNazanin"/>
          <w:lang w:bidi="fa-IR"/>
          <w:color w:val="111111"/>
          <w:sz w:val="28"/>
          <w:szCs w:val="28"/>
          <w:rtl/>
        </w:rPr>
        <w:t xml:space="preserve">خط: نسخ ، کا: محمد مقیم  رضوی، تا: رجب ۱۰۸۰ق؛ قطع :  رحلی[رشت و همدان - ف: ۱۲۸۴]</w:t>
      </w:r>
    </w:p>
    <w:p>
      <w:pPr>
        <w:pStyle w:val="BookText"/>
      </w:pPr>
      <w:r>
        <w:rPr>
          <w:rFonts w:ascii="Amiri" w:hAnsi="Amiri" w:eastAsia="Amiri" w:cs="Amiri"/>
          <w:lang w:bidi="ar-SA"/>
          <w:color w:val="111111"/>
          <w:sz w:val="28"/>
          <w:szCs w:val="28"/>
          <w:rtl/>
        </w:rPr>
        <w:t xml:space="preserve">۳۰۴. اصفهان؛ مكتبة الزهراء؛ شماره نسخه: ۹۶</w:t>
      </w:r>
    </w:p>
    <w:p>
      <w:pPr>
        <w:pStyle w:val="BookText"/>
      </w:pPr>
      <w:r>
        <w:rPr>
          <w:rFonts w:ascii="Amiri" w:hAnsi="Amiri" w:eastAsia="Amiri" w:cs="Amiri"/>
          <w:lang w:bidi="ar-SA"/>
          <w:color w:val="111111"/>
          <w:sz w:val="28"/>
          <w:szCs w:val="28"/>
          <w:rtl/>
        </w:rPr>
        <w:t xml:space="preserve">انجام: باب دية من قطع رأس الميت ... فقال يا امير المؤمنين مات</w:t>
      </w:r>
    </w:p>
    <w:p>
      <w:pPr>
        <w:pStyle w:val="BookText"/>
      </w:pPr>
      <w:r>
        <w:rPr>
          <w:rFonts w:ascii="IRNazanin" w:hAnsi="IRNazanin" w:eastAsia="IRNazanin" w:cs="IRNazanin"/>
          <w:lang w:bidi="fa-IR"/>
          <w:color w:val="111111"/>
          <w:sz w:val="28"/>
          <w:szCs w:val="28"/>
          <w:rtl/>
        </w:rPr>
        <w:t xml:space="preserve">خط: نستعليق متوسط، کا: محمد کاظم، تا: ۱۰۸۱ق؛ افتادگی: انجام؛ ۳۹۹گ، ۲۵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۳۱سم [ف: ۶۵]</w:t>
      </w:r>
    </w:p>
    <w:p>
      <w:pPr>
        <w:pStyle w:val="BookText"/>
      </w:pPr>
      <w:r>
        <w:rPr>
          <w:rFonts w:ascii="IRNazanin" w:hAnsi="IRNazanin" w:eastAsia="IRNazanin" w:cs="IRNazanin"/>
          <w:lang w:bidi="fa-IR"/>
          <w:color w:val="111111"/>
          <w:sz w:val="28"/>
          <w:szCs w:val="28"/>
          <w:rtl/>
        </w:rPr>
        <w:t xml:space="preserve">۳۰۵ .قم؛ مرکز احیاء؛ شماره نسخه: ۳۰۷۶</w:t>
      </w:r>
    </w:p>
    <w:p>
      <w:pPr>
        <w:pStyle w:val="BookText"/>
      </w:pPr>
      <w:r>
        <w:rPr>
          <w:rFonts w:ascii="Amiri" w:hAnsi="Amiri" w:eastAsia="Amiri" w:cs="Amiri"/>
          <w:lang w:bidi="ar-SA"/>
          <w:color w:val="111111"/>
          <w:sz w:val="28"/>
          <w:szCs w:val="28"/>
          <w:rtl/>
        </w:rPr>
        <w:t xml:space="preserve">آغاز: برابر؛ انجام: قال ان ادركتها قبل ان تدفن فان شئت فـصل عليها</w:t>
      </w:r>
    </w:p>
    <w:p>
      <w:pPr>
        <w:pStyle w:val="BookText"/>
      </w:pPr>
      <w:r>
        <w:rPr>
          <w:rFonts w:ascii="IRNazanin" w:hAnsi="IRNazanin" w:eastAsia="IRNazanin" w:cs="IRNazanin"/>
          <w:lang w:bidi="fa-IR"/>
          <w:color w:val="111111"/>
          <w:sz w:val="28"/>
          <w:szCs w:val="28"/>
          <w:rtl/>
        </w:rPr>
        <w:t xml:space="preserve">از آغاز تا پایان كتاب الصلاة؛ خط: نسخ، بی کا، تا: ذیقعده ۱۰۸۱ق؛ افتادگی: انجام ،مصحح، دارای بلاغ محشی؛ جـلد: تیماج زرشکی سوخته لبه دار، ۲۶۳گ، مختلف السطر، اندازه: ۱۷/۵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۲۵/۵سم [محدث ارموی مخ: ۱ - ۱۲۲]</w:t>
      </w:r>
    </w:p>
    <w:p>
      <w:pPr>
        <w:pStyle w:val="BookText"/>
      </w:pPr>
      <w:r>
        <w:rPr>
          <w:rFonts w:ascii="IRNazanin" w:hAnsi="IRNazanin" w:eastAsia="IRNazanin" w:cs="IRNazanin"/>
          <w:lang w:bidi="fa-IR"/>
          <w:color w:val="111111"/>
          <w:sz w:val="28"/>
          <w:szCs w:val="28"/>
          <w:rtl/>
        </w:rPr>
        <w:t xml:space="preserve">۳۰۶. شیراز ،ثامنی محمد رضا؛ شماره نسخه: ۳</w:t>
      </w:r>
    </w:p>
    <w:p>
      <w:pPr>
        <w:pStyle w:val="BookText"/>
      </w:pPr>
      <w:r>
        <w:rPr>
          <w:rFonts w:ascii="IRNazanin" w:hAnsi="IRNazanin" w:eastAsia="IRNazanin" w:cs="IRNazanin"/>
          <w:lang w:bidi="fa-IR"/>
          <w:color w:val="111111"/>
          <w:sz w:val="28"/>
          <w:szCs w:val="28"/>
          <w:rtl/>
        </w:rPr>
        <w:t xml:space="preserve">پایان جهاد؛ خط: نسخ، کا: درویش بن عبد  زید، تا: جمادی الثـانی ۱۰۸۱ق؛ قطع: رحلی بزرگ [اوراق عتیق: ۱ - ۲۶۷]</w:t>
      </w:r>
    </w:p>
    <w:p>
      <w:pPr>
        <w:pStyle w:val="BookText"/>
      </w:pPr>
      <w:r>
        <w:rPr>
          <w:rFonts w:ascii="IRNazanin" w:hAnsi="IRNazanin" w:eastAsia="IRNazanin" w:cs="IRNazanin"/>
          <w:lang w:bidi="fa-IR"/>
          <w:color w:val="111111"/>
          <w:sz w:val="28"/>
          <w:szCs w:val="28"/>
          <w:rtl/>
        </w:rPr>
        <w:t xml:space="preserve">۳۰۷. تهران؛ دانشگاه؛ شماره نسخه: ۶۲۵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و نستعليق ،كا: محمد صالح بن سلطان محمود،تا: شـنبه   ۱۲ شوال ۱۰۸۱ق؛ محشی ،مجدول؛ تملک: سلطان مراد با مهر او به تاریخ ربیع الثانی ،۱۲۶۸، کسی در شیراز به سال ۱۲۴۲ این  را خریده است؛ کاغذ: ترمه، جلد: تیماج زرکوب مقوایی، ۳۱۷گ، ۲۷ 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۲۶سم [ف: ۵ - ۱۰۸۵]</w:t>
      </w:r>
    </w:p>
    <w:p>
      <w:pPr>
        <w:pStyle w:val="BookText"/>
      </w:pPr>
      <w:r>
        <w:rPr>
          <w:rFonts w:ascii="IRNazanin" w:hAnsi="IRNazanin" w:eastAsia="IRNazanin" w:cs="IRNazanin"/>
          <w:lang w:bidi="fa-IR"/>
          <w:color w:val="111111"/>
          <w:sz w:val="28"/>
          <w:szCs w:val="28"/>
          <w:rtl/>
        </w:rPr>
        <w:t xml:space="preserve">۳۰۸. قم؛ گلپایگانی؛ شماره نسخه: ۷۷۱۴-۵۲/۵۴</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کا: محمد شفیع جابری  نائینی، تا: یکشنبه ۱۵ جمادی الثانی ۱۰۸۲ق، ۳۵۳گ، ۲۱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۱ - ۳۲۸]</w:t>
      </w:r>
    </w:p>
    <w:p>
      <w:pPr>
        <w:pStyle w:val="BookText"/>
      </w:pPr>
      <w:r>
        <w:rPr>
          <w:rFonts w:ascii="IRNazanin" w:hAnsi="IRNazanin" w:eastAsia="IRNazanin" w:cs="IRNazanin"/>
          <w:lang w:bidi="fa-IR"/>
          <w:color w:val="111111"/>
          <w:sz w:val="28"/>
          <w:szCs w:val="28"/>
          <w:rtl/>
        </w:rPr>
        <w:t xml:space="preserve">۳۰۹. قم؛ گلپایگانی؛ شماره نسخه: ۱۱۳۱- ۷/۳۱</w:t>
      </w:r>
    </w:p>
    <w:p>
      <w:pPr>
        <w:pStyle w:val="BookText"/>
      </w:pPr>
      <w:r>
        <w:rPr>
          <w:rFonts w:ascii="Amiri" w:hAnsi="Amiri" w:eastAsia="Amiri" w:cs="Amiri"/>
          <w:lang w:bidi="ar-SA"/>
          <w:color w:val="111111"/>
          <w:sz w:val="28"/>
          <w:szCs w:val="28"/>
          <w:rtl/>
        </w:rPr>
        <w:t xml:space="preserve">آغاز: برابر؛ انجام: فكذلك من مسجد الكوفه لان احدا اما فرق بين الموضعين تم الجزء الثانى من كتاب الاستبصار...  و يتلوه... كتاب الجهاد</w:t>
      </w:r>
    </w:p>
    <w:p>
      <w:pPr>
        <w:pStyle w:val="BookText"/>
      </w:pPr>
      <w:r>
        <w:rPr>
          <w:rFonts w:ascii="IRNazanin" w:hAnsi="IRNazanin" w:eastAsia="IRNazanin" w:cs="IRNazanin"/>
          <w:lang w:bidi="fa-IR"/>
          <w:color w:val="111111"/>
          <w:sz w:val="28"/>
          <w:szCs w:val="28"/>
          <w:rtl/>
        </w:rPr>
        <w:t xml:space="preserve">جزء اول و دوم (تا آخر حج)؛ خط: نسخ، کا: حبيب الله بن حسنعلی  تبریزی، تا: چهارشنبه ۲۷ ربیع الثانی ۱۰۸۲ق؛ مصحح، محشی از «م د» و «مصنف ره)» و «ا م ن» و«حسن» و ...؛ واقف:حبیب الله بن حسنعلی تبریزی اصفهانی، ۱۰۸۳ق بر امام رضا (علیه السّلام)؛ جلد: مقوا آبی عطف تیماج، ۲۲۷گ، ۲۳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۲۶سم  [ف: ۱ - ۳۲۹]</w:t>
      </w:r>
    </w:p>
    <w:p>
      <w:pPr>
        <w:pStyle w:val="BookText"/>
      </w:pPr>
      <w:r>
        <w:rPr>
          <w:rFonts w:ascii="IRNazanin" w:hAnsi="IRNazanin" w:eastAsia="IRNazanin" w:cs="IRNazanin"/>
          <w:lang w:bidi="fa-IR"/>
          <w:color w:val="111111"/>
          <w:sz w:val="28"/>
          <w:szCs w:val="28"/>
          <w:rtl/>
        </w:rPr>
        <w:t xml:space="preserve">۳۱۰. مشهد؛ رضوی؛ شماره نسخه: ۶۱۵۵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اسد بن حسن بیک  تربتی، تا: سلخ جمادی الاول ۱۰۸۲ق؛ کاغذ: آهاری  نخودی ،جلد: میشنی قهوه ای، ۴۸۵گ،</w:t>
      </w:r>
    </w:p>
    <w:p>
      <w:pPr>
        <w:pStyle w:val="BookText"/>
      </w:pPr>
      <w:r>
        <w:rPr>
          <w:rFonts w:ascii="IRNazanin" w:hAnsi="IRNazanin" w:eastAsia="IRNazanin" w:cs="IRNazanin"/>
          <w:lang w:bidi="fa-IR"/>
          <w:color w:val="111111"/>
          <w:sz w:val="28"/>
          <w:szCs w:val="28"/>
          <w:rtl/>
        </w:rPr>
        <w:t xml:space="preserve">۲۱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۲۴/۵سم [ف: ۵ - ۳۴]</w:t>
      </w:r>
    </w:p>
    <w:p>
      <w:pPr>
        <w:pStyle w:val="BookText"/>
      </w:pPr>
      <w:r>
        <w:rPr>
          <w:rFonts w:ascii="IRNazanin" w:hAnsi="IRNazanin" w:eastAsia="IRNazanin" w:cs="IRNazanin"/>
          <w:lang w:bidi="fa-IR"/>
          <w:color w:val="111111"/>
          <w:sz w:val="28"/>
          <w:szCs w:val="28"/>
          <w:rtl/>
        </w:rPr>
        <w:t xml:space="preserve">۳۱۱. قم؛ مرکز احیاء؛ شماره نسخه: ۱۷۲۷</w:t>
      </w:r>
    </w:p>
    <w:p>
      <w:pPr>
        <w:pStyle w:val="BookText"/>
      </w:pPr>
      <w:r>
        <w:rPr>
          <w:rFonts w:ascii="IRNazanin" w:hAnsi="IRNazanin" w:eastAsia="IRNazanin" w:cs="IRNazanin"/>
          <w:lang w:bidi="fa-IR"/>
          <w:color w:val="111111"/>
          <w:sz w:val="28"/>
          <w:szCs w:val="28"/>
          <w:rtl/>
        </w:rPr>
        <w:t xml:space="preserve">خط: نسخ، بی کا، تا: رجب ۱۰۸۳ق؛ بخشی از مشیخه افتاده است؛ ،مصحح، محشی؛ تملک: حسن بن محمد حسین شراره، عبدالکریم کرمانشاهی مختار کلبادی گلوگاهی مازندرانی به تاریخ ۱۳۶۹، نشانی عاریه محمد بن سید خلیفه موسوی؛ مهر: «لا اله الا الله الملك الحق المبين عبده محمد مهدی» (مربع)؛ جلد: مقوایی عطف تیماج قهوه ای ۲۲۶گ، ۳۱ سطر، اندازه: ۱۶/۵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۲۵/۵سم [ف: ۵ - ۱۲۹]</w:t>
      </w:r>
    </w:p>
    <w:p>
      <w:pPr>
        <w:pStyle w:val="BookText"/>
      </w:pPr>
      <w:r>
        <w:rPr>
          <w:rFonts w:ascii="IRNazanin" w:hAnsi="IRNazanin" w:eastAsia="IRNazanin" w:cs="IRNazanin"/>
          <w:lang w:bidi="fa-IR"/>
          <w:color w:val="111111"/>
          <w:sz w:val="28"/>
          <w:szCs w:val="28"/>
          <w:rtl/>
        </w:rPr>
        <w:t xml:space="preserve">۳۱۲. تهران؛ سلطنتی؛ شماره نسخه: ۱۲۳۱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و نسخ تحریری، کا: نورالدين محمد ذوالشرفين کرمانی بن محمد مومن الشريف، تا: محرم ۱۰۸۳ق؛ محشی ،مجدول با سرلوح؛ مهر ،مشیر السلطنه حسين بن هدایت الله، محمد رضا الحسيني؛ جلد: مقوای روکش چرم ساغری یشمی رنگ حاشیه ،ضربی ۷۰۱ ص، قطع: وزیری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۱ - ۴۳]</w:t>
      </w:r>
    </w:p>
    <w:p>
      <w:pPr>
        <w:pStyle w:val="BookText"/>
      </w:pPr>
      <w:r>
        <w:rPr>
          <w:rFonts w:ascii="IRNazanin" w:hAnsi="IRNazanin" w:eastAsia="IRNazanin" w:cs="IRNazanin"/>
          <w:lang w:bidi="fa-IR"/>
          <w:color w:val="111111"/>
          <w:sz w:val="28"/>
          <w:szCs w:val="28"/>
          <w:rtl/>
        </w:rPr>
        <w:t xml:space="preserve">۳۱۳. قائن؛ مدرسه جعفریه؛ شماره نسخه: ۴۷</w:t>
      </w:r>
    </w:p>
    <w:p>
      <w:pPr>
        <w:pStyle w:val="BookText"/>
      </w:pPr>
      <w:r>
        <w:rPr>
          <w:rFonts w:ascii="IRNazanin" w:hAnsi="IRNazanin" w:eastAsia="IRNazanin" w:cs="IRNazanin"/>
          <w:lang w:bidi="fa-IR"/>
          <w:color w:val="111111"/>
          <w:sz w:val="28"/>
          <w:szCs w:val="28"/>
          <w:rtl/>
        </w:rPr>
        <w:t xml:space="preserve">خط: نسخ، بی کا، تا: ۱۰۸۴ق؛ مصحح، محشی، دارای علامت بلاغ؛ تملک: «علی بن حصین بن علی بن عبد بن نعمت جبعی» در سال ۱۲۳۸، «سید جواد قائنی» واقف: «سید جواد جواد زاده»، ۱۷ ربیع الاول ۱۳۹۲ بر مدرسه؛ جلد: تیماج قرمز، ۴۰۰گ، ۲۳ سطر،</w:t>
      </w:r>
    </w:p>
    <w:p>
      <w:pPr>
        <w:pStyle w:val="BookText"/>
      </w:pPr>
      <w:r>
        <w:rPr>
          <w:rFonts w:ascii="IRNazanin" w:hAnsi="IRNazanin" w:eastAsia="IRNazanin" w:cs="IRNazanin"/>
          <w:lang w:bidi="fa-IR"/>
          <w:color w:val="111111"/>
          <w:sz w:val="28"/>
          <w:szCs w:val="28"/>
          <w:rtl/>
        </w:rPr>
        <w:t xml:space="preserve">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۲۴/۵سم [کتابخانه های قائن - ف: ۴۴]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314.قم؛ مرعشی؛ شماره نسخه: ۸۰۳۱</w:t>
      </w:r>
    </w:p>
    <w:p>
      <w:pPr>
        <w:pStyle w:val="BookText"/>
      </w:pPr>
      <w:r>
        <w:rPr>
          <w:rFonts w:ascii="IRNazanin" w:hAnsi="IRNazanin" w:eastAsia="IRNazanin" w:cs="IRNazanin"/>
          <w:lang w:bidi="fa-IR"/>
          <w:color w:val="111111"/>
          <w:sz w:val="28"/>
          <w:szCs w:val="28"/>
          <w:rtl/>
        </w:rPr>
        <w:t xml:space="preserve">خط: نسخ، بی کا، تا: سه شنبه ۴ شعبان ۱۰۸۴ق؛ ،  مصحح، محشی، نشان  بلاغ ،در پایان کتاب صلاة و صوم و حج انهاءهایی است که سید نعمت الله جزائری برای شاگردش سید ابوالقاسم نوشته و آخرین آنها به تاریخ ربیع الاول ۱۰۸۸؛ تملک: محمد تـقی شوشتری با مهر «محمد رسول الله» (هشت گوش)، محمد بن حسن بن علی شوشتری با مهر «محمد بن الحسن» (بيضى) ، احـمد بن محمد بن حسن بن علی شوشتری به تاریخ ۱۲۴۹ با مهر«احمـده و اصلی علی احمده» (بیضی)؛ مهر: «عبده مهدی بن محمد باقـر» ؛جلد: دو رو تیماج رو قرمز عطف و حواشی مشکی پشت قهوه ای، ۳۶۶گ، ۲۵  سطر، اندازه: ۱۷/۵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۳۰/۵سم [ف : ۱۸ - ۱۹۴]</w:t>
      </w:r>
    </w:p>
    <w:p>
      <w:pPr>
        <w:pStyle w:val="BookText"/>
      </w:pPr>
      <w:r>
        <w:rPr>
          <w:rFonts w:ascii="IRNazanin" w:hAnsi="IRNazanin" w:eastAsia="IRNazanin" w:cs="IRNazanin"/>
          <w:lang w:bidi="fa-IR"/>
          <w:color w:val="111111"/>
          <w:sz w:val="28"/>
          <w:szCs w:val="28"/>
          <w:rtl/>
        </w:rPr>
        <w:t xml:space="preserve">۳۱۵. تهران؛ ملی؛ شماره نسخه: ۱۲۳۳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نستعليق، كا:حسین بن ابراهيم بن حسين بن عبدالله،تا: ۱۰۸۴ق؛ مجدول؛کاغذ: سمرقندی، جلد: تیماج عنابی مقوایی خط کشی با ترنج و نیم ترنج  کوبیده، ۲۱۸گ ۳۳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۳۲سم [ف: ۹ - ۲۱۶]</w:t>
      </w:r>
    </w:p>
    <w:p>
      <w:pPr>
        <w:pStyle w:val="BookText"/>
      </w:pPr>
      <w:r>
        <w:rPr>
          <w:rFonts w:ascii="IRNazanin" w:hAnsi="IRNazanin" w:eastAsia="IRNazanin" w:cs="IRNazanin"/>
          <w:lang w:bidi="fa-IR"/>
          <w:color w:val="111111"/>
          <w:sz w:val="28"/>
          <w:szCs w:val="28"/>
          <w:rtl/>
        </w:rPr>
        <w:t xml:space="preserve">۳۱۶. تهران؛ ملی؛ شماره نسخه: ۲۱۷۳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کامل و در پایان آن یک «باب» در بیان ترتیب کتاب و ذکر مسانید آن که در نسخه های چاپی نیز موجود می باشد ؛خط: نـسخ جلی، کا: عبدالحسین بن ناصر  کاظمی، تا: ۲۹ ذیقعدة ۱۰۸۵ق؛ محشی با نشان «م د ن»، «م ح ق»، «ص»، «س»، «حسین عفی عنه» «شیخ محمد»، «مدارک»، «شرح دروس»، «حبل المتين»، «نهاية» و «ذکری» تملک: مهدی موسوی جیلانی و مهر «مهدی ...» (بیضی) و (چهارگوش)؛ کاغذ ،نخودی ،اصفهانی ،جلد: مقوایی رویه میشن زرشکی، سجاف، عطف و لایه درون تیماج زرد، ۵۵۰گ، سطر :(۱۰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 ۱۱ - ۴۴۲]</w:t>
      </w:r>
    </w:p>
    <w:p>
      <w:pPr>
        <w:pStyle w:val="BookText"/>
      </w:pPr>
      <w:r>
        <w:rPr>
          <w:rFonts w:ascii="IRNazanin" w:hAnsi="IRNazanin" w:eastAsia="IRNazanin" w:cs="IRNazanin"/>
          <w:lang w:bidi="fa-IR"/>
          <w:color w:val="111111"/>
          <w:sz w:val="28"/>
          <w:szCs w:val="28"/>
          <w:rtl/>
        </w:rPr>
        <w:t xml:space="preserve">۳۱۷. تهران؛ ملی؛ شماره نسخه: ۵۹۵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کامل به اضافه اسانید و مشایخ مؤلف؛ خط: نسخ  خوش، کا: محـمد حسين بن مراد علی  تبریزی، تا: ۱۰۸۵ق؛ مجدول، با سرلوح  زر،کاغذ: دولت آبادی ،جلد: میشن قهوه ای مجدول ضربی مذهـب، ۳۷۳گ، ۲۵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 اندازه: ۱۹/۵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۳۱/۵سم [ف: ۸ - 28]</w:t>
      </w:r>
    </w:p>
    <w:p>
      <w:pPr>
        <w:pStyle w:val="BookText"/>
      </w:pPr>
      <w:r>
        <w:rPr>
          <w:rFonts w:ascii="IRNazanin" w:hAnsi="IRNazanin" w:eastAsia="IRNazanin" w:cs="IRNazanin"/>
          <w:lang w:bidi="fa-IR"/>
          <w:color w:val="111111"/>
          <w:sz w:val="28"/>
          <w:szCs w:val="28"/>
          <w:rtl/>
        </w:rPr>
        <w:t xml:space="preserve">۳۱۸. یزد؛ وزیری؛ شماره نسخه: ۳۱۱</w:t>
      </w:r>
    </w:p>
    <w:p>
      <w:pPr>
        <w:pStyle w:val="BookText"/>
      </w:pPr>
      <w:r>
        <w:rPr>
          <w:rFonts w:ascii="IRNazanin" w:hAnsi="IRNazanin" w:eastAsia="IRNazanin" w:cs="IRNazanin"/>
          <w:lang w:bidi="fa-IR"/>
          <w:color w:val="111111"/>
          <w:sz w:val="28"/>
          <w:szCs w:val="28"/>
          <w:rtl/>
        </w:rPr>
        <w:t xml:space="preserve">نسخه کامل؛ خط: نسخ، بی کا، تا:۱۰۸۵ق؛ تملک: «محمد طاهر بن محمد اسماعیل قمی»؛ اهدایی: حاج وزیری؛ کاغذ: اصفهانی،جلد: مقوایی با تیماج آلبالوئی درون کاغذ  زرد، ۳۵۷گ ۲۳ سـطر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 اندازه: ۱۸/۵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۲۸سم [ف: ۱ - ۲۹۸]</w:t>
      </w:r>
    </w:p>
    <w:p>
      <w:pPr>
        <w:pStyle w:val="BookText"/>
      </w:pPr>
      <w:r>
        <w:rPr>
          <w:rFonts w:ascii="IRNazanin" w:hAnsi="IRNazanin" w:eastAsia="IRNazanin" w:cs="IRNazanin"/>
          <w:lang w:bidi="fa-IR"/>
          <w:color w:val="111111"/>
          <w:sz w:val="28"/>
          <w:szCs w:val="28"/>
          <w:rtl/>
        </w:rPr>
        <w:t xml:space="preserve">۳۱۹. قم؛ گلپایگانی؛ شماره نسخه: ۷۶۶۳-۵۲/۳</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کا: محمد تقى ولد حاجی احمد فیروز آبادی، تا: 1 رجب ۱۰۸۵ق؛ ۳۸۲گ، ۲۸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۳۲سم [ف: ۱ - 328]</w:t>
      </w:r>
    </w:p>
    <w:p>
      <w:pPr>
        <w:pStyle w:val="BookText"/>
      </w:pPr>
      <w:r>
        <w:rPr>
          <w:rFonts w:ascii="IRNazanin" w:hAnsi="IRNazanin" w:eastAsia="IRNazanin" w:cs="IRNazanin"/>
          <w:lang w:bidi="fa-IR"/>
          <w:color w:val="111111"/>
          <w:sz w:val="28"/>
          <w:szCs w:val="28"/>
          <w:rtl/>
        </w:rPr>
        <w:t xml:space="preserve">۳۲۰. تهران؛ سپهسالار؛ شماره نسخه: ۵۲۸۹</w:t>
      </w:r>
    </w:p>
    <w:p>
      <w:pPr>
        <w:pStyle w:val="BookText"/>
      </w:pPr>
      <w:r>
        <w:rPr>
          <w:rFonts w:ascii="IRNazanin" w:hAnsi="IRNazanin" w:eastAsia="IRNazanin" w:cs="IRNazanin"/>
          <w:lang w:bidi="fa-IR"/>
          <w:color w:val="111111"/>
          <w:sz w:val="28"/>
          <w:szCs w:val="28"/>
          <w:rtl/>
        </w:rPr>
        <w:t xml:space="preserve">کامل؛ خط: نسخ، کا: محمد باقی بن محمد تقی، تا: سلخ رمضان ۱۰۸۵ق؛ از پایان مشیخه اندکی افتاده است؛ کاغذ: سپاهانی نخودی، جلد: تیماج قهوه ای ۲۵۸ گ، ۳۱ سطر،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۳۷/۵سم [ف: ۳ - ۱۱۹]</w:t>
      </w:r>
    </w:p>
    <w:p>
      <w:pPr>
        <w:pStyle w:val="BookText"/>
      </w:pPr>
      <w:r>
        <w:rPr>
          <w:rFonts w:ascii="IRNazanin" w:hAnsi="IRNazanin" w:eastAsia="IRNazanin" w:cs="IRNazanin"/>
          <w:lang w:bidi="fa-IR"/>
          <w:color w:val="111111"/>
          <w:sz w:val="28"/>
          <w:szCs w:val="28"/>
          <w:rtl/>
        </w:rPr>
        <w:t xml:space="preserve">۳۲۱. تبریز تربیت؛ شماره نسخه: ۱۷۹</w:t>
      </w:r>
    </w:p>
    <w:p>
      <w:pPr>
        <w:pStyle w:val="BookText"/>
      </w:pPr>
      <w:r>
        <w:rPr>
          <w:rFonts w:ascii="IRNazanin" w:hAnsi="IRNazanin" w:eastAsia="IRNazanin" w:cs="IRNazanin"/>
          <w:lang w:bidi="fa-IR"/>
          <w:color w:val="111111"/>
          <w:sz w:val="28"/>
          <w:szCs w:val="28"/>
          <w:rtl/>
        </w:rPr>
        <w:t xml:space="preserve">خط: نسخ خوب، کا: محمد امین  خوانساری، تا: ۱۰۸۵ق [ف: ۲۴]</w:t>
      </w:r>
    </w:p>
    <w:p>
      <w:pPr>
        <w:pStyle w:val="BookText"/>
      </w:pPr>
      <w:r>
        <w:rPr>
          <w:rFonts w:ascii="IRNazanin" w:hAnsi="IRNazanin" w:eastAsia="IRNazanin" w:cs="IRNazanin"/>
          <w:lang w:bidi="fa-IR"/>
          <w:color w:val="111111"/>
          <w:sz w:val="28"/>
          <w:szCs w:val="28"/>
          <w:rtl/>
        </w:rPr>
        <w:t xml:space="preserve">322.تهران؛ مدرسه قنبر علی خان (حضرت ولی عصر)؛ شماره نسخه: 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کامل به همراه مشیخه؛ خط: نسخ، کا: على اصغر بن قوام الدين  حسینی ، تا: 11 محرم  ۱۰۸۵ق (جلد اول) ۱۳  رجب  ۱۰۸۵ق  (پایان کتاب) ،مصحح، محشی، مهر: وقف مدرسه سعديه طهران ۱۲۹۰» (بیضی)؛ واقف: سید یحیی۱۳۱۹ ؛جلد: تیماج کرمی سر طبل دار مجدول گرهی، ۳۴۸گ، ۳۱ سطر [ف: ۱۷]</w:t>
      </w:r>
    </w:p>
    <w:p>
      <w:pPr>
        <w:pStyle w:val="BookText"/>
      </w:pPr>
      <w:r>
        <w:rPr>
          <w:rFonts w:ascii="IRNazanin" w:hAnsi="IRNazanin" w:eastAsia="IRNazanin" w:cs="IRNazanin"/>
          <w:lang w:bidi="fa-IR"/>
          <w:color w:val="111111"/>
          <w:sz w:val="28"/>
          <w:szCs w:val="28"/>
          <w:rtl/>
        </w:rPr>
        <w:t xml:space="preserve">۳۲۳. تهران؛ مروی؛ شماره نسخه: ۱۷۶</w:t>
      </w:r>
    </w:p>
    <w:p>
      <w:pPr>
        <w:pStyle w:val="BookText"/>
      </w:pPr>
      <w:r>
        <w:rPr>
          <w:rFonts w:ascii="IRNazanin" w:hAnsi="IRNazanin" w:eastAsia="IRNazanin" w:cs="IRNazanin"/>
          <w:lang w:bidi="fa-IR"/>
          <w:color w:val="111111"/>
          <w:sz w:val="28"/>
          <w:szCs w:val="28"/>
          <w:rtl/>
        </w:rPr>
        <w:t xml:space="preserve">دوره :کا: محمود بن محمد بن يوسف قروانی، تا: ۱۰۸۶ق؛ تملک: محمد بن حسن بن هلال  بحرانی، علی بن عبدالله راشد بحرانی؛ قطع: رحلی [ف: ۶۶]</w:t>
      </w:r>
    </w:p>
    <w:p>
      <w:pPr>
        <w:pStyle w:val="BookText"/>
      </w:pPr>
      <w:r>
        <w:rPr>
          <w:rFonts w:ascii="IRNazanin" w:hAnsi="IRNazanin" w:eastAsia="IRNazanin" w:cs="IRNazanin"/>
          <w:lang w:bidi="fa-IR"/>
          <w:color w:val="111111"/>
          <w:sz w:val="28"/>
          <w:szCs w:val="28"/>
          <w:rtl/>
        </w:rPr>
        <w:t xml:space="preserve">۳۲۴. اصفهان؛ عمومی اصفهان (فرهنگ سابق)؛ شماره نسخه: ۵۳۸۴</w:t>
      </w:r>
    </w:p>
    <w:p>
      <w:pPr>
        <w:pStyle w:val="BookText"/>
      </w:pPr>
      <w:r>
        <w:rPr>
          <w:rFonts w:ascii="IRNazanin" w:hAnsi="IRNazanin" w:eastAsia="IRNazanin" w:cs="IRNazanin"/>
          <w:lang w:bidi="fa-IR"/>
          <w:color w:val="111111"/>
          <w:sz w:val="28"/>
          <w:szCs w:val="28"/>
          <w:rtl/>
        </w:rPr>
        <w:t xml:space="preserve">خط: نسخ، کا: یونس بن صالح، تا: ۲۶ ذیحجه ۱۰۸۶ق؛ کاغذ:  اصفهانی، جلد: تیماج  قرمز ،۳۲۰ ص ۲۳ 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 سم [عمومی اصفهان (فرهنگ (سابق) - ف: ۱ - ۱۸۰]</w:t>
      </w:r>
    </w:p>
    <w:p>
      <w:pPr>
        <w:pStyle w:val="BookText"/>
      </w:pPr>
      <w:r>
        <w:rPr>
          <w:rFonts w:ascii="IRNazanin" w:hAnsi="IRNazanin" w:eastAsia="IRNazanin" w:cs="IRNazanin"/>
          <w:lang w:bidi="fa-IR"/>
          <w:color w:val="111111"/>
          <w:sz w:val="28"/>
          <w:szCs w:val="28"/>
          <w:rtl/>
        </w:rPr>
        <w:t xml:space="preserve">۳۲۵. مشهد؛ رضوی؛ شماره نسخه: ۱۵۷۰</w:t>
      </w:r>
    </w:p>
    <w:p>
      <w:pPr>
        <w:pStyle w:val="BookText"/>
      </w:pPr>
      <w:r>
        <w:rPr>
          <w:rFonts w:ascii="IRNazanin" w:hAnsi="IRNazanin" w:eastAsia="IRNazanin" w:cs="IRNazanin"/>
          <w:lang w:bidi="fa-IR"/>
          <w:color w:val="111111"/>
          <w:sz w:val="28"/>
          <w:szCs w:val="28"/>
          <w:rtl/>
        </w:rPr>
        <w:t xml:space="preserve">آغاز: برابر؛ انجام: عن احمد بن عبدون ... قال مصنف... والله الموفق الصواب</w:t>
      </w:r>
    </w:p>
    <w:p>
      <w:pPr>
        <w:pStyle w:val="BookText"/>
      </w:pPr>
      <w:r>
        <w:rPr>
          <w:rFonts w:ascii="IRNazanin" w:hAnsi="IRNazanin" w:eastAsia="IRNazanin" w:cs="IRNazanin"/>
          <w:lang w:bidi="fa-IR"/>
          <w:color w:val="111111"/>
          <w:sz w:val="28"/>
          <w:szCs w:val="28"/>
          <w:rtl/>
        </w:rPr>
        <w:t xml:space="preserve">خط: نسخ، بی کا، تا: ۱۰۸۶ق [الفبائی: ۴۳]</w:t>
      </w:r>
    </w:p>
    <w:p>
      <w:pPr>
        <w:pStyle w:val="BookText"/>
      </w:pPr>
      <w:r>
        <w:rPr>
          <w:rFonts w:ascii="IRNazanin" w:hAnsi="IRNazanin" w:eastAsia="IRNazanin" w:cs="IRNazanin"/>
          <w:lang w:bidi="fa-IR"/>
          <w:color w:val="111111"/>
          <w:sz w:val="28"/>
          <w:szCs w:val="28"/>
          <w:rtl/>
        </w:rPr>
        <w:t xml:space="preserve">326.یزد؛ وزیری؛ شماره نسخه: ۳۷۵۵</w:t>
      </w:r>
    </w:p>
    <w:p>
      <w:pPr>
        <w:pStyle w:val="BookText"/>
      </w:pPr>
      <w:r>
        <w:rPr>
          <w:rFonts w:ascii="IRNazanin" w:hAnsi="IRNazanin" w:eastAsia="IRNazanin" w:cs="IRNazanin"/>
          <w:lang w:bidi="fa-IR"/>
          <w:color w:val="111111"/>
          <w:sz w:val="28"/>
          <w:szCs w:val="28"/>
          <w:rtl/>
        </w:rPr>
        <w:t xml:space="preserve">كتاب الجهاد تا ديات؛ خط: نسخ، کا: شيخ بهاء الدين بن ملا عبد الجبار لاهیجی ،تا: ۱۰۸۷ق؛ مهر:« خدا از تو راضی محمد رضا»، «ابو الفضل بن رفیع»؛ اهدایی: مؤسس مرحوم؛ كاغذ: فرنگی، جلد: تیماج  زرد، ۲۰۵گ ۲۲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۲۹/۵سم [ف: ۵ - ۱۷۸۴]</w:t>
      </w:r>
    </w:p>
    <w:p>
      <w:pPr>
        <w:pStyle w:val="BookText"/>
      </w:pPr>
      <w:r>
        <w:rPr>
          <w:rFonts w:ascii="IRNazanin" w:hAnsi="IRNazanin" w:eastAsia="IRNazanin" w:cs="IRNazanin"/>
          <w:lang w:bidi="fa-IR"/>
          <w:color w:val="111111"/>
          <w:sz w:val="28"/>
          <w:szCs w:val="28"/>
          <w:rtl/>
        </w:rPr>
        <w:t xml:space="preserve">۳۲۷. قم؛ مرعشی؛ شماره نسخه: ۲۶۱۰</w:t>
      </w:r>
    </w:p>
    <w:p>
      <w:pPr>
        <w:pStyle w:val="BookText"/>
      </w:pPr>
      <w:r>
        <w:rPr>
          <w:rFonts w:ascii="Amiri" w:hAnsi="Amiri" w:eastAsia="Amiri" w:cs="Amiri"/>
          <w:lang w:bidi="ar-SA"/>
          <w:color w:val="111111"/>
          <w:sz w:val="28"/>
          <w:szCs w:val="28"/>
          <w:rtl/>
        </w:rPr>
        <w:t xml:space="preserve">انجام: اذ أصاب المحرم الصيد فى الحرم و هو محرم فانه ينبغى له أن يدفنه و لا يأكل</w:t>
      </w:r>
    </w:p>
    <w:p>
      <w:pPr>
        <w:pStyle w:val="BookText"/>
      </w:pPr>
      <w:r>
        <w:rPr>
          <w:rFonts w:ascii="IRNazanin" w:hAnsi="IRNazanin" w:eastAsia="IRNazanin" w:cs="IRNazanin"/>
          <w:lang w:bidi="fa-IR"/>
          <w:color w:val="111111"/>
          <w:sz w:val="28"/>
          <w:szCs w:val="28"/>
          <w:rtl/>
        </w:rPr>
        <w:t xml:space="preserve">از آغاز کتاب تا اعمال حج؛ خط: نسخ، كا: محمد صالح بن محمد رضا، تا: شب ۲۱ ذیقعده ۱۰۸۸ق؛ افتادگی: انجام؛ مصحح، محشی، دارای علامت بلاغ به خط ملا محمد باقر مجلسی؛ تملکی بدون نام به تاریخ ۱۲۹۳؛ مهر : «عبده اسماعیل بن محمد» (بیضی)، «عبده محمد بن محمد اسماعیل» (بیضی)؛ جلد: تیماج مشکی،۱۵۳گ ۲۳  سطر، اندازه: ۱۸/۵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۷ - ۱۹۱]</w:t>
      </w:r>
    </w:p>
    <w:p>
      <w:pPr>
        <w:pStyle w:val="BookText"/>
      </w:pPr>
      <w:r>
        <w:rPr>
          <w:rFonts w:ascii="IRNazanin" w:hAnsi="IRNazanin" w:eastAsia="IRNazanin" w:cs="IRNazanin"/>
          <w:lang w:bidi="fa-IR"/>
          <w:color w:val="111111"/>
          <w:sz w:val="28"/>
          <w:szCs w:val="28"/>
          <w:rtl/>
        </w:rPr>
        <w:t xml:space="preserve">۳۲۸. قم؛ مؤسسه حضرت آیة الله بروجردی؛ شماره نسخه: ۹۵</w:t>
      </w:r>
    </w:p>
    <w:p>
      <w:pPr>
        <w:pStyle w:val="BookText"/>
      </w:pPr>
      <w:r>
        <w:rPr>
          <w:rFonts w:ascii="IRNazanin" w:hAnsi="IRNazanin" w:eastAsia="IRNazanin" w:cs="IRNazanin"/>
          <w:lang w:bidi="fa-IR"/>
          <w:color w:val="111111"/>
          <w:sz w:val="28"/>
          <w:szCs w:val="28"/>
          <w:rtl/>
        </w:rPr>
        <w:t xml:space="preserve">خط: نسخ، کا: عنایت بن محمد، تا: پنج شنبه غره رمضان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۱۰۸۸ق؛  مصحح ؛  تملک: احمد بن زین عاملی، حیدر بن طاهر ، محمد مقیم لاهیجی با مهر بیضوی؛ جلد: دو رو تیماج قهوه ای عطف و حواشی و اندرون تیماج  قرمز، ۴۱۵گ، ۲۳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۲۴/۵سم [ف: ۱ - ۶۲]</w:t>
      </w:r>
    </w:p>
    <w:p>
      <w:pPr>
        <w:pStyle w:val="BookText"/>
      </w:pPr>
      <w:r>
        <w:rPr>
          <w:rFonts w:ascii="Amiri" w:hAnsi="Amiri" w:eastAsia="Amiri" w:cs="Amiri"/>
          <w:lang w:bidi="ar-SA"/>
          <w:color w:val="111111"/>
          <w:sz w:val="28"/>
          <w:szCs w:val="28"/>
          <w:rtl/>
        </w:rPr>
        <w:t xml:space="preserve">۳۲۹. اصفهان؛ مكتبة الزهراء؛ شماره نسخه: ۱۷۵</w:t>
      </w:r>
    </w:p>
    <w:p>
      <w:pPr>
        <w:pStyle w:val="BookText"/>
      </w:pPr>
      <w:r>
        <w:rPr>
          <w:rFonts w:ascii="IRNazanin" w:hAnsi="IRNazanin" w:eastAsia="IRNazanin" w:cs="IRNazanin"/>
          <w:lang w:bidi="fa-IR"/>
          <w:color w:val="111111"/>
          <w:sz w:val="28"/>
          <w:szCs w:val="28"/>
          <w:rtl/>
        </w:rPr>
        <w:t xml:space="preserve">از اول طهارت تا آخر کتاب جهاد ؛کا: خواجه نظر  علی، تا: با تاریخ ۱۰۸۸ق؛ در کنار آن حواشی مرحوم علامه بزرگوار سید نعمة الله جزائری است و ایشان با مرحوم ملا محمد قاسم مقابله تصحیح کرده اند چنان که به خط مرحوم سید نعمة الله جزائرى در آخر کتاب نوشته شده در تاریخ ربیع الاول ۱۰۸۸ق؛ ۲۶۴گ، 23سطر،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۲۸/۵۲سم [ف: ۱۱۱]</w:t>
      </w:r>
    </w:p>
    <w:p>
      <w:pPr>
        <w:pStyle w:val="BookText"/>
      </w:pPr>
      <w:r>
        <w:rPr>
          <w:rFonts w:ascii="IRNazanin" w:hAnsi="IRNazanin" w:eastAsia="IRNazanin" w:cs="IRNazanin"/>
          <w:lang w:bidi="fa-IR"/>
          <w:color w:val="111111"/>
          <w:sz w:val="28"/>
          <w:szCs w:val="28"/>
          <w:rtl/>
        </w:rPr>
        <w:t xml:space="preserve">٣٣٠. شیراز؛ ملی؛ شماره نسخه: ۵۲ الف /۵۸۹</w:t>
      </w:r>
    </w:p>
    <w:p>
      <w:pPr>
        <w:pStyle w:val="BookText"/>
      </w:pPr>
      <w:r>
        <w:rPr>
          <w:rFonts w:ascii="IRNazanin" w:hAnsi="IRNazanin" w:eastAsia="IRNazanin" w:cs="IRNazanin"/>
          <w:lang w:bidi="fa-IR"/>
          <w:color w:val="111111"/>
          <w:sz w:val="28"/>
          <w:szCs w:val="28"/>
          <w:rtl/>
        </w:rPr>
        <w:t xml:space="preserve">آغاز: ابی عبدالله عليه السلام قال سئل عن الفارة تقع فى البئر يعلم بها الا بعد ما يتوضا منها؛ انجام: و ما ذكرته عن ابى طالب الانبارى فقد رويته عن احمد بن عبدون عنه رضى الله عنهم مصنف هذا الكتاب.</w:t>
      </w:r>
    </w:p>
    <w:p>
      <w:pPr>
        <w:pStyle w:val="BookText"/>
      </w:pPr>
      <w:r>
        <w:rPr>
          <w:rFonts w:ascii="IRNazanin" w:hAnsi="IRNazanin" w:eastAsia="IRNazanin" w:cs="IRNazanin"/>
          <w:lang w:bidi="fa-IR"/>
          <w:color w:val="111111"/>
          <w:sz w:val="28"/>
          <w:szCs w:val="28"/>
          <w:rtl/>
        </w:rPr>
        <w:t xml:space="preserve">از اواسط کتاب صلوة تا اواسط کتاب دیات؛ خط: نسخ، بی کا،تا: رجب ۱۰۸۹ق؛ افتادگی: آغاز و انجام؛ کاغذ: فرنگی نخودی ،جلد: مقوا با تیماج قهوه ای  سیر، ۴۲۸گ، ۲۵ سطر (9</w:t>
      </w:r>
      <w:r>
        <w:rPr>
          <w:rFonts w:ascii="Times New Roman" w:hAnsi="Times New Roman" w:eastAsia="Times New Roman" w:cs="Times New Roman"/>
          <w:lang w:val="en-US" w:bidi="en-US"/>
          <w:color w:val="111111"/>
          <w:sz w:val="28"/>
          <w:szCs w:val="28"/>
          <w:rtl/>
        </w:rPr>
        <w:t xml:space="preserve">×19/5)</w:t>
      </w:r>
      <w:r>
        <w:rPr>
          <w:rFonts w:ascii="IRNazanin" w:hAnsi="IRNazanin" w:eastAsia="IRNazanin" w:cs="IRNazanin"/>
          <w:lang w:bidi="fa-IR"/>
          <w:color w:val="111111"/>
          <w:sz w:val="28"/>
          <w:szCs w:val="28"/>
          <w:rtl/>
        </w:rPr>
        <w:t xml:space="preserve">، اندازه: ۱۸/۵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۳۰/۵سم [ف: ۲ - ۱۷۹]</w:t>
      </w:r>
    </w:p>
    <w:p>
      <w:pPr>
        <w:pStyle w:val="BookText"/>
      </w:pPr>
      <w:r>
        <w:rPr>
          <w:rFonts w:ascii="IRNazanin" w:hAnsi="IRNazanin" w:eastAsia="IRNazanin" w:cs="IRNazanin"/>
          <w:lang w:bidi="fa-IR"/>
          <w:color w:val="111111"/>
          <w:sz w:val="28"/>
          <w:szCs w:val="28"/>
          <w:rtl/>
        </w:rPr>
        <w:t xml:space="preserve">۳۳۱. تهران؛ مجلس؛ شماره نسخه: ۴۲۲۲/۲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باقر بن محمد تقی شهمیرزادی، تا: ۱۰۸۹  ق،تملک: «بانو صفیه مورخ ۱۱۴۲»؛ «ابن هدایت الله الحسینی»؛ مـهر: «داود بن عبدالعلی الحسینی»؛ کاغذ: سپاهانی، جلد: تیماج مقوایی قهوه ای، ۲۹۴ گ (۱پ-۲۹۴ر)، ۲۶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 اندازه:۱۹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۲۴سم [ف: ۱۱ – ۲۴۱]</w:t>
      </w:r>
    </w:p>
    <w:p>
      <w:pPr>
        <w:pStyle w:val="BookText"/>
      </w:pPr>
      <w:r>
        <w:rPr>
          <w:rFonts w:ascii="IRNazanin" w:hAnsi="IRNazanin" w:eastAsia="IRNazanin" w:cs="IRNazanin"/>
          <w:lang w:bidi="fa-IR"/>
          <w:color w:val="111111"/>
          <w:sz w:val="28"/>
          <w:szCs w:val="28"/>
          <w:rtl/>
        </w:rPr>
        <w:t xml:space="preserve">۳۳۲. قم؛ مرعشی؛ شماره نسخه: ۸۳۷</w:t>
      </w:r>
    </w:p>
    <w:p>
      <w:pPr>
        <w:pStyle w:val="BookText"/>
      </w:pPr>
      <w:r>
        <w:rPr>
          <w:rFonts w:ascii="IRNazanin" w:hAnsi="IRNazanin" w:eastAsia="IRNazanin" w:cs="IRNazanin"/>
          <w:lang w:bidi="fa-IR"/>
          <w:color w:val="111111"/>
          <w:sz w:val="28"/>
          <w:szCs w:val="28"/>
          <w:rtl/>
        </w:rPr>
        <w:t xml:space="preserve">آغاز: باب من يقدم من السفر الى متى يجوز له التقصير  ،أخبرنی  الشيخ عن احمد بن محمد</w:t>
      </w:r>
    </w:p>
    <w:p>
      <w:pPr>
        <w:pStyle w:val="BookText"/>
      </w:pPr>
      <w:r>
        <w:rPr>
          <w:rFonts w:ascii="IRNazanin" w:hAnsi="IRNazanin" w:eastAsia="IRNazanin" w:cs="IRNazanin"/>
          <w:lang w:bidi="fa-IR"/>
          <w:color w:val="111111"/>
          <w:sz w:val="28"/>
          <w:szCs w:val="28"/>
          <w:rtl/>
        </w:rPr>
        <w:t xml:space="preserve">از اواسط کتاب الحج تا پایان کتاب؛ خط: نسخ، كا: محمد صادق بن محمد حسنی لاریجانی، تا: صفر ۱۰۸۹ق؛ مصحح، محشی؛ دارای بلاغات به خط ملا محمد باقر مجلسی، در صفحه آخر اجازه ای است که ملا محمد باقر مجلسی به جهت کاتب نوشته است؛ تملک: آقا میرزا، پیر احمد مهتر دامغانی که از ملاعنایت الله لاریجانی خریده و مهر «افوض امری الی الله پیر احمد دامغانی»</w:t>
      </w:r>
    </w:p>
    <w:p>
      <w:pPr>
        <w:pStyle w:val="BookText"/>
      </w:pPr>
      <w:r>
        <w:rPr>
          <w:rFonts w:ascii="IRNazanin" w:hAnsi="IRNazanin" w:eastAsia="IRNazanin" w:cs="IRNazanin"/>
          <w:lang w:bidi="fa-IR"/>
          <w:color w:val="111111"/>
          <w:sz w:val="28"/>
          <w:szCs w:val="28"/>
          <w:rtl/>
        </w:rPr>
        <w:t xml:space="preserve">(مربع)، محمد صادق هزار جزیبی که به تاریخ ۱۲۰۲ کتاب را از ملا محمد سعید دامغانی خریده و مهر «محمد صادق» (بيضى)،  مهر: «محمد حسین بن محمد صادق» (بیضی)؛ جلد: دو رومشکی پشت  قرمز، ۳۷۲گ، ۲۵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۳۱سم [ف ۳ - 35]</w:t>
      </w:r>
    </w:p>
    <w:p>
      <w:pPr>
        <w:pStyle w:val="BookText"/>
      </w:pPr>
      <w:r>
        <w:rPr>
          <w:rFonts w:ascii="IRNazanin" w:hAnsi="IRNazanin" w:eastAsia="IRNazanin" w:cs="IRNazanin"/>
          <w:lang w:bidi="fa-IR"/>
          <w:color w:val="111111"/>
          <w:sz w:val="28"/>
          <w:szCs w:val="28"/>
          <w:rtl/>
        </w:rPr>
        <w:t xml:space="preserve">۳۳۳. قائن؛ مدرسه جعفریه؛ شماره نسخه:۴۹</w:t>
      </w:r>
    </w:p>
    <w:p>
      <w:pPr>
        <w:pStyle w:val="BookText"/>
      </w:pPr>
      <w:r>
        <w:rPr>
          <w:rFonts w:ascii="IRNazanin" w:hAnsi="IRNazanin" w:eastAsia="IRNazanin" w:cs="IRNazanin"/>
          <w:lang w:bidi="fa-IR"/>
          <w:color w:val="111111"/>
          <w:sz w:val="28"/>
          <w:szCs w:val="28"/>
          <w:rtl/>
        </w:rPr>
        <w:t xml:space="preserve">از ابتدای کتاب الجهاد تا پایان کتاب؛ خط: نسخ، کا: عبدالخـالق بن محمد شفیع قائنی، تا: ۲۲ ذیحجه ۱۰۸۹ق؛ ، مصحح، محشی؛</w:t>
      </w:r>
    </w:p>
    <w:p>
      <w:pPr>
        <w:pStyle w:val="BookText"/>
      </w:pPr>
      <w:r>
        <w:rPr>
          <w:rFonts w:ascii="IRNazanin" w:hAnsi="IRNazanin" w:eastAsia="IRNazanin" w:cs="IRNazanin"/>
          <w:lang w:bidi="fa-IR"/>
          <w:color w:val="111111"/>
          <w:sz w:val="28"/>
          <w:szCs w:val="28"/>
          <w:rtl/>
        </w:rPr>
        <w:t xml:space="preserve">تملک: عبدالخالق قائنی با مهر «عبدالخالق القائنى» (بيضی)، اشرف الشريف  قائنی، حامد بن عبدالرزاق قائنی؛ جلد: تیماج دورو، رو قرمز، پشت  مشکی، ۱۸۴گ، ۲۰ سطر، اندازه:۱۹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۲۴/۵سم [ کتابخانه های قائن - ف - ۴۵]</w:t>
      </w:r>
    </w:p>
    <w:p>
      <w:pPr>
        <w:pStyle w:val="BookText"/>
      </w:pPr>
      <w:r>
        <w:rPr>
          <w:rFonts w:ascii="IRNazanin" w:hAnsi="IRNazanin" w:eastAsia="IRNazanin" w:cs="IRNazanin"/>
          <w:lang w:bidi="fa-IR"/>
          <w:color w:val="111111"/>
          <w:sz w:val="28"/>
          <w:szCs w:val="28"/>
          <w:rtl/>
        </w:rPr>
        <w:t xml:space="preserve">۳۳۴. مشهد؛ گوهر شاد؛ شماره نسخه: ۲۴۱</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كا: محمد سعيد بن حاجى هيبة الله بن شاه محمد، تا: ۱۲ صفر ۱۰۸۹ق؛ محشی با رمز «م ق ر ،مدظله، س م د ر ه ب هـ ره» و منقول از «کنز العرفان»، «نهایه»، «مصباح»، «مدارک»، «حبل المتين»؛ كاغذ: اصفهانی، جلد: تیماج مشکی  لولائی، ۴۰۴گ ۲۳ سطر (9</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،اندازه: ۱۷/۵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۱ - ۲۰۹]</w:t>
      </w:r>
    </w:p>
    <w:p>
      <w:pPr>
        <w:pStyle w:val="BookText"/>
      </w:pPr>
      <w:r>
        <w:rPr>
          <w:rFonts w:ascii="IRNazanin" w:hAnsi="IRNazanin" w:eastAsia="IRNazanin" w:cs="IRNazanin"/>
          <w:lang w:bidi="fa-IR"/>
          <w:color w:val="111111"/>
          <w:sz w:val="28"/>
          <w:szCs w:val="28"/>
          <w:rtl/>
        </w:rPr>
        <w:t xml:space="preserve">۳۳۵. تهران؛ سلطنتی؛ شماره نسخه: ۱۲۲۹</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كا: احمد بن على بن سيف الحمري، تا: پنج شنبه ۲۴ شوال ۱۰۹۰ق؛ محشی؛ در حواشی تمامی صفحات روایات و شرح کامل احکام را به طرح چلیپا ،مجدول؛ مهر: مشيرالسلطنه ، حسین بن هدایت الله، محمد رضا الحسينی» كاغذ: ترمه، کشمیری، جلد: مقوای روکش چرم مشکی وسط ترنج و دو سر ترنج ضربی دور کنگره متن طلاپوش گل برجسته زرشکی رنگ دو حاشیه بند زرین، ۵۱۴  ص، ۳۷ سطر، قطع: رحلی، اندازه: ۱۸</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۳۳سم [ف 1- 41]</w:t>
      </w:r>
    </w:p>
    <w:p>
      <w:pPr>
        <w:pStyle w:val="BookText"/>
      </w:pPr>
      <w:r>
        <w:rPr>
          <w:rFonts w:ascii="IRNazanin" w:hAnsi="IRNazanin" w:eastAsia="IRNazanin" w:cs="IRNazanin"/>
          <w:lang w:bidi="fa-IR"/>
          <w:color w:val="111111"/>
          <w:sz w:val="28"/>
          <w:szCs w:val="28"/>
          <w:rtl/>
        </w:rPr>
        <w:t xml:space="preserve">۳۳۶. یزد؛ سریزدی؛ شماره نسخه: ۲۰۷</w:t>
      </w:r>
    </w:p>
    <w:p>
      <w:pPr>
        <w:pStyle w:val="BookText"/>
      </w:pPr>
      <w:r>
        <w:rPr>
          <w:rFonts w:ascii="IRNazanin" w:hAnsi="IRNazanin" w:eastAsia="IRNazanin" w:cs="IRNazanin"/>
          <w:lang w:bidi="fa-IR"/>
          <w:color w:val="111111"/>
          <w:sz w:val="28"/>
          <w:szCs w:val="28"/>
          <w:rtl/>
        </w:rPr>
        <w:t xml:space="preserve">کامل؛ خط: نسخ، کا: محمد قاسم بن محمد عسکر یزدی، تا: شنبه ۱۶ ربیع الثانی، ۱۰۹۰ق؛ افتادگی: آغاز (برگ آغازین خطبه)؛</w:t>
      </w:r>
    </w:p>
    <w:p>
      <w:pPr>
        <w:pStyle w:val="BookText"/>
      </w:pPr>
      <w:r>
        <w:rPr>
          <w:rFonts w:ascii="IRNazanin" w:hAnsi="IRNazanin" w:eastAsia="IRNazanin" w:cs="IRNazanin"/>
          <w:lang w:bidi="fa-IR"/>
          <w:color w:val="111111"/>
          <w:sz w:val="28"/>
          <w:szCs w:val="28"/>
          <w:rtl/>
        </w:rPr>
        <w:t xml:space="preserve">مصحح ؛جلد: تیماج دو رو، رو قهوه ای لبه دار، اندرون و عطف قرمز، ۵۲۳گ، ۲۵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۳۰سم [ف: ۱ - ۱۶۹]</w:t>
      </w:r>
    </w:p>
    <w:p>
      <w:pPr>
        <w:pStyle w:val="BookText"/>
      </w:pPr>
      <w:r>
        <w:rPr>
          <w:rFonts w:ascii="IRNazanin" w:hAnsi="IRNazanin" w:eastAsia="IRNazanin" w:cs="IRNazanin"/>
          <w:lang w:bidi="fa-IR"/>
          <w:color w:val="111111"/>
          <w:sz w:val="28"/>
          <w:szCs w:val="28"/>
          <w:rtl/>
        </w:rPr>
        <w:t xml:space="preserve">۳۳۷. قم؛ گلپایگانی؛ شماره نسخه: ۵۵۸۴-۲۸/۴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پنج شنبه ۸ جمادی الاول ۱۰۹۱ق؛ در حاشیه خصوصیات احادیث (صحیح، ضعیف و ...) با علائم اختصاری؛ جلد: تیماج مشکی، ۲۶۰گ، ۲۸ سطر،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۳۸سم [ف: ۱ - ۳۲۸]</w:t>
      </w:r>
    </w:p>
    <w:p>
      <w:pPr>
        <w:pStyle w:val="BookText"/>
      </w:pPr>
      <w:r>
        <w:rPr>
          <w:rFonts w:ascii="IRNazanin" w:hAnsi="IRNazanin" w:eastAsia="IRNazanin" w:cs="IRNazanin"/>
          <w:lang w:bidi="fa-IR"/>
          <w:color w:val="111111"/>
          <w:sz w:val="28"/>
          <w:szCs w:val="28"/>
          <w:rtl/>
        </w:rPr>
        <w:t xml:space="preserve">۳۳۸. قم؛ مرعشی؛ شماره نسخه: ۱۰۵۲۹</w:t>
      </w:r>
    </w:p>
    <w:p>
      <w:pPr>
        <w:pStyle w:val="BookText"/>
      </w:pPr>
      <w:r>
        <w:rPr>
          <w:rFonts w:ascii="IRNazanin" w:hAnsi="IRNazanin" w:eastAsia="IRNazanin" w:cs="IRNazanin"/>
          <w:lang w:bidi="fa-IR"/>
          <w:color w:val="111111"/>
          <w:sz w:val="28"/>
          <w:szCs w:val="28"/>
          <w:rtl/>
        </w:rPr>
        <w:t xml:space="preserve">خط: نسخ، کا: محمد تقی بن عبدالله شیرازی، تا: پنج شنبه ۲۴ شعبان ۱۰۹۱ق، جا: اصفهان؛ مصحح، محشی، دارای بلاغاتی به خط علامه مجلسی، در پایان جزء اول بلاغ مجلسی برای امیر عین العارفین از کتابی زیراکس نموده و چسبانده اند؛ جلد: تیماج ،مشکی، ۴۰۶ گ،۲۰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۲۹/۵سم [ف: ۲۷ - ۲۱]</w:t>
      </w:r>
    </w:p>
    <w:p>
      <w:pPr>
        <w:pStyle w:val="BookText"/>
      </w:pPr>
      <w:r>
        <w:rPr>
          <w:rFonts w:ascii="IRNazanin" w:hAnsi="IRNazanin" w:eastAsia="IRNazanin" w:cs="IRNazanin"/>
          <w:lang w:bidi="fa-IR"/>
          <w:color w:val="111111"/>
          <w:sz w:val="28"/>
          <w:szCs w:val="28"/>
          <w:rtl/>
        </w:rPr>
        <w:t xml:space="preserve">۳۳۹. مشهد؛ رضوی؛ شماره نسخه: ۳۱۸۷۸</w:t>
      </w:r>
    </w:p>
    <w:p>
      <w:pPr>
        <w:pStyle w:val="BookText"/>
      </w:pPr>
      <w:r>
        <w:rPr>
          <w:rFonts w:ascii="IRNazanin" w:hAnsi="IRNazanin" w:eastAsia="IRNazanin" w:cs="IRNazanin"/>
          <w:lang w:bidi="fa-IR"/>
          <w:color w:val="111111"/>
          <w:sz w:val="28"/>
          <w:szCs w:val="28"/>
          <w:rtl/>
        </w:rPr>
        <w:t xml:space="preserve">کامل؛ خط: نسخ، بی کا، تا: ۱۰۹۱ق؛ دارای سه سرلوح و کتیبه  مرصع، مجدول، مذهب، محشی؛ اهدایی: رهبری، بهمن ۱۳۸۳؛ ، کاغذ: نخودی آهار مهره ،جلد: تیماج مشکی، ۴۲۲گ، ۲۵ سطر، اندازه: ۱۷/۵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۲۹سم [اهدائی رهبر: ۲ اخبار ۱ - ۹۱]</w:t>
      </w:r>
    </w:p>
    <w:p>
      <w:pPr>
        <w:pStyle w:val="BookText"/>
      </w:pPr>
      <w:r>
        <w:rPr>
          <w:rFonts w:ascii="IRNazanin" w:hAnsi="IRNazanin" w:eastAsia="IRNazanin" w:cs="IRNazanin"/>
          <w:lang w:bidi="fa-IR"/>
          <w:color w:val="111111"/>
          <w:sz w:val="28"/>
          <w:szCs w:val="28"/>
          <w:rtl/>
        </w:rPr>
        <w:t xml:space="preserve">۳۴۰. تهران؛ ملی؛ شماره نسخه ۲۹۳۲</w:t>
      </w:r>
    </w:p>
    <w:p>
      <w:pPr>
        <w:pStyle w:val="BookText"/>
      </w:pPr>
      <w:r>
        <w:rPr>
          <w:rFonts w:ascii="IRNazanin" w:hAnsi="IRNazanin" w:eastAsia="IRNazanin" w:cs="IRNazanin"/>
          <w:lang w:bidi="fa-IR"/>
          <w:color w:val="111111"/>
          <w:sz w:val="28"/>
          <w:szCs w:val="28"/>
          <w:rtl/>
        </w:rPr>
        <w:t xml:space="preserve">آغاز و انجام: برابر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 نسخ، کا: محمد مسلم ابن محمود ازناوی البروروصی، ۱۰۹۱ق؛ مصحح؛ کاغذ: فرنگی نخودی، جلد: تیماج مشکی ،مقوایی ۱۸۰گ، ۲۷ سطر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 اندازه: 17/5</w:t>
      </w:r>
      <w:r>
        <w:rPr>
          <w:rFonts w:ascii="Times New Roman" w:hAnsi="Times New Roman" w:eastAsia="Times New Roman" w:cs="Times New Roman"/>
          <w:lang w:val="en-US" w:bidi="en-US"/>
          <w:color w:val="111111"/>
          <w:sz w:val="28"/>
          <w:szCs w:val="28"/>
          <w:rtl/>
        </w:rPr>
        <w:t xml:space="preserve">×31 </w:t>
      </w:r>
      <w:r>
        <w:rPr>
          <w:rFonts w:ascii="IRNazanin" w:hAnsi="IRNazanin" w:eastAsia="IRNazanin" w:cs="IRNazanin"/>
          <w:lang w:bidi="fa-IR"/>
          <w:color w:val="111111"/>
          <w:sz w:val="28"/>
          <w:szCs w:val="28"/>
          <w:rtl/>
        </w:rPr>
        <w:t xml:space="preserve">سم[ف: ۱۴- ۳۷]</w:t>
      </w:r>
    </w:p>
    <w:p>
      <w:pPr>
        <w:pStyle w:val="BookText"/>
      </w:pPr>
      <w:r>
        <w:rPr>
          <w:rFonts w:ascii="IRNazanin" w:hAnsi="IRNazanin" w:eastAsia="IRNazanin" w:cs="IRNazanin"/>
          <w:lang w:bidi="fa-IR"/>
          <w:color w:val="111111"/>
          <w:sz w:val="28"/>
          <w:szCs w:val="28"/>
          <w:rtl/>
        </w:rPr>
        <w:t xml:space="preserve">۳۴۱. فردوس؛ مدرسه حبیبیه؛ شماره نسخه: ۲۵</w:t>
      </w:r>
    </w:p>
    <w:p>
      <w:pPr>
        <w:pStyle w:val="BookText"/>
      </w:pPr>
      <w:r>
        <w:rPr>
          <w:rFonts w:ascii="IRNazanin" w:hAnsi="IRNazanin" w:eastAsia="IRNazanin" w:cs="IRNazanin"/>
          <w:lang w:bidi="fa-IR"/>
          <w:color w:val="111111"/>
          <w:sz w:val="28"/>
          <w:szCs w:val="28"/>
          <w:rtl/>
        </w:rPr>
        <w:t xml:space="preserve">آغاز: العقل ومقتضاه و منها أن تكون مطابقة لظاهر للقران للقران اما لظاهرهاو عمومه او دلیل خطابه او فحواه فكل هذه القراين توجـب العلم و تخرج الخبر الاحاد و تدخله فى باب المعلوم و مـنها؛ انجام: عن على عن أبي بصير عن ابي عبدالله (علیه السّلام) قال في الاصـابع فى كل اصبع عشر من الابل قال الشيخ رحمه الله هذه الروايـات متفقة غير مختلفه</w:t>
      </w:r>
    </w:p>
    <w:p>
      <w:pPr>
        <w:pStyle w:val="BookText"/>
      </w:pPr>
      <w:r>
        <w:rPr>
          <w:rFonts w:ascii="IRNazanin" w:hAnsi="IRNazanin" w:eastAsia="IRNazanin" w:cs="IRNazanin"/>
          <w:lang w:bidi="fa-IR"/>
          <w:color w:val="111111"/>
          <w:sz w:val="28"/>
          <w:szCs w:val="28"/>
          <w:rtl/>
        </w:rPr>
        <w:t xml:space="preserve">كتاب طهارة، صلاة زكات ،صوم، نکاح و ...؛ خط: نسخ، کا: محمد مسلم بن محمود از ناوی بردرودی، تا: دهه دوم ربیع الاول ۱۰۹۲ق؛ افتادگی: آغاز؛ مصحح؛ جلد: تیماج قرمز، فاقد طبله دوم ،۳۳۳گ، ۲۱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مخ:]</w:t>
      </w:r>
    </w:p>
    <w:p>
      <w:pPr>
        <w:pStyle w:val="BookText"/>
      </w:pPr>
      <w:r>
        <w:rPr>
          <w:rFonts w:ascii="IRNazanin" w:hAnsi="IRNazanin" w:eastAsia="IRNazanin" w:cs="IRNazanin"/>
          <w:lang w:bidi="fa-IR"/>
          <w:color w:val="111111"/>
          <w:sz w:val="28"/>
          <w:szCs w:val="28"/>
          <w:rtl/>
        </w:rPr>
        <w:t xml:space="preserve">۳۴۲. تهران؛ ملی؛ شماره نسخه: ۳۸۲</w:t>
      </w:r>
    </w:p>
    <w:p>
      <w:pPr>
        <w:pStyle w:val="BookText"/>
      </w:pPr>
      <w:r>
        <w:rPr>
          <w:rFonts w:ascii="IRNazanin" w:hAnsi="IRNazanin" w:eastAsia="IRNazanin" w:cs="IRNazanin"/>
          <w:lang w:bidi="fa-IR"/>
          <w:color w:val="111111"/>
          <w:sz w:val="28"/>
          <w:szCs w:val="28"/>
          <w:rtl/>
        </w:rPr>
        <w:t xml:space="preserve">آغاز: بسمله ،کتاب الجهاد باب من يستحق ان يقسم الغنائم فيهم اخبرنی؛ انجام برابر</w:t>
      </w:r>
    </w:p>
    <w:p>
      <w:pPr>
        <w:pStyle w:val="BookText"/>
      </w:pPr>
      <w:r>
        <w:rPr>
          <w:rFonts w:ascii="IRNazanin" w:hAnsi="IRNazanin" w:eastAsia="IRNazanin" w:cs="IRNazanin"/>
          <w:lang w:bidi="fa-IR"/>
          <w:color w:val="111111"/>
          <w:sz w:val="28"/>
          <w:szCs w:val="28"/>
          <w:rtl/>
        </w:rPr>
        <w:t xml:space="preserve">جلد سوم  از جهاد تا دیات با ذکر اسانید و مشایخ؛ خط: نسخ، محمد قاسم بن ميرزا علی براری، تا: ۱۰۹۲ق؛ کاغذ: دولت آبادی ،جلد: تیماج مشکی  مقوایی، ۲۳۳گ، ۲۱ سطر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۲۴/۵سم [ف: ۷ - ۳۳۰]</w:t>
      </w:r>
    </w:p>
    <w:p>
      <w:pPr>
        <w:pStyle w:val="BookText"/>
      </w:pPr>
      <w:r>
        <w:rPr>
          <w:rFonts w:ascii="IRNazanin" w:hAnsi="IRNazanin" w:eastAsia="IRNazanin" w:cs="IRNazanin"/>
          <w:lang w:bidi="fa-IR"/>
          <w:color w:val="111111"/>
          <w:sz w:val="28"/>
          <w:szCs w:val="28"/>
          <w:rtl/>
        </w:rPr>
        <w:t xml:space="preserve">۳۴۳. تهران؛ دانشگاه؛ شماره نسخه: ۶۷۹۳</w:t>
      </w:r>
    </w:p>
    <w:p>
      <w:pPr>
        <w:pStyle w:val="BookText"/>
      </w:pPr>
      <w:r>
        <w:rPr>
          <w:rFonts w:ascii="IRNazanin" w:hAnsi="IRNazanin" w:eastAsia="IRNazanin" w:cs="IRNazanin"/>
          <w:lang w:bidi="fa-IR"/>
          <w:color w:val="111111"/>
          <w:sz w:val="28"/>
          <w:szCs w:val="28"/>
          <w:rtl/>
        </w:rPr>
        <w:t xml:space="preserve">دیون تا آخر؛ خط: نسخ، کا: محمد شريف بن نورالدین محمد ،تا: ذیحجه ۱۰۹۲ق؛ وقف ۱۰۹۳؛ مهر : «المتوكل على الله المجید المجيب ابن قوام الدين محمد حبيب ۱۰۸۲»؛ کاغذ: سپاهانی ،جلد: تیماج مشکی ،مقوایی ،۱۸۶گ، ۲۵ سطر (9</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 قـطع:</w:t>
      </w:r>
    </w:p>
    <w:p>
      <w:pPr>
        <w:pStyle w:val="BookText"/>
      </w:pPr>
      <w:r>
        <w:rPr>
          <w:rFonts w:ascii="IRNazanin" w:hAnsi="IRNazanin" w:eastAsia="IRNazanin" w:cs="IRNazanin"/>
          <w:lang w:bidi="fa-IR"/>
          <w:color w:val="111111"/>
          <w:sz w:val="28"/>
          <w:szCs w:val="28"/>
          <w:rtl/>
        </w:rPr>
        <w:t xml:space="preserve">وزیری،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۲۴سم [ف: ۱۶ - ۳۶۱]</w:t>
      </w:r>
    </w:p>
    <w:p>
      <w:pPr>
        <w:pStyle w:val="BookText"/>
      </w:pPr>
      <w:r>
        <w:rPr>
          <w:rFonts w:ascii="IRNazanin" w:hAnsi="IRNazanin" w:eastAsia="IRNazanin" w:cs="IRNazanin"/>
          <w:lang w:bidi="fa-IR"/>
          <w:color w:val="111111"/>
          <w:sz w:val="28"/>
          <w:szCs w:val="28"/>
          <w:rtl/>
        </w:rPr>
        <w:t xml:space="preserve">۳۴۴. بابل؛ خاتم الانبیاء؛ شماره نسخه: ۲۹۹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ثلث، کا: محمد حسن بن استاد علی مازندرانی، تا:21 شعبان ۱۰۹۲ق؛ افتادگی: آغاز؛ جلد: تیماج قهوه ای پشت  جلد اسلیمی، ۲۳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۳۰سم [ف :۲۱۳]</w:t>
      </w:r>
    </w:p>
    <w:p>
      <w:pPr>
        <w:pStyle w:val="BookText"/>
      </w:pPr>
      <w:r>
        <w:rPr>
          <w:rFonts w:ascii="IRNazanin" w:hAnsi="IRNazanin" w:eastAsia="IRNazanin" w:cs="IRNazanin"/>
          <w:lang w:bidi="fa-IR"/>
          <w:color w:val="111111"/>
          <w:sz w:val="28"/>
          <w:szCs w:val="28"/>
          <w:rtl/>
        </w:rPr>
        <w:t xml:space="preserve">۳۴۵. تهران؛ مجلس؛ شماره نسخه: ۱۱۴۷۷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محمد طاهر بن عبدالجبار، تا: یک شنبه ۳ رمضـان ۱۰۹۳ق ،محشی ،مجدول دارای نشان بلاغ سماعی ؛جلد: تیماج قهوه ای، با ترنج ۲۷۰گ، ۳۰ سطر، اندازه: ۲۰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۳۰سم [ ف :2/ 33- 143]</w:t>
      </w:r>
    </w:p>
    <w:p>
      <w:pPr>
        <w:pStyle w:val="BookText"/>
      </w:pPr>
      <w:r>
        <w:rPr>
          <w:rFonts w:ascii="IRNazanin" w:hAnsi="IRNazanin" w:eastAsia="IRNazanin" w:cs="IRNazanin"/>
          <w:lang w:bidi="fa-IR"/>
          <w:color w:val="111111"/>
          <w:sz w:val="28"/>
          <w:szCs w:val="28"/>
          <w:rtl/>
        </w:rPr>
        <w:t xml:space="preserve">۳۴۶. مشهد؛ شیخ علی حیدر؛ شماره نسخه: ۲۴۰</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عماد الدين بن ابو على السكدوانی، تا: ۱۰۹۳ ق؛ ،مصحح ،محشی، دارای بلاغ ؛جلد: چرم زرد مایل به قرمز، ۳۷۵گ ۲۵  سطر، اندازه: ۱۹</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۳۰/۵سم [مؤيد: ۱ - ۲۲۰]</w:t>
      </w:r>
    </w:p>
    <w:p>
      <w:pPr>
        <w:pStyle w:val="BookText"/>
      </w:pPr>
      <w:r>
        <w:rPr>
          <w:rFonts w:ascii="IRNazanin" w:hAnsi="IRNazanin" w:eastAsia="IRNazanin" w:cs="IRNazanin"/>
          <w:lang w:bidi="fa-IR"/>
          <w:color w:val="111111"/>
          <w:sz w:val="28"/>
          <w:szCs w:val="28"/>
          <w:rtl/>
        </w:rPr>
        <w:t xml:space="preserve">۳۴۷. قزوین؛ میر حسینا قزوینی؛ شماره نسخه: ۸۵</w:t>
      </w:r>
    </w:p>
    <w:p>
      <w:pPr>
        <w:pStyle w:val="BookText"/>
      </w:pPr>
      <w:r>
        <w:rPr>
          <w:rFonts w:ascii="IRNazanin" w:hAnsi="IRNazanin" w:eastAsia="IRNazanin" w:cs="IRNazanin"/>
          <w:lang w:bidi="fa-IR"/>
          <w:color w:val="111111"/>
          <w:sz w:val="28"/>
          <w:szCs w:val="28"/>
          <w:rtl/>
        </w:rPr>
        <w:t xml:space="preserve">نیمه دوم؛ خط: نسخ، بی کا، تا: ۱۰۹۴ق؛ مقابله شده با نسخه شنیده شده از شیخ محمد و مقابله کرده محمد امین کاظمی و پدر مقابله کننده حسین بن محمد ابراهیم حسینی در ۱۱۵۷ با اجازه شیخ محمد بن حسن بن شهید ثانی به مولانا محمد تقی دارنده نسخه ۱۰۲۵ [ نشریه: ۶ - ۳۳۷]</w:t>
      </w:r>
    </w:p>
    <w:p>
      <w:pPr>
        <w:pStyle w:val="BookText"/>
      </w:pPr>
      <w:r>
        <w:rPr>
          <w:rFonts w:ascii="IRNazanin" w:hAnsi="IRNazanin" w:eastAsia="IRNazanin" w:cs="IRNazanin"/>
          <w:lang w:bidi="fa-IR"/>
          <w:color w:val="111111"/>
          <w:sz w:val="28"/>
          <w:szCs w:val="28"/>
          <w:rtl/>
        </w:rPr>
        <w:t xml:space="preserve">۳۴۸. مشهد؛ رضوی؛ شماره نسخه: ۱۶۹۲۷</w:t>
      </w:r>
    </w:p>
    <w:p>
      <w:pPr>
        <w:pStyle w:val="BookText"/>
      </w:pPr>
      <w:r>
        <w:rPr>
          <w:rFonts w:ascii="Amiri" w:hAnsi="Amiri" w:eastAsia="Amiri" w:cs="Amiri"/>
          <w:lang w:bidi="ar-SA"/>
          <w:color w:val="111111"/>
          <w:sz w:val="28"/>
          <w:szCs w:val="28"/>
          <w:rtl/>
        </w:rPr>
        <w:t xml:space="preserve">آغاز: بسمله كتاب الزكاة باب ما يجب فيه الزكاة؛ انجام: برابر</w:t>
      </w:r>
    </w:p>
    <w:p>
      <w:pPr>
        <w:pStyle w:val="BookText"/>
      </w:pPr>
      <w:r>
        <w:rPr>
          <w:rFonts w:ascii="IRNazanin" w:hAnsi="IRNazanin" w:eastAsia="IRNazanin" w:cs="IRNazanin"/>
          <w:lang w:bidi="fa-IR"/>
          <w:color w:val="111111"/>
          <w:sz w:val="28"/>
          <w:szCs w:val="28"/>
          <w:rtl/>
        </w:rPr>
        <w:t xml:space="preserve">جلد ۲-۳؛ خط: نسخ، کا: تا: اول نکاح به خط محمد هادی بن محمدرضا (تا اول نكاح) و ميرمحمد يوسف (ما بقى)، تا: شوال ۱۰۹۴ق (تا اول نکاح) و ۱۰۹۸ق (ما بقى)؛ محشى غالباً با نشان «س م د» واگذاری دانشگاه رضوی؛ کاغذ: حنایی و نخودی،</w:t>
      </w:r>
    </w:p>
    <w:p>
      <w:pPr>
        <w:pStyle w:val="BookText"/>
      </w:pPr>
      <w:r>
        <w:rPr>
          <w:rFonts w:ascii="IRNazanin" w:hAnsi="IRNazanin" w:eastAsia="IRNazanin" w:cs="IRNazanin"/>
          <w:lang w:bidi="fa-IR"/>
          <w:color w:val="111111"/>
          <w:sz w:val="28"/>
          <w:szCs w:val="28"/>
          <w:rtl/>
        </w:rPr>
        <w:t xml:space="preserve">جلد: تیماج مشکی، ۳۱۸گ، ۲۳-  24 سطر، اندازه:۱۸/۷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۲۵/۴سم [ف: ۱۴ – ۶۶]</w:t>
      </w:r>
    </w:p>
    <w:p>
      <w:pPr>
        <w:pStyle w:val="BookText"/>
      </w:pPr>
      <w:r>
        <w:rPr>
          <w:rFonts w:ascii="IRNazanin" w:hAnsi="IRNazanin" w:eastAsia="IRNazanin" w:cs="IRNazanin"/>
          <w:lang w:bidi="fa-IR"/>
          <w:color w:val="111111"/>
          <w:sz w:val="28"/>
          <w:szCs w:val="28"/>
          <w:rtl/>
        </w:rPr>
        <w:t xml:space="preserve">۳۴۹ . مشهد؛ رضوی؛ شماره نسخه: ۲۶۸۷۸</w:t>
      </w:r>
    </w:p>
    <w:p>
      <w:pPr>
        <w:pStyle w:val="BookText"/>
      </w:pPr>
      <w:r>
        <w:rPr>
          <w:rFonts w:ascii="Amiri" w:hAnsi="Amiri" w:eastAsia="Amiri" w:cs="Amiri"/>
          <w:lang w:bidi="ar-SA"/>
          <w:color w:val="111111"/>
          <w:sz w:val="28"/>
          <w:szCs w:val="28"/>
          <w:rtl/>
        </w:rPr>
        <w:t xml:space="preserve">آغاز: الصلاة اذا كان تركه معتمدا و ليس في الخبر انه اذالم يذكره ناسيا او معتمدا؛ انجام: برابر</w:t>
      </w:r>
    </w:p>
    <w:p>
      <w:pPr>
        <w:pStyle w:val="BookText"/>
      </w:pPr>
      <w:r>
        <w:rPr>
          <w:rFonts w:ascii="IRNazanin" w:hAnsi="IRNazanin" w:eastAsia="IRNazanin" w:cs="IRNazanin"/>
          <w:lang w:bidi="fa-IR"/>
          <w:color w:val="111111"/>
          <w:sz w:val="28"/>
          <w:szCs w:val="28"/>
          <w:rtl/>
        </w:rPr>
        <w:t xml:space="preserve">از کتاب صلات تا پایان کتاب ؛خط: نسخ، کا: معزالدین بن عبدالباقی  قائنی، تا:۸ رمضان ۱۰۹۵ق؛ افتادگی:آغاز و وسط؛ مصحح، مقابله شده، محشی با رموز «س م د ره»، «ع اه ره»، «م ق ر دام ظله» و منقولاتی از کتب معتبر دیگر، دارای بلاغ و انهاء از حاج محمود  مهدی، در رجب ۱۰۹۶؛ کاغذ: نخودی آهار مهره، جلد: تیماج عنابی ضربی با ترنج و سرترنج، ۲۹۱گ، ۲۰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۲۵/۵سم [ف: ۲۶ - ۸۱]</w:t>
      </w:r>
    </w:p>
    <w:p>
      <w:pPr>
        <w:pStyle w:val="BookText"/>
      </w:pPr>
      <w:r>
        <w:rPr>
          <w:rFonts w:ascii="IRNazanin" w:hAnsi="IRNazanin" w:eastAsia="IRNazanin" w:cs="IRNazanin"/>
          <w:lang w:bidi="fa-IR"/>
          <w:color w:val="111111"/>
          <w:sz w:val="28"/>
          <w:szCs w:val="28"/>
          <w:rtl/>
        </w:rPr>
        <w:t xml:space="preserve">۳۵۰. قم؛ مرعشی؛ شماره نسخه: ۵۸۸</w:t>
      </w:r>
    </w:p>
    <w:p>
      <w:pPr>
        <w:pStyle w:val="BookText"/>
      </w:pPr>
      <w:r>
        <w:rPr>
          <w:rFonts w:ascii="IRNazanin" w:hAnsi="IRNazanin" w:eastAsia="IRNazanin" w:cs="IRNazanin"/>
          <w:lang w:bidi="fa-IR"/>
          <w:color w:val="111111"/>
          <w:sz w:val="28"/>
          <w:szCs w:val="28"/>
          <w:rtl/>
        </w:rPr>
        <w:t xml:space="preserve">خط: نسخ  زیبا، کا: محمد بديع بن حیدر علی، تا: ۲۳ شوال ۱۰۹۵ق؛ مصحح، محشی، دارای بلاغ، مجدول؛ روی برگ اول وقف نامه کتاب به تاریخ جمادی الثانی ۱۲۵۲، پس از کتاب صورت اجازه مفصلی است در نه صفحه که ملا محمد تقی مجلسی به جهت فرزندش ملا محمد باقر مجلسی نوشته و کاتب آن را از روی خط مجلسی استنساخ نموده؛ کاغذ: ترمه، جلد: تیماج ،مشکی، ۴۲۹گ،۲۶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۲۴سم [ف: ۲ - ۱۸۱]</w:t>
      </w:r>
    </w:p>
    <w:p>
      <w:pPr>
        <w:pStyle w:val="BookText"/>
      </w:pPr>
      <w:r>
        <w:rPr>
          <w:rFonts w:ascii="IRNazanin" w:hAnsi="IRNazanin" w:eastAsia="IRNazanin" w:cs="IRNazanin"/>
          <w:lang w:bidi="fa-IR"/>
          <w:color w:val="111111"/>
          <w:sz w:val="28"/>
          <w:szCs w:val="28"/>
          <w:rtl/>
        </w:rPr>
        <w:t xml:space="preserve">۳۵۱. قم؛ دار الحدیث؛ شماره نسخه: ۲۳</w:t>
      </w:r>
    </w:p>
    <w:p>
      <w:pPr>
        <w:pStyle w:val="BookText"/>
      </w:pPr>
      <w:r>
        <w:rPr>
          <w:rFonts w:ascii="Amiri" w:hAnsi="Amiri" w:eastAsia="Amiri" w:cs="Amiri"/>
          <w:lang w:bidi="ar-SA"/>
          <w:color w:val="111111"/>
          <w:sz w:val="28"/>
          <w:szCs w:val="28"/>
          <w:rtl/>
        </w:rPr>
        <w:t xml:space="preserve">آغاز: برابر؛ انجام: و ان كان قد خص في هذين الخبرين و كذلك في مسجد الكوفة لأن احدهما فرق بين الموضعين تم  الجزء الثانى</w:t>
      </w:r>
    </w:p>
    <w:p>
      <w:pPr>
        <w:pStyle w:val="BookText"/>
      </w:pPr>
      <w:r>
        <w:rPr>
          <w:rFonts w:ascii="IRNazanin" w:hAnsi="IRNazanin" w:eastAsia="IRNazanin" w:cs="IRNazanin"/>
          <w:lang w:bidi="fa-IR"/>
          <w:color w:val="111111"/>
          <w:sz w:val="28"/>
          <w:szCs w:val="28"/>
          <w:rtl/>
        </w:rPr>
        <w:t xml:space="preserve">کتاب های طهارت ،صلاة، زكاة، صيام و حج؛ خط: نسخ، کا: حسن بن سليمان بن حسین بن محمد بن احمد بن حسن بن  سلیمان، تا: ۱۰۹۵ق؛ مصحح، دارای علامات متعدد بلاغ؛ جلد:  مقوای لایی با عطف و گوشه تیماج قهوه ای، ۱۸۴گ، ۲۱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۲۴سم [ف: ۲۵]</w:t>
      </w:r>
    </w:p>
    <w:p>
      <w:pPr>
        <w:pStyle w:val="BookText"/>
      </w:pPr>
      <w:r>
        <w:rPr>
          <w:rFonts w:ascii="IRNazanin" w:hAnsi="IRNazanin" w:eastAsia="IRNazanin" w:cs="IRNazanin"/>
          <w:lang w:bidi="fa-IR"/>
          <w:color w:val="111111"/>
          <w:sz w:val="28"/>
          <w:szCs w:val="28"/>
          <w:rtl/>
        </w:rPr>
        <w:t xml:space="preserve">۳۵۲. مشهد؛ مدرسه باقریه؛ شماره نسخه: ۱۲</w:t>
      </w:r>
    </w:p>
    <w:p>
      <w:pPr>
        <w:pStyle w:val="BookText"/>
      </w:pPr>
      <w:r>
        <w:rPr>
          <w:rFonts w:ascii="IRNazanin" w:hAnsi="IRNazanin" w:eastAsia="IRNazanin" w:cs="IRNazanin"/>
          <w:lang w:bidi="fa-IR"/>
          <w:color w:val="111111"/>
          <w:sz w:val="28"/>
          <w:szCs w:val="28"/>
          <w:rtl/>
        </w:rPr>
        <w:t xml:space="preserve">خط: نسخ، بی کا، تا: ۱۰۹۵ق؛ کاغذ: اصفهانی، ۲۱ سطر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۵۲سم [ تراثنا س ۶ش ۱ - ۷۱]</w:t>
      </w:r>
    </w:p>
    <w:p>
      <w:pPr>
        <w:pStyle w:val="BookText"/>
      </w:pPr>
      <w:r>
        <w:rPr>
          <w:rFonts w:ascii="IRNazanin" w:hAnsi="IRNazanin" w:eastAsia="IRNazanin" w:cs="IRNazanin"/>
          <w:lang w:bidi="fa-IR"/>
          <w:color w:val="111111"/>
          <w:sz w:val="28"/>
          <w:szCs w:val="28"/>
          <w:rtl/>
        </w:rPr>
        <w:t xml:space="preserve">۳۵۳. قم؛ مرکز احیاء؛ شماره نسخه: ۳۵۷۶</w:t>
      </w:r>
    </w:p>
    <w:p>
      <w:pPr>
        <w:pStyle w:val="BookText"/>
      </w:pPr>
      <w:r>
        <w:rPr>
          <w:rFonts w:ascii="IRNazanin" w:hAnsi="IRNazanin" w:eastAsia="IRNazanin" w:cs="IRNazanin"/>
          <w:lang w:bidi="fa-IR"/>
          <w:color w:val="111111"/>
          <w:sz w:val="28"/>
          <w:szCs w:val="28"/>
          <w:rtl/>
        </w:rPr>
        <w:t xml:space="preserve">خط: نسخ، کا: محمد شفیع بن یار علی مؤیدی سبزواری سربدار،  تا: ۱۰ ربیع الاول ۱۰۹۴ (پایان جزء اول) و جمعه ۱۳ ربيع الثانى 1095  (پایان کتاب) جا: مرو شاهجهان؛ مصحح، محشی، در برگ اول یادداشتی آمده که به تاریخ ۱۲ شوال ۱۰۹۲ در اصفهان شروع استکتاب و مقابله کتاب  نموده، در برگ اول و آخر متفرقاتی احادیث؛ جلد: تیماج دو رو، رو قرمز ضربی پشت سبز، ۳۱۹ گ،۲۵ سطر، اندازه: ۱۸/۵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۳۰سم [محدث ارموی مخ: ۱ - ۱۲۱]</w:t>
      </w:r>
    </w:p>
    <w:p>
      <w:pPr>
        <w:pStyle w:val="BookText"/>
      </w:pPr>
      <w:r>
        <w:rPr>
          <w:rFonts w:ascii="IRNazanin" w:hAnsi="IRNazanin" w:eastAsia="IRNazanin" w:cs="IRNazanin"/>
          <w:lang w:bidi="fa-IR"/>
          <w:color w:val="111111"/>
          <w:sz w:val="28"/>
          <w:szCs w:val="28"/>
          <w:rtl/>
        </w:rPr>
        <w:t xml:space="preserve">۳۵۴. تهران؛ عبد العظیم؛ شماره نسخه: ۸۵</w:t>
      </w:r>
    </w:p>
    <w:p>
      <w:pPr>
        <w:pStyle w:val="BookText"/>
      </w:pPr>
      <w:r>
        <w:rPr>
          <w:rFonts w:ascii="Amiri" w:hAnsi="Amiri" w:eastAsia="Amiri" w:cs="Amiri"/>
          <w:lang w:bidi="ar-SA"/>
          <w:color w:val="111111"/>
          <w:sz w:val="28"/>
          <w:szCs w:val="28"/>
          <w:rtl/>
        </w:rPr>
        <w:t xml:space="preserve">آغاز: برابر؛ انجام نسخه: أو يباع عليه ما يقضى دينه على ماتقـدم القول فيه، تم الجزء الثاني من الاستبصار... و يتلوه فى الجزء الثالث المكاسب.</w:t>
      </w:r>
    </w:p>
    <w:p>
      <w:pPr>
        <w:pStyle w:val="BookText"/>
      </w:pPr>
      <w:r>
        <w:rPr>
          <w:rFonts w:ascii="IRNazanin" w:hAnsi="IRNazanin" w:eastAsia="IRNazanin" w:cs="IRNazanin"/>
          <w:lang w:bidi="fa-IR"/>
          <w:color w:val="111111"/>
          <w:sz w:val="28"/>
          <w:szCs w:val="28"/>
          <w:rtl/>
        </w:rPr>
        <w:t xml:space="preserve">جلد اول و دوم؛ خط: نسخ، کا: محمد اشرف، تا: شنبه ۱۱ جمادی الثانی ۱۰۹۵ق؛ افتادگی: انجام؛ مصحح، در اول نسخه فایده ای در بیان اقسام هفت گانه شیعه به نقل از «ع ل» و نیز فایده ای در رجال سند به نقل از «زبدة الاصول» شیخ بهایی، نیز وقف نامه کتاب های شیخ عبدالحسين بن احمد بحرانی از جمله این نسـخه بر علمای شیعه در ۱۱۸۰ با مهر بیضوی، سپس یادداشت حاج علی اکبر که نسخه به دستش رسیده و او نسخه را بر طلاب مدرسه اكبريه ابرقو وقف نموده به تاریخ جمادى الثانى ۱۲۲۷؛ واقـف: آیت الله مرعشی نجفی ۱۳۳۹/۸/۲۵؛ جلد: تیماج قهوه ای مجدول با ترنج و سرترنج،۲۳۱گ، ۱۹ سطر، اندازه: ۱۹/۵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۲۴/۵سم [ف: 1- 43]</w:t>
      </w:r>
    </w:p>
    <w:p>
      <w:pPr>
        <w:pStyle w:val="BookText"/>
      </w:pPr>
      <w:r>
        <w:rPr>
          <w:rFonts w:ascii="IRNazanin" w:hAnsi="IRNazanin" w:eastAsia="IRNazanin" w:cs="IRNazanin"/>
          <w:lang w:bidi="fa-IR"/>
          <w:color w:val="111111"/>
          <w:sz w:val="28"/>
          <w:szCs w:val="28"/>
          <w:rtl/>
        </w:rPr>
        <w:t xml:space="preserve">۳۵۵ .تهران؛ عبد العظیم؛ شماره نسخه: ۵۷۵</w:t>
      </w:r>
    </w:p>
    <w:p>
      <w:pPr>
        <w:pStyle w:val="BookText"/>
      </w:pPr>
      <w:r>
        <w:rPr>
          <w:rFonts w:ascii="IRNazanin" w:hAnsi="IRNazanin" w:eastAsia="IRNazanin" w:cs="IRNazanin"/>
          <w:lang w:bidi="fa-IR"/>
          <w:color w:val="111111"/>
          <w:sz w:val="28"/>
          <w:szCs w:val="28"/>
          <w:rtl/>
        </w:rPr>
        <w:t xml:space="preserve">آغاز: و ان عنده هذه الأحاديث وقال هي عندنا مستفيضة عن أبی جعفر ،انجام: ابن ابي يعفور هو عبد الله بن ابی یعفور، تمت.</w:t>
      </w:r>
    </w:p>
    <w:p>
      <w:pPr>
        <w:pStyle w:val="BookText"/>
      </w:pPr>
      <w:r>
        <w:rPr>
          <w:rFonts w:ascii="IRNazanin" w:hAnsi="IRNazanin" w:eastAsia="IRNazanin" w:cs="IRNazanin"/>
          <w:lang w:bidi="fa-IR"/>
          <w:color w:val="111111"/>
          <w:sz w:val="28"/>
          <w:szCs w:val="28"/>
          <w:rtl/>
        </w:rPr>
        <w:t xml:space="preserve">خط: نسخ و نستعلیق، کا: محمد کاظم بن محمد اشرف ورامينی، تا: یک شنبه ۳ شعبان ۱۰۹۵ق؛ افتادگی: آغاز و وسط؛ از اواسط كتاب الحج تا آخر ،مشیخه، مصحح، محشی، با امضای «شیخ حسن» و «م د ر ه»، در آخر نسخه چند صفحه از یک کتاب فقـهی وفوایدی در علم درایه از جمله به نقل از شیخ بهایی؛ جلد: تیماج مشکی  لولادار، ۴۷۲گ، ۱۵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۲۴/۵سم [ف: ۱  - 44]</w:t>
      </w:r>
    </w:p>
    <w:p>
      <w:pPr>
        <w:pStyle w:val="BookText"/>
      </w:pPr>
      <w:r>
        <w:rPr>
          <w:rFonts w:ascii="IRNazanin" w:hAnsi="IRNazanin" w:eastAsia="IRNazanin" w:cs="IRNazanin"/>
          <w:lang w:bidi="fa-IR"/>
          <w:color w:val="111111"/>
          <w:sz w:val="28"/>
          <w:szCs w:val="28"/>
          <w:rtl/>
        </w:rPr>
        <w:t xml:space="preserve">۳۵۶. قم؛ مرعشی؛ شماره نسخه: ۷۰۴۹</w:t>
      </w:r>
    </w:p>
    <w:p>
      <w:pPr>
        <w:pStyle w:val="BookText"/>
      </w:pPr>
      <w:r>
        <w:rPr>
          <w:rFonts w:ascii="IRNazanin" w:hAnsi="IRNazanin" w:eastAsia="IRNazanin" w:cs="IRNazanin"/>
          <w:lang w:bidi="fa-IR"/>
          <w:color w:val="111111"/>
          <w:sz w:val="28"/>
          <w:szCs w:val="28"/>
          <w:rtl/>
        </w:rPr>
        <w:t xml:space="preserve">خط: نسخ، بی کا، تا: ۱۰۹۶ق ،مصحح، محشی، در صفحه آخر زين العابدين بن محمد تقى الحسينى الاصفهانی می نویسد که نسخه را با نسخه ملا محمد باقر مجلسی و پدرش ملا محمد تـقی مجلسی مقابله و تصحیح کرده و حواشی آنها را در این نسخه نقل نموده و این کار به تاریخ محرم ۱۱۳۲ در اصفهان انجام شـده؛ تملک: علی بن محمد و موسی بن جعفر به تاریخ ۱۲۷۷، سید محمد بن میر مهدی چهار سوقی اصفهانی به تاریخ ۱۹ ربیع الاول ۱۲۷۶ با مهر «محمد الحسینی» (بیضی) مهر: «يا اجود من جواد» (مربع)، «افوض امرى الى الله عبده محمد جعفر» (مربع)؛ جلد:تیماج قهوه ای،۳۵۳گ، ۲۴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۳۱/۵سم [ف: ۱۸ - ۲۲۰]</w:t>
      </w:r>
    </w:p>
    <w:p>
      <w:pPr>
        <w:pStyle w:val="BookText"/>
      </w:pPr>
      <w:r>
        <w:rPr>
          <w:rFonts w:ascii="IRNazanin" w:hAnsi="IRNazanin" w:eastAsia="IRNazanin" w:cs="IRNazanin"/>
          <w:lang w:bidi="fa-IR"/>
          <w:color w:val="111111"/>
          <w:sz w:val="28"/>
          <w:szCs w:val="28"/>
          <w:rtl/>
        </w:rPr>
        <w:t xml:space="preserve">۳۵۷. تهران؛ ملک؛ شماره نسخه: ۲۷۵۴</w:t>
      </w:r>
    </w:p>
    <w:p>
      <w:pPr>
        <w:pStyle w:val="BookText"/>
      </w:pPr>
      <w:r>
        <w:rPr>
          <w:rFonts w:ascii="IRNazanin" w:hAnsi="IRNazanin" w:eastAsia="IRNazanin" w:cs="IRNazanin"/>
          <w:lang w:bidi="fa-IR"/>
          <w:color w:val="111111"/>
          <w:sz w:val="28"/>
          <w:szCs w:val="28"/>
          <w:rtl/>
        </w:rPr>
        <w:t xml:space="preserve">از باب الكلب والخنزیر تا باب دية الجنين؛ خط: نستعليق، كا: محمد عزيز بن محمد  قاسم، تا: ۳ ربیع الثانی ۱۰۹۷ق؛ با اجازه معين الدين محمد کاظم خراسانی در شوال ۱۱۰۳ به محمد طاهر تویسرکانی؛ کاغذ: فستقی ،جلد: میشن ،سبز، ۲۵۴گ، ۲۱ سطر،  اندازه: ۲۱/۸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۳۲سم [ف: ۱ - ۳۰]</w:t>
      </w:r>
    </w:p>
    <w:p>
      <w:pPr>
        <w:pStyle w:val="BookText"/>
      </w:pPr>
      <w:r>
        <w:rPr>
          <w:rFonts w:ascii="IRNazanin" w:hAnsi="IRNazanin" w:eastAsia="IRNazanin" w:cs="IRNazanin"/>
          <w:lang w:bidi="fa-IR"/>
          <w:color w:val="111111"/>
          <w:sz w:val="28"/>
          <w:szCs w:val="28"/>
          <w:rtl/>
        </w:rPr>
        <w:t xml:space="preserve">۳۵۸. تهران؛ سپهسالار؛ شماره نسخه: ۱۹۰۱</w:t>
      </w:r>
    </w:p>
    <w:p>
      <w:pPr>
        <w:pStyle w:val="BookText"/>
      </w:pPr>
      <w:r>
        <w:rPr>
          <w:rFonts w:ascii="IRNazanin" w:hAnsi="IRNazanin" w:eastAsia="IRNazanin" w:cs="IRNazanin"/>
          <w:lang w:bidi="fa-IR"/>
          <w:color w:val="111111"/>
          <w:sz w:val="28"/>
          <w:szCs w:val="28"/>
          <w:rtl/>
        </w:rPr>
        <w:t xml:space="preserve">آغاز: برابر؛ انجام: عن ابيه علی بن حسین بن بابویه</w:t>
      </w:r>
    </w:p>
    <w:p>
      <w:pPr>
        <w:pStyle w:val="BookText"/>
      </w:pPr>
      <w:r>
        <w:rPr>
          <w:rFonts w:ascii="IRNazanin" w:hAnsi="IRNazanin" w:eastAsia="IRNazanin" w:cs="IRNazanin"/>
          <w:lang w:bidi="fa-IR"/>
          <w:color w:val="111111"/>
          <w:sz w:val="28"/>
          <w:szCs w:val="28"/>
          <w:rtl/>
        </w:rPr>
        <w:t xml:space="preserve">کامل؛ خط: نسخ خوب، کا: ابوثابت بن توفیق تنکابنی، تا: ۱۰۹۷ق؛ مصحح مقابله شده، محشی، چندین سطر از اواخراسانید نوشته نشده؛ واقف: سپهسالار؛ کاغذ: اصفهانی، جلد: چرمی، ۳۵۱ ص، ۲۳  سطر، قطع: رحلی،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۲۴/۵سم [ف: ١ - ٢٠٣ ]</w:t>
      </w:r>
    </w:p>
    <w:p>
      <w:pPr>
        <w:pStyle w:val="BookText"/>
      </w:pPr>
      <w:r>
        <w:rPr>
          <w:rFonts w:ascii="IRNazanin" w:hAnsi="IRNazanin" w:eastAsia="IRNazanin" w:cs="IRNazanin"/>
          <w:lang w:bidi="fa-IR"/>
          <w:color w:val="111111"/>
          <w:sz w:val="28"/>
          <w:szCs w:val="28"/>
          <w:rtl/>
        </w:rPr>
        <w:t xml:space="preserve">۳۵۹. قم؛ مرکز احیاء؛ شماره نسخه: ۴۰۴۷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محمد قلی بن ملاحيدر شبستری، تا: شنبه ۱۵ شوال ۱۰۹۷ق؛ مصحح، محشى، بعضاً با عناوین «علی اکبر» و به خط وی، در برگ اول وقف نامه کتاب به سال ۱۳۰۵ با مهر «حسن ظنی بالله» (مربع) جلد: پارچه ای خاکستری، عطف تیماج مشکی، ۴۶۴گ، ۲۳ سطر، اندازه: ۲۰/۵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۲۹/۵سم [محدث ارموی مخ: ۱ - ۱۲۲]</w:t>
      </w:r>
    </w:p>
    <w:p>
      <w:pPr>
        <w:pStyle w:val="BookText"/>
      </w:pPr>
      <w:r>
        <w:rPr>
          <w:rFonts w:ascii="IRNazanin" w:hAnsi="IRNazanin" w:eastAsia="IRNazanin" w:cs="IRNazanin"/>
          <w:lang w:bidi="fa-IR"/>
          <w:color w:val="111111"/>
          <w:sz w:val="28"/>
          <w:szCs w:val="28"/>
          <w:rtl/>
        </w:rPr>
        <w:t xml:space="preserve">۳۶۰ .تهران؛ مجلس؛ شماره نسخه: ۴۴۸۴</w:t>
      </w:r>
    </w:p>
    <w:p>
      <w:pPr>
        <w:pStyle w:val="BookText"/>
      </w:pPr>
      <w:r>
        <w:rPr>
          <w:rFonts w:ascii="IRNazanin" w:hAnsi="IRNazanin" w:eastAsia="IRNazanin" w:cs="IRNazanin"/>
          <w:lang w:bidi="fa-IR"/>
          <w:color w:val="111111"/>
          <w:sz w:val="28"/>
          <w:szCs w:val="28"/>
          <w:rtl/>
        </w:rPr>
        <w:t xml:space="preserve">خط: نسخ، بی کا، تا: ۱۰۹۸ق، محشی، اجازه محمد باقر مجلسی به مولانا عبدالله در شعبان ۱۰۹۷؛ مهر: محمد ربیع، کاغذ: سپاهانی، جلد: تیماج سرخ ضربی  طلاکوب، ۵۰۳گ، ۲۵ سطر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 اندازه: ۱۶/۵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۳۱سم [ف : ۱۲ - ۱۶۳]</w:t>
      </w:r>
    </w:p>
    <w:p>
      <w:pPr>
        <w:pStyle w:val="BookText"/>
      </w:pPr>
      <w:r>
        <w:rPr>
          <w:rFonts w:ascii="IRNazanin" w:hAnsi="IRNazanin" w:eastAsia="IRNazanin" w:cs="IRNazanin"/>
          <w:lang w:bidi="fa-IR"/>
          <w:color w:val="111111"/>
          <w:sz w:val="28"/>
          <w:szCs w:val="28"/>
          <w:rtl/>
        </w:rPr>
        <w:t xml:space="preserve">۳۶۱. مشهد؛ مدرسه باقریه؛ شماره نسخه: ۱۱</w:t>
      </w:r>
    </w:p>
    <w:p>
      <w:pPr>
        <w:pStyle w:val="BookText"/>
      </w:pPr>
      <w:r>
        <w:rPr>
          <w:rFonts w:ascii="IRNazanin" w:hAnsi="IRNazanin" w:eastAsia="IRNazanin" w:cs="IRNazanin"/>
          <w:lang w:bidi="fa-IR"/>
          <w:color w:val="111111"/>
          <w:sz w:val="28"/>
          <w:szCs w:val="28"/>
          <w:rtl/>
        </w:rPr>
        <w:t xml:space="preserve">از الزكاة تا آخر الديات؛ خط: نستعلیق، کا: میر محمد یوسف، تا: ۱۰۹۸ق؛ کاغذ: ترمه، ۲۴ سطر، قطع: وزیری،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w:t>
      </w:r>
    </w:p>
    <w:p>
      <w:pPr>
        <w:pStyle w:val="BookText"/>
      </w:pPr>
      <w:r>
        <w:rPr>
          <w:rFonts w:ascii="IRNazanin" w:hAnsi="IRNazanin" w:eastAsia="IRNazanin" w:cs="IRNazanin"/>
          <w:lang w:bidi="fa-IR"/>
          <w:color w:val="111111"/>
          <w:sz w:val="28"/>
          <w:szCs w:val="28"/>
          <w:rtl/>
        </w:rPr>
        <w:t xml:space="preserve">[تراثنا: س ۶ش ۱ - ۷۱]</w:t>
      </w:r>
    </w:p>
    <w:p>
      <w:pPr>
        <w:pStyle w:val="BookText"/>
      </w:pPr>
      <w:r>
        <w:rPr>
          <w:rFonts w:ascii="IRNazanin" w:hAnsi="IRNazanin" w:eastAsia="IRNazanin" w:cs="IRNazanin"/>
          <w:lang w:bidi="fa-IR"/>
          <w:color w:val="111111"/>
          <w:sz w:val="28"/>
          <w:szCs w:val="28"/>
          <w:rtl/>
        </w:rPr>
        <w:t xml:space="preserve">۳۶۲. مشهد؛ رضوی؛ شماره نسخه: ۱۵۶۹</w:t>
      </w:r>
    </w:p>
    <w:p>
      <w:pPr>
        <w:pStyle w:val="BookText"/>
      </w:pPr>
      <w:r>
        <w:rPr>
          <w:rFonts w:ascii="Amiri" w:hAnsi="Amiri" w:eastAsia="Amiri" w:cs="Amiri"/>
          <w:lang w:bidi="ar-SA"/>
          <w:color w:val="111111"/>
          <w:sz w:val="28"/>
          <w:szCs w:val="28"/>
          <w:rtl/>
        </w:rPr>
        <w:t xml:space="preserve">آغاز: برابر؛ انجام: عن احمد بن عبدون عنه قال مصنف هذا  الكتاب ... غفر الله له ولوالديه آمين</w:t>
      </w:r>
    </w:p>
    <w:p>
      <w:pPr>
        <w:pStyle w:val="BookText"/>
      </w:pPr>
      <w:r>
        <w:rPr>
          <w:rFonts w:ascii="IRNazanin" w:hAnsi="IRNazanin" w:eastAsia="IRNazanin" w:cs="IRNazanin"/>
          <w:lang w:bidi="fa-IR"/>
          <w:color w:val="111111"/>
          <w:sz w:val="28"/>
          <w:szCs w:val="28"/>
          <w:rtl/>
        </w:rPr>
        <w:t xml:space="preserve">خط: نسخ، کا: لطف الله، تا: ۱۰۹۸ق [الفبائی: ۴۳]</w:t>
      </w:r>
    </w:p>
    <w:p>
      <w:pPr>
        <w:pStyle w:val="BookText"/>
      </w:pPr>
      <w:r>
        <w:rPr>
          <w:rFonts w:ascii="IRNazanin" w:hAnsi="IRNazanin" w:eastAsia="IRNazanin" w:cs="IRNazanin"/>
          <w:lang w:bidi="fa-IR"/>
          <w:color w:val="111111"/>
          <w:sz w:val="28"/>
          <w:szCs w:val="28"/>
          <w:rtl/>
        </w:rPr>
        <w:t xml:space="preserve">۳۶۳. قم؛ مرعشی؛ شماره نسخه: ۹۱۳۰</w:t>
      </w:r>
    </w:p>
    <w:p>
      <w:pPr>
        <w:pStyle w:val="BookText"/>
      </w:pPr>
      <w:r>
        <w:rPr>
          <w:rFonts w:ascii="IRNazanin" w:hAnsi="IRNazanin" w:eastAsia="IRNazanin" w:cs="IRNazanin"/>
          <w:lang w:bidi="fa-IR"/>
          <w:color w:val="111111"/>
          <w:sz w:val="28"/>
          <w:szCs w:val="28"/>
          <w:rtl/>
        </w:rPr>
        <w:t xml:space="preserve">از کتاب النذر تا مشیخه؛ خط: نسخ، کا: محمد صالح بن محمد حسین  هزار جریبی، تا: غره ربیع الثانی ۱۰۹۹ق؛ مصحح، محشی؛ در صفحه آخر محمد رضا بن عبدالمحمد بن رحیم حیدری طبری داریانی سند خود را تا شیخ طوسی به تاریخ ۱۳۴۰ نوشته؛ جلد: تيماج قرمز عطف و حاشیه ها تیماج قهوه ای، ۲۰۵گ، ۲۱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۲۴/۵سم [ف : ۲۳ - ۲۶۶]</w:t>
      </w:r>
    </w:p>
    <w:p>
      <w:pPr>
        <w:pStyle w:val="BookText"/>
      </w:pPr>
      <w:r>
        <w:rPr>
          <w:rFonts w:ascii="IRNazanin" w:hAnsi="IRNazanin" w:eastAsia="IRNazanin" w:cs="IRNazanin"/>
          <w:lang w:bidi="fa-IR"/>
          <w:color w:val="111111"/>
          <w:sz w:val="28"/>
          <w:szCs w:val="28"/>
          <w:rtl/>
        </w:rPr>
        <w:t xml:space="preserve">۳۶۴ .تهران؛ الهیات؛ شماره نسخه: ۲۲۶</w:t>
      </w:r>
    </w:p>
    <w:p>
      <w:pPr>
        <w:pStyle w:val="BookText"/>
      </w:pPr>
      <w:r>
        <w:rPr>
          <w:rFonts w:ascii="IRNazanin" w:hAnsi="IRNazanin" w:eastAsia="IRNazanin" w:cs="IRNazanin"/>
          <w:lang w:bidi="fa-IR"/>
          <w:color w:val="111111"/>
          <w:sz w:val="28"/>
          <w:szCs w:val="28"/>
          <w:rtl/>
        </w:rPr>
        <w:t xml:space="preserve">طهارت تا دیات؛ خط: نسخ ،کا: محمد علی بن ملا علیشاه، تا: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سه شنبه ۱۲ جمادی الاول ۱۰۹۹ق؛ تملک: فاضل تونی؛ کاغذ: فرنگی ،جلد: تیماج قهوه ای ضربی ،مقوایی ۲۲۹گ ۳۰ سـطر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۲۹/۵سم [ف: ۴۵۴]</w:t>
      </w:r>
    </w:p>
    <w:p>
      <w:pPr>
        <w:pStyle w:val="BookText"/>
      </w:pPr>
      <w:r>
        <w:rPr>
          <w:rFonts w:ascii="IRNazanin" w:hAnsi="IRNazanin" w:eastAsia="IRNazanin" w:cs="IRNazanin"/>
          <w:lang w:bidi="fa-IR"/>
          <w:color w:val="111111"/>
          <w:sz w:val="28"/>
          <w:szCs w:val="28"/>
          <w:rtl/>
        </w:rPr>
        <w:t xml:space="preserve">۳۶۵. قائن؛ مدرسه جعفریه؛ شماره نسخه: ۲۰</w:t>
      </w:r>
    </w:p>
    <w:p>
      <w:pPr>
        <w:pStyle w:val="BookText"/>
      </w:pPr>
      <w:r>
        <w:rPr>
          <w:rFonts w:ascii="Amiri" w:hAnsi="Amiri" w:eastAsia="Amiri" w:cs="Amiri"/>
          <w:lang w:bidi="ar-SA"/>
          <w:color w:val="111111"/>
          <w:sz w:val="28"/>
          <w:szCs w:val="28"/>
          <w:rtl/>
        </w:rPr>
        <w:t xml:space="preserve">آغاز: و أنا مبين ذلك على غاية الاختصار إذ شرح ذلك ليس موضعه و هو مذكور فى الكتب المصنفه؛ انجام: فى اربعة شهـدؤا على امرأة بالزنا احدهم زوجها قال يلا عن ويجلدون الإخر و الـخبر الاول</w:t>
      </w:r>
    </w:p>
    <w:p>
      <w:pPr>
        <w:pStyle w:val="BookText"/>
      </w:pPr>
      <w:r>
        <w:rPr>
          <w:rFonts w:ascii="IRNazanin" w:hAnsi="IRNazanin" w:eastAsia="IRNazanin" w:cs="IRNazanin"/>
          <w:lang w:bidi="fa-IR"/>
          <w:color w:val="111111"/>
          <w:sz w:val="28"/>
          <w:szCs w:val="28"/>
          <w:rtl/>
        </w:rPr>
        <w:t xml:space="preserve">از اوایل کتاب تا اواخر کتاب الشهادات باب اذا شهد اربعة علی امرأة بالزنا أحدهم زوجها؛ خط: نسخ، بی کا،تا: قرن ۱۱ یا 12؛ افتادگی: آغاز و انجام؛ مصحح ؛ از موقوفات «سید معصوم حسـینی قهستانی » 26ربیع الاول ۱۳۴۷؛ جلد: تیماج قهوه ای، ۲۳۸گ  ، ۲۵ سطر، اندازه: ۲۰</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۳۳سم [ کتابخانه های قائن - ف - ۲۰]</w:t>
      </w:r>
    </w:p>
    <w:p>
      <w:pPr>
        <w:pStyle w:val="BookText"/>
      </w:pPr>
      <w:r>
        <w:rPr>
          <w:rFonts w:ascii="IRNazanin" w:hAnsi="IRNazanin" w:eastAsia="IRNazanin" w:cs="IRNazanin"/>
          <w:lang w:bidi="fa-IR"/>
          <w:color w:val="111111"/>
          <w:sz w:val="28"/>
          <w:szCs w:val="28"/>
          <w:rtl/>
        </w:rPr>
        <w:t xml:space="preserve">۳۶۶. مشهد؛ میبدی؛ شماره نسخه: ۱۳۵</w:t>
      </w:r>
    </w:p>
    <w:p>
      <w:pPr>
        <w:pStyle w:val="BookText"/>
      </w:pPr>
      <w:r>
        <w:rPr>
          <w:rFonts w:ascii="IRNazanin" w:hAnsi="IRNazanin" w:eastAsia="IRNazanin" w:cs="IRNazanin"/>
          <w:lang w:bidi="fa-IR"/>
          <w:color w:val="111111"/>
          <w:sz w:val="28"/>
          <w:szCs w:val="28"/>
          <w:rtl/>
        </w:rPr>
        <w:t xml:space="preserve">كتاب طهارت تا صلاة اموات؛ خط: نسخ، بی کا، تا: قرن ، محشی، روی برگ اول یادداشت احمد فرهومند به تاریخ مصحح، سوم جمادى الثانى ۱۳۶۲؛ تملک: عبدالرضا بن علی رضا با مهر «لا اله الا الله الملك الحق المبين عبد الرضا» (مربع)؛ جلد: دو رو تيماج رو قرمز اندرون ،مشکی، ۳۹۸گ، ۲۱-۲۳ سطر، اندازه: ۱۸/۵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۳۱سم [ف: ۱ - ۱۱۶]</w:t>
      </w:r>
    </w:p>
    <w:p>
      <w:pPr>
        <w:pStyle w:val="BookText"/>
      </w:pPr>
      <w:r>
        <w:rPr>
          <w:rFonts w:ascii="IRNazanin" w:hAnsi="IRNazanin" w:eastAsia="IRNazanin" w:cs="IRNazanin"/>
          <w:lang w:bidi="fa-IR"/>
          <w:color w:val="111111"/>
          <w:sz w:val="28"/>
          <w:szCs w:val="28"/>
          <w:rtl/>
        </w:rPr>
        <w:t xml:space="preserve">۳۶۷. قم؛ مرکز احیاء؛ شماره نسخه: ۳۰۷۹</w:t>
      </w:r>
    </w:p>
    <w:p>
      <w:pPr>
        <w:pStyle w:val="BookText"/>
      </w:pPr>
      <w:r>
        <w:rPr>
          <w:rFonts w:ascii="IRNazanin" w:hAnsi="IRNazanin" w:eastAsia="IRNazanin" w:cs="IRNazanin"/>
          <w:lang w:bidi="fa-IR"/>
          <w:color w:val="111111"/>
          <w:sz w:val="28"/>
          <w:szCs w:val="28"/>
          <w:rtl/>
        </w:rPr>
        <w:t xml:space="preserve">آغاز: ينزح ماء البئر كلها اذا وقع فيها شيئ منه على ما تضمن الخبران؛ انجام: امیرالمؤمنين عليه السلام قال اذا كان مع الرجل افراس في الفر و لم يسهم الا</w:t>
      </w:r>
    </w:p>
    <w:p>
      <w:pPr>
        <w:pStyle w:val="BookText"/>
      </w:pPr>
      <w:r>
        <w:rPr>
          <w:rFonts w:ascii="IRNazanin" w:hAnsi="IRNazanin" w:eastAsia="IRNazanin" w:cs="IRNazanin"/>
          <w:lang w:bidi="fa-IR"/>
          <w:color w:val="111111"/>
          <w:sz w:val="28"/>
          <w:szCs w:val="28"/>
          <w:rtl/>
        </w:rPr>
        <w:t xml:space="preserve">خط: نسخ، کا: ابراهیم بن عبد الله حلی، تا: قرن ۱۲؛ افتادگی: آغاز و انجام؛ مصحح، محشی؛ تملک: «احمد بن مرتضی حسیـنی تبریزی میلانی»؛ جلد: تیماج دورو رو قهوه ای پشت قهوه ای، ۲۵۶گ، ۲۲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۲۴/۵سم [محدث ارموی مخ: 1- 122]</w:t>
      </w:r>
    </w:p>
    <w:p>
      <w:pPr>
        <w:pStyle w:val="BookText"/>
      </w:pPr>
      <w:r>
        <w:rPr>
          <w:rFonts w:ascii="IRNazanin" w:hAnsi="IRNazanin" w:eastAsia="IRNazanin" w:cs="IRNazanin"/>
          <w:lang w:bidi="fa-IR"/>
          <w:color w:val="111111"/>
          <w:sz w:val="28"/>
          <w:szCs w:val="28"/>
          <w:rtl/>
        </w:rPr>
        <w:t xml:space="preserve">۳۶۸. قم؛ گلپایگانی؛ شماره نسخه: ۵۹۸۶-۳۰/۵۶</w:t>
      </w:r>
    </w:p>
    <w:p>
      <w:pPr>
        <w:pStyle w:val="BookText"/>
      </w:pPr>
      <w:r>
        <w:rPr>
          <w:rFonts w:ascii="IRNazanin" w:hAnsi="IRNazanin" w:eastAsia="IRNazanin" w:cs="IRNazanin"/>
          <w:lang w:bidi="fa-IR"/>
          <w:color w:val="111111"/>
          <w:sz w:val="28"/>
          <w:szCs w:val="28"/>
          <w:rtl/>
        </w:rPr>
        <w:t xml:space="preserve">آغاز: قال اذا اجتمعت سنة و فريضة بدلى ... باب الاغسال المسنونات اخبرنى الشيخ رحمة الله عن احمد بن محمدعن ابیه عن سعد بن عبدالله عن احمد بن محمد بن عیسی ؛انجام: بـاب الحد فى اللواط سهل بن زياد عن بكر بن صالح عن محمد سنان ... فيما رواه عنه عن سليمان بن هلال من قوله ان كان دون الايقات فعليه الحد.</w:t>
      </w:r>
    </w:p>
    <w:p>
      <w:pPr>
        <w:pStyle w:val="BookText"/>
      </w:pPr>
      <w:r>
        <w:rPr>
          <w:rFonts w:ascii="IRNazanin" w:hAnsi="IRNazanin" w:eastAsia="IRNazanin" w:cs="IRNazanin"/>
          <w:lang w:bidi="fa-IR"/>
          <w:color w:val="111111"/>
          <w:sz w:val="28"/>
          <w:szCs w:val="28"/>
          <w:rtl/>
        </w:rPr>
        <w:t xml:space="preserve">از ابواب الجنابة تا كتاب الحدود (باب الحد فى اللواط)؛ خـط: نسخ، بی کا، تا: قرن ۱۱ یا ۱۲؛ افتادگی: آغاز و انجام؛ مصحح، جلد: مقوا باروکش کاغذی، عطف و گوشه گالینگور قهوه ای، ۳۵۶گ، ۲۰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۲۶سم [ف: ۱ - ۳۳۱]</w:t>
      </w:r>
    </w:p>
    <w:p>
      <w:pPr>
        <w:pStyle w:val="BookText"/>
      </w:pPr>
      <w:r>
        <w:rPr>
          <w:rFonts w:ascii="IRNazanin" w:hAnsi="IRNazanin" w:eastAsia="IRNazanin" w:cs="IRNazanin"/>
          <w:lang w:bidi="fa-IR"/>
          <w:color w:val="111111"/>
          <w:sz w:val="28"/>
          <w:szCs w:val="28"/>
          <w:rtl/>
        </w:rPr>
        <w:t xml:space="preserve">۳۶۹. تهران؛ عبدالعظیم؛ شماره نسخه:۲۹۷</w:t>
      </w:r>
    </w:p>
    <w:p>
      <w:pPr>
        <w:pStyle w:val="BookText"/>
      </w:pPr>
      <w:r>
        <w:rPr>
          <w:rFonts w:ascii="IRNazanin" w:hAnsi="IRNazanin" w:eastAsia="IRNazanin" w:cs="IRNazanin"/>
          <w:lang w:bidi="fa-IR"/>
          <w:color w:val="111111"/>
          <w:sz w:val="28"/>
          <w:szCs w:val="28"/>
          <w:rtl/>
        </w:rPr>
        <w:t xml:space="preserve">آغاز: برابر؛ انجام : ابواب شرب الخمر باب من شرب الـنبیذ المسكر ... باب حد المملوك في شرب المسكر ... اذا ظهر و الـک</w:t>
      </w:r>
    </w:p>
    <w:p>
      <w:pPr>
        <w:pStyle w:val="BookText"/>
      </w:pPr>
      <w:r>
        <w:rPr>
          <w:rFonts w:ascii="Amiri" w:hAnsi="Amiri" w:eastAsia="Amiri" w:cs="Amiri"/>
          <w:lang w:bidi="ar-SA"/>
          <w:color w:val="111111"/>
          <w:sz w:val="28"/>
          <w:szCs w:val="28"/>
          <w:rtl/>
        </w:rPr>
        <w:t xml:space="preserve">ذلك فى مصر من  الأمصار.</w:t>
      </w:r>
    </w:p>
    <w:p>
      <w:pPr>
        <w:pStyle w:val="BookText"/>
      </w:pPr>
      <w:r>
        <w:rPr>
          <w:rFonts w:ascii="IRNazanin" w:hAnsi="IRNazanin" w:eastAsia="IRNazanin" w:cs="IRNazanin"/>
          <w:lang w:bidi="fa-IR"/>
          <w:color w:val="111111"/>
          <w:sz w:val="28"/>
          <w:szCs w:val="28"/>
          <w:rtl/>
        </w:rPr>
        <w:t xml:space="preserve">از آغاز کتاب تا ابواب شرب الخمر؛ خط: نسخ، بی کا، تا: قرن ۱۲؛ افتادگی: انجام؛ مصحح، محشی به امضای: «م د» و «ق» و (ص)»؛ واقف آیت الله مرعشی نجفی؛ جلد: مقوا با روکش پارچه ای کرم  رنگ، ۲۴۷گ، ۲۵  سطر، اندازه: ۲۰/۵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۲۹سم [ف:  1- 44]</w:t>
      </w:r>
    </w:p>
    <w:p>
      <w:pPr>
        <w:pStyle w:val="BookText"/>
      </w:pPr>
      <w:r>
        <w:rPr>
          <w:rFonts w:ascii="IRNazanin" w:hAnsi="IRNazanin" w:eastAsia="IRNazanin" w:cs="IRNazanin"/>
          <w:lang w:bidi="fa-IR"/>
          <w:color w:val="111111"/>
          <w:sz w:val="28"/>
          <w:szCs w:val="28"/>
          <w:rtl/>
        </w:rPr>
        <w:t xml:space="preserve">۳۷۰. تهران؛ عبدالعظیم؛ شماره نسخه:۶</w:t>
      </w:r>
    </w:p>
    <w:p>
      <w:pPr>
        <w:pStyle w:val="BookText"/>
      </w:pPr>
      <w:r>
        <w:rPr>
          <w:rFonts w:ascii="IRNazanin" w:hAnsi="IRNazanin" w:eastAsia="IRNazanin" w:cs="IRNazanin"/>
          <w:lang w:bidi="fa-IR"/>
          <w:color w:val="111111"/>
          <w:sz w:val="28"/>
          <w:szCs w:val="28"/>
          <w:rtl/>
        </w:rPr>
        <w:t xml:space="preserve">آغاز: برابر؛ انجام: ابن ابي يعفور هو عبد الله بن ابی  یعفور، تمت.</w:t>
      </w:r>
    </w:p>
    <w:p>
      <w:pPr>
        <w:pStyle w:val="BookText"/>
      </w:pPr>
      <w:r>
        <w:rPr>
          <w:rFonts w:ascii="IRNazanin" w:hAnsi="IRNazanin" w:eastAsia="IRNazanin" w:cs="IRNazanin"/>
          <w:lang w:bidi="fa-IR"/>
          <w:color w:val="111111"/>
          <w:sz w:val="28"/>
          <w:szCs w:val="28"/>
          <w:rtl/>
        </w:rPr>
        <w:t xml:space="preserve">کامل با مشیخه؛ خط: نسخ، بی کا، تا: قرن ۱۲؛ افتادگی: انجام  (صفحه آخر مشیخه)؛ مصحح، مجدول، با سرلوح مزدوج مذهب، دارای علامت بلاغ؛ تملک: محمد باقر بن محمد علی حسینی با مهر مربع، محمد بن على بن حيدر بن حسن بن حيدر؛ واقف: احمد طاهری، ۱۳۵۱/۵/۱۳؛ جلد: تیماج مصنوعی مشکی با ترنج و سر ترنج،۴۲۵گ، ۲۳  سطر، اندازه: ۱۸/۵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۳۰/۵ [ف: ۱ - ۴۵]</w:t>
      </w:r>
    </w:p>
    <w:p>
      <w:pPr>
        <w:pStyle w:val="BookText"/>
      </w:pPr>
      <w:r>
        <w:rPr>
          <w:rFonts w:ascii="IRNazanin" w:hAnsi="IRNazanin" w:eastAsia="IRNazanin" w:cs="IRNazanin"/>
          <w:lang w:bidi="fa-IR"/>
          <w:color w:val="111111"/>
          <w:sz w:val="28"/>
          <w:szCs w:val="28"/>
          <w:rtl/>
        </w:rPr>
        <w:t xml:space="preserve">۳۷۱. تهران؛ عبد العظیم؛ شماره نسخه: ۷۱۹</w:t>
      </w:r>
    </w:p>
    <w:p>
      <w:pPr>
        <w:pStyle w:val="BookText"/>
      </w:pPr>
      <w:r>
        <w:rPr>
          <w:rFonts w:ascii="IRNazanin" w:hAnsi="IRNazanin" w:eastAsia="IRNazanin" w:cs="IRNazanin"/>
          <w:lang w:bidi="fa-IR"/>
          <w:color w:val="111111"/>
          <w:sz w:val="28"/>
          <w:szCs w:val="28"/>
          <w:rtl/>
        </w:rPr>
        <w:t xml:space="preserve">آغاز: عن عمار عن أبي عبد الله عليه السلام ان أبا جعفر عليه السلام ... [باب] ما ليس له نفس سائلة يقع فى الماء فيموت فيه؛ انجام: [باب] من تصدق على ولده الصغار ثم أراد ان يدخل معهم غيرهم  محرم  عليه محظور و لاینافی ذلک</w:t>
      </w:r>
    </w:p>
    <w:p>
      <w:pPr>
        <w:pStyle w:val="BookText"/>
      </w:pPr>
      <w:r>
        <w:rPr>
          <w:rFonts w:ascii="IRNazanin" w:hAnsi="IRNazanin" w:eastAsia="IRNazanin" w:cs="IRNazanin"/>
          <w:lang w:bidi="fa-IR"/>
          <w:color w:val="111111"/>
          <w:sz w:val="28"/>
          <w:szCs w:val="28"/>
          <w:rtl/>
        </w:rPr>
        <w:t xml:space="preserve">خط: نسخ، بی کا، تا: قرن ۱۲؛ افتادگی: آغاز و انجام؛ جلد: تیماج  مشکی، ۳۱۶گ، ۲۷ سطر، اندازه: ۱۷/۵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۲۷سم [ف: ۱- ۴۵]</w:t>
      </w:r>
    </w:p>
    <w:p>
      <w:pPr>
        <w:pStyle w:val="BookText"/>
      </w:pPr>
      <w:r>
        <w:rPr>
          <w:rFonts w:ascii="IRNazanin" w:hAnsi="IRNazanin" w:eastAsia="IRNazanin" w:cs="IRNazanin"/>
          <w:lang w:bidi="fa-IR"/>
          <w:color w:val="111111"/>
          <w:sz w:val="28"/>
          <w:szCs w:val="28"/>
          <w:rtl/>
        </w:rPr>
        <w:t xml:space="preserve">۳۷۲. یزد؛ سریزدی؛ شماره نسخه: ۲۶۲</w:t>
      </w:r>
    </w:p>
    <w:p>
      <w:pPr>
        <w:pStyle w:val="BookText"/>
      </w:pPr>
      <w:r>
        <w:rPr>
          <w:rFonts w:ascii="IRNazanin" w:hAnsi="IRNazanin" w:eastAsia="IRNazanin" w:cs="IRNazanin"/>
          <w:lang w:bidi="fa-IR"/>
          <w:color w:val="111111"/>
          <w:sz w:val="28"/>
          <w:szCs w:val="28"/>
          <w:rtl/>
        </w:rPr>
        <w:t xml:space="preserve">انجام: علی بن ابراهيم عن ابيه عن ابن ابى عمير عن حماد عن الحلبي عن ابی عبدالله عليه السلام قال سألته عن رجل لقيه العدوفأصابوا منه مالاً</w:t>
      </w:r>
    </w:p>
    <w:p>
      <w:pPr>
        <w:pStyle w:val="BookText"/>
      </w:pPr>
      <w:r>
        <w:rPr>
          <w:rFonts w:ascii="IRNazanin" w:hAnsi="IRNazanin" w:eastAsia="IRNazanin" w:cs="IRNazanin"/>
          <w:lang w:bidi="fa-IR"/>
          <w:color w:val="111111"/>
          <w:sz w:val="28"/>
          <w:szCs w:val="28"/>
          <w:rtl/>
        </w:rPr>
        <w:t xml:space="preserve">از آغاز كتاب الطهارة تا اواخر كتاب الجهاد؛ خط: نسخ، بی کا، تا: قرن ۱۲؛ افتادگی: انجام؛ مصحح، محشی؛ روی برگ اول وقفنامه کتاب با مهر «عبده على اكبر الحسینی» (بیضی)؛ جلد: تیماج دو رو، مشکی اندرون قهوه ای، ۲۲۴گ، ۱۹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۱ - ۲۰۹]</w:t>
      </w:r>
    </w:p>
    <w:p>
      <w:pPr>
        <w:pStyle w:val="BookText"/>
      </w:pPr>
      <w:r>
        <w:rPr>
          <w:rFonts w:ascii="IRNazanin" w:hAnsi="IRNazanin" w:eastAsia="IRNazanin" w:cs="IRNazanin"/>
          <w:lang w:bidi="fa-IR"/>
          <w:color w:val="111111"/>
          <w:sz w:val="28"/>
          <w:szCs w:val="28"/>
          <w:rtl/>
        </w:rPr>
        <w:t xml:space="preserve">۳۷۳. اصفهان؛ مدرسه صدر بازار؛ شماره نسخه: ۴۵۷</w:t>
      </w:r>
    </w:p>
    <w:p>
      <w:pPr>
        <w:pStyle w:val="BookText"/>
      </w:pPr>
      <w:r>
        <w:rPr>
          <w:rFonts w:ascii="IRNazanin" w:hAnsi="IRNazanin" w:eastAsia="IRNazanin" w:cs="IRNazanin"/>
          <w:lang w:bidi="fa-IR"/>
          <w:color w:val="111111"/>
          <w:sz w:val="28"/>
          <w:szCs w:val="28"/>
          <w:rtl/>
        </w:rPr>
        <w:t xml:space="preserve">خط: نسخ، بی  کا، تا: قرن ۱۲؛ روی برگ اول وقفنامه کتاب از  احمد بن علی اکبر تربتی به سال ۱۲۳۴ با مهر «عبده احمد بن علی اکبر» (بیضی) ؛واقف تصریح کرده که نسخه به خط پدرش می باشد؛ جلد: تیماج دورو، رو  قرمز، اندرون ،مشکی، ۲۷۱گ، ۳۰</w:t>
      </w:r>
    </w:p>
    <w:p>
      <w:pPr>
        <w:pStyle w:val="BookText"/>
      </w:pPr>
      <w:r>
        <w:rPr>
          <w:rFonts w:ascii="IRNazanin" w:hAnsi="IRNazanin" w:eastAsia="IRNazanin" w:cs="IRNazanin"/>
          <w:lang w:bidi="fa-IR"/>
          <w:color w:val="111111"/>
          <w:sz w:val="28"/>
          <w:szCs w:val="28"/>
          <w:rtl/>
        </w:rPr>
        <w:t xml:space="preserve">سطر، اندازه: ۱۸/۵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۲۹سم [ف: ۲ - ۳۲۹]</w:t>
      </w:r>
    </w:p>
    <w:p>
      <w:pPr>
        <w:pStyle w:val="BookText"/>
      </w:pPr>
      <w:r>
        <w:rPr>
          <w:rFonts w:ascii="IRNazanin" w:hAnsi="IRNazanin" w:eastAsia="IRNazanin" w:cs="IRNazanin"/>
          <w:lang w:bidi="fa-IR"/>
          <w:color w:val="111111"/>
          <w:sz w:val="28"/>
          <w:szCs w:val="28"/>
          <w:rtl/>
        </w:rPr>
        <w:t xml:space="preserve">۳۷۴. بیدگل؛ مجتهد الزمان بیدگلی؛ شماره نسخه: ۹</w:t>
      </w:r>
    </w:p>
    <w:p>
      <w:pPr>
        <w:pStyle w:val="BookText"/>
      </w:pPr>
      <w:r>
        <w:rPr>
          <w:rFonts w:ascii="IRNazanin" w:hAnsi="IRNazanin" w:eastAsia="IRNazanin" w:cs="IRNazanin"/>
          <w:lang w:bidi="fa-IR"/>
          <w:color w:val="111111"/>
          <w:sz w:val="28"/>
          <w:szCs w:val="28"/>
          <w:rtl/>
        </w:rPr>
        <w:t xml:space="preserve">آغاز: ما يمكنهما ضيق الوقت من تصفح الکتب و تتبع و الآثار</w:t>
      </w:r>
    </w:p>
    <w:p>
      <w:pPr>
        <w:pStyle w:val="BookText"/>
      </w:pPr>
      <w:r>
        <w:rPr>
          <w:rFonts w:ascii="IRNazanin" w:hAnsi="IRNazanin" w:eastAsia="IRNazanin" w:cs="IRNazanin"/>
          <w:lang w:bidi="fa-IR"/>
          <w:color w:val="111111"/>
          <w:sz w:val="28"/>
          <w:szCs w:val="28"/>
          <w:rtl/>
        </w:rPr>
        <w:t xml:space="preserve">جزء اول تا آغاز كتاب الزكاة؛ خط: نسخ، بی کا، تا: ۹ جمادی الثانی ۱۱۰۰ق؛ افتادگی: آغاز و انجام؛ مصحح، محشی، از کتابهای لغت و رمز «س م دره» در پایان نسخه مشیخه استبصار آمده؛ جلد: تیماج مشکی ضربی ترنج و سرترنج دار، ۲۶۸گ، ۱۵  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[مجتهد الزمان بیدگلی - ف: - ۱۹]</w:t>
      </w:r>
    </w:p>
    <w:p>
      <w:pPr>
        <w:pStyle w:val="BookText"/>
      </w:pPr>
      <w:r>
        <w:rPr>
          <w:rFonts w:ascii="IRNazanin" w:hAnsi="IRNazanin" w:eastAsia="IRNazanin" w:cs="IRNazanin"/>
          <w:lang w:bidi="fa-IR"/>
          <w:color w:val="111111"/>
          <w:sz w:val="28"/>
          <w:szCs w:val="28"/>
          <w:rtl/>
        </w:rPr>
        <w:t xml:space="preserve">۳۷۵. تهران؛ مروی؛ شماره نسخه: ۱۷۷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دوره؛ بی کا، تا: قرن ۱۱ و ۱۲؛ : بخشی از آن تحریر علی دامغـانی، در ۱۲۴۴؛ قطع: رحلی [ف: ۶۶]</w:t>
      </w:r>
    </w:p>
    <w:p>
      <w:pPr>
        <w:pStyle w:val="BookText"/>
      </w:pPr>
      <w:r>
        <w:rPr>
          <w:rFonts w:ascii="IRNazanin" w:hAnsi="IRNazanin" w:eastAsia="IRNazanin" w:cs="IRNazanin"/>
          <w:lang w:bidi="fa-IR"/>
          <w:color w:val="111111"/>
          <w:sz w:val="28"/>
          <w:szCs w:val="28"/>
          <w:rtl/>
        </w:rPr>
        <w:t xml:space="preserve">۳۷۶. شاهرود؛ مدرسه اسماعیلیه؛ شماره نسخه:۱۲</w:t>
      </w:r>
    </w:p>
    <w:p>
      <w:pPr>
        <w:pStyle w:val="BookText"/>
      </w:pPr>
      <w:r>
        <w:rPr>
          <w:rFonts w:ascii="IRNazanin" w:hAnsi="IRNazanin" w:eastAsia="IRNazanin" w:cs="IRNazanin"/>
          <w:lang w:bidi="fa-IR"/>
          <w:color w:val="111111"/>
          <w:sz w:val="28"/>
          <w:szCs w:val="28"/>
          <w:rtl/>
        </w:rPr>
        <w:t xml:space="preserve">در آخر قطعه ای از تهذیب تا آخر صلات؛ بی کا، تا: قرن12؛  افتادگی: انجام [ف: ۶]</w:t>
      </w:r>
    </w:p>
    <w:p>
      <w:pPr>
        <w:pStyle w:val="BookText"/>
      </w:pPr>
      <w:r>
        <w:rPr>
          <w:rFonts w:ascii="IRNazanin" w:hAnsi="IRNazanin" w:eastAsia="IRNazanin" w:cs="IRNazanin"/>
          <w:lang w:bidi="fa-IR"/>
          <w:color w:val="111111"/>
          <w:sz w:val="28"/>
          <w:szCs w:val="28"/>
          <w:rtl/>
        </w:rPr>
        <w:t xml:space="preserve">۳۷۷. نجف آباد؛ حججی؛ شماره نسخه: ۵۰</w:t>
      </w:r>
    </w:p>
    <w:p>
      <w:pPr>
        <w:pStyle w:val="BookText"/>
      </w:pPr>
      <w:r>
        <w:rPr>
          <w:rFonts w:ascii="IRNazanin" w:hAnsi="IRNazanin" w:eastAsia="IRNazanin" w:cs="IRNazanin"/>
          <w:lang w:bidi="fa-IR"/>
          <w:color w:val="111111"/>
          <w:sz w:val="28"/>
          <w:szCs w:val="28"/>
          <w:rtl/>
        </w:rPr>
        <w:t xml:space="preserve">آغاز: البينة على الذي عنده الرهن انه بكذا فان لم يكن له بينة فـعلی الذى له الرهن اليمين ؛انجام: نسخه عن محمد بن الحسن الصـفار و سعد بن عبدالله عن الفضل بن غانم و احمد بن محمد عن موسی بن القسم</w:t>
      </w:r>
    </w:p>
    <w:p>
      <w:pPr>
        <w:pStyle w:val="BookText"/>
      </w:pPr>
      <w:r>
        <w:rPr>
          <w:rFonts w:ascii="IRNazanin" w:hAnsi="IRNazanin" w:eastAsia="IRNazanin" w:cs="IRNazanin"/>
          <w:lang w:bidi="fa-IR"/>
          <w:color w:val="111111"/>
          <w:sz w:val="28"/>
          <w:szCs w:val="28"/>
          <w:rtl/>
        </w:rPr>
        <w:t xml:space="preserve">خط: نسخ، بی کا، تا: قرن ۱۲؛ افتادگی: آغاز و انجام؛ محشی؛ جـلد: تیماج  زرد ،۱۵۹گ، ۲۳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۲۵/۵سم [ف: - ۸۵]</w:t>
      </w:r>
    </w:p>
    <w:p>
      <w:pPr>
        <w:pStyle w:val="BookText"/>
      </w:pPr>
      <w:r>
        <w:rPr>
          <w:rFonts w:ascii="IRNazanin" w:hAnsi="IRNazanin" w:eastAsia="IRNazanin" w:cs="IRNazanin"/>
          <w:lang w:bidi="fa-IR"/>
          <w:color w:val="111111"/>
          <w:sz w:val="28"/>
          <w:szCs w:val="28"/>
          <w:rtl/>
        </w:rPr>
        <w:t xml:space="preserve">۳۷۸. تهران؛ مجلس؛ شماره نسخه: ۱۶۳۱۲</w:t>
      </w:r>
    </w:p>
    <w:p>
      <w:pPr>
        <w:pStyle w:val="BookText"/>
      </w:pPr>
      <w:r>
        <w:rPr>
          <w:rFonts w:ascii="IRNazanin" w:hAnsi="IRNazanin" w:eastAsia="IRNazanin" w:cs="IRNazanin"/>
          <w:lang w:bidi="fa-IR"/>
          <w:color w:val="111111"/>
          <w:sz w:val="28"/>
          <w:szCs w:val="28"/>
          <w:rtl/>
        </w:rPr>
        <w:t xml:space="preserve">با حواشی؛ بی کا، تا: قرن ۱۲؛ افتادگی: آغاز و انجام؛ قطع: وزیری[د.ث. مجلس ]</w:t>
      </w:r>
    </w:p>
    <w:p>
      <w:pPr>
        <w:pStyle w:val="BookText"/>
      </w:pPr>
      <w:r>
        <w:rPr>
          <w:rFonts w:ascii="IRNazanin" w:hAnsi="IRNazanin" w:eastAsia="IRNazanin" w:cs="IRNazanin"/>
          <w:lang w:bidi="fa-IR"/>
          <w:color w:val="111111"/>
          <w:sz w:val="28"/>
          <w:szCs w:val="28"/>
          <w:rtl/>
        </w:rPr>
        <w:t xml:space="preserve">۳۷۹. مشهد؛ رضوی؛ شماره نسخه: ۳۷۲۶۲</w:t>
      </w:r>
    </w:p>
    <w:p>
      <w:pPr>
        <w:pStyle w:val="BookText"/>
      </w:pPr>
      <w:r>
        <w:rPr>
          <w:rFonts w:ascii="Amiri" w:hAnsi="Amiri" w:eastAsia="Amiri" w:cs="Amiri"/>
          <w:lang w:bidi="ar-SA"/>
          <w:color w:val="111111"/>
          <w:sz w:val="28"/>
          <w:szCs w:val="28"/>
          <w:rtl/>
        </w:rPr>
        <w:t xml:space="preserve">آغاز: محمد عن ابيه عن الحسين بن الحسن بن ابان. ... قال ابو عبد الله عليه السلام كل شيء يسقط في البئر ليس له دم مثل العقارب؛ انجام: كانت ديته على بيت المال يدل على ذلك ما رواه الحسن.</w:t>
      </w:r>
    </w:p>
    <w:p>
      <w:pPr>
        <w:pStyle w:val="BookText"/>
      </w:pPr>
      <w:r>
        <w:rPr>
          <w:rFonts w:ascii="IRNazanin" w:hAnsi="IRNazanin" w:eastAsia="IRNazanin" w:cs="IRNazanin"/>
          <w:lang w:bidi="fa-IR"/>
          <w:color w:val="111111"/>
          <w:sz w:val="28"/>
          <w:szCs w:val="28"/>
          <w:rtl/>
        </w:rPr>
        <w:t xml:space="preserve">از كتاب الطهارة (باب الماء المستعمل) تا کتاب الديات (باب من قتله الحد)؛ خط: نسخ، جلی؛ بی کا، تا: قرن ۱۲؛ افتادگی: آغازو انجام؛ مصحح،  مقابله  شده، دارای  بلاغ، محشی با رموز و اسامی مختلف از جمله «س م د» شیخ محمد بن شیخ حسن بن شیخ زین الدین شیخ سلیمان مدظله «ع س» و غیره؛ کاغذ: نخودی آهار، مهره، جلد: تیماج ،مشکی، عطف میشن ،مشکی، ۴۳۳گ، ۲۳ سـطر،اندازه: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۲۹سم [اهدائی رهبر: ۲ اخبار ۱ - ۹۳]</w:t>
      </w:r>
    </w:p>
    <w:p>
      <w:pPr>
        <w:pStyle w:val="BookText"/>
      </w:pPr>
      <w:r>
        <w:rPr>
          <w:rFonts w:ascii="IRNazanin" w:hAnsi="IRNazanin" w:eastAsia="IRNazanin" w:cs="IRNazanin"/>
          <w:lang w:bidi="fa-IR"/>
          <w:color w:val="111111"/>
          <w:sz w:val="28"/>
          <w:szCs w:val="28"/>
          <w:rtl/>
        </w:rPr>
        <w:t xml:space="preserve">۳۸۰ . مشهد؛ رضوی؛ شماره نسخه: ۲۹۴۸۷</w:t>
      </w:r>
    </w:p>
    <w:p>
      <w:pPr>
        <w:pStyle w:val="BookText"/>
      </w:pPr>
      <w:r>
        <w:rPr>
          <w:rFonts w:ascii="Amiri" w:hAnsi="Amiri" w:eastAsia="Amiri" w:cs="Amiri"/>
          <w:lang w:bidi="ar-SA"/>
          <w:color w:val="111111"/>
          <w:sz w:val="28"/>
          <w:szCs w:val="28"/>
          <w:rtl/>
        </w:rPr>
        <w:t xml:space="preserve">آغاز: بسمله برابر؛ انجام: لانها موافقه المذاهب كثير من العامة قدتم كتاب البيوع</w:t>
      </w:r>
    </w:p>
    <w:p>
      <w:pPr>
        <w:pStyle w:val="BookText"/>
      </w:pPr>
      <w:r>
        <w:rPr>
          <w:rFonts w:ascii="IRNazanin" w:hAnsi="IRNazanin" w:eastAsia="IRNazanin" w:cs="IRNazanin"/>
          <w:lang w:bidi="fa-IR"/>
          <w:color w:val="111111"/>
          <w:sz w:val="28"/>
          <w:szCs w:val="28"/>
          <w:rtl/>
        </w:rPr>
        <w:t xml:space="preserve">از ابتدای مقدمه تا پایان کتاب مکاسب؛ خط: نسخ و نستعلیق، کا: محمد ولی بن حسین استر آبادی، تا: قرن ۱۲؛ مقدار دوازده برگ توسط محمد ولی بن حسین بن محمد بن تقی استرآبادی یک شنبه ربیع الاول ۱۲۵۷ در شهر زنجان به خط نستعلیق نونویسی شده؛ جلد: تیماج قهوه ای ۲۲۷ گ، ۲۵-۳۱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۳۱/۵سم [ف: ۲۶ - ۸۳]</w:t>
      </w:r>
    </w:p>
    <w:p>
      <w:pPr>
        <w:pStyle w:val="BookText"/>
      </w:pPr>
      <w:r>
        <w:rPr>
          <w:rFonts w:ascii="IRNazanin" w:hAnsi="IRNazanin" w:eastAsia="IRNazanin" w:cs="IRNazanin"/>
          <w:lang w:bidi="fa-IR"/>
          <w:color w:val="111111"/>
          <w:sz w:val="28"/>
          <w:szCs w:val="28"/>
          <w:rtl/>
        </w:rPr>
        <w:t xml:space="preserve">۳۸۱. مشهد؛ رضوی؛ شماره نسخه: ۲۵۲۲۲</w:t>
      </w:r>
    </w:p>
    <w:p>
      <w:pPr>
        <w:pStyle w:val="BookText"/>
      </w:pPr>
      <w:r>
        <w:rPr>
          <w:rFonts w:ascii="IRNazanin" w:hAnsi="IRNazanin" w:eastAsia="IRNazanin" w:cs="IRNazanin"/>
          <w:lang w:bidi="fa-IR"/>
          <w:color w:val="111111"/>
          <w:sz w:val="28"/>
          <w:szCs w:val="28"/>
          <w:rtl/>
        </w:rPr>
        <w:t xml:space="preserve">آغاز: بسمله كتاب الحج باب ماهيه الاستطاعة و انها شرط  فی وجوب الحج؛ انجام: برابر</w:t>
      </w:r>
    </w:p>
    <w:p>
      <w:pPr>
        <w:pStyle w:val="BookText"/>
      </w:pPr>
      <w:r>
        <w:rPr>
          <w:rFonts w:ascii="IRNazanin" w:hAnsi="IRNazanin" w:eastAsia="IRNazanin" w:cs="IRNazanin"/>
          <w:lang w:bidi="fa-IR"/>
          <w:color w:val="111111"/>
          <w:sz w:val="28"/>
          <w:szCs w:val="28"/>
          <w:rtl/>
        </w:rPr>
        <w:t xml:space="preserve">از کتاب حج تا پایان اسانید و دو برگ اول نسخه مربوط به مقدمه و ابتدای کتاب است؛ خط: نسخ، بی کا، تا: قرن ۱۲؛ مصحح ،</w:t>
      </w:r>
    </w:p>
    <w:p>
      <w:pPr>
        <w:pStyle w:val="BookText"/>
      </w:pPr>
      <w:r>
        <w:rPr>
          <w:rFonts w:ascii="IRNazanin" w:hAnsi="IRNazanin" w:eastAsia="IRNazanin" w:cs="IRNazanin"/>
          <w:lang w:bidi="fa-IR"/>
          <w:color w:val="111111"/>
          <w:sz w:val="28"/>
          <w:szCs w:val="28"/>
          <w:rtl/>
        </w:rPr>
        <w:t xml:space="preserve">مقابله شده، دارای  بلاغ، دارای دو سرلوح؛ واقف: استاد  جعفر زاهدی، دی ۱۳۷۷ کاغذ: نخودی آهار مهره، جلد: مقوا عطف</w:t>
      </w:r>
    </w:p>
    <w:p>
      <w:pPr>
        <w:pStyle w:val="BookText"/>
      </w:pPr>
      <w:r>
        <w:rPr>
          <w:rFonts w:ascii="IRNazanin" w:hAnsi="IRNazanin" w:eastAsia="IRNazanin" w:cs="IRNazanin"/>
          <w:lang w:bidi="fa-IR"/>
          <w:color w:val="111111"/>
          <w:sz w:val="28"/>
          <w:szCs w:val="28"/>
          <w:rtl/>
        </w:rPr>
        <w:t xml:space="preserve">تیماج ،عنابی، ۲۶۴گ، ۲۷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۳۱سم [ف: ۲۶ - ۷۷]</w:t>
      </w:r>
    </w:p>
    <w:p>
      <w:pPr>
        <w:pStyle w:val="BookText"/>
      </w:pPr>
      <w:r>
        <w:rPr>
          <w:rFonts w:ascii="IRNazanin" w:hAnsi="IRNazanin" w:eastAsia="IRNazanin" w:cs="IRNazanin"/>
          <w:lang w:bidi="fa-IR"/>
          <w:color w:val="111111"/>
          <w:sz w:val="28"/>
          <w:szCs w:val="28"/>
          <w:rtl/>
        </w:rPr>
        <w:t xml:space="preserve">۳۸۲. مشهد؛ رضوی؛ شماره نسخه: ۱۸۰۶۵</w:t>
      </w:r>
    </w:p>
    <w:p>
      <w:pPr>
        <w:pStyle w:val="BookText"/>
      </w:pPr>
      <w:r>
        <w:rPr>
          <w:rFonts w:ascii="Amiri" w:hAnsi="Amiri" w:eastAsia="Amiri" w:cs="Amiri"/>
          <w:lang w:bidi="ar-SA"/>
          <w:color w:val="111111"/>
          <w:sz w:val="28"/>
          <w:szCs w:val="28"/>
          <w:rtl/>
        </w:rPr>
        <w:t xml:space="preserve">آغاز: برابر؛ انجام: لان ذلك مذهب كثير من العامة و قد روى ذلك عن النبي صلى الله عليه و آله</w:t>
      </w:r>
    </w:p>
    <w:p>
      <w:pPr>
        <w:pStyle w:val="BookText"/>
      </w:pPr>
      <w:r>
        <w:rPr>
          <w:rFonts w:ascii="IRNazanin" w:hAnsi="IRNazanin" w:eastAsia="IRNazanin" w:cs="IRNazanin"/>
          <w:lang w:bidi="fa-IR"/>
          <w:color w:val="111111"/>
          <w:sz w:val="28"/>
          <w:szCs w:val="28"/>
          <w:rtl/>
        </w:rPr>
        <w:t xml:space="preserve">از ابتدای مقدمه تا پایان کتاب دیات ؛خط: نسخ، بی کا، تا: قرن ۱۲، مصحح، مقابله شده؛ تملک: «محمد حسن»، «محمد باقر العلوم»؛ واقف: خانواده محمد تقی ادیب نیشابوری، مهر ۱۳۷۰؛ کاغذ: نخودی آهار مهره، جلد: تیماج قهوه ای ضربی، ۳۷۹گ، ۲۶ سطر، اندازه:۱۹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۳۰/۵سم [ف: ۲۶ – ۷۵]</w:t>
      </w:r>
    </w:p>
    <w:p>
      <w:pPr>
        <w:pStyle w:val="BookText"/>
      </w:pPr>
      <w:r>
        <w:rPr>
          <w:rFonts w:ascii="IRNazanin" w:hAnsi="IRNazanin" w:eastAsia="IRNazanin" w:cs="IRNazanin"/>
          <w:lang w:bidi="fa-IR"/>
          <w:color w:val="111111"/>
          <w:sz w:val="28"/>
          <w:szCs w:val="28"/>
          <w:rtl/>
        </w:rPr>
        <w:t xml:space="preserve">۳۸۳. تهران؛ سپهسالار؛ شماره نسخه: ۷۹۱۵</w:t>
      </w:r>
    </w:p>
    <w:p>
      <w:pPr>
        <w:pStyle w:val="BookText"/>
      </w:pPr>
      <w:r>
        <w:rPr>
          <w:rFonts w:ascii="IRNazanin" w:hAnsi="IRNazanin" w:eastAsia="IRNazanin" w:cs="IRNazanin"/>
          <w:lang w:bidi="fa-IR"/>
          <w:color w:val="111111"/>
          <w:sz w:val="28"/>
          <w:szCs w:val="28"/>
          <w:rtl/>
        </w:rPr>
        <w:t xml:space="preserve">کامل؛ خط: نسخ، بی کا، تا: قرن  ۱۲ ،افتادگی: داشته و در قرن ۱۴ تکمیل  شده، محشی با نشان «ق، رفیعا، ن م ن، ك ، اج، ن ع ، ن</w:t>
      </w:r>
    </w:p>
    <w:p>
      <w:pPr>
        <w:pStyle w:val="BookText"/>
      </w:pPr>
      <w:r>
        <w:rPr>
          <w:rFonts w:ascii="IRNazanin" w:hAnsi="IRNazanin" w:eastAsia="IRNazanin" w:cs="IRNazanin"/>
          <w:lang w:bidi="fa-IR"/>
          <w:color w:val="111111"/>
          <w:sz w:val="28"/>
          <w:szCs w:val="28"/>
          <w:rtl/>
        </w:rPr>
        <w:t xml:space="preserve">ق ق، م ق ر» واقف: شیخ علی  نوری، ۱۳۳۷ق به کتابخانه سپهسالار ؛کاغذ: فرنگی نخودی و سپاهانی سفید، جلد: تیماج حنایی مقوایی، ۴۴۳گ، ۱۹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۲۳/۵سم[ف:۳-۱۱۹]</w:t>
      </w:r>
    </w:p>
    <w:p>
      <w:pPr>
        <w:pStyle w:val="BookText"/>
      </w:pPr>
      <w:r>
        <w:rPr>
          <w:rFonts w:ascii="IRNazanin" w:hAnsi="IRNazanin" w:eastAsia="IRNazanin" w:cs="IRNazanin"/>
          <w:lang w:bidi="fa-IR"/>
          <w:color w:val="111111"/>
          <w:sz w:val="28"/>
          <w:szCs w:val="28"/>
          <w:rtl/>
        </w:rPr>
        <w:t xml:space="preserve">۳۸۴. تهران؛ سپهسالار؛ شماره نسخه ۵۲۸۸</w:t>
      </w:r>
    </w:p>
    <w:p>
      <w:pPr>
        <w:pStyle w:val="BookText"/>
      </w:pPr>
      <w:r>
        <w:rPr>
          <w:rFonts w:ascii="IRNazanin" w:hAnsi="IRNazanin" w:eastAsia="IRNazanin" w:cs="IRNazanin"/>
          <w:lang w:bidi="fa-IR"/>
          <w:color w:val="111111"/>
          <w:sz w:val="28"/>
          <w:szCs w:val="28"/>
          <w:rtl/>
        </w:rPr>
        <w:t xml:space="preserve">جلد ۱و ۲؛ خط: نسخ، بی کا، تا: قرن ۱۲؛ افتادگی: آغاز؛ کاغذ: سپاهانی  نخودی، جلد: تیماج حنایی مقوایی، ۵۱۴گ، ۲۱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۳ - ۱۱۸]</w:t>
      </w:r>
    </w:p>
    <w:p>
      <w:pPr>
        <w:pStyle w:val="BookText"/>
      </w:pPr>
      <w:r>
        <w:rPr>
          <w:rFonts w:ascii="IRNazanin" w:hAnsi="IRNazanin" w:eastAsia="IRNazanin" w:cs="IRNazanin"/>
          <w:lang w:bidi="fa-IR"/>
          <w:color w:val="111111"/>
          <w:sz w:val="28"/>
          <w:szCs w:val="28"/>
          <w:rtl/>
        </w:rPr>
        <w:t xml:space="preserve">۳۸۵. قم؛ گلپایگانی؛ شماره نسخه: ۵۶۹۹-۲۹/۳۹</w:t>
      </w:r>
    </w:p>
    <w:p>
      <w:pPr>
        <w:pStyle w:val="BookText"/>
      </w:pPr>
      <w:r>
        <w:rPr>
          <w:rFonts w:ascii="IRNazanin" w:hAnsi="IRNazanin" w:eastAsia="IRNazanin" w:cs="IRNazanin"/>
          <w:lang w:bidi="fa-IR"/>
          <w:color w:val="111111"/>
          <w:sz w:val="28"/>
          <w:szCs w:val="28"/>
          <w:rtl/>
        </w:rPr>
        <w:t xml:space="preserve">آغاز: الخشاب عن غياب بن كلوب عن اسحاق بن عمار عن جعفر عن ابيه ان عليه السلام كان يجعل للفارس ثلاثة اسهم؛ انجام: باب دية نقصان الحروف من اللسان الحسين بن سعيد عن ابن ابی عمیر حماد عن الحلبي عن ابی عبدالله عليه السلام قال اذا ضرب الرجل على رأسه فتقل لسانه عرض عليه حروف  از کتاب الديون تا نیمه دیات؛ خط: نسخ، بی کا، تا: قرن ۱۲؛ افتادگی: آغاز و انجام :جلد: تیماج قهوه ای ضربی، ترنج باسر عطف و حاشیه گالینگور ،۱۶۶گ، ۲۱ سطر، اندازه: ۲۷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۱ - ۳۳۱]</w:t>
      </w:r>
    </w:p>
    <w:p>
      <w:pPr>
        <w:pStyle w:val="BookText"/>
      </w:pPr>
      <w:r>
        <w:rPr>
          <w:rFonts w:ascii="IRNazanin" w:hAnsi="IRNazanin" w:eastAsia="IRNazanin" w:cs="IRNazanin"/>
          <w:lang w:bidi="fa-IR"/>
          <w:color w:val="111111"/>
          <w:sz w:val="28"/>
          <w:szCs w:val="28"/>
          <w:rtl/>
        </w:rPr>
        <w:t xml:space="preserve">۳۸۶. قم؛ گلپایگانی؛ شماره نسخه:۵۳۳۲-۲۷/۲</w:t>
      </w:r>
    </w:p>
    <w:p>
      <w:pPr>
        <w:pStyle w:val="BookText"/>
      </w:pPr>
      <w:r>
        <w:rPr>
          <w:rFonts w:ascii="Amiri" w:hAnsi="Amiri" w:eastAsia="Amiri" w:cs="Amiri"/>
          <w:lang w:bidi="ar-SA"/>
          <w:color w:val="111111"/>
          <w:sz w:val="28"/>
          <w:szCs w:val="28"/>
          <w:rtl/>
        </w:rPr>
        <w:t xml:space="preserve">آغاز: برابر ؛انجام: يحمل هذه الروايات على ضرب من التقيه لان ذلك مذهب كثير من العامه وقد روى ذلك عن النبي صلى الله عليه و اله تم</w:t>
      </w:r>
    </w:p>
    <w:p>
      <w:pPr>
        <w:pStyle w:val="BookText"/>
      </w:pPr>
      <w:r>
        <w:rPr>
          <w:rFonts w:ascii="IRNazanin" w:hAnsi="IRNazanin" w:eastAsia="IRNazanin" w:cs="IRNazanin"/>
          <w:lang w:bidi="fa-IR"/>
          <w:color w:val="111111"/>
          <w:sz w:val="28"/>
          <w:szCs w:val="28"/>
          <w:rtl/>
        </w:rPr>
        <w:t xml:space="preserve">خط: نسخ، بی کا، تا: قرن ۱۲؛ جلد: تیماج سرخ پشت جلد ،اسلیمی، ۳۱۳گ، ۳۰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۳۲سم [ف: ۱ - ۳۲۸]</w:t>
      </w:r>
    </w:p>
    <w:p>
      <w:pPr>
        <w:pStyle w:val="BookText"/>
      </w:pPr>
      <w:r>
        <w:rPr>
          <w:rFonts w:ascii="IRNazanin" w:hAnsi="IRNazanin" w:eastAsia="IRNazanin" w:cs="IRNazanin"/>
          <w:lang w:bidi="fa-IR"/>
          <w:color w:val="111111"/>
          <w:sz w:val="28"/>
          <w:szCs w:val="28"/>
          <w:rtl/>
        </w:rPr>
        <w:t xml:space="preserve">۳۸۷. قم؛ گلپایگانی؛ شماره نسخه: ۱۳۰۹-۸/۱۹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کامل به همراه مشخیه؛ خط: نسخ، بی کا، تا: قرن ۱۲؛ محشی از «شیخ محمد» و «م ح ق ر ه»، مصحح؛ تملک: لاهیجی در ۱۲۰۳ ؛جلد: تیماج مشکی دورو، ۴۲۹گ، ۲۵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۲۹/۵سم  [ف: ۱ - ۳۲۷]</w:t>
      </w:r>
    </w:p>
    <w:p>
      <w:pPr>
        <w:pStyle w:val="BookText"/>
      </w:pPr>
      <w:r>
        <w:rPr>
          <w:rFonts w:ascii="IRNazanin" w:hAnsi="IRNazanin" w:eastAsia="IRNazanin" w:cs="IRNazanin"/>
          <w:lang w:bidi="fa-IR"/>
          <w:color w:val="111111"/>
          <w:sz w:val="28"/>
          <w:szCs w:val="28"/>
          <w:rtl/>
        </w:rPr>
        <w:t xml:space="preserve">۳۸۸ . قم؛ گلپایگانی؛ شماره نسخه: ۵۳۶-۴/۶</w:t>
      </w:r>
    </w:p>
    <w:p>
      <w:pPr>
        <w:pStyle w:val="BookText"/>
      </w:pPr>
      <w:r>
        <w:rPr>
          <w:rFonts w:ascii="Amiri" w:hAnsi="Amiri" w:eastAsia="Amiri" w:cs="Amiri"/>
          <w:lang w:bidi="ar-SA"/>
          <w:color w:val="111111"/>
          <w:sz w:val="28"/>
          <w:szCs w:val="28"/>
          <w:rtl/>
        </w:rPr>
        <w:t xml:space="preserve">آغاز: فكل هذه القرائن توجب العلم وتخرج الخبر من حيز الإحاد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تدخله فى باب المعلوم و منها أن تكون مطابقة للسنة المقطوع... كتاب الطهارة ابواب المياه واحكامها اخبرني الشيخ محمد محمد بن النعمان؛ انجام: ويمكن ان تحمل هذه الروايات علی ضرب من التقية لان ذلك مذهب كثير من العامة وقد روى ذلـک عن النبي صلى الله عليه وآله.</w:t>
      </w:r>
    </w:p>
    <w:p>
      <w:pPr>
        <w:pStyle w:val="BookText"/>
      </w:pPr>
      <w:r>
        <w:rPr>
          <w:rFonts w:ascii="IRNazanin" w:hAnsi="IRNazanin" w:eastAsia="IRNazanin" w:cs="IRNazanin"/>
          <w:lang w:bidi="fa-IR"/>
          <w:color w:val="111111"/>
          <w:sz w:val="28"/>
          <w:szCs w:val="28"/>
          <w:rtl/>
        </w:rPr>
        <w:t xml:space="preserve">از طهارت تا دیات و مشیخه؛ خط: نسخ، بی کا، تا: قرن 12؛ افتادگی: آغاز و در مشیخه؛ مصحح، محشی با رمز «م ق ر» و «مصطفی» در قسمت  مشیخه، در پایان نسخه ۴ برگ از اویل تفسیر قمی درج شده ،جلد: مقوای قهوه ای داخل جلد و عطف تیماج قهوه ای، ۴۱۲گ،۲۵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۳۱سم [ف: ۱ - 330]</w:t>
      </w:r>
    </w:p>
    <w:p>
      <w:pPr>
        <w:pStyle w:val="BookText"/>
      </w:pPr>
      <w:r>
        <w:rPr>
          <w:rFonts w:ascii="IRNazanin" w:hAnsi="IRNazanin" w:eastAsia="IRNazanin" w:cs="IRNazanin"/>
          <w:lang w:bidi="fa-IR"/>
          <w:color w:val="111111"/>
          <w:sz w:val="28"/>
          <w:szCs w:val="28"/>
          <w:rtl/>
        </w:rPr>
        <w:t xml:space="preserve">389.قم؛ گلپایگانی؛ شماره نسخه: ۸۰۶۳-۵۵/۳۳</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از اول تا «باب انه يستحب اتمام الصلوه فى حرم الكوفة و الحائـر» خط: نسخ، بی کا، تا: قرن ۱۲؛ افتادگی: انجام؛ ۲۶۰گ، ۲۱ سطر،</w:t>
      </w:r>
    </w:p>
    <w:p>
      <w:pPr>
        <w:pStyle w:val="BookText"/>
      </w:pPr>
      <w:r>
        <w:rPr>
          <w:rFonts w:ascii="IRNazanin" w:hAnsi="IRNazanin" w:eastAsia="IRNazanin" w:cs="IRNazanin"/>
          <w:lang w:bidi="fa-IR"/>
          <w:color w:val="111111"/>
          <w:sz w:val="28"/>
          <w:szCs w:val="28"/>
          <w:rtl/>
        </w:rPr>
        <w:t xml:space="preserve">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۲۸سم [ف: ۱ - ۳۲۹]</w:t>
      </w:r>
    </w:p>
    <w:p>
      <w:pPr>
        <w:pStyle w:val="BookText"/>
      </w:pPr>
      <w:r>
        <w:rPr>
          <w:rFonts w:ascii="IRNazanin" w:hAnsi="IRNazanin" w:eastAsia="IRNazanin" w:cs="IRNazanin"/>
          <w:lang w:bidi="fa-IR"/>
          <w:color w:val="111111"/>
          <w:sz w:val="28"/>
          <w:szCs w:val="28"/>
          <w:rtl/>
        </w:rPr>
        <w:t xml:space="preserve">۳۹۰. قم؛ طبسی؛ شماره نسخه: ۱۷۸</w:t>
      </w:r>
    </w:p>
    <w:p>
      <w:pPr>
        <w:pStyle w:val="BookText"/>
      </w:pPr>
      <w:r>
        <w:rPr>
          <w:rFonts w:ascii="IRNazanin" w:hAnsi="IRNazanin" w:eastAsia="IRNazanin" w:cs="IRNazanin"/>
          <w:lang w:bidi="fa-IR"/>
          <w:color w:val="111111"/>
          <w:sz w:val="28"/>
          <w:szCs w:val="28"/>
          <w:rtl/>
        </w:rPr>
        <w:t xml:space="preserve">آغاز: والبغال والحمير فقال اغسلها فان لم تعلم مكانه فاغـسل الثوب كله فان شککت فانضحه احمدبن محمد عن البرقى عن ابان عن الحلبی عن ابی عبدالله انجام: وما كان في الشهر لم یزد في الحيض على ثلث حيض فعدتها ثلث فالوجه فى هذا الخبر  انه اذا تأخر الدم عن عادتها اقل من شهر فذلك ليس لريبة</w:t>
      </w:r>
    </w:p>
    <w:p>
      <w:pPr>
        <w:pStyle w:val="BookText"/>
      </w:pPr>
      <w:r>
        <w:rPr>
          <w:rFonts w:ascii="IRNazanin" w:hAnsi="IRNazanin" w:eastAsia="IRNazanin" w:cs="IRNazanin"/>
          <w:lang w:bidi="fa-IR"/>
          <w:color w:val="111111"/>
          <w:sz w:val="28"/>
          <w:szCs w:val="28"/>
          <w:rtl/>
        </w:rPr>
        <w:t xml:space="preserve">از باب الرجل يصلى فى ثوب فيه نجاسة قبل ان يعلم تا ابواب العدد؛ خط: نسخ، بی کا، تا: قرن ۱۲؛ افتادگی: آغاز و انجام ،مصحح، محشی، با رمز «س م د » شیخ محمد حر؛ جلد: مقوا ،زرشکی، عطف تیماج سرخ، ۲۷۵گ، ۲۳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۳۰سم [طبسی مخ: ۱ - ۴۰]</w:t>
      </w:r>
    </w:p>
    <w:p>
      <w:pPr>
        <w:pStyle w:val="BookText"/>
      </w:pPr>
      <w:r>
        <w:rPr>
          <w:rFonts w:ascii="IRNazanin" w:hAnsi="IRNazanin" w:eastAsia="IRNazanin" w:cs="IRNazanin"/>
          <w:lang w:bidi="fa-IR"/>
          <w:color w:val="111111"/>
          <w:sz w:val="28"/>
          <w:szCs w:val="28"/>
          <w:rtl/>
        </w:rPr>
        <w:t xml:space="preserve">۳۹۱. مشهد؛ گوهرشاد؛ شماره نسخه:۲۱۶۷</w:t>
      </w:r>
    </w:p>
    <w:p>
      <w:pPr>
        <w:pStyle w:val="BookText"/>
      </w:pPr>
      <w:r>
        <w:rPr>
          <w:rFonts w:ascii="Amiri" w:hAnsi="Amiri" w:eastAsia="Amiri" w:cs="Amiri"/>
          <w:lang w:bidi="ar-SA"/>
          <w:color w:val="111111"/>
          <w:sz w:val="28"/>
          <w:szCs w:val="28"/>
          <w:rtl/>
        </w:rPr>
        <w:t xml:space="preserve">آغاز: برابر؛ انجام: قال ان كان له عظم قد عليه اللحم و شق السمع والبصر فان.</w:t>
      </w:r>
    </w:p>
    <w:p>
      <w:pPr>
        <w:pStyle w:val="BookText"/>
      </w:pPr>
      <w:r>
        <w:rPr>
          <w:rFonts w:ascii="IRNazanin" w:hAnsi="IRNazanin" w:eastAsia="IRNazanin" w:cs="IRNazanin"/>
          <w:lang w:bidi="fa-IR"/>
          <w:color w:val="111111"/>
          <w:sz w:val="28"/>
          <w:szCs w:val="28"/>
          <w:rtl/>
        </w:rPr>
        <w:t xml:space="preserve">از ابتدای مقدمه تا اواخر كتاب الديات؛ خط: نسخ، بی کا، تا: اوایل قرن ۱۲؛ مصدر به اسانید؛ واقف: على بن ميرزا على نقی خوافی  رشخاری ۱۲۳۲ ؛کاغذ: نخودی آهار مهره ،جلد: تیماج قهوه ای، ۳۷۳گ، ۲۹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۳۲/۵سم [ف: ۵ - ۵۳۵]</w:t>
      </w:r>
    </w:p>
    <w:p>
      <w:pPr>
        <w:pStyle w:val="BookText"/>
      </w:pPr>
      <w:r>
        <w:rPr>
          <w:rFonts w:ascii="IRNazanin" w:hAnsi="IRNazanin" w:eastAsia="IRNazanin" w:cs="IRNazanin"/>
          <w:lang w:bidi="fa-IR"/>
          <w:color w:val="111111"/>
          <w:sz w:val="28"/>
          <w:szCs w:val="28"/>
          <w:rtl/>
        </w:rPr>
        <w:t xml:space="preserve">۳۹۲. یزد؛ محمود آبادی، میرزا حسن؛ شماره نسخه: ۲</w:t>
      </w:r>
    </w:p>
    <w:p>
      <w:pPr>
        <w:pStyle w:val="BookText"/>
      </w:pPr>
      <w:r>
        <w:rPr>
          <w:rFonts w:ascii="IRNazanin" w:hAnsi="IRNazanin" w:eastAsia="IRNazanin" w:cs="IRNazanin"/>
          <w:lang w:bidi="fa-IR"/>
          <w:color w:val="111111"/>
          <w:sz w:val="28"/>
          <w:szCs w:val="28"/>
          <w:rtl/>
        </w:rPr>
        <w:t xml:space="preserve">خط: نسخ، کا: اسماعيل بن قطب الدين بسطامی، تا: پنج شنبه ذیقعده ۱۱۰۱ق، جا: طوس؛ قطع: رحلی [نشریه: ۴ –۴۵۱]</w:t>
      </w:r>
    </w:p>
    <w:p>
      <w:pPr>
        <w:pStyle w:val="BookText"/>
      </w:pPr>
      <w:r>
        <w:rPr>
          <w:rFonts w:ascii="IRNazanin" w:hAnsi="IRNazanin" w:eastAsia="IRNazanin" w:cs="IRNazanin"/>
          <w:lang w:bidi="fa-IR"/>
          <w:color w:val="111111"/>
          <w:sz w:val="28"/>
          <w:szCs w:val="28"/>
          <w:rtl/>
        </w:rPr>
        <w:t xml:space="preserve">۳۹۳. تهران؛ مروی؛ شماره نسخه:۳۵۸</w:t>
      </w:r>
    </w:p>
    <w:p>
      <w:pPr>
        <w:pStyle w:val="BookText"/>
      </w:pPr>
      <w:r>
        <w:rPr>
          <w:rFonts w:ascii="IRNazanin" w:hAnsi="IRNazanin" w:eastAsia="IRNazanin" w:cs="IRNazanin"/>
          <w:lang w:bidi="fa-IR"/>
          <w:color w:val="111111"/>
          <w:sz w:val="28"/>
          <w:szCs w:val="28"/>
          <w:rtl/>
        </w:rPr>
        <w:t xml:space="preserve">دوره، بی کا، تا :۱۱۰۲ق، جا: مشهد الرضا قطع: وزیری :[ ف : 67]</w:t>
      </w:r>
    </w:p>
    <w:p>
      <w:pPr>
        <w:pStyle w:val="BookText"/>
      </w:pPr>
      <w:r>
        <w:rPr>
          <w:rFonts w:ascii="IRNazanin" w:hAnsi="IRNazanin" w:eastAsia="IRNazanin" w:cs="IRNazanin"/>
          <w:lang w:bidi="fa-IR"/>
          <w:color w:val="111111"/>
          <w:sz w:val="28"/>
          <w:szCs w:val="28"/>
          <w:rtl/>
        </w:rPr>
        <w:t xml:space="preserve">۳۹۴ . مشهد؛ رضوی؛ شماره نسخه: ۳۷۸۲۲</w:t>
      </w:r>
    </w:p>
    <w:p>
      <w:pPr>
        <w:pStyle w:val="BookText"/>
      </w:pPr>
      <w:r>
        <w:rPr>
          <w:rFonts w:ascii="Amiri" w:hAnsi="Amiri" w:eastAsia="Amiri" w:cs="Amiri"/>
          <w:lang w:bidi="ar-SA"/>
          <w:color w:val="111111"/>
          <w:sz w:val="28"/>
          <w:szCs w:val="28"/>
          <w:rtl/>
        </w:rPr>
        <w:t xml:space="preserve">آغاز: عمار عن ابى الحسن موسى عليه السلام قال قلت له قرابة انفق على بعضهم</w:t>
      </w:r>
    </w:p>
    <w:p>
      <w:pPr>
        <w:pStyle w:val="BookText"/>
      </w:pPr>
      <w:r>
        <w:rPr>
          <w:rFonts w:ascii="IRNazanin" w:hAnsi="IRNazanin" w:eastAsia="IRNazanin" w:cs="IRNazanin"/>
          <w:lang w:bidi="fa-IR"/>
          <w:color w:val="111111"/>
          <w:sz w:val="28"/>
          <w:szCs w:val="28"/>
          <w:rtl/>
        </w:rPr>
        <w:t xml:space="preserve">از کتاب الزکوة تا پایان مشیخه؛ خط: نستعلیق خوش، کا: اسد بن حسن برسی، تا: سه شنبه ۱۲ ذیقعده ۱۱۰۴ق؛ افتادگی: آغاز؛  صفحات مجدول؛ اهدایی در مهر ۱۳۸۶؛ کاغذ: نخودی آهار  مهره، جلد: تیماج مشکی ضربی با ترنج و دوسرترنج،  297گ،25سطر، اندازه: ۲۹/۳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۱۸/۵سم [اهدائی رهبر: ۲ اخبار ۱ – ۹۴]</w:t>
      </w:r>
    </w:p>
    <w:p>
      <w:pPr>
        <w:pStyle w:val="BookText"/>
      </w:pPr>
      <w:r>
        <w:rPr>
          <w:rFonts w:ascii="IRNazanin" w:hAnsi="IRNazanin" w:eastAsia="IRNazanin" w:cs="IRNazanin"/>
          <w:lang w:bidi="fa-IR"/>
          <w:color w:val="111111"/>
          <w:sz w:val="28"/>
          <w:szCs w:val="28"/>
          <w:rtl/>
        </w:rPr>
        <w:t xml:space="preserve">مشهد؛ شیخ علی حیدر؛ شماره نسخه: ۷۵۸</w:t>
      </w:r>
    </w:p>
    <w:p>
      <w:pPr>
        <w:pStyle w:val="BookText"/>
      </w:pPr>
      <w:r>
        <w:rPr>
          <w:rFonts w:ascii="IRNazanin" w:hAnsi="IRNazanin" w:eastAsia="IRNazanin" w:cs="IRNazanin"/>
          <w:lang w:bidi="fa-IR"/>
          <w:color w:val="111111"/>
          <w:sz w:val="28"/>
          <w:szCs w:val="28"/>
          <w:rtl/>
        </w:rPr>
        <w:t xml:space="preserve">همان نسخه بالا [مؤید ۲ - ۲۲۹]</w:t>
      </w:r>
    </w:p>
    <w:p>
      <w:pPr>
        <w:pStyle w:val="BookText"/>
      </w:pPr>
      <w:r>
        <w:rPr>
          <w:rFonts w:ascii="IRNazanin" w:hAnsi="IRNazanin" w:eastAsia="IRNazanin" w:cs="IRNazanin"/>
          <w:lang w:bidi="fa-IR"/>
          <w:color w:val="111111"/>
          <w:sz w:val="28"/>
          <w:szCs w:val="28"/>
          <w:rtl/>
        </w:rPr>
        <w:t xml:space="preserve">۳۹۵. قم؛ مسجد اعظم؛ شماره نسخه: ۱۸۶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۸ رجب ۱۱۰۴ق؛ مصحح؛ جلد: مقوای زرد و سیاه عطف تیماج قهوه ای، ۳۳۱گ، ۲۵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۳۰سم [ف مخ: ۱ - ۱۳۷]</w:t>
      </w:r>
    </w:p>
    <w:p>
      <w:pPr>
        <w:pStyle w:val="BookText"/>
      </w:pPr>
      <w:r>
        <w:rPr>
          <w:rFonts w:ascii="IRNazanin" w:hAnsi="IRNazanin" w:eastAsia="IRNazanin" w:cs="IRNazanin"/>
          <w:lang w:bidi="fa-IR"/>
          <w:color w:val="111111"/>
          <w:sz w:val="28"/>
          <w:szCs w:val="28"/>
          <w:rtl/>
        </w:rPr>
        <w:t xml:space="preserve">۳۹۶. قم؛ طبسی؛ شماره نسخه: ۶۵</w:t>
      </w:r>
    </w:p>
    <w:p>
      <w:pPr>
        <w:pStyle w:val="BookText"/>
      </w:pPr>
      <w:r>
        <w:rPr>
          <w:rFonts w:ascii="Amiri" w:hAnsi="Amiri" w:eastAsia="Amiri" w:cs="Amiri"/>
          <w:lang w:bidi="ar-SA"/>
          <w:color w:val="111111"/>
          <w:sz w:val="28"/>
          <w:szCs w:val="28"/>
          <w:rtl/>
        </w:rPr>
        <w:t xml:space="preserve">آغاز: برابر؛ انجام: فقضى فيه بقول ابراهيم النخعى ما كان من متاع الرجل للرجل وذكر مثله سواء الا انه قال الا الميزان فانه متاع</w:t>
      </w:r>
    </w:p>
    <w:p>
      <w:pPr>
        <w:pStyle w:val="BookText"/>
      </w:pPr>
      <w:r>
        <w:rPr>
          <w:rFonts w:ascii="IRNazanin" w:hAnsi="IRNazanin" w:eastAsia="IRNazanin" w:cs="IRNazanin"/>
          <w:lang w:bidi="fa-IR"/>
          <w:color w:val="111111"/>
          <w:sz w:val="28"/>
          <w:szCs w:val="28"/>
          <w:rtl/>
        </w:rPr>
        <w:t xml:space="preserve">الرجل</w:t>
      </w:r>
    </w:p>
    <w:p>
      <w:pPr>
        <w:pStyle w:val="BookText"/>
      </w:pPr>
      <w:r>
        <w:rPr>
          <w:rFonts w:ascii="IRNazanin" w:hAnsi="IRNazanin" w:eastAsia="IRNazanin" w:cs="IRNazanin"/>
          <w:lang w:bidi="fa-IR"/>
          <w:color w:val="111111"/>
          <w:sz w:val="28"/>
          <w:szCs w:val="28"/>
          <w:rtl/>
        </w:rPr>
        <w:t xml:space="preserve">كتاب الطهارة تا كتاب القضايا و الاحكام؛ خط: نسخ، كا: محمد بن حاجی جمال ،اجستانی، تا: ۲۰ ذیحجه ۱۱۰۴ق؛ افتادگی: انجام؛ مصحح،لغات به نقل از کتب لغت معنی شده و نوع حدیث (صحيح وضعیف و ...) ذکر گردیده، محشی به امضاء «س م د ره» و «ع ب ره» و «عبدالرحیم» و «ق»، در آخر کتاب الصلوة یادداشتی درباره کنیه امامان؛ جلد: تیماج قهوه ای، ۳۱۴گ، ۱۹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[طبسی مخ: ۱ - ۴۰]</w:t>
      </w:r>
    </w:p>
    <w:p>
      <w:pPr>
        <w:pStyle w:val="BookText"/>
      </w:pPr>
      <w:r>
        <w:rPr>
          <w:rFonts w:ascii="IRNazanin" w:hAnsi="IRNazanin" w:eastAsia="IRNazanin" w:cs="IRNazanin"/>
          <w:lang w:bidi="fa-IR"/>
          <w:color w:val="111111"/>
          <w:sz w:val="28"/>
          <w:szCs w:val="28"/>
          <w:rtl/>
        </w:rPr>
        <w:t xml:space="preserve">۳۹۷. مشهد؛ رضوی؛ شماره نسخه: ۱۲۹۸۲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نسخ،کا: سید مراد بن محمد نبی  قاینی، تا: سه شنبه ۱۲ رجب   ۱۱۰۵ق؛ محشی با رموز «م ق ر ، م ح ق» مراد، «س م د، ا م ن و .... »؛واقف: شیخ عبد الله مجتهد پور، مرداد ۱۳۶۲؛ کاغذ: نخودی  آهار مهره، جلد: تیماج عنابی ضربی با ترنج و سرترنج ،زرپوش  ، ۲۴۶گ، ۲۹  سطر، اندازه: ۱۸/۲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۳۰/۴سم [ف : ۱۴ - ۵۸]</w:t>
      </w:r>
    </w:p>
    <w:p>
      <w:pPr>
        <w:pStyle w:val="BookText"/>
      </w:pPr>
      <w:r>
        <w:rPr>
          <w:rFonts w:ascii="IRNazanin" w:hAnsi="IRNazanin" w:eastAsia="IRNazanin" w:cs="IRNazanin"/>
          <w:lang w:bidi="fa-IR"/>
          <w:color w:val="111111"/>
          <w:sz w:val="28"/>
          <w:szCs w:val="28"/>
          <w:rtl/>
        </w:rPr>
        <w:t xml:space="preserve">۳۹۸ . قم؛ مرکز مطالعات؛ شماره نسخه: ۳۱۶</w:t>
      </w:r>
    </w:p>
    <w:p>
      <w:pPr>
        <w:pStyle w:val="BookText"/>
      </w:pPr>
      <w:r>
        <w:rPr>
          <w:rFonts w:ascii="IRNazanin" w:hAnsi="IRNazanin" w:eastAsia="IRNazanin" w:cs="IRNazanin"/>
          <w:lang w:bidi="fa-IR"/>
          <w:color w:val="111111"/>
          <w:sz w:val="28"/>
          <w:szCs w:val="28"/>
          <w:rtl/>
        </w:rPr>
        <w:t xml:space="preserve">از آغاز کتاب تا اول «كتاب الجهاد»؛ خط: نسخ خوانا، کا: حاجی ابوالحسن ابن محمد حسین، تا: رجب ۱۱۰۵ق؛ مصحح، محشی به نقل از علما و کتب روایی و فقهی؛ جلد: تیماج، سرخ ۲۶۵گ، ۲۱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۱ - ۲۸۲]</w:t>
      </w:r>
    </w:p>
    <w:p>
      <w:pPr>
        <w:pStyle w:val="BookText"/>
      </w:pPr>
      <w:r>
        <w:rPr>
          <w:rFonts w:ascii="IRNazanin" w:hAnsi="IRNazanin" w:eastAsia="IRNazanin" w:cs="IRNazanin"/>
          <w:lang w:bidi="fa-IR"/>
          <w:color w:val="111111"/>
          <w:sz w:val="28"/>
          <w:szCs w:val="28"/>
          <w:rtl/>
        </w:rPr>
        <w:t xml:space="preserve">۳۹۹. یزد؛ مدرسی؛ شماره نسخه:بدون شماره</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از کتاب طهارت تا آخر مشیخه؛ خط: نسخ  زیبا، بی کا، تا: با تاریخ ۱۱۰۵ق؛ مجدول مذهب قبلاً متعلق به میرزا معصوم وزیر سابق رشت در صفر ۱۱۰۵ ق بوده است ،محشی؛ کاغذ: دولت آبادی ،جلد ،مقوایی ۵۴۰گ، ۲۱ سطر(۲۴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اندازه :۲۰</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۳۳سم [ميراث اسلامی ۸ - ۴۳۳]</w:t>
      </w:r>
    </w:p>
    <w:p>
      <w:pPr>
        <w:pStyle w:val="BookText"/>
      </w:pPr>
      <w:r>
        <w:rPr>
          <w:rFonts w:ascii="IRNazanin" w:hAnsi="IRNazanin" w:eastAsia="IRNazanin" w:cs="IRNazanin"/>
          <w:lang w:bidi="fa-IR"/>
          <w:color w:val="111111"/>
          <w:sz w:val="28"/>
          <w:szCs w:val="28"/>
          <w:rtl/>
        </w:rPr>
        <w:t xml:space="preserve">۴۰۰ .مشهد؛ نواب؛ شماره نسخه: ۴۰۱</w:t>
      </w:r>
    </w:p>
    <w:p>
      <w:pPr>
        <w:pStyle w:val="BookText"/>
      </w:pPr>
      <w:r>
        <w:rPr>
          <w:rFonts w:ascii="Amiri" w:hAnsi="Amiri" w:eastAsia="Amiri" w:cs="Amiri"/>
          <w:lang w:bidi="ar-SA"/>
          <w:color w:val="111111"/>
          <w:sz w:val="28"/>
          <w:szCs w:val="28"/>
          <w:rtl/>
        </w:rPr>
        <w:t xml:space="preserve">آغاز: قال فى امراة دخل وقت الصلوة و هى طاهر فاخرت الصلوة؛</w:t>
      </w:r>
    </w:p>
    <w:p>
      <w:pPr>
        <w:pStyle w:val="BookText"/>
      </w:pPr>
      <w:r>
        <w:rPr>
          <w:rFonts w:ascii="IRNazanin" w:hAnsi="IRNazanin" w:eastAsia="IRNazanin" w:cs="IRNazanin"/>
          <w:lang w:bidi="fa-IR"/>
          <w:color w:val="111111"/>
          <w:sz w:val="28"/>
          <w:szCs w:val="28"/>
          <w:rtl/>
        </w:rPr>
        <w:t xml:space="preserve">انجام: برابر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احکام حایض تا آخر اسانید؛ خط: نسخ، كا: محمدبن سلطان حسین  بجستانی، تا: محرم ۱۱۰۸ق؛ افتادگی: آغاز؛ محشی با رمز، «مه، س م ک، شیخ ،حسن ،ق ،مدارک، س م د ...»؛ کاغذ: سپاهانی، جلد: تیماج عنابی  ضربی، ۳۸۴ برگ ۲۱ سـطر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۲۴/۵سم [ف :۳۳۵]</w:t>
      </w:r>
    </w:p>
    <w:p>
      <w:pPr>
        <w:pStyle w:val="BookText"/>
      </w:pPr>
      <w:r>
        <w:rPr>
          <w:rFonts w:ascii="IRNazanin" w:hAnsi="IRNazanin" w:eastAsia="IRNazanin" w:cs="IRNazanin"/>
          <w:lang w:bidi="fa-IR"/>
          <w:color w:val="111111"/>
          <w:sz w:val="28"/>
          <w:szCs w:val="28"/>
          <w:rtl/>
        </w:rPr>
        <w:t xml:space="preserve">۴۰۱. اردکان یزد؛ امام صادق؛ شماره نسخه: ۱۹۰</w:t>
      </w:r>
    </w:p>
    <w:p>
      <w:pPr>
        <w:pStyle w:val="BookText"/>
      </w:pPr>
      <w:r>
        <w:rPr>
          <w:rFonts w:ascii="IRNazanin" w:hAnsi="IRNazanin" w:eastAsia="IRNazanin" w:cs="IRNazanin"/>
          <w:lang w:bidi="fa-IR"/>
          <w:color w:val="111111"/>
          <w:sz w:val="28"/>
          <w:szCs w:val="28"/>
          <w:rtl/>
        </w:rPr>
        <w:t xml:space="preserve">خط: نسخ، کا: محمد مومن بن محمد امین حسینی اردکانی،تا: سه شنبه ۲۵ شوال ۱۱۰۹ق؛ مصحح، محشی، چند برگ آغازین به خط دیگری و از کتاب الجهاد تا پایان مشیخه به خط کاتب فـوق کتابت، روی برگ اول تاریخ وفات حجة الاسلام شفتی به روز  یک شنبه سوم ربیع الثانی ۱۲۶۰ به خط عبدالکریم تبریزی؛ تملکی  به سال ۱۲۶۰ و تملکی به سال ۱۳۶۹؛ جلد: روغنی مجدول ترنج و سرترنج دار، ۴۰۰گ، مختلف السطر، اندازه: ۱۷/۵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۲۴/۵[ف: ۱-۱۸۱]</w:t>
      </w:r>
    </w:p>
    <w:p>
      <w:pPr>
        <w:pStyle w:val="BookText"/>
      </w:pPr>
      <w:r>
        <w:rPr>
          <w:rFonts w:ascii="Times New Roman" w:hAnsi="Times New Roman" w:eastAsia="Times New Roman" w:cs="Times New Roman"/>
          <w:lang w:val="en-US" w:bidi="en-US"/>
          <w:color w:val="111111"/>
          <w:sz w:val="28"/>
          <w:szCs w:val="28"/>
          <w:rtl/>
        </w:rPr>
        <w:t xml:space="preserve">402.</w:t>
      </w:r>
    </w:p>
    <w:p>
      <w:pPr>
        <w:pStyle w:val="BookText"/>
      </w:pPr>
      <w:r>
        <w:rPr>
          <w:rFonts w:ascii="IRNazanin" w:hAnsi="IRNazanin" w:eastAsia="IRNazanin" w:cs="IRNazanin"/>
          <w:lang w:bidi="fa-IR"/>
          <w:color w:val="111111"/>
          <w:sz w:val="28"/>
          <w:szCs w:val="28"/>
          <w:rtl/>
        </w:rPr>
        <w:t xml:space="preserve">مشهد؛ رضوی؛ شماره نسخه: ۱۱۲۵۸</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کامل؛ خط: نسخ، کا: درویشعلی بن شمس الدين بن فلاح،  تا: چهارشنبه ۱۲ شوال ۱۱۰۹ق؛ واقف: شیخ محمد صالح علامه حائری، مرداد ۱۳۵۱؛ کاغذ: نخودی ،جلد: تیماج مشکـی ،۲۶۵گ، ۲۹  سطر، اندازه: ۱۹/۹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۲۸/۸سم [ف : ۱۴ - ۶۰]</w:t>
      </w:r>
    </w:p>
    <w:p>
      <w:pPr>
        <w:pStyle w:val="BookText"/>
      </w:pPr>
      <w:r>
        <w:rPr>
          <w:rFonts w:ascii="IRNazanin" w:hAnsi="IRNazanin" w:eastAsia="IRNazanin" w:cs="IRNazanin"/>
          <w:lang w:bidi="fa-IR"/>
          <w:color w:val="111111"/>
          <w:sz w:val="28"/>
          <w:szCs w:val="28"/>
          <w:rtl/>
        </w:rPr>
        <w:t xml:space="preserve">403.یزد؛ وزیری؛ شماره نسخه: ۱۴۹</w:t>
      </w:r>
    </w:p>
    <w:p>
      <w:pPr>
        <w:pStyle w:val="BookText"/>
      </w:pPr>
      <w:r>
        <w:rPr>
          <w:rFonts w:ascii="IRNazanin" w:hAnsi="IRNazanin" w:eastAsia="IRNazanin" w:cs="IRNazanin"/>
          <w:lang w:bidi="fa-IR"/>
          <w:color w:val="111111"/>
          <w:sz w:val="28"/>
          <w:szCs w:val="28"/>
          <w:rtl/>
        </w:rPr>
        <w:t xml:space="preserve">آغاز: بعد الوجه فان بدأت بذراعك الايسر فاعد على الايمن؛انجام: و اما ماقدمناه من الاخبار فى تضمن ذكر الحرمين علی الاطلاق فهى اكثر من ان تحصى...</w:t>
      </w:r>
    </w:p>
    <w:p>
      <w:pPr>
        <w:pStyle w:val="BookText"/>
      </w:pPr>
      <w:r>
        <w:rPr>
          <w:rFonts w:ascii="IRNazanin" w:hAnsi="IRNazanin" w:eastAsia="IRNazanin" w:cs="IRNazanin"/>
          <w:lang w:bidi="fa-IR"/>
          <w:color w:val="111111"/>
          <w:sz w:val="28"/>
          <w:szCs w:val="28"/>
          <w:rtl/>
        </w:rPr>
        <w:t xml:space="preserve">جلد اول؛ خط: نسخ، کا: محمد اشرف بن حاج محمد رفیع، تا:6 رجب ۱۱۱۲ق؛ افتادگی :آغاز: تملک «وزیری مؤسس»، «علی محمد موسوی»؛ اهدایی: حاجی وزیری، کاغذ: فستقی، جـلد: مقوایی کاغذ ابری عطف تیماج ،قرمز، ۱۷۴گ، ۲۵ سـطر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 اندازه: ۱۹/۵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۳۰سم [ف: ۱ - ۱۸۳]</w:t>
      </w:r>
    </w:p>
    <w:p>
      <w:pPr>
        <w:pStyle w:val="BookText"/>
      </w:pPr>
      <w:r>
        <w:rPr>
          <w:rFonts w:ascii="IRNazanin" w:hAnsi="IRNazanin" w:eastAsia="IRNazanin" w:cs="IRNazanin"/>
          <w:lang w:bidi="fa-IR"/>
          <w:color w:val="111111"/>
          <w:sz w:val="28"/>
          <w:szCs w:val="28"/>
          <w:rtl/>
        </w:rPr>
        <w:t xml:space="preserve">۴۰۴ مشهد؛ رضوی؛ شماره نسخه: ۲۰۲۸۶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عبدالوهاب تا ربيع الاول 1112ق؛محشی با رمز« م ق ر» و «س م د» و غیره دو برگ از ابتدا توسط مرحـوم مصطفی خوانساری نونویسی شده؛ اهدایی  رهبری، خرداد 1373؛ کاغذ: نخودی آهار مهره، جلد: تیماج عنابی با آستر میشن ماشی عطف شیرازه بندی با نخ های الوان،۴۵۷گ، ۲۵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۳۱سم [اهدائی رهبر: ۲ اخبار ۱ - ۹۲]</w:t>
      </w:r>
    </w:p>
    <w:p>
      <w:pPr>
        <w:pStyle w:val="BookText"/>
      </w:pPr>
      <w:r>
        <w:rPr>
          <w:rFonts w:ascii="IRNazanin" w:hAnsi="IRNazanin" w:eastAsia="IRNazanin" w:cs="IRNazanin"/>
          <w:lang w:bidi="fa-IR"/>
          <w:color w:val="111111"/>
          <w:sz w:val="28"/>
          <w:szCs w:val="28"/>
          <w:rtl/>
        </w:rPr>
        <w:t xml:space="preserve">۴۰۵. قم؛ مرعشی؛ شماره نسخه: ۱۳۵۳</w:t>
      </w:r>
    </w:p>
    <w:p>
      <w:pPr>
        <w:pStyle w:val="BookText"/>
      </w:pPr>
      <w:r>
        <w:rPr>
          <w:rFonts w:ascii="IRNazanin" w:hAnsi="IRNazanin" w:eastAsia="IRNazanin" w:cs="IRNazanin"/>
          <w:lang w:bidi="fa-IR"/>
          <w:color w:val="111111"/>
          <w:sz w:val="28"/>
          <w:szCs w:val="28"/>
          <w:rtl/>
        </w:rPr>
        <w:t xml:space="preserve">خط: نسخ، بی کا، تا: رمضان ۱۱۱۲ق؛ مصحح، محشی، روی برگی قبل از کتاب یادداشت های مختلف، محمد مقيم بن عبد العالى فریدنی خونساری (از شاگردان علامه مجلسی) در صفحه آخر می نویسد که کتاب را دو مرتبه به تاریخ رمضان 1149و 1154؛ مقابله نموده؛ مهر: «محمد هاشم» (بیضی)؛ تملک: ابوالقاسم  گلپایگانی به تاریخ رمضان ۱۳۰۰ ؛جلد: دو روتیماج رو قرمز پشت قهوه ای ۳۶۳گ، ۲۷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۳۰سم [ف: ۴ - ۱۲۹]</w:t>
      </w:r>
    </w:p>
    <w:p>
      <w:pPr>
        <w:pStyle w:val="BookText"/>
      </w:pPr>
      <w:r>
        <w:rPr>
          <w:rFonts w:ascii="IRNazanin" w:hAnsi="IRNazanin" w:eastAsia="IRNazanin" w:cs="IRNazanin"/>
          <w:lang w:bidi="fa-IR"/>
          <w:color w:val="111111"/>
          <w:sz w:val="28"/>
          <w:szCs w:val="28"/>
          <w:rtl/>
        </w:rPr>
        <w:t xml:space="preserve">۴۰۶. اصفهان؛ مدرسه صدر بازار؛ شماره نسخه: ۷۴۰</w:t>
      </w:r>
    </w:p>
    <w:p>
      <w:pPr>
        <w:pStyle w:val="BookText"/>
      </w:pPr>
      <w:r>
        <w:rPr>
          <w:rFonts w:ascii="IRNazanin" w:hAnsi="IRNazanin" w:eastAsia="IRNazanin" w:cs="IRNazanin"/>
          <w:lang w:bidi="fa-IR"/>
          <w:color w:val="111111"/>
          <w:sz w:val="28"/>
          <w:szCs w:val="28"/>
          <w:rtl/>
        </w:rPr>
        <w:t xml:space="preserve">خط: نسخ، کا: سلطان علی بن علی رضا، تا: جمعه ۱۴ محرم ۱۱۱۲ق؛ مصحح،محشی، در ۱۰۰ برگ آغاز امضای بلاغ؛ روی برگ اهدای کتاب از حسن بن ابوالحسن نصیری اصفهانی به سال ۱۳۲۴ش؛ مهر: «افوض امرى الى الله عبده اسحق» (بیضی)؛ جلد: تيماج  مشکی، ۳۴۶گ مختلف السطر،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۲۴سم [ف: ۳-۵۴۹]</w:t>
      </w:r>
    </w:p>
    <w:p>
      <w:pPr>
        <w:pStyle w:val="BookText"/>
      </w:pPr>
      <w:r>
        <w:rPr>
          <w:rFonts w:ascii="IRNazanin" w:hAnsi="IRNazanin" w:eastAsia="IRNazanin" w:cs="IRNazanin"/>
          <w:lang w:bidi="fa-IR"/>
          <w:color w:val="111111"/>
          <w:sz w:val="28"/>
          <w:szCs w:val="28"/>
          <w:rtl/>
        </w:rPr>
        <w:t xml:space="preserve">۴۰۷ . قم؛ مرکز احیاء؛ شماره نسخه: ۷۷۰</w:t>
      </w:r>
    </w:p>
    <w:p>
      <w:pPr>
        <w:pStyle w:val="BookText"/>
      </w:pPr>
      <w:r>
        <w:rPr>
          <w:rFonts w:ascii="IRNazanin" w:hAnsi="IRNazanin" w:eastAsia="IRNazanin" w:cs="IRNazanin"/>
          <w:lang w:bidi="fa-IR"/>
          <w:color w:val="111111"/>
          <w:sz w:val="28"/>
          <w:szCs w:val="28"/>
          <w:rtl/>
        </w:rPr>
        <w:t xml:space="preserve">خط: نسخ، کا: محمد صادق بن محمد علی  قوشخانی ،تا: محرم ۱۱۱۳ق؛ مجدول؛ تملک: جمال الدین بن محمد قاسم بن يوسف جبرانی عاملی؛ جلد: تیماج  قرمز، ۳۱۶گ، ۲۴ سطر، اندازه:۱۸/۵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۲۴/۵سم [ف: ۲ - ۴۳۱]</w:t>
      </w:r>
    </w:p>
    <w:p>
      <w:pPr>
        <w:pStyle w:val="BookText"/>
      </w:pPr>
      <w:r>
        <w:rPr>
          <w:rFonts w:ascii="IRNazanin" w:hAnsi="IRNazanin" w:eastAsia="IRNazanin" w:cs="IRNazanin"/>
          <w:lang w:bidi="fa-IR"/>
          <w:color w:val="111111"/>
          <w:sz w:val="28"/>
          <w:szCs w:val="28"/>
          <w:rtl/>
        </w:rPr>
        <w:t xml:space="preserve">۴۰۸. مشهد؛ نواب؛ شماره نسخه: ۳۶۷</w:t>
      </w:r>
    </w:p>
    <w:p>
      <w:pPr>
        <w:pStyle w:val="BookText"/>
      </w:pPr>
      <w:r>
        <w:rPr>
          <w:rFonts w:ascii="IRNazanin" w:hAnsi="IRNazanin" w:eastAsia="IRNazanin" w:cs="IRNazanin"/>
          <w:lang w:bidi="fa-IR"/>
          <w:color w:val="111111"/>
          <w:sz w:val="28"/>
          <w:szCs w:val="28"/>
          <w:rtl/>
        </w:rPr>
        <w:t xml:space="preserve">آغاز: برابر؛ انجام: مع ذكر اسانیده و عدد ابوابه. الحمدلله اولا و آخراً و ظاهرا وباطنا</w:t>
      </w:r>
    </w:p>
    <w:p>
      <w:pPr>
        <w:pStyle w:val="BookText"/>
      </w:pPr>
      <w:r>
        <w:rPr>
          <w:rFonts w:ascii="IRNazanin" w:hAnsi="IRNazanin" w:eastAsia="IRNazanin" w:cs="IRNazanin"/>
          <w:lang w:bidi="fa-IR"/>
          <w:color w:val="111111"/>
          <w:sz w:val="28"/>
          <w:szCs w:val="28"/>
          <w:rtl/>
        </w:rPr>
        <w:t xml:space="preserve">خط: نسخ  زیبا، کا: ابو القاسم بن محمد نظام شهمیرزادی، تا: ذیقعده ۱۱۱۴ق؛ نسخه در ۱۱۱۴ق در مشهد رضوی مکرر و با دقت مقابله شده با چند نسخه معتبر، مصحح و مغلق به حواشی، در صفحه بدرقه کتاب بندهایی در تحقیق صاع و ک؛ مهر: واقف «یا حسین ادرکنی» (چهارگوش)، «عبده محمد باقر الموسوى» (بيضى)، «لا اله الا الله الملك الحق المبين محمد سميع»؛ واقف: کربلایی محمد حسین بن محمد شفیع ساكن خبوشان، رجب ۱۱۶۴ق؛ کاغذ ،سپاهانی ،جلد: مقوا عطف و لبه میشن سرخ  ، ۳۸۳گ، ۲۳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۳۰۵]</w:t>
      </w:r>
    </w:p>
    <w:p>
      <w:pPr>
        <w:pStyle w:val="BookText"/>
      </w:pPr>
      <w:r>
        <w:rPr>
          <w:rFonts w:ascii="Amiri" w:hAnsi="Amiri" w:eastAsia="Amiri" w:cs="Amiri"/>
          <w:lang w:bidi="ar-SA"/>
          <w:color w:val="111111"/>
          <w:sz w:val="28"/>
          <w:szCs w:val="28"/>
          <w:rtl/>
        </w:rPr>
        <w:t xml:space="preserve">۴۰۹ . بابل؛ خاتم الانبياء؛ شماره نسخه: ۳۰۷</w:t>
      </w:r>
    </w:p>
    <w:p>
      <w:pPr>
        <w:pStyle w:val="BookText"/>
      </w:pPr>
      <w:r>
        <w:rPr>
          <w:rFonts w:ascii="IRNazanin" w:hAnsi="IRNazanin" w:eastAsia="IRNazanin" w:cs="IRNazanin"/>
          <w:lang w:bidi="fa-IR"/>
          <w:color w:val="111111"/>
          <w:sz w:val="28"/>
          <w:szCs w:val="28"/>
          <w:rtl/>
        </w:rPr>
        <w:t xml:space="preserve">خط: ثلث ،كا: محمود بن على بن عزيز بن محمود جیلانی، تا: سه شنبه دهه آخر شعبان ۱۱۱۴ق؛ مصحح، محشی، نسخه سماعاً مقابله شده، در برگ اول چند تاریخ تولد و وفات از این خاندان حائری آمده با این عناوین تاریخ وفات «ملا محمدحسن بن علی محمد بن محمد زمان بن ابی الحسن قاسمی دماوندی کریودهی بارفروشی حائری» به سال ۱۲۸۶، تاریخ تولد «شیخ فضل الله» به سال ۱۲۵۳، تاریخ تولد «شیخ علی» به سال ۱۲۷۵، تاریخ وفات «علاء الدین ابن ابن عمى ابى الحسن بن محمد» سال ۱۳۳۸ ؛تاریخ تولد« عزیز الله» به سال ۱۲۵۵، تاریخ وفات «صدر جهان» به سال ۱۳۹۰ و تاریخ ولادت «علی بن فضل الله» به سال ۱۲۸۶؛ تملک: «علی بن فضل الله حائری» با مهر و «رفعناه مكاناً عليا»( بيضى)؛ جلد: تیماج سوخت، ۲۱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:۲۱۸]</w:t>
      </w:r>
    </w:p>
    <w:p>
      <w:pPr>
        <w:pStyle w:val="BookText"/>
      </w:pPr>
      <w:r>
        <w:rPr>
          <w:rFonts w:ascii="IRNazanin" w:hAnsi="IRNazanin" w:eastAsia="IRNazanin" w:cs="IRNazanin"/>
          <w:lang w:bidi="fa-IR"/>
          <w:color w:val="111111"/>
          <w:sz w:val="28"/>
          <w:szCs w:val="28"/>
          <w:rtl/>
        </w:rPr>
        <w:t xml:space="preserve">قم؛ مرکز احیاء؛ شماره نسخه: ۱۶۷۹</w:t>
      </w:r>
    </w:p>
    <w:p>
      <w:pPr>
        <w:pStyle w:val="BookText"/>
      </w:pPr>
      <w:r>
        <w:rPr>
          <w:rFonts w:ascii="IRNazanin" w:hAnsi="IRNazanin" w:eastAsia="IRNazanin" w:cs="IRNazanin"/>
          <w:lang w:bidi="fa-IR"/>
          <w:color w:val="111111"/>
          <w:sz w:val="28"/>
          <w:szCs w:val="28"/>
          <w:rtl/>
        </w:rPr>
        <w:t xml:space="preserve">نسخه اصل: همان نسخه بالا [عکسی ف: ۵ - ۱۲۷]</w:t>
      </w:r>
    </w:p>
    <w:p>
      <w:pPr>
        <w:pStyle w:val="BookText"/>
      </w:pPr>
      <w:r>
        <w:rPr>
          <w:rFonts w:ascii="IRNazanin" w:hAnsi="IRNazanin" w:eastAsia="IRNazanin" w:cs="IRNazanin"/>
          <w:lang w:bidi="fa-IR"/>
          <w:color w:val="111111"/>
          <w:sz w:val="28"/>
          <w:szCs w:val="28"/>
          <w:rtl/>
        </w:rPr>
        <w:t xml:space="preserve">۴۱۰. مشهد؛ گوهر شاد؛ شماره نسخه: ۲۲۰۹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محمد بن محمد مؤمن فاضل جیلی، تا: سه شنبه ۸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ربیع الاول ۱۱۱۴ و ۱۱۱۶ق؛ محشی با رموز «ا م ن)»، «م ،د»، «س م د» مصحح،  مقابله شده دارای بلاغ های متعدد، در آغاز کتـاب الحدود بلاغى است با این عبارت «بلغ قراءة ايده الله تعالی» پشت  ورق اول وقف نامه علامه محمد ابراهیم در ۱۱۴۵ق با مهر «افوض امرى الى الله المذنب عبدالله» (مربع) ؛ واقف: سيد سعيد طباطبائی، ۱۳۳۲؛ کاغذ: نخودی آهار مهره، جلد: تیماج مشکی با آستر میشن قهوه ای، ۴۲۵گ، ۲۲ سطر، اندازه: ۱۸/۵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۲۴/۵سم [ف: ۵ - ۵۸۲  ]</w:t>
      </w:r>
    </w:p>
    <w:p>
      <w:pPr>
        <w:pStyle w:val="BookText"/>
      </w:pPr>
      <w:r>
        <w:rPr>
          <w:rFonts w:ascii="IRNazanin" w:hAnsi="IRNazanin" w:eastAsia="IRNazanin" w:cs="IRNazanin"/>
          <w:lang w:bidi="fa-IR"/>
          <w:color w:val="111111"/>
          <w:sz w:val="28"/>
          <w:szCs w:val="28"/>
          <w:rtl/>
        </w:rPr>
        <w:t xml:space="preserve">411.تهران؛ مجلس؛ شماره نسخه: ۵۹۴۷/۱</w:t>
      </w:r>
    </w:p>
    <w:p>
      <w:pPr>
        <w:pStyle w:val="BookText"/>
      </w:pPr>
      <w:r>
        <w:rPr>
          <w:rFonts w:ascii="IRNazanin" w:hAnsi="IRNazanin" w:eastAsia="IRNazanin" w:cs="IRNazanin"/>
          <w:lang w:bidi="fa-IR"/>
          <w:color w:val="111111"/>
          <w:sz w:val="28"/>
          <w:szCs w:val="28"/>
          <w:rtl/>
        </w:rPr>
        <w:t xml:space="preserve">خط: نسخ تحریری، کا: محمد بن حسن  بحرانی، تا: ۱۱۱۶ق؛ اجازه روایت و گواهی مقابله و قرائت از شیخ عبدالحسین بن ناصر بحرانی به شیخ احمد مورخ ۱۱۳۵ ؛کاغذ: اصفهانی، جـلد: تیماج قهوه با سجاف عطف و حاشیه، ۵۶۸ ص (۲-۵۶۹)،  32سطر، قطع: رحلی،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۳۰سم [ف: ۱۷ - ۳۳۳]</w:t>
      </w:r>
    </w:p>
    <w:p>
      <w:pPr>
        <w:pStyle w:val="BookText"/>
      </w:pPr>
      <w:r>
        <w:rPr>
          <w:rFonts w:ascii="IRNazanin" w:hAnsi="IRNazanin" w:eastAsia="IRNazanin" w:cs="IRNazanin"/>
          <w:lang w:bidi="fa-IR"/>
          <w:color w:val="111111"/>
          <w:sz w:val="28"/>
          <w:szCs w:val="28"/>
          <w:rtl/>
        </w:rPr>
        <w:t xml:space="preserve">۴۱۲. قم؛ دار الحدیث؛ شماره نسخه: ۱۶۴</w:t>
      </w:r>
    </w:p>
    <w:p>
      <w:pPr>
        <w:pStyle w:val="BookText"/>
      </w:pPr>
      <w:r>
        <w:rPr>
          <w:rFonts w:ascii="Amiri" w:hAnsi="Amiri" w:eastAsia="Amiri" w:cs="Amiri"/>
          <w:lang w:bidi="ar-SA"/>
          <w:color w:val="111111"/>
          <w:sz w:val="28"/>
          <w:szCs w:val="28"/>
          <w:rtl/>
        </w:rPr>
        <w:t xml:space="preserve">آغاز: باب ما يجوز فيه شهادة النساء و ما لايجوز الحسن بن عن ابن أبى عمير عن حماد عن الحلبي</w:t>
      </w:r>
    </w:p>
    <w:p>
      <w:pPr>
        <w:pStyle w:val="BookText"/>
      </w:pPr>
      <w:r>
        <w:rPr>
          <w:rFonts w:ascii="IRNazanin" w:hAnsi="IRNazanin" w:eastAsia="IRNazanin" w:cs="IRNazanin"/>
          <w:lang w:bidi="fa-IR"/>
          <w:color w:val="111111"/>
          <w:sz w:val="28"/>
          <w:szCs w:val="28"/>
          <w:rtl/>
        </w:rPr>
        <w:t xml:space="preserve">جلد دوم؛ خط: نسخ، کا: محمد شریف بن محمد حسين مقدم ،مشکینی تا: ۸ شوال ۱۱۱۷ق؛ افتادگی: آغاز؛ جلد: تیماج قهوه ای، سوخت،با ترنج  باسر، ۲۳۲گ، ۲۶  سطر،اندازه: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۲۹سم [ف:  26]</w:t>
      </w:r>
    </w:p>
    <w:p>
      <w:pPr>
        <w:pStyle w:val="BookText"/>
      </w:pPr>
      <w:r>
        <w:rPr>
          <w:rFonts w:ascii="IRNazanin" w:hAnsi="IRNazanin" w:eastAsia="IRNazanin" w:cs="IRNazanin"/>
          <w:lang w:bidi="fa-IR"/>
          <w:color w:val="111111"/>
          <w:sz w:val="28"/>
          <w:szCs w:val="28"/>
          <w:rtl/>
        </w:rPr>
        <w:t xml:space="preserve">413.تهران؛ مجلس؛ شماره نسخه: ۱۱۵۸۲</w:t>
      </w:r>
    </w:p>
    <w:p>
      <w:pPr>
        <w:pStyle w:val="BookText"/>
      </w:pPr>
      <w:r>
        <w:rPr>
          <w:rFonts w:ascii="IRNazanin" w:hAnsi="IRNazanin" w:eastAsia="IRNazanin" w:cs="IRNazanin"/>
          <w:lang w:bidi="fa-IR"/>
          <w:color w:val="111111"/>
          <w:sz w:val="28"/>
          <w:szCs w:val="28"/>
          <w:rtl/>
        </w:rPr>
        <w:t xml:space="preserve">از کتاب الجهاد تا آخر کتاب؛ خط: نسخ زیبا، کا: محمد صادق بن محمد شفیع یزدی، تا: یک شنبه ۲۳ ربیع الثانی ۱۱۱۸ق؛ یادداشت کیوان سمیعی؛ جلد: تیماج آبی با ترنج و با سر برجسته  زرد ،۱۹۵گ ۱۹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۲۴سم [ف: ۳۳/۲ - ۱۸۶]</w:t>
      </w:r>
    </w:p>
    <w:p>
      <w:pPr>
        <w:pStyle w:val="BookText"/>
      </w:pPr>
      <w:r>
        <w:rPr>
          <w:rFonts w:ascii="IRNazanin" w:hAnsi="IRNazanin" w:eastAsia="IRNazanin" w:cs="IRNazanin"/>
          <w:lang w:bidi="fa-IR"/>
          <w:color w:val="111111"/>
          <w:sz w:val="28"/>
          <w:szCs w:val="28"/>
          <w:rtl/>
        </w:rPr>
        <w:t xml:space="preserve">۴۱۴. مشهد؛ رضوی؛ شماره نسخه:۱۱۵۷۷</w:t>
      </w:r>
    </w:p>
    <w:p>
      <w:pPr>
        <w:pStyle w:val="BookText"/>
      </w:pPr>
      <w:r>
        <w:rPr>
          <w:rFonts w:ascii="IRNazanin" w:hAnsi="IRNazanin" w:eastAsia="IRNazanin" w:cs="IRNazanin"/>
          <w:lang w:bidi="fa-IR"/>
          <w:color w:val="111111"/>
          <w:sz w:val="28"/>
          <w:szCs w:val="28"/>
          <w:rtl/>
        </w:rPr>
        <w:t xml:space="preserve">آغاز: برابر؛ انجام: اویباع عليه ما يقضى به دينه على ما تقدم القـول فيه تم الجزء الثاني.</w:t>
      </w:r>
    </w:p>
    <w:p>
      <w:pPr>
        <w:pStyle w:val="BookText"/>
      </w:pPr>
      <w:r>
        <w:rPr>
          <w:rFonts w:ascii="IRNazanin" w:hAnsi="IRNazanin" w:eastAsia="IRNazanin" w:cs="IRNazanin"/>
          <w:lang w:bidi="fa-IR"/>
          <w:color w:val="111111"/>
          <w:sz w:val="28"/>
          <w:szCs w:val="28"/>
          <w:rtl/>
        </w:rPr>
        <w:t xml:space="preserve">جلد ١-٢؛ از ابتدای مقدمه تا انتهای «ابواب الشهادات» و مصدر به اسانید و شمار ابواب و مسائل کتاب؛ خط: نسخ، کا: محمد مهدی</w:t>
      </w:r>
    </w:p>
    <w:p>
      <w:pPr>
        <w:pStyle w:val="BookText"/>
      </w:pPr>
      <w:r>
        <w:rPr>
          <w:rFonts w:ascii="IRNazanin" w:hAnsi="IRNazanin" w:eastAsia="IRNazanin" w:cs="IRNazanin"/>
          <w:lang w:bidi="fa-IR"/>
          <w:color w:val="111111"/>
          <w:sz w:val="28"/>
          <w:szCs w:val="28"/>
          <w:rtl/>
        </w:rPr>
        <w:t xml:space="preserve">سلطان حسین خوانساری ،تا: ۱۱۱۹ق؛ محشی با رموز «س م د  ر ه»« م ح ا  ق ر ه» و غیره؛ واقف: حسن فريد محسنی شهریور ۱۳۵۴؛ کاغذ: نخودی آهار مهره، جلد: تیماج روغنی ضربی با ترنج و سرترنج ،زرپوش ۲۳۷گ، ۲۶ سطر، اندازه:  ۱۸/۵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۲۸سم [ف: ۲۶ - ۸۲]</w:t>
      </w:r>
    </w:p>
    <w:p>
      <w:pPr>
        <w:pStyle w:val="BookText"/>
      </w:pPr>
      <w:r>
        <w:rPr>
          <w:rFonts w:ascii="IRNazanin" w:hAnsi="IRNazanin" w:eastAsia="IRNazanin" w:cs="IRNazanin"/>
          <w:lang w:bidi="fa-IR"/>
          <w:color w:val="111111"/>
          <w:sz w:val="28"/>
          <w:szCs w:val="28"/>
          <w:rtl/>
        </w:rPr>
        <w:t xml:space="preserve">۴۱۵. مشهد؛ الهیات شماره نسخه: ۸ عکسی</w:t>
      </w:r>
    </w:p>
    <w:p>
      <w:pPr>
        <w:pStyle w:val="BookText"/>
      </w:pPr>
      <w:r>
        <w:rPr>
          <w:rFonts w:ascii="IRNazanin" w:hAnsi="IRNazanin" w:eastAsia="IRNazanin" w:cs="IRNazanin"/>
          <w:lang w:bidi="fa-IR"/>
          <w:color w:val="111111"/>
          <w:sz w:val="28"/>
          <w:szCs w:val="28"/>
          <w:rtl/>
        </w:rPr>
        <w:t xml:space="preserve">نسخه  اصل: کتابخانه رئیس الكتاب سلیمانیه، ترکیه، ش 310.</w:t>
      </w:r>
    </w:p>
    <w:p>
      <w:pPr>
        <w:pStyle w:val="BookText"/>
      </w:pPr>
      <w:r>
        <w:rPr>
          <w:rFonts w:ascii="IRNazanin" w:hAnsi="IRNazanin" w:eastAsia="IRNazanin" w:cs="IRNazanin"/>
          <w:lang w:bidi="fa-IR"/>
          <w:color w:val="111111"/>
          <w:sz w:val="28"/>
          <w:szCs w:val="28"/>
          <w:rtl/>
        </w:rPr>
        <w:t xml:space="preserve">نمونه ای از آن نسخه که ۳۱ برگ از ۴۵۲ برگ آن می باشد در دو قطع ؛  خط: نستعلیق ،كا: حاجی مرشد بن جبرئیل گنجه ای، تا: رجب ۱۱۱۹ق؛ جلد: کالینکور قهوه ای عطف ،میشن ۲۱ سـطر،   اندازه: ۱۹/۵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۲۵/۵سم [ف: ۳ - ۱۲۸۰]</w:t>
      </w:r>
    </w:p>
    <w:p>
      <w:pPr>
        <w:pStyle w:val="BookText"/>
      </w:pPr>
      <w:r>
        <w:rPr>
          <w:rFonts w:ascii="IRNazanin" w:hAnsi="IRNazanin" w:eastAsia="IRNazanin" w:cs="IRNazanin"/>
          <w:lang w:bidi="fa-IR"/>
          <w:color w:val="111111"/>
          <w:sz w:val="28"/>
          <w:szCs w:val="28"/>
          <w:rtl/>
        </w:rPr>
        <w:t xml:space="preserve">۴۱۶ .مشهد؛ رضوی؛ شماره نسخه: ۱۰۵۹۵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محمد صالح بن محمد حسین ازغندی ترشیزی  ، تا:رجب ۱۱۲۰ق؛ محشی با رمز «س م د» و «م د»؛ کاغذ: نخودی آهاری، جلد: تیماج  مشکی، ۳۸۸گ، ۲۶ سطر، اندازه:  ۱۸/۲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۳۱/۵سم [ف ۱۴ - ۵۸]</w:t>
      </w:r>
    </w:p>
    <w:p>
      <w:pPr>
        <w:pStyle w:val="BookText"/>
      </w:pPr>
      <w:r>
        <w:rPr>
          <w:rFonts w:ascii="IRNazanin" w:hAnsi="IRNazanin" w:eastAsia="IRNazanin" w:cs="IRNazanin"/>
          <w:lang w:bidi="fa-IR"/>
          <w:color w:val="111111"/>
          <w:sz w:val="28"/>
          <w:szCs w:val="28"/>
          <w:rtl/>
        </w:rPr>
        <w:t xml:space="preserve">۴۱۷ . مشهد؛ رضوی؛ شماره نسخه: ۲۵۲۸۰</w:t>
      </w:r>
    </w:p>
    <w:p>
      <w:pPr>
        <w:pStyle w:val="BookText"/>
      </w:pPr>
      <w:r>
        <w:rPr>
          <w:rFonts w:ascii="Amiri" w:hAnsi="Amiri" w:eastAsia="Amiri" w:cs="Amiri"/>
          <w:lang w:bidi="ar-SA"/>
          <w:color w:val="111111"/>
          <w:sz w:val="28"/>
          <w:szCs w:val="28"/>
          <w:rtl/>
        </w:rPr>
        <w:t xml:space="preserve">آغاز: بسمله، كتاب الجهاد باب من يستحق ان تقسم الغنايم فيهم؛</w:t>
      </w:r>
    </w:p>
    <w:p>
      <w:pPr>
        <w:pStyle w:val="BookText"/>
      </w:pPr>
      <w:r>
        <w:rPr>
          <w:rFonts w:ascii="IRNazanin" w:hAnsi="IRNazanin" w:eastAsia="IRNazanin" w:cs="IRNazanin"/>
          <w:lang w:bidi="fa-IR"/>
          <w:color w:val="111111"/>
          <w:sz w:val="28"/>
          <w:szCs w:val="28"/>
          <w:rtl/>
        </w:rPr>
        <w:t xml:space="preserve">انجام: برابر</w:t>
      </w:r>
    </w:p>
    <w:p>
      <w:pPr>
        <w:pStyle w:val="BookText"/>
      </w:pPr>
      <w:r>
        <w:rPr>
          <w:rFonts w:ascii="IRNazanin" w:hAnsi="IRNazanin" w:eastAsia="IRNazanin" w:cs="IRNazanin"/>
          <w:lang w:bidi="fa-IR"/>
          <w:color w:val="111111"/>
          <w:sz w:val="28"/>
          <w:szCs w:val="28"/>
          <w:rtl/>
        </w:rPr>
        <w:t xml:space="preserve">جلد ۳؛ خط: نسخ، کا: شیخ زین الدین بن شیخ سعدی لاهیجانی،  تا: رمضان ۱۱۲۰ق؛ مصحح، محشی، مقابله شده، دارای بلاغ؛ واقف: جعفر  زاهدی، دی ۱۳۷۷؛ کاغذ: نخودی آهار مهره، جلد: تیماج لبه دار ماشی، ۲۲۹گ، ۲۵ سطر، اندازه: ۱۶/۵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۳۰/۵سم [ف:  26- 76]</w:t>
      </w:r>
    </w:p>
    <w:p>
      <w:pPr>
        <w:pStyle w:val="BookText"/>
      </w:pPr>
      <w:r>
        <w:rPr>
          <w:rFonts w:ascii="IRNazanin" w:hAnsi="IRNazanin" w:eastAsia="IRNazanin" w:cs="IRNazanin"/>
          <w:lang w:bidi="fa-IR"/>
          <w:color w:val="111111"/>
          <w:sz w:val="28"/>
          <w:szCs w:val="28"/>
          <w:rtl/>
        </w:rPr>
        <w:t xml:space="preserve">۴۱۸ . مشهد؛ الهیات شماره نسخه: ۱۲۴۴۹</w:t>
      </w:r>
    </w:p>
    <w:p>
      <w:pPr>
        <w:pStyle w:val="BookText"/>
      </w:pPr>
      <w:r>
        <w:rPr>
          <w:rFonts w:ascii="IRNazanin" w:hAnsi="IRNazanin" w:eastAsia="IRNazanin" w:cs="IRNazanin"/>
          <w:lang w:bidi="fa-IR"/>
          <w:color w:val="111111"/>
          <w:sz w:val="28"/>
          <w:szCs w:val="28"/>
          <w:rtl/>
        </w:rPr>
        <w:t xml:space="preserve">جلد ۲؛ از کتاب دیون تا آخر؛ خط: نسخ، کا: اسماعیل بن محمد  خادم، تا: از ذیقعده ۱۱۱۹ ق تا رمضان ۱۱۲۱ق؛ مصحح، محشی، مقابله شده، در پشت صفحه اول تاریخ خریداری این نسخه در ۱۵ شعبان ۱۲۰۳ق؛ مهر: «لا اله الا الله الملك الحق المبين عبده حسين ابن علی ۱۱۸۹»؛ کاغذ ،اصفهانی، جلد: تیماج قهوه ای، ۲۲۷گ،  ۲۳ سطر (9</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۲۴سم [ف: ۳ - ۱۰۱۱]</w:t>
      </w:r>
    </w:p>
    <w:p>
      <w:pPr>
        <w:pStyle w:val="BookText"/>
      </w:pPr>
      <w:r>
        <w:rPr>
          <w:rFonts w:ascii="IRNazanin" w:hAnsi="IRNazanin" w:eastAsia="IRNazanin" w:cs="IRNazanin"/>
          <w:lang w:bidi="fa-IR"/>
          <w:color w:val="111111"/>
          <w:sz w:val="28"/>
          <w:szCs w:val="28"/>
          <w:rtl/>
        </w:rPr>
        <w:t xml:space="preserve">۴۱۹. قم؛ گلپایگانی؛ شماره نسخه: ۷۹۸۳-۵۴/۷۳</w:t>
      </w:r>
    </w:p>
    <w:p>
      <w:pPr>
        <w:pStyle w:val="BookText"/>
      </w:pPr>
      <w:r>
        <w:rPr>
          <w:rFonts w:ascii="Amiri" w:hAnsi="Amiri" w:eastAsia="Amiri" w:cs="Amiri"/>
          <w:lang w:bidi="ar-SA"/>
          <w:color w:val="111111"/>
          <w:sz w:val="28"/>
          <w:szCs w:val="28"/>
          <w:rtl/>
        </w:rPr>
        <w:t xml:space="preserve">آغاز: بسمله ابواب المكاسب باب ما يجوز للوالدان ياخذ من مال  ولده الحسن بن محبوب عن العلا عن محمد بن مسلم</w:t>
      </w:r>
    </w:p>
    <w:p>
      <w:pPr>
        <w:pStyle w:val="BookText"/>
      </w:pPr>
      <w:r>
        <w:rPr>
          <w:rFonts w:ascii="IRNazanin" w:hAnsi="IRNazanin" w:eastAsia="IRNazanin" w:cs="IRNazanin"/>
          <w:lang w:bidi="fa-IR"/>
          <w:color w:val="111111"/>
          <w:sz w:val="28"/>
          <w:szCs w:val="28"/>
          <w:rtl/>
        </w:rPr>
        <w:t xml:space="preserve">از ابواب المکاسب تا آخر کتاب؛ خط: نسخ، کا : حسن بیک بن مولانا قاضی طبسی کریتی ،تا: ۳۰ جمادی الثانی ۱۱۲۱ق، ۱۹۴گ، ۲۱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۲۴سم [ف: ۱ - ۳۳۲]</w:t>
      </w:r>
    </w:p>
    <w:p>
      <w:pPr>
        <w:pStyle w:val="BookText"/>
      </w:pPr>
      <w:r>
        <w:rPr>
          <w:rFonts w:ascii="IRNazanin" w:hAnsi="IRNazanin" w:eastAsia="IRNazanin" w:cs="IRNazanin"/>
          <w:lang w:bidi="fa-IR"/>
          <w:color w:val="111111"/>
          <w:sz w:val="28"/>
          <w:szCs w:val="28"/>
          <w:rtl/>
        </w:rPr>
        <w:t xml:space="preserve">۴۲۰. مشهد؛ رضوی؛ شماره نسخه: ۲۰۶۰۲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شعبان ۱۱۲۲ق؛ محشی با رمز «م ق ر ر ه» ؛ اهدایی ،رهبری، خرداد ۱۳۷۳ ؛کاغذ: شکری آهار مهره، جلد: تیماج مشکی با آستر قهوه ای عطف شیرازه بندی با نخ های الوان ۳۷۱گ، ۲۴ سطر، اندازه: ۱۹/۵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۲۸/۵سم [ اهدائی :رهبر ۲ اخبار ۱-۹۲]</w:t>
      </w:r>
    </w:p>
    <w:p>
      <w:pPr>
        <w:pStyle w:val="BookText"/>
      </w:pPr>
      <w:r>
        <w:rPr>
          <w:rFonts w:ascii="IRNazanin" w:hAnsi="IRNazanin" w:eastAsia="IRNazanin" w:cs="IRNazanin"/>
          <w:lang w:bidi="fa-IR"/>
          <w:color w:val="111111"/>
          <w:sz w:val="28"/>
          <w:szCs w:val="28"/>
          <w:rtl/>
        </w:rPr>
        <w:t xml:space="preserve">۴۲۱. قم؛ مسجد اعظم؛ شماره نسخه ۱۸۴۲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محمد كاظم بن محمد علی مازندرانی، تا: دوشنبه ۱۳ رجب ۱۱۲۴ق؛ مهر: «یا باقرالعلوم» (مربع)؛ تملك: علی اکبر بن محمد مقیم؛ جلد: تیماج زرشکی عطف تیماج قهوه ای، ۴۸۶گ، ۲۳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۲۶سم [ف مخ: ۱- ۱۳۸]</w:t>
      </w:r>
    </w:p>
    <w:p>
      <w:pPr>
        <w:pStyle w:val="BookText"/>
      </w:pPr>
      <w:r>
        <w:rPr>
          <w:rFonts w:ascii="IRNazanin" w:hAnsi="IRNazanin" w:eastAsia="IRNazanin" w:cs="IRNazanin"/>
          <w:lang w:bidi="fa-IR"/>
          <w:color w:val="111111"/>
          <w:sz w:val="28"/>
          <w:szCs w:val="28"/>
          <w:rtl/>
        </w:rPr>
        <w:t xml:space="preserve">۴۲۲. مشهد؛ رضوی؛ شماره نسخه: ۱۹۱۲</w:t>
      </w:r>
    </w:p>
    <w:p>
      <w:pPr>
        <w:pStyle w:val="BookText"/>
      </w:pPr>
      <w:r>
        <w:rPr>
          <w:rFonts w:ascii="Amiri" w:hAnsi="Amiri" w:eastAsia="Amiri" w:cs="Amiri"/>
          <w:lang w:bidi="ar-SA"/>
          <w:color w:val="111111"/>
          <w:sz w:val="28"/>
          <w:szCs w:val="28"/>
          <w:rtl/>
        </w:rPr>
        <w:t xml:space="preserve">آغاز: باب المطلقه هل تحج في عدتها ام لا موسى بن القسم؛ انجام :برابر</w:t>
      </w:r>
    </w:p>
    <w:p>
      <w:pPr>
        <w:pStyle w:val="BookText"/>
      </w:pPr>
      <w:r>
        <w:rPr>
          <w:rFonts w:ascii="IRNazanin" w:hAnsi="IRNazanin" w:eastAsia="IRNazanin" w:cs="IRNazanin"/>
          <w:lang w:bidi="fa-IR"/>
          <w:color w:val="111111"/>
          <w:sz w:val="28"/>
          <w:szCs w:val="28"/>
          <w:rtl/>
        </w:rPr>
        <w:t xml:space="preserve">قسمتی از باب حج تا آخر کتاب؛ خط: نسخ، کا: ملک علی بن بهزاد ایزد خواستی، تا: سه شنبه ۲۷ ذیقعده ۱۱۲۴ق؛ محشی؛ :واقف ،نائینی مرداد ۱۳۱۱؛ کاغذ: آهاری شکری  فرنگی ،جلد: تیماج عنابی، ۲۱۸گ، ۲۳ سطر، اندازه :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۲۸/۵سم [ف: ۵ - ۳۶]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423.قزوین؛ امام صادق؛ شماره نسخه: ۷۹</w:t>
      </w:r>
    </w:p>
    <w:p>
      <w:pPr>
        <w:pStyle w:val="BookText"/>
      </w:pPr>
      <w:r>
        <w:rPr>
          <w:rFonts w:ascii="IRNazanin" w:hAnsi="IRNazanin" w:eastAsia="IRNazanin" w:cs="IRNazanin"/>
          <w:lang w:bidi="fa-IR"/>
          <w:color w:val="111111"/>
          <w:sz w:val="28"/>
          <w:szCs w:val="28"/>
          <w:rtl/>
        </w:rPr>
        <w:t xml:space="preserve">جلد اول و دوم و از ابتدا تا انتهای کتاب جهاد؛ خط: نسخ، بی کا، تا: دهه دوم جمادی الاول ۱۱۲۷ق؛ مصحح ،محشی دارای بلاغ، در ابتدای نسخه تحقیقی در شرح حدیث کافی از مولانا خـلیل قزوینی دردو ونیم صفحه؛ واقف: آقا اسماعیل بیک با تولیت آقا سيد حسينا قزوینی (صاحب معارج الاحکام) در تاریخ ۵ صـفر ۱۱۸۵ق؛ جلد: تیماج سیاه، ۲۶۵گ، ۲۵ سطر [ف: ۱ - ۳۱]</w:t>
      </w:r>
    </w:p>
    <w:p>
      <w:pPr>
        <w:pStyle w:val="BookText"/>
      </w:pPr>
      <w:r>
        <w:rPr>
          <w:rFonts w:ascii="IRNazanin" w:hAnsi="IRNazanin" w:eastAsia="IRNazanin" w:cs="IRNazanin"/>
          <w:lang w:bidi="fa-IR"/>
          <w:color w:val="111111"/>
          <w:sz w:val="28"/>
          <w:szCs w:val="28"/>
          <w:rtl/>
        </w:rPr>
        <w:t xml:space="preserve">۴۲۴. مشهد؛ رضوی؛ شماره نسخه: ۱۴۲۴۹</w:t>
      </w:r>
    </w:p>
    <w:p>
      <w:pPr>
        <w:pStyle w:val="BookText"/>
      </w:pPr>
      <w:r>
        <w:rPr>
          <w:rFonts w:ascii="IRNazanin" w:hAnsi="IRNazanin" w:eastAsia="IRNazanin" w:cs="IRNazanin"/>
          <w:lang w:bidi="fa-IR"/>
          <w:color w:val="111111"/>
          <w:sz w:val="28"/>
          <w:szCs w:val="28"/>
          <w:rtl/>
        </w:rPr>
        <w:t xml:space="preserve">آغاز: فی الحلال والحرام و سألونى تجريد ذلك و صرف العـنایة الى جمعه؛ انجام :برابر</w:t>
      </w:r>
    </w:p>
    <w:p>
      <w:pPr>
        <w:pStyle w:val="BookText"/>
      </w:pPr>
      <w:r>
        <w:rPr>
          <w:rFonts w:ascii="IRNazanin" w:hAnsi="IRNazanin" w:eastAsia="IRNazanin" w:cs="IRNazanin"/>
          <w:lang w:bidi="fa-IR"/>
          <w:color w:val="111111"/>
          <w:sz w:val="28"/>
          <w:szCs w:val="28"/>
          <w:rtl/>
        </w:rPr>
        <w:t xml:space="preserve">جلد ۱-۳ ؛خط: نسخ، کا: علی بن نورالدين بن زين العابدين حسین بن نورالدین... حسینی  موسوی ،تا: جمعه۲۵ محـرم ۱۱۲۸ق؛ افتادگی: آغاز (ورق اول)؛ واقف: سیدمحمد باقر سبزواری محرم ۱۴۰۵ ؛کاغذ: حنایی آهار مهره ،جلد: تیماج، قهوه ای، ۳۷۵گ، ۲۱ سطر، اندازه: ۱۶/۶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۱۴ – ۶۵]  ۴۲۵ .مشهد؛ رضوی؛ شماره نسخه: ۲۹۴۱۸</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محمد ابراهیم، تا: ۱۱۲۹ق؛ انتقالی از دانشگاه عـلوم اسلامی رضوی در مهر ۱۳۸۲؛ کاغذ: نخودی آهار مهره، جلد: تیماج مشکی، ۲۲۲گ، ۲۷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۲۷/۵سم [ف: ۲۶-  82]</w:t>
      </w:r>
    </w:p>
    <w:p>
      <w:pPr>
        <w:pStyle w:val="BookText"/>
      </w:pPr>
      <w:r>
        <w:rPr>
          <w:rFonts w:ascii="IRNazanin" w:hAnsi="IRNazanin" w:eastAsia="IRNazanin" w:cs="IRNazanin"/>
          <w:lang w:bidi="fa-IR"/>
          <w:color w:val="111111"/>
          <w:sz w:val="28"/>
          <w:szCs w:val="28"/>
          <w:rtl/>
        </w:rPr>
        <w:t xml:space="preserve">۴۲۶ .قزوین؛ میر حسینا قزوینی؛ شماره نسخه: ۸۴</w:t>
      </w:r>
    </w:p>
    <w:p>
      <w:pPr>
        <w:pStyle w:val="BookText"/>
      </w:pPr>
      <w:r>
        <w:rPr>
          <w:rFonts w:ascii="IRNazanin" w:hAnsi="IRNazanin" w:eastAsia="IRNazanin" w:cs="IRNazanin"/>
          <w:lang w:bidi="fa-IR"/>
          <w:color w:val="111111"/>
          <w:sz w:val="28"/>
          <w:szCs w:val="28"/>
          <w:rtl/>
        </w:rPr>
        <w:t xml:space="preserve">خط: نسخ، بی کا، تا: ۱۱۳۰ق؛ با بلاغ سماع و اجازه محمد بن حسن بن زین الدین شهید ثانی عاملی به مولانا محمد تقی در 1029[نشریه: ۶ - ۳۳۷]</w:t>
      </w:r>
    </w:p>
    <w:p>
      <w:pPr>
        <w:pStyle w:val="BookText"/>
      </w:pPr>
      <w:r>
        <w:rPr>
          <w:rFonts w:ascii="IRNazanin" w:hAnsi="IRNazanin" w:eastAsia="IRNazanin" w:cs="IRNazanin"/>
          <w:lang w:bidi="fa-IR"/>
          <w:color w:val="111111"/>
          <w:sz w:val="28"/>
          <w:szCs w:val="28"/>
          <w:rtl/>
        </w:rPr>
        <w:t xml:space="preserve">۴۲۷ .مشهد؛ مدرسه باقریه ؛شماره نسخه: ۱۴</w:t>
      </w:r>
    </w:p>
    <w:p>
      <w:pPr>
        <w:pStyle w:val="BookText"/>
      </w:pPr>
      <w:r>
        <w:rPr>
          <w:rFonts w:ascii="IRNazanin" w:hAnsi="IRNazanin" w:eastAsia="IRNazanin" w:cs="IRNazanin"/>
          <w:lang w:bidi="fa-IR"/>
          <w:color w:val="111111"/>
          <w:sz w:val="28"/>
          <w:szCs w:val="28"/>
          <w:rtl/>
        </w:rPr>
        <w:t xml:space="preserve">از آغاز تا اسانید الکتاب؛ خط: نسخ، بی کا، تا: ۱۱۳۶ق؛ تملک: مورخ ۱۱۳۶ق؛ کاغذ: ترمه، ۲۷ سطر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 قطع: رحلی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۳۲سم [ تراثنا: س۶ش ۱ – ۷۲]</w:t>
      </w:r>
    </w:p>
    <w:p>
      <w:pPr>
        <w:pStyle w:val="BookText"/>
      </w:pPr>
      <w:r>
        <w:rPr>
          <w:rFonts w:ascii="IRNazanin" w:hAnsi="IRNazanin" w:eastAsia="IRNazanin" w:cs="IRNazanin"/>
          <w:lang w:bidi="fa-IR"/>
          <w:color w:val="111111"/>
          <w:sz w:val="28"/>
          <w:szCs w:val="28"/>
          <w:rtl/>
        </w:rPr>
        <w:t xml:space="preserve">۴۲۸ .تهران؛ مجلس؛ شماره نسخه: ۵۷۹۱</w:t>
      </w:r>
    </w:p>
    <w:p>
      <w:pPr>
        <w:pStyle w:val="BookText"/>
      </w:pPr>
      <w:r>
        <w:rPr>
          <w:rFonts w:ascii="IRNazanin" w:hAnsi="IRNazanin" w:eastAsia="IRNazanin" w:cs="IRNazanin"/>
          <w:lang w:bidi="fa-IR"/>
          <w:color w:val="111111"/>
          <w:sz w:val="28"/>
          <w:szCs w:val="28"/>
          <w:rtl/>
        </w:rPr>
        <w:t xml:space="preserve">خط: نسخ، بی کا، تا :۱۱۴۰ق؛ محشی، کاغذ: اصفهانی آهارمهره ،جلد: تيماج قهوه ای، ۶۸۲ ص، ۲۵ سطر، قطع: رحلی، اندازه:</w:t>
      </w:r>
    </w:p>
    <w:p>
      <w:pPr>
        <w:pStyle w:val="BookText"/>
      </w:pPr>
      <w:r>
        <w:rPr>
          <w:rFonts w:ascii="IRNazanin" w:hAnsi="IRNazanin" w:eastAsia="IRNazanin" w:cs="IRNazanin"/>
          <w:lang w:bidi="fa-IR"/>
          <w:color w:val="111111"/>
          <w:sz w:val="28"/>
          <w:szCs w:val="28"/>
          <w:rtl/>
        </w:rPr>
        <w:t xml:space="preserve">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۲۷سم [ف : ۱۷ - ۲۲۳]</w:t>
      </w:r>
    </w:p>
    <w:p>
      <w:pPr>
        <w:pStyle w:val="BookText"/>
      </w:pPr>
      <w:r>
        <w:rPr>
          <w:rFonts w:ascii="IRNazanin" w:hAnsi="IRNazanin" w:eastAsia="IRNazanin" w:cs="IRNazanin"/>
          <w:lang w:bidi="fa-IR"/>
          <w:color w:val="111111"/>
          <w:sz w:val="28"/>
          <w:szCs w:val="28"/>
          <w:rtl/>
        </w:rPr>
        <w:t xml:space="preserve">۴۲۹. مشهد؛ رضوی؛ شماره نسخه: ۱۹۱۱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با تاریخ ۱۱۴۵ق؛ مصحح، محشی؛ واقف: نادرشاه ۱۱۴۵؛ کاغذ: نخودی، جلد: تیماج مشکی، ۳۶۶  گ،</w:t>
      </w:r>
    </w:p>
    <w:p>
      <w:pPr>
        <w:pStyle w:val="BookText"/>
      </w:pPr>
      <w:r>
        <w:rPr>
          <w:rFonts w:ascii="IRNazanin" w:hAnsi="IRNazanin" w:eastAsia="IRNazanin" w:cs="IRNazanin"/>
          <w:lang w:bidi="fa-IR"/>
          <w:color w:val="111111"/>
          <w:sz w:val="28"/>
          <w:szCs w:val="28"/>
          <w:rtl/>
        </w:rPr>
        <w:t xml:space="preserve">مختلف السطر،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۳۲سم [ف: ۵ - ۳۵]</w:t>
      </w:r>
    </w:p>
    <w:p>
      <w:pPr>
        <w:pStyle w:val="BookText"/>
      </w:pPr>
      <w:r>
        <w:rPr>
          <w:rFonts w:ascii="IRNazanin" w:hAnsi="IRNazanin" w:eastAsia="IRNazanin" w:cs="IRNazanin"/>
          <w:lang w:bidi="fa-IR"/>
          <w:color w:val="111111"/>
          <w:sz w:val="28"/>
          <w:szCs w:val="28"/>
          <w:rtl/>
        </w:rPr>
        <w:t xml:space="preserve">۴۳۰. تهران؛ مجلس؛ شماره نسخه: ۵۴۳۳</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سه جلد؛ خط: نسخ، کا: محمد علی، اصفهانی، تا: ۲۵ صفر ۱۱۵۱ق؛ مقابله شده با نسخه محمد باقر مجلسی، حاشیه ها را از آن نسـخه گرفته است، تاریخ مقابله ،۱۱۵۱، محشی با نشان «ره» و «م ق  ر»،مجدول، با شش سرلوح خوب، کاغذ: سپاهانی، جلد:  چرم بلغار</w:t>
      </w:r>
    </w:p>
    <w:p>
      <w:pPr>
        <w:pStyle w:val="BookText"/>
      </w:pPr>
      <w:r>
        <w:rPr>
          <w:rFonts w:ascii="IRNazanin" w:hAnsi="IRNazanin" w:eastAsia="IRNazanin" w:cs="IRNazanin"/>
          <w:lang w:bidi="fa-IR"/>
          <w:color w:val="111111"/>
          <w:sz w:val="28"/>
          <w:szCs w:val="28"/>
          <w:rtl/>
        </w:rPr>
        <w:t xml:space="preserve">ضربی، ۳۶۳گ، ۲۵ سطر (6</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۱۶ - ۳۳۳]</w:t>
      </w:r>
    </w:p>
    <w:p>
      <w:pPr>
        <w:pStyle w:val="BookText"/>
      </w:pPr>
      <w:r>
        <w:rPr>
          <w:rFonts w:ascii="IRNazanin" w:hAnsi="IRNazanin" w:eastAsia="IRNazanin" w:cs="IRNazanin"/>
          <w:lang w:bidi="fa-IR"/>
          <w:color w:val="111111"/>
          <w:sz w:val="28"/>
          <w:szCs w:val="28"/>
          <w:rtl/>
        </w:rPr>
        <w:t xml:space="preserve">۴۳۱. تهران؛ مجلس؛ شماره نسخه: ۷۲۵۹</w:t>
      </w:r>
    </w:p>
    <w:p>
      <w:pPr>
        <w:pStyle w:val="BookText"/>
      </w:pPr>
      <w:r>
        <w:rPr>
          <w:rFonts w:ascii="IRNazanin" w:hAnsi="IRNazanin" w:eastAsia="IRNazanin" w:cs="IRNazanin"/>
          <w:lang w:bidi="fa-IR"/>
          <w:color w:val="111111"/>
          <w:sz w:val="28"/>
          <w:szCs w:val="28"/>
          <w:rtl/>
        </w:rPr>
        <w:t xml:space="preserve">خط: نسخ، کا: عسکر بن حسن موسوی (جلد اول) تا: ۱۱۹۴ق؛ محشی به امضاء «منه ره» در پایان کتاب حج اجازه روایی محمد امين بن محمد علی فرج الله المجاور في مقابر قریش (کاظمین) به شیخ صالح بن سلیمان عاملی که کتاب را نزد وی مقابله نموده و آخرین جلسه آن روز پنج شنبه آخر رجب ۱۰۷۱ بوده، و خودش از استادش شیخ فخرالدین طریحی و او از شیخ محمد ولد جابر نجفی و او از شرف الدین علی شولستانی حسینی و او از استادش روایت می کند؛ واقف: عسکر بن حسن الموسوي، ربيع الاول ۱۲۲۵؛ جلد: تیماج قهوه ای ۳۷۶گ، ۲۴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۲۹سم [ف: ۲۵ - ۲۵۶]  ۴۳۲. رشت؛ جمعیت نشر فرهنگ؛ شماره نسخه: ۴۶الف</w:t>
      </w:r>
    </w:p>
    <w:p>
      <w:pPr>
        <w:pStyle w:val="BookText"/>
      </w:pPr>
      <w:r>
        <w:rPr>
          <w:rFonts w:ascii="IRNazanin" w:hAnsi="IRNazanin" w:eastAsia="IRNazanin" w:cs="IRNazanin"/>
          <w:lang w:bidi="fa-IR"/>
          <w:color w:val="111111"/>
          <w:sz w:val="28"/>
          <w:szCs w:val="28"/>
          <w:rtl/>
        </w:rPr>
        <w:t xml:space="preserve">خط: شکسته، نستعلیق، بی   کا، تا: قرن ۱۳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۲۵/۵سم  [رشت و همدان - ف - ۱۰۸۸]</w:t>
      </w:r>
    </w:p>
    <w:p>
      <w:pPr>
        <w:pStyle w:val="BookText"/>
      </w:pPr>
      <w:r>
        <w:rPr>
          <w:rFonts w:ascii="IRNazanin" w:hAnsi="IRNazanin" w:eastAsia="IRNazanin" w:cs="IRNazanin"/>
          <w:lang w:bidi="fa-IR"/>
          <w:color w:val="111111"/>
          <w:sz w:val="28"/>
          <w:szCs w:val="28"/>
          <w:rtl/>
        </w:rPr>
        <w:t xml:space="preserve">۴۳۳. قم؛ ارگانی بهبهانی؛ شماره نسخه: ۱۷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زیبا و نستعلیق، بی کا، تا: احتمالاً قرن ۱۳؛ افتادگی: قسمتی از مشیخه؛ مصحح، محشی بعضاً با رموز «س ع د»، «ن ع»، «ق»، «م د» «ب هـ» و کتابهای لغت و غیره، دارای سرلوح،  ،مجدول در صفحه ۱۹ حاشیه ای از میرحسن القائنی نقل شده است، نسخه از ورثه سید محمد رضوی در سال ۱۱۷۹ خریداری شده؛ تملک: ابوالفضل مشهور بن محمد رضوی در صفر ۱۱۷۰(؟) با مهر مستطیل ؛ با مهر یا امام زین العابدین (بیضی) و «غلامعلی بیضی)؛ ۴۹۵گ ۲۳  سطر،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۳۳/۵سم  [ف - ۴۲]</w:t>
      </w:r>
    </w:p>
    <w:p>
      <w:pPr>
        <w:pStyle w:val="BookText"/>
      </w:pPr>
      <w:r>
        <w:rPr>
          <w:rFonts w:ascii="IRNazanin" w:hAnsi="IRNazanin" w:eastAsia="IRNazanin" w:cs="IRNazanin"/>
          <w:lang w:bidi="fa-IR"/>
          <w:color w:val="111111"/>
          <w:sz w:val="28"/>
          <w:szCs w:val="28"/>
          <w:rtl/>
        </w:rPr>
        <w:t xml:space="preserve">۴۳۴. قم دار الحدیث؛ شماره نسخه: ۱۳۴</w:t>
      </w:r>
    </w:p>
    <w:p>
      <w:pPr>
        <w:pStyle w:val="BookText"/>
      </w:pPr>
      <w:r>
        <w:rPr>
          <w:rFonts w:ascii="IRNazanin" w:hAnsi="IRNazanin" w:eastAsia="IRNazanin" w:cs="IRNazanin"/>
          <w:lang w:bidi="fa-IR"/>
          <w:color w:val="111111"/>
          <w:sz w:val="28"/>
          <w:szCs w:val="28"/>
          <w:rtl/>
        </w:rPr>
        <w:t xml:space="preserve">خط ،نسخ، بی کا، تا: قرن ۱۳؛ جلد: تیماج قهوه ای سوخت، با ترنج با سر، ۴۴۰گ، ۱۷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۳۴سم[ ف: ۲۶]</w:t>
      </w:r>
    </w:p>
    <w:p>
      <w:pPr>
        <w:pStyle w:val="BookText"/>
      </w:pPr>
      <w:r>
        <w:rPr>
          <w:rFonts w:ascii="IRNazanin" w:hAnsi="IRNazanin" w:eastAsia="IRNazanin" w:cs="IRNazanin"/>
          <w:lang w:bidi="fa-IR"/>
          <w:color w:val="111111"/>
          <w:sz w:val="28"/>
          <w:szCs w:val="28"/>
          <w:rtl/>
        </w:rPr>
        <w:t xml:space="preserve">۴۳۵. خوی؛ نمازی؛ شماره نسخه: ۲۰۱</w:t>
      </w:r>
    </w:p>
    <w:p>
      <w:pPr>
        <w:pStyle w:val="BookText"/>
      </w:pPr>
      <w:r>
        <w:rPr>
          <w:rFonts w:ascii="IRNazanin" w:hAnsi="IRNazanin" w:eastAsia="IRNazanin" w:cs="IRNazanin"/>
          <w:lang w:bidi="fa-IR"/>
          <w:color w:val="111111"/>
          <w:sz w:val="28"/>
          <w:szCs w:val="28"/>
          <w:rtl/>
        </w:rPr>
        <w:t xml:space="preserve">خط: نسخ، بی کا، بی تا: دارای علامت بلاغ، با سرلوح مذهب مرصع، مذهب؛ تملک: سید علی  حکیم، محمد بن قيد المولى بن على بن زامل بن هملان بن محمد بن حسین بن خضر ۱۲۰۶؛ از موقوفات شهید؛ جلد: جلد ،سوخت ۲۳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۲۵/۵</w:t>
      </w:r>
    </w:p>
    <w:p>
      <w:pPr>
        <w:pStyle w:val="BookText"/>
      </w:pPr>
      <w:r>
        <w:rPr>
          <w:rFonts w:ascii="IRNazanin" w:hAnsi="IRNazanin" w:eastAsia="IRNazanin" w:cs="IRNazanin"/>
          <w:lang w:bidi="fa-IR"/>
          <w:color w:val="111111"/>
          <w:sz w:val="28"/>
          <w:szCs w:val="28"/>
          <w:rtl/>
        </w:rPr>
        <w:t xml:space="preserve">[ف: ۱۰۳]</w:t>
      </w:r>
    </w:p>
    <w:p>
      <w:pPr>
        <w:pStyle w:val="BookText"/>
      </w:pPr>
      <w:r>
        <w:rPr>
          <w:rFonts w:ascii="IRNazanin" w:hAnsi="IRNazanin" w:eastAsia="IRNazanin" w:cs="IRNazanin"/>
          <w:lang w:bidi="fa-IR"/>
          <w:color w:val="111111"/>
          <w:sz w:val="28"/>
          <w:szCs w:val="28"/>
          <w:rtl/>
        </w:rPr>
        <w:t xml:space="preserve">۴۳۶. مشهد؛ رضوی؛ شماره نسخه: ۲۵۱۳۸</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قاسم بن ابراهیم  مشهدی، تا: ۲۷ ذیقعده ۱۲۱۰ق؛ تملک: ابوالقاسم بن محمد یوسف عزیزی در ۱۳۳۰؛ واقف: زین الدین جعفر زاهدی، دی ۱۳۷۷؛ کاغذ: شکری آهار مهره ،جلد: تیماج مشکی ، ۲۸۸گ ، ۲۷ سطر ،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۳۴سم[ف:۲۶ –۷۵]</w:t>
      </w:r>
    </w:p>
    <w:p>
      <w:pPr>
        <w:pStyle w:val="BookText"/>
      </w:pPr>
      <w:r>
        <w:rPr>
          <w:rFonts w:ascii="IRNazanin" w:hAnsi="IRNazanin" w:eastAsia="IRNazanin" w:cs="IRNazanin"/>
          <w:lang w:bidi="fa-IR"/>
          <w:color w:val="111111"/>
          <w:sz w:val="28"/>
          <w:szCs w:val="28"/>
          <w:rtl/>
        </w:rPr>
        <w:t xml:space="preserve">۴۳۷. مشهد؛ رضوی؛ شماره نسخه: ۲۰۱۵۱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ص: 272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جلد 3- 1؛ خط: نسخ، بی کا، تا: ۱۲۱۴ق؛ اسانید نسخه با دو برگ اول توسط مرحوم سید مصطفی صفایی خوانساری در اول محـرم ۱۳۹۱ نونویسی شده؛ اهدایی  رهبری، خرداد ۱۳۷۳؛ کاغذ: آ هار  مهره الوان، جلد: تیماج مشکی ضربی با ترنج و سرترنج و چهار ابرو، ۵۰۹گ، ۲۱ سطر ،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۲۹سم [اهدائی :رهبر ۲ اخبار ۱ - 92]</w:t>
      </w:r>
    </w:p>
    <w:p>
      <w:pPr>
        <w:pStyle w:val="BookText"/>
      </w:pPr>
      <w:r>
        <w:rPr>
          <w:rFonts w:ascii="IRNazanin" w:hAnsi="IRNazanin" w:eastAsia="IRNazanin" w:cs="IRNazanin"/>
          <w:lang w:bidi="fa-IR"/>
          <w:color w:val="111111"/>
          <w:sz w:val="28"/>
          <w:szCs w:val="28"/>
          <w:rtl/>
        </w:rPr>
        <w:t xml:space="preserve">۴۳۸. مشهد؛ گوهرشاد؛ شماره نسخه: بدون شماره</w:t>
      </w:r>
    </w:p>
    <w:p>
      <w:pPr>
        <w:pStyle w:val="BookText"/>
      </w:pPr>
      <w:r>
        <w:rPr>
          <w:rFonts w:ascii="IRNazanin" w:hAnsi="IRNazanin" w:eastAsia="IRNazanin" w:cs="IRNazanin"/>
          <w:lang w:bidi="fa-IR"/>
          <w:color w:val="111111"/>
          <w:sz w:val="28"/>
          <w:szCs w:val="28"/>
          <w:rtl/>
        </w:rPr>
        <w:t xml:space="preserve">خط: نسخ ،بی کا، تا: ۱۲۲۲ق؛ با وقف نامه میرزا کلب علی پسر ميرزا علی نقی خوافی رشخاری با تولیت ملا محمد صالح تربتی</w:t>
      </w:r>
    </w:p>
    <w:p>
      <w:pPr>
        <w:pStyle w:val="BookText"/>
      </w:pPr>
      <w:r>
        <w:rPr>
          <w:rFonts w:ascii="IRNazanin" w:hAnsi="IRNazanin" w:eastAsia="IRNazanin" w:cs="IRNazanin"/>
          <w:lang w:bidi="fa-IR"/>
          <w:color w:val="111111"/>
          <w:sz w:val="28"/>
          <w:szCs w:val="28"/>
          <w:rtl/>
        </w:rPr>
        <w:t xml:space="preserve">در  رییع الثاني ۱۲۳۲؛ جلد: تیماج تریاکی ضربی، ۲۹ سطر قطـع:رحلی،[ چهار کتابخانه مشهد -ف - ۲۱۲]</w:t>
      </w:r>
    </w:p>
    <w:p>
      <w:pPr>
        <w:pStyle w:val="BookText"/>
      </w:pPr>
      <w:r>
        <w:rPr>
          <w:rFonts w:ascii="IRNazanin" w:hAnsi="IRNazanin" w:eastAsia="IRNazanin" w:cs="IRNazanin"/>
          <w:lang w:bidi="fa-IR"/>
          <w:color w:val="111111"/>
          <w:sz w:val="28"/>
          <w:szCs w:val="28"/>
          <w:rtl/>
        </w:rPr>
        <w:t xml:space="preserve">۴۳۹. شیراز؛ ملی؛ شماره نسخه: ۶۹۷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جمادی الثانی ۱۲۲۵ق؛ کاغذ: نخودی نازک و کلفت، جلد: مقوا با تیماج سرخ  ضربی، ۴۶۲گ، ۲۷ سـطر</w:t>
      </w:r>
    </w:p>
    <w:p>
      <w:pPr>
        <w:pStyle w:val="BookText"/>
      </w:pPr>
      <w:r>
        <w:rPr>
          <w:rFonts w:ascii="IRNazanin" w:hAnsi="IRNazanin" w:eastAsia="IRNazanin" w:cs="IRNazanin"/>
          <w:lang w:bidi="fa-IR"/>
          <w:color w:val="111111"/>
          <w:sz w:val="28"/>
          <w:szCs w:val="28"/>
          <w:rtl/>
        </w:rPr>
        <w:t xml:space="preserve">(۶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 ،اندازه: ۱۶/۵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۳۰/۵سم [ف: ۲ - ۲۸۱]</w:t>
      </w:r>
    </w:p>
    <w:p>
      <w:pPr>
        <w:pStyle w:val="BookText"/>
      </w:pPr>
      <w:r>
        <w:rPr>
          <w:rFonts w:ascii="IRNazanin" w:hAnsi="IRNazanin" w:eastAsia="IRNazanin" w:cs="IRNazanin"/>
          <w:lang w:bidi="fa-IR"/>
          <w:color w:val="111111"/>
          <w:sz w:val="28"/>
          <w:szCs w:val="28"/>
          <w:rtl/>
        </w:rPr>
        <w:t xml:space="preserve">۴۴۰. مشهد؛ رضوی؛ شماره نسخه: ۳۲۹۵۷</w:t>
      </w:r>
    </w:p>
    <w:p>
      <w:pPr>
        <w:pStyle w:val="BookText"/>
      </w:pPr>
      <w:r>
        <w:rPr>
          <w:rFonts w:ascii="IRNazanin" w:hAnsi="IRNazanin" w:eastAsia="IRNazanin" w:cs="IRNazanin"/>
          <w:lang w:bidi="fa-IR"/>
          <w:color w:val="111111"/>
          <w:sz w:val="28"/>
          <w:szCs w:val="28"/>
          <w:rtl/>
        </w:rPr>
        <w:t xml:space="preserve">از مقدمه تا کتاب الفرائض (باب ميراث المستهل)؛ خط: نستعليق و نسخ و ثلث،کا: سید جعفر رضوی، تا: پنج شنبه ۱۱ شعـبان ۱۲۶۶ق، جا: شیراز؛ اهدایی ،رهبری، بهمن ۱۳۸۴؛ کاغذ: نخودی، آهار مهره، جلد: میشن  مشکی، ۲۴۵گ، ۲۱ سطر، اندازه: ۱۴/۷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[اهدائی رهبر ۲ اخبار ۱ - ۹۲]</w:t>
      </w:r>
    </w:p>
    <w:p>
      <w:pPr>
        <w:pStyle w:val="BookText"/>
      </w:pPr>
      <w:r>
        <w:rPr>
          <w:rFonts w:ascii="IRNazanin" w:hAnsi="IRNazanin" w:eastAsia="IRNazanin" w:cs="IRNazanin"/>
          <w:lang w:bidi="fa-IR"/>
          <w:color w:val="111111"/>
          <w:sz w:val="28"/>
          <w:szCs w:val="28"/>
          <w:rtl/>
        </w:rPr>
        <w:t xml:space="preserve">۴۴۱. یزد ؛کاظمینی؛ شماره نسخه: ۱۲</w:t>
      </w:r>
    </w:p>
    <w:p>
      <w:pPr>
        <w:pStyle w:val="BookText"/>
      </w:pPr>
      <w:r>
        <w:rPr>
          <w:rFonts w:ascii="Amiri" w:hAnsi="Amiri" w:eastAsia="Amiri" w:cs="Amiri"/>
          <w:lang w:bidi="ar-SA"/>
          <w:color w:val="111111"/>
          <w:sz w:val="28"/>
          <w:szCs w:val="28"/>
          <w:rtl/>
        </w:rPr>
        <w:t xml:space="preserve">آغاز: ان تنزح منه دلاء فان ذلك يطرها ان شاء الله تعالى فالوجه فى هذه الاخبار احد شيئين</w:t>
      </w:r>
    </w:p>
    <w:p>
      <w:pPr>
        <w:pStyle w:val="BookText"/>
      </w:pPr>
      <w:r>
        <w:rPr>
          <w:rFonts w:ascii="IRNazanin" w:hAnsi="IRNazanin" w:eastAsia="IRNazanin" w:cs="IRNazanin"/>
          <w:lang w:bidi="fa-IR"/>
          <w:color w:val="111111"/>
          <w:sz w:val="28"/>
          <w:szCs w:val="28"/>
          <w:rtl/>
        </w:rPr>
        <w:t xml:space="preserve">از اواسط کتاب الطهارة تا پایان کتاب المكاسب؛ خط: نسخ نازیبا، بی کا، تا: از پنج شنبه ۱۶ ذیقعده ۱۳۱۰؛ تا: جمعه ۲۳ ربیع الثانی ،۱۳۱۱ق؛ افتادگی: آغاز؛ مصحح ،در برگ آخر یادداشتی به سـال ۱۳۶۴؛ جلد: تیماج ،مشکی، ۴۵۱گ، مختلف السطر، اندازه:۱۸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۲۲/۵سم [ف: ۱ - ۲۹]</w:t>
      </w:r>
    </w:p>
    <w:p>
      <w:pPr>
        <w:pStyle w:val="BookText"/>
      </w:pPr>
      <w:r>
        <w:rPr>
          <w:rFonts w:ascii="IRNazanin" w:hAnsi="IRNazanin" w:eastAsia="IRNazanin" w:cs="IRNazanin"/>
          <w:lang w:bidi="fa-IR"/>
          <w:color w:val="111111"/>
          <w:sz w:val="28"/>
          <w:szCs w:val="28"/>
          <w:rtl/>
        </w:rPr>
        <w:t xml:space="preserve">۴۴۲. مشهد؛ رضوی؛ شماره نسخه: ۱۹۰۹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فهرست ابواب و اسانید را ندارد؛ خط: نسخ، کا: حسین بن منصـور سبزواری، تا: ۱۳۱۹ق ؛واقف ،فهرستی تیر ۱۳۱۰ ،کاغذ: آهاری نخودی، جلد: تیماج  ماشی، ۴۵۸گ، ۱۹ سطر، اندازه: ۱۹/۵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۲۳/۵سم [ف: ۵ - ۳۴]</w:t>
      </w:r>
    </w:p>
    <w:p>
      <w:pPr>
        <w:pStyle w:val="BookText"/>
      </w:pPr>
      <w:r>
        <w:rPr>
          <w:rFonts w:ascii="IRNazanin" w:hAnsi="IRNazanin" w:eastAsia="IRNazanin" w:cs="IRNazanin"/>
          <w:lang w:bidi="fa-IR"/>
          <w:color w:val="111111"/>
          <w:sz w:val="28"/>
          <w:szCs w:val="28"/>
          <w:rtl/>
        </w:rPr>
        <w:t xml:space="preserve">۴۴۳. مشهد؛ رضوی؛ شماره نسخه: ۶۵۷۹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شعبان ۱۳۳۷ق؛ صفحه آخر به خط تازه در شعبان ۱۳۳۷ نوشته شده؛ مصحح؛ واقف: تقی آقای مدرس ،رضوی ۱۴ شهریور ۱۳۲۳ ؛کاغذ: آهاری نخودی ،جلد: تیماج ،مشکی، ۴۷۳گ، ۱۹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۵ - ۳۵]</w:t>
      </w:r>
    </w:p>
    <w:p>
      <w:pPr>
        <w:pStyle w:val="BookText"/>
      </w:pPr>
      <w:r>
        <w:rPr>
          <w:rFonts w:ascii="IRNazanin" w:hAnsi="IRNazanin" w:eastAsia="IRNazanin" w:cs="IRNazanin"/>
          <w:lang w:bidi="fa-IR"/>
          <w:color w:val="111111"/>
          <w:sz w:val="28"/>
          <w:szCs w:val="28"/>
          <w:rtl/>
        </w:rPr>
        <w:t xml:space="preserve">۴۴۴. مشهد؛ رضوی؛ شماره نسخه: ۱۹۰۵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،مصحح، دارای سرلوح مزدوج مذهب  مزین، مجدول؛ واقف ،نائینی مرداد ۱۳۱۱؛ کاغذ: آهاری</w:t>
      </w:r>
    </w:p>
    <w:p>
      <w:pPr>
        <w:pStyle w:val="BookText"/>
      </w:pPr>
      <w:r>
        <w:rPr>
          <w:rFonts w:ascii="IRNazanin" w:hAnsi="IRNazanin" w:eastAsia="IRNazanin" w:cs="IRNazanin"/>
          <w:lang w:bidi="fa-IR"/>
          <w:color w:val="111111"/>
          <w:sz w:val="28"/>
          <w:szCs w:val="28"/>
          <w:rtl/>
        </w:rPr>
        <w:t xml:space="preserve">،نخودی، جلد: تیماج ماشی ،ضربی، ۳۸۶گ، ۲۷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۲۴/۵سم [ف: ۵ - ۳۵]</w:t>
      </w:r>
    </w:p>
    <w:p>
      <w:pPr>
        <w:pStyle w:val="BookText"/>
      </w:pPr>
      <w:r>
        <w:rPr>
          <w:rFonts w:ascii="IRNazanin" w:hAnsi="IRNazanin" w:eastAsia="IRNazanin" w:cs="IRNazanin"/>
          <w:lang w:bidi="fa-IR"/>
          <w:color w:val="111111"/>
          <w:sz w:val="28"/>
          <w:szCs w:val="28"/>
          <w:rtl/>
        </w:rPr>
        <w:t xml:space="preserve">۴۴۵ .مشهد مدرسه آیة الله خوئی؛ شماره نسخه: ۳۸۷</w:t>
      </w:r>
    </w:p>
    <w:p>
      <w:pPr>
        <w:pStyle w:val="BookText"/>
      </w:pPr>
      <w:r>
        <w:rPr>
          <w:rFonts w:ascii="IRNazanin" w:hAnsi="IRNazanin" w:eastAsia="IRNazanin" w:cs="IRNazanin"/>
          <w:lang w:bidi="fa-IR"/>
          <w:color w:val="111111"/>
          <w:sz w:val="28"/>
          <w:szCs w:val="28"/>
          <w:rtl/>
        </w:rPr>
        <w:t xml:space="preserve">كا: سيد نعمة الله حسینی جزایری، بی تا؛ افتادگی: آغاز و انجام؛ محشی به خط دانشمند شهیر سید نعمة الله حسینی جزایری [اوراق</w:t>
      </w:r>
    </w:p>
    <w:p>
      <w:pPr>
        <w:pStyle w:val="BookText"/>
      </w:pPr>
      <w:r>
        <w:rPr>
          <w:rFonts w:ascii="IRNazanin" w:hAnsi="IRNazanin" w:eastAsia="IRNazanin" w:cs="IRNazanin"/>
          <w:lang w:bidi="fa-IR"/>
          <w:color w:val="111111"/>
          <w:sz w:val="28"/>
          <w:szCs w:val="28"/>
          <w:rtl/>
        </w:rPr>
        <w:t xml:space="preserve">عتیق: ۱ - 241]</w:t>
      </w:r>
    </w:p>
    <w:p>
      <w:pPr>
        <w:pStyle w:val="BookText"/>
      </w:pPr>
      <w:r>
        <w:rPr>
          <w:rFonts w:ascii="Times New Roman" w:hAnsi="Times New Roman" w:eastAsia="Times New Roman" w:cs="Times New Roman"/>
          <w:lang w:val="en-US" w:bidi="en-US"/>
          <w:color w:val="111111"/>
          <w:sz w:val="28"/>
          <w:szCs w:val="28"/>
          <w:rtl/>
        </w:rPr>
        <w:t xml:space="preserve">446.</w:t>
      </w:r>
    </w:p>
    <w:p>
      <w:pPr>
        <w:pStyle w:val="BookText"/>
      </w:pPr>
      <w:r>
        <w:rPr>
          <w:rFonts w:ascii="IRNazanin" w:hAnsi="IRNazanin" w:eastAsia="IRNazanin" w:cs="IRNazanin"/>
          <w:lang w:bidi="fa-IR"/>
          <w:color w:val="111111"/>
          <w:sz w:val="28"/>
          <w:szCs w:val="28"/>
          <w:rtl/>
        </w:rPr>
        <w:t xml:space="preserve">قم؛ مسجد اعظم؛ شماره نسخه: ۱۸۴</w:t>
      </w:r>
    </w:p>
    <w:p>
      <w:pPr>
        <w:pStyle w:val="BookText"/>
      </w:pPr>
      <w:r>
        <w:rPr>
          <w:rFonts w:ascii="Amiri" w:hAnsi="Amiri" w:eastAsia="Amiri" w:cs="Amiri"/>
          <w:lang w:bidi="ar-SA"/>
          <w:color w:val="111111"/>
          <w:sz w:val="28"/>
          <w:szCs w:val="28"/>
          <w:rtl/>
        </w:rPr>
        <w:t xml:space="preserve">آغاز: برابر؛ انجام: واذا ثبت ان الاتمام فى حرم الله الله وحرم الرسول و هو  المستحب دون المسجد على الاختصاص وان كان قد خصا فى هذين الخبرين وكذلك فى مسجد الكوفة لان احداما فرق بين  الموضعين</w:t>
      </w:r>
    </w:p>
    <w:p>
      <w:pPr>
        <w:pStyle w:val="BookText"/>
      </w:pPr>
      <w:r>
        <w:rPr>
          <w:rFonts w:ascii="IRNazanin" w:hAnsi="IRNazanin" w:eastAsia="IRNazanin" w:cs="IRNazanin"/>
          <w:lang w:bidi="fa-IR"/>
          <w:color w:val="111111"/>
          <w:sz w:val="28"/>
          <w:szCs w:val="28"/>
          <w:rtl/>
        </w:rPr>
        <w:t xml:space="preserve">طهارت تا حج؛ خط: نسخ، بی کا، بی تا، مصحح؛ جلد: تيماج قهوه ای کهنه بدون مقوا، ۱۶۷گ، ۲۲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۳۰سم [ف مخ: ۱ - ۱۳۸]</w:t>
      </w:r>
    </w:p>
    <w:p>
      <w:pPr>
        <w:pStyle w:val="BookText"/>
      </w:pPr>
      <w:r>
        <w:rPr>
          <w:rFonts w:ascii="IRNazanin" w:hAnsi="IRNazanin" w:eastAsia="IRNazanin" w:cs="IRNazanin"/>
          <w:lang w:bidi="fa-IR"/>
          <w:color w:val="111111"/>
          <w:sz w:val="28"/>
          <w:szCs w:val="28"/>
          <w:rtl/>
        </w:rPr>
        <w:t xml:space="preserve">۴۴۷. قم؛ مسجد اعظم؛ شماره نسخه: ۱۶۰۵</w:t>
      </w:r>
    </w:p>
    <w:p>
      <w:pPr>
        <w:pStyle w:val="BookText"/>
      </w:pPr>
      <w:r>
        <w:rPr>
          <w:rFonts w:ascii="Amiri" w:hAnsi="Amiri" w:eastAsia="Amiri" w:cs="Amiri"/>
          <w:lang w:bidi="ar-SA"/>
          <w:color w:val="111111"/>
          <w:sz w:val="28"/>
          <w:szCs w:val="28"/>
          <w:rtl/>
        </w:rPr>
        <w:t xml:space="preserve">آغاز: برابر؛ انجام: كذلك في مسجد الكوفة لان احداً لا يفرق بين  المرضعين ثم الجزء الثانى من كتاب الاستبصار.</w:t>
      </w:r>
    </w:p>
    <w:p>
      <w:pPr>
        <w:pStyle w:val="BookText"/>
      </w:pPr>
      <w:r>
        <w:rPr>
          <w:rFonts w:ascii="IRNazanin" w:hAnsi="IRNazanin" w:eastAsia="IRNazanin" w:cs="IRNazanin"/>
          <w:lang w:bidi="fa-IR"/>
          <w:color w:val="111111"/>
          <w:sz w:val="28"/>
          <w:szCs w:val="28"/>
          <w:rtl/>
        </w:rPr>
        <w:t xml:space="preserve">جلد ۱ و ۲، از اول کتاب تا باب «انه يستحب اتمام الصلوة في حرم الكوفة»؛ خط: نسخ ،بی کا، بی تا: ،مصحح یادداشت در اول کتاب مبنی بر این که شمس العلماء على اكبر الحسنی این کتاب را در سال ۱۳۴۱ق ششم ماه شعبان به شیخ محمد اسماعیل معروف به فاضل تبریزی هدیه کرده است؛ مهر: «شمس العلماء» (بیضی) «محمد حسين الكاظمی» (بیضی)؛ جلد: تیماج قهوه ای مجدول  گرهی ۲۳۳گ، ۲۲ سطر، اندازه: ۳۰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مخ: ۱ - ۱۳۸]</w:t>
      </w:r>
    </w:p>
    <w:p>
      <w:pPr>
        <w:pStyle w:val="BookText"/>
      </w:pPr>
      <w:r>
        <w:rPr>
          <w:rFonts w:ascii="IRNazanin" w:hAnsi="IRNazanin" w:eastAsia="IRNazanin" w:cs="IRNazanin"/>
          <w:lang w:bidi="fa-IR"/>
          <w:color w:val="111111"/>
          <w:sz w:val="28"/>
          <w:szCs w:val="28"/>
          <w:rtl/>
        </w:rPr>
        <w:t xml:space="preserve">۴۴۸. تهران؛ سپهسالار؛ شماره نسخه: ۱۸۹۸</w:t>
      </w:r>
    </w:p>
    <w:p>
      <w:pPr>
        <w:pStyle w:val="BookText"/>
      </w:pPr>
      <w:r>
        <w:rPr>
          <w:rFonts w:ascii="Amiri" w:hAnsi="Amiri" w:eastAsia="Amiri" w:cs="Amiri"/>
          <w:lang w:bidi="ar-SA"/>
          <w:color w:val="111111"/>
          <w:sz w:val="28"/>
          <w:szCs w:val="28"/>
          <w:rtl/>
        </w:rPr>
        <w:t xml:space="preserve">آغاز: برابر؛ انجام: ثم طلقها وتركها حتى حاضت ثلاث حيض  تزوجها ثم طلقها فتركها حتى حاضت</w:t>
      </w:r>
    </w:p>
    <w:p>
      <w:pPr>
        <w:pStyle w:val="BookText"/>
      </w:pPr>
      <w:r>
        <w:rPr>
          <w:rFonts w:ascii="IRNazanin" w:hAnsi="IRNazanin" w:eastAsia="IRNazanin" w:cs="IRNazanin"/>
          <w:lang w:bidi="fa-IR"/>
          <w:color w:val="111111"/>
          <w:sz w:val="28"/>
          <w:szCs w:val="28"/>
          <w:rtl/>
        </w:rPr>
        <w:t xml:space="preserve">جزء اول و دوم و قسمتی از جزء سوم کتاب؛ خط: نسخ، بی کا،  بی تا؛ مصحح، مقابله شده، محشی به امضاء: «س- د- و ا -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 م ح ق - و-ع - ل - م ق» و غیره؛ واقف: سپهسالار؛ کاغذ: نباتی، جلد: تیماج ،۲۳۱ ص، ۲۸  سطر، قطع: رحلی،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۳۰سم[ ف: ۱ - ۲۰۴]</w:t>
      </w:r>
    </w:p>
    <w:p>
      <w:pPr>
        <w:pStyle w:val="BookText"/>
      </w:pPr>
      <w:r>
        <w:rPr>
          <w:rFonts w:ascii="IRNazanin" w:hAnsi="IRNazanin" w:eastAsia="IRNazanin" w:cs="IRNazanin"/>
          <w:lang w:bidi="fa-IR"/>
          <w:color w:val="111111"/>
          <w:sz w:val="28"/>
          <w:szCs w:val="28"/>
          <w:rtl/>
        </w:rPr>
        <w:t xml:space="preserve">۴۴۹ .قم؛ گلپایگانی؛ شماره نسخه: ۱۸۲-۲/۲</w:t>
      </w:r>
    </w:p>
    <w:p>
      <w:pPr>
        <w:pStyle w:val="BookText"/>
      </w:pPr>
      <w:r>
        <w:rPr>
          <w:rFonts w:ascii="Amiri" w:hAnsi="Amiri" w:eastAsia="Amiri" w:cs="Amiri"/>
          <w:lang w:bidi="ar-SA"/>
          <w:color w:val="111111"/>
          <w:sz w:val="28"/>
          <w:szCs w:val="28"/>
          <w:rtl/>
        </w:rPr>
        <w:t xml:space="preserve">آغاز: التخصيص بدلالة مارواه محمد بن يحيى عن محمد بن الحسن عن احمد بن محمد بن ابي نصر عن عاصم بن حميد عن ابي بصير عن أبي جعفر عليه السلام قال قلت له الرجل ... كتاب الشهادات باب العدالة المعتبرة فى الشهادة؛ انجام لا يصوم الرجل يومين متواليين من غير افطار وقد يستحب للعبد أن لايدع السحور تم كتاب الصيام من كتاب الاستبصار و يتلوه كتاب الحج ان شاء الله والحمد لله وحده بتوفيق الله.</w:t>
      </w:r>
    </w:p>
    <w:p>
      <w:pPr>
        <w:pStyle w:val="BookText"/>
      </w:pPr>
      <w:r>
        <w:rPr>
          <w:rFonts w:ascii="IRNazanin" w:hAnsi="IRNazanin" w:eastAsia="IRNazanin" w:cs="IRNazanin"/>
          <w:lang w:bidi="fa-IR"/>
          <w:color w:val="111111"/>
          <w:sz w:val="28"/>
          <w:szCs w:val="28"/>
          <w:rtl/>
        </w:rPr>
        <w:t xml:space="preserve">کتاب شهادات تا صیام و یک برگ از آغاز کتاب الحج؛ خط: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نسخ، بی کا، بی تا؛ افتادگی: آغاز: مجدول مذهب، مصحح؛ جـلد: گالینگور قهوه ای، عطف تیماج ۱۷۰گ، ۲۶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۳۱سم [ف: ۱ - ۳۳۰]</w:t>
      </w:r>
    </w:p>
    <w:p>
      <w:pPr>
        <w:pStyle w:val="BookText"/>
      </w:pPr>
      <w:r>
        <w:rPr>
          <w:rFonts w:ascii="IRNazanin" w:hAnsi="IRNazanin" w:eastAsia="IRNazanin" w:cs="IRNazanin"/>
          <w:lang w:bidi="fa-IR"/>
          <w:color w:val="111111"/>
          <w:sz w:val="28"/>
          <w:szCs w:val="28"/>
          <w:rtl/>
        </w:rPr>
        <w:t xml:space="preserve">۴۵۰. قم؛ گلپایگانی؛ شماره نسخه: ۱۱۰۳-۷/۳</w:t>
      </w:r>
    </w:p>
    <w:p>
      <w:pPr>
        <w:pStyle w:val="BookText"/>
      </w:pPr>
      <w:r>
        <w:rPr>
          <w:rFonts w:ascii="IRNazanin" w:hAnsi="IRNazanin" w:eastAsia="IRNazanin" w:cs="IRNazanin"/>
          <w:lang w:bidi="fa-IR"/>
          <w:color w:val="111111"/>
          <w:sz w:val="28"/>
          <w:szCs w:val="28"/>
          <w:rtl/>
        </w:rPr>
        <w:t xml:space="preserve">آغاز: باب اقل الحيض واكثره اخبرنى الشيخ ره عن ابى القاسم جعفر بن محمد عن محمد بن يعقوب عن عدة من اصحابنا احمدبن محمد بن عيسى عن علی بن احمد بن اشيم عن احمد بن محمد ؛انجام: باب حكم المحارب محمد بن على بن محبوب عن احـمد بن محمد ... فقال له ابو عبیده اصلحك الله ارايت ان عفی   عنه اولياء المقتول قال فقال ابو جعفر عليه السلام ان عفو عند</w:t>
      </w:r>
    </w:p>
    <w:p>
      <w:pPr>
        <w:pStyle w:val="BookText"/>
      </w:pPr>
      <w:r>
        <w:rPr>
          <w:rFonts w:ascii="IRNazanin" w:hAnsi="IRNazanin" w:eastAsia="IRNazanin" w:cs="IRNazanin"/>
          <w:lang w:bidi="fa-IR"/>
          <w:color w:val="111111"/>
          <w:sz w:val="28"/>
          <w:szCs w:val="28"/>
          <w:rtl/>
        </w:rPr>
        <w:t xml:space="preserve">از كتاب الطهارة تا كتاب الحدود؛ خط: نسخ، بی کا، بی تا: افتادگی: آغاز و انجام: مصحح؛ جلد: تیماج سرخ ضربی، ترنج ،باسر مجدول، ۳۱۸گ، ۲۷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۳۶/۵سم[ ف: 1- 330]</w:t>
      </w:r>
    </w:p>
    <w:p>
      <w:pPr>
        <w:pStyle w:val="BookText"/>
      </w:pPr>
      <w:r>
        <w:rPr>
          <w:rFonts w:ascii="Times New Roman" w:hAnsi="Times New Roman" w:eastAsia="Times New Roman" w:cs="Times New Roman"/>
          <w:lang w:val="en-US" w:bidi="en-US"/>
          <w:color w:val="111111"/>
          <w:sz w:val="28"/>
          <w:szCs w:val="28"/>
          <w:rtl/>
        </w:rPr>
        <w:t xml:space="preserve">451.</w:t>
      </w:r>
    </w:p>
    <w:p>
      <w:pPr>
        <w:pStyle w:val="BookText"/>
      </w:pPr>
      <w:r>
        <w:rPr>
          <w:rFonts w:ascii="IRNazanin" w:hAnsi="IRNazanin" w:eastAsia="IRNazanin" w:cs="IRNazanin"/>
          <w:lang w:bidi="fa-IR"/>
          <w:color w:val="111111"/>
          <w:sz w:val="28"/>
          <w:szCs w:val="28"/>
          <w:rtl/>
        </w:rPr>
        <w:t xml:space="preserve">قم؛ گلپایگانی؛ شماره نسخه: ۱۱۱۸-۷/۱۸</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 نسخ،  کا: عبدالعلی بن محمد علی بن حماد  حلی، بی تا:مصحح، دارای علامات بلاغ ،جلد: مقوا، عطف تیماج قهوه ا ی ،</w:t>
      </w:r>
    </w:p>
    <w:p>
      <w:pPr>
        <w:pStyle w:val="BookText"/>
      </w:pPr>
      <w:r>
        <w:rPr>
          <w:rFonts w:ascii="IRNazanin" w:hAnsi="IRNazanin" w:eastAsia="IRNazanin" w:cs="IRNazanin"/>
          <w:lang w:bidi="fa-IR"/>
          <w:color w:val="111111"/>
          <w:sz w:val="28"/>
          <w:szCs w:val="28"/>
          <w:rtl/>
        </w:rPr>
        <w:t xml:space="preserve">۲۲۰گ، ۲۴-۳۱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۲۹/۵سم [ف: ۱ - ۳۲۷]</w:t>
      </w:r>
    </w:p>
    <w:p>
      <w:pPr>
        <w:pStyle w:val="BookText"/>
      </w:pPr>
      <w:r>
        <w:rPr>
          <w:rFonts w:ascii="IRNazanin" w:hAnsi="IRNazanin" w:eastAsia="IRNazanin" w:cs="IRNazanin"/>
          <w:lang w:bidi="fa-IR"/>
          <w:color w:val="111111"/>
          <w:sz w:val="28"/>
          <w:szCs w:val="28"/>
          <w:rtl/>
        </w:rPr>
        <w:t xml:space="preserve">۴۵۲. قم؛ گلپایگانی؛ شماره نسخه: ۵۵۹۱-۲۸/۱۱</w:t>
      </w:r>
    </w:p>
    <w:p>
      <w:pPr>
        <w:pStyle w:val="BookText"/>
      </w:pPr>
      <w:r>
        <w:rPr>
          <w:rFonts w:ascii="IRNazanin" w:hAnsi="IRNazanin" w:eastAsia="IRNazanin" w:cs="IRNazanin"/>
          <w:lang w:bidi="fa-IR"/>
          <w:color w:val="111111"/>
          <w:sz w:val="28"/>
          <w:szCs w:val="28"/>
          <w:rtl/>
        </w:rPr>
        <w:t xml:space="preserve">آغاز: يمتنع ان يكونوا عليهم السلام افتوا السائل على عادة بـلدة لانه لايجوز ان يكون المراد به ... باب حكم الماء الكثير اذا تغیر احدا وصافه اما اللون او الطعم او الرائحة اخبرنى الشيخ؛ انجـام: باب انه لا تجب صلوة العيدين الامع الامام محمد بن يعقوب... والذى يدل على ذلك ما رواه الحسن بن سعيد عن عثمان بن عيسى عن سماعة عن ابي عبدالله عليه السلام قال لاصلوة العيدين.</w:t>
      </w:r>
    </w:p>
    <w:p>
      <w:pPr>
        <w:pStyle w:val="BookText"/>
      </w:pPr>
      <w:r>
        <w:rPr>
          <w:rFonts w:ascii="IRNazanin" w:hAnsi="IRNazanin" w:eastAsia="IRNazanin" w:cs="IRNazanin"/>
          <w:lang w:bidi="fa-IR"/>
          <w:color w:val="111111"/>
          <w:sz w:val="28"/>
          <w:szCs w:val="28"/>
          <w:rtl/>
        </w:rPr>
        <w:t xml:space="preserve">طهارت و صلوة؛ خط: نسخ، بی کا، بی تا، افتادگی: آغاز و انجـام ؛جلد: مقوای سفید، ۱۰۷ گ، ۲۳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۳۵سم [ف: ۱۱  - 331]</w:t>
      </w:r>
    </w:p>
    <w:p>
      <w:pPr>
        <w:pStyle w:val="BookText"/>
      </w:pPr>
      <w:r>
        <w:rPr>
          <w:rFonts w:ascii="IRNazanin" w:hAnsi="IRNazanin" w:eastAsia="IRNazanin" w:cs="IRNazanin"/>
          <w:lang w:bidi="fa-IR"/>
          <w:color w:val="111111"/>
          <w:sz w:val="28"/>
          <w:szCs w:val="28"/>
          <w:rtl/>
        </w:rPr>
        <w:t xml:space="preserve">۴۵۳. یزد؛ وزیری؛ شماره نسخه: ۴۰۶۲</w:t>
      </w:r>
    </w:p>
    <w:p>
      <w:pPr>
        <w:pStyle w:val="BookText"/>
      </w:pPr>
      <w:r>
        <w:rPr>
          <w:rFonts w:ascii="IRNazanin" w:hAnsi="IRNazanin" w:eastAsia="IRNazanin" w:cs="IRNazanin"/>
          <w:lang w:bidi="fa-IR"/>
          <w:color w:val="111111"/>
          <w:sz w:val="28"/>
          <w:szCs w:val="28"/>
          <w:rtl/>
        </w:rPr>
        <w:t xml:space="preserve">بی کا بی تا: [نشریه: ۱۳ - ۳۶۰]</w:t>
      </w:r>
    </w:p>
    <w:p>
      <w:pPr>
        <w:pStyle w:val="BookText"/>
      </w:pPr>
      <w:r>
        <w:rPr>
          <w:rFonts w:ascii="IRNazanin" w:hAnsi="IRNazanin" w:eastAsia="IRNazanin" w:cs="IRNazanin"/>
          <w:lang w:bidi="fa-IR"/>
          <w:color w:val="111111"/>
          <w:sz w:val="28"/>
          <w:szCs w:val="28"/>
          <w:rtl/>
        </w:rPr>
        <w:t xml:space="preserve">۴۵۴. قم؛ گلپایگانی؛ شماره نسخه: ۶۴۷۶-۳۳/۲۶</w:t>
      </w:r>
    </w:p>
    <w:p>
      <w:pPr>
        <w:pStyle w:val="BookText"/>
      </w:pPr>
      <w:r>
        <w:rPr>
          <w:rFonts w:ascii="IRNazanin" w:hAnsi="IRNazanin" w:eastAsia="IRNazanin" w:cs="IRNazanin"/>
          <w:lang w:bidi="fa-IR"/>
          <w:color w:val="111111"/>
          <w:sz w:val="28"/>
          <w:szCs w:val="28"/>
          <w:rtl/>
        </w:rPr>
        <w:t xml:space="preserve">آغاز: و سالقى فى تجريد ذلك وصرف العناية الى جمعه ..واعلم ان الاخبار على ضربين متواتر و غیر متواتر فالمتواتر منها... كتاب الطهارة ابواب المياه و احكامها باب مقدار الماء الـذی لاینجسه شي؛ انجام: و اخبرنى ايضاً الشيخ المفيد ابوعبدالله  عن ابی جعفر محمد بن على بن الحسين بن بابويه عن ابيه ومحمد  بن الحسن بن الوليد عن سعد.</w:t>
      </w:r>
    </w:p>
    <w:p>
      <w:pPr>
        <w:pStyle w:val="BookText"/>
      </w:pPr>
      <w:r>
        <w:rPr>
          <w:rFonts w:ascii="IRNazanin" w:hAnsi="IRNazanin" w:eastAsia="IRNazanin" w:cs="IRNazanin"/>
          <w:lang w:bidi="fa-IR"/>
          <w:color w:val="111111"/>
          <w:sz w:val="28"/>
          <w:szCs w:val="28"/>
          <w:rtl/>
        </w:rPr>
        <w:t xml:space="preserve">طهارت تا مشیخه؛ خط: نسخ،زیبا، بی کا،بی تا؛ افتادگی: آغاز  و انجام؛ مصحح، با علامت بلاغ ،مقابله محشی با امضای الله « شیخ محمد» و «ع س»؛ تملک: محمد کاظم بن محمد جعفر در 1245 ؛جلد: تيماج قهوه ای ضربی دارای ترنج با سر مجدول، ۳۲۹گ، ۲۵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۲۶سم [ف: ۱ - ۳۳۲]</w:t>
      </w:r>
    </w:p>
    <w:p>
      <w:pPr>
        <w:pStyle w:val="BookText"/>
      </w:pPr>
      <w:r>
        <w:rPr>
          <w:rFonts w:ascii="IRNazanin" w:hAnsi="IRNazanin" w:eastAsia="IRNazanin" w:cs="IRNazanin"/>
          <w:lang w:bidi="fa-IR"/>
          <w:color w:val="111111"/>
          <w:sz w:val="28"/>
          <w:szCs w:val="28"/>
          <w:rtl/>
        </w:rPr>
        <w:t xml:space="preserve">۴۵۵. قم؛ گلپایگانی؛ شماره نسخه: ۱۴۸۲-۹/۳۲</w:t>
      </w:r>
    </w:p>
    <w:p>
      <w:pPr>
        <w:pStyle w:val="BookText"/>
      </w:pPr>
      <w:r>
        <w:rPr>
          <w:rFonts w:ascii="IRNazanin" w:hAnsi="IRNazanin" w:eastAsia="IRNazanin" w:cs="IRNazanin"/>
          <w:lang w:bidi="fa-IR"/>
          <w:color w:val="111111"/>
          <w:sz w:val="28"/>
          <w:szCs w:val="28"/>
          <w:rtl/>
        </w:rPr>
        <w:t xml:space="preserve">آغاز: المدينة بان قال ذلك يقتضيه الاحتياط لانا اذا حملنا على الاكثر دخل فيه غير صحيح ... باب حكم الماء الكثير اذا تغير احدا وصافه اما اللون او الطعم او الرائحة اخبرنى الشيخ ره عن احمد بن محمد؛ انجام: عن الحرث بن محمد بن النعمان صاحب الطاق عن طهارت تا دیات؛ خط: نسخ، بی کا، بی تا؛ افتادگی: آغاز و انجام؛مجدول مذهب، علامت بلاغ ،قرائت محشی با نشان «س م و» و «ق»؛ تملک: به تاریخ ۱۲۷۰؛ جلد: تیماج سرخ مجدول ۳۷۳گ  ، ۲۴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۳۰سم [ف: ۱ - ۳۳۱]</w:t>
      </w:r>
    </w:p>
    <w:p>
      <w:pPr>
        <w:pStyle w:val="BookText"/>
      </w:pPr>
      <w:r>
        <w:rPr>
          <w:rFonts w:ascii="IRNazanin" w:hAnsi="IRNazanin" w:eastAsia="IRNazanin" w:cs="IRNazanin"/>
          <w:lang w:bidi="fa-IR"/>
          <w:color w:val="111111"/>
          <w:sz w:val="28"/>
          <w:szCs w:val="28"/>
          <w:rtl/>
        </w:rPr>
        <w:t xml:space="preserve">۴۵۶. قم؛ گلپایگانی؛ شماره نسخه: ۶۷۲۱-۳۴/۹۱</w:t>
      </w:r>
    </w:p>
    <w:p>
      <w:pPr>
        <w:pStyle w:val="BookText"/>
      </w:pPr>
      <w:r>
        <w:rPr>
          <w:rFonts w:ascii="IRNazanin" w:hAnsi="IRNazanin" w:eastAsia="IRNazanin" w:cs="IRNazanin"/>
          <w:lang w:bidi="fa-IR"/>
          <w:color w:val="111111"/>
          <w:sz w:val="28"/>
          <w:szCs w:val="28"/>
          <w:rtl/>
        </w:rPr>
        <w:t xml:space="preserve">آغاز: برابر؛ انجام :عن ابي ايوب عن ابي عبيدة و الحلبي عن ابي عبد الله (علیه السّلام) وال سيل عن رجل صل امراة خطأ وهی علی رؤس الولد بمحض قال عليه خمسة</w:t>
      </w:r>
    </w:p>
    <w:p>
      <w:pPr>
        <w:pStyle w:val="BookText"/>
      </w:pPr>
      <w:r>
        <w:rPr>
          <w:rFonts w:ascii="IRNazanin" w:hAnsi="IRNazanin" w:eastAsia="IRNazanin" w:cs="IRNazanin"/>
          <w:lang w:bidi="fa-IR"/>
          <w:color w:val="111111"/>
          <w:sz w:val="28"/>
          <w:szCs w:val="28"/>
          <w:rtl/>
        </w:rPr>
        <w:t xml:space="preserve">طهارت تا ديات «تأديه قطع رأس الميت»؛ خط: نسخ، بی کا، بی تا؛ افتادگی: انجام؛ مصحح، تملک: جلال الدين محمد بن محمد امین طباطبائی زواره ای اردستانی ،جلد: تیماج قهوه ای لولادار با ترنج، ۲۴۵گ، ۲۵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۲۶سم [ف: ۱ - ۳۲۹]</w:t>
      </w:r>
    </w:p>
    <w:p>
      <w:pPr>
        <w:pStyle w:val="BookText"/>
      </w:pPr>
      <w:r>
        <w:rPr>
          <w:rFonts w:ascii="IRNazanin" w:hAnsi="IRNazanin" w:eastAsia="IRNazanin" w:cs="IRNazanin"/>
          <w:lang w:bidi="fa-IR"/>
          <w:color w:val="111111"/>
          <w:sz w:val="28"/>
          <w:szCs w:val="28"/>
          <w:rtl/>
        </w:rPr>
        <w:t xml:space="preserve">۴۵۷ مشهد؛ رضوی؛ شماره نسخه: ۳۷۲۶۰</w:t>
      </w:r>
    </w:p>
    <w:p>
      <w:pPr>
        <w:pStyle w:val="BookText"/>
      </w:pPr>
      <w:r>
        <w:rPr>
          <w:rFonts w:ascii="IRNazanin" w:hAnsi="IRNazanin" w:eastAsia="IRNazanin" w:cs="IRNazanin"/>
          <w:lang w:bidi="fa-IR"/>
          <w:color w:val="111111"/>
          <w:sz w:val="28"/>
          <w:szCs w:val="28"/>
          <w:rtl/>
        </w:rPr>
        <w:t xml:space="preserve">جلد ۳-۱؛ خط: نسخ، کا: عمادالدین بن ابوعلی سکدوانی، بی تا؛ محشی؛ اهدایی: رهبری مهر ۱۳۸۶؛ جلد: میشن ،عنابی ۳۵۸گ، ۲۵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۳۰سم [اهدائی رهبر: ۲ اخبار ۱ - ۹۱]</w:t>
      </w:r>
    </w:p>
    <w:p>
      <w:pPr>
        <w:pStyle w:val="BookText"/>
      </w:pPr>
      <w:r>
        <w:rPr>
          <w:rFonts w:ascii="IRNazanin" w:hAnsi="IRNazanin" w:eastAsia="IRNazanin" w:cs="IRNazanin"/>
          <w:lang w:bidi="fa-IR"/>
          <w:color w:val="111111"/>
          <w:sz w:val="28"/>
          <w:szCs w:val="28"/>
          <w:rtl/>
        </w:rPr>
        <w:t xml:space="preserve">۴۵۸. مشهد؛ رضوی؛ شماره نسخه: ۱۵۶۸</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[الفبائی: ۴۳]</w:t>
      </w:r>
    </w:p>
    <w:p>
      <w:pPr>
        <w:pStyle w:val="BookText"/>
      </w:pPr>
      <w:r>
        <w:rPr>
          <w:rFonts w:ascii="IRNazanin" w:hAnsi="IRNazanin" w:eastAsia="IRNazanin" w:cs="IRNazanin"/>
          <w:lang w:bidi="fa-IR"/>
          <w:color w:val="111111"/>
          <w:sz w:val="28"/>
          <w:szCs w:val="28"/>
          <w:rtl/>
        </w:rPr>
        <w:t xml:space="preserve">۴۵۹. مشهد؛ رضوی؛ شماره نسخه: ۱۵۷۱</w:t>
      </w:r>
    </w:p>
    <w:p>
      <w:pPr>
        <w:pStyle w:val="BookText"/>
      </w:pPr>
      <w:r>
        <w:rPr>
          <w:rFonts w:ascii="Amiri" w:hAnsi="Amiri" w:eastAsia="Amiri" w:cs="Amiri"/>
          <w:lang w:bidi="ar-SA"/>
          <w:color w:val="111111"/>
          <w:sz w:val="28"/>
          <w:szCs w:val="28"/>
          <w:rtl/>
        </w:rPr>
        <w:t xml:space="preserve">آغاز: برابر؛ انجام: عليه ان يهدى له</w:t>
      </w:r>
    </w:p>
    <w:p>
      <w:pPr>
        <w:pStyle w:val="BookText"/>
      </w:pPr>
      <w:r>
        <w:rPr>
          <w:rFonts w:ascii="IRNazanin" w:hAnsi="IRNazanin" w:eastAsia="IRNazanin" w:cs="IRNazanin"/>
          <w:lang w:bidi="fa-IR"/>
          <w:color w:val="111111"/>
          <w:sz w:val="28"/>
          <w:szCs w:val="28"/>
          <w:rtl/>
        </w:rPr>
        <w:t xml:space="preserve">خط: نسخ، بی کا، بی تا؛ افتادگی: انجام [الفبائی: ۴۳]</w:t>
      </w:r>
    </w:p>
    <w:p>
      <w:pPr>
        <w:pStyle w:val="BookText"/>
      </w:pPr>
      <w:r>
        <w:rPr>
          <w:rFonts w:ascii="Times New Roman" w:hAnsi="Times New Roman" w:eastAsia="Times New Roman" w:cs="Times New Roman"/>
          <w:lang w:val="en-US" w:bidi="en-US"/>
          <w:color w:val="111111"/>
          <w:sz w:val="28"/>
          <w:szCs w:val="28"/>
          <w:rtl/>
        </w:rPr>
        <w:t xml:space="preserve">460.</w:t>
      </w:r>
    </w:p>
    <w:p>
      <w:pPr>
        <w:pStyle w:val="BookText"/>
      </w:pPr>
      <w:r>
        <w:rPr>
          <w:rFonts w:ascii="IRNazanin" w:hAnsi="IRNazanin" w:eastAsia="IRNazanin" w:cs="IRNazanin"/>
          <w:lang w:bidi="fa-IR"/>
          <w:color w:val="111111"/>
          <w:sz w:val="28"/>
          <w:szCs w:val="28"/>
          <w:rtl/>
        </w:rPr>
        <w:t xml:space="preserve">مشهد؛ رضوی؛ شماره نسخه: ۷۴۳۰</w:t>
      </w:r>
    </w:p>
    <w:p>
      <w:pPr>
        <w:pStyle w:val="BookText"/>
      </w:pPr>
      <w:r>
        <w:rPr>
          <w:rFonts w:ascii="Amiri" w:hAnsi="Amiri" w:eastAsia="Amiri" w:cs="Amiri"/>
          <w:lang w:bidi="ar-SA"/>
          <w:color w:val="111111"/>
          <w:sz w:val="28"/>
          <w:szCs w:val="28"/>
          <w:rtl/>
        </w:rPr>
        <w:t xml:space="preserve">آغاز: ابواب المياه و احكامها باب مقدار الماء؛ انجام: برابر</w:t>
      </w:r>
    </w:p>
    <w:p>
      <w:pPr>
        <w:pStyle w:val="BookText"/>
      </w:pPr>
      <w:r>
        <w:rPr>
          <w:rFonts w:ascii="IRNazanin" w:hAnsi="IRNazanin" w:eastAsia="IRNazanin" w:cs="IRNazanin"/>
          <w:lang w:bidi="fa-IR"/>
          <w:color w:val="111111"/>
          <w:sz w:val="28"/>
          <w:szCs w:val="28"/>
          <w:rtl/>
        </w:rPr>
        <w:t xml:space="preserve">خط: نسخ، بی کا، بی تا [الفبائی: ۴۳]</w:t>
      </w:r>
    </w:p>
    <w:p>
      <w:pPr>
        <w:pStyle w:val="BookText"/>
      </w:pPr>
      <w:r>
        <w:rPr>
          <w:rFonts w:ascii="IRNazanin" w:hAnsi="IRNazanin" w:eastAsia="IRNazanin" w:cs="IRNazanin"/>
          <w:lang w:bidi="fa-IR"/>
          <w:color w:val="111111"/>
          <w:sz w:val="28"/>
          <w:szCs w:val="28"/>
          <w:rtl/>
        </w:rPr>
        <w:t xml:space="preserve">۴۶۱. تهران؛ ملی؛ شماره نسخه: ۸۲۹۷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بی کا، بی تا؛ مصحح، محشی؛ در برگ اول یادداشتی مبنی بر وقف كتاب؛ مهر: «على مع الحق» (بيضى)، «افوض امرى الى الله .... (بیضی) ،جلد: تیماج اناری مقوایی دامن دار ،مجدول به زر، اندرون جلد: تیماج قهوه ای سوخته، ۳۲۴گ، ۲۴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w:t>
      </w:r>
    </w:p>
    <w:p>
      <w:pPr>
        <w:pStyle w:val="BookText"/>
      </w:pPr>
      <w:r>
        <w:rPr>
          <w:rFonts w:ascii="IRNazanin" w:hAnsi="IRNazanin" w:eastAsia="IRNazanin" w:cs="IRNazanin"/>
          <w:lang w:bidi="fa-IR"/>
          <w:color w:val="111111"/>
          <w:sz w:val="28"/>
          <w:szCs w:val="28"/>
          <w:rtl/>
        </w:rPr>
        <w:t xml:space="preserve">[رایانه ]</w:t>
      </w:r>
    </w:p>
    <w:p>
      <w:pPr>
        <w:pStyle w:val="BookText"/>
      </w:pPr>
      <w:r>
        <w:rPr>
          <w:rFonts w:ascii="IRNazanin" w:hAnsi="IRNazanin" w:eastAsia="IRNazanin" w:cs="IRNazanin"/>
          <w:lang w:bidi="fa-IR"/>
          <w:color w:val="111111"/>
          <w:sz w:val="28"/>
          <w:szCs w:val="28"/>
          <w:rtl/>
        </w:rPr>
        <w:t xml:space="preserve">462.تهران؛ ملی؛ شماره نسخه: ۱۵۸۲</w:t>
      </w:r>
    </w:p>
    <w:p>
      <w:pPr>
        <w:pStyle w:val="BookText"/>
      </w:pPr>
      <w:r>
        <w:rPr>
          <w:rFonts w:ascii="IRNazanin" w:hAnsi="IRNazanin" w:eastAsia="IRNazanin" w:cs="IRNazanin"/>
          <w:lang w:bidi="fa-IR"/>
          <w:color w:val="111111"/>
          <w:sz w:val="28"/>
          <w:szCs w:val="28"/>
          <w:rtl/>
        </w:rPr>
        <w:t xml:space="preserve">آغاز و انجام:برابر</w:t>
      </w:r>
    </w:p>
    <w:p>
      <w:pPr>
        <w:pStyle w:val="BookText"/>
      </w:pPr>
      <w:r>
        <w:rPr>
          <w:rFonts w:ascii="IRNazanin" w:hAnsi="IRNazanin" w:eastAsia="IRNazanin" w:cs="IRNazanin"/>
          <w:lang w:bidi="fa-IR"/>
          <w:color w:val="111111"/>
          <w:sz w:val="28"/>
          <w:szCs w:val="28"/>
          <w:rtl/>
        </w:rPr>
        <w:t xml:space="preserve">خط: نسخ ،کا: محمد شريف بن شمس الدین محمد شلمانی نکوئی ، بی تا؛ محشی؛ کاغذ: فرنگی ،جلد: تیماج آسمانی مقوایی، ۳۴۴گ، ۲۷ سطر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اندازه:۲۰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۳۰/۵سم [ف: ۱۰ - ۱۱۱]</w:t>
      </w:r>
    </w:p>
    <w:p>
      <w:pPr>
        <w:pStyle w:val="BookText"/>
      </w:pPr>
      <w:r>
        <w:rPr>
          <w:rFonts w:ascii="IRNazanin" w:hAnsi="IRNazanin" w:eastAsia="IRNazanin" w:cs="IRNazanin"/>
          <w:lang w:bidi="fa-IR"/>
          <w:color w:val="111111"/>
          <w:sz w:val="28"/>
          <w:szCs w:val="28"/>
          <w:rtl/>
        </w:rPr>
        <w:t xml:space="preserve">۴۶۳. تهران؛ ملی؛ شماره نسخه:۲۵۳۳۵</w:t>
      </w:r>
    </w:p>
    <w:p>
      <w:pPr>
        <w:pStyle w:val="BookText"/>
      </w:pPr>
      <w:r>
        <w:rPr>
          <w:rFonts w:ascii="IRNazanin" w:hAnsi="IRNazanin" w:eastAsia="IRNazanin" w:cs="IRNazanin"/>
          <w:lang w:bidi="fa-IR"/>
          <w:color w:val="111111"/>
          <w:sz w:val="28"/>
          <w:szCs w:val="28"/>
          <w:rtl/>
        </w:rPr>
        <w:t xml:space="preserve">بی کا  ، بی  تا :خریداری از امرالله صفری [رایانه]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464.تهران؛ ملی؛ شماره نسخه:۴۲۰۸</w:t>
      </w:r>
    </w:p>
    <w:p>
      <w:pPr>
        <w:pStyle w:val="BookText"/>
      </w:pPr>
      <w:r>
        <w:rPr>
          <w:rFonts w:ascii="IRNazanin" w:hAnsi="IRNazanin" w:eastAsia="IRNazanin" w:cs="IRNazanin"/>
          <w:lang w:bidi="fa-IR"/>
          <w:color w:val="111111"/>
          <w:sz w:val="28"/>
          <w:szCs w:val="28"/>
          <w:rtl/>
        </w:rPr>
        <w:t xml:space="preserve">آغاز: برابر؛ انجام: عن صالح بن عقبه عن ابى شبل قال قلت لابی عبد الله عليه السلام از و قبر الحسين عليه السلام قال زر قبر الطيب اتم الصلوه عنده.</w:t>
      </w:r>
    </w:p>
    <w:p>
      <w:pPr>
        <w:pStyle w:val="BookText"/>
      </w:pPr>
      <w:r>
        <w:rPr>
          <w:rFonts w:ascii="IRNazanin" w:hAnsi="IRNazanin" w:eastAsia="IRNazanin" w:cs="IRNazanin"/>
          <w:lang w:bidi="fa-IR"/>
          <w:color w:val="111111"/>
          <w:sz w:val="28"/>
          <w:szCs w:val="28"/>
          <w:rtl/>
        </w:rPr>
        <w:t xml:space="preserve">جلد اول و دوم؛ خط: نسخ و نستعلیق، بی کا،بی تا؛ افتادگی: انجام: (یک برگ)؛ مصحح؛ کاغذ: اصفهانی، نخودی، جلد: مقوایی روکش کاغذی ،نخودی، عطف تیماج قهوه ای، ۲۰۵گ، ۲۲ سـطر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 اندازه: ۱۹/۵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۲۵/۵سم [ف: ۱۸ - ۱۵۹]</w:t>
      </w:r>
    </w:p>
    <w:p>
      <w:pPr>
        <w:pStyle w:val="BookText"/>
      </w:pPr>
      <w:r>
        <w:rPr>
          <w:rFonts w:ascii="IRNazanin" w:hAnsi="IRNazanin" w:eastAsia="IRNazanin" w:cs="IRNazanin"/>
          <w:lang w:bidi="fa-IR"/>
          <w:color w:val="111111"/>
          <w:sz w:val="28"/>
          <w:szCs w:val="28"/>
          <w:rtl/>
        </w:rPr>
        <w:t xml:space="preserve">۴۶۵. تهران؛ ملی؛ شماره نسخه: ۴۶۵۸</w:t>
      </w:r>
    </w:p>
    <w:p>
      <w:pPr>
        <w:pStyle w:val="BookText"/>
      </w:pPr>
      <w:r>
        <w:rPr>
          <w:rFonts w:ascii="Amiri" w:hAnsi="Amiri" w:eastAsia="Amiri" w:cs="Amiri"/>
          <w:lang w:bidi="ar-SA"/>
          <w:color w:val="111111"/>
          <w:sz w:val="28"/>
          <w:szCs w:val="28"/>
          <w:rtl/>
        </w:rPr>
        <w:t xml:space="preserve">آغاز: بسمله قد اجبتم الى ما سالتم من تجريد الاخبار المختلفـه و ترتيبها على ترتيب كتب الفقه؛ انجام: و يمكن ان تحمله  هذه العامة</w:t>
      </w:r>
    </w:p>
    <w:p>
      <w:pPr>
        <w:pStyle w:val="BookText"/>
      </w:pPr>
      <w:r>
        <w:rPr>
          <w:rFonts w:ascii="Amiri" w:hAnsi="Amiri" w:eastAsia="Amiri" w:cs="Amiri"/>
          <w:lang w:bidi="ar-SA"/>
          <w:color w:val="111111"/>
          <w:sz w:val="28"/>
          <w:szCs w:val="28"/>
          <w:rtl/>
        </w:rPr>
        <w:t xml:space="preserve">الورايات على ضرب من التقية لان ذلك مذهب كثير من و حسبنا الله و نعم الوكيل</w:t>
      </w:r>
    </w:p>
    <w:p>
      <w:pPr>
        <w:pStyle w:val="BookText"/>
      </w:pPr>
      <w:r>
        <w:rPr>
          <w:rFonts w:ascii="IRNazanin" w:hAnsi="IRNazanin" w:eastAsia="IRNazanin" w:cs="IRNazanin"/>
          <w:lang w:bidi="fa-IR"/>
          <w:color w:val="111111"/>
          <w:sz w:val="28"/>
          <w:szCs w:val="28"/>
          <w:rtl/>
        </w:rPr>
        <w:t xml:space="preserve">خط: نسخ، بی کا، بی تا؛ با دو سر لوحه مذهب، مجدول، يـک، شمسه مذهب؛ تملک رضا موسوی زنجانی با مهر او؛ کاغذ: اصفهانی آهار و مهره نخودی، جلد: تیماج مشکی مقوایی ،اندرون جلد آستری کاغذ ،بیاض، ۳۸۱گ، ۲۷ سطر (۲۱</w:t>
      </w:r>
      <w:r>
        <w:rPr>
          <w:rFonts w:ascii="Times New Roman" w:hAnsi="Times New Roman" w:eastAsia="Times New Roman" w:cs="Times New Roman"/>
          <w:lang w:val="en-US" w:bidi="en-US"/>
          <w:color w:val="111111"/>
          <w:sz w:val="28"/>
          <w:szCs w:val="28"/>
          <w:rtl/>
        </w:rPr>
        <w:t xml:space="preserve">×11  )</w:t>
      </w:r>
    </w:p>
    <w:p>
      <w:pPr>
        <w:pStyle w:val="BookText"/>
      </w:pPr>
      <w:r>
        <w:rPr>
          <w:rFonts w:ascii="IRNazanin" w:hAnsi="IRNazanin" w:eastAsia="IRNazanin" w:cs="IRNazanin"/>
          <w:lang w:bidi="fa-IR"/>
          <w:color w:val="111111"/>
          <w:sz w:val="28"/>
          <w:szCs w:val="28"/>
          <w:rtl/>
        </w:rPr>
        <w:t xml:space="preserve">،اندازه: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۳۰/۵سم [ف : ۱۹ - ۳۲۳]</w:t>
      </w:r>
    </w:p>
    <w:p>
      <w:pPr>
        <w:pStyle w:val="BookText"/>
      </w:pPr>
      <w:r>
        <w:rPr>
          <w:rFonts w:ascii="IRNazanin" w:hAnsi="IRNazanin" w:eastAsia="IRNazanin" w:cs="IRNazanin"/>
          <w:lang w:bidi="fa-IR"/>
          <w:color w:val="111111"/>
          <w:sz w:val="28"/>
          <w:szCs w:val="28"/>
          <w:rtl/>
        </w:rPr>
        <w:t xml:space="preserve">۴۶۶ .تهران؛ ملی؛ شماره نسخه: ۴۵۴۴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مصحح، محشی با امضای شیخ محمد با استفاده از کتاب «حبل المتين» ،کاغذ: دولت آبادی نخودی ،جلد: تیماج مشکی  مقوایی، سجاف تیماج سبز، ۳۷۷گ، ۲۳ سـطر، (۹/۵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 اندازه: ۳۰/۷۱۸/۵سم [ف ۱۹ - ۱۷۴]</w:t>
      </w:r>
    </w:p>
    <w:p>
      <w:pPr>
        <w:pStyle w:val="BookText"/>
      </w:pPr>
      <w:r>
        <w:rPr>
          <w:rFonts w:ascii="IRNazanin" w:hAnsi="IRNazanin" w:eastAsia="IRNazanin" w:cs="IRNazanin"/>
          <w:lang w:bidi="fa-IR"/>
          <w:color w:val="111111"/>
          <w:sz w:val="28"/>
          <w:szCs w:val="28"/>
          <w:rtl/>
        </w:rPr>
        <w:t xml:space="preserve">۴۶۷. تهران؛ ملی؛ شماره نسخه: ۲۵۹۱۲</w:t>
      </w:r>
    </w:p>
    <w:p>
      <w:pPr>
        <w:pStyle w:val="BookText"/>
      </w:pPr>
      <w:r>
        <w:rPr>
          <w:rFonts w:ascii="IRNazanin" w:hAnsi="IRNazanin" w:eastAsia="IRNazanin" w:cs="IRNazanin"/>
          <w:lang w:bidi="fa-IR"/>
          <w:color w:val="111111"/>
          <w:sz w:val="28"/>
          <w:szCs w:val="28"/>
          <w:rtl/>
        </w:rPr>
        <w:t xml:space="preserve">باب دیون؛ بی کا، بی تا، خریداری از حوزه علمیه ولی عـصر کرمان [ رایانه]</w:t>
      </w:r>
    </w:p>
    <w:p>
      <w:pPr>
        <w:pStyle w:val="BookText"/>
      </w:pPr>
      <w:r>
        <w:rPr>
          <w:rFonts w:ascii="IRNazanin" w:hAnsi="IRNazanin" w:eastAsia="IRNazanin" w:cs="IRNazanin"/>
          <w:lang w:bidi="fa-IR"/>
          <w:color w:val="111111"/>
          <w:sz w:val="28"/>
          <w:szCs w:val="28"/>
          <w:rtl/>
        </w:rPr>
        <w:t xml:space="preserve">۴۶۸. قم؛ مرعشی؛ شماره نسخه: ۴۸۶۴</w:t>
      </w:r>
    </w:p>
    <w:p>
      <w:pPr>
        <w:pStyle w:val="BookText"/>
      </w:pPr>
      <w:r>
        <w:rPr>
          <w:rFonts w:ascii="IRNazanin" w:hAnsi="IRNazanin" w:eastAsia="IRNazanin" w:cs="IRNazanin"/>
          <w:lang w:bidi="fa-IR"/>
          <w:color w:val="111111"/>
          <w:sz w:val="28"/>
          <w:szCs w:val="28"/>
          <w:rtl/>
        </w:rPr>
        <w:t xml:space="preserve">خط: نستعلیق، کا: محمد امین شریف استرآبادی (ملا محمد امین استرابادی) بی تا، جا: مکه؛ مصحح، محشی، تملک: عبدالواسع بن ابوطالب حسینی و مهر بیضوی وی؛ جلد: تیماج مشکـی، ۴۴۸گ، ۲۲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۲۵/۵سم [ف: ۱۳ – ۵۱]</w:t>
      </w:r>
    </w:p>
    <w:p>
      <w:pPr>
        <w:pStyle w:val="BookText"/>
      </w:pPr>
      <w:r>
        <w:rPr>
          <w:rFonts w:ascii="IRNazanin" w:hAnsi="IRNazanin" w:eastAsia="IRNazanin" w:cs="IRNazanin"/>
          <w:lang w:bidi="fa-IR"/>
          <w:color w:val="111111"/>
          <w:sz w:val="28"/>
          <w:szCs w:val="28"/>
          <w:rtl/>
        </w:rPr>
        <w:t xml:space="preserve">۴۶۹. شیراز؛ ملی؛ شماره نسخه ۴۰-الف ۴۴۶</w:t>
      </w:r>
    </w:p>
    <w:p>
      <w:pPr>
        <w:pStyle w:val="BookText"/>
      </w:pPr>
      <w:r>
        <w:rPr>
          <w:rFonts w:ascii="IRNazanin" w:hAnsi="IRNazanin" w:eastAsia="IRNazanin" w:cs="IRNazanin"/>
          <w:lang w:bidi="fa-IR"/>
          <w:color w:val="111111"/>
          <w:sz w:val="28"/>
          <w:szCs w:val="28"/>
          <w:rtl/>
        </w:rPr>
        <w:t xml:space="preserve">آغاز: علی ضربین متواتر و غیر متواتر - فالمتواتر منها اوجب الـعلم فما هذا سبيله يجب؛ انجام: فقال یا امیر المؤمنين مات فـلان مولاك البارحة فقطع فلان مولاك رأسه بعد موته فاستشاط  و عقب قال فعال لابن ثبرمه.</w:t>
      </w:r>
    </w:p>
    <w:p>
      <w:pPr>
        <w:pStyle w:val="BookText"/>
      </w:pPr>
      <w:r>
        <w:rPr>
          <w:rFonts w:ascii="IRNazanin" w:hAnsi="IRNazanin" w:eastAsia="IRNazanin" w:cs="IRNazanin"/>
          <w:lang w:bidi="fa-IR"/>
          <w:color w:val="111111"/>
          <w:sz w:val="28"/>
          <w:szCs w:val="28"/>
          <w:rtl/>
        </w:rPr>
        <w:t xml:space="preserve">جلد ،۳-۱، از طهارت تا الدیات؛ بی کا: افتادگی: انجام ؛جلد: مقوا با تیماج سرخ ضربی ۳۲۷ ص ۲۷ سـطر، (9/5</w:t>
      </w:r>
      <w:r>
        <w:rPr>
          <w:rFonts w:ascii="Times New Roman" w:hAnsi="Times New Roman" w:eastAsia="Times New Roman" w:cs="Times New Roman"/>
          <w:lang w:val="en-US" w:bidi="en-US"/>
          <w:color w:val="111111"/>
          <w:sz w:val="28"/>
          <w:szCs w:val="28"/>
          <w:rtl/>
        </w:rPr>
        <w:t xml:space="preserve">×31) </w:t>
      </w:r>
      <w:r>
        <w:rPr>
          <w:rFonts w:ascii="IRNazanin" w:hAnsi="IRNazanin" w:eastAsia="IRNazanin" w:cs="IRNazanin"/>
          <w:lang w:bidi="fa-IR"/>
          <w:color w:val="111111"/>
          <w:sz w:val="28"/>
          <w:szCs w:val="28"/>
          <w:rtl/>
        </w:rPr>
        <w:t xml:space="preserve">،اندازه: ۱۸/۵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۳۲سم [ف: ۲ - ۴۱]</w:t>
      </w:r>
    </w:p>
    <w:p>
      <w:pPr>
        <w:pStyle w:val="BookText"/>
      </w:pPr>
      <w:r>
        <w:rPr>
          <w:rFonts w:ascii="IRNazanin" w:hAnsi="IRNazanin" w:eastAsia="IRNazanin" w:cs="IRNazanin"/>
          <w:lang w:bidi="fa-IR"/>
          <w:color w:val="111111"/>
          <w:sz w:val="28"/>
          <w:szCs w:val="28"/>
          <w:rtl/>
        </w:rPr>
        <w:t xml:space="preserve">۴۷۰. شیراز؛ شاهچراغ؛ شماره نسخه: ۴۲۵</w:t>
      </w:r>
    </w:p>
    <w:p>
      <w:pPr>
        <w:pStyle w:val="BookText"/>
      </w:pPr>
      <w:r>
        <w:rPr>
          <w:rFonts w:ascii="Amiri" w:hAnsi="Amiri" w:eastAsia="Amiri" w:cs="Amiri"/>
          <w:lang w:bidi="ar-SA"/>
          <w:color w:val="111111"/>
          <w:sz w:val="28"/>
          <w:szCs w:val="28"/>
          <w:rtl/>
        </w:rPr>
        <w:t xml:space="preserve">آغاز: برابر؛ انجام: فليس لاحوة لام غيره اذ لم يبق لهم سواه وبالله تعالى التوفيق تم بعون الله.</w:t>
      </w:r>
    </w:p>
    <w:p>
      <w:pPr>
        <w:pStyle w:val="BookText"/>
      </w:pPr>
      <w:r>
        <w:rPr>
          <w:rFonts w:ascii="IRNazanin" w:hAnsi="IRNazanin" w:eastAsia="IRNazanin" w:cs="IRNazanin"/>
          <w:lang w:bidi="fa-IR"/>
          <w:color w:val="111111"/>
          <w:sz w:val="28"/>
          <w:szCs w:val="28"/>
          <w:rtl/>
        </w:rPr>
        <w:t xml:space="preserve">خط: نسخ، بی کا، بی تا، محشی، کاغذ: سفید، جلد: مقوا با تیماج سرخ با سه ترنج مذهب ،ضربی، ۴۹۲گ، ۲۳ 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w:t>
      </w:r>
    </w:p>
    <w:p>
      <w:pPr>
        <w:pStyle w:val="BookText"/>
      </w:pPr>
      <w:r>
        <w:rPr>
          <w:rFonts w:ascii="IRNazanin" w:hAnsi="IRNazanin" w:eastAsia="IRNazanin" w:cs="IRNazanin"/>
          <w:lang w:bidi="fa-IR"/>
          <w:color w:val="111111"/>
          <w:sz w:val="28"/>
          <w:szCs w:val="28"/>
          <w:rtl/>
        </w:rPr>
        <w:t xml:space="preserve">،اندازه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۲ - ۹]</w:t>
      </w:r>
    </w:p>
    <w:p>
      <w:pPr>
        <w:pStyle w:val="BookText"/>
      </w:pPr>
      <w:r>
        <w:rPr>
          <w:rFonts w:ascii="IRNazanin" w:hAnsi="IRNazanin" w:eastAsia="IRNazanin" w:cs="IRNazanin"/>
          <w:lang w:bidi="fa-IR"/>
          <w:color w:val="111111"/>
          <w:sz w:val="28"/>
          <w:szCs w:val="28"/>
          <w:rtl/>
        </w:rPr>
        <w:t xml:space="preserve">۴۷۱. شیراز؛ شاهچراغ؛ شماره نسخه: ۳۳۹</w:t>
      </w:r>
    </w:p>
    <w:p>
      <w:pPr>
        <w:pStyle w:val="BookText"/>
      </w:pPr>
      <w:r>
        <w:rPr>
          <w:rFonts w:ascii="IRNazanin" w:hAnsi="IRNazanin" w:eastAsia="IRNazanin" w:cs="IRNazanin"/>
          <w:lang w:bidi="fa-IR"/>
          <w:color w:val="111111"/>
          <w:sz w:val="28"/>
          <w:szCs w:val="28"/>
          <w:rtl/>
        </w:rPr>
        <w:t xml:space="preserve">آغاز: برابر؛ انجام: الشيخ المفيد ابو عبد الله عن ابی جعفر محمد بن على الحسين بن بابويه عن ابيه و محمد بن.</w:t>
      </w:r>
    </w:p>
    <w:p>
      <w:pPr>
        <w:pStyle w:val="BookText"/>
      </w:pPr>
      <w:r>
        <w:rPr>
          <w:rFonts w:ascii="IRNazanin" w:hAnsi="IRNazanin" w:eastAsia="IRNazanin" w:cs="IRNazanin"/>
          <w:lang w:bidi="fa-IR"/>
          <w:color w:val="111111"/>
          <w:sz w:val="28"/>
          <w:szCs w:val="28"/>
          <w:rtl/>
        </w:rPr>
        <w:t xml:space="preserve">خط: نسخ و نستعلیق، بی کا، بی تا؛ افتادگی: انجام؛ متن کتاب  به وسیله چند نفر نوشته شده، محشی ،کاغذ: سفید و نخودی، جلد: مقوا با تیماج سرخ، ۳۰۰گ، ۲۷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 اندازه:  ۱۹/۵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۲۹سم [ف: ۲ - ۱۰]</w:t>
      </w:r>
    </w:p>
    <w:p>
      <w:pPr>
        <w:pStyle w:val="BookText"/>
      </w:pPr>
      <w:r>
        <w:rPr>
          <w:rFonts w:ascii="IRNazanin" w:hAnsi="IRNazanin" w:eastAsia="IRNazanin" w:cs="IRNazanin"/>
          <w:lang w:bidi="fa-IR"/>
          <w:color w:val="111111"/>
          <w:sz w:val="28"/>
          <w:szCs w:val="28"/>
          <w:rtl/>
        </w:rPr>
        <w:t xml:space="preserve">۴۷۲. رشت؛ جمعیت نشر فرهنگ؛ شماره نسخه: ۴۶الف</w:t>
      </w:r>
    </w:p>
    <w:p>
      <w:pPr>
        <w:pStyle w:val="BookText"/>
      </w:pPr>
      <w:r>
        <w:rPr>
          <w:rFonts w:ascii="IRNazanin" w:hAnsi="IRNazanin" w:eastAsia="IRNazanin" w:cs="IRNazanin"/>
          <w:lang w:bidi="fa-IR"/>
          <w:color w:val="111111"/>
          <w:sz w:val="28"/>
          <w:szCs w:val="28"/>
          <w:rtl/>
        </w:rPr>
        <w:t xml:space="preserve">خط: نسخ، بی کا، بی تا، جا: مشهد؛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[رشت وهمدان - ف - ۱۰۸۸]</w:t>
      </w:r>
    </w:p>
    <w:p>
      <w:pPr>
        <w:pStyle w:val="BookText"/>
      </w:pPr>
      <w:r>
        <w:rPr>
          <w:rFonts w:ascii="IRNazanin" w:hAnsi="IRNazanin" w:eastAsia="IRNazanin" w:cs="IRNazanin"/>
          <w:lang w:bidi="fa-IR"/>
          <w:color w:val="111111"/>
          <w:sz w:val="28"/>
          <w:szCs w:val="28"/>
          <w:rtl/>
        </w:rPr>
        <w:t xml:space="preserve">۴۷۳. تهران؛ ادبیات؛ شماره نسخه: ۴۶۹</w:t>
      </w:r>
    </w:p>
    <w:p>
      <w:pPr>
        <w:pStyle w:val="BookText"/>
      </w:pPr>
      <w:r>
        <w:rPr>
          <w:rFonts w:ascii="IRNazanin" w:hAnsi="IRNazanin" w:eastAsia="IRNazanin" w:cs="IRNazanin"/>
          <w:lang w:bidi="fa-IR"/>
          <w:color w:val="111111"/>
          <w:sz w:val="28"/>
          <w:szCs w:val="28"/>
          <w:rtl/>
        </w:rPr>
        <w:t xml:space="preserve">خط: نسخ، بی کا، بی تا؛ افتادگی: آغاز و انجام؛ [ف ۳ - ۷۰]</w:t>
      </w:r>
    </w:p>
    <w:p>
      <w:pPr>
        <w:pStyle w:val="BookText"/>
      </w:pPr>
      <w:r>
        <w:rPr>
          <w:rFonts w:ascii="IRNazanin" w:hAnsi="IRNazanin" w:eastAsia="IRNazanin" w:cs="IRNazanin"/>
          <w:lang w:bidi="fa-IR"/>
          <w:color w:val="111111"/>
          <w:sz w:val="28"/>
          <w:szCs w:val="28"/>
          <w:rtl/>
        </w:rPr>
        <w:t xml:space="preserve">۴۷۴. همدان؛ مدرسه غرب شماره نسخه: ۱۳۵۰</w:t>
      </w:r>
    </w:p>
    <w:p>
      <w:pPr>
        <w:pStyle w:val="BookText"/>
      </w:pPr>
      <w:r>
        <w:rPr>
          <w:rFonts w:ascii="IRNazanin" w:hAnsi="IRNazanin" w:eastAsia="IRNazanin" w:cs="IRNazanin"/>
          <w:lang w:bidi="fa-IR"/>
          <w:color w:val="111111"/>
          <w:sz w:val="28"/>
          <w:szCs w:val="28"/>
          <w:rtl/>
        </w:rPr>
        <w:t xml:space="preserve">خط  ،نسخ، بی کا، بی تا: با نونویس در آغاز و انجام در ۱۲۶۱؛ قطع: رحلی [رشت و همدان - ف - ۱۲۸۴]</w:t>
      </w:r>
    </w:p>
    <w:p>
      <w:pPr>
        <w:pStyle w:val="BookText"/>
      </w:pPr>
      <w:r>
        <w:rPr>
          <w:rFonts w:ascii="IRNazanin" w:hAnsi="IRNazanin" w:eastAsia="IRNazanin" w:cs="IRNazanin"/>
          <w:lang w:bidi="fa-IR"/>
          <w:color w:val="111111"/>
          <w:sz w:val="28"/>
          <w:szCs w:val="28"/>
          <w:rtl/>
        </w:rPr>
        <w:t xml:space="preserve">۴۷۵. همدان؛ مدرسه غرب؛ شماره نسخه: ۴۵۴۳</w:t>
      </w:r>
    </w:p>
    <w:p>
      <w:pPr>
        <w:pStyle w:val="BookText"/>
      </w:pPr>
      <w:r>
        <w:rPr>
          <w:rFonts w:ascii="IRNazanin" w:hAnsi="IRNazanin" w:eastAsia="IRNazanin" w:cs="IRNazanin"/>
          <w:lang w:bidi="fa-IR"/>
          <w:color w:val="111111"/>
          <w:sz w:val="28"/>
          <w:szCs w:val="28"/>
          <w:rtl/>
        </w:rPr>
        <w:t xml:space="preserve">خط: نسخ، بی کا، بی تا؛ افتادگی: انجام؛ قطع: رحلی [رشت و  همدان - ف - ۱۲۸۴]</w:t>
      </w:r>
    </w:p>
    <w:p>
      <w:pPr>
        <w:pStyle w:val="BookText"/>
      </w:pPr>
      <w:r>
        <w:rPr>
          <w:rFonts w:ascii="IRNazanin" w:hAnsi="IRNazanin" w:eastAsia="IRNazanin" w:cs="IRNazanin"/>
          <w:lang w:bidi="fa-IR"/>
          <w:color w:val="111111"/>
          <w:sz w:val="28"/>
          <w:szCs w:val="28"/>
          <w:rtl/>
        </w:rPr>
        <w:t xml:space="preserve">۴۷۶. مشهد؛ مدرسه میرزا جعفر؛ شماره نسخه: ۱۰۹</w:t>
      </w:r>
    </w:p>
    <w:p>
      <w:pPr>
        <w:pStyle w:val="BookText"/>
      </w:pPr>
      <w:r>
        <w:rPr>
          <w:rFonts w:ascii="IRNazanin" w:hAnsi="IRNazanin" w:eastAsia="IRNazanin" w:cs="IRNazanin"/>
          <w:lang w:bidi="fa-IR"/>
          <w:color w:val="111111"/>
          <w:sz w:val="28"/>
          <w:szCs w:val="28"/>
          <w:rtl/>
        </w:rPr>
        <w:t xml:space="preserve">تا «باب ولد الملاعنة يرث اخواله»؛ خط: نسخ، بی کا، بی تا:افتادگی: وسط، قطع: وزیری [چهار کتابخانه مشهد -ف: - ۳۴]</w:t>
      </w:r>
    </w:p>
    <w:p>
      <w:pPr>
        <w:pStyle w:val="BookText"/>
      </w:pPr>
      <w:r>
        <w:rPr>
          <w:rFonts w:ascii="IRNazanin" w:hAnsi="IRNazanin" w:eastAsia="IRNazanin" w:cs="IRNazanin"/>
          <w:lang w:bidi="fa-IR"/>
          <w:color w:val="111111"/>
          <w:sz w:val="28"/>
          <w:szCs w:val="28"/>
          <w:rtl/>
        </w:rPr>
        <w:t xml:space="preserve">۴۷۷. شیراز؛ علامه طباطبائی؛ شماره نسخه: ۱۵۰۷</w:t>
      </w:r>
    </w:p>
    <w:p>
      <w:pPr>
        <w:pStyle w:val="BookText"/>
      </w:pPr>
      <w:r>
        <w:rPr>
          <w:rFonts w:ascii="IRNazanin" w:hAnsi="IRNazanin" w:eastAsia="IRNazanin" w:cs="IRNazanin"/>
          <w:lang w:bidi="fa-IR"/>
          <w:color w:val="111111"/>
          <w:sz w:val="28"/>
          <w:szCs w:val="28"/>
          <w:rtl/>
        </w:rPr>
        <w:t xml:space="preserve">خط: نستعلیق، بی کا، بی تا؛ افتادگی: آغاز و انجام؛ مصحح؛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۲۶سم [نسخه پژوهی: ۲ - ۱۱۲]</w:t>
      </w:r>
    </w:p>
    <w:p>
      <w:pPr>
        <w:pStyle w:val="BookText"/>
      </w:pPr>
      <w:r>
        <w:rPr>
          <w:rFonts w:ascii="IRNazanin" w:hAnsi="IRNazanin" w:eastAsia="IRNazanin" w:cs="IRNazanin"/>
          <w:lang w:bidi="fa-IR"/>
          <w:color w:val="111111"/>
          <w:sz w:val="28"/>
          <w:szCs w:val="28"/>
          <w:rtl/>
        </w:rPr>
        <w:t xml:space="preserve">۴۷۸ .تهران؛ مجلس؛ شماره نسخه ۴۰۱۰</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کامل؛ خط: نسخ، کا: حاجی محمد یوسف محمد حسین ایلوندی از توابع  طالقان، بی تا؛ محشی با نشان «نهايه، ع س س م شیخ ،قاسم، م د . م ق ر. مسالک» در پایان کتاب صورت اجازه شیخ محمد بن شیخ حسن بن زین الدین شهید منقول از خط او در نسخه دیگر از استبصار هست؛ کاغذ: اصفهانی، جلد: تیماج ضربی ترنج دار، ۳۶۶گ، (۷پ -۳۷۲پ)، ۲۵ سطر، اندازه: ۱۹/۴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۳۲ [ف:11- 11]</w:t>
      </w:r>
    </w:p>
    <w:p>
      <w:pPr>
        <w:pStyle w:val="BookText"/>
      </w:pPr>
      <w:r>
        <w:rPr>
          <w:rFonts w:ascii="IRNazanin" w:hAnsi="IRNazanin" w:eastAsia="IRNazanin" w:cs="IRNazanin"/>
          <w:lang w:bidi="fa-IR"/>
          <w:color w:val="111111"/>
          <w:sz w:val="28"/>
          <w:szCs w:val="28"/>
          <w:rtl/>
        </w:rPr>
        <w:t xml:space="preserve">479.قم؛ حجتیه ؛شماره نسخه: ۳۵۸</w:t>
      </w:r>
    </w:p>
    <w:p>
      <w:pPr>
        <w:pStyle w:val="BookText"/>
      </w:pPr>
      <w:r>
        <w:rPr>
          <w:rFonts w:ascii="IRNazanin" w:hAnsi="IRNazanin" w:eastAsia="IRNazanin" w:cs="IRNazanin"/>
          <w:lang w:bidi="fa-IR"/>
          <w:color w:val="111111"/>
          <w:sz w:val="28"/>
          <w:szCs w:val="28"/>
          <w:rtl/>
        </w:rPr>
        <w:t xml:space="preserve">بی کا بی تا [ف: ۳۵]</w:t>
      </w:r>
    </w:p>
    <w:p>
      <w:pPr>
        <w:pStyle w:val="BookText"/>
      </w:pPr>
      <w:r>
        <w:rPr>
          <w:rFonts w:ascii="IRNazanin" w:hAnsi="IRNazanin" w:eastAsia="IRNazanin" w:cs="IRNazanin"/>
          <w:lang w:bidi="fa-IR"/>
          <w:color w:val="111111"/>
          <w:sz w:val="28"/>
          <w:szCs w:val="28"/>
          <w:rtl/>
        </w:rPr>
        <w:t xml:space="preserve">۴۸۰ .اهواز؛ دانشگاه اهواز؛ شماره نسخه:بدون شماره</w:t>
      </w:r>
    </w:p>
    <w:p>
      <w:pPr>
        <w:pStyle w:val="BookText"/>
      </w:pPr>
      <w:r>
        <w:rPr>
          <w:rFonts w:ascii="IRNazanin" w:hAnsi="IRNazanin" w:eastAsia="IRNazanin" w:cs="IRNazanin"/>
          <w:lang w:bidi="fa-IR"/>
          <w:color w:val="111111"/>
          <w:sz w:val="28"/>
          <w:szCs w:val="28"/>
          <w:rtl/>
        </w:rPr>
        <w:t xml:space="preserve">بی  کا، بی تا[ میراث اسلامی ۵ - ۵۸۸]</w:t>
      </w:r>
    </w:p>
    <w:p>
      <w:pPr>
        <w:pStyle w:val="BookText"/>
      </w:pPr>
      <w:r>
        <w:rPr>
          <w:rFonts w:ascii="IRNazanin" w:hAnsi="IRNazanin" w:eastAsia="IRNazanin" w:cs="IRNazanin"/>
          <w:lang w:bidi="fa-IR"/>
          <w:color w:val="111111"/>
          <w:sz w:val="28"/>
          <w:szCs w:val="28"/>
          <w:rtl/>
        </w:rPr>
        <w:t xml:space="preserve">۴۸۱ .کرمانشاه؛ فیض مهدوی (کتابخانه)؛ شماره نسخه:بدون شماره</w:t>
      </w:r>
    </w:p>
    <w:p>
      <w:pPr>
        <w:pStyle w:val="BookText"/>
      </w:pPr>
      <w:r>
        <w:rPr>
          <w:rFonts w:ascii="IRNazanin" w:hAnsi="IRNazanin" w:eastAsia="IRNazanin" w:cs="IRNazanin"/>
          <w:lang w:bidi="fa-IR"/>
          <w:color w:val="111111"/>
          <w:sz w:val="28"/>
          <w:szCs w:val="28"/>
          <w:rtl/>
        </w:rPr>
        <w:t xml:space="preserve">از الزكاة تا الدیات؛ بی کا، بی تا؛ افتادگی: انجام [ تراثنا: س ۲ش ۴ - ۲۴] :</w:t>
      </w:r>
    </w:p>
    <w:p>
      <w:pPr>
        <w:pStyle w:val="BookText"/>
      </w:pPr>
      <w:r>
        <w:rPr>
          <w:rFonts w:ascii="IRNazanin" w:hAnsi="IRNazanin" w:eastAsia="IRNazanin" w:cs="IRNazanin"/>
          <w:lang w:bidi="fa-IR"/>
          <w:color w:val="111111"/>
          <w:sz w:val="28"/>
          <w:szCs w:val="28"/>
          <w:rtl/>
        </w:rPr>
        <w:t xml:space="preserve">۴۸۲. مشهد؛ مدرسه باقریه؛ شماره نسخه: ۲۸۰/۲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41" w:name="pg20365_260220"/>
    <w:bookmarkEnd w:id="141"/>
    <w:p>
      <w:pPr>
        <w:pStyle w:val="BookText"/>
      </w:pPr>
      <w:r>
        <w:rPr>
          <w:rFonts w:ascii="IRNazanin" w:hAnsi="IRNazanin" w:eastAsia="IRNazanin" w:cs="IRNazanin"/>
          <w:lang w:bidi="fa-IR"/>
          <w:color w:val="111111"/>
          <w:sz w:val="28"/>
          <w:szCs w:val="28"/>
          <w:rtl/>
        </w:rPr>
        <w:t xml:space="preserve">خط ،نسخ، بی کا، بی تا :کاغذ ،سپاهانی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۲۷/۵  [تراثنا س ۶ش ۳ - ۱۱۳]</w:t>
      </w:r>
    </w:p>
    <w:p>
      <w:pPr>
        <w:pStyle w:val="BookText"/>
      </w:pPr>
      <w:r>
        <w:rPr>
          <w:rFonts w:ascii="IRNazanin" w:hAnsi="IRNazanin" w:eastAsia="IRNazanin" w:cs="IRNazanin"/>
          <w:lang w:bidi="fa-IR"/>
          <w:color w:val="111111"/>
          <w:sz w:val="28"/>
          <w:szCs w:val="28"/>
          <w:rtl/>
        </w:rPr>
        <w:t xml:space="preserve">۴۸۳. مشهد؛ شیخ علی حیدر؛ شماره نسخه: ۷۴۱</w:t>
      </w:r>
    </w:p>
    <w:p>
      <w:pPr>
        <w:pStyle w:val="BookText"/>
      </w:pPr>
      <w:r>
        <w:rPr>
          <w:rFonts w:ascii="Amiri" w:hAnsi="Amiri" w:eastAsia="Amiri" w:cs="Amiri"/>
          <w:lang w:bidi="ar-SA"/>
          <w:color w:val="111111"/>
          <w:sz w:val="28"/>
          <w:szCs w:val="28"/>
          <w:rtl/>
        </w:rPr>
        <w:t xml:space="preserve">انجام: عنه عن النضر بن سويد عن هشام بن سالم عن سليمان  بن خالد</w:t>
      </w:r>
    </w:p>
    <w:p>
      <w:pPr>
        <w:pStyle w:val="BookText"/>
      </w:pPr>
      <w:r>
        <w:rPr>
          <w:rFonts w:ascii="IRNazanin" w:hAnsi="IRNazanin" w:eastAsia="IRNazanin" w:cs="IRNazanin"/>
          <w:lang w:bidi="fa-IR"/>
          <w:color w:val="111111"/>
          <w:sz w:val="28"/>
          <w:szCs w:val="28"/>
          <w:rtl/>
        </w:rPr>
        <w:t xml:space="preserve">على اواسط کتاب الحج؛ خط: نسخ، بی کا، بی تا؛ افتادگی: انجام ،مصحح، محشی؛ تملک: ابی تراب بن محمد علی با مهر وی؛ ۲۵۰گ ۲۰  سطر، اندازه: ۲۰</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۲۵سم [مؤيد: ۲ - ۲۲۰]</w:t>
      </w:r>
    </w:p>
    <w:p>
      <w:pPr>
        <w:pStyle w:val="Heading3"/>
      </w:pPr>
      <w:bookmarkStart w:id="964" w:name="_Toc486"/>
      <w:r>
        <w:t>الاستبصار (منتخب) / فقه / عربی</w:t>
      </w:r>
      <w:bookmarkEnd w:id="964"/>
    </w:p>
    <w:p>
      <w:pPr>
        <w:pStyle w:val="BookText"/>
      </w:pPr>
      <w:r>
        <w:rPr>
          <w:rFonts w:ascii="Times New Roman" w:hAnsi="Times New Roman" w:eastAsia="Times New Roman" w:cs="Times New Roman"/>
          <w:lang w:val="en-US" w:bidi="en-US"/>
          <w:color w:val="111111"/>
          <w:sz w:val="28"/>
          <w:szCs w:val="28"/>
          <w:rtl/>
        </w:rPr>
        <w:t xml:space="preserve">(al-istibṣār (mn.)</w:t>
      </w:r>
    </w:p>
    <w:p>
      <w:pPr>
        <w:pStyle w:val="BookText"/>
      </w:pPr>
      <w:r>
        <w:rPr>
          <w:rFonts w:ascii="IRNazanin" w:hAnsi="IRNazanin" w:eastAsia="IRNazanin" w:cs="IRNazanin"/>
          <w:lang w:bidi="fa-IR"/>
          <w:color w:val="111111"/>
          <w:sz w:val="28"/>
          <w:szCs w:val="28"/>
          <w:rtl/>
        </w:rPr>
        <w:t xml:space="preserve">وابسته به: الاستبصار فيما اختلف من الاخبار؛ شیخ طوسی، محـمد بن حسن (۳۸۵-۴۶۰  )</w:t>
      </w:r>
    </w:p>
    <w:p>
      <w:pPr>
        <w:pStyle w:val="BookText"/>
      </w:pPr>
      <w:r>
        <w:rPr>
          <w:rFonts w:ascii="IRNazanin" w:hAnsi="IRNazanin" w:eastAsia="IRNazanin" w:cs="IRNazanin"/>
          <w:lang w:bidi="fa-IR"/>
          <w:color w:val="111111"/>
          <w:sz w:val="28"/>
          <w:szCs w:val="28"/>
          <w:rtl/>
        </w:rPr>
        <w:t xml:space="preserve">مشهد؛ مدرسه آیة الله خوئی؛ شماره نسخه: ۴۰۸/۴</w:t>
      </w:r>
    </w:p>
    <w:p>
      <w:pPr>
        <w:pStyle w:val="BookText"/>
      </w:pPr>
      <w:r>
        <w:rPr>
          <w:rFonts w:ascii="IRNazanin" w:hAnsi="IRNazanin" w:eastAsia="IRNazanin" w:cs="IRNazanin"/>
          <w:lang w:bidi="fa-IR"/>
          <w:color w:val="111111"/>
          <w:sz w:val="28"/>
          <w:szCs w:val="28"/>
          <w:rtl/>
        </w:rPr>
        <w:t xml:space="preserve">کا: شیخ محمد بن علی جزایری (شاگرد سید نعمة الله جزایری)، تا: ۱۱۱۴ق [اوراق عتيق ۱ - ۲۵۱]</w:t>
      </w:r>
    </w:p>
    <w:p>
      <w:pPr>
        <w:pStyle w:val="Heading3"/>
      </w:pPr>
      <w:bookmarkStart w:id="965" w:name="_Toc487"/>
      <w:r>
        <w:t>الاستتباعية / فقه / عربي</w:t>
      </w:r>
      <w:bookmarkEnd w:id="965"/>
    </w:p>
    <w:p>
      <w:pPr>
        <w:pStyle w:val="BookText"/>
      </w:pPr>
      <w:r>
        <w:rPr>
          <w:rFonts w:ascii="Times New Roman" w:hAnsi="Times New Roman" w:eastAsia="Times New Roman" w:cs="Times New Roman"/>
          <w:lang w:val="en-US" w:bidi="en-US"/>
          <w:color w:val="111111"/>
          <w:sz w:val="28"/>
          <w:szCs w:val="28"/>
          <w:rtl/>
        </w:rPr>
        <w:t xml:space="preserve">al-istitbā‘īyya</w:t>
      </w:r>
    </w:p>
    <w:p>
      <w:pPr>
        <w:pStyle w:val="BookText"/>
      </w:pPr>
      <w:r>
        <w:rPr>
          <w:rFonts w:ascii="IRNazanin" w:hAnsi="IRNazanin" w:eastAsia="IRNazanin" w:cs="IRNazanin"/>
          <w:lang w:bidi="fa-IR"/>
          <w:color w:val="111111"/>
          <w:sz w:val="28"/>
          <w:szCs w:val="28"/>
          <w:rtl/>
        </w:rPr>
        <w:t xml:space="preserve">رساله ای است در این که باید اعمال عبادتی تابع نیت باشد عمل بدون نیت باطل است و این که چگونه می توان در اثنای عمل نیت را طبق آنچه واجب است تغییر دهد، با عناوین   (مسألة- مسألة) و مقدمه کوتاهی در معنی نیت و کیفیت آن.</w:t>
      </w:r>
    </w:p>
    <w:p>
      <w:pPr>
        <w:pStyle w:val="BookText"/>
      </w:pPr>
      <w:r>
        <w:rPr>
          <w:rFonts w:ascii="IRNazanin" w:hAnsi="IRNazanin" w:eastAsia="IRNazanin" w:cs="IRNazanin"/>
          <w:lang w:bidi="fa-IR"/>
          <w:color w:val="111111"/>
          <w:sz w:val="28"/>
          <w:szCs w:val="28"/>
          <w:rtl/>
        </w:rPr>
        <w:t xml:space="preserve">قم؛ مرعشی؛ شماره نسخه: ۲۷۹۶/۴</w:t>
      </w:r>
    </w:p>
    <w:p>
      <w:pPr>
        <w:pStyle w:val="BookText"/>
      </w:pPr>
      <w:r>
        <w:rPr>
          <w:rFonts w:ascii="Amiri" w:hAnsi="Amiri" w:eastAsia="Amiri" w:cs="Amiri"/>
          <w:lang w:bidi="ar-SA"/>
          <w:color w:val="111111"/>
          <w:sz w:val="28"/>
          <w:szCs w:val="28"/>
          <w:rtl/>
        </w:rPr>
        <w:t xml:space="preserve">آغاز: الحمد لله رب العالمين... و بعد فهذه رسالة في مسائل الاستتباع في نيات العبادات؛ انجام: و ان كانت مشروطة  فلا ينعتقون الابأداء الجميع، و ليكن هذا آخر الرسالة</w:t>
      </w:r>
    </w:p>
    <w:p>
      <w:pPr>
        <w:pStyle w:val="BookText"/>
      </w:pPr>
      <w:r>
        <w:rPr>
          <w:rFonts w:ascii="IRNazanin" w:hAnsi="IRNazanin" w:eastAsia="IRNazanin" w:cs="IRNazanin"/>
          <w:lang w:bidi="fa-IR"/>
          <w:color w:val="111111"/>
          <w:sz w:val="28"/>
          <w:szCs w:val="28"/>
          <w:rtl/>
        </w:rPr>
        <w:t xml:space="preserve">خط: نسخ، بی  کا، بی تا؛ مصحح، دارای علامت بلاغ ؛جلد: مقوایی عطف تيماج قهوه ای، ۷گ (118پ-۱۲۴ر)،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w:t>
      </w:r>
    </w:p>
    <w:p>
      <w:pPr>
        <w:pStyle w:val="BookText"/>
      </w:pPr>
      <w:r>
        <w:rPr>
          <w:rFonts w:ascii="IRNazanin" w:hAnsi="IRNazanin" w:eastAsia="IRNazanin" w:cs="IRNazanin"/>
          <w:lang w:bidi="fa-IR"/>
          <w:color w:val="111111"/>
          <w:sz w:val="28"/>
          <w:szCs w:val="28"/>
          <w:rtl/>
        </w:rPr>
        <w:t xml:space="preserve">[ف: ۷ - ۳۶۲]</w:t>
      </w:r>
    </w:p>
    <w:p>
      <w:pPr>
        <w:pStyle w:val="BookText"/>
      </w:pPr>
      <w:r>
        <w:rPr>
          <w:rFonts w:ascii="IRNazanin" w:hAnsi="IRNazanin" w:eastAsia="IRNazanin" w:cs="IRNazanin"/>
          <w:lang w:bidi="fa-IR"/>
          <w:color w:val="111111"/>
          <w:sz w:val="28"/>
          <w:szCs w:val="28"/>
          <w:rtl/>
        </w:rPr>
        <w:t xml:space="preserve">قم؛ مرکز احیاء؛ شماره نسخه: ۲۳۵/۴</w:t>
      </w:r>
    </w:p>
    <w:p>
      <w:pPr>
        <w:pStyle w:val="BookText"/>
      </w:pPr>
      <w:r>
        <w:rPr>
          <w:rFonts w:ascii="IRNazanin" w:hAnsi="IRNazanin" w:eastAsia="IRNazanin" w:cs="IRNazanin"/>
          <w:lang w:bidi="fa-IR"/>
          <w:color w:val="111111"/>
          <w:sz w:val="28"/>
          <w:szCs w:val="28"/>
          <w:rtl/>
        </w:rPr>
        <w:t xml:space="preserve">نسخه اصل: همان نسخه بالا [ عکسی ف: ۱ - ۲۶۷]</w:t>
      </w:r>
    </w:p>
    <w:p>
      <w:pPr>
        <w:pStyle w:val="Heading3"/>
      </w:pPr>
      <w:bookmarkStart w:id="966" w:name="_Toc488"/>
      <w:r>
        <w:t>الاستثناء / متفرقه / عربی</w:t>
      </w:r>
      <w:bookmarkEnd w:id="966"/>
    </w:p>
    <w:p>
      <w:pPr>
        <w:pStyle w:val="BookText"/>
      </w:pPr>
      <w:r>
        <w:rPr>
          <w:rFonts w:ascii="Times New Roman" w:hAnsi="Times New Roman" w:eastAsia="Times New Roman" w:cs="Times New Roman"/>
          <w:lang w:val="en-US" w:bidi="en-US"/>
          <w:color w:val="111111"/>
          <w:sz w:val="28"/>
          <w:szCs w:val="28"/>
          <w:rtl/>
        </w:rPr>
        <w:t xml:space="preserve">al-istiṯnā’</w:t>
      </w:r>
    </w:p>
    <w:p>
      <w:pPr>
        <w:pStyle w:val="BookText"/>
      </w:pPr>
      <w:r>
        <w:rPr>
          <w:rFonts w:ascii="IRNazanin" w:hAnsi="IRNazanin" w:eastAsia="IRNazanin" w:cs="IRNazanin"/>
          <w:lang w:bidi="fa-IR"/>
          <w:color w:val="111111"/>
          <w:sz w:val="28"/>
          <w:szCs w:val="28"/>
          <w:rtl/>
        </w:rPr>
        <w:t xml:space="preserve">رساله ای است بدون خطبه و دیباجه در این که استثناءمنقـطع حقیقت است یا مجاز و از اقسام استثناء. مؤلف – که نامش در نسخه نیامده - از کتاب تلویح در اصول فقه و کتاب های لغت  و از اختلافات بین شافعی و ابوحنیفه (در مورد استثناء از نفی)  یاد می کند.</w:t>
      </w:r>
    </w:p>
    <w:p>
      <w:pPr>
        <w:pStyle w:val="BookText"/>
      </w:pPr>
      <w:r>
        <w:rPr>
          <w:rFonts w:ascii="IRNazanin" w:hAnsi="IRNazanin" w:eastAsia="IRNazanin" w:cs="IRNazanin"/>
          <w:lang w:bidi="fa-IR"/>
          <w:color w:val="111111"/>
          <w:sz w:val="28"/>
          <w:szCs w:val="28"/>
          <w:rtl/>
        </w:rPr>
        <w:t xml:space="preserve">تهران؛ مجلس؛ شماره نسخه: ۳۸۰۲/۱۵</w:t>
      </w:r>
    </w:p>
    <w:p>
      <w:pPr>
        <w:pStyle w:val="BookText"/>
      </w:pPr>
      <w:r>
        <w:rPr>
          <w:rFonts w:ascii="Amiri" w:hAnsi="Amiri" w:eastAsia="Amiri" w:cs="Amiri"/>
          <w:lang w:bidi="ar-SA"/>
          <w:color w:val="111111"/>
          <w:sz w:val="28"/>
          <w:szCs w:val="28"/>
          <w:rtl/>
        </w:rPr>
        <w:t xml:space="preserve">آغاز: بسمله قال فى التلويح و اشتهر فيما بينهم ان الاستثناء حقيقة في المتصل مجاز في المنقطع و المراد صيغة الاستثناء؛ انجام: و هو باطل لما مر واجاب صاحب التلويح عن كلا الوجهين فارجع اليه حتى يكشف حقيقة الحال و الله اعلم بالمآل.</w:t>
      </w:r>
    </w:p>
    <w:p>
      <w:pPr>
        <w:pStyle w:val="BookText"/>
      </w:pPr>
      <w:r>
        <w:rPr>
          <w:rFonts w:ascii="IRNazanin" w:hAnsi="IRNazanin" w:eastAsia="IRNazanin" w:cs="IRNazanin"/>
          <w:lang w:bidi="fa-IR"/>
          <w:color w:val="111111"/>
          <w:sz w:val="28"/>
          <w:szCs w:val="28"/>
          <w:rtl/>
        </w:rPr>
        <w:t xml:space="preserve">خط: نستعلیق ،ترک، بی کا، تا: قرن ۱۱؛ کاغذ: آهار مهره شکری  رنگ، جلد: تیماج مشکی سجاف عطف و حواشی تیماج یشمی، ۴ ص (۱۷۷- ۱۸۰) ، ۲۱  سطر، قطع: خشتی،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۱۰- ۱۸۰۶]</w:t>
      </w:r>
    </w:p>
    <w:p>
      <w:pPr>
        <w:pStyle w:val="Heading3"/>
      </w:pPr>
      <w:bookmarkStart w:id="967" w:name="_Toc489"/>
      <w:r>
        <w:t>الاستثناء / نحو / عربي</w:t>
      </w:r>
      <w:bookmarkEnd w:id="967"/>
    </w:p>
    <w:p>
      <w:pPr>
        <w:pStyle w:val="BookText"/>
      </w:pPr>
      <w:r>
        <w:rPr>
          <w:rFonts w:ascii="Times New Roman" w:hAnsi="Times New Roman" w:eastAsia="Times New Roman" w:cs="Times New Roman"/>
          <w:lang w:val="en-US" w:bidi="en-US"/>
          <w:color w:val="111111"/>
          <w:sz w:val="28"/>
          <w:szCs w:val="28"/>
          <w:rtl/>
        </w:rPr>
        <w:t xml:space="preserve">al-istiṯnā’</w:t>
      </w:r>
    </w:p>
    <w:p>
      <w:pPr>
        <w:pStyle w:val="BookText"/>
      </w:pPr>
      <w:r>
        <w:rPr>
          <w:rFonts w:ascii="IRNazanin" w:hAnsi="IRNazanin" w:eastAsia="IRNazanin" w:cs="IRNazanin"/>
          <w:lang w:bidi="fa-IR"/>
          <w:color w:val="111111"/>
          <w:sz w:val="28"/>
          <w:szCs w:val="28"/>
          <w:rtl/>
        </w:rPr>
        <w:t xml:space="preserve">تهران؛ دانشگاه؛ شماره نسخه: ۶۹۱۴/۱۸</w:t>
      </w:r>
    </w:p>
    <w:p>
      <w:pPr>
        <w:pStyle w:val="BookText"/>
      </w:pPr>
      <w:r>
        <w:rPr>
          <w:rFonts w:ascii="IRNazanin" w:hAnsi="IRNazanin" w:eastAsia="IRNazanin" w:cs="IRNazanin"/>
          <w:lang w:bidi="fa-IR"/>
          <w:color w:val="111111"/>
          <w:sz w:val="28"/>
          <w:szCs w:val="28"/>
          <w:rtl/>
        </w:rPr>
        <w:t xml:space="preserve">خط: نسخ، بی کا، تا: قرن ۱۳؛ کاغذ: فرنگی، جلد: تیماج تریاکی گرد و عطف مشکی لایی، ۱۷ سطر (9</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قطع: ربعی،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 ۱۶ - ۳۹۸]</w:t>
      </w:r>
    </w:p>
    <w:p>
      <w:pPr>
        <w:pStyle w:val="Heading3"/>
      </w:pPr>
      <w:bookmarkStart w:id="968" w:name="_Toc490"/>
      <w:r>
        <w:t>الاستثناء المتعاقب للجمل / اصول فقه / عربی</w:t>
      </w:r>
      <w:bookmarkEnd w:id="968"/>
    </w:p>
    <w:p>
      <w:pPr>
        <w:pStyle w:val="BookText"/>
      </w:pPr>
      <w:r>
        <w:rPr>
          <w:rFonts w:ascii="Times New Roman" w:hAnsi="Times New Roman" w:eastAsia="Times New Roman" w:cs="Times New Roman"/>
          <w:lang w:val="en-US" w:bidi="en-US"/>
          <w:color w:val="111111"/>
          <w:sz w:val="28"/>
          <w:szCs w:val="28"/>
          <w:rtl/>
        </w:rPr>
        <w:t xml:space="preserve">al-istitna-ul-mutaaqib li-l-jamal</w:t>
      </w:r>
    </w:p>
    <w:p>
      <w:pPr>
        <w:pStyle w:val="BookText"/>
      </w:pPr>
      <w:r>
        <w:rPr>
          <w:rFonts w:ascii="IRNazanin" w:hAnsi="IRNazanin" w:eastAsia="IRNazanin" w:cs="IRNazanin"/>
          <w:lang w:bidi="fa-IR"/>
          <w:color w:val="111111"/>
          <w:sz w:val="28"/>
          <w:szCs w:val="28"/>
          <w:rtl/>
        </w:rPr>
        <w:t xml:space="preserve">حسینی  قزوینی، محمد تقی بن امیر مؤمن، ۱۲۷۰ قمری</w:t>
      </w:r>
    </w:p>
    <w:p>
      <w:pPr>
        <w:pStyle w:val="BookText"/>
      </w:pPr>
      <w:r>
        <w:rPr>
          <w:rFonts w:ascii="Times New Roman" w:hAnsi="Times New Roman" w:eastAsia="Times New Roman" w:cs="Times New Roman"/>
          <w:lang w:val="en-US" w:bidi="en-US"/>
          <w:color w:val="111111"/>
          <w:sz w:val="28"/>
          <w:szCs w:val="28"/>
          <w:rtl/>
        </w:rPr>
        <w:t xml:space="preserve">hoseyni qazvīnī, mohammad taqī ebn-e amir mo'men</w:t>
      </w:r>
    </w:p>
    <w:p>
      <w:pPr>
        <w:pStyle w:val="BookText"/>
      </w:pPr>
      <w:r>
        <w:rPr>
          <w:rFonts w:ascii="Times New Roman" w:hAnsi="Times New Roman" w:eastAsia="Times New Roman" w:cs="Times New Roman"/>
          <w:lang w:val="en-US" w:bidi="en-US"/>
          <w:color w:val="111111"/>
          <w:sz w:val="28"/>
          <w:szCs w:val="28"/>
          <w:rtl/>
        </w:rPr>
        <w:t xml:space="preserve">(-1854)</w:t>
      </w:r>
    </w:p>
    <w:p>
      <w:pPr>
        <w:pStyle w:val="BookText"/>
      </w:pPr>
      <w:r>
        <w:rPr>
          <w:rFonts w:ascii="IRNazanin" w:hAnsi="IRNazanin" w:eastAsia="IRNazanin" w:cs="IRNazanin"/>
          <w:lang w:bidi="fa-IR"/>
          <w:color w:val="111111"/>
          <w:sz w:val="28"/>
          <w:szCs w:val="28"/>
          <w:rtl/>
        </w:rPr>
        <w:t xml:space="preserve">رساله ای است در مبحث «استثناء المتعاقب للجمل» یعنی در بیان مفاد استثناء بعد از دو «عام» یا بیشتر که مستثنی مشکک باشد و تحریر محل نزاع از متن کتاب «مناهل»</w:t>
      </w:r>
    </w:p>
    <w:p>
      <w:pPr>
        <w:pStyle w:val="BookText"/>
      </w:pPr>
      <w:r>
        <w:rPr>
          <w:rFonts w:ascii="IRNazanin" w:hAnsi="IRNazanin" w:eastAsia="IRNazanin" w:cs="IRNazanin"/>
          <w:lang w:bidi="fa-IR"/>
          <w:color w:val="111111"/>
          <w:sz w:val="28"/>
          <w:szCs w:val="28"/>
          <w:rtl/>
        </w:rPr>
        <w:t xml:space="preserve">قم؛ مرعشی؛ شماره نسخه: ۱۱۳۰۷/۳</w:t>
      </w:r>
    </w:p>
    <w:p>
      <w:pPr>
        <w:pStyle w:val="BookText"/>
      </w:pPr>
      <w:r>
        <w:rPr>
          <w:rFonts w:ascii="IRNazanin" w:hAnsi="IRNazanin" w:eastAsia="IRNazanin" w:cs="IRNazanin"/>
          <w:lang w:bidi="fa-IR"/>
          <w:color w:val="111111"/>
          <w:sz w:val="28"/>
          <w:szCs w:val="28"/>
          <w:rtl/>
        </w:rPr>
        <w:t xml:space="preserve">آغاز: الحمد لله كما هو اهله ... اما بعد فيقول العبد المفتاح المحتاج المفتقر الى الله ؛ انجام: و متى علقناه بما يليه استقل و افاد فلا معنی لتعليقه بما بعد عنه لانه لو جاز مع افادته و استقلاله...</w:t>
      </w:r>
    </w:p>
    <w:p>
      <w:pPr>
        <w:pStyle w:val="BookText"/>
      </w:pPr>
      <w:r>
        <w:rPr>
          <w:rFonts w:ascii="IRNazanin" w:hAnsi="IRNazanin" w:eastAsia="IRNazanin" w:cs="IRNazanin"/>
          <w:lang w:bidi="fa-IR"/>
          <w:color w:val="111111"/>
          <w:sz w:val="28"/>
          <w:szCs w:val="28"/>
          <w:rtl/>
        </w:rPr>
        <w:t xml:space="preserve">خط: نستعليق  تحریری، بی کا، تا: قرن ۱۳؛ افتادگی: انجام؛ مصحح، محشی؛ کاغذ: فرنگی آهار مهره، جلد: تیماج زیتونی ضربی مجدول ،یک  لا ،۱۵گ (۷۹ - ۹۳)، ۱۹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۲۸ - ۴۶۹]</w:t>
      </w:r>
    </w:p>
    <w:p>
      <w:pPr>
        <w:pStyle w:val="Heading3"/>
      </w:pPr>
      <w:bookmarkStart w:id="969" w:name="_Toc491"/>
      <w:r>
        <w:t>الاستثناء المعقب للجمل / اصول فقه / عربی</w:t>
      </w:r>
      <w:bookmarkEnd w:id="969"/>
    </w:p>
    <w:p>
      <w:pPr>
        <w:pStyle w:val="BookText"/>
      </w:pPr>
      <w:r>
        <w:rPr>
          <w:rFonts w:ascii="Times New Roman" w:hAnsi="Times New Roman" w:eastAsia="Times New Roman" w:cs="Times New Roman"/>
          <w:lang w:val="en-US" w:bidi="en-US"/>
          <w:color w:val="111111"/>
          <w:sz w:val="28"/>
          <w:szCs w:val="28"/>
          <w:rtl/>
        </w:rPr>
        <w:t xml:space="preserve">istitna'-ul mu‘aqqab li-l-jamal</w:t>
      </w:r>
    </w:p>
    <w:p>
      <w:pPr>
        <w:pStyle w:val="BookText"/>
      </w:pPr>
      <w:r>
        <w:rPr>
          <w:rFonts w:ascii="IRNazanin" w:hAnsi="IRNazanin" w:eastAsia="IRNazanin" w:cs="IRNazanin"/>
          <w:lang w:bidi="fa-IR"/>
          <w:color w:val="111111"/>
          <w:sz w:val="28"/>
          <w:szCs w:val="28"/>
          <w:rtl/>
        </w:rPr>
        <w:t xml:space="preserve">علم الهدى، على بن حسین، ۳۵۵ – ۴۳۶ قمری</w:t>
      </w:r>
    </w:p>
    <w:p>
      <w:pPr>
        <w:pStyle w:val="BookText"/>
      </w:pPr>
      <w:r>
        <w:rPr>
          <w:rFonts w:ascii="Times New Roman" w:hAnsi="Times New Roman" w:eastAsia="Times New Roman" w:cs="Times New Roman"/>
          <w:lang w:val="en-US" w:bidi="en-US"/>
          <w:color w:val="111111"/>
          <w:sz w:val="28"/>
          <w:szCs w:val="28"/>
          <w:rtl/>
        </w:rPr>
        <w:t xml:space="preserve">(alam-ol-hodā, ‘alī ebn-e hoseyn (967 - 1045)</w:t>
      </w:r>
    </w:p>
    <w:p>
      <w:pPr>
        <w:pStyle w:val="BookText"/>
      </w:pPr>
      <w:r>
        <w:rPr>
          <w:rFonts w:ascii="IRNazanin" w:hAnsi="IRNazanin" w:eastAsia="IRNazanin" w:cs="IRNazanin"/>
          <w:lang w:bidi="fa-IR"/>
          <w:color w:val="111111"/>
          <w:sz w:val="28"/>
          <w:szCs w:val="28"/>
          <w:rtl/>
        </w:rPr>
        <w:t xml:space="preserve">موضوع این رساله استثناء معقب بر جمل است که از متفرعات علم اصول فقه است، شریف مرتضی در مقابل اعتراض فرضی بر این که «چرا ما می گوییم: استثناء منحصراً چیزی را از جمل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42" w:name="pg20365_260221"/>
    <w:bookmarkEnd w:id="142"/>
    <w:p>
      <w:pPr>
        <w:pStyle w:val="BookText"/>
      </w:pPr>
      <w:r>
        <w:rPr>
          <w:rFonts w:ascii="IRNazanin" w:hAnsi="IRNazanin" w:eastAsia="IRNazanin" w:cs="IRNazanin"/>
          <w:lang w:bidi="fa-IR"/>
          <w:color w:val="111111"/>
          <w:sz w:val="28"/>
          <w:szCs w:val="28"/>
          <w:rtl/>
        </w:rPr>
        <w:t xml:space="preserve">می کند که قبلاً صلاحیت دخول داشته است؟ پاسخ گفته است.</w:t>
      </w:r>
    </w:p>
    <w:p>
      <w:pPr>
        <w:pStyle w:val="BookText"/>
      </w:pPr>
      <w:r>
        <w:rPr>
          <w:rFonts w:ascii="Amiri" w:hAnsi="Amiri" w:eastAsia="Amiri" w:cs="Amiri"/>
          <w:lang w:bidi="ar-SA"/>
          <w:color w:val="111111"/>
          <w:sz w:val="28"/>
          <w:szCs w:val="28"/>
          <w:rtl/>
        </w:rPr>
        <w:t xml:space="preserve">آغاز: مسئلة فى الإستثناء، قال - أدام الله علوه - إذا اعترض. معترض على ما يقوله من أن الإستثناء إنما يخرج من الجمل  ما صلح دخوله فيها</w:t>
      </w:r>
    </w:p>
    <w:p>
      <w:pPr>
        <w:pStyle w:val="BookText"/>
      </w:pPr>
      <w:r>
        <w:rPr>
          <w:rFonts w:ascii="Amiri" w:hAnsi="Amiri" w:eastAsia="Amiri" w:cs="Amiri"/>
          <w:lang w:bidi="ar-SA"/>
          <w:color w:val="111111"/>
          <w:sz w:val="28"/>
          <w:szCs w:val="28"/>
          <w:rtl/>
        </w:rPr>
        <w:t xml:space="preserve">انجام: و ههنا يجوز أن يستثنى فنقول: إلا زيداً، تمت المسئلة و الحمد لله رب العالمين.</w:t>
      </w:r>
    </w:p>
    <w:p>
      <w:pPr>
        <w:pStyle w:val="BookText"/>
      </w:pPr>
      <w:r>
        <w:rPr>
          <w:rFonts w:ascii="IRNazanin" w:hAnsi="IRNazanin" w:eastAsia="IRNazanin" w:cs="IRNazanin"/>
          <w:lang w:bidi="fa-IR"/>
          <w:color w:val="111111"/>
          <w:sz w:val="28"/>
          <w:szCs w:val="28"/>
          <w:rtl/>
        </w:rPr>
        <w:t xml:space="preserve">چاپ: تحقیق سید مهدی رجائی، ضمن الرسائل الشريـف المرتضى، قم، دار القرآن الكريم، ۱۴۰۵ق، الجزء الثانية، ص 79- 81</w:t>
      </w:r>
    </w:p>
    <w:p>
      <w:pPr>
        <w:pStyle w:val="BookText"/>
      </w:pPr>
      <w:r>
        <w:rPr>
          <w:rFonts w:ascii="Amiri" w:hAnsi="Amiri" w:eastAsia="Amiri" w:cs="Amiri"/>
          <w:lang w:bidi="ar-SA"/>
          <w:color w:val="111111"/>
          <w:sz w:val="28"/>
          <w:szCs w:val="28"/>
          <w:rtl/>
        </w:rPr>
        <w:t xml:space="preserve">[ الذريعة ٣٨٣/٢٠]</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مرعشی؛ شماره نسخه: ۱۴۲۵۴/۱۸</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۱۳؛ کاغذ: فرنگی، اگ (۷۴پ)، 31سطر، اندازه: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۳۶ - ۷۸]</w:t>
      </w:r>
    </w:p>
    <w:p>
      <w:pPr>
        <w:pStyle w:val="BookText"/>
      </w:pPr>
      <w:r>
        <w:rPr>
          <w:rFonts w:ascii="IRNazanin" w:hAnsi="IRNazanin" w:eastAsia="IRNazanin" w:cs="IRNazanin"/>
          <w:lang w:bidi="fa-IR"/>
          <w:color w:val="111111"/>
          <w:sz w:val="28"/>
          <w:szCs w:val="28"/>
          <w:rtl/>
        </w:rPr>
        <w:t xml:space="preserve">۲. قم؛ مرعشی؛ شماره نسخه: ۱۴۹۷/۱۷عکسی</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نسخه  اصل: کتابخانه آستان قدس  رضوی، شماره ص ۲۱۵۰۹؛ خـط: نسخ، کا: سید احمد بن محمد رضا حسینی [صفایی خوانسار ]،</w:t>
      </w:r>
    </w:p>
    <w:p>
      <w:pPr>
        <w:pStyle w:val="BookText"/>
      </w:pPr>
      <w:r>
        <w:rPr>
          <w:rFonts w:ascii="IRNazanin" w:hAnsi="IRNazanin" w:eastAsia="IRNazanin" w:cs="IRNazanin"/>
          <w:lang w:bidi="fa-IR"/>
          <w:color w:val="111111"/>
          <w:sz w:val="28"/>
          <w:szCs w:val="28"/>
          <w:rtl/>
        </w:rPr>
        <w:t xml:space="preserve">تا: قرن ۱۴، در مصحح، محشی، با رکابه نوسی، در برگ 158 یادداشتی به نقل از «کشف الظنون» درباره حریری آمده است؛  22 سطر [عکسی :ف ۴ - ۳۸۸]</w:t>
      </w:r>
    </w:p>
    <w:p>
      <w:pPr>
        <w:pStyle w:val="BookText"/>
      </w:pPr>
      <w:r>
        <w:rPr>
          <w:rFonts w:ascii="IRNazanin" w:hAnsi="IRNazanin" w:eastAsia="IRNazanin" w:cs="IRNazanin"/>
          <w:lang w:bidi="fa-IR"/>
          <w:color w:val="111111"/>
          <w:sz w:val="28"/>
          <w:szCs w:val="28"/>
          <w:rtl/>
        </w:rPr>
        <w:t xml:space="preserve">3.قم ؛مرعشی؛ شماره نسخه: ۱۱۳۴۰/۱۱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کاغذ: شرقی آهار مهره، ۱گ (۱۵۹)،    13سطر، اندازه: ۱۲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۱۷سم [ف: ۲۸ - ۵۶۷]</w:t>
      </w:r>
    </w:p>
    <w:p>
      <w:pPr>
        <w:pStyle w:val="Heading3"/>
      </w:pPr>
      <w:bookmarkStart w:id="970" w:name="_Toc492"/>
      <w:r>
        <w:t>الاستثناآت المسلسلة / ادبیات / عربي</w:t>
      </w:r>
      <w:bookmarkEnd w:id="970"/>
    </w:p>
    <w:p>
      <w:pPr>
        <w:pStyle w:val="BookText"/>
      </w:pPr>
      <w:r>
        <w:rPr>
          <w:rFonts w:ascii="Times New Roman" w:hAnsi="Times New Roman" w:eastAsia="Times New Roman" w:cs="Times New Roman"/>
          <w:lang w:val="en-US" w:bidi="en-US"/>
          <w:color w:val="111111"/>
          <w:sz w:val="28"/>
          <w:szCs w:val="28"/>
          <w:rtl/>
        </w:rPr>
        <w:t xml:space="preserve">al-istiṯnā’āt-ul-musalsala</w:t>
      </w:r>
    </w:p>
    <w:p>
      <w:pPr>
        <w:pStyle w:val="BookText"/>
      </w:pPr>
      <w:r>
        <w:rPr>
          <w:rFonts w:ascii="IRNazanin" w:hAnsi="IRNazanin" w:eastAsia="IRNazanin" w:cs="IRNazanin"/>
          <w:lang w:bidi="fa-IR"/>
          <w:color w:val="111111"/>
          <w:sz w:val="28"/>
          <w:szCs w:val="28"/>
          <w:rtl/>
        </w:rPr>
        <w:t xml:space="preserve">ابن  روزبهان، علی بن روزبهان، ق ۷ قمری</w:t>
      </w:r>
    </w:p>
    <w:p>
      <w:pPr>
        <w:pStyle w:val="BookText"/>
      </w:pPr>
      <w:r>
        <w:rPr>
          <w:rFonts w:ascii="Times New Roman" w:hAnsi="Times New Roman" w:eastAsia="Times New Roman" w:cs="Times New Roman"/>
          <w:lang w:val="en-US" w:bidi="en-US"/>
          <w:color w:val="111111"/>
          <w:sz w:val="28"/>
          <w:szCs w:val="28"/>
          <w:rtl/>
        </w:rPr>
        <w:t xml:space="preserve">(ebn-e rūzbehān, ‘alī-ye-bn-e rūzbehān (- 13c)</w:t>
      </w:r>
    </w:p>
    <w:p>
      <w:pPr>
        <w:pStyle w:val="BookText"/>
      </w:pPr>
      <w:r>
        <w:rPr>
          <w:rFonts w:ascii="IRNazanin" w:hAnsi="IRNazanin" w:eastAsia="IRNazanin" w:cs="IRNazanin"/>
          <w:lang w:bidi="fa-IR"/>
          <w:color w:val="111111"/>
          <w:sz w:val="28"/>
          <w:szCs w:val="28"/>
          <w:rtl/>
        </w:rPr>
        <w:t xml:space="preserve">تهران؛ ملک؛ شماره نسخه: ۲۳۹۵/۱۲</w:t>
      </w:r>
    </w:p>
    <w:p>
      <w:pPr>
        <w:pStyle w:val="BookText"/>
      </w:pPr>
      <w:r>
        <w:rPr>
          <w:rFonts w:ascii="Amiri" w:hAnsi="Amiri" w:eastAsia="Amiri" w:cs="Amiri"/>
          <w:lang w:bidi="ar-SA"/>
          <w:color w:val="111111"/>
          <w:sz w:val="28"/>
          <w:szCs w:val="28"/>
          <w:rtl/>
        </w:rPr>
        <w:t xml:space="preserve">آغاز: بسمله. حكم علماء العربية فى قولهم على عشرة الا تسعة  الا ثمانية الا سبعة الا خمسة الا ثلاثة الا اثنين الا واحدا و سكتوا</w:t>
      </w:r>
    </w:p>
    <w:p>
      <w:pPr>
        <w:pStyle w:val="BookText"/>
      </w:pPr>
      <w:r>
        <w:rPr>
          <w:rFonts w:ascii="IRNazanin" w:hAnsi="IRNazanin" w:eastAsia="IRNazanin" w:cs="IRNazanin"/>
          <w:lang w:bidi="fa-IR"/>
          <w:color w:val="111111"/>
          <w:sz w:val="28"/>
          <w:szCs w:val="28"/>
          <w:rtl/>
        </w:rPr>
        <w:t xml:space="preserve">هذا المنتهى انه يجب خمسة و فيها لو عکسوا..؛ انجام: بیان صورتها فى هذا الجدول لتطهر المعقول في المحسوس و هذه  صورته (جدول است )</w:t>
      </w:r>
    </w:p>
    <w:p>
      <w:pPr>
        <w:pStyle w:val="BookText"/>
      </w:pPr>
      <w:r>
        <w:rPr>
          <w:rFonts w:ascii="IRNazanin" w:hAnsi="IRNazanin" w:eastAsia="IRNazanin" w:cs="IRNazanin"/>
          <w:lang w:bidi="fa-IR"/>
          <w:color w:val="111111"/>
          <w:sz w:val="28"/>
          <w:szCs w:val="28"/>
          <w:rtl/>
        </w:rPr>
        <w:t xml:space="preserve">خط: نسخ، بی کا، تا: قرن ۱۲ [ف: ۶ - ۳]</w:t>
      </w:r>
    </w:p>
    <w:p>
      <w:pPr>
        <w:pStyle w:val="Heading3"/>
      </w:pPr>
      <w:bookmarkStart w:id="971" w:name="_Toc493"/>
      <w:r>
        <w:t>استجابة الدعاء = تحرى وقت ترجى فيه اجابة الدعاء والتضرع الى الله تعالى من جهة التنجيم (رسـاله فی) / هيأت، دعا / عربي</w:t>
      </w:r>
      <w:bookmarkEnd w:id="971"/>
    </w:p>
    <w:p>
      <w:pPr>
        <w:pStyle w:val="BookText"/>
      </w:pPr>
      <w:r>
        <w:rPr>
          <w:rFonts w:ascii="Times New Roman" w:hAnsi="Times New Roman" w:eastAsia="Times New Roman" w:cs="Times New Roman"/>
          <w:lang w:val="en-US" w:bidi="en-US"/>
          <w:color w:val="111111"/>
          <w:sz w:val="28"/>
          <w:szCs w:val="28"/>
          <w:rtl/>
        </w:rPr>
        <w:t xml:space="preserve">istijabat-ud dua = taharra waqt-a turja fi-hi ijabat-ud du'a' wa-t taḍarru ila-l lāh taˆālākendi, ya qub (ebn-e eshaq (802 - 867)</w:t>
      </w:r>
    </w:p>
    <w:p>
      <w:pPr>
        <w:pStyle w:val="BookText"/>
      </w:pPr>
      <w:r>
        <w:rPr>
          <w:rFonts w:ascii="IRNazanin" w:hAnsi="IRNazanin" w:eastAsia="IRNazanin" w:cs="IRNazanin"/>
          <w:lang w:bidi="fa-IR"/>
          <w:color w:val="111111"/>
          <w:sz w:val="28"/>
          <w:szCs w:val="28"/>
          <w:rtl/>
        </w:rPr>
        <w:t xml:space="preserve">کندی، یعقوب بن اسحاق، ۱۸۵ - ۲۵۲ ؟ قمری</w:t>
      </w:r>
    </w:p>
    <w:p>
      <w:pPr>
        <w:pStyle w:val="BookText"/>
      </w:pPr>
      <w:r>
        <w:rPr>
          <w:rFonts w:ascii="Times New Roman" w:hAnsi="Times New Roman" w:eastAsia="Times New Roman" w:cs="Times New Roman"/>
          <w:lang w:val="en-US" w:bidi="en-US"/>
          <w:color w:val="111111"/>
          <w:sz w:val="28"/>
          <w:szCs w:val="28"/>
          <w:rtl/>
        </w:rPr>
        <w:t xml:space="preserve">(kendī, ya‘qūb ebn-e eshāq (802 - 867)</w:t>
      </w:r>
    </w:p>
    <w:p>
      <w:pPr>
        <w:pStyle w:val="BookText"/>
      </w:pPr>
      <w:r>
        <w:rPr>
          <w:rFonts w:ascii="IRNazanin" w:hAnsi="IRNazanin" w:eastAsia="IRNazanin" w:cs="IRNazanin"/>
          <w:lang w:bidi="fa-IR"/>
          <w:color w:val="111111"/>
          <w:sz w:val="28"/>
          <w:szCs w:val="28"/>
          <w:rtl/>
        </w:rPr>
        <w:t xml:space="preserve">نامه ای است عرفانی از ابویوسف بن اسحاق کندی به احمد بن المعتصم در یافتن ساعتی که در آن اجابت دعا نزدیک تر است.</w:t>
      </w:r>
    </w:p>
    <w:p>
      <w:pPr>
        <w:pStyle w:val="BookText"/>
      </w:pPr>
      <w:r>
        <w:rPr>
          <w:rFonts w:ascii="Amiri" w:hAnsi="Amiri" w:eastAsia="Amiri" w:cs="Amiri"/>
          <w:lang w:bidi="ar-SA"/>
          <w:color w:val="111111"/>
          <w:sz w:val="28"/>
          <w:szCs w:val="28"/>
          <w:rtl/>
        </w:rPr>
        <w:t xml:space="preserve">آغاز: رسالة يعقوب بن اسحق الكندى فى تحرى وقت يرتجى فيه استجابة الدعاء والتضرع الى الله عز وجل من جهة التنجيم.</w:t>
      </w:r>
    </w:p>
    <w:p>
      <w:pPr>
        <w:pStyle w:val="BookText"/>
      </w:pPr>
      <w:r>
        <w:rPr>
          <w:rFonts w:ascii="Amiri" w:hAnsi="Amiri" w:eastAsia="Amiri" w:cs="Amiri"/>
          <w:lang w:bidi="ar-SA"/>
          <w:color w:val="111111"/>
          <w:sz w:val="28"/>
          <w:szCs w:val="28"/>
          <w:rtl/>
        </w:rPr>
        <w:t xml:space="preserve">قال: هذا اسعدك الله من المسائل المعتاصة على الروحانين فضلا عن ذوى الاجساد الناطقة الا لمن منحه الله عزوجل معرفة ذلك على جهة البعث و الرسالة و الوقت المستدل به على معرفته لا يستحيل من جهة التنجيم</w:t>
      </w:r>
    </w:p>
    <w:p>
      <w:pPr>
        <w:pStyle w:val="BookText"/>
      </w:pPr>
      <w:r>
        <w:rPr>
          <w:rFonts w:ascii="IRNazanin" w:hAnsi="IRNazanin" w:eastAsia="IRNazanin" w:cs="IRNazanin"/>
          <w:lang w:bidi="fa-IR"/>
          <w:color w:val="111111"/>
          <w:sz w:val="28"/>
          <w:szCs w:val="28"/>
          <w:rtl/>
        </w:rPr>
        <w:t xml:space="preserve">انجام: فهذه اسعدك الله كما حضرني و احضره الفكر مما ذهب اليه هذا المذهب من الطائفتين ينفعك الله بصالحه و تغمدک بغفرانه و عفوه والله ولى الاجابة (تمت الرسالة بحمد الله و حسن توفيقه و الصلوة على رسوله وآله الطيبين الطاهرين برحمتک یارب. تم)</w:t>
      </w:r>
    </w:p>
    <w:p>
      <w:pPr>
        <w:pStyle w:val="BookText"/>
      </w:pPr>
      <w:r>
        <w:rPr>
          <w:rFonts w:ascii="IRNazanin" w:hAnsi="IRNazanin" w:eastAsia="IRNazanin" w:cs="IRNazanin"/>
          <w:lang w:bidi="fa-IR"/>
          <w:color w:val="111111"/>
          <w:sz w:val="28"/>
          <w:szCs w:val="28"/>
          <w:rtl/>
        </w:rPr>
        <w:t xml:space="preserve">چاپ: در همائی  نامه: مجموعه مقالات علمی و ادبی تقدیم شده به استاد جلال الدین  همائی، زیر نظر مهدی محقق (تهران، انجمن استادان زبان و ادبیات فارسی ۱۳۵۵)</w:t>
      </w:r>
    </w:p>
    <w:p>
      <w:pPr>
        <w:pStyle w:val="BookText"/>
      </w:pPr>
      <w:r>
        <w:rPr>
          <w:rFonts w:ascii="IRNazanin" w:hAnsi="IRNazanin" w:eastAsia="IRNazanin" w:cs="IRNazanin"/>
          <w:lang w:bidi="fa-IR"/>
          <w:color w:val="111111"/>
          <w:sz w:val="28"/>
          <w:szCs w:val="28"/>
          <w:rtl/>
        </w:rPr>
        <w:t xml:space="preserve">۱. تهران؛ دانشگاه؛ شماره نسخه ۱۹۵/۸۱-ف</w:t>
      </w:r>
    </w:p>
    <w:p>
      <w:pPr>
        <w:pStyle w:val="BookText"/>
      </w:pPr>
      <w:r>
        <w:rPr>
          <w:rFonts w:ascii="IRNazanin" w:hAnsi="IRNazanin" w:eastAsia="IRNazanin" w:cs="IRNazanin"/>
          <w:lang w:bidi="fa-IR"/>
          <w:color w:val="111111"/>
          <w:sz w:val="28"/>
          <w:szCs w:val="28"/>
          <w:rtl/>
        </w:rPr>
        <w:t xml:space="preserve">نسخه  اصل: حمدیه ش ۱۴۴۷  ؛ بی کا، تا: با تاریخ 755ق؛ در هامش است [فیلم ها-ف: ۱ - ۴۲۷]</w:t>
      </w:r>
    </w:p>
    <w:p>
      <w:pPr>
        <w:pStyle w:val="BookText"/>
      </w:pPr>
      <w:r>
        <w:rPr>
          <w:rFonts w:ascii="IRNazanin" w:hAnsi="IRNazanin" w:eastAsia="IRNazanin" w:cs="IRNazanin"/>
          <w:lang w:bidi="fa-IR"/>
          <w:color w:val="111111"/>
          <w:sz w:val="28"/>
          <w:szCs w:val="28"/>
          <w:rtl/>
        </w:rPr>
        <w:t xml:space="preserve">2.تهران؛ مجلس؛ شماره نسخه: ۶۵۳۲/۳</w:t>
      </w:r>
    </w:p>
    <w:p>
      <w:pPr>
        <w:pStyle w:val="BookText"/>
      </w:pPr>
      <w:r>
        <w:rPr>
          <w:rFonts w:ascii="IRNazanin" w:hAnsi="IRNazanin" w:eastAsia="IRNazanin" w:cs="IRNazanin"/>
          <w:lang w:bidi="fa-IR"/>
          <w:color w:val="111111"/>
          <w:sz w:val="28"/>
          <w:szCs w:val="28"/>
          <w:rtl/>
        </w:rPr>
        <w:t xml:space="preserve">خط: نستعلیق، بی کا، تا: رجب ۸۹۹ق؛ مصحح؛ جلد: تیماج قرمز، ضربی ترنج و سرترنج دار ،مجدول، ۲گ، (24پ-۲۵پ)، ۲۵ 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۱۷/۵سم [ف: ۲۰ -۱۰۷]</w:t>
      </w:r>
    </w:p>
    <w:p>
      <w:pPr>
        <w:pStyle w:val="BookText"/>
      </w:pPr>
      <w:r>
        <w:rPr>
          <w:rFonts w:ascii="IRNazanin" w:hAnsi="IRNazanin" w:eastAsia="IRNazanin" w:cs="IRNazanin"/>
          <w:lang w:bidi="fa-IR"/>
          <w:color w:val="111111"/>
          <w:sz w:val="28"/>
          <w:szCs w:val="28"/>
          <w:rtl/>
        </w:rPr>
        <w:t xml:space="preserve">٣. تهران؛ مجلس؛ شماره نسخه: ۴۰۰۱/۹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نستعليق، كا: تقى الدین محمد  گیلانی، تا: ۱۰۱۴ جا: آگره؛ نقل از خط علی بیهقی فاضل ؛کاغذ ،فرنگی، جلد: مقوایی ضربی زرکوب، 3گ (۱۱۲ پ -۱۱۴)،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۲۳سم [ف: ۱۱ - ۴]</w:t>
      </w:r>
    </w:p>
    <w:p>
      <w:pPr>
        <w:pStyle w:val="BookText"/>
      </w:pPr>
      <w:r>
        <w:rPr>
          <w:rFonts w:ascii="IRNazanin" w:hAnsi="IRNazanin" w:eastAsia="IRNazanin" w:cs="IRNazanin"/>
          <w:lang w:bidi="fa-IR"/>
          <w:color w:val="111111"/>
          <w:sz w:val="28"/>
          <w:szCs w:val="28"/>
          <w:rtl/>
        </w:rPr>
        <w:t xml:space="preserve">۴ .تهران؛ حقوق؛ شماره نسخه: ۶۲/۱۵ - ب</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بی کا، تا: قرن ۱۱؛ ۳ برگ (۲۳۷پ - ۲۳۹ ر) [ف: ۲۴۳]</w:t>
      </w:r>
    </w:p>
    <w:p>
      <w:pPr>
        <w:pStyle w:val="BookText"/>
      </w:pPr>
      <w:r>
        <w:rPr>
          <w:rFonts w:ascii="IRNazanin" w:hAnsi="IRNazanin" w:eastAsia="IRNazanin" w:cs="IRNazanin"/>
          <w:lang w:bidi="fa-IR"/>
          <w:color w:val="111111"/>
          <w:sz w:val="28"/>
          <w:szCs w:val="28"/>
          <w:rtl/>
        </w:rPr>
        <w:t xml:space="preserve">۵. مشهد؛ رضوی؛ شماره نسخه: ۵۵۰۴/۲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قرن ۱۱؛ این نسخه عبارت آغاز نسخه دانشکده حقوق را «رسالة يعقوب بن اسحق الكندي في تحرى وقت يرتجى فيه استجابة الدعاء و التضرع الى الله عز وجل من جهة التنجيم» ندارد؛ کاغذ: سفید آهار مهره، جلد: پارچه ای، ۶ص (۱۱۳- ۱۱۸)، ۱۴ سطر (۱۲/۷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۷/۵)،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۸ - ۳۳۴]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43" w:name="pg20365_260222"/>
    <w:bookmarkEnd w:id="143"/>
    <w:p>
      <w:pPr>
        <w:pStyle w:val="BookText"/>
      </w:pPr>
      <w:r>
        <w:rPr>
          <w:rFonts w:ascii="IRNazanin" w:hAnsi="IRNazanin" w:eastAsia="IRNazanin" w:cs="IRNazanin"/>
          <w:lang w:bidi="fa-IR"/>
          <w:color w:val="111111"/>
          <w:sz w:val="28"/>
          <w:szCs w:val="28"/>
          <w:rtl/>
        </w:rPr>
        <w:t xml:space="preserve">قم؛ مرکز احیاء؛ شماره نسخه: ۴۷</w:t>
      </w:r>
    </w:p>
    <w:p>
      <w:pPr>
        <w:pStyle w:val="BookText"/>
      </w:pPr>
      <w:r>
        <w:rPr>
          <w:rFonts w:ascii="IRNazanin" w:hAnsi="IRNazanin" w:eastAsia="IRNazanin" w:cs="IRNazanin"/>
          <w:lang w:bidi="fa-IR"/>
          <w:color w:val="111111"/>
          <w:sz w:val="28"/>
          <w:szCs w:val="28"/>
          <w:rtl/>
        </w:rPr>
        <w:t xml:space="preserve">نسخه اصل: همان نسخه بالا [عکسی ف: ۱- ۶۱]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شیراز؛ محلاتی، صدرالدین؛ شماره نسخه: ۱۷/۱۳</w:t>
      </w:r>
    </w:p>
    <w:p>
      <w:pPr>
        <w:pStyle w:val="BookText"/>
      </w:pPr>
      <w:r>
        <w:rPr>
          <w:rFonts w:ascii="IRNazanin" w:hAnsi="IRNazanin" w:eastAsia="IRNazanin" w:cs="IRNazanin"/>
          <w:lang w:bidi="fa-IR"/>
          <w:color w:val="111111"/>
          <w:sz w:val="28"/>
          <w:szCs w:val="28"/>
          <w:rtl/>
        </w:rPr>
        <w:t xml:space="preserve">بی کا، بی تا [ نشریه ۵ - ۲۷۳]</w:t>
      </w:r>
    </w:p>
    <w:p>
      <w:pPr>
        <w:pStyle w:val="BookText"/>
      </w:pPr>
      <w:r>
        <w:rPr>
          <w:rFonts w:ascii="IRNazanin" w:hAnsi="IRNazanin" w:eastAsia="IRNazanin" w:cs="IRNazanin"/>
          <w:lang w:bidi="fa-IR"/>
          <w:color w:val="111111"/>
          <w:sz w:val="28"/>
          <w:szCs w:val="28"/>
          <w:rtl/>
        </w:rPr>
        <w:t xml:space="preserve">۷. همدان؛ مدرسه غرب؛ شماره نسخه: ۱۱۸۷/۳۹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۱۰ یا ۱۱؛ با سر لوحهای زرین؛ اصفهانی ،نازک، ۲گ (۲۰۰-۲۰۱)،۲۴ سطر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۱۷</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۲۷سم [رشت و همدان - ف - ۱۴۷۳]</w:t>
      </w:r>
    </w:p>
    <w:p>
      <w:pPr>
        <w:pStyle w:val="BookText"/>
      </w:pPr>
      <w:r>
        <w:rPr>
          <w:rFonts w:ascii="IRNazanin" w:hAnsi="IRNazanin" w:eastAsia="IRNazanin" w:cs="IRNazanin"/>
          <w:lang w:bidi="fa-IR"/>
          <w:color w:val="111111"/>
          <w:sz w:val="28"/>
          <w:szCs w:val="28"/>
          <w:rtl/>
        </w:rPr>
        <w:t xml:space="preserve">8.تهران؛ مجلس؛ شماره نسخه: ۵۲۸۰/۳</w:t>
      </w:r>
    </w:p>
    <w:p>
      <w:pPr>
        <w:pStyle w:val="BookText"/>
      </w:pPr>
      <w:r>
        <w:rPr>
          <w:rFonts w:ascii="Amiri" w:hAnsi="Amiri" w:eastAsia="Amiri" w:cs="Amiri"/>
          <w:lang w:bidi="ar-SA"/>
          <w:color w:val="111111"/>
          <w:sz w:val="28"/>
          <w:szCs w:val="28"/>
          <w:rtl/>
        </w:rPr>
        <w:t xml:space="preserve">آغاز: برابر؛ انجام: فى كثرة المآل الا انه عمره يقل. والله اعلـم و احكم. تمت الرسالة</w:t>
      </w:r>
    </w:p>
    <w:p>
      <w:pPr>
        <w:pStyle w:val="BookText"/>
      </w:pPr>
      <w:r>
        <w:rPr>
          <w:rFonts w:ascii="IRNazanin" w:hAnsi="IRNazanin" w:eastAsia="IRNazanin" w:cs="IRNazanin"/>
          <w:lang w:bidi="fa-IR"/>
          <w:color w:val="111111"/>
          <w:sz w:val="28"/>
          <w:szCs w:val="28"/>
          <w:rtl/>
        </w:rPr>
        <w:t xml:space="preserve">خط: نسخ و نستعلیق، بی کا، بی تا؛ سپس بندی به عنوان اخـبار فيثاغورث الحکیم به عربی در یک صفحه؛ ۵گ (13پ- 17پ)</w:t>
      </w:r>
    </w:p>
    <w:p>
      <w:pPr>
        <w:pStyle w:val="BookText"/>
      </w:pPr>
      <w:r>
        <w:rPr>
          <w:rFonts w:ascii="IRNazanin" w:hAnsi="IRNazanin" w:eastAsia="IRNazanin" w:cs="IRNazanin"/>
          <w:lang w:bidi="fa-IR"/>
          <w:color w:val="111111"/>
          <w:sz w:val="28"/>
          <w:szCs w:val="28"/>
          <w:rtl/>
        </w:rPr>
        <w:t xml:space="preserve">۱۲ سطر [ف: ۱۶ - ۱۰۶]</w:t>
      </w:r>
    </w:p>
    <w:p>
      <w:pPr>
        <w:pStyle w:val="Heading3"/>
      </w:pPr>
      <w:bookmarkStart w:id="972" w:name="_Toc494"/>
      <w:r>
        <w:t>استجابت دعا / دعا / فارسی</w:t>
      </w:r>
      <w:bookmarkEnd w:id="972"/>
    </w:p>
    <w:p>
      <w:pPr>
        <w:pStyle w:val="BookText"/>
      </w:pPr>
      <w:r>
        <w:rPr>
          <w:rFonts w:ascii="Times New Roman" w:hAnsi="Times New Roman" w:eastAsia="Times New Roman" w:cs="Times New Roman"/>
          <w:lang w:val="en-US" w:bidi="en-US"/>
          <w:color w:val="111111"/>
          <w:sz w:val="28"/>
          <w:szCs w:val="28"/>
          <w:rtl/>
        </w:rPr>
        <w:t xml:space="preserve">estejābat-e do‘ā</w:t>
      </w:r>
    </w:p>
    <w:p>
      <w:pPr>
        <w:pStyle w:val="BookText"/>
      </w:pPr>
      <w:r>
        <w:rPr>
          <w:rFonts w:ascii="IRNazanin" w:hAnsi="IRNazanin" w:eastAsia="IRNazanin" w:cs="IRNazanin"/>
          <w:lang w:bidi="fa-IR"/>
          <w:color w:val="111111"/>
          <w:sz w:val="28"/>
          <w:szCs w:val="28"/>
          <w:rtl/>
        </w:rPr>
        <w:t xml:space="preserve">نظام الدین گیلانی، احمد بن محمد ، - ۱۰۵۹ قمری</w:t>
      </w:r>
    </w:p>
    <w:p>
      <w:pPr>
        <w:pStyle w:val="BookText"/>
      </w:pPr>
      <w:r>
        <w:rPr>
          <w:rFonts w:ascii="Times New Roman" w:hAnsi="Times New Roman" w:eastAsia="Times New Roman" w:cs="Times New Roman"/>
          <w:lang w:val="en-US" w:bidi="en-US"/>
          <w:color w:val="111111"/>
          <w:sz w:val="28"/>
          <w:szCs w:val="28"/>
          <w:rtl/>
        </w:rPr>
        <w:t xml:space="preserve">nezām-od-dīn-e gīlānī, ahmad ebn-e mohammad (-</w:t>
      </w:r>
    </w:p>
    <w:p>
      <w:pPr>
        <w:pStyle w:val="BookText"/>
      </w:pPr>
      <w:r>
        <w:rPr>
          <w:rFonts w:ascii="Times New Roman" w:hAnsi="Times New Roman" w:eastAsia="Times New Roman" w:cs="Times New Roman"/>
          <w:lang w:val="en-US" w:bidi="en-US"/>
          <w:color w:val="111111"/>
          <w:sz w:val="28"/>
          <w:szCs w:val="28"/>
          <w:rtl/>
        </w:rPr>
        <w:t xml:space="preserve">(1649-)</w:t>
      </w:r>
    </w:p>
    <w:p>
      <w:pPr>
        <w:pStyle w:val="BookText"/>
      </w:pPr>
      <w:r>
        <w:rPr>
          <w:rFonts w:ascii="IRNazanin" w:hAnsi="IRNazanin" w:eastAsia="IRNazanin" w:cs="IRNazanin"/>
          <w:lang w:bidi="fa-IR"/>
          <w:color w:val="111111"/>
          <w:sz w:val="28"/>
          <w:szCs w:val="28"/>
          <w:rtl/>
        </w:rPr>
        <w:t xml:space="preserve">رساله ای در آداب و شرایط دعا و چگونگی نیایش به درگاه حضرت سبحان و اسباب استجابت  آن، مؤلف بیشتر آدابی ذکر می کند که خود بدانها رسیده و نقل هایی از تجربه هایش نیز می آورد.</w:t>
      </w:r>
    </w:p>
    <w:p>
      <w:pPr>
        <w:pStyle w:val="BookText"/>
      </w:pPr>
      <w:r>
        <w:rPr>
          <w:rFonts w:ascii="IRNazanin" w:hAnsi="IRNazanin" w:eastAsia="IRNazanin" w:cs="IRNazanin"/>
          <w:lang w:bidi="fa-IR"/>
          <w:color w:val="111111"/>
          <w:sz w:val="28"/>
          <w:szCs w:val="28"/>
          <w:rtl/>
        </w:rPr>
        <w:t xml:space="preserve">قم؛ مرکز احیاء؛ شماره نسخه: ۹۸۱/۱۲</w:t>
      </w:r>
    </w:p>
    <w:p>
      <w:pPr>
        <w:pStyle w:val="BookText"/>
      </w:pPr>
      <w:r>
        <w:rPr>
          <w:rFonts w:ascii="IRNazanin" w:hAnsi="IRNazanin" w:eastAsia="IRNazanin" w:cs="IRNazanin"/>
          <w:lang w:bidi="fa-IR"/>
          <w:color w:val="111111"/>
          <w:sz w:val="28"/>
          <w:szCs w:val="28"/>
          <w:rtl/>
        </w:rPr>
        <w:t xml:space="preserve">آغاز: ثنيت فيض غنى بفيض في في بتبيين تثنية... و بعد چـنین گوید افقر عبادالله نیازمند درگاه اله؛ انجام: و در عرصه اظهار ،میار، یا ستار بحق محمد و آله الابرار و الائمة الاطهار</w:t>
      </w:r>
    </w:p>
    <w:p>
      <w:pPr>
        <w:pStyle w:val="BookText"/>
      </w:pPr>
      <w:r>
        <w:rPr>
          <w:rFonts w:ascii="IRNazanin" w:hAnsi="IRNazanin" w:eastAsia="IRNazanin" w:cs="IRNazanin"/>
          <w:lang w:bidi="fa-IR"/>
          <w:color w:val="111111"/>
          <w:sz w:val="28"/>
          <w:szCs w:val="28"/>
          <w:rtl/>
        </w:rPr>
        <w:t xml:space="preserve">خط: نستعلیق، بی کا، تا: نزدیک عصر مؤلف؛ جلد: دو رو تیماج قرمز عطف تیماج قهوه ای، ۶گ (۹۳پ-۹۸پ)، ۱۴ 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[ف:۳ - ۲۰۵]</w:t>
      </w:r>
    </w:p>
    <w:p>
      <w:pPr>
        <w:pStyle w:val="Heading3"/>
      </w:pPr>
      <w:bookmarkStart w:id="973" w:name="_Toc495"/>
      <w:r>
        <w:t>استجابت دعا = آداب دعا / دعا / فارسی</w:t>
      </w:r>
      <w:bookmarkEnd w:id="973"/>
    </w:p>
    <w:p>
      <w:pPr>
        <w:pStyle w:val="BookText"/>
      </w:pPr>
      <w:r>
        <w:rPr>
          <w:rFonts w:ascii="Times New Roman" w:hAnsi="Times New Roman" w:eastAsia="Times New Roman" w:cs="Times New Roman"/>
          <w:lang w:val="en-US" w:bidi="en-US"/>
          <w:color w:val="111111"/>
          <w:sz w:val="28"/>
          <w:szCs w:val="28"/>
          <w:rtl/>
        </w:rPr>
        <w:t xml:space="preserve">estejābat-e do‘ā = ādāb-e do‘ā</w:t>
      </w:r>
    </w:p>
    <w:p>
      <w:pPr>
        <w:pStyle w:val="BookText"/>
      </w:pPr>
      <w:r>
        <w:rPr>
          <w:rFonts w:ascii="IRNazanin" w:hAnsi="IRNazanin" w:eastAsia="IRNazanin" w:cs="IRNazanin"/>
          <w:lang w:bidi="fa-IR"/>
          <w:color w:val="111111"/>
          <w:sz w:val="28"/>
          <w:szCs w:val="28"/>
          <w:rtl/>
        </w:rPr>
        <w:t xml:space="preserve">حسینی خاتون آبادی، محمد باقر بن اسماعیل، ۱۰۷۰  - ۱۱۲۷ قمری</w:t>
      </w:r>
    </w:p>
    <w:p>
      <w:pPr>
        <w:pStyle w:val="BookText"/>
      </w:pPr>
      <w:r>
        <w:rPr>
          <w:rFonts w:ascii="Times New Roman" w:hAnsi="Times New Roman" w:eastAsia="Times New Roman" w:cs="Times New Roman"/>
          <w:lang w:val="en-US" w:bidi="en-US"/>
          <w:color w:val="111111"/>
          <w:sz w:val="28"/>
          <w:szCs w:val="28"/>
          <w:rtl/>
        </w:rPr>
        <w:t xml:space="preserve">hoseynī xātūn-ābādī, mohammad bāqer ebn-e esmā‘īl</w:t>
      </w:r>
    </w:p>
    <w:p>
      <w:pPr>
        <w:pStyle w:val="BookText"/>
      </w:pPr>
      <w:r>
        <w:rPr>
          <w:rFonts w:ascii="Times New Roman" w:hAnsi="Times New Roman" w:eastAsia="Times New Roman" w:cs="Times New Roman"/>
          <w:lang w:val="en-US" w:bidi="en-US"/>
          <w:color w:val="111111"/>
          <w:sz w:val="28"/>
          <w:szCs w:val="28"/>
          <w:rtl/>
        </w:rPr>
        <w:t xml:space="preserve">(1660 - 1715)</w:t>
      </w:r>
    </w:p>
    <w:p>
      <w:pPr>
        <w:pStyle w:val="BookText"/>
      </w:pPr>
      <w:r>
        <w:rPr>
          <w:rFonts w:ascii="IRNazanin" w:hAnsi="IRNazanin" w:eastAsia="IRNazanin" w:cs="IRNazanin"/>
          <w:lang w:bidi="fa-IR"/>
          <w:color w:val="111111"/>
          <w:sz w:val="28"/>
          <w:szCs w:val="28"/>
          <w:rtl/>
        </w:rPr>
        <w:t xml:space="preserve">اهدا به: سلطان حسین صفوی</w:t>
      </w:r>
    </w:p>
    <w:p>
      <w:pPr>
        <w:pStyle w:val="BookText"/>
      </w:pPr>
      <w:r>
        <w:rPr>
          <w:rFonts w:ascii="IRNazanin" w:hAnsi="IRNazanin" w:eastAsia="IRNazanin" w:cs="IRNazanin"/>
          <w:lang w:bidi="fa-IR"/>
          <w:color w:val="111111"/>
          <w:sz w:val="28"/>
          <w:szCs w:val="28"/>
          <w:rtl/>
        </w:rPr>
        <w:t xml:space="preserve">تاریخ تالیف: جمعه ۱۰ رمضان ۱۱۱۵ق</w:t>
      </w:r>
    </w:p>
    <w:p>
      <w:pPr>
        <w:pStyle w:val="BookText"/>
      </w:pPr>
      <w:r>
        <w:rPr>
          <w:rFonts w:ascii="IRNazanin" w:hAnsi="IRNazanin" w:eastAsia="IRNazanin" w:cs="IRNazanin"/>
          <w:lang w:bidi="fa-IR"/>
          <w:color w:val="111111"/>
          <w:sz w:val="28"/>
          <w:szCs w:val="28"/>
          <w:rtl/>
        </w:rPr>
        <w:t xml:space="preserve">رساله کوتاهی است در چگونگی دعا کردنو ادب توسل  و حاجت خواستن از باری تعالی.</w:t>
      </w:r>
    </w:p>
    <w:p>
      <w:pPr>
        <w:pStyle w:val="BookText"/>
      </w:pPr>
      <w:r>
        <w:rPr>
          <w:rFonts w:ascii="IRNazanin" w:hAnsi="IRNazanin" w:eastAsia="IRNazanin" w:cs="IRNazanin"/>
          <w:lang w:bidi="fa-IR"/>
          <w:color w:val="111111"/>
          <w:sz w:val="28"/>
          <w:szCs w:val="28"/>
          <w:rtl/>
        </w:rPr>
        <w:t xml:space="preserve">آغاز: بسمله طوطی فصیح مقال دعا را قفس افواه مؤمنان  هنگامی پر و بال صدق نیت در آید ... و بعد چون امر اشرف ...</w:t>
      </w:r>
    </w:p>
    <w:p>
      <w:pPr>
        <w:pStyle w:val="BookText"/>
      </w:pPr>
      <w:r>
        <w:rPr>
          <w:rFonts w:ascii="IRNazanin" w:hAnsi="IRNazanin" w:eastAsia="IRNazanin" w:cs="IRNazanin"/>
          <w:lang w:bidi="fa-IR"/>
          <w:color w:val="111111"/>
          <w:sz w:val="28"/>
          <w:szCs w:val="28"/>
          <w:rtl/>
        </w:rPr>
        <w:t xml:space="preserve">الخاقان بن الخاقان) شاه سلطان حسین الصفوى الموسوى بهادرخان ... عز صدور و شرف نفاذ یافت که حقیر قاصر خاسر محمد باقر بن اسماعيل الخاتون آبادی مجملی از آداب و کیفیت طلب مسائل و خواستن حوایج و مآرب از جناب قاضی الحاجات ... و برخی از اموری که سبب استجابت دعا</w:t>
      </w:r>
    </w:p>
    <w:p>
      <w:pPr>
        <w:pStyle w:val="BookText"/>
      </w:pPr>
      <w:r>
        <w:rPr>
          <w:rFonts w:ascii="IRNazanin" w:hAnsi="IRNazanin" w:eastAsia="IRNazanin" w:cs="IRNazanin"/>
          <w:lang w:bidi="fa-IR"/>
          <w:color w:val="111111"/>
          <w:sz w:val="28"/>
          <w:szCs w:val="28"/>
          <w:rtl/>
        </w:rPr>
        <w:t xml:space="preserve">انجام: لیکن حقیر درین مختصر بذکر همین قدر که مطابق فرمان واجب الاذعان بود اکتفا نمود و الحمد لله رب العالمين والصلوة على اشرف الخلائق محمد و اهل بيته الطاهرين.</w:t>
      </w:r>
    </w:p>
    <w:p>
      <w:pPr>
        <w:pStyle w:val="BookText"/>
      </w:pPr>
      <w:r>
        <w:rPr>
          <w:rFonts w:ascii="IRNazanin" w:hAnsi="IRNazanin" w:eastAsia="IRNazanin" w:cs="IRNazanin"/>
          <w:lang w:bidi="fa-IR"/>
          <w:color w:val="111111"/>
          <w:sz w:val="28"/>
          <w:szCs w:val="28"/>
          <w:rtl/>
        </w:rPr>
        <w:t xml:space="preserve">1.تهران؛ الهیات؛ شماره نسخه: ۸۰۴</w:t>
      </w:r>
    </w:p>
    <w:p>
      <w:pPr>
        <w:pStyle w:val="BookText"/>
      </w:pPr>
      <w:r>
        <w:rPr>
          <w:rFonts w:ascii="Amiri" w:hAnsi="Amiri" w:eastAsia="Amiri" w:cs="Amiri"/>
          <w:lang w:bidi="ar-SA"/>
          <w:color w:val="111111"/>
          <w:sz w:val="28"/>
          <w:szCs w:val="28"/>
          <w:rtl/>
        </w:rPr>
        <w:t xml:space="preserve">آغاز: برابر؛ انجام: على رسول الله و آله حجج الله فرغ من تحريره مؤلفه الراجي عفو ربه الغنى محمد باقر حشر هما الله تعالى مع ائمتهما ليلة الجمعة عاشر شهر الله المبارك سنة خمس عشر و مائة بعد الالف الهجرية على مهاجرها الف صلوة و تحية</w:t>
      </w:r>
    </w:p>
    <w:p>
      <w:pPr>
        <w:pStyle w:val="BookText"/>
      </w:pPr>
      <w:r>
        <w:rPr>
          <w:rFonts w:ascii="IRNazanin" w:hAnsi="IRNazanin" w:eastAsia="IRNazanin" w:cs="IRNazanin"/>
          <w:lang w:bidi="fa-IR"/>
          <w:color w:val="111111"/>
          <w:sz w:val="28"/>
          <w:szCs w:val="28"/>
          <w:rtl/>
        </w:rPr>
        <w:t xml:space="preserve">خط ،نسخ، بی کا، تا: قرن ۱۲ (در زمان مؤلف)؛ با سرلوح ،مجدول، محشی با نشان «منه دام ظله»؛ مهر: عبداللطيف: كاغذ ،فرنگی، جلد: ترمه مقوایی عطف ،میشن، ۱۰۸گ، ۹ سطر (۵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۹/۵)، اندازه: 9</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سم [ف: ۱]</w:t>
      </w:r>
    </w:p>
    <w:p>
      <w:pPr>
        <w:pStyle w:val="BookText"/>
      </w:pPr>
      <w:r>
        <w:rPr>
          <w:rFonts w:ascii="IRNazanin" w:hAnsi="IRNazanin" w:eastAsia="IRNazanin" w:cs="IRNazanin"/>
          <w:lang w:bidi="fa-IR"/>
          <w:color w:val="111111"/>
          <w:sz w:val="28"/>
          <w:szCs w:val="28"/>
          <w:rtl/>
        </w:rPr>
        <w:t xml:space="preserve">۲. تهران؛ مجلس؛ شماره نسخه: ۶۸۹۰/۳</w:t>
      </w:r>
    </w:p>
    <w:p>
      <w:pPr>
        <w:pStyle w:val="BookText"/>
      </w:pPr>
      <w:r>
        <w:rPr>
          <w:rFonts w:ascii="IRNazanin" w:hAnsi="IRNazanin" w:eastAsia="IRNazanin" w:cs="IRNazanin"/>
          <w:lang w:bidi="fa-IR"/>
          <w:color w:val="111111"/>
          <w:sz w:val="28"/>
          <w:szCs w:val="28"/>
          <w:rtl/>
        </w:rPr>
        <w:t xml:space="preserve">آغاز: چیزی که مرابه خشم می آورد در آن ساعت مذکوره  متوجه به دعا می شدم و استجابت را می یافتم؛ انجام: برابر</w:t>
      </w:r>
    </w:p>
    <w:p>
      <w:pPr>
        <w:pStyle w:val="BookText"/>
      </w:pPr>
      <w:r>
        <w:rPr>
          <w:rFonts w:ascii="IRNazanin" w:hAnsi="IRNazanin" w:eastAsia="IRNazanin" w:cs="IRNazanin"/>
          <w:lang w:bidi="fa-IR"/>
          <w:color w:val="111111"/>
          <w:sz w:val="28"/>
          <w:szCs w:val="28"/>
          <w:rtl/>
        </w:rPr>
        <w:t xml:space="preserve">خط: نسخ، بی  کا، تا: قرن ۱۲ ؛افتادگی: آغاز؛ مصحح؛ جلد : گالینگور آبی بدون  مقوا، ۹گ (۲۳ ر - ۳۱ر)، ۱۲ سطر، اندازه:</w:t>
      </w:r>
    </w:p>
    <w:p>
      <w:pPr>
        <w:pStyle w:val="BookText"/>
      </w:pPr>
      <w:r>
        <w:rPr>
          <w:rFonts w:ascii="IRNazanin" w:hAnsi="IRNazanin" w:eastAsia="IRNazanin" w:cs="IRNazanin"/>
          <w:lang w:bidi="fa-IR"/>
          <w:color w:val="111111"/>
          <w:sz w:val="28"/>
          <w:szCs w:val="28"/>
          <w:rtl/>
        </w:rPr>
        <w:t xml:space="preserve">۹</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۱۷سم [ف: ۲۰ - ۳۲۴]</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قم؛ مرعشی؛ شماره نسخه: ۶۶۰/۱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۱۱۱۸ق؛ جلد: تیماج قهوه ای، ۲۰گ (۱ر  - ۲۰ 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۲ - ۲۵۴]</w:t>
      </w:r>
    </w:p>
    <w:p>
      <w:pPr>
        <w:pStyle w:val="BookText"/>
      </w:pPr>
      <w:r>
        <w:rPr>
          <w:rFonts w:ascii="IRNazanin" w:hAnsi="IRNazanin" w:eastAsia="IRNazanin" w:cs="IRNazanin"/>
          <w:lang w:bidi="fa-IR"/>
          <w:color w:val="111111"/>
          <w:sz w:val="28"/>
          <w:szCs w:val="28"/>
          <w:rtl/>
        </w:rPr>
        <w:t xml:space="preserve">۴. تهران؛ دانشگاه؛ شماره نسخه: ۱۲۶۶/۱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خط:نسخ، کا: محمد  ترشیزی، تا: ۱۱۲۵ق؛ نسخه از دیباجه کم  دارد؛ پس از این در ۶پ-۷ر دستور طرز خواندن صیغه تزویج است به فارسی به خط محمد حسن بن عبدالمجید حسینی واعظ در ۱۲۴۷؛ کاغذ: سپاهانی، جلد: تیماج زرد یک لا، ۶گ (۱ر- ۶ پ)، ۲۲ سطر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۱۷/۵سم [ف: ۷ - ۲۷۱۹]</w:t>
      </w:r>
    </w:p>
    <w:p>
      <w:pPr>
        <w:pStyle w:val="BookText"/>
      </w:pPr>
      <w:r>
        <w:rPr>
          <w:rFonts w:ascii="IRNazanin" w:hAnsi="IRNazanin" w:eastAsia="IRNazanin" w:cs="IRNazanin"/>
          <w:lang w:bidi="fa-IR"/>
          <w:color w:val="111111"/>
          <w:sz w:val="28"/>
          <w:szCs w:val="28"/>
          <w:rtl/>
        </w:rPr>
        <w:t xml:space="preserve">۵. تهران؛ نوربخش؛ شماره نسخه: ۸۷۳/۴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و شکسته، بی کا، تا: ۱۱۴۰ق؛ در متن صفحات این رساله و نیز چند صفحه پیش و پس از آن دعاها و ختمه و  تعویذات مختلف با چند قلم نوشته اند، در دو صفحه پایان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44" w:name="pg20365_260223"/>
    <w:bookmarkEnd w:id="144"/>
    <w:p>
      <w:pPr>
        <w:pStyle w:val="BookText"/>
      </w:pPr>
      <w:r>
        <w:rPr>
          <w:rFonts w:ascii="IRNazanin" w:hAnsi="IRNazanin" w:eastAsia="IRNazanin" w:cs="IRNazanin"/>
          <w:lang w:bidi="fa-IR"/>
          <w:color w:val="111111"/>
          <w:sz w:val="28"/>
          <w:szCs w:val="28"/>
          <w:rtl/>
        </w:rPr>
        <w:t xml:space="preserve">مجموعه طلسمی به نقل از در النظیم و نیز دعایی است به نقل شیخ صفی الدین موسوی حسینی ؛کاغذ ،اصفهانی ،جلد: تیماج قرمز با ترنج و نیم ترنج دارای نقش گل و برگ برجسته، ۵گ (۹۵-۹۱)، قطع: رقعی،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۱۹/۵سم [ نشریه: ۱۳ – ۲۷۱  ]</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قم؛ مرکز احیاء؛ شماره نسخه: ۴۰۶۵/۳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۱۳۳۵ق، جهت حاج آقامنیر ؛جلد: تیماج ،مشکی، ۱۸گ (۴۵پ-۶۲ پ)، ۱۵ سطر، اندازه: 9/5</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سم[محدث ارموی مخ: ۱ - ۷]</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قم؛ مرکز مطالعات؛ شماره نسخه: ۳۴۵/۲</w:t>
      </w:r>
    </w:p>
    <w:p>
      <w:pPr>
        <w:pStyle w:val="BookText"/>
      </w:pPr>
      <w:r>
        <w:rPr>
          <w:rFonts w:ascii="IRNazanin" w:hAnsi="IRNazanin" w:eastAsia="IRNazanin" w:cs="IRNazanin"/>
          <w:lang w:bidi="fa-IR"/>
          <w:color w:val="111111"/>
          <w:sz w:val="28"/>
          <w:szCs w:val="28"/>
          <w:rtl/>
        </w:rPr>
        <w:t xml:space="preserve">آغاز: فتحمد الله العظيم و نصلی و نسلم على رسوله الكريم وآله البررة المستوجبين ... چون امر اشرف مطاع و فرمان فرمان قـضا جریان لازم الاتباع؛ انجام: منقول است که توراة و انجیل ختم  شد بر پنج کلمه  و من دوست دارم که آن کلمات را هر صبح و آن را مطالعه نمایم</w:t>
      </w:r>
    </w:p>
    <w:p>
      <w:pPr>
        <w:pStyle w:val="BookText"/>
      </w:pPr>
      <w:r>
        <w:rPr>
          <w:rFonts w:ascii="IRNazanin" w:hAnsi="IRNazanin" w:eastAsia="IRNazanin" w:cs="IRNazanin"/>
          <w:lang w:bidi="fa-IR"/>
          <w:color w:val="111111"/>
          <w:sz w:val="28"/>
          <w:szCs w:val="28"/>
          <w:rtl/>
        </w:rPr>
        <w:t xml:space="preserve">خط: نسخ و نستعلیق، بی کا، بی تا؛ افتادگی: انجام؛ جلد: گالینگور قهوه ای ضربی ترنج  مجدول، ۲۴گ (۹۵پ-۱۱۸پ)، ۱۴ سـطر</w:t>
      </w:r>
    </w:p>
    <w:p>
      <w:pPr>
        <w:pStyle w:val="BookText"/>
      </w:pPr>
      <w:r>
        <w:rPr>
          <w:rFonts w:ascii="IRNazanin" w:hAnsi="IRNazanin" w:eastAsia="IRNazanin" w:cs="IRNazanin"/>
          <w:lang w:bidi="fa-IR"/>
          <w:color w:val="111111"/>
          <w:sz w:val="28"/>
          <w:szCs w:val="28"/>
          <w:rtl/>
        </w:rPr>
        <w:t xml:space="preserve">،اندازه: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 - ۳۰۵]</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قم؛ مرعشی؛ شماره نسخه: ۵۵۶۰/۱</w:t>
      </w:r>
    </w:p>
    <w:p>
      <w:pPr>
        <w:pStyle w:val="BookText"/>
      </w:pPr>
      <w:r>
        <w:rPr>
          <w:rFonts w:ascii="IRNazanin" w:hAnsi="IRNazanin" w:eastAsia="IRNazanin" w:cs="IRNazanin"/>
          <w:lang w:bidi="fa-IR"/>
          <w:color w:val="111111"/>
          <w:sz w:val="28"/>
          <w:szCs w:val="28"/>
          <w:rtl/>
        </w:rPr>
        <w:t xml:space="preserve">انجام: منقول است که هرگاه تو را نزد حق تعالی حاجتی باشد پس بگو اللهم انی اسئلک</w:t>
      </w:r>
    </w:p>
    <w:p>
      <w:pPr>
        <w:pStyle w:val="BookText"/>
      </w:pPr>
      <w:r>
        <w:rPr>
          <w:rFonts w:ascii="IRNazanin" w:hAnsi="IRNazanin" w:eastAsia="IRNazanin" w:cs="IRNazanin"/>
          <w:lang w:bidi="fa-IR"/>
          <w:color w:val="111111"/>
          <w:sz w:val="28"/>
          <w:szCs w:val="28"/>
          <w:rtl/>
        </w:rPr>
        <w:t xml:space="preserve">خط: نسخ، بی کا، تا؛ بی تا: افتادگی: انجام ؛جلد: مقوایی عطف تیماج  قهوه ای، ۲۷ گ (۱پ-۲۷پ)، ۱۱ سطر، اندازه:۸/۵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14- 322]</w:t>
      </w:r>
    </w:p>
    <w:p>
      <w:pPr>
        <w:pStyle w:val="BookText"/>
      </w:pPr>
      <w:r>
        <w:rPr>
          <w:rFonts w:ascii="IRNazanin" w:hAnsi="IRNazanin" w:eastAsia="IRNazanin" w:cs="IRNazanin"/>
          <w:lang w:bidi="fa-IR"/>
          <w:color w:val="111111"/>
          <w:sz w:val="28"/>
          <w:szCs w:val="28"/>
          <w:rtl/>
        </w:rPr>
        <w:t xml:space="preserve">9.تهران؛ سپهسالار؛ شماره نسخه: ۱۸۴۴/۵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محمد ابراهیم ابن محمد علی طباخ، بی تا، کاغذ: فرنگی سفید، جلد: تیماج سبز تیره یک لا، ۱۰ گ (59پ- 68پ) 15سطر، 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۱۵/۵سم [ف: ۳ - ۱۲۰]</w:t>
      </w:r>
    </w:p>
    <w:p>
      <w:pPr>
        <w:pStyle w:val="Heading3"/>
      </w:pPr>
      <w:bookmarkStart w:id="974" w:name="_Toc496"/>
      <w:r>
        <w:t>استجابة الدعاء / فلسفه / عربي</w:t>
      </w:r>
      <w:bookmarkEnd w:id="974"/>
    </w:p>
    <w:p>
      <w:pPr>
        <w:pStyle w:val="BookText"/>
      </w:pPr>
      <w:r>
        <w:rPr>
          <w:rFonts w:ascii="Times New Roman" w:hAnsi="Times New Roman" w:eastAsia="Times New Roman" w:cs="Times New Roman"/>
          <w:lang w:val="en-US" w:bidi="en-US"/>
          <w:color w:val="111111"/>
          <w:sz w:val="28"/>
          <w:szCs w:val="28"/>
          <w:rtl/>
        </w:rPr>
        <w:t xml:space="preserve">istijābat-ud du‘ā’</w:t>
      </w:r>
    </w:p>
    <w:p>
      <w:pPr>
        <w:pStyle w:val="BookText"/>
      </w:pPr>
      <w:r>
        <w:rPr>
          <w:rFonts w:ascii="IRNazanin" w:hAnsi="IRNazanin" w:eastAsia="IRNazanin" w:cs="IRNazanin"/>
          <w:lang w:bidi="fa-IR"/>
          <w:color w:val="111111"/>
          <w:sz w:val="28"/>
          <w:szCs w:val="28"/>
          <w:rtl/>
        </w:rPr>
        <w:t xml:space="preserve">جلوه، ابوالحسن بن محمد، ۱۲۳۸ - ۱۳۱۴ قمری</w:t>
      </w:r>
    </w:p>
    <w:p>
      <w:pPr>
        <w:pStyle w:val="BookText"/>
      </w:pPr>
      <w:r>
        <w:rPr>
          <w:rFonts w:ascii="IRNazanin" w:hAnsi="IRNazanin" w:eastAsia="IRNazanin" w:cs="IRNazanin"/>
          <w:lang w:bidi="fa-IR"/>
          <w:color w:val="111111"/>
          <w:sz w:val="28"/>
          <w:szCs w:val="28"/>
          <w:rtl/>
        </w:rPr>
        <w:t xml:space="preserve">در این رساله ماهیت را به سه قسم تقسیم نموده و دعا را از قـسم دوم آنها می داند که ماهیات و اعیان شقیه به حسب ذات می باشـند و بزرگ ترین وسیله استجابت آن را به شناخت کامل حضرت پروردگار مربوط می سازد.</w:t>
      </w:r>
    </w:p>
    <w:p>
      <w:pPr>
        <w:pStyle w:val="BookText"/>
      </w:pPr>
      <w:r>
        <w:rPr>
          <w:rFonts w:ascii="IRNazanin" w:hAnsi="IRNazanin" w:eastAsia="IRNazanin" w:cs="IRNazanin"/>
          <w:lang w:bidi="fa-IR"/>
          <w:color w:val="111111"/>
          <w:sz w:val="28"/>
          <w:szCs w:val="28"/>
          <w:rtl/>
        </w:rPr>
        <w:t xml:space="preserve">چاپ: به کوشش هادی رفیعی طباطبایی، گلشن جلوه (قـم انتشارات قيام ۱۳۷۵)</w:t>
      </w:r>
    </w:p>
    <w:p>
      <w:pPr>
        <w:pStyle w:val="BookText"/>
      </w:pPr>
      <w:r>
        <w:rPr>
          <w:rFonts w:ascii="IRNazanin" w:hAnsi="IRNazanin" w:eastAsia="IRNazanin" w:cs="IRNazanin"/>
          <w:lang w:bidi="fa-IR"/>
          <w:color w:val="111111"/>
          <w:sz w:val="28"/>
          <w:szCs w:val="28"/>
          <w:rtl/>
        </w:rPr>
        <w:t xml:space="preserve">قم؛ مرعشی؛ شماره نسخه: ۸۰۸۱/۶</w:t>
      </w:r>
    </w:p>
    <w:p>
      <w:pPr>
        <w:pStyle w:val="BookText"/>
      </w:pPr>
      <w:r>
        <w:rPr>
          <w:rFonts w:ascii="Amiri" w:hAnsi="Amiri" w:eastAsia="Amiri" w:cs="Amiri"/>
          <w:lang w:bidi="ar-SA"/>
          <w:color w:val="111111"/>
          <w:sz w:val="28"/>
          <w:szCs w:val="28"/>
          <w:rtl/>
        </w:rPr>
        <w:t xml:space="preserve">آغاز: اعلم أن المهيات و المعانى كالفرس و الانسان و الغيب  مثلاً  لا تكون مجعولة و مخلوقة لأن الخالق يجب أن يعلم أي شيء يخلق؛ انجام: و ان لم يكن من الأسباب لا يكون مضراً يجب أن يدعو لاحتمال أن يكون من أسبابه الدعاء</w:t>
      </w:r>
    </w:p>
    <w:p>
      <w:pPr>
        <w:pStyle w:val="BookText"/>
      </w:pPr>
      <w:r>
        <w:rPr>
          <w:rFonts w:ascii="IRNazanin" w:hAnsi="IRNazanin" w:eastAsia="IRNazanin" w:cs="IRNazanin"/>
          <w:lang w:bidi="fa-IR"/>
          <w:color w:val="111111"/>
          <w:sz w:val="28"/>
          <w:szCs w:val="28"/>
          <w:rtl/>
        </w:rPr>
        <w:t xml:space="preserve">خط: نستعليق :كا: على اكبر بن عبدالحسین بن محمد صادق، تا: ۱۳۱۴-۱۳۱۳؛ جلد: مقوایی عطف پارچه مشکی، ۳گ (۵۵ر- ۵۷پ)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۲۱ - ۸۲]</w:t>
      </w:r>
    </w:p>
    <w:p>
      <w:pPr>
        <w:pStyle w:val="Heading3"/>
      </w:pPr>
      <w:bookmarkStart w:id="975" w:name="_Toc497"/>
      <w:r>
        <w:t>استجازة انفدها بعض الفضلاء الى اصفهان / متفرقه /  عربی</w:t>
      </w:r>
      <w:bookmarkEnd w:id="975"/>
    </w:p>
    <w:p>
      <w:pPr>
        <w:pStyle w:val="BookText"/>
      </w:pPr>
      <w:r>
        <w:rPr>
          <w:rFonts w:ascii="Times New Roman" w:hAnsi="Times New Roman" w:eastAsia="Times New Roman" w:cs="Times New Roman"/>
          <w:lang w:val="en-US" w:bidi="en-US"/>
          <w:color w:val="111111"/>
          <w:sz w:val="28"/>
          <w:szCs w:val="28"/>
          <w:rtl/>
        </w:rPr>
        <w:t xml:space="preserve">istijazat-un infad-a-ha ba d-ul fudala ila isfahan</w:t>
      </w:r>
    </w:p>
    <w:p>
      <w:pPr>
        <w:pStyle w:val="BookText"/>
      </w:pPr>
      <w:r>
        <w:rPr>
          <w:rFonts w:ascii="IRNazanin" w:hAnsi="IRNazanin" w:eastAsia="IRNazanin" w:cs="IRNazanin"/>
          <w:lang w:bidi="fa-IR"/>
          <w:color w:val="111111"/>
          <w:sz w:val="28"/>
          <w:szCs w:val="28"/>
          <w:rtl/>
        </w:rPr>
        <w:t xml:space="preserve">تهران؛ دانشگاه؛ شماره نسخه: ۱۹۵/۸۵-ف</w:t>
      </w:r>
    </w:p>
    <w:p>
      <w:pPr>
        <w:pStyle w:val="BookText"/>
      </w:pPr>
      <w:r>
        <w:rPr>
          <w:rFonts w:ascii="IRNazanin" w:hAnsi="IRNazanin" w:eastAsia="IRNazanin" w:cs="IRNazanin"/>
          <w:lang w:bidi="fa-IR"/>
          <w:color w:val="111111"/>
          <w:sz w:val="28"/>
          <w:szCs w:val="28"/>
          <w:rtl/>
        </w:rPr>
        <w:t xml:space="preserve">نسخه  اصل: حمدیه ش ۱۴۴۷؛ بی کا، تا: با تاریخ ۷۵۵ق؛ در هامش است. [ فیلم ها-ف: ۱ - ۴۲۷]</w:t>
      </w:r>
    </w:p>
    <w:p>
      <w:pPr>
        <w:pStyle w:val="Heading3"/>
      </w:pPr>
      <w:bookmarkStart w:id="976" w:name="_Toc498"/>
      <w:r>
        <w:t>استجلاب ارتقاء الغرف بحب اقرباء الرسول ذوى  الشرف / فضایل و مناقب / عربی</w:t>
      </w:r>
      <w:bookmarkEnd w:id="976"/>
    </w:p>
    <w:p>
      <w:pPr>
        <w:pStyle w:val="BookText"/>
      </w:pPr>
      <w:r>
        <w:rPr>
          <w:rFonts w:ascii="Times New Roman" w:hAnsi="Times New Roman" w:eastAsia="Times New Roman" w:cs="Times New Roman"/>
          <w:lang w:val="en-US" w:bidi="en-US"/>
          <w:color w:val="111111"/>
          <w:sz w:val="28"/>
          <w:szCs w:val="28"/>
          <w:rtl/>
        </w:rPr>
        <w:t xml:space="preserve">istijlab-u irtiqa-il-guraf bi-hubb-i aqriba-ir-rasul dawi-š-šaraf</w:t>
      </w:r>
    </w:p>
    <w:p>
      <w:pPr>
        <w:pStyle w:val="BookText"/>
      </w:pPr>
      <w:r>
        <w:rPr>
          <w:rFonts w:ascii="IRNazanin" w:hAnsi="IRNazanin" w:eastAsia="IRNazanin" w:cs="IRNazanin"/>
          <w:lang w:bidi="fa-IR"/>
          <w:color w:val="111111"/>
          <w:sz w:val="28"/>
          <w:szCs w:val="28"/>
          <w:rtl/>
        </w:rPr>
        <w:t xml:space="preserve">سخاوی، محمد بن عبدالرحمن، ۸۳۱ - ۹۰۲ قمری</w:t>
      </w:r>
    </w:p>
    <w:p>
      <w:pPr>
        <w:pStyle w:val="BookText"/>
      </w:pPr>
      <w:r>
        <w:rPr>
          <w:rFonts w:ascii="Times New Roman" w:hAnsi="Times New Roman" w:eastAsia="Times New Roman" w:cs="Times New Roman"/>
          <w:lang w:val="en-US" w:bidi="en-US"/>
          <w:color w:val="111111"/>
          <w:sz w:val="28"/>
          <w:szCs w:val="28"/>
          <w:rtl/>
        </w:rPr>
        <w:t xml:space="preserve">(1497-saxāvī, mohammad ebn-e 'abd-or-rahman (1428</w:t>
      </w:r>
    </w:p>
    <w:p>
      <w:pPr>
        <w:pStyle w:val="BookText"/>
      </w:pPr>
      <w:r>
        <w:rPr>
          <w:rFonts w:ascii="IRNazanin" w:hAnsi="IRNazanin" w:eastAsia="IRNazanin" w:cs="IRNazanin"/>
          <w:lang w:bidi="fa-IR"/>
          <w:color w:val="111111"/>
          <w:sz w:val="28"/>
          <w:szCs w:val="28"/>
          <w:rtl/>
        </w:rPr>
        <w:t xml:space="preserve">مختصری  است در فضایل و مناقب اهل بیت عصمت و طهارت (علیه السّلام) با استدلال بآیات و روایات صحیحه، با عناوین «باب-باب»، مشتمل بر دو  بخش: ۱. بررسی انتساب پیامبر (صلّی اللَّهِ علیه وَ آلِهِ وَ سَلَّمَ ) و خویشاوندان آن حضرت؛ ۲. بررسی آیات و روایات پیرامون محبت به پیامبر (صلّی اللَّهِ علیه وَ آلِهِ وَ سَلَّمَ ) و اهل بیت (علیه السّلام). علامه میر حامد حسین درتأليف كتاب «عبقات الانوار» به این کتاب توجه داشته است.</w:t>
      </w:r>
    </w:p>
    <w:p>
      <w:pPr>
        <w:pStyle w:val="BookText"/>
      </w:pPr>
      <w:r>
        <w:rPr>
          <w:rFonts w:ascii="Amiri" w:hAnsi="Amiri" w:eastAsia="Amiri" w:cs="Amiri"/>
          <w:lang w:bidi="ar-SA"/>
          <w:color w:val="111111"/>
          <w:sz w:val="28"/>
          <w:szCs w:val="28"/>
          <w:rtl/>
        </w:rPr>
        <w:t xml:space="preserve">آغاز: الحمد لله الذى فضل اهل البيت النبوى بالشرف... و بعد: فهذا تصنيف شريف فى العطرة الطيبة و الذرية البهية المنتخبة</w:t>
      </w:r>
    </w:p>
    <w:p>
      <w:pPr>
        <w:pStyle w:val="BookText"/>
      </w:pPr>
      <w:r>
        <w:rPr>
          <w:rFonts w:ascii="IRNazanin" w:hAnsi="IRNazanin" w:eastAsia="IRNazanin" w:cs="IRNazanin"/>
          <w:lang w:bidi="fa-IR"/>
          <w:color w:val="111111"/>
          <w:sz w:val="28"/>
          <w:szCs w:val="28"/>
          <w:rtl/>
        </w:rPr>
        <w:t xml:space="preserve">چاپ: تحقیق نزار منصوری ،بیروت، دار البشائر الاسلامية، ۱۴۲۱ق، ۲ جلد ،قم، مؤسسه معارف الاسلامی، ۱۴۲۱ق</w:t>
      </w:r>
    </w:p>
    <w:p>
      <w:pPr>
        <w:pStyle w:val="BookText"/>
      </w:pPr>
      <w:r>
        <w:rPr>
          <w:rFonts w:ascii="Amiri" w:hAnsi="Amiri" w:eastAsia="Amiri" w:cs="Amiri"/>
          <w:lang w:bidi="ar-SA"/>
          <w:color w:val="111111"/>
          <w:sz w:val="28"/>
          <w:szCs w:val="28"/>
          <w:rtl/>
        </w:rPr>
        <w:t xml:space="preserve">[هدية العارفين ٢١٩/٢]</w:t>
      </w:r>
    </w:p>
    <w:p>
      <w:pPr>
        <w:pStyle w:val="BookText"/>
      </w:pPr>
      <w:r>
        <w:rPr>
          <w:rFonts w:ascii="IRNazanin" w:hAnsi="IRNazanin" w:eastAsia="IRNazanin" w:cs="IRNazanin"/>
          <w:lang w:bidi="fa-IR"/>
          <w:color w:val="111111"/>
          <w:sz w:val="28"/>
          <w:szCs w:val="28"/>
          <w:rtl/>
        </w:rPr>
        <w:t xml:space="preserve">١ . قم؛ مرعشی؛ شماره نسخه: ۹۶۹/۱ عکسی</w:t>
      </w:r>
    </w:p>
    <w:p>
      <w:pPr>
        <w:pStyle w:val="BookText"/>
      </w:pPr>
      <w:r>
        <w:rPr>
          <w:rFonts w:ascii="IRNazanin" w:hAnsi="IRNazanin" w:eastAsia="IRNazanin" w:cs="IRNazanin"/>
          <w:lang w:bidi="fa-IR"/>
          <w:color w:val="111111"/>
          <w:sz w:val="28"/>
          <w:szCs w:val="28"/>
          <w:rtl/>
        </w:rPr>
        <w:t xml:space="preserve">آغاز: برابر؛ انجام: و هذا آخر استجلاب ارتقاءالغرف بحب  اقرباء الرسول و ذوى الشرف</w:t>
      </w:r>
    </w:p>
    <w:p>
      <w:pPr>
        <w:pStyle w:val="BookText"/>
      </w:pPr>
      <w:r>
        <w:rPr>
          <w:rFonts w:ascii="IRNazanin" w:hAnsi="IRNazanin" w:eastAsia="IRNazanin" w:cs="IRNazanin"/>
          <w:lang w:bidi="fa-IR"/>
          <w:color w:val="111111"/>
          <w:sz w:val="28"/>
          <w:szCs w:val="28"/>
          <w:rtl/>
        </w:rPr>
        <w:t xml:space="preserve">نسخه اصل: عاطف  افندی ،استانبول شماره ۲۷۸۷؛ خط: بی کا، تا: ۱۷ ذیقعده ۱۱۴۳ق، ۷۱ برگ (۱-۷۱)، ۲۱ سطر [عکسی</w:t>
      </w:r>
    </w:p>
    <w:p>
      <w:pPr>
        <w:pStyle w:val="BookText"/>
      </w:pPr>
      <w:r>
        <w:rPr>
          <w:rFonts w:ascii="IRNazanin" w:hAnsi="IRNazanin" w:eastAsia="IRNazanin" w:cs="IRNazanin"/>
          <w:lang w:bidi="fa-IR"/>
          <w:color w:val="111111"/>
          <w:sz w:val="28"/>
          <w:szCs w:val="28"/>
          <w:rtl/>
        </w:rPr>
        <w:t xml:space="preserve">ف: ۲ - ۴۵۰  ]</w:t>
      </w:r>
    </w:p>
    <w:p>
      <w:pPr>
        <w:pStyle w:val="BookText"/>
      </w:pPr>
      <w:r>
        <w:rPr>
          <w:rFonts w:ascii="IRNazanin" w:hAnsi="IRNazanin" w:eastAsia="IRNazanin" w:cs="IRNazanin"/>
          <w:lang w:bidi="fa-IR"/>
          <w:color w:val="111111"/>
          <w:sz w:val="28"/>
          <w:szCs w:val="28"/>
          <w:rtl/>
        </w:rPr>
        <w:t xml:space="preserve">۲. مشهد؛ رضوی؛ شماره نسخه ۲۸۰۴۰</w:t>
      </w:r>
    </w:p>
    <w:p>
      <w:pPr>
        <w:pStyle w:val="BookText"/>
      </w:pPr>
      <w:r>
        <w:rPr>
          <w:rFonts w:ascii="IRNazanin" w:hAnsi="IRNazanin" w:eastAsia="IRNazanin" w:cs="IRNazanin"/>
          <w:lang w:bidi="fa-IR"/>
          <w:color w:val="111111"/>
          <w:sz w:val="28"/>
          <w:szCs w:val="28"/>
          <w:rtl/>
        </w:rPr>
        <w:t xml:space="preserve">آغاز: برابر؛ انجام: انى يحق لمثلى الفخر العلى محمد خير خلق  الله جدی و امى فاطمة و ابى على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45" w:name="pg20365_260224"/>
    <w:bookmarkEnd w:id="145"/>
    <w:p>
      <w:pPr>
        <w:pStyle w:val="BookText"/>
      </w:pPr>
      <w:r>
        <w:rPr>
          <w:rFonts w:ascii="IRNazanin" w:hAnsi="IRNazanin" w:eastAsia="IRNazanin" w:cs="IRNazanin"/>
          <w:lang w:bidi="fa-IR"/>
          <w:color w:val="111111"/>
          <w:sz w:val="28"/>
          <w:szCs w:val="28"/>
          <w:rtl/>
        </w:rPr>
        <w:t xml:space="preserve">خط: نسخ، کا: سید باقر حسین، تا: ۲۷ جمادی الثانی ۱۳۱۲ق؛مصحح، مقابله شده؛ اهدایی ،رهبری، دی ۱۳۸۰؛ كاغذ: حنایی كم آهار، جلد: مقوا با عطف و گوشه  تیماج، ۸۴گ، ۱۳ سطر، اندازه: ۱۶/۲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[اهدائی :رهبر ۲ اخبار ۱ - ۹۷]</w:t>
      </w:r>
    </w:p>
    <w:p>
      <w:pPr>
        <w:pStyle w:val="Heading3"/>
      </w:pPr>
      <w:bookmarkStart w:id="977" w:name="_Toc499"/>
      <w:r>
        <w:t>استحالة اتحاد البارى مع المخلوقات / كلام و اعتقادات/ عربی</w:t>
      </w:r>
      <w:bookmarkEnd w:id="977"/>
    </w:p>
    <w:p>
      <w:pPr>
        <w:pStyle w:val="BookText"/>
      </w:pPr>
      <w:r>
        <w:rPr>
          <w:rFonts w:ascii="Times New Roman" w:hAnsi="Times New Roman" w:eastAsia="Times New Roman" w:cs="Times New Roman"/>
          <w:lang w:val="en-US" w:bidi="en-US"/>
          <w:color w:val="111111"/>
          <w:sz w:val="28"/>
          <w:szCs w:val="28"/>
          <w:rtl/>
        </w:rPr>
        <w:t xml:space="preserve">istiḥālat-u ittiḥād-il-bārī ma‘-al-maxlūqāt</w:t>
      </w:r>
    </w:p>
    <w:p>
      <w:pPr>
        <w:pStyle w:val="BookText"/>
      </w:pPr>
      <w:r>
        <w:rPr>
          <w:rFonts w:ascii="IRNazanin" w:hAnsi="IRNazanin" w:eastAsia="IRNazanin" w:cs="IRNazanin"/>
          <w:lang w:bidi="fa-IR"/>
          <w:color w:val="111111"/>
          <w:sz w:val="28"/>
          <w:szCs w:val="28"/>
          <w:rtl/>
        </w:rPr>
        <w:t xml:space="preserve">حمصی ،علی بن محمود، ق۶ قمری</w:t>
      </w:r>
    </w:p>
    <w:p>
      <w:pPr>
        <w:pStyle w:val="BookText"/>
      </w:pPr>
      <w:r>
        <w:rPr>
          <w:rFonts w:ascii="Times New Roman" w:hAnsi="Times New Roman" w:eastAsia="Times New Roman" w:cs="Times New Roman"/>
          <w:lang w:val="en-US" w:bidi="en-US"/>
          <w:color w:val="111111"/>
          <w:sz w:val="28"/>
          <w:szCs w:val="28"/>
          <w:rtl/>
        </w:rPr>
        <w:t xml:space="preserve">(hemsī, ‘alī ebn-e mahmūd (- 12c)</w:t>
      </w:r>
    </w:p>
    <w:p>
      <w:pPr>
        <w:pStyle w:val="BookText"/>
      </w:pPr>
      <w:r>
        <w:rPr>
          <w:rFonts w:ascii="IRNazanin" w:hAnsi="IRNazanin" w:eastAsia="IRNazanin" w:cs="IRNazanin"/>
          <w:lang w:bidi="fa-IR"/>
          <w:color w:val="111111"/>
          <w:sz w:val="28"/>
          <w:szCs w:val="28"/>
          <w:rtl/>
        </w:rPr>
        <w:t xml:space="preserve">آن را در هنگام درس در ری تألیف کرده است.</w:t>
      </w:r>
    </w:p>
    <w:p>
      <w:pPr>
        <w:pStyle w:val="BookText"/>
      </w:pPr>
      <w:r>
        <w:rPr>
          <w:rFonts w:ascii="IRNazanin" w:hAnsi="IRNazanin" w:eastAsia="IRNazanin" w:cs="IRNazanin"/>
          <w:lang w:bidi="fa-IR"/>
          <w:color w:val="111111"/>
          <w:sz w:val="28"/>
          <w:szCs w:val="28"/>
          <w:rtl/>
        </w:rPr>
        <w:t xml:space="preserve">آغاز: باسمه سبحانه عن المولى السعيد مرشد ارباب الكمال جمال الملة و الدين على بن محمود الحمصي قدس الله روحه فی اثناء درسه بالری قال رايت فى المنام انى اقيم هذا البرهان عـلی  نفی اتحاد البارى تعالى باحد خلقه</w:t>
      </w:r>
    </w:p>
    <w:p>
      <w:pPr>
        <w:pStyle w:val="BookText"/>
      </w:pPr>
      <w:r>
        <w:rPr>
          <w:rFonts w:ascii="IRNazanin" w:hAnsi="IRNazanin" w:eastAsia="IRNazanin" w:cs="IRNazanin"/>
          <w:lang w:bidi="fa-IR"/>
          <w:color w:val="111111"/>
          <w:sz w:val="28"/>
          <w:szCs w:val="28"/>
          <w:rtl/>
        </w:rPr>
        <w:t xml:space="preserve">تهران؛ دانشگاه؛ شماره نسخه: ۲۱۴۴/۲۹</w:t>
      </w:r>
    </w:p>
    <w:p>
      <w:pPr>
        <w:pStyle w:val="BookText"/>
      </w:pPr>
      <w:r>
        <w:rPr>
          <w:rFonts w:ascii="Amiri" w:hAnsi="Amiri" w:eastAsia="Amiri" w:cs="Amiri"/>
          <w:lang w:bidi="ar-SA"/>
          <w:color w:val="111111"/>
          <w:sz w:val="28"/>
          <w:szCs w:val="28"/>
          <w:rtl/>
        </w:rPr>
        <w:t xml:space="preserve">آغاز: برابر؛ انجام: وجب كونه محالا و هو المطلوب</w:t>
      </w:r>
    </w:p>
    <w:p>
      <w:pPr>
        <w:pStyle w:val="BookText"/>
      </w:pPr>
      <w:r>
        <w:rPr>
          <w:rFonts w:ascii="IRNazanin" w:hAnsi="IRNazanin" w:eastAsia="IRNazanin" w:cs="IRNazanin"/>
          <w:lang w:bidi="fa-IR"/>
          <w:color w:val="111111"/>
          <w:sz w:val="28"/>
          <w:szCs w:val="28"/>
          <w:rtl/>
        </w:rPr>
        <w:t xml:space="preserve">کا: (گویا) تاج الدين حسين صاعد بن شمس الدین طوسی، تا: قرن ۱۰؛ کاغذ: متن و حاشیه سپاهانی و فرنگی، جلد: مقوا با پارچه زری عطف میشن، ۱ ص (۳۹۰)، اندازه: 10/5</w:t>
      </w:r>
      <w:r>
        <w:rPr>
          <w:rFonts w:ascii="Times New Roman" w:hAnsi="Times New Roman" w:eastAsia="Times New Roman" w:cs="Times New Roman"/>
          <w:lang w:val="en-US" w:bidi="en-US"/>
          <w:color w:val="111111"/>
          <w:sz w:val="28"/>
          <w:szCs w:val="28"/>
          <w:rtl/>
        </w:rPr>
        <w:t xml:space="preserve">×23</w:t>
      </w:r>
      <w:r>
        <w:rPr>
          <w:rFonts w:ascii="IRNazanin" w:hAnsi="IRNazanin" w:eastAsia="IRNazanin" w:cs="IRNazanin"/>
          <w:lang w:bidi="fa-IR"/>
          <w:color w:val="111111"/>
          <w:sz w:val="28"/>
          <w:szCs w:val="28"/>
          <w:rtl/>
        </w:rPr>
        <w:t xml:space="preserve">سم [ف: ۹ - 826]</w:t>
      </w:r>
    </w:p>
    <w:p>
      <w:pPr>
        <w:pStyle w:val="BookText"/>
      </w:pPr>
      <w:r>
        <w:rPr>
          <w:rFonts w:ascii="Amiri" w:hAnsi="Amiri" w:eastAsia="Amiri" w:cs="Amiri"/>
          <w:lang w:bidi="ar-SA"/>
          <w:color w:val="111111"/>
          <w:sz w:val="28"/>
          <w:szCs w:val="28"/>
          <w:rtl/>
        </w:rPr>
        <w:t xml:space="preserve">«استحالة اجتماع الامر و النهى » اجتماع الامر و النهي</w:t>
      </w:r>
    </w:p>
    <w:p>
      <w:pPr>
        <w:pStyle w:val="Heading3"/>
      </w:pPr>
      <w:bookmarkStart w:id="978" w:name="_Toc500"/>
      <w:r>
        <w:t>استحالة الكبريت و الزرنيخ / کیمیا / عربي</w:t>
      </w:r>
      <w:bookmarkEnd w:id="978"/>
    </w:p>
    <w:p>
      <w:pPr>
        <w:pStyle w:val="BookText"/>
      </w:pPr>
      <w:r>
        <w:rPr>
          <w:rFonts w:ascii="Times New Roman" w:hAnsi="Times New Roman" w:eastAsia="Times New Roman" w:cs="Times New Roman"/>
          <w:lang w:val="en-US" w:bidi="en-US"/>
          <w:color w:val="111111"/>
          <w:sz w:val="28"/>
          <w:szCs w:val="28"/>
          <w:rtl/>
        </w:rPr>
        <w:t xml:space="preserve">istiḥālat-ul-kibrīt wa-z-zarnīx</w:t>
      </w:r>
    </w:p>
    <w:p>
      <w:pPr>
        <w:pStyle w:val="BookText"/>
      </w:pPr>
      <w:r>
        <w:rPr>
          <w:rFonts w:ascii="IRNazanin" w:hAnsi="IRNazanin" w:eastAsia="IRNazanin" w:cs="IRNazanin"/>
          <w:lang w:bidi="fa-IR"/>
          <w:color w:val="111111"/>
          <w:sz w:val="28"/>
          <w:szCs w:val="28"/>
          <w:rtl/>
        </w:rPr>
        <w:t xml:space="preserve">مشهد؛ گوهر شاد؛ شماره نسخه: ۵۹۰/۴</w:t>
      </w:r>
    </w:p>
    <w:p>
      <w:pPr>
        <w:pStyle w:val="BookText"/>
      </w:pPr>
      <w:r>
        <w:rPr>
          <w:rFonts w:ascii="IRNazanin" w:hAnsi="IRNazanin" w:eastAsia="IRNazanin" w:cs="IRNazanin"/>
          <w:lang w:bidi="fa-IR"/>
          <w:color w:val="111111"/>
          <w:sz w:val="28"/>
          <w:szCs w:val="28"/>
          <w:rtl/>
        </w:rPr>
        <w:t xml:space="preserve">آغاز: بسمله قال الجلدكي في نهايت الطلب ان الكبريت و الزرنیج فان كلاً منهما يمكن استحالتهما بالحكمة و التدبير الى جدا</w:t>
      </w:r>
    </w:p>
    <w:p>
      <w:pPr>
        <w:pStyle w:val="BookText"/>
      </w:pPr>
      <w:r>
        <w:rPr>
          <w:rFonts w:ascii="IRNazanin" w:hAnsi="IRNazanin" w:eastAsia="IRNazanin" w:cs="IRNazanin"/>
          <w:lang w:bidi="fa-IR"/>
          <w:color w:val="111111"/>
          <w:sz w:val="28"/>
          <w:szCs w:val="28"/>
          <w:rtl/>
        </w:rPr>
        <w:t xml:space="preserve">خط:نسخ، بی کا، تا: قرن ۱۲؛ کاغذ: فستقی و شکری  رنگ، جـلد: تیماج تریاکی؛ مهر: حاج سید سعید؛ ۶گ (۴۹-۵۴)، ۱۸ سـطر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۲ - ۷۰۶]</w:t>
      </w:r>
    </w:p>
    <w:p>
      <w:pPr>
        <w:pStyle w:val="BookText"/>
      </w:pPr>
      <w:r>
        <w:rPr>
          <w:rFonts w:ascii="IRNazanin" w:hAnsi="IRNazanin" w:eastAsia="IRNazanin" w:cs="IRNazanin"/>
          <w:lang w:bidi="fa-IR"/>
          <w:color w:val="111111"/>
          <w:sz w:val="28"/>
          <w:szCs w:val="28"/>
          <w:rtl/>
        </w:rPr>
        <w:t xml:space="preserve">تهران؛ دانشگاه؛ شماره نسخه: ۲۱۴۲/۴-ف</w:t>
      </w:r>
    </w:p>
    <w:p>
      <w:pPr>
        <w:pStyle w:val="BookText"/>
      </w:pPr>
      <w:r>
        <w:rPr>
          <w:rFonts w:ascii="IRNazanin" w:hAnsi="IRNazanin" w:eastAsia="IRNazanin" w:cs="IRNazanin"/>
          <w:lang w:bidi="fa-IR"/>
          <w:color w:val="111111"/>
          <w:sz w:val="28"/>
          <w:szCs w:val="28"/>
          <w:rtl/>
        </w:rPr>
        <w:t xml:space="preserve">نسخه اصل: همان نسخه بالا [فیلم ها-ف: ۱ - ۶۴۶]</w:t>
      </w:r>
    </w:p>
    <w:p>
      <w:pPr>
        <w:pStyle w:val="Heading3"/>
      </w:pPr>
      <w:bookmarkStart w:id="979" w:name="_Toc501"/>
      <w:r>
        <w:t>استحباب التختم بالعقيق / فقه / عربي</w:t>
      </w:r>
      <w:bookmarkEnd w:id="979"/>
    </w:p>
    <w:p>
      <w:pPr>
        <w:pStyle w:val="BookText"/>
      </w:pPr>
      <w:r>
        <w:rPr>
          <w:rFonts w:ascii="Times New Roman" w:hAnsi="Times New Roman" w:eastAsia="Times New Roman" w:cs="Times New Roman"/>
          <w:lang w:val="en-US" w:bidi="en-US"/>
          <w:color w:val="111111"/>
          <w:sz w:val="28"/>
          <w:szCs w:val="28"/>
          <w:rtl/>
        </w:rPr>
        <w:t xml:space="preserve">istiḥbāb-ut taxattum bi-l-‘aqīq</w:t>
      </w:r>
    </w:p>
    <w:p>
      <w:pPr>
        <w:pStyle w:val="BookText"/>
      </w:pPr>
      <w:r>
        <w:rPr>
          <w:rFonts w:ascii="IRNazanin" w:hAnsi="IRNazanin" w:eastAsia="IRNazanin" w:cs="IRNazanin"/>
          <w:lang w:bidi="fa-IR"/>
          <w:color w:val="111111"/>
          <w:sz w:val="28"/>
          <w:szCs w:val="28"/>
          <w:rtl/>
        </w:rPr>
        <w:t xml:space="preserve">حویزاوی محمد ابراهیم بن غیاث الدین محمد، ق  12 قمری</w:t>
      </w:r>
    </w:p>
    <w:p>
      <w:pPr>
        <w:pStyle w:val="BookText"/>
      </w:pPr>
      <w:r>
        <w:rPr>
          <w:rFonts w:ascii="Times New Roman" w:hAnsi="Times New Roman" w:eastAsia="Times New Roman" w:cs="Times New Roman"/>
          <w:lang w:val="en-US" w:bidi="en-US"/>
          <w:color w:val="111111"/>
          <w:sz w:val="28"/>
          <w:szCs w:val="28"/>
          <w:rtl/>
        </w:rPr>
        <w:t xml:space="preserve">hovayzāvī, mohammad ebrāhīm ebn-e gīyās-od-dīn</w:t>
      </w:r>
    </w:p>
    <w:p>
      <w:pPr>
        <w:pStyle w:val="BookText"/>
      </w:pPr>
      <w:r>
        <w:rPr>
          <w:rFonts w:ascii="Times New Roman" w:hAnsi="Times New Roman" w:eastAsia="Times New Roman" w:cs="Times New Roman"/>
          <w:lang w:val="en-US" w:bidi="en-US"/>
          <w:color w:val="111111"/>
          <w:sz w:val="28"/>
          <w:szCs w:val="28"/>
          <w:rtl/>
        </w:rPr>
        <w:t xml:space="preserve">(mohammad (- 18c)</w:t>
      </w:r>
    </w:p>
    <w:p>
      <w:pPr>
        <w:pStyle w:val="BookText"/>
      </w:pPr>
      <w:r>
        <w:rPr>
          <w:rFonts w:ascii="IRNazanin" w:hAnsi="IRNazanin" w:eastAsia="IRNazanin" w:cs="IRNazanin"/>
          <w:lang w:bidi="fa-IR"/>
          <w:color w:val="111111"/>
          <w:sz w:val="28"/>
          <w:szCs w:val="28"/>
          <w:rtl/>
        </w:rPr>
        <w:t xml:space="preserve">رساله استدلالی کوتاهی است در استحباب تختم به مطلق عقیق.</w:t>
      </w:r>
    </w:p>
    <w:p>
      <w:pPr>
        <w:pStyle w:val="BookText"/>
      </w:pPr>
      <w:r>
        <w:rPr>
          <w:rFonts w:ascii="IRNazanin" w:hAnsi="IRNazanin" w:eastAsia="IRNazanin" w:cs="IRNazanin"/>
          <w:lang w:bidi="fa-IR"/>
          <w:color w:val="111111"/>
          <w:sz w:val="28"/>
          <w:szCs w:val="28"/>
          <w:rtl/>
        </w:rPr>
        <w:t xml:space="preserve">آغاز: الحمد لله على ما انعم و هدى</w:t>
      </w:r>
    </w:p>
    <w:p>
      <w:pPr>
        <w:pStyle w:val="BookText"/>
      </w:pPr>
      <w:r>
        <w:rPr>
          <w:rFonts w:ascii="Amiri" w:hAnsi="Amiri" w:eastAsia="Amiri" w:cs="Amiri"/>
          <w:lang w:bidi="ar-SA"/>
          <w:color w:val="111111"/>
          <w:sz w:val="28"/>
          <w:szCs w:val="28"/>
          <w:rtl/>
        </w:rPr>
        <w:t xml:space="preserve">انجام: و حديث الكافى يدل على الاطلاق فتدبر تعرف</w:t>
      </w:r>
    </w:p>
    <w:p>
      <w:pPr>
        <w:pStyle w:val="BookText"/>
      </w:pPr>
      <w:r>
        <w:rPr>
          <w:rFonts w:ascii="IRNazanin" w:hAnsi="IRNazanin" w:eastAsia="IRNazanin" w:cs="IRNazanin"/>
          <w:lang w:bidi="fa-IR"/>
          <w:color w:val="111111"/>
          <w:sz w:val="28"/>
          <w:szCs w:val="28"/>
          <w:rtl/>
        </w:rPr>
        <w:t xml:space="preserve">مشهد؛ رضوی؛ شماره نسخه: ۶۱۲۶/۱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و شکسته، بی کا، بی تا: ضمیمه نسخه ش ۵۷۱۲؛ واقف: فهرستی تیر ۱۳۱۰؛ کاغذ ،نباتی ،جلد: مقوا با روکش  پارچه،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۵ - ۴۹۵]</w:t>
      </w:r>
    </w:p>
    <w:p>
      <w:pPr>
        <w:pStyle w:val="BookText"/>
      </w:pPr>
      <w:r>
        <w:rPr>
          <w:rFonts w:ascii="Amiri" w:hAnsi="Amiri" w:eastAsia="Amiri" w:cs="Amiri"/>
          <w:lang w:bidi="ar-SA"/>
          <w:color w:val="111111"/>
          <w:sz w:val="28"/>
          <w:szCs w:val="28"/>
          <w:rtl/>
        </w:rPr>
        <w:t xml:space="preserve">«استحباب التياسر عن القبلة » القبلة</w:t>
      </w:r>
    </w:p>
    <w:p>
      <w:pPr>
        <w:pStyle w:val="BookText"/>
      </w:pPr>
      <w:r>
        <w:rPr>
          <w:rFonts w:ascii="Amiri" w:hAnsi="Amiri" w:eastAsia="Amiri" w:cs="Amiri"/>
          <w:lang w:bidi="ar-SA"/>
          <w:color w:val="111111"/>
          <w:sz w:val="28"/>
          <w:szCs w:val="28"/>
          <w:rtl/>
        </w:rPr>
        <w:t xml:space="preserve">«استحباب التياسر لاهل العراق » القبلة</w:t>
      </w:r>
    </w:p>
    <w:p>
      <w:pPr>
        <w:pStyle w:val="Heading3"/>
      </w:pPr>
      <w:bookmarkStart w:id="980" w:name="_Toc502"/>
      <w:r>
        <w:t>استحباب السورة بعد الحمد = قرائة سورة بعد الحمد او آية / فقه / عربی</w:t>
      </w:r>
      <w:bookmarkEnd w:id="980"/>
    </w:p>
    <w:p>
      <w:pPr>
        <w:pStyle w:val="BookText"/>
      </w:pPr>
      <w:r>
        <w:rPr>
          <w:rFonts w:ascii="Times New Roman" w:hAnsi="Times New Roman" w:eastAsia="Times New Roman" w:cs="Times New Roman"/>
          <w:lang w:val="en-US" w:bidi="en-US"/>
          <w:color w:val="111111"/>
          <w:sz w:val="28"/>
          <w:szCs w:val="28"/>
          <w:rtl/>
        </w:rPr>
        <w:t xml:space="preserve">istihbab-us-surat-i bad-al-hamd</w:t>
      </w:r>
    </w:p>
    <w:p>
      <w:pPr>
        <w:pStyle w:val="BookText"/>
      </w:pPr>
      <w:r>
        <w:rPr>
          <w:rFonts w:ascii="Times New Roman" w:hAnsi="Times New Roman" w:eastAsia="Times New Roman" w:cs="Times New Roman"/>
          <w:lang w:val="en-US" w:bidi="en-US"/>
          <w:color w:val="111111"/>
          <w:sz w:val="28"/>
          <w:szCs w:val="28"/>
          <w:rtl/>
        </w:rPr>
        <w:t xml:space="preserve">qiraat-u surat-in</w:t>
      </w:r>
    </w:p>
    <w:p>
      <w:pPr>
        <w:pStyle w:val="BookText"/>
      </w:pPr>
      <w:r>
        <w:rPr>
          <w:rFonts w:ascii="Times New Roman" w:hAnsi="Times New Roman" w:eastAsia="Times New Roman" w:cs="Times New Roman"/>
          <w:lang w:val="en-US" w:bidi="en-US"/>
          <w:color w:val="111111"/>
          <w:sz w:val="28"/>
          <w:szCs w:val="28"/>
          <w:rtl/>
        </w:rPr>
        <w:t xml:space="preserve">ba'd-al-hamd aw ayat</w:t>
      </w:r>
    </w:p>
    <w:p>
      <w:pPr>
        <w:pStyle w:val="BookText"/>
      </w:pPr>
      <w:r>
        <w:rPr>
          <w:rFonts w:ascii="IRNazanin" w:hAnsi="IRNazanin" w:eastAsia="IRNazanin" w:cs="IRNazanin"/>
          <w:lang w:bidi="fa-IR"/>
          <w:color w:val="111111"/>
          <w:sz w:val="28"/>
          <w:szCs w:val="28"/>
          <w:rtl/>
        </w:rPr>
        <w:t xml:space="preserve">شیخ بهائی، محمد بن حسین، ۹۵۳ -۱۰۳۰ قمری</w:t>
      </w:r>
    </w:p>
    <w:p>
      <w:pPr>
        <w:pStyle w:val="BookText"/>
      </w:pPr>
      <w:r>
        <w:rPr>
          <w:rFonts w:ascii="Times New Roman" w:hAnsi="Times New Roman" w:eastAsia="Times New Roman" w:cs="Times New Roman"/>
          <w:lang w:val="en-US" w:bidi="en-US"/>
          <w:color w:val="111111"/>
          <w:sz w:val="28"/>
          <w:szCs w:val="28"/>
          <w:rtl/>
        </w:rPr>
        <w:t xml:space="preserve">(seyx-e bahai, mohammad ebn-e hoseyn (1547 - 1621)</w:t>
      </w:r>
    </w:p>
    <w:p>
      <w:pPr>
        <w:pStyle w:val="BookText"/>
      </w:pPr>
      <w:r>
        <w:rPr>
          <w:rFonts w:ascii="IRNazanin" w:hAnsi="IRNazanin" w:eastAsia="IRNazanin" w:cs="IRNazanin"/>
          <w:lang w:bidi="fa-IR"/>
          <w:color w:val="111111"/>
          <w:sz w:val="28"/>
          <w:szCs w:val="28"/>
          <w:rtl/>
        </w:rPr>
        <w:t xml:space="preserve">مختصر استدلالی است در رد کسانی که معتقد به وجوب سوره اند. مؤلف در مقدمه می نویسد: «بیشتر فقهای امامیه مانند سید  مرتضی، شیخ  مفید، ابن ادریس و علامه حلی قائل به وجوب اند و عده قلیلی چون شیخ در «نهایه»، نجم الائمه در «معتبر» و سلار و ابن جنید معتقد به استحباب می باشند». خود می گوید: «و القول الاول اشهر قيلا و لعله احوط سبيلاً الا ان القول الثاني كما يظهر اقوى دليلاً و قد وجدت بعض الفضلاء قد تصدى لتقوية ما عليه الأكثر و استدل على ذلك باربعة عشر وجهاً هى فى الحقيقة خلاصة ما استدل به القائلون بوجوبه...» و با عناوین «قال - اقول» به رد و ایراد آنها پرداخته است. البته شیخ بهائی از این رأی در کتاب های دیگرش برگشته و عقیده به وجوب سوره دارد.</w:t>
      </w:r>
    </w:p>
    <w:p>
      <w:pPr>
        <w:pStyle w:val="BookText"/>
      </w:pPr>
      <w:r>
        <w:rPr>
          <w:rFonts w:ascii="Amiri" w:hAnsi="Amiri" w:eastAsia="Amiri" w:cs="Amiri"/>
          <w:lang w:bidi="ar-SA"/>
          <w:color w:val="111111"/>
          <w:sz w:val="28"/>
          <w:szCs w:val="28"/>
          <w:rtl/>
        </w:rPr>
        <w:t xml:space="preserve">آغاز: بسمله احسن ما يفتتح به الكلام حمد الملك العلام و الصلاة والسلام على نبينا محمد وآله الكرام</w:t>
      </w:r>
    </w:p>
    <w:p>
      <w:pPr>
        <w:pStyle w:val="BookText"/>
      </w:pPr>
      <w:r>
        <w:rPr>
          <w:rFonts w:ascii="Amiri" w:hAnsi="Amiri" w:eastAsia="Amiri" w:cs="Amiri"/>
          <w:lang w:bidi="ar-SA"/>
          <w:color w:val="111111"/>
          <w:sz w:val="28"/>
          <w:szCs w:val="28"/>
          <w:rtl/>
        </w:rPr>
        <w:t xml:space="preserve">انجام: و هذه اكثر عدداً و امتن متناً وسنداً كما لا يخفى على  منصف والحمد لله</w:t>
      </w:r>
    </w:p>
    <w:p>
      <w:pPr>
        <w:pStyle w:val="BookText"/>
      </w:pPr>
      <w:r>
        <w:rPr>
          <w:rFonts w:ascii="Amiri" w:hAnsi="Amiri" w:eastAsia="Amiri" w:cs="Amiri"/>
          <w:lang w:bidi="ar-SA"/>
          <w:color w:val="111111"/>
          <w:sz w:val="28"/>
          <w:szCs w:val="28"/>
          <w:rtl/>
        </w:rPr>
        <w:t xml:space="preserve">[كشف الحجب ص ۲۳۴؛ الذريعة ۱۸/۲ و ۵۵/۱۷؛ ريحانة الأدب ۳۱۰/۳]</w:t>
      </w:r>
    </w:p>
    <w:p>
      <w:pPr>
        <w:pStyle w:val="BookText"/>
      </w:pPr>
      <w:r>
        <w:rPr>
          <w:rFonts w:ascii="IRNazanin" w:hAnsi="IRNazanin" w:eastAsia="IRNazanin" w:cs="IRNazanin"/>
          <w:lang w:bidi="fa-IR"/>
          <w:color w:val="111111"/>
          <w:sz w:val="28"/>
          <w:szCs w:val="28"/>
          <w:rtl/>
        </w:rPr>
        <w:t xml:space="preserve">۱. مشهد؛ رضوی؛ شماره نسخه: ۲۳۸۲۵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کا:محمد  قاسم، تا: سه شنبه رجب ۱۰۲۷ق؛ واگذاری اولاد مرحوم فیض کاشانی در دی ماه ۱۳۷۵؛ کاغذ: نخودی، جلد: تیماج قهوه ای ، 7گ، ۲۳ سطر، اندازه:  ۱۸/۳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۱۱/۵سم [ف: ۲۱/۱ - ۱۰۵]</w:t>
      </w:r>
    </w:p>
    <w:p>
      <w:pPr>
        <w:pStyle w:val="BookText"/>
      </w:pPr>
      <w:r>
        <w:rPr>
          <w:rFonts w:ascii="IRNazanin" w:hAnsi="IRNazanin" w:eastAsia="IRNazanin" w:cs="IRNazanin"/>
          <w:lang w:bidi="fa-IR"/>
          <w:color w:val="111111"/>
          <w:sz w:val="28"/>
          <w:szCs w:val="28"/>
          <w:rtl/>
        </w:rPr>
        <w:t xml:space="preserve">۲ . قم؛ مرکز احیاء؛ شماره نسخه: ۴۱۱۸/۴٢٨٢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46" w:name="pg20365_260225"/>
    <w:bookmarkEnd w:id="146"/>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سه شنبه غره صفر ۱۰۶۶ق؛ در هشت برگ ما قبل رساله حاضر تعلیقات میرداماد بر مباحث حكم ماء قليل و آ ب چاه کتاب مختلف علامه آمده است؛ جلد: مقوایی، عطف و  دورتیماج  مشکی، ۸گ (69ر-۷۶پ)، ۱۵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 سم</w:t>
      </w:r>
    </w:p>
    <w:p>
      <w:pPr>
        <w:pStyle w:val="BookText"/>
      </w:pPr>
      <w:r>
        <w:rPr>
          <w:rFonts w:ascii="IRNazanin" w:hAnsi="IRNazanin" w:eastAsia="IRNazanin" w:cs="IRNazanin"/>
          <w:lang w:bidi="fa-IR"/>
          <w:color w:val="111111"/>
          <w:sz w:val="28"/>
          <w:szCs w:val="28"/>
          <w:rtl/>
        </w:rPr>
        <w:t xml:space="preserve">[محدث ارموی مخ: ۱ - ۱۲۴]</w:t>
      </w:r>
    </w:p>
    <w:p>
      <w:pPr>
        <w:pStyle w:val="BookText"/>
      </w:pPr>
      <w:r>
        <w:rPr>
          <w:rFonts w:ascii="IRNazanin" w:hAnsi="IRNazanin" w:eastAsia="IRNazanin" w:cs="IRNazanin"/>
          <w:lang w:bidi="fa-IR"/>
          <w:color w:val="111111"/>
          <w:sz w:val="28"/>
          <w:szCs w:val="28"/>
          <w:rtl/>
        </w:rPr>
        <w:t xml:space="preserve">3.قم ؛مرعشی؛ شماره نسخه: ۱۱۵۷۷/۴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جمعه ۴ شعبان ۱۰۷۵ق ،مصحح،در پشـت برگ آغاز مطالبی درباره تجویز اعشاب دیده می شود؛ کاغذ: سمرقندی، آهار مهره، ۸گ (۵۴-۶۱)، ۱۶ سطر، اندازه: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سم[ف: ۲۹ - ۲۸۴]</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قم؛ مرعشی؛ شماره نسخه: ۱۰۰۳/۹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حسین بن محمد حسینی قمصری مشهور به  آفتاب ، تا: ۱۰۷۷ق، جا: قمصر کاشان؛ ٧گ (۱۱۰ پ -۱۱۶ر)، اندازه:</w:t>
      </w:r>
    </w:p>
    <w:p>
      <w:pPr>
        <w:pStyle w:val="BookText"/>
      </w:pPr>
      <w:r>
        <w:rPr>
          <w:rFonts w:ascii="IRNazanin" w:hAnsi="IRNazanin" w:eastAsia="IRNazanin" w:cs="IRNazanin"/>
          <w:lang w:bidi="fa-IR"/>
          <w:color w:val="111111"/>
          <w:sz w:val="28"/>
          <w:szCs w:val="28"/>
          <w:rtl/>
        </w:rPr>
        <w:t xml:space="preserve">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۲۴سم [ف: ۳ - ۱۹۶]</w:t>
      </w:r>
    </w:p>
    <w:p>
      <w:pPr>
        <w:pStyle w:val="BookText"/>
      </w:pPr>
      <w:r>
        <w:rPr>
          <w:rFonts w:ascii="IRNazanin" w:hAnsi="IRNazanin" w:eastAsia="IRNazanin" w:cs="IRNazanin"/>
          <w:lang w:bidi="fa-IR"/>
          <w:color w:val="111111"/>
          <w:sz w:val="28"/>
          <w:szCs w:val="28"/>
          <w:rtl/>
        </w:rPr>
        <w:t xml:space="preserve">۵. مشهد؛ رضوی؛ شماره نسخه ۲۴۵۲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قرن ۱۲؛ واقف: ابن  خاتون، ۱۰۶۷ق؛ کاغذ ،نخودی، جلد: مقوا با رویه  پارچه، ۱۲گ، ۱۷ سطر، اندازه:</w:t>
      </w:r>
    </w:p>
    <w:p>
      <w:pPr>
        <w:pStyle w:val="BookText"/>
      </w:pPr>
      <w:r>
        <w:rPr>
          <w:rFonts w:ascii="IRNazanin" w:hAnsi="IRNazanin" w:eastAsia="IRNazanin" w:cs="IRNazanin"/>
          <w:lang w:bidi="fa-IR"/>
          <w:color w:val="111111"/>
          <w:sz w:val="28"/>
          <w:szCs w:val="28"/>
          <w:rtl/>
        </w:rPr>
        <w:t xml:space="preserve">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۲۰ – ۳۸۴]</w:t>
      </w:r>
    </w:p>
    <w:p>
      <w:pPr>
        <w:pStyle w:val="BookText"/>
      </w:pPr>
      <w:r>
        <w:rPr>
          <w:rFonts w:ascii="IRNazanin" w:hAnsi="IRNazanin" w:eastAsia="IRNazanin" w:cs="IRNazanin"/>
          <w:lang w:bidi="fa-IR"/>
          <w:color w:val="111111"/>
          <w:sz w:val="28"/>
          <w:szCs w:val="28"/>
          <w:rtl/>
        </w:rPr>
        <w:t xml:space="preserve">۶. قم؛ مرعشی؛ شماره نسخه: ۱۴۶۸۷/۴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حدود قرن ۱۲؛ مصحح؛ کاغذ: شرقی آهار مهره، ۱۱گ (۱۳۳ر -۱۴۳ر)، ۲۱ سطر، اندازه: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۱۶/۵سم [ف: 37- 191]</w:t>
      </w:r>
    </w:p>
    <w:p>
      <w:pPr>
        <w:pStyle w:val="BookText"/>
      </w:pPr>
      <w:r>
        <w:rPr>
          <w:rFonts w:ascii="IRNazanin" w:hAnsi="IRNazanin" w:eastAsia="IRNazanin" w:cs="IRNazanin"/>
          <w:lang w:bidi="fa-IR"/>
          <w:color w:val="111111"/>
          <w:sz w:val="28"/>
          <w:szCs w:val="28"/>
          <w:rtl/>
        </w:rPr>
        <w:t xml:space="preserve">۷. یزد؛ وزیری؛ شماره نسخه: ۲۷۱۲/۲</w:t>
      </w:r>
    </w:p>
    <w:p>
      <w:pPr>
        <w:pStyle w:val="BookText"/>
      </w:pPr>
      <w:r>
        <w:rPr>
          <w:rFonts w:ascii="IRNazanin" w:hAnsi="IRNazanin" w:eastAsia="IRNazanin" w:cs="IRNazanin"/>
          <w:lang w:bidi="fa-IR"/>
          <w:color w:val="111111"/>
          <w:sz w:val="28"/>
          <w:szCs w:val="28"/>
          <w:rtl/>
        </w:rPr>
        <w:t xml:space="preserve">کامل؛ خط: نسخ، کا: حسین علی بن اسحاق؛ تا: ۱۲۵۷ق؛ کاغذ: فرنگی، جلد: مقوایی با تیماج ماشی ضربی، ۱۳گ (90- 102)۲۱ سطر (۹/۵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اندازه:۱۵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۴ - ۱۴۰۰]</w:t>
      </w:r>
    </w:p>
    <w:p>
      <w:pPr>
        <w:pStyle w:val="BookText"/>
      </w:pPr>
      <w:r>
        <w:rPr>
          <w:rFonts w:ascii="Amiri" w:hAnsi="Amiri" w:eastAsia="Amiri" w:cs="Amiri"/>
          <w:lang w:bidi="ar-SA"/>
          <w:color w:val="111111"/>
          <w:sz w:val="28"/>
          <w:szCs w:val="28"/>
          <w:rtl/>
        </w:rPr>
        <w:t xml:space="preserve">«استحباب السورة مع الحمد في صورة الاختيار » وجوب السورة بعد الحمد</w:t>
      </w:r>
    </w:p>
    <w:p>
      <w:pPr>
        <w:pStyle w:val="Heading3"/>
      </w:pPr>
      <w:bookmarkStart w:id="981" w:name="_Toc503"/>
      <w:r>
        <w:t>استحباب تختم / آداب و سنن / فارسی</w:t>
      </w:r>
      <w:bookmarkEnd w:id="981"/>
    </w:p>
    <w:p>
      <w:pPr>
        <w:pStyle w:val="BookText"/>
      </w:pPr>
      <w:r>
        <w:rPr>
          <w:rFonts w:ascii="Times New Roman" w:hAnsi="Times New Roman" w:eastAsia="Times New Roman" w:cs="Times New Roman"/>
          <w:lang w:val="en-US" w:bidi="en-US"/>
          <w:color w:val="111111"/>
          <w:sz w:val="28"/>
          <w:szCs w:val="28"/>
          <w:rtl/>
        </w:rPr>
        <w:t xml:space="preserve">estehbāb-e taxattom</w:t>
      </w:r>
    </w:p>
    <w:p>
      <w:pPr>
        <w:pStyle w:val="BookText"/>
      </w:pPr>
      <w:r>
        <w:rPr>
          <w:rFonts w:ascii="IRNazanin" w:hAnsi="IRNazanin" w:eastAsia="IRNazanin" w:cs="IRNazanin"/>
          <w:lang w:bidi="fa-IR"/>
          <w:color w:val="111111"/>
          <w:sz w:val="28"/>
          <w:szCs w:val="28"/>
          <w:rtl/>
        </w:rPr>
        <w:t xml:space="preserve">مسيحا فدشکوئی، محمد مسیح بن اسماعيل، ۱۰۳۷؟ - ۱۱۲۷ قمری</w:t>
      </w:r>
    </w:p>
    <w:p>
      <w:pPr>
        <w:pStyle w:val="BookText"/>
      </w:pPr>
      <w:r>
        <w:rPr>
          <w:rFonts w:ascii="Times New Roman" w:hAnsi="Times New Roman" w:eastAsia="Times New Roman" w:cs="Times New Roman"/>
          <w:lang w:val="en-US" w:bidi="en-US"/>
          <w:color w:val="111111"/>
          <w:sz w:val="28"/>
          <w:szCs w:val="28"/>
          <w:rtl/>
        </w:rPr>
        <w:t xml:space="preserve">masīhā fedeškū’īī, mohammad masīh ebn-e esmā‘īl</w:t>
      </w:r>
    </w:p>
    <w:p>
      <w:pPr>
        <w:pStyle w:val="BookText"/>
      </w:pPr>
      <w:r>
        <w:rPr>
          <w:rFonts w:ascii="Times New Roman" w:hAnsi="Times New Roman" w:eastAsia="Times New Roman" w:cs="Times New Roman"/>
          <w:lang w:val="en-US" w:bidi="en-US"/>
          <w:color w:val="111111"/>
          <w:sz w:val="28"/>
          <w:szCs w:val="28"/>
          <w:rtl/>
        </w:rPr>
        <w:t xml:space="preserve">(1628 - 1715)</w:t>
      </w:r>
    </w:p>
    <w:p>
      <w:pPr>
        <w:pStyle w:val="BookText"/>
      </w:pPr>
      <w:r>
        <w:rPr>
          <w:rFonts w:ascii="IRNazanin" w:hAnsi="IRNazanin" w:eastAsia="IRNazanin" w:cs="IRNazanin"/>
          <w:lang w:bidi="fa-IR"/>
          <w:color w:val="111111"/>
          <w:sz w:val="28"/>
          <w:szCs w:val="28"/>
          <w:rtl/>
        </w:rPr>
        <w:t xml:space="preserve">مشتمل بر «مقدمه» و پنج «فص» و «خاتمه»</w:t>
      </w:r>
    </w:p>
    <w:p>
      <w:pPr>
        <w:pStyle w:val="BookText"/>
      </w:pPr>
      <w:r>
        <w:rPr>
          <w:rFonts w:ascii="IRNazanin" w:hAnsi="IRNazanin" w:eastAsia="IRNazanin" w:cs="IRNazanin"/>
          <w:lang w:bidi="fa-IR"/>
          <w:color w:val="111111"/>
          <w:sz w:val="28"/>
          <w:szCs w:val="28"/>
          <w:rtl/>
        </w:rPr>
        <w:t xml:space="preserve">یزد؛ وزیری؛ شماره نسخه: ۳۱۳۰/۸</w:t>
      </w:r>
    </w:p>
    <w:p>
      <w:pPr>
        <w:pStyle w:val="BookText"/>
      </w:pPr>
      <w:r>
        <w:rPr>
          <w:rFonts w:ascii="IRNazanin" w:hAnsi="IRNazanin" w:eastAsia="IRNazanin" w:cs="IRNazanin"/>
          <w:lang w:bidi="fa-IR"/>
          <w:color w:val="111111"/>
          <w:sz w:val="28"/>
          <w:szCs w:val="28"/>
          <w:rtl/>
        </w:rPr>
        <w:t xml:space="preserve">كا: حاج سيد على محمد علاقبند یزدی، بی تا؛ اهدایی: وزیری مؤسس ؛کاغذ: فرنگی ،جلد: مقوایی با گالینگور سبز، ۲۳ص (۱۴۸-۱۲۶)، ۱۶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۵-۱۵۴۳]</w:t>
      </w:r>
    </w:p>
    <w:p>
      <w:pPr>
        <w:pStyle w:val="Heading3"/>
      </w:pPr>
      <w:bookmarkStart w:id="982" w:name="_Toc504"/>
      <w:r>
        <w:t>استحباب تعزیه اهل البیت و صفت تغلیظ یمین بر  کافر و مسلم / فقه</w:t>
      </w:r>
      <w:bookmarkEnd w:id="982"/>
    </w:p>
    <w:p>
      <w:pPr>
        <w:pStyle w:val="BookText"/>
      </w:pPr>
      <w:r>
        <w:rPr>
          <w:rFonts w:ascii="Times New Roman" w:hAnsi="Times New Roman" w:eastAsia="Times New Roman" w:cs="Times New Roman"/>
          <w:lang w:val="en-US" w:bidi="en-US"/>
          <w:color w:val="111111"/>
          <w:sz w:val="28"/>
          <w:szCs w:val="28"/>
          <w:rtl/>
        </w:rPr>
        <w:t xml:space="preserve">estehbāb-e taʼziye-ye ahl-ol-beyt va sefat-e taqlīz-e</w:t>
      </w:r>
    </w:p>
    <w:p>
      <w:pPr>
        <w:pStyle w:val="BookText"/>
      </w:pPr>
      <w:r>
        <w:rPr>
          <w:rFonts w:ascii="Times New Roman" w:hAnsi="Times New Roman" w:eastAsia="Times New Roman" w:cs="Times New Roman"/>
          <w:lang w:val="en-US" w:bidi="en-US"/>
          <w:color w:val="111111"/>
          <w:sz w:val="28"/>
          <w:szCs w:val="28"/>
          <w:rtl/>
        </w:rPr>
        <w:t xml:space="preserve">yamin bar kāfer va moslem</w:t>
      </w:r>
    </w:p>
    <w:p>
      <w:pPr>
        <w:pStyle w:val="BookText"/>
      </w:pPr>
      <w:r>
        <w:rPr>
          <w:rFonts w:ascii="IRNazanin" w:hAnsi="IRNazanin" w:eastAsia="IRNazanin" w:cs="IRNazanin"/>
          <w:lang w:bidi="fa-IR"/>
          <w:color w:val="111111"/>
          <w:sz w:val="28"/>
          <w:szCs w:val="28"/>
          <w:rtl/>
        </w:rPr>
        <w:t xml:space="preserve">تهران؛ ملک؛ شماره نسخه: ۳۰۱۱/۴</w:t>
      </w:r>
    </w:p>
    <w:p>
      <w:pPr>
        <w:pStyle w:val="BookText"/>
      </w:pPr>
      <w:r>
        <w:rPr>
          <w:rFonts w:ascii="IRNazanin" w:hAnsi="IRNazanin" w:eastAsia="IRNazanin" w:cs="IRNazanin"/>
          <w:lang w:bidi="fa-IR"/>
          <w:color w:val="111111"/>
          <w:sz w:val="28"/>
          <w:szCs w:val="28"/>
          <w:rtl/>
        </w:rPr>
        <w:t xml:space="preserve">خط: نسخ، بی کا، تا: قرن ۱۱ و ۱۲؛ ۳گ (۳۵پ - ۳۷ر) [ف: ۶ - ۱۸۹]</w:t>
      </w:r>
    </w:p>
    <w:p>
      <w:pPr>
        <w:pStyle w:val="Heading3"/>
      </w:pPr>
      <w:bookmarkStart w:id="983" w:name="_Toc505"/>
      <w:r>
        <w:t>استحباب حضور ولی و شاهد در نکاح دائم زن /  فقه / عربی</w:t>
      </w:r>
      <w:bookmarkEnd w:id="983"/>
    </w:p>
    <w:p>
      <w:pPr>
        <w:pStyle w:val="BookText"/>
      </w:pPr>
      <w:r>
        <w:rPr>
          <w:rFonts w:ascii="Times New Roman" w:hAnsi="Times New Roman" w:eastAsia="Times New Roman" w:cs="Times New Roman"/>
          <w:lang w:val="en-US" w:bidi="en-US"/>
          <w:color w:val="111111"/>
          <w:sz w:val="28"/>
          <w:szCs w:val="28"/>
          <w:rtl/>
        </w:rPr>
        <w:t xml:space="preserve">estehbab-e hozūr-e valī va šahed dar nekāh-e da'em-e</w:t>
      </w:r>
    </w:p>
    <w:p>
      <w:pPr>
        <w:pStyle w:val="BookText"/>
      </w:pPr>
      <w:r>
        <w:rPr>
          <w:rFonts w:ascii="Times New Roman" w:hAnsi="Times New Roman" w:eastAsia="Times New Roman" w:cs="Times New Roman"/>
          <w:lang w:val="en-US" w:bidi="en-US"/>
          <w:color w:val="111111"/>
          <w:sz w:val="28"/>
          <w:szCs w:val="28"/>
          <w:rtl/>
        </w:rPr>
        <w:t xml:space="preserve">zan</w:t>
      </w:r>
    </w:p>
    <w:p>
      <w:pPr>
        <w:pStyle w:val="BookText"/>
      </w:pPr>
      <w:r>
        <w:rPr>
          <w:rFonts w:ascii="IRNazanin" w:hAnsi="IRNazanin" w:eastAsia="IRNazanin" w:cs="IRNazanin"/>
          <w:lang w:bidi="fa-IR"/>
          <w:color w:val="111111"/>
          <w:sz w:val="28"/>
          <w:szCs w:val="28"/>
          <w:rtl/>
        </w:rPr>
        <w:t xml:space="preserve">شیخ بھائی، محمد بن حسین، ۹۵۳ - ۱۰۳۰ قمری</w:t>
      </w:r>
    </w:p>
    <w:p>
      <w:pPr>
        <w:pStyle w:val="BookText"/>
      </w:pPr>
      <w:r>
        <w:rPr>
          <w:rFonts w:ascii="Times New Roman" w:hAnsi="Times New Roman" w:eastAsia="Times New Roman" w:cs="Times New Roman"/>
          <w:lang w:val="en-US" w:bidi="en-US"/>
          <w:color w:val="111111"/>
          <w:sz w:val="28"/>
          <w:szCs w:val="28"/>
          <w:rtl/>
        </w:rPr>
        <w:t xml:space="preserve">(seyx-e baha'i, mohammad ebn-e hoseyn (1547 - 1621)</w:t>
      </w:r>
    </w:p>
    <w:p>
      <w:pPr>
        <w:pStyle w:val="BookText"/>
      </w:pPr>
      <w:r>
        <w:rPr>
          <w:rFonts w:ascii="IRNazanin" w:hAnsi="IRNazanin" w:eastAsia="IRNazanin" w:cs="IRNazanin"/>
          <w:lang w:bidi="fa-IR"/>
          <w:color w:val="111111"/>
          <w:sz w:val="28"/>
          <w:szCs w:val="28"/>
          <w:rtl/>
        </w:rPr>
        <w:t xml:space="preserve">تهران؛ مجلس؛ شماره نسخه: ۹۴۶۶/۲۳۹</w:t>
      </w:r>
    </w:p>
    <w:p>
      <w:pPr>
        <w:pStyle w:val="BookText"/>
      </w:pPr>
      <w:r>
        <w:rPr>
          <w:rFonts w:ascii="IRNazanin" w:hAnsi="IRNazanin" w:eastAsia="IRNazanin" w:cs="IRNazanin"/>
          <w:lang w:bidi="fa-IR"/>
          <w:color w:val="111111"/>
          <w:sz w:val="28"/>
          <w:szCs w:val="28"/>
          <w:rtl/>
        </w:rPr>
        <w:t xml:space="preserve">خط: نستعلیق، بی کا، تا: قرن ۱۱؛ ۱ص (۵۰۰) [ مختصر - ف: ۵۱]</w:t>
      </w:r>
    </w:p>
    <w:p>
      <w:pPr>
        <w:pStyle w:val="Heading3"/>
      </w:pPr>
      <w:bookmarkStart w:id="984" w:name="_Toc506"/>
      <w:r>
        <w:t>استحباب رفع اليدين حال القنوت في الصلوات  الخمس / فقه / عربي</w:t>
      </w:r>
      <w:bookmarkEnd w:id="984"/>
    </w:p>
    <w:p>
      <w:pPr>
        <w:pStyle w:val="BookText"/>
      </w:pPr>
      <w:r>
        <w:rPr>
          <w:rFonts w:ascii="Times New Roman" w:hAnsi="Times New Roman" w:eastAsia="Times New Roman" w:cs="Times New Roman"/>
          <w:lang w:val="en-US" w:bidi="en-US"/>
          <w:color w:val="111111"/>
          <w:sz w:val="28"/>
          <w:szCs w:val="28"/>
          <w:rtl/>
        </w:rPr>
        <w:t xml:space="preserve">istihbab-u_raf-il yadayn hal-al qunut fi-s Salawat-il</w:t>
      </w:r>
    </w:p>
    <w:p>
      <w:pPr>
        <w:pStyle w:val="BookText"/>
      </w:pPr>
      <w:r>
        <w:rPr>
          <w:rFonts w:ascii="Times New Roman" w:hAnsi="Times New Roman" w:eastAsia="Times New Roman" w:cs="Times New Roman"/>
          <w:lang w:val="en-US" w:bidi="en-US"/>
          <w:color w:val="111111"/>
          <w:sz w:val="28"/>
          <w:szCs w:val="28"/>
          <w:rtl/>
        </w:rPr>
        <w:t xml:space="preserve">xams</w:t>
      </w:r>
    </w:p>
    <w:p>
      <w:pPr>
        <w:pStyle w:val="BookText"/>
      </w:pPr>
      <w:r>
        <w:rPr>
          <w:rFonts w:ascii="IRNazanin" w:hAnsi="IRNazanin" w:eastAsia="IRNazanin" w:cs="IRNazanin"/>
          <w:lang w:bidi="fa-IR"/>
          <w:color w:val="111111"/>
          <w:sz w:val="28"/>
          <w:szCs w:val="28"/>
          <w:rtl/>
        </w:rPr>
        <w:t xml:space="preserve">خواجوئی، محمد اسماعیل بن حسین، – ۱۱۷۳ قمری</w:t>
      </w:r>
    </w:p>
    <w:p>
      <w:pPr>
        <w:pStyle w:val="BookText"/>
      </w:pPr>
      <w:r>
        <w:rPr>
          <w:rFonts w:ascii="Times New Roman" w:hAnsi="Times New Roman" w:eastAsia="Times New Roman" w:cs="Times New Roman"/>
          <w:lang w:val="en-US" w:bidi="en-US"/>
          <w:color w:val="111111"/>
          <w:sz w:val="28"/>
          <w:szCs w:val="28"/>
          <w:rtl/>
        </w:rPr>
        <w:t xml:space="preserve">(xājū❜ī, mohammad esmā īl ebn-e hoseyn (- 1760)</w:t>
      </w:r>
    </w:p>
    <w:p>
      <w:pPr>
        <w:pStyle w:val="BookText"/>
      </w:pPr>
      <w:r>
        <w:rPr>
          <w:rFonts w:ascii="IRNazanin" w:hAnsi="IRNazanin" w:eastAsia="IRNazanin" w:cs="IRNazanin"/>
          <w:lang w:bidi="fa-IR"/>
          <w:color w:val="111111"/>
          <w:sz w:val="28"/>
          <w:szCs w:val="28"/>
          <w:rtl/>
        </w:rPr>
        <w:t xml:space="preserve">یزد؛ وزیری؛ شماره نسخه: ۳۷۴۲/۳</w:t>
      </w:r>
    </w:p>
    <w:p>
      <w:pPr>
        <w:pStyle w:val="BookText"/>
      </w:pPr>
      <w:r>
        <w:rPr>
          <w:rFonts w:ascii="IRNazanin" w:hAnsi="IRNazanin" w:eastAsia="IRNazanin" w:cs="IRNazanin"/>
          <w:lang w:bidi="fa-IR"/>
          <w:color w:val="111111"/>
          <w:sz w:val="28"/>
          <w:szCs w:val="28"/>
          <w:rtl/>
        </w:rPr>
        <w:t xml:space="preserve">آغاز: بسمله الحمد لله الذى قنتت له القانتات و خضعت له القانتون</w:t>
      </w:r>
    </w:p>
    <w:p>
      <w:pPr>
        <w:pStyle w:val="BookText"/>
      </w:pPr>
      <w:r>
        <w:rPr>
          <w:rFonts w:ascii="IRNazanin" w:hAnsi="IRNazanin" w:eastAsia="IRNazanin" w:cs="IRNazanin"/>
          <w:lang w:bidi="fa-IR"/>
          <w:color w:val="111111"/>
          <w:sz w:val="28"/>
          <w:szCs w:val="28"/>
          <w:rtl/>
        </w:rPr>
        <w:t xml:space="preserve">خط: نستعلیق، کا: محمد اسمعیل بن محمد مهدی، تا: رجب ۱۳۷۰ق؛ كاغذ: اصفهانی آهار مهره، جلد: مقوایی روکش کاغذ قرمز عطف تیماج قرمز، ۱۰ص (۳۷-۴۶)،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۵ - ۱۷۷۸]</w:t>
      </w:r>
    </w:p>
    <w:p>
      <w:pPr>
        <w:pStyle w:val="Heading3"/>
      </w:pPr>
      <w:bookmarkStart w:id="985" w:name="_Toc507"/>
      <w:r>
        <w:t>استحباب شهادة على بن ابى طالب فی الاذان و  الاقامة / فقه / عربي</w:t>
      </w:r>
      <w:bookmarkEnd w:id="985"/>
    </w:p>
    <w:p>
      <w:pPr>
        <w:pStyle w:val="BookText"/>
      </w:pPr>
      <w:r>
        <w:rPr>
          <w:rFonts w:ascii="Times New Roman" w:hAnsi="Times New Roman" w:eastAsia="Times New Roman" w:cs="Times New Roman"/>
          <w:lang w:val="en-US" w:bidi="en-US"/>
          <w:color w:val="111111"/>
          <w:sz w:val="28"/>
          <w:szCs w:val="28"/>
          <w:rtl/>
        </w:rPr>
        <w:t xml:space="preserve">istiḥbāb-u šahādat-i 'alīyy-i-bn-i abī ṭālib fi-l-aḍān wa-</w:t>
      </w:r>
    </w:p>
    <w:p>
      <w:pPr>
        <w:pStyle w:val="BookText"/>
      </w:pPr>
      <w:r>
        <w:rPr>
          <w:rFonts w:ascii="Times New Roman" w:hAnsi="Times New Roman" w:eastAsia="Times New Roman" w:cs="Times New Roman"/>
          <w:lang w:val="en-US" w:bidi="en-US"/>
          <w:color w:val="111111"/>
          <w:sz w:val="28"/>
          <w:szCs w:val="28"/>
          <w:rtl/>
        </w:rPr>
        <w:t xml:space="preserve">l-iqama</w:t>
      </w:r>
    </w:p>
    <w:p>
      <w:pPr>
        <w:pStyle w:val="BookText"/>
      </w:pPr>
      <w:r>
        <w:rPr>
          <w:rFonts w:ascii="IRNazanin" w:hAnsi="IRNazanin" w:eastAsia="IRNazanin" w:cs="IRNazanin"/>
          <w:lang w:bidi="fa-IR"/>
          <w:color w:val="111111"/>
          <w:sz w:val="28"/>
          <w:szCs w:val="28"/>
          <w:rtl/>
        </w:rPr>
        <w:t xml:space="preserve">حسینی، محمد مؤمن بن محمد هاشم</w:t>
      </w:r>
    </w:p>
    <w:p>
      <w:pPr>
        <w:pStyle w:val="BookText"/>
      </w:pPr>
      <w:r>
        <w:rPr>
          <w:rFonts w:ascii="Times New Roman" w:hAnsi="Times New Roman" w:eastAsia="Times New Roman" w:cs="Times New Roman"/>
          <w:lang w:val="en-US" w:bidi="en-US"/>
          <w:color w:val="111111"/>
          <w:sz w:val="28"/>
          <w:szCs w:val="28"/>
          <w:rtl/>
        </w:rPr>
        <w:t xml:space="preserve">hoseynī, mohammad mo'men ebn-e mohammad hašem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47" w:name="pg20365_260226"/>
    <w:bookmarkEnd w:id="147"/>
    <w:p>
      <w:pPr>
        <w:pStyle w:val="BookText"/>
      </w:pPr>
      <w:r>
        <w:rPr>
          <w:rFonts w:ascii="IRNazanin" w:hAnsi="IRNazanin" w:eastAsia="IRNazanin" w:cs="IRNazanin"/>
          <w:lang w:bidi="fa-IR"/>
          <w:color w:val="111111"/>
          <w:sz w:val="28"/>
          <w:szCs w:val="28"/>
          <w:rtl/>
        </w:rPr>
        <w:t xml:space="preserve">تهران؛ دانشگاه؛ شماره نسخه: ۲۶۰۳/۳</w:t>
      </w:r>
    </w:p>
    <w:p>
      <w:pPr>
        <w:pStyle w:val="BookText"/>
      </w:pPr>
      <w:r>
        <w:rPr>
          <w:rFonts w:ascii="IRNazanin" w:hAnsi="IRNazanin" w:eastAsia="IRNazanin" w:cs="IRNazanin"/>
          <w:lang w:bidi="fa-IR"/>
          <w:color w:val="111111"/>
          <w:sz w:val="28"/>
          <w:szCs w:val="28"/>
          <w:rtl/>
        </w:rPr>
        <w:t xml:space="preserve">آغاز: بسمله. حمدله ... بعد فيقول ... محمد مؤمن بن محمد هاشم الحسينى ... انى لما رايت اكثر الناس يتركون الشهادة؛ انجام: فـهذا آخر ما قصدنا ایراده و الحمد لله رب العالمين وصلى الله علی محمد و آله الطاهرين</w:t>
      </w:r>
    </w:p>
    <w:p>
      <w:pPr>
        <w:pStyle w:val="BookText"/>
      </w:pPr>
      <w:r>
        <w:rPr>
          <w:rFonts w:ascii="IRNazanin" w:hAnsi="IRNazanin" w:eastAsia="IRNazanin" w:cs="IRNazanin"/>
          <w:lang w:bidi="fa-IR"/>
          <w:color w:val="111111"/>
          <w:sz w:val="28"/>
          <w:szCs w:val="28"/>
          <w:rtl/>
        </w:rPr>
        <w:t xml:space="preserve">خط: نسخ و نستعلیق، کا: محمد صادق بن فضلعلی، بی تا؛ کاغذ: سپاهانی، جلد: تیماج مشکی مقوایی درون سرخ، 8ص( ۴۳- 50) ،26سطر (7</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۹ - ۱۴۵۷]</w:t>
      </w:r>
    </w:p>
    <w:p>
      <w:pPr>
        <w:pStyle w:val="Heading3"/>
      </w:pPr>
      <w:bookmarkStart w:id="986" w:name="_Toc508"/>
      <w:r>
        <w:t>استحباب مزاح / فقه / فارسی</w:t>
      </w:r>
      <w:bookmarkEnd w:id="986"/>
    </w:p>
    <w:p>
      <w:pPr>
        <w:pStyle w:val="BookText"/>
      </w:pPr>
      <w:r>
        <w:rPr>
          <w:rFonts w:ascii="Times New Roman" w:hAnsi="Times New Roman" w:eastAsia="Times New Roman" w:cs="Times New Roman"/>
          <w:lang w:val="en-US" w:bidi="en-US"/>
          <w:color w:val="111111"/>
          <w:sz w:val="28"/>
          <w:szCs w:val="28"/>
          <w:rtl/>
        </w:rPr>
        <w:t xml:space="preserve">estehbāb-e mezāh</w:t>
      </w:r>
    </w:p>
    <w:p>
      <w:pPr>
        <w:pStyle w:val="BookText"/>
      </w:pPr>
      <w:r>
        <w:rPr>
          <w:rFonts w:ascii="IRNazanin" w:hAnsi="IRNazanin" w:eastAsia="IRNazanin" w:cs="IRNazanin"/>
          <w:lang w:bidi="fa-IR"/>
          <w:color w:val="111111"/>
          <w:sz w:val="28"/>
          <w:szCs w:val="28"/>
          <w:rtl/>
        </w:rPr>
        <w:t xml:space="preserve">خوانسار؛ فاضل؛ شماره نسخه: ۲۰۴/۱۵</w:t>
      </w:r>
    </w:p>
    <w:p>
      <w:pPr>
        <w:pStyle w:val="BookText"/>
      </w:pPr>
      <w:r>
        <w:rPr>
          <w:rFonts w:ascii="IRNazanin" w:hAnsi="IRNazanin" w:eastAsia="IRNazanin" w:cs="IRNazanin"/>
          <w:lang w:bidi="fa-IR"/>
          <w:color w:val="111111"/>
          <w:sz w:val="28"/>
          <w:szCs w:val="28"/>
          <w:rtl/>
        </w:rPr>
        <w:t xml:space="preserve">خط: نسخ و نستعلیق، بی کا، تا: رجب ۱۲۳۳ق، جا: اصفهان؛ کاغذ: آهار مهره؛ جلد: تیماج مشکی ضربی، عطف تیماج مشکـی،اندازه: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 - ۱۵۵]</w:t>
      </w:r>
    </w:p>
    <w:p>
      <w:pPr>
        <w:pStyle w:val="Heading3"/>
      </w:pPr>
      <w:bookmarkStart w:id="987" w:name="_Toc509"/>
      <w:r>
        <w:t>الاستحسان / حديث</w:t>
      </w:r>
      <w:bookmarkEnd w:id="987"/>
    </w:p>
    <w:p>
      <w:pPr>
        <w:pStyle w:val="BookText"/>
      </w:pPr>
      <w:r>
        <w:rPr>
          <w:rFonts w:ascii="Times New Roman" w:hAnsi="Times New Roman" w:eastAsia="Times New Roman" w:cs="Times New Roman"/>
          <w:lang w:val="en-US" w:bidi="en-US"/>
          <w:color w:val="111111"/>
          <w:sz w:val="28"/>
          <w:szCs w:val="28"/>
          <w:rtl/>
        </w:rPr>
        <w:t xml:space="preserve">al-estehsān</w:t>
      </w:r>
    </w:p>
    <w:p>
      <w:pPr>
        <w:pStyle w:val="BookText"/>
      </w:pPr>
      <w:r>
        <w:rPr>
          <w:rFonts w:ascii="IRNazanin" w:hAnsi="IRNazanin" w:eastAsia="IRNazanin" w:cs="IRNazanin"/>
          <w:lang w:bidi="fa-IR"/>
          <w:color w:val="111111"/>
          <w:sz w:val="28"/>
          <w:szCs w:val="28"/>
          <w:rtl/>
        </w:rPr>
        <w:t xml:space="preserve">در چند باب در پاکی و نماز و همه حدیث نبوی است.</w:t>
      </w:r>
    </w:p>
    <w:p>
      <w:pPr>
        <w:pStyle w:val="BookText"/>
      </w:pPr>
      <w:r>
        <w:rPr>
          <w:rFonts w:ascii="IRNazanin" w:hAnsi="IRNazanin" w:eastAsia="IRNazanin" w:cs="IRNazanin"/>
          <w:lang w:bidi="fa-IR"/>
          <w:color w:val="111111"/>
          <w:sz w:val="28"/>
          <w:szCs w:val="28"/>
          <w:rtl/>
        </w:rPr>
        <w:t xml:space="preserve">تهران؛ دانشگاه؛ شماره نسخه: ۷۶۹۹/۹</w:t>
      </w:r>
    </w:p>
    <w:p>
      <w:pPr>
        <w:pStyle w:val="BookText"/>
      </w:pPr>
      <w:r>
        <w:rPr>
          <w:rFonts w:ascii="IRNazanin" w:hAnsi="IRNazanin" w:eastAsia="IRNazanin" w:cs="IRNazanin"/>
          <w:lang w:bidi="fa-IR"/>
          <w:color w:val="111111"/>
          <w:sz w:val="28"/>
          <w:szCs w:val="28"/>
          <w:rtl/>
        </w:rPr>
        <w:t xml:space="preserve">خط: نستعلیق، بی کا، تا: ۱۲۱۲ق؛ کاغذ ،فرنگی ،جلد: تیماج  تریاکی، ۱۷ سطر (7</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 ۱۶ - ۶۷۷]</w:t>
      </w:r>
    </w:p>
    <w:p>
      <w:pPr>
        <w:pStyle w:val="Heading3"/>
      </w:pPr>
      <w:bookmarkStart w:id="988" w:name="_Toc510"/>
      <w:r>
        <w:t>استحضار الارواح / علوم غریبه / عربی</w:t>
      </w:r>
      <w:bookmarkEnd w:id="988"/>
    </w:p>
    <w:p>
      <w:pPr>
        <w:pStyle w:val="BookText"/>
      </w:pPr>
      <w:r>
        <w:rPr>
          <w:rFonts w:ascii="Times New Roman" w:hAnsi="Times New Roman" w:eastAsia="Times New Roman" w:cs="Times New Roman"/>
          <w:lang w:val="en-US" w:bidi="en-US"/>
          <w:color w:val="111111"/>
          <w:sz w:val="28"/>
          <w:szCs w:val="28"/>
          <w:rtl/>
        </w:rPr>
        <w:t xml:space="preserve">istihzār-ul-arvāh</w:t>
      </w:r>
    </w:p>
    <w:p>
      <w:pPr>
        <w:pStyle w:val="BookText"/>
      </w:pPr>
      <w:r>
        <w:rPr>
          <w:rFonts w:ascii="IRNazanin" w:hAnsi="IRNazanin" w:eastAsia="IRNazanin" w:cs="IRNazanin"/>
          <w:lang w:bidi="fa-IR"/>
          <w:color w:val="111111"/>
          <w:sz w:val="28"/>
          <w:szCs w:val="28"/>
          <w:rtl/>
        </w:rPr>
        <w:t xml:space="preserve">کندی، یعقوب بن اسحاق، ۱۸۵ - ۲۵۲ ؟ قمری</w:t>
      </w:r>
    </w:p>
    <w:p>
      <w:pPr>
        <w:pStyle w:val="BookText"/>
      </w:pPr>
      <w:r>
        <w:rPr>
          <w:rFonts w:ascii="Times New Roman" w:hAnsi="Times New Roman" w:eastAsia="Times New Roman" w:cs="Times New Roman"/>
          <w:lang w:val="en-US" w:bidi="en-US"/>
          <w:color w:val="111111"/>
          <w:sz w:val="28"/>
          <w:szCs w:val="28"/>
          <w:rtl/>
        </w:rPr>
        <w:t xml:space="preserve">(kendī, ya‘qūb ebn-e eshāq (802 - 867)</w:t>
      </w:r>
    </w:p>
    <w:p>
      <w:pPr>
        <w:pStyle w:val="BookText"/>
      </w:pPr>
      <w:r>
        <w:rPr>
          <w:rFonts w:ascii="IRNazanin" w:hAnsi="IRNazanin" w:eastAsia="IRNazanin" w:cs="IRNazanin"/>
          <w:lang w:bidi="fa-IR"/>
          <w:color w:val="111111"/>
          <w:sz w:val="28"/>
          <w:szCs w:val="28"/>
          <w:rtl/>
        </w:rPr>
        <w:t xml:space="preserve">مختصری است در چگونگی احضار ارواح، برگرفته شده رساله ابرخس بن فرطس رومی و نگاشته شده جهت برادری.</w:t>
      </w:r>
    </w:p>
    <w:p>
      <w:pPr>
        <w:pStyle w:val="BookText"/>
      </w:pPr>
      <w:r>
        <w:rPr>
          <w:rFonts w:ascii="IRNazanin" w:hAnsi="IRNazanin" w:eastAsia="IRNazanin" w:cs="IRNazanin"/>
          <w:lang w:bidi="fa-IR"/>
          <w:color w:val="111111"/>
          <w:sz w:val="28"/>
          <w:szCs w:val="28"/>
          <w:rtl/>
        </w:rPr>
        <w:t xml:space="preserve">قم؛ مرکز احیاء؛ شماره نسخه: ۲۲۶۰</w:t>
      </w:r>
    </w:p>
    <w:p>
      <w:pPr>
        <w:pStyle w:val="BookText"/>
      </w:pPr>
      <w:r>
        <w:rPr>
          <w:rFonts w:ascii="Amiri" w:hAnsi="Amiri" w:eastAsia="Amiri" w:cs="Amiri"/>
          <w:lang w:bidi="ar-SA"/>
          <w:color w:val="111111"/>
          <w:sz w:val="28"/>
          <w:szCs w:val="28"/>
          <w:rtl/>
        </w:rPr>
        <w:t xml:space="preserve">آغاز: الحمد لله رب العالمين ... اعلم ايها الاخ الصالح وفقك  الله للسداد...   انى لما رايت القدماء في هذا العلم اطالوا</w:t>
      </w:r>
    </w:p>
    <w:p>
      <w:pPr>
        <w:pStyle w:val="BookText"/>
      </w:pPr>
      <w:r>
        <w:rPr>
          <w:rFonts w:ascii="IRNazanin" w:hAnsi="IRNazanin" w:eastAsia="IRNazanin" w:cs="IRNazanin"/>
          <w:lang w:bidi="fa-IR"/>
          <w:color w:val="111111"/>
          <w:sz w:val="28"/>
          <w:szCs w:val="28"/>
          <w:rtl/>
        </w:rPr>
        <w:t xml:space="preserve">نسخه اصل: کتابخانه ای در عراق؛ خط: نسخ  نازیبا، بی کا، تا:  قرن ۱۳؛ روی برگ اول نام کتاب و مؤلف آمده است؛ ۶ ص [عكـسی  ف: ۶ - ۳۰۵]</w:t>
      </w:r>
    </w:p>
    <w:p>
      <w:pPr>
        <w:pStyle w:val="Heading3"/>
      </w:pPr>
      <w:bookmarkStart w:id="989" w:name="_Toc511"/>
      <w:r>
        <w:t>استحقاق الهاشمى بالام للخمس / فقه / عربي</w:t>
      </w:r>
      <w:bookmarkEnd w:id="989"/>
    </w:p>
    <w:p>
      <w:pPr>
        <w:pStyle w:val="BookText"/>
      </w:pPr>
      <w:r>
        <w:rPr>
          <w:rFonts w:ascii="Times New Roman" w:hAnsi="Times New Roman" w:eastAsia="Times New Roman" w:cs="Times New Roman"/>
          <w:lang w:val="en-US" w:bidi="en-US"/>
          <w:color w:val="111111"/>
          <w:sz w:val="28"/>
          <w:szCs w:val="28"/>
          <w:rtl/>
        </w:rPr>
        <w:t xml:space="preserve">istiḥqāq-ul-hāšimī bi-l-umm li-l-xums</w:t>
      </w:r>
    </w:p>
    <w:p>
      <w:pPr>
        <w:pStyle w:val="BookText"/>
      </w:pPr>
      <w:r>
        <w:rPr>
          <w:rFonts w:ascii="IRNazanin" w:hAnsi="IRNazanin" w:eastAsia="IRNazanin" w:cs="IRNazanin"/>
          <w:lang w:bidi="fa-IR"/>
          <w:color w:val="111111"/>
          <w:sz w:val="28"/>
          <w:szCs w:val="28"/>
          <w:rtl/>
        </w:rPr>
        <w:t xml:space="preserve">شریف هاشمی  شیرازی، احمد بن علی محمد، ق 14  قمری</w:t>
      </w:r>
    </w:p>
    <w:p>
      <w:pPr>
        <w:pStyle w:val="BookText"/>
      </w:pPr>
      <w:r>
        <w:rPr>
          <w:rFonts w:ascii="Times New Roman" w:hAnsi="Times New Roman" w:eastAsia="Times New Roman" w:cs="Times New Roman"/>
          <w:lang w:val="en-US" w:bidi="en-US"/>
          <w:color w:val="111111"/>
          <w:sz w:val="28"/>
          <w:szCs w:val="28"/>
          <w:rtl/>
        </w:rPr>
        <w:t xml:space="preserve">šarīf-e hāšemī šīrāzī, ahmad ebn-e ‘alī mohammad (-</w:t>
      </w:r>
    </w:p>
    <w:p>
      <w:pPr>
        <w:pStyle w:val="BookText"/>
      </w:pPr>
      <w:r>
        <w:rPr>
          <w:rFonts w:ascii="Times New Roman" w:hAnsi="Times New Roman" w:eastAsia="Times New Roman" w:cs="Times New Roman"/>
          <w:lang w:val="en-US" w:bidi="en-US"/>
          <w:color w:val="111111"/>
          <w:sz w:val="28"/>
          <w:szCs w:val="28"/>
          <w:rtl/>
        </w:rPr>
        <w:t xml:space="preserve">(20c-)</w:t>
      </w:r>
    </w:p>
    <w:p>
      <w:pPr>
        <w:pStyle w:val="BookText"/>
      </w:pPr>
      <w:r>
        <w:rPr>
          <w:rFonts w:ascii="IRNazanin" w:hAnsi="IRNazanin" w:eastAsia="IRNazanin" w:cs="IRNazanin"/>
          <w:lang w:bidi="fa-IR"/>
          <w:color w:val="111111"/>
          <w:sz w:val="28"/>
          <w:szCs w:val="28"/>
          <w:rtl/>
        </w:rPr>
        <w:t xml:space="preserve">رساله مبسوطی است در خمس و این که اگر فردی از طریق مادر هاشمی  است، استحقاق خمس دارد، همچون سایر سادات. وی برای اثبات ادعای خود از آیات و روایات و نظریات فقيهان شیعه بهره جسته است. از عبارت ترقیمه مؤلف استفاده می شود که وی در سامرا بوده و ظاهراً از محضر درس میرزای شیرازی (م۱۳۱۲ق) استفاده نموده است ولی از او در منابع نامی برده  نشده است.</w:t>
      </w:r>
    </w:p>
    <w:p>
      <w:pPr>
        <w:pStyle w:val="BookText"/>
      </w:pPr>
      <w:r>
        <w:rPr>
          <w:rFonts w:ascii="IRNazanin" w:hAnsi="IRNazanin" w:eastAsia="IRNazanin" w:cs="IRNazanin"/>
          <w:lang w:bidi="fa-IR"/>
          <w:color w:val="111111"/>
          <w:sz w:val="28"/>
          <w:szCs w:val="28"/>
          <w:rtl/>
        </w:rPr>
        <w:t xml:space="preserve">قم؛ مرعشی؛ شماره نسخه: ۱۴۶۹۴</w:t>
      </w:r>
    </w:p>
    <w:p>
      <w:pPr>
        <w:pStyle w:val="BookText"/>
      </w:pPr>
      <w:r>
        <w:rPr>
          <w:rFonts w:ascii="IRNazanin" w:hAnsi="IRNazanin" w:eastAsia="IRNazanin" w:cs="IRNazanin"/>
          <w:lang w:bidi="fa-IR"/>
          <w:color w:val="111111"/>
          <w:sz w:val="28"/>
          <w:szCs w:val="28"/>
          <w:rtl/>
        </w:rPr>
        <w:t xml:space="preserve">آغاز: بسمله الحق الذى لا يعتريه ريب و لا ياتيه الباطل من بين يديه و لا من خلفه، هو استحقاق المنتسب الى هاشم (علیه السّلام) بالام للخمس، ولابد قبل الخوض فى الادلةالاجتهادية و الاصول اللفظية، من بيان الاصل العملی؛ انجام: و الحال انهم رعايا ذريته الطاهرة، فكيف الظن برسول الله (صلّی اللَّهِ علیه وَ آلِهِ وَ سَلَّمَ ) بالنسبة الى ذريته فاذا كانت ذريته الطاهرة منزهين عن الصدقة مرتفعين عن الزكاة، فلا محالة يكون لهم الخمس، بلا شبهة و من المعلوم ان ذريته (صلّی اللَّهِ علیه وَ آلِهِ وَ سَلَّمَ ) ليست منسوبة اليه الا بلام</w:t>
      </w:r>
    </w:p>
    <w:p>
      <w:pPr>
        <w:pStyle w:val="BookText"/>
      </w:pPr>
      <w:r>
        <w:rPr>
          <w:rFonts w:ascii="IRNazanin" w:hAnsi="IRNazanin" w:eastAsia="IRNazanin" w:cs="IRNazanin"/>
          <w:lang w:bidi="fa-IR"/>
          <w:color w:val="111111"/>
          <w:sz w:val="28"/>
          <w:szCs w:val="28"/>
          <w:rtl/>
        </w:rPr>
        <w:t xml:space="preserve">خط: شکسته، نستعلیق، كاتب - مؤلف، تا: رمضان ۱۳۲۲ق، جا: نجف اشرف؛ مصحح، محشی، ترقیمه: «و قد فرغ من تصنيفه و ، ترصيفه الاحقر الافقر ابن على محمد الشريف ابن محمد حسین الشريف ابن الحاج محمد احمد الشريف بالانتساب الى الدوحة الهاشمية و الشجرة السلطنة الاحمدية التي، اصلها ثابت و فرعها في السماء و الشجرة المباركة، الذريته العلوية التي لا شرقية ولا غربية، الشيرازى المولد و المنشاء و العسكرى المهاجر و الغروى الموطن والمدفن، ان شاء الله فى النجف الاشرف، روحي لمشرفه الفداء، فى اليوم السابع و العشرين من شهر رمضان المبارک من سنة ١٣٢٢هـ ....»؛ کاغذ: فرنگی، جلد: مشمع قهوه ای، ۱۷گ، ۲۰ سطر (8</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اندازه: ۱۶/۵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۲۲/۵سم [ف: ۳۷ -۲۰۳]</w:t>
      </w:r>
    </w:p>
    <w:p>
      <w:pPr>
        <w:pStyle w:val="Heading3"/>
      </w:pPr>
      <w:bookmarkStart w:id="990" w:name="_Toc512"/>
      <w:r>
        <w:t>استحکام / فقه / فارسی</w:t>
      </w:r>
      <w:bookmarkEnd w:id="990"/>
    </w:p>
    <w:p>
      <w:pPr>
        <w:pStyle w:val="BookText"/>
      </w:pPr>
      <w:r>
        <w:rPr>
          <w:rFonts w:ascii="Times New Roman" w:hAnsi="Times New Roman" w:eastAsia="Times New Roman" w:cs="Times New Roman"/>
          <w:lang w:val="en-US" w:bidi="en-US"/>
          <w:color w:val="111111"/>
          <w:sz w:val="28"/>
          <w:szCs w:val="28"/>
          <w:rtl/>
        </w:rPr>
        <w:t xml:space="preserve">estehkām</w:t>
      </w:r>
    </w:p>
    <w:p>
      <w:pPr>
        <w:pStyle w:val="BookText"/>
      </w:pPr>
      <w:r>
        <w:rPr>
          <w:rFonts w:ascii="IRNazanin" w:hAnsi="IRNazanin" w:eastAsia="IRNazanin" w:cs="IRNazanin"/>
          <w:lang w:bidi="fa-IR"/>
          <w:color w:val="111111"/>
          <w:sz w:val="28"/>
          <w:szCs w:val="28"/>
          <w:rtl/>
        </w:rPr>
        <w:t xml:space="preserve">استرآبادی، محمد مهدی بن محمد شفیع،-  1259قمری</w:t>
      </w:r>
    </w:p>
    <w:p>
      <w:pPr>
        <w:pStyle w:val="BookText"/>
      </w:pPr>
      <w:r>
        <w:rPr>
          <w:rFonts w:ascii="Times New Roman" w:hAnsi="Times New Roman" w:eastAsia="Times New Roman" w:cs="Times New Roman"/>
          <w:lang w:val="en-US" w:bidi="en-US"/>
          <w:color w:val="111111"/>
          <w:sz w:val="28"/>
          <w:szCs w:val="28"/>
          <w:rtl/>
        </w:rPr>
        <w:t xml:space="preserve">estarābādī, mohammad mahdī ebn-e mohammad šafi</w:t>
      </w:r>
    </w:p>
    <w:p>
      <w:pPr>
        <w:pStyle w:val="BookText"/>
      </w:pPr>
      <w:r>
        <w:rPr>
          <w:rFonts w:ascii="Times New Roman" w:hAnsi="Times New Roman" w:eastAsia="Times New Roman" w:cs="Times New Roman"/>
          <w:lang w:val="en-US" w:bidi="en-US"/>
          <w:color w:val="111111"/>
          <w:sz w:val="28"/>
          <w:szCs w:val="28"/>
          <w:rtl/>
        </w:rPr>
        <w:t xml:space="preserve">(- 1843)</w:t>
      </w:r>
    </w:p>
    <w:p>
      <w:pPr>
        <w:pStyle w:val="BookText"/>
      </w:pPr>
      <w:r>
        <w:rPr>
          <w:rFonts w:ascii="IRNazanin" w:hAnsi="IRNazanin" w:eastAsia="IRNazanin" w:cs="IRNazanin"/>
          <w:lang w:bidi="fa-IR"/>
          <w:color w:val="111111"/>
          <w:sz w:val="28"/>
          <w:szCs w:val="28"/>
          <w:rtl/>
        </w:rPr>
        <w:t xml:space="preserve">رساله کوتاهی در مسائل و احکام صوم مشتمل بر چهارده  «فصل»</w:t>
      </w:r>
    </w:p>
    <w:p>
      <w:pPr>
        <w:pStyle w:val="BookText"/>
      </w:pPr>
      <w:r>
        <w:rPr>
          <w:rFonts w:ascii="IRNazanin" w:hAnsi="IRNazanin" w:eastAsia="IRNazanin" w:cs="IRNazanin"/>
          <w:lang w:bidi="fa-IR"/>
          <w:color w:val="111111"/>
          <w:sz w:val="28"/>
          <w:szCs w:val="28"/>
          <w:rtl/>
        </w:rPr>
        <w:t xml:space="preserve">قم؛ مرکز مطالعات؛ شماره نسخه: ۸۸۹/۲</w:t>
      </w:r>
    </w:p>
    <w:p>
      <w:pPr>
        <w:pStyle w:val="BookText"/>
      </w:pPr>
      <w:r>
        <w:rPr>
          <w:rFonts w:ascii="IRNazanin" w:hAnsi="IRNazanin" w:eastAsia="IRNazanin" w:cs="IRNazanin"/>
          <w:lang w:bidi="fa-IR"/>
          <w:color w:val="111111"/>
          <w:sz w:val="28"/>
          <w:szCs w:val="28"/>
          <w:rtl/>
        </w:rPr>
        <w:t xml:space="preserve">آغاز: الحمد الله الذى جعل الصوم جنة من النار، والصلاة ... اما بعد چنین گوید بنده حقیر معترف بقصور و تقصیر؛ انجام: الحمد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48" w:name="pg20365_260227"/>
    <w:bookmarkEnd w:id="148"/>
    <w:p>
      <w:pPr>
        <w:pStyle w:val="BookText"/>
      </w:pPr>
      <w:r>
        <w:rPr>
          <w:rFonts w:ascii="Amiri" w:hAnsi="Amiri" w:eastAsia="Amiri" w:cs="Amiri"/>
          <w:lang w:bidi="ar-SA"/>
          <w:color w:val="111111"/>
          <w:sz w:val="28"/>
          <w:szCs w:val="28"/>
          <w:rtl/>
        </w:rPr>
        <w:t xml:space="preserve">الله على الاختتام والصلاة على محمد و آله الكرام تمت.</w:t>
      </w:r>
    </w:p>
    <w:p>
      <w:pPr>
        <w:pStyle w:val="BookText"/>
      </w:pPr>
      <w:r>
        <w:rPr>
          <w:rFonts w:ascii="IRNazanin" w:hAnsi="IRNazanin" w:eastAsia="IRNazanin" w:cs="IRNazanin"/>
          <w:lang w:bidi="fa-IR"/>
          <w:color w:val="111111"/>
          <w:sz w:val="28"/>
          <w:szCs w:val="28"/>
          <w:rtl/>
        </w:rPr>
        <w:t xml:space="preserve">خط: نستعلیق، کا: غلام علی  ملا، تا: پنج شنبه ۱۶ شعبان ۱۲۴۵ ق،جلد: تيماج قهوه ای عطف  پارچه، ۳۴گ (42پ-۷۵پ)، 11سطر،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۲ - ۱۵۴]</w:t>
      </w:r>
    </w:p>
    <w:p>
      <w:pPr>
        <w:pStyle w:val="BookText"/>
      </w:pPr>
      <w:r>
        <w:rPr>
          <w:rFonts w:ascii="Amiri" w:hAnsi="Amiri" w:eastAsia="Amiri" w:cs="Amiri"/>
          <w:lang w:bidi="ar-SA"/>
          <w:color w:val="111111"/>
          <w:sz w:val="28"/>
          <w:szCs w:val="28"/>
          <w:rtl/>
        </w:rPr>
        <w:t xml:space="preserve">«الاستخارة » ارشاد المستبصر</w:t>
      </w:r>
    </w:p>
    <w:p>
      <w:pPr>
        <w:pStyle w:val="Heading3"/>
      </w:pPr>
      <w:bookmarkStart w:id="991" w:name="_Toc513"/>
      <w:r>
        <w:t>الاستخارة / استخاره / عربی</w:t>
      </w:r>
      <w:bookmarkEnd w:id="991"/>
    </w:p>
    <w:p>
      <w:pPr>
        <w:pStyle w:val="BookText"/>
      </w:pPr>
      <w:r>
        <w:rPr>
          <w:rFonts w:ascii="Times New Roman" w:hAnsi="Times New Roman" w:eastAsia="Times New Roman" w:cs="Times New Roman"/>
          <w:lang w:val="en-US" w:bidi="en-US"/>
          <w:color w:val="111111"/>
          <w:sz w:val="28"/>
          <w:szCs w:val="28"/>
          <w:rtl/>
        </w:rPr>
        <w:t xml:space="preserve">al-istixāra</w:t>
      </w:r>
    </w:p>
    <w:p>
      <w:pPr>
        <w:pStyle w:val="BookText"/>
      </w:pPr>
      <w:r>
        <w:rPr>
          <w:rFonts w:ascii="IRNazanin" w:hAnsi="IRNazanin" w:eastAsia="IRNazanin" w:cs="IRNazanin"/>
          <w:lang w:bidi="fa-IR"/>
          <w:color w:val="111111"/>
          <w:sz w:val="28"/>
          <w:szCs w:val="28"/>
          <w:rtl/>
        </w:rPr>
        <w:t xml:space="preserve">ابن طاوس، على بن موسى، ۵۸۹ - ۶۶۴ قمری</w:t>
      </w:r>
    </w:p>
    <w:p>
      <w:pPr>
        <w:pStyle w:val="BookText"/>
      </w:pPr>
      <w:r>
        <w:rPr>
          <w:rFonts w:ascii="Times New Roman" w:hAnsi="Times New Roman" w:eastAsia="Times New Roman" w:cs="Times New Roman"/>
          <w:lang w:val="en-US" w:bidi="en-US"/>
          <w:color w:val="111111"/>
          <w:sz w:val="28"/>
          <w:szCs w:val="28"/>
          <w:rtl/>
        </w:rPr>
        <w:t xml:space="preserve">(ebn-e tāvūs, ‘alī ebn-e mūsā (1194 - 1266)</w:t>
      </w:r>
    </w:p>
    <w:p>
      <w:pPr>
        <w:pStyle w:val="BookText"/>
      </w:pPr>
      <w:r>
        <w:rPr>
          <w:rFonts w:ascii="IRNazanin" w:hAnsi="IRNazanin" w:eastAsia="IRNazanin" w:cs="IRNazanin"/>
          <w:lang w:bidi="fa-IR"/>
          <w:color w:val="111111"/>
          <w:sz w:val="28"/>
          <w:szCs w:val="28"/>
          <w:rtl/>
        </w:rPr>
        <w:t xml:space="preserve">تهران؛ ملک؛ شماره نسخه: ۶۰۴/۶۸</w:t>
      </w:r>
    </w:p>
    <w:p>
      <w:pPr>
        <w:pStyle w:val="BookText"/>
      </w:pPr>
      <w:r>
        <w:rPr>
          <w:rFonts w:ascii="IRNazanin" w:hAnsi="IRNazanin" w:eastAsia="IRNazanin" w:cs="IRNazanin"/>
          <w:lang w:bidi="fa-IR"/>
          <w:color w:val="111111"/>
          <w:sz w:val="28"/>
          <w:szCs w:val="28"/>
          <w:rtl/>
        </w:rPr>
        <w:t xml:space="preserve">بندی از آن؛ خط: نسخ، کا: شمس الدين محمد بن علی بن حسن جباعی، تا: قرن ۹ [ف: ۵ - ۱۱۰]</w:t>
      </w:r>
    </w:p>
    <w:p>
      <w:pPr>
        <w:pStyle w:val="Heading3"/>
      </w:pPr>
      <w:bookmarkStart w:id="992" w:name="_Toc514"/>
      <w:r>
        <w:t>الاستخارة / استخاره / عربي</w:t>
      </w:r>
      <w:bookmarkEnd w:id="992"/>
    </w:p>
    <w:p>
      <w:pPr>
        <w:pStyle w:val="BookText"/>
      </w:pPr>
      <w:r>
        <w:rPr>
          <w:rFonts w:ascii="Times New Roman" w:hAnsi="Times New Roman" w:eastAsia="Times New Roman" w:cs="Times New Roman"/>
          <w:lang w:val="en-US" w:bidi="en-US"/>
          <w:color w:val="111111"/>
          <w:sz w:val="28"/>
          <w:szCs w:val="28"/>
          <w:rtl/>
        </w:rPr>
        <w:t xml:space="preserve">al-istixāra</w:t>
      </w:r>
    </w:p>
    <w:p>
      <w:pPr>
        <w:pStyle w:val="BookText"/>
      </w:pPr>
      <w:r>
        <w:rPr>
          <w:rFonts w:ascii="IRNazanin" w:hAnsi="IRNazanin" w:eastAsia="IRNazanin" w:cs="IRNazanin"/>
          <w:lang w:bidi="fa-IR"/>
          <w:color w:val="111111"/>
          <w:sz w:val="28"/>
          <w:szCs w:val="28"/>
          <w:rtl/>
        </w:rPr>
        <w:t xml:space="preserve">؟ ،کفعمی، ابراهیم بن علی، ۸۴۰ - ۹۰۵ قمری</w:t>
      </w:r>
    </w:p>
    <w:p>
      <w:pPr>
        <w:pStyle w:val="BookText"/>
      </w:pPr>
      <w:r>
        <w:rPr>
          <w:rFonts w:ascii="Times New Roman" w:hAnsi="Times New Roman" w:eastAsia="Times New Roman" w:cs="Times New Roman"/>
          <w:lang w:val="en-US" w:bidi="en-US"/>
          <w:color w:val="111111"/>
          <w:sz w:val="28"/>
          <w:szCs w:val="28"/>
          <w:rtl/>
        </w:rPr>
        <w:t xml:space="preserve">(kaf‘amī, ebrāhīm ebn-e ‘alī (1437 - 1500)</w:t>
      </w:r>
    </w:p>
    <w:p>
      <w:pPr>
        <w:pStyle w:val="BookText"/>
      </w:pPr>
      <w:r>
        <w:rPr>
          <w:rFonts w:ascii="IRNazanin" w:hAnsi="IRNazanin" w:eastAsia="IRNazanin" w:cs="IRNazanin"/>
          <w:lang w:bidi="fa-IR"/>
          <w:color w:val="111111"/>
          <w:sz w:val="28"/>
          <w:szCs w:val="28"/>
          <w:rtl/>
        </w:rPr>
        <w:t xml:space="preserve">یادداشت هایی درباره استخاره.</w:t>
      </w:r>
    </w:p>
    <w:p>
      <w:pPr>
        <w:pStyle w:val="BookText"/>
      </w:pPr>
      <w:r>
        <w:rPr>
          <w:rFonts w:ascii="IRNazanin" w:hAnsi="IRNazanin" w:eastAsia="IRNazanin" w:cs="IRNazanin"/>
          <w:lang w:bidi="fa-IR"/>
          <w:color w:val="111111"/>
          <w:sz w:val="28"/>
          <w:szCs w:val="28"/>
          <w:rtl/>
        </w:rPr>
        <w:t xml:space="preserve">تهران؛ مجلس؛ شماره نسخه: ۹/۷ خوئی</w:t>
      </w:r>
    </w:p>
    <w:p>
      <w:pPr>
        <w:pStyle w:val="BookText"/>
      </w:pPr>
      <w:r>
        <w:rPr>
          <w:rFonts w:ascii="IRNazanin" w:hAnsi="IRNazanin" w:eastAsia="IRNazanin" w:cs="IRNazanin"/>
          <w:lang w:bidi="fa-IR"/>
          <w:color w:val="111111"/>
          <w:sz w:val="28"/>
          <w:szCs w:val="28"/>
          <w:rtl/>
        </w:rPr>
        <w:t xml:space="preserve">در فهرست با نام «یادداشت هایی از کفعمی» آمده است؛ بی کا، بی تا، ۲ ص( ۱۸۲-۱۸۳) [ف: ۷ - ۲۷۴]</w:t>
      </w:r>
    </w:p>
    <w:p>
      <w:pPr>
        <w:pStyle w:val="Heading3"/>
      </w:pPr>
      <w:bookmarkStart w:id="993" w:name="_Toc515"/>
      <w:r>
        <w:t>استخاره = فالنامه / استخاره / عربی</w:t>
      </w:r>
      <w:bookmarkEnd w:id="993"/>
    </w:p>
    <w:p>
      <w:pPr>
        <w:pStyle w:val="BookText"/>
      </w:pPr>
      <w:r>
        <w:rPr>
          <w:rFonts w:ascii="Times New Roman" w:hAnsi="Times New Roman" w:eastAsia="Times New Roman" w:cs="Times New Roman"/>
          <w:lang w:val="en-US" w:bidi="en-US"/>
          <w:color w:val="111111"/>
          <w:sz w:val="28"/>
          <w:szCs w:val="28"/>
          <w:rtl/>
        </w:rPr>
        <w:t xml:space="preserve">exare = fal-name</w:t>
      </w:r>
    </w:p>
    <w:p>
      <w:pPr>
        <w:pStyle w:val="BookText"/>
      </w:pPr>
      <w:r>
        <w:rPr>
          <w:rFonts w:ascii="IRNazanin" w:hAnsi="IRNazanin" w:eastAsia="IRNazanin" w:cs="IRNazanin"/>
          <w:lang w:bidi="fa-IR"/>
          <w:color w:val="111111"/>
          <w:sz w:val="28"/>
          <w:szCs w:val="28"/>
          <w:rtl/>
        </w:rPr>
        <w:t xml:space="preserve">خادم انصاری، محمد تقی بن ابوالمعالی، ق ۱۱ قمری</w:t>
      </w:r>
    </w:p>
    <w:p>
      <w:pPr>
        <w:pStyle w:val="BookText"/>
      </w:pPr>
      <w:r>
        <w:rPr>
          <w:rFonts w:ascii="Times New Roman" w:hAnsi="Times New Roman" w:eastAsia="Times New Roman" w:cs="Times New Roman"/>
          <w:lang w:val="en-US" w:bidi="en-US"/>
          <w:color w:val="111111"/>
          <w:sz w:val="28"/>
          <w:szCs w:val="28"/>
          <w:rtl/>
        </w:rPr>
        <w:t xml:space="preserve">xādem-e ansārī, mohammad taqī ebn-e ab-ol-ma‘ālī (-</w:t>
      </w:r>
    </w:p>
    <w:p>
      <w:pPr>
        <w:pStyle w:val="BookText"/>
      </w:pPr>
      <w:r>
        <w:rPr>
          <w:rFonts w:ascii="Times New Roman" w:hAnsi="Times New Roman" w:eastAsia="Times New Roman" w:cs="Times New Roman"/>
          <w:lang w:val="en-US" w:bidi="en-US"/>
          <w:color w:val="111111"/>
          <w:sz w:val="28"/>
          <w:szCs w:val="28"/>
          <w:rtl/>
        </w:rPr>
        <w:t xml:space="preserve">(17c-)</w:t>
      </w:r>
    </w:p>
    <w:p>
      <w:pPr>
        <w:pStyle w:val="BookText"/>
      </w:pPr>
      <w:r>
        <w:rPr>
          <w:rFonts w:ascii="IRNazanin" w:hAnsi="IRNazanin" w:eastAsia="IRNazanin" w:cs="IRNazanin"/>
          <w:lang w:bidi="fa-IR"/>
          <w:color w:val="111111"/>
          <w:sz w:val="28"/>
          <w:szCs w:val="28"/>
          <w:rtl/>
        </w:rPr>
        <w:t xml:space="preserve">تاریخ تالیف: ۱۲۴۶قم</w:t>
      </w:r>
    </w:p>
    <w:p>
      <w:pPr>
        <w:pStyle w:val="BookText"/>
      </w:pPr>
      <w:r>
        <w:rPr>
          <w:rFonts w:ascii="IRNazanin" w:hAnsi="IRNazanin" w:eastAsia="IRNazanin" w:cs="IRNazanin"/>
          <w:lang w:bidi="fa-IR"/>
          <w:color w:val="111111"/>
          <w:sz w:val="28"/>
          <w:szCs w:val="28"/>
          <w:rtl/>
        </w:rPr>
        <w:t xml:space="preserve">رساله در دستور استخاره با قرآن کریم است، وی طبق جدول های حرفی می نگارد: «قاعدة فيه ان تقرا آية الكرسى و تصلى عشر مرات على النبى صلى الله عليه و اله و سلم و تقرا و عنده مفاتيح الغيب لا يعلمها الا هو ... و تقول اللهم انى تفاءلت بكتابك ... ثم اقصد و اضع اصبعك على حرف الصفحة التي فيها مقصودك ثم تكتب ذلك الحرف و تعد بعده خمسة احرف و الخامس اكتبه هكذا الخ الصفحة فما فضـل من آخر الصفحة اضفه الى اولها وعد كذلك و احفظ الحروف التي كتبها من اول الصفحه واجعلها مقدمة في الاسطار و اذا فرغت من التعداد و انتهيت الى الحرف الذي وضعت اصبعک عليه اقراء الحروف الذى اكتبتها من اول الصفحة تجدها آية من كتاب الله العزيز تدل علی مطلوبک و مرادك اما امراً و نهی قطعا». این نسخه حاوی ۲۱ لوح و هر لوح دارای ۱۶۰ جدول از حروف الفبا که برای مقصدی خاص است از جمله «لمعرفة المليح من القبيح»، لحسن عقد النكاح و قبحه»، «التعبير المنام يكون هذا» و غيره.</w:t>
      </w:r>
    </w:p>
    <w:p>
      <w:pPr>
        <w:pStyle w:val="BookText"/>
      </w:pPr>
      <w:r>
        <w:rPr>
          <w:rFonts w:ascii="IRNazanin" w:hAnsi="IRNazanin" w:eastAsia="IRNazanin" w:cs="IRNazanin"/>
          <w:lang w:bidi="fa-IR"/>
          <w:color w:val="111111"/>
          <w:sz w:val="28"/>
          <w:szCs w:val="28"/>
          <w:rtl/>
        </w:rPr>
        <w:t xml:space="preserve">آغاز: الحمد لله الذى جعل الابهام عينا لمعرفة آلائه و الشكر وسيلة لعد منتهى نعمائه و شرف تبيين الفال ... اما بعد اقول و انا المفتقر ... ابن ابى المعانى محمد تقى الخادم المتطبب الانصارى ... فرایت شخصا من الارواح قادني الى تاليف متفال الكتاب ليس مقدور البشر ولا يخطر ببال ذوى الالباب.</w:t>
      </w:r>
    </w:p>
    <w:p>
      <w:pPr>
        <w:pStyle w:val="BookText"/>
      </w:pPr>
      <w:r>
        <w:rPr>
          <w:rFonts w:ascii="IRNazanin" w:hAnsi="IRNazanin" w:eastAsia="IRNazanin" w:cs="IRNazanin"/>
          <w:lang w:bidi="fa-IR"/>
          <w:color w:val="111111"/>
          <w:sz w:val="28"/>
          <w:szCs w:val="28"/>
          <w:rtl/>
        </w:rPr>
        <w:t xml:space="preserve">۱. مشهد؛ رضوی؛ شماره نسخه: ۱۱۷۰۶</w:t>
      </w:r>
    </w:p>
    <w:p>
      <w:pPr>
        <w:pStyle w:val="BookText"/>
      </w:pPr>
      <w:r>
        <w:rPr>
          <w:rFonts w:ascii="Amiri" w:hAnsi="Amiri" w:eastAsia="Amiri" w:cs="Amiri"/>
          <w:lang w:bidi="ar-SA"/>
          <w:color w:val="111111"/>
          <w:sz w:val="28"/>
          <w:szCs w:val="28"/>
          <w:rtl/>
        </w:rPr>
        <w:t xml:space="preserve">آغاز: برابر؛ انجام: للسرعة و البطاء من الاسفار ... م م ح .</w:t>
      </w:r>
    </w:p>
    <w:p>
      <w:pPr>
        <w:pStyle w:val="BookText"/>
      </w:pPr>
      <w:r>
        <w:rPr>
          <w:rFonts w:ascii="IRNazanin" w:hAnsi="IRNazanin" w:eastAsia="IRNazanin" w:cs="IRNazanin"/>
          <w:lang w:bidi="fa-IR"/>
          <w:color w:val="111111"/>
          <w:sz w:val="28"/>
          <w:szCs w:val="28"/>
          <w:rtl/>
        </w:rPr>
        <w:t xml:space="preserve">خط: نسخ، بی کا، تا: حدود قرن ۱۳؛ واقف: سید کاظم عصار، دی ۱۳۵۴؛ کاغذ: حنایی  فرنگی ،جلد: مقوا با روکش پارچه، ۱۲گ،  ۲۰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۱۵ – ۱۱۲]</w:t>
      </w:r>
    </w:p>
    <w:p>
      <w:pPr>
        <w:pStyle w:val="BookText"/>
      </w:pPr>
      <w:r>
        <w:rPr>
          <w:rFonts w:ascii="IRNazanin" w:hAnsi="IRNazanin" w:eastAsia="IRNazanin" w:cs="IRNazanin"/>
          <w:lang w:bidi="fa-IR"/>
          <w:color w:val="111111"/>
          <w:sz w:val="28"/>
          <w:szCs w:val="28"/>
          <w:rtl/>
        </w:rPr>
        <w:t xml:space="preserve">۲. تهران؛ مجلس؛ شماره نسخه: ۳۱۲/۱-ط</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بی کا، تا: ۱۲۴۶ق؛ مجدول؛ کاغذ: فرنگی آهار مهره ،سفید، جلد: تیماج ،قرمز ۱۳گ (۳پ-۱۵پ)، ۱۵ سطر، قطع: خشتی،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۲۲ – ۱۰۰]</w:t>
      </w:r>
    </w:p>
    <w:p>
      <w:pPr>
        <w:pStyle w:val="Heading3"/>
      </w:pPr>
      <w:bookmarkStart w:id="994" w:name="_Toc516"/>
      <w:r>
        <w:t>استخاره / استخاره / فارسی</w:t>
      </w:r>
      <w:bookmarkEnd w:id="994"/>
    </w:p>
    <w:p>
      <w:pPr>
        <w:pStyle w:val="BookText"/>
      </w:pPr>
      <w:r>
        <w:rPr>
          <w:rFonts w:ascii="Times New Roman" w:hAnsi="Times New Roman" w:eastAsia="Times New Roman" w:cs="Times New Roman"/>
          <w:lang w:val="en-US" w:bidi="en-US"/>
          <w:color w:val="111111"/>
          <w:sz w:val="28"/>
          <w:szCs w:val="28"/>
          <w:rtl/>
        </w:rPr>
        <w:t xml:space="preserve">estexāre</w:t>
      </w:r>
    </w:p>
    <w:p>
      <w:pPr>
        <w:pStyle w:val="BookText"/>
      </w:pPr>
      <w:r>
        <w:rPr>
          <w:rFonts w:ascii="IRNazanin" w:hAnsi="IRNazanin" w:eastAsia="IRNazanin" w:cs="IRNazanin"/>
          <w:lang w:bidi="fa-IR"/>
          <w:color w:val="111111"/>
          <w:sz w:val="28"/>
          <w:szCs w:val="28"/>
          <w:rtl/>
        </w:rPr>
        <w:t xml:space="preserve">حسینی، محمد صالح ، ق ۱۲ قمری</w:t>
      </w:r>
    </w:p>
    <w:p>
      <w:pPr>
        <w:pStyle w:val="BookText"/>
      </w:pPr>
      <w:r>
        <w:rPr>
          <w:rFonts w:ascii="Times New Roman" w:hAnsi="Times New Roman" w:eastAsia="Times New Roman" w:cs="Times New Roman"/>
          <w:lang w:val="en-US" w:bidi="en-US"/>
          <w:color w:val="111111"/>
          <w:sz w:val="28"/>
          <w:szCs w:val="28"/>
          <w:rtl/>
        </w:rPr>
        <w:t xml:space="preserve">(hoseynī, mohammad sāleh (- 18c)</w:t>
      </w:r>
    </w:p>
    <w:p>
      <w:pPr>
        <w:pStyle w:val="BookText"/>
      </w:pPr>
      <w:r>
        <w:rPr>
          <w:rFonts w:ascii="IRNazanin" w:hAnsi="IRNazanin" w:eastAsia="IRNazanin" w:cs="IRNazanin"/>
          <w:lang w:bidi="fa-IR"/>
          <w:color w:val="111111"/>
          <w:sz w:val="28"/>
          <w:szCs w:val="28"/>
          <w:rtl/>
        </w:rPr>
        <w:t xml:space="preserve">رساله در انواع استخاراتی است که مؤلف خود تجربه نموده  است.</w:t>
      </w:r>
    </w:p>
    <w:p>
      <w:pPr>
        <w:pStyle w:val="BookText"/>
      </w:pPr>
      <w:r>
        <w:rPr>
          <w:rFonts w:ascii="IRNazanin" w:hAnsi="IRNazanin" w:eastAsia="IRNazanin" w:cs="IRNazanin"/>
          <w:lang w:bidi="fa-IR"/>
          <w:color w:val="111111"/>
          <w:sz w:val="28"/>
          <w:szCs w:val="28"/>
          <w:rtl/>
        </w:rPr>
        <w:t xml:space="preserve">قم؛ مرکز احیاء؛ شماره نسخه: ۳۴۶۱/۷</w:t>
      </w:r>
    </w:p>
    <w:p>
      <w:pPr>
        <w:pStyle w:val="BookText"/>
      </w:pPr>
      <w:r>
        <w:rPr>
          <w:rFonts w:ascii="IRNazanin" w:hAnsi="IRNazanin" w:eastAsia="IRNazanin" w:cs="IRNazanin"/>
          <w:lang w:bidi="fa-IR"/>
          <w:color w:val="111111"/>
          <w:sz w:val="28"/>
          <w:szCs w:val="28"/>
          <w:rtl/>
        </w:rPr>
        <w:t xml:space="preserve">آغاز: حقیر خاطی محمد صالح الحسینی به عرض طالبان راه هدایت و متعطشان زلال خیر و سعادت می رساند که آنچه از انواع متکثره استخاره؛ انجام: و این حقیر این نوع از استخاره را مکرر تجربه نموده بمنزله وحی است و السلام على من اتبع الهدى</w:t>
      </w:r>
    </w:p>
    <w:p>
      <w:pPr>
        <w:pStyle w:val="BookText"/>
      </w:pPr>
      <w:r>
        <w:rPr>
          <w:rFonts w:ascii="IRNazanin" w:hAnsi="IRNazanin" w:eastAsia="IRNazanin" w:cs="IRNazanin"/>
          <w:lang w:bidi="fa-IR"/>
          <w:color w:val="111111"/>
          <w:sz w:val="28"/>
          <w:szCs w:val="28"/>
          <w:rtl/>
        </w:rPr>
        <w:t xml:space="preserve">خط: نستعليق، كاتب - مؤلف، تا: قرن ۱۲، مصحح؛ ۳گ (۱۲۴ر- ۱۲۶ر)، ۱۲ سطر،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۱۴/۵سم [محدث ارموی مخ: ۱- ۱۲۵]</w:t>
      </w:r>
    </w:p>
    <w:p>
      <w:pPr>
        <w:pStyle w:val="Heading3"/>
      </w:pPr>
      <w:bookmarkStart w:id="995" w:name="_Toc517"/>
      <w:r>
        <w:t>الاستخارة / استخاره / عربی</w:t>
      </w:r>
      <w:bookmarkEnd w:id="995"/>
    </w:p>
    <w:p>
      <w:pPr>
        <w:pStyle w:val="BookText"/>
      </w:pPr>
      <w:r>
        <w:rPr>
          <w:rFonts w:ascii="Times New Roman" w:hAnsi="Times New Roman" w:eastAsia="Times New Roman" w:cs="Times New Roman"/>
          <w:lang w:val="en-US" w:bidi="en-US"/>
          <w:color w:val="111111"/>
          <w:sz w:val="28"/>
          <w:szCs w:val="28"/>
          <w:rtl/>
        </w:rPr>
        <w:t xml:space="preserve">al-istixāra</w:t>
      </w:r>
    </w:p>
    <w:p>
      <w:pPr>
        <w:pStyle w:val="BookText"/>
      </w:pPr>
      <w:r>
        <w:rPr>
          <w:rFonts w:ascii="IRNazanin" w:hAnsi="IRNazanin" w:eastAsia="IRNazanin" w:cs="IRNazanin"/>
          <w:lang w:bidi="fa-IR"/>
          <w:color w:val="111111"/>
          <w:sz w:val="28"/>
          <w:szCs w:val="28"/>
          <w:rtl/>
        </w:rPr>
        <w:t xml:space="preserve">علم الهدی، محمد بن محسن، ۱۰۳۹ - ۱۱۱۵ قمری</w:t>
      </w:r>
    </w:p>
    <w:p>
      <w:pPr>
        <w:pStyle w:val="BookText"/>
      </w:pPr>
      <w:r>
        <w:rPr>
          <w:rFonts w:ascii="Times New Roman" w:hAnsi="Times New Roman" w:eastAsia="Times New Roman" w:cs="Times New Roman"/>
          <w:lang w:val="en-US" w:bidi="en-US"/>
          <w:color w:val="111111"/>
          <w:sz w:val="28"/>
          <w:szCs w:val="28"/>
          <w:rtl/>
        </w:rPr>
        <w:t xml:space="preserve">(1704-alam-ol-hodā, mohammad ebn-e mohsen (1630</w:t>
      </w:r>
    </w:p>
    <w:p>
      <w:pPr>
        <w:pStyle w:val="BookText"/>
      </w:pPr>
      <w:r>
        <w:rPr>
          <w:rFonts w:ascii="IRNazanin" w:hAnsi="IRNazanin" w:eastAsia="IRNazanin" w:cs="IRNazanin"/>
          <w:lang w:bidi="fa-IR"/>
          <w:color w:val="111111"/>
          <w:sz w:val="28"/>
          <w:szCs w:val="28"/>
          <w:rtl/>
        </w:rPr>
        <w:t xml:space="preserve">تاریخ تالیف: ۱۱۱۰ق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49" w:name="pg20365_260228"/>
    <w:bookmarkEnd w:id="149"/>
    <w:p>
      <w:pPr>
        <w:pStyle w:val="BookText"/>
      </w:pPr>
      <w:r>
        <w:rPr>
          <w:rFonts w:ascii="IRNazanin" w:hAnsi="IRNazanin" w:eastAsia="IRNazanin" w:cs="IRNazanin"/>
          <w:lang w:bidi="fa-IR"/>
          <w:color w:val="111111"/>
          <w:sz w:val="28"/>
          <w:szCs w:val="28"/>
          <w:rtl/>
        </w:rPr>
        <w:t xml:space="preserve">بحث استدلالی است در معانی استخاره در یک «مقدمه» و چندین «انارة» که در آن از کتاب «فتح الابواب» سيد على بن طاوس و ... یاد می کند .</w:t>
      </w:r>
    </w:p>
    <w:p>
      <w:pPr>
        <w:pStyle w:val="BookText"/>
      </w:pPr>
      <w:r>
        <w:rPr>
          <w:rFonts w:ascii="IRNazanin" w:hAnsi="IRNazanin" w:eastAsia="IRNazanin" w:cs="IRNazanin"/>
          <w:lang w:bidi="fa-IR"/>
          <w:color w:val="111111"/>
          <w:sz w:val="28"/>
          <w:szCs w:val="28"/>
          <w:rtl/>
        </w:rPr>
        <w:t xml:space="preserve">آغاز: سبحان الذى بطن الغيوب فحشر مخزون اسرارها فى اکنة استارها و حال بين القلوب و بين تصرفها على اختيارها فى سال اقبالها و ادبارها. نحمده على... و بعد يقول المستجير بالله من الجور بعد الكور..</w:t>
      </w:r>
    </w:p>
    <w:p>
      <w:pPr>
        <w:pStyle w:val="BookText"/>
      </w:pPr>
      <w:r>
        <w:rPr>
          <w:rFonts w:ascii="IRNazanin" w:hAnsi="IRNazanin" w:eastAsia="IRNazanin" w:cs="IRNazanin"/>
          <w:lang w:bidi="fa-IR"/>
          <w:color w:val="111111"/>
          <w:sz w:val="28"/>
          <w:szCs w:val="28"/>
          <w:rtl/>
        </w:rPr>
        <w:t xml:space="preserve">انجام: حامدین لولى الارشاد و الدلالة مصلين على اهل بـیت البسالة و النبالة محمد خير من صدع بحمل اعباء النبوة والرسـالة ... و كتبه مولفها الفقير ... محمد المدعو بعلم الهدى بن محسن بن مرتضى ... ببعض شهور حجة عشر و ماية و الف من الحجج المبتدا من الهجرة... احمد و اشكر حمدا لا ينتهى اليه توغل الافهام ولا يقف عليه تغلغل الفكر بحديد النظر.</w:t>
      </w:r>
    </w:p>
    <w:p>
      <w:pPr>
        <w:pStyle w:val="BookText"/>
      </w:pPr>
      <w:r>
        <w:rPr>
          <w:rFonts w:ascii="IRNazanin" w:hAnsi="IRNazanin" w:eastAsia="IRNazanin" w:cs="IRNazanin"/>
          <w:lang w:bidi="fa-IR"/>
          <w:color w:val="111111"/>
          <w:sz w:val="28"/>
          <w:szCs w:val="28"/>
          <w:rtl/>
        </w:rPr>
        <w:t xml:space="preserve">۱. تهران؛ دانشگاه؛ شماره نسخه: ۹۱۹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نستعليق متوسط، كاتب- مؤلف، تا: ۱۱۱۰ق؛ ضـمن مجموعه ای است که تمام آن به خط علم الهدی پسر فیض کاشانی می باشد، محشی به خط مؤلف و به امضای «منه»،مصحح؛ کاغذ:  ،اصفهانی ،جلد ،مقوا ۱۸گ ،(۱-۱۸) ، ۱۷ سطر (8/3</w:t>
      </w:r>
      <w:r>
        <w:rPr>
          <w:rFonts w:ascii="Times New Roman" w:hAnsi="Times New Roman" w:eastAsia="Times New Roman" w:cs="Times New Roman"/>
          <w:lang w:val="en-US" w:bidi="en-US"/>
          <w:color w:val="111111"/>
          <w:sz w:val="28"/>
          <w:szCs w:val="28"/>
          <w:rtl/>
        </w:rPr>
        <w:t xml:space="preserve">×15/3) </w:t>
      </w:r>
      <w:r>
        <w:rPr>
          <w:rFonts w:ascii="IRNazanin" w:hAnsi="IRNazanin" w:eastAsia="IRNazanin" w:cs="IRNazanin"/>
          <w:lang w:bidi="fa-IR"/>
          <w:color w:val="111111"/>
          <w:sz w:val="28"/>
          <w:szCs w:val="28"/>
          <w:rtl/>
        </w:rPr>
        <w:t xml:space="preserve">،اندازه: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۱ - ۱۳]</w:t>
      </w:r>
    </w:p>
    <w:p>
      <w:pPr>
        <w:pStyle w:val="BookText"/>
      </w:pPr>
      <w:r>
        <w:rPr>
          <w:rFonts w:ascii="IRNazanin" w:hAnsi="IRNazanin" w:eastAsia="IRNazanin" w:cs="IRNazanin"/>
          <w:lang w:bidi="fa-IR"/>
          <w:color w:val="111111"/>
          <w:sz w:val="28"/>
          <w:szCs w:val="28"/>
          <w:rtl/>
        </w:rPr>
        <w:t xml:space="preserve">۲. تهران؛ مجلس؛ شماره نسخه: ۳۸۵۷/۲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زیبا، کاتب - مؤلف، تا: قرن ۱۲؛ کاغذ: فرنگی، جـلد: تیماج  مشکی، ۵۲ ص (۴۳-۹۴)، ۱۷ سطر، قطع: خشتی، اندازه:</w:t>
      </w:r>
    </w:p>
    <w:p>
      <w:pPr>
        <w:pStyle w:val="BookText"/>
      </w:pPr>
      <w:r>
        <w:rPr>
          <w:rFonts w:ascii="IRNazanin" w:hAnsi="IRNazanin" w:eastAsia="IRNazanin" w:cs="IRNazanin"/>
          <w:lang w:bidi="fa-IR"/>
          <w:color w:val="111111"/>
          <w:sz w:val="28"/>
          <w:szCs w:val="28"/>
          <w:rtl/>
        </w:rPr>
        <w:t xml:space="preserve">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۱۰ - ۱۸۷۰]</w:t>
      </w:r>
    </w:p>
    <w:p>
      <w:pPr>
        <w:pStyle w:val="BookText"/>
      </w:pPr>
      <w:r>
        <w:rPr>
          <w:rFonts w:ascii="IRNazanin" w:hAnsi="IRNazanin" w:eastAsia="IRNazanin" w:cs="IRNazanin"/>
          <w:lang w:bidi="fa-IR"/>
          <w:color w:val="111111"/>
          <w:sz w:val="28"/>
          <w:szCs w:val="28"/>
          <w:rtl/>
        </w:rPr>
        <w:t xml:space="preserve">۳. تهران؛ مجلس؛ شماره نسخه: ۱۴۰۶۷/۲</w:t>
      </w:r>
    </w:p>
    <w:p>
      <w:pPr>
        <w:pStyle w:val="BookText"/>
      </w:pPr>
      <w:r>
        <w:rPr>
          <w:rFonts w:ascii="IRNazanin" w:hAnsi="IRNazanin" w:eastAsia="IRNazanin" w:cs="IRNazanin"/>
          <w:lang w:bidi="fa-IR"/>
          <w:color w:val="111111"/>
          <w:sz w:val="28"/>
          <w:szCs w:val="28"/>
          <w:rtl/>
        </w:rPr>
        <w:t xml:space="preserve">آغاز و انجام:برابر</w:t>
      </w:r>
    </w:p>
    <w:p>
      <w:pPr>
        <w:pStyle w:val="BookText"/>
      </w:pPr>
      <w:r>
        <w:rPr>
          <w:rFonts w:ascii="IRNazanin" w:hAnsi="IRNazanin" w:eastAsia="IRNazanin" w:cs="IRNazanin"/>
          <w:lang w:bidi="fa-IR"/>
          <w:color w:val="111111"/>
          <w:sz w:val="28"/>
          <w:szCs w:val="28"/>
          <w:rtl/>
        </w:rPr>
        <w:t xml:space="preserve">خط: نسخ، کاتب-  مؤلف، بی تا؛ محشی از مؤلف به امضای«منه سلمه الله»؛ جلد: تیماج سرخ مجدول، ۳۹گ (33پ- 71ر)،</w:t>
      </w:r>
    </w:p>
    <w:p>
      <w:pPr>
        <w:pStyle w:val="BookText"/>
      </w:pPr>
      <w:r>
        <w:rPr>
          <w:rFonts w:ascii="IRNazanin" w:hAnsi="IRNazanin" w:eastAsia="IRNazanin" w:cs="IRNazanin"/>
          <w:lang w:bidi="fa-IR"/>
          <w:color w:val="111111"/>
          <w:sz w:val="28"/>
          <w:szCs w:val="28"/>
          <w:rtl/>
        </w:rPr>
        <w:t xml:space="preserve">،14سطر،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۳۸ - ۹۱]</w:t>
      </w:r>
    </w:p>
    <w:p>
      <w:pPr>
        <w:pStyle w:val="Heading3"/>
      </w:pPr>
      <w:bookmarkStart w:id="996" w:name="_Toc518"/>
      <w:r>
        <w:t>الاستخارة / استخاره / عربی</w:t>
      </w:r>
      <w:bookmarkEnd w:id="996"/>
    </w:p>
    <w:p>
      <w:pPr>
        <w:pStyle w:val="BookText"/>
      </w:pPr>
      <w:r>
        <w:rPr>
          <w:rFonts w:ascii="Times New Roman" w:hAnsi="Times New Roman" w:eastAsia="Times New Roman" w:cs="Times New Roman"/>
          <w:lang w:val="en-US" w:bidi="en-US"/>
          <w:color w:val="111111"/>
          <w:sz w:val="28"/>
          <w:szCs w:val="28"/>
          <w:rtl/>
        </w:rPr>
        <w:t xml:space="preserve">al-istixāra</w:t>
      </w:r>
    </w:p>
    <w:p>
      <w:pPr>
        <w:pStyle w:val="BookText"/>
      </w:pPr>
      <w:r>
        <w:rPr>
          <w:rFonts w:ascii="IRNazanin" w:hAnsi="IRNazanin" w:eastAsia="IRNazanin" w:cs="IRNazanin"/>
          <w:lang w:bidi="fa-IR"/>
          <w:color w:val="111111"/>
          <w:sz w:val="28"/>
          <w:szCs w:val="28"/>
          <w:rtl/>
        </w:rPr>
        <w:t xml:space="preserve">ساروی، محمد علی بن محمد رضا، - ۱۱۹۳ قمری</w:t>
      </w:r>
    </w:p>
    <w:p>
      <w:pPr>
        <w:pStyle w:val="BookText"/>
      </w:pPr>
      <w:r>
        <w:rPr>
          <w:rFonts w:ascii="Times New Roman" w:hAnsi="Times New Roman" w:eastAsia="Times New Roman" w:cs="Times New Roman"/>
          <w:lang w:val="en-US" w:bidi="en-US"/>
          <w:color w:val="111111"/>
          <w:sz w:val="28"/>
          <w:szCs w:val="28"/>
          <w:rtl/>
        </w:rPr>
        <w:t xml:space="preserve">(sāravī, mohammad ‘alī ebn-e mohammad rezā (- 1779)</w:t>
      </w:r>
    </w:p>
    <w:p>
      <w:pPr>
        <w:pStyle w:val="BookText"/>
      </w:pPr>
      <w:r>
        <w:rPr>
          <w:rFonts w:ascii="IRNazanin" w:hAnsi="IRNazanin" w:eastAsia="IRNazanin" w:cs="IRNazanin"/>
          <w:lang w:bidi="fa-IR"/>
          <w:color w:val="111111"/>
          <w:sz w:val="28"/>
          <w:szCs w:val="28"/>
          <w:rtl/>
        </w:rPr>
        <w:t xml:space="preserve">در این رساله مختصر به بیان راه های مختلف استخاره پرداخته است.</w:t>
      </w:r>
    </w:p>
    <w:p>
      <w:pPr>
        <w:pStyle w:val="BookText"/>
      </w:pPr>
      <w:r>
        <w:rPr>
          <w:rFonts w:ascii="IRNazanin" w:hAnsi="IRNazanin" w:eastAsia="IRNazanin" w:cs="IRNazanin"/>
          <w:lang w:bidi="fa-IR"/>
          <w:color w:val="111111"/>
          <w:sz w:val="28"/>
          <w:szCs w:val="28"/>
          <w:rtl/>
        </w:rPr>
        <w:t xml:space="preserve">قم؛ مرکز احیاء؛ شماره نسخه: ۳۶۱۳/۷</w:t>
      </w:r>
    </w:p>
    <w:p>
      <w:pPr>
        <w:pStyle w:val="BookText"/>
      </w:pPr>
      <w:r>
        <w:rPr>
          <w:rFonts w:ascii="IRNazanin" w:hAnsi="IRNazanin" w:eastAsia="IRNazanin" w:cs="IRNazanin"/>
          <w:lang w:bidi="fa-IR"/>
          <w:color w:val="111111"/>
          <w:sz w:val="28"/>
          <w:szCs w:val="28"/>
          <w:rtl/>
        </w:rPr>
        <w:t xml:space="preserve">آغاز: بسمله ... فاعلم أن للاستخارة طرقاً كثيرة مذكورة فی مواضعها کالوافی و غیره؛ انجام: و عسى ان تحبوا شيئاً و هو لكم والله يعلم و انتم لا تعلمون و الله الحمد اولاً وآخراً.</w:t>
      </w:r>
    </w:p>
    <w:p>
      <w:pPr>
        <w:pStyle w:val="BookText"/>
      </w:pPr>
      <w:r>
        <w:rPr>
          <w:rFonts w:ascii="IRNazanin" w:hAnsi="IRNazanin" w:eastAsia="IRNazanin" w:cs="IRNazanin"/>
          <w:lang w:bidi="fa-IR"/>
          <w:color w:val="111111"/>
          <w:sz w:val="28"/>
          <w:szCs w:val="28"/>
          <w:rtl/>
        </w:rPr>
        <w:t xml:space="preserve">خط: نستعليق، كاتب - مؤلف، تا: قرن ۱۲؛ مصحح ؛  3گ(74ر- ۷۶ر) ،اندازه: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[محدث ارموی مخ: ۱ - ۱۲۵]</w:t>
      </w:r>
    </w:p>
    <w:p>
      <w:pPr>
        <w:pStyle w:val="Heading3"/>
      </w:pPr>
      <w:bookmarkStart w:id="997" w:name="_Toc519"/>
      <w:r>
        <w:t>استخاره / استخاره / فارسی</w:t>
      </w:r>
      <w:bookmarkEnd w:id="997"/>
    </w:p>
    <w:p>
      <w:pPr>
        <w:pStyle w:val="BookText"/>
      </w:pPr>
      <w:r>
        <w:rPr>
          <w:rFonts w:ascii="Times New Roman" w:hAnsi="Times New Roman" w:eastAsia="Times New Roman" w:cs="Times New Roman"/>
          <w:lang w:val="en-US" w:bidi="en-US"/>
          <w:color w:val="111111"/>
          <w:sz w:val="28"/>
          <w:szCs w:val="28"/>
          <w:rtl/>
        </w:rPr>
        <w:t xml:space="preserve">estexāre</w:t>
      </w:r>
    </w:p>
    <w:p>
      <w:pPr>
        <w:pStyle w:val="BookText"/>
      </w:pPr>
      <w:r>
        <w:rPr>
          <w:rFonts w:ascii="IRNazanin" w:hAnsi="IRNazanin" w:eastAsia="IRNazanin" w:cs="IRNazanin"/>
          <w:lang w:bidi="fa-IR"/>
          <w:color w:val="111111"/>
          <w:sz w:val="28"/>
          <w:szCs w:val="28"/>
          <w:rtl/>
        </w:rPr>
        <w:t xml:space="preserve">نراقی، احمد بن محمد مهدی، ۱۱۸۵؟ - ۱۲۴۵ ؟ قمری</w:t>
      </w:r>
    </w:p>
    <w:p>
      <w:pPr>
        <w:pStyle w:val="BookText"/>
      </w:pPr>
      <w:r>
        <w:rPr>
          <w:rFonts w:ascii="Times New Roman" w:hAnsi="Times New Roman" w:eastAsia="Times New Roman" w:cs="Times New Roman"/>
          <w:lang w:val="en-US" w:bidi="en-US"/>
          <w:color w:val="111111"/>
          <w:sz w:val="28"/>
          <w:szCs w:val="28"/>
          <w:rtl/>
        </w:rPr>
        <w:t xml:space="preserve">(narāqī, ahmad ebn-e mohammad mahdī (1772-1830)</w:t>
      </w:r>
    </w:p>
    <w:p>
      <w:pPr>
        <w:pStyle w:val="BookText"/>
      </w:pPr>
      <w:r>
        <w:rPr>
          <w:rFonts w:ascii="IRNazanin" w:hAnsi="IRNazanin" w:eastAsia="IRNazanin" w:cs="IRNazanin"/>
          <w:lang w:bidi="fa-IR"/>
          <w:color w:val="111111"/>
          <w:sz w:val="28"/>
          <w:szCs w:val="28"/>
          <w:rtl/>
        </w:rPr>
        <w:t xml:space="preserve">رساله کوتاهی است در خصوص مشروعیت تجدید استخاره در صورتی که حالات استخاره یا مورد استخاره تغییر نماید.</w:t>
      </w:r>
    </w:p>
    <w:p>
      <w:pPr>
        <w:pStyle w:val="BookText"/>
      </w:pPr>
      <w:r>
        <w:rPr>
          <w:rFonts w:ascii="IRNazanin" w:hAnsi="IRNazanin" w:eastAsia="IRNazanin" w:cs="IRNazanin"/>
          <w:lang w:bidi="fa-IR"/>
          <w:color w:val="111111"/>
          <w:sz w:val="28"/>
          <w:szCs w:val="28"/>
          <w:rtl/>
        </w:rPr>
        <w:t xml:space="preserve">یادآوری می شود نام این رساله در هیچ یک از منابع موجود  وجود ندارد.</w:t>
      </w:r>
    </w:p>
    <w:p>
      <w:pPr>
        <w:pStyle w:val="BookText"/>
      </w:pPr>
      <w:r>
        <w:rPr>
          <w:rFonts w:ascii="IRNazanin" w:hAnsi="IRNazanin" w:eastAsia="IRNazanin" w:cs="IRNazanin"/>
          <w:lang w:bidi="fa-IR"/>
          <w:color w:val="111111"/>
          <w:sz w:val="28"/>
          <w:szCs w:val="28"/>
          <w:rtl/>
        </w:rPr>
        <w:t xml:space="preserve">چاپ: با تحقیق علی رفیعی  علامرودشتی، در مجموعه میراث  ماندگار، ۱۳۸۲ش</w:t>
      </w:r>
    </w:p>
    <w:p>
      <w:pPr>
        <w:pStyle w:val="BookText"/>
      </w:pPr>
      <w:r>
        <w:rPr>
          <w:rFonts w:ascii="Amiri" w:hAnsi="Amiri" w:eastAsia="Amiri" w:cs="Amiri"/>
          <w:lang w:bidi="ar-SA"/>
          <w:color w:val="111111"/>
          <w:sz w:val="28"/>
          <w:szCs w:val="28"/>
          <w:rtl/>
        </w:rPr>
        <w:t xml:space="preserve">[موسوعة مولفى الامامية ۱۸۲/۵]</w:t>
      </w:r>
    </w:p>
    <w:p>
      <w:pPr>
        <w:pStyle w:val="BookText"/>
      </w:pPr>
      <w:r>
        <w:rPr>
          <w:rFonts w:ascii="IRNazanin" w:hAnsi="IRNazanin" w:eastAsia="IRNazanin" w:cs="IRNazanin"/>
          <w:lang w:bidi="fa-IR"/>
          <w:color w:val="111111"/>
          <w:sz w:val="28"/>
          <w:szCs w:val="28"/>
          <w:rtl/>
        </w:rPr>
        <w:t xml:space="preserve">قم؛ مرعشی؛ شماره نسخه: ۱۳۹۳۱</w:t>
      </w:r>
    </w:p>
    <w:p>
      <w:pPr>
        <w:pStyle w:val="BookText"/>
      </w:pPr>
      <w:r>
        <w:rPr>
          <w:rFonts w:ascii="IRNazanin" w:hAnsi="IRNazanin" w:eastAsia="IRNazanin" w:cs="IRNazanin"/>
          <w:lang w:bidi="fa-IR"/>
          <w:color w:val="111111"/>
          <w:sz w:val="28"/>
          <w:szCs w:val="28"/>
          <w:rtl/>
        </w:rPr>
        <w:t xml:space="preserve">آغاز: هرگاه کسی استخاره کند در خصوص امری مثل خریدن مزرعه یا نکاح دختری یا اجازه دادن ملکی؛انجام: نقل کرد از یکی از علمای معاصرین که او گفت ... از استخاره اول می توان دوباره استخاره نمود و الله العالم.</w:t>
      </w:r>
    </w:p>
    <w:p>
      <w:pPr>
        <w:pStyle w:val="BookText"/>
      </w:pPr>
      <w:r>
        <w:rPr>
          <w:rFonts w:ascii="IRNazanin" w:hAnsi="IRNazanin" w:eastAsia="IRNazanin" w:cs="IRNazanin"/>
          <w:lang w:bidi="fa-IR"/>
          <w:color w:val="111111"/>
          <w:sz w:val="28"/>
          <w:szCs w:val="28"/>
          <w:rtl/>
        </w:rPr>
        <w:t xml:space="preserve">خط: نستعليق، كاتب - مؤلف، تا: قرن ۱۳؛ مصحح، در  برگ  نخست دو یادداشت ظاهراً به خط مؤلف؛ مهر: [احمد]...» (بیضی)، «محمد ...»؛ کاغذ ،فرنگی، نوع جلد: تیماج قهوه ای مجدول با ترنج و سرترنج عطف تیماج قهوه ای، ۴گ، ۱۹ سطر (9</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اندازه: 15/5</w:t>
      </w:r>
      <w:r>
        <w:rPr>
          <w:rFonts w:ascii="Times New Roman" w:hAnsi="Times New Roman" w:eastAsia="Times New Roman" w:cs="Times New Roman"/>
          <w:lang w:val="en-US" w:bidi="en-US"/>
          <w:color w:val="111111"/>
          <w:sz w:val="28"/>
          <w:szCs w:val="28"/>
          <w:rtl/>
        </w:rPr>
        <w:t xml:space="preserve">×22/5</w:t>
      </w:r>
      <w:r>
        <w:rPr>
          <w:rFonts w:ascii="IRNazanin" w:hAnsi="IRNazanin" w:eastAsia="IRNazanin" w:cs="IRNazanin"/>
          <w:lang w:bidi="fa-IR"/>
          <w:color w:val="111111"/>
          <w:sz w:val="28"/>
          <w:szCs w:val="28"/>
          <w:rtl/>
        </w:rPr>
        <w:t xml:space="preserve">سم [ف: ۳۵ - ۳۵۰]</w:t>
      </w:r>
    </w:p>
    <w:p>
      <w:pPr>
        <w:pStyle w:val="Heading3"/>
      </w:pPr>
      <w:bookmarkStart w:id="998" w:name="_Toc520"/>
      <w:r>
        <w:t>الاستخارة / استخاره / عربي</w:t>
      </w:r>
      <w:bookmarkEnd w:id="998"/>
    </w:p>
    <w:p>
      <w:pPr>
        <w:pStyle w:val="BookText"/>
      </w:pPr>
      <w:r>
        <w:rPr>
          <w:rFonts w:ascii="Times New Roman" w:hAnsi="Times New Roman" w:eastAsia="Times New Roman" w:cs="Times New Roman"/>
          <w:lang w:val="en-US" w:bidi="en-US"/>
          <w:color w:val="111111"/>
          <w:sz w:val="28"/>
          <w:szCs w:val="28"/>
          <w:rtl/>
        </w:rPr>
        <w:t xml:space="preserve">al-istixara</w:t>
      </w:r>
    </w:p>
    <w:p>
      <w:pPr>
        <w:pStyle w:val="BookText"/>
      </w:pPr>
      <w:r>
        <w:rPr>
          <w:rFonts w:ascii="IRNazanin" w:hAnsi="IRNazanin" w:eastAsia="IRNazanin" w:cs="IRNazanin"/>
          <w:lang w:bidi="fa-IR"/>
          <w:color w:val="111111"/>
          <w:sz w:val="28"/>
          <w:szCs w:val="28"/>
          <w:rtl/>
        </w:rPr>
        <w:t xml:space="preserve">حسینی میبدی، علی بن محمد علی، - ۱۳۱۳ قمری</w:t>
      </w:r>
    </w:p>
    <w:p>
      <w:pPr>
        <w:pStyle w:val="BookText"/>
      </w:pPr>
      <w:r>
        <w:rPr>
          <w:rFonts w:ascii="Times New Roman" w:hAnsi="Times New Roman" w:eastAsia="Times New Roman" w:cs="Times New Roman"/>
          <w:lang w:val="en-US" w:bidi="en-US"/>
          <w:color w:val="111111"/>
          <w:sz w:val="28"/>
          <w:szCs w:val="28"/>
          <w:rtl/>
        </w:rPr>
        <w:t xml:space="preserve">(hoseyni meybodī, 'alī ebn-e mohammad alī (- 1896)</w:t>
      </w:r>
    </w:p>
    <w:p>
      <w:pPr>
        <w:pStyle w:val="BookText"/>
      </w:pPr>
      <w:r>
        <w:rPr>
          <w:rFonts w:ascii="IRNazanin" w:hAnsi="IRNazanin" w:eastAsia="IRNazanin" w:cs="IRNazanin"/>
          <w:lang w:bidi="fa-IR"/>
          <w:color w:val="111111"/>
          <w:sz w:val="28"/>
          <w:szCs w:val="28"/>
          <w:rtl/>
        </w:rPr>
        <w:t xml:space="preserve">تاریخ تالیف: پنج شنبه ۲۴ ذیحجه ۱۲۸۷ق</w:t>
      </w:r>
    </w:p>
    <w:p>
      <w:pPr>
        <w:pStyle w:val="BookText"/>
      </w:pPr>
      <w:r>
        <w:rPr>
          <w:rFonts w:ascii="IRNazanin" w:hAnsi="IRNazanin" w:eastAsia="IRNazanin" w:cs="IRNazanin"/>
          <w:lang w:bidi="fa-IR"/>
          <w:color w:val="111111"/>
          <w:sz w:val="28"/>
          <w:szCs w:val="28"/>
          <w:rtl/>
        </w:rPr>
        <w:t xml:space="preserve">دارای یک «مقدمه» و شش «فصل» و یک «خاتمه»: المقدمة فى الأسباب و الآلات المعدة للاستخارة؛ فصل ۱. الاستخارة بالرقاع .٢ الاستخارة بالمصحف؛ ٣. الاستخارة بالسبحة؛ ۴. الاستخارة بالقلب؛ ۵. الاستخارة بلسان الغير (المشورة)؛ ۶. الاستخارة بالقرعة؛ الخاتمة في سائر اقسام الاستخارة</w:t>
      </w:r>
    </w:p>
    <w:p>
      <w:pPr>
        <w:pStyle w:val="BookText"/>
      </w:pPr>
      <w:r>
        <w:rPr>
          <w:rFonts w:ascii="Amiri" w:hAnsi="Amiri" w:eastAsia="Amiri" w:cs="Amiri"/>
          <w:lang w:bidi="ar-SA"/>
          <w:color w:val="111111"/>
          <w:sz w:val="28"/>
          <w:szCs w:val="28"/>
          <w:rtl/>
        </w:rPr>
        <w:t xml:space="preserve">آغاز: الحمد لله رب العالمين... هذه وجيزة فى الاستخارة و هى فى اللغة طلب الخيرة على ما في القاموس</w:t>
      </w:r>
    </w:p>
    <w:p>
      <w:pPr>
        <w:pStyle w:val="BookText"/>
      </w:pPr>
      <w:r>
        <w:rPr>
          <w:rFonts w:ascii="Amiri" w:hAnsi="Amiri" w:eastAsia="Amiri" w:cs="Amiri"/>
          <w:lang w:bidi="ar-SA"/>
          <w:color w:val="111111"/>
          <w:sz w:val="28"/>
          <w:szCs w:val="28"/>
          <w:rtl/>
        </w:rPr>
        <w:t xml:space="preserve">انجام: و لو ادخره ليوم الفاقة الكبرى لكان لذلك اهلاً، الحمد لله أولاً وآخراً و ظاهراً وباطناً.</w:t>
      </w:r>
    </w:p>
    <w:p>
      <w:pPr>
        <w:pStyle w:val="BookText"/>
      </w:pPr>
      <w:r>
        <w:rPr>
          <w:rFonts w:ascii="IRNazanin" w:hAnsi="IRNazanin" w:eastAsia="IRNazanin" w:cs="IRNazanin"/>
          <w:lang w:bidi="fa-IR"/>
          <w:color w:val="111111"/>
          <w:sz w:val="28"/>
          <w:szCs w:val="28"/>
          <w:rtl/>
        </w:rPr>
        <w:t xml:space="preserve">۱. کرمانشاه؛ میبدی (خاندان)؛ شماره نسخه: ۱۸</w:t>
      </w:r>
    </w:p>
    <w:p>
      <w:pPr>
        <w:pStyle w:val="BookText"/>
      </w:pPr>
      <w:r>
        <w:rPr>
          <w:rFonts w:ascii="IRNazanin" w:hAnsi="IRNazanin" w:eastAsia="IRNazanin" w:cs="IRNazanin"/>
          <w:lang w:bidi="fa-IR"/>
          <w:color w:val="111111"/>
          <w:sz w:val="28"/>
          <w:szCs w:val="28"/>
          <w:rtl/>
        </w:rPr>
        <w:t xml:space="preserve">آغاز : برابر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50" w:name="pg20365_260229"/>
    <w:bookmarkEnd w:id="150"/>
    <w:p>
      <w:pPr>
        <w:pStyle w:val="BookText"/>
      </w:pPr>
      <w:r>
        <w:rPr>
          <w:rFonts w:ascii="IRNazanin" w:hAnsi="IRNazanin" w:eastAsia="IRNazanin" w:cs="IRNazanin"/>
          <w:lang w:bidi="fa-IR"/>
          <w:color w:val="111111"/>
          <w:sz w:val="28"/>
          <w:szCs w:val="28"/>
          <w:rtl/>
        </w:rPr>
        <w:t xml:space="preserve">خط: نسخ، بی کا، تا: ۱۲۸۸ق؛ جلد: تیماج  مشکی، ۸۳گ، 14سطر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۲۲]</w:t>
      </w:r>
    </w:p>
    <w:p>
      <w:pPr>
        <w:pStyle w:val="BookText"/>
      </w:pPr>
      <w:r>
        <w:rPr>
          <w:rFonts w:ascii="IRNazanin" w:hAnsi="IRNazanin" w:eastAsia="IRNazanin" w:cs="IRNazanin"/>
          <w:lang w:bidi="fa-IR"/>
          <w:color w:val="111111"/>
          <w:sz w:val="28"/>
          <w:szCs w:val="28"/>
          <w:rtl/>
        </w:rPr>
        <w:t xml:space="preserve">قم؛ مرکز احیاء؛ شماره نسخه: ۲۳۰۰</w:t>
      </w:r>
    </w:p>
    <w:p>
      <w:pPr>
        <w:pStyle w:val="BookText"/>
      </w:pPr>
      <w:r>
        <w:rPr>
          <w:rFonts w:ascii="IRNazanin" w:hAnsi="IRNazanin" w:eastAsia="IRNazanin" w:cs="IRNazanin"/>
          <w:lang w:bidi="fa-IR"/>
          <w:color w:val="111111"/>
          <w:sz w:val="28"/>
          <w:szCs w:val="28"/>
          <w:rtl/>
        </w:rPr>
        <w:t xml:space="preserve">نسخه اصل: همان نسخه بالا [عکسی ف: ۶ - ۳۴۶]</w:t>
      </w:r>
    </w:p>
    <w:p>
      <w:pPr>
        <w:pStyle w:val="BookText"/>
      </w:pPr>
      <w:r>
        <w:rPr>
          <w:rFonts w:ascii="IRNazanin" w:hAnsi="IRNazanin" w:eastAsia="IRNazanin" w:cs="IRNazanin"/>
          <w:lang w:bidi="fa-IR"/>
          <w:color w:val="111111"/>
          <w:sz w:val="28"/>
          <w:szCs w:val="28"/>
          <w:rtl/>
        </w:rPr>
        <w:t xml:space="preserve">۲ . مشهد؛ میبدی؛ شماره نسخه: ۵/۳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كا: عبدالكريم بن محمد اسماعيل بروجردی، تا: با تاریخ ۱۲۹۷ق ؛جلد: تیماج قهوه ای،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۲۵سم[شخصی میبدی -ف: ۱- 22]</w:t>
      </w:r>
    </w:p>
    <w:p>
      <w:pPr>
        <w:pStyle w:val="BookText"/>
      </w:pPr>
      <w:r>
        <w:rPr>
          <w:rFonts w:ascii="IRNazanin" w:hAnsi="IRNazanin" w:eastAsia="IRNazanin" w:cs="IRNazanin"/>
          <w:lang w:bidi="fa-IR"/>
          <w:color w:val="111111"/>
          <w:sz w:val="28"/>
          <w:szCs w:val="28"/>
          <w:rtl/>
        </w:rPr>
        <w:t xml:space="preserve">قم؛ مرکز احیاء؛ شماره نسخه: ۲۱۳۷/۳</w:t>
      </w:r>
    </w:p>
    <w:p>
      <w:pPr>
        <w:pStyle w:val="BookText"/>
      </w:pPr>
      <w:r>
        <w:rPr>
          <w:rFonts w:ascii="IRNazanin" w:hAnsi="IRNazanin" w:eastAsia="IRNazanin" w:cs="IRNazanin"/>
          <w:lang w:bidi="fa-IR"/>
          <w:color w:val="111111"/>
          <w:sz w:val="28"/>
          <w:szCs w:val="28"/>
          <w:rtl/>
        </w:rPr>
        <w:t xml:space="preserve">نسخه اصل: همان نسخه بالا [ عکسی ف: ۶ - ۱۷۷]</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مشهد؛ میبدی؛ شماره نسخه: ۱۵/۱۰</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کا: عبدالکریم بن محمد اسماعيل بروجردی ،کرمانشاهی، تا: پنج شنبه ۵ محرم ۱۳۰۱ق؛ جلد: تیماج قهوه ای، ۷۸ ص (۲۵۱-۳۲۸)، ۲۱ سطر [شخصی میبدی-ف: ۱-۴۶]</w:t>
      </w:r>
    </w:p>
    <w:p>
      <w:pPr>
        <w:pStyle w:val="BookText"/>
      </w:pPr>
      <w:r>
        <w:rPr>
          <w:rFonts w:ascii="IRNazanin" w:hAnsi="IRNazanin" w:eastAsia="IRNazanin" w:cs="IRNazanin"/>
          <w:lang w:bidi="fa-IR"/>
          <w:color w:val="111111"/>
          <w:sz w:val="28"/>
          <w:szCs w:val="28"/>
          <w:rtl/>
        </w:rPr>
        <w:t xml:space="preserve">قم؛ مرکز احیاء؛ شماره نسخه: ۲۱۳۹/۱۰</w:t>
      </w:r>
    </w:p>
    <w:p>
      <w:pPr>
        <w:pStyle w:val="BookText"/>
      </w:pPr>
      <w:r>
        <w:rPr>
          <w:rFonts w:ascii="IRNazanin" w:hAnsi="IRNazanin" w:eastAsia="IRNazanin" w:cs="IRNazanin"/>
          <w:lang w:bidi="fa-IR"/>
          <w:color w:val="111111"/>
          <w:sz w:val="28"/>
          <w:szCs w:val="28"/>
          <w:rtl/>
        </w:rPr>
        <w:t xml:space="preserve">نسخه اصل: همان نسخه بالا [ عکسی ف: ۶ - ۱۸۴]</w:t>
      </w:r>
    </w:p>
    <w:p>
      <w:pPr>
        <w:pStyle w:val="BookText"/>
      </w:pPr>
      <w:r>
        <w:rPr>
          <w:rFonts w:ascii="IRNazanin" w:hAnsi="IRNazanin" w:eastAsia="IRNazanin" w:cs="IRNazanin"/>
          <w:lang w:bidi="fa-IR"/>
          <w:color w:val="111111"/>
          <w:sz w:val="28"/>
          <w:szCs w:val="28"/>
          <w:rtl/>
        </w:rPr>
        <w:t xml:space="preserve">۴. مشهد؛ میبدی؛ شماره نسخه: ۱۴/۳</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بی کا، بی تا؛ جلد: تیماج سبز،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۳۵/۵سم [ف: ۱ - ۴۱]</w:t>
      </w:r>
    </w:p>
    <w:p>
      <w:pPr>
        <w:pStyle w:val="BookText"/>
      </w:pPr>
      <w:r>
        <w:rPr>
          <w:rFonts w:ascii="IRNazanin" w:hAnsi="IRNazanin" w:eastAsia="IRNazanin" w:cs="IRNazanin"/>
          <w:lang w:bidi="fa-IR"/>
          <w:color w:val="111111"/>
          <w:sz w:val="28"/>
          <w:szCs w:val="28"/>
          <w:rtl/>
        </w:rPr>
        <w:t xml:space="preserve">قم؛ مرکز احیاء؛ شماره نسخه: ۲۱۳۵/۳</w:t>
      </w:r>
    </w:p>
    <w:p>
      <w:pPr>
        <w:pStyle w:val="BookText"/>
      </w:pPr>
      <w:r>
        <w:rPr>
          <w:rFonts w:ascii="IRNazanin" w:hAnsi="IRNazanin" w:eastAsia="IRNazanin" w:cs="IRNazanin"/>
          <w:lang w:bidi="fa-IR"/>
          <w:color w:val="111111"/>
          <w:sz w:val="28"/>
          <w:szCs w:val="28"/>
          <w:rtl/>
        </w:rPr>
        <w:t xml:space="preserve">نسخه اصل: همان نسخه بالا [عکسی ف: ۶ - ۱۷۰]</w:t>
      </w:r>
    </w:p>
    <w:p>
      <w:pPr>
        <w:pStyle w:val="Heading3"/>
      </w:pPr>
      <w:bookmarkStart w:id="999" w:name="_Toc521"/>
      <w:r>
        <w:t>الاستخارة / استخاره / فارسی</w:t>
      </w:r>
      <w:bookmarkEnd w:id="999"/>
    </w:p>
    <w:p>
      <w:pPr>
        <w:pStyle w:val="BookText"/>
      </w:pPr>
      <w:r>
        <w:rPr>
          <w:rFonts w:ascii="Times New Roman" w:hAnsi="Times New Roman" w:eastAsia="Times New Roman" w:cs="Times New Roman"/>
          <w:lang w:val="en-US" w:bidi="en-US"/>
          <w:color w:val="111111"/>
          <w:sz w:val="28"/>
          <w:szCs w:val="28"/>
          <w:rtl/>
        </w:rPr>
        <w:t xml:space="preserve">al-istixāra</w:t>
      </w:r>
    </w:p>
    <w:p>
      <w:pPr>
        <w:pStyle w:val="BookText"/>
      </w:pPr>
      <w:r>
        <w:rPr>
          <w:rFonts w:ascii="IRNazanin" w:hAnsi="IRNazanin" w:eastAsia="IRNazanin" w:cs="IRNazanin"/>
          <w:lang w:bidi="fa-IR"/>
          <w:color w:val="111111"/>
          <w:sz w:val="28"/>
          <w:szCs w:val="28"/>
          <w:rtl/>
        </w:rPr>
        <w:t xml:space="preserve">حائری ،سنقری محمد علی بن حسن علی،-  1378قمری</w:t>
      </w:r>
    </w:p>
    <w:p>
      <w:pPr>
        <w:pStyle w:val="BookText"/>
      </w:pPr>
      <w:r>
        <w:rPr>
          <w:rFonts w:ascii="Times New Roman" w:hAnsi="Times New Roman" w:eastAsia="Times New Roman" w:cs="Times New Roman"/>
          <w:lang w:val="en-US" w:bidi="en-US"/>
          <w:color w:val="111111"/>
          <w:sz w:val="28"/>
          <w:szCs w:val="28"/>
          <w:rtl/>
        </w:rPr>
        <w:t xml:space="preserve">hā’erī sonqorī, mohammad ‘alī ebn-e hasan ‘alī (</w:t>
      </w:r>
    </w:p>
    <w:p>
      <w:pPr>
        <w:pStyle w:val="BookText"/>
      </w:pPr>
      <w:r>
        <w:rPr>
          <w:rFonts w:ascii="Times New Roman" w:hAnsi="Times New Roman" w:eastAsia="Times New Roman" w:cs="Times New Roman"/>
          <w:lang w:val="en-US" w:bidi="en-US"/>
          <w:color w:val="111111"/>
          <w:sz w:val="28"/>
          <w:szCs w:val="28"/>
          <w:rtl/>
        </w:rPr>
        <w:t xml:space="preserve">(1959-)</w:t>
      </w:r>
    </w:p>
    <w:p>
      <w:pPr>
        <w:pStyle w:val="BookText"/>
      </w:pPr>
      <w:r>
        <w:rPr>
          <w:rFonts w:ascii="IRNazanin" w:hAnsi="IRNazanin" w:eastAsia="IRNazanin" w:cs="IRNazanin"/>
          <w:lang w:bidi="fa-IR"/>
          <w:color w:val="111111"/>
          <w:sz w:val="28"/>
          <w:szCs w:val="28"/>
          <w:rtl/>
        </w:rPr>
        <w:t xml:space="preserve">رساله مختصری است در  آداب، کیفیت و فضیلت و انواع استخاره، با استفاده از احادیث.</w:t>
      </w:r>
    </w:p>
    <w:p>
      <w:pPr>
        <w:pStyle w:val="BookText"/>
      </w:pPr>
      <w:r>
        <w:rPr>
          <w:rFonts w:ascii="IRNazanin" w:hAnsi="IRNazanin" w:eastAsia="IRNazanin" w:cs="IRNazanin"/>
          <w:lang w:bidi="fa-IR"/>
          <w:color w:val="111111"/>
          <w:sz w:val="28"/>
          <w:szCs w:val="28"/>
          <w:rtl/>
        </w:rPr>
        <w:t xml:space="preserve">قم؛ طبسی؛ شماره نسخه: ۴۰/۲</w:t>
      </w:r>
    </w:p>
    <w:p>
      <w:pPr>
        <w:pStyle w:val="BookText"/>
      </w:pPr>
      <w:r>
        <w:rPr>
          <w:rFonts w:ascii="IRNazanin" w:hAnsi="IRNazanin" w:eastAsia="IRNazanin" w:cs="IRNazanin"/>
          <w:lang w:bidi="fa-IR"/>
          <w:color w:val="111111"/>
          <w:sz w:val="28"/>
          <w:szCs w:val="28"/>
          <w:rtl/>
        </w:rPr>
        <w:t xml:space="preserve">آغاز: بسمله الحمد لله الذى من لطفه بعباده اوجب على نفسه لهم للمستغفرين منهم المغفرة... چنین گوید خادم احادیث ... محـمد على الحائرى اولا باید دانست که شرط است در استخاره اطمینان و یقین و توجه؛ انجام: خيرة الشارق و نیز از کراجکی نقل شـده که در روایت رسیده دو رقعه استخاره ... و بر آن عمل کند</w:t>
      </w:r>
    </w:p>
    <w:p>
      <w:pPr>
        <w:pStyle w:val="BookText"/>
      </w:pPr>
      <w:r>
        <w:rPr>
          <w:rFonts w:ascii="IRNazanin" w:hAnsi="IRNazanin" w:eastAsia="IRNazanin" w:cs="IRNazanin"/>
          <w:lang w:bidi="fa-IR"/>
          <w:color w:val="111111"/>
          <w:sz w:val="28"/>
          <w:szCs w:val="28"/>
          <w:rtl/>
        </w:rPr>
        <w:t xml:space="preserve">خط: نسخ و نستعلیق، کاتب - مؤلف، بی تا، جلد: تیماج  سرخ ضربی  مجدول، ۶گ، ۳۰ سطر ، اندازه: ۱۸</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۲۷سم [طبسی مخ: 1- 232]</w:t>
      </w:r>
    </w:p>
    <w:p>
      <w:pPr>
        <w:pStyle w:val="Heading3"/>
      </w:pPr>
      <w:bookmarkStart w:id="1000" w:name="_Toc522"/>
      <w:r>
        <w:t>استخاره / استخاره / فارسی</w:t>
      </w:r>
      <w:bookmarkEnd w:id="1000"/>
    </w:p>
    <w:p>
      <w:pPr>
        <w:pStyle w:val="BookText"/>
      </w:pPr>
      <w:r>
        <w:rPr>
          <w:rFonts w:ascii="Times New Roman" w:hAnsi="Times New Roman" w:eastAsia="Times New Roman" w:cs="Times New Roman"/>
          <w:lang w:val="en-US" w:bidi="en-US"/>
          <w:color w:val="111111"/>
          <w:sz w:val="28"/>
          <w:szCs w:val="28"/>
          <w:rtl/>
        </w:rPr>
        <w:t xml:space="preserve">estexāre</w:t>
      </w:r>
    </w:p>
    <w:p>
      <w:pPr>
        <w:pStyle w:val="BookText"/>
      </w:pPr>
      <w:r>
        <w:rPr>
          <w:rFonts w:ascii="IRNazanin" w:hAnsi="IRNazanin" w:eastAsia="IRNazanin" w:cs="IRNazanin"/>
          <w:lang w:bidi="fa-IR"/>
          <w:color w:val="111111"/>
          <w:sz w:val="28"/>
          <w:szCs w:val="28"/>
          <w:rtl/>
        </w:rPr>
        <w:t xml:space="preserve">شیخ محمد ابراهیم</w:t>
      </w:r>
    </w:p>
    <w:p>
      <w:pPr>
        <w:pStyle w:val="BookText"/>
      </w:pPr>
      <w:r>
        <w:rPr>
          <w:rFonts w:ascii="Times New Roman" w:hAnsi="Times New Roman" w:eastAsia="Times New Roman" w:cs="Times New Roman"/>
          <w:lang w:val="en-US" w:bidi="en-US"/>
          <w:color w:val="111111"/>
          <w:sz w:val="28"/>
          <w:szCs w:val="28"/>
          <w:rtl/>
        </w:rPr>
        <w:t xml:space="preserve">šeyx mohammad ebrāhīm</w:t>
      </w:r>
    </w:p>
    <w:p>
      <w:pPr>
        <w:pStyle w:val="BookText"/>
      </w:pPr>
      <w:r>
        <w:rPr>
          <w:rFonts w:ascii="IRNazanin" w:hAnsi="IRNazanin" w:eastAsia="IRNazanin" w:cs="IRNazanin"/>
          <w:lang w:bidi="fa-IR"/>
          <w:color w:val="111111"/>
          <w:sz w:val="28"/>
          <w:szCs w:val="28"/>
          <w:rtl/>
        </w:rPr>
        <w:t xml:space="preserve">رساله ای است بسیار کوتاه در راه و روش استخاره کردن همچون استخاره ذات الرقاع، استخاره به تسبیح و قرآن، که از شیخ طوسی و از «مصابیح» علامه حلی و «فتح الابواب» سيد بن طاووس نقل کرده است. در الذریعة چند رساله استخاره آمده ولی از این رساله نام برده نشده است.</w:t>
      </w:r>
    </w:p>
    <w:p>
      <w:pPr>
        <w:pStyle w:val="BookText"/>
      </w:pPr>
      <w:r>
        <w:rPr>
          <w:rFonts w:ascii="IRNazanin" w:hAnsi="IRNazanin" w:eastAsia="IRNazanin" w:cs="IRNazanin"/>
          <w:lang w:bidi="fa-IR"/>
          <w:color w:val="111111"/>
          <w:sz w:val="28"/>
          <w:szCs w:val="28"/>
          <w:rtl/>
        </w:rPr>
        <w:t xml:space="preserve">١. قم؛ مرعشی؛ شماره نسخه: ۱۲۶۷۷/۱۷</w:t>
      </w:r>
    </w:p>
    <w:p>
      <w:pPr>
        <w:pStyle w:val="BookText"/>
      </w:pPr>
      <w:r>
        <w:rPr>
          <w:rFonts w:ascii="IRNazanin" w:hAnsi="IRNazanin" w:eastAsia="IRNazanin" w:cs="IRNazanin"/>
          <w:lang w:bidi="fa-IR"/>
          <w:color w:val="111111"/>
          <w:sz w:val="28"/>
          <w:szCs w:val="28"/>
          <w:rtl/>
        </w:rPr>
        <w:t xml:space="preserve">آغاز: بدانکه طرق استخاره از اهل بیت به انواع متعدد وارد شده از این جمله استخاره ذات الرقاع، انجام: و ان لم يكن فاصرفه عنى واقدر لى فيه الخيرة انک علی کل شیء قدير يا ارحم الراحمين الحمد لله رب العالمين.</w:t>
      </w:r>
    </w:p>
    <w:p>
      <w:pPr>
        <w:pStyle w:val="BookText"/>
      </w:pPr>
      <w:r>
        <w:rPr>
          <w:rFonts w:ascii="IRNazanin" w:hAnsi="IRNazanin" w:eastAsia="IRNazanin" w:cs="IRNazanin"/>
          <w:lang w:bidi="fa-IR"/>
          <w:color w:val="111111"/>
          <w:sz w:val="28"/>
          <w:szCs w:val="28"/>
          <w:rtl/>
        </w:rPr>
        <w:t xml:space="preserve">خط: نسخ و نستعلیق، کا: عبدالباقي بن عبدالباقی بن رضی الدین محمد حسین  آرتیمانی، تا: قرن ۱۱؛ مصحح، ۷ برگ مطالبی از «منهاج الصلاح» علامه حلی شهید  اول، شیخ حر عاملی، امام  سجاد، كفعمي، المجتنى سيد بن طاووس، کشکول شیخ بهائی و یادداشت های گوناگون دیگر در انجام این رساله آمده است؛ کاغذ: شرقی، اگ (۱۰۷-۱۰۸)، ۲۱ سطر،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w:t>
      </w:r>
    </w:p>
    <w:p>
      <w:pPr>
        <w:pStyle w:val="BookText"/>
      </w:pPr>
      <w:r>
        <w:rPr>
          <w:rFonts w:ascii="Times New Roman" w:hAnsi="Times New Roman" w:eastAsia="Times New Roman" w:cs="Times New Roman"/>
          <w:lang w:val="en-US" w:bidi="en-US"/>
          <w:color w:val="111111"/>
          <w:sz w:val="28"/>
          <w:szCs w:val="28"/>
          <w:rtl/>
        </w:rPr>
        <w:t xml:space="preserve">32- 206]</w:t>
      </w:r>
    </w:p>
    <w:p>
      <w:pPr>
        <w:pStyle w:val="BookText"/>
      </w:pPr>
      <w:r>
        <w:rPr>
          <w:rFonts w:ascii="IRNazanin" w:hAnsi="IRNazanin" w:eastAsia="IRNazanin" w:cs="IRNazanin"/>
          <w:lang w:bidi="fa-IR"/>
          <w:color w:val="111111"/>
          <w:sz w:val="28"/>
          <w:szCs w:val="28"/>
          <w:rtl/>
        </w:rPr>
        <w:t xml:space="preserve">۲. تهران؛ ملک؛ شماره نسخه: ۶۴۳۷/۳</w:t>
      </w:r>
    </w:p>
    <w:p>
      <w:pPr>
        <w:pStyle w:val="BookText"/>
      </w:pPr>
      <w:r>
        <w:rPr>
          <w:rFonts w:ascii="IRNazanin" w:hAnsi="IRNazanin" w:eastAsia="IRNazanin" w:cs="IRNazanin"/>
          <w:lang w:bidi="fa-IR"/>
          <w:color w:val="111111"/>
          <w:sz w:val="28"/>
          <w:szCs w:val="28"/>
          <w:rtl/>
        </w:rPr>
        <w:t xml:space="preserve">آغاز: اما در بیان استخاره ذات الرقاع است از حضرت صادق منقول است؛ انجام: انک علی کل شیء قدير يا ارحم الراحمين</w:t>
      </w:r>
    </w:p>
    <w:p>
      <w:pPr>
        <w:pStyle w:val="BookText"/>
      </w:pPr>
      <w:r>
        <w:rPr>
          <w:rFonts w:ascii="IRNazanin" w:hAnsi="IRNazanin" w:eastAsia="IRNazanin" w:cs="IRNazanin"/>
          <w:lang w:bidi="fa-IR"/>
          <w:color w:val="111111"/>
          <w:sz w:val="28"/>
          <w:szCs w:val="28"/>
          <w:rtl/>
        </w:rPr>
        <w:t xml:space="preserve">با عنوان «استخاره ذات الرقاع»؛ كا:محمد ابراهیم گوهری، تا: ۱۲۹۳ق؛ مجدول؛ کاغذ: فرنگی الوان، جلد: میشن قرمز لایی، 3گ (۲۳ پ - ۲۵ر) ۱۴  سطر،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۹ - ۳۹۰]</w:t>
      </w:r>
    </w:p>
    <w:p>
      <w:pPr>
        <w:pStyle w:val="Heading3"/>
      </w:pPr>
      <w:bookmarkStart w:id="1001" w:name="_Toc523"/>
      <w:r>
        <w:t>الاستخارة / استخاره / عربی</w:t>
      </w:r>
      <w:bookmarkEnd w:id="1001"/>
    </w:p>
    <w:p>
      <w:pPr>
        <w:pStyle w:val="BookText"/>
      </w:pPr>
      <w:r>
        <w:rPr>
          <w:rFonts w:ascii="Times New Roman" w:hAnsi="Times New Roman" w:eastAsia="Times New Roman" w:cs="Times New Roman"/>
          <w:lang w:val="en-US" w:bidi="en-US"/>
          <w:color w:val="111111"/>
          <w:sz w:val="28"/>
          <w:szCs w:val="28"/>
          <w:rtl/>
        </w:rPr>
        <w:t xml:space="preserve">al-istixāra</w:t>
      </w:r>
    </w:p>
    <w:p>
      <w:pPr>
        <w:pStyle w:val="BookText"/>
      </w:pPr>
      <w:r>
        <w:rPr>
          <w:rFonts w:ascii="IRNazanin" w:hAnsi="IRNazanin" w:eastAsia="IRNazanin" w:cs="IRNazanin"/>
          <w:lang w:bidi="fa-IR"/>
          <w:color w:val="111111"/>
          <w:sz w:val="28"/>
          <w:szCs w:val="28"/>
          <w:rtl/>
        </w:rPr>
        <w:t xml:space="preserve">عاملی، علی بن یوسف</w:t>
      </w:r>
    </w:p>
    <w:p>
      <w:pPr>
        <w:pStyle w:val="BookText"/>
      </w:pPr>
      <w:r>
        <w:rPr>
          <w:rFonts w:ascii="Times New Roman" w:hAnsi="Times New Roman" w:eastAsia="Times New Roman" w:cs="Times New Roman"/>
          <w:lang w:val="en-US" w:bidi="en-US"/>
          <w:color w:val="111111"/>
          <w:sz w:val="28"/>
          <w:szCs w:val="28"/>
          <w:rtl/>
        </w:rPr>
        <w:t xml:space="preserve">āmelī, ‘alī ebn-e yūsof</w:t>
      </w:r>
    </w:p>
    <w:p>
      <w:pPr>
        <w:pStyle w:val="BookText"/>
      </w:pPr>
      <w:r>
        <w:rPr>
          <w:rFonts w:ascii="IRNazanin" w:hAnsi="IRNazanin" w:eastAsia="IRNazanin" w:cs="IRNazanin"/>
          <w:lang w:bidi="fa-IR"/>
          <w:color w:val="111111"/>
          <w:sz w:val="28"/>
          <w:szCs w:val="28"/>
          <w:rtl/>
        </w:rPr>
        <w:t xml:space="preserve">رساله ای در چهار «باب»</w:t>
      </w:r>
    </w:p>
    <w:p>
      <w:pPr>
        <w:pStyle w:val="BookText"/>
      </w:pPr>
      <w:r>
        <w:rPr>
          <w:rFonts w:ascii="Amiri" w:hAnsi="Amiri" w:eastAsia="Amiri" w:cs="Amiri"/>
          <w:lang w:bidi="ar-SA"/>
          <w:color w:val="111111"/>
          <w:sz w:val="28"/>
          <w:szCs w:val="28"/>
          <w:rtl/>
        </w:rPr>
        <w:t xml:space="preserve">آغاز: بسمله الحمدلله و سلامه على عباده الذي اصطفى ...و بعد فيقول على بن يوسف العاملى مولداً و النجفى مسكنا هذه نبذ يسير في كيفية الاستخار انتخبتها من بعض كتب الاصحاب اجابة لالتماس بعض الاحباء و هي مرتبة على ابواب الأول في معنى الاستخارة فى اللغة العربية، الثانى فى فضلها، الثالث في آدابها الرابع في كيفيتها</w:t>
      </w:r>
    </w:p>
    <w:p>
      <w:pPr>
        <w:pStyle w:val="BookText"/>
      </w:pPr>
      <w:r>
        <w:rPr>
          <w:rFonts w:ascii="Amiri" w:hAnsi="Amiri" w:eastAsia="Amiri" w:cs="Amiri"/>
          <w:lang w:bidi="ar-SA"/>
          <w:color w:val="111111"/>
          <w:sz w:val="28"/>
          <w:szCs w:val="28"/>
          <w:rtl/>
        </w:rPr>
        <w:t xml:space="preserve">انجام: و ليكن هذا آخر ما اردنا اثباته من كيفية الاستخارة و ادبها و الحمد لله وحده.</w:t>
      </w:r>
    </w:p>
    <w:p>
      <w:pPr>
        <w:pStyle w:val="BookText"/>
      </w:pPr>
      <w:r>
        <w:rPr>
          <w:rFonts w:ascii="IRNazanin" w:hAnsi="IRNazanin" w:eastAsia="IRNazanin" w:cs="IRNazanin"/>
          <w:lang w:bidi="fa-IR"/>
          <w:color w:val="111111"/>
          <w:sz w:val="28"/>
          <w:szCs w:val="28"/>
          <w:rtl/>
        </w:rPr>
        <w:t xml:space="preserve">1.تهران؛ دانشگاه؛ شماره نسخه: ۱۵۱۴/۱</w:t>
      </w:r>
    </w:p>
    <w:p>
      <w:pPr>
        <w:pStyle w:val="BookText"/>
      </w:pPr>
      <w:r>
        <w:rPr>
          <w:rFonts w:ascii="IRNazanin" w:hAnsi="IRNazanin" w:eastAsia="IRNazanin" w:cs="IRNazanin"/>
          <w:lang w:bidi="fa-IR"/>
          <w:color w:val="111111"/>
          <w:sz w:val="28"/>
          <w:szCs w:val="28"/>
          <w:rtl/>
        </w:rPr>
        <w:t xml:space="preserve">آغاز و انجام: برابر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51" w:name="pg20365_260230"/>
    <w:bookmarkEnd w:id="151"/>
    <w:p>
      <w:pPr>
        <w:pStyle w:val="BookText"/>
      </w:pPr>
      <w:r>
        <w:rPr>
          <w:rFonts w:ascii="IRNazanin" w:hAnsi="IRNazanin" w:eastAsia="IRNazanin" w:cs="IRNazanin"/>
          <w:lang w:bidi="fa-IR"/>
          <w:color w:val="111111"/>
          <w:sz w:val="28"/>
          <w:szCs w:val="28"/>
          <w:rtl/>
        </w:rPr>
        <w:t xml:space="preserve">خط: نسخ، کا: محمد تقی بن مولانا حاجی حسین بمى كرمانی، تا: ۲۰ صفر؛ کاغذ ،سپاهانی ،جلد: تیماج تریاکی مقوایی، ۵گ (۱پ-۵ر)، ۲۵ سطر (۸/۵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 ، اندازه: ۱۲/۵</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۲۳سم [ ف: 8- 150]</w:t>
      </w:r>
    </w:p>
    <w:p>
      <w:pPr>
        <w:pStyle w:val="BookText"/>
      </w:pPr>
      <w:r>
        <w:rPr>
          <w:rFonts w:ascii="IRNazanin" w:hAnsi="IRNazanin" w:eastAsia="IRNazanin" w:cs="IRNazanin"/>
          <w:lang w:bidi="fa-IR"/>
          <w:color w:val="111111"/>
          <w:sz w:val="28"/>
          <w:szCs w:val="28"/>
          <w:rtl/>
        </w:rPr>
        <w:t xml:space="preserve">۲ . مشهد؛ رضوی؛ شماره نسخه: ۱۸۴۳۸</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کاغذ: نخودی، جلد: تیماج [رایانه]</w:t>
      </w:r>
    </w:p>
    <w:p>
      <w:pPr>
        <w:pStyle w:val="Heading3"/>
      </w:pPr>
      <w:bookmarkStart w:id="1002" w:name="_Toc524"/>
      <w:r>
        <w:t>الاستخارة / استخاره / عربی</w:t>
      </w:r>
      <w:bookmarkEnd w:id="1002"/>
    </w:p>
    <w:p>
      <w:pPr>
        <w:pStyle w:val="BookText"/>
      </w:pPr>
      <w:r>
        <w:rPr>
          <w:rFonts w:ascii="Times New Roman" w:hAnsi="Times New Roman" w:eastAsia="Times New Roman" w:cs="Times New Roman"/>
          <w:lang w:val="en-US" w:bidi="en-US"/>
          <w:color w:val="111111"/>
          <w:sz w:val="28"/>
          <w:szCs w:val="28"/>
          <w:rtl/>
        </w:rPr>
        <w:t xml:space="preserve">al-istixāra</w:t>
      </w:r>
    </w:p>
    <w:p>
      <w:pPr>
        <w:pStyle w:val="BookText"/>
      </w:pPr>
      <w:r>
        <w:rPr>
          <w:rFonts w:ascii="IRNazanin" w:hAnsi="IRNazanin" w:eastAsia="IRNazanin" w:cs="IRNazanin"/>
          <w:lang w:bidi="fa-IR"/>
          <w:color w:val="111111"/>
          <w:sz w:val="28"/>
          <w:szCs w:val="28"/>
          <w:rtl/>
        </w:rPr>
        <w:t xml:space="preserve">تهران؛ مجلس؛ شماره نسخه: ۹۴۶۴/۲۹</w:t>
      </w:r>
    </w:p>
    <w:p>
      <w:pPr>
        <w:pStyle w:val="BookText"/>
      </w:pPr>
      <w:r>
        <w:rPr>
          <w:rFonts w:ascii="IRNazanin" w:hAnsi="IRNazanin" w:eastAsia="IRNazanin" w:cs="IRNazanin"/>
          <w:lang w:bidi="fa-IR"/>
          <w:color w:val="111111"/>
          <w:sz w:val="28"/>
          <w:szCs w:val="28"/>
          <w:rtl/>
        </w:rPr>
        <w:t xml:space="preserve">منقول از ابن طاوس ؛خط: تحریری، بی کا، تا: قرن ۱۱؛ ۱ ص (۳۰۴ - همان) [مختصر - ف: ۶۷۹]</w:t>
      </w:r>
    </w:p>
    <w:p>
      <w:pPr>
        <w:pStyle w:val="Heading3"/>
      </w:pPr>
      <w:bookmarkStart w:id="1003" w:name="_Toc525"/>
      <w:r>
        <w:t>الاستخارة = آیاتی از قرآن جهت استخاره / استخـاره / عربی</w:t>
      </w:r>
      <w:bookmarkEnd w:id="1003"/>
    </w:p>
    <w:p>
      <w:pPr>
        <w:pStyle w:val="BookText"/>
      </w:pPr>
      <w:r>
        <w:rPr>
          <w:rFonts w:ascii="Times New Roman" w:hAnsi="Times New Roman" w:eastAsia="Times New Roman" w:cs="Times New Roman"/>
          <w:lang w:val="en-US" w:bidi="en-US"/>
          <w:color w:val="111111"/>
          <w:sz w:val="28"/>
          <w:szCs w:val="28"/>
          <w:rtl/>
        </w:rPr>
        <w:t xml:space="preserve">al-istixāra = āyāt-ī az qor’ān jahat-e estexāre</w:t>
      </w:r>
    </w:p>
    <w:p>
      <w:pPr>
        <w:pStyle w:val="BookText"/>
      </w:pPr>
      <w:r>
        <w:rPr>
          <w:rFonts w:ascii="IRNazanin" w:hAnsi="IRNazanin" w:eastAsia="IRNazanin" w:cs="IRNazanin"/>
          <w:lang w:bidi="fa-IR"/>
          <w:color w:val="111111"/>
          <w:sz w:val="28"/>
          <w:szCs w:val="28"/>
          <w:rtl/>
        </w:rPr>
        <w:t xml:space="preserve">یزد؛ وزیری؛ شماره نسخه: ۳۶۱۶/۱</w:t>
      </w:r>
    </w:p>
    <w:p>
      <w:pPr>
        <w:pStyle w:val="BookText"/>
      </w:pPr>
      <w:r>
        <w:rPr>
          <w:rFonts w:ascii="IRNazanin" w:hAnsi="IRNazanin" w:eastAsia="IRNazanin" w:cs="IRNazanin"/>
          <w:lang w:bidi="fa-IR"/>
          <w:color w:val="111111"/>
          <w:sz w:val="28"/>
          <w:szCs w:val="28"/>
          <w:rtl/>
        </w:rPr>
        <w:t xml:space="preserve">آغاز: و وجدک ضالاً فهدی؛ انجام: در خصومت دست تو قوی بود</w:t>
      </w:r>
    </w:p>
    <w:p>
      <w:pPr>
        <w:pStyle w:val="BookText"/>
      </w:pPr>
      <w:r>
        <w:rPr>
          <w:rFonts w:ascii="IRNazanin" w:hAnsi="IRNazanin" w:eastAsia="IRNazanin" w:cs="IRNazanin"/>
          <w:lang w:bidi="fa-IR"/>
          <w:color w:val="111111"/>
          <w:sz w:val="28"/>
          <w:szCs w:val="28"/>
          <w:rtl/>
        </w:rPr>
        <w:t xml:space="preserve">خط: نستعليق، كا: محمد  مؤمن ،تا: ۱۰۱۹ق؛ افتادگی: آغازو انجام؛ کاغذ: اصفهانی، جلد: مقوایی روکش کاغذ ابری عطف و گوشه ها تیماج  قرمز، ۲۳ ص ،(۲۳-۱)، ۱۳ سطر (9</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اندازه: 13</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۵ - ۱۷۲۱]</w:t>
      </w:r>
    </w:p>
    <w:p>
      <w:pPr>
        <w:pStyle w:val="Heading3"/>
      </w:pPr>
      <w:bookmarkStart w:id="1004" w:name="_Toc526"/>
      <w:r>
        <w:t>الاستخارة / استخاره / عربي</w:t>
      </w:r>
      <w:bookmarkEnd w:id="1004"/>
    </w:p>
    <w:p>
      <w:pPr>
        <w:pStyle w:val="BookText"/>
      </w:pPr>
      <w:r>
        <w:rPr>
          <w:rFonts w:ascii="Times New Roman" w:hAnsi="Times New Roman" w:eastAsia="Times New Roman" w:cs="Times New Roman"/>
          <w:lang w:val="en-US" w:bidi="en-US"/>
          <w:color w:val="111111"/>
          <w:sz w:val="28"/>
          <w:szCs w:val="28"/>
          <w:rtl/>
        </w:rPr>
        <w:t xml:space="preserve">al-istixāra</w:t>
      </w:r>
    </w:p>
    <w:p>
      <w:pPr>
        <w:pStyle w:val="BookText"/>
      </w:pPr>
      <w:r>
        <w:rPr>
          <w:rFonts w:ascii="IRNazanin" w:hAnsi="IRNazanin" w:eastAsia="IRNazanin" w:cs="IRNazanin"/>
          <w:lang w:bidi="fa-IR"/>
          <w:color w:val="111111"/>
          <w:sz w:val="28"/>
          <w:szCs w:val="28"/>
          <w:rtl/>
        </w:rPr>
        <w:t xml:space="preserve">مشهد؛ الهیات؛ شماره نسخه: ۶۹۴/۸۳</w:t>
      </w:r>
    </w:p>
    <w:p>
      <w:pPr>
        <w:pStyle w:val="BookText"/>
      </w:pPr>
      <w:r>
        <w:rPr>
          <w:rFonts w:ascii="IRNazanin" w:hAnsi="IRNazanin" w:eastAsia="IRNazanin" w:cs="IRNazanin"/>
          <w:lang w:bidi="fa-IR"/>
          <w:color w:val="111111"/>
          <w:sz w:val="28"/>
          <w:szCs w:val="28"/>
          <w:rtl/>
        </w:rPr>
        <w:t xml:space="preserve">خط: نسخ و نستعلیق، بی کا، بی تا؛ کاغذ: فرنگی و فستقی؛ جـلد: تیماج ،عنابی ،۱ص ،اندازه: ۲۲/۵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۱۳/۵سم [ف: ۱ - ۵۵۰]</w:t>
      </w:r>
    </w:p>
    <w:p>
      <w:pPr>
        <w:pStyle w:val="BookText"/>
      </w:pPr>
      <w:r>
        <w:rPr>
          <w:rFonts w:ascii="IRNazanin" w:hAnsi="IRNazanin" w:eastAsia="IRNazanin" w:cs="IRNazanin"/>
          <w:lang w:bidi="fa-IR"/>
          <w:color w:val="111111"/>
          <w:sz w:val="28"/>
          <w:szCs w:val="28"/>
          <w:rtl/>
        </w:rPr>
        <w:t xml:space="preserve">«استخاره » آداب استخاره</w:t>
      </w:r>
    </w:p>
    <w:p>
      <w:pPr>
        <w:pStyle w:val="BookText"/>
      </w:pPr>
      <w:r>
        <w:rPr>
          <w:rFonts w:ascii="IRNazanin" w:hAnsi="IRNazanin" w:eastAsia="IRNazanin" w:cs="IRNazanin"/>
          <w:lang w:bidi="fa-IR"/>
          <w:color w:val="111111"/>
          <w:sz w:val="28"/>
          <w:szCs w:val="28"/>
          <w:rtl/>
        </w:rPr>
        <w:t xml:space="preserve">«استخاره » آیات استخاره</w:t>
      </w:r>
    </w:p>
    <w:p>
      <w:pPr>
        <w:pStyle w:val="Heading3"/>
      </w:pPr>
      <w:bookmarkStart w:id="1005" w:name="_Toc527"/>
      <w:r>
        <w:t>استخاره / استخاره / فارسی</w:t>
      </w:r>
      <w:bookmarkEnd w:id="1005"/>
    </w:p>
    <w:p>
      <w:pPr>
        <w:pStyle w:val="BookText"/>
      </w:pPr>
      <w:r>
        <w:rPr>
          <w:rFonts w:ascii="Times New Roman" w:hAnsi="Times New Roman" w:eastAsia="Times New Roman" w:cs="Times New Roman"/>
          <w:lang w:val="en-US" w:bidi="en-US"/>
          <w:color w:val="111111"/>
          <w:sz w:val="28"/>
          <w:szCs w:val="28"/>
          <w:rtl/>
        </w:rPr>
        <w:t xml:space="preserve">estexāre</w:t>
      </w:r>
    </w:p>
    <w:p>
      <w:pPr>
        <w:pStyle w:val="BookText"/>
      </w:pPr>
      <w:r>
        <w:rPr>
          <w:rFonts w:ascii="IRNazanin" w:hAnsi="IRNazanin" w:eastAsia="IRNazanin" w:cs="IRNazanin"/>
          <w:lang w:bidi="fa-IR"/>
          <w:color w:val="111111"/>
          <w:sz w:val="28"/>
          <w:szCs w:val="28"/>
          <w:rtl/>
        </w:rPr>
        <w:t xml:space="preserve">چند رساله غیر همانند: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الهیات؛ شماره نسخه: ۸۹/۳</w:t>
      </w:r>
    </w:p>
    <w:p>
      <w:pPr>
        <w:pStyle w:val="BookText"/>
      </w:pPr>
      <w:r>
        <w:rPr>
          <w:rFonts w:ascii="IRNazanin" w:hAnsi="IRNazanin" w:eastAsia="IRNazanin" w:cs="IRNazanin"/>
          <w:lang w:bidi="fa-IR"/>
          <w:color w:val="111111"/>
          <w:sz w:val="28"/>
          <w:szCs w:val="28"/>
          <w:rtl/>
        </w:rPr>
        <w:t xml:space="preserve">آغاز: الحجر. وجعلنا لكم فيها معایش اندرین بازرگانی سـود بسیار بیند؛ انجام: فاصبر صبراً جميلا: در فروختن این بنده  صبر کند</w:t>
      </w:r>
    </w:p>
    <w:p>
      <w:pPr>
        <w:pStyle w:val="BookText"/>
      </w:pPr>
      <w:r>
        <w:rPr>
          <w:rFonts w:ascii="IRNazanin" w:hAnsi="IRNazanin" w:eastAsia="IRNazanin" w:cs="IRNazanin"/>
          <w:lang w:bidi="fa-IR"/>
          <w:color w:val="111111"/>
          <w:sz w:val="28"/>
          <w:szCs w:val="28"/>
          <w:rtl/>
        </w:rPr>
        <w:t xml:space="preserve">در رساندن مقصود از آیات برای استخاره کننده؛ خط: نسخ و نستعلیق، بی کا، تا: قرن ۱۲؛ افتادگی: آغاز و انجام؛ کاغذ: فرنگی ،جلد: تیماج سبز  مقوایی، ۲۰گ (۱۶۵ر-۱۸۶پ)، ۱۵ سطر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۲۳۲]</w:t>
      </w:r>
    </w:p>
    <w:p>
      <w:pPr>
        <w:pStyle w:val="BookText"/>
      </w:pPr>
      <w:r>
        <w:rPr>
          <w:rFonts w:ascii="IRNazanin" w:hAnsi="IRNazanin" w:eastAsia="IRNazanin" w:cs="IRNazanin"/>
          <w:lang w:bidi="fa-IR"/>
          <w:color w:val="111111"/>
          <w:sz w:val="28"/>
          <w:szCs w:val="28"/>
          <w:rtl/>
        </w:rPr>
        <w:t xml:space="preserve">۲. تهران؛ دانشگاه؛ شماره نسخه: ۲۹۵۰/۸۱</w:t>
      </w:r>
    </w:p>
    <w:p>
      <w:pPr>
        <w:pStyle w:val="BookText"/>
      </w:pPr>
      <w:r>
        <w:rPr>
          <w:rFonts w:ascii="IRNazanin" w:hAnsi="IRNazanin" w:eastAsia="IRNazanin" w:cs="IRNazanin"/>
          <w:lang w:bidi="fa-IR"/>
          <w:color w:val="111111"/>
          <w:sz w:val="28"/>
          <w:szCs w:val="28"/>
          <w:rtl/>
        </w:rPr>
        <w:t xml:space="preserve">در طریق استخاره و وهم و دم و فال نامه و جدول ارسال قاصد و و دایره فال که امام رضا برای مامون ساخته و علی احمد  بصری (؟) آن را از عربی به فارسی برگرداند؛ خط: نستعلیق، بی کا، تا: قرن ۱۱ و ۱۲ ، ۱ص (۴۷۶) [ف :۱۰ - ۱۸۴۴]</w:t>
      </w:r>
    </w:p>
    <w:p>
      <w:pPr>
        <w:pStyle w:val="BookText"/>
      </w:pPr>
      <w:r>
        <w:rPr>
          <w:rFonts w:ascii="IRNazanin" w:hAnsi="IRNazanin" w:eastAsia="IRNazanin" w:cs="IRNazanin"/>
          <w:lang w:bidi="fa-IR"/>
          <w:color w:val="111111"/>
          <w:sz w:val="28"/>
          <w:szCs w:val="28"/>
          <w:rtl/>
        </w:rPr>
        <w:t xml:space="preserve">۳. تهران؛ لغت نامه دهخدا؛ شماره نسخه: ۲۵۳/۹</w:t>
      </w:r>
    </w:p>
    <w:p>
      <w:pPr>
        <w:pStyle w:val="BookText"/>
      </w:pPr>
      <w:r>
        <w:rPr>
          <w:rFonts w:ascii="IRNazanin" w:hAnsi="IRNazanin" w:eastAsia="IRNazanin" w:cs="IRNazanin"/>
          <w:lang w:bidi="fa-IR"/>
          <w:color w:val="111111"/>
          <w:sz w:val="28"/>
          <w:szCs w:val="28"/>
          <w:rtl/>
        </w:rPr>
        <w:t xml:space="preserve">خط: نستعلیق، بی  کا، تا: قرن ۱۳ ؛کاغذ: کبود، جلد: تیماج تریاکی، قطع: خشتی [ نشریه: ۳ - ۳۹۱]</w:t>
      </w:r>
    </w:p>
    <w:p>
      <w:pPr>
        <w:pStyle w:val="BookText"/>
      </w:pPr>
      <w:r>
        <w:rPr>
          <w:rFonts w:ascii="IRNazanin" w:hAnsi="IRNazanin" w:eastAsia="IRNazanin" w:cs="IRNazanin"/>
          <w:lang w:bidi="fa-IR"/>
          <w:color w:val="111111"/>
          <w:sz w:val="28"/>
          <w:szCs w:val="28"/>
          <w:rtl/>
        </w:rPr>
        <w:t xml:space="preserve">۴. تهران؛ مجلس؛ شماره نسخه: ۱۶۱۵۹</w:t>
      </w:r>
    </w:p>
    <w:p>
      <w:pPr>
        <w:pStyle w:val="BookText"/>
      </w:pPr>
      <w:r>
        <w:rPr>
          <w:rFonts w:ascii="IRNazanin" w:hAnsi="IRNazanin" w:eastAsia="IRNazanin" w:cs="IRNazanin"/>
          <w:lang w:bidi="fa-IR"/>
          <w:color w:val="111111"/>
          <w:sz w:val="28"/>
          <w:szCs w:val="28"/>
          <w:rtl/>
        </w:rPr>
        <w:t xml:space="preserve">خط: نسخ، بی کا، تا: ۱۵ ذیحجه ۱۲۴۵ق | مختصر - ف: ۵۱]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قم؛ مرعشی؛ شماره نسخه: ۱۴۹۷</w:t>
      </w:r>
    </w:p>
    <w:p>
      <w:pPr>
        <w:pStyle w:val="BookText"/>
      </w:pPr>
      <w:r>
        <w:rPr>
          <w:rFonts w:ascii="IRNazanin" w:hAnsi="IRNazanin" w:eastAsia="IRNazanin" w:cs="IRNazanin"/>
          <w:lang w:bidi="fa-IR"/>
          <w:color w:val="111111"/>
          <w:sz w:val="28"/>
          <w:szCs w:val="28"/>
          <w:rtl/>
        </w:rPr>
        <w:t xml:space="preserve">آغاز: لحیان – شرح استخاره اول چو در طالع در آید شکل لحیان ***بیارائی بزینت هم تن و جان / ترا عزت رسد نزد بزرگان *** بیابی جمله حاجتها از ایشان؛ انجام: قرآن عمر او بر سه سالگی و پنج سالگی بود اگر بگذرد بعمر طبیعی رسد ثانو را بر آب و سبزه نظر کند</w:t>
      </w:r>
    </w:p>
    <w:p>
      <w:pPr>
        <w:pStyle w:val="BookText"/>
      </w:pPr>
      <w:r>
        <w:rPr>
          <w:rFonts w:ascii="IRNazanin" w:hAnsi="IRNazanin" w:eastAsia="IRNazanin" w:cs="IRNazanin"/>
          <w:lang w:bidi="fa-IR"/>
          <w:color w:val="111111"/>
          <w:sz w:val="28"/>
          <w:szCs w:val="28"/>
          <w:rtl/>
        </w:rPr>
        <w:t xml:space="preserve">شانزده بند است در استخاره با قواعد رملی منسوب به گفته های حضرت دانیال (علیه السّلام) ،در هر بند چند بیت شعر در قاعده آن بند به نظم آمده پس از آن به نثر شرح می شود و در پایان تصریح کرده که از کتاب «حروف» حاج محمد على خراسانی مقیم کرمانشاه به تاریخ ششم جمادی الاول ۱۳۲۹ برداشته شده است؛ خط: نستعلیق، بی کا، تا: ۶ جمادی الاول ۱۳۲۹ق، جلد: مقوایی عطف تیماج مشکی، ۱۹گ، ۱۷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۴ - ۳۰۲]</w:t>
      </w:r>
    </w:p>
    <w:p>
      <w:pPr>
        <w:pStyle w:val="BookText"/>
      </w:pPr>
      <w:r>
        <w:rPr>
          <w:rFonts w:ascii="IRNazanin" w:hAnsi="IRNazanin" w:eastAsia="IRNazanin" w:cs="IRNazanin"/>
          <w:lang w:bidi="fa-IR"/>
          <w:color w:val="111111"/>
          <w:sz w:val="28"/>
          <w:szCs w:val="28"/>
          <w:rtl/>
        </w:rPr>
        <w:t xml:space="preserve">۶. تهران؛ مجلس؛ شماره نسخه: ۷۵۷۱/۱۵</w:t>
      </w:r>
    </w:p>
    <w:p>
      <w:pPr>
        <w:pStyle w:val="BookText"/>
      </w:pPr>
      <w:r>
        <w:rPr>
          <w:rFonts w:ascii="IRNazanin" w:hAnsi="IRNazanin" w:eastAsia="IRNazanin" w:cs="IRNazanin"/>
          <w:lang w:bidi="fa-IR"/>
          <w:color w:val="111111"/>
          <w:sz w:val="28"/>
          <w:szCs w:val="28"/>
          <w:rtl/>
        </w:rPr>
        <w:t xml:space="preserve">به نقل از شرح صحيفه سجاديه سيد عليخان مدنی؛ خط: نسخ، بی کا، تا: ۱۳۳۸ق؛ جلد: تیماج  مشکی، اگ (۱۲۰-۱۲۱)، مختلف السطر،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۲۶ - ۶۵]</w:t>
      </w:r>
    </w:p>
    <w:p>
      <w:pPr>
        <w:pStyle w:val="BookText"/>
      </w:pPr>
      <w:r>
        <w:rPr>
          <w:rFonts w:ascii="IRNazanin" w:hAnsi="IRNazanin" w:eastAsia="IRNazanin" w:cs="IRNazanin"/>
          <w:lang w:bidi="fa-IR"/>
          <w:color w:val="111111"/>
          <w:sz w:val="28"/>
          <w:szCs w:val="28"/>
          <w:rtl/>
        </w:rPr>
        <w:t xml:space="preserve">۷. کاشان ،رضوی؛ شماره نسخه: ۷۲/۴</w:t>
      </w:r>
    </w:p>
    <w:p>
      <w:pPr>
        <w:pStyle w:val="BookText"/>
      </w:pPr>
      <w:r>
        <w:rPr>
          <w:rFonts w:ascii="IRNazanin" w:hAnsi="IRNazanin" w:eastAsia="IRNazanin" w:cs="IRNazanin"/>
          <w:lang w:bidi="fa-IR"/>
          <w:color w:val="111111"/>
          <w:sz w:val="28"/>
          <w:szCs w:val="28"/>
          <w:rtl/>
        </w:rPr>
        <w:t xml:space="preserve">بی کا، بی تا[ نشریه: ۷ - ۳۹]</w:t>
      </w:r>
    </w:p>
    <w:p>
      <w:pPr>
        <w:pStyle w:val="BookText"/>
      </w:pPr>
      <w:r>
        <w:rPr>
          <w:rFonts w:ascii="IRNazanin" w:hAnsi="IRNazanin" w:eastAsia="IRNazanin" w:cs="IRNazanin"/>
          <w:lang w:bidi="fa-IR"/>
          <w:color w:val="111111"/>
          <w:sz w:val="28"/>
          <w:szCs w:val="28"/>
          <w:rtl/>
        </w:rPr>
        <w:t xml:space="preserve">۸. تهران؛ مجلس؛ شماره نسخه: ۱۸۳۶۹</w:t>
      </w:r>
    </w:p>
    <w:p>
      <w:pPr>
        <w:pStyle w:val="BookText"/>
      </w:pPr>
      <w:r>
        <w:rPr>
          <w:rFonts w:ascii="IRNazanin" w:hAnsi="IRNazanin" w:eastAsia="IRNazanin" w:cs="IRNazanin"/>
          <w:lang w:bidi="fa-IR"/>
          <w:color w:val="111111"/>
          <w:sz w:val="28"/>
          <w:szCs w:val="28"/>
          <w:rtl/>
        </w:rPr>
        <w:t xml:space="preserve">بی کا، بی تا [دث مجلس]</w:t>
      </w:r>
    </w:p>
    <w:p>
      <w:pPr>
        <w:pStyle w:val="Heading3"/>
      </w:pPr>
      <w:bookmarkStart w:id="1006" w:name="_Toc528"/>
      <w:r>
        <w:t>استخاره = فالنامه قرآن/ استخاره / فارسی</w:t>
      </w:r>
      <w:bookmarkEnd w:id="1006"/>
    </w:p>
    <w:p>
      <w:pPr>
        <w:pStyle w:val="BookText"/>
      </w:pPr>
      <w:r>
        <w:rPr>
          <w:rFonts w:ascii="Times New Roman" w:hAnsi="Times New Roman" w:eastAsia="Times New Roman" w:cs="Times New Roman"/>
          <w:lang w:val="en-US" w:bidi="en-US"/>
          <w:color w:val="111111"/>
          <w:sz w:val="28"/>
          <w:szCs w:val="28"/>
          <w:rtl/>
        </w:rPr>
        <w:t xml:space="preserve">estexāre = fāl-name-ye qor'ān</w:t>
      </w:r>
    </w:p>
    <w:p>
      <w:pPr>
        <w:pStyle w:val="BookText"/>
      </w:pPr>
      <w:r>
        <w:rPr>
          <w:rFonts w:ascii="IRNazanin" w:hAnsi="IRNazanin" w:eastAsia="IRNazanin" w:cs="IRNazanin"/>
          <w:lang w:bidi="fa-IR"/>
          <w:color w:val="111111"/>
          <w:sz w:val="28"/>
          <w:szCs w:val="28"/>
          <w:rtl/>
        </w:rPr>
        <w:t xml:space="preserve">شیوه تفال با قرآن بر قاعده حروف.</w:t>
      </w:r>
    </w:p>
    <w:p>
      <w:pPr>
        <w:pStyle w:val="BookText"/>
      </w:pPr>
      <w:r>
        <w:rPr>
          <w:rFonts w:ascii="IRNazanin" w:hAnsi="IRNazanin" w:eastAsia="IRNazanin" w:cs="IRNazanin"/>
          <w:lang w:bidi="fa-IR"/>
          <w:color w:val="111111"/>
          <w:sz w:val="28"/>
          <w:szCs w:val="28"/>
          <w:rtl/>
        </w:rPr>
        <w:t xml:space="preserve">آغاز: بسمله الحمد لله رب العالمين ... اما بعد این رساله ایست در مشورت بكلام ملک علام. چون کسی اراده تفأل بكلام الله كند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52" w:name="pg20365_260231"/>
    <w:bookmarkEnd w:id="152"/>
    <w:p>
      <w:pPr>
        <w:pStyle w:val="BookText"/>
      </w:pPr>
      <w:r>
        <w:rPr>
          <w:rFonts w:ascii="IRNazanin" w:hAnsi="IRNazanin" w:eastAsia="IRNazanin" w:cs="IRNazanin"/>
          <w:lang w:bidi="fa-IR"/>
          <w:color w:val="111111"/>
          <w:sz w:val="28"/>
          <w:szCs w:val="28"/>
          <w:rtl/>
        </w:rPr>
        <w:t xml:space="preserve">انجام: بعدد نحس از او معلوم باید کرد اختیار روزسابق است و السلام على من اتبع الهدى</w:t>
      </w:r>
    </w:p>
    <w:p>
      <w:pPr>
        <w:pStyle w:val="BookText"/>
      </w:pPr>
      <w:r>
        <w:rPr>
          <w:rFonts w:ascii="IRNazanin" w:hAnsi="IRNazanin" w:eastAsia="IRNazanin" w:cs="IRNazanin"/>
          <w:lang w:bidi="fa-IR"/>
          <w:color w:val="111111"/>
          <w:sz w:val="28"/>
          <w:szCs w:val="28"/>
          <w:rtl/>
        </w:rPr>
        <w:t xml:space="preserve">١ . تهران؛ الهیات؛ شماره نسخه: ۷۶۴/۱۱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بی تا :کاغذ ،فرنگی ،جلد: تیماج سرخ ضربی ،مقوایی ۴گ (۱۴۴پ-۱۴۷پ)، ۱۶ سطر (۵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۱۱/۵)، اندازه:</w:t>
      </w:r>
    </w:p>
    <w:p>
      <w:pPr>
        <w:pStyle w:val="BookText"/>
      </w:pPr>
      <w:r>
        <w:rPr>
          <w:rFonts w:ascii="IRNazanin" w:hAnsi="IRNazanin" w:eastAsia="IRNazanin" w:cs="IRNazanin"/>
          <w:lang w:bidi="fa-IR"/>
          <w:color w:val="111111"/>
          <w:sz w:val="28"/>
          <w:szCs w:val="28"/>
          <w:rtl/>
        </w:rPr>
        <w:t xml:space="preserve">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۱۷/۵سم [ف: ۳۹۰]</w:t>
      </w:r>
    </w:p>
    <w:p>
      <w:pPr>
        <w:pStyle w:val="BookText"/>
      </w:pPr>
      <w:r>
        <w:rPr>
          <w:rFonts w:ascii="IRNazanin" w:hAnsi="IRNazanin" w:eastAsia="IRNazanin" w:cs="IRNazanin"/>
          <w:lang w:bidi="fa-IR"/>
          <w:color w:val="111111"/>
          <w:sz w:val="28"/>
          <w:szCs w:val="28"/>
          <w:rtl/>
        </w:rPr>
        <w:t xml:space="preserve">۲. تهران؛ ملک؛ شماره نسخه: ۱۳۹۶/۸</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شکسته نستعلیق، بی کا، بی تا [ف: ۵ - ۲۶۳]</w:t>
      </w:r>
    </w:p>
    <w:p>
      <w:pPr>
        <w:pStyle w:val="BookText"/>
      </w:pPr>
      <w:r>
        <w:rPr>
          <w:rFonts w:ascii="IRNazanin" w:hAnsi="IRNazanin" w:eastAsia="IRNazanin" w:cs="IRNazanin"/>
          <w:lang w:bidi="fa-IR"/>
          <w:color w:val="111111"/>
          <w:sz w:val="28"/>
          <w:szCs w:val="28"/>
          <w:rtl/>
        </w:rPr>
        <w:t xml:space="preserve">3.تهران؛ مجلس؛ شماره نسخه: ۳۵۶۵/۳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بی تا :کاغذ: فرنگی ،شکری،جلد: تیماج مشکی عطف پارچه ای، ۸۹گ (۲۲۵-۳۱۳)، قطع : خشتی، اندازه:</w:t>
      </w:r>
    </w:p>
    <w:p>
      <w:pPr>
        <w:pStyle w:val="BookText"/>
      </w:pPr>
      <w:r>
        <w:rPr>
          <w:rFonts w:ascii="IRNazanin" w:hAnsi="IRNazanin" w:eastAsia="IRNazanin" w:cs="IRNazanin"/>
          <w:lang w:bidi="fa-IR"/>
          <w:color w:val="111111"/>
          <w:sz w:val="28"/>
          <w:szCs w:val="28"/>
          <w:rtl/>
        </w:rPr>
        <w:t xml:space="preserve">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۱۰ - ۱۵۲۹]</w:t>
      </w:r>
    </w:p>
    <w:p>
      <w:pPr>
        <w:pStyle w:val="Heading3"/>
      </w:pPr>
      <w:bookmarkStart w:id="1007" w:name="_Toc529"/>
      <w:r>
        <w:t>استخاره / دعا / فارسی و عربی</w:t>
      </w:r>
      <w:bookmarkEnd w:id="1007"/>
    </w:p>
    <w:p>
      <w:pPr>
        <w:pStyle w:val="BookText"/>
      </w:pPr>
      <w:r>
        <w:rPr>
          <w:rFonts w:ascii="Times New Roman" w:hAnsi="Times New Roman" w:eastAsia="Times New Roman" w:cs="Times New Roman"/>
          <w:lang w:val="en-US" w:bidi="en-US"/>
          <w:color w:val="111111"/>
          <w:sz w:val="28"/>
          <w:szCs w:val="28"/>
          <w:rtl/>
        </w:rPr>
        <w:t xml:space="preserve">estexāre</w:t>
      </w:r>
    </w:p>
    <w:p>
      <w:pPr>
        <w:pStyle w:val="BookText"/>
      </w:pPr>
      <w:r>
        <w:rPr>
          <w:rFonts w:ascii="IRNazanin" w:hAnsi="IRNazanin" w:eastAsia="IRNazanin" w:cs="IRNazanin"/>
          <w:lang w:bidi="fa-IR"/>
          <w:color w:val="111111"/>
          <w:sz w:val="28"/>
          <w:szCs w:val="28"/>
          <w:rtl/>
        </w:rPr>
        <w:t xml:space="preserve">مشهد؛ رضوی؛ شماره نسخه: ۲۳۴۳۶</w:t>
      </w:r>
    </w:p>
    <w:p>
      <w:pPr>
        <w:pStyle w:val="BookText"/>
      </w:pPr>
      <w:r>
        <w:rPr>
          <w:rFonts w:ascii="IRNazanin" w:hAnsi="IRNazanin" w:eastAsia="IRNazanin" w:cs="IRNazanin"/>
          <w:lang w:bidi="fa-IR"/>
          <w:color w:val="111111"/>
          <w:sz w:val="28"/>
          <w:szCs w:val="28"/>
          <w:rtl/>
        </w:rPr>
        <w:t xml:space="preserve">آغاز: بسمله اختیارات الوقت فى الاستخاره مروی؛ انجام: و این دو معتدل یا نیکی یا بدی. تمت هذه الرساله في الاستخاره المصحف</w:t>
      </w:r>
    </w:p>
    <w:p>
      <w:pPr>
        <w:pStyle w:val="BookText"/>
      </w:pPr>
      <w:r>
        <w:rPr>
          <w:rFonts w:ascii="IRNazanin" w:hAnsi="IRNazanin" w:eastAsia="IRNazanin" w:cs="IRNazanin"/>
          <w:lang w:bidi="fa-IR"/>
          <w:color w:val="111111"/>
          <w:sz w:val="28"/>
          <w:szCs w:val="28"/>
          <w:rtl/>
        </w:rPr>
        <w:t xml:space="preserve">خط: نستعلیق، بی کا، بی تا [رایانه]</w:t>
      </w:r>
    </w:p>
    <w:p>
      <w:pPr>
        <w:pStyle w:val="Heading3"/>
      </w:pPr>
      <w:bookmarkStart w:id="1008" w:name="_Toc530"/>
      <w:r>
        <w:t>استخاره با تسبیح / استخاره / عربی</w:t>
      </w:r>
      <w:bookmarkEnd w:id="1008"/>
    </w:p>
    <w:p>
      <w:pPr>
        <w:pStyle w:val="BookText"/>
      </w:pPr>
      <w:r>
        <w:rPr>
          <w:rFonts w:ascii="Times New Roman" w:hAnsi="Times New Roman" w:eastAsia="Times New Roman" w:cs="Times New Roman"/>
          <w:lang w:val="en-US" w:bidi="en-US"/>
          <w:color w:val="111111"/>
          <w:sz w:val="28"/>
          <w:szCs w:val="28"/>
          <w:rtl/>
        </w:rPr>
        <w:t xml:space="preserve">estexāre bā tasbīh</w:t>
      </w:r>
    </w:p>
    <w:p>
      <w:pPr>
        <w:pStyle w:val="BookText"/>
      </w:pPr>
      <w:r>
        <w:rPr>
          <w:rFonts w:ascii="IRNazanin" w:hAnsi="IRNazanin" w:eastAsia="IRNazanin" w:cs="IRNazanin"/>
          <w:lang w:bidi="fa-IR"/>
          <w:color w:val="111111"/>
          <w:sz w:val="28"/>
          <w:szCs w:val="28"/>
          <w:rtl/>
        </w:rPr>
        <w:t xml:space="preserve">تهران؛ ملک؛ شماره نسخه: ۲۸۴۲/۸۹</w:t>
      </w:r>
    </w:p>
    <w:p>
      <w:pPr>
        <w:pStyle w:val="BookText"/>
      </w:pPr>
      <w:r>
        <w:rPr>
          <w:rFonts w:ascii="IRNazanin" w:hAnsi="IRNazanin" w:eastAsia="IRNazanin" w:cs="IRNazanin"/>
          <w:lang w:bidi="fa-IR"/>
          <w:color w:val="111111"/>
          <w:sz w:val="28"/>
          <w:szCs w:val="28"/>
          <w:rtl/>
        </w:rPr>
        <w:t xml:space="preserve">خط: نسخ، کا: ابوالقاسم  وفا، تا: قرن ۱۳؛ در هامش [ف: 6- 1236]</w:t>
      </w:r>
    </w:p>
    <w:p>
      <w:pPr>
        <w:pStyle w:val="Heading3"/>
      </w:pPr>
      <w:bookmarkStart w:id="1009" w:name="_Toc531"/>
      <w:r>
        <w:t>استخاره با تسبیح نقل از شیخ بهاء الدين / استخاره  / عربی</w:t>
      </w:r>
      <w:bookmarkEnd w:id="1009"/>
    </w:p>
    <w:p>
      <w:pPr>
        <w:pStyle w:val="BookText"/>
      </w:pPr>
      <w:r>
        <w:rPr>
          <w:rFonts w:ascii="Times New Roman" w:hAnsi="Times New Roman" w:eastAsia="Times New Roman" w:cs="Times New Roman"/>
          <w:lang w:val="en-US" w:bidi="en-US"/>
          <w:color w:val="111111"/>
          <w:sz w:val="28"/>
          <w:szCs w:val="28"/>
          <w:rtl/>
        </w:rPr>
        <w:t xml:space="preserve">exāre bā tasbih naql az šeyx bahā-od-dīn</w:t>
      </w:r>
    </w:p>
    <w:p>
      <w:pPr>
        <w:pStyle w:val="BookText"/>
      </w:pPr>
      <w:r>
        <w:rPr>
          <w:rFonts w:ascii="IRNazanin" w:hAnsi="IRNazanin" w:eastAsia="IRNazanin" w:cs="IRNazanin"/>
          <w:lang w:bidi="fa-IR"/>
          <w:color w:val="111111"/>
          <w:sz w:val="28"/>
          <w:szCs w:val="28"/>
          <w:rtl/>
        </w:rPr>
        <w:t xml:space="preserve">تهران؛ مجلس؛ شماره نسخه: ۳۴۵۵/۳۸</w:t>
      </w:r>
    </w:p>
    <w:p>
      <w:pPr>
        <w:pStyle w:val="BookText"/>
      </w:pPr>
      <w:r>
        <w:rPr>
          <w:rFonts w:ascii="Amiri" w:hAnsi="Amiri" w:eastAsia="Amiri" w:cs="Amiri"/>
          <w:lang w:bidi="ar-SA"/>
          <w:color w:val="111111"/>
          <w:sz w:val="28"/>
          <w:szCs w:val="28"/>
          <w:rtl/>
        </w:rPr>
        <w:t xml:space="preserve">آغاز: كيفية الاستخاره بالسبحه ما رأيت بخطه الشريف رحمه الله</w:t>
      </w:r>
    </w:p>
    <w:p>
      <w:pPr>
        <w:pStyle w:val="BookText"/>
      </w:pPr>
      <w:r>
        <w:rPr>
          <w:rFonts w:ascii="IRNazanin" w:hAnsi="IRNazanin" w:eastAsia="IRNazanin" w:cs="IRNazanin"/>
          <w:lang w:bidi="fa-IR"/>
          <w:color w:val="111111"/>
          <w:sz w:val="28"/>
          <w:szCs w:val="28"/>
          <w:rtl/>
        </w:rPr>
        <w:t xml:space="preserve">بی کا، تا: ۱۰۶۳ تا ۱۱۴۱ق، جلد: تیماج یک لا  قرمز، ۱ ص (47)، مختلف السطر، قطع: بیاضی، اندازه: ۱۵/۵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۳۳سم [ ف : ۱۰ -1340]</w:t>
      </w:r>
    </w:p>
    <w:p>
      <w:pPr>
        <w:pStyle w:val="Heading3"/>
      </w:pPr>
      <w:bookmarkStart w:id="1010" w:name="_Toc532"/>
      <w:r>
        <w:t>استخاره با قرآن و ... / استخاره / فارسی</w:t>
      </w:r>
      <w:bookmarkEnd w:id="1010"/>
    </w:p>
    <w:p>
      <w:pPr>
        <w:pStyle w:val="BookText"/>
      </w:pPr>
      <w:r>
        <w:rPr>
          <w:rFonts w:ascii="Times New Roman" w:hAnsi="Times New Roman" w:eastAsia="Times New Roman" w:cs="Times New Roman"/>
          <w:lang w:val="en-US" w:bidi="en-US"/>
          <w:color w:val="111111"/>
          <w:sz w:val="28"/>
          <w:szCs w:val="28"/>
          <w:rtl/>
        </w:rPr>
        <w:t xml:space="preserve">...exare ba goran va</w:t>
      </w:r>
    </w:p>
    <w:p>
      <w:pPr>
        <w:pStyle w:val="BookText"/>
      </w:pPr>
      <w:r>
        <w:rPr>
          <w:rFonts w:ascii="IRNazanin" w:hAnsi="IRNazanin" w:eastAsia="IRNazanin" w:cs="IRNazanin"/>
          <w:lang w:bidi="fa-IR"/>
          <w:color w:val="111111"/>
          <w:sz w:val="28"/>
          <w:szCs w:val="28"/>
          <w:rtl/>
        </w:rPr>
        <w:t xml:space="preserve">تهران؛ ملک؛ شماره نسخه: ۳۱۲۹/۳</w:t>
      </w:r>
    </w:p>
    <w:p>
      <w:pPr>
        <w:pStyle w:val="BookText"/>
      </w:pPr>
      <w:r>
        <w:rPr>
          <w:rFonts w:ascii="IRNazanin" w:hAnsi="IRNazanin" w:eastAsia="IRNazanin" w:cs="IRNazanin"/>
          <w:lang w:bidi="fa-IR"/>
          <w:color w:val="111111"/>
          <w:sz w:val="28"/>
          <w:szCs w:val="28"/>
          <w:rtl/>
        </w:rPr>
        <w:t xml:space="preserve">خط: شکسته نستعلیق، کا: شریف بن حسن حسینی رودسری، تا: ۹۷۲ق؛ همراه با جدولی در نجوم و پراکنده هایی دیگر؛ ۳گ</w:t>
      </w:r>
    </w:p>
    <w:p>
      <w:pPr>
        <w:pStyle w:val="BookText"/>
      </w:pPr>
      <w:r>
        <w:rPr>
          <w:rFonts w:ascii="IRNazanin" w:hAnsi="IRNazanin" w:eastAsia="IRNazanin" w:cs="IRNazanin"/>
          <w:lang w:bidi="fa-IR"/>
          <w:color w:val="111111"/>
          <w:sz w:val="28"/>
          <w:szCs w:val="28"/>
          <w:rtl/>
        </w:rPr>
        <w:t xml:space="preserve">(١٢٠ ر - ۱۲۲پ) [ف: ۶ - ۲۳۸]</w:t>
      </w:r>
    </w:p>
    <w:p>
      <w:pPr>
        <w:pStyle w:val="Heading3"/>
      </w:pPr>
      <w:bookmarkStart w:id="1011" w:name="_Toc533"/>
      <w:r>
        <w:t>استخاره با قرآن/ استخاره / فارسی</w:t>
      </w:r>
      <w:bookmarkEnd w:id="1011"/>
    </w:p>
    <w:p>
      <w:pPr>
        <w:pStyle w:val="BookText"/>
      </w:pPr>
      <w:r>
        <w:rPr>
          <w:rFonts w:ascii="Times New Roman" w:hAnsi="Times New Roman" w:eastAsia="Times New Roman" w:cs="Times New Roman"/>
          <w:lang w:val="en-US" w:bidi="en-US"/>
          <w:color w:val="111111"/>
          <w:sz w:val="28"/>
          <w:szCs w:val="28"/>
          <w:rtl/>
        </w:rPr>
        <w:t xml:space="preserve">estexāre bā qor'ān</w:t>
      </w:r>
    </w:p>
    <w:p>
      <w:pPr>
        <w:pStyle w:val="BookText"/>
      </w:pPr>
      <w:r>
        <w:rPr>
          <w:rFonts w:ascii="IRNazanin" w:hAnsi="IRNazanin" w:eastAsia="IRNazanin" w:cs="IRNazanin"/>
          <w:lang w:bidi="fa-IR"/>
          <w:color w:val="111111"/>
          <w:sz w:val="28"/>
          <w:szCs w:val="28"/>
          <w:rtl/>
        </w:rPr>
        <w:t xml:space="preserve">ترجمه رساله است در استخاره با قرآن کریم که در نسخه به سید بن طاووس نسبت داده شده، نام مترجم نیامده است.</w:t>
      </w:r>
    </w:p>
    <w:p>
      <w:pPr>
        <w:pStyle w:val="BookText"/>
      </w:pPr>
      <w:r>
        <w:rPr>
          <w:rFonts w:ascii="IRNazanin" w:hAnsi="IRNazanin" w:eastAsia="IRNazanin" w:cs="IRNazanin"/>
          <w:lang w:bidi="fa-IR"/>
          <w:color w:val="111111"/>
          <w:sz w:val="28"/>
          <w:szCs w:val="28"/>
          <w:rtl/>
        </w:rPr>
        <w:t xml:space="preserve">آغاز: بسمله، الحمد لله رب العالمين ... اما  بعد، این ذکریست از ابن طاوس  حسنی، در باب استخاره مصحف مجید، پس کسی</w:t>
      </w:r>
    </w:p>
    <w:p>
      <w:pPr>
        <w:pStyle w:val="BookText"/>
      </w:pPr>
      <w:r>
        <w:rPr>
          <w:rFonts w:ascii="IRNazanin" w:hAnsi="IRNazanin" w:eastAsia="IRNazanin" w:cs="IRNazanin"/>
          <w:lang w:bidi="fa-IR"/>
          <w:color w:val="111111"/>
          <w:sz w:val="28"/>
          <w:szCs w:val="28"/>
          <w:rtl/>
        </w:rPr>
        <w:t xml:space="preserve">که استخاره کند، بخواند آیة الکرسی و آیه</w:t>
      </w:r>
    </w:p>
    <w:p>
      <w:pPr>
        <w:pStyle w:val="BookText"/>
      </w:pPr>
      <w:r>
        <w:rPr>
          <w:rFonts w:ascii="IRNazanin" w:hAnsi="IRNazanin" w:eastAsia="IRNazanin" w:cs="IRNazanin"/>
          <w:lang w:bidi="fa-IR"/>
          <w:color w:val="111111"/>
          <w:sz w:val="28"/>
          <w:szCs w:val="28"/>
          <w:rtl/>
        </w:rPr>
        <w:t xml:space="preserve">انجام: آن امر بد است و اما زیاده نیست و حکم هر دو صورت نیکی و بدی مستویست، این دو معتدل در نیکی و بدی ،تمت.</w:t>
      </w:r>
    </w:p>
    <w:p>
      <w:pPr>
        <w:pStyle w:val="BookText"/>
      </w:pPr>
      <w:r>
        <w:rPr>
          <w:rFonts w:ascii="IRNazanin" w:hAnsi="IRNazanin" w:eastAsia="IRNazanin" w:cs="IRNazanin"/>
          <w:lang w:bidi="fa-IR"/>
          <w:color w:val="111111"/>
          <w:sz w:val="28"/>
          <w:szCs w:val="28"/>
          <w:rtl/>
        </w:rPr>
        <w:t xml:space="preserve">۱ .قم؛ مرعشی؛ شماره نسخه: ۱۴۷۳۹/۶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درویش علی، تا: ۱۰۵۰ق؛ بخشی از عبارات به صورت چلیپا نگاشته شده؛ کاغذ ،شرقی، ۲گ (۲۳ر-۲۴پ)، ۳۱</w:t>
      </w:r>
    </w:p>
    <w:p>
      <w:pPr>
        <w:pStyle w:val="BookText"/>
      </w:pPr>
      <w:r>
        <w:rPr>
          <w:rFonts w:ascii="IRNazanin" w:hAnsi="IRNazanin" w:eastAsia="IRNazanin" w:cs="IRNazanin"/>
          <w:lang w:bidi="fa-IR"/>
          <w:color w:val="111111"/>
          <w:sz w:val="28"/>
          <w:szCs w:val="28"/>
          <w:rtl/>
        </w:rPr>
        <w:t xml:space="preserve">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۳۷ - ۳۲۰]</w:t>
      </w:r>
    </w:p>
    <w:p>
      <w:pPr>
        <w:pStyle w:val="BookText"/>
      </w:pPr>
      <w:r>
        <w:rPr>
          <w:rFonts w:ascii="IRNazanin" w:hAnsi="IRNazanin" w:eastAsia="IRNazanin" w:cs="IRNazanin"/>
          <w:lang w:bidi="fa-IR"/>
          <w:color w:val="111111"/>
          <w:sz w:val="28"/>
          <w:szCs w:val="28"/>
          <w:rtl/>
        </w:rPr>
        <w:t xml:space="preserve">۲. قم؛ مرعشی؛ شماره نسخه: ۱۳۳۹۳/۴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۱۳؛ کاغذ: فرنگی، جلد: مشمع زرشکی زرکوب با مقوا، ۳گ (۱۳پ-۱۵پ)، ۱۹ سطر چلیپا،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۳۳ - ۶۷۳]</w:t>
      </w:r>
    </w:p>
    <w:p>
      <w:pPr>
        <w:pStyle w:val="Heading3"/>
      </w:pPr>
      <w:bookmarkStart w:id="1012" w:name="_Toc534"/>
      <w:r>
        <w:t>الاستخارة بالقرآن / استخاره / عربی</w:t>
      </w:r>
      <w:bookmarkEnd w:id="1012"/>
    </w:p>
    <w:p>
      <w:pPr>
        <w:pStyle w:val="BookText"/>
      </w:pPr>
      <w:r>
        <w:rPr>
          <w:rFonts w:ascii="Times New Roman" w:hAnsi="Times New Roman" w:eastAsia="Times New Roman" w:cs="Times New Roman"/>
          <w:lang w:val="en-US" w:bidi="en-US"/>
          <w:color w:val="111111"/>
          <w:sz w:val="28"/>
          <w:szCs w:val="28"/>
          <w:rtl/>
        </w:rPr>
        <w:t xml:space="preserve">al-istixarat-u bi-l-quran</w:t>
      </w:r>
    </w:p>
    <w:p>
      <w:pPr>
        <w:pStyle w:val="BookText"/>
      </w:pPr>
      <w:r>
        <w:rPr>
          <w:rFonts w:ascii="IRNazanin" w:hAnsi="IRNazanin" w:eastAsia="IRNazanin" w:cs="IRNazanin"/>
          <w:lang w:bidi="fa-IR"/>
          <w:color w:val="111111"/>
          <w:sz w:val="28"/>
          <w:szCs w:val="28"/>
          <w:rtl/>
        </w:rPr>
        <w:t xml:space="preserve">دو طریق استخاره با قرآن است از املاء شیخ بهائی به نقل از سید  ابن طاووس</w:t>
      </w:r>
    </w:p>
    <w:p>
      <w:pPr>
        <w:pStyle w:val="BookText"/>
      </w:pPr>
      <w:r>
        <w:rPr>
          <w:rFonts w:ascii="IRNazanin" w:hAnsi="IRNazanin" w:eastAsia="IRNazanin" w:cs="IRNazanin"/>
          <w:lang w:bidi="fa-IR"/>
          <w:color w:val="111111"/>
          <w:sz w:val="28"/>
          <w:szCs w:val="28"/>
          <w:rtl/>
        </w:rPr>
        <w:t xml:space="preserve">تهران؛ مجلس؛ شماره نسخه: ۳۱۲/۳-ط</w:t>
      </w:r>
    </w:p>
    <w:p>
      <w:pPr>
        <w:pStyle w:val="BookText"/>
      </w:pPr>
      <w:r>
        <w:rPr>
          <w:rFonts w:ascii="Amiri" w:hAnsi="Amiri" w:eastAsia="Amiri" w:cs="Amiri"/>
          <w:lang w:bidi="ar-SA"/>
          <w:color w:val="111111"/>
          <w:sz w:val="28"/>
          <w:szCs w:val="28"/>
          <w:rtl/>
        </w:rPr>
        <w:t xml:space="preserve">آغاز: ذكر بن طاوس فى باب الاستخارة فى المصحف فليقرء آية الكرسى؛ انجام: بمنزلة الوحى. هذا املاء شيخنا بهاء الملة و الدين ... محمد العاملي.</w:t>
      </w:r>
    </w:p>
    <w:p>
      <w:pPr>
        <w:pStyle w:val="BookText"/>
      </w:pPr>
      <w:r>
        <w:rPr>
          <w:rFonts w:ascii="IRNazanin" w:hAnsi="IRNazanin" w:eastAsia="IRNazanin" w:cs="IRNazanin"/>
          <w:lang w:bidi="fa-IR"/>
          <w:color w:val="111111"/>
          <w:sz w:val="28"/>
          <w:szCs w:val="28"/>
          <w:rtl/>
        </w:rPr>
        <w:t xml:space="preserve">خط: نستعلیق، بی کا، تا: قرن ۱۳؛ مجدول؛ کاغذ: فرنگی آهار مهره سفید، جلد: تیماج قرمز اص (۱۸پ)، ۱۵ سطر، قطع: ،خشتی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٢٢ - ١٠٠]</w:t>
      </w:r>
    </w:p>
    <w:p>
      <w:pPr>
        <w:pStyle w:val="Heading3"/>
      </w:pPr>
      <w:bookmarkStart w:id="1013" w:name="_Toc535"/>
      <w:r>
        <w:t>استخاره به طریق حروف / استخاره / فارسی</w:t>
      </w:r>
      <w:bookmarkEnd w:id="1013"/>
    </w:p>
    <w:p>
      <w:pPr>
        <w:pStyle w:val="BookText"/>
      </w:pPr>
      <w:r>
        <w:rPr>
          <w:rFonts w:ascii="Times New Roman" w:hAnsi="Times New Roman" w:eastAsia="Times New Roman" w:cs="Times New Roman"/>
          <w:lang w:val="en-US" w:bidi="en-US"/>
          <w:color w:val="111111"/>
          <w:sz w:val="28"/>
          <w:szCs w:val="28"/>
          <w:rtl/>
        </w:rPr>
        <w:t xml:space="preserve">estexāre be-tarīq-e horūf</w:t>
      </w:r>
    </w:p>
    <w:p>
      <w:pPr>
        <w:pStyle w:val="BookText"/>
      </w:pPr>
      <w:r>
        <w:rPr>
          <w:rFonts w:ascii="IRNazanin" w:hAnsi="IRNazanin" w:eastAsia="IRNazanin" w:cs="IRNazanin"/>
          <w:lang w:bidi="fa-IR"/>
          <w:color w:val="111111"/>
          <w:sz w:val="28"/>
          <w:szCs w:val="28"/>
          <w:rtl/>
        </w:rPr>
        <w:t xml:space="preserve">چگونگی در آوردن مقصود و مطلوب باشمارش حروف مقطعه،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53" w:name="pg20365_260232"/>
    <w:bookmarkEnd w:id="153"/>
    <w:p>
      <w:pPr>
        <w:pStyle w:val="BookText"/>
      </w:pPr>
      <w:r>
        <w:rPr>
          <w:rFonts w:ascii="IRNazanin" w:hAnsi="IRNazanin" w:eastAsia="IRNazanin" w:cs="IRNazanin"/>
          <w:lang w:bidi="fa-IR"/>
          <w:color w:val="111111"/>
          <w:sz w:val="28"/>
          <w:szCs w:val="28"/>
          <w:rtl/>
        </w:rPr>
        <w:t xml:space="preserve">در این رساله تشریح می شود.</w:t>
      </w:r>
    </w:p>
    <w:p>
      <w:pPr>
        <w:pStyle w:val="BookText"/>
      </w:pPr>
      <w:r>
        <w:rPr>
          <w:rFonts w:ascii="IRNazanin" w:hAnsi="IRNazanin" w:eastAsia="IRNazanin" w:cs="IRNazanin"/>
          <w:lang w:bidi="fa-IR"/>
          <w:color w:val="111111"/>
          <w:sz w:val="28"/>
          <w:szCs w:val="28"/>
          <w:rtl/>
        </w:rPr>
        <w:t xml:space="preserve">قم ؛گلپایگانی؛ شماره نسخه: ۳۸۲۶/۱۱-۱۹/۱۵۶</w:t>
      </w:r>
    </w:p>
    <w:p>
      <w:pPr>
        <w:pStyle w:val="BookText"/>
      </w:pPr>
      <w:r>
        <w:rPr>
          <w:rFonts w:ascii="IRNazanin" w:hAnsi="IRNazanin" w:eastAsia="IRNazanin" w:cs="IRNazanin"/>
          <w:lang w:bidi="fa-IR"/>
          <w:color w:val="111111"/>
          <w:sz w:val="28"/>
          <w:szCs w:val="28"/>
          <w:rtl/>
        </w:rPr>
        <w:t xml:space="preserve">آغاز: بسمله پس اگر احدی سئوال کند که احوال غایب چیست و به کدام طرف است صحت و مرض او را در حرف اول از سـطر اول و ششم شناسد؛ انجام: و حکم هر دوصورت در نیکی و بدی منسوب مساوی است و این هر دو معتدل در نیکی و بدی و الله اعلم. خط: نستعلیق، بی کا، بی تا :جلد: تیماج قهوه ای ضربی دارای ترنج با سر، مجدول گرهی، ۳گ، ۲۱ 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۱۹/۵سم [ف: 333]</w:t>
      </w:r>
    </w:p>
    <w:p>
      <w:pPr>
        <w:pStyle w:val="BookText"/>
      </w:pPr>
      <w:r>
        <w:rPr>
          <w:rFonts w:ascii="Amiri" w:hAnsi="Amiri" w:eastAsia="Amiri" w:cs="Amiri"/>
          <w:lang w:bidi="ar-SA"/>
          <w:color w:val="111111"/>
          <w:sz w:val="28"/>
          <w:szCs w:val="28"/>
          <w:rtl/>
        </w:rPr>
        <w:t xml:space="preserve">«الاستخارة (رسالة فى) » عنوان الصواب في طـرق الاستخارات</w:t>
      </w:r>
    </w:p>
    <w:p>
      <w:pPr>
        <w:pStyle w:val="BookText"/>
      </w:pPr>
      <w:r>
        <w:rPr>
          <w:rFonts w:ascii="Amiri" w:hAnsi="Amiri" w:eastAsia="Amiri" w:cs="Amiri"/>
          <w:lang w:bidi="ar-SA"/>
          <w:color w:val="111111"/>
          <w:sz w:val="28"/>
          <w:szCs w:val="28"/>
          <w:rtl/>
        </w:rPr>
        <w:t xml:space="preserve">«الاستخارة (رسالة فى ) » المقارعة</w:t>
      </w:r>
    </w:p>
    <w:p>
      <w:pPr>
        <w:pStyle w:val="Heading3"/>
      </w:pPr>
      <w:bookmarkStart w:id="1014" w:name="_Toc536"/>
      <w:r>
        <w:t>استخاره (جدول) / استخاره / عربی</w:t>
      </w:r>
      <w:bookmarkEnd w:id="1014"/>
    </w:p>
    <w:p>
      <w:pPr>
        <w:pStyle w:val="BookText"/>
      </w:pPr>
      <w:r>
        <w:rPr>
          <w:rFonts w:ascii="Times New Roman" w:hAnsi="Times New Roman" w:eastAsia="Times New Roman" w:cs="Times New Roman"/>
          <w:lang w:val="en-US" w:bidi="en-US"/>
          <w:color w:val="111111"/>
          <w:sz w:val="28"/>
          <w:szCs w:val="28"/>
          <w:rtl/>
        </w:rPr>
        <w:t xml:space="preserve">(istixāra (jadwal)</w:t>
      </w:r>
    </w:p>
    <w:p>
      <w:pPr>
        <w:pStyle w:val="BookText"/>
      </w:pPr>
      <w:r>
        <w:rPr>
          <w:rFonts w:ascii="IRNazanin" w:hAnsi="IRNazanin" w:eastAsia="IRNazanin" w:cs="IRNazanin"/>
          <w:lang w:bidi="fa-IR"/>
          <w:color w:val="111111"/>
          <w:sz w:val="28"/>
          <w:szCs w:val="28"/>
          <w:rtl/>
        </w:rPr>
        <w:t xml:space="preserve">دستور استخاره با جدول منقول از امير المؤمنين على (علیه السّلام).</w:t>
      </w:r>
    </w:p>
    <w:p>
      <w:pPr>
        <w:pStyle w:val="BookText"/>
      </w:pPr>
      <w:r>
        <w:rPr>
          <w:rFonts w:ascii="IRNazanin" w:hAnsi="IRNazanin" w:eastAsia="IRNazanin" w:cs="IRNazanin"/>
          <w:lang w:bidi="fa-IR"/>
          <w:color w:val="111111"/>
          <w:sz w:val="28"/>
          <w:szCs w:val="28"/>
          <w:rtl/>
        </w:rPr>
        <w:t xml:space="preserve">تهران؛ مجلس؛ شماره نسخه: ۶۳۲۴/۲۰</w:t>
      </w:r>
    </w:p>
    <w:p>
      <w:pPr>
        <w:pStyle w:val="BookText"/>
      </w:pPr>
      <w:r>
        <w:rPr>
          <w:rFonts w:ascii="IRNazanin" w:hAnsi="IRNazanin" w:eastAsia="IRNazanin" w:cs="IRNazanin"/>
          <w:lang w:bidi="fa-IR"/>
          <w:color w:val="111111"/>
          <w:sz w:val="28"/>
          <w:szCs w:val="28"/>
          <w:rtl/>
        </w:rPr>
        <w:t xml:space="preserve">بی کا، تا: قرن ۱۱ ؛کاغذ: اصفهانی، جلد: گالینگور قهوه ای عطف حاشيه تيماج، ۱۴۱ صفحه، قطع: رحلی،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۲۹سم [ف:</w:t>
      </w:r>
    </w:p>
    <w:p>
      <w:pPr>
        <w:pStyle w:val="BookText"/>
      </w:pPr>
      <w:r>
        <w:rPr>
          <w:rFonts w:ascii="Times New Roman" w:hAnsi="Times New Roman" w:eastAsia="Times New Roman" w:cs="Times New Roman"/>
          <w:lang w:val="en-US" w:bidi="en-US"/>
          <w:color w:val="111111"/>
          <w:sz w:val="28"/>
          <w:szCs w:val="28"/>
          <w:rtl/>
        </w:rPr>
        <w:t xml:space="preserve">19- 331]</w:t>
      </w:r>
    </w:p>
    <w:p>
      <w:pPr>
        <w:pStyle w:val="Heading3"/>
      </w:pPr>
      <w:bookmarkStart w:id="1015" w:name="_Toc537"/>
      <w:r>
        <w:t>استخاره جعفری = فال نامه / استخاره / فارسی</w:t>
      </w:r>
      <w:bookmarkEnd w:id="1015"/>
    </w:p>
    <w:p>
      <w:pPr>
        <w:pStyle w:val="BookText"/>
      </w:pPr>
      <w:r>
        <w:rPr>
          <w:rFonts w:ascii="Times New Roman" w:hAnsi="Times New Roman" w:eastAsia="Times New Roman" w:cs="Times New Roman"/>
          <w:lang w:val="en-US" w:bidi="en-US"/>
          <w:color w:val="111111"/>
          <w:sz w:val="28"/>
          <w:szCs w:val="28"/>
          <w:rtl/>
        </w:rPr>
        <w:t xml:space="preserve">exāre-ye ja'farī = fāl nāme</w:t>
      </w:r>
    </w:p>
    <w:p>
      <w:pPr>
        <w:pStyle w:val="BookText"/>
      </w:pPr>
      <w:r>
        <w:rPr>
          <w:rFonts w:ascii="IRNazanin" w:hAnsi="IRNazanin" w:eastAsia="IRNazanin" w:cs="IRNazanin"/>
          <w:lang w:bidi="fa-IR"/>
          <w:color w:val="111111"/>
          <w:sz w:val="28"/>
          <w:szCs w:val="28"/>
          <w:rtl/>
        </w:rPr>
        <w:t xml:space="preserve">در استخاره امام جعفر صادق (علیه السّلام) با عنوان های «اگر سائلی پرسد».</w:t>
      </w:r>
    </w:p>
    <w:p>
      <w:pPr>
        <w:pStyle w:val="BookText"/>
      </w:pPr>
      <w:r>
        <w:rPr>
          <w:rFonts w:ascii="IRNazanin" w:hAnsi="IRNazanin" w:eastAsia="IRNazanin" w:cs="IRNazanin"/>
          <w:lang w:bidi="fa-IR"/>
          <w:color w:val="111111"/>
          <w:sz w:val="28"/>
          <w:szCs w:val="28"/>
          <w:rtl/>
        </w:rPr>
        <w:t xml:space="preserve">آغاز: بسمله، منقول است از حضرت امام جعفر صادق رضی تعالى عنه هر کسی را حاجتی و مهمی پیش آید و خواهد که انجام کار معلوم نماید که بایدکه با طهارت کامل در ساعت  اسعد به موجب ارشاد امام در عمل آرد ... و این چند کلمه  از كلام جعفر موافق حروف تهجی در اعداد آنچه نمودند و این تحفه را به استخاره جعفری نام نهادند</w:t>
      </w:r>
    </w:p>
    <w:p>
      <w:pPr>
        <w:pStyle w:val="BookText"/>
      </w:pPr>
      <w:r>
        <w:rPr>
          <w:rFonts w:ascii="IRNazanin" w:hAnsi="IRNazanin" w:eastAsia="IRNazanin" w:cs="IRNazanin"/>
          <w:lang w:bidi="fa-IR"/>
          <w:color w:val="111111"/>
          <w:sz w:val="28"/>
          <w:szCs w:val="28"/>
          <w:rtl/>
        </w:rPr>
        <w:t xml:space="preserve">انجام: چند کس شریک دارد و الله اعلم بالصواب و اليه المرجع  و المآب وصلى الله على خير خلقه محمد  و آله اجمعین آمین آمین آمین.</w:t>
      </w:r>
    </w:p>
    <w:p>
      <w:pPr>
        <w:pStyle w:val="BookText"/>
      </w:pPr>
      <w:r>
        <w:rPr>
          <w:rFonts w:ascii="IRNazanin" w:hAnsi="IRNazanin" w:eastAsia="IRNazanin" w:cs="IRNazanin"/>
          <w:lang w:bidi="fa-IR"/>
          <w:color w:val="111111"/>
          <w:sz w:val="28"/>
          <w:szCs w:val="28"/>
          <w:rtl/>
        </w:rPr>
        <w:t xml:space="preserve">۱. تهران؛ دانشگاه؛ شماره نسخه: ۷۹۱۴/۱۱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غلام  حیدر، تا: یک شنبه ۲۱ ذیحجه ۱۲۹۳ق ؛کاغذ ،فرنگی ،جلد: گالینگور مشکی مقوایی عطف و گوشه</w:t>
      </w:r>
    </w:p>
    <w:p>
      <w:pPr>
        <w:pStyle w:val="BookText"/>
      </w:pPr>
      <w:r>
        <w:rPr>
          <w:rFonts w:ascii="Amiri" w:hAnsi="Amiri" w:eastAsia="Amiri" w:cs="Amiri"/>
          <w:lang w:bidi="ar-SA"/>
          <w:color w:val="111111"/>
          <w:sz w:val="28"/>
          <w:szCs w:val="28"/>
          <w:rtl/>
        </w:rPr>
        <w:t xml:space="preserve">تيماج سرخ 1ص (۲۵۹ ر) ۱۴ سطر (6/5</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قطع: ربعی،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۱۶ - ۷۳۵  ]</w:t>
      </w:r>
    </w:p>
    <w:p>
      <w:pPr>
        <w:pStyle w:val="BookText"/>
      </w:pPr>
      <w:r>
        <w:rPr>
          <w:rFonts w:ascii="IRNazanin" w:hAnsi="IRNazanin" w:eastAsia="IRNazanin" w:cs="IRNazanin"/>
          <w:lang w:bidi="fa-IR"/>
          <w:color w:val="111111"/>
          <w:sz w:val="28"/>
          <w:szCs w:val="28"/>
          <w:rtl/>
        </w:rPr>
        <w:t xml:space="preserve">۱. تهران؛ مجلس؛ شماره نسخه: ۱۶۰۰۹/۱۷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بی تا ،مجدول، رکابه دار ،جلد: تیماج قهوه ای بادامک در وسط با عبارت صلوات و بادامک کوچک با نقش «یا رزاق» ۱۴ ص( ۱۸۹ - ۲۰۲)، ۱۵سطر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۱۸/۵سم [ف: ۴۴  - 192]</w:t>
      </w:r>
    </w:p>
    <w:p>
      <w:pPr>
        <w:pStyle w:val="Heading3"/>
      </w:pPr>
      <w:bookmarkStart w:id="1016" w:name="_Toc538"/>
      <w:r>
        <w:t>استخاره دانیال پیامبر / استخاره / فارسی</w:t>
      </w:r>
      <w:bookmarkEnd w:id="1016"/>
    </w:p>
    <w:p>
      <w:pPr>
        <w:pStyle w:val="BookText"/>
      </w:pPr>
      <w:r>
        <w:rPr>
          <w:rFonts w:ascii="Times New Roman" w:hAnsi="Times New Roman" w:eastAsia="Times New Roman" w:cs="Times New Roman"/>
          <w:lang w:val="en-US" w:bidi="en-US"/>
          <w:color w:val="111111"/>
          <w:sz w:val="28"/>
          <w:szCs w:val="28"/>
          <w:rtl/>
        </w:rPr>
        <w:t xml:space="preserve">estexare-ye daniy al-e payambar</w:t>
      </w:r>
    </w:p>
    <w:p>
      <w:pPr>
        <w:pStyle w:val="BookText"/>
      </w:pPr>
      <w:r>
        <w:rPr>
          <w:rFonts w:ascii="IRNazanin" w:hAnsi="IRNazanin" w:eastAsia="IRNazanin" w:cs="IRNazanin"/>
          <w:lang w:bidi="fa-IR"/>
          <w:color w:val="111111"/>
          <w:sz w:val="28"/>
          <w:szCs w:val="28"/>
          <w:rtl/>
        </w:rPr>
        <w:t xml:space="preserve">تهران؛ ملک؛ شماره نسخه: ۳۲۰۴/۹</w:t>
      </w:r>
    </w:p>
    <w:p>
      <w:pPr>
        <w:pStyle w:val="BookText"/>
      </w:pPr>
      <w:r>
        <w:rPr>
          <w:rFonts w:ascii="IRNazanin" w:hAnsi="IRNazanin" w:eastAsia="IRNazanin" w:cs="IRNazanin"/>
          <w:lang w:bidi="fa-IR"/>
          <w:color w:val="111111"/>
          <w:sz w:val="28"/>
          <w:szCs w:val="28"/>
          <w:rtl/>
        </w:rPr>
        <w:t xml:space="preserve">خط: شکسته نستعلیق، بی کا، بی تا؛ 1گ (۵۲ر-۵۲پ) [ف: ۶-۲۹۴]</w:t>
      </w:r>
    </w:p>
    <w:p>
      <w:pPr>
        <w:pStyle w:val="Heading3"/>
      </w:pPr>
      <w:bookmarkStart w:id="1017" w:name="_Toc539"/>
      <w:r>
        <w:t>استخاره در سفر / استخاره / فارسی</w:t>
      </w:r>
      <w:bookmarkEnd w:id="1017"/>
    </w:p>
    <w:p>
      <w:pPr>
        <w:pStyle w:val="BookText"/>
      </w:pPr>
      <w:r>
        <w:rPr>
          <w:rFonts w:ascii="Times New Roman" w:hAnsi="Times New Roman" w:eastAsia="Times New Roman" w:cs="Times New Roman"/>
          <w:lang w:val="en-US" w:bidi="en-US"/>
          <w:color w:val="111111"/>
          <w:sz w:val="28"/>
          <w:szCs w:val="28"/>
          <w:rtl/>
        </w:rPr>
        <w:t xml:space="preserve">estexare dar safar</w:t>
      </w:r>
    </w:p>
    <w:p>
      <w:pPr>
        <w:pStyle w:val="BookText"/>
      </w:pPr>
      <w:r>
        <w:rPr>
          <w:rFonts w:ascii="IRNazanin" w:hAnsi="IRNazanin" w:eastAsia="IRNazanin" w:cs="IRNazanin"/>
          <w:lang w:bidi="fa-IR"/>
          <w:color w:val="111111"/>
          <w:sz w:val="28"/>
          <w:szCs w:val="28"/>
          <w:rtl/>
        </w:rPr>
        <w:t xml:space="preserve">آیاتی از قرآن و دعاهایی درباره استخاره درسفر گویا بخشی است از کتاب مفاتیح، زیرا تحت عنوان اول و مفتاح دوم و... است و مفتاح هفتم و مفتاح هشتم در این دفتر آمده است.</w:t>
      </w:r>
    </w:p>
    <w:p>
      <w:pPr>
        <w:pStyle w:val="BookText"/>
      </w:pPr>
      <w:r>
        <w:rPr>
          <w:rFonts w:ascii="IRNazanin" w:hAnsi="IRNazanin" w:eastAsia="IRNazanin" w:cs="IRNazanin"/>
          <w:lang w:bidi="fa-IR"/>
          <w:color w:val="111111"/>
          <w:sz w:val="28"/>
          <w:szCs w:val="28"/>
          <w:rtl/>
        </w:rPr>
        <w:t xml:space="preserve">تهران؛ ملک؛ شماره نسخه: ۶۱۲۸/۳</w:t>
      </w:r>
    </w:p>
    <w:p>
      <w:pPr>
        <w:pStyle w:val="BookText"/>
      </w:pPr>
      <w:r>
        <w:rPr>
          <w:rFonts w:ascii="IRNazanin" w:hAnsi="IRNazanin" w:eastAsia="IRNazanin" w:cs="IRNazanin"/>
          <w:lang w:bidi="fa-IR"/>
          <w:color w:val="111111"/>
          <w:sz w:val="28"/>
          <w:szCs w:val="28"/>
          <w:rtl/>
        </w:rPr>
        <w:t xml:space="preserve">خط: نسخ و نستعلیق، بی کا، بی تا: کاغذ: فرنگی آهار مهره، جلد: میشن قرمز یک لایی لبه میشن سیاه، ۱۲-۱۴ سطر [ف: ۹ - ۱۸۶]</w:t>
      </w:r>
    </w:p>
    <w:p>
      <w:pPr>
        <w:pStyle w:val="Heading3"/>
      </w:pPr>
      <w:bookmarkStart w:id="1018" w:name="_Toc540"/>
      <w:r>
        <w:t>استخاره ذات الرقاع / استخاره / عربي</w:t>
      </w:r>
      <w:bookmarkEnd w:id="1018"/>
    </w:p>
    <w:p>
      <w:pPr>
        <w:pStyle w:val="BookText"/>
      </w:pPr>
      <w:r>
        <w:rPr>
          <w:rFonts w:ascii="Times New Roman" w:hAnsi="Times New Roman" w:eastAsia="Times New Roman" w:cs="Times New Roman"/>
          <w:lang w:val="en-US" w:bidi="en-US"/>
          <w:color w:val="111111"/>
          <w:sz w:val="28"/>
          <w:szCs w:val="28"/>
          <w:rtl/>
        </w:rPr>
        <w:t xml:space="preserve">estexāre-ye zāt-or-reqā‘</w:t>
      </w:r>
    </w:p>
    <w:p>
      <w:pPr>
        <w:pStyle w:val="BookText"/>
      </w:pPr>
      <w:r>
        <w:rPr>
          <w:rFonts w:ascii="IRNazanin" w:hAnsi="IRNazanin" w:eastAsia="IRNazanin" w:cs="IRNazanin"/>
          <w:lang w:bidi="fa-IR"/>
          <w:color w:val="111111"/>
          <w:sz w:val="28"/>
          <w:szCs w:val="28"/>
          <w:rtl/>
        </w:rPr>
        <w:t xml:space="preserve">غیر همانند:</w:t>
      </w:r>
    </w:p>
    <w:p>
      <w:pPr>
        <w:pStyle w:val="BookText"/>
      </w:pPr>
      <w:r>
        <w:rPr>
          <w:rFonts w:ascii="IRNazanin" w:hAnsi="IRNazanin" w:eastAsia="IRNazanin" w:cs="IRNazanin"/>
          <w:lang w:bidi="fa-IR"/>
          <w:color w:val="111111"/>
          <w:sz w:val="28"/>
          <w:szCs w:val="28"/>
          <w:rtl/>
        </w:rPr>
        <w:t xml:space="preserve">1.تهران؛ ملک؛ شماره نسخه: ۲۶۴۲/۷</w:t>
      </w:r>
    </w:p>
    <w:p>
      <w:pPr>
        <w:pStyle w:val="BookText"/>
      </w:pPr>
      <w:r>
        <w:rPr>
          <w:rFonts w:ascii="IRNazanin" w:hAnsi="IRNazanin" w:eastAsia="IRNazanin" w:cs="IRNazanin"/>
          <w:lang w:bidi="fa-IR"/>
          <w:color w:val="111111"/>
          <w:sz w:val="28"/>
          <w:szCs w:val="28"/>
          <w:rtl/>
        </w:rPr>
        <w:t xml:space="preserve">بی کا، بی تا [ف ۶ - ۷۹]</w:t>
      </w:r>
    </w:p>
    <w:p>
      <w:pPr>
        <w:pStyle w:val="BookText"/>
      </w:pPr>
      <w:r>
        <w:rPr>
          <w:rFonts w:ascii="IRNazanin" w:hAnsi="IRNazanin" w:eastAsia="IRNazanin" w:cs="IRNazanin"/>
          <w:lang w:bidi="fa-IR"/>
          <w:color w:val="111111"/>
          <w:sz w:val="28"/>
          <w:szCs w:val="28"/>
          <w:rtl/>
        </w:rPr>
        <w:t xml:space="preserve">۲. تهران؛ مجلس؛ شماره نسخه: ۹۴۶۹/۱۱۰</w:t>
      </w:r>
    </w:p>
    <w:p>
      <w:pPr>
        <w:pStyle w:val="BookText"/>
      </w:pPr>
      <w:r>
        <w:rPr>
          <w:rFonts w:ascii="IRNazanin" w:hAnsi="IRNazanin" w:eastAsia="IRNazanin" w:cs="IRNazanin"/>
          <w:lang w:bidi="fa-IR"/>
          <w:color w:val="111111"/>
          <w:sz w:val="28"/>
          <w:szCs w:val="28"/>
          <w:rtl/>
        </w:rPr>
        <w:t xml:space="preserve">به روایت از شیخ طوسی در «مصباح المتهجد»؛ خط: نستعليق،  بی کا، تا: قرن ۱۱ ۲ص (۲۱۹ - ۲۲۰) [مختصر - ف: - ۳۴۴]</w:t>
      </w:r>
    </w:p>
    <w:p>
      <w:pPr>
        <w:pStyle w:val="Heading3"/>
      </w:pPr>
      <w:bookmarkStart w:id="1019" w:name="_Toc541"/>
      <w:r>
        <w:t>استخاره معتبر طریق) / استخاره / فارسی</w:t>
      </w:r>
      <w:bookmarkEnd w:id="1019"/>
    </w:p>
    <w:p>
      <w:pPr>
        <w:pStyle w:val="BookText"/>
      </w:pPr>
      <w:r>
        <w:rPr>
          <w:rFonts w:ascii="Times New Roman" w:hAnsi="Times New Roman" w:eastAsia="Times New Roman" w:cs="Times New Roman"/>
          <w:lang w:val="en-US" w:bidi="en-US"/>
          <w:color w:val="111111"/>
          <w:sz w:val="28"/>
          <w:szCs w:val="28"/>
          <w:rtl/>
        </w:rPr>
        <w:t xml:space="preserve">(estexare-ye mo'tabar (tarīq-e)</w:t>
      </w:r>
    </w:p>
    <w:p>
      <w:pPr>
        <w:pStyle w:val="BookText"/>
      </w:pPr>
      <w:r>
        <w:rPr>
          <w:rFonts w:ascii="IRNazanin" w:hAnsi="IRNazanin" w:eastAsia="IRNazanin" w:cs="IRNazanin"/>
          <w:lang w:bidi="fa-IR"/>
          <w:color w:val="111111"/>
          <w:sz w:val="28"/>
          <w:szCs w:val="28"/>
          <w:rtl/>
        </w:rPr>
        <w:t xml:space="preserve">افندی، عبدالله بن عیسی  بیگ، ۱۰۶۶ - ۱۱۳۰؟ قمری</w:t>
      </w:r>
    </w:p>
    <w:p>
      <w:pPr>
        <w:pStyle w:val="BookText"/>
      </w:pPr>
      <w:r>
        <w:rPr>
          <w:rFonts w:ascii="Times New Roman" w:hAnsi="Times New Roman" w:eastAsia="Times New Roman" w:cs="Times New Roman"/>
          <w:lang w:val="en-US" w:bidi="en-US"/>
          <w:color w:val="111111"/>
          <w:sz w:val="28"/>
          <w:szCs w:val="28"/>
          <w:rtl/>
        </w:rPr>
        <w:t xml:space="preserve">(afandi, abd-ol-lah ebn-e isa beyg (1656 - 1718)</w:t>
      </w:r>
    </w:p>
    <w:p>
      <w:pPr>
        <w:pStyle w:val="BookText"/>
      </w:pPr>
      <w:r>
        <w:rPr>
          <w:rFonts w:ascii="IRNazanin" w:hAnsi="IRNazanin" w:eastAsia="IRNazanin" w:cs="IRNazanin"/>
          <w:lang w:bidi="fa-IR"/>
          <w:color w:val="111111"/>
          <w:sz w:val="28"/>
          <w:szCs w:val="28"/>
          <w:rtl/>
        </w:rPr>
        <w:t xml:space="preserve">آن را برای شاهزاده سلطان محمد اکبر بن اورنگ زیب نوشته بود.</w:t>
      </w:r>
    </w:p>
    <w:p>
      <w:pPr>
        <w:pStyle w:val="BookText"/>
      </w:pPr>
      <w:r>
        <w:rPr>
          <w:rFonts w:ascii="IRNazanin" w:hAnsi="IRNazanin" w:eastAsia="IRNazanin" w:cs="IRNazanin"/>
          <w:lang w:bidi="fa-IR"/>
          <w:color w:val="111111"/>
          <w:sz w:val="28"/>
          <w:szCs w:val="28"/>
          <w:rtl/>
        </w:rPr>
        <w:t xml:space="preserve">تهران؛ مجلس؛ شماره نسخه: ۸۸۴۱/۴۲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54" w:name="pg20365_260233"/>
    <w:bookmarkEnd w:id="154"/>
    <w:p>
      <w:pPr>
        <w:pStyle w:val="BookText"/>
      </w:pPr>
      <w:r>
        <w:rPr>
          <w:rFonts w:ascii="IRNazanin" w:hAnsi="IRNazanin" w:eastAsia="IRNazanin" w:cs="IRNazanin"/>
          <w:lang w:bidi="fa-IR"/>
          <w:color w:val="111111"/>
          <w:sz w:val="28"/>
          <w:szCs w:val="28"/>
          <w:rtl/>
        </w:rPr>
        <w:t xml:space="preserve">آغاز: طریق استخاره معتبره که در شریعت مظهر (كذا مطـهر) وارد شده و علما را در صحت آن نزاعی نیست آن که هرگاه امری عظیمی پیش آید که آدمی خود اولا وضو جهة نـماز استخاره بسازد؛ انجام: حتى علماء اسلام کتابها در باب احوال استخاره نوشته اند. طریقهای بسیاری برای آن به انواع مختلف روایت کرده اند. نهایت آنچه درین مقام کمترین بندگان آسـتان خلافت نشان و کمینه مخلصان اعلی حضرت شاهی ظل اللـهی حسب الامر الاعلى عجالة الوقت جهت تذكار خاطر عاطر اقدس اشرف در بلده فراه لا زال محفوظاً بالرفاه مرقوم ساخته ایم و افـنده بی نزاع معتمد و درست تر است الباقی ظلال جلال و اشفاق بر مقارق اهل آفاق پیوسته گستره [ گستره ] باد انجامه:« ۱۷ ذی قعـده سنه ۱۱۱۸ روز دوشنبه در بلده مشهد مقدس زادهما (كذا) الله تشريفاً و كرامتاً و مهابتاً و تعظيماً نقل از خط فضیلت و فواضـل دستگاه جامع المعقول حاوی الفروع و الاصول مرزا عبدالله افندی بن عیسی بیک اصفهانی سلمه الله که برای پادشاهزاده غفران و مغفرت پناه سلطان محمد اکبر بن اورنگ زیب پادشاه تاب (كـذا؛ طاب) ثراه نوشته بودند»</w:t>
      </w:r>
    </w:p>
    <w:p>
      <w:pPr>
        <w:pStyle w:val="BookText"/>
      </w:pPr>
      <w:r>
        <w:rPr>
          <w:rFonts w:ascii="IRNazanin" w:hAnsi="IRNazanin" w:eastAsia="IRNazanin" w:cs="IRNazanin"/>
          <w:lang w:bidi="fa-IR"/>
          <w:color w:val="111111"/>
          <w:sz w:val="28"/>
          <w:szCs w:val="28"/>
          <w:rtl/>
        </w:rPr>
        <w:t xml:space="preserve">خط: نسخ و نستعليق، كا: جمال الدين محمد حسنی، تا: دوشنبه ۱۷ ذیقعده ۱۱۱۸ق ؛جا: مشهد؛ کاغذ: چند نوع بیشتر شرقی نخودی آهار مهره نازک، جلد: میشین مشکی ساده عطف چرم قهوه ای، ۱ص (۳۰۰) اندازه: ۲۲/۳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۳۴/۹سم [ف: ۲۹/۱ - ۹۳]</w:t>
      </w:r>
    </w:p>
    <w:p>
      <w:pPr>
        <w:pStyle w:val="BookText"/>
      </w:pPr>
      <w:r>
        <w:rPr>
          <w:rFonts w:ascii="IRNazanin" w:hAnsi="IRNazanin" w:eastAsia="IRNazanin" w:cs="IRNazanin"/>
          <w:lang w:bidi="fa-IR"/>
          <w:color w:val="111111"/>
          <w:sz w:val="28"/>
          <w:szCs w:val="28"/>
          <w:rtl/>
        </w:rPr>
        <w:t xml:space="preserve">«استخاره نامه » فالنامه</w:t>
      </w:r>
    </w:p>
    <w:p>
      <w:pPr>
        <w:pStyle w:val="Heading3"/>
      </w:pPr>
      <w:bookmarkStart w:id="1020" w:name="_Toc542"/>
      <w:r>
        <w:t>استخاره نامه / استخاره / فارسی</w:t>
      </w:r>
      <w:bookmarkEnd w:id="1020"/>
    </w:p>
    <w:p>
      <w:pPr>
        <w:pStyle w:val="BookText"/>
      </w:pPr>
      <w:r>
        <w:rPr>
          <w:rFonts w:ascii="Times New Roman" w:hAnsi="Times New Roman" w:eastAsia="Times New Roman" w:cs="Times New Roman"/>
          <w:lang w:val="en-US" w:bidi="en-US"/>
          <w:color w:val="111111"/>
          <w:sz w:val="28"/>
          <w:szCs w:val="28"/>
          <w:rtl/>
        </w:rPr>
        <w:t xml:space="preserve">estexāre-nāme</w:t>
      </w:r>
    </w:p>
    <w:p>
      <w:pPr>
        <w:pStyle w:val="BookText"/>
      </w:pPr>
      <w:r>
        <w:rPr>
          <w:rFonts w:ascii="IRNazanin" w:hAnsi="IRNazanin" w:eastAsia="IRNazanin" w:cs="IRNazanin"/>
          <w:lang w:bidi="fa-IR"/>
          <w:color w:val="111111"/>
          <w:sz w:val="28"/>
          <w:szCs w:val="28"/>
          <w:rtl/>
        </w:rPr>
        <w:t xml:space="preserve">اردبیلی، احمد بن  محمد، ق ۱۵ قمری</w:t>
      </w:r>
    </w:p>
    <w:p>
      <w:pPr>
        <w:pStyle w:val="BookText"/>
      </w:pPr>
      <w:r>
        <w:rPr>
          <w:rFonts w:ascii="Times New Roman" w:hAnsi="Times New Roman" w:eastAsia="Times New Roman" w:cs="Times New Roman"/>
          <w:lang w:val="en-US" w:bidi="en-US"/>
          <w:color w:val="111111"/>
          <w:sz w:val="28"/>
          <w:szCs w:val="28"/>
          <w:rtl/>
        </w:rPr>
        <w:t xml:space="preserve">(ardabīlī, ahmad ebn-e mohammad (- 21c)</w:t>
      </w:r>
    </w:p>
    <w:p>
      <w:pPr>
        <w:pStyle w:val="BookText"/>
      </w:pPr>
      <w:r>
        <w:rPr>
          <w:rFonts w:ascii="IRNazanin" w:hAnsi="IRNazanin" w:eastAsia="IRNazanin" w:cs="IRNazanin"/>
          <w:lang w:bidi="fa-IR"/>
          <w:color w:val="111111"/>
          <w:sz w:val="28"/>
          <w:szCs w:val="28"/>
          <w:rtl/>
        </w:rPr>
        <w:t xml:space="preserve">در استخاره به آیات قرآنی با تعیین علامات رموز از بسیار خوب تا بسیار بد برای برخی آیات از ابتدای سوره بقره تا پایان سوره تکویر به ترتیب سور به نقل از ملا احمد اردبیلی است. مطلـع بعضی آیات این سوره ها نوشته شده است و رمز هر یک شنگرف در بالای اولین کلمه هر آیه گذاشته شده است. مطـابق این استخاره نامه در هیچ کدام از فهرست های مرعشی مجلس ،دانشگاه قدس ،ملک، سپه و نیز الذریعه موجود نیست.</w:t>
      </w:r>
    </w:p>
    <w:p>
      <w:pPr>
        <w:pStyle w:val="BookText"/>
      </w:pPr>
      <w:r>
        <w:rPr>
          <w:rFonts w:ascii="IRNazanin" w:hAnsi="IRNazanin" w:eastAsia="IRNazanin" w:cs="IRNazanin"/>
          <w:lang w:bidi="fa-IR"/>
          <w:color w:val="111111"/>
          <w:sz w:val="28"/>
          <w:szCs w:val="28"/>
          <w:rtl/>
        </w:rPr>
        <w:t xml:space="preserve">تهران؛ ملی؛ شماره نسخه: ۶۱۵۲</w:t>
      </w:r>
    </w:p>
    <w:p>
      <w:pPr>
        <w:pStyle w:val="BookText"/>
      </w:pPr>
      <w:r>
        <w:rPr>
          <w:rFonts w:ascii="IRNazanin" w:hAnsi="IRNazanin" w:eastAsia="IRNazanin" w:cs="IRNazanin"/>
          <w:lang w:bidi="fa-IR"/>
          <w:color w:val="111111"/>
          <w:sz w:val="28"/>
          <w:szCs w:val="28"/>
          <w:rtl/>
        </w:rPr>
        <w:t xml:space="preserve">آغاز: استخاره نامه و آیات قرآنی که نیک و بد بقول ملا احـمد اردبیلی ... از اول آیه تا اخر هر کجا که تغییر ... علامت خ خوب علامت ع بسیار خوب ... ع اولئك على هدى؛ انجام: و ذا النفوس و اذا الموؤدة سئلت الى نشرت.</w:t>
      </w:r>
    </w:p>
    <w:p>
      <w:pPr>
        <w:pStyle w:val="BookText"/>
      </w:pPr>
      <w:r>
        <w:rPr>
          <w:rFonts w:ascii="IRNazanin" w:hAnsi="IRNazanin" w:eastAsia="IRNazanin" w:cs="IRNazanin"/>
          <w:lang w:bidi="fa-IR"/>
          <w:color w:val="111111"/>
          <w:sz w:val="28"/>
          <w:szCs w:val="28"/>
          <w:rtl/>
        </w:rPr>
        <w:t xml:space="preserve">خط: نسخ، بی کا، تا: ۱۲۵۹ق؛ افتادگی ها و شماره های اجزا  در حاشیه؛ کاغذ: فرنگی  شکری ،جلد: میشن قهوه ای مقوایی لبـه ها</w:t>
      </w:r>
    </w:p>
    <w:p>
      <w:pPr>
        <w:pStyle w:val="BookText"/>
      </w:pPr>
      <w:r>
        <w:rPr>
          <w:rFonts w:ascii="IRNazanin" w:hAnsi="IRNazanin" w:eastAsia="IRNazanin" w:cs="IRNazanin"/>
          <w:lang w:bidi="fa-IR"/>
          <w:color w:val="111111"/>
          <w:sz w:val="28"/>
          <w:szCs w:val="28"/>
          <w:rtl/>
        </w:rPr>
        <w:t xml:space="preserve">سجاف عنابی و عطف سجاف تریاکی سوخته ۲۱گ (۳۳پ- ۵۳پ) ۱۵-۱۶ سطر (۹/۵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اندازه: ۱۳/۴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[رایانه ]</w:t>
      </w:r>
    </w:p>
    <w:p>
      <w:pPr>
        <w:pStyle w:val="Heading3"/>
      </w:pPr>
      <w:bookmarkStart w:id="1021" w:name="_Toc543"/>
      <w:r>
        <w:t>استخاره نامه / استخاره / فارسی</w:t>
      </w:r>
      <w:bookmarkEnd w:id="1021"/>
    </w:p>
    <w:p>
      <w:pPr>
        <w:pStyle w:val="BookText"/>
      </w:pPr>
      <w:r>
        <w:rPr>
          <w:rFonts w:ascii="Times New Roman" w:hAnsi="Times New Roman" w:eastAsia="Times New Roman" w:cs="Times New Roman"/>
          <w:lang w:val="en-US" w:bidi="en-US"/>
          <w:color w:val="111111"/>
          <w:sz w:val="28"/>
          <w:szCs w:val="28"/>
          <w:rtl/>
        </w:rPr>
        <w:t xml:space="preserve">estexāre-nāme</w:t>
      </w:r>
    </w:p>
    <w:p>
      <w:pPr>
        <w:pStyle w:val="BookText"/>
      </w:pPr>
      <w:r>
        <w:rPr>
          <w:rFonts w:ascii="IRNazanin" w:hAnsi="IRNazanin" w:eastAsia="IRNazanin" w:cs="IRNazanin"/>
          <w:lang w:bidi="fa-IR"/>
          <w:color w:val="111111"/>
          <w:sz w:val="28"/>
          <w:szCs w:val="28"/>
          <w:rtl/>
        </w:rPr>
        <w:t xml:space="preserve">غیر همانند:</w:t>
      </w:r>
    </w:p>
    <w:p>
      <w:pPr>
        <w:pStyle w:val="BookText"/>
      </w:pPr>
      <w:r>
        <w:rPr>
          <w:rFonts w:ascii="IRNazanin" w:hAnsi="IRNazanin" w:eastAsia="IRNazanin" w:cs="IRNazanin"/>
          <w:lang w:bidi="fa-IR"/>
          <w:color w:val="111111"/>
          <w:sz w:val="28"/>
          <w:szCs w:val="28"/>
          <w:rtl/>
        </w:rPr>
        <w:t xml:space="preserve">1.مشهد؛ گوهر شاد؛ شماره نسخه: ۲۳۱۰/۹</w:t>
      </w:r>
    </w:p>
    <w:p>
      <w:pPr>
        <w:pStyle w:val="BookText"/>
      </w:pPr>
      <w:r>
        <w:rPr>
          <w:rFonts w:ascii="IRNazanin" w:hAnsi="IRNazanin" w:eastAsia="IRNazanin" w:cs="IRNazanin"/>
          <w:lang w:bidi="fa-IR"/>
          <w:color w:val="111111"/>
          <w:sz w:val="28"/>
          <w:szCs w:val="28"/>
          <w:rtl/>
        </w:rPr>
        <w:t xml:space="preserve">آغاز: بسمله، استخاره نامه که از کلام مجید استخراج می نمود؛</w:t>
      </w:r>
    </w:p>
    <w:p>
      <w:pPr>
        <w:pStyle w:val="BookText"/>
      </w:pPr>
      <w:r>
        <w:rPr>
          <w:rFonts w:ascii="IRNazanin" w:hAnsi="IRNazanin" w:eastAsia="IRNazanin" w:cs="IRNazanin"/>
          <w:lang w:bidi="fa-IR"/>
          <w:color w:val="111111"/>
          <w:sz w:val="28"/>
          <w:szCs w:val="28"/>
          <w:rtl/>
        </w:rPr>
        <w:t xml:space="preserve">انجام: در میان زن و شوهر جدایی افتد والله اعلم بالصواب.</w:t>
      </w:r>
    </w:p>
    <w:p>
      <w:pPr>
        <w:pStyle w:val="BookText"/>
      </w:pPr>
      <w:r>
        <w:rPr>
          <w:rFonts w:ascii="IRNazanin" w:hAnsi="IRNazanin" w:eastAsia="IRNazanin" w:cs="IRNazanin"/>
          <w:lang w:bidi="fa-IR"/>
          <w:color w:val="111111"/>
          <w:sz w:val="28"/>
          <w:szCs w:val="28"/>
          <w:rtl/>
        </w:rPr>
        <w:t xml:space="preserve">خط: نستعلیق  تحریری، بی کا، تا: قرن  ۱۳، ۴گ (۲۰۱ - ۲۰۴)، ۱۵ سطر [ف ۵ - ۶۷۰]</w:t>
      </w:r>
    </w:p>
    <w:p>
      <w:pPr>
        <w:pStyle w:val="BookText"/>
      </w:pPr>
      <w:r>
        <w:rPr>
          <w:rFonts w:ascii="IRNazanin" w:hAnsi="IRNazanin" w:eastAsia="IRNazanin" w:cs="IRNazanin"/>
          <w:lang w:bidi="fa-IR"/>
          <w:color w:val="111111"/>
          <w:sz w:val="28"/>
          <w:szCs w:val="28"/>
          <w:rtl/>
        </w:rPr>
        <w:t xml:space="preserve">۲. قم؛ مرعشی؛ شماره نسخه: ۱۳۸۴۷/۳</w:t>
      </w:r>
    </w:p>
    <w:p>
      <w:pPr>
        <w:pStyle w:val="BookText"/>
      </w:pPr>
      <w:r>
        <w:rPr>
          <w:rFonts w:ascii="IRNazanin" w:hAnsi="IRNazanin" w:eastAsia="IRNazanin" w:cs="IRNazanin"/>
          <w:lang w:bidi="fa-IR"/>
          <w:color w:val="111111"/>
          <w:sz w:val="28"/>
          <w:szCs w:val="28"/>
          <w:rtl/>
        </w:rPr>
        <w:t xml:space="preserve">آغاز: الحمد الله الرحمن الرحمن و الصلوة و السلام على خير خلقه و آله أجمعين الطيبين اما بعد این کتابی است استخاره نامه و  مشتمل بر سی خانه  و خانه هایش در هشت است؛ انجام: و انگشت گذارده برسد جواب صریح حاصل که این است کلیه در وضع استخاره نامه بطریق مربع حروفی.</w:t>
      </w:r>
    </w:p>
    <w:p>
      <w:pPr>
        <w:pStyle w:val="BookText"/>
      </w:pPr>
      <w:r>
        <w:rPr>
          <w:rFonts w:ascii="IRNazanin" w:hAnsi="IRNazanin" w:eastAsia="IRNazanin" w:cs="IRNazanin"/>
          <w:lang w:bidi="fa-IR"/>
          <w:color w:val="111111"/>
          <w:sz w:val="28"/>
          <w:szCs w:val="28"/>
          <w:rtl/>
        </w:rPr>
        <w:t xml:space="preserve">رساله ای کوتاه در استخاره (نوعی فال) مشتمل بر سی جدول هشت در هشت که در هر خانه آن حرفی و بالای هر جدول مطلبی نگاشته شده و هر کدام از آن مطالب خواسته باشند نخست سوره حمدی خوانده می شود سپس سه سوره قل هو الله احد و سه صلوات بر محمد و آل محمد (علیه السّلام) فرستاده و نیت کرده و انگشت خود را در یکی از خانه ها می گذارند و ملاحظه می نمایند که چه حرف است از آن حرف چهار چهار بشمارند و حرف چهارم را در جایی بنویسند اگر در آخر حرف چهارم است و چیزی زیاده نمانده که از اول خانه گیرند و به طریق اول چهار چهار بشمارند و  حرف چهارم را بنویسند تا سر همان حرف که اول انگشت روی او آمده است آنگاه حروف مقطعه را بخوانند مطلب معلوم  خواهد شد انشاء الله تعالى؛ خط: شکسته نستعلیق و نسخ،ابوالقاسم ،خراسانی،تا: ۱۲۷۷ق؛ :ترقیمه «حسب خواهش عالیجناب مبادی آداب نخبة سلسلة اولوالالباب لب لباب الاعاظم و الافاخيم ابن عم کامیاب آقا میرزا ابو القاسم زاد الله تعالى مجده و عزه و وفقه لتحصيل مراضيه و اكتساب الكلمات فانها زينة المرء و لباس التقوى و أحسن الجلباب لاولى الالباب لدى المرجع و المآب قلمی گردید بتاریخ ۱۴ شهر ربيع الاول ۱۲۷۷ هـ كاتب  ...ابوالقاسم خراسانی التماس دعا دارد»، به نظر می رسد دو برگ پایانی نسخه جدا از نسخه و عباراتی توضیحی بوده باشد؛ کاغذ ،فرنگی، ۱۰گ (۱۹پ- ۲۸ ر) ۱۷ سطر، اندازه: 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۳۵  - 183]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قم؛ مسجد اعظم؛ شماره نسخه: ۱/ ۱۳۶۷</w:t>
      </w:r>
    </w:p>
    <w:p>
      <w:pPr>
        <w:pStyle w:val="BookText"/>
      </w:pPr>
      <w:r>
        <w:rPr>
          <w:rFonts w:ascii="IRNazanin" w:hAnsi="IRNazanin" w:eastAsia="IRNazanin" w:cs="IRNazanin"/>
          <w:lang w:bidi="fa-IR"/>
          <w:color w:val="111111"/>
          <w:sz w:val="28"/>
          <w:szCs w:val="28"/>
          <w:rtl/>
        </w:rPr>
        <w:t xml:space="preserve">آغاز: البقرة. واتيه الله الملك والحكمة: ولایت و پادشاهی یابد - و من قبل ان يأتى یوم :فروختن این بنده بهتر است؛ انجام: ایحسبون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55" w:name="pg20365_260234"/>
    <w:bookmarkEnd w:id="155"/>
    <w:p>
      <w:pPr>
        <w:pStyle w:val="BookText"/>
      </w:pPr>
      <w:r>
        <w:rPr>
          <w:rFonts w:ascii="IRNazanin" w:hAnsi="IRNazanin" w:eastAsia="IRNazanin" w:cs="IRNazanin"/>
          <w:lang w:bidi="fa-IR"/>
          <w:color w:val="111111"/>
          <w:sz w:val="28"/>
          <w:szCs w:val="28"/>
          <w:rtl/>
        </w:rPr>
        <w:t xml:space="preserve">انما نمدهم شوی توانگر و بسیار مال وزریابی</w:t>
      </w:r>
    </w:p>
    <w:p>
      <w:pPr>
        <w:pStyle w:val="BookText"/>
      </w:pPr>
      <w:r>
        <w:rPr>
          <w:rFonts w:ascii="IRNazanin" w:hAnsi="IRNazanin" w:eastAsia="IRNazanin" w:cs="IRNazanin"/>
          <w:lang w:bidi="fa-IR"/>
          <w:color w:val="111111"/>
          <w:sz w:val="28"/>
          <w:szCs w:val="28"/>
          <w:rtl/>
        </w:rPr>
        <w:t xml:space="preserve">مضمون آیات را جهت استخاره تعیین کرده و مقابل آیات نوشته است؛ خط: نسخ و نستعلیق، بی کا، بی تا؛ بر روی برگ اول و پشت برگ آخر جداولی مذکور است؛ جلد: گالینگور سبز، عطف تيماج  مشکی، ۱۵گ، ۱۵ 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 1- 139]</w:t>
      </w:r>
    </w:p>
    <w:p>
      <w:pPr>
        <w:pStyle w:val="Heading3"/>
      </w:pPr>
      <w:bookmarkStart w:id="1022" w:name="_Toc544"/>
      <w:r>
        <w:t>الاستخارة والقرعة / استخاره / عربي</w:t>
      </w:r>
      <w:bookmarkEnd w:id="1022"/>
    </w:p>
    <w:p>
      <w:pPr>
        <w:pStyle w:val="BookText"/>
      </w:pPr>
      <w:r>
        <w:rPr>
          <w:rFonts w:ascii="Times New Roman" w:hAnsi="Times New Roman" w:eastAsia="Times New Roman" w:cs="Times New Roman"/>
          <w:lang w:val="en-US" w:bidi="en-US"/>
          <w:color w:val="111111"/>
          <w:sz w:val="28"/>
          <w:szCs w:val="28"/>
          <w:rtl/>
        </w:rPr>
        <w:t xml:space="preserve">al-istixāra wa-l-qur‘a</w:t>
      </w:r>
    </w:p>
    <w:p>
      <w:pPr>
        <w:pStyle w:val="BookText"/>
      </w:pPr>
      <w:r>
        <w:rPr>
          <w:rFonts w:ascii="IRNazanin" w:hAnsi="IRNazanin" w:eastAsia="IRNazanin" w:cs="IRNazanin"/>
          <w:lang w:bidi="fa-IR"/>
          <w:color w:val="111111"/>
          <w:sz w:val="28"/>
          <w:szCs w:val="28"/>
          <w:rtl/>
        </w:rPr>
        <w:t xml:space="preserve">موسوی تستری، عبدالحسین</w:t>
      </w:r>
    </w:p>
    <w:p>
      <w:pPr>
        <w:pStyle w:val="BookText"/>
      </w:pPr>
      <w:r>
        <w:rPr>
          <w:rFonts w:ascii="Times New Roman" w:hAnsi="Times New Roman" w:eastAsia="Times New Roman" w:cs="Times New Roman"/>
          <w:lang w:val="en-US" w:bidi="en-US"/>
          <w:color w:val="111111"/>
          <w:sz w:val="28"/>
          <w:szCs w:val="28"/>
          <w:rtl/>
        </w:rPr>
        <w:t xml:space="preserve">mūsavī tostarī, ‘abd-ol-hoseyn</w:t>
      </w:r>
    </w:p>
    <w:p>
      <w:pPr>
        <w:pStyle w:val="BookText"/>
      </w:pPr>
      <w:r>
        <w:rPr>
          <w:rFonts w:ascii="IRNazanin" w:hAnsi="IRNazanin" w:eastAsia="IRNazanin" w:cs="IRNazanin"/>
          <w:lang w:bidi="fa-IR"/>
          <w:color w:val="111111"/>
          <w:sz w:val="28"/>
          <w:szCs w:val="28"/>
          <w:rtl/>
        </w:rPr>
        <w:t xml:space="preserve">چاپ: چاپ شده است.</w:t>
      </w:r>
    </w:p>
    <w:p>
      <w:pPr>
        <w:pStyle w:val="BookText"/>
      </w:pPr>
      <w:r>
        <w:rPr>
          <w:rFonts w:ascii="IRNazanin" w:hAnsi="IRNazanin" w:eastAsia="IRNazanin" w:cs="IRNazanin"/>
          <w:lang w:bidi="fa-IR"/>
          <w:color w:val="111111"/>
          <w:sz w:val="28"/>
          <w:szCs w:val="28"/>
          <w:rtl/>
        </w:rPr>
        <w:t xml:space="preserve">مشهد: رضوی؛ شماره نسخه: ۶۹۷/۴</w:t>
      </w:r>
    </w:p>
    <w:p>
      <w:pPr>
        <w:pStyle w:val="BookText"/>
      </w:pPr>
      <w:r>
        <w:rPr>
          <w:rFonts w:ascii="IRNazanin" w:hAnsi="IRNazanin" w:eastAsia="IRNazanin" w:cs="IRNazanin"/>
          <w:lang w:bidi="fa-IR"/>
          <w:color w:val="111111"/>
          <w:sz w:val="28"/>
          <w:szCs w:val="28"/>
          <w:rtl/>
        </w:rPr>
        <w:t xml:space="preserve">کا: سید احمد صفائی خوانساری، بی تا، قطع: جیبی [اهدائی ف: 286]</w:t>
      </w:r>
    </w:p>
    <w:p>
      <w:pPr>
        <w:pStyle w:val="Heading3"/>
      </w:pPr>
      <w:bookmarkStart w:id="1023" w:name="_Toc545"/>
      <w:r>
        <w:t>الاستخدام / بديع / عربي</w:t>
      </w:r>
      <w:bookmarkEnd w:id="1023"/>
    </w:p>
    <w:p>
      <w:pPr>
        <w:pStyle w:val="BookText"/>
      </w:pPr>
      <w:r>
        <w:rPr>
          <w:rFonts w:ascii="Times New Roman" w:hAnsi="Times New Roman" w:eastAsia="Times New Roman" w:cs="Times New Roman"/>
          <w:lang w:val="en-US" w:bidi="en-US"/>
          <w:color w:val="111111"/>
          <w:sz w:val="28"/>
          <w:szCs w:val="28"/>
          <w:rtl/>
        </w:rPr>
        <w:t xml:space="preserve">al-istixdām</w:t>
      </w:r>
    </w:p>
    <w:p>
      <w:pPr>
        <w:pStyle w:val="BookText"/>
      </w:pPr>
      <w:r>
        <w:rPr>
          <w:rFonts w:ascii="IRNazanin" w:hAnsi="IRNazanin" w:eastAsia="IRNazanin" w:cs="IRNazanin"/>
          <w:lang w:bidi="fa-IR"/>
          <w:color w:val="111111"/>
          <w:sz w:val="28"/>
          <w:szCs w:val="28"/>
          <w:rtl/>
        </w:rPr>
        <w:t xml:space="preserve">از صنایع لفظی بدیعی.</w:t>
      </w:r>
    </w:p>
    <w:p>
      <w:pPr>
        <w:pStyle w:val="BookText"/>
      </w:pPr>
      <w:r>
        <w:rPr>
          <w:rFonts w:ascii="IRNazanin" w:hAnsi="IRNazanin" w:eastAsia="IRNazanin" w:cs="IRNazanin"/>
          <w:lang w:bidi="fa-IR"/>
          <w:color w:val="111111"/>
          <w:sz w:val="28"/>
          <w:szCs w:val="28"/>
          <w:rtl/>
        </w:rPr>
        <w:t xml:space="preserve">تهران؛ مجلس؛ شماره نسخه: ۱۲۰۲/۲۵-ط</w:t>
      </w:r>
    </w:p>
    <w:p>
      <w:pPr>
        <w:pStyle w:val="BookText"/>
      </w:pPr>
      <w:r>
        <w:rPr>
          <w:rFonts w:ascii="Amiri" w:hAnsi="Amiri" w:eastAsia="Amiri" w:cs="Amiri"/>
          <w:lang w:bidi="ar-SA"/>
          <w:color w:val="111111"/>
          <w:sz w:val="28"/>
          <w:szCs w:val="28"/>
          <w:rtl/>
        </w:rPr>
        <w:t xml:space="preserve">آغاز: فائده الاستخدام له معنيان الاول ان يراد بلفظ معنيان</w:t>
      </w:r>
    </w:p>
    <w:p>
      <w:pPr>
        <w:pStyle w:val="BookText"/>
      </w:pPr>
      <w:r>
        <w:rPr>
          <w:rFonts w:ascii="IRNazanin" w:hAnsi="IRNazanin" w:eastAsia="IRNazanin" w:cs="IRNazanin"/>
          <w:lang w:bidi="fa-IR"/>
          <w:color w:val="111111"/>
          <w:sz w:val="28"/>
          <w:szCs w:val="28"/>
          <w:rtl/>
        </w:rPr>
        <w:t xml:space="preserve">خط: نستعلیق، بی کا، تا: قرن ۱۳، ۳۵گ [ف : ۲۳ - ۷۲۲]</w:t>
      </w:r>
    </w:p>
    <w:p>
      <w:pPr>
        <w:pStyle w:val="Heading3"/>
      </w:pPr>
      <w:bookmarkStart w:id="1024" w:name="_Toc546"/>
      <w:r>
        <w:t>استخراج ابعاد الكواكب / هيئت / عربي</w:t>
      </w:r>
      <w:bookmarkEnd w:id="1024"/>
    </w:p>
    <w:p>
      <w:pPr>
        <w:pStyle w:val="BookText"/>
      </w:pPr>
      <w:r>
        <w:rPr>
          <w:rFonts w:ascii="Times New Roman" w:hAnsi="Times New Roman" w:eastAsia="Times New Roman" w:cs="Times New Roman"/>
          <w:lang w:val="en-US" w:bidi="en-US"/>
          <w:color w:val="111111"/>
          <w:sz w:val="28"/>
          <w:szCs w:val="28"/>
          <w:rtl/>
        </w:rPr>
        <w:t xml:space="preserve">istixrāj-u ab‘ād-il-kawākib</w:t>
      </w:r>
    </w:p>
    <w:p>
      <w:pPr>
        <w:pStyle w:val="BookText"/>
      </w:pPr>
      <w:r>
        <w:rPr>
          <w:rFonts w:ascii="IRNazanin" w:hAnsi="IRNazanin" w:eastAsia="IRNazanin" w:cs="IRNazanin"/>
          <w:lang w:bidi="fa-IR"/>
          <w:color w:val="111111"/>
          <w:sz w:val="28"/>
          <w:szCs w:val="28"/>
          <w:rtl/>
        </w:rPr>
        <w:t xml:space="preserve">تهران؛ دانشگاه؛ شماره نسخه: ۴۶۱۸/۲-ف</w:t>
      </w:r>
    </w:p>
    <w:p>
      <w:pPr>
        <w:pStyle w:val="BookText"/>
      </w:pPr>
      <w:r>
        <w:rPr>
          <w:rFonts w:ascii="IRNazanin" w:hAnsi="IRNazanin" w:eastAsia="IRNazanin" w:cs="IRNazanin"/>
          <w:lang w:bidi="fa-IR"/>
          <w:color w:val="111111"/>
          <w:sz w:val="28"/>
          <w:szCs w:val="28"/>
          <w:rtl/>
        </w:rPr>
        <w:t xml:space="preserve">خط: نسخ، بی کا، تا: قرن ۸، ۱گ( ۴۸پ) [فیلم ها -ف: ۳ - ۸۰]</w:t>
      </w:r>
    </w:p>
    <w:p>
      <w:pPr>
        <w:pStyle w:val="Heading3"/>
      </w:pPr>
      <w:bookmarkStart w:id="1025" w:name="_Toc547"/>
      <w:r>
        <w:t>استخراجات - الاستخراج فى طلب العمر و  الهيلاج / هيئت / فارسی</w:t>
      </w:r>
      <w:bookmarkEnd w:id="1025"/>
    </w:p>
    <w:p>
      <w:pPr>
        <w:pStyle w:val="BookText"/>
      </w:pPr>
      <w:r>
        <w:rPr>
          <w:rFonts w:ascii="Times New Roman" w:hAnsi="Times New Roman" w:eastAsia="Times New Roman" w:cs="Times New Roman"/>
          <w:lang w:val="en-US" w:bidi="en-US"/>
          <w:color w:val="111111"/>
          <w:sz w:val="28"/>
          <w:szCs w:val="28"/>
          <w:rtl/>
        </w:rPr>
        <w:t xml:space="preserve">exrājāt = al-estexrāj fi talab-el-'omr va-l-hīlāj</w:t>
      </w:r>
    </w:p>
    <w:p>
      <w:pPr>
        <w:pStyle w:val="BookText"/>
      </w:pPr>
      <w:r>
        <w:rPr>
          <w:rFonts w:ascii="IRNazanin" w:hAnsi="IRNazanin" w:eastAsia="IRNazanin" w:cs="IRNazanin"/>
          <w:lang w:bidi="fa-IR"/>
          <w:color w:val="111111"/>
          <w:sz w:val="28"/>
          <w:szCs w:val="28"/>
          <w:rtl/>
        </w:rPr>
        <w:t xml:space="preserve">طبری، محمد بن ایوب - ۴۸۵ قمری</w:t>
      </w:r>
    </w:p>
    <w:p>
      <w:pPr>
        <w:pStyle w:val="BookText"/>
      </w:pPr>
      <w:r>
        <w:rPr>
          <w:rFonts w:ascii="Times New Roman" w:hAnsi="Times New Roman" w:eastAsia="Times New Roman" w:cs="Times New Roman"/>
          <w:lang w:val="en-US" w:bidi="en-US"/>
          <w:color w:val="111111"/>
          <w:sz w:val="28"/>
          <w:szCs w:val="28"/>
          <w:rtl/>
        </w:rPr>
        <w:t xml:space="preserve">(tabarī, mohammad ebn-e ayyūb (- 1093)</w:t>
      </w:r>
    </w:p>
    <w:p>
      <w:pPr>
        <w:pStyle w:val="BookText"/>
      </w:pPr>
      <w:r>
        <w:rPr>
          <w:rFonts w:ascii="IRNazanin" w:hAnsi="IRNazanin" w:eastAsia="IRNazanin" w:cs="IRNazanin"/>
          <w:lang w:bidi="fa-IR"/>
          <w:color w:val="111111"/>
          <w:sz w:val="28"/>
          <w:szCs w:val="28"/>
          <w:rtl/>
        </w:rPr>
        <w:t xml:space="preserve">شاید نخستین کتاب در اسطرلاب باشد که به زبان فارسی نگارش یافته است. کتابی است در چگونگی استخراج وقت مرگ اشخاص و اندازه عمر آنها و احکامی که بر این موضوع می توان داشت، طبق گفته های حکما و احکام اتفاقی آنان بر پایه هـای علوم نجوم در دیباچه می گوید: «پس ما خواستیم که ازبهر ایشان رسالتی بسازیم مفرد و اندرو پیدا کنیم شناختن عمرهـای مردم ... پس این کتاب را اندرین معنی آغازکردیم و او  را كتاب استخراج  خواندیم، اندر طلب عمر و هيلاج» در  سی «باب»: ۱. اندر شناختن قاعده عمرها و مردم؛ ۲. در معرفت  مولودی که او را تربیت نباشد؛ ۳. در شناختن حالت ها قسمت ها و تربیت ها؛ ۴. در شناختن هیلاجات و جایگاهشان؛ ۵.در شناختن جایگاه دلیل ها و اوتاد زایل و مایل؛ ۶ .در شناختن هیلاجات در طوالع روزی؛ ۷. در شناختن هیلاجات در طوالع شبی؛ ۸. در شناختن جایگاه ستارگان؛ ۹ .در شناختن ارباب خطوط دلیل های ایشان؛ ۱۰. در بیرون آوردن کدخدا بر جایگاه هیلاج؛ ۱۱. در پیدا کردن عطیت کدخداه چون بر درجه وتد طالع بود تا در درجه مايل الوتد و زائل الوتد؛ ۱۲. در پیدا کردن عطيت کدخداه چون میان وتد و مايل الوتد بود؛ ۱۳. در پیدا کردن عطیت کدخداه چون میان مایل و زایل وتد بود؛ ۱۴. در پیدا کردن آنکه چون کدخداه میان مایل الوتد و درجه وتد بود عطیت دهند؛ ۱۵. در پیدا کردن آن ستارگانی که زیاده و نقصان عطيت كدخدا؛ ۱۶. در پیدا کردن آنکه ستاره چون بر  درجه وتد و مايل الوتد بود چه افزاید و چه کاهد؛ ۱۷. درآنکه  چون ستاره میان وتد و مايل الوتد بود چه افزاید وچه کاهد؛ ۱۸. در آن که چون ستاره مایل و زایل بود چه افزاید و چه کاهد؛ ۱۹. درآنکه چون ستاره میان زائل وتد بود چه زیاد و نقصان کنند؛ ۲۰. در معرفت تغییر اولاء عمر و هيلاجات؛ ۲۱. در معرفت اوتاد ساعات چهارگانه؛ ۲۲. در استخراج تسیر درجات معلوم به درجه نامعلوم که آن درجه هیلاج باشد؛ ۲۳. در استخراج تسیر درجات معلوم به درجه که آن درجه هیلاج با طالع بود به درجه قاطع؛ ۲۴. در معرفت درجات قاطع بر هیلاج و کدخدا و درجات طالع و اولاء احكام؛ ۲۵. در بیرون آوردن اجزاء ساعات به حسب موضع ستارگان؛ ۲۶. در بیرون آوردن مطرح شعاع ستارگان؛ .۲۷. در شناختن اولاء موت و وقت تحویل به تمام ؛۲۸. در معرفت ترکیب مردم و دانستن دلیل ها که بر مرگ دلالت کند؛ .۲۹. در تعریف کردن اندر دلیل های عمر و بیرون که کدام مولود بزید وکدام بمیرد که هیلاج و اولاء عمر تباه شده باشد؛ ۳۰. در شناختن قاعده عمرهای مردم. برخی گفته اند که در ۳۵۴ق نوشته شده است</w:t>
      </w:r>
    </w:p>
    <w:p>
      <w:pPr>
        <w:pStyle w:val="BookText"/>
      </w:pPr>
      <w:r>
        <w:rPr>
          <w:rFonts w:ascii="IRNazanin" w:hAnsi="IRNazanin" w:eastAsia="IRNazanin" w:cs="IRNazanin"/>
          <w:lang w:bidi="fa-IR"/>
          <w:color w:val="111111"/>
          <w:sz w:val="28"/>
          <w:szCs w:val="28"/>
          <w:rtl/>
        </w:rPr>
        <w:t xml:space="preserve">آغاز: الحمد لله رب العالمين والصلوة على محمد المصطفى و آله اجمعین و سلم تسليماً كثيراً چنین گوید خواجه حکیم محمد بن ايوب الحاسب الطبری که از دشواری شناختن حالهای مرگ مردم و بقاء وی اندر جهان و بر آن حکم کردن که تا بدان حد شده است که هر کسی را ظنی و وهمی دیگر است...پس ما خواستیم که از بهر ایشان رساله سازیم مفرد و اندرو پیدا کنیم شناختن عمر و بقاء مردم و پدید آریم سرهای که بکار آید ... ما این کتاب را درین معنی آغاز کردیم و او را کتاب   استخراج خواندیم اندر طلب عمر و هیلاجات و او را سی باب نهادیم ... باب اول در شناختن قاعده عمرهای مردمان ایزد سبحانه و تعالی که مسبب الاسباب است هر چیزی را چیزی دیگر کرده است و حرکات افلاک و کواکب را سبب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چیزهای که در عالم سفلی حادث شود کرده و بقاء عمر مردم دروی بعضی را تقدری پرداخته کرده و بعضی را تقدیری ناپرداخته و آنکه از وی پرداخته است بقاء ذاتی خوانیم و ناپرداخته را بقای عرضی و شناختن بقاء عرضی آنست که جـمله اشخاص را بود و تولد او از قرانها و دورانها و ممازجان ستارگان است و فناء آن از نابودی مکان یا هوا و یا غذا باشد</w:t>
      </w:r>
    </w:p>
    <w:p>
      <w:pPr>
        <w:pStyle w:val="BookText"/>
      </w:pPr>
      <w:r>
        <w:rPr>
          <w:rFonts w:ascii="IRNazanin" w:hAnsi="IRNazanin" w:eastAsia="IRNazanin" w:cs="IRNazanin"/>
          <w:lang w:bidi="fa-IR"/>
          <w:color w:val="111111"/>
          <w:sz w:val="28"/>
          <w:szCs w:val="28"/>
          <w:rtl/>
        </w:rPr>
        <w:t xml:space="preserve">انجام: بهمه حال اینست حالی و یاد کردیم تا چون حکم رانند کسانی که تطرف کنند در علم نجوم و احکام و الله اعـلم بالصواب.</w:t>
      </w:r>
    </w:p>
    <w:p>
      <w:pPr>
        <w:pStyle w:val="BookText"/>
      </w:pPr>
      <w:r>
        <w:rPr>
          <w:rFonts w:ascii="IRNazanin" w:hAnsi="IRNazanin" w:eastAsia="IRNazanin" w:cs="IRNazanin"/>
          <w:lang w:bidi="fa-IR"/>
          <w:color w:val="111111"/>
          <w:sz w:val="28"/>
          <w:szCs w:val="28"/>
          <w:rtl/>
        </w:rPr>
        <w:t xml:space="preserve">چاپ: به کوشش تقی بینش چاپ شده</w:t>
      </w:r>
    </w:p>
    <w:p>
      <w:pPr>
        <w:pStyle w:val="BookText"/>
      </w:pPr>
      <w:r>
        <w:rPr>
          <w:rFonts w:ascii="IRNazanin" w:hAnsi="IRNazanin" w:eastAsia="IRNazanin" w:cs="IRNazanin"/>
          <w:lang w:bidi="fa-IR"/>
          <w:color w:val="111111"/>
          <w:sz w:val="28"/>
          <w:szCs w:val="28"/>
          <w:rtl/>
        </w:rPr>
        <w:t xml:space="preserve">[نسخه های منزوی ۴۰۳؛ مجله ادبیات مشهد ۸۸۷/۲۸؛ دیباچه مفتاح المعاملات ۱۶؛ فهرستواره منزوی 4/ 2792؛ الذريعه ۲۰/۲؛ بروکلمان ،ضمیمه، 1/ 589؛ سزگین 5/ 385- 386؛ کشف الظنون ۳۴/۱؛ هدية العارفین ۴۷/۱]</w:t>
      </w:r>
    </w:p>
    <w:p>
      <w:pPr>
        <w:pStyle w:val="BookText"/>
      </w:pPr>
      <w:r>
        <w:rPr>
          <w:rFonts w:ascii="IRNazanin" w:hAnsi="IRNazanin" w:eastAsia="IRNazanin" w:cs="IRNazanin"/>
          <w:lang w:bidi="fa-IR"/>
          <w:color w:val="111111"/>
          <w:sz w:val="28"/>
          <w:szCs w:val="28"/>
          <w:rtl/>
        </w:rPr>
        <w:t xml:space="preserve">۱. تهران؛ مجلس؛ شماره نسخه: ۶۴۶۹/۲</w:t>
      </w:r>
    </w:p>
    <w:p>
      <w:pPr>
        <w:pStyle w:val="BookText"/>
      </w:pPr>
      <w:r>
        <w:rPr>
          <w:rFonts w:ascii="IRNazanin" w:hAnsi="IRNazanin" w:eastAsia="IRNazanin" w:cs="IRNazanin"/>
          <w:lang w:bidi="fa-IR"/>
          <w:color w:val="111111"/>
          <w:sz w:val="28"/>
          <w:szCs w:val="28"/>
          <w:rtl/>
        </w:rPr>
        <w:t xml:space="preserve">خط: نسخ، بی کا، تا: سلخ صفر ۸۵۴ق؛ جلد: مقوایی با روکش ابرو باد و سرطبل دار عطف و دور تیماج قهوه ای، ۲۵گ (۲پ- ۲۶پ)،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۲۴/۵سم [ف : ۲۰ - ۴۶]</w:t>
      </w:r>
    </w:p>
    <w:p>
      <w:pPr>
        <w:pStyle w:val="BookText"/>
      </w:pPr>
      <w:r>
        <w:rPr>
          <w:rFonts w:ascii="IRNazanin" w:hAnsi="IRNazanin" w:eastAsia="IRNazanin" w:cs="IRNazanin"/>
          <w:lang w:bidi="fa-IR"/>
          <w:color w:val="111111"/>
          <w:sz w:val="28"/>
          <w:szCs w:val="28"/>
          <w:rtl/>
        </w:rPr>
        <w:t xml:space="preserve">۲. تهران؛ ملی؛ شماره نسخه: ۸۱۷/۲</w:t>
      </w:r>
    </w:p>
    <w:p>
      <w:pPr>
        <w:pStyle w:val="BookText"/>
      </w:pPr>
      <w:r>
        <w:rPr>
          <w:rFonts w:ascii="IRNazanin" w:hAnsi="IRNazanin" w:eastAsia="IRNazanin" w:cs="IRNazanin"/>
          <w:lang w:bidi="fa-IR"/>
          <w:color w:val="111111"/>
          <w:sz w:val="28"/>
          <w:szCs w:val="28"/>
          <w:rtl/>
        </w:rPr>
        <w:t xml:space="preserve">آغاز: برابر؛ انجام: و بوقت شیر فلک می گردد افروخته شده تا: آن وقت که فرو میرود اینست آثار علوى والله اعلم بالصواب.</w:t>
      </w:r>
    </w:p>
    <w:p>
      <w:pPr>
        <w:pStyle w:val="BookText"/>
      </w:pPr>
      <w:r>
        <w:rPr>
          <w:rFonts w:ascii="IRNazanin" w:hAnsi="IRNazanin" w:eastAsia="IRNazanin" w:cs="IRNazanin"/>
          <w:lang w:bidi="fa-IR"/>
          <w:color w:val="111111"/>
          <w:sz w:val="28"/>
          <w:szCs w:val="28"/>
          <w:rtl/>
        </w:rPr>
        <w:t xml:space="preserve">خط: نستعلیق، بی کا، تا: ۲۵ ربیع الثانى ۸۷۴ق؛ کاغذ: دولت آبادی، جلد: تیماج ماشی ،یک  لا، ۴۹ ص (۱۰۵-۱۵۳)، ۱۷ سـطر</w:t>
      </w:r>
    </w:p>
    <w:p>
      <w:pPr>
        <w:pStyle w:val="BookText"/>
      </w:pPr>
      <w:r>
        <w:rPr>
          <w:rFonts w:ascii="IRNazanin" w:hAnsi="IRNazanin" w:eastAsia="IRNazanin" w:cs="IRNazanin"/>
          <w:lang w:bidi="fa-IR"/>
          <w:color w:val="111111"/>
          <w:sz w:val="28"/>
          <w:szCs w:val="28"/>
          <w:rtl/>
        </w:rPr>
        <w:t xml:space="preserve">(۸/۵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[ف: ۲ - ۳۵۳]</w:t>
      </w:r>
    </w:p>
    <w:p>
      <w:pPr>
        <w:pStyle w:val="BookText"/>
      </w:pPr>
      <w:r>
        <w:rPr>
          <w:rFonts w:ascii="Amiri" w:hAnsi="Amiri" w:eastAsia="Amiri" w:cs="Amiri"/>
          <w:lang w:bidi="ar-SA"/>
          <w:color w:val="111111"/>
          <w:sz w:val="28"/>
          <w:szCs w:val="28"/>
          <w:rtl/>
        </w:rPr>
        <w:t xml:space="preserve">3.تهران؛ دائرة المعارف؛ شماره نسخه: ۴۳۷/۱</w:t>
      </w:r>
    </w:p>
    <w:p>
      <w:pPr>
        <w:pStyle w:val="BookText"/>
      </w:pPr>
      <w:r>
        <w:rPr>
          <w:rFonts w:ascii="IRNazanin" w:hAnsi="IRNazanin" w:eastAsia="IRNazanin" w:cs="IRNazanin"/>
          <w:lang w:bidi="fa-IR"/>
          <w:color w:val="111111"/>
          <w:sz w:val="28"/>
          <w:szCs w:val="28"/>
          <w:rtl/>
        </w:rPr>
        <w:t xml:space="preserve">خط: نسخ پخته، بی کا، تا: قرن ۱۰؛ ۲۱گ (7پ- 27پ ) [ ف : ۱  - 16]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تهران؛ دانشگاه؛ شماره نسخه: ۸۱۲۱/۲</w:t>
      </w:r>
    </w:p>
    <w:p>
      <w:pPr>
        <w:pStyle w:val="BookText"/>
      </w:pPr>
      <w:r>
        <w:rPr>
          <w:rFonts w:ascii="IRNazanin" w:hAnsi="IRNazanin" w:eastAsia="IRNazanin" w:cs="IRNazanin"/>
          <w:lang w:bidi="fa-IR"/>
          <w:color w:val="111111"/>
          <w:sz w:val="28"/>
          <w:szCs w:val="28"/>
          <w:rtl/>
        </w:rPr>
        <w:t xml:space="preserve">آغاز: بسمله. حمد صلوة گوید محمد بن ايوب الحاسب الطبـری که از دشخواری شناختن حالهاء اجل مردم و بقاء ایشان اندر جهان و بدان حکم کردن تا آن حد شده است که هر کسی را در وی طعنی دیگر شده است بر درستی قاعده اصل این علم؛ انجـام: و اگر نظر سعود یار شود تدبیر و علاج سودمند بود و آن قاطع دفع گردد اینست احوال ادلاء عمر که یاد کردیم و الله اعلم، تم.</w:t>
      </w:r>
    </w:p>
    <w:p>
      <w:pPr>
        <w:pStyle w:val="BookText"/>
      </w:pPr>
      <w:r>
        <w:rPr>
          <w:rFonts w:ascii="IRNazanin" w:hAnsi="IRNazanin" w:eastAsia="IRNazanin" w:cs="IRNazanin"/>
          <w:lang w:bidi="fa-IR"/>
          <w:color w:val="111111"/>
          <w:sz w:val="28"/>
          <w:szCs w:val="28"/>
          <w:rtl/>
        </w:rPr>
        <w:t xml:space="preserve">خط: نستعلیق، بی کا، تا: قرن ۱۱ ؛کاغذ: هندی ،جلد: مقوا عطف پارچه، ۸۳ص (۱۶۲-۲۴۴)، ۱۲ سطر (6</w:t>
      </w:r>
      <w:r>
        <w:rPr>
          <w:rFonts w:ascii="Times New Roman" w:hAnsi="Times New Roman" w:eastAsia="Times New Roman" w:cs="Times New Roman"/>
          <w:lang w:val="en-US" w:bidi="en-US"/>
          <w:color w:val="111111"/>
          <w:sz w:val="28"/>
          <w:szCs w:val="28"/>
          <w:rtl/>
        </w:rPr>
        <w:t xml:space="preserve">×12/5)</w:t>
      </w:r>
      <w:r>
        <w:rPr>
          <w:rFonts w:ascii="IRNazanin" w:hAnsi="IRNazanin" w:eastAsia="IRNazanin" w:cs="IRNazanin"/>
          <w:lang w:bidi="fa-IR"/>
          <w:color w:val="111111"/>
          <w:sz w:val="28"/>
          <w:szCs w:val="28"/>
          <w:rtl/>
        </w:rPr>
        <w:t xml:space="preserve">، قطع: ربعـی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۲سم [ف : ۱۷- ۳۵]</w:t>
      </w:r>
    </w:p>
    <w:p>
      <w:pPr>
        <w:pStyle w:val="BookText"/>
      </w:pPr>
      <w:r>
        <w:rPr>
          <w:rFonts w:ascii="Amiri" w:hAnsi="Amiri" w:eastAsia="Amiri" w:cs="Amiri"/>
          <w:lang w:bidi="ar-SA"/>
          <w:color w:val="111111"/>
          <w:sz w:val="28"/>
          <w:szCs w:val="28"/>
          <w:rtl/>
        </w:rPr>
        <w:t xml:space="preserve">۵. تهران؛ دائرة المعارف؛ شماره نسخه: ۲۷۰/۱</w:t>
      </w:r>
    </w:p>
    <w:p>
      <w:pPr>
        <w:pStyle w:val="BookText"/>
      </w:pPr>
      <w:r>
        <w:rPr>
          <w:rFonts w:ascii="IRNazanin" w:hAnsi="IRNazanin" w:eastAsia="IRNazanin" w:cs="IRNazanin"/>
          <w:lang w:bidi="fa-IR"/>
          <w:color w:val="111111"/>
          <w:sz w:val="28"/>
          <w:szCs w:val="28"/>
          <w:rtl/>
        </w:rPr>
        <w:t xml:space="preserve">آغاز: برابر؛ انجام: که تسییر کنند در احکام نجوم این کتاب. تـم</w:t>
      </w:r>
    </w:p>
    <w:p>
      <w:pPr>
        <w:pStyle w:val="BookText"/>
      </w:pPr>
      <w:r>
        <w:rPr>
          <w:rFonts w:ascii="IRNazanin" w:hAnsi="IRNazanin" w:eastAsia="IRNazanin" w:cs="IRNazanin"/>
          <w:lang w:bidi="fa-IR"/>
          <w:color w:val="111111"/>
          <w:sz w:val="28"/>
          <w:szCs w:val="28"/>
          <w:rtl/>
        </w:rPr>
        <w:t xml:space="preserve">خط: نسخ  پخته، بی کا، تا: سه شنبه ۲۸ صفر ۱۰۳۱ق،جا: دارالسلطنه فرح آباد؛ ۲۹ (۱پ-۲۹ر) [ف: ۱ - ۱۶]  ۶. تهران؛ دانشگاه؛ شماره نسخه: ۴۸۰/۲</w:t>
      </w:r>
    </w:p>
    <w:p>
      <w:pPr>
        <w:pStyle w:val="BookText"/>
      </w:pPr>
      <w:r>
        <w:rPr>
          <w:rFonts w:ascii="IRNazanin" w:hAnsi="IRNazanin" w:eastAsia="IRNazanin" w:cs="IRNazanin"/>
          <w:lang w:bidi="fa-IR"/>
          <w:color w:val="111111"/>
          <w:sz w:val="28"/>
          <w:szCs w:val="28"/>
          <w:rtl/>
        </w:rPr>
        <w:t xml:space="preserve">آغاز: برابر؛ انجام: و این شرطها بجای آرند و این گفته اندر معنی کفایت است متصرفان این علم را و این کتاب تمام شد.</w:t>
      </w:r>
    </w:p>
    <w:p>
      <w:pPr>
        <w:pStyle w:val="BookText"/>
      </w:pPr>
      <w:r>
        <w:rPr>
          <w:rFonts w:ascii="IRNazanin" w:hAnsi="IRNazanin" w:eastAsia="IRNazanin" w:cs="IRNazanin"/>
          <w:lang w:bidi="fa-IR"/>
          <w:color w:val="111111"/>
          <w:sz w:val="28"/>
          <w:szCs w:val="28"/>
          <w:rtl/>
        </w:rPr>
        <w:t xml:space="preserve">خط: نستعليق، كا: باقیجان محمد فولاد كاتب بخاری، تا: تقريباً  ۱۰۵۵ق؛ کاغذ: سمرقندی ،جلد: تیماج سرخ ضربی، ۳۶گ (۵۳ پ-88پ) ، ۱۵ سطر (8</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۱۸/۵سم[ ف:4- 828]</w:t>
      </w:r>
    </w:p>
    <w:p>
      <w:pPr>
        <w:pStyle w:val="BookText"/>
      </w:pPr>
      <w:r>
        <w:rPr>
          <w:rFonts w:ascii="IRNazanin" w:hAnsi="IRNazanin" w:eastAsia="IRNazanin" w:cs="IRNazanin"/>
          <w:lang w:bidi="fa-IR"/>
          <w:color w:val="111111"/>
          <w:sz w:val="28"/>
          <w:szCs w:val="28"/>
          <w:rtl/>
        </w:rPr>
        <w:t xml:space="preserve">۷. تهران؛ سلطنتی؛ شماره نسخه: ۱۸۹/۱۴</w:t>
      </w:r>
    </w:p>
    <w:p>
      <w:pPr>
        <w:pStyle w:val="BookText"/>
      </w:pPr>
      <w:r>
        <w:rPr>
          <w:rFonts w:ascii="IRNazanin" w:hAnsi="IRNazanin" w:eastAsia="IRNazanin" w:cs="IRNazanin"/>
          <w:lang w:bidi="fa-IR"/>
          <w:color w:val="111111"/>
          <w:sz w:val="28"/>
          <w:szCs w:val="28"/>
          <w:rtl/>
        </w:rPr>
        <w:t xml:space="preserve">آغاز: برابر؛انجام: باب سی ام در حکم کردن بر عمرها مولود و تصرف آن اما دليلها چهارگانه اول تسییر درجه هیلاج است بدان درجها قاطع که یاد کردیم و تسبیر درجه طالع اگر هیلاج او نباشد بدان درجها قاطع که گفتیم ... این است احوال اولاء عمر که یاد کردیم و الله اعلم بالصواب و اليه المرجع والمآب تمام شد کتاب اولاء عمر و هيلاجات.</w:t>
      </w:r>
    </w:p>
    <w:p>
      <w:pPr>
        <w:pStyle w:val="BookText"/>
      </w:pPr>
      <w:r>
        <w:rPr>
          <w:rFonts w:ascii="IRNazanin" w:hAnsi="IRNazanin" w:eastAsia="IRNazanin" w:cs="IRNazanin"/>
          <w:lang w:bidi="fa-IR"/>
          <w:color w:val="111111"/>
          <w:sz w:val="28"/>
          <w:szCs w:val="28"/>
          <w:rtl/>
        </w:rPr>
        <w:t xml:space="preserve">خط: نستعلیق  کوفی، کا ،طیب، تا: ۱۰۵۵-۱۰۵۶ق؛ کاغذ: ترکی نخودی رنگ، جلد: مقوای روکش چرم لاکی وسط سه ترنج و چهار لچکی ضربی ساده اندرون کاغذ زیتونی رنگ جلد کار ایران است، قطع: رحلی، اندازه: ۲۴/۵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۳۶سم [ف: ۷ - ۱۷۶]</w:t>
      </w:r>
    </w:p>
    <w:p>
      <w:pPr>
        <w:pStyle w:val="BookText"/>
      </w:pPr>
      <w:r>
        <w:rPr>
          <w:rFonts w:ascii="IRNazanin" w:hAnsi="IRNazanin" w:eastAsia="IRNazanin" w:cs="IRNazanin"/>
          <w:lang w:bidi="fa-IR"/>
          <w:color w:val="111111"/>
          <w:sz w:val="28"/>
          <w:szCs w:val="28"/>
          <w:rtl/>
        </w:rPr>
        <w:t xml:space="preserve">8.تهران؛ مجلس؛ شماره نسخه: ۶۳۵۶/۳</w:t>
      </w:r>
    </w:p>
    <w:p>
      <w:pPr>
        <w:pStyle w:val="BookText"/>
      </w:pPr>
      <w:r>
        <w:rPr>
          <w:rFonts w:ascii="IRNazanin" w:hAnsi="IRNazanin" w:eastAsia="IRNazanin" w:cs="IRNazanin"/>
          <w:lang w:bidi="fa-IR"/>
          <w:color w:val="111111"/>
          <w:sz w:val="28"/>
          <w:szCs w:val="28"/>
          <w:rtl/>
        </w:rPr>
        <w:t xml:space="preserve">خط: نستعلیق، بی کا، تا: ۱۰۸۲ق؛ کاغذ: هندی آهار مهره شکری، جلد: تيماج قرمز سجاف عطف تیماج مشکی، ۳۷ص (۲۲۷- ۲۶۳) قطع: وزیری [ف: ۱۹ - ۴۰۲]</w:t>
      </w:r>
    </w:p>
    <w:p>
      <w:pPr>
        <w:pStyle w:val="BookText"/>
      </w:pPr>
      <w:r>
        <w:rPr>
          <w:rFonts w:ascii="IRNazanin" w:hAnsi="IRNazanin" w:eastAsia="IRNazanin" w:cs="IRNazanin"/>
          <w:lang w:bidi="fa-IR"/>
          <w:color w:val="111111"/>
          <w:sz w:val="28"/>
          <w:szCs w:val="28"/>
          <w:rtl/>
        </w:rPr>
        <w:t xml:space="preserve">۹. مشهد؛ گوهر شاد؛ شماره نسخه: ۷۴۳/۲</w:t>
      </w:r>
    </w:p>
    <w:p>
      <w:pPr>
        <w:pStyle w:val="BookText"/>
      </w:pPr>
      <w:r>
        <w:rPr>
          <w:rFonts w:ascii="IRNazanin" w:hAnsi="IRNazanin" w:eastAsia="IRNazanin" w:cs="IRNazanin"/>
          <w:lang w:bidi="fa-IR"/>
          <w:color w:val="111111"/>
          <w:sz w:val="28"/>
          <w:szCs w:val="28"/>
          <w:rtl/>
        </w:rPr>
        <w:t xml:space="preserve">آغاز: بسمله حمدله. اما بعد چنین گوید محرر این رساله خواجه [ابو جعفر محمد بن] ايوب حالب الطبرى ... ما خواستیم رسالتی سازیم مغز اندر و پیدا کنیم شناختن عمر و بقا ... تا این کتاب را اندر این معنی آغاز کردیم و او را کتاب استخراج خواندیم اندر طلب عمر [و هيلاج]؛ انجام: اینست احوال اولاد و عمر که یاد کردیم.</w:t>
      </w:r>
    </w:p>
    <w:p>
      <w:pPr>
        <w:pStyle w:val="BookText"/>
      </w:pPr>
      <w:r>
        <w:rPr>
          <w:rFonts w:ascii="IRNazanin" w:hAnsi="IRNazanin" w:eastAsia="IRNazanin" w:cs="IRNazanin"/>
          <w:lang w:bidi="fa-IR"/>
          <w:color w:val="111111"/>
          <w:sz w:val="28"/>
          <w:szCs w:val="28"/>
          <w:rtl/>
        </w:rPr>
        <w:t xml:space="preserve">خط: شکسته نستعلیق، بی کا، تا: ذیقعده ۱۰۸۸ق؛ ۱۶ سطر، قطع: ربعی [چهار کتابخانه مشهد -ف: - ۶۳]</w:t>
      </w:r>
    </w:p>
    <w:p>
      <w:pPr>
        <w:pStyle w:val="BookText"/>
      </w:pPr>
      <w:r>
        <w:rPr>
          <w:rFonts w:ascii="IRNazanin" w:hAnsi="IRNazanin" w:eastAsia="IRNazanin" w:cs="IRNazanin"/>
          <w:lang w:bidi="fa-IR"/>
          <w:color w:val="111111"/>
          <w:sz w:val="28"/>
          <w:szCs w:val="28"/>
          <w:rtl/>
        </w:rPr>
        <w:t xml:space="preserve">۱۰. مشهد؛ گوهر شاد؛ شماره نسخه: ۸۴۳/۲</w:t>
      </w:r>
    </w:p>
    <w:p>
      <w:pPr>
        <w:pStyle w:val="BookText"/>
      </w:pPr>
      <w:r>
        <w:rPr>
          <w:rFonts w:ascii="IRNazanin" w:hAnsi="IRNazanin" w:eastAsia="IRNazanin" w:cs="IRNazanin"/>
          <w:lang w:bidi="fa-IR"/>
          <w:color w:val="111111"/>
          <w:sz w:val="28"/>
          <w:szCs w:val="28"/>
          <w:rtl/>
        </w:rPr>
        <w:t xml:space="preserve">آغاز: برابر؛ انجام: و آن قاطع رفع گردد اینست احوال ادلاء عمر که یاد کردیم والله اعلم بمعنى الكتاب.</w:t>
      </w:r>
    </w:p>
    <w:p>
      <w:pPr>
        <w:pStyle w:val="BookText"/>
      </w:pPr>
      <w:r>
        <w:rPr>
          <w:rFonts w:ascii="IRNazanin" w:hAnsi="IRNazanin" w:eastAsia="IRNazanin" w:cs="IRNazanin"/>
          <w:lang w:bidi="fa-IR"/>
          <w:color w:val="111111"/>
          <w:sz w:val="28"/>
          <w:szCs w:val="28"/>
          <w:rtl/>
        </w:rPr>
        <w:t xml:space="preserve">خط: شکسته نستعلیق، کا: محمد حسن بن رفیع الدین عسگری رضوی، تا: ۱۰۸۸ق؛ مهر: حاج سيد سعيد؛ جلد: تیماج قهوه ای ،ضربی ۱۷ سطری ،(8</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۳ - ۱۱۴۵]</w:t>
      </w:r>
    </w:p>
    <w:p>
      <w:pPr>
        <w:pStyle w:val="BookText"/>
      </w:pPr>
      <w:r>
        <w:rPr>
          <w:rFonts w:ascii="IRNazanin" w:hAnsi="IRNazanin" w:eastAsia="IRNazanin" w:cs="IRNazanin"/>
          <w:lang w:bidi="fa-IR"/>
          <w:color w:val="111111"/>
          <w:sz w:val="28"/>
          <w:szCs w:val="28"/>
          <w:rtl/>
        </w:rPr>
        <w:t xml:space="preserve">۱۱. تهران؛ ملی؛ شماره نسخه: ۲۶۰۳/۲</w:t>
      </w:r>
    </w:p>
    <w:p>
      <w:pPr>
        <w:pStyle w:val="BookText"/>
      </w:pPr>
      <w:r>
        <w:rPr>
          <w:rFonts w:ascii="IRNazanin" w:hAnsi="IRNazanin" w:eastAsia="IRNazanin" w:cs="IRNazanin"/>
          <w:lang w:bidi="fa-IR"/>
          <w:color w:val="111111"/>
          <w:sz w:val="28"/>
          <w:szCs w:val="28"/>
          <w:rtl/>
        </w:rPr>
        <w:t xml:space="preserve">آغاز: بسمله و به نستعین ، الحمد لله الذي خلق الخلق و دبر الامور و زين الساعات و الایام؛ انجام: و در مطالع هم از آن جمله باشد که دلیل اولی به آنجا رسد و همچنین اثنا عشريات سيارات بروج  الله اعلم باصواب واليه المرجع والمآب.</w:t>
      </w:r>
    </w:p>
    <w:p>
      <w:pPr>
        <w:pStyle w:val="BookText"/>
      </w:pPr>
      <w:r>
        <w:rPr>
          <w:rFonts w:ascii="IRNazanin" w:hAnsi="IRNazanin" w:eastAsia="IRNazanin" w:cs="IRNazanin"/>
          <w:lang w:bidi="fa-IR"/>
          <w:color w:val="111111"/>
          <w:sz w:val="28"/>
          <w:szCs w:val="28"/>
          <w:rtl/>
        </w:rPr>
        <w:t xml:space="preserve">در فهرست با عنوان «سی باب» آمده؛ خط: نستعلیق و شکسته، کا: محمد معصوم رضوی، تا: ۱۰۹۸ق، جا: دلیجان؛ کاغذ ،فرنگی ،جلد: تیماج مشکی  مقوایی، ۷۵ ص (۴۷-۱۲۱)، ۱۵ سطر (۵/۵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۱۶/۵سم [ف: ۶ - ۱۴۶]</w:t>
      </w:r>
    </w:p>
    <w:p>
      <w:pPr>
        <w:pStyle w:val="BookText"/>
      </w:pPr>
      <w:r>
        <w:rPr>
          <w:rFonts w:ascii="IRNazanin" w:hAnsi="IRNazanin" w:eastAsia="IRNazanin" w:cs="IRNazanin"/>
          <w:lang w:bidi="fa-IR"/>
          <w:color w:val="111111"/>
          <w:sz w:val="28"/>
          <w:szCs w:val="28"/>
          <w:rtl/>
        </w:rPr>
        <w:t xml:space="preserve">۱۲ . مشهد؛ رضوی؛ شماره نسخه: ۸۵۲۶/۲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آغاز: کتاب استخراجات محمد بن ایوب الطبر الحساب (كـذا) باب ۲۱ در معرفت تسییر؛ انجام: راحت و فراخی نعمت و آسایش خلایق باشد، والله اعلم</w:t>
      </w:r>
    </w:p>
    <w:p>
      <w:pPr>
        <w:pStyle w:val="BookText"/>
      </w:pPr>
      <w:r>
        <w:rPr>
          <w:rFonts w:ascii="IRNazanin" w:hAnsi="IRNazanin" w:eastAsia="IRNazanin" w:cs="IRNazanin"/>
          <w:lang w:bidi="fa-IR"/>
          <w:color w:val="111111"/>
          <w:sz w:val="28"/>
          <w:szCs w:val="28"/>
          <w:rtl/>
        </w:rPr>
        <w:t xml:space="preserve">جزئی از کتاب استخراجات نجومی مؤلف است. که اصل شامل ۲۹ باب است و از باب ۲۱ شروع شده است و تا باب 26بیشتر ندارد؛ خط: نسخ، بی کا، تا: قرن ۱۲؛ پس از آن دلالات کواکب است مشتمل بر چندین لطیفه و فایده؛ کاغذ: اصفهـانی آهار مهره، جلد: چرمی ،یک  لا، ۳۴ ص (۲۲۷-۲۶۰)، ۱۵ سـطر (۱۳/۷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۷/۵)،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۱۹/۵سم [ف: ۸ - ۳۰۱]</w:t>
      </w:r>
    </w:p>
    <w:p>
      <w:pPr>
        <w:pStyle w:val="BookText"/>
      </w:pPr>
      <w:r>
        <w:rPr>
          <w:rFonts w:ascii="IRNazanin" w:hAnsi="IRNazanin" w:eastAsia="IRNazanin" w:cs="IRNazanin"/>
          <w:lang w:bidi="fa-IR"/>
          <w:color w:val="111111"/>
          <w:sz w:val="28"/>
          <w:szCs w:val="28"/>
          <w:rtl/>
        </w:rPr>
        <w:t xml:space="preserve">۱۳. قم؛ مرعشی؛ شماره نسخه: ۹۲۴۸/۲</w:t>
      </w:r>
    </w:p>
    <w:p>
      <w:pPr>
        <w:pStyle w:val="BookText"/>
      </w:pPr>
      <w:r>
        <w:rPr>
          <w:rFonts w:ascii="IRNazanin" w:hAnsi="IRNazanin" w:eastAsia="IRNazanin" w:cs="IRNazanin"/>
          <w:lang w:bidi="fa-IR"/>
          <w:color w:val="111111"/>
          <w:sz w:val="28"/>
          <w:szCs w:val="28"/>
          <w:rtl/>
        </w:rPr>
        <w:t xml:space="preserve">آغاز: برابر؛ انجام: و زهره آنجا بود همچنان بود که زهره بزرجل پیوسته باشد.</w:t>
      </w:r>
    </w:p>
    <w:p>
      <w:pPr>
        <w:pStyle w:val="BookText"/>
      </w:pPr>
      <w:r>
        <w:rPr>
          <w:rFonts w:ascii="IRNazanin" w:hAnsi="IRNazanin" w:eastAsia="IRNazanin" w:cs="IRNazanin"/>
          <w:lang w:bidi="fa-IR"/>
          <w:color w:val="111111"/>
          <w:sz w:val="28"/>
          <w:szCs w:val="28"/>
          <w:rtl/>
        </w:rPr>
        <w:t xml:space="preserve">خط: نستعلیق، بی  کا، تا: قرن ۱۲ ،جلد: مقوایی عطف تیماج مشکی ، ۲۹ گ (۱۴پ - ۴۲پ)، ۱۹ سطر،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۱۷/۵سم [ف:  24- 43]</w:t>
      </w:r>
    </w:p>
    <w:p>
      <w:pPr>
        <w:pStyle w:val="BookText"/>
      </w:pPr>
      <w:r>
        <w:rPr>
          <w:rFonts w:ascii="IRNazanin" w:hAnsi="IRNazanin" w:eastAsia="IRNazanin" w:cs="IRNazanin"/>
          <w:lang w:bidi="fa-IR"/>
          <w:color w:val="111111"/>
          <w:sz w:val="28"/>
          <w:szCs w:val="28"/>
          <w:rtl/>
        </w:rPr>
        <w:t xml:space="preserve">۱۴. تهران؛ مجلس؛ شماره نسخه: ۲۱۲۳</w:t>
      </w:r>
    </w:p>
    <w:p>
      <w:pPr>
        <w:pStyle w:val="BookText"/>
      </w:pPr>
      <w:r>
        <w:rPr>
          <w:rFonts w:ascii="IRNazanin" w:hAnsi="IRNazanin" w:eastAsia="IRNazanin" w:cs="IRNazanin"/>
          <w:lang w:bidi="fa-IR"/>
          <w:color w:val="111111"/>
          <w:sz w:val="28"/>
          <w:szCs w:val="28"/>
          <w:rtl/>
        </w:rPr>
        <w:t xml:space="preserve">آغاز: الحمد لله رب العالمين والصلوة والسلام؛ انجام: و سریع السير و استقامت.</w:t>
      </w:r>
    </w:p>
    <w:p>
      <w:pPr>
        <w:pStyle w:val="BookText"/>
      </w:pPr>
      <w:r>
        <w:rPr>
          <w:rFonts w:ascii="IRNazanin" w:hAnsi="IRNazanin" w:eastAsia="IRNazanin" w:cs="IRNazanin"/>
          <w:lang w:bidi="fa-IR"/>
          <w:color w:val="111111"/>
          <w:sz w:val="28"/>
          <w:szCs w:val="28"/>
          <w:rtl/>
        </w:rPr>
        <w:t xml:space="preserve">خط: تحریری  متوسط، بی کا، تا: قرن ۱۲؛ کاتب در مقدمه نام مؤلف را به خطا «ایوب بن حاسب» نوشته و همین خطا را در پشـت صفحه اول تکرار کرده اند. چنان می نماید که مؤلف از منجمـین قرن ششم بوده و ظاهراً این کتاب ترجمه ای است که از تألیف در همان حدود کرده اند؛ کاغذ: اصفهانی شکری آهار مهره دار،  جلد: میشن زرشکی  داغ دار ،۱۱۳ص، ۲۲ - ۲۳سطر،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۶ - ۱۰۲]</w:t>
      </w:r>
    </w:p>
    <w:p>
      <w:pPr>
        <w:pStyle w:val="BookText"/>
      </w:pPr>
      <w:r>
        <w:rPr>
          <w:rFonts w:ascii="IRNazanin" w:hAnsi="IRNazanin" w:eastAsia="IRNazanin" w:cs="IRNazanin"/>
          <w:lang w:bidi="fa-IR"/>
          <w:color w:val="111111"/>
          <w:sz w:val="28"/>
          <w:szCs w:val="28"/>
          <w:rtl/>
        </w:rPr>
        <w:t xml:space="preserve">۱۵. تهران؛ مجلس؛ شماره نسخه: ۶۳۵۵/۱</w:t>
      </w:r>
    </w:p>
    <w:p>
      <w:pPr>
        <w:pStyle w:val="BookText"/>
      </w:pPr>
      <w:r>
        <w:rPr>
          <w:rFonts w:ascii="IRNazanin" w:hAnsi="IRNazanin" w:eastAsia="IRNazanin" w:cs="IRNazanin"/>
          <w:lang w:bidi="fa-IR"/>
          <w:color w:val="111111"/>
          <w:sz w:val="28"/>
          <w:szCs w:val="28"/>
          <w:rtl/>
        </w:rPr>
        <w:t xml:space="preserve">خط: نسخ، بی کا، تا: قرن ۱۲ ؛کاغذ: اصفهانی متوسط، جـلد: تیماج قرمز، ۲۶ ص (۲-۲۷)، ۱۸ سطر، قطع: رقعی،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۱۹ - ۳۹۷]</w:t>
      </w:r>
    </w:p>
    <w:p>
      <w:pPr>
        <w:pStyle w:val="BookText"/>
      </w:pPr>
      <w:r>
        <w:rPr>
          <w:rFonts w:ascii="IRNazanin" w:hAnsi="IRNazanin" w:eastAsia="IRNazanin" w:cs="IRNazanin"/>
          <w:lang w:bidi="fa-IR"/>
          <w:color w:val="111111"/>
          <w:sz w:val="28"/>
          <w:szCs w:val="28"/>
          <w:rtl/>
        </w:rPr>
        <w:t xml:space="preserve">۱۶. شیراز؛ ملی؛ شماره نسخه: ۱-پ/۴۰۸/۳</w:t>
      </w:r>
    </w:p>
    <w:p>
      <w:pPr>
        <w:pStyle w:val="BookText"/>
      </w:pPr>
      <w:r>
        <w:rPr>
          <w:rFonts w:ascii="IRNazanin" w:hAnsi="IRNazanin" w:eastAsia="IRNazanin" w:cs="IRNazanin"/>
          <w:lang w:bidi="fa-IR"/>
          <w:color w:val="111111"/>
          <w:sz w:val="28"/>
          <w:szCs w:val="28"/>
          <w:rtl/>
        </w:rPr>
        <w:t xml:space="preserve">آغاز: بسمله و به ثقتی – رب تمم بالخير - الحمد لله  رب العالمین و الصلوة و السلام على خير خلقه محمد و اله اجمعين اما بـعد؛ انجام: تم التحرير في ... ۲۷ شهر محرم ۲۷ شهر محرم الحرام سنه ۱۱۶۳... المذنب ابن مرحوم حاج فرج الله شوشتری محمد امين كتبها لنفسی</w:t>
      </w:r>
    </w:p>
    <w:p>
      <w:pPr>
        <w:pStyle w:val="BookText"/>
      </w:pPr>
      <w:r>
        <w:rPr>
          <w:rFonts w:ascii="IRNazanin" w:hAnsi="IRNazanin" w:eastAsia="IRNazanin" w:cs="IRNazanin"/>
          <w:lang w:bidi="fa-IR"/>
          <w:color w:val="111111"/>
          <w:sz w:val="28"/>
          <w:szCs w:val="28"/>
          <w:rtl/>
        </w:rPr>
        <w:t xml:space="preserve">خط: نستعلیق، کا: محمد امین ابن حاج فرج الله شوشتری، تا:محرم۱۱۶۳ق؛ دارای چند جدول است ؛کاغذ: فرنگی نخودی،جلد: مقوا با تیماج قهوه ای  سیر ،۱۷ ص، ۲۳ سطر (۸/۵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۴/۵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۲ - ۷]</w:t>
      </w:r>
    </w:p>
    <w:p>
      <w:pPr>
        <w:pStyle w:val="BookText"/>
      </w:pPr>
      <w:r>
        <w:rPr>
          <w:rFonts w:ascii="IRNazanin" w:hAnsi="IRNazanin" w:eastAsia="IRNazanin" w:cs="IRNazanin"/>
          <w:lang w:bidi="fa-IR"/>
          <w:color w:val="111111"/>
          <w:sz w:val="28"/>
          <w:szCs w:val="28"/>
          <w:rtl/>
        </w:rPr>
        <w:t xml:space="preserve">۱۷ . خوانسار؛ فاضل شماره نسخه: ۲۳۵/۲</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کا: محمد بن علی بن محمد شفیع  اصفهانی، تا:2 جمادی ۱۱۷۶ق؛ جلد: تیماج مشکی ضربی ترنج و سرترنج دار عطف تیماج مشکی،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 - ۱۹۶]</w:t>
      </w:r>
    </w:p>
    <w:p>
      <w:pPr>
        <w:pStyle w:val="BookText"/>
      </w:pPr>
      <w:r>
        <w:rPr>
          <w:rFonts w:ascii="IRNazanin" w:hAnsi="IRNazanin" w:eastAsia="IRNazanin" w:cs="IRNazanin"/>
          <w:lang w:bidi="fa-IR"/>
          <w:color w:val="111111"/>
          <w:sz w:val="28"/>
          <w:szCs w:val="28"/>
          <w:rtl/>
        </w:rPr>
        <w:t xml:space="preserve">۱۸. تهران؛ مجلس؛ شماره نسخه: ۶۵۸۶/۲</w:t>
      </w:r>
    </w:p>
    <w:p>
      <w:pPr>
        <w:pStyle w:val="BookText"/>
      </w:pPr>
      <w:r>
        <w:rPr>
          <w:rFonts w:ascii="IRNazanin" w:hAnsi="IRNazanin" w:eastAsia="IRNazanin" w:cs="IRNazanin"/>
          <w:lang w:bidi="fa-IR"/>
          <w:color w:val="111111"/>
          <w:sz w:val="28"/>
          <w:szCs w:val="28"/>
          <w:rtl/>
        </w:rPr>
        <w:t xml:space="preserve">خط: نستعلیق  هندی، بی کا، تا: ۲۰ رمضان ۱۱۹۳ق؛ مصحح ؛ جلد: تیماج مشکی جدید ضربی ترنج  دار، ۲۳گ (19پ-41پ)،</w:t>
      </w:r>
    </w:p>
    <w:p>
      <w:pPr>
        <w:pStyle w:val="BookText"/>
      </w:pPr>
      <w:r>
        <w:rPr>
          <w:rFonts w:ascii="IRNazanin" w:hAnsi="IRNazanin" w:eastAsia="IRNazanin" w:cs="IRNazanin"/>
          <w:lang w:bidi="fa-IR"/>
          <w:color w:val="111111"/>
          <w:sz w:val="28"/>
          <w:szCs w:val="28"/>
          <w:rtl/>
        </w:rPr>
        <w:t xml:space="preserve">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۲۴سم [ف : ۲۰ - ۱۳۹]</w:t>
      </w:r>
    </w:p>
    <w:p>
      <w:pPr>
        <w:pStyle w:val="BookText"/>
      </w:pPr>
      <w:r>
        <w:rPr>
          <w:rFonts w:ascii="IRNazanin" w:hAnsi="IRNazanin" w:eastAsia="IRNazanin" w:cs="IRNazanin"/>
          <w:lang w:bidi="fa-IR"/>
          <w:color w:val="111111"/>
          <w:sz w:val="28"/>
          <w:szCs w:val="28"/>
          <w:rtl/>
        </w:rPr>
        <w:t xml:space="preserve">۱۹. قم؛ مرعشی؛ شماره نسخه: ۱۰۰۲۳/۲</w:t>
      </w:r>
    </w:p>
    <w:p>
      <w:pPr>
        <w:pStyle w:val="BookText"/>
      </w:pPr>
      <w:r>
        <w:rPr>
          <w:rFonts w:ascii="IRNazanin" w:hAnsi="IRNazanin" w:eastAsia="IRNazanin" w:cs="IRNazanin"/>
          <w:lang w:bidi="fa-IR"/>
          <w:color w:val="111111"/>
          <w:sz w:val="28"/>
          <w:szCs w:val="28"/>
          <w:rtl/>
        </w:rPr>
        <w:t xml:space="preserve">خط: نسخ، بی کا، تا: قرن ۱۳؛ جلد: دو رو تیماج رو مشکی پشت قهوه ای، ۲۵گ (۱۵۶پ-۱۸۰پ)، ۱۹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w:t>
      </w:r>
    </w:p>
    <w:p>
      <w:pPr>
        <w:pStyle w:val="BookText"/>
      </w:pPr>
      <w:r>
        <w:rPr>
          <w:rFonts w:ascii="IRNazanin" w:hAnsi="IRNazanin" w:eastAsia="IRNazanin" w:cs="IRNazanin"/>
          <w:lang w:bidi="fa-IR"/>
          <w:color w:val="111111"/>
          <w:sz w:val="28"/>
          <w:szCs w:val="28"/>
          <w:rtl/>
        </w:rPr>
        <w:t xml:space="preserve">[ف: ۲۶ - ۲۱]</w:t>
      </w:r>
    </w:p>
    <w:p>
      <w:pPr>
        <w:pStyle w:val="BookText"/>
      </w:pPr>
      <w:r>
        <w:rPr>
          <w:rFonts w:ascii="IRNazanin" w:hAnsi="IRNazanin" w:eastAsia="IRNazanin" w:cs="IRNazanin"/>
          <w:lang w:bidi="fa-IR"/>
          <w:color w:val="111111"/>
          <w:sz w:val="28"/>
          <w:szCs w:val="28"/>
          <w:rtl/>
        </w:rPr>
        <w:t xml:space="preserve">۲۰. تهران؛ ملک؛ شماره نسخه: ۳۲۶۸/۳</w:t>
      </w:r>
    </w:p>
    <w:p>
      <w:pPr>
        <w:pStyle w:val="BookText"/>
      </w:pPr>
      <w:r>
        <w:rPr>
          <w:rFonts w:ascii="IRNazanin" w:hAnsi="IRNazanin" w:eastAsia="IRNazanin" w:cs="IRNazanin"/>
          <w:lang w:bidi="fa-IR"/>
          <w:color w:val="111111"/>
          <w:sz w:val="28"/>
          <w:szCs w:val="28"/>
          <w:rtl/>
        </w:rPr>
        <w:t xml:space="preserve">خط: نستعلیق، بی  کا، تا: ذیقعده ۱۲۱۹ق، جا: کاشان؛ کاغذ: پسته ای ،جلد: میشن قهوه ای ،لایی، ۱۹ سطر، اندازه: ۱۵/۷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۲۱/۳سم [ف: ۶ - ۳۴۵]</w:t>
      </w:r>
    </w:p>
    <w:p>
      <w:pPr>
        <w:pStyle w:val="BookText"/>
      </w:pPr>
      <w:r>
        <w:rPr>
          <w:rFonts w:ascii="IRNazanin" w:hAnsi="IRNazanin" w:eastAsia="IRNazanin" w:cs="IRNazanin"/>
          <w:lang w:bidi="fa-IR"/>
          <w:color w:val="111111"/>
          <w:sz w:val="28"/>
          <w:szCs w:val="28"/>
          <w:rtl/>
        </w:rPr>
        <w:t xml:space="preserve">۲۱. تهران؛ ملی؛ شماره نسخه: بدون شماره</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شکسته نستعلیق متوسط، بی کا، تا: ۱۲ محرم 1230ق؛ مصحح، اهدایی: خاندان بغایری ۱۳۸۳؛ کاغذ: فرنگی  نخودی، جلد: ساغری مشکی مقوایی ترنج و سرترنج با گل و بوته ضربی مجدول منگنه ضربی، ۱۷گ (169پ-۱۸۵)، ۲۲ سطر (۹/۳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[رایانه]</w:t>
      </w:r>
    </w:p>
    <w:p>
      <w:pPr>
        <w:pStyle w:val="BookText"/>
      </w:pPr>
      <w:r>
        <w:rPr>
          <w:rFonts w:ascii="IRNazanin" w:hAnsi="IRNazanin" w:eastAsia="IRNazanin" w:cs="IRNazanin"/>
          <w:lang w:bidi="fa-IR"/>
          <w:color w:val="111111"/>
          <w:sz w:val="28"/>
          <w:szCs w:val="28"/>
          <w:rtl/>
        </w:rPr>
        <w:t xml:space="preserve">۲۲. اراک؛ دهگان؛ شماره نسخه: ۲</w:t>
      </w:r>
    </w:p>
    <w:p>
      <w:pPr>
        <w:pStyle w:val="BookText"/>
      </w:pPr>
      <w:r>
        <w:rPr>
          <w:rFonts w:ascii="IRNazanin" w:hAnsi="IRNazanin" w:eastAsia="IRNazanin" w:cs="IRNazanin"/>
          <w:lang w:bidi="fa-IR"/>
          <w:color w:val="111111"/>
          <w:sz w:val="28"/>
          <w:szCs w:val="28"/>
          <w:rtl/>
        </w:rPr>
        <w:t xml:space="preserve">آغاز: در استخراج تسير درجات معلوم یا در حالت درجات که این درجه هیلاج باشد؛ انجام: این است احوال اولاد عمر که یاد کردیم و الله اعلم بالصواب تمة الرساله الشريفه به تاریخ ۱۰ شهر رمضان المبارك سنة ۱۲۶۲  در فهرست بدون نام مؤلف ؛خط: نستعلیق، بی کا، تا: ۱۰ رمضان۱۲۶۲ق؛ افتادگی: وسط؛ از کتاب های مرحوم ابراهیم دهگان؛ کاغذ: لیمویی ،جلد: مقوای قهوه ای روشن، ۳۷گ، ۱۱  - 13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[دهگان - ف: ۱ - ۱۵]</w:t>
      </w:r>
    </w:p>
    <w:p>
      <w:pPr>
        <w:pStyle w:val="BookText"/>
      </w:pPr>
      <w:r>
        <w:rPr>
          <w:rFonts w:ascii="IRNazanin" w:hAnsi="IRNazanin" w:eastAsia="IRNazanin" w:cs="IRNazanin"/>
          <w:lang w:bidi="fa-IR"/>
          <w:color w:val="111111"/>
          <w:sz w:val="28"/>
          <w:szCs w:val="28"/>
          <w:rtl/>
        </w:rPr>
        <w:t xml:space="preserve">۲۳. تهران؛ ملک؛ شماره نسخه: ۱۷۳۰/۶</w:t>
      </w:r>
    </w:p>
    <w:p>
      <w:pPr>
        <w:pStyle w:val="BookText"/>
      </w:pPr>
      <w:r>
        <w:rPr>
          <w:rFonts w:ascii="IRNazanin" w:hAnsi="IRNazanin" w:eastAsia="IRNazanin" w:cs="IRNazanin"/>
          <w:lang w:bidi="fa-IR"/>
          <w:color w:val="111111"/>
          <w:sz w:val="28"/>
          <w:szCs w:val="28"/>
          <w:rtl/>
        </w:rPr>
        <w:t xml:space="preserve">آغاز: برابر؛ انجام: و شش روز را از ثلث عطیت صغری مشتری بكاستیم. باقی عطیه ای است که زیاده می کند والله تعالی یعلم</w:t>
      </w:r>
    </w:p>
    <w:p>
      <w:pPr>
        <w:pStyle w:val="BookText"/>
      </w:pPr>
      <w:r>
        <w:rPr>
          <w:rFonts w:ascii="IRNazanin" w:hAnsi="IRNazanin" w:eastAsia="IRNazanin" w:cs="IRNazanin"/>
          <w:lang w:bidi="fa-IR"/>
          <w:color w:val="111111"/>
          <w:sz w:val="28"/>
          <w:szCs w:val="28"/>
          <w:rtl/>
        </w:rPr>
        <w:t xml:space="preserve">خط: نسخ، كا: محمد حسن بن حاجی محمد جعفر تهرانی، تا: ۱۲۹۰ ق ؛کاغذ: پسته ای آبی ،جلد: میشن قهوه ای لایی، ۱۴ سطر</w:t>
      </w:r>
    </w:p>
    <w:p>
      <w:pPr>
        <w:pStyle w:val="BookText"/>
      </w:pPr>
      <w:r>
        <w:rPr>
          <w:rFonts w:ascii="IRNazanin" w:hAnsi="IRNazanin" w:eastAsia="IRNazanin" w:cs="IRNazanin"/>
          <w:lang w:bidi="fa-IR"/>
          <w:color w:val="111111"/>
          <w:sz w:val="28"/>
          <w:szCs w:val="28"/>
          <w:rtl/>
        </w:rPr>
        <w:t xml:space="preserve">[ف: ۵ - ۳۴۹  ]</w:t>
      </w:r>
    </w:p>
    <w:p>
      <w:pPr>
        <w:pStyle w:val="BookText"/>
      </w:pPr>
      <w:r>
        <w:rPr>
          <w:rFonts w:ascii="IRNazanin" w:hAnsi="IRNazanin" w:eastAsia="IRNazanin" w:cs="IRNazanin"/>
          <w:lang w:bidi="fa-IR"/>
          <w:color w:val="111111"/>
          <w:sz w:val="28"/>
          <w:szCs w:val="28"/>
          <w:rtl/>
        </w:rPr>
        <w:t xml:space="preserve">۲۴. تهران؛ مجلس؛ شماره نسخه: ۱۴۵۷/۴</w:t>
      </w:r>
    </w:p>
    <w:p>
      <w:pPr>
        <w:pStyle w:val="BookText"/>
      </w:pPr>
      <w:r>
        <w:rPr>
          <w:rFonts w:ascii="IRNazanin" w:hAnsi="IRNazanin" w:eastAsia="IRNazanin" w:cs="IRNazanin"/>
          <w:lang w:bidi="fa-IR"/>
          <w:color w:val="111111"/>
          <w:sz w:val="28"/>
          <w:szCs w:val="28"/>
          <w:rtl/>
        </w:rPr>
        <w:t xml:space="preserve">آغاز: برابر؛ انجام: و این کفایت است اندر معنی کسانی را که  قصد می کنند  در احکام تحویلی و انتها اصلى و الله اعلم تمام شدطالع مولود در باب عطیه تا عمر کسانی که این عمل کنند آسان گردد و ما را بفاتحه یادآوری نمایند و الحمد</w:t>
      </w:r>
    </w:p>
    <w:p>
      <w:pPr>
        <w:pStyle w:val="BookText"/>
      </w:pPr>
      <w:r>
        <w:rPr>
          <w:rFonts w:ascii="IRNazanin" w:hAnsi="IRNazanin" w:eastAsia="IRNazanin" w:cs="IRNazanin"/>
          <w:lang w:bidi="fa-IR"/>
          <w:color w:val="111111"/>
          <w:sz w:val="28"/>
          <w:szCs w:val="28"/>
          <w:rtl/>
        </w:rPr>
        <w:t xml:space="preserve">خط: نستعلیق، بی کا، بی تا ؛کاغذ: سفید، جلد: تیماج سبز روشن  ضربی یک لایی، ۲۵ ص ((۹۷-۷۳) [سنا - ف: ۲ - ۲۶۵]</w:t>
      </w:r>
    </w:p>
    <w:p>
      <w:pPr>
        <w:pStyle w:val="BookText"/>
      </w:pPr>
      <w:r>
        <w:rPr>
          <w:rFonts w:ascii="IRNazanin" w:hAnsi="IRNazanin" w:eastAsia="IRNazanin" w:cs="IRNazanin"/>
          <w:lang w:bidi="fa-IR"/>
          <w:color w:val="111111"/>
          <w:sz w:val="28"/>
          <w:szCs w:val="28"/>
          <w:rtl/>
        </w:rPr>
        <w:t xml:space="preserve">۲۵. تبریز؛ ثقة الاسلام؛ شماره نسخه: بدون شماره/ ۲</w:t>
      </w:r>
    </w:p>
    <w:p>
      <w:pPr>
        <w:pStyle w:val="BookText"/>
      </w:pPr>
      <w:r>
        <w:rPr>
          <w:rFonts w:ascii="IRNazanin" w:hAnsi="IRNazanin" w:eastAsia="IRNazanin" w:cs="IRNazanin"/>
          <w:lang w:bidi="fa-IR"/>
          <w:color w:val="111111"/>
          <w:sz w:val="28"/>
          <w:szCs w:val="28"/>
          <w:rtl/>
        </w:rPr>
        <w:t xml:space="preserve">بی کا، بی تا[ نشریه: ۷ - ۵۴۰]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56" w:name="pg20365_260237"/>
    <w:bookmarkEnd w:id="156"/>
    <w:p>
      <w:pPr>
        <w:pStyle w:val="Heading3"/>
      </w:pPr>
      <w:bookmarkStart w:id="1026" w:name="_Toc548"/>
      <w:r>
        <w:t>استخراجات / هیئت / فارسی</w:t>
      </w:r>
      <w:bookmarkEnd w:id="1026"/>
    </w:p>
    <w:p>
      <w:pPr>
        <w:pStyle w:val="BookText"/>
      </w:pPr>
      <w:r>
        <w:rPr>
          <w:rFonts w:ascii="Times New Roman" w:hAnsi="Times New Roman" w:eastAsia="Times New Roman" w:cs="Times New Roman"/>
          <w:lang w:val="en-US" w:bidi="en-US"/>
          <w:color w:val="111111"/>
          <w:sz w:val="28"/>
          <w:szCs w:val="28"/>
          <w:rtl/>
        </w:rPr>
        <w:t xml:space="preserve">exrājāt</w:t>
      </w:r>
    </w:p>
    <w:p>
      <w:pPr>
        <w:pStyle w:val="BookText"/>
      </w:pPr>
      <w:r>
        <w:rPr>
          <w:rFonts w:ascii="IRNazanin" w:hAnsi="IRNazanin" w:eastAsia="IRNazanin" w:cs="IRNazanin"/>
          <w:lang w:bidi="fa-IR"/>
          <w:color w:val="111111"/>
          <w:sz w:val="28"/>
          <w:szCs w:val="28"/>
          <w:rtl/>
        </w:rPr>
        <w:t xml:space="preserve">بخشی است از کتاب یا رسالهی در برگ ۳پ این عنوان دیده می شود: «البرج العاشر وما فيه من المسائل چون کسی پرسداز عملی که از سلطان طلب کند.»</w:t>
      </w:r>
    </w:p>
    <w:p>
      <w:pPr>
        <w:pStyle w:val="BookText"/>
      </w:pPr>
      <w:r>
        <w:rPr>
          <w:rFonts w:ascii="IRNazanin" w:hAnsi="IRNazanin" w:eastAsia="IRNazanin" w:cs="IRNazanin"/>
          <w:lang w:bidi="fa-IR"/>
          <w:color w:val="111111"/>
          <w:sz w:val="28"/>
          <w:szCs w:val="28"/>
          <w:rtl/>
        </w:rPr>
        <w:t xml:space="preserve">تهران؛ مجلس؛ شماره نسخه: ۷۷۱/۱-ط</w:t>
      </w:r>
    </w:p>
    <w:p>
      <w:pPr>
        <w:pStyle w:val="BookText"/>
      </w:pPr>
      <w:r>
        <w:rPr>
          <w:rFonts w:ascii="IRNazanin" w:hAnsi="IRNazanin" w:eastAsia="IRNazanin" w:cs="IRNazanin"/>
          <w:lang w:bidi="fa-IR"/>
          <w:color w:val="111111"/>
          <w:sz w:val="28"/>
          <w:szCs w:val="28"/>
          <w:rtl/>
        </w:rPr>
        <w:t xml:space="preserve">آغاز: منصرف از آفتاب باشد آن کس از هم سلطان یا از پدر یـا از استاد به خشم رود؛ انجام: و در ربع جنوبی هر درجه فصل سـالی باشد و در ربع غربی هر درجه سالی.</w:t>
      </w:r>
    </w:p>
    <w:p>
      <w:pPr>
        <w:pStyle w:val="BookText"/>
      </w:pPr>
      <w:r>
        <w:rPr>
          <w:rFonts w:ascii="IRNazanin" w:hAnsi="IRNazanin" w:eastAsia="IRNazanin" w:cs="IRNazanin"/>
          <w:lang w:bidi="fa-IR"/>
          <w:color w:val="111111"/>
          <w:sz w:val="28"/>
          <w:szCs w:val="28"/>
          <w:rtl/>
        </w:rPr>
        <w:t xml:space="preserve">بی کا، بی تا؛ افتادگی: آغاز و انجام؛ کاغذ: اصفهانی نخودی، جـلد: تیماج قرمز یک لا، ۴ ص (1- 4)،۱۹ ، ۱۷ و ۱۵ سطر، قطع: رقعی ،اندازه: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 ۲۳ - ۷۲]</w:t>
      </w:r>
    </w:p>
    <w:p>
      <w:pPr>
        <w:pStyle w:val="Heading3"/>
      </w:pPr>
      <w:bookmarkStart w:id="1027" w:name="_Toc549"/>
      <w:r>
        <w:t>استخراجات المطر الحساب / ریاضیات / فارسی</w:t>
      </w:r>
      <w:bookmarkEnd w:id="1027"/>
    </w:p>
    <w:p>
      <w:pPr>
        <w:pStyle w:val="BookText"/>
      </w:pPr>
      <w:r>
        <w:rPr>
          <w:rFonts w:ascii="Times New Roman" w:hAnsi="Times New Roman" w:eastAsia="Times New Roman" w:cs="Times New Roman"/>
          <w:lang w:val="en-US" w:bidi="en-US"/>
          <w:color w:val="111111"/>
          <w:sz w:val="28"/>
          <w:szCs w:val="28"/>
          <w:rtl/>
        </w:rPr>
        <w:t xml:space="preserve">estexrājāt-ol matar-el hesāb</w:t>
      </w:r>
    </w:p>
    <w:p>
      <w:pPr>
        <w:pStyle w:val="BookText"/>
      </w:pPr>
      <w:r>
        <w:rPr>
          <w:rFonts w:ascii="IRNazanin" w:hAnsi="IRNazanin" w:eastAsia="IRNazanin" w:cs="IRNazanin"/>
          <w:lang w:bidi="fa-IR"/>
          <w:color w:val="111111"/>
          <w:sz w:val="28"/>
          <w:szCs w:val="28"/>
          <w:rtl/>
        </w:rPr>
        <w:t xml:space="preserve">مشهد؛ رضوی؛ شماره نسخه: ۲۳۹۷۳</w:t>
      </w:r>
    </w:p>
    <w:p>
      <w:pPr>
        <w:pStyle w:val="BookText"/>
      </w:pPr>
      <w:r>
        <w:rPr>
          <w:rFonts w:ascii="IRNazanin" w:hAnsi="IRNazanin" w:eastAsia="IRNazanin" w:cs="IRNazanin"/>
          <w:lang w:bidi="fa-IR"/>
          <w:color w:val="111111"/>
          <w:sz w:val="28"/>
          <w:szCs w:val="28"/>
          <w:rtl/>
        </w:rPr>
        <w:t xml:space="preserve">آغاز: بسمله، چنین گوید سواد اضعف العباد كتاب استخراجات محمد بن ايوب المطر الحساب؛ انجام: و آسایش خلایق باشد  و الله اعلم تمت الباب بعون (كذا)</w:t>
      </w:r>
    </w:p>
    <w:p>
      <w:pPr>
        <w:pStyle w:val="BookText"/>
      </w:pPr>
      <w:r>
        <w:rPr>
          <w:rFonts w:ascii="IRNazanin" w:hAnsi="IRNazanin" w:eastAsia="IRNazanin" w:cs="IRNazanin"/>
          <w:lang w:bidi="fa-IR"/>
          <w:color w:val="111111"/>
          <w:sz w:val="28"/>
          <w:szCs w:val="28"/>
          <w:rtl/>
        </w:rPr>
        <w:t xml:space="preserve">خط: نسخ، بی کا، تا: قرن ۱۲ [رایانه]</w:t>
      </w:r>
    </w:p>
    <w:p>
      <w:pPr>
        <w:pStyle w:val="Heading3"/>
      </w:pPr>
      <w:bookmarkStart w:id="1028" w:name="_Toc550"/>
      <w:r>
        <w:t>استخراجات برهانات (فائده در) / طب / فارس</w:t>
      </w:r>
      <w:bookmarkEnd w:id="1028"/>
    </w:p>
    <w:p>
      <w:pPr>
        <w:pStyle w:val="BookText"/>
      </w:pPr>
      <w:r>
        <w:rPr>
          <w:rFonts w:ascii="Times New Roman" w:hAnsi="Times New Roman" w:eastAsia="Times New Roman" w:cs="Times New Roman"/>
          <w:lang w:val="en-US" w:bidi="en-US"/>
          <w:color w:val="111111"/>
          <w:sz w:val="28"/>
          <w:szCs w:val="28"/>
          <w:rtl/>
        </w:rPr>
        <w:t xml:space="preserve">(exrājāt-e borhānāt (fa'ede dar)</w:t>
      </w:r>
    </w:p>
    <w:p>
      <w:pPr>
        <w:pStyle w:val="BookText"/>
      </w:pPr>
      <w:r>
        <w:rPr>
          <w:rFonts w:ascii="IRNazanin" w:hAnsi="IRNazanin" w:eastAsia="IRNazanin" w:cs="IRNazanin"/>
          <w:lang w:bidi="fa-IR"/>
          <w:color w:val="111111"/>
          <w:sz w:val="28"/>
          <w:szCs w:val="28"/>
          <w:rtl/>
        </w:rPr>
        <w:t xml:space="preserve">تهران؛ ملک؛ شماره نسخه: ۴۲۱۸/۳</w:t>
      </w:r>
    </w:p>
    <w:p>
      <w:pPr>
        <w:pStyle w:val="BookText"/>
      </w:pPr>
      <w:r>
        <w:rPr>
          <w:rFonts w:ascii="IRNazanin" w:hAnsi="IRNazanin" w:eastAsia="IRNazanin" w:cs="IRNazanin"/>
          <w:lang w:bidi="fa-IR"/>
          <w:color w:val="111111"/>
          <w:sz w:val="28"/>
          <w:szCs w:val="28"/>
          <w:rtl/>
        </w:rPr>
        <w:t xml:space="preserve">خط: نستعلیق، بی کا، تا: ۸۴۶ق؛ ۶ سطر [ف ۷ - ۲۸۴]</w:t>
      </w:r>
    </w:p>
    <w:p>
      <w:pPr>
        <w:pStyle w:val="Heading3"/>
      </w:pPr>
      <w:bookmarkStart w:id="1029" w:name="_Toc551"/>
      <w:r>
        <w:t>استخراجات نجومی / هیئت / فارسی</w:t>
      </w:r>
      <w:bookmarkEnd w:id="1029"/>
    </w:p>
    <w:p>
      <w:pPr>
        <w:pStyle w:val="BookText"/>
      </w:pPr>
      <w:r>
        <w:rPr>
          <w:rFonts w:ascii="Times New Roman" w:hAnsi="Times New Roman" w:eastAsia="Times New Roman" w:cs="Times New Roman"/>
          <w:lang w:val="en-US" w:bidi="en-US"/>
          <w:color w:val="111111"/>
          <w:sz w:val="28"/>
          <w:szCs w:val="28"/>
          <w:rtl/>
        </w:rPr>
        <w:t xml:space="preserve">exrājāt-e nojūmī</w:t>
      </w:r>
    </w:p>
    <w:p>
      <w:pPr>
        <w:pStyle w:val="BookText"/>
      </w:pPr>
      <w:r>
        <w:rPr>
          <w:rFonts w:ascii="IRNazanin" w:hAnsi="IRNazanin" w:eastAsia="IRNazanin" w:cs="IRNazanin"/>
          <w:lang w:bidi="fa-IR"/>
          <w:color w:val="111111"/>
          <w:sz w:val="28"/>
          <w:szCs w:val="28"/>
          <w:rtl/>
        </w:rPr>
        <w:t xml:space="preserve">رساله ای است نجومی در ۲۸ «فصل» شامل استخراج از بیست هشت علامت همچون: ۱. کسوف آفتاب در بروج مختلف؛2. خسوف ماه در بروج مختلف؛ ٣. حکم دایره آفتاب؛ ۴. دایره ماه؛ ۵. بر آمدن ماه نو در بروج دوازده گانه؛ ۶. حکم ستـاره گیسودار در بروج؛ ۷.حکم افتادن ستاره؛ ۸. حکم قوص و قزح .... ۱۸. باریدن خاک سرخ؛ .... ۲۲. حکم آوازی بر حسب بر بروج؛ ... ۲۵. حكم زمین لرزه بر حسب ماه در بروج .۲۶. حکم گرمای بی هنگام بر حسب ماه در بروج... در هر یک از علایم  نجومی پیش گویی ها و احتمالات اتفاقات را بیان می می کند .</w:t>
      </w:r>
    </w:p>
    <w:p>
      <w:pPr>
        <w:pStyle w:val="BookText"/>
      </w:pPr>
      <w:r>
        <w:rPr>
          <w:rFonts w:ascii="IRNazanin" w:hAnsi="IRNazanin" w:eastAsia="IRNazanin" w:cs="IRNazanin"/>
          <w:lang w:bidi="fa-IR"/>
          <w:color w:val="111111"/>
          <w:sz w:val="28"/>
          <w:szCs w:val="28"/>
          <w:rtl/>
        </w:rPr>
        <w:t xml:space="preserve">آغاز: بدانکه این رساله ای است در استخراج از بیست و هشـت علامت که اندر فهرست کتاب یاد کرده اند در بیست و هشـت فصل بر حسب بودن ماه اندر بروج از گفتار حکما و الله اعلم  فصل اول در حکم کسوف آفتاب بر حسب ماه در بروج حمل آفتاب بگیرد دلیل بر ترس پادشاهان و مرگ یکی از بزرگان</w:t>
      </w:r>
    </w:p>
    <w:p>
      <w:pPr>
        <w:pStyle w:val="BookText"/>
      </w:pPr>
      <w:r>
        <w:rPr>
          <w:rFonts w:ascii="IRNazanin" w:hAnsi="IRNazanin" w:eastAsia="IRNazanin" w:cs="IRNazanin"/>
          <w:lang w:bidi="fa-IR"/>
          <w:color w:val="111111"/>
          <w:sz w:val="28"/>
          <w:szCs w:val="28"/>
          <w:rtl/>
        </w:rPr>
        <w:t xml:space="preserve">انجام: در حوت چون ماه در حوت بود دلیل کند بر باران بسیار و زیادی آبها و غم و اندیشه مردم و مرگ زنان و تباهی میوه ها و خبرهای اراجیف خاصه در آخر سال والله اعلم بالصواب تمت  الكتاب.</w:t>
      </w:r>
    </w:p>
    <w:p>
      <w:pPr>
        <w:pStyle w:val="BookText"/>
      </w:pPr>
      <w:r>
        <w:rPr>
          <w:rFonts w:ascii="IRNazanin" w:hAnsi="IRNazanin" w:eastAsia="IRNazanin" w:cs="IRNazanin"/>
          <w:lang w:bidi="fa-IR"/>
          <w:color w:val="111111"/>
          <w:sz w:val="28"/>
          <w:szCs w:val="28"/>
          <w:rtl/>
        </w:rPr>
        <w:t xml:space="preserve">۱. تهران؛ مجلس؛ شماره نسخه: ۱۵۵۸۴</w:t>
      </w:r>
    </w:p>
    <w:p>
      <w:pPr>
        <w:pStyle w:val="BookText"/>
      </w:pPr>
      <w:r>
        <w:rPr>
          <w:rFonts w:ascii="IRNazanin" w:hAnsi="IRNazanin" w:eastAsia="IRNazanin" w:cs="IRNazanin"/>
          <w:lang w:bidi="fa-IR"/>
          <w:color w:val="111111"/>
          <w:sz w:val="28"/>
          <w:szCs w:val="28"/>
          <w:rtl/>
        </w:rPr>
        <w:t xml:space="preserve">آغاز: برابر؛ انجام: و اندیشه خلایق از ذکام و نزله و سرفه و مرگ گوسفندان و حیوانات</w:t>
      </w:r>
    </w:p>
    <w:p>
      <w:pPr>
        <w:pStyle w:val="BookText"/>
      </w:pPr>
      <w:r>
        <w:rPr>
          <w:rFonts w:ascii="IRNazanin" w:hAnsi="IRNazanin" w:eastAsia="IRNazanin" w:cs="IRNazanin"/>
          <w:lang w:bidi="fa-IR"/>
          <w:color w:val="111111"/>
          <w:sz w:val="28"/>
          <w:szCs w:val="28"/>
          <w:rtl/>
        </w:rPr>
        <w:t xml:space="preserve">خط: نستعلیق تحریری، بی کا، تا: قرن ۱۳؛ جلد: چرم قهوه ای  روشن،۲۵گ، ۱۳  سطر، اندازه: ۱۸/۲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۴۳ - ۱۷۴]</w:t>
      </w:r>
    </w:p>
    <w:p>
      <w:pPr>
        <w:pStyle w:val="BookText"/>
      </w:pPr>
      <w:r>
        <w:rPr>
          <w:rFonts w:ascii="IRNazanin" w:hAnsi="IRNazanin" w:eastAsia="IRNazanin" w:cs="IRNazanin"/>
          <w:lang w:bidi="fa-IR"/>
          <w:color w:val="111111"/>
          <w:sz w:val="28"/>
          <w:szCs w:val="28"/>
          <w:rtl/>
        </w:rPr>
        <w:t xml:space="preserve">۲. قم؛ گلپایگانی؛ شماره نسخه: ۶۵۵۶/۲-۳۳/۱۰۶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بی تا؛ جلد: تیماج مشکی با ترنج و سر ترنج، ۲۶گ، ۱۴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۱ - ۳۳۳]</w:t>
      </w:r>
    </w:p>
    <w:p>
      <w:pPr>
        <w:pStyle w:val="BookText"/>
      </w:pPr>
      <w:r>
        <w:rPr>
          <w:rFonts w:ascii="IRNazanin" w:hAnsi="IRNazanin" w:eastAsia="IRNazanin" w:cs="IRNazanin"/>
          <w:lang w:bidi="fa-IR"/>
          <w:color w:val="111111"/>
          <w:sz w:val="28"/>
          <w:szCs w:val="28"/>
          <w:rtl/>
        </w:rPr>
        <w:t xml:space="preserve">۳. یزد؛ وزیری؛ شماره نسخه: ۲۵۴۸/۴</w:t>
      </w:r>
    </w:p>
    <w:p>
      <w:pPr>
        <w:pStyle w:val="BookText"/>
      </w:pPr>
      <w:r>
        <w:rPr>
          <w:rFonts w:ascii="IRNazanin" w:hAnsi="IRNazanin" w:eastAsia="IRNazanin" w:cs="IRNazanin"/>
          <w:lang w:bidi="fa-IR"/>
          <w:color w:val="111111"/>
          <w:sz w:val="28"/>
          <w:szCs w:val="28"/>
          <w:rtl/>
        </w:rPr>
        <w:t xml:space="preserve">آغاز: مقاله دوم در استخراج بیست و هشت علامت که در فهرست کتاب یاد کرده شد؛ انجام: و پادشاهان آن دیار را باهم  خلاف.</w:t>
      </w:r>
    </w:p>
    <w:p>
      <w:pPr>
        <w:pStyle w:val="BookText"/>
      </w:pPr>
      <w:r>
        <w:rPr>
          <w:rFonts w:ascii="IRNazanin" w:hAnsi="IRNazanin" w:eastAsia="IRNazanin" w:cs="IRNazanin"/>
          <w:lang w:bidi="fa-IR"/>
          <w:color w:val="111111"/>
          <w:sz w:val="28"/>
          <w:szCs w:val="28"/>
          <w:rtl/>
        </w:rPr>
        <w:t xml:space="preserve">ظاهراً بخشی از همان رساله است؛ بی کا، بی تا؛ افتادگی: انجام؛ اهدایی: وزیری مؤسس ،کاغذ ،اصفهانی، جلد: تیماج زرد، ۱۰گ (۴۷-۳۸)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۴ - ۱۳۳۸]</w:t>
      </w:r>
    </w:p>
    <w:p>
      <w:pPr>
        <w:pStyle w:val="Heading3"/>
      </w:pPr>
      <w:bookmarkStart w:id="1030" w:name="_Toc552"/>
      <w:r>
        <w:t>استخراج الاجذار المتضاعفة المتوالية/ رياضيات عربي</w:t>
      </w:r>
      <w:bookmarkEnd w:id="1030"/>
    </w:p>
    <w:p>
      <w:pPr>
        <w:pStyle w:val="BookText"/>
      </w:pPr>
      <w:r>
        <w:rPr>
          <w:rFonts w:ascii="Times New Roman" w:hAnsi="Times New Roman" w:eastAsia="Times New Roman" w:cs="Times New Roman"/>
          <w:lang w:val="en-US" w:bidi="en-US"/>
          <w:color w:val="111111"/>
          <w:sz w:val="28"/>
          <w:szCs w:val="28"/>
          <w:rtl/>
        </w:rPr>
        <w:t xml:space="preserve">istixraj-ul ajdar-il mutada ifa al-mutawaliya</w:t>
      </w:r>
    </w:p>
    <w:p>
      <w:pPr>
        <w:pStyle w:val="BookText"/>
      </w:pPr>
      <w:r>
        <w:rPr>
          <w:rFonts w:ascii="IRNazanin" w:hAnsi="IRNazanin" w:eastAsia="IRNazanin" w:cs="IRNazanin"/>
          <w:lang w:bidi="fa-IR"/>
          <w:color w:val="111111"/>
          <w:sz w:val="28"/>
          <w:szCs w:val="28"/>
          <w:rtl/>
        </w:rPr>
        <w:t xml:space="preserve">تهران؛ دانشگاه؛ شماره نسخه: ۷۷۵/۱۷-ف و ۹۱۶/۱۷-ف</w:t>
      </w:r>
    </w:p>
    <w:p>
      <w:pPr>
        <w:pStyle w:val="BookText"/>
      </w:pPr>
      <w:r>
        <w:rPr>
          <w:rFonts w:ascii="IRNazanin" w:hAnsi="IRNazanin" w:eastAsia="IRNazanin" w:cs="IRNazanin"/>
          <w:lang w:bidi="fa-IR"/>
          <w:color w:val="111111"/>
          <w:sz w:val="28"/>
          <w:szCs w:val="28"/>
          <w:rtl/>
        </w:rPr>
        <w:t xml:space="preserve">نسخه اصل: پاریس 169.</w:t>
      </w:r>
      <w:r>
        <w:rPr>
          <w:rFonts w:ascii="Times New Roman" w:hAnsi="Times New Roman" w:eastAsia="Times New Roman" w:cs="Times New Roman"/>
          <w:lang w:val="en-US" w:bidi="en-US"/>
          <w:color w:val="111111"/>
          <w:sz w:val="28"/>
          <w:szCs w:val="28"/>
          <w:rtl/>
        </w:rPr>
        <w:t xml:space="preserve">p </w:t>
      </w:r>
      <w:r>
        <w:rPr>
          <w:rFonts w:ascii="IRNazanin" w:hAnsi="IRNazanin" w:eastAsia="IRNazanin" w:cs="IRNazanin"/>
          <w:lang w:bidi="fa-IR"/>
          <w:color w:val="111111"/>
          <w:sz w:val="28"/>
          <w:szCs w:val="28"/>
          <w:rtl/>
        </w:rPr>
        <w:t xml:space="preserve">بلوشه (۷۲۲ )؛خط: نستعلیق، بی کا، بی تا؛ ۲۲ سطر [ فیلم ها-ف: ۱ - ۵۳۹ و ۵۴۹  ]</w:t>
      </w:r>
    </w:p>
    <w:p>
      <w:pPr>
        <w:pStyle w:val="Heading3"/>
      </w:pPr>
      <w:bookmarkStart w:id="1031" w:name="_Toc553"/>
      <w:r>
        <w:t>استخراج احکام / فارسی</w:t>
      </w:r>
      <w:bookmarkEnd w:id="1031"/>
    </w:p>
    <w:p>
      <w:pPr>
        <w:pStyle w:val="BookText"/>
      </w:pPr>
      <w:r>
        <w:rPr>
          <w:rFonts w:ascii="Times New Roman" w:hAnsi="Times New Roman" w:eastAsia="Times New Roman" w:cs="Times New Roman"/>
          <w:lang w:val="en-US" w:bidi="en-US"/>
          <w:color w:val="111111"/>
          <w:sz w:val="28"/>
          <w:szCs w:val="28"/>
          <w:rtl/>
        </w:rPr>
        <w:t xml:space="preserve">estexrāj-e ahkām</w:t>
      </w:r>
    </w:p>
    <w:p>
      <w:pPr>
        <w:pStyle w:val="BookText"/>
      </w:pPr>
      <w:r>
        <w:rPr>
          <w:rFonts w:ascii="IRNazanin" w:hAnsi="IRNazanin" w:eastAsia="IRNazanin" w:cs="IRNazanin"/>
          <w:lang w:bidi="fa-IR"/>
          <w:color w:val="111111"/>
          <w:sz w:val="28"/>
          <w:szCs w:val="28"/>
          <w:rtl/>
        </w:rPr>
        <w:t xml:space="preserve">تهران؛ مجلس؛ شماره نسخه: ۶۰۷/۲۵</w:t>
      </w:r>
    </w:p>
    <w:p>
      <w:pPr>
        <w:pStyle w:val="BookText"/>
      </w:pPr>
      <w:r>
        <w:rPr>
          <w:rFonts w:ascii="IRNazanin" w:hAnsi="IRNazanin" w:eastAsia="IRNazanin" w:cs="IRNazanin"/>
          <w:lang w:bidi="fa-IR"/>
          <w:color w:val="111111"/>
          <w:sz w:val="28"/>
          <w:szCs w:val="28"/>
          <w:rtl/>
        </w:rPr>
        <w:t xml:space="preserve">فصل چهارم از باب دوم؛ بی کا، تا: قرن ۱۳؛ کاغذ: سفید سمرقندی، جلد: تیماج آلبالویی ضربی مقوایی با ترنج، ۱۸ص (۵۹۹-۵۸۲) ابعاد متن: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اندازه:۱۴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۲۰سم[سنا-ف: ۱-۳۹۵]</w:t>
      </w:r>
    </w:p>
    <w:p>
      <w:pPr>
        <w:pStyle w:val="Heading3"/>
      </w:pPr>
      <w:bookmarkStart w:id="1032" w:name="_Toc554"/>
      <w:r>
        <w:t>استخراج احکام طالع شهریار و شهزادگان / اختربینی  / فارسی</w:t>
      </w:r>
      <w:bookmarkEnd w:id="1032"/>
    </w:p>
    <w:p>
      <w:pPr>
        <w:pStyle w:val="BookText"/>
      </w:pPr>
      <w:r>
        <w:rPr>
          <w:rFonts w:ascii="Times New Roman" w:hAnsi="Times New Roman" w:eastAsia="Times New Roman" w:cs="Times New Roman"/>
          <w:lang w:val="en-US" w:bidi="en-US"/>
          <w:color w:val="111111"/>
          <w:sz w:val="28"/>
          <w:szCs w:val="28"/>
          <w:rtl/>
        </w:rPr>
        <w:t xml:space="preserve">estexrāj-e ahkām-e tāle -e šahrīyār va šahzādegān</w:t>
      </w:r>
    </w:p>
    <w:p>
      <w:pPr>
        <w:pStyle w:val="BookText"/>
      </w:pPr>
      <w:r>
        <w:rPr>
          <w:rFonts w:ascii="IRNazanin" w:hAnsi="IRNazanin" w:eastAsia="IRNazanin" w:cs="IRNazanin"/>
          <w:lang w:bidi="fa-IR"/>
          <w:color w:val="111111"/>
          <w:sz w:val="28"/>
          <w:szCs w:val="28"/>
          <w:rtl/>
        </w:rPr>
        <w:t xml:space="preserve">افشار محمد اکبر بن نصر الله، ق۱۳ قمری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57" w:name="pg20365_260238"/>
    <w:bookmarkEnd w:id="157"/>
    <w:p>
      <w:pPr>
        <w:pStyle w:val="BookText"/>
      </w:pPr>
      <w:r>
        <w:rPr>
          <w:rFonts w:ascii="Times New Roman" w:hAnsi="Times New Roman" w:eastAsia="Times New Roman" w:cs="Times New Roman"/>
          <w:lang w:val="en-US" w:bidi="en-US"/>
          <w:color w:val="111111"/>
          <w:sz w:val="28"/>
          <w:szCs w:val="28"/>
          <w:rtl/>
        </w:rPr>
        <w:t xml:space="preserve">(afšār, mohammad akbar ebn-e nasr-ol-lāh (- 19c)</w:t>
      </w:r>
    </w:p>
    <w:p>
      <w:pPr>
        <w:pStyle w:val="BookText"/>
      </w:pPr>
      <w:r>
        <w:rPr>
          <w:rFonts w:ascii="IRNazanin" w:hAnsi="IRNazanin" w:eastAsia="IRNazanin" w:cs="IRNazanin"/>
          <w:lang w:bidi="fa-IR"/>
          <w:color w:val="111111"/>
          <w:sz w:val="28"/>
          <w:szCs w:val="28"/>
          <w:rtl/>
        </w:rPr>
        <w:t xml:space="preserve">درباره خاندان قاجار و زایجه و طالع تولد آنها است و در برخی جاها ماده تاریخ است سروده میرزا یونس مازندرانی و میـرزا خرم. همچنین دارای تاریخ تولد افراد این خاندان در آن مندرج است که تفصیل آن در فهرست دانشگاه (۱۱: ۲۰۸۹) آمده اسـت.</w:t>
      </w:r>
    </w:p>
    <w:p>
      <w:pPr>
        <w:pStyle w:val="BookText"/>
      </w:pPr>
      <w:r>
        <w:rPr>
          <w:rFonts w:ascii="IRNazanin" w:hAnsi="IRNazanin" w:eastAsia="IRNazanin" w:cs="IRNazanin"/>
          <w:lang w:bidi="fa-IR"/>
          <w:color w:val="111111"/>
          <w:sz w:val="28"/>
          <w:szCs w:val="28"/>
          <w:rtl/>
        </w:rPr>
        <w:t xml:space="preserve">[ فهرستواره منزوی ۲۹۳۹/۴]</w:t>
      </w:r>
    </w:p>
    <w:p>
      <w:pPr>
        <w:pStyle w:val="BookText"/>
      </w:pPr>
      <w:r>
        <w:rPr>
          <w:rFonts w:ascii="IRNazanin" w:hAnsi="IRNazanin" w:eastAsia="IRNazanin" w:cs="IRNazanin"/>
          <w:lang w:bidi="fa-IR"/>
          <w:color w:val="111111"/>
          <w:sz w:val="28"/>
          <w:szCs w:val="28"/>
          <w:rtl/>
        </w:rPr>
        <w:t xml:space="preserve">تهران؛ دانشگاه؛ شماره نسخه: ۳۱۴۰/۳</w:t>
      </w:r>
    </w:p>
    <w:p>
      <w:pPr>
        <w:pStyle w:val="BookText"/>
      </w:pPr>
      <w:r>
        <w:rPr>
          <w:rFonts w:ascii="IRNazanin" w:hAnsi="IRNazanin" w:eastAsia="IRNazanin" w:cs="IRNazanin"/>
          <w:lang w:bidi="fa-IR"/>
          <w:color w:val="111111"/>
          <w:sz w:val="28"/>
          <w:szCs w:val="28"/>
          <w:rtl/>
        </w:rPr>
        <w:t xml:space="preserve">آغاز: حمدی چون کوکب ثابت و سیار بی غایت ... نثار بارگاه محمودیست ... این مختصریست و جیزه در استخراج احکام طالع آفتاب مطالع شهریار عادل و شهزادگان باذل ... مؤلف این نمـ ... محمد اکبر افشار</w:t>
      </w:r>
    </w:p>
    <w:p>
      <w:pPr>
        <w:pStyle w:val="BookText"/>
      </w:pPr>
      <w:r>
        <w:rPr>
          <w:rFonts w:ascii="IRNazanin" w:hAnsi="IRNazanin" w:eastAsia="IRNazanin" w:cs="IRNazanin"/>
          <w:lang w:bidi="fa-IR"/>
          <w:color w:val="111111"/>
          <w:sz w:val="28"/>
          <w:szCs w:val="28"/>
          <w:rtl/>
        </w:rPr>
        <w:t xml:space="preserve">بی کا، تا قرن ۱۳؛ کاغذ: فرنگی، جلد: تیماج  سرخ، ۹۴گ (۱۱۴پ- ۲۰۷ ر)، ۱۲ سطر (9</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۱۱-۲۰۸۹]</w:t>
      </w:r>
    </w:p>
    <w:p>
      <w:pPr>
        <w:pStyle w:val="BookText"/>
      </w:pPr>
      <w:r>
        <w:rPr>
          <w:rFonts w:ascii="IRNazanin" w:hAnsi="IRNazanin" w:eastAsia="IRNazanin" w:cs="IRNazanin"/>
          <w:lang w:bidi="fa-IR"/>
          <w:color w:val="111111"/>
          <w:sz w:val="28"/>
          <w:szCs w:val="28"/>
          <w:rtl/>
        </w:rPr>
        <w:t xml:space="preserve">«استخراج از دایره زايرجه » الزايرچه</w:t>
      </w:r>
    </w:p>
    <w:p>
      <w:pPr>
        <w:pStyle w:val="Heading3"/>
      </w:pPr>
      <w:bookmarkStart w:id="1033" w:name="_Toc555"/>
      <w:r>
        <w:t>استخراج اسامی از جفر جامع / جفر / فارسی</w:t>
      </w:r>
      <w:bookmarkEnd w:id="1033"/>
    </w:p>
    <w:p>
      <w:pPr>
        <w:pStyle w:val="BookText"/>
      </w:pPr>
      <w:r>
        <w:rPr>
          <w:rFonts w:ascii="Times New Roman" w:hAnsi="Times New Roman" w:eastAsia="Times New Roman" w:cs="Times New Roman"/>
          <w:lang w:val="en-US" w:bidi="en-US"/>
          <w:color w:val="111111"/>
          <w:sz w:val="28"/>
          <w:szCs w:val="28"/>
          <w:rtl/>
        </w:rPr>
        <w:t xml:space="preserve">exrāj-e asāmī az jafr-e jāme</w:t>
      </w:r>
    </w:p>
    <w:p>
      <w:pPr>
        <w:pStyle w:val="BookText"/>
      </w:pPr>
      <w:r>
        <w:rPr>
          <w:rFonts w:ascii="IRNazanin" w:hAnsi="IRNazanin" w:eastAsia="IRNazanin" w:cs="IRNazanin"/>
          <w:lang w:bidi="fa-IR"/>
          <w:color w:val="111111"/>
          <w:sz w:val="28"/>
          <w:szCs w:val="28"/>
          <w:rtl/>
        </w:rPr>
        <w:t xml:space="preserve">فصول و فوائد کوتاهی است در طریق استخراج اسامی از جـفر جامع با جدول و دوائری در این موضوع.</w:t>
      </w:r>
    </w:p>
    <w:p>
      <w:pPr>
        <w:pStyle w:val="BookText"/>
      </w:pPr>
      <w:r>
        <w:rPr>
          <w:rFonts w:ascii="IRNazanin" w:hAnsi="IRNazanin" w:eastAsia="IRNazanin" w:cs="IRNazanin"/>
          <w:lang w:bidi="fa-IR"/>
          <w:color w:val="111111"/>
          <w:sz w:val="28"/>
          <w:szCs w:val="28"/>
          <w:rtl/>
        </w:rPr>
        <w:t xml:space="preserve">1.اصفهان؛ دانشگاه اصفهان؛ شماره نسخه: ۴۷۰/۱</w:t>
      </w:r>
    </w:p>
    <w:p>
      <w:pPr>
        <w:pStyle w:val="BookText"/>
      </w:pPr>
      <w:r>
        <w:rPr>
          <w:rFonts w:ascii="IRNazanin" w:hAnsi="IRNazanin" w:eastAsia="IRNazanin" w:cs="IRNazanin"/>
          <w:lang w:bidi="fa-IR"/>
          <w:color w:val="111111"/>
          <w:sz w:val="28"/>
          <w:szCs w:val="28"/>
          <w:rtl/>
        </w:rPr>
        <w:t xml:space="preserve">خط: نستعلیق، بی کا، تا: قرن ۱۲؛ بین رساله ها و حاشیه برخی از رساله ها یادداشت های متفرقه بسیاری در جفر آمده است،در رواق پایانی برخی از برگ های رساله ای در فراست از باب یازدهم تا بیست و دوم آن آمده است؛ ۲۴گ (10پ- 33پ)،اندازه: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۲ - ۳۷۲]</w:t>
      </w:r>
    </w:p>
    <w:p>
      <w:pPr>
        <w:pStyle w:val="Heading3"/>
      </w:pPr>
      <w:bookmarkStart w:id="1034" w:name="_Toc556"/>
      <w:r>
        <w:t>استخراج اسامی ائمه از آیه تطهیر = تأویل آیه  تطهير = الزبر و البينات / علوم قرآن / عربی - فارسی</w:t>
      </w:r>
      <w:bookmarkEnd w:id="1034"/>
    </w:p>
    <w:p>
      <w:pPr>
        <w:pStyle w:val="BookText"/>
      </w:pPr>
      <w:r>
        <w:rPr>
          <w:rFonts w:ascii="Times New Roman" w:hAnsi="Times New Roman" w:eastAsia="Times New Roman" w:cs="Times New Roman"/>
          <w:lang w:val="en-US" w:bidi="en-US"/>
          <w:color w:val="111111"/>
          <w:sz w:val="28"/>
          <w:szCs w:val="28"/>
          <w:rtl/>
        </w:rPr>
        <w:t xml:space="preserve">exrāj-e asāmī-ye a'emme az aye-ye tathīr = ta'vīl-e e-ye tathir = az-zubar wa-l-bayyinat</w:t>
      </w:r>
    </w:p>
    <w:p>
      <w:pPr>
        <w:pStyle w:val="BookText"/>
      </w:pPr>
      <w:r>
        <w:rPr>
          <w:rFonts w:ascii="IRNazanin" w:hAnsi="IRNazanin" w:eastAsia="IRNazanin" w:cs="IRNazanin"/>
          <w:lang w:bidi="fa-IR"/>
          <w:color w:val="111111"/>
          <w:sz w:val="28"/>
          <w:szCs w:val="28"/>
          <w:rtl/>
        </w:rPr>
        <w:t xml:space="preserve">نصیرالدین طوسی، محمد بن محمد، ۵۹۷ - ۶۷۲ قمری</w:t>
      </w:r>
    </w:p>
    <w:p>
      <w:pPr>
        <w:pStyle w:val="BookText"/>
      </w:pPr>
      <w:r>
        <w:rPr>
          <w:rFonts w:ascii="Times New Roman" w:hAnsi="Times New Roman" w:eastAsia="Times New Roman" w:cs="Times New Roman"/>
          <w:lang w:val="en-US" w:bidi="en-US"/>
          <w:color w:val="111111"/>
          <w:sz w:val="28"/>
          <w:szCs w:val="28"/>
          <w:rtl/>
        </w:rPr>
        <w:t xml:space="preserve">nasīr-od-dīn-e tūsī, mohammad ebn-e mohammad</w:t>
      </w:r>
    </w:p>
    <w:p>
      <w:pPr>
        <w:pStyle w:val="BookText"/>
      </w:pPr>
      <w:r>
        <w:rPr>
          <w:rFonts w:ascii="Times New Roman" w:hAnsi="Times New Roman" w:eastAsia="Times New Roman" w:cs="Times New Roman"/>
          <w:lang w:val="en-US" w:bidi="en-US"/>
          <w:color w:val="111111"/>
          <w:sz w:val="28"/>
          <w:szCs w:val="28"/>
          <w:rtl/>
        </w:rPr>
        <w:t xml:space="preserve">(201 - 1274)</w:t>
      </w:r>
    </w:p>
    <w:p>
      <w:pPr>
        <w:pStyle w:val="BookText"/>
      </w:pPr>
      <w:r>
        <w:rPr>
          <w:rFonts w:ascii="IRNazanin" w:hAnsi="IRNazanin" w:eastAsia="IRNazanin" w:cs="IRNazanin"/>
          <w:lang w:bidi="fa-IR"/>
          <w:color w:val="111111"/>
          <w:sz w:val="28"/>
          <w:szCs w:val="28"/>
          <w:rtl/>
        </w:rPr>
        <w:t xml:space="preserve">استخراج اسامی معصومین (علیه السّلام) است از زبر و بینات آیه تطهیر منسوب به خواجه نصیر طوسی.</w:t>
      </w:r>
    </w:p>
    <w:p>
      <w:pPr>
        <w:pStyle w:val="BookText"/>
      </w:pPr>
      <w:r>
        <w:rPr>
          <w:rFonts w:ascii="IRNazanin" w:hAnsi="IRNazanin" w:eastAsia="IRNazanin" w:cs="IRNazanin"/>
          <w:lang w:bidi="fa-IR"/>
          <w:color w:val="111111"/>
          <w:sz w:val="28"/>
          <w:szCs w:val="28"/>
          <w:rtl/>
        </w:rPr>
        <w:t xml:space="preserve">آغاز: انما يريد الله ليذهب عنكم الرجس اهل البيت ويطهرکم تصهيرا بطريق زبر و بینه اسامی سامیه طاهره زاكيه ائمه بشرحيكه مرقوم داشته استخراج نموده محقق طوسى عليه الرحـمة و التحية انما، زبر ا. ن. م.ا ...</w:t>
      </w:r>
    </w:p>
    <w:p>
      <w:pPr>
        <w:pStyle w:val="BookText"/>
      </w:pPr>
      <w:r>
        <w:rPr>
          <w:rFonts w:ascii="IRNazanin" w:hAnsi="IRNazanin" w:eastAsia="IRNazanin" w:cs="IRNazanin"/>
          <w:lang w:bidi="fa-IR"/>
          <w:color w:val="111111"/>
          <w:sz w:val="28"/>
          <w:szCs w:val="28"/>
          <w:rtl/>
        </w:rPr>
        <w:t xml:space="preserve">انجام: (تطهيرا) ۷۴۰ زبر: ت ط ه ی ر ا ،۶۲۵ البينات ااااال ف،</w:t>
      </w:r>
    </w:p>
    <w:p>
      <w:pPr>
        <w:pStyle w:val="BookText"/>
      </w:pPr>
      <w:r>
        <w:rPr>
          <w:rFonts w:ascii="IRNazanin" w:hAnsi="IRNazanin" w:eastAsia="IRNazanin" w:cs="IRNazanin"/>
          <w:lang w:bidi="fa-IR"/>
          <w:color w:val="111111"/>
          <w:sz w:val="28"/>
          <w:szCs w:val="28"/>
          <w:rtl/>
        </w:rPr>
        <w:t xml:space="preserve">۱۱۵ ، والنقى و العسكرى و المهدى الهادی: ۷۴۰</w:t>
      </w:r>
    </w:p>
    <w:p>
      <w:pPr>
        <w:pStyle w:val="BookText"/>
      </w:pPr>
      <w:r>
        <w:rPr>
          <w:rFonts w:ascii="IRNazanin" w:hAnsi="IRNazanin" w:eastAsia="IRNazanin" w:cs="IRNazanin"/>
          <w:lang w:bidi="fa-IR"/>
          <w:color w:val="111111"/>
          <w:sz w:val="28"/>
          <w:szCs w:val="28"/>
          <w:rtl/>
        </w:rPr>
        <w:t xml:space="preserve">۱. تهران؛ مجلس؛ شماره نسخه: ۸۸۶۹/۲۷</w:t>
      </w:r>
    </w:p>
    <w:p>
      <w:pPr>
        <w:pStyle w:val="BookText"/>
      </w:pPr>
      <w:r>
        <w:rPr>
          <w:rFonts w:ascii="IRNazanin" w:hAnsi="IRNazanin" w:eastAsia="IRNazanin" w:cs="IRNazanin"/>
          <w:lang w:bidi="fa-IR"/>
          <w:color w:val="111111"/>
          <w:sz w:val="28"/>
          <w:szCs w:val="28"/>
          <w:rtl/>
        </w:rPr>
        <w:t xml:space="preserve">آغاز: افضل العلماء واكمل الفضلا خواجه نصیر الملة و الذین از این آیه به حساب زیر و بینات اسامی شریفه سيد المرسلين و ايمة الطاهرين را استخراج نموده اند. انما ۴۱۸؛ زیر: ۹۲ محمد صلی الله علیه و آله. بینات ۳۲۶ على وصى بحق يريد الله ۷۱۷؛ انجام:  برابر</w:t>
      </w:r>
    </w:p>
    <w:p>
      <w:pPr>
        <w:pStyle w:val="BookText"/>
      </w:pPr>
      <w:r>
        <w:rPr>
          <w:rFonts w:ascii="IRNazanin" w:hAnsi="IRNazanin" w:eastAsia="IRNazanin" w:cs="IRNazanin"/>
          <w:lang w:bidi="fa-IR"/>
          <w:color w:val="111111"/>
          <w:sz w:val="28"/>
          <w:szCs w:val="28"/>
          <w:rtl/>
        </w:rPr>
        <w:t xml:space="preserve">خط: نستعلیق، بی کا، تا: قرن ۱۱؛ کاغذ: نخودی آهار مهره،جلد: تیماج قهوه ای مجدول ساده و گرهی عطف  چرم، 1ص(388)؛اندازه: ۱۳/۱۸</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۲۴/۳سم [ف: ۲۹/۱۸ - ۱۸۷]</w:t>
      </w:r>
    </w:p>
    <w:p>
      <w:pPr>
        <w:pStyle w:val="BookText"/>
      </w:pPr>
      <w:r>
        <w:rPr>
          <w:rFonts w:ascii="IRNazanin" w:hAnsi="IRNazanin" w:eastAsia="IRNazanin" w:cs="IRNazanin"/>
          <w:lang w:bidi="fa-IR"/>
          <w:color w:val="111111"/>
          <w:sz w:val="28"/>
          <w:szCs w:val="28"/>
          <w:rtl/>
        </w:rPr>
        <w:t xml:space="preserve">۲. تهران؛ مجلس؛ شماره نسخه: ۲۰۶/۲-ط</w:t>
      </w:r>
    </w:p>
    <w:p>
      <w:pPr>
        <w:pStyle w:val="BookText"/>
      </w:pPr>
      <w:r>
        <w:rPr>
          <w:rFonts w:ascii="IRNazanin" w:hAnsi="IRNazanin" w:eastAsia="IRNazanin" w:cs="IRNazanin"/>
          <w:lang w:bidi="fa-IR"/>
          <w:color w:val="111111"/>
          <w:sz w:val="28"/>
          <w:szCs w:val="28"/>
          <w:rtl/>
        </w:rPr>
        <w:t xml:space="preserve">بی کا، تا: قرن ۱۱؛ همانند نسخه شماره ۷۷۰/۲۲ مجلس شورا بدون مقدمه در آغاز؛ کاغذ: اصفهانی شکری  رنگ، جلد: تیماج قهوه ای سیر با آستر از تیماج مشکی و عطف و حاشیه تیماج ،قرمز، ۱ص (۵پ)، قطع: رقعی،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۲۲ – ۷۳]</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قم ؛مرعشی؛ شماره نسخه: ۱۳۴۰۰/۳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در فهرست ناشناس آمده؛ خط: نسخ، بی کا، تا: قرن ۱۱؛ کاغذ: فرنگی، اگ (۱۰۶) ۱۷ سطر، اندازه: 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۹سم [ف: ۳۳ - ۶۸۴]</w:t>
      </w:r>
    </w:p>
    <w:p>
      <w:pPr>
        <w:pStyle w:val="BookText"/>
      </w:pPr>
      <w:r>
        <w:rPr>
          <w:rFonts w:ascii="IRNazanin" w:hAnsi="IRNazanin" w:eastAsia="IRNazanin" w:cs="IRNazanin"/>
          <w:lang w:bidi="fa-IR"/>
          <w:color w:val="111111"/>
          <w:sz w:val="28"/>
          <w:szCs w:val="28"/>
          <w:rtl/>
        </w:rPr>
        <w:t xml:space="preserve">۴. قم؛ مرعشی؛ شماره نسخه: ۱۳۴۰۰/۲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اواخر قرن ۱۱؛ کاغذ: شرقی نخودی، اگ  (۱۰۶ ر)، ۲۹ سطر، اندازه: 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۱۴/۵سم [ف:]</w:t>
      </w:r>
    </w:p>
    <w:p>
      <w:pPr>
        <w:pStyle w:val="BookText"/>
      </w:pPr>
      <w:r>
        <w:rPr>
          <w:rFonts w:ascii="IRNazanin" w:hAnsi="IRNazanin" w:eastAsia="IRNazanin" w:cs="IRNazanin"/>
          <w:lang w:bidi="fa-IR"/>
          <w:color w:val="111111"/>
          <w:sz w:val="28"/>
          <w:szCs w:val="28"/>
          <w:rtl/>
        </w:rPr>
        <w:t xml:space="preserve">5.تهران؛ مجلس؛ شماره نسخه: ۱۷/۴ سرود</w:t>
      </w:r>
    </w:p>
    <w:p>
      <w:pPr>
        <w:pStyle w:val="BookText"/>
      </w:pPr>
      <w:r>
        <w:rPr>
          <w:rFonts w:ascii="IRNazanin" w:hAnsi="IRNazanin" w:eastAsia="IRNazanin" w:cs="IRNazanin"/>
          <w:lang w:bidi="fa-IR"/>
          <w:color w:val="111111"/>
          <w:sz w:val="28"/>
          <w:szCs w:val="28"/>
          <w:rtl/>
        </w:rPr>
        <w:t xml:space="preserve">خط: نسخ و نستعلیق، کا: عبد الباقى بن حاج قنبر على مودی قاینی، تا: ۱۰۶۲ق [نشریه: ۱۳ – ۴۱۰]</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قم؛ مرعشی؛ شماره نسخه: ذیل ۱۱۹۸۸/۱۳</w:t>
      </w:r>
    </w:p>
    <w:p>
      <w:pPr>
        <w:pStyle w:val="BookText"/>
      </w:pPr>
      <w:r>
        <w:rPr>
          <w:rFonts w:ascii="IRNazanin" w:hAnsi="IRNazanin" w:eastAsia="IRNazanin" w:cs="IRNazanin"/>
          <w:lang w:bidi="fa-IR"/>
          <w:color w:val="111111"/>
          <w:sz w:val="28"/>
          <w:szCs w:val="28"/>
          <w:rtl/>
        </w:rPr>
        <w:t xml:space="preserve">آغاز: (انما) ۴۱۸ زبر ۹۲ بینات ،۳۲۶ محمد وصی بحق علی: ۴۱۸؛ (یرید الله) ۵۱۷ زبر ۲۹۰ بينات  ۲۲۷، و امام الهمام الحسن بن على:۵۱۷. ؛ انجام: برابر</w:t>
      </w:r>
    </w:p>
    <w:p>
      <w:pPr>
        <w:pStyle w:val="BookText"/>
      </w:pPr>
      <w:r>
        <w:rPr>
          <w:rFonts w:ascii="IRNazanin" w:hAnsi="IRNazanin" w:eastAsia="IRNazanin" w:cs="IRNazanin"/>
          <w:lang w:bidi="fa-IR"/>
          <w:color w:val="111111"/>
          <w:sz w:val="28"/>
          <w:szCs w:val="28"/>
          <w:rtl/>
        </w:rPr>
        <w:t xml:space="preserve">خط: نسخ، بی کا، تا: قرن ۱۳؛ کاغذ: فرنگی سفید آهار مهره، جلد: تیماج قهوه ای مجدول ضربی یک  لا، اگ (۱۳۰ر-۱۳۰پ)، ۱۹ سطر،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۱۵/۵سم [ف: ۳۰-۳۲۲]</w:t>
      </w:r>
    </w:p>
    <w:p>
      <w:pPr>
        <w:pStyle w:val="BookText"/>
      </w:pPr>
      <w:r>
        <w:rPr>
          <w:rFonts w:ascii="IRNazanin" w:hAnsi="IRNazanin" w:eastAsia="IRNazanin" w:cs="IRNazanin"/>
          <w:lang w:bidi="fa-IR"/>
          <w:color w:val="111111"/>
          <w:sz w:val="28"/>
          <w:szCs w:val="28"/>
          <w:rtl/>
        </w:rPr>
        <w:t xml:space="preserve">۷. تهران؛ مفتاح؛ شماره نسخه: ۱۱۱۴/۶</w:t>
      </w:r>
    </w:p>
    <w:p>
      <w:pPr>
        <w:pStyle w:val="BookText"/>
      </w:pPr>
      <w:r>
        <w:rPr>
          <w:rFonts w:ascii="IRNazanin" w:hAnsi="IRNazanin" w:eastAsia="IRNazanin" w:cs="IRNazanin"/>
          <w:lang w:bidi="fa-IR"/>
          <w:color w:val="111111"/>
          <w:sz w:val="28"/>
          <w:szCs w:val="28"/>
          <w:rtl/>
        </w:rPr>
        <w:t xml:space="preserve">خط: نستعلیق، بی کا، بی تا؛ قطع: بیاضی ربعی [ نشریه: ۷ - ۲۶۸]</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تهران؛ مجلس؛ شماره نسخه: ۷۷۰/۲۲-ط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بی کا، بی تا؛ کاغذ: فرنگی سفید آهار مهره، جلد: تیماج مشکی  ،رنگ، ۲۲گ ،حاشیه، قطع: رقعی،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 ۲۳ - ۶۶]</w:t>
      </w:r>
    </w:p>
    <w:p>
      <w:pPr>
        <w:pStyle w:val="Heading3"/>
      </w:pPr>
      <w:bookmarkStart w:id="1035" w:name="_Toc557"/>
      <w:r>
        <w:t>استخراج الاسئلة و اظهار الاجوبة / جفر / عربي</w:t>
      </w:r>
      <w:bookmarkEnd w:id="1035"/>
    </w:p>
    <w:p>
      <w:pPr>
        <w:pStyle w:val="BookText"/>
      </w:pPr>
      <w:r>
        <w:rPr>
          <w:rFonts w:ascii="Times New Roman" w:hAnsi="Times New Roman" w:eastAsia="Times New Roman" w:cs="Times New Roman"/>
          <w:lang w:val="en-US" w:bidi="en-US"/>
          <w:color w:val="111111"/>
          <w:sz w:val="28"/>
          <w:szCs w:val="28"/>
          <w:rtl/>
        </w:rPr>
        <w:t xml:space="preserve">-istixraj-ul as'ila wa izhār-ul ajwiba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58" w:name="pg20365_260239"/>
    <w:bookmarkEnd w:id="158"/>
    <w:p>
      <w:pPr>
        <w:pStyle w:val="BookText"/>
      </w:pPr>
      <w:r>
        <w:rPr>
          <w:rFonts w:ascii="IRNazanin" w:hAnsi="IRNazanin" w:eastAsia="IRNazanin" w:cs="IRNazanin"/>
          <w:lang w:bidi="fa-IR"/>
          <w:color w:val="111111"/>
          <w:sz w:val="28"/>
          <w:szCs w:val="28"/>
          <w:rtl/>
        </w:rPr>
        <w:t xml:space="preserve">پاسخ سؤالی است در جفر که سلطان مطهر والی خراسان پرسیده است.</w:t>
      </w:r>
    </w:p>
    <w:p>
      <w:pPr>
        <w:pStyle w:val="BookText"/>
      </w:pPr>
      <w:r>
        <w:rPr>
          <w:rFonts w:ascii="IRNazanin" w:hAnsi="IRNazanin" w:eastAsia="IRNazanin" w:cs="IRNazanin"/>
          <w:lang w:bidi="fa-IR"/>
          <w:color w:val="111111"/>
          <w:sz w:val="28"/>
          <w:szCs w:val="28"/>
          <w:rtl/>
        </w:rPr>
        <w:t xml:space="preserve">تهران؛ مجلس؛ شماره نسخه: ۱۵۵۶۶</w:t>
      </w:r>
    </w:p>
    <w:p>
      <w:pPr>
        <w:pStyle w:val="BookText"/>
      </w:pPr>
      <w:r>
        <w:rPr>
          <w:rFonts w:ascii="IRNazanin" w:hAnsi="IRNazanin" w:eastAsia="IRNazanin" w:cs="IRNazanin"/>
          <w:lang w:bidi="fa-IR"/>
          <w:color w:val="111111"/>
          <w:sz w:val="28"/>
          <w:szCs w:val="28"/>
          <w:rtl/>
        </w:rPr>
        <w:t xml:space="preserve">آغاز: قاعدتان الأول فى استخراج الاسئلة و اظهار الاجوبة عن غیر المخبات و الضماير؛ انجام: ق ر ف ن ع رع ن ط س ط ش ص ض ص ي ص لا تمت</w:t>
      </w:r>
    </w:p>
    <w:p>
      <w:pPr>
        <w:pStyle w:val="BookText"/>
      </w:pPr>
      <w:r>
        <w:rPr>
          <w:rFonts w:ascii="IRNazanin" w:hAnsi="IRNazanin" w:eastAsia="IRNazanin" w:cs="IRNazanin"/>
          <w:lang w:bidi="fa-IR"/>
          <w:color w:val="111111"/>
          <w:sz w:val="28"/>
          <w:szCs w:val="28"/>
          <w:rtl/>
        </w:rPr>
        <w:t xml:space="preserve">خط: نسخ بدخط، کا: محمد باقر، تا: ۴ ربیع الثانی ۱۳۱۸ق؛جـلد:چرم قهوه ای  روشن، 7گ، ۲۱  سطر، اندازه: ۱۱/۳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۱۷/۷سم [  ف: 43- 165]</w:t>
      </w:r>
    </w:p>
    <w:p>
      <w:pPr>
        <w:pStyle w:val="Heading3"/>
      </w:pPr>
      <w:bookmarkStart w:id="1036" w:name="_Toc558"/>
      <w:r>
        <w:t>استخراج اسماء الله / جفر / فارسی</w:t>
      </w:r>
      <w:bookmarkEnd w:id="1036"/>
    </w:p>
    <w:p>
      <w:pPr>
        <w:pStyle w:val="BookText"/>
      </w:pPr>
      <w:r>
        <w:rPr>
          <w:rFonts w:ascii="Times New Roman" w:hAnsi="Times New Roman" w:eastAsia="Times New Roman" w:cs="Times New Roman"/>
          <w:lang w:val="en-US" w:bidi="en-US"/>
          <w:color w:val="111111"/>
          <w:sz w:val="28"/>
          <w:szCs w:val="28"/>
          <w:rtl/>
        </w:rPr>
        <w:t xml:space="preserve">estexrāj-e asmā’-ol-lāh</w:t>
      </w:r>
    </w:p>
    <w:p>
      <w:pPr>
        <w:pStyle w:val="BookText"/>
      </w:pPr>
      <w:r>
        <w:rPr>
          <w:rFonts w:ascii="IRNazanin" w:hAnsi="IRNazanin" w:eastAsia="IRNazanin" w:cs="IRNazanin"/>
          <w:lang w:bidi="fa-IR"/>
          <w:color w:val="111111"/>
          <w:sz w:val="28"/>
          <w:szCs w:val="28"/>
          <w:rtl/>
        </w:rPr>
        <w:t xml:space="preserve">به طریق کشف و رشف به روش علم جفر يا استخراج اسماء با اصول خمسه (کنیت و اسم و طالع و صاحب طالع) که به دستور معزالدوله میرزا اسماعیل تألیف شده است.</w:t>
      </w:r>
    </w:p>
    <w:p>
      <w:pPr>
        <w:pStyle w:val="BookText"/>
      </w:pPr>
      <w:r>
        <w:rPr>
          <w:rFonts w:ascii="IRNazanin" w:hAnsi="IRNazanin" w:eastAsia="IRNazanin" w:cs="IRNazanin"/>
          <w:lang w:bidi="fa-IR"/>
          <w:color w:val="111111"/>
          <w:sz w:val="28"/>
          <w:szCs w:val="28"/>
          <w:rtl/>
        </w:rPr>
        <w:t xml:space="preserve">تهران؛ دانشگاه؛ شماره نسخه: ۵۹۰۱/۵</w:t>
      </w:r>
    </w:p>
    <w:p>
      <w:pPr>
        <w:pStyle w:val="BookText"/>
      </w:pPr>
      <w:r>
        <w:rPr>
          <w:rFonts w:ascii="IRNazanin" w:hAnsi="IRNazanin" w:eastAsia="IRNazanin" w:cs="IRNazanin"/>
          <w:lang w:bidi="fa-IR"/>
          <w:color w:val="111111"/>
          <w:sz w:val="28"/>
          <w:szCs w:val="28"/>
          <w:rtl/>
        </w:rPr>
        <w:t xml:space="preserve">خط: نستعلیق، بی کا: تا: قرن ۱۱ ؛کاغذ ،سپاهانی ،جلد: تیماج مشکی  لایی، اگ (۳۳۲ ر و ۳۳۲پ)، ۲۴۰ سطر (8</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 قـطع: ربعی،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۱۶ - ۱۴۰]</w:t>
      </w:r>
    </w:p>
    <w:p>
      <w:pPr>
        <w:pStyle w:val="BookText"/>
      </w:pPr>
      <w:r>
        <w:rPr>
          <w:rFonts w:ascii="Amiri" w:hAnsi="Amiri" w:eastAsia="Amiri" w:cs="Amiri"/>
          <w:lang w:bidi="ar-SA"/>
          <w:color w:val="111111"/>
          <w:sz w:val="28"/>
          <w:szCs w:val="28"/>
          <w:rtl/>
        </w:rPr>
        <w:t xml:space="preserve">«استخراج اسماء ائمة » اسماء الأئمة المعصومين بالحروف الابجد</w:t>
      </w:r>
    </w:p>
    <w:p>
      <w:pPr>
        <w:pStyle w:val="BookText"/>
      </w:pPr>
      <w:r>
        <w:rPr>
          <w:rFonts w:ascii="IRNazanin" w:hAnsi="IRNazanin" w:eastAsia="IRNazanin" w:cs="IRNazanin"/>
          <w:lang w:bidi="fa-IR"/>
          <w:color w:val="111111"/>
          <w:sz w:val="28"/>
          <w:szCs w:val="28"/>
          <w:rtl/>
        </w:rPr>
        <w:t xml:space="preserve">«استخراج اسماء ائمة » خطبه بی الف امیرالمؤمنین</w:t>
      </w:r>
    </w:p>
    <w:p>
      <w:pPr>
        <w:pStyle w:val="Heading3"/>
      </w:pPr>
      <w:bookmarkStart w:id="1037" w:name="_Toc559"/>
      <w:r>
        <w:t>استخراج اسماء و اخبار / جفر / فارسی</w:t>
      </w:r>
      <w:bookmarkEnd w:id="1037"/>
    </w:p>
    <w:p>
      <w:pPr>
        <w:pStyle w:val="BookText"/>
      </w:pPr>
      <w:r>
        <w:rPr>
          <w:rFonts w:ascii="Times New Roman" w:hAnsi="Times New Roman" w:eastAsia="Times New Roman" w:cs="Times New Roman"/>
          <w:lang w:val="en-US" w:bidi="en-US"/>
          <w:color w:val="111111"/>
          <w:sz w:val="28"/>
          <w:szCs w:val="28"/>
          <w:rtl/>
        </w:rPr>
        <w:t xml:space="preserve">exrāj-e asmā' va axbār</w:t>
      </w:r>
    </w:p>
    <w:p>
      <w:pPr>
        <w:pStyle w:val="BookText"/>
      </w:pPr>
      <w:r>
        <w:rPr>
          <w:rFonts w:ascii="IRNazanin" w:hAnsi="IRNazanin" w:eastAsia="IRNazanin" w:cs="IRNazanin"/>
          <w:lang w:bidi="fa-IR"/>
          <w:color w:val="111111"/>
          <w:sz w:val="28"/>
          <w:szCs w:val="28"/>
          <w:rtl/>
        </w:rPr>
        <w:t xml:space="preserve">رساله ای است بر هفت «جدول»: ۱. حروف آدم (علیه السّلام)؛ ۲. ادريـس (علیه السّلام)؛ ۴. حروف سه پند است؛ ۴. حروف اميرالمؤمنين على ابی طالب (علیه السّلام) که آن را جعفر جامع نامیده است؛ ۵. امام ناطق (علیه السّلام)جعفر بن محمد صادق (علیه السّلام)؛ ۶. حروف خواجه رئیس ابو علی؛ ۷. حروف خواجه ابو شمس مغربی.</w:t>
      </w:r>
    </w:p>
    <w:p>
      <w:pPr>
        <w:pStyle w:val="BookText"/>
      </w:pPr>
      <w:r>
        <w:rPr>
          <w:rFonts w:ascii="IRNazanin" w:hAnsi="IRNazanin" w:eastAsia="IRNazanin" w:cs="IRNazanin"/>
          <w:lang w:bidi="fa-IR"/>
          <w:color w:val="111111"/>
          <w:sz w:val="28"/>
          <w:szCs w:val="28"/>
          <w:rtl/>
        </w:rPr>
        <w:t xml:space="preserve">تهران؛ ملی؛ شماره نسخه: ۷۰۰۹</w:t>
      </w:r>
    </w:p>
    <w:p>
      <w:pPr>
        <w:pStyle w:val="BookText"/>
      </w:pPr>
      <w:r>
        <w:rPr>
          <w:rFonts w:ascii="IRNazanin" w:hAnsi="IRNazanin" w:eastAsia="IRNazanin" w:cs="IRNazanin"/>
          <w:lang w:bidi="fa-IR"/>
          <w:color w:val="111111"/>
          <w:sz w:val="28"/>
          <w:szCs w:val="28"/>
          <w:rtl/>
        </w:rPr>
        <w:t xml:space="preserve">آغاز: در استخراج اسماء و اخبار از صفحات جامع و کیفیت سؤال سایل و استخراج جواب؛ انجام: به هر خانه است جـمله نظیره گیرند و تکسیر کنند بر ... مطلع و فواید روی نماید والله اعلم</w:t>
      </w:r>
    </w:p>
    <w:p>
      <w:pPr>
        <w:pStyle w:val="BookText"/>
      </w:pPr>
      <w:r>
        <w:rPr>
          <w:rFonts w:ascii="IRNazanin" w:hAnsi="IRNazanin" w:eastAsia="IRNazanin" w:cs="IRNazanin"/>
          <w:lang w:bidi="fa-IR"/>
          <w:color w:val="111111"/>
          <w:sz w:val="28"/>
          <w:szCs w:val="28"/>
          <w:rtl/>
        </w:rPr>
        <w:t xml:space="preserve">خط: نستعلیق تحریری، بی کا، بی تا؛ دارای جداول و اشکال جفریه، دارای حواشی و توضیحات و اعداد جفریه؛ کاغذ: فرنگی، جلد: تیماج یک لا  مشکی، مجدول ضربی، ۲گ (۸۴پ- ۸۵پ)، ۱۵ سطر ،(8</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[رایانه]</w:t>
      </w:r>
    </w:p>
    <w:p>
      <w:pPr>
        <w:pStyle w:val="BookText"/>
      </w:pPr>
      <w:r>
        <w:rPr>
          <w:rFonts w:ascii="Amiri" w:hAnsi="Amiri" w:eastAsia="Amiri" w:cs="Amiri"/>
          <w:lang w:bidi="ar-SA"/>
          <w:color w:val="111111"/>
          <w:sz w:val="28"/>
          <w:szCs w:val="28"/>
          <w:rtl/>
        </w:rPr>
        <w:t xml:space="preserve">«استخراج اسماء يوميه (رساله در)» قواعد الجفر</w:t>
      </w:r>
    </w:p>
    <w:p>
      <w:pPr>
        <w:pStyle w:val="BookText"/>
      </w:pPr>
      <w:r>
        <w:rPr>
          <w:rFonts w:ascii="Amiri" w:hAnsi="Amiri" w:eastAsia="Amiri" w:cs="Amiri"/>
          <w:lang w:bidi="ar-SA"/>
          <w:color w:val="111111"/>
          <w:sz w:val="28"/>
          <w:szCs w:val="28"/>
          <w:rtl/>
        </w:rPr>
        <w:t xml:space="preserve">« استخراج اعمال الليل و النهار » مختصر في معرفة استخراج  اعمال الليل و النهار</w:t>
      </w:r>
    </w:p>
    <w:p>
      <w:pPr>
        <w:pStyle w:val="Heading3"/>
      </w:pPr>
      <w:bookmarkStart w:id="1038" w:name="_Toc560"/>
      <w:r>
        <w:t>استخراج امور ماضیه در دو طریقه / علوم غریبه / فارسی</w:t>
      </w:r>
      <w:bookmarkEnd w:id="1038"/>
    </w:p>
    <w:p>
      <w:pPr>
        <w:pStyle w:val="BookText"/>
      </w:pPr>
      <w:r>
        <w:rPr>
          <w:rFonts w:ascii="Times New Roman" w:hAnsi="Times New Roman" w:eastAsia="Times New Roman" w:cs="Times New Roman"/>
          <w:lang w:val="en-US" w:bidi="en-US"/>
          <w:color w:val="111111"/>
          <w:sz w:val="28"/>
          <w:szCs w:val="28"/>
          <w:rtl/>
        </w:rPr>
        <w:t xml:space="preserve">estexrāj-e omūr-e māzīye dar do tariqe</w:t>
      </w:r>
    </w:p>
    <w:p>
      <w:pPr>
        <w:pStyle w:val="BookText"/>
      </w:pPr>
      <w:r>
        <w:rPr>
          <w:rFonts w:ascii="IRNazanin" w:hAnsi="IRNazanin" w:eastAsia="IRNazanin" w:cs="IRNazanin"/>
          <w:lang w:bidi="fa-IR"/>
          <w:color w:val="111111"/>
          <w:sz w:val="28"/>
          <w:szCs w:val="28"/>
          <w:rtl/>
        </w:rPr>
        <w:t xml:space="preserve">مشهد؛ الهیات؛ شماره نسخه: ۱۴۸۲۱/۱۹</w:t>
      </w:r>
    </w:p>
    <w:p>
      <w:pPr>
        <w:pStyle w:val="BookText"/>
      </w:pPr>
      <w:r>
        <w:rPr>
          <w:rFonts w:ascii="IRNazanin" w:hAnsi="IRNazanin" w:eastAsia="IRNazanin" w:cs="IRNazanin"/>
          <w:lang w:bidi="fa-IR"/>
          <w:color w:val="111111"/>
          <w:sz w:val="28"/>
          <w:szCs w:val="28"/>
          <w:rtl/>
        </w:rPr>
        <w:t xml:space="preserve">آغاز: بسمله شکر و سپاس خداوندی را سزاست که بر همه چیزعالم و دانا است</w:t>
      </w:r>
    </w:p>
    <w:p>
      <w:pPr>
        <w:pStyle w:val="BookText"/>
      </w:pPr>
      <w:r>
        <w:rPr>
          <w:rFonts w:ascii="IRNazanin" w:hAnsi="IRNazanin" w:eastAsia="IRNazanin" w:cs="IRNazanin"/>
          <w:lang w:bidi="fa-IR"/>
          <w:color w:val="111111"/>
          <w:sz w:val="28"/>
          <w:szCs w:val="28"/>
          <w:rtl/>
        </w:rPr>
        <w:t xml:space="preserve">خط: شکسته نستعلیق، بی کا، بی تا، کاغذ: الوان، جلد: تیماج عنابی لایه ای، ۵گ،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۲ -۱۲۲]</w:t>
      </w:r>
    </w:p>
    <w:p>
      <w:pPr>
        <w:pStyle w:val="Heading3"/>
      </w:pPr>
      <w:bookmarkStart w:id="1039" w:name="_Toc561"/>
      <w:r>
        <w:t>استخراج انحراف بلاد از مکه / هیئت / فارسی</w:t>
      </w:r>
      <w:bookmarkEnd w:id="1039"/>
    </w:p>
    <w:p>
      <w:pPr>
        <w:pStyle w:val="BookText"/>
      </w:pPr>
      <w:r>
        <w:rPr>
          <w:rFonts w:ascii="Times New Roman" w:hAnsi="Times New Roman" w:eastAsia="Times New Roman" w:cs="Times New Roman"/>
          <w:lang w:val="en-US" w:bidi="en-US"/>
          <w:color w:val="111111"/>
          <w:sz w:val="28"/>
          <w:szCs w:val="28"/>
          <w:rtl/>
        </w:rPr>
        <w:t xml:space="preserve">estexraj-e enheraf-e belad az makke</w:t>
      </w:r>
    </w:p>
    <w:p>
      <w:pPr>
        <w:pStyle w:val="BookText"/>
      </w:pPr>
      <w:r>
        <w:rPr>
          <w:rFonts w:ascii="IRNazanin" w:hAnsi="IRNazanin" w:eastAsia="IRNazanin" w:cs="IRNazanin"/>
          <w:lang w:bidi="fa-IR"/>
          <w:color w:val="111111"/>
          <w:sz w:val="28"/>
          <w:szCs w:val="28"/>
          <w:rtl/>
        </w:rPr>
        <w:t xml:space="preserve">کاشانی، نصر الله بن ابی الحسن، ق۱۳ قمری</w:t>
      </w:r>
    </w:p>
    <w:p>
      <w:pPr>
        <w:pStyle w:val="BookText"/>
      </w:pPr>
      <w:r>
        <w:rPr>
          <w:rFonts w:ascii="Times New Roman" w:hAnsi="Times New Roman" w:eastAsia="Times New Roman" w:cs="Times New Roman"/>
          <w:lang w:val="en-US" w:bidi="en-US"/>
          <w:color w:val="111111"/>
          <w:sz w:val="28"/>
          <w:szCs w:val="28"/>
          <w:rtl/>
        </w:rPr>
        <w:t xml:space="preserve">(kāšānī, nasr-ol-lāh ebn-e ab-el-hasan (- 19c)</w:t>
      </w:r>
    </w:p>
    <w:p>
      <w:pPr>
        <w:pStyle w:val="BookText"/>
      </w:pPr>
      <w:r>
        <w:rPr>
          <w:rFonts w:ascii="IRNazanin" w:hAnsi="IRNazanin" w:eastAsia="IRNazanin" w:cs="IRNazanin"/>
          <w:lang w:bidi="fa-IR"/>
          <w:color w:val="111111"/>
          <w:sz w:val="28"/>
          <w:szCs w:val="28"/>
          <w:rtl/>
        </w:rPr>
        <w:t xml:space="preserve">تهران؛ دانشگاه؛ شماره نسخه: ۱۴۳۲/۵</w:t>
      </w:r>
    </w:p>
    <w:p>
      <w:pPr>
        <w:pStyle w:val="BookText"/>
      </w:pPr>
      <w:r>
        <w:rPr>
          <w:rFonts w:ascii="IRNazanin" w:hAnsi="IRNazanin" w:eastAsia="IRNazanin" w:cs="IRNazanin"/>
          <w:lang w:bidi="fa-IR"/>
          <w:color w:val="111111"/>
          <w:sz w:val="28"/>
          <w:szCs w:val="28"/>
          <w:rtl/>
        </w:rPr>
        <w:t xml:space="preserve">نسخه اصل: نسخه آقای حسن نراقی. ساخته روز یک شنبه ۱۲۷۹/۸/۱۹؛ بی کا، بی تا[ فیلم ها-ف: ۱ - ۶۰۰]</w:t>
      </w:r>
    </w:p>
    <w:p>
      <w:pPr>
        <w:pStyle w:val="BookText"/>
      </w:pPr>
      <w:r>
        <w:rPr>
          <w:rFonts w:ascii="IRNazanin" w:hAnsi="IRNazanin" w:eastAsia="IRNazanin" w:cs="IRNazanin"/>
          <w:lang w:bidi="fa-IR"/>
          <w:color w:val="111111"/>
          <w:sz w:val="28"/>
          <w:szCs w:val="28"/>
          <w:rtl/>
        </w:rPr>
        <w:t xml:space="preserve">«استخراج اوساط (رساله) » آفتاب و کواکب</w:t>
      </w:r>
    </w:p>
    <w:p>
      <w:pPr>
        <w:pStyle w:val="BookText"/>
      </w:pPr>
      <w:r>
        <w:rPr>
          <w:rFonts w:ascii="IRNazanin" w:hAnsi="IRNazanin" w:eastAsia="IRNazanin" w:cs="IRNazanin"/>
          <w:lang w:bidi="fa-IR"/>
          <w:color w:val="111111"/>
          <w:sz w:val="28"/>
          <w:szCs w:val="28"/>
          <w:rtl/>
        </w:rPr>
        <w:t xml:space="preserve">«استخراج اوساط كواكب » تقویم</w:t>
      </w:r>
    </w:p>
    <w:p>
      <w:pPr>
        <w:pStyle w:val="Heading3"/>
      </w:pPr>
      <w:bookmarkStart w:id="1040" w:name="_Toc562"/>
      <w:r>
        <w:t>استخراج اوساط کواکب سبعه / هیئت / فارسی</w:t>
      </w:r>
      <w:bookmarkEnd w:id="1040"/>
    </w:p>
    <w:p>
      <w:pPr>
        <w:pStyle w:val="BookText"/>
      </w:pPr>
      <w:r>
        <w:rPr>
          <w:rFonts w:ascii="Times New Roman" w:hAnsi="Times New Roman" w:eastAsia="Times New Roman" w:cs="Times New Roman"/>
          <w:lang w:val="en-US" w:bidi="en-US"/>
          <w:color w:val="111111"/>
          <w:sz w:val="28"/>
          <w:szCs w:val="28"/>
          <w:rtl/>
        </w:rPr>
        <w:t xml:space="preserve">estexrāj-e owsāt-e kavākeb-e sab'e</w:t>
      </w:r>
    </w:p>
    <w:p>
      <w:pPr>
        <w:pStyle w:val="BookText"/>
      </w:pPr>
      <w:r>
        <w:rPr>
          <w:rFonts w:ascii="IRNazanin" w:hAnsi="IRNazanin" w:eastAsia="IRNazanin" w:cs="IRNazanin"/>
          <w:lang w:bidi="fa-IR"/>
          <w:color w:val="111111"/>
          <w:sz w:val="28"/>
          <w:szCs w:val="28"/>
          <w:rtl/>
        </w:rPr>
        <w:t xml:space="preserve">تهران؛ مجلس؛ شماره نسخه: ۶۱۲۵/۸</w:t>
      </w:r>
    </w:p>
    <w:p>
      <w:pPr>
        <w:pStyle w:val="BookText"/>
      </w:pPr>
      <w:r>
        <w:rPr>
          <w:rFonts w:ascii="IRNazanin" w:hAnsi="IRNazanin" w:eastAsia="IRNazanin" w:cs="IRNazanin"/>
          <w:lang w:bidi="fa-IR"/>
          <w:color w:val="111111"/>
          <w:sz w:val="28"/>
          <w:szCs w:val="28"/>
          <w:rtl/>
        </w:rPr>
        <w:t xml:space="preserve">تاریخ این استخراج ۱۱۳۱ و برای به دست آوردن زایجه طالع کسی است که نام او در نسخه نیامده؛ بی کا، بی تا؛ کاغذ: ترکی و فرنگی، جلد: تیماج مشکی یک  لا ،۲۴۶ص، قطع: خشتی، اندازه:  ۱۶/۵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۲۲/۵سم [ف ۱۹ - ۱۲۳]</w:t>
      </w:r>
    </w:p>
    <w:p>
      <w:pPr>
        <w:pStyle w:val="Heading3"/>
      </w:pPr>
      <w:bookmarkStart w:id="1041" w:name="_Toc563"/>
      <w:r>
        <w:t>استخراج الاوساط المحققه / فارسی و عربی</w:t>
      </w:r>
      <w:bookmarkEnd w:id="1041"/>
    </w:p>
    <w:p>
      <w:pPr>
        <w:pStyle w:val="BookText"/>
      </w:pPr>
      <w:r>
        <w:rPr>
          <w:rFonts w:ascii="Times New Roman" w:hAnsi="Times New Roman" w:eastAsia="Times New Roman" w:cs="Times New Roman"/>
          <w:lang w:val="en-US" w:bidi="en-US"/>
          <w:color w:val="111111"/>
          <w:sz w:val="28"/>
          <w:szCs w:val="28"/>
          <w:rtl/>
        </w:rPr>
        <w:t xml:space="preserve">istixrāj-ul awsāṭ-il muḥaqqaqa</w:t>
      </w:r>
    </w:p>
    <w:p>
      <w:pPr>
        <w:pStyle w:val="BookText"/>
      </w:pPr>
      <w:r>
        <w:rPr>
          <w:rFonts w:ascii="IRNazanin" w:hAnsi="IRNazanin" w:eastAsia="IRNazanin" w:cs="IRNazanin"/>
          <w:lang w:bidi="fa-IR"/>
          <w:color w:val="111111"/>
          <w:sz w:val="28"/>
          <w:szCs w:val="28"/>
          <w:rtl/>
        </w:rPr>
        <w:t xml:space="preserve">کراویسی، بدرالدین حسن</w:t>
      </w:r>
    </w:p>
    <w:p>
      <w:pPr>
        <w:pStyle w:val="BookText"/>
      </w:pPr>
      <w:r>
        <w:rPr>
          <w:rFonts w:ascii="Times New Roman" w:hAnsi="Times New Roman" w:eastAsia="Times New Roman" w:cs="Times New Roman"/>
          <w:lang w:val="en-US" w:bidi="en-US"/>
          <w:color w:val="111111"/>
          <w:sz w:val="28"/>
          <w:szCs w:val="28"/>
          <w:rtl/>
        </w:rPr>
        <w:t xml:space="preserve">karāvīsī, badr-od-dīn hasan</w:t>
      </w:r>
    </w:p>
    <w:p>
      <w:pPr>
        <w:pStyle w:val="BookText"/>
      </w:pPr>
      <w:r>
        <w:rPr>
          <w:rFonts w:ascii="IRNazanin" w:hAnsi="IRNazanin" w:eastAsia="IRNazanin" w:cs="IRNazanin"/>
          <w:lang w:bidi="fa-IR"/>
          <w:color w:val="111111"/>
          <w:sz w:val="28"/>
          <w:szCs w:val="28"/>
          <w:rtl/>
        </w:rPr>
        <w:t xml:space="preserve">تهران؛ مجلس؛ شماره نسخه: ۶۳/۳۰</w:t>
      </w:r>
    </w:p>
    <w:p>
      <w:pPr>
        <w:pStyle w:val="BookText"/>
      </w:pPr>
      <w:r>
        <w:rPr>
          <w:rFonts w:ascii="IRNazanin" w:hAnsi="IRNazanin" w:eastAsia="IRNazanin" w:cs="IRNazanin"/>
          <w:lang w:bidi="fa-IR"/>
          <w:color w:val="111111"/>
          <w:sz w:val="28"/>
          <w:szCs w:val="28"/>
          <w:rtl/>
        </w:rPr>
        <w:t xml:space="preserve">خط: نسخ، بی کا، تا: قرن ۱۲ ؛کاغذ: سفید، جلد: مقوایی عطف  تیماج تریاکی، ۷ص (۲۹۴-۲۸۸) ۲۱ 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[سنا - ف: ۱ - ۳۴]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59" w:name="pg20365_260240"/>
    <w:bookmarkEnd w:id="159"/>
    <w:p>
      <w:pPr>
        <w:pStyle w:val="Heading3"/>
      </w:pPr>
      <w:bookmarkStart w:id="1042" w:name="_Toc564"/>
      <w:r>
        <w:t>استخراج اوساط نیرین / هیئت / فارسی</w:t>
      </w:r>
      <w:bookmarkEnd w:id="1042"/>
    </w:p>
    <w:p>
      <w:pPr>
        <w:pStyle w:val="BookText"/>
      </w:pPr>
      <w:r>
        <w:rPr>
          <w:rFonts w:ascii="Times New Roman" w:hAnsi="Times New Roman" w:eastAsia="Times New Roman" w:cs="Times New Roman"/>
          <w:lang w:val="en-US" w:bidi="en-US"/>
          <w:color w:val="111111"/>
          <w:sz w:val="28"/>
          <w:szCs w:val="28"/>
          <w:rtl/>
        </w:rPr>
        <w:t xml:space="preserve">istixrāj-ul as’ila wa iẓhār-ul ajwiba</w:t>
      </w:r>
    </w:p>
    <w:p>
      <w:pPr>
        <w:pStyle w:val="BookText"/>
      </w:pPr>
      <w:r>
        <w:rPr>
          <w:rFonts w:ascii="IRNazanin" w:hAnsi="IRNazanin" w:eastAsia="IRNazanin" w:cs="IRNazanin"/>
          <w:lang w:bidi="fa-IR"/>
          <w:color w:val="111111"/>
          <w:sz w:val="28"/>
          <w:szCs w:val="28"/>
          <w:rtl/>
        </w:rPr>
        <w:t xml:space="preserve">تهران؛ مجلس؛ شماره نسخه: ۶۱۲۵/۷</w:t>
      </w:r>
    </w:p>
    <w:p>
      <w:pPr>
        <w:pStyle w:val="BookText"/>
      </w:pPr>
      <w:r>
        <w:rPr>
          <w:rFonts w:ascii="IRNazanin" w:hAnsi="IRNazanin" w:eastAsia="IRNazanin" w:cs="IRNazanin"/>
          <w:lang w:bidi="fa-IR"/>
          <w:color w:val="111111"/>
          <w:sz w:val="28"/>
          <w:szCs w:val="28"/>
          <w:rtl/>
        </w:rPr>
        <w:t xml:space="preserve">بخشی از کتاب (یا رساله) ای است در ستاره شناسی؛ بی کا،بی تا، کاغذ: ترکی و فرنگی، جلد: تیماج مشکی یک لا، ۳۴۳ص ، قطع: خشتی، اندازه: ۱۶/۵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۲۲/۵سم [ف: ۱۹ - ۱۲۳]</w:t>
      </w:r>
    </w:p>
    <w:p>
      <w:pPr>
        <w:pStyle w:val="BookText"/>
      </w:pPr>
      <w:r>
        <w:rPr>
          <w:rFonts w:ascii="Amiri" w:hAnsi="Amiri" w:eastAsia="Amiri" w:cs="Amiri"/>
          <w:lang w:bidi="ar-SA"/>
          <w:color w:val="111111"/>
          <w:sz w:val="28"/>
          <w:szCs w:val="28"/>
          <w:rtl/>
        </w:rPr>
        <w:t xml:space="preserve">«الاستخراج بالخطائين » ذيل الفوائد البهائية</w:t>
      </w:r>
    </w:p>
    <w:p>
      <w:pPr>
        <w:pStyle w:val="Heading3"/>
      </w:pPr>
      <w:bookmarkStart w:id="1043" w:name="_Toc565"/>
      <w:r>
        <w:t>استخراج بعد سمت فضل الدائر على خط زوال  البلد / هیئت / فارسی و عربی</w:t>
      </w:r>
      <w:bookmarkEnd w:id="1043"/>
    </w:p>
    <w:p>
      <w:pPr>
        <w:pStyle w:val="BookText"/>
      </w:pPr>
      <w:r>
        <w:rPr>
          <w:rFonts w:ascii="Times New Roman" w:hAnsi="Times New Roman" w:eastAsia="Times New Roman" w:cs="Times New Roman"/>
          <w:lang w:val="en-US" w:bidi="en-US"/>
          <w:color w:val="111111"/>
          <w:sz w:val="28"/>
          <w:szCs w:val="28"/>
          <w:rtl/>
        </w:rPr>
        <w:t xml:space="preserve">istixrāj-u bu‘d-i samt-i faḍl-id dā’ir ‘alā xaṭṭ-i zawāl-il</w:t>
      </w:r>
    </w:p>
    <w:p>
      <w:pPr>
        <w:pStyle w:val="BookText"/>
      </w:pPr>
      <w:r>
        <w:rPr>
          <w:rFonts w:ascii="Times New Roman" w:hAnsi="Times New Roman" w:eastAsia="Times New Roman" w:cs="Times New Roman"/>
          <w:lang w:val="en-US" w:bidi="en-US"/>
          <w:color w:val="111111"/>
          <w:sz w:val="28"/>
          <w:szCs w:val="28"/>
          <w:rtl/>
        </w:rPr>
        <w:t xml:space="preserve">balad</w:t>
      </w:r>
    </w:p>
    <w:p>
      <w:pPr>
        <w:pStyle w:val="BookText"/>
      </w:pPr>
      <w:r>
        <w:rPr>
          <w:rFonts w:ascii="IRNazanin" w:hAnsi="IRNazanin" w:eastAsia="IRNazanin" w:cs="IRNazanin"/>
          <w:lang w:bidi="fa-IR"/>
          <w:color w:val="111111"/>
          <w:sz w:val="28"/>
          <w:szCs w:val="28"/>
          <w:rtl/>
        </w:rPr>
        <w:t xml:space="preserve">سبط  ماردینی، محمد بن محمد، ۸۲۶ - ۹۰۷ قمری</w:t>
      </w:r>
    </w:p>
    <w:p>
      <w:pPr>
        <w:pStyle w:val="BookText"/>
      </w:pPr>
      <w:r>
        <w:rPr>
          <w:rFonts w:ascii="Times New Roman" w:hAnsi="Times New Roman" w:eastAsia="Times New Roman" w:cs="Times New Roman"/>
          <w:lang w:val="en-US" w:bidi="en-US"/>
          <w:color w:val="111111"/>
          <w:sz w:val="28"/>
          <w:szCs w:val="28"/>
          <w:rtl/>
        </w:rPr>
        <w:t xml:space="preserve">(1502-sebt-e mārdīnī, mohammad ebn-e mohammad (1423 -</w:t>
      </w:r>
    </w:p>
    <w:p>
      <w:pPr>
        <w:pStyle w:val="BookText"/>
      </w:pPr>
      <w:r>
        <w:rPr>
          <w:rFonts w:ascii="IRNazanin" w:hAnsi="IRNazanin" w:eastAsia="IRNazanin" w:cs="IRNazanin"/>
          <w:lang w:bidi="fa-IR"/>
          <w:color w:val="111111"/>
          <w:sz w:val="28"/>
          <w:szCs w:val="28"/>
          <w:rtl/>
        </w:rPr>
        <w:t xml:space="preserve">تهران؛ مجلس؛ شماره نسخه: ۶۳/۱۷</w:t>
      </w:r>
    </w:p>
    <w:p>
      <w:pPr>
        <w:pStyle w:val="BookText"/>
      </w:pPr>
      <w:r>
        <w:rPr>
          <w:rFonts w:ascii="IRNazanin" w:hAnsi="IRNazanin" w:eastAsia="IRNazanin" w:cs="IRNazanin"/>
          <w:lang w:bidi="fa-IR"/>
          <w:color w:val="111111"/>
          <w:sz w:val="28"/>
          <w:szCs w:val="28"/>
          <w:rtl/>
        </w:rPr>
        <w:t xml:space="preserve">خط: نسخ ،بی کا، تا: قرن ۱۲؛ کاغذ: سفید، جلد: مقوایی، عطف تیماج تریاکی، ۱۶ص (۱۶۶-۱۸۱)، ۲۱ 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[سنا - ف: ۱ - ۳۳]</w:t>
      </w:r>
    </w:p>
    <w:p>
      <w:pPr>
        <w:pStyle w:val="Heading3"/>
      </w:pPr>
      <w:bookmarkStart w:id="1044" w:name="_Toc566"/>
      <w:r>
        <w:t>استخراج بعد مرکز قمر / هیئت / فارسی</w:t>
      </w:r>
      <w:bookmarkEnd w:id="1044"/>
    </w:p>
    <w:p>
      <w:pPr>
        <w:pStyle w:val="BookText"/>
      </w:pPr>
      <w:r>
        <w:rPr>
          <w:rFonts w:ascii="Times New Roman" w:hAnsi="Times New Roman" w:eastAsia="Times New Roman" w:cs="Times New Roman"/>
          <w:lang w:val="en-US" w:bidi="en-US"/>
          <w:color w:val="111111"/>
          <w:sz w:val="28"/>
          <w:szCs w:val="28"/>
          <w:rtl/>
        </w:rPr>
        <w:t xml:space="preserve">estexrāj-e bo‘d-e markaz-e qamar</w:t>
      </w:r>
    </w:p>
    <w:p>
      <w:pPr>
        <w:pStyle w:val="BookText"/>
      </w:pPr>
      <w:r>
        <w:rPr>
          <w:rFonts w:ascii="IRNazanin" w:hAnsi="IRNazanin" w:eastAsia="IRNazanin" w:cs="IRNazanin"/>
          <w:lang w:bidi="fa-IR"/>
          <w:color w:val="111111"/>
          <w:sz w:val="28"/>
          <w:szCs w:val="28"/>
          <w:rtl/>
        </w:rPr>
        <w:t xml:space="preserve">مشهد؛ رضوی؛ شماره نسخه: ۱۲۰۷۷/۳</w:t>
      </w:r>
    </w:p>
    <w:p>
      <w:pPr>
        <w:pStyle w:val="BookText"/>
      </w:pPr>
      <w:r>
        <w:rPr>
          <w:rFonts w:ascii="IRNazanin" w:hAnsi="IRNazanin" w:eastAsia="IRNazanin" w:cs="IRNazanin"/>
          <w:lang w:bidi="fa-IR"/>
          <w:color w:val="111111"/>
          <w:sz w:val="28"/>
          <w:szCs w:val="28"/>
          <w:rtl/>
        </w:rPr>
        <w:t xml:space="preserve">آغاز: استخراج بعد مركز  قمر، المركز؛ انجام: تمام شد استخـرج خسوف بطریق عمل در (ناقص)</w:t>
      </w:r>
    </w:p>
    <w:p>
      <w:pPr>
        <w:pStyle w:val="BookText"/>
      </w:pPr>
      <w:r>
        <w:rPr>
          <w:rFonts w:ascii="IRNazanin" w:hAnsi="IRNazanin" w:eastAsia="IRNazanin" w:cs="IRNazanin"/>
          <w:lang w:bidi="fa-IR"/>
          <w:color w:val="111111"/>
          <w:sz w:val="28"/>
          <w:szCs w:val="28"/>
          <w:rtl/>
        </w:rPr>
        <w:t xml:space="preserve">در پنج ورق و بدون دیباچه و نام مؤلف است؛ خط: نستعلیق و شکسته، كا: شفيع بن محمد صالح یزدی، تا:۱۰۶۲ق؛ کاغذ: حنایی، جلد: تیماج جگری یک لا، اندازه: 10</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سم [ف : 10- 159]</w:t>
      </w:r>
    </w:p>
    <w:p>
      <w:pPr>
        <w:pStyle w:val="Heading3"/>
      </w:pPr>
      <w:bookmarkStart w:id="1045" w:name="_Toc567"/>
      <w:r>
        <w:t>استخراج التاريخ القبطى من العربي / هیئت / عربی</w:t>
      </w:r>
      <w:bookmarkEnd w:id="1045"/>
    </w:p>
    <w:p>
      <w:pPr>
        <w:pStyle w:val="BookText"/>
      </w:pPr>
      <w:r>
        <w:rPr>
          <w:rFonts w:ascii="Times New Roman" w:hAnsi="Times New Roman" w:eastAsia="Times New Roman" w:cs="Times New Roman"/>
          <w:lang w:val="en-US" w:bidi="en-US"/>
          <w:color w:val="111111"/>
          <w:sz w:val="28"/>
          <w:szCs w:val="28"/>
          <w:rtl/>
        </w:rPr>
        <w:t xml:space="preserve">istixrāj-ut tārīx-il qibṭī min-al ‘arabī</w:t>
      </w:r>
    </w:p>
    <w:p>
      <w:pPr>
        <w:pStyle w:val="BookText"/>
      </w:pPr>
      <w:r>
        <w:rPr>
          <w:rFonts w:ascii="IRNazanin" w:hAnsi="IRNazanin" w:eastAsia="IRNazanin" w:cs="IRNazanin"/>
          <w:lang w:bidi="fa-IR"/>
          <w:color w:val="111111"/>
          <w:sz w:val="28"/>
          <w:szCs w:val="28"/>
          <w:rtl/>
        </w:rPr>
        <w:t xml:space="preserve">در طریقه استخراج تاریخ رومی از عربی، در یک «مقدمه» هفت «فصل»: المقدمة فى معرفة عدد الشهور القبطية؛ فصل1. استخراج القبطى من العربي ؛۲. علامة اول توت راس الـسنة العربية؛ ٣. معرفة موضع الشمس من البروج الاثنى عشر ؛ ۴. معـرفة تزايد الليل و قصر النهار ؛ ۵ .معرفة حلول القمر فى البروج الاثـنی عشر ؛ ۶. معرفة التاريخ القطبى المستخرج فى جدوله؛ 7. معرفة دخول الخماسيين من جدوله. شاید از کاتب نسخه باشد.</w:t>
      </w:r>
    </w:p>
    <w:p>
      <w:pPr>
        <w:pStyle w:val="BookText"/>
      </w:pPr>
      <w:r>
        <w:rPr>
          <w:rFonts w:ascii="IRNazanin" w:hAnsi="IRNazanin" w:eastAsia="IRNazanin" w:cs="IRNazanin"/>
          <w:lang w:bidi="fa-IR"/>
          <w:color w:val="111111"/>
          <w:sz w:val="28"/>
          <w:szCs w:val="28"/>
          <w:rtl/>
        </w:rPr>
        <w:t xml:space="preserve">تهران؛ مجلس؛ شماره نسخه: ۶۴۵۳/۵</w:t>
      </w:r>
    </w:p>
    <w:p>
      <w:pPr>
        <w:pStyle w:val="BookText"/>
      </w:pPr>
      <w:r>
        <w:rPr>
          <w:rFonts w:ascii="Amiri" w:hAnsi="Amiri" w:eastAsia="Amiri" w:cs="Amiri"/>
          <w:lang w:bidi="ar-SA"/>
          <w:color w:val="111111"/>
          <w:sz w:val="28"/>
          <w:szCs w:val="28"/>
          <w:rtl/>
        </w:rPr>
        <w:t xml:space="preserve">آغاز: و استخراج التاريخ القبطى من العربي بطريق الحساب... السنة البسيطة و الكبيسة و علامات اول توت من الشهور القبطية راس السنة العربية من الجدول الملخص الآتى؛ انجام: اول الخماسين فى هذا العام الموافق ليوم الاثنين الحادى والعشرين من شهر جمادى الآخره و يكون لغيرها اليوم العاشر او الحادى عشر من كل شعبان.</w:t>
      </w:r>
    </w:p>
    <w:p>
      <w:pPr>
        <w:pStyle w:val="BookText"/>
      </w:pPr>
      <w:r>
        <w:rPr>
          <w:rFonts w:ascii="IRNazanin" w:hAnsi="IRNazanin" w:eastAsia="IRNazanin" w:cs="IRNazanin"/>
          <w:lang w:bidi="fa-IR"/>
          <w:color w:val="111111"/>
          <w:sz w:val="28"/>
          <w:szCs w:val="28"/>
          <w:rtl/>
        </w:rPr>
        <w:t xml:space="preserve">خط: نسخ  نازیبا، کا: احمد بن عبدالله بن علی بن سیف صیمری، بی تا؛ دارای جداول و اشکال هندسی، مصحح؛ جلد: تیماج قرمز مجدول  ضربی، ۳گ (۱۱۱ پ- ۱۱۴پ)،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20- 35]</w:t>
      </w:r>
    </w:p>
    <w:p>
      <w:pPr>
        <w:pStyle w:val="Heading3"/>
      </w:pPr>
      <w:bookmarkStart w:id="1046" w:name="_Toc568"/>
      <w:r>
        <w:t>استخراج تقاویم / تقویم / فارسی</w:t>
      </w:r>
      <w:bookmarkEnd w:id="1046"/>
    </w:p>
    <w:p>
      <w:pPr>
        <w:pStyle w:val="BookText"/>
      </w:pPr>
      <w:r>
        <w:rPr>
          <w:rFonts w:ascii="Times New Roman" w:hAnsi="Times New Roman" w:eastAsia="Times New Roman" w:cs="Times New Roman"/>
          <w:lang w:val="en-US" w:bidi="en-US"/>
          <w:color w:val="111111"/>
          <w:sz w:val="28"/>
          <w:szCs w:val="28"/>
          <w:rtl/>
        </w:rPr>
        <w:t xml:space="preserve">estexrāj-e taqāvīm</w:t>
      </w:r>
    </w:p>
    <w:p>
      <w:pPr>
        <w:pStyle w:val="BookText"/>
      </w:pPr>
      <w:r>
        <w:rPr>
          <w:rFonts w:ascii="IRNazanin" w:hAnsi="IRNazanin" w:eastAsia="IRNazanin" w:cs="IRNazanin"/>
          <w:lang w:bidi="fa-IR"/>
          <w:color w:val="111111"/>
          <w:sz w:val="28"/>
          <w:szCs w:val="28"/>
          <w:rtl/>
        </w:rPr>
        <w:t xml:space="preserve">منجم شیرازی، تاج الدین</w:t>
      </w:r>
    </w:p>
    <w:p>
      <w:pPr>
        <w:pStyle w:val="BookText"/>
      </w:pPr>
      <w:r>
        <w:rPr>
          <w:rFonts w:ascii="Times New Roman" w:hAnsi="Times New Roman" w:eastAsia="Times New Roman" w:cs="Times New Roman"/>
          <w:lang w:val="en-US" w:bidi="en-US"/>
          <w:color w:val="111111"/>
          <w:sz w:val="28"/>
          <w:szCs w:val="28"/>
          <w:rtl/>
        </w:rPr>
        <w:t xml:space="preserve">monajjem-e šīrāzī, tāj-od-dīn</w:t>
      </w:r>
    </w:p>
    <w:p>
      <w:pPr>
        <w:pStyle w:val="BookText"/>
      </w:pPr>
      <w:r>
        <w:rPr>
          <w:rFonts w:ascii="IRNazanin" w:hAnsi="IRNazanin" w:eastAsia="IRNazanin" w:cs="IRNazanin"/>
          <w:lang w:bidi="fa-IR"/>
          <w:color w:val="111111"/>
          <w:sz w:val="28"/>
          <w:szCs w:val="28"/>
          <w:rtl/>
        </w:rPr>
        <w:t xml:space="preserve">[نسخه های منزوی ۳۶۹]</w:t>
      </w:r>
    </w:p>
    <w:p>
      <w:pPr>
        <w:pStyle w:val="BookText"/>
      </w:pPr>
      <w:r>
        <w:rPr>
          <w:rFonts w:ascii="IRNazanin" w:hAnsi="IRNazanin" w:eastAsia="IRNazanin" w:cs="IRNazanin"/>
          <w:lang w:bidi="fa-IR"/>
          <w:color w:val="111111"/>
          <w:sz w:val="28"/>
          <w:szCs w:val="28"/>
          <w:rtl/>
        </w:rPr>
        <w:t xml:space="preserve">رشت؛ جمعیت نشر فرهنگ؛ شماره نسخه: ۱۲۰۲/۲</w:t>
      </w:r>
    </w:p>
    <w:p>
      <w:pPr>
        <w:pStyle w:val="BookText"/>
      </w:pPr>
      <w:r>
        <w:rPr>
          <w:rFonts w:ascii="IRNazanin" w:hAnsi="IRNazanin" w:eastAsia="IRNazanin" w:cs="IRNazanin"/>
          <w:lang w:bidi="fa-IR"/>
          <w:color w:val="111111"/>
          <w:sz w:val="28"/>
          <w:szCs w:val="28"/>
          <w:rtl/>
        </w:rPr>
        <w:t xml:space="preserve">خط: نسخ  خوش، کا: محمد جعفر بن محمد طبسی، بی تا؛ با یک جدول ،جلد ،چرمی، ۱۰گ (۲۰ ر -۲۹پ) ابعاد متن: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[رشت و همدان - ف - ۱۲۳۴]</w:t>
      </w:r>
    </w:p>
    <w:p>
      <w:pPr>
        <w:pStyle w:val="Heading3"/>
      </w:pPr>
      <w:bookmarkStart w:id="1047" w:name="_Toc569"/>
      <w:r>
        <w:t>استخراج تقاویم / هیئت / فارسی</w:t>
      </w:r>
      <w:bookmarkEnd w:id="1047"/>
    </w:p>
    <w:p>
      <w:pPr>
        <w:pStyle w:val="BookText"/>
      </w:pPr>
      <w:r>
        <w:rPr>
          <w:rFonts w:ascii="Times New Roman" w:hAnsi="Times New Roman" w:eastAsia="Times New Roman" w:cs="Times New Roman"/>
          <w:lang w:val="en-US" w:bidi="en-US"/>
          <w:color w:val="111111"/>
          <w:sz w:val="28"/>
          <w:szCs w:val="28"/>
          <w:rtl/>
        </w:rPr>
        <w:t xml:space="preserve">estexrāj-e taqāvīm</w:t>
      </w:r>
    </w:p>
    <w:p>
      <w:pPr>
        <w:pStyle w:val="BookText"/>
      </w:pPr>
      <w:r>
        <w:rPr>
          <w:rFonts w:ascii="IRNazanin" w:hAnsi="IRNazanin" w:eastAsia="IRNazanin" w:cs="IRNazanin"/>
          <w:lang w:bidi="fa-IR"/>
          <w:color w:val="111111"/>
          <w:sz w:val="28"/>
          <w:szCs w:val="28"/>
          <w:rtl/>
        </w:rPr>
        <w:t xml:space="preserve">مشهد ،الهیات؛ شماره نسخه: ۵۵۵/۱۹</w:t>
      </w:r>
    </w:p>
    <w:p>
      <w:pPr>
        <w:pStyle w:val="BookText"/>
      </w:pPr>
      <w:r>
        <w:rPr>
          <w:rFonts w:ascii="IRNazanin" w:hAnsi="IRNazanin" w:eastAsia="IRNazanin" w:cs="IRNazanin"/>
          <w:lang w:bidi="fa-IR"/>
          <w:color w:val="111111"/>
          <w:sz w:val="28"/>
          <w:szCs w:val="28"/>
          <w:rtl/>
        </w:rPr>
        <w:t xml:space="preserve">استخراج تقاویم و عروض درجات قمر طلوع و غروب و بعد دائره معدل النهار؛ خط: نستعلیق، بی کا، تا: قرن ۱۳، جا: هندوستان؛ کاغذ: فرنگی ،جلد: تیماج لایه ای  عنابی، ۳گ، اندازه: 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۱ - ۵۱۴]</w:t>
      </w:r>
    </w:p>
    <w:p>
      <w:pPr>
        <w:pStyle w:val="BookText"/>
      </w:pPr>
      <w:r>
        <w:rPr>
          <w:rFonts w:ascii="Amiri" w:hAnsi="Amiri" w:eastAsia="Amiri" w:cs="Amiri"/>
          <w:lang w:bidi="ar-SA"/>
          <w:color w:val="111111"/>
          <w:sz w:val="28"/>
          <w:szCs w:val="28"/>
          <w:rtl/>
        </w:rPr>
        <w:t xml:space="preserve">«استخراج التقويم » كيفية استخراج التقويم</w:t>
      </w:r>
    </w:p>
    <w:p>
      <w:pPr>
        <w:pStyle w:val="BookText"/>
      </w:pPr>
      <w:r>
        <w:rPr>
          <w:rFonts w:ascii="Amiri" w:hAnsi="Amiri" w:eastAsia="Amiri" w:cs="Amiri"/>
          <w:lang w:bidi="ar-SA"/>
          <w:color w:val="111111"/>
          <w:sz w:val="28"/>
          <w:szCs w:val="28"/>
          <w:rtl/>
        </w:rPr>
        <w:t xml:space="preserve">«استخراج تقويم » طالع مولود</w:t>
      </w:r>
    </w:p>
    <w:p>
      <w:pPr>
        <w:pStyle w:val="Heading3"/>
      </w:pPr>
      <w:bookmarkStart w:id="1048" w:name="_Toc570"/>
      <w:r>
        <w:t>استخراج تقویم / هیئت / فارسی</w:t>
      </w:r>
      <w:bookmarkEnd w:id="1048"/>
    </w:p>
    <w:p>
      <w:pPr>
        <w:pStyle w:val="BookText"/>
      </w:pPr>
      <w:r>
        <w:rPr>
          <w:rFonts w:ascii="Times New Roman" w:hAnsi="Times New Roman" w:eastAsia="Times New Roman" w:cs="Times New Roman"/>
          <w:lang w:val="en-US" w:bidi="en-US"/>
          <w:color w:val="111111"/>
          <w:sz w:val="28"/>
          <w:szCs w:val="28"/>
          <w:rtl/>
        </w:rPr>
        <w:t xml:space="preserve">estexrāj-e taqvīm</w:t>
      </w:r>
    </w:p>
    <w:p>
      <w:pPr>
        <w:pStyle w:val="BookText"/>
      </w:pPr>
      <w:r>
        <w:rPr>
          <w:rFonts w:ascii="IRNazanin" w:hAnsi="IRNazanin" w:eastAsia="IRNazanin" w:cs="IRNazanin"/>
          <w:lang w:bidi="fa-IR"/>
          <w:color w:val="111111"/>
          <w:sz w:val="28"/>
          <w:szCs w:val="28"/>
          <w:rtl/>
        </w:rPr>
        <w:t xml:space="preserve">محمد امین بن حسنعلی، ق ۱۱ قمری</w:t>
      </w:r>
    </w:p>
    <w:p>
      <w:pPr>
        <w:pStyle w:val="BookText"/>
      </w:pPr>
      <w:r>
        <w:rPr>
          <w:rFonts w:ascii="Times New Roman" w:hAnsi="Times New Roman" w:eastAsia="Times New Roman" w:cs="Times New Roman"/>
          <w:lang w:val="en-US" w:bidi="en-US"/>
          <w:color w:val="111111"/>
          <w:sz w:val="28"/>
          <w:szCs w:val="28"/>
          <w:rtl/>
        </w:rPr>
        <w:t xml:space="preserve">(mohammad amīn ebn-e hasan-alī (- 17c)</w:t>
      </w:r>
    </w:p>
    <w:p>
      <w:pPr>
        <w:pStyle w:val="BookText"/>
      </w:pPr>
      <w:r>
        <w:rPr>
          <w:rFonts w:ascii="IRNazanin" w:hAnsi="IRNazanin" w:eastAsia="IRNazanin" w:cs="IRNazanin"/>
          <w:lang w:bidi="fa-IR"/>
          <w:color w:val="111111"/>
          <w:sz w:val="28"/>
          <w:szCs w:val="28"/>
          <w:rtl/>
        </w:rPr>
        <w:t xml:space="preserve">دارای یک «مقدمه» و هشت «باب» و «خاتمه».</w:t>
      </w:r>
    </w:p>
    <w:p>
      <w:pPr>
        <w:pStyle w:val="BookText"/>
      </w:pPr>
      <w:r>
        <w:rPr>
          <w:rFonts w:ascii="IRNazanin" w:hAnsi="IRNazanin" w:eastAsia="IRNazanin" w:cs="IRNazanin"/>
          <w:lang w:bidi="fa-IR"/>
          <w:color w:val="111111"/>
          <w:sz w:val="28"/>
          <w:szCs w:val="28"/>
          <w:rtl/>
        </w:rPr>
        <w:t xml:space="preserve">[فهرستواره منزوی ۲۷۹۴/۴]</w:t>
      </w:r>
    </w:p>
    <w:p>
      <w:pPr>
        <w:pStyle w:val="BookText"/>
      </w:pPr>
      <w:r>
        <w:rPr>
          <w:rFonts w:ascii="IRNazanin" w:hAnsi="IRNazanin" w:eastAsia="IRNazanin" w:cs="IRNazanin"/>
          <w:lang w:bidi="fa-IR"/>
          <w:color w:val="111111"/>
          <w:sz w:val="28"/>
          <w:szCs w:val="28"/>
          <w:rtl/>
        </w:rPr>
        <w:t xml:space="preserve">۱. اصفهان؛ دانشگاه اصفهان؛ شماره نسخه: ۳۲۱/۵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60" w:name="pg20365_260241"/>
    <w:bookmarkEnd w:id="160"/>
    <w:p>
      <w:pPr>
        <w:pStyle w:val="BookText"/>
      </w:pPr>
      <w:r>
        <w:rPr>
          <w:rFonts w:ascii="IRNazanin" w:hAnsi="IRNazanin" w:eastAsia="IRNazanin" w:cs="IRNazanin"/>
          <w:lang w:bidi="fa-IR"/>
          <w:color w:val="111111"/>
          <w:sz w:val="28"/>
          <w:szCs w:val="28"/>
          <w:rtl/>
        </w:rPr>
        <w:t xml:space="preserve">خط: نسخ، بی کا، بی تا [ نشریه: ۱۱ – ۹۴۰]</w:t>
      </w:r>
    </w:p>
    <w:p>
      <w:pPr>
        <w:pStyle w:val="BookText"/>
      </w:pPr>
      <w:r>
        <w:rPr>
          <w:rFonts w:ascii="IRNazanin" w:hAnsi="IRNazanin" w:eastAsia="IRNazanin" w:cs="IRNazanin"/>
          <w:lang w:bidi="fa-IR"/>
          <w:color w:val="111111"/>
          <w:sz w:val="28"/>
          <w:szCs w:val="28"/>
          <w:rtl/>
        </w:rPr>
        <w:t xml:space="preserve">۲. اصفهان؛ دانشگاه اصفهان؛ شماره نسخه: ۲۲۵/۴</w:t>
      </w:r>
    </w:p>
    <w:p>
      <w:pPr>
        <w:pStyle w:val="BookText"/>
      </w:pPr>
      <w:r>
        <w:rPr>
          <w:rFonts w:ascii="IRNazanin" w:hAnsi="IRNazanin" w:eastAsia="IRNazanin" w:cs="IRNazanin"/>
          <w:lang w:bidi="fa-IR"/>
          <w:color w:val="111111"/>
          <w:sz w:val="28"/>
          <w:szCs w:val="28"/>
          <w:rtl/>
        </w:rPr>
        <w:t xml:space="preserve">خط: نسخ، کا: محمد شفیع  هروی، بی تا: جلد: تیماج دورو،رو قرمز  ضربی، اندرون ،مشکی عطف قهوه ای، ۱۹ گ (۲۸۵پ- ۳۰۳ر)، اندازه: ۱۹/۵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۲۹سم [ف: ۱ - ۱۷۵]</w:t>
      </w:r>
    </w:p>
    <w:p>
      <w:pPr>
        <w:pStyle w:val="Heading3"/>
      </w:pPr>
      <w:bookmarkStart w:id="1049" w:name="_Toc571"/>
      <w:r>
        <w:t>استخراج تقویم / هیئت / فارسی</w:t>
      </w:r>
      <w:bookmarkEnd w:id="1049"/>
    </w:p>
    <w:p>
      <w:pPr>
        <w:pStyle w:val="BookText"/>
      </w:pPr>
      <w:r>
        <w:rPr>
          <w:rFonts w:ascii="Times New Roman" w:hAnsi="Times New Roman" w:eastAsia="Times New Roman" w:cs="Times New Roman"/>
          <w:lang w:val="en-US" w:bidi="en-US"/>
          <w:color w:val="111111"/>
          <w:sz w:val="28"/>
          <w:szCs w:val="28"/>
          <w:rtl/>
        </w:rPr>
        <w:t xml:space="preserve">estexrāj-e taqvīm</w:t>
      </w:r>
    </w:p>
    <w:p>
      <w:pPr>
        <w:pStyle w:val="BookText"/>
      </w:pPr>
      <w:r>
        <w:rPr>
          <w:rFonts w:ascii="IRNazanin" w:hAnsi="IRNazanin" w:eastAsia="IRNazanin" w:cs="IRNazanin"/>
          <w:lang w:bidi="fa-IR"/>
          <w:color w:val="111111"/>
          <w:sz w:val="28"/>
          <w:szCs w:val="28"/>
          <w:rtl/>
        </w:rPr>
        <w:t xml:space="preserve">منجم باشی، محمد مهدی، ق۱۴ قمری</w:t>
      </w:r>
    </w:p>
    <w:p>
      <w:pPr>
        <w:pStyle w:val="BookText"/>
      </w:pPr>
      <w:r>
        <w:rPr>
          <w:rFonts w:ascii="Times New Roman" w:hAnsi="Times New Roman" w:eastAsia="Times New Roman" w:cs="Times New Roman"/>
          <w:lang w:val="en-US" w:bidi="en-US"/>
          <w:color w:val="111111"/>
          <w:sz w:val="28"/>
          <w:szCs w:val="28"/>
          <w:rtl/>
        </w:rPr>
        <w:t xml:space="preserve">(monajjem-bāšī, mohammad mahdī (- 20c)</w:t>
      </w:r>
    </w:p>
    <w:p>
      <w:pPr>
        <w:pStyle w:val="BookText"/>
      </w:pPr>
      <w:r>
        <w:rPr>
          <w:rFonts w:ascii="IRNazanin" w:hAnsi="IRNazanin" w:eastAsia="IRNazanin" w:cs="IRNazanin"/>
          <w:lang w:bidi="fa-IR"/>
          <w:color w:val="111111"/>
          <w:sz w:val="28"/>
          <w:szCs w:val="28"/>
          <w:rtl/>
        </w:rPr>
        <w:t xml:space="preserve">در استخراج تقویم سال ۱۲۹۰  و ۲۳ - ۱۳۲۲ که مستخرج تقویم  دو سال اخیر حاج ملامحمد مهدی منجم باشی است.</w:t>
      </w:r>
    </w:p>
    <w:p>
      <w:pPr>
        <w:pStyle w:val="BookText"/>
      </w:pPr>
      <w:r>
        <w:rPr>
          <w:rFonts w:ascii="IRNazanin" w:hAnsi="IRNazanin" w:eastAsia="IRNazanin" w:cs="IRNazanin"/>
          <w:lang w:bidi="fa-IR"/>
          <w:color w:val="111111"/>
          <w:sz w:val="28"/>
          <w:szCs w:val="28"/>
          <w:rtl/>
        </w:rPr>
        <w:t xml:space="preserve">[فهرستواره منزوی (۲۹۲۰/۴]</w:t>
      </w:r>
    </w:p>
    <w:p>
      <w:pPr>
        <w:pStyle w:val="BookText"/>
      </w:pPr>
      <w:r>
        <w:rPr>
          <w:rFonts w:ascii="IRNazanin" w:hAnsi="IRNazanin" w:eastAsia="IRNazanin" w:cs="IRNazanin"/>
          <w:lang w:bidi="fa-IR"/>
          <w:color w:val="111111"/>
          <w:sz w:val="28"/>
          <w:szCs w:val="28"/>
          <w:rtl/>
        </w:rPr>
        <w:t xml:space="preserve">۱. مشهد؛ رضوی؛ شماره نسخه: ۱۲۳۱۳</w:t>
      </w:r>
    </w:p>
    <w:p>
      <w:pPr>
        <w:pStyle w:val="BookText"/>
      </w:pPr>
      <w:r>
        <w:rPr>
          <w:rFonts w:ascii="IRNazanin" w:hAnsi="IRNazanin" w:eastAsia="IRNazanin" w:cs="IRNazanin"/>
          <w:lang w:bidi="fa-IR"/>
          <w:color w:val="111111"/>
          <w:sz w:val="28"/>
          <w:szCs w:val="28"/>
          <w:rtl/>
        </w:rPr>
        <w:t xml:space="preserve">آغاز: سر سال کواکب سیاره موافق سی ام حسابی؛ انجام: دیـماه بهمن ماه اسفندماه (جداول)</w:t>
      </w:r>
    </w:p>
    <w:p>
      <w:pPr>
        <w:pStyle w:val="BookText"/>
      </w:pPr>
      <w:r>
        <w:rPr>
          <w:rFonts w:ascii="IRNazanin" w:hAnsi="IRNazanin" w:eastAsia="IRNazanin" w:cs="IRNazanin"/>
          <w:lang w:bidi="fa-IR"/>
          <w:color w:val="111111"/>
          <w:sz w:val="28"/>
          <w:szCs w:val="28"/>
          <w:rtl/>
        </w:rPr>
        <w:t xml:space="preserve">خط مختلف كاتب - مؤلف، بی تا [الفبائی: ۲۴۹]</w:t>
      </w:r>
    </w:p>
    <w:p>
      <w:pPr>
        <w:pStyle w:val="BookText"/>
      </w:pPr>
      <w:r>
        <w:rPr>
          <w:rFonts w:ascii="IRNazanin" w:hAnsi="IRNazanin" w:eastAsia="IRNazanin" w:cs="IRNazanin"/>
          <w:lang w:bidi="fa-IR"/>
          <w:color w:val="111111"/>
          <w:sz w:val="28"/>
          <w:szCs w:val="28"/>
          <w:rtl/>
        </w:rPr>
        <w:t xml:space="preserve">۲ . مشهد؛ رضوی؛ شماره نسخه: ۱۲۱۳۱</w:t>
      </w:r>
    </w:p>
    <w:p>
      <w:pPr>
        <w:pStyle w:val="BookText"/>
      </w:pPr>
      <w:r>
        <w:rPr>
          <w:rFonts w:ascii="IRNazanin" w:hAnsi="IRNazanin" w:eastAsia="IRNazanin" w:cs="IRNazanin"/>
          <w:lang w:bidi="fa-IR"/>
          <w:color w:val="111111"/>
          <w:sz w:val="28"/>
          <w:szCs w:val="28"/>
          <w:rtl/>
        </w:rPr>
        <w:t xml:space="preserve">آغاز: استخراج تقویم قمر در آبان ماه جلالی؛ انجام: جدول استخراج تیسیر درجه طالع مريخ فيسنه ۱۳۲۳</w:t>
      </w:r>
    </w:p>
    <w:p>
      <w:pPr>
        <w:pStyle w:val="BookText"/>
      </w:pPr>
      <w:r>
        <w:rPr>
          <w:rFonts w:ascii="IRNazanin" w:hAnsi="IRNazanin" w:eastAsia="IRNazanin" w:cs="IRNazanin"/>
          <w:lang w:bidi="fa-IR"/>
          <w:color w:val="111111"/>
          <w:sz w:val="28"/>
          <w:szCs w:val="28"/>
          <w:rtl/>
        </w:rPr>
        <w:t xml:space="preserve">خط: نسخ، کا: منجم باشی، محمد مهدی، بی تا: کاغذ: فستقی و نخودی، جلد: تیماج جگری یک  لا ،۶۶گ،اندازه: ۱۹/۵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۳۱  [ف ۱۰ - ۵۲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مشهد؛ رضوی؛ شماره نسخه: ۱۲۳۱۰</w:t>
      </w:r>
    </w:p>
    <w:p>
      <w:pPr>
        <w:pStyle w:val="BookText"/>
      </w:pPr>
      <w:r>
        <w:rPr>
          <w:rFonts w:ascii="IRNazanin" w:hAnsi="IRNazanin" w:eastAsia="IRNazanin" w:cs="IRNazanin"/>
          <w:lang w:bidi="fa-IR"/>
          <w:color w:val="111111"/>
          <w:sz w:val="28"/>
          <w:szCs w:val="28"/>
          <w:rtl/>
        </w:rPr>
        <w:t xml:space="preserve">آغاز: بسمله، سرسال كواكب سبعه سیاره فیسنه ۱۲۹۷؛ انجـام: جدول عمل نسبت فى سنه ۱۲۹۷ (جدول)  خط: نستعلیق، بی کا، بی تا [الفبائی: ۲۴۹]</w:t>
      </w:r>
    </w:p>
    <w:p>
      <w:pPr>
        <w:pStyle w:val="Heading3"/>
      </w:pPr>
      <w:bookmarkStart w:id="1050" w:name="_Toc572"/>
      <w:r>
        <w:t>استخراج تقویم / هیئت / ترکی</w:t>
      </w:r>
      <w:bookmarkEnd w:id="1050"/>
    </w:p>
    <w:p>
      <w:pPr>
        <w:pStyle w:val="BookText"/>
      </w:pPr>
      <w:r>
        <w:rPr>
          <w:rFonts w:ascii="Times New Roman" w:hAnsi="Times New Roman" w:eastAsia="Times New Roman" w:cs="Times New Roman"/>
          <w:lang w:val="en-US" w:bidi="en-US"/>
          <w:color w:val="111111"/>
          <w:sz w:val="28"/>
          <w:szCs w:val="28"/>
          <w:rtl/>
        </w:rPr>
        <w:t xml:space="preserve">estexrāj-e taqvīm</w:t>
      </w:r>
    </w:p>
    <w:p>
      <w:pPr>
        <w:pStyle w:val="BookText"/>
      </w:pPr>
      <w:r>
        <w:rPr>
          <w:rFonts w:ascii="IRNazanin" w:hAnsi="IRNazanin" w:eastAsia="IRNazanin" w:cs="IRNazanin"/>
          <w:lang w:bidi="fa-IR"/>
          <w:color w:val="111111"/>
          <w:sz w:val="28"/>
          <w:szCs w:val="28"/>
          <w:rtl/>
        </w:rPr>
        <w:t xml:space="preserve">منجم ثانی، حسین حسنی</w:t>
      </w:r>
    </w:p>
    <w:p>
      <w:pPr>
        <w:pStyle w:val="BookText"/>
      </w:pPr>
      <w:r>
        <w:rPr>
          <w:rFonts w:ascii="Times New Roman" w:hAnsi="Times New Roman" w:eastAsia="Times New Roman" w:cs="Times New Roman"/>
          <w:lang w:val="en-US" w:bidi="en-US"/>
          <w:color w:val="111111"/>
          <w:sz w:val="28"/>
          <w:szCs w:val="28"/>
          <w:rtl/>
        </w:rPr>
        <w:t xml:space="preserve">monajjem-e sānī, hoseyn hasanī</w:t>
      </w:r>
    </w:p>
    <w:p>
      <w:pPr>
        <w:pStyle w:val="BookText"/>
      </w:pPr>
      <w:r>
        <w:rPr>
          <w:rFonts w:ascii="IRNazanin" w:hAnsi="IRNazanin" w:eastAsia="IRNazanin" w:cs="IRNazanin"/>
          <w:lang w:bidi="fa-IR"/>
          <w:color w:val="111111"/>
          <w:sz w:val="28"/>
          <w:szCs w:val="28"/>
          <w:rtl/>
        </w:rPr>
        <w:t xml:space="preserve">در روزگار سلطان محمد خان پسر عبدالحمیدخان که از شاه عثمانی است می زیسته است وی این رساله استخراجیه را گـویا از روی زیج قسینی ترتیب داده است.</w:t>
      </w:r>
    </w:p>
    <w:p>
      <w:pPr>
        <w:pStyle w:val="BookText"/>
      </w:pPr>
      <w:r>
        <w:rPr>
          <w:rFonts w:ascii="IRNazanin" w:hAnsi="IRNazanin" w:eastAsia="IRNazanin" w:cs="IRNazanin"/>
          <w:lang w:bidi="fa-IR"/>
          <w:color w:val="111111"/>
          <w:sz w:val="28"/>
          <w:szCs w:val="28"/>
          <w:rtl/>
        </w:rPr>
        <w:t xml:space="preserve">تهران؛ مجلس؛ شماره نسخه: ۲۷۴۲/۱</w:t>
      </w:r>
    </w:p>
    <w:p>
      <w:pPr>
        <w:pStyle w:val="BookText"/>
      </w:pPr>
      <w:r>
        <w:rPr>
          <w:rFonts w:ascii="IRNazanin" w:hAnsi="IRNazanin" w:eastAsia="IRNazanin" w:cs="IRNazanin"/>
          <w:lang w:bidi="fa-IR"/>
          <w:color w:val="111111"/>
          <w:sz w:val="28"/>
          <w:szCs w:val="28"/>
          <w:rtl/>
        </w:rPr>
        <w:t xml:space="preserve">آغاز: حمد انجم شمار و شكر دائم الانوار خالق الليل و النـهار جناب - کردکار سزوار ... استخراج تقويمه الزام اولان ... السلطان محمد خان بن السلطان عبد الحميد خان... لكن بوعبد كـمتر حسین حسنی منجم ثانی؛ انجام: تماما اتلره موافق ....</w:t>
      </w:r>
    </w:p>
    <w:p>
      <w:pPr>
        <w:pStyle w:val="BookText"/>
      </w:pPr>
      <w:r>
        <w:rPr>
          <w:rFonts w:ascii="IRNazanin" w:hAnsi="IRNazanin" w:eastAsia="IRNazanin" w:cs="IRNazanin"/>
          <w:lang w:bidi="fa-IR"/>
          <w:color w:val="111111"/>
          <w:sz w:val="28"/>
          <w:szCs w:val="28"/>
          <w:rtl/>
        </w:rPr>
        <w:t xml:space="preserve">بو محـلده استخراج لول مصحح کوکب زملک بر صورت ... با تمام رسم و ترسیم اولنمغله اختتام.</w:t>
      </w:r>
    </w:p>
    <w:p>
      <w:pPr>
        <w:pStyle w:val="BookText"/>
      </w:pPr>
      <w:r>
        <w:rPr>
          <w:rFonts w:ascii="IRNazanin" w:hAnsi="IRNazanin" w:eastAsia="IRNazanin" w:cs="IRNazanin"/>
          <w:lang w:bidi="fa-IR"/>
          <w:color w:val="111111"/>
          <w:sz w:val="28"/>
          <w:szCs w:val="28"/>
          <w:rtl/>
        </w:rPr>
        <w:t xml:space="preserve">خط: نستعلیق، کا: محمد باقر  رضوی، تا: ۱۳۱۷ق، جا: قریه کل؛ کاغذ: اصفهانی، جلد: مقوایی باروکش پارچه چیت گلدار، ۱۵ص (۱۶-۲)، ۲۰ سطر، قطع: وزیری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۹ - ۹۱]</w:t>
      </w:r>
    </w:p>
    <w:p>
      <w:pPr>
        <w:pStyle w:val="Heading3"/>
      </w:pPr>
      <w:bookmarkStart w:id="1051" w:name="_Toc573"/>
      <w:r>
        <w:t>استخراج تقویم / تقویم / فارسی</w:t>
      </w:r>
      <w:bookmarkEnd w:id="1051"/>
    </w:p>
    <w:p>
      <w:pPr>
        <w:pStyle w:val="BookText"/>
      </w:pPr>
      <w:r>
        <w:rPr>
          <w:rFonts w:ascii="Times New Roman" w:hAnsi="Times New Roman" w:eastAsia="Times New Roman" w:cs="Times New Roman"/>
          <w:lang w:val="en-US" w:bidi="en-US"/>
          <w:color w:val="111111"/>
          <w:sz w:val="28"/>
          <w:szCs w:val="28"/>
          <w:rtl/>
        </w:rPr>
        <w:t xml:space="preserve">estexrāj-e taqvīm</w:t>
      </w:r>
    </w:p>
    <w:p>
      <w:pPr>
        <w:pStyle w:val="BookText"/>
      </w:pPr>
      <w:r>
        <w:rPr>
          <w:rFonts w:ascii="IRNazanin" w:hAnsi="IRNazanin" w:eastAsia="IRNazanin" w:cs="IRNazanin"/>
          <w:lang w:bidi="fa-IR"/>
          <w:color w:val="111111"/>
          <w:sz w:val="28"/>
          <w:szCs w:val="28"/>
          <w:rtl/>
        </w:rPr>
        <w:t xml:space="preserve">غیر همانند:</w:t>
      </w:r>
    </w:p>
    <w:p>
      <w:pPr>
        <w:pStyle w:val="BookText"/>
      </w:pPr>
      <w:r>
        <w:rPr>
          <w:rFonts w:ascii="IRNazanin" w:hAnsi="IRNazanin" w:eastAsia="IRNazanin" w:cs="IRNazanin"/>
          <w:lang w:bidi="fa-IR"/>
          <w:color w:val="111111"/>
          <w:sz w:val="28"/>
          <w:szCs w:val="28"/>
          <w:rtl/>
        </w:rPr>
        <w:t xml:space="preserve">۱. تهران؛ دانشگاه؛ شماره نسخه: ۵۹۰۱/۹</w:t>
      </w:r>
    </w:p>
    <w:p>
      <w:pPr>
        <w:pStyle w:val="BookText"/>
      </w:pPr>
      <w:r>
        <w:rPr>
          <w:rFonts w:ascii="IRNazanin" w:hAnsi="IRNazanin" w:eastAsia="IRNazanin" w:cs="IRNazanin"/>
          <w:lang w:bidi="fa-IR"/>
          <w:color w:val="111111"/>
          <w:sz w:val="28"/>
          <w:szCs w:val="28"/>
          <w:rtl/>
        </w:rPr>
        <w:t xml:space="preserve">استخراج تقویم و حل سخنان میرزا شهيد الغ بیگ و عقد تقویم در پنج «باب»؛ خط: نستعلیق، بی کا، تا: قرن۱۱؛ کاغذ: سپاهانی، جلد: تيماج مشکی لایی، ۲۴گ، (43پ-۶۶پ)، ۲۴ سطر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قطع: ربعی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۱۶ - ۱۴۰]</w:t>
      </w:r>
    </w:p>
    <w:p>
      <w:pPr>
        <w:pStyle w:val="BookText"/>
      </w:pPr>
      <w:r>
        <w:rPr>
          <w:rFonts w:ascii="IRNazanin" w:hAnsi="IRNazanin" w:eastAsia="IRNazanin" w:cs="IRNazanin"/>
          <w:lang w:bidi="fa-IR"/>
          <w:color w:val="111111"/>
          <w:sz w:val="28"/>
          <w:szCs w:val="28"/>
          <w:rtl/>
        </w:rPr>
        <w:t xml:space="preserve">۲. تهران؛ مجلس؛ شماره نسخه ۱۸۲۲/۳۱</w:t>
      </w:r>
    </w:p>
    <w:p>
      <w:pPr>
        <w:pStyle w:val="BookText"/>
      </w:pPr>
      <w:r>
        <w:rPr>
          <w:rFonts w:ascii="IRNazanin" w:hAnsi="IRNazanin" w:eastAsia="IRNazanin" w:cs="IRNazanin"/>
          <w:lang w:bidi="fa-IR"/>
          <w:color w:val="111111"/>
          <w:sz w:val="28"/>
          <w:szCs w:val="28"/>
          <w:rtl/>
        </w:rPr>
        <w:t xml:space="preserve">دو استخراج است یکی از اسماعیل موسوی منجم و دیگری از حسین بن علی محمد رشتی طبیب اسماعیل منجم تاريخ عمر عالم را از میرزا احمد حکیم باشی نقل کرده است؛ بی کا، بی تا: جلد: تیماج قهوه ای، 1ص (۲۳۰)، ۲۰ سطر، قطع: رقعی،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۹ - ۴۳۱]</w:t>
      </w:r>
    </w:p>
    <w:p>
      <w:pPr>
        <w:pStyle w:val="BookText"/>
      </w:pPr>
      <w:r>
        <w:rPr>
          <w:rFonts w:ascii="IRNazanin" w:hAnsi="IRNazanin" w:eastAsia="IRNazanin" w:cs="IRNazanin"/>
          <w:lang w:bidi="fa-IR"/>
          <w:color w:val="111111"/>
          <w:sz w:val="28"/>
          <w:szCs w:val="28"/>
          <w:rtl/>
        </w:rPr>
        <w:t xml:space="preserve">3.تهران؛ مجلس؛ شماره نسخه: ۱۷۲۱۱</w:t>
      </w:r>
    </w:p>
    <w:p>
      <w:pPr>
        <w:pStyle w:val="BookText"/>
      </w:pPr>
      <w:r>
        <w:rPr>
          <w:rFonts w:ascii="IRNazanin" w:hAnsi="IRNazanin" w:eastAsia="IRNazanin" w:cs="IRNazanin"/>
          <w:lang w:bidi="fa-IR"/>
          <w:color w:val="111111"/>
          <w:sz w:val="28"/>
          <w:szCs w:val="28"/>
          <w:rtl/>
        </w:rPr>
        <w:t xml:space="preserve">بی کا، بی تا [د.ث. مجلس ]</w:t>
      </w:r>
    </w:p>
    <w:p>
      <w:pPr>
        <w:pStyle w:val="Heading3"/>
      </w:pPr>
      <w:bookmarkStart w:id="1052" w:name="_Toc574"/>
      <w:r>
        <w:t>استخراج تقویم قمر و زحل و عطارد (جدول) /  هیئت / فارسی</w:t>
      </w:r>
      <w:bookmarkEnd w:id="1052"/>
    </w:p>
    <w:p>
      <w:pPr>
        <w:pStyle w:val="BookText"/>
      </w:pPr>
      <w:r>
        <w:rPr>
          <w:rFonts w:ascii="Times New Roman" w:hAnsi="Times New Roman" w:eastAsia="Times New Roman" w:cs="Times New Roman"/>
          <w:lang w:val="en-US" w:bidi="en-US"/>
          <w:color w:val="111111"/>
          <w:sz w:val="28"/>
          <w:szCs w:val="28"/>
          <w:rtl/>
        </w:rPr>
        <w:t xml:space="preserve">(estexrāj-e taqvīm-e qamar va zohal va ‘otāred (jadval)</w:t>
      </w:r>
    </w:p>
    <w:p>
      <w:pPr>
        <w:pStyle w:val="BookText"/>
      </w:pPr>
      <w:r>
        <w:rPr>
          <w:rFonts w:ascii="IRNazanin" w:hAnsi="IRNazanin" w:eastAsia="IRNazanin" w:cs="IRNazanin"/>
          <w:lang w:bidi="fa-IR"/>
          <w:color w:val="111111"/>
          <w:sz w:val="28"/>
          <w:szCs w:val="28"/>
          <w:rtl/>
        </w:rPr>
        <w:t xml:space="preserve">جدول استخراج تقویم قمر و زحل و عطارد از زیج محمد شاهی.</w:t>
      </w:r>
    </w:p>
    <w:p>
      <w:pPr>
        <w:pStyle w:val="BookText"/>
      </w:pPr>
      <w:r>
        <w:rPr>
          <w:rFonts w:ascii="IRNazanin" w:hAnsi="IRNazanin" w:eastAsia="IRNazanin" w:cs="IRNazanin"/>
          <w:lang w:bidi="fa-IR"/>
          <w:color w:val="111111"/>
          <w:sz w:val="28"/>
          <w:szCs w:val="28"/>
          <w:rtl/>
        </w:rPr>
        <w:t xml:space="preserve">مشهد؛ الهیات؛ شماره نسخه: ۵۵۵/۸</w:t>
      </w:r>
    </w:p>
    <w:p>
      <w:pPr>
        <w:pStyle w:val="BookText"/>
      </w:pPr>
      <w:r>
        <w:rPr>
          <w:rFonts w:ascii="IRNazanin" w:hAnsi="IRNazanin" w:eastAsia="IRNazanin" w:cs="IRNazanin"/>
          <w:lang w:bidi="fa-IR"/>
          <w:color w:val="111111"/>
          <w:sz w:val="28"/>
          <w:szCs w:val="28"/>
          <w:rtl/>
        </w:rPr>
        <w:t xml:space="preserve">خط: نستعلیق، بی کا، تا: قرن ۱۳؛ جا: هندوستان؛ کاغذ: فرنگی، جلد: تیماج لایه ای ،عنابی، ۳گ، اندازه: 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۱ - ۵۱۴]</w:t>
      </w:r>
    </w:p>
    <w:p>
      <w:pPr>
        <w:pStyle w:val="Heading3"/>
      </w:pPr>
      <w:bookmarkStart w:id="1053" w:name="_Toc575"/>
      <w:r>
        <w:t>استخراج التقويم والتاريخ / هیئت / عربی</w:t>
      </w:r>
      <w:bookmarkEnd w:id="1053"/>
    </w:p>
    <w:p>
      <w:pPr>
        <w:pStyle w:val="BookText"/>
      </w:pPr>
      <w:r>
        <w:rPr>
          <w:rFonts w:ascii="Times New Roman" w:hAnsi="Times New Roman" w:eastAsia="Times New Roman" w:cs="Times New Roman"/>
          <w:lang w:val="en-US" w:bidi="en-US"/>
          <w:color w:val="111111"/>
          <w:sz w:val="28"/>
          <w:szCs w:val="28"/>
          <w:rtl/>
        </w:rPr>
        <w:t xml:space="preserve">istixrāj-ut taqwīm wa-t tārīx</w:t>
      </w:r>
    </w:p>
    <w:p>
      <w:pPr>
        <w:pStyle w:val="BookText"/>
      </w:pPr>
      <w:r>
        <w:rPr>
          <w:rFonts w:ascii="IRNazanin" w:hAnsi="IRNazanin" w:eastAsia="IRNazanin" w:cs="IRNazanin"/>
          <w:lang w:bidi="fa-IR"/>
          <w:color w:val="111111"/>
          <w:sz w:val="28"/>
          <w:szCs w:val="28"/>
          <w:rtl/>
        </w:rPr>
        <w:t xml:space="preserve">اهدا به محمد مؤمن بیگ</w:t>
      </w:r>
    </w:p>
    <w:p>
      <w:pPr>
        <w:pStyle w:val="BookText"/>
      </w:pPr>
      <w:r>
        <w:rPr>
          <w:rFonts w:ascii="IRNazanin" w:hAnsi="IRNazanin" w:eastAsia="IRNazanin" w:cs="IRNazanin"/>
          <w:lang w:bidi="fa-IR"/>
          <w:color w:val="111111"/>
          <w:sz w:val="28"/>
          <w:szCs w:val="28"/>
          <w:rtl/>
        </w:rPr>
        <w:t xml:space="preserve">از عبدالصمد .(؟) در دیباچه می گوید «در ۱۰۹۳ تقاویم کواکب فلك البروج و عروض و سموات و دیگر حالات رااستخراج و آن را به نام محمد مؤمن بیگ کردم و این تألیف اعتراض برخی از نادانان را برانگیخت و از جمله خرده ها که آن معترض بر من گرفت این بود که تقویم تواریخ قدیم را به راستی و درستی استخراج نکرده ام غافل از این که نجوم دانشی نیست که گزاف آن راه جوید و شخص بی اطلاع بتواند سخن گوید. اینک این رساله در خصوص تواریخ قدیمه نگاشتم و قاعده ای نهادم که در هر سال بتوان به آسانی مبدأ سال ها و ماه های قدیم که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61" w:name="pg20365_260242"/>
    <w:bookmarkEnd w:id="161"/>
    <w:p>
      <w:pPr>
        <w:pStyle w:val="BookText"/>
      </w:pPr>
      <w:r>
        <w:rPr>
          <w:rFonts w:ascii="IRNazanin" w:hAnsi="IRNazanin" w:eastAsia="IRNazanin" w:cs="IRNazanin"/>
          <w:lang w:bidi="fa-IR"/>
          <w:color w:val="111111"/>
          <w:sz w:val="28"/>
          <w:szCs w:val="28"/>
          <w:rtl/>
        </w:rPr>
        <w:t xml:space="preserve">بیشتر در احادیث اختیارات به حساب می آید تعیین کرد چـنان که اگر به سال ۱۰۹۲ بخواهیم از مدخل سال ۱۰۵۲ ناقصه قدیمه آگاه شویم». در عنوان رساله حاضر با قرمز چنین نوشته: «رساله ای است که یکی از منجمین ملوک فارس در باب تخطئه ای که به میرزا اشرف منجم سرکار خاصه در باب تاریخ قدیم  اسناد داده تألیف نموده».</w:t>
      </w:r>
    </w:p>
    <w:p>
      <w:pPr>
        <w:pStyle w:val="BookText"/>
      </w:pPr>
      <w:r>
        <w:rPr>
          <w:rFonts w:ascii="IRNazanin" w:hAnsi="IRNazanin" w:eastAsia="IRNazanin" w:cs="IRNazanin"/>
          <w:lang w:bidi="fa-IR"/>
          <w:color w:val="111111"/>
          <w:sz w:val="28"/>
          <w:szCs w:val="28"/>
          <w:rtl/>
        </w:rPr>
        <w:t xml:space="preserve">تهران؛ مجلس؛ شماره نسخه: ۱۱۱/۷-ط</w:t>
      </w:r>
    </w:p>
    <w:p>
      <w:pPr>
        <w:pStyle w:val="BookText"/>
      </w:pPr>
      <w:r>
        <w:rPr>
          <w:rFonts w:ascii="IRNazanin" w:hAnsi="IRNazanin" w:eastAsia="IRNazanin" w:cs="IRNazanin"/>
          <w:lang w:bidi="fa-IR"/>
          <w:color w:val="111111"/>
          <w:sz w:val="28"/>
          <w:szCs w:val="28"/>
          <w:rtl/>
        </w:rPr>
        <w:t xml:space="preserve">آغاز: الحمد لله المتفرد بالوجوب و القدم ... اما بعد فيقول الـعبد الاقل عبد الصمد لما استخرج فى سنة ۱۰۹۳ تقاويم فلك البروح و عروضها منه و ساير الاحوال المتعلقة بهما ... على وجه يقصر عن ادراک مرتبته ایادی المستخرجين و زینت عنوانه باسم...معز الحق ... ظل ظل الله ... حاج محمد مؤمن بيگا ... و كان هذا علی بعض الجهال ثقيلا؛ انجام: حتى يكون سببا لمعرفتها و باعثا للبصيرة على استخراجها و الله الموفق و المعين</w:t>
      </w:r>
    </w:p>
    <w:p>
      <w:pPr>
        <w:pStyle w:val="BookText"/>
      </w:pPr>
      <w:r>
        <w:rPr>
          <w:rFonts w:ascii="IRNazanin" w:hAnsi="IRNazanin" w:eastAsia="IRNazanin" w:cs="IRNazanin"/>
          <w:lang w:bidi="fa-IR"/>
          <w:color w:val="111111"/>
          <w:sz w:val="28"/>
          <w:szCs w:val="28"/>
          <w:rtl/>
        </w:rPr>
        <w:t xml:space="preserve">بی کا، بی تا؛ سپس یک برگ صفحه در «جدول حرکت ثوابت در سالها» است؛ کاغذ: فرنگی ،جلد: تیماج  قرمز، ۷گ (۴۱پ- 47)  ، قطع: رقعی،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۲۲ - ۲۷]</w:t>
      </w:r>
    </w:p>
    <w:p>
      <w:pPr>
        <w:pStyle w:val="Heading3"/>
      </w:pPr>
      <w:bookmarkStart w:id="1054" w:name="_Toc576"/>
      <w:r>
        <w:t>استخراج تقویم و تعدیل شمس / هیئت / فارسی</w:t>
      </w:r>
      <w:bookmarkEnd w:id="1054"/>
    </w:p>
    <w:p>
      <w:pPr>
        <w:pStyle w:val="BookText"/>
      </w:pPr>
      <w:r>
        <w:rPr>
          <w:rFonts w:ascii="Times New Roman" w:hAnsi="Times New Roman" w:eastAsia="Times New Roman" w:cs="Times New Roman"/>
          <w:lang w:val="en-US" w:bidi="en-US"/>
          <w:color w:val="111111"/>
          <w:sz w:val="28"/>
          <w:szCs w:val="28"/>
          <w:rtl/>
        </w:rPr>
        <w:t xml:space="preserve">exrāj-e taqvīm va ta'dīl-e šams</w:t>
      </w:r>
    </w:p>
    <w:p>
      <w:pPr>
        <w:pStyle w:val="BookText"/>
      </w:pPr>
      <w:r>
        <w:rPr>
          <w:rFonts w:ascii="IRNazanin" w:hAnsi="IRNazanin" w:eastAsia="IRNazanin" w:cs="IRNazanin"/>
          <w:lang w:bidi="fa-IR"/>
          <w:color w:val="111111"/>
          <w:sz w:val="28"/>
          <w:szCs w:val="28"/>
          <w:rtl/>
        </w:rPr>
        <w:t xml:space="preserve">تهران؛ مروی؛ شماره نسخه: ۸۷۷/۴</w:t>
      </w:r>
    </w:p>
    <w:p>
      <w:pPr>
        <w:pStyle w:val="BookText"/>
      </w:pPr>
      <w:r>
        <w:rPr>
          <w:rFonts w:ascii="IRNazanin" w:hAnsi="IRNazanin" w:eastAsia="IRNazanin" w:cs="IRNazanin"/>
          <w:lang w:bidi="fa-IR"/>
          <w:color w:val="111111"/>
          <w:sz w:val="28"/>
          <w:szCs w:val="28"/>
          <w:rtl/>
        </w:rPr>
        <w:t xml:space="preserve">بی کا، بی تا؛ ۱۰ص، قطع: رقعی [ف :۳۲۲]</w:t>
      </w:r>
    </w:p>
    <w:p>
      <w:pPr>
        <w:pStyle w:val="Heading3"/>
      </w:pPr>
      <w:bookmarkStart w:id="1055" w:name="_Toc577"/>
      <w:r>
        <w:t>استخراج تقویم یکساله شمسی (جدول) /تقويم /فارسی</w:t>
      </w:r>
      <w:bookmarkEnd w:id="1055"/>
    </w:p>
    <w:p>
      <w:pPr>
        <w:pStyle w:val="BookText"/>
      </w:pPr>
      <w:r>
        <w:rPr>
          <w:rFonts w:ascii="Times New Roman" w:hAnsi="Times New Roman" w:eastAsia="Times New Roman" w:cs="Times New Roman"/>
          <w:lang w:val="en-US" w:bidi="en-US"/>
          <w:color w:val="111111"/>
          <w:sz w:val="28"/>
          <w:szCs w:val="28"/>
          <w:rtl/>
        </w:rPr>
        <w:t xml:space="preserve">(0exrāj-e taqvim-e yek-sale-ye šamsī (jadval)</w:t>
      </w:r>
    </w:p>
    <w:p>
      <w:pPr>
        <w:pStyle w:val="BookText"/>
      </w:pPr>
      <w:r>
        <w:rPr>
          <w:rFonts w:ascii="IRNazanin" w:hAnsi="IRNazanin" w:eastAsia="IRNazanin" w:cs="IRNazanin"/>
          <w:lang w:bidi="fa-IR"/>
          <w:color w:val="111111"/>
          <w:sz w:val="28"/>
          <w:szCs w:val="28"/>
          <w:rtl/>
        </w:rPr>
        <w:t xml:space="preserve">تهران؛ دانشگاه؛ شماره نسخه: ۵۷۳۸/۱</w:t>
      </w:r>
    </w:p>
    <w:p>
      <w:pPr>
        <w:pStyle w:val="BookText"/>
      </w:pPr>
      <w:r>
        <w:rPr>
          <w:rFonts w:ascii="IRNazanin" w:hAnsi="IRNazanin" w:eastAsia="IRNazanin" w:cs="IRNazanin"/>
          <w:lang w:bidi="fa-IR"/>
          <w:color w:val="111111"/>
          <w:sz w:val="28"/>
          <w:szCs w:val="28"/>
          <w:rtl/>
        </w:rPr>
        <w:t xml:space="preserve">آغاز: بسمله حمد غایت و ثناء بی نهایت اول بی بدایت  و آخر بی نهایت را</w:t>
      </w:r>
    </w:p>
    <w:p>
      <w:pPr>
        <w:pStyle w:val="BookText"/>
      </w:pPr>
      <w:r>
        <w:rPr>
          <w:rFonts w:ascii="IRNazanin" w:hAnsi="IRNazanin" w:eastAsia="IRNazanin" w:cs="IRNazanin"/>
          <w:lang w:bidi="fa-IR"/>
          <w:color w:val="111111"/>
          <w:sz w:val="28"/>
          <w:szCs w:val="28"/>
          <w:rtl/>
        </w:rPr>
        <w:t xml:space="preserve">محمد باقر بن زین العابدین یزدی زنده در ۱۰۴۷ و استاد قاسم علی قاینی (استوری 2/ 89) و شیخ بهائی؛ خط: نستعلیق، بی کا، بی تا: گویا  اصل، در چهل و نه سطر طولی در سی سطر عرضی، پایان جدول است ،کاغذ:سپاهانی، جلد: تیماج تریاکی ضربی ،مقوایی ۱۸۷گ، ۷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اندازه: ۱۷</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۲۴سم [ف:۱۶  - 79]</w:t>
      </w:r>
    </w:p>
    <w:p>
      <w:pPr>
        <w:pStyle w:val="Heading3"/>
      </w:pPr>
      <w:bookmarkStart w:id="1056" w:name="_Toc578"/>
      <w:r>
        <w:t>استخراج تقویم یکساله شمسی (جدول) / تقویم/ فارسی</w:t>
      </w:r>
      <w:bookmarkEnd w:id="1056"/>
    </w:p>
    <w:p>
      <w:pPr>
        <w:pStyle w:val="BookText"/>
      </w:pPr>
      <w:r>
        <w:rPr>
          <w:rFonts w:ascii="Times New Roman" w:hAnsi="Times New Roman" w:eastAsia="Times New Roman" w:cs="Times New Roman"/>
          <w:lang w:val="en-US" w:bidi="en-US"/>
          <w:color w:val="111111"/>
          <w:sz w:val="28"/>
          <w:szCs w:val="28"/>
          <w:rtl/>
        </w:rPr>
        <w:t xml:space="preserve">(exrāj-e taqvim-e yek-sale-ye šamsī (jadval)</w:t>
      </w:r>
    </w:p>
    <w:p>
      <w:pPr>
        <w:pStyle w:val="BookText"/>
      </w:pPr>
      <w:r>
        <w:rPr>
          <w:rFonts w:ascii="IRNazanin" w:hAnsi="IRNazanin" w:eastAsia="IRNazanin" w:cs="IRNazanin"/>
          <w:lang w:bidi="fa-IR"/>
          <w:color w:val="111111"/>
          <w:sz w:val="28"/>
          <w:szCs w:val="28"/>
          <w:rtl/>
        </w:rPr>
        <w:t xml:space="preserve">تهران؛ دانشگاه؛ شماره نسخه: ۲۵۰۷/۱-ف</w:t>
      </w:r>
    </w:p>
    <w:p>
      <w:pPr>
        <w:pStyle w:val="BookText"/>
      </w:pPr>
      <w:r>
        <w:rPr>
          <w:rFonts w:ascii="IRNazanin" w:hAnsi="IRNazanin" w:eastAsia="IRNazanin" w:cs="IRNazanin"/>
          <w:lang w:bidi="fa-IR"/>
          <w:color w:val="111111"/>
          <w:sz w:val="28"/>
          <w:szCs w:val="28"/>
          <w:rtl/>
        </w:rPr>
        <w:t xml:space="preserve">نسخه اصل: کتابخانه علومیش ۴۴۶. دارای یک دیباچه و یـک جدول؛ بی کا، بی تا؛ دارای تاریخ ۹ جمادی الاول ۱۰۳۲ [فیلم ها-  ف: ۱ - ۷۰۶]</w:t>
      </w:r>
    </w:p>
    <w:p>
      <w:pPr>
        <w:pStyle w:val="Heading3"/>
      </w:pPr>
      <w:bookmarkStart w:id="1057" w:name="_Toc579"/>
      <w:r>
        <w:t>استخراج تناسب الاعداد الستة / رياضيات / عربي</w:t>
      </w:r>
      <w:bookmarkEnd w:id="1057"/>
    </w:p>
    <w:p>
      <w:pPr>
        <w:pStyle w:val="BookText"/>
      </w:pPr>
      <w:r>
        <w:rPr>
          <w:rFonts w:ascii="Times New Roman" w:hAnsi="Times New Roman" w:eastAsia="Times New Roman" w:cs="Times New Roman"/>
          <w:lang w:val="en-US" w:bidi="en-US"/>
          <w:color w:val="111111"/>
          <w:sz w:val="28"/>
          <w:szCs w:val="28"/>
          <w:rtl/>
        </w:rPr>
        <w:t xml:space="preserve">istixrāj-u tanāsub-il a'dad-is sitta</w:t>
      </w:r>
    </w:p>
    <w:p>
      <w:pPr>
        <w:pStyle w:val="BookText"/>
      </w:pPr>
      <w:r>
        <w:rPr>
          <w:rFonts w:ascii="IRNazanin" w:hAnsi="IRNazanin" w:eastAsia="IRNazanin" w:cs="IRNazanin"/>
          <w:lang w:bidi="fa-IR"/>
          <w:color w:val="111111"/>
          <w:sz w:val="28"/>
          <w:szCs w:val="28"/>
          <w:rtl/>
        </w:rPr>
        <w:t xml:space="preserve">اقلیدس، ۲۸۳ - ۳۰۶ قبل میلاد</w:t>
      </w:r>
    </w:p>
    <w:p>
      <w:pPr>
        <w:pStyle w:val="BookText"/>
      </w:pPr>
      <w:r>
        <w:rPr>
          <w:rFonts w:ascii="Times New Roman" w:hAnsi="Times New Roman" w:eastAsia="Times New Roman" w:cs="Times New Roman"/>
          <w:lang w:val="en-US" w:bidi="en-US"/>
          <w:color w:val="111111"/>
          <w:sz w:val="28"/>
          <w:szCs w:val="28"/>
          <w:rtl/>
        </w:rPr>
        <w:t xml:space="preserve">(oqlīdos (-283 - -306)</w:t>
      </w:r>
    </w:p>
    <w:p>
      <w:pPr>
        <w:pStyle w:val="BookText"/>
      </w:pPr>
      <w:r>
        <w:rPr>
          <w:rFonts w:ascii="IRNazanin" w:hAnsi="IRNazanin" w:eastAsia="IRNazanin" w:cs="IRNazanin"/>
          <w:lang w:bidi="fa-IR"/>
          <w:color w:val="111111"/>
          <w:sz w:val="28"/>
          <w:szCs w:val="28"/>
          <w:rtl/>
        </w:rPr>
        <w:t xml:space="preserve">تهران؛ دانشگاه؛ شماره نسخه: ۱۷۵۱/۴</w:t>
      </w:r>
    </w:p>
    <w:p>
      <w:pPr>
        <w:pStyle w:val="BookText"/>
      </w:pPr>
      <w:r>
        <w:rPr>
          <w:rFonts w:ascii="Amiri" w:hAnsi="Amiri" w:eastAsia="Amiri" w:cs="Amiri"/>
          <w:lang w:bidi="ar-SA"/>
          <w:color w:val="111111"/>
          <w:sz w:val="28"/>
          <w:szCs w:val="28"/>
          <w:rtl/>
        </w:rPr>
        <w:t xml:space="preserve">آغاز: رسالة في ذكر استخراج تناسب الاعداد الستة المحتاج اليهما فى كتاب المجسطى من اقليدس.... قال اقليدس في كد من و من كتابه في الاصول: السطوح المتوازية الاضلاع اذا كانت زوايا كل سطح منها مساوية لزوايا الآخر فان نسبة السطح منها الى السطح هي مؤلفة من نسبة اضلاعها؛ انجام: و هذا ما خذو وسيلة في التحليل و التركيب و بالله التوفيق (تمت بحمد الله و منه و صلواته على محمد و آله الطاهرين الطيبين).</w:t>
      </w:r>
    </w:p>
    <w:p>
      <w:pPr>
        <w:pStyle w:val="BookText"/>
      </w:pPr>
      <w:r>
        <w:rPr>
          <w:rFonts w:ascii="IRNazanin" w:hAnsi="IRNazanin" w:eastAsia="IRNazanin" w:cs="IRNazanin"/>
          <w:lang w:bidi="fa-IR"/>
          <w:color w:val="111111"/>
          <w:sz w:val="28"/>
          <w:szCs w:val="28"/>
          <w:rtl/>
        </w:rPr>
        <w:t xml:space="preserve">خط: نسخ، كا: محمد بن اباتراب ابن  احمد، تا: ۱۲۸۳ق؛ کاغذ ،فرنگی ،جلد: تیماج حنایی، ۲گ (64ر- 65ر)،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۸ - ۲۷۵]</w:t>
      </w:r>
    </w:p>
    <w:p>
      <w:pPr>
        <w:pStyle w:val="Heading3"/>
      </w:pPr>
      <w:bookmarkStart w:id="1058" w:name="_Toc580"/>
      <w:r>
        <w:t>استخراج جدول لگاریتم / ریاضیات / فارسی</w:t>
      </w:r>
      <w:bookmarkEnd w:id="1058"/>
    </w:p>
    <w:p>
      <w:pPr>
        <w:pStyle w:val="BookText"/>
      </w:pPr>
      <w:r>
        <w:rPr>
          <w:rFonts w:ascii="Times New Roman" w:hAnsi="Times New Roman" w:eastAsia="Times New Roman" w:cs="Times New Roman"/>
          <w:lang w:val="en-US" w:bidi="en-US"/>
          <w:color w:val="111111"/>
          <w:sz w:val="28"/>
          <w:szCs w:val="28"/>
          <w:rtl/>
        </w:rPr>
        <w:t xml:space="preserve">estexrāj-e jadval-e logārītm</w:t>
      </w:r>
    </w:p>
    <w:p>
      <w:pPr>
        <w:pStyle w:val="BookText"/>
      </w:pPr>
      <w:r>
        <w:rPr>
          <w:rFonts w:ascii="IRNazanin" w:hAnsi="IRNazanin" w:eastAsia="IRNazanin" w:cs="IRNazanin"/>
          <w:lang w:bidi="fa-IR"/>
          <w:color w:val="111111"/>
          <w:sz w:val="28"/>
          <w:szCs w:val="28"/>
          <w:rtl/>
        </w:rPr>
        <w:t xml:space="preserve">غیاث الدین جمشید  ثانی، ق ۱۲ قمری</w:t>
      </w:r>
    </w:p>
    <w:p>
      <w:pPr>
        <w:pStyle w:val="BookText"/>
      </w:pPr>
      <w:r>
        <w:rPr>
          <w:rFonts w:ascii="Times New Roman" w:hAnsi="Times New Roman" w:eastAsia="Times New Roman" w:cs="Times New Roman"/>
          <w:lang w:val="en-US" w:bidi="en-US"/>
          <w:color w:val="111111"/>
          <w:sz w:val="28"/>
          <w:szCs w:val="28"/>
          <w:rtl/>
        </w:rPr>
        <w:t xml:space="preserve">(qīyās-od-dīn jamšīd-e sānī (- 18c)</w:t>
      </w:r>
    </w:p>
    <w:p>
      <w:pPr>
        <w:pStyle w:val="BookText"/>
      </w:pPr>
      <w:r>
        <w:rPr>
          <w:rFonts w:ascii="IRNazanin" w:hAnsi="IRNazanin" w:eastAsia="IRNazanin" w:cs="IRNazanin"/>
          <w:lang w:bidi="fa-IR"/>
          <w:color w:val="111111"/>
          <w:sz w:val="28"/>
          <w:szCs w:val="28"/>
          <w:rtl/>
        </w:rPr>
        <w:t xml:space="preserve">نوشته شده از روی کبیسه محمد علی قائنی بیزجندی صاحب  «مشارق الاضواء».</w:t>
      </w:r>
    </w:p>
    <w:p>
      <w:pPr>
        <w:pStyle w:val="BookText"/>
      </w:pPr>
      <w:r>
        <w:rPr>
          <w:rFonts w:ascii="IRNazanin" w:hAnsi="IRNazanin" w:eastAsia="IRNazanin" w:cs="IRNazanin"/>
          <w:lang w:bidi="fa-IR"/>
          <w:color w:val="111111"/>
          <w:sz w:val="28"/>
          <w:szCs w:val="28"/>
          <w:rtl/>
        </w:rPr>
        <w:t xml:space="preserve">آغاز: در استخراج جدول لكارتيم جيب از این لوگارتیم بدانکه جدولی که تا حال شرح احوال او بود</w:t>
      </w:r>
    </w:p>
    <w:p>
      <w:pPr>
        <w:pStyle w:val="BookText"/>
      </w:pPr>
      <w:r>
        <w:rPr>
          <w:rFonts w:ascii="IRNazanin" w:hAnsi="IRNazanin" w:eastAsia="IRNazanin" w:cs="IRNazanin"/>
          <w:lang w:bidi="fa-IR"/>
          <w:color w:val="111111"/>
          <w:sz w:val="28"/>
          <w:szCs w:val="28"/>
          <w:rtl/>
        </w:rPr>
        <w:t xml:space="preserve">۱. تهران؛ ملک؛ شماره نسخه : ۶۰۱/۵</w:t>
      </w:r>
    </w:p>
    <w:p>
      <w:pPr>
        <w:pStyle w:val="BookText"/>
      </w:pPr>
      <w:r>
        <w:rPr>
          <w:rFonts w:ascii="IRNazanin" w:hAnsi="IRNazanin" w:eastAsia="IRNazanin" w:cs="IRNazanin"/>
          <w:lang w:bidi="fa-IR"/>
          <w:color w:val="111111"/>
          <w:sz w:val="28"/>
          <w:szCs w:val="28"/>
          <w:rtl/>
        </w:rPr>
        <w:t xml:space="preserve">آغاز: برابر؛ انجام: هزار هزار هزار نقصان میکنیم مابقی ظل قوس مفروض باشد تمت بالخير هذه الرسالة من جمله افادات سيدنا</w:t>
      </w:r>
    </w:p>
    <w:p>
      <w:pPr>
        <w:pStyle w:val="BookText"/>
      </w:pPr>
      <w:r>
        <w:rPr>
          <w:rFonts w:ascii="IRNazanin" w:hAnsi="IRNazanin" w:eastAsia="IRNazanin" w:cs="IRNazanin"/>
          <w:lang w:bidi="fa-IR"/>
          <w:color w:val="111111"/>
          <w:sz w:val="28"/>
          <w:szCs w:val="28"/>
          <w:rtl/>
        </w:rPr>
        <w:t xml:space="preserve">المعظم و استادنا الافخم الاكرم مولانا علی محمد دامت افضاله</w:t>
      </w:r>
    </w:p>
    <w:p>
      <w:pPr>
        <w:pStyle w:val="BookText"/>
      </w:pPr>
      <w:r>
        <w:rPr>
          <w:rFonts w:ascii="IRNazanin" w:hAnsi="IRNazanin" w:eastAsia="IRNazanin" w:cs="IRNazanin"/>
          <w:lang w:bidi="fa-IR"/>
          <w:color w:val="111111"/>
          <w:sz w:val="28"/>
          <w:szCs w:val="28"/>
          <w:rtl/>
        </w:rPr>
        <w:t xml:space="preserve">خط: نستعلیق، بی کا، تا: قرن ۱۱ و ۱۲؛ دارای اشکال هیوی و هندسی و ریاضی؛ کاغذ ،ترمه ،جلد: میشن لایی  مشکی، ۳ ص (۶۳-۶۱)، ۲۱ سطر، اندازه: ۱۳/۳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۱۷/۹سم [ف: ۵ - ۱۰۵]</w:t>
      </w:r>
    </w:p>
    <w:p>
      <w:pPr>
        <w:pStyle w:val="BookText"/>
      </w:pPr>
      <w:r>
        <w:rPr>
          <w:rFonts w:ascii="IRNazanin" w:hAnsi="IRNazanin" w:eastAsia="IRNazanin" w:cs="IRNazanin"/>
          <w:lang w:bidi="fa-IR"/>
          <w:color w:val="111111"/>
          <w:sz w:val="28"/>
          <w:szCs w:val="28"/>
          <w:rtl/>
        </w:rPr>
        <w:t xml:space="preserve">2.تهران؛ مجلس؛ شماره نسخه: ۲۷۳۶/۶</w:t>
      </w:r>
    </w:p>
    <w:p>
      <w:pPr>
        <w:pStyle w:val="BookText"/>
      </w:pPr>
      <w:r>
        <w:rPr>
          <w:rFonts w:ascii="IRNazanin" w:hAnsi="IRNazanin" w:eastAsia="IRNazanin" w:cs="IRNazanin"/>
          <w:lang w:bidi="fa-IR"/>
          <w:color w:val="111111"/>
          <w:sz w:val="28"/>
          <w:szCs w:val="28"/>
          <w:rtl/>
        </w:rPr>
        <w:t xml:space="preserve">آغاز: برابر ؛ انجام: نقصان میکنم مابقی قوس مفروض باشد تمت... من جمله افادات ... مولا نا محمد علی ... تمت هذه الرسالة على يد ... في رابع و عشرين شعبان المعظم .... تسعة و ثمانين وماتين بعد الف ... كتبتها من كتاب كبيسة استادى میرزا محمد علی القائنى البيرجندى .... و انا ... ابن الحاج مير عبدى محمد الموسوى الدزفولى.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62" w:name="pg20365_260243"/>
    <w:bookmarkEnd w:id="162"/>
    <w:p>
      <w:pPr>
        <w:pStyle w:val="BookText"/>
      </w:pPr>
      <w:r>
        <w:rPr>
          <w:rFonts w:ascii="IRNazanin" w:hAnsi="IRNazanin" w:eastAsia="IRNazanin" w:cs="IRNazanin"/>
          <w:lang w:bidi="fa-IR"/>
          <w:color w:val="111111"/>
          <w:sz w:val="28"/>
          <w:szCs w:val="28"/>
          <w:rtl/>
        </w:rPr>
        <w:t xml:space="preserve">نام مؤلف به استناد فهرستواره منزوی ۲۵۹۶/۴ تعیین گردید؛ خـط: نستعليق، كا: عبد الحسين فرزند حاج میر عبدی محمد دزفولی، ۱۲۸۶ق؛ کاغذ: شکری  رنگ ،جلد: مقوایی ۱۱ ص( 157- 167)، ۱۵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۹ - ۷۹]</w:t>
      </w:r>
    </w:p>
    <w:p>
      <w:pPr>
        <w:pStyle w:val="BookText"/>
      </w:pPr>
      <w:r>
        <w:rPr>
          <w:rFonts w:ascii="IRNazanin" w:hAnsi="IRNazanin" w:eastAsia="IRNazanin" w:cs="IRNazanin"/>
          <w:lang w:bidi="fa-IR"/>
          <w:color w:val="111111"/>
          <w:sz w:val="28"/>
          <w:szCs w:val="28"/>
          <w:rtl/>
        </w:rPr>
        <w:t xml:space="preserve">«استخراج جدول لوگاریتم » لوگاریتم</w:t>
      </w:r>
    </w:p>
    <w:p>
      <w:pPr>
        <w:pStyle w:val="Heading3"/>
      </w:pPr>
      <w:bookmarkStart w:id="1059" w:name="_Toc581"/>
      <w:r>
        <w:t>استخراج جواب سؤال ها از جدول جفر جامع = استخراج ما في الضمير = استخراج ضمیر / علوم غریبه / فارسی</w:t>
      </w:r>
      <w:bookmarkEnd w:id="1059"/>
    </w:p>
    <w:p>
      <w:pPr>
        <w:pStyle w:val="BookText"/>
      </w:pPr>
      <w:r>
        <w:rPr>
          <w:rFonts w:ascii="Times New Roman" w:hAnsi="Times New Roman" w:eastAsia="Times New Roman" w:cs="Times New Roman"/>
          <w:lang w:val="en-US" w:bidi="en-US"/>
          <w:color w:val="111111"/>
          <w:sz w:val="28"/>
          <w:szCs w:val="28"/>
          <w:rtl/>
        </w:rPr>
        <w:t xml:space="preserve">exrāj-e javāb-e so'al-ha az jadval-e jafr-e jāme exrāj-e mā fi-z zamīr = estexrāj-e zamīr</w:t>
      </w:r>
    </w:p>
    <w:p>
      <w:pPr>
        <w:pStyle w:val="BookText"/>
      </w:pPr>
      <w:r>
        <w:rPr>
          <w:rFonts w:ascii="IRNazanin" w:hAnsi="IRNazanin" w:eastAsia="IRNazanin" w:cs="IRNazanin"/>
          <w:lang w:bidi="fa-IR"/>
          <w:color w:val="111111"/>
          <w:sz w:val="28"/>
          <w:szCs w:val="28"/>
          <w:rtl/>
        </w:rPr>
        <w:t xml:space="preserve">رساله ای مختصر ولی کامل است در چگونگی استخراج جواب سؤال ها از جفر جامع. رساله حاضر جدولی جفری هم درادامه دارد که کلاً یک صفحه را شامل است.</w:t>
      </w:r>
    </w:p>
    <w:p>
      <w:pPr>
        <w:pStyle w:val="BookText"/>
      </w:pPr>
      <w:r>
        <w:rPr>
          <w:rFonts w:ascii="IRNazanin" w:hAnsi="IRNazanin" w:eastAsia="IRNazanin" w:cs="IRNazanin"/>
          <w:lang w:bidi="fa-IR"/>
          <w:color w:val="111111"/>
          <w:sz w:val="28"/>
          <w:szCs w:val="28"/>
          <w:rtl/>
        </w:rPr>
        <w:t xml:space="preserve">تهران؛ مجلس؛ شماره نسخه: ۸۰۷۵/۳</w:t>
      </w:r>
    </w:p>
    <w:p>
      <w:pPr>
        <w:pStyle w:val="BookText"/>
      </w:pPr>
      <w:r>
        <w:rPr>
          <w:rFonts w:ascii="IRNazanin" w:hAnsi="IRNazanin" w:eastAsia="IRNazanin" w:cs="IRNazanin"/>
          <w:lang w:bidi="fa-IR"/>
          <w:color w:val="111111"/>
          <w:sz w:val="28"/>
          <w:szCs w:val="28"/>
          <w:rtl/>
        </w:rPr>
        <w:t xml:space="preserve">آغاز: بسمله و به ثقتی - بدانکه در اصل مسائلی چند است که استخراج ما فى الضمیر می کند. بدان وفقك الله تعالی که اصـل این کتاب وضع کرده شده است از برای بیان این علم بطریق اجمال و تفصیلش این است که هر گاه اراده داشته باشد استخراج جواب سوالی را در هر فعلی که باشد پس بگیر جدول چهار در هفت را که وضع کرده شده است از برای آن حرفی که منسوب بمنزل سؤال است که منازل قمر است؛ انجام: و از آنجا حروف مستحصله حاصل کند بطریقی که ذکر خواهد شد و صورت جدول این است [جدول]</w:t>
      </w:r>
    </w:p>
    <w:p>
      <w:pPr>
        <w:pStyle w:val="BookText"/>
      </w:pPr>
      <w:r>
        <w:rPr>
          <w:rFonts w:ascii="IRNazanin" w:hAnsi="IRNazanin" w:eastAsia="IRNazanin" w:cs="IRNazanin"/>
          <w:lang w:bidi="fa-IR"/>
          <w:color w:val="111111"/>
          <w:sz w:val="28"/>
          <w:szCs w:val="28"/>
          <w:rtl/>
        </w:rPr>
        <w:t xml:space="preserve">خط: نستعلیق  تحریری، کا: علی بن زین الدین بن محمد بن حسن بن شهيد الثانى (نوه مولف)، تا: ۱۰۸۷ق؛ خط: بسیار نونویس و جديد؛ جلد: مقوایی با روکش تیماج قهوه ای  مجدول، ۱گ (۱۸۱پ) ،اندازه: ۱۱/۳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۱۷/۹سم [ف: ۲۷/۱ – ۱۳۱]</w:t>
      </w:r>
    </w:p>
    <w:p>
      <w:pPr>
        <w:pStyle w:val="Heading3"/>
      </w:pPr>
      <w:bookmarkStart w:id="1060" w:name="_Toc582"/>
      <w:r>
        <w:t>استخراج جواهر المعادن الفضة والذهب / كيميا  / عربی</w:t>
      </w:r>
      <w:bookmarkEnd w:id="1060"/>
    </w:p>
    <w:p>
      <w:pPr>
        <w:pStyle w:val="BookText"/>
      </w:pPr>
      <w:r>
        <w:rPr>
          <w:rFonts w:ascii="Times New Roman" w:hAnsi="Times New Roman" w:eastAsia="Times New Roman" w:cs="Times New Roman"/>
          <w:lang w:val="en-US" w:bidi="en-US"/>
          <w:color w:val="111111"/>
          <w:sz w:val="28"/>
          <w:szCs w:val="28"/>
          <w:rtl/>
        </w:rPr>
        <w:t xml:space="preserve">istixrāj-u jawāhir-il ma‘ādin-il fiḍḍa wa-ḏ ḏahab</w:t>
      </w:r>
    </w:p>
    <w:p>
      <w:pPr>
        <w:pStyle w:val="BookText"/>
      </w:pPr>
      <w:r>
        <w:rPr>
          <w:rFonts w:ascii="Amiri" w:hAnsi="Amiri" w:eastAsia="Amiri" w:cs="Amiri"/>
          <w:lang w:bidi="ar-SA"/>
          <w:color w:val="111111"/>
          <w:sz w:val="28"/>
          <w:szCs w:val="28"/>
          <w:rtl/>
        </w:rPr>
        <w:t xml:space="preserve">تهران؛ دائرة المعارف؛ شماره نسخه: ۱۳۶/۳</w:t>
      </w:r>
    </w:p>
    <w:p>
      <w:pPr>
        <w:pStyle w:val="BookText"/>
      </w:pPr>
      <w:r>
        <w:rPr>
          <w:rFonts w:ascii="Amiri" w:hAnsi="Amiri" w:eastAsia="Amiri" w:cs="Amiri"/>
          <w:lang w:bidi="ar-SA"/>
          <w:color w:val="111111"/>
          <w:sz w:val="28"/>
          <w:szCs w:val="28"/>
          <w:rtl/>
        </w:rPr>
        <w:t xml:space="preserve">آغاز: بسمله حمدله، صلات. اما  بعد، فانه بيان فى استخراج جواهر المعادن الفضة والذهب و انواعها كثير. اعلم ايها الطالب الجليل الشأن؛ انجام: و هذا افضل من كل التنكار عند الحكماء... تمت</w:t>
      </w:r>
    </w:p>
    <w:p>
      <w:pPr>
        <w:pStyle w:val="BookText"/>
      </w:pPr>
      <w:r>
        <w:rPr>
          <w:rFonts w:ascii="IRNazanin" w:hAnsi="IRNazanin" w:eastAsia="IRNazanin" w:cs="IRNazanin"/>
          <w:lang w:bidi="fa-IR"/>
          <w:color w:val="111111"/>
          <w:sz w:val="28"/>
          <w:szCs w:val="28"/>
          <w:rtl/>
        </w:rPr>
        <w:t xml:space="preserve">از ناشناس، در دو سر بند «حجر الفضة »و «فى بيان الذهب» و سربندهای کوچک تر «نوع آخر» ؛خط: نسخ  تحریری، بی کا،تا: سده های ۱۲ - ۱۳؛ ۵گ (۱۰۵ پ- ۱۰۹ر) [ف: ۱-۱۷]</w:t>
      </w:r>
    </w:p>
    <w:p>
      <w:pPr>
        <w:pStyle w:val="Heading3"/>
      </w:pPr>
      <w:bookmarkStart w:id="1061" w:name="_Toc583"/>
      <w:r>
        <w:t>استخراج جيب = استخراج جيب واحدة باعمال المؤسسة على قواعد الهندسية و الحسابية / رياضيات / عربي</w:t>
      </w:r>
      <w:bookmarkEnd w:id="1061"/>
    </w:p>
    <w:p>
      <w:pPr>
        <w:pStyle w:val="BookText"/>
      </w:pPr>
      <w:r>
        <w:rPr>
          <w:rFonts w:ascii="Times New Roman" w:hAnsi="Times New Roman" w:eastAsia="Times New Roman" w:cs="Times New Roman"/>
          <w:lang w:val="en-US" w:bidi="en-US"/>
          <w:color w:val="111111"/>
          <w:sz w:val="28"/>
          <w:szCs w:val="28"/>
          <w:rtl/>
        </w:rPr>
        <w:t xml:space="preserve">istixrāj-u jayb = istixrāj-u jayb-in wāḥida bi-a‘māl-il</w:t>
      </w:r>
    </w:p>
    <w:p>
      <w:pPr>
        <w:pStyle w:val="BookText"/>
      </w:pPr>
      <w:r>
        <w:rPr>
          <w:rFonts w:ascii="Times New Roman" w:hAnsi="Times New Roman" w:eastAsia="Times New Roman" w:cs="Times New Roman"/>
          <w:lang w:val="en-US" w:bidi="en-US"/>
          <w:color w:val="111111"/>
          <w:sz w:val="28"/>
          <w:szCs w:val="28"/>
          <w:rtl/>
        </w:rPr>
        <w:t xml:space="preserve">mu'assisa ‘alā qawa'id-il hindisīya wa-a ḥisābīya</w:t>
      </w:r>
    </w:p>
    <w:p>
      <w:pPr>
        <w:pStyle w:val="BookText"/>
      </w:pPr>
      <w:r>
        <w:rPr>
          <w:rFonts w:ascii="IRNazanin" w:hAnsi="IRNazanin" w:eastAsia="IRNazanin" w:cs="IRNazanin"/>
          <w:lang w:bidi="fa-IR"/>
          <w:color w:val="111111"/>
          <w:sz w:val="28"/>
          <w:szCs w:val="28"/>
          <w:rtl/>
        </w:rPr>
        <w:t xml:space="preserve">قاضی زاده  رومی، موسی بن محمود - ۸۱۵ قمری</w:t>
      </w:r>
    </w:p>
    <w:p>
      <w:pPr>
        <w:pStyle w:val="BookText"/>
      </w:pPr>
      <w:r>
        <w:rPr>
          <w:rFonts w:ascii="Times New Roman" w:hAnsi="Times New Roman" w:eastAsia="Times New Roman" w:cs="Times New Roman"/>
          <w:lang w:val="en-US" w:bidi="en-US"/>
          <w:color w:val="111111"/>
          <w:sz w:val="28"/>
          <w:szCs w:val="28"/>
          <w:rtl/>
        </w:rPr>
        <w:t xml:space="preserve">(qāzī-zāde rūmī, mūsā ebn-e mahmud (- 1413)</w:t>
      </w:r>
    </w:p>
    <w:p>
      <w:pPr>
        <w:pStyle w:val="BookText"/>
      </w:pPr>
      <w:r>
        <w:rPr>
          <w:rFonts w:ascii="IRNazanin" w:hAnsi="IRNazanin" w:eastAsia="IRNazanin" w:cs="IRNazanin"/>
          <w:lang w:bidi="fa-IR"/>
          <w:color w:val="111111"/>
          <w:sz w:val="28"/>
          <w:szCs w:val="28"/>
          <w:rtl/>
        </w:rPr>
        <w:t xml:space="preserve">در شرح و تحریر و تکمیل رساله «جیب درجه واحده غياث الدین جمشید (م-۸۳۲) است که بنا بر نوشته قاضی زاده در  دیباجه، این رساله از الهامات غیاث الدین جمشید بود و چون از شدت ایجاز از حد الغاز گذشته بود به توضیح و تحریر نیاز  داشت. غیاث الدین جمشید در دیباچه «مفتاح الحساب» نام این رساله را در جمله تألیفات خود یاد می کند ودر حاشیه نسخه چاپی (صفحه ۳ مفتاح الحساب چاپ تهران) چنین آمده است: «غیاث الدین جمشید رساله ای در استخراج جیب درجه واحده تا تاسعه در نهایت دقت نگاشته اما آن را بر اثر کوتاهی عمر به پایان نرسانید. قاضی زاده آن را تکمیل و شرح کرد». ابوالقاسم قربانی مؤلف «کاشانی نامه» این نظر را رد کرده و در اثبات آن که او رساله خود را به پایان برد دلائلی اقامه نموده است.</w:t>
      </w:r>
    </w:p>
    <w:p>
      <w:pPr>
        <w:pStyle w:val="BookText"/>
      </w:pPr>
      <w:r>
        <w:rPr>
          <w:rFonts w:ascii="IRNazanin" w:hAnsi="IRNazanin" w:eastAsia="IRNazanin" w:cs="IRNazanin"/>
          <w:lang w:bidi="fa-IR"/>
          <w:color w:val="111111"/>
          <w:sz w:val="28"/>
          <w:szCs w:val="28"/>
          <w:rtl/>
        </w:rPr>
        <w:t xml:space="preserve">آغاز: بسمله احمده علی جزیل انعامه و جمیل اکرامه... و بعد فهذه رسالة في استخراج جيب درجه واحده باعمال مؤسسه على قواعد هندسیه و حسابيه قد الهم بها الاخ الاعز ... غياثا جمشيد و المبرزون في الصناعه ..مع تكثر العدد و توفر العدد ... لم يحرموا حول تحقيقه ... حتى اقل بعضهم ليس الى معرفة وتر ثلث القوس ... طريق لكن لما كان في كلامه ايجاز... وجب على من طريق الاخوه ان ابسط ما ذكره و اکشف ما ستره</w:t>
      </w:r>
    </w:p>
    <w:p>
      <w:pPr>
        <w:pStyle w:val="BookText"/>
      </w:pPr>
      <w:r>
        <w:rPr>
          <w:rFonts w:ascii="IRNazanin" w:hAnsi="IRNazanin" w:eastAsia="IRNazanin" w:cs="IRNazanin"/>
          <w:lang w:bidi="fa-IR"/>
          <w:color w:val="111111"/>
          <w:sz w:val="28"/>
          <w:szCs w:val="28"/>
          <w:rtl/>
        </w:rPr>
        <w:t xml:space="preserve">انجام: و ننقص الحاصل من ثلثة امثاله فالباقى هو الجيب المطلوب و لنختم الكلام ههنا حامدون لولى الحمد و مصلين  على نبی العهد و وصیه و آلهما ائمه الهداه لامته</w:t>
      </w:r>
    </w:p>
    <w:p>
      <w:pPr>
        <w:pStyle w:val="BookText"/>
      </w:pPr>
      <w:r>
        <w:rPr>
          <w:rFonts w:ascii="IRNazanin" w:hAnsi="IRNazanin" w:eastAsia="IRNazanin" w:cs="IRNazanin"/>
          <w:lang w:bidi="fa-IR"/>
          <w:color w:val="111111"/>
          <w:sz w:val="28"/>
          <w:szCs w:val="28"/>
          <w:rtl/>
        </w:rPr>
        <w:t xml:space="preserve">چاپ: همراه رساله «سلم السماء»، چاپ سنگی</w:t>
      </w:r>
    </w:p>
    <w:p>
      <w:pPr>
        <w:pStyle w:val="BookText"/>
      </w:pPr>
      <w:r>
        <w:rPr>
          <w:rFonts w:ascii="IRNazanin" w:hAnsi="IRNazanin" w:eastAsia="IRNazanin" w:cs="IRNazanin"/>
          <w:lang w:bidi="fa-IR"/>
          <w:color w:val="111111"/>
          <w:sz w:val="28"/>
          <w:szCs w:val="28"/>
          <w:rtl/>
        </w:rPr>
        <w:t xml:space="preserve">[کاشانی نامه ۲۰۰]</w:t>
      </w:r>
    </w:p>
    <w:p>
      <w:pPr>
        <w:pStyle w:val="BookText"/>
      </w:pPr>
      <w:r>
        <w:rPr>
          <w:rFonts w:ascii="IRNazanin" w:hAnsi="IRNazanin" w:eastAsia="IRNazanin" w:cs="IRNazanin"/>
          <w:lang w:bidi="fa-IR"/>
          <w:color w:val="111111"/>
          <w:sz w:val="28"/>
          <w:szCs w:val="28"/>
          <w:rtl/>
        </w:rPr>
        <w:t xml:space="preserve">۱. تهران؛ ملک؛ شماره نسخه: ۳۱۸۰/۱۱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۸۳۶ق، جا: سمرقند، کاغذ: ترمه، جلد:میشن یشمی  نو ،۲۳ 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۶ - ۲۶۴]</w:t>
      </w:r>
    </w:p>
    <w:p>
      <w:pPr>
        <w:pStyle w:val="BookText"/>
      </w:pPr>
      <w:r>
        <w:rPr>
          <w:rFonts w:ascii="IRNazanin" w:hAnsi="IRNazanin" w:eastAsia="IRNazanin" w:cs="IRNazanin"/>
          <w:lang w:bidi="fa-IR"/>
          <w:color w:val="111111"/>
          <w:sz w:val="28"/>
          <w:szCs w:val="28"/>
          <w:rtl/>
        </w:rPr>
        <w:t xml:space="preserve">۲ . مشهد؛ رضوی؛ شماره نسخه: ۱۲۲۳۵/۶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و شکسته، کا: محمد علی قائنی، تا: ۱۹ شوال ۱۲۶۳ق؛ پس از آن مسئله ای هندسی در باب پنج ضلعی است در ۶ سطر و</w:t>
      </w:r>
    </w:p>
    <w:p>
      <w:pPr>
        <w:pStyle w:val="BookText"/>
      </w:pPr>
      <w:r>
        <w:rPr>
          <w:rFonts w:ascii="IRNazanin" w:hAnsi="IRNazanin" w:eastAsia="IRNazanin" w:cs="IRNazanin"/>
          <w:lang w:bidi="fa-IR"/>
          <w:color w:val="111111"/>
          <w:sz w:val="28"/>
          <w:szCs w:val="28"/>
          <w:rtl/>
        </w:rPr>
        <w:t xml:space="preserve">دو شکل به زبان عربی به امضاء سید محمد علی قائنی که خوشبختانه از حک و دستبرد محفوظ مانده و چنین آغاز می شود .«كل مخمس فى دائره مربع نصف قطرها خمس مربع»؛ كاغذ: حنائی آهار مهره؛ جلد: تیماج  مشکی ،اندازه: ۱۴/۲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۲۰/۵۲سم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63" w:name="pg20365_260244"/>
    <w:bookmarkEnd w:id="163"/>
    <w:p>
      <w:pPr>
        <w:pStyle w:val="BookText"/>
      </w:pPr>
      <w:r>
        <w:rPr>
          <w:rFonts w:ascii="IRNazanin" w:hAnsi="IRNazanin" w:eastAsia="IRNazanin" w:cs="IRNazanin"/>
          <w:lang w:bidi="fa-IR"/>
          <w:color w:val="111111"/>
          <w:sz w:val="28"/>
          <w:szCs w:val="28"/>
          <w:rtl/>
        </w:rPr>
        <w:t xml:space="preserve">[ف: ۱۰-۱۱۹]</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ملی؛ شماره نسخه: ۶۹۸۴</w:t>
      </w:r>
    </w:p>
    <w:p>
      <w:pPr>
        <w:pStyle w:val="BookText"/>
      </w:pPr>
      <w:r>
        <w:rPr>
          <w:rFonts w:ascii="IRNazanin" w:hAnsi="IRNazanin" w:eastAsia="IRNazanin" w:cs="IRNazanin"/>
          <w:lang w:bidi="fa-IR"/>
          <w:color w:val="111111"/>
          <w:sz w:val="28"/>
          <w:szCs w:val="28"/>
          <w:rtl/>
        </w:rPr>
        <w:t xml:space="preserve">آغاز برابر؛ انجام: و وضع کلامن مفردات فضله على المكعب الاول تحت جنسه وضمها الىالباقى فصار ... ثم قسم المجمـوع  فخرج تنها نیمه اول کتاب را دارد؛ خط: نستعلیق متوسط، کا: محمد  ابن علیمردان، تا: ۱۲۷۷ق؛ افتادگی: انجام؛ خریداری از مشیری؛ کاغذ: فرنگی  نخودی، جلد: مقوایی، ساده  فستقی، ۴گ (۴۳پ- ۴۶پ)، ۱۷ 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[رایانه]</w:t>
      </w:r>
    </w:p>
    <w:p>
      <w:pPr>
        <w:pStyle w:val="BookText"/>
      </w:pPr>
      <w:r>
        <w:rPr>
          <w:rFonts w:ascii="IRNazanin" w:hAnsi="IRNazanin" w:eastAsia="IRNazanin" w:cs="IRNazanin"/>
          <w:lang w:bidi="fa-IR"/>
          <w:color w:val="111111"/>
          <w:sz w:val="28"/>
          <w:szCs w:val="28"/>
          <w:rtl/>
        </w:rPr>
        <w:t xml:space="preserve">۴. تهران؛ ملک؛ شماره نسخه: ۳۵۳۶/۱</w:t>
      </w:r>
    </w:p>
    <w:p>
      <w:pPr>
        <w:pStyle w:val="BookText"/>
      </w:pPr>
      <w:r>
        <w:rPr>
          <w:rFonts w:ascii="IRNazanin" w:hAnsi="IRNazanin" w:eastAsia="IRNazanin" w:cs="IRNazanin"/>
          <w:lang w:bidi="fa-IR"/>
          <w:color w:val="111111"/>
          <w:sz w:val="28"/>
          <w:szCs w:val="28"/>
          <w:rtl/>
        </w:rPr>
        <w:t xml:space="preserve">خط: نسخ، بی کا، تا: ۱۲۹۱ق؛ کاغذ: ترمه، جلد: میشن سیاه، 21سطر،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۲۳/۶سم [ف: ۶ - ۴۷۶]</w:t>
      </w:r>
    </w:p>
    <w:p>
      <w:pPr>
        <w:pStyle w:val="BookText"/>
      </w:pPr>
      <w:r>
        <w:rPr>
          <w:rFonts w:ascii="IRNazanin" w:hAnsi="IRNazanin" w:eastAsia="IRNazanin" w:cs="IRNazanin"/>
          <w:lang w:bidi="fa-IR"/>
          <w:color w:val="111111"/>
          <w:sz w:val="28"/>
          <w:szCs w:val="28"/>
          <w:rtl/>
        </w:rPr>
        <w:t xml:space="preserve">۵. تهران؛ مجلس؛ شماره نسخه: ۷۹۱/۱-ط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نسخ،کا:مسیح کمره ای، تا: ۱۲۹۴ق؛ کاغذ: فرنگی آهار مهره  شکری رنگ ،جلد: تیماج مشکی یک لا، ۹ص (۱-۹)،</w:t>
      </w:r>
    </w:p>
    <w:p>
      <w:pPr>
        <w:pStyle w:val="BookText"/>
      </w:pPr>
      <w:r>
        <w:rPr>
          <w:rFonts w:ascii="IRNazanin" w:hAnsi="IRNazanin" w:eastAsia="IRNazanin" w:cs="IRNazanin"/>
          <w:lang w:bidi="fa-IR"/>
          <w:color w:val="111111"/>
          <w:sz w:val="28"/>
          <w:szCs w:val="28"/>
          <w:rtl/>
        </w:rPr>
        <w:t xml:space="preserve">18سطر، قطع: وزیری  کوچک، اندازه: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:23- 91]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مشهد؛ رضوی؛ شماره نسخه: ۱۲۲۲۵/۴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اسدالله منجم دو دانگه مازندرانی، تا: ۱۳۰۶ق، جا:تهران؛ كاغذ: نخودی فرنگی، جلد: تیماج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w:t>
      </w:r>
    </w:p>
    <w:p>
      <w:pPr>
        <w:pStyle w:val="BookText"/>
      </w:pPr>
      <w:r>
        <w:rPr>
          <w:rFonts w:ascii="IRNazanin" w:hAnsi="IRNazanin" w:eastAsia="IRNazanin" w:cs="IRNazanin"/>
          <w:lang w:bidi="fa-IR"/>
          <w:color w:val="111111"/>
          <w:sz w:val="28"/>
          <w:szCs w:val="28"/>
          <w:rtl/>
        </w:rPr>
        <w:t xml:space="preserve">[ف ۱۰ - ۱۱۱]</w:t>
      </w:r>
    </w:p>
    <w:p>
      <w:pPr>
        <w:pStyle w:val="BookText"/>
      </w:pPr>
      <w:r>
        <w:rPr>
          <w:rFonts w:ascii="IRNazanin" w:hAnsi="IRNazanin" w:eastAsia="IRNazanin" w:cs="IRNazanin"/>
          <w:lang w:bidi="fa-IR"/>
          <w:color w:val="111111"/>
          <w:sz w:val="28"/>
          <w:szCs w:val="28"/>
          <w:rtl/>
        </w:rPr>
        <w:t xml:space="preserve">۷. تهران؛ مجلس؛ شماره نسخه: ۱۵۱۹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کتاب در فهرست به نام رساله و بدون نام مؤلف آمده که به قرینه آغاز و انجام نسخه تصحیح شد؛ بی کا: بی تا؛ پس از ختم آن یـک مسئله جبری و چند تعلیم ریاضی درباره حساب شطرنج از کتـاب الاثار الباقيه تأليف ابوریحان بیرونی، در سه صفحه نقل شـده  است. [ف ۴ - ۲۳۳]</w:t>
      </w:r>
    </w:p>
    <w:p>
      <w:pPr>
        <w:pStyle w:val="BookText"/>
      </w:pPr>
      <w:r>
        <w:rPr>
          <w:rFonts w:ascii="IRNazanin" w:hAnsi="IRNazanin" w:eastAsia="IRNazanin" w:cs="IRNazanin"/>
          <w:lang w:bidi="fa-IR"/>
          <w:color w:val="111111"/>
          <w:sz w:val="28"/>
          <w:szCs w:val="28"/>
          <w:rtl/>
        </w:rPr>
        <w:t xml:space="preserve">8.قم؛ فیضیه؛ شماره نسخه: ۱۱۶۳/۱</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بی کا، بی تا: با دو واسطه از روی نسخه قاضی زاده رومی؛ ۶ ص (۱-۶) [ف: ۳ - ۶۲]</w:t>
      </w:r>
    </w:p>
    <w:p>
      <w:pPr>
        <w:pStyle w:val="BookText"/>
      </w:pPr>
      <w:r>
        <w:rPr>
          <w:rFonts w:ascii="Amiri" w:hAnsi="Amiri" w:eastAsia="Amiri" w:cs="Amiri"/>
          <w:lang w:bidi="ar-SA"/>
          <w:color w:val="111111"/>
          <w:sz w:val="28"/>
          <w:szCs w:val="28"/>
          <w:rtl/>
        </w:rPr>
        <w:t xml:space="preserve">«استخراج جيب واحدة باعمال مؤسسة على قواعد هندسية  و حسابية»&gt; استخراج جيب</w:t>
      </w:r>
    </w:p>
    <w:p>
      <w:pPr>
        <w:pStyle w:val="Heading3"/>
      </w:pPr>
      <w:bookmarkStart w:id="1062" w:name="_Toc584"/>
      <w:r>
        <w:t>استخراج حرکات سيارات / هیئت / فارسی</w:t>
      </w:r>
      <w:bookmarkEnd w:id="1062"/>
    </w:p>
    <w:p>
      <w:pPr>
        <w:pStyle w:val="BookText"/>
      </w:pPr>
      <w:r>
        <w:rPr>
          <w:rFonts w:ascii="Times New Roman" w:hAnsi="Times New Roman" w:eastAsia="Times New Roman" w:cs="Times New Roman"/>
          <w:lang w:val="en-US" w:bidi="en-US"/>
          <w:color w:val="111111"/>
          <w:sz w:val="28"/>
          <w:szCs w:val="28"/>
          <w:rtl/>
        </w:rPr>
        <w:t xml:space="preserve">estexrāj-e harakāt-e sayyārāt</w:t>
      </w:r>
    </w:p>
    <w:p>
      <w:pPr>
        <w:pStyle w:val="BookText"/>
      </w:pPr>
      <w:r>
        <w:rPr>
          <w:rFonts w:ascii="IRNazanin" w:hAnsi="IRNazanin" w:eastAsia="IRNazanin" w:cs="IRNazanin"/>
          <w:lang w:bidi="fa-IR"/>
          <w:color w:val="111111"/>
          <w:sz w:val="28"/>
          <w:szCs w:val="28"/>
          <w:rtl/>
        </w:rPr>
        <w:t xml:space="preserve">منجم باشی عبدالوهاب، - ۱۲۸۹ قمرى</w:t>
      </w:r>
    </w:p>
    <w:p>
      <w:pPr>
        <w:pStyle w:val="BookText"/>
      </w:pPr>
      <w:r>
        <w:rPr>
          <w:rFonts w:ascii="Times New Roman" w:hAnsi="Times New Roman" w:eastAsia="Times New Roman" w:cs="Times New Roman"/>
          <w:lang w:val="en-US" w:bidi="en-US"/>
          <w:color w:val="111111"/>
          <w:sz w:val="28"/>
          <w:szCs w:val="28"/>
          <w:rtl/>
        </w:rPr>
        <w:t xml:space="preserve">(monajjem-bāšī, ‘abd-ol-vahhāb (- 1872)</w:t>
      </w:r>
    </w:p>
    <w:p>
      <w:pPr>
        <w:pStyle w:val="BookText"/>
      </w:pPr>
      <w:r>
        <w:rPr>
          <w:rFonts w:ascii="IRNazanin" w:hAnsi="IRNazanin" w:eastAsia="IRNazanin" w:cs="IRNazanin"/>
          <w:lang w:bidi="fa-IR"/>
          <w:color w:val="111111"/>
          <w:sz w:val="28"/>
          <w:szCs w:val="28"/>
          <w:rtl/>
        </w:rPr>
        <w:t xml:space="preserve">در پاریس به سال ۱۲۸۹ق آن را استخراج کرده است. کتاب دارای یک دیباچه سه صفحه ای است و باقی کتاب جدول هـای  نجومی می باشد.</w:t>
      </w:r>
    </w:p>
    <w:p>
      <w:pPr>
        <w:pStyle w:val="BookText"/>
      </w:pPr>
      <w:r>
        <w:rPr>
          <w:rFonts w:ascii="IRNazanin" w:hAnsi="IRNazanin" w:eastAsia="IRNazanin" w:cs="IRNazanin"/>
          <w:lang w:bidi="fa-IR"/>
          <w:color w:val="111111"/>
          <w:sz w:val="28"/>
          <w:szCs w:val="28"/>
          <w:rtl/>
        </w:rPr>
        <w:t xml:space="preserve">تهران؛ سپهسالار؛ شماره نسخه: ۶۱۹</w:t>
      </w:r>
    </w:p>
    <w:p>
      <w:pPr>
        <w:pStyle w:val="BookText"/>
      </w:pPr>
      <w:r>
        <w:rPr>
          <w:rFonts w:ascii="IRNazanin" w:hAnsi="IRNazanin" w:eastAsia="IRNazanin" w:cs="IRNazanin"/>
          <w:lang w:bidi="fa-IR"/>
          <w:color w:val="111111"/>
          <w:sz w:val="28"/>
          <w:szCs w:val="28"/>
          <w:rtl/>
        </w:rPr>
        <w:t xml:space="preserve">آغاز: اگر چه در ایام قدیم منجمین و حکمای یونان و ایران کمال دقت و مواظبت را در علم نجوم کرده اند</w:t>
      </w:r>
    </w:p>
    <w:p>
      <w:pPr>
        <w:pStyle w:val="BookText"/>
      </w:pPr>
      <w:r>
        <w:rPr>
          <w:rFonts w:ascii="IRNazanin" w:hAnsi="IRNazanin" w:eastAsia="IRNazanin" w:cs="IRNazanin"/>
          <w:lang w:bidi="fa-IR"/>
          <w:color w:val="111111"/>
          <w:sz w:val="28"/>
          <w:szCs w:val="28"/>
          <w:rtl/>
        </w:rPr>
        <w:t xml:space="preserve">خط: نستعلیق، بی  کا، تا: در زمان مؤلف؛ تملك: اعتضاد السلطنه در ۱۲۷۱ق؛ واقف: سپهسالار ۱۲۹۸ق؛ کاغذ: فرنگی سفید، جلد: مقوا، ۳۰گ، ۳۴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۳ - ۱۲۰]</w:t>
      </w:r>
    </w:p>
    <w:p>
      <w:pPr>
        <w:pStyle w:val="Heading3"/>
      </w:pPr>
      <w:bookmarkStart w:id="1063" w:name="_Toc585"/>
      <w:r>
        <w:t>استخراج خط نصف النهار / هیئت / عربي</w:t>
      </w:r>
      <w:bookmarkEnd w:id="1063"/>
    </w:p>
    <w:p>
      <w:pPr>
        <w:pStyle w:val="BookText"/>
      </w:pPr>
      <w:r>
        <w:rPr>
          <w:rFonts w:ascii="Times New Roman" w:hAnsi="Times New Roman" w:eastAsia="Times New Roman" w:cs="Times New Roman"/>
          <w:lang w:val="en-US" w:bidi="en-US"/>
          <w:color w:val="111111"/>
          <w:sz w:val="28"/>
          <w:szCs w:val="28"/>
          <w:rtl/>
        </w:rPr>
        <w:t xml:space="preserve">istixraj-u xatt-i nisf-un-nahar</w:t>
      </w:r>
    </w:p>
    <w:p>
      <w:pPr>
        <w:pStyle w:val="BookText"/>
      </w:pPr>
      <w:r>
        <w:rPr>
          <w:rFonts w:ascii="IRNazanin" w:hAnsi="IRNazanin" w:eastAsia="IRNazanin" w:cs="IRNazanin"/>
          <w:lang w:bidi="fa-IR"/>
          <w:color w:val="111111"/>
          <w:sz w:val="28"/>
          <w:szCs w:val="28"/>
          <w:rtl/>
        </w:rPr>
        <w:t xml:space="preserve">ابن هيثم، حسن بن حسن، ۳۵۴ – ۴۳۰ قمری</w:t>
      </w:r>
    </w:p>
    <w:p>
      <w:pPr>
        <w:pStyle w:val="BookText"/>
      </w:pPr>
      <w:r>
        <w:rPr>
          <w:rFonts w:ascii="Times New Roman" w:hAnsi="Times New Roman" w:eastAsia="Times New Roman" w:cs="Times New Roman"/>
          <w:lang w:val="en-US" w:bidi="en-US"/>
          <w:color w:val="111111"/>
          <w:sz w:val="28"/>
          <w:szCs w:val="28"/>
          <w:rtl/>
        </w:rPr>
        <w:t xml:space="preserve">(ebn-e heysam, hasan ebn-e hasan (966 - 1039)</w:t>
      </w:r>
    </w:p>
    <w:p>
      <w:pPr>
        <w:pStyle w:val="BookText"/>
      </w:pPr>
      <w:r>
        <w:rPr>
          <w:rFonts w:ascii="IRNazanin" w:hAnsi="IRNazanin" w:eastAsia="IRNazanin" w:cs="IRNazanin"/>
          <w:lang w:bidi="fa-IR"/>
          <w:color w:val="111111"/>
          <w:sz w:val="28"/>
          <w:szCs w:val="28"/>
          <w:rtl/>
        </w:rPr>
        <w:t xml:space="preserve">تهران؛ ملک؛ شماره نسخه: ۳۰۸۶/۴</w:t>
      </w:r>
    </w:p>
    <w:p>
      <w:pPr>
        <w:pStyle w:val="BookText"/>
      </w:pPr>
      <w:r>
        <w:rPr>
          <w:rFonts w:ascii="Amiri" w:hAnsi="Amiri" w:eastAsia="Amiri" w:cs="Amiri"/>
          <w:lang w:bidi="ar-SA"/>
          <w:color w:val="111111"/>
          <w:sz w:val="28"/>
          <w:szCs w:val="28"/>
          <w:rtl/>
        </w:rPr>
        <w:t xml:space="preserve">آغاز: بسمله استخراج خط نصف النهار بظل واحد لشيخ ابو على الحسن بن الحسن الهيثم: اذا ماردت ان تستخرج خط نصف النهار في سطح الافق بظل واحد؛ انجام: هو خط نصف النهار المطلوب و ذلك ما اردنا ان نبين تم استخرج استخرج خط... و محبيهما و شيعتها</w:t>
      </w:r>
    </w:p>
    <w:p>
      <w:pPr>
        <w:pStyle w:val="BookText"/>
      </w:pPr>
      <w:r>
        <w:rPr>
          <w:rFonts w:ascii="IRNazanin" w:hAnsi="IRNazanin" w:eastAsia="IRNazanin" w:cs="IRNazanin"/>
          <w:lang w:bidi="fa-IR"/>
          <w:color w:val="111111"/>
          <w:sz w:val="28"/>
          <w:szCs w:val="28"/>
          <w:rtl/>
        </w:rPr>
        <w:t xml:space="preserve">اجمعين الطيبين الطاهرين (سپس شکلی هندسی آمده)</w:t>
      </w:r>
    </w:p>
    <w:p>
      <w:pPr>
        <w:pStyle w:val="BookText"/>
      </w:pPr>
      <w:r>
        <w:rPr>
          <w:rFonts w:ascii="IRNazanin" w:hAnsi="IRNazanin" w:eastAsia="IRNazanin" w:cs="IRNazanin"/>
          <w:lang w:bidi="fa-IR"/>
          <w:color w:val="111111"/>
          <w:sz w:val="28"/>
          <w:szCs w:val="28"/>
          <w:rtl/>
        </w:rPr>
        <w:t xml:space="preserve">خط: شکسته نستعلیق، بی کا، بی تا :کاغذ: فرنگی آهار مهره، جلد: میشن لایی پازهری، ۴گ (۵۸پ-۶۱ پ)، ۱۶ 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۶ - ۲۰۷]</w:t>
      </w:r>
    </w:p>
    <w:p>
      <w:pPr>
        <w:pStyle w:val="Heading3"/>
      </w:pPr>
      <w:bookmarkStart w:id="1064" w:name="_Toc586"/>
      <w:r>
        <w:t>استخراج خط نصف النهار و معرفت سمت قبله= تحفه حاتمیه = قبله آفاق / هیئت / فارسی</w:t>
      </w:r>
      <w:bookmarkEnd w:id="1064"/>
    </w:p>
    <w:p>
      <w:pPr>
        <w:pStyle w:val="BookText"/>
      </w:pPr>
      <w:r>
        <w:rPr>
          <w:rFonts w:ascii="Times New Roman" w:hAnsi="Times New Roman" w:eastAsia="Times New Roman" w:cs="Times New Roman"/>
          <w:lang w:val="en-US" w:bidi="en-US"/>
          <w:color w:val="111111"/>
          <w:sz w:val="28"/>
          <w:szCs w:val="28"/>
          <w:rtl/>
        </w:rPr>
        <w:t xml:space="preserve">estexrāj-e xatt-e nesf-on-nahār va ma'refat-e samt-e qeble = tohfe-ye hatamiye = qeble-ye afaq</w:t>
      </w:r>
    </w:p>
    <w:p>
      <w:pPr>
        <w:pStyle w:val="BookText"/>
      </w:pPr>
      <w:r>
        <w:rPr>
          <w:rFonts w:ascii="IRNazanin" w:hAnsi="IRNazanin" w:eastAsia="IRNazanin" w:cs="IRNazanin"/>
          <w:lang w:bidi="fa-IR"/>
          <w:color w:val="111111"/>
          <w:sz w:val="28"/>
          <w:szCs w:val="28"/>
          <w:rtl/>
        </w:rPr>
        <w:t xml:space="preserve">گنابادی، مظفر بن محمد قاسم، ۹۷۰؟ - ۱۰۳۱ ؟ قمری</w:t>
      </w:r>
    </w:p>
    <w:p>
      <w:pPr>
        <w:pStyle w:val="BookText"/>
      </w:pPr>
      <w:r>
        <w:rPr>
          <w:rFonts w:ascii="Times New Roman" w:hAnsi="Times New Roman" w:eastAsia="Times New Roman" w:cs="Times New Roman"/>
          <w:lang w:val="en-US" w:bidi="en-US"/>
          <w:color w:val="111111"/>
          <w:sz w:val="28"/>
          <w:szCs w:val="28"/>
          <w:rtl/>
        </w:rPr>
        <w:t xml:space="preserve">(1622-gonābādī, mozaffar ebn-e mohammad qāsem (1563 -</w:t>
      </w:r>
    </w:p>
    <w:p>
      <w:pPr>
        <w:pStyle w:val="BookText"/>
      </w:pPr>
      <w:r>
        <w:rPr>
          <w:rFonts w:ascii="IRNazanin" w:hAnsi="IRNazanin" w:eastAsia="IRNazanin" w:cs="IRNazanin"/>
          <w:lang w:bidi="fa-IR"/>
          <w:color w:val="111111"/>
          <w:sz w:val="28"/>
          <w:szCs w:val="28"/>
          <w:rtl/>
        </w:rPr>
        <w:t xml:space="preserve">اهدا به: خواجه ناصر الدوله والدين حاتم بیگ صافی اردوبادی  (-۱۰۱۹ق)</w:t>
      </w:r>
    </w:p>
    <w:p>
      <w:pPr>
        <w:pStyle w:val="BookText"/>
      </w:pPr>
      <w:r>
        <w:rPr>
          <w:rFonts w:ascii="IRNazanin" w:hAnsi="IRNazanin" w:eastAsia="IRNazanin" w:cs="IRNazanin"/>
          <w:lang w:bidi="fa-IR"/>
          <w:color w:val="111111"/>
          <w:sz w:val="28"/>
          <w:szCs w:val="28"/>
          <w:rtl/>
        </w:rPr>
        <w:t xml:space="preserve">رساله ای در معرفت سمت قبله  است. از مؤلف شرح باب ملاعبدالعلی بیرجندی و چند کتاب دیگر را در احکام و نجوم در دست داریم. مشتمل بر «مقدمه» و پنج «باب»: مقدمه در دو :قسم بیان آنچه متعلق به علم هندسه و علم هیئت است؛ باب ۱. استخراج خط نصف النهار ؛ ۲. استخراج سمت قبله به طریق دائره هندیه؛3. معرفت سمت قبله به طریق اخراج عمود؛ ۴. استخراج سمت قبله با استعانت آلات قياس؛ ۵. استخراج سمت قبله به طریق حسابی که در زیجات مسطور است.</w:t>
      </w:r>
    </w:p>
    <w:p>
      <w:pPr>
        <w:pStyle w:val="BookText"/>
      </w:pPr>
      <w:r>
        <w:rPr>
          <w:rFonts w:ascii="IRNazanin" w:hAnsi="IRNazanin" w:eastAsia="IRNazanin" w:cs="IRNazanin"/>
          <w:lang w:bidi="fa-IR"/>
          <w:color w:val="111111"/>
          <w:sz w:val="28"/>
          <w:szCs w:val="28"/>
          <w:rtl/>
        </w:rPr>
        <w:t xml:space="preserve">آغاز: بسمله افتتاح کلام در هر مقام و اختتام مقال در همه حال حمد و ثنای قادری سزد که کعبه جلالش از قصور و فتور معری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اما بعد این رساله ای است در استخراج خط نصف النهار وسمت قبله مشتمل بر مقدمه و پنج باب تحفه مجلس شريف... اعتماد الدوله العليه الخاقانيه... خواجه ناصر الدوله والدين... امید است که احقر یعنی مظفررا معذور فرمایند.</w:t>
      </w:r>
    </w:p>
    <w:p>
      <w:pPr>
        <w:pStyle w:val="BookText"/>
      </w:pPr>
      <w:r>
        <w:rPr>
          <w:rFonts w:ascii="IRNazanin" w:hAnsi="IRNazanin" w:eastAsia="IRNazanin" w:cs="IRNazanin"/>
          <w:lang w:bidi="fa-IR"/>
          <w:color w:val="111111"/>
          <w:sz w:val="28"/>
          <w:szCs w:val="28"/>
          <w:rtl/>
        </w:rPr>
        <w:t xml:space="preserve">انجام: و فراسخ ارضیه در جدول ثبت کردیم و بر آن ختم نمودیم. و الله الهادى على سواء الطريق و الموصل الى مقام التحقيق. و السلام.</w:t>
      </w:r>
    </w:p>
    <w:p>
      <w:pPr>
        <w:pStyle w:val="BookText"/>
      </w:pPr>
      <w:r>
        <w:rPr>
          <w:rFonts w:ascii="IRNazanin" w:hAnsi="IRNazanin" w:eastAsia="IRNazanin" w:cs="IRNazanin"/>
          <w:lang w:bidi="fa-IR"/>
          <w:color w:val="111111"/>
          <w:sz w:val="28"/>
          <w:szCs w:val="28"/>
          <w:rtl/>
        </w:rPr>
        <w:t xml:space="preserve">[ نسخه های منزوی ۲۵۲/۱؛ الذريعة ،۲۱/۱ ، ۲۱/۲، ۴/۱۶، ۴۲/۱۷؛ ریحانة الأدب  5/ 116؛ استوری ستاره شناسی ۸۸/۲ مشترک پاکستان 1/ 251؛ فهرستواره منزوی ۲۸۴۲/۴  ]</w:t>
      </w:r>
    </w:p>
    <w:p>
      <w:pPr>
        <w:pStyle w:val="BookText"/>
      </w:pPr>
      <w:r>
        <w:rPr>
          <w:rFonts w:ascii="IRNazanin" w:hAnsi="IRNazanin" w:eastAsia="IRNazanin" w:cs="IRNazanin"/>
          <w:lang w:bidi="fa-IR"/>
          <w:color w:val="111111"/>
          <w:sz w:val="28"/>
          <w:szCs w:val="28"/>
          <w:rtl/>
        </w:rPr>
        <w:t xml:space="preserve">۱. تهران؛ مجلس؛ شماره نسخه: ۶۳۲۴/۹</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تنها مقدمه رساله است؛ بی کا، تا: قرن ۱۱؛ کاغذ ،اصفهانی، جـلد: گالینکور قهوه ای عطف حاشیه تیماج، ۵ص(۶۶-۷۰)، قـطع: رحلی،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۲۹سم [ف ۱۹ - ۳۲۸]</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مجلس؛ شماره نسخه: ۳۲۷/۱</w:t>
      </w:r>
    </w:p>
    <w:p>
      <w:pPr>
        <w:pStyle w:val="BookText"/>
      </w:pPr>
      <w:r>
        <w:rPr>
          <w:rFonts w:ascii="IRNazanin" w:hAnsi="IRNazanin" w:eastAsia="IRNazanin" w:cs="IRNazanin"/>
          <w:lang w:bidi="fa-IR"/>
          <w:color w:val="111111"/>
          <w:sz w:val="28"/>
          <w:szCs w:val="28"/>
          <w:rtl/>
        </w:rPr>
        <w:t xml:space="preserve">خط: نسخ و نستعلیق، بی کا، تا: ۱ رجب ۱۰۲۸ق؛ محشى، سرلوح و حاشیه سازی و طلاکاری؛ کاغذ: سفید، جلد: تیماج سبز ضربی مقوایی زرکوب با ترنج و نیم ترنج گرد و درون تیماج سرخ، ۵۷ ص (۱-۵۷)، ۱۲ سطر ،(۵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[سـنا- ف: ۱ - ۱۶۶]</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قم؛ گلپایگانی؛ شماره نسخه: ۹۷۱/۲-۶/۶۱</w:t>
      </w:r>
    </w:p>
    <w:p>
      <w:pPr>
        <w:pStyle w:val="BookText"/>
      </w:pPr>
      <w:r>
        <w:rPr>
          <w:rFonts w:ascii="IRNazanin" w:hAnsi="IRNazanin" w:eastAsia="IRNazanin" w:cs="IRNazanin"/>
          <w:lang w:bidi="fa-IR"/>
          <w:color w:val="111111"/>
          <w:sz w:val="28"/>
          <w:szCs w:val="28"/>
          <w:rtl/>
        </w:rPr>
        <w:t xml:space="preserve">آغاز: برابر؛ انجام: سمت قبله معلوم نتوان کرد و ما ارتفاع سـمت قبله قصبه جنابذ را به حسب مواضع استخراج کرده و در دل ثـبت کردیم تا بالات قیاس در آن قصبه طیبه مطلوب در هر وقت حاص نتوان کرد.</w:t>
      </w:r>
    </w:p>
    <w:p>
      <w:pPr>
        <w:pStyle w:val="BookText"/>
      </w:pPr>
      <w:r>
        <w:rPr>
          <w:rFonts w:ascii="IRNazanin" w:hAnsi="IRNazanin" w:eastAsia="IRNazanin" w:cs="IRNazanin"/>
          <w:lang w:bidi="fa-IR"/>
          <w:color w:val="111111"/>
          <w:sz w:val="28"/>
          <w:szCs w:val="28"/>
          <w:rtl/>
        </w:rPr>
        <w:t xml:space="preserve">خط: نستعلیق، بی کا، تا: ١٠٩٣ق؛ ۱۲گ، ۱۶ 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۲ - ۷۹۵]</w:t>
      </w:r>
    </w:p>
    <w:p>
      <w:pPr>
        <w:pStyle w:val="BookText"/>
      </w:pPr>
      <w:r>
        <w:rPr>
          <w:rFonts w:ascii="IRNazanin" w:hAnsi="IRNazanin" w:eastAsia="IRNazanin" w:cs="IRNazanin"/>
          <w:lang w:bidi="fa-IR"/>
          <w:color w:val="111111"/>
          <w:sz w:val="28"/>
          <w:szCs w:val="28"/>
          <w:rtl/>
        </w:rPr>
        <w:t xml:space="preserve">۴. تهران؛ الهیات؛ شماره نسخه: ۱۴۹/۲</w:t>
      </w:r>
    </w:p>
    <w:p>
      <w:pPr>
        <w:pStyle w:val="BookText"/>
      </w:pPr>
      <w:r>
        <w:rPr>
          <w:rFonts w:ascii="IRNazanin" w:hAnsi="IRNazanin" w:eastAsia="IRNazanin" w:cs="IRNazanin"/>
          <w:lang w:bidi="fa-IR"/>
          <w:color w:val="111111"/>
          <w:sz w:val="28"/>
          <w:szCs w:val="28"/>
          <w:rtl/>
        </w:rPr>
        <w:t xml:space="preserve">خط: نستعلیق، بی کا، تا: قرن ۱۲؛ کاغذ ،فرنگی ،جلد: تیماج قهوه ای زرکوب  ضربی، ۱۷گ (۱۶۰پ-۱۷۶پ)، ۱۹ و ۲۰ سـطر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۱۶۲]</w:t>
      </w:r>
    </w:p>
    <w:p>
      <w:pPr>
        <w:pStyle w:val="BookText"/>
      </w:pPr>
      <w:r>
        <w:rPr>
          <w:rFonts w:ascii="IRNazanin" w:hAnsi="IRNazanin" w:eastAsia="IRNazanin" w:cs="IRNazanin"/>
          <w:lang w:bidi="fa-IR"/>
          <w:color w:val="111111"/>
          <w:sz w:val="28"/>
          <w:szCs w:val="28"/>
          <w:rtl/>
        </w:rPr>
        <w:t xml:space="preserve">۵. قم؛ فیضیه؛ شماره نسخه: ۱۲۲۳/۳</w:t>
      </w:r>
    </w:p>
    <w:p>
      <w:pPr>
        <w:pStyle w:val="BookText"/>
      </w:pPr>
      <w:r>
        <w:rPr>
          <w:rFonts w:ascii="IRNazanin" w:hAnsi="IRNazanin" w:eastAsia="IRNazanin" w:cs="IRNazanin"/>
          <w:lang w:bidi="fa-IR"/>
          <w:color w:val="111111"/>
          <w:sz w:val="28"/>
          <w:szCs w:val="28"/>
          <w:rtl/>
        </w:rPr>
        <w:t xml:space="preserve">خط: نسخ، بی کا، تا: قرن ۱۲؛ ۱۹گ (۲۵-۴۳)،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  [ف: ۳ - ۷۱]</w:t>
      </w:r>
    </w:p>
    <w:p>
      <w:pPr>
        <w:pStyle w:val="BookText"/>
      </w:pPr>
      <w:r>
        <w:rPr>
          <w:rFonts w:ascii="IRNazanin" w:hAnsi="IRNazanin" w:eastAsia="IRNazanin" w:cs="IRNazanin"/>
          <w:lang w:bidi="fa-IR"/>
          <w:color w:val="111111"/>
          <w:sz w:val="28"/>
          <w:szCs w:val="28"/>
          <w:rtl/>
        </w:rPr>
        <w:t xml:space="preserve">۶. تهران؛ عبدالعظیم؛ شماره نسخه: ۶۹۳/۲</w:t>
      </w:r>
    </w:p>
    <w:p>
      <w:pPr>
        <w:pStyle w:val="BookText"/>
      </w:pPr>
      <w:r>
        <w:rPr>
          <w:rFonts w:ascii="IRNazanin" w:hAnsi="IRNazanin" w:eastAsia="IRNazanin" w:cs="IRNazanin"/>
          <w:lang w:bidi="fa-IR"/>
          <w:color w:val="111111"/>
          <w:sz w:val="28"/>
          <w:szCs w:val="28"/>
          <w:rtl/>
        </w:rPr>
        <w:t xml:space="preserve">آغاز: برابر؛ انجام: از دایره هند به سمت قبله بیرون آوردن آسـان باشد و جدول اینست.</w:t>
      </w:r>
    </w:p>
    <w:p>
      <w:pPr>
        <w:pStyle w:val="BookText"/>
      </w:pPr>
      <w:r>
        <w:rPr>
          <w:rFonts w:ascii="IRNazanin" w:hAnsi="IRNazanin" w:eastAsia="IRNazanin" w:cs="IRNazanin"/>
          <w:lang w:bidi="fa-IR"/>
          <w:color w:val="111111"/>
          <w:sz w:val="28"/>
          <w:szCs w:val="28"/>
          <w:rtl/>
        </w:rPr>
        <w:t xml:space="preserve">خط: نسخ، بی کا، تا: قرن ۱۳؛ افتادگی: انجام؛ ۳۱گ، ۱۴ سـطر،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۱۷/۵سم [ف: ۱ - ۱۰۲]</w:t>
      </w:r>
    </w:p>
    <w:p>
      <w:pPr>
        <w:pStyle w:val="BookText"/>
      </w:pPr>
      <w:r>
        <w:rPr>
          <w:rFonts w:ascii="IRNazanin" w:hAnsi="IRNazanin" w:eastAsia="IRNazanin" w:cs="IRNazanin"/>
          <w:lang w:bidi="fa-IR"/>
          <w:color w:val="111111"/>
          <w:sz w:val="28"/>
          <w:szCs w:val="28"/>
          <w:rtl/>
        </w:rPr>
        <w:t xml:space="preserve">۷. مشهد؛ نواب؛ شماره نسخه: ۲۰۰/۳</w:t>
      </w:r>
    </w:p>
    <w:p>
      <w:pPr>
        <w:pStyle w:val="BookText"/>
      </w:pPr>
      <w:r>
        <w:rPr>
          <w:rFonts w:ascii="IRNazanin" w:hAnsi="IRNazanin" w:eastAsia="IRNazanin" w:cs="IRNazanin"/>
          <w:lang w:bidi="fa-IR"/>
          <w:color w:val="111111"/>
          <w:sz w:val="28"/>
          <w:szCs w:val="28"/>
          <w:rtl/>
        </w:rPr>
        <w:t xml:space="preserve">آغاز: برابر؛ انجام: از جانبی که اقرب از آن نباشد مسافت باشد میان این دو بلد و ظاهر است که این مسافت.  خط: نستعلیق، کا: محمد بن حاج محمد علی سبزواری، تا: قرن ۱۳؛ تملك: نصرة الملک امیر تیمور با مهر او؛ جلد: تیماج لایه ای  زرد، ۱۲ سطر (7</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۱۸۳]</w:t>
      </w:r>
    </w:p>
    <w:p>
      <w:pPr>
        <w:pStyle w:val="BookText"/>
      </w:pPr>
      <w:r>
        <w:rPr>
          <w:rFonts w:ascii="IRNazanin" w:hAnsi="IRNazanin" w:eastAsia="IRNazanin" w:cs="IRNazanin"/>
          <w:lang w:bidi="fa-IR"/>
          <w:color w:val="111111"/>
          <w:sz w:val="28"/>
          <w:szCs w:val="28"/>
          <w:rtl/>
        </w:rPr>
        <w:t xml:space="preserve">۸ .تهران؛ دائرة المعارف؛ شماره نسخه: ۱۷۴۹/۲- عکسی</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خوش، بی کا، تا: قرن ۱۳؛ با شکل ها و جدولها؛ ۱۵سطر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 [ف: ۱- ۶۴]</w:t>
      </w:r>
    </w:p>
    <w:p>
      <w:pPr>
        <w:pStyle w:val="BookText"/>
      </w:pPr>
      <w:r>
        <w:rPr>
          <w:rFonts w:ascii="IRNazanin" w:hAnsi="IRNazanin" w:eastAsia="IRNazanin" w:cs="IRNazanin"/>
          <w:lang w:bidi="fa-IR"/>
          <w:color w:val="111111"/>
          <w:sz w:val="28"/>
          <w:szCs w:val="28"/>
          <w:rtl/>
        </w:rPr>
        <w:t xml:space="preserve">۹. مشهد؛ رضوی؛ شماره نسخه: ۶۱۰۹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۱۲۰۰ق [الفبائی: ۴۵]</w:t>
      </w:r>
    </w:p>
    <w:p>
      <w:pPr>
        <w:pStyle w:val="BookText"/>
      </w:pPr>
      <w:r>
        <w:rPr>
          <w:rFonts w:ascii="IRNazanin" w:hAnsi="IRNazanin" w:eastAsia="IRNazanin" w:cs="IRNazanin"/>
          <w:lang w:bidi="fa-IR"/>
          <w:color w:val="111111"/>
          <w:sz w:val="28"/>
          <w:szCs w:val="28"/>
          <w:rtl/>
        </w:rPr>
        <w:t xml:space="preserve">۱۰ . مشهد؛ رضوی؛ شماره نسخه: ۵۵۳۹/۲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تحریری، بی کا، تا: قرن ۱۳؛ دارای اشکال و جداول؛ کاغذ: فستقی آهار مهره ،جلد: پارچه ای ۲۸ ص (۶-۳۳)، اندازه:</w:t>
      </w:r>
    </w:p>
    <w:p>
      <w:pPr>
        <w:pStyle w:val="BookText"/>
      </w:pPr>
      <w:r>
        <w:rPr>
          <w:rFonts w:ascii="IRNazanin" w:hAnsi="IRNazanin" w:eastAsia="IRNazanin" w:cs="IRNazanin"/>
          <w:lang w:bidi="fa-IR"/>
          <w:color w:val="111111"/>
          <w:sz w:val="28"/>
          <w:szCs w:val="28"/>
          <w:rtl/>
        </w:rPr>
        <w:t xml:space="preserve">۱۶/۶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۲۲/۸سم [ف: ۸ - ۳۰۵]</w:t>
      </w:r>
    </w:p>
    <w:p>
      <w:pPr>
        <w:pStyle w:val="BookText"/>
      </w:pPr>
      <w:r>
        <w:rPr>
          <w:rFonts w:ascii="IRNazanin" w:hAnsi="IRNazanin" w:eastAsia="IRNazanin" w:cs="IRNazanin"/>
          <w:lang w:bidi="fa-IR"/>
          <w:color w:val="111111"/>
          <w:sz w:val="28"/>
          <w:szCs w:val="28"/>
          <w:rtl/>
        </w:rPr>
        <w:t xml:space="preserve">۱۱. مشهد؛ رضوی؛ شماره نسخه: ۱۴۴۴۰/۱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۱۷ جمادی الثانی ۱۲۰۷ق؛ محشی؛ کاغذ:  شکری  فرنگی ،جلد: تیماج خرمایی ضربی، ۱۸ سطر[ف:۱۸-۱۵۱]</w:t>
      </w:r>
    </w:p>
    <w:p>
      <w:pPr>
        <w:pStyle w:val="BookText"/>
      </w:pPr>
      <w:r>
        <w:rPr>
          <w:rFonts w:ascii="IRNazanin" w:hAnsi="IRNazanin" w:eastAsia="IRNazanin" w:cs="IRNazanin"/>
          <w:lang w:bidi="fa-IR"/>
          <w:color w:val="111111"/>
          <w:sz w:val="28"/>
          <w:szCs w:val="28"/>
          <w:rtl/>
        </w:rPr>
        <w:t xml:space="preserve">۱۲. مشهد؛ گوهرشاد؛ شماره نسخه: ۱۷۵۰/۱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جای باب سوم و چهارم سفید است؛ خط: نسخ، کا: حسین بن علی حسینی؛ تا: پنج شنبه ۱۹ محرم ۱۲۱۵ق؛ در چند صفحه جدول</w:t>
      </w:r>
    </w:p>
    <w:p>
      <w:pPr>
        <w:pStyle w:val="BookText"/>
      </w:pPr>
      <w:r>
        <w:rPr>
          <w:rFonts w:ascii="IRNazanin" w:hAnsi="IRNazanin" w:eastAsia="IRNazanin" w:cs="IRNazanin"/>
          <w:lang w:bidi="fa-IR"/>
          <w:color w:val="111111"/>
          <w:sz w:val="28"/>
          <w:szCs w:val="28"/>
          <w:rtl/>
        </w:rPr>
        <w:t xml:space="preserve">طول و عرض جغرافیایی شهرها را بر اساس مسافت درجات مشخص نموده  است، محشی به لفظ «منه» واقف: سيد سعيد طباطبایی ۱۳۳۲؛ کاغذ: شکری آهار مهره، جلد: تیماج یک لا ،مشکی، ۲۸گ، ۱۷ سطر، قطع: جیبی، 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۱۵/۵سم [ف: 5- 168]</w:t>
      </w:r>
    </w:p>
    <w:p>
      <w:pPr>
        <w:pStyle w:val="BookText"/>
      </w:pPr>
      <w:r>
        <w:rPr>
          <w:rFonts w:ascii="IRNazanin" w:hAnsi="IRNazanin" w:eastAsia="IRNazanin" w:cs="IRNazanin"/>
          <w:lang w:bidi="fa-IR"/>
          <w:color w:val="111111"/>
          <w:sz w:val="28"/>
          <w:szCs w:val="28"/>
          <w:rtl/>
        </w:rPr>
        <w:t xml:space="preserve">13.تهران؛ الهیات؛ شماره نسخه: ۱۹۰/۴</w:t>
      </w:r>
    </w:p>
    <w:p>
      <w:pPr>
        <w:pStyle w:val="BookText"/>
      </w:pPr>
      <w:r>
        <w:rPr>
          <w:rFonts w:ascii="IRNazanin" w:hAnsi="IRNazanin" w:eastAsia="IRNazanin" w:cs="IRNazanin"/>
          <w:lang w:bidi="fa-IR"/>
          <w:color w:val="111111"/>
          <w:sz w:val="28"/>
          <w:szCs w:val="28"/>
          <w:rtl/>
        </w:rPr>
        <w:t xml:space="preserve">در مقدمه و پنج باب؛  خط: نستعلیق، کا: محمد مهدی حسینی، تا: ۱۲۲۵ق، جا: مدرسه نواب خراسان؛ کاغذ: فرنگی، جلد: تیماج مشکی  ضربی، ۱۴گ (۶۷پ -۸۰ر)، ۲۰ سطر (۷/۵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۲۲/۵سم [ف: ۱۷۸]</w:t>
      </w:r>
    </w:p>
    <w:p>
      <w:pPr>
        <w:pStyle w:val="BookText"/>
      </w:pPr>
      <w:r>
        <w:rPr>
          <w:rFonts w:ascii="IRNazanin" w:hAnsi="IRNazanin" w:eastAsia="IRNazanin" w:cs="IRNazanin"/>
          <w:lang w:bidi="fa-IR"/>
          <w:color w:val="111111"/>
          <w:sz w:val="28"/>
          <w:szCs w:val="28"/>
          <w:rtl/>
        </w:rPr>
        <w:t xml:space="preserve">۱۴. تهران؛ دانشگاه؛ شماره نسخه: ۵۴۶۰/۱</w:t>
      </w:r>
    </w:p>
    <w:p>
      <w:pPr>
        <w:pStyle w:val="BookText"/>
      </w:pPr>
      <w:r>
        <w:rPr>
          <w:rFonts w:ascii="IRNazanin" w:hAnsi="IRNazanin" w:eastAsia="IRNazanin" w:cs="IRNazanin"/>
          <w:lang w:bidi="fa-IR"/>
          <w:color w:val="111111"/>
          <w:sz w:val="28"/>
          <w:szCs w:val="28"/>
          <w:rtl/>
        </w:rPr>
        <w:t xml:space="preserve">خط: نستعليق، كا: محمد باقر بن حسین اصفهانی، تا: ۱۶ شوال ۱۲۲۸ق، جا: اصفهان؛ کاغذ ،فرنگی ،جلد: تیماج عنابی لایی، ۱۰گ (۱-۱۰)، ۲۲ سطر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قطع: ربعی ،اندازه: 14</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۱۶ - ۱۴]</w:t>
      </w:r>
    </w:p>
    <w:p>
      <w:pPr>
        <w:pStyle w:val="BookText"/>
      </w:pPr>
      <w:r>
        <w:rPr>
          <w:rFonts w:ascii="IRNazanin" w:hAnsi="IRNazanin" w:eastAsia="IRNazanin" w:cs="IRNazanin"/>
          <w:lang w:bidi="fa-IR"/>
          <w:color w:val="111111"/>
          <w:sz w:val="28"/>
          <w:szCs w:val="28"/>
          <w:rtl/>
        </w:rPr>
        <w:t xml:space="preserve">۱۵. تهران؛ ملک؛ شماره نسخه: ۶۲۶۷/۴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شکسته نستعلیق، کا: محمد بن محمد شریف مدعو به سعید، تا:۱۳ جمادی الثانی ۱۲۲۹ق؛ دارای جداول و شکل های نجومی؛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کاغذ: فستقی  آبی ،جلد: میشن تریاکی، ۴۱۲گ (۲۰۵پ -  ۶۱۶ پ) ۲۳ سطر، اندازه: ۱۵/۵</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۲۲/۳ سم [ف: ۹ - ۳۰۱ ]</w:t>
      </w:r>
    </w:p>
    <w:p>
      <w:pPr>
        <w:pStyle w:val="BookText"/>
      </w:pPr>
      <w:r>
        <w:rPr>
          <w:rFonts w:ascii="IRNazanin" w:hAnsi="IRNazanin" w:eastAsia="IRNazanin" w:cs="IRNazanin"/>
          <w:lang w:bidi="fa-IR"/>
          <w:color w:val="111111"/>
          <w:sz w:val="28"/>
          <w:szCs w:val="28"/>
          <w:rtl/>
        </w:rPr>
        <w:t xml:space="preserve">۱۶. شاهرود؛ مدرسه اسماعیلیه؛ شماره نسخه: ۹۴/۲</w:t>
      </w:r>
    </w:p>
    <w:p>
      <w:pPr>
        <w:pStyle w:val="BookText"/>
      </w:pPr>
      <w:r>
        <w:rPr>
          <w:rFonts w:ascii="IRNazanin" w:hAnsi="IRNazanin" w:eastAsia="IRNazanin" w:cs="IRNazanin"/>
          <w:lang w:bidi="fa-IR"/>
          <w:color w:val="111111"/>
          <w:sz w:val="28"/>
          <w:szCs w:val="28"/>
          <w:rtl/>
        </w:rPr>
        <w:t xml:space="preserve">بی کا، تا: با تاریخ ۱۲۵۰ق [ف: ۲۷]</w:t>
      </w:r>
    </w:p>
    <w:p>
      <w:pPr>
        <w:pStyle w:val="BookText"/>
      </w:pPr>
      <w:r>
        <w:rPr>
          <w:rFonts w:ascii="IRNazanin" w:hAnsi="IRNazanin" w:eastAsia="IRNazanin" w:cs="IRNazanin"/>
          <w:lang w:bidi="fa-IR"/>
          <w:color w:val="111111"/>
          <w:sz w:val="28"/>
          <w:szCs w:val="28"/>
          <w:rtl/>
        </w:rPr>
        <w:t xml:space="preserve">۱۷. تهران؛ ملی؛ شماره نسخه: ۲۰۹۵/۱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شکسته نستعلیق و نسخ، کا: محتملا سید محمد بن مولانا محمد مهدی حسینی، تا: محتملاً ۱۲۵۵ق؛کاغذ: فرنگی جـلد: تیماج قرمز یک لا، ۲۶ ص، ۲۱ سطر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۲۳/۵  [ف: ۵ - ۱۰۸]</w:t>
      </w:r>
    </w:p>
    <w:p>
      <w:pPr>
        <w:pStyle w:val="BookText"/>
      </w:pPr>
      <w:r>
        <w:rPr>
          <w:rFonts w:ascii="IRNazanin" w:hAnsi="IRNazanin" w:eastAsia="IRNazanin" w:cs="IRNazanin"/>
          <w:lang w:bidi="fa-IR"/>
          <w:color w:val="111111"/>
          <w:sz w:val="28"/>
          <w:szCs w:val="28"/>
          <w:rtl/>
        </w:rPr>
        <w:t xml:space="preserve">۱۸. قم؛ گلپایگانی؛ شماره نسخه: ۶۸۱۳/۲-۳۴/۱۸۳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پنج شنبه ۱۵ صفر ۱۲۶۲ق؛ مصحح، محشی، با نشان «منه ره»؛ جلد: تیماج قهوه ای، ۲۳گ، ۱۶ سطر، اندازه:</w:t>
      </w:r>
    </w:p>
    <w:p>
      <w:pPr>
        <w:pStyle w:val="BookText"/>
      </w:pPr>
      <w:r>
        <w:rPr>
          <w:rFonts w:ascii="IRNazanin" w:hAnsi="IRNazanin" w:eastAsia="IRNazanin" w:cs="IRNazanin"/>
          <w:lang w:bidi="fa-IR"/>
          <w:color w:val="111111"/>
          <w:sz w:val="28"/>
          <w:szCs w:val="28"/>
          <w:rtl/>
        </w:rPr>
        <w:t xml:space="preserve">۱۱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۱۵سم [ف: ۲ - ۷۹۵]</w:t>
      </w:r>
    </w:p>
    <w:p>
      <w:pPr>
        <w:pStyle w:val="BookText"/>
      </w:pPr>
      <w:r>
        <w:rPr>
          <w:rFonts w:ascii="IRNazanin" w:hAnsi="IRNazanin" w:eastAsia="IRNazanin" w:cs="IRNazanin"/>
          <w:lang w:bidi="fa-IR"/>
          <w:color w:val="111111"/>
          <w:sz w:val="28"/>
          <w:szCs w:val="28"/>
          <w:rtl/>
        </w:rPr>
        <w:t xml:space="preserve">۱۹. قم؛ مرعشی؛ شماره نسخه: ۶۳۱۳/۲</w:t>
      </w:r>
    </w:p>
    <w:p>
      <w:pPr>
        <w:pStyle w:val="BookText"/>
      </w:pPr>
      <w:r>
        <w:rPr>
          <w:rFonts w:ascii="IRNazanin" w:hAnsi="IRNazanin" w:eastAsia="IRNazanin" w:cs="IRNazanin"/>
          <w:lang w:bidi="fa-IR"/>
          <w:color w:val="111111"/>
          <w:sz w:val="28"/>
          <w:szCs w:val="28"/>
          <w:rtl/>
        </w:rPr>
        <w:t xml:space="preserve">خط: نستعلیق  خوش ،کا: محمد مهدی خونساری اصفهانی، تا:27 رجب ۱۲۶۶ق( پایان کتاب دوم) ،جلد: دو رو تیماج رو قرمز پشت  مشکی، ۴۸گ (۲۰پ-۶۷ پ)، ۱۹ سطر،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  [ف: ۱۶ - ۲۸۲]</w:t>
      </w:r>
    </w:p>
    <w:p>
      <w:pPr>
        <w:pStyle w:val="BookText"/>
      </w:pPr>
      <w:r>
        <w:rPr>
          <w:rFonts w:ascii="IRNazanin" w:hAnsi="IRNazanin" w:eastAsia="IRNazanin" w:cs="IRNazanin"/>
          <w:lang w:bidi="fa-IR"/>
          <w:color w:val="111111"/>
          <w:sz w:val="28"/>
          <w:szCs w:val="28"/>
          <w:rtl/>
        </w:rPr>
        <w:t xml:space="preserve">۲۰ . مشهد؛ رضوی؛ شماره نسخه: ۱۲۰۳۸/۴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خوش، کا: محمد علی بن محمد صالح  مازندرانی، تـا:4 ربيع الثاني ۱۲۷۳ق؛ دارای اشکال و جداول نجومی؛ کاغذ: نخودی آهار مهره، جلد: تیماج خرمایی، ۱۸ سطر،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۱۰ - ۲۰۰]  ۲۱. تهران؛ مجلس؛ شماره نسخه: ۶۷۹۳/۲</w:t>
      </w:r>
    </w:p>
    <w:p>
      <w:pPr>
        <w:pStyle w:val="BookText"/>
      </w:pPr>
      <w:r>
        <w:rPr>
          <w:rFonts w:ascii="IRNazanin" w:hAnsi="IRNazanin" w:eastAsia="IRNazanin" w:cs="IRNazanin"/>
          <w:lang w:bidi="fa-IR"/>
          <w:color w:val="111111"/>
          <w:sz w:val="28"/>
          <w:szCs w:val="28"/>
          <w:rtl/>
        </w:rPr>
        <w:t xml:space="preserve">خط: نسخ، کا: هرندی، تا: سه شنبه ۱۷ جمادی الثانی ۱۲۷۴ق؛ دارای اشکال هندسی و جداول، مصحح، در دو برگ پایانی جدول هایی در نجوم؛ جلد: تیماج مشکی ضربی ترنج و سرترنج دار با جدول کشی، ۱۷گ (124پ- 140ر)، ۱۹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۲۰ - ۲۶۲]</w:t>
      </w:r>
    </w:p>
    <w:p>
      <w:pPr>
        <w:pStyle w:val="BookText"/>
      </w:pPr>
      <w:r>
        <w:rPr>
          <w:rFonts w:ascii="IRNazanin" w:hAnsi="IRNazanin" w:eastAsia="IRNazanin" w:cs="IRNazanin"/>
          <w:lang w:bidi="fa-IR"/>
          <w:color w:val="111111"/>
          <w:sz w:val="28"/>
          <w:szCs w:val="28"/>
          <w:rtl/>
        </w:rPr>
        <w:t xml:space="preserve">۲۲. قم؛ مرعشی؛ شماره نسخه: ۱۲۰۰۷/۴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محمد رضا فرزند محمد علی قمی، تا:  جمعه 17ربيع الثاني ۱۲۷۷ق ؛جا ،اصفهان، مدرسه جده؛ مصحح ،دارای جداول و اشکال نجومی، با یک سرلوح ساده؛ کاغذ: فرنگی،  ۲۷گ (۱۱۴-۱۴۰)، ۱۵ سطر، اندازه: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۳۰ - ۳۵۰]</w:t>
      </w:r>
    </w:p>
    <w:p>
      <w:pPr>
        <w:pStyle w:val="BookText"/>
      </w:pPr>
      <w:r>
        <w:rPr>
          <w:rFonts w:ascii="IRNazanin" w:hAnsi="IRNazanin" w:eastAsia="IRNazanin" w:cs="IRNazanin"/>
          <w:lang w:bidi="fa-IR"/>
          <w:color w:val="111111"/>
          <w:sz w:val="28"/>
          <w:szCs w:val="28"/>
          <w:rtl/>
        </w:rPr>
        <w:t xml:space="preserve">۲۳. تهران؛ ملک؛ شماره نسخه: ۱۶۷۳/۱۰</w:t>
      </w:r>
    </w:p>
    <w:p>
      <w:pPr>
        <w:pStyle w:val="BookText"/>
      </w:pPr>
      <w:r>
        <w:rPr>
          <w:rFonts w:ascii="IRNazanin" w:hAnsi="IRNazanin" w:eastAsia="IRNazanin" w:cs="IRNazanin"/>
          <w:lang w:bidi="fa-IR"/>
          <w:color w:val="111111"/>
          <w:sz w:val="28"/>
          <w:szCs w:val="28"/>
          <w:rtl/>
        </w:rPr>
        <w:t xml:space="preserve">در مقدمه و پنج باب با جداول؛ خط: نستعلیق، بی کا، تا: ۲۰ ربیع الاول ۱۲۸۳ق؛ محشی با نشانه «منه رحمه الله»؛ کاغذ: پسته ای آهار مهره، جلد: میشن سیاه، ۲۰گ (۱۵۹ پ-۱۷۸پ)،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۵ - ۳۳۰]</w:t>
      </w:r>
    </w:p>
    <w:p>
      <w:pPr>
        <w:pStyle w:val="BookText"/>
      </w:pPr>
      <w:r>
        <w:rPr>
          <w:rFonts w:ascii="IRNazanin" w:hAnsi="IRNazanin" w:eastAsia="IRNazanin" w:cs="IRNazanin"/>
          <w:lang w:bidi="fa-IR"/>
          <w:color w:val="111111"/>
          <w:sz w:val="28"/>
          <w:szCs w:val="28"/>
          <w:rtl/>
        </w:rPr>
        <w:t xml:space="preserve">۲۴. مشهد؛ رضوی؛ شماره نسخه: ۱۲۱۶۷/۸</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و نستعلیق تحریری، کا: صالح حسینی، تا: ۱۲۸۴ق، جا: سمنان، مدرسه صادق خان؛ کاغذ ،حنایی، جلد: تیماج  ماشی، اندازه: 10/3</w:t>
      </w:r>
      <w:r>
        <w:rPr>
          <w:rFonts w:ascii="Times New Roman" w:hAnsi="Times New Roman" w:eastAsia="Times New Roman" w:cs="Times New Roman"/>
          <w:lang w:val="en-US" w:bidi="en-US"/>
          <w:color w:val="111111"/>
          <w:sz w:val="28"/>
          <w:szCs w:val="28"/>
          <w:rtl/>
        </w:rPr>
        <w:t xml:space="preserve">×17/2</w:t>
      </w:r>
      <w:r>
        <w:rPr>
          <w:rFonts w:ascii="IRNazanin" w:hAnsi="IRNazanin" w:eastAsia="IRNazanin" w:cs="IRNazanin"/>
          <w:lang w:bidi="fa-IR"/>
          <w:color w:val="111111"/>
          <w:sz w:val="28"/>
          <w:szCs w:val="28"/>
          <w:rtl/>
        </w:rPr>
        <w:t xml:space="preserve">سم [ف : ۱۰ - ۸۹]</w:t>
      </w:r>
    </w:p>
    <w:p>
      <w:pPr>
        <w:pStyle w:val="BookText"/>
      </w:pPr>
      <w:r>
        <w:rPr>
          <w:rFonts w:ascii="IRNazanin" w:hAnsi="IRNazanin" w:eastAsia="IRNazanin" w:cs="IRNazanin"/>
          <w:lang w:bidi="fa-IR"/>
          <w:color w:val="111111"/>
          <w:sz w:val="28"/>
          <w:szCs w:val="28"/>
          <w:rtl/>
        </w:rPr>
        <w:t xml:space="preserve">۲۵. مشهد؛ گوهر شاد؛ شماره نسخه: ۲۰۰۸/۴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و نستعلیق، کا: میر علی نقی بن میر کریم حسینی استر آبادی، تا: ۳ رجب ۱۲۸۵ق؛ واقف: آقای غیاثی، ۱۳۳۷ ؛کاغذ: نخودی آهار مهره ،جلد: مقوا، رویه گالینگور عطف و گوشه تیماج قهوه ای، ۱۵ سطر،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۵ - ۳۹۰]</w:t>
      </w:r>
    </w:p>
    <w:p>
      <w:pPr>
        <w:pStyle w:val="BookText"/>
      </w:pPr>
      <w:r>
        <w:rPr>
          <w:rFonts w:ascii="IRNazanin" w:hAnsi="IRNazanin" w:eastAsia="IRNazanin" w:cs="IRNazanin"/>
          <w:lang w:bidi="fa-IR"/>
          <w:color w:val="111111"/>
          <w:sz w:val="28"/>
          <w:szCs w:val="28"/>
          <w:rtl/>
        </w:rPr>
        <w:t xml:space="preserve">۲۶ . مشهد؛ رضوی؛ شماره نسخه: ۵۵۰۵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تحریری، کا: عباس بن علی موسوی شاهرودی، تا: ۸ شوال ۱۳۰۰ق، جا: اصفهان، مدرسه صدر؛ در آخر نسخه چهار ورق مشتمل بعضی فواید است نخست در تحقیق خط نصف النهار به قلم میرزا جهان بخش منجم باشی و دیگر تقویم کواکب از حسن بن موسی هروی الحاسب به خط مرحوم فهرستی؛ واقف: حاج عماد  فهرستی، تیرماه ۱۳۱۰ ؛کاغذ: سفید فرنگی، جلد: پارچه ای، ۲۱گ، مختلف السطر ، اندازه: ۱۱/۴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۱۸/۳سم [ف: ۸ - ۲۳]</w:t>
      </w:r>
    </w:p>
    <w:p>
      <w:pPr>
        <w:pStyle w:val="BookText"/>
      </w:pPr>
      <w:r>
        <w:rPr>
          <w:rFonts w:ascii="IRNazanin" w:hAnsi="IRNazanin" w:eastAsia="IRNazanin" w:cs="IRNazanin"/>
          <w:lang w:bidi="fa-IR"/>
          <w:color w:val="111111"/>
          <w:sz w:val="28"/>
          <w:szCs w:val="28"/>
          <w:rtl/>
        </w:rPr>
        <w:t xml:space="preserve">۲۷. مشهد؛ رضوی؛ شماره نسخه: ۱۹۱۱۰</w:t>
      </w:r>
    </w:p>
    <w:p>
      <w:pPr>
        <w:pStyle w:val="BookText"/>
      </w:pPr>
      <w:r>
        <w:rPr>
          <w:rFonts w:ascii="Amiri" w:hAnsi="Amiri" w:eastAsia="Amiri" w:cs="Amiri"/>
          <w:lang w:bidi="ar-SA"/>
          <w:color w:val="111111"/>
          <w:sz w:val="28"/>
          <w:szCs w:val="28"/>
          <w:rtl/>
        </w:rPr>
        <w:t xml:space="preserve">آغاز: برابر؛ انجام: مثل المتوجه الى خط م و او بين المغرب و  القبله فتأمل و هذه صورته (كذا)</w:t>
      </w:r>
    </w:p>
    <w:p>
      <w:pPr>
        <w:pStyle w:val="BookText"/>
      </w:pPr>
      <w:r>
        <w:rPr>
          <w:rFonts w:ascii="IRNazanin" w:hAnsi="IRNazanin" w:eastAsia="IRNazanin" w:cs="IRNazanin"/>
          <w:lang w:bidi="fa-IR"/>
          <w:color w:val="111111"/>
          <w:sz w:val="28"/>
          <w:szCs w:val="28"/>
          <w:rtl/>
        </w:rPr>
        <w:t xml:space="preserve">خط: نستعلیق، بی کا بی تا [رایانه ]</w:t>
      </w:r>
    </w:p>
    <w:p>
      <w:pPr>
        <w:pStyle w:val="BookText"/>
      </w:pPr>
      <w:r>
        <w:rPr>
          <w:rFonts w:ascii="IRNazanin" w:hAnsi="IRNazanin" w:eastAsia="IRNazanin" w:cs="IRNazanin"/>
          <w:lang w:bidi="fa-IR"/>
          <w:color w:val="111111"/>
          <w:sz w:val="28"/>
          <w:szCs w:val="28"/>
          <w:rtl/>
        </w:rPr>
        <w:t xml:space="preserve">۲۸. قم؛ گلپایگانی؛ شماره نسخه: ۳۹۳۸/۳-۲۰/۵۸</w:t>
      </w:r>
    </w:p>
    <w:p>
      <w:pPr>
        <w:pStyle w:val="BookText"/>
      </w:pPr>
      <w:r>
        <w:rPr>
          <w:rFonts w:ascii="IRNazanin" w:hAnsi="IRNazanin" w:eastAsia="IRNazanin" w:cs="IRNazanin"/>
          <w:lang w:bidi="fa-IR"/>
          <w:color w:val="111111"/>
          <w:sz w:val="28"/>
          <w:szCs w:val="28"/>
          <w:rtl/>
        </w:rPr>
        <w:t xml:space="preserve">آغاز: برابر؛ انجام: مولتان ۶۳۲  سر اندیب ۱۱۸۳ کشمیر ۶۱۶ بلغار  642</w:t>
      </w:r>
    </w:p>
    <w:p>
      <w:pPr>
        <w:pStyle w:val="BookText"/>
      </w:pPr>
      <w:r>
        <w:rPr>
          <w:rFonts w:ascii="IRNazanin" w:hAnsi="IRNazanin" w:eastAsia="IRNazanin" w:cs="IRNazanin"/>
          <w:lang w:bidi="fa-IR"/>
          <w:color w:val="111111"/>
          <w:sz w:val="28"/>
          <w:szCs w:val="28"/>
          <w:rtl/>
        </w:rPr>
        <w:t xml:space="preserve">خط: نستعلیق، بی کا، بی تا؛ جلد: مقوای آبی عطف تیماج  مشکی، ۲۱گ، ۱۶ سطر،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۲ - ۷۹۵]</w:t>
      </w:r>
    </w:p>
    <w:p>
      <w:pPr>
        <w:pStyle w:val="BookText"/>
      </w:pPr>
      <w:r>
        <w:rPr>
          <w:rFonts w:ascii="IRNazanin" w:hAnsi="IRNazanin" w:eastAsia="IRNazanin" w:cs="IRNazanin"/>
          <w:lang w:bidi="fa-IR"/>
          <w:color w:val="111111"/>
          <w:sz w:val="28"/>
          <w:szCs w:val="28"/>
          <w:rtl/>
        </w:rPr>
        <w:t xml:space="preserve">۲۹. قم؛ گلپایگانی؛ شماره نسخه: ۶۶۰/۱-۴/۱۳۰</w:t>
      </w:r>
    </w:p>
    <w:p>
      <w:pPr>
        <w:pStyle w:val="BookText"/>
      </w:pPr>
      <w:r>
        <w:rPr>
          <w:rFonts w:ascii="IRNazanin" w:hAnsi="IRNazanin" w:eastAsia="IRNazanin" w:cs="IRNazanin"/>
          <w:lang w:bidi="fa-IR"/>
          <w:color w:val="111111"/>
          <w:sz w:val="28"/>
          <w:szCs w:val="28"/>
          <w:rtl/>
        </w:rPr>
        <w:t xml:space="preserve">آغاز: زیجات مسطور است چون آفتاب قریب بافق بود شاقولی در آویزند؛ انجام: برابر</w:t>
      </w:r>
    </w:p>
    <w:p>
      <w:pPr>
        <w:pStyle w:val="BookText"/>
      </w:pPr>
      <w:r>
        <w:rPr>
          <w:rFonts w:ascii="IRNazanin" w:hAnsi="IRNazanin" w:eastAsia="IRNazanin" w:cs="IRNazanin"/>
          <w:lang w:bidi="fa-IR"/>
          <w:color w:val="111111"/>
          <w:sz w:val="28"/>
          <w:szCs w:val="28"/>
          <w:rtl/>
        </w:rPr>
        <w:t xml:space="preserve">در فهرست با عنوان «نجوم» و ناشناس آمده؛ خط: نسخ، بی کا، بی تا :افتادگی: آغاز؛ دارای  اشکال، محشی به امضاء «منه»؛ ۴گ،  ۱۶ سطر [ف: ۴ - ۲۰۸۱]</w:t>
      </w:r>
    </w:p>
    <w:p>
      <w:pPr>
        <w:pStyle w:val="BookText"/>
      </w:pPr>
      <w:r>
        <w:rPr>
          <w:rFonts w:ascii="IRNazanin" w:hAnsi="IRNazanin" w:eastAsia="IRNazanin" w:cs="IRNazanin"/>
          <w:lang w:bidi="fa-IR"/>
          <w:color w:val="111111"/>
          <w:sz w:val="28"/>
          <w:szCs w:val="28"/>
          <w:rtl/>
        </w:rPr>
        <w:t xml:space="preserve">.٣ . مشهد؛ الهیات؛ شماره نسخه: ۷۸۹/۱</w:t>
      </w:r>
    </w:p>
    <w:p>
      <w:pPr>
        <w:pStyle w:val="BookText"/>
      </w:pPr>
      <w:r>
        <w:rPr>
          <w:rFonts w:ascii="IRNazanin" w:hAnsi="IRNazanin" w:eastAsia="IRNazanin" w:cs="IRNazanin"/>
          <w:lang w:bidi="fa-IR"/>
          <w:color w:val="111111"/>
          <w:sz w:val="28"/>
          <w:szCs w:val="28"/>
          <w:rtl/>
        </w:rPr>
        <w:t xml:space="preserve">آغاز: برابر؛ انجام: جداول نجومی</w:t>
      </w:r>
    </w:p>
    <w:p>
      <w:pPr>
        <w:pStyle w:val="BookText"/>
      </w:pPr>
      <w:r>
        <w:rPr>
          <w:rFonts w:ascii="IRNazanin" w:hAnsi="IRNazanin" w:eastAsia="IRNazanin" w:cs="IRNazanin"/>
          <w:lang w:bidi="fa-IR"/>
          <w:color w:val="111111"/>
          <w:sz w:val="28"/>
          <w:szCs w:val="28"/>
          <w:rtl/>
        </w:rPr>
        <w:t xml:space="preserve">خط: نستعلیق، بی کا، بی تا: محشی از ملامحمد باقر یزدی، دارای تصاویر فلکی و تقویمی؛ کاغذ: ترمه؛ جلد: تیماج لایه ای قهوه ای، ۲۴گ، ۱۷ سطر ،(۵/۵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قطع: ربعی،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۱  - 411]</w:t>
      </w:r>
    </w:p>
    <w:p>
      <w:pPr>
        <w:pStyle w:val="BookText"/>
      </w:pPr>
      <w:r>
        <w:rPr>
          <w:rFonts w:ascii="IRNazanin" w:hAnsi="IRNazanin" w:eastAsia="IRNazanin" w:cs="IRNazanin"/>
          <w:lang w:bidi="fa-IR"/>
          <w:color w:val="111111"/>
          <w:sz w:val="28"/>
          <w:szCs w:val="28"/>
          <w:rtl/>
        </w:rPr>
        <w:t xml:space="preserve">.۳۱ .قم؛ مرعشی؛ شماره نسخه: ۱۸۲۹/۴</w:t>
      </w:r>
    </w:p>
    <w:p>
      <w:pPr>
        <w:pStyle w:val="BookText"/>
      </w:pPr>
      <w:r>
        <w:rPr>
          <w:rFonts w:ascii="IRNazanin" w:hAnsi="IRNazanin" w:eastAsia="IRNazanin" w:cs="IRNazanin"/>
          <w:lang w:bidi="fa-IR"/>
          <w:color w:val="111111"/>
          <w:sz w:val="28"/>
          <w:szCs w:val="28"/>
          <w:rtl/>
        </w:rPr>
        <w:t xml:space="preserve">آغاز و انجام: برابر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64" w:name="pg20365_260247"/>
    <w:bookmarkEnd w:id="164"/>
    <w:p>
      <w:pPr>
        <w:pStyle w:val="BookText"/>
      </w:pPr>
      <w:r>
        <w:rPr>
          <w:rFonts w:ascii="IRNazanin" w:hAnsi="IRNazanin" w:eastAsia="IRNazanin" w:cs="IRNazanin"/>
          <w:lang w:bidi="fa-IR"/>
          <w:color w:val="111111"/>
          <w:sz w:val="28"/>
          <w:szCs w:val="28"/>
          <w:rtl/>
        </w:rPr>
        <w:t xml:space="preserve">خط: نستعلیق، بی کا، بی تا؛ جلد: تیماج قهوه ای، ۲۰گ (۲۰۱  ر- ۲۲۰پ)،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۵ - ۲۱۳]  ۳۲. تهران؛ مجلس؛ شماره نسخه: ۶۷۹۸/۳</w:t>
      </w:r>
    </w:p>
    <w:p>
      <w:pPr>
        <w:pStyle w:val="BookText"/>
      </w:pPr>
      <w:r>
        <w:rPr>
          <w:rFonts w:ascii="IRNazanin" w:hAnsi="IRNazanin" w:eastAsia="IRNazanin" w:cs="IRNazanin"/>
          <w:lang w:bidi="fa-IR"/>
          <w:color w:val="111111"/>
          <w:sz w:val="28"/>
          <w:szCs w:val="28"/>
          <w:rtl/>
        </w:rPr>
        <w:t xml:space="preserve">خط: نستعلیق، بی کا، بی تا، دارای جداول  و اشکال هندسـی،   مصحح، محشی ،جلد: تیماج قهوه ای ضربی ترنج و سرترنج  دار، ۱۳گ (۱۳۶ ر - ۱۴۸پ)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۲۴سم[ ف ۲۰ -  266]</w:t>
      </w:r>
    </w:p>
    <w:p>
      <w:pPr>
        <w:pStyle w:val="BookText"/>
      </w:pPr>
      <w:r>
        <w:rPr>
          <w:rFonts w:ascii="IRNazanin" w:hAnsi="IRNazanin" w:eastAsia="IRNazanin" w:cs="IRNazanin"/>
          <w:lang w:bidi="fa-IR"/>
          <w:color w:val="111111"/>
          <w:sz w:val="28"/>
          <w:szCs w:val="28"/>
          <w:rtl/>
        </w:rPr>
        <w:t xml:space="preserve">۳۳. مشهد؛ فرهنگ و هنر؛ شماره نسخه: ب-۱۵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شکسته نستعلیق  خوش، بی کا، بی تا؛ در بین صفحات عباراتی کسر دارد ،فاقد جدول  است، محشی به امضای «منه»؛ اهدائی: محمد و حسینعلی الهی؛ کاغذ: فرنگی آهار مهره سفید تیره، جـلد: ساغری ،مشکی، ۲۶ ص؛ مختلف السطر (7</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اندا 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۱۳/۵سم [ فرهنگ و هنر - ف - ۶۳]</w:t>
      </w:r>
    </w:p>
    <w:p>
      <w:pPr>
        <w:pStyle w:val="BookText"/>
      </w:pPr>
      <w:r>
        <w:rPr>
          <w:rFonts w:ascii="IRNazanin" w:hAnsi="IRNazanin" w:eastAsia="IRNazanin" w:cs="IRNazanin"/>
          <w:lang w:bidi="fa-IR"/>
          <w:color w:val="111111"/>
          <w:sz w:val="28"/>
          <w:szCs w:val="28"/>
          <w:rtl/>
        </w:rPr>
        <w:t xml:space="preserve">۳۴. مشهد؛ مدرسه خیرات خان؛ شماره نسخه:۷۶/۳</w:t>
      </w:r>
    </w:p>
    <w:p>
      <w:pPr>
        <w:pStyle w:val="BookText"/>
      </w:pPr>
      <w:r>
        <w:rPr>
          <w:rFonts w:ascii="IRNazanin" w:hAnsi="IRNazanin" w:eastAsia="IRNazanin" w:cs="IRNazanin"/>
          <w:lang w:bidi="fa-IR"/>
          <w:color w:val="111111"/>
          <w:sz w:val="28"/>
          <w:szCs w:val="28"/>
          <w:rtl/>
        </w:rPr>
        <w:t xml:space="preserve">آغاز:برابر؛ انجام: میان آن دو بلده ظاهر است که این مسافت.</w:t>
      </w:r>
    </w:p>
    <w:p>
      <w:pPr>
        <w:pStyle w:val="BookText"/>
      </w:pPr>
      <w:r>
        <w:rPr>
          <w:rFonts w:ascii="IRNazanin" w:hAnsi="IRNazanin" w:eastAsia="IRNazanin" w:cs="IRNazanin"/>
          <w:lang w:bidi="fa-IR"/>
          <w:color w:val="111111"/>
          <w:sz w:val="28"/>
          <w:szCs w:val="28"/>
          <w:rtl/>
        </w:rPr>
        <w:t xml:space="preserve">نام مؤلف به قرینه آغاز نسخه تعیین شد؛ خط: نستعلیق،  بی تا؛ افتادگی: انجام؛ کاغذ: فرنگی ،جلد: تیماج  خرمایی، ۲۰گ، ۱۶ و ۱۸ سطر ،(6/5</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 قطع: جیبی،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[رشت و همدان - ف - ۱۷۸۶]</w:t>
      </w:r>
    </w:p>
    <w:p>
      <w:pPr>
        <w:pStyle w:val="BookText"/>
      </w:pPr>
      <w:r>
        <w:rPr>
          <w:rFonts w:ascii="IRNazanin" w:hAnsi="IRNazanin" w:eastAsia="IRNazanin" w:cs="IRNazanin"/>
          <w:lang w:bidi="fa-IR"/>
          <w:color w:val="111111"/>
          <w:sz w:val="28"/>
          <w:szCs w:val="28"/>
          <w:rtl/>
        </w:rPr>
        <w:t xml:space="preserve">۳۵. قم؛ فیضیه؛ شماره نسخه: ۱۱۴۳/۱</w:t>
      </w:r>
    </w:p>
    <w:p>
      <w:pPr>
        <w:pStyle w:val="BookText"/>
      </w:pPr>
      <w:r>
        <w:rPr>
          <w:rFonts w:ascii="IRNazanin" w:hAnsi="IRNazanin" w:eastAsia="IRNazanin" w:cs="IRNazanin"/>
          <w:lang w:bidi="fa-IR"/>
          <w:color w:val="111111"/>
          <w:sz w:val="28"/>
          <w:szCs w:val="28"/>
          <w:rtl/>
        </w:rPr>
        <w:t xml:space="preserve">بی کا، بی  تا؛ ۱۹گ،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۳ - ۵۹]</w:t>
      </w:r>
    </w:p>
    <w:p>
      <w:pPr>
        <w:pStyle w:val="BookText"/>
      </w:pPr>
      <w:r>
        <w:rPr>
          <w:rFonts w:ascii="IRNazanin" w:hAnsi="IRNazanin" w:eastAsia="IRNazanin" w:cs="IRNazanin"/>
          <w:lang w:bidi="fa-IR"/>
          <w:color w:val="111111"/>
          <w:sz w:val="28"/>
          <w:szCs w:val="28"/>
          <w:rtl/>
        </w:rPr>
        <w:t xml:space="preserve">۳۶. تهران؛ دانشگاه؛ شماره نسخه: ۳۸۲۸/۵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كا: على بن عبدالرسول، بی تا ؛کاغذ: فرنگی  آبی ،جلد: تیماج، سرخ ضربی ،مقوایی ۱۸گ (۱۴۲ر- (۱۵۹ر)، ۱۴ سطر (8</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۱۲ - ۲۸۰۹]</w:t>
      </w:r>
    </w:p>
    <w:p>
      <w:pPr>
        <w:pStyle w:val="BookText"/>
      </w:pPr>
      <w:r>
        <w:rPr>
          <w:rFonts w:ascii="IRNazanin" w:hAnsi="IRNazanin" w:eastAsia="IRNazanin" w:cs="IRNazanin"/>
          <w:lang w:bidi="fa-IR"/>
          <w:color w:val="111111"/>
          <w:sz w:val="28"/>
          <w:szCs w:val="28"/>
          <w:rtl/>
        </w:rPr>
        <w:t xml:space="preserve">۳۷. تهران؛ دانشگاه؛ شماره نسخه: ۵۹۱۸/۴</w:t>
      </w:r>
    </w:p>
    <w:p>
      <w:pPr>
        <w:pStyle w:val="BookText"/>
      </w:pPr>
      <w:r>
        <w:rPr>
          <w:rFonts w:ascii="IRNazanin" w:hAnsi="IRNazanin" w:eastAsia="IRNazanin" w:cs="IRNazanin"/>
          <w:lang w:bidi="fa-IR"/>
          <w:color w:val="111111"/>
          <w:sz w:val="28"/>
          <w:szCs w:val="28"/>
          <w:rtl/>
        </w:rPr>
        <w:t xml:space="preserve">خط: نسخ، کا: محمد کریم بن حاجی محمد ابراهیم  قمی، بی تا: کاغذ: فرنگی ،جلد: تیماج مشکی ضربی مقوایی، ۱۶ سـطر (۶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قطع: جیبی،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۱۶ - ۱۵۲]</w:t>
      </w:r>
    </w:p>
    <w:p>
      <w:pPr>
        <w:pStyle w:val="BookText"/>
      </w:pPr>
      <w:r>
        <w:rPr>
          <w:rFonts w:ascii="IRNazanin" w:hAnsi="IRNazanin" w:eastAsia="IRNazanin" w:cs="IRNazanin"/>
          <w:lang w:bidi="fa-IR"/>
          <w:color w:val="111111"/>
          <w:sz w:val="28"/>
          <w:szCs w:val="28"/>
          <w:rtl/>
        </w:rPr>
        <w:t xml:space="preserve">۳۸. تهران؛ دانشگاه؛ شماره نسخه: ۱۹۲۳/۳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فهرستی است از دارنده سردار کابلی؛ کاغذ ،فرنگی ،جلد: روغنی ضربی با گل و بوته و پرنده ،مقوایی، ۴۰ ص (۳۲۹-۲۹۰)، ۱۹ سطر (8</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اندازه: 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۸ - ۵۳۵]</w:t>
      </w:r>
    </w:p>
    <w:p>
      <w:pPr>
        <w:pStyle w:val="BookText"/>
      </w:pPr>
      <w:r>
        <w:rPr>
          <w:rFonts w:ascii="IRNazanin" w:hAnsi="IRNazanin" w:eastAsia="IRNazanin" w:cs="IRNazanin"/>
          <w:lang w:bidi="fa-IR"/>
          <w:color w:val="111111"/>
          <w:sz w:val="28"/>
          <w:szCs w:val="28"/>
          <w:rtl/>
        </w:rPr>
        <w:t xml:space="preserve">۳۹. تهران؛ سپهسالار؛ شماره نسخه: ۷۴۲۸/۳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بی کا، بی تا؛ کاغذ: فرنگی کبود و سفید، جلد: تیماج مشکی، یک  لا، ۲۱گ (۱۰۳ پ -۱۲۳ر) ابعاد متن: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۳ - ۱۲۱]</w:t>
      </w:r>
    </w:p>
    <w:p>
      <w:pPr>
        <w:pStyle w:val="BookText"/>
      </w:pPr>
      <w:r>
        <w:rPr>
          <w:rFonts w:ascii="IRNazanin" w:hAnsi="IRNazanin" w:eastAsia="IRNazanin" w:cs="IRNazanin"/>
          <w:lang w:bidi="fa-IR"/>
          <w:color w:val="111111"/>
          <w:sz w:val="28"/>
          <w:szCs w:val="28"/>
          <w:rtl/>
        </w:rPr>
        <w:t xml:space="preserve">۴۰. تهران؛ سپهسالار؛ شماره نسخه: ۸۳۶۰/۸</w:t>
      </w:r>
    </w:p>
    <w:p>
      <w:pPr>
        <w:pStyle w:val="BookText"/>
      </w:pPr>
      <w:r>
        <w:rPr>
          <w:rFonts w:ascii="IRNazanin" w:hAnsi="IRNazanin" w:eastAsia="IRNazanin" w:cs="IRNazanin"/>
          <w:lang w:bidi="fa-IR"/>
          <w:color w:val="111111"/>
          <w:sz w:val="28"/>
          <w:szCs w:val="28"/>
          <w:rtl/>
        </w:rPr>
        <w:t xml:space="preserve">بی  کا، بی تا؛ پس از این کتابچه دو جدول و طرح الواح و شعـری فارسی در معادلات جبری از ملا افضل، در ص ۷۸ اختیارات مسیر قمر را شماره ۲ دفتر ذکر کرده و شماره ۱ آن را مدخل منظوم نامبرده، محشی با نشان «منه»؛ کاغذ: فرنگی سفید، جلد: تيماج مشکی،مقوایی ۱۵گ (30ر- 44پ)، ۲۲ سطر، اندازه:۱۵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۳ - ۱۲۱]</w:t>
      </w:r>
    </w:p>
    <w:p>
      <w:pPr>
        <w:pStyle w:val="BookText"/>
      </w:pPr>
      <w:r>
        <w:rPr>
          <w:rFonts w:ascii="IRNazanin" w:hAnsi="IRNazanin" w:eastAsia="IRNazanin" w:cs="IRNazanin"/>
          <w:lang w:bidi="fa-IR"/>
          <w:color w:val="111111"/>
          <w:sz w:val="28"/>
          <w:szCs w:val="28"/>
          <w:rtl/>
        </w:rPr>
        <w:t xml:space="preserve">41.تهران؛ ملک؛ شماره نسخه: ۳۱۰۲/۳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شکسته نستعلیق، کا: محمد بن حسن شوشتری، بی تا: کاغذ ،فرنگی ،جلد: میشن زرد طلایی، ۹گ (112ر- 120ر)، ۲۱ سطر، اندازه: ۱۸/۲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۲۲/۲سم [ف: ۶ - ۲۱۹]</w:t>
      </w:r>
    </w:p>
    <w:p>
      <w:pPr>
        <w:pStyle w:val="Heading3"/>
      </w:pPr>
      <w:bookmarkStart w:id="1065" w:name="_Toc587"/>
      <w:r>
        <w:t>استخراج خطين من خطين / ریاضیات / عربی</w:t>
      </w:r>
      <w:bookmarkEnd w:id="1065"/>
    </w:p>
    <w:p>
      <w:pPr>
        <w:pStyle w:val="BookText"/>
      </w:pPr>
      <w:r>
        <w:rPr>
          <w:rFonts w:ascii="Times New Roman" w:hAnsi="Times New Roman" w:eastAsia="Times New Roman" w:cs="Times New Roman"/>
          <w:lang w:val="en-US" w:bidi="en-US"/>
          <w:color w:val="111111"/>
          <w:sz w:val="28"/>
          <w:szCs w:val="28"/>
          <w:rtl/>
        </w:rPr>
        <w:t xml:space="preserve">istixraj-u xaṭṭayn min xaṭṭayn</w:t>
      </w:r>
    </w:p>
    <w:p>
      <w:pPr>
        <w:pStyle w:val="BookText"/>
      </w:pPr>
      <w:r>
        <w:rPr>
          <w:rFonts w:ascii="IRNazanin" w:hAnsi="IRNazanin" w:eastAsia="IRNazanin" w:cs="IRNazanin"/>
          <w:lang w:bidi="fa-IR"/>
          <w:color w:val="111111"/>
          <w:sz w:val="28"/>
          <w:szCs w:val="28"/>
          <w:rtl/>
        </w:rPr>
        <w:t xml:space="preserve">ابوسهل کوهی، ویجن بن رستم، - ۴۰۵؟ قمری</w:t>
      </w:r>
    </w:p>
    <w:p>
      <w:pPr>
        <w:pStyle w:val="BookText"/>
      </w:pPr>
      <w:r>
        <w:rPr>
          <w:rFonts w:ascii="Times New Roman" w:hAnsi="Times New Roman" w:eastAsia="Times New Roman" w:cs="Times New Roman"/>
          <w:lang w:val="en-US" w:bidi="en-US"/>
          <w:color w:val="111111"/>
          <w:sz w:val="28"/>
          <w:szCs w:val="28"/>
          <w:rtl/>
        </w:rPr>
        <w:t xml:space="preserve">(abū-sahl-e kūhī, vayjan ebn-e rostam (- 1015)</w:t>
      </w:r>
    </w:p>
    <w:p>
      <w:pPr>
        <w:pStyle w:val="BookText"/>
      </w:pPr>
      <w:r>
        <w:rPr>
          <w:rFonts w:ascii="IRNazanin" w:hAnsi="IRNazanin" w:eastAsia="IRNazanin" w:cs="IRNazanin"/>
          <w:lang w:bidi="fa-IR"/>
          <w:color w:val="111111"/>
          <w:sz w:val="28"/>
          <w:szCs w:val="28"/>
          <w:rtl/>
        </w:rPr>
        <w:t xml:space="preserve">تهران؛ ملک؛ شماره نسخه: ۳۰۸۶/۷</w:t>
      </w:r>
    </w:p>
    <w:p>
      <w:pPr>
        <w:pStyle w:val="BookText"/>
      </w:pPr>
      <w:r>
        <w:rPr>
          <w:rFonts w:ascii="IRNazanin" w:hAnsi="IRNazanin" w:eastAsia="IRNazanin" w:cs="IRNazanin"/>
          <w:lang w:bidi="fa-IR"/>
          <w:color w:val="111111"/>
          <w:sz w:val="28"/>
          <w:szCs w:val="28"/>
          <w:rtl/>
        </w:rPr>
        <w:t xml:space="preserve">آغاز: بسمله، مقالة لابي سهل الكوهى فى استخراج خطين و يتوالى على نسبة نجعل الخطين  اب؛ انجام: و كنسبة ۵ ط التي اب و ذلك ما اردنا ان نبين تم القول ... على خیر خلقه محمد و آله اجمعین</w:t>
      </w:r>
    </w:p>
    <w:p>
      <w:pPr>
        <w:pStyle w:val="BookText"/>
      </w:pPr>
      <w:r>
        <w:rPr>
          <w:rFonts w:ascii="IRNazanin" w:hAnsi="IRNazanin" w:eastAsia="IRNazanin" w:cs="IRNazanin"/>
          <w:lang w:bidi="fa-IR"/>
          <w:color w:val="111111"/>
          <w:sz w:val="28"/>
          <w:szCs w:val="28"/>
          <w:rtl/>
        </w:rPr>
        <w:t xml:space="preserve">مقالة فى استخراج خطين من خطين حتى يتوالى على نسبة؛ خط: شکسته نستعلیق، بی کا، بی تا ؛کاغذ: فرنگی آهار مهره، جلد: میشن لایی ،پازهری، اگ (۶۶ر-۶۶ پ)، ۱۶ سطر، اندازه: ۱۱</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۱۷سم [ف: ۶ - ۲۰۸]</w:t>
      </w:r>
    </w:p>
    <w:p>
      <w:pPr>
        <w:pStyle w:val="Heading3"/>
      </w:pPr>
      <w:bookmarkStart w:id="1066" w:name="_Toc588"/>
      <w:r>
        <w:t>استخراج الخفايا من آیتین / علوم غریبه / عربی</w:t>
      </w:r>
      <w:bookmarkEnd w:id="1066"/>
    </w:p>
    <w:p>
      <w:pPr>
        <w:pStyle w:val="BookText"/>
      </w:pPr>
      <w:r>
        <w:rPr>
          <w:rFonts w:ascii="Times New Roman" w:hAnsi="Times New Roman" w:eastAsia="Times New Roman" w:cs="Times New Roman"/>
          <w:lang w:val="en-US" w:bidi="en-US"/>
          <w:color w:val="111111"/>
          <w:sz w:val="28"/>
          <w:szCs w:val="28"/>
          <w:rtl/>
        </w:rPr>
        <w:t xml:space="preserve">istixraj-ul-xafaya min ayatayn</w:t>
      </w:r>
    </w:p>
    <w:p>
      <w:pPr>
        <w:pStyle w:val="BookText"/>
      </w:pPr>
      <w:r>
        <w:rPr>
          <w:rFonts w:ascii="IRNazanin" w:hAnsi="IRNazanin" w:eastAsia="IRNazanin" w:cs="IRNazanin"/>
          <w:lang w:bidi="fa-IR"/>
          <w:color w:val="111111"/>
          <w:sz w:val="28"/>
          <w:szCs w:val="28"/>
          <w:rtl/>
        </w:rPr>
        <w:t xml:space="preserve">در استخراج مطالب مخفی به طریق حروفجفری از دو آیه «ان الارض يرثها عبادى الصالحون» (سورة الأنبياء ۱۰۵) که از آیه اول استخراج احوال ملوک و مدت ملک آنان و از آیه دوم استخراج احوال امت ها می شود. این روش از سید علی معروف به ابن اقوام گرفته شده است.</w:t>
      </w:r>
    </w:p>
    <w:p>
      <w:pPr>
        <w:pStyle w:val="BookText"/>
      </w:pPr>
      <w:r>
        <w:rPr>
          <w:rFonts w:ascii="IRNazanin" w:hAnsi="IRNazanin" w:eastAsia="IRNazanin" w:cs="IRNazanin"/>
          <w:lang w:bidi="fa-IR"/>
          <w:color w:val="111111"/>
          <w:sz w:val="28"/>
          <w:szCs w:val="28"/>
          <w:rtl/>
        </w:rPr>
        <w:t xml:space="preserve">قم؛ مرعشی؛ شماره نسخه: ۷۴۰۸/۴</w:t>
      </w:r>
    </w:p>
    <w:p>
      <w:pPr>
        <w:pStyle w:val="BookText"/>
      </w:pPr>
      <w:r>
        <w:rPr>
          <w:rFonts w:ascii="Amiri" w:hAnsi="Amiri" w:eastAsia="Amiri" w:cs="Amiri"/>
          <w:lang w:bidi="ar-SA"/>
          <w:color w:val="111111"/>
          <w:sz w:val="28"/>
          <w:szCs w:val="28"/>
          <w:rtl/>
        </w:rPr>
        <w:t xml:space="preserve">آغاز: الحمد لملهم استنباط الأسرار من مكنونات آياته و الصلاة على فاتح خزائن الجود بمفاتيح أسمائه و صفاته؛ انجام: و ان أردت تمام فانظر ما نقول في القصيدة الفارسية و السلام على رسوله.</w:t>
      </w:r>
    </w:p>
    <w:p>
      <w:pPr>
        <w:pStyle w:val="BookText"/>
      </w:pPr>
      <w:r>
        <w:rPr>
          <w:rFonts w:ascii="IRNazanin" w:hAnsi="IRNazanin" w:eastAsia="IRNazanin" w:cs="IRNazanin"/>
          <w:lang w:bidi="fa-IR"/>
          <w:color w:val="111111"/>
          <w:sz w:val="28"/>
          <w:szCs w:val="28"/>
          <w:rtl/>
        </w:rPr>
        <w:t xml:space="preserve">خط: نستعلیق، بی کا، تا: ۷ صفر ۱۲۳۳ق؛ جلد: تیماج مشکی، ۱۵گ (۱۳۶پ - ۱۵۰ پ) ،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۲۴سم [ف : ۱۹ - ۲۱۲]</w:t>
      </w:r>
    </w:p>
    <w:p>
      <w:pPr>
        <w:pStyle w:val="Heading3"/>
      </w:pPr>
      <w:bookmarkStart w:id="1067" w:name="_Toc589"/>
      <w:r>
        <w:t>استخراج دفين / فارسی</w:t>
      </w:r>
      <w:bookmarkEnd w:id="1067"/>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65" w:name="pg20365_260248"/>
    <w:bookmarkEnd w:id="165"/>
    <w:p>
      <w:pPr>
        <w:pStyle w:val="BookText"/>
      </w:pPr>
      <w:r>
        <w:rPr>
          <w:rFonts w:ascii="Times New Roman" w:hAnsi="Times New Roman" w:eastAsia="Times New Roman" w:cs="Times New Roman"/>
          <w:lang w:val="en-US" w:bidi="en-US"/>
          <w:color w:val="111111"/>
          <w:sz w:val="28"/>
          <w:szCs w:val="28"/>
          <w:rtl/>
        </w:rPr>
        <w:t xml:space="preserve">exraj-e dafin</w:t>
      </w:r>
    </w:p>
    <w:p>
      <w:pPr>
        <w:pStyle w:val="BookText"/>
      </w:pPr>
      <w:r>
        <w:rPr>
          <w:rFonts w:ascii="IRNazanin" w:hAnsi="IRNazanin" w:eastAsia="IRNazanin" w:cs="IRNazanin"/>
          <w:lang w:bidi="fa-IR"/>
          <w:color w:val="111111"/>
          <w:sz w:val="28"/>
          <w:szCs w:val="28"/>
          <w:rtl/>
        </w:rPr>
        <w:t xml:space="preserve">تهران؛ مجلس؛ شماره نسخه: ۲۷۷۸/۶</w:t>
      </w:r>
    </w:p>
    <w:p>
      <w:pPr>
        <w:pStyle w:val="BookText"/>
      </w:pPr>
      <w:r>
        <w:rPr>
          <w:rFonts w:ascii="IRNazanin" w:hAnsi="IRNazanin" w:eastAsia="IRNazanin" w:cs="IRNazanin"/>
          <w:lang w:bidi="fa-IR"/>
          <w:color w:val="111111"/>
          <w:sz w:val="28"/>
          <w:szCs w:val="28"/>
          <w:rtl/>
        </w:rPr>
        <w:t xml:space="preserve">آغاز: فصل استخراج دفین اینست و گفته اندکی اگر آن شکـلی کی دلیل دفینه است؛ انجام: و اگر منقلب باشد هنوز در آن کار متردد باشد و الله اعلم و احکم در پایان این فصل بخط و مرکب تازه تر تاریخ «یوم یک شنبه ۲۷ شهر محرم الحرام 1323» گذاشته اند.</w:t>
      </w:r>
    </w:p>
    <w:p>
      <w:pPr>
        <w:pStyle w:val="BookText"/>
      </w:pPr>
      <w:r>
        <w:rPr>
          <w:rFonts w:ascii="IRNazanin" w:hAnsi="IRNazanin" w:eastAsia="IRNazanin" w:cs="IRNazanin"/>
          <w:lang w:bidi="fa-IR"/>
          <w:color w:val="111111"/>
          <w:sz w:val="28"/>
          <w:szCs w:val="28"/>
          <w:rtl/>
        </w:rPr>
        <w:t xml:space="preserve">فصلی است از رساله ای به فارسی که از رسم الخط  و نقطه گذاری آن پیداست از روی نسخه ای کهن که لااقل در قرن هشتم نوشته شده بازنویسی کرده اند؛ خط: نسخ، بی کا، تا: قرن ۱۲ و ۱۳؛ کاغذ: فرنگی، رگه  دار ،جلد: تیماج ضربی سیاه که با عطف و دوره سجاف کرده (۳گ (۳۲۴-۳۲۶) قطع : خشتی،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  [ف: ۹ - ۲۲۵]</w:t>
      </w:r>
    </w:p>
    <w:p>
      <w:pPr>
        <w:pStyle w:val="Heading3"/>
      </w:pPr>
      <w:bookmarkStart w:id="1068" w:name="_Toc590"/>
      <w:r>
        <w:t>استخراج دقایق حضیض اختلاف منظر القمر  المستعملة فى المجسطی / هیئت / عربی</w:t>
      </w:r>
      <w:bookmarkEnd w:id="1068"/>
    </w:p>
    <w:p>
      <w:pPr>
        <w:pStyle w:val="BookText"/>
      </w:pPr>
      <w:r>
        <w:rPr>
          <w:rFonts w:ascii="Times New Roman" w:hAnsi="Times New Roman" w:eastAsia="Times New Roman" w:cs="Times New Roman"/>
          <w:lang w:val="en-US" w:bidi="en-US"/>
          <w:color w:val="111111"/>
          <w:sz w:val="28"/>
          <w:szCs w:val="28"/>
          <w:rtl/>
        </w:rPr>
        <w:t xml:space="preserve">istixrāj-u daqāyiq-i ḥaḍīḍ-i ixtilāf-i manẓar-il qamar</w:t>
      </w:r>
    </w:p>
    <w:p>
      <w:pPr>
        <w:pStyle w:val="BookText"/>
      </w:pPr>
      <w:r>
        <w:rPr>
          <w:rFonts w:ascii="Times New Roman" w:hAnsi="Times New Roman" w:eastAsia="Times New Roman" w:cs="Times New Roman"/>
          <w:lang w:val="en-US" w:bidi="en-US"/>
          <w:color w:val="111111"/>
          <w:sz w:val="28"/>
          <w:szCs w:val="28"/>
          <w:rtl/>
        </w:rPr>
        <w:t xml:space="preserve">al-musta‘mala fi-l majasṭī</w:t>
      </w:r>
    </w:p>
    <w:p>
      <w:pPr>
        <w:pStyle w:val="BookText"/>
      </w:pPr>
      <w:r>
        <w:rPr>
          <w:rFonts w:ascii="IRNazanin" w:hAnsi="IRNazanin" w:eastAsia="IRNazanin" w:cs="IRNazanin"/>
          <w:lang w:bidi="fa-IR"/>
          <w:color w:val="111111"/>
          <w:sz w:val="28"/>
          <w:szCs w:val="28"/>
          <w:rtl/>
        </w:rPr>
        <w:t xml:space="preserve">تهران؛ دانشگاه؛ شماره نسخه: ۶۷۰/۱۹-ف</w:t>
      </w:r>
    </w:p>
    <w:p>
      <w:pPr>
        <w:pStyle w:val="BookText"/>
      </w:pPr>
      <w:r>
        <w:rPr>
          <w:rFonts w:ascii="IRNazanin" w:hAnsi="IRNazanin" w:eastAsia="IRNazanin" w:cs="IRNazanin"/>
          <w:lang w:bidi="fa-IR"/>
          <w:color w:val="111111"/>
          <w:sz w:val="28"/>
          <w:szCs w:val="28"/>
          <w:rtl/>
        </w:rPr>
        <w:t xml:space="preserve">نسخه اصل: مانیسا گنل ش ۱۷۰۶؛ خط: نسخ، بی کا، تا: 699ق؛جا: تبریز؛ ۱گ (۲۵۷ پ -۲۵۸پ)، ۱۸ سطر [ فیلم ها-ف:۱ - 523]</w:t>
      </w:r>
    </w:p>
    <w:p>
      <w:pPr>
        <w:pStyle w:val="Heading3"/>
      </w:pPr>
      <w:bookmarkStart w:id="1069" w:name="_Toc591"/>
      <w:r>
        <w:t>استخراج الدهن و الصبغ و عمل شمسی و قمری  /كيميا / عربی - فارسی</w:t>
      </w:r>
      <w:bookmarkEnd w:id="1069"/>
    </w:p>
    <w:p>
      <w:pPr>
        <w:pStyle w:val="BookText"/>
      </w:pPr>
      <w:r>
        <w:rPr>
          <w:rFonts w:ascii="Times New Roman" w:hAnsi="Times New Roman" w:eastAsia="Times New Roman" w:cs="Times New Roman"/>
          <w:lang w:val="en-US" w:bidi="en-US"/>
          <w:color w:val="111111"/>
          <w:sz w:val="28"/>
          <w:szCs w:val="28"/>
          <w:rtl/>
        </w:rPr>
        <w:t xml:space="preserve">istixrāj-ud duhn wa-ṣ ṣibġ va ‘amal-e šamsī va qamarī</w:t>
      </w:r>
    </w:p>
    <w:p>
      <w:pPr>
        <w:pStyle w:val="BookText"/>
      </w:pPr>
      <w:r>
        <w:rPr>
          <w:rFonts w:ascii="IRNazanin" w:hAnsi="IRNazanin" w:eastAsia="IRNazanin" w:cs="IRNazanin"/>
          <w:lang w:bidi="fa-IR"/>
          <w:color w:val="111111"/>
          <w:sz w:val="28"/>
          <w:szCs w:val="28"/>
          <w:rtl/>
        </w:rPr>
        <w:t xml:space="preserve">بخش نخست عربی و سپس فارسی است. در ضمن از استنباطی که ماریه کرده و در هیچ کتابی نیامده و اقوالی از سید ابراهیم حاجی ابراهیم منقول است.</w:t>
      </w:r>
    </w:p>
    <w:p>
      <w:pPr>
        <w:pStyle w:val="BookText"/>
      </w:pPr>
      <w:r>
        <w:rPr>
          <w:rFonts w:ascii="IRNazanin" w:hAnsi="IRNazanin" w:eastAsia="IRNazanin" w:cs="IRNazanin"/>
          <w:lang w:bidi="fa-IR"/>
          <w:color w:val="111111"/>
          <w:sz w:val="28"/>
          <w:szCs w:val="28"/>
          <w:rtl/>
        </w:rPr>
        <w:t xml:space="preserve">تهران؛ مجلس؛ شماره نسخه: ۱۵۶۵۲/۲</w:t>
      </w:r>
    </w:p>
    <w:p>
      <w:pPr>
        <w:pStyle w:val="BookText"/>
      </w:pPr>
      <w:r>
        <w:rPr>
          <w:rFonts w:ascii="IRNazanin" w:hAnsi="IRNazanin" w:eastAsia="IRNazanin" w:cs="IRNazanin"/>
          <w:lang w:bidi="fa-IR"/>
          <w:color w:val="111111"/>
          <w:sz w:val="28"/>
          <w:szCs w:val="28"/>
          <w:rtl/>
        </w:rPr>
        <w:t xml:space="preserve">آغاز: و ان اراده فى باب الاعظم فليقطر الحجر على بخار الـماء حتى يقطر و يبقى الدهن و الصبغ فى الارض؛ انجام: و اينعـمل مجرب است بشرط دانستنی رموز آن؛ و السلام</w:t>
      </w:r>
    </w:p>
    <w:p>
      <w:pPr>
        <w:pStyle w:val="BookText"/>
      </w:pPr>
      <w:r>
        <w:rPr>
          <w:rFonts w:ascii="IRNazanin" w:hAnsi="IRNazanin" w:eastAsia="IRNazanin" w:cs="IRNazanin"/>
          <w:lang w:bidi="fa-IR"/>
          <w:color w:val="111111"/>
          <w:sz w:val="28"/>
          <w:szCs w:val="28"/>
          <w:rtl/>
        </w:rPr>
        <w:t xml:space="preserve">خط:نسخ و نستعلیق، کا: اسماعیل بن یحیی مازندرانی،تا: پنج شنبه ۲۱ ذیحجه ۱۲۳۳ق، جا: طهران ؛کاغذ: آبی یا کرم سبز  روشن ،جلد: تیماج تریاکی بدون مقوا چروکیده ضربی ساده، ٩ ص( ۵۶ - ۶۴) ۲۰ سطر، اندازه: ۱۵/۳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 ف : ۴۳ - ۲۱۴]</w:t>
      </w:r>
    </w:p>
    <w:p>
      <w:pPr>
        <w:pStyle w:val="Heading3"/>
      </w:pPr>
      <w:bookmarkStart w:id="1070" w:name="_Toc592"/>
      <w:r>
        <w:t>استخراج رصد / هیئت / فارسی</w:t>
      </w:r>
      <w:bookmarkEnd w:id="1070"/>
    </w:p>
    <w:p>
      <w:pPr>
        <w:pStyle w:val="BookText"/>
      </w:pPr>
      <w:r>
        <w:rPr>
          <w:rFonts w:ascii="Times New Roman" w:hAnsi="Times New Roman" w:eastAsia="Times New Roman" w:cs="Times New Roman"/>
          <w:lang w:val="en-US" w:bidi="en-US"/>
          <w:color w:val="111111"/>
          <w:sz w:val="28"/>
          <w:szCs w:val="28"/>
          <w:rtl/>
        </w:rPr>
        <w:t xml:space="preserve">estexrāj-e rasad</w:t>
      </w:r>
    </w:p>
    <w:p>
      <w:pPr>
        <w:pStyle w:val="BookText"/>
      </w:pPr>
      <w:r>
        <w:rPr>
          <w:rFonts w:ascii="IRNazanin" w:hAnsi="IRNazanin" w:eastAsia="IRNazanin" w:cs="IRNazanin"/>
          <w:lang w:bidi="fa-IR"/>
          <w:color w:val="111111"/>
          <w:sz w:val="28"/>
          <w:szCs w:val="28"/>
          <w:rtl/>
        </w:rPr>
        <w:t xml:space="preserve">طريقه استخراج رصد از زیج جدید محمد شاهی سال ۱۲۲۲ را برای مثال در این رساله با چند جدول تطبیقی بیان کرده است.</w:t>
      </w:r>
    </w:p>
    <w:p>
      <w:pPr>
        <w:pStyle w:val="BookText"/>
      </w:pPr>
      <w:r>
        <w:rPr>
          <w:rFonts w:ascii="IRNazanin" w:hAnsi="IRNazanin" w:eastAsia="IRNazanin" w:cs="IRNazanin"/>
          <w:lang w:bidi="fa-IR"/>
          <w:color w:val="111111"/>
          <w:sz w:val="28"/>
          <w:szCs w:val="28"/>
          <w:rtl/>
        </w:rPr>
        <w:t xml:space="preserve">قم؛ مرعشی؛ شماره نسخه: ۸۰۸۳</w:t>
      </w:r>
    </w:p>
    <w:p>
      <w:pPr>
        <w:pStyle w:val="BookText"/>
      </w:pPr>
      <w:r>
        <w:rPr>
          <w:rFonts w:ascii="IRNazanin" w:hAnsi="IRNazanin" w:eastAsia="IRNazanin" w:cs="IRNazanin"/>
          <w:lang w:bidi="fa-IR"/>
          <w:color w:val="111111"/>
          <w:sz w:val="28"/>
          <w:szCs w:val="28"/>
          <w:rtl/>
        </w:rPr>
        <w:t xml:space="preserve">آغاز: بدانکه طریقه سر سال گرفتن از زیج جدید محمد شاهی مصنف خود بیان فرموده اند</w:t>
      </w:r>
    </w:p>
    <w:p>
      <w:pPr>
        <w:pStyle w:val="BookText"/>
      </w:pPr>
      <w:r>
        <w:rPr>
          <w:rFonts w:ascii="IRNazanin" w:hAnsi="IRNazanin" w:eastAsia="IRNazanin" w:cs="IRNazanin"/>
          <w:lang w:bidi="fa-IR"/>
          <w:color w:val="111111"/>
          <w:sz w:val="28"/>
          <w:szCs w:val="28"/>
          <w:rtl/>
        </w:rPr>
        <w:t xml:space="preserve">خط: نسخ، بی کا، بی تا: جلد: گالینگور مشکی، ۱۳گ، ۱۸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۲۱ - ۸۴]</w:t>
      </w:r>
    </w:p>
    <w:p>
      <w:pPr>
        <w:pStyle w:val="Heading3"/>
      </w:pPr>
      <w:bookmarkStart w:id="1071" w:name="_Toc593"/>
      <w:r>
        <w:t>استخراج رمل / رمل / عربی</w:t>
      </w:r>
      <w:bookmarkEnd w:id="1071"/>
    </w:p>
    <w:p>
      <w:pPr>
        <w:pStyle w:val="BookText"/>
      </w:pPr>
      <w:r>
        <w:rPr>
          <w:rFonts w:ascii="Times New Roman" w:hAnsi="Times New Roman" w:eastAsia="Times New Roman" w:cs="Times New Roman"/>
          <w:lang w:val="en-US" w:bidi="en-US"/>
          <w:color w:val="111111"/>
          <w:sz w:val="28"/>
          <w:szCs w:val="28"/>
          <w:rtl/>
        </w:rPr>
        <w:t xml:space="preserve">estexrāj-e raml</w:t>
      </w:r>
    </w:p>
    <w:p>
      <w:pPr>
        <w:pStyle w:val="BookText"/>
      </w:pPr>
      <w:r>
        <w:rPr>
          <w:rFonts w:ascii="IRNazanin" w:hAnsi="IRNazanin" w:eastAsia="IRNazanin" w:cs="IRNazanin"/>
          <w:lang w:bidi="fa-IR"/>
          <w:color w:val="111111"/>
          <w:sz w:val="28"/>
          <w:szCs w:val="28"/>
          <w:rtl/>
        </w:rPr>
        <w:t xml:space="preserve">زناتی، محمد</w:t>
      </w:r>
    </w:p>
    <w:p>
      <w:pPr>
        <w:pStyle w:val="BookText"/>
      </w:pPr>
      <w:r>
        <w:rPr>
          <w:rFonts w:ascii="Times New Roman" w:hAnsi="Times New Roman" w:eastAsia="Times New Roman" w:cs="Times New Roman"/>
          <w:lang w:val="en-US" w:bidi="en-US"/>
          <w:color w:val="111111"/>
          <w:sz w:val="28"/>
          <w:szCs w:val="28"/>
          <w:rtl/>
        </w:rPr>
        <w:t xml:space="preserve">zenātī, mohammad</w:t>
      </w:r>
    </w:p>
    <w:p>
      <w:pPr>
        <w:pStyle w:val="BookText"/>
      </w:pPr>
      <w:r>
        <w:rPr>
          <w:rFonts w:ascii="IRNazanin" w:hAnsi="IRNazanin" w:eastAsia="IRNazanin" w:cs="IRNazanin"/>
          <w:lang w:bidi="fa-IR"/>
          <w:color w:val="111111"/>
          <w:sz w:val="28"/>
          <w:szCs w:val="28"/>
          <w:rtl/>
        </w:rPr>
        <w:t xml:space="preserve">رساله ای است در استخراج رمل.</w:t>
      </w:r>
    </w:p>
    <w:p>
      <w:pPr>
        <w:pStyle w:val="BookText"/>
      </w:pPr>
      <w:r>
        <w:rPr>
          <w:rFonts w:ascii="IRNazanin" w:hAnsi="IRNazanin" w:eastAsia="IRNazanin" w:cs="IRNazanin"/>
          <w:lang w:bidi="fa-IR"/>
          <w:color w:val="111111"/>
          <w:sz w:val="28"/>
          <w:szCs w:val="28"/>
          <w:rtl/>
        </w:rPr>
        <w:t xml:space="preserve">شیراز؛ ملی؛ شماره نسخه: ف۲۴۸/۱۳</w:t>
      </w:r>
    </w:p>
    <w:p>
      <w:pPr>
        <w:pStyle w:val="BookText"/>
      </w:pPr>
      <w:r>
        <w:rPr>
          <w:rFonts w:ascii="Amiri" w:hAnsi="Amiri" w:eastAsia="Amiri" w:cs="Amiri"/>
          <w:lang w:bidi="ar-SA"/>
          <w:color w:val="111111"/>
          <w:sz w:val="28"/>
          <w:szCs w:val="28"/>
          <w:rtl/>
        </w:rPr>
        <w:t xml:space="preserve">آغاز: وقال ارجوزة الزناتى - استفتخ القول باسم الله ثم صلاته على رسول الله؛ انجام: فان كان فى الامهات يكون الى ايام و في البنات الى اسبوعات و فى الزوايد الى اشهر و فى المنطقة الى سنين والله اعلم.</w:t>
      </w:r>
    </w:p>
    <w:p>
      <w:pPr>
        <w:pStyle w:val="BookText"/>
      </w:pPr>
      <w:r>
        <w:rPr>
          <w:rFonts w:ascii="IRNazanin" w:hAnsi="IRNazanin" w:eastAsia="IRNazanin" w:cs="IRNazanin"/>
          <w:lang w:bidi="fa-IR"/>
          <w:color w:val="111111"/>
          <w:sz w:val="28"/>
          <w:szCs w:val="28"/>
          <w:rtl/>
        </w:rPr>
        <w:t xml:space="preserve">بی کا، بی تا؛ ۲گ، ۲۲  سطر، 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۱۵/۵سم [ف: ۱ - ۲۲۶]</w:t>
      </w:r>
    </w:p>
    <w:p>
      <w:pPr>
        <w:pStyle w:val="Heading3"/>
      </w:pPr>
      <w:bookmarkStart w:id="1072" w:name="_Toc594"/>
      <w:r>
        <w:t>استخراج ساعات و معرفت ایام مشهوره /هیئت / فارسی</w:t>
      </w:r>
      <w:bookmarkEnd w:id="1072"/>
    </w:p>
    <w:p>
      <w:pPr>
        <w:pStyle w:val="BookText"/>
      </w:pPr>
      <w:r>
        <w:rPr>
          <w:rFonts w:ascii="Times New Roman" w:hAnsi="Times New Roman" w:eastAsia="Times New Roman" w:cs="Times New Roman"/>
          <w:lang w:val="en-US" w:bidi="en-US"/>
          <w:color w:val="111111"/>
          <w:sz w:val="28"/>
          <w:szCs w:val="28"/>
          <w:rtl/>
        </w:rPr>
        <w:t xml:space="preserve">estexrāj-e sā āt va ma'refat-e ayyam-e mašhūre</w:t>
      </w:r>
    </w:p>
    <w:p>
      <w:pPr>
        <w:pStyle w:val="BookText"/>
      </w:pPr>
      <w:r>
        <w:rPr>
          <w:rFonts w:ascii="IRNazanin" w:hAnsi="IRNazanin" w:eastAsia="IRNazanin" w:cs="IRNazanin"/>
          <w:lang w:bidi="fa-IR"/>
          <w:color w:val="111111"/>
          <w:sz w:val="28"/>
          <w:szCs w:val="28"/>
          <w:rtl/>
        </w:rPr>
        <w:t xml:space="preserve">مشهد؛ الهیات؛ شماره نسخه: ۱۸۸۳۹/۷</w:t>
      </w:r>
    </w:p>
    <w:p>
      <w:pPr>
        <w:pStyle w:val="BookText"/>
      </w:pPr>
      <w:r>
        <w:rPr>
          <w:rFonts w:ascii="IRNazanin" w:hAnsi="IRNazanin" w:eastAsia="IRNazanin" w:cs="IRNazanin"/>
          <w:lang w:bidi="fa-IR"/>
          <w:color w:val="111111"/>
          <w:sz w:val="28"/>
          <w:szCs w:val="28"/>
          <w:rtl/>
        </w:rPr>
        <w:t xml:space="preserve">بندی است کوتاه در چهار صفحه؛ خط: نستعلیق، کا: میرزا حسین اصفهانی، تا: ۱۰۶۳ق، جا: بلاد شماخی؛ دارای جداول و دوائر نجومی؛ کاغذ: نوعی ترمه؛ جلد: تیماج لایه ای عنابی، ۴ص (۱۹۴-۱۹۱)، ۱۶ سطر (5</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 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۱۶/۵سم [ف: ۲-۲۵۳]</w:t>
      </w:r>
    </w:p>
    <w:p>
      <w:pPr>
        <w:pStyle w:val="Heading3"/>
      </w:pPr>
      <w:bookmarkStart w:id="1073" w:name="_Toc595"/>
      <w:r>
        <w:t>استخراج سمت القبله / هیئت / عربی</w:t>
      </w:r>
      <w:bookmarkEnd w:id="1073"/>
    </w:p>
    <w:p>
      <w:pPr>
        <w:pStyle w:val="BookText"/>
      </w:pPr>
      <w:r>
        <w:rPr>
          <w:rFonts w:ascii="Times New Roman" w:hAnsi="Times New Roman" w:eastAsia="Times New Roman" w:cs="Times New Roman"/>
          <w:lang w:val="en-US" w:bidi="en-US"/>
          <w:color w:val="111111"/>
          <w:sz w:val="28"/>
          <w:szCs w:val="28"/>
          <w:rtl/>
        </w:rPr>
        <w:t xml:space="preserve">istixrāj-u samt-il-qibla</w:t>
      </w:r>
    </w:p>
    <w:p>
      <w:pPr>
        <w:pStyle w:val="BookText"/>
      </w:pPr>
      <w:r>
        <w:rPr>
          <w:rFonts w:ascii="IRNazanin" w:hAnsi="IRNazanin" w:eastAsia="IRNazanin" w:cs="IRNazanin"/>
          <w:lang w:bidi="fa-IR"/>
          <w:color w:val="111111"/>
          <w:sz w:val="28"/>
          <w:szCs w:val="28"/>
          <w:rtl/>
        </w:rPr>
        <w:t xml:space="preserve">سالار ،على بن فضل الله، ق۶ قمری</w:t>
      </w:r>
    </w:p>
    <w:p>
      <w:pPr>
        <w:pStyle w:val="BookText"/>
      </w:pPr>
      <w:r>
        <w:rPr>
          <w:rFonts w:ascii="Times New Roman" w:hAnsi="Times New Roman" w:eastAsia="Times New Roman" w:cs="Times New Roman"/>
          <w:lang w:val="en-US" w:bidi="en-US"/>
          <w:color w:val="111111"/>
          <w:sz w:val="28"/>
          <w:szCs w:val="28"/>
          <w:rtl/>
        </w:rPr>
        <w:t xml:space="preserve">(sālār, ‘alī ebn-e fazl-ol-lāh (- 12c)</w:t>
      </w:r>
    </w:p>
    <w:p>
      <w:pPr>
        <w:pStyle w:val="BookText"/>
      </w:pPr>
      <w:r>
        <w:rPr>
          <w:rFonts w:ascii="Amiri" w:hAnsi="Amiri" w:eastAsia="Amiri" w:cs="Amiri"/>
          <w:lang w:bidi="ar-SA"/>
          <w:color w:val="111111"/>
          <w:sz w:val="28"/>
          <w:szCs w:val="28"/>
          <w:rtl/>
        </w:rPr>
        <w:t xml:space="preserve">آغاز: بسمله، ان فى استخراج سمت القبلة للمواضع التي طولها  يخالف طول مكة</w:t>
      </w:r>
    </w:p>
    <w:p>
      <w:pPr>
        <w:pStyle w:val="BookText"/>
      </w:pPr>
      <w:r>
        <w:rPr>
          <w:rFonts w:ascii="Amiri" w:hAnsi="Amiri" w:eastAsia="Amiri" w:cs="Amiri"/>
          <w:lang w:bidi="ar-SA"/>
          <w:color w:val="111111"/>
          <w:sz w:val="28"/>
          <w:szCs w:val="28"/>
          <w:rtl/>
        </w:rPr>
        <w:t xml:space="preserve">انجام: ليحصل الارتفاع المطلوب والله تعالى اعلم بالصواب واليه  المرجع والمآب</w:t>
      </w:r>
    </w:p>
    <w:p>
      <w:pPr>
        <w:pStyle w:val="BookText"/>
      </w:pPr>
      <w:r>
        <w:rPr>
          <w:rFonts w:ascii="IRNazanin" w:hAnsi="IRNazanin" w:eastAsia="IRNazanin" w:cs="IRNazanin"/>
          <w:lang w:bidi="fa-IR"/>
          <w:color w:val="111111"/>
          <w:sz w:val="28"/>
          <w:szCs w:val="28"/>
          <w:rtl/>
        </w:rPr>
        <w:t xml:space="preserve">مشهد؛ رضوی؛ شماره نسخه: ۵۴۱۵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ربیع الاول ۶۷۲ق؛ ضمیمه نسخه ش ۵۴۱۲؛ کاغذ: حنایی آهار مهره ،جلد: چرمی  مشکی، ۸ص (۴۳-۵۰)، ۱۶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66" w:name="pg20365_260249"/>
    <w:bookmarkEnd w:id="166"/>
    <w:p>
      <w:pPr>
        <w:pStyle w:val="BookText"/>
      </w:pPr>
      <w:r>
        <w:rPr>
          <w:rFonts w:ascii="IRNazanin" w:hAnsi="IRNazanin" w:eastAsia="IRNazanin" w:cs="IRNazanin"/>
          <w:lang w:bidi="fa-IR"/>
          <w:color w:val="111111"/>
          <w:sz w:val="28"/>
          <w:szCs w:val="28"/>
          <w:rtl/>
        </w:rPr>
        <w:t xml:space="preserve">سطر (۸/۵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۱۱/۵) ،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۸ - ۴۲۱]</w:t>
      </w:r>
    </w:p>
    <w:p>
      <w:pPr>
        <w:pStyle w:val="BookText"/>
      </w:pPr>
      <w:r>
        <w:rPr>
          <w:rFonts w:ascii="IRNazanin" w:hAnsi="IRNazanin" w:eastAsia="IRNazanin" w:cs="IRNazanin"/>
          <w:lang w:bidi="fa-IR"/>
          <w:color w:val="111111"/>
          <w:sz w:val="28"/>
          <w:szCs w:val="28"/>
          <w:rtl/>
        </w:rPr>
        <w:t xml:space="preserve">تهران؛ دانشگاه؛ شماره نسخه: ۶۶۳۶/۱-عکس</w:t>
      </w:r>
    </w:p>
    <w:p>
      <w:pPr>
        <w:pStyle w:val="BookText"/>
      </w:pPr>
      <w:r>
        <w:rPr>
          <w:rFonts w:ascii="IRNazanin" w:hAnsi="IRNazanin" w:eastAsia="IRNazanin" w:cs="IRNazanin"/>
          <w:lang w:bidi="fa-IR"/>
          <w:color w:val="111111"/>
          <w:sz w:val="28"/>
          <w:szCs w:val="28"/>
          <w:rtl/>
        </w:rPr>
        <w:t xml:space="preserve">نسخه اصل: همان نسخه بالا[ فیلم ها-ف: ۳ - ۲۵۹]</w:t>
      </w:r>
    </w:p>
    <w:p>
      <w:pPr>
        <w:pStyle w:val="Heading3"/>
      </w:pPr>
      <w:bookmarkStart w:id="1074" w:name="_Toc596"/>
      <w:r>
        <w:t>استخراج سمت قبله / هیئت / فارسی</w:t>
      </w:r>
      <w:bookmarkEnd w:id="1074"/>
    </w:p>
    <w:p>
      <w:pPr>
        <w:pStyle w:val="BookText"/>
      </w:pPr>
      <w:r>
        <w:rPr>
          <w:rFonts w:ascii="Times New Roman" w:hAnsi="Times New Roman" w:eastAsia="Times New Roman" w:cs="Times New Roman"/>
          <w:lang w:val="en-US" w:bidi="en-US"/>
          <w:color w:val="111111"/>
          <w:sz w:val="28"/>
          <w:szCs w:val="28"/>
          <w:rtl/>
        </w:rPr>
        <w:t xml:space="preserve">exrāj-e samt-e qeble</w:t>
      </w:r>
    </w:p>
    <w:p>
      <w:pPr>
        <w:pStyle w:val="BookText"/>
      </w:pPr>
      <w:r>
        <w:rPr>
          <w:rFonts w:ascii="IRNazanin" w:hAnsi="IRNazanin" w:eastAsia="IRNazanin" w:cs="IRNazanin"/>
          <w:lang w:bidi="fa-IR"/>
          <w:color w:val="111111"/>
          <w:sz w:val="28"/>
          <w:szCs w:val="28"/>
          <w:rtl/>
        </w:rPr>
        <w:t xml:space="preserve">حسینی، فتح الله بن حبيب الله،  ق ۱۰ قمری</w:t>
      </w:r>
    </w:p>
    <w:p>
      <w:pPr>
        <w:pStyle w:val="BookText"/>
      </w:pPr>
      <w:r>
        <w:rPr>
          <w:rFonts w:ascii="Times New Roman" w:hAnsi="Times New Roman" w:eastAsia="Times New Roman" w:cs="Times New Roman"/>
          <w:lang w:val="en-US" w:bidi="en-US"/>
          <w:color w:val="111111"/>
          <w:sz w:val="28"/>
          <w:szCs w:val="28"/>
          <w:rtl/>
        </w:rPr>
        <w:t xml:space="preserve">(hoseynī, fath-ol-lāh ebn-e habīb-ol-lāh (- 16c)</w:t>
      </w:r>
    </w:p>
    <w:p>
      <w:pPr>
        <w:pStyle w:val="BookText"/>
      </w:pPr>
      <w:r>
        <w:rPr>
          <w:rFonts w:ascii="IRNazanin" w:hAnsi="IRNazanin" w:eastAsia="IRNazanin" w:cs="IRNazanin"/>
          <w:lang w:bidi="fa-IR"/>
          <w:color w:val="111111"/>
          <w:sz w:val="28"/>
          <w:szCs w:val="28"/>
          <w:rtl/>
        </w:rPr>
        <w:t xml:space="preserve">اهدا به: به دستور عادل شاه</w:t>
      </w:r>
    </w:p>
    <w:p>
      <w:pPr>
        <w:pStyle w:val="BookText"/>
      </w:pPr>
      <w:r>
        <w:rPr>
          <w:rFonts w:ascii="IRNazanin" w:hAnsi="IRNazanin" w:eastAsia="IRNazanin" w:cs="IRNazanin"/>
          <w:lang w:bidi="fa-IR"/>
          <w:color w:val="111111"/>
          <w:sz w:val="28"/>
          <w:szCs w:val="28"/>
          <w:rtl/>
        </w:rPr>
        <w:t xml:space="preserve">محل تألیف: بیجاپور</w:t>
      </w:r>
    </w:p>
    <w:p>
      <w:pPr>
        <w:pStyle w:val="BookText"/>
      </w:pPr>
      <w:r>
        <w:rPr>
          <w:rFonts w:ascii="IRNazanin" w:hAnsi="IRNazanin" w:eastAsia="IRNazanin" w:cs="IRNazanin"/>
          <w:lang w:bidi="fa-IR"/>
          <w:color w:val="111111"/>
          <w:sz w:val="28"/>
          <w:szCs w:val="28"/>
          <w:rtl/>
        </w:rPr>
        <w:t xml:space="preserve">دارای مبادی و تمهید صغری و کبری و شکل و خاتمه.</w:t>
      </w:r>
    </w:p>
    <w:p>
      <w:pPr>
        <w:pStyle w:val="BookText"/>
      </w:pPr>
      <w:r>
        <w:rPr>
          <w:rFonts w:ascii="IRNazanin" w:hAnsi="IRNazanin" w:eastAsia="IRNazanin" w:cs="IRNazanin"/>
          <w:lang w:bidi="fa-IR"/>
          <w:color w:val="111111"/>
          <w:sz w:val="28"/>
          <w:szCs w:val="28"/>
          <w:rtl/>
        </w:rPr>
        <w:t xml:space="preserve">[فهرستواره منزوی ۳۰۰۵/۴]</w:t>
      </w:r>
    </w:p>
    <w:p>
      <w:pPr>
        <w:pStyle w:val="BookText"/>
      </w:pPr>
      <w:r>
        <w:rPr>
          <w:rFonts w:ascii="IRNazanin" w:hAnsi="IRNazanin" w:eastAsia="IRNazanin" w:cs="IRNazanin"/>
          <w:lang w:bidi="fa-IR"/>
          <w:color w:val="111111"/>
          <w:sz w:val="28"/>
          <w:szCs w:val="28"/>
          <w:rtl/>
        </w:rPr>
        <w:t xml:space="preserve">تهران؛ ملک؛ شماره نسخه: ۳۵۳۶/۲</w:t>
      </w:r>
    </w:p>
    <w:p>
      <w:pPr>
        <w:pStyle w:val="BookText"/>
      </w:pPr>
      <w:r>
        <w:rPr>
          <w:rFonts w:ascii="IRNazanin" w:hAnsi="IRNazanin" w:eastAsia="IRNazanin" w:cs="IRNazanin"/>
          <w:lang w:bidi="fa-IR"/>
          <w:color w:val="111111"/>
          <w:sz w:val="28"/>
          <w:szCs w:val="28"/>
          <w:rtl/>
        </w:rPr>
        <w:t xml:space="preserve">خط: نسخ، بی کا، تا: ۱۲۹۱ق؛ کاغذ: ترمه، جلد: میشن سیاه ، 21 سطر،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۲۳/۶سم [ف: ۶ - ۴۷۷]</w:t>
      </w:r>
    </w:p>
    <w:p>
      <w:pPr>
        <w:pStyle w:val="Heading3"/>
      </w:pPr>
      <w:bookmarkStart w:id="1075" w:name="_Toc597"/>
      <w:r>
        <w:t>استخراج سمت قبله / هیئت / فارسی</w:t>
      </w:r>
      <w:bookmarkEnd w:id="1075"/>
    </w:p>
    <w:p>
      <w:pPr>
        <w:pStyle w:val="BookText"/>
      </w:pPr>
      <w:r>
        <w:rPr>
          <w:rFonts w:ascii="Times New Roman" w:hAnsi="Times New Roman" w:eastAsia="Times New Roman" w:cs="Times New Roman"/>
          <w:lang w:val="en-US" w:bidi="en-US"/>
          <w:color w:val="111111"/>
          <w:sz w:val="28"/>
          <w:szCs w:val="28"/>
          <w:rtl/>
        </w:rPr>
        <w:t xml:space="preserve">exrāj-e samt-e qeble</w:t>
      </w:r>
    </w:p>
    <w:p>
      <w:pPr>
        <w:pStyle w:val="BookText"/>
      </w:pPr>
      <w:r>
        <w:rPr>
          <w:rFonts w:ascii="IRNazanin" w:hAnsi="IRNazanin" w:eastAsia="IRNazanin" w:cs="IRNazanin"/>
          <w:lang w:bidi="fa-IR"/>
          <w:color w:val="111111"/>
          <w:sz w:val="28"/>
          <w:szCs w:val="28"/>
          <w:rtl/>
        </w:rPr>
        <w:t xml:space="preserve">رساله مختصری است در کیفیت استخراج سمت قبله.</w:t>
      </w:r>
    </w:p>
    <w:p>
      <w:pPr>
        <w:pStyle w:val="BookText"/>
      </w:pPr>
      <w:r>
        <w:rPr>
          <w:rFonts w:ascii="IRNazanin" w:hAnsi="IRNazanin" w:eastAsia="IRNazanin" w:cs="IRNazanin"/>
          <w:lang w:bidi="fa-IR"/>
          <w:color w:val="111111"/>
          <w:sz w:val="28"/>
          <w:szCs w:val="28"/>
          <w:rtl/>
        </w:rPr>
        <w:t xml:space="preserve">مشهد؛ رضوی؛ شماره نسخه: ۱۲۰۴۲/۴</w:t>
      </w:r>
    </w:p>
    <w:p>
      <w:pPr>
        <w:pStyle w:val="BookText"/>
      </w:pPr>
      <w:r>
        <w:rPr>
          <w:rFonts w:ascii="IRNazanin" w:hAnsi="IRNazanin" w:eastAsia="IRNazanin" w:cs="IRNazanin"/>
          <w:lang w:bidi="fa-IR"/>
          <w:color w:val="111111"/>
          <w:sz w:val="28"/>
          <w:szCs w:val="28"/>
          <w:rtl/>
        </w:rPr>
        <w:t xml:space="preserve">آغاز ،بسمله، الحمد لله رب العالمين و العاقبة للمتقين...وبعد این حروف نوشته می شود بالتماس بعضی از دوستان و عزیزان؛ انجـام؛ و سمت قبله دمشق اینست والله اعلم بالصواب و اليه المرجع  المآب</w:t>
      </w:r>
    </w:p>
    <w:p>
      <w:pPr>
        <w:pStyle w:val="BookText"/>
      </w:pPr>
      <w:r>
        <w:rPr>
          <w:rFonts w:ascii="IRNazanin" w:hAnsi="IRNazanin" w:eastAsia="IRNazanin" w:cs="IRNazanin"/>
          <w:lang w:bidi="fa-IR"/>
          <w:color w:val="111111"/>
          <w:sz w:val="28"/>
          <w:szCs w:val="28"/>
          <w:rtl/>
        </w:rPr>
        <w:t xml:space="preserve">خط: نستعلیق  تحریری ،کا: محمد هادی بن محمد تقی سهروردی مشهور به شولستانی، تا: ۱۱۰۴ق ،:جا ،تهران، مدرسه صالحیه؛ کاغذ: نخودی آهار مهره ،جلد: تیماج، اندازه: ۱۴</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۲۶سم [ف ۱۰ - 171]</w:t>
      </w:r>
    </w:p>
    <w:p>
      <w:pPr>
        <w:pStyle w:val="Heading3"/>
      </w:pPr>
      <w:bookmarkStart w:id="1076" w:name="_Toc598"/>
      <w:r>
        <w:t>استخراج سهام از مجمل الاصول / هیئت / فارسی</w:t>
      </w:r>
      <w:bookmarkEnd w:id="1076"/>
    </w:p>
    <w:p>
      <w:pPr>
        <w:pStyle w:val="BookText"/>
      </w:pPr>
      <w:r>
        <w:rPr>
          <w:rFonts w:ascii="Times New Roman" w:hAnsi="Times New Roman" w:eastAsia="Times New Roman" w:cs="Times New Roman"/>
          <w:lang w:val="en-US" w:bidi="en-US"/>
          <w:color w:val="111111"/>
          <w:sz w:val="28"/>
          <w:szCs w:val="28"/>
          <w:rtl/>
        </w:rPr>
        <w:t xml:space="preserve">exrāj-e sahām az mojmal-ol-osul</w:t>
      </w:r>
    </w:p>
    <w:p>
      <w:pPr>
        <w:pStyle w:val="BookText"/>
      </w:pPr>
      <w:r>
        <w:rPr>
          <w:rFonts w:ascii="IRNazanin" w:hAnsi="IRNazanin" w:eastAsia="IRNazanin" w:cs="IRNazanin"/>
          <w:lang w:bidi="fa-IR"/>
          <w:color w:val="111111"/>
          <w:sz w:val="28"/>
          <w:szCs w:val="28"/>
          <w:rtl/>
        </w:rPr>
        <w:t xml:space="preserve">سعد عنایت الله، ق ۱۰ قمری</w:t>
      </w:r>
    </w:p>
    <w:p>
      <w:pPr>
        <w:pStyle w:val="BookText"/>
      </w:pPr>
      <w:r>
        <w:rPr>
          <w:rFonts w:ascii="Times New Roman" w:hAnsi="Times New Roman" w:eastAsia="Times New Roman" w:cs="Times New Roman"/>
          <w:lang w:val="en-US" w:bidi="en-US"/>
          <w:color w:val="111111"/>
          <w:sz w:val="28"/>
          <w:szCs w:val="28"/>
          <w:rtl/>
        </w:rPr>
        <w:t xml:space="preserve">(sa‘d ‘enāyat-ol-lāh (- 16c)</w:t>
      </w:r>
    </w:p>
    <w:p>
      <w:pPr>
        <w:pStyle w:val="BookText"/>
      </w:pPr>
      <w:r>
        <w:rPr>
          <w:rFonts w:ascii="IRNazanin" w:hAnsi="IRNazanin" w:eastAsia="IRNazanin" w:cs="IRNazanin"/>
          <w:lang w:bidi="fa-IR"/>
          <w:color w:val="111111"/>
          <w:sz w:val="28"/>
          <w:szCs w:val="28"/>
          <w:rtl/>
        </w:rPr>
        <w:t xml:space="preserve">گویا از سعد عنایت الله و در آن از حادثه ۱۱ جمادى الثانى 906یاد شده است.</w:t>
      </w:r>
    </w:p>
    <w:p>
      <w:pPr>
        <w:pStyle w:val="BookText"/>
      </w:pPr>
      <w:r>
        <w:rPr>
          <w:rFonts w:ascii="IRNazanin" w:hAnsi="IRNazanin" w:eastAsia="IRNazanin" w:cs="IRNazanin"/>
          <w:lang w:bidi="fa-IR"/>
          <w:color w:val="111111"/>
          <w:sz w:val="28"/>
          <w:szCs w:val="28"/>
          <w:rtl/>
        </w:rPr>
        <w:t xml:space="preserve">تهران؛ دانشگاه؛ شماره نسخه: ۳۱۳۴/۲</w:t>
      </w:r>
    </w:p>
    <w:p>
      <w:pPr>
        <w:pStyle w:val="BookText"/>
      </w:pPr>
      <w:r>
        <w:rPr>
          <w:rFonts w:ascii="IRNazanin" w:hAnsi="IRNazanin" w:eastAsia="IRNazanin" w:cs="IRNazanin"/>
          <w:lang w:bidi="fa-IR"/>
          <w:color w:val="111111"/>
          <w:sz w:val="28"/>
          <w:szCs w:val="28"/>
          <w:rtl/>
        </w:rPr>
        <w:t xml:space="preserve">بی کا، بی تا؛ کاغذ: سپاهانی، جلد: تیماج سرخ ضربی زرکوب، ۷گ (۶۷-۶۱)، ۲۰ سطر (۵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اندازه: 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۱۹/۵سم [ ف : ۱۱ - 2083]</w:t>
      </w:r>
    </w:p>
    <w:p>
      <w:pPr>
        <w:pStyle w:val="Heading3"/>
      </w:pPr>
      <w:bookmarkStart w:id="1077" w:name="_Toc599"/>
      <w:r>
        <w:t>استخراج شاه نعمة الله / شعر / فارسی</w:t>
      </w:r>
      <w:bookmarkEnd w:id="1077"/>
    </w:p>
    <w:p>
      <w:pPr>
        <w:pStyle w:val="BookText"/>
      </w:pPr>
      <w:r>
        <w:rPr>
          <w:rFonts w:ascii="Times New Roman" w:hAnsi="Times New Roman" w:eastAsia="Times New Roman" w:cs="Times New Roman"/>
          <w:lang w:val="en-US" w:bidi="en-US"/>
          <w:color w:val="111111"/>
          <w:sz w:val="28"/>
          <w:szCs w:val="28"/>
          <w:rtl/>
        </w:rPr>
        <w:t xml:space="preserve">exrāj-e šah ne'mat-ol-lah</w:t>
      </w:r>
    </w:p>
    <w:p>
      <w:pPr>
        <w:pStyle w:val="BookText"/>
      </w:pPr>
      <w:r>
        <w:rPr>
          <w:rFonts w:ascii="IRNazanin" w:hAnsi="IRNazanin" w:eastAsia="IRNazanin" w:cs="IRNazanin"/>
          <w:lang w:bidi="fa-IR"/>
          <w:color w:val="111111"/>
          <w:sz w:val="28"/>
          <w:szCs w:val="28"/>
          <w:rtl/>
        </w:rPr>
        <w:t xml:space="preserve">نعمة الله ولی نعمة الله بن عبد الله، ۷۳۰؟ - ۸۳۴ قمری</w:t>
      </w:r>
    </w:p>
    <w:p>
      <w:pPr>
        <w:pStyle w:val="BookText"/>
      </w:pPr>
      <w:r>
        <w:rPr>
          <w:rFonts w:ascii="Times New Roman" w:hAnsi="Times New Roman" w:eastAsia="Times New Roman" w:cs="Times New Roman"/>
          <w:lang w:val="en-US" w:bidi="en-US"/>
          <w:color w:val="111111"/>
          <w:sz w:val="28"/>
          <w:szCs w:val="28"/>
          <w:rtl/>
        </w:rPr>
        <w:t xml:space="preserve">ne'mat-ol-lah-e vali, ne'mat-ol-lah ebn-e 'abd-ol-lah</w:t>
      </w:r>
    </w:p>
    <w:p>
      <w:pPr>
        <w:pStyle w:val="BookText"/>
      </w:pPr>
      <w:r>
        <w:rPr>
          <w:rFonts w:ascii="Times New Roman" w:hAnsi="Times New Roman" w:eastAsia="Times New Roman" w:cs="Times New Roman"/>
          <w:lang w:val="en-US" w:bidi="en-US"/>
          <w:color w:val="111111"/>
          <w:sz w:val="28"/>
          <w:szCs w:val="28"/>
          <w:rtl/>
        </w:rPr>
        <w:t xml:space="preserve">(1330 - 1431)</w:t>
      </w:r>
    </w:p>
    <w:p>
      <w:pPr>
        <w:pStyle w:val="BookText"/>
      </w:pPr>
      <w:r>
        <w:rPr>
          <w:rFonts w:ascii="IRNazanin" w:hAnsi="IRNazanin" w:eastAsia="IRNazanin" w:cs="IRNazanin"/>
          <w:lang w:bidi="fa-IR"/>
          <w:color w:val="111111"/>
          <w:sz w:val="28"/>
          <w:szCs w:val="28"/>
          <w:rtl/>
        </w:rPr>
        <w:t xml:space="preserve">همان پیشگویی های دروغ که در آن از سال های ۱۰۹۰ و ۱۱۵۰  و ۱۱۵۶ یاد شده است.</w:t>
      </w:r>
    </w:p>
    <w:p>
      <w:pPr>
        <w:pStyle w:val="BookText"/>
      </w:pPr>
      <w:r>
        <w:rPr>
          <w:rFonts w:ascii="IRNazanin" w:hAnsi="IRNazanin" w:eastAsia="IRNazanin" w:cs="IRNazanin"/>
          <w:lang w:bidi="fa-IR"/>
          <w:color w:val="111111"/>
          <w:sz w:val="28"/>
          <w:szCs w:val="28"/>
          <w:rtl/>
        </w:rPr>
        <w:t xml:space="preserve">تهران؛ دانشگاه؛ شماره نسخه: ۲۹۵۰/۳</w:t>
      </w:r>
    </w:p>
    <w:p>
      <w:pPr>
        <w:pStyle w:val="BookText"/>
      </w:pPr>
      <w:r>
        <w:rPr>
          <w:rFonts w:ascii="IRNazanin" w:hAnsi="IRNazanin" w:eastAsia="IRNazanin" w:cs="IRNazanin"/>
          <w:lang w:bidi="fa-IR"/>
          <w:color w:val="111111"/>
          <w:sz w:val="28"/>
          <w:szCs w:val="28"/>
          <w:rtl/>
        </w:rPr>
        <w:t xml:space="preserve">خط: نستعليق ،كا: معين الدين على بن شمس الدین علی حسینی، تا: ۱۵ شوال ۱۱۳۶ق؛ ۱ص (۲۹) [ف : ۱۰ - ۱۸۳۳]</w:t>
      </w:r>
    </w:p>
    <w:p>
      <w:pPr>
        <w:pStyle w:val="Heading3"/>
      </w:pPr>
      <w:bookmarkStart w:id="1078" w:name="_Toc600"/>
      <w:r>
        <w:t>استخراج شؤون / پیشگویی/ عربی</w:t>
      </w:r>
      <w:bookmarkEnd w:id="1078"/>
    </w:p>
    <w:p>
      <w:pPr>
        <w:pStyle w:val="BookText"/>
      </w:pPr>
      <w:r>
        <w:rPr>
          <w:rFonts w:ascii="Times New Roman" w:hAnsi="Times New Roman" w:eastAsia="Times New Roman" w:cs="Times New Roman"/>
          <w:lang w:val="en-US" w:bidi="en-US"/>
          <w:color w:val="111111"/>
          <w:sz w:val="28"/>
          <w:szCs w:val="28"/>
          <w:rtl/>
        </w:rPr>
        <w:t xml:space="preserve">estexrāj-e šo❜ūn</w:t>
      </w:r>
    </w:p>
    <w:p>
      <w:pPr>
        <w:pStyle w:val="BookText"/>
      </w:pPr>
      <w:r>
        <w:rPr>
          <w:rFonts w:ascii="IRNazanin" w:hAnsi="IRNazanin" w:eastAsia="IRNazanin" w:cs="IRNazanin"/>
          <w:lang w:bidi="fa-IR"/>
          <w:color w:val="111111"/>
          <w:sz w:val="28"/>
          <w:szCs w:val="28"/>
          <w:rtl/>
        </w:rPr>
        <w:t xml:space="preserve">رساله ای است در پیشگویی ها برای سال های بعد از ۱۳۳۰ هجری قمری با استفاده از کتاب «شجره نعمانیه» منسوب به محیی الدین  عربی.</w:t>
      </w:r>
    </w:p>
    <w:p>
      <w:pPr>
        <w:pStyle w:val="BookText"/>
      </w:pPr>
      <w:r>
        <w:rPr>
          <w:rFonts w:ascii="IRNazanin" w:hAnsi="IRNazanin" w:eastAsia="IRNazanin" w:cs="IRNazanin"/>
          <w:lang w:bidi="fa-IR"/>
          <w:color w:val="111111"/>
          <w:sz w:val="28"/>
          <w:szCs w:val="28"/>
          <w:rtl/>
        </w:rPr>
        <w:t xml:space="preserve">قم؛ فیضیه؛ شماره نسخه ۲۰۷۲/۱</w:t>
      </w:r>
    </w:p>
    <w:p>
      <w:pPr>
        <w:pStyle w:val="BookText"/>
      </w:pPr>
      <w:r>
        <w:rPr>
          <w:rFonts w:ascii="Amiri" w:hAnsi="Amiri" w:eastAsia="Amiri" w:cs="Amiri"/>
          <w:lang w:bidi="ar-SA"/>
          <w:color w:val="111111"/>
          <w:sz w:val="28"/>
          <w:szCs w:val="28"/>
          <w:rtl/>
        </w:rPr>
        <w:t xml:space="preserve">آغاز: الحمد لله الذى علم بالقلم علم الانسان ما لم يعلم؛ انجام: و  لا يعلم غيب ربك الا هو و في ذلك آيات لقوم يعقلون.</w:t>
      </w:r>
    </w:p>
    <w:p>
      <w:pPr>
        <w:pStyle w:val="BookText"/>
      </w:pPr>
      <w:r>
        <w:rPr>
          <w:rFonts w:ascii="IRNazanin" w:hAnsi="IRNazanin" w:eastAsia="IRNazanin" w:cs="IRNazanin"/>
          <w:lang w:bidi="fa-IR"/>
          <w:color w:val="111111"/>
          <w:sz w:val="28"/>
          <w:szCs w:val="28"/>
          <w:rtl/>
        </w:rPr>
        <w:t xml:space="preserve">بی کا، بی تا؛ ۵گ، ۱۹ سطر،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۳ - ۱۷۶]</w:t>
      </w:r>
    </w:p>
    <w:p>
      <w:pPr>
        <w:pStyle w:val="Heading3"/>
      </w:pPr>
      <w:bookmarkStart w:id="1079" w:name="_Toc601"/>
      <w:r>
        <w:t>استخراج الشهور / رياضيات / عربي</w:t>
      </w:r>
      <w:bookmarkEnd w:id="1079"/>
    </w:p>
    <w:p>
      <w:pPr>
        <w:pStyle w:val="BookText"/>
      </w:pPr>
      <w:r>
        <w:rPr>
          <w:rFonts w:ascii="Times New Roman" w:hAnsi="Times New Roman" w:eastAsia="Times New Roman" w:cs="Times New Roman"/>
          <w:lang w:val="en-US" w:bidi="en-US"/>
          <w:color w:val="111111"/>
          <w:sz w:val="28"/>
          <w:szCs w:val="28"/>
          <w:rtl/>
        </w:rPr>
        <w:t xml:space="preserve">istixrāj-uš šuhūr</w:t>
      </w:r>
    </w:p>
    <w:p>
      <w:pPr>
        <w:pStyle w:val="BookText"/>
      </w:pPr>
      <w:r>
        <w:rPr>
          <w:rFonts w:ascii="IRNazanin" w:hAnsi="IRNazanin" w:eastAsia="IRNazanin" w:cs="IRNazanin"/>
          <w:lang w:bidi="fa-IR"/>
          <w:color w:val="111111"/>
          <w:sz w:val="28"/>
          <w:szCs w:val="28"/>
          <w:rtl/>
        </w:rPr>
        <w:t xml:space="preserve">غیر همانند:</w:t>
      </w:r>
    </w:p>
    <w:p>
      <w:pPr>
        <w:pStyle w:val="BookText"/>
      </w:pPr>
      <w:r>
        <w:rPr>
          <w:rFonts w:ascii="IRNazanin" w:hAnsi="IRNazanin" w:eastAsia="IRNazanin" w:cs="IRNazanin"/>
          <w:lang w:bidi="fa-IR"/>
          <w:color w:val="111111"/>
          <w:sz w:val="28"/>
          <w:szCs w:val="28"/>
          <w:rtl/>
        </w:rPr>
        <w:t xml:space="preserve">1.تهران؛ دانشگاه؛ شماره نسخه: ۲۴۰۱/۴۳</w:t>
      </w:r>
    </w:p>
    <w:p>
      <w:pPr>
        <w:pStyle w:val="BookText"/>
      </w:pPr>
      <w:r>
        <w:rPr>
          <w:rFonts w:ascii="IRNazanin" w:hAnsi="IRNazanin" w:eastAsia="IRNazanin" w:cs="IRNazanin"/>
          <w:lang w:bidi="fa-IR"/>
          <w:color w:val="111111"/>
          <w:sz w:val="28"/>
          <w:szCs w:val="28"/>
          <w:rtl/>
        </w:rPr>
        <w:t xml:space="preserve">در اینکه اگر کسی نام ماهی در دل نیت گرد و بخواهیم بدانیم کدامست به روش جبر؛ خط: نستعلیق، کا: رضا بن موسى  کشمیری، تا: قرن ۱۱؛ کاغذ: سپاهانی، جلد: تیماج عنابی ضربی زرکوب مقوایی درون  سرخ، ۲ ص (۳۷۶-۳۷۷)، ۲۸ سطر ۱۳/۵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۱۹/۵ ،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۲۴/۵سم [ف: ۹ - ۱۰۲۱]</w:t>
      </w:r>
    </w:p>
    <w:p>
      <w:pPr>
        <w:pStyle w:val="BookText"/>
      </w:pPr>
      <w:r>
        <w:rPr>
          <w:rFonts w:ascii="IRNazanin" w:hAnsi="IRNazanin" w:eastAsia="IRNazanin" w:cs="IRNazanin"/>
          <w:lang w:bidi="fa-IR"/>
          <w:color w:val="111111"/>
          <w:sz w:val="28"/>
          <w:szCs w:val="28"/>
          <w:rtl/>
        </w:rPr>
        <w:t xml:space="preserve">۲. تهران؛ مهدوی؛ شماره نسخه: ۲۸۲/۱۲</w:t>
      </w:r>
    </w:p>
    <w:p>
      <w:pPr>
        <w:pStyle w:val="BookText"/>
      </w:pPr>
      <w:r>
        <w:rPr>
          <w:rFonts w:ascii="IRNazanin" w:hAnsi="IRNazanin" w:eastAsia="IRNazanin" w:cs="IRNazanin"/>
          <w:lang w:bidi="fa-IR"/>
          <w:color w:val="111111"/>
          <w:sz w:val="28"/>
          <w:szCs w:val="28"/>
          <w:rtl/>
        </w:rPr>
        <w:t xml:space="preserve">خط: نسخ، کا: محمد طاهر بن ولی محمد طبیب مشهدی، تا: ۱۳۰۹ق؛ کاغذ ،ترمه، ۱ص (۹۳) [نشریه: ۲ - ۱۰۶]</w:t>
      </w:r>
    </w:p>
    <w:p>
      <w:pPr>
        <w:pStyle w:val="BookText"/>
      </w:pPr>
      <w:r>
        <w:rPr>
          <w:rFonts w:ascii="IRNazanin" w:hAnsi="IRNazanin" w:eastAsia="IRNazanin" w:cs="IRNazanin"/>
          <w:lang w:bidi="fa-IR"/>
          <w:color w:val="111111"/>
          <w:sz w:val="28"/>
          <w:szCs w:val="28"/>
          <w:rtl/>
        </w:rPr>
        <w:t xml:space="preserve">٣. مشهد؛ رضوی؛ شماره نسخه: ض ۵۲۹۸</w:t>
      </w:r>
    </w:p>
    <w:p>
      <w:pPr>
        <w:pStyle w:val="BookText"/>
      </w:pPr>
      <w:r>
        <w:rPr>
          <w:rFonts w:ascii="IRNazanin" w:hAnsi="IRNazanin" w:eastAsia="IRNazanin" w:cs="IRNazanin"/>
          <w:lang w:bidi="fa-IR"/>
          <w:color w:val="111111"/>
          <w:sz w:val="28"/>
          <w:szCs w:val="28"/>
          <w:rtl/>
        </w:rPr>
        <w:t xml:space="preserve">آغاز: رساله ... قیل اذا نوى شخص من الشهور؛ انجام: فقد نيت مااردنا بیانه و الله اعلم بالصواب</w:t>
      </w:r>
    </w:p>
    <w:p>
      <w:pPr>
        <w:pStyle w:val="BookText"/>
      </w:pPr>
      <w:r>
        <w:rPr>
          <w:rFonts w:ascii="IRNazanin" w:hAnsi="IRNazanin" w:eastAsia="IRNazanin" w:cs="IRNazanin"/>
          <w:lang w:bidi="fa-IR"/>
          <w:color w:val="111111"/>
          <w:sz w:val="28"/>
          <w:szCs w:val="28"/>
          <w:rtl/>
        </w:rPr>
        <w:t xml:space="preserve">خط: نستعلیق، بی کا، بی تا [الفبائی: ۴۴]</w:t>
      </w:r>
    </w:p>
    <w:p>
      <w:pPr>
        <w:pStyle w:val="Heading3"/>
      </w:pPr>
      <w:bookmarkStart w:id="1080" w:name="_Toc602"/>
      <w:r>
        <w:t>استخراج ضلع المسبع / رياضيات / عربي</w:t>
      </w:r>
      <w:bookmarkEnd w:id="1080"/>
    </w:p>
    <w:p>
      <w:pPr>
        <w:pStyle w:val="BookText"/>
      </w:pPr>
      <w:r>
        <w:rPr>
          <w:rFonts w:ascii="Times New Roman" w:hAnsi="Times New Roman" w:eastAsia="Times New Roman" w:cs="Times New Roman"/>
          <w:lang w:val="en-US" w:bidi="en-US"/>
          <w:color w:val="111111"/>
          <w:sz w:val="28"/>
          <w:szCs w:val="28"/>
          <w:rtl/>
        </w:rPr>
        <w:t xml:space="preserve">istixrāj-u dil -il musabba'</w:t>
      </w:r>
    </w:p>
    <w:p>
      <w:pPr>
        <w:pStyle w:val="BookText"/>
      </w:pPr>
      <w:r>
        <w:rPr>
          <w:rFonts w:ascii="IRNazanin" w:hAnsi="IRNazanin" w:eastAsia="IRNazanin" w:cs="IRNazanin"/>
          <w:lang w:bidi="fa-IR"/>
          <w:color w:val="111111"/>
          <w:sz w:val="28"/>
          <w:szCs w:val="28"/>
          <w:rtl/>
        </w:rPr>
        <w:t xml:space="preserve">ابوسهل کوهی، ویجن بن رستم - ۴۰۵؟ قمری</w:t>
      </w:r>
    </w:p>
    <w:p>
      <w:pPr>
        <w:pStyle w:val="BookText"/>
      </w:pPr>
      <w:r>
        <w:rPr>
          <w:rFonts w:ascii="Times New Roman" w:hAnsi="Times New Roman" w:eastAsia="Times New Roman" w:cs="Times New Roman"/>
          <w:lang w:val="en-US" w:bidi="en-US"/>
          <w:color w:val="111111"/>
          <w:sz w:val="28"/>
          <w:szCs w:val="28"/>
          <w:rtl/>
        </w:rPr>
        <w:t xml:space="preserve">(abū-sahl-e kūhī, vayjan ebn-e rostam (- 1015)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67" w:name="pg20365_260250"/>
    <w:bookmarkEnd w:id="167"/>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دانشگاه؛ شماره نسخه: ۴۳۷/۲۷-ف</w:t>
      </w:r>
    </w:p>
    <w:p>
      <w:pPr>
        <w:pStyle w:val="BookText"/>
      </w:pPr>
      <w:r>
        <w:rPr>
          <w:rFonts w:ascii="IRNazanin" w:hAnsi="IRNazanin" w:eastAsia="IRNazanin" w:cs="IRNazanin"/>
          <w:lang w:bidi="fa-IR"/>
          <w:color w:val="111111"/>
          <w:sz w:val="28"/>
          <w:szCs w:val="28"/>
          <w:rtl/>
        </w:rPr>
        <w:t xml:space="preserve">نسخه اصل: ایاصوفیاش ۴۸۳۲؛ خط: نسخ، بی کا، تا: قرن ۷؛ 1گ (۱۴۵)؛ مقابله شده با اصل منقول و نسخه دیگر (ص ع) می گویند این نسخه در دست ابن سینا بوده است و خطی از او در ص ع هست؛ وقف سلطان محمود؛ تملک: ابن الحمامی ابوزید بن علی در ۱۹ رجب  ۵۴۷ ابوالفتوح بن كامیار شیرویه، محمد بن القسم الحسينى [ فیلم ها -ف: ۱ - ۴۶۹]</w:t>
      </w:r>
    </w:p>
    <w:p>
      <w:pPr>
        <w:pStyle w:val="BookText"/>
      </w:pPr>
      <w:r>
        <w:rPr>
          <w:rFonts w:ascii="IRNazanin" w:hAnsi="IRNazanin" w:eastAsia="IRNazanin" w:cs="IRNazanin"/>
          <w:lang w:bidi="fa-IR"/>
          <w:color w:val="111111"/>
          <w:sz w:val="28"/>
          <w:szCs w:val="28"/>
          <w:rtl/>
        </w:rPr>
        <w:t xml:space="preserve">۲. تهران؛ دانشگاه؛ شماره نسخه: ۴۳۷/۲۸-ف</w:t>
      </w:r>
    </w:p>
    <w:p>
      <w:pPr>
        <w:pStyle w:val="BookText"/>
      </w:pPr>
      <w:r>
        <w:rPr>
          <w:rFonts w:ascii="IRNazanin" w:hAnsi="IRNazanin" w:eastAsia="IRNazanin" w:cs="IRNazanin"/>
          <w:lang w:bidi="fa-IR"/>
          <w:color w:val="111111"/>
          <w:sz w:val="28"/>
          <w:szCs w:val="28"/>
          <w:rtl/>
        </w:rPr>
        <w:t xml:space="preserve">نسخه  اصل: ایاصوفیاش ۴۸۳۲؛ خط: نسخ، بی کا، تا: قرن 7؛ 2گ (۱۴۷-۱۴۶) [ فیلم ها -ف: ۱ - ۴۶۹]</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تهران؛ دانشگاه؛ شماره نسخه: ۱۷۵۱/۷</w:t>
      </w:r>
    </w:p>
    <w:p>
      <w:pPr>
        <w:pStyle w:val="BookText"/>
      </w:pPr>
      <w:r>
        <w:rPr>
          <w:rFonts w:ascii="IRNazanin" w:hAnsi="IRNazanin" w:eastAsia="IRNazanin" w:cs="IRNazanin"/>
          <w:lang w:bidi="fa-IR"/>
          <w:color w:val="111111"/>
          <w:sz w:val="28"/>
          <w:szCs w:val="28"/>
          <w:rtl/>
        </w:rPr>
        <w:t xml:space="preserve">آغاز: رسالة ابي سهل بیژن ابن رستم القوهى فى استخراج ضـلع المسبع فى الدايرة للملك الاجل عضد الدولة الديلمي رحمه الله بسم الله الرحمن الرحيم الحمدلله رب العالمين وصلوته على سيدنا محمد و على آله الطاهرين. قال ويجن بن رستم المعروف باباسهل القوهى قد اظهر الله تعالى وله الحمد في عصر مولانا الملك المنصور عضد الدولة وتاج الملة اطال الل بقاه من فنون العلم و الادب و ضروب البحث و الطلب مالم يزل مستبـهما لا ينفتح و مستعجما لا ينشرح ... و اسهل هذه المطالب علم ضـلع المسبع المتساوى الاضلاع فى الدائرة؛ انجام: ضلع المتساوی الاضلاع و ذلك ما اردنا ان نبين تمت الرسالة و الحمد لله حق حمده و الصلوة على النبي محمد و آله اجمعين الطيبين الطاهرین</w:t>
      </w:r>
    </w:p>
    <w:p>
      <w:pPr>
        <w:pStyle w:val="BookText"/>
      </w:pPr>
      <w:r>
        <w:rPr>
          <w:rFonts w:ascii="Amiri" w:hAnsi="Amiri" w:eastAsia="Amiri" w:cs="Amiri"/>
          <w:lang w:bidi="ar-SA"/>
          <w:color w:val="111111"/>
          <w:sz w:val="28"/>
          <w:szCs w:val="28"/>
          <w:rtl/>
        </w:rPr>
        <w:t xml:space="preserve">المعصومين المكرمين.</w:t>
      </w:r>
    </w:p>
    <w:p>
      <w:pPr>
        <w:pStyle w:val="BookText"/>
      </w:pPr>
      <w:r>
        <w:rPr>
          <w:rFonts w:ascii="IRNazanin" w:hAnsi="IRNazanin" w:eastAsia="IRNazanin" w:cs="IRNazanin"/>
          <w:lang w:bidi="fa-IR"/>
          <w:color w:val="111111"/>
          <w:sz w:val="28"/>
          <w:szCs w:val="28"/>
          <w:rtl/>
        </w:rPr>
        <w:t xml:space="preserve">خط:نسخ،  كا: محمد بن اباتراب ابن  احمد، تا: ۱۲۸۳ق کاغذ: فرنگی، جلد: تیماج حنایی ۳گ (65پ-۶۷ر)،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۸ - ۲۷۶]</w:t>
      </w:r>
    </w:p>
    <w:p>
      <w:pPr>
        <w:pStyle w:val="BookText"/>
      </w:pPr>
      <w:r>
        <w:rPr>
          <w:rFonts w:ascii="Amiri" w:hAnsi="Amiri" w:eastAsia="Amiri" w:cs="Amiri"/>
          <w:lang w:bidi="ar-SA"/>
          <w:color w:val="111111"/>
          <w:sz w:val="28"/>
          <w:szCs w:val="28"/>
          <w:rtl/>
        </w:rPr>
        <w:t xml:space="preserve">«استخراج ضمير » استخراج جواب سؤالها از جدول جـفر  جامع</w:t>
      </w:r>
    </w:p>
    <w:p>
      <w:pPr>
        <w:pStyle w:val="Heading3"/>
      </w:pPr>
      <w:bookmarkStart w:id="1081" w:name="_Toc603"/>
      <w:r>
        <w:t>استخراج ضمیر / هیئت / عربی</w:t>
      </w:r>
      <w:bookmarkEnd w:id="1081"/>
    </w:p>
    <w:p>
      <w:pPr>
        <w:pStyle w:val="BookText"/>
      </w:pPr>
      <w:r>
        <w:rPr>
          <w:rFonts w:ascii="Times New Roman" w:hAnsi="Times New Roman" w:eastAsia="Times New Roman" w:cs="Times New Roman"/>
          <w:lang w:val="en-US" w:bidi="en-US"/>
          <w:color w:val="111111"/>
          <w:sz w:val="28"/>
          <w:szCs w:val="28"/>
          <w:rtl/>
        </w:rPr>
        <w:t xml:space="preserve">estexrāj-e zamīr</w:t>
      </w:r>
    </w:p>
    <w:p>
      <w:pPr>
        <w:pStyle w:val="BookText"/>
      </w:pPr>
      <w:r>
        <w:rPr>
          <w:rFonts w:ascii="IRNazanin" w:hAnsi="IRNazanin" w:eastAsia="IRNazanin" w:cs="IRNazanin"/>
          <w:lang w:bidi="fa-IR"/>
          <w:color w:val="111111"/>
          <w:sz w:val="28"/>
          <w:szCs w:val="28"/>
          <w:rtl/>
        </w:rPr>
        <w:t xml:space="preserve">طبری، عمر بن فرخان - ۲۰۰ قمری</w:t>
      </w:r>
    </w:p>
    <w:p>
      <w:pPr>
        <w:pStyle w:val="BookText"/>
      </w:pPr>
      <w:r>
        <w:rPr>
          <w:rFonts w:ascii="Times New Roman" w:hAnsi="Times New Roman" w:eastAsia="Times New Roman" w:cs="Times New Roman"/>
          <w:lang w:val="en-US" w:bidi="en-US"/>
          <w:color w:val="111111"/>
          <w:sz w:val="28"/>
          <w:szCs w:val="28"/>
          <w:rtl/>
        </w:rPr>
        <w:t xml:space="preserve">(tabarī, ‘omar ebn-e farxān (- 816)</w:t>
      </w:r>
    </w:p>
    <w:p>
      <w:pPr>
        <w:pStyle w:val="BookText"/>
      </w:pPr>
      <w:r>
        <w:rPr>
          <w:rFonts w:ascii="IRNazanin" w:hAnsi="IRNazanin" w:eastAsia="IRNazanin" w:cs="IRNazanin"/>
          <w:lang w:bidi="fa-IR"/>
          <w:color w:val="111111"/>
          <w:sz w:val="28"/>
          <w:szCs w:val="28"/>
          <w:rtl/>
        </w:rPr>
        <w:t xml:space="preserve">آغاز: بسمله فصل اذا سالک و جل عما في يده في اول ساعته الزهرة فاعلم</w:t>
      </w:r>
    </w:p>
    <w:p>
      <w:pPr>
        <w:pStyle w:val="BookText"/>
      </w:pPr>
      <w:r>
        <w:rPr>
          <w:rFonts w:ascii="Amiri" w:hAnsi="Amiri" w:eastAsia="Amiri" w:cs="Amiri"/>
          <w:lang w:bidi="ar-SA"/>
          <w:color w:val="111111"/>
          <w:sz w:val="28"/>
          <w:szCs w:val="28"/>
          <w:rtl/>
        </w:rPr>
        <w:t xml:space="preserve">انجام: على طبيعة واحدة و هى السرطان و العقرب و الحوت و  الله اعلم</w:t>
      </w:r>
    </w:p>
    <w:p>
      <w:pPr>
        <w:pStyle w:val="BookText"/>
      </w:pPr>
      <w:r>
        <w:rPr>
          <w:rFonts w:ascii="IRNazanin" w:hAnsi="IRNazanin" w:eastAsia="IRNazanin" w:cs="IRNazanin"/>
          <w:lang w:bidi="fa-IR"/>
          <w:color w:val="111111"/>
          <w:sz w:val="28"/>
          <w:szCs w:val="28"/>
          <w:rtl/>
        </w:rPr>
        <w:t xml:space="preserve">۱ . مشهد؛ رضوی؛ شماره نسخه: ۱۹۲۸۹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،محمد حسین، تا: ۱۳۲۶ق [رایانه]</w:t>
      </w:r>
    </w:p>
    <w:p>
      <w:pPr>
        <w:pStyle w:val="BookText"/>
      </w:pPr>
      <w:r>
        <w:rPr>
          <w:rFonts w:ascii="IRNazanin" w:hAnsi="IRNazanin" w:eastAsia="IRNazanin" w:cs="IRNazanin"/>
          <w:lang w:bidi="fa-IR"/>
          <w:color w:val="111111"/>
          <w:sz w:val="28"/>
          <w:szCs w:val="28"/>
          <w:rtl/>
        </w:rPr>
        <w:t xml:space="preserve">۲ . مشهد؛ رضوی؛ شماره نسخه: ۵۵۰۸/۲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تحریری، کا: حاج محمد حسین خراسانی، تا محرم ۱۳۲۶ق؛ کاغذ: فرنگی ،جلد: پارچه ای، ۵۸گ (۱۴۹-۲۰۶)، ۱۴ سطر (8</w:t>
      </w:r>
      <w:r>
        <w:rPr>
          <w:rFonts w:ascii="Times New Roman" w:hAnsi="Times New Roman" w:eastAsia="Times New Roman" w:cs="Times New Roman"/>
          <w:lang w:val="en-US" w:bidi="en-US"/>
          <w:color w:val="111111"/>
          <w:sz w:val="28"/>
          <w:szCs w:val="28"/>
          <w:rtl/>
        </w:rPr>
        <w:t xml:space="preserve">×12/7)</w:t>
      </w:r>
      <w:r>
        <w:rPr>
          <w:rFonts w:ascii="IRNazanin" w:hAnsi="IRNazanin" w:eastAsia="IRNazanin" w:cs="IRNazanin"/>
          <w:lang w:bidi="fa-IR"/>
          <w:color w:val="111111"/>
          <w:sz w:val="28"/>
          <w:szCs w:val="28"/>
          <w:rtl/>
        </w:rPr>
        <w:t xml:space="preserve">،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۱۸/۵سم [ف: ۸ - ۳۰۷]</w:t>
      </w:r>
    </w:p>
    <w:p>
      <w:pPr>
        <w:pStyle w:val="Heading3"/>
      </w:pPr>
      <w:bookmarkStart w:id="1082" w:name="_Toc604"/>
      <w:r>
        <w:t>استخراج ضمير = الخبى و الضمير / هیئت / فارسی</w:t>
      </w:r>
      <w:bookmarkEnd w:id="1082"/>
    </w:p>
    <w:p>
      <w:pPr>
        <w:pStyle w:val="BookText"/>
      </w:pPr>
      <w:r>
        <w:rPr>
          <w:rFonts w:ascii="Times New Roman" w:hAnsi="Times New Roman" w:eastAsia="Times New Roman" w:cs="Times New Roman"/>
          <w:lang w:val="en-US" w:bidi="en-US"/>
          <w:color w:val="111111"/>
          <w:sz w:val="28"/>
          <w:szCs w:val="28"/>
          <w:rtl/>
        </w:rPr>
        <w:t xml:space="preserve">estexraj-e Zamir = al-xabi wa-d-damir</w:t>
      </w:r>
    </w:p>
    <w:p>
      <w:pPr>
        <w:pStyle w:val="BookText"/>
      </w:pPr>
      <w:r>
        <w:rPr>
          <w:rFonts w:ascii="IRNazanin" w:hAnsi="IRNazanin" w:eastAsia="IRNazanin" w:cs="IRNazanin"/>
          <w:lang w:bidi="fa-IR"/>
          <w:color w:val="111111"/>
          <w:sz w:val="28"/>
          <w:szCs w:val="28"/>
          <w:rtl/>
        </w:rPr>
        <w:t xml:space="preserve">طبری، محمد بن ایوب، - ۴۸۵ قمری</w:t>
      </w:r>
    </w:p>
    <w:p>
      <w:pPr>
        <w:pStyle w:val="BookText"/>
      </w:pPr>
      <w:r>
        <w:rPr>
          <w:rFonts w:ascii="Times New Roman" w:hAnsi="Times New Roman" w:eastAsia="Times New Roman" w:cs="Times New Roman"/>
          <w:lang w:val="en-US" w:bidi="en-US"/>
          <w:color w:val="111111"/>
          <w:sz w:val="28"/>
          <w:szCs w:val="28"/>
          <w:rtl/>
        </w:rPr>
        <w:t xml:space="preserve">(tabarī, mohammad ebn-e ayyūb (- 1093)</w:t>
      </w:r>
    </w:p>
    <w:p>
      <w:pPr>
        <w:pStyle w:val="BookText"/>
      </w:pPr>
      <w:r>
        <w:rPr>
          <w:rFonts w:ascii="IRNazanin" w:hAnsi="IRNazanin" w:eastAsia="IRNazanin" w:cs="IRNazanin"/>
          <w:lang w:bidi="fa-IR"/>
          <w:color w:val="111111"/>
          <w:sz w:val="28"/>
          <w:szCs w:val="28"/>
          <w:rtl/>
        </w:rPr>
        <w:t xml:space="preserve">رساله ای در گفتن ضمیر دیگری و پیدا کردن پنهان شده (= خبی) طبری در آغاز، ۵ سبب برای در خطا افتادن گوینده ضمیر و خبی و سپس شرط هایی که پرسنده و یا پاسخ دهنده (گوینده) را باید تا استخراج صواب آید، یاد می کند و می گوید تاکنون در این معنی تصنیفی جداگانه نشده.</w:t>
      </w:r>
    </w:p>
    <w:p>
      <w:pPr>
        <w:pStyle w:val="BookText"/>
      </w:pPr>
      <w:r>
        <w:rPr>
          <w:rFonts w:ascii="IRNazanin" w:hAnsi="IRNazanin" w:eastAsia="IRNazanin" w:cs="IRNazanin"/>
          <w:lang w:bidi="fa-IR"/>
          <w:color w:val="111111"/>
          <w:sz w:val="28"/>
          <w:szCs w:val="28"/>
          <w:rtl/>
        </w:rPr>
        <w:t xml:space="preserve">آغاز: بسمله، الحمد الله رب العالمين. اما بعد چنین گوید محمد بن ایوب حاسب طبری که بسیار کسان را دیدم راغب بودند بر  استخراج ضمير... که کسی در دل اندیشه کند و یا در کف دست چیزی پنهان کند غیری از آن بگوید ... و ندانستند که ... این معنی سخت آسان است بر کسی که علم نجوم بغایت داند هر چند که این طریقی است از جمله جزئیات احکام نجوم و شاید که در وی خطا افتد به وقتها از بره پنج سبب اول عمر دراز  ...تا بر وی محیط تواند شد دوم آنکه هر کس در این علم  دعوی کند و گویند که دانیم و ندانند بوقت برهان ... درمانند ... پس چون ما دیدیم که هیچکس از متقدمان در این معنی آن اعتماد توان کردن و در کتب  تصنیفی نکرده اند که</w:t>
      </w:r>
    </w:p>
    <w:p>
      <w:pPr>
        <w:pStyle w:val="BookText"/>
      </w:pPr>
      <w:r>
        <w:rPr>
          <w:rFonts w:ascii="IRNazanin" w:hAnsi="IRNazanin" w:eastAsia="IRNazanin" w:cs="IRNazanin"/>
          <w:lang w:bidi="fa-IR"/>
          <w:color w:val="111111"/>
          <w:sz w:val="28"/>
          <w:szCs w:val="28"/>
          <w:rtl/>
        </w:rPr>
        <w:t xml:space="preserve">بر  آن اعتماد توان کردن در کتب متقدمان  یاد کرده اند خواستم که رساله ای مفرد در این باب... یاد کنم ... بعبارت هر چه سبک تر و بر تأكيدهاء هر چند  درست تر.</w:t>
      </w:r>
    </w:p>
    <w:p>
      <w:pPr>
        <w:pStyle w:val="BookText"/>
      </w:pPr>
      <w:r>
        <w:rPr>
          <w:rFonts w:ascii="IRNazanin" w:hAnsi="IRNazanin" w:eastAsia="IRNazanin" w:cs="IRNazanin"/>
          <w:lang w:bidi="fa-IR"/>
          <w:color w:val="111111"/>
          <w:sz w:val="28"/>
          <w:szCs w:val="28"/>
          <w:rtl/>
        </w:rPr>
        <w:t xml:space="preserve">انجام: جمله بدینگونه باشد که یاد کردیم.</w:t>
      </w:r>
    </w:p>
    <w:p>
      <w:pPr>
        <w:pStyle w:val="BookText"/>
      </w:pPr>
      <w:r>
        <w:rPr>
          <w:rFonts w:ascii="IRNazanin" w:hAnsi="IRNazanin" w:eastAsia="IRNazanin" w:cs="IRNazanin"/>
          <w:lang w:bidi="fa-IR"/>
          <w:color w:val="111111"/>
          <w:sz w:val="28"/>
          <w:szCs w:val="28"/>
          <w:rtl/>
        </w:rPr>
        <w:t xml:space="preserve">[فهرستواره منزوی ۲۷۹۵/۴]</w:t>
      </w:r>
    </w:p>
    <w:p>
      <w:pPr>
        <w:pStyle w:val="BookText"/>
      </w:pPr>
      <w:r>
        <w:rPr>
          <w:rFonts w:ascii="IRNazanin" w:hAnsi="IRNazanin" w:eastAsia="IRNazanin" w:cs="IRNazanin"/>
          <w:lang w:bidi="fa-IR"/>
          <w:color w:val="111111"/>
          <w:sz w:val="28"/>
          <w:szCs w:val="28"/>
          <w:rtl/>
        </w:rPr>
        <w:t xml:space="preserve">۱. تهران؛ فرهاد معتمد؛ شماره نسخه: ۱۱۸/۲</w:t>
      </w:r>
    </w:p>
    <w:p>
      <w:pPr>
        <w:pStyle w:val="BookText"/>
      </w:pPr>
      <w:r>
        <w:rPr>
          <w:rFonts w:ascii="IRNazanin" w:hAnsi="IRNazanin" w:eastAsia="IRNazanin" w:cs="IRNazanin"/>
          <w:lang w:bidi="fa-IR"/>
          <w:color w:val="111111"/>
          <w:sz w:val="28"/>
          <w:szCs w:val="28"/>
          <w:rtl/>
        </w:rPr>
        <w:t xml:space="preserve">بی کا، تا: سه شنبه ۱۲ رمضان ۱۱۹۴ق؛ مجدول؛ کاغذ: فرنگی آهار مهره ،جلد: تیماج  حنایی، ۲۳ سطر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[نشریه: ۳ - ۲۲۸]</w:t>
      </w:r>
    </w:p>
    <w:p>
      <w:pPr>
        <w:pStyle w:val="BookText"/>
      </w:pPr>
      <w:r>
        <w:rPr>
          <w:rFonts w:ascii="IRNazanin" w:hAnsi="IRNazanin" w:eastAsia="IRNazanin" w:cs="IRNazanin"/>
          <w:lang w:bidi="fa-IR"/>
          <w:color w:val="111111"/>
          <w:sz w:val="28"/>
          <w:szCs w:val="28"/>
          <w:rtl/>
        </w:rPr>
        <w:t xml:space="preserve">۲ . تهران؛ مجلس؛ شماره نسخه: ۶۳۶۷/۳۵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شکسته نستعلیق، بی کا، تا: ۱۱۹۵ق؛ کاغذ: فرنگی، جلد: تیماج ضربی مشکی عطف قهوه ای، ۲۶ ص (۴۵۶-۴۸۱)، ۱۷ سطر، قطع: خشتی،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۱۹/۵سم [ف : ۱۹ - ۴۴۹]</w:t>
      </w:r>
    </w:p>
    <w:p>
      <w:pPr>
        <w:pStyle w:val="BookText"/>
      </w:pPr>
      <w:r>
        <w:rPr>
          <w:rFonts w:ascii="IRNazanin" w:hAnsi="IRNazanin" w:eastAsia="IRNazanin" w:cs="IRNazanin"/>
          <w:lang w:bidi="fa-IR"/>
          <w:color w:val="111111"/>
          <w:sz w:val="28"/>
          <w:szCs w:val="28"/>
          <w:rtl/>
        </w:rPr>
        <w:t xml:space="preserve">۳. تهران؛ مجلس؛ شماره نسخه: ۹۳/۵ سرود</w:t>
      </w:r>
    </w:p>
    <w:p>
      <w:pPr>
        <w:pStyle w:val="BookText"/>
      </w:pPr>
      <w:r>
        <w:rPr>
          <w:rFonts w:ascii="IRNazanin" w:hAnsi="IRNazanin" w:eastAsia="IRNazanin" w:cs="IRNazanin"/>
          <w:lang w:bidi="fa-IR"/>
          <w:color w:val="111111"/>
          <w:sz w:val="28"/>
          <w:szCs w:val="28"/>
          <w:rtl/>
        </w:rPr>
        <w:t xml:space="preserve">خط: نستعلیق، بی کا، تا: ۱۲۳۶ق [ نشریه: ۱۳ - ۴۳۲]</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تهران؛ مجلس؛ شماره نسخه: ۶۵۰۰/۱</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68" w:name="pg20365_260251"/>
    <w:bookmarkEnd w:id="168"/>
    <w:p>
      <w:pPr>
        <w:pStyle w:val="BookText"/>
      </w:pPr>
      <w:r>
        <w:rPr>
          <w:rFonts w:ascii="IRNazanin" w:hAnsi="IRNazanin" w:eastAsia="IRNazanin" w:cs="IRNazanin"/>
          <w:lang w:bidi="fa-IR"/>
          <w:color w:val="111111"/>
          <w:sz w:val="28"/>
          <w:szCs w:val="28"/>
          <w:rtl/>
        </w:rPr>
        <w:t xml:space="preserve">خط: نستعلیق، بی کا، بی تا؛ جلد: تیماج مشکی بدون مقوا، ۱۳ (2پ-14ر)، ۱۵ سطر، اندازه:۱۴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 ف : ۲۰ - ۷۹]</w:t>
      </w:r>
    </w:p>
    <w:p>
      <w:pPr>
        <w:pStyle w:val="Heading3"/>
      </w:pPr>
      <w:bookmarkStart w:id="1083" w:name="_Toc605"/>
      <w:r>
        <w:t>استخراج ضمیر / هیئت / عربی</w:t>
      </w:r>
      <w:bookmarkEnd w:id="1083"/>
    </w:p>
    <w:p>
      <w:pPr>
        <w:pStyle w:val="BookText"/>
      </w:pPr>
      <w:r>
        <w:rPr>
          <w:rFonts w:ascii="Times New Roman" w:hAnsi="Times New Roman" w:eastAsia="Times New Roman" w:cs="Times New Roman"/>
          <w:lang w:val="en-US" w:bidi="en-US"/>
          <w:color w:val="111111"/>
          <w:sz w:val="28"/>
          <w:szCs w:val="28"/>
          <w:rtl/>
        </w:rPr>
        <w:t xml:space="preserve">exrāj-e zamīr</w:t>
      </w:r>
    </w:p>
    <w:p>
      <w:pPr>
        <w:pStyle w:val="BookText"/>
      </w:pPr>
      <w:r>
        <w:rPr>
          <w:rFonts w:ascii="IRNazanin" w:hAnsi="IRNazanin" w:eastAsia="IRNazanin" w:cs="IRNazanin"/>
          <w:lang w:bidi="fa-IR"/>
          <w:color w:val="111111"/>
          <w:sz w:val="28"/>
          <w:szCs w:val="28"/>
          <w:rtl/>
        </w:rPr>
        <w:t xml:space="preserve">مشهد؛ رضوی؛ شماره نسخه: ۱۲۳۲۰/۱۱</w:t>
      </w:r>
    </w:p>
    <w:p>
      <w:pPr>
        <w:pStyle w:val="BookText"/>
      </w:pPr>
      <w:r>
        <w:rPr>
          <w:rFonts w:ascii="Amiri" w:hAnsi="Amiri" w:eastAsia="Amiri" w:cs="Amiri"/>
          <w:lang w:bidi="ar-SA"/>
          <w:color w:val="111111"/>
          <w:sz w:val="28"/>
          <w:szCs w:val="28"/>
          <w:rtl/>
        </w:rPr>
        <w:t xml:space="preserve">آغاز: في برج واحد و فى برجين مقابلين والله اعلم؛ انجـام: السادس الثانى والاربعون تم الدعا المبارك</w:t>
      </w:r>
    </w:p>
    <w:p>
      <w:pPr>
        <w:pStyle w:val="BookText"/>
      </w:pPr>
      <w:r>
        <w:rPr>
          <w:rFonts w:ascii="IRNazanin" w:hAnsi="IRNazanin" w:eastAsia="IRNazanin" w:cs="IRNazanin"/>
          <w:lang w:bidi="fa-IR"/>
          <w:color w:val="111111"/>
          <w:sz w:val="28"/>
          <w:szCs w:val="28"/>
          <w:rtl/>
        </w:rPr>
        <w:t xml:space="preserve">خط: مختلف، بی کا، بی تا؛ افتادگی: آغاز؛ کاغذ: خانبالغ، جـلد: تیماج ساده، اندازه: ۲۰/۵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۲۹/۵۲سم [ف: ۱۰- - ۲۶۹]</w:t>
      </w:r>
    </w:p>
    <w:p>
      <w:pPr>
        <w:pStyle w:val="Heading3"/>
      </w:pPr>
      <w:bookmarkStart w:id="1084" w:name="_Toc606"/>
      <w:r>
        <w:t>استخراج ضمیر / هیئت / فارسی</w:t>
      </w:r>
      <w:bookmarkEnd w:id="1084"/>
    </w:p>
    <w:p>
      <w:pPr>
        <w:pStyle w:val="BookText"/>
      </w:pPr>
      <w:r>
        <w:rPr>
          <w:rFonts w:ascii="Times New Roman" w:hAnsi="Times New Roman" w:eastAsia="Times New Roman" w:cs="Times New Roman"/>
          <w:lang w:val="en-US" w:bidi="en-US"/>
          <w:color w:val="111111"/>
          <w:sz w:val="28"/>
          <w:szCs w:val="28"/>
          <w:rtl/>
        </w:rPr>
        <w:t xml:space="preserve">estexrāj-e zamīr</w:t>
      </w:r>
    </w:p>
    <w:p>
      <w:pPr>
        <w:pStyle w:val="BookText"/>
      </w:pPr>
      <w:r>
        <w:rPr>
          <w:rFonts w:ascii="IRNazanin" w:hAnsi="IRNazanin" w:eastAsia="IRNazanin" w:cs="IRNazanin"/>
          <w:lang w:bidi="fa-IR"/>
          <w:color w:val="111111"/>
          <w:sz w:val="28"/>
          <w:szCs w:val="28"/>
          <w:rtl/>
        </w:rPr>
        <w:t xml:space="preserve">غیر همانند: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دانشگاه؛ شماره نسخه: ۲۴۰۱/۴۴</w:t>
      </w:r>
    </w:p>
    <w:p>
      <w:pPr>
        <w:pStyle w:val="BookText"/>
      </w:pPr>
      <w:r>
        <w:rPr>
          <w:rFonts w:ascii="IRNazanin" w:hAnsi="IRNazanin" w:eastAsia="IRNazanin" w:cs="IRNazanin"/>
          <w:lang w:bidi="fa-IR"/>
          <w:color w:val="111111"/>
          <w:sz w:val="28"/>
          <w:szCs w:val="28"/>
          <w:rtl/>
        </w:rPr>
        <w:t xml:space="preserve">در این که اگر دو یا سه عدد نیت کنند یا انگشتری در دست کـنند چگونه بدانیم که آن عددها چیست و آن انگشتری در کـدام انگشت؛ خط: نستعلیق، کا: رضا بن موسی کشمیری، تا: قرن 11؛کاغذ ،سپاهانی، جلد: تیماج عنابی ضربی زرکوب مقوایی درون ،سرخ ۲ ص( 377- 378)، ۲۸ سطر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۲۴/۵سم [ف: ۹ - ۱۰۲۱]</w:t>
      </w:r>
    </w:p>
    <w:p>
      <w:pPr>
        <w:pStyle w:val="BookText"/>
      </w:pPr>
      <w:r>
        <w:rPr>
          <w:rFonts w:ascii="IRNazanin" w:hAnsi="IRNazanin" w:eastAsia="IRNazanin" w:cs="IRNazanin"/>
          <w:lang w:bidi="fa-IR"/>
          <w:color w:val="111111"/>
          <w:sz w:val="28"/>
          <w:szCs w:val="28"/>
          <w:rtl/>
        </w:rPr>
        <w:t xml:space="preserve">۲ . مشهد؛ رضوی؛ شماره نسخه: ۵۵۰۷</w:t>
      </w:r>
    </w:p>
    <w:p>
      <w:pPr>
        <w:pStyle w:val="BookText"/>
      </w:pPr>
      <w:r>
        <w:rPr>
          <w:rFonts w:ascii="IRNazanin" w:hAnsi="IRNazanin" w:eastAsia="IRNazanin" w:cs="IRNazanin"/>
          <w:lang w:bidi="fa-IR"/>
          <w:color w:val="111111"/>
          <w:sz w:val="28"/>
          <w:szCs w:val="28"/>
          <w:rtl/>
        </w:rPr>
        <w:t xml:space="preserve">آغاز: بسمله، حمدله، اما بعد بدانکه اتفاق اهل این علم برآنست که ضمیر خداوندمساله از دلیل طالع پدید آید، و دلیل طالع آن کوکب بود که ویرا شهادت بیشتر بود در طالع و شهادت از دوازده جای گیرند؛ انجام: و اگر دلیل سؤال بسیار کند سؤالـ از طالع گوید و دویم را از دویم و سیم را از سیم و قسم على  هذا تا دوازدهم</w:t>
      </w:r>
    </w:p>
    <w:p>
      <w:pPr>
        <w:pStyle w:val="BookText"/>
      </w:pPr>
      <w:r>
        <w:rPr>
          <w:rFonts w:ascii="IRNazanin" w:hAnsi="IRNazanin" w:eastAsia="IRNazanin" w:cs="IRNazanin"/>
          <w:lang w:bidi="fa-IR"/>
          <w:color w:val="111111"/>
          <w:sz w:val="28"/>
          <w:szCs w:val="28"/>
          <w:rtl/>
        </w:rPr>
        <w:t xml:space="preserve">مشتمل است بر دوازده باب به عدد دوازده برج و هر بابی حاوی چند مسأله است؛ و چون فاقد دیباچه است مؤلف شناخته نمی شود ؛خط: نستعلیق، بی کا ،تا: ذیقعده ۱۰۷۴ق؛ واقف: نایینی ؛کاغذ: شکری آهار  مهره، جلد: پارچه ای، ۳۷گ ۱۵ سـطر (۱۲/۷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۶/۵)، اندازه: ۱۲/۴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۱۹/۲سم [ف: ۸ - ۲۴]</w:t>
      </w:r>
    </w:p>
    <w:p>
      <w:pPr>
        <w:pStyle w:val="Heading3"/>
      </w:pPr>
      <w:bookmarkStart w:id="1085" w:name="_Toc607"/>
      <w:r>
        <w:t>استخراج ضمیر / هیئت / عربی</w:t>
      </w:r>
      <w:bookmarkEnd w:id="1085"/>
    </w:p>
    <w:p>
      <w:pPr>
        <w:pStyle w:val="BookText"/>
      </w:pPr>
      <w:r>
        <w:rPr>
          <w:rFonts w:ascii="Times New Roman" w:hAnsi="Times New Roman" w:eastAsia="Times New Roman" w:cs="Times New Roman"/>
          <w:lang w:val="en-US" w:bidi="en-US"/>
          <w:color w:val="111111"/>
          <w:sz w:val="28"/>
          <w:szCs w:val="28"/>
          <w:rtl/>
        </w:rPr>
        <w:t xml:space="preserve">estexrāj-e zamīr</w:t>
      </w:r>
    </w:p>
    <w:p>
      <w:pPr>
        <w:pStyle w:val="BookText"/>
      </w:pPr>
      <w:r>
        <w:rPr>
          <w:rFonts w:ascii="IRNazanin" w:hAnsi="IRNazanin" w:eastAsia="IRNazanin" w:cs="IRNazanin"/>
          <w:lang w:bidi="fa-IR"/>
          <w:color w:val="111111"/>
          <w:sz w:val="28"/>
          <w:szCs w:val="28"/>
          <w:rtl/>
        </w:rPr>
        <w:t xml:space="preserve">تاریخ تالیف: قرن ۳ ق</w:t>
      </w:r>
    </w:p>
    <w:p>
      <w:pPr>
        <w:pStyle w:val="BookText"/>
      </w:pPr>
      <w:r>
        <w:rPr>
          <w:rFonts w:ascii="IRNazanin" w:hAnsi="IRNazanin" w:eastAsia="IRNazanin" w:cs="IRNazanin"/>
          <w:lang w:bidi="fa-IR"/>
          <w:color w:val="111111"/>
          <w:sz w:val="28"/>
          <w:szCs w:val="28"/>
          <w:rtl/>
        </w:rPr>
        <w:t xml:space="preserve">کتاب خطبه و مقدمه  ندارد، مطالب تحت عنوان «فصل» ذکر شده جمله ای از فصول: ۱. اذا سئلک رجل عمافى يده؛ ۲. حکم سارق ٣. معرفت سارق... در معرفت جنگ و مرض و موت  و مافی الضمیر و در معرفت  مسائل. این که در جلد سوم فهرسـت  آستان قدس مؤلف را «علی القرائن» عمر بن فرخان طبری منجم معروف عصر مأمون عباسی دانسته اند، صحیح به نظر نمی رسد، چه در متن رساله کلماتی هست که در عصر مأمون رایج و معمول  نبوده، مانند «ملوک و سلاطین» در عبارت «و ان السارق فى بيوت الملوك والسلاطین» و با این ملاحظات باید رساله مزبور بعد از دوره مأمون تألیف شده باشد.</w:t>
      </w:r>
    </w:p>
    <w:p>
      <w:pPr>
        <w:pStyle w:val="BookText"/>
      </w:pPr>
      <w:r>
        <w:rPr>
          <w:rFonts w:ascii="IRNazanin" w:hAnsi="IRNazanin" w:eastAsia="IRNazanin" w:cs="IRNazanin"/>
          <w:lang w:bidi="fa-IR"/>
          <w:color w:val="111111"/>
          <w:sz w:val="28"/>
          <w:szCs w:val="28"/>
          <w:rtl/>
        </w:rPr>
        <w:t xml:space="preserve">آغاز: فصل - اذا سالك رجل عما في يده فى اول ساعة الزهرة فاعلم انه شيء ابيض احسن طيب يدخل في النار ويخرج کالفضة انجام: على طبيعة واحدة وهى السرطان والعقرب والحوت والله  اعلم</w:t>
      </w:r>
    </w:p>
    <w:p>
      <w:pPr>
        <w:pStyle w:val="BookText"/>
      </w:pPr>
      <w:r>
        <w:rPr>
          <w:rFonts w:ascii="IRNazanin" w:hAnsi="IRNazanin" w:eastAsia="IRNazanin" w:cs="IRNazanin"/>
          <w:lang w:bidi="fa-IR"/>
          <w:color w:val="111111"/>
          <w:sz w:val="28"/>
          <w:szCs w:val="28"/>
          <w:rtl/>
        </w:rPr>
        <w:t xml:space="preserve">۱. مشهد؛ رضوی؛ شماره نسخه: ۵۳۱۲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خوش، بی کا، تا: قرن ۹؛ مجدول؛ واقف: تاج ماه بیگم، ۱۲۶۲ق؛ کاغذ: حنایی آهار مهره ،جلد:پارچه ای، ۲۳گ، ۱۳  سطر، اندازه: ۱۳/۳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۲۱/۶سم [ف: ۸ – ۲۵]</w:t>
      </w:r>
    </w:p>
    <w:p>
      <w:pPr>
        <w:pStyle w:val="BookText"/>
      </w:pPr>
      <w:r>
        <w:rPr>
          <w:rFonts w:ascii="IRNazanin" w:hAnsi="IRNazanin" w:eastAsia="IRNazanin" w:cs="IRNazanin"/>
          <w:lang w:bidi="fa-IR"/>
          <w:color w:val="111111"/>
          <w:sz w:val="28"/>
          <w:szCs w:val="28"/>
          <w:rtl/>
        </w:rPr>
        <w:t xml:space="preserve">۲. مشهد؛ رضوی؛ شماره نسخه: ۵۵۰۶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تحریری، کا: محمد علی خبوشانی، تا: شوال ۱۲۷۹ق؛ برگ آخر در قاعده قسمت است که از میزان الحساب نقل شده است؛ واقف: حاج وزیر وظایف (داود الحسینی)، ۱۳۰۹ش؛ کاغذ: سفید، جلد: پارچه ای ،۴گ مختلف السطر، اندازه: ۲۱/۳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۱۵/۶سم [ف: ۸ - ۲۶]</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مشهد؛ الهیات؛ شماره نسخه: ۵۲۳/۴</w:t>
      </w:r>
    </w:p>
    <w:p>
      <w:pPr>
        <w:pStyle w:val="BookText"/>
      </w:pPr>
      <w:r>
        <w:rPr>
          <w:rFonts w:ascii="Amiri" w:hAnsi="Amiri" w:eastAsia="Amiri" w:cs="Amiri"/>
          <w:lang w:bidi="ar-SA"/>
          <w:color w:val="111111"/>
          <w:sz w:val="28"/>
          <w:szCs w:val="28"/>
          <w:rtl/>
        </w:rPr>
        <w:t xml:space="preserve">آغاز: بسمله فصل اذا سئلك رجل عما في يده في اول ساعة الزهره فاعلم انه؛ انجام: و العقرب و الحوت والله اعلم بحقايق الامور و الاشياء تم</w:t>
      </w:r>
    </w:p>
    <w:p>
      <w:pPr>
        <w:pStyle w:val="BookText"/>
      </w:pPr>
      <w:r>
        <w:rPr>
          <w:rFonts w:ascii="IRNazanin" w:hAnsi="IRNazanin" w:eastAsia="IRNazanin" w:cs="IRNazanin"/>
          <w:lang w:bidi="fa-IR"/>
          <w:color w:val="111111"/>
          <w:sz w:val="28"/>
          <w:szCs w:val="28"/>
          <w:rtl/>
        </w:rPr>
        <w:t xml:space="preserve">در فهرست به عنوان «المسائل» آمده است؛ خط: نسخ، کا: عبدالحمید  منجم، تا: سه شنبه ۸ ربیع الاول ۱۳۰۳ق؛ کاغذ: ترمه، جلد: تیماج عنابی، ۱۴گ،۱۸ سطر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قطع: ربعی، اندازه:  ۱۹/۲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۱ - ۳۸۹]</w:t>
      </w:r>
    </w:p>
    <w:p>
      <w:pPr>
        <w:pStyle w:val="Heading3"/>
      </w:pPr>
      <w:bookmarkStart w:id="1086" w:name="_Toc608"/>
      <w:r>
        <w:t>استخراج طالع / هیئت / فارسی</w:t>
      </w:r>
      <w:bookmarkEnd w:id="1086"/>
    </w:p>
    <w:p>
      <w:pPr>
        <w:pStyle w:val="BookText"/>
      </w:pPr>
      <w:r>
        <w:rPr>
          <w:rFonts w:ascii="Times New Roman" w:hAnsi="Times New Roman" w:eastAsia="Times New Roman" w:cs="Times New Roman"/>
          <w:lang w:val="en-US" w:bidi="en-US"/>
          <w:color w:val="111111"/>
          <w:sz w:val="28"/>
          <w:szCs w:val="28"/>
          <w:rtl/>
        </w:rPr>
        <w:t xml:space="preserve">estexrāj-e tāle‘</w:t>
      </w:r>
    </w:p>
    <w:p>
      <w:pPr>
        <w:pStyle w:val="BookText"/>
      </w:pPr>
      <w:r>
        <w:rPr>
          <w:rFonts w:ascii="IRNazanin" w:hAnsi="IRNazanin" w:eastAsia="IRNazanin" w:cs="IRNazanin"/>
          <w:lang w:bidi="fa-IR"/>
          <w:color w:val="111111"/>
          <w:sz w:val="28"/>
          <w:szCs w:val="28"/>
          <w:rtl/>
        </w:rPr>
        <w:t xml:space="preserve">مشهد؛ رضوی؛ شماره نسخه: ۱۹۰۱۰</w:t>
      </w:r>
    </w:p>
    <w:p>
      <w:pPr>
        <w:pStyle w:val="BookText"/>
      </w:pPr>
      <w:r>
        <w:rPr>
          <w:rFonts w:ascii="IRNazanin" w:hAnsi="IRNazanin" w:eastAsia="IRNazanin" w:cs="IRNazanin"/>
          <w:lang w:bidi="fa-IR"/>
          <w:color w:val="111111"/>
          <w:sz w:val="28"/>
          <w:szCs w:val="28"/>
          <w:rtl/>
        </w:rPr>
        <w:t xml:space="preserve">آغاز: بسمله ستایش دور از آلایش صانعی را سزاوار است که اطباق سموات سبع را؛ انجام: راه است و کمر عبدوان را دو تا نماید بحق الحق و اسنى الا محمد و الائمة المعصومين</w:t>
      </w:r>
    </w:p>
    <w:p>
      <w:pPr>
        <w:pStyle w:val="BookText"/>
      </w:pPr>
      <w:r>
        <w:rPr>
          <w:rFonts w:ascii="IRNazanin" w:hAnsi="IRNazanin" w:eastAsia="IRNazanin" w:cs="IRNazanin"/>
          <w:lang w:bidi="fa-IR"/>
          <w:color w:val="111111"/>
          <w:sz w:val="28"/>
          <w:szCs w:val="28"/>
          <w:rtl/>
        </w:rPr>
        <w:t xml:space="preserve">خط: نستعلیق، بی کا، تا: قرن ۱۳ [رایانه]</w:t>
      </w:r>
    </w:p>
    <w:p>
      <w:pPr>
        <w:pStyle w:val="Heading3"/>
      </w:pPr>
      <w:bookmarkStart w:id="1087" w:name="_Toc609"/>
      <w:r>
        <w:t>استخراج طالع تحویل شمس / هیئت / فارسی</w:t>
      </w:r>
      <w:bookmarkEnd w:id="1087"/>
    </w:p>
    <w:p>
      <w:pPr>
        <w:pStyle w:val="BookText"/>
      </w:pPr>
      <w:r>
        <w:rPr>
          <w:rFonts w:ascii="Times New Roman" w:hAnsi="Times New Roman" w:eastAsia="Times New Roman" w:cs="Times New Roman"/>
          <w:lang w:val="en-US" w:bidi="en-US"/>
          <w:color w:val="111111"/>
          <w:sz w:val="28"/>
          <w:szCs w:val="28"/>
          <w:rtl/>
        </w:rPr>
        <w:t xml:space="preserve">estexrāj-e tāle -e tahvil-e šams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69" w:name="pg20365_260252"/>
    <w:bookmarkEnd w:id="169"/>
    <w:p>
      <w:pPr>
        <w:pStyle w:val="BookText"/>
      </w:pPr>
      <w:r>
        <w:rPr>
          <w:rFonts w:ascii="IRNazanin" w:hAnsi="IRNazanin" w:eastAsia="IRNazanin" w:cs="IRNazanin"/>
          <w:lang w:bidi="fa-IR"/>
          <w:color w:val="111111"/>
          <w:sz w:val="28"/>
          <w:szCs w:val="28"/>
          <w:rtl/>
        </w:rPr>
        <w:t xml:space="preserve">مشهد؛ رضوی؛ شماره نسخه: ۱۲۱۱۳/۱</w:t>
      </w:r>
    </w:p>
    <w:p>
      <w:pPr>
        <w:pStyle w:val="BookText"/>
      </w:pPr>
      <w:r>
        <w:rPr>
          <w:rFonts w:ascii="IRNazanin" w:hAnsi="IRNazanin" w:eastAsia="IRNazanin" w:cs="IRNazanin"/>
          <w:lang w:bidi="fa-IR"/>
          <w:color w:val="111111"/>
          <w:sz w:val="28"/>
          <w:szCs w:val="28"/>
          <w:rtl/>
        </w:rPr>
        <w:t xml:space="preserve">آغاز: بسمله، در استخراج نمودن طالع تحویل آفتاب از برجی به برجی و طالع اجتماع و استقبال هر ماهی که باید بر سر اوراق تقاویم نوشت؛ انجام: فرضا از نصف النهار مقدم تا آنوقت مطلوب که تحویل باشد یا اجتماع یا</w:t>
      </w:r>
    </w:p>
    <w:p>
      <w:pPr>
        <w:pStyle w:val="BookText"/>
      </w:pPr>
      <w:r>
        <w:rPr>
          <w:rFonts w:ascii="IRNazanin" w:hAnsi="IRNazanin" w:eastAsia="IRNazanin" w:cs="IRNazanin"/>
          <w:lang w:bidi="fa-IR"/>
          <w:color w:val="111111"/>
          <w:sz w:val="28"/>
          <w:szCs w:val="28"/>
          <w:rtl/>
        </w:rPr>
        <w:t xml:space="preserve">خط: نسخ و نستعلیق و شکسته، بی کا، تا: قرن ۱۳؛ افتادگی: انجام: دارای اشکال نجومی ؛جلد: چرمی  یک  لا،  ۸گ،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 ۱۰ - ۱۸۳]</w:t>
      </w:r>
    </w:p>
    <w:p>
      <w:pPr>
        <w:pStyle w:val="Heading3"/>
      </w:pPr>
      <w:bookmarkStart w:id="1088" w:name="_Toc610"/>
      <w:r>
        <w:t>استخراج طالع تحویل شمس / هیئت / فارسی</w:t>
      </w:r>
      <w:bookmarkEnd w:id="1088"/>
    </w:p>
    <w:p>
      <w:pPr>
        <w:pStyle w:val="BookText"/>
      </w:pPr>
      <w:r>
        <w:rPr>
          <w:rFonts w:ascii="Times New Roman" w:hAnsi="Times New Roman" w:eastAsia="Times New Roman" w:cs="Times New Roman"/>
          <w:lang w:val="en-US" w:bidi="en-US"/>
          <w:color w:val="111111"/>
          <w:sz w:val="28"/>
          <w:szCs w:val="28"/>
          <w:rtl/>
        </w:rPr>
        <w:t xml:space="preserve">estexrāj-e tāle‘-e tahvīl-e šams</w:t>
      </w:r>
    </w:p>
    <w:p>
      <w:pPr>
        <w:pStyle w:val="BookText"/>
      </w:pPr>
      <w:r>
        <w:rPr>
          <w:rFonts w:ascii="IRNazanin" w:hAnsi="IRNazanin" w:eastAsia="IRNazanin" w:cs="IRNazanin"/>
          <w:lang w:bidi="fa-IR"/>
          <w:color w:val="111111"/>
          <w:sz w:val="28"/>
          <w:szCs w:val="28"/>
          <w:rtl/>
        </w:rPr>
        <w:t xml:space="preserve">مشهد؛ الهیات؛ شماره نسخه: ۵۵۲/۳</w:t>
      </w:r>
    </w:p>
    <w:p>
      <w:pPr>
        <w:pStyle w:val="BookText"/>
      </w:pPr>
      <w:r>
        <w:rPr>
          <w:rFonts w:ascii="IRNazanin" w:hAnsi="IRNazanin" w:eastAsia="IRNazanin" w:cs="IRNazanin"/>
          <w:lang w:bidi="fa-IR"/>
          <w:color w:val="111111"/>
          <w:sz w:val="28"/>
          <w:szCs w:val="28"/>
          <w:rtl/>
        </w:rPr>
        <w:t xml:space="preserve">آغاز: بسمله از استاد کامل العالم .... در بیان استخراج طالع تحویل ؛انجام: تا آنکه صحت و سقم آن معلوم گردد انشاء الله و الله اعلم استخراج طالع تحویل شمس به هر یک از بروج اثنی عشر وطريقه عمل  آن از افادات آخوند ملاعلی اکبر بجنوردی؛ خـط: نستعلیق، بی کا، بی تا: کاغذ ،فرنگی ،جلد: تیماج قهوه ای، ۴گ، ۱۶ سطر (۶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قطع: ربعی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۱۷/۵سم [ف: ۱  - 500]</w:t>
      </w:r>
    </w:p>
    <w:p>
      <w:pPr>
        <w:pStyle w:val="Heading3"/>
      </w:pPr>
      <w:bookmarkStart w:id="1089" w:name="_Toc611"/>
      <w:r>
        <w:t>استخراج طالع مظفرالدین شاه / هیئت / فارسی</w:t>
      </w:r>
      <w:bookmarkEnd w:id="1089"/>
    </w:p>
    <w:p>
      <w:pPr>
        <w:pStyle w:val="BookText"/>
      </w:pPr>
      <w:r>
        <w:rPr>
          <w:rFonts w:ascii="Times New Roman" w:hAnsi="Times New Roman" w:eastAsia="Times New Roman" w:cs="Times New Roman"/>
          <w:lang w:val="en-US" w:bidi="en-US"/>
          <w:color w:val="111111"/>
          <w:sz w:val="28"/>
          <w:szCs w:val="28"/>
          <w:rtl/>
        </w:rPr>
        <w:t xml:space="preserve">exrāj-e tāle -e mozaffar-ed-din šāh</w:t>
      </w:r>
    </w:p>
    <w:p>
      <w:pPr>
        <w:pStyle w:val="BookText"/>
      </w:pPr>
      <w:r>
        <w:rPr>
          <w:rFonts w:ascii="IRNazanin" w:hAnsi="IRNazanin" w:eastAsia="IRNazanin" w:cs="IRNazanin"/>
          <w:lang w:bidi="fa-IR"/>
          <w:color w:val="111111"/>
          <w:sz w:val="28"/>
          <w:szCs w:val="28"/>
          <w:rtl/>
        </w:rPr>
        <w:t xml:space="preserve">حسینی منجم، محمد حسن بن محمد حسین،- 1265  قمری</w:t>
      </w:r>
    </w:p>
    <w:p>
      <w:pPr>
        <w:pStyle w:val="BookText"/>
      </w:pPr>
      <w:r>
        <w:rPr>
          <w:rFonts w:ascii="Times New Roman" w:hAnsi="Times New Roman" w:eastAsia="Times New Roman" w:cs="Times New Roman"/>
          <w:lang w:val="en-US" w:bidi="en-US"/>
          <w:color w:val="111111"/>
          <w:sz w:val="28"/>
          <w:szCs w:val="28"/>
          <w:rtl/>
        </w:rPr>
        <w:t xml:space="preserve">hoseynī monajjem, mohammad hasan ebn-e</w:t>
      </w:r>
    </w:p>
    <w:p>
      <w:pPr>
        <w:pStyle w:val="BookText"/>
      </w:pPr>
      <w:r>
        <w:rPr>
          <w:rFonts w:ascii="Times New Roman" w:hAnsi="Times New Roman" w:eastAsia="Times New Roman" w:cs="Times New Roman"/>
          <w:lang w:val="en-US" w:bidi="en-US"/>
          <w:color w:val="111111"/>
          <w:sz w:val="28"/>
          <w:szCs w:val="28"/>
          <w:rtl/>
        </w:rPr>
        <w:t xml:space="preserve">(mohammad hoseyn (- 1849)</w:t>
      </w:r>
    </w:p>
    <w:p>
      <w:pPr>
        <w:pStyle w:val="BookText"/>
      </w:pPr>
      <w:r>
        <w:rPr>
          <w:rFonts w:ascii="IRNazanin" w:hAnsi="IRNazanin" w:eastAsia="IRNazanin" w:cs="IRNazanin"/>
          <w:lang w:bidi="fa-IR"/>
          <w:color w:val="111111"/>
          <w:sz w:val="28"/>
          <w:szCs w:val="28"/>
          <w:rtl/>
        </w:rPr>
        <w:t xml:space="preserve">کتاب به نام مظفر الدین شاه قاجار و یحیی میرزا نگاشته شـده. طالع شاه را از روی تاریخ ولادتش استخراج کرده است در دو قسم: ۱. اعمال حسابی؛ ۲. نتایج و سرایر آن مقدمات، با جدول هایی در مطالع بروج در قسم اول.</w:t>
      </w:r>
    </w:p>
    <w:p>
      <w:pPr>
        <w:pStyle w:val="BookText"/>
      </w:pPr>
      <w:r>
        <w:rPr>
          <w:rFonts w:ascii="IRNazanin" w:hAnsi="IRNazanin" w:eastAsia="IRNazanin" w:cs="IRNazanin"/>
          <w:lang w:bidi="fa-IR"/>
          <w:color w:val="111111"/>
          <w:sz w:val="28"/>
          <w:szCs w:val="28"/>
          <w:rtl/>
        </w:rPr>
        <w:t xml:space="preserve">قم؛ مرعشی؛ شماره نسخه: ۷۰۶۴</w:t>
      </w:r>
    </w:p>
    <w:p>
      <w:pPr>
        <w:pStyle w:val="BookText"/>
      </w:pPr>
      <w:r>
        <w:rPr>
          <w:rFonts w:ascii="IRNazanin" w:hAnsi="IRNazanin" w:eastAsia="IRNazanin" w:cs="IRNazanin"/>
          <w:lang w:bidi="fa-IR"/>
          <w:color w:val="111111"/>
          <w:sz w:val="28"/>
          <w:szCs w:val="28"/>
          <w:rtl/>
        </w:rPr>
        <w:t xml:space="preserve">آغاز: فروزنده تر ستاره و فرخنده تر سیاره که از افق مقال اهل فضل و کمال وطالع و لامع گردد؛ انجام: و چون در وقت ولادت هيلاجات و کدخداهات مسعود و قوی حال واقع شده اند دلالت کند بر آنکه مولود مبارک مسعود بعمر طبیعی برسد</w:t>
      </w:r>
    </w:p>
    <w:p>
      <w:pPr>
        <w:pStyle w:val="BookText"/>
      </w:pPr>
      <w:r>
        <w:rPr>
          <w:rFonts w:ascii="IRNazanin" w:hAnsi="IRNazanin" w:eastAsia="IRNazanin" w:cs="IRNazanin"/>
          <w:lang w:bidi="fa-IR"/>
          <w:color w:val="111111"/>
          <w:sz w:val="28"/>
          <w:szCs w:val="28"/>
          <w:rtl/>
        </w:rPr>
        <w:t xml:space="preserve">خط: نستعلیق، بی کا، بی تا: مجدول،جلد: تیماج قهوه ای ضربی، ۱۲۳گ، ۹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۲۹/۵سم [ف : ۱۸ -- ۲۲۹]</w:t>
      </w:r>
    </w:p>
    <w:p>
      <w:pPr>
        <w:pStyle w:val="BookText"/>
      </w:pPr>
      <w:r>
        <w:rPr>
          <w:rFonts w:ascii="Amiri" w:hAnsi="Amiri" w:eastAsia="Amiri" w:cs="Amiri"/>
          <w:lang w:bidi="ar-SA"/>
          <w:color w:val="111111"/>
          <w:sz w:val="28"/>
          <w:szCs w:val="28"/>
          <w:rtl/>
        </w:rPr>
        <w:t xml:space="preserve">« استخراج طالع مواليد » استخراج مواليد</w:t>
      </w:r>
    </w:p>
    <w:p>
      <w:pPr>
        <w:pStyle w:val="Heading3"/>
      </w:pPr>
      <w:bookmarkStart w:id="1090" w:name="_Toc612"/>
      <w:r>
        <w:t>استخراج طالع مولود / هیئت / فارسی</w:t>
      </w:r>
      <w:bookmarkEnd w:id="1090"/>
    </w:p>
    <w:p>
      <w:pPr>
        <w:pStyle w:val="BookText"/>
      </w:pPr>
      <w:r>
        <w:rPr>
          <w:rFonts w:ascii="Times New Roman" w:hAnsi="Times New Roman" w:eastAsia="Times New Roman" w:cs="Times New Roman"/>
          <w:lang w:val="en-US" w:bidi="en-US"/>
          <w:color w:val="111111"/>
          <w:sz w:val="28"/>
          <w:szCs w:val="28"/>
          <w:rtl/>
        </w:rPr>
        <w:t xml:space="preserve">estexrāj-e tāle‘-e mowlūd</w:t>
      </w:r>
    </w:p>
    <w:p>
      <w:pPr>
        <w:pStyle w:val="BookText"/>
      </w:pPr>
      <w:r>
        <w:rPr>
          <w:rFonts w:ascii="IRNazanin" w:hAnsi="IRNazanin" w:eastAsia="IRNazanin" w:cs="IRNazanin"/>
          <w:lang w:bidi="fa-IR"/>
          <w:color w:val="111111"/>
          <w:sz w:val="28"/>
          <w:szCs w:val="28"/>
          <w:rtl/>
        </w:rPr>
        <w:t xml:space="preserve">مشهد؛ رضوی؛ شماره نسخه: ۱۹۲۸۴</w:t>
      </w:r>
    </w:p>
    <w:p>
      <w:pPr>
        <w:pStyle w:val="BookText"/>
      </w:pPr>
      <w:r>
        <w:rPr>
          <w:rFonts w:ascii="IRNazanin" w:hAnsi="IRNazanin" w:eastAsia="IRNazanin" w:cs="IRNazanin"/>
          <w:lang w:bidi="fa-IR"/>
          <w:color w:val="111111"/>
          <w:sz w:val="28"/>
          <w:szCs w:val="28"/>
          <w:rtl/>
        </w:rPr>
        <w:t xml:space="preserve">آغاز: بسمله اما بعد چنین کلمه ای است؛ انجام: تسعمائة... الدرجة الى خارج القسمة</w:t>
      </w:r>
    </w:p>
    <w:p>
      <w:pPr>
        <w:pStyle w:val="BookText"/>
      </w:pPr>
      <w:r>
        <w:rPr>
          <w:rFonts w:ascii="IRNazanin" w:hAnsi="IRNazanin" w:eastAsia="IRNazanin" w:cs="IRNazanin"/>
          <w:lang w:bidi="fa-IR"/>
          <w:color w:val="111111"/>
          <w:sz w:val="28"/>
          <w:szCs w:val="28"/>
          <w:rtl/>
        </w:rPr>
        <w:t xml:space="preserve">خط: نستعلیق، بی کا، تا: ۱۰۳۲ق [ رایانه]</w:t>
      </w:r>
    </w:p>
    <w:p>
      <w:pPr>
        <w:pStyle w:val="Heading3"/>
      </w:pPr>
      <w:bookmarkStart w:id="1091" w:name="_Toc613"/>
      <w:r>
        <w:t>استخراج طالع مولود / هیئت / فارسی</w:t>
      </w:r>
      <w:bookmarkEnd w:id="1091"/>
    </w:p>
    <w:p>
      <w:pPr>
        <w:pStyle w:val="BookText"/>
      </w:pPr>
      <w:r>
        <w:rPr>
          <w:rFonts w:ascii="Times New Roman" w:hAnsi="Times New Roman" w:eastAsia="Times New Roman" w:cs="Times New Roman"/>
          <w:lang w:val="en-US" w:bidi="en-US"/>
          <w:color w:val="111111"/>
          <w:sz w:val="28"/>
          <w:szCs w:val="28"/>
          <w:rtl/>
        </w:rPr>
        <w:t xml:space="preserve">estexrāj-e tāle -e mowlūd</w:t>
      </w:r>
    </w:p>
    <w:p>
      <w:pPr>
        <w:pStyle w:val="BookText"/>
      </w:pPr>
      <w:r>
        <w:rPr>
          <w:rFonts w:ascii="IRNazanin" w:hAnsi="IRNazanin" w:eastAsia="IRNazanin" w:cs="IRNazanin"/>
          <w:lang w:bidi="fa-IR"/>
          <w:color w:val="111111"/>
          <w:sz w:val="28"/>
          <w:szCs w:val="28"/>
          <w:rtl/>
        </w:rPr>
        <w:t xml:space="preserve">رساله ای است در استخراج طالع مولود و معرفت تقاویم و اعمال حبيب و قوس و نظائر آن، و در آن از شیوه طالع یابی با زبانی ساده سخن رفته، علاوه بر مطالب طالع یابی از ارتفاع وانخفاض ستارگان و تعیین نصف النهار و یافتن قوس ها و خطوط مثلثاتی نیز بحث شده است.</w:t>
      </w:r>
    </w:p>
    <w:p>
      <w:pPr>
        <w:pStyle w:val="BookText"/>
      </w:pPr>
      <w:r>
        <w:rPr>
          <w:rFonts w:ascii="IRNazanin" w:hAnsi="IRNazanin" w:eastAsia="IRNazanin" w:cs="IRNazanin"/>
          <w:lang w:bidi="fa-IR"/>
          <w:color w:val="111111"/>
          <w:sz w:val="28"/>
          <w:szCs w:val="28"/>
          <w:rtl/>
        </w:rPr>
        <w:t xml:space="preserve">آغاز: بسمله. حمدله ... اما بعد این رساله ایست در استخراج طالع مولود قاعده آنست که فنجانات گذشته از شب یا روز را بساعت  برند</w:t>
      </w:r>
    </w:p>
    <w:p>
      <w:pPr>
        <w:pStyle w:val="BookText"/>
      </w:pPr>
      <w:r>
        <w:rPr>
          <w:rFonts w:ascii="IRNazanin" w:hAnsi="IRNazanin" w:eastAsia="IRNazanin" w:cs="IRNazanin"/>
          <w:lang w:bidi="fa-IR"/>
          <w:color w:val="111111"/>
          <w:sz w:val="28"/>
          <w:szCs w:val="28"/>
          <w:rtl/>
        </w:rPr>
        <w:t xml:space="preserve">انجام: اما سهم  از صد و بیست درجه نگذرد که قطر دایره است و او را حبیب معکوس گویند و الله اعلم بالصواب.</w:t>
      </w:r>
    </w:p>
    <w:p>
      <w:pPr>
        <w:pStyle w:val="BookText"/>
      </w:pPr>
      <w:r>
        <w:rPr>
          <w:rFonts w:ascii="IRNazanin" w:hAnsi="IRNazanin" w:eastAsia="IRNazanin" w:cs="IRNazanin"/>
          <w:lang w:bidi="fa-IR"/>
          <w:color w:val="111111"/>
          <w:sz w:val="28"/>
          <w:szCs w:val="28"/>
          <w:rtl/>
        </w:rPr>
        <w:t xml:space="preserve">۱. مشهد؛ رضوی؛ شماره نسخه: ۵۵۵۵/۲</w:t>
      </w:r>
    </w:p>
    <w:p>
      <w:pPr>
        <w:pStyle w:val="BookText"/>
      </w:pPr>
      <w:r>
        <w:rPr>
          <w:rFonts w:ascii="IRNazanin" w:hAnsi="IRNazanin" w:eastAsia="IRNazanin" w:cs="IRNazanin"/>
          <w:lang w:bidi="fa-IR"/>
          <w:color w:val="111111"/>
          <w:sz w:val="28"/>
          <w:szCs w:val="28"/>
          <w:rtl/>
        </w:rPr>
        <w:t xml:space="preserve">آغاز: برابر؛ انجام: سبعمائه، ثمانمائه، تسعمائه</w:t>
      </w:r>
    </w:p>
    <w:p>
      <w:pPr>
        <w:pStyle w:val="BookText"/>
      </w:pPr>
      <w:r>
        <w:rPr>
          <w:rFonts w:ascii="IRNazanin" w:hAnsi="IRNazanin" w:eastAsia="IRNazanin" w:cs="IRNazanin"/>
          <w:lang w:bidi="fa-IR"/>
          <w:color w:val="111111"/>
          <w:sz w:val="28"/>
          <w:szCs w:val="28"/>
          <w:rtl/>
        </w:rPr>
        <w:t xml:space="preserve">خط: نسخ و نستعلیق، بی کا، تا: قرن ۱۲؛ کاغذ: حنایی سمرقندی، جلد: تیماج  بنفش ۸۱ ص( ۲۱۰ - ۲۹۰)، اندازه: ۱۷/۷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۲۸سم [ف:  ٨ - ٣٢٩  ]</w:t>
      </w:r>
    </w:p>
    <w:p>
      <w:pPr>
        <w:pStyle w:val="BookText"/>
      </w:pPr>
      <w:r>
        <w:rPr>
          <w:rFonts w:ascii="IRNazanin" w:hAnsi="IRNazanin" w:eastAsia="IRNazanin" w:cs="IRNazanin"/>
          <w:lang w:bidi="fa-IR"/>
          <w:color w:val="111111"/>
          <w:sz w:val="28"/>
          <w:szCs w:val="28"/>
          <w:rtl/>
        </w:rPr>
        <w:t xml:space="preserve">۲. تهران؛ ملی؛ شماره نسخه: ۱۱۰۲/۲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کا: محمد زوزنی  الخوانی، تا: ۱۱۱۴ق، جا: محتملاً شیراز؛ کاغذ: فرنگی ،جلد: تیماج ماشی ،یک  لا ،۱۰۵گ، ۱۵ سطر (۷/۵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۱۸/۵سم [ف: ۳ - ۱۲۲]</w:t>
      </w:r>
    </w:p>
    <w:p>
      <w:pPr>
        <w:pStyle w:val="BookText"/>
      </w:pPr>
      <w:r>
        <w:rPr>
          <w:rFonts w:ascii="IRNazanin" w:hAnsi="IRNazanin" w:eastAsia="IRNazanin" w:cs="IRNazanin"/>
          <w:lang w:bidi="fa-IR"/>
          <w:color w:val="111111"/>
          <w:sz w:val="28"/>
          <w:szCs w:val="28"/>
          <w:rtl/>
        </w:rPr>
        <w:t xml:space="preserve">۳. تهران؛ دانشگاه؛ شماره نسخه: ۳۳۳۷/۲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شریف محمد باقر بن علاء الملک  کاخکی، تا: ۱۵ ذیقعده ۱۱۲۲ق ؛جا: هرات؛ کاغذ: سپاهانی، جلد: تیماج ،مشکی ۵۱گ (۶-۵۶)، ۲۷ سطر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۱۸سم[ف: ۱۱ – ۲۳۲۰]</w:t>
      </w:r>
    </w:p>
    <w:p>
      <w:pPr>
        <w:pStyle w:val="BookText"/>
      </w:pPr>
      <w:r>
        <w:rPr>
          <w:rFonts w:ascii="IRNazanin" w:hAnsi="IRNazanin" w:eastAsia="IRNazanin" w:cs="IRNazanin"/>
          <w:lang w:bidi="fa-IR"/>
          <w:color w:val="111111"/>
          <w:sz w:val="28"/>
          <w:szCs w:val="28"/>
          <w:rtl/>
        </w:rPr>
        <w:t xml:space="preserve">۴ .مشهد؛ رضوی؛ شماره نسخه: ۱۲۲۰۹/۲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شعبان ۱۱۵۰ق؛ کاغذ: نخودی آهار مهره، ۵۲ ص (۶۵-۱۱۶)، ۱۹ 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۱۸/۳سم [ف: ۱۰ - ۱۰۶]</w:t>
      </w:r>
    </w:p>
    <w:p>
      <w:pPr>
        <w:pStyle w:val="BookText"/>
      </w:pPr>
      <w:r>
        <w:rPr>
          <w:rFonts w:ascii="IRNazanin" w:hAnsi="IRNazanin" w:eastAsia="IRNazanin" w:cs="IRNazanin"/>
          <w:lang w:bidi="fa-IR"/>
          <w:color w:val="111111"/>
          <w:sz w:val="28"/>
          <w:szCs w:val="28"/>
          <w:rtl/>
        </w:rPr>
        <w:t xml:space="preserve">۵. تهران؛ سپهسالار؛ شماره نسخه: ۶۶۹/۲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بی کا، بی تا؛ با جدول؛ ۷۳گ (۳۹پ -۱۱۱پ) [ف: ۵ - ۱۸۵]</w:t>
      </w:r>
    </w:p>
    <w:p>
      <w:pPr>
        <w:pStyle w:val="Heading3"/>
      </w:pPr>
      <w:bookmarkStart w:id="1092" w:name="_Toc614"/>
      <w:r>
        <w:t>استخراج طالع مولود / هیئت / فارسی</w:t>
      </w:r>
      <w:bookmarkEnd w:id="1092"/>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70" w:name="pg20365_260253"/>
    <w:bookmarkEnd w:id="170"/>
    <w:p>
      <w:pPr>
        <w:pStyle w:val="BookText"/>
      </w:pPr>
      <w:r>
        <w:rPr>
          <w:rFonts w:ascii="Times New Roman" w:hAnsi="Times New Roman" w:eastAsia="Times New Roman" w:cs="Times New Roman"/>
          <w:lang w:val="en-US" w:bidi="en-US"/>
          <w:color w:val="111111"/>
          <w:sz w:val="28"/>
          <w:szCs w:val="28"/>
          <w:rtl/>
        </w:rPr>
        <w:t xml:space="preserve">estexrāj-e tāle‘-e mowlūd</w:t>
      </w:r>
    </w:p>
    <w:p>
      <w:pPr>
        <w:pStyle w:val="BookText"/>
      </w:pPr>
      <w:r>
        <w:rPr>
          <w:rFonts w:ascii="IRNazanin" w:hAnsi="IRNazanin" w:eastAsia="IRNazanin" w:cs="IRNazanin"/>
          <w:lang w:bidi="fa-IR"/>
          <w:color w:val="111111"/>
          <w:sz w:val="28"/>
          <w:szCs w:val="28"/>
          <w:rtl/>
        </w:rPr>
        <w:t xml:space="preserve">رساله مختصری است در طالع مولود و استخراج سهم السعادة و ساعات نصف النهار و عطيه و كدخدا و معرفت ستارگان، در آن از «کفایه» ابوالمحامد غزنوی و ابو معشر و به مناسبت در آن یکجا از ملاعلی قوشچی (-۸۷۹ق) و جای دیگر از محرم سال 930ق یاد شده است می توان حدود زمان تالیف آن را فى الجـمله تشخيص و تعیین کرد. لازم به ذکر است که آغاز آن دقیقاً با رساله معینیه خواجه نصیر یکی است.</w:t>
      </w:r>
    </w:p>
    <w:p>
      <w:pPr>
        <w:pStyle w:val="BookText"/>
      </w:pPr>
      <w:r>
        <w:rPr>
          <w:rFonts w:ascii="IRNazanin" w:hAnsi="IRNazanin" w:eastAsia="IRNazanin" w:cs="IRNazanin"/>
          <w:lang w:bidi="fa-IR"/>
          <w:color w:val="111111"/>
          <w:sz w:val="28"/>
          <w:szCs w:val="28"/>
          <w:rtl/>
        </w:rPr>
        <w:t xml:space="preserve">آغاز: بسمله. سپاس و ستایش حضرت ذوالجلال را که انـوار دقایق حکمت او و از هر ذره از ذرات کاینات تابان است انجام: و برج چهارم سرطان من الجوزا الخ . و الله اعلم بالصواب</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سپهسالار؛ شماره نسخه: ۶۶۹/۱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نستعليق، كا: اختيار بن معز الملک باغ اسپانی جنابذی (گنابادی) ،خراسانی، تا: ۱۲ ربیع الاول ۱۰۹۲ق؛ کاغذ: سپاهانی، جلد: تيماج سرخ ضربی مقوایی، ۳۸گ (۲پ-۳۹ر)، ۱۷ سـطر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۳ - ۱۲۲]</w:t>
      </w:r>
    </w:p>
    <w:p>
      <w:pPr>
        <w:pStyle w:val="BookText"/>
      </w:pPr>
      <w:r>
        <w:rPr>
          <w:rFonts w:ascii="IRNazanin" w:hAnsi="IRNazanin" w:eastAsia="IRNazanin" w:cs="IRNazanin"/>
          <w:lang w:bidi="fa-IR"/>
          <w:color w:val="111111"/>
          <w:sz w:val="28"/>
          <w:szCs w:val="28"/>
          <w:rtl/>
        </w:rPr>
        <w:t xml:space="preserve">۲. تهران؛ دانشگاه؛ شماره نسخه: ۳۳۳۷/۳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شریف محمد باقر بن علاء الملک  کاخکی،تا: ۱۹ ذیقعده ۱۱۲۲ق؛ کاغذ ،سپاهانی، جلد: تیماج مشکی ۲۵گ (۸۲-۵۸)، ۲۷ سطر(۹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۱۱-۲۰  ]</w:t>
      </w:r>
    </w:p>
    <w:p>
      <w:pPr>
        <w:pStyle w:val="BookText"/>
      </w:pPr>
      <w:r>
        <w:rPr>
          <w:rFonts w:ascii="IRNazanin" w:hAnsi="IRNazanin" w:eastAsia="IRNazanin" w:cs="IRNazanin"/>
          <w:lang w:bidi="fa-IR"/>
          <w:color w:val="111111"/>
          <w:sz w:val="28"/>
          <w:szCs w:val="28"/>
          <w:rtl/>
        </w:rPr>
        <w:t xml:space="preserve">3.مشهد؛ رضوی؛ شماره نسخه: ۱۲۲۰۹/۱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شعبان ۱۱۵۰ق؛ کاغذ: نخودی آهار مهره، ۶۴ ص (۱-۶۴)، ۱۹  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۱۸/۳سم [ف : ۱۰ - ۱۰۵]</w:t>
      </w:r>
    </w:p>
    <w:p>
      <w:pPr>
        <w:pStyle w:val="Heading3"/>
      </w:pPr>
      <w:bookmarkStart w:id="1093" w:name="_Toc615"/>
      <w:r>
        <w:t>استخراج طالع مولود و غیر آن / اختر بینی / فارسی</w:t>
      </w:r>
      <w:bookmarkEnd w:id="1093"/>
    </w:p>
    <w:p>
      <w:pPr>
        <w:pStyle w:val="BookText"/>
      </w:pPr>
      <w:r>
        <w:rPr>
          <w:rFonts w:ascii="Times New Roman" w:hAnsi="Times New Roman" w:eastAsia="Times New Roman" w:cs="Times New Roman"/>
          <w:lang w:val="en-US" w:bidi="en-US"/>
          <w:color w:val="111111"/>
          <w:sz w:val="28"/>
          <w:szCs w:val="28"/>
          <w:rtl/>
        </w:rPr>
        <w:t xml:space="preserve">estexrāj-e tāle‘-e mowlūd va qeyr-e ān</w:t>
      </w:r>
    </w:p>
    <w:p>
      <w:pPr>
        <w:pStyle w:val="BookText"/>
      </w:pPr>
      <w:r>
        <w:rPr>
          <w:rFonts w:ascii="IRNazanin" w:hAnsi="IRNazanin" w:eastAsia="IRNazanin" w:cs="IRNazanin"/>
          <w:lang w:bidi="fa-IR"/>
          <w:color w:val="111111"/>
          <w:sz w:val="28"/>
          <w:szCs w:val="28"/>
          <w:rtl/>
        </w:rPr>
        <w:t xml:space="preserve">چند سطری از آغاز رساله ای در معرفت استخراج طالع مولودو غیر آن در این نسخه آمده است و از انجام نانوشته مانده است.</w:t>
      </w:r>
    </w:p>
    <w:p>
      <w:pPr>
        <w:pStyle w:val="BookText"/>
      </w:pPr>
      <w:r>
        <w:rPr>
          <w:rFonts w:ascii="IRNazanin" w:hAnsi="IRNazanin" w:eastAsia="IRNazanin" w:cs="IRNazanin"/>
          <w:lang w:bidi="fa-IR"/>
          <w:color w:val="111111"/>
          <w:sz w:val="28"/>
          <w:szCs w:val="28"/>
          <w:rtl/>
        </w:rPr>
        <w:t xml:space="preserve">قم؛ مرعشی؛ شماره نسخه: ۱۵۱۸۹/۷</w:t>
      </w:r>
    </w:p>
    <w:p>
      <w:pPr>
        <w:pStyle w:val="BookText"/>
      </w:pPr>
      <w:r>
        <w:rPr>
          <w:rFonts w:ascii="IRNazanin" w:hAnsi="IRNazanin" w:eastAsia="IRNazanin" w:cs="IRNazanin"/>
          <w:lang w:bidi="fa-IR"/>
          <w:color w:val="111111"/>
          <w:sz w:val="28"/>
          <w:szCs w:val="28"/>
          <w:rtl/>
        </w:rPr>
        <w:t xml:space="preserve">آغاز: الحمد لله رب العالمين والصلوة على محمد وآله، و بعد، این رساله ای است در معرفت استخراج طالع مولود و غیره مقدمه استخراج طالع زمان ولادت و غیره بر سبیل اختصار. اول، بیاید دانست که ولادت یا در روزست یا در شب؛ انجام:آن حرکت یک شبانه روز بود تنصیف باید کرد و بر حرکت نصـف النهار روز مقدم اگر مستقیم بود باید خط: نستعلیق، بی کا، تا: قرن ۱۳؛ افتادگی: انجام؛ کاغذ: فرنگی ،جلد: تیماج قهوه ای ضربی با ترنج و سر ترنج مجدول عطف تیماج  مشکی، 1گ (۱۶۴پ)، جمعاً ۱۰ سطر (۵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۳۸ - ۶۰]</w:t>
      </w:r>
    </w:p>
    <w:p>
      <w:pPr>
        <w:pStyle w:val="Heading3"/>
      </w:pPr>
      <w:bookmarkStart w:id="1094" w:name="_Toc616"/>
      <w:r>
        <w:t>استخراج طول و عرض بلدان / جغرافیا / فارسی</w:t>
      </w:r>
      <w:bookmarkEnd w:id="1094"/>
    </w:p>
    <w:p>
      <w:pPr>
        <w:pStyle w:val="BookText"/>
      </w:pPr>
      <w:r>
        <w:rPr>
          <w:rFonts w:ascii="Times New Roman" w:hAnsi="Times New Roman" w:eastAsia="Times New Roman" w:cs="Times New Roman"/>
          <w:lang w:val="en-US" w:bidi="en-US"/>
          <w:color w:val="111111"/>
          <w:sz w:val="28"/>
          <w:szCs w:val="28"/>
          <w:rtl/>
        </w:rPr>
        <w:t xml:space="preserve">estexrāj-e tūl va ‘arz-e boldān</w:t>
      </w:r>
    </w:p>
    <w:p>
      <w:pPr>
        <w:pStyle w:val="BookText"/>
      </w:pPr>
      <w:r>
        <w:rPr>
          <w:rFonts w:ascii="IRNazanin" w:hAnsi="IRNazanin" w:eastAsia="IRNazanin" w:cs="IRNazanin"/>
          <w:lang w:bidi="fa-IR"/>
          <w:color w:val="111111"/>
          <w:sz w:val="28"/>
          <w:szCs w:val="28"/>
          <w:rtl/>
        </w:rPr>
        <w:t xml:space="preserve">تهران؛ ملک؛ شماره نسخه: ۳۲۱۴/۷</w:t>
      </w:r>
    </w:p>
    <w:p>
      <w:pPr>
        <w:pStyle w:val="BookText"/>
      </w:pPr>
      <w:r>
        <w:rPr>
          <w:rFonts w:ascii="IRNazanin" w:hAnsi="IRNazanin" w:eastAsia="IRNazanin" w:cs="IRNazanin"/>
          <w:lang w:bidi="fa-IR"/>
          <w:color w:val="111111"/>
          <w:sz w:val="28"/>
          <w:szCs w:val="28"/>
          <w:rtl/>
        </w:rPr>
        <w:t xml:space="preserve">خط: نسخ، بی کا، بی تا؛ ۲ص [ف: ۶ - ۳۰۲]</w:t>
      </w:r>
    </w:p>
    <w:p>
      <w:pPr>
        <w:pStyle w:val="Heading3"/>
      </w:pPr>
      <w:bookmarkStart w:id="1095" w:name="_Toc617"/>
      <w:r>
        <w:t>استخراج عرض اقلیم رویت / هیئت / فارسی</w:t>
      </w:r>
      <w:bookmarkEnd w:id="1095"/>
    </w:p>
    <w:p>
      <w:pPr>
        <w:pStyle w:val="BookText"/>
      </w:pPr>
      <w:r>
        <w:rPr>
          <w:rFonts w:ascii="Times New Roman" w:hAnsi="Times New Roman" w:eastAsia="Times New Roman" w:cs="Times New Roman"/>
          <w:lang w:val="en-US" w:bidi="en-US"/>
          <w:color w:val="111111"/>
          <w:sz w:val="28"/>
          <w:szCs w:val="28"/>
          <w:rtl/>
        </w:rPr>
        <w:t xml:space="preserve">estexrāj-e ‘arz-e eqlīm-e royat</w:t>
      </w:r>
    </w:p>
    <w:p>
      <w:pPr>
        <w:pStyle w:val="BookText"/>
      </w:pPr>
      <w:r>
        <w:rPr>
          <w:rFonts w:ascii="IRNazanin" w:hAnsi="IRNazanin" w:eastAsia="IRNazanin" w:cs="IRNazanin"/>
          <w:lang w:bidi="fa-IR"/>
          <w:color w:val="111111"/>
          <w:sz w:val="28"/>
          <w:szCs w:val="28"/>
          <w:rtl/>
        </w:rPr>
        <w:t xml:space="preserve">تهران؛ دانشگاه؛ شماره نسخه: ۴۸۸۳/۵</w:t>
      </w:r>
    </w:p>
    <w:p>
      <w:pPr>
        <w:pStyle w:val="BookText"/>
      </w:pPr>
      <w:r>
        <w:rPr>
          <w:rFonts w:ascii="IRNazanin" w:hAnsi="IRNazanin" w:eastAsia="IRNazanin" w:cs="IRNazanin"/>
          <w:lang w:bidi="fa-IR"/>
          <w:color w:val="111111"/>
          <w:sz w:val="28"/>
          <w:szCs w:val="28"/>
          <w:rtl/>
        </w:rPr>
        <w:t xml:space="preserve">آغاز: العاشر يا ط مح مج؛ انجام: پس معظم تاثیرش بعد ازین  مدت بظهور آمد.</w:t>
      </w:r>
    </w:p>
    <w:p>
      <w:pPr>
        <w:pStyle w:val="BookText"/>
      </w:pPr>
      <w:r>
        <w:rPr>
          <w:rFonts w:ascii="IRNazanin" w:hAnsi="IRNazanin" w:eastAsia="IRNazanin" w:cs="IRNazanin"/>
          <w:lang w:bidi="fa-IR"/>
          <w:color w:val="111111"/>
          <w:sz w:val="28"/>
          <w:szCs w:val="28"/>
          <w:rtl/>
        </w:rPr>
        <w:t xml:space="preserve">خط: نستعلیق، بی کا، تا: قرن ۱۱ ؛کاغذ: سپاهانی، جلد: تیماج سرخ عطف و گرد و درون  مشکی، ۱۰گ (81ر- 90ر)، ۱۵ سطر (7/5</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۱۴ - ۳۹۳۳]</w:t>
      </w:r>
    </w:p>
    <w:p>
      <w:pPr>
        <w:pStyle w:val="Heading3"/>
      </w:pPr>
      <w:bookmarkStart w:id="1096" w:name="_Toc618"/>
      <w:r>
        <w:t>استخراج عناصر به چند طریق / فارسی</w:t>
      </w:r>
      <w:bookmarkEnd w:id="1096"/>
    </w:p>
    <w:p>
      <w:pPr>
        <w:pStyle w:val="BookText"/>
      </w:pPr>
      <w:r>
        <w:rPr>
          <w:rFonts w:ascii="Times New Roman" w:hAnsi="Times New Roman" w:eastAsia="Times New Roman" w:cs="Times New Roman"/>
          <w:lang w:val="en-US" w:bidi="en-US"/>
          <w:color w:val="111111"/>
          <w:sz w:val="28"/>
          <w:szCs w:val="28"/>
          <w:rtl/>
        </w:rPr>
        <w:t xml:space="preserve">estexrāj-e 'anāsor be čand tariq</w:t>
      </w:r>
    </w:p>
    <w:p>
      <w:pPr>
        <w:pStyle w:val="BookText"/>
      </w:pPr>
      <w:r>
        <w:rPr>
          <w:rFonts w:ascii="IRNazanin" w:hAnsi="IRNazanin" w:eastAsia="IRNazanin" w:cs="IRNazanin"/>
          <w:lang w:bidi="fa-IR"/>
          <w:color w:val="111111"/>
          <w:sz w:val="28"/>
          <w:szCs w:val="28"/>
          <w:rtl/>
        </w:rPr>
        <w:t xml:space="preserve">تهران؛ ملک؛ شماره نسخه: ۳۵۰۵/۶</w:t>
      </w:r>
    </w:p>
    <w:p>
      <w:pPr>
        <w:pStyle w:val="BookText"/>
      </w:pPr>
      <w:r>
        <w:rPr>
          <w:rFonts w:ascii="IRNazanin" w:hAnsi="IRNazanin" w:eastAsia="IRNazanin" w:cs="IRNazanin"/>
          <w:lang w:bidi="fa-IR"/>
          <w:color w:val="111111"/>
          <w:sz w:val="28"/>
          <w:szCs w:val="28"/>
          <w:rtl/>
        </w:rPr>
        <w:t xml:space="preserve">خط: شکسته نستعلیق، بی کا، تا: با تاریخ ۱۳۰۱ق، ۱گ (۳۹ر)  [ف: ۶ - ۴۶۱]</w:t>
      </w:r>
    </w:p>
    <w:p>
      <w:pPr>
        <w:pStyle w:val="Heading3"/>
      </w:pPr>
      <w:bookmarkStart w:id="1097" w:name="_Toc619"/>
      <w:r>
        <w:t>استخراج العدد المضمر (مقالة في) / كلام و اعتقادات / عربی</w:t>
      </w:r>
      <w:bookmarkEnd w:id="1097"/>
    </w:p>
    <w:p>
      <w:pPr>
        <w:pStyle w:val="BookText"/>
      </w:pPr>
      <w:r>
        <w:rPr>
          <w:rFonts w:ascii="Times New Roman" w:hAnsi="Times New Roman" w:eastAsia="Times New Roman" w:cs="Times New Roman"/>
          <w:lang w:val="en-US" w:bidi="en-US"/>
          <w:color w:val="111111"/>
          <w:sz w:val="28"/>
          <w:szCs w:val="28"/>
          <w:rtl/>
        </w:rPr>
        <w:t xml:space="preserve">(istixrāj-ul 'adad-il muḍmar (mq. fi)</w:t>
      </w:r>
    </w:p>
    <w:p>
      <w:pPr>
        <w:pStyle w:val="BookText"/>
      </w:pPr>
      <w:r>
        <w:rPr>
          <w:rFonts w:ascii="IRNazanin" w:hAnsi="IRNazanin" w:eastAsia="IRNazanin" w:cs="IRNazanin"/>
          <w:lang w:bidi="fa-IR"/>
          <w:color w:val="111111"/>
          <w:sz w:val="28"/>
          <w:szCs w:val="28"/>
          <w:rtl/>
        </w:rPr>
        <w:t xml:space="preserve">يحيى بن عدى ۲۸۰ - ۳۶۴ قمری</w:t>
      </w:r>
    </w:p>
    <w:p>
      <w:pPr>
        <w:pStyle w:val="BookText"/>
      </w:pPr>
      <w:r>
        <w:rPr>
          <w:rFonts w:ascii="Times New Roman" w:hAnsi="Times New Roman" w:eastAsia="Times New Roman" w:cs="Times New Roman"/>
          <w:lang w:val="en-US" w:bidi="en-US"/>
          <w:color w:val="111111"/>
          <w:sz w:val="28"/>
          <w:szCs w:val="28"/>
          <w:rtl/>
        </w:rPr>
        <w:t xml:space="preserve">(yahyā ebn-e ‘adī (894 - 975)</w:t>
      </w:r>
    </w:p>
    <w:p>
      <w:pPr>
        <w:pStyle w:val="BookText"/>
      </w:pPr>
      <w:r>
        <w:rPr>
          <w:rFonts w:ascii="IRNazanin" w:hAnsi="IRNazanin" w:eastAsia="IRNazanin" w:cs="IRNazanin"/>
          <w:lang w:bidi="fa-IR"/>
          <w:color w:val="111111"/>
          <w:sz w:val="28"/>
          <w:szCs w:val="28"/>
          <w:rtl/>
        </w:rPr>
        <w:t xml:space="preserve">در ده نوع.</w:t>
      </w:r>
    </w:p>
    <w:p>
      <w:pPr>
        <w:pStyle w:val="BookText"/>
      </w:pPr>
      <w:r>
        <w:rPr>
          <w:rFonts w:ascii="IRNazanin" w:hAnsi="IRNazanin" w:eastAsia="IRNazanin" w:cs="IRNazanin"/>
          <w:lang w:bidi="fa-IR"/>
          <w:color w:val="111111"/>
          <w:sz w:val="28"/>
          <w:szCs w:val="28"/>
          <w:rtl/>
        </w:rPr>
        <w:t xml:space="preserve">۱. تهران؛ مجلس؛ شماره نسخه: ۱۳۷۶/۳ ط</w:t>
      </w:r>
    </w:p>
    <w:p>
      <w:pPr>
        <w:pStyle w:val="BookText"/>
      </w:pPr>
      <w:r>
        <w:rPr>
          <w:rFonts w:ascii="IRNazanin" w:hAnsi="IRNazanin" w:eastAsia="IRNazanin" w:cs="IRNazanin"/>
          <w:lang w:bidi="fa-IR"/>
          <w:color w:val="111111"/>
          <w:sz w:val="28"/>
          <w:szCs w:val="28"/>
          <w:rtl/>
        </w:rPr>
        <w:t xml:space="preserve">خط: نستعلیق، بی  کا، تا: قرن ۱۰ و ۱۱؛۱۱ ص (۲۸-۳۸) [ف: ۲۴/۳ - ۹۹]</w:t>
      </w:r>
    </w:p>
    <w:p>
      <w:pPr>
        <w:pStyle w:val="BookText"/>
      </w:pPr>
      <w:r>
        <w:rPr>
          <w:rFonts w:ascii="IRNazanin" w:hAnsi="IRNazanin" w:eastAsia="IRNazanin" w:cs="IRNazanin"/>
          <w:lang w:bidi="fa-IR"/>
          <w:color w:val="111111"/>
          <w:sz w:val="28"/>
          <w:szCs w:val="28"/>
          <w:rtl/>
        </w:rPr>
        <w:t xml:space="preserve">۲. تهران؛ دانشگاه؛ شماره نسخه: ۴۹۰۱/۲۳</w:t>
      </w:r>
    </w:p>
    <w:p>
      <w:pPr>
        <w:pStyle w:val="BookText"/>
      </w:pPr>
      <w:r>
        <w:rPr>
          <w:rFonts w:ascii="IRNazanin" w:hAnsi="IRNazanin" w:eastAsia="IRNazanin" w:cs="IRNazanin"/>
          <w:lang w:bidi="fa-IR"/>
          <w:color w:val="111111"/>
          <w:sz w:val="28"/>
          <w:szCs w:val="28"/>
          <w:rtl/>
        </w:rPr>
        <w:t xml:space="preserve">آغاز: مقاله يحيى بن عدی بن حميد بن زكريا في استخراج العدد المضمر من غير ان يسئل المضمر عن شيء  بسمله. النوع الاول؛ انجام: و في جدول التسعة منه واحد لم تجد ذلك الا تحت  العشرة. تمت المقالة فى استخراج العدد الضمر بعون الله تعالى.</w:t>
      </w:r>
    </w:p>
    <w:p>
      <w:pPr>
        <w:pStyle w:val="BookText"/>
      </w:pPr>
      <w:r>
        <w:rPr>
          <w:rFonts w:ascii="IRNazanin" w:hAnsi="IRNazanin" w:eastAsia="IRNazanin" w:cs="IRNazanin"/>
          <w:lang w:bidi="fa-IR"/>
          <w:color w:val="111111"/>
          <w:sz w:val="28"/>
          <w:szCs w:val="28"/>
          <w:rtl/>
        </w:rPr>
        <w:t xml:space="preserve">خط: نستعلیق، بی کا، بی تا ؛کاغذ ،سپاهانی ،جلد: تیماج سرخ زرکوب ،مقوایی، ۷گ (۲۰۸ پ - ۲۱۴پ)، ۱۵ سطر (۵/۵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(۲۰۸پ-۲۱۴پ)،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 ۱۴ - ۳۹۸۰]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71" w:name="pg20365_260254"/>
    <w:bookmarkEnd w:id="171"/>
    <w:p>
      <w:pPr>
        <w:pStyle w:val="Heading3"/>
      </w:pPr>
      <w:bookmarkStart w:id="1098" w:name="_Toc620"/>
      <w:r>
        <w:t>استخراج العقاقير من السلم / كيميا / عربي</w:t>
      </w:r>
      <w:bookmarkEnd w:id="1098"/>
    </w:p>
    <w:p>
      <w:pPr>
        <w:pStyle w:val="BookText"/>
      </w:pPr>
      <w:r>
        <w:rPr>
          <w:rFonts w:ascii="Times New Roman" w:hAnsi="Times New Roman" w:eastAsia="Times New Roman" w:cs="Times New Roman"/>
          <w:lang w:val="en-US" w:bidi="en-US"/>
          <w:color w:val="111111"/>
          <w:sz w:val="28"/>
          <w:szCs w:val="28"/>
          <w:rtl/>
        </w:rPr>
        <w:t xml:space="preserve">istixrāj-ul ‘aqāqīr min-as silam</w:t>
      </w:r>
    </w:p>
    <w:p>
      <w:pPr>
        <w:pStyle w:val="BookText"/>
      </w:pPr>
      <w:r>
        <w:rPr>
          <w:rFonts w:ascii="Amiri" w:hAnsi="Amiri" w:eastAsia="Amiri" w:cs="Amiri"/>
          <w:lang w:bidi="ar-SA"/>
          <w:color w:val="111111"/>
          <w:sz w:val="28"/>
          <w:szCs w:val="28"/>
          <w:rtl/>
        </w:rPr>
        <w:t xml:space="preserve">محمد بن ابراهيم بن نصير</w:t>
      </w:r>
    </w:p>
    <w:p>
      <w:pPr>
        <w:pStyle w:val="BookText"/>
      </w:pPr>
      <w:r>
        <w:rPr>
          <w:rFonts w:ascii="Times New Roman" w:hAnsi="Times New Roman" w:eastAsia="Times New Roman" w:cs="Times New Roman"/>
          <w:lang w:val="en-US" w:bidi="en-US"/>
          <w:color w:val="111111"/>
          <w:sz w:val="28"/>
          <w:szCs w:val="28"/>
          <w:rtl/>
        </w:rPr>
        <w:t xml:space="preserve">mohammad ebn-e ebrāhīm ebn-e nasīr</w:t>
      </w:r>
    </w:p>
    <w:p>
      <w:pPr>
        <w:pStyle w:val="BookText"/>
      </w:pPr>
      <w:r>
        <w:rPr>
          <w:rFonts w:ascii="IRNazanin" w:hAnsi="IRNazanin" w:eastAsia="IRNazanin" w:cs="IRNazanin"/>
          <w:lang w:bidi="fa-IR"/>
          <w:color w:val="111111"/>
          <w:sz w:val="28"/>
          <w:szCs w:val="28"/>
          <w:rtl/>
        </w:rPr>
        <w:t xml:space="preserve">مؤلف این رساله مدعی است که این روش که با شماره هـای ابجدی می توان موازین کیمیایی را به دست آورد از لوحی استفاده شده که از طلا در یکی از دیرهای «دهشور» بوده ترجمه شده است.</w:t>
      </w:r>
    </w:p>
    <w:p>
      <w:pPr>
        <w:pStyle w:val="BookText"/>
      </w:pPr>
      <w:r>
        <w:rPr>
          <w:rFonts w:ascii="IRNazanin" w:hAnsi="IRNazanin" w:eastAsia="IRNazanin" w:cs="IRNazanin"/>
          <w:lang w:bidi="fa-IR"/>
          <w:color w:val="111111"/>
          <w:sz w:val="28"/>
          <w:szCs w:val="28"/>
          <w:rtl/>
        </w:rPr>
        <w:t xml:space="preserve">قم؛ مرعشی؛ شماره نسخه: ۱۴۱۴/۱۳</w:t>
      </w:r>
    </w:p>
    <w:p>
      <w:pPr>
        <w:pStyle w:val="BookText"/>
      </w:pPr>
      <w:r>
        <w:rPr>
          <w:rFonts w:ascii="IRNazanin" w:hAnsi="IRNazanin" w:eastAsia="IRNazanin" w:cs="IRNazanin"/>
          <w:lang w:bidi="fa-IR"/>
          <w:color w:val="111111"/>
          <w:sz w:val="28"/>
          <w:szCs w:val="28"/>
          <w:rtl/>
        </w:rPr>
        <w:t xml:space="preserve">آغاز: الحمد لله رب العالمين ... فصل عزيز جداً فى هذا الـعلم وجدته في بعض أديرة دهشور في لوح من الذهب مكتوب فیه بالفضة؛ انجام: و تضع عليهمرارة الماعز بجلدها و كلها فانه ينحل ماء فاشرط ما عليه من الثفل و استعمل فيما تريد، و الله أعلم بالصواب.</w:t>
      </w:r>
    </w:p>
    <w:p>
      <w:pPr>
        <w:pStyle w:val="BookText"/>
      </w:pPr>
      <w:r>
        <w:rPr>
          <w:rFonts w:ascii="IRNazanin" w:hAnsi="IRNazanin" w:eastAsia="IRNazanin" w:cs="IRNazanin"/>
          <w:lang w:bidi="fa-IR"/>
          <w:color w:val="111111"/>
          <w:sz w:val="28"/>
          <w:szCs w:val="28"/>
          <w:rtl/>
        </w:rPr>
        <w:t xml:space="preserve">خط: نسخ و نستعلیق، بی کا، تا: ۱۲۶۵ق؛ جلد: تیماج قهوه ای، 1گ (۲۰۱ر - ۲۰۱پ)، ۲۳ سطر، اندازه: ۱۶/۵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۲۶سم [ف: 4- 201]</w:t>
      </w:r>
    </w:p>
    <w:p>
      <w:pPr>
        <w:pStyle w:val="Heading3"/>
      </w:pPr>
      <w:bookmarkStart w:id="1099" w:name="_Toc621"/>
      <w:r>
        <w:t>استخراج غایت تعدیل قمر / هیئت / فارسی</w:t>
      </w:r>
      <w:bookmarkEnd w:id="1099"/>
    </w:p>
    <w:p>
      <w:pPr>
        <w:pStyle w:val="BookText"/>
      </w:pPr>
      <w:r>
        <w:rPr>
          <w:rFonts w:ascii="Times New Roman" w:hAnsi="Times New Roman" w:eastAsia="Times New Roman" w:cs="Times New Roman"/>
          <w:lang w:val="en-US" w:bidi="en-US"/>
          <w:color w:val="111111"/>
          <w:sz w:val="28"/>
          <w:szCs w:val="28"/>
          <w:rtl/>
        </w:rPr>
        <w:t xml:space="preserve">estexrāj-e qāyat-e ta‘dīl-e qamar</w:t>
      </w:r>
    </w:p>
    <w:p>
      <w:pPr>
        <w:pStyle w:val="BookText"/>
      </w:pPr>
      <w:r>
        <w:rPr>
          <w:rFonts w:ascii="IRNazanin" w:hAnsi="IRNazanin" w:eastAsia="IRNazanin" w:cs="IRNazanin"/>
          <w:lang w:bidi="fa-IR"/>
          <w:color w:val="111111"/>
          <w:sz w:val="28"/>
          <w:szCs w:val="28"/>
          <w:rtl/>
        </w:rPr>
        <w:t xml:space="preserve">تهران؛ دانشگاه؛ شماره نسخه: ۴۸۸۳/۲</w:t>
      </w:r>
    </w:p>
    <w:p>
      <w:pPr>
        <w:pStyle w:val="BookText"/>
      </w:pPr>
      <w:r>
        <w:rPr>
          <w:rFonts w:ascii="IRNazanin" w:hAnsi="IRNazanin" w:eastAsia="IRNazanin" w:cs="IRNazanin"/>
          <w:lang w:bidi="fa-IR"/>
          <w:color w:val="111111"/>
          <w:sz w:val="28"/>
          <w:szCs w:val="28"/>
          <w:rtl/>
        </w:rPr>
        <w:t xml:space="preserve">آغاز: بسمله در استخراج غایت تعدیل اول قمر به برهان پیش از شروع در آن مقدمه بیان کنیم پس دایره ا ب ج را؛ انجام: تقویم مثل قمر ج ى لط (پس ازین سه فایده ریاضی است بفارسی و جدول وقوف كواكب خمسه تا ۲۸پ)</w:t>
      </w:r>
    </w:p>
    <w:p>
      <w:pPr>
        <w:pStyle w:val="BookText"/>
      </w:pPr>
      <w:r>
        <w:rPr>
          <w:rFonts w:ascii="IRNazanin" w:hAnsi="IRNazanin" w:eastAsia="IRNazanin" w:cs="IRNazanin"/>
          <w:lang w:bidi="fa-IR"/>
          <w:color w:val="111111"/>
          <w:sz w:val="28"/>
          <w:szCs w:val="28"/>
          <w:rtl/>
        </w:rPr>
        <w:t xml:space="preserve">خط: نستعلیق، بی کا، بی تا ؛کاغذ: سپاهانی، جلد: تیماج سرخ عطف و گرد و درون  مشکی، ۱۲گ( ۱۷ پ-۲۸ر)، ۱۵ سـطر (۷/۵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۱۴ – ۳۹۳۲]</w:t>
      </w:r>
    </w:p>
    <w:p>
      <w:pPr>
        <w:pStyle w:val="Heading3"/>
      </w:pPr>
      <w:bookmarkStart w:id="1100" w:name="_Toc622"/>
      <w:r>
        <w:t>استخراج غایت تعدیل قمر / هیئت / فارسی</w:t>
      </w:r>
      <w:bookmarkEnd w:id="1100"/>
    </w:p>
    <w:p>
      <w:pPr>
        <w:pStyle w:val="BookText"/>
      </w:pPr>
      <w:r>
        <w:rPr>
          <w:rFonts w:ascii="Times New Roman" w:hAnsi="Times New Roman" w:eastAsia="Times New Roman" w:cs="Times New Roman"/>
          <w:lang w:val="en-US" w:bidi="en-US"/>
          <w:color w:val="111111"/>
          <w:sz w:val="28"/>
          <w:szCs w:val="28"/>
          <w:rtl/>
        </w:rPr>
        <w:t xml:space="preserve">estexrāj-e qāyat-e ta‘dīl-e qamar</w:t>
      </w:r>
    </w:p>
    <w:p>
      <w:pPr>
        <w:pStyle w:val="BookText"/>
      </w:pPr>
      <w:r>
        <w:rPr>
          <w:rFonts w:ascii="IRNazanin" w:hAnsi="IRNazanin" w:eastAsia="IRNazanin" w:cs="IRNazanin"/>
          <w:lang w:bidi="fa-IR"/>
          <w:color w:val="111111"/>
          <w:sz w:val="28"/>
          <w:szCs w:val="28"/>
          <w:rtl/>
        </w:rPr>
        <w:t xml:space="preserve">تهران؛ مروی؛ شماره نسخه: ۸۷۷/۲</w:t>
      </w:r>
    </w:p>
    <w:p>
      <w:pPr>
        <w:pStyle w:val="BookText"/>
      </w:pPr>
      <w:r>
        <w:rPr>
          <w:rFonts w:ascii="IRNazanin" w:hAnsi="IRNazanin" w:eastAsia="IRNazanin" w:cs="IRNazanin"/>
          <w:lang w:bidi="fa-IR"/>
          <w:color w:val="111111"/>
          <w:sz w:val="28"/>
          <w:szCs w:val="28"/>
          <w:rtl/>
        </w:rPr>
        <w:t xml:space="preserve">بی کا، بی تا؛ ۴گ، قطع: رقعی [ف: ۳۲۲]</w:t>
      </w:r>
    </w:p>
    <w:p>
      <w:pPr>
        <w:pStyle w:val="Heading3"/>
      </w:pPr>
      <w:bookmarkStart w:id="1101" w:name="_Toc623"/>
      <w:r>
        <w:t>استخراج غره ماه (جدول) / هیئت / فارسی</w:t>
      </w:r>
      <w:bookmarkEnd w:id="1101"/>
    </w:p>
    <w:p>
      <w:pPr>
        <w:pStyle w:val="BookText"/>
      </w:pPr>
      <w:r>
        <w:rPr>
          <w:rFonts w:ascii="Times New Roman" w:hAnsi="Times New Roman" w:eastAsia="Times New Roman" w:cs="Times New Roman"/>
          <w:lang w:val="en-US" w:bidi="en-US"/>
          <w:color w:val="111111"/>
          <w:sz w:val="28"/>
          <w:szCs w:val="28"/>
          <w:rtl/>
        </w:rPr>
        <w:t xml:space="preserve">(0estexrāj-e qorre-ye māh (jadval)</w:t>
      </w:r>
    </w:p>
    <w:p>
      <w:pPr>
        <w:pStyle w:val="BookText"/>
      </w:pPr>
      <w:r>
        <w:rPr>
          <w:rFonts w:ascii="IRNazanin" w:hAnsi="IRNazanin" w:eastAsia="IRNazanin" w:cs="IRNazanin"/>
          <w:lang w:bidi="fa-IR"/>
          <w:color w:val="111111"/>
          <w:sz w:val="28"/>
          <w:szCs w:val="28"/>
          <w:rtl/>
        </w:rPr>
        <w:t xml:space="preserve">جدول است برای استخراج غزه ماه در ایام هفته .در سطر اول این جدول زیبا حروف مقطعه نام امام جعفر صادق (علیه السّلام) و در سطر زیر آن نام ماه ها و ایام هفته ثبت شده است.</w:t>
      </w:r>
    </w:p>
    <w:p>
      <w:pPr>
        <w:pStyle w:val="BookText"/>
      </w:pPr>
      <w:r>
        <w:rPr>
          <w:rFonts w:ascii="IRNazanin" w:hAnsi="IRNazanin" w:eastAsia="IRNazanin" w:cs="IRNazanin"/>
          <w:lang w:bidi="fa-IR"/>
          <w:color w:val="111111"/>
          <w:sz w:val="28"/>
          <w:szCs w:val="28"/>
          <w:rtl/>
        </w:rPr>
        <w:t xml:space="preserve">تهران؛ مجلس؛ شماره نسخه: ۱۱۶۲/۷-ط</w:t>
      </w:r>
    </w:p>
    <w:p>
      <w:pPr>
        <w:pStyle w:val="BookText"/>
      </w:pPr>
      <w:r>
        <w:rPr>
          <w:rFonts w:ascii="IRNazanin" w:hAnsi="IRNazanin" w:eastAsia="IRNazanin" w:cs="IRNazanin"/>
          <w:lang w:bidi="fa-IR"/>
          <w:color w:val="111111"/>
          <w:sz w:val="28"/>
          <w:szCs w:val="28"/>
          <w:rtl/>
        </w:rPr>
        <w:t xml:space="preserve">آغاز: بسمله منقول است از حضرت امام جعفر صادق عليه السلام اگر کسی خواهد که بداند غره هر ماه در چه روز می شود</w:t>
      </w:r>
    </w:p>
    <w:p>
      <w:pPr>
        <w:pStyle w:val="BookText"/>
      </w:pPr>
      <w:r>
        <w:rPr>
          <w:rFonts w:ascii="IRNazanin" w:hAnsi="IRNazanin" w:eastAsia="IRNazanin" w:cs="IRNazanin"/>
          <w:lang w:bidi="fa-IR"/>
          <w:color w:val="111111"/>
          <w:sz w:val="28"/>
          <w:szCs w:val="28"/>
          <w:rtl/>
        </w:rPr>
        <w:t xml:space="preserve">خط: شکسته نستعلیق  خوب، کا: آقا نور ابن حاج نقد علی، تا: قرن ۱۲، ۸گ [ف: ۲۳ – ۶۴۸]</w:t>
      </w:r>
    </w:p>
    <w:p>
      <w:pPr>
        <w:pStyle w:val="Heading3"/>
      </w:pPr>
      <w:bookmarkStart w:id="1102" w:name="_Toc624"/>
      <w:r>
        <w:t>استخراج فى السؤال و الجواب / عربي</w:t>
      </w:r>
      <w:bookmarkEnd w:id="1102"/>
    </w:p>
    <w:p>
      <w:pPr>
        <w:pStyle w:val="BookText"/>
      </w:pPr>
      <w:r>
        <w:rPr>
          <w:rFonts w:ascii="Times New Roman" w:hAnsi="Times New Roman" w:eastAsia="Times New Roman" w:cs="Times New Roman"/>
          <w:lang w:val="en-US" w:bidi="en-US"/>
          <w:color w:val="111111"/>
          <w:sz w:val="28"/>
          <w:szCs w:val="28"/>
          <w:rtl/>
        </w:rPr>
        <w:t xml:space="preserve">istixraj-u fi-s-su'al wa-l-jawab</w:t>
      </w:r>
    </w:p>
    <w:p>
      <w:pPr>
        <w:pStyle w:val="BookText"/>
      </w:pPr>
      <w:r>
        <w:rPr>
          <w:rFonts w:ascii="IRNazanin" w:hAnsi="IRNazanin" w:eastAsia="IRNazanin" w:cs="IRNazanin"/>
          <w:lang w:bidi="fa-IR"/>
          <w:color w:val="111111"/>
          <w:sz w:val="28"/>
          <w:szCs w:val="28"/>
          <w:rtl/>
        </w:rPr>
        <w:t xml:space="preserve">تهران؛ مفتاح؛ شماره نسخه: ۴۶۱/۱</w:t>
      </w:r>
    </w:p>
    <w:p>
      <w:pPr>
        <w:pStyle w:val="BookText"/>
      </w:pPr>
      <w:r>
        <w:rPr>
          <w:rFonts w:ascii="IRNazanin" w:hAnsi="IRNazanin" w:eastAsia="IRNazanin" w:cs="IRNazanin"/>
          <w:lang w:bidi="fa-IR"/>
          <w:color w:val="111111"/>
          <w:sz w:val="28"/>
          <w:szCs w:val="28"/>
          <w:rtl/>
        </w:rPr>
        <w:t xml:space="preserve">خط: نستعلیق، بی کا، تا: قرن ۱۲ [نشریه: ۷ - ۲۴۱]</w:t>
      </w:r>
    </w:p>
    <w:p>
      <w:pPr>
        <w:pStyle w:val="BookText"/>
      </w:pPr>
      <w:r>
        <w:rPr>
          <w:rFonts w:ascii="Amiri" w:hAnsi="Amiri" w:eastAsia="Amiri" w:cs="Amiri"/>
          <w:lang w:bidi="ar-SA"/>
          <w:color w:val="111111"/>
          <w:sz w:val="28"/>
          <w:szCs w:val="28"/>
          <w:rtl/>
        </w:rPr>
        <w:t xml:space="preserve">«الاستخراج في طلب العمر و الهيلاج » استخراجات</w:t>
      </w:r>
    </w:p>
    <w:p>
      <w:pPr>
        <w:pStyle w:val="BookText"/>
      </w:pPr>
      <w:r>
        <w:rPr>
          <w:rFonts w:ascii="IRNazanin" w:hAnsi="IRNazanin" w:eastAsia="IRNazanin" w:cs="IRNazanin"/>
          <w:lang w:bidi="fa-IR"/>
          <w:color w:val="111111"/>
          <w:sz w:val="28"/>
          <w:szCs w:val="28"/>
          <w:rtl/>
        </w:rPr>
        <w:t xml:space="preserve">«الاستخراج فى طلب العمر و الهيلاج » حکم دلیلهای طالع  سال از ستارگان</w:t>
      </w:r>
    </w:p>
    <w:p>
      <w:pPr>
        <w:pStyle w:val="Heading3"/>
      </w:pPr>
      <w:bookmarkStart w:id="1103" w:name="_Toc625"/>
      <w:r>
        <w:t>استخراج القسى من الاوتار و الاوتار من القسى/  موسیقی / عربی</w:t>
      </w:r>
      <w:bookmarkEnd w:id="1103"/>
    </w:p>
    <w:p>
      <w:pPr>
        <w:pStyle w:val="BookText"/>
      </w:pPr>
      <w:r>
        <w:rPr>
          <w:rFonts w:ascii="Times New Roman" w:hAnsi="Times New Roman" w:eastAsia="Times New Roman" w:cs="Times New Roman"/>
          <w:lang w:val="en-US" w:bidi="en-US"/>
          <w:color w:val="111111"/>
          <w:sz w:val="28"/>
          <w:szCs w:val="28"/>
          <w:rtl/>
        </w:rPr>
        <w:t xml:space="preserve">istixrāj-ul-qasī min-al-awtār wa-l-awtār min-al-qasī</w:t>
      </w:r>
    </w:p>
    <w:p>
      <w:pPr>
        <w:pStyle w:val="BookText"/>
      </w:pPr>
      <w:r>
        <w:rPr>
          <w:rFonts w:ascii="IRNazanin" w:hAnsi="IRNazanin" w:eastAsia="IRNazanin" w:cs="IRNazanin"/>
          <w:lang w:bidi="fa-IR"/>
          <w:color w:val="111111"/>
          <w:sz w:val="28"/>
          <w:szCs w:val="28"/>
          <w:rtl/>
        </w:rPr>
        <w:t xml:space="preserve">تهران؛ دانشگاه؛ شماره نسخه: ۱۴۵۹/۶-ف</w:t>
      </w:r>
    </w:p>
    <w:p>
      <w:pPr>
        <w:pStyle w:val="BookText"/>
      </w:pPr>
      <w:r>
        <w:rPr>
          <w:rFonts w:ascii="IRNazanin" w:hAnsi="IRNazanin" w:eastAsia="IRNazanin" w:cs="IRNazanin"/>
          <w:lang w:bidi="fa-IR"/>
          <w:color w:val="111111"/>
          <w:sz w:val="28"/>
          <w:szCs w:val="28"/>
          <w:rtl/>
        </w:rPr>
        <w:t xml:space="preserve">نسخه اصل: موزه بریتانیاش 23570 .</w:t>
      </w:r>
      <w:r>
        <w:rPr>
          <w:rFonts w:ascii="Times New Roman" w:hAnsi="Times New Roman" w:eastAsia="Times New Roman" w:cs="Times New Roman"/>
          <w:lang w:val="en-US" w:bidi="en-US"/>
          <w:color w:val="111111"/>
          <w:sz w:val="28"/>
          <w:szCs w:val="28"/>
          <w:rtl/>
        </w:rPr>
        <w:t xml:space="preserve">add </w:t>
      </w:r>
      <w:r>
        <w:rPr>
          <w:rFonts w:ascii="IRNazanin" w:hAnsi="IRNazanin" w:eastAsia="IRNazanin" w:cs="IRNazanin"/>
          <w:lang w:bidi="fa-IR"/>
          <w:color w:val="111111"/>
          <w:sz w:val="28"/>
          <w:szCs w:val="28"/>
          <w:rtl/>
        </w:rPr>
        <w:t xml:space="preserve">بی کا، بی تا[ فیلم ها-ف : 1- 603]</w:t>
      </w:r>
    </w:p>
    <w:p>
      <w:pPr>
        <w:pStyle w:val="BookText"/>
      </w:pPr>
      <w:r>
        <w:rPr>
          <w:rFonts w:ascii="Amiri" w:hAnsi="Amiri" w:eastAsia="Amiri" w:cs="Amiri"/>
          <w:lang w:bidi="ar-SA"/>
          <w:color w:val="111111"/>
          <w:sz w:val="28"/>
          <w:szCs w:val="28"/>
          <w:rtl/>
        </w:rPr>
        <w:t xml:space="preserve">«استخراج قطبى البيضة » مساحة البيضة</w:t>
      </w:r>
    </w:p>
    <w:p>
      <w:pPr>
        <w:pStyle w:val="Heading3"/>
      </w:pPr>
      <w:bookmarkStart w:id="1104" w:name="_Toc626"/>
      <w:r>
        <w:t>استخراج قمر / هیئت</w:t>
      </w:r>
      <w:bookmarkEnd w:id="1104"/>
    </w:p>
    <w:p>
      <w:pPr>
        <w:pStyle w:val="BookText"/>
      </w:pPr>
      <w:r>
        <w:rPr>
          <w:rFonts w:ascii="Times New Roman" w:hAnsi="Times New Roman" w:eastAsia="Times New Roman" w:cs="Times New Roman"/>
          <w:lang w:val="en-US" w:bidi="en-US"/>
          <w:color w:val="111111"/>
          <w:sz w:val="28"/>
          <w:szCs w:val="28"/>
          <w:rtl/>
        </w:rPr>
        <w:t xml:space="preserve">estexrāj-e qamar</w:t>
      </w:r>
    </w:p>
    <w:p>
      <w:pPr>
        <w:pStyle w:val="BookText"/>
      </w:pPr>
      <w:r>
        <w:rPr>
          <w:rFonts w:ascii="IRNazanin" w:hAnsi="IRNazanin" w:eastAsia="IRNazanin" w:cs="IRNazanin"/>
          <w:lang w:bidi="fa-IR"/>
          <w:color w:val="111111"/>
          <w:sz w:val="28"/>
          <w:szCs w:val="28"/>
          <w:rtl/>
        </w:rPr>
        <w:t xml:space="preserve">شیراز ،بغایری، عبدالرزاق؛ شماره نسخه: بدون شماره ۳</w:t>
      </w:r>
    </w:p>
    <w:p>
      <w:pPr>
        <w:pStyle w:val="BookText"/>
      </w:pPr>
      <w:r>
        <w:rPr>
          <w:rFonts w:ascii="IRNazanin" w:hAnsi="IRNazanin" w:eastAsia="IRNazanin" w:cs="IRNazanin"/>
          <w:lang w:bidi="fa-IR"/>
          <w:color w:val="111111"/>
          <w:sz w:val="28"/>
          <w:szCs w:val="28"/>
          <w:rtl/>
        </w:rPr>
        <w:t xml:space="preserve">بی کا، بی تا[ میراث اسلامی: ۵ - ۵۷۵] [</w:t>
      </w:r>
    </w:p>
    <w:p>
      <w:pPr>
        <w:pStyle w:val="Heading3"/>
      </w:pPr>
      <w:bookmarkStart w:id="1105" w:name="_Toc627"/>
      <w:r>
        <w:t>استخراج کسوف / هیئت / فارسی</w:t>
      </w:r>
      <w:bookmarkEnd w:id="1105"/>
    </w:p>
    <w:p>
      <w:pPr>
        <w:pStyle w:val="BookText"/>
      </w:pPr>
      <w:r>
        <w:rPr>
          <w:rFonts w:ascii="Times New Roman" w:hAnsi="Times New Roman" w:eastAsia="Times New Roman" w:cs="Times New Roman"/>
          <w:lang w:val="en-US" w:bidi="en-US"/>
          <w:color w:val="111111"/>
          <w:sz w:val="28"/>
          <w:szCs w:val="28"/>
          <w:rtl/>
        </w:rPr>
        <w:t xml:space="preserve">estexrāj-e kosūf</w:t>
      </w:r>
    </w:p>
    <w:p>
      <w:pPr>
        <w:pStyle w:val="BookText"/>
      </w:pPr>
      <w:r>
        <w:rPr>
          <w:rFonts w:ascii="IRNazanin" w:hAnsi="IRNazanin" w:eastAsia="IRNazanin" w:cs="IRNazanin"/>
          <w:lang w:bidi="fa-IR"/>
          <w:color w:val="111111"/>
          <w:sz w:val="28"/>
          <w:szCs w:val="28"/>
          <w:rtl/>
        </w:rPr>
        <w:t xml:space="preserve">محمد  زمان، ق ۱۲ قمری</w:t>
      </w:r>
    </w:p>
    <w:p>
      <w:pPr>
        <w:pStyle w:val="BookText"/>
      </w:pPr>
      <w:r>
        <w:rPr>
          <w:rFonts w:ascii="Times New Roman" w:hAnsi="Times New Roman" w:eastAsia="Times New Roman" w:cs="Times New Roman"/>
          <w:lang w:val="en-US" w:bidi="en-US"/>
          <w:color w:val="111111"/>
          <w:sz w:val="28"/>
          <w:szCs w:val="28"/>
          <w:rtl/>
        </w:rPr>
        <w:t xml:space="preserve">(mohammad zaman (- 18c)</w:t>
      </w:r>
    </w:p>
    <w:p>
      <w:pPr>
        <w:pStyle w:val="BookText"/>
      </w:pPr>
      <w:r>
        <w:rPr>
          <w:rFonts w:ascii="IRNazanin" w:hAnsi="IRNazanin" w:eastAsia="IRNazanin" w:cs="IRNazanin"/>
          <w:lang w:bidi="fa-IR"/>
          <w:color w:val="111111"/>
          <w:sz w:val="28"/>
          <w:szCs w:val="28"/>
          <w:rtl/>
        </w:rPr>
        <w:t xml:space="preserve">تهران؛ مجلس؛ شماره نسخه: ۳۹۲۹/۳</w:t>
      </w:r>
    </w:p>
    <w:p>
      <w:pPr>
        <w:pStyle w:val="BookText"/>
      </w:pPr>
      <w:r>
        <w:rPr>
          <w:rFonts w:ascii="IRNazanin" w:hAnsi="IRNazanin" w:eastAsia="IRNazanin" w:cs="IRNazanin"/>
          <w:lang w:bidi="fa-IR"/>
          <w:color w:val="111111"/>
          <w:sz w:val="28"/>
          <w:szCs w:val="28"/>
          <w:rtl/>
        </w:rPr>
        <w:t xml:space="preserve">آغاز: دستور استخراج کسوف جهت توضیح کسوف آنچه العبد محمد زمان استخراج آنرا استنباط نموده است</w:t>
      </w:r>
    </w:p>
    <w:p>
      <w:pPr>
        <w:pStyle w:val="BookText"/>
      </w:pPr>
      <w:r>
        <w:rPr>
          <w:rFonts w:ascii="IRNazanin" w:hAnsi="IRNazanin" w:eastAsia="IRNazanin" w:cs="IRNazanin"/>
          <w:lang w:bidi="fa-IR"/>
          <w:color w:val="111111"/>
          <w:sz w:val="28"/>
          <w:szCs w:val="28"/>
          <w:rtl/>
        </w:rPr>
        <w:t xml:space="preserve">خط: نسخ، بی کا، تا: قرن ۱۳؛ ۱ص (۷۴) [ف: ۱۰ - ۲۰۱۴]</w:t>
      </w:r>
    </w:p>
    <w:p>
      <w:pPr>
        <w:pStyle w:val="Heading3"/>
      </w:pPr>
      <w:bookmarkStart w:id="1106" w:name="_Toc628"/>
      <w:r>
        <w:t>استخراج کسوف / هیئت / فارسی</w:t>
      </w:r>
      <w:bookmarkEnd w:id="1106"/>
    </w:p>
    <w:p>
      <w:pPr>
        <w:pStyle w:val="BookText"/>
      </w:pPr>
      <w:r>
        <w:rPr>
          <w:rFonts w:ascii="Times New Roman" w:hAnsi="Times New Roman" w:eastAsia="Times New Roman" w:cs="Times New Roman"/>
          <w:lang w:val="en-US" w:bidi="en-US"/>
          <w:color w:val="111111"/>
          <w:sz w:val="28"/>
          <w:szCs w:val="28"/>
          <w:rtl/>
        </w:rPr>
        <w:t xml:space="preserve">estexrāj-e kosuf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72" w:name="pg20365_260255"/>
    <w:bookmarkEnd w:id="172"/>
    <w:p>
      <w:pPr>
        <w:pStyle w:val="BookText"/>
      </w:pPr>
      <w:r>
        <w:rPr>
          <w:rFonts w:ascii="IRNazanin" w:hAnsi="IRNazanin" w:eastAsia="IRNazanin" w:cs="IRNazanin"/>
          <w:lang w:bidi="fa-IR"/>
          <w:color w:val="111111"/>
          <w:sz w:val="28"/>
          <w:szCs w:val="28"/>
          <w:rtl/>
        </w:rPr>
        <w:t xml:space="preserve">منجم باشی  بجنوردی، علی اکبر، ق ۱۳ قمری</w:t>
      </w:r>
    </w:p>
    <w:p>
      <w:pPr>
        <w:pStyle w:val="BookText"/>
      </w:pPr>
      <w:r>
        <w:rPr>
          <w:rFonts w:ascii="Times New Roman" w:hAnsi="Times New Roman" w:eastAsia="Times New Roman" w:cs="Times New Roman"/>
          <w:lang w:val="en-US" w:bidi="en-US"/>
          <w:color w:val="111111"/>
          <w:sz w:val="28"/>
          <w:szCs w:val="28"/>
          <w:rtl/>
        </w:rPr>
        <w:t xml:space="preserve">(monajjem-bāšī bojnūrdī, ‘alī akbar (- 19c)</w:t>
      </w:r>
    </w:p>
    <w:p>
      <w:pPr>
        <w:pStyle w:val="BookText"/>
      </w:pPr>
      <w:r>
        <w:rPr>
          <w:rFonts w:ascii="IRNazanin" w:hAnsi="IRNazanin" w:eastAsia="IRNazanin" w:cs="IRNazanin"/>
          <w:lang w:bidi="fa-IR"/>
          <w:color w:val="111111"/>
          <w:sz w:val="28"/>
          <w:szCs w:val="28"/>
          <w:rtl/>
        </w:rPr>
        <w:t xml:space="preserve">در تقویمی که آخوند ملاعلی اکبر منجم باشی بجنوردی استخراج نموده است موافق دستور العمل مرحوم ملا اسمعيل  در روز چهارشنبه ۲۸ شوال سال ۱۲۸۳ ناقصه هجریه.</w:t>
      </w:r>
    </w:p>
    <w:p>
      <w:pPr>
        <w:pStyle w:val="BookText"/>
      </w:pPr>
      <w:r>
        <w:rPr>
          <w:rFonts w:ascii="IRNazanin" w:hAnsi="IRNazanin" w:eastAsia="IRNazanin" w:cs="IRNazanin"/>
          <w:lang w:bidi="fa-IR"/>
          <w:color w:val="111111"/>
          <w:sz w:val="28"/>
          <w:szCs w:val="28"/>
          <w:rtl/>
        </w:rPr>
        <w:t xml:space="preserve">مشهد؛ الهیات؛ شماره نسخه: ۵۵۲/۴</w:t>
      </w:r>
    </w:p>
    <w:p>
      <w:pPr>
        <w:pStyle w:val="BookText"/>
      </w:pPr>
      <w:r>
        <w:rPr>
          <w:rFonts w:ascii="IRNazanin" w:hAnsi="IRNazanin" w:eastAsia="IRNazanin" w:cs="IRNazanin"/>
          <w:lang w:bidi="fa-IR"/>
          <w:color w:val="111111"/>
          <w:sz w:val="28"/>
          <w:szCs w:val="28"/>
          <w:rtl/>
        </w:rPr>
        <w:t xml:space="preserve">انجام: یکماه اعتبار کنند والله اعلم ... محل دعای اخوان دینی باشم</w:t>
      </w:r>
    </w:p>
    <w:p>
      <w:pPr>
        <w:pStyle w:val="BookText"/>
      </w:pPr>
      <w:r>
        <w:rPr>
          <w:rFonts w:ascii="IRNazanin" w:hAnsi="IRNazanin" w:eastAsia="IRNazanin" w:cs="IRNazanin"/>
          <w:lang w:bidi="fa-IR"/>
          <w:color w:val="111111"/>
          <w:sz w:val="28"/>
          <w:szCs w:val="28"/>
          <w:rtl/>
        </w:rPr>
        <w:t xml:space="preserve">خط: نستعلیق؛ بی کا، تا: صفر ۱۲۹۸ق ؛کاغذ: فرنگی ،جلد: تیماج قهوه ای ،7گ، ۱۵ سطر (۵/۵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قطع: ربعی،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۱۷/۵سم [ف: ۱ - ۵۰۰]</w:t>
      </w:r>
    </w:p>
    <w:p>
      <w:pPr>
        <w:pStyle w:val="Heading3"/>
      </w:pPr>
      <w:bookmarkStart w:id="1107" w:name="_Toc629"/>
      <w:r>
        <w:t>استخراج کسوف آفتاب به طول کاشان / هیئت /  فارسی</w:t>
      </w:r>
      <w:bookmarkEnd w:id="1107"/>
    </w:p>
    <w:p>
      <w:pPr>
        <w:pStyle w:val="BookText"/>
      </w:pPr>
      <w:r>
        <w:rPr>
          <w:rFonts w:ascii="Times New Roman" w:hAnsi="Times New Roman" w:eastAsia="Times New Roman" w:cs="Times New Roman"/>
          <w:lang w:val="en-US" w:bidi="en-US"/>
          <w:color w:val="111111"/>
          <w:sz w:val="28"/>
          <w:szCs w:val="28"/>
          <w:rtl/>
        </w:rPr>
        <w:t xml:space="preserve">estexrāj-e kosūf-e āftāb be tūl-e kāšān</w:t>
      </w:r>
    </w:p>
    <w:p>
      <w:pPr>
        <w:pStyle w:val="BookText"/>
      </w:pPr>
      <w:r>
        <w:rPr>
          <w:rFonts w:ascii="IRNazanin" w:hAnsi="IRNazanin" w:eastAsia="IRNazanin" w:cs="IRNazanin"/>
          <w:lang w:bidi="fa-IR"/>
          <w:color w:val="111111"/>
          <w:sz w:val="28"/>
          <w:szCs w:val="28"/>
          <w:rtl/>
        </w:rPr>
        <w:t xml:space="preserve">جیلانی، مظفر</w:t>
      </w:r>
    </w:p>
    <w:p>
      <w:pPr>
        <w:pStyle w:val="BookText"/>
      </w:pPr>
      <w:r>
        <w:rPr>
          <w:rFonts w:ascii="Times New Roman" w:hAnsi="Times New Roman" w:eastAsia="Times New Roman" w:cs="Times New Roman"/>
          <w:lang w:val="en-US" w:bidi="en-US"/>
          <w:color w:val="111111"/>
          <w:sz w:val="28"/>
          <w:szCs w:val="28"/>
          <w:rtl/>
        </w:rPr>
        <w:t xml:space="preserve">jīlānī, mozaffar</w:t>
      </w:r>
    </w:p>
    <w:p>
      <w:pPr>
        <w:pStyle w:val="BookText"/>
      </w:pPr>
      <w:r>
        <w:rPr>
          <w:rFonts w:ascii="IRNazanin" w:hAnsi="IRNazanin" w:eastAsia="IRNazanin" w:cs="IRNazanin"/>
          <w:lang w:bidi="fa-IR"/>
          <w:color w:val="111111"/>
          <w:sz w:val="28"/>
          <w:szCs w:val="28"/>
          <w:rtl/>
        </w:rPr>
        <w:t xml:space="preserve">تهران؛ مجلس؛ شماره نسخه: ۶۳/۶</w:t>
      </w:r>
    </w:p>
    <w:p>
      <w:pPr>
        <w:pStyle w:val="BookText"/>
      </w:pPr>
      <w:r>
        <w:rPr>
          <w:rFonts w:ascii="IRNazanin" w:hAnsi="IRNazanin" w:eastAsia="IRNazanin" w:cs="IRNazanin"/>
          <w:lang w:bidi="fa-IR"/>
          <w:color w:val="111111"/>
          <w:sz w:val="28"/>
          <w:szCs w:val="28"/>
          <w:rtl/>
        </w:rPr>
        <w:t xml:space="preserve">خط: نسخ، بی کا، تا: پایان صفر ۱۱۶۶ق؛ کاغذ: سفید، جـلد: مقوایی، عطف تیماج  تریاکی، ۸ ص (۷۳-۸۰)، ۲۱ 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[سنا - ف: ۱ - ۳۲]</w:t>
      </w:r>
    </w:p>
    <w:p>
      <w:pPr>
        <w:pStyle w:val="Heading3"/>
      </w:pPr>
      <w:bookmarkStart w:id="1108" w:name="_Toc630"/>
      <w:r>
        <w:t>استخراج الماء القراح من الحجر / كيميا / عربي</w:t>
      </w:r>
      <w:bookmarkEnd w:id="1108"/>
    </w:p>
    <w:p>
      <w:pPr>
        <w:pStyle w:val="BookText"/>
      </w:pPr>
      <w:r>
        <w:rPr>
          <w:rFonts w:ascii="Times New Roman" w:hAnsi="Times New Roman" w:eastAsia="Times New Roman" w:cs="Times New Roman"/>
          <w:lang w:val="en-US" w:bidi="en-US"/>
          <w:color w:val="111111"/>
          <w:sz w:val="28"/>
          <w:szCs w:val="28"/>
          <w:rtl/>
        </w:rPr>
        <w:t xml:space="preserve">istixrāj-ul mā’-ul qurāḥ min-al ḥajar</w:t>
      </w:r>
    </w:p>
    <w:p>
      <w:pPr>
        <w:pStyle w:val="BookText"/>
      </w:pPr>
      <w:r>
        <w:rPr>
          <w:rFonts w:ascii="IRNazanin" w:hAnsi="IRNazanin" w:eastAsia="IRNazanin" w:cs="IRNazanin"/>
          <w:lang w:bidi="fa-IR"/>
          <w:color w:val="111111"/>
          <w:sz w:val="28"/>
          <w:szCs w:val="28"/>
          <w:rtl/>
        </w:rPr>
        <w:t xml:space="preserve">میرفندرسکی، ابوالقاسم بن میرزا بزرگ، - ۱۰۵۰؟ قمری</w:t>
      </w:r>
    </w:p>
    <w:p>
      <w:pPr>
        <w:pStyle w:val="BookText"/>
      </w:pPr>
      <w:r>
        <w:rPr>
          <w:rFonts w:ascii="Times New Roman" w:hAnsi="Times New Roman" w:eastAsia="Times New Roman" w:cs="Times New Roman"/>
          <w:lang w:val="en-US" w:bidi="en-US"/>
          <w:color w:val="111111"/>
          <w:sz w:val="28"/>
          <w:szCs w:val="28"/>
          <w:rtl/>
        </w:rPr>
        <w:t xml:space="preserve">mīrfendereskī, ab-ol-qāsem ebn-e mīrzā bozorg (-</w:t>
      </w:r>
    </w:p>
    <w:p>
      <w:pPr>
        <w:pStyle w:val="BookText"/>
      </w:pPr>
      <w:r>
        <w:rPr>
          <w:rFonts w:ascii="Times New Roman" w:hAnsi="Times New Roman" w:eastAsia="Times New Roman" w:cs="Times New Roman"/>
          <w:lang w:val="en-US" w:bidi="en-US"/>
          <w:color w:val="111111"/>
          <w:sz w:val="28"/>
          <w:szCs w:val="28"/>
          <w:rtl/>
        </w:rPr>
        <w:t xml:space="preserve">(1641-)</w:t>
      </w:r>
    </w:p>
    <w:p>
      <w:pPr>
        <w:pStyle w:val="BookText"/>
      </w:pPr>
      <w:r>
        <w:rPr>
          <w:rFonts w:ascii="IRNazanin" w:hAnsi="IRNazanin" w:eastAsia="IRNazanin" w:cs="IRNazanin"/>
          <w:lang w:bidi="fa-IR"/>
          <w:color w:val="111111"/>
          <w:sz w:val="28"/>
          <w:szCs w:val="28"/>
          <w:rtl/>
        </w:rPr>
        <w:t xml:space="preserve">تهران؛ مجلس؛ شماره نسخه: ۹۹۴۴/۶</w:t>
      </w:r>
    </w:p>
    <w:p>
      <w:pPr>
        <w:pStyle w:val="BookText"/>
      </w:pPr>
      <w:r>
        <w:rPr>
          <w:rFonts w:ascii="IRNazanin" w:hAnsi="IRNazanin" w:eastAsia="IRNazanin" w:cs="IRNazanin"/>
          <w:lang w:bidi="fa-IR"/>
          <w:color w:val="111111"/>
          <w:sz w:val="28"/>
          <w:szCs w:val="28"/>
          <w:rtl/>
        </w:rPr>
        <w:t xml:space="preserve">فایده ای است از افادات میرفندرسکی؛ بی کا، بی تا :جلد: تیماج زرشکی، یک  لا، ۲گ (۱۵۹ پ - ۱۶۰ر)، ۱۲ سطر، 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۳۱ - ۱۴۳]</w:t>
      </w:r>
    </w:p>
    <w:p>
      <w:pPr>
        <w:pStyle w:val="Heading3"/>
      </w:pPr>
      <w:bookmarkStart w:id="1109" w:name="_Toc631"/>
      <w:r>
        <w:t>استخراج الماء القراح من الحجر / كيميا / عربي</w:t>
      </w:r>
      <w:bookmarkEnd w:id="1109"/>
    </w:p>
    <w:p>
      <w:pPr>
        <w:pStyle w:val="BookText"/>
      </w:pPr>
      <w:r>
        <w:rPr>
          <w:rFonts w:ascii="Times New Roman" w:hAnsi="Times New Roman" w:eastAsia="Times New Roman" w:cs="Times New Roman"/>
          <w:lang w:val="en-US" w:bidi="en-US"/>
          <w:color w:val="111111"/>
          <w:sz w:val="28"/>
          <w:szCs w:val="28"/>
          <w:rtl/>
        </w:rPr>
        <w:t xml:space="preserve">istixrāj-ul mā’-ul qurāḥ min-al ḥajar</w:t>
      </w:r>
    </w:p>
    <w:p>
      <w:pPr>
        <w:pStyle w:val="BookText"/>
      </w:pPr>
      <w:r>
        <w:rPr>
          <w:rFonts w:ascii="IRNazanin" w:hAnsi="IRNazanin" w:eastAsia="IRNazanin" w:cs="IRNazanin"/>
          <w:lang w:bidi="fa-IR"/>
          <w:color w:val="111111"/>
          <w:sz w:val="28"/>
          <w:szCs w:val="28"/>
          <w:rtl/>
        </w:rPr>
        <w:t xml:space="preserve">تهران؛ مجلس؛ شماره نسخه: ۱۲۵۱۵/۱۰</w:t>
      </w:r>
    </w:p>
    <w:p>
      <w:pPr>
        <w:pStyle w:val="BookText"/>
      </w:pPr>
      <w:r>
        <w:rPr>
          <w:rFonts w:ascii="IRNazanin" w:hAnsi="IRNazanin" w:eastAsia="IRNazanin" w:cs="IRNazanin"/>
          <w:lang w:bidi="fa-IR"/>
          <w:color w:val="111111"/>
          <w:sz w:val="28"/>
          <w:szCs w:val="28"/>
          <w:rtl/>
        </w:rPr>
        <w:t xml:space="preserve">بی کا، بی تا: جلد: تیماج قهوه ای ۱گ (۳۰ر - ۳۰ پ) [ف: ۳۶ - 32]</w:t>
      </w:r>
    </w:p>
    <w:p>
      <w:pPr>
        <w:pStyle w:val="Heading3"/>
      </w:pPr>
      <w:bookmarkStart w:id="1110" w:name="_Toc632"/>
      <w:r>
        <w:t>استخراج ما بين مركزى الشمس و موضوع اوجها / هیئت / عربی</w:t>
      </w:r>
      <w:bookmarkEnd w:id="1110"/>
    </w:p>
    <w:p>
      <w:pPr>
        <w:pStyle w:val="BookText"/>
      </w:pPr>
      <w:r>
        <w:rPr>
          <w:rFonts w:ascii="Times New Roman" w:hAnsi="Times New Roman" w:eastAsia="Times New Roman" w:cs="Times New Roman"/>
          <w:lang w:val="en-US" w:bidi="en-US"/>
          <w:color w:val="111111"/>
          <w:sz w:val="28"/>
          <w:szCs w:val="28"/>
          <w:rtl/>
        </w:rPr>
        <w:t xml:space="preserve">istixrāj-u mā bayn-a markazi-š šams wa mawḍū ́-i awj-</w:t>
      </w:r>
    </w:p>
    <w:p>
      <w:pPr>
        <w:pStyle w:val="BookText"/>
      </w:pPr>
      <w:r>
        <w:rPr>
          <w:rFonts w:ascii="Times New Roman" w:hAnsi="Times New Roman" w:eastAsia="Times New Roman" w:cs="Times New Roman"/>
          <w:lang w:val="en-US" w:bidi="en-US"/>
          <w:color w:val="111111"/>
          <w:sz w:val="28"/>
          <w:szCs w:val="28"/>
          <w:rtl/>
        </w:rPr>
        <w:t xml:space="preserve">i-ha</w:t>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عرضی، مؤید الدین بن برمک، - ۶۶۴ قمری</w:t>
      </w:r>
    </w:p>
    <w:p>
      <w:pPr>
        <w:pStyle w:val="BookText"/>
      </w:pPr>
      <w:r>
        <w:rPr>
          <w:rFonts w:ascii="Times New Roman" w:hAnsi="Times New Roman" w:eastAsia="Times New Roman" w:cs="Times New Roman"/>
          <w:lang w:val="en-US" w:bidi="en-US"/>
          <w:color w:val="111111"/>
          <w:sz w:val="28"/>
          <w:szCs w:val="28"/>
          <w:rtl/>
        </w:rPr>
        <w:t xml:space="preserve">(‘arzī, m'oayyed-od-din ebn-e barmak (- 1266)</w:t>
      </w:r>
    </w:p>
    <w:p>
      <w:pPr>
        <w:pStyle w:val="BookText"/>
      </w:pPr>
      <w:r>
        <w:rPr>
          <w:rFonts w:ascii="IRNazanin" w:hAnsi="IRNazanin" w:eastAsia="IRNazanin" w:cs="IRNazanin"/>
          <w:lang w:bidi="fa-IR"/>
          <w:color w:val="111111"/>
          <w:sz w:val="28"/>
          <w:szCs w:val="28"/>
          <w:rtl/>
        </w:rPr>
        <w:t xml:space="preserve">در استخراج فاصله دو مرکز  خورشید، دارای چهار شکل  هندسی</w:t>
      </w:r>
    </w:p>
    <w:p>
      <w:pPr>
        <w:pStyle w:val="BookText"/>
      </w:pPr>
      <w:r>
        <w:rPr>
          <w:rFonts w:ascii="Amiri" w:hAnsi="Amiri" w:eastAsia="Amiri" w:cs="Amiri"/>
          <w:lang w:bidi="ar-SA"/>
          <w:color w:val="111111"/>
          <w:sz w:val="28"/>
          <w:szCs w:val="28"/>
          <w:rtl/>
        </w:rPr>
        <w:t xml:space="preserve">آغاز: و له فى استخراج ما بين مركزى الشمس وموضوع اوجها نريد أن نبين موضوع الشمس كيف اتفق</w:t>
      </w:r>
    </w:p>
    <w:p>
      <w:pPr>
        <w:pStyle w:val="BookText"/>
      </w:pPr>
      <w:r>
        <w:rPr>
          <w:rFonts w:ascii="IRNazanin" w:hAnsi="IRNazanin" w:eastAsia="IRNazanin" w:cs="IRNazanin"/>
          <w:lang w:bidi="fa-IR"/>
          <w:color w:val="111111"/>
          <w:sz w:val="28"/>
          <w:szCs w:val="28"/>
          <w:rtl/>
        </w:rPr>
        <w:t xml:space="preserve">انجام: فقد تم الكلام على اختلافات الاوضاع لمعرفة هذين المطلبين و ذلك ما اردناه تمت والحمد لله و حسن توفیقه و صلی الله علی سید محمد و آله.</w:t>
      </w:r>
    </w:p>
    <w:p>
      <w:pPr>
        <w:pStyle w:val="BookText"/>
      </w:pPr>
      <w:r>
        <w:rPr>
          <w:rFonts w:ascii="IRNazanin" w:hAnsi="IRNazanin" w:eastAsia="IRNazanin" w:cs="IRNazanin"/>
          <w:lang w:bidi="fa-IR"/>
          <w:color w:val="111111"/>
          <w:sz w:val="28"/>
          <w:szCs w:val="28"/>
          <w:rtl/>
        </w:rPr>
        <w:t xml:space="preserve">[تاریخ گزیده ۷۰۵ (تصحیح نوائی)؛ ریحانة الادب: ۳۶/۶]</w:t>
      </w:r>
    </w:p>
    <w:p>
      <w:pPr>
        <w:pStyle w:val="BookText"/>
      </w:pPr>
      <w:r>
        <w:rPr>
          <w:rFonts w:ascii="IRNazanin" w:hAnsi="IRNazanin" w:eastAsia="IRNazanin" w:cs="IRNazanin"/>
          <w:lang w:bidi="fa-IR"/>
          <w:color w:val="111111"/>
          <w:sz w:val="28"/>
          <w:szCs w:val="28"/>
          <w:rtl/>
        </w:rPr>
        <w:t xml:space="preserve">۱. قم؛ مرعشی؛ شماره نسخه: ۱۲۸۸۹/۲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قرن ۱۰؛ دارای اشکال هندسی دقیق،  محشی؛ کاغذ: شرقی، ۳گ (۱28ر- 30پ)، ۱۸ سطر، اندازه:  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۳۲ - ۶۸۳]</w:t>
      </w:r>
    </w:p>
    <w:p>
      <w:pPr>
        <w:pStyle w:val="BookText"/>
      </w:pPr>
      <w:r>
        <w:rPr>
          <w:rFonts w:ascii="IRNazanin" w:hAnsi="IRNazanin" w:eastAsia="IRNazanin" w:cs="IRNazanin"/>
          <w:lang w:bidi="fa-IR"/>
          <w:color w:val="111111"/>
          <w:sz w:val="28"/>
          <w:szCs w:val="28"/>
          <w:rtl/>
        </w:rPr>
        <w:t xml:space="preserve">۲. تهران؛ مجلس؛ شماره نسخه: ۱۲۸۱/۴ط</w:t>
      </w:r>
    </w:p>
    <w:p>
      <w:pPr>
        <w:pStyle w:val="BookText"/>
      </w:pPr>
      <w:r>
        <w:rPr>
          <w:rFonts w:ascii="Amiri" w:hAnsi="Amiri" w:eastAsia="Amiri" w:cs="Amiri"/>
          <w:lang w:bidi="ar-SA"/>
          <w:color w:val="111111"/>
          <w:sz w:val="28"/>
          <w:szCs w:val="28"/>
          <w:rtl/>
        </w:rPr>
        <w:t xml:space="preserve">آغاز: نريد ان نبين موضع الشمس و بعد مركز حاملها عن مركز العالم؛ انجام: برابر</w:t>
      </w:r>
    </w:p>
    <w:p>
      <w:pPr>
        <w:pStyle w:val="BookText"/>
      </w:pPr>
      <w:r>
        <w:rPr>
          <w:rFonts w:ascii="IRNazanin" w:hAnsi="IRNazanin" w:eastAsia="IRNazanin" w:cs="IRNazanin"/>
          <w:lang w:bidi="fa-IR"/>
          <w:color w:val="111111"/>
          <w:sz w:val="28"/>
          <w:szCs w:val="28"/>
          <w:rtl/>
        </w:rPr>
        <w:t xml:space="preserve">خط: نسخ و نستعلیق، بی کا، تا: ۱۰۲۰ق، جلد: تیماج قهوه ای لولادار، ۴ ص( ۱۸۴-۱۸۷)،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۱۹/۵سم [ف: ۲۴/۳-۵۲]</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مشهد؛ رضوی؛ شماره نسخه: ۱۱۵۲۱/۷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در فهرست نام کتاب «موضع الشمس» ذکر شده است بدون نام مؤلف؛ خط: نسخ و نستعلیق، بی کا، تا: قرن ۱۳؛ کاغذ: آهار مهره حنایی، جلد: ساغری مشکی ضربی دارای ترنج و دو سرترنج و چهار ابرو و حاشیه قلمدانی،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 ف : ۱۸ - ۱۲۷]</w:t>
      </w:r>
    </w:p>
    <w:p>
      <w:pPr>
        <w:pStyle w:val="BookText"/>
      </w:pPr>
      <w:r>
        <w:rPr>
          <w:rFonts w:ascii="Amiri" w:hAnsi="Amiri" w:eastAsia="Amiri" w:cs="Amiri"/>
          <w:lang w:bidi="ar-SA"/>
          <w:color w:val="111111"/>
          <w:sz w:val="28"/>
          <w:szCs w:val="28"/>
          <w:rtl/>
        </w:rPr>
        <w:t xml:space="preserve">«استخراج ما في الضمير » استخراج جواب سؤالها از جدول  جفر جامع</w:t>
      </w:r>
    </w:p>
    <w:p>
      <w:pPr>
        <w:pStyle w:val="Heading3"/>
      </w:pPr>
      <w:bookmarkStart w:id="1111" w:name="_Toc633"/>
      <w:r>
        <w:t>استخراج مجهول / علوم غریبه / عربی</w:t>
      </w:r>
      <w:bookmarkEnd w:id="1111"/>
    </w:p>
    <w:p>
      <w:pPr>
        <w:pStyle w:val="BookText"/>
      </w:pPr>
      <w:r>
        <w:rPr>
          <w:rFonts w:ascii="Times New Roman" w:hAnsi="Times New Roman" w:eastAsia="Times New Roman" w:cs="Times New Roman"/>
          <w:lang w:val="en-US" w:bidi="en-US"/>
          <w:color w:val="111111"/>
          <w:sz w:val="28"/>
          <w:szCs w:val="28"/>
          <w:rtl/>
        </w:rPr>
        <w:t xml:space="preserve">estexrāj-e majhūl</w:t>
      </w:r>
    </w:p>
    <w:p>
      <w:pPr>
        <w:pStyle w:val="BookText"/>
      </w:pPr>
      <w:r>
        <w:rPr>
          <w:rFonts w:ascii="IRNazanin" w:hAnsi="IRNazanin" w:eastAsia="IRNazanin" w:cs="IRNazanin"/>
          <w:lang w:bidi="fa-IR"/>
          <w:color w:val="111111"/>
          <w:sz w:val="28"/>
          <w:szCs w:val="28"/>
          <w:rtl/>
        </w:rPr>
        <w:t xml:space="preserve">در قاعده استخراج مجهول و منویات انسان با تطبیق به علم حروف و اعداد آنها.</w:t>
      </w:r>
    </w:p>
    <w:p>
      <w:pPr>
        <w:pStyle w:val="BookText"/>
      </w:pPr>
      <w:r>
        <w:rPr>
          <w:rFonts w:ascii="IRNazanin" w:hAnsi="IRNazanin" w:eastAsia="IRNazanin" w:cs="IRNazanin"/>
          <w:lang w:bidi="fa-IR"/>
          <w:color w:val="111111"/>
          <w:sz w:val="28"/>
          <w:szCs w:val="28"/>
          <w:rtl/>
        </w:rPr>
        <w:t xml:space="preserve">قم؛ گلپایگانی؛ شماره نسخه: ۳۶۵۶/۸-۱۸/۱۷۶</w:t>
      </w:r>
    </w:p>
    <w:p>
      <w:pPr>
        <w:pStyle w:val="BookText"/>
      </w:pPr>
      <w:r>
        <w:rPr>
          <w:rFonts w:ascii="IRNazanin" w:hAnsi="IRNazanin" w:eastAsia="IRNazanin" w:cs="IRNazanin"/>
          <w:lang w:bidi="fa-IR"/>
          <w:color w:val="111111"/>
          <w:sz w:val="28"/>
          <w:szCs w:val="28"/>
          <w:rtl/>
        </w:rPr>
        <w:t xml:space="preserve">آغاز: فمتی اردت استخراج مجهول من مسألة فحقق طالع السائل أو طالع المسألة و استنطق حروف اوتارها الاربعة؛ انجام: سؤال عظيم الخلق جرت فض اذا غرائب شك ضبط الخبر مثلاً</w:t>
      </w:r>
    </w:p>
    <w:p>
      <w:pPr>
        <w:pStyle w:val="BookText"/>
      </w:pPr>
      <w:r>
        <w:rPr>
          <w:rFonts w:ascii="IRNazanin" w:hAnsi="IRNazanin" w:eastAsia="IRNazanin" w:cs="IRNazanin"/>
          <w:lang w:bidi="fa-IR"/>
          <w:color w:val="111111"/>
          <w:sz w:val="28"/>
          <w:szCs w:val="28"/>
          <w:rtl/>
        </w:rPr>
        <w:t xml:space="preserve">خط: نستعلیق، بی کا، بی تا؛ جلد: تیماج قرمز بدون مقوا  ۳گ، ۱۲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73" w:name="pg20365_260256"/>
    <w:bookmarkEnd w:id="173"/>
    <w:p>
      <w:pPr>
        <w:pStyle w:val="BookText"/>
      </w:pPr>
      <w:r>
        <w:rPr>
          <w:rFonts w:ascii="IRNazanin" w:hAnsi="IRNazanin" w:eastAsia="IRNazanin" w:cs="IRNazanin"/>
          <w:lang w:bidi="fa-IR"/>
          <w:color w:val="111111"/>
          <w:sz w:val="28"/>
          <w:szCs w:val="28"/>
          <w:rtl/>
        </w:rPr>
        <w:t xml:space="preserve">سطر،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۱ - ۳۳۴]</w:t>
      </w:r>
    </w:p>
    <w:p>
      <w:pPr>
        <w:pStyle w:val="Heading3"/>
      </w:pPr>
      <w:bookmarkStart w:id="1112" w:name="_Toc634"/>
      <w:r>
        <w:t>استخراج المجهولات العددية / رياضيات / عربي</w:t>
      </w:r>
      <w:bookmarkEnd w:id="1112"/>
    </w:p>
    <w:p>
      <w:pPr>
        <w:pStyle w:val="BookText"/>
      </w:pPr>
      <w:r>
        <w:rPr>
          <w:rFonts w:ascii="Times New Roman" w:hAnsi="Times New Roman" w:eastAsia="Times New Roman" w:cs="Times New Roman"/>
          <w:lang w:val="en-US" w:bidi="en-US"/>
          <w:color w:val="111111"/>
          <w:sz w:val="28"/>
          <w:szCs w:val="28"/>
          <w:rtl/>
        </w:rPr>
        <w:t xml:space="preserve">istixrāj-ul-majhūlāt-il-‘adadīyya</w:t>
      </w:r>
    </w:p>
    <w:p>
      <w:pPr>
        <w:pStyle w:val="BookText"/>
      </w:pPr>
      <w:r>
        <w:rPr>
          <w:rFonts w:ascii="IRNazanin" w:hAnsi="IRNazanin" w:eastAsia="IRNazanin" w:cs="IRNazanin"/>
          <w:lang w:bidi="fa-IR"/>
          <w:color w:val="111111"/>
          <w:sz w:val="28"/>
          <w:szCs w:val="28"/>
          <w:rtl/>
        </w:rPr>
        <w:t xml:space="preserve">کاشانی، عماد الدين يحيى بن احمد، - ۷۶۶ قمری</w:t>
      </w:r>
    </w:p>
    <w:p>
      <w:pPr>
        <w:pStyle w:val="BookText"/>
      </w:pPr>
      <w:r>
        <w:rPr>
          <w:rFonts w:ascii="Times New Roman" w:hAnsi="Times New Roman" w:eastAsia="Times New Roman" w:cs="Times New Roman"/>
          <w:lang w:val="en-US" w:bidi="en-US"/>
          <w:color w:val="111111"/>
          <w:sz w:val="28"/>
          <w:szCs w:val="28"/>
          <w:rtl/>
        </w:rPr>
        <w:t xml:space="preserve">(kāšānī, ‘emād-od-dīn yahyā ebn-e ahmad (- 1365)</w:t>
      </w:r>
    </w:p>
    <w:p>
      <w:pPr>
        <w:pStyle w:val="BookText"/>
      </w:pPr>
      <w:r>
        <w:rPr>
          <w:rFonts w:ascii="IRNazanin" w:hAnsi="IRNazanin" w:eastAsia="IRNazanin" w:cs="IRNazanin"/>
          <w:lang w:bidi="fa-IR"/>
          <w:color w:val="111111"/>
          <w:sz w:val="28"/>
          <w:szCs w:val="28"/>
          <w:rtl/>
        </w:rPr>
        <w:t xml:space="preserve">پنج رساله از کتاب حساب عمادالدین  کاشی، که از او کتاب «لباب الحساب» و كتاب «ايضاح المقاصد لفرائد الفوائد» را شرح كتاب عمادالدین عبدالله بن محمد الخوام البغدادى در حساب است می شناسیم. سر آغاز و انجام رساله ها عبارت است: آغاز ۱: بسمله، ان قيل كان شخصا مع كل منهما مال</w:t>
      </w:r>
    </w:p>
    <w:p>
      <w:pPr>
        <w:pStyle w:val="BookText"/>
      </w:pPr>
      <w:r>
        <w:rPr>
          <w:rFonts w:ascii="Amiri" w:hAnsi="Amiri" w:eastAsia="Amiri" w:cs="Amiri"/>
          <w:lang w:bidi="ar-SA"/>
          <w:color w:val="111111"/>
          <w:sz w:val="28"/>
          <w:szCs w:val="28"/>
          <w:rtl/>
        </w:rPr>
        <w:t xml:space="preserve">انجام ١: لظهوره على من عرف احوال تلك النسب</w:t>
      </w:r>
    </w:p>
    <w:p>
      <w:pPr>
        <w:pStyle w:val="BookText"/>
      </w:pPr>
      <w:r>
        <w:rPr>
          <w:rFonts w:ascii="Amiri" w:hAnsi="Amiri" w:eastAsia="Amiri" w:cs="Amiri"/>
          <w:lang w:bidi="ar-SA"/>
          <w:color w:val="111111"/>
          <w:sz w:val="28"/>
          <w:szCs w:val="28"/>
          <w:rtl/>
        </w:rPr>
        <w:t xml:space="preserve">آغاز ۲: اربعة اسفر كان مع كل منهم مال و ارداوا ان بيشتروا</w:t>
      </w:r>
    </w:p>
    <w:p>
      <w:pPr>
        <w:pStyle w:val="BookText"/>
      </w:pPr>
      <w:r>
        <w:rPr>
          <w:rFonts w:ascii="Amiri" w:hAnsi="Amiri" w:eastAsia="Amiri" w:cs="Amiri"/>
          <w:lang w:bidi="ar-SA"/>
          <w:color w:val="111111"/>
          <w:sz w:val="28"/>
          <w:szCs w:val="28"/>
          <w:rtl/>
        </w:rPr>
        <w:t xml:space="preserve">انجام ۲: فبسطنا هذه الاعداد و خرجت كما اردنا</w:t>
      </w:r>
    </w:p>
    <w:p>
      <w:pPr>
        <w:pStyle w:val="BookText"/>
      </w:pPr>
      <w:r>
        <w:rPr>
          <w:rFonts w:ascii="Amiri" w:hAnsi="Amiri" w:eastAsia="Amiri" w:cs="Amiri"/>
          <w:lang w:bidi="ar-SA"/>
          <w:color w:val="111111"/>
          <w:sz w:val="28"/>
          <w:szCs w:val="28"/>
          <w:rtl/>
        </w:rPr>
        <w:t xml:space="preserve">آغاز ۳: اقر شخص ان لزيد عليه الفا و نصف مالعمرو</w:t>
      </w:r>
    </w:p>
    <w:p>
      <w:pPr>
        <w:pStyle w:val="BookText"/>
      </w:pPr>
      <w:r>
        <w:rPr>
          <w:rFonts w:ascii="Amiri" w:hAnsi="Amiri" w:eastAsia="Amiri" w:cs="Amiri"/>
          <w:lang w:bidi="ar-SA"/>
          <w:color w:val="111111"/>
          <w:sz w:val="28"/>
          <w:szCs w:val="28"/>
          <w:rtl/>
        </w:rPr>
        <w:t xml:space="preserve">انجام3: وهو مال بكر فقد صح ما ذكرناه</w:t>
      </w:r>
    </w:p>
    <w:p>
      <w:pPr>
        <w:pStyle w:val="BookText"/>
      </w:pPr>
      <w:r>
        <w:rPr>
          <w:rFonts w:ascii="Amiri" w:hAnsi="Amiri" w:eastAsia="Amiri" w:cs="Amiri"/>
          <w:lang w:bidi="ar-SA"/>
          <w:color w:val="111111"/>
          <w:sz w:val="28"/>
          <w:szCs w:val="28"/>
          <w:rtl/>
        </w:rPr>
        <w:t xml:space="preserve">آغاز ۴ :نريد ان نشترى ثلثة انواع من الطيور يكون عددها بمائة درهم</w:t>
      </w:r>
    </w:p>
    <w:p>
      <w:pPr>
        <w:pStyle w:val="BookText"/>
      </w:pPr>
      <w:r>
        <w:rPr>
          <w:rFonts w:ascii="Amiri" w:hAnsi="Amiri" w:eastAsia="Amiri" w:cs="Amiri"/>
          <w:lang w:bidi="ar-SA"/>
          <w:color w:val="111111"/>
          <w:sz w:val="28"/>
          <w:szCs w:val="28"/>
          <w:rtl/>
        </w:rPr>
        <w:t xml:space="preserve">انجام ۴: و ان كان صحيحا يمكن الاولى ان يكون الاعداد صحاحا</w:t>
      </w:r>
    </w:p>
    <w:p>
      <w:pPr>
        <w:pStyle w:val="BookText"/>
      </w:pPr>
      <w:r>
        <w:rPr>
          <w:rFonts w:ascii="Amiri" w:hAnsi="Amiri" w:eastAsia="Amiri" w:cs="Amiri"/>
          <w:lang w:bidi="ar-SA"/>
          <w:color w:val="111111"/>
          <w:sz w:val="28"/>
          <w:szCs w:val="28"/>
          <w:rtl/>
        </w:rPr>
        <w:t xml:space="preserve">آغاز ۵: رسالة اخرى فى الشهور قيل اذا نوى الشخص من الشهر الاثنى عشر وانت تريد ان تخبره به</w:t>
      </w:r>
    </w:p>
    <w:p>
      <w:pPr>
        <w:pStyle w:val="BookText"/>
      </w:pPr>
      <w:r>
        <w:rPr>
          <w:rFonts w:ascii="Amiri" w:hAnsi="Amiri" w:eastAsia="Amiri" w:cs="Amiri"/>
          <w:lang w:bidi="ar-SA"/>
          <w:color w:val="111111"/>
          <w:sz w:val="28"/>
          <w:szCs w:val="28"/>
          <w:rtl/>
        </w:rPr>
        <w:t xml:space="preserve">انجام ۵: فقد بينت ما اردنا ببيانه والله اعلم بالصواب.</w:t>
      </w:r>
    </w:p>
    <w:p>
      <w:pPr>
        <w:pStyle w:val="BookText"/>
      </w:pPr>
      <w:r>
        <w:rPr>
          <w:rFonts w:ascii="IRNazanin" w:hAnsi="IRNazanin" w:eastAsia="IRNazanin" w:cs="IRNazanin"/>
          <w:lang w:bidi="fa-IR"/>
          <w:color w:val="111111"/>
          <w:sz w:val="28"/>
          <w:szCs w:val="28"/>
          <w:rtl/>
        </w:rPr>
        <w:t xml:space="preserve">۱. مشهد؛ رضوی؛ شماره نسخه: ۵۲۹۵/۵</w:t>
      </w:r>
    </w:p>
    <w:p>
      <w:pPr>
        <w:pStyle w:val="BookText"/>
      </w:pPr>
      <w:r>
        <w:rPr>
          <w:rFonts w:ascii="IRNazanin" w:hAnsi="IRNazanin" w:eastAsia="IRNazanin" w:cs="IRNazanin"/>
          <w:lang w:bidi="fa-IR"/>
          <w:color w:val="111111"/>
          <w:sz w:val="28"/>
          <w:szCs w:val="28"/>
          <w:rtl/>
        </w:rPr>
        <w:t xml:space="preserve">آغاز: برابر ۱؛ انجام : برابر ۵</w:t>
      </w:r>
    </w:p>
    <w:p>
      <w:pPr>
        <w:pStyle w:val="BookText"/>
      </w:pPr>
      <w:r>
        <w:rPr>
          <w:rFonts w:ascii="IRNazanin" w:hAnsi="IRNazanin" w:eastAsia="IRNazanin" w:cs="IRNazanin"/>
          <w:lang w:bidi="fa-IR"/>
          <w:color w:val="111111"/>
          <w:sz w:val="28"/>
          <w:szCs w:val="28"/>
          <w:rtl/>
        </w:rPr>
        <w:t xml:space="preserve">خط: نستعلیق  تحریری ،کا: محمد حسین بن خلف تبریزی،تا: ۱۰۴۱ق؛ کاغذ: حنایی آهار مهره ،جلد ،مقوایی، ۶ص (11- 16) ۳۱-۲۷ سطر (۱۱/۲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 اندازه: ۱۶/۷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۲۵/۳سم [ف: ۸ - ۴۰۹]</w:t>
      </w:r>
    </w:p>
    <w:p>
      <w:pPr>
        <w:pStyle w:val="BookText"/>
      </w:pPr>
      <w:r>
        <w:rPr>
          <w:rFonts w:ascii="IRNazanin" w:hAnsi="IRNazanin" w:eastAsia="IRNazanin" w:cs="IRNazanin"/>
          <w:lang w:bidi="fa-IR"/>
          <w:color w:val="111111"/>
          <w:sz w:val="28"/>
          <w:szCs w:val="28"/>
          <w:rtl/>
        </w:rPr>
        <w:t xml:space="preserve">۲ . مشهد؛ رضوی؛ شماره نسخه: ۱۲۲۹۷/۶</w:t>
      </w:r>
    </w:p>
    <w:p>
      <w:pPr>
        <w:pStyle w:val="BookText"/>
      </w:pPr>
      <w:r>
        <w:rPr>
          <w:rFonts w:ascii="IRNazanin" w:hAnsi="IRNazanin" w:eastAsia="IRNazanin" w:cs="IRNazanin"/>
          <w:lang w:bidi="fa-IR"/>
          <w:color w:val="111111"/>
          <w:sz w:val="28"/>
          <w:szCs w:val="28"/>
          <w:rtl/>
        </w:rPr>
        <w:t xml:space="preserve">آغاز: برابر ۱ ؛انجام: برابر ۵</w:t>
      </w:r>
    </w:p>
    <w:p>
      <w:pPr>
        <w:pStyle w:val="BookText"/>
      </w:pPr>
      <w:r>
        <w:rPr>
          <w:rFonts w:ascii="IRNazanin" w:hAnsi="IRNazanin" w:eastAsia="IRNazanin" w:cs="IRNazanin"/>
          <w:lang w:bidi="fa-IR"/>
          <w:color w:val="111111"/>
          <w:sz w:val="28"/>
          <w:szCs w:val="28"/>
          <w:rtl/>
        </w:rPr>
        <w:t xml:space="preserve">خط: نسخ  خوش، کا: محمد طاهر  مشهدی، تا: ۱۳۰۹ق،جا: مشهد؛ کاغذ: حنایی آهار مهره، جلد: تیماج ضربی زرکوب ترنج  دار، ۶ ص( ۳۸-۴۳) ،۳۱ سطر ،اندازه: ۲۰/۲/۲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۳۳/۱سم [ف: 10- 242]</w:t>
      </w:r>
    </w:p>
    <w:p>
      <w:pPr>
        <w:pStyle w:val="BookText"/>
      </w:pPr>
      <w:r>
        <w:rPr>
          <w:rFonts w:ascii="IRNazanin" w:hAnsi="IRNazanin" w:eastAsia="IRNazanin" w:cs="IRNazanin"/>
          <w:lang w:bidi="fa-IR"/>
          <w:color w:val="111111"/>
          <w:sz w:val="28"/>
          <w:szCs w:val="28"/>
          <w:rtl/>
        </w:rPr>
        <w:t xml:space="preserve">۳. مشهد؛ رضوی؛ شماره نسخه: ۵۲۹۸</w:t>
      </w:r>
    </w:p>
    <w:p>
      <w:pPr>
        <w:pStyle w:val="BookText"/>
      </w:pPr>
      <w:r>
        <w:rPr>
          <w:rFonts w:ascii="IRNazanin" w:hAnsi="IRNazanin" w:eastAsia="IRNazanin" w:cs="IRNazanin"/>
          <w:lang w:bidi="fa-IR"/>
          <w:color w:val="111111"/>
          <w:sz w:val="28"/>
          <w:szCs w:val="28"/>
          <w:rtl/>
        </w:rPr>
        <w:t xml:space="preserve">آغاز: برابر ۱؛ انجام: برابر ۴</w:t>
      </w:r>
    </w:p>
    <w:p>
      <w:pPr>
        <w:pStyle w:val="BookText"/>
      </w:pPr>
      <w:r>
        <w:rPr>
          <w:rFonts w:ascii="IRNazanin" w:hAnsi="IRNazanin" w:eastAsia="IRNazanin" w:cs="IRNazanin"/>
          <w:lang w:bidi="fa-IR"/>
          <w:color w:val="111111"/>
          <w:sz w:val="28"/>
          <w:szCs w:val="28"/>
          <w:rtl/>
        </w:rPr>
        <w:t xml:space="preserve">خط: نسخ، بی کا، بی تا [الفبائی: ۴۴]</w:t>
      </w:r>
    </w:p>
    <w:p>
      <w:pPr>
        <w:pStyle w:val="Heading3"/>
      </w:pPr>
      <w:bookmarkStart w:id="1113" w:name="_Toc635"/>
      <w:r>
        <w:t>استخراج المجهولات العددية / رياضيات / عربي</w:t>
      </w:r>
      <w:bookmarkEnd w:id="1113"/>
    </w:p>
    <w:p>
      <w:pPr>
        <w:pStyle w:val="BookText"/>
      </w:pPr>
      <w:r>
        <w:rPr>
          <w:rFonts w:ascii="Times New Roman" w:hAnsi="Times New Roman" w:eastAsia="Times New Roman" w:cs="Times New Roman"/>
          <w:lang w:val="en-US" w:bidi="en-US"/>
          <w:color w:val="111111"/>
          <w:sz w:val="28"/>
          <w:szCs w:val="28"/>
          <w:rtl/>
        </w:rPr>
        <w:t xml:space="preserve">istixrāj-ul-majhūlāt-il-‘adadīyya</w:t>
      </w:r>
    </w:p>
    <w:p>
      <w:pPr>
        <w:pStyle w:val="BookText"/>
      </w:pPr>
      <w:r>
        <w:rPr>
          <w:rFonts w:ascii="IRNazanin" w:hAnsi="IRNazanin" w:eastAsia="IRNazanin" w:cs="IRNazanin"/>
          <w:lang w:bidi="fa-IR"/>
          <w:color w:val="111111"/>
          <w:sz w:val="28"/>
          <w:szCs w:val="28"/>
          <w:rtl/>
        </w:rPr>
        <w:t xml:space="preserve">حسین بن ابی جامع</w:t>
      </w:r>
    </w:p>
    <w:p>
      <w:pPr>
        <w:pStyle w:val="BookText"/>
      </w:pPr>
      <w:r>
        <w:rPr>
          <w:rFonts w:ascii="Times New Roman" w:hAnsi="Times New Roman" w:eastAsia="Times New Roman" w:cs="Times New Roman"/>
          <w:lang w:val="en-US" w:bidi="en-US"/>
          <w:color w:val="111111"/>
          <w:sz w:val="28"/>
          <w:szCs w:val="28"/>
          <w:rtl/>
        </w:rPr>
        <w:t xml:space="preserve">hoseyn ebn-e abī jāme‘</w:t>
      </w:r>
    </w:p>
    <w:p>
      <w:pPr>
        <w:pStyle w:val="BookText"/>
      </w:pPr>
      <w:r>
        <w:rPr>
          <w:rFonts w:ascii="IRNazanin" w:hAnsi="IRNazanin" w:eastAsia="IRNazanin" w:cs="IRNazanin"/>
          <w:lang w:bidi="fa-IR"/>
          <w:color w:val="111111"/>
          <w:sz w:val="28"/>
          <w:szCs w:val="28"/>
          <w:rtl/>
        </w:rPr>
        <w:t xml:space="preserve">به درخواست یکی از دوستان، در چهار «باب».</w:t>
      </w:r>
    </w:p>
    <w:p>
      <w:pPr>
        <w:pStyle w:val="BookText"/>
      </w:pPr>
      <w:r>
        <w:rPr>
          <w:rFonts w:ascii="IRNazanin" w:hAnsi="IRNazanin" w:eastAsia="IRNazanin" w:cs="IRNazanin"/>
          <w:lang w:bidi="fa-IR"/>
          <w:color w:val="111111"/>
          <w:sz w:val="28"/>
          <w:szCs w:val="28"/>
          <w:rtl/>
        </w:rPr>
        <w:t xml:space="preserve">تهران؛ ملک؛ شماره نسخه: ۲۰۴۸/۶</w:t>
      </w:r>
    </w:p>
    <w:p>
      <w:pPr>
        <w:pStyle w:val="BookText"/>
      </w:pPr>
      <w:r>
        <w:rPr>
          <w:rFonts w:ascii="IRNazanin" w:hAnsi="IRNazanin" w:eastAsia="IRNazanin" w:cs="IRNazanin"/>
          <w:lang w:bidi="fa-IR"/>
          <w:color w:val="111111"/>
          <w:sz w:val="28"/>
          <w:szCs w:val="28"/>
          <w:rtl/>
        </w:rPr>
        <w:t xml:space="preserve">آغاز: بسمله الحمد لله مضعف حسنات المحسنين و جامع الناس يوم الدين مبدع الاجساد و مؤلف الاعداد؛ انجام: بلغ ۱۰ و هو المجهول و لنختم هذه الرسالة حامداً و مصلياً على نبيه صلى الله علیه و آله و سلم</w:t>
      </w:r>
    </w:p>
    <w:p>
      <w:pPr>
        <w:pStyle w:val="BookText"/>
      </w:pPr>
      <w:r>
        <w:rPr>
          <w:rFonts w:ascii="IRNazanin" w:hAnsi="IRNazanin" w:eastAsia="IRNazanin" w:cs="IRNazanin"/>
          <w:lang w:bidi="fa-IR"/>
          <w:color w:val="111111"/>
          <w:sz w:val="28"/>
          <w:szCs w:val="28"/>
          <w:rtl/>
        </w:rPr>
        <w:t xml:space="preserve">خط: نسخ، کا: محمد شريف بن روح الله، تا: با تاریخ ۱۱۰۲ق؛ کاغذ: ترمه، جلد: میشن سیاه  لایی، ۵گ، (61پ- 65پ)، ۱۷ سطر، اندازه: ۱۲/۲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۱۸/۴سم [ف: ۵ - ۴۱۵]</w:t>
      </w:r>
    </w:p>
    <w:p>
      <w:pPr>
        <w:pStyle w:val="Heading3"/>
      </w:pPr>
      <w:bookmarkStart w:id="1114" w:name="_Toc636"/>
      <w:r>
        <w:t>استخراج مسألة المجسم المكافی / ریاضیات / عربی</w:t>
      </w:r>
      <w:bookmarkEnd w:id="1114"/>
    </w:p>
    <w:p>
      <w:pPr>
        <w:pStyle w:val="BookText"/>
      </w:pPr>
      <w:r>
        <w:rPr>
          <w:rFonts w:ascii="Times New Roman" w:hAnsi="Times New Roman" w:eastAsia="Times New Roman" w:cs="Times New Roman"/>
          <w:lang w:val="en-US" w:bidi="en-US"/>
          <w:color w:val="111111"/>
          <w:sz w:val="28"/>
          <w:szCs w:val="28"/>
          <w:rtl/>
        </w:rPr>
        <w:t xml:space="preserve">istixrāj-u mas' alat-il mujassam-il mukāfi</w:t>
      </w:r>
    </w:p>
    <w:p>
      <w:pPr>
        <w:pStyle w:val="BookText"/>
      </w:pPr>
      <w:r>
        <w:rPr>
          <w:rFonts w:ascii="IRNazanin" w:hAnsi="IRNazanin" w:eastAsia="IRNazanin" w:cs="IRNazanin"/>
          <w:lang w:bidi="fa-IR"/>
          <w:color w:val="111111"/>
          <w:sz w:val="28"/>
          <w:szCs w:val="28"/>
          <w:rtl/>
        </w:rPr>
        <w:t xml:space="preserve">ابوسهل کوهی، ویجن بن رستم - ۴۰۵؟ قمری</w:t>
      </w:r>
    </w:p>
    <w:p>
      <w:pPr>
        <w:pStyle w:val="BookText"/>
      </w:pPr>
      <w:r>
        <w:rPr>
          <w:rFonts w:ascii="IRNazanin" w:hAnsi="IRNazanin" w:eastAsia="IRNazanin" w:cs="IRNazanin"/>
          <w:lang w:bidi="fa-IR"/>
          <w:color w:val="111111"/>
          <w:sz w:val="28"/>
          <w:szCs w:val="28"/>
          <w:rtl/>
        </w:rPr>
        <w:t xml:space="preserve">تهران؛ دانشگاه؛ شماره نسخه: ۴۳۷/۲۲-ف</w:t>
      </w:r>
    </w:p>
    <w:p>
      <w:pPr>
        <w:pStyle w:val="BookText"/>
      </w:pPr>
      <w:r>
        <w:rPr>
          <w:rFonts w:ascii="IRNazanin" w:hAnsi="IRNazanin" w:eastAsia="IRNazanin" w:cs="IRNazanin"/>
          <w:lang w:bidi="fa-IR"/>
          <w:color w:val="111111"/>
          <w:sz w:val="28"/>
          <w:szCs w:val="28"/>
          <w:rtl/>
        </w:rPr>
        <w:t xml:space="preserve">نسخه اصل: ایاصوفیا ش ۴۸۳۲؛ خط: نسخ، بی کا، تا: قرن ۷؛ ۵گ (۱۲۹-۱۲۵) [ فیلمها -ف: ۱ - ۴۶۹]</w:t>
      </w:r>
    </w:p>
    <w:p>
      <w:pPr>
        <w:pStyle w:val="Heading3"/>
      </w:pPr>
      <w:bookmarkStart w:id="1115" w:name="_Toc637"/>
      <w:r>
        <w:t>استخراج مسأله غامض هندسی / هندسه / فارسی و عربی</w:t>
      </w:r>
      <w:bookmarkEnd w:id="1115"/>
    </w:p>
    <w:p>
      <w:pPr>
        <w:pStyle w:val="BookText"/>
      </w:pPr>
      <w:r>
        <w:rPr>
          <w:rFonts w:ascii="Times New Roman" w:hAnsi="Times New Roman" w:eastAsia="Times New Roman" w:cs="Times New Roman"/>
          <w:lang w:val="en-US" w:bidi="en-US"/>
          <w:color w:val="111111"/>
          <w:sz w:val="28"/>
          <w:szCs w:val="28"/>
          <w:rtl/>
        </w:rPr>
        <w:t xml:space="preserve">estexrāj-e mas❜ale-ye qamez-e hendesī</w:t>
      </w:r>
    </w:p>
    <w:p>
      <w:pPr>
        <w:pStyle w:val="BookText"/>
      </w:pPr>
      <w:r>
        <w:rPr>
          <w:rFonts w:ascii="IRNazanin" w:hAnsi="IRNazanin" w:eastAsia="IRNazanin" w:cs="IRNazanin"/>
          <w:lang w:bidi="fa-IR"/>
          <w:color w:val="111111"/>
          <w:sz w:val="28"/>
          <w:szCs w:val="28"/>
          <w:rtl/>
        </w:rPr>
        <w:t xml:space="preserve">بابا افضل کاشانی، محمد بن حسین، - ۶۶۷ ؟ قمری</w:t>
      </w:r>
    </w:p>
    <w:p>
      <w:pPr>
        <w:pStyle w:val="BookText"/>
      </w:pPr>
      <w:r>
        <w:rPr>
          <w:rFonts w:ascii="Times New Roman" w:hAnsi="Times New Roman" w:eastAsia="Times New Roman" w:cs="Times New Roman"/>
          <w:lang w:val="en-US" w:bidi="en-US"/>
          <w:color w:val="111111"/>
          <w:sz w:val="28"/>
          <w:szCs w:val="28"/>
          <w:rtl/>
        </w:rPr>
        <w:t xml:space="preserve">(bābā afzal-e kāšānī, mohammad ebn-e hoseyn (- 1269)</w:t>
      </w:r>
    </w:p>
    <w:p>
      <w:pPr>
        <w:pStyle w:val="BookText"/>
      </w:pPr>
      <w:r>
        <w:rPr>
          <w:rFonts w:ascii="IRNazanin" w:hAnsi="IRNazanin" w:eastAsia="IRNazanin" w:cs="IRNazanin"/>
          <w:lang w:bidi="fa-IR"/>
          <w:color w:val="111111"/>
          <w:sz w:val="28"/>
          <w:szCs w:val="28"/>
          <w:rtl/>
        </w:rPr>
        <w:t xml:space="preserve">تهران؛ مجلس؛ شماره نسخه: ۸۹/۲</w:t>
      </w:r>
    </w:p>
    <w:p>
      <w:pPr>
        <w:pStyle w:val="BookText"/>
      </w:pPr>
      <w:r>
        <w:rPr>
          <w:rFonts w:ascii="IRNazanin" w:hAnsi="IRNazanin" w:eastAsia="IRNazanin" w:cs="IRNazanin"/>
          <w:lang w:bidi="fa-IR"/>
          <w:color w:val="111111"/>
          <w:sz w:val="28"/>
          <w:szCs w:val="28"/>
          <w:rtl/>
        </w:rPr>
        <w:t xml:space="preserve">خط: نستعلیق، بی کا، تا: قرن ۱۱ ؛کاغذ: سفید، جلد: مقوایی گرداگرد تیماج تریاکی، ۲ ص( ۱۴-۱۵)، ۱۸سطر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[سنا - ف: ۱ - ۴۸]</w:t>
      </w:r>
    </w:p>
    <w:p>
      <w:pPr>
        <w:pStyle w:val="Heading3"/>
      </w:pPr>
      <w:bookmarkStart w:id="1116" w:name="_Toc638"/>
      <w:r>
        <w:t>استخراج المسائل بالخطاء = ملحقات شمسیه / فلسفه / عربی</w:t>
      </w:r>
      <w:bookmarkEnd w:id="1116"/>
    </w:p>
    <w:p>
      <w:pPr>
        <w:pStyle w:val="BookText"/>
      </w:pPr>
      <w:r>
        <w:rPr>
          <w:rFonts w:ascii="Times New Roman" w:hAnsi="Times New Roman" w:eastAsia="Times New Roman" w:cs="Times New Roman"/>
          <w:lang w:val="en-US" w:bidi="en-US"/>
          <w:color w:val="111111"/>
          <w:sz w:val="28"/>
          <w:szCs w:val="28"/>
          <w:rtl/>
        </w:rPr>
        <w:t xml:space="preserve">istixrāj-ul-masā’il bi-l-xaṭā’ = molhaqqāt-e šamsīye</w:t>
      </w:r>
    </w:p>
    <w:p>
      <w:pPr>
        <w:pStyle w:val="BookText"/>
      </w:pPr>
      <w:r>
        <w:rPr>
          <w:rFonts w:ascii="IRNazanin" w:hAnsi="IRNazanin" w:eastAsia="IRNazanin" w:cs="IRNazanin"/>
          <w:lang w:bidi="fa-IR"/>
          <w:color w:val="111111"/>
          <w:sz w:val="28"/>
          <w:szCs w:val="28"/>
          <w:rtl/>
        </w:rPr>
        <w:t xml:space="preserve">ابن سينا، حسین بن عبد الله ۳۷۰ - ۴۲۸ قمری</w:t>
      </w:r>
    </w:p>
    <w:p>
      <w:pPr>
        <w:pStyle w:val="BookText"/>
      </w:pPr>
      <w:r>
        <w:rPr>
          <w:rFonts w:ascii="Times New Roman" w:hAnsi="Times New Roman" w:eastAsia="Times New Roman" w:cs="Times New Roman"/>
          <w:lang w:val="en-US" w:bidi="en-US"/>
          <w:color w:val="111111"/>
          <w:sz w:val="28"/>
          <w:szCs w:val="28"/>
          <w:rtl/>
        </w:rPr>
        <w:t xml:space="preserve">(ebn-e sīnā, hoseyn ebn-e 'abd-ol-lāh (981 - 1038)</w:t>
      </w:r>
    </w:p>
    <w:p>
      <w:pPr>
        <w:pStyle w:val="BookText"/>
      </w:pPr>
      <w:r>
        <w:rPr>
          <w:rFonts w:ascii="IRNazanin" w:hAnsi="IRNazanin" w:eastAsia="IRNazanin" w:cs="IRNazanin"/>
          <w:lang w:bidi="fa-IR"/>
          <w:color w:val="111111"/>
          <w:sz w:val="28"/>
          <w:szCs w:val="28"/>
          <w:rtl/>
        </w:rPr>
        <w:t xml:space="preserve">مشهد؛ الهیات؛ شماره نسخه: ۱۴۸۹۰/۲۷</w:t>
      </w:r>
    </w:p>
    <w:p>
      <w:pPr>
        <w:pStyle w:val="BookText"/>
      </w:pPr>
      <w:r>
        <w:rPr>
          <w:rFonts w:ascii="Amiri" w:hAnsi="Amiri" w:eastAsia="Amiri" w:cs="Amiri"/>
          <w:lang w:bidi="ar-SA"/>
          <w:color w:val="111111"/>
          <w:sz w:val="28"/>
          <w:szCs w:val="28"/>
          <w:rtl/>
        </w:rPr>
        <w:t xml:space="preserve">آغاز: بسمله المسائل التى يمكن استخراجها بالخطأيننوعان احمد هما ان لا يكون فى اثناء السؤال عدد مقدر معلوم بل يكون</w:t>
      </w:r>
    </w:p>
    <w:p>
      <w:pPr>
        <w:pStyle w:val="BookText"/>
      </w:pPr>
      <w:r>
        <w:rPr>
          <w:rFonts w:ascii="IRNazanin" w:hAnsi="IRNazanin" w:eastAsia="IRNazanin" w:cs="IRNazanin"/>
          <w:lang w:bidi="fa-IR"/>
          <w:color w:val="111111"/>
          <w:sz w:val="28"/>
          <w:szCs w:val="28"/>
          <w:rtl/>
        </w:rPr>
        <w:t xml:space="preserve">کا: محمد رضا بن عزیز الله تونی  مشهدی، تا: ۱۱۰۷ق؛ جلد: تیماج خرمایی ،لولایی ۲گ،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۲۳سم [ف: ۲ - ۲۰۵]</w:t>
      </w:r>
    </w:p>
    <w:p>
      <w:pPr>
        <w:pStyle w:val="BookText"/>
      </w:pPr>
      <w:r>
        <w:rPr>
          <w:rFonts w:ascii="Amiri" w:hAnsi="Amiri" w:eastAsia="Amiri" w:cs="Amiri"/>
          <w:lang w:bidi="ar-SA"/>
          <w:color w:val="111111"/>
          <w:sz w:val="28"/>
          <w:szCs w:val="28"/>
          <w:rtl/>
        </w:rPr>
        <w:t xml:space="preserve">«استخراج المسائل بالخطائين » ذيل الفوائد البهائية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74" w:name="pg20365_260257"/>
    <w:bookmarkEnd w:id="174"/>
    <w:p>
      <w:pPr>
        <w:pStyle w:val="Heading3"/>
      </w:pPr>
      <w:bookmarkStart w:id="1117" w:name="_Toc639"/>
      <w:r>
        <w:t>استخراج مسائل عددی / ریاضیات / فارسی</w:t>
      </w:r>
      <w:bookmarkEnd w:id="1117"/>
    </w:p>
    <w:p>
      <w:pPr>
        <w:pStyle w:val="BookText"/>
      </w:pPr>
      <w:r>
        <w:rPr>
          <w:rFonts w:ascii="Times New Roman" w:hAnsi="Times New Roman" w:eastAsia="Times New Roman" w:cs="Times New Roman"/>
          <w:lang w:val="en-US" w:bidi="en-US"/>
          <w:color w:val="111111"/>
          <w:sz w:val="28"/>
          <w:szCs w:val="28"/>
          <w:rtl/>
        </w:rPr>
        <w:t xml:space="preserve">estexrāj-e masā’el-e ‘adadī</w:t>
      </w:r>
    </w:p>
    <w:p>
      <w:pPr>
        <w:pStyle w:val="BookText"/>
      </w:pPr>
      <w:r>
        <w:rPr>
          <w:rFonts w:ascii="IRNazanin" w:hAnsi="IRNazanin" w:eastAsia="IRNazanin" w:cs="IRNazanin"/>
          <w:lang w:bidi="fa-IR"/>
          <w:color w:val="111111"/>
          <w:sz w:val="28"/>
          <w:szCs w:val="28"/>
          <w:rtl/>
        </w:rPr>
        <w:t xml:space="preserve">سمرقندی، حسین بن  ابراهیم، ق ۶ قمری</w:t>
      </w:r>
    </w:p>
    <w:p>
      <w:pPr>
        <w:pStyle w:val="BookText"/>
      </w:pPr>
      <w:r>
        <w:rPr>
          <w:rFonts w:ascii="Times New Roman" w:hAnsi="Times New Roman" w:eastAsia="Times New Roman" w:cs="Times New Roman"/>
          <w:lang w:val="en-US" w:bidi="en-US"/>
          <w:color w:val="111111"/>
          <w:sz w:val="28"/>
          <w:szCs w:val="28"/>
          <w:rtl/>
        </w:rPr>
        <w:t xml:space="preserve">(samarqandī, hoseyn ebn-e ebrāhīm (- 12c</w:t>
      </w:r>
    </w:p>
    <w:p>
      <w:pPr>
        <w:pStyle w:val="BookText"/>
      </w:pPr>
      <w:r>
        <w:rPr>
          <w:rFonts w:ascii="IRNazanin" w:hAnsi="IRNazanin" w:eastAsia="IRNazanin" w:cs="IRNazanin"/>
          <w:lang w:bidi="fa-IR"/>
          <w:color w:val="111111"/>
          <w:sz w:val="28"/>
          <w:szCs w:val="28"/>
          <w:rtl/>
        </w:rPr>
        <w:t xml:space="preserve">تهران؛ ملک؛ شماره نسخه: ۳۱۸۳/۴</w:t>
      </w:r>
    </w:p>
    <w:p>
      <w:pPr>
        <w:pStyle w:val="BookText"/>
      </w:pPr>
      <w:r>
        <w:rPr>
          <w:rFonts w:ascii="IRNazanin" w:hAnsi="IRNazanin" w:eastAsia="IRNazanin" w:cs="IRNazanin"/>
          <w:lang w:bidi="fa-IR"/>
          <w:color w:val="111111"/>
          <w:sz w:val="28"/>
          <w:szCs w:val="28"/>
          <w:rtl/>
        </w:rPr>
        <w:t xml:space="preserve">یک صفحه از رسالة فى طريق المسائل العددية است؛ بی کا، بی تا ؛ افتادگی: انجام؛ ۱ص [ف: ۶ - ۲۶۶]</w:t>
      </w:r>
    </w:p>
    <w:p>
      <w:pPr>
        <w:pStyle w:val="Heading3"/>
      </w:pPr>
      <w:bookmarkStart w:id="1118" w:name="_Toc640"/>
      <w:r>
        <w:t>استخراج المضمر / هیئت، ریاضیات / عربی</w:t>
      </w:r>
      <w:bookmarkEnd w:id="1118"/>
    </w:p>
    <w:p>
      <w:pPr>
        <w:pStyle w:val="BookText"/>
      </w:pPr>
      <w:r>
        <w:rPr>
          <w:rFonts w:ascii="Times New Roman" w:hAnsi="Times New Roman" w:eastAsia="Times New Roman" w:cs="Times New Roman"/>
          <w:lang w:val="en-US" w:bidi="en-US"/>
          <w:color w:val="111111"/>
          <w:sz w:val="28"/>
          <w:szCs w:val="28"/>
          <w:rtl/>
        </w:rPr>
        <w:t xml:space="preserve">istixrāj-ul-muḍmar</w:t>
      </w:r>
    </w:p>
    <w:p>
      <w:pPr>
        <w:pStyle w:val="BookText"/>
      </w:pPr>
      <w:r>
        <w:rPr>
          <w:rFonts w:ascii="IRNazanin" w:hAnsi="IRNazanin" w:eastAsia="IRNazanin" w:cs="IRNazanin"/>
          <w:lang w:bidi="fa-IR"/>
          <w:color w:val="111111"/>
          <w:sz w:val="28"/>
          <w:szCs w:val="28"/>
          <w:rtl/>
        </w:rPr>
        <w:t xml:space="preserve">غیر همانند:</w:t>
      </w:r>
    </w:p>
    <w:p>
      <w:pPr>
        <w:pStyle w:val="BookText"/>
      </w:pPr>
      <w:r>
        <w:rPr>
          <w:rFonts w:ascii="IRNazanin" w:hAnsi="IRNazanin" w:eastAsia="IRNazanin" w:cs="IRNazanin"/>
          <w:lang w:bidi="fa-IR"/>
          <w:color w:val="111111"/>
          <w:sz w:val="28"/>
          <w:szCs w:val="28"/>
          <w:rtl/>
        </w:rPr>
        <w:t xml:space="preserve">تهران؛ مهدوی؛ شماره نسخه: ۲۸۲/۷</w:t>
      </w:r>
    </w:p>
    <w:p>
      <w:pPr>
        <w:pStyle w:val="BookText"/>
      </w:pPr>
      <w:r>
        <w:rPr>
          <w:rFonts w:ascii="IRNazanin" w:hAnsi="IRNazanin" w:eastAsia="IRNazanin" w:cs="IRNazanin"/>
          <w:lang w:bidi="fa-IR"/>
          <w:color w:val="111111"/>
          <w:sz w:val="28"/>
          <w:szCs w:val="28"/>
          <w:rtl/>
        </w:rPr>
        <w:t xml:space="preserve">خط: نسخ، کا: محمد طاهر بن ولی محمد طبیب مشهدی، تا: ۱۳۰۹ق ؛ کاغذ: ترمه، ۴ ص (۸۵-۸۸) [نشریه: ۲ - ۱۰۶]</w:t>
      </w:r>
    </w:p>
    <w:p>
      <w:pPr>
        <w:pStyle w:val="BookText"/>
      </w:pPr>
      <w:r>
        <w:rPr>
          <w:rFonts w:ascii="IRNazanin" w:hAnsi="IRNazanin" w:eastAsia="IRNazanin" w:cs="IRNazanin"/>
          <w:lang w:bidi="fa-IR"/>
          <w:color w:val="111111"/>
          <w:sz w:val="28"/>
          <w:szCs w:val="28"/>
          <w:rtl/>
        </w:rPr>
        <w:t xml:space="preserve">مشهد؛ رضوی؛ شماره نسخه: ۵۲۹۷</w:t>
      </w:r>
    </w:p>
    <w:p>
      <w:pPr>
        <w:pStyle w:val="BookText"/>
      </w:pPr>
      <w:r>
        <w:rPr>
          <w:rFonts w:ascii="IRNazanin" w:hAnsi="IRNazanin" w:eastAsia="IRNazanin" w:cs="IRNazanin"/>
          <w:lang w:bidi="fa-IR"/>
          <w:color w:val="111111"/>
          <w:sz w:val="28"/>
          <w:szCs w:val="28"/>
          <w:rtl/>
        </w:rPr>
        <w:t xml:space="preserve">آغاز: رساله ... باب في استخراج اعداد المضمر ؛ انجام: قبل العـمل فما بقى فهو نقش ... محمد حسين التبریزی غفر الله ذنوبه و  ستر عيوبه</w:t>
      </w:r>
    </w:p>
    <w:p>
      <w:pPr>
        <w:pStyle w:val="BookText"/>
      </w:pPr>
      <w:r>
        <w:rPr>
          <w:rFonts w:ascii="IRNazanin" w:hAnsi="IRNazanin" w:eastAsia="IRNazanin" w:cs="IRNazanin"/>
          <w:lang w:bidi="fa-IR"/>
          <w:color w:val="111111"/>
          <w:sz w:val="28"/>
          <w:szCs w:val="28"/>
          <w:rtl/>
        </w:rPr>
        <w:t xml:space="preserve">خط: نستعلیق، کا: محمد حسین تبریزی، بی تا [الفبائی: ۴۴]</w:t>
      </w:r>
    </w:p>
    <w:p>
      <w:pPr>
        <w:pStyle w:val="Heading3"/>
      </w:pPr>
      <w:bookmarkStart w:id="1119" w:name="_Toc641"/>
      <w:r>
        <w:t>استخراج المضمر / رياضيات / عربي</w:t>
      </w:r>
      <w:bookmarkEnd w:id="1119"/>
    </w:p>
    <w:p>
      <w:pPr>
        <w:pStyle w:val="BookText"/>
      </w:pPr>
      <w:r>
        <w:rPr>
          <w:rFonts w:ascii="Times New Roman" w:hAnsi="Times New Roman" w:eastAsia="Times New Roman" w:cs="Times New Roman"/>
          <w:lang w:val="en-US" w:bidi="en-US"/>
          <w:color w:val="111111"/>
          <w:sz w:val="28"/>
          <w:szCs w:val="28"/>
          <w:rtl/>
        </w:rPr>
        <w:t xml:space="preserve">istixrāj-ul-muḍmar</w:t>
      </w:r>
    </w:p>
    <w:p>
      <w:pPr>
        <w:pStyle w:val="BookText"/>
      </w:pPr>
      <w:r>
        <w:rPr>
          <w:rFonts w:ascii="IRNazanin" w:hAnsi="IRNazanin" w:eastAsia="IRNazanin" w:cs="IRNazanin"/>
          <w:lang w:bidi="fa-IR"/>
          <w:color w:val="111111"/>
          <w:sz w:val="28"/>
          <w:szCs w:val="28"/>
          <w:rtl/>
        </w:rPr>
        <w:t xml:space="preserve">در استخراج اعداد مضمر و فاقد خطبه و دیباچه است.</w:t>
      </w:r>
    </w:p>
    <w:p>
      <w:pPr>
        <w:pStyle w:val="BookText"/>
      </w:pPr>
      <w:r>
        <w:rPr>
          <w:rFonts w:ascii="IRNazanin" w:hAnsi="IRNazanin" w:eastAsia="IRNazanin" w:cs="IRNazanin"/>
          <w:lang w:bidi="fa-IR"/>
          <w:color w:val="111111"/>
          <w:sz w:val="28"/>
          <w:szCs w:val="28"/>
          <w:rtl/>
        </w:rPr>
        <w:t xml:space="preserve">آغاز: بسمله باب فى استخراج اعداد المضمر اذا امضر انسـان عددا في الضمر ان يضعف ذلك ثم اضرب ذلك المضعف  فی الاثنين</w:t>
      </w:r>
    </w:p>
    <w:p>
      <w:pPr>
        <w:pStyle w:val="BookText"/>
      </w:pPr>
      <w:r>
        <w:rPr>
          <w:rFonts w:ascii="Amiri" w:hAnsi="Amiri" w:eastAsia="Amiri" w:cs="Amiri"/>
          <w:lang w:bidi="ar-SA"/>
          <w:color w:val="111111"/>
          <w:sz w:val="28"/>
          <w:szCs w:val="28"/>
          <w:rtl/>
        </w:rPr>
        <w:t xml:space="preserve">انجام: و يسقط من مجموع النقوش الذي كان في ضميرك قـبل العمل فما بقى فهو نقش</w:t>
      </w:r>
    </w:p>
    <w:p>
      <w:pPr>
        <w:pStyle w:val="BookText"/>
      </w:pPr>
      <w:r>
        <w:rPr>
          <w:rFonts w:ascii="IRNazanin" w:hAnsi="IRNazanin" w:eastAsia="IRNazanin" w:cs="IRNazanin"/>
          <w:lang w:bidi="fa-IR"/>
          <w:color w:val="111111"/>
          <w:sz w:val="28"/>
          <w:szCs w:val="28"/>
          <w:rtl/>
        </w:rPr>
        <w:t xml:space="preserve">[فهرستواره ۲۵۹۶/۴]</w:t>
      </w:r>
    </w:p>
    <w:p>
      <w:pPr>
        <w:pStyle w:val="BookText"/>
      </w:pPr>
      <w:r>
        <w:rPr>
          <w:rFonts w:ascii="IRNazanin" w:hAnsi="IRNazanin" w:eastAsia="IRNazanin" w:cs="IRNazanin"/>
          <w:lang w:bidi="fa-IR"/>
          <w:color w:val="111111"/>
          <w:sz w:val="28"/>
          <w:szCs w:val="28"/>
          <w:rtl/>
        </w:rPr>
        <w:t xml:space="preserve">همانند:</w:t>
      </w:r>
    </w:p>
    <w:p>
      <w:pPr>
        <w:pStyle w:val="BookText"/>
      </w:pPr>
      <w:r>
        <w:rPr>
          <w:rFonts w:ascii="IRNazanin" w:hAnsi="IRNazanin" w:eastAsia="IRNazanin" w:cs="IRNazanin"/>
          <w:lang w:bidi="fa-IR"/>
          <w:color w:val="111111"/>
          <w:sz w:val="28"/>
          <w:szCs w:val="28"/>
          <w:rtl/>
        </w:rPr>
        <w:t xml:space="preserve">١. تهران؛ دانشگاه؛ شماره نسخه: ۲۴۰۱/۴۱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نستعليق، كا: رضا بن موسی  کشمیری، تا: قرن ۱۱؛ کاغذ: سپاهانی ،جلد: تیماج عنابی ضربی زرکوب مقوایی درون سرخ، ۵ ص (۳۶۶-۳۷۰)، ۲۸ سطر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  [ف: ۹ - ۱۰۲۱]</w:t>
      </w:r>
    </w:p>
    <w:p>
      <w:pPr>
        <w:pStyle w:val="BookText"/>
      </w:pPr>
      <w:r>
        <w:rPr>
          <w:rFonts w:ascii="IRNazanin" w:hAnsi="IRNazanin" w:eastAsia="IRNazanin" w:cs="IRNazanin"/>
          <w:lang w:bidi="fa-IR"/>
          <w:color w:val="111111"/>
          <w:sz w:val="28"/>
          <w:szCs w:val="28"/>
          <w:rtl/>
        </w:rPr>
        <w:t xml:space="preserve">۲ . مشهد؛ رضوی؛ شماره نسخه: ۵۲۹۵/۴</w:t>
      </w:r>
    </w:p>
    <w:p>
      <w:pPr>
        <w:pStyle w:val="BookText"/>
      </w:pPr>
      <w:r>
        <w:rPr>
          <w:rFonts w:ascii="IRNazanin" w:hAnsi="IRNazanin" w:eastAsia="IRNazanin" w:cs="IRNazanin"/>
          <w:lang w:bidi="fa-IR"/>
          <w:color w:val="111111"/>
          <w:sz w:val="28"/>
          <w:szCs w:val="28"/>
          <w:rtl/>
        </w:rPr>
        <w:t xml:space="preserve">آغاز و انجام: برابر؛ تمت الرسالة فى قرية الاسجل [ اسجل بكـسر اول و ثالث از ییلاقات مشهور مشهدست و اهل محل آنرا اسگل  می گویند]. من قرى المشهد المقدس الرضوى عليه افضل التحیة  والثناء كتبه العبد الفقير المشتهر ببرهان القاطع محمد حسين التبريزى غفر الله ذنوبه و ستر عيوبه</w:t>
      </w:r>
    </w:p>
    <w:p>
      <w:pPr>
        <w:pStyle w:val="BookText"/>
      </w:pPr>
      <w:r>
        <w:rPr>
          <w:rFonts w:ascii="IRNazanin" w:hAnsi="IRNazanin" w:eastAsia="IRNazanin" w:cs="IRNazanin"/>
          <w:lang w:bidi="fa-IR"/>
          <w:color w:val="111111"/>
          <w:sz w:val="28"/>
          <w:szCs w:val="28"/>
          <w:rtl/>
        </w:rPr>
        <w:t xml:space="preserve">بابی است از کتابی؛ خط: نستعلیق  تحریری، کا: محمد حسین بن خلف  تبریزی، تا: ۱۰۴۱ق، جا: مشهد رضوی، قریه اسجل؛ کاغذ: حنایی آهار مهره ،جلد: مقوایی، ۴ ص (7- 10) ، 27- 31 سطر  (۱۱/۲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 اندازه: ۱۶/۷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۲۵/۳سم [ف: ۸ - ۴۰۹]</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مشهد؛ رضوی؛ شماره نسخه: ۱۲۲۹۷/۵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خوش، کا: محمد طاهر  مشهدی، تا: ۱۳۰۹ق، جا: مشهد؛ کاغذ: حنایی آهار مهره، جلد: تیماج ضربی زرکوب ترنج دار، ۵ص (۳۴-۳۸ )۳۱ سطر، اندازه: ۲۰/۲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۳۳/۱سم [ف: ۱۰-۲۴۲]</w:t>
      </w:r>
    </w:p>
    <w:p>
      <w:pPr>
        <w:pStyle w:val="BookText"/>
      </w:pPr>
      <w:r>
        <w:rPr>
          <w:rFonts w:ascii="IRNazanin" w:hAnsi="IRNazanin" w:eastAsia="IRNazanin" w:cs="IRNazanin"/>
          <w:lang w:bidi="fa-IR"/>
          <w:color w:val="111111"/>
          <w:sz w:val="28"/>
          <w:szCs w:val="28"/>
          <w:rtl/>
        </w:rPr>
        <w:t xml:space="preserve">تهران؛ دائرة المعارف؛ شماره نسخه: ۴۸۶/۵-عکسی</w:t>
      </w:r>
    </w:p>
    <w:p>
      <w:pPr>
        <w:pStyle w:val="BookText"/>
      </w:pPr>
      <w:r>
        <w:rPr>
          <w:rFonts w:ascii="IRNazanin" w:hAnsi="IRNazanin" w:eastAsia="IRNazanin" w:cs="IRNazanin"/>
          <w:lang w:bidi="fa-IR"/>
          <w:color w:val="111111"/>
          <w:sz w:val="28"/>
          <w:szCs w:val="28"/>
          <w:rtl/>
        </w:rPr>
        <w:t xml:space="preserve">اصل  نسخه: همان نسخه بالا [ف ۲ - ۲۰]</w:t>
      </w:r>
    </w:p>
    <w:p>
      <w:pPr>
        <w:pStyle w:val="Heading3"/>
      </w:pPr>
      <w:bookmarkStart w:id="1120" w:name="_Toc642"/>
      <w:r>
        <w:t>استخراج المقدار المجهول / ریاضیات / فارسی و عربی</w:t>
      </w:r>
      <w:bookmarkEnd w:id="1120"/>
    </w:p>
    <w:p>
      <w:pPr>
        <w:pStyle w:val="BookText"/>
      </w:pPr>
      <w:r>
        <w:rPr>
          <w:rFonts w:ascii="Times New Roman" w:hAnsi="Times New Roman" w:eastAsia="Times New Roman" w:cs="Times New Roman"/>
          <w:lang w:val="en-US" w:bidi="en-US"/>
          <w:color w:val="111111"/>
          <w:sz w:val="28"/>
          <w:szCs w:val="28"/>
          <w:rtl/>
        </w:rPr>
        <w:t xml:space="preserve">istixrāj-ul-miqdār-il-majhūl</w:t>
      </w:r>
    </w:p>
    <w:p>
      <w:pPr>
        <w:pStyle w:val="BookText"/>
      </w:pPr>
      <w:r>
        <w:rPr>
          <w:rFonts w:ascii="IRNazanin" w:hAnsi="IRNazanin" w:eastAsia="IRNazanin" w:cs="IRNazanin"/>
          <w:lang w:bidi="fa-IR"/>
          <w:color w:val="111111"/>
          <w:sz w:val="28"/>
          <w:szCs w:val="28"/>
          <w:rtl/>
        </w:rPr>
        <w:t xml:space="preserve">تهران؛ مجلس؛ شماره نسخه: ۶۳/۴</w:t>
      </w:r>
    </w:p>
    <w:p>
      <w:pPr>
        <w:pStyle w:val="BookText"/>
      </w:pPr>
      <w:r>
        <w:rPr>
          <w:rFonts w:ascii="IRNazanin" w:hAnsi="IRNazanin" w:eastAsia="IRNazanin" w:cs="IRNazanin"/>
          <w:lang w:bidi="fa-IR"/>
          <w:color w:val="111111"/>
          <w:sz w:val="28"/>
          <w:szCs w:val="28"/>
          <w:rtl/>
        </w:rPr>
        <w:t xml:space="preserve">خط: نسخ، بی کا، تا: قرن ۱۲؛ کاغذ: سفید، جلد: مقوایی، عطف تیماج  تریاکی، ۵ ص (۶۱-۶۵)، ۲۱ 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[سنا - ف: ۱ - ۳۲]</w:t>
      </w:r>
    </w:p>
    <w:p>
      <w:pPr>
        <w:pStyle w:val="Heading3"/>
      </w:pPr>
      <w:bookmarkStart w:id="1121" w:name="_Toc643"/>
      <w:r>
        <w:t>استخراج مطالب و مقاصد / فارسی</w:t>
      </w:r>
      <w:bookmarkEnd w:id="1121"/>
    </w:p>
    <w:p>
      <w:pPr>
        <w:pStyle w:val="BookText"/>
      </w:pPr>
      <w:r>
        <w:rPr>
          <w:rFonts w:ascii="Times New Roman" w:hAnsi="Times New Roman" w:eastAsia="Times New Roman" w:cs="Times New Roman"/>
          <w:lang w:val="en-US" w:bidi="en-US"/>
          <w:color w:val="111111"/>
          <w:sz w:val="28"/>
          <w:szCs w:val="28"/>
          <w:rtl/>
        </w:rPr>
        <w:t xml:space="preserve">estexrāj-e matāleb va maqāsed</w:t>
      </w:r>
    </w:p>
    <w:p>
      <w:pPr>
        <w:pStyle w:val="BookText"/>
      </w:pPr>
      <w:r>
        <w:rPr>
          <w:rFonts w:ascii="IRNazanin" w:hAnsi="IRNazanin" w:eastAsia="IRNazanin" w:cs="IRNazanin"/>
          <w:lang w:bidi="fa-IR"/>
          <w:color w:val="111111"/>
          <w:sz w:val="28"/>
          <w:szCs w:val="28"/>
          <w:rtl/>
        </w:rPr>
        <w:t xml:space="preserve">تهران؛ مجلس؛ شماره نسخه: ۱۱۷۸/۳۷</w:t>
      </w:r>
    </w:p>
    <w:p>
      <w:pPr>
        <w:pStyle w:val="BookText"/>
      </w:pPr>
      <w:r>
        <w:rPr>
          <w:rFonts w:ascii="IRNazanin" w:hAnsi="IRNazanin" w:eastAsia="IRNazanin" w:cs="IRNazanin"/>
          <w:lang w:bidi="fa-IR"/>
          <w:color w:val="111111"/>
          <w:sz w:val="28"/>
          <w:szCs w:val="28"/>
          <w:rtl/>
        </w:rPr>
        <w:t xml:space="preserve">بی کا، تا: قرن ۱۲؛ محشی با فهرست؛ کاغذ: سفید و برخی رنگین، جلد: تیماج مشکی ضربی و مقوایی،۴ ص (۴۱۳-۴۱۶) [سنا - ف:2- 158]</w:t>
      </w:r>
    </w:p>
    <w:p>
      <w:pPr>
        <w:pStyle w:val="Heading3"/>
      </w:pPr>
      <w:bookmarkStart w:id="1122" w:name="_Toc644"/>
      <w:r>
        <w:t>استخراج مطلوب / جفر / فارسی</w:t>
      </w:r>
      <w:bookmarkEnd w:id="1122"/>
    </w:p>
    <w:p>
      <w:pPr>
        <w:pStyle w:val="BookText"/>
      </w:pPr>
      <w:r>
        <w:rPr>
          <w:rFonts w:ascii="Times New Roman" w:hAnsi="Times New Roman" w:eastAsia="Times New Roman" w:cs="Times New Roman"/>
          <w:lang w:val="en-US" w:bidi="en-US"/>
          <w:color w:val="111111"/>
          <w:sz w:val="28"/>
          <w:szCs w:val="28"/>
          <w:rtl/>
        </w:rPr>
        <w:t xml:space="preserve">estexrāj-e matlub</w:t>
      </w:r>
    </w:p>
    <w:p>
      <w:pPr>
        <w:pStyle w:val="BookText"/>
      </w:pPr>
      <w:r>
        <w:rPr>
          <w:rFonts w:ascii="IRNazanin" w:hAnsi="IRNazanin" w:eastAsia="IRNazanin" w:cs="IRNazanin"/>
          <w:lang w:bidi="fa-IR"/>
          <w:color w:val="111111"/>
          <w:sz w:val="28"/>
          <w:szCs w:val="28"/>
          <w:rtl/>
        </w:rPr>
        <w:t xml:space="preserve">از ناشناس استخراج مطلوب مجهول از راه جفر.</w:t>
      </w:r>
    </w:p>
    <w:p>
      <w:pPr>
        <w:pStyle w:val="BookText"/>
      </w:pPr>
      <w:r>
        <w:rPr>
          <w:rFonts w:ascii="Amiri" w:hAnsi="Amiri" w:eastAsia="Amiri" w:cs="Amiri"/>
          <w:lang w:bidi="ar-SA"/>
          <w:color w:val="111111"/>
          <w:sz w:val="28"/>
          <w:szCs w:val="28"/>
          <w:rtl/>
        </w:rPr>
        <w:t xml:space="preserve">تهران؛ دائرة المعارف؛ شماره نسخه: ۷۶/۲</w:t>
      </w:r>
    </w:p>
    <w:p>
      <w:pPr>
        <w:pStyle w:val="BookText"/>
      </w:pPr>
      <w:r>
        <w:rPr>
          <w:rFonts w:ascii="IRNazanin" w:hAnsi="IRNazanin" w:eastAsia="IRNazanin" w:cs="IRNazanin"/>
          <w:lang w:bidi="fa-IR"/>
          <w:color w:val="111111"/>
          <w:sz w:val="28"/>
          <w:szCs w:val="28"/>
          <w:rtl/>
        </w:rPr>
        <w:t xml:space="preserve">آغاز: در بیان استخراج مطلوب مجهول امور آدم و احوال عالم از صفحه ای از صفایح جفر... فائده بدانکه چون خواهند که مطلوب مجهول معلوم  کنند، از اسم و طالع وقت ولادت؛ انجام: ...ا ج س ی ن ن ی. تمت</w:t>
      </w:r>
    </w:p>
    <w:p>
      <w:pPr>
        <w:pStyle w:val="BookText"/>
      </w:pPr>
      <w:r>
        <w:rPr>
          <w:rFonts w:ascii="IRNazanin" w:hAnsi="IRNazanin" w:eastAsia="IRNazanin" w:cs="IRNazanin"/>
          <w:lang w:bidi="fa-IR"/>
          <w:color w:val="111111"/>
          <w:sz w:val="28"/>
          <w:szCs w:val="28"/>
          <w:rtl/>
        </w:rPr>
        <w:t xml:space="preserve">خط: نستعليق تحریری، بی کا، تا: قرن ۱۲؛ ۴گ (12پ-15ر) [ف: 1- 17]</w:t>
      </w:r>
    </w:p>
    <w:p>
      <w:pPr>
        <w:pStyle w:val="Heading3"/>
      </w:pPr>
      <w:bookmarkStart w:id="1123" w:name="_Toc645"/>
      <w:r>
        <w:t>استخراج المعما / معما / عربي</w:t>
      </w:r>
      <w:bookmarkEnd w:id="1123"/>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75" w:name="pg20365_260258"/>
    <w:bookmarkEnd w:id="175"/>
    <w:p>
      <w:pPr>
        <w:pStyle w:val="BookText"/>
      </w:pPr>
      <w:r>
        <w:rPr>
          <w:rFonts w:ascii="Times New Roman" w:hAnsi="Times New Roman" w:eastAsia="Times New Roman" w:cs="Times New Roman"/>
          <w:lang w:val="en-US" w:bidi="en-US"/>
          <w:color w:val="111111"/>
          <w:sz w:val="28"/>
          <w:szCs w:val="28"/>
          <w:rtl/>
        </w:rPr>
        <w:t xml:space="preserve">istixrāj-ul-mu‘ammā</w:t>
      </w:r>
    </w:p>
    <w:p>
      <w:pPr>
        <w:pStyle w:val="BookText"/>
      </w:pPr>
      <w:r>
        <w:rPr>
          <w:rFonts w:ascii="IRNazanin" w:hAnsi="IRNazanin" w:eastAsia="IRNazanin" w:cs="IRNazanin"/>
          <w:lang w:bidi="fa-IR"/>
          <w:color w:val="111111"/>
          <w:sz w:val="28"/>
          <w:szCs w:val="28"/>
          <w:rtl/>
        </w:rPr>
        <w:t xml:space="preserve">کندی، یعقوب بن اسحاق، ۱۸۵؟ - ۲۵۲ ؟ قمری</w:t>
      </w:r>
    </w:p>
    <w:p>
      <w:pPr>
        <w:pStyle w:val="BookText"/>
      </w:pPr>
      <w:r>
        <w:rPr>
          <w:rFonts w:ascii="Times New Roman" w:hAnsi="Times New Roman" w:eastAsia="Times New Roman" w:cs="Times New Roman"/>
          <w:lang w:val="en-US" w:bidi="en-US"/>
          <w:color w:val="111111"/>
          <w:sz w:val="28"/>
          <w:szCs w:val="28"/>
          <w:rtl/>
        </w:rPr>
        <w:t xml:space="preserve">(kendī, ya‘qūb ebn-e eshāq (802 - 867)</w:t>
      </w:r>
    </w:p>
    <w:p>
      <w:pPr>
        <w:pStyle w:val="BookText"/>
      </w:pPr>
      <w:r>
        <w:rPr>
          <w:rFonts w:ascii="IRNazanin" w:hAnsi="IRNazanin" w:eastAsia="IRNazanin" w:cs="IRNazanin"/>
          <w:lang w:bidi="fa-IR"/>
          <w:color w:val="111111"/>
          <w:sz w:val="28"/>
          <w:szCs w:val="28"/>
          <w:rtl/>
        </w:rPr>
        <w:t xml:space="preserve">دو رساله است از کندی به معتصم در باب استخراج معما.</w:t>
      </w:r>
    </w:p>
    <w:p>
      <w:pPr>
        <w:pStyle w:val="BookText"/>
      </w:pPr>
      <w:r>
        <w:rPr>
          <w:rFonts w:ascii="IRNazanin" w:hAnsi="IRNazanin" w:eastAsia="IRNazanin" w:cs="IRNazanin"/>
          <w:lang w:bidi="fa-IR"/>
          <w:color w:val="111111"/>
          <w:sz w:val="28"/>
          <w:szCs w:val="28"/>
          <w:rtl/>
        </w:rPr>
        <w:t xml:space="preserve">تهران؛ دانشگاه؛ شماره نسخه: ۴۳۷/۶۱-ف</w:t>
      </w:r>
    </w:p>
    <w:p>
      <w:pPr>
        <w:pStyle w:val="BookText"/>
      </w:pPr>
      <w:r>
        <w:rPr>
          <w:rFonts w:ascii="IRNazanin" w:hAnsi="IRNazanin" w:eastAsia="IRNazanin" w:cs="IRNazanin"/>
          <w:lang w:bidi="fa-IR"/>
          <w:color w:val="111111"/>
          <w:sz w:val="28"/>
          <w:szCs w:val="28"/>
          <w:rtl/>
        </w:rPr>
        <w:t xml:space="preserve">نسخه اصل: ایاصوفيا ش  ۴۸۳۲. رسالة استخراج المعما الى ابی العباس المعتصم؛ خط: نسخ، بی کا، تا: قرن ۷، ۷گ (210- 216)</w:t>
      </w:r>
    </w:p>
    <w:p>
      <w:pPr>
        <w:pStyle w:val="BookText"/>
      </w:pPr>
      <w:r>
        <w:rPr>
          <w:rFonts w:ascii="Amiri" w:hAnsi="Amiri" w:eastAsia="Amiri" w:cs="Amiri"/>
          <w:lang w:bidi="ar-SA"/>
          <w:color w:val="111111"/>
          <w:sz w:val="28"/>
          <w:szCs w:val="28"/>
          <w:rtl/>
        </w:rPr>
        <w:t xml:space="preserve">[فيلمها -ف: ۱ – ۴۷۱]</w:t>
      </w:r>
    </w:p>
    <w:p>
      <w:pPr>
        <w:pStyle w:val="BookText"/>
      </w:pPr>
      <w:r>
        <w:rPr>
          <w:rFonts w:ascii="IRNazanin" w:hAnsi="IRNazanin" w:eastAsia="IRNazanin" w:cs="IRNazanin"/>
          <w:lang w:bidi="fa-IR"/>
          <w:color w:val="111111"/>
          <w:sz w:val="28"/>
          <w:szCs w:val="28"/>
          <w:rtl/>
        </w:rPr>
        <w:t xml:space="preserve">۲. تهران؛ دانشگاه؛ شماره نسخه: ۴۳۷/۶۵-ف</w:t>
      </w:r>
    </w:p>
    <w:p>
      <w:pPr>
        <w:pStyle w:val="BookText"/>
      </w:pPr>
      <w:r>
        <w:rPr>
          <w:rFonts w:ascii="IRNazanin" w:hAnsi="IRNazanin" w:eastAsia="IRNazanin" w:cs="IRNazanin"/>
          <w:lang w:bidi="fa-IR"/>
          <w:color w:val="111111"/>
          <w:sz w:val="28"/>
          <w:szCs w:val="28"/>
          <w:rtl/>
        </w:rPr>
        <w:t xml:space="preserve">نسخه اصل: ایاصوفیا ش .۴۸۳۲. آخر كتاب الكندى الى  ابی العباس المعتصم فى الحيلة فى استخراج المعما من الكتب؛خط: نسخ، بی کا، تا: قرن ۷؛ ۱گ (۲۱۷پ) [فیلمها -ف: ۱ - ۴۷۲]</w:t>
      </w:r>
    </w:p>
    <w:p>
      <w:pPr>
        <w:pStyle w:val="Heading3"/>
      </w:pPr>
      <w:bookmarkStart w:id="1124" w:name="_Toc646"/>
      <w:r>
        <w:t>استخراج مقادير المجهولة في باب الاقرار / فقه /  عربی</w:t>
      </w:r>
      <w:bookmarkEnd w:id="1124"/>
    </w:p>
    <w:p>
      <w:pPr>
        <w:pStyle w:val="BookText"/>
      </w:pPr>
      <w:r>
        <w:rPr>
          <w:rFonts w:ascii="Times New Roman" w:hAnsi="Times New Roman" w:eastAsia="Times New Roman" w:cs="Times New Roman"/>
          <w:lang w:val="en-US" w:bidi="en-US"/>
          <w:color w:val="111111"/>
          <w:sz w:val="28"/>
          <w:szCs w:val="28"/>
          <w:rtl/>
        </w:rPr>
        <w:t xml:space="preserve">istixrāj-u maqādīr-il-majhūla fī bāb-il-iqrār</w:t>
      </w:r>
    </w:p>
    <w:p>
      <w:pPr>
        <w:pStyle w:val="BookText"/>
      </w:pPr>
      <w:r>
        <w:rPr>
          <w:rFonts w:ascii="IRNazanin" w:hAnsi="IRNazanin" w:eastAsia="IRNazanin" w:cs="IRNazanin"/>
          <w:lang w:bidi="fa-IR"/>
          <w:color w:val="111111"/>
          <w:sz w:val="28"/>
          <w:szCs w:val="28"/>
          <w:rtl/>
        </w:rPr>
        <w:t xml:space="preserve">بارینی، عمر بن عیسی، - ۷۶۴ قمری</w:t>
      </w:r>
    </w:p>
    <w:p>
      <w:pPr>
        <w:pStyle w:val="BookText"/>
      </w:pPr>
      <w:r>
        <w:rPr>
          <w:rFonts w:ascii="Times New Roman" w:hAnsi="Times New Roman" w:eastAsia="Times New Roman" w:cs="Times New Roman"/>
          <w:lang w:val="en-US" w:bidi="en-US"/>
          <w:color w:val="111111"/>
          <w:sz w:val="28"/>
          <w:szCs w:val="28"/>
          <w:rtl/>
        </w:rPr>
        <w:t xml:space="preserve">(bārīnī, ‘omar ebn-e ‘īsā (- 1363</w:t>
      </w:r>
    </w:p>
    <w:p>
      <w:pPr>
        <w:pStyle w:val="BookText"/>
      </w:pPr>
      <w:r>
        <w:rPr>
          <w:rFonts w:ascii="IRNazanin" w:hAnsi="IRNazanin" w:eastAsia="IRNazanin" w:cs="IRNazanin"/>
          <w:lang w:bidi="fa-IR"/>
          <w:color w:val="111111"/>
          <w:sz w:val="28"/>
          <w:szCs w:val="28"/>
          <w:rtl/>
        </w:rPr>
        <w:t xml:space="preserve">چند نمونه و مثال است برای پیدا نمودن اندازه های مجهول از اقرار در باب ادعا و اقرار با نقل چند قطعه در قاعده های مختلـف این موضوع آغاز: الحمد لله رب العالمين ... أما بعد فهذه فهذه قائدة مشتـملة على طريق يتبين بها كيفية استخراج مقادير مجهولة</w:t>
      </w:r>
    </w:p>
    <w:p>
      <w:pPr>
        <w:pStyle w:val="BookText"/>
      </w:pPr>
      <w:r>
        <w:rPr>
          <w:rFonts w:ascii="Amiri" w:hAnsi="Amiri" w:eastAsia="Amiri" w:cs="Amiri"/>
          <w:lang w:bidi="ar-SA"/>
          <w:color w:val="111111"/>
          <w:sz w:val="28"/>
          <w:szCs w:val="28"/>
          <w:rtl/>
        </w:rPr>
        <w:t xml:space="preserve">انجام: و الخمسة عشر بستة محفوظة فقد تقابل المحفوظان و تساويا فصح الضرب و على هذا فقس  و الله اعلم</w:t>
      </w:r>
    </w:p>
    <w:p>
      <w:pPr>
        <w:pStyle w:val="BookText"/>
      </w:pPr>
      <w:r>
        <w:rPr>
          <w:rFonts w:ascii="IRNazanin" w:hAnsi="IRNazanin" w:eastAsia="IRNazanin" w:cs="IRNazanin"/>
          <w:lang w:bidi="fa-IR"/>
          <w:color w:val="111111"/>
          <w:sz w:val="28"/>
          <w:szCs w:val="28"/>
          <w:rtl/>
        </w:rPr>
        <w:t xml:space="preserve">قم؛ مرعشی؛ شماره نسخه: ۳۳۲۳/۳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گویا قرن ۱۰؛ جلد: تیماج قرمز بدون مقوا، ۱۴ گ (۷۹پ- ۹۲ پ)، مختلف السطر،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[ف: ۹ - ۱۰۱]</w:t>
      </w:r>
    </w:p>
    <w:p>
      <w:pPr>
        <w:pStyle w:val="Heading3"/>
      </w:pPr>
      <w:bookmarkStart w:id="1125" w:name="_Toc647"/>
      <w:r>
        <w:t>استخراج ملح / کیمیا / فارسی</w:t>
      </w:r>
      <w:bookmarkEnd w:id="1125"/>
    </w:p>
    <w:p>
      <w:pPr>
        <w:pStyle w:val="BookText"/>
      </w:pPr>
      <w:r>
        <w:rPr>
          <w:rFonts w:ascii="Times New Roman" w:hAnsi="Times New Roman" w:eastAsia="Times New Roman" w:cs="Times New Roman"/>
          <w:lang w:val="en-US" w:bidi="en-US"/>
          <w:color w:val="111111"/>
          <w:sz w:val="28"/>
          <w:szCs w:val="28"/>
          <w:rtl/>
        </w:rPr>
        <w:t xml:space="preserve">estexrāj-e melh-e še‘r</w:t>
      </w:r>
    </w:p>
    <w:p>
      <w:pPr>
        <w:pStyle w:val="BookText"/>
      </w:pPr>
      <w:r>
        <w:rPr>
          <w:rFonts w:ascii="IRNazanin" w:hAnsi="IRNazanin" w:eastAsia="IRNazanin" w:cs="IRNazanin"/>
          <w:lang w:bidi="fa-IR"/>
          <w:color w:val="111111"/>
          <w:sz w:val="28"/>
          <w:szCs w:val="28"/>
          <w:rtl/>
        </w:rPr>
        <w:t xml:space="preserve">آغاز: بسمله استخراج ملح شعر این است که اختیار کنی سپاه  را و بشنوئی و خشک کنی بعد از آن بمانی</w:t>
      </w:r>
    </w:p>
    <w:p>
      <w:pPr>
        <w:pStyle w:val="BookText"/>
      </w:pPr>
      <w:r>
        <w:rPr>
          <w:rFonts w:ascii="IRNazanin" w:hAnsi="IRNazanin" w:eastAsia="IRNazanin" w:cs="IRNazanin"/>
          <w:lang w:bidi="fa-IR"/>
          <w:color w:val="111111"/>
          <w:sz w:val="28"/>
          <w:szCs w:val="28"/>
          <w:rtl/>
        </w:rPr>
        <w:t xml:space="preserve">انجام: و هرگاه بیندازی بر هر جسدی می گرداند و را ذهـب خالص باذن الله.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ملی؛ شماره نسخه: ۷۱۲۴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خوش، کا: رجبعلی ابن  عبدالله، تا: ۱۲۷۷ق؛ خریداری از امرالله صفری؛ کاغذ: فرنگی نخودی آهار و مهره، جلد: مقوایی روکش تیماج قهوه ای حاشیه  مجدول، گل و بته، ضربی کوبیده، اگ (۷۷ر-۷۷پ) ۱۷ سطر (8</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اندازه: ۱۷/۵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[رایانه]</w:t>
      </w:r>
    </w:p>
    <w:p>
      <w:pPr>
        <w:pStyle w:val="BookText"/>
      </w:pPr>
      <w:r>
        <w:rPr>
          <w:rFonts w:ascii="IRNazanin" w:hAnsi="IRNazanin" w:eastAsia="IRNazanin" w:cs="IRNazanin"/>
          <w:lang w:bidi="fa-IR"/>
          <w:color w:val="111111"/>
          <w:sz w:val="28"/>
          <w:szCs w:val="28"/>
          <w:rtl/>
        </w:rPr>
        <w:t xml:space="preserve">۲. تهران؛ ملک؛ شماره نسخه: ۳۲۸۰/۳۹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شکسته نستعلیق، بی کا، بی تا؛در هامش؛ کاغذ: فرنگی آبی، جلد: میشن قهوه ای مقوایی، اص ،(۷۷ پ)، ۱۶ سطر (محشی)،</w:t>
      </w:r>
    </w:p>
    <w:p>
      <w:pPr>
        <w:pStyle w:val="BookText"/>
      </w:pPr>
      <w:r>
        <w:rPr>
          <w:rFonts w:ascii="IRNazanin" w:hAnsi="IRNazanin" w:eastAsia="IRNazanin" w:cs="IRNazanin"/>
          <w:lang w:bidi="fa-IR"/>
          <w:color w:val="111111"/>
          <w:sz w:val="28"/>
          <w:szCs w:val="28"/>
          <w:rtl/>
        </w:rPr>
        <w:t xml:space="preserve">اندازه: ۱۶/۳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۲۰/۸سم [ف: ۶ - ۳۵۷]</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ملک؛ شماره نسخه: ۳۲۸۰/۴۱</w:t>
      </w:r>
    </w:p>
    <w:p>
      <w:pPr>
        <w:pStyle w:val="BookText"/>
      </w:pPr>
      <w:r>
        <w:rPr>
          <w:rFonts w:ascii="IRNazanin" w:hAnsi="IRNazanin" w:eastAsia="IRNazanin" w:cs="IRNazanin"/>
          <w:lang w:bidi="fa-IR"/>
          <w:color w:val="111111"/>
          <w:sz w:val="28"/>
          <w:szCs w:val="28"/>
          <w:rtl/>
        </w:rPr>
        <w:t xml:space="preserve">خط: شکسته نستعلیق، بی کا، بی تا؛ متن و هامش؛ کاغذ: فرنگی  آبی ،جلد: میشن قهوه ای ،مقوایی ۱ص ،(۷۸ر)، ۱۶ سطر (محشی) سطر، اندازه: ۱۶/۳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۲۰/۸سم [ف: ۶ - ۳۵۷]</w:t>
      </w:r>
    </w:p>
    <w:p>
      <w:pPr>
        <w:pStyle w:val="Heading3"/>
      </w:pPr>
      <w:bookmarkStart w:id="1126" w:name="_Toc648"/>
      <w:r>
        <w:t>استخراج مواليد = استخراج طالع مواليد = شرح  استخراج المواليد / اختربینی / فارسی</w:t>
      </w:r>
      <w:bookmarkEnd w:id="1126"/>
    </w:p>
    <w:p>
      <w:pPr>
        <w:pStyle w:val="BookText"/>
      </w:pPr>
      <w:r>
        <w:rPr>
          <w:rFonts w:ascii="Times New Roman" w:hAnsi="Times New Roman" w:eastAsia="Times New Roman" w:cs="Times New Roman"/>
          <w:lang w:val="en-US" w:bidi="en-US"/>
          <w:color w:val="111111"/>
          <w:sz w:val="28"/>
          <w:szCs w:val="28"/>
          <w:rtl/>
        </w:rPr>
        <w:t xml:space="preserve">estexrāj-e mavālīd = estexrāj-e tāle‘-e mavālīd = š.-e</w:t>
      </w:r>
    </w:p>
    <w:p>
      <w:pPr>
        <w:pStyle w:val="BookText"/>
      </w:pPr>
      <w:r>
        <w:rPr>
          <w:rFonts w:ascii="Times New Roman" w:hAnsi="Times New Roman" w:eastAsia="Times New Roman" w:cs="Times New Roman"/>
          <w:lang w:val="en-US" w:bidi="en-US"/>
          <w:color w:val="111111"/>
          <w:sz w:val="28"/>
          <w:szCs w:val="28"/>
          <w:rtl/>
        </w:rPr>
        <w:t xml:space="preserve">estexrāj-ol mavālīd</w:t>
      </w:r>
    </w:p>
    <w:p>
      <w:pPr>
        <w:pStyle w:val="BookText"/>
      </w:pPr>
      <w:r>
        <w:rPr>
          <w:rFonts w:ascii="IRNazanin" w:hAnsi="IRNazanin" w:eastAsia="IRNazanin" w:cs="IRNazanin"/>
          <w:lang w:bidi="fa-IR"/>
          <w:color w:val="111111"/>
          <w:sz w:val="28"/>
          <w:szCs w:val="28"/>
          <w:rtl/>
        </w:rPr>
        <w:t xml:space="preserve">رساله کوتاهی است در استخراج طالع موالید بر اساس علم اخترشناسی از بطلمیوس، هرمس حکیم و ماشاء الله مصرى نام برده است.</w:t>
      </w:r>
    </w:p>
    <w:p>
      <w:pPr>
        <w:pStyle w:val="BookText"/>
      </w:pPr>
      <w:r>
        <w:rPr>
          <w:rFonts w:ascii="IRNazanin" w:hAnsi="IRNazanin" w:eastAsia="IRNazanin" w:cs="IRNazanin"/>
          <w:lang w:bidi="fa-IR"/>
          <w:color w:val="111111"/>
          <w:sz w:val="28"/>
          <w:szCs w:val="28"/>
          <w:rtl/>
        </w:rPr>
        <w:t xml:space="preserve">آغاز: این مختصریست در استخراج موالید. طریق آنست که خبر دهند منجم را که در چند ساعت از روز یا از شب ولادت افتاد</w:t>
      </w:r>
    </w:p>
    <w:p>
      <w:pPr>
        <w:pStyle w:val="BookText"/>
      </w:pPr>
      <w:r>
        <w:rPr>
          <w:rFonts w:ascii="IRNazanin" w:hAnsi="IRNazanin" w:eastAsia="IRNazanin" w:cs="IRNazanin"/>
          <w:lang w:bidi="fa-IR"/>
          <w:color w:val="111111"/>
          <w:sz w:val="28"/>
          <w:szCs w:val="28"/>
          <w:rtl/>
        </w:rPr>
        <w:t xml:space="preserve">انجام: و کدخداه طلب دارد چنانکه در کتب نجومی گفته اند و احکام طالع از آنجا کنند و الله اعلم.</w:t>
      </w:r>
    </w:p>
    <w:p>
      <w:pPr>
        <w:pStyle w:val="BookText"/>
      </w:pPr>
      <w:r>
        <w:rPr>
          <w:rFonts w:ascii="IRNazanin" w:hAnsi="IRNazanin" w:eastAsia="IRNazanin" w:cs="IRNazanin"/>
          <w:lang w:bidi="fa-IR"/>
          <w:color w:val="111111"/>
          <w:sz w:val="28"/>
          <w:szCs w:val="28"/>
          <w:rtl/>
        </w:rPr>
        <w:t xml:space="preserve">۱. قم؛ مرعشی؛ شماره نسخه: ۱۵۱۲۹/۶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شکسته نستعلیق، بی کا، تا: قرن ۱۲؛ کاغذ: فرنگی، ۵گ (۱۶۱-۱۵۷) ،۱۵ سطر، اندازه: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۳۸ - ۳۹۱]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دانشگاه؛ شماره نسخه: ۳۳۳۷/۱۳</w:t>
      </w:r>
    </w:p>
    <w:p>
      <w:pPr>
        <w:pStyle w:val="BookText"/>
      </w:pPr>
      <w:r>
        <w:rPr>
          <w:rFonts w:ascii="IRNazanin" w:hAnsi="IRNazanin" w:eastAsia="IRNazanin" w:cs="IRNazanin"/>
          <w:lang w:bidi="fa-IR"/>
          <w:color w:val="111111"/>
          <w:sz w:val="28"/>
          <w:szCs w:val="28"/>
          <w:rtl/>
        </w:rPr>
        <w:t xml:space="preserve">آغاز: برابر؛ انجام: و راحت و آسایش تن و جان  والله اعلم بالصواب.</w:t>
      </w:r>
    </w:p>
    <w:p>
      <w:pPr>
        <w:pStyle w:val="BookText"/>
      </w:pPr>
      <w:r>
        <w:rPr>
          <w:rFonts w:ascii="IRNazanin" w:hAnsi="IRNazanin" w:eastAsia="IRNazanin" w:cs="IRNazanin"/>
          <w:lang w:bidi="fa-IR"/>
          <w:color w:val="111111"/>
          <w:sz w:val="28"/>
          <w:szCs w:val="28"/>
          <w:rtl/>
        </w:rPr>
        <w:t xml:space="preserve">در میانه آمده «نقل کرده شد این فائده از خط خواجه نصیرالدین  طوسی» درباره هیلاج و سپس دو فصل است؛ بی کا، بی تا؛کاغذ: سپاهانی، جلد: تیماج  مشکی، ٧گ (۲۲۴-۲۳۰) ۲۷ سطر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۱۱ - ۲۳۲۳]</w:t>
      </w:r>
    </w:p>
    <w:p>
      <w:pPr>
        <w:pStyle w:val="Heading3"/>
      </w:pPr>
      <w:bookmarkStart w:id="1127" w:name="_Toc649"/>
      <w:r>
        <w:t>استخراج موکلات / علوم غریبه / فارسی</w:t>
      </w:r>
      <w:bookmarkEnd w:id="1127"/>
    </w:p>
    <w:p>
      <w:pPr>
        <w:pStyle w:val="BookText"/>
      </w:pPr>
      <w:r>
        <w:rPr>
          <w:rFonts w:ascii="Times New Roman" w:hAnsi="Times New Roman" w:eastAsia="Times New Roman" w:cs="Times New Roman"/>
          <w:lang w:val="en-US" w:bidi="en-US"/>
          <w:color w:val="111111"/>
          <w:sz w:val="28"/>
          <w:szCs w:val="28"/>
          <w:rtl/>
        </w:rPr>
        <w:t xml:space="preserve">estexrāj-e movakkelāt</w:t>
      </w:r>
    </w:p>
    <w:p>
      <w:pPr>
        <w:pStyle w:val="BookText"/>
      </w:pPr>
      <w:r>
        <w:rPr>
          <w:rFonts w:ascii="IRNazanin" w:hAnsi="IRNazanin" w:eastAsia="IRNazanin" w:cs="IRNazanin"/>
          <w:lang w:bidi="fa-IR"/>
          <w:color w:val="111111"/>
          <w:sz w:val="28"/>
          <w:szCs w:val="28"/>
          <w:rtl/>
        </w:rPr>
        <w:t xml:space="preserve">جفری  رومی ،علی ق ۱۰ قمری</w:t>
      </w:r>
    </w:p>
    <w:p>
      <w:pPr>
        <w:pStyle w:val="BookText"/>
      </w:pPr>
      <w:r>
        <w:rPr>
          <w:rFonts w:ascii="Times New Roman" w:hAnsi="Times New Roman" w:eastAsia="Times New Roman" w:cs="Times New Roman"/>
          <w:lang w:val="en-US" w:bidi="en-US"/>
          <w:color w:val="111111"/>
          <w:sz w:val="28"/>
          <w:szCs w:val="28"/>
          <w:rtl/>
        </w:rPr>
        <w:t xml:space="preserve">estexrāj-e movakkelāt</w:t>
      </w:r>
    </w:p>
    <w:p>
      <w:pPr>
        <w:pStyle w:val="BookText"/>
      </w:pPr>
      <w:r>
        <w:rPr>
          <w:rFonts w:ascii="Times New Roman" w:hAnsi="Times New Roman" w:eastAsia="Times New Roman" w:cs="Times New Roman"/>
          <w:lang w:val="en-US" w:bidi="en-US"/>
          <w:color w:val="111111"/>
          <w:sz w:val="28"/>
          <w:szCs w:val="28"/>
          <w:rtl/>
        </w:rPr>
        <w:t xml:space="preserve">(jafrī rūmī, alī (- 16c)</w:t>
      </w:r>
    </w:p>
    <w:p>
      <w:pPr>
        <w:pStyle w:val="BookText"/>
      </w:pPr>
      <w:r>
        <w:rPr>
          <w:rFonts w:ascii="IRNazanin" w:hAnsi="IRNazanin" w:eastAsia="IRNazanin" w:cs="IRNazanin"/>
          <w:lang w:bidi="fa-IR"/>
          <w:color w:val="111111"/>
          <w:sz w:val="28"/>
          <w:szCs w:val="28"/>
          <w:rtl/>
        </w:rPr>
        <w:t xml:space="preserve">در ترکیب یک حروف و دو حرف بائیل و ساختن اسمی از آن بیان شده است و چون ایل (=ئیل) از اسماء الله است و می توان از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76" w:name="pg20365_260259"/>
    <w:bookmarkEnd w:id="176"/>
    <w:p>
      <w:pPr>
        <w:pStyle w:val="BookText"/>
      </w:pPr>
      <w:r>
        <w:rPr>
          <w:rFonts w:ascii="IRNazanin" w:hAnsi="IRNazanin" w:eastAsia="IRNazanin" w:cs="IRNazanin"/>
          <w:lang w:bidi="fa-IR"/>
          <w:color w:val="111111"/>
          <w:sz w:val="28"/>
          <w:szCs w:val="28"/>
          <w:rtl/>
        </w:rPr>
        <w:t xml:space="preserve">آن در مسائل خفيه استفادت سرشار كرد. مطالب آن از تركيب « الف» شروع می شود و پس از تركيب موكل الف يك يك مطالب ديگر مي آيد تا به «یا» رسد نویسنده پس از این مقدمه ضمن فصلی مي گويد چون الغ بيك عاری از من خواست كه خاصيت اسماء عظام و حروف و اسماء ملائكه و جن را به قانون جفر نويسم من به قدر وسع خود اين رساله را فراهم آورم. اومی گويد حروف به اجزاء بدن انسان تقسيم مي شود و بعد يك يك حروف را با اعضا ء آدمي تطبيق مي كند كه كتاب حاضر حاكی از اين تطبيقات است.</w:t>
      </w:r>
    </w:p>
    <w:p>
      <w:pPr>
        <w:pStyle w:val="BookText"/>
      </w:pPr>
      <w:r>
        <w:rPr>
          <w:rFonts w:ascii="IRNazanin" w:hAnsi="IRNazanin" w:eastAsia="IRNazanin" w:cs="IRNazanin"/>
          <w:lang w:bidi="fa-IR"/>
          <w:color w:val="111111"/>
          <w:sz w:val="28"/>
          <w:szCs w:val="28"/>
          <w:rtl/>
        </w:rPr>
        <w:t xml:space="preserve">تهران؛ ملی؛ شماره نسخه: 29/ 2706</w:t>
      </w:r>
    </w:p>
    <w:p>
      <w:pPr>
        <w:pStyle w:val="BookText"/>
      </w:pPr>
      <w:r>
        <w:rPr>
          <w:rFonts w:ascii="IRNazanin" w:hAnsi="IRNazanin" w:eastAsia="IRNazanin" w:cs="IRNazanin"/>
          <w:lang w:bidi="fa-IR"/>
          <w:color w:val="111111"/>
          <w:sz w:val="28"/>
          <w:szCs w:val="28"/>
          <w:rtl/>
        </w:rPr>
        <w:t xml:space="preserve">آغاز: بسمله و به نستعين، در بيان استخراج موكلات حروف تهيجی بدانكه ... باعراب و درجه و حروف تهيجی تعيين كنيم؛</w:t>
      </w:r>
    </w:p>
    <w:p>
      <w:pPr>
        <w:pStyle w:val="BookText"/>
      </w:pPr>
      <w:r>
        <w:rPr>
          <w:rFonts w:ascii="IRNazanin" w:hAnsi="IRNazanin" w:eastAsia="IRNazanin" w:cs="IRNazanin"/>
          <w:lang w:bidi="fa-IR"/>
          <w:color w:val="111111"/>
          <w:sz w:val="28"/>
          <w:szCs w:val="28"/>
          <w:rtl/>
        </w:rPr>
        <w:t xml:space="preserve">انجام: كه خلاص سازی آن ميخ را از صورت بكش و آنرا خراب كن كه خلاص مي شود باذن الله تعالی</w:t>
      </w:r>
    </w:p>
    <w:p>
      <w:pPr>
        <w:pStyle w:val="BookText"/>
      </w:pPr>
      <w:r>
        <w:rPr>
          <w:rFonts w:ascii="IRNazanin" w:hAnsi="IRNazanin" w:eastAsia="IRNazanin" w:cs="IRNazanin"/>
          <w:lang w:bidi="fa-IR"/>
          <w:color w:val="111111"/>
          <w:sz w:val="28"/>
          <w:szCs w:val="28"/>
          <w:rtl/>
        </w:rPr>
        <w:t xml:space="preserve">بی كا، تا: قرن ۱۳ ، بياض؛ كاغذ: فرنگی، جلد: تيماج، مشكی، یک رو، 5ص( 22- 18) ، 27سطر(7/5</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اندازه: ۱۰ </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سم[ ف: 6- 308]</w:t>
      </w:r>
    </w:p>
    <w:p>
      <w:pPr>
        <w:pStyle w:val="Heading3"/>
      </w:pPr>
      <w:bookmarkStart w:id="1128" w:name="_Toc650"/>
      <w:r>
        <w:t>استخراج مولد النبی(صلّی اللَّهِ علیه وَ آلِهِ وَ سَلَّمَ )/ تاریخ پیامبر(صلّی اللَّهِ علیه وَ آلِهِ وَ سَلَّمَ )/ عربی</w:t>
      </w:r>
      <w:bookmarkEnd w:id="1128"/>
    </w:p>
    <w:p>
      <w:pPr>
        <w:pStyle w:val="BookText"/>
      </w:pPr>
      <w:r>
        <w:rPr>
          <w:rFonts w:ascii="Times New Roman" w:hAnsi="Times New Roman" w:eastAsia="Times New Roman" w:cs="Times New Roman"/>
          <w:lang w:val="en-US" w:bidi="en-US"/>
          <w:color w:val="111111"/>
          <w:sz w:val="28"/>
          <w:szCs w:val="28"/>
          <w:rtl/>
        </w:rPr>
        <w:t xml:space="preserve">istixrāj-u mawlid-in nabī</w:t>
      </w:r>
    </w:p>
    <w:p>
      <w:pPr>
        <w:pStyle w:val="BookText"/>
      </w:pPr>
      <w:r>
        <w:rPr>
          <w:rFonts w:ascii="IRNazanin" w:hAnsi="IRNazanin" w:eastAsia="IRNazanin" w:cs="IRNazanin"/>
          <w:lang w:bidi="fa-IR"/>
          <w:color w:val="111111"/>
          <w:sz w:val="28"/>
          <w:szCs w:val="28"/>
          <w:rtl/>
        </w:rPr>
        <w:t xml:space="preserve">مؤلف که از رجال قرن ۱۳ ق و ساكن هند بوده است، در اين عجاله بر حسب محاسبه نجومی و معتقدات روايت كلينی، تاريخ صحيح ولادت پيامبر و وفات آن حضرت را استخراج نموده، به عنوان مثال: جمعه ۱۲ ربيع الاول برابر با ۲۵ آوريل ۵۷۱ ميلادی ۱۳ نيسان ۸۸۶ رومی می باشد. همچنين روز شهادت حضرت امام حسين (علیه السّلام) را استخراج نموده است.</w:t>
      </w:r>
    </w:p>
    <w:p>
      <w:pPr>
        <w:pStyle w:val="BookText"/>
      </w:pPr>
      <w:r>
        <w:rPr>
          <w:rFonts w:ascii="IRNazanin" w:hAnsi="IRNazanin" w:eastAsia="IRNazanin" w:cs="IRNazanin"/>
          <w:lang w:bidi="fa-IR"/>
          <w:color w:val="111111"/>
          <w:sz w:val="28"/>
          <w:szCs w:val="28"/>
          <w:rtl/>
        </w:rPr>
        <w:t xml:space="preserve">مشهد؛ رضوی؛ شماره نسخه: ۱۹۱</w:t>
      </w:r>
    </w:p>
    <w:p>
      <w:pPr>
        <w:pStyle w:val="BookText"/>
      </w:pPr>
      <w:r>
        <w:rPr>
          <w:rFonts w:ascii="Amiri" w:hAnsi="Amiri" w:eastAsia="Amiri" w:cs="Amiri"/>
          <w:lang w:bidi="ar-SA"/>
          <w:color w:val="111111"/>
          <w:sz w:val="28"/>
          <w:szCs w:val="28"/>
          <w:rtl/>
        </w:rPr>
        <w:t xml:space="preserve">آغاز: بسمله. در تذكره جليله في تحقيق مولد المقدس النبوي عليه آلاف التحية و الثناء؛ انجام: ازاء اكتوبر له باقي ۲۰ روز اكتوبر ۶ هاك تمت الكتابه</w:t>
      </w:r>
    </w:p>
    <w:p>
      <w:pPr>
        <w:pStyle w:val="BookText"/>
      </w:pPr>
      <w:r>
        <w:rPr>
          <w:rFonts w:ascii="IRNazanin" w:hAnsi="IRNazanin" w:eastAsia="IRNazanin" w:cs="IRNazanin"/>
          <w:lang w:bidi="fa-IR"/>
          <w:color w:val="111111"/>
          <w:sz w:val="28"/>
          <w:szCs w:val="28"/>
          <w:rtl/>
        </w:rPr>
        <w:t xml:space="preserve">خط: نستعليق خوش، بی كا، تا: قرن ۱۳ ؛ اهدايی: رهبری، فروردين ۱۳۷۲ ؛ كاغذ: نخودی آهار مهره، جلد: مقوا، ۵گ، مختلف السطر ، اندازه: 15/5</w:t>
      </w:r>
      <w:r>
        <w:rPr>
          <w:rFonts w:ascii="Times New Roman" w:hAnsi="Times New Roman" w:eastAsia="Times New Roman" w:cs="Times New Roman"/>
          <w:lang w:val="en-US" w:bidi="en-US"/>
          <w:color w:val="111111"/>
          <w:sz w:val="28"/>
          <w:szCs w:val="28"/>
          <w:rtl/>
        </w:rPr>
        <w:t xml:space="preserve">×25 </w:t>
      </w:r>
      <w:r>
        <w:rPr>
          <w:rFonts w:ascii="IRNazanin" w:hAnsi="IRNazanin" w:eastAsia="IRNazanin" w:cs="IRNazanin"/>
          <w:lang w:bidi="fa-IR"/>
          <w:color w:val="111111"/>
          <w:sz w:val="28"/>
          <w:szCs w:val="28"/>
          <w:rtl/>
        </w:rPr>
        <w:t xml:space="preserve">سم[اهدائی رهبر: 2 اخبار 1- 97]</w:t>
      </w:r>
    </w:p>
    <w:p>
      <w:pPr>
        <w:pStyle w:val="Heading3"/>
      </w:pPr>
      <w:bookmarkStart w:id="1129" w:name="_Toc651"/>
      <w:r>
        <w:t>استخراج مولود محمد بن حسن قمی/ طالع بینی/ فارسی</w:t>
      </w:r>
      <w:bookmarkEnd w:id="1129"/>
    </w:p>
    <w:p>
      <w:pPr>
        <w:pStyle w:val="BookText"/>
      </w:pPr>
      <w:r>
        <w:rPr>
          <w:rFonts w:ascii="Times New Roman" w:hAnsi="Times New Roman" w:eastAsia="Times New Roman" w:cs="Times New Roman"/>
          <w:lang w:val="en-US" w:bidi="en-US"/>
          <w:color w:val="111111"/>
          <w:sz w:val="28"/>
          <w:szCs w:val="28"/>
          <w:rtl/>
        </w:rPr>
        <w:t xml:space="preserve">estexrāj-e mowlūd-e mohammad ebn-e hasan-e qomī</w:t>
      </w:r>
    </w:p>
    <w:p>
      <w:pPr>
        <w:pStyle w:val="BookText"/>
      </w:pPr>
      <w:r>
        <w:rPr>
          <w:rFonts w:ascii="IRNazanin" w:hAnsi="IRNazanin" w:eastAsia="IRNazanin" w:cs="IRNazanin"/>
          <w:lang w:bidi="fa-IR"/>
          <w:color w:val="111111"/>
          <w:sz w:val="28"/>
          <w:szCs w:val="28"/>
          <w:rtl/>
        </w:rPr>
        <w:t xml:space="preserve">رضي الدين استرآبادی، محمد بن حسن، - ۶۸۶ ؟ قمری</w:t>
      </w:r>
    </w:p>
    <w:p>
      <w:pPr>
        <w:pStyle w:val="BookText"/>
      </w:pPr>
      <w:r>
        <w:rPr>
          <w:rFonts w:ascii="Times New Roman" w:hAnsi="Times New Roman" w:eastAsia="Times New Roman" w:cs="Times New Roman"/>
          <w:lang w:val="en-US" w:bidi="en-US"/>
          <w:color w:val="111111"/>
          <w:sz w:val="28"/>
          <w:szCs w:val="28"/>
          <w:rtl/>
        </w:rPr>
        <w:t xml:space="preserve">razī-yod dīn estarābādī </w:t>
      </w:r>
      <w:r>
        <w:rPr>
          <w:rFonts w:ascii="IRNazanin" w:hAnsi="IRNazanin" w:eastAsia="IRNazanin" w:cs="IRNazanin"/>
          <w:lang w:bidi="fa-IR"/>
          <w:color w:val="111111"/>
          <w:sz w:val="28"/>
          <w:szCs w:val="28"/>
          <w:rtl/>
        </w:rPr>
        <w:t xml:space="preserve">،</w:t>
      </w:r>
      <w:r>
        <w:rPr>
          <w:rFonts w:ascii="Times New Roman" w:hAnsi="Times New Roman" w:eastAsia="Times New Roman" w:cs="Times New Roman"/>
          <w:lang w:val="en-US" w:bidi="en-US"/>
          <w:color w:val="111111"/>
          <w:sz w:val="28"/>
          <w:szCs w:val="28"/>
          <w:rtl/>
        </w:rPr>
        <w:t xml:space="preserve">mohammad bn-e hasan (-</w:t>
      </w:r>
    </w:p>
    <w:p>
      <w:pPr>
        <w:pStyle w:val="BookText"/>
      </w:pPr>
      <w:r>
        <w:rPr>
          <w:rFonts w:ascii="Times New Roman" w:hAnsi="Times New Roman" w:eastAsia="Times New Roman" w:cs="Times New Roman"/>
          <w:lang w:val="en-US" w:bidi="en-US"/>
          <w:color w:val="111111"/>
          <w:sz w:val="28"/>
          <w:szCs w:val="28"/>
          <w:rtl/>
        </w:rPr>
        <w:t xml:space="preserve">(1288)</w:t>
      </w:r>
    </w:p>
    <w:p>
      <w:pPr>
        <w:pStyle w:val="BookText"/>
      </w:pPr>
      <w:r>
        <w:rPr>
          <w:rFonts w:ascii="Amiri" w:hAnsi="Amiri" w:eastAsia="Amiri" w:cs="Amiri"/>
          <w:lang w:bidi="ar-SA"/>
          <w:color w:val="111111"/>
          <w:sz w:val="28"/>
          <w:szCs w:val="28"/>
          <w:rtl/>
        </w:rPr>
        <w:t xml:space="preserve">تاريخ تأليف: ۲۲ رمضان ۶۵۴ ق؛ محل تأليف: استرآباد</w:t>
      </w:r>
    </w:p>
    <w:p>
      <w:pPr>
        <w:pStyle w:val="BookText"/>
      </w:pPr>
      <w:r>
        <w:rPr>
          <w:rFonts w:ascii="IRNazanin" w:hAnsi="IRNazanin" w:eastAsia="IRNazanin" w:cs="IRNazanin"/>
          <w:lang w:bidi="fa-IR"/>
          <w:color w:val="111111"/>
          <w:sz w:val="28"/>
          <w:szCs w:val="28"/>
          <w:rtl/>
        </w:rPr>
        <w:t xml:space="preserve">استخراج مولود محمد بن حسن قمی است از خود او  گویا او پسر نظام الدین حسن بن محمد نیشابوری قمی شارح زیج خواجه  نصیر طوسی به نام «کشف الهياكل» است.</w:t>
      </w:r>
    </w:p>
    <w:p>
      <w:pPr>
        <w:pStyle w:val="BookText"/>
      </w:pPr>
      <w:r>
        <w:rPr>
          <w:rFonts w:ascii="IRNazanin" w:hAnsi="IRNazanin" w:eastAsia="IRNazanin" w:cs="IRNazanin"/>
          <w:lang w:bidi="fa-IR"/>
          <w:color w:val="111111"/>
          <w:sz w:val="28"/>
          <w:szCs w:val="28"/>
          <w:rtl/>
        </w:rPr>
        <w:t xml:space="preserve">تهران؛ دانشگاه؛ شماره نسخه: ۱۳۲۸/۶-ف</w:t>
      </w:r>
    </w:p>
    <w:p>
      <w:pPr>
        <w:pStyle w:val="BookText"/>
      </w:pPr>
      <w:r>
        <w:rPr>
          <w:rFonts w:ascii="IRNazanin" w:hAnsi="IRNazanin" w:eastAsia="IRNazanin" w:cs="IRNazanin"/>
          <w:lang w:bidi="fa-IR"/>
          <w:color w:val="111111"/>
          <w:sz w:val="28"/>
          <w:szCs w:val="28"/>
          <w:rtl/>
        </w:rPr>
        <w:t xml:space="preserve">نسخه اصل: پاریس 1488.</w:t>
      </w:r>
      <w:r>
        <w:rPr>
          <w:rFonts w:ascii="Times New Roman" w:hAnsi="Times New Roman" w:eastAsia="Times New Roman" w:cs="Times New Roman"/>
          <w:lang w:val="en-US" w:bidi="en-US"/>
          <w:color w:val="111111"/>
          <w:sz w:val="28"/>
          <w:szCs w:val="28"/>
          <w:rtl/>
        </w:rPr>
        <w:t xml:space="preserve">s .p</w:t>
      </w:r>
      <w:r>
        <w:rPr>
          <w:rFonts w:ascii="IRNazanin" w:hAnsi="IRNazanin" w:eastAsia="IRNazanin" w:cs="IRNazanin"/>
          <w:lang w:bidi="fa-IR"/>
          <w:color w:val="111111"/>
          <w:sz w:val="28"/>
          <w:szCs w:val="28"/>
          <w:rtl/>
        </w:rPr>
        <w:t xml:space="preserve">؛ بی کا، بی تا</w:t>
      </w: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فیلمها-ف: ۱- ۵۹۶]</w:t>
      </w:r>
    </w:p>
    <w:p>
      <w:pPr>
        <w:pStyle w:val="Heading3"/>
      </w:pPr>
      <w:bookmarkStart w:id="1130" w:name="_Toc652"/>
      <w:r>
        <w:t>استخراج نام معین الدین محمد / جفر / فارسی</w:t>
      </w:r>
      <w:bookmarkEnd w:id="1130"/>
    </w:p>
    <w:p>
      <w:pPr>
        <w:pStyle w:val="BookText"/>
      </w:pPr>
      <w:r>
        <w:rPr>
          <w:rFonts w:ascii="Times New Roman" w:hAnsi="Times New Roman" w:eastAsia="Times New Roman" w:cs="Times New Roman"/>
          <w:lang w:val="en-US" w:bidi="en-US"/>
          <w:color w:val="111111"/>
          <w:sz w:val="28"/>
          <w:szCs w:val="28"/>
          <w:rtl/>
        </w:rPr>
        <w:t xml:space="preserve">estexrāj-e nām-e mo‘in-od-din mohammad</w:t>
      </w:r>
    </w:p>
    <w:p>
      <w:pPr>
        <w:pStyle w:val="BookText"/>
      </w:pPr>
      <w:r>
        <w:rPr>
          <w:rFonts w:ascii="IRNazanin" w:hAnsi="IRNazanin" w:eastAsia="IRNazanin" w:cs="IRNazanin"/>
          <w:lang w:bidi="fa-IR"/>
          <w:color w:val="111111"/>
          <w:sz w:val="28"/>
          <w:szCs w:val="28"/>
          <w:rtl/>
        </w:rPr>
        <w:t xml:space="preserve">مؤلف مدعی است که نام هر شخصی با یکی از اسماء اعظم توافق دارد که به چند طریق آن را می توان استخراج کرد و برای مبتدئين نام «ابوالقاسم معین الدین محمد» را به طریق رشف (از طرق علم جفر) استخراج کرده است.</w:t>
      </w:r>
    </w:p>
    <w:p>
      <w:pPr>
        <w:pStyle w:val="BookText"/>
      </w:pPr>
      <w:r>
        <w:rPr>
          <w:rFonts w:ascii="IRNazanin" w:hAnsi="IRNazanin" w:eastAsia="IRNazanin" w:cs="IRNazanin"/>
          <w:lang w:bidi="fa-IR"/>
          <w:color w:val="111111"/>
          <w:sz w:val="28"/>
          <w:szCs w:val="28"/>
          <w:rtl/>
        </w:rPr>
        <w:t xml:space="preserve">آغاز: بسمله حمد لك. يامن وسع عطاؤك ... اما بعد بر ضمير منیر تنویر اصحاب خبرت و ارباب بصیرت مخفی نخواهد بود که هر چه مصور غرائب بدایع مصنوعات و مبدع عجائب ماهيئت .... مکشوف نداشته اند ... چنین فهمیده اند که هر فرد از افراد انسانی چند اسم از اسماء الهی بعناوین مختلفه ... می فرمایند</w:t>
      </w:r>
    </w:p>
    <w:p>
      <w:pPr>
        <w:pStyle w:val="BookText"/>
      </w:pPr>
      <w:r>
        <w:rPr>
          <w:rFonts w:ascii="IRNazanin" w:hAnsi="IRNazanin" w:eastAsia="IRNazanin" w:cs="IRNazanin"/>
          <w:lang w:bidi="fa-IR"/>
          <w:color w:val="111111"/>
          <w:sz w:val="28"/>
          <w:szCs w:val="28"/>
          <w:rtl/>
        </w:rPr>
        <w:t xml:space="preserve">۱. تهران؛ ملک؛ شماره نسخه: ۴۶۴۹/۲</w:t>
      </w:r>
    </w:p>
    <w:p>
      <w:pPr>
        <w:pStyle w:val="BookText"/>
      </w:pPr>
      <w:r>
        <w:rPr>
          <w:rFonts w:ascii="IRNazanin" w:hAnsi="IRNazanin" w:eastAsia="IRNazanin" w:cs="IRNazanin"/>
          <w:lang w:bidi="fa-IR"/>
          <w:color w:val="111111"/>
          <w:sz w:val="28"/>
          <w:szCs w:val="28"/>
          <w:rtl/>
        </w:rPr>
        <w:t xml:space="preserve">آغاز: برابر؛ انجام: تا مقصود علی حسب المرام حاصل گردد و الله الموفق جدول اینست (جدول ندارد)</w:t>
      </w:r>
    </w:p>
    <w:p>
      <w:pPr>
        <w:pStyle w:val="BookText"/>
      </w:pPr>
      <w:r>
        <w:rPr>
          <w:rFonts w:ascii="IRNazanin" w:hAnsi="IRNazanin" w:eastAsia="IRNazanin" w:cs="IRNazanin"/>
          <w:lang w:bidi="fa-IR"/>
          <w:color w:val="111111"/>
          <w:sz w:val="28"/>
          <w:szCs w:val="28"/>
          <w:rtl/>
        </w:rPr>
        <w:t xml:space="preserve">در فهرست با عنوان «رساله» آمده و نام از فهرست مرعشی است؛</w:t>
      </w:r>
    </w:p>
    <w:p>
      <w:pPr>
        <w:pStyle w:val="BookText"/>
      </w:pPr>
      <w:r>
        <w:rPr>
          <w:rFonts w:ascii="IRNazanin" w:hAnsi="IRNazanin" w:eastAsia="IRNazanin" w:cs="IRNazanin"/>
          <w:lang w:bidi="fa-IR"/>
          <w:color w:val="111111"/>
          <w:sz w:val="28"/>
          <w:szCs w:val="28"/>
          <w:rtl/>
        </w:rPr>
        <w:t xml:space="preserve">خط: نسخ، بی کا، تا: قرن ۱۱ [ف: ۷ - ۴۴۹  ]</w:t>
      </w:r>
    </w:p>
    <w:p>
      <w:pPr>
        <w:pStyle w:val="BookText"/>
      </w:pPr>
      <w:r>
        <w:rPr>
          <w:rFonts w:ascii="IRNazanin" w:hAnsi="IRNazanin" w:eastAsia="IRNazanin" w:cs="IRNazanin"/>
          <w:lang w:bidi="fa-IR"/>
          <w:color w:val="111111"/>
          <w:sz w:val="28"/>
          <w:szCs w:val="28"/>
          <w:rtl/>
        </w:rPr>
        <w:t xml:space="preserve">۲. قم؛ مرعشی؛ شماره نسخه: ۵۵۸۴/۱</w:t>
      </w:r>
    </w:p>
    <w:p>
      <w:pPr>
        <w:pStyle w:val="BookText"/>
      </w:pPr>
      <w:r>
        <w:rPr>
          <w:rFonts w:ascii="Amiri" w:hAnsi="Amiri" w:eastAsia="Amiri" w:cs="Amiri"/>
          <w:lang w:bidi="ar-SA"/>
          <w:color w:val="111111"/>
          <w:sz w:val="28"/>
          <w:szCs w:val="28"/>
          <w:rtl/>
        </w:rPr>
        <w:t xml:space="preserve">آغاز: برابر؛ انجام: عدل متكبر متين وارث موجود</w:t>
      </w:r>
    </w:p>
    <w:p>
      <w:pPr>
        <w:pStyle w:val="BookText"/>
      </w:pPr>
      <w:r>
        <w:rPr>
          <w:rFonts w:ascii="IRNazanin" w:hAnsi="IRNazanin" w:eastAsia="IRNazanin" w:cs="IRNazanin"/>
          <w:lang w:bidi="fa-IR"/>
          <w:color w:val="111111"/>
          <w:sz w:val="28"/>
          <w:szCs w:val="28"/>
          <w:rtl/>
        </w:rPr>
        <w:t xml:space="preserve">خط: نستعلیق، بی کا، تا: ۱۱۰۱ق؛ دارای اشکال هندسی؛ جلد: تیماج قهوه ای ۶گ (۱پ -۶ پ)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۱۴-۳۴۶]</w:t>
      </w:r>
    </w:p>
    <w:p>
      <w:pPr>
        <w:pStyle w:val="Heading3"/>
      </w:pPr>
      <w:bookmarkStart w:id="1131" w:name="_Toc653"/>
      <w:r>
        <w:t>استخراج نامها / رمل / فارسی</w:t>
      </w:r>
      <w:bookmarkEnd w:id="1131"/>
    </w:p>
    <w:p>
      <w:pPr>
        <w:pStyle w:val="BookText"/>
      </w:pPr>
      <w:r>
        <w:rPr>
          <w:rFonts w:ascii="Times New Roman" w:hAnsi="Times New Roman" w:eastAsia="Times New Roman" w:cs="Times New Roman"/>
          <w:lang w:val="en-US" w:bidi="en-US"/>
          <w:color w:val="111111"/>
          <w:sz w:val="28"/>
          <w:szCs w:val="28"/>
          <w:rtl/>
        </w:rPr>
        <w:t xml:space="preserve">estexrāj-e nām-hā</w:t>
      </w:r>
    </w:p>
    <w:p>
      <w:pPr>
        <w:pStyle w:val="BookText"/>
      </w:pPr>
      <w:r>
        <w:rPr>
          <w:rFonts w:ascii="IRNazanin" w:hAnsi="IRNazanin" w:eastAsia="IRNazanin" w:cs="IRNazanin"/>
          <w:lang w:bidi="fa-IR"/>
          <w:color w:val="111111"/>
          <w:sz w:val="28"/>
          <w:szCs w:val="28"/>
          <w:rtl/>
        </w:rPr>
        <w:t xml:space="preserve">قم؛ زنجانی (آیة الله)؛ شماره نسخه: ۹۹/۲</w:t>
      </w:r>
    </w:p>
    <w:p>
      <w:pPr>
        <w:pStyle w:val="BookText"/>
      </w:pPr>
      <w:r>
        <w:rPr>
          <w:rFonts w:ascii="IRNazanin" w:hAnsi="IRNazanin" w:eastAsia="IRNazanin" w:cs="IRNazanin"/>
          <w:lang w:bidi="fa-IR"/>
          <w:color w:val="111111"/>
          <w:sz w:val="28"/>
          <w:szCs w:val="28"/>
          <w:rtl/>
        </w:rPr>
        <w:t xml:space="preserve">آغاز: بسمله نکته استخراج اسامی آن که منتهی و شرح و تفسیر وتاویل هر یک حرف او را معلوم</w:t>
      </w:r>
    </w:p>
    <w:p>
      <w:pPr>
        <w:pStyle w:val="BookText"/>
      </w:pPr>
      <w:r>
        <w:rPr>
          <w:rFonts w:ascii="IRNazanin" w:hAnsi="IRNazanin" w:eastAsia="IRNazanin" w:cs="IRNazanin"/>
          <w:lang w:bidi="fa-IR"/>
          <w:color w:val="111111"/>
          <w:sz w:val="28"/>
          <w:szCs w:val="28"/>
          <w:rtl/>
        </w:rPr>
        <w:t xml:space="preserve">خط: نستعلیق، بی کا، بی تا؛ ۳۲گ (9ر- 40پ)، قطع: بیاض رقعی  [چند نسخه-ف: ۲۳۳]</w:t>
      </w:r>
    </w:p>
    <w:p>
      <w:pPr>
        <w:pStyle w:val="Heading3"/>
      </w:pPr>
      <w:bookmarkStart w:id="1132" w:name="_Toc654"/>
      <w:r>
        <w:t>استخراج نصف النهار / هيئت</w:t>
      </w:r>
      <w:bookmarkEnd w:id="1132"/>
    </w:p>
    <w:p>
      <w:pPr>
        <w:pStyle w:val="BookText"/>
      </w:pPr>
      <w:r>
        <w:rPr>
          <w:rFonts w:ascii="Times New Roman" w:hAnsi="Times New Roman" w:eastAsia="Times New Roman" w:cs="Times New Roman"/>
          <w:lang w:val="en-US" w:bidi="en-US"/>
          <w:color w:val="111111"/>
          <w:sz w:val="28"/>
          <w:szCs w:val="28"/>
          <w:rtl/>
        </w:rPr>
        <w:t xml:space="preserve">estexrāj-e nesf-on-nahār</w:t>
      </w:r>
    </w:p>
    <w:p>
      <w:pPr>
        <w:pStyle w:val="BookText"/>
      </w:pPr>
      <w:r>
        <w:rPr>
          <w:rFonts w:ascii="IRNazanin" w:hAnsi="IRNazanin" w:eastAsia="IRNazanin" w:cs="IRNazanin"/>
          <w:lang w:bidi="fa-IR"/>
          <w:color w:val="111111"/>
          <w:sz w:val="28"/>
          <w:szCs w:val="28"/>
          <w:rtl/>
        </w:rPr>
        <w:t xml:space="preserve">تهران؛ مجلس؛ شماره نسخه: ۶۱۲۵/۱۰</w:t>
      </w:r>
    </w:p>
    <w:p>
      <w:pPr>
        <w:pStyle w:val="BookText"/>
      </w:pPr>
      <w:r>
        <w:rPr>
          <w:rFonts w:ascii="IRNazanin" w:hAnsi="IRNazanin" w:eastAsia="IRNazanin" w:cs="IRNazanin"/>
          <w:lang w:bidi="fa-IR"/>
          <w:color w:val="111111"/>
          <w:sz w:val="28"/>
          <w:szCs w:val="28"/>
          <w:rtl/>
        </w:rPr>
        <w:t xml:space="preserve">بی کا ، بی تا؛ کاغذ: ترکی و فرنگی، جلد: تیماج مشکی یک لا،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77" w:name="pg20365_260260"/>
    <w:bookmarkEnd w:id="177"/>
    <w:p>
      <w:pPr>
        <w:pStyle w:val="BookText"/>
      </w:pPr>
      <w:r>
        <w:rPr>
          <w:rFonts w:ascii="IRNazanin" w:hAnsi="IRNazanin" w:eastAsia="IRNazanin" w:cs="IRNazanin"/>
          <w:lang w:bidi="fa-IR"/>
          <w:color w:val="111111"/>
          <w:sz w:val="28"/>
          <w:szCs w:val="28"/>
          <w:rtl/>
        </w:rPr>
        <w:t xml:space="preserve">۲۸۵ ص، قطع: خشتی، اندازه: ۱۶/۵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۲۲/۵سم [ف ۱۹ - ۱۲۳]</w:t>
      </w:r>
    </w:p>
    <w:p>
      <w:pPr>
        <w:pStyle w:val="Heading3"/>
      </w:pPr>
      <w:bookmarkStart w:id="1133" w:name="_Toc655"/>
      <w:r>
        <w:t>استخراج وتر ثلث قوس از وتر قوس / ریاضیات /  فارسی</w:t>
      </w:r>
      <w:bookmarkEnd w:id="1133"/>
    </w:p>
    <w:p>
      <w:pPr>
        <w:pStyle w:val="BookText"/>
      </w:pPr>
      <w:r>
        <w:rPr>
          <w:rFonts w:ascii="Times New Roman" w:hAnsi="Times New Roman" w:eastAsia="Times New Roman" w:cs="Times New Roman"/>
          <w:lang w:val="en-US" w:bidi="en-US"/>
          <w:color w:val="111111"/>
          <w:sz w:val="28"/>
          <w:szCs w:val="28"/>
          <w:rtl/>
        </w:rPr>
        <w:t xml:space="preserve">estexrāj-e vatar-e sols-e qows az vatar-e qows</w:t>
      </w:r>
    </w:p>
    <w:p>
      <w:pPr>
        <w:pStyle w:val="BookText"/>
      </w:pPr>
      <w:r>
        <w:rPr>
          <w:rFonts w:ascii="IRNazanin" w:hAnsi="IRNazanin" w:eastAsia="IRNazanin" w:cs="IRNazanin"/>
          <w:lang w:bidi="fa-IR"/>
          <w:color w:val="111111"/>
          <w:sz w:val="28"/>
          <w:szCs w:val="28"/>
          <w:rtl/>
        </w:rPr>
        <w:t xml:space="preserve">نراقی، ابوتراب بن احمد، ق ۱۳ قمری</w:t>
      </w:r>
    </w:p>
    <w:p>
      <w:pPr>
        <w:pStyle w:val="BookText"/>
      </w:pPr>
      <w:r>
        <w:rPr>
          <w:rFonts w:ascii="Times New Roman" w:hAnsi="Times New Roman" w:eastAsia="Times New Roman" w:cs="Times New Roman"/>
          <w:lang w:val="en-US" w:bidi="en-US"/>
          <w:color w:val="111111"/>
          <w:sz w:val="28"/>
          <w:szCs w:val="28"/>
          <w:rtl/>
        </w:rPr>
        <w:t xml:space="preserve">(narāqī, abū-torāb ebn-e ahmad (- 19c)</w:t>
      </w:r>
    </w:p>
    <w:p>
      <w:pPr>
        <w:pStyle w:val="BookText"/>
      </w:pPr>
      <w:r>
        <w:rPr>
          <w:rFonts w:ascii="IRNazanin" w:hAnsi="IRNazanin" w:eastAsia="IRNazanin" w:cs="IRNazanin"/>
          <w:lang w:bidi="fa-IR"/>
          <w:color w:val="111111"/>
          <w:sz w:val="28"/>
          <w:szCs w:val="28"/>
          <w:rtl/>
        </w:rPr>
        <w:t xml:space="preserve">وی این رساله را در باب وتر ثلث قوس جمعی از ارباب از جمله خواجه نصیر طوسی ازاستخراج آن از وتر قوس به طور دقیق ابراز ناتوانی کرده اند نگاشته است و نخست (پس از مقدمه) طریقه ای را نقل می کند که غیاث الدین جمشید کاشانی برای استخراج این وتر ابداع و الغ بیک از آن طریقه پیروی کرده و وتر دو درجه را از وتر شش درجه بیرون آورده و بر ا قاعده جدول جیب زیج جدید را تحقیق و تصحیح کرده است.</w:t>
      </w:r>
    </w:p>
    <w:p>
      <w:pPr>
        <w:pStyle w:val="BookText"/>
      </w:pPr>
      <w:r>
        <w:rPr>
          <w:rFonts w:ascii="IRNazanin" w:hAnsi="IRNazanin" w:eastAsia="IRNazanin" w:cs="IRNazanin"/>
          <w:lang w:bidi="fa-IR"/>
          <w:color w:val="111111"/>
          <w:sz w:val="28"/>
          <w:szCs w:val="28"/>
          <w:rtl/>
        </w:rPr>
        <w:t xml:space="preserve">سپس بیان روش ابداعی خویش می پردازد در دیباچه این رسـاله  از رساله دیگر خود در دقایق علوم ریاضی یاد می کند که مشتمل بر برهانی ساختن اعمال و تصحيح جداول زیج و قانون رصد طول و عرض ستارگان و ساختن آلات رصد و قواعد کـلی و جزئى استخراج وترها و جیب ها و جز اینها است «و تا اکنـون در حجاب اختفاء مستور بوده درمقدمه یکم از برخی از مؤلفات دانشمندان دوره اسلامی در شعب جبر و مقابله و حل معادلات و ابداعات آنان با اشاره اجمالی به سیر تاریخی و مآخذ آنها سخن می گوید. در پایان رساله از قانون سنجیدن اجـزاء ترکیب اجسام مركبه بدون تحلیل و تفکیک که آن را «میزان الحکمة» نام داده اند و از کسانی که در این باب تألیفی دارند، سخن گفته  و می گوید: «در زمان ایاردن پادشاه صقالبه اکلیلی عظيم. ... بجهت او آوردند ... مرکب از طلا و نقره .... خواسـت که مقدار وزن هر یک از طلا و نقره آن را بداند و از شکسـتن آن اکراه ... مهندسان و ارباب حیل را احضار کرد ... ارشمیدس مهندس استنباط طریق آن را نمود و این واقعه قبل از اسکندر بود... مانالاوس چهارصد سال بعد از اسکندر در آن تأمل کرد و کلیه طرق حسابیه آن را استنباط و رساله ای نوشت ... در ایام مأمون يوحنا بن يوسف و احمد بن فضل مساح در آن نظر داشتند و در ایام سامانیه محمد بن زکریا رازی رساله ای در آن نوشت و در ایام دیالمه ابن العميد يا ابو علی بن سینا در آن تأمل کرد و در ایام آل ناصر الدین ابوریحان بیرونی تصرفات درآن  نمود و در مبادی زمان سلاجقه عمر خیام تحقیقات درآن فن کرد و ابوحاتم مظفر بن اسماعیل اسفزاری سعیها در تسهیل عـمل به آن نمود و بعضی اجزاء در آن زیاد کرد و تسمیه آن به میزان الحکمه از اوست و در زمان سلطان سنجر شیخ جـلیل عبدالرحمان خازن در آن نظر کرد و تصرفات نمود و رساله ای در این باب نوشت و براهین آن و کیفیت صناعت و عمل به را به تفصیل بیان کرد و خلاصه اقوال سابقین را... در آن آورد  و قدری از آن رساله در نزد حقیر موجود است». در دیباچه و  پایان رساله از حاج میرزا آقاسی نام می برد.</w:t>
      </w:r>
    </w:p>
    <w:p>
      <w:pPr>
        <w:pStyle w:val="BookText"/>
      </w:pPr>
      <w:r>
        <w:rPr>
          <w:rFonts w:ascii="IRNazanin" w:hAnsi="IRNazanin" w:eastAsia="IRNazanin" w:cs="IRNazanin"/>
          <w:lang w:bidi="fa-IR"/>
          <w:color w:val="111111"/>
          <w:sz w:val="28"/>
          <w:szCs w:val="28"/>
          <w:rtl/>
        </w:rPr>
        <w:t xml:space="preserve">آغاز: بسمله، و به نستعین... در این زمان سعادت بنیان که ساخت مرز ایران دارائی شاهنشاه سکندرشان خلد الله ملکه رشک روضه رضوان و حسرت گل زار جنان شده نظر نظر بمیل خاطر خطیر همایون اقدس پادشاهی باقتناء ذخایر صنوف کمالات حقایق و اکتساب مآثر فنون دقایق عامه اهل ایران همت بر ابداء بدایع صرف و صناعات مصروف و عنان توجه بصوب انشاء دقایق فنون کمالات معطوف دارند این بی بضاعت نیز با استطاعت ببركت دولت بهیه و شوکت علیه دقایق چند در علم هندسه و حساب و وضع جداول زیج و تصحیح آن استنباط کرده و در رساله علیحده با قانون رصد طول و عرض کواکب و شطری از آلات رصدیه که از مخترعات متقدمان است وضع نموده و از جمله دقایقی که این فقیر بفکر فاتر استنباط نموده استخراج وتر ثلث هر قوسی است از و تر آن قوس و متقدمان از استنباط آن اعتراف بعجز نموده چنانچه خواجه ... نصیرالدین در کتاب تحریر مجسطی می فرماید: ليس الى معرفة  وتر ثلث القوس الملومة الوتر من جهة الخطوط طريق بوجه.</w:t>
      </w:r>
    </w:p>
    <w:p>
      <w:pPr>
        <w:pStyle w:val="BookText"/>
      </w:pPr>
      <w:r>
        <w:rPr>
          <w:rFonts w:ascii="IRNazanin" w:hAnsi="IRNazanin" w:eastAsia="IRNazanin" w:cs="IRNazanin"/>
          <w:lang w:bidi="fa-IR"/>
          <w:color w:val="111111"/>
          <w:sz w:val="28"/>
          <w:szCs w:val="28"/>
          <w:rtl/>
        </w:rPr>
        <w:t xml:space="preserve">انجام: چنانچه ضمیر منیر اشرف بمطالعه آن مایل باشد بعز حضورشان میرسانم و الله ولى الفضل و الانعام</w:t>
      </w:r>
    </w:p>
    <w:p>
      <w:pPr>
        <w:pStyle w:val="BookText"/>
      </w:pPr>
      <w:r>
        <w:rPr>
          <w:rFonts w:ascii="IRNazanin" w:hAnsi="IRNazanin" w:eastAsia="IRNazanin" w:cs="IRNazanin"/>
          <w:lang w:bidi="fa-IR"/>
          <w:color w:val="111111"/>
          <w:sz w:val="28"/>
          <w:szCs w:val="28"/>
          <w:rtl/>
        </w:rPr>
        <w:t xml:space="preserve">[فهرستواره منزوی ۲۷۵۳/۴]</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دانشگاه؛ شماره نسخه: ۱۷۵۱/۱۱</w:t>
      </w:r>
    </w:p>
    <w:p>
      <w:pPr>
        <w:pStyle w:val="BookText"/>
      </w:pPr>
      <w:r>
        <w:rPr>
          <w:rFonts w:ascii="IRNazanin" w:hAnsi="IRNazanin" w:eastAsia="IRNazanin" w:cs="IRNazanin"/>
          <w:lang w:bidi="fa-IR"/>
          <w:color w:val="111111"/>
          <w:sz w:val="28"/>
          <w:szCs w:val="28"/>
          <w:rtl/>
        </w:rPr>
        <w:t xml:space="preserve">آغاز و انجام: برابر (تمت الرسالة بيد ابن المؤلف تغمده الله بغفرانه محمد بن ابی تراب بن احمد في بعض شهور سنة الف و مأتين و ثلثة و ثمانين).</w:t>
      </w:r>
    </w:p>
    <w:p>
      <w:pPr>
        <w:pStyle w:val="BookText"/>
      </w:pPr>
      <w:r>
        <w:rPr>
          <w:rFonts w:ascii="IRNazanin" w:hAnsi="IRNazanin" w:eastAsia="IRNazanin" w:cs="IRNazanin"/>
          <w:lang w:bidi="fa-IR"/>
          <w:color w:val="111111"/>
          <w:sz w:val="28"/>
          <w:szCs w:val="28"/>
          <w:rtl/>
        </w:rPr>
        <w:t xml:space="preserve">خط: نسخ، کا: محمد بن اباتراب ابن  احمد، تا: ۱۲۸۳ق؛ کاغذ: فرنگی، جلد: تیماج حنایی ۷گ (74-80پ)، اندازه: 14</w:t>
      </w:r>
      <w:r>
        <w:rPr>
          <w:rFonts w:ascii="Times New Roman" w:hAnsi="Times New Roman" w:eastAsia="Times New Roman" w:cs="Times New Roman"/>
          <w:lang w:val="en-US" w:bidi="en-US"/>
          <w:color w:val="111111"/>
          <w:sz w:val="28"/>
          <w:szCs w:val="28"/>
          <w:rtl/>
        </w:rPr>
        <w:t xml:space="preserve">×20/5  </w:t>
      </w:r>
      <w:r>
        <w:rPr>
          <w:rFonts w:ascii="IRNazanin" w:hAnsi="IRNazanin" w:eastAsia="IRNazanin" w:cs="IRNazanin"/>
          <w:lang w:bidi="fa-IR"/>
          <w:color w:val="111111"/>
          <w:sz w:val="28"/>
          <w:szCs w:val="28"/>
          <w:rtl/>
        </w:rPr>
        <w:t xml:space="preserve">سم [ف: ۸ - ۲۷۷]</w:t>
      </w:r>
    </w:p>
    <w:p>
      <w:pPr>
        <w:pStyle w:val="BookText"/>
      </w:pPr>
      <w:r>
        <w:rPr>
          <w:rFonts w:ascii="IRNazanin" w:hAnsi="IRNazanin" w:eastAsia="IRNazanin" w:cs="IRNazanin"/>
          <w:lang w:bidi="fa-IR"/>
          <w:color w:val="111111"/>
          <w:sz w:val="28"/>
          <w:szCs w:val="28"/>
          <w:rtl/>
        </w:rPr>
        <w:t xml:space="preserve">۲. تهران؛ مجلس؛ شماره نسخه: ۶۲۵۰/۱6</w:t>
      </w:r>
    </w:p>
    <w:p>
      <w:pPr>
        <w:pStyle w:val="BookText"/>
      </w:pPr>
      <w:r>
        <w:rPr>
          <w:rFonts w:ascii="IRNazanin" w:hAnsi="IRNazanin" w:eastAsia="IRNazanin" w:cs="IRNazanin"/>
          <w:lang w:bidi="fa-IR"/>
          <w:color w:val="111111"/>
          <w:sz w:val="28"/>
          <w:szCs w:val="28"/>
          <w:rtl/>
        </w:rPr>
        <w:t xml:space="preserve">آغاز: برابر؛ انجام: درجه ۳۸ دقیقه حاصل شود چنانچه اول یافتم شکل این است (تمت) دنبال کلام سخن پیداست ناتمام مانده در</w:t>
      </w:r>
    </w:p>
    <w:p>
      <w:pPr>
        <w:pStyle w:val="BookText"/>
      </w:pPr>
      <w:r>
        <w:rPr>
          <w:rFonts w:ascii="IRNazanin" w:hAnsi="IRNazanin" w:eastAsia="IRNazanin" w:cs="IRNazanin"/>
          <w:lang w:bidi="fa-IR"/>
          <w:color w:val="111111"/>
          <w:sz w:val="28"/>
          <w:szCs w:val="28"/>
          <w:rtl/>
        </w:rPr>
        <w:t xml:space="preserve">نسخه ها نیست و «تمت» از کاتب است.</w:t>
      </w:r>
    </w:p>
    <w:p>
      <w:pPr>
        <w:pStyle w:val="BookText"/>
      </w:pPr>
      <w:r>
        <w:rPr>
          <w:rFonts w:ascii="IRNazanin" w:hAnsi="IRNazanin" w:eastAsia="IRNazanin" w:cs="IRNazanin"/>
          <w:lang w:bidi="fa-IR"/>
          <w:color w:val="111111"/>
          <w:sz w:val="28"/>
          <w:szCs w:val="28"/>
          <w:rtl/>
        </w:rPr>
        <w:t xml:space="preserve">خط: نسخ، بی کا: تا: قرن ۱۳ ؛کاغذ: فرنگی شکری و آبی رنگ ،جلد: تیماج قهوه ای با عطف و حاشیه قرمز یک لا، ۱۴ص( ۲ -۱۵) ۱۸-۱۷ سطر، قطع: خشتی،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۱۹-۲۲۱]</w:t>
      </w:r>
    </w:p>
    <w:p>
      <w:pPr>
        <w:pStyle w:val="Heading3"/>
      </w:pPr>
      <w:bookmarkStart w:id="1134" w:name="_Toc656"/>
      <w:r>
        <w:t>استخراج و تعدیل نصف النهار = تقویم (رساله در ) / ریاضیات / فارسی</w:t>
      </w:r>
      <w:bookmarkEnd w:id="1134"/>
    </w:p>
    <w:p>
      <w:pPr>
        <w:pStyle w:val="BookText"/>
      </w:pPr>
      <w:r>
        <w:rPr>
          <w:rFonts w:ascii="Times New Roman" w:hAnsi="Times New Roman" w:eastAsia="Times New Roman" w:cs="Times New Roman"/>
          <w:lang w:val="en-US" w:bidi="en-US"/>
          <w:color w:val="111111"/>
          <w:sz w:val="28"/>
          <w:szCs w:val="28"/>
          <w:rtl/>
        </w:rPr>
        <w:t xml:space="preserve">(estexrāj va ta‘dīl-e nesf-on nahār = taqvīm (r. dar)</w:t>
      </w:r>
    </w:p>
    <w:p>
      <w:pPr>
        <w:pStyle w:val="BookText"/>
      </w:pPr>
      <w:r>
        <w:rPr>
          <w:rFonts w:ascii="IRNazanin" w:hAnsi="IRNazanin" w:eastAsia="IRNazanin" w:cs="IRNazanin"/>
          <w:lang w:bidi="fa-IR"/>
          <w:color w:val="111111"/>
          <w:sz w:val="28"/>
          <w:szCs w:val="28"/>
          <w:rtl/>
        </w:rPr>
        <w:t xml:space="preserve">مشهد؛ رضوی؛ شماره نسخه: ۱۹۲۴۱</w:t>
      </w:r>
    </w:p>
    <w:p>
      <w:pPr>
        <w:pStyle w:val="BookText"/>
      </w:pPr>
      <w:r>
        <w:rPr>
          <w:rFonts w:ascii="IRNazanin" w:hAnsi="IRNazanin" w:eastAsia="IRNazanin" w:cs="IRNazanin"/>
          <w:lang w:bidi="fa-IR"/>
          <w:color w:val="111111"/>
          <w:sz w:val="28"/>
          <w:szCs w:val="28"/>
          <w:rtl/>
        </w:rPr>
        <w:t xml:space="preserve">آغاز: بسمله. بدانکه تقویم راست کردن کواکب باشد در غم؛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78" w:name="pg20365_260261"/>
    <w:bookmarkEnd w:id="178"/>
    <w:p>
      <w:pPr>
        <w:pStyle w:val="BookText"/>
      </w:pPr>
      <w:r>
        <w:rPr>
          <w:rFonts w:ascii="IRNazanin" w:hAnsi="IRNazanin" w:eastAsia="IRNazanin" w:cs="IRNazanin"/>
          <w:lang w:bidi="fa-IR"/>
          <w:color w:val="111111"/>
          <w:sz w:val="28"/>
          <w:szCs w:val="28"/>
          <w:rtl/>
        </w:rPr>
        <w:t xml:space="preserve">انجام: تعالی جل جلاله و عم نواله و عظيم شأنه. تمت</w:t>
      </w:r>
    </w:p>
    <w:p>
      <w:pPr>
        <w:pStyle w:val="BookText"/>
      </w:pPr>
      <w:r>
        <w:rPr>
          <w:rFonts w:ascii="IRNazanin" w:hAnsi="IRNazanin" w:eastAsia="IRNazanin" w:cs="IRNazanin"/>
          <w:lang w:bidi="fa-IR"/>
          <w:color w:val="111111"/>
          <w:sz w:val="28"/>
          <w:szCs w:val="28"/>
          <w:rtl/>
        </w:rPr>
        <w:t xml:space="preserve">خط: نسخ، بی کا، تا :قرن ۱۱[ رایانه] [</w:t>
      </w:r>
    </w:p>
    <w:p>
      <w:pPr>
        <w:pStyle w:val="Heading3"/>
      </w:pPr>
      <w:bookmarkStart w:id="1135" w:name="_Toc657"/>
      <w:r>
        <w:t>استخراج و قاعده وقایا / فارسی</w:t>
      </w:r>
      <w:bookmarkEnd w:id="1135"/>
    </w:p>
    <w:p>
      <w:pPr>
        <w:pStyle w:val="BookText"/>
      </w:pPr>
      <w:r>
        <w:rPr>
          <w:rFonts w:ascii="Times New Roman" w:hAnsi="Times New Roman" w:eastAsia="Times New Roman" w:cs="Times New Roman"/>
          <w:lang w:val="en-US" w:bidi="en-US"/>
          <w:color w:val="111111"/>
          <w:sz w:val="28"/>
          <w:szCs w:val="28"/>
          <w:rtl/>
        </w:rPr>
        <w:t xml:space="preserve">estexrāj va qā‘ede-ye vaqāyā</w:t>
      </w:r>
    </w:p>
    <w:p>
      <w:pPr>
        <w:pStyle w:val="BookText"/>
      </w:pPr>
      <w:r>
        <w:rPr>
          <w:rFonts w:ascii="IRNazanin" w:hAnsi="IRNazanin" w:eastAsia="IRNazanin" w:cs="IRNazanin"/>
          <w:lang w:bidi="fa-IR"/>
          <w:color w:val="111111"/>
          <w:sz w:val="28"/>
          <w:szCs w:val="28"/>
          <w:rtl/>
        </w:rPr>
        <w:t xml:space="preserve">تهران؛ مجلس؛ شماره نسخه: ۱۱۷۸/۲۵</w:t>
      </w:r>
    </w:p>
    <w:p>
      <w:pPr>
        <w:pStyle w:val="BookText"/>
      </w:pPr>
      <w:r>
        <w:rPr>
          <w:rFonts w:ascii="IRNazanin" w:hAnsi="IRNazanin" w:eastAsia="IRNazanin" w:cs="IRNazanin"/>
          <w:lang w:bidi="fa-IR"/>
          <w:color w:val="111111"/>
          <w:sz w:val="28"/>
          <w:szCs w:val="28"/>
          <w:rtl/>
        </w:rPr>
        <w:t xml:space="preserve">بی کا، تا: قرن ۱۲؛ محشی با فهرست؛ کاغذ: سفید و برخی رنگـین ،جلد: تیماج مشکی ضربی و مقوایی [سنا - ف: ۲ - ۱۵۸]</w:t>
      </w:r>
    </w:p>
    <w:p>
      <w:pPr>
        <w:pStyle w:val="Heading3"/>
      </w:pPr>
      <w:bookmarkStart w:id="1136" w:name="_Toc658"/>
      <w:r>
        <w:t>استخراج هلال رمضان / هیئت / فارسی</w:t>
      </w:r>
      <w:bookmarkEnd w:id="1136"/>
    </w:p>
    <w:p>
      <w:pPr>
        <w:pStyle w:val="BookText"/>
      </w:pPr>
      <w:r>
        <w:rPr>
          <w:rFonts w:ascii="Times New Roman" w:hAnsi="Times New Roman" w:eastAsia="Times New Roman" w:cs="Times New Roman"/>
          <w:lang w:val="en-US" w:bidi="en-US"/>
          <w:color w:val="111111"/>
          <w:sz w:val="28"/>
          <w:szCs w:val="28"/>
          <w:rtl/>
        </w:rPr>
        <w:t xml:space="preserve">estexrāj-e helāl-e ramezān</w:t>
      </w:r>
    </w:p>
    <w:p>
      <w:pPr>
        <w:pStyle w:val="BookText"/>
      </w:pPr>
      <w:r>
        <w:rPr>
          <w:rFonts w:ascii="IRNazanin" w:hAnsi="IRNazanin" w:eastAsia="IRNazanin" w:cs="IRNazanin"/>
          <w:lang w:bidi="fa-IR"/>
          <w:color w:val="111111"/>
          <w:sz w:val="28"/>
          <w:szCs w:val="28"/>
          <w:rtl/>
        </w:rPr>
        <w:t xml:space="preserve">در این نامه به روش برهانی آغاز ماه رمضان محاسبه گردیده.</w:t>
      </w:r>
    </w:p>
    <w:p>
      <w:pPr>
        <w:pStyle w:val="BookText"/>
      </w:pPr>
      <w:r>
        <w:rPr>
          <w:rFonts w:ascii="IRNazanin" w:hAnsi="IRNazanin" w:eastAsia="IRNazanin" w:cs="IRNazanin"/>
          <w:lang w:bidi="fa-IR"/>
          <w:color w:val="111111"/>
          <w:sz w:val="28"/>
          <w:szCs w:val="28"/>
          <w:rtl/>
        </w:rPr>
        <w:t xml:space="preserve">تهران؛ دانشگاه؛ شماره نسخه: ۹۵۰/۸</w:t>
      </w:r>
    </w:p>
    <w:p>
      <w:pPr>
        <w:pStyle w:val="BookText"/>
      </w:pPr>
      <w:r>
        <w:rPr>
          <w:rFonts w:ascii="IRNazanin" w:hAnsi="IRNazanin" w:eastAsia="IRNazanin" w:cs="IRNazanin"/>
          <w:lang w:bidi="fa-IR"/>
          <w:color w:val="111111"/>
          <w:sz w:val="28"/>
          <w:szCs w:val="28"/>
          <w:rtl/>
        </w:rPr>
        <w:t xml:space="preserve">آغاز: تقویم آفتاب عند الغروب بود «دکدموج» تقویم قمر عند الغروب بود «ه ح لب یه»؛ انجام: پس درجه غروب قمر باشد «ه كدو» تمت تم تم.</w:t>
      </w:r>
    </w:p>
    <w:p>
      <w:pPr>
        <w:pStyle w:val="BookText"/>
      </w:pPr>
      <w:r>
        <w:rPr>
          <w:rFonts w:ascii="IRNazanin" w:hAnsi="IRNazanin" w:eastAsia="IRNazanin" w:cs="IRNazanin"/>
          <w:lang w:bidi="fa-IR"/>
          <w:color w:val="111111"/>
          <w:sz w:val="28"/>
          <w:szCs w:val="28"/>
          <w:rtl/>
        </w:rPr>
        <w:t xml:space="preserve">خط: نستعلیق، بی کا، بی تا: اگ (۱۶۱ر) [ف: ۴ -۸۲۸]</w:t>
      </w:r>
    </w:p>
    <w:p>
      <w:pPr>
        <w:pStyle w:val="Heading3"/>
      </w:pPr>
      <w:bookmarkStart w:id="1137" w:name="_Toc659"/>
      <w:r>
        <w:t>استخراج یومیه و احکام ضروریه / طبیعیات / فارسی</w:t>
      </w:r>
      <w:bookmarkEnd w:id="1137"/>
    </w:p>
    <w:p>
      <w:pPr>
        <w:pStyle w:val="BookText"/>
      </w:pPr>
      <w:r>
        <w:rPr>
          <w:rFonts w:ascii="Times New Roman" w:hAnsi="Times New Roman" w:eastAsia="Times New Roman" w:cs="Times New Roman"/>
          <w:lang w:val="en-US" w:bidi="en-US"/>
          <w:color w:val="111111"/>
          <w:sz w:val="28"/>
          <w:szCs w:val="28"/>
          <w:rtl/>
        </w:rPr>
        <w:t xml:space="preserve">estexrāj-e yowmīye va ahkām-e zarūrīye</w:t>
      </w:r>
    </w:p>
    <w:p>
      <w:pPr>
        <w:pStyle w:val="BookText"/>
      </w:pPr>
      <w:r>
        <w:rPr>
          <w:rFonts w:ascii="IRNazanin" w:hAnsi="IRNazanin" w:eastAsia="IRNazanin" w:cs="IRNazanin"/>
          <w:lang w:bidi="fa-IR"/>
          <w:color w:val="111111"/>
          <w:sz w:val="28"/>
          <w:szCs w:val="28"/>
          <w:rtl/>
        </w:rPr>
        <w:t xml:space="preserve">مشهد؛ الهیات؛ شماره نسخه: ۱۹۵۶۰/۸</w:t>
      </w:r>
    </w:p>
    <w:p>
      <w:pPr>
        <w:pStyle w:val="BookText"/>
      </w:pPr>
      <w:r>
        <w:rPr>
          <w:rFonts w:ascii="IRNazanin" w:hAnsi="IRNazanin" w:eastAsia="IRNazanin" w:cs="IRNazanin"/>
          <w:lang w:bidi="fa-IR"/>
          <w:color w:val="111111"/>
          <w:sz w:val="28"/>
          <w:szCs w:val="28"/>
          <w:rtl/>
        </w:rPr>
        <w:t xml:space="preserve">آغاز: اما چنین گوید المذنب الجانی محتشم ... که چون خواهد که استخراج یومیه و یا غیر آن</w:t>
      </w:r>
    </w:p>
    <w:p>
      <w:pPr>
        <w:pStyle w:val="BookText"/>
      </w:pPr>
      <w:r>
        <w:rPr>
          <w:rFonts w:ascii="IRNazanin" w:hAnsi="IRNazanin" w:eastAsia="IRNazanin" w:cs="IRNazanin"/>
          <w:lang w:bidi="fa-IR"/>
          <w:color w:val="111111"/>
          <w:sz w:val="28"/>
          <w:szCs w:val="28"/>
          <w:rtl/>
        </w:rPr>
        <w:t xml:space="preserve">خط: نسخ و نستعلیق، بی کا، بی تا ،کاغذ ،فستقى، جلد: مقوا عطف ،میشن، اندازه: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۱۶/۵سم [ف: ۲ - ۴۰۹]</w:t>
      </w:r>
    </w:p>
    <w:p>
      <w:pPr>
        <w:pStyle w:val="Heading3"/>
      </w:pPr>
      <w:bookmarkStart w:id="1138" w:name="_Toc660"/>
      <w:r>
        <w:t>استخلاصیه / شعر / فارسی</w:t>
      </w:r>
      <w:bookmarkEnd w:id="1138"/>
    </w:p>
    <w:p>
      <w:pPr>
        <w:pStyle w:val="BookText"/>
      </w:pPr>
      <w:r>
        <w:rPr>
          <w:rFonts w:ascii="Times New Roman" w:hAnsi="Times New Roman" w:eastAsia="Times New Roman" w:cs="Times New Roman"/>
          <w:lang w:val="en-US" w:bidi="en-US"/>
          <w:color w:val="111111"/>
          <w:sz w:val="28"/>
          <w:szCs w:val="28"/>
          <w:rtl/>
        </w:rPr>
        <w:t xml:space="preserve">estexlāsīye</w:t>
      </w:r>
    </w:p>
    <w:p>
      <w:pPr>
        <w:pStyle w:val="BookText"/>
      </w:pPr>
      <w:r>
        <w:rPr>
          <w:rFonts w:ascii="IRNazanin" w:hAnsi="IRNazanin" w:eastAsia="IRNazanin" w:cs="IRNazanin"/>
          <w:lang w:bidi="fa-IR"/>
          <w:color w:val="111111"/>
          <w:sz w:val="28"/>
          <w:szCs w:val="28"/>
          <w:rtl/>
        </w:rPr>
        <w:t xml:space="preserve">اسماعیل صفوی دوم، شاه ایران، ۹۴۲ – ۹۸۵ قمری</w:t>
      </w:r>
    </w:p>
    <w:p>
      <w:pPr>
        <w:pStyle w:val="BookText"/>
      </w:pPr>
      <w:r>
        <w:rPr>
          <w:rFonts w:ascii="Times New Roman" w:hAnsi="Times New Roman" w:eastAsia="Times New Roman" w:cs="Times New Roman"/>
          <w:lang w:val="en-US" w:bidi="en-US"/>
          <w:color w:val="111111"/>
          <w:sz w:val="28"/>
          <w:szCs w:val="28"/>
          <w:rtl/>
        </w:rPr>
        <w:t xml:space="preserve">(esmā‘īl-e safavī-ye dovvom, šāh-e īrān (1536 - 1578)</w:t>
      </w:r>
    </w:p>
    <w:p>
      <w:pPr>
        <w:pStyle w:val="BookText"/>
      </w:pPr>
      <w:r>
        <w:rPr>
          <w:rFonts w:ascii="IRNazanin" w:hAnsi="IRNazanin" w:eastAsia="IRNazanin" w:cs="IRNazanin"/>
          <w:lang w:bidi="fa-IR"/>
          <w:color w:val="111111"/>
          <w:sz w:val="28"/>
          <w:szCs w:val="28"/>
          <w:rtl/>
        </w:rPr>
        <w:t xml:space="preserve">از شاه اسماعیل دوم صفوی متخلص به عادلی. وی هنگامی که به امر پدرش شاه تهماسب در قلعه قهقهه زندانی بود این مثنوی را در ابراز انقیاد به پدر و درخواست عفو از او سروده است. در «مجمع الفصحا»، «دانشمندان آذربایجان»، «تذکره میخانه» (حواشی گلچین معانی) و «تذکره نصر آبادی» ابیاتی از او یاد شده اما این مثنوی استخلاصیه در هیچ یک از این تذکره هـا  و دیگر مراجع یاد نشده است. تعداد ابیات این مثنوی معلوم نیست و آنچه در دفتر حاضر موجود است ۳۸ بیت است و چنین پیداست که مثنوی بزرگی است که دنباله آن از دفتر افتاده است. اینک چند بیت از آن که خطاب به شاه است و عذرخواهی گـناه</w:t>
      </w:r>
    </w:p>
    <w:p>
      <w:pPr>
        <w:pStyle w:val="BookText"/>
      </w:pPr>
      <w:r>
        <w:rPr>
          <w:rFonts w:ascii="IRNazanin" w:hAnsi="IRNazanin" w:eastAsia="IRNazanin" w:cs="IRNazanin"/>
          <w:lang w:bidi="fa-IR"/>
          <w:color w:val="111111"/>
          <w:sz w:val="28"/>
          <w:szCs w:val="28"/>
          <w:rtl/>
        </w:rPr>
        <w:t xml:space="preserve">«گناه  من چه بود شاه عالم *** چرا یکدم نمی پرسی ز حالم / بقول دشمنان از راه رفتی*** که از دشمن شده بسیار خفتی / ایا صاحب قرآن طهماس غازی *** ترا زیبد شهی و سر فرازی / جهان بر کام تو بادا چو حسنت *** مبادا از سرت کم تاج دولت/ اگر بخشد مرا شاه جهاندار *** بر آرم من دمار از قم کفار / گشایم دست مردی من بدین کار *** بگیرم تاج و تخت ملک خونگار / اگر رستم در آید در مصافم *** روان با مرکبش در هم شکافم / امیدم هست تا من زنده باشم ***و شاه عالم و من بنده باشم / بحق عزت شاه ولایت *** تویی تاج سرو من پایت / نگرددد سر ز فرمانت بسیار؟ *** تو هم غافل مشو از مکر اغیار / ز قول دشمنان بر گرد شه زود *** اگر خواهی که گردد کر محمود / برون آور مرا از قلعه و بند ***چنین ظلمی بمنای شاه مپسند / بفرزند گرامی بند مگذار ***ندارد چون وفا این چرخ مکار.»</w:t>
      </w:r>
    </w:p>
    <w:p>
      <w:pPr>
        <w:pStyle w:val="BookText"/>
      </w:pPr>
      <w:r>
        <w:rPr>
          <w:rFonts w:ascii="IRNazanin" w:hAnsi="IRNazanin" w:eastAsia="IRNazanin" w:cs="IRNazanin"/>
          <w:lang w:bidi="fa-IR"/>
          <w:color w:val="111111"/>
          <w:sz w:val="28"/>
          <w:szCs w:val="28"/>
          <w:rtl/>
        </w:rPr>
        <w:t xml:space="preserve">[رجوع شود به تذکره میخانه مصحح آقای گلچین معانی حاشیه ص ۲۰۴ -  ۲۰۵؛ فهرستواره منزوی ۱۳۸/۱۰]</w:t>
      </w:r>
    </w:p>
    <w:p>
      <w:pPr>
        <w:pStyle w:val="BookText"/>
      </w:pPr>
      <w:r>
        <w:rPr>
          <w:rFonts w:ascii="IRNazanin" w:hAnsi="IRNazanin" w:eastAsia="IRNazanin" w:cs="IRNazanin"/>
          <w:lang w:bidi="fa-IR"/>
          <w:color w:val="111111"/>
          <w:sz w:val="28"/>
          <w:szCs w:val="28"/>
          <w:rtl/>
        </w:rPr>
        <w:t xml:space="preserve">تهران؛ مجلس؛ شماره نسخه: ۲۹۵۹/۶</w:t>
      </w:r>
    </w:p>
    <w:p>
      <w:pPr>
        <w:pStyle w:val="BookText"/>
      </w:pPr>
      <w:r>
        <w:rPr>
          <w:rFonts w:ascii="IRNazanin" w:hAnsi="IRNazanin" w:eastAsia="IRNazanin" w:cs="IRNazanin"/>
          <w:lang w:bidi="fa-IR"/>
          <w:color w:val="111111"/>
          <w:sz w:val="28"/>
          <w:szCs w:val="28"/>
          <w:rtl/>
        </w:rPr>
        <w:t xml:space="preserve">آغاز: بنام کردگار فرد و اکبر *** کريم لم يزل دانای داور/ خداوندی که یکتای جهانست*** خداوند زمین و آسمانست / کریمی کرم ایمان بماداد *** گل ما را سرشت و جان بما داد؛ انجام: کجا شد آن شه با جاه و تمکین *** امير المؤمنن حيدر شه  دین</w:t>
      </w:r>
    </w:p>
    <w:p>
      <w:pPr>
        <w:pStyle w:val="BookText"/>
      </w:pPr>
      <w:r>
        <w:rPr>
          <w:rFonts w:ascii="IRNazanin" w:hAnsi="IRNazanin" w:eastAsia="IRNazanin" w:cs="IRNazanin"/>
          <w:lang w:bidi="fa-IR"/>
          <w:color w:val="111111"/>
          <w:sz w:val="28"/>
          <w:szCs w:val="28"/>
          <w:rtl/>
        </w:rPr>
        <w:t xml:space="preserve">بی کا، بی تا :کاغذ: اصفهانی ،مختلف، جلد: تیماج قهوه ای ، ۱۵۸ ص ، قطع : خشتی،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 ۱۰ - ۳۹۳]</w:t>
      </w:r>
    </w:p>
    <w:p>
      <w:pPr>
        <w:pStyle w:val="Heading3"/>
      </w:pPr>
      <w:bookmarkStart w:id="1139" w:name="_Toc661"/>
      <w:r>
        <w:t>الاستخلاف (رسالة في) / فقه / عربی</w:t>
      </w:r>
      <w:bookmarkEnd w:id="1139"/>
    </w:p>
    <w:p>
      <w:pPr>
        <w:pStyle w:val="BookText"/>
      </w:pPr>
      <w:r>
        <w:rPr>
          <w:rFonts w:ascii="Times New Roman" w:hAnsi="Times New Roman" w:eastAsia="Times New Roman" w:cs="Times New Roman"/>
          <w:lang w:val="en-US" w:bidi="en-US"/>
          <w:color w:val="111111"/>
          <w:sz w:val="28"/>
          <w:szCs w:val="28"/>
          <w:rtl/>
        </w:rPr>
        <w:t xml:space="preserve">(istixlāf (r-un fī)</w:t>
      </w:r>
    </w:p>
    <w:p>
      <w:pPr>
        <w:pStyle w:val="BookText"/>
      </w:pPr>
      <w:r>
        <w:rPr>
          <w:rFonts w:ascii="IRNazanin" w:hAnsi="IRNazanin" w:eastAsia="IRNazanin" w:cs="IRNazanin"/>
          <w:lang w:bidi="fa-IR"/>
          <w:color w:val="111111"/>
          <w:sz w:val="28"/>
          <w:szCs w:val="28"/>
          <w:rtl/>
        </w:rPr>
        <w:t xml:space="preserve">ابن کمال پاشا، احمد بن سلیمان، - ۹۴۰ قمری</w:t>
      </w:r>
    </w:p>
    <w:p>
      <w:pPr>
        <w:pStyle w:val="BookText"/>
      </w:pPr>
      <w:r>
        <w:rPr>
          <w:rFonts w:ascii="Times New Roman" w:hAnsi="Times New Roman" w:eastAsia="Times New Roman" w:cs="Times New Roman"/>
          <w:lang w:val="en-US" w:bidi="en-US"/>
          <w:color w:val="111111"/>
          <w:sz w:val="28"/>
          <w:szCs w:val="28"/>
          <w:rtl/>
        </w:rPr>
        <w:t xml:space="preserve">(ebn-e kamāl pāšā, ahmad ebn-e soleyman (- 1534)</w:t>
      </w:r>
    </w:p>
    <w:p>
      <w:pPr>
        <w:pStyle w:val="BookText"/>
      </w:pPr>
      <w:r>
        <w:rPr>
          <w:rFonts w:ascii="IRNazanin" w:hAnsi="IRNazanin" w:eastAsia="IRNazanin" w:cs="IRNazanin"/>
          <w:lang w:bidi="fa-IR"/>
          <w:color w:val="111111"/>
          <w:sz w:val="28"/>
          <w:szCs w:val="28"/>
          <w:rtl/>
        </w:rPr>
        <w:t xml:space="preserve">[کوپریلی، ج ۲، ص ۲۱۳ ،سلیمانیه، ج ۲، ص ۲۶۹ و ج ۳، ص بروکلمان، ج۱۳ - ۱۴، ص ۴۳۴؛ اوراق عتیق، ج۱، ص ۴۴۱-۴۴۲]</w:t>
      </w:r>
    </w:p>
    <w:p>
      <w:pPr>
        <w:pStyle w:val="BookText"/>
      </w:pPr>
      <w:r>
        <w:rPr>
          <w:rFonts w:ascii="IRNazanin" w:hAnsi="IRNazanin" w:eastAsia="IRNazanin" w:cs="IRNazanin"/>
          <w:lang w:bidi="fa-IR"/>
          <w:color w:val="111111"/>
          <w:sz w:val="28"/>
          <w:szCs w:val="28"/>
          <w:rtl/>
        </w:rPr>
        <w:t xml:space="preserve">تهران؛ مجلس؛ شماره نسخه: ۸۹۳۱/۱۸</w:t>
      </w:r>
    </w:p>
    <w:p>
      <w:pPr>
        <w:pStyle w:val="BookText"/>
      </w:pPr>
      <w:r>
        <w:rPr>
          <w:rFonts w:ascii="Amiri" w:hAnsi="Amiri" w:eastAsia="Amiri" w:cs="Amiri"/>
          <w:lang w:bidi="ar-SA"/>
          <w:color w:val="111111"/>
          <w:sz w:val="28"/>
          <w:szCs w:val="28"/>
          <w:rtl/>
        </w:rPr>
        <w:t xml:space="preserve">آغاز: الحمد لوليه و الصلوة لنبيه . قال فى الهداية وليس للقاضى ان يستخلف على القضاء الا ان يفوض ... اقول يعنى يجوز له ان يقيم الغيرمقامه لاقامة الحدود؛ انجام: و ان شئت تحقيق المقام بتلخيص الكلام على وجه يتضمن تخليصه من الاوهام فليراجع الى ما امتليناه عن الفرايد. تمت</w:t>
      </w:r>
    </w:p>
    <w:p>
      <w:pPr>
        <w:pStyle w:val="BookText"/>
      </w:pPr>
      <w:r>
        <w:rPr>
          <w:rFonts w:ascii="IRNazanin" w:hAnsi="IRNazanin" w:eastAsia="IRNazanin" w:cs="IRNazanin"/>
          <w:lang w:bidi="fa-IR"/>
          <w:color w:val="111111"/>
          <w:sz w:val="28"/>
          <w:szCs w:val="28"/>
          <w:rtl/>
        </w:rPr>
        <w:t xml:space="preserve">کامل؛ خط: نسخ، بی کا، تا :قرن ۱۱؛ کاغذ: فرنگی نخودی آهار مهره، جلد: میشن قهوه ای ضربی با ترنج و سرترنج گرهی، سر طبل منقش و شمسه  ضربی، اگ ،(۲۳ر)، ابعاد متن: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۲۷/۷سم [ف: ۲۹/۱ - ۳۶۴]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79" w:name="pg20365_260262"/>
    <w:bookmarkEnd w:id="179"/>
    <w:p>
      <w:pPr>
        <w:pStyle w:val="Heading3"/>
      </w:pPr>
      <w:bookmarkStart w:id="1140" w:name="_Toc662"/>
      <w:r>
        <w:t>الاستدراج / کلام و اعتقادات / عربی</w:t>
      </w:r>
      <w:bookmarkEnd w:id="1140"/>
    </w:p>
    <w:p>
      <w:pPr>
        <w:pStyle w:val="BookText"/>
      </w:pPr>
      <w:r>
        <w:rPr>
          <w:rFonts w:ascii="Times New Roman" w:hAnsi="Times New Roman" w:eastAsia="Times New Roman" w:cs="Times New Roman"/>
          <w:lang w:val="en-US" w:bidi="en-US"/>
          <w:color w:val="111111"/>
          <w:sz w:val="28"/>
          <w:szCs w:val="28"/>
          <w:rtl/>
        </w:rPr>
        <w:t xml:space="preserve">al-istidrāj</w:t>
      </w:r>
    </w:p>
    <w:p>
      <w:pPr>
        <w:pStyle w:val="BookText"/>
      </w:pPr>
      <w:r>
        <w:rPr>
          <w:rFonts w:ascii="IRNazanin" w:hAnsi="IRNazanin" w:eastAsia="IRNazanin" w:cs="IRNazanin"/>
          <w:lang w:bidi="fa-IR"/>
          <w:color w:val="111111"/>
          <w:sz w:val="28"/>
          <w:szCs w:val="28"/>
          <w:rtl/>
        </w:rPr>
        <w:t xml:space="preserve">گفتاری است در این که کمالاتی را خداوند متعال به گروهی ارزانی می دارد و اینان گمان می کنند که این کمالات از خودشان می باشد. این رساله مختصر اندرزهایی است به اینان نقل گفته های بعضی از صوفیه و عرفا و مانند تفسیر آیه ۱۸۲ از سوره مبارکه اعراف است. در این رساله از یحیی بن معاذ ازدی (-۲۵۸ ق) گفتاری نقل شده است و همین نسبت آن به ابوحنـیفه (-۱۵۰ق) را نفی می کند که در هر دو نسخه موجود این نسبت  آمده است.</w:t>
      </w:r>
    </w:p>
    <w:p>
      <w:pPr>
        <w:pStyle w:val="BookText"/>
      </w:pPr>
      <w:r>
        <w:rPr>
          <w:rFonts w:ascii="Amiri" w:hAnsi="Amiri" w:eastAsia="Amiri" w:cs="Amiri"/>
          <w:lang w:bidi="ar-SA"/>
          <w:color w:val="111111"/>
          <w:sz w:val="28"/>
          <w:szCs w:val="28"/>
          <w:rtl/>
        </w:rPr>
        <w:t xml:space="preserve">آغاز: الحمد لله الذى اصطفى أولياءه لمعرفته و خصصهم اختارهم لقربه ... اعلم أن الله تعالى ربما يزين أعداء بلباس أوليائه</w:t>
      </w:r>
    </w:p>
    <w:p>
      <w:pPr>
        <w:pStyle w:val="BookText"/>
      </w:pPr>
      <w:r>
        <w:rPr>
          <w:rFonts w:ascii="IRNazanin" w:hAnsi="IRNazanin" w:eastAsia="IRNazanin" w:cs="IRNazanin"/>
          <w:lang w:bidi="fa-IR"/>
          <w:color w:val="111111"/>
          <w:sz w:val="28"/>
          <w:szCs w:val="28"/>
          <w:rtl/>
        </w:rPr>
        <w:t xml:space="preserve">انجام: الهى لا تجعلنى من بابك مطروداً و لا عن طاعتک یارب مهجوراً برحمتك يا أرحم الراحمین و یا اکرم الاکرمین</w:t>
      </w:r>
    </w:p>
    <w:p>
      <w:pPr>
        <w:pStyle w:val="BookText"/>
      </w:pPr>
      <w:r>
        <w:rPr>
          <w:rFonts w:ascii="IRNazanin" w:hAnsi="IRNazanin" w:eastAsia="IRNazanin" w:cs="IRNazanin"/>
          <w:lang w:bidi="fa-IR"/>
          <w:color w:val="111111"/>
          <w:sz w:val="28"/>
          <w:szCs w:val="28"/>
          <w:rtl/>
        </w:rPr>
        <w:t xml:space="preserve">۱. قم؛ مرعشی؛ شماره نسخه: ۳۲۹۰/۴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علی بن ملا محمد نهبندی ساکن طارق، تا: 18جمادى الاول ۱۳۱۳ق؛ در نسخه حاضر آمده که این رساله به ابو حنيفه منسوب  است، در حاشیه مطالب عرفانی متفرقه افزوده شده؛ جلد: تیماج  سبز، ۳گ (۱۲۴ر - ۱۲۶ر)، اندازه: ۲۱</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۳۴ سم [ف: ۹-۷۳]</w:t>
      </w:r>
    </w:p>
    <w:p>
      <w:pPr>
        <w:pStyle w:val="BookText"/>
      </w:pPr>
      <w:r>
        <w:rPr>
          <w:rFonts w:ascii="IRNazanin" w:hAnsi="IRNazanin" w:eastAsia="IRNazanin" w:cs="IRNazanin"/>
          <w:lang w:bidi="fa-IR"/>
          <w:color w:val="111111"/>
          <w:sz w:val="28"/>
          <w:szCs w:val="28"/>
          <w:rtl/>
        </w:rPr>
        <w:t xml:space="preserve">۲ . مشهد؛ رضوی؛ شماره نسخه: ۸۸۸۶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بی تا :واقف: خواجه شیراحمد؛ ۳ص ، 23سطر،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۲۴سم [ف: ۶ - ۴۲۲]</w:t>
      </w:r>
    </w:p>
    <w:p>
      <w:pPr>
        <w:pStyle w:val="Heading3"/>
      </w:pPr>
      <w:bookmarkStart w:id="1141" w:name="_Toc663"/>
      <w:r>
        <w:t>الاستدراک = ذیل اکمال الكمال = اكمال  الاكمال / رجال / عربي</w:t>
      </w:r>
      <w:bookmarkEnd w:id="1141"/>
    </w:p>
    <w:p>
      <w:pPr>
        <w:pStyle w:val="BookText"/>
      </w:pPr>
      <w:r>
        <w:rPr>
          <w:rFonts w:ascii="Times New Roman" w:hAnsi="Times New Roman" w:eastAsia="Times New Roman" w:cs="Times New Roman"/>
          <w:lang w:val="en-US" w:bidi="en-US"/>
          <w:color w:val="111111"/>
          <w:sz w:val="28"/>
          <w:szCs w:val="28"/>
          <w:rtl/>
        </w:rPr>
        <w:t xml:space="preserve">al-istidrāk = ḏayl-u ikmāl-il kamāl = ikmāl-ul ikmāl</w:t>
      </w:r>
    </w:p>
    <w:p>
      <w:pPr>
        <w:pStyle w:val="BookText"/>
      </w:pPr>
      <w:r>
        <w:rPr>
          <w:rFonts w:ascii="IRNazanin" w:hAnsi="IRNazanin" w:eastAsia="IRNazanin" w:cs="IRNazanin"/>
          <w:lang w:bidi="fa-IR"/>
          <w:color w:val="111111"/>
          <w:sz w:val="28"/>
          <w:szCs w:val="28"/>
          <w:rtl/>
        </w:rPr>
        <w:t xml:space="preserve">ابن  نقطه، محمد بن عبدالغنی، ۵۷۹ - ۶۲۹ قمری</w:t>
      </w:r>
    </w:p>
    <w:p>
      <w:pPr>
        <w:pStyle w:val="BookText"/>
      </w:pPr>
      <w:r>
        <w:rPr>
          <w:rFonts w:ascii="Times New Roman" w:hAnsi="Times New Roman" w:eastAsia="Times New Roman" w:cs="Times New Roman"/>
          <w:lang w:val="en-US" w:bidi="en-US"/>
          <w:color w:val="111111"/>
          <w:sz w:val="28"/>
          <w:szCs w:val="28"/>
          <w:rtl/>
        </w:rPr>
        <w:t xml:space="preserve">(1232-ebn-o noqta, mohammad ebn-e ‘abd-ol-qanī (1184 -</w:t>
      </w:r>
    </w:p>
    <w:p>
      <w:pPr>
        <w:pStyle w:val="BookText"/>
      </w:pPr>
      <w:r>
        <w:rPr>
          <w:rFonts w:ascii="Amiri" w:hAnsi="Amiri" w:eastAsia="Amiri" w:cs="Amiri"/>
          <w:lang w:bidi="ar-SA"/>
          <w:color w:val="111111"/>
          <w:sz w:val="28"/>
          <w:szCs w:val="28"/>
          <w:rtl/>
        </w:rPr>
        <w:t xml:space="preserve">وابسته به: الاكمال في رفع الارتياب؛ ابن ماكولا، على بن هبة الله ( 421- 475)</w:t>
      </w:r>
    </w:p>
    <w:p>
      <w:pPr>
        <w:pStyle w:val="BookText"/>
      </w:pPr>
      <w:r>
        <w:rPr>
          <w:rFonts w:ascii="IRNazanin" w:hAnsi="IRNazanin" w:eastAsia="IRNazanin" w:cs="IRNazanin"/>
          <w:lang w:bidi="fa-IR"/>
          <w:color w:val="111111"/>
          <w:sz w:val="28"/>
          <w:szCs w:val="28"/>
          <w:rtl/>
        </w:rPr>
        <w:t xml:space="preserve">تکمله ای است  بر  «الاكمال فى المختلف و المؤتلف من اسـماء الرجال» ابن ماكولا، در ذکر رجالی که ابن ماکولا بدانها تصریح نکرده یا بعضی را ثقه دانسته و خلاف آن بر مؤلف ثابت شده و جز  آن، تا عصر مؤلف در ابواب متعدد به ترتیب اسمائی که تشابه در کتابت دارند و ضبط آنها.</w:t>
      </w:r>
    </w:p>
    <w:p>
      <w:pPr>
        <w:pStyle w:val="BookText"/>
      </w:pPr>
      <w:r>
        <w:rPr>
          <w:rFonts w:ascii="IRNazanin" w:hAnsi="IRNazanin" w:eastAsia="IRNazanin" w:cs="IRNazanin"/>
          <w:lang w:bidi="fa-IR"/>
          <w:color w:val="111111"/>
          <w:sz w:val="28"/>
          <w:szCs w:val="28"/>
          <w:rtl/>
        </w:rPr>
        <w:t xml:space="preserve">در موضوع «المختلف و المؤتلف فى اسماء الرجال» ابوالحسـن على بن عمر دار قطنی بغدادی (-۳۸۵ ق) کتابی به همین نام تاليف نموده (هدية العارفین ،(۶۸۴/۱) پس از او عبدالغنی بن  سعيد بن بشرازدی مصری  (-۴۰۹ق) دو کتاب به نام های «المؤتلف والمختلف فى اسماء نقلة لحديث» و «المشتبة فى النسبة» تاليف  كرد بعد از این ابوبکر احمد بن علی ثابت معروف به خطیب بغدادی (-۴۶۳ق) نوشته های دار قطنی و ازدی را تکمیل، و کتابی به نام «المؤتنف في تكملة المؤتلف و المختلف» تالیف نموده است، سپس امیر ابو نصر على بن هبة الله بن على بن جعفر عجلی  بغدادی، معروف به ابن ماکولا، کتاب خطیب بغدادی را تهذیب و تصحیح و تکمیل نموده و کتابی به نام «الاكمال فى رفع الارتياب عن المؤتلف والمختلف من الاسماء و الكنى و الانساب تألیف کرده، ابن نقطه هم ذیلی در دو جزء بر کتاب «اکمال ابن ماکولا» نوشته است که از آن به نام های «الاستدراک» و «المستدرک» و «اکمال الاكمال» و  «تكمله الاکمال» اسم برده اند.</w:t>
      </w:r>
    </w:p>
    <w:p>
      <w:pPr>
        <w:pStyle w:val="BookText"/>
      </w:pPr>
      <w:r>
        <w:rPr>
          <w:rFonts w:ascii="Amiri" w:hAnsi="Amiri" w:eastAsia="Amiri" w:cs="Amiri"/>
          <w:lang w:bidi="ar-SA"/>
          <w:color w:val="111111"/>
          <w:sz w:val="28"/>
          <w:szCs w:val="28"/>
          <w:rtl/>
        </w:rPr>
        <w:t xml:space="preserve">آغاز:  اما بعد فاعلم و فقك الله للخيرات انى نظرت في كتاب الامير ابي نصر على بن هبة ... المعروف بابن ماكولا الذى جمع فيه كتب الحفاظ المتقدمين... فوجودته قد بيض فيه تراجم و استشهد رحمه الله قبل ان يلحقها ... فاستخرت الله في جمع ابواب  تشتمل على ما وصل الى من ذلك و سطرتها على وضع كتابه</w:t>
      </w:r>
    </w:p>
    <w:p>
      <w:pPr>
        <w:pStyle w:val="BookText"/>
      </w:pPr>
      <w:r>
        <w:rPr>
          <w:rFonts w:ascii="IRNazanin" w:hAnsi="IRNazanin" w:eastAsia="IRNazanin" w:cs="IRNazanin"/>
          <w:lang w:bidi="fa-IR"/>
          <w:color w:val="111111"/>
          <w:sz w:val="28"/>
          <w:szCs w:val="28"/>
          <w:rtl/>
        </w:rPr>
        <w:t xml:space="preserve">[كشف الظنون ۱۶۳۷/۲؛ هدية العارفين ۱۱۲/۲؛ زركلی اعلام ۸۰/۷؛ معجم المولفين ۱۷۹/۱۰؛ بروکلمان (۳۹/۱]</w:t>
      </w:r>
    </w:p>
    <w:p>
      <w:pPr>
        <w:pStyle w:val="BookText"/>
      </w:pPr>
      <w:r>
        <w:rPr>
          <w:rFonts w:ascii="IRNazanin" w:hAnsi="IRNazanin" w:eastAsia="IRNazanin" w:cs="IRNazanin"/>
          <w:lang w:bidi="fa-IR"/>
          <w:color w:val="111111"/>
          <w:sz w:val="28"/>
          <w:szCs w:val="28"/>
          <w:rtl/>
        </w:rPr>
        <w:t xml:space="preserve">۱. قم؛ مرعشی؛ شماره نسخه: ۷۴۳عکسی</w:t>
      </w:r>
    </w:p>
    <w:p>
      <w:pPr>
        <w:pStyle w:val="BookText"/>
      </w:pPr>
      <w:r>
        <w:rPr>
          <w:rFonts w:ascii="IRNazanin" w:hAnsi="IRNazanin" w:eastAsia="IRNazanin" w:cs="IRNazanin"/>
          <w:lang w:bidi="fa-IR"/>
          <w:color w:val="111111"/>
          <w:sz w:val="28"/>
          <w:szCs w:val="28"/>
          <w:rtl/>
        </w:rPr>
        <w:t xml:space="preserve">آغاز: عبد الرحمن بن حمدان الجلاب ... باب حنبل و حنبل و حنفل؛ انجام: و اما السورى بضم السين المهملة وسكون الواو و سلیمان بن احمد بن ابراهيم ابو نصر السوري. ... و كان صدوقاً  مات قبل العشر وثلثمايه</w:t>
      </w:r>
    </w:p>
    <w:p>
      <w:pPr>
        <w:pStyle w:val="BookText"/>
      </w:pPr>
      <w:r>
        <w:rPr>
          <w:rFonts w:ascii="IRNazanin" w:hAnsi="IRNazanin" w:eastAsia="IRNazanin" w:cs="IRNazanin"/>
          <w:lang w:bidi="fa-IR"/>
          <w:color w:val="111111"/>
          <w:sz w:val="28"/>
          <w:szCs w:val="28"/>
          <w:rtl/>
        </w:rPr>
        <w:t xml:space="preserve">نسخه اصل ،چستربیتی شماره ۳۷۴۴؛ سه صفحه قبل از «باب:  حنبل و حنبل و حنفل» تا: پایان حرف سین؛ خط: نسخ، بی کا، تا: قرن ۷؛ افتادگی: آغاز ؛ مصحح، محشی؛ ۱۹۴گ، ۱۷ سطر [عکسی  ف: ۲ - ۲۲۹]</w:t>
      </w:r>
    </w:p>
    <w:p>
      <w:pPr>
        <w:pStyle w:val="BookText"/>
      </w:pPr>
      <w:r>
        <w:rPr>
          <w:rFonts w:ascii="IRNazanin" w:hAnsi="IRNazanin" w:eastAsia="IRNazanin" w:cs="IRNazanin"/>
          <w:lang w:bidi="fa-IR"/>
          <w:color w:val="111111"/>
          <w:sz w:val="28"/>
          <w:szCs w:val="28"/>
          <w:rtl/>
        </w:rPr>
        <w:t xml:space="preserve">قم؛ مرکز احیاء؛ شماره نسخه:۵۴۰</w:t>
      </w:r>
    </w:p>
    <w:p>
      <w:pPr>
        <w:pStyle w:val="BookText"/>
      </w:pPr>
      <w:r>
        <w:rPr>
          <w:rFonts w:ascii="IRNazanin" w:hAnsi="IRNazanin" w:eastAsia="IRNazanin" w:cs="IRNazanin"/>
          <w:lang w:bidi="fa-IR"/>
          <w:color w:val="111111"/>
          <w:sz w:val="28"/>
          <w:szCs w:val="28"/>
          <w:rtl/>
        </w:rPr>
        <w:t xml:space="preserve">نسخ اصل: همان نسخه اصل بالا [عکسی ف ۲ - ۱۲۹]</w:t>
      </w:r>
    </w:p>
    <w:p>
      <w:pPr>
        <w:pStyle w:val="BookText"/>
      </w:pPr>
      <w:r>
        <w:rPr>
          <w:rFonts w:ascii="IRNazanin" w:hAnsi="IRNazanin" w:eastAsia="IRNazanin" w:cs="IRNazanin"/>
          <w:lang w:bidi="fa-IR"/>
          <w:color w:val="111111"/>
          <w:sz w:val="28"/>
          <w:szCs w:val="28"/>
          <w:rtl/>
        </w:rPr>
        <w:t xml:space="preserve">۲. قم؛ مرکز احیاء؛ شماره نسخه: ۸۳۲</w:t>
      </w:r>
    </w:p>
    <w:p>
      <w:pPr>
        <w:pStyle w:val="BookText"/>
      </w:pPr>
      <w:r>
        <w:rPr>
          <w:rFonts w:ascii="IRNazanin" w:hAnsi="IRNazanin" w:eastAsia="IRNazanin" w:cs="IRNazanin"/>
          <w:lang w:bidi="fa-IR"/>
          <w:color w:val="111111"/>
          <w:sz w:val="28"/>
          <w:szCs w:val="28"/>
          <w:rtl/>
        </w:rPr>
        <w:t xml:space="preserve">نسخه  اصلی: کتابخانه دار الكتب الظاهرية - دمشق ۱۲۱۴، جزء اول و از حرف الف تا پایان حرف سین؛ خط: نسخ، بی کا، تا: قرن7 ؛ در برگ اول نام کتاب و مؤلف و وقف نامه آن به کتابخانه عمومی دمشق و علامت قرائت کتاب آمده، در برگ دوم نیز نام کتاب و مؤلف و شرح حال مختصری از مؤلف و علامت مطالعه کتاب توسط «سید محمد امسن نقیب» آمده، در برگ آخرنشانی  سماع «ابوالمعالى يحيى بن محيى الدين عقيلی حاتمی طائی» و نیز  «خالد سماع بن يوسف بن سعد بن حسی نابلسی» در روز سه شنبه ۱۴ جمادی الاول ۶۵۹ آمده؛ تملک: «عبد الله بصروی»، «سید علی ضياء طرابسلسی»؛ واقف: احمد بن سید محمد عطاء الله ایوبی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80" w:name="pg20365_260263"/>
    <w:bookmarkEnd w:id="180"/>
    <w:p>
      <w:pPr>
        <w:pStyle w:val="BookText"/>
      </w:pPr>
      <w:r>
        <w:rPr>
          <w:rFonts w:ascii="IRNazanin" w:hAnsi="IRNazanin" w:eastAsia="IRNazanin" w:cs="IRNazanin"/>
          <w:lang w:bidi="fa-IR"/>
          <w:color w:val="111111"/>
          <w:sz w:val="28"/>
          <w:szCs w:val="28"/>
          <w:rtl/>
        </w:rPr>
        <w:t xml:space="preserve">انصاری، ۵۲۸ ص [عکسی ف: ۳ - ۲۸]</w:t>
      </w:r>
    </w:p>
    <w:p>
      <w:pPr>
        <w:pStyle w:val="BookText"/>
      </w:pPr>
      <w:r>
        <w:rPr>
          <w:rFonts w:ascii="IRNazanin" w:hAnsi="IRNazanin" w:eastAsia="IRNazanin" w:cs="IRNazanin"/>
          <w:lang w:bidi="fa-IR"/>
          <w:color w:val="111111"/>
          <w:sz w:val="28"/>
          <w:szCs w:val="28"/>
          <w:rtl/>
        </w:rPr>
        <w:t xml:space="preserve">قم؛ مرعشی؛ شماره نسخه: ۴۸ عکسی و ۴۹ عکسی</w:t>
      </w:r>
    </w:p>
    <w:p>
      <w:pPr>
        <w:pStyle w:val="BookText"/>
      </w:pPr>
      <w:r>
        <w:rPr>
          <w:rFonts w:ascii="IRNazanin" w:hAnsi="IRNazanin" w:eastAsia="IRNazanin" w:cs="IRNazanin"/>
          <w:lang w:bidi="fa-IR"/>
          <w:color w:val="111111"/>
          <w:sz w:val="28"/>
          <w:szCs w:val="28"/>
          <w:rtl/>
        </w:rPr>
        <w:t xml:space="preserve">آغاز: برابر؛ انجام: و اما السورى ... فهو سليمان بن احمد ابراهيم ابو نصر السورى، روى عن موسى بن نصر الرازي ذکره شيرويه فى طبقات اهل همدان و  قال: روى عنه الحسن بن يـزید الدقيقى و كان صدوقا مات قبل العشر وثلاث مايه، يتلوه في اول الجزء الثانى ان شاء اله حرف الشين المعجمه</w:t>
      </w:r>
    </w:p>
    <w:p>
      <w:pPr>
        <w:pStyle w:val="BookText"/>
      </w:pPr>
      <w:r>
        <w:rPr>
          <w:rFonts w:ascii="IRNazanin" w:hAnsi="IRNazanin" w:eastAsia="IRNazanin" w:cs="IRNazanin"/>
          <w:lang w:bidi="fa-IR"/>
          <w:color w:val="111111"/>
          <w:sz w:val="28"/>
          <w:szCs w:val="28"/>
          <w:rtl/>
        </w:rPr>
        <w:t xml:space="preserve">نسخه اصل: همان نسخه اصل بالا در دو قسمت [عکسی ف:  ۵۱ و ۵۲  ]</w:t>
      </w:r>
    </w:p>
    <w:p>
      <w:pPr>
        <w:pStyle w:val="BookText"/>
      </w:pPr>
      <w:r>
        <w:rPr>
          <w:rFonts w:ascii="IRNazanin" w:hAnsi="IRNazanin" w:eastAsia="IRNazanin" w:cs="IRNazanin"/>
          <w:lang w:bidi="fa-IR"/>
          <w:color w:val="111111"/>
          <w:sz w:val="28"/>
          <w:szCs w:val="28"/>
          <w:rtl/>
        </w:rPr>
        <w:t xml:space="preserve">تهران؛ دانشگاه؛ شماره نسخه: ۵۶۰۶/۱-ف</w:t>
      </w:r>
    </w:p>
    <w:p>
      <w:pPr>
        <w:pStyle w:val="BookText"/>
      </w:pPr>
      <w:r>
        <w:rPr>
          <w:rFonts w:ascii="IRNazanin" w:hAnsi="IRNazanin" w:eastAsia="IRNazanin" w:cs="IRNazanin"/>
          <w:lang w:bidi="fa-IR"/>
          <w:color w:val="111111"/>
          <w:sz w:val="28"/>
          <w:szCs w:val="28"/>
          <w:rtl/>
        </w:rPr>
        <w:t xml:space="preserve">نسخه اصل: همان نسخه اصل بالا [ فیلم ها-ف: ٣ - ۱۷٠]</w:t>
      </w:r>
    </w:p>
    <w:p>
      <w:pPr>
        <w:pStyle w:val="Heading3"/>
      </w:pPr>
      <w:bookmarkStart w:id="1142" w:name="_Toc664"/>
      <w:r>
        <w:t>استدراكات ابن الخشاب علی مقامات الحریری و  جواب ابن بری / ادبیات / عربی</w:t>
      </w:r>
      <w:bookmarkEnd w:id="1142"/>
    </w:p>
    <w:p>
      <w:pPr>
        <w:pStyle w:val="BookText"/>
      </w:pPr>
      <w:r>
        <w:rPr>
          <w:rFonts w:ascii="Times New Roman" w:hAnsi="Times New Roman" w:eastAsia="Times New Roman" w:cs="Times New Roman"/>
          <w:lang w:val="en-US" w:bidi="en-US"/>
          <w:color w:val="111111"/>
          <w:sz w:val="28"/>
          <w:szCs w:val="28"/>
          <w:rtl/>
        </w:rPr>
        <w:t xml:space="preserve">istidrākāt ibn-i xaššāb ‘alā maqāmāt-il ḥarīrī wa jawābu</w:t>
      </w:r>
    </w:p>
    <w:p>
      <w:pPr>
        <w:pStyle w:val="BookText"/>
      </w:pPr>
      <w:r>
        <w:rPr>
          <w:rFonts w:ascii="Times New Roman" w:hAnsi="Times New Roman" w:eastAsia="Times New Roman" w:cs="Times New Roman"/>
          <w:lang w:val="en-US" w:bidi="en-US"/>
          <w:color w:val="111111"/>
          <w:sz w:val="28"/>
          <w:szCs w:val="28"/>
          <w:rtl/>
        </w:rPr>
        <w:t xml:space="preserve">ibn-i barī</w:t>
      </w:r>
    </w:p>
    <w:p>
      <w:pPr>
        <w:pStyle w:val="BookText"/>
      </w:pPr>
      <w:r>
        <w:rPr>
          <w:rFonts w:ascii="IRNazanin" w:hAnsi="IRNazanin" w:eastAsia="IRNazanin" w:cs="IRNazanin"/>
          <w:lang w:bidi="fa-IR"/>
          <w:color w:val="111111"/>
          <w:sz w:val="28"/>
          <w:szCs w:val="28"/>
          <w:rtl/>
        </w:rPr>
        <w:t xml:space="preserve">ابن  بری، عبدالله بن  بری، ۴۴۹ - ۵۸۲ ؟قمری</w:t>
      </w:r>
    </w:p>
    <w:p>
      <w:pPr>
        <w:pStyle w:val="BookText"/>
      </w:pPr>
      <w:r>
        <w:rPr>
          <w:rFonts w:ascii="Times New Roman" w:hAnsi="Times New Roman" w:eastAsia="Times New Roman" w:cs="Times New Roman"/>
          <w:lang w:val="en-US" w:bidi="en-US"/>
          <w:color w:val="111111"/>
          <w:sz w:val="28"/>
          <w:szCs w:val="28"/>
          <w:rtl/>
        </w:rPr>
        <w:t xml:space="preserve">(ebn-e barrī, ‘abd-ol-lāh ebn-e barrī (1058 - 1187)</w:t>
      </w:r>
    </w:p>
    <w:p>
      <w:pPr>
        <w:pStyle w:val="BookText"/>
      </w:pPr>
      <w:r>
        <w:rPr>
          <w:rFonts w:ascii="IRNazanin" w:hAnsi="IRNazanin" w:eastAsia="IRNazanin" w:cs="IRNazanin"/>
          <w:lang w:bidi="fa-IR"/>
          <w:color w:val="111111"/>
          <w:sz w:val="28"/>
          <w:szCs w:val="28"/>
          <w:rtl/>
        </w:rPr>
        <w:t xml:space="preserve">عبدالله بن احمد معروف به ابن خشاب نحوی بغدادی (-568) مواخذات و انتقاداتی بر مقامات حریری دارد و ابن بری عبدالله بن احمد مقدسی (-۵۸۲) به یاری حریری بر خاسته و اشکالات ابن الخشاب را پاسخ گفته است. رساله حاضر استدراكات و انتقادات ابن خشاب است همراه با انتصارات ابن بری که به این ترتیب آورده شده: قال  الحریری، قال ابن الخشاب و قال ابن بری دیباچه این رساله به قلم ابن الخشاب است</w:t>
      </w:r>
    </w:p>
    <w:p>
      <w:pPr>
        <w:pStyle w:val="BookText"/>
      </w:pPr>
      <w:r>
        <w:rPr>
          <w:rFonts w:ascii="IRNazanin" w:hAnsi="IRNazanin" w:eastAsia="IRNazanin" w:cs="IRNazanin"/>
          <w:lang w:bidi="fa-IR"/>
          <w:color w:val="111111"/>
          <w:sz w:val="28"/>
          <w:szCs w:val="28"/>
          <w:rtl/>
        </w:rPr>
        <w:t xml:space="preserve">چاپ: استانبول، ۱۳۲۸</w:t>
      </w:r>
    </w:p>
    <w:p>
      <w:pPr>
        <w:pStyle w:val="BookText"/>
      </w:pPr>
      <w:r>
        <w:rPr>
          <w:rFonts w:ascii="IRNazanin" w:hAnsi="IRNazanin" w:eastAsia="IRNazanin" w:cs="IRNazanin"/>
          <w:lang w:bidi="fa-IR"/>
          <w:color w:val="111111"/>
          <w:sz w:val="28"/>
          <w:szCs w:val="28"/>
          <w:rtl/>
        </w:rPr>
        <w:t xml:space="preserve">[معجم المطبوعات: ابن برى و ابن الخشاب؛ بغية الوعاة تحقيق ابو الفضل  ابراهیم ۲۹/۲ و ۳۴؛ کشف الظنون: مقامات حریری و لباب الالباب]</w:t>
      </w:r>
    </w:p>
    <w:p>
      <w:pPr>
        <w:pStyle w:val="BookText"/>
      </w:pPr>
      <w:r>
        <w:rPr>
          <w:rFonts w:ascii="IRNazanin" w:hAnsi="IRNazanin" w:eastAsia="IRNazanin" w:cs="IRNazanin"/>
          <w:lang w:bidi="fa-IR"/>
          <w:color w:val="111111"/>
          <w:sz w:val="28"/>
          <w:szCs w:val="28"/>
          <w:rtl/>
        </w:rPr>
        <w:t xml:space="preserve">تهران؛ مجلس؛ شماره نسخه: ۵۴۲/۲-ط</w:t>
      </w:r>
    </w:p>
    <w:p>
      <w:pPr>
        <w:pStyle w:val="BookText"/>
      </w:pPr>
      <w:r>
        <w:rPr>
          <w:rFonts w:ascii="IRNazanin" w:hAnsi="IRNazanin" w:eastAsia="IRNazanin" w:cs="IRNazanin"/>
          <w:lang w:bidi="fa-IR"/>
          <w:color w:val="111111"/>
          <w:sz w:val="28"/>
          <w:szCs w:val="28"/>
          <w:rtl/>
        </w:rPr>
        <w:t xml:space="preserve">آغاز: بسمله الحمد لله مستحق الحمد و مستوجبه ...  و بعد فهذه  حروف وقعت فى المقامات التي انشاءها القاسم بن على الحريری ينكرها العالمون بالعربيه ...  نبه  عليها العبد الفقير الى رحمة  الله عبدالله بن احمد بن احمد بن الخشاب البغدادى حين قرئت علیه  المقامات؛ انجام: تقدیم لامها و هى اللام على عينها و هى الواو . تمت الكتاب بعون الله الوهاب.</w:t>
      </w:r>
    </w:p>
    <w:p>
      <w:pPr>
        <w:pStyle w:val="BookText"/>
      </w:pPr>
      <w:r>
        <w:rPr>
          <w:rFonts w:ascii="IRNazanin" w:hAnsi="IRNazanin" w:eastAsia="IRNazanin" w:cs="IRNazanin"/>
          <w:lang w:bidi="fa-IR"/>
          <w:color w:val="111111"/>
          <w:sz w:val="28"/>
          <w:szCs w:val="28"/>
          <w:rtl/>
        </w:rPr>
        <w:t xml:space="preserve">خط: نسخ، بی کا، تا: قرن ۱۳؛ کاغذ: فرنگی نخودی رنگ، جـلد: تیماج  قرمز، ۴۷گ (۳۰پ - ۷۶ر)، ۱۴ سطر، 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w:t>
      </w:r>
    </w:p>
    <w:p>
      <w:pPr>
        <w:pStyle w:val="BookText"/>
      </w:pPr>
      <w:r>
        <w:rPr>
          <w:rFonts w:ascii="IRNazanin" w:hAnsi="IRNazanin" w:eastAsia="IRNazanin" w:cs="IRNazanin"/>
          <w:lang w:bidi="fa-IR"/>
          <w:color w:val="111111"/>
          <w:sz w:val="28"/>
          <w:szCs w:val="28"/>
          <w:rtl/>
        </w:rPr>
        <w:t xml:space="preserve">[ف: ۲۲ - ۲۵۲]</w:t>
      </w:r>
    </w:p>
    <w:p>
      <w:pPr>
        <w:pStyle w:val="Heading3"/>
      </w:pPr>
      <w:bookmarkStart w:id="1143" w:name="_Toc665"/>
      <w:r>
        <w:t>الاستدراک علی سیبویه في كتاب الأبنية / نحو /  عربی</w:t>
      </w:r>
      <w:bookmarkEnd w:id="1143"/>
    </w:p>
    <w:p>
      <w:pPr>
        <w:pStyle w:val="BookText"/>
      </w:pPr>
      <w:r>
        <w:rPr>
          <w:rFonts w:ascii="Times New Roman" w:hAnsi="Times New Roman" w:eastAsia="Times New Roman" w:cs="Times New Roman"/>
          <w:lang w:val="en-US" w:bidi="en-US"/>
          <w:color w:val="111111"/>
          <w:sz w:val="28"/>
          <w:szCs w:val="28"/>
          <w:rtl/>
        </w:rPr>
        <w:t xml:space="preserve">al-istidrāk ‘alā sībiwayh fī k.-il-’abnīyya</w:t>
      </w:r>
    </w:p>
    <w:p>
      <w:pPr>
        <w:pStyle w:val="BookText"/>
      </w:pPr>
      <w:r>
        <w:rPr>
          <w:rFonts w:ascii="IRNazanin" w:hAnsi="IRNazanin" w:eastAsia="IRNazanin" w:cs="IRNazanin"/>
          <w:lang w:bidi="fa-IR"/>
          <w:color w:val="111111"/>
          <w:sz w:val="28"/>
          <w:szCs w:val="28"/>
          <w:rtl/>
        </w:rPr>
        <w:t xml:space="preserve">زبیدی، محمد بن حسن، ۳۱۶ - ۳۷۹ قمری</w:t>
      </w:r>
    </w:p>
    <w:p>
      <w:pPr>
        <w:pStyle w:val="BookText"/>
      </w:pPr>
      <w:r>
        <w:rPr>
          <w:rFonts w:ascii="Times New Roman" w:hAnsi="Times New Roman" w:eastAsia="Times New Roman" w:cs="Times New Roman"/>
          <w:lang w:val="en-US" w:bidi="en-US"/>
          <w:color w:val="111111"/>
          <w:sz w:val="28"/>
          <w:szCs w:val="28"/>
          <w:rtl/>
        </w:rPr>
        <w:t xml:space="preserve">(zobaydi, mohammad ebn-e hasan (929 - 990)</w:t>
      </w:r>
    </w:p>
    <w:p>
      <w:pPr>
        <w:pStyle w:val="BookText"/>
      </w:pPr>
      <w:r>
        <w:rPr>
          <w:rFonts w:ascii="IRNazanin" w:hAnsi="IRNazanin" w:eastAsia="IRNazanin" w:cs="IRNazanin"/>
          <w:lang w:bidi="fa-IR"/>
          <w:color w:val="111111"/>
          <w:sz w:val="28"/>
          <w:szCs w:val="28"/>
          <w:rtl/>
        </w:rPr>
        <w:t xml:space="preserve">ابنيه اسماء و افعال را از کتاب سیبویه اختصار نموده و خود بناهایی را بدان افزوده و آنها را به روش آسانی برای مراجعه کنندگان مرتب نموده که آغاز اصول اسماء و حروف را آورده، سپس مزید آنها و بعد ابنيه اسماء و افعال را ذکر کرده و در آخر این بخش آنچه خود اضافات داشته افزوده و سپس شرح مختصر غریب الابنيه را متذکر و در پایان ابواب به شرح برخی از حروف پرداخته است</w:t>
      </w:r>
    </w:p>
    <w:p>
      <w:pPr>
        <w:pStyle w:val="BookText"/>
      </w:pPr>
      <w:r>
        <w:rPr>
          <w:rFonts w:ascii="IRNazanin" w:hAnsi="IRNazanin" w:eastAsia="IRNazanin" w:cs="IRNazanin"/>
          <w:lang w:bidi="fa-IR"/>
          <w:color w:val="111111"/>
          <w:sz w:val="28"/>
          <w:szCs w:val="28"/>
          <w:rtl/>
        </w:rPr>
        <w:t xml:space="preserve">چاپ ،روما ۱۸۹۰م ،بغداد، مكتبة المثبى، ۱۹۷۱م</w:t>
      </w:r>
    </w:p>
    <w:p>
      <w:pPr>
        <w:pStyle w:val="BookText"/>
      </w:pPr>
      <w:r>
        <w:rPr>
          <w:rFonts w:ascii="IRNazanin" w:hAnsi="IRNazanin" w:eastAsia="IRNazanin" w:cs="IRNazanin"/>
          <w:lang w:bidi="fa-IR"/>
          <w:color w:val="111111"/>
          <w:sz w:val="28"/>
          <w:szCs w:val="28"/>
          <w:rtl/>
        </w:rPr>
        <w:t xml:space="preserve">[زرکلی ۸۲/۶؛ ذخائر التراث العربي الاسلامى ۵۴۲/۱؛ معجم المطبوعات  ۹۶۲-۹۶۱/۱  ]</w:t>
      </w:r>
    </w:p>
    <w:p>
      <w:pPr>
        <w:pStyle w:val="BookText"/>
      </w:pPr>
      <w:r>
        <w:rPr>
          <w:rFonts w:ascii="IRNazanin" w:hAnsi="IRNazanin" w:eastAsia="IRNazanin" w:cs="IRNazanin"/>
          <w:lang w:bidi="fa-IR"/>
          <w:color w:val="111111"/>
          <w:sz w:val="28"/>
          <w:szCs w:val="28"/>
          <w:rtl/>
        </w:rPr>
        <w:t xml:space="preserve">قم؛ مرکز احیاء؛ شماره نسخه: ۱۶۰۷/۱</w:t>
      </w:r>
    </w:p>
    <w:p>
      <w:pPr>
        <w:pStyle w:val="BookText"/>
      </w:pPr>
      <w:r>
        <w:rPr>
          <w:rFonts w:ascii="IRNazanin" w:hAnsi="IRNazanin" w:eastAsia="IRNazanin" w:cs="IRNazanin"/>
          <w:lang w:bidi="fa-IR"/>
          <w:color w:val="111111"/>
          <w:sz w:val="28"/>
          <w:szCs w:val="28"/>
          <w:rtl/>
        </w:rPr>
        <w:t xml:space="preserve">آغاز: الحمدلله باری الانام و مجزل الاقسام المتفرد بكبريائه الذي لم يزل بصفاته و اسمائه خالق الخلق على سابق علمه و نافذ ارادته؛</w:t>
      </w:r>
    </w:p>
    <w:p>
      <w:pPr>
        <w:pStyle w:val="BookText"/>
      </w:pPr>
      <w:r>
        <w:rPr>
          <w:rFonts w:ascii="IRNazanin" w:hAnsi="IRNazanin" w:eastAsia="IRNazanin" w:cs="IRNazanin"/>
          <w:lang w:bidi="fa-IR"/>
          <w:color w:val="111111"/>
          <w:sz w:val="28"/>
          <w:szCs w:val="28"/>
          <w:rtl/>
        </w:rPr>
        <w:t xml:space="preserve">نسخه اصل: کتابخانه واتيكان- رم ۵۲۶؛ خط: نسخ معرب زیبا، کا: محمد بن حصین  واسطی، تا: ۱۵ جمادی الثانی ۶۲۲ق؛ از روی نسخه ای به خط شهریار بن بندار کتابت سال ۴۵۸؛ مصحح، محشی؛ ۱۳۶ص (3- 138) [ عکسی :ف ۵ - ۱۴]</w:t>
      </w:r>
    </w:p>
    <w:p>
      <w:pPr>
        <w:pStyle w:val="Heading3"/>
      </w:pPr>
      <w:bookmarkStart w:id="1144" w:name="_Toc666"/>
      <w:r>
        <w:t>الاستدراک علی کتاب الحجة / نحو / عربي</w:t>
      </w:r>
      <w:bookmarkEnd w:id="1144"/>
    </w:p>
    <w:p>
      <w:pPr>
        <w:pStyle w:val="BookText"/>
      </w:pPr>
      <w:r>
        <w:rPr>
          <w:rFonts w:ascii="Times New Roman" w:hAnsi="Times New Roman" w:eastAsia="Times New Roman" w:cs="Times New Roman"/>
          <w:lang w:val="en-US" w:bidi="en-US"/>
          <w:color w:val="111111"/>
          <w:sz w:val="28"/>
          <w:szCs w:val="28"/>
          <w:rtl/>
        </w:rPr>
        <w:t xml:space="preserve">al-istidrak ala k.-il-hujja</w:t>
      </w:r>
    </w:p>
    <w:p>
      <w:pPr>
        <w:pStyle w:val="BookText"/>
      </w:pPr>
      <w:r>
        <w:rPr>
          <w:rFonts w:ascii="IRNazanin" w:hAnsi="IRNazanin" w:eastAsia="IRNazanin" w:cs="IRNazanin"/>
          <w:lang w:bidi="fa-IR"/>
          <w:color w:val="111111"/>
          <w:sz w:val="28"/>
          <w:szCs w:val="28"/>
          <w:rtl/>
        </w:rPr>
        <w:t xml:space="preserve">باقولی، علی بن حسین، - ۵۴۳؟ قمری</w:t>
      </w:r>
    </w:p>
    <w:p>
      <w:pPr>
        <w:pStyle w:val="BookText"/>
      </w:pPr>
      <w:r>
        <w:rPr>
          <w:rFonts w:ascii="Times New Roman" w:hAnsi="Times New Roman" w:eastAsia="Times New Roman" w:cs="Times New Roman"/>
          <w:lang w:val="en-US" w:bidi="en-US"/>
          <w:color w:val="111111"/>
          <w:sz w:val="28"/>
          <w:szCs w:val="28"/>
          <w:rtl/>
        </w:rPr>
        <w:t xml:space="preserve">(bāqūlī, ‘alī-ye-bn-e hoseyn (- 1149)</w:t>
      </w:r>
    </w:p>
    <w:p>
      <w:pPr>
        <w:pStyle w:val="BookText"/>
      </w:pPr>
      <w:r>
        <w:rPr>
          <w:rFonts w:ascii="IRNazanin" w:hAnsi="IRNazanin" w:eastAsia="IRNazanin" w:cs="IRNazanin"/>
          <w:lang w:bidi="fa-IR"/>
          <w:color w:val="111111"/>
          <w:sz w:val="28"/>
          <w:szCs w:val="28"/>
          <w:rtl/>
        </w:rPr>
        <w:t xml:space="preserve">وابسته به: الحجة لائمة السبعة فى اختلاف قراءات القرآن؛ ،فارسی، حسن بن احمد (۳۷۷-۲۸۸)</w:t>
      </w:r>
    </w:p>
    <w:p>
      <w:pPr>
        <w:pStyle w:val="BookText"/>
      </w:pPr>
      <w:r>
        <w:rPr>
          <w:rFonts w:ascii="IRNazanin" w:hAnsi="IRNazanin" w:eastAsia="IRNazanin" w:cs="IRNazanin"/>
          <w:lang w:bidi="fa-IR"/>
          <w:color w:val="111111"/>
          <w:sz w:val="28"/>
          <w:szCs w:val="28"/>
          <w:rtl/>
        </w:rPr>
        <w:t xml:space="preserve">مؤلف تحریفات و اشکالاتی در کتاب «الحجة في علل القراءات السبعة» ابو علی فارسی دیده که اصحاب ابوعلی متوجه آنها نشده و از او سؤال نکرده اند. بیشتر این مسائل نحوی است و مؤلف مطالبی به مناسبت بر آن افزوده است.</w:t>
      </w:r>
    </w:p>
    <w:p>
      <w:pPr>
        <w:pStyle w:val="BookText"/>
      </w:pPr>
      <w:r>
        <w:rPr>
          <w:rFonts w:ascii="Amiri" w:hAnsi="Amiri" w:eastAsia="Amiri" w:cs="Amiri"/>
          <w:lang w:bidi="ar-SA"/>
          <w:color w:val="111111"/>
          <w:sz w:val="28"/>
          <w:szCs w:val="28"/>
          <w:rtl/>
        </w:rPr>
        <w:t xml:space="preserve">آغاز: هذه مسائل من كتاب الحجة وقع فيها خلل و تحريف فلم يسو احد من اصحاب ابى على هذا التحريف و لم يسالوا عنه</w:t>
      </w:r>
    </w:p>
    <w:p>
      <w:pPr>
        <w:pStyle w:val="BookText"/>
      </w:pPr>
      <w:r>
        <w:rPr>
          <w:rFonts w:ascii="IRNazanin" w:hAnsi="IRNazanin" w:eastAsia="IRNazanin" w:cs="IRNazanin"/>
          <w:lang w:bidi="fa-IR"/>
          <w:color w:val="111111"/>
          <w:sz w:val="28"/>
          <w:szCs w:val="28"/>
          <w:rtl/>
        </w:rPr>
        <w:t xml:space="preserve">[انباه الروات ۲۷۳:۱ و ۲۴۷ ؛یاقوت ۱۸۲:۵؛ این خلکان ش ۱۵۵]</w:t>
      </w:r>
    </w:p>
    <w:p>
      <w:pPr>
        <w:pStyle w:val="BookText"/>
      </w:pPr>
      <w:r>
        <w:rPr>
          <w:rFonts w:ascii="IRNazanin" w:hAnsi="IRNazanin" w:eastAsia="IRNazanin" w:cs="IRNazanin"/>
          <w:lang w:bidi="fa-IR"/>
          <w:color w:val="111111"/>
          <w:sz w:val="28"/>
          <w:szCs w:val="28"/>
          <w:rtl/>
        </w:rPr>
        <w:t xml:space="preserve">تهران؛ دانشگاه؛ شماره نسخه: ۵۴۷۰/۴ و ف ۲۲۷۹/۴</w:t>
      </w:r>
    </w:p>
    <w:p>
      <w:pPr>
        <w:pStyle w:val="BookText"/>
      </w:pPr>
      <w:r>
        <w:rPr>
          <w:rFonts w:ascii="IRNazanin" w:hAnsi="IRNazanin" w:eastAsia="IRNazanin" w:cs="IRNazanin"/>
          <w:lang w:bidi="fa-IR"/>
          <w:color w:val="111111"/>
          <w:sz w:val="28"/>
          <w:szCs w:val="28"/>
          <w:rtl/>
        </w:rPr>
        <w:t xml:space="preserve">بی کا:  محمد بن حسن بن محمد بن احمد حافظ رهقی، تا: ۵۴۷ق؛ افتادگی: انجام؛ خریداری شده از کتابخانه شیخ علی علومی یزد (شماره ۵۶، معرفی شده در نشریه ۴: (۴۴۴)، تملک: مطهر بن اسحاق بن موفق شریف بن محمد الحموی، فضل الله حسینی در ۹۸۷ ،۳۲ سطر (3</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،قطع: وزیری ،اندازه: 8</w:t>
      </w:r>
      <w:r>
        <w:rPr>
          <w:rFonts w:ascii="Times New Roman" w:hAnsi="Times New Roman" w:eastAsia="Times New Roman" w:cs="Times New Roman"/>
          <w:lang w:val="en-US" w:bidi="en-US"/>
          <w:color w:val="111111"/>
          <w:sz w:val="28"/>
          <w:szCs w:val="28"/>
          <w:rtl/>
        </w:rPr>
        <w:t xml:space="preserve">×26</w:t>
      </w:r>
      <w:r>
        <w:rPr>
          <w:rFonts w:ascii="IRNazanin" w:hAnsi="IRNazanin" w:eastAsia="IRNazanin" w:cs="IRNazanin"/>
          <w:lang w:bidi="fa-IR"/>
          <w:color w:val="111111"/>
          <w:sz w:val="28"/>
          <w:szCs w:val="28"/>
          <w:rtl/>
        </w:rPr>
        <w:t xml:space="preserve">سم [ف ۱۶ -  ۱۷] و [فیلم ها ف: ۱-۶۶۸]</w:t>
      </w:r>
    </w:p>
    <w:p>
      <w:pPr>
        <w:pStyle w:val="BookText"/>
      </w:pPr>
      <w:r>
        <w:rPr>
          <w:rFonts w:ascii="IRNazanin" w:hAnsi="IRNazanin" w:eastAsia="IRNazanin" w:cs="IRNazanin"/>
          <w:lang w:bidi="fa-IR"/>
          <w:color w:val="111111"/>
          <w:sz w:val="28"/>
          <w:szCs w:val="28"/>
          <w:rtl/>
        </w:rPr>
        <w:t xml:space="preserve">قم؛ مرکز احیاء شماره نسخه: ۱۵۱/۴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81" w:name="pg20365_260264"/>
    <w:bookmarkEnd w:id="181"/>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نسخه اصل: همان نسخه بالا ۵ص( ۴۰۰-۴۰۴) [ عکسی ف۱-171]</w:t>
      </w:r>
    </w:p>
    <w:p>
      <w:pPr>
        <w:pStyle w:val="BookText"/>
      </w:pPr>
      <w:r>
        <w:rPr>
          <w:rFonts w:ascii="IRNazanin" w:hAnsi="IRNazanin" w:eastAsia="IRNazanin" w:cs="IRNazanin"/>
          <w:lang w:bidi="fa-IR"/>
          <w:color w:val="111111"/>
          <w:sz w:val="28"/>
          <w:szCs w:val="28"/>
          <w:rtl/>
        </w:rPr>
        <w:t xml:space="preserve">«استدراک کتاب مختلف الشيعة » تعليقه</w:t>
      </w:r>
    </w:p>
    <w:p>
      <w:pPr>
        <w:pStyle w:val="Heading3"/>
      </w:pPr>
      <w:bookmarkStart w:id="1145" w:name="_Toc667"/>
      <w:r>
        <w:t>استدلال الاحكام / فقه / فارسی</w:t>
      </w:r>
      <w:bookmarkEnd w:id="1145"/>
    </w:p>
    <w:p>
      <w:pPr>
        <w:pStyle w:val="BookText"/>
      </w:pPr>
      <w:r>
        <w:rPr>
          <w:rFonts w:ascii="Times New Roman" w:hAnsi="Times New Roman" w:eastAsia="Times New Roman" w:cs="Times New Roman"/>
          <w:lang w:val="en-US" w:bidi="en-US"/>
          <w:color w:val="111111"/>
          <w:sz w:val="28"/>
          <w:szCs w:val="28"/>
          <w:rtl/>
        </w:rPr>
        <w:t xml:space="preserve">estedlāl-ol-ahkām</w:t>
      </w:r>
    </w:p>
    <w:p>
      <w:pPr>
        <w:pStyle w:val="BookText"/>
      </w:pPr>
      <w:r>
        <w:rPr>
          <w:rFonts w:ascii="IRNazanin" w:hAnsi="IRNazanin" w:eastAsia="IRNazanin" w:cs="IRNazanin"/>
          <w:lang w:bidi="fa-IR"/>
          <w:color w:val="111111"/>
          <w:sz w:val="28"/>
          <w:szCs w:val="28"/>
          <w:rtl/>
        </w:rPr>
        <w:t xml:space="preserve">عرب، محمد طاهر، ق ۱۴ قمری</w:t>
      </w:r>
    </w:p>
    <w:p>
      <w:pPr>
        <w:pStyle w:val="BookText"/>
      </w:pPr>
      <w:r>
        <w:rPr>
          <w:rFonts w:ascii="Times New Roman" w:hAnsi="Times New Roman" w:eastAsia="Times New Roman" w:cs="Times New Roman"/>
          <w:lang w:val="en-US" w:bidi="en-US"/>
          <w:color w:val="111111"/>
          <w:sz w:val="28"/>
          <w:szCs w:val="28"/>
          <w:rtl/>
        </w:rPr>
        <w:t xml:space="preserve">(arab, mohammad tāher (- 20c)</w:t>
      </w:r>
    </w:p>
    <w:p>
      <w:pPr>
        <w:pStyle w:val="BookText"/>
      </w:pPr>
      <w:r>
        <w:rPr>
          <w:rFonts w:ascii="IRNazanin" w:hAnsi="IRNazanin" w:eastAsia="IRNazanin" w:cs="IRNazanin"/>
          <w:lang w:bidi="fa-IR"/>
          <w:color w:val="111111"/>
          <w:sz w:val="28"/>
          <w:szCs w:val="28"/>
          <w:rtl/>
        </w:rPr>
        <w:t xml:space="preserve">شیراز؛ خانقاه احمدیه؛ شماره نسخه: بدون شماره</w:t>
      </w:r>
    </w:p>
    <w:p>
      <w:pPr>
        <w:pStyle w:val="BookText"/>
      </w:pPr>
      <w:r>
        <w:rPr>
          <w:rFonts w:ascii="IRNazanin" w:hAnsi="IRNazanin" w:eastAsia="IRNazanin" w:cs="IRNazanin"/>
          <w:lang w:bidi="fa-IR"/>
          <w:color w:val="111111"/>
          <w:sz w:val="28"/>
          <w:szCs w:val="28"/>
          <w:rtl/>
        </w:rPr>
        <w:t xml:space="preserve">بی  کا، تا: ۷ رمضان ۱۳۲۳ق؛ با فهرست آثار مؤلف در پایان نسخه ؛ اص (۱۸۴) [ نشریه: ۵ - ۲۰۹]</w:t>
      </w:r>
    </w:p>
    <w:p>
      <w:pPr>
        <w:pStyle w:val="Heading3"/>
      </w:pPr>
      <w:bookmarkStart w:id="1146" w:name="_Toc668"/>
      <w:r>
        <w:t>استدلاليه / شعر بهائیت / فارسی</w:t>
      </w:r>
      <w:bookmarkEnd w:id="1146"/>
    </w:p>
    <w:p>
      <w:pPr>
        <w:pStyle w:val="BookText"/>
      </w:pPr>
      <w:r>
        <w:rPr>
          <w:rFonts w:ascii="Times New Roman" w:hAnsi="Times New Roman" w:eastAsia="Times New Roman" w:cs="Times New Roman"/>
          <w:lang w:val="en-US" w:bidi="en-US"/>
          <w:color w:val="111111"/>
          <w:sz w:val="28"/>
          <w:szCs w:val="28"/>
          <w:rtl/>
        </w:rPr>
        <w:t xml:space="preserve">estedlālīye</w:t>
      </w:r>
    </w:p>
    <w:p>
      <w:pPr>
        <w:pStyle w:val="BookText"/>
      </w:pPr>
      <w:r>
        <w:rPr>
          <w:rFonts w:ascii="IRNazanin" w:hAnsi="IRNazanin" w:eastAsia="IRNazanin" w:cs="IRNazanin"/>
          <w:lang w:bidi="fa-IR"/>
          <w:color w:val="111111"/>
          <w:sz w:val="28"/>
          <w:szCs w:val="28"/>
          <w:rtl/>
        </w:rPr>
        <w:t xml:space="preserve">نعیم سدهی ،محمد، ۱۲۷۲ - ۱۳۳۴ قمری</w:t>
      </w:r>
    </w:p>
    <w:p>
      <w:pPr>
        <w:pStyle w:val="BookText"/>
      </w:pPr>
      <w:r>
        <w:rPr>
          <w:rFonts w:ascii="Times New Roman" w:hAnsi="Times New Roman" w:eastAsia="Times New Roman" w:cs="Times New Roman"/>
          <w:lang w:val="en-US" w:bidi="en-US"/>
          <w:color w:val="111111"/>
          <w:sz w:val="28"/>
          <w:szCs w:val="28"/>
          <w:rtl/>
        </w:rPr>
        <w:t xml:space="preserve">(na‘īm-e sadehī, mohammad (1856 - 1916)</w:t>
      </w:r>
    </w:p>
    <w:p>
      <w:pPr>
        <w:pStyle w:val="BookText"/>
      </w:pPr>
      <w:r>
        <w:rPr>
          <w:rFonts w:ascii="IRNazanin" w:hAnsi="IRNazanin" w:eastAsia="IRNazanin" w:cs="IRNazanin"/>
          <w:lang w:bidi="fa-IR"/>
          <w:color w:val="111111"/>
          <w:sz w:val="28"/>
          <w:szCs w:val="28"/>
          <w:rtl/>
        </w:rPr>
        <w:t xml:space="preserve">دفتری است به نظم در بیان اندیشه های بهائیان و از بهاء الله نام برده است. ۴۸ بند در قالب ترکیب بند. بیشتر بندها به عربی  است.</w:t>
      </w:r>
    </w:p>
    <w:p>
      <w:pPr>
        <w:pStyle w:val="BookText"/>
      </w:pPr>
      <w:r>
        <w:rPr>
          <w:rFonts w:ascii="Amiri" w:hAnsi="Amiri" w:eastAsia="Amiri" w:cs="Amiri"/>
          <w:lang w:bidi="ar-SA"/>
          <w:color w:val="111111"/>
          <w:sz w:val="28"/>
          <w:szCs w:val="28"/>
          <w:rtl/>
        </w:rPr>
        <w:t xml:space="preserve">آغاز: بحمد الله تماماً بالذات*** مالك الملك محيى الاخوات</w:t>
      </w:r>
    </w:p>
    <w:p>
      <w:pPr>
        <w:pStyle w:val="BookText"/>
      </w:pPr>
      <w:r>
        <w:rPr>
          <w:rFonts w:ascii="IRNazanin" w:hAnsi="IRNazanin" w:eastAsia="IRNazanin" w:cs="IRNazanin"/>
          <w:lang w:bidi="fa-IR"/>
          <w:color w:val="111111"/>
          <w:sz w:val="28"/>
          <w:szCs w:val="28"/>
          <w:rtl/>
        </w:rPr>
        <w:t xml:space="preserve">انجام: ای خدا کار ما بما مگذار *** پرده از پیش چشم ها بردار</w:t>
      </w:r>
    </w:p>
    <w:p>
      <w:pPr>
        <w:pStyle w:val="BookText"/>
      </w:pPr>
      <w:r>
        <w:rPr>
          <w:rFonts w:ascii="IRNazanin" w:hAnsi="IRNazanin" w:eastAsia="IRNazanin" w:cs="IRNazanin"/>
          <w:lang w:bidi="fa-IR"/>
          <w:color w:val="111111"/>
          <w:sz w:val="28"/>
          <w:szCs w:val="28"/>
          <w:rtl/>
        </w:rPr>
        <w:t xml:space="preserve">[فهرستواره منزوی ۱۳۸/۱۰ و ۸۶/۹  ]</w:t>
      </w:r>
    </w:p>
    <w:p>
      <w:pPr>
        <w:pStyle w:val="BookText"/>
      </w:pPr>
      <w:r>
        <w:rPr>
          <w:rFonts w:ascii="IRNazanin" w:hAnsi="IRNazanin" w:eastAsia="IRNazanin" w:cs="IRNazanin"/>
          <w:lang w:bidi="fa-IR"/>
          <w:color w:val="111111"/>
          <w:sz w:val="28"/>
          <w:szCs w:val="28"/>
          <w:rtl/>
        </w:rPr>
        <w:t xml:space="preserve">آشتیان؛ حوزه علمیه؛ شماره نسخه ۷: بخش دوم</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تحریری، بی کا، بی تا :افتادگی: انجام؛ حدود ۹۵۰ بیت با غلط های املایی؛ کاغذ: لیمویی ،جلد: عطف پارچه گلی، ۴۳گ، مختلف السطر، قطع: نیم رقعی،اندازه: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۱۵۶]</w:t>
      </w:r>
    </w:p>
    <w:p>
      <w:pPr>
        <w:pStyle w:val="Heading3"/>
      </w:pPr>
      <w:bookmarkStart w:id="1147" w:name="_Toc669"/>
      <w:r>
        <w:t>استدلالیه / کلام و اعتقادات / فارسی و عربی</w:t>
      </w:r>
      <w:bookmarkEnd w:id="1147"/>
    </w:p>
    <w:p>
      <w:pPr>
        <w:pStyle w:val="BookText"/>
      </w:pPr>
      <w:r>
        <w:rPr>
          <w:rFonts w:ascii="Times New Roman" w:hAnsi="Times New Roman" w:eastAsia="Times New Roman" w:cs="Times New Roman"/>
          <w:lang w:val="en-US" w:bidi="en-US"/>
          <w:color w:val="111111"/>
          <w:sz w:val="28"/>
          <w:szCs w:val="28"/>
          <w:rtl/>
        </w:rPr>
        <w:t xml:space="preserve">estedlālīye</w:t>
      </w:r>
    </w:p>
    <w:p>
      <w:pPr>
        <w:pStyle w:val="BookText"/>
      </w:pPr>
      <w:r>
        <w:rPr>
          <w:rFonts w:ascii="IRNazanin" w:hAnsi="IRNazanin" w:eastAsia="IRNazanin" w:cs="IRNazanin"/>
          <w:lang w:bidi="fa-IR"/>
          <w:color w:val="111111"/>
          <w:sz w:val="28"/>
          <w:szCs w:val="28"/>
          <w:rtl/>
        </w:rPr>
        <w:t xml:space="preserve">نعیم سدهی ،محمد، ۱۲۷۲ - ۱۳۳۴ قمری</w:t>
      </w:r>
    </w:p>
    <w:p>
      <w:pPr>
        <w:pStyle w:val="BookText"/>
      </w:pPr>
      <w:r>
        <w:rPr>
          <w:rFonts w:ascii="Times New Roman" w:hAnsi="Times New Roman" w:eastAsia="Times New Roman" w:cs="Times New Roman"/>
          <w:lang w:val="en-US" w:bidi="en-US"/>
          <w:color w:val="111111"/>
          <w:sz w:val="28"/>
          <w:szCs w:val="28"/>
          <w:rtl/>
        </w:rPr>
        <w:t xml:space="preserve">(na‘īm-e sadehī, mohammad (1856 - 1916)</w:t>
      </w:r>
    </w:p>
    <w:p>
      <w:pPr>
        <w:pStyle w:val="BookText"/>
      </w:pPr>
      <w:r>
        <w:rPr>
          <w:rFonts w:ascii="IRNazanin" w:hAnsi="IRNazanin" w:eastAsia="IRNazanin" w:cs="IRNazanin"/>
          <w:lang w:bidi="fa-IR"/>
          <w:color w:val="111111"/>
          <w:sz w:val="28"/>
          <w:szCs w:val="28"/>
          <w:rtl/>
        </w:rPr>
        <w:t xml:space="preserve">مشهد؛ رضوی؛ شماره نسخه: ۱۶۱۸۸</w:t>
      </w:r>
    </w:p>
    <w:p>
      <w:pPr>
        <w:pStyle w:val="BookText"/>
      </w:pPr>
      <w:r>
        <w:rPr>
          <w:rFonts w:ascii="IRNazanin" w:hAnsi="IRNazanin" w:eastAsia="IRNazanin" w:cs="IRNazanin"/>
          <w:lang w:bidi="fa-IR"/>
          <w:color w:val="111111"/>
          <w:sz w:val="28"/>
          <w:szCs w:val="28"/>
          <w:rtl/>
        </w:rPr>
        <w:t xml:space="preserve">آغاز: بسمله سئوال: ما منتظر بودیم برای ظهور آل محمد؛ انجـام: در ملکوت اسرار مستفرق دریای انوار فرما</w:t>
      </w:r>
    </w:p>
    <w:p>
      <w:pPr>
        <w:pStyle w:val="BookText"/>
      </w:pPr>
      <w:r>
        <w:rPr>
          <w:rFonts w:ascii="IRNazanin" w:hAnsi="IRNazanin" w:eastAsia="IRNazanin" w:cs="IRNazanin"/>
          <w:lang w:bidi="fa-IR"/>
          <w:color w:val="111111"/>
          <w:sz w:val="28"/>
          <w:szCs w:val="28"/>
          <w:rtl/>
        </w:rPr>
        <w:t xml:space="preserve">خط: نستعلیق، بی کا، تا: ۱۳۳۷ق، جلد: میشن [رایانه]</w:t>
      </w:r>
    </w:p>
    <w:p>
      <w:pPr>
        <w:pStyle w:val="BookText"/>
      </w:pPr>
      <w:r>
        <w:rPr>
          <w:rFonts w:ascii="IRNazanin" w:hAnsi="IRNazanin" w:eastAsia="IRNazanin" w:cs="IRNazanin"/>
          <w:lang w:bidi="fa-IR"/>
          <w:color w:val="111111"/>
          <w:sz w:val="28"/>
          <w:szCs w:val="28"/>
          <w:rtl/>
        </w:rPr>
        <w:t xml:space="preserve">«استر آباد » آمار استرآباد</w:t>
      </w:r>
    </w:p>
    <w:p>
      <w:pPr>
        <w:pStyle w:val="Heading3"/>
      </w:pPr>
      <w:bookmarkStart w:id="1148" w:name="_Toc670"/>
      <w:r>
        <w:t>الاستشارة من القرآن / علوم غریبه / عربی</w:t>
      </w:r>
      <w:bookmarkEnd w:id="1148"/>
    </w:p>
    <w:p>
      <w:pPr>
        <w:pStyle w:val="BookText"/>
      </w:pPr>
      <w:r>
        <w:rPr>
          <w:rFonts w:ascii="Times New Roman" w:hAnsi="Times New Roman" w:eastAsia="Times New Roman" w:cs="Times New Roman"/>
          <w:lang w:val="en-US" w:bidi="en-US"/>
          <w:color w:val="111111"/>
          <w:sz w:val="28"/>
          <w:szCs w:val="28"/>
          <w:rtl/>
        </w:rPr>
        <w:t xml:space="preserve">al-istišāra min-al-qur'an</w:t>
      </w:r>
    </w:p>
    <w:p>
      <w:pPr>
        <w:pStyle w:val="BookText"/>
      </w:pPr>
      <w:r>
        <w:rPr>
          <w:rFonts w:ascii="IRNazanin" w:hAnsi="IRNazanin" w:eastAsia="IRNazanin" w:cs="IRNazanin"/>
          <w:lang w:bidi="fa-IR"/>
          <w:color w:val="111111"/>
          <w:sz w:val="28"/>
          <w:szCs w:val="28"/>
          <w:rtl/>
        </w:rPr>
        <w:t xml:space="preserve">رساله ای در طریق استخاره به قرآن به شکل خاص که با علم  حروف مرتبط است.</w:t>
      </w:r>
    </w:p>
    <w:p>
      <w:pPr>
        <w:pStyle w:val="BookText"/>
      </w:pPr>
      <w:r>
        <w:rPr>
          <w:rFonts w:ascii="IRNazanin" w:hAnsi="IRNazanin" w:eastAsia="IRNazanin" w:cs="IRNazanin"/>
          <w:lang w:bidi="fa-IR"/>
          <w:color w:val="111111"/>
          <w:sz w:val="28"/>
          <w:szCs w:val="28"/>
          <w:rtl/>
        </w:rPr>
        <w:t xml:space="preserve">مشهد؛ شیخ علی حیدر؛ شماره نسخه: ۱۸۶/۴</w:t>
      </w:r>
    </w:p>
    <w:p>
      <w:pPr>
        <w:pStyle w:val="BookText"/>
      </w:pPr>
      <w:r>
        <w:rPr>
          <w:rFonts w:ascii="Amiri" w:hAnsi="Amiri" w:eastAsia="Amiri" w:cs="Amiri"/>
          <w:lang w:bidi="ar-SA"/>
          <w:color w:val="111111"/>
          <w:sz w:val="28"/>
          <w:szCs w:val="28"/>
          <w:rtl/>
        </w:rPr>
        <w:t xml:space="preserve">آغاز: هذه رسالة فى بيان الاستشارة عن كلام الملك العلام ؛</w:t>
      </w:r>
    </w:p>
    <w:p>
      <w:pPr>
        <w:pStyle w:val="BookText"/>
      </w:pPr>
      <w:r>
        <w:rPr>
          <w:rFonts w:ascii="IRNazanin" w:hAnsi="IRNazanin" w:eastAsia="IRNazanin" w:cs="IRNazanin"/>
          <w:lang w:bidi="fa-IR"/>
          <w:color w:val="111111"/>
          <w:sz w:val="28"/>
          <w:szCs w:val="28"/>
          <w:rtl/>
        </w:rPr>
        <w:t xml:space="preserve">انجام: التسع مع الواحد الواحد غالب</w:t>
      </w:r>
    </w:p>
    <w:p>
      <w:pPr>
        <w:pStyle w:val="BookText"/>
      </w:pPr>
      <w:r>
        <w:rPr>
          <w:rFonts w:ascii="IRNazanin" w:hAnsi="IRNazanin" w:eastAsia="IRNazanin" w:cs="IRNazanin"/>
          <w:lang w:bidi="fa-IR"/>
          <w:color w:val="111111"/>
          <w:sz w:val="28"/>
          <w:szCs w:val="28"/>
          <w:rtl/>
        </w:rPr>
        <w:t xml:space="preserve">بی کا، بی تا؛جلد: چرم زرد، ۵گ (98ر- 102پ)، اندازه:  ۱۲</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۱۸سم [مؤيد: ۱ - ۱۸۳]</w:t>
      </w:r>
    </w:p>
    <w:p>
      <w:pPr>
        <w:pStyle w:val="BookText"/>
      </w:pPr>
      <w:r>
        <w:rPr>
          <w:rFonts w:ascii="IRNazanin" w:hAnsi="IRNazanin" w:eastAsia="IRNazanin" w:cs="IRNazanin"/>
          <w:lang w:bidi="fa-IR"/>
          <w:color w:val="111111"/>
          <w:sz w:val="28"/>
          <w:szCs w:val="28"/>
          <w:rtl/>
        </w:rPr>
        <w:t xml:space="preserve">« استشفاء » آداب استشفاء به آب نیسان</w:t>
      </w:r>
    </w:p>
    <w:p>
      <w:pPr>
        <w:pStyle w:val="Heading3"/>
      </w:pPr>
      <w:bookmarkStart w:id="1149" w:name="_Toc671"/>
      <w:r>
        <w:t>استشفاء از تربت امام حسین (علیه السّلام) / حدیث / عربی و  فارسی</w:t>
      </w:r>
      <w:bookmarkEnd w:id="1149"/>
    </w:p>
    <w:p>
      <w:pPr>
        <w:pStyle w:val="BookText"/>
      </w:pPr>
      <w:r>
        <w:rPr>
          <w:rFonts w:ascii="Times New Roman" w:hAnsi="Times New Roman" w:eastAsia="Times New Roman" w:cs="Times New Roman"/>
          <w:lang w:val="en-US" w:bidi="en-US"/>
          <w:color w:val="111111"/>
          <w:sz w:val="28"/>
          <w:szCs w:val="28"/>
          <w:rtl/>
        </w:rPr>
        <w:t xml:space="preserve">estešfā' az torbat-e emām hoseyn</w:t>
      </w:r>
    </w:p>
    <w:p>
      <w:pPr>
        <w:pStyle w:val="BookText"/>
      </w:pPr>
      <w:r>
        <w:rPr>
          <w:rFonts w:ascii="IRNazanin" w:hAnsi="IRNazanin" w:eastAsia="IRNazanin" w:cs="IRNazanin"/>
          <w:lang w:bidi="fa-IR"/>
          <w:color w:val="111111"/>
          <w:sz w:val="28"/>
          <w:szCs w:val="28"/>
          <w:rtl/>
        </w:rPr>
        <w:t xml:space="preserve">تهران؛ مجلس؛ شماره نسخه: ۹۴۶۶/۶</w:t>
      </w:r>
    </w:p>
    <w:p>
      <w:pPr>
        <w:pStyle w:val="BookText"/>
      </w:pPr>
      <w:r>
        <w:rPr>
          <w:rFonts w:ascii="IRNazanin" w:hAnsi="IRNazanin" w:eastAsia="IRNazanin" w:cs="IRNazanin"/>
          <w:lang w:bidi="fa-IR"/>
          <w:color w:val="111111"/>
          <w:sz w:val="28"/>
          <w:szCs w:val="28"/>
          <w:rtl/>
        </w:rPr>
        <w:t xml:space="preserve">خط: نسخ و نستعلیق، کا: مسیح طبيب (شاید مسیح الملک  شیرازی مترجم و دانشمند و سخنران فارس باشد)، تا: حدود ۱۰۲۹ق؛ ۱ص (۱۲) [ [مختصر - ف: ۵۱]</w:t>
      </w:r>
    </w:p>
    <w:p>
      <w:pPr>
        <w:pStyle w:val="Heading3"/>
      </w:pPr>
      <w:bookmarkStart w:id="1150" w:name="_Toc672"/>
      <w:r>
        <w:t>استشهاد / اسناد / فارسی</w:t>
      </w:r>
      <w:bookmarkEnd w:id="1150"/>
    </w:p>
    <w:p>
      <w:pPr>
        <w:pStyle w:val="BookText"/>
      </w:pPr>
      <w:r>
        <w:rPr>
          <w:rFonts w:ascii="Times New Roman" w:hAnsi="Times New Roman" w:eastAsia="Times New Roman" w:cs="Times New Roman"/>
          <w:lang w:val="en-US" w:bidi="en-US"/>
          <w:color w:val="111111"/>
          <w:sz w:val="28"/>
          <w:szCs w:val="28"/>
          <w:rtl/>
        </w:rPr>
        <w:t xml:space="preserve">estešhād</w:t>
      </w:r>
    </w:p>
    <w:p>
      <w:pPr>
        <w:pStyle w:val="BookText"/>
      </w:pPr>
      <w:r>
        <w:rPr>
          <w:rFonts w:ascii="IRNazanin" w:hAnsi="IRNazanin" w:eastAsia="IRNazanin" w:cs="IRNazanin"/>
          <w:lang w:bidi="fa-IR"/>
          <w:color w:val="111111"/>
          <w:sz w:val="28"/>
          <w:szCs w:val="28"/>
          <w:rtl/>
        </w:rPr>
        <w:t xml:space="preserve">استشهاد درباره اینکه امان الله خان والی ثانی مسجدی با قنات در شهر کردستان ساخته و ملا احمد جواد رودی آن را تصرف و  تملک کرده است، با چندین مهر و امضاء.</w:t>
      </w:r>
    </w:p>
    <w:p>
      <w:pPr>
        <w:pStyle w:val="BookText"/>
      </w:pPr>
      <w:r>
        <w:rPr>
          <w:rFonts w:ascii="IRNazanin" w:hAnsi="IRNazanin" w:eastAsia="IRNazanin" w:cs="IRNazanin"/>
          <w:lang w:bidi="fa-IR"/>
          <w:color w:val="111111"/>
          <w:sz w:val="28"/>
          <w:szCs w:val="28"/>
          <w:rtl/>
        </w:rPr>
        <w:t xml:space="preserve">تهران؛ مفتاح؛ شماره نسخه: ۱۷۹</w:t>
      </w:r>
    </w:p>
    <w:p>
      <w:pPr>
        <w:pStyle w:val="BookText"/>
      </w:pPr>
      <w:r>
        <w:rPr>
          <w:rFonts w:ascii="IRNazanin" w:hAnsi="IRNazanin" w:eastAsia="IRNazanin" w:cs="IRNazanin"/>
          <w:lang w:bidi="fa-IR"/>
          <w:color w:val="111111"/>
          <w:sz w:val="28"/>
          <w:szCs w:val="28"/>
          <w:rtl/>
        </w:rPr>
        <w:t xml:space="preserve">بی کا، بی تا[ نشریه: ۷ - ۳۳۵]</w:t>
      </w:r>
    </w:p>
    <w:p>
      <w:pPr>
        <w:pStyle w:val="BookText"/>
      </w:pPr>
      <w:r>
        <w:rPr>
          <w:rFonts w:ascii="Amiri" w:hAnsi="Amiri" w:eastAsia="Amiri" w:cs="Amiri"/>
          <w:lang w:bidi="ar-SA"/>
          <w:color w:val="111111"/>
          <w:sz w:val="28"/>
          <w:szCs w:val="28"/>
          <w:rtl/>
        </w:rPr>
        <w:t xml:space="preserve">«الاستصحاب » تقريرات الاصول</w:t>
      </w:r>
    </w:p>
    <w:p>
      <w:pPr>
        <w:pStyle w:val="Heading3"/>
      </w:pPr>
      <w:bookmarkStart w:id="1151" w:name="_Toc673"/>
      <w:r>
        <w:t>الاستصحاب / استصحاب - عربی</w:t>
      </w:r>
      <w:bookmarkEnd w:id="1151"/>
    </w:p>
    <w:p>
      <w:pPr>
        <w:pStyle w:val="BookText"/>
      </w:pPr>
      <w:r>
        <w:rPr>
          <w:rFonts w:ascii="Times New Roman" w:hAnsi="Times New Roman" w:eastAsia="Times New Roman" w:cs="Times New Roman"/>
          <w:lang w:val="en-US" w:bidi="en-US"/>
          <w:color w:val="111111"/>
          <w:sz w:val="28"/>
          <w:szCs w:val="28"/>
          <w:rtl/>
        </w:rPr>
        <w:t xml:space="preserve">al-istiṣḥāb</w:t>
      </w:r>
    </w:p>
    <w:p>
      <w:pPr>
        <w:pStyle w:val="BookText"/>
      </w:pPr>
      <w:r>
        <w:rPr>
          <w:rFonts w:ascii="IRNazanin" w:hAnsi="IRNazanin" w:eastAsia="IRNazanin" w:cs="IRNazanin"/>
          <w:lang w:bidi="fa-IR"/>
          <w:color w:val="111111"/>
          <w:sz w:val="28"/>
          <w:szCs w:val="28"/>
          <w:rtl/>
        </w:rPr>
        <w:t xml:space="preserve">محقق سبزواری، محمد باقر بن محمد مؤمن، 1017-۱۰۹۰ قمری</w:t>
      </w:r>
    </w:p>
    <w:p>
      <w:pPr>
        <w:pStyle w:val="BookText"/>
      </w:pPr>
      <w:r>
        <w:rPr>
          <w:rFonts w:ascii="Times New Roman" w:hAnsi="Times New Roman" w:eastAsia="Times New Roman" w:cs="Times New Roman"/>
          <w:lang w:val="en-US" w:bidi="en-US"/>
          <w:color w:val="111111"/>
          <w:sz w:val="28"/>
          <w:szCs w:val="28"/>
          <w:rtl/>
        </w:rPr>
        <w:t xml:space="preserve">mohaqqeq-e sabzevārī, mohammad bāqer ebn-e</w:t>
      </w:r>
    </w:p>
    <w:p>
      <w:pPr>
        <w:pStyle w:val="BookText"/>
      </w:pPr>
      <w:r>
        <w:rPr>
          <w:rFonts w:ascii="Times New Roman" w:hAnsi="Times New Roman" w:eastAsia="Times New Roman" w:cs="Times New Roman"/>
          <w:lang w:val="en-US" w:bidi="en-US"/>
          <w:color w:val="111111"/>
          <w:sz w:val="28"/>
          <w:szCs w:val="28"/>
          <w:rtl/>
        </w:rPr>
        <w:t xml:space="preserve">(mohammad momen (1609 - 1679)</w:t>
      </w:r>
    </w:p>
    <w:p>
      <w:pPr>
        <w:pStyle w:val="BookText"/>
      </w:pPr>
      <w:r>
        <w:rPr>
          <w:rFonts w:ascii="IRNazanin" w:hAnsi="IRNazanin" w:eastAsia="IRNazanin" w:cs="IRNazanin"/>
          <w:lang w:bidi="fa-IR"/>
          <w:color w:val="111111"/>
          <w:sz w:val="28"/>
          <w:szCs w:val="28"/>
          <w:rtl/>
        </w:rPr>
        <w:t xml:space="preserve">تهران؛ ملک؛ شماره نسخه ۲۸۰۱/۱۳</w:t>
      </w:r>
    </w:p>
    <w:p>
      <w:pPr>
        <w:pStyle w:val="BookText"/>
      </w:pPr>
      <w:r>
        <w:rPr>
          <w:rFonts w:ascii="IRNazanin" w:hAnsi="IRNazanin" w:eastAsia="IRNazanin" w:cs="IRNazanin"/>
          <w:lang w:bidi="fa-IR"/>
          <w:color w:val="111111"/>
          <w:sz w:val="28"/>
          <w:szCs w:val="28"/>
          <w:rtl/>
        </w:rPr>
        <w:t xml:space="preserve">خط: شکسته نستعلیق، بی کا، تا: ۱۲۵۵ق؛ کاغذ: پسته ای، جلد: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82" w:name="pg20365_260265"/>
    <w:bookmarkEnd w:id="182"/>
    <w:p>
      <w:pPr>
        <w:pStyle w:val="BookText"/>
      </w:pPr>
      <w:r>
        <w:rPr>
          <w:rFonts w:ascii="IRNazanin" w:hAnsi="IRNazanin" w:eastAsia="IRNazanin" w:cs="IRNazanin"/>
          <w:lang w:bidi="fa-IR"/>
          <w:color w:val="111111"/>
          <w:sz w:val="28"/>
          <w:szCs w:val="28"/>
          <w:rtl/>
        </w:rPr>
        <w:t xml:space="preserve">میشن قرمز مقوایی، ۷گ (۲۵۶ ر-۲۶۲ پ) ۱۷ سطر،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۶ - ۱۰۸]</w:t>
      </w:r>
    </w:p>
    <w:p>
      <w:pPr>
        <w:pStyle w:val="Heading3"/>
      </w:pPr>
      <w:bookmarkStart w:id="1152" w:name="_Toc674"/>
      <w:r>
        <w:t>الاستصحاب / استصحاب / عربی</w:t>
      </w:r>
      <w:bookmarkEnd w:id="1152"/>
    </w:p>
    <w:p>
      <w:pPr>
        <w:pStyle w:val="BookText"/>
      </w:pPr>
      <w:r>
        <w:rPr>
          <w:rFonts w:ascii="Times New Roman" w:hAnsi="Times New Roman" w:eastAsia="Times New Roman" w:cs="Times New Roman"/>
          <w:lang w:val="en-US" w:bidi="en-US"/>
          <w:color w:val="111111"/>
          <w:sz w:val="28"/>
          <w:szCs w:val="28"/>
          <w:rtl/>
        </w:rPr>
        <w:t xml:space="preserve">al-istiṣḥāb</w:t>
      </w:r>
    </w:p>
    <w:p>
      <w:pPr>
        <w:pStyle w:val="BookText"/>
      </w:pPr>
      <w:r>
        <w:rPr>
          <w:rFonts w:ascii="IRNazanin" w:hAnsi="IRNazanin" w:eastAsia="IRNazanin" w:cs="IRNazanin"/>
          <w:lang w:bidi="fa-IR"/>
          <w:color w:val="111111"/>
          <w:sz w:val="28"/>
          <w:szCs w:val="28"/>
          <w:rtl/>
        </w:rPr>
        <w:t xml:space="preserve">محقق ،خوانساری حسین بن  محمد، ۱۰۱۶ - ۱۰۹۹ قمری</w:t>
      </w:r>
    </w:p>
    <w:p>
      <w:pPr>
        <w:pStyle w:val="BookText"/>
      </w:pPr>
      <w:r>
        <w:rPr>
          <w:rFonts w:ascii="Times New Roman" w:hAnsi="Times New Roman" w:eastAsia="Times New Roman" w:cs="Times New Roman"/>
          <w:lang w:val="en-US" w:bidi="en-US"/>
          <w:color w:val="111111"/>
          <w:sz w:val="28"/>
          <w:szCs w:val="28"/>
          <w:rtl/>
        </w:rPr>
        <w:t xml:space="preserve">(1688-mohaqqeq-e xānsārī, hoseyn ebn-e mohammad (1608 -</w:t>
      </w:r>
    </w:p>
    <w:p>
      <w:pPr>
        <w:pStyle w:val="BookText"/>
      </w:pPr>
      <w:r>
        <w:rPr>
          <w:rFonts w:ascii="IRNazanin" w:hAnsi="IRNazanin" w:eastAsia="IRNazanin" w:cs="IRNazanin"/>
          <w:lang w:bidi="fa-IR"/>
          <w:color w:val="111111"/>
          <w:sz w:val="28"/>
          <w:szCs w:val="28"/>
          <w:rtl/>
        </w:rPr>
        <w:t xml:space="preserve">بحثی کوتاه و استدلالی درباره استصحاب می باشد.</w:t>
      </w:r>
    </w:p>
    <w:p>
      <w:pPr>
        <w:pStyle w:val="BookText"/>
      </w:pPr>
      <w:r>
        <w:rPr>
          <w:rFonts w:ascii="IRNazanin" w:hAnsi="IRNazanin" w:eastAsia="IRNazanin" w:cs="IRNazanin"/>
          <w:lang w:bidi="fa-IR"/>
          <w:color w:val="111111"/>
          <w:sz w:val="28"/>
          <w:szCs w:val="28"/>
          <w:rtl/>
        </w:rPr>
        <w:t xml:space="preserve">تهران؛ مجلس؛ شماره نسخه: ۷۳۷۷/۲</w:t>
      </w:r>
    </w:p>
    <w:p>
      <w:pPr>
        <w:pStyle w:val="BookText"/>
      </w:pPr>
      <w:r>
        <w:rPr>
          <w:rFonts w:ascii="IRNazanin" w:hAnsi="IRNazanin" w:eastAsia="IRNazanin" w:cs="IRNazanin"/>
          <w:lang w:bidi="fa-IR"/>
          <w:color w:val="111111"/>
          <w:sz w:val="28"/>
          <w:szCs w:val="28"/>
          <w:rtl/>
        </w:rPr>
        <w:t xml:space="preserve">آغاز: بسمله اعلم ان القوم ذكروا ان الاستصحاب اثبات حكم زمان فی موجودة سابق عليه و هو ينقسم الى قسمين باعتبار انقسـام الحكم المأخوذ فيه</w:t>
      </w:r>
    </w:p>
    <w:p>
      <w:pPr>
        <w:pStyle w:val="BookText"/>
      </w:pPr>
      <w:r>
        <w:rPr>
          <w:rFonts w:ascii="IRNazanin" w:hAnsi="IRNazanin" w:eastAsia="IRNazanin" w:cs="IRNazanin"/>
          <w:lang w:bidi="fa-IR"/>
          <w:color w:val="111111"/>
          <w:sz w:val="28"/>
          <w:szCs w:val="28"/>
          <w:rtl/>
        </w:rPr>
        <w:t xml:space="preserve">خط ،تحریری، کا: عبدالله بن خان بابا زنوزی ساکن اصفهـان، بی تا؛ جلد: تیماج مشکی ضربی ترنج با سر، اگ (۲۳ر -۲۳  پ) ،۲۴ سطر [ف: ۲۵ - ۳۶۳]</w:t>
      </w:r>
    </w:p>
    <w:p>
      <w:pPr>
        <w:pStyle w:val="Heading3"/>
      </w:pPr>
      <w:bookmarkStart w:id="1153" w:name="_Toc675"/>
      <w:r>
        <w:t>الاستصحاب / استصحاب / عربی</w:t>
      </w:r>
      <w:bookmarkEnd w:id="1153"/>
    </w:p>
    <w:p>
      <w:pPr>
        <w:pStyle w:val="BookText"/>
      </w:pPr>
      <w:r>
        <w:rPr>
          <w:rFonts w:ascii="Times New Roman" w:hAnsi="Times New Roman" w:eastAsia="Times New Roman" w:cs="Times New Roman"/>
          <w:lang w:val="en-US" w:bidi="en-US"/>
          <w:color w:val="111111"/>
          <w:sz w:val="28"/>
          <w:szCs w:val="28"/>
          <w:rtl/>
        </w:rPr>
        <w:t xml:space="preserve">istiṣḥāb</w:t>
      </w:r>
    </w:p>
    <w:p>
      <w:pPr>
        <w:pStyle w:val="BookText"/>
      </w:pPr>
      <w:r>
        <w:rPr>
          <w:rFonts w:ascii="IRNazanin" w:hAnsi="IRNazanin" w:eastAsia="IRNazanin" w:cs="IRNazanin"/>
          <w:lang w:bidi="fa-IR"/>
          <w:color w:val="111111"/>
          <w:sz w:val="28"/>
          <w:szCs w:val="28"/>
          <w:rtl/>
        </w:rPr>
        <w:t xml:space="preserve">وحید  بهبهانی، محمد باقر بن محمد اکمل، ۱۱۱۸  - ۱۲۰۵ قمری</w:t>
      </w:r>
    </w:p>
    <w:p>
      <w:pPr>
        <w:pStyle w:val="BookText"/>
      </w:pPr>
      <w:r>
        <w:rPr>
          <w:rFonts w:ascii="Times New Roman" w:hAnsi="Times New Roman" w:eastAsia="Times New Roman" w:cs="Times New Roman"/>
          <w:lang w:val="en-US" w:bidi="en-US"/>
          <w:color w:val="111111"/>
          <w:sz w:val="28"/>
          <w:szCs w:val="28"/>
          <w:rtl/>
        </w:rPr>
        <w:t xml:space="preserve">vahīd-e behbahānī, mohammad bāqer ebn-e</w:t>
      </w:r>
    </w:p>
    <w:p>
      <w:pPr>
        <w:pStyle w:val="BookText"/>
      </w:pPr>
      <w:r>
        <w:rPr>
          <w:rFonts w:ascii="Times New Roman" w:hAnsi="Times New Roman" w:eastAsia="Times New Roman" w:cs="Times New Roman"/>
          <w:lang w:val="en-US" w:bidi="en-US"/>
          <w:color w:val="111111"/>
          <w:sz w:val="28"/>
          <w:szCs w:val="28"/>
          <w:rtl/>
        </w:rPr>
        <w:t xml:space="preserve">(mohammad akmal (1707 - 1791)</w:t>
      </w:r>
    </w:p>
    <w:p>
      <w:pPr>
        <w:pStyle w:val="BookText"/>
      </w:pPr>
      <w:r>
        <w:rPr>
          <w:rFonts w:ascii="IRNazanin" w:hAnsi="IRNazanin" w:eastAsia="IRNazanin" w:cs="IRNazanin"/>
          <w:lang w:bidi="fa-IR"/>
          <w:color w:val="111111"/>
          <w:sz w:val="28"/>
          <w:szCs w:val="28"/>
          <w:rtl/>
        </w:rPr>
        <w:t xml:space="preserve">رساله در حجیت استصحاب با استدلال به آراء اصولیین اسـت. که پس از تعریف استصحاب آن را به دو قسم تقسیم نموده است: ۱. استصحاب متعلق الحكم الشرعى؛ ۲. الاستصحاب نفـس الحكم الشرعى.</w:t>
      </w:r>
    </w:p>
    <w:p>
      <w:pPr>
        <w:pStyle w:val="BookText"/>
      </w:pPr>
      <w:r>
        <w:rPr>
          <w:rFonts w:ascii="IRNazanin" w:hAnsi="IRNazanin" w:eastAsia="IRNazanin" w:cs="IRNazanin"/>
          <w:lang w:bidi="fa-IR"/>
          <w:color w:val="111111"/>
          <w:sz w:val="28"/>
          <w:szCs w:val="28"/>
          <w:rtl/>
        </w:rPr>
        <w:t xml:space="preserve">آغاز .بسمله حمدله. صلاة رب وفقنى و ایدنی و ارشدنی و انفعني و جميع المؤمنين الاستصحاب عبارة عن الحكم باستمـرار امر كان يقينى الحصول فى وقت او فى حال و مشکوک البـقاء بعد ذلك الوقت. و هو على قسمين</w:t>
      </w:r>
    </w:p>
    <w:p>
      <w:pPr>
        <w:pStyle w:val="BookText"/>
      </w:pPr>
      <w:r>
        <w:rPr>
          <w:rFonts w:ascii="IRNazanin" w:hAnsi="IRNazanin" w:eastAsia="IRNazanin" w:cs="IRNazanin"/>
          <w:lang w:bidi="fa-IR"/>
          <w:color w:val="111111"/>
          <w:sz w:val="28"/>
          <w:szCs w:val="28"/>
          <w:rtl/>
        </w:rPr>
        <w:t xml:space="preserve">انجام : ان التغيير الموضوع على اقسام منه ما يعلم جریان  الاستصحاب معه يقينا ومنه يظن الجريان ومنه ما يشك ومنه ما يظن العدم ومنه ما يجزم بالعدم والشك فى موضع تعارف الاستصحاب مع استصحاب آخريقاومه او قاعدة اخرى كذلـک والظن من جهة مصادفة ما هو اقوى منه او اضعف ولابد للمجتهدـ ملاحظة ذلك والله تعالى هو العالم باحكامه ورسوله والائمة القائمون مقامه عليهم السلام</w:t>
      </w:r>
    </w:p>
    <w:p>
      <w:pPr>
        <w:pStyle w:val="BookText"/>
      </w:pPr>
      <w:r>
        <w:rPr>
          <w:rFonts w:ascii="IRNazanin" w:hAnsi="IRNazanin" w:eastAsia="IRNazanin" w:cs="IRNazanin"/>
          <w:lang w:bidi="fa-IR"/>
          <w:color w:val="111111"/>
          <w:sz w:val="28"/>
          <w:szCs w:val="28"/>
          <w:rtl/>
        </w:rPr>
        <w:t xml:space="preserve">چاپ: در ضمن «الرسائل الاصولية»، توسط مؤسسه وحید بهبهانی</w:t>
      </w:r>
    </w:p>
    <w:p>
      <w:pPr>
        <w:pStyle w:val="BookText"/>
      </w:pPr>
      <w:r>
        <w:rPr>
          <w:rFonts w:ascii="IRNazanin" w:hAnsi="IRNazanin" w:eastAsia="IRNazanin" w:cs="IRNazanin"/>
          <w:lang w:bidi="fa-IR"/>
          <w:color w:val="111111"/>
          <w:sz w:val="28"/>
          <w:szCs w:val="28"/>
          <w:rtl/>
        </w:rPr>
        <w:t xml:space="preserve">[الذريعة ۲۴/۲؛ مكتبة امير المومنین ۹۸/۱؛ دنا، ج ۱،  ، ص ۷۵۲-۷۵۵]</w:t>
      </w:r>
    </w:p>
    <w:p>
      <w:pPr>
        <w:pStyle w:val="BookText"/>
      </w:pPr>
      <w:r>
        <w:rPr>
          <w:rFonts w:ascii="IRNazanin" w:hAnsi="IRNazanin" w:eastAsia="IRNazanin" w:cs="IRNazanin"/>
          <w:lang w:bidi="fa-IR"/>
          <w:color w:val="111111"/>
          <w:sz w:val="28"/>
          <w:szCs w:val="28"/>
          <w:rtl/>
        </w:rPr>
        <w:t xml:space="preserve">۱.قم؛ مرعشی؛ شماره نسخه: ۱۴۹۸۵/۱۹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شکسته نستعلیق، بی کا: تا: اواخر قرن ۱۲؛ محشی؛ کاغذ: شرقی، جلد: تیماج قهوه ای تیره، ۲گ (۱۹۶ر-۱۹۷ر)، ۲۱ سطر(۹/۵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۳۷ - ۶۶۶]</w:t>
      </w:r>
    </w:p>
    <w:p>
      <w:pPr>
        <w:pStyle w:val="BookText"/>
      </w:pPr>
      <w:r>
        <w:rPr>
          <w:rFonts w:ascii="IRNazanin" w:hAnsi="IRNazanin" w:eastAsia="IRNazanin" w:cs="IRNazanin"/>
          <w:lang w:bidi="fa-IR"/>
          <w:color w:val="111111"/>
          <w:sz w:val="28"/>
          <w:szCs w:val="28"/>
          <w:rtl/>
        </w:rPr>
        <w:t xml:space="preserve">۲. تهران؛ ملی؛ شماره نسخه: ۲۳۲۴/۹</w:t>
      </w:r>
    </w:p>
    <w:p>
      <w:pPr>
        <w:pStyle w:val="BookText"/>
      </w:pPr>
      <w:r>
        <w:rPr>
          <w:rFonts w:ascii="IRNazanin" w:hAnsi="IRNazanin" w:eastAsia="IRNazanin" w:cs="IRNazanin"/>
          <w:lang w:bidi="fa-IR"/>
          <w:color w:val="111111"/>
          <w:sz w:val="28"/>
          <w:szCs w:val="28"/>
          <w:rtl/>
        </w:rPr>
        <w:t xml:space="preserve">كا: احمد بن ابراهیم، تا: ۱۱۷۵ و ۱۱۷۶، جا: کربلا؛ کاغذ: فرنگی، جلد: تیماج یک لا تریاکی روشن ،ضربی، ۷گ (۶۸پ-۷۴)، ۲۲ سطر (۷/۵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اندازه: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 ۱۲ - ۵۶]</w:t>
      </w:r>
    </w:p>
    <w:p>
      <w:pPr>
        <w:pStyle w:val="BookText"/>
      </w:pPr>
      <w:r>
        <w:rPr>
          <w:rFonts w:ascii="IRNazanin" w:hAnsi="IRNazanin" w:eastAsia="IRNazanin" w:cs="IRNazanin"/>
          <w:lang w:bidi="fa-IR"/>
          <w:color w:val="111111"/>
          <w:sz w:val="28"/>
          <w:szCs w:val="28"/>
          <w:rtl/>
        </w:rPr>
        <w:t xml:space="preserve">3.مراغه عمومی؛ شماره نسخه: ۲۳/۴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کامل؛ خط: نسخ، کا: محب علی بن مراد علی لاهیجانی، تا: ۱۴ شوال قرن ۱۲؛ جلد: تیماج سرخ ،مجدول، ۶گ،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w:t>
      </w:r>
    </w:p>
    <w:p>
      <w:pPr>
        <w:pStyle w:val="BookText"/>
      </w:pPr>
      <w:r>
        <w:rPr>
          <w:rFonts w:ascii="IRNazanin" w:hAnsi="IRNazanin" w:eastAsia="IRNazanin" w:cs="IRNazanin"/>
          <w:lang w:bidi="fa-IR"/>
          <w:color w:val="111111"/>
          <w:sz w:val="28"/>
          <w:szCs w:val="28"/>
          <w:rtl/>
        </w:rPr>
        <w:t xml:space="preserve">[عمومی - ف: ۲۳۸]</w:t>
      </w:r>
    </w:p>
    <w:p>
      <w:pPr>
        <w:pStyle w:val="BookText"/>
      </w:pPr>
      <w:r>
        <w:rPr>
          <w:rFonts w:ascii="IRNazanin" w:hAnsi="IRNazanin" w:eastAsia="IRNazanin" w:cs="IRNazanin"/>
          <w:lang w:bidi="fa-IR"/>
          <w:color w:val="111111"/>
          <w:sz w:val="28"/>
          <w:szCs w:val="28"/>
          <w:rtl/>
        </w:rPr>
        <w:t xml:space="preserve">۴. قم؛ گلپایگانی؛ شماره نسخه: ۱۸۳۲/۴-۱۰/۱۴۲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خط:نسخ، کا: ابوالقاسم، تا: ذیحجه ،۱۱۷۴ق، جا: کربلا؛ از روی  نسخه ای که از روی خط مؤلف نوشته شده بود، مصحح،  با علامت بلاغ ،جلد: تیماج قهوه ای مجدول با ترنج وسرترنج، ۵ گ، ۲۷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 - ۳۳۷]</w:t>
      </w:r>
    </w:p>
    <w:p>
      <w:pPr>
        <w:pStyle w:val="BookText"/>
      </w:pPr>
      <w:r>
        <w:rPr>
          <w:rFonts w:ascii="IRNazanin" w:hAnsi="IRNazanin" w:eastAsia="IRNazanin" w:cs="IRNazanin"/>
          <w:lang w:bidi="fa-IR"/>
          <w:color w:val="111111"/>
          <w:sz w:val="28"/>
          <w:szCs w:val="28"/>
          <w:rtl/>
        </w:rPr>
        <w:t xml:space="preserve">۵ .تهران؛ حقوق؛ شماره نسخه: ۲۴۷۱ - ج</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محمد مجاهد، تا: ۱۱۷۹ق؛ تملک؛ حسن طباطبائی؛ کاغذ: فرنگی نخودی ،جلد: تیماج سرخ ضربی ،مقوایی ۸گ،( ۳پ - ۱۰ پ)، ۲۰ سطر (۹/۵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۳۴۷]</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تهران؛ ملی؛ شماره نسخه: ۲۳۱۷/۳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،کهن، كا: محمد حسن بن محمد معصوم قزوینی، تا: ۱۱۸۹ق؛ کاغذ: فرنگی نخودی ،جلد: تیماج قرمز، اندرون تیماج زیتونی،9گ (98- 106)، ۱۶ سطر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۶۵سم [ف: ۱۲ - ۲۹]</w:t>
      </w:r>
    </w:p>
    <w:p>
      <w:pPr>
        <w:pStyle w:val="BookText"/>
      </w:pPr>
      <w:r>
        <w:rPr>
          <w:rFonts w:ascii="IRNazanin" w:hAnsi="IRNazanin" w:eastAsia="IRNazanin" w:cs="IRNazanin"/>
          <w:lang w:bidi="fa-IR"/>
          <w:color w:val="111111"/>
          <w:sz w:val="28"/>
          <w:szCs w:val="28"/>
          <w:rtl/>
        </w:rPr>
        <w:t xml:space="preserve">۷. مشهد؛ شیخ علی حیدر ؛شماره نسخه: ۱۷۱/۵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قربانعلی بن محمد رضا هزار جریبی، تا: ۲۰ رجب ۱۱۹۹ق، جا: کربلا؛ جلد: عادی،6 گ (۶۷ر-۷۲ پ)، اندازه: ۱۵</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۲۱سم [مؤيد: ۱ - ۱۶۷]</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تهران؛ دانشگاه؛ شماره نسخه: ۵۴۱۸/۵</w:t>
      </w:r>
    </w:p>
    <w:p>
      <w:pPr>
        <w:pStyle w:val="BookText"/>
      </w:pPr>
      <w:r>
        <w:rPr>
          <w:rFonts w:ascii="IRNazanin" w:hAnsi="IRNazanin" w:eastAsia="IRNazanin" w:cs="IRNazanin"/>
          <w:lang w:bidi="fa-IR"/>
          <w:color w:val="111111"/>
          <w:sz w:val="28"/>
          <w:szCs w:val="28"/>
          <w:rtl/>
        </w:rPr>
        <w:t xml:space="preserve">بی کا، تا: قرن ۱۳؛ کاغذ: کبود و سفید فرنگی، جلد: تیماج مشکی عطف آلبالویی، ۴گ (98پ-102ر)20سطر (۷/۵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 قطع: ،ربعی،اندازه: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 ۱۶ - ۵]</w:t>
      </w:r>
    </w:p>
    <w:p>
      <w:pPr>
        <w:pStyle w:val="BookText"/>
      </w:pPr>
      <w:r>
        <w:rPr>
          <w:rFonts w:ascii="IRNazanin" w:hAnsi="IRNazanin" w:eastAsia="IRNazanin" w:cs="IRNazanin"/>
          <w:lang w:bidi="fa-IR"/>
          <w:color w:val="111111"/>
          <w:sz w:val="28"/>
          <w:szCs w:val="28"/>
          <w:rtl/>
        </w:rPr>
        <w:t xml:space="preserve">9.یزد ؛سریزدی؛ شماره نسخه: ۲۳۴/۳</w:t>
      </w:r>
    </w:p>
    <w:p>
      <w:pPr>
        <w:pStyle w:val="BookText"/>
      </w:pPr>
      <w:r>
        <w:rPr>
          <w:rFonts w:ascii="IRNazanin" w:hAnsi="IRNazanin" w:eastAsia="IRNazanin" w:cs="IRNazanin"/>
          <w:lang w:bidi="fa-IR"/>
          <w:color w:val="111111"/>
          <w:sz w:val="28"/>
          <w:szCs w:val="28"/>
          <w:rtl/>
        </w:rPr>
        <w:t xml:space="preserve">خط: نسخ، بی کا، تا: قرن ۱۳؛ جلد: تیماج مشکی ضربی، ۵گ (۱۸۷ پ -۱۹۱ر)،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 - ۱۸۹]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۱۰ . اصفهان؛ مدرسه صدر بازار؛ شماره نسخه: ۲۴۷/۳</w:t>
      </w:r>
    </w:p>
    <w:p>
      <w:pPr>
        <w:pStyle w:val="BookText"/>
      </w:pPr>
      <w:r>
        <w:rPr>
          <w:rFonts w:ascii="IRNazanin" w:hAnsi="IRNazanin" w:eastAsia="IRNazanin" w:cs="IRNazanin"/>
          <w:lang w:bidi="fa-IR"/>
          <w:color w:val="111111"/>
          <w:sz w:val="28"/>
          <w:szCs w:val="28"/>
          <w:rtl/>
        </w:rPr>
        <w:t xml:space="preserve">خط: نسخ، بی کا، تا: قرن ۱۳؛ ۱۴ (31ر- 44پ)،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۱ - ۱۷۲]</w:t>
      </w:r>
    </w:p>
    <w:p>
      <w:pPr>
        <w:pStyle w:val="BookText"/>
      </w:pPr>
      <w:r>
        <w:rPr>
          <w:rFonts w:ascii="IRNazanin" w:hAnsi="IRNazanin" w:eastAsia="IRNazanin" w:cs="IRNazanin"/>
          <w:lang w:bidi="fa-IR"/>
          <w:color w:val="111111"/>
          <w:sz w:val="28"/>
          <w:szCs w:val="28"/>
          <w:rtl/>
        </w:rPr>
        <w:t xml:space="preserve">۱۱. قم؛ مؤسسه حضرت آیة الله بروجردی؛ شماره نسخه: ۲۲۸/۳</w:t>
      </w:r>
    </w:p>
    <w:p>
      <w:pPr>
        <w:pStyle w:val="BookText"/>
      </w:pPr>
      <w:r>
        <w:rPr>
          <w:rFonts w:ascii="IRNazanin" w:hAnsi="IRNazanin" w:eastAsia="IRNazanin" w:cs="IRNazanin"/>
          <w:lang w:bidi="fa-IR"/>
          <w:color w:val="111111"/>
          <w:sz w:val="28"/>
          <w:szCs w:val="28"/>
          <w:rtl/>
        </w:rPr>
        <w:t xml:space="preserve">خط: نسخ، کا: محمد بروجردی ،تا: قرن ۱۳، جلد: تیماج قرمز ضربی ،۴گ (۴۱ر-۴۴پ)،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 - ۱۳۸]</w:t>
      </w:r>
    </w:p>
    <w:p>
      <w:pPr>
        <w:pStyle w:val="BookText"/>
      </w:pPr>
      <w:r>
        <w:rPr>
          <w:rFonts w:ascii="IRNazanin" w:hAnsi="IRNazanin" w:eastAsia="IRNazanin" w:cs="IRNazanin"/>
          <w:lang w:bidi="fa-IR"/>
          <w:color w:val="111111"/>
          <w:sz w:val="28"/>
          <w:szCs w:val="28"/>
          <w:rtl/>
        </w:rPr>
        <w:t xml:space="preserve">۱۲. تهران؛ دانشگاه؛ شماره نسخه: ۷۷۰۷/۱۲</w:t>
      </w:r>
    </w:p>
    <w:p>
      <w:pPr>
        <w:pStyle w:val="BookText"/>
      </w:pPr>
      <w:r>
        <w:rPr>
          <w:rFonts w:ascii="IRNazanin" w:hAnsi="IRNazanin" w:eastAsia="IRNazanin" w:cs="IRNazanin"/>
          <w:lang w:bidi="fa-IR"/>
          <w:color w:val="111111"/>
          <w:sz w:val="28"/>
          <w:szCs w:val="28"/>
          <w:rtl/>
        </w:rPr>
        <w:t xml:space="preserve">بی کا، تا: قرن ۱۳؛ کاغذ: فرنگی ،جلد: تیماج قهوه ای ضربی مقوایی، ۲۱ سطر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 قطع: ربعی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  [ف: ۱۶- ۶۸۱]</w:t>
      </w:r>
    </w:p>
    <w:p>
      <w:pPr>
        <w:pStyle w:val="BookText"/>
      </w:pPr>
      <w:r>
        <w:rPr>
          <w:rFonts w:ascii="IRNazanin" w:hAnsi="IRNazanin" w:eastAsia="IRNazanin" w:cs="IRNazanin"/>
          <w:lang w:bidi="fa-IR"/>
          <w:color w:val="111111"/>
          <w:sz w:val="28"/>
          <w:szCs w:val="28"/>
          <w:rtl/>
        </w:rPr>
        <w:t xml:space="preserve">۱۳. قم؛ مرعشی؛ شماره نسخه: ۱۴۴۰۰/۱۲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۱۳ :کاغذ: فرنگی، ۶گ (104- 109)  ،۲۳  سطر، اندازه: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۳۶ - ۳۴۱]  ۱۴. قم؛ مرعشی؛ شماره نسخه: ۱۴۴۷۲/۳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و نستعلیق، بی کا، تا: قرن ۱۳؛مصحح؛ کاغذ: فرنگی، ۵ گ( ۵۷-۶۱) ۲۴  سطر، اندازه: 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۳۶ - ۴۴۷]</w:t>
      </w:r>
    </w:p>
    <w:p>
      <w:pPr>
        <w:pStyle w:val="BookText"/>
      </w:pPr>
      <w:r>
        <w:rPr>
          <w:rFonts w:ascii="IRNazanin" w:hAnsi="IRNazanin" w:eastAsia="IRNazanin" w:cs="IRNazanin"/>
          <w:lang w:bidi="fa-IR"/>
          <w:color w:val="111111"/>
          <w:sz w:val="28"/>
          <w:szCs w:val="28"/>
          <w:rtl/>
        </w:rPr>
        <w:t xml:space="preserve">۱۵. قم؛ مرعشی؛ شماره نسخه: ۱۲۹۲۹/۸</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۱۳ ؛کاغذ ،فرنگی، ۵ (۱۴۰پ- ۱۴۴ پ)، ۲۴ سطر، اندازه: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۱۴/۵سم [ف: ۳۲ - ۸۰۴]</w:t>
      </w:r>
    </w:p>
    <w:p>
      <w:pPr>
        <w:pStyle w:val="BookText"/>
      </w:pPr>
      <w:r>
        <w:rPr>
          <w:rFonts w:ascii="IRNazanin" w:hAnsi="IRNazanin" w:eastAsia="IRNazanin" w:cs="IRNazanin"/>
          <w:lang w:bidi="fa-IR"/>
          <w:color w:val="111111"/>
          <w:sz w:val="28"/>
          <w:szCs w:val="28"/>
          <w:rtl/>
        </w:rPr>
        <w:t xml:space="preserve">۱۶. تهران؛ ملی؛ شماره نسخه: ۲۲۷۷/۱۲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قرن ۱۳ ؛کاغذ: سفید  فرنگی ،جلد: تیماج مشکی یک لا ،۶گ (۱۴۴پ-۱۴۹پ)،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w:t>
      </w:r>
    </w:p>
    <w:p>
      <w:pPr>
        <w:pStyle w:val="BookText"/>
      </w:pPr>
      <w:r>
        <w:rPr>
          <w:rFonts w:ascii="Times New Roman" w:hAnsi="Times New Roman" w:eastAsia="Times New Roman" w:cs="Times New Roman"/>
          <w:lang w:val="en-US" w:bidi="en-US"/>
          <w:color w:val="111111"/>
          <w:sz w:val="28"/>
          <w:szCs w:val="28"/>
          <w:rtl/>
        </w:rPr>
        <w:t xml:space="preserve">11- 691]</w:t>
      </w:r>
    </w:p>
    <w:p>
      <w:pPr>
        <w:pStyle w:val="BookText"/>
      </w:pPr>
      <w:r>
        <w:rPr>
          <w:rFonts w:ascii="IRNazanin" w:hAnsi="IRNazanin" w:eastAsia="IRNazanin" w:cs="IRNazanin"/>
          <w:lang w:bidi="fa-IR"/>
          <w:color w:val="111111"/>
          <w:sz w:val="28"/>
          <w:szCs w:val="28"/>
          <w:rtl/>
        </w:rPr>
        <w:t xml:space="preserve">۱۷. تهران؛ ملی؛ شماره نسخه: ۲۸۷۶/۲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و شکسته نستعلیق، کا: ابو القاسم بن رمضانعلی لاریجانی، تا: قرن ۱۳؛ کاغذ: فرنگی  شکری، جلد: تیماج تریاکی ضربی مقوایی، ۶گ (62- 67پ) ،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 ف : ۱۳-392]</w:t>
      </w:r>
    </w:p>
    <w:p>
      <w:pPr>
        <w:pStyle w:val="BookText"/>
      </w:pPr>
      <w:r>
        <w:rPr>
          <w:rFonts w:ascii="IRNazanin" w:hAnsi="IRNazanin" w:eastAsia="IRNazanin" w:cs="IRNazanin"/>
          <w:lang w:bidi="fa-IR"/>
          <w:color w:val="111111"/>
          <w:sz w:val="28"/>
          <w:szCs w:val="28"/>
          <w:rtl/>
        </w:rPr>
        <w:t xml:space="preserve">۱۸. تهران؛ ملک؛ شماره نسخه: ۲۹۹۶/۵</w:t>
      </w:r>
    </w:p>
    <w:p>
      <w:pPr>
        <w:pStyle w:val="BookText"/>
      </w:pPr>
      <w:r>
        <w:rPr>
          <w:rFonts w:ascii="IRNazanin" w:hAnsi="IRNazanin" w:eastAsia="IRNazanin" w:cs="IRNazanin"/>
          <w:lang w:bidi="fa-IR"/>
          <w:color w:val="111111"/>
          <w:sz w:val="28"/>
          <w:szCs w:val="28"/>
          <w:rtl/>
        </w:rPr>
        <w:t xml:space="preserve">خط: شکسته نستعلیق، بی کا، تا: قرن ۱۳ ،کاغذ: پسته ای جـلد: میشن قهوه ای لبه دار، ۶گ (۸۹پ (۹۴ر)، ۱۹ و ۲۰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۶ - ۱۸۴]</w:t>
      </w:r>
    </w:p>
    <w:p>
      <w:pPr>
        <w:pStyle w:val="BookText"/>
      </w:pPr>
      <w:r>
        <w:rPr>
          <w:rFonts w:ascii="IRNazanin" w:hAnsi="IRNazanin" w:eastAsia="IRNazanin" w:cs="IRNazanin"/>
          <w:lang w:bidi="fa-IR"/>
          <w:color w:val="111111"/>
          <w:sz w:val="28"/>
          <w:szCs w:val="28"/>
          <w:rtl/>
        </w:rPr>
        <w:t xml:space="preserve">۱۹. مشهد؛ گوهر شاد؛ شماره نسخه: ۳۲۷/۳</w:t>
      </w:r>
    </w:p>
    <w:p>
      <w:pPr>
        <w:pStyle w:val="BookText"/>
      </w:pPr>
      <w:r>
        <w:rPr>
          <w:rFonts w:ascii="IRNazanin" w:hAnsi="IRNazanin" w:eastAsia="IRNazanin" w:cs="IRNazanin"/>
          <w:lang w:bidi="fa-IR"/>
          <w:color w:val="111111"/>
          <w:sz w:val="28"/>
          <w:szCs w:val="28"/>
          <w:rtl/>
        </w:rPr>
        <w:t xml:space="preserve">خط: شکسته نستعلیق، بی کا، تا: قرن ۱۳؛ کاغذ: آبی، ۲۳ سـطر،قطع: ربعی [چهار کتابخانه مشهد-ف: ۲۱۲]</w:t>
      </w:r>
    </w:p>
    <w:p>
      <w:pPr>
        <w:pStyle w:val="BookText"/>
      </w:pPr>
      <w:r>
        <w:rPr>
          <w:rFonts w:ascii="IRNazanin" w:hAnsi="IRNazanin" w:eastAsia="IRNazanin" w:cs="IRNazanin"/>
          <w:lang w:bidi="fa-IR"/>
          <w:color w:val="111111"/>
          <w:sz w:val="28"/>
          <w:szCs w:val="28"/>
          <w:rtl/>
        </w:rPr>
        <w:t xml:space="preserve">۲۰. مشهد؛ گوهر شاد؛ شماره نسخه: ۲۲۶۴/۴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قرن ۱۳ ؛کاغذ: فستقی و نخودی آ هار مهره، جلد: میشن یک لا  عنابی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۵ - ۶۳۷]</w:t>
      </w:r>
    </w:p>
    <w:p>
      <w:pPr>
        <w:pStyle w:val="BookText"/>
      </w:pPr>
      <w:r>
        <w:rPr>
          <w:rFonts w:ascii="IRNazanin" w:hAnsi="IRNazanin" w:eastAsia="IRNazanin" w:cs="IRNazanin"/>
          <w:lang w:bidi="fa-IR"/>
          <w:color w:val="111111"/>
          <w:sz w:val="28"/>
          <w:szCs w:val="28"/>
          <w:rtl/>
        </w:rPr>
        <w:t xml:space="preserve">۲۱ . مشهد؛ رضوی؛ شماره نسخه: ۱۳۳۸۲/۲</w:t>
      </w:r>
    </w:p>
    <w:p>
      <w:pPr>
        <w:pStyle w:val="BookText"/>
      </w:pPr>
      <w:r>
        <w:rPr>
          <w:rFonts w:ascii="IRNazanin" w:hAnsi="IRNazanin" w:eastAsia="IRNazanin" w:cs="IRNazanin"/>
          <w:lang w:bidi="fa-IR"/>
          <w:color w:val="111111"/>
          <w:sz w:val="28"/>
          <w:szCs w:val="28"/>
          <w:rtl/>
        </w:rPr>
        <w:t xml:space="preserve">خط: نسخ، بی کا، تا: قرن ۱۳؛ جا: کربلا؛ کاغذ: فرنگی آهار مهره ،شکری، جلد: تیماج ضربی  تریاکی، ۹گ، ۱۸ سطر، اندازه:</w:t>
      </w:r>
    </w:p>
    <w:p>
      <w:pPr>
        <w:pStyle w:val="BookText"/>
      </w:pPr>
      <w:r>
        <w:rPr>
          <w:rFonts w:ascii="IRNazanin" w:hAnsi="IRNazanin" w:eastAsia="IRNazanin" w:cs="IRNazanin"/>
          <w:lang w:bidi="fa-IR"/>
          <w:color w:val="111111"/>
          <w:sz w:val="28"/>
          <w:szCs w:val="28"/>
          <w:rtl/>
        </w:rPr>
        <w:t xml:space="preserve">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 ۱۶ - ۳۵۱]</w:t>
      </w:r>
    </w:p>
    <w:p>
      <w:pPr>
        <w:pStyle w:val="BookText"/>
      </w:pPr>
      <w:r>
        <w:rPr>
          <w:rFonts w:ascii="IRNazanin" w:hAnsi="IRNazanin" w:eastAsia="IRNazanin" w:cs="IRNazanin"/>
          <w:lang w:bidi="fa-IR"/>
          <w:color w:val="111111"/>
          <w:sz w:val="28"/>
          <w:szCs w:val="28"/>
          <w:rtl/>
        </w:rPr>
        <w:t xml:space="preserve">۲۲ . مشهد؛ رضوی؛ شماره نسخه: ۱۳۳۸۲/۳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۱۳ ؛کاغذ: فرنگی  شکری، جلد: تیماج ضربی خرمایی، ۹گ، ۱۸ سطر،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 ۱۶ - ۴۱۱]</w:t>
      </w:r>
    </w:p>
    <w:p>
      <w:pPr>
        <w:pStyle w:val="BookText"/>
      </w:pPr>
      <w:r>
        <w:rPr>
          <w:rFonts w:ascii="IRNazanin" w:hAnsi="IRNazanin" w:eastAsia="IRNazanin" w:cs="IRNazanin"/>
          <w:lang w:bidi="fa-IR"/>
          <w:color w:val="111111"/>
          <w:sz w:val="28"/>
          <w:szCs w:val="28"/>
          <w:rtl/>
        </w:rPr>
        <w:t xml:space="preserve">۲۳ . مشهد؛ رضوی؛ شماره نسخه: ۹۲۹۸/۱</w:t>
      </w:r>
    </w:p>
    <w:p>
      <w:pPr>
        <w:pStyle w:val="BookText"/>
      </w:pPr>
      <w:r>
        <w:rPr>
          <w:rFonts w:ascii="IRNazanin" w:hAnsi="IRNazanin" w:eastAsia="IRNazanin" w:cs="IRNazanin"/>
          <w:lang w:bidi="fa-IR"/>
          <w:color w:val="111111"/>
          <w:sz w:val="28"/>
          <w:szCs w:val="28"/>
          <w:rtl/>
        </w:rPr>
        <w:t xml:space="preserve">خط: نستعلیق و شکسته، بی کا، تا: قرن ۱۳؛ کاغذ: فرنگی آهار  مهره ،شکری ،جلد: مقوا عطف و گوشه پارچه مشکی،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 ۱۶ - ۲۲۱]</w:t>
      </w:r>
    </w:p>
    <w:p>
      <w:pPr>
        <w:pStyle w:val="BookText"/>
      </w:pPr>
      <w:r>
        <w:rPr>
          <w:rFonts w:ascii="IRNazanin" w:hAnsi="IRNazanin" w:eastAsia="IRNazanin" w:cs="IRNazanin"/>
          <w:lang w:bidi="fa-IR"/>
          <w:color w:val="111111"/>
          <w:sz w:val="28"/>
          <w:szCs w:val="28"/>
          <w:rtl/>
        </w:rPr>
        <w:t xml:space="preserve">۲۴. قم؛ مرکز احیاء؛ شماره نسخه: ۲۷۷/۳</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نسخه اصل: کتابخانه شیخ محيى الدين مامقانی، قم؛ خط: نسخ، کا: اسماعیل بن محمد زمان  اصفهانی، تا: ۱۱۹۷ - ۱۲۰۰ق؛  مصحح ،دارای حواشی از مؤلف؛ ۷گ (۱۱۲ پ- ۱۱۸ر) [عکسی  ف: ۱ - ۳۲۱]</w:t>
      </w:r>
    </w:p>
    <w:p>
      <w:pPr>
        <w:pStyle w:val="BookText"/>
      </w:pPr>
      <w:r>
        <w:rPr>
          <w:rFonts w:ascii="IRNazanin" w:hAnsi="IRNazanin" w:eastAsia="IRNazanin" w:cs="IRNazanin"/>
          <w:lang w:bidi="fa-IR"/>
          <w:color w:val="111111"/>
          <w:sz w:val="28"/>
          <w:szCs w:val="28"/>
          <w:rtl/>
        </w:rPr>
        <w:t xml:space="preserve">۲۵. تهران؛ مجلس؛ شماره نسخه: ۱۵۳۸۶/۲</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بی کا، تا: قرن ۱۳؛ جلد: چرم قهوه ای روشن، ۸گ  ( ۱۶ ر - (۲۳ ر) ۱۹ سطر :اندازه: ۱۱/۸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۴۳ - ۶۴]</w:t>
      </w:r>
    </w:p>
    <w:p>
      <w:pPr>
        <w:pStyle w:val="BookText"/>
      </w:pPr>
      <w:r>
        <w:rPr>
          <w:rFonts w:ascii="IRNazanin" w:hAnsi="IRNazanin" w:eastAsia="IRNazanin" w:cs="IRNazanin"/>
          <w:lang w:bidi="fa-IR"/>
          <w:color w:val="111111"/>
          <w:sz w:val="28"/>
          <w:szCs w:val="28"/>
          <w:rtl/>
        </w:rPr>
        <w:t xml:space="preserve">۲۶. تهران؛ مجلس؛ شماره نسخه: ۴۳۰۳/۸</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در فهرست ناشناس مانده؛ خط: نسخ، کا: قربان علی، تا: قرن ۱۳؛ کاغذ: فرنگی ،جلد: تیماج قهوه ای یک لا، ۲۲ 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۱۱ - ۳۱۹  ]</w:t>
      </w:r>
    </w:p>
    <w:p>
      <w:pPr>
        <w:pStyle w:val="BookText"/>
      </w:pPr>
      <w:r>
        <w:rPr>
          <w:rFonts w:ascii="IRNazanin" w:hAnsi="IRNazanin" w:eastAsia="IRNazanin" w:cs="IRNazanin"/>
          <w:lang w:bidi="fa-IR"/>
          <w:color w:val="111111"/>
          <w:sz w:val="28"/>
          <w:szCs w:val="28"/>
          <w:rtl/>
        </w:rPr>
        <w:t xml:space="preserve">۲۷ . قم؛ فیضیه؛ شماره نسخه: ۱۱۸۹/۷</w:t>
      </w:r>
    </w:p>
    <w:p>
      <w:pPr>
        <w:pStyle w:val="BookText"/>
      </w:pPr>
      <w:r>
        <w:rPr>
          <w:rFonts w:ascii="IRNazanin" w:hAnsi="IRNazanin" w:eastAsia="IRNazanin" w:cs="IRNazanin"/>
          <w:lang w:bidi="fa-IR"/>
          <w:color w:val="111111"/>
          <w:sz w:val="28"/>
          <w:szCs w:val="28"/>
          <w:rtl/>
        </w:rPr>
        <w:t xml:space="preserve">خط: تحریری، بی کا، تا: قرن  ۱۳، ۴گ،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۳  - 66]</w:t>
      </w:r>
    </w:p>
    <w:p>
      <w:pPr>
        <w:pStyle w:val="BookText"/>
      </w:pPr>
      <w:r>
        <w:rPr>
          <w:rFonts w:ascii="IRNazanin" w:hAnsi="IRNazanin" w:eastAsia="IRNazanin" w:cs="IRNazanin"/>
          <w:lang w:bidi="fa-IR"/>
          <w:color w:val="111111"/>
          <w:sz w:val="28"/>
          <w:szCs w:val="28"/>
          <w:rtl/>
        </w:rPr>
        <w:t xml:space="preserve">۲۸ . قم؛ فیضیه؛ شماره نسخه: ۱۵۵۴/۳</w:t>
      </w:r>
    </w:p>
    <w:p>
      <w:pPr>
        <w:pStyle w:val="BookText"/>
      </w:pPr>
      <w:r>
        <w:rPr>
          <w:rFonts w:ascii="IRNazanin" w:hAnsi="IRNazanin" w:eastAsia="IRNazanin" w:cs="IRNazanin"/>
          <w:lang w:bidi="fa-IR"/>
          <w:color w:val="111111"/>
          <w:sz w:val="28"/>
          <w:szCs w:val="28"/>
          <w:rtl/>
        </w:rPr>
        <w:t xml:space="preserve">خط: نسخ، بی کا، تا: قرن ۱۳؛ ۶گ،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۳ -  100]</w:t>
      </w:r>
    </w:p>
    <w:p>
      <w:pPr>
        <w:pStyle w:val="BookText"/>
      </w:pPr>
      <w:r>
        <w:rPr>
          <w:rFonts w:ascii="IRNazanin" w:hAnsi="IRNazanin" w:eastAsia="IRNazanin" w:cs="IRNazanin"/>
          <w:lang w:bidi="fa-IR"/>
          <w:color w:val="111111"/>
          <w:sz w:val="28"/>
          <w:szCs w:val="28"/>
          <w:rtl/>
        </w:rPr>
        <w:t xml:space="preserve">۲۹ . قم؛ فیضیه؛ شماره نسخه: ۸۴۷/۳</w:t>
      </w:r>
    </w:p>
    <w:p>
      <w:pPr>
        <w:pStyle w:val="BookText"/>
      </w:pPr>
      <w:r>
        <w:rPr>
          <w:rFonts w:ascii="IRNazanin" w:hAnsi="IRNazanin" w:eastAsia="IRNazanin" w:cs="IRNazanin"/>
          <w:lang w:bidi="fa-IR"/>
          <w:color w:val="111111"/>
          <w:sz w:val="28"/>
          <w:szCs w:val="28"/>
          <w:rtl/>
        </w:rPr>
        <w:t xml:space="preserve">خط: نسخ و نستعلیق، بی کا، تا: قرن ۱۳؛ ۶گ،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۳ - ۲۹]</w:t>
      </w:r>
    </w:p>
    <w:p>
      <w:pPr>
        <w:pStyle w:val="BookText"/>
      </w:pPr>
      <w:r>
        <w:rPr>
          <w:rFonts w:ascii="IRNazanin" w:hAnsi="IRNazanin" w:eastAsia="IRNazanin" w:cs="IRNazanin"/>
          <w:lang w:bidi="fa-IR"/>
          <w:color w:val="111111"/>
          <w:sz w:val="28"/>
          <w:szCs w:val="28"/>
          <w:rtl/>
        </w:rPr>
        <w:t xml:space="preserve">30.تهران؛ الهیات؛ شماره نسخه: ۳۸۵/۵6</w:t>
      </w:r>
    </w:p>
    <w:p>
      <w:pPr>
        <w:pStyle w:val="BookText"/>
      </w:pPr>
      <w:r>
        <w:rPr>
          <w:rFonts w:ascii="IRNazanin" w:hAnsi="IRNazanin" w:eastAsia="IRNazanin" w:cs="IRNazanin"/>
          <w:lang w:bidi="fa-IR"/>
          <w:color w:val="111111"/>
          <w:sz w:val="28"/>
          <w:szCs w:val="28"/>
          <w:rtl/>
        </w:rPr>
        <w:t xml:space="preserve">خط: نستعلیق، کا: عبد الغني بن عبدالصمد بن عبدالغنی، تا: رجب ۱۲۰۰ق؛ كاغذ ،فرنگی ،جلد: تیماج قهوه ای، ۶گ (۷۵پ  - ۸۰پ)، ۱۸ سطر،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۲۹۱]</w:t>
      </w:r>
    </w:p>
    <w:p>
      <w:pPr>
        <w:pStyle w:val="BookText"/>
      </w:pPr>
      <w:r>
        <w:rPr>
          <w:rFonts w:ascii="IRNazanin" w:hAnsi="IRNazanin" w:eastAsia="IRNazanin" w:cs="IRNazanin"/>
          <w:lang w:bidi="fa-IR"/>
          <w:color w:val="111111"/>
          <w:sz w:val="28"/>
          <w:szCs w:val="28"/>
          <w:rtl/>
        </w:rPr>
        <w:t xml:space="preserve">۳۱. قم؛ مرکز احیاء؛ شماره نسخه: ۳۳۲۳/۳</w:t>
      </w:r>
    </w:p>
    <w:p>
      <w:pPr>
        <w:pStyle w:val="BookText"/>
      </w:pPr>
      <w:r>
        <w:rPr>
          <w:rFonts w:ascii="IRNazanin" w:hAnsi="IRNazanin" w:eastAsia="IRNazanin" w:cs="IRNazanin"/>
          <w:lang w:bidi="fa-IR"/>
          <w:color w:val="111111"/>
          <w:sz w:val="28"/>
          <w:szCs w:val="28"/>
          <w:rtl/>
        </w:rPr>
        <w:t xml:space="preserve">خط ،نسخ، بی کا، تا: قرن ۱۳؛ مصحح،7گ (127پ- 143پ)، ۱۹ سطر،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[محدث ارموی مخ: ۱ – ۱۲۶]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۳۲. قم؛ مرکز احیاء؛ شماره نسخه: ۴۰۲۷/۵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۱۳؛ در برگ اول رساله به شیخ جعفر كاشف الغطاء نجفی نسبت داده شده؛ جلد: تیماج قهوه ای، ۶گ (۱۳۶پ-۱۳۱ر) ۲۲  سطر،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[محدث ارمـوی مخ: ۱ - ۱۲۶]</w:t>
      </w:r>
    </w:p>
    <w:p>
      <w:pPr>
        <w:pStyle w:val="BookText"/>
      </w:pPr>
      <w:r>
        <w:rPr>
          <w:rFonts w:ascii="IRNazanin" w:hAnsi="IRNazanin" w:eastAsia="IRNazanin" w:cs="IRNazanin"/>
          <w:lang w:bidi="fa-IR"/>
          <w:color w:val="111111"/>
          <w:sz w:val="28"/>
          <w:szCs w:val="28"/>
          <w:rtl/>
        </w:rPr>
        <w:t xml:space="preserve">۳۳. قم؛ مرکز احیاء؛ شماره نسخه: ۳۶۸۴/۲</w:t>
      </w:r>
    </w:p>
    <w:p>
      <w:pPr>
        <w:pStyle w:val="BookText"/>
      </w:pPr>
      <w:r>
        <w:rPr>
          <w:rFonts w:ascii="IRNazanin" w:hAnsi="IRNazanin" w:eastAsia="IRNazanin" w:cs="IRNazanin"/>
          <w:lang w:bidi="fa-IR"/>
          <w:color w:val="111111"/>
          <w:sz w:val="28"/>
          <w:szCs w:val="28"/>
          <w:rtl/>
        </w:rPr>
        <w:t xml:space="preserve">خط: نسخ، بی کا، تا: قرن ۱۳؛ ۶گ (60پ- 65پ)،22سطر، اندازه: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[محدث ارموی مخ ۱ - ۱۲۶]</w:t>
      </w:r>
    </w:p>
    <w:p>
      <w:pPr>
        <w:pStyle w:val="BookText"/>
      </w:pPr>
      <w:r>
        <w:rPr>
          <w:rFonts w:ascii="IRNazanin" w:hAnsi="IRNazanin" w:eastAsia="IRNazanin" w:cs="IRNazanin"/>
          <w:lang w:bidi="fa-IR"/>
          <w:color w:val="111111"/>
          <w:sz w:val="28"/>
          <w:szCs w:val="28"/>
          <w:rtl/>
        </w:rPr>
        <w:t xml:space="preserve">34.تهران؛ ملک؛ شماره نسخه: ۷۳۳/۲</w:t>
      </w:r>
    </w:p>
    <w:p>
      <w:pPr>
        <w:pStyle w:val="BookText"/>
      </w:pPr>
      <w:r>
        <w:rPr>
          <w:rFonts w:ascii="IRNazanin" w:hAnsi="IRNazanin" w:eastAsia="IRNazanin" w:cs="IRNazanin"/>
          <w:lang w:bidi="fa-IR"/>
          <w:color w:val="111111"/>
          <w:sz w:val="28"/>
          <w:szCs w:val="28"/>
          <w:rtl/>
        </w:rPr>
        <w:t xml:space="preserve">خط: نسخ، کا: محمد محسن استرآبادی، تا: حدود ۱۲۰۱ ؛کاغذ ،پسته ای ،جلد: میشن قهوه ای، ۱۰گ (۲۰ پ - ۲۹ر)،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۱۶/۳سم [ف: ۵ - ۱۶۱]</w:t>
      </w:r>
    </w:p>
    <w:p>
      <w:pPr>
        <w:pStyle w:val="BookText"/>
      </w:pPr>
      <w:r>
        <w:rPr>
          <w:rFonts w:ascii="IRNazanin" w:hAnsi="IRNazanin" w:eastAsia="IRNazanin" w:cs="IRNazanin"/>
          <w:lang w:bidi="fa-IR"/>
          <w:color w:val="111111"/>
          <w:sz w:val="28"/>
          <w:szCs w:val="28"/>
          <w:rtl/>
        </w:rPr>
        <w:t xml:space="preserve">۳۵ .مشهد؛ گوهر شاد؛ شماره نسخه: ۱۵۴۳/۱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دوشنبه ۲ شوال ۱۲۰۷ق؛ کاغذ: آهار مهـره ،جلد: تیماج مشکی ضربی، ۲۱ سطر (۸/۵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۴ - ۲۰۹۹]</w:t>
      </w:r>
    </w:p>
    <w:p>
      <w:pPr>
        <w:pStyle w:val="BookText"/>
      </w:pPr>
      <w:r>
        <w:rPr>
          <w:rFonts w:ascii="IRNazanin" w:hAnsi="IRNazanin" w:eastAsia="IRNazanin" w:cs="IRNazanin"/>
          <w:lang w:bidi="fa-IR"/>
          <w:color w:val="111111"/>
          <w:sz w:val="28"/>
          <w:szCs w:val="28"/>
          <w:rtl/>
        </w:rPr>
        <w:t xml:space="preserve">۳۶. خوانسار؛ فاضل؛ شماره نسخه: ۲۲۵/۴</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در فهرست ناشناس مانده؛ خط: نستعلیق، بی کا، تا: دوشنبه27 شعبان۱۲۰۷ق؛ جلد: تیماج قرمز ضربی ترنج و سرترنج با  لچکی عطف تیماج شتری، ۱۲گ (۶۳-۷۴)،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  سم[ف: ۱ - ۱۸۰]</w:t>
      </w:r>
    </w:p>
    <w:p>
      <w:pPr>
        <w:pStyle w:val="BookText"/>
      </w:pPr>
      <w:r>
        <w:rPr>
          <w:rFonts w:ascii="IRNazanin" w:hAnsi="IRNazanin" w:eastAsia="IRNazanin" w:cs="IRNazanin"/>
          <w:lang w:bidi="fa-IR"/>
          <w:color w:val="111111"/>
          <w:sz w:val="28"/>
          <w:szCs w:val="28"/>
          <w:rtl/>
        </w:rPr>
        <w:t xml:space="preserve">قم؛ مرکز احیاء؛ شماره نسخه: ۵۶۷/۴</w:t>
      </w:r>
    </w:p>
    <w:p>
      <w:pPr>
        <w:pStyle w:val="BookText"/>
      </w:pPr>
      <w:r>
        <w:rPr>
          <w:rFonts w:ascii="IRNazanin" w:hAnsi="IRNazanin" w:eastAsia="IRNazanin" w:cs="IRNazanin"/>
          <w:lang w:bidi="fa-IR"/>
          <w:color w:val="111111"/>
          <w:sz w:val="28"/>
          <w:szCs w:val="28"/>
          <w:rtl/>
        </w:rPr>
        <w:t xml:space="preserve">نسخه اصل: همان نسخه بالا [عکسی ف: ۲ - ۱۵۶]</w:t>
      </w:r>
    </w:p>
    <w:p>
      <w:pPr>
        <w:pStyle w:val="BookText"/>
      </w:pPr>
      <w:r>
        <w:rPr>
          <w:rFonts w:ascii="IRNazanin" w:hAnsi="IRNazanin" w:eastAsia="IRNazanin" w:cs="IRNazanin"/>
          <w:lang w:bidi="fa-IR"/>
          <w:color w:val="111111"/>
          <w:sz w:val="28"/>
          <w:szCs w:val="28"/>
          <w:rtl/>
        </w:rPr>
        <w:t xml:space="preserve">۳۷. تهران؛ مجلس؛ شماره نسخه: ۱۵/۲ خوئی</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شکسته نستعليق، كا: عبدالعلی بن عبدالکریم زنجانی، ۱۲۰۸ق؛ كاغذ: فرنگی متوسط ،جلد: تیماج قرمز بدون مقوا، ۷ص (۸۷-۸۰)، ابعاد متن: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 قطع: خشتی،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7- 11]</w:t>
      </w:r>
    </w:p>
    <w:p>
      <w:pPr>
        <w:pStyle w:val="BookText"/>
      </w:pPr>
      <w:r>
        <w:rPr>
          <w:rFonts w:ascii="IRNazanin" w:hAnsi="IRNazanin" w:eastAsia="IRNazanin" w:cs="IRNazanin"/>
          <w:lang w:bidi="fa-IR"/>
          <w:color w:val="111111"/>
          <w:sz w:val="28"/>
          <w:szCs w:val="28"/>
          <w:rtl/>
        </w:rPr>
        <w:t xml:space="preserve">۳۸. مشهد؛ شیخ علی حیدر؛ شماره نسخه: ۸/۱۳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امیر علی  استر آبادی، تا: ۱۲۱۱ق، جا: کربلا؛ جلد: چرم  زرد نقش دار، ۳گ (۱۲۲ ر- ۱۲۴پ) ۲۲  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[مؤید: ۳ - ۵۴۰]</w:t>
      </w:r>
    </w:p>
    <w:p>
      <w:pPr>
        <w:pStyle w:val="BookText"/>
      </w:pPr>
      <w:r>
        <w:rPr>
          <w:rFonts w:ascii="IRNazanin" w:hAnsi="IRNazanin" w:eastAsia="IRNazanin" w:cs="IRNazanin"/>
          <w:lang w:bidi="fa-IR"/>
          <w:color w:val="111111"/>
          <w:sz w:val="28"/>
          <w:szCs w:val="28"/>
          <w:rtl/>
        </w:rPr>
        <w:t xml:space="preserve">۳۹. کرمانشاه میبدی (خاندان)؛ شماره نسخه: ۱۳۸/۵</w:t>
      </w:r>
    </w:p>
    <w:p>
      <w:pPr>
        <w:pStyle w:val="BookText"/>
      </w:pPr>
      <w:r>
        <w:rPr>
          <w:rFonts w:ascii="IRNazanin" w:hAnsi="IRNazanin" w:eastAsia="IRNazanin" w:cs="IRNazanin"/>
          <w:lang w:bidi="fa-IR"/>
          <w:color w:val="111111"/>
          <w:sz w:val="28"/>
          <w:szCs w:val="28"/>
          <w:rtl/>
        </w:rPr>
        <w:t xml:space="preserve">خط: نستعلیق، کا: محمد بن عباسعلی مهاجرانی کزازی کرمانشاهی، تا: ۱۲۱۳ق؛ جلد: تیماج قهوه ای بدون مقوا، ۶گ (۱۲۴ر-۱۲۹ر)،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۱۰۱]</w:t>
      </w:r>
    </w:p>
    <w:p>
      <w:pPr>
        <w:pStyle w:val="BookText"/>
      </w:pPr>
      <w:r>
        <w:rPr>
          <w:rFonts w:ascii="IRNazanin" w:hAnsi="IRNazanin" w:eastAsia="IRNazanin" w:cs="IRNazanin"/>
          <w:lang w:bidi="fa-IR"/>
          <w:color w:val="111111"/>
          <w:sz w:val="28"/>
          <w:szCs w:val="28"/>
          <w:rtl/>
        </w:rPr>
        <w:t xml:space="preserve">40.مشهد؛ رضوی؛ شماره نسخه: ۹۱۰۹/۴</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كا: محمد معصوم بن على مدد خراسانی، تا: ۱۲۱۴ق، جا: کربلا؛ کاغذ: فرنگی ،شکری ،جلد: تیماج عنابی عطف میشن</w:t>
      </w:r>
    </w:p>
    <w:p>
      <w:pPr>
        <w:pStyle w:val="BookText"/>
      </w:pPr>
      <w:r>
        <w:rPr>
          <w:rFonts w:ascii="IRNazanin" w:hAnsi="IRNazanin" w:eastAsia="IRNazanin" w:cs="IRNazanin"/>
          <w:lang w:bidi="fa-IR"/>
          <w:color w:val="111111"/>
          <w:sz w:val="28"/>
          <w:szCs w:val="28"/>
          <w:rtl/>
        </w:rPr>
        <w:t xml:space="preserve">خرمایی، ۲۴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 ۱۶ - ۳۴۷]</w:t>
      </w:r>
    </w:p>
    <w:p>
      <w:pPr>
        <w:pStyle w:val="BookText"/>
      </w:pPr>
      <w:r>
        <w:rPr>
          <w:rFonts w:ascii="IRNazanin" w:hAnsi="IRNazanin" w:eastAsia="IRNazanin" w:cs="IRNazanin"/>
          <w:lang w:bidi="fa-IR"/>
          <w:color w:val="111111"/>
          <w:sz w:val="28"/>
          <w:szCs w:val="28"/>
          <w:rtl/>
        </w:rPr>
        <w:t xml:space="preserve">41.مشهد؛ رضوی؛ شماره نسخه: ۷۲۸۱</w:t>
      </w:r>
    </w:p>
    <w:p>
      <w:pPr>
        <w:pStyle w:val="BookText"/>
      </w:pPr>
      <w:r>
        <w:rPr>
          <w:rFonts w:ascii="IRNazanin" w:hAnsi="IRNazanin" w:eastAsia="IRNazanin" w:cs="IRNazanin"/>
          <w:lang w:bidi="fa-IR"/>
          <w:color w:val="111111"/>
          <w:sz w:val="28"/>
          <w:szCs w:val="28"/>
          <w:rtl/>
        </w:rPr>
        <w:t xml:space="preserve">آغاز و انجام : برابر</w:t>
      </w:r>
    </w:p>
    <w:p>
      <w:pPr>
        <w:pStyle w:val="BookText"/>
      </w:pPr>
      <w:r>
        <w:rPr>
          <w:rFonts w:ascii="IRNazanin" w:hAnsi="IRNazanin" w:eastAsia="IRNazanin" w:cs="IRNazanin"/>
          <w:lang w:bidi="fa-IR"/>
          <w:color w:val="111111"/>
          <w:sz w:val="28"/>
          <w:szCs w:val="28"/>
          <w:rtl/>
        </w:rPr>
        <w:t xml:space="preserve">خط: نسخ، كا: ابو جعفر بن ملا محمد قاینی، تا: دوشنبه ۹ شوال ۱۲۱۵ق ،جا: کربلاء؛ پس از این مقاله ای است ضمن سه صفحه از مؤلف در قاعده (اصل صحت در معاملات)، ضمیمه نسخه ش ۲۹۸۹؛ واقف: حاج قائم مقام؛ ۱۱ص، ۲۲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۲۲سم[ف: ۶ - ۴۴ [</w:t>
      </w:r>
    </w:p>
    <w:p>
      <w:pPr>
        <w:pStyle w:val="BookText"/>
      </w:pPr>
      <w:r>
        <w:rPr>
          <w:rFonts w:ascii="IRNazanin" w:hAnsi="IRNazanin" w:eastAsia="IRNazanin" w:cs="IRNazanin"/>
          <w:lang w:bidi="fa-IR"/>
          <w:color w:val="111111"/>
          <w:sz w:val="28"/>
          <w:szCs w:val="28"/>
          <w:rtl/>
        </w:rPr>
        <w:t xml:space="preserve">۴۲. قم؛ فیضیه؛ شماره نسخه: ۹۴۱/۳</w:t>
      </w:r>
    </w:p>
    <w:p>
      <w:pPr>
        <w:pStyle w:val="BookText"/>
      </w:pPr>
      <w:r>
        <w:rPr>
          <w:rFonts w:ascii="IRNazanin" w:hAnsi="IRNazanin" w:eastAsia="IRNazanin" w:cs="IRNazanin"/>
          <w:lang w:bidi="fa-IR"/>
          <w:color w:val="111111"/>
          <w:sz w:val="28"/>
          <w:szCs w:val="28"/>
          <w:rtl/>
        </w:rPr>
        <w:t xml:space="preserve">خط:  نسخ،كا، معصوم بن على مدد، تا: جمعه ۱ربیع الثاني ۱۲۱۵ق؛ ۷گ (۸۱-۸۷)، ۲۲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۳ - ۴۰]</w:t>
      </w:r>
    </w:p>
    <w:p>
      <w:pPr>
        <w:pStyle w:val="BookText"/>
      </w:pPr>
      <w:r>
        <w:rPr>
          <w:rFonts w:ascii="IRNazanin" w:hAnsi="IRNazanin" w:eastAsia="IRNazanin" w:cs="IRNazanin"/>
          <w:lang w:bidi="fa-IR"/>
          <w:color w:val="111111"/>
          <w:sz w:val="28"/>
          <w:szCs w:val="28"/>
          <w:rtl/>
        </w:rPr>
        <w:t xml:space="preserve">43.اصفهان؛ علامه فانی (ضیاء الدین)؛ شماره نسخه: ۱۳/۱۰</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عبدالجبار بن محمد بن عبدالجبار خطی بحرانی  ، تا: سه شنبه ۱۹ ذیقعده ۱۲۱۶ق؛ جلد: تیماج قرمز ضربی، ۸گ (۲۲۸پ - (۲۳۵ر)، ۲۱ سطر [ سه کتابخانه اصفهان - ف - ۹۲]</w:t>
      </w:r>
    </w:p>
    <w:p>
      <w:pPr>
        <w:pStyle w:val="BookText"/>
      </w:pPr>
      <w:r>
        <w:rPr>
          <w:rFonts w:ascii="IRNazanin" w:hAnsi="IRNazanin" w:eastAsia="IRNazanin" w:cs="IRNazanin"/>
          <w:lang w:bidi="fa-IR"/>
          <w:color w:val="111111"/>
          <w:sz w:val="28"/>
          <w:szCs w:val="28"/>
          <w:rtl/>
        </w:rPr>
        <w:t xml:space="preserve">44.تهران؛ دانشگاه؛ شماره نسخه: ۷۲۱۹/۲</w:t>
      </w:r>
    </w:p>
    <w:p>
      <w:pPr>
        <w:pStyle w:val="BookText"/>
      </w:pPr>
      <w:r>
        <w:rPr>
          <w:rFonts w:ascii="IRNazanin" w:hAnsi="IRNazanin" w:eastAsia="IRNazanin" w:cs="IRNazanin"/>
          <w:lang w:bidi="fa-IR"/>
          <w:color w:val="111111"/>
          <w:sz w:val="28"/>
          <w:szCs w:val="28"/>
          <w:rtl/>
        </w:rPr>
        <w:t xml:space="preserve">خط: نستعلیق، بی کا، تا: ۱۲۱۶ق؛ کاغذ: فرنگی کبود، جلد: نو، ۱۷ سطر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 قطع: ربعی، اندازه:۱۰/۵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۱۶-۴۹۱]</w:t>
      </w:r>
    </w:p>
    <w:p>
      <w:pPr>
        <w:pStyle w:val="BookText"/>
      </w:pPr>
      <w:r>
        <w:rPr>
          <w:rFonts w:ascii="IRNazanin" w:hAnsi="IRNazanin" w:eastAsia="IRNazanin" w:cs="IRNazanin"/>
          <w:lang w:bidi="fa-IR"/>
          <w:color w:val="111111"/>
          <w:sz w:val="28"/>
          <w:szCs w:val="28"/>
          <w:rtl/>
        </w:rPr>
        <w:t xml:space="preserve">۴۵. تهران؛ مجلس؛ شماره نسخه: ۱۳۹۴/۸ ط</w:t>
      </w:r>
    </w:p>
    <w:p>
      <w:pPr>
        <w:pStyle w:val="BookText"/>
      </w:pPr>
      <w:r>
        <w:rPr>
          <w:rFonts w:ascii="IRNazanin" w:hAnsi="IRNazanin" w:eastAsia="IRNazanin" w:cs="IRNazanin"/>
          <w:lang w:bidi="fa-IR"/>
          <w:color w:val="111111"/>
          <w:sz w:val="28"/>
          <w:szCs w:val="28"/>
          <w:rtl/>
        </w:rPr>
        <w:t xml:space="preserve">خط: تحریری، کا: شیخ جواد بن محمود کاظمی، تا: ۱۲۲۲ق؛ ۱۱ص (۴۰۰-۴۱۰)، 22- 23 سطر،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3/ 24- 108]</w:t>
      </w:r>
    </w:p>
    <w:p>
      <w:pPr>
        <w:pStyle w:val="BookText"/>
      </w:pPr>
      <w:r>
        <w:rPr>
          <w:rFonts w:ascii="IRNazanin" w:hAnsi="IRNazanin" w:eastAsia="IRNazanin" w:cs="IRNazanin"/>
          <w:lang w:bidi="fa-IR"/>
          <w:color w:val="111111"/>
          <w:sz w:val="28"/>
          <w:szCs w:val="28"/>
          <w:rtl/>
        </w:rPr>
        <w:t xml:space="preserve">۴۶. تهران؛ مجلس؛ شماره نسخه: ۷۲۱/۲-ط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محمد بن صفر فخار، تا: مورخ ۱۲۳۳و ۱۲۲۳؛ بسیار مغلوط؛ کاغذ: فرنگی سفید آهار مهره، جلد: تیماج مشکی با مقوای نازک، ۵ص ( 18- 22)، ۲۴، ۲۰ و ۲۵ سطر، قطع: خشتی،  اندازه: ۱۵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۲۱سم [ ف : ۲۳ - ۳۰]</w:t>
      </w:r>
    </w:p>
    <w:p>
      <w:pPr>
        <w:pStyle w:val="BookText"/>
      </w:pPr>
      <w:r>
        <w:rPr>
          <w:rFonts w:ascii="IRNazanin" w:hAnsi="IRNazanin" w:eastAsia="IRNazanin" w:cs="IRNazanin"/>
          <w:lang w:bidi="fa-IR"/>
          <w:color w:val="111111"/>
          <w:sz w:val="28"/>
          <w:szCs w:val="28"/>
          <w:rtl/>
        </w:rPr>
        <w:t xml:space="preserve">۴۷. تهران؛ الهیات؛ شماره نسخه: ۱۷۰/۴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متن دعا نسخ معرب، کا: محمد ولی  کرازی، تا: ۱۲۲۳ق؛ کاغذ ،فرنگی ،جلد: تیماج مشکی ضربی، ۵گ (81- 85پ)، ۲۳ سطر (۹/۵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۷۱۹]</w:t>
      </w:r>
    </w:p>
    <w:p>
      <w:pPr>
        <w:pStyle w:val="BookText"/>
      </w:pPr>
      <w:r>
        <w:rPr>
          <w:rFonts w:ascii="IRNazanin" w:hAnsi="IRNazanin" w:eastAsia="IRNazanin" w:cs="IRNazanin"/>
          <w:lang w:bidi="fa-IR"/>
          <w:color w:val="111111"/>
          <w:sz w:val="28"/>
          <w:szCs w:val="28"/>
          <w:rtl/>
        </w:rPr>
        <w:t xml:space="preserve">۴۸. خوی؛ نمازی؛ شماره نسخه: ۳۱۹/۲</w:t>
      </w:r>
    </w:p>
    <w:p>
      <w:pPr>
        <w:pStyle w:val="BookText"/>
      </w:pPr>
      <w:r>
        <w:rPr>
          <w:rFonts w:ascii="IRNazanin" w:hAnsi="IRNazanin" w:eastAsia="IRNazanin" w:cs="IRNazanin"/>
          <w:lang w:bidi="fa-IR"/>
          <w:color w:val="111111"/>
          <w:sz w:val="28"/>
          <w:szCs w:val="28"/>
          <w:rtl/>
        </w:rPr>
        <w:t xml:space="preserve">خط: نسخ، کا: محمد کریم بن کربلای بابای بدل آبادی، تا: ۱۲۲۴ق، جا: كربلا؛ واقف: حاج محمد علی موحد، ربيع الاول ۱۳۸۵؛ جلد: تیماج مشکی ضربی با ترنج با سر، ۱۹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۱۵۹]</w:t>
      </w:r>
    </w:p>
    <w:p>
      <w:pPr>
        <w:pStyle w:val="BookText"/>
      </w:pPr>
      <w:r>
        <w:rPr>
          <w:rFonts w:ascii="IRNazanin" w:hAnsi="IRNazanin" w:eastAsia="IRNazanin" w:cs="IRNazanin"/>
          <w:lang w:bidi="fa-IR"/>
          <w:color w:val="111111"/>
          <w:sz w:val="28"/>
          <w:szCs w:val="28"/>
          <w:rtl/>
        </w:rPr>
        <w:t xml:space="preserve">۴۹. قم؛ مسجد اعظم؛ شماره نسخه: ۸۲۵/۳</w:t>
      </w:r>
    </w:p>
    <w:p>
      <w:pPr>
        <w:pStyle w:val="BookText"/>
      </w:pPr>
      <w:r>
        <w:rPr>
          <w:rFonts w:ascii="IRNazanin" w:hAnsi="IRNazanin" w:eastAsia="IRNazanin" w:cs="IRNazanin"/>
          <w:lang w:bidi="fa-IR"/>
          <w:color w:val="111111"/>
          <w:sz w:val="28"/>
          <w:szCs w:val="28"/>
          <w:rtl/>
        </w:rPr>
        <w:t xml:space="preserve">آغاز و انجام: برابر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 نستعلیق، کا: محمد حسن ، تا: ۱۲۲۴ق؛ جلد:تیماج زرشکی بدون مقوا مجدول، ۵گ، ۲۴ سطر، اندازه: ۱۵</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۲۱سم [ف مخ: ۱ - ۴۰]</w:t>
      </w:r>
    </w:p>
    <w:p>
      <w:pPr>
        <w:pStyle w:val="BookText"/>
      </w:pPr>
      <w:r>
        <w:rPr>
          <w:rFonts w:ascii="IRNazanin" w:hAnsi="IRNazanin" w:eastAsia="IRNazanin" w:cs="IRNazanin"/>
          <w:lang w:bidi="fa-IR"/>
          <w:color w:val="111111"/>
          <w:sz w:val="28"/>
          <w:szCs w:val="28"/>
          <w:rtl/>
        </w:rPr>
        <w:t xml:space="preserve">۵۰. قم؛ مفتی الشیعه؛ شماره نسخه: ۲۷/۴</w:t>
      </w:r>
    </w:p>
    <w:p>
      <w:pPr>
        <w:pStyle w:val="BookText"/>
      </w:pPr>
      <w:r>
        <w:rPr>
          <w:rFonts w:ascii="IRNazanin" w:hAnsi="IRNazanin" w:eastAsia="IRNazanin" w:cs="IRNazanin"/>
          <w:lang w:bidi="fa-IR"/>
          <w:color w:val="111111"/>
          <w:sz w:val="28"/>
          <w:szCs w:val="28"/>
          <w:rtl/>
        </w:rPr>
        <w:t xml:space="preserve">خط: نسخ، کا: بديع بن سید عابد حسینی جاپلقی، تا: غره جمادی الثاني ۱۲۲۹ق، جلد: تیماج قهوه ای، ۶گ (95پ- 100ر)،  23سطر،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 ۳۸]</w:t>
      </w:r>
    </w:p>
    <w:p>
      <w:pPr>
        <w:pStyle w:val="BookText"/>
      </w:pPr>
      <w:r>
        <w:rPr>
          <w:rFonts w:ascii="IRNazanin" w:hAnsi="IRNazanin" w:eastAsia="IRNazanin" w:cs="IRNazanin"/>
          <w:lang w:bidi="fa-IR"/>
          <w:color w:val="111111"/>
          <w:sz w:val="28"/>
          <w:szCs w:val="28"/>
          <w:rtl/>
        </w:rPr>
        <w:t xml:space="preserve">۵۱. همدان؛ مدرسه غرب؛ شماره نسخه: ۱۰۱۶۹/۷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شکسته نستعلیق، بی کا، تا: سه شنبه ۲۸ ربيع الثانی ۱۲۳۲ق؛  جا:  قم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 رشت و همدان - ف :۱۵۹۰]</w:t>
      </w:r>
    </w:p>
    <w:p>
      <w:pPr>
        <w:pStyle w:val="BookText"/>
      </w:pPr>
      <w:r>
        <w:rPr>
          <w:rFonts w:ascii="IRNazanin" w:hAnsi="IRNazanin" w:eastAsia="IRNazanin" w:cs="IRNazanin"/>
          <w:lang w:bidi="fa-IR"/>
          <w:color w:val="111111"/>
          <w:sz w:val="28"/>
          <w:szCs w:val="28"/>
          <w:rtl/>
        </w:rPr>
        <w:t xml:space="preserve">52.همدان؛ مدرسه غرب؛ شماره نسخه: ۴۸۱۷/۸</w:t>
      </w:r>
    </w:p>
    <w:p>
      <w:pPr>
        <w:pStyle w:val="BookText"/>
      </w:pPr>
      <w:r>
        <w:rPr>
          <w:rFonts w:ascii="IRNazanin" w:hAnsi="IRNazanin" w:eastAsia="IRNazanin" w:cs="IRNazanin"/>
          <w:lang w:bidi="fa-IR"/>
          <w:color w:val="111111"/>
          <w:sz w:val="28"/>
          <w:szCs w:val="28"/>
          <w:rtl/>
        </w:rPr>
        <w:t xml:space="preserve">خط: نسخ،کا: حسین بن قاسم بن محمد بن شيخ حمزه،  تا:۱۲۳۳ق؛ قطع: بیاض رقعی[ رشت و همدان - ف: ۱۵۷۲]</w:t>
      </w:r>
    </w:p>
    <w:p>
      <w:pPr>
        <w:pStyle w:val="BookText"/>
      </w:pPr>
      <w:r>
        <w:rPr>
          <w:rFonts w:ascii="IRNazanin" w:hAnsi="IRNazanin" w:eastAsia="IRNazanin" w:cs="IRNazanin"/>
          <w:lang w:bidi="fa-IR"/>
          <w:color w:val="111111"/>
          <w:sz w:val="28"/>
          <w:szCs w:val="28"/>
          <w:rtl/>
        </w:rPr>
        <w:t xml:space="preserve">۵۳. تهران؛ مجلس؛ شماره نسخه: ۸۹۳۶/۳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خلیل بن حاجی ابراهیم زاهد  تبریزی، تا: یک شـنبه ربيع الاول ۱۲۳۳ق، جا: نجف؛ کاغذ: فرنگی نخودی آهار مهره ،جلد: طبله اول تیماج مشکی ضربی با ترنج و سر ترنج و جدولهای گرهی  ، 6گ(۵۴ر - ۵۹ر) ۲۱ - ۲۳ 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اندازه: ۱۵/۴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۲۰/۷سم [ف: ٢٩/١ - ٣٩٣]</w:t>
      </w:r>
    </w:p>
    <w:p>
      <w:pPr>
        <w:pStyle w:val="BookText"/>
      </w:pPr>
      <w:r>
        <w:rPr>
          <w:rFonts w:ascii="IRNazanin" w:hAnsi="IRNazanin" w:eastAsia="IRNazanin" w:cs="IRNazanin"/>
          <w:lang w:bidi="fa-IR"/>
          <w:color w:val="111111"/>
          <w:sz w:val="28"/>
          <w:szCs w:val="28"/>
          <w:rtl/>
        </w:rPr>
        <w:t xml:space="preserve">۵۴. مشهد؛ رضوی؛ شماره نسخه: ۹۷۷۵/۷</w:t>
      </w:r>
    </w:p>
    <w:p>
      <w:pPr>
        <w:pStyle w:val="BookText"/>
      </w:pPr>
      <w:r>
        <w:rPr>
          <w:rFonts w:ascii="IRNazanin" w:hAnsi="IRNazanin" w:eastAsia="IRNazanin" w:cs="IRNazanin"/>
          <w:lang w:bidi="fa-IR"/>
          <w:color w:val="111111"/>
          <w:sz w:val="28"/>
          <w:szCs w:val="28"/>
          <w:rtl/>
        </w:rPr>
        <w:t xml:space="preserve">خط: نستعليق، كا: حاجی محمد بن آقا بابای جیلانی، تا:۱۲۳۳ ق؛ جا: مدرسه جدید سلطانی معروف به چهار باغ اصفهان؛ کاغذ: فرنگی آهار مهره  شکری ،جلد: میشن  خرمایی، ۵گ ( 135- 139) ، ۲۲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۱۶ - ۳۹۵]</w:t>
      </w:r>
    </w:p>
    <w:p>
      <w:pPr>
        <w:pStyle w:val="BookText"/>
      </w:pPr>
      <w:r>
        <w:rPr>
          <w:rFonts w:ascii="IRNazanin" w:hAnsi="IRNazanin" w:eastAsia="IRNazanin" w:cs="IRNazanin"/>
          <w:lang w:bidi="fa-IR"/>
          <w:color w:val="111111"/>
          <w:sz w:val="28"/>
          <w:szCs w:val="28"/>
          <w:rtl/>
        </w:rPr>
        <w:t xml:space="preserve">۵۵. تهران؛ ملی؛ شماره نسخه: ۶۰۶۳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محمد بن المؤتمن، تا: ۱۲۳۳ق؛ كاغذ: فرنگی  شکری، جلد: تیماج قهوه ای مقوایی دارای ترنج و سر ترنج ضربی به نقش گل و بوته با کاغذی  نخودی، ۵گ (105- 109پ)، 21سطر (۹/۵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۱۴/۳)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[رایانه]</w:t>
      </w:r>
    </w:p>
    <w:p>
      <w:pPr>
        <w:pStyle w:val="BookText"/>
      </w:pPr>
      <w:r>
        <w:rPr>
          <w:rFonts w:ascii="IRNazanin" w:hAnsi="IRNazanin" w:eastAsia="IRNazanin" w:cs="IRNazanin"/>
          <w:lang w:bidi="fa-IR"/>
          <w:color w:val="111111"/>
          <w:sz w:val="28"/>
          <w:szCs w:val="28"/>
          <w:rtl/>
        </w:rPr>
        <w:t xml:space="preserve">۵۶ .تهران؛ ملی؛ شماره نسخه: ۳۲۰۸/۵</w:t>
      </w:r>
    </w:p>
    <w:p>
      <w:pPr>
        <w:pStyle w:val="BookText"/>
      </w:pPr>
      <w:r>
        <w:rPr>
          <w:rFonts w:ascii="Amiri" w:hAnsi="Amiri" w:eastAsia="Amiri" w:cs="Amiri"/>
          <w:lang w:bidi="ar-SA"/>
          <w:color w:val="111111"/>
          <w:sz w:val="28"/>
          <w:szCs w:val="28"/>
          <w:rtl/>
        </w:rPr>
        <w:t xml:space="preserve">آغاز: برابر؛ انجام :و اما غيرها من اقسام الجمع فلو كان متحـققا كان يعلم حاله مما ذكر</w:t>
      </w:r>
    </w:p>
    <w:p>
      <w:pPr>
        <w:pStyle w:val="BookText"/>
      </w:pPr>
      <w:r>
        <w:rPr>
          <w:rFonts w:ascii="IRNazanin" w:hAnsi="IRNazanin" w:eastAsia="IRNazanin" w:cs="IRNazanin"/>
          <w:lang w:bidi="fa-IR"/>
          <w:color w:val="111111"/>
          <w:sz w:val="28"/>
          <w:szCs w:val="28"/>
          <w:rtl/>
        </w:rPr>
        <w:t xml:space="preserve">خط: نسخ، کا: علی بن محمد هادی حسینی اصفهانی،تا:۱۲۳۹/۱۲۳۴ق ؛کاغذ: فرنگی ،شکری، جلد: تیماج مشکی مقوایی ضربی با ترنج و چهار سر ترنج ،مجدول، ۱۳گ (۷۳-۸۵) ، ابعاد متن: 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۱۵ - ۱۰]</w:t>
      </w:r>
    </w:p>
    <w:p>
      <w:pPr>
        <w:pStyle w:val="BookText"/>
      </w:pPr>
      <w:r>
        <w:rPr>
          <w:rFonts w:ascii="IRNazanin" w:hAnsi="IRNazanin" w:eastAsia="IRNazanin" w:cs="IRNazanin"/>
          <w:lang w:bidi="fa-IR"/>
          <w:color w:val="111111"/>
          <w:sz w:val="28"/>
          <w:szCs w:val="28"/>
          <w:rtl/>
        </w:rPr>
        <w:t xml:space="preserve">۵۷. مشهد؛ رضوی؛ شماره نسخه: ۱۹۱۰۷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محمد ابراهيم بن احمد علی استرآبادی کرد محلی، تا: ۱۲۳۴ق، جا: کربلا؛ واقف: خانم بیگم  عقیلی، خرداد ۱۳۷۱؛ کاغذ: فرنگی نخودی، جلد: تیماج مشکی، ۶گ،  23سطر،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 ۱۶ - ۱۲]</w:t>
      </w:r>
    </w:p>
    <w:p>
      <w:pPr>
        <w:pStyle w:val="BookText"/>
      </w:pPr>
      <w:r>
        <w:rPr>
          <w:rFonts w:ascii="IRNazanin" w:hAnsi="IRNazanin" w:eastAsia="IRNazanin" w:cs="IRNazanin"/>
          <w:lang w:bidi="fa-IR"/>
          <w:color w:val="111111"/>
          <w:sz w:val="28"/>
          <w:szCs w:val="28"/>
          <w:rtl/>
        </w:rPr>
        <w:t xml:space="preserve">۵۸. تهران؛ ملک؛ شماره نسخه: ۲۴۳۹/۱۷</w:t>
      </w:r>
    </w:p>
    <w:p>
      <w:pPr>
        <w:pStyle w:val="BookText"/>
      </w:pPr>
      <w:r>
        <w:rPr>
          <w:rFonts w:ascii="IRNazanin" w:hAnsi="IRNazanin" w:eastAsia="IRNazanin" w:cs="IRNazanin"/>
          <w:lang w:bidi="fa-IR"/>
          <w:color w:val="111111"/>
          <w:sz w:val="28"/>
          <w:szCs w:val="28"/>
          <w:rtl/>
        </w:rPr>
        <w:t xml:space="preserve">خط: نسخ، کا: محمد صالح خوانساری و حاج قاسم بن علی اکبر، تا: ۱۲۳۴ق؛ کاغذ: فستقی، جلد: رویه کاغذی مقوایی، ۵گ (۱۹۹پ-۱۹۵پ)، ۲۵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۲۱/۲سم [ف: ۶ - ۱۷]</w:t>
      </w:r>
    </w:p>
    <w:p>
      <w:pPr>
        <w:pStyle w:val="BookText"/>
      </w:pPr>
      <w:r>
        <w:rPr>
          <w:rFonts w:ascii="IRNazanin" w:hAnsi="IRNazanin" w:eastAsia="IRNazanin" w:cs="IRNazanin"/>
          <w:lang w:bidi="fa-IR"/>
          <w:color w:val="111111"/>
          <w:sz w:val="28"/>
          <w:szCs w:val="28"/>
          <w:rtl/>
        </w:rPr>
        <w:t xml:space="preserve">۵۹. تهران؛ ملک؛ شماره نسخه: ۸۲۸/۱۰</w:t>
      </w:r>
    </w:p>
    <w:p>
      <w:pPr>
        <w:pStyle w:val="BookText"/>
      </w:pPr>
      <w:r>
        <w:rPr>
          <w:rFonts w:ascii="IRNazanin" w:hAnsi="IRNazanin" w:eastAsia="IRNazanin" w:cs="IRNazanin"/>
          <w:lang w:bidi="fa-IR"/>
          <w:color w:val="111111"/>
          <w:sz w:val="28"/>
          <w:szCs w:val="28"/>
          <w:rtl/>
        </w:rPr>
        <w:t xml:space="preserve">خط: نسخ، بی کا، تا: پنج شنبه نزدیک به پایان جمادی الثانی ۱۲۳۵ق؛ کاغذ: پسته ای، جلد: میشن قهوه ای، ۸گ (۱۵۸پ-  ۱۶۵ر) اندازه: ۱۰/۳۰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۱۵/۲سم [ف: ۵ – ۱۹۶]</w:t>
      </w:r>
    </w:p>
    <w:p>
      <w:pPr>
        <w:pStyle w:val="BookText"/>
      </w:pPr>
      <w:r>
        <w:rPr>
          <w:rFonts w:ascii="IRNazanin" w:hAnsi="IRNazanin" w:eastAsia="IRNazanin" w:cs="IRNazanin"/>
          <w:lang w:bidi="fa-IR"/>
          <w:color w:val="111111"/>
          <w:sz w:val="28"/>
          <w:szCs w:val="28"/>
          <w:rtl/>
        </w:rPr>
        <w:t xml:space="preserve">۶۰ .تهران؛ ملک؛ شماره نسخه: ۲۷۲۲/۳</w:t>
      </w:r>
    </w:p>
    <w:p>
      <w:pPr>
        <w:pStyle w:val="BookText"/>
      </w:pPr>
      <w:r>
        <w:rPr>
          <w:rFonts w:ascii="IRNazanin" w:hAnsi="IRNazanin" w:eastAsia="IRNazanin" w:cs="IRNazanin"/>
          <w:lang w:bidi="fa-IR"/>
          <w:color w:val="111111"/>
          <w:sz w:val="28"/>
          <w:szCs w:val="28"/>
          <w:rtl/>
        </w:rPr>
        <w:t xml:space="preserve">خط: نسخ، بی کا، تا: ۱۲۳۶ق برای آقا سید محمد؛ کاغذ: پسته ای ،جلد: میشن  سبز ،۱۶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۶-۱۰۳]</w:t>
      </w:r>
    </w:p>
    <w:p>
      <w:pPr>
        <w:pStyle w:val="BookText"/>
      </w:pPr>
      <w:r>
        <w:rPr>
          <w:rFonts w:ascii="IRNazanin" w:hAnsi="IRNazanin" w:eastAsia="IRNazanin" w:cs="IRNazanin"/>
          <w:lang w:bidi="fa-IR"/>
          <w:color w:val="111111"/>
          <w:sz w:val="28"/>
          <w:szCs w:val="28"/>
          <w:rtl/>
        </w:rPr>
        <w:t xml:space="preserve">۶۱. تهران؛ مجلس؛ شماره نسخه: ۹۵۲۷/۱۱۵</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بی کا، تا: اواسط محرم ۱۲۳۶ق؛ جلد: تیماج مشکی، ۳گ (۱۱۶ر-۱۱۸پ)، ۲۲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۳۰ - ۱۹۷]</w:t>
      </w:r>
    </w:p>
    <w:p>
      <w:pPr>
        <w:pStyle w:val="BookText"/>
      </w:pPr>
      <w:r>
        <w:rPr>
          <w:rFonts w:ascii="IRNazanin" w:hAnsi="IRNazanin" w:eastAsia="IRNazanin" w:cs="IRNazanin"/>
          <w:lang w:bidi="fa-IR"/>
          <w:color w:val="111111"/>
          <w:sz w:val="28"/>
          <w:szCs w:val="28"/>
          <w:rtl/>
        </w:rPr>
        <w:t xml:space="preserve">62.شیراز؛ علامه طباطبائی؛ شماره نسخه: ۶۸/۸</w:t>
      </w:r>
    </w:p>
    <w:p>
      <w:pPr>
        <w:pStyle w:val="BookText"/>
      </w:pPr>
      <w:r>
        <w:rPr>
          <w:rFonts w:ascii="IRNazanin" w:hAnsi="IRNazanin" w:eastAsia="IRNazanin" w:cs="IRNazanin"/>
          <w:lang w:bidi="fa-IR"/>
          <w:color w:val="111111"/>
          <w:sz w:val="28"/>
          <w:szCs w:val="28"/>
          <w:rtl/>
        </w:rPr>
        <w:t xml:space="preserve">خط: نسخ، کا: محمد امیر خراسانی، تا: ۱۲۳۷ق، جا: نجف؛ ۵گ (۱۵۶ پ - ۱۶۰)،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[نسخه پژوهی: ۳ – ۶۷]</w:t>
      </w:r>
    </w:p>
    <w:p>
      <w:pPr>
        <w:pStyle w:val="BookText"/>
      </w:pPr>
      <w:r>
        <w:rPr>
          <w:rFonts w:ascii="IRNazanin" w:hAnsi="IRNazanin" w:eastAsia="IRNazanin" w:cs="IRNazanin"/>
          <w:lang w:bidi="fa-IR"/>
          <w:color w:val="111111"/>
          <w:sz w:val="28"/>
          <w:szCs w:val="28"/>
          <w:rtl/>
        </w:rPr>
        <w:t xml:space="preserve">۶۳. قم؛ مسجد اعظم؛ شماره نسخه: ۲۳۱۰/۲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نستعليق ،كا: محمد بن صادق چورسی خویی، تا: ۱۲۴۱ق؛ سطور چلیپا؛ ۲گ، چلیپا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مخ: ۱ - ۱۴۰]</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مشهد؛ رضوی؛ شماره نسخه: ۱۴۴۲۱/۳</w:t>
      </w:r>
    </w:p>
    <w:p>
      <w:pPr>
        <w:pStyle w:val="BookText"/>
      </w:pPr>
      <w:r>
        <w:rPr>
          <w:rFonts w:ascii="IRNazanin" w:hAnsi="IRNazanin" w:eastAsia="IRNazanin" w:cs="IRNazanin"/>
          <w:lang w:bidi="fa-IR"/>
          <w:color w:val="111111"/>
          <w:sz w:val="28"/>
          <w:szCs w:val="28"/>
          <w:rtl/>
        </w:rPr>
        <w:t xml:space="preserve">خط: نستعلیق، کا: محمد صادق بن مشهدی کاظم جیلانی الاصل و غروى المسكن، تا: ۱۰ شوال ۱۲۴۲ق؛ کاغذ: فرنگی شکری و فستقی ،جلد: مقوا با روکش ،پارچه، ۲۳ سطر، اندازه:۱۵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۱۶ - ۳۳۸]</w:t>
      </w:r>
    </w:p>
    <w:p>
      <w:pPr>
        <w:pStyle w:val="BookText"/>
      </w:pPr>
      <w:r>
        <w:rPr>
          <w:rFonts w:ascii="Amiri" w:hAnsi="Amiri" w:eastAsia="Amiri" w:cs="Amiri"/>
          <w:lang w:bidi="ar-SA"/>
          <w:color w:val="111111"/>
          <w:sz w:val="28"/>
          <w:szCs w:val="28"/>
          <w:rtl/>
        </w:rPr>
        <w:t xml:space="preserve">۶۵. تهران؛ دائرة المعارف؛ شماره نسخه: ۷۴۶/۱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تحریری، کا: محمد علی بن عبدالقادر حسینی، تا: ربیع  الثانی ۱۲۴۲ق؛ ۷گ (۲ ر-8ر) [ف ۲ - ۱۴]</w:t>
      </w:r>
    </w:p>
    <w:p>
      <w:pPr>
        <w:pStyle w:val="BookText"/>
      </w:pPr>
      <w:r>
        <w:rPr>
          <w:rFonts w:ascii="IRNazanin" w:hAnsi="IRNazanin" w:eastAsia="IRNazanin" w:cs="IRNazanin"/>
          <w:lang w:bidi="fa-IR"/>
          <w:color w:val="111111"/>
          <w:sz w:val="28"/>
          <w:szCs w:val="28"/>
          <w:rtl/>
        </w:rPr>
        <w:t xml:space="preserve">۶۶. تهران؛ مجلس؛ شماره نسخه: ۱۲۵۳/۳ط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 کا: سید محمد بن سید حسین موسوی حسینی، تا: ۱۲۴۴ق؛ جلد: کاغذی، ۱۶ص (۱۳۷-۱۵۲)، ۱۹-۲۱ سطر، اندازه: 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۲۴/۳ - ۴۰]</w:t>
      </w:r>
    </w:p>
    <w:p>
      <w:pPr>
        <w:pStyle w:val="BookText"/>
      </w:pPr>
      <w:r>
        <w:rPr>
          <w:rFonts w:ascii="IRNazanin" w:hAnsi="IRNazanin" w:eastAsia="IRNazanin" w:cs="IRNazanin"/>
          <w:lang w:bidi="fa-IR"/>
          <w:color w:val="111111"/>
          <w:sz w:val="28"/>
          <w:szCs w:val="28"/>
          <w:rtl/>
        </w:rPr>
        <w:t xml:space="preserve">۶۷. مشهد؛ رضوی؛ شماره نسخه: ۱۹۶۳۱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محمد رضا بن على كوکدی گلپایگانی، تا: ۸  جمادى الثانى  ۱۲۴۴ق، جا: اصفهان؛ ضمیمه نسخه شماره ۱۹۶۳۰ ؛اهدایی:  رهبری، خرداد ۱۳۷۳ ؛کاغذ: فرنگی آهار مهره نخودی، ۴گ، ۲۵ 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 ۱۶ - ۱۳]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۶۸. قم؛ مرعشی شماره نسخه: ۱۱۳۰۷/۲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ربیع الثانی ۱۲۴۵ق؛ مصحح، محشی، در پایان رساله خطبة البيان منسوب به امیر المؤمنين و مطالب متفـرقه دیگر تا برگ ۷۷ آمده؛ کاغذ: فرنگی آهار مهره، ۱۱گ ( 64- ۷۴)، ۱۷ سطر، اندازه: 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۱۴/۵سم [ف: ۲۸ - ۴۶۹]</w:t>
      </w:r>
    </w:p>
    <w:p>
      <w:pPr>
        <w:pStyle w:val="BookText"/>
      </w:pPr>
      <w:r>
        <w:rPr>
          <w:rFonts w:ascii="IRNazanin" w:hAnsi="IRNazanin" w:eastAsia="IRNazanin" w:cs="IRNazanin"/>
          <w:lang w:bidi="fa-IR"/>
          <w:color w:val="111111"/>
          <w:sz w:val="28"/>
          <w:szCs w:val="28"/>
          <w:rtl/>
        </w:rPr>
        <w:t xml:space="preserve">۶۹ .قم ؛مرعشی؛ شماره نسخه: ۴۵۸/۷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۱۰ ذیقعده ۱۲۴۵ق؛ جلد: تیماج قرمز، ۷گ (۱۵۹ پ-۱۶۵ر)، ۲۱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۲ - ۶۳]</w:t>
      </w:r>
    </w:p>
    <w:p>
      <w:pPr>
        <w:pStyle w:val="BookText"/>
      </w:pPr>
      <w:r>
        <w:rPr>
          <w:rFonts w:ascii="IRNazanin" w:hAnsi="IRNazanin" w:eastAsia="IRNazanin" w:cs="IRNazanin"/>
          <w:lang w:bidi="fa-IR"/>
          <w:color w:val="111111"/>
          <w:sz w:val="28"/>
          <w:szCs w:val="28"/>
          <w:rtl/>
        </w:rPr>
        <w:t xml:space="preserve">70.کرمانشاه؛ فیض مهدوی (کتابخانه)؛ شماره نسخه: بدون شماره/۳</w:t>
      </w:r>
    </w:p>
    <w:p>
      <w:pPr>
        <w:pStyle w:val="BookText"/>
      </w:pPr>
      <w:r>
        <w:rPr>
          <w:rFonts w:ascii="IRNazanin" w:hAnsi="IRNazanin" w:eastAsia="IRNazanin" w:cs="IRNazanin"/>
          <w:lang w:bidi="fa-IR"/>
          <w:color w:val="111111"/>
          <w:sz w:val="28"/>
          <w:szCs w:val="28"/>
          <w:rtl/>
        </w:rPr>
        <w:t xml:space="preserve">کا: محمد بن حسین جدید  خراسانی، تا: یک شنبه ۲۰ جمادی  الثانى ۱۲۴۶ق [ تراثنا: س ۲ش ۴ - ۵۷]</w:t>
      </w:r>
    </w:p>
    <w:p>
      <w:pPr>
        <w:pStyle w:val="BookText"/>
      </w:pPr>
      <w:r>
        <w:rPr>
          <w:rFonts w:ascii="IRNazanin" w:hAnsi="IRNazanin" w:eastAsia="IRNazanin" w:cs="IRNazanin"/>
          <w:lang w:bidi="fa-IR"/>
          <w:color w:val="111111"/>
          <w:sz w:val="28"/>
          <w:szCs w:val="28"/>
          <w:rtl/>
        </w:rPr>
        <w:t xml:space="preserve">۷۱. مشهد؛ نواب ؛شماره نسخه: ۴۰۷/۳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محمد جعفر نظر  آبادی، تا: ۱۲۴۰-۱۲۵۰ق،جا:  اصفهان؛ كاغذ: فستقی، جلد: تیماج عنابی عطف میشن قهوه ای، ۸گ (۵۶-۴۹)، ۱۹ سطر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 [ف: ۳۳۸]</w:t>
      </w:r>
    </w:p>
    <w:p>
      <w:pPr>
        <w:pStyle w:val="BookText"/>
      </w:pPr>
      <w:r>
        <w:rPr>
          <w:rFonts w:ascii="IRNazanin" w:hAnsi="IRNazanin" w:eastAsia="IRNazanin" w:cs="IRNazanin"/>
          <w:lang w:bidi="fa-IR"/>
          <w:color w:val="111111"/>
          <w:sz w:val="28"/>
          <w:szCs w:val="28"/>
          <w:rtl/>
        </w:rPr>
        <w:t xml:space="preserve">۷۲. تهران؛ دانشگاه؛ شماره نسخه: ۸۲۸۲/۳</w:t>
      </w:r>
    </w:p>
    <w:p>
      <w:pPr>
        <w:pStyle w:val="BookText"/>
      </w:pPr>
      <w:r>
        <w:rPr>
          <w:rFonts w:ascii="IRNazanin" w:hAnsi="IRNazanin" w:eastAsia="IRNazanin" w:cs="IRNazanin"/>
          <w:lang w:bidi="fa-IR"/>
          <w:color w:val="111111"/>
          <w:sz w:val="28"/>
          <w:szCs w:val="28"/>
          <w:rtl/>
        </w:rPr>
        <w:t xml:space="preserve">خط: نستعلیق، کا: محمد تقی گلپایگانی، تا: ۱۲۵۱ق؛ کاغذ: فرنگی، جلد: تیماج تریاکی  لایی، ۱۱گ (۱۱پ-۲۱پ)، ۱۴ سـطر  (6</w:t>
      </w:r>
      <w:r>
        <w:rPr>
          <w:rFonts w:ascii="Times New Roman" w:hAnsi="Times New Roman" w:eastAsia="Times New Roman" w:cs="Times New Roman"/>
          <w:lang w:val="en-US" w:bidi="en-US"/>
          <w:color w:val="111111"/>
          <w:sz w:val="28"/>
          <w:szCs w:val="28"/>
          <w:rtl/>
        </w:rPr>
        <w:t xml:space="preserve">×10) </w:t>
      </w:r>
      <w:r>
        <w:rPr>
          <w:rFonts w:ascii="IRNazanin" w:hAnsi="IRNazanin" w:eastAsia="IRNazanin" w:cs="IRNazanin"/>
          <w:lang w:bidi="fa-IR"/>
          <w:color w:val="111111"/>
          <w:sz w:val="28"/>
          <w:szCs w:val="28"/>
          <w:rtl/>
        </w:rPr>
        <w:t xml:space="preserve">قطع :بغلی [ف ۱۷ - ۹۷]</w:t>
      </w:r>
    </w:p>
    <w:p>
      <w:pPr>
        <w:pStyle w:val="BookText"/>
      </w:pPr>
      <w:r>
        <w:rPr>
          <w:rFonts w:ascii="IRNazanin" w:hAnsi="IRNazanin" w:eastAsia="IRNazanin" w:cs="IRNazanin"/>
          <w:lang w:bidi="fa-IR"/>
          <w:color w:val="111111"/>
          <w:sz w:val="28"/>
          <w:szCs w:val="28"/>
          <w:rtl/>
        </w:rPr>
        <w:t xml:space="preserve">۷۳. مشهد؛ رضوی؛ شماره نسخه: ض ۲۱۰۱۵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خوانساری، تا: ۱۲۵۳ق؛ این نسخه به همراه «رساله  اجماعیه» ضمیمه فوائد جدیده و قدیمه مؤلف به شماره 21015 است؛ اهدایی : رهبری، خرداد ۱۳۷۳؛ کاغذ: فرنگی شکری، 6گ، ۲۱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۱۶ - ۱۳]</w:t>
      </w:r>
    </w:p>
    <w:p>
      <w:pPr>
        <w:pStyle w:val="BookText"/>
      </w:pPr>
      <w:r>
        <w:rPr>
          <w:rFonts w:ascii="IRNazanin" w:hAnsi="IRNazanin" w:eastAsia="IRNazanin" w:cs="IRNazanin"/>
          <w:lang w:bidi="fa-IR"/>
          <w:color w:val="111111"/>
          <w:sz w:val="28"/>
          <w:szCs w:val="28"/>
          <w:rtl/>
        </w:rPr>
        <w:t xml:space="preserve">۷۴. مشهد؛ رضوی؛ شماره نسخه: ۱۵۲۴۵/۴</w:t>
      </w:r>
    </w:p>
    <w:p>
      <w:pPr>
        <w:pStyle w:val="BookText"/>
      </w:pPr>
      <w:r>
        <w:rPr>
          <w:rFonts w:ascii="IRNazanin" w:hAnsi="IRNazanin" w:eastAsia="IRNazanin" w:cs="IRNazanin"/>
          <w:lang w:bidi="fa-IR"/>
          <w:color w:val="111111"/>
          <w:sz w:val="28"/>
          <w:szCs w:val="28"/>
          <w:rtl/>
        </w:rPr>
        <w:t xml:space="preserve">خط: نسخ، کا: مؤمن موسوی  قمی، تا: ۱۲۵۸ق؛ کاغذ: آهار مـهره نخودی، جلد: تیماج مشکی، ۲۷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16- 350]</w:t>
      </w:r>
    </w:p>
    <w:p>
      <w:pPr>
        <w:pStyle w:val="BookText"/>
      </w:pPr>
      <w:r>
        <w:rPr>
          <w:rFonts w:ascii="IRNazanin" w:hAnsi="IRNazanin" w:eastAsia="IRNazanin" w:cs="IRNazanin"/>
          <w:lang w:bidi="fa-IR"/>
          <w:color w:val="111111"/>
          <w:sz w:val="28"/>
          <w:szCs w:val="28"/>
          <w:rtl/>
        </w:rPr>
        <w:t xml:space="preserve">۷۵. تهران؛ ملی؛ شماره نسخه: ۲۳۱/۳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مهدی بن ملا زین العابدين نجف آبادی، تا: ۱۲۵۸ق؛ کاغذ: فرنگی، جلد: روغنی بوم مشکی با ترنج و نیم ترنج گل و بوته زر و شنجرف ولاجورد و سبز عطف تیماج مشـکی  مقوایی، ۱۲ ص( ۵۳-۶۴)، ۲۰ سطر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۷ - ۲۰۲]</w:t>
      </w:r>
    </w:p>
    <w:p>
      <w:pPr>
        <w:pStyle w:val="BookText"/>
      </w:pPr>
      <w:r>
        <w:rPr>
          <w:rFonts w:ascii="IRNazanin" w:hAnsi="IRNazanin" w:eastAsia="IRNazanin" w:cs="IRNazanin"/>
          <w:lang w:bidi="fa-IR"/>
          <w:color w:val="111111"/>
          <w:sz w:val="28"/>
          <w:szCs w:val="28"/>
          <w:rtl/>
        </w:rPr>
        <w:t xml:space="preserve">۷۶. تهران؛ ملک؛ شماره نسخه: ۱۴۵۴/۲</w:t>
      </w:r>
    </w:p>
    <w:p>
      <w:pPr>
        <w:pStyle w:val="BookText"/>
      </w:pPr>
      <w:r>
        <w:rPr>
          <w:rFonts w:ascii="IRNazanin" w:hAnsi="IRNazanin" w:eastAsia="IRNazanin" w:cs="IRNazanin"/>
          <w:lang w:bidi="fa-IR"/>
          <w:color w:val="111111"/>
          <w:sz w:val="28"/>
          <w:szCs w:val="28"/>
          <w:rtl/>
        </w:rPr>
        <w:t xml:space="preserve">خط: نسخ، کا: ابو القاسم بن محمد تقی گلپایگانی (جرفادقانی) ، تا: ۱۲۷۴ق؛ کاغذ: فرنگی ،جلد: میشن قهوه ای، ۲۰ سطر [ف: 5- 268]</w:t>
      </w:r>
    </w:p>
    <w:p>
      <w:pPr>
        <w:pStyle w:val="BookText"/>
      </w:pPr>
      <w:r>
        <w:rPr>
          <w:rFonts w:ascii="IRNazanin" w:hAnsi="IRNazanin" w:eastAsia="IRNazanin" w:cs="IRNazanin"/>
          <w:lang w:bidi="fa-IR"/>
          <w:color w:val="111111"/>
          <w:sz w:val="28"/>
          <w:szCs w:val="28"/>
          <w:rtl/>
        </w:rPr>
        <w:t xml:space="preserve">۷۷. مشهد؛ رضوی؛ شماره نسخه: ۲۱۱۲۴</w:t>
      </w:r>
    </w:p>
    <w:p>
      <w:pPr>
        <w:pStyle w:val="BookText"/>
      </w:pPr>
      <w:r>
        <w:rPr>
          <w:rFonts w:ascii="Amiri" w:hAnsi="Amiri" w:eastAsia="Amiri" w:cs="Amiri"/>
          <w:lang w:bidi="ar-SA"/>
          <w:color w:val="111111"/>
          <w:sz w:val="28"/>
          <w:szCs w:val="28"/>
          <w:rtl/>
        </w:rPr>
        <w:t xml:space="preserve">آغاز: برابر؛ انجام: ربما يكون بعضها غير واف بجميع المطلق بل لابد من ثبوت الحكم بالادلة.</w:t>
      </w:r>
    </w:p>
    <w:p>
      <w:pPr>
        <w:pStyle w:val="BookText"/>
      </w:pPr>
      <w:r>
        <w:rPr>
          <w:rFonts w:ascii="IRNazanin" w:hAnsi="IRNazanin" w:eastAsia="IRNazanin" w:cs="IRNazanin"/>
          <w:lang w:bidi="fa-IR"/>
          <w:color w:val="111111"/>
          <w:sz w:val="28"/>
          <w:szCs w:val="28"/>
          <w:rtl/>
        </w:rPr>
        <w:t xml:space="preserve">خط: نسخ، کا: ابو طالب بن سید احمد حسینی موسوی خوانساری، تا: جمعه ۱۴ ذیحجه ،۱۲۷۵ق ،جا: دارالسرور بروجرد؛سه رساله دیگر از مجموعه رسائل مؤلف (اجماعیه، اصالة البرائه، طهارة الاشياء) در ذیل رساله ضمیمه  است، ضمیمه نسخه ش ۲۱۱۱۹؛ اهدایی رهبری خرداد ۱۳۷۳؛ کاغذ: فرنگی  شکری، ۳۲گ ۲۳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۱۶ - ۱۴]</w:t>
      </w:r>
    </w:p>
    <w:p>
      <w:pPr>
        <w:pStyle w:val="BookText"/>
      </w:pPr>
      <w:r>
        <w:rPr>
          <w:rFonts w:ascii="IRNazanin" w:hAnsi="IRNazanin" w:eastAsia="IRNazanin" w:cs="IRNazanin"/>
          <w:lang w:bidi="fa-IR"/>
          <w:color w:val="111111"/>
          <w:sz w:val="28"/>
          <w:szCs w:val="28"/>
          <w:rtl/>
        </w:rPr>
        <w:t xml:space="preserve">۷۸. مشهد؛ گوهر شاد؛ شماره نسخه: ۱۰۸۰/۲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سید حسن بن ابی طالب حسنی حسینی، 4جمادی الاول ۱۲۸۰ق؛ در پشت رساله چند یادداشت تولد مورخ 1291و 1290و 1298و 1240 در آخر نسخه؛ مهر: كاتب «عبده حسن بن ابوطالب الحسنى الحسينى» (بيضى)؛ کاغذ: فرنگی، جلد: تیماج قهوه ای، ۱۷ص (۶۱-۷۷)، ۱۱-۱۵ سطر (۶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۱۷/۵سم [ف: ۳ - ۱۴۸۹]</w:t>
      </w:r>
    </w:p>
    <w:p>
      <w:pPr>
        <w:pStyle w:val="BookText"/>
      </w:pPr>
      <w:r>
        <w:rPr>
          <w:rFonts w:ascii="IRNazanin" w:hAnsi="IRNazanin" w:eastAsia="IRNazanin" w:cs="IRNazanin"/>
          <w:lang w:bidi="fa-IR"/>
          <w:color w:val="111111"/>
          <w:sz w:val="28"/>
          <w:szCs w:val="28"/>
          <w:rtl/>
        </w:rPr>
        <w:t xml:space="preserve">۷۹. کرمانشاه؛ میبدی (خاندان)؛ شماره نسخه: ۱۴۸/۹</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کا: علی حسینی یزدی ،میبدی ،تا: ۱۲۸۳-۱۲۸۷، جا: کرمانشاه؛ جلد: تيماج قهوه ای ،ضربی، ۹گ (۱۱۹ر-۱۲۷ر)،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۱۹/۵سم [ف: ۱۱۱]</w:t>
      </w:r>
    </w:p>
    <w:p>
      <w:pPr>
        <w:pStyle w:val="BookText"/>
      </w:pPr>
      <w:r>
        <w:rPr>
          <w:rFonts w:ascii="IRNazanin" w:hAnsi="IRNazanin" w:eastAsia="IRNazanin" w:cs="IRNazanin"/>
          <w:lang w:bidi="fa-IR"/>
          <w:color w:val="111111"/>
          <w:sz w:val="28"/>
          <w:szCs w:val="28"/>
          <w:rtl/>
        </w:rPr>
        <w:t xml:space="preserve">قم؛ مرکز احیاء؛ شماره نسخه: ۲۳۰۵/۹</w:t>
      </w:r>
    </w:p>
    <w:p>
      <w:pPr>
        <w:pStyle w:val="BookText"/>
      </w:pPr>
      <w:r>
        <w:rPr>
          <w:rFonts w:ascii="IRNazanin" w:hAnsi="IRNazanin" w:eastAsia="IRNazanin" w:cs="IRNazanin"/>
          <w:lang w:bidi="fa-IR"/>
          <w:color w:val="111111"/>
          <w:sz w:val="28"/>
          <w:szCs w:val="28"/>
          <w:rtl/>
        </w:rPr>
        <w:t xml:space="preserve">نسخه اصل: همان نسخه بالا [ عکسی ف: ۶ - ۳۵۲]</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تهران؛ دانشگاه؛ شماره نسخه: ۷۶۲۹/۳</w:t>
      </w:r>
    </w:p>
    <w:p>
      <w:pPr>
        <w:pStyle w:val="BookText"/>
      </w:pPr>
      <w:r>
        <w:rPr>
          <w:rFonts w:ascii="IRNazanin" w:hAnsi="IRNazanin" w:eastAsia="IRNazanin" w:cs="IRNazanin"/>
          <w:lang w:bidi="fa-IR"/>
          <w:color w:val="111111"/>
          <w:sz w:val="28"/>
          <w:szCs w:val="28"/>
          <w:rtl/>
        </w:rPr>
        <w:t xml:space="preserve">بی کا، تا: ۱۲۹۴ق؛ کاغذ: فرنگی کبود، جلد: تیماج  مشکی، ۷گ (۴۷-۴۱)، ۱۹ سطر (9</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،قطع: بغلی،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16- 659]</w:t>
      </w:r>
    </w:p>
    <w:p>
      <w:pPr>
        <w:pStyle w:val="BookText"/>
      </w:pPr>
      <w:r>
        <w:rPr>
          <w:rFonts w:ascii="IRNazanin" w:hAnsi="IRNazanin" w:eastAsia="IRNazanin" w:cs="IRNazanin"/>
          <w:lang w:bidi="fa-IR"/>
          <w:color w:val="111111"/>
          <w:sz w:val="28"/>
          <w:szCs w:val="28"/>
          <w:rtl/>
        </w:rPr>
        <w:t xml:space="preserve">۸۱. تهران؛ ملی؛ شماره نسخه: ۲۱۵۰/۳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ابن  محمد، احمد خوانساری، تا: ۱۲۳۷و 1238؛ کاغذ:فرنگی ،جلد: مقوایی رویه تیماج حنایی، ۴گ (۱۵۸پ- ۱۶۱پ)، ۳۰ سطر (9</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 ۱۱ - ۴۱۳]</w:t>
      </w:r>
    </w:p>
    <w:p>
      <w:pPr>
        <w:pStyle w:val="BookText"/>
      </w:pPr>
      <w:r>
        <w:rPr>
          <w:rFonts w:ascii="IRNazanin" w:hAnsi="IRNazanin" w:eastAsia="IRNazanin" w:cs="IRNazanin"/>
          <w:lang w:bidi="fa-IR"/>
          <w:color w:val="111111"/>
          <w:sz w:val="28"/>
          <w:szCs w:val="28"/>
          <w:rtl/>
        </w:rPr>
        <w:t xml:space="preserve">۸۲. تهران؛ ملی؛ شماره نسخه: ۲۱۲۵/۱۵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بی کا، بی تا؛ ۷ ص (۲۴۳-۲۴۹) [ف: ۱۱ - ۳۴۰]</w:t>
      </w:r>
    </w:p>
    <w:p>
      <w:pPr>
        <w:pStyle w:val="BookText"/>
      </w:pPr>
      <w:r>
        <w:rPr>
          <w:rFonts w:ascii="IRNazanin" w:hAnsi="IRNazanin" w:eastAsia="IRNazanin" w:cs="IRNazanin"/>
          <w:lang w:bidi="fa-IR"/>
          <w:color w:val="111111"/>
          <w:sz w:val="28"/>
          <w:szCs w:val="28"/>
          <w:rtl/>
        </w:rPr>
        <w:t xml:space="preserve">۸۳. تهران؛ ملی؛ شماره نسخه: ۳۸۰۸/۱۲</w:t>
      </w:r>
    </w:p>
    <w:p>
      <w:pPr>
        <w:pStyle w:val="BookText"/>
      </w:pPr>
      <w:r>
        <w:rPr>
          <w:rFonts w:ascii="Amiri" w:hAnsi="Amiri" w:eastAsia="Amiri" w:cs="Amiri"/>
          <w:lang w:bidi="ar-SA"/>
          <w:color w:val="111111"/>
          <w:sz w:val="28"/>
          <w:szCs w:val="28"/>
          <w:rtl/>
        </w:rPr>
        <w:t xml:space="preserve">آغاز: فصل في استصحاب الحال و هو ان يثبت حكم فى وقت ثم  يجىء وقت آخر و لا يقوم دليل على انتفاء ذلك الحكم...و قال الاستاد الشريف المحسن بعد؛ انجام: فكان معتبر المتن و الدلاله عند الجميع</w:t>
      </w:r>
    </w:p>
    <w:p>
      <w:pPr>
        <w:pStyle w:val="BookText"/>
      </w:pPr>
      <w:r>
        <w:rPr>
          <w:rFonts w:ascii="IRNazanin" w:hAnsi="IRNazanin" w:eastAsia="IRNazanin" w:cs="IRNazanin"/>
          <w:lang w:bidi="fa-IR"/>
          <w:color w:val="111111"/>
          <w:sz w:val="28"/>
          <w:szCs w:val="28"/>
          <w:rtl/>
        </w:rPr>
        <w:t xml:space="preserve">خط: نسخ بدخط، بی کا، بی تا؛ افتادگی: انجام؛ کاغذ: فرنگی ،نخودی، جلد: مقوا، رویه کاغذ زرد ، ته چرم قهوه ای، ۶گ (۷۷ -۸۲)، ۲۲ سطر(۱۱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اندازه: 15</w:t>
      </w:r>
      <w:r>
        <w:rPr>
          <w:rFonts w:ascii="Times New Roman" w:hAnsi="Times New Roman" w:eastAsia="Times New Roman" w:cs="Times New Roman"/>
          <w:lang w:val="en-US" w:bidi="en-US"/>
          <w:color w:val="111111"/>
          <w:sz w:val="28"/>
          <w:szCs w:val="28"/>
          <w:rtl/>
        </w:rPr>
        <w:t xml:space="preserve">×21/3</w:t>
      </w:r>
      <w:r>
        <w:rPr>
          <w:rFonts w:ascii="IRNazanin" w:hAnsi="IRNazanin" w:eastAsia="IRNazanin" w:cs="IRNazanin"/>
          <w:lang w:bidi="fa-IR"/>
          <w:color w:val="111111"/>
          <w:sz w:val="28"/>
          <w:szCs w:val="28"/>
          <w:rtl/>
        </w:rPr>
        <w:t xml:space="preserve">سم [ف : ۱۷ - ۱۹]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۸۴. قم؛ مرعشی؛ شماره نسخه: ۸۲۴۵/۶</w:t>
      </w:r>
    </w:p>
    <w:p>
      <w:pPr>
        <w:pStyle w:val="BookText"/>
      </w:pPr>
      <w:r>
        <w:rPr>
          <w:rFonts w:ascii="IRNazanin" w:hAnsi="IRNazanin" w:eastAsia="IRNazanin" w:cs="IRNazanin"/>
          <w:lang w:bidi="fa-IR"/>
          <w:color w:val="111111"/>
          <w:sz w:val="28"/>
          <w:szCs w:val="28"/>
          <w:rtl/>
        </w:rPr>
        <w:t xml:space="preserve">خط: نسخ و نستعلیق، بی کا، بی تا؛ جلد: تیماج قهوه ای، ۵گ (۸۱ر-۸۵پ)، اندازه: ۱۱</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۱۷سم [ف: ۲۱ - ۲۰۳]</w:t>
      </w:r>
    </w:p>
    <w:p>
      <w:pPr>
        <w:pStyle w:val="BookText"/>
      </w:pPr>
      <w:r>
        <w:rPr>
          <w:rFonts w:ascii="IRNazanin" w:hAnsi="IRNazanin" w:eastAsia="IRNazanin" w:cs="IRNazanin"/>
          <w:lang w:bidi="fa-IR"/>
          <w:color w:val="111111"/>
          <w:sz w:val="28"/>
          <w:szCs w:val="28"/>
          <w:rtl/>
        </w:rPr>
        <w:t xml:space="preserve">85.تهران؛ ملی؛ شماره نسخه: ۲۱۵۱/۱</w:t>
      </w:r>
    </w:p>
    <w:p>
      <w:pPr>
        <w:pStyle w:val="BookText"/>
      </w:pPr>
      <w:r>
        <w:rPr>
          <w:rFonts w:ascii="IRNazanin" w:hAnsi="IRNazanin" w:eastAsia="IRNazanin" w:cs="IRNazanin"/>
          <w:lang w:bidi="fa-IR"/>
          <w:color w:val="111111"/>
          <w:sz w:val="28"/>
          <w:szCs w:val="28"/>
          <w:rtl/>
        </w:rPr>
        <w:t xml:space="preserve">آغاز: برابر؛ انجام: و لم تستيقن نجاسته فلا بأس ان تصلى فيه حـتی تستيقن أنه نجس فانه</w:t>
      </w:r>
    </w:p>
    <w:p>
      <w:pPr>
        <w:pStyle w:val="BookText"/>
      </w:pPr>
      <w:r>
        <w:rPr>
          <w:rFonts w:ascii="IRNazanin" w:hAnsi="IRNazanin" w:eastAsia="IRNazanin" w:cs="IRNazanin"/>
          <w:lang w:bidi="fa-IR"/>
          <w:color w:val="111111"/>
          <w:sz w:val="28"/>
          <w:szCs w:val="28"/>
          <w:rtl/>
        </w:rPr>
        <w:t xml:space="preserve">خط: نستعلیق، بی کا، بی تا :افتادگی: انجام؛کاغذ: فرنگی مهر خورده، جلد: تیماج مشکی  مقوایی، آستر درون کاغذ رنگی،  27سطر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۳۰سم [ف : ۱۱ -۴۱۶]</w:t>
      </w:r>
    </w:p>
    <w:p>
      <w:pPr>
        <w:pStyle w:val="BookText"/>
      </w:pPr>
      <w:r>
        <w:rPr>
          <w:rFonts w:ascii="IRNazanin" w:hAnsi="IRNazanin" w:eastAsia="IRNazanin" w:cs="IRNazanin"/>
          <w:lang w:bidi="fa-IR"/>
          <w:color w:val="111111"/>
          <w:sz w:val="28"/>
          <w:szCs w:val="28"/>
          <w:rtl/>
        </w:rPr>
        <w:t xml:space="preserve">۸۶. یزد؛ سریزدی؛ شماره نسخه: ۲۸/۷</w:t>
      </w:r>
    </w:p>
    <w:p>
      <w:pPr>
        <w:pStyle w:val="BookText"/>
      </w:pPr>
      <w:r>
        <w:rPr>
          <w:rFonts w:ascii="IRNazanin" w:hAnsi="IRNazanin" w:eastAsia="IRNazanin" w:cs="IRNazanin"/>
          <w:lang w:bidi="fa-IR"/>
          <w:color w:val="111111"/>
          <w:sz w:val="28"/>
          <w:szCs w:val="28"/>
          <w:rtl/>
        </w:rPr>
        <w:t xml:space="preserve">خط: نسخ، کا:میر اسماعیل بن میرهادی قائنی بیرجندی بی تا؛جلد: تیماج مشکی مجدول زرین عطف تیماج قرمز، ۸گ (۲۰۳ پ - ۲۱۰ ر)، ۱۹ سطر، اندازه: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۱ - ۳۰]</w:t>
      </w:r>
    </w:p>
    <w:p>
      <w:pPr>
        <w:pStyle w:val="BookText"/>
      </w:pPr>
      <w:r>
        <w:rPr>
          <w:rFonts w:ascii="IRNazanin" w:hAnsi="IRNazanin" w:eastAsia="IRNazanin" w:cs="IRNazanin"/>
          <w:lang w:bidi="fa-IR"/>
          <w:color w:val="111111"/>
          <w:sz w:val="28"/>
          <w:szCs w:val="28"/>
          <w:rtl/>
        </w:rPr>
        <w:t xml:space="preserve">۸۷. قم؛ مؤسسه حضرت آیة الله بروجردی؛ شماره نسخه: ۲۹۰/۱۳</w:t>
      </w:r>
    </w:p>
    <w:p>
      <w:pPr>
        <w:pStyle w:val="BookText"/>
      </w:pPr>
      <w:r>
        <w:rPr>
          <w:rFonts w:ascii="IRNazanin" w:hAnsi="IRNazanin" w:eastAsia="IRNazanin" w:cs="IRNazanin"/>
          <w:lang w:bidi="fa-IR"/>
          <w:color w:val="111111"/>
          <w:sz w:val="28"/>
          <w:szCs w:val="28"/>
          <w:rtl/>
        </w:rPr>
        <w:t xml:space="preserve">خط: نسخ، کا: احمد  معلم، بی تا: جلد: دو رو تیماج رو قرمز اندرون  مشکی، ۵گ (۲۱۲ ر -۲۱۶ر)، ۲۳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سم[ف: 1- 170]</w:t>
      </w:r>
    </w:p>
    <w:p>
      <w:pPr>
        <w:pStyle w:val="BookText"/>
      </w:pPr>
      <w:r>
        <w:rPr>
          <w:rFonts w:ascii="IRNazanin" w:hAnsi="IRNazanin" w:eastAsia="IRNazanin" w:cs="IRNazanin"/>
          <w:lang w:bidi="fa-IR"/>
          <w:color w:val="111111"/>
          <w:sz w:val="28"/>
          <w:szCs w:val="28"/>
          <w:rtl/>
        </w:rPr>
        <w:t xml:space="preserve">۸۸. تهران؛ مدرسه معمار باشی؛ شماره نسخه: ۵۷/۲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بی کا، بی تا، جلد: تیماج قهوه ای با روکش سبز، ۵گ (9ر- 13ر) [ف: ۶۱]</w:t>
      </w:r>
    </w:p>
    <w:p>
      <w:pPr>
        <w:pStyle w:val="BookText"/>
      </w:pPr>
      <w:r>
        <w:rPr>
          <w:rFonts w:ascii="IRNazanin" w:hAnsi="IRNazanin" w:eastAsia="IRNazanin" w:cs="IRNazanin"/>
          <w:lang w:bidi="fa-IR"/>
          <w:color w:val="111111"/>
          <w:sz w:val="28"/>
          <w:szCs w:val="28"/>
          <w:rtl/>
        </w:rPr>
        <w:t xml:space="preserve">۸۹. ساری؛ عمومی؛ شماره نسخه: ۸۱/۱۰</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بی کا، بی تا؛ کاغذ: فستقی و نخودی رنگ ،جلد: تیماج مشکـی، ١٠ ص( ۲۶۵ -۲۷۴)، ۲۱ 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۱۶/۵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 سم</w:t>
      </w:r>
    </w:p>
    <w:p>
      <w:pPr>
        <w:pStyle w:val="BookText"/>
      </w:pPr>
      <w:r>
        <w:rPr>
          <w:rFonts w:ascii="IRNazanin" w:hAnsi="IRNazanin" w:eastAsia="IRNazanin" w:cs="IRNazanin"/>
          <w:lang w:bidi="fa-IR"/>
          <w:color w:val="111111"/>
          <w:sz w:val="28"/>
          <w:szCs w:val="28"/>
          <w:rtl/>
        </w:rPr>
        <w:t xml:space="preserve">[عمومی ساری - ف - ۶۴]</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بیرجند؛ دیانی؛ شماره نسخه: ۱۱۰/۲</w:t>
      </w:r>
    </w:p>
    <w:p>
      <w:pPr>
        <w:pStyle w:val="BookText"/>
      </w:pPr>
      <w:r>
        <w:rPr>
          <w:rFonts w:ascii="IRNazanin" w:hAnsi="IRNazanin" w:eastAsia="IRNazanin" w:cs="IRNazanin"/>
          <w:lang w:bidi="fa-IR"/>
          <w:color w:val="111111"/>
          <w:sz w:val="28"/>
          <w:szCs w:val="28"/>
          <w:rtl/>
        </w:rPr>
        <w:t xml:space="preserve">بی کا، بی تا؛ جلد: تیماج قهوه ای بدون ،مقوا،۸۴گ،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[دیانی - ف: ۸۷]</w:t>
      </w:r>
    </w:p>
    <w:p>
      <w:pPr>
        <w:pStyle w:val="BookText"/>
      </w:pPr>
      <w:r>
        <w:rPr>
          <w:rFonts w:ascii="IRNazanin" w:hAnsi="IRNazanin" w:eastAsia="IRNazanin" w:cs="IRNazanin"/>
          <w:lang w:bidi="fa-IR"/>
          <w:color w:val="111111"/>
          <w:sz w:val="28"/>
          <w:szCs w:val="28"/>
          <w:rtl/>
        </w:rPr>
        <w:t xml:space="preserve">۹۱. قم؛ مسجد اعظم؛ شماره نسخه: ۷۵۳/۲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،جلد: تیماج قهوه ای، مجدول گرهی ، 6گ،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مخ: ۱ - ۱۳۹]</w:t>
      </w:r>
    </w:p>
    <w:p>
      <w:pPr>
        <w:pStyle w:val="BookText"/>
      </w:pPr>
      <w:r>
        <w:rPr>
          <w:rFonts w:ascii="IRNazanin" w:hAnsi="IRNazanin" w:eastAsia="IRNazanin" w:cs="IRNazanin"/>
          <w:lang w:bidi="fa-IR"/>
          <w:color w:val="111111"/>
          <w:sz w:val="28"/>
          <w:szCs w:val="28"/>
          <w:rtl/>
        </w:rPr>
        <w:t xml:space="preserve">۹۲ . قم؛ مسجد اعظم؛ شماره نسخه: ۷۹۸/۶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اسماعیل بن محمد هادی، بی تا ،جلد: گالینگور سبز، عطف تیماج زرشکی، ۵گ، اندازه: ۱۶</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۲۲سم [ف مخ: 1- 139]</w:t>
      </w:r>
    </w:p>
    <w:p>
      <w:pPr>
        <w:pStyle w:val="BookText"/>
      </w:pPr>
      <w:r>
        <w:rPr>
          <w:rFonts w:ascii="IRNazanin" w:hAnsi="IRNazanin" w:eastAsia="IRNazanin" w:cs="IRNazanin"/>
          <w:lang w:bidi="fa-IR"/>
          <w:color w:val="111111"/>
          <w:sz w:val="28"/>
          <w:szCs w:val="28"/>
          <w:rtl/>
        </w:rPr>
        <w:t xml:space="preserve">۹۳. تهران؛ ملک؛ شماره نسخه: ۱۷۲۳/۳</w:t>
      </w:r>
    </w:p>
    <w:p>
      <w:pPr>
        <w:pStyle w:val="BookText"/>
      </w:pPr>
      <w:r>
        <w:rPr>
          <w:rFonts w:ascii="IRNazanin" w:hAnsi="IRNazanin" w:eastAsia="IRNazanin" w:cs="IRNazanin"/>
          <w:lang w:bidi="fa-IR"/>
          <w:color w:val="111111"/>
          <w:sz w:val="28"/>
          <w:szCs w:val="28"/>
          <w:rtl/>
        </w:rPr>
        <w:t xml:space="preserve">خط: شکسته نستعلیق، بی کا، بی تا؛ کاغذ: پسته ای، جلد: میشن قهوه ای لایی، ۵گ (73ر- 77ر)، ۲۵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w:t>
      </w:r>
    </w:p>
    <w:p>
      <w:pPr>
        <w:pStyle w:val="BookText"/>
      </w:pPr>
      <w:r>
        <w:rPr>
          <w:rFonts w:ascii="Times New Roman" w:hAnsi="Times New Roman" w:eastAsia="Times New Roman" w:cs="Times New Roman"/>
          <w:lang w:val="en-US" w:bidi="en-US"/>
          <w:color w:val="111111"/>
          <w:sz w:val="28"/>
          <w:szCs w:val="28"/>
          <w:rtl/>
        </w:rPr>
        <w:t xml:space="preserve">5- 351]</w:t>
      </w:r>
    </w:p>
    <w:p>
      <w:pPr>
        <w:pStyle w:val="BookText"/>
      </w:pPr>
      <w:r>
        <w:rPr>
          <w:rFonts w:ascii="IRNazanin" w:hAnsi="IRNazanin" w:eastAsia="IRNazanin" w:cs="IRNazanin"/>
          <w:lang w:bidi="fa-IR"/>
          <w:color w:val="111111"/>
          <w:sz w:val="28"/>
          <w:szCs w:val="28"/>
          <w:rtl/>
        </w:rPr>
        <w:t xml:space="preserve">۹۴ . قم؛ مسجد اعظم؛ شماره نسخه: ۵۹۲/۱۱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جلد: تیماج قهوه ای عطف تیماج زرشکی مجدول گرهی، ۵گ، ۲۱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مخ: ۱ - ۱۳۹]</w:t>
      </w:r>
    </w:p>
    <w:p>
      <w:pPr>
        <w:pStyle w:val="BookText"/>
      </w:pPr>
      <w:r>
        <w:rPr>
          <w:rFonts w:ascii="IRNazanin" w:hAnsi="IRNazanin" w:eastAsia="IRNazanin" w:cs="IRNazanin"/>
          <w:lang w:bidi="fa-IR"/>
          <w:color w:val="111111"/>
          <w:sz w:val="28"/>
          <w:szCs w:val="28"/>
          <w:rtl/>
        </w:rPr>
        <w:t xml:space="preserve">۹۵ .قم؛ مسجد اعظم؛ شماره نسخه: ۳۹۸۱/۶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نسخ، بی کا، بی تا؛ خطوط سیاه؛ جلد: گالینگور سبز، عطف تیماج  زرشکی، ۴گ، ۳۷ سطر، اندازه: ۳۴</w:t>
      </w:r>
      <w:r>
        <w:rPr>
          <w:rFonts w:ascii="Times New Roman" w:hAnsi="Times New Roman" w:eastAsia="Times New Roman" w:cs="Times New Roman"/>
          <w:lang w:val="en-US" w:bidi="en-US"/>
          <w:color w:val="111111"/>
          <w:sz w:val="28"/>
          <w:szCs w:val="28"/>
          <w:rtl/>
        </w:rPr>
        <w:t xml:space="preserve">x</w:t>
      </w:r>
      <w:r>
        <w:rPr>
          <w:rFonts w:ascii="IRNazanin" w:hAnsi="IRNazanin" w:eastAsia="IRNazanin" w:cs="IRNazanin"/>
          <w:lang w:bidi="fa-IR"/>
          <w:color w:val="111111"/>
          <w:sz w:val="28"/>
          <w:szCs w:val="28"/>
          <w:rtl/>
        </w:rPr>
        <w:t xml:space="preserve">۲۱سم [ف مخ: ۱-۱۴۰]</w:t>
      </w:r>
    </w:p>
    <w:p>
      <w:pPr>
        <w:pStyle w:val="BookText"/>
      </w:pPr>
      <w:r>
        <w:rPr>
          <w:rFonts w:ascii="IRNazanin" w:hAnsi="IRNazanin" w:eastAsia="IRNazanin" w:cs="IRNazanin"/>
          <w:lang w:bidi="fa-IR"/>
          <w:color w:val="111111"/>
          <w:sz w:val="28"/>
          <w:szCs w:val="28"/>
          <w:rtl/>
        </w:rPr>
        <w:t xml:space="preserve">۹۶. تهران؛ ملک؛ شماره نسخه: ۲۵۹۸/۶</w:t>
      </w:r>
    </w:p>
    <w:p>
      <w:pPr>
        <w:pStyle w:val="BookText"/>
      </w:pPr>
      <w:r>
        <w:rPr>
          <w:rFonts w:ascii="IRNazanin" w:hAnsi="IRNazanin" w:eastAsia="IRNazanin" w:cs="IRNazanin"/>
          <w:lang w:bidi="fa-IR"/>
          <w:color w:val="111111"/>
          <w:sz w:val="28"/>
          <w:szCs w:val="28"/>
          <w:rtl/>
        </w:rPr>
        <w:t xml:space="preserve">خط: شکسته  نستعلیق، بی کا، بی تا ؛کاغذ: پسته ای، جلد: میشن قرمز ضربی  مقوایی، ۵گ (۱۵۹ پ -۱۶۳پ)، ۲۴ سطر، اندازه:</w:t>
      </w:r>
    </w:p>
    <w:p>
      <w:pPr>
        <w:pStyle w:val="BookText"/>
      </w:pPr>
      <w:r>
        <w:rPr>
          <w:rFonts w:ascii="IRNazanin" w:hAnsi="IRNazanin" w:eastAsia="IRNazanin" w:cs="IRNazanin"/>
          <w:lang w:bidi="fa-IR"/>
          <w:color w:val="111111"/>
          <w:sz w:val="28"/>
          <w:szCs w:val="28"/>
          <w:rtl/>
        </w:rPr>
        <w:t xml:space="preserve">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۶ - ۶۸]</w:t>
      </w:r>
    </w:p>
    <w:p>
      <w:pPr>
        <w:pStyle w:val="BookText"/>
      </w:pPr>
      <w:r>
        <w:rPr>
          <w:rFonts w:ascii="IRNazanin" w:hAnsi="IRNazanin" w:eastAsia="IRNazanin" w:cs="IRNazanin"/>
          <w:lang w:bidi="fa-IR"/>
          <w:color w:val="111111"/>
          <w:sz w:val="28"/>
          <w:szCs w:val="28"/>
          <w:rtl/>
        </w:rPr>
        <w:t xml:space="preserve">۹۷. مشهد؛ رضوی؛ شماره نسخه:۷۱۹۵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واقف: ملکزاده کوثر؛ ۶گ، ۲۵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۶ - ۴۳]</w:t>
      </w:r>
    </w:p>
    <w:p>
      <w:pPr>
        <w:pStyle w:val="BookText"/>
      </w:pPr>
      <w:r>
        <w:rPr>
          <w:rFonts w:ascii="IRNazanin" w:hAnsi="IRNazanin" w:eastAsia="IRNazanin" w:cs="IRNazanin"/>
          <w:lang w:bidi="fa-IR"/>
          <w:color w:val="111111"/>
          <w:sz w:val="28"/>
          <w:szCs w:val="28"/>
          <w:rtl/>
        </w:rPr>
        <w:t xml:space="preserve">۹۸. مشهد؛ رضوی؛ شماره نسخه: ۲۴۰۷۴</w:t>
      </w:r>
    </w:p>
    <w:p>
      <w:pPr>
        <w:pStyle w:val="BookText"/>
      </w:pPr>
      <w:r>
        <w:rPr>
          <w:rFonts w:ascii="Amiri" w:hAnsi="Amiri" w:eastAsia="Amiri" w:cs="Amiri"/>
          <w:lang w:bidi="ar-SA"/>
          <w:color w:val="111111"/>
          <w:sz w:val="28"/>
          <w:szCs w:val="28"/>
          <w:rtl/>
        </w:rPr>
        <w:t xml:space="preserve">آغاز: برابر؛ انجام: ما دار الفلك على العالمين</w:t>
      </w:r>
    </w:p>
    <w:p>
      <w:pPr>
        <w:pStyle w:val="BookText"/>
      </w:pPr>
      <w:r>
        <w:rPr>
          <w:rFonts w:ascii="IRNazanin" w:hAnsi="IRNazanin" w:eastAsia="IRNazanin" w:cs="IRNazanin"/>
          <w:lang w:bidi="fa-IR"/>
          <w:color w:val="111111"/>
          <w:sz w:val="28"/>
          <w:szCs w:val="28"/>
          <w:rtl/>
        </w:rPr>
        <w:t xml:space="preserve">خط: نسخ، بی کا، بی تا، جا: کربلا [رایانه]</w:t>
      </w:r>
    </w:p>
    <w:p>
      <w:pPr>
        <w:pStyle w:val="BookText"/>
      </w:pPr>
      <w:r>
        <w:rPr>
          <w:rFonts w:ascii="IRNazanin" w:hAnsi="IRNazanin" w:eastAsia="IRNazanin" w:cs="IRNazanin"/>
          <w:lang w:bidi="fa-IR"/>
          <w:color w:val="111111"/>
          <w:sz w:val="28"/>
          <w:szCs w:val="28"/>
          <w:rtl/>
        </w:rPr>
        <w:t xml:space="preserve">۹۹. مشهد؛ رضوی؛ شماره نسخه: ۲۷۰۷۷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[رایانه]</w:t>
      </w:r>
    </w:p>
    <w:p>
      <w:pPr>
        <w:pStyle w:val="BookText"/>
      </w:pPr>
      <w:r>
        <w:rPr>
          <w:rFonts w:ascii="IRNazanin" w:hAnsi="IRNazanin" w:eastAsia="IRNazanin" w:cs="IRNazanin"/>
          <w:lang w:bidi="fa-IR"/>
          <w:color w:val="111111"/>
          <w:sz w:val="28"/>
          <w:szCs w:val="28"/>
          <w:rtl/>
        </w:rPr>
        <w:t xml:space="preserve">۱۰۰ . خوی؛ نمازی؛ شماره نسخه: ۵۲۷/۳</w:t>
      </w:r>
    </w:p>
    <w:p>
      <w:pPr>
        <w:pStyle w:val="BookText"/>
      </w:pPr>
      <w:r>
        <w:rPr>
          <w:rFonts w:ascii="IRNazanin" w:hAnsi="IRNazanin" w:eastAsia="IRNazanin" w:cs="IRNazanin"/>
          <w:lang w:bidi="fa-IR"/>
          <w:color w:val="111111"/>
          <w:sz w:val="28"/>
          <w:szCs w:val="28"/>
          <w:rtl/>
        </w:rPr>
        <w:t xml:space="preserve">خط: نسخ، بی کا، بی تا؛ جلد: تیماج سوخت با مشکی، ۲۵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۲۶۹]</w:t>
      </w:r>
    </w:p>
    <w:p>
      <w:pPr>
        <w:pStyle w:val="BookText"/>
      </w:pPr>
      <w:r>
        <w:rPr>
          <w:rFonts w:ascii="IRNazanin" w:hAnsi="IRNazanin" w:eastAsia="IRNazanin" w:cs="IRNazanin"/>
          <w:lang w:bidi="fa-IR"/>
          <w:color w:val="111111"/>
          <w:sz w:val="28"/>
          <w:szCs w:val="28"/>
          <w:rtl/>
        </w:rPr>
        <w:t xml:space="preserve">۱۰۱. کاشان؛ مدرسه سلطانی؛ شماره نسخه: ۲۰۲/۲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ما بین رساله قبل و این رساله فوائد فقهی  و اصولی و تقریرات زیادی بدون نظم و ترتیب خاصی کتابت شده اند؛ جلد: تیماج قهوه ای، ۳گ (258ر-۲۵۸ر)، ۱۷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۲۷سم [ف]</w:t>
      </w:r>
    </w:p>
    <w:p>
      <w:pPr>
        <w:pStyle w:val="BookText"/>
      </w:pPr>
      <w:r>
        <w:rPr>
          <w:rFonts w:ascii="IRNazanin" w:hAnsi="IRNazanin" w:eastAsia="IRNazanin" w:cs="IRNazanin"/>
          <w:lang w:bidi="fa-IR"/>
          <w:color w:val="111111"/>
          <w:sz w:val="28"/>
          <w:szCs w:val="28"/>
          <w:rtl/>
        </w:rPr>
        <w:t xml:space="preserve">۱۰۲. فردوس؛ مدرسه حبیبیه؛ شماره نسخه: ۸۰/۶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نستعليق، كا: جعفر بن محمد  تونی، بی تا، جا: مشهد رضوی، جلد: مقوای لایی با روکش پارچه سرمه ای، ۱۰گ (۲۱۶پ- ۲۲۵ر) ۱۸ سطر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مخ:]</w:t>
      </w:r>
    </w:p>
    <w:p>
      <w:pPr>
        <w:pStyle w:val="BookText"/>
      </w:pPr>
      <w:r>
        <w:rPr>
          <w:rFonts w:ascii="IRNazanin" w:hAnsi="IRNazanin" w:eastAsia="IRNazanin" w:cs="IRNazanin"/>
          <w:lang w:bidi="fa-IR"/>
          <w:color w:val="111111"/>
          <w:sz w:val="28"/>
          <w:szCs w:val="28"/>
          <w:rtl/>
        </w:rPr>
        <w:t xml:space="preserve">۱۰۳. تهران؛ سپهسالار؛ شماره نسخه: ۹۰۷/۱۱</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بی کا، بی تا؛ ۸گ (252پ-۲۵۹ر) [ف: ۵ - ۳۶]</w:t>
      </w:r>
    </w:p>
    <w:p>
      <w:pPr>
        <w:pStyle w:val="BookText"/>
      </w:pPr>
      <w:r>
        <w:rPr>
          <w:rFonts w:ascii="IRNazanin" w:hAnsi="IRNazanin" w:eastAsia="IRNazanin" w:cs="IRNazanin"/>
          <w:lang w:bidi="fa-IR"/>
          <w:color w:val="111111"/>
          <w:sz w:val="28"/>
          <w:szCs w:val="28"/>
          <w:rtl/>
        </w:rPr>
        <w:t xml:space="preserve">۱۰۴. قم؛ گلپایگانی؛ شماره نسخه: ۱۲۱۷/۳-۷/۱۱۷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خط:نسخ، بی کا، بی تا؛ جلد: تیماج، مشکی، ۵گ، ۲۵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۱ - ۳۳۷]</w:t>
      </w:r>
    </w:p>
    <w:p>
      <w:pPr>
        <w:pStyle w:val="BookText"/>
      </w:pPr>
      <w:r>
        <w:rPr>
          <w:rFonts w:ascii="IRNazanin" w:hAnsi="IRNazanin" w:eastAsia="IRNazanin" w:cs="IRNazanin"/>
          <w:lang w:bidi="fa-IR"/>
          <w:color w:val="111111"/>
          <w:sz w:val="28"/>
          <w:szCs w:val="28"/>
          <w:rtl/>
        </w:rPr>
        <w:t xml:space="preserve">۱۰۵. قم؛ گلپایگانی؛ شماره نسخه: ۱۲۵۷/۲-۷/۱۵۷</w:t>
      </w:r>
    </w:p>
    <w:p>
      <w:pPr>
        <w:pStyle w:val="BookText"/>
      </w:pPr>
      <w:r>
        <w:rPr>
          <w:rFonts w:ascii="IRNazanin" w:hAnsi="IRNazanin" w:eastAsia="IRNazanin" w:cs="IRNazanin"/>
          <w:lang w:bidi="fa-IR"/>
          <w:color w:val="111111"/>
          <w:sz w:val="28"/>
          <w:szCs w:val="28"/>
          <w:rtl/>
        </w:rPr>
        <w:t xml:space="preserve">آغاز و انجام: برابر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83" w:name="pg20365_260271"/>
    <w:bookmarkEnd w:id="183"/>
    <w:p>
      <w:pPr>
        <w:pStyle w:val="BookText"/>
      </w:pPr>
      <w:r>
        <w:rPr>
          <w:rFonts w:ascii="IRNazanin" w:hAnsi="IRNazanin" w:eastAsia="IRNazanin" w:cs="IRNazanin"/>
          <w:lang w:bidi="fa-IR"/>
          <w:color w:val="111111"/>
          <w:sz w:val="28"/>
          <w:szCs w:val="28"/>
          <w:rtl/>
        </w:rPr>
        <w:t xml:space="preserve">خط: نسخ، بی کا، بی تا :جلد تیماج قهوه ای، ۶گ، ۱۸ سطر ،اندازه: ۱۵۰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۱ - ۳۳۷]</w:t>
      </w:r>
    </w:p>
    <w:p>
      <w:pPr>
        <w:pStyle w:val="BookText"/>
      </w:pPr>
      <w:r>
        <w:rPr>
          <w:rFonts w:ascii="IRNazanin" w:hAnsi="IRNazanin" w:eastAsia="IRNazanin" w:cs="IRNazanin"/>
          <w:lang w:bidi="fa-IR"/>
          <w:color w:val="111111"/>
          <w:sz w:val="28"/>
          <w:szCs w:val="28"/>
          <w:rtl/>
        </w:rPr>
        <w:t xml:space="preserve">۱۰۶. گلپایگان؛ کتابخانه حجة الاسلام گلپایگانی؛ شماره نسخه: ۱۲۴/۸</w:t>
      </w:r>
    </w:p>
    <w:p>
      <w:pPr>
        <w:pStyle w:val="BookText"/>
      </w:pPr>
      <w:r>
        <w:rPr>
          <w:rFonts w:ascii="IRNazanin" w:hAnsi="IRNazanin" w:eastAsia="IRNazanin" w:cs="IRNazanin"/>
          <w:lang w:bidi="fa-IR"/>
          <w:color w:val="111111"/>
          <w:sz w:val="28"/>
          <w:szCs w:val="28"/>
          <w:rtl/>
        </w:rPr>
        <w:t xml:space="preserve">خط: نستعلیق، کا: ملا زین العابدین گلپایگانی، بی تا ،جلد: تیماج قهوه ای  ضربی، ۵گ (۲۱۹ پ - ۲۲۳پ)،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[کتابخانه های گلپایگان - ف: ۱۰۵]</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تهران؛ مجلس؛ شماره نسخه: ۱۱۶۶۷/۶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كا: محمد شفیع، بی تا؛ کاغذ: فرنگی ،جلد: مقوایی با روکش کاغذ ابر و باد و گوشه ها عطف تیماج مشکی. ۷گ (297- 303). ۲۱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 اندازه: ۱۸/۵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۲۳سم [ف: ۳۴ - ۳۷]</w:t>
      </w:r>
    </w:p>
    <w:p>
      <w:pPr>
        <w:pStyle w:val="BookText"/>
      </w:pPr>
      <w:r>
        <w:rPr>
          <w:rFonts w:ascii="IRNazanin" w:hAnsi="IRNazanin" w:eastAsia="IRNazanin" w:cs="IRNazanin"/>
          <w:lang w:bidi="fa-IR"/>
          <w:color w:val="111111"/>
          <w:sz w:val="28"/>
          <w:szCs w:val="28"/>
          <w:rtl/>
        </w:rPr>
        <w:t xml:space="preserve">۱۰۸ . قم؛ فیضیه؛ شماره نسخه: ۸۱۷/۶</w:t>
      </w:r>
    </w:p>
    <w:p>
      <w:pPr>
        <w:pStyle w:val="BookText"/>
      </w:pPr>
      <w:r>
        <w:rPr>
          <w:rFonts w:ascii="IRNazanin" w:hAnsi="IRNazanin" w:eastAsia="IRNazanin" w:cs="IRNazanin"/>
          <w:lang w:bidi="fa-IR"/>
          <w:color w:val="111111"/>
          <w:sz w:val="28"/>
          <w:szCs w:val="28"/>
          <w:rtl/>
        </w:rPr>
        <w:t xml:space="preserve">بی کا، بی تا؛ ۳گ،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۳ - ۲۶]</w:t>
      </w:r>
    </w:p>
    <w:p>
      <w:pPr>
        <w:pStyle w:val="BookText"/>
      </w:pPr>
      <w:r>
        <w:rPr>
          <w:rFonts w:ascii="IRNazanin" w:hAnsi="IRNazanin" w:eastAsia="IRNazanin" w:cs="IRNazanin"/>
          <w:lang w:bidi="fa-IR"/>
          <w:color w:val="111111"/>
          <w:sz w:val="28"/>
          <w:szCs w:val="28"/>
          <w:rtl/>
        </w:rPr>
        <w:t xml:space="preserve">۱۰۹. تهران؛ مجلس؛ شماره نسخه: ۷۴۴۰/۳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:جلد: تیماج قرمز سوخت با ترنج با سر، مذهب مجدول، ۸گ (141پ- 148ر) [ف: ۲۵ - ۴۲۰]</w:t>
      </w:r>
    </w:p>
    <w:p>
      <w:pPr>
        <w:pStyle w:val="BookText"/>
      </w:pPr>
      <w:r>
        <w:rPr>
          <w:rFonts w:ascii="IRNazanin" w:hAnsi="IRNazanin" w:eastAsia="IRNazanin" w:cs="IRNazanin"/>
          <w:lang w:bidi="fa-IR"/>
          <w:color w:val="111111"/>
          <w:sz w:val="28"/>
          <w:szCs w:val="28"/>
          <w:rtl/>
        </w:rPr>
        <w:t xml:space="preserve">۱۱۰. تهران؛ مجلس؛ شماره نسخه: ۹۲۴۴/۲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بی تا؛ جلد: تیماج  مشکی، ۴گ (۲۰گ -۲۳پ)، ۳۰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۳۰ - ۳۲]</w:t>
      </w:r>
    </w:p>
    <w:p>
      <w:pPr>
        <w:pStyle w:val="BookText"/>
      </w:pPr>
      <w:r>
        <w:rPr>
          <w:rFonts w:ascii="IRNazanin" w:hAnsi="IRNazanin" w:eastAsia="IRNazanin" w:cs="IRNazanin"/>
          <w:lang w:bidi="fa-IR"/>
          <w:color w:val="111111"/>
          <w:sz w:val="28"/>
          <w:szCs w:val="28"/>
          <w:rtl/>
        </w:rPr>
        <w:t xml:space="preserve">۱۱۱ . قم؛ فیضیه؛ شماره نسخه: ۱۱۹۸/۵</w:t>
      </w:r>
    </w:p>
    <w:p>
      <w:pPr>
        <w:pStyle w:val="BookText"/>
      </w:pPr>
      <w:r>
        <w:rPr>
          <w:rFonts w:ascii="IRNazanin" w:hAnsi="IRNazanin" w:eastAsia="IRNazanin" w:cs="IRNazanin"/>
          <w:lang w:bidi="fa-IR"/>
          <w:color w:val="111111"/>
          <w:sz w:val="28"/>
          <w:szCs w:val="28"/>
          <w:rtl/>
        </w:rPr>
        <w:t xml:space="preserve">خط: نسخ و نستعلیق، بی کا، بی تا؛5گ (۱۶۳-۱۶۷)، ۲۱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۳ - ۶۹]</w:t>
      </w:r>
    </w:p>
    <w:p>
      <w:pPr>
        <w:pStyle w:val="BookText"/>
      </w:pPr>
      <w:r>
        <w:rPr>
          <w:rFonts w:ascii="IRNazanin" w:hAnsi="IRNazanin" w:eastAsia="IRNazanin" w:cs="IRNazanin"/>
          <w:lang w:bidi="fa-IR"/>
          <w:color w:val="111111"/>
          <w:sz w:val="28"/>
          <w:szCs w:val="28"/>
          <w:rtl/>
        </w:rPr>
        <w:t xml:space="preserve">۱۱۲ . قم؛ فیضیه؛ شماره نسخه: ۱۵۶۵/۱۷</w:t>
      </w:r>
    </w:p>
    <w:p>
      <w:pPr>
        <w:pStyle w:val="BookText"/>
      </w:pPr>
      <w:r>
        <w:rPr>
          <w:rFonts w:ascii="IRNazanin" w:hAnsi="IRNazanin" w:eastAsia="IRNazanin" w:cs="IRNazanin"/>
          <w:lang w:bidi="fa-IR"/>
          <w:color w:val="111111"/>
          <w:sz w:val="28"/>
          <w:szCs w:val="28"/>
          <w:rtl/>
        </w:rPr>
        <w:t xml:space="preserve">بی کا، بی تا، ۴گ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۳ - ۱۰۲]</w:t>
      </w:r>
    </w:p>
    <w:p>
      <w:pPr>
        <w:pStyle w:val="BookText"/>
      </w:pPr>
      <w:r>
        <w:rPr>
          <w:rFonts w:ascii="IRNazanin" w:hAnsi="IRNazanin" w:eastAsia="IRNazanin" w:cs="IRNazanin"/>
          <w:lang w:bidi="fa-IR"/>
          <w:color w:val="111111"/>
          <w:sz w:val="28"/>
          <w:szCs w:val="28"/>
          <w:rtl/>
        </w:rPr>
        <w:t xml:space="preserve">۱۱۳ . قم؛ مرکز احیاء؛ شماره نسخه: ۲۱۲۹/۷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جلد: تیماج قهوه ای، ۷گ (۱۶۸پ- ۱۷۴ر)، ۲۱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[محدث ارموی مخ: ۱ - ۱۲۶  ]</w:t>
      </w:r>
    </w:p>
    <w:p>
      <w:pPr>
        <w:pStyle w:val="Heading3"/>
      </w:pPr>
      <w:bookmarkStart w:id="1154" w:name="_Toc676"/>
      <w:r>
        <w:t>الاستصحاب / اصول فقه / عربی</w:t>
      </w:r>
      <w:bookmarkEnd w:id="1154"/>
    </w:p>
    <w:p>
      <w:pPr>
        <w:pStyle w:val="BookText"/>
      </w:pPr>
      <w:r>
        <w:rPr>
          <w:rFonts w:ascii="Times New Roman" w:hAnsi="Times New Roman" w:eastAsia="Times New Roman" w:cs="Times New Roman"/>
          <w:lang w:val="en-US" w:bidi="en-US"/>
          <w:color w:val="111111"/>
          <w:sz w:val="28"/>
          <w:szCs w:val="28"/>
          <w:rtl/>
        </w:rPr>
        <w:t xml:space="preserve">al-istiṣḥāb</w:t>
      </w:r>
    </w:p>
    <w:p>
      <w:pPr>
        <w:pStyle w:val="BookText"/>
      </w:pPr>
      <w:r>
        <w:rPr>
          <w:rFonts w:ascii="IRNazanin" w:hAnsi="IRNazanin" w:eastAsia="IRNazanin" w:cs="IRNazanin"/>
          <w:lang w:bidi="fa-IR"/>
          <w:color w:val="111111"/>
          <w:sz w:val="28"/>
          <w:szCs w:val="28"/>
          <w:rtl/>
        </w:rPr>
        <w:t xml:space="preserve">قزوینی، محمد حسن بن محمد معصوم، - ۱۲۴۰ قمر</w:t>
      </w:r>
    </w:p>
    <w:p>
      <w:pPr>
        <w:pStyle w:val="BookText"/>
      </w:pPr>
      <w:r>
        <w:rPr>
          <w:rFonts w:ascii="Times New Roman" w:hAnsi="Times New Roman" w:eastAsia="Times New Roman" w:cs="Times New Roman"/>
          <w:lang w:val="en-US" w:bidi="en-US"/>
          <w:color w:val="111111"/>
          <w:sz w:val="28"/>
          <w:szCs w:val="28"/>
          <w:rtl/>
        </w:rPr>
        <w:t xml:space="preserve">qazvīnī, mohammad hasan ebn-e mohammad ma‘sūm</w:t>
      </w:r>
    </w:p>
    <w:p>
      <w:pPr>
        <w:pStyle w:val="BookText"/>
      </w:pPr>
      <w:r>
        <w:rPr>
          <w:rFonts w:ascii="Times New Roman" w:hAnsi="Times New Roman" w:eastAsia="Times New Roman" w:cs="Times New Roman"/>
          <w:lang w:val="en-US" w:bidi="en-US"/>
          <w:color w:val="111111"/>
          <w:sz w:val="28"/>
          <w:szCs w:val="28"/>
          <w:rtl/>
        </w:rPr>
        <w:t xml:space="preserve">(1825-)</w:t>
      </w:r>
    </w:p>
    <w:p>
      <w:pPr>
        <w:pStyle w:val="BookText"/>
      </w:pPr>
      <w:r>
        <w:rPr>
          <w:rFonts w:ascii="IRNazanin" w:hAnsi="IRNazanin" w:eastAsia="IRNazanin" w:cs="IRNazanin"/>
          <w:lang w:bidi="fa-IR"/>
          <w:color w:val="111111"/>
          <w:sz w:val="28"/>
          <w:szCs w:val="28"/>
          <w:rtl/>
        </w:rPr>
        <w:t xml:space="preserve">تهران؛ مفتاح؛ شماره نسخه: ۱۸۶/۴؟</w:t>
      </w:r>
    </w:p>
    <w:p>
      <w:pPr>
        <w:pStyle w:val="BookText"/>
      </w:pPr>
      <w:r>
        <w:rPr>
          <w:rFonts w:ascii="IRNazanin" w:hAnsi="IRNazanin" w:eastAsia="IRNazanin" w:cs="IRNazanin"/>
          <w:lang w:bidi="fa-IR"/>
          <w:color w:val="111111"/>
          <w:sz w:val="28"/>
          <w:szCs w:val="28"/>
          <w:rtl/>
        </w:rPr>
        <w:t xml:space="preserve">خط: نستعليق، كا: محمد حسن  قزوینی، تا: جمعه ۲۴ محـرم ۱۱۸۹ق : نشریه: ۷ - ۲۲۷]</w:t>
      </w:r>
    </w:p>
    <w:p>
      <w:pPr>
        <w:pStyle w:val="Heading3"/>
      </w:pPr>
      <w:bookmarkStart w:id="1155" w:name="_Toc677"/>
      <w:r>
        <w:t>الاستصحاب / استصحاب / عربی</w:t>
      </w:r>
      <w:bookmarkEnd w:id="1155"/>
    </w:p>
    <w:p>
      <w:pPr>
        <w:pStyle w:val="BookText"/>
      </w:pPr>
      <w:r>
        <w:rPr>
          <w:rFonts w:ascii="Times New Roman" w:hAnsi="Times New Roman" w:eastAsia="Times New Roman" w:cs="Times New Roman"/>
          <w:lang w:val="en-US" w:bidi="en-US"/>
          <w:color w:val="111111"/>
          <w:sz w:val="28"/>
          <w:szCs w:val="28"/>
          <w:rtl/>
        </w:rPr>
        <w:t xml:space="preserve">al-istiṣḥāb</w:t>
      </w:r>
    </w:p>
    <w:p>
      <w:pPr>
        <w:pStyle w:val="BookText"/>
      </w:pPr>
      <w:r>
        <w:rPr>
          <w:rFonts w:ascii="IRNazanin" w:hAnsi="IRNazanin" w:eastAsia="IRNazanin" w:cs="IRNazanin"/>
          <w:lang w:bidi="fa-IR"/>
          <w:color w:val="111111"/>
          <w:sz w:val="28"/>
          <w:szCs w:val="28"/>
          <w:rtl/>
        </w:rPr>
        <w:t xml:space="preserve">؟طباطبائی، محمد بن علی، ۱۱۸۰ - ۱۲۴۲ قمری</w:t>
      </w:r>
    </w:p>
    <w:p>
      <w:pPr>
        <w:pStyle w:val="BookText"/>
      </w:pPr>
      <w:r>
        <w:rPr>
          <w:rFonts w:ascii="Times New Roman" w:hAnsi="Times New Roman" w:eastAsia="Times New Roman" w:cs="Times New Roman"/>
          <w:lang w:val="en-US" w:bidi="en-US"/>
          <w:color w:val="111111"/>
          <w:sz w:val="28"/>
          <w:szCs w:val="28"/>
          <w:rtl/>
        </w:rPr>
        <w:t xml:space="preserve">(tabataba'i, mohammad ebn-e ali (1767 - 1827)</w:t>
      </w:r>
    </w:p>
    <w:p>
      <w:pPr>
        <w:pStyle w:val="BookText"/>
      </w:pPr>
      <w:r>
        <w:rPr>
          <w:rFonts w:ascii="IRNazanin" w:hAnsi="IRNazanin" w:eastAsia="IRNazanin" w:cs="IRNazanin"/>
          <w:lang w:bidi="fa-IR"/>
          <w:color w:val="111111"/>
          <w:sz w:val="28"/>
          <w:szCs w:val="28"/>
          <w:rtl/>
        </w:rPr>
        <w:t xml:space="preserve">تاریخ تأليف: قرن ۱۳</w:t>
      </w:r>
    </w:p>
    <w:p>
      <w:pPr>
        <w:pStyle w:val="BookText"/>
      </w:pPr>
      <w:r>
        <w:rPr>
          <w:rFonts w:ascii="IRNazanin" w:hAnsi="IRNazanin" w:eastAsia="IRNazanin" w:cs="IRNazanin"/>
          <w:lang w:bidi="fa-IR"/>
          <w:color w:val="111111"/>
          <w:sz w:val="28"/>
          <w:szCs w:val="28"/>
          <w:rtl/>
        </w:rPr>
        <w:t xml:space="preserve">رساله تحقیقی نسبتاً مفصلی است در حجيت يا عدم حجيت استصحاب که مورد اختلاف اصولیین واقع شده است، مرتب بر ۶ مقام: ۱. معنى الاستصحاب و بيان ماهيته؛ ۲. في مجرى الاستصحاب؛ ۳. تقسيم الاستصحاب؛ ۴. حجية الاستصحاب؛ ۵. تحقيق ما يعتبر في الاستصحاب؛ ۶. ثمرة الاستصحاب. این رساله به سید مهدی بحرالعلوم و فرزند صاحب رياض سيد مهدی طباطبائی و سید مجاهد نیز نسبت داده شده است. آغاز: الحمد لله رب العالمين ... اختلف الأصوليون في حجية الاستصحاب اعلم انه في المقام ايراد لابد من ايراده و هو ان اختلافهم فى الحجيتة ينا في ما هو المشهور بينهم من ان الادلة اربعة الكتاب و الاجماع و العقل و السنة فان الاستصحاب خارج  عن تلك الادلة</w:t>
      </w:r>
    </w:p>
    <w:p>
      <w:pPr>
        <w:pStyle w:val="BookText"/>
      </w:pPr>
      <w:r>
        <w:rPr>
          <w:rFonts w:ascii="Amiri" w:hAnsi="Amiri" w:eastAsia="Amiri" w:cs="Amiri"/>
          <w:lang w:bidi="ar-SA"/>
          <w:color w:val="111111"/>
          <w:sz w:val="28"/>
          <w:szCs w:val="28"/>
          <w:rtl/>
        </w:rPr>
        <w:t xml:space="preserve">انجام: و مع انتفائهم كيف يبقى الاحكام المتعلقة انتفاءهم يستلزم انتفاءها جدا</w:t>
      </w:r>
    </w:p>
    <w:p>
      <w:pPr>
        <w:pStyle w:val="BookText"/>
      </w:pPr>
      <w:r>
        <w:rPr>
          <w:rFonts w:ascii="Amiri" w:hAnsi="Amiri" w:eastAsia="Amiri" w:cs="Amiri"/>
          <w:lang w:bidi="ar-SA"/>
          <w:color w:val="111111"/>
          <w:sz w:val="28"/>
          <w:szCs w:val="28"/>
          <w:rtl/>
        </w:rPr>
        <w:t xml:space="preserve">[الذريعة ٢٥/٢]</w:t>
      </w:r>
    </w:p>
    <w:p>
      <w:pPr>
        <w:pStyle w:val="BookText"/>
      </w:pPr>
      <w:r>
        <w:rPr>
          <w:rFonts w:ascii="IRNazanin" w:hAnsi="IRNazanin" w:eastAsia="IRNazanin" w:cs="IRNazanin"/>
          <w:lang w:bidi="fa-IR"/>
          <w:color w:val="111111"/>
          <w:sz w:val="28"/>
          <w:szCs w:val="28"/>
          <w:rtl/>
        </w:rPr>
        <w:t xml:space="preserve">۱. قم ؛مرعشی؛ شماره نسخه: ۱۴۶۵۷/۱۴</w:t>
      </w:r>
    </w:p>
    <w:p>
      <w:pPr>
        <w:pStyle w:val="BookText"/>
      </w:pPr>
      <w:r>
        <w:rPr>
          <w:rFonts w:ascii="Amiri" w:hAnsi="Amiri" w:eastAsia="Amiri" w:cs="Amiri"/>
          <w:lang w:bidi="ar-SA"/>
          <w:color w:val="111111"/>
          <w:sz w:val="28"/>
          <w:szCs w:val="28"/>
          <w:rtl/>
        </w:rPr>
        <w:t xml:space="preserve">آغاز: برابر؛ انجام: لان اصالة عدم الوصول الى البشرة معارض باصالة عدم وصوله الى غيرها فيبقى الاصل المزبور، سالما عن المعارض و اما القسم الرابع فهو كالقسم الثاني</w:t>
      </w:r>
    </w:p>
    <w:p>
      <w:pPr>
        <w:pStyle w:val="BookText"/>
      </w:pPr>
      <w:r>
        <w:rPr>
          <w:rFonts w:ascii="IRNazanin" w:hAnsi="IRNazanin" w:eastAsia="IRNazanin" w:cs="IRNazanin"/>
          <w:lang w:bidi="fa-IR"/>
          <w:color w:val="111111"/>
          <w:sz w:val="28"/>
          <w:szCs w:val="28"/>
          <w:rtl/>
        </w:rPr>
        <w:t xml:space="preserve">خط: نسخ، بی کا، تا: حدود قرن ۱۳؛ افتادگی: انجام؛ مصحح، محشی؛ کاغذ: فرنگی، ۲۲گ (70پ- 91ر)، ۳۵ سطر، 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۳۷ - ۱۳۰]</w:t>
      </w:r>
    </w:p>
    <w:p>
      <w:pPr>
        <w:pStyle w:val="BookText"/>
      </w:pPr>
      <w:r>
        <w:rPr>
          <w:rFonts w:ascii="IRNazanin" w:hAnsi="IRNazanin" w:eastAsia="IRNazanin" w:cs="IRNazanin"/>
          <w:lang w:bidi="fa-IR"/>
          <w:color w:val="111111"/>
          <w:sz w:val="28"/>
          <w:szCs w:val="28"/>
          <w:rtl/>
        </w:rPr>
        <w:t xml:space="preserve">۲ . مشهد؛ رضوی؛ شماره نسخه: ۲۹۳۵۵</w:t>
      </w:r>
    </w:p>
    <w:p>
      <w:pPr>
        <w:pStyle w:val="BookText"/>
      </w:pPr>
      <w:r>
        <w:rPr>
          <w:rFonts w:ascii="IRNazanin" w:hAnsi="IRNazanin" w:eastAsia="IRNazanin" w:cs="IRNazanin"/>
          <w:lang w:bidi="fa-IR"/>
          <w:color w:val="111111"/>
          <w:sz w:val="28"/>
          <w:szCs w:val="28"/>
          <w:rtl/>
        </w:rPr>
        <w:t xml:space="preserve">آغاز: بسمله مفتاح في تحقيق الاستصحاب في الحديث المروى عن مولانا اميرالمومنين (علیه السّلام) من كان على اليقين فليمض؛ انجام: اما الاولى ولى فلما اشار اليه فى لك فق الاشهر بين الاستصحاب</w:t>
      </w:r>
    </w:p>
    <w:p>
      <w:pPr>
        <w:pStyle w:val="BookText"/>
      </w:pPr>
      <w:r>
        <w:rPr>
          <w:rFonts w:ascii="IRNazanin" w:hAnsi="IRNazanin" w:eastAsia="IRNazanin" w:cs="IRNazanin"/>
          <w:lang w:bidi="fa-IR"/>
          <w:color w:val="111111"/>
          <w:sz w:val="28"/>
          <w:szCs w:val="28"/>
          <w:rtl/>
        </w:rPr>
        <w:t xml:space="preserve">خط: نسخ، بی کا، تا: قرن ۱۳؛ افتادگی: انجام [رایانه]</w:t>
      </w:r>
    </w:p>
    <w:p>
      <w:pPr>
        <w:pStyle w:val="BookText"/>
      </w:pPr>
      <w:r>
        <w:rPr>
          <w:rFonts w:ascii="IRNazanin" w:hAnsi="IRNazanin" w:eastAsia="IRNazanin" w:cs="IRNazanin"/>
          <w:lang w:bidi="fa-IR"/>
          <w:color w:val="111111"/>
          <w:sz w:val="28"/>
          <w:szCs w:val="28"/>
          <w:rtl/>
        </w:rPr>
        <w:t xml:space="preserve">3.بیرجند؛ دیانی؛ شماره نسخه: ۱۶۵</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در فهرست بدون نام مؤلف است؛ خط: نسخ، کا: محمد بن حسن بیرجندی قائنی، تا: قرن ۱۳ ؛جلد: تیماج مشکی بدون مقوا، ۵۲گ، ۱۷ 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۱۲۵]</w:t>
      </w:r>
    </w:p>
    <w:p>
      <w:pPr>
        <w:pStyle w:val="BookText"/>
      </w:pPr>
      <w:r>
        <w:rPr>
          <w:rFonts w:ascii="IRNazanin" w:hAnsi="IRNazanin" w:eastAsia="IRNazanin" w:cs="IRNazanin"/>
          <w:lang w:bidi="fa-IR"/>
          <w:color w:val="111111"/>
          <w:sz w:val="28"/>
          <w:szCs w:val="28"/>
          <w:rtl/>
        </w:rPr>
        <w:t xml:space="preserve">۴. تهران؛ ملی؛ شماره نسخه: ۱۸۶۸/۱۱</w:t>
      </w:r>
    </w:p>
    <w:p>
      <w:pPr>
        <w:pStyle w:val="BookText"/>
      </w:pPr>
      <w:r>
        <w:rPr>
          <w:rFonts w:ascii="Amiri" w:hAnsi="Amiri" w:eastAsia="Amiri" w:cs="Amiri"/>
          <w:lang w:bidi="ar-SA"/>
          <w:color w:val="111111"/>
          <w:sz w:val="28"/>
          <w:szCs w:val="28"/>
          <w:rtl/>
        </w:rPr>
        <w:t xml:space="preserve">آغاز: بسمله و به نستعين، قال رحمه الله و الاعتراض عليه؛ انجام: ولا يحكم فيها بدليل حكم الأولى كما لا يخفى.</w:t>
      </w:r>
    </w:p>
    <w:p>
      <w:pPr>
        <w:pStyle w:val="BookText"/>
      </w:pPr>
      <w:r>
        <w:rPr>
          <w:rFonts w:ascii="IRNazanin" w:hAnsi="IRNazanin" w:eastAsia="IRNazanin" w:cs="IRNazanin"/>
          <w:lang w:bidi="fa-IR"/>
          <w:color w:val="111111"/>
          <w:sz w:val="28"/>
          <w:szCs w:val="28"/>
          <w:rtl/>
        </w:rPr>
        <w:t xml:space="preserve">کا: سید محمد مهدی بن ملا علی تبریزی طباطبائی، تا: ۱۲۲۲ق؛ کاغذ ،فرنگی ،جلد: تیماج مشکی یک لا لبه و عطف تمياج تریاکی، ۲۳ ص (۱۱۲-۱۱۴)، ۳۳ سطر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اندازه: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۱۶/۵سم [ف : ۱۰ - ۴۶۳]</w:t>
      </w:r>
    </w:p>
    <w:p>
      <w:pPr>
        <w:pStyle w:val="BookText"/>
      </w:pPr>
      <w:r>
        <w:rPr>
          <w:rFonts w:ascii="IRNazanin" w:hAnsi="IRNazanin" w:eastAsia="IRNazanin" w:cs="IRNazanin"/>
          <w:lang w:bidi="fa-IR"/>
          <w:color w:val="111111"/>
          <w:sz w:val="28"/>
          <w:szCs w:val="28"/>
          <w:rtl/>
        </w:rPr>
        <w:t xml:space="preserve">5.مشهد؛ رضوی؛ شماره نسخه: ۱۴۲۹۶/۲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84" w:name="pg20365_260272"/>
    <w:bookmarkEnd w:id="184"/>
    <w:p>
      <w:pPr>
        <w:pStyle w:val="BookText"/>
      </w:pPr>
      <w:r>
        <w:rPr>
          <w:rFonts w:ascii="Amiri" w:hAnsi="Amiri" w:eastAsia="Amiri" w:cs="Amiri"/>
          <w:lang w:bidi="ar-SA"/>
          <w:color w:val="111111"/>
          <w:sz w:val="28"/>
          <w:szCs w:val="28"/>
          <w:rtl/>
        </w:rPr>
        <w:t xml:space="preserve">آغاز: من الايرادات منها ما ذكره الرئيس</w:t>
      </w:r>
    </w:p>
    <w:p>
      <w:pPr>
        <w:pStyle w:val="BookText"/>
      </w:pPr>
      <w:r>
        <w:rPr>
          <w:rFonts w:ascii="IRNazanin" w:hAnsi="IRNazanin" w:eastAsia="IRNazanin" w:cs="IRNazanin"/>
          <w:lang w:bidi="fa-IR"/>
          <w:color w:val="111111"/>
          <w:sz w:val="28"/>
          <w:szCs w:val="28"/>
          <w:rtl/>
        </w:rPr>
        <w:t xml:space="preserve">خط: نسخ، کا: محمد بن سید حسین  موسوی، تا: ۲۶ رجـب۱۲۴۳ق، جا: خوانسار؛ افتادگی: آغاز (صفحه اول)؛ کاغذ: فرنگی آهار مهره  شکری، جلد: تیماج مشکی، ۲۳ و ۲۴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۱۶ - ۴۱۴]</w:t>
      </w:r>
    </w:p>
    <w:p>
      <w:pPr>
        <w:pStyle w:val="BookText"/>
      </w:pPr>
      <w:r>
        <w:rPr>
          <w:rFonts w:ascii="IRNazanin" w:hAnsi="IRNazanin" w:eastAsia="IRNazanin" w:cs="IRNazanin"/>
          <w:lang w:bidi="fa-IR"/>
          <w:color w:val="111111"/>
          <w:sz w:val="28"/>
          <w:szCs w:val="28"/>
          <w:rtl/>
        </w:rPr>
        <w:t xml:space="preserve">۶. تهران؛ ملی؛ شماره نسخه: ۱۹۹۴/۲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ابن سید محمد، سید کاظم گلپایگانی، تا: ربیع الاول ۱۲۴۹ق؛ کاغذ: فرنگی  نخودی، جلد: تیماج سرخ یک  لا،آستر کاغذ آبی سرمه ای، ۲۳ ص (41- 63پ)، ۲۵ سطر، ۱۰ سطر [ف: ۱۱ - ۳۴]</w:t>
      </w:r>
    </w:p>
    <w:p>
      <w:pPr>
        <w:pStyle w:val="BookText"/>
      </w:pPr>
      <w:r>
        <w:rPr>
          <w:rFonts w:ascii="IRNazanin" w:hAnsi="IRNazanin" w:eastAsia="IRNazanin" w:cs="IRNazanin"/>
          <w:lang w:bidi="fa-IR"/>
          <w:color w:val="111111"/>
          <w:sz w:val="28"/>
          <w:szCs w:val="28"/>
          <w:rtl/>
        </w:rPr>
        <w:t xml:space="preserve">۷. فردوس؛ مدرسه حبیبیه؛ شماره نسخه ۸۰/۱</w:t>
      </w:r>
    </w:p>
    <w:p>
      <w:pPr>
        <w:pStyle w:val="BookText"/>
      </w:pPr>
      <w:r>
        <w:rPr>
          <w:rFonts w:ascii="IRNazanin" w:hAnsi="IRNazanin" w:eastAsia="IRNazanin" w:cs="IRNazanin"/>
          <w:lang w:bidi="fa-IR"/>
          <w:color w:val="111111"/>
          <w:sz w:val="28"/>
          <w:szCs w:val="28"/>
          <w:rtl/>
        </w:rPr>
        <w:t xml:space="preserve">آغاز: برابر؛ انجام: لزم تأخير البيان عن وقت الحاجة و المنافاة لـعین ما ذكر فيه فتدبر فيه فانه من مزال الاقدام و مطارح الافهام تم</w:t>
      </w:r>
    </w:p>
    <w:p>
      <w:pPr>
        <w:pStyle w:val="BookText"/>
      </w:pPr>
      <w:r>
        <w:rPr>
          <w:rFonts w:ascii="IRNazanin" w:hAnsi="IRNazanin" w:eastAsia="IRNazanin" w:cs="IRNazanin"/>
          <w:lang w:bidi="fa-IR"/>
          <w:color w:val="111111"/>
          <w:sz w:val="28"/>
          <w:szCs w:val="28"/>
          <w:rtl/>
        </w:rPr>
        <w:t xml:space="preserve">خط: نسخ و نستعليق، كا: جعفر بن محمد  تونی، تا: ۱۲۵۵ق، مشهد مقدس ،جلد: مقوای لایی با روکش پارچه سرمه ای، ۵۹گ،(1پ - ۵۹ پ)، ۱۸-۱۹ سطر،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قم؛ فیضیه ؛شماره نسخه: ۱۶۶۱/۳</w:t>
      </w:r>
    </w:p>
    <w:p>
      <w:pPr>
        <w:pStyle w:val="BookText"/>
      </w:pPr>
      <w:r>
        <w:rPr>
          <w:rFonts w:ascii="IRNazanin" w:hAnsi="IRNazanin" w:eastAsia="IRNazanin" w:cs="IRNazanin"/>
          <w:lang w:bidi="fa-IR"/>
          <w:color w:val="111111"/>
          <w:sz w:val="28"/>
          <w:szCs w:val="28"/>
          <w:rtl/>
        </w:rPr>
        <w:t xml:space="preserve">خط: نسخ، کا: محمد صادق بن ملا اسماعیل  قمی، تا:جمعه 24رجب ۱۲۵۵ق، جا: مدرسه سر سوفیان بروجرد؛ ۲۲ سطر، اندازه: ۱۵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۲۰سم [ف ۳ - ۱۱۲]</w:t>
      </w:r>
    </w:p>
    <w:p>
      <w:pPr>
        <w:pStyle w:val="BookText"/>
      </w:pPr>
      <w:r>
        <w:rPr>
          <w:rFonts w:ascii="IRNazanin" w:hAnsi="IRNazanin" w:eastAsia="IRNazanin" w:cs="IRNazanin"/>
          <w:lang w:bidi="fa-IR"/>
          <w:color w:val="111111"/>
          <w:sz w:val="28"/>
          <w:szCs w:val="28"/>
          <w:rtl/>
        </w:rPr>
        <w:t xml:space="preserve">۹ .تهران؛ دانشسرای عالی - کتابخانه میرزا عبدالعظیم خان قریب گرکانی: شماره نسخه: ۱۸۸/۲</w:t>
      </w:r>
    </w:p>
    <w:p>
      <w:pPr>
        <w:pStyle w:val="BookText"/>
      </w:pPr>
      <w:r>
        <w:rPr>
          <w:rFonts w:ascii="IRNazanin" w:hAnsi="IRNazanin" w:eastAsia="IRNazanin" w:cs="IRNazanin"/>
          <w:lang w:bidi="fa-IR"/>
          <w:color w:val="111111"/>
          <w:sz w:val="28"/>
          <w:szCs w:val="28"/>
          <w:rtl/>
        </w:rPr>
        <w:t xml:space="preserve">خط: نستعلیق، بی کا، تا: ۹ شوال ۱۲۵۷ق، قطع: ربعی [ نشریه : 5- 647]</w:t>
      </w:r>
    </w:p>
    <w:p>
      <w:pPr>
        <w:pStyle w:val="BookText"/>
      </w:pPr>
      <w:r>
        <w:rPr>
          <w:rFonts w:ascii="IRNazanin" w:hAnsi="IRNazanin" w:eastAsia="IRNazanin" w:cs="IRNazanin"/>
          <w:lang w:bidi="fa-IR"/>
          <w:color w:val="111111"/>
          <w:sz w:val="28"/>
          <w:szCs w:val="28"/>
          <w:rtl/>
        </w:rPr>
        <w:t xml:space="preserve">۱۰ . مشهد؛ رضوی؛ شماره نسخه: ۹۰۹۱/۱</w:t>
      </w:r>
    </w:p>
    <w:p>
      <w:pPr>
        <w:pStyle w:val="BookText"/>
      </w:pPr>
      <w:r>
        <w:rPr>
          <w:rFonts w:ascii="Amiri" w:hAnsi="Amiri" w:eastAsia="Amiri" w:cs="Amiri"/>
          <w:lang w:bidi="ar-SA"/>
          <w:color w:val="111111"/>
          <w:sz w:val="28"/>
          <w:szCs w:val="28"/>
          <w:rtl/>
        </w:rPr>
        <w:t xml:space="preserve">آغاز: برابر؛ انجام: فيبقى الاصل المزبور سالما عن المعارض واما القسم الرابع فهو كالقسم الثاني.</w:t>
      </w:r>
    </w:p>
    <w:p>
      <w:pPr>
        <w:pStyle w:val="BookText"/>
      </w:pPr>
      <w:r>
        <w:rPr>
          <w:rFonts w:ascii="IRNazanin" w:hAnsi="IRNazanin" w:eastAsia="IRNazanin" w:cs="IRNazanin"/>
          <w:lang w:bidi="fa-IR"/>
          <w:color w:val="111111"/>
          <w:sz w:val="28"/>
          <w:szCs w:val="28"/>
          <w:rtl/>
        </w:rPr>
        <w:t xml:space="preserve">خط: نسخ، کا: محمد رضا (بن محمد اسماعیل قاری) طوسی مشهدی، تا: ۱۲۵۷ق؛ کاغذ: فرنگی نباتی ،جلد: تیماج مشکـی،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۱۶ - ۲۱۸]</w:t>
      </w:r>
    </w:p>
    <w:p>
      <w:pPr>
        <w:pStyle w:val="BookText"/>
      </w:pPr>
      <w:r>
        <w:rPr>
          <w:rFonts w:ascii="IRNazanin" w:hAnsi="IRNazanin" w:eastAsia="IRNazanin" w:cs="IRNazanin"/>
          <w:lang w:bidi="fa-IR"/>
          <w:color w:val="111111"/>
          <w:sz w:val="28"/>
          <w:szCs w:val="28"/>
          <w:rtl/>
        </w:rPr>
        <w:t xml:space="preserve">۱۱. مشهد؛ رضوی؛ شماره نسخه: ۶۷۰۱</w:t>
      </w:r>
    </w:p>
    <w:p>
      <w:pPr>
        <w:pStyle w:val="BookText"/>
      </w:pPr>
      <w:r>
        <w:rPr>
          <w:rFonts w:ascii="Amiri" w:hAnsi="Amiri" w:eastAsia="Amiri" w:cs="Amiri"/>
          <w:lang w:bidi="ar-SA"/>
          <w:color w:val="111111"/>
          <w:sz w:val="28"/>
          <w:szCs w:val="28"/>
          <w:rtl/>
        </w:rPr>
        <w:t xml:space="preserve">آغاز: برابر؛ انجام: فيبقى الاصل المزبور سالما عن المعارض واما القسم الرابع فهو كالقسم الثاني.</w:t>
      </w:r>
    </w:p>
    <w:p>
      <w:pPr>
        <w:pStyle w:val="BookText"/>
      </w:pPr>
      <w:r>
        <w:rPr>
          <w:rFonts w:ascii="IRNazanin" w:hAnsi="IRNazanin" w:eastAsia="IRNazanin" w:cs="IRNazanin"/>
          <w:lang w:bidi="fa-IR"/>
          <w:color w:val="111111"/>
          <w:sz w:val="28"/>
          <w:szCs w:val="28"/>
          <w:rtl/>
        </w:rPr>
        <w:t xml:space="preserve">خط: نسخ، کا: عبدالله بن محمد علی قاینی؛ تا: ۱۲۵۸ق،جا: مشهد؛ پس از این ضمن ۱۳ صفحه رساله ای است در مسئله «نسخ» پنداشته می شود که از افادات سید مجاهد باشد آغاز «فائد لاريب في جواز النسخ خلافالبعض فرق اليهود؛ انجام: و ان ارادبه ما هو متعلقه لزم تأخير البيان عن وقت الحاجة و المنافات لعين ما ذکر»؛ ۸۰گ مختلف السطر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۶ - ۴۴]</w:t>
      </w:r>
    </w:p>
    <w:p>
      <w:pPr>
        <w:pStyle w:val="BookText"/>
      </w:pPr>
      <w:r>
        <w:rPr>
          <w:rFonts w:ascii="IRNazanin" w:hAnsi="IRNazanin" w:eastAsia="IRNazanin" w:cs="IRNazanin"/>
          <w:lang w:bidi="fa-IR"/>
          <w:color w:val="111111"/>
          <w:sz w:val="28"/>
          <w:szCs w:val="28"/>
          <w:rtl/>
        </w:rPr>
        <w:t xml:space="preserve">۱۲. قم؛ مرعشی؛ شماره نسخه: ۱۰۸۷۰/۵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۱۲۶۴ق ؛جلد: مقوایی عطف تیماج قهوه ای، ۴۳گ (۸۹پ -۱۳۱ر)، ۱۸ 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۲۷ - 290]</w:t>
      </w:r>
    </w:p>
    <w:p>
      <w:pPr>
        <w:pStyle w:val="BookText"/>
      </w:pPr>
      <w:r>
        <w:rPr>
          <w:rFonts w:ascii="IRNazanin" w:hAnsi="IRNazanin" w:eastAsia="IRNazanin" w:cs="IRNazanin"/>
          <w:lang w:bidi="fa-IR"/>
          <w:color w:val="111111"/>
          <w:sz w:val="28"/>
          <w:szCs w:val="28"/>
          <w:rtl/>
        </w:rPr>
        <w:t xml:space="preserve">۱۳ . قم؛ فیضیه؛ شماره نسخه: ۱۲۹۰/۱۱</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در فهرست بدون نام مؤلف؛ بی کا، بی تا؛ ۳۰گ،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۳ - ۷۶]</w:t>
      </w:r>
    </w:p>
    <w:p>
      <w:pPr>
        <w:pStyle w:val="BookText"/>
      </w:pPr>
      <w:r>
        <w:rPr>
          <w:rFonts w:ascii="IRNazanin" w:hAnsi="IRNazanin" w:eastAsia="IRNazanin" w:cs="IRNazanin"/>
          <w:lang w:bidi="fa-IR"/>
          <w:color w:val="111111"/>
          <w:sz w:val="28"/>
          <w:szCs w:val="28"/>
          <w:rtl/>
        </w:rPr>
        <w:t xml:space="preserve">۱۴ . زنجان؛ امام جمعه؛ شماره نسخه: ۷ مجموعه بدون شماره</w:t>
      </w:r>
    </w:p>
    <w:p>
      <w:pPr>
        <w:pStyle w:val="BookText"/>
      </w:pPr>
      <w:r>
        <w:rPr>
          <w:rFonts w:ascii="IRNazanin" w:hAnsi="IRNazanin" w:eastAsia="IRNazanin" w:cs="IRNazanin"/>
          <w:lang w:bidi="fa-IR"/>
          <w:color w:val="111111"/>
          <w:sz w:val="28"/>
          <w:szCs w:val="28"/>
          <w:rtl/>
        </w:rPr>
        <w:t xml:space="preserve">بی کا، بی تا[ دلیل المخطوطات ۱ - ۱۳۷]</w:t>
      </w:r>
    </w:p>
    <w:p>
      <w:pPr>
        <w:pStyle w:val="BookText"/>
      </w:pPr>
      <w:r>
        <w:rPr>
          <w:rFonts w:ascii="IRNazanin" w:hAnsi="IRNazanin" w:eastAsia="IRNazanin" w:cs="IRNazanin"/>
          <w:lang w:bidi="fa-IR"/>
          <w:color w:val="111111"/>
          <w:sz w:val="28"/>
          <w:szCs w:val="28"/>
          <w:rtl/>
        </w:rPr>
        <w:t xml:space="preserve">۱۵. تهران؛ مروی؛ شماره نسخه: ۶۸۵/۶</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بی کا، بی تا؛ بالای صفحه اول نوشته: «لخالی العلامة سمى جده امام عصر عجل الله تعالى فرجه الشريف»؛ ۳۰گ، قطع: خشتی[ ف: ۲۹۴]</w:t>
      </w:r>
    </w:p>
    <w:p>
      <w:pPr>
        <w:pStyle w:val="BookText"/>
      </w:pPr>
      <w:r>
        <w:rPr>
          <w:rFonts w:ascii="IRNazanin" w:hAnsi="IRNazanin" w:eastAsia="IRNazanin" w:cs="IRNazanin"/>
          <w:lang w:bidi="fa-IR"/>
          <w:color w:val="111111"/>
          <w:sz w:val="28"/>
          <w:szCs w:val="28"/>
          <w:rtl/>
        </w:rPr>
        <w:t xml:space="preserve">۱۶. کاشان؛ مدرسه سلطانی؛ شماره نسخه: ۱۸۰/۱</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بی کا، بی تا؛ افتادگی: انجام؛ فوائدی فقهی پس از این رساله آمده؛ جلد: تیماج قهوه ای ،مجدول ۷گ،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w:t>
      </w:r>
    </w:p>
    <w:p>
      <w:pPr>
        <w:pStyle w:val="BookText"/>
      </w:pPr>
      <w:r>
        <w:rPr>
          <w:rFonts w:ascii="IRNazanin" w:hAnsi="IRNazanin" w:eastAsia="IRNazanin" w:cs="IRNazanin"/>
          <w:lang w:bidi="fa-IR"/>
          <w:color w:val="111111"/>
          <w:sz w:val="28"/>
          <w:szCs w:val="28"/>
          <w:rtl/>
        </w:rPr>
        <w:t xml:space="preserve">۱۷. یزد؛ وزیری؛ شماره نسخه: ۲۰۳۷/۱۷</w:t>
      </w:r>
    </w:p>
    <w:p>
      <w:pPr>
        <w:pStyle w:val="BookText"/>
      </w:pPr>
      <w:r>
        <w:rPr>
          <w:rFonts w:ascii="IRNazanin" w:hAnsi="IRNazanin" w:eastAsia="IRNazanin" w:cs="IRNazanin"/>
          <w:lang w:bidi="fa-IR"/>
          <w:color w:val="111111"/>
          <w:sz w:val="28"/>
          <w:szCs w:val="28"/>
          <w:rtl/>
        </w:rPr>
        <w:t xml:space="preserve">خط: نستعلیق، بی کا، بی تا؛ اهدایی وزیری مؤسس؛ کاغذ: اصفهانی، جلد: مقوایی با تیماج مشکی ضربی درون تیماج زرد، ۳۸گ(۲۰۹-۱۷۲)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۴ - ۱۱۳۷]</w:t>
      </w:r>
    </w:p>
    <w:p>
      <w:pPr>
        <w:pStyle w:val="Heading3"/>
      </w:pPr>
      <w:bookmarkStart w:id="1156" w:name="_Toc678"/>
      <w:r>
        <w:t>الاستصحاب / استصحاب / عربی</w:t>
      </w:r>
      <w:bookmarkEnd w:id="1156"/>
    </w:p>
    <w:p>
      <w:pPr>
        <w:pStyle w:val="BookText"/>
      </w:pPr>
      <w:r>
        <w:rPr>
          <w:rFonts w:ascii="Times New Roman" w:hAnsi="Times New Roman" w:eastAsia="Times New Roman" w:cs="Times New Roman"/>
          <w:lang w:val="en-US" w:bidi="en-US"/>
          <w:color w:val="111111"/>
          <w:sz w:val="28"/>
          <w:szCs w:val="28"/>
          <w:rtl/>
        </w:rPr>
        <w:t xml:space="preserve">al-istishab</w:t>
      </w:r>
    </w:p>
    <w:p>
      <w:pPr>
        <w:pStyle w:val="BookText"/>
      </w:pPr>
      <w:r>
        <w:rPr>
          <w:rFonts w:ascii="IRNazanin" w:hAnsi="IRNazanin" w:eastAsia="IRNazanin" w:cs="IRNazanin"/>
          <w:lang w:bidi="fa-IR"/>
          <w:color w:val="111111"/>
          <w:sz w:val="28"/>
          <w:szCs w:val="28"/>
          <w:rtl/>
        </w:rPr>
        <w:t xml:space="preserve">شفتی بیدآبادی، محمد باقر بن محمد نقی، ۱۱۷۵؟ -  ۱۲۶۰ قمری</w:t>
      </w:r>
    </w:p>
    <w:p>
      <w:pPr>
        <w:pStyle w:val="BookText"/>
      </w:pPr>
      <w:r>
        <w:rPr>
          <w:rFonts w:ascii="Times New Roman" w:hAnsi="Times New Roman" w:eastAsia="Times New Roman" w:cs="Times New Roman"/>
          <w:lang w:val="en-US" w:bidi="en-US"/>
          <w:color w:val="111111"/>
          <w:sz w:val="28"/>
          <w:szCs w:val="28"/>
          <w:rtl/>
        </w:rPr>
        <w:t xml:space="preserve">šaftī bīd-ābādī, mohammad bāqer ebn-e mohammad</w:t>
      </w:r>
    </w:p>
    <w:p>
      <w:pPr>
        <w:pStyle w:val="BookText"/>
      </w:pPr>
      <w:r>
        <w:rPr>
          <w:rFonts w:ascii="Times New Roman" w:hAnsi="Times New Roman" w:eastAsia="Times New Roman" w:cs="Times New Roman"/>
          <w:lang w:val="en-US" w:bidi="en-US"/>
          <w:color w:val="111111"/>
          <w:sz w:val="28"/>
          <w:szCs w:val="28"/>
          <w:rtl/>
        </w:rPr>
        <w:t xml:space="preserve">(naqī (1762 - 1844)</w:t>
      </w:r>
    </w:p>
    <w:p>
      <w:pPr>
        <w:pStyle w:val="BookText"/>
      </w:pPr>
      <w:r>
        <w:rPr>
          <w:rFonts w:ascii="IRNazanin" w:hAnsi="IRNazanin" w:eastAsia="IRNazanin" w:cs="IRNazanin"/>
          <w:lang w:bidi="fa-IR"/>
          <w:color w:val="111111"/>
          <w:sz w:val="28"/>
          <w:szCs w:val="28"/>
          <w:rtl/>
        </w:rPr>
        <w:t xml:space="preserve">قم؛ فیضیه؛ شماره نسخه: ۱۲۹۰/۹</w:t>
      </w:r>
    </w:p>
    <w:p>
      <w:pPr>
        <w:pStyle w:val="BookText"/>
      </w:pPr>
      <w:r>
        <w:rPr>
          <w:rFonts w:ascii="Amiri" w:hAnsi="Amiri" w:eastAsia="Amiri" w:cs="Amiri"/>
          <w:lang w:bidi="ar-SA"/>
          <w:color w:val="111111"/>
          <w:sz w:val="28"/>
          <w:szCs w:val="28"/>
          <w:rtl/>
        </w:rPr>
        <w:t xml:space="preserve">آغاز: هذه مقالة فى الاستصحاب. و تحقيق المقال فيه يستدعى  التكلف فى مباحث</w:t>
      </w:r>
    </w:p>
    <w:p>
      <w:pPr>
        <w:pStyle w:val="BookText"/>
      </w:pPr>
      <w:r>
        <w:rPr>
          <w:rFonts w:ascii="IRNazanin" w:hAnsi="IRNazanin" w:eastAsia="IRNazanin" w:cs="IRNazanin"/>
          <w:lang w:bidi="fa-IR"/>
          <w:color w:val="111111"/>
          <w:sz w:val="28"/>
          <w:szCs w:val="28"/>
          <w:rtl/>
        </w:rPr>
        <w:t xml:space="preserve">بنا بر یادداشت در خود نسخه از حجة الاسلام شفتی؛ بی کا، بی تا؛  9گ،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۳ - ۷۶]</w:t>
      </w:r>
    </w:p>
    <w:p>
      <w:pPr>
        <w:pStyle w:val="Heading3"/>
      </w:pPr>
      <w:bookmarkStart w:id="1157" w:name="_Toc679"/>
      <w:r>
        <w:t>الاستصحاب / استصحاب / عربی</w:t>
      </w:r>
      <w:bookmarkEnd w:id="1157"/>
    </w:p>
    <w:p>
      <w:pPr>
        <w:pStyle w:val="BookText"/>
      </w:pPr>
      <w:r>
        <w:rPr>
          <w:rFonts w:ascii="Times New Roman" w:hAnsi="Times New Roman" w:eastAsia="Times New Roman" w:cs="Times New Roman"/>
          <w:lang w:val="en-US" w:bidi="en-US"/>
          <w:color w:val="111111"/>
          <w:sz w:val="28"/>
          <w:szCs w:val="28"/>
          <w:rtl/>
        </w:rPr>
        <w:t xml:space="preserve">al-istishab</w:t>
      </w:r>
    </w:p>
    <w:p>
      <w:pPr>
        <w:pStyle w:val="BookText"/>
      </w:pPr>
      <w:r>
        <w:rPr>
          <w:rFonts w:ascii="IRNazanin" w:hAnsi="IRNazanin" w:eastAsia="IRNazanin" w:cs="IRNazanin"/>
          <w:lang w:bidi="fa-IR"/>
          <w:color w:val="111111"/>
          <w:sz w:val="28"/>
          <w:szCs w:val="28"/>
          <w:rtl/>
        </w:rPr>
        <w:t xml:space="preserve">انصاری، مرتضی بن محمد  امین، ۱۲۱۴ – ۱۲۸۱ قمری</w:t>
      </w:r>
    </w:p>
    <w:p>
      <w:pPr>
        <w:pStyle w:val="BookText"/>
      </w:pPr>
      <w:r>
        <w:rPr>
          <w:rFonts w:ascii="Times New Roman" w:hAnsi="Times New Roman" w:eastAsia="Times New Roman" w:cs="Times New Roman"/>
          <w:lang w:val="en-US" w:bidi="en-US"/>
          <w:color w:val="111111"/>
          <w:sz w:val="28"/>
          <w:szCs w:val="28"/>
          <w:rtl/>
        </w:rPr>
        <w:t xml:space="preserve">(ansari, morteza ebn-e- mohammad amin (1800 - 1865)</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IRNazanin" w:hAnsi="IRNazanin" w:eastAsia="IRNazanin" w:cs="IRNazanin"/>
          <w:lang w:bidi="fa-IR"/>
          <w:color w:val="111111"/>
          <w:sz w:val="28"/>
          <w:szCs w:val="28"/>
          <w:rtl/>
        </w:rPr>
        <w:t xml:space="preserve">١- حاشية الاستصحاب حسینی، موسى بن فضل الله (-۱۳)</w:t>
      </w:r>
    </w:p>
    <w:p>
      <w:pPr>
        <w:pStyle w:val="BookText"/>
      </w:pPr>
      <w:r>
        <w:rPr>
          <w:rFonts w:ascii="Amiri" w:hAnsi="Amiri" w:eastAsia="Amiri" w:cs="Amiri"/>
          <w:lang w:bidi="ar-SA"/>
          <w:color w:val="111111"/>
          <w:sz w:val="28"/>
          <w:szCs w:val="28"/>
          <w:rtl/>
        </w:rPr>
        <w:t xml:space="preserve">۲- شرح الاستحصاب - اصل في الاستصحاب</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ملی؛ شماره نسخه: ۱۷۴۷۵</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85" w:name="pg20365_260273"/>
    <w:bookmarkEnd w:id="185"/>
    <w:p>
      <w:pPr>
        <w:pStyle w:val="BookText"/>
      </w:pPr>
      <w:r>
        <w:rPr>
          <w:rFonts w:ascii="IRNazanin" w:hAnsi="IRNazanin" w:eastAsia="IRNazanin" w:cs="IRNazanin"/>
          <w:lang w:bidi="fa-IR"/>
          <w:color w:val="111111"/>
          <w:sz w:val="28"/>
          <w:szCs w:val="28"/>
          <w:rtl/>
        </w:rPr>
        <w:t xml:space="preserve">بی کا، تا: ۱۲۷۱ق ،خریداری از مصطفى يسمعى؛ اندازه: ۱۴/۹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۲۱/۴سم [رایانه ]</w:t>
      </w:r>
    </w:p>
    <w:p>
      <w:pPr>
        <w:pStyle w:val="BookText"/>
      </w:pPr>
      <w:r>
        <w:rPr>
          <w:rFonts w:ascii="IRNazanin" w:hAnsi="IRNazanin" w:eastAsia="IRNazanin" w:cs="IRNazanin"/>
          <w:lang w:bidi="fa-IR"/>
          <w:color w:val="111111"/>
          <w:sz w:val="28"/>
          <w:szCs w:val="28"/>
          <w:rtl/>
        </w:rPr>
        <w:t xml:space="preserve">۲. تهران؛ ملی؛ شماره نسخه: ۳۸۳۳/۳</w:t>
      </w:r>
    </w:p>
    <w:p>
      <w:pPr>
        <w:pStyle w:val="BookText"/>
      </w:pPr>
      <w:r>
        <w:rPr>
          <w:rFonts w:ascii="Amiri" w:hAnsi="Amiri" w:eastAsia="Amiri" w:cs="Amiri"/>
          <w:lang w:bidi="ar-SA"/>
          <w:color w:val="111111"/>
          <w:sz w:val="28"/>
          <w:szCs w:val="28"/>
          <w:rtl/>
        </w:rPr>
        <w:t xml:space="preserve">آغاز: اصل من حمله الادله العقليه ... الاستصحاب و هو لغه  ... .  منها ما ذكره الفاضل القمى فى القوانين: قال الاستصحاب الحـال ؛انجام: و للاخر فى الأخرى كمسائل المعاملات</w:t>
      </w:r>
    </w:p>
    <w:p>
      <w:pPr>
        <w:pStyle w:val="BookText"/>
      </w:pPr>
      <w:r>
        <w:rPr>
          <w:rFonts w:ascii="IRNazanin" w:hAnsi="IRNazanin" w:eastAsia="IRNazanin" w:cs="IRNazanin"/>
          <w:lang w:bidi="fa-IR"/>
          <w:color w:val="111111"/>
          <w:sz w:val="28"/>
          <w:szCs w:val="28"/>
          <w:rtl/>
        </w:rPr>
        <w:t xml:space="preserve">مؤلف از شیخ جعفر کاشف الغطا و فاضل قمی در قوانین (ابوالقاسم گیلانی ۱۲۳۱) یاد می کند. شاید از شیخ مرتضـی انصاری باشد که اولین رساله این مجموعه (التقيه) از او اسـت؛ خط: نسخ تحریری و نستعلیق بد و نسخ خوش، بی کا، بی تا:افتادگی: انجام؛ بالای صفحات ۱۰۷ تا ۱۳۳ که  هم خط رساله «القصر و الاتمام» است این عبارت و علامت دیده می شود «بسـمله يا امير المؤمنين» ؛کاغذ: نخودی  فرنگی، ۶۸گ (99پ- 166ر) ۲۵ سطر (۹/۵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اندازه: ۱۵/۸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۲۱/۶سم [ف: ۱۷ – ۶۹]</w:t>
      </w:r>
    </w:p>
    <w:p>
      <w:pPr>
        <w:pStyle w:val="Heading3"/>
      </w:pPr>
      <w:bookmarkStart w:id="1158" w:name="_Toc680"/>
      <w:r>
        <w:t>الاستصحاب / استصحاب / عربی</w:t>
      </w:r>
      <w:bookmarkEnd w:id="1158"/>
    </w:p>
    <w:p>
      <w:pPr>
        <w:pStyle w:val="BookText"/>
      </w:pPr>
      <w:r>
        <w:rPr>
          <w:rFonts w:ascii="Times New Roman" w:hAnsi="Times New Roman" w:eastAsia="Times New Roman" w:cs="Times New Roman"/>
          <w:lang w:val="en-US" w:bidi="en-US"/>
          <w:color w:val="111111"/>
          <w:sz w:val="28"/>
          <w:szCs w:val="28"/>
          <w:rtl/>
        </w:rPr>
        <w:t xml:space="preserve">al-istiṣḥāb</w:t>
      </w:r>
    </w:p>
    <w:p>
      <w:pPr>
        <w:pStyle w:val="BookText"/>
      </w:pPr>
      <w:r>
        <w:rPr>
          <w:rFonts w:ascii="IRNazanin" w:hAnsi="IRNazanin" w:eastAsia="IRNazanin" w:cs="IRNazanin"/>
          <w:lang w:bidi="fa-IR"/>
          <w:color w:val="111111"/>
          <w:sz w:val="28"/>
          <w:szCs w:val="28"/>
          <w:rtl/>
        </w:rPr>
        <w:t xml:space="preserve">موسوی  شفتی، اسدالله بن محمد باقر، ۱۲۲۷؟  - 1290؟ قمری</w:t>
      </w:r>
    </w:p>
    <w:p>
      <w:pPr>
        <w:pStyle w:val="BookText"/>
      </w:pPr>
      <w:r>
        <w:rPr>
          <w:rFonts w:ascii="Times New Roman" w:hAnsi="Times New Roman" w:eastAsia="Times New Roman" w:cs="Times New Roman"/>
          <w:lang w:val="en-US" w:bidi="en-US"/>
          <w:color w:val="111111"/>
          <w:sz w:val="28"/>
          <w:szCs w:val="28"/>
          <w:rtl/>
        </w:rPr>
        <w:t xml:space="preserve">mūsavī šaftī, asad-ol-lāh ebn-e mohammad bāqer</w:t>
      </w:r>
    </w:p>
    <w:p>
      <w:pPr>
        <w:pStyle w:val="BookText"/>
      </w:pPr>
      <w:r>
        <w:rPr>
          <w:rFonts w:ascii="Times New Roman" w:hAnsi="Times New Roman" w:eastAsia="Times New Roman" w:cs="Times New Roman"/>
          <w:lang w:val="en-US" w:bidi="en-US"/>
          <w:color w:val="111111"/>
          <w:sz w:val="28"/>
          <w:szCs w:val="28"/>
          <w:rtl/>
        </w:rPr>
        <w:t xml:space="preserve">(1812- 1873)</w:t>
      </w:r>
    </w:p>
    <w:p>
      <w:pPr>
        <w:pStyle w:val="BookText"/>
      </w:pPr>
      <w:r>
        <w:rPr>
          <w:rFonts w:ascii="IRNazanin" w:hAnsi="IRNazanin" w:eastAsia="IRNazanin" w:cs="IRNazanin"/>
          <w:lang w:bidi="fa-IR"/>
          <w:color w:val="111111"/>
          <w:sz w:val="28"/>
          <w:szCs w:val="28"/>
          <w:rtl/>
        </w:rPr>
        <w:t xml:space="preserve">رساله مبسوطی است در مباحث مربوط به حجیت استصحاب  مشتمل بر یک «مقدمه» و چند «باب» و یک «خاتمه».</w:t>
      </w:r>
    </w:p>
    <w:p>
      <w:pPr>
        <w:pStyle w:val="BookText"/>
      </w:pPr>
      <w:r>
        <w:rPr>
          <w:rFonts w:ascii="IRNazanin" w:hAnsi="IRNazanin" w:eastAsia="IRNazanin" w:cs="IRNazanin"/>
          <w:lang w:bidi="fa-IR"/>
          <w:color w:val="111111"/>
          <w:sz w:val="28"/>
          <w:szCs w:val="28"/>
          <w:rtl/>
        </w:rPr>
        <w:t xml:space="preserve">آغاز: الحمد لله رب العالمين والصلوة على اشرف خلقه...وبعد  فهذه جملة كافية فى بيان الاستصحاب اعلم ان تحقيق الحال فیه يحتاج الى مقدمة و ابواب و خاتمة</w:t>
      </w:r>
    </w:p>
    <w:p>
      <w:pPr>
        <w:pStyle w:val="BookText"/>
      </w:pPr>
      <w:r>
        <w:rPr>
          <w:rFonts w:ascii="Amiri" w:hAnsi="Amiri" w:eastAsia="Amiri" w:cs="Amiri"/>
          <w:lang w:bidi="ar-SA"/>
          <w:color w:val="111111"/>
          <w:sz w:val="28"/>
          <w:szCs w:val="28"/>
          <w:rtl/>
        </w:rPr>
        <w:t xml:space="preserve">انجام: مضافاً الى ان الآية غير باقيه على ظاهرها و الافكثير من الاعمال كتمام المستحباب و بعض من الواجبات في بعض  من الاحيان مما يجوز ابطالها</w:t>
      </w:r>
    </w:p>
    <w:p>
      <w:pPr>
        <w:pStyle w:val="BookText"/>
      </w:pPr>
      <w:r>
        <w:rPr>
          <w:rFonts w:ascii="IRNazanin" w:hAnsi="IRNazanin" w:eastAsia="IRNazanin" w:cs="IRNazanin"/>
          <w:lang w:bidi="fa-IR"/>
          <w:color w:val="111111"/>
          <w:sz w:val="28"/>
          <w:szCs w:val="28"/>
          <w:rtl/>
        </w:rPr>
        <w:t xml:space="preserve">۱. قم؛ معصومیه؛ شماره نسخه: ۴۸۴/۲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۱۳؛ محشی از مؤلف با نشان «منه مدظله العالی»؛ جلد: تیماج آبی، ۹۳گ (78پ- 170ر)، ۲۰  سطر(۹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۲ - ۹۵]</w:t>
      </w:r>
    </w:p>
    <w:p>
      <w:pPr>
        <w:pStyle w:val="BookText"/>
      </w:pPr>
      <w:r>
        <w:rPr>
          <w:rFonts w:ascii="IRNazanin" w:hAnsi="IRNazanin" w:eastAsia="IRNazanin" w:cs="IRNazanin"/>
          <w:lang w:bidi="fa-IR"/>
          <w:color w:val="111111"/>
          <w:sz w:val="28"/>
          <w:szCs w:val="28"/>
          <w:rtl/>
        </w:rPr>
        <w:t xml:space="preserve">۲. قم؛ مرعشی؛ شماره نسخه: ۵۹۰۲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خط:نسخ، بی کا، بی تا؛ روی برگ اول دو یادداشت استکتاپ به تاریخ های رمضان ۱۲۸۳ و چهارم ربیع الاول ۱۲۹۷؛ تملکی بدون نام به تاریخ شب ۲۰ جمادى الثانى۱۳۳۰ با مهر «عبده محـمد بن ابوالقاسم الموسوى» ((مربع) ؛جلد: تيماج قرمز بدون مقـوا، ۱۰۲گ، ۲۰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۱۵ – ۲۸۱]</w:t>
      </w:r>
    </w:p>
    <w:p>
      <w:pPr>
        <w:pStyle w:val="Heading3"/>
      </w:pPr>
      <w:bookmarkStart w:id="1159" w:name="_Toc681"/>
      <w:r>
        <w:t>الاستصحاب / استصحاب / عربی</w:t>
      </w:r>
      <w:bookmarkEnd w:id="1159"/>
    </w:p>
    <w:p>
      <w:pPr>
        <w:pStyle w:val="BookText"/>
      </w:pPr>
      <w:r>
        <w:rPr>
          <w:rFonts w:ascii="Times New Roman" w:hAnsi="Times New Roman" w:eastAsia="Times New Roman" w:cs="Times New Roman"/>
          <w:lang w:val="en-US" w:bidi="en-US"/>
          <w:color w:val="111111"/>
          <w:sz w:val="28"/>
          <w:szCs w:val="28"/>
          <w:rtl/>
        </w:rPr>
        <w:t xml:space="preserve">al-istishab</w:t>
      </w:r>
    </w:p>
    <w:p>
      <w:pPr>
        <w:pStyle w:val="BookText"/>
      </w:pPr>
      <w:r>
        <w:rPr>
          <w:rFonts w:ascii="IRNazanin" w:hAnsi="IRNazanin" w:eastAsia="IRNazanin" w:cs="IRNazanin"/>
          <w:lang w:bidi="fa-IR"/>
          <w:color w:val="111111"/>
          <w:sz w:val="28"/>
          <w:szCs w:val="28"/>
          <w:rtl/>
        </w:rPr>
        <w:t xml:space="preserve">حسینی قائنی، ابو طالب بن ابی  تراب، ۱۲۳۰؟ - ۱۲۹۳؟  قمری</w:t>
      </w:r>
    </w:p>
    <w:p>
      <w:pPr>
        <w:pStyle w:val="BookText"/>
      </w:pPr>
      <w:r>
        <w:rPr>
          <w:rFonts w:ascii="Times New Roman" w:hAnsi="Times New Roman" w:eastAsia="Times New Roman" w:cs="Times New Roman"/>
          <w:lang w:val="en-US" w:bidi="en-US"/>
          <w:color w:val="111111"/>
          <w:sz w:val="28"/>
          <w:szCs w:val="28"/>
          <w:rtl/>
        </w:rPr>
        <w:t xml:space="preserve">(hoseyni qā'enī, abū-tāleb ebn-e abī-torāb (1815-1876)</w:t>
      </w:r>
    </w:p>
    <w:p>
      <w:pPr>
        <w:pStyle w:val="BookText"/>
      </w:pPr>
      <w:r>
        <w:rPr>
          <w:rFonts w:ascii="IRNazanin" w:hAnsi="IRNazanin" w:eastAsia="IRNazanin" w:cs="IRNazanin"/>
          <w:lang w:bidi="fa-IR"/>
          <w:color w:val="111111"/>
          <w:sz w:val="28"/>
          <w:szCs w:val="28"/>
          <w:rtl/>
        </w:rPr>
        <w:t xml:space="preserve">تاريخ تأليف: جمعه ۲۸ جمادی الثانی ۱۲۶۰ق؛ محل تالیف: مشهد رضوی</w:t>
      </w:r>
    </w:p>
    <w:p>
      <w:pPr>
        <w:pStyle w:val="BookText"/>
      </w:pPr>
      <w:r>
        <w:rPr>
          <w:rFonts w:ascii="IRNazanin" w:hAnsi="IRNazanin" w:eastAsia="IRNazanin" w:cs="IRNazanin"/>
          <w:lang w:bidi="fa-IR"/>
          <w:color w:val="111111"/>
          <w:sz w:val="28"/>
          <w:szCs w:val="28"/>
          <w:rtl/>
        </w:rPr>
        <w:t xml:space="preserve">کتابی در بحث استصحاب است که معرکه آراء بین فضلا و علما بوده و مؤلف همت خود را صرف آن نموده تا حق برایش روشن شود، لذا این رساله را در چند «مقدمه» و «مقام» ساخته  است.</w:t>
      </w:r>
    </w:p>
    <w:p>
      <w:pPr>
        <w:pStyle w:val="BookText"/>
      </w:pPr>
      <w:r>
        <w:rPr>
          <w:rFonts w:ascii="Amiri" w:hAnsi="Amiri" w:eastAsia="Amiri" w:cs="Amiri"/>
          <w:lang w:bidi="ar-SA"/>
          <w:color w:val="111111"/>
          <w:sz w:val="28"/>
          <w:szCs w:val="28"/>
          <w:rtl/>
        </w:rPr>
        <w:t xml:space="preserve">آغاز الحمد لله الذى أرشدنا إلى استصحاب الانار المقدسة و هدينا إلى ان النجواة فى مصاحبة العلل الغائية و أزال عنا بمودتهم  الشك.</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قائن؛ مدرسه جعفریه؛ شماره نسخه: ۶۹/۷</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بی کا، تا: با تاریخ ۱۲۷۱ق؛ مصحح؛ ۲۷گ (۱۵۰ -۱۷۸) ، ۲۳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 کتابخانه های قائن - ف: – ۶۲]</w:t>
      </w:r>
    </w:p>
    <w:p>
      <w:pPr>
        <w:pStyle w:val="BookText"/>
      </w:pPr>
      <w:r>
        <w:rPr>
          <w:rFonts w:ascii="IRNazanin" w:hAnsi="IRNazanin" w:eastAsia="IRNazanin" w:cs="IRNazanin"/>
          <w:lang w:bidi="fa-IR"/>
          <w:color w:val="111111"/>
          <w:sz w:val="28"/>
          <w:szCs w:val="28"/>
          <w:rtl/>
        </w:rPr>
        <w:t xml:space="preserve">قم؛ مرکز احیاء؛ شماره نسخه: ۱۶۹۳/۷</w:t>
      </w:r>
    </w:p>
    <w:p>
      <w:pPr>
        <w:pStyle w:val="BookText"/>
      </w:pPr>
      <w:r>
        <w:rPr>
          <w:rFonts w:ascii="IRNazanin" w:hAnsi="IRNazanin" w:eastAsia="IRNazanin" w:cs="IRNazanin"/>
          <w:lang w:bidi="fa-IR"/>
          <w:color w:val="111111"/>
          <w:sz w:val="28"/>
          <w:szCs w:val="28"/>
          <w:rtl/>
        </w:rPr>
        <w:t xml:space="preserve">نسخه اصل: همان نسخه بالا [ عکسی ف: ۵ - ۱۴۹]</w:t>
      </w:r>
    </w:p>
    <w:p>
      <w:pPr>
        <w:pStyle w:val="BookText"/>
      </w:pPr>
      <w:r>
        <w:rPr>
          <w:rFonts w:ascii="IRNazanin" w:hAnsi="IRNazanin" w:eastAsia="IRNazanin" w:cs="IRNazanin"/>
          <w:lang w:bidi="fa-IR"/>
          <w:color w:val="111111"/>
          <w:sz w:val="28"/>
          <w:szCs w:val="28"/>
          <w:rtl/>
        </w:rPr>
        <w:t xml:space="preserve">۲ . قائن؛ حسینی قهستانی؛ شماره نسخه: ۲۵/۳</w:t>
      </w:r>
    </w:p>
    <w:p>
      <w:pPr>
        <w:pStyle w:val="BookText"/>
      </w:pPr>
      <w:r>
        <w:rPr>
          <w:rFonts w:ascii="IRNazanin" w:hAnsi="IRNazanin" w:eastAsia="IRNazanin" w:cs="IRNazanin"/>
          <w:lang w:bidi="fa-IR"/>
          <w:color w:val="111111"/>
          <w:sz w:val="28"/>
          <w:szCs w:val="28"/>
          <w:rtl/>
        </w:rPr>
        <w:t xml:space="preserve">خط: نسخ، کا: جحی بن میر معصوم حسینی قائنی؛ تا: ۱ شعبان ۱۲۷۳ق؛ جلد: تیماج قهوه ای  ضربی، ۳۳گ (۱۹۵پ-۱۲۷پ)، ۱۹</w:t>
      </w:r>
    </w:p>
    <w:p>
      <w:pPr>
        <w:pStyle w:val="BookText"/>
      </w:pPr>
      <w:r>
        <w:rPr>
          <w:rFonts w:ascii="IRNazanin" w:hAnsi="IRNazanin" w:eastAsia="IRNazanin" w:cs="IRNazanin"/>
          <w:lang w:bidi="fa-IR"/>
          <w:color w:val="111111"/>
          <w:sz w:val="28"/>
          <w:szCs w:val="28"/>
          <w:rtl/>
        </w:rPr>
        <w:t xml:space="preserve">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۲۳سم [ف: ۱۳۶]</w:t>
      </w:r>
    </w:p>
    <w:p>
      <w:pPr>
        <w:pStyle w:val="BookText"/>
      </w:pPr>
      <w:r>
        <w:rPr>
          <w:rFonts w:ascii="IRNazanin" w:hAnsi="IRNazanin" w:eastAsia="IRNazanin" w:cs="IRNazanin"/>
          <w:lang w:bidi="fa-IR"/>
          <w:color w:val="111111"/>
          <w:sz w:val="28"/>
          <w:szCs w:val="28"/>
          <w:rtl/>
        </w:rPr>
        <w:t xml:space="preserve">٣. قائن؛ مدرسه جعفریه؛ شماره نسخه: ۶۶/۷</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کا: زین العابدين بن عبدالله خوانساری، تا: ۳ شوال ۱۲۸۳ق، جا: دولت آباد ملایر؛ مصحح، محشی با نشان «منه ادام الله ايام افاضته»؛ در برگ دوم مجموعه وقف نامه کتاب توسط «رضا قارنی» درسال ۱۳۵۰؛ جلد: تیماج قهوه ای ضربی، ۲۸ گ (۱۴۶-۱۷۲)، ۲۱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۲۲/۵سم [کتابخانه های قائن  - ف: ۵۸]</w:t>
      </w:r>
    </w:p>
    <w:p>
      <w:pPr>
        <w:pStyle w:val="BookText"/>
      </w:pPr>
      <w:r>
        <w:rPr>
          <w:rFonts w:ascii="IRNazanin" w:hAnsi="IRNazanin" w:eastAsia="IRNazanin" w:cs="IRNazanin"/>
          <w:lang w:bidi="fa-IR"/>
          <w:color w:val="111111"/>
          <w:sz w:val="28"/>
          <w:szCs w:val="28"/>
          <w:rtl/>
        </w:rPr>
        <w:t xml:space="preserve">قم؛ مرکز احیاء؛ شماره نسخه: ۱۷۲۰/۷</w:t>
      </w:r>
    </w:p>
    <w:p>
      <w:pPr>
        <w:pStyle w:val="BookText"/>
      </w:pPr>
      <w:r>
        <w:rPr>
          <w:rFonts w:ascii="IRNazanin" w:hAnsi="IRNazanin" w:eastAsia="IRNazanin" w:cs="IRNazanin"/>
          <w:lang w:bidi="fa-IR"/>
          <w:color w:val="111111"/>
          <w:sz w:val="28"/>
          <w:szCs w:val="28"/>
          <w:rtl/>
        </w:rPr>
        <w:t xml:space="preserve">نسخه اصل: همان نسخه بالا [عکسی ف: ۵ – ۱۷۶]</w:t>
      </w:r>
    </w:p>
    <w:p>
      <w:pPr>
        <w:pStyle w:val="BookText"/>
      </w:pPr>
      <w:r>
        <w:rPr>
          <w:rFonts w:ascii="IRNazanin" w:hAnsi="IRNazanin" w:eastAsia="IRNazanin" w:cs="IRNazanin"/>
          <w:lang w:bidi="fa-IR"/>
          <w:color w:val="111111"/>
          <w:sz w:val="28"/>
          <w:szCs w:val="28"/>
          <w:rtl/>
        </w:rPr>
        <w:t xml:space="preserve">۴ .قائن؛ مدرسه جعفریه؛ شماره نسخه: ۷۱/۴</w:t>
      </w:r>
    </w:p>
    <w:p>
      <w:pPr>
        <w:pStyle w:val="BookText"/>
      </w:pPr>
      <w:r>
        <w:rPr>
          <w:rFonts w:ascii="IRNazanin" w:hAnsi="IRNazanin" w:eastAsia="IRNazanin" w:cs="IRNazanin"/>
          <w:lang w:bidi="fa-IR"/>
          <w:color w:val="111111"/>
          <w:sz w:val="28"/>
          <w:szCs w:val="28"/>
          <w:rtl/>
        </w:rPr>
        <w:t xml:space="preserve">خط: نسخ، کا: میرزکی بن میر سید حسین؛ تا: دوشنبه ۹ ریع الاول ۱۲۹۰ق؛ مصحح، دارای  بلاغ، محشی با نشان «منه مدظله»؛ ۳۵گ، (۱۱۵-۱۴۵)، ۲۰ ،سطر، اندازه: ۱۷</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۲۲سم [ کتابخانه های قائن  - ف - ۶۴]</w:t>
      </w:r>
    </w:p>
    <w:p>
      <w:pPr>
        <w:pStyle w:val="BookText"/>
      </w:pPr>
      <w:r>
        <w:rPr>
          <w:rFonts w:ascii="IRNazanin" w:hAnsi="IRNazanin" w:eastAsia="IRNazanin" w:cs="IRNazanin"/>
          <w:lang w:bidi="fa-IR"/>
          <w:color w:val="111111"/>
          <w:sz w:val="28"/>
          <w:szCs w:val="28"/>
          <w:rtl/>
        </w:rPr>
        <w:t xml:space="preserve">قم؛ مرکز احیاء؛ شماره نسخه: ۱۷۱۳/۴</w:t>
      </w:r>
    </w:p>
    <w:p>
      <w:pPr>
        <w:pStyle w:val="BookText"/>
      </w:pPr>
      <w:r>
        <w:rPr>
          <w:rFonts w:ascii="IRNazanin" w:hAnsi="IRNazanin" w:eastAsia="IRNazanin" w:cs="IRNazanin"/>
          <w:lang w:bidi="fa-IR"/>
          <w:color w:val="111111"/>
          <w:sz w:val="28"/>
          <w:szCs w:val="28"/>
          <w:rtl/>
        </w:rPr>
        <w:t xml:space="preserve">نسخه اصل: همان نسخه بالا [ عکسی ف: ۵ - ۱۶۷]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86" w:name="pg20365_260274"/>
    <w:bookmarkEnd w:id="186"/>
    <w:p>
      <w:pPr>
        <w:pStyle w:val="BookText"/>
      </w:pPr>
      <w:r>
        <w:rPr>
          <w:rFonts w:ascii="IRNazanin" w:hAnsi="IRNazanin" w:eastAsia="IRNazanin" w:cs="IRNazanin"/>
          <w:lang w:bidi="fa-IR"/>
          <w:color w:val="111111"/>
          <w:sz w:val="28"/>
          <w:szCs w:val="28"/>
          <w:rtl/>
        </w:rPr>
        <w:t xml:space="preserve">۵. قائن؛ مدرسه جعفریه؛ شماره نسخه: ۹۸/۷</w:t>
      </w:r>
    </w:p>
    <w:p>
      <w:pPr>
        <w:pStyle w:val="BookText"/>
      </w:pPr>
      <w:r>
        <w:rPr>
          <w:rFonts w:ascii="IRNazanin" w:hAnsi="IRNazanin" w:eastAsia="IRNazanin" w:cs="IRNazanin"/>
          <w:lang w:bidi="fa-IR"/>
          <w:color w:val="111111"/>
          <w:sz w:val="28"/>
          <w:szCs w:val="28"/>
          <w:rtl/>
        </w:rPr>
        <w:t xml:space="preserve">خط: نسخ، بی کا، تا: ۱ رجب ۱۲۹۱ق؛ در برگ اول مجموعه نام رساله ها و یادداشتی از «حسین بن حاجی محمد خراسانی قائـنی» در سال ۱۲۹۷ درباره کتابت کتاب آمده و احتمالاً همو کاتب باشد ؛جلد: تیماج بدون مقوا، ۲۸گ (۱۴۵-۱۷۱)،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 کتابخانه های قائن - ف: ۸۶]</w:t>
      </w:r>
    </w:p>
    <w:p>
      <w:pPr>
        <w:pStyle w:val="BookText"/>
      </w:pPr>
      <w:r>
        <w:rPr>
          <w:rFonts w:ascii="IRNazanin" w:hAnsi="IRNazanin" w:eastAsia="IRNazanin" w:cs="IRNazanin"/>
          <w:lang w:bidi="fa-IR"/>
          <w:color w:val="111111"/>
          <w:sz w:val="28"/>
          <w:szCs w:val="28"/>
          <w:rtl/>
        </w:rPr>
        <w:t xml:space="preserve">قم؛ مرکز احیاء؛ شماره نسخه: ۱۷۱۸/۷</w:t>
      </w:r>
    </w:p>
    <w:p>
      <w:pPr>
        <w:pStyle w:val="BookText"/>
      </w:pPr>
      <w:r>
        <w:rPr>
          <w:rFonts w:ascii="IRNazanin" w:hAnsi="IRNazanin" w:eastAsia="IRNazanin" w:cs="IRNazanin"/>
          <w:lang w:bidi="fa-IR"/>
          <w:color w:val="111111"/>
          <w:sz w:val="28"/>
          <w:szCs w:val="28"/>
          <w:rtl/>
        </w:rPr>
        <w:t xml:space="preserve">نسخه اصل: همان نسخه بالا [ عکسی ف: ۵ - ۱۷۳]</w:t>
      </w:r>
    </w:p>
    <w:p>
      <w:pPr>
        <w:pStyle w:val="Heading3"/>
      </w:pPr>
      <w:bookmarkStart w:id="1160" w:name="_Toc682"/>
      <w:r>
        <w:t>الاستصحاب / استصحاب / عربی</w:t>
      </w:r>
      <w:bookmarkEnd w:id="1160"/>
    </w:p>
    <w:p>
      <w:pPr>
        <w:pStyle w:val="BookText"/>
      </w:pPr>
      <w:r>
        <w:rPr>
          <w:rFonts w:ascii="Times New Roman" w:hAnsi="Times New Roman" w:eastAsia="Times New Roman" w:cs="Times New Roman"/>
          <w:lang w:val="en-US" w:bidi="en-US"/>
          <w:color w:val="111111"/>
          <w:sz w:val="28"/>
          <w:szCs w:val="28"/>
          <w:rtl/>
        </w:rPr>
        <w:t xml:space="preserve">al-istiṣḥāb</w:t>
      </w:r>
    </w:p>
    <w:p>
      <w:pPr>
        <w:pStyle w:val="BookText"/>
      </w:pPr>
      <w:r>
        <w:rPr>
          <w:rFonts w:ascii="IRNazanin" w:hAnsi="IRNazanin" w:eastAsia="IRNazanin" w:cs="IRNazanin"/>
          <w:lang w:bidi="fa-IR"/>
          <w:color w:val="111111"/>
          <w:sz w:val="28"/>
          <w:szCs w:val="28"/>
          <w:rtl/>
        </w:rPr>
        <w:t xml:space="preserve">اصفهانی، محمد باقر بن محمد محسن، ق۱۳ قمری</w:t>
      </w:r>
    </w:p>
    <w:p>
      <w:pPr>
        <w:pStyle w:val="BookText"/>
      </w:pPr>
      <w:r>
        <w:rPr>
          <w:rFonts w:ascii="Times New Roman" w:hAnsi="Times New Roman" w:eastAsia="Times New Roman" w:cs="Times New Roman"/>
          <w:lang w:val="en-US" w:bidi="en-US"/>
          <w:color w:val="111111"/>
          <w:sz w:val="28"/>
          <w:szCs w:val="28"/>
          <w:rtl/>
        </w:rPr>
        <w:t xml:space="preserve">esfahānī, mohammad bāqer ebn-e mohammad mohsen</w:t>
      </w:r>
    </w:p>
    <w:p>
      <w:pPr>
        <w:pStyle w:val="BookText"/>
      </w:pPr>
      <w:r>
        <w:rPr>
          <w:rFonts w:ascii="Times New Roman" w:hAnsi="Times New Roman" w:eastAsia="Times New Roman" w:cs="Times New Roman"/>
          <w:lang w:val="en-US" w:bidi="en-US"/>
          <w:color w:val="111111"/>
          <w:sz w:val="28"/>
          <w:szCs w:val="28"/>
          <w:rtl/>
        </w:rPr>
        <w:t xml:space="preserve">(19c)</w:t>
      </w:r>
    </w:p>
    <w:p>
      <w:pPr>
        <w:pStyle w:val="BookText"/>
      </w:pPr>
      <w:r>
        <w:rPr>
          <w:rFonts w:ascii="IRNazanin" w:hAnsi="IRNazanin" w:eastAsia="IRNazanin" w:cs="IRNazanin"/>
          <w:lang w:bidi="fa-IR"/>
          <w:color w:val="111111"/>
          <w:sz w:val="28"/>
          <w:szCs w:val="28"/>
          <w:rtl/>
        </w:rPr>
        <w:t xml:space="preserve">تاریخ  تالیف: سه شنبه ۹ شعبان ۱۲۷۲ق</w:t>
      </w:r>
    </w:p>
    <w:p>
      <w:pPr>
        <w:pStyle w:val="BookText"/>
      </w:pPr>
      <w:r>
        <w:rPr>
          <w:rFonts w:ascii="IRNazanin" w:hAnsi="IRNazanin" w:eastAsia="IRNazanin" w:cs="IRNazanin"/>
          <w:lang w:bidi="fa-IR"/>
          <w:color w:val="111111"/>
          <w:sz w:val="28"/>
          <w:szCs w:val="28"/>
          <w:rtl/>
        </w:rPr>
        <w:t xml:space="preserve">در این رساله استدلالی در موضوع استصحاب بر پایه اخبار و احادیث و به روش شیخیه بحث شود و لذا از روش اصولیین  که بر پایه های عقلی بحث می کنند بسیار نکوهش می نماید.</w:t>
      </w:r>
    </w:p>
    <w:p>
      <w:pPr>
        <w:pStyle w:val="BookText"/>
      </w:pPr>
      <w:r>
        <w:rPr>
          <w:rFonts w:ascii="Amiri" w:hAnsi="Amiri" w:eastAsia="Amiri" w:cs="Amiri"/>
          <w:lang w:bidi="ar-SA"/>
          <w:color w:val="111111"/>
          <w:sz w:val="28"/>
          <w:szCs w:val="28"/>
          <w:rtl/>
        </w:rPr>
        <w:t xml:space="preserve">آغاز: الحمد لله رب العالمين... ان قاعدة الاستصحاب لما كانت من القواعد التي أفادها الأئمة الأطياب.</w:t>
      </w:r>
    </w:p>
    <w:p>
      <w:pPr>
        <w:pStyle w:val="BookText"/>
      </w:pPr>
      <w:r>
        <w:rPr>
          <w:rFonts w:ascii="IRNazanin" w:hAnsi="IRNazanin" w:eastAsia="IRNazanin" w:cs="IRNazanin"/>
          <w:lang w:bidi="fa-IR"/>
          <w:color w:val="111111"/>
          <w:sz w:val="28"/>
          <w:szCs w:val="28"/>
          <w:rtl/>
        </w:rPr>
        <w:t xml:space="preserve">انجام: و للقوم فى هذه المقامات تفاصيل عجيبة و كلمات غریبة طويت عن ذكرها لعدم فائدة تامة</w:t>
      </w:r>
    </w:p>
    <w:p>
      <w:pPr>
        <w:pStyle w:val="BookText"/>
      </w:pPr>
      <w:r>
        <w:rPr>
          <w:rFonts w:ascii="IRNazanin" w:hAnsi="IRNazanin" w:eastAsia="IRNazanin" w:cs="IRNazanin"/>
          <w:lang w:bidi="fa-IR"/>
          <w:color w:val="111111"/>
          <w:sz w:val="28"/>
          <w:szCs w:val="28"/>
          <w:rtl/>
        </w:rPr>
        <w:t xml:space="preserve">قم؛ مرعشی؛ شماره نسخه: ۷۳۷۲/۳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كاتب - مؤلف، بی تا؛ جلد: پارچه ای ۲۶گ (۶۶پ - ۹۱ ر) [ف ۱۹ - ۱۷۷]</w:t>
      </w:r>
    </w:p>
    <w:p>
      <w:pPr>
        <w:pStyle w:val="Heading3"/>
      </w:pPr>
      <w:bookmarkStart w:id="1161" w:name="_Toc683"/>
      <w:r>
        <w:t>الاستصحاب / استصحاب / عربی</w:t>
      </w:r>
      <w:bookmarkEnd w:id="1161"/>
    </w:p>
    <w:p>
      <w:pPr>
        <w:pStyle w:val="BookText"/>
      </w:pPr>
      <w:r>
        <w:rPr>
          <w:rFonts w:ascii="Times New Roman" w:hAnsi="Times New Roman" w:eastAsia="Times New Roman" w:cs="Times New Roman"/>
          <w:lang w:val="en-US" w:bidi="en-US"/>
          <w:color w:val="111111"/>
          <w:sz w:val="28"/>
          <w:szCs w:val="28"/>
          <w:rtl/>
        </w:rPr>
        <w:t xml:space="preserve">al-istiṣḥāb</w:t>
      </w:r>
    </w:p>
    <w:p>
      <w:pPr>
        <w:pStyle w:val="BookText"/>
      </w:pPr>
      <w:r>
        <w:rPr>
          <w:rFonts w:ascii="IRNazanin" w:hAnsi="IRNazanin" w:eastAsia="IRNazanin" w:cs="IRNazanin"/>
          <w:lang w:bidi="fa-IR"/>
          <w:color w:val="111111"/>
          <w:sz w:val="28"/>
          <w:szCs w:val="28"/>
          <w:rtl/>
        </w:rPr>
        <w:t xml:space="preserve">بهبهانی، غلامعلی ق۱۳ قمری</w:t>
      </w:r>
    </w:p>
    <w:p>
      <w:pPr>
        <w:pStyle w:val="BookText"/>
      </w:pPr>
      <w:r>
        <w:rPr>
          <w:rFonts w:ascii="Times New Roman" w:hAnsi="Times New Roman" w:eastAsia="Times New Roman" w:cs="Times New Roman"/>
          <w:lang w:val="en-US" w:bidi="en-US"/>
          <w:color w:val="111111"/>
          <w:sz w:val="28"/>
          <w:szCs w:val="28"/>
          <w:rtl/>
        </w:rPr>
        <w:t xml:space="preserve">(behbahānī, qolām ‘alī (- 19c)</w:t>
      </w:r>
    </w:p>
    <w:p>
      <w:pPr>
        <w:pStyle w:val="BookText"/>
      </w:pPr>
      <w:r>
        <w:rPr>
          <w:rFonts w:ascii="IRNazanin" w:hAnsi="IRNazanin" w:eastAsia="IRNazanin" w:cs="IRNazanin"/>
          <w:lang w:bidi="fa-IR"/>
          <w:color w:val="111111"/>
          <w:sz w:val="28"/>
          <w:szCs w:val="28"/>
          <w:rtl/>
        </w:rPr>
        <w:t xml:space="preserve">تقریرات درس اصول شیخ مرتضی انصاری</w:t>
      </w:r>
    </w:p>
    <w:p>
      <w:pPr>
        <w:pStyle w:val="BookText"/>
      </w:pPr>
      <w:r>
        <w:rPr>
          <w:rFonts w:ascii="IRNazanin" w:hAnsi="IRNazanin" w:eastAsia="IRNazanin" w:cs="IRNazanin"/>
          <w:lang w:bidi="fa-IR"/>
          <w:color w:val="111111"/>
          <w:sz w:val="28"/>
          <w:szCs w:val="28"/>
          <w:rtl/>
        </w:rPr>
        <w:t xml:space="preserve">تهران؛ مجلس؛ شماره نسخه: ۳۴۲۹/۱</w:t>
      </w:r>
    </w:p>
    <w:p>
      <w:pPr>
        <w:pStyle w:val="BookText"/>
      </w:pPr>
      <w:r>
        <w:rPr>
          <w:rFonts w:ascii="Amiri" w:hAnsi="Amiri" w:eastAsia="Amiri" w:cs="Amiri"/>
          <w:lang w:bidi="ar-SA"/>
          <w:color w:val="111111"/>
          <w:sz w:val="28"/>
          <w:szCs w:val="28"/>
          <w:rtl/>
        </w:rPr>
        <w:t xml:space="preserve">آغاز: بسمله المسئله الرابعه فى الاستصحاب و قد عرف بتعاريف؛ انجام: الشك باسر هامع مراعات الاختصار و الاجتناب  عن الزوايد و التكرار عن زلاتنا انه عزيز غفار</w:t>
      </w:r>
    </w:p>
    <w:p>
      <w:pPr>
        <w:pStyle w:val="BookText"/>
      </w:pPr>
      <w:r>
        <w:rPr>
          <w:rFonts w:ascii="IRNazanin" w:hAnsi="IRNazanin" w:eastAsia="IRNazanin" w:cs="IRNazanin"/>
          <w:lang w:bidi="fa-IR"/>
          <w:color w:val="111111"/>
          <w:sz w:val="28"/>
          <w:szCs w:val="28"/>
          <w:rtl/>
        </w:rPr>
        <w:t xml:space="preserve">خط: نسخ، كا: حسن یزدی، تا: ۱۲۳۹ق؛ کاغذ: فرنگی نباتی رنگ، جلد: تیماج ضربی  آلبالویی، ۱۱۷ص (۱-۱۱۷)، ۲۰ سـطر، قطع: خشتی،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۱۰ - ۱۲۹۱]</w:t>
      </w:r>
    </w:p>
    <w:p>
      <w:pPr>
        <w:pStyle w:val="Heading3"/>
      </w:pPr>
      <w:bookmarkStart w:id="1162" w:name="_Toc684"/>
      <w:r>
        <w:t>الاستصحاب / استصحاب / عربی</w:t>
      </w:r>
      <w:bookmarkEnd w:id="1162"/>
    </w:p>
    <w:p>
      <w:pPr>
        <w:pStyle w:val="BookText"/>
      </w:pPr>
      <w:r>
        <w:rPr>
          <w:rFonts w:ascii="Times New Roman" w:hAnsi="Times New Roman" w:eastAsia="Times New Roman" w:cs="Times New Roman"/>
          <w:lang w:val="en-US" w:bidi="en-US"/>
          <w:color w:val="111111"/>
          <w:sz w:val="28"/>
          <w:szCs w:val="28"/>
          <w:rtl/>
        </w:rPr>
        <w:t xml:space="preserve">al-istiṣḥāb</w:t>
      </w:r>
    </w:p>
    <w:p>
      <w:pPr>
        <w:pStyle w:val="BookText"/>
      </w:pPr>
      <w:r>
        <w:rPr>
          <w:rFonts w:ascii="IRNazanin" w:hAnsi="IRNazanin" w:eastAsia="IRNazanin" w:cs="IRNazanin"/>
          <w:lang w:bidi="fa-IR"/>
          <w:color w:val="111111"/>
          <w:sz w:val="28"/>
          <w:szCs w:val="28"/>
          <w:rtl/>
        </w:rPr>
        <w:t xml:space="preserve">تویسرکانی، هادی بن عبد الرضا، ق ۱۳ قمری</w:t>
      </w:r>
    </w:p>
    <w:p>
      <w:pPr>
        <w:pStyle w:val="BookText"/>
      </w:pPr>
      <w:r>
        <w:rPr>
          <w:rFonts w:ascii="Times New Roman" w:hAnsi="Times New Roman" w:eastAsia="Times New Roman" w:cs="Times New Roman"/>
          <w:lang w:val="en-US" w:bidi="en-US"/>
          <w:color w:val="111111"/>
          <w:sz w:val="28"/>
          <w:szCs w:val="28"/>
          <w:rtl/>
        </w:rPr>
        <w:t xml:space="preserve">(toyserkānī, hādī ebn-e 'abde rezā (- 19c)</w:t>
      </w:r>
    </w:p>
    <w:p>
      <w:pPr>
        <w:pStyle w:val="BookText"/>
      </w:pPr>
      <w:r>
        <w:rPr>
          <w:rFonts w:ascii="IRNazanin" w:hAnsi="IRNazanin" w:eastAsia="IRNazanin" w:cs="IRNazanin"/>
          <w:lang w:bidi="fa-IR"/>
          <w:color w:val="111111"/>
          <w:sz w:val="28"/>
          <w:szCs w:val="28"/>
          <w:rtl/>
        </w:rPr>
        <w:t xml:space="preserve">تاریخ تالیف: ۱۲۴۱ق؛ محل تألیف: کربلا مدرسه سردار</w:t>
      </w:r>
    </w:p>
    <w:p>
      <w:pPr>
        <w:pStyle w:val="BookText"/>
      </w:pPr>
      <w:r>
        <w:rPr>
          <w:rFonts w:ascii="IRNazanin" w:hAnsi="IRNazanin" w:eastAsia="IRNazanin" w:cs="IRNazanin"/>
          <w:lang w:bidi="fa-IR"/>
          <w:color w:val="111111"/>
          <w:sz w:val="28"/>
          <w:szCs w:val="28"/>
          <w:rtl/>
        </w:rPr>
        <w:t xml:space="preserve">رساله نسبتاً مفصلی است در بحث استصحاب که در ابتدا دارای هفت «مقدمه» است .۱ در این که آیا استصحاب اصل است یا دلیل؟ -۲ مسأله استصحاب آیا یک بحث اصولی است یا فقهی؟؛ ... ۷. در تأسیس اصل؛ سپس بحث از حجیت استصحاب کند ... تا آخر که تحت عنوان «خاتمه»؛ از شرایط عمل به استصحاب بحث می کند. برخی از موارد تحت عنوان «مقام و امر» و ... مطالب را بیان می دارد. در پشت صفحه اول با خط مغایر نوشته شده: «اصول تویسرکانی».</w:t>
      </w:r>
    </w:p>
    <w:p>
      <w:pPr>
        <w:pStyle w:val="BookText"/>
      </w:pPr>
      <w:r>
        <w:rPr>
          <w:rFonts w:ascii="Amiri" w:hAnsi="Amiri" w:eastAsia="Amiri" w:cs="Amiri"/>
          <w:lang w:bidi="ar-SA"/>
          <w:color w:val="111111"/>
          <w:sz w:val="28"/>
          <w:szCs w:val="28"/>
          <w:rtl/>
        </w:rPr>
        <w:t xml:space="preserve">آغاز: بسمله الحمد لله رب العالمين والصلوة والسلام على خير خلقه محمد ... اصل من جملة الاصول او الادلة الشرعية و العقليه او الشرعية و العقلية الاستصحاب و هو لغة</w:t>
      </w:r>
    </w:p>
    <w:p>
      <w:pPr>
        <w:pStyle w:val="BookText"/>
      </w:pPr>
      <w:r>
        <w:rPr>
          <w:rFonts w:ascii="Amiri" w:hAnsi="Amiri" w:eastAsia="Amiri" w:cs="Amiri"/>
          <w:lang w:bidi="ar-SA"/>
          <w:color w:val="111111"/>
          <w:sz w:val="28"/>
          <w:szCs w:val="28"/>
          <w:rtl/>
        </w:rPr>
        <w:t xml:space="preserve">انجام: و ما ذكرنا اولاً هو المعول هذا انتهى الكلام في باب  الاستصحاب.</w:t>
      </w:r>
    </w:p>
    <w:p>
      <w:pPr>
        <w:pStyle w:val="BookText"/>
      </w:pPr>
      <w:r>
        <w:rPr>
          <w:rFonts w:ascii="IRNazanin" w:hAnsi="IRNazanin" w:eastAsia="IRNazanin" w:cs="IRNazanin"/>
          <w:lang w:bidi="fa-IR"/>
          <w:color w:val="111111"/>
          <w:sz w:val="28"/>
          <w:szCs w:val="28"/>
          <w:rtl/>
        </w:rPr>
        <w:t xml:space="preserve">مشهد؛ گوهر شاد؛ شماره نسخه: ۱۳۸۲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شکسته نستعلیق  خوش، بی کا، تا: قرن ۱۴؛ کاغذ: فرنگی ،جلد: تیماج سبز ۱۹ سطر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اندازه: ۱۷/۵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۴  - 1968]</w:t>
      </w:r>
    </w:p>
    <w:p>
      <w:pPr>
        <w:pStyle w:val="Heading3"/>
      </w:pPr>
      <w:bookmarkStart w:id="1163" w:name="_Toc685"/>
      <w:r>
        <w:t>الاستصحاب / استصحاب / عربی</w:t>
      </w:r>
      <w:bookmarkEnd w:id="1163"/>
    </w:p>
    <w:p>
      <w:pPr>
        <w:pStyle w:val="BookText"/>
      </w:pPr>
      <w:r>
        <w:rPr>
          <w:rFonts w:ascii="Times New Roman" w:hAnsi="Times New Roman" w:eastAsia="Times New Roman" w:cs="Times New Roman"/>
          <w:lang w:val="en-US" w:bidi="en-US"/>
          <w:color w:val="111111"/>
          <w:sz w:val="28"/>
          <w:szCs w:val="28"/>
          <w:rtl/>
        </w:rPr>
        <w:t xml:space="preserve">al-istiṣḥāb</w:t>
      </w:r>
    </w:p>
    <w:p>
      <w:pPr>
        <w:pStyle w:val="BookText"/>
      </w:pPr>
      <w:r>
        <w:rPr>
          <w:rFonts w:ascii="IRNazanin" w:hAnsi="IRNazanin" w:eastAsia="IRNazanin" w:cs="IRNazanin"/>
          <w:lang w:bidi="fa-IR"/>
          <w:color w:val="111111"/>
          <w:sz w:val="28"/>
          <w:szCs w:val="28"/>
          <w:rtl/>
        </w:rPr>
        <w:t xml:space="preserve">حسینی یزدی، مرتضی، ق ۱۳ قمری</w:t>
      </w:r>
    </w:p>
    <w:p>
      <w:pPr>
        <w:pStyle w:val="BookText"/>
      </w:pPr>
      <w:r>
        <w:rPr>
          <w:rFonts w:ascii="Times New Roman" w:hAnsi="Times New Roman" w:eastAsia="Times New Roman" w:cs="Times New Roman"/>
          <w:lang w:val="en-US" w:bidi="en-US"/>
          <w:color w:val="111111"/>
          <w:sz w:val="28"/>
          <w:szCs w:val="28"/>
          <w:rtl/>
        </w:rPr>
        <w:t xml:space="preserve">(hoseyni yazdī, morteza (- 19c)</w:t>
      </w:r>
    </w:p>
    <w:p>
      <w:pPr>
        <w:pStyle w:val="BookText"/>
      </w:pPr>
      <w:r>
        <w:rPr>
          <w:rFonts w:ascii="IRNazanin" w:hAnsi="IRNazanin" w:eastAsia="IRNazanin" w:cs="IRNazanin"/>
          <w:lang w:bidi="fa-IR"/>
          <w:color w:val="111111"/>
          <w:sz w:val="28"/>
          <w:szCs w:val="28"/>
          <w:rtl/>
        </w:rPr>
        <w:t xml:space="preserve">تهران؛ مجلس؛ شماره نسخه: ۱۴۶۵۳/۱</w:t>
      </w:r>
    </w:p>
    <w:p>
      <w:pPr>
        <w:pStyle w:val="BookText"/>
      </w:pPr>
      <w:r>
        <w:rPr>
          <w:rFonts w:ascii="Amiri" w:hAnsi="Amiri" w:eastAsia="Amiri" w:cs="Amiri"/>
          <w:lang w:bidi="ar-SA"/>
          <w:color w:val="111111"/>
          <w:sz w:val="28"/>
          <w:szCs w:val="28"/>
          <w:rtl/>
        </w:rPr>
        <w:t xml:space="preserve">آغاز: الحمد لله رب العالمين ... المورد الثانى في الاستصحابو هو لغة اخذ الشيء مصاحباً</w:t>
      </w:r>
    </w:p>
    <w:p>
      <w:pPr>
        <w:pStyle w:val="BookText"/>
      </w:pPr>
      <w:r>
        <w:rPr>
          <w:rFonts w:ascii="IRNazanin" w:hAnsi="IRNazanin" w:eastAsia="IRNazanin" w:cs="IRNazanin"/>
          <w:lang w:bidi="fa-IR"/>
          <w:color w:val="111111"/>
          <w:sz w:val="28"/>
          <w:szCs w:val="28"/>
          <w:rtl/>
        </w:rPr>
        <w:t xml:space="preserve">خط: نسخ، کاتب- مؤلف، تا: قرن ۱۳؛ جلد: تیماج زرشکی ضربی، ۶۱گ (۱پ-۶۱ر)، ۲۶ سطر،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۴۱ - ۱۴۴]</w:t>
      </w:r>
    </w:p>
    <w:p>
      <w:pPr>
        <w:pStyle w:val="Heading3"/>
      </w:pPr>
      <w:bookmarkStart w:id="1164" w:name="_Toc686"/>
      <w:r>
        <w:t>الاستصحاب / استصحاب / عربی</w:t>
      </w:r>
      <w:bookmarkEnd w:id="1164"/>
    </w:p>
    <w:p>
      <w:pPr>
        <w:pStyle w:val="BookText"/>
      </w:pPr>
      <w:r>
        <w:rPr>
          <w:rFonts w:ascii="Times New Roman" w:hAnsi="Times New Roman" w:eastAsia="Times New Roman" w:cs="Times New Roman"/>
          <w:lang w:val="en-US" w:bidi="en-US"/>
          <w:color w:val="111111"/>
          <w:sz w:val="28"/>
          <w:szCs w:val="28"/>
          <w:rtl/>
        </w:rPr>
        <w:t xml:space="preserve">al-istiṣḥāb</w:t>
      </w:r>
    </w:p>
    <w:p>
      <w:pPr>
        <w:pStyle w:val="BookText"/>
      </w:pPr>
      <w:r>
        <w:rPr>
          <w:rFonts w:ascii="IRNazanin" w:hAnsi="IRNazanin" w:eastAsia="IRNazanin" w:cs="IRNazanin"/>
          <w:lang w:bidi="fa-IR"/>
          <w:color w:val="111111"/>
          <w:sz w:val="28"/>
          <w:szCs w:val="28"/>
          <w:rtl/>
        </w:rPr>
        <w:t xml:space="preserve">سمنانی، محمد علی بن حاج بابا، ق۱۳ قمری</w:t>
      </w:r>
    </w:p>
    <w:p>
      <w:pPr>
        <w:pStyle w:val="BookText"/>
      </w:pPr>
      <w:r>
        <w:rPr>
          <w:rFonts w:ascii="Times New Roman" w:hAnsi="Times New Roman" w:eastAsia="Times New Roman" w:cs="Times New Roman"/>
          <w:lang w:val="en-US" w:bidi="en-US"/>
          <w:color w:val="111111"/>
          <w:sz w:val="28"/>
          <w:szCs w:val="28"/>
          <w:rtl/>
        </w:rPr>
        <w:t xml:space="preserve">(semnānī, mohammad ‘alī ebn-e hāj bābā (- 19c)</w:t>
      </w:r>
    </w:p>
    <w:p>
      <w:pPr>
        <w:pStyle w:val="BookText"/>
      </w:pPr>
      <w:r>
        <w:rPr>
          <w:rFonts w:ascii="IRNazanin" w:hAnsi="IRNazanin" w:eastAsia="IRNazanin" w:cs="IRNazanin"/>
          <w:lang w:bidi="fa-IR"/>
          <w:color w:val="111111"/>
          <w:sz w:val="28"/>
          <w:szCs w:val="28"/>
          <w:rtl/>
        </w:rPr>
        <w:t xml:space="preserve">تاریخ تألیف: نیمه قرن ۱۳ق و بعد از رحلت استاد.</w:t>
      </w:r>
    </w:p>
    <w:p>
      <w:pPr>
        <w:pStyle w:val="BookText"/>
      </w:pPr>
      <w:r>
        <w:rPr>
          <w:rFonts w:ascii="IRNazanin" w:hAnsi="IRNazanin" w:eastAsia="IRNazanin" w:cs="IRNazanin"/>
          <w:lang w:bidi="fa-IR"/>
          <w:color w:val="111111"/>
          <w:sz w:val="28"/>
          <w:szCs w:val="28"/>
          <w:rtl/>
        </w:rPr>
        <w:t xml:space="preserve">تألیفی است جامع در اثبات حجیت استصحاب مشتمل بر «مقصد» و یک «خاتمه»: ۱. حجيته و الكلام فيها يحتاج الى رسم مقدمات؛ ۲. فاعلم ان الكلام فيه فى ذكر التفاصيل و اثبات حجية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87" w:name="pg20365_260275"/>
    <w:bookmarkEnd w:id="187"/>
    <w:p>
      <w:pPr>
        <w:pStyle w:val="BookText"/>
      </w:pPr>
      <w:r>
        <w:rPr>
          <w:rFonts w:ascii="IRNazanin" w:hAnsi="IRNazanin" w:eastAsia="IRNazanin" w:cs="IRNazanin"/>
          <w:lang w:bidi="fa-IR"/>
          <w:color w:val="111111"/>
          <w:sz w:val="28"/>
          <w:szCs w:val="28"/>
          <w:rtl/>
        </w:rPr>
        <w:t xml:space="preserve">الاستصحاب؛ ٣. تحقيق مجرى الاستصحاب؛ ۴. اشتراط بـقاء الموضوع فى الاستصحاب؛ ۵. تعارض الاستصحابين؛ ۶. العـمل بالاستصحاب هل هو مشروط بالفحص عن المعارض ام لا؛ المقام [كذ] 7. فى انه هل يجوز التمسك بالاستصحاب في بـقاء احكام الثابتة فى الشرايع السابقة على شرعنا ام لا. با عنایت به بعضی شواهد مندرج در کتاب وی از شاگردان شریف العلـماء مازندرانی (- ۱۲۴۶ق) بوده است.</w:t>
      </w:r>
    </w:p>
    <w:p>
      <w:pPr>
        <w:pStyle w:val="BookText"/>
      </w:pPr>
      <w:r>
        <w:rPr>
          <w:rFonts w:ascii="IRNazanin" w:hAnsi="IRNazanin" w:eastAsia="IRNazanin" w:cs="IRNazanin"/>
          <w:lang w:bidi="fa-IR"/>
          <w:color w:val="111111"/>
          <w:sz w:val="28"/>
          <w:szCs w:val="28"/>
          <w:rtl/>
        </w:rPr>
        <w:t xml:space="preserve">مشهد؛ رضوی؛ شماره نسخه: ۱۴۴۳۱</w:t>
      </w:r>
    </w:p>
    <w:p>
      <w:pPr>
        <w:pStyle w:val="BookText"/>
      </w:pPr>
      <w:r>
        <w:rPr>
          <w:rFonts w:ascii="IRNazanin" w:hAnsi="IRNazanin" w:eastAsia="IRNazanin" w:cs="IRNazanin"/>
          <w:lang w:bidi="fa-IR"/>
          <w:color w:val="111111"/>
          <w:sz w:val="28"/>
          <w:szCs w:val="28"/>
          <w:rtl/>
        </w:rPr>
        <w:t xml:space="preserve">آغاز: پس از خطبه مختصر و نام مؤلف: هذه رسالة فى حـجیة الاستصحاب كتبتها فى غاية الاطناب و اودعت فيها طاعات خـلت عنها كلمات الاصحاب؛ انجام: اما اذا ثبت بالادلة الفقاهیة كاستصحاب و اصالة البراءة فلا كما ثبت في محله مفصلا.</w:t>
      </w:r>
    </w:p>
    <w:p>
      <w:pPr>
        <w:pStyle w:val="BookText"/>
      </w:pPr>
      <w:r>
        <w:rPr>
          <w:rFonts w:ascii="IRNazanin" w:hAnsi="IRNazanin" w:eastAsia="IRNazanin" w:cs="IRNazanin"/>
          <w:lang w:bidi="fa-IR"/>
          <w:color w:val="111111"/>
          <w:sz w:val="28"/>
          <w:szCs w:val="28"/>
          <w:rtl/>
        </w:rPr>
        <w:t xml:space="preserve">خط: نستعلیق، کا: علی هزار جریبی، تا: یک شنبه ۶ محرم یکشنبه 1260ق (در حیات مؤلف) ،جا: سمنان واقف: سید محمد باقر سبزواری،</w:t>
      </w:r>
    </w:p>
    <w:p>
      <w:pPr>
        <w:pStyle w:val="BookText"/>
      </w:pPr>
      <w:r>
        <w:rPr>
          <w:rFonts w:ascii="IRNazanin" w:hAnsi="IRNazanin" w:eastAsia="IRNazanin" w:cs="IRNazanin"/>
          <w:lang w:bidi="fa-IR"/>
          <w:color w:val="111111"/>
          <w:sz w:val="28"/>
          <w:szCs w:val="28"/>
          <w:rtl/>
        </w:rPr>
        <w:t xml:space="preserve">محرم۱۴۰۵؛ کاغذ: فرنگی آهار مهره شکری، جلد: میشن خرمایی، ۱۷۲گ، ۱۶ سطر، اندازه: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۱۶ - 15]</w:t>
      </w:r>
    </w:p>
    <w:p>
      <w:pPr>
        <w:pStyle w:val="Heading3"/>
      </w:pPr>
      <w:bookmarkStart w:id="1165" w:name="_Toc687"/>
      <w:r>
        <w:t>الاستصحاب / استصحاب / عربی</w:t>
      </w:r>
      <w:bookmarkEnd w:id="1165"/>
    </w:p>
    <w:p>
      <w:pPr>
        <w:pStyle w:val="BookText"/>
      </w:pPr>
      <w:r>
        <w:rPr>
          <w:rFonts w:ascii="Times New Roman" w:hAnsi="Times New Roman" w:eastAsia="Times New Roman" w:cs="Times New Roman"/>
          <w:lang w:val="en-US" w:bidi="en-US"/>
          <w:color w:val="111111"/>
          <w:sz w:val="28"/>
          <w:szCs w:val="28"/>
          <w:rtl/>
        </w:rPr>
        <w:t xml:space="preserve">al-istiṣḥāb</w:t>
      </w:r>
    </w:p>
    <w:p>
      <w:pPr>
        <w:pStyle w:val="BookText"/>
      </w:pPr>
      <w:r>
        <w:rPr>
          <w:rFonts w:ascii="IRNazanin" w:hAnsi="IRNazanin" w:eastAsia="IRNazanin" w:cs="IRNazanin"/>
          <w:lang w:bidi="fa-IR"/>
          <w:color w:val="111111"/>
          <w:sz w:val="28"/>
          <w:szCs w:val="28"/>
          <w:rtl/>
        </w:rPr>
        <w:t xml:space="preserve">عبدالوهاب بن محمد نصیر، ق۱۳ قمری</w:t>
      </w:r>
    </w:p>
    <w:p>
      <w:pPr>
        <w:pStyle w:val="BookText"/>
      </w:pPr>
      <w:r>
        <w:rPr>
          <w:rFonts w:ascii="Times New Roman" w:hAnsi="Times New Roman" w:eastAsia="Times New Roman" w:cs="Times New Roman"/>
          <w:lang w:val="en-US" w:bidi="en-US"/>
          <w:color w:val="111111"/>
          <w:sz w:val="28"/>
          <w:szCs w:val="28"/>
          <w:rtl/>
        </w:rPr>
        <w:t xml:space="preserve">(abd-ol-vahhāb ebn-e mohammad nasīr (- 19c)</w:t>
      </w:r>
    </w:p>
    <w:p>
      <w:pPr>
        <w:pStyle w:val="BookText"/>
      </w:pPr>
      <w:r>
        <w:rPr>
          <w:rFonts w:ascii="IRNazanin" w:hAnsi="IRNazanin" w:eastAsia="IRNazanin" w:cs="IRNazanin"/>
          <w:lang w:bidi="fa-IR"/>
          <w:color w:val="111111"/>
          <w:sz w:val="28"/>
          <w:szCs w:val="28"/>
          <w:rtl/>
        </w:rPr>
        <w:t xml:space="preserve">تاریخ تالیف: جمعه ۲۹ رمضان ۱۲۸۲ق</w:t>
      </w:r>
    </w:p>
    <w:p>
      <w:pPr>
        <w:pStyle w:val="BookText"/>
      </w:pPr>
      <w:r>
        <w:rPr>
          <w:rFonts w:ascii="IRNazanin" w:hAnsi="IRNazanin" w:eastAsia="IRNazanin" w:cs="IRNazanin"/>
          <w:lang w:bidi="fa-IR"/>
          <w:color w:val="111111"/>
          <w:sz w:val="28"/>
          <w:szCs w:val="28"/>
          <w:rtl/>
        </w:rPr>
        <w:t xml:space="preserve">رساله استدلالی است با نقل اقوال و رد و ایراد بسیار در مبحـث استصحاب.</w:t>
      </w:r>
    </w:p>
    <w:p>
      <w:pPr>
        <w:pStyle w:val="BookText"/>
      </w:pPr>
      <w:r>
        <w:rPr>
          <w:rFonts w:ascii="Amiri" w:hAnsi="Amiri" w:eastAsia="Amiri" w:cs="Amiri"/>
          <w:lang w:bidi="ar-SA"/>
          <w:color w:val="111111"/>
          <w:sz w:val="28"/>
          <w:szCs w:val="28"/>
          <w:rtl/>
        </w:rPr>
        <w:t xml:space="preserve">آغاز: الحمد لله محمود الالاء مشكور النعماء جزيل العطاء حسن البلاء حامل احبابه على المحجة البيضاء.</w:t>
      </w:r>
    </w:p>
    <w:p>
      <w:pPr>
        <w:pStyle w:val="BookText"/>
      </w:pPr>
      <w:r>
        <w:rPr>
          <w:rFonts w:ascii="IRNazanin" w:hAnsi="IRNazanin" w:eastAsia="IRNazanin" w:cs="IRNazanin"/>
          <w:lang w:bidi="fa-IR"/>
          <w:color w:val="111111"/>
          <w:sz w:val="28"/>
          <w:szCs w:val="28"/>
          <w:rtl/>
        </w:rPr>
        <w:t xml:space="preserve">انجام: التفاتاً الى عدم انصراف الاخبار اليه لورودها في مقام بـیان حكم آخر لا يلتفت اليه.</w:t>
      </w:r>
    </w:p>
    <w:p>
      <w:pPr>
        <w:pStyle w:val="BookText"/>
      </w:pPr>
      <w:r>
        <w:rPr>
          <w:rFonts w:ascii="IRNazanin" w:hAnsi="IRNazanin" w:eastAsia="IRNazanin" w:cs="IRNazanin"/>
          <w:lang w:bidi="fa-IR"/>
          <w:color w:val="111111"/>
          <w:sz w:val="28"/>
          <w:szCs w:val="28"/>
          <w:rtl/>
        </w:rPr>
        <w:t xml:space="preserve">قم؛ مرعشی؛ شماره نسخه: ۲۱۱۱/۱</w:t>
      </w:r>
    </w:p>
    <w:p>
      <w:pPr>
        <w:pStyle w:val="BookText"/>
      </w:pPr>
      <w:r>
        <w:rPr>
          <w:rFonts w:ascii="IRNazanin" w:hAnsi="IRNazanin" w:eastAsia="IRNazanin" w:cs="IRNazanin"/>
          <w:lang w:bidi="fa-IR"/>
          <w:color w:val="111111"/>
          <w:sz w:val="28"/>
          <w:szCs w:val="28"/>
          <w:rtl/>
        </w:rPr>
        <w:t xml:space="preserve">آغاز: الحمد لله محمود الآلاء مشكور النعماء جزيل العطاء حـسن البلاء حامل احبابه على المحجة البيضاء؛ انجام: التفاتاً الى عدم انصراف الاخبار اليه لورودها فى مقام بيان حكم آخر لا يلتفت الیه.</w:t>
      </w:r>
    </w:p>
    <w:p>
      <w:pPr>
        <w:pStyle w:val="BookText"/>
      </w:pPr>
      <w:r>
        <w:rPr>
          <w:rFonts w:ascii="IRNazanin" w:hAnsi="IRNazanin" w:eastAsia="IRNazanin" w:cs="IRNazanin"/>
          <w:lang w:bidi="fa-IR"/>
          <w:color w:val="111111"/>
          <w:sz w:val="28"/>
          <w:szCs w:val="28"/>
          <w:rtl/>
        </w:rPr>
        <w:t xml:space="preserve">خط: نسخ و نستعلیق کاتب - مؤلف، بی تا ؛جلد: تیماج قهوه ای، بدون مقوا، ۱۷گ (۱پ-۱۷ر)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۶ - ۱۲۳ ]</w:t>
      </w:r>
    </w:p>
    <w:p>
      <w:pPr>
        <w:pStyle w:val="Heading3"/>
      </w:pPr>
      <w:bookmarkStart w:id="1166" w:name="_Toc688"/>
      <w:r>
        <w:t>الاستصحاب / استصحاب / عربی</w:t>
      </w:r>
      <w:bookmarkEnd w:id="1166"/>
    </w:p>
    <w:p>
      <w:pPr>
        <w:pStyle w:val="BookText"/>
      </w:pPr>
      <w:r>
        <w:rPr>
          <w:rFonts w:ascii="Times New Roman" w:hAnsi="Times New Roman" w:eastAsia="Times New Roman" w:cs="Times New Roman"/>
          <w:lang w:val="en-US" w:bidi="en-US"/>
          <w:color w:val="111111"/>
          <w:sz w:val="28"/>
          <w:szCs w:val="28"/>
          <w:rtl/>
        </w:rPr>
        <w:t xml:space="preserve">al-istiṣḥāb</w:t>
      </w:r>
    </w:p>
    <w:p>
      <w:pPr>
        <w:pStyle w:val="BookText"/>
      </w:pPr>
      <w:r>
        <w:rPr>
          <w:rFonts w:ascii="IRNazanin" w:hAnsi="IRNazanin" w:eastAsia="IRNazanin" w:cs="IRNazanin"/>
          <w:lang w:bidi="fa-IR"/>
          <w:color w:val="111111"/>
          <w:sz w:val="28"/>
          <w:szCs w:val="28"/>
          <w:rtl/>
        </w:rPr>
        <w:t xml:space="preserve">گلپایگانی، ابراهیم بن محسن، ق۱۳ قمری</w:t>
      </w:r>
    </w:p>
    <w:p>
      <w:pPr>
        <w:pStyle w:val="BookText"/>
      </w:pPr>
      <w:r>
        <w:rPr>
          <w:rFonts w:ascii="Times New Roman" w:hAnsi="Times New Roman" w:eastAsia="Times New Roman" w:cs="Times New Roman"/>
          <w:lang w:val="en-US" w:bidi="en-US"/>
          <w:color w:val="111111"/>
          <w:sz w:val="28"/>
          <w:szCs w:val="28"/>
          <w:rtl/>
        </w:rPr>
        <w:t xml:space="preserve">(golpāygānī, ebrāhīm ebn-e mohsen (- 19c)</w:t>
      </w:r>
    </w:p>
    <w:p>
      <w:pPr>
        <w:pStyle w:val="BookText"/>
      </w:pPr>
      <w:r>
        <w:rPr>
          <w:rFonts w:ascii="IRNazanin" w:hAnsi="IRNazanin" w:eastAsia="IRNazanin" w:cs="IRNazanin"/>
          <w:lang w:bidi="fa-IR"/>
          <w:color w:val="111111"/>
          <w:sz w:val="28"/>
          <w:szCs w:val="28"/>
          <w:rtl/>
        </w:rPr>
        <w:t xml:space="preserve">تاریخ تالیف: ۲ صفر ۱۲۶۳ق؛ محل تالیف: بهبهان</w:t>
      </w:r>
    </w:p>
    <w:p>
      <w:pPr>
        <w:pStyle w:val="BookText"/>
      </w:pPr>
      <w:r>
        <w:rPr>
          <w:rFonts w:ascii="IRNazanin" w:hAnsi="IRNazanin" w:eastAsia="IRNazanin" w:cs="IRNazanin"/>
          <w:lang w:bidi="fa-IR"/>
          <w:color w:val="111111"/>
          <w:sz w:val="28"/>
          <w:szCs w:val="28"/>
          <w:rtl/>
        </w:rPr>
        <w:t xml:space="preserve">رساله ای مفصل و استدلالی است در استصحاب که به صورت شرح برکتابی نوشته شده است. گویا شرح بر بخش استصحاب  «فصول الغرویه» باشد.</w:t>
      </w:r>
    </w:p>
    <w:p>
      <w:pPr>
        <w:pStyle w:val="BookText"/>
      </w:pPr>
      <w:r>
        <w:rPr>
          <w:rFonts w:ascii="IRNazanin" w:hAnsi="IRNazanin" w:eastAsia="IRNazanin" w:cs="IRNazanin"/>
          <w:lang w:bidi="fa-IR"/>
          <w:color w:val="111111"/>
          <w:sz w:val="28"/>
          <w:szCs w:val="28"/>
          <w:rtl/>
        </w:rPr>
        <w:t xml:space="preserve">و طی چند «مقام» پیرامون استصحاب و مطالب مربوط به آن بحث شده است.</w:t>
      </w:r>
    </w:p>
    <w:p>
      <w:pPr>
        <w:pStyle w:val="BookText"/>
      </w:pPr>
      <w:r>
        <w:rPr>
          <w:rFonts w:ascii="Amiri" w:hAnsi="Amiri" w:eastAsia="Amiri" w:cs="Amiri"/>
          <w:lang w:bidi="ar-SA"/>
          <w:color w:val="111111"/>
          <w:sz w:val="28"/>
          <w:szCs w:val="28"/>
          <w:rtl/>
        </w:rPr>
        <w:t xml:space="preserve">آغاز: الحمد لله رب العالمين ... القول فى الاستصحاب و تحقيق الكلام فيه يستدعى رسم مقامات الاول في أنه من المسائل  الأصولية</w:t>
      </w:r>
    </w:p>
    <w:p>
      <w:pPr>
        <w:pStyle w:val="BookText"/>
      </w:pPr>
      <w:r>
        <w:rPr>
          <w:rFonts w:ascii="IRNazanin" w:hAnsi="IRNazanin" w:eastAsia="IRNazanin" w:cs="IRNazanin"/>
          <w:lang w:bidi="fa-IR"/>
          <w:color w:val="111111"/>
          <w:sz w:val="28"/>
          <w:szCs w:val="28"/>
          <w:rtl/>
        </w:rPr>
        <w:t xml:space="preserve">انجام: هذا غاية ما اردنا بیانه و قصدنا فى سلك التحرير تبیانه، و الحمد لله أولاً وآخراً و ظاهراً وباطناً</w:t>
      </w:r>
    </w:p>
    <w:p>
      <w:pPr>
        <w:pStyle w:val="BookText"/>
      </w:pPr>
      <w:r>
        <w:rPr>
          <w:rFonts w:ascii="IRNazanin" w:hAnsi="IRNazanin" w:eastAsia="IRNazanin" w:cs="IRNazanin"/>
          <w:lang w:bidi="fa-IR"/>
          <w:color w:val="111111"/>
          <w:sz w:val="28"/>
          <w:szCs w:val="28"/>
          <w:rtl/>
        </w:rPr>
        <w:t xml:space="preserve">۱.قم؛ مرعشی؛ شماره نسخه: ۸۱۰۶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انجام نسخه با کتاب «الفصول  الغروية» منطبق است؛ خط: نستعلیق کاتب - مؤلف، بی تا؛ مصحح، محشی از مؤلف؛ مهر: مؤلف «لا   اله الا الله الملك الحق المبين عبده محمد ابراهيم» (مربع)؛ جلد: مقوایی عطف تیماج قهوه ای، ۵۵گ، ۱۹ سطر،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۲۱ - ۱۱۰]</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قم؛ گلپایگانی؛ شماره نسخه: ۲۳۱۲/۲-۱۲/۲۰۲</w:t>
      </w:r>
    </w:p>
    <w:p>
      <w:pPr>
        <w:pStyle w:val="BookText"/>
      </w:pPr>
      <w:r>
        <w:rPr>
          <w:rFonts w:ascii="IRNazanin" w:hAnsi="IRNazanin" w:eastAsia="IRNazanin" w:cs="IRNazanin"/>
          <w:lang w:bidi="fa-IR"/>
          <w:color w:val="111111"/>
          <w:sz w:val="28"/>
          <w:szCs w:val="28"/>
          <w:rtl/>
        </w:rPr>
        <w:t xml:space="preserve">آغاز: برابر؛ انجام: يكون شك احدهما موجدا لشك آخر بحيث لو فرض عدم الشك فى الاول تترتب عليه عدمه فى آخر ومن هنا  سمی</w:t>
      </w:r>
    </w:p>
    <w:p>
      <w:pPr>
        <w:pStyle w:val="BookText"/>
      </w:pPr>
      <w:r>
        <w:rPr>
          <w:rFonts w:ascii="Amiri" w:hAnsi="Amiri" w:eastAsia="Amiri" w:cs="Amiri"/>
          <w:lang w:bidi="ar-SA"/>
          <w:color w:val="111111"/>
          <w:sz w:val="28"/>
          <w:szCs w:val="28"/>
          <w:rtl/>
        </w:rPr>
        <w:t xml:space="preserve">الاول بالمزيل والثانى بالمزال واما تسبب كل واحد.</w:t>
      </w:r>
    </w:p>
    <w:p>
      <w:pPr>
        <w:pStyle w:val="BookText"/>
      </w:pPr>
      <w:r>
        <w:rPr>
          <w:rFonts w:ascii="IRNazanin" w:hAnsi="IRNazanin" w:eastAsia="IRNazanin" w:cs="IRNazanin"/>
          <w:lang w:bidi="fa-IR"/>
          <w:color w:val="111111"/>
          <w:sz w:val="28"/>
          <w:szCs w:val="28"/>
          <w:rtl/>
        </w:rPr>
        <w:t xml:space="preserve">خط:نستعلیق شکسته، بی کا، تا: قرن ۱۳؛ افتادگی: انجام؛ جلد: تیماج مشكى مجدول ضربی با ترنج و سرترنج ضربی زر، ۷۳گ، ۱۴  سطر،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۱ - ۳۳۶]</w:t>
      </w:r>
    </w:p>
    <w:p>
      <w:pPr>
        <w:pStyle w:val="Heading3"/>
      </w:pPr>
      <w:bookmarkStart w:id="1167" w:name="_Toc689"/>
      <w:r>
        <w:t>الاستصحاب / استصحاب / عربی</w:t>
      </w:r>
      <w:bookmarkEnd w:id="1167"/>
    </w:p>
    <w:p>
      <w:pPr>
        <w:pStyle w:val="BookText"/>
      </w:pPr>
      <w:r>
        <w:rPr>
          <w:rFonts w:ascii="Times New Roman" w:hAnsi="Times New Roman" w:eastAsia="Times New Roman" w:cs="Times New Roman"/>
          <w:lang w:val="en-US" w:bidi="en-US"/>
          <w:color w:val="111111"/>
          <w:sz w:val="28"/>
          <w:szCs w:val="28"/>
          <w:rtl/>
        </w:rPr>
        <w:t xml:space="preserve">al-istiṣḥāb</w:t>
      </w:r>
    </w:p>
    <w:p>
      <w:pPr>
        <w:pStyle w:val="BookText"/>
      </w:pPr>
      <w:r>
        <w:rPr>
          <w:rFonts w:ascii="IRNazanin" w:hAnsi="IRNazanin" w:eastAsia="IRNazanin" w:cs="IRNazanin"/>
          <w:lang w:bidi="fa-IR"/>
          <w:color w:val="111111"/>
          <w:sz w:val="28"/>
          <w:szCs w:val="28"/>
          <w:rtl/>
        </w:rPr>
        <w:t xml:space="preserve">گیلانی، رضا بن غلامحسین، ق۱۳ قمری</w:t>
      </w:r>
    </w:p>
    <w:p>
      <w:pPr>
        <w:pStyle w:val="BookText"/>
      </w:pPr>
      <w:r>
        <w:rPr>
          <w:rFonts w:ascii="Times New Roman" w:hAnsi="Times New Roman" w:eastAsia="Times New Roman" w:cs="Times New Roman"/>
          <w:lang w:val="en-US" w:bidi="en-US"/>
          <w:color w:val="111111"/>
          <w:sz w:val="28"/>
          <w:szCs w:val="28"/>
          <w:rtl/>
        </w:rPr>
        <w:t xml:space="preserve">(gīlānī, rezā ben qolam-hoseyn (- 19c)</w:t>
      </w:r>
    </w:p>
    <w:p>
      <w:pPr>
        <w:pStyle w:val="BookText"/>
      </w:pPr>
      <w:r>
        <w:rPr>
          <w:rFonts w:ascii="IRNazanin" w:hAnsi="IRNazanin" w:eastAsia="IRNazanin" w:cs="IRNazanin"/>
          <w:lang w:bidi="fa-IR"/>
          <w:color w:val="111111"/>
          <w:sz w:val="28"/>
          <w:szCs w:val="28"/>
          <w:rtl/>
        </w:rPr>
        <w:t xml:space="preserve">رساله استدلالی بسیار مفصلی است در موضوع استصحاب با در نظر داشتن گفته های استادش شیخ مرتضی انصاری و خرده گرفتن از بعضی از آراء وی و رد بر آنها.</w:t>
      </w:r>
    </w:p>
    <w:p>
      <w:pPr>
        <w:pStyle w:val="BookText"/>
      </w:pPr>
      <w:r>
        <w:rPr>
          <w:rFonts w:ascii="IRNazanin" w:hAnsi="IRNazanin" w:eastAsia="IRNazanin" w:cs="IRNazanin"/>
          <w:lang w:bidi="fa-IR"/>
          <w:color w:val="111111"/>
          <w:sz w:val="28"/>
          <w:szCs w:val="28"/>
          <w:rtl/>
        </w:rPr>
        <w:t xml:space="preserve">قم؛ گلپایگانی؛ شماره نسخه: ۳۵۹۸-۱۸/۱۱۸</w:t>
      </w:r>
    </w:p>
    <w:p>
      <w:pPr>
        <w:pStyle w:val="BookText"/>
      </w:pPr>
      <w:r>
        <w:rPr>
          <w:rFonts w:ascii="Amiri" w:hAnsi="Amiri" w:eastAsia="Amiri" w:cs="Amiri"/>
          <w:lang w:bidi="ar-SA"/>
          <w:color w:val="111111"/>
          <w:sz w:val="28"/>
          <w:szCs w:val="28"/>
          <w:rtl/>
        </w:rPr>
        <w:t xml:space="preserve">آغاز: الحمد لله رب العالمين ... وقد كانت لمولانا وقد كانت لمولانا الشيخ استاد الاساتيد شرحاً يحصل للناظر عليه بصيرة في الاصول؛ انجام: واما القسم الثالث اعنى ما اذا ترتب اثر شرعى على كل من الاستصحابين ... اذمع العلم بالارتفاع لابد أن يكون المردد في الارتفاع هو عدم بقاء الحدث و نجاسة اليد.</w:t>
      </w:r>
    </w:p>
    <w:p>
      <w:pPr>
        <w:pStyle w:val="BookText"/>
      </w:pPr>
      <w:r>
        <w:rPr>
          <w:rFonts w:ascii="IRNazanin" w:hAnsi="IRNazanin" w:eastAsia="IRNazanin" w:cs="IRNazanin"/>
          <w:lang w:bidi="fa-IR"/>
          <w:color w:val="111111"/>
          <w:sz w:val="28"/>
          <w:szCs w:val="28"/>
          <w:rtl/>
        </w:rPr>
        <w:t xml:space="preserve">خط: نستعليق، كاتب - مؤلف، بی تا؛ مصحح؛ جلد: تيماج قرمز، مجدول ،گرهی ۱۵۶گ،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۱ - ۳۳۵]</w:t>
      </w:r>
    </w:p>
    <w:p>
      <w:pPr>
        <w:pStyle w:val="Heading3"/>
      </w:pPr>
      <w:bookmarkStart w:id="1168" w:name="_Toc690"/>
      <w:r>
        <w:t>الاستصحاب (تقريرات) / اصول فقه / عربی</w:t>
      </w:r>
      <w:bookmarkEnd w:id="1168"/>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88" w:name="pg20365_260276"/>
    <w:bookmarkEnd w:id="188"/>
    <w:p>
      <w:pPr>
        <w:pStyle w:val="BookText"/>
      </w:pPr>
      <w:r>
        <w:rPr>
          <w:rFonts w:ascii="Times New Roman" w:hAnsi="Times New Roman" w:eastAsia="Times New Roman" w:cs="Times New Roman"/>
          <w:lang w:val="en-US" w:bidi="en-US"/>
          <w:color w:val="111111"/>
          <w:sz w:val="28"/>
          <w:szCs w:val="28"/>
          <w:rtl/>
        </w:rPr>
        <w:t xml:space="preserve">(al-istiṣḥāb (taqrīrāt)</w:t>
      </w:r>
    </w:p>
    <w:p>
      <w:pPr>
        <w:pStyle w:val="BookText"/>
      </w:pPr>
      <w:r>
        <w:rPr>
          <w:rFonts w:ascii="IRNazanin" w:hAnsi="IRNazanin" w:eastAsia="IRNazanin" w:cs="IRNazanin"/>
          <w:lang w:bidi="fa-IR"/>
          <w:color w:val="111111"/>
          <w:sz w:val="28"/>
          <w:szCs w:val="28"/>
          <w:rtl/>
        </w:rPr>
        <w:t xml:space="preserve">فیضی، احمد بن محمد محسن، ق۱۳ قمری</w:t>
      </w:r>
    </w:p>
    <w:p>
      <w:pPr>
        <w:pStyle w:val="BookText"/>
      </w:pPr>
      <w:r>
        <w:rPr>
          <w:rFonts w:ascii="Times New Roman" w:hAnsi="Times New Roman" w:eastAsia="Times New Roman" w:cs="Times New Roman"/>
          <w:lang w:val="en-US" w:bidi="en-US"/>
          <w:color w:val="111111"/>
          <w:sz w:val="28"/>
          <w:szCs w:val="28"/>
          <w:rtl/>
        </w:rPr>
        <w:t xml:space="preserve">(feyzī, ahmad ebn-e mohammad mohsen (- 19c)</w:t>
      </w:r>
    </w:p>
    <w:p>
      <w:pPr>
        <w:pStyle w:val="BookText"/>
      </w:pPr>
      <w:r>
        <w:rPr>
          <w:rFonts w:ascii="IRNazanin" w:hAnsi="IRNazanin" w:eastAsia="IRNazanin" w:cs="IRNazanin"/>
          <w:lang w:bidi="fa-IR"/>
          <w:color w:val="111111"/>
          <w:sz w:val="28"/>
          <w:szCs w:val="28"/>
          <w:rtl/>
        </w:rPr>
        <w:t xml:space="preserve">تقریرات درس علامه انصاری (-۱۲۸۱) در بحث استصحاب می باشد.</w:t>
      </w:r>
    </w:p>
    <w:p>
      <w:pPr>
        <w:pStyle w:val="BookText"/>
      </w:pPr>
      <w:r>
        <w:rPr>
          <w:rFonts w:ascii="IRNazanin" w:hAnsi="IRNazanin" w:eastAsia="IRNazanin" w:cs="IRNazanin"/>
          <w:lang w:bidi="fa-IR"/>
          <w:color w:val="111111"/>
          <w:sz w:val="28"/>
          <w:szCs w:val="28"/>
          <w:rtl/>
        </w:rPr>
        <w:t xml:space="preserve">خوانسار؛ فاضل؛ شماره نسخه ۲۱۲</w:t>
      </w:r>
    </w:p>
    <w:p>
      <w:pPr>
        <w:pStyle w:val="BookText"/>
      </w:pPr>
      <w:r>
        <w:rPr>
          <w:rFonts w:ascii="IRNazanin" w:hAnsi="IRNazanin" w:eastAsia="IRNazanin" w:cs="IRNazanin"/>
          <w:lang w:bidi="fa-IR"/>
          <w:color w:val="111111"/>
          <w:sz w:val="28"/>
          <w:szCs w:val="28"/>
          <w:rtl/>
        </w:rPr>
        <w:t xml:space="preserve">آغاز: بسمله ... فالاستصحاب لغة أخذ الشيءمصاحباً وقد استعملها الفقهاء في هذا المعنى حيث قالوا أن الاستصحاب؛ انجام: فقاعدة الشغل فى الطريق مقتضى الفحص التام و أما فی الموضوعات فلا يلزم الفحص بالاتفاق</w:t>
      </w:r>
    </w:p>
    <w:p>
      <w:pPr>
        <w:pStyle w:val="BookText"/>
      </w:pPr>
      <w:r>
        <w:rPr>
          <w:rFonts w:ascii="IRNazanin" w:hAnsi="IRNazanin" w:eastAsia="IRNazanin" w:cs="IRNazanin"/>
          <w:lang w:bidi="fa-IR"/>
          <w:color w:val="111111"/>
          <w:sz w:val="28"/>
          <w:szCs w:val="28"/>
          <w:rtl/>
        </w:rPr>
        <w:t xml:space="preserve">خط: نستعلیق  نازیبا، کاتب - مؤلف، بی تا، محشی ،جلد: تیماج قهوه ای عطف تیماج  قرمز ،۱۹۱گ،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1- 164]</w:t>
      </w:r>
    </w:p>
    <w:p>
      <w:pPr>
        <w:pStyle w:val="BookText"/>
      </w:pPr>
      <w:r>
        <w:rPr>
          <w:rFonts w:ascii="IRNazanin" w:hAnsi="IRNazanin" w:eastAsia="IRNazanin" w:cs="IRNazanin"/>
          <w:lang w:bidi="fa-IR"/>
          <w:color w:val="111111"/>
          <w:sz w:val="28"/>
          <w:szCs w:val="28"/>
          <w:rtl/>
        </w:rPr>
        <w:t xml:space="preserve">قم؛ مرکز احیاء؛ شماره نسخه: ۲۱۷</w:t>
      </w:r>
    </w:p>
    <w:p>
      <w:pPr>
        <w:pStyle w:val="BookText"/>
      </w:pPr>
      <w:r>
        <w:rPr>
          <w:rFonts w:ascii="IRNazanin" w:hAnsi="IRNazanin" w:eastAsia="IRNazanin" w:cs="IRNazanin"/>
          <w:lang w:bidi="fa-IR"/>
          <w:color w:val="111111"/>
          <w:sz w:val="28"/>
          <w:szCs w:val="28"/>
          <w:rtl/>
        </w:rPr>
        <w:t xml:space="preserve">نسخه اصلی: همان نسخه بالا [ عکسی ف: ۱ - ۲۴۲]</w:t>
      </w:r>
    </w:p>
    <w:p>
      <w:pPr>
        <w:pStyle w:val="Heading3"/>
      </w:pPr>
      <w:bookmarkStart w:id="1169" w:name="_Toc691"/>
      <w:r>
        <w:t>استصحاب / اصول فقه / عربی</w:t>
      </w:r>
      <w:bookmarkEnd w:id="1169"/>
    </w:p>
    <w:p>
      <w:pPr>
        <w:pStyle w:val="BookText"/>
      </w:pPr>
      <w:r>
        <w:rPr>
          <w:rFonts w:ascii="Times New Roman" w:hAnsi="Times New Roman" w:eastAsia="Times New Roman" w:cs="Times New Roman"/>
          <w:lang w:val="en-US" w:bidi="en-US"/>
          <w:color w:val="111111"/>
          <w:sz w:val="28"/>
          <w:szCs w:val="28"/>
          <w:rtl/>
        </w:rPr>
        <w:t xml:space="preserve">istiṣḥāb</w:t>
      </w:r>
    </w:p>
    <w:p>
      <w:pPr>
        <w:pStyle w:val="BookText"/>
      </w:pPr>
      <w:r>
        <w:rPr>
          <w:rFonts w:ascii="IRNazanin" w:hAnsi="IRNazanin" w:eastAsia="IRNazanin" w:cs="IRNazanin"/>
          <w:lang w:bidi="fa-IR"/>
          <w:color w:val="111111"/>
          <w:sz w:val="28"/>
          <w:szCs w:val="28"/>
          <w:rtl/>
        </w:rPr>
        <w:t xml:space="preserve">مازندرانی</w:t>
      </w:r>
      <w:r>
        <w:rPr>
          <w:rFonts w:ascii="Times New Roman" w:hAnsi="Times New Roman" w:eastAsia="Times New Roman" w:cs="Times New Roman"/>
          <w:lang w:val="en-US" w:bidi="en-US"/>
          <w:color w:val="111111"/>
          <w:sz w:val="28"/>
          <w:szCs w:val="28"/>
          <w:rtl/>
        </w:rPr>
        <w:t xml:space="preserve">T </w:t>
      </w:r>
      <w:r>
        <w:rPr>
          <w:rFonts w:ascii="IRNazanin" w:hAnsi="IRNazanin" w:eastAsia="IRNazanin" w:cs="IRNazanin"/>
          <w:lang w:bidi="fa-IR"/>
          <w:color w:val="111111"/>
          <w:sz w:val="28"/>
          <w:szCs w:val="28"/>
          <w:rtl/>
        </w:rPr>
        <w:t xml:space="preserve">هاشم بن مسلم، ق۱۳ قمری</w:t>
      </w:r>
    </w:p>
    <w:p>
      <w:pPr>
        <w:pStyle w:val="BookText"/>
      </w:pPr>
      <w:r>
        <w:rPr>
          <w:rFonts w:ascii="Times New Roman" w:hAnsi="Times New Roman" w:eastAsia="Times New Roman" w:cs="Times New Roman"/>
          <w:lang w:val="en-US" w:bidi="en-US"/>
          <w:color w:val="111111"/>
          <w:sz w:val="28"/>
          <w:szCs w:val="28"/>
          <w:rtl/>
        </w:rPr>
        <w:t xml:space="preserve">(māzandarānī </w:t>
      </w:r>
      <w:r>
        <w:rPr>
          <w:rFonts w:ascii="IRNazanin" w:hAnsi="IRNazanin" w:eastAsia="IRNazanin" w:cs="IRNazanin"/>
          <w:lang w:bidi="fa-IR"/>
          <w:color w:val="111111"/>
          <w:sz w:val="28"/>
          <w:szCs w:val="28"/>
          <w:rtl/>
        </w:rPr>
        <w:t xml:space="preserve">،</w:t>
      </w:r>
      <w:r>
        <w:rPr>
          <w:rFonts w:ascii="Times New Roman" w:hAnsi="Times New Roman" w:eastAsia="Times New Roman" w:cs="Times New Roman"/>
          <w:lang w:val="en-US" w:bidi="en-US"/>
          <w:color w:val="111111"/>
          <w:sz w:val="28"/>
          <w:szCs w:val="28"/>
          <w:rtl/>
        </w:rPr>
        <w:t xml:space="preserve">hāšem-e bn-e moslem (- 19c)</w:t>
      </w:r>
    </w:p>
    <w:p>
      <w:pPr>
        <w:pStyle w:val="BookText"/>
      </w:pPr>
      <w:r>
        <w:rPr>
          <w:rFonts w:ascii="IRNazanin" w:hAnsi="IRNazanin" w:eastAsia="IRNazanin" w:cs="IRNazanin"/>
          <w:lang w:bidi="fa-IR"/>
          <w:color w:val="111111"/>
          <w:sz w:val="28"/>
          <w:szCs w:val="28"/>
          <w:rtl/>
        </w:rPr>
        <w:t xml:space="preserve">مشهد؛ رضوی؛ شماره نسخه: ۲۳۶۲۹</w:t>
      </w:r>
    </w:p>
    <w:p>
      <w:pPr>
        <w:pStyle w:val="BookText"/>
      </w:pPr>
      <w:r>
        <w:rPr>
          <w:rFonts w:ascii="Amiri" w:hAnsi="Amiri" w:eastAsia="Amiri" w:cs="Amiri"/>
          <w:lang w:bidi="ar-SA"/>
          <w:color w:val="111111"/>
          <w:sz w:val="28"/>
          <w:szCs w:val="28"/>
          <w:rtl/>
        </w:rPr>
        <w:t xml:space="preserve">آغاز: مسئلة اختلف الاصولين فى صحة الاستصحاب؛ انجام: واما القسم الرابع فهو كالقسم الثاني ۱۲۳۵...</w:t>
      </w:r>
    </w:p>
    <w:p>
      <w:pPr>
        <w:pStyle w:val="BookText"/>
      </w:pPr>
      <w:r>
        <w:rPr>
          <w:rFonts w:ascii="IRNazanin" w:hAnsi="IRNazanin" w:eastAsia="IRNazanin" w:cs="IRNazanin"/>
          <w:lang w:bidi="fa-IR"/>
          <w:color w:val="111111"/>
          <w:sz w:val="28"/>
          <w:szCs w:val="28"/>
          <w:rtl/>
        </w:rPr>
        <w:t xml:space="preserve">خط: نستعليق  تحریری، کا: مازندرانی، هاشم بن مسلم،  تا:۱۲۳۷ق؛ کاغذ ،نخودی ،جلد: مقوا [رایانه]</w:t>
      </w:r>
    </w:p>
    <w:p>
      <w:pPr>
        <w:pStyle w:val="Heading3"/>
      </w:pPr>
      <w:bookmarkStart w:id="1170" w:name="_Toc692"/>
      <w:r>
        <w:t>الاستصحاب / استصحاب / عربی</w:t>
      </w:r>
      <w:bookmarkEnd w:id="1170"/>
    </w:p>
    <w:p>
      <w:pPr>
        <w:pStyle w:val="BookText"/>
      </w:pPr>
      <w:r>
        <w:rPr>
          <w:rFonts w:ascii="Times New Roman" w:hAnsi="Times New Roman" w:eastAsia="Times New Roman" w:cs="Times New Roman"/>
          <w:lang w:val="en-US" w:bidi="en-US"/>
          <w:color w:val="111111"/>
          <w:sz w:val="28"/>
          <w:szCs w:val="28"/>
          <w:rtl/>
        </w:rPr>
        <w:t xml:space="preserve">al-istiṣḥāb</w:t>
      </w:r>
    </w:p>
    <w:p>
      <w:pPr>
        <w:pStyle w:val="BookText"/>
      </w:pPr>
      <w:r>
        <w:rPr>
          <w:rFonts w:ascii="IRNazanin" w:hAnsi="IRNazanin" w:eastAsia="IRNazanin" w:cs="IRNazanin"/>
          <w:lang w:bidi="fa-IR"/>
          <w:color w:val="111111"/>
          <w:sz w:val="28"/>
          <w:szCs w:val="28"/>
          <w:rtl/>
        </w:rPr>
        <w:t xml:space="preserve">بافقی  یزدی، محمد حسین بن علی، - ۱۳۱۳ قمری</w:t>
      </w:r>
    </w:p>
    <w:p>
      <w:pPr>
        <w:pStyle w:val="BookText"/>
      </w:pPr>
      <w:r>
        <w:rPr>
          <w:rFonts w:ascii="Times New Roman" w:hAnsi="Times New Roman" w:eastAsia="Times New Roman" w:cs="Times New Roman"/>
          <w:lang w:val="en-US" w:bidi="en-US"/>
          <w:color w:val="111111"/>
          <w:sz w:val="28"/>
          <w:szCs w:val="28"/>
          <w:rtl/>
        </w:rPr>
        <w:t xml:space="preserve">(fqi yazdı, mohammad hoseyn ebn-e ‘alī (- 1896)</w:t>
      </w:r>
    </w:p>
    <w:p>
      <w:pPr>
        <w:pStyle w:val="BookText"/>
      </w:pPr>
      <w:r>
        <w:rPr>
          <w:rFonts w:ascii="IRNazanin" w:hAnsi="IRNazanin" w:eastAsia="IRNazanin" w:cs="IRNazanin"/>
          <w:lang w:bidi="fa-IR"/>
          <w:color w:val="111111"/>
          <w:sz w:val="28"/>
          <w:szCs w:val="28"/>
          <w:rtl/>
        </w:rPr>
        <w:t xml:space="preserve">رساله استدلالی است که به دستور استاد خود آقا سید حسـن (طباطبائی حائری) که هنگام تحصیل نزد وی تحریر نموده است، دارای یک «مقدمه» و سه «وجیزه» و یک «خاتمـه» المقدمة فى تعريف الاستصحاب؛ وجيزه ١. تقسيمه وجيزه  2. تحقيق محل النزاع وجيزه ٣ .ذكر امور مهمة.</w:t>
      </w:r>
    </w:p>
    <w:p>
      <w:pPr>
        <w:pStyle w:val="BookText"/>
      </w:pPr>
      <w:r>
        <w:rPr>
          <w:rFonts w:ascii="IRNazanin" w:hAnsi="IRNazanin" w:eastAsia="IRNazanin" w:cs="IRNazanin"/>
          <w:lang w:bidi="fa-IR"/>
          <w:color w:val="111111"/>
          <w:sz w:val="28"/>
          <w:szCs w:val="28"/>
          <w:rtl/>
        </w:rPr>
        <w:t xml:space="preserve">آغاز: الحمد لله لجماله و کماله والصلاة والسلام على اشرف خلقه محمد و آله ... امرنا و وصانا معاشر الطلاب الاستاد الاتـقن السيد الاجل</w:t>
      </w:r>
    </w:p>
    <w:p>
      <w:pPr>
        <w:pStyle w:val="BookText"/>
      </w:pPr>
      <w:r>
        <w:rPr>
          <w:rFonts w:ascii="IRNazanin" w:hAnsi="IRNazanin" w:eastAsia="IRNazanin" w:cs="IRNazanin"/>
          <w:lang w:bidi="fa-IR"/>
          <w:color w:val="111111"/>
          <w:sz w:val="28"/>
          <w:szCs w:val="28"/>
          <w:rtl/>
        </w:rPr>
        <w:t xml:space="preserve">قم؛ مرکز احیاء؛ شماره نسخه: ۱۳۸۵/۵</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و نستعلیق، کاتب - مؤلف، بی تا ؛جلد: مقوایی عطف تیماج قرمز، ۲۵گ (۵۹۴-۶۱۸)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4- 215]</w:t>
      </w:r>
    </w:p>
    <w:p>
      <w:pPr>
        <w:pStyle w:val="Heading3"/>
      </w:pPr>
      <w:bookmarkStart w:id="1171" w:name="_Toc693"/>
      <w:r>
        <w:t>الاستصحاب / استصحاب / عربی</w:t>
      </w:r>
      <w:bookmarkEnd w:id="1171"/>
    </w:p>
    <w:p>
      <w:pPr>
        <w:pStyle w:val="BookText"/>
      </w:pPr>
      <w:r>
        <w:rPr>
          <w:rFonts w:ascii="Times New Roman" w:hAnsi="Times New Roman" w:eastAsia="Times New Roman" w:cs="Times New Roman"/>
          <w:lang w:val="en-US" w:bidi="en-US"/>
          <w:color w:val="111111"/>
          <w:sz w:val="28"/>
          <w:szCs w:val="28"/>
          <w:rtl/>
        </w:rPr>
        <w:t xml:space="preserve">al-istishab</w:t>
      </w:r>
    </w:p>
    <w:p>
      <w:pPr>
        <w:pStyle w:val="BookText"/>
      </w:pPr>
      <w:r>
        <w:rPr>
          <w:rFonts w:ascii="IRNazanin" w:hAnsi="IRNazanin" w:eastAsia="IRNazanin" w:cs="IRNazanin"/>
          <w:lang w:bidi="fa-IR"/>
          <w:color w:val="111111"/>
          <w:sz w:val="28"/>
          <w:szCs w:val="28"/>
          <w:rtl/>
        </w:rPr>
        <w:t xml:space="preserve">کلباسی، ابوالمعالی بن محمد ابراهیم، ۱۲۴۷ - ۱۳۱۵  قمری</w:t>
      </w:r>
    </w:p>
    <w:p>
      <w:pPr>
        <w:pStyle w:val="BookText"/>
      </w:pPr>
      <w:r>
        <w:rPr>
          <w:rFonts w:ascii="Times New Roman" w:hAnsi="Times New Roman" w:eastAsia="Times New Roman" w:cs="Times New Roman"/>
          <w:lang w:val="en-US" w:bidi="en-US"/>
          <w:color w:val="111111"/>
          <w:sz w:val="28"/>
          <w:szCs w:val="28"/>
          <w:rtl/>
        </w:rPr>
        <w:t xml:space="preserve">(1898-kalbāsī, ab-ol-ma'ālī ebn-e mohammad ebrāhīm (1832</w:t>
      </w:r>
    </w:p>
    <w:p>
      <w:pPr>
        <w:pStyle w:val="BookText"/>
      </w:pPr>
      <w:r>
        <w:rPr>
          <w:rFonts w:ascii="IRNazanin" w:hAnsi="IRNazanin" w:eastAsia="IRNazanin" w:cs="IRNazanin"/>
          <w:lang w:bidi="fa-IR"/>
          <w:color w:val="111111"/>
          <w:sz w:val="28"/>
          <w:szCs w:val="28"/>
          <w:rtl/>
        </w:rPr>
        <w:t xml:space="preserve">تاریخ تالیف: ۳۰ رجب ۱۲۹۶ق</w:t>
      </w:r>
    </w:p>
    <w:p>
      <w:pPr>
        <w:pStyle w:val="BookText"/>
      </w:pPr>
      <w:r>
        <w:rPr>
          <w:rFonts w:ascii="IRNazanin" w:hAnsi="IRNazanin" w:eastAsia="IRNazanin" w:cs="IRNazanin"/>
          <w:lang w:bidi="fa-IR"/>
          <w:color w:val="111111"/>
          <w:sz w:val="28"/>
          <w:szCs w:val="28"/>
          <w:rtl/>
        </w:rPr>
        <w:t xml:space="preserve">رساله ای در هشت «فصل» و هفت «تنبیه» در موضوع استصحاب.</w:t>
      </w:r>
    </w:p>
    <w:p>
      <w:pPr>
        <w:pStyle w:val="BookText"/>
      </w:pPr>
      <w:r>
        <w:rPr>
          <w:rFonts w:ascii="IRNazanin" w:hAnsi="IRNazanin" w:eastAsia="IRNazanin" w:cs="IRNazanin"/>
          <w:lang w:bidi="fa-IR"/>
          <w:color w:val="111111"/>
          <w:sz w:val="28"/>
          <w:szCs w:val="28"/>
          <w:rtl/>
        </w:rPr>
        <w:t xml:space="preserve">تهران؛ ملی؛ شماره نسخه: ۲۰۴۶/۱۲</w:t>
      </w:r>
    </w:p>
    <w:p>
      <w:pPr>
        <w:pStyle w:val="BookText"/>
      </w:pPr>
      <w:r>
        <w:rPr>
          <w:rFonts w:ascii="IRNazanin" w:hAnsi="IRNazanin" w:eastAsia="IRNazanin" w:cs="IRNazanin"/>
          <w:lang w:bidi="fa-IR"/>
          <w:color w:val="111111"/>
          <w:sz w:val="28"/>
          <w:szCs w:val="28"/>
          <w:rtl/>
        </w:rPr>
        <w:t xml:space="preserve">آغاز: بسملة و منه سبحانه الاستعانة وبعد: فهذه كلمات في اشتراط الاستصحاب بقاءالموضوع؛ انجام: و نظيره ما سمعت في  اصل الاشتراط المبحوث عنه هذا آخر ما اردناه من الكلام ...  الاتمام قد فرغ ابوالمعالي الشريف ابن محمد ابراهيم في اواخر ليلة الاثنين العشر العاشر من الثلث الثالث من الثلث الأول من الربع الثالث من العشر السادس من العشر التاسع من العشر الثالث من الالف الثانى من الهجرة ... (قطعه ای عربی با قافیه میم)</w:t>
      </w:r>
    </w:p>
    <w:p>
      <w:pPr>
        <w:pStyle w:val="BookText"/>
      </w:pPr>
      <w:r>
        <w:rPr>
          <w:rFonts w:ascii="IRNazanin" w:hAnsi="IRNazanin" w:eastAsia="IRNazanin" w:cs="IRNazanin"/>
          <w:lang w:bidi="fa-IR"/>
          <w:color w:val="111111"/>
          <w:sz w:val="28"/>
          <w:szCs w:val="28"/>
          <w:rtl/>
        </w:rPr>
        <w:t xml:space="preserve">خط: نستعلیق ،متوسط، بی کا، بی تا ؛جا: اصفهان؛ محشی با نشان «منه دام ظله»؛ کاغذ: اصفهانی ،نخودی ،جلد: مقوایی رویه ابری ته و گوشه تیماج سرخ ۱۹گ (۱۴۸-۱۶۶)، ابعاد متن: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۱۷/۵سم [ف: ۱۱ – ۱۷۶]</w:t>
      </w:r>
    </w:p>
    <w:p>
      <w:pPr>
        <w:pStyle w:val="Heading3"/>
      </w:pPr>
      <w:bookmarkStart w:id="1172" w:name="_Toc694"/>
      <w:r>
        <w:t>الاستصحاب = محجة العلماء / استصحاب / عربي</w:t>
      </w:r>
      <w:bookmarkEnd w:id="1172"/>
    </w:p>
    <w:p>
      <w:pPr>
        <w:pStyle w:val="BookText"/>
      </w:pPr>
      <w:r>
        <w:rPr>
          <w:rFonts w:ascii="Times New Roman" w:hAnsi="Times New Roman" w:eastAsia="Times New Roman" w:cs="Times New Roman"/>
          <w:lang w:val="en-US" w:bidi="en-US"/>
          <w:color w:val="111111"/>
          <w:sz w:val="28"/>
          <w:szCs w:val="28"/>
          <w:rtl/>
        </w:rPr>
        <w:t xml:space="preserve">al-istishab</w:t>
      </w:r>
    </w:p>
    <w:p>
      <w:pPr>
        <w:pStyle w:val="BookText"/>
      </w:pPr>
      <w:r>
        <w:rPr>
          <w:rFonts w:ascii="IRNazanin" w:hAnsi="IRNazanin" w:eastAsia="IRNazanin" w:cs="IRNazanin"/>
          <w:lang w:bidi="fa-IR"/>
          <w:color w:val="111111"/>
          <w:sz w:val="28"/>
          <w:szCs w:val="28"/>
          <w:rtl/>
        </w:rPr>
        <w:t xml:space="preserve">تهرانی، نجفی هادی بن محمد امین، – ۱۳۲۱ قمری</w:t>
      </w:r>
    </w:p>
    <w:p>
      <w:pPr>
        <w:pStyle w:val="BookText"/>
      </w:pPr>
      <w:r>
        <w:rPr>
          <w:rFonts w:ascii="Times New Roman" w:hAnsi="Times New Roman" w:eastAsia="Times New Roman" w:cs="Times New Roman"/>
          <w:lang w:val="en-US" w:bidi="en-US"/>
          <w:color w:val="111111"/>
          <w:sz w:val="28"/>
          <w:szCs w:val="28"/>
          <w:rtl/>
        </w:rPr>
        <w:t xml:space="preserve">(tehrānī najafī, hādī ebn-e mohammad amin (- 1903)</w:t>
      </w:r>
    </w:p>
    <w:p>
      <w:pPr>
        <w:pStyle w:val="BookText"/>
      </w:pPr>
      <w:r>
        <w:rPr>
          <w:rFonts w:ascii="IRNazanin" w:hAnsi="IRNazanin" w:eastAsia="IRNazanin" w:cs="IRNazanin"/>
          <w:lang w:bidi="fa-IR"/>
          <w:color w:val="111111"/>
          <w:sz w:val="28"/>
          <w:szCs w:val="28"/>
          <w:rtl/>
        </w:rPr>
        <w:t xml:space="preserve">بحث های مفصل استدلالی است در استصحاب که به درخواست یکی از دوستان مؤلف تدوین شده است. این کتاب بخشی از محجة العلماء مؤلف است.</w:t>
      </w:r>
    </w:p>
    <w:p>
      <w:pPr>
        <w:pStyle w:val="BookText"/>
      </w:pPr>
      <w:r>
        <w:rPr>
          <w:rFonts w:ascii="IRNazanin" w:hAnsi="IRNazanin" w:eastAsia="IRNazanin" w:cs="IRNazanin"/>
          <w:lang w:bidi="fa-IR"/>
          <w:color w:val="111111"/>
          <w:sz w:val="28"/>
          <w:szCs w:val="28"/>
          <w:rtl/>
        </w:rPr>
        <w:t xml:space="preserve">آغاز: بسمله حمدله صلاة... وبعد فيقول المسكين المستكين محمد هادی بن محمد امین قد سئلنى بعض من لا يسعنى مخالفته ان احرر في الاستصحاب</w:t>
      </w:r>
    </w:p>
    <w:p>
      <w:pPr>
        <w:pStyle w:val="BookText"/>
      </w:pPr>
      <w:r>
        <w:rPr>
          <w:rFonts w:ascii="IRNazanin" w:hAnsi="IRNazanin" w:eastAsia="IRNazanin" w:cs="IRNazanin"/>
          <w:lang w:bidi="fa-IR"/>
          <w:color w:val="111111"/>
          <w:sz w:val="28"/>
          <w:szCs w:val="28"/>
          <w:rtl/>
        </w:rPr>
        <w:t xml:space="preserve">انجام: او على وجه صحيح صادر من الغير وتمام الكلام فى الفروع فى الفقه لابد من التعرض لها فى الفقه فانتظر هذا تمام الكلام فى اصالة الصحة و ظهر بحمد الله تبارك و تعالى حالها صحة وسقما سقما و معارضة مع الاستصحاب و غيره و الحمد الله اولاً  و آخراً و ظاهراً وباطناً چاپ: این کتاب بخشی از محجة العلماء مؤلف است که به سال ۱۳۱۸ در تهرانبه چاپ رسیده؛ بی ناشر، ۱۳۲۰ ق.، ۱۳۳۳ صص</w:t>
      </w:r>
    </w:p>
    <w:p>
      <w:pPr>
        <w:pStyle w:val="BookText"/>
      </w:pPr>
      <w:r>
        <w:rPr>
          <w:rFonts w:ascii="Amiri" w:hAnsi="Amiri" w:eastAsia="Amiri" w:cs="Amiri"/>
          <w:lang w:bidi="ar-SA"/>
          <w:color w:val="111111"/>
          <w:sz w:val="28"/>
          <w:szCs w:val="28"/>
          <w:rtl/>
        </w:rPr>
        <w:t xml:space="preserve">[الذريعة ۲۵/۲؛ اعيان الشيعة ٨٢/١٠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مجلس؛ شماره نسخه: ۱۸۳۴۱ ض</w:t>
      </w:r>
    </w:p>
    <w:p>
      <w:pPr>
        <w:pStyle w:val="BookText"/>
      </w:pPr>
      <w:r>
        <w:rPr>
          <w:rFonts w:ascii="Amiri" w:hAnsi="Amiri" w:eastAsia="Amiri" w:cs="Amiri"/>
          <w:lang w:bidi="ar-SA"/>
          <w:color w:val="111111"/>
          <w:sz w:val="28"/>
          <w:szCs w:val="28"/>
          <w:rtl/>
        </w:rPr>
        <w:t xml:space="preserve">كا: كاتب - مؤلف، تا: قرن ۱۴ [د.ث. مجلس ]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۲. قم؛ گلپایگانی؛ شماره نسخه: ۶۲۵۰-۳۰/۱۳۰</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(از  اول استصحاب تا اول تنبيهات استصحاب) استصحاب و اصـالة الصحة؛ خط: نسخ ونستعليق خفى، كا: ظاهراً به خط مؤلف،تا: اوایل قرن ۱۴؛ جلد: تیماج سرخ با سه سرترنج مجدول گرهی، ۲۴۶گ، ۱۹-۲۱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۱- ۳۳۵]</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ملی؛ شماره نسخه: ۲۲۴۹</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متوسط، كاتب - مؤلف، بی تا؛ افتادگی: انجام؛  30 برگ پیش از این رساله نیز اصول فقه و ناشناخته است با همـین  خامه که گویا از محمد هادی بن محمد امین مؤلف استصحـاب باشد و نسخه چرکنویس اوست؛ در گ ۱۵۴ افزودگی و خط زدگی دیده می شود که جز از مؤلف  نشاید، رساله در مـیان صفحه ۲۱۹ با عبارت «الامر العاشر» به پایان می رسد؛ کاغذ: فرنگی سپید ،جلد: تیماج سرخ یک لا، آستر کاغذ نخودی، ۲۲۰گ، ۲۰ تا ۲۸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 و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و گاهی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 ف: 11- 643]</w:t>
      </w:r>
    </w:p>
    <w:p>
      <w:pPr>
        <w:pStyle w:val="BookText"/>
      </w:pPr>
      <w:r>
        <w:rPr>
          <w:rFonts w:ascii="IRNazanin" w:hAnsi="IRNazanin" w:eastAsia="IRNazanin" w:cs="IRNazanin"/>
          <w:lang w:bidi="fa-IR"/>
          <w:color w:val="111111"/>
          <w:sz w:val="28"/>
          <w:szCs w:val="28"/>
          <w:rtl/>
        </w:rPr>
        <w:t xml:space="preserve">۴. قم؛ معصومیه؛ شماره نسخه: ۵۹۵</w:t>
      </w:r>
    </w:p>
    <w:p>
      <w:pPr>
        <w:pStyle w:val="BookText"/>
      </w:pPr>
      <w:r>
        <w:rPr>
          <w:rFonts w:ascii="IRNazanin" w:hAnsi="IRNazanin" w:eastAsia="IRNazanin" w:cs="IRNazanin"/>
          <w:lang w:bidi="fa-IR"/>
          <w:color w:val="111111"/>
          <w:sz w:val="28"/>
          <w:szCs w:val="28"/>
          <w:rtl/>
        </w:rPr>
        <w:t xml:space="preserve">آغاز: الحمد لله ... فنقول ان الاستصحاب عند الفقهاء و الاصوليـین ممن سلف عبارة عن الجامع بين اربعة اصول؛ انجام: فان الاصل عدم السبب الناقل و من ذلك مالو ادعى انى اشتريت العبد فـقال بعتك .... انتهى</w:t>
      </w:r>
    </w:p>
    <w:p>
      <w:pPr>
        <w:pStyle w:val="BookText"/>
      </w:pPr>
      <w:r>
        <w:rPr>
          <w:rFonts w:ascii="IRNazanin" w:hAnsi="IRNazanin" w:eastAsia="IRNazanin" w:cs="IRNazanin"/>
          <w:lang w:bidi="fa-IR"/>
          <w:color w:val="111111"/>
          <w:sz w:val="28"/>
          <w:szCs w:val="28"/>
          <w:rtl/>
        </w:rPr>
        <w:t xml:space="preserve">خط: نسخ، بی کا، تا: قرن ۱۴؛ جلد: تیماج قهوه ای، ۱۹۵گ،  22سطر (9</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۲ - ۲۲۷]</w:t>
      </w:r>
    </w:p>
    <w:p>
      <w:pPr>
        <w:pStyle w:val="BookText"/>
      </w:pPr>
      <w:r>
        <w:rPr>
          <w:rFonts w:ascii="IRNazanin" w:hAnsi="IRNazanin" w:eastAsia="IRNazanin" w:cs="IRNazanin"/>
          <w:lang w:bidi="fa-IR"/>
          <w:color w:val="111111"/>
          <w:sz w:val="28"/>
          <w:szCs w:val="28"/>
          <w:rtl/>
        </w:rPr>
        <w:t xml:space="preserve">۵. اصفهان؛ علامه فانی (ضیاء الدین)؛ شماره نسخه:۶۹</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بی کا، تا: قرن  ۱۴، جلد: مقوایی ۱۸۹گ، ۲۳ سطر [  سه کتابخانه اصفهان - ف: ۱۵۱]</w:t>
      </w:r>
    </w:p>
    <w:p>
      <w:pPr>
        <w:pStyle w:val="BookText"/>
      </w:pPr>
      <w:r>
        <w:rPr>
          <w:rFonts w:ascii="IRNazanin" w:hAnsi="IRNazanin" w:eastAsia="IRNazanin" w:cs="IRNazanin"/>
          <w:lang w:bidi="fa-IR"/>
          <w:color w:val="111111"/>
          <w:sz w:val="28"/>
          <w:szCs w:val="28"/>
          <w:rtl/>
        </w:rPr>
        <w:t xml:space="preserve">6.. قم؛ گلپایگانی؛ شماره نسخه: ۶۲۳۹-۳۱/۱۱۹</w:t>
      </w:r>
    </w:p>
    <w:p>
      <w:pPr>
        <w:pStyle w:val="BookText"/>
      </w:pPr>
      <w:r>
        <w:rPr>
          <w:rFonts w:ascii="Amiri" w:hAnsi="Amiri" w:eastAsia="Amiri" w:cs="Amiri"/>
          <w:lang w:bidi="ar-SA"/>
          <w:color w:val="111111"/>
          <w:sz w:val="28"/>
          <w:szCs w:val="28"/>
          <w:rtl/>
        </w:rPr>
        <w:t xml:space="preserve">آغاز: برابر؛ انجام: استفادة الظن بالبقاء الفعلى المعنى  من الاستصحاب</w:t>
      </w:r>
    </w:p>
    <w:p>
      <w:pPr>
        <w:pStyle w:val="BookText"/>
      </w:pPr>
      <w:r>
        <w:rPr>
          <w:rFonts w:ascii="IRNazanin" w:hAnsi="IRNazanin" w:eastAsia="IRNazanin" w:cs="IRNazanin"/>
          <w:lang w:bidi="fa-IR"/>
          <w:color w:val="111111"/>
          <w:sz w:val="28"/>
          <w:szCs w:val="28"/>
          <w:rtl/>
        </w:rPr>
        <w:t xml:space="preserve">خط: نسخ، بی کا، تا: قرن ۱۴؛ افتادگی: انجام؛ مصحح؛ جلد: عطف تیماج، ۱۸۳گ، ۲۳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 - 335  ]</w:t>
      </w:r>
    </w:p>
    <w:p>
      <w:pPr>
        <w:pStyle w:val="BookText"/>
      </w:pPr>
      <w:r>
        <w:rPr>
          <w:rFonts w:ascii="IRNazanin" w:hAnsi="IRNazanin" w:eastAsia="IRNazanin" w:cs="IRNazanin"/>
          <w:lang w:bidi="fa-IR"/>
          <w:color w:val="111111"/>
          <w:sz w:val="28"/>
          <w:szCs w:val="28"/>
          <w:rtl/>
        </w:rPr>
        <w:t xml:space="preserve">۷. قم؛ مرعشی؛ شماره نسخه: ۱۵۲۱۱</w:t>
      </w:r>
    </w:p>
    <w:p>
      <w:pPr>
        <w:pStyle w:val="BookText"/>
      </w:pPr>
      <w:r>
        <w:rPr>
          <w:rFonts w:ascii="Amiri" w:hAnsi="Amiri" w:eastAsia="Amiri" w:cs="Amiri"/>
          <w:lang w:bidi="ar-SA"/>
          <w:color w:val="111111"/>
          <w:sz w:val="28"/>
          <w:szCs w:val="28"/>
          <w:rtl/>
        </w:rPr>
        <w:t xml:space="preserve">آغاز: برابر؛ انجام: والامام عليه السلام اجل من ان يصدر عنه  هذا الكلام و قد عرفت معنى كلمه الامر العاشر</w:t>
      </w:r>
    </w:p>
    <w:p>
      <w:pPr>
        <w:pStyle w:val="BookText"/>
      </w:pPr>
      <w:r>
        <w:rPr>
          <w:rFonts w:ascii="IRNazanin" w:hAnsi="IRNazanin" w:eastAsia="IRNazanin" w:cs="IRNazanin"/>
          <w:lang w:bidi="fa-IR"/>
          <w:color w:val="111111"/>
          <w:sz w:val="28"/>
          <w:szCs w:val="28"/>
          <w:rtl/>
        </w:rPr>
        <w:t xml:space="preserve">خط: نسخ، بی کا، تا: قرن ۱۴ :ترقیمه «۳ شنبه ۱۸ شهر ج 1 [شنبه ۱۰۸ شهر ج1] »،  مصحح، محشی، کاغذ: فرنگی، جـلد: تیماج مشکی ،مجدول، ۱۷۰گ ۱۹ سطر (۷/۵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۳۸ - ۶۱۷]</w:t>
      </w:r>
    </w:p>
    <w:p>
      <w:pPr>
        <w:pStyle w:val="BookText"/>
      </w:pPr>
      <w:r>
        <w:rPr>
          <w:rFonts w:ascii="IRNazanin" w:hAnsi="IRNazanin" w:eastAsia="IRNazanin" w:cs="IRNazanin"/>
          <w:lang w:bidi="fa-IR"/>
          <w:color w:val="111111"/>
          <w:sz w:val="28"/>
          <w:szCs w:val="28"/>
          <w:rtl/>
        </w:rPr>
        <w:t xml:space="preserve">۸. تهران؛ ملی؛ شماره نسخه: ۳۴۵۳/۲</w:t>
      </w:r>
    </w:p>
    <w:p>
      <w:pPr>
        <w:pStyle w:val="BookText"/>
      </w:pPr>
      <w:r>
        <w:rPr>
          <w:rFonts w:ascii="Amiri" w:hAnsi="Amiri" w:eastAsia="Amiri" w:cs="Amiri"/>
          <w:lang w:bidi="ar-SA"/>
          <w:color w:val="111111"/>
          <w:sz w:val="28"/>
          <w:szCs w:val="28"/>
          <w:rtl/>
        </w:rPr>
        <w:t xml:space="preserve">آغاز: برابر؛ انجام: و من ذلك ما لوادعى انى اشتريت العبد فـقال  تعبك اعر اللهم وفقنا لما تحب و ترضى</w:t>
      </w:r>
    </w:p>
    <w:p>
      <w:pPr>
        <w:pStyle w:val="BookText"/>
      </w:pPr>
      <w:r>
        <w:rPr>
          <w:rFonts w:ascii="IRNazanin" w:hAnsi="IRNazanin" w:eastAsia="IRNazanin" w:cs="IRNazanin"/>
          <w:lang w:bidi="fa-IR"/>
          <w:color w:val="111111"/>
          <w:sz w:val="28"/>
          <w:szCs w:val="28"/>
          <w:rtl/>
        </w:rPr>
        <w:t xml:space="preserve">خط: نستعلیق، بی کا، تا: ۱۳۰۱ق، جا: نجف؛ کاغذ:فرنگی ،نخودی، جلد: تیماج زرشکی مقوایی ضربی مجدول، اندرون، آستری  کاغذی ،۲۴۷گ، ۱۹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۱۵- ۲۶۸]</w:t>
      </w:r>
    </w:p>
    <w:p>
      <w:pPr>
        <w:pStyle w:val="BookText"/>
      </w:pPr>
      <w:r>
        <w:rPr>
          <w:rFonts w:ascii="IRNazanin" w:hAnsi="IRNazanin" w:eastAsia="IRNazanin" w:cs="IRNazanin"/>
          <w:lang w:bidi="fa-IR"/>
          <w:color w:val="111111"/>
          <w:sz w:val="28"/>
          <w:szCs w:val="28"/>
          <w:rtl/>
        </w:rPr>
        <w:t xml:space="preserve">۹. تهران؛ مجلس؛ شماره نسخه: ۱۸۴۰۱</w:t>
      </w:r>
    </w:p>
    <w:p>
      <w:pPr>
        <w:pStyle w:val="BookText"/>
      </w:pPr>
      <w:r>
        <w:rPr>
          <w:rFonts w:ascii="IRNazanin" w:hAnsi="IRNazanin" w:eastAsia="IRNazanin" w:cs="IRNazanin"/>
          <w:lang w:bidi="fa-IR"/>
          <w:color w:val="111111"/>
          <w:sz w:val="28"/>
          <w:szCs w:val="28"/>
          <w:rtl/>
        </w:rPr>
        <w:t xml:space="preserve">مطابق تقریر دوم مؤلف است و ممتاز است؛ بی کا، تا: ۱۳۱۰ق [د.ث. مجلس ]</w:t>
      </w:r>
    </w:p>
    <w:p>
      <w:pPr>
        <w:pStyle w:val="BookText"/>
      </w:pPr>
      <w:r>
        <w:rPr>
          <w:rFonts w:ascii="IRNazanin" w:hAnsi="IRNazanin" w:eastAsia="IRNazanin" w:cs="IRNazanin"/>
          <w:lang w:bidi="fa-IR"/>
          <w:color w:val="111111"/>
          <w:sz w:val="28"/>
          <w:szCs w:val="28"/>
          <w:rtl/>
        </w:rPr>
        <w:t xml:space="preserve">۱۰. قم؛ مرعشی؛ شماره نسخه: ۱۱۰۴۷/۲</w:t>
      </w:r>
    </w:p>
    <w:p>
      <w:pPr>
        <w:pStyle w:val="BookText"/>
      </w:pPr>
      <w:r>
        <w:rPr>
          <w:rFonts w:ascii="Amiri" w:hAnsi="Amiri" w:eastAsia="Amiri" w:cs="Amiri"/>
          <w:lang w:bidi="ar-SA"/>
          <w:color w:val="111111"/>
          <w:sz w:val="28"/>
          <w:szCs w:val="28"/>
          <w:rtl/>
        </w:rPr>
        <w:t xml:space="preserve">آغاز : فنقول ان الاستصحاب عند الفقهاء و الاصولين ممن سلف، عبارة عن الجامع بين اربعة اصول البرائة الاصلية الثابتة؛ انجام: فان الاصل عدم السبب الناقل و من ذلك لوادعي اني اشتريت العبد فقال بعتك</w:t>
      </w:r>
    </w:p>
    <w:p>
      <w:pPr>
        <w:pStyle w:val="BookText"/>
      </w:pPr>
      <w:r>
        <w:rPr>
          <w:rFonts w:ascii="IRNazanin" w:hAnsi="IRNazanin" w:eastAsia="IRNazanin" w:cs="IRNazanin"/>
          <w:lang w:bidi="fa-IR"/>
          <w:color w:val="111111"/>
          <w:sz w:val="28"/>
          <w:szCs w:val="28"/>
          <w:rtl/>
        </w:rPr>
        <w:t xml:space="preserve">خط: نسخ، بی کا، تا: ربیع الثانی ۱۳۱۶ق؛ کاغذ: فرنگی، جلد: زرشکی ضربی، مجدول با ترنج، ۹۵گ (12</w:t>
      </w:r>
      <w:r>
        <w:rPr>
          <w:rFonts w:ascii="Times New Roman" w:hAnsi="Times New Roman" w:eastAsia="Times New Roman" w:cs="Times New Roman"/>
          <w:lang w:val="en-US" w:bidi="en-US"/>
          <w:color w:val="111111"/>
          <w:sz w:val="28"/>
          <w:szCs w:val="28"/>
          <w:rtl/>
        </w:rPr>
        <w:t xml:space="preserve">×106)</w:t>
      </w:r>
      <w:r>
        <w:rPr>
          <w:rFonts w:ascii="IRNazanin" w:hAnsi="IRNazanin" w:eastAsia="IRNazanin" w:cs="IRNazanin"/>
          <w:lang w:bidi="fa-IR"/>
          <w:color w:val="111111"/>
          <w:sz w:val="28"/>
          <w:szCs w:val="28"/>
          <w:rtl/>
        </w:rPr>
        <w:t xml:space="preserve">، ۳۷ سطر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 اندازه ۲۰/۵۰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۳۰/۵سم [ف: ۲۸ - ۷۱]</w:t>
      </w:r>
    </w:p>
    <w:p>
      <w:pPr>
        <w:pStyle w:val="BookText"/>
      </w:pPr>
      <w:r>
        <w:rPr>
          <w:rFonts w:ascii="IRNazanin" w:hAnsi="IRNazanin" w:eastAsia="IRNazanin" w:cs="IRNazanin"/>
          <w:lang w:bidi="fa-IR"/>
          <w:color w:val="111111"/>
          <w:sz w:val="28"/>
          <w:szCs w:val="28"/>
          <w:rtl/>
        </w:rPr>
        <w:t xml:space="preserve">۱۱. قم؛ مرعشی شماره نسخه: ۱۰۹۸۰/۶</w:t>
      </w:r>
    </w:p>
    <w:p>
      <w:pPr>
        <w:pStyle w:val="BookText"/>
      </w:pPr>
      <w:r>
        <w:rPr>
          <w:rFonts w:ascii="IRNazanin" w:hAnsi="IRNazanin" w:eastAsia="IRNazanin" w:cs="IRNazanin"/>
          <w:lang w:bidi="fa-IR"/>
          <w:color w:val="111111"/>
          <w:sz w:val="28"/>
          <w:szCs w:val="28"/>
          <w:rtl/>
        </w:rPr>
        <w:t xml:space="preserve">خط: نستعلیق، کا: خاکمردانی  خوئی، بی تا؛ جلد: تیماج قهوه ای  ضربی،۵ گ (۱۵۷پ - ۱۶۲پ) ،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۲۷-۳۹۰]</w:t>
      </w:r>
    </w:p>
    <w:p>
      <w:pPr>
        <w:pStyle w:val="BookText"/>
      </w:pPr>
      <w:r>
        <w:rPr>
          <w:rFonts w:ascii="IRNazanin" w:hAnsi="IRNazanin" w:eastAsia="IRNazanin" w:cs="IRNazanin"/>
          <w:lang w:bidi="fa-IR"/>
          <w:color w:val="111111"/>
          <w:sz w:val="28"/>
          <w:szCs w:val="28"/>
          <w:rtl/>
        </w:rPr>
        <w:t xml:space="preserve">12.مشهد؛ الهیات شماره نسخه: ۲۲۳۵۵/۱</w:t>
      </w:r>
    </w:p>
    <w:p>
      <w:pPr>
        <w:pStyle w:val="BookText"/>
      </w:pPr>
      <w:r>
        <w:rPr>
          <w:rFonts w:ascii="Amiri" w:hAnsi="Amiri" w:eastAsia="Amiri" w:cs="Amiri"/>
          <w:lang w:bidi="ar-SA"/>
          <w:color w:val="111111"/>
          <w:sz w:val="28"/>
          <w:szCs w:val="28"/>
          <w:rtl/>
        </w:rPr>
        <w:t xml:space="preserve">آغاز: بسمله الحمد لله رب العالمين و ... اصل من جملة الادله  العقليه او الشرعيه</w:t>
      </w:r>
    </w:p>
    <w:p>
      <w:pPr>
        <w:pStyle w:val="BookText"/>
      </w:pPr>
      <w:r>
        <w:rPr>
          <w:rFonts w:ascii="IRNazanin" w:hAnsi="IRNazanin" w:eastAsia="IRNazanin" w:cs="IRNazanin"/>
          <w:lang w:bidi="fa-IR"/>
          <w:color w:val="111111"/>
          <w:sz w:val="28"/>
          <w:szCs w:val="28"/>
          <w:rtl/>
        </w:rPr>
        <w:t xml:space="preserve">خط: نسخ، بی کا، بی تا؛ افتادگی: انجام؛ کاغذ فرنگی آهار مهره نشان قرمز ؛جلد: تیماج آلبالویی  ضربی، ۲۳ سطر (۸/۵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w:t>
      </w:r>
    </w:p>
    <w:p>
      <w:pPr>
        <w:pStyle w:val="BookText"/>
      </w:pPr>
      <w:r>
        <w:rPr>
          <w:rFonts w:ascii="IRNazanin" w:hAnsi="IRNazanin" w:eastAsia="IRNazanin" w:cs="IRNazanin"/>
          <w:lang w:bidi="fa-IR"/>
          <w:color w:val="111111"/>
          <w:sz w:val="28"/>
          <w:szCs w:val="28"/>
          <w:rtl/>
        </w:rPr>
        <w:t xml:space="preserve">،اندازه: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۲ - ۲۲۲]</w:t>
      </w:r>
    </w:p>
    <w:p>
      <w:pPr>
        <w:pStyle w:val="BookText"/>
      </w:pPr>
      <w:r>
        <w:rPr>
          <w:rFonts w:ascii="IRNazanin" w:hAnsi="IRNazanin" w:eastAsia="IRNazanin" w:cs="IRNazanin"/>
          <w:lang w:bidi="fa-IR"/>
          <w:color w:val="111111"/>
          <w:sz w:val="28"/>
          <w:szCs w:val="28"/>
          <w:rtl/>
        </w:rPr>
        <w:t xml:space="preserve">۱۳. مشهد؛ مدرسه آیة الله خوئی؛ شماره نسخه: ۶۳</w:t>
      </w:r>
    </w:p>
    <w:p>
      <w:pPr>
        <w:pStyle w:val="BookText"/>
      </w:pPr>
      <w:r>
        <w:rPr>
          <w:rFonts w:ascii="IRNazanin" w:hAnsi="IRNazanin" w:eastAsia="IRNazanin" w:cs="IRNazanin"/>
          <w:lang w:bidi="fa-IR"/>
          <w:color w:val="111111"/>
          <w:sz w:val="28"/>
          <w:szCs w:val="28"/>
          <w:rtl/>
        </w:rPr>
        <w:t xml:space="preserve">خط: نسخ، بی کا،  بی تا؛ مصحح؛ جلد: تیماج قرمز، ۲۰۲گ، ۱۴سطر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:۳۸]</w:t>
      </w:r>
    </w:p>
    <w:p>
      <w:pPr>
        <w:pStyle w:val="BookText"/>
      </w:pPr>
      <w:r>
        <w:rPr>
          <w:rFonts w:ascii="IRNazanin" w:hAnsi="IRNazanin" w:eastAsia="IRNazanin" w:cs="IRNazanin"/>
          <w:lang w:bidi="fa-IR"/>
          <w:color w:val="111111"/>
          <w:sz w:val="28"/>
          <w:szCs w:val="28"/>
          <w:rtl/>
        </w:rPr>
        <w:t xml:space="preserve">۱۴. قم؛ مرعشی؛ شماره نسخه: ۶۹۶۳</w:t>
      </w:r>
    </w:p>
    <w:p>
      <w:pPr>
        <w:pStyle w:val="BookText"/>
      </w:pPr>
      <w:r>
        <w:rPr>
          <w:rFonts w:ascii="Amiri" w:hAnsi="Amiri" w:eastAsia="Amiri" w:cs="Amiri"/>
          <w:lang w:bidi="ar-SA"/>
          <w:color w:val="111111"/>
          <w:sz w:val="28"/>
          <w:szCs w:val="28"/>
          <w:rtl/>
        </w:rPr>
        <w:t xml:space="preserve">آغاز: برابر؛ انجام: و الامام عليه السلام أجل من أن يصدر منه هذا الكلام و قد عرفت كلامه الأمر العاشر</w:t>
      </w:r>
    </w:p>
    <w:p>
      <w:pPr>
        <w:pStyle w:val="BookText"/>
      </w:pPr>
      <w:r>
        <w:rPr>
          <w:rFonts w:ascii="IRNazanin" w:hAnsi="IRNazanin" w:eastAsia="IRNazanin" w:cs="IRNazanin"/>
          <w:lang w:bidi="fa-IR"/>
          <w:color w:val="111111"/>
          <w:sz w:val="28"/>
          <w:szCs w:val="28"/>
          <w:rtl/>
        </w:rPr>
        <w:t xml:space="preserve">خط: نسخ، بی کا بی تا؛ افتادگی: انجام؛ مصحح، مقابله کتاب به تاریخ ۱۴ صفر ۱۳۱۲ به پایان رسیده؛ جلد: تیماج قهوه ای ۱۱۳گ، ۲۴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 ۱۸ - ۱۴۳]</w:t>
      </w:r>
    </w:p>
    <w:p>
      <w:pPr>
        <w:pStyle w:val="BookText"/>
      </w:pPr>
      <w:r>
        <w:rPr>
          <w:rFonts w:ascii="IRNazanin" w:hAnsi="IRNazanin" w:eastAsia="IRNazanin" w:cs="IRNazanin"/>
          <w:lang w:bidi="fa-IR"/>
          <w:color w:val="111111"/>
          <w:sz w:val="28"/>
          <w:szCs w:val="28"/>
          <w:rtl/>
        </w:rPr>
        <w:t xml:space="preserve">۱۵. قم؛ مرکز مطالعات؛ شماره نسخه: ۳۶۳/۱</w:t>
      </w:r>
    </w:p>
    <w:p>
      <w:pPr>
        <w:pStyle w:val="BookText"/>
      </w:pPr>
      <w:r>
        <w:rPr>
          <w:rFonts w:ascii="Amiri" w:hAnsi="Amiri" w:eastAsia="Amiri" w:cs="Amiri"/>
          <w:lang w:bidi="ar-SA"/>
          <w:color w:val="111111"/>
          <w:sz w:val="28"/>
          <w:szCs w:val="28"/>
          <w:rtl/>
        </w:rPr>
        <w:t xml:space="preserve">آغاز: برابر؛ انجام: الزام المسلمين بنبوة النبي السابق و حقيقة دينه و الامام اجل من ان يصدر عنه هذا الكلام و قد عرفت كلامه الامر  العاشر</w:t>
      </w:r>
    </w:p>
    <w:p>
      <w:pPr>
        <w:pStyle w:val="BookText"/>
      </w:pPr>
      <w:r>
        <w:rPr>
          <w:rFonts w:ascii="IRNazanin" w:hAnsi="IRNazanin" w:eastAsia="IRNazanin" w:cs="IRNazanin"/>
          <w:lang w:bidi="fa-IR"/>
          <w:color w:val="111111"/>
          <w:sz w:val="28"/>
          <w:szCs w:val="28"/>
          <w:rtl/>
        </w:rPr>
        <w:t xml:space="preserve">خط: نستعلیق، بی کا، بی تا؛ افتادگی: انجام؛ ۱۰۸گ(۱پ- ۱۰۸پ)، ۲۵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۲۴سم [ف: ۱ - ۳۱۶]</w:t>
      </w:r>
    </w:p>
    <w:p>
      <w:pPr>
        <w:pStyle w:val="BookText"/>
      </w:pPr>
      <w:r>
        <w:rPr>
          <w:rFonts w:ascii="IRNazanin" w:hAnsi="IRNazanin" w:eastAsia="IRNazanin" w:cs="IRNazanin"/>
          <w:lang w:bidi="fa-IR"/>
          <w:color w:val="111111"/>
          <w:sz w:val="28"/>
          <w:szCs w:val="28"/>
          <w:rtl/>
        </w:rPr>
        <w:t xml:space="preserve">۱۶. تهران؛ ملی شماره نسخه: ۲۵۹۵۹</w:t>
      </w:r>
    </w:p>
    <w:p>
      <w:pPr>
        <w:pStyle w:val="BookText"/>
      </w:pPr>
      <w:r>
        <w:rPr>
          <w:rFonts w:ascii="IRNazanin" w:hAnsi="IRNazanin" w:eastAsia="IRNazanin" w:cs="IRNazanin"/>
          <w:lang w:bidi="fa-IR"/>
          <w:color w:val="111111"/>
          <w:sz w:val="28"/>
          <w:szCs w:val="28"/>
          <w:rtl/>
        </w:rPr>
        <w:t xml:space="preserve">بی کا، بی تا، خریداری از حوزه علمیه ولی عصر کرمان[رایانه ]</w:t>
      </w:r>
    </w:p>
    <w:p>
      <w:pPr>
        <w:pStyle w:val="BookText"/>
      </w:pPr>
      <w:r>
        <w:rPr>
          <w:rFonts w:ascii="IRNazanin" w:hAnsi="IRNazanin" w:eastAsia="IRNazanin" w:cs="IRNazanin"/>
          <w:lang w:bidi="fa-IR"/>
          <w:color w:val="111111"/>
          <w:sz w:val="28"/>
          <w:szCs w:val="28"/>
          <w:rtl/>
        </w:rPr>
        <w:t xml:space="preserve">۱۷. تهران؛ مجلس؛ شماره نسخه: ۱۳۶۲/۱ط</w:t>
      </w:r>
    </w:p>
    <w:p>
      <w:pPr>
        <w:pStyle w:val="BookText"/>
      </w:pPr>
      <w:r>
        <w:rPr>
          <w:rFonts w:ascii="Amiri" w:hAnsi="Amiri" w:eastAsia="Amiri" w:cs="Amiri"/>
          <w:lang w:bidi="ar-SA"/>
          <w:color w:val="111111"/>
          <w:sz w:val="28"/>
          <w:szCs w:val="28"/>
          <w:rtl/>
        </w:rPr>
        <w:t xml:space="preserve">آغاز: برابر؛ انجام؛ باحتمال الرافع حتى في الشبهة الحكمية فانه قد</w:t>
      </w:r>
    </w:p>
    <w:p>
      <w:pPr>
        <w:pStyle w:val="BookText"/>
      </w:pPr>
      <w:r>
        <w:rPr>
          <w:rFonts w:ascii="IRNazanin" w:hAnsi="IRNazanin" w:eastAsia="IRNazanin" w:cs="IRNazanin"/>
          <w:lang w:bidi="fa-IR"/>
          <w:color w:val="111111"/>
          <w:sz w:val="28"/>
          <w:szCs w:val="28"/>
          <w:rtl/>
        </w:rPr>
        <w:t xml:space="preserve">ص: 324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89" w:name="pg20365_260278"/>
    <w:bookmarkEnd w:id="189"/>
    <w:p>
      <w:pPr>
        <w:pStyle w:val="BookText"/>
      </w:pPr>
      <w:r>
        <w:rPr>
          <w:rFonts w:ascii="IRNazanin" w:hAnsi="IRNazanin" w:eastAsia="IRNazanin" w:cs="IRNazanin"/>
          <w:lang w:bidi="fa-IR"/>
          <w:color w:val="111111"/>
          <w:sz w:val="28"/>
          <w:szCs w:val="28"/>
          <w:rtl/>
        </w:rPr>
        <w:t xml:space="preserve">خط: نسخ ،کا: ابوالحسن خراسانی شیروانی، بی تا ،جلد: تیماج سـبز، ۳۳۹ ص (1- 339) ،۱۷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۲۴/۳ - ۸8  ]</w:t>
      </w:r>
    </w:p>
    <w:p>
      <w:pPr>
        <w:pStyle w:val="Heading3"/>
      </w:pPr>
      <w:bookmarkStart w:id="1173" w:name="_Toc695"/>
      <w:r>
        <w:t>استصحاب / اصول فقه / عربی</w:t>
      </w:r>
      <w:bookmarkEnd w:id="1173"/>
    </w:p>
    <w:p>
      <w:pPr>
        <w:pStyle w:val="BookText"/>
      </w:pPr>
      <w:r>
        <w:rPr>
          <w:rFonts w:ascii="Times New Roman" w:hAnsi="Times New Roman" w:eastAsia="Times New Roman" w:cs="Times New Roman"/>
          <w:lang w:val="en-US" w:bidi="en-US"/>
          <w:color w:val="111111"/>
          <w:sz w:val="28"/>
          <w:szCs w:val="28"/>
          <w:rtl/>
        </w:rPr>
        <w:t xml:space="preserve">stiṣḥāb</w:t>
      </w:r>
    </w:p>
    <w:p>
      <w:pPr>
        <w:pStyle w:val="BookText"/>
      </w:pPr>
      <w:r>
        <w:rPr>
          <w:rFonts w:ascii="IRNazanin" w:hAnsi="IRNazanin" w:eastAsia="IRNazanin" w:cs="IRNazanin"/>
          <w:lang w:bidi="fa-IR"/>
          <w:color w:val="111111"/>
          <w:sz w:val="28"/>
          <w:szCs w:val="28"/>
          <w:rtl/>
        </w:rPr>
        <w:t xml:space="preserve">آخوند خراسانی، محمد کاظم بن حسین، ۱۲۵۵  - ۱۳۲۹ قمری</w:t>
      </w:r>
    </w:p>
    <w:p>
      <w:pPr>
        <w:pStyle w:val="BookText"/>
      </w:pPr>
      <w:r>
        <w:rPr>
          <w:rFonts w:ascii="Times New Roman" w:hAnsi="Times New Roman" w:eastAsia="Times New Roman" w:cs="Times New Roman"/>
          <w:lang w:val="en-US" w:bidi="en-US"/>
          <w:color w:val="111111"/>
          <w:sz w:val="28"/>
          <w:szCs w:val="28"/>
          <w:rtl/>
        </w:rPr>
        <w:t xml:space="preserve">āxūnd-e xorāsānī, mohammad kāzem ebn-e hoseyn</w:t>
      </w:r>
    </w:p>
    <w:p>
      <w:pPr>
        <w:pStyle w:val="BookText"/>
      </w:pPr>
      <w:r>
        <w:rPr>
          <w:rFonts w:ascii="Times New Roman" w:hAnsi="Times New Roman" w:eastAsia="Times New Roman" w:cs="Times New Roman"/>
          <w:lang w:val="en-US" w:bidi="en-US"/>
          <w:color w:val="111111"/>
          <w:sz w:val="28"/>
          <w:szCs w:val="28"/>
          <w:rtl/>
        </w:rPr>
        <w:t xml:space="preserve">(1838- 1911)</w:t>
      </w:r>
    </w:p>
    <w:p>
      <w:pPr>
        <w:pStyle w:val="BookText"/>
      </w:pPr>
      <w:r>
        <w:rPr>
          <w:rFonts w:ascii="IRNazanin" w:hAnsi="IRNazanin" w:eastAsia="IRNazanin" w:cs="IRNazanin"/>
          <w:lang w:bidi="fa-IR"/>
          <w:color w:val="111111"/>
          <w:sz w:val="28"/>
          <w:szCs w:val="28"/>
          <w:rtl/>
        </w:rPr>
        <w:t xml:space="preserve">مشهد؛ رضوی؛ شماره نسخه: ۲۵۶۹۸</w:t>
      </w:r>
    </w:p>
    <w:p>
      <w:pPr>
        <w:pStyle w:val="BookText"/>
      </w:pPr>
      <w:r>
        <w:rPr>
          <w:rFonts w:ascii="Amiri" w:hAnsi="Amiri" w:eastAsia="Amiri" w:cs="Amiri"/>
          <w:lang w:bidi="ar-SA"/>
          <w:color w:val="111111"/>
          <w:sz w:val="28"/>
          <w:szCs w:val="28"/>
          <w:rtl/>
        </w:rPr>
        <w:t xml:space="preserve">آغاز: بسمله حمدله ... و هو اخذ الشيء مصاحبا؛ انجام: عن الدليل من الاحكام الشرعية... سنه ۱۳۰۵</w:t>
      </w:r>
    </w:p>
    <w:p>
      <w:pPr>
        <w:pStyle w:val="BookText"/>
      </w:pPr>
      <w:r>
        <w:rPr>
          <w:rFonts w:ascii="IRNazanin" w:hAnsi="IRNazanin" w:eastAsia="IRNazanin" w:cs="IRNazanin"/>
          <w:lang w:bidi="fa-IR"/>
          <w:color w:val="111111"/>
          <w:sz w:val="28"/>
          <w:szCs w:val="28"/>
          <w:rtl/>
        </w:rPr>
        <w:t xml:space="preserve">خط: نسخ، بی کا، بی تا [رایانه]</w:t>
      </w:r>
    </w:p>
    <w:p>
      <w:pPr>
        <w:pStyle w:val="Heading3"/>
      </w:pPr>
      <w:bookmarkStart w:id="1174" w:name="_Toc696"/>
      <w:r>
        <w:t>الاستصحاب / استصحاب / عربی</w:t>
      </w:r>
      <w:bookmarkEnd w:id="1174"/>
    </w:p>
    <w:p>
      <w:pPr>
        <w:pStyle w:val="BookText"/>
      </w:pPr>
      <w:r>
        <w:rPr>
          <w:rFonts w:ascii="Times New Roman" w:hAnsi="Times New Roman" w:eastAsia="Times New Roman" w:cs="Times New Roman"/>
          <w:lang w:val="en-US" w:bidi="en-US"/>
          <w:color w:val="111111"/>
          <w:sz w:val="28"/>
          <w:szCs w:val="28"/>
          <w:rtl/>
        </w:rPr>
        <w:t xml:space="preserve">al-istiṣḥāb</w:t>
      </w:r>
    </w:p>
    <w:p>
      <w:pPr>
        <w:pStyle w:val="BookText"/>
      </w:pPr>
      <w:r>
        <w:rPr>
          <w:rFonts w:ascii="IRNazanin" w:hAnsi="IRNazanin" w:eastAsia="IRNazanin" w:cs="IRNazanin"/>
          <w:lang w:bidi="fa-IR"/>
          <w:color w:val="111111"/>
          <w:sz w:val="28"/>
          <w:szCs w:val="28"/>
          <w:rtl/>
        </w:rPr>
        <w:t xml:space="preserve">تربتی، محمد تقی بن علی نقی، - ۱۳۳۰ قمری</w:t>
      </w:r>
    </w:p>
    <w:p>
      <w:pPr>
        <w:pStyle w:val="BookText"/>
      </w:pPr>
      <w:r>
        <w:rPr>
          <w:rFonts w:ascii="Times New Roman" w:hAnsi="Times New Roman" w:eastAsia="Times New Roman" w:cs="Times New Roman"/>
          <w:lang w:val="en-US" w:bidi="en-US"/>
          <w:color w:val="111111"/>
          <w:sz w:val="28"/>
          <w:szCs w:val="28"/>
          <w:rtl/>
        </w:rPr>
        <w:t xml:space="preserve">(torbatī, mohammad taqī ebn-e ‘alī naqī (- 1912)</w:t>
      </w:r>
    </w:p>
    <w:p>
      <w:pPr>
        <w:pStyle w:val="BookText"/>
      </w:pPr>
      <w:r>
        <w:rPr>
          <w:rFonts w:ascii="IRNazanin" w:hAnsi="IRNazanin" w:eastAsia="IRNazanin" w:cs="IRNazanin"/>
          <w:lang w:bidi="fa-IR"/>
          <w:color w:val="111111"/>
          <w:sz w:val="28"/>
          <w:szCs w:val="28"/>
          <w:rtl/>
        </w:rPr>
        <w:t xml:space="preserve">رساله مفصل استدلالی است که ظاهراً تقریر از افادات درسی یکی از تلامذه شیخ انصاری و شاید استادش میرزا حبیب الله رشتی باشد</w:t>
      </w:r>
    </w:p>
    <w:p>
      <w:pPr>
        <w:pStyle w:val="BookText"/>
      </w:pPr>
      <w:r>
        <w:rPr>
          <w:rFonts w:ascii="IRNazanin" w:hAnsi="IRNazanin" w:eastAsia="IRNazanin" w:cs="IRNazanin"/>
          <w:lang w:bidi="fa-IR"/>
          <w:color w:val="111111"/>
          <w:sz w:val="28"/>
          <w:szCs w:val="28"/>
          <w:rtl/>
        </w:rPr>
        <w:t xml:space="preserve">آغاز: پس از خطبه  مختصر اصل فى الاستصحاب و لابد ان يعـلم انه من اهم المقاصد المبحوث عنها في علم الاصول لاحتياج الفقيه اليد في كثير من الموارد الفقهيه من الموضوعات الشبهات الحكميه.</w:t>
      </w:r>
    </w:p>
    <w:p>
      <w:pPr>
        <w:pStyle w:val="BookText"/>
      </w:pPr>
      <w:r>
        <w:rPr>
          <w:rFonts w:ascii="Amiri" w:hAnsi="Amiri" w:eastAsia="Amiri" w:cs="Amiri"/>
          <w:lang w:bidi="ar-SA"/>
          <w:color w:val="111111"/>
          <w:sz w:val="28"/>
          <w:szCs w:val="28"/>
          <w:rtl/>
        </w:rPr>
        <w:t xml:space="preserve">انجام: كان العمل بالاستصحابين فيها موافقا للاحتياط من الموارد التى يليها المتتبع و الحمد لله اولا و اخرا</w:t>
      </w:r>
    </w:p>
    <w:p>
      <w:pPr>
        <w:pStyle w:val="BookText"/>
      </w:pPr>
      <w:r>
        <w:rPr>
          <w:rFonts w:ascii="IRNazanin" w:hAnsi="IRNazanin" w:eastAsia="IRNazanin" w:cs="IRNazanin"/>
          <w:lang w:bidi="fa-IR"/>
          <w:color w:val="111111"/>
          <w:sz w:val="28"/>
          <w:szCs w:val="28"/>
          <w:rtl/>
        </w:rPr>
        <w:t xml:space="preserve">١ . مشهد؛ رضوی؛ شماره نسخه ۱۲۷۳۲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نستعليق مخلوط به شکسته، بی کا، تا: ۱۳۰۴ق، جا: نجـف اشرف؛ واقف: حسین کی  استوان، آبان ۱۳۴۸؛ کاغذ: فرنگی آبی روشن، جلد: تیماج زرشکی، ۱۲۱گ، مختلف السطر ،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۲۹/۵سم [ف: ۱۶ - ۱۴]</w:t>
      </w:r>
    </w:p>
    <w:p>
      <w:pPr>
        <w:pStyle w:val="BookText"/>
      </w:pPr>
      <w:r>
        <w:rPr>
          <w:rFonts w:ascii="IRNazanin" w:hAnsi="IRNazanin" w:eastAsia="IRNazanin" w:cs="IRNazanin"/>
          <w:lang w:bidi="fa-IR"/>
          <w:color w:val="111111"/>
          <w:sz w:val="28"/>
          <w:szCs w:val="28"/>
          <w:rtl/>
        </w:rPr>
        <w:t xml:space="preserve">2.مشهد؛ رضوی؛ شماره نسخه: ۱۳۰۰۱/۱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و شکسته نستعلیق  خوش، بی کا، تا: ۱۳۰۶ق؛ کاغذ: فرنگی  نخودی، جلد: میشن  عنابی، ۲۱ سطر، اندازه : 18</w:t>
      </w:r>
      <w:r>
        <w:rPr>
          <w:rFonts w:ascii="Times New Roman" w:hAnsi="Times New Roman" w:eastAsia="Times New Roman" w:cs="Times New Roman"/>
          <w:lang w:val="en-US" w:bidi="en-US"/>
          <w:color w:val="111111"/>
          <w:sz w:val="28"/>
          <w:szCs w:val="28"/>
          <w:rtl/>
        </w:rPr>
        <w:t xml:space="preserve">×23/7[</w:t>
      </w:r>
      <w:r>
        <w:rPr>
          <w:rFonts w:ascii="IRNazanin" w:hAnsi="IRNazanin" w:eastAsia="IRNazanin" w:cs="IRNazanin"/>
          <w:lang w:bidi="fa-IR"/>
          <w:color w:val="111111"/>
          <w:sz w:val="28"/>
          <w:szCs w:val="28"/>
          <w:rtl/>
        </w:rPr>
        <w:t xml:space="preserve">ف: ۱۶ - ۴۰۷]</w:t>
      </w:r>
    </w:p>
    <w:p>
      <w:pPr>
        <w:pStyle w:val="Heading3"/>
      </w:pPr>
      <w:bookmarkStart w:id="1175" w:name="_Toc697"/>
      <w:r>
        <w:t>الاستصحاب / استصحاب / عربی</w:t>
      </w:r>
      <w:bookmarkEnd w:id="1175"/>
    </w:p>
    <w:p>
      <w:pPr>
        <w:pStyle w:val="BookText"/>
      </w:pPr>
      <w:r>
        <w:rPr>
          <w:rFonts w:ascii="Times New Roman" w:hAnsi="Times New Roman" w:eastAsia="Times New Roman" w:cs="Times New Roman"/>
          <w:lang w:val="en-US" w:bidi="en-US"/>
          <w:color w:val="111111"/>
          <w:sz w:val="28"/>
          <w:szCs w:val="28"/>
          <w:rtl/>
        </w:rPr>
        <w:t xml:space="preserve">al-istiṣḥāb</w:t>
      </w:r>
    </w:p>
    <w:p>
      <w:pPr>
        <w:pStyle w:val="BookText"/>
      </w:pPr>
      <w:r>
        <w:rPr>
          <w:rFonts w:ascii="IRNazanin" w:hAnsi="IRNazanin" w:eastAsia="IRNazanin" w:cs="IRNazanin"/>
          <w:lang w:bidi="fa-IR"/>
          <w:color w:val="111111"/>
          <w:sz w:val="28"/>
          <w:szCs w:val="28"/>
          <w:rtl/>
        </w:rPr>
        <w:t xml:space="preserve">حجت کوه کمری، محمد بن علی، ۱۳۱۰ - ۱۳۷۲ قمری</w:t>
      </w:r>
    </w:p>
    <w:p>
      <w:pPr>
        <w:pStyle w:val="BookText"/>
      </w:pPr>
      <w:r>
        <w:rPr>
          <w:rFonts w:ascii="Times New Roman" w:hAnsi="Times New Roman" w:eastAsia="Times New Roman" w:cs="Times New Roman"/>
          <w:lang w:val="en-US" w:bidi="en-US"/>
          <w:color w:val="111111"/>
          <w:sz w:val="28"/>
          <w:szCs w:val="28"/>
          <w:rtl/>
        </w:rPr>
        <w:t xml:space="preserve">(1953-hojjat-e kūh-kamari, mohammad ebn-e 'alī (1893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حجت کوهکمری؛ شماره نسخه: ۵۱/۹</w:t>
      </w:r>
    </w:p>
    <w:p>
      <w:pPr>
        <w:pStyle w:val="BookText"/>
      </w:pPr>
      <w:r>
        <w:rPr>
          <w:rFonts w:ascii="IRNazanin" w:hAnsi="IRNazanin" w:eastAsia="IRNazanin" w:cs="IRNazanin"/>
          <w:lang w:bidi="fa-IR"/>
          <w:color w:val="111111"/>
          <w:sz w:val="28"/>
          <w:szCs w:val="28"/>
          <w:rtl/>
        </w:rPr>
        <w:t xml:space="preserve">بعض تنبيهات الاستصحاب؛ خط: نستعلیق، کاتب - مؤلف، بی تا؛ مصحح، ناتمام [حجت کوهکمری-ف: ۵۱]</w:t>
      </w:r>
    </w:p>
    <w:p>
      <w:pPr>
        <w:pStyle w:val="BookText"/>
      </w:pPr>
      <w:r>
        <w:rPr>
          <w:rFonts w:ascii="IRNazanin" w:hAnsi="IRNazanin" w:eastAsia="IRNazanin" w:cs="IRNazanin"/>
          <w:lang w:bidi="fa-IR"/>
          <w:color w:val="111111"/>
          <w:sz w:val="28"/>
          <w:szCs w:val="28"/>
          <w:rtl/>
        </w:rPr>
        <w:t xml:space="preserve">2.قم؛ حجت کوهکمری؛ شماره نسخه: ۵۱/۱۳</w:t>
      </w:r>
    </w:p>
    <w:p>
      <w:pPr>
        <w:pStyle w:val="BookText"/>
      </w:pPr>
      <w:r>
        <w:rPr>
          <w:rFonts w:ascii="IRNazanin" w:hAnsi="IRNazanin" w:eastAsia="IRNazanin" w:cs="IRNazanin"/>
          <w:lang w:bidi="fa-IR"/>
          <w:color w:val="111111"/>
          <w:sz w:val="28"/>
          <w:szCs w:val="28"/>
          <w:rtl/>
        </w:rPr>
        <w:t xml:space="preserve">خط: نستعليق، كاتب - مؤلف، بی تا؛ مصحح، ناتمام [حجت  کوهکمری-ف: ۵۱  ]</w:t>
      </w:r>
    </w:p>
    <w:p>
      <w:pPr>
        <w:pStyle w:val="Heading3"/>
      </w:pPr>
      <w:bookmarkStart w:id="1176" w:name="_Toc698"/>
      <w:r>
        <w:t>الاستصحاب / استصحاب / عربی</w:t>
      </w:r>
      <w:bookmarkEnd w:id="1176"/>
    </w:p>
    <w:p>
      <w:pPr>
        <w:pStyle w:val="BookText"/>
      </w:pPr>
      <w:r>
        <w:rPr>
          <w:rFonts w:ascii="Times New Roman" w:hAnsi="Times New Roman" w:eastAsia="Times New Roman" w:cs="Times New Roman"/>
          <w:lang w:val="en-US" w:bidi="en-US"/>
          <w:color w:val="111111"/>
          <w:sz w:val="28"/>
          <w:szCs w:val="28"/>
          <w:rtl/>
        </w:rPr>
        <w:t xml:space="preserve">al-istishab</w:t>
      </w:r>
    </w:p>
    <w:p>
      <w:pPr>
        <w:pStyle w:val="BookText"/>
      </w:pPr>
      <w:r>
        <w:rPr>
          <w:rFonts w:ascii="IRNazanin" w:hAnsi="IRNazanin" w:eastAsia="IRNazanin" w:cs="IRNazanin"/>
          <w:lang w:bidi="fa-IR"/>
          <w:color w:val="111111"/>
          <w:sz w:val="28"/>
          <w:szCs w:val="28"/>
          <w:rtl/>
        </w:rPr>
        <w:t xml:space="preserve">علامه حائری  مازندرانی، محمد صالح بن فضل الله،  ۱۲۹۷ - ۱۳۹۱ قمری</w:t>
      </w:r>
    </w:p>
    <w:p>
      <w:pPr>
        <w:pStyle w:val="BookText"/>
      </w:pPr>
      <w:r>
        <w:rPr>
          <w:rFonts w:ascii="Times New Roman" w:hAnsi="Times New Roman" w:eastAsia="Times New Roman" w:cs="Times New Roman"/>
          <w:lang w:val="en-US" w:bidi="en-US"/>
          <w:color w:val="111111"/>
          <w:sz w:val="28"/>
          <w:szCs w:val="28"/>
          <w:rtl/>
        </w:rPr>
        <w:t xml:space="preserve">'allame hā'erī mazandarānī, mohammad saleh ebn-e</w:t>
      </w:r>
    </w:p>
    <w:p>
      <w:pPr>
        <w:pStyle w:val="BookText"/>
      </w:pPr>
      <w:r>
        <w:rPr>
          <w:rFonts w:ascii="Times New Roman" w:hAnsi="Times New Roman" w:eastAsia="Times New Roman" w:cs="Times New Roman"/>
          <w:lang w:val="en-US" w:bidi="en-US"/>
          <w:color w:val="111111"/>
          <w:sz w:val="28"/>
          <w:szCs w:val="28"/>
          <w:rtl/>
        </w:rPr>
        <w:t xml:space="preserve">(fazl-ol-lah (1880 - 1971)</w:t>
      </w:r>
    </w:p>
    <w:p>
      <w:pPr>
        <w:pStyle w:val="BookText"/>
      </w:pPr>
      <w:r>
        <w:rPr>
          <w:rFonts w:ascii="IRNazanin" w:hAnsi="IRNazanin" w:eastAsia="IRNazanin" w:cs="IRNazanin"/>
          <w:lang w:bidi="fa-IR"/>
          <w:color w:val="111111"/>
          <w:sz w:val="28"/>
          <w:szCs w:val="28"/>
          <w:rtl/>
        </w:rPr>
        <w:t xml:space="preserve">تاریخ ختم تأليف: دهه اول رجب ۱۳۲۲.</w:t>
      </w:r>
    </w:p>
    <w:p>
      <w:pPr>
        <w:pStyle w:val="BookText"/>
      </w:pPr>
      <w:r>
        <w:rPr>
          <w:rFonts w:ascii="IRNazanin" w:hAnsi="IRNazanin" w:eastAsia="IRNazanin" w:cs="IRNazanin"/>
          <w:lang w:bidi="fa-IR"/>
          <w:color w:val="111111"/>
          <w:sz w:val="28"/>
          <w:szCs w:val="28"/>
          <w:rtl/>
        </w:rPr>
        <w:t xml:space="preserve">رساله ای است مفصل و استدلالی در استصحاب و احتمالاً بخشی  از کتاب مفصل او باشد.</w:t>
      </w:r>
    </w:p>
    <w:p>
      <w:pPr>
        <w:pStyle w:val="BookText"/>
      </w:pPr>
      <w:r>
        <w:rPr>
          <w:rFonts w:ascii="IRNazanin" w:hAnsi="IRNazanin" w:eastAsia="IRNazanin" w:cs="IRNazanin"/>
          <w:lang w:bidi="fa-IR"/>
          <w:color w:val="111111"/>
          <w:sz w:val="28"/>
          <w:szCs w:val="28"/>
          <w:rtl/>
        </w:rPr>
        <w:t xml:space="preserve">مشهد رضوی؛ شماره نسخه: ۱۱۴۰۳</w:t>
      </w:r>
    </w:p>
    <w:p>
      <w:pPr>
        <w:pStyle w:val="BookText"/>
      </w:pPr>
      <w:r>
        <w:rPr>
          <w:rFonts w:ascii="IRNazanin" w:hAnsi="IRNazanin" w:eastAsia="IRNazanin" w:cs="IRNazanin"/>
          <w:lang w:bidi="fa-IR"/>
          <w:color w:val="111111"/>
          <w:sz w:val="28"/>
          <w:szCs w:val="28"/>
          <w:rtl/>
        </w:rPr>
        <w:t xml:space="preserve">آغاز: المقام الرابع فى الاستصحاب الذي لا يهمنا الافصاح عن وضع كلمته و ابانة مجاری استعمال؛ انجام: الا اذا شك بعد احراز النيابة بقول العادل فى الصحة فيجرى حسبما سمعت هذا ما جرى به القلم عن ترتيب بحث الاستاد الاعظم متعنا الله ببقاه و ادام ظله و  مد مداه.</w:t>
      </w:r>
    </w:p>
    <w:p>
      <w:pPr>
        <w:pStyle w:val="BookText"/>
      </w:pPr>
      <w:r>
        <w:rPr>
          <w:rFonts w:ascii="IRNazanin" w:hAnsi="IRNazanin" w:eastAsia="IRNazanin" w:cs="IRNazanin"/>
          <w:lang w:bidi="fa-IR"/>
          <w:color w:val="111111"/>
          <w:sz w:val="28"/>
          <w:szCs w:val="28"/>
          <w:rtl/>
        </w:rPr>
        <w:t xml:space="preserve">خط: نسخ، كاتب -مؤلف، بی تا؛ واقف: مؤلف، مرداد ۱۳۵۱؛ کاغذ: فرنگی حنایی، جلد: تیماج عنابی ضربی، ۸۹گ، ۱۷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۱۶ - ۱۶]</w:t>
      </w:r>
    </w:p>
    <w:p>
      <w:pPr>
        <w:pStyle w:val="Heading3"/>
      </w:pPr>
      <w:bookmarkStart w:id="1177" w:name="_Toc699"/>
      <w:r>
        <w:t>الاستصحاب / استصحاب / عربی</w:t>
      </w:r>
      <w:bookmarkEnd w:id="1177"/>
    </w:p>
    <w:p>
      <w:pPr>
        <w:pStyle w:val="BookText"/>
      </w:pPr>
      <w:r>
        <w:rPr>
          <w:rFonts w:ascii="Times New Roman" w:hAnsi="Times New Roman" w:eastAsia="Times New Roman" w:cs="Times New Roman"/>
          <w:lang w:val="en-US" w:bidi="en-US"/>
          <w:color w:val="111111"/>
          <w:sz w:val="28"/>
          <w:szCs w:val="28"/>
          <w:rtl/>
        </w:rPr>
        <w:t xml:space="preserve">al-istishab</w:t>
      </w:r>
    </w:p>
    <w:p>
      <w:pPr>
        <w:pStyle w:val="BookText"/>
      </w:pPr>
      <w:r>
        <w:rPr>
          <w:rFonts w:ascii="IRNazanin" w:hAnsi="IRNazanin" w:eastAsia="IRNazanin" w:cs="IRNazanin"/>
          <w:lang w:bidi="fa-IR"/>
          <w:color w:val="111111"/>
          <w:sz w:val="28"/>
          <w:szCs w:val="28"/>
          <w:rtl/>
        </w:rPr>
        <w:t xml:space="preserve">آرانی کاشانی، محمد حسین بن محمد باقر،ق۱۴ قمری</w:t>
      </w:r>
    </w:p>
    <w:p>
      <w:pPr>
        <w:pStyle w:val="BookText"/>
      </w:pPr>
      <w:r>
        <w:rPr>
          <w:rFonts w:ascii="Times New Roman" w:hAnsi="Times New Roman" w:eastAsia="Times New Roman" w:cs="Times New Roman"/>
          <w:lang w:val="en-US" w:bidi="en-US"/>
          <w:color w:val="111111"/>
          <w:sz w:val="28"/>
          <w:szCs w:val="28"/>
          <w:rtl/>
        </w:rPr>
        <w:t xml:space="preserve">(ārānī kāšānī, mohammad hoseyn ebn-e mohammad bāqer (-20c)</w:t>
      </w:r>
    </w:p>
    <w:p>
      <w:pPr>
        <w:pStyle w:val="BookText"/>
      </w:pPr>
      <w:r>
        <w:rPr>
          <w:rFonts w:ascii="IRNazanin" w:hAnsi="IRNazanin" w:eastAsia="IRNazanin" w:cs="IRNazanin"/>
          <w:lang w:bidi="fa-IR"/>
          <w:color w:val="111111"/>
          <w:sz w:val="28"/>
          <w:szCs w:val="28"/>
          <w:rtl/>
        </w:rPr>
        <w:t xml:space="preserve">تاریخ تالیف: اواخر ذیقعده ۱۲۸۴ق</w:t>
      </w:r>
    </w:p>
    <w:p>
      <w:pPr>
        <w:pStyle w:val="BookText"/>
      </w:pPr>
      <w:r>
        <w:rPr>
          <w:rFonts w:ascii="IRNazanin" w:hAnsi="IRNazanin" w:eastAsia="IRNazanin" w:cs="IRNazanin"/>
          <w:lang w:bidi="fa-IR"/>
          <w:color w:val="111111"/>
          <w:sz w:val="28"/>
          <w:szCs w:val="28"/>
          <w:rtl/>
        </w:rPr>
        <w:t xml:space="preserve">رساله ای است نسبتاً مفصل در استصحاب مشتمل بر (مقدمه) چند «مقام» با نقل اقوال بزرگان و اساتیدش .</w:t>
      </w:r>
    </w:p>
    <w:p>
      <w:pPr>
        <w:pStyle w:val="BookText"/>
      </w:pPr>
      <w:r>
        <w:rPr>
          <w:rFonts w:ascii="Amiri" w:hAnsi="Amiri" w:eastAsia="Amiri" w:cs="Amiri"/>
          <w:lang w:bidi="ar-SA"/>
          <w:color w:val="111111"/>
          <w:sz w:val="28"/>
          <w:szCs w:val="28"/>
          <w:rtl/>
        </w:rPr>
        <w:t xml:space="preserve">آغاز: مسألة فى الاستصحاب و فيه مقدمة و مقامات اما المقدمة فهى فى بيان امور الاول فى تعريف الاستصحاب</w:t>
      </w:r>
    </w:p>
    <w:p>
      <w:pPr>
        <w:pStyle w:val="BookText"/>
      </w:pPr>
      <w:r>
        <w:rPr>
          <w:rFonts w:ascii="Amiri" w:hAnsi="Amiri" w:eastAsia="Amiri" w:cs="Amiri"/>
          <w:lang w:bidi="ar-SA"/>
          <w:color w:val="111111"/>
          <w:sz w:val="28"/>
          <w:szCs w:val="28"/>
          <w:rtl/>
        </w:rPr>
        <w:t xml:space="preserve">انجام: و تشخيص كون المستصحب مما يترتب عليه اثر شرعى أم لا فى الموارد الخاصة الجزئية شأن الفقيه أو المقلد العالم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90" w:name="pg20365_260279"/>
    <w:bookmarkEnd w:id="190"/>
    <w:p>
      <w:pPr>
        <w:pStyle w:val="BookText"/>
      </w:pPr>
      <w:r>
        <w:rPr>
          <w:rFonts w:ascii="Amiri" w:hAnsi="Amiri" w:eastAsia="Amiri" w:cs="Amiri"/>
          <w:lang w:bidi="ar-SA"/>
          <w:color w:val="111111"/>
          <w:sz w:val="28"/>
          <w:szCs w:val="28"/>
          <w:rtl/>
        </w:rPr>
        <w:t xml:space="preserve">البصير النبيه هذا آخر ما</w:t>
      </w:r>
    </w:p>
    <w:p>
      <w:pPr>
        <w:pStyle w:val="BookText"/>
      </w:pPr>
      <w:r>
        <w:rPr>
          <w:rFonts w:ascii="IRNazanin" w:hAnsi="IRNazanin" w:eastAsia="IRNazanin" w:cs="IRNazanin"/>
          <w:lang w:bidi="fa-IR"/>
          <w:color w:val="111111"/>
          <w:sz w:val="28"/>
          <w:szCs w:val="28"/>
          <w:rtl/>
        </w:rPr>
        <w:t xml:space="preserve">قم؛ مرکز احیاء؛ شماره نسخه: ۳۴۷۹/۳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کاتب - مؤلف، تا: ۱۲۸۴ق؛ مصحح، محشی؛ ۵۱گ (۴۰۲ر-۳۵۲پ) ۱۷ سطر، اندازه: ۱۶/۵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[محدث ارمـوی مخ: ۱ - ۱۲۵]</w:t>
      </w:r>
    </w:p>
    <w:p>
      <w:pPr>
        <w:pStyle w:val="Heading3"/>
      </w:pPr>
      <w:bookmarkStart w:id="1178" w:name="_Toc700"/>
      <w:r>
        <w:t>الاستصحاب / استصحاب / عربی</w:t>
      </w:r>
      <w:bookmarkEnd w:id="1178"/>
    </w:p>
    <w:p>
      <w:pPr>
        <w:pStyle w:val="BookText"/>
      </w:pPr>
      <w:r>
        <w:rPr>
          <w:rFonts w:ascii="Times New Roman" w:hAnsi="Times New Roman" w:eastAsia="Times New Roman" w:cs="Times New Roman"/>
          <w:lang w:val="en-US" w:bidi="en-US"/>
          <w:color w:val="111111"/>
          <w:sz w:val="28"/>
          <w:szCs w:val="28"/>
          <w:rtl/>
        </w:rPr>
        <w:t xml:space="preserve">al-istiṣḥāb</w:t>
      </w:r>
    </w:p>
    <w:p>
      <w:pPr>
        <w:pStyle w:val="BookText"/>
      </w:pPr>
      <w:r>
        <w:rPr>
          <w:rFonts w:ascii="IRNazanin" w:hAnsi="IRNazanin" w:eastAsia="IRNazanin" w:cs="IRNazanin"/>
          <w:lang w:bidi="fa-IR"/>
          <w:color w:val="111111"/>
          <w:sz w:val="28"/>
          <w:szCs w:val="28"/>
          <w:rtl/>
        </w:rPr>
        <w:t xml:space="preserve">اصفهانی، یحیی بن محمد شفیع، ق۱۴ قمری</w:t>
      </w:r>
    </w:p>
    <w:p>
      <w:pPr>
        <w:pStyle w:val="BookText"/>
      </w:pPr>
      <w:r>
        <w:rPr>
          <w:rFonts w:ascii="Times New Roman" w:hAnsi="Times New Roman" w:eastAsia="Times New Roman" w:cs="Times New Roman"/>
          <w:lang w:val="en-US" w:bidi="en-US"/>
          <w:color w:val="111111"/>
          <w:sz w:val="28"/>
          <w:szCs w:val="28"/>
          <w:rtl/>
        </w:rPr>
        <w:t xml:space="preserve">(esfahānī, yahyā ebn-e mohammad šafī‘ (- 20c)</w:t>
      </w:r>
    </w:p>
    <w:p>
      <w:pPr>
        <w:pStyle w:val="BookText"/>
      </w:pPr>
      <w:r>
        <w:rPr>
          <w:rFonts w:ascii="IRNazanin" w:hAnsi="IRNazanin" w:eastAsia="IRNazanin" w:cs="IRNazanin"/>
          <w:lang w:bidi="fa-IR"/>
          <w:color w:val="111111"/>
          <w:sz w:val="28"/>
          <w:szCs w:val="28"/>
          <w:rtl/>
        </w:rPr>
        <w:t xml:space="preserve">رساله ای در چهار «جهت» پیرامون انواع و حجیت استصحاب همراه با استدلال و رد و ایراد بسیار.</w:t>
      </w:r>
    </w:p>
    <w:p>
      <w:pPr>
        <w:pStyle w:val="BookText"/>
      </w:pPr>
      <w:r>
        <w:rPr>
          <w:rFonts w:ascii="Amiri" w:hAnsi="Amiri" w:eastAsia="Amiri" w:cs="Amiri"/>
          <w:lang w:bidi="ar-SA"/>
          <w:color w:val="111111"/>
          <w:sz w:val="28"/>
          <w:szCs w:val="28"/>
          <w:rtl/>
        </w:rPr>
        <w:t xml:space="preserve">آغاز: الحمد لله رب العالمين... البحث في الاستصحاب و هولغة اخذ الشيء صاحباً و تفسيره بأخذ الشيء مصاحباً تفسير باللازم.</w:t>
      </w:r>
    </w:p>
    <w:p>
      <w:pPr>
        <w:pStyle w:val="BookText"/>
      </w:pPr>
      <w:r>
        <w:rPr>
          <w:rFonts w:ascii="IRNazanin" w:hAnsi="IRNazanin" w:eastAsia="IRNazanin" w:cs="IRNazanin"/>
          <w:lang w:bidi="fa-IR"/>
          <w:color w:val="111111"/>
          <w:sz w:val="28"/>
          <w:szCs w:val="28"/>
          <w:rtl/>
        </w:rPr>
        <w:t xml:space="preserve">انجام: يشعر و يقوى كون اللام في المقام للجنس و كونها كـلیة حجة لمطلق الاستصحاب.</w:t>
      </w:r>
    </w:p>
    <w:p>
      <w:pPr>
        <w:pStyle w:val="BookText"/>
      </w:pPr>
      <w:r>
        <w:rPr>
          <w:rFonts w:ascii="IRNazanin" w:hAnsi="IRNazanin" w:eastAsia="IRNazanin" w:cs="IRNazanin"/>
          <w:lang w:bidi="fa-IR"/>
          <w:color w:val="111111"/>
          <w:sz w:val="28"/>
          <w:szCs w:val="28"/>
          <w:rtl/>
        </w:rPr>
        <w:t xml:space="preserve">قم؛ مرعشی؛ شماره نسخه: ۵۶۱۶/۲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کاتب - مؤلف، بی تا؛ جلد: تیماج قرمز، ۱۲۷گ (۱۴۴ ر-۱۷پ)، ۲۱  سطر، اندازه: ۱۴/۵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۲۰سم [ف: ۱۵ - ۱۸]</w:t>
      </w:r>
    </w:p>
    <w:p>
      <w:pPr>
        <w:pStyle w:val="Heading3"/>
      </w:pPr>
      <w:bookmarkStart w:id="1179" w:name="_Toc701"/>
      <w:r>
        <w:t>الاستصحاب / استصحاب / عربی</w:t>
      </w:r>
      <w:bookmarkEnd w:id="1179"/>
    </w:p>
    <w:p>
      <w:pPr>
        <w:pStyle w:val="BookText"/>
      </w:pPr>
      <w:r>
        <w:rPr>
          <w:rFonts w:ascii="Times New Roman" w:hAnsi="Times New Roman" w:eastAsia="Times New Roman" w:cs="Times New Roman"/>
          <w:lang w:val="en-US" w:bidi="en-US"/>
          <w:color w:val="111111"/>
          <w:sz w:val="28"/>
          <w:szCs w:val="28"/>
          <w:rtl/>
        </w:rPr>
        <w:t xml:space="preserve">al-istiṣḥāb</w:t>
      </w:r>
    </w:p>
    <w:p>
      <w:pPr>
        <w:pStyle w:val="BookText"/>
      </w:pPr>
      <w:r>
        <w:rPr>
          <w:rFonts w:ascii="IRNazanin" w:hAnsi="IRNazanin" w:eastAsia="IRNazanin" w:cs="IRNazanin"/>
          <w:lang w:bidi="fa-IR"/>
          <w:color w:val="111111"/>
          <w:sz w:val="28"/>
          <w:szCs w:val="28"/>
          <w:rtl/>
        </w:rPr>
        <w:t xml:space="preserve">غیر همانند :</w:t>
      </w:r>
    </w:p>
    <w:p>
      <w:pPr>
        <w:pStyle w:val="BookText"/>
      </w:pPr>
      <w:r>
        <w:rPr>
          <w:rFonts w:ascii="IRNazanin" w:hAnsi="IRNazanin" w:eastAsia="IRNazanin" w:cs="IRNazanin"/>
          <w:lang w:bidi="fa-IR"/>
          <w:color w:val="111111"/>
          <w:sz w:val="28"/>
          <w:szCs w:val="28"/>
          <w:rtl/>
        </w:rPr>
        <w:t xml:space="preserve">١ . قم؛ مسجد اعظم؛ شماره نسخه: ۲۴۸۲</w:t>
      </w:r>
    </w:p>
    <w:p>
      <w:pPr>
        <w:pStyle w:val="BookText"/>
      </w:pPr>
      <w:r>
        <w:rPr>
          <w:rFonts w:ascii="IRNazanin" w:hAnsi="IRNazanin" w:eastAsia="IRNazanin" w:cs="IRNazanin"/>
          <w:lang w:bidi="fa-IR"/>
          <w:color w:val="111111"/>
          <w:sz w:val="28"/>
          <w:szCs w:val="28"/>
          <w:rtl/>
        </w:rPr>
        <w:t xml:space="preserve">آغاز: بسمله ولما تممنا الكلام من بعض الاصول العملية البرائـة الاشتغال و التخيير فلنشرع الى بعضها الاخير و هو الاستصحاب و نقول ان الاستصحاب قد اختلف فيهفذهب بعض العلماء الى  انه من الادلة العقلية؛ انجام: كما هو الغالب بالنظر الى الاكثرفی البلدان و لذا لم يقولوا بعدم الاعتماد بالشك فيهما مع ان التجـاوز المعادى نوعاً او شخصا لاريب فيه</w:t>
      </w:r>
    </w:p>
    <w:p>
      <w:pPr>
        <w:pStyle w:val="BookText"/>
      </w:pPr>
      <w:r>
        <w:rPr>
          <w:rFonts w:ascii="IRNazanin" w:hAnsi="IRNazanin" w:eastAsia="IRNazanin" w:cs="IRNazanin"/>
          <w:lang w:bidi="fa-IR"/>
          <w:color w:val="111111"/>
          <w:sz w:val="28"/>
          <w:szCs w:val="28"/>
          <w:rtl/>
        </w:rPr>
        <w:t xml:space="preserve">رساله ای مفصل و استدلالی در احکام، مبانی و قواعد استصحاب که پس از نگاشتن کتابهای اشتغال و برائت و تخییر نوشته ودر آن تصریح دارد که شاگرد شاگرد سید علی طباطبایی صاحب ریاض است؛ خط: نسخ كاتب - مؤلف، تا: قرن ۱۳ مصحـح ،مهر: «صراط علی حق نمسکه» (بیضی)؛ جلد: تیماج سیاه با ترنج و مجدول، ۱۹۲گ، ۲۶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مخ: ۱ - ۱۴۰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قم؛ حجتیه؛ شماره نسخه: ۶۳۳</w:t>
      </w:r>
    </w:p>
    <w:p>
      <w:pPr>
        <w:pStyle w:val="BookText"/>
      </w:pPr>
      <w:r>
        <w:rPr>
          <w:rFonts w:ascii="Amiri" w:hAnsi="Amiri" w:eastAsia="Amiri" w:cs="Amiri"/>
          <w:lang w:bidi="ar-SA"/>
          <w:color w:val="111111"/>
          <w:sz w:val="28"/>
          <w:szCs w:val="28"/>
          <w:rtl/>
        </w:rPr>
        <w:t xml:space="preserve">آغاز: الحمد لله الذي بعث الانبياء و نصب الاوصياء</w:t>
      </w:r>
    </w:p>
    <w:p>
      <w:pPr>
        <w:pStyle w:val="BookText"/>
      </w:pPr>
      <w:r>
        <w:rPr>
          <w:rFonts w:ascii="IRNazanin" w:hAnsi="IRNazanin" w:eastAsia="IRNazanin" w:cs="IRNazanin"/>
          <w:lang w:bidi="fa-IR"/>
          <w:color w:val="111111"/>
          <w:sz w:val="28"/>
          <w:szCs w:val="28"/>
          <w:rtl/>
        </w:rPr>
        <w:t xml:space="preserve">رساله ای در این مبحث در یک «مقدمه» و دو «مقام» و یک  «خاتمه»؛ کاتب - مؤلف (گویا)، تا: قرن ۱۳ [ف: ۳۵]</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قم؛ مرعشی؛ شماره نسخه: ۱۵۰۴۷/۳</w:t>
      </w:r>
    </w:p>
    <w:p>
      <w:pPr>
        <w:pStyle w:val="BookText"/>
      </w:pPr>
      <w:r>
        <w:rPr>
          <w:rFonts w:ascii="IRNazanin" w:hAnsi="IRNazanin" w:eastAsia="IRNazanin" w:cs="IRNazanin"/>
          <w:lang w:bidi="fa-IR"/>
          <w:color w:val="111111"/>
          <w:sz w:val="28"/>
          <w:szCs w:val="28"/>
          <w:rtl/>
        </w:rPr>
        <w:t xml:space="preserve">آغاز : من جملة الادلة العقلية الاستصحاب وتحقيق البحث فيه انما یتم ببيان امور الاول في معرفة مهيته و انه باي معنى يصلح ان يكون موضوعاً لعلم الاصول؛ انجام: و قوله بجواز  العمل بها للمقلد فى تلك الموارد المتقدم اليها الاشارة فتدبر الثان</w:t>
      </w:r>
    </w:p>
    <w:p>
      <w:pPr>
        <w:pStyle w:val="BookText"/>
      </w:pPr>
      <w:r>
        <w:rPr>
          <w:rFonts w:ascii="IRNazanin" w:hAnsi="IRNazanin" w:eastAsia="IRNazanin" w:cs="IRNazanin"/>
          <w:lang w:bidi="fa-IR"/>
          <w:color w:val="111111"/>
          <w:sz w:val="28"/>
          <w:szCs w:val="28"/>
          <w:rtl/>
        </w:rPr>
        <w:t xml:space="preserve">رساله ای استدلالی است در بحث استصحاب که یکی از مسائل  اصول فقه است با نقل آرایی از عالمان شیعه چون صاحب قوانین صاحب معالم، وحيد بهبهانی، صاحب حدایق، محقق سبزواری و دیگران این رساله پس از رحلت محمد ابراهيم بن محمد حسن کرباسی صاحب اشارات الاصول یعنی پس از سال ۱۲۶۲ق و قبل از وفات شیخ مرتضی انصاری  (-۱۲۸۱ق) نگاشته شده است. وی معاصر شیخ انصاری بوده و در حواشی برگ ۳۲ و ۳۳ از وی با عبارت «شيخنا المعاصر المرتضى سلمه الله تعالی» یاد کرده است.</w:t>
      </w:r>
    </w:p>
    <w:p>
      <w:pPr>
        <w:pStyle w:val="BookText"/>
      </w:pPr>
      <w:r>
        <w:rPr>
          <w:rFonts w:ascii="IRNazanin" w:hAnsi="IRNazanin" w:eastAsia="IRNazanin" w:cs="IRNazanin"/>
          <w:lang w:bidi="fa-IR"/>
          <w:color w:val="111111"/>
          <w:sz w:val="28"/>
          <w:szCs w:val="28"/>
          <w:rtl/>
        </w:rPr>
        <w:t xml:space="preserve">وی تعلیقه ای نیز بر رساله استصحابیه شیخ انصاری نگاشته است. مشایخ دیگر وی عبارتند از: محمد ابراهیم بن محمدحسن کرباسی مذکور (- ۱۲۶۲ق) که از وی با عبارت «بعض مشايخنا طاب ثراه» گ ۲۵ یاد کرده و صاحب فصول (- ۱۲۶۱ یا ۱۲۵۴ق) که از وی با عبارت «شيخنا فى الفصول و سید حسین اصفهانی» که در حاشیه برگ ۱۸ از وی با عبارت «بعض الافاضل و هو شيخنا السيد حسن الاصفهانی» یاد کرده است. این رساله با رساله قبلی که در همین مجموعه آمده به یک خط نگاشته شده و چنانچه به خط  مؤلف باشند بایستی مؤلف هر دو یکی باشد؛ خط: شکسته نستعلیق، كاتب - مؤلف (احتمالاً تا قرن ۱۳؛ دارای حواشی بسیار با نشان «منه و منه عفى عنه»، مصحح، قلم خوردگی دارد، مقابله شده با نشان «بلغ» در برخی از برگها؛ مهر «الواثق بالله الملك المعبود محمود؟ ...» (بیضی) ؛کاغذ ،فرنگی :جلد: مقوایی، عطف تیماج ،زرشکی ۲۲گ (۱۵-۳۶)، ۱۸-۱۹ سطر (8</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۱۸/۵سم [ف: ۳۸ - ۱۱۷]</w:t>
      </w:r>
    </w:p>
    <w:p>
      <w:pPr>
        <w:pStyle w:val="BookText"/>
      </w:pPr>
      <w:r>
        <w:rPr>
          <w:rFonts w:ascii="IRNazanin" w:hAnsi="IRNazanin" w:eastAsia="IRNazanin" w:cs="IRNazanin"/>
          <w:lang w:bidi="fa-IR"/>
          <w:color w:val="111111"/>
          <w:sz w:val="28"/>
          <w:szCs w:val="28"/>
          <w:rtl/>
        </w:rPr>
        <w:t xml:space="preserve">4شیراز؛ امام عصر؛ شماره نسخه: ۳۷۱/۲</w:t>
      </w:r>
    </w:p>
    <w:p>
      <w:pPr>
        <w:pStyle w:val="BookText"/>
      </w:pPr>
      <w:r>
        <w:rPr>
          <w:rFonts w:ascii="Amiri" w:hAnsi="Amiri" w:eastAsia="Amiri" w:cs="Amiri"/>
          <w:lang w:bidi="ar-SA"/>
          <w:color w:val="111111"/>
          <w:sz w:val="28"/>
          <w:szCs w:val="28"/>
          <w:rtl/>
        </w:rPr>
        <w:t xml:space="preserve">آغاز: بسمله، قوله قدس سره منها صحيحة زاره قال قلت له الرجل  الخ. المهم فى تمامية الاستدلال بهذه الرواية كون اللام</w:t>
      </w:r>
    </w:p>
    <w:p>
      <w:pPr>
        <w:pStyle w:val="BookText"/>
      </w:pPr>
      <w:r>
        <w:rPr>
          <w:rFonts w:ascii="IRNazanin" w:hAnsi="IRNazanin" w:eastAsia="IRNazanin" w:cs="IRNazanin"/>
          <w:lang w:bidi="fa-IR"/>
          <w:color w:val="111111"/>
          <w:sz w:val="28"/>
          <w:szCs w:val="28"/>
          <w:rtl/>
        </w:rPr>
        <w:t xml:space="preserve">بحثی استدلالی پیرامون استصحاب است که شرح بر یک متن باشد و در این مجموعه با اندک تفاوتی تکرار شده است. خط: بسیار شبیه به خط مرحوم آخوند خراسانی است؛ خط: نستعلیق، شکسته، کاتب - مؤلف، تا:قرن ۱۴؛ مصحح؛ ۲۱گ (۱۶-۳۳ و ۱۴۴-۱۴۸) اندازه: ۱۷/۵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۱ - ۱۲۱]</w:t>
      </w:r>
    </w:p>
    <w:p>
      <w:pPr>
        <w:pStyle w:val="BookText"/>
      </w:pPr>
      <w:r>
        <w:rPr>
          <w:rFonts w:ascii="IRNazanin" w:hAnsi="IRNazanin" w:eastAsia="IRNazanin" w:cs="IRNazanin"/>
          <w:lang w:bidi="fa-IR"/>
          <w:color w:val="111111"/>
          <w:sz w:val="28"/>
          <w:szCs w:val="28"/>
          <w:rtl/>
        </w:rPr>
        <w:t xml:space="preserve">5.شیراز؛ امام عصر؛ شماره نسخه: ۳۷۱/۳</w:t>
      </w:r>
    </w:p>
    <w:p>
      <w:pPr>
        <w:pStyle w:val="BookText"/>
      </w:pPr>
      <w:r>
        <w:rPr>
          <w:rFonts w:ascii="Amiri" w:hAnsi="Amiri" w:eastAsia="Amiri" w:cs="Amiri"/>
          <w:lang w:bidi="ar-SA"/>
          <w:color w:val="111111"/>
          <w:sz w:val="28"/>
          <w:szCs w:val="28"/>
          <w:rtl/>
        </w:rPr>
        <w:t xml:space="preserve">آغاز: بسمله، اعلم انه لا كلام فى عدم تقييد الخطابات الواردة في  لسان الشريعة</w:t>
      </w:r>
    </w:p>
    <w:p>
      <w:pPr>
        <w:pStyle w:val="BookText"/>
      </w:pPr>
      <w:r>
        <w:rPr>
          <w:rFonts w:ascii="IRNazanin" w:hAnsi="IRNazanin" w:eastAsia="IRNazanin" w:cs="IRNazanin"/>
          <w:lang w:bidi="fa-IR"/>
          <w:color w:val="111111"/>
          <w:sz w:val="28"/>
          <w:szCs w:val="28"/>
          <w:rtl/>
        </w:rPr>
        <w:t xml:space="preserve">خط: نستعلیق شکسته، کاتب - مؤلف، تا: قرن ۱۴؛ مصحح؛ ۳گ  (۳۷-۳۹)، اندازه: ۱۷/۵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۱ - ۱۲۱]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6.قم؛ مفتى الشيعه شماره نسخه: ۵۹/۲</w:t>
      </w:r>
    </w:p>
    <w:p>
      <w:pPr>
        <w:pStyle w:val="BookText"/>
      </w:pPr>
      <w:r>
        <w:rPr>
          <w:rFonts w:ascii="Amiri" w:hAnsi="Amiri" w:eastAsia="Amiri" w:cs="Amiri"/>
          <w:lang w:bidi="ar-SA"/>
          <w:color w:val="111111"/>
          <w:sz w:val="28"/>
          <w:szCs w:val="28"/>
          <w:rtl/>
        </w:rPr>
        <w:t xml:space="preserve">آغاز: القول فى الاستصحاب و هو فى اللغة اخذ الشي مصاحباً في الاصطلاح قد عرف بتعاريف</w:t>
      </w:r>
    </w:p>
    <w:p>
      <w:pPr>
        <w:pStyle w:val="BookText"/>
      </w:pPr>
      <w:r>
        <w:rPr>
          <w:rFonts w:ascii="IRNazanin" w:hAnsi="IRNazanin" w:eastAsia="IRNazanin" w:cs="IRNazanin"/>
          <w:lang w:bidi="fa-IR"/>
          <w:color w:val="111111"/>
          <w:sz w:val="28"/>
          <w:szCs w:val="28"/>
          <w:rtl/>
        </w:rPr>
        <w:t xml:space="preserve">استدلالی است مختصر با رد و ایراد در بعضی نقل ها ؛خط: نـسخ، نازیبا، كاتب - مؤلف، بی تا؛ مصحح؛ جلد: مقوایی ۴۰ گ (۲۷ر- ۶۶ پ)،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(۶۲]</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قم؛ مرعشی؛ شماره نسخه: ۶۳۰۱</w:t>
      </w:r>
    </w:p>
    <w:p>
      <w:pPr>
        <w:pStyle w:val="BookText"/>
      </w:pPr>
      <w:r>
        <w:rPr>
          <w:rFonts w:ascii="Amiri" w:hAnsi="Amiri" w:eastAsia="Amiri" w:cs="Amiri"/>
          <w:lang w:bidi="ar-SA"/>
          <w:color w:val="111111"/>
          <w:sz w:val="28"/>
          <w:szCs w:val="28"/>
          <w:rtl/>
        </w:rPr>
        <w:t xml:space="preserve">آغاز: ثم بعد القيل والقال فالحق فى اثناء المقال و الصواب ان مسألة حجية الاستصحاب اصولية؛ انجام: و الله أحمد في اتـمام الكتاب فى المبداء و المئاب مع علمى بأن مثال حمدى مثل ما يقوله الذباب بعد ألف ألف حجاب.</w:t>
      </w:r>
    </w:p>
    <w:p>
      <w:pPr>
        <w:pStyle w:val="BookText"/>
      </w:pPr>
      <w:r>
        <w:rPr>
          <w:rFonts w:ascii="IRNazanin" w:hAnsi="IRNazanin" w:eastAsia="IRNazanin" w:cs="IRNazanin"/>
          <w:lang w:bidi="fa-IR"/>
          <w:color w:val="111111"/>
          <w:sz w:val="28"/>
          <w:szCs w:val="28"/>
          <w:rtl/>
        </w:rPr>
        <w:t xml:space="preserve">خط: نستعليق، کاتب - مؤلف، بی تا؛ تملک: ریحان الله بن جـعفر موسوی به تاریخ شوال ۱۳۲۶ با مهر «العبد ريحان الله الموسوی» (بیضی)؛ جلد: مقوایی عطف تیماج قهوه ای، ۱۵۲گ، مختلـف السطر، 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۱۶ - ۲۷۰]</w:t>
      </w:r>
    </w:p>
    <w:p>
      <w:pPr>
        <w:pStyle w:val="BookText"/>
      </w:pPr>
      <w:r>
        <w:rPr>
          <w:rFonts w:ascii="IRNazanin" w:hAnsi="IRNazanin" w:eastAsia="IRNazanin" w:cs="IRNazanin"/>
          <w:lang w:bidi="fa-IR"/>
          <w:color w:val="111111"/>
          <w:sz w:val="28"/>
          <w:szCs w:val="28"/>
          <w:rtl/>
        </w:rPr>
        <w:t xml:space="preserve">8.قم؛ گلپایگانی؛ شماره نسخه: ۶۲۳۱-۳۱/۱۱۱</w:t>
      </w:r>
    </w:p>
    <w:p>
      <w:pPr>
        <w:pStyle w:val="BookText"/>
      </w:pPr>
      <w:r>
        <w:rPr>
          <w:rFonts w:ascii="IRNazanin" w:hAnsi="IRNazanin" w:eastAsia="IRNazanin" w:cs="IRNazanin"/>
          <w:lang w:bidi="fa-IR"/>
          <w:color w:val="111111"/>
          <w:sz w:val="28"/>
          <w:szCs w:val="28"/>
          <w:rtl/>
        </w:rPr>
        <w:t xml:space="preserve">آغاز: بسمله حمد له وصلى الله على اشرف الانبياء و المرسلين على الائمة المعصومين ... قوله المقام الثاني في الاستصح سيجيء الكلام فى كونه من الادلة او القواعد او الاصول ... قوله  ره و هو لغة اخذ شئ و اليه يرجع ما فى القاموس استصحبه دعاه الصحبة قوله و عند الاصوليين الخ هل هومن؛ انجام: قوله و فيه الاية لاتدل الخ حاصله ان حسن ترك التزويج ليس ذاتيا باعتبار ... اذا انضم الى التزويج صفة اخرى راجحة على صفة ترکه.</w:t>
      </w:r>
    </w:p>
    <w:p>
      <w:pPr>
        <w:pStyle w:val="BookText"/>
      </w:pPr>
      <w:r>
        <w:rPr>
          <w:rFonts w:ascii="IRNazanin" w:hAnsi="IRNazanin" w:eastAsia="IRNazanin" w:cs="IRNazanin"/>
          <w:lang w:bidi="fa-IR"/>
          <w:color w:val="111111"/>
          <w:sz w:val="28"/>
          <w:szCs w:val="28"/>
          <w:rtl/>
        </w:rPr>
        <w:t xml:space="preserve">حاشیه ای است با عناوین «قوله - قوله» بر متنی در اصول ،شیعی به صورت استدلالی با آوردن ادله و آیات و روایات اقوال علما و با رد و ایراد از «بحار الانوار» و «وسائل الشیعه» نقل می کند. مؤلف از فقهای شیعه در قرن ۱۳ هجری باید باشد؛ خـط: نستعلیق، بی کا، تا :قرن ۱۳؛ مصحح؛ مهر: «الواثق بالله الغنى عـبده اسدالله» (مربع)؛ جلد: مقوا عطف تیماج، ۱۰۰گ ۲۳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۱ - ۳۳۶]</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تهران؛ ملی؛ شماره نسخه: ۲۲۸۴/۱</w:t>
      </w:r>
    </w:p>
    <w:p>
      <w:pPr>
        <w:pStyle w:val="BookText"/>
      </w:pPr>
      <w:r>
        <w:rPr>
          <w:rFonts w:ascii="Amiri" w:hAnsi="Amiri" w:eastAsia="Amiri" w:cs="Amiri"/>
          <w:lang w:bidi="ar-SA"/>
          <w:color w:val="111111"/>
          <w:sz w:val="28"/>
          <w:szCs w:val="28"/>
          <w:rtl/>
        </w:rPr>
        <w:t xml:space="preserve">آغاز: بسملة قد وقع الاختلاف بين الاصوليين في حـجتة الاستصحاب. اعلم ان هذا الاصل بين الاصول اصل كثير الفروع و الثمر، حتى قال العلامة في التهذيب: ان الاحكام الشرعية؛ انجـام: كما في القواعد الشهيدية. و للثالث أنه تعارض الدليلان فتساقطا فيرجع الى الاصول والقواعد</w:t>
      </w:r>
    </w:p>
    <w:p>
      <w:pPr>
        <w:pStyle w:val="BookText"/>
      </w:pPr>
      <w:r>
        <w:rPr>
          <w:rFonts w:ascii="IRNazanin" w:hAnsi="IRNazanin" w:eastAsia="IRNazanin" w:cs="IRNazanin"/>
          <w:lang w:bidi="fa-IR"/>
          <w:color w:val="111111"/>
          <w:sz w:val="28"/>
          <w:szCs w:val="28"/>
          <w:rtl/>
        </w:rPr>
        <w:t xml:space="preserve">این رساله مشتمل بر دو «بحث» و یک «خاتمه» است، بحث در معنی استصحاب بحث دوم در اخباری که برای حجت بودن استصحاب بدان استدلال می کنند، خاتمه در شروط استصحاب او از کسان بسیار نقل دارد که نزدیکترین ایشان استادش صاحب القوانین است (۱۱۵۱-۱۲۳۱) که بعد از مرگ از او نقل میکـند؛</w:t>
      </w:r>
    </w:p>
    <w:p>
      <w:pPr>
        <w:pStyle w:val="BookText"/>
      </w:pPr>
      <w:r>
        <w:rPr>
          <w:rFonts w:ascii="IRNazanin" w:hAnsi="IRNazanin" w:eastAsia="IRNazanin" w:cs="IRNazanin"/>
          <w:lang w:bidi="fa-IR"/>
          <w:color w:val="111111"/>
          <w:sz w:val="28"/>
          <w:szCs w:val="28"/>
          <w:rtl/>
        </w:rPr>
        <w:t xml:space="preserve">خط: نسخ متوسط، بی کا، تا: قرن ۱۳؛ در حاشیه از «عقد طهماسبی» شیخ بهائی نقل می کند؛ کاغذ: نخودی فرنگی، ۴۷ گ (۴۷-۱ پ)، ۲۳ سطر [ف: ۱۱ - ۷۱۱]</w:t>
      </w:r>
    </w:p>
    <w:p>
      <w:pPr>
        <w:pStyle w:val="BookText"/>
      </w:pPr>
      <w:r>
        <w:rPr>
          <w:rFonts w:ascii="IRNazanin" w:hAnsi="IRNazanin" w:eastAsia="IRNazanin" w:cs="IRNazanin"/>
          <w:lang w:bidi="fa-IR"/>
          <w:color w:val="111111"/>
          <w:sz w:val="28"/>
          <w:szCs w:val="28"/>
          <w:rtl/>
        </w:rPr>
        <w:t xml:space="preserve">۱۰. تهران؛ ادبیات؛ شماره نسخه: ۱۱۵/۱۲</w:t>
      </w:r>
    </w:p>
    <w:p>
      <w:pPr>
        <w:pStyle w:val="BookText"/>
      </w:pPr>
      <w:r>
        <w:rPr>
          <w:rFonts w:ascii="IRNazanin" w:hAnsi="IRNazanin" w:eastAsia="IRNazanin" w:cs="IRNazanin"/>
          <w:lang w:bidi="fa-IR"/>
          <w:color w:val="111111"/>
          <w:sz w:val="28"/>
          <w:szCs w:val="28"/>
          <w:rtl/>
        </w:rPr>
        <w:t xml:space="preserve">خط: نسخ، بی کا، تا: قرن ۱۳ [ف ۳ - ۲۹]</w:t>
      </w:r>
    </w:p>
    <w:p>
      <w:pPr>
        <w:pStyle w:val="BookText"/>
      </w:pPr>
      <w:r>
        <w:rPr>
          <w:rFonts w:ascii="IRNazanin" w:hAnsi="IRNazanin" w:eastAsia="IRNazanin" w:cs="IRNazanin"/>
          <w:lang w:bidi="fa-IR"/>
          <w:color w:val="111111"/>
          <w:sz w:val="28"/>
          <w:szCs w:val="28"/>
          <w:rtl/>
        </w:rPr>
        <w:t xml:space="preserve">۱۱. تهران؛ مدرسه معمار باشی؛ شماره نسخه: ۵۰/۲</w:t>
      </w:r>
    </w:p>
    <w:p>
      <w:pPr>
        <w:pStyle w:val="BookText"/>
      </w:pPr>
      <w:r>
        <w:rPr>
          <w:rFonts w:ascii="IRNazanin" w:hAnsi="IRNazanin" w:eastAsia="IRNazanin" w:cs="IRNazanin"/>
          <w:lang w:bidi="fa-IR"/>
          <w:color w:val="111111"/>
          <w:sz w:val="28"/>
          <w:szCs w:val="28"/>
          <w:rtl/>
        </w:rPr>
        <w:t xml:space="preserve">آغاز: الاستصحاب و هو لغة بمعنى اخذ الشيء مصاحباً وعرفه فى عرف الاصوليين على تعاريف عديدة... منها ما ذكره الفاضل  القمى فى القوانين؛ انجام: نان صحة الاقتداء موقوفة على كون صلوة الامام صحيحة عنده وهذا فى المقام موجود و نحن لانقول». کتاب مفصلی درباره مبحث استصحاب است از قرن ۱۳ق، که در آن گفته های بسیاری از علمای شیعه را نقل و بررسی می کند.</w:t>
      </w:r>
    </w:p>
    <w:p>
      <w:pPr>
        <w:pStyle w:val="BookText"/>
      </w:pPr>
      <w:r>
        <w:rPr>
          <w:rFonts w:ascii="IRNazanin" w:hAnsi="IRNazanin" w:eastAsia="IRNazanin" w:cs="IRNazanin"/>
          <w:lang w:bidi="fa-IR"/>
          <w:color w:val="111111"/>
          <w:sz w:val="28"/>
          <w:szCs w:val="28"/>
          <w:rtl/>
        </w:rPr>
        <w:t xml:space="preserve">آخرین کسانی که از ایشان نام می برد فاضل قمی و شیخ جعفر كاشف الغطاء هستند. یک بار هم می گوید: «اجاب عنه الاستاد دام ظله» بی کا، تا: قرن ۱۳؛ مصحح ،جلد: تیماج قهوه ای با روکش پارچه ای  سبز، ۹۶گ (۱۷۶پ-۲۷۱پ)، ۲۳-۲۸ سطر [ف: ۵۴]</w:t>
      </w:r>
    </w:p>
    <w:p>
      <w:pPr>
        <w:pStyle w:val="BookText"/>
      </w:pPr>
      <w:r>
        <w:rPr>
          <w:rFonts w:ascii="IRNazanin" w:hAnsi="IRNazanin" w:eastAsia="IRNazanin" w:cs="IRNazanin"/>
          <w:lang w:bidi="fa-IR"/>
          <w:color w:val="111111"/>
          <w:sz w:val="28"/>
          <w:szCs w:val="28"/>
          <w:rtl/>
        </w:rPr>
        <w:t xml:space="preserve">۱۲. قم مرعشی شماره نسخه: ۸۳۲۴/۳</w:t>
      </w:r>
    </w:p>
    <w:p>
      <w:pPr>
        <w:pStyle w:val="BookText"/>
      </w:pPr>
      <w:r>
        <w:rPr>
          <w:rFonts w:ascii="Amiri" w:hAnsi="Amiri" w:eastAsia="Amiri" w:cs="Amiri"/>
          <w:lang w:bidi="ar-SA"/>
          <w:color w:val="111111"/>
          <w:sz w:val="28"/>
          <w:szCs w:val="28"/>
          <w:rtl/>
        </w:rPr>
        <w:t xml:space="preserve">آغاز: الحمدلله جاعل الشرائع لتقرب العباد و واضع الطرائق للسداد ... و بعد فلما كان علم الأصول من أجل العلوم قدراً؛ انجام: و فيه ان تعارض الاحتمالين وتساقطهما</w:t>
      </w:r>
    </w:p>
    <w:p>
      <w:pPr>
        <w:pStyle w:val="BookText"/>
      </w:pPr>
      <w:r>
        <w:rPr>
          <w:rFonts w:ascii="IRNazanin" w:hAnsi="IRNazanin" w:eastAsia="IRNazanin" w:cs="IRNazanin"/>
          <w:lang w:bidi="fa-IR"/>
          <w:color w:val="111111"/>
          <w:sz w:val="28"/>
          <w:szCs w:val="28"/>
          <w:rtl/>
        </w:rPr>
        <w:t xml:space="preserve">کتابی مفصل و دارای رد و ایراد بسیار می باشد و در نسخه حاضر گویا نیمه دوم کتاب آمده است. روز یکشنبه غره ماه محرم ۱۲۶۰ در سمنان به پایان رسیده است؛ خط: نسخ، بی کا، تا: قرن ۱۳؛ افتادگی: انجام؛ جلد: مقوایی عطف تیماج قهوه ای، ۸گ (۱۴۷پ-۱۴۰پ) ،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۲۱ - ۲۸۸]</w:t>
      </w:r>
    </w:p>
    <w:p>
      <w:pPr>
        <w:pStyle w:val="BookText"/>
      </w:pPr>
      <w:r>
        <w:rPr>
          <w:rFonts w:ascii="IRNazanin" w:hAnsi="IRNazanin" w:eastAsia="IRNazanin" w:cs="IRNazanin"/>
          <w:lang w:bidi="fa-IR"/>
          <w:color w:val="111111"/>
          <w:sz w:val="28"/>
          <w:szCs w:val="28"/>
          <w:rtl/>
        </w:rPr>
        <w:t xml:space="preserve">۱۳. تهران؛ ملی؛ شماره نسخه: ۳۵۳۰/۴</w:t>
      </w:r>
    </w:p>
    <w:p>
      <w:pPr>
        <w:pStyle w:val="BookText"/>
      </w:pPr>
      <w:r>
        <w:rPr>
          <w:rFonts w:ascii="Amiri" w:hAnsi="Amiri" w:eastAsia="Amiri" w:cs="Amiri"/>
          <w:lang w:bidi="ar-SA"/>
          <w:color w:val="111111"/>
          <w:sz w:val="28"/>
          <w:szCs w:val="28"/>
          <w:rtl/>
        </w:rPr>
        <w:t xml:space="preserve">آغاز: بسمله الحمد لله الذي هدانا الى طرق الاحكام و مداركها و فضلنا على ساير الخلق بالنطق ... و بعد، فان من جمله مهمات المسائل الاصوليه التى يجب على كل فقيه ان يقننها ويقررها قبل الشروع فى المسائل الفقهيه الاستصحاب؛ انجام: و يوجب التكليف بوجوب الفحص كما مراليه الاشاره فى مبحث الشبهه المحصوره. فلا حظ و تامل. و السلام خير ختام.</w:t>
      </w:r>
    </w:p>
    <w:p>
      <w:pPr>
        <w:pStyle w:val="BookText"/>
      </w:pPr>
      <w:r>
        <w:rPr>
          <w:rFonts w:ascii="IRNazanin" w:hAnsi="IRNazanin" w:eastAsia="IRNazanin" w:cs="IRNazanin"/>
          <w:lang w:bidi="fa-IR"/>
          <w:color w:val="111111"/>
          <w:sz w:val="28"/>
          <w:szCs w:val="28"/>
          <w:rtl/>
        </w:rPr>
        <w:t xml:space="preserve">رساله ای است در بررسی نسبتا مفصل و استدلالی اصل استصحاب. مؤلف ناشناس رساله از علمای قرن ۱۳ می باشد؛ خط: نسخ و نستعلیق، بی کا، تا: قرن ۱۳، مصحح؛ کاغذ: فرنگی شکری و نخودی، جلد: دفه رویی با تیماج تریاکی ضربی یک لا، بدون دفه ،پشتی ،۷۸گ(89- 166پ)، 23- 28سطر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۱۶ - ۶۰]</w:t>
      </w:r>
    </w:p>
    <w:p>
      <w:pPr>
        <w:pStyle w:val="BookText"/>
      </w:pPr>
      <w:r>
        <w:rPr>
          <w:rFonts w:ascii="IRNazanin" w:hAnsi="IRNazanin" w:eastAsia="IRNazanin" w:cs="IRNazanin"/>
          <w:lang w:bidi="fa-IR"/>
          <w:color w:val="111111"/>
          <w:sz w:val="28"/>
          <w:szCs w:val="28"/>
          <w:rtl/>
        </w:rPr>
        <w:t xml:space="preserve">۱۴. قم؛ مرعشی؛ شماره نسخه: ۱۰۹۹۳/۱۰</w:t>
      </w:r>
    </w:p>
    <w:p>
      <w:pPr>
        <w:pStyle w:val="BookText"/>
      </w:pPr>
      <w:r>
        <w:rPr>
          <w:rFonts w:ascii="IRNazanin" w:hAnsi="IRNazanin" w:eastAsia="IRNazanin" w:cs="IRNazanin"/>
          <w:lang w:bidi="fa-IR"/>
          <w:color w:val="111111"/>
          <w:sz w:val="28"/>
          <w:szCs w:val="28"/>
          <w:rtl/>
        </w:rPr>
        <w:t xml:space="preserve">خط: نسخ، بی کا، تا: قرن ۱۳ ؛قطع: رقعی [ میراث شهاب: س۹ش ۲- ۳۴]</w:t>
      </w:r>
    </w:p>
    <w:p>
      <w:pPr>
        <w:pStyle w:val="BookText"/>
      </w:pPr>
      <w:r>
        <w:rPr>
          <w:rFonts w:ascii="IRNazanin" w:hAnsi="IRNazanin" w:eastAsia="IRNazanin" w:cs="IRNazanin"/>
          <w:lang w:bidi="fa-IR"/>
          <w:color w:val="111111"/>
          <w:sz w:val="28"/>
          <w:szCs w:val="28"/>
          <w:rtl/>
        </w:rPr>
        <w:t xml:space="preserve">۱۵. تهران؛ مجلس؛ شماره نسخه: ۹۲۵۲/۱</w:t>
      </w:r>
    </w:p>
    <w:p>
      <w:pPr>
        <w:pStyle w:val="BookText"/>
      </w:pPr>
      <w:r>
        <w:rPr>
          <w:rFonts w:ascii="Amiri" w:hAnsi="Amiri" w:eastAsia="Amiri" w:cs="Amiri"/>
          <w:lang w:bidi="ar-SA"/>
          <w:color w:val="111111"/>
          <w:sz w:val="28"/>
          <w:szCs w:val="28"/>
          <w:rtl/>
        </w:rPr>
        <w:t xml:space="preserve">آغاز: الظن بالحكم الشرعي حتى القياس و الاستحسان ثالثها انه لاريب ان التغاير بين الظن بالشيء؛ انجام: و لما كانت الاصول منحصرة عند الاستاذ فى الاربعة فلامحالة انحصر التكلم في ثلث مقامات الاول فى حكم تعارض الاستصحاب مع اصالة البرائة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نقول انه لاريب فى وروده عليه تمت المسئلة الحمد لله</w:t>
      </w:r>
    </w:p>
    <w:p>
      <w:pPr>
        <w:pStyle w:val="BookText"/>
      </w:pPr>
      <w:r>
        <w:rPr>
          <w:rFonts w:ascii="IRNazanin" w:hAnsi="IRNazanin" w:eastAsia="IRNazanin" w:cs="IRNazanin"/>
          <w:lang w:bidi="fa-IR"/>
          <w:color w:val="111111"/>
          <w:sz w:val="28"/>
          <w:szCs w:val="28"/>
          <w:rtl/>
        </w:rPr>
        <w:t xml:space="preserve">حاشیه مفصلی است با عناوین «قوله - اقول» بر متنی در اصول (گویا رسائل شیخ انصاری) که محشی از شاگردان ماتن بوده و ماتن با دعای «دام ظله» یاد می کند. این حاشیه در چند جزء برگزار شده و بخش موجود در نسخه جزء سوم آن است که مباحث استصحاب را در بردارد محشی در جایی به جزء دوم تعلیقه ارجاع می دهد و در پایان بخش موجود، ادامه بحث را جزء چهارم تعليقه وعده می دهد محشی از استادش مطالبی را نقل می کند و با دعای دام ظله از او یاد می کند. احتمال می رود کتاب تقریرات درس استادش باشد؛ خط: نسخ، بی کا، تا: قرن ۱۳؛ افتادگی: آغاز؛ جلد: تیماج قهوه ای مجدول گرهی با ترنج سرترنج ، ۲۹۷گ (۱ر -۲۹۷ر)، ۲۰ سطر،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  30- 35]</w:t>
      </w:r>
    </w:p>
    <w:p>
      <w:pPr>
        <w:pStyle w:val="BookText"/>
      </w:pPr>
      <w:r>
        <w:rPr>
          <w:rFonts w:ascii="IRNazanin" w:hAnsi="IRNazanin" w:eastAsia="IRNazanin" w:cs="IRNazanin"/>
          <w:lang w:bidi="fa-IR"/>
          <w:color w:val="111111"/>
          <w:sz w:val="28"/>
          <w:szCs w:val="28"/>
          <w:rtl/>
        </w:rPr>
        <w:t xml:space="preserve">۱۶ . قم؛ مرکز احیاء؛ شماره نسخه: ۱۹۲۸/۲</w:t>
      </w:r>
    </w:p>
    <w:p>
      <w:pPr>
        <w:pStyle w:val="BookText"/>
      </w:pPr>
      <w:r>
        <w:rPr>
          <w:rFonts w:ascii="IRNazanin" w:hAnsi="IRNazanin" w:eastAsia="IRNazanin" w:cs="IRNazanin"/>
          <w:lang w:bidi="fa-IR"/>
          <w:color w:val="111111"/>
          <w:sz w:val="28"/>
          <w:szCs w:val="28"/>
          <w:rtl/>
        </w:rPr>
        <w:t xml:space="preserve">آغاز: الحمدلله رب العالمين ... الاستصحاب عبارة عن الحكم اركان يقينى الحصول فى وقت أو حال او مشكوك البـقاءبعد ذلك الوقت؛ انجام: و الوحيد في شرح الدروس فصل تفصـیلاً آخر يظهر لك فى المطولات</w:t>
      </w:r>
    </w:p>
    <w:p>
      <w:pPr>
        <w:pStyle w:val="BookText"/>
      </w:pPr>
      <w:r>
        <w:rPr>
          <w:rFonts w:ascii="IRNazanin" w:hAnsi="IRNazanin" w:eastAsia="IRNazanin" w:cs="IRNazanin"/>
          <w:lang w:bidi="fa-IR"/>
          <w:color w:val="111111"/>
          <w:sz w:val="28"/>
          <w:szCs w:val="28"/>
          <w:rtl/>
        </w:rPr>
        <w:t xml:space="preserve">در معنی اصولی استصحاب و اقسام آن بسیار مختصر و در یـک صفحه نگاشته شده است؛ خط: نسخ، کا: حسن بن مهدی حسینی،  تا: ۱۲۳۳ق؛ مهر: كاتب (بیضی)؛ جلد: تیماج قهوه ای بدون مقـوا، 1گ (۸۳ر - ۸۳پ)، ۱۶ 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۵ - ۳۵۹]</w:t>
      </w:r>
    </w:p>
    <w:p>
      <w:pPr>
        <w:pStyle w:val="BookText"/>
      </w:pPr>
      <w:r>
        <w:rPr>
          <w:rFonts w:ascii="IRNazanin" w:hAnsi="IRNazanin" w:eastAsia="IRNazanin" w:cs="IRNazanin"/>
          <w:lang w:bidi="fa-IR"/>
          <w:color w:val="111111"/>
          <w:sz w:val="28"/>
          <w:szCs w:val="28"/>
          <w:rtl/>
        </w:rPr>
        <w:t xml:space="preserve">۱۷. تهران؛ عبد العظیم؛ شماره نسخه: ۶۲۳/۲</w:t>
      </w:r>
    </w:p>
    <w:p>
      <w:pPr>
        <w:pStyle w:val="BookText"/>
      </w:pPr>
      <w:r>
        <w:rPr>
          <w:rFonts w:ascii="IRNazanin" w:hAnsi="IRNazanin" w:eastAsia="IRNazanin" w:cs="IRNazanin"/>
          <w:lang w:bidi="fa-IR"/>
          <w:color w:val="111111"/>
          <w:sz w:val="28"/>
          <w:szCs w:val="28"/>
          <w:rtl/>
        </w:rPr>
        <w:t xml:space="preserve">آغاز: حمدله و صلى الله علی محمد و آله الطاهرين ... الكلام الاستصحاب و هو عند الفقهاء و الاصوليين ممن سلف عبارة الجامع بين أربعة اصول البرائة الأصلية المثابته بقطع العقاب بلابيـان المعبر عنها باستصحاب؛ انجام: و هی حالة اليقين ان عام الثانیة نفس حالة الشك كان الحكم مستصحباً فيها مستمراً اليها الـبقاء لدليل.</w:t>
      </w:r>
    </w:p>
    <w:p>
      <w:pPr>
        <w:pStyle w:val="BookText"/>
      </w:pPr>
      <w:r>
        <w:rPr>
          <w:rFonts w:ascii="IRNazanin" w:hAnsi="IRNazanin" w:eastAsia="IRNazanin" w:cs="IRNazanin"/>
          <w:lang w:bidi="fa-IR"/>
          <w:color w:val="111111"/>
          <w:sz w:val="28"/>
          <w:szCs w:val="28"/>
          <w:rtl/>
        </w:rPr>
        <w:t xml:space="preserve">رساله استدلالی مختصری در بحث استصحاب؛ خط: نسخ، بی تا: قرن ۱۴؛ ۱۷گ، ۲۱ سطر،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 ف: ۱ - 45  ]</w:t>
      </w:r>
    </w:p>
    <w:p>
      <w:pPr>
        <w:pStyle w:val="BookText"/>
      </w:pPr>
      <w:r>
        <w:rPr>
          <w:rFonts w:ascii="IRNazanin" w:hAnsi="IRNazanin" w:eastAsia="IRNazanin" w:cs="IRNazanin"/>
          <w:lang w:bidi="fa-IR"/>
          <w:color w:val="111111"/>
          <w:sz w:val="28"/>
          <w:szCs w:val="28"/>
          <w:rtl/>
        </w:rPr>
        <w:t xml:space="preserve">۱۸. تهران؛ مروی؛ شماره نسخه: ۷۰۳/۴</w:t>
      </w:r>
    </w:p>
    <w:p>
      <w:pPr>
        <w:pStyle w:val="BookText"/>
      </w:pPr>
      <w:r>
        <w:rPr>
          <w:rFonts w:ascii="IRNazanin" w:hAnsi="IRNazanin" w:eastAsia="IRNazanin" w:cs="IRNazanin"/>
          <w:lang w:bidi="fa-IR"/>
          <w:color w:val="111111"/>
          <w:sz w:val="28"/>
          <w:szCs w:val="28"/>
          <w:rtl/>
        </w:rPr>
        <w:t xml:space="preserve">بی کا، تا: ۱۳۰۰ق، جا: سامرا؛ قطع : خشتی [ف: ۲۹۸]</w:t>
      </w:r>
    </w:p>
    <w:p>
      <w:pPr>
        <w:pStyle w:val="BookText"/>
      </w:pPr>
      <w:r>
        <w:rPr>
          <w:rFonts w:ascii="IRNazanin" w:hAnsi="IRNazanin" w:eastAsia="IRNazanin" w:cs="IRNazanin"/>
          <w:lang w:bidi="fa-IR"/>
          <w:color w:val="111111"/>
          <w:sz w:val="28"/>
          <w:szCs w:val="28"/>
          <w:rtl/>
        </w:rPr>
        <w:t xml:space="preserve">۱۹. تهران؛ ملک؛ شماره نسخه: ۵۷۹۷/۱</w:t>
      </w:r>
    </w:p>
    <w:p>
      <w:pPr>
        <w:pStyle w:val="BookText"/>
      </w:pPr>
      <w:r>
        <w:rPr>
          <w:rFonts w:ascii="Amiri" w:hAnsi="Amiri" w:eastAsia="Amiri" w:cs="Amiri"/>
          <w:lang w:bidi="ar-SA"/>
          <w:color w:val="111111"/>
          <w:sz w:val="28"/>
          <w:szCs w:val="28"/>
          <w:rtl/>
        </w:rPr>
        <w:t xml:space="preserve">آغاز: بسمله. الحمد لله رب العالمين ... اعلم ان جريان الاستصحاب في الواجبات الواردة على الشرايع</w:t>
      </w:r>
    </w:p>
    <w:p>
      <w:pPr>
        <w:pStyle w:val="BookText"/>
      </w:pPr>
      <w:r>
        <w:rPr>
          <w:rFonts w:ascii="IRNazanin" w:hAnsi="IRNazanin" w:eastAsia="IRNazanin" w:cs="IRNazanin"/>
          <w:lang w:bidi="fa-IR"/>
          <w:color w:val="111111"/>
          <w:sz w:val="28"/>
          <w:szCs w:val="28"/>
          <w:rtl/>
        </w:rPr>
        <w:t xml:space="preserve">رسالة فى بعض المسائل المتعلقة بالاستصحاب، خط: نسخ، بی تا، قرن ۱۴؛ کاغذ ،فرنگی ،جلد: میشن ،تریاکی ۲ گ (۱ پ -٢ پ  )، ۲۱ سطر ،اندازه: ۱۷/۳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۲۳/۸سم [ف: ۹ - ۴۳]</w:t>
      </w:r>
    </w:p>
    <w:p>
      <w:pPr>
        <w:pStyle w:val="BookText"/>
      </w:pPr>
      <w:r>
        <w:rPr>
          <w:rFonts w:ascii="IRNazanin" w:hAnsi="IRNazanin" w:eastAsia="IRNazanin" w:cs="IRNazanin"/>
          <w:lang w:bidi="fa-IR"/>
          <w:color w:val="111111"/>
          <w:sz w:val="28"/>
          <w:szCs w:val="28"/>
          <w:rtl/>
        </w:rPr>
        <w:t xml:space="preserve">۲۰. قم؛ مرعشی؛ شماره نسخه: ۱۱۶۳۳</w:t>
      </w:r>
    </w:p>
    <w:p>
      <w:pPr>
        <w:pStyle w:val="BookText"/>
      </w:pPr>
      <w:r>
        <w:rPr>
          <w:rFonts w:ascii="Amiri" w:hAnsi="Amiri" w:eastAsia="Amiri" w:cs="Amiri"/>
          <w:lang w:bidi="ar-SA"/>
          <w:color w:val="111111"/>
          <w:sz w:val="28"/>
          <w:szCs w:val="28"/>
          <w:rtl/>
        </w:rPr>
        <w:t xml:space="preserve">آغاز: قوله قده فإن ظهر من دليله أو من الخارج اعتباره على وجه الطريقية للموضوع كالأمثلة؛ انجام: فإذا كان اليقين بالوضوء علة فبعض أفراد اليقين علة بالضرورة و هو</w:t>
      </w:r>
    </w:p>
    <w:p>
      <w:pPr>
        <w:pStyle w:val="BookText"/>
      </w:pPr>
      <w:r>
        <w:rPr>
          <w:rFonts w:ascii="IRNazanin" w:hAnsi="IRNazanin" w:eastAsia="IRNazanin" w:cs="IRNazanin"/>
          <w:lang w:bidi="fa-IR"/>
          <w:color w:val="111111"/>
          <w:sz w:val="28"/>
          <w:szCs w:val="28"/>
          <w:rtl/>
        </w:rPr>
        <w:t xml:space="preserve">خط: نسخ، بی کا، تا: قرن ۱۴؛ افتادگی: آغاز و انجام؛ مصحح؛ کاغذ: فرنگی و شطرنجی ،جلد: تیماج سبز ضربی مجدول یک لا؛ ۴۰گ، ۱۹ سطر (۸/۵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۲۹ - ۳۹۹]</w:t>
      </w:r>
    </w:p>
    <w:p>
      <w:pPr>
        <w:pStyle w:val="BookText"/>
      </w:pPr>
      <w:r>
        <w:rPr>
          <w:rFonts w:ascii="IRNazanin" w:hAnsi="IRNazanin" w:eastAsia="IRNazanin" w:cs="IRNazanin"/>
          <w:lang w:bidi="fa-IR"/>
          <w:color w:val="111111"/>
          <w:sz w:val="28"/>
          <w:szCs w:val="28"/>
          <w:rtl/>
        </w:rPr>
        <w:t xml:space="preserve">۲۱. تهران؛ ملک؛ شماره نسخه: ۲۸۸۲/۱</w:t>
      </w:r>
    </w:p>
    <w:p>
      <w:pPr>
        <w:pStyle w:val="BookText"/>
      </w:pPr>
      <w:r>
        <w:rPr>
          <w:rFonts w:ascii="Amiri" w:hAnsi="Amiri" w:eastAsia="Amiri" w:cs="Amiri"/>
          <w:lang w:bidi="ar-SA"/>
          <w:color w:val="111111"/>
          <w:sz w:val="28"/>
          <w:szCs w:val="28"/>
          <w:rtl/>
        </w:rPr>
        <w:t xml:space="preserve">آغاز: بسمله حمدله اعلم ان من جملة اقسام الاستصحاب هو الاستصحاب الكل و هو على اقسام الاول ان يكون المستصحب هو الفرد ؛انجام: و ما ترى ثبوته بموضوع الذى يعين بالوصف العنوانى يكون للدليل الخارجي لا في نفسه</w:t>
      </w:r>
    </w:p>
    <w:p>
      <w:pPr>
        <w:pStyle w:val="BookText"/>
      </w:pPr>
      <w:r>
        <w:rPr>
          <w:rFonts w:ascii="IRNazanin" w:hAnsi="IRNazanin" w:eastAsia="IRNazanin" w:cs="IRNazanin"/>
          <w:lang w:bidi="fa-IR"/>
          <w:color w:val="111111"/>
          <w:sz w:val="28"/>
          <w:szCs w:val="28"/>
          <w:rtl/>
        </w:rPr>
        <w:t xml:space="preserve">گویا تقریرات درسی باشد؛ خط: نسخ، بی کا، تا: قرن ۱۴؛ ۴۵گ  (۵ ر -۴۹) [ف: ۶ - ۱۵۳]</w:t>
      </w:r>
    </w:p>
    <w:p>
      <w:pPr>
        <w:pStyle w:val="BookText"/>
      </w:pPr>
      <w:r>
        <w:rPr>
          <w:rFonts w:ascii="IRNazanin" w:hAnsi="IRNazanin" w:eastAsia="IRNazanin" w:cs="IRNazanin"/>
          <w:lang w:bidi="fa-IR"/>
          <w:color w:val="111111"/>
          <w:sz w:val="28"/>
          <w:szCs w:val="28"/>
          <w:rtl/>
        </w:rPr>
        <w:t xml:space="preserve">۲۲. تهران؛ ملی؛ شماره نسخه: ۳۴۵۳/۱</w:t>
      </w:r>
    </w:p>
    <w:p>
      <w:pPr>
        <w:pStyle w:val="BookText"/>
      </w:pPr>
      <w:r>
        <w:rPr>
          <w:rFonts w:ascii="IRNazanin" w:hAnsi="IRNazanin" w:eastAsia="IRNazanin" w:cs="IRNazanin"/>
          <w:lang w:bidi="fa-IR"/>
          <w:color w:val="111111"/>
          <w:sz w:val="28"/>
          <w:szCs w:val="28"/>
          <w:rtl/>
        </w:rPr>
        <w:t xml:space="preserve">آغاز: بسمله، بسم الله ابتدا کلامی و حمده افتتاح مرامی و علی رسوله و آله صلواتی و سلامی؛ انجام: فلا مانع من الاعذار بالعجز المصادف و ان استند الى الاختيار كما هو الحال في اختلاف الموضوع و الحمد الله اولا و آخرا</w:t>
      </w:r>
    </w:p>
    <w:p>
      <w:pPr>
        <w:pStyle w:val="BookText"/>
      </w:pPr>
      <w:r>
        <w:rPr>
          <w:rFonts w:ascii="IRNazanin" w:hAnsi="IRNazanin" w:eastAsia="IRNazanin" w:cs="IRNazanin"/>
          <w:lang w:bidi="fa-IR"/>
          <w:color w:val="111111"/>
          <w:sz w:val="28"/>
          <w:szCs w:val="28"/>
          <w:rtl/>
        </w:rPr>
        <w:t xml:space="preserve">رساله مختصری است در استصحاب. مؤلف در برگ اول از افادات شیخ خود که از او به نام استاد رضا یاد می کند نقل کرده است؛ خط: نستعلیق، بی کا، تا: ۱۳۱۹ق، جا: نجف؛ کاغذ: فرنگی نخودی، جلد: تیماج زرشکی مقوایی ضربی مجدول، اندرون آستری ،کاغذی، ۲۴۷گ، ۲۱ 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۱۵ - ۲۶۷]</w:t>
      </w:r>
    </w:p>
    <w:p>
      <w:pPr>
        <w:pStyle w:val="BookText"/>
      </w:pPr>
      <w:r>
        <w:rPr>
          <w:rFonts w:ascii="IRNazanin" w:hAnsi="IRNazanin" w:eastAsia="IRNazanin" w:cs="IRNazanin"/>
          <w:lang w:bidi="fa-IR"/>
          <w:color w:val="111111"/>
          <w:sz w:val="28"/>
          <w:szCs w:val="28"/>
          <w:rtl/>
        </w:rPr>
        <w:t xml:space="preserve">۲۳. قم؛ مسجد اعظم؛ شماره نسخه: ۸۲۵/۸</w:t>
      </w:r>
    </w:p>
    <w:p>
      <w:pPr>
        <w:pStyle w:val="BookText"/>
      </w:pPr>
      <w:r>
        <w:rPr>
          <w:rFonts w:ascii="Amiri" w:hAnsi="Amiri" w:eastAsia="Amiri" w:cs="Amiri"/>
          <w:lang w:bidi="ar-SA"/>
          <w:color w:val="111111"/>
          <w:sz w:val="28"/>
          <w:szCs w:val="28"/>
          <w:rtl/>
        </w:rPr>
        <w:t xml:space="preserve">آغاز: قال سيد المشايخ فى رسالة ... استصحاب حال العقل اعلم ان في الأمور التي لا يرتاب فيه ذو مسكة ان كل ممكن من الامور الممكنه مسبوق بالعدم السابق؛ انجام: لانزاع لاحد في ثبوت الحكم فى الان الثانى الا انه لايخرج عن محل الفرض وهو بيان ما يمكن فيه جريان الاستصحاب ولعل عدم عد بعض الافاضل هذا الوجه مما يجرى فيه الاستصحاب نظراً منه الى الاستصحاب  المختلف في حجيته لامطلق الاستصحاب كله ربما يتوهم</w:t>
      </w:r>
    </w:p>
    <w:p>
      <w:pPr>
        <w:pStyle w:val="BookText"/>
      </w:pPr>
      <w:r>
        <w:rPr>
          <w:rFonts w:ascii="IRNazanin" w:hAnsi="IRNazanin" w:eastAsia="IRNazanin" w:cs="IRNazanin"/>
          <w:lang w:bidi="fa-IR"/>
          <w:color w:val="111111"/>
          <w:sz w:val="28"/>
          <w:szCs w:val="28"/>
          <w:rtl/>
        </w:rPr>
        <w:t xml:space="preserve">یک بخش از رساله ای است که سید المشايخ (؟) که در آن دو مسأله اجماع و استصحاب را بررسی کرده است؛ خط: نستعلیق، بی کا، بی تا؛ جلد: تیماج زرشکی بدون مقوا مجدول، ۲گ،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مخ: ۱ - ۱۴۰]</w:t>
      </w:r>
    </w:p>
    <w:p>
      <w:pPr>
        <w:pStyle w:val="BookText"/>
      </w:pPr>
      <w:r>
        <w:rPr>
          <w:rFonts w:ascii="IRNazanin" w:hAnsi="IRNazanin" w:eastAsia="IRNazanin" w:cs="IRNazanin"/>
          <w:lang w:bidi="fa-IR"/>
          <w:color w:val="111111"/>
          <w:sz w:val="28"/>
          <w:szCs w:val="28"/>
          <w:rtl/>
        </w:rPr>
        <w:t xml:space="preserve">۲۴. قم؛ گلپایگانی؛ شماره نسخه: ۸۶۴۷/۲-۵۸/۹۷</w:t>
      </w:r>
    </w:p>
    <w:p>
      <w:pPr>
        <w:pStyle w:val="BookText"/>
      </w:pPr>
      <w:r>
        <w:rPr>
          <w:rFonts w:ascii="Amiri" w:hAnsi="Amiri" w:eastAsia="Amiri" w:cs="Amiri"/>
          <w:lang w:bidi="ar-SA"/>
          <w:color w:val="111111"/>
          <w:sz w:val="28"/>
          <w:szCs w:val="28"/>
          <w:rtl/>
        </w:rPr>
        <w:t xml:space="preserve">آغاز: بسمله الاستصحاب وهو الحكم على وجود الشيء او عدمه في الحال للعلم بوجوده او عدمه في الماضي</w:t>
      </w:r>
    </w:p>
    <w:p>
      <w:pPr>
        <w:pStyle w:val="BookText"/>
      </w:pPr>
      <w:r>
        <w:rPr>
          <w:rFonts w:ascii="IRNazanin" w:hAnsi="IRNazanin" w:eastAsia="IRNazanin" w:cs="IRNazanin"/>
          <w:lang w:bidi="fa-IR"/>
          <w:color w:val="111111"/>
          <w:sz w:val="28"/>
          <w:szCs w:val="28"/>
          <w:rtl/>
        </w:rPr>
        <w:t xml:space="preserve">برگ اول از رساله ای است در اصول الفقه؛ خط: نستعلیق، بی کا، بی تا؛ اگ (۱۰۱)، ۱۵ 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۱ - ۳۳۷]</w:t>
      </w:r>
    </w:p>
    <w:p>
      <w:pPr>
        <w:pStyle w:val="BookText"/>
      </w:pPr>
      <w:r>
        <w:rPr>
          <w:rFonts w:ascii="IRNazanin" w:hAnsi="IRNazanin" w:eastAsia="IRNazanin" w:cs="IRNazanin"/>
          <w:lang w:bidi="fa-IR"/>
          <w:color w:val="111111"/>
          <w:sz w:val="28"/>
          <w:szCs w:val="28"/>
          <w:rtl/>
        </w:rPr>
        <w:t xml:space="preserve">۲۵. تهران؛ مجلس؛ شماره نسخه: ۳۷۴۸/۲</w:t>
      </w:r>
    </w:p>
    <w:p>
      <w:pPr>
        <w:pStyle w:val="BookText"/>
      </w:pPr>
      <w:r>
        <w:rPr>
          <w:rFonts w:ascii="IRNazanin" w:hAnsi="IRNazanin" w:eastAsia="IRNazanin" w:cs="IRNazanin"/>
          <w:lang w:bidi="fa-IR"/>
          <w:color w:val="111111"/>
          <w:sz w:val="28"/>
          <w:szCs w:val="28"/>
          <w:rtl/>
        </w:rPr>
        <w:t xml:space="preserve">آغاز: بسمله، الحمد لله رب العالمين والصلوة على محمد وآله الطاهرین ... اما بعد فلما كان الواجب على كل احد معرفة اصول الديانات و فروع الاعتقادات كفاية او عيناً؛ انجام: فان اصبت فمن لطف الله تعالى و ان اخطئت فليس الخطاء ببعيد عن العلماء فكيف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91" w:name="pg20365_260282"/>
    <w:bookmarkEnd w:id="191"/>
    <w:p>
      <w:pPr>
        <w:pStyle w:val="BookText"/>
      </w:pPr>
      <w:r>
        <w:rPr>
          <w:rFonts w:ascii="Amiri" w:hAnsi="Amiri" w:eastAsia="Amiri" w:cs="Amiri"/>
          <w:lang w:bidi="ar-SA"/>
          <w:color w:val="111111"/>
          <w:sz w:val="28"/>
          <w:szCs w:val="28"/>
          <w:rtl/>
        </w:rPr>
        <w:t xml:space="preserve">بامثالى. تمت الكتاب بعون الملك الوهاب.</w:t>
      </w:r>
    </w:p>
    <w:p>
      <w:pPr>
        <w:pStyle w:val="BookText"/>
      </w:pPr>
      <w:r>
        <w:rPr>
          <w:rFonts w:ascii="IRNazanin" w:hAnsi="IRNazanin" w:eastAsia="IRNazanin" w:cs="IRNazanin"/>
          <w:lang w:bidi="fa-IR"/>
          <w:color w:val="111111"/>
          <w:sz w:val="28"/>
          <w:szCs w:val="28"/>
          <w:rtl/>
        </w:rPr>
        <w:t xml:space="preserve">دارای یک «مقدمه» و دو «فصل» و یک «خاتمه»؛ خط: نسـخ، بی کا، بی تا، کاغذ: فرنگی، جلد: تیماج  عنابی،۱۱۱ص (144-۲۵۴)، ۱۸ سطر، قطع: خشتی،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 ۱۰ - 1732]</w:t>
      </w:r>
    </w:p>
    <w:p>
      <w:pPr>
        <w:pStyle w:val="BookText"/>
      </w:pPr>
      <w:r>
        <w:rPr>
          <w:rFonts w:ascii="IRNazanin" w:hAnsi="IRNazanin" w:eastAsia="IRNazanin" w:cs="IRNazanin"/>
          <w:lang w:bidi="fa-IR"/>
          <w:color w:val="111111"/>
          <w:sz w:val="28"/>
          <w:szCs w:val="28"/>
          <w:rtl/>
        </w:rPr>
        <w:t xml:space="preserve">۲۶. بشرویه؛ امیرالمؤمنین؛ شماره نسخه: ۶۹/۳</w:t>
      </w:r>
    </w:p>
    <w:p>
      <w:pPr>
        <w:pStyle w:val="BookText"/>
      </w:pPr>
      <w:r>
        <w:rPr>
          <w:rFonts w:ascii="IRNazanin" w:hAnsi="IRNazanin" w:eastAsia="IRNazanin" w:cs="IRNazanin"/>
          <w:lang w:bidi="fa-IR"/>
          <w:color w:val="111111"/>
          <w:sz w:val="28"/>
          <w:szCs w:val="28"/>
          <w:rtl/>
        </w:rPr>
        <w:t xml:space="preserve">آغاز: رسالة في الاستصحاب و هو الثانى من الادلة العقلية التى لم يستقل العقل فيه بل يحتاج الى ورود الشرع و ثبوت منه عند جماعة؛ انجام: يجرى الاستصحاب فى التكليف و الوضع  و المطلق والمقيد فى الداخل دون الخارج و يزيد المفيد رساله بسیار مختصری در بررسی حجیت شرعی و مسایل مربوط به اصل استصحاب است برخی عناوین آن عبارت است از الكلام فى المرام يقع فى عدة مقام، الاول في تحديده اما لغة  من المصاحبة او طلبه، ثم ينقسم الاستصحاب بحسب المستصحب الی اربعة اقسام الاول استصحاب حال  العقل الثانى استصحاب حـکم الشرع الثالث استصحاب حال الشرع؛ خط: نسخ، بی کا، بی تا،جلد: تیماج مشکی ، فاقد طبله دوم، ۱۷گ (۱۹۴ر-۱۱۰پ)،  12سطر،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مخ]</w:t>
      </w:r>
    </w:p>
    <w:p>
      <w:pPr>
        <w:pStyle w:val="BookText"/>
      </w:pPr>
      <w:r>
        <w:rPr>
          <w:rFonts w:ascii="IRNazanin" w:hAnsi="IRNazanin" w:eastAsia="IRNazanin" w:cs="IRNazanin"/>
          <w:lang w:bidi="fa-IR"/>
          <w:color w:val="111111"/>
          <w:sz w:val="28"/>
          <w:szCs w:val="28"/>
          <w:rtl/>
        </w:rPr>
        <w:t xml:space="preserve">۲۷. تهران؛ مجلس؛ شماره نسخه: ۱۷۱۱۸</w:t>
      </w:r>
    </w:p>
    <w:p>
      <w:pPr>
        <w:pStyle w:val="BookText"/>
      </w:pPr>
      <w:r>
        <w:rPr>
          <w:rFonts w:ascii="IRNazanin" w:hAnsi="IRNazanin" w:eastAsia="IRNazanin" w:cs="IRNazanin"/>
          <w:lang w:bidi="fa-IR"/>
          <w:color w:val="111111"/>
          <w:sz w:val="28"/>
          <w:szCs w:val="28"/>
          <w:rtl/>
        </w:rPr>
        <w:t xml:space="preserve">تالیف یکی از علماء بعد از شیخ انصاری؛ بی کا، بی تا [د.ث. مجلس ]</w:t>
      </w:r>
    </w:p>
    <w:p>
      <w:pPr>
        <w:pStyle w:val="BookText"/>
      </w:pPr>
      <w:r>
        <w:rPr>
          <w:rFonts w:ascii="IRNazanin" w:hAnsi="IRNazanin" w:eastAsia="IRNazanin" w:cs="IRNazanin"/>
          <w:lang w:bidi="fa-IR"/>
          <w:color w:val="111111"/>
          <w:sz w:val="28"/>
          <w:szCs w:val="28"/>
          <w:rtl/>
        </w:rPr>
        <w:t xml:space="preserve">28.اراک؛ دهگان؛ شماره نسخه: ۲۲۳/۳</w:t>
      </w:r>
    </w:p>
    <w:p>
      <w:pPr>
        <w:pStyle w:val="BookText"/>
      </w:pPr>
      <w:r>
        <w:rPr>
          <w:rFonts w:ascii="Amiri" w:hAnsi="Amiri" w:eastAsia="Amiri" w:cs="Amiri"/>
          <w:lang w:bidi="ar-SA"/>
          <w:color w:val="111111"/>
          <w:sz w:val="28"/>
          <w:szCs w:val="28"/>
          <w:rtl/>
        </w:rPr>
        <w:t xml:space="preserve">آغاز: عند الانتفاء وقد يمنع  هذا الدليل</w:t>
      </w:r>
    </w:p>
    <w:p>
      <w:pPr>
        <w:pStyle w:val="BookText"/>
      </w:pPr>
      <w:r>
        <w:rPr>
          <w:rFonts w:ascii="IRNazanin" w:hAnsi="IRNazanin" w:eastAsia="IRNazanin" w:cs="IRNazanin"/>
          <w:lang w:bidi="fa-IR"/>
          <w:color w:val="111111"/>
          <w:sz w:val="28"/>
          <w:szCs w:val="28"/>
          <w:rtl/>
        </w:rPr>
        <w:t xml:space="preserve">مشتمل بر «المقام الثالث: فى بيان المستفاد منها هل السـیئه المنحصره»؛ خط: نسخ و نستعلیق، بی کا، بی تا؛ افتادگی: آغاز انجام؛ کاغذ: لیموئی، ۸گ (۵۵ر - ۶۲ پ)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  ف: 2- 301]</w:t>
      </w:r>
    </w:p>
    <w:p>
      <w:pPr>
        <w:pStyle w:val="Heading3"/>
      </w:pPr>
      <w:bookmarkStart w:id="1180" w:name="_Toc702"/>
      <w:r>
        <w:t>الاستصحابية / استصحاب / عربي</w:t>
      </w:r>
      <w:bookmarkEnd w:id="1180"/>
    </w:p>
    <w:p>
      <w:pPr>
        <w:pStyle w:val="BookText"/>
      </w:pPr>
      <w:r>
        <w:rPr>
          <w:rFonts w:ascii="Times New Roman" w:hAnsi="Times New Roman" w:eastAsia="Times New Roman" w:cs="Times New Roman"/>
          <w:lang w:val="en-US" w:bidi="en-US"/>
          <w:color w:val="111111"/>
          <w:sz w:val="28"/>
          <w:szCs w:val="28"/>
          <w:rtl/>
        </w:rPr>
        <w:t xml:space="preserve">al-istiṣḥābīyya</w:t>
      </w:r>
    </w:p>
    <w:p>
      <w:pPr>
        <w:pStyle w:val="BookText"/>
      </w:pPr>
      <w:r>
        <w:rPr>
          <w:rFonts w:ascii="IRNazanin" w:hAnsi="IRNazanin" w:eastAsia="IRNazanin" w:cs="IRNazanin"/>
          <w:lang w:bidi="fa-IR"/>
          <w:color w:val="111111"/>
          <w:sz w:val="28"/>
          <w:szCs w:val="28"/>
          <w:rtl/>
        </w:rPr>
        <w:t xml:space="preserve">قطعه ای از کتاب مفصل در اصول فقه با عناوین «المصباح» که مؤلف در آن از صاحب قوانین (- ۱۲۳۱ق) نام برده و بیشتر از مطالب محقق خوانساری استفاده می کند ،محتمل است کتاب« مصابيح الاصول» مولی محمد جعفر شریعتمدار استرآبادی (-۱۲۶۰ق) ویا محمد مهدی کلباسی اصفهانی (-۱۲۷۸ق) بوده باشد.</w:t>
      </w:r>
    </w:p>
    <w:p>
      <w:pPr>
        <w:pStyle w:val="BookText"/>
      </w:pPr>
      <w:r>
        <w:rPr>
          <w:rFonts w:ascii="IRNazanin" w:hAnsi="IRNazanin" w:eastAsia="IRNazanin" w:cs="IRNazanin"/>
          <w:lang w:bidi="fa-IR"/>
          <w:color w:val="111111"/>
          <w:sz w:val="28"/>
          <w:szCs w:val="28"/>
          <w:rtl/>
        </w:rPr>
        <w:t xml:space="preserve">١ . قم؛ مسجد اعظم؛ شماره نسخه: ۳۲۶۹/۳</w:t>
      </w:r>
    </w:p>
    <w:p>
      <w:pPr>
        <w:pStyle w:val="BookText"/>
      </w:pPr>
      <w:r>
        <w:rPr>
          <w:rFonts w:ascii="IRNazanin" w:hAnsi="IRNazanin" w:eastAsia="IRNazanin" w:cs="IRNazanin"/>
          <w:lang w:bidi="fa-IR"/>
          <w:color w:val="111111"/>
          <w:sz w:val="28"/>
          <w:szCs w:val="28"/>
          <w:rtl/>
        </w:rPr>
        <w:t xml:space="preserve">آغاز: بسمله مصباح هل الاستصحاب حجة فيه اقوال تحقيق فيه يقتضى رسم امور [الاول] [فلا سقر] ديدن الاصوليين البحث اعنى الاستصحاب فى طى مباحث الادلة العقليه و هذا؛ انجام: فلا يخلو عن اقسام الاول ان لايكون وجود المزيل معيوماً اصلاً و انما يكون احتمال زوال الأمر المتيقن باحتمال وجود و الظاهر عدم صحت استصحاب العدم الى الزمان  نام کتاب به استناد نسخه ش ۴۶۱۷/۳ مدرسه غرب همدان تعیین شد. در فهرست به نام «مصباح الاصول» آمده است؛ خط: نستعلیق، بی کا، تا: قرن ۱۳؛ افتادگی انجام؛ مصحح؛ ۳۰گ، ۲۱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مخ: ۵ - ۲۰۱۳]</w:t>
      </w:r>
    </w:p>
    <w:p>
      <w:pPr>
        <w:pStyle w:val="BookText"/>
      </w:pPr>
      <w:r>
        <w:rPr>
          <w:rFonts w:ascii="IRNazanin" w:hAnsi="IRNazanin" w:eastAsia="IRNazanin" w:cs="IRNazanin"/>
          <w:lang w:bidi="fa-IR"/>
          <w:color w:val="111111"/>
          <w:sz w:val="28"/>
          <w:szCs w:val="28"/>
          <w:rtl/>
        </w:rPr>
        <w:t xml:space="preserve">۲. همدان؛ مدرسه غرب؛ شماره نسخه: ۴۶۱۷/۳</w:t>
      </w:r>
    </w:p>
    <w:p>
      <w:pPr>
        <w:pStyle w:val="BookText"/>
      </w:pPr>
      <w:r>
        <w:rPr>
          <w:rFonts w:ascii="IRNazanin" w:hAnsi="IRNazanin" w:eastAsia="IRNazanin" w:cs="IRNazanin"/>
          <w:lang w:bidi="fa-IR"/>
          <w:color w:val="111111"/>
          <w:sz w:val="28"/>
          <w:szCs w:val="28"/>
          <w:rtl/>
        </w:rPr>
        <w:t xml:space="preserve">آغاز: مصباح هل الاستصحاب حجة فيه اقوال تحقيق الكلام فيه يقتضى رسم امور الاول قد استقر ديدن الاصوليين على البحث الاستصحاب فى طى مباحث الادلة العقليه و هذا يقتضى كونه منها و لا يخ عن اشكال؛ انجام: تتميم، لا خلاف ظاهرا بين الاصحاب فى توقف العمل با الاستصحاب على البحث و الفحص عن الدليل اذا كانفى الاحكام الشرعية كما هو الحال في مطلق الاصول التعبديه ... فلا اشكال من تلك الجهة ايض تمت الرسالة الاستصحابيه من تاليفات ... استاذنا العلامة زيده عمره و فضله في عصر يوم الجمعة من شهر الثانی سنه ۱۲۵۹ ربيع</w:t>
      </w:r>
    </w:p>
    <w:p>
      <w:pPr>
        <w:pStyle w:val="BookText"/>
      </w:pPr>
      <w:r>
        <w:rPr>
          <w:rFonts w:ascii="IRNazanin" w:hAnsi="IRNazanin" w:eastAsia="IRNazanin" w:cs="IRNazanin"/>
          <w:lang w:bidi="fa-IR"/>
          <w:color w:val="111111"/>
          <w:sz w:val="28"/>
          <w:szCs w:val="28"/>
          <w:rtl/>
        </w:rPr>
        <w:t xml:space="preserve">الثانی سنه 1259</w:t>
      </w:r>
    </w:p>
    <w:p>
      <w:pPr>
        <w:pStyle w:val="BookText"/>
      </w:pPr>
      <w:r>
        <w:rPr>
          <w:rFonts w:ascii="IRNazanin" w:hAnsi="IRNazanin" w:eastAsia="IRNazanin" w:cs="IRNazanin"/>
          <w:lang w:bidi="fa-IR"/>
          <w:color w:val="111111"/>
          <w:sz w:val="28"/>
          <w:szCs w:val="28"/>
          <w:rtl/>
        </w:rPr>
        <w:t xml:space="preserve">خط: نستعلیق، بی کا، تا: جمعه ربیع الثانی ۱۲۵۹ق؛ قطع: خشتی  [رشت و همدان - ف: ۱۵۱۱]</w:t>
      </w:r>
    </w:p>
    <w:p>
      <w:pPr>
        <w:pStyle w:val="BookText"/>
      </w:pPr>
      <w:r>
        <w:rPr>
          <w:rFonts w:ascii="Amiri" w:hAnsi="Amiri" w:eastAsia="Amiri" w:cs="Amiri"/>
          <w:lang w:bidi="ar-SA"/>
          <w:color w:val="111111"/>
          <w:sz w:val="28"/>
          <w:szCs w:val="28"/>
          <w:rtl/>
        </w:rPr>
        <w:t xml:space="preserve">«استضاءة الجو » حد الجسم</w:t>
      </w:r>
    </w:p>
    <w:p>
      <w:pPr>
        <w:pStyle w:val="Heading3"/>
      </w:pPr>
      <w:bookmarkStart w:id="1181" w:name="_Toc703"/>
      <w:r>
        <w:t>الاستطاعة و الاختيار / فلسفه / عربي</w:t>
      </w:r>
      <w:bookmarkEnd w:id="1181"/>
    </w:p>
    <w:p>
      <w:pPr>
        <w:pStyle w:val="BookText"/>
      </w:pPr>
      <w:r>
        <w:rPr>
          <w:rFonts w:ascii="Times New Roman" w:hAnsi="Times New Roman" w:eastAsia="Times New Roman" w:cs="Times New Roman"/>
          <w:lang w:val="en-US" w:bidi="en-US"/>
          <w:color w:val="111111"/>
          <w:sz w:val="28"/>
          <w:szCs w:val="28"/>
          <w:rtl/>
        </w:rPr>
        <w:t xml:space="preserve">al-istiṭā‘a wa-l-ixtīyār</w:t>
      </w:r>
    </w:p>
    <w:p>
      <w:pPr>
        <w:pStyle w:val="BookText"/>
      </w:pPr>
      <w:r>
        <w:rPr>
          <w:rFonts w:ascii="IRNazanin" w:hAnsi="IRNazanin" w:eastAsia="IRNazanin" w:cs="IRNazanin"/>
          <w:lang w:bidi="fa-IR"/>
          <w:color w:val="111111"/>
          <w:sz w:val="28"/>
          <w:szCs w:val="28"/>
          <w:rtl/>
        </w:rPr>
        <w:t xml:space="preserve">اسکندر افرودیسی، ق۳ میلادی</w:t>
      </w:r>
    </w:p>
    <w:p>
      <w:pPr>
        <w:pStyle w:val="BookText"/>
      </w:pPr>
      <w:r>
        <w:rPr>
          <w:rFonts w:ascii="Times New Roman" w:hAnsi="Times New Roman" w:eastAsia="Times New Roman" w:cs="Times New Roman"/>
          <w:lang w:val="en-US" w:bidi="en-US"/>
          <w:color w:val="111111"/>
          <w:sz w:val="28"/>
          <w:szCs w:val="28"/>
          <w:rtl/>
        </w:rPr>
        <w:t xml:space="preserve">(eskandar āfrūdīsī (- 3c)</w:t>
      </w:r>
    </w:p>
    <w:p>
      <w:pPr>
        <w:pStyle w:val="BookText"/>
      </w:pPr>
      <w:r>
        <w:rPr>
          <w:rFonts w:ascii="IRNazanin" w:hAnsi="IRNazanin" w:eastAsia="IRNazanin" w:cs="IRNazanin"/>
          <w:lang w:bidi="fa-IR"/>
          <w:color w:val="111111"/>
          <w:sz w:val="28"/>
          <w:szCs w:val="28"/>
          <w:rtl/>
        </w:rPr>
        <w:t xml:space="preserve">چاپ: تحقیق عبدالرحمن بدوی در شروح على ارسطو مفقودة في اليونانية و رسائل اخرى (بيروت، دارالمشرق: ۱۹۷۱م)</w:t>
      </w:r>
    </w:p>
    <w:p>
      <w:pPr>
        <w:pStyle w:val="BookText"/>
      </w:pPr>
      <w:r>
        <w:rPr>
          <w:rFonts w:ascii="IRNazanin" w:hAnsi="IRNazanin" w:eastAsia="IRNazanin" w:cs="IRNazanin"/>
          <w:lang w:bidi="fa-IR"/>
          <w:color w:val="111111"/>
          <w:sz w:val="28"/>
          <w:szCs w:val="28"/>
          <w:rtl/>
        </w:rPr>
        <w:t xml:space="preserve">۱. تهران؛ الهیات, شماره نسخه: ۲۴۲/۶۷</w:t>
      </w:r>
    </w:p>
    <w:p>
      <w:pPr>
        <w:pStyle w:val="BookText"/>
      </w:pPr>
      <w:r>
        <w:rPr>
          <w:rFonts w:ascii="IRNazanin" w:hAnsi="IRNazanin" w:eastAsia="IRNazanin" w:cs="IRNazanin"/>
          <w:lang w:bidi="fa-IR"/>
          <w:color w:val="111111"/>
          <w:sz w:val="28"/>
          <w:szCs w:val="28"/>
          <w:rtl/>
        </w:rPr>
        <w:t xml:space="preserve">خط: شکسته نستعلیق، بی کا، تا: قرن ۱۱؛ کاغذ: سپاهانی، جلد: تيماج سرخ  مقوایی، ۳گ (۳۱۷پ-۳۱۹پ)، ۲۴ - 23 سطر(۱۲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 ،اندازه: 17/5</w:t>
      </w:r>
      <w:r>
        <w:rPr>
          <w:rFonts w:ascii="Times New Roman" w:hAnsi="Times New Roman" w:eastAsia="Times New Roman" w:cs="Times New Roman"/>
          <w:lang w:val="en-US" w:bidi="en-US"/>
          <w:color w:val="111111"/>
          <w:sz w:val="28"/>
          <w:szCs w:val="28"/>
          <w:rtl/>
        </w:rPr>
        <w:t xml:space="preserve">×27 [</w:t>
      </w:r>
      <w:r>
        <w:rPr>
          <w:rFonts w:ascii="IRNazanin" w:hAnsi="IRNazanin" w:eastAsia="IRNazanin" w:cs="IRNazanin"/>
          <w:lang w:bidi="fa-IR"/>
          <w:color w:val="111111"/>
          <w:sz w:val="28"/>
          <w:szCs w:val="28"/>
          <w:rtl/>
        </w:rPr>
        <w:t xml:space="preserve">ف: ۱۴۸]</w:t>
      </w:r>
    </w:p>
    <w:p>
      <w:pPr>
        <w:pStyle w:val="BookText"/>
      </w:pPr>
      <w:r>
        <w:rPr>
          <w:rFonts w:ascii="IRNazanin" w:hAnsi="IRNazanin" w:eastAsia="IRNazanin" w:cs="IRNazanin"/>
          <w:lang w:bidi="fa-IR"/>
          <w:color w:val="111111"/>
          <w:sz w:val="28"/>
          <w:szCs w:val="28"/>
          <w:rtl/>
        </w:rPr>
        <w:t xml:space="preserve">۲. تهران؛ مجلس؛ شماره نسخه: ۱۳۶۷/۱۱ط</w:t>
      </w:r>
    </w:p>
    <w:p>
      <w:pPr>
        <w:pStyle w:val="BookText"/>
      </w:pPr>
      <w:r>
        <w:rPr>
          <w:rFonts w:ascii="Amiri" w:hAnsi="Amiri" w:eastAsia="Amiri" w:cs="Amiri"/>
          <w:lang w:bidi="ar-SA"/>
          <w:color w:val="111111"/>
          <w:sz w:val="28"/>
          <w:szCs w:val="28"/>
          <w:rtl/>
        </w:rPr>
        <w:t xml:space="preserve">آغاز: بسمله. مقاله للاسكندر ... قال ان الانسان اكرم الاشياء التي تكونها وتقومها القوة الالهيه؛ انجام: و اهل الفضل صارواافضل ... بالاختيار منهم.</w:t>
      </w:r>
    </w:p>
    <w:p>
      <w:pPr>
        <w:pStyle w:val="BookText"/>
      </w:pPr>
      <w:r>
        <w:rPr>
          <w:rFonts w:ascii="IRNazanin" w:hAnsi="IRNazanin" w:eastAsia="IRNazanin" w:cs="IRNazanin"/>
          <w:lang w:bidi="fa-IR"/>
          <w:color w:val="111111"/>
          <w:sz w:val="28"/>
          <w:szCs w:val="28"/>
          <w:rtl/>
        </w:rPr>
        <w:t xml:space="preserve">خط: نستعلیق، بی کا، بی تا؛ جلد: تیماج مشکی، ۶ص (۲۶۵-۲۷۰)،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۱۸/۵سم [ف: ۲۴/۳ - ۹۲]</w:t>
      </w:r>
    </w:p>
    <w:p>
      <w:pPr>
        <w:pStyle w:val="Heading3"/>
      </w:pPr>
      <w:bookmarkStart w:id="1182" w:name="_Toc704"/>
      <w:r>
        <w:t>الاستظهار / فقه / عربي</w:t>
      </w:r>
      <w:bookmarkEnd w:id="1182"/>
    </w:p>
    <w:p>
      <w:pPr>
        <w:pStyle w:val="BookText"/>
      </w:pPr>
      <w:r>
        <w:rPr>
          <w:rFonts w:ascii="Times New Roman" w:hAnsi="Times New Roman" w:eastAsia="Times New Roman" w:cs="Times New Roman"/>
          <w:lang w:val="en-US" w:bidi="en-US"/>
          <w:color w:val="111111"/>
          <w:sz w:val="28"/>
          <w:szCs w:val="28"/>
          <w:rtl/>
        </w:rPr>
        <w:t xml:space="preserve">al-istizhār</w:t>
      </w:r>
    </w:p>
    <w:p>
      <w:pPr>
        <w:pStyle w:val="BookText"/>
      </w:pPr>
      <w:r>
        <w:rPr>
          <w:rFonts w:ascii="IRNazanin" w:hAnsi="IRNazanin" w:eastAsia="IRNazanin" w:cs="IRNazanin"/>
          <w:lang w:bidi="fa-IR"/>
          <w:color w:val="111111"/>
          <w:sz w:val="28"/>
          <w:szCs w:val="28"/>
          <w:rtl/>
        </w:rPr>
        <w:t xml:space="preserve">طباطبائی کربلائی، علی بن محمد علی، ۱۱۶۱ - ۱۲۳۱  قمری</w:t>
      </w:r>
    </w:p>
    <w:p>
      <w:pPr>
        <w:pStyle w:val="BookText"/>
      </w:pPr>
      <w:r>
        <w:rPr>
          <w:rFonts w:ascii="Times New Roman" w:hAnsi="Times New Roman" w:eastAsia="Times New Roman" w:cs="Times New Roman"/>
          <w:lang w:val="en-US" w:bidi="en-US"/>
          <w:color w:val="111111"/>
          <w:sz w:val="28"/>
          <w:szCs w:val="28"/>
          <w:rtl/>
        </w:rPr>
        <w:t xml:space="preserve">(1816-tabātabā❜ī karbala'ī, 'alī ebn-e mohammad 'alī (1748 -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92" w:name="pg20365_260283"/>
    <w:bookmarkEnd w:id="192"/>
    <w:p>
      <w:pPr>
        <w:pStyle w:val="BookText"/>
      </w:pPr>
      <w:r>
        <w:rPr>
          <w:rFonts w:ascii="IRNazanin" w:hAnsi="IRNazanin" w:eastAsia="IRNazanin" w:cs="IRNazanin"/>
          <w:lang w:bidi="fa-IR"/>
          <w:color w:val="111111"/>
          <w:sz w:val="28"/>
          <w:szCs w:val="28"/>
          <w:rtl/>
        </w:rPr>
        <w:t xml:space="preserve">رساله ای است در تحقیق حكم استظهار حائضه.</w:t>
      </w:r>
    </w:p>
    <w:p>
      <w:pPr>
        <w:pStyle w:val="BookText"/>
      </w:pPr>
      <w:r>
        <w:rPr>
          <w:rFonts w:ascii="IRNazanin" w:hAnsi="IRNazanin" w:eastAsia="IRNazanin" w:cs="IRNazanin"/>
          <w:lang w:bidi="fa-IR"/>
          <w:color w:val="111111"/>
          <w:sz w:val="28"/>
          <w:szCs w:val="28"/>
          <w:rtl/>
        </w:rPr>
        <w:t xml:space="preserve">[روضات الجنات ۴۰۰/۴]</w:t>
      </w:r>
    </w:p>
    <w:p>
      <w:pPr>
        <w:pStyle w:val="BookText"/>
      </w:pPr>
      <w:r>
        <w:rPr>
          <w:rFonts w:ascii="IRNazanin" w:hAnsi="IRNazanin" w:eastAsia="IRNazanin" w:cs="IRNazanin"/>
          <w:lang w:bidi="fa-IR"/>
          <w:color w:val="111111"/>
          <w:sz w:val="28"/>
          <w:szCs w:val="28"/>
          <w:rtl/>
        </w:rPr>
        <w:t xml:space="preserve">تهران؛ ملی؛ شماره نسخه: ۳۵۱۹/۶</w:t>
      </w:r>
    </w:p>
    <w:p>
      <w:pPr>
        <w:pStyle w:val="BookText"/>
      </w:pPr>
      <w:r>
        <w:rPr>
          <w:rFonts w:ascii="IRNazanin" w:hAnsi="IRNazanin" w:eastAsia="IRNazanin" w:cs="IRNazanin"/>
          <w:lang w:bidi="fa-IR"/>
          <w:color w:val="111111"/>
          <w:sz w:val="28"/>
          <w:szCs w:val="28"/>
          <w:rtl/>
        </w:rPr>
        <w:t xml:space="preserve">آغاز: الحمد لله رب العالمين والصلوه على محمد و آله الطاهرین.</w:t>
      </w:r>
    </w:p>
    <w:p>
      <w:pPr>
        <w:pStyle w:val="BookText"/>
      </w:pPr>
      <w:r>
        <w:rPr>
          <w:rFonts w:ascii="Amiri" w:hAnsi="Amiri" w:eastAsia="Amiri" w:cs="Amiri"/>
          <w:lang w:bidi="ar-SA"/>
          <w:color w:val="111111"/>
          <w:sz w:val="28"/>
          <w:szCs w:val="28"/>
          <w:rtl/>
        </w:rPr>
        <w:t xml:space="preserve">اما بعد، فلا يخفى على جنابكم انه قد حصلت للحقير شبهه في ما ذكره في الحكم لذات العده بعد استظهارها بالايام المعهوده؛</w:t>
      </w:r>
    </w:p>
    <w:p>
      <w:pPr>
        <w:pStyle w:val="BookText"/>
      </w:pPr>
      <w:r>
        <w:rPr>
          <w:rFonts w:ascii="Amiri" w:hAnsi="Amiri" w:eastAsia="Amiri" w:cs="Amiri"/>
          <w:lang w:bidi="ar-SA"/>
          <w:color w:val="111111"/>
          <w:sz w:val="28"/>
          <w:szCs w:val="28"/>
          <w:rtl/>
        </w:rPr>
        <w:t xml:space="preserve">انجام: واسال الله واياكم ان يندفع عنى الشبهات المذكور و اهتدى الى ما انقعدت عليه الشهره العظيمه ... و ان العالم بضمـائر العباد. فمنوا على عبيدكم بكشف ما اظهره من الشبهات لديكم.</w:t>
      </w:r>
    </w:p>
    <w:p>
      <w:pPr>
        <w:pStyle w:val="BookText"/>
      </w:pPr>
      <w:r>
        <w:rPr>
          <w:rFonts w:ascii="IRNazanin" w:hAnsi="IRNazanin" w:eastAsia="IRNazanin" w:cs="IRNazanin"/>
          <w:lang w:bidi="fa-IR"/>
          <w:color w:val="111111"/>
          <w:sz w:val="28"/>
          <w:szCs w:val="28"/>
          <w:rtl/>
        </w:rPr>
        <w:t xml:space="preserve">خط: نستعلیق، بی کا، بی تا؛ مصحح؛ مهر: «عبده محمد حسن، ۱۱۳۶؛ کاغذ: فرنگی، نخودی ،جلد: تیماج تریاکی یک لا، ۵ص (۱۷۲-۱۶۸)، ۲۷ سطر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۱۶ - 40]</w:t>
      </w:r>
    </w:p>
    <w:p>
      <w:pPr>
        <w:pStyle w:val="Heading3"/>
      </w:pPr>
      <w:bookmarkStart w:id="1183" w:name="_Toc705"/>
      <w:r>
        <w:t>الاستظهار / فقه / عربي</w:t>
      </w:r>
      <w:bookmarkEnd w:id="1183"/>
    </w:p>
    <w:p>
      <w:pPr>
        <w:pStyle w:val="BookText"/>
      </w:pPr>
      <w:r>
        <w:rPr>
          <w:rFonts w:ascii="Times New Roman" w:hAnsi="Times New Roman" w:eastAsia="Times New Roman" w:cs="Times New Roman"/>
          <w:lang w:val="en-US" w:bidi="en-US"/>
          <w:color w:val="111111"/>
          <w:sz w:val="28"/>
          <w:szCs w:val="28"/>
          <w:rtl/>
        </w:rPr>
        <w:t xml:space="preserve">al-istiẓhār</w:t>
      </w:r>
    </w:p>
    <w:p>
      <w:pPr>
        <w:pStyle w:val="BookText"/>
      </w:pPr>
      <w:r>
        <w:rPr>
          <w:rFonts w:ascii="IRNazanin" w:hAnsi="IRNazanin" w:eastAsia="IRNazanin" w:cs="IRNazanin"/>
          <w:lang w:bidi="fa-IR"/>
          <w:color w:val="111111"/>
          <w:sz w:val="28"/>
          <w:szCs w:val="28"/>
          <w:rtl/>
        </w:rPr>
        <w:t xml:space="preserve">قزوینی، محمد حسن بن محمد معصوم،  ۱۲۴۰ قمری</w:t>
      </w:r>
    </w:p>
    <w:p>
      <w:pPr>
        <w:pStyle w:val="BookText"/>
      </w:pPr>
      <w:r>
        <w:rPr>
          <w:rFonts w:ascii="Times New Roman" w:hAnsi="Times New Roman" w:eastAsia="Times New Roman" w:cs="Times New Roman"/>
          <w:lang w:val="en-US" w:bidi="en-US"/>
          <w:color w:val="111111"/>
          <w:sz w:val="28"/>
          <w:szCs w:val="28"/>
          <w:rtl/>
        </w:rPr>
        <w:t xml:space="preserve">qazvīnī, mohammad hasan ebn-e mohammad ma‘sūm</w:t>
      </w:r>
    </w:p>
    <w:p>
      <w:pPr>
        <w:pStyle w:val="BookText"/>
      </w:pPr>
      <w:r>
        <w:rPr>
          <w:rFonts w:ascii="Times New Roman" w:hAnsi="Times New Roman" w:eastAsia="Times New Roman" w:cs="Times New Roman"/>
          <w:lang w:val="en-US" w:bidi="en-US"/>
          <w:color w:val="111111"/>
          <w:sz w:val="28"/>
          <w:szCs w:val="28"/>
          <w:rtl/>
        </w:rPr>
        <w:t xml:space="preserve">(1825-)</w:t>
      </w:r>
    </w:p>
    <w:p>
      <w:pPr>
        <w:pStyle w:val="BookText"/>
      </w:pPr>
      <w:r>
        <w:rPr>
          <w:rFonts w:ascii="IRNazanin" w:hAnsi="IRNazanin" w:eastAsia="IRNazanin" w:cs="IRNazanin"/>
          <w:lang w:bidi="fa-IR"/>
          <w:color w:val="111111"/>
          <w:sz w:val="28"/>
          <w:szCs w:val="28"/>
          <w:rtl/>
        </w:rPr>
        <w:t xml:space="preserve">تاریخ تالیف: ۱۱۸۶ق</w:t>
      </w:r>
    </w:p>
    <w:p>
      <w:pPr>
        <w:pStyle w:val="BookText"/>
      </w:pPr>
      <w:r>
        <w:rPr>
          <w:rFonts w:ascii="IRNazanin" w:hAnsi="IRNazanin" w:eastAsia="IRNazanin" w:cs="IRNazanin"/>
          <w:lang w:bidi="fa-IR"/>
          <w:color w:val="111111"/>
          <w:sz w:val="28"/>
          <w:szCs w:val="28"/>
          <w:rtl/>
        </w:rPr>
        <w:t xml:space="preserve">رساله ای است در بررسی مسئله «استظهار» که مورد اختلاف فـقها بوده و آن حکم بانوان ذات العاده پس از استظهار آن به ایام معهوده و مسئله آن چنین است «ان دم المراه المتجاوز عن  العاده اذا انقطع على العشره فهل مجموع العشره حيض ام لا؟».</w:t>
      </w:r>
    </w:p>
    <w:p>
      <w:pPr>
        <w:pStyle w:val="BookText"/>
      </w:pPr>
      <w:r>
        <w:rPr>
          <w:rFonts w:ascii="IRNazanin" w:hAnsi="IRNazanin" w:eastAsia="IRNazanin" w:cs="IRNazanin"/>
          <w:lang w:bidi="fa-IR"/>
          <w:color w:val="111111"/>
          <w:sz w:val="28"/>
          <w:szCs w:val="28"/>
          <w:rtl/>
        </w:rPr>
        <w:t xml:space="preserve">آغاز: بسمله، ايها الاساتيد الكرام والاماثل الاعلام قد عرضت تعبد كم شبهه فى مسئله الاستظهار . فلم يفهم دليل العملا الاخـیار ... و المسئله هذه اذا انقطع دم المراه المتجاوز عن العاده.</w:t>
      </w:r>
    </w:p>
    <w:p>
      <w:pPr>
        <w:pStyle w:val="BookText"/>
      </w:pPr>
      <w:r>
        <w:rPr>
          <w:rFonts w:ascii="IRNazanin" w:hAnsi="IRNazanin" w:eastAsia="IRNazanin" w:cs="IRNazanin"/>
          <w:lang w:bidi="fa-IR"/>
          <w:color w:val="111111"/>
          <w:sz w:val="28"/>
          <w:szCs w:val="28"/>
          <w:rtl/>
        </w:rPr>
        <w:t xml:space="preserve">انجام: دون هذه الاخبار كما لا يخفى. فيا افاضل الزمان و یا امائل الدوران منوا علينا بدفع هذه الشبهات ... الى هنا وصل خط المصنف بيمنه الداثره</w:t>
      </w:r>
    </w:p>
    <w:p>
      <w:pPr>
        <w:pStyle w:val="BookText"/>
      </w:pPr>
      <w:r>
        <w:rPr>
          <w:rFonts w:ascii="IRNazanin" w:hAnsi="IRNazanin" w:eastAsia="IRNazanin" w:cs="IRNazanin"/>
          <w:lang w:bidi="fa-IR"/>
          <w:color w:val="111111"/>
          <w:sz w:val="28"/>
          <w:szCs w:val="28"/>
          <w:rtl/>
        </w:rPr>
        <w:t xml:space="preserve">تهران؛ ملی؛ شماره نسخه: ۳۵۱۹/۳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کاتب- مؤلف، تا: ۱۱۸۶ق؛ مصحح، محشی، برگ ۱۱۱ فهرست تصانیف محمد حسن قزوینی به خط خود ایشان مهر «عبده محمد حسن ۱۱۸» (خشتی)؛ کاغذ: فرنگی نخودی، جلد: تیماج تریاکی یک لا، ۱۳گ (۱۱۱پ -۱۲۳)، 21- ۲۳ سطر(۸/۵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۱۶ - ۳۷]</w:t>
      </w:r>
    </w:p>
    <w:p>
      <w:pPr>
        <w:pStyle w:val="BookText"/>
      </w:pPr>
      <w:r>
        <w:rPr>
          <w:rFonts w:ascii="IRNazanin" w:hAnsi="IRNazanin" w:eastAsia="IRNazanin" w:cs="IRNazanin"/>
          <w:lang w:bidi="fa-IR"/>
          <w:color w:val="111111"/>
          <w:sz w:val="28"/>
          <w:szCs w:val="28"/>
          <w:rtl/>
        </w:rPr>
        <w:t xml:space="preserve">تهران؛ مفتاح؛ شماره نسخه: ۱۶۳/۴</w:t>
      </w:r>
    </w:p>
    <w:p>
      <w:pPr>
        <w:pStyle w:val="BookText"/>
      </w:pPr>
      <w:r>
        <w:rPr>
          <w:rFonts w:ascii="IRNazanin" w:hAnsi="IRNazanin" w:eastAsia="IRNazanin" w:cs="IRNazanin"/>
          <w:lang w:bidi="fa-IR"/>
          <w:color w:val="111111"/>
          <w:sz w:val="28"/>
          <w:szCs w:val="28"/>
          <w:rtl/>
        </w:rPr>
        <w:t xml:space="preserve">همان نسخه: بالا [نشریه: ۷ - ۲۲۵]</w:t>
      </w:r>
    </w:p>
    <w:p>
      <w:pPr>
        <w:pStyle w:val="Heading3"/>
      </w:pPr>
      <w:bookmarkStart w:id="1184" w:name="_Toc706"/>
      <w:r>
        <w:t>الاستعاذة فى الصلوات / حدیث / عربی</w:t>
      </w:r>
      <w:bookmarkEnd w:id="1184"/>
    </w:p>
    <w:p>
      <w:pPr>
        <w:pStyle w:val="BookText"/>
      </w:pPr>
      <w:r>
        <w:rPr>
          <w:rFonts w:ascii="Times New Roman" w:hAnsi="Times New Roman" w:eastAsia="Times New Roman" w:cs="Times New Roman"/>
          <w:lang w:val="en-US" w:bidi="en-US"/>
          <w:color w:val="111111"/>
          <w:sz w:val="28"/>
          <w:szCs w:val="28"/>
          <w:rtl/>
        </w:rPr>
        <w:t xml:space="preserve">al-isti‘āḏa fi-ṣ-ṣalawāt</w:t>
      </w:r>
    </w:p>
    <w:p>
      <w:pPr>
        <w:pStyle w:val="BookText"/>
      </w:pPr>
      <w:r>
        <w:rPr>
          <w:rFonts w:ascii="IRNazanin" w:hAnsi="IRNazanin" w:eastAsia="IRNazanin" w:cs="IRNazanin"/>
          <w:lang w:bidi="fa-IR"/>
          <w:color w:val="111111"/>
          <w:sz w:val="28"/>
          <w:szCs w:val="28"/>
          <w:rtl/>
        </w:rPr>
        <w:t xml:space="preserve">شهابی، محمد بن محمد هادی، ق ۱۲ قمری</w:t>
      </w:r>
    </w:p>
    <w:p>
      <w:pPr>
        <w:pStyle w:val="BookText"/>
      </w:pPr>
      <w:r>
        <w:rPr>
          <w:rFonts w:ascii="Times New Roman" w:hAnsi="Times New Roman" w:eastAsia="Times New Roman" w:cs="Times New Roman"/>
          <w:lang w:val="en-US" w:bidi="en-US"/>
          <w:color w:val="111111"/>
          <w:sz w:val="28"/>
          <w:szCs w:val="28"/>
          <w:rtl/>
        </w:rPr>
        <w:t xml:space="preserve">(šahābī, mohammad ebn-e mohammad hādī (- 18c)</w:t>
      </w:r>
    </w:p>
    <w:p>
      <w:pPr>
        <w:pStyle w:val="BookText"/>
      </w:pPr>
      <w:r>
        <w:rPr>
          <w:rFonts w:ascii="IRNazanin" w:hAnsi="IRNazanin" w:eastAsia="IRNazanin" w:cs="IRNazanin"/>
          <w:lang w:bidi="fa-IR"/>
          <w:color w:val="111111"/>
          <w:sz w:val="28"/>
          <w:szCs w:val="28"/>
          <w:rtl/>
        </w:rPr>
        <w:t xml:space="preserve">رساله ای مختصر در بیان مواضعی از نماز که در آن استعاذه (اعوذ بالله) به کار رفته است. مؤلف صاحب كتاب «تحفة المتقين من بحار مناقب امير المؤمنین» نیز می باشد که به سال ۱۱۲۵ق آنرا تألیف کرده است.</w:t>
      </w:r>
    </w:p>
    <w:p>
      <w:pPr>
        <w:pStyle w:val="BookText"/>
      </w:pPr>
      <w:r>
        <w:rPr>
          <w:rFonts w:ascii="IRNazanin" w:hAnsi="IRNazanin" w:eastAsia="IRNazanin" w:cs="IRNazanin"/>
          <w:lang w:bidi="fa-IR"/>
          <w:color w:val="111111"/>
          <w:sz w:val="28"/>
          <w:szCs w:val="28"/>
          <w:rtl/>
        </w:rPr>
        <w:t xml:space="preserve">[اعيان الشيعة ۴۰۸/۹؛ الذریعة: ۴۶۵/۳]</w:t>
      </w:r>
    </w:p>
    <w:p>
      <w:pPr>
        <w:pStyle w:val="BookText"/>
      </w:pPr>
      <w:r>
        <w:rPr>
          <w:rFonts w:ascii="IRNazanin" w:hAnsi="IRNazanin" w:eastAsia="IRNazanin" w:cs="IRNazanin"/>
          <w:lang w:bidi="fa-IR"/>
          <w:color w:val="111111"/>
          <w:sz w:val="28"/>
          <w:szCs w:val="28"/>
          <w:rtl/>
        </w:rPr>
        <w:t xml:space="preserve">قم؛ مرعشی؛ شماره نسخه: ۱۲۷۱۸/۳</w:t>
      </w:r>
    </w:p>
    <w:p>
      <w:pPr>
        <w:pStyle w:val="BookText"/>
      </w:pPr>
      <w:r>
        <w:rPr>
          <w:rFonts w:ascii="IRNazanin" w:hAnsi="IRNazanin" w:eastAsia="IRNazanin" w:cs="IRNazanin"/>
          <w:lang w:bidi="fa-IR"/>
          <w:color w:val="111111"/>
          <w:sz w:val="28"/>
          <w:szCs w:val="28"/>
          <w:rtl/>
        </w:rPr>
        <w:t xml:space="preserve">آغاز: الحمد لله الذى امرنا بالاستعاذة و الصلاة على محمد و آله فضلاء السادة بعد فيقول الفقير ... اما ما يدل على موقع الاستعاذة في الصلوات فكثيرة؛ انجام: فتعوذ بالله من الشيطان الرجيم هذه خلاصة ما اعانینی عینای علی جمعه و تأليفه و فيه كفاية لم له تبصر و تفکر.</w:t>
      </w:r>
    </w:p>
    <w:p>
      <w:pPr>
        <w:pStyle w:val="BookText"/>
      </w:pPr>
      <w:r>
        <w:rPr>
          <w:rFonts w:ascii="IRNazanin" w:hAnsi="IRNazanin" w:eastAsia="IRNazanin" w:cs="IRNazanin"/>
          <w:lang w:bidi="fa-IR"/>
          <w:color w:val="111111"/>
          <w:sz w:val="28"/>
          <w:szCs w:val="28"/>
          <w:rtl/>
        </w:rPr>
        <w:t xml:space="preserve">خط: نسخ، بی کا، تا: قرن ۱۲؛ مصحح، رکابه دار، منتخب امالی شیخ صدوق در هامش و انجام این نسخه نگاشته شده؛ کاغذ: شرقی، جلد: دو رو، برون تیماج  زرشکی، درون تیماج ،کرمی، 7گ (۱۱۳-۱۱۹)، ۱۰ سطر (7</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۴۰ سم [ف: ۳۲-۳۳۷]</w:t>
      </w:r>
    </w:p>
    <w:p>
      <w:pPr>
        <w:pStyle w:val="BookText"/>
      </w:pPr>
      <w:r>
        <w:rPr>
          <w:rFonts w:ascii="IRNazanin" w:hAnsi="IRNazanin" w:eastAsia="IRNazanin" w:cs="IRNazanin"/>
          <w:lang w:bidi="fa-IR"/>
          <w:color w:val="111111"/>
          <w:sz w:val="28"/>
          <w:szCs w:val="28"/>
          <w:rtl/>
        </w:rPr>
        <w:t xml:space="preserve">«استعارات » مشابهات</w:t>
      </w:r>
    </w:p>
    <w:p>
      <w:pPr>
        <w:pStyle w:val="Heading3"/>
      </w:pPr>
      <w:bookmarkStart w:id="1185" w:name="_Toc707"/>
      <w:r>
        <w:t>الاستعارات / معانی بیان / عربی</w:t>
      </w:r>
      <w:bookmarkEnd w:id="1185"/>
    </w:p>
    <w:p>
      <w:pPr>
        <w:pStyle w:val="BookText"/>
      </w:pPr>
      <w:r>
        <w:rPr>
          <w:rFonts w:ascii="Times New Roman" w:hAnsi="Times New Roman" w:eastAsia="Times New Roman" w:cs="Times New Roman"/>
          <w:lang w:val="en-US" w:bidi="en-US"/>
          <w:color w:val="111111"/>
          <w:sz w:val="28"/>
          <w:szCs w:val="28"/>
          <w:rtl/>
        </w:rPr>
        <w:t xml:space="preserve">al-isti‘ārāt</w:t>
      </w:r>
    </w:p>
    <w:p>
      <w:pPr>
        <w:pStyle w:val="BookText"/>
      </w:pPr>
      <w:r>
        <w:rPr>
          <w:rFonts w:ascii="IRNazanin" w:hAnsi="IRNazanin" w:eastAsia="IRNazanin" w:cs="IRNazanin"/>
          <w:lang w:bidi="fa-IR"/>
          <w:color w:val="111111"/>
          <w:sz w:val="28"/>
          <w:szCs w:val="28"/>
          <w:rtl/>
        </w:rPr>
        <w:t xml:space="preserve">تفتازانی، مسعود بن عمر، ۷۲۲ - ۷۹۲؟ قمری</w:t>
      </w:r>
    </w:p>
    <w:p>
      <w:pPr>
        <w:pStyle w:val="BookText"/>
      </w:pPr>
      <w:r>
        <w:rPr>
          <w:rFonts w:ascii="Times New Roman" w:hAnsi="Times New Roman" w:eastAsia="Times New Roman" w:cs="Times New Roman"/>
          <w:lang w:val="en-US" w:bidi="en-US"/>
          <w:color w:val="111111"/>
          <w:sz w:val="28"/>
          <w:szCs w:val="28"/>
          <w:rtl/>
        </w:rPr>
        <w:t xml:space="preserve">(taftāzānī, mas'ūd ebn-e 'omar (1323 - 1390)</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Amiri" w:hAnsi="Amiri" w:eastAsia="Amiri" w:cs="Amiri"/>
          <w:lang w:bidi="ar-SA"/>
          <w:color w:val="111111"/>
          <w:sz w:val="28"/>
          <w:szCs w:val="28"/>
          <w:rtl/>
        </w:rPr>
        <w:t xml:space="preserve">١- شرح خطبة الاستعارات؛ محمد بن عرب</w:t>
      </w:r>
    </w:p>
    <w:p>
      <w:pPr>
        <w:pStyle w:val="BookText"/>
      </w:pPr>
      <w:r>
        <w:rPr>
          <w:rFonts w:ascii="IRNazanin" w:hAnsi="IRNazanin" w:eastAsia="IRNazanin" w:cs="IRNazanin"/>
          <w:lang w:bidi="fa-IR"/>
          <w:color w:val="111111"/>
          <w:sz w:val="28"/>
          <w:szCs w:val="28"/>
          <w:rtl/>
        </w:rPr>
        <w:t xml:space="preserve">مشهد؛ رضوی؛ شماره نسخه: ۱۱۴۹۹</w:t>
      </w:r>
    </w:p>
    <w:p>
      <w:pPr>
        <w:pStyle w:val="BookText"/>
      </w:pPr>
      <w:r>
        <w:rPr>
          <w:rFonts w:ascii="IRNazanin" w:hAnsi="IRNazanin" w:eastAsia="IRNazanin" w:cs="IRNazanin"/>
          <w:lang w:bidi="fa-IR"/>
          <w:color w:val="111111"/>
          <w:sz w:val="28"/>
          <w:szCs w:val="28"/>
          <w:rtl/>
        </w:rPr>
        <w:t xml:space="preserve">آغاز: بسمله متوكلا بكرمه العميم؛ انجام :و کذلک البواقي و  الحمد لله رب العالمين</w:t>
      </w:r>
    </w:p>
    <w:p>
      <w:pPr>
        <w:pStyle w:val="BookText"/>
      </w:pPr>
      <w:r>
        <w:rPr>
          <w:rFonts w:ascii="IRNazanin" w:hAnsi="IRNazanin" w:eastAsia="IRNazanin" w:cs="IRNazanin"/>
          <w:lang w:bidi="fa-IR"/>
          <w:color w:val="111111"/>
          <w:sz w:val="28"/>
          <w:szCs w:val="28"/>
          <w:rtl/>
        </w:rPr>
        <w:t xml:space="preserve">خط: نسخ، کا: داداش، تا: ۱۲۶۶ق [الفبائی: ۴۵]</w:t>
      </w:r>
    </w:p>
    <w:p>
      <w:pPr>
        <w:pStyle w:val="Heading3"/>
      </w:pPr>
      <w:bookmarkStart w:id="1186" w:name="_Toc708"/>
      <w:r>
        <w:t>الاستعارات - رسالة فى المجاز والاستعارة / بلاغت /  عربی</w:t>
      </w:r>
      <w:bookmarkEnd w:id="1186"/>
    </w:p>
    <w:p>
      <w:pPr>
        <w:pStyle w:val="BookText"/>
      </w:pPr>
      <w:r>
        <w:rPr>
          <w:rFonts w:ascii="Times New Roman" w:hAnsi="Times New Roman" w:eastAsia="Times New Roman" w:cs="Times New Roman"/>
          <w:lang w:val="en-US" w:bidi="en-US"/>
          <w:color w:val="111111"/>
          <w:sz w:val="28"/>
          <w:szCs w:val="28"/>
          <w:rtl/>
        </w:rPr>
        <w:t xml:space="preserve">al-istiarat = r.-un fi-l majaz wa-l isti ara</w:t>
      </w:r>
    </w:p>
    <w:p>
      <w:pPr>
        <w:pStyle w:val="BookText"/>
      </w:pPr>
      <w:r>
        <w:rPr>
          <w:rFonts w:ascii="IRNazanin" w:hAnsi="IRNazanin" w:eastAsia="IRNazanin" w:cs="IRNazanin"/>
          <w:lang w:bidi="fa-IR"/>
          <w:color w:val="111111"/>
          <w:sz w:val="28"/>
          <w:szCs w:val="28"/>
          <w:rtl/>
        </w:rPr>
        <w:t xml:space="preserve">قوشچی، علی بن محمد، - ۸۷۹ قمری</w:t>
      </w:r>
    </w:p>
    <w:p>
      <w:pPr>
        <w:pStyle w:val="BookText"/>
      </w:pPr>
      <w:r>
        <w:rPr>
          <w:rFonts w:ascii="Times New Roman" w:hAnsi="Times New Roman" w:eastAsia="Times New Roman" w:cs="Times New Roman"/>
          <w:lang w:val="en-US" w:bidi="en-US"/>
          <w:color w:val="111111"/>
          <w:sz w:val="28"/>
          <w:szCs w:val="28"/>
          <w:rtl/>
        </w:rPr>
        <w:t xml:space="preserve">(qūščī, ‘alī ebn-e mohammad (- 1475)</w:t>
      </w:r>
    </w:p>
    <w:p>
      <w:pPr>
        <w:pStyle w:val="BookText"/>
      </w:pPr>
      <w:r>
        <w:rPr>
          <w:rFonts w:ascii="IRNazanin" w:hAnsi="IRNazanin" w:eastAsia="IRNazanin" w:cs="IRNazanin"/>
          <w:lang w:bidi="fa-IR"/>
          <w:color w:val="111111"/>
          <w:sz w:val="28"/>
          <w:szCs w:val="28"/>
          <w:rtl/>
        </w:rPr>
        <w:t xml:space="preserve">رساله کوتاهی است در علم بلاغت صنعت  بیان. در ادبیات عرب که در آن به   تفصیل موضوع  استعاره، مجاز و کنایه با درج  امثالی تبیین گردیده است.</w:t>
      </w:r>
    </w:p>
    <w:p>
      <w:pPr>
        <w:pStyle w:val="BookText"/>
      </w:pPr>
      <w:r>
        <w:rPr>
          <w:rFonts w:ascii="Amiri" w:hAnsi="Amiri" w:eastAsia="Amiri" w:cs="Amiri"/>
          <w:lang w:bidi="ar-SA"/>
          <w:color w:val="111111"/>
          <w:sz w:val="28"/>
          <w:szCs w:val="28"/>
          <w:rtl/>
        </w:rPr>
        <w:t xml:space="preserve">آغاز: بسمله، الحمد لله ذى المن و الإحسان والصلوة والسلام على رسوله المؤيد ببراعة المعانى وفصاحة البيان و على آله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93" w:name="pg20365_260284"/>
    <w:bookmarkEnd w:id="193"/>
    <w:p>
      <w:pPr>
        <w:pStyle w:val="BookText"/>
      </w:pPr>
      <w:r>
        <w:rPr>
          <w:rFonts w:ascii="Amiri" w:hAnsi="Amiri" w:eastAsia="Amiri" w:cs="Amiri"/>
          <w:lang w:bidi="ar-SA"/>
          <w:color w:val="111111"/>
          <w:sz w:val="28"/>
          <w:szCs w:val="28"/>
          <w:rtl/>
        </w:rPr>
        <w:t xml:space="preserve">الكرماء و أصحابه العظماء الذين من بأيهم يقتد يهتد؛ ثم اعلم اللفظ الموضوع المستعمل مفرداً كان أو مركباً إن استعمل في وضع له فحقيقة مثال الحقيقة فى المفرد كلأسد في الحيوان</w:t>
      </w:r>
    </w:p>
    <w:p>
      <w:pPr>
        <w:pStyle w:val="BookText"/>
      </w:pPr>
      <w:r>
        <w:rPr>
          <w:rFonts w:ascii="Amiri" w:hAnsi="Amiri" w:eastAsia="Amiri" w:cs="Amiri"/>
          <w:lang w:bidi="ar-SA"/>
          <w:color w:val="111111"/>
          <w:sz w:val="28"/>
          <w:szCs w:val="28"/>
          <w:rtl/>
        </w:rPr>
        <w:t xml:space="preserve">انجام: اى حقيقة شرعية فى العبادة مجاز شرعى فى الدعاء لان وضعه في اللغة للدعاء و في الشرع للعبادة. تمت و بالخير عمت.</w:t>
      </w:r>
    </w:p>
    <w:p>
      <w:pPr>
        <w:pStyle w:val="BookText"/>
      </w:pPr>
      <w:r>
        <w:rPr>
          <w:rFonts w:ascii="IRNazanin" w:hAnsi="IRNazanin" w:eastAsia="IRNazanin" w:cs="IRNazanin"/>
          <w:lang w:bidi="fa-IR"/>
          <w:color w:val="111111"/>
          <w:sz w:val="28"/>
          <w:szCs w:val="28"/>
          <w:rtl/>
        </w:rPr>
        <w:t xml:space="preserve">1.تهران؛ مجلس؛ شماره نسخه: ۸۹۳۱/۱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۱۱؛ در قرن ۱۳ عبدالقادر کوی ساوجبلاغی طبیب در بسیاری از برگ های نسخه یادداشت هـا و نکاتی را افزوده، مجدول، با چند سرلوح فهرست کتاب هـای عبد القادر كوى طبیب، به همراه چند دستور العمل پزشکی به خط عبدالقادر؛ مهر: عبدالقادر طبيب «عبدالقادر» (بیضی ) که از تاریخ آن عدد ۱۲۴ خوانده می شود دیگری که درون آن کلمه عبدالقادر (مربع) به صورت طغرایی نوشته شده، وی در کنار مهر اخیر نوشته که این کتاب وقف بر اعلم و صالح اولاد و احـفاد اوست؛ تملک: محمود بن عبدالله با مهر «محمود ۱۲۵۷» (بیضی) مولوی ملا عبد القادر  طبیب، حاجی ملا عبدالله مولوی طبیب (پسر مالک  قبل) محمد مولوی (پسر مالک(قبل) در سال ۱۳۵۲ق؛ خریداری از مصطفی نوع پرست؛ کاغذ: فرنگی نخودی آهار  مهره، جلد: میشن قهوه ای ضربی با ترنج وسرترنج، گرهی سرطبل منقش و شمسه ضربی، ۳گ (۱پ-3پ)، ابعاد مـتن: ۱۰/۵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۲۳ ،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۲۷/۷سم [ف: ۲۹/۱ - ۳۶۲]</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مجلس؛ شماره نسخه: ۴۴۲/۶ کر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۱۳ ،مصحح، محشی با نشان «شرح»؛ کاغذ: فرنگی سفید ،ضخیم ،7گ، (۴۹پ-۵۵پ)، ۲۱ سـطر، اندازه: 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۴۰/۲ - ۱۶۸]</w:t>
      </w:r>
    </w:p>
    <w:p>
      <w:pPr>
        <w:pStyle w:val="Heading3"/>
      </w:pPr>
      <w:bookmarkStart w:id="1187" w:name="_Toc709"/>
      <w:r>
        <w:t>استعارات / لغت / فارسی</w:t>
      </w:r>
      <w:bookmarkEnd w:id="1187"/>
    </w:p>
    <w:p>
      <w:pPr>
        <w:pStyle w:val="BookText"/>
      </w:pPr>
      <w:r>
        <w:rPr>
          <w:rFonts w:ascii="Times New Roman" w:hAnsi="Times New Roman" w:eastAsia="Times New Roman" w:cs="Times New Roman"/>
          <w:lang w:val="en-US" w:bidi="en-US"/>
          <w:color w:val="111111"/>
          <w:sz w:val="28"/>
          <w:szCs w:val="28"/>
          <w:rtl/>
        </w:rPr>
        <w:t xml:space="preserve">al-isti‘ārāt</w:t>
      </w:r>
    </w:p>
    <w:p>
      <w:pPr>
        <w:pStyle w:val="BookText"/>
      </w:pPr>
      <w:r>
        <w:rPr>
          <w:rFonts w:ascii="IRNazanin" w:hAnsi="IRNazanin" w:eastAsia="IRNazanin" w:cs="IRNazanin"/>
          <w:lang w:bidi="fa-IR"/>
          <w:color w:val="111111"/>
          <w:sz w:val="28"/>
          <w:szCs w:val="28"/>
          <w:rtl/>
        </w:rPr>
        <w:t xml:space="preserve">تهران؛ مجلس؛ شماره نسخه: ۸۹۱۴/۵۸</w:t>
      </w:r>
    </w:p>
    <w:p>
      <w:pPr>
        <w:pStyle w:val="BookText"/>
      </w:pPr>
      <w:r>
        <w:rPr>
          <w:rFonts w:ascii="IRNazanin" w:hAnsi="IRNazanin" w:eastAsia="IRNazanin" w:cs="IRNazanin"/>
          <w:lang w:bidi="fa-IR"/>
          <w:color w:val="111111"/>
          <w:sz w:val="28"/>
          <w:szCs w:val="28"/>
          <w:rtl/>
        </w:rPr>
        <w:t xml:space="preserve">آغاز: باب الاستعارت آب شناسان یعنی قاعده  دانان. انشگت نیل کنایه از نشان فقر باشد. آستین بر زد یعنی مستعد کار شد؛ انجـام: نافهبوی یعنی آن که بوی او همچو نافه باشد ... و نیز کنایه  از گنده دهان باشد چو پوست نافه بوی ... دارد. تمت.</w:t>
      </w:r>
    </w:p>
    <w:p>
      <w:pPr>
        <w:pStyle w:val="BookText"/>
      </w:pPr>
      <w:r>
        <w:rPr>
          <w:rFonts w:ascii="IRNazanin" w:hAnsi="IRNazanin" w:eastAsia="IRNazanin" w:cs="IRNazanin"/>
          <w:lang w:bidi="fa-IR"/>
          <w:color w:val="111111"/>
          <w:sz w:val="28"/>
          <w:szCs w:val="28"/>
          <w:rtl/>
        </w:rPr>
        <w:t xml:space="preserve">خط: نسخ و نستعلیق، بی کا، تا: قرن ۱۱ ؛کاغذ: فرنگی نخودی آهار مهره، جلد: میشن زیتونی ضربی با ترنج و سرترنج، (۲۱۰ - ۲۱۵ حاشیه)، اندازه: ۱۲/۳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۲۳/۶سم [ف: ۲۹/۱ - ۳۱۸]</w:t>
      </w:r>
    </w:p>
    <w:p>
      <w:pPr>
        <w:pStyle w:val="Heading3"/>
      </w:pPr>
      <w:bookmarkStart w:id="1188" w:name="_Toc710"/>
      <w:r>
        <w:t>الاستعارات و اقسامها / معانی بیان / عربی</w:t>
      </w:r>
      <w:bookmarkEnd w:id="1188"/>
    </w:p>
    <w:p>
      <w:pPr>
        <w:pStyle w:val="BookText"/>
      </w:pPr>
      <w:r>
        <w:rPr>
          <w:rFonts w:ascii="Times New Roman" w:hAnsi="Times New Roman" w:eastAsia="Times New Roman" w:cs="Times New Roman"/>
          <w:lang w:val="en-US" w:bidi="en-US"/>
          <w:color w:val="111111"/>
          <w:sz w:val="28"/>
          <w:szCs w:val="28"/>
          <w:rtl/>
        </w:rPr>
        <w:t xml:space="preserve">al-isti‘ārāt wa aqsām-u-hā</w:t>
      </w:r>
    </w:p>
    <w:p>
      <w:pPr>
        <w:pStyle w:val="BookText"/>
      </w:pPr>
      <w:r>
        <w:rPr>
          <w:rFonts w:ascii="IRNazanin" w:hAnsi="IRNazanin" w:eastAsia="IRNazanin" w:cs="IRNazanin"/>
          <w:lang w:bidi="fa-IR"/>
          <w:color w:val="111111"/>
          <w:sz w:val="28"/>
          <w:szCs w:val="28"/>
          <w:rtl/>
        </w:rPr>
        <w:t xml:space="preserve">یزد؛ وزیری؛ شماره نسخه: ۲۰۹۳/۳</w:t>
      </w:r>
    </w:p>
    <w:p>
      <w:pPr>
        <w:pStyle w:val="BookText"/>
      </w:pPr>
      <w:r>
        <w:rPr>
          <w:rFonts w:ascii="IRNazanin" w:hAnsi="IRNazanin" w:eastAsia="IRNazanin" w:cs="IRNazanin"/>
          <w:lang w:bidi="fa-IR"/>
          <w:color w:val="111111"/>
          <w:sz w:val="28"/>
          <w:szCs w:val="28"/>
          <w:rtl/>
        </w:rPr>
        <w:t xml:space="preserve">رسالة في تحقيق معانى الاستعارات و اقسامها؛ خط: نستعليق، بی کا، تا: قرن ۱۲ اهدایی: احمد حمامی؛ کاغذ: اصفهانی، ۳گ (۷-۵)، ۲۱ سطر (9</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ف: ۴ - ۱۱۶۲]</w:t>
      </w:r>
    </w:p>
    <w:p>
      <w:pPr>
        <w:pStyle w:val="Heading3"/>
      </w:pPr>
      <w:bookmarkStart w:id="1189" w:name="_Toc711"/>
      <w:r>
        <w:t>الاستعارة = فرائد العوائد في معانى الاستعارة و  اقسامها = الرسالة السمرقندية = الفريدة =رسالة الاستعارة و العقود - فرائد الفوائد = بلوغ الارب = فوائد العوائد / بلاغت / عربي</w:t>
      </w:r>
      <w:bookmarkEnd w:id="1189"/>
    </w:p>
    <w:p>
      <w:pPr>
        <w:pStyle w:val="BookText"/>
      </w:pPr>
      <w:r>
        <w:rPr>
          <w:rFonts w:ascii="Times New Roman" w:hAnsi="Times New Roman" w:eastAsia="Times New Roman" w:cs="Times New Roman"/>
          <w:lang w:val="en-US" w:bidi="en-US"/>
          <w:color w:val="111111"/>
          <w:sz w:val="28"/>
          <w:szCs w:val="28"/>
          <w:rtl/>
        </w:rPr>
        <w:t xml:space="preserve">al-isti ara</w:t>
      </w:r>
    </w:p>
    <w:p>
      <w:pPr>
        <w:pStyle w:val="BookText"/>
      </w:pPr>
      <w:r>
        <w:rPr>
          <w:rFonts w:ascii="IRNazanin" w:hAnsi="IRNazanin" w:eastAsia="IRNazanin" w:cs="IRNazanin"/>
          <w:lang w:bidi="fa-IR"/>
          <w:color w:val="111111"/>
          <w:sz w:val="28"/>
          <w:szCs w:val="28"/>
          <w:rtl/>
        </w:rPr>
        <w:t xml:space="preserve">ليثى سمرقندی، ابو القاسم بن ابی بکر/، – ۸۸۸؟ قمری</w:t>
      </w:r>
    </w:p>
    <w:p>
      <w:pPr>
        <w:pStyle w:val="BookText"/>
      </w:pPr>
      <w:r>
        <w:rPr>
          <w:rFonts w:ascii="Times New Roman" w:hAnsi="Times New Roman" w:eastAsia="Times New Roman" w:cs="Times New Roman"/>
          <w:lang w:val="en-US" w:bidi="en-US"/>
          <w:color w:val="111111"/>
          <w:sz w:val="28"/>
          <w:szCs w:val="28"/>
          <w:rtl/>
        </w:rPr>
        <w:t xml:space="preserve">(lay sĩ samarqandī, ab-ol-qāsem ebn-e abī-bakr (- 1484)</w:t>
      </w:r>
    </w:p>
    <w:p>
      <w:pPr>
        <w:pStyle w:val="BookText"/>
      </w:pPr>
      <w:r>
        <w:rPr>
          <w:rFonts w:ascii="IRNazanin" w:hAnsi="IRNazanin" w:eastAsia="IRNazanin" w:cs="IRNazanin"/>
          <w:lang w:bidi="fa-IR"/>
          <w:color w:val="111111"/>
          <w:sz w:val="28"/>
          <w:szCs w:val="28"/>
          <w:rtl/>
        </w:rPr>
        <w:t xml:space="preserve">رساله مختصر و معروفی است در تحقیق معنای استعاره و بیان اقسام  آن، دارای سه «عقد»: ۱ انواع مجاز در ۶ «فریده»؛ ۲.   تحقیق معنی استعاره در ۴ «فریده»؛ ۳ .تحقیق قرینه استعاره در ۵ «فریده» این رساله در منابع با عناوین «فرائد الفوائد في معانى  الاستعارات» و «بلوغ الإرب» نیز آمده است.</w:t>
      </w:r>
    </w:p>
    <w:p>
      <w:pPr>
        <w:pStyle w:val="BookText"/>
      </w:pPr>
      <w:r>
        <w:rPr>
          <w:rFonts w:ascii="Amiri" w:hAnsi="Amiri" w:eastAsia="Amiri" w:cs="Amiri"/>
          <w:lang w:bidi="ar-SA"/>
          <w:color w:val="111111"/>
          <w:sz w:val="28"/>
          <w:szCs w:val="28"/>
          <w:rtl/>
        </w:rPr>
        <w:t xml:space="preserve">آغاز: بسمله الحمد لله الواهب العطية و الصلوة على خير خلقه البرية و على ذوى النفوس الزكية فان معانى الاستعارات و ما يتعلق بها قد ذكر فى ذكر فى الكتب مفصلة ... فنظمت فوايد عقايد يتعلق بتحقق معانى الاستعارات و اقسامها و قراينها على ثلثة عقود فى انواع المجاز و فيه ست فرايد المجاز المفرد</w:t>
      </w:r>
    </w:p>
    <w:p>
      <w:pPr>
        <w:pStyle w:val="BookText"/>
      </w:pPr>
      <w:r>
        <w:rPr>
          <w:rFonts w:ascii="Amiri" w:hAnsi="Amiri" w:eastAsia="Amiri" w:cs="Amiri"/>
          <w:lang w:bidi="ar-SA"/>
          <w:color w:val="111111"/>
          <w:sz w:val="28"/>
          <w:szCs w:val="28"/>
          <w:rtl/>
        </w:rPr>
        <w:t xml:space="preserve">انجام: فايهما اقوى اختصاصا و تعلقا به فهو القرينه و ما سواه ترشيح تمت</w:t>
      </w:r>
    </w:p>
    <w:p>
      <w:pPr>
        <w:pStyle w:val="BookText"/>
      </w:pPr>
      <w:r>
        <w:rPr>
          <w:rFonts w:ascii="IRNazanin" w:hAnsi="IRNazanin" w:eastAsia="IRNazanin" w:cs="IRNazanin"/>
          <w:lang w:bidi="fa-IR"/>
          <w:color w:val="111111"/>
          <w:sz w:val="28"/>
          <w:szCs w:val="28"/>
          <w:rtl/>
        </w:rPr>
        <w:t xml:space="preserve">چاپ: با تصحیح بشیر جزایری، گنجینه بهارستان، الادب العربی،۱. مسلسل ،۴ تهران کتابخانه مجلس شورای اسلامی۱۳۸۱ش</w:t>
      </w:r>
    </w:p>
    <w:p>
      <w:pPr>
        <w:pStyle w:val="BookText"/>
      </w:pPr>
      <w:r>
        <w:rPr>
          <w:rFonts w:ascii="IRNazanin" w:hAnsi="IRNazanin" w:eastAsia="IRNazanin" w:cs="IRNazanin"/>
          <w:lang w:bidi="fa-IR"/>
          <w:color w:val="111111"/>
          <w:sz w:val="28"/>
          <w:szCs w:val="28"/>
          <w:rtl/>
        </w:rPr>
        <w:t xml:space="preserve">[كشف الظنون ۸۴۵/۱۰؛ الذريعة ۱۴۱/۱۶ با عنوان «فرائد الفوائد»؛ معجم المؤلفين: ۱۰۳/۸؛ مكتبة امير المومنين ۱۰۵/۱؛ دار الكتب مصر، ج ۲، ص ۱۷۷ بروکلمان، ج ۱۲، ص ۱۷۰-۱۷۷]</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IRNazanin" w:hAnsi="IRNazanin" w:eastAsia="IRNazanin" w:cs="IRNazanin"/>
          <w:lang w:bidi="fa-IR"/>
          <w:color w:val="111111"/>
          <w:sz w:val="28"/>
          <w:szCs w:val="28"/>
          <w:rtl/>
        </w:rPr>
        <w:t xml:space="preserve">١- تعليقة بلوغ الارب من تحقيق استعارات العرب؛ ليثى سمرقندی، ابو القاسم بن ابى بكر (-۸۸۸)</w:t>
      </w:r>
    </w:p>
    <w:p>
      <w:pPr>
        <w:pStyle w:val="BookText"/>
      </w:pPr>
      <w:r>
        <w:rPr>
          <w:rFonts w:ascii="IRNazanin" w:hAnsi="IRNazanin" w:eastAsia="IRNazanin" w:cs="IRNazanin"/>
          <w:lang w:bidi="fa-IR"/>
          <w:color w:val="111111"/>
          <w:sz w:val="28"/>
          <w:szCs w:val="28"/>
          <w:rtl/>
        </w:rPr>
        <w:t xml:space="preserve">۲- شرح رسالة الاستعارة - شرح الرسالة السمرقندية - شرح قول احمد - شرح فرائد الفوائد - شرح الاستعارة و العقود - شرح بلوغ الارب؛ عمری، احمد بن محمد (-۹۵۰)</w:t>
      </w:r>
    </w:p>
    <w:p>
      <w:pPr>
        <w:pStyle w:val="BookText"/>
      </w:pPr>
      <w:r>
        <w:rPr>
          <w:rFonts w:ascii="IRNazanin" w:hAnsi="IRNazanin" w:eastAsia="IRNazanin" w:cs="IRNazanin"/>
          <w:lang w:bidi="fa-IR"/>
          <w:color w:val="111111"/>
          <w:sz w:val="28"/>
          <w:szCs w:val="28"/>
          <w:rtl/>
        </w:rPr>
        <w:t xml:space="preserve">٣- شرح رسالة الاستعارة - شرح فرايد العوائد - شرح سمرقندية - شرح رسالة السمرقندية - شرح الرسالة العقودية؛ عصام الدين ،اسفراینی ابراهیم بن محمد (873- 951)</w:t>
      </w:r>
    </w:p>
    <w:p>
      <w:pPr>
        <w:pStyle w:val="BookText"/>
      </w:pPr>
      <w:r>
        <w:rPr>
          <w:rFonts w:ascii="IRNazanin" w:hAnsi="IRNazanin" w:eastAsia="IRNazanin" w:cs="IRNazanin"/>
          <w:lang w:bidi="fa-IR"/>
          <w:color w:val="111111"/>
          <w:sz w:val="28"/>
          <w:szCs w:val="28"/>
          <w:rtl/>
        </w:rPr>
        <w:t xml:space="preserve">٤ - شرح رسالة الاستعارة ؛ خواجکی جامی یوسف بن ابى المعالى (-  ۱۰  )</w:t>
      </w:r>
    </w:p>
    <w:p>
      <w:pPr>
        <w:pStyle w:val="BookText"/>
      </w:pPr>
      <w:r>
        <w:rPr>
          <w:rFonts w:ascii="IRNazanin" w:hAnsi="IRNazanin" w:eastAsia="IRNazanin" w:cs="IRNazanin"/>
          <w:lang w:bidi="fa-IR"/>
          <w:color w:val="111111"/>
          <w:sz w:val="28"/>
          <w:szCs w:val="28"/>
          <w:rtl/>
        </w:rPr>
        <w:t xml:space="preserve">٥- حاشية شرح الرسالة السمرقندية - حاشية شرح رسالة الاستعارات -  الزيبارية ،زیباری حسن بن محمد (-۱۰۵۰)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٦- حاشية شرح رسالة الاستعارة سمرقندى على بن صدر الدين(111 ))</w:t>
      </w:r>
    </w:p>
    <w:p>
      <w:pPr>
        <w:pStyle w:val="BookText"/>
      </w:pPr>
      <w:r>
        <w:rPr>
          <w:rFonts w:ascii="IRNazanin" w:hAnsi="IRNazanin" w:eastAsia="IRNazanin" w:cs="IRNazanin"/>
          <w:lang w:bidi="fa-IR"/>
          <w:color w:val="111111"/>
          <w:sz w:val="28"/>
          <w:szCs w:val="28"/>
          <w:rtl/>
        </w:rPr>
        <w:t xml:space="preserve">٧- حاشية شرح الرسالة السمرقندية؛ كفوى، محمد بن حمید (-۱۷۴)</w:t>
      </w:r>
    </w:p>
    <w:p>
      <w:pPr>
        <w:pStyle w:val="BookText"/>
      </w:pPr>
      <w:r>
        <w:rPr>
          <w:rFonts w:ascii="IRNazanin" w:hAnsi="IRNazanin" w:eastAsia="IRNazanin" w:cs="IRNazanin"/>
          <w:lang w:bidi="fa-IR"/>
          <w:color w:val="111111"/>
          <w:sz w:val="28"/>
          <w:szCs w:val="28"/>
          <w:rtl/>
        </w:rPr>
        <w:t xml:space="preserve">8 - شرح الاستعارات للسمرقندى ملوى، احمد بن عبد الفتاح (۱۰۸۸ -1181)</w:t>
      </w:r>
    </w:p>
    <w:p>
      <w:pPr>
        <w:pStyle w:val="BookText"/>
      </w:pPr>
      <w:r>
        <w:rPr>
          <w:rFonts w:ascii="IRNazanin" w:hAnsi="IRNazanin" w:eastAsia="IRNazanin" w:cs="IRNazanin"/>
          <w:lang w:bidi="fa-IR"/>
          <w:color w:val="111111"/>
          <w:sz w:val="28"/>
          <w:szCs w:val="28"/>
          <w:rtl/>
        </w:rPr>
        <w:t xml:space="preserve">9- حاشية شرح رسالة الاستعارة؛ حسين آبادی، احمد بن حیدر( -12)</w:t>
      </w:r>
    </w:p>
    <w:p>
      <w:pPr>
        <w:pStyle w:val="BookText"/>
      </w:pPr>
      <w:r>
        <w:rPr>
          <w:rFonts w:ascii="IRNazanin" w:hAnsi="IRNazanin" w:eastAsia="IRNazanin" w:cs="IRNazanin"/>
          <w:lang w:bidi="fa-IR"/>
          <w:color w:val="111111"/>
          <w:sz w:val="28"/>
          <w:szCs w:val="28"/>
          <w:rtl/>
        </w:rPr>
        <w:t xml:space="preserve">١٠ -حاشية شرح رسالة الاستعارة صبان محمد بن علی (-۱۲۰۶)</w:t>
      </w:r>
    </w:p>
    <w:p>
      <w:pPr>
        <w:pStyle w:val="BookText"/>
      </w:pPr>
      <w:r>
        <w:rPr>
          <w:rFonts w:ascii="IRNazanin" w:hAnsi="IRNazanin" w:eastAsia="IRNazanin" w:cs="IRNazanin"/>
          <w:lang w:bidi="fa-IR"/>
          <w:color w:val="111111"/>
          <w:sz w:val="28"/>
          <w:szCs w:val="28"/>
          <w:rtl/>
        </w:rPr>
        <w:t xml:space="preserve">١١ - حاشية شرح الرسالة السمرقندية ؛ ارزنجانی، محمد صادق بن عبدالرحيم (-۱۲۲۳)</w:t>
      </w:r>
    </w:p>
    <w:p>
      <w:pPr>
        <w:pStyle w:val="BookText"/>
      </w:pPr>
      <w:r>
        <w:rPr>
          <w:rFonts w:ascii="Amiri" w:hAnsi="Amiri" w:eastAsia="Amiri" w:cs="Amiri"/>
          <w:lang w:bidi="ar-SA"/>
          <w:color w:val="111111"/>
          <w:sz w:val="28"/>
          <w:szCs w:val="28"/>
          <w:rtl/>
        </w:rPr>
        <w:t xml:space="preserve">١٢- حاشية شرح الرسالة السمرقندية؛ كوراني، الياس</w:t>
      </w:r>
    </w:p>
    <w:p>
      <w:pPr>
        <w:pStyle w:val="BookText"/>
      </w:pPr>
      <w:r>
        <w:rPr>
          <w:rFonts w:ascii="IRNazanin" w:hAnsi="IRNazanin" w:eastAsia="IRNazanin" w:cs="IRNazanin"/>
          <w:lang w:bidi="fa-IR"/>
          <w:color w:val="111111"/>
          <w:sz w:val="28"/>
          <w:szCs w:val="28"/>
          <w:rtl/>
        </w:rPr>
        <w:t xml:space="preserve">١٣- شرح رسالة الاستعارة ؛ قاز آبادی، احمد بن محمد</w:t>
      </w:r>
    </w:p>
    <w:p>
      <w:pPr>
        <w:pStyle w:val="BookText"/>
      </w:pPr>
      <w:r>
        <w:rPr>
          <w:rFonts w:ascii="IRNazanin" w:hAnsi="IRNazanin" w:eastAsia="IRNazanin" w:cs="IRNazanin"/>
          <w:lang w:bidi="fa-IR"/>
          <w:color w:val="111111"/>
          <w:sz w:val="28"/>
          <w:szCs w:val="28"/>
          <w:rtl/>
        </w:rPr>
        <w:t xml:space="preserve">١٤ - نتيجه الفكر و ثمر المولفات على الشرح الصغير ،مولوی احمد  بن يونس</w:t>
      </w:r>
    </w:p>
    <w:p>
      <w:pPr>
        <w:pStyle w:val="BookText"/>
      </w:pPr>
      <w:r>
        <w:rPr>
          <w:rFonts w:ascii="Amiri" w:hAnsi="Amiri" w:eastAsia="Amiri" w:cs="Amiri"/>
          <w:lang w:bidi="ar-SA"/>
          <w:color w:val="111111"/>
          <w:sz w:val="28"/>
          <w:szCs w:val="28"/>
          <w:rtl/>
        </w:rPr>
        <w:t xml:space="preserve">١٥- حاشية شرح رسالة الاستعارة؛ عبدالله بن حيدر</w:t>
      </w:r>
    </w:p>
    <w:p>
      <w:pPr>
        <w:pStyle w:val="BookText"/>
      </w:pPr>
      <w:r>
        <w:rPr>
          <w:rFonts w:ascii="Amiri" w:hAnsi="Amiri" w:eastAsia="Amiri" w:cs="Amiri"/>
          <w:lang w:bidi="ar-SA"/>
          <w:color w:val="111111"/>
          <w:sz w:val="28"/>
          <w:szCs w:val="28"/>
          <w:rtl/>
        </w:rPr>
        <w:t xml:space="preserve">١٦- شرح فرائد العوايد؛ سيد بكر</w:t>
      </w:r>
    </w:p>
    <w:p>
      <w:pPr>
        <w:pStyle w:val="BookText"/>
      </w:pPr>
      <w:r>
        <w:rPr>
          <w:rFonts w:ascii="Amiri" w:hAnsi="Amiri" w:eastAsia="Amiri" w:cs="Amiri"/>
          <w:lang w:bidi="ar-SA"/>
          <w:color w:val="111111"/>
          <w:sz w:val="28"/>
          <w:szCs w:val="28"/>
          <w:rtl/>
        </w:rPr>
        <w:t xml:space="preserve">١٧ - حاشية شرح رسالة الاستعارة؛ ناشناس</w:t>
      </w:r>
    </w:p>
    <w:p>
      <w:pPr>
        <w:pStyle w:val="BookText"/>
      </w:pPr>
      <w:r>
        <w:rPr>
          <w:rFonts w:ascii="Amiri" w:hAnsi="Amiri" w:eastAsia="Amiri" w:cs="Amiri"/>
          <w:lang w:bidi="ar-SA"/>
          <w:color w:val="111111"/>
          <w:sz w:val="28"/>
          <w:szCs w:val="28"/>
          <w:rtl/>
        </w:rPr>
        <w:t xml:space="preserve">۱۸- شرح رسالة الاستعارة؛ ناشناس</w:t>
      </w:r>
    </w:p>
    <w:p>
      <w:pPr>
        <w:pStyle w:val="BookText"/>
      </w:pPr>
      <w:r>
        <w:rPr>
          <w:rFonts w:ascii="IRNazanin" w:hAnsi="IRNazanin" w:eastAsia="IRNazanin" w:cs="IRNazanin"/>
          <w:lang w:bidi="fa-IR"/>
          <w:color w:val="111111"/>
          <w:sz w:val="28"/>
          <w:szCs w:val="28"/>
          <w:rtl/>
        </w:rPr>
        <w:t xml:space="preserve">۱. اصفهان؛ مدرسه صدر بازار؛ شماره نسخه: ۴۸۴/۳</w:t>
      </w:r>
    </w:p>
    <w:p>
      <w:pPr>
        <w:pStyle w:val="BookText"/>
      </w:pPr>
      <w:r>
        <w:rPr>
          <w:rFonts w:ascii="Amiri" w:hAnsi="Amiri" w:eastAsia="Amiri" w:cs="Amiri"/>
          <w:lang w:bidi="ar-SA"/>
          <w:color w:val="111111"/>
          <w:sz w:val="28"/>
          <w:szCs w:val="28"/>
          <w:rtl/>
        </w:rPr>
        <w:t xml:space="preserve">آغاز: تذييل فى ضبط معانى الاستعارات و ما يتعلق بهاو مشتمل على ثلاثة عقود العقد الأول فى انواع المجاز و فيه فرائد</w:t>
      </w:r>
    </w:p>
    <w:p>
      <w:pPr>
        <w:pStyle w:val="BookText"/>
      </w:pPr>
      <w:r>
        <w:rPr>
          <w:rFonts w:ascii="IRNazanin" w:hAnsi="IRNazanin" w:eastAsia="IRNazanin" w:cs="IRNazanin"/>
          <w:lang w:bidi="fa-IR"/>
          <w:color w:val="111111"/>
          <w:sz w:val="28"/>
          <w:szCs w:val="28"/>
          <w:rtl/>
        </w:rPr>
        <w:t xml:space="preserve">خط: نستعلیق، کا: غلامعلی بن حاجی محمد بن  احمد، تا: دوشـنبه ۲۵ ذیحجه ۹۴۸ق؛ افتادگی: آغاز: مصحح؛ جلد: تيماج قهوه ای، بدون مقوا، ۳گ (۴۴پ-۴۶پ) ،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۱۸/۵سم [ف: 2- 349  ]</w:t>
      </w:r>
    </w:p>
    <w:p>
      <w:pPr>
        <w:pStyle w:val="BookText"/>
      </w:pPr>
      <w:r>
        <w:rPr>
          <w:rFonts w:ascii="IRNazanin" w:hAnsi="IRNazanin" w:eastAsia="IRNazanin" w:cs="IRNazanin"/>
          <w:lang w:bidi="fa-IR"/>
          <w:color w:val="111111"/>
          <w:sz w:val="28"/>
          <w:szCs w:val="28"/>
          <w:rtl/>
        </w:rPr>
        <w:t xml:space="preserve">قم؛ مرکز احیاء شماره نسخه: ۲۶۱۹/۳</w:t>
      </w:r>
    </w:p>
    <w:p>
      <w:pPr>
        <w:pStyle w:val="BookText"/>
      </w:pPr>
      <w:r>
        <w:rPr>
          <w:rFonts w:ascii="IRNazanin" w:hAnsi="IRNazanin" w:eastAsia="IRNazanin" w:cs="IRNazanin"/>
          <w:lang w:bidi="fa-IR"/>
          <w:color w:val="111111"/>
          <w:sz w:val="28"/>
          <w:szCs w:val="28"/>
          <w:rtl/>
        </w:rPr>
        <w:t xml:space="preserve">نسخه اصل: همان نسخه بالا عکسی [ف: ۷ - ۲۲۷]</w:t>
      </w:r>
    </w:p>
    <w:p>
      <w:pPr>
        <w:pStyle w:val="BookText"/>
      </w:pPr>
      <w:r>
        <w:rPr>
          <w:rFonts w:ascii="IRNazanin" w:hAnsi="IRNazanin" w:eastAsia="IRNazanin" w:cs="IRNazanin"/>
          <w:lang w:bidi="fa-IR"/>
          <w:color w:val="111111"/>
          <w:sz w:val="28"/>
          <w:szCs w:val="28"/>
          <w:rtl/>
        </w:rPr>
        <w:t xml:space="preserve">۲. خوانسار؛ مدرسه علوی؛ شماره نسخه:ض۱۶</w:t>
      </w:r>
    </w:p>
    <w:p>
      <w:pPr>
        <w:pStyle w:val="BookText"/>
      </w:pPr>
      <w:r>
        <w:rPr>
          <w:rFonts w:ascii="IRNazanin" w:hAnsi="IRNazanin" w:eastAsia="IRNazanin" w:cs="IRNazanin"/>
          <w:lang w:bidi="fa-IR"/>
          <w:color w:val="111111"/>
          <w:sz w:val="28"/>
          <w:szCs w:val="28"/>
          <w:rtl/>
        </w:rPr>
        <w:t xml:space="preserve">خط: نسخ و نستعلیق، کا: محمد بن ابراهيم بن عيسى اوالی، قرن ۱۰، ۳گ (۱۵۲-۱۵۴)،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 آینه پژوهـش: سال ۴ش ۲۲ - ۱۰۴]</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مجلس؛ شماره نسخه: ۱۲۳۱/۵۰-ط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شیخ محمد علی بن محمود تبریز، تا: قرن 11؛محشی با نشان «منه»؛ کاغذ: اصفهانی نخودی رنگ ،جلد: تیماج قهوه ای تیره، ۲گ (۱۳۳ر-۱۳۴ر) قطع: وزیری،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۲۶سم [ف: ۲۳ - ۸۳۴]</w:t>
      </w:r>
    </w:p>
    <w:p>
      <w:pPr>
        <w:pStyle w:val="BookText"/>
      </w:pPr>
      <w:r>
        <w:rPr>
          <w:rFonts w:ascii="IRNazanin" w:hAnsi="IRNazanin" w:eastAsia="IRNazanin" w:cs="IRNazanin"/>
          <w:lang w:bidi="fa-IR"/>
          <w:color w:val="111111"/>
          <w:sz w:val="28"/>
          <w:szCs w:val="28"/>
          <w:rtl/>
        </w:rPr>
        <w:t xml:space="preserve">۴ .مشهد؛ رضوی؛ شماره نسخه: ۱۸۵۵۶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۱۱ ؛واقف: میرزا رضا خان  نائینی، مرداد ۱۳۱۱؛ کاغذ: نخودی آهار مهره ،جلد: تیماج بیاضی، بیرون عنـابی و درون  ماشی، ۱ص ۴۲ سطر، قطع: بیاضی،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  سم[ف: ۲۵ - ۹۴]</w:t>
      </w:r>
    </w:p>
    <w:p>
      <w:pPr>
        <w:pStyle w:val="BookText"/>
      </w:pPr>
      <w:r>
        <w:rPr>
          <w:rFonts w:ascii="IRNazanin" w:hAnsi="IRNazanin" w:eastAsia="IRNazanin" w:cs="IRNazanin"/>
          <w:lang w:bidi="fa-IR"/>
          <w:color w:val="111111"/>
          <w:sz w:val="28"/>
          <w:szCs w:val="28"/>
          <w:rtl/>
        </w:rPr>
        <w:t xml:space="preserve">۵. تهران؛ مجلس؛ شماره نسخه: ۱۳۸۸۶/۳۷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بی کا، تا: قرن  ۱۱، در نسخه نام مؤلف مولی علی قوشچی ضبط شده و در صدر نسخه نام او آمده است؛ جلد: مقوا، عطف تيماج،  ۵گ (۹۵پ-۹۶ر) [ف: ۳۷ - ۴۷۴]</w:t>
      </w:r>
    </w:p>
    <w:p>
      <w:pPr>
        <w:pStyle w:val="BookText"/>
      </w:pPr>
      <w:r>
        <w:rPr>
          <w:rFonts w:ascii="IRNazanin" w:hAnsi="IRNazanin" w:eastAsia="IRNazanin" w:cs="IRNazanin"/>
          <w:lang w:bidi="fa-IR"/>
          <w:color w:val="111111"/>
          <w:sz w:val="28"/>
          <w:szCs w:val="28"/>
          <w:rtl/>
        </w:rPr>
        <w:t xml:space="preserve">۶. تهران؛ ملک؛ شماره نسخه: ۲۹۵۶/۲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۱۰ و ۱۱ ؛کاغذ: پسته ای، جلد: رویه کاغذی ،مقوایی ۲گ (۲۱پ -۲۲ر)، ۱۵) سطر، اندازه:۱۶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۶ - ۱۷۱]</w:t>
      </w:r>
    </w:p>
    <w:p>
      <w:pPr>
        <w:pStyle w:val="BookText"/>
      </w:pPr>
      <w:r>
        <w:rPr>
          <w:rFonts w:ascii="IRNazanin" w:hAnsi="IRNazanin" w:eastAsia="IRNazanin" w:cs="IRNazanin"/>
          <w:lang w:bidi="fa-IR"/>
          <w:color w:val="111111"/>
          <w:sz w:val="28"/>
          <w:szCs w:val="28"/>
          <w:rtl/>
        </w:rPr>
        <w:t xml:space="preserve">7.تهران؛ دانشگاه؛ شماره نسخه: ۹۴۷۸/۲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در فهرست مؤلف قوشچی معرفی شده است؛ خط: نستعلیق، بی کا، تا: قرن ۱۱؛ کاغذ: استانبولی، جلد: تیماج تریاکی عطف قهوه ای ،لایی ۵گ (۲۳ ر - ۲۷ر)، ۲۳سطر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 قطع: ربعی،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 ۱۷ - ۳۸۰]</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قم؛ گلپایگانی؛ شماره نسخه: 2/ 2041- 141/ 11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۱۱ ؛جلد: تیماج قهوه ای، ۲گ، ۱۷  سطر،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۱ - ۳۳۷]</w:t>
      </w:r>
    </w:p>
    <w:p>
      <w:pPr>
        <w:pStyle w:val="BookText"/>
      </w:pPr>
      <w:r>
        <w:rPr>
          <w:rFonts w:ascii="Amiri" w:hAnsi="Amiri" w:eastAsia="Amiri" w:cs="Amiri"/>
          <w:lang w:bidi="ar-SA"/>
          <w:color w:val="111111"/>
          <w:sz w:val="28"/>
          <w:szCs w:val="28"/>
          <w:rtl/>
        </w:rPr>
        <w:t xml:space="preserve">9.قم؛ مفتى الشيعه؛ شماره نسخه: ۶۴/۲</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کا: شاهمیر بن زین العابدین  حسنی، تا: ۱۵ رجب ۱۰۰۹ق؛ رساله در نسخه «فرائد الفوائد» نامیده شده؛ جلد: مقوایی عطف تیماج ،سبز، ۵گ (۲۵ پ -۲۹ پ) ، اندازه: ۱۸/۵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۶۷]</w:t>
      </w:r>
    </w:p>
    <w:p>
      <w:pPr>
        <w:pStyle w:val="BookText"/>
      </w:pPr>
      <w:r>
        <w:rPr>
          <w:rFonts w:ascii="IRNazanin" w:hAnsi="IRNazanin" w:eastAsia="IRNazanin" w:cs="IRNazanin"/>
          <w:lang w:bidi="fa-IR"/>
          <w:color w:val="111111"/>
          <w:sz w:val="28"/>
          <w:szCs w:val="28"/>
          <w:rtl/>
        </w:rPr>
        <w:t xml:space="preserve">۱۰. قم؛ گلپایگانی؛ شماره نسخه: ۷۳۵۵/۳-۳۷۱۴۵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رمضان ۱۰۲۵ق؛ جلد: تیماج قهوه ای مجدول با ترنج و سرترنج، ۲گ، ۲۴ سطر،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1- 338]</w:t>
      </w:r>
    </w:p>
    <w:p>
      <w:pPr>
        <w:pStyle w:val="BookText"/>
      </w:pPr>
      <w:r>
        <w:rPr>
          <w:rFonts w:ascii="IRNazanin" w:hAnsi="IRNazanin" w:eastAsia="IRNazanin" w:cs="IRNazanin"/>
          <w:lang w:bidi="fa-IR"/>
          <w:color w:val="111111"/>
          <w:sz w:val="28"/>
          <w:szCs w:val="28"/>
          <w:rtl/>
        </w:rPr>
        <w:t xml:space="preserve">۱۱ .تهران؛ سپهسالار؛ شماره نسخه: ۳۰۳۴/۲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در فهرست مؤلف ناشناخته مانده که به قرینه آغاز نسخه تعیین شد؛ بی کا، تا: ۱۰۷۴ق؛ محشی با نشان «منه»؛ کاغذ: سپاهانی، جلد: تیماج قهوه ای یک لا ،ضربی ۵گ (۶۰پ-۶۴ر)، ۱۴ سطر، اندازه: 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۱۶/۵سم [ف: ۳ - ۱۲۲]</w:t>
      </w:r>
    </w:p>
    <w:p>
      <w:pPr>
        <w:pStyle w:val="BookText"/>
      </w:pPr>
      <w:r>
        <w:rPr>
          <w:rFonts w:ascii="IRNazanin" w:hAnsi="IRNazanin" w:eastAsia="IRNazanin" w:cs="IRNazanin"/>
          <w:lang w:bidi="fa-IR"/>
          <w:color w:val="111111"/>
          <w:sz w:val="28"/>
          <w:szCs w:val="28"/>
          <w:rtl/>
        </w:rPr>
        <w:t xml:space="preserve">۱۲. تهران؛ مجلس؛ شماره نسخه: ۱۸۰۵/۱۰</w:t>
      </w:r>
    </w:p>
    <w:p>
      <w:pPr>
        <w:pStyle w:val="BookText"/>
      </w:pPr>
      <w:r>
        <w:rPr>
          <w:rFonts w:ascii="Amiri" w:hAnsi="Amiri" w:eastAsia="Amiri" w:cs="Amiri"/>
          <w:lang w:bidi="ar-SA"/>
          <w:color w:val="111111"/>
          <w:sz w:val="28"/>
          <w:szCs w:val="28"/>
          <w:rtl/>
        </w:rPr>
        <w:t xml:space="preserve">آغاز: برابر؛ انجام: امثلة المجاز قوله تعالى فاذا قرات فاسعذ بالله اسعملت قرات مكان القرآن ... فيشير الى ان استعمال المشتق بتبعيةالمصدر و حرر في شرح التلخيص ان يكون نطقت في نطقت  الحال مجاز امر سلاعن ذات باعتبار ان الدلالة لازمة للمنطق</w:t>
      </w:r>
    </w:p>
    <w:p>
      <w:pPr>
        <w:pStyle w:val="BookText"/>
      </w:pPr>
      <w:r>
        <w:rPr>
          <w:rFonts w:ascii="IRNazanin" w:hAnsi="IRNazanin" w:eastAsia="IRNazanin" w:cs="IRNazanin"/>
          <w:lang w:bidi="fa-IR"/>
          <w:color w:val="111111"/>
          <w:sz w:val="28"/>
          <w:szCs w:val="28"/>
          <w:rtl/>
        </w:rPr>
        <w:t xml:space="preserve">خط: نسخ، بی کا، تا: با تاریخ ۱۰۷۸ق؛ کاغذ: فرنگی سفید، جلد: تیماج قرمز ،ضربی ۳ ص (۶۸-۷۰) ، ۲۵  سطر، قطع: رحلی، اندازه:</w:t>
      </w:r>
    </w:p>
    <w:p>
      <w:pPr>
        <w:pStyle w:val="BookText"/>
      </w:pPr>
      <w:r>
        <w:rPr>
          <w:rFonts w:ascii="IRNazanin" w:hAnsi="IRNazanin" w:eastAsia="IRNazanin" w:cs="IRNazanin"/>
          <w:lang w:bidi="fa-IR"/>
          <w:color w:val="111111"/>
          <w:sz w:val="28"/>
          <w:szCs w:val="28"/>
          <w:rtl/>
        </w:rPr>
        <w:t xml:space="preserve">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۳۴سم [ف: ۹ - ۳۳۶]</w:t>
      </w:r>
    </w:p>
    <w:p>
      <w:pPr>
        <w:pStyle w:val="BookText"/>
      </w:pPr>
      <w:r>
        <w:rPr>
          <w:rFonts w:ascii="IRNazanin" w:hAnsi="IRNazanin" w:eastAsia="IRNazanin" w:cs="IRNazanin"/>
          <w:lang w:bidi="fa-IR"/>
          <w:color w:val="111111"/>
          <w:sz w:val="28"/>
          <w:szCs w:val="28"/>
          <w:rtl/>
        </w:rPr>
        <w:t xml:space="preserve">قم؛ مرکز احیاء؛ شماره نسخه: ۲۳۳۷/۷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نسخه اصل: همان نسخه بالا [ عکسی ف: ۶ - ۳۹۹]</w:t>
      </w:r>
    </w:p>
    <w:p>
      <w:pPr>
        <w:pStyle w:val="BookText"/>
      </w:pPr>
      <w:r>
        <w:rPr>
          <w:rFonts w:ascii="IRNazanin" w:hAnsi="IRNazanin" w:eastAsia="IRNazanin" w:cs="IRNazanin"/>
          <w:lang w:bidi="fa-IR"/>
          <w:color w:val="111111"/>
          <w:sz w:val="28"/>
          <w:szCs w:val="28"/>
          <w:rtl/>
        </w:rPr>
        <w:t xml:space="preserve">۱۳. قم؛ مرکز احیاء: شماره نسخه: ۴۰۵۰/۱۳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قرن ۱۲؛ ۲گ (۴۸پ-۴۹ پ) ،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[محدث ارموی مخ: ۱ -۱۲۷]</w:t>
      </w:r>
    </w:p>
    <w:p>
      <w:pPr>
        <w:pStyle w:val="BookText"/>
      </w:pPr>
      <w:r>
        <w:rPr>
          <w:rFonts w:ascii="IRNazanin" w:hAnsi="IRNazanin" w:eastAsia="IRNazanin" w:cs="IRNazanin"/>
          <w:lang w:bidi="fa-IR"/>
          <w:color w:val="111111"/>
          <w:sz w:val="28"/>
          <w:szCs w:val="28"/>
          <w:rtl/>
        </w:rPr>
        <w:t xml:space="preserve">۱۴. تهران؛ ادبیات؛ شماره نسخه: ۳۲۵/۱ حکمت</w:t>
      </w:r>
    </w:p>
    <w:p>
      <w:pPr>
        <w:pStyle w:val="BookText"/>
      </w:pPr>
      <w:r>
        <w:rPr>
          <w:rFonts w:ascii="IRNazanin" w:hAnsi="IRNazanin" w:eastAsia="IRNazanin" w:cs="IRNazanin"/>
          <w:lang w:bidi="fa-IR"/>
          <w:color w:val="111111"/>
          <w:sz w:val="28"/>
          <w:szCs w:val="28"/>
          <w:rtl/>
        </w:rPr>
        <w:t xml:space="preserve">خط: نستعلیق، بی کا، تا: قرن  ۱۲؛ جلد: تیماج مشکی یک لا، قـطع: ربعی [ف ۲ - ۶۰]</w:t>
      </w:r>
    </w:p>
    <w:p>
      <w:pPr>
        <w:pStyle w:val="BookText"/>
      </w:pPr>
      <w:r>
        <w:rPr>
          <w:rFonts w:ascii="IRNazanin" w:hAnsi="IRNazanin" w:eastAsia="IRNazanin" w:cs="IRNazanin"/>
          <w:lang w:bidi="fa-IR"/>
          <w:color w:val="111111"/>
          <w:sz w:val="28"/>
          <w:szCs w:val="28"/>
          <w:rtl/>
        </w:rPr>
        <w:t xml:space="preserve">۱۵. مشهد؛ رضوی؛ شماره نسخه: ۲۱۷۶۰</w:t>
      </w:r>
    </w:p>
    <w:p>
      <w:pPr>
        <w:pStyle w:val="BookText"/>
      </w:pPr>
      <w:r>
        <w:rPr>
          <w:rFonts w:ascii="Amiri" w:hAnsi="Amiri" w:eastAsia="Amiri" w:cs="Amiri"/>
          <w:lang w:bidi="ar-SA"/>
          <w:color w:val="111111"/>
          <w:sz w:val="28"/>
          <w:szCs w:val="28"/>
          <w:rtl/>
        </w:rPr>
        <w:t xml:space="preserve">آغاز: برابر؛ انجام: و يجوز ان يكون مستعاراً من ملايم  المستـعار منه لملايم المستعار له و يحتمل الوجهين.</w:t>
      </w:r>
    </w:p>
    <w:p>
      <w:pPr>
        <w:pStyle w:val="BookText"/>
      </w:pPr>
      <w:r>
        <w:rPr>
          <w:rFonts w:ascii="IRNazanin" w:hAnsi="IRNazanin" w:eastAsia="IRNazanin" w:cs="IRNazanin"/>
          <w:lang w:bidi="fa-IR"/>
          <w:color w:val="111111"/>
          <w:sz w:val="28"/>
          <w:szCs w:val="28"/>
          <w:rtl/>
        </w:rPr>
        <w:t xml:space="preserve">خط: نستعلیق، بی کا، تا: قرن ۱۲؛ افتادگی: انجام (فقط صفحه آن موجود است) اهدایی : رهبری، خرداد ۱۳۷۳ ؛کاغذ: نخودی، جلد: مقوا، ۱۸ سطر [ف: ۲۵ – ۹۴]</w:t>
      </w:r>
    </w:p>
    <w:p>
      <w:pPr>
        <w:pStyle w:val="BookText"/>
      </w:pPr>
      <w:r>
        <w:rPr>
          <w:rFonts w:ascii="IRNazanin" w:hAnsi="IRNazanin" w:eastAsia="IRNazanin" w:cs="IRNazanin"/>
          <w:lang w:bidi="fa-IR"/>
          <w:color w:val="111111"/>
          <w:sz w:val="28"/>
          <w:szCs w:val="28"/>
          <w:rtl/>
        </w:rPr>
        <w:t xml:space="preserve">۱۶. قم؛ مرعشی؛ شماره نسخه: ۱۲۷۵۶/۴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قرن ۱۲؛ مصحح؛کاغذ: شرقی:6گ ( (۹-۸/۵)، ۱۱ سطر، اندازه: 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۳۲ - ۴۲۰]</w:t>
      </w:r>
    </w:p>
    <w:p>
      <w:pPr>
        <w:pStyle w:val="BookText"/>
      </w:pPr>
      <w:r>
        <w:rPr>
          <w:rFonts w:ascii="IRNazanin" w:hAnsi="IRNazanin" w:eastAsia="IRNazanin" w:cs="IRNazanin"/>
          <w:lang w:bidi="fa-IR"/>
          <w:color w:val="111111"/>
          <w:sz w:val="28"/>
          <w:szCs w:val="28"/>
          <w:rtl/>
        </w:rPr>
        <w:t xml:space="preserve">۱۷. شیراز؛ علامه طباطبائی؛ شماره نسخه: ۴۰۴/۷</w:t>
      </w:r>
    </w:p>
    <w:p>
      <w:pPr>
        <w:pStyle w:val="BookText"/>
      </w:pPr>
      <w:r>
        <w:rPr>
          <w:rFonts w:ascii="IRNazanin" w:hAnsi="IRNazanin" w:eastAsia="IRNazanin" w:cs="IRNazanin"/>
          <w:lang w:bidi="fa-IR"/>
          <w:color w:val="111111"/>
          <w:sz w:val="28"/>
          <w:szCs w:val="28"/>
          <w:rtl/>
        </w:rPr>
        <w:t xml:space="preserve">خط: نسخ، بی کا، تا: ۱۱۰۱ق؛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۲۴/۵سم [ نسحـه پژوهی ۳ - ۹۴]</w:t>
      </w:r>
    </w:p>
    <w:p>
      <w:pPr>
        <w:pStyle w:val="BookText"/>
      </w:pPr>
      <w:r>
        <w:rPr>
          <w:rFonts w:ascii="IRNazanin" w:hAnsi="IRNazanin" w:eastAsia="IRNazanin" w:cs="IRNazanin"/>
          <w:lang w:bidi="fa-IR"/>
          <w:color w:val="111111"/>
          <w:sz w:val="28"/>
          <w:szCs w:val="28"/>
          <w:rtl/>
        </w:rPr>
        <w:t xml:space="preserve">۱۸. مشهد؛ رضوی؛ شماره نسخه:ض ۱۴۴۲۰</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۱۱۱۰ق؛ واقف: محمد صالح علامه حائری مرداد ۱۳۵۱ ؛کاغذ: نخودی آهار مهره ،جلد: مقوا، رویه پارچه سرمه ای، ،6ص، ۱۵ سطر،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 ف: ۲۵ - ۹۳  ]</w:t>
      </w:r>
    </w:p>
    <w:p>
      <w:pPr>
        <w:pStyle w:val="BookText"/>
      </w:pPr>
      <w:r>
        <w:rPr>
          <w:rFonts w:ascii="IRNazanin" w:hAnsi="IRNazanin" w:eastAsia="IRNazanin" w:cs="IRNazanin"/>
          <w:lang w:bidi="fa-IR"/>
          <w:color w:val="111111"/>
          <w:sz w:val="28"/>
          <w:szCs w:val="28"/>
          <w:rtl/>
        </w:rPr>
        <w:t xml:space="preserve">۱۹. قم؛ مرعشی؛ شماره نسخه: ۷۵۲۰/۴</w:t>
      </w:r>
    </w:p>
    <w:p>
      <w:pPr>
        <w:pStyle w:val="BookText"/>
      </w:pPr>
      <w:r>
        <w:rPr>
          <w:rFonts w:ascii="IRNazanin" w:hAnsi="IRNazanin" w:eastAsia="IRNazanin" w:cs="IRNazanin"/>
          <w:lang w:bidi="fa-IR"/>
          <w:color w:val="111111"/>
          <w:sz w:val="28"/>
          <w:szCs w:val="28"/>
          <w:rtl/>
        </w:rPr>
        <w:t xml:space="preserve">خط: نستعلیق، بی کا، تا: شنبه ۱۵ ذیحجه ۱۱۱۹ق؛ جلد: تیماج قهوه ای، ۴گ (۶۴پ-۶۷ر)،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۱۹ – ۳۲۷]</w:t>
      </w:r>
    </w:p>
    <w:p>
      <w:pPr>
        <w:pStyle w:val="BookText"/>
      </w:pPr>
      <w:r>
        <w:rPr>
          <w:rFonts w:ascii="IRNazanin" w:hAnsi="IRNazanin" w:eastAsia="IRNazanin" w:cs="IRNazanin"/>
          <w:lang w:bidi="fa-IR"/>
          <w:color w:val="111111"/>
          <w:sz w:val="28"/>
          <w:szCs w:val="28"/>
          <w:rtl/>
        </w:rPr>
        <w:t xml:space="preserve">۲۰ . مشهد؛ رضوی؛ شماره نسخه: ۱۱۴۲۰/۲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و نستعلیق، بی کا،  تا: ۱۱۲۰ق؛ کاغذ: حنایی ،جلد: مقـوا ،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 ۱۲ - ۳۸۴]</w:t>
      </w:r>
    </w:p>
    <w:p>
      <w:pPr>
        <w:pStyle w:val="BookText"/>
      </w:pPr>
      <w:r>
        <w:rPr>
          <w:rFonts w:ascii="IRNazanin" w:hAnsi="IRNazanin" w:eastAsia="IRNazanin" w:cs="IRNazanin"/>
          <w:lang w:bidi="fa-IR"/>
          <w:color w:val="111111"/>
          <w:sz w:val="28"/>
          <w:szCs w:val="28"/>
          <w:rtl/>
        </w:rPr>
        <w:t xml:space="preserve">۲۱. تهران؛ دانشگاه؛ شماره نسخه:۶۹۵۲/۱۰-عکس</w:t>
      </w:r>
    </w:p>
    <w:p>
      <w:pPr>
        <w:pStyle w:val="BookText"/>
      </w:pPr>
      <w:r>
        <w:rPr>
          <w:rFonts w:ascii="IRNazanin" w:hAnsi="IRNazanin" w:eastAsia="IRNazanin" w:cs="IRNazanin"/>
          <w:lang w:bidi="fa-IR"/>
          <w:color w:val="111111"/>
          <w:sz w:val="28"/>
          <w:szCs w:val="28"/>
          <w:rtl/>
        </w:rPr>
        <w:t xml:space="preserve">بی کا: تا:با تاریخ ۱۱۶۱ [ فیلم ها -ف: ۳ - ۲۶۹]</w:t>
      </w:r>
    </w:p>
    <w:p>
      <w:pPr>
        <w:pStyle w:val="BookText"/>
      </w:pPr>
      <w:r>
        <w:rPr>
          <w:rFonts w:ascii="IRNazanin" w:hAnsi="IRNazanin" w:eastAsia="IRNazanin" w:cs="IRNazanin"/>
          <w:lang w:bidi="fa-IR"/>
          <w:color w:val="111111"/>
          <w:sz w:val="28"/>
          <w:szCs w:val="28"/>
          <w:rtl/>
        </w:rPr>
        <w:t xml:space="preserve">۲۲ . مشهد؛ رضوی؛ شماره نسخه: ۲۵۱۰۹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۱۱۸۴ق؛ محشی؛ واقف: استاد جعفر زاهدی،  دی ۱۳۷۷؛ کاغذ: نخودی آهار مهره ،جلد: تیماج اسقاطی، ۴ص، ۲۳ سطر،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۲۵ - ۹۱]</w:t>
      </w:r>
    </w:p>
    <w:p>
      <w:pPr>
        <w:pStyle w:val="BookText"/>
      </w:pPr>
      <w:r>
        <w:rPr>
          <w:rFonts w:ascii="IRNazanin" w:hAnsi="IRNazanin" w:eastAsia="IRNazanin" w:cs="IRNazanin"/>
          <w:lang w:bidi="fa-IR"/>
          <w:color w:val="111111"/>
          <w:sz w:val="28"/>
          <w:szCs w:val="28"/>
          <w:rtl/>
        </w:rPr>
        <w:t xml:space="preserve">۲۳. تهران؛ مجلس؛ شماره نسخه: ۴۴۲/۱ کر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۱۳ ،مصحح، محشی با نشان (قول احمد»، مجدول؛ تملک: طاهر افندی بن حاج احمد افندی با مهر گرد «محمد ۱۲۵۱» (دایره) کاغذ: فرنگی سفید ضخیم، جلد: مقوایی با روکش کاغذی آجری با ترنج و سرترنج ضربی زمینه منقش به گل و بوته و نگاره های اسلیمی با عطف و مغزی تیماج قهوه ای ۳گ (۱پ-۳پ)، ۲۱ سطر، قطع: رقعی، اندازه: 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۴۰/۲ - ۱۶۳]</w:t>
      </w:r>
    </w:p>
    <w:p>
      <w:pPr>
        <w:pStyle w:val="BookText"/>
      </w:pPr>
      <w:r>
        <w:rPr>
          <w:rFonts w:ascii="IRNazanin" w:hAnsi="IRNazanin" w:eastAsia="IRNazanin" w:cs="IRNazanin"/>
          <w:lang w:bidi="fa-IR"/>
          <w:color w:val="111111"/>
          <w:sz w:val="28"/>
          <w:szCs w:val="28"/>
          <w:rtl/>
        </w:rPr>
        <w:t xml:space="preserve">۲۴. اصفهان؛ دانشگاه اصفهان؛ شماره نسخه: ۵۰۲/۶</w:t>
      </w:r>
    </w:p>
    <w:p>
      <w:pPr>
        <w:pStyle w:val="BookText"/>
      </w:pPr>
      <w:r>
        <w:rPr>
          <w:rFonts w:ascii="IRNazanin" w:hAnsi="IRNazanin" w:eastAsia="IRNazanin" w:cs="IRNazanin"/>
          <w:lang w:bidi="fa-IR"/>
          <w:color w:val="111111"/>
          <w:sz w:val="28"/>
          <w:szCs w:val="28"/>
          <w:rtl/>
        </w:rPr>
        <w:t xml:space="preserve">خط: نسخ  ترکی، بی کا، تا: قرن ۱۳، جلد: تیماج مشکی، ۶گ (۱۸۵پ-۱۹۰پ)، ۱۳ سطر، اندازه: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۲ – ۳۹۲]</w:t>
      </w:r>
    </w:p>
    <w:p>
      <w:pPr>
        <w:pStyle w:val="BookText"/>
      </w:pPr>
      <w:r>
        <w:rPr>
          <w:rFonts w:ascii="IRNazanin" w:hAnsi="IRNazanin" w:eastAsia="IRNazanin" w:cs="IRNazanin"/>
          <w:lang w:bidi="fa-IR"/>
          <w:color w:val="111111"/>
          <w:sz w:val="28"/>
          <w:szCs w:val="28"/>
          <w:rtl/>
        </w:rPr>
        <w:t xml:space="preserve">۲۵. تهران؛ ملی؛ شماره نسخه: ۱۹۷۸/۴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در فهرست مؤلف ناشناخته مانده که به قرینه آغاز نسخه تعیین شد؛ خط: شکسته نستعلیق، بی کا، تا: قرن  ۱۳؛ کاغذ: فرنگی، جلد: تیماج مشکی یک  لا، ۴ ص ((۱۲۰-۱۲۳)، ۲۰ سطر (۶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۱۱/۵)،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۴ - ۴۷۶]</w:t>
      </w:r>
    </w:p>
    <w:p>
      <w:pPr>
        <w:pStyle w:val="BookText"/>
      </w:pPr>
      <w:r>
        <w:rPr>
          <w:rFonts w:ascii="IRNazanin" w:hAnsi="IRNazanin" w:eastAsia="IRNazanin" w:cs="IRNazanin"/>
          <w:lang w:bidi="fa-IR"/>
          <w:color w:val="111111"/>
          <w:sz w:val="28"/>
          <w:szCs w:val="28"/>
          <w:rtl/>
        </w:rPr>
        <w:t xml:space="preserve">۲۶. قم؛ مرعشی؛ شماره نسخه: ۱۱۶۸۳/۱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نستعليق ماوراء النهری، بی کاف تا: قرن ۱۳؛ کاغذ: سمرقندی، آهار مهره، ۴گ (۱-۴)، ۱۵ سطر، اندازه: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۲۹ - ۴۶۲]</w:t>
      </w:r>
    </w:p>
    <w:p>
      <w:pPr>
        <w:pStyle w:val="BookText"/>
      </w:pPr>
      <w:r>
        <w:rPr>
          <w:rFonts w:ascii="IRNazanin" w:hAnsi="IRNazanin" w:eastAsia="IRNazanin" w:cs="IRNazanin"/>
          <w:lang w:bidi="fa-IR"/>
          <w:color w:val="111111"/>
          <w:sz w:val="28"/>
          <w:szCs w:val="28"/>
          <w:rtl/>
        </w:rPr>
        <w:t xml:space="preserve">۲۷ . مشهد؛ رضوی؛ شماره نسخه: ض ۲۵۹۴۷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سید احمد رشید بن سلیمان  مفتی، تا: یک شنبه جمادی الثانی ۱۲۰۷ق؛ مذیل است به رساله حمزه افندی در مبحث استعاره مكنيه؛ واقف: جعفر  زاهدی، دی ۱۳۷۷؛ كاغذ: شکری آهار مهره ۴۰ص، ۱۷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۲۵-۹۲]</w:t>
      </w:r>
    </w:p>
    <w:p>
      <w:pPr>
        <w:pStyle w:val="BookText"/>
      </w:pPr>
      <w:r>
        <w:rPr>
          <w:rFonts w:ascii="IRNazanin" w:hAnsi="IRNazanin" w:eastAsia="IRNazanin" w:cs="IRNazanin"/>
          <w:lang w:bidi="fa-IR"/>
          <w:color w:val="111111"/>
          <w:sz w:val="28"/>
          <w:szCs w:val="28"/>
          <w:rtl/>
        </w:rPr>
        <w:t xml:space="preserve">۲۸ . قم؛ گلپایگانی؛ شماره نسخه: ۲۵۹۵/۲-۱۴/۴۵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عبدالواحد  بلخی، تا: ۱۲۲۹ق، جلد: مقوا، عطف  پارچه، ۴گ، ۲۳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۱ - ۳۳۸]</w:t>
      </w:r>
    </w:p>
    <w:p>
      <w:pPr>
        <w:pStyle w:val="BookText"/>
      </w:pPr>
      <w:r>
        <w:rPr>
          <w:rFonts w:ascii="IRNazanin" w:hAnsi="IRNazanin" w:eastAsia="IRNazanin" w:cs="IRNazanin"/>
          <w:lang w:bidi="fa-IR"/>
          <w:color w:val="111111"/>
          <w:sz w:val="28"/>
          <w:szCs w:val="28"/>
          <w:rtl/>
        </w:rPr>
        <w:t xml:space="preserve">۲۹. اراک؛ دهگان؛ شماره نسخه: ۲۶۱/۲</w:t>
      </w:r>
    </w:p>
    <w:p>
      <w:pPr>
        <w:pStyle w:val="BookText"/>
      </w:pPr>
      <w:r>
        <w:rPr>
          <w:rFonts w:ascii="Amiri" w:hAnsi="Amiri" w:eastAsia="Amiri" w:cs="Amiri"/>
          <w:lang w:bidi="ar-SA"/>
          <w:color w:val="111111"/>
          <w:sz w:val="28"/>
          <w:szCs w:val="28"/>
          <w:rtl/>
        </w:rPr>
        <w:t xml:space="preserve">آغاز: اولا الفريدة الاولى ذهب السلف الحان ...</w:t>
      </w:r>
    </w:p>
    <w:p>
      <w:pPr>
        <w:pStyle w:val="BookText"/>
      </w:pPr>
      <w:r>
        <w:rPr>
          <w:rFonts w:ascii="IRNazanin" w:hAnsi="IRNazanin" w:eastAsia="IRNazanin" w:cs="IRNazanin"/>
          <w:lang w:bidi="fa-IR"/>
          <w:color w:val="111111"/>
          <w:sz w:val="28"/>
          <w:szCs w:val="28"/>
          <w:rtl/>
        </w:rPr>
        <w:t xml:space="preserve">خط: نسخ، بی کا، بی تا؛ افتادگی: انجام؛ در خاتمه یادداشتی به این عبارت  آمده: «حرره اقل محمد مهدى بن المرحوم ملا حبيب الله آشتياني في يوم السبت چهارم شهر صفر المظفر سنة ۱۲۳۳» با نشان چهارگوش «من اهديت المهدی» گویا کاتب نسخه همو  باشد، خرید کتاب در دارالسلطنه تهران به مبلغ هفتاد و پنج دینار، مورخ ربیع الثانی ۱۲۳۱» در حاشیه رساله اشعاری از مولوی،  حافظ ،انوری ،کلیم صباحی؛ تملک: شمس الشعراء مهدى گواری به تاریخ ۱۳۱۳؛ کاغذ: لیمویی، جلد: تیماج مشکی ضربی مجدول با ترنج زرکوب، ۱۵ سطر، قطع: رقعی،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۲ - ۳۵۴]</w:t>
      </w:r>
    </w:p>
    <w:p>
      <w:pPr>
        <w:pStyle w:val="BookText"/>
      </w:pPr>
      <w:r>
        <w:rPr>
          <w:rFonts w:ascii="IRNazanin" w:hAnsi="IRNazanin" w:eastAsia="IRNazanin" w:cs="IRNazanin"/>
          <w:lang w:bidi="fa-IR"/>
          <w:color w:val="111111"/>
          <w:sz w:val="28"/>
          <w:szCs w:val="28"/>
          <w:rtl/>
        </w:rPr>
        <w:t xml:space="preserve">۳۰. خوی؛ نمازی؛ شماره نسخه: ۵۲۴/۲</w:t>
      </w:r>
    </w:p>
    <w:p>
      <w:pPr>
        <w:pStyle w:val="BookText"/>
      </w:pPr>
      <w:r>
        <w:rPr>
          <w:rFonts w:ascii="IRNazanin" w:hAnsi="IRNazanin" w:eastAsia="IRNazanin" w:cs="IRNazanin"/>
          <w:lang w:bidi="fa-IR"/>
          <w:color w:val="111111"/>
          <w:sz w:val="28"/>
          <w:szCs w:val="28"/>
          <w:rtl/>
        </w:rPr>
        <w:t xml:space="preserve">خط: نستعلیق، کا: محمد کریم بن مهدی قلی سرابی، تا: ۱۲۳۲ق؛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مصحح،  مقابله  شده با حواشی از محمد بن احمد خویی؛ مـهر: « محمد کریم ۱۲۳۵» (بیضی) ، «یا علی ادرکنی» (بیضی)، «اغفـرلنا بمحمد يا كريم» (مربع) ؛ وقف شهید؛ جلد: تیماج سوخت مشـکی با ترنج با سر، ۲۱سطر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۲۶۷] ،</w:t>
      </w:r>
    </w:p>
    <w:p>
      <w:pPr>
        <w:pStyle w:val="BookText"/>
      </w:pPr>
      <w:r>
        <w:rPr>
          <w:rFonts w:ascii="IRNazanin" w:hAnsi="IRNazanin" w:eastAsia="IRNazanin" w:cs="IRNazanin"/>
          <w:lang w:bidi="fa-IR"/>
          <w:color w:val="111111"/>
          <w:sz w:val="28"/>
          <w:szCs w:val="28"/>
          <w:rtl/>
        </w:rPr>
        <w:t xml:space="preserve">۳۱. تهران؛ مجلس؛ شماره نسخه: ۱۸۷۹۵ ض</w:t>
      </w:r>
    </w:p>
    <w:p>
      <w:pPr>
        <w:pStyle w:val="BookText"/>
      </w:pPr>
      <w:r>
        <w:rPr>
          <w:rFonts w:ascii="IRNazanin" w:hAnsi="IRNazanin" w:eastAsia="IRNazanin" w:cs="IRNazanin"/>
          <w:lang w:bidi="fa-IR"/>
          <w:color w:val="111111"/>
          <w:sz w:val="28"/>
          <w:szCs w:val="28"/>
          <w:rtl/>
        </w:rPr>
        <w:t xml:space="preserve">بی کا، تا: ۱۲۳۵ق [د.ث. مجلس ]</w:t>
      </w:r>
    </w:p>
    <w:p>
      <w:pPr>
        <w:pStyle w:val="BookText"/>
      </w:pPr>
      <w:r>
        <w:rPr>
          <w:rFonts w:ascii="Amiri" w:hAnsi="Amiri" w:eastAsia="Amiri" w:cs="Amiri"/>
          <w:lang w:bidi="ar-SA"/>
          <w:color w:val="111111"/>
          <w:sz w:val="28"/>
          <w:szCs w:val="28"/>
          <w:rtl/>
        </w:rPr>
        <w:t xml:space="preserve">۳۲. بابل؛ خاتم الانبياء؛ شماره نسخه: ۱۶۵/۲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اشرفی، عبدالله بن محمد تا: ۱۲۳۵ق؛ جـلد: تیماج مشکی، ۲۰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[ف:۱۱۴]</w:t>
      </w:r>
    </w:p>
    <w:p>
      <w:pPr>
        <w:pStyle w:val="BookText"/>
      </w:pPr>
      <w:r>
        <w:rPr>
          <w:rFonts w:ascii="IRNazanin" w:hAnsi="IRNazanin" w:eastAsia="IRNazanin" w:cs="IRNazanin"/>
          <w:lang w:bidi="fa-IR"/>
          <w:color w:val="111111"/>
          <w:sz w:val="28"/>
          <w:szCs w:val="28"/>
          <w:rtl/>
        </w:rPr>
        <w:t xml:space="preserve">قم؛ مرکز احیاء؛ شماره نسخه: ۱۲۶۰/۱</w:t>
      </w:r>
    </w:p>
    <w:p>
      <w:pPr>
        <w:pStyle w:val="BookText"/>
      </w:pPr>
      <w:r>
        <w:rPr>
          <w:rFonts w:ascii="IRNazanin" w:hAnsi="IRNazanin" w:eastAsia="IRNazanin" w:cs="IRNazanin"/>
          <w:lang w:bidi="fa-IR"/>
          <w:color w:val="111111"/>
          <w:sz w:val="28"/>
          <w:szCs w:val="28"/>
          <w:rtl/>
        </w:rPr>
        <w:t xml:space="preserve">نسخه اصل: همان نسخه بالا [عکسی ف: ۴ - ۸۵]</w:t>
      </w:r>
    </w:p>
    <w:p>
      <w:pPr>
        <w:pStyle w:val="BookText"/>
      </w:pPr>
      <w:r>
        <w:rPr>
          <w:rFonts w:ascii="IRNazanin" w:hAnsi="IRNazanin" w:eastAsia="IRNazanin" w:cs="IRNazanin"/>
          <w:lang w:bidi="fa-IR"/>
          <w:color w:val="111111"/>
          <w:sz w:val="28"/>
          <w:szCs w:val="28"/>
          <w:rtl/>
        </w:rPr>
        <w:t xml:space="preserve">۳۳. مشهد؛ رضوی؛ شماره نسخه: ۲۹۳۱۰</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جلی ممتاز، كا: كاظم بن عبدالحسین، تا: ۱۲۴۲ ق؛ ضمیمه نسخه ش ۲۹۳۰۹ [ رایانه]</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مشهد؛ رضوی؛ شماره نسخه: ۱۵۷۰۶/۳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نستعليق، كا: كاظم بن عبدالحسین، تا: رجب ۱۲۴۲ق، جا: اصفهان؛ محشی به حاشیه مهدی بن حسن موسوی دزفولی اردبیلی، شیخ بهایی و شیروانی؛ کاغذ: فرنگی  نخودی، جـلد:تیماج مشکی ضربی، ۱۹ سطر، اندازه:۱۷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 ۱۶ - ۱۲۷ ]</w:t>
      </w:r>
    </w:p>
    <w:p>
      <w:pPr>
        <w:pStyle w:val="BookText"/>
      </w:pPr>
      <w:r>
        <w:rPr>
          <w:rFonts w:ascii="IRNazanin" w:hAnsi="IRNazanin" w:eastAsia="IRNazanin" w:cs="IRNazanin"/>
          <w:lang w:bidi="fa-IR"/>
          <w:color w:val="111111"/>
          <w:sz w:val="28"/>
          <w:szCs w:val="28"/>
          <w:rtl/>
        </w:rPr>
        <w:t xml:space="preserve">۳۵. قم؛ فیضیه؛ شماره نسخه: ۱۹۲۵/۲</w:t>
      </w:r>
    </w:p>
    <w:p>
      <w:pPr>
        <w:pStyle w:val="BookText"/>
      </w:pPr>
      <w:r>
        <w:rPr>
          <w:rFonts w:ascii="Amiri" w:hAnsi="Amiri" w:eastAsia="Amiri" w:cs="Amiri"/>
          <w:lang w:bidi="ar-SA"/>
          <w:color w:val="111111"/>
          <w:sz w:val="28"/>
          <w:szCs w:val="28"/>
          <w:rtl/>
        </w:rPr>
        <w:t xml:space="preserve">آغاز: الحمد لواهب العطية</w:t>
      </w:r>
    </w:p>
    <w:p>
      <w:pPr>
        <w:pStyle w:val="BookText"/>
      </w:pPr>
      <w:r>
        <w:rPr>
          <w:rFonts w:ascii="IRNazanin" w:hAnsi="IRNazanin" w:eastAsia="IRNazanin" w:cs="IRNazanin"/>
          <w:lang w:bidi="fa-IR"/>
          <w:color w:val="111111"/>
          <w:sz w:val="28"/>
          <w:szCs w:val="28"/>
          <w:rtl/>
        </w:rPr>
        <w:t xml:space="preserve">در فهرست مؤلف ناشناس که به قرینه آغاز نسخه تعیین شد؛ خـط: تحریری ؛کا: فخر الدین بن احمد  رودباری، تا: ۱۲۴۳ق؛ اندازه: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۳ - ۱۵۰]</w:t>
      </w:r>
    </w:p>
    <w:p>
      <w:pPr>
        <w:pStyle w:val="BookText"/>
      </w:pPr>
      <w:r>
        <w:rPr>
          <w:rFonts w:ascii="IRNazanin" w:hAnsi="IRNazanin" w:eastAsia="IRNazanin" w:cs="IRNazanin"/>
          <w:lang w:bidi="fa-IR"/>
          <w:color w:val="111111"/>
          <w:sz w:val="28"/>
          <w:szCs w:val="28"/>
          <w:rtl/>
        </w:rPr>
        <w:t xml:space="preserve">۳۶. تهران؛ دانشگاه؛ شماره نسخه: ۷۶۲۴/۵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بی کا، تا: تاریخ مقابله ۱۲۴۵ق؛ مقابله شده؛ کاغذ: فرنگی، تیماج ،مشکی، ۱۶ سطر (۶/۵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قطع ،بغلی،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سم[ف : ۱۶ - ۶۵۸]</w:t>
      </w:r>
    </w:p>
    <w:p>
      <w:pPr>
        <w:pStyle w:val="BookText"/>
      </w:pPr>
      <w:r>
        <w:rPr>
          <w:rFonts w:ascii="IRNazanin" w:hAnsi="IRNazanin" w:eastAsia="IRNazanin" w:cs="IRNazanin"/>
          <w:lang w:bidi="fa-IR"/>
          <w:color w:val="111111"/>
          <w:sz w:val="28"/>
          <w:szCs w:val="28"/>
          <w:rtl/>
        </w:rPr>
        <w:t xml:space="preserve">۳۷. مشهد؛ رضوی؛ شماره نسخه: ۱۹۵۴۲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۱۲۵۷ق؛ اهدایی: رهبری مرداد 1273؛ کاغذ ،نخودی ،جلد: مقوای روغنی ضربی مزین به ترنج و  سرترنج ، ۴گ، ۱۹ سطر،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۱۸/۵سم [ف: ۲۵ - ۹۳]</w:t>
      </w:r>
    </w:p>
    <w:p>
      <w:pPr>
        <w:pStyle w:val="BookText"/>
      </w:pPr>
      <w:r>
        <w:rPr>
          <w:rFonts w:ascii="IRNazanin" w:hAnsi="IRNazanin" w:eastAsia="IRNazanin" w:cs="IRNazanin"/>
          <w:lang w:bidi="fa-IR"/>
          <w:color w:val="111111"/>
          <w:sz w:val="28"/>
          <w:szCs w:val="28"/>
          <w:rtl/>
        </w:rPr>
        <w:t xml:space="preserve">۳۸. مشهد؛ رضوی؛ شماره نسخه: ۲۴۳۱۹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ملا بیک نظر  قرمکی، تا: ۱۲۵۸ق؛ مجدول،با سر لوح؛ کاغذ: نخودی کاغذ نخودی آهار مهره، جلد: مقوای  روغنی، بیرون درون ضربی با نقش ترنج و سر ترنج ،۷ ص، ۱۵ سطر، اندازه: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۲۵ - ۹۳]</w:t>
      </w:r>
    </w:p>
    <w:p>
      <w:pPr>
        <w:pStyle w:val="BookText"/>
      </w:pPr>
      <w:r>
        <w:rPr>
          <w:rFonts w:ascii="IRNazanin" w:hAnsi="IRNazanin" w:eastAsia="IRNazanin" w:cs="IRNazanin"/>
          <w:lang w:bidi="fa-IR"/>
          <w:color w:val="111111"/>
          <w:sz w:val="28"/>
          <w:szCs w:val="28"/>
          <w:rtl/>
        </w:rPr>
        <w:t xml:space="preserve">۳۹. تهران؛ مجلس؛ شماره نسخه: ۸۸۰۷/۱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کامل؛ خط: نسخ و نستعلیق و رقاع، کا:محمد ارض رومی، تا: ۱۰۷۶ق؛ با سرلوح مزدوج مرصع  مذهب، برگ های ۷پ-۸ر چند دعا و دستورالعمل و حدیث از پیامبر (صلّی اللَّهِ علیه وَ آلِهِ وَ سَلَّمَ ) و بدون نام؛ کاغذ: فرنگی شکری آهار مهره، جلد: تیماج عنابی ضربی با ترنج منقش به گل هشت پر و بوته های اسلیمی در حاشیه آن و لچکی های کوچک، مجدول گرهی ،زرین ۷گ( اپ-۷پ)، ۹-۱۳ سطر</w:t>
      </w:r>
    </w:p>
    <w:p>
      <w:pPr>
        <w:pStyle w:val="BookText"/>
      </w:pPr>
      <w:r>
        <w:rPr>
          <w:rFonts w:ascii="IRNazanin" w:hAnsi="IRNazanin" w:eastAsia="IRNazanin" w:cs="IRNazanin"/>
          <w:lang w:bidi="fa-IR"/>
          <w:color w:val="111111"/>
          <w:sz w:val="28"/>
          <w:szCs w:val="28"/>
          <w:rtl/>
        </w:rPr>
        <w:t xml:space="preserve">(۷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اندازه: ۱۰/۲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۱۷/۵سم [ف: ۲۹/۱ - ۱۹]</w:t>
      </w:r>
    </w:p>
    <w:p>
      <w:pPr>
        <w:pStyle w:val="BookText"/>
      </w:pPr>
      <w:r>
        <w:rPr>
          <w:rFonts w:ascii="IRNazanin" w:hAnsi="IRNazanin" w:eastAsia="IRNazanin" w:cs="IRNazanin"/>
          <w:lang w:bidi="fa-IR"/>
          <w:color w:val="111111"/>
          <w:sz w:val="28"/>
          <w:szCs w:val="28"/>
          <w:rtl/>
        </w:rPr>
        <w:t xml:space="preserve">40.کرمانشاه میبدی (خاندان)؛ شماره نسخه: ۱۵۱/۴</w:t>
      </w:r>
    </w:p>
    <w:p>
      <w:pPr>
        <w:pStyle w:val="BookText"/>
      </w:pPr>
      <w:r>
        <w:rPr>
          <w:rFonts w:ascii="IRNazanin" w:hAnsi="IRNazanin" w:eastAsia="IRNazanin" w:cs="IRNazanin"/>
          <w:lang w:bidi="fa-IR"/>
          <w:color w:val="111111"/>
          <w:sz w:val="28"/>
          <w:szCs w:val="28"/>
          <w:rtl/>
        </w:rPr>
        <w:t xml:space="preserve">خط : نسخ،  کا: محمد صادق بن محمد جواد بن محمد صادق استرآبادی حائری، تا: ۱۲۷۷-۱۲۷۹ جلد: تیماج قرمز، ۶گ(۴۹پ-۴۶ر)، اندازه: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۱۱۳]</w:t>
      </w:r>
    </w:p>
    <w:p>
      <w:pPr>
        <w:pStyle w:val="BookText"/>
      </w:pPr>
      <w:r>
        <w:rPr>
          <w:rFonts w:ascii="IRNazanin" w:hAnsi="IRNazanin" w:eastAsia="IRNazanin" w:cs="IRNazanin"/>
          <w:lang w:bidi="fa-IR"/>
          <w:color w:val="111111"/>
          <w:sz w:val="28"/>
          <w:szCs w:val="28"/>
          <w:rtl/>
        </w:rPr>
        <w:t xml:space="preserve">41.تهران؛ مجلس؛ شماره نسخه: ۵۰۰۱/۴</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بی کا، بی تا؛ محشی با علامتهای «منه رحمه الله»، «منه مدظله» ؛کاغذ ،فرنگی ،جلد: روغنی با حاشیه زرین، اگ  (۱۹۹ ر - (۱۹۹(پ) ،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 ف : ۱۴ - ۲۹۸]</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تهران؛ مجلس؛ شماره نسخه: ۴۹۰۰/۲۰</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در فهرست ناشناس که نام مؤلف به قرینه آغاز نسخه تعیین شد؛ خط: نسخ، بی کا، بی تا؛ کاغذ: سپاهانی، جلد: تیماج قهوه ای مغزی  دار، ۲گ (۳۵ -۳۶)پ)، ۲۵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۳۵سم[ف: ۱۴- ۶۱]</w:t>
      </w:r>
    </w:p>
    <w:p>
      <w:pPr>
        <w:pStyle w:val="BookText"/>
      </w:pPr>
      <w:r>
        <w:rPr>
          <w:rFonts w:ascii="IRNazanin" w:hAnsi="IRNazanin" w:eastAsia="IRNazanin" w:cs="IRNazanin"/>
          <w:lang w:bidi="fa-IR"/>
          <w:color w:val="111111"/>
          <w:sz w:val="28"/>
          <w:szCs w:val="28"/>
          <w:rtl/>
        </w:rPr>
        <w:t xml:space="preserve">43.تهران؛ مجلس؛ شماره نسخه: ۱۴۲۸۰/۲۶</w:t>
      </w:r>
    </w:p>
    <w:p>
      <w:pPr>
        <w:pStyle w:val="BookText"/>
      </w:pPr>
      <w:r>
        <w:rPr>
          <w:rFonts w:ascii="IRNazanin" w:hAnsi="IRNazanin" w:eastAsia="IRNazanin" w:cs="IRNazanin"/>
          <w:lang w:bidi="fa-IR"/>
          <w:color w:val="111111"/>
          <w:sz w:val="28"/>
          <w:szCs w:val="28"/>
          <w:rtl/>
        </w:rPr>
        <w:t xml:space="preserve">خط: نستعلیق، بی کا، بی تا، بی کا،  جلد: تیماج، قهوه ای ،ضربی ترنج با زمینه مذهب با نقش ،گل ،مجدول ۲گ (۵۲پ - ۵۳) ۲۱ - ۳۹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۳۸ - ۳۹۶]</w:t>
      </w:r>
    </w:p>
    <w:p>
      <w:pPr>
        <w:pStyle w:val="BookText"/>
      </w:pPr>
      <w:r>
        <w:rPr>
          <w:rFonts w:ascii="IRNazanin" w:hAnsi="IRNazanin" w:eastAsia="IRNazanin" w:cs="IRNazanin"/>
          <w:lang w:bidi="fa-IR"/>
          <w:color w:val="111111"/>
          <w:sz w:val="28"/>
          <w:szCs w:val="28"/>
          <w:rtl/>
        </w:rPr>
        <w:t xml:space="preserve">۴۴. قم؛ مرکز مطالعات؛ شماره نسخه: ۹۸۴/۷</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بی کا، بی تا ؛جلد: تیماج قهوه ای عطف و حاشیه سرخ ضربی ترنج با سر مجدول، ۸گ (۳۹ر-۴۶ر)، ۱۲ سطر،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 - ۲۴۹]</w:t>
      </w:r>
    </w:p>
    <w:p>
      <w:pPr>
        <w:pStyle w:val="BookText"/>
      </w:pPr>
      <w:r>
        <w:rPr>
          <w:rFonts w:ascii="IRNazanin" w:hAnsi="IRNazanin" w:eastAsia="IRNazanin" w:cs="IRNazanin"/>
          <w:lang w:bidi="fa-IR"/>
          <w:color w:val="111111"/>
          <w:sz w:val="28"/>
          <w:szCs w:val="28"/>
          <w:rtl/>
        </w:rPr>
        <w:t xml:space="preserve">۴۵. تهران؛ وزارت امور خارجه؛ شماره نسخه: ۲/۱۲-۲۰</w:t>
      </w:r>
    </w:p>
    <w:p>
      <w:pPr>
        <w:pStyle w:val="BookText"/>
      </w:pPr>
      <w:r>
        <w:rPr>
          <w:rFonts w:ascii="IRNazanin" w:hAnsi="IRNazanin" w:eastAsia="IRNazanin" w:cs="IRNazanin"/>
          <w:lang w:bidi="fa-IR"/>
          <w:color w:val="111111"/>
          <w:sz w:val="28"/>
          <w:szCs w:val="28"/>
          <w:rtl/>
        </w:rPr>
        <w:t xml:space="preserve">خط: نستعلیق، کا: میرزا محمد نظام ابن میرزا محمد شفیع بخاری، بی تا:جلد: تیماج، ۳گ،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۲۴سم [ف: ۲۰]</w:t>
      </w:r>
    </w:p>
    <w:p>
      <w:pPr>
        <w:pStyle w:val="BookText"/>
      </w:pPr>
      <w:r>
        <w:rPr>
          <w:rFonts w:ascii="IRNazanin" w:hAnsi="IRNazanin" w:eastAsia="IRNazanin" w:cs="IRNazanin"/>
          <w:lang w:bidi="fa-IR"/>
          <w:color w:val="111111"/>
          <w:sz w:val="28"/>
          <w:szCs w:val="28"/>
          <w:rtl/>
        </w:rPr>
        <w:t xml:space="preserve">۴۶. تهران؛ عبد العظیم؛ شماره نسخه: ۷۰۸/۳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بی تا؛ ۲گ( ۳۵ر - ۳۶ر)، ۱۹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۱ - ۴۶]</w:t>
      </w:r>
    </w:p>
    <w:p>
      <w:pPr>
        <w:pStyle w:val="BookText"/>
      </w:pPr>
      <w:r>
        <w:rPr>
          <w:rFonts w:ascii="IRNazanin" w:hAnsi="IRNazanin" w:eastAsia="IRNazanin" w:cs="IRNazanin"/>
          <w:lang w:bidi="fa-IR"/>
          <w:color w:val="111111"/>
          <w:sz w:val="28"/>
          <w:szCs w:val="28"/>
          <w:rtl/>
        </w:rPr>
        <w:t xml:space="preserve">۴۷. مشهد؛ میبدی؛ شماره نسخه: ۳۷۷/۹</w:t>
      </w:r>
    </w:p>
    <w:p>
      <w:pPr>
        <w:pStyle w:val="BookText"/>
      </w:pPr>
      <w:r>
        <w:rPr>
          <w:rFonts w:ascii="IRNazanin" w:hAnsi="IRNazanin" w:eastAsia="IRNazanin" w:cs="IRNazanin"/>
          <w:lang w:bidi="fa-IR"/>
          <w:color w:val="111111"/>
          <w:sz w:val="28"/>
          <w:szCs w:val="28"/>
          <w:rtl/>
        </w:rPr>
        <w:t xml:space="preserve">خط: نستعليق هندی، بی کا، بی تا؛ جلد: دو رو تیماج رو زرشکی ضربی اندرون قهوه ای، ۴گ (۲۹۳پ-۲۹۶ر)، اندازه: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94" w:name="pg20365_260288"/>
    <w:bookmarkEnd w:id="194"/>
    <w:p>
      <w:pPr>
        <w:pStyle w:val="BookText"/>
      </w:pPr>
      <w:r>
        <w:rPr>
          <w:rFonts w:ascii="IRNazanin" w:hAnsi="IRNazanin" w:eastAsia="IRNazanin" w:cs="IRNazanin"/>
          <w:lang w:bidi="fa-IR"/>
          <w:color w:val="111111"/>
          <w:sz w:val="28"/>
          <w:szCs w:val="28"/>
          <w:rtl/>
        </w:rPr>
        <w:t xml:space="preserve">۱۶/۵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۲۷سم [ف: ۲ - ۷۷]</w:t>
      </w:r>
    </w:p>
    <w:p>
      <w:pPr>
        <w:pStyle w:val="BookText"/>
      </w:pPr>
      <w:r>
        <w:rPr>
          <w:rFonts w:ascii="IRNazanin" w:hAnsi="IRNazanin" w:eastAsia="IRNazanin" w:cs="IRNazanin"/>
          <w:lang w:bidi="fa-IR"/>
          <w:color w:val="111111"/>
          <w:sz w:val="28"/>
          <w:szCs w:val="28"/>
          <w:rtl/>
        </w:rPr>
        <w:t xml:space="preserve">۴۸. کرمانشاه؛ جلیلی؛ شماره نسخه: ۳۰۷/۷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بی کا، بی تا [ف ۲۵۵]</w:t>
      </w:r>
    </w:p>
    <w:p>
      <w:pPr>
        <w:pStyle w:val="BookText"/>
      </w:pPr>
      <w:r>
        <w:rPr>
          <w:rFonts w:ascii="IRNazanin" w:hAnsi="IRNazanin" w:eastAsia="IRNazanin" w:cs="IRNazanin"/>
          <w:lang w:bidi="fa-IR"/>
          <w:color w:val="111111"/>
          <w:sz w:val="28"/>
          <w:szCs w:val="28"/>
          <w:rtl/>
        </w:rPr>
        <w:t xml:space="preserve">۴۹. تهران؛ ملی؛ شماره نسخه: ۲۰۶۵/۱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در فهرست ناشناس آمده به قرینه آغاز نسخه تعیین شد؛ خـط: نستعلیق ،كا: محمد بن محمد فرحی، بی تا :کاغذ: اصفهانی، نخودی، ۲گ (۱پ-۲)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۱۱ – ۲۲۵]</w:t>
      </w:r>
    </w:p>
    <w:p>
      <w:pPr>
        <w:pStyle w:val="BookText"/>
      </w:pPr>
      <w:r>
        <w:rPr>
          <w:rFonts w:ascii="IRNazanin" w:hAnsi="IRNazanin" w:eastAsia="IRNazanin" w:cs="IRNazanin"/>
          <w:lang w:bidi="fa-IR"/>
          <w:color w:val="111111"/>
          <w:sz w:val="28"/>
          <w:szCs w:val="28"/>
          <w:rtl/>
        </w:rPr>
        <w:t xml:space="preserve">۵۰. تهران؛ ملی؛ شماره نسخه: ۲۱۴۶/۳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در فهرست ناشناس آمده و مؤلف به قرینه آغاز نسخه تعیین شد؛ خط: نستعلیق، کا: اسماعیل بن شیخ محمد تقی دزفولی، بی تا،کاغذ: فرنگی شکری و حنایی ،جلد: مقوایی، رویه تیماج حنایی سوخته آستر کاغذ سرخ، ۳گ (61پ-۶۳ پ)،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۱۱ - ۴۰۴]</w:t>
      </w:r>
    </w:p>
    <w:p>
      <w:pPr>
        <w:pStyle w:val="BookText"/>
      </w:pPr>
      <w:r>
        <w:rPr>
          <w:rFonts w:ascii="IRNazanin" w:hAnsi="IRNazanin" w:eastAsia="IRNazanin" w:cs="IRNazanin"/>
          <w:lang w:bidi="fa-IR"/>
          <w:color w:val="111111"/>
          <w:sz w:val="28"/>
          <w:szCs w:val="28"/>
          <w:rtl/>
        </w:rPr>
        <w:t xml:space="preserve">۵۱. قم؛ مرعشی؛ شماره نسخه: ۱۴۹۰/۱۰</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مایل به  رقعی ،کا: ابراهیم بن محمد، بی تا؛ مصحح؛ جلد: مقوایی عطف تیماج  مشکی، 3گ (۱۲۲پ-۱۲۴ر)،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۴ - ۲۹۱]</w:t>
      </w:r>
    </w:p>
    <w:p>
      <w:pPr>
        <w:pStyle w:val="BookText"/>
      </w:pPr>
      <w:r>
        <w:rPr>
          <w:rFonts w:ascii="IRNazanin" w:hAnsi="IRNazanin" w:eastAsia="IRNazanin" w:cs="IRNazanin"/>
          <w:lang w:bidi="fa-IR"/>
          <w:color w:val="111111"/>
          <w:sz w:val="28"/>
          <w:szCs w:val="28"/>
          <w:rtl/>
        </w:rPr>
        <w:t xml:space="preserve">۵۲. تهران؛ سپهسالار؛ شماره نسخه: ۶۳۴/۷</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در فهرست ناشناس، نام مؤلف به قرینه آغاز نسخه تعیین شـد؛ خط: شکسته نستعلیق، بی کا، بی تا؛ کاغذ: فرنگی رنگارنگ، ۴گ ؛ (۱۵۲ ر- - ۱۵۵) ۱۳ - ۱۷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۳ - ۱۲۳]</w:t>
      </w:r>
    </w:p>
    <w:p>
      <w:pPr>
        <w:pStyle w:val="BookText"/>
      </w:pPr>
      <w:r>
        <w:rPr>
          <w:rFonts w:ascii="IRNazanin" w:hAnsi="IRNazanin" w:eastAsia="IRNazanin" w:cs="IRNazanin"/>
          <w:lang w:bidi="fa-IR"/>
          <w:color w:val="111111"/>
          <w:sz w:val="28"/>
          <w:szCs w:val="28"/>
          <w:rtl/>
        </w:rPr>
        <w:t xml:space="preserve">۵۳. تهران؛ ملک؛ شماره نسخه:۲۹۷۵/۶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شیخ اسماعیل بن عبدالوهاب بن سعید، بی تا: کاغذ ،ترمه، ۳گ (۱۳۵ر - ۱۳۷ر)، ۱۹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[ف: ۶ - ۱۷۶]</w:t>
      </w:r>
    </w:p>
    <w:p>
      <w:pPr>
        <w:pStyle w:val="BookText"/>
      </w:pPr>
      <w:r>
        <w:rPr>
          <w:rFonts w:ascii="IRNazanin" w:hAnsi="IRNazanin" w:eastAsia="IRNazanin" w:cs="IRNazanin"/>
          <w:lang w:bidi="fa-IR"/>
          <w:color w:val="111111"/>
          <w:sz w:val="28"/>
          <w:szCs w:val="28"/>
          <w:rtl/>
        </w:rPr>
        <w:t xml:space="preserve">۵۴. قم؛ گلپایگانی؛ شماره نسخه: 11/ 8466- 136</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بی کا، بی تا؛ ۵گ (۱۲۵ - ۱۲۹)، ۱۵- ۲۳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۱ - ۳۳۸]</w:t>
      </w:r>
    </w:p>
    <w:p>
      <w:pPr>
        <w:pStyle w:val="BookText"/>
      </w:pPr>
      <w:r>
        <w:rPr>
          <w:rFonts w:ascii="IRNazanin" w:hAnsi="IRNazanin" w:eastAsia="IRNazanin" w:cs="IRNazanin"/>
          <w:lang w:bidi="fa-IR"/>
          <w:color w:val="111111"/>
          <w:sz w:val="28"/>
          <w:szCs w:val="28"/>
          <w:rtl/>
        </w:rPr>
        <w:t xml:space="preserve">۵۵. تهران؛ دانشگاه؛ شماره نسخه: ۳۴۵۹/۴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شریف محمد شریف بن باباجان حسینی؛ بی تا؛ تملك: کاتب؛ کاغذ: سپاهانی، جلد: تیماج قهوه ای ۵گ( 45- ۴۹)، ۲۳ سطر (4</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اندازه: ۱۰</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۱۸سم [ف : ۱۱ - ۲۴۶۶]</w:t>
      </w:r>
    </w:p>
    <w:p>
      <w:pPr>
        <w:pStyle w:val="Heading3"/>
      </w:pPr>
      <w:bookmarkStart w:id="1190" w:name="_Toc712"/>
      <w:r>
        <w:t>الاستعارة / بلاغت / عربي</w:t>
      </w:r>
      <w:bookmarkEnd w:id="1190"/>
    </w:p>
    <w:p>
      <w:pPr>
        <w:pStyle w:val="BookText"/>
      </w:pPr>
      <w:r>
        <w:rPr>
          <w:rFonts w:ascii="Times New Roman" w:hAnsi="Times New Roman" w:eastAsia="Times New Roman" w:cs="Times New Roman"/>
          <w:lang w:val="en-US" w:bidi="en-US"/>
          <w:color w:val="111111"/>
          <w:sz w:val="28"/>
          <w:szCs w:val="28"/>
          <w:rtl/>
        </w:rPr>
        <w:t xml:space="preserve">al-isti‘āra</w:t>
      </w:r>
    </w:p>
    <w:p>
      <w:pPr>
        <w:pStyle w:val="BookText"/>
      </w:pPr>
      <w:r>
        <w:rPr>
          <w:rFonts w:ascii="IRNazanin" w:hAnsi="IRNazanin" w:eastAsia="IRNazanin" w:cs="IRNazanin"/>
          <w:lang w:bidi="fa-IR"/>
          <w:color w:val="111111"/>
          <w:sz w:val="28"/>
          <w:szCs w:val="28"/>
          <w:rtl/>
        </w:rPr>
        <w:t xml:space="preserve">قره باغی، یوسف بن محمد  جان، - ۱۰۵۴ ؟ قمری</w:t>
      </w:r>
    </w:p>
    <w:p>
      <w:pPr>
        <w:pStyle w:val="BookText"/>
      </w:pPr>
      <w:r>
        <w:rPr>
          <w:rFonts w:ascii="Times New Roman" w:hAnsi="Times New Roman" w:eastAsia="Times New Roman" w:cs="Times New Roman"/>
          <w:lang w:val="en-US" w:bidi="en-US"/>
          <w:color w:val="111111"/>
          <w:sz w:val="28"/>
          <w:szCs w:val="28"/>
          <w:rtl/>
        </w:rPr>
        <w:t xml:space="preserve">(qara baqi, yusof ebn-e mohammad jān (- 1645)</w:t>
      </w:r>
    </w:p>
    <w:p>
      <w:pPr>
        <w:pStyle w:val="BookText"/>
      </w:pPr>
      <w:r>
        <w:rPr>
          <w:rFonts w:ascii="IRNazanin" w:hAnsi="IRNazanin" w:eastAsia="IRNazanin" w:cs="IRNazanin"/>
          <w:lang w:bidi="fa-IR"/>
          <w:color w:val="111111"/>
          <w:sz w:val="28"/>
          <w:szCs w:val="28"/>
          <w:rtl/>
        </w:rPr>
        <w:t xml:space="preserve">رساله در بیان مناظره بین مولانا حبيب الله میرزا جان شیرازی و یکی از افاضل ماوراء النهر در محضر عبدالله بهادر خان والی ماوراء النهر در بخارا واقع شده و درباره استعاره بحث مفصلی  شده است.</w:t>
      </w:r>
    </w:p>
    <w:p>
      <w:pPr>
        <w:pStyle w:val="BookText"/>
      </w:pPr>
      <w:r>
        <w:rPr>
          <w:rFonts w:ascii="IRNazanin" w:hAnsi="IRNazanin" w:eastAsia="IRNazanin" w:cs="IRNazanin"/>
          <w:lang w:bidi="fa-IR"/>
          <w:color w:val="111111"/>
          <w:sz w:val="28"/>
          <w:szCs w:val="28"/>
          <w:rtl/>
        </w:rPr>
        <w:t xml:space="preserve">[دانشمندان آذربایجان: ۴۰۴]</w:t>
      </w:r>
    </w:p>
    <w:p>
      <w:pPr>
        <w:pStyle w:val="BookText"/>
      </w:pPr>
      <w:r>
        <w:rPr>
          <w:rFonts w:ascii="IRNazanin" w:hAnsi="IRNazanin" w:eastAsia="IRNazanin" w:cs="IRNazanin"/>
          <w:lang w:bidi="fa-IR"/>
          <w:color w:val="111111"/>
          <w:sz w:val="28"/>
          <w:szCs w:val="28"/>
          <w:rtl/>
        </w:rPr>
        <w:t xml:space="preserve">چالوس؛ امام صادق؛ شماره نسخه: ۵۰۹/۲</w:t>
      </w:r>
    </w:p>
    <w:p>
      <w:pPr>
        <w:pStyle w:val="BookText"/>
      </w:pPr>
      <w:r>
        <w:rPr>
          <w:rFonts w:ascii="IRNazanin" w:hAnsi="IRNazanin" w:eastAsia="IRNazanin" w:cs="IRNazanin"/>
          <w:lang w:bidi="fa-IR"/>
          <w:color w:val="111111"/>
          <w:sz w:val="28"/>
          <w:szCs w:val="28"/>
          <w:rtl/>
        </w:rPr>
        <w:t xml:space="preserve">آغاز: نحمدک یا من بعدنا عن التعاضد والتشاهد على غير الحق و قربنا الى التناصر و التناصر على الحق المطلق و نصلی و نسلم ... و بعد فهذه تذكرة منا لكم؛ انجام: ملحوظة حين الاستعمال او قبله و كان الكلام على ما اعتبره القوم و كان الواجب ان يجيب بحفظ ما  اعتبره القوم و تصدى نفسه اولا ايضا لكون الايراد عليه تمت.</w:t>
      </w:r>
    </w:p>
    <w:p>
      <w:pPr>
        <w:pStyle w:val="BookText"/>
      </w:pPr>
      <w:r>
        <w:rPr>
          <w:rFonts w:ascii="IRNazanin" w:hAnsi="IRNazanin" w:eastAsia="IRNazanin" w:cs="IRNazanin"/>
          <w:lang w:bidi="fa-IR"/>
          <w:color w:val="111111"/>
          <w:sz w:val="28"/>
          <w:szCs w:val="28"/>
          <w:rtl/>
        </w:rPr>
        <w:t xml:space="preserve">كا: محمد رحيم بن حیدر حسین  هروی، تا: ۱۰۷۳ق؛ مصحح، محشی؛ جلد: تیماج، ۱۰گ [ف: ۱۷۸]</w:t>
      </w:r>
    </w:p>
    <w:p>
      <w:pPr>
        <w:pStyle w:val="Heading3"/>
      </w:pPr>
      <w:bookmarkStart w:id="1191" w:name="_Toc713"/>
      <w:r>
        <w:t>الاستعارة / معانی بیان / عربی</w:t>
      </w:r>
      <w:bookmarkEnd w:id="1191"/>
    </w:p>
    <w:p>
      <w:pPr>
        <w:pStyle w:val="BookText"/>
      </w:pPr>
      <w:r>
        <w:rPr>
          <w:rFonts w:ascii="Times New Roman" w:hAnsi="Times New Roman" w:eastAsia="Times New Roman" w:cs="Times New Roman"/>
          <w:lang w:val="en-US" w:bidi="en-US"/>
          <w:color w:val="111111"/>
          <w:sz w:val="28"/>
          <w:szCs w:val="28"/>
          <w:rtl/>
        </w:rPr>
        <w:t xml:space="preserve">al-isti‘āra</w:t>
      </w:r>
    </w:p>
    <w:p>
      <w:pPr>
        <w:pStyle w:val="BookText"/>
      </w:pPr>
      <w:r>
        <w:rPr>
          <w:rFonts w:ascii="IRNazanin" w:hAnsi="IRNazanin" w:eastAsia="IRNazanin" w:cs="IRNazanin"/>
          <w:lang w:bidi="fa-IR"/>
          <w:color w:val="111111"/>
          <w:sz w:val="28"/>
          <w:szCs w:val="28"/>
          <w:rtl/>
        </w:rPr>
        <w:t xml:space="preserve">غیر همانند:</w:t>
      </w:r>
    </w:p>
    <w:p>
      <w:pPr>
        <w:pStyle w:val="BookText"/>
      </w:pPr>
      <w:r>
        <w:rPr>
          <w:rFonts w:ascii="IRNazanin" w:hAnsi="IRNazanin" w:eastAsia="IRNazanin" w:cs="IRNazanin"/>
          <w:lang w:bidi="fa-IR"/>
          <w:color w:val="111111"/>
          <w:sz w:val="28"/>
          <w:szCs w:val="28"/>
          <w:rtl/>
        </w:rPr>
        <w:t xml:space="preserve">1.خوی؛ نمازی؛ شماره نسخه: ۶۶۰/۲۲</w:t>
      </w:r>
    </w:p>
    <w:p>
      <w:pPr>
        <w:pStyle w:val="BookText"/>
      </w:pPr>
      <w:r>
        <w:rPr>
          <w:rFonts w:ascii="IRNazanin" w:hAnsi="IRNazanin" w:eastAsia="IRNazanin" w:cs="IRNazanin"/>
          <w:lang w:bidi="fa-IR"/>
          <w:color w:val="111111"/>
          <w:sz w:val="28"/>
          <w:szCs w:val="28"/>
          <w:rtl/>
        </w:rPr>
        <w:t xml:space="preserve">۳ عقد؛ خط: نسخ، کا: اسدالله بن ظهیرالدین علی دوانی تا: قرن  ۱۱ [ف: ۳۵۸]</w:t>
      </w:r>
    </w:p>
    <w:p>
      <w:pPr>
        <w:pStyle w:val="BookText"/>
      </w:pPr>
      <w:r>
        <w:rPr>
          <w:rFonts w:ascii="IRNazanin" w:hAnsi="IRNazanin" w:eastAsia="IRNazanin" w:cs="IRNazanin"/>
          <w:lang w:bidi="fa-IR"/>
          <w:color w:val="111111"/>
          <w:sz w:val="28"/>
          <w:szCs w:val="28"/>
          <w:rtl/>
        </w:rPr>
        <w:t xml:space="preserve">2.تهران؛ مجلس؛ شماره نسخه: ۹۴۸۰/۱۴</w:t>
      </w:r>
    </w:p>
    <w:p>
      <w:pPr>
        <w:pStyle w:val="BookText"/>
      </w:pPr>
      <w:r>
        <w:rPr>
          <w:rFonts w:ascii="IRNazanin" w:hAnsi="IRNazanin" w:eastAsia="IRNazanin" w:cs="IRNazanin"/>
          <w:lang w:bidi="fa-IR"/>
          <w:color w:val="111111"/>
          <w:sz w:val="28"/>
          <w:szCs w:val="28"/>
          <w:rtl/>
        </w:rPr>
        <w:t xml:space="preserve">خط: نستعلیق  تحریری، بی کا، تا: قرن ۱۱ و ۱۲؛ ۴ ص( ۱۰۷-۱۱۰)[ مختصر - ف: ۹۹]</w:t>
      </w:r>
    </w:p>
    <w:p>
      <w:pPr>
        <w:pStyle w:val="BookText"/>
      </w:pPr>
      <w:r>
        <w:rPr>
          <w:rFonts w:ascii="IRNazanin" w:hAnsi="IRNazanin" w:eastAsia="IRNazanin" w:cs="IRNazanin"/>
          <w:lang w:bidi="fa-IR"/>
          <w:color w:val="111111"/>
          <w:sz w:val="28"/>
          <w:szCs w:val="28"/>
          <w:rtl/>
        </w:rPr>
        <w:t xml:space="preserve">3.مشهد؛ مدرسه آیة الله خوئی؛ شماره نسخه: ۳۱۹/۱</w:t>
      </w:r>
    </w:p>
    <w:p>
      <w:pPr>
        <w:pStyle w:val="BookText"/>
      </w:pPr>
      <w:r>
        <w:rPr>
          <w:rFonts w:ascii="IRNazanin" w:hAnsi="IRNazanin" w:eastAsia="IRNazanin" w:cs="IRNazanin"/>
          <w:lang w:bidi="fa-IR"/>
          <w:color w:val="111111"/>
          <w:sz w:val="28"/>
          <w:szCs w:val="28"/>
          <w:rtl/>
        </w:rPr>
        <w:t xml:space="preserve">بی  کا، تا: ۱۲۷۶ق [اوراق عتيق ۱ - ۲۵۱]</w:t>
      </w:r>
    </w:p>
    <w:p>
      <w:pPr>
        <w:pStyle w:val="BookText"/>
      </w:pPr>
      <w:r>
        <w:rPr>
          <w:rFonts w:ascii="IRNazanin" w:hAnsi="IRNazanin" w:eastAsia="IRNazanin" w:cs="IRNazanin"/>
          <w:lang w:bidi="fa-IR"/>
          <w:color w:val="111111"/>
          <w:sz w:val="28"/>
          <w:szCs w:val="28"/>
          <w:rtl/>
        </w:rPr>
        <w:t xml:space="preserve">۴. قم؛ مسجد اعظم؛ شماره نسخه: ۸۸۵/۵</w:t>
      </w:r>
    </w:p>
    <w:p>
      <w:pPr>
        <w:pStyle w:val="BookText"/>
      </w:pPr>
      <w:r>
        <w:rPr>
          <w:rFonts w:ascii="IRNazanin" w:hAnsi="IRNazanin" w:eastAsia="IRNazanin" w:cs="IRNazanin"/>
          <w:lang w:bidi="fa-IR"/>
          <w:color w:val="111111"/>
          <w:sz w:val="28"/>
          <w:szCs w:val="28"/>
          <w:rtl/>
        </w:rPr>
        <w:t xml:space="preserve">آغاز: اعلم ان الحقيقة هي  الكلمة  الكلمة المستعملة فيما وضعت هي له فى اصطلاح به التخاطب ولاحاجة فيها الى قرينة و المجاز هي الکلمة المستعملة فى غيرما وضعت هى له بملاحظة وجود علاقة؛ انجام: يسمى مازاد على قرينة الملكية من لوازم المشبه به ترشيحا لها كما يسمى لوازم المشبه به فى المصرحة ترشيحا لها هذا آخر ما اوردنا في تحقيق الاستعاره و اقسامها و قرائنها متباعدا عن سلك الاطناب تبصرة لاهل هذا العلم من الطلاب و تسهيلاً لفهم معانى خطب  الكتاب</w:t>
      </w:r>
    </w:p>
    <w:p>
      <w:pPr>
        <w:pStyle w:val="BookText"/>
      </w:pPr>
      <w:r>
        <w:rPr>
          <w:rFonts w:ascii="IRNazanin" w:hAnsi="IRNazanin" w:eastAsia="IRNazanin" w:cs="IRNazanin"/>
          <w:lang w:bidi="fa-IR"/>
          <w:color w:val="111111"/>
          <w:sz w:val="28"/>
          <w:szCs w:val="28"/>
          <w:rtl/>
        </w:rPr>
        <w:t xml:space="preserve">رساله مختصری است در استعاره؛ خط: نستعلیق، بی کا، بی تا؛ جلد: گالینگور سبز عطف تیماج  زرشکی، ۲گ،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w:t>
      </w:r>
    </w:p>
    <w:p>
      <w:pPr>
        <w:pStyle w:val="BookText"/>
      </w:pPr>
      <w:r>
        <w:rPr>
          <w:rFonts w:ascii="IRNazanin" w:hAnsi="IRNazanin" w:eastAsia="IRNazanin" w:cs="IRNazanin"/>
          <w:lang w:bidi="fa-IR"/>
          <w:color w:val="111111"/>
          <w:sz w:val="28"/>
          <w:szCs w:val="28"/>
          <w:rtl/>
        </w:rPr>
        <w:t xml:space="preserve">مخ: ۱ - ۱۴۱]</w:t>
      </w:r>
    </w:p>
    <w:p>
      <w:pPr>
        <w:pStyle w:val="BookText"/>
      </w:pPr>
      <w:r>
        <w:rPr>
          <w:rFonts w:ascii="IRNazanin" w:hAnsi="IRNazanin" w:eastAsia="IRNazanin" w:cs="IRNazanin"/>
          <w:lang w:bidi="fa-IR"/>
          <w:color w:val="111111"/>
          <w:sz w:val="28"/>
          <w:szCs w:val="28"/>
          <w:rtl/>
        </w:rPr>
        <w:t xml:space="preserve">۵. تهران؛ مجلس؛ شماره نسخه: ۱۰۱۸۳/۱</w:t>
      </w:r>
    </w:p>
    <w:p>
      <w:pPr>
        <w:pStyle w:val="BookText"/>
      </w:pPr>
      <w:r>
        <w:rPr>
          <w:rFonts w:ascii="Amiri" w:hAnsi="Amiri" w:eastAsia="Amiri" w:cs="Amiri"/>
          <w:lang w:bidi="ar-SA"/>
          <w:color w:val="111111"/>
          <w:sz w:val="28"/>
          <w:szCs w:val="28"/>
          <w:rtl/>
        </w:rPr>
        <w:t xml:space="preserve">آغاز: بسمله فائدة الاستعارة بالكناية ان يشبه شيء بشيء في النفس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95" w:name="pg20365_260289"/>
    <w:bookmarkEnd w:id="195"/>
    <w:p>
      <w:pPr>
        <w:pStyle w:val="BookText"/>
      </w:pPr>
      <w:r>
        <w:rPr>
          <w:rFonts w:ascii="Amiri" w:hAnsi="Amiri" w:eastAsia="Amiri" w:cs="Amiri"/>
          <w:lang w:bidi="ar-SA"/>
          <w:color w:val="111111"/>
          <w:sz w:val="28"/>
          <w:szCs w:val="28"/>
          <w:rtl/>
        </w:rPr>
        <w:t xml:space="preserve">و سكت عن اركان التشبيه</w:t>
      </w:r>
    </w:p>
    <w:p>
      <w:pPr>
        <w:pStyle w:val="BookText"/>
      </w:pPr>
      <w:r>
        <w:rPr>
          <w:rFonts w:ascii="IRNazanin" w:hAnsi="IRNazanin" w:eastAsia="IRNazanin" w:cs="IRNazanin"/>
          <w:lang w:bidi="fa-IR"/>
          <w:color w:val="111111"/>
          <w:sz w:val="28"/>
          <w:szCs w:val="28"/>
          <w:rtl/>
        </w:rPr>
        <w:t xml:space="preserve">بی کا، بی تا؛ مصحح ؛جلد: تیماج قرمز با عطف و حاشیه مشکـی درون روکش ابر و باد، ۱ص، اندازه: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۱۸/۵سم [ف: 32- 216]</w:t>
      </w:r>
    </w:p>
    <w:p>
      <w:pPr>
        <w:pStyle w:val="BookText"/>
      </w:pPr>
      <w:r>
        <w:rPr>
          <w:rFonts w:ascii="IRNazanin" w:hAnsi="IRNazanin" w:eastAsia="IRNazanin" w:cs="IRNazanin"/>
          <w:lang w:bidi="fa-IR"/>
          <w:color w:val="111111"/>
          <w:sz w:val="28"/>
          <w:szCs w:val="28"/>
          <w:rtl/>
        </w:rPr>
        <w:t xml:space="preserve">۶. مشهد؛ رضوی؛ شماره نسخه: ۲۹۳۹۱</w:t>
      </w:r>
    </w:p>
    <w:p>
      <w:pPr>
        <w:pStyle w:val="BookText"/>
      </w:pPr>
      <w:r>
        <w:rPr>
          <w:rFonts w:ascii="IRNazanin" w:hAnsi="IRNazanin" w:eastAsia="IRNazanin" w:cs="IRNazanin"/>
          <w:lang w:bidi="fa-IR"/>
          <w:color w:val="111111"/>
          <w:sz w:val="28"/>
          <w:szCs w:val="28"/>
          <w:rtl/>
        </w:rPr>
        <w:t xml:space="preserve">آغاز: بسمله الحمد لمن ليس ابتداء الهيته ايسا و الشكر لمن ايـس انتهاء الوهيته ليسا و الصلوه؛ انجام: ولكن المخاطب من نفس الـفظ و غیره و نسوقه و خارج الكلام تمت الرسالة</w:t>
      </w:r>
    </w:p>
    <w:p>
      <w:pPr>
        <w:pStyle w:val="BookText"/>
      </w:pPr>
      <w:r>
        <w:rPr>
          <w:rFonts w:ascii="IRNazanin" w:hAnsi="IRNazanin" w:eastAsia="IRNazanin" w:cs="IRNazanin"/>
          <w:lang w:bidi="fa-IR"/>
          <w:color w:val="111111"/>
          <w:sz w:val="28"/>
          <w:szCs w:val="28"/>
          <w:rtl/>
        </w:rPr>
        <w:t xml:space="preserve">خط:نسخ، کا: موسى بن عیسی، تا: ۱۳۲۰ق؛ ضمیمه نسخه  ش 16051[رایانه]</w:t>
      </w:r>
    </w:p>
    <w:p>
      <w:pPr>
        <w:pStyle w:val="Heading3"/>
      </w:pPr>
      <w:bookmarkStart w:id="1192" w:name="_Toc714"/>
      <w:r>
        <w:t>الاستعارة و المجاز / معانی بیان / عربی</w:t>
      </w:r>
      <w:bookmarkEnd w:id="1192"/>
    </w:p>
    <w:p>
      <w:pPr>
        <w:pStyle w:val="BookText"/>
      </w:pPr>
      <w:r>
        <w:rPr>
          <w:rFonts w:ascii="Times New Roman" w:hAnsi="Times New Roman" w:eastAsia="Times New Roman" w:cs="Times New Roman"/>
          <w:lang w:val="en-US" w:bidi="en-US"/>
          <w:color w:val="111111"/>
          <w:sz w:val="28"/>
          <w:szCs w:val="28"/>
          <w:rtl/>
        </w:rPr>
        <w:t xml:space="preserve">al-sti‘āra wa-l-majāz</w:t>
      </w:r>
    </w:p>
    <w:p>
      <w:pPr>
        <w:pStyle w:val="BookText"/>
      </w:pPr>
      <w:r>
        <w:rPr>
          <w:rFonts w:ascii="IRNazanin" w:hAnsi="IRNazanin" w:eastAsia="IRNazanin" w:cs="IRNazanin"/>
          <w:lang w:bidi="fa-IR"/>
          <w:color w:val="111111"/>
          <w:sz w:val="28"/>
          <w:szCs w:val="28"/>
          <w:rtl/>
        </w:rPr>
        <w:t xml:space="preserve">رساله کوتاهی است در علم بلاغت شامل استعاره و مجاز، صاحب المفتاح و حاشية الكشاف و سید المحققین نقل می کـند، گویا ناظر است به «حاشية المطول» میر سید شریف جرجانی.</w:t>
      </w:r>
    </w:p>
    <w:p>
      <w:pPr>
        <w:pStyle w:val="BookText"/>
      </w:pPr>
      <w:r>
        <w:rPr>
          <w:rFonts w:ascii="IRNazanin" w:hAnsi="IRNazanin" w:eastAsia="IRNazanin" w:cs="IRNazanin"/>
          <w:lang w:bidi="fa-IR"/>
          <w:color w:val="111111"/>
          <w:sz w:val="28"/>
          <w:szCs w:val="28"/>
          <w:rtl/>
        </w:rPr>
        <w:t xml:space="preserve">قم؛ گلپایگانی؛ شماره نسخه: ۳/۱۲۷-۵۰۷/۱</w:t>
      </w:r>
    </w:p>
    <w:p>
      <w:pPr>
        <w:pStyle w:val="BookText"/>
      </w:pPr>
      <w:r>
        <w:rPr>
          <w:rFonts w:ascii="IRNazanin" w:hAnsi="IRNazanin" w:eastAsia="IRNazanin" w:cs="IRNazanin"/>
          <w:lang w:bidi="fa-IR"/>
          <w:color w:val="111111"/>
          <w:sz w:val="28"/>
          <w:szCs w:val="28"/>
          <w:rtl/>
        </w:rPr>
        <w:t xml:space="preserve">آغاز: بسمله، لما كان مدار التجوز فى اللفظ مفرداً كان أو مرکباً على النقل عما وضع له وقد تقرر فى موضعه انقسام وضعه الی شخصی؛ انجام: والتشبيه الذى تركب فيهأداته من أقسام المـجاز على ما نبهناك عليه ما تقدم. والله اعلم تم.</w:t>
      </w:r>
    </w:p>
    <w:p>
      <w:pPr>
        <w:pStyle w:val="BookText"/>
      </w:pPr>
      <w:r>
        <w:rPr>
          <w:rFonts w:ascii="IRNazanin" w:hAnsi="IRNazanin" w:eastAsia="IRNazanin" w:cs="IRNazanin"/>
          <w:lang w:bidi="fa-IR"/>
          <w:color w:val="111111"/>
          <w:sz w:val="28"/>
          <w:szCs w:val="28"/>
          <w:rtl/>
        </w:rPr>
        <w:t xml:space="preserve">خط: نستعلیق، کا: موسی بن علی بن شعبان بن موسى بن علی، حدود ۱۰۵۷ق؛ ۵گ، ۱۹ سطر ،اندازه: ۱۲/۵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۲۰سم [ف: ۱ - 338]</w:t>
      </w:r>
    </w:p>
    <w:p>
      <w:pPr>
        <w:pStyle w:val="BookText"/>
      </w:pPr>
      <w:r>
        <w:rPr>
          <w:rFonts w:ascii="IRNazanin" w:hAnsi="IRNazanin" w:eastAsia="IRNazanin" w:cs="IRNazanin"/>
          <w:lang w:bidi="fa-IR"/>
          <w:color w:val="111111"/>
          <w:sz w:val="28"/>
          <w:szCs w:val="28"/>
          <w:rtl/>
        </w:rPr>
        <w:t xml:space="preserve">«استعاره » حقیقت و مجاز</w:t>
      </w:r>
    </w:p>
    <w:p>
      <w:pPr>
        <w:pStyle w:val="Heading3"/>
      </w:pPr>
      <w:bookmarkStart w:id="1193" w:name="_Toc715"/>
      <w:r>
        <w:t>الاستعلاء = معنى الاستعلاء (رسالة في) / عربي</w:t>
      </w:r>
      <w:bookmarkEnd w:id="1193"/>
    </w:p>
    <w:p>
      <w:pPr>
        <w:pStyle w:val="BookText"/>
      </w:pPr>
      <w:r>
        <w:rPr>
          <w:rFonts w:ascii="Times New Roman" w:hAnsi="Times New Roman" w:eastAsia="Times New Roman" w:cs="Times New Roman"/>
          <w:lang w:val="en-US" w:bidi="en-US"/>
          <w:color w:val="111111"/>
          <w:sz w:val="28"/>
          <w:szCs w:val="28"/>
          <w:rtl/>
        </w:rPr>
        <w:t xml:space="preserve">al-isti‘lā’ = ma‘na-l isti‘lā’ (r-un fī)</w:t>
      </w:r>
    </w:p>
    <w:p>
      <w:pPr>
        <w:pStyle w:val="BookText"/>
      </w:pPr>
      <w:r>
        <w:rPr>
          <w:rFonts w:ascii="IRNazanin" w:hAnsi="IRNazanin" w:eastAsia="IRNazanin" w:cs="IRNazanin"/>
          <w:lang w:bidi="fa-IR"/>
          <w:color w:val="111111"/>
          <w:sz w:val="28"/>
          <w:szCs w:val="28"/>
          <w:rtl/>
        </w:rPr>
        <w:t xml:space="preserve">مشهد: نواب؛ شماره نسخه: ۲۰۸/۲</w:t>
      </w:r>
    </w:p>
    <w:p>
      <w:pPr>
        <w:pStyle w:val="BookText"/>
      </w:pPr>
      <w:r>
        <w:rPr>
          <w:rFonts w:ascii="IRNazanin" w:hAnsi="IRNazanin" w:eastAsia="IRNazanin" w:cs="IRNazanin"/>
          <w:lang w:bidi="fa-IR"/>
          <w:color w:val="111111"/>
          <w:sz w:val="28"/>
          <w:szCs w:val="28"/>
          <w:rtl/>
        </w:rPr>
        <w:t xml:space="preserve">آغاز: بسمله قال فى الكشاف في قوله اولئک علی هدى من ربـهم و معنى الاستعلاء؛ انجام: و الحق ما افاده سيد المحققين قد سره الشريف. تمت.</w:t>
      </w:r>
    </w:p>
    <w:p>
      <w:pPr>
        <w:pStyle w:val="BookText"/>
      </w:pPr>
      <w:r>
        <w:rPr>
          <w:rFonts w:ascii="IRNazanin" w:hAnsi="IRNazanin" w:eastAsia="IRNazanin" w:cs="IRNazanin"/>
          <w:lang w:bidi="fa-IR"/>
          <w:color w:val="111111"/>
          <w:sz w:val="28"/>
          <w:szCs w:val="28"/>
          <w:rtl/>
        </w:rPr>
        <w:t xml:space="preserve">خط: نستعلیق، بی کا، تا: قرن ۱۰؛ واقف: نصره الملک امیرتیمور ؛جلد: تیماج لایه ای  مشکی ،۵ ص، ۲۵ سطر (9</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اندازه: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۱۹/۵سم [ف :۱۸۹]</w:t>
      </w:r>
    </w:p>
    <w:p>
      <w:pPr>
        <w:pStyle w:val="Heading3"/>
      </w:pPr>
      <w:bookmarkStart w:id="1194" w:name="_Toc716"/>
      <w:r>
        <w:t>استعلام درجه حرارت / طب / فارسی</w:t>
      </w:r>
      <w:bookmarkEnd w:id="1194"/>
    </w:p>
    <w:p>
      <w:pPr>
        <w:pStyle w:val="BookText"/>
      </w:pPr>
      <w:r>
        <w:rPr>
          <w:rFonts w:ascii="Times New Roman" w:hAnsi="Times New Roman" w:eastAsia="Times New Roman" w:cs="Times New Roman"/>
          <w:lang w:val="en-US" w:bidi="en-US"/>
          <w:color w:val="111111"/>
          <w:sz w:val="28"/>
          <w:szCs w:val="28"/>
          <w:rtl/>
        </w:rPr>
        <w:t xml:space="preserve">este‘lām-e daraje-ye harārat</w:t>
      </w:r>
    </w:p>
    <w:p>
      <w:pPr>
        <w:pStyle w:val="BookText"/>
      </w:pPr>
      <w:r>
        <w:rPr>
          <w:rFonts w:ascii="IRNazanin" w:hAnsi="IRNazanin" w:eastAsia="IRNazanin" w:cs="IRNazanin"/>
          <w:lang w:bidi="fa-IR"/>
          <w:color w:val="111111"/>
          <w:sz w:val="28"/>
          <w:szCs w:val="28"/>
          <w:rtl/>
        </w:rPr>
        <w:t xml:space="preserve">تهران؛ مجلس؛ شماره نسخه: ۲۱۲۰۲/۱-ط</w:t>
      </w:r>
    </w:p>
    <w:p>
      <w:pPr>
        <w:pStyle w:val="BookText"/>
      </w:pPr>
      <w:r>
        <w:rPr>
          <w:rFonts w:ascii="IRNazanin" w:hAnsi="IRNazanin" w:eastAsia="IRNazanin" w:cs="IRNazanin"/>
          <w:lang w:bidi="fa-IR"/>
          <w:color w:val="111111"/>
          <w:sz w:val="28"/>
          <w:szCs w:val="28"/>
          <w:rtl/>
        </w:rPr>
        <w:t xml:space="preserve">آغاز: در استعلام درجه حرارت و برودت و رطوبت و یبوست معاجين و تراکیب اولا باید که وزن اجزاء را از مخرج مشترک برداریم؛ انجام: یان است آنچه در بعض کتب طبی مذکور است واصح آنست که به جای وزن شربت به کار ندارند. تم ما وجد في الاستعلام</w:t>
      </w:r>
    </w:p>
    <w:p>
      <w:pPr>
        <w:pStyle w:val="BookText"/>
      </w:pPr>
      <w:r>
        <w:rPr>
          <w:rFonts w:ascii="IRNazanin" w:hAnsi="IRNazanin" w:eastAsia="IRNazanin" w:cs="IRNazanin"/>
          <w:lang w:bidi="fa-IR"/>
          <w:color w:val="111111"/>
          <w:sz w:val="28"/>
          <w:szCs w:val="28"/>
          <w:rtl/>
        </w:rPr>
        <w:t xml:space="preserve">به نقل از بعض کتب طبی؛ خط: نستعلیق، بی کا، تا: قرن ۱۳؛ ۳۳گ [ف : ۲۳ - ۷۲۱]</w:t>
      </w:r>
    </w:p>
    <w:p>
      <w:pPr>
        <w:pStyle w:val="Heading3"/>
      </w:pPr>
      <w:bookmarkStart w:id="1195" w:name="_Toc717"/>
      <w:r>
        <w:t>استعلام طريق الصدوق / رجال / عربي</w:t>
      </w:r>
      <w:bookmarkEnd w:id="1195"/>
    </w:p>
    <w:p>
      <w:pPr>
        <w:pStyle w:val="BookText"/>
      </w:pPr>
      <w:r>
        <w:rPr>
          <w:rFonts w:ascii="Times New Roman" w:hAnsi="Times New Roman" w:eastAsia="Times New Roman" w:cs="Times New Roman"/>
          <w:lang w:val="en-US" w:bidi="en-US"/>
          <w:color w:val="111111"/>
          <w:sz w:val="28"/>
          <w:szCs w:val="28"/>
          <w:rtl/>
        </w:rPr>
        <w:t xml:space="preserve">isti lam-u tariq-is-Saduq</w:t>
      </w:r>
    </w:p>
    <w:p>
      <w:pPr>
        <w:pStyle w:val="BookText"/>
      </w:pPr>
      <w:r>
        <w:rPr>
          <w:rFonts w:ascii="IRNazanin" w:hAnsi="IRNazanin" w:eastAsia="IRNazanin" w:cs="IRNazanin"/>
          <w:lang w:bidi="fa-IR"/>
          <w:color w:val="111111"/>
          <w:sz w:val="28"/>
          <w:szCs w:val="28"/>
          <w:rtl/>
        </w:rPr>
        <w:t xml:space="preserve">اصل از شیخ صدوق ابو جعفر محمد بن علی بن حسین قمی (۳۸۱ق). در این رساله راویان احادیث و شناخت طریق شیخ صدوق به آنان به ترتیب حروف هجا بیان و با رموز به احوال رجال اشاره شده است. تنظیم کننده این مختصر نامعلوم می باشد.</w:t>
      </w:r>
    </w:p>
    <w:p>
      <w:pPr>
        <w:pStyle w:val="BookText"/>
      </w:pPr>
      <w:r>
        <w:rPr>
          <w:rFonts w:ascii="IRNazanin" w:hAnsi="IRNazanin" w:eastAsia="IRNazanin" w:cs="IRNazanin"/>
          <w:lang w:bidi="fa-IR"/>
          <w:color w:val="111111"/>
          <w:sz w:val="28"/>
          <w:szCs w:val="28"/>
          <w:rtl/>
        </w:rPr>
        <w:t xml:space="preserve">مشهد؛ رضوی؛ شماره نسخه: ۲۹۳۲۴</w:t>
      </w:r>
    </w:p>
    <w:p>
      <w:pPr>
        <w:pStyle w:val="BookText"/>
      </w:pPr>
      <w:r>
        <w:rPr>
          <w:rFonts w:ascii="Amiri" w:hAnsi="Amiri" w:eastAsia="Amiri" w:cs="Amiri"/>
          <w:lang w:bidi="ar-SA"/>
          <w:color w:val="111111"/>
          <w:sz w:val="28"/>
          <w:szCs w:val="28"/>
          <w:rtl/>
        </w:rPr>
        <w:t xml:space="preserve">آغاز: بسمله، هذه وريقات الاستعلام طريق الصدوق في الفقيه الى من يروى عنه مع اشارة ورمز الى حال من فى اول السند باب الالف طريقه الى ابان بن تغلب مج؛ انجام: و ما كان فيه من وصية امير المؤمنين لابنه محمد بن الحنفية فمن مراسيل حماد بن عيسى مع حسن الطريق بابراهيم بن هاشم هذا آخر ما اردنا ايراه و الحمد لله اولا و آخرا.</w:t>
      </w:r>
    </w:p>
    <w:p>
      <w:pPr>
        <w:pStyle w:val="BookText"/>
      </w:pPr>
      <w:r>
        <w:rPr>
          <w:rFonts w:ascii="IRNazanin" w:hAnsi="IRNazanin" w:eastAsia="IRNazanin" w:cs="IRNazanin"/>
          <w:lang w:bidi="fa-IR"/>
          <w:color w:val="111111"/>
          <w:sz w:val="28"/>
          <w:szCs w:val="28"/>
          <w:rtl/>
        </w:rPr>
        <w:t xml:space="preserve">خط: نسخ، کا: حسین بن  محمد، تا: پنج شنبه ذیقعده ۱۲۲۱ق؛ واقف: محمود  شهابی، آبان ۱۳۶۶؛ جلد: مشکی، ۵گ ۲۵  سطر، اندازه: ۱۵/۸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۲۰/۸سم [ف: ۲۷ - ۵۱]</w:t>
      </w:r>
    </w:p>
    <w:p>
      <w:pPr>
        <w:pStyle w:val="BookText"/>
      </w:pPr>
      <w:r>
        <w:rPr>
          <w:rFonts w:ascii="Amiri" w:hAnsi="Amiri" w:eastAsia="Amiri" w:cs="Amiri"/>
          <w:lang w:bidi="ar-SA"/>
          <w:color w:val="111111"/>
          <w:sz w:val="28"/>
          <w:szCs w:val="28"/>
          <w:rtl/>
        </w:rPr>
        <w:t xml:space="preserve">«استعلام مجهول » الهيئة</w:t>
      </w:r>
    </w:p>
    <w:p>
      <w:pPr>
        <w:pStyle w:val="Heading3"/>
      </w:pPr>
      <w:bookmarkStart w:id="1196" w:name="_Toc718"/>
      <w:r>
        <w:t>استعلام مقادیر مجهوله نظر به مقادیر معلومه /  ریاضیات / فارسی</w:t>
      </w:r>
      <w:bookmarkEnd w:id="1196"/>
    </w:p>
    <w:p>
      <w:pPr>
        <w:pStyle w:val="BookText"/>
      </w:pPr>
      <w:r>
        <w:rPr>
          <w:rFonts w:ascii="Times New Roman" w:hAnsi="Times New Roman" w:eastAsia="Times New Roman" w:cs="Times New Roman"/>
          <w:lang w:val="en-US" w:bidi="en-US"/>
          <w:color w:val="111111"/>
          <w:sz w:val="28"/>
          <w:szCs w:val="28"/>
          <w:rtl/>
        </w:rPr>
        <w:t xml:space="preserve">este lam-e maqādīr-e majhūle nazar be maqādīr-e</w:t>
      </w:r>
    </w:p>
    <w:p>
      <w:pPr>
        <w:pStyle w:val="BookText"/>
      </w:pPr>
      <w:r>
        <w:rPr>
          <w:rFonts w:ascii="Times New Roman" w:hAnsi="Times New Roman" w:eastAsia="Times New Roman" w:cs="Times New Roman"/>
          <w:lang w:val="en-US" w:bidi="en-US"/>
          <w:color w:val="111111"/>
          <w:sz w:val="28"/>
          <w:szCs w:val="28"/>
          <w:rtl/>
        </w:rPr>
        <w:t xml:space="preserve">ma‘lūme</w:t>
      </w:r>
    </w:p>
    <w:p>
      <w:pPr>
        <w:pStyle w:val="BookText"/>
      </w:pPr>
      <w:r>
        <w:rPr>
          <w:rFonts w:ascii="IRNazanin" w:hAnsi="IRNazanin" w:eastAsia="IRNazanin" w:cs="IRNazanin"/>
          <w:lang w:bidi="fa-IR"/>
          <w:color w:val="111111"/>
          <w:sz w:val="28"/>
          <w:szCs w:val="28"/>
          <w:rtl/>
        </w:rPr>
        <w:t xml:space="preserve">تهران؛ ملک؛ شماره نسخه: ۱۵۱۷/۱۰</w:t>
      </w:r>
    </w:p>
    <w:p>
      <w:pPr>
        <w:pStyle w:val="BookText"/>
      </w:pPr>
      <w:r>
        <w:rPr>
          <w:rFonts w:ascii="IRNazanin" w:hAnsi="IRNazanin" w:eastAsia="IRNazanin" w:cs="IRNazanin"/>
          <w:lang w:bidi="fa-IR"/>
          <w:color w:val="111111"/>
          <w:sz w:val="28"/>
          <w:szCs w:val="28"/>
          <w:rtl/>
        </w:rPr>
        <w:t xml:space="preserve">خط: نستعلیق بی کا، تا: قرن ۱۳ [ف: ۵ - ۲۸۳]</w:t>
      </w:r>
    </w:p>
    <w:p>
      <w:pPr>
        <w:pStyle w:val="Heading3"/>
      </w:pPr>
      <w:bookmarkStart w:id="1197" w:name="_Toc719"/>
      <w:r>
        <w:t>استعمالات حروف تهجی / ادبیات / فارسی</w:t>
      </w:r>
      <w:bookmarkEnd w:id="1197"/>
    </w:p>
    <w:p>
      <w:pPr>
        <w:pStyle w:val="BookText"/>
      </w:pPr>
      <w:r>
        <w:rPr>
          <w:rFonts w:ascii="Times New Roman" w:hAnsi="Times New Roman" w:eastAsia="Times New Roman" w:cs="Times New Roman"/>
          <w:lang w:val="en-US" w:bidi="en-US"/>
          <w:color w:val="111111"/>
          <w:sz w:val="28"/>
          <w:szCs w:val="28"/>
          <w:rtl/>
        </w:rPr>
        <w:t xml:space="preserve">este mālāt-e horūf-e tahajjī</w:t>
      </w:r>
    </w:p>
    <w:p>
      <w:pPr>
        <w:pStyle w:val="BookText"/>
      </w:pPr>
      <w:r>
        <w:rPr>
          <w:rFonts w:ascii="IRNazanin" w:hAnsi="IRNazanin" w:eastAsia="IRNazanin" w:cs="IRNazanin"/>
          <w:lang w:bidi="fa-IR"/>
          <w:color w:val="111111"/>
          <w:sz w:val="28"/>
          <w:szCs w:val="28"/>
          <w:rtl/>
        </w:rPr>
        <w:t xml:space="preserve">مشهد؛ رضوی؛ شماره نسخه: ۱۱۷۱۶</w:t>
      </w:r>
    </w:p>
    <w:p>
      <w:pPr>
        <w:pStyle w:val="BookText"/>
      </w:pPr>
      <w:r>
        <w:rPr>
          <w:rFonts w:ascii="IRNazanin" w:hAnsi="IRNazanin" w:eastAsia="IRNazanin" w:cs="IRNazanin"/>
          <w:lang w:bidi="fa-IR"/>
          <w:color w:val="111111"/>
          <w:sz w:val="28"/>
          <w:szCs w:val="28"/>
          <w:rtl/>
        </w:rPr>
        <w:t xml:space="preserve">خط: نستعلیق، بی کا، بی تا [الفبائی :۴۵]</w:t>
      </w:r>
    </w:p>
    <w:p>
      <w:pPr>
        <w:pStyle w:val="Heading3"/>
      </w:pPr>
      <w:bookmarkStart w:id="1198" w:name="_Toc720"/>
      <w:r>
        <w:t>استعمال اسباب نی ود / طبیعیات / فارسی</w:t>
      </w:r>
      <w:bookmarkEnd w:id="1198"/>
    </w:p>
    <w:p>
      <w:pPr>
        <w:pStyle w:val="BookText"/>
      </w:pPr>
      <w:r>
        <w:rPr>
          <w:rFonts w:ascii="Times New Roman" w:hAnsi="Times New Roman" w:eastAsia="Times New Roman" w:cs="Times New Roman"/>
          <w:lang w:val="en-US" w:bidi="en-US"/>
          <w:color w:val="111111"/>
          <w:sz w:val="28"/>
          <w:szCs w:val="28"/>
          <w:rtl/>
        </w:rPr>
        <w:t xml:space="preserve">este‘māl-e asbāb-e ney vūd</w:t>
      </w:r>
    </w:p>
    <w:p>
      <w:pPr>
        <w:pStyle w:val="BookText"/>
      </w:pPr>
      <w:r>
        <w:rPr>
          <w:rFonts w:ascii="IRNazanin" w:hAnsi="IRNazanin" w:eastAsia="IRNazanin" w:cs="IRNazanin"/>
          <w:lang w:bidi="fa-IR"/>
          <w:color w:val="111111"/>
          <w:sz w:val="28"/>
          <w:szCs w:val="28"/>
          <w:rtl/>
        </w:rPr>
        <w:t xml:space="preserve">مهندس، محمد شریف، – ۱۲۸۵ قمری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96" w:name="pg20365_260290"/>
    <w:bookmarkEnd w:id="196"/>
    <w:p>
      <w:pPr>
        <w:pStyle w:val="BookText"/>
      </w:pPr>
      <w:r>
        <w:rPr>
          <w:rFonts w:ascii="Times New Roman" w:hAnsi="Times New Roman" w:eastAsia="Times New Roman" w:cs="Times New Roman"/>
          <w:lang w:val="en-US" w:bidi="en-US"/>
          <w:color w:val="111111"/>
          <w:sz w:val="28"/>
          <w:szCs w:val="28"/>
          <w:rtl/>
        </w:rPr>
        <w:t xml:space="preserve">(mohandes, mohammad šarīf (- 1869)</w:t>
      </w:r>
    </w:p>
    <w:p>
      <w:pPr>
        <w:pStyle w:val="BookText"/>
      </w:pPr>
      <w:r>
        <w:rPr>
          <w:rFonts w:ascii="IRNazanin" w:hAnsi="IRNazanin" w:eastAsia="IRNazanin" w:cs="IRNazanin"/>
          <w:lang w:bidi="fa-IR"/>
          <w:color w:val="111111"/>
          <w:sz w:val="28"/>
          <w:szCs w:val="28"/>
          <w:rtl/>
        </w:rPr>
        <w:t xml:space="preserve">رساله ای کوتاه در طرز استعمال اسبابی به نام «نی ود» که تعيين مقدار انحنای زمین از زمین دیگر استفاده می شود.</w:t>
      </w:r>
    </w:p>
    <w:p>
      <w:pPr>
        <w:pStyle w:val="BookText"/>
      </w:pPr>
      <w:r>
        <w:rPr>
          <w:rFonts w:ascii="IRNazanin" w:hAnsi="IRNazanin" w:eastAsia="IRNazanin" w:cs="IRNazanin"/>
          <w:lang w:bidi="fa-IR"/>
          <w:color w:val="111111"/>
          <w:sz w:val="28"/>
          <w:szCs w:val="28"/>
          <w:rtl/>
        </w:rPr>
        <w:t xml:space="preserve">۱. قم؛ مسجد اعظم؛ شماره نسخه ۲۸۶۸/۲</w:t>
      </w:r>
    </w:p>
    <w:p>
      <w:pPr>
        <w:pStyle w:val="BookText"/>
      </w:pPr>
      <w:r>
        <w:rPr>
          <w:rFonts w:ascii="IRNazanin" w:hAnsi="IRNazanin" w:eastAsia="IRNazanin" w:cs="IRNazanin"/>
          <w:lang w:bidi="fa-IR"/>
          <w:color w:val="111111"/>
          <w:sz w:val="28"/>
          <w:szCs w:val="28"/>
          <w:rtl/>
        </w:rPr>
        <w:t xml:space="preserve">آغاز: نی وود اسبابی است بجهة تراز و کردن زمین ساخته اند او را بر یک سبابه قرار دادهاند و مرکب است از یک لوله مستـقیم بر دو سر آن لوله در شیشه بطور عمود؛ انجام: بر همین اندازه مذکور که هست نگاه میکنم پس ثابت و معلوم شد که این میدان نیم ذرع از مربع ای که در وسط میدانست پایین تر و گودتر است</w:t>
      </w:r>
    </w:p>
    <w:p>
      <w:pPr>
        <w:pStyle w:val="BookText"/>
      </w:pPr>
      <w:r>
        <w:rPr>
          <w:rFonts w:ascii="IRNazanin" w:hAnsi="IRNazanin" w:eastAsia="IRNazanin" w:cs="IRNazanin"/>
          <w:lang w:bidi="fa-IR"/>
          <w:color w:val="111111"/>
          <w:sz w:val="28"/>
          <w:szCs w:val="28"/>
          <w:rtl/>
        </w:rPr>
        <w:t xml:space="preserve">خط: نستعلیق، بی کا، تا: قرن ۱۳؛ دارای اشکال و جداول؛ ۳گ،اندازه: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مخ: ۱ - ۱۴۲]</w:t>
      </w:r>
    </w:p>
    <w:p>
      <w:pPr>
        <w:pStyle w:val="BookText"/>
      </w:pPr>
      <w:r>
        <w:rPr>
          <w:rFonts w:ascii="IRNazanin" w:hAnsi="IRNazanin" w:eastAsia="IRNazanin" w:cs="IRNazanin"/>
          <w:lang w:bidi="fa-IR"/>
          <w:color w:val="111111"/>
          <w:sz w:val="28"/>
          <w:szCs w:val="28"/>
          <w:rtl/>
        </w:rPr>
        <w:t xml:space="preserve">۲. قم؛ مسجد اعظم؛ شماره نسخه: ۲۸۶۸/۳</w:t>
      </w:r>
    </w:p>
    <w:p>
      <w:pPr>
        <w:pStyle w:val="BookText"/>
      </w:pPr>
      <w:r>
        <w:rPr>
          <w:rFonts w:ascii="IRNazanin" w:hAnsi="IRNazanin" w:eastAsia="IRNazanin" w:cs="IRNazanin"/>
          <w:lang w:bidi="fa-IR"/>
          <w:color w:val="111111"/>
          <w:sz w:val="28"/>
          <w:szCs w:val="28"/>
          <w:rtl/>
        </w:rPr>
        <w:t xml:space="preserve">آغاز: بجهة تعیین نمودن مقدار انحطاط زمین از زمین دیـگر استعمال می کنند اسبابی را که موسوم به نی مرد به و مرکب است از یک لوله مستقیم مجوف که بر در سرآن</w:t>
      </w:r>
    </w:p>
    <w:p>
      <w:pPr>
        <w:pStyle w:val="BookText"/>
      </w:pPr>
      <w:r>
        <w:rPr>
          <w:rFonts w:ascii="IRNazanin" w:hAnsi="IRNazanin" w:eastAsia="IRNazanin" w:cs="IRNazanin"/>
          <w:lang w:bidi="fa-IR"/>
          <w:color w:val="111111"/>
          <w:sz w:val="28"/>
          <w:szCs w:val="28"/>
          <w:rtl/>
        </w:rPr>
        <w:t xml:space="preserve">خط: نستعلیق، بی کا، تا: قرن ۱۳؛ دارای اشکال و جداول؛ ٣ گ،اندازه: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مخ: ۱ - ۱۴۲]</w:t>
      </w:r>
    </w:p>
    <w:p>
      <w:pPr>
        <w:pStyle w:val="BookText"/>
      </w:pPr>
      <w:r>
        <w:rPr>
          <w:rFonts w:ascii="Amiri" w:hAnsi="Amiri" w:eastAsia="Amiri" w:cs="Amiri"/>
          <w:lang w:bidi="ar-SA"/>
          <w:color w:val="111111"/>
          <w:sz w:val="28"/>
          <w:szCs w:val="28"/>
          <w:rtl/>
        </w:rPr>
        <w:t xml:space="preserve">«استعمال الاسطرلاب » معرفة سمت القبلة</w:t>
      </w:r>
    </w:p>
    <w:p>
      <w:pPr>
        <w:pStyle w:val="Heading3"/>
      </w:pPr>
      <w:bookmarkStart w:id="1199" w:name="_Toc721"/>
      <w:r>
        <w:t>استعمال الاسطرلاب / اسطرلاب - عربی</w:t>
      </w:r>
      <w:bookmarkEnd w:id="1199"/>
    </w:p>
    <w:p>
      <w:pPr>
        <w:pStyle w:val="BookText"/>
      </w:pPr>
      <w:r>
        <w:rPr>
          <w:rFonts w:ascii="Times New Roman" w:hAnsi="Times New Roman" w:eastAsia="Times New Roman" w:cs="Times New Roman"/>
          <w:lang w:val="en-US" w:bidi="en-US"/>
          <w:color w:val="111111"/>
          <w:sz w:val="28"/>
          <w:szCs w:val="28"/>
          <w:rtl/>
        </w:rPr>
        <w:t xml:space="preserve">isti‘māl-ul-usṭurlāb</w:t>
      </w:r>
    </w:p>
    <w:p>
      <w:pPr>
        <w:pStyle w:val="BookText"/>
      </w:pPr>
      <w:r>
        <w:rPr>
          <w:rFonts w:ascii="IRNazanin" w:hAnsi="IRNazanin" w:eastAsia="IRNazanin" w:cs="IRNazanin"/>
          <w:lang w:bidi="fa-IR"/>
          <w:color w:val="111111"/>
          <w:sz w:val="28"/>
          <w:szCs w:val="28"/>
          <w:rtl/>
        </w:rPr>
        <w:t xml:space="preserve">فصلی است از کتابی در استعمال اسطرلاب</w:t>
      </w:r>
    </w:p>
    <w:p>
      <w:pPr>
        <w:pStyle w:val="BookText"/>
      </w:pPr>
      <w:r>
        <w:rPr>
          <w:rFonts w:ascii="IRNazanin" w:hAnsi="IRNazanin" w:eastAsia="IRNazanin" w:cs="IRNazanin"/>
          <w:lang w:bidi="fa-IR"/>
          <w:color w:val="111111"/>
          <w:sz w:val="28"/>
          <w:szCs w:val="28"/>
          <w:rtl/>
        </w:rPr>
        <w:t xml:space="preserve">آغاز: فصل فی استعمال الاسطرلاب ادا اردنا معرفة اشكال الفلک تعلق الاسطرلاب باليمين.</w:t>
      </w:r>
    </w:p>
    <w:p>
      <w:pPr>
        <w:pStyle w:val="BookText"/>
      </w:pPr>
      <w:r>
        <w:rPr>
          <w:rFonts w:ascii="Amiri" w:hAnsi="Amiri" w:eastAsia="Amiri" w:cs="Amiri"/>
          <w:lang w:bidi="ar-SA"/>
          <w:color w:val="111111"/>
          <w:sz w:val="28"/>
          <w:szCs w:val="28"/>
          <w:rtl/>
        </w:rPr>
        <w:t xml:space="preserve">انجام: على ظل المقياس خطا فهو السمت و هذا آخر الفصل</w:t>
      </w:r>
    </w:p>
    <w:p>
      <w:pPr>
        <w:pStyle w:val="BookText"/>
      </w:pPr>
      <w:r>
        <w:rPr>
          <w:rFonts w:ascii="IRNazanin" w:hAnsi="IRNazanin" w:eastAsia="IRNazanin" w:cs="IRNazanin"/>
          <w:lang w:bidi="fa-IR"/>
          <w:color w:val="111111"/>
          <w:sz w:val="28"/>
          <w:szCs w:val="28"/>
          <w:rtl/>
        </w:rPr>
        <w:t xml:space="preserve">١. تهران؛ دانشگاه؛ شماره نسخه: ۱۹۷۱/۴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مؤمن موسوی ،قمی، تا: ۱۲۷۳ق؛ کاغذ: فرنگی، جلد: پارچه ترمه مقوایی گرد آن تیماج  مشکی، ۴گ (۵۶ر- ۵۹ر)، ۱۵ سطر (7</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۱۷/۵سم [ف: ۸-۵۸۴]</w:t>
      </w:r>
    </w:p>
    <w:p>
      <w:pPr>
        <w:pStyle w:val="BookText"/>
      </w:pPr>
      <w:r>
        <w:rPr>
          <w:rFonts w:ascii="IRNazanin" w:hAnsi="IRNazanin" w:eastAsia="IRNazanin" w:cs="IRNazanin"/>
          <w:lang w:bidi="fa-IR"/>
          <w:color w:val="111111"/>
          <w:sz w:val="28"/>
          <w:szCs w:val="28"/>
          <w:rtl/>
        </w:rPr>
        <w:t xml:space="preserve">۲ . مشهد؛ رضوی؛ شماره نسخه: ۵۵۹۶/۳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تحریری، بی کا، تا: ۱۳۱۸ق؛ كاغذ: سفيد فرنگی آهار مهره و مجدول، ۴ ص (۴۲-۴۵)، ۱۶ سطر (9/2</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w:t>
      </w:r>
    </w:p>
    <w:p>
      <w:pPr>
        <w:pStyle w:val="BookText"/>
      </w:pPr>
      <w:r>
        <w:rPr>
          <w:rFonts w:ascii="Times New Roman" w:hAnsi="Times New Roman" w:eastAsia="Times New Roman" w:cs="Times New Roman"/>
          <w:lang w:val="en-US" w:bidi="en-US"/>
          <w:color w:val="111111"/>
          <w:sz w:val="28"/>
          <w:szCs w:val="28"/>
          <w:rtl/>
        </w:rPr>
        <w:t xml:space="preserve">22/7×18</w:t>
      </w:r>
      <w:r>
        <w:rPr>
          <w:rFonts w:ascii="IRNazanin" w:hAnsi="IRNazanin" w:eastAsia="IRNazanin" w:cs="IRNazanin"/>
          <w:lang w:bidi="fa-IR"/>
          <w:color w:val="111111"/>
          <w:sz w:val="28"/>
          <w:szCs w:val="28"/>
          <w:rtl/>
        </w:rPr>
        <w:t xml:space="preserve">سم [ف: ۸ - ۳۰۴]</w:t>
      </w:r>
    </w:p>
    <w:p>
      <w:pPr>
        <w:pStyle w:val="BookText"/>
      </w:pPr>
      <w:r>
        <w:rPr>
          <w:rFonts w:ascii="Amiri" w:hAnsi="Amiri" w:eastAsia="Amiri" w:cs="Amiri"/>
          <w:lang w:bidi="ar-SA"/>
          <w:color w:val="111111"/>
          <w:sz w:val="28"/>
          <w:szCs w:val="28"/>
          <w:rtl/>
        </w:rPr>
        <w:t xml:space="preserve">«استعمال الاسطرلاب الكروى » الاكر</w:t>
      </w:r>
    </w:p>
    <w:p>
      <w:pPr>
        <w:pStyle w:val="Heading3"/>
      </w:pPr>
      <w:bookmarkStart w:id="1200" w:name="_Toc722"/>
      <w:r>
        <w:t>استعمال السعوط للصائم / فقه / عربي</w:t>
      </w:r>
      <w:bookmarkEnd w:id="1200"/>
    </w:p>
    <w:p>
      <w:pPr>
        <w:pStyle w:val="BookText"/>
      </w:pPr>
      <w:r>
        <w:rPr>
          <w:rFonts w:ascii="Times New Roman" w:hAnsi="Times New Roman" w:eastAsia="Times New Roman" w:cs="Times New Roman"/>
          <w:lang w:val="en-US" w:bidi="en-US"/>
          <w:color w:val="111111"/>
          <w:sz w:val="28"/>
          <w:szCs w:val="28"/>
          <w:rtl/>
        </w:rPr>
        <w:t xml:space="preserve">isti‘māl-us-sa‘ūṭ li-ṣ-ṣā’im</w:t>
      </w:r>
    </w:p>
    <w:p>
      <w:pPr>
        <w:pStyle w:val="BookText"/>
      </w:pPr>
      <w:r>
        <w:rPr>
          <w:rFonts w:ascii="IRNazanin" w:hAnsi="IRNazanin" w:eastAsia="IRNazanin" w:cs="IRNazanin"/>
          <w:lang w:bidi="fa-IR"/>
          <w:color w:val="111111"/>
          <w:sz w:val="28"/>
          <w:szCs w:val="28"/>
          <w:rtl/>
        </w:rPr>
        <w:t xml:space="preserve">عبدالغنی بن محمد رضا، ق۱۳ قمری</w:t>
      </w:r>
    </w:p>
    <w:p>
      <w:pPr>
        <w:pStyle w:val="BookText"/>
      </w:pPr>
      <w:r>
        <w:rPr>
          <w:rFonts w:ascii="Times New Roman" w:hAnsi="Times New Roman" w:eastAsia="Times New Roman" w:cs="Times New Roman"/>
          <w:lang w:val="en-US" w:bidi="en-US"/>
          <w:color w:val="111111"/>
          <w:sz w:val="28"/>
          <w:szCs w:val="28"/>
          <w:rtl/>
        </w:rPr>
        <w:t xml:space="preserve">'(abd-ol-qanī-ye-bn-e mohammad rezā (- 19c)</w:t>
      </w:r>
    </w:p>
    <w:p>
      <w:pPr>
        <w:pStyle w:val="BookText"/>
      </w:pPr>
      <w:r>
        <w:rPr>
          <w:rFonts w:ascii="IRNazanin" w:hAnsi="IRNazanin" w:eastAsia="IRNazanin" w:cs="IRNazanin"/>
          <w:lang w:bidi="fa-IR"/>
          <w:color w:val="111111"/>
          <w:sz w:val="28"/>
          <w:szCs w:val="28"/>
          <w:rtl/>
        </w:rPr>
        <w:t xml:space="preserve">رساله ای استدلالی در حکم استعمال انفیه برای شخص روزه دار.</w:t>
      </w:r>
    </w:p>
    <w:p>
      <w:pPr>
        <w:pStyle w:val="BookText"/>
      </w:pPr>
      <w:r>
        <w:rPr>
          <w:rFonts w:ascii="IRNazanin" w:hAnsi="IRNazanin" w:eastAsia="IRNazanin" w:cs="IRNazanin"/>
          <w:lang w:bidi="fa-IR"/>
          <w:color w:val="111111"/>
          <w:sz w:val="28"/>
          <w:szCs w:val="28"/>
          <w:rtl/>
        </w:rPr>
        <w:t xml:space="preserve">مؤلف معتقد است که ملحق به سعوط می باشد که فقها از آن بحث کرده اند و ضمناً درباره بوئیدن بوی قوی و قطره و سرمه در چشم ریختن نیز گفتگو کرده است.</w:t>
      </w:r>
    </w:p>
    <w:p>
      <w:pPr>
        <w:pStyle w:val="BookText"/>
      </w:pPr>
      <w:r>
        <w:rPr>
          <w:rFonts w:ascii="IRNazanin" w:hAnsi="IRNazanin" w:eastAsia="IRNazanin" w:cs="IRNazanin"/>
          <w:lang w:bidi="fa-IR"/>
          <w:color w:val="111111"/>
          <w:sz w:val="28"/>
          <w:szCs w:val="28"/>
          <w:rtl/>
        </w:rPr>
        <w:t xml:space="preserve">آغاز: السؤال الفيه كشيدن صائم جایز است... والحكم في المسألة مبنى على ما هو المختار عند المشهور من كراهة الستعط</w:t>
      </w:r>
    </w:p>
    <w:p>
      <w:pPr>
        <w:pStyle w:val="BookText"/>
      </w:pPr>
      <w:r>
        <w:rPr>
          <w:rFonts w:ascii="IRNazanin" w:hAnsi="IRNazanin" w:eastAsia="IRNazanin" w:cs="IRNazanin"/>
          <w:lang w:bidi="fa-IR"/>
          <w:color w:val="111111"/>
          <w:sz w:val="28"/>
          <w:szCs w:val="28"/>
          <w:rtl/>
        </w:rPr>
        <w:t xml:space="preserve">انجام: و نصلی علی رسوله و آله الأطهار صلاة دائمة بدوام الليل و النهار</w:t>
      </w:r>
    </w:p>
    <w:p>
      <w:pPr>
        <w:pStyle w:val="BookText"/>
      </w:pPr>
      <w:r>
        <w:rPr>
          <w:rFonts w:ascii="IRNazanin" w:hAnsi="IRNazanin" w:eastAsia="IRNazanin" w:cs="IRNazanin"/>
          <w:lang w:bidi="fa-IR"/>
          <w:color w:val="111111"/>
          <w:sz w:val="28"/>
          <w:szCs w:val="28"/>
          <w:rtl/>
        </w:rPr>
        <w:t xml:space="preserve">قم؛ مرعشی؛ شماره نسخه: ۵۱۷۶/۳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نستعليق، كاتب - مؤلف، بی تا، مصحح؛ جلد: تیماج سبز بدون مقوا، ۷گ (۵۴ ر - ۶۰ پ)، ۱۷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13- 380]</w:t>
      </w:r>
    </w:p>
    <w:p>
      <w:pPr>
        <w:pStyle w:val="Heading3"/>
      </w:pPr>
      <w:bookmarkStart w:id="1201" w:name="_Toc723"/>
      <w:r>
        <w:t>استعمال العلم / عرفان و تصوف</w:t>
      </w:r>
      <w:bookmarkEnd w:id="1201"/>
    </w:p>
    <w:p>
      <w:pPr>
        <w:pStyle w:val="BookText"/>
      </w:pPr>
      <w:r>
        <w:rPr>
          <w:rFonts w:ascii="Times New Roman" w:hAnsi="Times New Roman" w:eastAsia="Times New Roman" w:cs="Times New Roman"/>
          <w:lang w:val="en-US" w:bidi="en-US"/>
          <w:color w:val="111111"/>
          <w:sz w:val="28"/>
          <w:szCs w:val="28"/>
          <w:rtl/>
        </w:rPr>
        <w:t xml:space="preserve">isti'māl-ul 'ilm</w:t>
      </w:r>
    </w:p>
    <w:p>
      <w:pPr>
        <w:pStyle w:val="BookText"/>
      </w:pPr>
      <w:r>
        <w:rPr>
          <w:rFonts w:ascii="IRNazanin" w:hAnsi="IRNazanin" w:eastAsia="IRNazanin" w:cs="IRNazanin"/>
          <w:lang w:bidi="fa-IR"/>
          <w:color w:val="111111"/>
          <w:sz w:val="28"/>
          <w:szCs w:val="28"/>
          <w:rtl/>
        </w:rPr>
        <w:t xml:space="preserve">نعمة الله ولی، نعمة الله بن عبدالله، ۷۳۰؟ - ۸۳۴ قمری</w:t>
      </w:r>
    </w:p>
    <w:p>
      <w:pPr>
        <w:pStyle w:val="BookText"/>
      </w:pPr>
      <w:r>
        <w:rPr>
          <w:rFonts w:ascii="Times New Roman" w:hAnsi="Times New Roman" w:eastAsia="Times New Roman" w:cs="Times New Roman"/>
          <w:lang w:val="en-US" w:bidi="en-US"/>
          <w:color w:val="111111"/>
          <w:sz w:val="28"/>
          <w:szCs w:val="28"/>
          <w:rtl/>
        </w:rPr>
        <w:t xml:space="preserve">ne'mat-ol-lah-e valī, ne'mat-ol-lah ebn-e 'abd-ol-lah</w:t>
      </w:r>
    </w:p>
    <w:p>
      <w:pPr>
        <w:pStyle w:val="BookText"/>
      </w:pPr>
      <w:r>
        <w:rPr>
          <w:rFonts w:ascii="Times New Roman" w:hAnsi="Times New Roman" w:eastAsia="Times New Roman" w:cs="Times New Roman"/>
          <w:lang w:val="en-US" w:bidi="en-US"/>
          <w:color w:val="111111"/>
          <w:sz w:val="28"/>
          <w:szCs w:val="28"/>
          <w:rtl/>
        </w:rPr>
        <w:t xml:space="preserve">(1330 - 1431)</w:t>
      </w:r>
    </w:p>
    <w:p>
      <w:pPr>
        <w:pStyle w:val="BookText"/>
      </w:pPr>
      <w:r>
        <w:rPr>
          <w:rFonts w:ascii="IRNazanin" w:hAnsi="IRNazanin" w:eastAsia="IRNazanin" w:cs="IRNazanin"/>
          <w:lang w:bidi="fa-IR"/>
          <w:color w:val="111111"/>
          <w:sz w:val="28"/>
          <w:szCs w:val="28"/>
          <w:rtl/>
        </w:rPr>
        <w:t xml:space="preserve">تهران؛ دانشگاه؛ شماره نسخه: ۲۸۳۱/۲۳</w:t>
      </w:r>
    </w:p>
    <w:p>
      <w:pPr>
        <w:pStyle w:val="BookText"/>
      </w:pPr>
      <w:r>
        <w:rPr>
          <w:rFonts w:ascii="IRNazanin" w:hAnsi="IRNazanin" w:eastAsia="IRNazanin" w:cs="IRNazanin"/>
          <w:lang w:bidi="fa-IR"/>
          <w:color w:val="111111"/>
          <w:sz w:val="28"/>
          <w:szCs w:val="28"/>
          <w:rtl/>
        </w:rPr>
        <w:t xml:space="preserve">خط: نسخ، بی کا، بی تا، کاغذ ،فرنگی، جلد: تیماج سبز ضربی  مقوای، ۵ ص،( ۲۶۶-۲۷۰) [ف : ۱۰ - ۱۶۷۳]</w:t>
      </w:r>
    </w:p>
    <w:p>
      <w:pPr>
        <w:pStyle w:val="Heading3"/>
      </w:pPr>
      <w:bookmarkStart w:id="1202" w:name="_Toc724"/>
      <w:r>
        <w:t>استعمال اللفظ المشترک / فقه و اصول / عربی</w:t>
      </w:r>
      <w:bookmarkEnd w:id="1202"/>
    </w:p>
    <w:p>
      <w:pPr>
        <w:pStyle w:val="BookText"/>
      </w:pPr>
      <w:r>
        <w:rPr>
          <w:rFonts w:ascii="Times New Roman" w:hAnsi="Times New Roman" w:eastAsia="Times New Roman" w:cs="Times New Roman"/>
          <w:lang w:val="en-US" w:bidi="en-US"/>
          <w:color w:val="111111"/>
          <w:sz w:val="28"/>
          <w:szCs w:val="28"/>
          <w:rtl/>
        </w:rPr>
        <w:t xml:space="preserve">istimal-ul lafz-il muštarak</w:t>
      </w:r>
    </w:p>
    <w:p>
      <w:pPr>
        <w:pStyle w:val="BookText"/>
      </w:pPr>
      <w:r>
        <w:rPr>
          <w:rFonts w:ascii="IRNazanin" w:hAnsi="IRNazanin" w:eastAsia="IRNazanin" w:cs="IRNazanin"/>
          <w:lang w:bidi="fa-IR"/>
          <w:color w:val="111111"/>
          <w:sz w:val="28"/>
          <w:szCs w:val="28"/>
          <w:rtl/>
        </w:rPr>
        <w:t xml:space="preserve">در آن از علامه بهبهانی، علامه  قمی، صاحب معالم، فاضل مازندرانی، شیخنا البهبهانی یاد کرده است.</w:t>
      </w:r>
    </w:p>
    <w:p>
      <w:pPr>
        <w:pStyle w:val="BookText"/>
      </w:pPr>
      <w:r>
        <w:rPr>
          <w:rFonts w:ascii="IRNazanin" w:hAnsi="IRNazanin" w:eastAsia="IRNazanin" w:cs="IRNazanin"/>
          <w:lang w:bidi="fa-IR"/>
          <w:color w:val="111111"/>
          <w:sz w:val="28"/>
          <w:szCs w:val="28"/>
          <w:rtl/>
        </w:rPr>
        <w:t xml:space="preserve">مشهد؛ نواب؛ شماره نسخه: ۸/۴</w:t>
      </w:r>
    </w:p>
    <w:p>
      <w:pPr>
        <w:pStyle w:val="BookText"/>
      </w:pPr>
      <w:r>
        <w:rPr>
          <w:rFonts w:ascii="IRNazanin" w:hAnsi="IRNazanin" w:eastAsia="IRNazanin" w:cs="IRNazanin"/>
          <w:lang w:bidi="fa-IR"/>
          <w:color w:val="111111"/>
          <w:sz w:val="28"/>
          <w:szCs w:val="28"/>
          <w:rtl/>
        </w:rPr>
        <w:t xml:space="preserve">خط: نستعلیق، کا: سید صدرالدین عربی استر آبادی، تا: ۱۲۵۴ق؛ کاغذ: نخودی رنگ ،جلد: تیماج  مشکی، ۳گ (۱۶-۱۴پ)، ۱۴-</w:t>
      </w:r>
    </w:p>
    <w:p>
      <w:pPr>
        <w:pStyle w:val="BookText"/>
      </w:pPr>
      <w:r>
        <w:rPr>
          <w:rFonts w:ascii="IRNazanin" w:hAnsi="IRNazanin" w:eastAsia="IRNazanin" w:cs="IRNazanin"/>
          <w:lang w:bidi="fa-IR"/>
          <w:color w:val="111111"/>
          <w:sz w:val="28"/>
          <w:szCs w:val="28"/>
          <w:rtl/>
        </w:rPr>
        <w:t xml:space="preserve">۲۳  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۱۷/۵سم [ف:۱۹]</w:t>
      </w:r>
    </w:p>
    <w:p>
      <w:pPr>
        <w:pStyle w:val="Heading3"/>
      </w:pPr>
      <w:bookmarkStart w:id="1203" w:name="_Toc725"/>
      <w:r>
        <w:t>استعمال ساعتهای طلا و نقره / فقه / فارسی</w:t>
      </w:r>
      <w:bookmarkEnd w:id="1203"/>
    </w:p>
    <w:p>
      <w:pPr>
        <w:pStyle w:val="BookText"/>
      </w:pPr>
      <w:r>
        <w:rPr>
          <w:rFonts w:ascii="Times New Roman" w:hAnsi="Times New Roman" w:eastAsia="Times New Roman" w:cs="Times New Roman"/>
          <w:lang w:val="en-US" w:bidi="en-US"/>
          <w:color w:val="111111"/>
          <w:sz w:val="28"/>
          <w:szCs w:val="28"/>
          <w:rtl/>
        </w:rPr>
        <w:t xml:space="preserve">este mal-e saat-ha-ye tala va noqre</w:t>
      </w:r>
    </w:p>
    <w:p>
      <w:pPr>
        <w:pStyle w:val="BookText"/>
      </w:pPr>
      <w:r>
        <w:rPr>
          <w:rFonts w:ascii="IRNazanin" w:hAnsi="IRNazanin" w:eastAsia="IRNazanin" w:cs="IRNazanin"/>
          <w:lang w:bidi="fa-IR"/>
          <w:color w:val="111111"/>
          <w:sz w:val="28"/>
          <w:szCs w:val="28"/>
          <w:rtl/>
        </w:rPr>
        <w:t xml:space="preserve">تهران؛ مجلس؛ شماره نسخه: ۴۳۷۳/۶</w:t>
      </w:r>
    </w:p>
    <w:p>
      <w:pPr>
        <w:pStyle w:val="BookText"/>
      </w:pPr>
      <w:r>
        <w:rPr>
          <w:rFonts w:ascii="IRNazanin" w:hAnsi="IRNazanin" w:eastAsia="IRNazanin" w:cs="IRNazanin"/>
          <w:lang w:bidi="fa-IR"/>
          <w:color w:val="111111"/>
          <w:sz w:val="28"/>
          <w:szCs w:val="28"/>
          <w:rtl/>
        </w:rPr>
        <w:t xml:space="preserve">آغاز: الحمد لله رب العالمین ... اما بعد پس در باب ساعتهای طلا و نقره و استعمال آن ظاهرا عیبی نداشته باشد؛ انجام: محکوم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97" w:name="pg20365_260291"/>
    <w:bookmarkEnd w:id="197"/>
    <w:p>
      <w:pPr>
        <w:pStyle w:val="BookText"/>
      </w:pPr>
      <w:r>
        <w:rPr>
          <w:rFonts w:ascii="IRNazanin" w:hAnsi="IRNazanin" w:eastAsia="IRNazanin" w:cs="IRNazanin"/>
          <w:lang w:bidi="fa-IR"/>
          <w:color w:val="111111"/>
          <w:sz w:val="28"/>
          <w:szCs w:val="28"/>
          <w:rtl/>
        </w:rPr>
        <w:t xml:space="preserve">بفساد نشود و اگر دلیل خاص قسم دیگر استفاده شود امر دیگر است و الله العالم.</w:t>
      </w:r>
    </w:p>
    <w:p>
      <w:pPr>
        <w:pStyle w:val="BookText"/>
      </w:pPr>
      <w:r>
        <w:rPr>
          <w:rFonts w:ascii="IRNazanin" w:hAnsi="IRNazanin" w:eastAsia="IRNazanin" w:cs="IRNazanin"/>
          <w:lang w:bidi="fa-IR"/>
          <w:color w:val="111111"/>
          <w:sz w:val="28"/>
          <w:szCs w:val="28"/>
          <w:rtl/>
        </w:rPr>
        <w:t xml:space="preserve">بی  کا، تا: قرن ۱۳؛ مهر: عبد محمد بن محمد مهدی؛ کاغذ ،فرنگی ،جلد: ابری  مقوایی، ۴گ (۷۶-۷۹)، ۱۶ سطر (۱۰</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۸) ،اندازه: ۱۸/۵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۲۴/۵سم [ف ۱۲-۸۳]</w:t>
      </w:r>
    </w:p>
    <w:p>
      <w:pPr>
        <w:pStyle w:val="Heading3"/>
      </w:pPr>
      <w:bookmarkStart w:id="1204" w:name="_Toc726"/>
      <w:r>
        <w:t>استعمال مشترک در اکثر از یک معنا / اصول فقه / عربی</w:t>
      </w:r>
      <w:bookmarkEnd w:id="1204"/>
    </w:p>
    <w:p>
      <w:pPr>
        <w:pStyle w:val="BookText"/>
      </w:pPr>
      <w:r>
        <w:rPr>
          <w:rFonts w:ascii="Times New Roman" w:hAnsi="Times New Roman" w:eastAsia="Times New Roman" w:cs="Times New Roman"/>
          <w:lang w:val="en-US" w:bidi="en-US"/>
          <w:color w:val="111111"/>
          <w:sz w:val="28"/>
          <w:szCs w:val="28"/>
          <w:rtl/>
        </w:rPr>
        <w:t xml:space="preserve">este‘māl-e moštarak dar aksar az yek ma‘nā</w:t>
      </w:r>
    </w:p>
    <w:p>
      <w:pPr>
        <w:pStyle w:val="BookText"/>
      </w:pPr>
      <w:r>
        <w:rPr>
          <w:rFonts w:ascii="IRNazanin" w:hAnsi="IRNazanin" w:eastAsia="IRNazanin" w:cs="IRNazanin"/>
          <w:lang w:bidi="fa-IR"/>
          <w:color w:val="111111"/>
          <w:sz w:val="28"/>
          <w:szCs w:val="28"/>
          <w:rtl/>
        </w:rPr>
        <w:t xml:space="preserve">محمد علی بن عبدالکریم، ق۱۳ قمری</w:t>
      </w:r>
    </w:p>
    <w:p>
      <w:pPr>
        <w:pStyle w:val="BookText"/>
      </w:pPr>
      <w:r>
        <w:rPr>
          <w:rFonts w:ascii="Times New Roman" w:hAnsi="Times New Roman" w:eastAsia="Times New Roman" w:cs="Times New Roman"/>
          <w:lang w:val="en-US" w:bidi="en-US"/>
          <w:color w:val="111111"/>
          <w:sz w:val="28"/>
          <w:szCs w:val="28"/>
          <w:rtl/>
        </w:rPr>
        <w:t xml:space="preserve">(mohammad ‘alī-ye-bn-e ‘abd-ol-karīm (- 19c)</w:t>
      </w:r>
    </w:p>
    <w:p>
      <w:pPr>
        <w:pStyle w:val="BookText"/>
      </w:pPr>
      <w:r>
        <w:rPr>
          <w:rFonts w:ascii="IRNazanin" w:hAnsi="IRNazanin" w:eastAsia="IRNazanin" w:cs="IRNazanin"/>
          <w:lang w:bidi="fa-IR"/>
          <w:color w:val="111111"/>
          <w:sz w:val="28"/>
          <w:szCs w:val="28"/>
          <w:rtl/>
        </w:rPr>
        <w:t xml:space="preserve">تاریخ تأليف: ۱۲۲۲ق،معنی</w:t>
      </w:r>
    </w:p>
    <w:p>
      <w:pPr>
        <w:pStyle w:val="BookText"/>
      </w:pPr>
      <w:r>
        <w:rPr>
          <w:rFonts w:ascii="IRNazanin" w:hAnsi="IRNazanin" w:eastAsia="IRNazanin" w:cs="IRNazanin"/>
          <w:lang w:bidi="fa-IR"/>
          <w:color w:val="111111"/>
          <w:sz w:val="28"/>
          <w:szCs w:val="28"/>
          <w:rtl/>
        </w:rPr>
        <w:t xml:space="preserve">رساله مختصری است در جواز استعمال مشترک در اکثر از یک معنی،که امر استادش محمد تألیف کرده است. وی با نـقل مطالبی از کتب نحوی و اصولی به تتبع پرداخته و در پایان نظر خود را بیان کرده است.</w:t>
      </w:r>
    </w:p>
    <w:p>
      <w:pPr>
        <w:pStyle w:val="BookText"/>
      </w:pPr>
      <w:r>
        <w:rPr>
          <w:rFonts w:ascii="IRNazanin" w:hAnsi="IRNazanin" w:eastAsia="IRNazanin" w:cs="IRNazanin"/>
          <w:lang w:bidi="fa-IR"/>
          <w:color w:val="111111"/>
          <w:sz w:val="28"/>
          <w:szCs w:val="28"/>
          <w:rtl/>
        </w:rPr>
        <w:t xml:space="preserve">قم ؛مرکز مطالعات؛ شماره نسخه: ۶۳۳/۲</w:t>
      </w:r>
    </w:p>
    <w:p>
      <w:pPr>
        <w:pStyle w:val="BookText"/>
      </w:pPr>
      <w:r>
        <w:rPr>
          <w:rFonts w:ascii="IRNazanin" w:hAnsi="IRNazanin" w:eastAsia="IRNazanin" w:cs="IRNazanin"/>
          <w:lang w:bidi="fa-IR"/>
          <w:color w:val="111111"/>
          <w:sz w:val="28"/>
          <w:szCs w:val="28"/>
          <w:rtl/>
        </w:rPr>
        <w:t xml:space="preserve">آغاز: الحمد لله الذى احیا اراضی قلوب اهل الوجدان فاجرى فیها انهار المعرفة والعرفان؛ انجام: تنبيه لا يخفى أنه لا قائل بالفضل بين التثنية والجمع ... هذا آخر ما حققناه في هذه المسئلة حسبنا و نعم الوكيل</w:t>
      </w:r>
    </w:p>
    <w:p>
      <w:pPr>
        <w:pStyle w:val="BookText"/>
      </w:pPr>
      <w:r>
        <w:rPr>
          <w:rFonts w:ascii="IRNazanin" w:hAnsi="IRNazanin" w:eastAsia="IRNazanin" w:cs="IRNazanin"/>
          <w:lang w:bidi="fa-IR"/>
          <w:color w:val="111111"/>
          <w:sz w:val="28"/>
          <w:szCs w:val="28"/>
          <w:rtl/>
        </w:rPr>
        <w:t xml:space="preserve">خط: نسخ  خوب، بی کا، تا: رجب ۱۲۲۴ق؛ این رساله در مـیانه رساله اول صحافی شده است؛ جلد: تیماج قهوه ای ضربی مجدول، ۲گ (۱۰ر - ۱۱پ)، ۱۴سطر،اندازه: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۱- 538]</w:t>
      </w:r>
    </w:p>
    <w:p>
      <w:pPr>
        <w:pStyle w:val="Heading3"/>
      </w:pPr>
      <w:bookmarkStart w:id="1205" w:name="_Toc727"/>
      <w:r>
        <w:t>الاستغاثة / مواعظ / عربي</w:t>
      </w:r>
      <w:bookmarkEnd w:id="1205"/>
    </w:p>
    <w:p>
      <w:pPr>
        <w:pStyle w:val="BookText"/>
      </w:pPr>
      <w:r>
        <w:rPr>
          <w:rFonts w:ascii="Times New Roman" w:hAnsi="Times New Roman" w:eastAsia="Times New Roman" w:cs="Times New Roman"/>
          <w:lang w:val="en-US" w:bidi="en-US"/>
          <w:color w:val="111111"/>
          <w:sz w:val="28"/>
          <w:szCs w:val="28"/>
          <w:rtl/>
        </w:rPr>
        <w:t xml:space="preserve">al-istiġāṯa</w:t>
      </w:r>
    </w:p>
    <w:p>
      <w:pPr>
        <w:pStyle w:val="BookText"/>
      </w:pPr>
      <w:r>
        <w:rPr>
          <w:rFonts w:ascii="IRNazanin" w:hAnsi="IRNazanin" w:eastAsia="IRNazanin" w:cs="IRNazanin"/>
          <w:lang w:bidi="fa-IR"/>
          <w:color w:val="111111"/>
          <w:sz w:val="28"/>
          <w:szCs w:val="28"/>
          <w:rtl/>
        </w:rPr>
        <w:t xml:space="preserve">تهران؛ مجلس؛ شماره نسخه: ۱۴۵۹۰/۱۷۳</w:t>
      </w:r>
    </w:p>
    <w:p>
      <w:pPr>
        <w:pStyle w:val="BookText"/>
      </w:pPr>
      <w:r>
        <w:rPr>
          <w:rFonts w:ascii="IRNazanin" w:hAnsi="IRNazanin" w:eastAsia="IRNazanin" w:cs="IRNazanin"/>
          <w:lang w:bidi="fa-IR"/>
          <w:color w:val="111111"/>
          <w:sz w:val="28"/>
          <w:szCs w:val="28"/>
          <w:rtl/>
        </w:rPr>
        <w:t xml:space="preserve">بی کا، بی تا؛ اگ (۳۴۰ر) [مختصر - ف: ۵۲]</w:t>
      </w:r>
    </w:p>
    <w:p>
      <w:pPr>
        <w:pStyle w:val="Heading3"/>
      </w:pPr>
      <w:bookmarkStart w:id="1206" w:name="_Toc728"/>
      <w:r>
        <w:t>الاستغاثة الى المهدى / دعا / عربي</w:t>
      </w:r>
      <w:bookmarkEnd w:id="1206"/>
    </w:p>
    <w:p>
      <w:pPr>
        <w:pStyle w:val="BookText"/>
      </w:pPr>
      <w:r>
        <w:rPr>
          <w:rFonts w:ascii="Times New Roman" w:hAnsi="Times New Roman" w:eastAsia="Times New Roman" w:cs="Times New Roman"/>
          <w:lang w:val="en-US" w:bidi="en-US"/>
          <w:color w:val="111111"/>
          <w:sz w:val="28"/>
          <w:szCs w:val="28"/>
          <w:rtl/>
        </w:rPr>
        <w:t xml:space="preserve">al-istiġāṯa ila-l-mahdī</w:t>
      </w:r>
    </w:p>
    <w:p>
      <w:pPr>
        <w:pStyle w:val="BookText"/>
      </w:pPr>
      <w:r>
        <w:rPr>
          <w:rFonts w:ascii="IRNazanin" w:hAnsi="IRNazanin" w:eastAsia="IRNazanin" w:cs="IRNazanin"/>
          <w:lang w:bidi="fa-IR"/>
          <w:color w:val="111111"/>
          <w:sz w:val="28"/>
          <w:szCs w:val="28"/>
          <w:rtl/>
        </w:rPr>
        <w:t xml:space="preserve">تهران؛ مجلس؛ شماره نسخه: ۱۴۷۲۹/۲</w:t>
      </w:r>
    </w:p>
    <w:p>
      <w:pPr>
        <w:pStyle w:val="BookText"/>
      </w:pPr>
      <w:r>
        <w:rPr>
          <w:rFonts w:ascii="IRNazanin" w:hAnsi="IRNazanin" w:eastAsia="IRNazanin" w:cs="IRNazanin"/>
          <w:lang w:bidi="fa-IR"/>
          <w:color w:val="111111"/>
          <w:sz w:val="28"/>
          <w:szCs w:val="28"/>
          <w:rtl/>
        </w:rPr>
        <w:t xml:space="preserve">خط: نسخ و نستعلیق، کا: حبيب الدين ابو يعقوب محمد بن علی اصغر گلپایگانی، تا: قرن ۱۳ ؛۱گ (۲ر) [مختصر - ف: - ۵۲]</w:t>
      </w:r>
    </w:p>
    <w:p>
      <w:pPr>
        <w:pStyle w:val="Heading3"/>
      </w:pPr>
      <w:bookmarkStart w:id="1207" w:name="_Toc729"/>
      <w:r>
        <w:t>الاستغاثة فى بدع الثلاثة = كتاب البدع = البدع  المحدثة = الاغاثة / كلام و اعتقادات / عربی</w:t>
      </w:r>
      <w:bookmarkEnd w:id="1207"/>
    </w:p>
    <w:p>
      <w:pPr>
        <w:pStyle w:val="BookText"/>
      </w:pPr>
      <w:r>
        <w:rPr>
          <w:rFonts w:ascii="Times New Roman" w:hAnsi="Times New Roman" w:eastAsia="Times New Roman" w:cs="Times New Roman"/>
          <w:lang w:val="en-US" w:bidi="en-US"/>
          <w:color w:val="111111"/>
          <w:sz w:val="28"/>
          <w:szCs w:val="28"/>
          <w:rtl/>
        </w:rPr>
        <w:t xml:space="preserve">istiġāṯa fī bida‘-iṯ ṯalāṯa = k.-ul bida‘ = al-bida‘-ul</w:t>
      </w:r>
    </w:p>
    <w:p>
      <w:pPr>
        <w:pStyle w:val="BookText"/>
      </w:pPr>
      <w:r>
        <w:rPr>
          <w:rFonts w:ascii="Times New Roman" w:hAnsi="Times New Roman" w:eastAsia="Times New Roman" w:cs="Times New Roman"/>
          <w:lang w:val="en-US" w:bidi="en-US"/>
          <w:color w:val="111111"/>
          <w:sz w:val="28"/>
          <w:szCs w:val="28"/>
          <w:rtl/>
        </w:rPr>
        <w:t xml:space="preserve">muḥaddiṯa = al-iġāṯa</w:t>
      </w:r>
    </w:p>
    <w:p>
      <w:pPr>
        <w:pStyle w:val="BookText"/>
      </w:pPr>
      <w:r>
        <w:rPr>
          <w:rFonts w:ascii="IRNazanin" w:hAnsi="IRNazanin" w:eastAsia="IRNazanin" w:cs="IRNazanin"/>
          <w:lang w:bidi="fa-IR"/>
          <w:color w:val="111111"/>
          <w:sz w:val="28"/>
          <w:szCs w:val="28"/>
          <w:rtl/>
        </w:rPr>
        <w:t xml:space="preserve">کوفی، علی بن احمد - ۳۵۲ قمری</w:t>
      </w:r>
    </w:p>
    <w:p>
      <w:pPr>
        <w:pStyle w:val="BookText"/>
      </w:pPr>
      <w:r>
        <w:rPr>
          <w:rFonts w:ascii="Times New Roman" w:hAnsi="Times New Roman" w:eastAsia="Times New Roman" w:cs="Times New Roman"/>
          <w:lang w:val="en-US" w:bidi="en-US"/>
          <w:color w:val="111111"/>
          <w:sz w:val="28"/>
          <w:szCs w:val="28"/>
          <w:rtl/>
        </w:rPr>
        <w:t xml:space="preserve">(kūfi, ‘alī ebn-e ahmad (- 964)</w:t>
      </w:r>
    </w:p>
    <w:p>
      <w:pPr>
        <w:pStyle w:val="BookText"/>
      </w:pPr>
      <w:r>
        <w:rPr>
          <w:rFonts w:ascii="IRNazanin" w:hAnsi="IRNazanin" w:eastAsia="IRNazanin" w:cs="IRNazanin"/>
          <w:lang w:bidi="fa-IR"/>
          <w:color w:val="111111"/>
          <w:sz w:val="28"/>
          <w:szCs w:val="28"/>
          <w:rtl/>
        </w:rPr>
        <w:t xml:space="preserve">کتابی در تبیین عقاید امامیه و در بیان مثالب و بدع خلفای ثلاثه راشدین و تضعیف و بی اصل بودن روایات وارده در فضایل و خلافت آنان و بیان وقایعی که در صدر اسلام منجر به تعطیلی برخی احکام شریعت  گردید. این کتاب با توجه به اینکه شهرت فراوان داشته، در نسبت آن تردیدهایی نیز وجود دارد، برخی آن را از ابن میثم بحرانی دانسته اند، لیکن چنانچه شیخ یوسف بحرانی در کتاب «الؤلؤة البحرين» آورده است: «هرکس با اسلوب نگارش و آثار ابن میثم آشنا باشد با اندک تأمل متوجه خواهد شد که با لهجه و روش وی برابر نیست». اکثر بزرگان بر این نظر متفق شده اند که این اثر از «ابوالقاسم علی بن احمد علوی کوفی» است لیکن نجاشی معتقد است مؤلف در پایان عمر خویش به فساد مذهب مبتلا شده و از غالیان گردیده است، البته در این کتاب هیچ گونه آثار غلو مشاهده نمی گردد و مشخص می شود بر فرض گرویدن وی به غالیان در اواخر عمر، این اثر در زمان استقامتش نگاشته شده و از اتقان مناسبی برخوردار می باشد و به همین علت نیز مورد اعتماد بسیاری از بزرگان علمای شیعه همچون ابن شهر آشوب در«مناقب» و «معالم» خود، شیخ یونس عاملی بیاضی در «الصراط المستقیم» و نیز قاضی نورالله شوشتری مرعشی در «الصوارم المهرقة» واقع شده است. این کتاب با نام های «الاستغاثه»، «كتاب البدع»،  «البدع المحدثه» نیز یاد شده است.</w:t>
      </w:r>
    </w:p>
    <w:p>
      <w:pPr>
        <w:pStyle w:val="BookText"/>
      </w:pPr>
      <w:r>
        <w:rPr>
          <w:rFonts w:ascii="Amiri" w:hAnsi="Amiri" w:eastAsia="Amiri" w:cs="Amiri"/>
          <w:lang w:bidi="ar-SA"/>
          <w:color w:val="111111"/>
          <w:sz w:val="28"/>
          <w:szCs w:val="28"/>
          <w:rtl/>
        </w:rPr>
        <w:t xml:space="preserve">آغاز ۱: الحمد لله رب العالمين احمد حمد من علم ان ما به من نعمة فمن الله مبتداها و مامسه من سوء ... الى ... و بعد فاني لما تأملت ما عليه الامة من اهوائها و نظرت فى تشتت مذاهبها و اختلاف آرائها و اقاويلها وجدت منها الجم الغفير و العدد الكثير و اهل الغلبة و السلطان و الغفلة و النسيان قد اصطلحوا على تعطيل الاحكام</w:t>
      </w:r>
    </w:p>
    <w:p>
      <w:pPr>
        <w:pStyle w:val="BookText"/>
      </w:pPr>
      <w:r>
        <w:rPr>
          <w:rFonts w:ascii="Amiri" w:hAnsi="Amiri" w:eastAsia="Amiri" w:cs="Amiri"/>
          <w:lang w:bidi="ar-SA"/>
          <w:color w:val="111111"/>
          <w:sz w:val="28"/>
          <w:szCs w:val="28"/>
          <w:rtl/>
        </w:rPr>
        <w:t xml:space="preserve">آغاز ۲: الحمد لله ذى الطول و الامتنان والعزة و السلطان و العظمة و الكبرياء و الجبروت و الالآء ... اما بعد فانى لما تأملت ما عليه الامة في اهويها</w:t>
      </w:r>
    </w:p>
    <w:p>
      <w:pPr>
        <w:pStyle w:val="BookText"/>
      </w:pPr>
      <w:r>
        <w:rPr>
          <w:rFonts w:ascii="Amiri" w:hAnsi="Amiri" w:eastAsia="Amiri" w:cs="Amiri"/>
          <w:lang w:bidi="ar-SA"/>
          <w:color w:val="111111"/>
          <w:sz w:val="28"/>
          <w:szCs w:val="28"/>
          <w:rtl/>
        </w:rPr>
        <w:t xml:space="preserve">انجام: و على رسول الله صلى الله عليه و آله و قد شرحنا من فساده و اوضحنا من باطله ما فيه كفاية و مقنع و نهاية.</w:t>
      </w:r>
    </w:p>
    <w:p>
      <w:pPr>
        <w:pStyle w:val="BookText"/>
      </w:pPr>
      <w:r>
        <w:rPr>
          <w:rFonts w:ascii="IRNazanin" w:hAnsi="IRNazanin" w:eastAsia="IRNazanin" w:cs="IRNazanin"/>
          <w:lang w:bidi="fa-IR"/>
          <w:color w:val="111111"/>
          <w:sz w:val="28"/>
          <w:szCs w:val="28"/>
          <w:rtl/>
        </w:rPr>
        <w:t xml:space="preserve">چاپ: دو مرتبه در نجف اشرف چاپ شده؛ تهران موسسه اعلمی ۱۳۷۳ش؛ بیروت، ۱۴۰۸ ق.</w:t>
      </w:r>
    </w:p>
    <w:p>
      <w:pPr>
        <w:pStyle w:val="BookText"/>
      </w:pPr>
      <w:r>
        <w:rPr>
          <w:rFonts w:ascii="IRNazanin" w:hAnsi="IRNazanin" w:eastAsia="IRNazanin" w:cs="IRNazanin"/>
          <w:lang w:bidi="fa-IR"/>
          <w:color w:val="111111"/>
          <w:sz w:val="28"/>
          <w:szCs w:val="28"/>
          <w:rtl/>
        </w:rPr>
        <w:t xml:space="preserve">[الذريعة ۲۸/۲ و ۲۹ دنا ۱: ۷۶۲-۷۶۳؛ فهرستگان حدیث، ج ۲، ص ۲۶۳- ۲۶۴؛ کشف الحجب : ۸۲؛ فهرست مشار عربی ۴۹؛ مكتبة امير المومنين  1/ 106]</w:t>
      </w:r>
    </w:p>
    <w:p>
      <w:pPr>
        <w:pStyle w:val="BookText"/>
      </w:pPr>
      <w:r>
        <w:rPr>
          <w:rFonts w:ascii="IRNazanin" w:hAnsi="IRNazanin" w:eastAsia="IRNazanin" w:cs="IRNazanin"/>
          <w:lang w:bidi="fa-IR"/>
          <w:color w:val="111111"/>
          <w:sz w:val="28"/>
          <w:szCs w:val="28"/>
          <w:rtl/>
        </w:rPr>
        <w:t xml:space="preserve">١. تهران؛ مجلس؛ شماره نسخه: ۱۳۲۹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زین العابدين بن محيى الدين بن على بن كرامة، تا: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۸۹۳ق؛ یادداشتی به امضای محمد صادق موسوی اصفهانی؛ کاغذ: کاهی ضخیم، جلد: تیماج ،مشکی، ۱۷۹ ص، ۱۹ سطر، قطع: ربعی،</w:t>
      </w:r>
    </w:p>
    <w:p>
      <w:pPr>
        <w:pStyle w:val="BookText"/>
      </w:pPr>
      <w:r>
        <w:rPr>
          <w:rFonts w:ascii="IRNazanin" w:hAnsi="IRNazanin" w:eastAsia="IRNazanin" w:cs="IRNazanin"/>
          <w:lang w:bidi="fa-IR"/>
          <w:color w:val="111111"/>
          <w:sz w:val="28"/>
          <w:szCs w:val="28"/>
          <w:rtl/>
        </w:rPr>
        <w:t xml:space="preserve">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۴ - ۴۱۱]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مجلس؛ شماره نسخه: ۸۹۴۰/۶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جزء اول و دوم؛ خط: نسخ، کا: عبادالدين بن عبد السميع بن فياض اسدی، تا: ۹۱۷ق؛ کاغذ: نخودی آهار مهره ،جلد: میشن سـرخ  مجدول، ۱۴۰گ (۱۲۰ر - ۲۵۹پ)، ۱۵ و ۲۵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 ، اندازه:۱۶/۲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۲۵/۷سم [ف: ۲۹/۱ - ۴۰۰]</w:t>
      </w:r>
    </w:p>
    <w:p>
      <w:pPr>
        <w:pStyle w:val="BookText"/>
      </w:pPr>
      <w:r>
        <w:rPr>
          <w:rFonts w:ascii="IRNazanin" w:hAnsi="IRNazanin" w:eastAsia="IRNazanin" w:cs="IRNazanin"/>
          <w:lang w:bidi="fa-IR"/>
          <w:color w:val="111111"/>
          <w:sz w:val="28"/>
          <w:szCs w:val="28"/>
          <w:rtl/>
        </w:rPr>
        <w:t xml:space="preserve">۳. مشهد؛ رضوی؛ شماره نسخه: ۴۶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على بن هارون بن يحيى صايم ظاهر اسدی،تا: ۹۶۹ق؛ مصدر به وقف نامه و مطالبی متفرقه از جمله: عهدنامه عمر ابن الخطاب به معاویه؛واقف: خواجه شیر احمد؛ کاغذ: نخودی آهار مهره، جلد: پارچه ای زرد خردلی ۱۱۹گ، ۱۵ سطر،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۱ - ۴۰]</w:t>
      </w:r>
    </w:p>
    <w:p>
      <w:pPr>
        <w:pStyle w:val="BookText"/>
      </w:pPr>
      <w:r>
        <w:rPr>
          <w:rFonts w:ascii="IRNazanin" w:hAnsi="IRNazanin" w:eastAsia="IRNazanin" w:cs="IRNazanin"/>
          <w:lang w:bidi="fa-IR"/>
          <w:color w:val="111111"/>
          <w:sz w:val="28"/>
          <w:szCs w:val="28"/>
          <w:rtl/>
        </w:rPr>
        <w:t xml:space="preserve">۴. تهران؛ الهیات؛ شماره نسخه: ۳۴۲/۱</w:t>
      </w:r>
    </w:p>
    <w:p>
      <w:pPr>
        <w:pStyle w:val="BookText"/>
      </w:pPr>
      <w:r>
        <w:rPr>
          <w:rFonts w:ascii="IRNazanin" w:hAnsi="IRNazanin" w:eastAsia="IRNazanin" w:cs="IRNazanin"/>
          <w:lang w:bidi="fa-IR"/>
          <w:color w:val="111111"/>
          <w:sz w:val="28"/>
          <w:szCs w:val="28"/>
          <w:rtl/>
        </w:rPr>
        <w:t xml:space="preserve">خط: نسخ، کا: علی بن شجاع  کرکی، تا: جمعه ۲۹ جمادی الثـانی ۹۸۵ق؛ کاغذ: سمرقندی، جلد: تیماج قهوه ای ضربی، ۱۱۴گ (۱پ- ۱۱۴ پ) ۲۱سطر (7</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۲۸۲]</w:t>
      </w:r>
    </w:p>
    <w:p>
      <w:pPr>
        <w:pStyle w:val="BookText"/>
      </w:pPr>
      <w:r>
        <w:rPr>
          <w:rFonts w:ascii="IRNazanin" w:hAnsi="IRNazanin" w:eastAsia="IRNazanin" w:cs="IRNazanin"/>
          <w:lang w:bidi="fa-IR"/>
          <w:color w:val="111111"/>
          <w:sz w:val="28"/>
          <w:szCs w:val="28"/>
          <w:rtl/>
        </w:rPr>
        <w:t xml:space="preserve">۵. اصفهان؛ دانشگاه اصفهان؛ شماره نسخه: ۱۶۰</w:t>
      </w:r>
    </w:p>
    <w:p>
      <w:pPr>
        <w:pStyle w:val="BookText"/>
      </w:pPr>
      <w:r>
        <w:rPr>
          <w:rFonts w:ascii="IRNazanin" w:hAnsi="IRNazanin" w:eastAsia="IRNazanin" w:cs="IRNazanin"/>
          <w:lang w:bidi="fa-IR"/>
          <w:color w:val="111111"/>
          <w:sz w:val="28"/>
          <w:szCs w:val="28"/>
          <w:rtl/>
        </w:rPr>
        <w:t xml:space="preserve">خط: نسخ، بی کا، تا: قرن ۱۱؛ کاغذ: سپاهانی [ نشریه ۱۱ - 882]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تهران؛ مجلس؛ شماره نسخه: ۳۰۲۰/۱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فاضل  نجفی، تا: قرن ۱۱؛ در نسخه به سید مرتضی نسبت داده شده؛ کاغذ ،اصفهانی،جلد: تیماج  زرد، ۱۲۲ص(2- ۱۲۳)، ۲۳ سطر، قطع: رحلی، اندازه: ۱۹/۵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۲۷/۵سم [ف: 10- 467]</w:t>
      </w:r>
    </w:p>
    <w:p>
      <w:pPr>
        <w:pStyle w:val="BookText"/>
      </w:pPr>
      <w:r>
        <w:rPr>
          <w:rFonts w:ascii="IRNazanin" w:hAnsi="IRNazanin" w:eastAsia="IRNazanin" w:cs="IRNazanin"/>
          <w:lang w:bidi="fa-IR"/>
          <w:color w:val="111111"/>
          <w:sz w:val="28"/>
          <w:szCs w:val="28"/>
          <w:rtl/>
        </w:rPr>
        <w:t xml:space="preserve">۷. خوانسار؛ فاضل؛ شماره نسخه: ۱۱</w:t>
      </w:r>
    </w:p>
    <w:p>
      <w:pPr>
        <w:pStyle w:val="BookText"/>
      </w:pPr>
      <w:r>
        <w:rPr>
          <w:rFonts w:ascii="IRNazanin" w:hAnsi="IRNazanin" w:eastAsia="IRNazanin" w:cs="IRNazanin"/>
          <w:lang w:bidi="fa-IR"/>
          <w:color w:val="111111"/>
          <w:sz w:val="28"/>
          <w:szCs w:val="28"/>
          <w:rtl/>
        </w:rPr>
        <w:t xml:space="preserve">خط: نسخ، بی کا، تا: قرن ۱۱؛ مصحح؛ در برگ اول نام کتاب و مؤلف آن به خط شیخ آقا بزرگ و چند یادداشت و یک بـیت شعر آمده؛ تملک: «فیض الله الحسينى البقری» با مهر «الوثق برحمة ربه الغنى عبده فيض الله الحسینی» (دایره)؛ کاغذ: آهارمهره، جلد: تیماج  مشکی،۱۲۴گ، ۱۵ سطر،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۱۹/۵سم  [ف: ۱ - ۱۳]</w:t>
      </w:r>
    </w:p>
    <w:p>
      <w:pPr>
        <w:pStyle w:val="BookText"/>
      </w:pPr>
      <w:r>
        <w:rPr>
          <w:rFonts w:ascii="IRNazanin" w:hAnsi="IRNazanin" w:eastAsia="IRNazanin" w:cs="IRNazanin"/>
          <w:lang w:bidi="fa-IR"/>
          <w:color w:val="111111"/>
          <w:sz w:val="28"/>
          <w:szCs w:val="28"/>
          <w:rtl/>
        </w:rPr>
        <w:t xml:space="preserve">8.تهران؛ مجلس؛ شماره نسخه: ۱۵۳۵۹/۱۵</w:t>
      </w:r>
    </w:p>
    <w:p>
      <w:pPr>
        <w:pStyle w:val="BookText"/>
      </w:pPr>
      <w:r>
        <w:rPr>
          <w:rFonts w:ascii="IRNazanin" w:hAnsi="IRNazanin" w:eastAsia="IRNazanin" w:cs="IRNazanin"/>
          <w:lang w:bidi="fa-IR"/>
          <w:color w:val="111111"/>
          <w:sz w:val="28"/>
          <w:szCs w:val="28"/>
          <w:rtl/>
        </w:rPr>
        <w:t xml:space="preserve">آغاز: برابر ۱</w:t>
      </w:r>
    </w:p>
    <w:p>
      <w:pPr>
        <w:pStyle w:val="BookText"/>
      </w:pPr>
      <w:r>
        <w:rPr>
          <w:rFonts w:ascii="IRNazanin" w:hAnsi="IRNazanin" w:eastAsia="IRNazanin" w:cs="IRNazanin"/>
          <w:lang w:bidi="fa-IR"/>
          <w:color w:val="111111"/>
          <w:sz w:val="28"/>
          <w:szCs w:val="28"/>
          <w:rtl/>
        </w:rPr>
        <w:t xml:space="preserve">خط: نسخ، کا: سید محمد مقیم موسوی، تا: شنبه ۱۶ ربیع الاول ۱۰۶۳ق، جا: نجف اشرف؛ در آغاز نسخه حاشیه ای است مبنی بر</w:t>
      </w:r>
    </w:p>
    <w:p>
      <w:pPr>
        <w:pStyle w:val="BookText"/>
      </w:pPr>
      <w:r>
        <w:rPr>
          <w:rFonts w:ascii="IRNazanin" w:hAnsi="IRNazanin" w:eastAsia="IRNazanin" w:cs="IRNazanin"/>
          <w:lang w:bidi="fa-IR"/>
          <w:color w:val="111111"/>
          <w:sz w:val="28"/>
          <w:szCs w:val="28"/>
          <w:rtl/>
        </w:rPr>
        <w:t xml:space="preserve">عدم  صحت انتساب کتاب به ابن میثم بحرانى شارح نهج البلاغه؛جلد: تیماج يشمى ضربی، ۱۹۵ ص( ۳۶۹-۵۶۳)، ۱۹ سطر، اندازه:</w:t>
      </w:r>
    </w:p>
    <w:p>
      <w:pPr>
        <w:pStyle w:val="BookText"/>
      </w:pPr>
      <w:r>
        <w:rPr>
          <w:rFonts w:ascii="IRNazanin" w:hAnsi="IRNazanin" w:eastAsia="IRNazanin" w:cs="IRNazanin"/>
          <w:lang w:bidi="fa-IR"/>
          <w:color w:val="111111"/>
          <w:sz w:val="28"/>
          <w:szCs w:val="28"/>
          <w:rtl/>
        </w:rPr>
        <w:t xml:space="preserve">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۱۸/۸سم [ف: ۴۳ - ۴۷]</w:t>
      </w:r>
    </w:p>
    <w:p>
      <w:pPr>
        <w:pStyle w:val="BookText"/>
      </w:pPr>
      <w:r>
        <w:rPr>
          <w:rFonts w:ascii="IRNazanin" w:hAnsi="IRNazanin" w:eastAsia="IRNazanin" w:cs="IRNazanin"/>
          <w:lang w:bidi="fa-IR"/>
          <w:color w:val="111111"/>
          <w:sz w:val="28"/>
          <w:szCs w:val="28"/>
          <w:rtl/>
        </w:rPr>
        <w:t xml:space="preserve">۹. تهران؛ مدرسه معمار باشی؛ شماره نسخه: ۸۶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Amiri" w:hAnsi="Amiri" w:eastAsia="Amiri" w:cs="Amiri"/>
          <w:lang w:bidi="ar-SA"/>
          <w:color w:val="111111"/>
          <w:sz w:val="28"/>
          <w:szCs w:val="28"/>
          <w:rtl/>
        </w:rPr>
        <w:t xml:space="preserve">استعمال مشترك - الاستغاثة</w:t>
      </w:r>
    </w:p>
    <w:p>
      <w:pPr>
        <w:pStyle w:val="BookText"/>
      </w:pPr>
      <w:r>
        <w:rPr>
          <w:rFonts w:ascii="IRNazanin" w:hAnsi="IRNazanin" w:eastAsia="IRNazanin" w:cs="IRNazanin"/>
          <w:lang w:bidi="fa-IR"/>
          <w:color w:val="111111"/>
          <w:sz w:val="28"/>
          <w:szCs w:val="28"/>
          <w:rtl/>
        </w:rPr>
        <w:t xml:space="preserve">خط: نسخ، کا: محمد علی بن عبدالكريم جزایری، تا: دوشنبه آخر ۱۰۶۹ق؛ در اول نسخه کتاب به شیخ ابو جعفر طوسی نسبت  داده شده است، پس از انجامه نسخه یادداشتی از حسن علی بن شجاع الدین نجفی آمده مبنی بر این که در سال ۱۰۶۹ق کتاب را استکتاب کرده است؛ تملک: حسن علی بن شجاع الدین نجفی با مهر: «ابا الحسن علی» (بیضی)، علی رضا بن ابی الحسن بن محمد بن ابی الحسن با مهر «لا اله الا الله الملك الحق المبين عبده على» (بیضی)، عبدالله؛ جلد: تیماج با روکش پارچه ای سبز، ۱۰۱گ،  ۱۷ سطر [ف: ۱۰۱]</w:t>
      </w:r>
    </w:p>
    <w:p>
      <w:pPr>
        <w:pStyle w:val="BookText"/>
      </w:pPr>
      <w:r>
        <w:rPr>
          <w:rFonts w:ascii="IRNazanin" w:hAnsi="IRNazanin" w:eastAsia="IRNazanin" w:cs="IRNazanin"/>
          <w:lang w:bidi="fa-IR"/>
          <w:color w:val="111111"/>
          <w:sz w:val="28"/>
          <w:szCs w:val="28"/>
          <w:rtl/>
        </w:rPr>
        <w:t xml:space="preserve">۱۰ . قم؛ مرعشی؛ شماره نسخه: ۱۰۵۷۴/۱</w:t>
      </w:r>
    </w:p>
    <w:p>
      <w:pPr>
        <w:pStyle w:val="BookText"/>
      </w:pPr>
      <w:r>
        <w:rPr>
          <w:rFonts w:ascii="IRNazanin" w:hAnsi="IRNazanin" w:eastAsia="IRNazanin" w:cs="IRNazanin"/>
          <w:lang w:bidi="fa-IR"/>
          <w:color w:val="111111"/>
          <w:sz w:val="28"/>
          <w:szCs w:val="28"/>
          <w:rtl/>
        </w:rPr>
        <w:t xml:space="preserve">خط: نسخ، بی کا، تا: یک شنبه ۱۸ ذیحجه ۱۰۷۴ق؛ جلد: مقوایی عطف تیماج  قرمز، ۳۹گ (۱پ- ۳۹پ)، ۲۷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۳۴سم [ف: ۲۷ - ۵۴]</w:t>
      </w:r>
    </w:p>
    <w:p>
      <w:pPr>
        <w:pStyle w:val="BookText"/>
      </w:pPr>
      <w:r>
        <w:rPr>
          <w:rFonts w:ascii="IRNazanin" w:hAnsi="IRNazanin" w:eastAsia="IRNazanin" w:cs="IRNazanin"/>
          <w:lang w:bidi="fa-IR"/>
          <w:color w:val="111111"/>
          <w:sz w:val="28"/>
          <w:szCs w:val="28"/>
          <w:rtl/>
        </w:rPr>
        <w:t xml:space="preserve">۱۱. قم؛ مرعشی؛ شماره نسخه: ۱۰۴۵/۲</w:t>
      </w:r>
    </w:p>
    <w:p>
      <w:pPr>
        <w:pStyle w:val="BookText"/>
      </w:pPr>
      <w:r>
        <w:rPr>
          <w:rFonts w:ascii="Amiri" w:hAnsi="Amiri" w:eastAsia="Amiri" w:cs="Amiri"/>
          <w:lang w:bidi="ar-SA"/>
          <w:color w:val="111111"/>
          <w:sz w:val="28"/>
          <w:szCs w:val="28"/>
          <w:rtl/>
        </w:rPr>
        <w:t xml:space="preserve">آغاز: تعالى يغضب لغضبها و يرضى لرضاها</w:t>
      </w:r>
    </w:p>
    <w:p>
      <w:pPr>
        <w:pStyle w:val="BookText"/>
      </w:pPr>
      <w:r>
        <w:rPr>
          <w:rFonts w:ascii="IRNazanin" w:hAnsi="IRNazanin" w:eastAsia="IRNazanin" w:cs="IRNazanin"/>
          <w:lang w:bidi="fa-IR"/>
          <w:color w:val="111111"/>
          <w:sz w:val="28"/>
          <w:szCs w:val="28"/>
          <w:rtl/>
        </w:rPr>
        <w:t xml:space="preserve">نسخه اصل: کتابخانه  واتیکان، ش ۱۷۵۰ ؛خط: نسخ، کا: ابراهیم بن عبدالله  هزار جریبی، تا:پنج شنبه ربیع الاول ۱۰۸۲ق؛ ۱۲۴ص (۱۲۵-۲) [عکسی ف: ۳ - ۹۸]</w:t>
      </w:r>
    </w:p>
    <w:p>
      <w:pPr>
        <w:pStyle w:val="BookText"/>
      </w:pPr>
      <w:r>
        <w:rPr>
          <w:rFonts w:ascii="IRNazanin" w:hAnsi="IRNazanin" w:eastAsia="IRNazanin" w:cs="IRNazanin"/>
          <w:lang w:bidi="fa-IR"/>
          <w:color w:val="111111"/>
          <w:sz w:val="28"/>
          <w:szCs w:val="28"/>
          <w:rtl/>
        </w:rPr>
        <w:t xml:space="preserve">۱۲. تهران؛ مجلس؛ شماره نسخه: ۱۵۳۰۵</w:t>
      </w:r>
    </w:p>
    <w:p>
      <w:pPr>
        <w:pStyle w:val="BookText"/>
      </w:pPr>
      <w:r>
        <w:rPr>
          <w:rFonts w:ascii="IRNazanin" w:hAnsi="IRNazanin" w:eastAsia="IRNazanin" w:cs="IRNazanin"/>
          <w:lang w:bidi="fa-IR"/>
          <w:color w:val="111111"/>
          <w:sz w:val="28"/>
          <w:szCs w:val="28"/>
          <w:rtl/>
        </w:rPr>
        <w:t xml:space="preserve">خط: نسخ، بی کا، تا: سلخ ربیع الثانی ۱۰۹۳ق؛ در آغاز نسخه چنین ثبت شده: «این کتاب دو نام و دو صاحب دارد: آنچه مشهود است حتی در مقدمات بحار الانوار مسطور است نام «استغاثه فى بدع الثلاثه» و صاحب آن شیخ میثم بحرانی است ولی بعد از تتبع و تحقیق آنچه معلوم شده است نام آن «البدع المحدثة» است و از مؤلفات علی بن احمد کوفی از قدماء شیعه کوفه چنانکه نجاشی ذکر نموده بهر حال در باب خود بی نظیر است، نسب علی بن احمد مصنف این کتاب به دو واسطه به حضرت امام محمد تقى سلام الله علیه می رسد»، مصحح، در پایان امضای «بلغ قبالاً و الحمد لله»؛ تملک: محمد نور ابن علی اصغر؛ مهر: «عبده مهدى بن يعقوب الحسینی» (مربع) ، «عبده محمد هادي الحسيني ،۱۱۲۵» ،(بیضی)؛ کتابخانه مجدالدین؛ جلد: تیماج  یشمی،89گ، ۱۷ سطر ،اندازه: ۱۲/۱۸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۱۸/۸سم [ف: ۴۳ - ۹]</w:t>
      </w:r>
    </w:p>
    <w:p>
      <w:pPr>
        <w:pStyle w:val="BookText"/>
      </w:pPr>
      <w:r>
        <w:rPr>
          <w:rFonts w:ascii="IRNazanin" w:hAnsi="IRNazanin" w:eastAsia="IRNazanin" w:cs="IRNazanin"/>
          <w:lang w:bidi="fa-IR"/>
          <w:color w:val="111111"/>
          <w:sz w:val="28"/>
          <w:szCs w:val="28"/>
          <w:rtl/>
        </w:rPr>
        <w:t xml:space="preserve">۱۳. تهران؛ فرهاد معتمد؛ شماره نسخه: ۵۱</w:t>
      </w:r>
    </w:p>
    <w:p>
      <w:pPr>
        <w:pStyle w:val="BookText"/>
      </w:pPr>
      <w:r>
        <w:rPr>
          <w:rFonts w:ascii="IRNazanin" w:hAnsi="IRNazanin" w:eastAsia="IRNazanin" w:cs="IRNazanin"/>
          <w:lang w:bidi="fa-IR"/>
          <w:color w:val="111111"/>
          <w:sz w:val="28"/>
          <w:szCs w:val="28"/>
          <w:rtl/>
        </w:rPr>
        <w:t xml:space="preserve">خط: نسخ، بی کا، تا: قرن ۱۲؛ کاغذ: فرنگی آهار مهره، جلد: تیماج قهوه ای ضربی ترنجی مقوایی با  لولا، ۲۱ سطر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 نشریه: ۳ - ۱۴۸]</w:t>
      </w:r>
    </w:p>
    <w:p>
      <w:pPr>
        <w:pStyle w:val="BookText"/>
      </w:pPr>
      <w:r>
        <w:rPr>
          <w:rFonts w:ascii="IRNazanin" w:hAnsi="IRNazanin" w:eastAsia="IRNazanin" w:cs="IRNazanin"/>
          <w:lang w:bidi="fa-IR"/>
          <w:color w:val="111111"/>
          <w:sz w:val="28"/>
          <w:szCs w:val="28"/>
          <w:rtl/>
        </w:rPr>
        <w:t xml:space="preserve">۱۴. مشهد؛ گوهرشاد؛ شماره نسخه: ۴۵۷</w:t>
      </w:r>
    </w:p>
    <w:p>
      <w:pPr>
        <w:pStyle w:val="BookText"/>
      </w:pPr>
      <w:r>
        <w:rPr>
          <w:rFonts w:ascii="IRNazanin" w:hAnsi="IRNazanin" w:eastAsia="IRNazanin" w:cs="IRNazanin"/>
          <w:lang w:bidi="fa-IR"/>
          <w:color w:val="111111"/>
          <w:sz w:val="28"/>
          <w:szCs w:val="28"/>
          <w:rtl/>
        </w:rPr>
        <w:t xml:space="preserve">آغاز: اذا اخذ الاجرة فصلوته بالاجرة و فريضة باقية عليه بحسب ان يؤدى فرض الله علیه ؛انجام: برابر</w:t>
      </w:r>
    </w:p>
    <w:p>
      <w:pPr>
        <w:pStyle w:val="BookText"/>
      </w:pPr>
      <w:r>
        <w:rPr>
          <w:rFonts w:ascii="IRNazanin" w:hAnsi="IRNazanin" w:eastAsia="IRNazanin" w:cs="IRNazanin"/>
          <w:lang w:bidi="fa-IR"/>
          <w:color w:val="111111"/>
          <w:sz w:val="28"/>
          <w:szCs w:val="28"/>
          <w:rtl/>
        </w:rPr>
        <w:t xml:space="preserve">خط: نستعلیق، بی کا، تا: قرن ۱۲ق؛ افتادگی: آغاز؛ مقابله شده؛ مهر: حاج سید سعید؛ کاغذ: هندی، جلد: تیماج یک سوی آن عنابی و سوی دیگرش مشکی، ۱۰۰گ، ۱۵ سطر (۶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۲۲/۵سم [ف: ۲ - ۵۶۱]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98" w:name="pg20365_260293"/>
    <w:bookmarkEnd w:id="198"/>
    <w:p>
      <w:pPr>
        <w:pStyle w:val="BookText"/>
      </w:pPr>
      <w:r>
        <w:rPr>
          <w:rFonts w:ascii="IRNazanin" w:hAnsi="IRNazanin" w:eastAsia="IRNazanin" w:cs="IRNazanin"/>
          <w:lang w:bidi="fa-IR"/>
          <w:color w:val="111111"/>
          <w:sz w:val="28"/>
          <w:szCs w:val="28"/>
          <w:rtl/>
        </w:rPr>
        <w:t xml:space="preserve">15.تهران؛ دانشگاه؛ شماره نسخه: ۶۹۲۰/۲</w:t>
      </w:r>
    </w:p>
    <w:p>
      <w:pPr>
        <w:pStyle w:val="BookText"/>
      </w:pPr>
      <w:r>
        <w:rPr>
          <w:rFonts w:ascii="IRNazanin" w:hAnsi="IRNazanin" w:eastAsia="IRNazanin" w:cs="IRNazanin"/>
          <w:lang w:bidi="fa-IR"/>
          <w:color w:val="111111"/>
          <w:sz w:val="28"/>
          <w:szCs w:val="28"/>
          <w:rtl/>
        </w:rPr>
        <w:t xml:space="preserve">خط: نستعلیق، بی کا، تا: قرن ۱۳؛ کاغذ ،فرنگی ،جلد: تیماج مشکی درون زرد و دولا، ۶۱گ (۴۵پ - (۱۰۵ر)، ۱۸ سـطر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قطع: ربعی،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۱۶ - ۴۰۱]</w:t>
      </w:r>
    </w:p>
    <w:p>
      <w:pPr>
        <w:pStyle w:val="BookText"/>
      </w:pPr>
      <w:r>
        <w:rPr>
          <w:rFonts w:ascii="IRNazanin" w:hAnsi="IRNazanin" w:eastAsia="IRNazanin" w:cs="IRNazanin"/>
          <w:lang w:bidi="fa-IR"/>
          <w:color w:val="111111"/>
          <w:sz w:val="28"/>
          <w:szCs w:val="28"/>
          <w:rtl/>
        </w:rPr>
        <w:t xml:space="preserve">۱۶. مشهد؛ رضوی؛ شماره نسخه: ۶۱۲۷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مصحح،   مقابله شده در شب جمعه  26شعبان ۱۲۰۱ در زنجان ؛کاغذ:نباتی ،جلد: مقوا با روکش پارچه، عطف و گوشه ها تیماج، ۸۴گ، ۱۹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 سم [ف: ۵ - ۳۶]</w:t>
      </w:r>
    </w:p>
    <w:p>
      <w:pPr>
        <w:pStyle w:val="BookText"/>
      </w:pPr>
      <w:r>
        <w:rPr>
          <w:rFonts w:ascii="IRNazanin" w:hAnsi="IRNazanin" w:eastAsia="IRNazanin" w:cs="IRNazanin"/>
          <w:lang w:bidi="fa-IR"/>
          <w:color w:val="111111"/>
          <w:sz w:val="28"/>
          <w:szCs w:val="28"/>
          <w:rtl/>
        </w:rPr>
        <w:t xml:space="preserve">۱۷. قم؛ مرعشی؛ شماره نسخه: ۱۲۹۶۴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محمد موسوی، تا: ۵ ربیع الثانی ۱۲۵۵ق؛ مصحح، مقابله شده، دستخط آیة الله مرعشی در برگ قبل از آغاز چـنین آمده: «فيه ان علياً المقتول فى الطف كان اصغر من مولينا السجاد،  و  و ان عليه الامامية و اهل البيت و ان عمره يوم قتل ١٢ سنة.فیه نفى تزويج الرسول كريمته من عثمان و ان المرأتين هما زينب و رقية بنتا هالة اخت خديجة بنت ويلد و انهارتبتهما فنسبتا اليها. و فيه تزويج عمر من ام كلثوم بنت على واحباب بما حاصله انه كان زواجا غير ... لم فوض امره الى العباس و لم يباشر التزویج بنفسه كما باشر في تزويج سائز بناته كزينب من عبد الله بن جعفر غيرها، نیز دستخط دیگری از ایشان به سال ۱۳۶۵ق در برگ69 نسخه است، در آغاز دستخط ایشان آمده که اطلاعات نسخه را به صاحب الذریعه ارسال نموده اند با عبارت «أرسل إلى الذريعة»، درآغاز به خط قرمزی نام کتاب به صورت «كتاب الاستغاثة و السـهام المارقة فى البدع الثالاثة للشيخ على بن احمد» آمده که شخـص دیگری به خط دیگری در ذیل آن نوشته «من حفده الشهيد الثانی» دقیقاً مشخص نگردید مراد  کیست ،در آغاز به نقل از محـقق کرکی فائده ای در تزویج رقیه و زینب با عثمان آمده است؛ مـهر: «محمد والعترة الطاهرة شفيع يحيى في الآخرة ۱۳۰۲» (بيضی) ؛کاغذ: فرنگی، جلد: تیماج یک لا مشکی، ۱۳۰گ، ۱۷ و ۱۹سـطر (۷/۵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۳۲ - ۸۹۶]</w:t>
      </w:r>
    </w:p>
    <w:p>
      <w:pPr>
        <w:pStyle w:val="BookText"/>
      </w:pPr>
      <w:r>
        <w:rPr>
          <w:rFonts w:ascii="IRNazanin" w:hAnsi="IRNazanin" w:eastAsia="IRNazanin" w:cs="IRNazanin"/>
          <w:lang w:bidi="fa-IR"/>
          <w:color w:val="111111"/>
          <w:sz w:val="28"/>
          <w:szCs w:val="28"/>
          <w:rtl/>
        </w:rPr>
        <w:t xml:space="preserve">۱۸ . قم؛ مرکز احیاء؛ شماره نسخه: ۲۷۶۲/۱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محمد حسین بن محمد علی کاخکی  خراسانی، تا:  شوال ۱۲۸۴ق؛ مصحح؛ در برگ اول فهرست مطالب به خط میرزا حسین بن محمد تقی نوری و استکتاب وی به سال 1287 آمده؛ مهر: کتابخانه ضياء الدین نوری (بیضی)؛ جلد: تیماج قرمز ضربی ۸۴گ (۱پ-۸۴ر)، ۱۹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[محدث ارموی مخ: ۱ - ۱۲۷]</w:t>
      </w:r>
    </w:p>
    <w:p>
      <w:pPr>
        <w:pStyle w:val="BookText"/>
      </w:pPr>
      <w:r>
        <w:rPr>
          <w:rFonts w:ascii="IRNazanin" w:hAnsi="IRNazanin" w:eastAsia="IRNazanin" w:cs="IRNazanin"/>
          <w:lang w:bidi="fa-IR"/>
          <w:color w:val="111111"/>
          <w:sz w:val="28"/>
          <w:szCs w:val="28"/>
          <w:rtl/>
        </w:rPr>
        <w:t xml:space="preserve">۱۹. تهران؛ مجلس؛ شماره نسخه ۷۲۸۴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۱۶ رجب ۱۲۸۵ق؛ جلد: تیماج مشكـی،  ۱۲۹گ، ۱۵ 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۲۵ - ۲۷۸]</w:t>
      </w:r>
    </w:p>
    <w:p>
      <w:pPr>
        <w:pStyle w:val="BookText"/>
      </w:pPr>
      <w:r>
        <w:rPr>
          <w:rFonts w:ascii="IRNazanin" w:hAnsi="IRNazanin" w:eastAsia="IRNazanin" w:cs="IRNazanin"/>
          <w:lang w:bidi="fa-IR"/>
          <w:color w:val="111111"/>
          <w:sz w:val="28"/>
          <w:szCs w:val="28"/>
          <w:rtl/>
        </w:rPr>
        <w:t xml:space="preserve">۲۰. یزد؛ سریزدی؛ شماره نسخه: ۱۹۰/۲</w:t>
      </w:r>
    </w:p>
    <w:p>
      <w:pPr>
        <w:pStyle w:val="BookText"/>
      </w:pPr>
      <w:r>
        <w:rPr>
          <w:rFonts w:ascii="IRNazanin" w:hAnsi="IRNazanin" w:eastAsia="IRNazanin" w:cs="IRNazanin"/>
          <w:lang w:bidi="fa-IR"/>
          <w:color w:val="111111"/>
          <w:sz w:val="28"/>
          <w:szCs w:val="28"/>
          <w:rtl/>
        </w:rPr>
        <w:t xml:space="preserve">خط: نسخ، کا: مهدی بن محمد علی یزدی، تا: یک شنبه ۴ صفر ۱۲۸۶ق؛ جلد: تیماج قهوه ای، ۱۶۸گ (84پ-۲۵۱ر)، ۱۲ سطر،</w:t>
      </w:r>
    </w:p>
    <w:p>
      <w:pPr>
        <w:pStyle w:val="BookText"/>
      </w:pPr>
      <w:r>
        <w:rPr>
          <w:rFonts w:ascii="IRNazanin" w:hAnsi="IRNazanin" w:eastAsia="IRNazanin" w:cs="IRNazanin"/>
          <w:lang w:bidi="fa-IR"/>
          <w:color w:val="111111"/>
          <w:sz w:val="28"/>
          <w:szCs w:val="28"/>
          <w:rtl/>
        </w:rPr>
        <w:t xml:space="preserve">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۱ – ۱۵۵]</w:t>
      </w:r>
    </w:p>
    <w:p>
      <w:pPr>
        <w:pStyle w:val="BookText"/>
      </w:pPr>
      <w:r>
        <w:rPr>
          <w:rFonts w:ascii="IRNazanin" w:hAnsi="IRNazanin" w:eastAsia="IRNazanin" w:cs="IRNazanin"/>
          <w:lang w:bidi="fa-IR"/>
          <w:color w:val="111111"/>
          <w:sz w:val="28"/>
          <w:szCs w:val="28"/>
          <w:rtl/>
        </w:rPr>
        <w:t xml:space="preserve">۲۱. مشهد؛ رضوی؛ شماره نسخه: ۲۱۰۵۰</w:t>
      </w:r>
    </w:p>
    <w:p>
      <w:pPr>
        <w:pStyle w:val="BookText"/>
      </w:pPr>
      <w:r>
        <w:rPr>
          <w:rFonts w:ascii="Amiri" w:hAnsi="Amiri" w:eastAsia="Amiri" w:cs="Amiri"/>
          <w:lang w:bidi="ar-SA"/>
          <w:color w:val="111111"/>
          <w:sz w:val="28"/>
          <w:szCs w:val="28"/>
          <w:rtl/>
        </w:rPr>
        <w:t xml:space="preserve">آغاز :برابر ۲؛ انجام: تم الكتاب الاستعانه في بدع الثلاثه و الحمد لله وحده</w:t>
      </w:r>
    </w:p>
    <w:p>
      <w:pPr>
        <w:pStyle w:val="BookText"/>
      </w:pPr>
      <w:r>
        <w:rPr>
          <w:rFonts w:ascii="IRNazanin" w:hAnsi="IRNazanin" w:eastAsia="IRNazanin" w:cs="IRNazanin"/>
          <w:lang w:bidi="fa-IR"/>
          <w:color w:val="111111"/>
          <w:sz w:val="28"/>
          <w:szCs w:val="28"/>
          <w:rtl/>
        </w:rPr>
        <w:t xml:space="preserve">خط: نستعليق ،كا: احمد بن محمدرضا حسینی خوانساری، تا:۱۳۳۴ق؛ اهدایی رهبری ۱۳۷۳ [رایانه]</w:t>
      </w:r>
    </w:p>
    <w:p>
      <w:pPr>
        <w:pStyle w:val="BookText"/>
      </w:pPr>
      <w:r>
        <w:rPr>
          <w:rFonts w:ascii="IRNazanin" w:hAnsi="IRNazanin" w:eastAsia="IRNazanin" w:cs="IRNazanin"/>
          <w:lang w:bidi="fa-IR"/>
          <w:color w:val="111111"/>
          <w:sz w:val="28"/>
          <w:szCs w:val="28"/>
          <w:rtl/>
        </w:rPr>
        <w:t xml:space="preserve">۲۲. مشهد؛ رضوی؛ شماره نسخه: ۲۱۰۵۱</w:t>
      </w:r>
    </w:p>
    <w:p>
      <w:pPr>
        <w:pStyle w:val="BookText"/>
      </w:pPr>
      <w:r>
        <w:rPr>
          <w:rFonts w:ascii="IRNazanin" w:hAnsi="IRNazanin" w:eastAsia="IRNazanin" w:cs="IRNazanin"/>
          <w:lang w:bidi="fa-IR"/>
          <w:color w:val="111111"/>
          <w:sz w:val="28"/>
          <w:szCs w:val="28"/>
          <w:rtl/>
        </w:rPr>
        <w:t xml:space="preserve">آغاز: برابر ۱؛ انجام: احمد الحسینی ۱۳۳۴ ... فائده ... الساريه الطاهره الباطنه</w:t>
      </w:r>
    </w:p>
    <w:p>
      <w:pPr>
        <w:pStyle w:val="BookText"/>
      </w:pPr>
      <w:r>
        <w:rPr>
          <w:rFonts w:ascii="IRNazanin" w:hAnsi="IRNazanin" w:eastAsia="IRNazanin" w:cs="IRNazanin"/>
          <w:lang w:bidi="fa-IR"/>
          <w:color w:val="111111"/>
          <w:sz w:val="28"/>
          <w:szCs w:val="28"/>
          <w:rtl/>
        </w:rPr>
        <w:t xml:space="preserve">خط: نستعليق ،كا: احمد بن محمدرضا حسینی خوانساری، تا: ۱۳۳۴ق ،کاغذ ،نخودی، جلد: مقوا، ۲۳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[رایانه]</w:t>
      </w:r>
    </w:p>
    <w:p>
      <w:pPr>
        <w:pStyle w:val="BookText"/>
      </w:pPr>
      <w:r>
        <w:rPr>
          <w:rFonts w:ascii="IRNazanin" w:hAnsi="IRNazanin" w:eastAsia="IRNazanin" w:cs="IRNazanin"/>
          <w:lang w:bidi="fa-IR"/>
          <w:color w:val="111111"/>
          <w:sz w:val="28"/>
          <w:szCs w:val="28"/>
          <w:rtl/>
        </w:rPr>
        <w:t xml:space="preserve">۲۳. مشهد؛ رضوی شماره نسخه: ۲۴۷۱۸</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خفی، بی کا، بی تا ؛واقف: علامه حامد حسین صاحب؛ کاغذ: حنایی ،سرخی،جلد: اسقاطی ۲۱ سطر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قطع: وزیری کوچک،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[رایانه]</w:t>
      </w:r>
    </w:p>
    <w:p>
      <w:pPr>
        <w:pStyle w:val="BookText"/>
      </w:pPr>
      <w:r>
        <w:rPr>
          <w:rFonts w:ascii="IRNazanin" w:hAnsi="IRNazanin" w:eastAsia="IRNazanin" w:cs="IRNazanin"/>
          <w:lang w:bidi="fa-IR"/>
          <w:color w:val="111111"/>
          <w:sz w:val="28"/>
          <w:szCs w:val="28"/>
          <w:rtl/>
        </w:rPr>
        <w:t xml:space="preserve">۲۴. قم؛ مرعشی؛ شماره نسخه: ۱۰۲۰۴/۲</w:t>
      </w:r>
    </w:p>
    <w:p>
      <w:pPr>
        <w:pStyle w:val="BookText"/>
      </w:pPr>
      <w:r>
        <w:rPr>
          <w:rFonts w:ascii="IRNazanin" w:hAnsi="IRNazanin" w:eastAsia="IRNazanin" w:cs="IRNazanin"/>
          <w:lang w:bidi="fa-IR"/>
          <w:color w:val="111111"/>
          <w:sz w:val="28"/>
          <w:szCs w:val="28"/>
          <w:rtl/>
        </w:rPr>
        <w:t xml:space="preserve">آغاز: برابر ۲</w:t>
      </w:r>
    </w:p>
    <w:p>
      <w:pPr>
        <w:pStyle w:val="BookText"/>
      </w:pPr>
      <w:r>
        <w:rPr>
          <w:rFonts w:ascii="IRNazanin" w:hAnsi="IRNazanin" w:eastAsia="IRNazanin" w:cs="IRNazanin"/>
          <w:lang w:bidi="fa-IR"/>
          <w:color w:val="111111"/>
          <w:sz w:val="28"/>
          <w:szCs w:val="28"/>
          <w:rtl/>
        </w:rPr>
        <w:t xml:space="preserve">خط: نسخ و نستعلیق، کا: ابو القاسم بن حسینعلی شریف قزوینی، بی تا ،جلد: تیماج مشکی عطف  پارچه، ۳۰گ (۶۵ر-۹۴ر)،</w:t>
      </w:r>
    </w:p>
    <w:p>
      <w:pPr>
        <w:pStyle w:val="BookText"/>
      </w:pPr>
      <w:r>
        <w:rPr>
          <w:rFonts w:ascii="IRNazanin" w:hAnsi="IRNazanin" w:eastAsia="IRNazanin" w:cs="IRNazanin"/>
          <w:lang w:bidi="fa-IR"/>
          <w:color w:val="111111"/>
          <w:sz w:val="28"/>
          <w:szCs w:val="28"/>
          <w:rtl/>
        </w:rPr>
        <w:t xml:space="preserve">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۲۶ - ۱۶۹]</w:t>
      </w:r>
    </w:p>
    <w:p>
      <w:pPr>
        <w:pStyle w:val="BookText"/>
      </w:pPr>
      <w:r>
        <w:rPr>
          <w:rFonts w:ascii="IRNazanin" w:hAnsi="IRNazanin" w:eastAsia="IRNazanin" w:cs="IRNazanin"/>
          <w:lang w:bidi="fa-IR"/>
          <w:color w:val="111111"/>
          <w:sz w:val="28"/>
          <w:szCs w:val="28"/>
          <w:rtl/>
        </w:rPr>
        <w:t xml:space="preserve">۲۵. تهران؛ مجلس؛ شماره نسخه: ۷۵۳۹/۲</w:t>
      </w:r>
    </w:p>
    <w:p>
      <w:pPr>
        <w:pStyle w:val="BookText"/>
      </w:pPr>
      <w:r>
        <w:rPr>
          <w:rFonts w:ascii="IRNazanin" w:hAnsi="IRNazanin" w:eastAsia="IRNazanin" w:cs="IRNazanin"/>
          <w:lang w:bidi="fa-IR"/>
          <w:color w:val="111111"/>
          <w:sz w:val="28"/>
          <w:szCs w:val="28"/>
          <w:rtl/>
        </w:rPr>
        <w:t xml:space="preserve">خط: نستعلیق، بی کا، بی تا ؛جلد: تیماج قهوه ای مجدول، ۲۱گ (۴۰پ-۲۰پ)، اندازه: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۲۶ - ۳۷]</w:t>
      </w:r>
    </w:p>
    <w:p>
      <w:pPr>
        <w:pStyle w:val="BookText"/>
      </w:pPr>
      <w:r>
        <w:rPr>
          <w:rFonts w:ascii="IRNazanin" w:hAnsi="IRNazanin" w:eastAsia="IRNazanin" w:cs="IRNazanin"/>
          <w:lang w:bidi="fa-IR"/>
          <w:color w:val="111111"/>
          <w:sz w:val="28"/>
          <w:szCs w:val="28"/>
          <w:rtl/>
        </w:rPr>
        <w:t xml:space="preserve">« استغاثه ضعفا » دادخواهی ضعفا</w:t>
      </w:r>
    </w:p>
    <w:p>
      <w:pPr>
        <w:pStyle w:val="Heading3"/>
      </w:pPr>
      <w:bookmarkStart w:id="1208" w:name="_Toc730"/>
      <w:r>
        <w:t>الاستغفارات / عربي</w:t>
      </w:r>
      <w:bookmarkEnd w:id="1208"/>
    </w:p>
    <w:p>
      <w:pPr>
        <w:pStyle w:val="BookText"/>
      </w:pPr>
      <w:r>
        <w:rPr>
          <w:rFonts w:ascii="Times New Roman" w:hAnsi="Times New Roman" w:eastAsia="Times New Roman" w:cs="Times New Roman"/>
          <w:lang w:val="en-US" w:bidi="en-US"/>
          <w:color w:val="111111"/>
          <w:sz w:val="28"/>
          <w:szCs w:val="28"/>
          <w:rtl/>
        </w:rPr>
        <w:t xml:space="preserve">al-istiġfārāt</w:t>
      </w:r>
    </w:p>
    <w:p>
      <w:pPr>
        <w:pStyle w:val="BookText"/>
      </w:pPr>
      <w:r>
        <w:rPr>
          <w:rFonts w:ascii="IRNazanin" w:hAnsi="IRNazanin" w:eastAsia="IRNazanin" w:cs="IRNazanin"/>
          <w:lang w:bidi="fa-IR"/>
          <w:color w:val="111111"/>
          <w:sz w:val="28"/>
          <w:szCs w:val="28"/>
          <w:rtl/>
        </w:rPr>
        <w:t xml:space="preserve">حسن بصری، ۲۱ - ۱۱۰ قمری</w:t>
      </w:r>
    </w:p>
    <w:p>
      <w:pPr>
        <w:pStyle w:val="BookText"/>
      </w:pPr>
      <w:r>
        <w:rPr>
          <w:rFonts w:ascii="Times New Roman" w:hAnsi="Times New Roman" w:eastAsia="Times New Roman" w:cs="Times New Roman"/>
          <w:lang w:val="en-US" w:bidi="en-US"/>
          <w:color w:val="111111"/>
          <w:sz w:val="28"/>
          <w:szCs w:val="28"/>
          <w:rtl/>
        </w:rPr>
        <w:t xml:space="preserve">(hasan-e basrī (643 - 729)</w:t>
      </w:r>
    </w:p>
    <w:p>
      <w:pPr>
        <w:pStyle w:val="BookText"/>
      </w:pPr>
      <w:r>
        <w:rPr>
          <w:rFonts w:ascii="IRNazanin" w:hAnsi="IRNazanin" w:eastAsia="IRNazanin" w:cs="IRNazanin"/>
          <w:lang w:bidi="fa-IR"/>
          <w:color w:val="111111"/>
          <w:sz w:val="28"/>
          <w:szCs w:val="28"/>
          <w:rtl/>
        </w:rPr>
        <w:t xml:space="preserve">تهران؛ مجلس؛ شماره نسخه ۱۲۴۵۴/۱</w:t>
      </w:r>
    </w:p>
    <w:p>
      <w:pPr>
        <w:pStyle w:val="BookText"/>
      </w:pPr>
      <w:r>
        <w:rPr>
          <w:rFonts w:ascii="IRNazanin" w:hAnsi="IRNazanin" w:eastAsia="IRNazanin" w:cs="IRNazanin"/>
          <w:lang w:bidi="fa-IR"/>
          <w:color w:val="111111"/>
          <w:sz w:val="28"/>
          <w:szCs w:val="28"/>
          <w:rtl/>
        </w:rPr>
        <w:t xml:space="preserve">استغفارات منسوب به حسن بصری؛ خط: ثلث  زیبا، کا: حافظ محمد المعروف امام مردایه  السلطان مرادخان، تا: ۹۸۲ق؛ مجدول مذهب مرصع، جلد: تیماج دورو، سوخت دارای ترنج با سر با نقش گل و بوته، ۲۱ ص (1-21)، ۱۳ سطر، اندازه: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  سم[ف ۳۵ - ۴۰۸]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199" w:name="pg20365_260294"/>
    <w:bookmarkEnd w:id="199"/>
    <w:p>
      <w:pPr>
        <w:pStyle w:val="Heading3"/>
      </w:pPr>
      <w:bookmarkStart w:id="1209" w:name="_Toc731"/>
      <w:r>
        <w:t>استغفار (منظوم) / فقه / فارسی</w:t>
      </w:r>
      <w:bookmarkEnd w:id="1209"/>
    </w:p>
    <w:p>
      <w:pPr>
        <w:pStyle w:val="BookText"/>
      </w:pPr>
      <w:r>
        <w:rPr>
          <w:rFonts w:ascii="Times New Roman" w:hAnsi="Times New Roman" w:eastAsia="Times New Roman" w:cs="Times New Roman"/>
          <w:lang w:val="en-US" w:bidi="en-US"/>
          <w:color w:val="111111"/>
          <w:sz w:val="28"/>
          <w:szCs w:val="28"/>
          <w:rtl/>
        </w:rPr>
        <w:t xml:space="preserve">(esteqfār (mnz.)</w:t>
      </w:r>
    </w:p>
    <w:p>
      <w:pPr>
        <w:pStyle w:val="BookText"/>
      </w:pPr>
      <w:r>
        <w:rPr>
          <w:rFonts w:ascii="IRNazanin" w:hAnsi="IRNazanin" w:eastAsia="IRNazanin" w:cs="IRNazanin"/>
          <w:lang w:bidi="fa-IR"/>
          <w:color w:val="111111"/>
          <w:sz w:val="28"/>
          <w:szCs w:val="28"/>
          <w:rtl/>
        </w:rPr>
        <w:t xml:space="preserve">مشهد؛ رضوی؛ شماره نسخه:ض  12964</w:t>
      </w:r>
    </w:p>
    <w:p>
      <w:pPr>
        <w:pStyle w:val="BookText"/>
      </w:pPr>
      <w:r>
        <w:rPr>
          <w:rFonts w:ascii="IRNazanin" w:hAnsi="IRNazanin" w:eastAsia="IRNazanin" w:cs="IRNazanin"/>
          <w:lang w:bidi="fa-IR"/>
          <w:color w:val="111111"/>
          <w:sz w:val="28"/>
          <w:szCs w:val="28"/>
          <w:rtl/>
        </w:rPr>
        <w:t xml:space="preserve">آغاز: یا رب بسی کردم گناه اعمال خود کردم تباه؛ انجام: هر که خواند دعا طمع دارم زانکه من بنده گنه کارم</w:t>
      </w:r>
    </w:p>
    <w:p>
      <w:pPr>
        <w:pStyle w:val="BookText"/>
      </w:pPr>
      <w:r>
        <w:rPr>
          <w:rFonts w:ascii="IRNazanin" w:hAnsi="IRNazanin" w:eastAsia="IRNazanin" w:cs="IRNazanin"/>
          <w:lang w:bidi="fa-IR"/>
          <w:color w:val="111111"/>
          <w:sz w:val="28"/>
          <w:szCs w:val="28"/>
          <w:rtl/>
        </w:rPr>
        <w:t xml:space="preserve">خط: نسخ، بی کا، بی تا [الفبائی: ۵۸۹]</w:t>
      </w:r>
    </w:p>
    <w:p>
      <w:pPr>
        <w:pStyle w:val="Heading3"/>
      </w:pPr>
      <w:bookmarkStart w:id="1210" w:name="_Toc732"/>
      <w:r>
        <w:t>استغفار نامه / متفرقه / عربی</w:t>
      </w:r>
      <w:bookmarkEnd w:id="1210"/>
    </w:p>
    <w:p>
      <w:pPr>
        <w:pStyle w:val="BookText"/>
      </w:pPr>
      <w:r>
        <w:rPr>
          <w:rFonts w:ascii="Times New Roman" w:hAnsi="Times New Roman" w:eastAsia="Times New Roman" w:cs="Times New Roman"/>
          <w:lang w:val="en-US" w:bidi="en-US"/>
          <w:color w:val="111111"/>
          <w:sz w:val="28"/>
          <w:szCs w:val="28"/>
          <w:rtl/>
        </w:rPr>
        <w:t xml:space="preserve">esteqfār-nāme</w:t>
      </w:r>
    </w:p>
    <w:p>
      <w:pPr>
        <w:pStyle w:val="BookText"/>
      </w:pPr>
      <w:r>
        <w:rPr>
          <w:rFonts w:ascii="IRNazanin" w:hAnsi="IRNazanin" w:eastAsia="IRNazanin" w:cs="IRNazanin"/>
          <w:lang w:bidi="fa-IR"/>
          <w:color w:val="111111"/>
          <w:sz w:val="28"/>
          <w:szCs w:val="28"/>
          <w:rtl/>
        </w:rPr>
        <w:t xml:space="preserve">رساله ای است شامل: ۱. خطبه ای به عربی از قول حضرت رسـول (صلّی اللَّهِ علیه وَ آلِهِ وَ سَلَّمَ )؛ ۲ خطبه دیگری به عربی شامل صلوات بر پیغمبر (صلّی اللَّهِ علیه وَ آلِهِ وَ سَلَّمَ ) ؛3. استغفار نامه به عربی؛ ۴. طریقه بدوح با هفت جدول ارقام  به زبان فارسی</w:t>
      </w:r>
    </w:p>
    <w:p>
      <w:pPr>
        <w:pStyle w:val="BookText"/>
      </w:pPr>
      <w:r>
        <w:rPr>
          <w:rFonts w:ascii="IRNazanin" w:hAnsi="IRNazanin" w:eastAsia="IRNazanin" w:cs="IRNazanin"/>
          <w:lang w:bidi="fa-IR"/>
          <w:color w:val="111111"/>
          <w:sz w:val="28"/>
          <w:szCs w:val="28"/>
          <w:rtl/>
        </w:rPr>
        <w:t xml:space="preserve">شیراز؛ شاهچراغ؛ شماره نسخه: ۹۶</w:t>
      </w:r>
    </w:p>
    <w:p>
      <w:pPr>
        <w:pStyle w:val="BookText"/>
      </w:pPr>
      <w:r>
        <w:rPr>
          <w:rFonts w:ascii="IRNazanin" w:hAnsi="IRNazanin" w:eastAsia="IRNazanin" w:cs="IRNazanin"/>
          <w:lang w:bidi="fa-IR"/>
          <w:color w:val="111111"/>
          <w:sz w:val="28"/>
          <w:szCs w:val="28"/>
          <w:rtl/>
        </w:rPr>
        <w:t xml:space="preserve">خط: نسخ، بی کا، بی تا [ف: ۱ - ۳۱۰]</w:t>
      </w:r>
    </w:p>
    <w:p>
      <w:pPr>
        <w:pStyle w:val="Heading3"/>
      </w:pPr>
      <w:bookmarkStart w:id="1211" w:name="_Toc733"/>
      <w:r>
        <w:t>استغفار نامه و مناجات نامه / شعر / فارسی</w:t>
      </w:r>
      <w:bookmarkEnd w:id="1211"/>
    </w:p>
    <w:p>
      <w:pPr>
        <w:pStyle w:val="BookText"/>
      </w:pPr>
      <w:r>
        <w:rPr>
          <w:rFonts w:ascii="Times New Roman" w:hAnsi="Times New Roman" w:eastAsia="Times New Roman" w:cs="Times New Roman"/>
          <w:lang w:val="en-US" w:bidi="en-US"/>
          <w:color w:val="111111"/>
          <w:sz w:val="28"/>
          <w:szCs w:val="28"/>
          <w:rtl/>
        </w:rPr>
        <w:t xml:space="preserve">esteqfār-nāme va monājāt-nāme</w:t>
      </w:r>
    </w:p>
    <w:p>
      <w:pPr>
        <w:pStyle w:val="BookText"/>
      </w:pPr>
      <w:r>
        <w:rPr>
          <w:rFonts w:ascii="IRNazanin" w:hAnsi="IRNazanin" w:eastAsia="IRNazanin" w:cs="IRNazanin"/>
          <w:lang w:bidi="fa-IR"/>
          <w:color w:val="111111"/>
          <w:sz w:val="28"/>
          <w:szCs w:val="28"/>
          <w:rtl/>
        </w:rPr>
        <w:t xml:space="preserve">دو منظومه کوتاه فارسی است در استغفار و مناجات که خدا را به چهارده معصوم قسم می دهد و حاجاتی طلب می کند.</w:t>
      </w:r>
    </w:p>
    <w:p>
      <w:pPr>
        <w:pStyle w:val="BookText"/>
      </w:pPr>
      <w:r>
        <w:rPr>
          <w:rFonts w:ascii="IRNazanin" w:hAnsi="IRNazanin" w:eastAsia="IRNazanin" w:cs="IRNazanin"/>
          <w:lang w:bidi="fa-IR"/>
          <w:color w:val="111111"/>
          <w:sz w:val="28"/>
          <w:szCs w:val="28"/>
          <w:rtl/>
        </w:rPr>
        <w:t xml:space="preserve">قم؛ طبسی؛ شماره نسخه: ۷۱۲</w:t>
      </w:r>
    </w:p>
    <w:p>
      <w:pPr>
        <w:pStyle w:val="BookText"/>
      </w:pPr>
      <w:r>
        <w:rPr>
          <w:rFonts w:ascii="IRNazanin" w:hAnsi="IRNazanin" w:eastAsia="IRNazanin" w:cs="IRNazanin"/>
          <w:lang w:bidi="fa-IR"/>
          <w:color w:val="111111"/>
          <w:sz w:val="28"/>
          <w:szCs w:val="28"/>
          <w:rtl/>
        </w:rPr>
        <w:t xml:space="preserve">آغاز: بسمله یا رب بحق مصطفی *** آن شافع روز جزا / بگـذر زعصیان گناه *** استغفر الله العظيم؛ انجام: مناجات ندارم غیر تو يا رب پناهی *** اغثنی یا غیاث المستغيثين</w:t>
      </w:r>
    </w:p>
    <w:p>
      <w:pPr>
        <w:pStyle w:val="BookText"/>
      </w:pPr>
      <w:r>
        <w:rPr>
          <w:rFonts w:ascii="IRNazanin" w:hAnsi="IRNazanin" w:eastAsia="IRNazanin" w:cs="IRNazanin"/>
          <w:lang w:bidi="fa-IR"/>
          <w:color w:val="111111"/>
          <w:sz w:val="28"/>
          <w:szCs w:val="28"/>
          <w:rtl/>
        </w:rPr>
        <w:t xml:space="preserve">خط: نسخ، بی کا، تا: قرن ۱۴؛ مجدول، ۹گ، ۱۲ سطر، اندازه:۱۰/۵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۱۶/۵سم [طبسی مخ: ۱ - ۴۰]</w:t>
      </w:r>
    </w:p>
    <w:p>
      <w:pPr>
        <w:pStyle w:val="Heading3"/>
      </w:pPr>
      <w:bookmarkStart w:id="1212" w:name="_Toc734"/>
      <w:r>
        <w:t>الاستغناء في علوم الدین / تفسیر / عربی</w:t>
      </w:r>
      <w:bookmarkEnd w:id="1212"/>
    </w:p>
    <w:p>
      <w:pPr>
        <w:pStyle w:val="BookText"/>
      </w:pPr>
      <w:r>
        <w:rPr>
          <w:rFonts w:ascii="Times New Roman" w:hAnsi="Times New Roman" w:eastAsia="Times New Roman" w:cs="Times New Roman"/>
          <w:lang w:val="en-US" w:bidi="en-US"/>
          <w:color w:val="111111"/>
          <w:sz w:val="28"/>
          <w:szCs w:val="28"/>
          <w:rtl/>
        </w:rPr>
        <w:t xml:space="preserve">al-istiqnā’ fī ‘ulūm-id-dīn</w:t>
      </w:r>
    </w:p>
    <w:p>
      <w:pPr>
        <w:pStyle w:val="BookText"/>
      </w:pPr>
      <w:r>
        <w:rPr>
          <w:rFonts w:ascii="IRNazanin" w:hAnsi="IRNazanin" w:eastAsia="IRNazanin" w:cs="IRNazanin"/>
          <w:lang w:bidi="fa-IR"/>
          <w:color w:val="111111"/>
          <w:sz w:val="28"/>
          <w:szCs w:val="28"/>
          <w:rtl/>
        </w:rPr>
        <w:t xml:space="preserve">ادفوی، محمد بن علی، - ۳۸۸ قمری</w:t>
      </w:r>
    </w:p>
    <w:p>
      <w:pPr>
        <w:pStyle w:val="BookText"/>
      </w:pPr>
      <w:r>
        <w:rPr>
          <w:rFonts w:ascii="Times New Roman" w:hAnsi="Times New Roman" w:eastAsia="Times New Roman" w:cs="Times New Roman"/>
          <w:lang w:val="en-US" w:bidi="en-US"/>
          <w:color w:val="111111"/>
          <w:sz w:val="28"/>
          <w:szCs w:val="28"/>
          <w:rtl/>
        </w:rPr>
        <w:t xml:space="preserve">(odfovī, mohammad ebn-e ‘alī (- 999)</w:t>
      </w:r>
    </w:p>
    <w:p>
      <w:pPr>
        <w:pStyle w:val="BookText"/>
      </w:pPr>
      <w:r>
        <w:rPr>
          <w:rFonts w:ascii="IRNazanin" w:hAnsi="IRNazanin" w:eastAsia="IRNazanin" w:cs="IRNazanin"/>
          <w:lang w:bidi="fa-IR"/>
          <w:color w:val="111111"/>
          <w:sz w:val="28"/>
          <w:szCs w:val="28"/>
          <w:rtl/>
        </w:rPr>
        <w:t xml:space="preserve">تفسیر کهنی است که مفسر ابتدا اعراب آیات را بیان می کند بعد از آن معنی آیات را به صورت مزجی ذکر می کند این تفسیر در ۱۲۰ جزء بوده است. در آن از ابوجعفر طبری،ابن كثير، ابوعمرو، ابن عامر، عاصم ،حفص، کسائی، ابوجعفر نحاس، و حمزه نقل می کند.</w:t>
      </w:r>
    </w:p>
    <w:p>
      <w:pPr>
        <w:pStyle w:val="BookText"/>
      </w:pPr>
      <w:r>
        <w:rPr>
          <w:rFonts w:ascii="IRNazanin" w:hAnsi="IRNazanin" w:eastAsia="IRNazanin" w:cs="IRNazanin"/>
          <w:lang w:bidi="fa-IR"/>
          <w:color w:val="111111"/>
          <w:sz w:val="28"/>
          <w:szCs w:val="28"/>
          <w:rtl/>
        </w:rPr>
        <w:t xml:space="preserve">[سزگین ۱۰۷/۱؛ معجم مصنفات قرآن کریم (۱۷۷/۳]</w:t>
      </w:r>
    </w:p>
    <w:p>
      <w:pPr>
        <w:pStyle w:val="BookText"/>
      </w:pPr>
      <w:r>
        <w:rPr>
          <w:rFonts w:ascii="IRNazanin" w:hAnsi="IRNazanin" w:eastAsia="IRNazanin" w:cs="IRNazanin"/>
          <w:lang w:bidi="fa-IR"/>
          <w:color w:val="111111"/>
          <w:sz w:val="28"/>
          <w:szCs w:val="28"/>
          <w:rtl/>
        </w:rPr>
        <w:t xml:space="preserve">تهران؛ مجلس؛ شماره نسخه: ۱۲۰۲۴</w:t>
      </w:r>
    </w:p>
    <w:p>
      <w:pPr>
        <w:pStyle w:val="BookText"/>
      </w:pPr>
      <w:r>
        <w:rPr>
          <w:rFonts w:ascii="IRNazanin" w:hAnsi="IRNazanin" w:eastAsia="IRNazanin" w:cs="IRNazanin"/>
          <w:lang w:bidi="fa-IR"/>
          <w:color w:val="111111"/>
          <w:sz w:val="28"/>
          <w:szCs w:val="28"/>
          <w:rtl/>
        </w:rPr>
        <w:t xml:space="preserve">آغاز: بعذاب خفض بالباء من قبله خفض من والهاء خفض باضافة قبل ... لقالوا جواب لو ربنا ندا مضاف لو لا ارسلت ای هلا ارسـلت</w:t>
      </w:r>
    </w:p>
    <w:p>
      <w:pPr>
        <w:pStyle w:val="BookText"/>
      </w:pPr>
      <w:r>
        <w:rPr>
          <w:rFonts w:ascii="Amiri" w:hAnsi="Amiri" w:eastAsia="Amiri" w:cs="Amiri"/>
          <w:lang w:bidi="ar-SA"/>
          <w:color w:val="111111"/>
          <w:sz w:val="28"/>
          <w:szCs w:val="28"/>
          <w:rtl/>
        </w:rPr>
        <w:t xml:space="preserve">الينا ارسلت فعل و فاعل؛ انجام: اياكم باتقائه و ما اسئلكم على نصحى لكم لكم و امرى اياكم باتقاء عقاب ربكم بطاعته بما امركم ونها كم من ثواب.</w:t>
      </w:r>
    </w:p>
    <w:p>
      <w:pPr>
        <w:pStyle w:val="BookText"/>
      </w:pPr>
      <w:r>
        <w:rPr>
          <w:rFonts w:ascii="IRNazanin" w:hAnsi="IRNazanin" w:eastAsia="IRNazanin" w:cs="IRNazanin"/>
          <w:lang w:bidi="fa-IR"/>
          <w:color w:val="111111"/>
          <w:sz w:val="28"/>
          <w:szCs w:val="28"/>
          <w:rtl/>
        </w:rPr>
        <w:t xml:space="preserve">تفسیر آیه ۱۳۳ سوره طه تا اواخر سوره شعرا است و از وسط نسخه حدود سی ورق ساقط شده است؛ خط: نسخ، بی کا، بی تا؛ تملك: محمد الكاظم الحسنى الحسينى الطباطبائی با مهر بیضوی ناخوانا؛ جلد: تیماج ،قرمز، ۲۲۸گ ۲۰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۳۵ - ۴۴]</w:t>
      </w:r>
    </w:p>
    <w:p>
      <w:pPr>
        <w:pStyle w:val="Heading3"/>
      </w:pPr>
      <w:bookmarkStart w:id="1213" w:name="_Toc735"/>
      <w:r>
        <w:t>استفاده از ماء مبارک / متفرقه</w:t>
      </w:r>
      <w:bookmarkEnd w:id="1213"/>
    </w:p>
    <w:p>
      <w:pPr>
        <w:pStyle w:val="BookText"/>
      </w:pPr>
      <w:r>
        <w:rPr>
          <w:rFonts w:ascii="Times New Roman" w:hAnsi="Times New Roman" w:eastAsia="Times New Roman" w:cs="Times New Roman"/>
          <w:lang w:val="en-US" w:bidi="en-US"/>
          <w:color w:val="111111"/>
          <w:sz w:val="28"/>
          <w:szCs w:val="28"/>
          <w:rtl/>
        </w:rPr>
        <w:t xml:space="preserve">estefāde az mā'-e mobārak</w:t>
      </w:r>
    </w:p>
    <w:p>
      <w:pPr>
        <w:pStyle w:val="BookText"/>
      </w:pPr>
      <w:r>
        <w:rPr>
          <w:rFonts w:ascii="IRNazanin" w:hAnsi="IRNazanin" w:eastAsia="IRNazanin" w:cs="IRNazanin"/>
          <w:lang w:bidi="fa-IR"/>
          <w:color w:val="111111"/>
          <w:sz w:val="28"/>
          <w:szCs w:val="28"/>
          <w:rtl/>
        </w:rPr>
        <w:t xml:space="preserve">تهران؛ مفتاح؛ شماره نسخه: ۳۳۶/۹</w:t>
      </w:r>
    </w:p>
    <w:p>
      <w:pPr>
        <w:pStyle w:val="BookText"/>
      </w:pPr>
      <w:r>
        <w:rPr>
          <w:rFonts w:ascii="IRNazanin" w:hAnsi="IRNazanin" w:eastAsia="IRNazanin" w:cs="IRNazanin"/>
          <w:lang w:bidi="fa-IR"/>
          <w:color w:val="111111"/>
          <w:sz w:val="28"/>
          <w:szCs w:val="28"/>
          <w:rtl/>
        </w:rPr>
        <w:t xml:space="preserve">خط: نستعلیق، بی کا، بی تا، ۷ ص [نشریه: ۷ - ۲۳۴]</w:t>
      </w:r>
    </w:p>
    <w:p>
      <w:pPr>
        <w:pStyle w:val="Heading3"/>
      </w:pPr>
      <w:bookmarkStart w:id="1214" w:name="_Toc736"/>
      <w:r>
        <w:t>الاستفاضة / اصول فقه عربی</w:t>
      </w:r>
      <w:bookmarkEnd w:id="1214"/>
    </w:p>
    <w:p>
      <w:pPr>
        <w:pStyle w:val="BookText"/>
      </w:pPr>
      <w:r>
        <w:rPr>
          <w:rFonts w:ascii="Times New Roman" w:hAnsi="Times New Roman" w:eastAsia="Times New Roman" w:cs="Times New Roman"/>
          <w:lang w:val="en-US" w:bidi="en-US"/>
          <w:color w:val="111111"/>
          <w:sz w:val="28"/>
          <w:szCs w:val="28"/>
          <w:rtl/>
        </w:rPr>
        <w:t xml:space="preserve">al-istifada</w:t>
      </w:r>
    </w:p>
    <w:p>
      <w:pPr>
        <w:pStyle w:val="BookText"/>
      </w:pPr>
      <w:r>
        <w:rPr>
          <w:rFonts w:ascii="IRNazanin" w:hAnsi="IRNazanin" w:eastAsia="IRNazanin" w:cs="IRNazanin"/>
          <w:lang w:bidi="fa-IR"/>
          <w:color w:val="111111"/>
          <w:sz w:val="28"/>
          <w:szCs w:val="28"/>
          <w:rtl/>
        </w:rPr>
        <w:t xml:space="preserve">بارفروشی  مازندرانی، محمد بن مقیم، ۱۱۹۶ – ۱۲۸۱  قمری</w:t>
      </w:r>
    </w:p>
    <w:p>
      <w:pPr>
        <w:pStyle w:val="BookText"/>
      </w:pPr>
      <w:r>
        <w:rPr>
          <w:rFonts w:ascii="Times New Roman" w:hAnsi="Times New Roman" w:eastAsia="Times New Roman" w:cs="Times New Roman"/>
          <w:lang w:val="en-US" w:bidi="en-US"/>
          <w:color w:val="111111"/>
          <w:sz w:val="28"/>
          <w:szCs w:val="28"/>
          <w:rtl/>
        </w:rPr>
        <w:t xml:space="preserve">bārforūšī mazandarānī, mohammad ebn-e moqīm</w:t>
      </w:r>
    </w:p>
    <w:p>
      <w:pPr>
        <w:pStyle w:val="BookText"/>
      </w:pPr>
      <w:r>
        <w:rPr>
          <w:rFonts w:ascii="Times New Roman" w:hAnsi="Times New Roman" w:eastAsia="Times New Roman" w:cs="Times New Roman"/>
          <w:lang w:val="en-US" w:bidi="en-US"/>
          <w:color w:val="111111"/>
          <w:sz w:val="28"/>
          <w:szCs w:val="28"/>
          <w:rtl/>
        </w:rPr>
        <w:t xml:space="preserve">(1782-1865)</w:t>
      </w:r>
    </w:p>
    <w:p>
      <w:pPr>
        <w:pStyle w:val="BookText"/>
      </w:pPr>
      <w:r>
        <w:rPr>
          <w:rFonts w:ascii="IRNazanin" w:hAnsi="IRNazanin" w:eastAsia="IRNazanin" w:cs="IRNazanin"/>
          <w:lang w:bidi="fa-IR"/>
          <w:color w:val="111111"/>
          <w:sz w:val="28"/>
          <w:szCs w:val="28"/>
          <w:rtl/>
        </w:rPr>
        <w:t xml:space="preserve">مسئله حصول استفاضه که دون تواتر و فوق خبر واحد می باشد، را از قول شهود و تعداد معتبر در آن به نحو نسبتاً مبسوطی شرح و گزارش کرده است.</w:t>
      </w:r>
    </w:p>
    <w:p>
      <w:pPr>
        <w:pStyle w:val="BookText"/>
      </w:pPr>
      <w:r>
        <w:rPr>
          <w:rFonts w:ascii="Amiri" w:hAnsi="Amiri" w:eastAsia="Amiri" w:cs="Amiri"/>
          <w:lang w:bidi="ar-SA"/>
          <w:color w:val="111111"/>
          <w:sz w:val="28"/>
          <w:szCs w:val="28"/>
          <w:rtl/>
        </w:rPr>
        <w:t xml:space="preserve">آغاز: الحمد لله رب العالمين ... و بعد فيقول ... انى فى حال تشتت البال تخلصاً عنه أردت أن اشتغل بتحرير مسائل متعلقة  بالاستفاضة.</w:t>
      </w:r>
    </w:p>
    <w:p>
      <w:pPr>
        <w:pStyle w:val="BookText"/>
      </w:pPr>
      <w:r>
        <w:rPr>
          <w:rFonts w:ascii="Amiri" w:hAnsi="Amiri" w:eastAsia="Amiri" w:cs="Amiri"/>
          <w:lang w:bidi="ar-SA"/>
          <w:color w:val="111111"/>
          <w:sz w:val="28"/>
          <w:szCs w:val="28"/>
          <w:rtl/>
        </w:rPr>
        <w:t xml:space="preserve">بابل؛ خاتم الانبياء؛ شماره نسخه: ۲۷۲/۳</w:t>
      </w:r>
    </w:p>
    <w:p>
      <w:pPr>
        <w:pStyle w:val="BookText"/>
      </w:pPr>
      <w:r>
        <w:rPr>
          <w:rFonts w:ascii="Amiri" w:hAnsi="Amiri" w:eastAsia="Amiri" w:cs="Amiri"/>
          <w:lang w:bidi="ar-SA"/>
          <w:color w:val="111111"/>
          <w:sz w:val="28"/>
          <w:szCs w:val="28"/>
          <w:rtl/>
        </w:rPr>
        <w:t xml:space="preserve">آغاز: برابر؛ انجام: ربنا احكم بيننا و بين قومنا بالحق و انت خير  الحاكمين.</w:t>
      </w:r>
    </w:p>
    <w:p>
      <w:pPr>
        <w:pStyle w:val="BookText"/>
      </w:pPr>
      <w:r>
        <w:rPr>
          <w:rFonts w:ascii="IRNazanin" w:hAnsi="IRNazanin" w:eastAsia="IRNazanin" w:cs="IRNazanin"/>
          <w:lang w:bidi="fa-IR"/>
          <w:color w:val="111111"/>
          <w:sz w:val="28"/>
          <w:szCs w:val="28"/>
          <w:rtl/>
        </w:rPr>
        <w:t xml:space="preserve">خط: تحریری، کا : - مؤلف، بی تا ،مصحح، با اضافات در حاشیه؛ واقف: يعقوب بن مقيم درزی بارفروشی مازندرانی (برادر مؤلف)، ۱۲۶۱؛ ۴۰ ص،( ۲۴۴-۲۸۳)، ۲۴ 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۱۹۴]</w:t>
      </w:r>
    </w:p>
    <w:p>
      <w:pPr>
        <w:pStyle w:val="BookText"/>
      </w:pPr>
      <w:r>
        <w:rPr>
          <w:rFonts w:ascii="IRNazanin" w:hAnsi="IRNazanin" w:eastAsia="IRNazanin" w:cs="IRNazanin"/>
          <w:lang w:bidi="fa-IR"/>
          <w:color w:val="111111"/>
          <w:sz w:val="28"/>
          <w:szCs w:val="28"/>
          <w:rtl/>
        </w:rPr>
        <w:t xml:space="preserve">قم؛ مرکز احیاء؛ شماره نسخه: ۱۷۹۲/۳</w:t>
      </w:r>
    </w:p>
    <w:p>
      <w:pPr>
        <w:pStyle w:val="BookText"/>
      </w:pPr>
      <w:r>
        <w:rPr>
          <w:rFonts w:ascii="IRNazanin" w:hAnsi="IRNazanin" w:eastAsia="IRNazanin" w:cs="IRNazanin"/>
          <w:lang w:bidi="fa-IR"/>
          <w:color w:val="111111"/>
          <w:sz w:val="28"/>
          <w:szCs w:val="28"/>
          <w:rtl/>
        </w:rPr>
        <w:t xml:space="preserve">نسخه اصل: همان نسخه بالا [ عکسی ف: ۵ - ۲۶۲]</w:t>
      </w:r>
    </w:p>
    <w:p>
      <w:pPr>
        <w:pStyle w:val="Heading3"/>
      </w:pPr>
      <w:bookmarkStart w:id="1215" w:name="_Toc737"/>
      <w:r>
        <w:t>استفتاء / فقه / عربی</w:t>
      </w:r>
      <w:bookmarkEnd w:id="1215"/>
    </w:p>
    <w:p>
      <w:pPr>
        <w:pStyle w:val="BookText"/>
      </w:pPr>
      <w:r>
        <w:rPr>
          <w:rFonts w:ascii="Times New Roman" w:hAnsi="Times New Roman" w:eastAsia="Times New Roman" w:cs="Times New Roman"/>
          <w:lang w:val="en-US" w:bidi="en-US"/>
          <w:color w:val="111111"/>
          <w:sz w:val="28"/>
          <w:szCs w:val="28"/>
          <w:rtl/>
        </w:rPr>
        <w:t xml:space="preserve">istiftā’</w:t>
      </w:r>
    </w:p>
    <w:p>
      <w:pPr>
        <w:pStyle w:val="BookText"/>
      </w:pPr>
      <w:r>
        <w:rPr>
          <w:rFonts w:ascii="IRNazanin" w:hAnsi="IRNazanin" w:eastAsia="IRNazanin" w:cs="IRNazanin"/>
          <w:lang w:bidi="fa-IR"/>
          <w:color w:val="111111"/>
          <w:sz w:val="28"/>
          <w:szCs w:val="28"/>
          <w:rtl/>
        </w:rPr>
        <w:t xml:space="preserve">قلعی، عبدالملک بن عبدالمنعم، – ۱۲۲۹قمری</w:t>
      </w:r>
    </w:p>
    <w:p>
      <w:pPr>
        <w:pStyle w:val="BookText"/>
      </w:pPr>
      <w:r>
        <w:rPr>
          <w:rFonts w:ascii="Times New Roman" w:hAnsi="Times New Roman" w:eastAsia="Times New Roman" w:cs="Times New Roman"/>
          <w:lang w:val="en-US" w:bidi="en-US"/>
          <w:color w:val="111111"/>
          <w:sz w:val="28"/>
          <w:szCs w:val="28"/>
          <w:rtl/>
        </w:rPr>
        <w:t xml:space="preserve">(qal'ī, ‘abd-ol-malek ebn-e 'abd-ol-mona'em (- 1814)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00" w:name="pg20365_260295"/>
    <w:bookmarkEnd w:id="200"/>
    <w:p>
      <w:pPr>
        <w:pStyle w:val="BookText"/>
      </w:pPr>
      <w:r>
        <w:rPr>
          <w:rFonts w:ascii="IRNazanin" w:hAnsi="IRNazanin" w:eastAsia="IRNazanin" w:cs="IRNazanin"/>
          <w:lang w:bidi="fa-IR"/>
          <w:color w:val="111111"/>
          <w:sz w:val="28"/>
          <w:szCs w:val="28"/>
          <w:rtl/>
        </w:rPr>
        <w:t xml:space="preserve">تهران؛ مجلس؛ شماره نسخه: ۱۰۲۸۲/۱</w:t>
      </w:r>
    </w:p>
    <w:p>
      <w:pPr>
        <w:pStyle w:val="BookText"/>
      </w:pPr>
      <w:r>
        <w:rPr>
          <w:rFonts w:ascii="Amiri" w:hAnsi="Amiri" w:eastAsia="Amiri" w:cs="Amiri"/>
          <w:lang w:bidi="ar-SA"/>
          <w:color w:val="111111"/>
          <w:sz w:val="28"/>
          <w:szCs w:val="28"/>
          <w:rtl/>
        </w:rPr>
        <w:t xml:space="preserve">خط: نسخ كاتب - مؤلف، تا: قرن ۱۳ [مختصر - ف: ۵۲]</w:t>
      </w:r>
    </w:p>
    <w:p>
      <w:pPr>
        <w:pStyle w:val="Heading3"/>
      </w:pPr>
      <w:bookmarkStart w:id="1216" w:name="_Toc738"/>
      <w:r>
        <w:t>استفتاء از ابوالسعود افندی درباره قتل طایفه قزل باش / فقه / ترکی</w:t>
      </w:r>
      <w:bookmarkEnd w:id="1216"/>
    </w:p>
    <w:p>
      <w:pPr>
        <w:pStyle w:val="BookText"/>
      </w:pPr>
      <w:r>
        <w:rPr>
          <w:rFonts w:ascii="Times New Roman" w:hAnsi="Times New Roman" w:eastAsia="Times New Roman" w:cs="Times New Roman"/>
          <w:lang w:val="en-US" w:bidi="en-US"/>
          <w:color w:val="111111"/>
          <w:sz w:val="28"/>
          <w:szCs w:val="28"/>
          <w:rtl/>
        </w:rPr>
        <w:t xml:space="preserve">esteftā’ az abo-s-so‘ūd-e afandī darbāre-ye qatl-e</w:t>
      </w:r>
    </w:p>
    <w:p>
      <w:pPr>
        <w:pStyle w:val="BookText"/>
      </w:pPr>
      <w:r>
        <w:rPr>
          <w:rFonts w:ascii="Times New Roman" w:hAnsi="Times New Roman" w:eastAsia="Times New Roman" w:cs="Times New Roman"/>
          <w:lang w:val="en-US" w:bidi="en-US"/>
          <w:color w:val="111111"/>
          <w:sz w:val="28"/>
          <w:szCs w:val="28"/>
          <w:rtl/>
        </w:rPr>
        <w:t xml:space="preserve">tāyefe-ye qezel bāš</w:t>
      </w:r>
    </w:p>
    <w:p>
      <w:pPr>
        <w:pStyle w:val="BookText"/>
      </w:pPr>
      <w:r>
        <w:rPr>
          <w:rFonts w:ascii="IRNazanin" w:hAnsi="IRNazanin" w:eastAsia="IRNazanin" w:cs="IRNazanin"/>
          <w:lang w:bidi="fa-IR"/>
          <w:color w:val="111111"/>
          <w:sz w:val="28"/>
          <w:szCs w:val="28"/>
          <w:rtl/>
        </w:rPr>
        <w:t xml:space="preserve">تهران؛ مجلس؛ شماره نسخه: ۷۴۲/۴</w:t>
      </w:r>
    </w:p>
    <w:p>
      <w:pPr>
        <w:pStyle w:val="BookText"/>
      </w:pPr>
      <w:r>
        <w:rPr>
          <w:rFonts w:ascii="IRNazanin" w:hAnsi="IRNazanin" w:eastAsia="IRNazanin" w:cs="IRNazanin"/>
          <w:lang w:bidi="fa-IR"/>
          <w:color w:val="111111"/>
          <w:sz w:val="28"/>
          <w:szCs w:val="28"/>
          <w:rtl/>
        </w:rPr>
        <w:t xml:space="preserve">آغاز: سابقاً محروسه اسلام مفتیی زين العلماء و نفيس الفضلاء ابو السعود افندى رحمة الله عليه قزل باش اوباش حقند بیور قلودی فتوی صورتیدر بوسئله بیا؛ انجام: اصناف کفره دن بر فرد اصـلا دنیاده و آخر تده معذب اولمر لوایدی سئوال طایه مزبور</w:t>
      </w:r>
    </w:p>
    <w:p>
      <w:pPr>
        <w:pStyle w:val="BookText"/>
      </w:pPr>
      <w:r>
        <w:rPr>
          <w:rFonts w:ascii="IRNazanin" w:hAnsi="IRNazanin" w:eastAsia="IRNazanin" w:cs="IRNazanin"/>
          <w:lang w:bidi="fa-IR"/>
          <w:color w:val="111111"/>
          <w:sz w:val="28"/>
          <w:szCs w:val="28"/>
          <w:rtl/>
        </w:rPr>
        <w:t xml:space="preserve">خط: نستعلیق، بی کا، تا: قرن ۱۰؛ افتادگی: انجام؛ کاغذ: سفـید، جلد: پارچه ای سرمه ای و مقوایی، ۳ ص (۳۱۴ - ۳۱۶) ، ۱۵ سـطر (4</w:t>
      </w:r>
      <w:r>
        <w:rPr>
          <w:rFonts w:ascii="Times New Roman" w:hAnsi="Times New Roman" w:eastAsia="Times New Roman" w:cs="Times New Roman"/>
          <w:lang w:val="en-US" w:bidi="en-US"/>
          <w:color w:val="111111"/>
          <w:sz w:val="28"/>
          <w:szCs w:val="28"/>
          <w:rtl/>
        </w:rPr>
        <w:t xml:space="preserve">×10)</w:t>
      </w:r>
      <w:r>
        <w:rPr>
          <w:rFonts w:ascii="IRNazanin" w:hAnsi="IRNazanin" w:eastAsia="IRNazanin" w:cs="IRNazanin"/>
          <w:lang w:bidi="fa-IR"/>
          <w:color w:val="111111"/>
          <w:sz w:val="28"/>
          <w:szCs w:val="28"/>
          <w:rtl/>
        </w:rPr>
        <w:t xml:space="preserve">،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[سنا - ف: ۲ - ۴۹]</w:t>
      </w:r>
    </w:p>
    <w:p>
      <w:pPr>
        <w:pStyle w:val="Heading3"/>
      </w:pPr>
      <w:bookmarkStart w:id="1217" w:name="_Toc739"/>
      <w:r>
        <w:t>استفتاء من  فضلاء نیشابور / ادبیات / عربی</w:t>
      </w:r>
      <w:bookmarkEnd w:id="1217"/>
    </w:p>
    <w:p>
      <w:pPr>
        <w:pStyle w:val="BookText"/>
      </w:pPr>
      <w:r>
        <w:rPr>
          <w:rFonts w:ascii="Times New Roman" w:hAnsi="Times New Roman" w:eastAsia="Times New Roman" w:cs="Times New Roman"/>
          <w:lang w:val="en-US" w:bidi="en-US"/>
          <w:color w:val="111111"/>
          <w:sz w:val="28"/>
          <w:szCs w:val="28"/>
          <w:rtl/>
        </w:rPr>
        <w:t xml:space="preserve">istiftā’ min fuḍalā’-i niyšābūr</w:t>
      </w:r>
    </w:p>
    <w:p>
      <w:pPr>
        <w:pStyle w:val="BookText"/>
      </w:pPr>
      <w:r>
        <w:rPr>
          <w:rFonts w:ascii="IRNazanin" w:hAnsi="IRNazanin" w:eastAsia="IRNazanin" w:cs="IRNazanin"/>
          <w:lang w:bidi="fa-IR"/>
          <w:color w:val="111111"/>
          <w:sz w:val="28"/>
          <w:szCs w:val="28"/>
          <w:rtl/>
        </w:rPr>
        <w:t xml:space="preserve">تهران؛ دانشگاه؛ شماره نسخه ۲۸۸۷/۹-ف</w:t>
      </w:r>
    </w:p>
    <w:p>
      <w:pPr>
        <w:pStyle w:val="BookText"/>
      </w:pPr>
      <w:r>
        <w:rPr>
          <w:rFonts w:ascii="IRNazanin" w:hAnsi="IRNazanin" w:eastAsia="IRNazanin" w:cs="IRNazanin"/>
          <w:lang w:bidi="fa-IR"/>
          <w:color w:val="111111"/>
          <w:sz w:val="28"/>
          <w:szCs w:val="28"/>
          <w:rtl/>
        </w:rPr>
        <w:t xml:space="preserve">نسخه اصل: نسخه آقای  فروزانفر در آخر  آمده:« كاتبه اسمعیل بن الحسن الادیب» در برتری نهادن میان دو قصیده؛ بی کا، بی تا [ فیلم ها -ف: ۱ - ۷۳۹]</w:t>
      </w:r>
    </w:p>
    <w:p>
      <w:pPr>
        <w:pStyle w:val="Heading3"/>
      </w:pPr>
      <w:bookmarkStart w:id="1218" w:name="_Toc740"/>
      <w:r>
        <w:t>استفتاء من فضلاء نیشابور / ادبیات / عربی</w:t>
      </w:r>
      <w:bookmarkEnd w:id="1218"/>
    </w:p>
    <w:p>
      <w:pPr>
        <w:pStyle w:val="BookText"/>
      </w:pPr>
      <w:r>
        <w:rPr>
          <w:rFonts w:ascii="Times New Roman" w:hAnsi="Times New Roman" w:eastAsia="Times New Roman" w:cs="Times New Roman"/>
          <w:lang w:val="en-US" w:bidi="en-US"/>
          <w:color w:val="111111"/>
          <w:sz w:val="28"/>
          <w:szCs w:val="28"/>
          <w:rtl/>
        </w:rPr>
        <w:t xml:space="preserve">istiftā’ min fuḍalā’-i niyšābūr</w:t>
      </w:r>
    </w:p>
    <w:p>
      <w:pPr>
        <w:pStyle w:val="BookText"/>
      </w:pPr>
      <w:r>
        <w:rPr>
          <w:rFonts w:ascii="IRNazanin" w:hAnsi="IRNazanin" w:eastAsia="IRNazanin" w:cs="IRNazanin"/>
          <w:lang w:bidi="fa-IR"/>
          <w:color w:val="111111"/>
          <w:sz w:val="28"/>
          <w:szCs w:val="28"/>
          <w:rtl/>
        </w:rPr>
        <w:t xml:space="preserve">تهران؛ دانشگاه؛ شماره نسخه: ۸۶۳۳/۹</w:t>
      </w:r>
    </w:p>
    <w:p>
      <w:pPr>
        <w:pStyle w:val="BookText"/>
      </w:pPr>
      <w:r>
        <w:rPr>
          <w:rFonts w:ascii="IRNazanin" w:hAnsi="IRNazanin" w:eastAsia="IRNazanin" w:cs="IRNazanin"/>
          <w:lang w:bidi="fa-IR"/>
          <w:color w:val="111111"/>
          <w:sz w:val="28"/>
          <w:szCs w:val="28"/>
          <w:rtl/>
        </w:rPr>
        <w:t xml:space="preserve">بی کا، بی تا، کاغذ ،آبی ،جلد: تیماج سبز ضربی مقوایی، ۸گ (۱۱۷ پ -۱۲۴ر)، ۱۵ سطر (۷/۵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قطع: ربعی، [ف ۱۷ -183]</w:t>
      </w:r>
    </w:p>
    <w:p>
      <w:pPr>
        <w:pStyle w:val="Heading3"/>
      </w:pPr>
      <w:bookmarkStart w:id="1219" w:name="_Toc741"/>
      <w:r>
        <w:t>الاستفتاء و الجواب / فقه / عربی</w:t>
      </w:r>
      <w:bookmarkEnd w:id="1219"/>
    </w:p>
    <w:p>
      <w:pPr>
        <w:pStyle w:val="BookText"/>
      </w:pPr>
      <w:r>
        <w:rPr>
          <w:rFonts w:ascii="Times New Roman" w:hAnsi="Times New Roman" w:eastAsia="Times New Roman" w:cs="Times New Roman"/>
          <w:lang w:val="en-US" w:bidi="en-US"/>
          <w:color w:val="111111"/>
          <w:sz w:val="28"/>
          <w:szCs w:val="28"/>
          <w:rtl/>
        </w:rPr>
        <w:t xml:space="preserve">al-istiftā’ wa-l-jawāb</w:t>
      </w:r>
    </w:p>
    <w:p>
      <w:pPr>
        <w:pStyle w:val="BookText"/>
      </w:pPr>
      <w:r>
        <w:rPr>
          <w:rFonts w:ascii="IRNazanin" w:hAnsi="IRNazanin" w:eastAsia="IRNazanin" w:cs="IRNazanin"/>
          <w:lang w:bidi="fa-IR"/>
          <w:color w:val="111111"/>
          <w:sz w:val="28"/>
          <w:szCs w:val="28"/>
          <w:rtl/>
        </w:rPr>
        <w:t xml:space="preserve">ابن تیمیه، احمد بن عبدالحلیم، ۶۶۱ - ۷۲۸ قمری</w:t>
      </w:r>
    </w:p>
    <w:p>
      <w:pPr>
        <w:pStyle w:val="BookText"/>
      </w:pPr>
      <w:r>
        <w:rPr>
          <w:rFonts w:ascii="Times New Roman" w:hAnsi="Times New Roman" w:eastAsia="Times New Roman" w:cs="Times New Roman"/>
          <w:lang w:val="en-US" w:bidi="en-US"/>
          <w:color w:val="111111"/>
          <w:sz w:val="28"/>
          <w:szCs w:val="28"/>
          <w:rtl/>
        </w:rPr>
        <w:t xml:space="preserve">(1328-ebn-e taymīyye, ahmad ebn-e ‘abd-ol-halīm (1263 -</w:t>
      </w:r>
    </w:p>
    <w:p>
      <w:pPr>
        <w:pStyle w:val="BookText"/>
      </w:pPr>
      <w:r>
        <w:rPr>
          <w:rFonts w:ascii="IRNazanin" w:hAnsi="IRNazanin" w:eastAsia="IRNazanin" w:cs="IRNazanin"/>
          <w:lang w:bidi="fa-IR"/>
          <w:color w:val="111111"/>
          <w:sz w:val="28"/>
          <w:szCs w:val="28"/>
          <w:rtl/>
        </w:rPr>
        <w:t xml:space="preserve">این رساله پاسخ استفتاءات می باشد در سه بخش مجزا بدین ترتیب: اول و دوم: مسائلی است در خصوص حج بانوان و بخـش سوم در شرح حدیث القبضتين. بخش نخست را کاتب نسـخه(محمد بن احمد، خطیب شافعی) در تاریخ ۷۳۶ق برای خـود نگاشته بوده و بخش دوم صورت املایی است که شرف الدین ابوالقاسم بن عبدالرحیم بارزی شافعی به ابن تیمیه نگاشته  و تمامی آن مسأله را علاء الدین علی حمزه بغدادی در سال ۷۱۴ق شنیده و نقل نموده و شخص مملی (بازری) هم از خود ابن تیمیه اجازه گرفته تاجمیع مصنفات سماعات  و اجازات را روایت  کند و بخش سوم هم از نسخه اصلی که تصحیح شده و مسموع  بوده نقل شده است.</w:t>
      </w:r>
    </w:p>
    <w:p>
      <w:pPr>
        <w:pStyle w:val="BookText"/>
      </w:pPr>
      <w:r>
        <w:rPr>
          <w:rFonts w:ascii="IRNazanin" w:hAnsi="IRNazanin" w:eastAsia="IRNazanin" w:cs="IRNazanin"/>
          <w:lang w:bidi="fa-IR"/>
          <w:color w:val="111111"/>
          <w:sz w:val="28"/>
          <w:szCs w:val="28"/>
          <w:rtl/>
        </w:rPr>
        <w:t xml:space="preserve">قم ؛مرعشی؛ شماره نسخه: ۱۱۲۸۰/۱</w:t>
      </w:r>
    </w:p>
    <w:p>
      <w:pPr>
        <w:pStyle w:val="BookText"/>
      </w:pPr>
      <w:r>
        <w:rPr>
          <w:rFonts w:ascii="IRNazanin" w:hAnsi="IRNazanin" w:eastAsia="IRNazanin" w:cs="IRNazanin"/>
          <w:lang w:bidi="fa-IR"/>
          <w:color w:val="111111"/>
          <w:sz w:val="28"/>
          <w:szCs w:val="28"/>
          <w:rtl/>
        </w:rPr>
        <w:t xml:space="preserve">آغاز: يعطوا الجزية عن يد و هم صاغرون و اشهد ان لا اله الا الله وحده لا شريك له؛ انجام: فیرضی و یسلم و الله تعالى اعلم و هذا آخر الاستفتاء و الجواب و الحمد لله رب العالمين</w:t>
      </w:r>
    </w:p>
    <w:p>
      <w:pPr>
        <w:pStyle w:val="BookText"/>
      </w:pPr>
      <w:r>
        <w:rPr>
          <w:rFonts w:ascii="IRNazanin" w:hAnsi="IRNazanin" w:eastAsia="IRNazanin" w:cs="IRNazanin"/>
          <w:lang w:bidi="fa-IR"/>
          <w:color w:val="111111"/>
          <w:sz w:val="28"/>
          <w:szCs w:val="28"/>
          <w:rtl/>
        </w:rPr>
        <w:t xml:space="preserve">خط: نسخ ،کهن ،کا: محمد بن احمد بن علی خطیب شافعی، تا: ۷۳۶ق؛ افتادگی: آغاز؛ مصحح،با عبارات: «صحیح ذلك كتبه احمد بن تیمه»صحیح ذلک کتبه هبة الله ابن عبدالرحيم البارزي   الحموى» و محتمل است بخش دوم( برگ ۹ تا ۱۱) از ابن تیمیه نباشد و احتمالاً کتابت از روی نسخه اصلی صورت گرفته است؛ کاغذ: خانبالغ، ۲۰گ (۱ - ۲۰)، ۱۷ سطر، اندازه: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۱۳/۵سم  [ف: ۲۸ - ۴۲۰]</w:t>
      </w:r>
    </w:p>
    <w:p>
      <w:pPr>
        <w:pStyle w:val="BookText"/>
      </w:pPr>
      <w:r>
        <w:rPr>
          <w:rFonts w:ascii="IRNazanin" w:hAnsi="IRNazanin" w:eastAsia="IRNazanin" w:cs="IRNazanin"/>
          <w:lang w:bidi="fa-IR"/>
          <w:color w:val="111111"/>
          <w:sz w:val="28"/>
          <w:szCs w:val="28"/>
          <w:rtl/>
        </w:rPr>
        <w:t xml:space="preserve">«استفتاآت » سؤال و جواب</w:t>
      </w:r>
    </w:p>
    <w:p>
      <w:pPr>
        <w:pStyle w:val="Heading3"/>
      </w:pPr>
      <w:bookmarkStart w:id="1220" w:name="_Toc742"/>
      <w:r>
        <w:t>استفتائات / پاسخ پرسش ها / عربی</w:t>
      </w:r>
      <w:bookmarkEnd w:id="1220"/>
    </w:p>
    <w:p>
      <w:pPr>
        <w:pStyle w:val="BookText"/>
      </w:pPr>
      <w:r>
        <w:rPr>
          <w:rFonts w:ascii="Times New Roman" w:hAnsi="Times New Roman" w:eastAsia="Times New Roman" w:cs="Times New Roman"/>
          <w:lang w:val="en-US" w:bidi="en-US"/>
          <w:color w:val="111111"/>
          <w:sz w:val="28"/>
          <w:szCs w:val="28"/>
          <w:rtl/>
        </w:rPr>
        <w:t xml:space="preserve">esteftā’āt</w:t>
      </w:r>
    </w:p>
    <w:p>
      <w:pPr>
        <w:pStyle w:val="BookText"/>
      </w:pPr>
      <w:r>
        <w:rPr>
          <w:rFonts w:ascii="IRNazanin" w:hAnsi="IRNazanin" w:eastAsia="IRNazanin" w:cs="IRNazanin"/>
          <w:lang w:bidi="fa-IR"/>
          <w:color w:val="111111"/>
          <w:sz w:val="28"/>
          <w:szCs w:val="28"/>
          <w:rtl/>
        </w:rPr>
        <w:t xml:space="preserve">مالکی، خالد بن احمد</w:t>
      </w:r>
    </w:p>
    <w:p>
      <w:pPr>
        <w:pStyle w:val="BookText"/>
      </w:pPr>
      <w:r>
        <w:rPr>
          <w:rFonts w:ascii="Times New Roman" w:hAnsi="Times New Roman" w:eastAsia="Times New Roman" w:cs="Times New Roman"/>
          <w:lang w:val="en-US" w:bidi="en-US"/>
          <w:color w:val="111111"/>
          <w:sz w:val="28"/>
          <w:szCs w:val="28"/>
          <w:rtl/>
        </w:rPr>
        <w:t xml:space="preserve">mālekī, xāled ebn-e ahmad</w:t>
      </w:r>
    </w:p>
    <w:p>
      <w:pPr>
        <w:pStyle w:val="BookText"/>
      </w:pPr>
      <w:r>
        <w:rPr>
          <w:rFonts w:ascii="IRNazanin" w:hAnsi="IRNazanin" w:eastAsia="IRNazanin" w:cs="IRNazanin"/>
          <w:lang w:bidi="fa-IR"/>
          <w:color w:val="111111"/>
          <w:sz w:val="28"/>
          <w:szCs w:val="28"/>
          <w:rtl/>
        </w:rPr>
        <w:t xml:space="preserve">بدون فصول و ابواب مسائلی طرح و از علماء سؤال نموده است.</w:t>
      </w:r>
    </w:p>
    <w:p>
      <w:pPr>
        <w:pStyle w:val="BookText"/>
      </w:pPr>
      <w:r>
        <w:rPr>
          <w:rFonts w:ascii="IRNazanin" w:hAnsi="IRNazanin" w:eastAsia="IRNazanin" w:cs="IRNazanin"/>
          <w:lang w:bidi="fa-IR"/>
          <w:color w:val="111111"/>
          <w:sz w:val="28"/>
          <w:szCs w:val="28"/>
          <w:rtl/>
        </w:rPr>
        <w:t xml:space="preserve">تبریز؛ ملی؛ شماره نسخه: ۳۴۶۴٫۶</w:t>
      </w:r>
    </w:p>
    <w:p>
      <w:pPr>
        <w:pStyle w:val="BookText"/>
      </w:pPr>
      <w:r>
        <w:rPr>
          <w:rFonts w:ascii="IRNazanin" w:hAnsi="IRNazanin" w:eastAsia="IRNazanin" w:cs="IRNazanin"/>
          <w:lang w:bidi="fa-IR"/>
          <w:color w:val="111111"/>
          <w:sz w:val="28"/>
          <w:szCs w:val="28"/>
          <w:rtl/>
        </w:rPr>
        <w:t xml:space="preserve">آغاز: الحمد لله رب العالمين، وصلى الله على سيدنا محمد و آله و صحبه اجمعين وسلم تسليما كثيراً الى یوم الدين. ما تقول السادة  العلماء ائمة الدين نفع الله بعلومهم المسلمين و احيا بوجودهم شعائر الاسلام، انجام: قاله الفقير الى الله تعالى خالد بن احمد بن محمد ابن عبدالله المالكي  الجعفرى، اعنى جعفر بن ابی طالب حامداً ومصلياً و مسلماً</w:t>
      </w:r>
    </w:p>
    <w:p>
      <w:pPr>
        <w:pStyle w:val="BookText"/>
      </w:pPr>
      <w:r>
        <w:rPr>
          <w:rFonts w:ascii="IRNazanin" w:hAnsi="IRNazanin" w:eastAsia="IRNazanin" w:cs="IRNazanin"/>
          <w:lang w:bidi="fa-IR"/>
          <w:color w:val="111111"/>
          <w:sz w:val="28"/>
          <w:szCs w:val="28"/>
          <w:rtl/>
        </w:rPr>
        <w:t xml:space="preserve">خط: نسخ، كاتب - مؤلف (ظاهراً)، بی تا؛ جلد: مقوا با ته چرمی، ۱۴گ، ۲۵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۱ - ۵۳]</w:t>
      </w:r>
    </w:p>
    <w:p>
      <w:pPr>
        <w:pStyle w:val="Heading3"/>
      </w:pPr>
      <w:bookmarkStart w:id="1221" w:name="_Toc743"/>
      <w:r>
        <w:t>استفتائات / فقه / ترکی</w:t>
      </w:r>
      <w:bookmarkEnd w:id="1221"/>
    </w:p>
    <w:p>
      <w:pPr>
        <w:pStyle w:val="BookText"/>
      </w:pPr>
      <w:r>
        <w:rPr>
          <w:rFonts w:ascii="Times New Roman" w:hAnsi="Times New Roman" w:eastAsia="Times New Roman" w:cs="Times New Roman"/>
          <w:lang w:val="en-US" w:bidi="en-US"/>
          <w:color w:val="111111"/>
          <w:sz w:val="28"/>
          <w:szCs w:val="28"/>
          <w:rtl/>
        </w:rPr>
        <w:t xml:space="preserve">esteftā’āt</w:t>
      </w:r>
    </w:p>
    <w:p>
      <w:pPr>
        <w:pStyle w:val="BookText"/>
      </w:pPr>
      <w:r>
        <w:rPr>
          <w:rFonts w:ascii="IRNazanin" w:hAnsi="IRNazanin" w:eastAsia="IRNazanin" w:cs="IRNazanin"/>
          <w:lang w:bidi="fa-IR"/>
          <w:color w:val="111111"/>
          <w:sz w:val="28"/>
          <w:szCs w:val="28"/>
          <w:rtl/>
        </w:rPr>
        <w:t xml:space="preserve">تهران؛ مجلس؛ شماره نسخه: ۱۶۶۹۱</w:t>
      </w:r>
    </w:p>
    <w:p>
      <w:pPr>
        <w:pStyle w:val="BookText"/>
      </w:pPr>
      <w:r>
        <w:rPr>
          <w:rFonts w:ascii="IRNazanin" w:hAnsi="IRNazanin" w:eastAsia="IRNazanin" w:cs="IRNazanin"/>
          <w:lang w:bidi="fa-IR"/>
          <w:color w:val="111111"/>
          <w:sz w:val="28"/>
          <w:szCs w:val="28"/>
          <w:rtl/>
        </w:rPr>
        <w:t xml:space="preserve">با جواب از ابوالسعود و دیگر علمای ترکیه؛ بی کا، بی تا [د.ث.  مجلس ]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01" w:name="pg20365_260296"/>
    <w:bookmarkEnd w:id="201"/>
    <w:p>
      <w:pPr>
        <w:pStyle w:val="Heading3"/>
      </w:pPr>
      <w:bookmarkStart w:id="1222" w:name="_Toc744"/>
      <w:r>
        <w:t>استفتائات علامه مجلسی = فتاوای فقهی = سؤال  و جواب / فقه / فارسی</w:t>
      </w:r>
      <w:bookmarkEnd w:id="1222"/>
    </w:p>
    <w:p>
      <w:pPr>
        <w:pStyle w:val="BookText"/>
      </w:pPr>
      <w:r>
        <w:rPr>
          <w:rFonts w:ascii="Times New Roman" w:hAnsi="Times New Roman" w:eastAsia="Times New Roman" w:cs="Times New Roman"/>
          <w:lang w:val="en-US" w:bidi="en-US"/>
          <w:color w:val="111111"/>
          <w:sz w:val="28"/>
          <w:szCs w:val="28"/>
          <w:rtl/>
        </w:rPr>
        <w:t xml:space="preserve">efta'at-e allame majlesi = fatava-ye feqhi = soal va</w:t>
      </w:r>
    </w:p>
    <w:p>
      <w:pPr>
        <w:pStyle w:val="BookText"/>
      </w:pPr>
      <w:r>
        <w:rPr>
          <w:rFonts w:ascii="Times New Roman" w:hAnsi="Times New Roman" w:eastAsia="Times New Roman" w:cs="Times New Roman"/>
          <w:lang w:val="en-US" w:bidi="en-US"/>
          <w:color w:val="111111"/>
          <w:sz w:val="28"/>
          <w:szCs w:val="28"/>
          <w:rtl/>
        </w:rPr>
        <w:t xml:space="preserve">javāb</w:t>
      </w:r>
    </w:p>
    <w:p>
      <w:pPr>
        <w:pStyle w:val="BookText"/>
      </w:pPr>
      <w:r>
        <w:rPr>
          <w:rFonts w:ascii="IRNazanin" w:hAnsi="IRNazanin" w:eastAsia="IRNazanin" w:cs="IRNazanin"/>
          <w:lang w:bidi="fa-IR"/>
          <w:color w:val="111111"/>
          <w:sz w:val="28"/>
          <w:szCs w:val="28"/>
          <w:rtl/>
        </w:rPr>
        <w:t xml:space="preserve">بدلاء حسنى</w:t>
      </w:r>
      <w:r>
        <w:rPr>
          <w:rFonts w:ascii="Times New Roman" w:hAnsi="Times New Roman" w:eastAsia="Times New Roman" w:cs="Times New Roman"/>
          <w:lang w:val="en-US" w:bidi="en-US"/>
          <w:color w:val="111111"/>
          <w:sz w:val="28"/>
          <w:szCs w:val="28"/>
          <w:rtl/>
        </w:rPr>
        <w:t xml:space="preserve">T </w:t>
      </w:r>
      <w:r>
        <w:rPr>
          <w:rFonts w:ascii="IRNazanin" w:hAnsi="IRNazanin" w:eastAsia="IRNazanin" w:cs="IRNazanin"/>
          <w:lang w:bidi="fa-IR"/>
          <w:color w:val="111111"/>
          <w:sz w:val="28"/>
          <w:szCs w:val="28"/>
          <w:rtl/>
        </w:rPr>
        <w:t xml:space="preserve">حامد بن محمد</w:t>
      </w:r>
      <w:r>
        <w:rPr>
          <w:rFonts w:ascii="Times New Roman" w:hAnsi="Times New Roman" w:eastAsia="Times New Roman" w:cs="Times New Roman"/>
          <w:lang w:val="en-US" w:bidi="en-US"/>
          <w:color w:val="111111"/>
          <w:sz w:val="28"/>
          <w:szCs w:val="28"/>
          <w:rtl/>
        </w:rPr>
        <w:t xml:space="preserve">T </w:t>
      </w:r>
      <w:r>
        <w:rPr>
          <w:rFonts w:ascii="IRNazanin" w:hAnsi="IRNazanin" w:eastAsia="IRNazanin" w:cs="IRNazanin"/>
          <w:lang w:bidi="fa-IR"/>
          <w:color w:val="111111"/>
          <w:sz w:val="28"/>
          <w:szCs w:val="28"/>
          <w:rtl/>
        </w:rPr>
        <w:t xml:space="preserve">قمری</w:t>
      </w:r>
    </w:p>
    <w:p>
      <w:pPr>
        <w:pStyle w:val="BookText"/>
      </w:pPr>
      <w:r>
        <w:rPr>
          <w:rFonts w:ascii="Times New Roman" w:hAnsi="Times New Roman" w:eastAsia="Times New Roman" w:cs="Times New Roman"/>
          <w:lang w:val="en-US" w:bidi="en-US"/>
          <w:color w:val="111111"/>
          <w:sz w:val="28"/>
          <w:szCs w:val="28"/>
          <w:rtl/>
        </w:rPr>
        <w:t xml:space="preserve">bodlā’ hasanī, hāmed ebn-e mohammad</w:t>
      </w:r>
    </w:p>
    <w:p>
      <w:pPr>
        <w:pStyle w:val="BookText"/>
      </w:pPr>
      <w:r>
        <w:rPr>
          <w:rFonts w:ascii="IRNazanin" w:hAnsi="IRNazanin" w:eastAsia="IRNazanin" w:cs="IRNazanin"/>
          <w:lang w:bidi="fa-IR"/>
          <w:color w:val="111111"/>
          <w:sz w:val="28"/>
          <w:szCs w:val="28"/>
          <w:rtl/>
        </w:rPr>
        <w:t xml:space="preserve">استفتائاتی است از علامه مجلسی است در پاسخ یکی از عزیزان خراسان که سید حامد بن سید محمد البدلاء الحسینی گردآورده به فارسی در دوازده جدول با فهرست در آغاز.</w:t>
      </w:r>
    </w:p>
    <w:p>
      <w:pPr>
        <w:pStyle w:val="BookText"/>
      </w:pPr>
      <w:r>
        <w:rPr>
          <w:rFonts w:ascii="IRNazanin" w:hAnsi="IRNazanin" w:eastAsia="IRNazanin" w:cs="IRNazanin"/>
          <w:lang w:bidi="fa-IR"/>
          <w:color w:val="111111"/>
          <w:sz w:val="28"/>
          <w:szCs w:val="28"/>
          <w:rtl/>
        </w:rPr>
        <w:t xml:space="preserve">١ . قم؛ مسجد اعظم؛ شماره نسخه: ۱۱۹۹/۳</w:t>
      </w:r>
    </w:p>
    <w:p>
      <w:pPr>
        <w:pStyle w:val="BookText"/>
      </w:pPr>
      <w:r>
        <w:rPr>
          <w:rFonts w:ascii="IRNazanin" w:hAnsi="IRNazanin" w:eastAsia="IRNazanin" w:cs="IRNazanin"/>
          <w:lang w:bidi="fa-IR"/>
          <w:color w:val="111111"/>
          <w:sz w:val="28"/>
          <w:szCs w:val="28"/>
          <w:rtl/>
        </w:rPr>
        <w:t xml:space="preserve">آغاز: بسمله، و به نستعين الحمدلله الكريم الاكرم العليم الاعلم علم بالقلم ... و بعد به عرض طالبان مناهج يقين و سالكان ذره بی مقدار سید حامد بن سيد محمد البدلاء الحسنى على الله عنـهما که چون در این دوران؛ انجام: شیر آدم پاک است یا نجس؟ جواب پاک است و شیر دختر کراهتی دارد در نماز اگر  غیر صاحب شیر مطلقاً در آن نماز نکند احوط است و الله تعالى يـعلم حقايق الاحكام.</w:t>
      </w:r>
    </w:p>
    <w:p>
      <w:pPr>
        <w:pStyle w:val="BookText"/>
      </w:pPr>
      <w:r>
        <w:rPr>
          <w:rFonts w:ascii="IRNazanin" w:hAnsi="IRNazanin" w:eastAsia="IRNazanin" w:cs="IRNazanin"/>
          <w:lang w:bidi="fa-IR"/>
          <w:color w:val="111111"/>
          <w:sz w:val="28"/>
          <w:szCs w:val="28"/>
          <w:rtl/>
        </w:rPr>
        <w:t xml:space="preserve">خط: نستعلیق، بی کا، تا: ۱۲۲۳ق؛ جلد: تیماج قهوه ای، ۳۵گ، 15سطر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مخ: ۱ - ۱۴۳]</w:t>
      </w:r>
    </w:p>
    <w:p>
      <w:pPr>
        <w:pStyle w:val="BookText"/>
      </w:pPr>
      <w:r>
        <w:rPr>
          <w:rFonts w:ascii="IRNazanin" w:hAnsi="IRNazanin" w:eastAsia="IRNazanin" w:cs="IRNazanin"/>
          <w:lang w:bidi="fa-IR"/>
          <w:color w:val="111111"/>
          <w:sz w:val="28"/>
          <w:szCs w:val="28"/>
          <w:rtl/>
        </w:rPr>
        <w:t xml:space="preserve">۲. تهران؛ دانشگاه؛ شماره نسخه: ۵۹۱۴/۴</w:t>
      </w:r>
    </w:p>
    <w:p>
      <w:pPr>
        <w:pStyle w:val="BookText"/>
      </w:pPr>
      <w:r>
        <w:rPr>
          <w:rFonts w:ascii="IRNazanin" w:hAnsi="IRNazanin" w:eastAsia="IRNazanin" w:cs="IRNazanin"/>
          <w:lang w:bidi="fa-IR"/>
          <w:color w:val="111111"/>
          <w:sz w:val="28"/>
          <w:szCs w:val="28"/>
          <w:rtl/>
        </w:rPr>
        <w:t xml:space="preserve">خط: نستعلیق، کا: فضل على بن ابو طالب  اصفهانی، بی تا، کاغذ: فرنگی، جلد: تیماج مشکی ترنجی زرکوب مقوایی، ۷۸ص (۴۱۶-۳۳۹)، ۱۶ سطر (۶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قطع: بغلی،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  ف: 16- 150]</w:t>
      </w:r>
    </w:p>
    <w:p>
      <w:pPr>
        <w:pStyle w:val="Heading3"/>
      </w:pPr>
      <w:bookmarkStart w:id="1223" w:name="_Toc745"/>
      <w:r>
        <w:t>استفتائات فقهی / فقه / ترکی و عربی</w:t>
      </w:r>
      <w:bookmarkEnd w:id="1223"/>
    </w:p>
    <w:p>
      <w:pPr>
        <w:pStyle w:val="BookText"/>
      </w:pPr>
      <w:r>
        <w:rPr>
          <w:rFonts w:ascii="Times New Roman" w:hAnsi="Times New Roman" w:eastAsia="Times New Roman" w:cs="Times New Roman"/>
          <w:lang w:val="en-US" w:bidi="en-US"/>
          <w:color w:val="111111"/>
          <w:sz w:val="28"/>
          <w:szCs w:val="28"/>
          <w:rtl/>
        </w:rPr>
        <w:t xml:space="preserve">esteftā’āt-e feqhī</w:t>
      </w:r>
    </w:p>
    <w:p>
      <w:pPr>
        <w:pStyle w:val="BookText"/>
      </w:pPr>
      <w:r>
        <w:rPr>
          <w:rFonts w:ascii="IRNazanin" w:hAnsi="IRNazanin" w:eastAsia="IRNazanin" w:cs="IRNazanin"/>
          <w:lang w:bidi="fa-IR"/>
          <w:color w:val="111111"/>
          <w:sz w:val="28"/>
          <w:szCs w:val="28"/>
          <w:rtl/>
        </w:rPr>
        <w:t xml:space="preserve">چندین استفتاء است از چند تن از فقهای حنفی با پاسخ «الجواب» نام فقيهان عبارتند از : ابو السعود، عبدالرحمان عمادی، احمد قاضی زاده، محمد عفى عنه،ابوسعيد عبد القادر الموری، فضل الله. منقول از خط اصل است یکی از استفتاآت که از ابو السعود است سؤال و جواب با شعر ترکی است.</w:t>
      </w:r>
    </w:p>
    <w:p>
      <w:pPr>
        <w:pStyle w:val="BookText"/>
      </w:pPr>
      <w:r>
        <w:rPr>
          <w:rFonts w:ascii="IRNazanin" w:hAnsi="IRNazanin" w:eastAsia="IRNazanin" w:cs="IRNazanin"/>
          <w:lang w:bidi="fa-IR"/>
          <w:color w:val="111111"/>
          <w:sz w:val="28"/>
          <w:szCs w:val="28"/>
          <w:rtl/>
        </w:rPr>
        <w:t xml:space="preserve">تهران؛ مجلس؛ شماره نسخه: ۱۳۸۸۶/۳۲</w:t>
      </w:r>
    </w:p>
    <w:p>
      <w:pPr>
        <w:pStyle w:val="BookText"/>
      </w:pPr>
      <w:r>
        <w:rPr>
          <w:rFonts w:ascii="IRNazanin" w:hAnsi="IRNazanin" w:eastAsia="IRNazanin" w:cs="IRNazanin"/>
          <w:lang w:bidi="fa-IR"/>
          <w:color w:val="111111"/>
          <w:sz w:val="28"/>
          <w:szCs w:val="28"/>
          <w:rtl/>
        </w:rPr>
        <w:t xml:space="preserve">بی کا، تا: قرن ۱۱؛ جلد: مقوا عطف تیماج، ۴گ (۸۹ر-۹۲پ)  [ف: ۳۷ - ۴۷۳]</w:t>
      </w:r>
    </w:p>
    <w:p>
      <w:pPr>
        <w:pStyle w:val="Heading3"/>
      </w:pPr>
      <w:bookmarkStart w:id="1224" w:name="_Toc746"/>
      <w:r>
        <w:t>استفسار / امامت / فارسی</w:t>
      </w:r>
      <w:bookmarkEnd w:id="1224"/>
    </w:p>
    <w:p>
      <w:pPr>
        <w:pStyle w:val="BookText"/>
      </w:pPr>
      <w:r>
        <w:rPr>
          <w:rFonts w:ascii="Times New Roman" w:hAnsi="Times New Roman" w:eastAsia="Times New Roman" w:cs="Times New Roman"/>
          <w:lang w:val="en-US" w:bidi="en-US"/>
          <w:color w:val="111111"/>
          <w:sz w:val="28"/>
          <w:szCs w:val="28"/>
          <w:rtl/>
        </w:rPr>
        <w:t xml:space="preserve">estefsār</w:t>
      </w:r>
    </w:p>
    <w:p>
      <w:pPr>
        <w:pStyle w:val="BookText"/>
      </w:pPr>
      <w:r>
        <w:rPr>
          <w:rFonts w:ascii="IRNazanin" w:hAnsi="IRNazanin" w:eastAsia="IRNazanin" w:cs="IRNazanin"/>
          <w:lang w:bidi="fa-IR"/>
          <w:color w:val="111111"/>
          <w:sz w:val="28"/>
          <w:szCs w:val="28"/>
          <w:rtl/>
        </w:rPr>
        <w:t xml:space="preserve">تاریخ تالیف: ۱۲۵۲ق؛ محل ترجمه: کابل</w:t>
      </w:r>
    </w:p>
    <w:p>
      <w:pPr>
        <w:pStyle w:val="BookText"/>
      </w:pPr>
      <w:r>
        <w:rPr>
          <w:rFonts w:ascii="IRNazanin" w:hAnsi="IRNazanin" w:eastAsia="IRNazanin" w:cs="IRNazanin"/>
          <w:lang w:bidi="fa-IR"/>
          <w:color w:val="111111"/>
          <w:sz w:val="28"/>
          <w:szCs w:val="28"/>
          <w:rtl/>
        </w:rPr>
        <w:t xml:space="preserve">متن اردوی آن از آل حسن هندی است و مترجم فارسی دانسته نشد ،کیست، شاید از فردی به نام عبدالکریم. مؤلف درهند میزیسته و از کتاب هایی بهره بوده که در ۱۸۱۱م منتشر شده است. در آغاز آن می گوید: «از آنجا که در قوانین انگلیسیه ممانعت مباحثه نمودن در دین یافت نمی شود علمای نصارا رساله های بسیار در اعتراض به محمدیان نوشته و پخش می کنند، من این را درپاسخگویی آنان، در ۱۸ «استفسار» نامیدم. پس از «مقدمه» کوتاه ۱۸ استفسار در رد مسیحیان می آورد: مقدمه: اصل نزاع با عیسویان در چند مسأله است؛ استفسار ۱. مسأله تثليت؛ ... استفسار ۱۸. شرف اسلام محاسن چند که از روی برهان عقلی خوبی آنها از جمله بدیهیئت است.</w:t>
      </w:r>
    </w:p>
    <w:p>
      <w:pPr>
        <w:pStyle w:val="BookText"/>
      </w:pPr>
      <w:r>
        <w:rPr>
          <w:rFonts w:ascii="IRNazanin" w:hAnsi="IRNazanin" w:eastAsia="IRNazanin" w:cs="IRNazanin"/>
          <w:lang w:bidi="fa-IR"/>
          <w:color w:val="111111"/>
          <w:sz w:val="28"/>
          <w:szCs w:val="28"/>
          <w:rtl/>
        </w:rPr>
        <w:t xml:space="preserve">آغاز: (دیباچه) بسمله ... الحمد الله الفرد الصمد الذي لم يلد و لم يولد ... اما بعد احقر مترجم کتاب معروض... می دارد.</w:t>
      </w:r>
    </w:p>
    <w:p>
      <w:pPr>
        <w:pStyle w:val="BookText"/>
      </w:pPr>
      <w:r>
        <w:rPr>
          <w:rFonts w:ascii="IRNazanin" w:hAnsi="IRNazanin" w:eastAsia="IRNazanin" w:cs="IRNazanin"/>
          <w:lang w:bidi="fa-IR"/>
          <w:color w:val="111111"/>
          <w:sz w:val="28"/>
          <w:szCs w:val="28"/>
          <w:rtl/>
        </w:rPr>
        <w:t xml:space="preserve">(کتاب) هزاران هزار سپاس مر آن خداوند یکتا و بی همتا را که از اخوان بنی اسرائیل مثل حضرت موسی (علیه السّلام) بعد حضرت عيسى (علیه السّلام) همچو شخص را خلعت رساله عنایت...</w:t>
      </w:r>
    </w:p>
    <w:p>
      <w:pPr>
        <w:pStyle w:val="BookText"/>
      </w:pPr>
      <w:r>
        <w:rPr>
          <w:rFonts w:ascii="IRNazanin" w:hAnsi="IRNazanin" w:eastAsia="IRNazanin" w:cs="IRNazanin"/>
          <w:lang w:bidi="fa-IR"/>
          <w:color w:val="111111"/>
          <w:sz w:val="28"/>
          <w:szCs w:val="28"/>
          <w:rtl/>
        </w:rPr>
        <w:t xml:space="preserve">انجام: و حب من يحبك و العمل الذى يقربني الى حبك ، اللهم اجعل حبك احب الی من  نفسی، واهلى، و من الماء البارد.</w:t>
      </w:r>
    </w:p>
    <w:p>
      <w:pPr>
        <w:pStyle w:val="BookText"/>
      </w:pPr>
      <w:r>
        <w:rPr>
          <w:rFonts w:ascii="IRNazanin" w:hAnsi="IRNazanin" w:eastAsia="IRNazanin" w:cs="IRNazanin"/>
          <w:lang w:bidi="fa-IR"/>
          <w:color w:val="111111"/>
          <w:sz w:val="28"/>
          <w:szCs w:val="28"/>
          <w:rtl/>
        </w:rPr>
        <w:t xml:space="preserve">چاپ: هند ،۱۲۶۹ق ،سنگی ،وزیری ۵۶۴ ص</w:t>
      </w:r>
    </w:p>
    <w:p>
      <w:pPr>
        <w:pStyle w:val="BookText"/>
      </w:pPr>
      <w:r>
        <w:rPr>
          <w:rFonts w:ascii="IRNazanin" w:hAnsi="IRNazanin" w:eastAsia="IRNazanin" w:cs="IRNazanin"/>
          <w:lang w:bidi="fa-IR"/>
          <w:color w:val="111111"/>
          <w:sz w:val="28"/>
          <w:szCs w:val="28"/>
          <w:rtl/>
        </w:rPr>
        <w:t xml:space="preserve">[فهرستواره منزوی ۸۷/۹۱(نسخه)]</w:t>
      </w:r>
    </w:p>
    <w:p>
      <w:pPr>
        <w:pStyle w:val="BookText"/>
      </w:pPr>
      <w:r>
        <w:rPr>
          <w:rFonts w:ascii="IRNazanin" w:hAnsi="IRNazanin" w:eastAsia="IRNazanin" w:cs="IRNazanin"/>
          <w:lang w:bidi="fa-IR"/>
          <w:color w:val="111111"/>
          <w:sz w:val="28"/>
          <w:szCs w:val="28"/>
          <w:rtl/>
        </w:rPr>
        <w:t xml:space="preserve">۱. تهران؛ دائرة المعارف؛ شماره نسخه: ۴۹۲-عکسی</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اصل  نسخه: گنج بخش، ش ۱۴۱۸؛ خط: نستعلیق ریز پخته شکسته آمیز ،بی کا، تا: قرن ۱۳؛ ۴۷۹ ص[ف: ۲ - ۲۰]</w:t>
      </w:r>
    </w:p>
    <w:p>
      <w:pPr>
        <w:pStyle w:val="BookText"/>
      </w:pPr>
      <w:r>
        <w:rPr>
          <w:rFonts w:ascii="IRNazanin" w:hAnsi="IRNazanin" w:eastAsia="IRNazanin" w:cs="IRNazanin"/>
          <w:lang w:bidi="fa-IR"/>
          <w:color w:val="111111"/>
          <w:sz w:val="28"/>
          <w:szCs w:val="28"/>
          <w:rtl/>
        </w:rPr>
        <w:t xml:space="preserve">۲. تهران؛ دانشگاه؛ شماره نسخه: ۴۱۸۲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شنبه ذیقعده ۱۲۷۱ق؛ یادداشت تملک ۱۲۷۵ و ۱۳۱۵؛ کاغذ: هندی آهار مهره، جلد: تیماج عنابی ضربی مقوایی،۲۶۴گ، ۱۹سطر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۲۴سم [ف: ۱۳-۳۱۵۰]</w:t>
      </w:r>
    </w:p>
    <w:p>
      <w:pPr>
        <w:pStyle w:val="BookText"/>
      </w:pPr>
      <w:r>
        <w:rPr>
          <w:rFonts w:ascii="IRNazanin" w:hAnsi="IRNazanin" w:eastAsia="IRNazanin" w:cs="IRNazanin"/>
          <w:lang w:bidi="fa-IR"/>
          <w:color w:val="111111"/>
          <w:sz w:val="28"/>
          <w:szCs w:val="28"/>
          <w:rtl/>
        </w:rPr>
        <w:t xml:space="preserve">۳. مشهد رضوی؛ شماره نسخه: ۱۴۲۴۵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از آل حسن هندی مترجم عبدالکریم در کابل در ۱۲۵۹ق؛ خط: نستعلیق، بی کا، بی تا [الفبائی: ۴۵]</w:t>
      </w:r>
    </w:p>
    <w:p>
      <w:pPr>
        <w:pStyle w:val="Heading3"/>
      </w:pPr>
      <w:bookmarkStart w:id="1225" w:name="_Toc747"/>
      <w:r>
        <w:t>استفسار کیفیت بعضی مقدمات حیرت انگیز / متفرقه /  فارسی</w:t>
      </w:r>
      <w:bookmarkEnd w:id="1225"/>
    </w:p>
    <w:p>
      <w:pPr>
        <w:pStyle w:val="BookText"/>
      </w:pPr>
      <w:r>
        <w:rPr>
          <w:rFonts w:ascii="Times New Roman" w:hAnsi="Times New Roman" w:eastAsia="Times New Roman" w:cs="Times New Roman"/>
          <w:lang w:val="en-US" w:bidi="en-US"/>
          <w:color w:val="111111"/>
          <w:sz w:val="28"/>
          <w:szCs w:val="28"/>
          <w:rtl/>
        </w:rPr>
        <w:t xml:space="preserve">estefsar-e keyfiyat-e bazi moqaddamat-e heyrat angiz</w:t>
      </w:r>
    </w:p>
    <w:p>
      <w:pPr>
        <w:pStyle w:val="BookText"/>
      </w:pPr>
      <w:r>
        <w:rPr>
          <w:rFonts w:ascii="IRNazanin" w:hAnsi="IRNazanin" w:eastAsia="IRNazanin" w:cs="IRNazanin"/>
          <w:lang w:bidi="fa-IR"/>
          <w:color w:val="111111"/>
          <w:sz w:val="28"/>
          <w:szCs w:val="28"/>
          <w:rtl/>
        </w:rPr>
        <w:t xml:space="preserve">تهران؛ مجلس؛ شماره نسخه: ۱۴۲۰۹/۱۲۹</w:t>
      </w:r>
    </w:p>
    <w:p>
      <w:pPr>
        <w:pStyle w:val="BookText"/>
      </w:pPr>
      <w:r>
        <w:rPr>
          <w:rFonts w:ascii="IRNazanin" w:hAnsi="IRNazanin" w:eastAsia="IRNazanin" w:cs="IRNazanin"/>
          <w:lang w:bidi="fa-IR"/>
          <w:color w:val="111111"/>
          <w:sz w:val="28"/>
          <w:szCs w:val="28"/>
          <w:rtl/>
        </w:rPr>
        <w:t xml:space="preserve">استفسار كيفيت بعضی مقدمات حیرت انگیز از ابوالفتح ملتانی و جواب میرابوالفتح ؛خط: نستعلیق، کا: محمد حکیم  هندی، تا: قرن ۱۱ ؛۱ص (۳۴۶) [ف: ۳۸ - ۲۹۷]</w:t>
      </w:r>
    </w:p>
    <w:p>
      <w:pPr>
        <w:pStyle w:val="Heading3"/>
      </w:pPr>
      <w:bookmarkStart w:id="1226" w:name="_Toc748"/>
      <w:r>
        <w:t>الاستقامة (منتخب ) / عرفان و تصوف / عربی</w:t>
      </w:r>
      <w:bookmarkEnd w:id="1226"/>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02" w:name="pg20365_260297"/>
    <w:bookmarkEnd w:id="202"/>
    <w:p>
      <w:pPr>
        <w:pStyle w:val="BookText"/>
      </w:pPr>
      <w:r>
        <w:rPr>
          <w:rFonts w:ascii="Times New Roman" w:hAnsi="Times New Roman" w:eastAsia="Times New Roman" w:cs="Times New Roman"/>
          <w:lang w:val="en-US" w:bidi="en-US"/>
          <w:color w:val="111111"/>
          <w:sz w:val="28"/>
          <w:szCs w:val="28"/>
          <w:rtl/>
        </w:rPr>
        <w:t xml:space="preserve">(al-istiqāma (mn.)</w:t>
      </w:r>
    </w:p>
    <w:p>
      <w:pPr>
        <w:pStyle w:val="BookText"/>
      </w:pPr>
      <w:r>
        <w:rPr>
          <w:rFonts w:ascii="IRNazanin" w:hAnsi="IRNazanin" w:eastAsia="IRNazanin" w:cs="IRNazanin"/>
          <w:lang w:bidi="fa-IR"/>
          <w:color w:val="111111"/>
          <w:sz w:val="28"/>
          <w:szCs w:val="28"/>
          <w:rtl/>
        </w:rPr>
        <w:t xml:space="preserve">رستغفنی، ابوالحسن</w:t>
      </w:r>
    </w:p>
    <w:p>
      <w:pPr>
        <w:pStyle w:val="BookText"/>
      </w:pPr>
      <w:r>
        <w:rPr>
          <w:rFonts w:ascii="Times New Roman" w:hAnsi="Times New Roman" w:eastAsia="Times New Roman" w:cs="Times New Roman"/>
          <w:lang w:val="en-US" w:bidi="en-US"/>
          <w:color w:val="111111"/>
          <w:sz w:val="28"/>
          <w:szCs w:val="28"/>
          <w:rtl/>
        </w:rPr>
        <w:t xml:space="preserve">rostoqfanī, ab-ol-hasan</w:t>
      </w:r>
    </w:p>
    <w:p>
      <w:pPr>
        <w:pStyle w:val="BookText"/>
      </w:pPr>
      <w:r>
        <w:rPr>
          <w:rFonts w:ascii="IRNazanin" w:hAnsi="IRNazanin" w:eastAsia="IRNazanin" w:cs="IRNazanin"/>
          <w:lang w:bidi="fa-IR"/>
          <w:color w:val="111111"/>
          <w:sz w:val="28"/>
          <w:szCs w:val="28"/>
          <w:rtl/>
        </w:rPr>
        <w:t xml:space="preserve">تهران؛ مجلس؛ شماره نسخه: ۸۳۸۰/۷</w:t>
      </w:r>
    </w:p>
    <w:p>
      <w:pPr>
        <w:pStyle w:val="BookText"/>
      </w:pPr>
      <w:r>
        <w:rPr>
          <w:rFonts w:ascii="IRNazanin" w:hAnsi="IRNazanin" w:eastAsia="IRNazanin" w:cs="IRNazanin"/>
          <w:lang w:bidi="fa-IR"/>
          <w:color w:val="111111"/>
          <w:sz w:val="28"/>
          <w:szCs w:val="28"/>
          <w:rtl/>
        </w:rPr>
        <w:t xml:space="preserve">خط: نسخ، بی کا، تا: قرن ۵و 6؛ ۶گ (۲۱۱ پ- ۲۱۶ر) [ مختصر- ف: ۵۲]</w:t>
      </w:r>
    </w:p>
    <w:p>
      <w:pPr>
        <w:pStyle w:val="Heading3"/>
      </w:pPr>
      <w:bookmarkStart w:id="1227" w:name="_Toc749"/>
      <w:r>
        <w:t>استقامة الشريعة بطريقة الحقيقة / عرفان و تصوف / فارسی</w:t>
      </w:r>
      <w:bookmarkEnd w:id="1227"/>
    </w:p>
    <w:p>
      <w:pPr>
        <w:pStyle w:val="BookText"/>
      </w:pPr>
      <w:r>
        <w:rPr>
          <w:rFonts w:ascii="Times New Roman" w:hAnsi="Times New Roman" w:eastAsia="Times New Roman" w:cs="Times New Roman"/>
          <w:lang w:val="en-US" w:bidi="en-US"/>
          <w:color w:val="111111"/>
          <w:sz w:val="28"/>
          <w:szCs w:val="28"/>
          <w:rtl/>
        </w:rPr>
        <w:t xml:space="preserve">al-esteqāmat-oš šarī‘a be-trīqat-el haqīqa</w:t>
      </w:r>
    </w:p>
    <w:p>
      <w:pPr>
        <w:pStyle w:val="BookText"/>
      </w:pPr>
      <w:r>
        <w:rPr>
          <w:rFonts w:ascii="IRNazanin" w:hAnsi="IRNazanin" w:eastAsia="IRNazanin" w:cs="IRNazanin"/>
          <w:lang w:bidi="fa-IR"/>
          <w:color w:val="111111"/>
          <w:sz w:val="28"/>
          <w:szCs w:val="28"/>
          <w:rtl/>
        </w:rPr>
        <w:t xml:space="preserve">گیسودراز، محمد بن  یوسف، ۷۲۱ - ۸۲۶؟ قمری</w:t>
      </w:r>
    </w:p>
    <w:p>
      <w:pPr>
        <w:pStyle w:val="BookText"/>
      </w:pPr>
      <w:r>
        <w:rPr>
          <w:rFonts w:ascii="Times New Roman" w:hAnsi="Times New Roman" w:eastAsia="Times New Roman" w:cs="Times New Roman"/>
          <w:lang w:val="en-US" w:bidi="en-US"/>
          <w:color w:val="111111"/>
          <w:sz w:val="28"/>
          <w:szCs w:val="28"/>
          <w:rtl/>
        </w:rPr>
        <w:t xml:space="preserve">(gīsūderāz, mohammad ebn-e yūsof (1322 - 1423)</w:t>
      </w:r>
    </w:p>
    <w:p>
      <w:pPr>
        <w:pStyle w:val="BookText"/>
      </w:pPr>
      <w:r>
        <w:rPr>
          <w:rFonts w:ascii="IRNazanin" w:hAnsi="IRNazanin" w:eastAsia="IRNazanin" w:cs="IRNazanin"/>
          <w:lang w:bidi="fa-IR"/>
          <w:color w:val="111111"/>
          <w:sz w:val="28"/>
          <w:szCs w:val="28"/>
          <w:rtl/>
        </w:rPr>
        <w:t xml:space="preserve">تاریخ تأليف: ۷۹۲ق</w:t>
      </w:r>
    </w:p>
    <w:p>
      <w:pPr>
        <w:pStyle w:val="BookText"/>
      </w:pPr>
      <w:r>
        <w:rPr>
          <w:rFonts w:ascii="IRNazanin" w:hAnsi="IRNazanin" w:eastAsia="IRNazanin" w:cs="IRNazanin"/>
          <w:lang w:bidi="fa-IR"/>
          <w:color w:val="111111"/>
          <w:sz w:val="28"/>
          <w:szCs w:val="28"/>
          <w:rtl/>
        </w:rPr>
        <w:t xml:space="preserve">[دیوان هند ۱۸۶۱؛ بادلیان ۱۲۶۷/۱؛ ایوانف ۱: ۵۸۳ ؛نسخه های منزوی1026]</w:t>
      </w:r>
    </w:p>
    <w:p>
      <w:pPr>
        <w:pStyle w:val="BookText"/>
      </w:pPr>
      <w:r>
        <w:rPr>
          <w:rFonts w:ascii="IRNazanin" w:hAnsi="IRNazanin" w:eastAsia="IRNazanin" w:cs="IRNazanin"/>
          <w:lang w:bidi="fa-IR"/>
          <w:color w:val="111111"/>
          <w:sz w:val="28"/>
          <w:szCs w:val="28"/>
          <w:rtl/>
        </w:rPr>
        <w:t xml:space="preserve">1.تهران؛ ملک؛ شماره نسخه: ۴۰۴۳/۸</w:t>
      </w:r>
    </w:p>
    <w:p>
      <w:pPr>
        <w:pStyle w:val="BookText"/>
      </w:pPr>
      <w:r>
        <w:rPr>
          <w:rFonts w:ascii="IRNazanin" w:hAnsi="IRNazanin" w:eastAsia="IRNazanin" w:cs="IRNazanin"/>
          <w:lang w:bidi="fa-IR"/>
          <w:color w:val="111111"/>
          <w:sz w:val="28"/>
          <w:szCs w:val="28"/>
          <w:rtl/>
        </w:rPr>
        <w:t xml:space="preserve">آغاز: بسمله، الحمد لله المتجلى على المطيع و للعاصي الغريب من الدانی؛ انجام: این نظیر بر وقف این خبرست از ذکر الله فاسکتـوا</w:t>
      </w:r>
    </w:p>
    <w:p>
      <w:pPr>
        <w:pStyle w:val="BookText"/>
      </w:pPr>
      <w:r>
        <w:rPr>
          <w:rFonts w:ascii="IRNazanin" w:hAnsi="IRNazanin" w:eastAsia="IRNazanin" w:cs="IRNazanin"/>
          <w:lang w:bidi="fa-IR"/>
          <w:color w:val="111111"/>
          <w:sz w:val="28"/>
          <w:szCs w:val="28"/>
          <w:rtl/>
        </w:rPr>
        <w:t xml:space="preserve">خط: نسخ، کا: شیخ حسین  علی، تا: ۱۰۳۶ق؛ کاغذ ،ترمه، جـلد: میشن تریاکی لائی مغزی سیاه ،۱۴گ، ۱۹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۲۳/۵سم [ف: ۷ - ۱۶۱]</w:t>
      </w:r>
    </w:p>
    <w:p>
      <w:pPr>
        <w:pStyle w:val="BookText"/>
      </w:pPr>
      <w:r>
        <w:rPr>
          <w:rFonts w:ascii="IRNazanin" w:hAnsi="IRNazanin" w:eastAsia="IRNazanin" w:cs="IRNazanin"/>
          <w:lang w:bidi="fa-IR"/>
          <w:color w:val="111111"/>
          <w:sz w:val="28"/>
          <w:szCs w:val="28"/>
          <w:rtl/>
        </w:rPr>
        <w:t xml:space="preserve">۲. تهران؛ دانشگاه؛ شماره نسخه: ۹۸۸/۳-ف</w:t>
      </w:r>
    </w:p>
    <w:p>
      <w:pPr>
        <w:pStyle w:val="BookText"/>
      </w:pPr>
      <w:r>
        <w:rPr>
          <w:rFonts w:ascii="IRNazanin" w:hAnsi="IRNazanin" w:eastAsia="IRNazanin" w:cs="IRNazanin"/>
          <w:lang w:bidi="fa-IR"/>
          <w:color w:val="111111"/>
          <w:sz w:val="28"/>
          <w:szCs w:val="28"/>
          <w:rtl/>
        </w:rPr>
        <w:t xml:space="preserve">نسخه اصل: بادلیان ۱۷۶ فرازر (۱۲۶۷) ؛بی کا،بی تا [فیلم ها-ف  : 1- 550]</w:t>
      </w:r>
    </w:p>
    <w:p>
      <w:pPr>
        <w:pStyle w:val="BookText"/>
      </w:pPr>
      <w:r>
        <w:rPr>
          <w:rFonts w:ascii="IRNazanin" w:hAnsi="IRNazanin" w:eastAsia="IRNazanin" w:cs="IRNazanin"/>
          <w:lang w:bidi="fa-IR"/>
          <w:color w:val="111111"/>
          <w:sz w:val="28"/>
          <w:szCs w:val="28"/>
          <w:rtl/>
        </w:rPr>
        <w:t xml:space="preserve">استقامت نامه / عرفان و تصوف, شعر / فارسی</w:t>
      </w:r>
    </w:p>
    <w:p>
      <w:pPr>
        <w:pStyle w:val="BookText"/>
      </w:pPr>
      <w:r>
        <w:rPr>
          <w:rFonts w:ascii="Times New Roman" w:hAnsi="Times New Roman" w:eastAsia="Times New Roman" w:cs="Times New Roman"/>
          <w:lang w:val="en-US" w:bidi="en-US"/>
          <w:color w:val="111111"/>
          <w:sz w:val="28"/>
          <w:szCs w:val="28"/>
          <w:rtl/>
        </w:rPr>
        <w:t xml:space="preserve">esteqāmat nāme</w:t>
      </w:r>
    </w:p>
    <w:p>
      <w:pPr>
        <w:pStyle w:val="BookText"/>
      </w:pPr>
      <w:r>
        <w:rPr>
          <w:rFonts w:ascii="IRNazanin" w:hAnsi="IRNazanin" w:eastAsia="IRNazanin" w:cs="IRNazanin"/>
          <w:lang w:bidi="fa-IR"/>
          <w:color w:val="111111"/>
          <w:sz w:val="28"/>
          <w:szCs w:val="28"/>
          <w:rtl/>
        </w:rPr>
        <w:t xml:space="preserve">جمالی اردستانی جمال الدین محمد ، 814- 883؟ قمری</w:t>
      </w:r>
    </w:p>
    <w:p>
      <w:pPr>
        <w:pStyle w:val="BookText"/>
      </w:pPr>
      <w:r>
        <w:rPr>
          <w:rFonts w:ascii="Times New Roman" w:hAnsi="Times New Roman" w:eastAsia="Times New Roman" w:cs="Times New Roman"/>
          <w:lang w:val="en-US" w:bidi="en-US"/>
          <w:color w:val="111111"/>
          <w:sz w:val="28"/>
          <w:szCs w:val="28"/>
          <w:rtl/>
        </w:rPr>
        <w:t xml:space="preserve">(1479-jamālī ardestānī, jamāl-od-dīn mohammad (1412</w:t>
      </w:r>
    </w:p>
    <w:p>
      <w:pPr>
        <w:pStyle w:val="BookText"/>
      </w:pPr>
      <w:r>
        <w:rPr>
          <w:rFonts w:ascii="IRNazanin" w:hAnsi="IRNazanin" w:eastAsia="IRNazanin" w:cs="IRNazanin"/>
          <w:lang w:bidi="fa-IR"/>
          <w:color w:val="111111"/>
          <w:sz w:val="28"/>
          <w:szCs w:val="28"/>
          <w:rtl/>
        </w:rPr>
        <w:t xml:space="preserve">مثنوی عرفانی است در شرح و تفسیر اصل استقامت که از اصـول عارفان است که با تکیه بر آیه سوره هود «فاستقم كما امرت »سوره فصلت «ان الذين قالوا ربنا الله ثم استقاموا ...» و برخـی آیات دیگر. البته جز این آیات از احادیثی نیز برای اثبات عقـاید خود بهره می برند. آنها استقامت را مرادف کلمه صراط مستقـیم دانسته و توجه و عمل به آن را تنها وسيله نجات عارفان از وساوس شیطانی و کشف حقایق می دانند. آغاز: استقم دل که باز حسن حبیب *** می کند عشوه ها به عـشق غريب / فاستقم دل که عشق شور انگیز *** فتنه انداخته ز غمزده  تیز</w:t>
      </w:r>
    </w:p>
    <w:p>
      <w:pPr>
        <w:pStyle w:val="BookText"/>
      </w:pPr>
      <w:r>
        <w:rPr>
          <w:rFonts w:ascii="IRNazanin" w:hAnsi="IRNazanin" w:eastAsia="IRNazanin" w:cs="IRNazanin"/>
          <w:lang w:bidi="fa-IR"/>
          <w:color w:val="111111"/>
          <w:sz w:val="28"/>
          <w:szCs w:val="28"/>
          <w:rtl/>
        </w:rPr>
        <w:t xml:space="preserve">انجام: اهل محبت که اهل قلوبند اهل شرع و اهل طریق را نیک می شناسند از بهر آن که حدیث .... در باطن ایشان استقامت یافته  و حضرت مصطفی... جدا نمی بینند و این احادیث را نیک می دانند. صدق الله العظيم و صدق رسوله النبي الكريم نحن على ذلک من الشاهدين و الشاكرين و الحمد لله رب العالمين وصلى  الله على محمد و آله الطيبين و الطاهرين المعصومين</w:t>
      </w:r>
    </w:p>
    <w:p>
      <w:pPr>
        <w:pStyle w:val="BookText"/>
      </w:pPr>
      <w:r>
        <w:rPr>
          <w:rFonts w:ascii="IRNazanin" w:hAnsi="IRNazanin" w:eastAsia="IRNazanin" w:cs="IRNazanin"/>
          <w:lang w:bidi="fa-IR"/>
          <w:color w:val="111111"/>
          <w:sz w:val="28"/>
          <w:szCs w:val="28"/>
          <w:rtl/>
        </w:rPr>
        <w:t xml:space="preserve">چاپ: تصحیح امیر سروری، در رسائل پیر جمال اردستانی، دفتر  دوم ،تهران، انتشارات کتابخانه مجلس شورای اسلامی، ۱۳۸۹ ش، صص ۵۳-۱۱۵</w:t>
      </w:r>
    </w:p>
    <w:p>
      <w:pPr>
        <w:pStyle w:val="BookText"/>
      </w:pPr>
      <w:r>
        <w:rPr>
          <w:rFonts w:ascii="IRNazanin" w:hAnsi="IRNazanin" w:eastAsia="IRNazanin" w:cs="IRNazanin"/>
          <w:lang w:bidi="fa-IR"/>
          <w:color w:val="111111"/>
          <w:sz w:val="28"/>
          <w:szCs w:val="28"/>
          <w:rtl/>
        </w:rPr>
        <w:t xml:space="preserve">[فهرستواره منزوی ۱۳۹/۱۰]</w:t>
      </w:r>
    </w:p>
    <w:p>
      <w:pPr>
        <w:pStyle w:val="BookText"/>
      </w:pPr>
      <w:r>
        <w:rPr>
          <w:rFonts w:ascii="IRNazanin" w:hAnsi="IRNazanin" w:eastAsia="IRNazanin" w:cs="IRNazanin"/>
          <w:lang w:bidi="fa-IR"/>
          <w:color w:val="111111"/>
          <w:sz w:val="28"/>
          <w:szCs w:val="28"/>
          <w:rtl/>
        </w:rPr>
        <w:t xml:space="preserve">۱. تهران؛ مجلس؛ شماره نسخه: ۹۳۲۶/۱۲</w:t>
      </w:r>
    </w:p>
    <w:p>
      <w:pPr>
        <w:pStyle w:val="BookText"/>
      </w:pPr>
      <w:r>
        <w:rPr>
          <w:rFonts w:ascii="IRNazanin" w:hAnsi="IRNazanin" w:eastAsia="IRNazanin" w:cs="IRNazanin"/>
          <w:lang w:bidi="fa-IR"/>
          <w:color w:val="111111"/>
          <w:sz w:val="28"/>
          <w:szCs w:val="28"/>
          <w:rtl/>
        </w:rPr>
        <w:t xml:space="preserve">خط: نستعليق، كا: محمد کریم بن میرزا زمان، تا: قرن ۱۳؛ جلد: تیماج سبز با ترنج و سرترنج  زرین، ۲۱ سطر [ف: ۳۰ - ۷۴]</w:t>
      </w:r>
    </w:p>
    <w:p>
      <w:pPr>
        <w:pStyle w:val="BookText"/>
      </w:pPr>
      <w:r>
        <w:rPr>
          <w:rFonts w:ascii="IRNazanin" w:hAnsi="IRNazanin" w:eastAsia="IRNazanin" w:cs="IRNazanin"/>
          <w:lang w:bidi="fa-IR"/>
          <w:color w:val="111111"/>
          <w:sz w:val="28"/>
          <w:szCs w:val="28"/>
          <w:rtl/>
        </w:rPr>
        <w:t xml:space="preserve">٢ . تهران؛ ملک؛ شماره نسخه: ۵۰۵۲/۱۸</w:t>
      </w:r>
    </w:p>
    <w:p>
      <w:pPr>
        <w:pStyle w:val="BookText"/>
      </w:pPr>
      <w:r>
        <w:rPr>
          <w:rFonts w:ascii="IRNazanin" w:hAnsi="IRNazanin" w:eastAsia="IRNazanin" w:cs="IRNazanin"/>
          <w:lang w:bidi="fa-IR"/>
          <w:color w:val="111111"/>
          <w:sz w:val="28"/>
          <w:szCs w:val="28"/>
          <w:rtl/>
        </w:rPr>
        <w:t xml:space="preserve">خط: نسخ، کا: محمدحمزوی  موسوی، تا: یک شنبه ۲۴ شوال ۱۲۲۹ق ؛کاغذ: فرنگی ،جلد: رویه کاغذ سیاه عطف و گوشه میشن سرخ، ۳۱ سطر [ف: ۳ - ۶۳۵]</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مجلس؛ شماره نسخه: ۱۱۳۲/۱۰</w:t>
      </w:r>
    </w:p>
    <w:p>
      <w:pPr>
        <w:pStyle w:val="BookText"/>
      </w:pPr>
      <w:r>
        <w:rPr>
          <w:rFonts w:ascii="IRNazanin" w:hAnsi="IRNazanin" w:eastAsia="IRNazanin" w:cs="IRNazanin"/>
          <w:lang w:bidi="fa-IR"/>
          <w:color w:val="111111"/>
          <w:sz w:val="28"/>
          <w:szCs w:val="28"/>
          <w:rtl/>
        </w:rPr>
        <w:t xml:space="preserve">خط: نستعلیق، کا: علی اشرف بن علی، تا: ۱۲۳۵ق؛ ۲۵ ص (۳۹۳- ۴۱۷) [ف: ۳ - ۳۹۰]</w:t>
      </w:r>
    </w:p>
    <w:p>
      <w:pPr>
        <w:pStyle w:val="BookText"/>
      </w:pPr>
      <w:r>
        <w:rPr>
          <w:rFonts w:ascii="IRNazanin" w:hAnsi="IRNazanin" w:eastAsia="IRNazanin" w:cs="IRNazanin"/>
          <w:lang w:bidi="fa-IR"/>
          <w:color w:val="111111"/>
          <w:sz w:val="28"/>
          <w:szCs w:val="28"/>
          <w:rtl/>
        </w:rPr>
        <w:t xml:space="preserve">4.شیراز؛ محلاتی صدرالدین؛ شماره نسخه: ۱۶/۱۹</w:t>
      </w:r>
    </w:p>
    <w:p>
      <w:pPr>
        <w:pStyle w:val="BookText"/>
      </w:pPr>
      <w:r>
        <w:rPr>
          <w:rFonts w:ascii="IRNazanin" w:hAnsi="IRNazanin" w:eastAsia="IRNazanin" w:cs="IRNazanin"/>
          <w:lang w:bidi="fa-IR"/>
          <w:color w:val="111111"/>
          <w:sz w:val="28"/>
          <w:szCs w:val="28"/>
          <w:rtl/>
        </w:rPr>
        <w:t xml:space="preserve">خط: نسخ، کا: سید محمد حمزوی، تا: ۱۲ شعبان ۱۲۳۸ق [ نشریه: 5- 273]</w:t>
      </w:r>
    </w:p>
    <w:p>
      <w:pPr>
        <w:pStyle w:val="BookText"/>
      </w:pPr>
      <w:r>
        <w:rPr>
          <w:rFonts w:ascii="IRNazanin" w:hAnsi="IRNazanin" w:eastAsia="IRNazanin" w:cs="IRNazanin"/>
          <w:lang w:bidi="fa-IR"/>
          <w:color w:val="111111"/>
          <w:sz w:val="28"/>
          <w:szCs w:val="28"/>
          <w:rtl/>
        </w:rPr>
        <w:t xml:space="preserve">۵. تهران؛ دانشگاه؛ شماره نسخه: ۵۱۲۴/۱</w:t>
      </w:r>
    </w:p>
    <w:p>
      <w:pPr>
        <w:pStyle w:val="BookText"/>
      </w:pPr>
      <w:r>
        <w:rPr>
          <w:rFonts w:ascii="IRNazanin" w:hAnsi="IRNazanin" w:eastAsia="IRNazanin" w:cs="IRNazanin"/>
          <w:lang w:bidi="fa-IR"/>
          <w:color w:val="111111"/>
          <w:sz w:val="28"/>
          <w:szCs w:val="28"/>
          <w:rtl/>
        </w:rPr>
        <w:t xml:space="preserve">خط: نستعلیق، بی کا، بی تا؛ کاغذ ،فرنگی، جلد: تیماج سبز ضربی  مقوایی، ۳۸گ (۱پ-38ر) ابعاد  متن: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قطع: ربعی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۱۵ - ۴۱۱۹]</w:t>
      </w:r>
    </w:p>
    <w:p>
      <w:pPr>
        <w:pStyle w:val="Heading3"/>
      </w:pPr>
      <w:bookmarkStart w:id="1228" w:name="_Toc750"/>
      <w:r>
        <w:t>الاستقبال = قبله نما / فقه | فارسی</w:t>
      </w:r>
      <w:bookmarkEnd w:id="1228"/>
    </w:p>
    <w:p>
      <w:pPr>
        <w:pStyle w:val="BookText"/>
      </w:pPr>
      <w:r>
        <w:rPr>
          <w:rFonts w:ascii="Times New Roman" w:hAnsi="Times New Roman" w:eastAsia="Times New Roman" w:cs="Times New Roman"/>
          <w:lang w:val="en-US" w:bidi="en-US"/>
          <w:color w:val="111111"/>
          <w:sz w:val="28"/>
          <w:szCs w:val="28"/>
          <w:rtl/>
        </w:rPr>
        <w:t xml:space="preserve">al-esteqbal = qeble-nema</w:t>
      </w:r>
    </w:p>
    <w:p>
      <w:pPr>
        <w:pStyle w:val="BookText"/>
      </w:pPr>
      <w:r>
        <w:rPr>
          <w:rFonts w:ascii="IRNazanin" w:hAnsi="IRNazanin" w:eastAsia="IRNazanin" w:cs="IRNazanin"/>
          <w:lang w:bidi="fa-IR"/>
          <w:color w:val="111111"/>
          <w:sz w:val="28"/>
          <w:szCs w:val="28"/>
          <w:rtl/>
        </w:rPr>
        <w:t xml:space="preserve">موسوی شوشتری، محمد عباس بن علی اکبر، ۱۲۲۴ -۱۳۰۶ قمری</w:t>
      </w:r>
    </w:p>
    <w:p>
      <w:pPr>
        <w:pStyle w:val="BookText"/>
      </w:pPr>
      <w:r>
        <w:rPr>
          <w:rFonts w:ascii="Times New Roman" w:hAnsi="Times New Roman" w:eastAsia="Times New Roman" w:cs="Times New Roman"/>
          <w:lang w:val="en-US" w:bidi="en-US"/>
          <w:color w:val="111111"/>
          <w:sz w:val="28"/>
          <w:szCs w:val="28"/>
          <w:rtl/>
        </w:rPr>
        <w:t xml:space="preserve">mūsavī šūštarī, mohammad abbas ebn-e 'alī akbar</w:t>
      </w:r>
    </w:p>
    <w:p>
      <w:pPr>
        <w:pStyle w:val="BookText"/>
      </w:pPr>
      <w:r>
        <w:rPr>
          <w:rFonts w:ascii="Times New Roman" w:hAnsi="Times New Roman" w:eastAsia="Times New Roman" w:cs="Times New Roman"/>
          <w:lang w:val="en-US" w:bidi="en-US"/>
          <w:color w:val="111111"/>
          <w:sz w:val="28"/>
          <w:szCs w:val="28"/>
          <w:rtl/>
        </w:rPr>
        <w:t xml:space="preserve">(1809 - 1889)</w:t>
      </w:r>
    </w:p>
    <w:p>
      <w:pPr>
        <w:pStyle w:val="BookText"/>
      </w:pPr>
      <w:r>
        <w:rPr>
          <w:rFonts w:ascii="IRNazanin" w:hAnsi="IRNazanin" w:eastAsia="IRNazanin" w:cs="IRNazanin"/>
          <w:lang w:bidi="fa-IR"/>
          <w:color w:val="111111"/>
          <w:sz w:val="28"/>
          <w:szCs w:val="28"/>
          <w:rtl/>
        </w:rPr>
        <w:t xml:space="preserve">شرح استدلالی متوسطی است با عناوین «قوله- اقول» بر مبحث قبله «تحفة الابرار» حجت الاسلام سید محمد باقر بن محمد تقی موسوی شفتی (-۱۲۶۰ق) با دو ایراد بر مصنف.</w:t>
      </w:r>
    </w:p>
    <w:p>
      <w:pPr>
        <w:pStyle w:val="BookText"/>
      </w:pPr>
      <w:r>
        <w:rPr>
          <w:rFonts w:ascii="IRNazanin" w:hAnsi="IRNazanin" w:eastAsia="IRNazanin" w:cs="IRNazanin"/>
          <w:lang w:bidi="fa-IR"/>
          <w:color w:val="111111"/>
          <w:sz w:val="28"/>
          <w:szCs w:val="28"/>
          <w:rtl/>
        </w:rPr>
        <w:t xml:space="preserve">مشهد؛ رضوی؛ شماره نسخه: ۳۲۰۳۳</w:t>
      </w:r>
    </w:p>
    <w:p>
      <w:pPr>
        <w:pStyle w:val="BookText"/>
      </w:pPr>
      <w:r>
        <w:rPr>
          <w:rFonts w:ascii="IRNazanin" w:hAnsi="IRNazanin" w:eastAsia="IRNazanin" w:cs="IRNazanin"/>
          <w:lang w:bidi="fa-IR"/>
          <w:color w:val="111111"/>
          <w:sz w:val="28"/>
          <w:szCs w:val="28"/>
          <w:rtl/>
        </w:rPr>
        <w:t xml:space="preserve">آغاز: بسمله. الحمد لله المتعال، عن جهات الوهم و الخيال و الصلاة  علی محمد قبلة الآمال؛ انجام: بعد از آن سمت قبله را از سایه</w:t>
      </w:r>
    </w:p>
    <w:p>
      <w:pPr>
        <w:pStyle w:val="BookText"/>
      </w:pPr>
      <w:r>
        <w:rPr>
          <w:rFonts w:ascii="IRNazanin" w:hAnsi="IRNazanin" w:eastAsia="IRNazanin" w:cs="IRNazanin"/>
          <w:lang w:bidi="fa-IR"/>
          <w:color w:val="111111"/>
          <w:sz w:val="28"/>
          <w:szCs w:val="28"/>
          <w:rtl/>
        </w:rPr>
        <w:t xml:space="preserve">آفتاب بگیرند الله الحمد والمنة</w:t>
      </w:r>
    </w:p>
    <w:p>
      <w:pPr>
        <w:pStyle w:val="BookText"/>
      </w:pPr>
      <w:r>
        <w:rPr>
          <w:rFonts w:ascii="IRNazanin" w:hAnsi="IRNazanin" w:eastAsia="IRNazanin" w:cs="IRNazanin"/>
          <w:lang w:bidi="fa-IR"/>
          <w:color w:val="111111"/>
          <w:sz w:val="28"/>
          <w:szCs w:val="28"/>
          <w:rtl/>
        </w:rPr>
        <w:t xml:space="preserve">خط: نستعلیق  خوش، کا: سید علی نقوی موسوی، تا: ۲۷ رجب  ۱۲۸۲ق؛ اهدایی: رهبری بهمن ۱۳۸۳؛ کاغذ: نخودی آهار مهره، جلد: فرنگی  ماشی، ۱۵ سطر [اهدائی رهبر: ۳ - ۶۵]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03" w:name="pg20365_260298"/>
    <w:bookmarkEnd w:id="203"/>
    <w:p>
      <w:pPr>
        <w:pStyle w:val="Heading3"/>
      </w:pPr>
      <w:bookmarkStart w:id="1229" w:name="_Toc751"/>
      <w:r>
        <w:t>استقبال القبلة / فقه / عربي</w:t>
      </w:r>
      <w:bookmarkEnd w:id="1229"/>
    </w:p>
    <w:p>
      <w:pPr>
        <w:pStyle w:val="BookText"/>
      </w:pPr>
      <w:r>
        <w:rPr>
          <w:rFonts w:ascii="Times New Roman" w:hAnsi="Times New Roman" w:eastAsia="Times New Roman" w:cs="Times New Roman"/>
          <w:lang w:val="en-US" w:bidi="en-US"/>
          <w:color w:val="111111"/>
          <w:sz w:val="28"/>
          <w:szCs w:val="28"/>
          <w:rtl/>
        </w:rPr>
        <w:t xml:space="preserve">istiqbāl-ul-qibla</w:t>
      </w:r>
    </w:p>
    <w:p>
      <w:pPr>
        <w:pStyle w:val="BookText"/>
      </w:pPr>
      <w:r>
        <w:rPr>
          <w:rFonts w:ascii="IRNazanin" w:hAnsi="IRNazanin" w:eastAsia="IRNazanin" w:cs="IRNazanin"/>
          <w:lang w:bidi="fa-IR"/>
          <w:color w:val="111111"/>
          <w:sz w:val="28"/>
          <w:szCs w:val="28"/>
          <w:rtl/>
        </w:rPr>
        <w:t xml:space="preserve">کرکی عاملی، حسین بن حسن، - ۱۰۰۱ قمری</w:t>
      </w:r>
    </w:p>
    <w:p>
      <w:pPr>
        <w:pStyle w:val="BookText"/>
      </w:pPr>
      <w:r>
        <w:rPr>
          <w:rFonts w:ascii="Times New Roman" w:hAnsi="Times New Roman" w:eastAsia="Times New Roman" w:cs="Times New Roman"/>
          <w:lang w:val="en-US" w:bidi="en-US"/>
          <w:color w:val="111111"/>
          <w:sz w:val="28"/>
          <w:szCs w:val="28"/>
          <w:rtl/>
        </w:rPr>
        <w:t xml:space="preserve">(karakī ‘āmelī, hoseyn ebn-e hasan (- 1593)</w:t>
      </w:r>
    </w:p>
    <w:p>
      <w:pPr>
        <w:pStyle w:val="BookText"/>
      </w:pPr>
      <w:r>
        <w:rPr>
          <w:rFonts w:ascii="IRNazanin" w:hAnsi="IRNazanin" w:eastAsia="IRNazanin" w:cs="IRNazanin"/>
          <w:lang w:bidi="fa-IR"/>
          <w:color w:val="111111"/>
          <w:sz w:val="28"/>
          <w:szCs w:val="28"/>
          <w:rtl/>
        </w:rPr>
        <w:t xml:space="preserve">رساله در یک «مقدمه» که دارای چند «بحث» است و چند «فصل» و «خاتمه» که دارای چند «تنبیه» می باشد. صاحب ریاض از این رساله یاد می کند و می گوید «فيها فوائد كثيرة اخری». صاحب الذریعه به وجود نسخه ای از این رساله اشارت نمی کند [ الذريعه ٢٩:٢]</w:t>
      </w:r>
    </w:p>
    <w:p>
      <w:pPr>
        <w:pStyle w:val="BookText"/>
      </w:pPr>
      <w:r>
        <w:rPr>
          <w:rFonts w:ascii="IRNazanin" w:hAnsi="IRNazanin" w:eastAsia="IRNazanin" w:cs="IRNazanin"/>
          <w:lang w:bidi="fa-IR"/>
          <w:color w:val="111111"/>
          <w:sz w:val="28"/>
          <w:szCs w:val="28"/>
          <w:rtl/>
        </w:rPr>
        <w:t xml:space="preserve">تهران؛ مجلس؛ شماره نسخه: ۳۹۸۸/۱۰</w:t>
      </w:r>
    </w:p>
    <w:p>
      <w:pPr>
        <w:pStyle w:val="BookText"/>
      </w:pPr>
      <w:r>
        <w:rPr>
          <w:rFonts w:ascii="IRNazanin" w:hAnsi="IRNazanin" w:eastAsia="IRNazanin" w:cs="IRNazanin"/>
          <w:lang w:bidi="fa-IR"/>
          <w:color w:val="111111"/>
          <w:sz w:val="28"/>
          <w:szCs w:val="28"/>
          <w:rtl/>
        </w:rPr>
        <w:t xml:space="preserve">آغاز: الحمد لله الذي خلق الموت والحيوة - فهذه استقبال الـحق على جهة الاستقلال و الانحراف عن طريق اهل الغوايه و الاضلال في الاستقبال بالميت في جميع الاحوال؛ انجام: كثيراً ما يسـمع الناس يتمنون ظهور صاحب الامر ((صلّی اللَّهِ علیه وَ آلِهِ وَ سَلَّمَ ) مدعين انه لوظهر لانقادوا اليه و اطاعوه ممتثلین اوامره و منتهين عن نواهيه و عند الظهر فالامر في الامتناع اكبر.</w:t>
      </w:r>
    </w:p>
    <w:p>
      <w:pPr>
        <w:pStyle w:val="BookText"/>
      </w:pPr>
      <w:r>
        <w:rPr>
          <w:rFonts w:ascii="IRNazanin" w:hAnsi="IRNazanin" w:eastAsia="IRNazanin" w:cs="IRNazanin"/>
          <w:lang w:bidi="fa-IR"/>
          <w:color w:val="111111"/>
          <w:sz w:val="28"/>
          <w:szCs w:val="28"/>
          <w:rtl/>
        </w:rPr>
        <w:t xml:space="preserve">خط: نسخ، بی کا؛ تا: قرن ۱۱؛ کاغذ: اصفهانی آهار مهره، جـلد: تیماج قرمز با عطف  دامن، ۳۴ ص (۶۲۵-۶۵۸)، ۳۱سطر، قطع: وزیری، اندازه: 16/5</w:t>
      </w:r>
      <w:r>
        <w:rPr>
          <w:rFonts w:ascii="Times New Roman" w:hAnsi="Times New Roman" w:eastAsia="Times New Roman" w:cs="Times New Roman"/>
          <w:lang w:val="en-US" w:bidi="en-US"/>
          <w:color w:val="111111"/>
          <w:sz w:val="28"/>
          <w:szCs w:val="28"/>
          <w:rtl/>
        </w:rPr>
        <w:t xml:space="preserve">×27</w:t>
      </w:r>
      <w:r>
        <w:rPr>
          <w:rFonts w:ascii="IRNazanin" w:hAnsi="IRNazanin" w:eastAsia="IRNazanin" w:cs="IRNazanin"/>
          <w:lang w:bidi="fa-IR"/>
          <w:color w:val="111111"/>
          <w:sz w:val="28"/>
          <w:szCs w:val="28"/>
          <w:rtl/>
        </w:rPr>
        <w:t xml:space="preserve">سم [ف: ۱۰ - ۲۱۶۶]</w:t>
      </w:r>
    </w:p>
    <w:p>
      <w:pPr>
        <w:pStyle w:val="BookText"/>
      </w:pPr>
      <w:r>
        <w:rPr>
          <w:rFonts w:ascii="Amiri" w:hAnsi="Amiri" w:eastAsia="Amiri" w:cs="Amiri"/>
          <w:lang w:bidi="ar-SA"/>
          <w:color w:val="111111"/>
          <w:sz w:val="28"/>
          <w:szCs w:val="28"/>
          <w:rtl/>
        </w:rPr>
        <w:t xml:space="preserve">«استقبال القبلة (ترجمه) » قبله</w:t>
      </w:r>
    </w:p>
    <w:p>
      <w:pPr>
        <w:pStyle w:val="Heading3"/>
      </w:pPr>
      <w:bookmarkStart w:id="1230" w:name="_Toc752"/>
      <w:r>
        <w:t>استقبال های شعری / شعر / فارسی</w:t>
      </w:r>
      <w:bookmarkEnd w:id="1230"/>
    </w:p>
    <w:p>
      <w:pPr>
        <w:pStyle w:val="BookText"/>
      </w:pPr>
      <w:r>
        <w:rPr>
          <w:rFonts w:ascii="Times New Roman" w:hAnsi="Times New Roman" w:eastAsia="Times New Roman" w:cs="Times New Roman"/>
          <w:lang w:val="en-US" w:bidi="en-US"/>
          <w:color w:val="111111"/>
          <w:sz w:val="28"/>
          <w:szCs w:val="28"/>
          <w:rtl/>
        </w:rPr>
        <w:t xml:space="preserve">esteqbāl-hā-ye še‘rī</w:t>
      </w:r>
    </w:p>
    <w:p>
      <w:pPr>
        <w:pStyle w:val="BookText"/>
      </w:pPr>
      <w:r>
        <w:rPr>
          <w:rFonts w:ascii="IRNazanin" w:hAnsi="IRNazanin" w:eastAsia="IRNazanin" w:cs="IRNazanin"/>
          <w:lang w:bidi="fa-IR"/>
          <w:color w:val="111111"/>
          <w:sz w:val="28"/>
          <w:szCs w:val="28"/>
          <w:rtl/>
        </w:rPr>
        <w:t xml:space="preserve">استقبال هایی که برخی از شعرهای دیگران کرده و پاسخ هـا جواب هایی که به آنها داده اند نام این شعرا  آمده: امیر خسرو، الهى ،صاحب، نافع ،منیر ،صائب ،کلیم ،واله جامی، حافـظ، ناصر على هلالی ،آصفی ،نرگسی، قدسی، خفی، ابوالقاسم، ظهوری، ظاهر  علی ،قصاب، شاه  سرمد، شیدا، شاه شرف قلندر، مغربی، کمال ،خجند ،رسوا، محمد زمان نافع، حكيم عبدالحاذق، زیب النسا  بیگم ،مشتاق،شوقی، طالب آملی، اسیر، غنی، سعدی ،فانی ،بیدل، شاه ظهور ،الدین خواجه عبدالوهاب، عطا حكـیم ،عشقی، میر باقر علوی ،شرعی، محسن  فانی، ملاشاه فغان ،نقشبند ،مهاسنگ  کشتواری، طاهر غنی، محمد مسلم بينا، لاله ملک شهید، ملادانا، محمد رفیع  منشی، گویا میرزا داراب جویا، علوی، شیخ یعقوب صیرفی، استغنا، خواجه محمود، شـیخ الاسلام ابن شمعون شعرها غزل و مخمس است و رباعی ترجیع و معما و قصیده.</w:t>
      </w:r>
    </w:p>
    <w:p>
      <w:pPr>
        <w:pStyle w:val="BookText"/>
      </w:pPr>
      <w:r>
        <w:rPr>
          <w:rFonts w:ascii="IRNazanin" w:hAnsi="IRNazanin" w:eastAsia="IRNazanin" w:cs="IRNazanin"/>
          <w:lang w:bidi="fa-IR"/>
          <w:color w:val="111111"/>
          <w:sz w:val="28"/>
          <w:szCs w:val="28"/>
          <w:rtl/>
        </w:rPr>
        <w:t xml:space="preserve">تهران؛ دانشگاه؛ شماره نسخه: ۴۶۲۸/۱۴</w:t>
      </w:r>
    </w:p>
    <w:p>
      <w:pPr>
        <w:pStyle w:val="BookText"/>
      </w:pPr>
      <w:r>
        <w:rPr>
          <w:rFonts w:ascii="IRNazanin" w:hAnsi="IRNazanin" w:eastAsia="IRNazanin" w:cs="IRNazanin"/>
          <w:lang w:bidi="fa-IR"/>
          <w:color w:val="111111"/>
          <w:sz w:val="28"/>
          <w:szCs w:val="28"/>
          <w:rtl/>
        </w:rPr>
        <w:t xml:space="preserve">خط: نستعلیق و شکسته نستعلیق،  بی کا ، بی تا؛ مجدول، کاغذ: سپاهانی، جلد: تیماج آبی ترنجی عطف و درون قهوه ای، ۷۵ص</w:t>
      </w:r>
    </w:p>
    <w:p>
      <w:pPr>
        <w:pStyle w:val="BookText"/>
      </w:pPr>
      <w:r>
        <w:rPr>
          <w:rFonts w:ascii="IRNazanin" w:hAnsi="IRNazanin" w:eastAsia="IRNazanin" w:cs="IRNazanin"/>
          <w:lang w:bidi="fa-IR"/>
          <w:color w:val="111111"/>
          <w:sz w:val="28"/>
          <w:szCs w:val="28"/>
          <w:rtl/>
        </w:rPr>
        <w:t xml:space="preserve">(۴۶۸-۳۹۴)، ۱۴ سطر (7</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۱۴ - ۳۵۶۵]</w:t>
      </w:r>
    </w:p>
    <w:p>
      <w:pPr>
        <w:pStyle w:val="Heading3"/>
      </w:pPr>
      <w:bookmarkStart w:id="1231" w:name="_Toc753"/>
      <w:r>
        <w:t>الاستقراء / منطق / عربي</w:t>
      </w:r>
      <w:bookmarkEnd w:id="1231"/>
    </w:p>
    <w:p>
      <w:pPr>
        <w:pStyle w:val="BookText"/>
      </w:pPr>
      <w:r>
        <w:rPr>
          <w:rFonts w:ascii="Times New Roman" w:hAnsi="Times New Roman" w:eastAsia="Times New Roman" w:cs="Times New Roman"/>
          <w:lang w:val="en-US" w:bidi="en-US"/>
          <w:color w:val="111111"/>
          <w:sz w:val="28"/>
          <w:szCs w:val="28"/>
          <w:rtl/>
        </w:rPr>
        <w:t xml:space="preserve">al-istiqra</w:t>
      </w:r>
    </w:p>
    <w:p>
      <w:pPr>
        <w:pStyle w:val="BookText"/>
      </w:pPr>
      <w:r>
        <w:rPr>
          <w:rFonts w:ascii="IRNazanin" w:hAnsi="IRNazanin" w:eastAsia="IRNazanin" w:cs="IRNazanin"/>
          <w:lang w:bidi="fa-IR"/>
          <w:color w:val="111111"/>
          <w:sz w:val="28"/>
          <w:szCs w:val="28"/>
          <w:rtl/>
        </w:rPr>
        <w:t xml:space="preserve">تهران؛ دانشگاه؛ شماره نسخه: ۴۳۴۵/۱۷-ف</w:t>
      </w:r>
    </w:p>
    <w:p>
      <w:pPr>
        <w:pStyle w:val="BookText"/>
      </w:pPr>
      <w:r>
        <w:rPr>
          <w:rFonts w:ascii="IRNazanin" w:hAnsi="IRNazanin" w:eastAsia="IRNazanin" w:cs="IRNazanin"/>
          <w:lang w:bidi="fa-IR"/>
          <w:color w:val="111111"/>
          <w:sz w:val="28"/>
          <w:szCs w:val="28"/>
          <w:rtl/>
        </w:rPr>
        <w:t xml:space="preserve">نسخه اصل: دانشگاه پرینستن، ش ۳۵۵۹؛ بی کا، بی تا؛ در ص ع آمده است: «فيها خط الطوسی» در راهنمای کتاب (۶۴۹/۱۶ -۶۵۷) شناسانده شده [فیلم ها -ف ۳ - ۴۹]</w:t>
      </w:r>
    </w:p>
    <w:p>
      <w:pPr>
        <w:pStyle w:val="Heading3"/>
      </w:pPr>
      <w:bookmarkStart w:id="1232" w:name="_Toc754"/>
      <w:r>
        <w:t>استقراض روس از بانکهای فرنگستان / اقتصاد / فارسی</w:t>
      </w:r>
      <w:bookmarkEnd w:id="1232"/>
    </w:p>
    <w:p>
      <w:pPr>
        <w:pStyle w:val="BookText"/>
      </w:pPr>
      <w:r>
        <w:rPr>
          <w:rFonts w:ascii="Times New Roman" w:hAnsi="Times New Roman" w:eastAsia="Times New Roman" w:cs="Times New Roman"/>
          <w:lang w:val="en-US" w:bidi="en-US"/>
          <w:color w:val="111111"/>
          <w:sz w:val="28"/>
          <w:szCs w:val="28"/>
          <w:rtl/>
        </w:rPr>
        <w:t xml:space="preserve">esteqrāz-e rūs az bānk-hā-ye farangestan</w:t>
      </w:r>
    </w:p>
    <w:p>
      <w:pPr>
        <w:pStyle w:val="BookText"/>
      </w:pPr>
      <w:r>
        <w:rPr>
          <w:rFonts w:ascii="IRNazanin" w:hAnsi="IRNazanin" w:eastAsia="IRNazanin" w:cs="IRNazanin"/>
          <w:lang w:bidi="fa-IR"/>
          <w:color w:val="111111"/>
          <w:sz w:val="28"/>
          <w:szCs w:val="28"/>
          <w:rtl/>
        </w:rPr>
        <w:t xml:space="preserve">تهران؛ مجلس؛ شماره نسخه: ۹۴۵۱/۳۴</w:t>
      </w:r>
    </w:p>
    <w:p>
      <w:pPr>
        <w:pStyle w:val="BookText"/>
      </w:pPr>
      <w:r>
        <w:rPr>
          <w:rFonts w:ascii="IRNazanin" w:hAnsi="IRNazanin" w:eastAsia="IRNazanin" w:cs="IRNazanin"/>
          <w:lang w:bidi="fa-IR"/>
          <w:color w:val="111111"/>
          <w:sz w:val="28"/>
          <w:szCs w:val="28"/>
          <w:rtl/>
        </w:rPr>
        <w:t xml:space="preserve">خط: نستعلیق، بی کا، تا: قرن ۱۴؛ ۲ (۱۳۵۱-۱۳۵۲) [مختصر - ف:  52]</w:t>
      </w:r>
    </w:p>
    <w:p>
      <w:pPr>
        <w:pStyle w:val="Heading3"/>
      </w:pPr>
      <w:bookmarkStart w:id="1233" w:name="_Toc755"/>
      <w:r>
        <w:t>الاستقصاء / ریاضیات / عربی</w:t>
      </w:r>
      <w:bookmarkEnd w:id="1233"/>
    </w:p>
    <w:p>
      <w:pPr>
        <w:pStyle w:val="BookText"/>
      </w:pPr>
      <w:r>
        <w:rPr>
          <w:rFonts w:ascii="Times New Roman" w:hAnsi="Times New Roman" w:eastAsia="Times New Roman" w:cs="Times New Roman"/>
          <w:lang w:val="en-US" w:bidi="en-US"/>
          <w:color w:val="111111"/>
          <w:sz w:val="28"/>
          <w:szCs w:val="28"/>
          <w:rtl/>
        </w:rPr>
        <w:t xml:space="preserve">al-istiqṣā</w:t>
      </w:r>
    </w:p>
    <w:p>
      <w:pPr>
        <w:pStyle w:val="BookText"/>
      </w:pPr>
      <w:r>
        <w:rPr>
          <w:rFonts w:ascii="IRNazanin" w:hAnsi="IRNazanin" w:eastAsia="IRNazanin" w:cs="IRNazanin"/>
          <w:lang w:bidi="fa-IR"/>
          <w:color w:val="111111"/>
          <w:sz w:val="28"/>
          <w:szCs w:val="28"/>
          <w:rtl/>
        </w:rPr>
        <w:t xml:space="preserve">خیوقی، حسن بن حارث، ق ۶ قمری</w:t>
      </w:r>
    </w:p>
    <w:p>
      <w:pPr>
        <w:pStyle w:val="BookText"/>
      </w:pPr>
      <w:r>
        <w:rPr>
          <w:rFonts w:ascii="Times New Roman" w:hAnsi="Times New Roman" w:eastAsia="Times New Roman" w:cs="Times New Roman"/>
          <w:lang w:val="en-US" w:bidi="en-US"/>
          <w:color w:val="111111"/>
          <w:sz w:val="28"/>
          <w:szCs w:val="28"/>
          <w:rtl/>
        </w:rPr>
        <w:t xml:space="preserve">(xīvaqī, hasan ebn-e hāres (- 12c)</w:t>
      </w:r>
    </w:p>
    <w:p>
      <w:pPr>
        <w:pStyle w:val="BookText"/>
      </w:pPr>
      <w:r>
        <w:rPr>
          <w:rFonts w:ascii="IRNazanin" w:hAnsi="IRNazanin" w:eastAsia="IRNazanin" w:cs="IRNazanin"/>
          <w:lang w:bidi="fa-IR"/>
          <w:color w:val="111111"/>
          <w:sz w:val="28"/>
          <w:szCs w:val="28"/>
          <w:rtl/>
        </w:rPr>
        <w:t xml:space="preserve">اهداء به: اتسز خوارزمشاه (۵۲۱-۵۵۱ ق)</w:t>
      </w:r>
    </w:p>
    <w:p>
      <w:pPr>
        <w:pStyle w:val="BookText"/>
      </w:pPr>
      <w:r>
        <w:rPr>
          <w:rFonts w:ascii="IRNazanin" w:hAnsi="IRNazanin" w:eastAsia="IRNazanin" w:cs="IRNazanin"/>
          <w:lang w:bidi="fa-IR"/>
          <w:color w:val="111111"/>
          <w:sz w:val="28"/>
          <w:szCs w:val="28"/>
          <w:rtl/>
        </w:rPr>
        <w:t xml:space="preserve">در جبر و مقابله و طرق حساب در مسائل وصایاست، در آن از اصول اقلیدس و کتاب جبر و مقابله محمد بن موسى الخوارزمی  (- ۲۰۵ ق) نیز نقل شده است.</w:t>
      </w:r>
    </w:p>
    <w:p>
      <w:pPr>
        <w:pStyle w:val="BookText"/>
      </w:pPr>
      <w:r>
        <w:rPr>
          <w:rFonts w:ascii="IRNazanin" w:hAnsi="IRNazanin" w:eastAsia="IRNazanin" w:cs="IRNazanin"/>
          <w:lang w:bidi="fa-IR"/>
          <w:color w:val="111111"/>
          <w:sz w:val="28"/>
          <w:szCs w:val="28"/>
          <w:rtl/>
        </w:rPr>
        <w:t xml:space="preserve">آغاز: بسمله، لقد فضل الله الملك الكبير العالم العادل الفاضل اتسز خوارزمشاه اكرمه الله بالعلوم النفيسه ... قال ابوعلى الحسن بن حرب الحبوبي (كذا) [حبوبي غلط کاتب است و صواب خیوقی است منسوب به خیوه که شهریست از خوارزم] الخوارزمى ان اجل العلوم الشرعية بعد معرفة الله تعالى ... علم الرياضيات من الجبر والمقابلة والاعمال الهندسية وقد شرحت في هذا الكتاب طرق الحساب فى مسايل الوصايا من حساب الجبر والمقابلة بطريق الخطأين والدينار والدرهم و الخطوط و السطوح و استقصيت جميع ذلك فيه</w:t>
      </w:r>
    </w:p>
    <w:p>
      <w:pPr>
        <w:pStyle w:val="BookText"/>
      </w:pPr>
      <w:r>
        <w:rPr>
          <w:rFonts w:ascii="Amiri" w:hAnsi="Amiri" w:eastAsia="Amiri" w:cs="Amiri"/>
          <w:lang w:bidi="ar-SA"/>
          <w:color w:val="111111"/>
          <w:sz w:val="28"/>
          <w:szCs w:val="28"/>
          <w:rtl/>
        </w:rPr>
        <w:t xml:space="preserve">انجام: لا يحصى كثيرة والله اعلم بالصواب.</w:t>
      </w:r>
    </w:p>
    <w:p>
      <w:pPr>
        <w:pStyle w:val="BookText"/>
      </w:pPr>
      <w:r>
        <w:rPr>
          <w:rFonts w:ascii="IRNazanin" w:hAnsi="IRNazanin" w:eastAsia="IRNazanin" w:cs="IRNazanin"/>
          <w:lang w:bidi="fa-IR"/>
          <w:color w:val="111111"/>
          <w:sz w:val="28"/>
          <w:szCs w:val="28"/>
          <w:rtl/>
        </w:rPr>
        <w:t xml:space="preserve">۱. مشهد؛ رضوی؛ شماره نسخه: ۵۵۲۲/۲</w:t>
      </w:r>
    </w:p>
    <w:p>
      <w:pPr>
        <w:pStyle w:val="BookText"/>
      </w:pPr>
      <w:r>
        <w:rPr>
          <w:rFonts w:ascii="Amiri" w:hAnsi="Amiri" w:eastAsia="Amiri" w:cs="Amiri"/>
          <w:lang w:bidi="ar-SA"/>
          <w:color w:val="111111"/>
          <w:sz w:val="28"/>
          <w:szCs w:val="28"/>
          <w:rtl/>
        </w:rPr>
        <w:t xml:space="preserve">آغاز: برابر؛ انجام: و نضربه فى نفسه فما حصل فهو المقصود تم المحاسبة بين العصر والمغرب في شهر المبارك</w:t>
      </w:r>
    </w:p>
    <w:p>
      <w:pPr>
        <w:pStyle w:val="BookText"/>
      </w:pPr>
      <w:r>
        <w:rPr>
          <w:rFonts w:ascii="IRNazanin" w:hAnsi="IRNazanin" w:eastAsia="IRNazanin" w:cs="IRNazanin"/>
          <w:lang w:bidi="fa-IR"/>
          <w:color w:val="111111"/>
          <w:sz w:val="28"/>
          <w:szCs w:val="28"/>
          <w:rtl/>
        </w:rPr>
        <w:t xml:space="preserve">خط: نسخ، بی کا، تا: قرن ۷؛ کاغذ: حنایی، جلد: تیماج  مشکی، ۱۱۵ ص (۱۹۷-۳۱۱)، ۱۳ سطر (۷/۵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۱۱/۳)، اندازه: ۱۲/۲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w:t>
      </w:r>
    </w:p>
    <w:p>
      <w:pPr>
        <w:pStyle w:val="BookText"/>
      </w:pPr>
      <w:r>
        <w:rPr>
          <w:rFonts w:ascii="IRNazanin" w:hAnsi="IRNazanin" w:eastAsia="IRNazanin" w:cs="IRNazanin"/>
          <w:lang w:bidi="fa-IR"/>
          <w:color w:val="111111"/>
          <w:sz w:val="28"/>
          <w:szCs w:val="28"/>
          <w:rtl/>
        </w:rPr>
        <w:t xml:space="preserve">[ف ۸ - ۳۷۷]</w:t>
      </w:r>
    </w:p>
    <w:p>
      <w:pPr>
        <w:pStyle w:val="BookText"/>
      </w:pPr>
      <w:r>
        <w:rPr>
          <w:rFonts w:ascii="IRNazanin" w:hAnsi="IRNazanin" w:eastAsia="IRNazanin" w:cs="IRNazanin"/>
          <w:lang w:bidi="fa-IR"/>
          <w:color w:val="111111"/>
          <w:sz w:val="28"/>
          <w:szCs w:val="28"/>
          <w:rtl/>
        </w:rPr>
        <w:t xml:space="preserve">۲. مشهد؛ رضوی؛ شماره نسخه: ۱۹۲۹۴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04" w:name="pg20365_260299"/>
    <w:bookmarkEnd w:id="204"/>
    <w:p>
      <w:pPr>
        <w:pStyle w:val="BookText"/>
      </w:pPr>
      <w:r>
        <w:rPr>
          <w:rFonts w:ascii="IRNazanin" w:hAnsi="IRNazanin" w:eastAsia="IRNazanin" w:cs="IRNazanin"/>
          <w:lang w:bidi="fa-IR"/>
          <w:color w:val="111111"/>
          <w:sz w:val="28"/>
          <w:szCs w:val="28"/>
          <w:rtl/>
        </w:rPr>
        <w:t xml:space="preserve">آغاز: برابر؛ انجام: تم المحاسبة بين العصر و المغرب فى شـهر المبارک</w:t>
      </w:r>
    </w:p>
    <w:p>
      <w:pPr>
        <w:pStyle w:val="BookText"/>
      </w:pPr>
      <w:r>
        <w:rPr>
          <w:rFonts w:ascii="IRNazanin" w:hAnsi="IRNazanin" w:eastAsia="IRNazanin" w:cs="IRNazanin"/>
          <w:lang w:bidi="fa-IR"/>
          <w:color w:val="111111"/>
          <w:sz w:val="28"/>
          <w:szCs w:val="28"/>
          <w:rtl/>
        </w:rPr>
        <w:t xml:space="preserve">خط: نسخ  خفی، بی کا، تا: ۶۳۳ق [رایانه]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مشهد؛ رضوی؛ شماره نسخه: ۵۲۳۹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سلیمان بن صاعد بن سلیمان، تا: ربیع الثانی 791ق؛ در آغاز و انجام نسخه خط و امضاء و مهر شیخ بهائی است به تاریخ دوم ذیحجه ۹۷۲ هجری؛ واقف: نادرشاه افشـار ،۱۱۴۵، کاغذ: حنایی :جلد ،پارچه ای، ۴۵گ، ۱۹ سطر (8</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 اندازه: ۱۴/۳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۲۲/۷سم [ف: ۸ - ۲۶]</w:t>
      </w:r>
    </w:p>
    <w:p>
      <w:pPr>
        <w:pStyle w:val="BookText"/>
      </w:pPr>
      <w:r>
        <w:rPr>
          <w:rFonts w:ascii="IRNazanin" w:hAnsi="IRNazanin" w:eastAsia="IRNazanin" w:cs="IRNazanin"/>
          <w:lang w:bidi="fa-IR"/>
          <w:color w:val="111111"/>
          <w:sz w:val="28"/>
          <w:szCs w:val="28"/>
          <w:rtl/>
        </w:rPr>
        <w:t xml:space="preserve">۴. مشهد؛ رضوی؛ شماره نسخه: ۵۲۴۰</w:t>
      </w:r>
    </w:p>
    <w:p>
      <w:pPr>
        <w:pStyle w:val="BookText"/>
      </w:pPr>
      <w:r>
        <w:rPr>
          <w:rFonts w:ascii="Amiri" w:hAnsi="Amiri" w:eastAsia="Amiri" w:cs="Amiri"/>
          <w:lang w:bidi="ar-SA"/>
          <w:color w:val="111111"/>
          <w:sz w:val="28"/>
          <w:szCs w:val="28"/>
          <w:rtl/>
        </w:rPr>
        <w:t xml:space="preserve">آغاز: برابر؛ انجام: على ما بينه اقليدس فى المقالة السادسة فنـسبة آب الذى يوتر زاوية</w:t>
      </w:r>
    </w:p>
    <w:p>
      <w:pPr>
        <w:pStyle w:val="BookText"/>
      </w:pPr>
      <w:r>
        <w:rPr>
          <w:rFonts w:ascii="IRNazanin" w:hAnsi="IRNazanin" w:eastAsia="IRNazanin" w:cs="IRNazanin"/>
          <w:lang w:bidi="fa-IR"/>
          <w:color w:val="111111"/>
          <w:sz w:val="28"/>
          <w:szCs w:val="28"/>
          <w:rtl/>
        </w:rPr>
        <w:t xml:space="preserve">خط: نسخ، بی کا، تا: قرن ۹؛ افتادگی: انجام؛ در پایان این نسخه هجده سطر مسأله ای است درباره استخراج جذر از همان مؤلف؛ در چهارم رجب ۱۳۱۲ داخل عرض شده؛ کاغذ: حنایی سمرقندی، جلد: پارچه ای عطف و گوشه  چرمی، ۶۱گ ۱۴ سـطر (۵/۵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۹/۵)،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۱۴/۵سم [ف: ۸ - ۲۷]</w:t>
      </w:r>
    </w:p>
    <w:p>
      <w:pPr>
        <w:pStyle w:val="Heading3"/>
      </w:pPr>
      <w:bookmarkStart w:id="1234" w:name="_Toc756"/>
      <w:r>
        <w:t>استقصاء الاجتهاد / فقه / عربي</w:t>
      </w:r>
      <w:bookmarkEnd w:id="1234"/>
    </w:p>
    <w:p>
      <w:pPr>
        <w:pStyle w:val="BookText"/>
      </w:pPr>
      <w:r>
        <w:rPr>
          <w:rFonts w:ascii="Times New Roman" w:hAnsi="Times New Roman" w:eastAsia="Times New Roman" w:cs="Times New Roman"/>
          <w:lang w:val="en-US" w:bidi="en-US"/>
          <w:color w:val="111111"/>
          <w:sz w:val="28"/>
          <w:szCs w:val="28"/>
          <w:rtl/>
        </w:rPr>
        <w:t xml:space="preserve">istiqṣā’-ul-ijtihād</w:t>
      </w:r>
    </w:p>
    <w:p>
      <w:pPr>
        <w:pStyle w:val="BookText"/>
      </w:pPr>
      <w:r>
        <w:rPr>
          <w:rFonts w:ascii="IRNazanin" w:hAnsi="IRNazanin" w:eastAsia="IRNazanin" w:cs="IRNazanin"/>
          <w:lang w:bidi="fa-IR"/>
          <w:color w:val="111111"/>
          <w:sz w:val="28"/>
          <w:szCs w:val="28"/>
          <w:rtl/>
        </w:rPr>
        <w:t xml:space="preserve">از ناشناس چون از «بحار الانوار» و «وسائل الشيعه» و«شرح استبصار» محدث جزائری نقل و روایت کرده معلوم می گردد که مؤلف از فقهاء امامیه قرن ۱۲ق به بعد  است. کتابی اسـت شامل ابواب طهارت و صلاة. برای نشانی بیشتر: اول نسخه کتاب طهارت است و مطالب اولی آن راجع به مباحث مطهرات و نجاسات  است: «باب الوضوء و فيه فصول [۱۴ فصل] الفصـل الاول في موجبه الخ»، «باب الغسل و فيه فصول [ 6فصل] الاول في اقسامه الخ»، باب التيمم وفيه فصول فى وقته الخ»، «الفصـل الثالث فى اللباس مسئلة اختلفت الاخبار والأقوال فى السنجاب الخ»، الفصل الرابع فى المكان اعلم اني لم اقف في كتب الاخـبار و لافى كتب الاستدلال في مبحث المكان خبر مشتمل على لفـظ المكان او ما يرادفه من الالفاظ الاعلى خبر واحد الخ»، ... الاذان والاقامه الخ»، «الباب الثانى فى افعال الصلوة و تروكهـا فيه فصول [۶ فصل]»،« الباب الرابع فى التوابع و فيه فصول» باب چهارم نیز شامل فصولی است. فصل اول آن در سهو و شک احکام خلل و فصل ششم صلوة مسافر است و به این فصل کتاب ختم شده است.</w:t>
      </w:r>
    </w:p>
    <w:p>
      <w:pPr>
        <w:pStyle w:val="BookText"/>
      </w:pPr>
      <w:r>
        <w:rPr>
          <w:rFonts w:ascii="IRNazanin" w:hAnsi="IRNazanin" w:eastAsia="IRNazanin" w:cs="IRNazanin"/>
          <w:lang w:bidi="fa-IR"/>
          <w:color w:val="111111"/>
          <w:sz w:val="28"/>
          <w:szCs w:val="28"/>
          <w:rtl/>
        </w:rPr>
        <w:t xml:space="preserve">مشهد؛ رضوی؛ شماره نسخه: ۶۷۳۵</w:t>
      </w:r>
    </w:p>
    <w:p>
      <w:pPr>
        <w:pStyle w:val="BookText"/>
      </w:pPr>
      <w:r>
        <w:rPr>
          <w:rFonts w:ascii="Amiri" w:hAnsi="Amiri" w:eastAsia="Amiri" w:cs="Amiri"/>
          <w:lang w:bidi="ar-SA"/>
          <w:color w:val="111111"/>
          <w:sz w:val="28"/>
          <w:szCs w:val="28"/>
          <w:rtl/>
        </w:rPr>
        <w:t xml:space="preserve">آغاز: لمكان الخلاف فح اما ان يكون مع طهارته مطهرا لما يقبـل التطهير؛ انجام: و لا يخفى انه اجتهاد في مقابلة النص</w:t>
      </w:r>
    </w:p>
    <w:p>
      <w:pPr>
        <w:pStyle w:val="BookText"/>
      </w:pPr>
      <w:r>
        <w:rPr>
          <w:rFonts w:ascii="IRNazanin" w:hAnsi="IRNazanin" w:eastAsia="IRNazanin" w:cs="IRNazanin"/>
          <w:lang w:bidi="fa-IR"/>
          <w:color w:val="111111"/>
          <w:sz w:val="28"/>
          <w:szCs w:val="28"/>
          <w:rtl/>
        </w:rPr>
        <w:t xml:space="preserve">خط: نسخ، بی کا، تا: ظاهراً در عصر مؤلف؛ افتادگی: آغاز؛  در صفحه آخر یادداشتی به تاریخ ۱۲۲۳؛ کاغذ: نخودی، جلد: تیماج خرمایی عطف قهوه ای  سیر، ۳۵۸گ، مختلف السطر،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۵ - ۳۸۲]</w:t>
      </w:r>
    </w:p>
    <w:p>
      <w:pPr>
        <w:pStyle w:val="Heading3"/>
      </w:pPr>
      <w:bookmarkStart w:id="1235" w:name="_Toc757"/>
      <w:r>
        <w:t>استقصاء الاعتبار في شرح الاستبصار / شرح حديث /  عربی</w:t>
      </w:r>
      <w:bookmarkEnd w:id="1235"/>
    </w:p>
    <w:p>
      <w:pPr>
        <w:pStyle w:val="BookText"/>
      </w:pPr>
      <w:r>
        <w:rPr>
          <w:rFonts w:ascii="Times New Roman" w:hAnsi="Times New Roman" w:eastAsia="Times New Roman" w:cs="Times New Roman"/>
          <w:lang w:val="en-US" w:bidi="en-US"/>
          <w:color w:val="111111"/>
          <w:sz w:val="28"/>
          <w:szCs w:val="28"/>
          <w:rtl/>
        </w:rPr>
        <w:t xml:space="preserve">istiqṣā'-ul-i'tibār fī š.-il-istibṣār</w:t>
      </w:r>
    </w:p>
    <w:p>
      <w:pPr>
        <w:pStyle w:val="BookText"/>
      </w:pPr>
      <w:r>
        <w:rPr>
          <w:rFonts w:ascii="IRNazanin" w:hAnsi="IRNazanin" w:eastAsia="IRNazanin" w:cs="IRNazanin"/>
          <w:lang w:bidi="fa-IR"/>
          <w:color w:val="111111"/>
          <w:sz w:val="28"/>
          <w:szCs w:val="28"/>
          <w:rtl/>
        </w:rPr>
        <w:t xml:space="preserve">سبط  الشهيد، محمد بن حسن، ۹۸۰ - ۱۰۳۰ قمری</w:t>
      </w:r>
    </w:p>
    <w:p>
      <w:pPr>
        <w:pStyle w:val="BookText"/>
      </w:pPr>
      <w:r>
        <w:rPr>
          <w:rFonts w:ascii="Times New Roman" w:hAnsi="Times New Roman" w:eastAsia="Times New Roman" w:cs="Times New Roman"/>
          <w:lang w:val="en-US" w:bidi="en-US"/>
          <w:color w:val="111111"/>
          <w:sz w:val="28"/>
          <w:szCs w:val="28"/>
          <w:rtl/>
        </w:rPr>
        <w:t xml:space="preserve">(sebt-oš-šahīd, mohammad ebn-e hasan (1573 - 1621)</w:t>
      </w:r>
    </w:p>
    <w:p>
      <w:pPr>
        <w:pStyle w:val="BookText"/>
      </w:pPr>
      <w:r>
        <w:rPr>
          <w:rFonts w:ascii="IRNazanin" w:hAnsi="IRNazanin" w:eastAsia="IRNazanin" w:cs="IRNazanin"/>
          <w:lang w:bidi="fa-IR"/>
          <w:color w:val="111111"/>
          <w:sz w:val="28"/>
          <w:szCs w:val="28"/>
          <w:rtl/>
        </w:rPr>
        <w:t xml:space="preserve">وابسته به: الاستبصار فيما اختلف من الاخبار؛ شیخ طوسی، محمد  بن حسن  (۴۶۰ - ۳۸۵)</w:t>
      </w:r>
    </w:p>
    <w:p>
      <w:pPr>
        <w:pStyle w:val="BookText"/>
      </w:pPr>
      <w:r>
        <w:rPr>
          <w:rFonts w:ascii="IRNazanin" w:hAnsi="IRNazanin" w:eastAsia="IRNazanin" w:cs="IRNazanin"/>
          <w:lang w:bidi="fa-IR"/>
          <w:color w:val="111111"/>
          <w:sz w:val="28"/>
          <w:szCs w:val="28"/>
          <w:rtl/>
        </w:rPr>
        <w:t xml:space="preserve">تاریخ تالیف: آخر صفر ۱۰۰۷ق؛ محل تأليف: كربلاء</w:t>
      </w:r>
    </w:p>
    <w:p>
      <w:pPr>
        <w:pStyle w:val="BookText"/>
      </w:pPr>
      <w:r>
        <w:rPr>
          <w:rFonts w:ascii="IRNazanin" w:hAnsi="IRNazanin" w:eastAsia="IRNazanin" w:cs="IRNazanin"/>
          <w:lang w:bidi="fa-IR"/>
          <w:color w:val="111111"/>
          <w:sz w:val="28"/>
          <w:szCs w:val="28"/>
          <w:rtl/>
        </w:rPr>
        <w:t xml:space="preserve">شرح مبسوط  و مفصلی است بر «استبصار» شیخ طوسی که ظاهراً  ناتمام مانده است. در مقدمه همانند مقدمات دوازده گانه «منتقی الجمان» پدرش شیخ حسن ۱۲ «فایده» و نکته مهم رجالی را آورده است. او ابتدا سند حدیث و سپس متن را ذکر می نماید وپس بعد تحت عنوان «السند» سند آن را نقد و بررسی می نماید و پس از آن بعنوان «المتن» حدیث و مفهوم آن را شرح می دهد. در الذریعه می نویسد: «كبير خرج منه ثلاثة مجلدات في الطهارة و الصلاة و النكاح و المتاجر الى آخر القضاء».</w:t>
      </w:r>
    </w:p>
    <w:p>
      <w:pPr>
        <w:pStyle w:val="BookText"/>
      </w:pPr>
      <w:r>
        <w:rPr>
          <w:rFonts w:ascii="Amiri" w:hAnsi="Amiri" w:eastAsia="Amiri" w:cs="Amiri"/>
          <w:lang w:bidi="ar-SA"/>
          <w:color w:val="111111"/>
          <w:sz w:val="28"/>
          <w:szCs w:val="28"/>
          <w:rtl/>
        </w:rPr>
        <w:t xml:space="preserve">آغاز: الحمد لله الذي هدانا الى مناهج الشريعة الغراء و جعلها ذريعة الى نيل سعادتي الدنيا و الاخرى</w:t>
      </w:r>
    </w:p>
    <w:p>
      <w:pPr>
        <w:pStyle w:val="BookText"/>
      </w:pPr>
      <w:r>
        <w:rPr>
          <w:rFonts w:ascii="Amiri" w:hAnsi="Amiri" w:eastAsia="Amiri" w:cs="Amiri"/>
          <w:lang w:bidi="ar-SA"/>
          <w:color w:val="111111"/>
          <w:sz w:val="28"/>
          <w:szCs w:val="28"/>
          <w:rtl/>
        </w:rPr>
        <w:t xml:space="preserve">[كشف الحجب، ص ۴۳ ؛الذريعة ۳۰/۲ ؛مكتبة امير المومنين ۱۰۷/۱؛ دار الصدام ص ۵۲]</w:t>
      </w:r>
    </w:p>
    <w:p>
      <w:pPr>
        <w:pStyle w:val="BookText"/>
      </w:pPr>
      <w:r>
        <w:rPr>
          <w:rFonts w:ascii="IRNazanin" w:hAnsi="IRNazanin" w:eastAsia="IRNazanin" w:cs="IRNazanin"/>
          <w:lang w:bidi="fa-IR"/>
          <w:color w:val="111111"/>
          <w:sz w:val="28"/>
          <w:szCs w:val="28"/>
          <w:rtl/>
        </w:rPr>
        <w:t xml:space="preserve">١. تهران؛ دانشگاه؛ شماره نسخه: ۲۳۱۳</w:t>
      </w:r>
    </w:p>
    <w:p>
      <w:pPr>
        <w:pStyle w:val="BookText"/>
      </w:pPr>
      <w:r>
        <w:rPr>
          <w:rFonts w:ascii="Amiri" w:hAnsi="Amiri" w:eastAsia="Amiri" w:cs="Amiri"/>
          <w:lang w:bidi="ar-SA"/>
          <w:color w:val="111111"/>
          <w:sz w:val="28"/>
          <w:szCs w:val="28"/>
          <w:rtl/>
        </w:rPr>
        <w:t xml:space="preserve">آغاز: برابر انجام : و على هذا نقطع الكلام في الجزء الاول من استقصاء الاعتبار بشرح الاستبصار و كان الفراغ منه يوم الخميس السابع عشر من شهر جميدى الاولى من شهور السنة الخامسة و العشرين بعد الالف ... و رحمه اله بركاته</w:t>
      </w:r>
    </w:p>
    <w:p>
      <w:pPr>
        <w:pStyle w:val="BookText"/>
      </w:pPr>
      <w:r>
        <w:rPr>
          <w:rFonts w:ascii="IRNazanin" w:hAnsi="IRNazanin" w:eastAsia="IRNazanin" w:cs="IRNazanin"/>
          <w:lang w:bidi="fa-IR"/>
          <w:color w:val="111111"/>
          <w:sz w:val="28"/>
          <w:szCs w:val="28"/>
          <w:rtl/>
        </w:rPr>
        <w:t xml:space="preserve">جزء ۱؛ خط: نسخ، كاتب -  مؤلف، تا: قرن ۱۱؛ کاغذ ،فرنگی ،جلد: تیماج مشکی ،مقوایی، ۱۴۶گ، ۲۹ سطر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۲۳/۵)، اندازه: ۲۰/۵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۳۲سم [ف: ۹ - ۹۴۵]</w:t>
      </w:r>
    </w:p>
    <w:p>
      <w:pPr>
        <w:pStyle w:val="BookText"/>
      </w:pPr>
      <w:r>
        <w:rPr>
          <w:rFonts w:ascii="IRNazanin" w:hAnsi="IRNazanin" w:eastAsia="IRNazanin" w:cs="IRNazanin"/>
          <w:lang w:bidi="fa-IR"/>
          <w:color w:val="111111"/>
          <w:sz w:val="28"/>
          <w:szCs w:val="28"/>
          <w:rtl/>
        </w:rPr>
        <w:t xml:space="preserve">۲. قم؛ مرکز احیاء؛ شماره نسخه: ۲۱۰۴</w:t>
      </w:r>
    </w:p>
    <w:p>
      <w:pPr>
        <w:pStyle w:val="BookText"/>
      </w:pPr>
      <w:r>
        <w:rPr>
          <w:rFonts w:ascii="Amiri" w:hAnsi="Amiri" w:eastAsia="Amiri" w:cs="Amiri"/>
          <w:lang w:bidi="ar-SA"/>
          <w:color w:val="111111"/>
          <w:sz w:val="28"/>
          <w:szCs w:val="28"/>
          <w:rtl/>
        </w:rPr>
        <w:t xml:space="preserve">آغاز: برابر؛ انجام: فانه يتبع الشيخ و زاد عليه و الكلام فى الاول تغنى عن الاعادة في الآخر و على هذا نقطع الكلام</w:t>
      </w:r>
    </w:p>
    <w:p>
      <w:pPr>
        <w:pStyle w:val="BookText"/>
      </w:pPr>
      <w:r>
        <w:rPr>
          <w:rFonts w:ascii="IRNazanin" w:hAnsi="IRNazanin" w:eastAsia="IRNazanin" w:cs="IRNazanin"/>
          <w:lang w:bidi="fa-IR"/>
          <w:color w:val="111111"/>
          <w:sz w:val="28"/>
          <w:szCs w:val="28"/>
          <w:rtl/>
        </w:rPr>
        <w:t xml:space="preserve">از آغاز تا باب عدد المرات فى التيمم؛ خط: نسخ، بی کا، تا: قرن ۱۱( در حیات مؤلف)؛ مصحح ،محشی، با نشان «منه سلمه الله»؛ تملک: «حاجی محمد ابراهیم قزوینی». مهر : «يا على الاعلى» (بیضی)؛ جلد: تیماج قهوه ای ضربی لبه دار،۱۹۵گ، ۲۹ سطر، اندازه:  ۲۰/۵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۲۹/۵سم [محدث ارموی مخ: ۱ - ۱۲۸]</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اردکان یزد؛ امام صادق؛ شماره نسخه: ۱۰۳</w:t>
      </w:r>
    </w:p>
    <w:p>
      <w:pPr>
        <w:pStyle w:val="BookText"/>
      </w:pPr>
      <w:r>
        <w:rPr>
          <w:rFonts w:ascii="IRNazanin" w:hAnsi="IRNazanin" w:eastAsia="IRNazanin" w:cs="IRNazanin"/>
          <w:lang w:bidi="fa-IR"/>
          <w:color w:val="111111"/>
          <w:sz w:val="28"/>
          <w:szCs w:val="28"/>
          <w:rtl/>
        </w:rPr>
        <w:t xml:space="preserve">جزء اول؛ خط: نسخ، بی کا، تا: قرن ۱۱؛ واقف: محمد سمیع بیک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  ملک بن حسین بن محمد بن محمد تقی اردکانی، 1146؛جلد: تیماج زرشکی ضربی، ۴۲۲گ، ۱۹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۲۴/۵سم [ف: ۱ - ۸۶]</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تهران؛ دانشگاه؛ شماره نسخه: ۱۸۴۵</w:t>
      </w:r>
    </w:p>
    <w:p>
      <w:pPr>
        <w:pStyle w:val="BookText"/>
      </w:pPr>
      <w:r>
        <w:rPr>
          <w:rFonts w:ascii="IRNazanin" w:hAnsi="IRNazanin" w:eastAsia="IRNazanin" w:cs="IRNazanin"/>
          <w:lang w:bidi="fa-IR"/>
          <w:color w:val="111111"/>
          <w:sz w:val="28"/>
          <w:szCs w:val="28"/>
          <w:rtl/>
        </w:rPr>
        <w:t xml:space="preserve">آغاز: بسمله الحمد لله على آلائه و الصلوة على اشرف النبيائـه و علی اکرم احبائه قوله ابواب کیفیی الصلوة من فاتحتها الى خاتم باب وجوب قرائة الحمد الحسين بن قوله ابواب كيفية الصلوة من فاتحتها باب وجوب قرائة الحمد الحسين بن سعيد ... السند فی الخبر و اضح الحال لمعلومية جلالة رجالهما مما تقدم من  المقال؛انجام: و الاحتياط مطلوب مع الامكان و على الله سبحانه في جـمیع الامور التكلان وليكن هذا آخر الجزء الثالث من كتاب استقصاء الاعتبار في شرح الاستبصار و يتلوه ان شاء الله في الرابع کتاب الزكوة و الله سبحانه المسئول لتوفيق اكماله بجاه محمد المصطفی و آله و اتفق بتوفيق الله تمام هذا الجزء في اواخر شهر صفر من شهور السنة الاربعة والعشرين بعد الالف الهجرية على مشرفها السلم و كتب هذا بيده الفانية فخر الدين بن شیخ محمد علی طریح السلمى النجفى سنة ثمان وعشرين بعد الف.</w:t>
      </w:r>
    </w:p>
    <w:p>
      <w:pPr>
        <w:pStyle w:val="BookText"/>
      </w:pPr>
      <w:r>
        <w:rPr>
          <w:rFonts w:ascii="IRNazanin" w:hAnsi="IRNazanin" w:eastAsia="IRNazanin" w:cs="IRNazanin"/>
          <w:lang w:bidi="fa-IR"/>
          <w:color w:val="111111"/>
          <w:sz w:val="28"/>
          <w:szCs w:val="28"/>
          <w:rtl/>
        </w:rPr>
        <w:t xml:space="preserve">جلد سوم از ابواب كيفية الصلوة تا پایان صلوة؛ خط: نسخ،  کا؛ فخرالدین بن محمد علی طریح  نجفی، تا: ۱۰۲۸ق؛ کاغذ: فرنگی ،جلد: مقوا عطف  میشن، ۱۸۶گ، ۲۷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۲۹سم [ف: ۸ - ۴۴۲]</w:t>
      </w:r>
    </w:p>
    <w:p>
      <w:pPr>
        <w:pStyle w:val="BookText"/>
      </w:pPr>
      <w:r>
        <w:rPr>
          <w:rFonts w:ascii="IRNazanin" w:hAnsi="IRNazanin" w:eastAsia="IRNazanin" w:cs="IRNazanin"/>
          <w:lang w:bidi="fa-IR"/>
          <w:color w:val="111111"/>
          <w:sz w:val="28"/>
          <w:szCs w:val="28"/>
          <w:rtl/>
        </w:rPr>
        <w:t xml:space="preserve">قم؛ مرکز احیاء؛ شماره نسخه: ۱۸۲۶</w:t>
      </w:r>
    </w:p>
    <w:p>
      <w:pPr>
        <w:pStyle w:val="BookText"/>
      </w:pPr>
      <w:r>
        <w:rPr>
          <w:rFonts w:ascii="IRNazanin" w:hAnsi="IRNazanin" w:eastAsia="IRNazanin" w:cs="IRNazanin"/>
          <w:lang w:bidi="fa-IR"/>
          <w:color w:val="111111"/>
          <w:sz w:val="28"/>
          <w:szCs w:val="28"/>
          <w:rtl/>
        </w:rPr>
        <w:t xml:space="preserve">نسخه اصل: همان نسخه بالا [عکسی :ف ۵ - ۲۸۸]</w:t>
      </w:r>
    </w:p>
    <w:p>
      <w:pPr>
        <w:pStyle w:val="BookText"/>
      </w:pPr>
      <w:r>
        <w:rPr>
          <w:rFonts w:ascii="IRNazanin" w:hAnsi="IRNazanin" w:eastAsia="IRNazanin" w:cs="IRNazanin"/>
          <w:lang w:bidi="fa-IR"/>
          <w:color w:val="111111"/>
          <w:sz w:val="28"/>
          <w:szCs w:val="28"/>
          <w:rtl/>
        </w:rPr>
        <w:t xml:space="preserve">۵. مشهد؛ رضوی؛ شماره نسخه: ۲۲۳۰۹</w:t>
      </w:r>
    </w:p>
    <w:p>
      <w:pPr>
        <w:pStyle w:val="BookText"/>
      </w:pPr>
      <w:r>
        <w:rPr>
          <w:rFonts w:ascii="IRNazanin" w:hAnsi="IRNazanin" w:eastAsia="IRNazanin" w:cs="IRNazanin"/>
          <w:lang w:bidi="fa-IR"/>
          <w:color w:val="111111"/>
          <w:sz w:val="28"/>
          <w:szCs w:val="28"/>
          <w:rtl/>
        </w:rPr>
        <w:t xml:space="preserve">آغاز: و فی النجاشى على ما ذكره شيخنا ايده الله فى الكتاب؛ انجام: والوجه فى هذين الخبرين ضرب من التقية لمواهب الـعامة تم الجزء الاول من الاستبصار .... والاحتياط مطلوب مع الامكان و على الله في جميع الامور التكلان وليكن هذا آخر الجزء الثالث  من كتاب استقصاء الاعتبار في شرح الاستبصار و يتلوه ان شاء الله  فی الرابع كتاب الزكاة...</w:t>
      </w:r>
    </w:p>
    <w:p>
      <w:pPr>
        <w:pStyle w:val="BookText"/>
      </w:pPr>
      <w:r>
        <w:rPr>
          <w:rFonts w:ascii="IRNazanin" w:hAnsi="IRNazanin" w:eastAsia="IRNazanin" w:cs="IRNazanin"/>
          <w:lang w:bidi="fa-IR"/>
          <w:color w:val="111111"/>
          <w:sz w:val="28"/>
          <w:szCs w:val="28"/>
          <w:rtl/>
        </w:rPr>
        <w:t xml:space="preserve">از اوائل تا پایان صلات و آغاز زکات، برگ آخر از جزء دوم است؛ خط: نسخ  تحریری، کا: روح الله بن هدایت الله  قهپائی،تا: یک شنبه ۲۵ ذیقعده ۱۰۳۱ق؛ افتادگی :آغاز ؛ اهدایی: رهبری، فروردین ۱۳۷۴ ؛کاغذ: نخودی آهار مهره ،جلد: تیماج قهوه ای  فرنگی ،۱۱۶گ، ۳۳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۳۱سم [اهدائی رهبر:  2 اخبار ١ - ٩٨]</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قم؛ فیضیه؛ شماره نسخه: ۱۸</w:t>
      </w:r>
    </w:p>
    <w:p>
      <w:pPr>
        <w:pStyle w:val="BookText"/>
      </w:pPr>
      <w:r>
        <w:rPr>
          <w:rFonts w:ascii="IRNazanin" w:hAnsi="IRNazanin" w:eastAsia="IRNazanin" w:cs="IRNazanin"/>
          <w:lang w:bidi="fa-IR"/>
          <w:color w:val="111111"/>
          <w:sz w:val="28"/>
          <w:szCs w:val="28"/>
          <w:rtl/>
        </w:rPr>
        <w:t xml:space="preserve">آغاز: برابر؛ انجام: انجام آن: و علی هذا يقطع الكلام فى الـجزء الاول من استقصاء الاعتبار لشرح الاستبصار و يتلسوه ان شاء الله فى الجزء الثانى ابواب تطهير الثياب والله المسؤال</w:t>
      </w:r>
    </w:p>
    <w:p>
      <w:pPr>
        <w:pStyle w:val="BookText"/>
      </w:pPr>
      <w:r>
        <w:rPr>
          <w:rFonts w:ascii="IRNazanin" w:hAnsi="IRNazanin" w:eastAsia="IRNazanin" w:cs="IRNazanin"/>
          <w:lang w:bidi="fa-IR"/>
          <w:color w:val="111111"/>
          <w:sz w:val="28"/>
          <w:szCs w:val="28"/>
          <w:rtl/>
        </w:rPr>
        <w:t xml:space="preserve">جزء اول؛ خط: نسخ، بی کا، تا: ۱۰۳۱ق؛ مصحح، رساله «تذکیه الراوی» از همین مؤلف در شش برگ ضمیمه این نسخه است، با این وقفنامه بر برگ اول: «بسم الله الرحمن الرحيم چون همگی همت  و  الا نهمت نواب کامیاب اشرف ارفع اقدس مصروف بر  آنست که ثواب انواع خیرات و مبرات به روح ... نواب خاقان خلد آشیان و اصل و عاید گردد بنابراین به تاریخ شهر جمادی الاخر سنه ۱۰۷۷ غلام اخلاص کیش خیر اندیش خود ... مخدوم الامرا جمشید خان متولی و قوللر آقاسی را به تمشیت این مقرر فرمودند و مشار اليه حسب الامر بدار المؤمنين قم ... مبرات بعمل آورد از آنجمله این مجلدرا (منظور هر سه جزء است که گویا در یک مجلد بوده و سپس در سه جلد صحافی شده است) با سایر کتب دیگر از قرآن مجید و صحیفه کامله و حدیث و غير ذلك که تفصیل آن در دفافتر آن سر کار ثبت است وقف شرعی و حبس مؤبد ملی (کذا) نمود بر طلبه علوم دینیه و صلحاء دارالمؤمنین و واردین آن مشروط بر آنکه مدرس و طلبه مزار كثير الانوار خاقان خلد آشیان هر گاه از مطالعه و انتفاع هر یک از مجلدات مسفورهن از مطالعه آن بهره مند گردند و ثواب آن بروزگار فرخنده آثار ... كثير الفتوح نواب خاقان عاید گردد و كتب موقوفه را از حدود دارالمؤمنين مذکور بیرون نبرند و نفروشند ... نسازند و سوای مدرس آن کار اگر آن</w:t>
      </w:r>
    </w:p>
    <w:p>
      <w:pPr>
        <w:pStyle w:val="BookText"/>
      </w:pPr>
      <w:r>
        <w:rPr>
          <w:rFonts w:ascii="IRNazanin" w:hAnsi="IRNazanin" w:eastAsia="IRNazanin" w:cs="IRNazanin"/>
          <w:lang w:bidi="fa-IR"/>
          <w:color w:val="111111"/>
          <w:sz w:val="28"/>
          <w:szCs w:val="28"/>
          <w:rtl/>
        </w:rPr>
        <w:t xml:space="preserve">سر کارسر داشته باشد کتابدار آن کار مادام که مرهون و وثیقه که گنجایش داشته نگیرد ندهد و زیاده از یکماه نگاه ندارد فمن بدله  بعد ما سمعه فانما اثمه على الذين يبدلونه. وقعت الوقفية وصيغتها حسبما امرالمتولى زید قدره ورفع شانه حرره الفقير الى الله الغنى محمد امین الحسینی»؛ ۲۱۹گ، ۲۳ سطر،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۳۷سم [ف: ۱  - 10]</w:t>
      </w:r>
    </w:p>
    <w:p>
      <w:pPr>
        <w:pStyle w:val="BookText"/>
      </w:pPr>
      <w:r>
        <w:rPr>
          <w:rFonts w:ascii="IRNazanin" w:hAnsi="IRNazanin" w:eastAsia="IRNazanin" w:cs="IRNazanin"/>
          <w:lang w:bidi="fa-IR"/>
          <w:color w:val="111111"/>
          <w:sz w:val="28"/>
          <w:szCs w:val="28"/>
          <w:rtl/>
        </w:rPr>
        <w:t xml:space="preserve">قم؛ مرکز احیاء؛ شماره نسخه: ۱۸۲۳</w:t>
      </w:r>
    </w:p>
    <w:p>
      <w:pPr>
        <w:pStyle w:val="BookText"/>
      </w:pPr>
      <w:r>
        <w:rPr>
          <w:rFonts w:ascii="IRNazanin" w:hAnsi="IRNazanin" w:eastAsia="IRNazanin" w:cs="IRNazanin"/>
          <w:lang w:bidi="fa-IR"/>
          <w:color w:val="111111"/>
          <w:sz w:val="28"/>
          <w:szCs w:val="28"/>
          <w:rtl/>
        </w:rPr>
        <w:t xml:space="preserve">نسخه اصل: همان نسخه بالا [عکسی ف: ۵ - ۲۸۶]</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قم ؛فیضیه ؛شماره نسخه: ۱۹</w:t>
      </w:r>
    </w:p>
    <w:p>
      <w:pPr>
        <w:pStyle w:val="BookText"/>
      </w:pPr>
      <w:r>
        <w:rPr>
          <w:rFonts w:ascii="IRNazanin" w:hAnsi="IRNazanin" w:eastAsia="IRNazanin" w:cs="IRNazanin"/>
          <w:lang w:bidi="fa-IR"/>
          <w:color w:val="111111"/>
          <w:sz w:val="28"/>
          <w:szCs w:val="28"/>
          <w:rtl/>
        </w:rPr>
        <w:t xml:space="preserve">آغاز: الحمد لله على آلائه و الصلوة على اشرف انبیائه ؛ انجام:هذا آخر الجزء الثانى من كتاب استقصاء الاعتبار... و يتلوه ان شاء الله فى الثالث ابواب كيفية الصلوة.</w:t>
      </w:r>
    </w:p>
    <w:p>
      <w:pPr>
        <w:pStyle w:val="BookText"/>
      </w:pPr>
      <w:r>
        <w:rPr>
          <w:rFonts w:ascii="IRNazanin" w:hAnsi="IRNazanin" w:eastAsia="IRNazanin" w:cs="IRNazanin"/>
          <w:lang w:bidi="fa-IR"/>
          <w:color w:val="111111"/>
          <w:sz w:val="28"/>
          <w:szCs w:val="28"/>
          <w:rtl/>
        </w:rPr>
        <w:t xml:space="preserve">جزء دوم؛ خط: نسخ، بی کا ،تا :۱۰۳۲ق؛ ۱۴۵گ، ۲۳ سطر،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۳۷سم [ف: ۱ - ۱۲]</w:t>
      </w:r>
    </w:p>
    <w:p>
      <w:pPr>
        <w:pStyle w:val="BookText"/>
      </w:pPr>
      <w:r>
        <w:rPr>
          <w:rFonts w:ascii="IRNazanin" w:hAnsi="IRNazanin" w:eastAsia="IRNazanin" w:cs="IRNazanin"/>
          <w:lang w:bidi="fa-IR"/>
          <w:color w:val="111111"/>
          <w:sz w:val="28"/>
          <w:szCs w:val="28"/>
          <w:rtl/>
        </w:rPr>
        <w:t xml:space="preserve">قم؛ مرکز احیاء؛ شماره نسخه: ۱۸۲۴</w:t>
      </w:r>
    </w:p>
    <w:p>
      <w:pPr>
        <w:pStyle w:val="BookText"/>
      </w:pPr>
      <w:r>
        <w:rPr>
          <w:rFonts w:ascii="IRNazanin" w:hAnsi="IRNazanin" w:eastAsia="IRNazanin" w:cs="IRNazanin"/>
          <w:lang w:bidi="fa-IR"/>
          <w:color w:val="111111"/>
          <w:sz w:val="28"/>
          <w:szCs w:val="28"/>
          <w:rtl/>
        </w:rPr>
        <w:t xml:space="preserve">نسخه اصل: همان نسخه بالا [ عکسی :ف ۵ - ۲۸۷]</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قم؛ فیضیه ؛شماره نسخه: ۲۰</w:t>
      </w:r>
    </w:p>
    <w:p>
      <w:pPr>
        <w:pStyle w:val="BookText"/>
      </w:pPr>
      <w:r>
        <w:rPr>
          <w:rFonts w:ascii="IRNazanin" w:hAnsi="IRNazanin" w:eastAsia="IRNazanin" w:cs="IRNazanin"/>
          <w:lang w:bidi="fa-IR"/>
          <w:color w:val="111111"/>
          <w:sz w:val="28"/>
          <w:szCs w:val="28"/>
          <w:rtl/>
        </w:rPr>
        <w:t xml:space="preserve">آغاز : الحمد لله على آلائه و الصلوة على اشرف انبیائه؛ انجام: و على الله سبحانه في جميع الامور التكلان وليكن هذا آخر الجزء  الثالث ... و يتلوه ان شاء الله تعالى فى الرابع كتاب الزكوة.</w:t>
      </w:r>
    </w:p>
    <w:p>
      <w:pPr>
        <w:pStyle w:val="BookText"/>
      </w:pPr>
      <w:r>
        <w:rPr>
          <w:rFonts w:ascii="IRNazanin" w:hAnsi="IRNazanin" w:eastAsia="IRNazanin" w:cs="IRNazanin"/>
          <w:lang w:bidi="fa-IR"/>
          <w:color w:val="111111"/>
          <w:sz w:val="28"/>
          <w:szCs w:val="28"/>
          <w:rtl/>
        </w:rPr>
        <w:t xml:space="preserve">جزء سوم ؛خط: نسخ، بی کا، تا: اواخر ذیحجه ۱۰۳۷ق؛ ۱۹۷گ  ،  ۲۳ سطر،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۳۷سم [ف: ۱ - ۱۲]</w:t>
      </w:r>
    </w:p>
    <w:p>
      <w:pPr>
        <w:pStyle w:val="BookText"/>
      </w:pPr>
      <w:r>
        <w:rPr>
          <w:rFonts w:ascii="IRNazanin" w:hAnsi="IRNazanin" w:eastAsia="IRNazanin" w:cs="IRNazanin"/>
          <w:lang w:bidi="fa-IR"/>
          <w:color w:val="111111"/>
          <w:sz w:val="28"/>
          <w:szCs w:val="28"/>
          <w:rtl/>
        </w:rPr>
        <w:t xml:space="preserve">قم؛ مرکز احیاء؛ شماره نسخه: ۱۸۲۵</w:t>
      </w:r>
    </w:p>
    <w:p>
      <w:pPr>
        <w:pStyle w:val="BookText"/>
      </w:pPr>
      <w:r>
        <w:rPr>
          <w:rFonts w:ascii="IRNazanin" w:hAnsi="IRNazanin" w:eastAsia="IRNazanin" w:cs="IRNazanin"/>
          <w:lang w:bidi="fa-IR"/>
          <w:color w:val="111111"/>
          <w:sz w:val="28"/>
          <w:szCs w:val="28"/>
          <w:rtl/>
        </w:rPr>
        <w:t xml:space="preserve">نسخه اصل: همان نسخه بالا [عکسی ف: ۵ - ۲۸۷]</w:t>
      </w:r>
    </w:p>
    <w:p>
      <w:pPr>
        <w:pStyle w:val="BookText"/>
      </w:pPr>
      <w:r>
        <w:rPr>
          <w:rFonts w:ascii="IRNazanin" w:hAnsi="IRNazanin" w:eastAsia="IRNazanin" w:cs="IRNazanin"/>
          <w:lang w:bidi="fa-IR"/>
          <w:color w:val="111111"/>
          <w:sz w:val="28"/>
          <w:szCs w:val="28"/>
          <w:rtl/>
        </w:rPr>
        <w:t xml:space="preserve">9.شیراز؛ علامه طباطبائی؛ شماره نسخه:۶</w:t>
      </w:r>
    </w:p>
    <w:p>
      <w:pPr>
        <w:pStyle w:val="BookText"/>
      </w:pPr>
      <w:r>
        <w:rPr>
          <w:rFonts w:ascii="IRNazanin" w:hAnsi="IRNazanin" w:eastAsia="IRNazanin" w:cs="IRNazanin"/>
          <w:lang w:bidi="fa-IR"/>
          <w:color w:val="111111"/>
          <w:sz w:val="28"/>
          <w:szCs w:val="28"/>
          <w:rtl/>
        </w:rPr>
        <w:t xml:space="preserve">از اواسط کتاب طهارت تا آخر کتاب صلات؛ خط: نسخ، کا: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حسین بن احمد بن كاسب جزائری حسیناوی، تا: سه شنبه ۱۷ربیع الثانى  ۱۰۳۵ق، کتاب صلات را سعید بن عبدالله جزائری در دوشنبه ۱۷ ذی قعده ۱۰۳۰ نوشته؛ نسخه وقف بر امیرالمومنین و سکنه  شیراز، ۸ برگ آخر مختصری از کتاب میرزا محـمد استرآبادی در کشف طرق «كتاب من لا يحضره الفقيه»؛ ۲۱۲گ،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[نسخه پژوهی ۲ - ۱۱۲]</w:t>
      </w:r>
    </w:p>
    <w:p>
      <w:pPr>
        <w:pStyle w:val="BookText"/>
      </w:pPr>
      <w:r>
        <w:rPr>
          <w:rFonts w:ascii="IRNazanin" w:hAnsi="IRNazanin" w:eastAsia="IRNazanin" w:cs="IRNazanin"/>
          <w:lang w:bidi="fa-IR"/>
          <w:color w:val="111111"/>
          <w:sz w:val="28"/>
          <w:szCs w:val="28"/>
          <w:rtl/>
        </w:rPr>
        <w:t xml:space="preserve">۱۰.تهران؛ دانشگاه؛ شماره نسخه: ۲۳۱۴</w:t>
      </w:r>
    </w:p>
    <w:p>
      <w:pPr>
        <w:pStyle w:val="BookText"/>
      </w:pPr>
      <w:r>
        <w:rPr>
          <w:rFonts w:ascii="IRNazanin" w:hAnsi="IRNazanin" w:eastAsia="IRNazanin" w:cs="IRNazanin"/>
          <w:lang w:bidi="fa-IR"/>
          <w:color w:val="111111"/>
          <w:sz w:val="28"/>
          <w:szCs w:val="28"/>
          <w:rtl/>
        </w:rPr>
        <w:t xml:space="preserve">آغاز: آغاز جزو سوم: بسمله الحمد لله على آلائه .. ابواب كـیفیة الصلوة فى فاتحتها الى خاتمتها باب وجوب قراءة الحمد الحسـین بن سعيد ... السند فى الخبرين واضح لمعلومية جلالة رجالهما... آغاز جزو دوم: بسمله. الحمد لله على آلائه ... اخبرني الحسين بن عبيد الله ... قد قدمنا فيه القول بما لا يغنى عن الاعادة؛ انجام: آخر الجزء الثالث من كتاب من كتاب استقصاء الاعتبار في شرح الاستبصار و يتلوه ان شاء الله فى الرابع كتاب الزكوة و الله سبحـانه المسؤل لتوفيق اكماله بجاه محمد المصطفى. هذا آخر الجزء الثـانی من كتاب الاستقصاء الاعتبار في شرح الاستبصار و يتلوه ان شاء الله الجزء الثالث ابواب كيفية الصلوة من فاتحتها الى خاتمتها والله المسؤل و قد اتفق بتوفيق الله الابتداء والانتها فى مشهد سید الشهداء ... و كان الختام من تاليفه يوم  الثلثا الثامن والعشرين من شهر صفر ... السنة السادسة و العشروين بعد الالف</w:t>
      </w:r>
    </w:p>
    <w:p>
      <w:pPr>
        <w:pStyle w:val="BookText"/>
      </w:pPr>
      <w:r>
        <w:rPr>
          <w:rFonts w:ascii="IRNazanin" w:hAnsi="IRNazanin" w:eastAsia="IRNazanin" w:cs="IRNazanin"/>
          <w:lang w:bidi="fa-IR"/>
          <w:color w:val="111111"/>
          <w:sz w:val="28"/>
          <w:szCs w:val="28"/>
          <w:rtl/>
        </w:rPr>
        <w:t xml:space="preserve">نسخه جزو سوم و سپس دوم است؛ خط: نسخ، کا: عبدالعلی بن محمد علی بن  حماد، تا: ۱۱ شعبان ۱۰۳۰ (جزء ۳ )و ۳ ذيـحجه ۱۰۳۰ (جزء ۲ ) ؛جا: حله ؛کاغذ: سپاهانی، جلد: تیماج سرخ ضربی  مقوایی، ۴۰۴ گ، ۲۵ سطر (11/5</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اندازه: 19/5</w:t>
      </w:r>
      <w:r>
        <w:rPr>
          <w:rFonts w:ascii="Times New Roman" w:hAnsi="Times New Roman" w:eastAsia="Times New Roman" w:cs="Times New Roman"/>
          <w:lang w:val="en-US" w:bidi="en-US"/>
          <w:color w:val="111111"/>
          <w:sz w:val="28"/>
          <w:szCs w:val="28"/>
          <w:rtl/>
        </w:rPr>
        <w:t xml:space="preserve">×25/6</w:t>
      </w:r>
      <w:r>
        <w:rPr>
          <w:rFonts w:ascii="IRNazanin" w:hAnsi="IRNazanin" w:eastAsia="IRNazanin" w:cs="IRNazanin"/>
          <w:lang w:bidi="fa-IR"/>
          <w:color w:val="111111"/>
          <w:sz w:val="28"/>
          <w:szCs w:val="28"/>
          <w:rtl/>
        </w:rPr>
        <w:t xml:space="preserve">سم [ف: ۹ - ۹۴۵]</w:t>
      </w:r>
    </w:p>
    <w:p>
      <w:pPr>
        <w:pStyle w:val="BookText"/>
      </w:pPr>
      <w:r>
        <w:rPr>
          <w:rFonts w:ascii="IRNazanin" w:hAnsi="IRNazanin" w:eastAsia="IRNazanin" w:cs="IRNazanin"/>
          <w:lang w:bidi="fa-IR"/>
          <w:color w:val="111111"/>
          <w:sz w:val="28"/>
          <w:szCs w:val="28"/>
          <w:rtl/>
        </w:rPr>
        <w:t xml:space="preserve">۱۱. کرمانشاه؛ جلیلی؛ شماره نسخه: ۱۷۶</w:t>
      </w:r>
    </w:p>
    <w:p>
      <w:pPr>
        <w:pStyle w:val="BookText"/>
      </w:pPr>
      <w:r>
        <w:rPr>
          <w:rFonts w:ascii="IRNazanin" w:hAnsi="IRNazanin" w:eastAsia="IRNazanin" w:cs="IRNazanin"/>
          <w:lang w:bidi="fa-IR"/>
          <w:color w:val="111111"/>
          <w:sz w:val="28"/>
          <w:szCs w:val="28"/>
          <w:rtl/>
        </w:rPr>
        <w:t xml:space="preserve">آغاز: الحمد لله على آلاله ... قوله قدس الله سره  ابواب تطهیر الثياب والبدن من النجاسات بول الصبى عن النوفلي؛ انجام: و دفع عنا بمنه عظايم الاخطار و الاهوال و قد اتفق بتوفيق الله اتمام تسويد هذه الكراريس</w:t>
      </w:r>
    </w:p>
    <w:p>
      <w:pPr>
        <w:pStyle w:val="BookText"/>
      </w:pPr>
      <w:r>
        <w:rPr>
          <w:rFonts w:ascii="IRNazanin" w:hAnsi="IRNazanin" w:eastAsia="IRNazanin" w:cs="IRNazanin"/>
          <w:lang w:bidi="fa-IR"/>
          <w:color w:val="111111"/>
          <w:sz w:val="28"/>
          <w:szCs w:val="28"/>
          <w:rtl/>
        </w:rPr>
        <w:t xml:space="preserve">جلد دوم از مبحث نجاسات تا اذان و اقامه از صلاة ؛خط: نسخ  خوب، کا: حسین بن حسن مشغری  عاملی، تا: جمعه ۱۰۳۱ق،جا: مکه  مبارکه، تاریخ تحریر به ضبط پشت برگ اول ۱۰۳۰ و آخر نسخه مورخ عصر جمعه ۱۰۳۱ در مکه مبارکه در خدمت مولانا سلمه الله و ابقاء ؛ مصحح؛ کاغذ: نخودی آهار مهره، جلد: تیماج مشکی، ۱۵۱گ، ۲۷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۳۰سم [ف: ۲۵]</w:t>
      </w:r>
    </w:p>
    <w:p>
      <w:pPr>
        <w:pStyle w:val="BookText"/>
      </w:pPr>
      <w:r>
        <w:rPr>
          <w:rFonts w:ascii="IRNazanin" w:hAnsi="IRNazanin" w:eastAsia="IRNazanin" w:cs="IRNazanin"/>
          <w:lang w:bidi="fa-IR"/>
          <w:color w:val="111111"/>
          <w:sz w:val="28"/>
          <w:szCs w:val="28"/>
          <w:rtl/>
        </w:rPr>
        <w:t xml:space="preserve">۱۲ یزد؛ وزیری؛ شماره نسخه: ۹۲</w:t>
      </w:r>
    </w:p>
    <w:p>
      <w:pPr>
        <w:pStyle w:val="BookText"/>
      </w:pPr>
      <w:r>
        <w:rPr>
          <w:rFonts w:ascii="IRNazanin" w:hAnsi="IRNazanin" w:eastAsia="IRNazanin" w:cs="IRNazanin"/>
          <w:lang w:bidi="fa-IR"/>
          <w:color w:val="111111"/>
          <w:sz w:val="28"/>
          <w:szCs w:val="28"/>
          <w:rtl/>
        </w:rPr>
        <w:t xml:space="preserve">آغاز: اما ما قاله جدی قدس سره من انه يقال لمن يشتـغل بالتواريخ؛ انجام: والاحتياط مطلوب مع الامكان و على الله سبحـانه فى جميع الامور التكلان وليكن هذا آخر الجزء الثالث می کتاب الاستقصاء</w:t>
      </w:r>
    </w:p>
    <w:p>
      <w:pPr>
        <w:pStyle w:val="BookText"/>
      </w:pPr>
      <w:r>
        <w:rPr>
          <w:rFonts w:ascii="IRNazanin" w:hAnsi="IRNazanin" w:eastAsia="IRNazanin" w:cs="IRNazanin"/>
          <w:lang w:bidi="fa-IR"/>
          <w:color w:val="111111"/>
          <w:sz w:val="28"/>
          <w:szCs w:val="28"/>
          <w:rtl/>
        </w:rPr>
        <w:t xml:space="preserve">جلد دوم و سوم؛ خط: نسخ زیبا، کا: احمد بن علی مکی شیرازی، تا: ۱۰۳۴ - ۱۰۳۷ ؛اهدایی: شیخ محمد جواد علمیه؛ جلد: مقوایی  روکش پارچه قهوه ای عطف تیماج، ۴۸۸گ، ۳۱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۳۲سم [ف: ۱ - ۱۱۴]</w:t>
      </w:r>
    </w:p>
    <w:p>
      <w:pPr>
        <w:pStyle w:val="BookText"/>
      </w:pPr>
      <w:r>
        <w:rPr>
          <w:rFonts w:ascii="IRNazanin" w:hAnsi="IRNazanin" w:eastAsia="IRNazanin" w:cs="IRNazanin"/>
          <w:lang w:bidi="fa-IR"/>
          <w:color w:val="111111"/>
          <w:sz w:val="28"/>
          <w:szCs w:val="28"/>
          <w:rtl/>
        </w:rPr>
        <w:t xml:space="preserve">۱۳. مشهد؛ رضوی؛ شماره نسخه: ۷۴۳۱</w:t>
      </w:r>
    </w:p>
    <w:p>
      <w:pPr>
        <w:pStyle w:val="BookText"/>
      </w:pPr>
      <w:r>
        <w:rPr>
          <w:rFonts w:ascii="Amiri" w:hAnsi="Amiri" w:eastAsia="Amiri" w:cs="Amiri"/>
          <w:lang w:bidi="ar-SA"/>
          <w:color w:val="111111"/>
          <w:sz w:val="28"/>
          <w:szCs w:val="28"/>
          <w:rtl/>
        </w:rPr>
        <w:t xml:space="preserve">آغاز: فى ان الخبر و الحديث مترادفان ام لا؛ انجام: على ان ظاهر العلامة في المنتهى دعوى الاجماع على بعض الاحكام و الاحتياط مطلوب مع الامكان و على الله في جميع الامور التكلان.</w:t>
      </w:r>
    </w:p>
    <w:p>
      <w:pPr>
        <w:pStyle w:val="BookText"/>
      </w:pPr>
      <w:r>
        <w:rPr>
          <w:rFonts w:ascii="IRNazanin" w:hAnsi="IRNazanin" w:eastAsia="IRNazanin" w:cs="IRNazanin"/>
          <w:lang w:bidi="fa-IR"/>
          <w:color w:val="111111"/>
          <w:sz w:val="28"/>
          <w:szCs w:val="28"/>
          <w:rtl/>
        </w:rPr>
        <w:t xml:space="preserve">جزء ۳-۱ ؛خط: نسخ ،کا: محمد بن شریف حسینی نجفی، تا: ۱۸ رمضان ۱۰۴۵ق، جا: نجف اشرف؛ افتادگی: آغاز؛ کاغذ ،نخودی ،جلد: تیماج زرشکی ضربی با ترنج و سرترنج، ۵۶۸گ،  ۲۳ سطر، اندازه: ۱۹/۲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۲۶سم [ف : ۱۴ - ۷۲]</w:t>
      </w:r>
    </w:p>
    <w:p>
      <w:pPr>
        <w:pStyle w:val="BookText"/>
      </w:pPr>
      <w:r>
        <w:rPr>
          <w:rFonts w:ascii="IRNazanin" w:hAnsi="IRNazanin" w:eastAsia="IRNazanin" w:cs="IRNazanin"/>
          <w:lang w:bidi="fa-IR"/>
          <w:color w:val="111111"/>
          <w:sz w:val="28"/>
          <w:szCs w:val="28"/>
          <w:rtl/>
        </w:rPr>
        <w:t xml:space="preserve">۱۴. قم؛ مرعشی؛ شماره نسخه: ۳۵۳۳</w:t>
      </w:r>
    </w:p>
    <w:p>
      <w:pPr>
        <w:pStyle w:val="BookText"/>
      </w:pPr>
      <w:r>
        <w:rPr>
          <w:rFonts w:ascii="Amiri" w:hAnsi="Amiri" w:eastAsia="Amiri" w:cs="Amiri"/>
          <w:lang w:bidi="ar-SA"/>
          <w:color w:val="111111"/>
          <w:sz w:val="28"/>
          <w:szCs w:val="28"/>
          <w:rtl/>
        </w:rPr>
        <w:t xml:space="preserve">آغاز: الحمد لله الذى جعل الكائنات على وجوده أعدل شاهد و أفاض على عباده من النعم ما يقصر عنه حمد كل حامد</w:t>
      </w:r>
    </w:p>
    <w:p>
      <w:pPr>
        <w:pStyle w:val="BookText"/>
      </w:pPr>
      <w:r>
        <w:rPr>
          <w:rFonts w:ascii="IRNazanin" w:hAnsi="IRNazanin" w:eastAsia="IRNazanin" w:cs="IRNazanin"/>
          <w:lang w:bidi="fa-IR"/>
          <w:color w:val="111111"/>
          <w:sz w:val="28"/>
          <w:szCs w:val="28"/>
          <w:rtl/>
        </w:rPr>
        <w:t xml:space="preserve">جلد اول کتاب و تا باب القعود بين الاذان والاقامه را دارد و سه شنبه ۲۸ صفر ۱۰۲۶ [ محتملا این تاریخ کتابت آن باشد] به پایان رسیده؛ خط: نسخ، بی کا، تا: با تاریخ ۱۰۵۱ق؛ مصحح؛ روی برگ اول وقفنامه کتاب بهتاریخ صفر ۱۰۵۱؛ جلد: تیماج قرمز، ۱۶۲گ، ۲۹  سطر، اندازه: ۱۹/۵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۲۹سم [ف: ۹ - ۳۲۸]</w:t>
      </w:r>
    </w:p>
    <w:p>
      <w:pPr>
        <w:pStyle w:val="BookText"/>
      </w:pPr>
      <w:r>
        <w:rPr>
          <w:rFonts w:ascii="IRNazanin" w:hAnsi="IRNazanin" w:eastAsia="IRNazanin" w:cs="IRNazanin"/>
          <w:lang w:bidi="fa-IR"/>
          <w:color w:val="111111"/>
          <w:sz w:val="28"/>
          <w:szCs w:val="28"/>
          <w:rtl/>
        </w:rPr>
        <w:t xml:space="preserve">۱۵. تهران؛ مجلس؛ شماره نسخه: ۴۴۵۶</w:t>
      </w:r>
    </w:p>
    <w:p>
      <w:pPr>
        <w:pStyle w:val="BookText"/>
      </w:pPr>
      <w:r>
        <w:rPr>
          <w:rFonts w:ascii="IRNazanin" w:hAnsi="IRNazanin" w:eastAsia="IRNazanin" w:cs="IRNazanin"/>
          <w:lang w:bidi="fa-IR"/>
          <w:color w:val="111111"/>
          <w:sz w:val="28"/>
          <w:szCs w:val="28"/>
          <w:rtl/>
        </w:rPr>
        <w:t xml:space="preserve">آغاز: بسمله. و به الاستعانة وعليه التكلان. الحمد لله على الائه ... قوله ابواب كيفية الصلاة من فاتحتها الى خاتمتها باب وجوب قراءة الحمد؛ انجام: و ليكن هذا آخر الجزء الثالث من  کتاب استقصاء الاعتبار في شرح الاستبصار و يتلوه ... في الرابع كتاب الزكوة. ... بجاه محمد و آله. جلد ۳-۱؛ خط : نسخ، کا: محسن بن سلطان محمد، تا: ۹ ذیحجه ۱۰۹۰ق؛ کاغذ: فرنگی ؛جلد: تیماج مقوایی مشکی، ۲۷ سطر [ف: 12- 136]</w:t>
      </w:r>
    </w:p>
    <w:p>
      <w:pPr>
        <w:pStyle w:val="BookText"/>
      </w:pPr>
      <w:r>
        <w:rPr>
          <w:rFonts w:ascii="IRNazanin" w:hAnsi="IRNazanin" w:eastAsia="IRNazanin" w:cs="IRNazanin"/>
          <w:lang w:bidi="fa-IR"/>
          <w:color w:val="111111"/>
          <w:sz w:val="28"/>
          <w:szCs w:val="28"/>
          <w:rtl/>
        </w:rPr>
        <w:t xml:space="preserve">16.تهران؛ ملک؛ شماره نسخه: ۱۳۱۵</w:t>
      </w:r>
    </w:p>
    <w:p>
      <w:pPr>
        <w:pStyle w:val="BookText"/>
      </w:pPr>
      <w:r>
        <w:rPr>
          <w:rFonts w:ascii="Amiri" w:hAnsi="Amiri" w:eastAsia="Amiri" w:cs="Amiri"/>
          <w:lang w:bidi="ar-SA"/>
          <w:color w:val="111111"/>
          <w:sz w:val="28"/>
          <w:szCs w:val="28"/>
          <w:rtl/>
        </w:rPr>
        <w:t xml:space="preserve">آغاز: بسمله و به نستعين الحمد لله الذي جعل الكائنات على وجوده اعدل شاهد ... اما بعد فيقول فقير عفو الله محمد بن الحسن بن زين الدين وفقه الله لسلوك مناهج اليقين اني قد اعتمدت في شرح الاستبصار فى تصحيح الاخبار ما عليه الاكثر بتزكية الواحد غير ان فى نظرى القاصر نوع كلام فى استدلال القائلين فاحببت ان افرد لذلك رسالة توضيح حقيقة الحال و تكشف ما اشتمل عليه  القول فى كلام من رايت كلامه من الاجمال و على الله سبحانه؛</w:t>
      </w:r>
    </w:p>
    <w:p>
      <w:pPr>
        <w:pStyle w:val="BookText"/>
      </w:pPr>
      <w:r>
        <w:rPr>
          <w:rFonts w:ascii="Amiri" w:hAnsi="Amiri" w:eastAsia="Amiri" w:cs="Amiri"/>
          <w:lang w:bidi="ar-SA"/>
          <w:color w:val="111111"/>
          <w:sz w:val="28"/>
          <w:szCs w:val="28"/>
          <w:rtl/>
        </w:rPr>
        <w:t xml:space="preserve">انجام :و هو قول سيد المرتضى في المصباح... بالصحة و بالاحتياط و لعل احتجاج ابن الجنيد</w:t>
      </w:r>
    </w:p>
    <w:p>
      <w:pPr>
        <w:pStyle w:val="BookText"/>
      </w:pPr>
      <w:r>
        <w:rPr>
          <w:rFonts w:ascii="IRNazanin" w:hAnsi="IRNazanin" w:eastAsia="IRNazanin" w:cs="IRNazanin"/>
          <w:lang w:bidi="fa-IR"/>
          <w:color w:val="111111"/>
          <w:sz w:val="28"/>
          <w:szCs w:val="28"/>
          <w:rtl/>
        </w:rPr>
        <w:t xml:space="preserve">از آغاز تا اواخر باب الجهر به بسم الله الرحمن الرحيم؛خط: نسخ،   بی کا، تا: قرن ۱۲؛ افتادگی: انجام؛ این نسخه مصدر است به رساله ای در شرایط روایت در چهارده مبحث؛ تملک: میرزا محمد باقر رضوی مدرس اول آستان قدس رضوی مورخ رجب ۱۳۳۷ق، و دوتملک به تاریخ ۱۲۶۸ و ۱۲۹۳؛ کاغذ: فستقی، جلد: میشن سرخ، ۱۰۶گ، ۲۰  سطر، اندازه: ۲۱/۵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۳۰/۱سم [ف: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05" w:name="pg20365_260302"/>
    <w:bookmarkEnd w:id="205"/>
    <w:p>
      <w:pPr>
        <w:pStyle w:val="BookText"/>
      </w:pPr>
      <w:r>
        <w:rPr>
          <w:rFonts w:ascii="IRNazanin" w:hAnsi="IRNazanin" w:eastAsia="IRNazanin" w:cs="IRNazanin"/>
          <w:lang w:bidi="fa-IR"/>
          <w:color w:val="111111"/>
          <w:sz w:val="28"/>
          <w:szCs w:val="28"/>
          <w:rtl/>
        </w:rPr>
        <w:t xml:space="preserve">١ - ٣١  ]</w:t>
      </w:r>
    </w:p>
    <w:p>
      <w:pPr>
        <w:pStyle w:val="BookText"/>
      </w:pPr>
      <w:r>
        <w:rPr>
          <w:rFonts w:ascii="IRNazanin" w:hAnsi="IRNazanin" w:eastAsia="IRNazanin" w:cs="IRNazanin"/>
          <w:lang w:bidi="fa-IR"/>
          <w:color w:val="111111"/>
          <w:sz w:val="28"/>
          <w:szCs w:val="28"/>
          <w:rtl/>
        </w:rPr>
        <w:t xml:space="preserve">مشهد؛ الهیات شماره نسخه: ۱۳۰۹۳ عکسی</w:t>
      </w:r>
    </w:p>
    <w:p>
      <w:pPr>
        <w:pStyle w:val="BookText"/>
      </w:pPr>
      <w:r>
        <w:rPr>
          <w:rFonts w:ascii="IRNazanin" w:hAnsi="IRNazanin" w:eastAsia="IRNazanin" w:cs="IRNazanin"/>
          <w:lang w:bidi="fa-IR"/>
          <w:color w:val="111111"/>
          <w:sz w:val="28"/>
          <w:szCs w:val="28"/>
          <w:rtl/>
        </w:rPr>
        <w:t xml:space="preserve">نسخه اصل: همان نسخه بالا [ف: ۳ - ۱۲۸۱]</w:t>
      </w:r>
    </w:p>
    <w:p>
      <w:pPr>
        <w:pStyle w:val="BookText"/>
      </w:pPr>
      <w:r>
        <w:rPr>
          <w:rFonts w:ascii="IRNazanin" w:hAnsi="IRNazanin" w:eastAsia="IRNazanin" w:cs="IRNazanin"/>
          <w:lang w:bidi="fa-IR"/>
          <w:color w:val="111111"/>
          <w:sz w:val="28"/>
          <w:szCs w:val="28"/>
          <w:rtl/>
        </w:rPr>
        <w:t xml:space="preserve">۱۷. مشهد؛ رضوی؛ شماره نسخه: ۱۷۸۱۴</w:t>
      </w:r>
    </w:p>
    <w:p>
      <w:pPr>
        <w:pStyle w:val="BookText"/>
      </w:pPr>
      <w:r>
        <w:rPr>
          <w:rFonts w:ascii="Amiri" w:hAnsi="Amiri" w:eastAsia="Amiri" w:cs="Amiri"/>
          <w:lang w:bidi="ar-SA"/>
          <w:color w:val="111111"/>
          <w:sz w:val="28"/>
          <w:szCs w:val="28"/>
          <w:rtl/>
        </w:rPr>
        <w:t xml:space="preserve">آغاز: برابر؛ انجام: و حيث كان لبعضهم قول بعدم العلم قبل الشرع</w:t>
      </w:r>
    </w:p>
    <w:p>
      <w:pPr>
        <w:pStyle w:val="BookText"/>
      </w:pPr>
      <w:r>
        <w:rPr>
          <w:rFonts w:ascii="IRNazanin" w:hAnsi="IRNazanin" w:eastAsia="IRNazanin" w:cs="IRNazanin"/>
          <w:lang w:bidi="fa-IR"/>
          <w:color w:val="111111"/>
          <w:sz w:val="28"/>
          <w:szCs w:val="28"/>
          <w:rtl/>
        </w:rPr>
        <w:t xml:space="preserve">از ابتدای کتاب تا اواخر طهارت؛ خط: نسخ  تحریری، بی کا، قرن ۱۲؛ افتادگی: انجام؛ و اگذاری سازمان حج و اوقاف در در آ بان ۱۳۶۹؛ کاغذ: نخودی آهار مهره، جلد: تیماج قهوه ای ضربی با ترنج و لچکی، ۱۵۵گ، ۲۲  سطر، اندازه: 15</w:t>
      </w:r>
      <w:r>
        <w:rPr>
          <w:rFonts w:ascii="Times New Roman" w:hAnsi="Times New Roman" w:eastAsia="Times New Roman" w:cs="Times New Roman"/>
          <w:lang w:val="en-US" w:bidi="en-US"/>
          <w:color w:val="111111"/>
          <w:sz w:val="28"/>
          <w:szCs w:val="28"/>
          <w:rtl/>
        </w:rPr>
        <w:t xml:space="preserve">×20/7</w:t>
      </w:r>
      <w:r>
        <w:rPr>
          <w:rFonts w:ascii="IRNazanin" w:hAnsi="IRNazanin" w:eastAsia="IRNazanin" w:cs="IRNazanin"/>
          <w:lang w:bidi="fa-IR"/>
          <w:color w:val="111111"/>
          <w:sz w:val="28"/>
          <w:szCs w:val="28"/>
          <w:rtl/>
        </w:rPr>
        <w:t xml:space="preserve">سم [ف: ۲۶-  83]</w:t>
      </w:r>
    </w:p>
    <w:p>
      <w:pPr>
        <w:pStyle w:val="BookText"/>
      </w:pPr>
      <w:r>
        <w:rPr>
          <w:rFonts w:ascii="IRNazanin" w:hAnsi="IRNazanin" w:eastAsia="IRNazanin" w:cs="IRNazanin"/>
          <w:lang w:bidi="fa-IR"/>
          <w:color w:val="111111"/>
          <w:sz w:val="28"/>
          <w:szCs w:val="28"/>
          <w:rtl/>
        </w:rPr>
        <w:t xml:space="preserve">۱۸. قم؛ مرعشی؛ شماره نسخه: ۲۴۵۵</w:t>
      </w:r>
    </w:p>
    <w:p>
      <w:pPr>
        <w:pStyle w:val="BookText"/>
      </w:pPr>
      <w:r>
        <w:rPr>
          <w:rFonts w:ascii="IRNazanin" w:hAnsi="IRNazanin" w:eastAsia="IRNazanin" w:cs="IRNazanin"/>
          <w:lang w:bidi="fa-IR"/>
          <w:color w:val="111111"/>
          <w:sz w:val="28"/>
          <w:szCs w:val="28"/>
          <w:rtl/>
        </w:rPr>
        <w:t xml:space="preserve">آغاز: و فی الفقيه نقل رواية ابى بصير و اعتبارها حينئذ واضح مع الشهرة و ينبغى أن يعلم ان جدى قدس سره؛ انجام: و هو ابن  ابی نصر قال قال قعود بين الأذان والاقامة فى الصلاة كلها اذا لم...</w:t>
      </w:r>
    </w:p>
    <w:p>
      <w:pPr>
        <w:pStyle w:val="BookText"/>
      </w:pPr>
      <w:r>
        <w:rPr>
          <w:rFonts w:ascii="IRNazanin" w:hAnsi="IRNazanin" w:eastAsia="IRNazanin" w:cs="IRNazanin"/>
          <w:lang w:bidi="fa-IR"/>
          <w:color w:val="111111"/>
          <w:sz w:val="28"/>
          <w:szCs w:val="28"/>
          <w:rtl/>
        </w:rPr>
        <w:t xml:space="preserve">جزء ۴ ،از احکام تطهیر ثوب تا احکام  اذان، به اضافه صفحه ای ازپایان جزء سوم که در اول نسخه آمده است؛ خط: نسخ، بی کا،   بی تا؛ افتادگی: انجام؛ نسخه بسیار مغلوط؛ جلد: مقوایی عطف پارچه مشکی، ۱۷۵گ، ۲۲  سطر،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۳۸/۵سم [ف: ۷-  51]</w:t>
      </w:r>
    </w:p>
    <w:p>
      <w:pPr>
        <w:pStyle w:val="BookText"/>
      </w:pPr>
      <w:r>
        <w:rPr>
          <w:rFonts w:ascii="IRNazanin" w:hAnsi="IRNazanin" w:eastAsia="IRNazanin" w:cs="IRNazanin"/>
          <w:lang w:bidi="fa-IR"/>
          <w:color w:val="111111"/>
          <w:sz w:val="28"/>
          <w:szCs w:val="28"/>
          <w:rtl/>
        </w:rPr>
        <w:t xml:space="preserve">۱۹. یزد؛ وزیری؛ شماره نسخه: ۲۰۶۹/۳</w:t>
      </w:r>
    </w:p>
    <w:p>
      <w:pPr>
        <w:pStyle w:val="BookText"/>
      </w:pPr>
      <w:r>
        <w:rPr>
          <w:rFonts w:ascii="IRNazanin" w:hAnsi="IRNazanin" w:eastAsia="IRNazanin" w:cs="IRNazanin"/>
          <w:lang w:bidi="fa-IR"/>
          <w:color w:val="111111"/>
          <w:sz w:val="28"/>
          <w:szCs w:val="28"/>
          <w:rtl/>
        </w:rPr>
        <w:t xml:space="preserve">آغاز: برابر؛ انجام: غير ان المعارض اذا وجد و كافاه امكن التاویل</w:t>
      </w:r>
    </w:p>
    <w:p>
      <w:pPr>
        <w:pStyle w:val="BookText"/>
      </w:pPr>
      <w:r>
        <w:rPr>
          <w:rFonts w:ascii="IRNazanin" w:hAnsi="IRNazanin" w:eastAsia="IRNazanin" w:cs="IRNazanin"/>
          <w:lang w:bidi="fa-IR"/>
          <w:color w:val="111111"/>
          <w:sz w:val="28"/>
          <w:szCs w:val="28"/>
          <w:rtl/>
        </w:rPr>
        <w:t xml:space="preserve">خط: نسخ و نسخ  تحریری، بی کا، بی تا؛ مقابله شده کاغذ: فرنگی ،جلد: تیماج تریاکی، ۶۴گ (۱۳۰-۱۹۳)،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۴ - ۱۱۴۷]</w:t>
      </w:r>
    </w:p>
    <w:p>
      <w:pPr>
        <w:pStyle w:val="BookText"/>
      </w:pPr>
      <w:r>
        <w:rPr>
          <w:rFonts w:ascii="IRNazanin" w:hAnsi="IRNazanin" w:eastAsia="IRNazanin" w:cs="IRNazanin"/>
          <w:lang w:bidi="fa-IR"/>
          <w:color w:val="111111"/>
          <w:sz w:val="28"/>
          <w:szCs w:val="28"/>
          <w:rtl/>
        </w:rPr>
        <w:t xml:space="preserve">۲۰. شیراز؛ علامه طباطبائی؛ شماره نسخه: ۱۴۱</w:t>
      </w:r>
    </w:p>
    <w:p>
      <w:pPr>
        <w:pStyle w:val="BookText"/>
      </w:pPr>
      <w:r>
        <w:rPr>
          <w:rFonts w:ascii="IRNazanin" w:hAnsi="IRNazanin" w:eastAsia="IRNazanin" w:cs="IRNazanin"/>
          <w:lang w:bidi="fa-IR"/>
          <w:color w:val="111111"/>
          <w:sz w:val="28"/>
          <w:szCs w:val="28"/>
          <w:rtl/>
        </w:rPr>
        <w:t xml:space="preserve">جلد اول؛ خط: نسخ، کا: عبدالرضا بن شیخ احمد بن شيخ قاسم جزائری، بی تا؛ افتادگی: آغاز( برگ اول)؛ ۳۳۰گ،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۱۸/۵سم [نسخه پژوهی ۲ - ۱۱۲]</w:t>
      </w:r>
    </w:p>
    <w:p>
      <w:pPr>
        <w:pStyle w:val="Heading3"/>
      </w:pPr>
      <w:bookmarkStart w:id="1236" w:name="_Toc758"/>
      <w:r>
        <w:t>استقصاء الافحام و استيفاء الانتقام في نقض منتهىالكلام / کلام و اعتقادات / فارسی و عربی</w:t>
      </w:r>
      <w:bookmarkEnd w:id="1236"/>
    </w:p>
    <w:p>
      <w:pPr>
        <w:pStyle w:val="BookText"/>
      </w:pPr>
      <w:r>
        <w:rPr>
          <w:rFonts w:ascii="Times New Roman" w:hAnsi="Times New Roman" w:eastAsia="Times New Roman" w:cs="Times New Roman"/>
          <w:lang w:val="en-US" w:bidi="en-US"/>
          <w:color w:val="111111"/>
          <w:sz w:val="28"/>
          <w:szCs w:val="28"/>
          <w:rtl/>
        </w:rPr>
        <w:t xml:space="preserve">esteqsā’-ol efhām va estīfā’-ol enteqām fī naqz-e</w:t>
      </w:r>
    </w:p>
    <w:p>
      <w:pPr>
        <w:pStyle w:val="BookText"/>
      </w:pPr>
      <w:r>
        <w:rPr>
          <w:rFonts w:ascii="Times New Roman" w:hAnsi="Times New Roman" w:eastAsia="Times New Roman" w:cs="Times New Roman"/>
          <w:lang w:val="en-US" w:bidi="en-US"/>
          <w:color w:val="111111"/>
          <w:sz w:val="28"/>
          <w:szCs w:val="28"/>
          <w:rtl/>
        </w:rPr>
        <w:t xml:space="preserve">montaha-l kalām</w:t>
      </w:r>
    </w:p>
    <w:p>
      <w:pPr>
        <w:pStyle w:val="BookText"/>
      </w:pPr>
      <w:r>
        <w:rPr>
          <w:rFonts w:ascii="IRNazanin" w:hAnsi="IRNazanin" w:eastAsia="IRNazanin" w:cs="IRNazanin"/>
          <w:lang w:bidi="fa-IR"/>
          <w:color w:val="111111"/>
          <w:sz w:val="28"/>
          <w:szCs w:val="28"/>
          <w:rtl/>
        </w:rPr>
        <w:t xml:space="preserve">کنتوری، حامد حسین بن محمد قلى، ١٢٤٦ - 1306 قمری</w:t>
      </w:r>
    </w:p>
    <w:p>
      <w:pPr>
        <w:pStyle w:val="BookText"/>
      </w:pPr>
      <w:r>
        <w:rPr>
          <w:rFonts w:ascii="Times New Roman" w:hAnsi="Times New Roman" w:eastAsia="Times New Roman" w:cs="Times New Roman"/>
          <w:lang w:val="en-US" w:bidi="en-US"/>
          <w:color w:val="111111"/>
          <w:sz w:val="28"/>
          <w:szCs w:val="28"/>
          <w:rtl/>
        </w:rPr>
        <w:t xml:space="preserve">(1893-kantr, hāmed hoseyn ebn-e mohammad qolī (1831-</w:t>
      </w:r>
    </w:p>
    <w:p>
      <w:pPr>
        <w:pStyle w:val="BookText"/>
      </w:pPr>
      <w:r>
        <w:rPr>
          <w:rFonts w:ascii="IRNazanin" w:hAnsi="IRNazanin" w:eastAsia="IRNazanin" w:cs="IRNazanin"/>
          <w:lang w:bidi="fa-IR"/>
          <w:color w:val="111111"/>
          <w:sz w:val="28"/>
          <w:szCs w:val="28"/>
          <w:rtl/>
        </w:rPr>
        <w:t xml:space="preserve">وابسته به: منتهى الكلام = تبيه اهل الخوض؛ فيض آبادى، حيـدر علی بن محمد حسن (قرن ۱۳)</w:t>
      </w:r>
    </w:p>
    <w:p>
      <w:pPr>
        <w:pStyle w:val="BookText"/>
      </w:pPr>
      <w:r>
        <w:rPr>
          <w:rFonts w:ascii="IRNazanin" w:hAnsi="IRNazanin" w:eastAsia="IRNazanin" w:cs="IRNazanin"/>
          <w:lang w:bidi="fa-IR"/>
          <w:color w:val="111111"/>
          <w:sz w:val="28"/>
          <w:szCs w:val="28"/>
          <w:rtl/>
        </w:rPr>
        <w:t xml:space="preserve">کتابی است در ده جلد در پاسخ به کتاب «منتهى الكلام» تألیف حيدر على فيض آبادی حنفی که مطالبی شبه آمیز و بی اساس درباره شیعه داشته است. مؤلف در این کتاب درباره تحریف قرآن کریم و اثبات وجود حضرت مهدی (عجّل الله تعالی فرجه الشریف) بحث کرده و شرح حال بسیاری از دانشمندان اهل سنت را آورده و بعضی  ازاصول و فروع دین را که مورد اختلاف دو فرقه است مطرح کرده است و به اثبات آنچه حق است پراخته است. تلخیص و ترجمه ای از آن به عربی با عنوان «استخراج المرام من استقصاء الإفحام» توسط سيد علی حسینی میلانی در سه جلد به چاپ  رسیده است.</w:t>
      </w:r>
    </w:p>
    <w:p>
      <w:pPr>
        <w:pStyle w:val="BookText"/>
      </w:pPr>
      <w:r>
        <w:rPr>
          <w:rFonts w:ascii="IRNazanin" w:hAnsi="IRNazanin" w:eastAsia="IRNazanin" w:cs="IRNazanin"/>
          <w:lang w:bidi="fa-IR"/>
          <w:color w:val="111111"/>
          <w:sz w:val="28"/>
          <w:szCs w:val="28"/>
          <w:rtl/>
        </w:rPr>
        <w:t xml:space="preserve">چاپ: لکهنو، ناشر اعجاز  محمدی، ١٣١٥ق؛ مطبعة مجمع  البحرین، در سه جلد؛ ۱۳۱۵ق</w:t>
      </w:r>
    </w:p>
    <w:p>
      <w:pPr>
        <w:pStyle w:val="BookText"/>
      </w:pPr>
      <w:r>
        <w:rPr>
          <w:rFonts w:ascii="IRNazanin" w:hAnsi="IRNazanin" w:eastAsia="IRNazanin" w:cs="IRNazanin"/>
          <w:lang w:bidi="fa-IR"/>
          <w:color w:val="111111"/>
          <w:sz w:val="28"/>
          <w:szCs w:val="28"/>
          <w:rtl/>
        </w:rPr>
        <w:t xml:space="preserve">[الذریعه ۲: ۳۱؛ نجوم السماء1 : ۲۸-۲۹؛ نقباء البشر ١: ٣٤٩]</w:t>
      </w:r>
    </w:p>
    <w:p>
      <w:pPr>
        <w:pStyle w:val="BookText"/>
      </w:pPr>
      <w:r>
        <w:rPr>
          <w:rFonts w:ascii="IRNazanin" w:hAnsi="IRNazanin" w:eastAsia="IRNazanin" w:cs="IRNazanin"/>
          <w:lang w:bidi="fa-IR"/>
          <w:color w:val="111111"/>
          <w:sz w:val="28"/>
          <w:szCs w:val="28"/>
          <w:rtl/>
        </w:rPr>
        <w:t xml:space="preserve">۱. مشهد؛ رضوی؛ شماره نسخه: ۱۸۶۴۶</w:t>
      </w:r>
    </w:p>
    <w:p>
      <w:pPr>
        <w:pStyle w:val="BookText"/>
      </w:pPr>
      <w:r>
        <w:rPr>
          <w:rFonts w:ascii="IRNazanin" w:hAnsi="IRNazanin" w:eastAsia="IRNazanin" w:cs="IRNazanin"/>
          <w:lang w:bidi="fa-IR"/>
          <w:color w:val="111111"/>
          <w:sz w:val="28"/>
          <w:szCs w:val="28"/>
          <w:rtl/>
        </w:rPr>
        <w:t xml:space="preserve">آغاز: فاين هذا من ذاك من  و این اسمک   من اسماک زیرا که  ؛</w:t>
      </w:r>
    </w:p>
    <w:p>
      <w:pPr>
        <w:pStyle w:val="BookText"/>
      </w:pPr>
      <w:r>
        <w:rPr>
          <w:rFonts w:ascii="IRNazanin" w:hAnsi="IRNazanin" w:eastAsia="IRNazanin" w:cs="IRNazanin"/>
          <w:lang w:bidi="fa-IR"/>
          <w:color w:val="111111"/>
          <w:sz w:val="28"/>
          <w:szCs w:val="28"/>
          <w:rtl/>
        </w:rPr>
        <w:t xml:space="preserve">انجام : نوشته شده موجود است عدم وثوق بر آن یعنی چه</w:t>
      </w:r>
    </w:p>
    <w:p>
      <w:pPr>
        <w:pStyle w:val="BookText"/>
      </w:pPr>
      <w:r>
        <w:rPr>
          <w:rFonts w:ascii="IRNazanin" w:hAnsi="IRNazanin" w:eastAsia="IRNazanin" w:cs="IRNazanin"/>
          <w:lang w:bidi="fa-IR"/>
          <w:color w:val="111111"/>
          <w:sz w:val="28"/>
          <w:szCs w:val="28"/>
          <w:rtl/>
        </w:rPr>
        <w:t xml:space="preserve">خط: نستعليق، كاتب - مؤلف، تا: قرن ۱۳؛ کاغذ: نخودی، جلد: مقوا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[رایانه]</w:t>
      </w:r>
    </w:p>
    <w:p>
      <w:pPr>
        <w:pStyle w:val="BookText"/>
      </w:pPr>
      <w:r>
        <w:rPr>
          <w:rFonts w:ascii="IRNazanin" w:hAnsi="IRNazanin" w:eastAsia="IRNazanin" w:cs="IRNazanin"/>
          <w:lang w:bidi="fa-IR"/>
          <w:color w:val="111111"/>
          <w:sz w:val="28"/>
          <w:szCs w:val="28"/>
          <w:rtl/>
        </w:rPr>
        <w:t xml:space="preserve">۲. مشهد؛ رضوی؛ شماره نسخه: ۲۱۶۵۲</w:t>
      </w:r>
    </w:p>
    <w:p>
      <w:pPr>
        <w:pStyle w:val="BookText"/>
      </w:pPr>
      <w:r>
        <w:rPr>
          <w:rFonts w:ascii="IRNazanin" w:hAnsi="IRNazanin" w:eastAsia="IRNazanin" w:cs="IRNazanin"/>
          <w:lang w:bidi="fa-IR"/>
          <w:color w:val="111111"/>
          <w:sz w:val="28"/>
          <w:szCs w:val="28"/>
          <w:rtl/>
        </w:rPr>
        <w:t xml:space="preserve">آغاز: اقول مستعيناً بلطف الرب الجليل هر گاه حال؛ انجام: فقال  نعم استمعتنا على عهد رسول الله ((صلّی اللَّهِ علیه وَ آلِهِ وَ سَلَّمَ ) و ابی بکر و عمر (رض)  حدثنی</w:t>
      </w:r>
    </w:p>
    <w:p>
      <w:pPr>
        <w:pStyle w:val="BookText"/>
      </w:pPr>
      <w:r>
        <w:rPr>
          <w:rFonts w:ascii="IRNazanin" w:hAnsi="IRNazanin" w:eastAsia="IRNazanin" w:cs="IRNazanin"/>
          <w:lang w:bidi="fa-IR"/>
          <w:color w:val="111111"/>
          <w:sz w:val="28"/>
          <w:szCs w:val="28"/>
          <w:rtl/>
        </w:rPr>
        <w:t xml:space="preserve">خط: مختلف، كاتب - مؤلف، تا: قرن ۱۴؛ افتادگی: انجام؛ کاغذ: ،نخودی ،جلد: مقوا، ۲۱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۳۲سم [رایانه]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مشهد؛ رضوی؛ شماره نسخه: ۱۸۶۴۵</w:t>
      </w:r>
    </w:p>
    <w:p>
      <w:pPr>
        <w:pStyle w:val="BookText"/>
      </w:pPr>
      <w:r>
        <w:rPr>
          <w:rFonts w:ascii="IRNazanin" w:hAnsi="IRNazanin" w:eastAsia="IRNazanin" w:cs="IRNazanin"/>
          <w:lang w:bidi="fa-IR"/>
          <w:color w:val="111111"/>
          <w:sz w:val="28"/>
          <w:szCs w:val="28"/>
          <w:rtl/>
        </w:rPr>
        <w:t xml:space="preserve">آغاز: قال الفاضل الناصب بالجمله از قدیم الایام همین امر بگوش؛ انجام: باید گفت ... و عزام و الزام از جا نباید رفت</w:t>
      </w:r>
    </w:p>
    <w:p>
      <w:pPr>
        <w:pStyle w:val="BookText"/>
      </w:pPr>
      <w:r>
        <w:rPr>
          <w:rFonts w:ascii="IRNazanin" w:hAnsi="IRNazanin" w:eastAsia="IRNazanin" w:cs="IRNazanin"/>
          <w:lang w:bidi="fa-IR"/>
          <w:color w:val="111111"/>
          <w:sz w:val="28"/>
          <w:szCs w:val="28"/>
          <w:rtl/>
        </w:rPr>
        <w:t xml:space="preserve">خط: نستعلیق، بی کا ؛تا: قرن ۱۳ ؛کاغذ: نخودی، جلد: مقوا،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۲۶سم [رایانه]</w:t>
      </w:r>
    </w:p>
    <w:p>
      <w:pPr>
        <w:pStyle w:val="BookText"/>
      </w:pPr>
      <w:r>
        <w:rPr>
          <w:rFonts w:ascii="IRNazanin" w:hAnsi="IRNazanin" w:eastAsia="IRNazanin" w:cs="IRNazanin"/>
          <w:lang w:bidi="fa-IR"/>
          <w:color w:val="111111"/>
          <w:sz w:val="28"/>
          <w:szCs w:val="28"/>
          <w:rtl/>
        </w:rPr>
        <w:t xml:space="preserve">۴. مشهد؛ رضوی؛ شماره نسخه: ۲۴۵۵۹</w:t>
      </w:r>
    </w:p>
    <w:p>
      <w:pPr>
        <w:pStyle w:val="BookText"/>
      </w:pPr>
      <w:r>
        <w:rPr>
          <w:rFonts w:ascii="IRNazanin" w:hAnsi="IRNazanin" w:eastAsia="IRNazanin" w:cs="IRNazanin"/>
          <w:lang w:bidi="fa-IR"/>
          <w:color w:val="111111"/>
          <w:sz w:val="28"/>
          <w:szCs w:val="28"/>
          <w:rtl/>
        </w:rPr>
        <w:t xml:space="preserve">آغاز: و جهة تهافت آن است که قول او حاشیه؛ انجام: وقد زرت قبره ... ابو سالم عبدالله مغربی</w:t>
      </w:r>
    </w:p>
    <w:p>
      <w:pPr>
        <w:pStyle w:val="BookText"/>
      </w:pPr>
      <w:r>
        <w:rPr>
          <w:rFonts w:ascii="IRNazanin" w:hAnsi="IRNazanin" w:eastAsia="IRNazanin" w:cs="IRNazanin"/>
          <w:lang w:bidi="fa-IR"/>
          <w:color w:val="111111"/>
          <w:sz w:val="28"/>
          <w:szCs w:val="28"/>
          <w:rtl/>
        </w:rPr>
        <w:t xml:space="preserve">خط: نستعلیق، بی کا، تا: قرن ۱۳؛ افتادگی: آغاز؛ کاغذ ،نخودی :جلد: گالینگور عنابی با عطف و گوشه تیماج قهوه ای، قطع: وزیری  بزرگ،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۲۸سم [رایانه ]</w:t>
      </w:r>
    </w:p>
    <w:p>
      <w:pPr>
        <w:pStyle w:val="BookText"/>
      </w:pPr>
      <w:r>
        <w:rPr>
          <w:rFonts w:ascii="IRNazanin" w:hAnsi="IRNazanin" w:eastAsia="IRNazanin" w:cs="IRNazanin"/>
          <w:lang w:bidi="fa-IR"/>
          <w:color w:val="111111"/>
          <w:sz w:val="28"/>
          <w:szCs w:val="28"/>
          <w:rtl/>
        </w:rPr>
        <w:t xml:space="preserve">۵. مشهد؛ رضوی؛ شماره نسخه: ۲۱۶۷۰</w:t>
      </w:r>
    </w:p>
    <w:p>
      <w:pPr>
        <w:pStyle w:val="BookText"/>
      </w:pPr>
      <w:r>
        <w:rPr>
          <w:rFonts w:ascii="IRNazanin" w:hAnsi="IRNazanin" w:eastAsia="IRNazanin" w:cs="IRNazanin"/>
          <w:lang w:bidi="fa-IR"/>
          <w:color w:val="111111"/>
          <w:sz w:val="28"/>
          <w:szCs w:val="28"/>
          <w:rtl/>
        </w:rPr>
        <w:t xml:space="preserve">آغاز: بسمله، قال الفاضل المتوحد النبيل هداه الله؛ انجام: و معتقدین شان بملاحظه ...سرهای خود بکلام سنگ حواله می کنند</w:t>
      </w:r>
    </w:p>
    <w:p>
      <w:pPr>
        <w:pStyle w:val="BookText"/>
      </w:pPr>
      <w:r>
        <w:rPr>
          <w:rFonts w:ascii="IRNazanin" w:hAnsi="IRNazanin" w:eastAsia="IRNazanin" w:cs="IRNazanin"/>
          <w:lang w:bidi="fa-IR"/>
          <w:color w:val="111111"/>
          <w:sz w:val="28"/>
          <w:szCs w:val="28"/>
          <w:rtl/>
        </w:rPr>
        <w:t xml:space="preserve">خط: نستعلیق، بی کا، تا: ۱۲۷۲ق؛ کاغذ: شکری، جلد: مقوا، ۲۱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۳۲سم [رایانه]</w:t>
      </w:r>
    </w:p>
    <w:p>
      <w:pPr>
        <w:pStyle w:val="BookText"/>
      </w:pPr>
      <w:r>
        <w:rPr>
          <w:rFonts w:ascii="IRNazanin" w:hAnsi="IRNazanin" w:eastAsia="IRNazanin" w:cs="IRNazanin"/>
          <w:lang w:bidi="fa-IR"/>
          <w:color w:val="111111"/>
          <w:sz w:val="28"/>
          <w:szCs w:val="28"/>
          <w:rtl/>
        </w:rPr>
        <w:t xml:space="preserve">۶. مشهد؛ رضوی؛ شماره نسخه: ۲۱۶۴۵</w:t>
      </w:r>
    </w:p>
    <w:p>
      <w:pPr>
        <w:pStyle w:val="BookText"/>
      </w:pPr>
      <w:r>
        <w:rPr>
          <w:rFonts w:ascii="IRNazanin" w:hAnsi="IRNazanin" w:eastAsia="IRNazanin" w:cs="IRNazanin"/>
          <w:lang w:bidi="fa-IR"/>
          <w:color w:val="111111"/>
          <w:sz w:val="28"/>
          <w:szCs w:val="28"/>
          <w:rtl/>
        </w:rPr>
        <w:t xml:space="preserve">آغاز: بسمله، قال الفاضل المتوحد النبيل هداه الله؛ انجام: که در  قوت تفسیر معنی حسد است</w:t>
      </w:r>
    </w:p>
    <w:p>
      <w:pPr>
        <w:pStyle w:val="BookText"/>
      </w:pPr>
      <w:r>
        <w:rPr>
          <w:rFonts w:ascii="IRNazanin" w:hAnsi="IRNazanin" w:eastAsia="IRNazanin" w:cs="IRNazanin"/>
          <w:lang w:bidi="fa-IR"/>
          <w:color w:val="111111"/>
          <w:sz w:val="28"/>
          <w:szCs w:val="28"/>
          <w:rtl/>
        </w:rPr>
        <w:t xml:space="preserve">خط: نستعلیق، بی کا، تا: قرن ۱۴ ؛کاغذ: نباتی، جلد: تیماج، ۲۱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۳۰سم [رایانه]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مشهد؛ رضوی؛ شماره نسخه: ۲۴۹۴۵</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06" w:name="pg20365_260303"/>
    <w:bookmarkEnd w:id="206"/>
    <w:p>
      <w:pPr>
        <w:pStyle w:val="BookText"/>
      </w:pPr>
      <w:r>
        <w:rPr>
          <w:rFonts w:ascii="IRNazanin" w:hAnsi="IRNazanin" w:eastAsia="IRNazanin" w:cs="IRNazanin"/>
          <w:lang w:bidi="fa-IR"/>
          <w:color w:val="111111"/>
          <w:sz w:val="28"/>
          <w:szCs w:val="28"/>
          <w:rtl/>
        </w:rPr>
        <w:t xml:space="preserve">آغاز: ابو رومی بالضم صحابی است؛ انجام: و این جماعه در طبقات فقهاء شافعیه گفته</w:t>
      </w:r>
    </w:p>
    <w:p>
      <w:pPr>
        <w:pStyle w:val="BookText"/>
      </w:pPr>
      <w:r>
        <w:rPr>
          <w:rFonts w:ascii="IRNazanin" w:hAnsi="IRNazanin" w:eastAsia="IRNazanin" w:cs="IRNazanin"/>
          <w:lang w:bidi="fa-IR"/>
          <w:color w:val="111111"/>
          <w:sz w:val="28"/>
          <w:szCs w:val="28"/>
          <w:rtl/>
        </w:rPr>
        <w:t xml:space="preserve">جلد ۲؛ بی کا، بی تا ؛کاغذ: نخودی  نباتی ،جلد: مقوا قطع: خشتی ،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[رایانه]</w:t>
      </w:r>
    </w:p>
    <w:p>
      <w:pPr>
        <w:pStyle w:val="BookText"/>
      </w:pPr>
      <w:r>
        <w:rPr>
          <w:rFonts w:ascii="IRNazanin" w:hAnsi="IRNazanin" w:eastAsia="IRNazanin" w:cs="IRNazanin"/>
          <w:lang w:bidi="fa-IR"/>
          <w:color w:val="111111"/>
          <w:sz w:val="28"/>
          <w:szCs w:val="28"/>
          <w:rtl/>
        </w:rPr>
        <w:t xml:space="preserve">8.مشهد؛ رضوی؛ شماره نسخه: ۲۴۸۸۵</w:t>
      </w:r>
    </w:p>
    <w:p>
      <w:pPr>
        <w:pStyle w:val="BookText"/>
      </w:pPr>
      <w:r>
        <w:rPr>
          <w:rFonts w:ascii="Amiri" w:hAnsi="Amiri" w:eastAsia="Amiri" w:cs="Amiri"/>
          <w:lang w:bidi="ar-SA"/>
          <w:color w:val="111111"/>
          <w:sz w:val="28"/>
          <w:szCs w:val="28"/>
          <w:rtl/>
        </w:rPr>
        <w:t xml:space="preserve">آغاز: اقول نستعين بلطف رب الجليل؛ انجام: و كسر الاصنام و صدقا بذلك و هل الاسلام شيء غير هذا</w:t>
      </w:r>
    </w:p>
    <w:p>
      <w:pPr>
        <w:pStyle w:val="BookText"/>
      </w:pPr>
      <w:r>
        <w:rPr>
          <w:rFonts w:ascii="IRNazanin" w:hAnsi="IRNazanin" w:eastAsia="IRNazanin" w:cs="IRNazanin"/>
          <w:lang w:bidi="fa-IR"/>
          <w:color w:val="111111"/>
          <w:sz w:val="28"/>
          <w:szCs w:val="28"/>
          <w:rtl/>
        </w:rPr>
        <w:t xml:space="preserve">جلد ۲ و ۳؛ بی کا، بی تا؛ اوراق جابه جا شده؛ کاغذ: کاهی هندی، فاقد جلد، قطع: خشتی [رایانه]</w:t>
      </w:r>
    </w:p>
    <w:p>
      <w:pPr>
        <w:pStyle w:val="BookText"/>
      </w:pPr>
      <w:r>
        <w:rPr>
          <w:rFonts w:ascii="IRNazanin" w:hAnsi="IRNazanin" w:eastAsia="IRNazanin" w:cs="IRNazanin"/>
          <w:lang w:bidi="fa-IR"/>
          <w:color w:val="111111"/>
          <w:sz w:val="28"/>
          <w:szCs w:val="28"/>
          <w:rtl/>
        </w:rPr>
        <w:t xml:space="preserve">۹. مشهد؛ رضوی؛ شماره نسخه: ۱۸۶۴۵</w:t>
      </w:r>
    </w:p>
    <w:p>
      <w:pPr>
        <w:pStyle w:val="BookText"/>
      </w:pPr>
      <w:r>
        <w:rPr>
          <w:rFonts w:ascii="IRNazanin" w:hAnsi="IRNazanin" w:eastAsia="IRNazanin" w:cs="IRNazanin"/>
          <w:lang w:bidi="fa-IR"/>
          <w:color w:val="111111"/>
          <w:sz w:val="28"/>
          <w:szCs w:val="28"/>
          <w:rtl/>
        </w:rPr>
        <w:t xml:space="preserve">آغاز: اولی الالباب است زیرا که مراد آن جناب؛ انجام: نهایت استعجاب و استغراب اولی الالباب</w:t>
      </w:r>
    </w:p>
    <w:p>
      <w:pPr>
        <w:pStyle w:val="BookText"/>
      </w:pPr>
      <w:r>
        <w:rPr>
          <w:rFonts w:ascii="IRNazanin" w:hAnsi="IRNazanin" w:eastAsia="IRNazanin" w:cs="IRNazanin"/>
          <w:lang w:bidi="fa-IR"/>
          <w:color w:val="111111"/>
          <w:sz w:val="28"/>
          <w:szCs w:val="28"/>
          <w:rtl/>
        </w:rPr>
        <w:t xml:space="preserve">جلد ۲؛ خط: نستعلیق، بی کا، بی تا؛ افتادگی: آغاز و انجام؛ کاغذ: نخودی، جلد: مقوا با رویه مشمع سبز ماشی عطف و گوشه تیماج، ۱۵ سطر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 ، اندازه: ۲۷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[رایانه]</w:t>
      </w:r>
    </w:p>
    <w:p>
      <w:pPr>
        <w:pStyle w:val="BookText"/>
      </w:pPr>
      <w:r>
        <w:rPr>
          <w:rFonts w:ascii="IRNazanin" w:hAnsi="IRNazanin" w:eastAsia="IRNazanin" w:cs="IRNazanin"/>
          <w:lang w:bidi="fa-IR"/>
          <w:color w:val="111111"/>
          <w:sz w:val="28"/>
          <w:szCs w:val="28"/>
          <w:rtl/>
        </w:rPr>
        <w:t xml:space="preserve">۱۰. مشهد؛ رضوی؛ شماره نسخه ۲۷۹۰۰</w:t>
      </w:r>
    </w:p>
    <w:p>
      <w:pPr>
        <w:pStyle w:val="BookText"/>
      </w:pPr>
      <w:r>
        <w:rPr>
          <w:rFonts w:ascii="IRNazanin" w:hAnsi="IRNazanin" w:eastAsia="IRNazanin" w:cs="IRNazanin"/>
          <w:lang w:bidi="fa-IR"/>
          <w:color w:val="111111"/>
          <w:sz w:val="28"/>
          <w:szCs w:val="28"/>
          <w:rtl/>
        </w:rPr>
        <w:t xml:space="preserve">آغاز: هوالمستعان، الحمد لله على طبع نور الانوار و نور الانوار و نفحات الازهار؛ انجام: همین حرف بر سکوتم  گواه، این سکوت  تو به از کلام، تو دانی چرا ساکتی والسلام.</w:t>
      </w:r>
    </w:p>
    <w:p>
      <w:pPr>
        <w:pStyle w:val="BookText"/>
      </w:pPr>
      <w:r>
        <w:rPr>
          <w:rFonts w:ascii="IRNazanin" w:hAnsi="IRNazanin" w:eastAsia="IRNazanin" w:cs="IRNazanin"/>
          <w:lang w:bidi="fa-IR"/>
          <w:color w:val="111111"/>
          <w:sz w:val="28"/>
          <w:szCs w:val="28"/>
          <w:rtl/>
        </w:rPr>
        <w:t xml:space="preserve">خط: نسخ، بی کا، بی تا ،کاغذ ،حنایی، جلد: تیماج ۱۵ سـطر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۳۲سم [رایانه ]</w:t>
      </w:r>
    </w:p>
    <w:p>
      <w:pPr>
        <w:pStyle w:val="BookText"/>
      </w:pPr>
      <w:r>
        <w:rPr>
          <w:rFonts w:ascii="Amiri" w:hAnsi="Amiri" w:eastAsia="Amiri" w:cs="Amiri"/>
          <w:lang w:bidi="ar-SA"/>
          <w:color w:val="111111"/>
          <w:sz w:val="28"/>
          <w:szCs w:val="28"/>
          <w:rtl/>
        </w:rPr>
        <w:t xml:space="preserve">«استقصاء البحث و النظر فى مسائل القضاء و القدر » استقصـاء النظر في البحث عن القضاء والقدر</w:t>
      </w:r>
    </w:p>
    <w:p>
      <w:pPr>
        <w:pStyle w:val="Heading3"/>
      </w:pPr>
      <w:bookmarkStart w:id="1237" w:name="_Toc759"/>
      <w:r>
        <w:t>استقصاء النظر / فقه / عربي</w:t>
      </w:r>
      <w:bookmarkEnd w:id="1237"/>
    </w:p>
    <w:p>
      <w:pPr>
        <w:pStyle w:val="BookText"/>
      </w:pPr>
      <w:r>
        <w:rPr>
          <w:rFonts w:ascii="Times New Roman" w:hAnsi="Times New Roman" w:eastAsia="Times New Roman" w:cs="Times New Roman"/>
          <w:lang w:val="en-US" w:bidi="en-US"/>
          <w:color w:val="111111"/>
          <w:sz w:val="28"/>
          <w:szCs w:val="28"/>
          <w:rtl/>
        </w:rPr>
        <w:t xml:space="preserve">istiqṣā’-un-naẓar</w:t>
      </w:r>
    </w:p>
    <w:p>
      <w:pPr>
        <w:pStyle w:val="BookText"/>
      </w:pPr>
      <w:r>
        <w:rPr>
          <w:rFonts w:ascii="IRNazanin" w:hAnsi="IRNazanin" w:eastAsia="IRNazanin" w:cs="IRNazanin"/>
          <w:lang w:bidi="fa-IR"/>
          <w:color w:val="111111"/>
          <w:sz w:val="28"/>
          <w:szCs w:val="28"/>
          <w:rtl/>
        </w:rPr>
        <w:t xml:space="preserve">رضوی قمی، محمد بن  محمد باقر، ۱۱۰۰ - ۱۱۶۰؟ قمری</w:t>
      </w:r>
    </w:p>
    <w:p>
      <w:pPr>
        <w:pStyle w:val="BookText"/>
      </w:pPr>
      <w:r>
        <w:rPr>
          <w:rFonts w:ascii="Times New Roman" w:hAnsi="Times New Roman" w:eastAsia="Times New Roman" w:cs="Times New Roman"/>
          <w:lang w:val="en-US" w:bidi="en-US"/>
          <w:color w:val="111111"/>
          <w:sz w:val="28"/>
          <w:szCs w:val="28"/>
          <w:rtl/>
        </w:rPr>
        <w:t xml:space="preserve">razavī qomī, mohammad ebn-e mohammad bāqer</w:t>
      </w:r>
    </w:p>
    <w:p>
      <w:pPr>
        <w:pStyle w:val="BookText"/>
      </w:pPr>
      <w:r>
        <w:rPr>
          <w:rFonts w:ascii="Times New Roman" w:hAnsi="Times New Roman" w:eastAsia="Times New Roman" w:cs="Times New Roman"/>
          <w:lang w:val="en-US" w:bidi="en-US"/>
          <w:color w:val="111111"/>
          <w:sz w:val="28"/>
          <w:szCs w:val="28"/>
          <w:rtl/>
        </w:rPr>
        <w:t xml:space="preserve">(589- 1747)</w:t>
      </w:r>
    </w:p>
    <w:p>
      <w:pPr>
        <w:pStyle w:val="BookText"/>
      </w:pPr>
      <w:r>
        <w:rPr>
          <w:rFonts w:ascii="IRNazanin" w:hAnsi="IRNazanin" w:eastAsia="IRNazanin" w:cs="IRNazanin"/>
          <w:lang w:bidi="fa-IR"/>
          <w:color w:val="111111"/>
          <w:sz w:val="28"/>
          <w:szCs w:val="28"/>
          <w:rtl/>
        </w:rPr>
        <w:t xml:space="preserve">تاریخ تالیف: ۱۹ شعبان ۱۱۵۷ق</w:t>
      </w:r>
    </w:p>
    <w:p>
      <w:pPr>
        <w:pStyle w:val="BookText"/>
      </w:pPr>
      <w:r>
        <w:rPr>
          <w:rFonts w:ascii="IRNazanin" w:hAnsi="IRNazanin" w:eastAsia="IRNazanin" w:cs="IRNazanin"/>
          <w:lang w:bidi="fa-IR"/>
          <w:color w:val="111111"/>
          <w:sz w:val="28"/>
          <w:szCs w:val="28"/>
          <w:rtl/>
        </w:rPr>
        <w:t xml:space="preserve">مسائل فقهی و اختلافی بین فقها را همانند «مختلف الشيعه» علامه حلی به ترتیب کتاب های فقهی تنظیم نموده و مسائلی که احتیاج به بسط بیشتر داشتنددر آنها استدلال و گفتگوی بیشتری کرده و گاهی مسائلی را نیز بدون استدلال آورده است این کتاب عناوين «مسألة- مسألة »تنظيم و در هر مورد به اقوال فقها احادیث اهل البيت استدلال شده است. مؤلف كتاب اعتكاف را در ۷ ربیع الثانی  ۱۱۵۴، و کتاب را ظاهراً در یک شنبه ۱۹ شعـبان ۱۱۵۷ به پایان برده است.</w:t>
      </w:r>
    </w:p>
    <w:p>
      <w:pPr>
        <w:pStyle w:val="BookText"/>
      </w:pPr>
      <w:r>
        <w:rPr>
          <w:rFonts w:ascii="Amiri" w:hAnsi="Amiri" w:eastAsia="Amiri" w:cs="Amiri"/>
          <w:lang w:bidi="ar-SA"/>
          <w:color w:val="111111"/>
          <w:sz w:val="28"/>
          <w:szCs w:val="28"/>
          <w:rtl/>
        </w:rPr>
        <w:t xml:space="preserve">آغاز: الحمدلله والصلاة والسلام على حجج الله ... اني أريد ان اشير في هذا الكتاب الى ما اختاره في مسائل الخلاف.</w:t>
      </w:r>
    </w:p>
    <w:p>
      <w:pPr>
        <w:pStyle w:val="BookText"/>
      </w:pPr>
      <w:r>
        <w:rPr>
          <w:rFonts w:ascii="IRNazanin" w:hAnsi="IRNazanin" w:eastAsia="IRNazanin" w:cs="IRNazanin"/>
          <w:lang w:bidi="fa-IR"/>
          <w:color w:val="111111"/>
          <w:sz w:val="28"/>
          <w:szCs w:val="28"/>
          <w:rtl/>
        </w:rPr>
        <w:t xml:space="preserve">۱. مشهد؛ رضوی؛ شماره نسخه: ۱۹۸۵۷</w:t>
      </w:r>
    </w:p>
    <w:p>
      <w:pPr>
        <w:pStyle w:val="BookText"/>
      </w:pPr>
      <w:r>
        <w:rPr>
          <w:rFonts w:ascii="Amiri" w:hAnsi="Amiri" w:eastAsia="Amiri" w:cs="Amiri"/>
          <w:lang w:bidi="ar-SA"/>
          <w:color w:val="111111"/>
          <w:sz w:val="28"/>
          <w:szCs w:val="28"/>
          <w:rtl/>
        </w:rPr>
        <w:t xml:space="preserve">آغاز: بسمله، الحمد لله رب العالمين .... رب اشرح لي صدري .... مسألة قال فى المختلف قال ابن الجنيد و اذا جنى الصبي او العبد على الصيد؛ انجام: فان الكفارة فيه تجب على الساهى و المجنون و تتعدد الكفارة بتعدد السبب تمت الخاتمة</w:t>
      </w:r>
    </w:p>
    <w:p>
      <w:pPr>
        <w:pStyle w:val="BookText"/>
      </w:pPr>
      <w:r>
        <w:rPr>
          <w:rFonts w:ascii="IRNazanin" w:hAnsi="IRNazanin" w:eastAsia="IRNazanin" w:cs="IRNazanin"/>
          <w:lang w:bidi="fa-IR"/>
          <w:color w:val="111111"/>
          <w:sz w:val="28"/>
          <w:szCs w:val="28"/>
          <w:rtl/>
        </w:rPr>
        <w:t xml:space="preserve">خط: نسخ، بی کا، تا: قرن ۱۲؛ مصحح، مقابله شده؛ اهدایی: رهبری، خرداد ۱۳۷۳ ؛کاغذ: نخودی آهار مهره ،جلد: میشن قهوه ای، ۱۷۷ گ، ۲۰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۲۲/۵سم [اهدائی رهبر: ۳-۶۶]</w:t>
      </w:r>
    </w:p>
    <w:p>
      <w:pPr>
        <w:pStyle w:val="BookText"/>
      </w:pPr>
      <w:r>
        <w:rPr>
          <w:rFonts w:ascii="IRNazanin" w:hAnsi="IRNazanin" w:eastAsia="IRNazanin" w:cs="IRNazanin"/>
          <w:lang w:bidi="fa-IR"/>
          <w:color w:val="111111"/>
          <w:sz w:val="28"/>
          <w:szCs w:val="28"/>
          <w:rtl/>
        </w:rPr>
        <w:t xml:space="preserve">۲. قم؛ مرکز احیاء؛ شماره نسخه: ۳۲۴۳</w:t>
      </w:r>
    </w:p>
    <w:p>
      <w:pPr>
        <w:pStyle w:val="BookText"/>
      </w:pPr>
      <w:r>
        <w:rPr>
          <w:rFonts w:ascii="IRNazanin" w:hAnsi="IRNazanin" w:eastAsia="IRNazanin" w:cs="IRNazanin"/>
          <w:lang w:bidi="fa-IR"/>
          <w:color w:val="111111"/>
          <w:sz w:val="28"/>
          <w:szCs w:val="28"/>
          <w:rtl/>
        </w:rPr>
        <w:t xml:space="preserve">آغاز: الحمد لله رب العالمين ... اما بعد فهذا المجلد الثاني من کتاب استقصاء النظر وهو كتاب الزكاة و ما يتلوه من الخمس و الصوم والجهاد على ترتيب مختلف الشيعة؛ انجام: و أنت اذا تأملت القاعدة المستفادة من هذه الكلمات ينفتح عليك ابواب  كثيرة.</w:t>
      </w:r>
    </w:p>
    <w:p>
      <w:pPr>
        <w:pStyle w:val="BookText"/>
      </w:pPr>
      <w:r>
        <w:rPr>
          <w:rFonts w:ascii="IRNazanin" w:hAnsi="IRNazanin" w:eastAsia="IRNazanin" w:cs="IRNazanin"/>
          <w:lang w:bidi="fa-IR"/>
          <w:color w:val="111111"/>
          <w:sz w:val="28"/>
          <w:szCs w:val="28"/>
          <w:rtl/>
        </w:rPr>
        <w:t xml:space="preserve">کتاب الزكاة تا پایان اعتکاف؛ خط: نسخ، بی کا، تا: ۲۵ رجب ۱۲۳۴ق؛ مصحح؛ مهر: «العبد المذنب محمدالمدعو بصدر الدين» (مربع)؛ تملک: «.... الحسنى الحسيني الطباطبائی» با مهر مربع پاک شده وی؛ جلد: تیماج  قرمز، ۱۲۰گ، ۳۴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۳۰سم [محدث ارموی مخ ۱ - ۱۲۹]</w:t>
      </w:r>
    </w:p>
    <w:p>
      <w:pPr>
        <w:pStyle w:val="BookText"/>
      </w:pPr>
      <w:r>
        <w:rPr>
          <w:rFonts w:ascii="IRNazanin" w:hAnsi="IRNazanin" w:eastAsia="IRNazanin" w:cs="IRNazanin"/>
          <w:lang w:bidi="fa-IR"/>
          <w:color w:val="111111"/>
          <w:sz w:val="28"/>
          <w:szCs w:val="28"/>
          <w:rtl/>
        </w:rPr>
        <w:t xml:space="preserve">3.قم ؛مرعشی؛ شماره نسخه: ۲۷۰۴</w:t>
      </w:r>
    </w:p>
    <w:p>
      <w:pPr>
        <w:pStyle w:val="BookText"/>
      </w:pPr>
      <w:r>
        <w:rPr>
          <w:rFonts w:ascii="Amiri" w:hAnsi="Amiri" w:eastAsia="Amiri" w:cs="Amiri"/>
          <w:lang w:bidi="ar-SA"/>
          <w:color w:val="111111"/>
          <w:sz w:val="28"/>
          <w:szCs w:val="28"/>
          <w:rtl/>
        </w:rPr>
        <w:t xml:space="preserve">آغاز: برابر؛ انجام: و أنت اذا تأملت القاعدة المستفادة من هذه الكلمات ينفتح عليك ابواب كثيرة.</w:t>
      </w:r>
    </w:p>
    <w:p>
      <w:pPr>
        <w:pStyle w:val="BookText"/>
      </w:pPr>
      <w:r>
        <w:rPr>
          <w:rFonts w:ascii="IRNazanin" w:hAnsi="IRNazanin" w:eastAsia="IRNazanin" w:cs="IRNazanin"/>
          <w:lang w:bidi="fa-IR"/>
          <w:color w:val="111111"/>
          <w:sz w:val="28"/>
          <w:szCs w:val="28"/>
          <w:rtl/>
        </w:rPr>
        <w:t xml:space="preserve">جزء اول و دوم، تا پایان احکام اعتکاف؛ خط: نسخ، كا: محمد ابراهيم بن محمد اسماعیل  اصفهانی، تا: ذیقعده ۱۲۴۹ق؛ مصحح، قبل از کتاب چهار برگ دارای فهرست موضوعات که یکی از شاگردان مؤلف تنظیم نموده؛ مهر: «الراجي عبدالمجيد الموسوى» (بیضی) ؛جلد: تیماج  مشکی، ۲۲۱گ، ۳۰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۳۰سم [ف: ۷ - ۲۷۴]</w:t>
      </w:r>
    </w:p>
    <w:p>
      <w:pPr>
        <w:pStyle w:val="BookText"/>
      </w:pPr>
      <w:r>
        <w:rPr>
          <w:rFonts w:ascii="IRNazanin" w:hAnsi="IRNazanin" w:eastAsia="IRNazanin" w:cs="IRNazanin"/>
          <w:lang w:bidi="fa-IR"/>
          <w:color w:val="111111"/>
          <w:sz w:val="28"/>
          <w:szCs w:val="28"/>
          <w:rtl/>
        </w:rPr>
        <w:t xml:space="preserve">۴. مشهد؛ رضوی شماره نسخه: ۱۹۶۸۵</w:t>
      </w:r>
    </w:p>
    <w:p>
      <w:pPr>
        <w:pStyle w:val="BookText"/>
      </w:pPr>
      <w:r>
        <w:rPr>
          <w:rFonts w:ascii="Amiri" w:hAnsi="Amiri" w:eastAsia="Amiri" w:cs="Amiri"/>
          <w:lang w:bidi="ar-SA"/>
          <w:color w:val="111111"/>
          <w:sz w:val="28"/>
          <w:szCs w:val="28"/>
          <w:rtl/>
        </w:rPr>
        <w:t xml:space="preserve">آغاز ،بسمله، حمدله فهذا هو المجلد الثانى من كتاب استقصاء النظر و هو كتاب الزكاة و ما يتلوه من الخمس و الصوم والجهاد على ترتيب مختلف الشيعة؛ انجام: فتأمل المقام فانها من مزالق  الأقدام قد تمت الزيادات مع الأصل ... آمين يا رب العالمين</w:t>
      </w:r>
    </w:p>
    <w:p>
      <w:pPr>
        <w:pStyle w:val="BookText"/>
      </w:pPr>
      <w:r>
        <w:rPr>
          <w:rFonts w:ascii="IRNazanin" w:hAnsi="IRNazanin" w:eastAsia="IRNazanin" w:cs="IRNazanin"/>
          <w:lang w:bidi="fa-IR"/>
          <w:color w:val="111111"/>
          <w:sz w:val="28"/>
          <w:szCs w:val="28"/>
          <w:rtl/>
        </w:rPr>
        <w:t xml:space="preserve">جلد ۲؛ خط: نسخ، کا: محمد حسینی همدانی، تا: پنج شنبه ۲۸ جمادى الثانى ۱۲۵۷ق؛ مصحح، مقابله شده؛ اهدایی رهبری، خرداد ۱۳۷۳؛ کاغذ: شکری آهار مهره، جلد: تیماج عنابی ضربی، ۱۳۳گ ، ۳۰ سطر، اندازه: ۳۰/۵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[اهدائی رهبر: ۳ - ۶۶]</w:t>
      </w:r>
    </w:p>
    <w:p>
      <w:pPr>
        <w:pStyle w:val="Heading3"/>
      </w:pPr>
      <w:bookmarkStart w:id="1238" w:name="_Toc760"/>
      <w:r>
        <w:t>استقصاء النظر في البحث عن القضاء والقدر= استقصاء البحث و النظر في مسائل القضاء و القدر / كلام  و اعتقادات / عربی</w:t>
      </w:r>
      <w:bookmarkEnd w:id="1238"/>
    </w:p>
    <w:p>
      <w:pPr>
        <w:pStyle w:val="BookText"/>
      </w:pPr>
      <w:r>
        <w:rPr>
          <w:rFonts w:ascii="Times New Roman" w:hAnsi="Times New Roman" w:eastAsia="Times New Roman" w:cs="Times New Roman"/>
          <w:lang w:val="en-US" w:bidi="en-US"/>
          <w:color w:val="111111"/>
          <w:sz w:val="28"/>
          <w:szCs w:val="28"/>
          <w:rtl/>
        </w:rPr>
        <w:t xml:space="preserve">istiqṣā'-un nazar fi-l baht 'an-il qaḍa' wa-1 qadaristiqsa-ul baht wa-n nazar fy masail-il qada wa-l qadar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علامه حلی حسن بن  یوسف، ۶۴۸ - ۷۲۶ قمری</w:t>
      </w:r>
    </w:p>
    <w:p>
      <w:pPr>
        <w:pStyle w:val="BookText"/>
      </w:pPr>
      <w:r>
        <w:rPr>
          <w:rFonts w:ascii="Times New Roman" w:hAnsi="Times New Roman" w:eastAsia="Times New Roman" w:cs="Times New Roman"/>
          <w:lang w:val="en-US" w:bidi="en-US"/>
          <w:color w:val="111111"/>
          <w:sz w:val="28"/>
          <w:szCs w:val="28"/>
          <w:rtl/>
        </w:rPr>
        <w:t xml:space="preserve">(allāme-ye hellī, hasan ebn-e yūsof (1251 - 1326)</w:t>
      </w:r>
    </w:p>
    <w:p>
      <w:pPr>
        <w:pStyle w:val="BookText"/>
      </w:pPr>
      <w:r>
        <w:rPr>
          <w:rFonts w:ascii="IRNazanin" w:hAnsi="IRNazanin" w:eastAsia="IRNazanin" w:cs="IRNazanin"/>
          <w:lang w:bidi="fa-IR"/>
          <w:color w:val="111111"/>
          <w:sz w:val="28"/>
          <w:szCs w:val="28"/>
          <w:rtl/>
        </w:rPr>
        <w:t xml:space="preserve">اهدا به: اولجایتو خدابنده مغولی</w:t>
      </w:r>
    </w:p>
    <w:p>
      <w:pPr>
        <w:pStyle w:val="BookText"/>
      </w:pPr>
      <w:r>
        <w:rPr>
          <w:rFonts w:ascii="IRNazanin" w:hAnsi="IRNazanin" w:eastAsia="IRNazanin" w:cs="IRNazanin"/>
          <w:lang w:bidi="fa-IR"/>
          <w:color w:val="111111"/>
          <w:sz w:val="28"/>
          <w:szCs w:val="28"/>
          <w:rtl/>
        </w:rPr>
        <w:t xml:space="preserve">رساله جامعی است در خصوص مسئله جبر و اختیار که مورد اختلاف عدلیه و اشاعره می باشد و حضرت علامه ۱۷ دلیل عقلی و ۱۸ برهان نقلی از آیات قرآن کریم بر اثبات نظریه شیعه امامیه در این باب آورده و پس از آن به ذکر ادله جبریون پرداخته و یک یک آنها را رد نموده است یکی از علماء اهل سنت هند رساله ای بر رد این رساله نوشته و قاضی نورالله شوشتری کتاب «النور الانور في مسئلة القضاء و القدر» را در دفع اشکالات و آن و تایید این رساله نگاشته است. نام كتاب «استقصاء البحث و النظر» نیز آمده است.</w:t>
      </w:r>
    </w:p>
    <w:p>
      <w:pPr>
        <w:pStyle w:val="BookText"/>
      </w:pPr>
      <w:r>
        <w:rPr>
          <w:rFonts w:ascii="IRNazanin" w:hAnsi="IRNazanin" w:eastAsia="IRNazanin" w:cs="IRNazanin"/>
          <w:lang w:bidi="fa-IR"/>
          <w:color w:val="111111"/>
          <w:sz w:val="28"/>
          <w:szCs w:val="28"/>
          <w:rtl/>
        </w:rPr>
        <w:t xml:space="preserve">آغاز: بسمله. الحمد لله الحكيم الغفار القديم القهار العظيم السـتار ... اما بعد فانه لما كان السلطان ... او لجا يتوخدا بنده محـمد مالک وجه الارض .... سألنى بنظر الادلة الدالة ان للعبد اختيارفی افعاله و انه غيره مجبور عليها</w:t>
      </w:r>
    </w:p>
    <w:p>
      <w:pPr>
        <w:pStyle w:val="BookText"/>
      </w:pPr>
      <w:r>
        <w:rPr>
          <w:rFonts w:ascii="Amiri" w:hAnsi="Amiri" w:eastAsia="Amiri" w:cs="Amiri"/>
          <w:lang w:bidi="ar-SA"/>
          <w:color w:val="111111"/>
          <w:sz w:val="28"/>
          <w:szCs w:val="28"/>
          <w:rtl/>
        </w:rPr>
        <w:t xml:space="preserve">انجام : و الفرق بين الصورتين ثابت. و لتكن هذا آخر ما نورده فى هذا الكتاب و الله الموفق للصواب، و اليه المرجع و و المآب. و  الحمد لله</w:t>
      </w:r>
    </w:p>
    <w:p>
      <w:pPr>
        <w:pStyle w:val="BookText"/>
      </w:pPr>
      <w:r>
        <w:rPr>
          <w:rFonts w:ascii="IRNazanin" w:hAnsi="IRNazanin" w:eastAsia="IRNazanin" w:cs="IRNazanin"/>
          <w:lang w:bidi="fa-IR"/>
          <w:color w:val="111111"/>
          <w:sz w:val="28"/>
          <w:szCs w:val="28"/>
          <w:rtl/>
        </w:rPr>
        <w:t xml:space="preserve">چاپ: بارها چاپ شده از جمله: مشهد، دار انباء الغيب،۱۴۱۸</w:t>
      </w:r>
    </w:p>
    <w:p>
      <w:pPr>
        <w:pStyle w:val="BookText"/>
      </w:pPr>
      <w:r>
        <w:rPr>
          <w:rFonts w:ascii="IRNazanin" w:hAnsi="IRNazanin" w:eastAsia="IRNazanin" w:cs="IRNazanin"/>
          <w:lang w:bidi="fa-IR"/>
          <w:color w:val="111111"/>
          <w:sz w:val="28"/>
          <w:szCs w:val="28"/>
          <w:rtl/>
        </w:rPr>
        <w:t xml:space="preserve">[الذريعة ۳۱/۲ و ۳۲؛ مكتبه العلامة الحلى، سيد عبدالعزیز طباطبائی  ص 49؛ کشف الحجب ۲۴ و ۴۴؛ هدية العارفین ۲۸۴/۱؛ مشار عربی ۴۹]</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IRNazanin" w:hAnsi="IRNazanin" w:eastAsia="IRNazanin" w:cs="IRNazanin"/>
          <w:lang w:bidi="fa-IR"/>
          <w:color w:val="111111"/>
          <w:sz w:val="28"/>
          <w:szCs w:val="28"/>
          <w:rtl/>
        </w:rPr>
        <w:t xml:space="preserve">١- اجالة الفكر فى فضاء القضاء والقدر؛ فاضل هندی محمد بن حسن (۱۰۶۲-۱۱۳۷)</w:t>
      </w:r>
    </w:p>
    <w:p>
      <w:pPr>
        <w:pStyle w:val="BookText"/>
      </w:pPr>
      <w:r>
        <w:rPr>
          <w:rFonts w:ascii="IRNazanin" w:hAnsi="IRNazanin" w:eastAsia="IRNazanin" w:cs="IRNazanin"/>
          <w:lang w:bidi="fa-IR"/>
          <w:color w:val="111111"/>
          <w:sz w:val="28"/>
          <w:szCs w:val="28"/>
          <w:rtl/>
        </w:rPr>
        <w:t xml:space="preserve">۱. تهران؛ مجلس؛ شماره نسخه: ۴۹۵۳/۱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شکسته نستعلیق ،كا: حيدر بن على بن حیدر آملی عاملی، تا: قرن ۸ ،تنها یک برگ پایان خط حیدر آملی است و بقیه نونویس و تازه است؛ در پایان آنهایی است برای او از محمد بن حسن يوسف بن مطهر حلی به تاریخ۱۲ رمضان ۷۵۹؛ کاغذ: سمرقندی، جلد: تیماج تازه، ۸گ (۲پ-۹پ)، ۲۱ سطر (۸/۵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اندازه: ۱۳/۶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۱۴ - ۲۲۴]</w:t>
      </w:r>
    </w:p>
    <w:p>
      <w:pPr>
        <w:pStyle w:val="BookText"/>
      </w:pPr>
      <w:r>
        <w:rPr>
          <w:rFonts w:ascii="IRNazanin" w:hAnsi="IRNazanin" w:eastAsia="IRNazanin" w:cs="IRNazanin"/>
          <w:lang w:bidi="fa-IR"/>
          <w:color w:val="111111"/>
          <w:sz w:val="28"/>
          <w:szCs w:val="28"/>
          <w:rtl/>
        </w:rPr>
        <w:t xml:space="preserve">تهران؛ دانشگاه؛ شماره نسخه: ۱/ ۲۹۹۲-ف</w:t>
      </w:r>
    </w:p>
    <w:p>
      <w:pPr>
        <w:pStyle w:val="BookText"/>
      </w:pPr>
      <w:r>
        <w:rPr>
          <w:rFonts w:ascii="Amiri" w:hAnsi="Amiri" w:eastAsia="Amiri" w:cs="Amiri"/>
          <w:lang w:bidi="ar-SA"/>
          <w:color w:val="111111"/>
          <w:sz w:val="28"/>
          <w:szCs w:val="28"/>
          <w:rtl/>
        </w:rPr>
        <w:t xml:space="preserve">نسخه  اصل: همان نسخه بالا [فيلمها -ف: ۱ - ۷۷۶]</w:t>
      </w:r>
    </w:p>
    <w:p>
      <w:pPr>
        <w:pStyle w:val="BookText"/>
      </w:pPr>
      <w:r>
        <w:rPr>
          <w:rFonts w:ascii="IRNazanin" w:hAnsi="IRNazanin" w:eastAsia="IRNazanin" w:cs="IRNazanin"/>
          <w:lang w:bidi="fa-IR"/>
          <w:color w:val="111111"/>
          <w:sz w:val="28"/>
          <w:szCs w:val="28"/>
          <w:rtl/>
        </w:rPr>
        <w:t xml:space="preserve">۲ .مشهد؛ رضوی؛ شماره نسخه: ۴۵/۱</w:t>
      </w:r>
    </w:p>
    <w:p>
      <w:pPr>
        <w:pStyle w:val="BookText"/>
      </w:pPr>
      <w:r>
        <w:rPr>
          <w:rFonts w:ascii="IRNazanin" w:hAnsi="IRNazanin" w:eastAsia="IRNazanin" w:cs="IRNazanin"/>
          <w:lang w:bidi="fa-IR"/>
          <w:color w:val="111111"/>
          <w:sz w:val="28"/>
          <w:szCs w:val="28"/>
          <w:rtl/>
        </w:rPr>
        <w:t xml:space="preserve">آغاز: العلماء من اهل مملكته و افاض الخير و الانعام على جـمیع  الانام، انجام: برابر</w:t>
      </w:r>
    </w:p>
    <w:p>
      <w:pPr>
        <w:pStyle w:val="BookText"/>
      </w:pPr>
      <w:r>
        <w:rPr>
          <w:rFonts w:ascii="IRNazanin" w:hAnsi="IRNazanin" w:eastAsia="IRNazanin" w:cs="IRNazanin"/>
          <w:lang w:bidi="fa-IR"/>
          <w:color w:val="111111"/>
          <w:sz w:val="28"/>
          <w:szCs w:val="28"/>
          <w:rtl/>
        </w:rPr>
        <w:t xml:space="preserve">خط: نسخ، بی کا، تا: قرن ۹؛ افتادگی: آغاز به احتمال قوی از روی نسخه ای دیگر که اوراق آغازینش افتاده بوده، استنساخ است؛ کاغذ: نخودی آهار مهره ،جلد: میشن ،دارچینی ۱۳ سـطر  ،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۱ - ۲۰۶]</w:t>
      </w:r>
    </w:p>
    <w:p>
      <w:pPr>
        <w:pStyle w:val="BookText"/>
      </w:pPr>
      <w:r>
        <w:rPr>
          <w:rFonts w:ascii="IRNazanin" w:hAnsi="IRNazanin" w:eastAsia="IRNazanin" w:cs="IRNazanin"/>
          <w:lang w:bidi="fa-IR"/>
          <w:color w:val="111111"/>
          <w:sz w:val="28"/>
          <w:szCs w:val="28"/>
          <w:rtl/>
        </w:rPr>
        <w:t xml:space="preserve">3.تهران؛ مجلس؛ شماره نسخه: ۶۴۴/۲</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در فهرست بدون نام مولف، خط: نسخ، بی کا، تا: ۸۸۶ق؛ ۲۷ سطر، قطع: رحلی، اندازه: ۲۰/۵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۲۹سم [ف: ۲ - ۴۱۰]</w:t>
      </w:r>
    </w:p>
    <w:p>
      <w:pPr>
        <w:pStyle w:val="BookText"/>
      </w:pPr>
      <w:r>
        <w:rPr>
          <w:rFonts w:ascii="IRNazanin" w:hAnsi="IRNazanin" w:eastAsia="IRNazanin" w:cs="IRNazanin"/>
          <w:lang w:bidi="fa-IR"/>
          <w:color w:val="111111"/>
          <w:sz w:val="28"/>
          <w:szCs w:val="28"/>
          <w:rtl/>
        </w:rPr>
        <w:t xml:space="preserve">تهران؛ دانشگاه؛ شماره نسخه: ۲۳۱۴/۲-ف</w:t>
      </w:r>
    </w:p>
    <w:p>
      <w:pPr>
        <w:pStyle w:val="BookText"/>
      </w:pPr>
      <w:r>
        <w:rPr>
          <w:rFonts w:ascii="IRNazanin" w:hAnsi="IRNazanin" w:eastAsia="IRNazanin" w:cs="IRNazanin"/>
          <w:lang w:bidi="fa-IR"/>
          <w:color w:val="111111"/>
          <w:sz w:val="28"/>
          <w:szCs w:val="28"/>
          <w:rtl/>
        </w:rPr>
        <w:t xml:space="preserve">نسخه اصل: همان نسخه بالا [ فیلم ها-ف: ۱ - ۶۷۱]</w:t>
      </w:r>
    </w:p>
    <w:p>
      <w:pPr>
        <w:pStyle w:val="BookText"/>
      </w:pPr>
      <w:r>
        <w:rPr>
          <w:rFonts w:ascii="IRNazanin" w:hAnsi="IRNazanin" w:eastAsia="IRNazanin" w:cs="IRNazanin"/>
          <w:lang w:bidi="fa-IR"/>
          <w:color w:val="111111"/>
          <w:sz w:val="28"/>
          <w:szCs w:val="28"/>
          <w:rtl/>
        </w:rPr>
        <w:t xml:space="preserve">4.تهران؛ مجلس؛ شماره نسخه: ۱۰۱۱۵/۳۵</w:t>
      </w:r>
    </w:p>
    <w:p>
      <w:pPr>
        <w:pStyle w:val="BookText"/>
      </w:pPr>
      <w:r>
        <w:rPr>
          <w:rFonts w:ascii="IRNazanin" w:hAnsi="IRNazanin" w:eastAsia="IRNazanin" w:cs="IRNazanin"/>
          <w:lang w:bidi="fa-IR"/>
          <w:color w:val="111111"/>
          <w:sz w:val="28"/>
          <w:szCs w:val="28"/>
          <w:rtl/>
        </w:rPr>
        <w:t xml:space="preserve">خط: نستعلیق، کا: تاج الدین حسین مشهور به صاعد، تا: قرن ۱۰؛ جا: حرم رضوی؛ برخی از رساله های این مجموعه به گفته کاتب از روی خط مؤلفان و یا منقول از خط آنان کتابت و مقابله شده است، در ص ۱۵۷ مجموعه و در حاشیه مطالبی منقول از مصباح کفعمی و تاریخ ابن ساعی تحریر شده به خط سید کمال الدین حسین بن سید عبدالرحیم استر آبادی و به گفته کاتب: «و كان في اواخر ايام الدولة العلية الطهماسية متوليا للمستحبات من اوقاف الروضة المرضية الرضوية ... و اخوه السيد امر دوست كان و يكون الآن ايضا ضابط الخزانة كتب الرضوية»، در ص ٢٧٢ كاتب مجموعه به مرگ فرزندش اشاره ای دارد و در ذیل ص 273 روایتی منقول از کتاب توحید صدوق آمده به خط علی جبائی که به جهت تسلیت کاتب نوشته؛ جلد: تیماج کرم رنگ با عطف و گوشه ،قرمز ۱۶ص (۷۵۴-۷۶۹)، ۱۹ سطر 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۳۲ - ۱۴۱]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مشهد؛ رضوی؛ شماره نسخه: ۱۷۵۵۲</w:t>
      </w:r>
    </w:p>
    <w:p>
      <w:pPr>
        <w:pStyle w:val="BookText"/>
      </w:pPr>
      <w:r>
        <w:rPr>
          <w:rFonts w:ascii="Amiri" w:hAnsi="Amiri" w:eastAsia="Amiri" w:cs="Amiri"/>
          <w:lang w:bidi="ar-SA"/>
          <w:color w:val="111111"/>
          <w:sz w:val="28"/>
          <w:szCs w:val="28"/>
          <w:rtl/>
        </w:rPr>
        <w:t xml:space="preserve">آغاز: برابر ؛ انجام: تم الكتاب بعون الملك الوهاب الجنابادي  عض عنهم</w:t>
      </w:r>
    </w:p>
    <w:p>
      <w:pPr>
        <w:pStyle w:val="BookText"/>
      </w:pPr>
      <w:r>
        <w:rPr>
          <w:rFonts w:ascii="IRNazanin" w:hAnsi="IRNazanin" w:eastAsia="IRNazanin" w:cs="IRNazanin"/>
          <w:lang w:bidi="fa-IR"/>
          <w:color w:val="111111"/>
          <w:sz w:val="28"/>
          <w:szCs w:val="28"/>
          <w:rtl/>
        </w:rPr>
        <w:t xml:space="preserve">خط: نسخ، کا ،جنابادی، عبدالجواد بن  الزين، تا: من ربیع الاول ۹۲۱ق؛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[رایانه]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مشهد؛ مدرسه باقریه؛ شماره نسخه: ۲۷۹/۱</w:t>
      </w:r>
    </w:p>
    <w:p>
      <w:pPr>
        <w:pStyle w:val="BookText"/>
      </w:pPr>
      <w:r>
        <w:rPr>
          <w:rFonts w:ascii="IRNazanin" w:hAnsi="IRNazanin" w:eastAsia="IRNazanin" w:cs="IRNazanin"/>
          <w:lang w:bidi="fa-IR"/>
          <w:color w:val="111111"/>
          <w:sz w:val="28"/>
          <w:szCs w:val="28"/>
          <w:rtl/>
        </w:rPr>
        <w:t xml:space="preserve">خط: نسخ، کا: عبدالجواد، تا: من ربيع الاول ۹۲۱ق؛ کاغذ: ترمه،  ۱۵ سطر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 تراثنا: س ۶ش ۳ - ۱۱۲]</w:t>
      </w:r>
    </w:p>
    <w:p>
      <w:pPr>
        <w:pStyle w:val="BookText"/>
      </w:pPr>
      <w:r>
        <w:rPr>
          <w:rFonts w:ascii="IRNazanin" w:hAnsi="IRNazanin" w:eastAsia="IRNazanin" w:cs="IRNazanin"/>
          <w:lang w:bidi="fa-IR"/>
          <w:color w:val="111111"/>
          <w:sz w:val="28"/>
          <w:szCs w:val="28"/>
          <w:rtl/>
        </w:rPr>
        <w:t xml:space="preserve">۷. قم؛ مرعشی؛ شماره نسخه: ۹۱۹/۲ عکسی</w:t>
      </w:r>
    </w:p>
    <w:p>
      <w:pPr>
        <w:pStyle w:val="BookText"/>
      </w:pPr>
      <w:r>
        <w:rPr>
          <w:rFonts w:ascii="Amiri" w:hAnsi="Amiri" w:eastAsia="Amiri" w:cs="Amiri"/>
          <w:lang w:bidi="ar-SA"/>
          <w:color w:val="111111"/>
          <w:sz w:val="28"/>
          <w:szCs w:val="28"/>
          <w:rtl/>
        </w:rPr>
        <w:t xml:space="preserve">آغاز: برابر؛ انجام: و ان تمكن من الترك كانت قدرته على الفعل و الترك واحدة، فاذا رجح الفعل فان لم يفتقر لزم</w:t>
      </w:r>
    </w:p>
    <w:p>
      <w:pPr>
        <w:pStyle w:val="BookText"/>
      </w:pPr>
      <w:r>
        <w:rPr>
          <w:rFonts w:ascii="IRNazanin" w:hAnsi="IRNazanin" w:eastAsia="IRNazanin" w:cs="IRNazanin"/>
          <w:lang w:bidi="fa-IR"/>
          <w:color w:val="111111"/>
          <w:sz w:val="28"/>
          <w:szCs w:val="28"/>
          <w:rtl/>
        </w:rPr>
        <w:t xml:space="preserve">نسخه اصل: واتیکان ش ۱۷۶۷؛ خط: نسخ ،کا: محمد بن زید مشهور بلومان (؟) ،زبیدی، تا: با تاریخ۹۲۳ق؛ افتادگی: انجام؛ ۷ ص (۵۵-۶۱) ، ۲۱ سطر [عکسی ف ۲ - ۴۰۰]</w:t>
      </w:r>
    </w:p>
    <w:p>
      <w:pPr>
        <w:pStyle w:val="BookText"/>
      </w:pPr>
      <w:r>
        <w:rPr>
          <w:rFonts w:ascii="IRNazanin" w:hAnsi="IRNazanin" w:eastAsia="IRNazanin" w:cs="IRNazanin"/>
          <w:lang w:bidi="fa-IR"/>
          <w:color w:val="111111"/>
          <w:sz w:val="28"/>
          <w:szCs w:val="28"/>
          <w:rtl/>
        </w:rPr>
        <w:t xml:space="preserve">٨. مشهد؛ الهیات شماره نسخه: ۱۴۷۸۶/۱</w:t>
      </w:r>
    </w:p>
    <w:p>
      <w:pPr>
        <w:pStyle w:val="BookText"/>
      </w:pPr>
      <w:r>
        <w:rPr>
          <w:rFonts w:ascii="IRNazanin" w:hAnsi="IRNazanin" w:eastAsia="IRNazanin" w:cs="IRNazanin"/>
          <w:lang w:bidi="fa-IR"/>
          <w:color w:val="111111"/>
          <w:sz w:val="28"/>
          <w:szCs w:val="28"/>
          <w:rtl/>
        </w:rPr>
        <w:t xml:space="preserve">خط ،نسخ؛ بی کا، تا: ۱۸ ذیقعده ۹۵۶ق؛ در پشت صفحه اول یادداشتی به خط عبدالله بن حاجی محمد رضا نجل آغا محمد  باقر در پشت صفحه اول و رساله سوم آمده: «ممن نظر في هذا الكتاب عيسى بن حسين زاهد» مهر: «محمد نبی الله على ولى الله»؛ تملک: مرتضی بن مرتضى بن احمد حسینی و مهر او کاغذ: حنایی، جلد: تيماج مشكى عطف، ۲۱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اندازه: ۱۸/۳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۲۴سم  [ف: ۲ - ۸۶]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9.قم؛ مرعشی: شماره نسخه: ۱۳۷۳۲/۳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محمد بن ابراهیم اوالی بحرانی، تا: ۹۵۹ق محـشی با نشان ۱۲، مولانا علی  قوشچی، مصحح ؛کاغذ:فرنگی ۷ گ (۲۰-۱۴) ۲۵  سطر،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۸سم :[ف: ۳۴ - ۶۹۲]</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تهران؛ دانشگاه؛ شماره نسخه: ۷۲۴۳/۶</w:t>
      </w:r>
    </w:p>
    <w:p>
      <w:pPr>
        <w:pStyle w:val="BookText"/>
      </w:pPr>
      <w:r>
        <w:rPr>
          <w:rFonts w:ascii="IRNazanin" w:hAnsi="IRNazanin" w:eastAsia="IRNazanin" w:cs="IRNazanin"/>
          <w:lang w:bidi="fa-IR"/>
          <w:color w:val="111111"/>
          <w:sz w:val="28"/>
          <w:szCs w:val="28"/>
          <w:rtl/>
        </w:rPr>
        <w:t xml:space="preserve">خط: نستعلیق، بی کا، تا: قرن ۱۱ ؛کاغذ: اصفهانی، جلد: تازه، سطر (7</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 قطع: ربعی،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۱۹/۵سم [ف: ۱۶ - ۴۹۸]</w:t>
      </w:r>
    </w:p>
    <w:p>
      <w:pPr>
        <w:pStyle w:val="BookText"/>
      </w:pPr>
      <w:r>
        <w:rPr>
          <w:rFonts w:ascii="IRNazanin" w:hAnsi="IRNazanin" w:eastAsia="IRNazanin" w:cs="IRNazanin"/>
          <w:lang w:bidi="fa-IR"/>
          <w:color w:val="111111"/>
          <w:sz w:val="28"/>
          <w:szCs w:val="28"/>
          <w:rtl/>
        </w:rPr>
        <w:t xml:space="preserve">۱۱. تهران؛ مجلس؛ شماره نسخه: ۸۵۰۸/۱</w:t>
      </w:r>
    </w:p>
    <w:p>
      <w:pPr>
        <w:pStyle w:val="BookText"/>
      </w:pPr>
      <w:r>
        <w:rPr>
          <w:rFonts w:ascii="IRNazanin" w:hAnsi="IRNazanin" w:eastAsia="IRNazanin" w:cs="IRNazanin"/>
          <w:lang w:bidi="fa-IR"/>
          <w:color w:val="111111"/>
          <w:sz w:val="28"/>
          <w:szCs w:val="28"/>
          <w:rtl/>
        </w:rPr>
        <w:t xml:space="preserve">خط: نسخ و نستعلیق، کا: عبدالله حسینی نجفی، تا: دهه دوم ذیحجه ۱۰۰۰ق، جا: قریه فارسچین، تملک: آقا احمد به سـال ۱۳۳۲ق با مهر گل باغ محمدی احمد است»(بیضی)؛ مهر: «  انی عبدالله اتانی الکتاب» (دایره)؛ جلد: مقوایی عطف تیماج ۳۰گ (1پ- ۳۰ 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۱۵/۵سم [ف: ۲۸ - ۷۶]</w:t>
      </w:r>
    </w:p>
    <w:p>
      <w:pPr>
        <w:pStyle w:val="BookText"/>
      </w:pPr>
      <w:r>
        <w:rPr>
          <w:rFonts w:ascii="IRNazanin" w:hAnsi="IRNazanin" w:eastAsia="IRNazanin" w:cs="IRNazanin"/>
          <w:lang w:bidi="fa-IR"/>
          <w:color w:val="111111"/>
          <w:sz w:val="28"/>
          <w:szCs w:val="28"/>
          <w:rtl/>
        </w:rPr>
        <w:t xml:space="preserve">۱۲ . مشهد؛ گوهر شاد؛ شماره نسخه: ۹۲۷/۲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خوش، بی کا، تا: قرن ۱۱؛ مهر : حاج سید سعید؛ کاغذ: سمرقندی، جلد: تیماج لایه ای قهوه ای، ۲۱گ (۳۶-۵۶)، ۱۲ سـطر(6/5- 11)؛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۱۹/۵سم [ف: ۳ - ۱۲۶۸]</w:t>
      </w:r>
    </w:p>
    <w:p>
      <w:pPr>
        <w:pStyle w:val="BookText"/>
      </w:pPr>
      <w:r>
        <w:rPr>
          <w:rFonts w:ascii="IRNazanin" w:hAnsi="IRNazanin" w:eastAsia="IRNazanin" w:cs="IRNazanin"/>
          <w:lang w:bidi="fa-IR"/>
          <w:color w:val="111111"/>
          <w:sz w:val="28"/>
          <w:szCs w:val="28"/>
          <w:rtl/>
        </w:rPr>
        <w:t xml:space="preserve">۱۳. مشهد؛ رضوی؛ شماره نسخه: ۱۹۹۶۰</w:t>
      </w:r>
    </w:p>
    <w:p>
      <w:pPr>
        <w:pStyle w:val="BookText"/>
      </w:pPr>
      <w:r>
        <w:rPr>
          <w:rFonts w:ascii="IRNazanin" w:hAnsi="IRNazanin" w:eastAsia="IRNazanin" w:cs="IRNazanin"/>
          <w:lang w:bidi="fa-IR"/>
          <w:color w:val="111111"/>
          <w:sz w:val="28"/>
          <w:szCs w:val="28"/>
          <w:rtl/>
        </w:rPr>
        <w:t xml:space="preserve">آغاز: وداع حضرت امیرالمؤمنین، بسمله، الحمد لله الحكـیم ؛انجام: قدس سره ونور ضريحه في ۶ شهر ذى قعده سنه ۱۰۳۱ الـله</w:t>
      </w:r>
    </w:p>
    <w:p>
      <w:pPr>
        <w:pStyle w:val="BookText"/>
      </w:pPr>
      <w:r>
        <w:rPr>
          <w:rFonts w:ascii="IRNazanin" w:hAnsi="IRNazanin" w:eastAsia="IRNazanin" w:cs="IRNazanin"/>
          <w:lang w:bidi="fa-IR"/>
          <w:color w:val="111111"/>
          <w:sz w:val="28"/>
          <w:szCs w:val="28"/>
          <w:rtl/>
        </w:rPr>
        <w:t xml:space="preserve">خط: نسخ مخلوط به شکسته، کا: حسینی، محمد تقی بن حسین ،تا :۱۰۳۱ق؛ اهدایی: رهبری ۱۳۷۳ ]رایانه]</w:t>
      </w:r>
    </w:p>
    <w:p>
      <w:pPr>
        <w:pStyle w:val="BookText"/>
      </w:pPr>
      <w:r>
        <w:rPr>
          <w:rFonts w:ascii="IRNazanin" w:hAnsi="IRNazanin" w:eastAsia="IRNazanin" w:cs="IRNazanin"/>
          <w:lang w:bidi="fa-IR"/>
          <w:color w:val="111111"/>
          <w:sz w:val="28"/>
          <w:szCs w:val="28"/>
          <w:rtl/>
        </w:rPr>
        <w:t xml:space="preserve">۱۴. مشهد؛ رضوی؛ شماره نسخه:۳۱۴</w:t>
      </w:r>
    </w:p>
    <w:p>
      <w:pPr>
        <w:pStyle w:val="BookText"/>
      </w:pPr>
      <w:r>
        <w:rPr>
          <w:rFonts w:ascii="IRNazanin" w:hAnsi="IRNazanin" w:eastAsia="IRNazanin" w:cs="IRNazanin"/>
          <w:lang w:bidi="fa-IR"/>
          <w:color w:val="111111"/>
          <w:sz w:val="28"/>
          <w:szCs w:val="28"/>
          <w:rtl/>
        </w:rPr>
        <w:t xml:space="preserve">آغاز: پس از دیباچه: و قبل الخوض فى الادلة تقرر محل النـزاع فنقول ذهب جهم بن صفوان الى انه لا فعل؛ انجام: برابر</w:t>
      </w:r>
    </w:p>
    <w:p>
      <w:pPr>
        <w:pStyle w:val="BookText"/>
      </w:pPr>
      <w:r>
        <w:rPr>
          <w:rFonts w:ascii="IRNazanin" w:hAnsi="IRNazanin" w:eastAsia="IRNazanin" w:cs="IRNazanin"/>
          <w:lang w:bidi="fa-IR"/>
          <w:color w:val="111111"/>
          <w:sz w:val="28"/>
          <w:szCs w:val="28"/>
          <w:rtl/>
        </w:rPr>
        <w:t xml:space="preserve">خط: شکسته نستعلیق، کا: شاه محمد بن زین العابدین، تا: جمادی الثانی ۱۰۴۲ق؛ واقف: فهرستی؛ ۸گ ۲۲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  سم [ف: ۴ - ۱۶]</w:t>
      </w:r>
    </w:p>
    <w:p>
      <w:pPr>
        <w:pStyle w:val="BookText"/>
      </w:pPr>
      <w:r>
        <w:rPr>
          <w:rFonts w:ascii="IRNazanin" w:hAnsi="IRNazanin" w:eastAsia="IRNazanin" w:cs="IRNazanin"/>
          <w:lang w:bidi="fa-IR"/>
          <w:color w:val="111111"/>
          <w:sz w:val="28"/>
          <w:szCs w:val="28"/>
          <w:rtl/>
        </w:rPr>
        <w:t xml:space="preserve">۱۵. تهران؛ مجلس؛ شماره نسخه: ۹۵۰۰/۱۳</w:t>
      </w:r>
    </w:p>
    <w:p>
      <w:pPr>
        <w:pStyle w:val="BookText"/>
      </w:pPr>
      <w:r>
        <w:rPr>
          <w:rFonts w:ascii="IRNazanin" w:hAnsi="IRNazanin" w:eastAsia="IRNazanin" w:cs="IRNazanin"/>
          <w:lang w:bidi="fa-IR"/>
          <w:color w:val="111111"/>
          <w:sz w:val="28"/>
          <w:szCs w:val="28"/>
          <w:rtl/>
        </w:rPr>
        <w:t xml:space="preserve">خط: نسخ،بی کا، فضل الله بن مسعود ، تا: ۱۰۴۷ق، جلد: تیماج قهوه ای،۱۴گ (۶۲ پ-۷۵ر) ۲۱  سطر، اندازه: ۱۱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۲۰سم [ف: ۳۰ - 172]</w:t>
      </w:r>
    </w:p>
    <w:p>
      <w:pPr>
        <w:pStyle w:val="BookText"/>
      </w:pPr>
      <w:r>
        <w:rPr>
          <w:rFonts w:ascii="IRNazanin" w:hAnsi="IRNazanin" w:eastAsia="IRNazanin" w:cs="IRNazanin"/>
          <w:lang w:bidi="fa-IR"/>
          <w:color w:val="111111"/>
          <w:sz w:val="28"/>
          <w:szCs w:val="28"/>
          <w:rtl/>
        </w:rPr>
        <w:t xml:space="preserve">۱۶ . قم؛ مرکز احیاء؛ شماره نسخه: ۳۸۰۹/۲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۳۰ ذیقعده ۱۰۴۹ق؛ تملک: «حسن ظهـری عاملی»؛ ۱۲گ (۶۵پ -۷۶ر)،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۱۹/۵سم محدث ارمـوی [مخ: ۱ - ۱۲۹]</w:t>
      </w:r>
    </w:p>
    <w:p>
      <w:pPr>
        <w:pStyle w:val="BookText"/>
      </w:pPr>
      <w:r>
        <w:rPr>
          <w:rFonts w:ascii="IRNazanin" w:hAnsi="IRNazanin" w:eastAsia="IRNazanin" w:cs="IRNazanin"/>
          <w:lang w:bidi="fa-IR"/>
          <w:color w:val="111111"/>
          <w:sz w:val="28"/>
          <w:szCs w:val="28"/>
          <w:rtl/>
        </w:rPr>
        <w:t xml:space="preserve">۱۷. تهران؛ شهشهانی حسین؛ شماره نسخه: بدون شماره</w:t>
      </w:r>
    </w:p>
    <w:p>
      <w:pPr>
        <w:pStyle w:val="BookText"/>
      </w:pPr>
      <w:r>
        <w:rPr>
          <w:rFonts w:ascii="IRNazanin" w:hAnsi="IRNazanin" w:eastAsia="IRNazanin" w:cs="IRNazanin"/>
          <w:lang w:bidi="fa-IR"/>
          <w:color w:val="111111"/>
          <w:sz w:val="28"/>
          <w:szCs w:val="28"/>
          <w:rtl/>
        </w:rPr>
        <w:t xml:space="preserve">بی  کا، تا: ۱۰۷۴ق[ میراث اسلامی ۵ - ۶۰۳]</w:t>
      </w:r>
    </w:p>
    <w:p>
      <w:pPr>
        <w:pStyle w:val="BookText"/>
      </w:pPr>
      <w:r>
        <w:rPr>
          <w:rFonts w:ascii="IRNazanin" w:hAnsi="IRNazanin" w:eastAsia="IRNazanin" w:cs="IRNazanin"/>
          <w:lang w:bidi="fa-IR"/>
          <w:color w:val="111111"/>
          <w:sz w:val="28"/>
          <w:szCs w:val="28"/>
          <w:rtl/>
        </w:rPr>
        <w:t xml:space="preserve">۱۸. تهران؛ مجلس؛ شماره نسخه: ۴۳۲۲/۲</w:t>
      </w:r>
    </w:p>
    <w:p>
      <w:pPr>
        <w:pStyle w:val="BookText"/>
      </w:pPr>
      <w:r>
        <w:rPr>
          <w:rFonts w:ascii="IRNazanin" w:hAnsi="IRNazanin" w:eastAsia="IRNazanin" w:cs="IRNazanin"/>
          <w:lang w:bidi="fa-IR"/>
          <w:color w:val="111111"/>
          <w:sz w:val="28"/>
          <w:szCs w:val="28"/>
          <w:rtl/>
        </w:rPr>
        <w:t xml:space="preserve">خط: نسخ، کا: حیدر بن علی بن اسماعیل هاشمی گرگی، تا: 19محرم۱۰۷۷ق؛ از روی نسخه مورخ ۷۳۲ ؛کاغذ ،سپاهانی جـلد: تیماج مقوایی ضربی قهوه ای ۱۳ گ (۵۵پ-۶۷ر)، ۱۹ سطر [ف:  12- 16]</w:t>
      </w:r>
    </w:p>
    <w:p>
      <w:pPr>
        <w:pStyle w:val="BookText"/>
      </w:pPr>
      <w:r>
        <w:rPr>
          <w:rFonts w:ascii="IRNazanin" w:hAnsi="IRNazanin" w:eastAsia="IRNazanin" w:cs="IRNazanin"/>
          <w:lang w:bidi="fa-IR"/>
          <w:color w:val="111111"/>
          <w:sz w:val="28"/>
          <w:szCs w:val="28"/>
          <w:rtl/>
        </w:rPr>
        <w:t xml:space="preserve">۱۹. تهران؛ مجلس؛ شماره نسخه: ۴۷۶۳/۳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نستعليق، كا: عماد الدین محمود بن پیرزاده عبدالعلی، تا: سه شنبه ۲۰ صفر ۱۰۸۱ق ،کاغذ ،سپاهانی ،جلد: تیماج ضربی ،قهوه ای، ۱۹ ص (۲۲۸-۲۴۶) ۱۲ سطر (۵/۵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۱۳ - ۱۴۹]</w:t>
      </w:r>
    </w:p>
    <w:p>
      <w:pPr>
        <w:pStyle w:val="BookText"/>
      </w:pPr>
      <w:r>
        <w:rPr>
          <w:rFonts w:ascii="IRNazanin" w:hAnsi="IRNazanin" w:eastAsia="IRNazanin" w:cs="IRNazanin"/>
          <w:lang w:bidi="fa-IR"/>
          <w:color w:val="111111"/>
          <w:sz w:val="28"/>
          <w:szCs w:val="28"/>
          <w:rtl/>
        </w:rPr>
        <w:t xml:space="preserve">۲۰ . قم؛ مرکز احیاء؛ شماره نسخه: ۱۶۷۳/۲</w:t>
      </w:r>
    </w:p>
    <w:p>
      <w:pPr>
        <w:pStyle w:val="BookText"/>
      </w:pPr>
      <w:r>
        <w:rPr>
          <w:rFonts w:ascii="IRNazanin" w:hAnsi="IRNazanin" w:eastAsia="IRNazanin" w:cs="IRNazanin"/>
          <w:lang w:bidi="fa-IR"/>
          <w:color w:val="111111"/>
          <w:sz w:val="28"/>
          <w:szCs w:val="28"/>
          <w:rtl/>
        </w:rPr>
        <w:t xml:space="preserve">نسخه  اصل: کتابخانه سید محمد علی روضاتی اصفهان؛ خط: نستعلیق، کا: محمد ابراهيم بن عبدالله بن نظام الدین بن عبدالله بواناتی، تا: با تاریخ ۱۰۸۵ق؛ ۹ ص (۲۴۲-۲۵۰) [ عکسی ف: ۵ - ۱۲۲]</w:t>
      </w:r>
    </w:p>
    <w:p>
      <w:pPr>
        <w:pStyle w:val="BookText"/>
      </w:pPr>
      <w:r>
        <w:rPr>
          <w:rFonts w:ascii="IRNazanin" w:hAnsi="IRNazanin" w:eastAsia="IRNazanin" w:cs="IRNazanin"/>
          <w:lang w:bidi="fa-IR"/>
          <w:color w:val="111111"/>
          <w:sz w:val="28"/>
          <w:szCs w:val="28"/>
          <w:rtl/>
        </w:rPr>
        <w:t xml:space="preserve">۲۱. تهران؛ ملی؛ شماره نسخه: ۲۷۸۷/۶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شکسته نستعلیق، کا: شهاب الدین حسین بن ناصرالدین حسین حسنی حسینی جعفری دیباجی، تا: قرن ۱۲؛ کاغذ: اصفهانی ،نخودی جلد» مقوا با روکش گالینگور، ۴گ (۳۲-۳۵)، ابعاد متن: ۱۰/۵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۲۰،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۲۲/۵سم [ف: ۱۳ – ۲۷۰]</w:t>
      </w:r>
    </w:p>
    <w:p>
      <w:pPr>
        <w:pStyle w:val="BookText"/>
      </w:pPr>
      <w:r>
        <w:rPr>
          <w:rFonts w:ascii="IRNazanin" w:hAnsi="IRNazanin" w:eastAsia="IRNazanin" w:cs="IRNazanin"/>
          <w:lang w:bidi="fa-IR"/>
          <w:color w:val="111111"/>
          <w:sz w:val="28"/>
          <w:szCs w:val="28"/>
          <w:rtl/>
        </w:rPr>
        <w:t xml:space="preserve">۲۲. تهران؛ ملی؛ شماره نسخه: ۱۹۸۷/۱</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،كا: محمود ثاقب  تبریزی ،تا: قرن ۱۲؛ جا: مشهد  الرضا؛ سطور چلیپا؛ ۱۱گ (۴-۱۴) [ف : ۱۱ - ۱۹]</w:t>
      </w:r>
    </w:p>
    <w:p>
      <w:pPr>
        <w:pStyle w:val="BookText"/>
      </w:pPr>
      <w:r>
        <w:rPr>
          <w:rFonts w:ascii="IRNazanin" w:hAnsi="IRNazanin" w:eastAsia="IRNazanin" w:cs="IRNazanin"/>
          <w:lang w:bidi="fa-IR"/>
          <w:color w:val="111111"/>
          <w:sz w:val="28"/>
          <w:szCs w:val="28"/>
          <w:rtl/>
        </w:rPr>
        <w:t xml:space="preserve">۲۳. شیراز؛ علامه طباطبائی؛ شماره نسخه: ۶۷/۱</w:t>
      </w:r>
    </w:p>
    <w:p>
      <w:pPr>
        <w:pStyle w:val="BookText"/>
      </w:pPr>
      <w:r>
        <w:rPr>
          <w:rFonts w:ascii="IRNazanin" w:hAnsi="IRNazanin" w:eastAsia="IRNazanin" w:cs="IRNazanin"/>
          <w:lang w:bidi="fa-IR"/>
          <w:color w:val="111111"/>
          <w:sz w:val="28"/>
          <w:szCs w:val="28"/>
          <w:rtl/>
        </w:rPr>
        <w:t xml:space="preserve">خط: نسخ، بی کا، تا: قرن ۱۲؛ ۲۶گ (۱-۲۶)، اندازه:۱۰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۱۴/۵سم [نسخه پژوهی: ۳ – ۷۴]</w:t>
      </w:r>
    </w:p>
    <w:p>
      <w:pPr>
        <w:pStyle w:val="BookText"/>
      </w:pPr>
      <w:r>
        <w:rPr>
          <w:rFonts w:ascii="IRNazanin" w:hAnsi="IRNazanin" w:eastAsia="IRNazanin" w:cs="IRNazanin"/>
          <w:lang w:bidi="fa-IR"/>
          <w:color w:val="111111"/>
          <w:sz w:val="28"/>
          <w:szCs w:val="28"/>
          <w:rtl/>
        </w:rPr>
        <w:t xml:space="preserve">۲۴. قم؛ مرعشی؛ شماره نسخه: ۱۰۷۹۹/۱۱</w:t>
      </w:r>
    </w:p>
    <w:p>
      <w:pPr>
        <w:pStyle w:val="BookText"/>
      </w:pPr>
      <w:r>
        <w:rPr>
          <w:rFonts w:ascii="IRNazanin" w:hAnsi="IRNazanin" w:eastAsia="IRNazanin" w:cs="IRNazanin"/>
          <w:lang w:bidi="fa-IR"/>
          <w:color w:val="111111"/>
          <w:sz w:val="28"/>
          <w:szCs w:val="28"/>
          <w:rtl/>
        </w:rPr>
        <w:t xml:space="preserve">خط: نسخ و نستعلیق، کا: محمد قاسم شهمیرزادی، تا: ۱۱۰۰ق؛ با چند خط؛ جلد: تیماج  مشکی، ۵گ (۲۱۶پ-۲۲۰پ)، اندازه:  ۱۸/۵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۳۱سم [ف: ۲۷ - ۲۱۶]</w:t>
      </w:r>
    </w:p>
    <w:p>
      <w:pPr>
        <w:pStyle w:val="BookText"/>
      </w:pPr>
      <w:r>
        <w:rPr>
          <w:rFonts w:ascii="IRNazanin" w:hAnsi="IRNazanin" w:eastAsia="IRNazanin" w:cs="IRNazanin"/>
          <w:lang w:bidi="fa-IR"/>
          <w:color w:val="111111"/>
          <w:sz w:val="28"/>
          <w:szCs w:val="28"/>
          <w:rtl/>
        </w:rPr>
        <w:t xml:space="preserve">۲۵. قم؛ مرعشی؛ شماره نسخه: ۱۱۶۷۸/۲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نسخ،کا: عبدالله فرزند حاجی  علی، دماوندی، تا: محرم ۱۱۱۵ق، جا: دار السلطنه اصفهان؛ مصحح ؛ مهر: «قال إنى عبدالله آتانی الکتاب» (بیضی)؛ کاغذ: سمرقندی آهار مهره، جلد: دو رو تیماج، برون زرشکی درون تیماج ،زیتونی، ۸گ (۲۴۴-۲۵۱)، ۲۰ سطر ،(9</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۲۴/۵سم [ف: ۲۹ - ۴۵۸]</w:t>
      </w:r>
    </w:p>
    <w:p>
      <w:pPr>
        <w:pStyle w:val="BookText"/>
      </w:pPr>
      <w:r>
        <w:rPr>
          <w:rFonts w:ascii="IRNazanin" w:hAnsi="IRNazanin" w:eastAsia="IRNazanin" w:cs="IRNazanin"/>
          <w:lang w:bidi="fa-IR"/>
          <w:color w:val="111111"/>
          <w:sz w:val="28"/>
          <w:szCs w:val="28"/>
          <w:rtl/>
        </w:rPr>
        <w:t xml:space="preserve">۲۶. تهران؛ دانشگاه؛ شماره نسخه: ۲۰۹۱/۲</w:t>
      </w:r>
    </w:p>
    <w:p>
      <w:pPr>
        <w:pStyle w:val="BookText"/>
      </w:pPr>
      <w:r>
        <w:rPr>
          <w:rFonts w:ascii="IRNazanin" w:hAnsi="IRNazanin" w:eastAsia="IRNazanin" w:cs="IRNazanin"/>
          <w:lang w:bidi="fa-IR"/>
          <w:color w:val="111111"/>
          <w:sz w:val="28"/>
          <w:szCs w:val="28"/>
          <w:rtl/>
        </w:rPr>
        <w:t xml:space="preserve">خط: نسخ، کا: محمد علی بن حسن بن ندا، تا: صفر ۱۱۱۹ق؛ کاغذ: سپاهانی، جلد: تیماج خاکستری مقوایی، ۲۱گ (۱۳پ- ۳۳)،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۸ - ۷۱۴]</w:t>
      </w:r>
    </w:p>
    <w:p>
      <w:pPr>
        <w:pStyle w:val="BookText"/>
      </w:pPr>
      <w:r>
        <w:rPr>
          <w:rFonts w:ascii="IRNazanin" w:hAnsi="IRNazanin" w:eastAsia="IRNazanin" w:cs="IRNazanin"/>
          <w:lang w:bidi="fa-IR"/>
          <w:color w:val="111111"/>
          <w:sz w:val="28"/>
          <w:szCs w:val="28"/>
          <w:rtl/>
        </w:rPr>
        <w:t xml:space="preserve">۲۷. قم؛ گلپایگانی؛ شماره :نسخه : 7/ 6290- 170/ 30</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از اول تا آخر؛ خط: نسخ، کا: عبدالحسین بن شيخ محمد امین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07" w:name="pg20365_260306"/>
    <w:bookmarkEnd w:id="207"/>
    <w:p>
      <w:pPr>
        <w:pStyle w:val="BookText"/>
      </w:pPr>
      <w:r>
        <w:rPr>
          <w:rFonts w:ascii="IRNazanin" w:hAnsi="IRNazanin" w:eastAsia="IRNazanin" w:cs="IRNazanin"/>
          <w:lang w:bidi="fa-IR"/>
          <w:color w:val="111111"/>
          <w:sz w:val="28"/>
          <w:szCs w:val="28"/>
          <w:rtl/>
        </w:rPr>
        <w:t xml:space="preserve">شراره  فتونی، تا: قرن ۱۳؛ از روی نسخه تاج الدین حسین مشهـور به صاعد مورخ قرن ۱۰ق؛ جلد: تیماج مشکی ضربی ترنج مجدول گرهی عطف تیماج قهوه ای، ۱۰گ ، ۱۹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  [ف: ۱ - ۳۳۹]</w:t>
      </w:r>
    </w:p>
    <w:p>
      <w:pPr>
        <w:pStyle w:val="BookText"/>
      </w:pPr>
      <w:r>
        <w:rPr>
          <w:rFonts w:ascii="IRNazanin" w:hAnsi="IRNazanin" w:eastAsia="IRNazanin" w:cs="IRNazanin"/>
          <w:lang w:bidi="fa-IR"/>
          <w:color w:val="111111"/>
          <w:sz w:val="28"/>
          <w:szCs w:val="28"/>
          <w:rtl/>
        </w:rPr>
        <w:t xml:space="preserve">۲۸. قم؛ گلپایگانی؛ شماره نسخه: ۴۷۷۴/۲-۲۴/۷۴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نوروز على ... رشت المسکن گیلانی الاصل،تا: ۱۹ جمادى الثانى ۱۲۳۲ق ،جلد: مقوا با روکش پارچه قهوه ای عطف و حاشیه تیماج قهوه ای ضربی مجدول گرهی، ۱۱گ،20 سطر، اندازه: ۱۵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۲۳سم [ف: ۱ - ۳۳۹]</w:t>
      </w:r>
    </w:p>
    <w:p>
      <w:pPr>
        <w:pStyle w:val="BookText"/>
      </w:pPr>
      <w:r>
        <w:rPr>
          <w:rFonts w:ascii="IRNazanin" w:hAnsi="IRNazanin" w:eastAsia="IRNazanin" w:cs="IRNazanin"/>
          <w:lang w:bidi="fa-IR"/>
          <w:color w:val="111111"/>
          <w:sz w:val="28"/>
          <w:szCs w:val="28"/>
          <w:rtl/>
        </w:rPr>
        <w:t xml:space="preserve">۲۹. تهران؛ دانشسرای عالی - کتابخانه میرزا عبدالعظیم خان قریب گر کانی؛ شماره نسخه: ۱۸۸/۶</w:t>
      </w:r>
    </w:p>
    <w:p>
      <w:pPr>
        <w:pStyle w:val="BookText"/>
      </w:pPr>
      <w:r>
        <w:rPr>
          <w:rFonts w:ascii="IRNazanin" w:hAnsi="IRNazanin" w:eastAsia="IRNazanin" w:cs="IRNazanin"/>
          <w:lang w:bidi="fa-IR"/>
          <w:color w:val="111111"/>
          <w:sz w:val="28"/>
          <w:szCs w:val="28"/>
          <w:rtl/>
        </w:rPr>
        <w:t xml:space="preserve">خط: نستعلیق، بی کا، تا: ۹ شوال ۱۲۵۷ق؛ قطع: ربعی [ نشریه :.5- 647]</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تهران؛ دانشگاه؛ شماره نسخه: ۵۸۹۶/۱</w:t>
      </w:r>
    </w:p>
    <w:p>
      <w:pPr>
        <w:pStyle w:val="BookText"/>
      </w:pPr>
      <w:r>
        <w:rPr>
          <w:rFonts w:ascii="IRNazanin" w:hAnsi="IRNazanin" w:eastAsia="IRNazanin" w:cs="IRNazanin"/>
          <w:lang w:bidi="fa-IR"/>
          <w:color w:val="111111"/>
          <w:sz w:val="28"/>
          <w:szCs w:val="28"/>
          <w:rtl/>
        </w:rPr>
        <w:t xml:space="preserve">خط: نستعلیق  ریز ،کا: میر سید حسین ابن مهدی احوال تهرانی،تا: ۴ جمادی الثانی ۱۲۸۰ق ؛جا: مدرسه صدر پهلوی مسجد سلطانی تهران؛ کاغذ:  فرنگی ،جلد: تیماج حنایی لایی، ۱۶ سطر (7</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قطع ،بغلی،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۱۶ - ۱۳۷]</w:t>
      </w:r>
    </w:p>
    <w:p>
      <w:pPr>
        <w:pStyle w:val="BookText"/>
      </w:pPr>
      <w:r>
        <w:rPr>
          <w:rFonts w:ascii="IRNazanin" w:hAnsi="IRNazanin" w:eastAsia="IRNazanin" w:cs="IRNazanin"/>
          <w:lang w:bidi="fa-IR"/>
          <w:color w:val="111111"/>
          <w:sz w:val="28"/>
          <w:szCs w:val="28"/>
          <w:rtl/>
        </w:rPr>
        <w:t xml:space="preserve">۳۱. تهران؛ مجلس؛ شماره نسخه: ۱۰۰۰۶/۱</w:t>
      </w:r>
    </w:p>
    <w:p>
      <w:pPr>
        <w:pStyle w:val="BookText"/>
      </w:pPr>
      <w:r>
        <w:rPr>
          <w:rFonts w:ascii="IRNazanin" w:hAnsi="IRNazanin" w:eastAsia="IRNazanin" w:cs="IRNazanin"/>
          <w:lang w:bidi="fa-IR"/>
          <w:color w:val="111111"/>
          <w:sz w:val="28"/>
          <w:szCs w:val="28"/>
          <w:rtl/>
        </w:rPr>
        <w:t xml:space="preserve">خط: نسخ، کا: فضل الله  زنجانی، تا: ۱۳۲۷ق؛ در پایان این نسـخه مطلبی به نقل از «العيون» و «المحاسن» شیخ مفید در رد کعبی آمده و در پشت آخرین برگ این رساله یادداشتی است از فضـل الله زنجانی مبنی بر استنساخ آن در سنه ۱۳۲۷ق از مجموعه ای به خط شيخ الشریعه شیرازی اصبهانی غروی؛ جلد: مقوایی آبی، ۱۳ص (۱-۳۱) ۱۵-۱۶ سطر، اندازه: ۱۰/۵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۳۲ - 18 ]</w:t>
      </w:r>
    </w:p>
    <w:p>
      <w:pPr>
        <w:pStyle w:val="BookText"/>
      </w:pPr>
      <w:r>
        <w:rPr>
          <w:rFonts w:ascii="IRNazanin" w:hAnsi="IRNazanin" w:eastAsia="IRNazanin" w:cs="IRNazanin"/>
          <w:lang w:bidi="fa-IR"/>
          <w:color w:val="111111"/>
          <w:sz w:val="28"/>
          <w:szCs w:val="28"/>
          <w:rtl/>
        </w:rPr>
        <w:t xml:space="preserve">۳۲. تهران؛ ملی؛ شماره نسخه: ۳۶۱۰/۳</w:t>
      </w:r>
    </w:p>
    <w:p>
      <w:pPr>
        <w:pStyle w:val="BookText"/>
      </w:pPr>
      <w:r>
        <w:rPr>
          <w:rFonts w:ascii="IRNazanin" w:hAnsi="IRNazanin" w:eastAsia="IRNazanin" w:cs="IRNazanin"/>
          <w:lang w:bidi="fa-IR"/>
          <w:color w:val="111111"/>
          <w:sz w:val="28"/>
          <w:szCs w:val="28"/>
          <w:rtl/>
        </w:rPr>
        <w:t xml:space="preserve">خط: نستعلیق،  کا، محمد امین بن یحیی خوئی اسدی نجفی، ۱۳۳۶ق، جا: نجف اشرف؛ مهر: كاتب «من كتب الاقل محـمد امين الخوئى النجفی» (بیضی) ؛کاغذ: فرنگی  نخودی ،جلد: تیماج سیاه ضربی  مقوایی، ۱۰گ (۸۶پ-۹۵) ، ۱۸ سطر (۵/۵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۸/۵)  ، اندازه: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۱۶ - ۱۸۵]</w:t>
      </w:r>
    </w:p>
    <w:p>
      <w:pPr>
        <w:pStyle w:val="BookText"/>
      </w:pPr>
      <w:r>
        <w:rPr>
          <w:rFonts w:ascii="IRNazanin" w:hAnsi="IRNazanin" w:eastAsia="IRNazanin" w:cs="IRNazanin"/>
          <w:lang w:bidi="fa-IR"/>
          <w:color w:val="111111"/>
          <w:sz w:val="28"/>
          <w:szCs w:val="28"/>
          <w:rtl/>
        </w:rPr>
        <w:t xml:space="preserve">۳۳. تهران؛ ملی؛ شماره نسخه: ۴۲۴۶/۱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بی تا؛ مصحح؛ کاغذ: فرنگی نخودی  ، 15گ (۱پ-۱۵پ)، ۱۵ سطر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اندازه: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18-204]</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قم؛ مرعشی ؛ شماره نسخه : 2/ 2796</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مصحح، دارای علامت بلاغ ؛جلد: مقوایی  عطف تيماج قهوه ای، ۱۱گ (۳۳پ-۴۴پ)،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  [ف: ۷ - ۳۶۲]</w:t>
      </w:r>
    </w:p>
    <w:p>
      <w:pPr>
        <w:pStyle w:val="BookText"/>
      </w:pPr>
      <w:r>
        <w:rPr>
          <w:rFonts w:ascii="IRNazanin" w:hAnsi="IRNazanin" w:eastAsia="IRNazanin" w:cs="IRNazanin"/>
          <w:lang w:bidi="fa-IR"/>
          <w:color w:val="111111"/>
          <w:sz w:val="28"/>
          <w:szCs w:val="28"/>
          <w:rtl/>
        </w:rPr>
        <w:t xml:space="preserve">قم؛ مرکز احیاء؛ شماره نسخه: ۲۳۵/۲</w:t>
      </w:r>
    </w:p>
    <w:p>
      <w:pPr>
        <w:pStyle w:val="BookText"/>
      </w:pPr>
      <w:r>
        <w:rPr>
          <w:rFonts w:ascii="IRNazanin" w:hAnsi="IRNazanin" w:eastAsia="IRNazanin" w:cs="IRNazanin"/>
          <w:lang w:bidi="fa-IR"/>
          <w:color w:val="111111"/>
          <w:sz w:val="28"/>
          <w:szCs w:val="28"/>
          <w:rtl/>
        </w:rPr>
        <w:t xml:space="preserve">نسخه  اصل: همان نسخه بالا [عکسی ف: ۱ - ۲۶۶]</w:t>
      </w:r>
    </w:p>
    <w:p>
      <w:pPr>
        <w:pStyle w:val="BookText"/>
      </w:pPr>
      <w:r>
        <w:rPr>
          <w:rFonts w:ascii="IRNazanin" w:hAnsi="IRNazanin" w:eastAsia="IRNazanin" w:cs="IRNazanin"/>
          <w:lang w:bidi="fa-IR"/>
          <w:color w:val="111111"/>
          <w:sz w:val="28"/>
          <w:szCs w:val="28"/>
          <w:rtl/>
        </w:rPr>
        <w:t xml:space="preserve">۳۵. تهران؛ حقوق؛ شماره نسخه: ۲۲۷/۲ - ج</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بی کا، بی تا [ف :۲۴۴]</w:t>
      </w:r>
    </w:p>
    <w:p>
      <w:pPr>
        <w:pStyle w:val="BookText"/>
      </w:pPr>
      <w:r>
        <w:rPr>
          <w:rFonts w:ascii="IRNazanin" w:hAnsi="IRNazanin" w:eastAsia="IRNazanin" w:cs="IRNazanin"/>
          <w:lang w:bidi="fa-IR"/>
          <w:color w:val="111111"/>
          <w:sz w:val="28"/>
          <w:szCs w:val="28"/>
          <w:rtl/>
        </w:rPr>
        <w:t xml:space="preserve">36.قم؛ مرکز مطالعات؛ شماره نسخه: ۹۶۶/۴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،چلیپا، بی کا، بی تا؛ جلد: تیماج مشکی مجدول، ۱۱گ (۵۱ پ - ۶۱ پ) ۱۲ سطر،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 - ۲۳۳]</w:t>
      </w:r>
    </w:p>
    <w:p>
      <w:pPr>
        <w:pStyle w:val="BookText"/>
      </w:pPr>
      <w:r>
        <w:rPr>
          <w:rFonts w:ascii="IRNazanin" w:hAnsi="IRNazanin" w:eastAsia="IRNazanin" w:cs="IRNazanin"/>
          <w:lang w:bidi="fa-IR"/>
          <w:color w:val="111111"/>
          <w:sz w:val="28"/>
          <w:szCs w:val="28"/>
          <w:rtl/>
        </w:rPr>
        <w:t xml:space="preserve">۳۷. تهران؛ مجلس؛ شماره نسخه: ۱۴۲۹۲/۷</w:t>
      </w:r>
    </w:p>
    <w:p>
      <w:pPr>
        <w:pStyle w:val="BookText"/>
      </w:pPr>
      <w:r>
        <w:rPr>
          <w:rFonts w:ascii="Amiri" w:hAnsi="Amiri" w:eastAsia="Amiri" w:cs="Amiri"/>
          <w:lang w:bidi="ar-SA"/>
          <w:color w:val="111111"/>
          <w:sz w:val="28"/>
          <w:szCs w:val="28"/>
          <w:rtl/>
        </w:rPr>
        <w:t xml:space="preserve">آغاز: برابر ؛انجام : و اثبتوا للعبد قدرة غير مؤثرة فى الفعل بل الفعل صادر من الله تعالى و هذا فى الحقيقة مذهب جهيم بن صفوان لكن لاراى.</w:t>
      </w:r>
    </w:p>
    <w:p>
      <w:pPr>
        <w:pStyle w:val="BookText"/>
      </w:pPr>
      <w:r>
        <w:rPr>
          <w:rFonts w:ascii="IRNazanin" w:hAnsi="IRNazanin" w:eastAsia="IRNazanin" w:cs="IRNazanin"/>
          <w:lang w:bidi="fa-IR"/>
          <w:color w:val="111111"/>
          <w:sz w:val="28"/>
          <w:szCs w:val="28"/>
          <w:rtl/>
        </w:rPr>
        <w:t xml:space="preserve">فقط یک برگ از اول این رساله است؛ خط: نسخ، بی کا، بی تا؛ بی کا؛ بی تا؛ مصحح؛ جلد: مقوایی، قهوه ای ، عطف و گوشه    گالینگور ،مشکی، اگ (۳۴ر و ۳۴پ)، ۱۷ 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۳۸ - ۴۱۹]</w:t>
      </w:r>
    </w:p>
    <w:p>
      <w:pPr>
        <w:pStyle w:val="BookText"/>
      </w:pPr>
      <w:r>
        <w:rPr>
          <w:rFonts w:ascii="IRNazanin" w:hAnsi="IRNazanin" w:eastAsia="IRNazanin" w:cs="IRNazanin"/>
          <w:lang w:bidi="fa-IR"/>
          <w:color w:val="111111"/>
          <w:sz w:val="28"/>
          <w:szCs w:val="28"/>
          <w:rtl/>
        </w:rPr>
        <w:t xml:space="preserve">۳۸. تهران؛ ادبیات؛ شماره نسخه: ۱۳۶/۲ - د</w:t>
      </w:r>
    </w:p>
    <w:p>
      <w:pPr>
        <w:pStyle w:val="BookText"/>
      </w:pPr>
      <w:r>
        <w:rPr>
          <w:rFonts w:ascii="IRNazanin" w:hAnsi="IRNazanin" w:eastAsia="IRNazanin" w:cs="IRNazanin"/>
          <w:lang w:bidi="fa-IR"/>
          <w:color w:val="111111"/>
          <w:sz w:val="28"/>
          <w:szCs w:val="28"/>
          <w:rtl/>
        </w:rPr>
        <w:t xml:space="preserve">بی کا، بی تا؛ ۹گ(۲۷پ- ۳۵پ) [ف: ۱ - ۲۷]</w:t>
      </w:r>
    </w:p>
    <w:p>
      <w:pPr>
        <w:pStyle w:val="BookText"/>
      </w:pPr>
      <w:r>
        <w:rPr>
          <w:rFonts w:ascii="IRNazanin" w:hAnsi="IRNazanin" w:eastAsia="IRNazanin" w:cs="IRNazanin"/>
          <w:lang w:bidi="fa-IR"/>
          <w:color w:val="111111"/>
          <w:sz w:val="28"/>
          <w:szCs w:val="28"/>
          <w:rtl/>
        </w:rPr>
        <w:t xml:space="preserve">۳۹. تهران؛ مجلس؛ شماره نسخه: ۴۲۳۲/۲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با یک سرلوح؛ کاغذ: فرنگی، جلد: تیماج یک لا زرین ۱۷گ (۸۳پ -۹۹ر)، ۱۵ سطر (۸/۵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۲۳سم [ف: ۱۱ - ۲۵۰]</w:t>
      </w:r>
    </w:p>
    <w:p>
      <w:pPr>
        <w:pStyle w:val="BookText"/>
      </w:pPr>
      <w:r>
        <w:rPr>
          <w:rFonts w:ascii="IRNazanin" w:hAnsi="IRNazanin" w:eastAsia="IRNazanin" w:cs="IRNazanin"/>
          <w:lang w:bidi="fa-IR"/>
          <w:color w:val="111111"/>
          <w:sz w:val="28"/>
          <w:szCs w:val="28"/>
          <w:rtl/>
        </w:rPr>
        <w:t xml:space="preserve">40.تهران؛ مجلس؛ شماره نسخه: ۵۱۶۸/۵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۹ گ (۵۰ پ-۵۸ پ) ۲۰ سطر [ف: ۱۵-۳۰۶]</w:t>
      </w:r>
    </w:p>
    <w:p>
      <w:pPr>
        <w:pStyle w:val="BookText"/>
      </w:pPr>
      <w:r>
        <w:rPr>
          <w:rFonts w:ascii="IRNazanin" w:hAnsi="IRNazanin" w:eastAsia="IRNazanin" w:cs="IRNazanin"/>
          <w:lang w:bidi="fa-IR"/>
          <w:color w:val="111111"/>
          <w:sz w:val="28"/>
          <w:szCs w:val="28"/>
          <w:rtl/>
        </w:rPr>
        <w:t xml:space="preserve">۴۱. تهران؛ مجلس؛ شماره نسخه: ۴۹۵۴/۱۳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میر جعفر بن عبدالله حسینی، بی تا؛ کاغذ: سپاهانی ،جلد: روغنی حاشیه گل و بوته میان ترنج، ۱۴گ (۱۴۳پ- ۱۵۶ر)، ۱۴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۱۴ - ۲۳۷]</w:t>
      </w:r>
    </w:p>
    <w:p>
      <w:pPr>
        <w:pStyle w:val="BookText"/>
      </w:pPr>
      <w:r>
        <w:rPr>
          <w:rFonts w:ascii="IRNazanin" w:hAnsi="IRNazanin" w:eastAsia="IRNazanin" w:cs="IRNazanin"/>
          <w:lang w:bidi="fa-IR"/>
          <w:color w:val="111111"/>
          <w:sz w:val="28"/>
          <w:szCs w:val="28"/>
          <w:rtl/>
        </w:rPr>
        <w:t xml:space="preserve">۴۲. قم؛ گلپایگانی؛ شماره نسخه: ۶۱۳۳/۵-۳۲/۴۳</w:t>
      </w:r>
    </w:p>
    <w:p>
      <w:pPr>
        <w:pStyle w:val="BookText"/>
      </w:pPr>
      <w:r>
        <w:rPr>
          <w:rFonts w:ascii="IRNazanin" w:hAnsi="IRNazanin" w:eastAsia="IRNazanin" w:cs="IRNazanin"/>
          <w:lang w:bidi="fa-IR"/>
          <w:color w:val="111111"/>
          <w:sz w:val="28"/>
          <w:szCs w:val="28"/>
          <w:rtl/>
        </w:rPr>
        <w:t xml:space="preserve">آغاز: الحمد الله العليم الغفار القديم القهار ... اما بعد فانه لما كان السلطان الاعظم الحاكم في رقاب الامم... او لجایتو خدابنده محمد؛ انجام: كانت قدرته على الفعل والترك واحدة فاذا الفعل فان لم يفتقر</w:t>
      </w:r>
    </w:p>
    <w:p>
      <w:pPr>
        <w:pStyle w:val="BookText"/>
      </w:pPr>
      <w:r>
        <w:rPr>
          <w:rFonts w:ascii="IRNazanin" w:hAnsi="IRNazanin" w:eastAsia="IRNazanin" w:cs="IRNazanin"/>
          <w:lang w:bidi="fa-IR"/>
          <w:color w:val="111111"/>
          <w:sz w:val="28"/>
          <w:szCs w:val="28"/>
          <w:rtl/>
        </w:rPr>
        <w:t xml:space="preserve">این نسخه عکسی است؛ خط: نسخ، بی کا، بی تا؛ افتادگی: انجام؛ جلد: گالینگور قهوه ای، ۷گ، ۲۱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۳۰سم [ف: ۱  - 339]</w:t>
      </w:r>
    </w:p>
    <w:p>
      <w:pPr>
        <w:pStyle w:val="Heading3"/>
      </w:pPr>
      <w:bookmarkStart w:id="1239" w:name="_Toc761"/>
      <w:r>
        <w:t>استقلال الباكرة البالغة الرشيدة في تزويج نفسها /  فقه / عربی</w:t>
      </w:r>
      <w:bookmarkEnd w:id="1239"/>
    </w:p>
    <w:p>
      <w:pPr>
        <w:pStyle w:val="BookText"/>
      </w:pPr>
      <w:r>
        <w:rPr>
          <w:rFonts w:ascii="Times New Roman" w:hAnsi="Times New Roman" w:eastAsia="Times New Roman" w:cs="Times New Roman"/>
          <w:lang w:val="en-US" w:bidi="en-US"/>
          <w:color w:val="111111"/>
          <w:sz w:val="28"/>
          <w:szCs w:val="28"/>
          <w:rtl/>
        </w:rPr>
        <w:t xml:space="preserve">istiqlal-ul bākirat-il bāligat-ir rašīda fī tazwīj-i nafs-i-</w:t>
      </w:r>
    </w:p>
    <w:p>
      <w:pPr>
        <w:pStyle w:val="BookText"/>
      </w:pPr>
      <w:r>
        <w:rPr>
          <w:rFonts w:ascii="Times New Roman" w:hAnsi="Times New Roman" w:eastAsia="Times New Roman" w:cs="Times New Roman"/>
          <w:lang w:val="en-US" w:bidi="en-US"/>
          <w:color w:val="111111"/>
          <w:sz w:val="28"/>
          <w:szCs w:val="28"/>
          <w:rtl/>
        </w:rPr>
        <w:t xml:space="preserve">hā</w:t>
      </w:r>
    </w:p>
    <w:p>
      <w:pPr>
        <w:pStyle w:val="BookText"/>
      </w:pPr>
      <w:r>
        <w:rPr>
          <w:rFonts w:ascii="IRNazanin" w:hAnsi="IRNazanin" w:eastAsia="IRNazanin" w:cs="IRNazanin"/>
          <w:lang w:bidi="fa-IR"/>
          <w:color w:val="111111"/>
          <w:sz w:val="28"/>
          <w:szCs w:val="28"/>
          <w:rtl/>
        </w:rPr>
        <w:t xml:space="preserve">بروجردی، ابوالقاسم بن علینقی – ۱۲۷۷ قمری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08" w:name="pg20365_260307"/>
    <w:bookmarkEnd w:id="208"/>
    <w:p>
      <w:pPr>
        <w:pStyle w:val="BookText"/>
      </w:pPr>
      <w:r>
        <w:rPr>
          <w:rFonts w:ascii="Times New Roman" w:hAnsi="Times New Roman" w:eastAsia="Times New Roman" w:cs="Times New Roman"/>
          <w:lang w:val="en-US" w:bidi="en-US"/>
          <w:color w:val="111111"/>
          <w:sz w:val="28"/>
          <w:szCs w:val="28"/>
          <w:rtl/>
        </w:rPr>
        <w:t xml:space="preserve">(borūjerdī, ab-ol-qāsem ebn-e ‘alī-naqī (- 1861)</w:t>
      </w:r>
    </w:p>
    <w:p>
      <w:pPr>
        <w:pStyle w:val="BookText"/>
      </w:pPr>
      <w:r>
        <w:rPr>
          <w:rFonts w:ascii="IRNazanin" w:hAnsi="IRNazanin" w:eastAsia="IRNazanin" w:cs="IRNazanin"/>
          <w:lang w:bidi="fa-IR"/>
          <w:color w:val="111111"/>
          <w:sz w:val="28"/>
          <w:szCs w:val="28"/>
          <w:rtl/>
        </w:rPr>
        <w:t xml:space="preserve">بشرویه؛ امیرالمؤمنین؛ شماره نسخه: ۶۷/۴</w:t>
      </w:r>
    </w:p>
    <w:p>
      <w:pPr>
        <w:pStyle w:val="BookText"/>
      </w:pPr>
      <w:r>
        <w:rPr>
          <w:rFonts w:ascii="IRNazanin" w:hAnsi="IRNazanin" w:eastAsia="IRNazanin" w:cs="IRNazanin"/>
          <w:lang w:bidi="fa-IR"/>
          <w:color w:val="111111"/>
          <w:sz w:val="28"/>
          <w:szCs w:val="28"/>
          <w:rtl/>
        </w:rPr>
        <w:t xml:space="preserve">آغاز: بسمله الحمد لوليه والصلوة على سيدنا و نبيه و اله الذين... و بعد يقول احقر العباد واقلهم للزاد يوم المفاد؛ انجام :علی الاخبار الادله ليس عند التحقيق الا بفتوى جماعة معدودة و  مثله بعيد عن الصواب و ليس ذلك قدحاً في الاصحاب</w:t>
      </w:r>
    </w:p>
    <w:p>
      <w:pPr>
        <w:pStyle w:val="BookText"/>
      </w:pPr>
      <w:r>
        <w:rPr>
          <w:rFonts w:ascii="IRNazanin" w:hAnsi="IRNazanin" w:eastAsia="IRNazanin" w:cs="IRNazanin"/>
          <w:lang w:bidi="fa-IR"/>
          <w:color w:val="111111"/>
          <w:sz w:val="28"/>
          <w:szCs w:val="28"/>
          <w:rtl/>
        </w:rPr>
        <w:t xml:space="preserve">خط: نسخ، بی کا، کا، بی تا؛ افتادگی: انجام؛ جلد: تیماج مشکی مجدول بدون مقوا، ۸گ (۲۳۳ پ- ۲۴۰ پ)، ۳۵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مخ]</w:t>
      </w:r>
    </w:p>
    <w:p>
      <w:pPr>
        <w:pStyle w:val="BookText"/>
      </w:pPr>
      <w:r>
        <w:rPr>
          <w:rFonts w:ascii="IRNazanin" w:hAnsi="IRNazanin" w:eastAsia="IRNazanin" w:cs="IRNazanin"/>
          <w:lang w:bidi="fa-IR"/>
          <w:color w:val="111111"/>
          <w:sz w:val="28"/>
          <w:szCs w:val="28"/>
          <w:rtl/>
        </w:rPr>
        <w:t xml:space="preserve">«استقلال البكر الرشيدة على النكاح » ولایت پدر و جد در نکاح</w:t>
      </w:r>
    </w:p>
    <w:p>
      <w:pPr>
        <w:pStyle w:val="Heading3"/>
      </w:pPr>
      <w:bookmarkStart w:id="1240" w:name="_Toc762"/>
      <w:r>
        <w:t>استقلال گمرکی ایران / تاریخ / فارسی</w:t>
      </w:r>
      <w:bookmarkEnd w:id="1240"/>
    </w:p>
    <w:p>
      <w:pPr>
        <w:pStyle w:val="BookText"/>
      </w:pPr>
      <w:r>
        <w:rPr>
          <w:rFonts w:ascii="Times New Roman" w:hAnsi="Times New Roman" w:eastAsia="Times New Roman" w:cs="Times New Roman"/>
          <w:lang w:val="en-US" w:bidi="en-US"/>
          <w:color w:val="111111"/>
          <w:sz w:val="28"/>
          <w:szCs w:val="28"/>
          <w:rtl/>
        </w:rPr>
        <w:t xml:space="preserve">esteqlāl-e gomrokī-ye īrān</w:t>
      </w:r>
    </w:p>
    <w:p>
      <w:pPr>
        <w:pStyle w:val="BookText"/>
      </w:pPr>
      <w:r>
        <w:rPr>
          <w:rFonts w:ascii="IRNazanin" w:hAnsi="IRNazanin" w:eastAsia="IRNazanin" w:cs="IRNazanin"/>
          <w:lang w:bidi="fa-IR"/>
          <w:color w:val="111111"/>
          <w:sz w:val="28"/>
          <w:szCs w:val="28"/>
          <w:rtl/>
        </w:rPr>
        <w:t xml:space="preserve">صفی نیا، رضا</w:t>
      </w:r>
    </w:p>
    <w:p>
      <w:pPr>
        <w:pStyle w:val="BookText"/>
      </w:pPr>
      <w:r>
        <w:rPr>
          <w:rFonts w:ascii="Times New Roman" w:hAnsi="Times New Roman" w:eastAsia="Times New Roman" w:cs="Times New Roman"/>
          <w:lang w:val="en-US" w:bidi="en-US"/>
          <w:color w:val="111111"/>
          <w:sz w:val="28"/>
          <w:szCs w:val="28"/>
          <w:rtl/>
        </w:rPr>
        <w:t xml:space="preserve">safī-nīyā, rezā</w:t>
      </w:r>
    </w:p>
    <w:p>
      <w:pPr>
        <w:pStyle w:val="BookText"/>
      </w:pPr>
      <w:r>
        <w:rPr>
          <w:rFonts w:ascii="IRNazanin" w:hAnsi="IRNazanin" w:eastAsia="IRNazanin" w:cs="IRNazanin"/>
          <w:lang w:bidi="fa-IR"/>
          <w:color w:val="111111"/>
          <w:sz w:val="28"/>
          <w:szCs w:val="28"/>
          <w:rtl/>
        </w:rPr>
        <w:t xml:space="preserve">مشهد؛ رضوی؛ شماره نسخه: ۱۶۰۹۹</w:t>
      </w:r>
    </w:p>
    <w:p>
      <w:pPr>
        <w:pStyle w:val="BookText"/>
      </w:pPr>
      <w:r>
        <w:rPr>
          <w:rFonts w:ascii="IRNazanin" w:hAnsi="IRNazanin" w:eastAsia="IRNazanin" w:cs="IRNazanin"/>
          <w:lang w:bidi="fa-IR"/>
          <w:color w:val="111111"/>
          <w:sz w:val="28"/>
          <w:szCs w:val="28"/>
          <w:rtl/>
        </w:rPr>
        <w:t xml:space="preserve">آغاز: و موسیه که امروز گمرک نامیده می شود؛ انجام: همت  و غیرت بخرج خواهد داد</w:t>
      </w:r>
    </w:p>
    <w:p>
      <w:pPr>
        <w:pStyle w:val="BookText"/>
      </w:pPr>
      <w:r>
        <w:rPr>
          <w:rFonts w:ascii="IRNazanin" w:hAnsi="IRNazanin" w:eastAsia="IRNazanin" w:cs="IRNazanin"/>
          <w:lang w:bidi="fa-IR"/>
          <w:color w:val="111111"/>
          <w:sz w:val="28"/>
          <w:szCs w:val="28"/>
          <w:rtl/>
        </w:rPr>
        <w:t xml:space="preserve">خط: نستعلیق تحریری، کاتب - مؤلف، بی تا [رایانه]</w:t>
      </w:r>
    </w:p>
    <w:p>
      <w:pPr>
        <w:pStyle w:val="BookText"/>
      </w:pPr>
      <w:r>
        <w:rPr>
          <w:rFonts w:ascii="IRNazanin" w:hAnsi="IRNazanin" w:eastAsia="IRNazanin" w:cs="IRNazanin"/>
          <w:lang w:bidi="fa-IR"/>
          <w:color w:val="111111"/>
          <w:sz w:val="28"/>
          <w:szCs w:val="28"/>
          <w:rtl/>
        </w:rPr>
        <w:t xml:space="preserve">«الاستقلالية » ثبوت الولاية للاب والجد للاب على البـکر البالغة</w:t>
      </w:r>
    </w:p>
    <w:p>
      <w:pPr>
        <w:pStyle w:val="Heading3"/>
      </w:pPr>
      <w:bookmarkStart w:id="1241" w:name="_Toc763"/>
      <w:r>
        <w:t>استلام الحجر / عربي</w:t>
      </w:r>
      <w:bookmarkEnd w:id="1241"/>
    </w:p>
    <w:p>
      <w:pPr>
        <w:pStyle w:val="BookText"/>
      </w:pPr>
      <w:r>
        <w:rPr>
          <w:rFonts w:ascii="Times New Roman" w:hAnsi="Times New Roman" w:eastAsia="Times New Roman" w:cs="Times New Roman"/>
          <w:lang w:val="en-US" w:bidi="en-US"/>
          <w:color w:val="111111"/>
          <w:sz w:val="28"/>
          <w:szCs w:val="28"/>
          <w:rtl/>
        </w:rPr>
        <w:t xml:space="preserve">istilām-ul ḥajar</w:t>
      </w:r>
    </w:p>
    <w:p>
      <w:pPr>
        <w:pStyle w:val="BookText"/>
      </w:pPr>
      <w:r>
        <w:rPr>
          <w:rFonts w:ascii="IRNazanin" w:hAnsi="IRNazanin" w:eastAsia="IRNazanin" w:cs="IRNazanin"/>
          <w:lang w:bidi="fa-IR"/>
          <w:color w:val="111111"/>
          <w:sz w:val="28"/>
          <w:szCs w:val="28"/>
          <w:rtl/>
        </w:rPr>
        <w:t xml:space="preserve">قم؛ مرعشی؛ شماره نسخه: ۱۴۹۷/۵۸ عکسی</w:t>
      </w:r>
    </w:p>
    <w:p>
      <w:pPr>
        <w:pStyle w:val="BookText"/>
      </w:pPr>
      <w:r>
        <w:rPr>
          <w:rFonts w:ascii="IRNazanin" w:hAnsi="IRNazanin" w:eastAsia="IRNazanin" w:cs="IRNazanin"/>
          <w:lang w:bidi="fa-IR"/>
          <w:color w:val="111111"/>
          <w:sz w:val="28"/>
          <w:szCs w:val="28"/>
          <w:rtl/>
        </w:rPr>
        <w:t xml:space="preserve">آغاز: مسئلة عن استلام الحجر وقولهم عند استلامهم له امانتی اديتها و میثاقی تعاهدته</w:t>
      </w:r>
    </w:p>
    <w:p>
      <w:pPr>
        <w:pStyle w:val="BookText"/>
      </w:pPr>
      <w:r>
        <w:rPr>
          <w:rFonts w:ascii="IRNazanin" w:hAnsi="IRNazanin" w:eastAsia="IRNazanin" w:cs="IRNazanin"/>
          <w:lang w:bidi="fa-IR"/>
          <w:color w:val="111111"/>
          <w:sz w:val="28"/>
          <w:szCs w:val="28"/>
          <w:rtl/>
        </w:rPr>
        <w:t xml:space="preserve">نسخه  اصل: کتابخانه آستان قدس رضوی، شماره ض ۲۱۵۰۹؛ خـط: نسخ، کا: سید احمد بن محمد رضا حسینی صفایی خوانساری،تا: قرن ۱۴؛ مصحح، محشی، رکابه دار، در برگ ۱۵۸ یادداشتی  به نقل از کشف الظنون درباره حریری آمده؛ ۲ص (۱۴۷-۱۴۸)، 22سطر [عکسی  ف: ۴ - ۳۹۵]</w:t>
      </w:r>
    </w:p>
    <w:p>
      <w:pPr>
        <w:pStyle w:val="Heading3"/>
      </w:pPr>
      <w:bookmarkStart w:id="1242" w:name="_Toc764"/>
      <w:r>
        <w:t>استمرار الحجة / كلام و اعتقادات / عربی</w:t>
      </w:r>
      <w:bookmarkEnd w:id="1242"/>
    </w:p>
    <w:p>
      <w:pPr>
        <w:pStyle w:val="BookText"/>
      </w:pPr>
      <w:r>
        <w:rPr>
          <w:rFonts w:ascii="Times New Roman" w:hAnsi="Times New Roman" w:eastAsia="Times New Roman" w:cs="Times New Roman"/>
          <w:lang w:val="en-US" w:bidi="en-US"/>
          <w:color w:val="111111"/>
          <w:sz w:val="28"/>
          <w:szCs w:val="28"/>
          <w:rtl/>
        </w:rPr>
        <w:t xml:space="preserve">istimrār-ul-ḥujja</w:t>
      </w:r>
    </w:p>
    <w:p>
      <w:pPr>
        <w:pStyle w:val="BookText"/>
      </w:pPr>
      <w:r>
        <w:rPr>
          <w:rFonts w:ascii="IRNazanin" w:hAnsi="IRNazanin" w:eastAsia="IRNazanin" w:cs="IRNazanin"/>
          <w:lang w:bidi="fa-IR"/>
          <w:color w:val="111111"/>
          <w:sz w:val="28"/>
          <w:szCs w:val="28"/>
          <w:rtl/>
        </w:rPr>
        <w:t xml:space="preserve">اخباری، محمد بن عبدالنبی، ۱۱۷۸ - ۱۲۳۲ ؟قمری</w:t>
      </w:r>
    </w:p>
    <w:p>
      <w:pPr>
        <w:pStyle w:val="BookText"/>
      </w:pPr>
      <w:r>
        <w:rPr>
          <w:rFonts w:ascii="Times New Roman" w:hAnsi="Times New Roman" w:eastAsia="Times New Roman" w:cs="Times New Roman"/>
          <w:lang w:val="en-US" w:bidi="en-US"/>
          <w:color w:val="111111"/>
          <w:sz w:val="28"/>
          <w:szCs w:val="28"/>
          <w:rtl/>
        </w:rPr>
        <w:t xml:space="preserve">(axbārī, mohammad ebn-e ‘abd-on-nabī (1765 - 1817)</w:t>
      </w:r>
    </w:p>
    <w:p>
      <w:pPr>
        <w:pStyle w:val="BookText"/>
      </w:pPr>
      <w:r>
        <w:rPr>
          <w:rFonts w:ascii="IRNazanin" w:hAnsi="IRNazanin" w:eastAsia="IRNazanin" w:cs="IRNazanin"/>
          <w:lang w:bidi="fa-IR"/>
          <w:color w:val="111111"/>
          <w:sz w:val="28"/>
          <w:szCs w:val="28"/>
          <w:rtl/>
        </w:rPr>
        <w:t xml:space="preserve">تهران؛ الهیات؛ شماره نسخه: ۱۹۳/۶</w:t>
      </w:r>
    </w:p>
    <w:p>
      <w:pPr>
        <w:pStyle w:val="BookText"/>
      </w:pPr>
      <w:r>
        <w:rPr>
          <w:rFonts w:ascii="IRNazanin" w:hAnsi="IRNazanin" w:eastAsia="IRNazanin" w:cs="IRNazanin"/>
          <w:lang w:bidi="fa-IR"/>
          <w:color w:val="111111"/>
          <w:sz w:val="28"/>
          <w:szCs w:val="28"/>
          <w:rtl/>
        </w:rPr>
        <w:t xml:space="preserve">خط: نسخ، بی کا، تا: قرن ۱۳ ؛کاغذ: فرنگی سفید و کبود، جلد: تیماج عنابی ضربی ،مقوایی ۱۰گ (۲۴۲ ر - ۲۵۱ر)، ۱۱ سطر (8/5</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:۲۵۹]</w:t>
      </w:r>
    </w:p>
    <w:p>
      <w:pPr>
        <w:pStyle w:val="Heading3"/>
      </w:pPr>
      <w:bookmarkStart w:id="1243" w:name="_Toc765"/>
      <w:r>
        <w:t>استنباط الاحكام = كيفية استنباط الاحكام / اصول فقه / عربی</w:t>
      </w:r>
      <w:bookmarkEnd w:id="1243"/>
    </w:p>
    <w:p>
      <w:pPr>
        <w:pStyle w:val="BookText"/>
      </w:pPr>
      <w:r>
        <w:rPr>
          <w:rFonts w:ascii="Times New Roman" w:hAnsi="Times New Roman" w:eastAsia="Times New Roman" w:cs="Times New Roman"/>
          <w:lang w:val="en-US" w:bidi="en-US"/>
          <w:color w:val="111111"/>
          <w:sz w:val="28"/>
          <w:szCs w:val="28"/>
          <w:rtl/>
        </w:rPr>
        <w:t xml:space="preserve">istinbat-ul ahkam = kay fiyyat-u istinbat-il ahkam</w:t>
      </w:r>
    </w:p>
    <w:p>
      <w:pPr>
        <w:pStyle w:val="BookText"/>
      </w:pPr>
      <w:r>
        <w:rPr>
          <w:rFonts w:ascii="IRNazanin" w:hAnsi="IRNazanin" w:eastAsia="IRNazanin" w:cs="IRNazanin"/>
          <w:lang w:bidi="fa-IR"/>
          <w:color w:val="111111"/>
          <w:sz w:val="28"/>
          <w:szCs w:val="28"/>
          <w:rtl/>
        </w:rPr>
        <w:t xml:space="preserve">محقق  کرکی، علی بن حسین، ۸۹۰ - ۹۴۰ قمری</w:t>
      </w:r>
    </w:p>
    <w:p>
      <w:pPr>
        <w:pStyle w:val="BookText"/>
      </w:pPr>
      <w:r>
        <w:rPr>
          <w:rFonts w:ascii="Times New Roman" w:hAnsi="Times New Roman" w:eastAsia="Times New Roman" w:cs="Times New Roman"/>
          <w:lang w:val="en-US" w:bidi="en-US"/>
          <w:color w:val="111111"/>
          <w:sz w:val="28"/>
          <w:szCs w:val="28"/>
          <w:rtl/>
        </w:rPr>
        <w:t xml:space="preserve">(mohaqqeq-e karakī, ‘alī ebn-e hoseyn (1486 - 1534)</w:t>
      </w:r>
    </w:p>
    <w:p>
      <w:pPr>
        <w:pStyle w:val="BookText"/>
      </w:pPr>
      <w:r>
        <w:rPr>
          <w:rFonts w:ascii="IRNazanin" w:hAnsi="IRNazanin" w:eastAsia="IRNazanin" w:cs="IRNazanin"/>
          <w:lang w:bidi="fa-IR"/>
          <w:color w:val="111111"/>
          <w:sz w:val="28"/>
          <w:szCs w:val="28"/>
          <w:rtl/>
        </w:rPr>
        <w:t xml:space="preserve">رساله مختصری است در چگونگی اجتهاد در فقه و استنباط احکام شرعی و اشاره به بعضی علوم که مجتهد باید آنها را فراگیرد. آن را در پاسخ به سؤال دوستی نگاشته است.</w:t>
      </w:r>
    </w:p>
    <w:p>
      <w:pPr>
        <w:pStyle w:val="BookText"/>
      </w:pPr>
      <w:r>
        <w:rPr>
          <w:rFonts w:ascii="Amiri" w:hAnsi="Amiri" w:eastAsia="Amiri" w:cs="Amiri"/>
          <w:lang w:bidi="ar-SA"/>
          <w:color w:val="111111"/>
          <w:sz w:val="28"/>
          <w:szCs w:val="28"/>
          <w:rtl/>
        </w:rPr>
        <w:t xml:space="preserve">آغاز: الحمد لله الفتاح على المجاهدين بالفتح المبين مسالك السلوك للسالكين و الصلوة و السلام على السفير و آله ائمة  التدبير</w:t>
      </w:r>
    </w:p>
    <w:p>
      <w:pPr>
        <w:pStyle w:val="BookText"/>
      </w:pPr>
      <w:r>
        <w:rPr>
          <w:rFonts w:ascii="Amiri" w:hAnsi="Amiri" w:eastAsia="Amiri" w:cs="Amiri"/>
          <w:lang w:bidi="ar-SA"/>
          <w:color w:val="111111"/>
          <w:sz w:val="28"/>
          <w:szCs w:val="28"/>
          <w:rtl/>
        </w:rPr>
        <w:t xml:space="preserve">انجام: فمن اراد الاستيفاد فعليه بمطالعة كتب الاصحاب الاصولية و الفقهية والتفتيش عن ذلك مطانة من يجدهمستوفى ان شاء الله  و الصلوة على سيدنا محمد و آله الطاهرين و سلم تسليما كثيرا</w:t>
      </w:r>
    </w:p>
    <w:p>
      <w:pPr>
        <w:pStyle w:val="BookText"/>
      </w:pPr>
      <w:r>
        <w:rPr>
          <w:rFonts w:ascii="IRNazanin" w:hAnsi="IRNazanin" w:eastAsia="IRNazanin" w:cs="IRNazanin"/>
          <w:lang w:bidi="fa-IR"/>
          <w:color w:val="111111"/>
          <w:sz w:val="28"/>
          <w:szCs w:val="28"/>
          <w:rtl/>
        </w:rPr>
        <w:t xml:space="preserve">چاپ :نجف، مكتبة الصادق، محقق عبد الهادى الفضلی، چاپ ،اول، ۲۴ ص ، ۱۳۹۰ق؛ ضمن حياة المحقق الكركى و آثاره  [الذريعة ۱۹۱/۱۸؛ دنا (۷۶۷/۱]</w:t>
      </w:r>
    </w:p>
    <w:p>
      <w:pPr>
        <w:pStyle w:val="BookText"/>
      </w:pPr>
      <w:r>
        <w:rPr>
          <w:rFonts w:ascii="IRNazanin" w:hAnsi="IRNazanin" w:eastAsia="IRNazanin" w:cs="IRNazanin"/>
          <w:lang w:bidi="fa-IR"/>
          <w:color w:val="111111"/>
          <w:sz w:val="28"/>
          <w:szCs w:val="28"/>
          <w:rtl/>
        </w:rPr>
        <w:t xml:space="preserve">۱. مشهد؛ رضوی؛ شماره نسخه: ۲۳۹۳۱</w:t>
      </w:r>
    </w:p>
    <w:p>
      <w:pPr>
        <w:pStyle w:val="BookText"/>
      </w:pPr>
      <w:r>
        <w:rPr>
          <w:rFonts w:ascii="Amiri" w:hAnsi="Amiri" w:eastAsia="Amiri" w:cs="Amiri"/>
          <w:lang w:bidi="ar-SA"/>
          <w:color w:val="111111"/>
          <w:sz w:val="28"/>
          <w:szCs w:val="28"/>
          <w:rtl/>
        </w:rPr>
        <w:t xml:space="preserve">آغاز: برابر؛ انجام: من مظاند يجده محمد طاهر حلابادى (كذا)</w:t>
      </w:r>
    </w:p>
    <w:p>
      <w:pPr>
        <w:pStyle w:val="BookText"/>
      </w:pPr>
      <w:r>
        <w:rPr>
          <w:rFonts w:ascii="IRNazanin" w:hAnsi="IRNazanin" w:eastAsia="IRNazanin" w:cs="IRNazanin"/>
          <w:lang w:bidi="fa-IR"/>
          <w:color w:val="111111"/>
          <w:sz w:val="28"/>
          <w:szCs w:val="28"/>
          <w:rtl/>
        </w:rPr>
        <w:t xml:space="preserve">خط: نسخ، کا: حلابادی محمد طاهر ،تا: ۱۰۳۷ق [رایانه]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مشهد؛ رضوی؛ شماره نسخه: ۹۳۲۵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محمد علی بن نور الله، تا: روز عید غدیر ۱۰۵۸ق؛  ،واقف: حاج شیخ مرتضی امامی  تلارمی، تیرماه ۱۳۴۱؛ کاغذ: نخودی، ۲۳گ، ۱۵ سطر،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۱۶ - ۲۴۴]</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مجلس؛ شماره نسخه: ۹۴۶۴/۶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۱۰۷۴ق؛ جلد: تیماج قهوه ای دوروی لبه دار،6 گ (۸۳پ -۸۸پ)، ۲۱ سطر،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۳۰ - ۱۵۱]</w:t>
      </w:r>
    </w:p>
    <w:p>
      <w:pPr>
        <w:pStyle w:val="BookText"/>
      </w:pPr>
      <w:r>
        <w:rPr>
          <w:rFonts w:ascii="IRNazanin" w:hAnsi="IRNazanin" w:eastAsia="IRNazanin" w:cs="IRNazanin"/>
          <w:lang w:bidi="fa-IR"/>
          <w:color w:val="111111"/>
          <w:sz w:val="28"/>
          <w:szCs w:val="28"/>
          <w:rtl/>
        </w:rPr>
        <w:t xml:space="preserve">۴. قم؛ مرکز احیاء؛ شماره نسخه: ۲۵۴۲/۲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کا،تا: غره شوال ۱۰۷۹ق؛ مصحح؛ جلد: تيماج قهوه ای  ضربی، ۴گ (۷۷ر-۸۰پ) ۱۷ سطر،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۱۹/۵سم [محدث ارموی مخ: ۲ - ۹۸۸]</w:t>
      </w:r>
    </w:p>
    <w:p>
      <w:pPr>
        <w:pStyle w:val="BookText"/>
      </w:pPr>
      <w:r>
        <w:rPr>
          <w:rFonts w:ascii="IRNazanin" w:hAnsi="IRNazanin" w:eastAsia="IRNazanin" w:cs="IRNazanin"/>
          <w:lang w:bidi="fa-IR"/>
          <w:color w:val="111111"/>
          <w:sz w:val="28"/>
          <w:szCs w:val="28"/>
          <w:rtl/>
        </w:rPr>
        <w:t xml:space="preserve">۵. مشهد؛ نواب شماره نسخه: ۴۵۲/۶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و نستعلیق مختلف، کا: محمد فاضل بن محمد مشهدی،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09" w:name="pg20365_260308"/>
    <w:bookmarkEnd w:id="209"/>
    <w:p>
      <w:pPr>
        <w:pStyle w:val="BookText"/>
      </w:pPr>
      <w:r>
        <w:rPr>
          <w:rFonts w:ascii="IRNazanin" w:hAnsi="IRNazanin" w:eastAsia="IRNazanin" w:cs="IRNazanin"/>
          <w:lang w:bidi="fa-IR"/>
          <w:color w:val="111111"/>
          <w:sz w:val="28"/>
          <w:szCs w:val="28"/>
          <w:rtl/>
        </w:rPr>
        <w:t xml:space="preserve">تا ۱۰۷۸ و ۱۰۸۱ق؛ واقف: حاج محمد مهدی فراش حرم؛ جـلد: تيماج لایه ای ،مشکی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۱۸/۵سم [ف: ۳۷۰]</w:t>
      </w:r>
    </w:p>
    <w:p>
      <w:pPr>
        <w:pStyle w:val="BookText"/>
      </w:pPr>
      <w:r>
        <w:rPr>
          <w:rFonts w:ascii="IRNazanin" w:hAnsi="IRNazanin" w:eastAsia="IRNazanin" w:cs="IRNazanin"/>
          <w:lang w:bidi="fa-IR"/>
          <w:color w:val="111111"/>
          <w:sz w:val="28"/>
          <w:szCs w:val="28"/>
          <w:rtl/>
        </w:rPr>
        <w:t xml:space="preserve">۶. تهران؛ مجلس؛ شماره نسخه: ۴۴۷۱/۵</w:t>
      </w:r>
    </w:p>
    <w:p>
      <w:pPr>
        <w:pStyle w:val="BookText"/>
      </w:pPr>
      <w:r>
        <w:rPr>
          <w:rFonts w:ascii="Amiri" w:hAnsi="Amiri" w:eastAsia="Amiri" w:cs="Amiri"/>
          <w:lang w:bidi="ar-SA"/>
          <w:color w:val="111111"/>
          <w:sz w:val="28"/>
          <w:szCs w:val="28"/>
          <w:rtl/>
        </w:rPr>
        <w:t xml:space="preserve">آغاز: و بعدها مفهوم المخالفة على القول بالعمل بدليل الخطاب و منها البراء الاصلية؛ انجام: برابر</w:t>
      </w:r>
    </w:p>
    <w:p>
      <w:pPr>
        <w:pStyle w:val="BookText"/>
      </w:pPr>
      <w:r>
        <w:rPr>
          <w:rFonts w:ascii="IRNazanin" w:hAnsi="IRNazanin" w:eastAsia="IRNazanin" w:cs="IRNazanin"/>
          <w:lang w:bidi="fa-IR"/>
          <w:color w:val="111111"/>
          <w:sz w:val="28"/>
          <w:szCs w:val="28"/>
          <w:rtl/>
        </w:rPr>
        <w:t xml:space="preserve">نام این رساله در فهرست تشخیص داده نشده و با عنوان «رسالة الاصول» معرفی شده؛ خط: نسخ، کا: محمد هاشم بن نورالدین  محمد، تا: ۱۰۸۶ق؛ افتادگی: آغاز ؛ اگ (۱۲۸ر)، ۳۰ سـطر ،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۳۱سم [ف: ۱۲ - ۱۴۵]</w:t>
      </w:r>
    </w:p>
    <w:p>
      <w:pPr>
        <w:pStyle w:val="BookText"/>
      </w:pPr>
      <w:r>
        <w:rPr>
          <w:rFonts w:ascii="IRNazanin" w:hAnsi="IRNazanin" w:eastAsia="IRNazanin" w:cs="IRNazanin"/>
          <w:lang w:bidi="fa-IR"/>
          <w:color w:val="111111"/>
          <w:sz w:val="28"/>
          <w:szCs w:val="28"/>
          <w:rtl/>
        </w:rPr>
        <w:t xml:space="preserve">۷. نجف آباد؛ حججی؛ شماره نسخه: ۱۲۵/۶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بی کا، تا: جمادی الثانی ۱۰۸۶ق؛ محشی با نشان «م هـ  العلوی»و در آخرش  آمده: «عورض بنسخة كانت سقيمة فى بعض المواضع و وضعت عليها علامة الشك و الحمد لله»؛ جلد: تيماج سرخ با ترنج و سر ترنج  ضربی، داخل جلد نقوش اسلیمی، ۷گ (۱۵۴)پ- ۱۶۰ر)، ۱۴ سطر،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 ۱۸۶]</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مشهد؛ رضوی؛ شماره نسخه: ض ۱۵۳۱۴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محمد طاهر بن علی اکبر تبریزی مشهور به زنگنه،تا: ۱۰۹۴ق؛ واقف: حاج احمد آقا فاضل، اسفند ۱۳۶۵؛ کاغذ: نخودی آهار مهره ، ۵ گ، ۱۷ 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16- 245]</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مشهد؛ رضوی؛ شماره نسخه: ض۱۱۵۰۴</w:t>
      </w:r>
    </w:p>
    <w:p>
      <w:pPr>
        <w:pStyle w:val="BookText"/>
      </w:pPr>
      <w:r>
        <w:rPr>
          <w:rFonts w:ascii="IRNazanin" w:hAnsi="IRNazanin" w:eastAsia="IRNazanin" w:cs="IRNazanin"/>
          <w:lang w:bidi="fa-IR"/>
          <w:color w:val="111111"/>
          <w:sz w:val="28"/>
          <w:szCs w:val="28"/>
          <w:rtl/>
        </w:rPr>
        <w:t xml:space="preserve">خط: مختلف، بی کا، تا: ۱۲۴۵ق [الفبائی: ۳۹۵]</w:t>
      </w:r>
    </w:p>
    <w:p>
      <w:pPr>
        <w:pStyle w:val="BookText"/>
      </w:pPr>
      <w:r>
        <w:rPr>
          <w:rFonts w:ascii="IRNazanin" w:hAnsi="IRNazanin" w:eastAsia="IRNazanin" w:cs="IRNazanin"/>
          <w:lang w:bidi="fa-IR"/>
          <w:color w:val="111111"/>
          <w:sz w:val="28"/>
          <w:szCs w:val="28"/>
          <w:rtl/>
        </w:rPr>
        <w:t xml:space="preserve">۱۰ .اردکان یزد؛ امام صادق؛ شماره نسخه: ۳۶۱/۳</w:t>
      </w:r>
    </w:p>
    <w:p>
      <w:pPr>
        <w:pStyle w:val="BookText"/>
      </w:pPr>
      <w:r>
        <w:rPr>
          <w:rFonts w:ascii="IRNazanin" w:hAnsi="IRNazanin" w:eastAsia="IRNazanin" w:cs="IRNazanin"/>
          <w:lang w:bidi="fa-IR"/>
          <w:color w:val="111111"/>
          <w:sz w:val="28"/>
          <w:szCs w:val="28"/>
          <w:rtl/>
        </w:rPr>
        <w:t xml:space="preserve">خط: نسخ، بی کا، تا: دوشنبه ۲ جمادى الاول ۱۳۰۸ق؛ مصحح، محشی؛ جلد: تیماج مشکی، ۴گ (۱۹۶پ-۱۹۹ر)، ۲۳ سـطر ، اندازه: ۱۶/۵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۲ - ۹۸]</w:t>
      </w:r>
    </w:p>
    <w:p>
      <w:pPr>
        <w:pStyle w:val="BookText"/>
      </w:pPr>
      <w:r>
        <w:rPr>
          <w:rFonts w:ascii="IRNazanin" w:hAnsi="IRNazanin" w:eastAsia="IRNazanin" w:cs="IRNazanin"/>
          <w:lang w:bidi="fa-IR"/>
          <w:color w:val="111111"/>
          <w:sz w:val="28"/>
          <w:szCs w:val="28"/>
          <w:rtl/>
        </w:rPr>
        <w:t xml:space="preserve">۱۱ . قم؛ گلپایگانی؛ شماره نسخه: ۸۲۴/۶-۵/۱۱۴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در فهرست ناشناس نام مؤلف به قرینه آغاز نسخه تعیین شـد؛ خط: نستعلیق، بی کا، بی تا؛ مصحح؛ در آخر نسخه ۴ بیت عربی منسوب به امام على (علیه السّلام): «تغرب عن الأوطان فى طلب العلی»؛ جلد: تیماج قهوه ای ضربی مجدول گرهی، ۳گ، ۱۷ سطر، اندازه:۱۵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۶ - ۳۴۰۳]</w:t>
      </w:r>
    </w:p>
    <w:p>
      <w:pPr>
        <w:pStyle w:val="BookText"/>
      </w:pPr>
      <w:r>
        <w:rPr>
          <w:rFonts w:ascii="IRNazanin" w:hAnsi="IRNazanin" w:eastAsia="IRNazanin" w:cs="IRNazanin"/>
          <w:lang w:bidi="fa-IR"/>
          <w:color w:val="111111"/>
          <w:sz w:val="28"/>
          <w:szCs w:val="28"/>
          <w:rtl/>
        </w:rPr>
        <w:t xml:space="preserve">۱۲. قم؛ مرعشی؛ شماره نسخه: ۱۰۹۴۹/۶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و نستعلیق، کا: محمد تقى بن رفيع الدين بن علی غفاری  کاشانی، بی تا ؛جلد: مقوایی عطف و گوشه ها تیماج ،مشکی، ۴گ (۱۷۷ر - ۸۰پ) ،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۲۷ - ۳۵۶]</w:t>
      </w:r>
    </w:p>
    <w:p>
      <w:pPr>
        <w:pStyle w:val="Heading3"/>
      </w:pPr>
      <w:bookmarkStart w:id="1244" w:name="_Toc766"/>
      <w:r>
        <w:t>استنباط حقايق الكتب السماوية المنزلة على نبينا  / عرفان و تصوف / عربی</w:t>
      </w:r>
      <w:bookmarkEnd w:id="1244"/>
    </w:p>
    <w:p>
      <w:pPr>
        <w:pStyle w:val="BookText"/>
      </w:pPr>
      <w:r>
        <w:rPr>
          <w:rFonts w:ascii="Times New Roman" w:hAnsi="Times New Roman" w:eastAsia="Times New Roman" w:cs="Times New Roman"/>
          <w:lang w:val="en-US" w:bidi="en-US"/>
          <w:color w:val="111111"/>
          <w:sz w:val="28"/>
          <w:szCs w:val="28"/>
          <w:rtl/>
        </w:rPr>
        <w:t xml:space="preserve">istinbāṭ-ul ḥaqāyiq-il kutub-is samāwīyat-il munzala</w:t>
      </w:r>
    </w:p>
    <w:p>
      <w:pPr>
        <w:pStyle w:val="BookText"/>
      </w:pPr>
      <w:r>
        <w:rPr>
          <w:rFonts w:ascii="Times New Roman" w:hAnsi="Times New Roman" w:eastAsia="Times New Roman" w:cs="Times New Roman"/>
          <w:lang w:val="en-US" w:bidi="en-US"/>
          <w:color w:val="111111"/>
          <w:sz w:val="28"/>
          <w:szCs w:val="28"/>
          <w:rtl/>
        </w:rPr>
        <w:t xml:space="preserve">‘alā nabī-yi-nā</w:t>
      </w:r>
    </w:p>
    <w:p>
      <w:pPr>
        <w:pStyle w:val="BookText"/>
      </w:pPr>
      <w:r>
        <w:rPr>
          <w:rFonts w:ascii="IRNazanin" w:hAnsi="IRNazanin" w:eastAsia="IRNazanin" w:cs="IRNazanin"/>
          <w:lang w:bidi="fa-IR"/>
          <w:color w:val="111111"/>
          <w:sz w:val="28"/>
          <w:szCs w:val="28"/>
          <w:rtl/>
        </w:rPr>
        <w:t xml:space="preserve">جیلانی، عبدالکریم بن ابراهیم، ۷۶۷ - ۸۳۲ قمری</w:t>
      </w:r>
    </w:p>
    <w:p>
      <w:pPr>
        <w:pStyle w:val="BookText"/>
      </w:pPr>
      <w:r>
        <w:rPr>
          <w:rFonts w:ascii="Times New Roman" w:hAnsi="Times New Roman" w:eastAsia="Times New Roman" w:cs="Times New Roman"/>
          <w:lang w:val="en-US" w:bidi="en-US"/>
          <w:color w:val="111111"/>
          <w:sz w:val="28"/>
          <w:szCs w:val="28"/>
          <w:rtl/>
        </w:rPr>
        <w:t xml:space="preserve">(jīlānī, ‘abd-ol-karīm ebn-e ebrāhīm (1366 - 1429)</w:t>
      </w:r>
    </w:p>
    <w:p>
      <w:pPr>
        <w:pStyle w:val="BookText"/>
      </w:pPr>
      <w:r>
        <w:rPr>
          <w:rFonts w:ascii="IRNazanin" w:hAnsi="IRNazanin" w:eastAsia="IRNazanin" w:cs="IRNazanin"/>
          <w:lang w:bidi="fa-IR"/>
          <w:color w:val="111111"/>
          <w:sz w:val="28"/>
          <w:szCs w:val="28"/>
          <w:rtl/>
        </w:rPr>
        <w:t xml:space="preserve">دارای یک «مقدمه».</w:t>
      </w:r>
    </w:p>
    <w:p>
      <w:pPr>
        <w:pStyle w:val="BookText"/>
      </w:pPr>
      <w:r>
        <w:rPr>
          <w:rFonts w:ascii="IRNazanin" w:hAnsi="IRNazanin" w:eastAsia="IRNazanin" w:cs="IRNazanin"/>
          <w:lang w:bidi="fa-IR"/>
          <w:color w:val="111111"/>
          <w:sz w:val="28"/>
          <w:szCs w:val="28"/>
          <w:rtl/>
        </w:rPr>
        <w:t xml:space="preserve">تهران؛ دانشگاه؛ شماره نسخه: ۴۴۲/۶-ف</w:t>
      </w:r>
    </w:p>
    <w:p>
      <w:pPr>
        <w:pStyle w:val="BookText"/>
      </w:pPr>
      <w:r>
        <w:rPr>
          <w:rFonts w:ascii="IRNazanin" w:hAnsi="IRNazanin" w:eastAsia="IRNazanin" w:cs="IRNazanin"/>
          <w:lang w:bidi="fa-IR"/>
          <w:color w:val="111111"/>
          <w:sz w:val="28"/>
          <w:szCs w:val="28"/>
          <w:rtl/>
        </w:rPr>
        <w:t xml:space="preserve">نسخه اصل: بایزید ولی الدین ش ۱۸۲۵؛ خط: نسخ، بی کا، تا: ۱۴ ربیع الثانی ۸۵۱ق، جا: ابرقوه؛ ۱۹گ (۹۸-۱۱۶)، ۱۹ سطر [ فیلم ها-  ف: ۱ - ۴۷۷]</w:t>
      </w:r>
    </w:p>
    <w:p>
      <w:pPr>
        <w:pStyle w:val="BookText"/>
      </w:pPr>
      <w:r>
        <w:rPr>
          <w:rFonts w:ascii="Amiri" w:hAnsi="Amiri" w:eastAsia="Amiri" w:cs="Amiri"/>
          <w:lang w:bidi="ar-SA"/>
          <w:color w:val="111111"/>
          <w:sz w:val="28"/>
          <w:szCs w:val="28"/>
          <w:rtl/>
        </w:rPr>
        <w:t xml:space="preserve">«استنباطيه » موازين الإحكام في استنباط الأحكام</w:t>
      </w:r>
    </w:p>
    <w:p>
      <w:pPr>
        <w:pStyle w:val="Heading3"/>
      </w:pPr>
      <w:bookmarkStart w:id="1245" w:name="_Toc767"/>
      <w:r>
        <w:t>استنتاج حجية الظن الاطمينانی / اصول فقه / عربی</w:t>
      </w:r>
      <w:bookmarkEnd w:id="1245"/>
    </w:p>
    <w:p>
      <w:pPr>
        <w:pStyle w:val="BookText"/>
      </w:pPr>
      <w:r>
        <w:rPr>
          <w:rFonts w:ascii="Times New Roman" w:hAnsi="Times New Roman" w:eastAsia="Times New Roman" w:cs="Times New Roman"/>
          <w:lang w:val="en-US" w:bidi="en-US"/>
          <w:color w:val="111111"/>
          <w:sz w:val="28"/>
          <w:szCs w:val="28"/>
          <w:rtl/>
        </w:rPr>
        <w:t xml:space="preserve">istintāj-u ḥujjīyat-uz ṣann-il iṭmīnānī</w:t>
      </w:r>
    </w:p>
    <w:p>
      <w:pPr>
        <w:pStyle w:val="BookText"/>
      </w:pPr>
      <w:r>
        <w:rPr>
          <w:rFonts w:ascii="IRNazanin" w:hAnsi="IRNazanin" w:eastAsia="IRNazanin" w:cs="IRNazanin"/>
          <w:lang w:bidi="fa-IR"/>
          <w:color w:val="111111"/>
          <w:sz w:val="28"/>
          <w:szCs w:val="28"/>
          <w:rtl/>
        </w:rPr>
        <w:t xml:space="preserve">انصاری، مرتضی بن محمد  امین، ۱۲۱۴ – ۱۲۸۱ قمری</w:t>
      </w:r>
    </w:p>
    <w:p>
      <w:pPr>
        <w:pStyle w:val="BookText"/>
      </w:pPr>
      <w:r>
        <w:rPr>
          <w:rFonts w:ascii="Times New Roman" w:hAnsi="Times New Roman" w:eastAsia="Times New Roman" w:cs="Times New Roman"/>
          <w:lang w:val="en-US" w:bidi="en-US"/>
          <w:color w:val="111111"/>
          <w:sz w:val="28"/>
          <w:szCs w:val="28"/>
          <w:rtl/>
        </w:rPr>
        <w:t xml:space="preserve">(ansari, morteza ebn-e mohammad amin (1800 - 1865)</w:t>
      </w:r>
    </w:p>
    <w:p>
      <w:pPr>
        <w:pStyle w:val="BookText"/>
      </w:pPr>
      <w:r>
        <w:rPr>
          <w:rFonts w:ascii="IRNazanin" w:hAnsi="IRNazanin" w:eastAsia="IRNazanin" w:cs="IRNazanin"/>
          <w:lang w:bidi="fa-IR"/>
          <w:color w:val="111111"/>
          <w:sz w:val="28"/>
          <w:szCs w:val="28"/>
          <w:rtl/>
        </w:rPr>
        <w:t xml:space="preserve">تهران؛ مجلس؛ شماره نسخه: ۱۱۴۸۴/۱۴</w:t>
      </w:r>
    </w:p>
    <w:p>
      <w:pPr>
        <w:pStyle w:val="BookText"/>
      </w:pPr>
      <w:r>
        <w:rPr>
          <w:rFonts w:ascii="IRNazanin" w:hAnsi="IRNazanin" w:eastAsia="IRNazanin" w:cs="IRNazanin"/>
          <w:lang w:bidi="fa-IR"/>
          <w:color w:val="111111"/>
          <w:sz w:val="28"/>
          <w:szCs w:val="28"/>
          <w:rtl/>
        </w:rPr>
        <w:t xml:space="preserve">استنتاج حجية الظن الاطميناني عند انسداد باب العلم في الاحكام؛ خط: نسخ، بی کا، تا: حدود ۱۳۰۱ق، ۲ ص (۲۲۷ - ۲۲۹) مختصر - ف: ۵۳]</w:t>
      </w:r>
    </w:p>
    <w:p>
      <w:pPr>
        <w:pStyle w:val="Heading3"/>
      </w:pPr>
      <w:bookmarkStart w:id="1246" w:name="_Toc768"/>
      <w:r>
        <w:t>الاستنجاء / فقه / عربی</w:t>
      </w:r>
      <w:bookmarkEnd w:id="1246"/>
    </w:p>
    <w:p>
      <w:pPr>
        <w:pStyle w:val="BookText"/>
      </w:pPr>
      <w:r>
        <w:rPr>
          <w:rFonts w:ascii="Times New Roman" w:hAnsi="Times New Roman" w:eastAsia="Times New Roman" w:cs="Times New Roman"/>
          <w:lang w:val="en-US" w:bidi="en-US"/>
          <w:color w:val="111111"/>
          <w:sz w:val="28"/>
          <w:szCs w:val="28"/>
          <w:rtl/>
        </w:rPr>
        <w:t xml:space="preserve">al-istinjā’</w:t>
      </w:r>
    </w:p>
    <w:p>
      <w:pPr>
        <w:pStyle w:val="BookText"/>
      </w:pPr>
      <w:r>
        <w:rPr>
          <w:rFonts w:ascii="IRNazanin" w:hAnsi="IRNazanin" w:eastAsia="IRNazanin" w:cs="IRNazanin"/>
          <w:lang w:bidi="fa-IR"/>
          <w:color w:val="111111"/>
          <w:sz w:val="28"/>
          <w:szCs w:val="28"/>
          <w:rtl/>
        </w:rPr>
        <w:t xml:space="preserve">تهران؛ الهیات؛ شماره نسخه: ۱۱۳/۱۰</w:t>
      </w:r>
    </w:p>
    <w:p>
      <w:pPr>
        <w:pStyle w:val="BookText"/>
      </w:pPr>
      <w:r>
        <w:rPr>
          <w:rFonts w:ascii="Times New Roman" w:hAnsi="Times New Roman" w:eastAsia="Times New Roman" w:cs="Times New Roman"/>
          <w:lang w:val="en-US" w:bidi="en-US"/>
          <w:color w:val="111111"/>
          <w:sz w:val="28"/>
          <w:szCs w:val="28"/>
          <w:rtl/>
        </w:rPr>
        <w:t xml:space="preserve">al-istinja</w:t>
      </w:r>
    </w:p>
    <w:p>
      <w:pPr>
        <w:pStyle w:val="BookText"/>
      </w:pPr>
      <w:r>
        <w:rPr>
          <w:rFonts w:ascii="IRNazanin" w:hAnsi="IRNazanin" w:eastAsia="IRNazanin" w:cs="IRNazanin"/>
          <w:lang w:bidi="fa-IR"/>
          <w:color w:val="111111"/>
          <w:sz w:val="28"/>
          <w:szCs w:val="28"/>
          <w:rtl/>
        </w:rPr>
        <w:t xml:space="preserve">آغاز: بسمله الحمد لله و السلام على عباده اعلم انه ليس الاستنجاء و هو ازالة النجوى ما يخرج من البطن نجو حجر و قدیمسح مخرجه بيده؛ انجام: في اقطار الدهن مادام في قصبة الذكر و  الاشك  في ذلك و الله سبحانه و تعالى اعلم و احكم نجزت  الرسالة (تاريخ تحریر و نام نویسنده)</w:t>
      </w:r>
    </w:p>
    <w:p>
      <w:pPr>
        <w:pStyle w:val="BookText"/>
      </w:pPr>
      <w:r>
        <w:rPr>
          <w:rFonts w:ascii="IRNazanin" w:hAnsi="IRNazanin" w:eastAsia="IRNazanin" w:cs="IRNazanin"/>
          <w:lang w:bidi="fa-IR"/>
          <w:color w:val="111111"/>
          <w:sz w:val="28"/>
          <w:szCs w:val="28"/>
          <w:rtl/>
        </w:rPr>
        <w:t xml:space="preserve">بروش اهل تسنن؛ خط: نسخ، كا: محمد بن حمزه، تا: ۱۱۰۹ق؛ محشی با نشان «منه»، در برگ ۱۰۵ و ۱۹۶ پراکنده هایی است در تعیین اول رمضان و جز آنها؛ کاغذ: فرنگی، جلد: تیماج قهوه ای ،ضربی ۴گ (۱۰۱پ-۱۰۴پ)، ۱۷ سطر (8</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۲۳۹]</w:t>
      </w:r>
    </w:p>
    <w:p>
      <w:pPr>
        <w:pStyle w:val="Heading3"/>
      </w:pPr>
      <w:bookmarkStart w:id="1247" w:name="_Toc769"/>
      <w:r>
        <w:t>الاستنجاء بالعظم و الروث / فقه / عربی</w:t>
      </w:r>
      <w:bookmarkEnd w:id="1247"/>
    </w:p>
    <w:p>
      <w:pPr>
        <w:pStyle w:val="BookText"/>
      </w:pPr>
      <w:r>
        <w:rPr>
          <w:rFonts w:ascii="Times New Roman" w:hAnsi="Times New Roman" w:eastAsia="Times New Roman" w:cs="Times New Roman"/>
          <w:lang w:val="en-US" w:bidi="en-US"/>
          <w:color w:val="111111"/>
          <w:sz w:val="28"/>
          <w:szCs w:val="28"/>
          <w:rtl/>
        </w:rPr>
        <w:t xml:space="preserve">al-istinja' bi-l-azm wa-r rawt</w:t>
      </w:r>
    </w:p>
    <w:p>
      <w:pPr>
        <w:pStyle w:val="BookText"/>
      </w:pPr>
      <w:r>
        <w:rPr>
          <w:rFonts w:ascii="IRNazanin" w:hAnsi="IRNazanin" w:eastAsia="IRNazanin" w:cs="IRNazanin"/>
          <w:lang w:bidi="fa-IR"/>
          <w:color w:val="111111"/>
          <w:sz w:val="28"/>
          <w:szCs w:val="28"/>
          <w:rtl/>
        </w:rPr>
        <w:t xml:space="preserve">میسی، لطف الله بن عبدالکریم، – ۱۰۳۲ قمری</w:t>
      </w:r>
    </w:p>
    <w:p>
      <w:pPr>
        <w:pStyle w:val="BookText"/>
      </w:pPr>
      <w:r>
        <w:rPr>
          <w:rFonts w:ascii="Times New Roman" w:hAnsi="Times New Roman" w:eastAsia="Times New Roman" w:cs="Times New Roman"/>
          <w:lang w:val="en-US" w:bidi="en-US"/>
          <w:color w:val="111111"/>
          <w:sz w:val="28"/>
          <w:szCs w:val="28"/>
          <w:rtl/>
        </w:rPr>
        <w:t xml:space="preserve">(mīsī, lotf-ol-lāh ebn-e ‘abd-ol-karīm (- 1623)</w:t>
      </w:r>
    </w:p>
    <w:p>
      <w:pPr>
        <w:pStyle w:val="BookText"/>
      </w:pPr>
      <w:r>
        <w:rPr>
          <w:rFonts w:ascii="IRNazanin" w:hAnsi="IRNazanin" w:eastAsia="IRNazanin" w:cs="IRNazanin"/>
          <w:lang w:bidi="fa-IR"/>
          <w:color w:val="111111"/>
          <w:sz w:val="28"/>
          <w:szCs w:val="28"/>
          <w:rtl/>
        </w:rPr>
        <w:t xml:space="preserve">تاریخ تالیف: رمضان ۱۰۱۵ق؛ محل تأليف: اصفهان</w:t>
      </w:r>
    </w:p>
    <w:p>
      <w:pPr>
        <w:pStyle w:val="BookText"/>
      </w:pPr>
      <w:r>
        <w:rPr>
          <w:rFonts w:ascii="IRNazanin" w:hAnsi="IRNazanin" w:eastAsia="IRNazanin" w:cs="IRNazanin"/>
          <w:lang w:bidi="fa-IR"/>
          <w:color w:val="111111"/>
          <w:sz w:val="28"/>
          <w:szCs w:val="28"/>
          <w:rtl/>
        </w:rPr>
        <w:t xml:space="preserve">توضیح کوتاهی است در رد بر اشکالی که یکی از معاصران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10" w:name="pg20365_260309"/>
    <w:bookmarkEnd w:id="210"/>
    <w:p>
      <w:pPr>
        <w:pStyle w:val="BookText"/>
      </w:pPr>
      <w:r>
        <w:rPr>
          <w:rFonts w:ascii="IRNazanin" w:hAnsi="IRNazanin" w:eastAsia="IRNazanin" w:cs="IRNazanin"/>
          <w:lang w:bidi="fa-IR"/>
          <w:color w:val="111111"/>
          <w:sz w:val="28"/>
          <w:szCs w:val="28"/>
          <w:rtl/>
        </w:rPr>
        <w:t xml:space="preserve">میسی بر شرح کرکی بر جمله ای از «قواعد الاحکام» علامه حلی گرفته که در احکام استنجاء می گوید «و یحرم بالروث  و العظم».</w:t>
      </w:r>
    </w:p>
    <w:p>
      <w:pPr>
        <w:pStyle w:val="BookText"/>
      </w:pPr>
      <w:r>
        <w:rPr>
          <w:rFonts w:ascii="Amiri" w:hAnsi="Amiri" w:eastAsia="Amiri" w:cs="Amiri"/>
          <w:lang w:bidi="ar-SA"/>
          <w:color w:val="111111"/>
          <w:sz w:val="28"/>
          <w:szCs w:val="28"/>
          <w:rtl/>
        </w:rPr>
        <w:t xml:space="preserve">آغاز: الحمد الله مطهر كلام المحققين عن دناسة ما يتقول عليـهم بالحرز والتخمين والصلاة والسلام على زين العارفين.</w:t>
      </w:r>
    </w:p>
    <w:p>
      <w:pPr>
        <w:pStyle w:val="BookText"/>
      </w:pPr>
      <w:r>
        <w:rPr>
          <w:rFonts w:ascii="Amiri" w:hAnsi="Amiri" w:eastAsia="Amiri" w:cs="Amiri"/>
          <w:lang w:bidi="ar-SA"/>
          <w:color w:val="111111"/>
          <w:sz w:val="28"/>
          <w:szCs w:val="28"/>
          <w:rtl/>
        </w:rPr>
        <w:t xml:space="preserve">انجام: و السلام و الاكرام على سيد الانام و آله على البداية و الختام</w:t>
      </w:r>
    </w:p>
    <w:p>
      <w:pPr>
        <w:pStyle w:val="BookText"/>
      </w:pPr>
      <w:r>
        <w:rPr>
          <w:rFonts w:ascii="Amiri" w:hAnsi="Amiri" w:eastAsia="Amiri" w:cs="Amiri"/>
          <w:lang w:bidi="ar-SA"/>
          <w:color w:val="111111"/>
          <w:sz w:val="28"/>
          <w:szCs w:val="28"/>
          <w:rtl/>
        </w:rPr>
        <w:t xml:space="preserve">[مكتبة امير المؤمنين ۵۹۴/۲]</w:t>
      </w:r>
    </w:p>
    <w:p>
      <w:pPr>
        <w:pStyle w:val="BookText"/>
      </w:pPr>
      <w:r>
        <w:rPr>
          <w:rFonts w:ascii="IRNazanin" w:hAnsi="IRNazanin" w:eastAsia="IRNazanin" w:cs="IRNazanin"/>
          <w:lang w:bidi="fa-IR"/>
          <w:color w:val="111111"/>
          <w:sz w:val="28"/>
          <w:szCs w:val="28"/>
          <w:rtl/>
        </w:rPr>
        <w:t xml:space="preserve">قم؛ مؤسسه حضرت آیة الله بروجردی؛ شماره نسخه: ۳۵۵/۱۰</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نستعليق نازیبا، کاتب- مؤلف، بی تا، مصحح؛ جـلد: پارچه ای، ۲گ (۱۲۲ پ - ۱۲۳ر)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۱ - 212]</w:t>
      </w:r>
    </w:p>
    <w:p>
      <w:pPr>
        <w:pStyle w:val="Heading3"/>
      </w:pPr>
      <w:bookmarkStart w:id="1248" w:name="_Toc770"/>
      <w:r>
        <w:t>استنساخ بحر الانساب / ادبیات / فارسی</w:t>
      </w:r>
      <w:bookmarkEnd w:id="1248"/>
    </w:p>
    <w:p>
      <w:pPr>
        <w:pStyle w:val="BookText"/>
      </w:pPr>
      <w:r>
        <w:rPr>
          <w:rFonts w:ascii="Times New Roman" w:hAnsi="Times New Roman" w:eastAsia="Times New Roman" w:cs="Times New Roman"/>
          <w:lang w:val="en-US" w:bidi="en-US"/>
          <w:color w:val="111111"/>
          <w:sz w:val="28"/>
          <w:szCs w:val="28"/>
          <w:rtl/>
        </w:rPr>
        <w:t xml:space="preserve">estensāx-e bahr-ol ansāb</w:t>
      </w:r>
    </w:p>
    <w:p>
      <w:pPr>
        <w:pStyle w:val="BookText"/>
      </w:pPr>
      <w:r>
        <w:rPr>
          <w:rFonts w:ascii="IRNazanin" w:hAnsi="IRNazanin" w:eastAsia="IRNazanin" w:cs="IRNazanin"/>
          <w:lang w:bidi="fa-IR"/>
          <w:color w:val="111111"/>
          <w:sz w:val="28"/>
          <w:szCs w:val="28"/>
          <w:rtl/>
        </w:rPr>
        <w:t xml:space="preserve">تهران؛ مجلس؛ شماره نسخه: ۹۴۹۲/۲</w:t>
      </w:r>
    </w:p>
    <w:p>
      <w:pPr>
        <w:pStyle w:val="BookText"/>
      </w:pPr>
      <w:r>
        <w:rPr>
          <w:rFonts w:ascii="IRNazanin" w:hAnsi="IRNazanin" w:eastAsia="IRNazanin" w:cs="IRNazanin"/>
          <w:lang w:bidi="fa-IR"/>
          <w:color w:val="111111"/>
          <w:sz w:val="28"/>
          <w:szCs w:val="28"/>
          <w:rtl/>
        </w:rPr>
        <w:t xml:space="preserve">خط: نسخ و نستعلیق، بی کا ،تا: قرن ۱۲؛ ۲گ (۴ ر -۵ر) [ مختصر - ف: ۳۴۷]</w:t>
      </w:r>
    </w:p>
    <w:p>
      <w:pPr>
        <w:pStyle w:val="BookText"/>
      </w:pPr>
      <w:r>
        <w:rPr>
          <w:rFonts w:ascii="IRNazanin" w:hAnsi="IRNazanin" w:eastAsia="IRNazanin" w:cs="IRNazanin"/>
          <w:lang w:bidi="fa-IR"/>
          <w:color w:val="111111"/>
          <w:sz w:val="28"/>
          <w:szCs w:val="28"/>
          <w:rtl/>
        </w:rPr>
        <w:t xml:space="preserve">«الاستواء على العرش» معنى الاستواء على العرش ( رسـالة فی)</w:t>
      </w:r>
    </w:p>
    <w:p>
      <w:pPr>
        <w:pStyle w:val="Heading3"/>
      </w:pPr>
      <w:bookmarkStart w:id="1249" w:name="_Toc771"/>
      <w:r>
        <w:t>استوا نامه / تفسیر / فارسی</w:t>
      </w:r>
      <w:bookmarkEnd w:id="1249"/>
    </w:p>
    <w:p>
      <w:pPr>
        <w:pStyle w:val="BookText"/>
      </w:pPr>
      <w:r>
        <w:rPr>
          <w:rFonts w:ascii="Times New Roman" w:hAnsi="Times New Roman" w:eastAsia="Times New Roman" w:cs="Times New Roman"/>
          <w:lang w:val="en-US" w:bidi="en-US"/>
          <w:color w:val="111111"/>
          <w:sz w:val="28"/>
          <w:szCs w:val="28"/>
          <w:rtl/>
        </w:rPr>
        <w:t xml:space="preserve">estevā-nāme</w:t>
      </w:r>
    </w:p>
    <w:p>
      <w:pPr>
        <w:pStyle w:val="BookText"/>
      </w:pPr>
      <w:r>
        <w:rPr>
          <w:rFonts w:ascii="IRNazanin" w:hAnsi="IRNazanin" w:eastAsia="IRNazanin" w:cs="IRNazanin"/>
          <w:lang w:bidi="fa-IR"/>
          <w:color w:val="111111"/>
          <w:sz w:val="28"/>
          <w:szCs w:val="28"/>
          <w:rtl/>
        </w:rPr>
        <w:t xml:space="preserve">استر آبادی بدلیسی، غیاث الدین محمد، ق۹ قمری</w:t>
      </w:r>
    </w:p>
    <w:p>
      <w:pPr>
        <w:pStyle w:val="BookText"/>
      </w:pPr>
      <w:r>
        <w:rPr>
          <w:rFonts w:ascii="Times New Roman" w:hAnsi="Times New Roman" w:eastAsia="Times New Roman" w:cs="Times New Roman"/>
          <w:lang w:val="en-US" w:bidi="en-US"/>
          <w:color w:val="111111"/>
          <w:sz w:val="28"/>
          <w:szCs w:val="28"/>
          <w:rtl/>
        </w:rPr>
        <w:t xml:space="preserve">(estarābādī bedlīsī, qīyās-od-dīn mohammad (- 15c)</w:t>
      </w:r>
    </w:p>
    <w:p>
      <w:pPr>
        <w:pStyle w:val="BookText"/>
      </w:pPr>
      <w:r>
        <w:rPr>
          <w:rFonts w:ascii="IRNazanin" w:hAnsi="IRNazanin" w:eastAsia="IRNazanin" w:cs="IRNazanin"/>
          <w:lang w:bidi="fa-IR"/>
          <w:color w:val="111111"/>
          <w:sz w:val="28"/>
          <w:szCs w:val="28"/>
          <w:rtl/>
        </w:rPr>
        <w:t xml:space="preserve">تاریخ تالیف: ۱۱ رمضان ۸۲۶ق؛ محل تأليف: اصفهان</w:t>
      </w:r>
    </w:p>
    <w:p>
      <w:pPr>
        <w:pStyle w:val="BookText"/>
      </w:pPr>
      <w:r>
        <w:rPr>
          <w:rFonts w:ascii="IRNazanin" w:hAnsi="IRNazanin" w:eastAsia="IRNazanin" w:cs="IRNazanin"/>
          <w:lang w:bidi="fa-IR"/>
          <w:color w:val="111111"/>
          <w:sz w:val="28"/>
          <w:szCs w:val="28"/>
          <w:rtl/>
        </w:rPr>
        <w:t xml:space="preserve">کتابی است در تفسیر و کلام به شیوه حروفی و علم حروف.</w:t>
      </w:r>
    </w:p>
    <w:p>
      <w:pPr>
        <w:pStyle w:val="BookText"/>
      </w:pPr>
      <w:r>
        <w:rPr>
          <w:rFonts w:ascii="IRNazanin" w:hAnsi="IRNazanin" w:eastAsia="IRNazanin" w:cs="IRNazanin"/>
          <w:lang w:bidi="fa-IR"/>
          <w:color w:val="111111"/>
          <w:sz w:val="28"/>
          <w:szCs w:val="28"/>
          <w:rtl/>
        </w:rPr>
        <w:t xml:space="preserve">آغاز: بسمله مالک يوم الدین ... این سوره را از حضرت رسالـت از وحی الهی و کشف عالم نامتناهی به ده اسم خوانده است.</w:t>
      </w:r>
    </w:p>
    <w:p>
      <w:pPr>
        <w:pStyle w:val="BookText"/>
      </w:pPr>
      <w:r>
        <w:rPr>
          <w:rFonts w:ascii="IRNazanin" w:hAnsi="IRNazanin" w:eastAsia="IRNazanin" w:cs="IRNazanin"/>
          <w:lang w:bidi="fa-IR"/>
          <w:color w:val="111111"/>
          <w:sz w:val="28"/>
          <w:szCs w:val="28"/>
          <w:rtl/>
        </w:rPr>
        <w:t xml:space="preserve">انجام:رو به طرف قلعه آن ملعون مارشه پلید که در مقابل قـلعه النجق ... است که آن را قلعه سنجر می گویند بیندازند و از احـرام بیرون آیند.</w:t>
      </w:r>
    </w:p>
    <w:p>
      <w:pPr>
        <w:pStyle w:val="BookText"/>
      </w:pPr>
      <w:r>
        <w:rPr>
          <w:rFonts w:ascii="Amiri" w:hAnsi="Amiri" w:eastAsia="Amiri" w:cs="Amiri"/>
          <w:lang w:bidi="ar-SA"/>
          <w:color w:val="111111"/>
          <w:sz w:val="28"/>
          <w:szCs w:val="28"/>
          <w:rtl/>
        </w:rPr>
        <w:t xml:space="preserve">[فهرست واتيكان تأليف </w:t>
      </w:r>
      <w:r>
        <w:rPr>
          <w:rFonts w:ascii="Times New Roman" w:hAnsi="Times New Roman" w:eastAsia="Times New Roman" w:cs="Times New Roman"/>
          <w:lang w:val="en-US" w:bidi="en-US"/>
          <w:color w:val="111111"/>
          <w:sz w:val="28"/>
          <w:szCs w:val="28"/>
          <w:rtl/>
        </w:rPr>
        <w:t xml:space="preserve">Rossi </w:t>
      </w:r>
      <w:r>
        <w:rPr>
          <w:rFonts w:ascii="IRNazanin" w:hAnsi="IRNazanin" w:eastAsia="IRNazanin" w:cs="IRNazanin"/>
          <w:lang w:bidi="fa-IR"/>
          <w:color w:val="111111"/>
          <w:sz w:val="28"/>
          <w:szCs w:val="28"/>
          <w:rtl/>
        </w:rPr>
        <w:t xml:space="preserve">۶۳ فهرستواره منزوی ۳۶۰/۷ نسخه)]</w:t>
      </w:r>
    </w:p>
    <w:p>
      <w:pPr>
        <w:pStyle w:val="BookText"/>
      </w:pPr>
      <w:r>
        <w:rPr>
          <w:rFonts w:ascii="IRNazanin" w:hAnsi="IRNazanin" w:eastAsia="IRNazanin" w:cs="IRNazanin"/>
          <w:lang w:bidi="fa-IR"/>
          <w:color w:val="111111"/>
          <w:sz w:val="28"/>
          <w:szCs w:val="28"/>
          <w:rtl/>
        </w:rPr>
        <w:t xml:space="preserve">۱. تهران؛ ملک؛ شماره نسخه: ۴۰۰۱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قرن ۱۱ ؛کاغذ: کاغذ فستقی ،جلد: میشن قهوه ای  ضربی، ۹۲گ، ۱۵ سطر، 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 - 23]</w:t>
      </w:r>
    </w:p>
    <w:p>
      <w:pPr>
        <w:pStyle w:val="BookText"/>
      </w:pPr>
      <w:r>
        <w:rPr>
          <w:rFonts w:ascii="IRNazanin" w:hAnsi="IRNazanin" w:eastAsia="IRNazanin" w:cs="IRNazanin"/>
          <w:lang w:bidi="fa-IR"/>
          <w:color w:val="111111"/>
          <w:sz w:val="28"/>
          <w:szCs w:val="28"/>
          <w:rtl/>
        </w:rPr>
        <w:t xml:space="preserve">تهران؛ دانشگاه؛ شماره نسخه: ۵۱۷۹-ف</w:t>
      </w:r>
    </w:p>
    <w:p>
      <w:pPr>
        <w:pStyle w:val="BookText"/>
      </w:pPr>
      <w:r>
        <w:rPr>
          <w:rFonts w:ascii="Amiri" w:hAnsi="Amiri" w:eastAsia="Amiri" w:cs="Amiri"/>
          <w:lang w:bidi="ar-SA"/>
          <w:color w:val="111111"/>
          <w:sz w:val="28"/>
          <w:szCs w:val="28"/>
          <w:rtl/>
        </w:rPr>
        <w:t xml:space="preserve">نسخه اصل: همان نسخه بالا [فيلم ها -ف: ۳ - ۱۴۰]</w:t>
      </w:r>
    </w:p>
    <w:p>
      <w:pPr>
        <w:pStyle w:val="BookText"/>
      </w:pPr>
      <w:r>
        <w:rPr>
          <w:rFonts w:ascii="IRNazanin" w:hAnsi="IRNazanin" w:eastAsia="IRNazanin" w:cs="IRNazanin"/>
          <w:lang w:bidi="fa-IR"/>
          <w:color w:val="111111"/>
          <w:sz w:val="28"/>
          <w:szCs w:val="28"/>
          <w:rtl/>
        </w:rPr>
        <w:t xml:space="preserve">۲. تهران؛ ادبیات؛ شماره نسخه: ۱۰۲ ـ د</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۱۰۲۴ق؛ کاغذ: سمرقندی، جلد: مقوایی، ۷۶گ، ۱۷ سطر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۱۱/۵) اندازه: 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 - ۲۷]</w:t>
      </w:r>
    </w:p>
    <w:p>
      <w:pPr>
        <w:pStyle w:val="BookText"/>
      </w:pPr>
      <w:r>
        <w:rPr>
          <w:rFonts w:ascii="IRNazanin" w:hAnsi="IRNazanin" w:eastAsia="IRNazanin" w:cs="IRNazanin"/>
          <w:lang w:bidi="fa-IR"/>
          <w:color w:val="111111"/>
          <w:sz w:val="28"/>
          <w:szCs w:val="28"/>
          <w:rtl/>
        </w:rPr>
        <w:t xml:space="preserve">تهران؛ دانشگاه؛ شماره نسخه: ۴۸۸۴- ف</w:t>
      </w:r>
    </w:p>
    <w:p>
      <w:pPr>
        <w:pStyle w:val="BookText"/>
      </w:pPr>
      <w:r>
        <w:rPr>
          <w:rFonts w:ascii="Amiri" w:hAnsi="Amiri" w:eastAsia="Amiri" w:cs="Amiri"/>
          <w:lang w:bidi="ar-SA"/>
          <w:color w:val="111111"/>
          <w:sz w:val="28"/>
          <w:szCs w:val="28"/>
          <w:rtl/>
        </w:rPr>
        <w:t xml:space="preserve">نسخه اصل: همان نسخه بالا [فيلم ها -ف: ۳ - ۱۲۰]</w:t>
      </w:r>
    </w:p>
    <w:p>
      <w:pPr>
        <w:pStyle w:val="BookText"/>
      </w:pPr>
      <w:r>
        <w:rPr>
          <w:rFonts w:ascii="IRNazanin" w:hAnsi="IRNazanin" w:eastAsia="IRNazanin" w:cs="IRNazanin"/>
          <w:lang w:bidi="fa-IR"/>
          <w:color w:val="111111"/>
          <w:sz w:val="28"/>
          <w:szCs w:val="28"/>
          <w:rtl/>
        </w:rPr>
        <w:t xml:space="preserve">۳ .تهران؛ دانشگاه؛ شماره نسخه: ۱۰۵۹/۲-ف</w:t>
      </w:r>
    </w:p>
    <w:p>
      <w:pPr>
        <w:pStyle w:val="BookText"/>
      </w:pPr>
      <w:r>
        <w:rPr>
          <w:rFonts w:ascii="IRNazanin" w:hAnsi="IRNazanin" w:eastAsia="IRNazanin" w:cs="IRNazanin"/>
          <w:lang w:bidi="fa-IR"/>
          <w:color w:val="111111"/>
          <w:sz w:val="28"/>
          <w:szCs w:val="28"/>
          <w:rtl/>
        </w:rPr>
        <w:t xml:space="preserve">نسخه اصل: واتیکانش ۳۴ ؛بی کا، تا: ۱۰۴۴ق [فیلم ها-ف: ۱-۵۶۲]</w:t>
      </w:r>
    </w:p>
    <w:p>
      <w:pPr>
        <w:pStyle w:val="Heading3"/>
      </w:pPr>
      <w:bookmarkStart w:id="1250" w:name="_Toc772"/>
      <w:r>
        <w:t>الاستيجار / فقه / عربي</w:t>
      </w:r>
      <w:bookmarkEnd w:id="1250"/>
    </w:p>
    <w:p>
      <w:pPr>
        <w:pStyle w:val="BookText"/>
      </w:pPr>
      <w:r>
        <w:rPr>
          <w:rFonts w:ascii="Times New Roman" w:hAnsi="Times New Roman" w:eastAsia="Times New Roman" w:cs="Times New Roman"/>
          <w:lang w:val="en-US" w:bidi="en-US"/>
          <w:color w:val="111111"/>
          <w:sz w:val="28"/>
          <w:szCs w:val="28"/>
          <w:rtl/>
        </w:rPr>
        <w:t xml:space="preserve">al-istījār</w:t>
      </w:r>
    </w:p>
    <w:p>
      <w:pPr>
        <w:pStyle w:val="BookText"/>
      </w:pPr>
      <w:r>
        <w:rPr>
          <w:rFonts w:ascii="IRNazanin" w:hAnsi="IRNazanin" w:eastAsia="IRNazanin" w:cs="IRNazanin"/>
          <w:lang w:bidi="fa-IR"/>
          <w:color w:val="111111"/>
          <w:sz w:val="28"/>
          <w:szCs w:val="28"/>
          <w:rtl/>
        </w:rPr>
        <w:t xml:space="preserve">میرزای قمی، ابو القاسم بن محمد حسن، ۱۱۵۱ – ۱۲۳۱  قمری</w:t>
      </w:r>
    </w:p>
    <w:p>
      <w:pPr>
        <w:pStyle w:val="BookText"/>
      </w:pPr>
      <w:r>
        <w:rPr>
          <w:rFonts w:ascii="Times New Roman" w:hAnsi="Times New Roman" w:eastAsia="Times New Roman" w:cs="Times New Roman"/>
          <w:lang w:val="en-US" w:bidi="en-US"/>
          <w:color w:val="111111"/>
          <w:sz w:val="28"/>
          <w:szCs w:val="28"/>
          <w:rtl/>
        </w:rPr>
        <w:t xml:space="preserve">mīrzā-ye qomī, ab-ol-qāsem ebn-e mohammad hasan</w:t>
      </w:r>
    </w:p>
    <w:p>
      <w:pPr>
        <w:pStyle w:val="BookText"/>
      </w:pPr>
      <w:r>
        <w:rPr>
          <w:rFonts w:ascii="Times New Roman" w:hAnsi="Times New Roman" w:eastAsia="Times New Roman" w:cs="Times New Roman"/>
          <w:lang w:val="en-US" w:bidi="en-US"/>
          <w:color w:val="111111"/>
          <w:sz w:val="28"/>
          <w:szCs w:val="28"/>
          <w:rtl/>
        </w:rPr>
        <w:t xml:space="preserve">(1739-1816)</w:t>
      </w:r>
    </w:p>
    <w:p>
      <w:pPr>
        <w:pStyle w:val="BookText"/>
      </w:pPr>
      <w:r>
        <w:rPr>
          <w:rFonts w:ascii="IRNazanin" w:hAnsi="IRNazanin" w:eastAsia="IRNazanin" w:cs="IRNazanin"/>
          <w:lang w:bidi="fa-IR"/>
          <w:color w:val="111111"/>
          <w:sz w:val="28"/>
          <w:szCs w:val="28"/>
          <w:rtl/>
        </w:rPr>
        <w:t xml:space="preserve">تهران؛ ملک؛ شماره نسخه: ۲۱۵۸/۱۲</w:t>
      </w:r>
    </w:p>
    <w:p>
      <w:pPr>
        <w:pStyle w:val="BookText"/>
      </w:pPr>
      <w:r>
        <w:rPr>
          <w:rFonts w:ascii="IRNazanin" w:hAnsi="IRNazanin" w:eastAsia="IRNazanin" w:cs="IRNazanin"/>
          <w:lang w:bidi="fa-IR"/>
          <w:color w:val="111111"/>
          <w:sz w:val="28"/>
          <w:szCs w:val="28"/>
          <w:rtl/>
        </w:rPr>
        <w:t xml:space="preserve">آغاز: بسمله. السئوال ادا استاجر زید ارضا مشتهدة من عمروعلى انها بقدر خمسين قفيزا و جرى الصيغة على ذلك و لم يمسحها عمرو ذرع فيها حتى مضى عليه سنون ثم مسحها فوجدها بقدر اربعين قفيزا غما لعمرو في ذلك و كيف الحال؛ انجام: و لا يحضرنی الآن تصریح به فی کلامهم و كذلك في المطلقة.</w:t>
      </w:r>
    </w:p>
    <w:p>
      <w:pPr>
        <w:pStyle w:val="BookText"/>
      </w:pPr>
      <w:r>
        <w:rPr>
          <w:rFonts w:ascii="IRNazanin" w:hAnsi="IRNazanin" w:eastAsia="IRNazanin" w:cs="IRNazanin"/>
          <w:lang w:bidi="fa-IR"/>
          <w:color w:val="111111"/>
          <w:sz w:val="28"/>
          <w:szCs w:val="28"/>
          <w:rtl/>
        </w:rPr>
        <w:t xml:space="preserve">خط: نسخ، بی کا، تا: قرن ۱۳؛ ۱۶گ (۱۱۵ر - ۱۳۰ر) [ف: ۵-۴۴۰]</w:t>
      </w:r>
    </w:p>
    <w:p>
      <w:pPr>
        <w:pStyle w:val="Heading3"/>
      </w:pPr>
      <w:bookmarkStart w:id="1251" w:name="_Toc773"/>
      <w:r>
        <w:t>الاستيجار على تعليم القرآن / فقه، علوم قرآن / عربی</w:t>
      </w:r>
      <w:bookmarkEnd w:id="1251"/>
    </w:p>
    <w:p>
      <w:pPr>
        <w:pStyle w:val="BookText"/>
      </w:pPr>
      <w:r>
        <w:rPr>
          <w:rFonts w:ascii="Times New Roman" w:hAnsi="Times New Roman" w:eastAsia="Times New Roman" w:cs="Times New Roman"/>
          <w:lang w:val="en-US" w:bidi="en-US"/>
          <w:color w:val="111111"/>
          <w:sz w:val="28"/>
          <w:szCs w:val="28"/>
          <w:rtl/>
        </w:rPr>
        <w:t xml:space="preserve">al-istījār 'alā ta'lim-il qur'an</w:t>
      </w:r>
    </w:p>
    <w:p>
      <w:pPr>
        <w:pStyle w:val="BookText"/>
      </w:pPr>
      <w:r>
        <w:rPr>
          <w:rFonts w:ascii="IRNazanin" w:hAnsi="IRNazanin" w:eastAsia="IRNazanin" w:cs="IRNazanin"/>
          <w:lang w:bidi="fa-IR"/>
          <w:color w:val="111111"/>
          <w:sz w:val="28"/>
          <w:szCs w:val="28"/>
          <w:rtl/>
        </w:rPr>
        <w:t xml:space="preserve">ابن کمال پاشا، احمد بن سلیمان - ۹۴۰ قمری</w:t>
      </w:r>
    </w:p>
    <w:p>
      <w:pPr>
        <w:pStyle w:val="BookText"/>
      </w:pPr>
      <w:r>
        <w:rPr>
          <w:rFonts w:ascii="Times New Roman" w:hAnsi="Times New Roman" w:eastAsia="Times New Roman" w:cs="Times New Roman"/>
          <w:lang w:val="en-US" w:bidi="en-US"/>
          <w:color w:val="111111"/>
          <w:sz w:val="28"/>
          <w:szCs w:val="28"/>
          <w:rtl/>
        </w:rPr>
        <w:t xml:space="preserve">(ebn-e kamāl pāšā, ahmad ebn-e soleymān (- 1534)</w:t>
      </w:r>
    </w:p>
    <w:p>
      <w:pPr>
        <w:pStyle w:val="BookText"/>
      </w:pPr>
      <w:r>
        <w:rPr>
          <w:rFonts w:ascii="IRNazanin" w:hAnsi="IRNazanin" w:eastAsia="IRNazanin" w:cs="IRNazanin"/>
          <w:lang w:bidi="fa-IR"/>
          <w:color w:val="111111"/>
          <w:sz w:val="28"/>
          <w:szCs w:val="28"/>
          <w:rtl/>
        </w:rPr>
        <w:t xml:space="preserve">[ کوپریلی، ج ۲، ص ۲۱۴ و ج ۳، ص ۳۳۸؛ سلیمانیه، ج ۳، ص ۳۵۰؛ بروکلمان، ج ۱۳-۱۴، ص ۴۲۸]</w:t>
      </w:r>
    </w:p>
    <w:p>
      <w:pPr>
        <w:pStyle w:val="BookText"/>
      </w:pPr>
      <w:r>
        <w:rPr>
          <w:rFonts w:ascii="IRNazanin" w:hAnsi="IRNazanin" w:eastAsia="IRNazanin" w:cs="IRNazanin"/>
          <w:lang w:bidi="fa-IR"/>
          <w:color w:val="111111"/>
          <w:sz w:val="28"/>
          <w:szCs w:val="28"/>
          <w:rtl/>
        </w:rPr>
        <w:t xml:space="preserve">تهران؛ مجلس؛ شماره نسخه: ۸۹۳۱/۱۰۵</w:t>
      </w:r>
    </w:p>
    <w:p>
      <w:pPr>
        <w:pStyle w:val="BookText"/>
      </w:pPr>
      <w:r>
        <w:rPr>
          <w:rFonts w:ascii="IRNazanin" w:hAnsi="IRNazanin" w:eastAsia="IRNazanin" w:cs="IRNazanin"/>
          <w:lang w:bidi="fa-IR"/>
          <w:color w:val="111111"/>
          <w:sz w:val="28"/>
          <w:szCs w:val="28"/>
          <w:rtl/>
        </w:rPr>
        <w:t xml:space="preserve">آغاز: بسمله و بعض مشايخنا استحسنوا الاستيجار على تعليم القرآن اليوم لظهور التوانى فى الامور الدينية؛ انجام: كان يكتب على الفتوى پدر صبى معلم را خشنود کند قال و سندنا الشيخ الامام ظهير الدين كذا كان يكتب. تمت الرسالة.</w:t>
      </w:r>
    </w:p>
    <w:p>
      <w:pPr>
        <w:pStyle w:val="BookText"/>
      </w:pPr>
      <w:r>
        <w:rPr>
          <w:rFonts w:ascii="IRNazanin" w:hAnsi="IRNazanin" w:eastAsia="IRNazanin" w:cs="IRNazanin"/>
          <w:lang w:bidi="fa-IR"/>
          <w:color w:val="111111"/>
          <w:sz w:val="28"/>
          <w:szCs w:val="28"/>
          <w:rtl/>
        </w:rPr>
        <w:t xml:space="preserve">کامل؛ خط: نسخ، بی کا،  تا: قرن ۱۱؛ در نسخه با نام «هذه رسالة  في استيجار تعليم القرآن للمولى ابن کمال»؛ کاغذ: فرنگی  نخودی  آهار مهره، جلد: میشن قهوه ای ضربی با ترنج و سرترنج،گرهی با سر طبل منقش و شمسه  ضربی، ۱گ (۲۱۳پ)، ابعاد  متن: (10/5</w:t>
      </w:r>
      <w:r>
        <w:rPr>
          <w:rFonts w:ascii="Times New Roman" w:hAnsi="Times New Roman" w:eastAsia="Times New Roman" w:cs="Times New Roman"/>
          <w:lang w:val="en-US" w:bidi="en-US"/>
          <w:color w:val="111111"/>
          <w:sz w:val="28"/>
          <w:szCs w:val="28"/>
          <w:rtl/>
        </w:rPr>
        <w:t xml:space="preserve">×23) </w:t>
      </w:r>
      <w:r>
        <w:rPr>
          <w:rFonts w:ascii="IRNazanin" w:hAnsi="IRNazanin" w:eastAsia="IRNazanin" w:cs="IRNazanin"/>
          <w:lang w:bidi="fa-IR"/>
          <w:color w:val="111111"/>
          <w:sz w:val="28"/>
          <w:szCs w:val="28"/>
          <w:rtl/>
        </w:rPr>
        <w:t xml:space="preserve">اندازه:13</w:t>
      </w:r>
      <w:r>
        <w:rPr>
          <w:rFonts w:ascii="Times New Roman" w:hAnsi="Times New Roman" w:eastAsia="Times New Roman" w:cs="Times New Roman"/>
          <w:lang w:val="en-US" w:bidi="en-US"/>
          <w:color w:val="111111"/>
          <w:sz w:val="28"/>
          <w:szCs w:val="28"/>
          <w:rtl/>
        </w:rPr>
        <w:t xml:space="preserve">×27/7 </w:t>
      </w:r>
      <w:r>
        <w:rPr>
          <w:rFonts w:ascii="IRNazanin" w:hAnsi="IRNazanin" w:eastAsia="IRNazanin" w:cs="IRNazanin"/>
          <w:lang w:bidi="fa-IR"/>
          <w:color w:val="111111"/>
          <w:sz w:val="28"/>
          <w:szCs w:val="28"/>
          <w:rtl/>
        </w:rPr>
        <w:t xml:space="preserve">سم [ف: ۲۹/۱ - ۳۷۷]</w:t>
      </w:r>
    </w:p>
    <w:p>
      <w:pPr>
        <w:pStyle w:val="BookText"/>
      </w:pPr>
      <w:r>
        <w:rPr>
          <w:rFonts w:ascii="Amiri" w:hAnsi="Amiri" w:eastAsia="Amiri" w:cs="Amiri"/>
          <w:lang w:bidi="ar-SA"/>
          <w:color w:val="111111"/>
          <w:sz w:val="28"/>
          <w:szCs w:val="28"/>
          <w:rtl/>
        </w:rPr>
        <w:t xml:space="preserve">«الاستئجار للحج من غير بلد الميت » حج بلد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11" w:name="pg20365_260310"/>
    <w:bookmarkEnd w:id="211"/>
    <w:p>
      <w:pPr>
        <w:pStyle w:val="Heading3"/>
      </w:pPr>
      <w:bookmarkStart w:id="1252" w:name="_Toc774"/>
      <w:r>
        <w:t>الاستيعاب / هیئت / عربی</w:t>
      </w:r>
      <w:bookmarkEnd w:id="1252"/>
    </w:p>
    <w:p>
      <w:pPr>
        <w:pStyle w:val="BookText"/>
      </w:pPr>
      <w:r>
        <w:rPr>
          <w:rFonts w:ascii="Times New Roman" w:hAnsi="Times New Roman" w:eastAsia="Times New Roman" w:cs="Times New Roman"/>
          <w:lang w:val="en-US" w:bidi="en-US"/>
          <w:color w:val="111111"/>
          <w:sz w:val="28"/>
          <w:szCs w:val="28"/>
          <w:rtl/>
        </w:rPr>
        <w:t xml:space="preserve">al-istī‘āb</w:t>
      </w:r>
    </w:p>
    <w:p>
      <w:pPr>
        <w:pStyle w:val="BookText"/>
      </w:pPr>
      <w:r>
        <w:rPr>
          <w:rFonts w:ascii="IRNazanin" w:hAnsi="IRNazanin" w:eastAsia="IRNazanin" w:cs="IRNazanin"/>
          <w:lang w:bidi="fa-IR"/>
          <w:color w:val="111111"/>
          <w:sz w:val="28"/>
          <w:szCs w:val="28"/>
          <w:rtl/>
        </w:rPr>
        <w:t xml:space="preserve">تهران؛ دانشگاه؛ شماره نسخه: ۵۲۴۵/۱</w:t>
      </w:r>
    </w:p>
    <w:p>
      <w:pPr>
        <w:pStyle w:val="BookText"/>
      </w:pPr>
      <w:r>
        <w:rPr>
          <w:rFonts w:ascii="IRNazanin" w:hAnsi="IRNazanin" w:eastAsia="IRNazanin" w:cs="IRNazanin"/>
          <w:lang w:bidi="fa-IR"/>
          <w:color w:val="111111"/>
          <w:sz w:val="28"/>
          <w:szCs w:val="28"/>
          <w:rtl/>
        </w:rPr>
        <w:t xml:space="preserve">آغاز: بسمله حمدله ... و بعد فهذه رسالة لطيفة مختصرة سمـیتها الاستيعاب للعمل بصدر الوزة وجناح الغراب و هوربع الدائرة المشهورة بالمجنح وبعضهم يسميه يعروس الالات التمسها منی بعض اولى الرغبات ... و رتبتها على مقدمة وعشر مقالات و خاتمة ... المقدمة في تسمية رسومه؛ انجام: (در ۲پ) المقاله السادسة فی معرفة بعد القطر و الاصل المطلق وضع الخيط على العرض .. انقل الى الستينى تجد ... (در ۳ر-۴پ آمده) التى مطالعها بالفلـک المستقيم الباب ۲۳ في معرفة الدرجة التي يطلع الكواكب وقـت طلوعه ... الباب ۳۵ فى معرفة الشمس من برجها ... و ذكر الشـیخ نجد... (پاره شده) (این بابها باید از رساله دیگری باشد.)</w:t>
      </w:r>
    </w:p>
    <w:p>
      <w:pPr>
        <w:pStyle w:val="BookText"/>
      </w:pPr>
      <w:r>
        <w:rPr>
          <w:rFonts w:ascii="IRNazanin" w:hAnsi="IRNazanin" w:eastAsia="IRNazanin" w:cs="IRNazanin"/>
          <w:lang w:bidi="fa-IR"/>
          <w:color w:val="111111"/>
          <w:sz w:val="28"/>
          <w:szCs w:val="28"/>
          <w:rtl/>
        </w:rPr>
        <w:t xml:space="preserve">الاستيعاب للعمل بصدر الوزة وجناح الغراب و هو ربع الدائرة المشهورة بالمجنح او عروس الالات. در یک «مقدمه»؛ خط: نسـخ، بی کا، تا: قرن ۱۱؛ ،کاغذ ،سپاهانی جلد: تیماج حنایی ۲۴ سـطر   (9</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قطع: ربعی،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۱۵ -۴۱۷۶]</w:t>
      </w:r>
    </w:p>
    <w:p>
      <w:pPr>
        <w:pStyle w:val="Heading3"/>
      </w:pPr>
      <w:bookmarkStart w:id="1253" w:name="_Toc775"/>
      <w:r>
        <w:t>الاستيعاب فى الاسطرلاب = استيعاب الوجوه  الممكنة فى صنعة الاسطرلاب / اسطرلاب / عربی</w:t>
      </w:r>
      <w:bookmarkEnd w:id="1253"/>
    </w:p>
    <w:p>
      <w:pPr>
        <w:pStyle w:val="BookText"/>
      </w:pPr>
      <w:r>
        <w:rPr>
          <w:rFonts w:ascii="Times New Roman" w:hAnsi="Times New Roman" w:eastAsia="Times New Roman" w:cs="Times New Roman"/>
          <w:lang w:val="en-US" w:bidi="en-US"/>
          <w:color w:val="111111"/>
          <w:sz w:val="28"/>
          <w:szCs w:val="28"/>
          <w:rtl/>
        </w:rPr>
        <w:t xml:space="preserve">al-istī‘āb fi-l-usṭurlāb = istī‘āb-ul-wujūh-il-mumkina fī</w:t>
      </w:r>
    </w:p>
    <w:p>
      <w:pPr>
        <w:pStyle w:val="BookText"/>
      </w:pPr>
      <w:r>
        <w:rPr>
          <w:rFonts w:ascii="Times New Roman" w:hAnsi="Times New Roman" w:eastAsia="Times New Roman" w:cs="Times New Roman"/>
          <w:lang w:val="en-US" w:bidi="en-US"/>
          <w:color w:val="111111"/>
          <w:sz w:val="28"/>
          <w:szCs w:val="28"/>
          <w:rtl/>
        </w:rPr>
        <w:t xml:space="preserve">ṣan‘at-il-usṭurlāb</w:t>
      </w:r>
    </w:p>
    <w:p>
      <w:pPr>
        <w:pStyle w:val="BookText"/>
      </w:pPr>
      <w:r>
        <w:rPr>
          <w:rFonts w:ascii="IRNazanin" w:hAnsi="IRNazanin" w:eastAsia="IRNazanin" w:cs="IRNazanin"/>
          <w:lang w:bidi="fa-IR"/>
          <w:color w:val="111111"/>
          <w:sz w:val="28"/>
          <w:szCs w:val="28"/>
          <w:rtl/>
        </w:rPr>
        <w:t xml:space="preserve">ابوریحان  بیرونی، محمد بن  احمد، ۳۶۲ - ۴۴۰ قمری</w:t>
      </w:r>
    </w:p>
    <w:p>
      <w:pPr>
        <w:pStyle w:val="BookText"/>
      </w:pPr>
      <w:r>
        <w:rPr>
          <w:rFonts w:ascii="Times New Roman" w:hAnsi="Times New Roman" w:eastAsia="Times New Roman" w:cs="Times New Roman"/>
          <w:lang w:val="en-US" w:bidi="en-US"/>
          <w:color w:val="111111"/>
          <w:sz w:val="28"/>
          <w:szCs w:val="28"/>
          <w:rtl/>
        </w:rPr>
        <w:t xml:space="preserve">(1049-abū-reyhān-e bīrūnī, mohammad ebn-e ahmad (974 -</w:t>
      </w:r>
    </w:p>
    <w:p>
      <w:pPr>
        <w:pStyle w:val="BookText"/>
      </w:pPr>
      <w:r>
        <w:rPr>
          <w:rFonts w:ascii="IRNazanin" w:hAnsi="IRNazanin" w:eastAsia="IRNazanin" w:cs="IRNazanin"/>
          <w:lang w:bidi="fa-IR"/>
          <w:color w:val="111111"/>
          <w:sz w:val="28"/>
          <w:szCs w:val="28"/>
          <w:rtl/>
        </w:rPr>
        <w:t xml:space="preserve">اهداء به: ابوسهل مسیحی</w:t>
      </w:r>
    </w:p>
    <w:p>
      <w:pPr>
        <w:pStyle w:val="BookText"/>
      </w:pPr>
      <w:r>
        <w:rPr>
          <w:rFonts w:ascii="IRNazanin" w:hAnsi="IRNazanin" w:eastAsia="IRNazanin" w:cs="IRNazanin"/>
          <w:lang w:bidi="fa-IR"/>
          <w:color w:val="111111"/>
          <w:sz w:val="28"/>
          <w:szCs w:val="28"/>
          <w:rtl/>
        </w:rPr>
        <w:t xml:space="preserve">رساله ای است مهم در تاریخ نجوم اسلامی درباره بررسی مقایسه روش های گوناگون ساخت انواع اسطرلاب که با رسالاتی چون «استيعاب في علم( يا معرفة الاسطرلاب) فـرق دارد مهمترین عناوین این رساله بدین شرح است: مسائل مختلفی درباره ساخت اسطرلاب از جمله رسم  مدارات، رسم منطقة البروج روی عنکبوت رسم رئوس كواكب ثابت عنکبوت شناخت ابعاد ستارگان از معدل النهار و غیره روش ابو محمد سیفی و ابو محمود حامد بن خضر خجندی در را دایره های سمت تصحیح اسطرلاب های قدیمی و تنظیم آن برای زمان حاضر ساخت اسطرلاب های زورقی ،مسطری صلیبه لولبی، رصدی و مطبخ ساخت اسطرلاب موسوم به کامل تسطیح اسطرلاب گزیده ای از کتاب ابو حامد صاغانی درب تسطیح ،تام رسم قطع مکافی ،(سهمی) رسم قطع زاید (هذلولی) به نقل از کتاب السموت ابونصر منصور بن ،عراق، وصف پرگار تام و حرکات  آن، رسم قطع ناقص (بیضی)، مکافی و زاید پرگار ،تام، رسم صحیفه کسوفیه و ساخت دستگاهی برای</w:t>
      </w:r>
    </w:p>
    <w:p>
      <w:pPr>
        <w:pStyle w:val="BookText"/>
      </w:pPr>
      <w:r>
        <w:rPr>
          <w:rFonts w:ascii="IRNazanin" w:hAnsi="IRNazanin" w:eastAsia="IRNazanin" w:cs="IRNazanin"/>
          <w:lang w:bidi="fa-IR"/>
          <w:color w:val="111111"/>
          <w:sz w:val="28"/>
          <w:szCs w:val="28"/>
          <w:rtl/>
        </w:rPr>
        <w:t xml:space="preserve">شناخت زمان رؤیت هلال.</w:t>
      </w:r>
    </w:p>
    <w:p>
      <w:pPr>
        <w:pStyle w:val="BookText"/>
      </w:pPr>
      <w:r>
        <w:rPr>
          <w:rFonts w:ascii="Amiri" w:hAnsi="Amiri" w:eastAsia="Amiri" w:cs="Amiri"/>
          <w:lang w:bidi="ar-SA"/>
          <w:color w:val="111111"/>
          <w:sz w:val="28"/>
          <w:szCs w:val="28"/>
          <w:rtl/>
        </w:rPr>
        <w:t xml:space="preserve">آغاز: بسمله الحمد لله حق حمده و صلواته على محمد نبيه و آله  و اصحابه... و بعد فهذا كتاب محمد بن احمد البيروني في استيعاب الوجوه الممكنة فى صنعة الاسطرلاب للانفس الصافية ذات نزوع و اشتياق</w:t>
      </w:r>
    </w:p>
    <w:p>
      <w:pPr>
        <w:pStyle w:val="BookText"/>
      </w:pPr>
      <w:r>
        <w:rPr>
          <w:rFonts w:ascii="Amiri" w:hAnsi="Amiri" w:eastAsia="Amiri" w:cs="Amiri"/>
          <w:lang w:bidi="ar-SA"/>
          <w:color w:val="111111"/>
          <w:sz w:val="28"/>
          <w:szCs w:val="28"/>
          <w:rtl/>
        </w:rPr>
        <w:t xml:space="preserve">انجام: ان تعم العروض انشم تعم و بتمام هذه الآلة تم انجاز الوعد بما وعدته والوفاء بما ضمنته بعون الله وتوفيقه و هو المحمود على كل حال، و الصلاة على محمد متصلاً بالعشى و الاصال، و على آله و عزته اكرم العشيرة و اطهر آل.</w:t>
      </w:r>
    </w:p>
    <w:p>
      <w:pPr>
        <w:pStyle w:val="BookText"/>
      </w:pPr>
      <w:r>
        <w:rPr>
          <w:rFonts w:ascii="IRNazanin" w:hAnsi="IRNazanin" w:eastAsia="IRNazanin" w:cs="IRNazanin"/>
          <w:lang w:bidi="fa-IR"/>
          <w:color w:val="111111"/>
          <w:sz w:val="28"/>
          <w:szCs w:val="28"/>
          <w:rtl/>
        </w:rPr>
        <w:t xml:space="preserve">چاپ: تصحیح محمد اکبر جوادی حسینی، مشهد، مجمع البحوث الاسلاميه، ۱۳۸۰ش</w:t>
      </w:r>
    </w:p>
    <w:p>
      <w:pPr>
        <w:pStyle w:val="BookText"/>
      </w:pPr>
      <w:r>
        <w:rPr>
          <w:rFonts w:ascii="IRNazanin" w:hAnsi="IRNazanin" w:eastAsia="IRNazanin" w:cs="IRNazanin"/>
          <w:lang w:bidi="fa-IR"/>
          <w:color w:val="111111"/>
          <w:sz w:val="28"/>
          <w:szCs w:val="28"/>
          <w:rtl/>
        </w:rPr>
        <w:t xml:space="preserve">[ دائرة المعارف بزرگ اسلامی۱۳ :۳۹۷؛ بیرونی نامه ص ۵۴؛ کتاب شناسی ابوریحان از احمد سعید خان ترجمه عبدالحی حبیبی ص ۵۶۰ و ۹۴ و ۱۰۱؛ برو كلمن ذیل ۸۷۳/۱ ش ۵۶؛ الذريعة ،۳۶/۲؛ الاسطرلاب گورگیس عواد:  ۱۵۷  ]</w:t>
      </w:r>
    </w:p>
    <w:p>
      <w:pPr>
        <w:pStyle w:val="BookText"/>
      </w:pPr>
      <w:r>
        <w:rPr>
          <w:rFonts w:ascii="IRNazanin" w:hAnsi="IRNazanin" w:eastAsia="IRNazanin" w:cs="IRNazanin"/>
          <w:lang w:bidi="fa-IR"/>
          <w:color w:val="111111"/>
          <w:sz w:val="28"/>
          <w:szCs w:val="28"/>
          <w:rtl/>
        </w:rPr>
        <w:t xml:space="preserve">۱. تهران؛ مجلس؛ شماره نسخه: ۱۵۰</w:t>
      </w:r>
    </w:p>
    <w:p>
      <w:pPr>
        <w:pStyle w:val="BookText"/>
      </w:pPr>
      <w:r>
        <w:rPr>
          <w:rFonts w:ascii="Amiri" w:hAnsi="Amiri" w:eastAsia="Amiri" w:cs="Amiri"/>
          <w:lang w:bidi="ar-SA"/>
          <w:color w:val="111111"/>
          <w:sz w:val="28"/>
          <w:szCs w:val="28"/>
          <w:rtl/>
        </w:rPr>
        <w:t xml:space="preserve">آغاز: برابر؛ انجام ؛و بتمام هذه الآلة تم انجاز الوعد بما وعدته و الوفا بما ضمنته بعون الله وتوفيقه</w:t>
      </w:r>
    </w:p>
    <w:p>
      <w:pPr>
        <w:pStyle w:val="BookText"/>
      </w:pPr>
      <w:r>
        <w:rPr>
          <w:rFonts w:ascii="IRNazanin" w:hAnsi="IRNazanin" w:eastAsia="IRNazanin" w:cs="IRNazanin"/>
          <w:lang w:bidi="fa-IR"/>
          <w:color w:val="111111"/>
          <w:sz w:val="28"/>
          <w:szCs w:val="28"/>
          <w:rtl/>
        </w:rPr>
        <w:t xml:space="preserve">مشتمل بر جلد اول و دوائر؛ خط: نسخ، بی کا، تا: ۸۸۸ق ۸ صفحه مکرر در اول؛ ۱۴۴گ، ۱۸-۲۴ ،سطر، قطع: رحلی [ف ۲ - ۸۱]</w:t>
      </w:r>
    </w:p>
    <w:p>
      <w:pPr>
        <w:pStyle w:val="BookText"/>
      </w:pPr>
      <w:r>
        <w:rPr>
          <w:rFonts w:ascii="IRNazanin" w:hAnsi="IRNazanin" w:eastAsia="IRNazanin" w:cs="IRNazanin"/>
          <w:lang w:bidi="fa-IR"/>
          <w:color w:val="111111"/>
          <w:sz w:val="28"/>
          <w:szCs w:val="28"/>
          <w:rtl/>
        </w:rPr>
        <w:t xml:space="preserve">تهران؛ دانشگاه؛ شماره نسخه: ۱/ ۱۶۶۰ف و ۴۲۷۴/۱-ف</w:t>
      </w:r>
    </w:p>
    <w:p>
      <w:pPr>
        <w:pStyle w:val="BookText"/>
      </w:pPr>
      <w:r>
        <w:rPr>
          <w:rFonts w:ascii="IRNazanin" w:hAnsi="IRNazanin" w:eastAsia="IRNazanin" w:cs="IRNazanin"/>
          <w:lang w:bidi="fa-IR"/>
          <w:color w:val="111111"/>
          <w:sz w:val="28"/>
          <w:szCs w:val="28"/>
          <w:rtl/>
        </w:rPr>
        <w:t xml:space="preserve">نسخه اصل: همان نسخه بالا [ فیلم ها-ف: ۱ – ۶۲۵ و ۳ - ۴۰]</w:t>
      </w:r>
    </w:p>
    <w:p>
      <w:pPr>
        <w:pStyle w:val="BookText"/>
      </w:pPr>
      <w:r>
        <w:rPr>
          <w:rFonts w:ascii="IRNazanin" w:hAnsi="IRNazanin" w:eastAsia="IRNazanin" w:cs="IRNazanin"/>
          <w:lang w:bidi="fa-IR"/>
          <w:color w:val="111111"/>
          <w:sz w:val="28"/>
          <w:szCs w:val="28"/>
          <w:rtl/>
        </w:rPr>
        <w:t xml:space="preserve">تهران؛ دائرة المعارف؛ شماره نسخه: ۴۶۴/۱-عکسی</w:t>
      </w:r>
    </w:p>
    <w:p>
      <w:pPr>
        <w:pStyle w:val="BookText"/>
      </w:pPr>
      <w:r>
        <w:rPr>
          <w:rFonts w:ascii="IRNazanin" w:hAnsi="IRNazanin" w:eastAsia="IRNazanin" w:cs="IRNazanin"/>
          <w:lang w:bidi="fa-IR"/>
          <w:color w:val="111111"/>
          <w:sz w:val="28"/>
          <w:szCs w:val="28"/>
          <w:rtl/>
        </w:rPr>
        <w:t xml:space="preserve">اصل  نسخه: همان نسخه بالا [ف: ۲ - ۲۳]</w:t>
      </w:r>
    </w:p>
    <w:p>
      <w:pPr>
        <w:pStyle w:val="BookText"/>
      </w:pPr>
      <w:r>
        <w:rPr>
          <w:rFonts w:ascii="IRNazanin" w:hAnsi="IRNazanin" w:eastAsia="IRNazanin" w:cs="IRNazanin"/>
          <w:lang w:bidi="fa-IR"/>
          <w:color w:val="111111"/>
          <w:sz w:val="28"/>
          <w:szCs w:val="28"/>
          <w:rtl/>
        </w:rPr>
        <w:t xml:space="preserve">۲. تهران؛ ملک؛ شماره نسخه: ۳۳۱۹</w:t>
      </w:r>
    </w:p>
    <w:p>
      <w:pPr>
        <w:pStyle w:val="BookText"/>
      </w:pPr>
      <w:r>
        <w:rPr>
          <w:rFonts w:ascii="IRNazanin" w:hAnsi="IRNazanin" w:eastAsia="IRNazanin" w:cs="IRNazanin"/>
          <w:lang w:bidi="fa-IR"/>
          <w:color w:val="111111"/>
          <w:sz w:val="28"/>
          <w:szCs w:val="28"/>
          <w:rtl/>
        </w:rPr>
        <w:t xml:space="preserve">خط: نسخ، کا: محمد شریف بن حاجی مقصود علی اصفهانی، تا: ذيحجه ۱۰۵۷؛ مجدول و دارای اشکال؛ کاغذ ،ترمه، جلد: میشن سرخ، ۱۰۴گ، ۱۴ سطر [ف: ۱ - ۳۱]</w:t>
      </w:r>
    </w:p>
    <w:p>
      <w:pPr>
        <w:pStyle w:val="BookText"/>
      </w:pPr>
      <w:r>
        <w:rPr>
          <w:rFonts w:ascii="IRNazanin" w:hAnsi="IRNazanin" w:eastAsia="IRNazanin" w:cs="IRNazanin"/>
          <w:lang w:bidi="fa-IR"/>
          <w:color w:val="111111"/>
          <w:sz w:val="28"/>
          <w:szCs w:val="28"/>
          <w:rtl/>
        </w:rPr>
        <w:t xml:space="preserve">تهران؛ دائرة المعارف؛ شماره نسخه: ۴۸۵-عکسی</w:t>
      </w:r>
    </w:p>
    <w:p>
      <w:pPr>
        <w:pStyle w:val="BookText"/>
      </w:pPr>
      <w:r>
        <w:rPr>
          <w:rFonts w:ascii="IRNazanin" w:hAnsi="IRNazanin" w:eastAsia="IRNazanin" w:cs="IRNazanin"/>
          <w:lang w:bidi="fa-IR"/>
          <w:color w:val="111111"/>
          <w:sz w:val="28"/>
          <w:szCs w:val="28"/>
          <w:rtl/>
        </w:rPr>
        <w:t xml:space="preserve">اصل  نسخه: همان نسخه بالا[ف: ۲ - ۲۳]</w:t>
      </w:r>
    </w:p>
    <w:p>
      <w:pPr>
        <w:pStyle w:val="BookText"/>
      </w:pPr>
      <w:r>
        <w:rPr>
          <w:rFonts w:ascii="IRNazanin" w:hAnsi="IRNazanin" w:eastAsia="IRNazanin" w:cs="IRNazanin"/>
          <w:lang w:bidi="fa-IR"/>
          <w:color w:val="111111"/>
          <w:sz w:val="28"/>
          <w:szCs w:val="28"/>
          <w:rtl/>
        </w:rPr>
        <w:t xml:space="preserve">3.تهران؛ مجلس؛ شماره نسخه: ۱۹۲۶/۱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قرن ۱۱؛ کاغذ: اصفهانی شکری رنگ ،جلد: تیماج ،قرمز، ۱۳۲ص (۱-۱۳۲)، ۲۵ سطر، قطع: وزیری،  اندازه: ۱۶/۵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۲۴/۵سم [ف: ۹ - ۶۲۴]</w:t>
      </w:r>
    </w:p>
    <w:p>
      <w:pPr>
        <w:pStyle w:val="BookText"/>
      </w:pPr>
      <w:r>
        <w:rPr>
          <w:rFonts w:ascii="IRNazanin" w:hAnsi="IRNazanin" w:eastAsia="IRNazanin" w:cs="IRNazanin"/>
          <w:lang w:bidi="fa-IR"/>
          <w:color w:val="111111"/>
          <w:sz w:val="28"/>
          <w:szCs w:val="28"/>
          <w:rtl/>
        </w:rPr>
        <w:t xml:space="preserve">۴. تهران؛ مجلس؛ شماره نسخه: ۶۵۱۶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قرن ۱۱؛ تملک: شیخ رضا ساکن مدرسه  طالبیه با مهر مربع، محمد علی بن كاظم با مهر مربع؛ جلد: تیماج مشکی بدون مقوا ۷۰گ، ۲۰  سطر،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۱۹/۵سم [ف:  20- 92]</w:t>
      </w:r>
    </w:p>
    <w:p>
      <w:pPr>
        <w:pStyle w:val="BookText"/>
      </w:pPr>
      <w:r>
        <w:rPr>
          <w:rFonts w:ascii="IRNazanin" w:hAnsi="IRNazanin" w:eastAsia="IRNazanin" w:cs="IRNazanin"/>
          <w:lang w:bidi="fa-IR"/>
          <w:color w:val="111111"/>
          <w:sz w:val="28"/>
          <w:szCs w:val="28"/>
          <w:rtl/>
        </w:rPr>
        <w:t xml:space="preserve">5.تهران؛ سپهسالار؛ شماره نسخه: ۷۰۶/۱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12" w:name="pg20365_260311"/>
    <w:bookmarkEnd w:id="212"/>
    <w:p>
      <w:pPr>
        <w:pStyle w:val="BookText"/>
      </w:pPr>
      <w:r>
        <w:rPr>
          <w:rFonts w:ascii="IRNazanin" w:hAnsi="IRNazanin" w:eastAsia="IRNazanin" w:cs="IRNazanin"/>
          <w:lang w:bidi="fa-IR"/>
          <w:color w:val="111111"/>
          <w:sz w:val="28"/>
          <w:szCs w:val="28"/>
          <w:rtl/>
        </w:rPr>
        <w:t xml:space="preserve">خط: نسخ، بی کا، تا: ۱۰۴۷ق ؛کاغذ ،سپاهانی ،جلد: تیماج سبز، مقوا سوخت زرکوب، ۱۴۳گ (۱پ-۱۴۳پ)، ۱۶ سطر،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۱۹/۵سم [ف: ۳ - ۱۲۴]</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تهران؛ سپهسالار؛ شماره نسخه: ۷۰۵/۱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۱۲؛ از روی نسخه احمد بن محمد بن عبد الرحيم الولى الشافعی  النصیبی، که در ساعت ۱۱ ذیقعـده ۷۲۱ق از روی نسخه مصنف نوشته شده بود؛ کاغذ ،فرنگی، جـلد: تيماج سبز  مقوایی، ۹۴گ (۱پ-۹۴پ)، ۱۵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۲۶سم [ف: ۳ -۱۲۳]</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تهران؛ دانشگاه؛ شماره نسخه: ۴۶۱۰/۳-ف</w:t>
      </w:r>
    </w:p>
    <w:p>
      <w:pPr>
        <w:pStyle w:val="BookText"/>
      </w:pPr>
      <w:r>
        <w:rPr>
          <w:rFonts w:ascii="IRNazanin" w:hAnsi="IRNazanin" w:eastAsia="IRNazanin" w:cs="IRNazanin"/>
          <w:lang w:bidi="fa-IR"/>
          <w:color w:val="111111"/>
          <w:sz w:val="28"/>
          <w:szCs w:val="28"/>
          <w:rtl/>
        </w:rPr>
        <w:t xml:space="preserve">نسخه  اصل: ایاصوفیا، ش ۲۹۴۷( پاره ای از آن در این فیلم هست نه همه آن)؛ خط: نستعلیق، بی کا، بی تا[فیلم ها-ف: ۳ - ۷۸]</w:t>
      </w:r>
    </w:p>
    <w:p>
      <w:pPr>
        <w:pStyle w:val="Heading3"/>
      </w:pPr>
      <w:bookmarkStart w:id="1254" w:name="_Toc776"/>
      <w:r>
        <w:t>الاستيعاب في معرفة الاصحاب / رجال / عربي</w:t>
      </w:r>
      <w:bookmarkEnd w:id="1254"/>
    </w:p>
    <w:p>
      <w:pPr>
        <w:pStyle w:val="BookText"/>
      </w:pPr>
      <w:r>
        <w:rPr>
          <w:rFonts w:ascii="Times New Roman" w:hAnsi="Times New Roman" w:eastAsia="Times New Roman" w:cs="Times New Roman"/>
          <w:lang w:val="en-US" w:bidi="en-US"/>
          <w:color w:val="111111"/>
          <w:sz w:val="28"/>
          <w:szCs w:val="28"/>
          <w:rtl/>
        </w:rPr>
        <w:t xml:space="preserve">al-istī‘āb fī ma‘rifat-il-aṣḥāb</w:t>
      </w:r>
    </w:p>
    <w:p>
      <w:pPr>
        <w:pStyle w:val="BookText"/>
      </w:pPr>
      <w:r>
        <w:rPr>
          <w:rFonts w:ascii="IRNazanin" w:hAnsi="IRNazanin" w:eastAsia="IRNazanin" w:cs="IRNazanin"/>
          <w:lang w:bidi="fa-IR"/>
          <w:color w:val="111111"/>
          <w:sz w:val="28"/>
          <w:szCs w:val="28"/>
          <w:rtl/>
        </w:rPr>
        <w:t xml:space="preserve">ابن عبدالبر، یوسف بن عبدالله ۳۶۸ - ۴۶۳ قمری</w:t>
      </w:r>
    </w:p>
    <w:p>
      <w:pPr>
        <w:pStyle w:val="BookText"/>
      </w:pPr>
      <w:r>
        <w:rPr>
          <w:rFonts w:ascii="Times New Roman" w:hAnsi="Times New Roman" w:eastAsia="Times New Roman" w:cs="Times New Roman"/>
          <w:lang w:val="en-US" w:bidi="en-US"/>
          <w:color w:val="111111"/>
          <w:sz w:val="28"/>
          <w:szCs w:val="28"/>
          <w:rtl/>
        </w:rPr>
        <w:t xml:space="preserve">[1071-ebn-e ‘abd-ol-berr, yūsof ebn-e ‘abd-ol-lāh (979 -</w:t>
      </w:r>
    </w:p>
    <w:p>
      <w:pPr>
        <w:pStyle w:val="BookText"/>
      </w:pPr>
      <w:r>
        <w:rPr>
          <w:rFonts w:ascii="IRNazanin" w:hAnsi="IRNazanin" w:eastAsia="IRNazanin" w:cs="IRNazanin"/>
          <w:lang w:bidi="fa-IR"/>
          <w:color w:val="111111"/>
          <w:sz w:val="28"/>
          <w:szCs w:val="28"/>
          <w:rtl/>
        </w:rPr>
        <w:t xml:space="preserve">ابن عبدالبر با نگارش این کتاب یکی از چهار تن پایه گذاران این کتاب علم رجال الحدیث سنيان به شمار می رود. مؤلف این کتاب نخست به گزارش زندگی پیغمبر اسلام پرداخته سپس یاران وی را به ترتیب الفبایی که عربان اندلس به کار می بردند (و آن بدین ترتیب است ا ب ت ث ج ح خ د ذ ر ز ظ ک ل م ن ص ض ع غ ف ق س ش هـ و ی). در آغازنام  ایشان در دو بخش آورده است: ۱. در نام ها؛ ۲. در کنیت ها. این دو بخش گزارش زندگی سه هزار و پانصد تن را آورده است مؤلف در ،دیباچه مدارک کار خویش راچنین برشمرده است ابن ابی خثیمه احمد بن زهیرگ (-۲۷۹ق)؛ ابن اسحـاق محمد نواده يسار (-۱۵۱ق)؛ واقدی نگارنده «طبقات» و (تاریـخ) (-۲۳۰ ق)؛ خليفة ابن الخياط ( -۲۴۰ق)؛ بخاری محمد بن اسماعيل بن مغيرة نگارنده «تاریخ کبیر» (-۲۵۶ق)؛ ابوجعفر طبری نگارنده «ذیل المذيل» (-۲۱۰ ق)؛ دولابی، احمد بن محـمد بن حماد (۲۲۴-۳۲۰) نگارنده «المولد و الوفات» «الكنى الاسماء»؛ ابن سكن سعيد بن عثمان (-۳۵۳ ق) مؤلف «كتاب الحروف فى الصحابة»؛ عبدالله بن جارود نگارنده «الآحاد الصحابة» ،عقیلی محمد بن عمرو نگارنده «کتاب الصحابة»؛ ابن ابی حاتم رازی؛ الازرق (شاید آنکه در «عیون الاخبار» ابن قتیبة ج ۵ ص ۱۴۰ یاد شده باشد؛ البغوى ابوالقاسم عبدالله پسر محمد (۳۱۷-۲۱۴) چون ابن عبدالبر به گمان خود همه یاران پیغمبر را در الاستيعاب گرد آورده کتاب را بدین نام خوانده است ولیکن پس از مرگ وی چند دنباله برای آن نگاشته است چلبی کسانی را که درباره «استیعاب» کاری انجام داده اند چنین  برشمرده است: ابن  فتحون ،ابوبکر دنباله ای برای آن نگاشته؛ شهاب الدین احمد پسر یوسف ادرعی مالکی آن را کوتاه کرده «روضة الاحباب» ناميده است؛ ابن ابی طی يحيى بن حميدة حلبی (-۶۳۰ق) آن را پیراسته؛ ملا مصطفی به دستور سلطان احمد عثمانی تا حرف «ح» آن را به ترکی ترجمه کرد؛ طاش کبری زاده، کمال الدین محمد (م ۹۶۲ق) دنباله آن را تا حرف «ر» رسانید پس سلطان در گذشت و کار پایان نیافت؛ ابن حجر عسقلانی، احمد بن على (م ۸۵۲ق) استيعاب و دنباله ابن فنحون و اسدالغابة را یکجا گرد آورده) و (الاصابة» نامید؛ سیوطی (م۹۱۱) الاصابه را کوتاه کرده عين الاصابة» ناميد.</w:t>
      </w:r>
    </w:p>
    <w:p>
      <w:pPr>
        <w:pStyle w:val="BookText"/>
      </w:pPr>
      <w:r>
        <w:rPr>
          <w:rFonts w:ascii="Amiri" w:hAnsi="Amiri" w:eastAsia="Amiri" w:cs="Amiri"/>
          <w:lang w:bidi="ar-SA"/>
          <w:color w:val="111111"/>
          <w:sz w:val="28"/>
          <w:szCs w:val="28"/>
          <w:rtl/>
        </w:rPr>
        <w:t xml:space="preserve">آغاز ،بسمله، قال ابو عمر و (كذا) يوسف بن عبدالله بن عبدالبر النمرى الفقيه الحافظ الاندلسى رحمه الله بحمدالله ابتدا و اياه استعين واستبدىء وصلى الله على سيدنا محمد و آله ... انا الفقيه الحافظ ... اما بعد فان اولى ما نظر فيه الطالب و عنى به العالم بعد كتاب الله تعالى</w:t>
      </w:r>
    </w:p>
    <w:p>
      <w:pPr>
        <w:pStyle w:val="BookText"/>
      </w:pPr>
      <w:r>
        <w:rPr>
          <w:rFonts w:ascii="Amiri" w:hAnsi="Amiri" w:eastAsia="Amiri" w:cs="Amiri"/>
          <w:lang w:bidi="ar-SA"/>
          <w:color w:val="111111"/>
          <w:sz w:val="28"/>
          <w:szCs w:val="28"/>
          <w:rtl/>
        </w:rPr>
        <w:t xml:space="preserve">انجام: و الى الله عزوجل نرغب في الشكر على ما اولاه و التوفيق لما يرضاه و الحمد لله رب العالمين ... و الصلاة على خير خلقه آله الطيبين الطاهرين و جميع الصحابة رضوان الله عليهم اجمعين.</w:t>
      </w:r>
    </w:p>
    <w:p>
      <w:pPr>
        <w:pStyle w:val="BookText"/>
      </w:pPr>
      <w:r>
        <w:rPr>
          <w:rFonts w:ascii="IRNazanin" w:hAnsi="IRNazanin" w:eastAsia="IRNazanin" w:cs="IRNazanin"/>
          <w:lang w:bidi="fa-IR"/>
          <w:color w:val="111111"/>
          <w:sz w:val="28"/>
          <w:szCs w:val="28"/>
          <w:rtl/>
        </w:rPr>
        <w:t xml:space="preserve">چاپ ،قاهرة مكتبة نهضة مصر ، نشره على محمد البجاوي، اربعة اجزاء، ۱۹۶۰م ،بیروت دارالجليل تحقيق على محمد بجاوی، ۱۴۱۳ق، ۴ج بيروت، دار الكتب العلمية، تحقيق على محمد معوض و عادل احمد عبد الموجود، ۱۴۱۵ق، ۴ج  [معجم المؤلفين ۳۱۵/۱۳؛ ريحانة الادب ۹۸/۸؛ كشف الظنون ٩٣١ مكتبة  امیر المومنين ١١٠/١]</w:t>
      </w:r>
    </w:p>
    <w:p>
      <w:pPr>
        <w:pStyle w:val="BookText"/>
      </w:pPr>
      <w:r>
        <w:rPr>
          <w:rFonts w:ascii="IRNazanin" w:hAnsi="IRNazanin" w:eastAsia="IRNazanin" w:cs="IRNazanin"/>
          <w:lang w:bidi="fa-IR"/>
          <w:color w:val="111111"/>
          <w:sz w:val="28"/>
          <w:szCs w:val="28"/>
          <w:rtl/>
        </w:rPr>
        <w:t xml:space="preserve">شرح و حواشی :</w:t>
      </w:r>
    </w:p>
    <w:p>
      <w:pPr>
        <w:pStyle w:val="BookText"/>
      </w:pPr>
      <w:r>
        <w:rPr>
          <w:rFonts w:ascii="IRNazanin" w:hAnsi="IRNazanin" w:eastAsia="IRNazanin" w:cs="IRNazanin"/>
          <w:lang w:bidi="fa-IR"/>
          <w:color w:val="111111"/>
          <w:sz w:val="28"/>
          <w:szCs w:val="28"/>
          <w:rtl/>
        </w:rPr>
        <w:t xml:space="preserve">١ - الشموس المضيئة؛ سندروسی، محمد بن محمد (-۱۱۷۷)</w:t>
      </w:r>
    </w:p>
    <w:p>
      <w:pPr>
        <w:pStyle w:val="BookText"/>
      </w:pPr>
      <w:r>
        <w:rPr>
          <w:rFonts w:ascii="IRNazanin" w:hAnsi="IRNazanin" w:eastAsia="IRNazanin" w:cs="IRNazanin"/>
          <w:lang w:bidi="fa-IR"/>
          <w:color w:val="111111"/>
          <w:sz w:val="28"/>
          <w:szCs w:val="28"/>
          <w:rtl/>
        </w:rPr>
        <w:t xml:space="preserve">۱. مشهد؛ رضوی؛ شماره نسخه: ۲۲۲۵۲</w:t>
      </w:r>
    </w:p>
    <w:p>
      <w:pPr>
        <w:pStyle w:val="BookText"/>
      </w:pPr>
      <w:r>
        <w:rPr>
          <w:rFonts w:ascii="Amiri" w:hAnsi="Amiri" w:eastAsia="Amiri" w:cs="Amiri"/>
          <w:lang w:bidi="ar-SA"/>
          <w:color w:val="111111"/>
          <w:sz w:val="28"/>
          <w:szCs w:val="28"/>
          <w:rtl/>
        </w:rPr>
        <w:t xml:space="preserve">آغاز: بسمله الحمد لله اما بعد فان جماعه من اهل العلم؛ انجام: الجزء الاول من كتب الاستذكار بحمدلله و عونه</w:t>
      </w:r>
    </w:p>
    <w:p>
      <w:pPr>
        <w:pStyle w:val="BookText"/>
      </w:pPr>
      <w:r>
        <w:rPr>
          <w:rFonts w:ascii="IRNazanin" w:hAnsi="IRNazanin" w:eastAsia="IRNazanin" w:cs="IRNazanin"/>
          <w:lang w:bidi="fa-IR"/>
          <w:color w:val="111111"/>
          <w:sz w:val="28"/>
          <w:szCs w:val="28"/>
          <w:rtl/>
        </w:rPr>
        <w:t xml:space="preserve">خط: نسخ، کا ،شافعی، مصطفى بن محب الدین، تا: قرن ۸[رایانه]</w:t>
      </w:r>
    </w:p>
    <w:p>
      <w:pPr>
        <w:pStyle w:val="BookText"/>
      </w:pPr>
      <w:r>
        <w:rPr>
          <w:rFonts w:ascii="IRNazanin" w:hAnsi="IRNazanin" w:eastAsia="IRNazanin" w:cs="IRNazanin"/>
          <w:lang w:bidi="fa-IR"/>
          <w:color w:val="111111"/>
          <w:sz w:val="28"/>
          <w:szCs w:val="28"/>
          <w:rtl/>
        </w:rPr>
        <w:t xml:space="preserve">٢. شیراز؛ علامه طباطبائی؛ شماره نسخه: ۱۴۷۰</w:t>
      </w:r>
    </w:p>
    <w:p>
      <w:pPr>
        <w:pStyle w:val="BookText"/>
      </w:pPr>
      <w:r>
        <w:rPr>
          <w:rFonts w:ascii="IRNazanin" w:hAnsi="IRNazanin" w:eastAsia="IRNazanin" w:cs="IRNazanin"/>
          <w:lang w:bidi="fa-IR"/>
          <w:color w:val="111111"/>
          <w:sz w:val="28"/>
          <w:szCs w:val="28"/>
          <w:rtl/>
        </w:rPr>
        <w:t xml:space="preserve">خط: نسخ، بی کا، تا: قرن ۹، تملک: شجاع بن علی حسینی شعبان ۹۸۵، محمد سلمان حسینی با مهر «عبده محمد سلمان الحسينى» (۱۰۸۱ ،(چهارگوش) ابو منصور محمد بن منصور بن محمد مشهور به صدر دشتکی حسنی حسینی شیرازی سال ۹۶۳؛ ۴۸۸گ، اندازه: ۱۹/۵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۲۸سم [ نسخه پژوهی: ۲ – ۱۱۲ و ۱-۱۸]</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دانشگاه؛ شماره نسخه: ۹۷۸</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بی کا، تا: قرن ۱۰ و ۱۱؛ کاتب باسواد بوده و نسخه را برای خویش نوشته و حاشیه ها از خود بر آن نگاشته آن نگاشته و از قاموس اللغة و نووى وسراج الدین بلقینی و دار قطنی و اصابه ابن حجر و کازرونی و جواهر السلوک و نتایج ابکار الافکار از کشی و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بسیاری از کسان و کتاب های دیگر در این حاشیه ها بسیار نام برده از این حاشیه ها بر می آید که کاتب بسیاری از کتاب هـای رجال را که اکنون نایاب می باشد در دست داشته است، آغاز انجام بخش یکم (در نام ها) و همچنین آغاز بخش دوم (کنیت ها)   درست می باشد ولیکن انجام بخش دوم افتاده و فقط تا (ه) تا ترجمه «ابوهریره الدوسی» را در بردارد ؛کاغذ: ترمه نخدی رنگ جلد: تیماج مشکی فشرده درون  ابری، ۲۷۷گ، ۳۱ سـطر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۳۱سم [ف: ۲ - ۵۰۱]</w:t>
      </w:r>
    </w:p>
    <w:p>
      <w:pPr>
        <w:pStyle w:val="BookText"/>
      </w:pPr>
      <w:r>
        <w:rPr>
          <w:rFonts w:ascii="IRNazanin" w:hAnsi="IRNazanin" w:eastAsia="IRNazanin" w:cs="IRNazanin"/>
          <w:lang w:bidi="fa-IR"/>
          <w:color w:val="111111"/>
          <w:sz w:val="28"/>
          <w:szCs w:val="28"/>
          <w:rtl/>
        </w:rPr>
        <w:t xml:space="preserve">۴. مشهد؛ رضوی؛ شماره نسخه: ۲۲۲۶۴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حافظ سید الله بخش زنجانی، تا: ۱۸ ربیع الاول،۱۰۷۸ق، جا: دارالسلطنه لاهور سند؛ مصحح، در اول نسخه چند یادداشت به عرض رسید در تاریخ های ۲۰ صفر ۱۰۹۵ و ۱۲ ربیع الأول ۱۰۹۶ و ۲۲ شعبان ۱۱۱۵ق؛ اهدایی  رهبری، فروردین ۱۳۷۴؛ کاغذ: نخودی ،جلد: گالینگور آبی ۳۲۱گ، ۲۷ سـطر ،اندازه: ۲۰/۵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۳۰سم [ اهدائی :رهبر ۸ - ۱۴۵] و [ف: ۲۷-۵۳]</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قم؛ مرعشی؛ شماره نسخه: ۵۰۶۴</w:t>
      </w:r>
    </w:p>
    <w:p>
      <w:pPr>
        <w:pStyle w:val="BookText"/>
      </w:pPr>
      <w:r>
        <w:rPr>
          <w:rFonts w:ascii="IRNazanin" w:hAnsi="IRNazanin" w:eastAsia="IRNazanin" w:cs="IRNazanin"/>
          <w:lang w:bidi="fa-IR"/>
          <w:color w:val="111111"/>
          <w:sz w:val="28"/>
          <w:szCs w:val="28"/>
          <w:rtl/>
        </w:rPr>
        <w:t xml:space="preserve">خط: نسخ  زیبا، بی کا، تا: قرن ۱۳ ،مصحح، محشی ،جلد: تیماج مشکی ضربی با مهرهای مقرنص «ابراهيم بن محمد باقر» ۲۷۴گ، ۲۹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۳۵سم [ف: ۱۳ – ۲۶۰]</w:t>
      </w:r>
    </w:p>
    <w:p>
      <w:pPr>
        <w:pStyle w:val="BookText"/>
      </w:pPr>
      <w:r>
        <w:rPr>
          <w:rFonts w:ascii="IRNazanin" w:hAnsi="IRNazanin" w:eastAsia="IRNazanin" w:cs="IRNazanin"/>
          <w:lang w:bidi="fa-IR"/>
          <w:color w:val="111111"/>
          <w:sz w:val="28"/>
          <w:szCs w:val="28"/>
          <w:rtl/>
        </w:rPr>
        <w:t xml:space="preserve">۶. مشهد؛ رضوی شماره نسخه: ۱۴۲۰۵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خط:نسخ، بی کا، تا: ۱۴ یا ۱۷  رجب ۱۲۰۱ق؛ ، مصحح، مقابله شده؛ پشت ورق اول ترجمه و زندگینامه مؤلف در ده سطر به قلم حسن بن حسین تملک: حسن بن علی از هری مدرس حرم شریف نبوی در ۱۲۳۵، محمد مهدی بن على بن يوسف حسنی حسینی طباطبائی در سال ۱۳۱۹؛ کاظم امیرالحسینی العاملی در ۱۳۰۲ ؛واقف: سيد محمد باقر سبزواری،محرم ۱۴۰۵؛ کاغذ: نخودی آهار مهره، جلد: تیماج مشکی ضربی با ترنج، ۳۳۷گ،  ۳۱  سطر،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۳۱سم [ف: ۲۷ - ۵۲]</w:t>
      </w:r>
    </w:p>
    <w:p>
      <w:pPr>
        <w:pStyle w:val="BookText"/>
      </w:pPr>
      <w:r>
        <w:rPr>
          <w:rFonts w:ascii="IRNazanin" w:hAnsi="IRNazanin" w:eastAsia="IRNazanin" w:cs="IRNazanin"/>
          <w:lang w:bidi="fa-IR"/>
          <w:color w:val="111111"/>
          <w:sz w:val="28"/>
          <w:szCs w:val="28"/>
          <w:rtl/>
        </w:rPr>
        <w:t xml:space="preserve">۷. تهران؛ ملی؛ شماره نسخه: ۱۲۲۷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۱۲۷۲ق؛ کاغذ: دولت آبادی ،جلد: تیماج تریاکی  روشن، ۳۲۴گ، ۲۵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  [ف: ۹ - ۲۱۱]</w:t>
      </w:r>
    </w:p>
    <w:p>
      <w:pPr>
        <w:pStyle w:val="BookText"/>
      </w:pPr>
      <w:r>
        <w:rPr>
          <w:rFonts w:ascii="IRNazanin" w:hAnsi="IRNazanin" w:eastAsia="IRNazanin" w:cs="IRNazanin"/>
          <w:lang w:bidi="fa-IR"/>
          <w:color w:val="111111"/>
          <w:sz w:val="28"/>
          <w:szCs w:val="28"/>
          <w:rtl/>
        </w:rPr>
        <w:t xml:space="preserve">۸. تهران؛ ملک؛ شماره نسخه: ۹۶۸</w:t>
      </w:r>
    </w:p>
    <w:p>
      <w:pPr>
        <w:pStyle w:val="BookText"/>
      </w:pPr>
      <w:r>
        <w:rPr>
          <w:rFonts w:ascii="IRNazanin" w:hAnsi="IRNazanin" w:eastAsia="IRNazanin" w:cs="IRNazanin"/>
          <w:lang w:bidi="fa-IR"/>
          <w:color w:val="111111"/>
          <w:sz w:val="28"/>
          <w:szCs w:val="28"/>
          <w:rtl/>
        </w:rPr>
        <w:t xml:space="preserve">كتاب الكنی است؛ خط: نسخ، کا: محمد باقر، تا: سه شنبه 11شوال ۱۲۷۴ق؛ کاغذ: فرنگی آهار مهره ،جلد: میشن قهوه ای لایی ،مجدول ،۱۲۶گ، ۱۷ سطر اندازه: ۱۷/۷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۲۱/۱سم [ف: ۱ - ۳۱  ]</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تهران؛ سپهسالار؛ شماره نسخه: ۲۶۹۴</w:t>
      </w:r>
    </w:p>
    <w:p>
      <w:pPr>
        <w:pStyle w:val="BookText"/>
      </w:pPr>
      <w:r>
        <w:rPr>
          <w:rFonts w:ascii="IRNazanin" w:hAnsi="IRNazanin" w:eastAsia="IRNazanin" w:cs="IRNazanin"/>
          <w:lang w:bidi="fa-IR"/>
          <w:color w:val="111111"/>
          <w:sz w:val="28"/>
          <w:szCs w:val="28"/>
          <w:rtl/>
        </w:rPr>
        <w:t xml:space="preserve">خط: نسخ، بی کا، تا :چهارشنبه ربیع الثانی ۱۲۷۴ق؛ کاغذ: فرنگی؛ جلد: تیماج سرخ مقوا ضربی، ۲۹۱گ، ۲۸ سطر،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۳۶سم [ف: ۳ - ۱۲۴]</w:t>
      </w:r>
    </w:p>
    <w:p>
      <w:pPr>
        <w:pStyle w:val="BookText"/>
      </w:pPr>
      <w:r>
        <w:rPr>
          <w:rFonts w:ascii="IRNazanin" w:hAnsi="IRNazanin" w:eastAsia="IRNazanin" w:cs="IRNazanin"/>
          <w:lang w:bidi="fa-IR"/>
          <w:color w:val="111111"/>
          <w:sz w:val="28"/>
          <w:szCs w:val="28"/>
          <w:rtl/>
        </w:rPr>
        <w:t xml:space="preserve">۱۰. قم؛ مرعشی؛ شماره نسخه: ۱۳۵۱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و نستعلیق، کا: محمد علی بن احمد اصفهانی عقدایی، تا: ۶ ربیع الاول ۱۲۷۷ق، به دستور عبدالحسین خان و پس از دو سال از مرگش به دستور فرزندش آقا احمد خان تکمیل شد؛ محشی ،جلد: تیماج ،مشکی، ۲۵۸گ، ۲۹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۳۰/۵سم [ف: ۴ - ۱۲۸]</w:t>
      </w:r>
    </w:p>
    <w:p>
      <w:pPr>
        <w:pStyle w:val="BookText"/>
      </w:pPr>
      <w:r>
        <w:rPr>
          <w:rFonts w:ascii="IRNazanin" w:hAnsi="IRNazanin" w:eastAsia="IRNazanin" w:cs="IRNazanin"/>
          <w:lang w:bidi="fa-IR"/>
          <w:color w:val="111111"/>
          <w:sz w:val="28"/>
          <w:szCs w:val="28"/>
          <w:rtl/>
        </w:rPr>
        <w:t xml:space="preserve">۱۱. قم؛ مرعشی؛ شماره نسخه: ۱۱۲۰۱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خوش، بی کا، تا: ۱۲۷۷ق دارای ۵ سرلوح، مجدول ،کاغذ ،فرنگی آهار مهره، جلد: دو رو روغنی، برون زمینه مرقش قهوه ای و گل و برگ زیبا درون لاکی با ترنج و لچک ترنج اسلیمی، ۲۶۵گ، ۲۹ سطر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 اندازه: ۲۰/۵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۳۰سم [ف:۲۹۰ - ۲۸  ]</w:t>
      </w:r>
    </w:p>
    <w:p>
      <w:pPr>
        <w:pStyle w:val="BookText"/>
      </w:pPr>
      <w:r>
        <w:rPr>
          <w:rFonts w:ascii="IRNazanin" w:hAnsi="IRNazanin" w:eastAsia="IRNazanin" w:cs="IRNazanin"/>
          <w:lang w:bidi="fa-IR"/>
          <w:color w:val="111111"/>
          <w:sz w:val="28"/>
          <w:szCs w:val="28"/>
          <w:rtl/>
        </w:rPr>
        <w:t xml:space="preserve">۱۲. تهران؛ مجلس؛ شماره نسخه: ۱۶ خوئی</w:t>
      </w:r>
    </w:p>
    <w:p>
      <w:pPr>
        <w:pStyle w:val="BookText"/>
      </w:pPr>
      <w:r>
        <w:rPr>
          <w:rFonts w:ascii="IRNazanin" w:hAnsi="IRNazanin" w:eastAsia="IRNazanin" w:cs="IRNazanin"/>
          <w:lang w:bidi="fa-IR"/>
          <w:color w:val="111111"/>
          <w:sz w:val="28"/>
          <w:szCs w:val="28"/>
          <w:rtl/>
        </w:rPr>
        <w:t xml:space="preserve">آغا:ز آغاز نسخه ،بسمله فى اسماء المذكورين في الروايات و سایر الآثار؛ انجام: برابر</w:t>
      </w:r>
    </w:p>
    <w:p>
      <w:pPr>
        <w:pStyle w:val="BookText"/>
      </w:pPr>
      <w:r>
        <w:rPr>
          <w:rFonts w:ascii="IRNazanin" w:hAnsi="IRNazanin" w:eastAsia="IRNazanin" w:cs="IRNazanin"/>
          <w:lang w:bidi="fa-IR"/>
          <w:color w:val="111111"/>
          <w:sz w:val="28"/>
          <w:szCs w:val="28"/>
          <w:rtl/>
        </w:rPr>
        <w:t xml:space="preserve">خط: نسخ، کا: ملا علی ریزی  لنجانی، تا: ۱۲۸۳ق؛ محشی به نقل از کتب لغت و اخبار و شروح کتب  اخبار، باب کنیه های زنان که در آخر کتاب است جداگانه پس از دو صفحه سفید آمده؛ مهر: محمد جعفر بن سلطان العلماء؛ كاغذ: ۳۵ کاغذ. فرنگی آهار مهره، جلد: تيماج ضربی قرمز روشن، ۳۵ سطر، قطع: رحلی،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۳۴سم [ف: ۷ - ۱۲]</w:t>
      </w:r>
    </w:p>
    <w:p>
      <w:pPr>
        <w:pStyle w:val="BookText"/>
      </w:pPr>
      <w:r>
        <w:rPr>
          <w:rFonts w:ascii="IRNazanin" w:hAnsi="IRNazanin" w:eastAsia="IRNazanin" w:cs="IRNazanin"/>
          <w:lang w:bidi="fa-IR"/>
          <w:color w:val="111111"/>
          <w:sz w:val="28"/>
          <w:szCs w:val="28"/>
          <w:rtl/>
        </w:rPr>
        <w:t xml:space="preserve">۱۳ . مشهد؛ رضوی؛ شماره نسخه: ۳۶۲۳</w:t>
      </w:r>
    </w:p>
    <w:p>
      <w:pPr>
        <w:pStyle w:val="BookText"/>
      </w:pPr>
      <w:r>
        <w:rPr>
          <w:rFonts w:ascii="Amiri" w:hAnsi="Amiri" w:eastAsia="Amiri" w:cs="Amiri"/>
          <w:lang w:bidi="ar-SA"/>
          <w:color w:val="111111"/>
          <w:sz w:val="28"/>
          <w:szCs w:val="28"/>
          <w:rtl/>
        </w:rPr>
        <w:t xml:space="preserve">آغاز: برابر؛ انجام: وسلم تسليما كثيرا والحمد لله رب العالمين</w:t>
      </w:r>
    </w:p>
    <w:p>
      <w:pPr>
        <w:pStyle w:val="BookText"/>
      </w:pPr>
      <w:r>
        <w:rPr>
          <w:rFonts w:ascii="IRNazanin" w:hAnsi="IRNazanin" w:eastAsia="IRNazanin" w:cs="IRNazanin"/>
          <w:lang w:bidi="fa-IR"/>
          <w:color w:val="111111"/>
          <w:sz w:val="28"/>
          <w:szCs w:val="28"/>
          <w:rtl/>
        </w:rPr>
        <w:t xml:space="preserve">خط: نسخ خوب و ریز، کا: ابوالقاسم بن ملا علی، تا: ۱۲۸۶ق؛ محشى؛ واقف: نائینی؛ ۲۶۳گ، ۲۵ سطر، اندازه: ۲۷/۵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۳۵/۵سم  [ف ۶ - ۵۸۵ ]</w:t>
      </w:r>
    </w:p>
    <w:p>
      <w:pPr>
        <w:pStyle w:val="BookText"/>
      </w:pPr>
      <w:r>
        <w:rPr>
          <w:rFonts w:ascii="IRNazanin" w:hAnsi="IRNazanin" w:eastAsia="IRNazanin" w:cs="IRNazanin"/>
          <w:lang w:bidi="fa-IR"/>
          <w:color w:val="111111"/>
          <w:sz w:val="28"/>
          <w:szCs w:val="28"/>
          <w:rtl/>
        </w:rPr>
        <w:t xml:space="preserve">۱۴. تهران؛ فرهاد معتمد؛ شماره نسخه: ۲۶</w:t>
      </w:r>
    </w:p>
    <w:p>
      <w:pPr>
        <w:pStyle w:val="BookText"/>
      </w:pPr>
      <w:r>
        <w:rPr>
          <w:rFonts w:ascii="IRNazanin" w:hAnsi="IRNazanin" w:eastAsia="IRNazanin" w:cs="IRNazanin"/>
          <w:lang w:bidi="fa-IR"/>
          <w:color w:val="111111"/>
          <w:sz w:val="28"/>
          <w:szCs w:val="28"/>
          <w:rtl/>
        </w:rPr>
        <w:t xml:space="preserve">خط: نسخ، کا: احمد کردستانی ،جوانرودی، تا: ۱۲۸۷ق به دستور فرهاد میرزا محشی با سرگذشت مؤلف به خط همین شاهزاده در  پایان مورخ 25محرم :۱۲۷۸ :کاغذ فرنگی آهار مهره جلد: تیماج مشکی ضربی ۲۹ سطر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۲۶/۵)، اندازه: ۲۱/۵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۳۵سم  [نشریه: ۳ - ۱۴۸]</w:t>
      </w:r>
    </w:p>
    <w:p>
      <w:pPr>
        <w:pStyle w:val="BookText"/>
      </w:pPr>
      <w:r>
        <w:rPr>
          <w:rFonts w:ascii="IRNazanin" w:hAnsi="IRNazanin" w:eastAsia="IRNazanin" w:cs="IRNazanin"/>
          <w:lang w:bidi="fa-IR"/>
          <w:color w:val="111111"/>
          <w:sz w:val="28"/>
          <w:szCs w:val="28"/>
          <w:rtl/>
        </w:rPr>
        <w:t xml:space="preserve">۱۵ . مشهد؛ رضوی؛ شماره نسخه: ۳۶۲۲</w:t>
      </w:r>
    </w:p>
    <w:p>
      <w:pPr>
        <w:pStyle w:val="BookText"/>
      </w:pPr>
      <w:r>
        <w:rPr>
          <w:rFonts w:ascii="IRNazanin" w:hAnsi="IRNazanin" w:eastAsia="IRNazanin" w:cs="IRNazanin"/>
          <w:lang w:bidi="fa-IR"/>
          <w:color w:val="111111"/>
          <w:sz w:val="28"/>
          <w:szCs w:val="28"/>
          <w:rtl/>
        </w:rPr>
        <w:t xml:space="preserve">آغاز: كتاب الاستيعاب فى اسماء المذكورين فى الروايات و سایر  الاثار</w:t>
      </w:r>
    </w:p>
    <w:p>
      <w:pPr>
        <w:pStyle w:val="BookText"/>
      </w:pPr>
      <w:r>
        <w:rPr>
          <w:rFonts w:ascii="IRNazanin" w:hAnsi="IRNazanin" w:eastAsia="IRNazanin" w:cs="IRNazanin"/>
          <w:lang w:bidi="fa-IR"/>
          <w:color w:val="111111"/>
          <w:sz w:val="28"/>
          <w:szCs w:val="28"/>
          <w:rtl/>
        </w:rPr>
        <w:t xml:space="preserve">خط: نسخ و شکسته نستعلیق، بی کا، بی تا؛ صدر نسخه یک صفحه و دوازده سطر در توصیف کتاب و ترجمه مؤلف است نسخه در ملکیت شاهزاده حاج فرهاد میرزا معتمد الدوله بوده و آن را در شب دوشنبه ۱۴ شعبان ۱۲۷۷ تصحیح و مقابله نموده، واقف: نائینی؛ ۳۷۷گ، ۲۸ و ۲۹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۳۲/۵سم [ف: ۶ - ۵۸۵]</w:t>
      </w:r>
    </w:p>
    <w:p>
      <w:pPr>
        <w:pStyle w:val="BookText"/>
      </w:pPr>
      <w:r>
        <w:rPr>
          <w:rFonts w:ascii="IRNazanin" w:hAnsi="IRNazanin" w:eastAsia="IRNazanin" w:cs="IRNazanin"/>
          <w:lang w:bidi="fa-IR"/>
          <w:color w:val="111111"/>
          <w:sz w:val="28"/>
          <w:szCs w:val="28"/>
          <w:rtl/>
        </w:rPr>
        <w:t xml:space="preserve">۱۶. تهران؛ دانشگاه شماره نسخه: ۵۴۷۷-ف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13" w:name="pg20365_260313"/>
    <w:bookmarkEnd w:id="213"/>
    <w:p>
      <w:pPr>
        <w:pStyle w:val="BookText"/>
      </w:pPr>
      <w:r>
        <w:rPr>
          <w:rFonts w:ascii="IRNazanin" w:hAnsi="IRNazanin" w:eastAsia="IRNazanin" w:cs="IRNazanin"/>
          <w:lang w:bidi="fa-IR"/>
          <w:color w:val="111111"/>
          <w:sz w:val="28"/>
          <w:szCs w:val="28"/>
          <w:rtl/>
        </w:rPr>
        <w:t xml:space="preserve">نسخه اصل: دانشگاه توبینگن 11 </w:t>
      </w:r>
      <w:r>
        <w:rPr>
          <w:rFonts w:ascii="Times New Roman" w:hAnsi="Times New Roman" w:eastAsia="Times New Roman" w:cs="Times New Roman"/>
          <w:lang w:val="en-US" w:bidi="en-US"/>
          <w:color w:val="111111"/>
          <w:sz w:val="28"/>
          <w:szCs w:val="28"/>
          <w:rtl/>
        </w:rPr>
        <w:t xml:space="preserve">MVT </w:t>
      </w:r>
      <w:r>
        <w:rPr>
          <w:rFonts w:ascii="IRNazanin" w:hAnsi="IRNazanin" w:eastAsia="IRNazanin" w:cs="IRNazanin"/>
          <w:lang w:bidi="fa-IR"/>
          <w:color w:val="111111"/>
          <w:sz w:val="28"/>
          <w:szCs w:val="28"/>
          <w:rtl/>
        </w:rPr>
        <w:t xml:space="preserve">خط:نسخ، بی کا، بی تا: [ فیلم ها-ف: ۳ - ۱۵۶]</w:t>
      </w:r>
    </w:p>
    <w:p>
      <w:pPr>
        <w:pStyle w:val="Heading3"/>
      </w:pPr>
      <w:bookmarkStart w:id="1255" w:name="_Toc777"/>
      <w:r>
        <w:t>الاستيعاب من كتاب / کلام و اعتقادات / عربی</w:t>
      </w:r>
      <w:bookmarkEnd w:id="1255"/>
    </w:p>
    <w:p>
      <w:pPr>
        <w:pStyle w:val="BookText"/>
      </w:pPr>
      <w:r>
        <w:rPr>
          <w:rFonts w:ascii="Times New Roman" w:hAnsi="Times New Roman" w:eastAsia="Times New Roman" w:cs="Times New Roman"/>
          <w:lang w:val="en-US" w:bidi="en-US"/>
          <w:color w:val="111111"/>
          <w:sz w:val="28"/>
          <w:szCs w:val="28"/>
          <w:rtl/>
        </w:rPr>
        <w:t xml:space="preserve">(al-istī‘āb (min kitāb-i)</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مجلس؛ شماره نسخه: ۸۹۳۲/۱۸</w:t>
      </w:r>
    </w:p>
    <w:p>
      <w:pPr>
        <w:pStyle w:val="BookText"/>
      </w:pPr>
      <w:r>
        <w:rPr>
          <w:rFonts w:ascii="IRNazanin" w:hAnsi="IRNazanin" w:eastAsia="IRNazanin" w:cs="IRNazanin"/>
          <w:lang w:bidi="fa-IR"/>
          <w:color w:val="111111"/>
          <w:sz w:val="28"/>
          <w:szCs w:val="28"/>
          <w:rtl/>
        </w:rPr>
        <w:t xml:space="preserve">آغاز: صفة مولانا امير المومنين على بن ابى طالب عليه السلام كتاب الاستيعاب للشيخ الحافظ ابى عمر يوسف بن عبدالله محمد بن عبدالبر النحوى كان عليه السلم ربعة من الرجال  الی القصر</w:t>
      </w:r>
    </w:p>
    <w:p>
      <w:pPr>
        <w:pStyle w:val="BookText"/>
      </w:pPr>
      <w:r>
        <w:rPr>
          <w:rFonts w:ascii="IRNazanin" w:hAnsi="IRNazanin" w:eastAsia="IRNazanin" w:cs="IRNazanin"/>
          <w:lang w:bidi="fa-IR"/>
          <w:color w:val="111111"/>
          <w:sz w:val="28"/>
          <w:szCs w:val="28"/>
          <w:rtl/>
        </w:rPr>
        <w:t xml:space="preserve">خط: نسخ  تحریری، کا: محمد بن علی بن حسن جباعی، تا: شـنبه ۱۸ شوال ۸۵۲ق ؛کاغذ: نخودی آهار مهره ؛جلد: میشن بنفش، اص ،(۵۸) اندازه: ۱۸/۲۲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۲۸سم [ف: ۲۹/۱۸ - ۳۸۴]</w:t>
      </w:r>
    </w:p>
    <w:p>
      <w:pPr>
        <w:pStyle w:val="BookText"/>
      </w:pPr>
      <w:r>
        <w:rPr>
          <w:rFonts w:ascii="IRNazanin" w:hAnsi="IRNazanin" w:eastAsia="IRNazanin" w:cs="IRNazanin"/>
          <w:lang w:bidi="fa-IR"/>
          <w:color w:val="111111"/>
          <w:sz w:val="28"/>
          <w:szCs w:val="28"/>
          <w:rtl/>
        </w:rPr>
        <w:t xml:space="preserve">«استیعاب الوجوه الممكنة فى صنعة الاسطرلاب » زيج</w:t>
      </w:r>
    </w:p>
    <w:p>
      <w:pPr>
        <w:pStyle w:val="BookText"/>
      </w:pPr>
      <w:r>
        <w:rPr>
          <w:rFonts w:ascii="Amiri" w:hAnsi="Amiri" w:eastAsia="Amiri" w:cs="Amiri"/>
          <w:lang w:bidi="ar-SA"/>
          <w:color w:val="111111"/>
          <w:sz w:val="28"/>
          <w:szCs w:val="28"/>
          <w:rtl/>
        </w:rPr>
        <w:t xml:space="preserve">«استيعاب الوجوه الممكنة فى صنعة الاسطرلاب » الاستيعاب في الاسطرلاب</w:t>
      </w:r>
    </w:p>
    <w:p>
      <w:pPr>
        <w:pStyle w:val="BookText"/>
      </w:pPr>
      <w:r>
        <w:rPr>
          <w:rFonts w:ascii="Amiri" w:hAnsi="Amiri" w:eastAsia="Amiri" w:cs="Amiri"/>
          <w:lang w:bidi="ar-SA"/>
          <w:color w:val="111111"/>
          <w:sz w:val="28"/>
          <w:szCs w:val="28"/>
          <w:rtl/>
        </w:rPr>
        <w:t xml:space="preserve">«الاستيفاء » الشافى (مختصر)</w:t>
      </w:r>
    </w:p>
    <w:p>
      <w:pPr>
        <w:pStyle w:val="Heading3"/>
      </w:pPr>
      <w:bookmarkStart w:id="1256" w:name="_Toc778"/>
      <w:r>
        <w:t>الاستيفاء / رياضيات / عربی</w:t>
      </w:r>
      <w:bookmarkEnd w:id="1256"/>
    </w:p>
    <w:p>
      <w:pPr>
        <w:pStyle w:val="BookText"/>
      </w:pPr>
      <w:r>
        <w:rPr>
          <w:rFonts w:ascii="Times New Roman" w:hAnsi="Times New Roman" w:eastAsia="Times New Roman" w:cs="Times New Roman"/>
          <w:lang w:val="en-US" w:bidi="en-US"/>
          <w:color w:val="111111"/>
          <w:sz w:val="28"/>
          <w:szCs w:val="28"/>
          <w:rtl/>
        </w:rPr>
        <w:t xml:space="preserve">al-istīfā</w:t>
      </w:r>
    </w:p>
    <w:p>
      <w:pPr>
        <w:pStyle w:val="BookText"/>
      </w:pPr>
      <w:r>
        <w:rPr>
          <w:rFonts w:ascii="IRNazanin" w:hAnsi="IRNazanin" w:eastAsia="IRNazanin" w:cs="IRNazanin"/>
          <w:lang w:bidi="fa-IR"/>
          <w:color w:val="111111"/>
          <w:sz w:val="28"/>
          <w:szCs w:val="28"/>
          <w:rtl/>
        </w:rPr>
        <w:t xml:space="preserve">کرمانی، محمد کریم بن ابراهیم، ۱۲۲۵ - ۱۲۸۸ قمری</w:t>
      </w:r>
    </w:p>
    <w:p>
      <w:pPr>
        <w:pStyle w:val="BookText"/>
      </w:pPr>
      <w:r>
        <w:rPr>
          <w:rFonts w:ascii="Times New Roman" w:hAnsi="Times New Roman" w:eastAsia="Times New Roman" w:cs="Times New Roman"/>
          <w:lang w:val="en-US" w:bidi="en-US"/>
          <w:color w:val="111111"/>
          <w:sz w:val="28"/>
          <w:szCs w:val="28"/>
          <w:rtl/>
        </w:rPr>
        <w:t xml:space="preserve">(1771-kermānī, mohammad karīm ebn-e ebrāhīm (1810 -</w:t>
      </w:r>
    </w:p>
    <w:p>
      <w:pPr>
        <w:pStyle w:val="BookText"/>
      </w:pPr>
      <w:r>
        <w:rPr>
          <w:rFonts w:ascii="IRNazanin" w:hAnsi="IRNazanin" w:eastAsia="IRNazanin" w:cs="IRNazanin"/>
          <w:lang w:bidi="fa-IR"/>
          <w:color w:val="111111"/>
          <w:sz w:val="28"/>
          <w:szCs w:val="28"/>
          <w:rtl/>
        </w:rPr>
        <w:t xml:space="preserve">وابسته به: الملل و النحل = ملل و نحل شهرستانی؛ شهرستانی، محمد بن عبدالکریم (۴۷۹-۵۴۸)</w:t>
      </w:r>
    </w:p>
    <w:p>
      <w:pPr>
        <w:pStyle w:val="BookText"/>
      </w:pPr>
      <w:r>
        <w:rPr>
          <w:rFonts w:ascii="IRNazanin" w:hAnsi="IRNazanin" w:eastAsia="IRNazanin" w:cs="IRNazanin"/>
          <w:lang w:bidi="fa-IR"/>
          <w:color w:val="111111"/>
          <w:sz w:val="28"/>
          <w:szCs w:val="28"/>
          <w:rtl/>
        </w:rPr>
        <w:t xml:space="preserve">تاریخ تأليف: ۲۱ رجب ۱۲۵۲ق</w:t>
      </w:r>
    </w:p>
    <w:p>
      <w:pPr>
        <w:pStyle w:val="BookText"/>
      </w:pPr>
      <w:r>
        <w:rPr>
          <w:rFonts w:ascii="IRNazanin" w:hAnsi="IRNazanin" w:eastAsia="IRNazanin" w:cs="IRNazanin"/>
          <w:lang w:bidi="fa-IR"/>
          <w:color w:val="111111"/>
          <w:sz w:val="28"/>
          <w:szCs w:val="28"/>
          <w:rtl/>
        </w:rPr>
        <w:t xml:space="preserve">تعلیقاتی است که در پاسخ سید محمود مفتی بغدادی به دستور سید محمد کاظم بن قاسم رشتی بر مقدمه پنجم «الملل و النحل» شهرستانی نگاشته است.</w:t>
      </w:r>
    </w:p>
    <w:p>
      <w:pPr>
        <w:pStyle w:val="BookText"/>
      </w:pPr>
      <w:r>
        <w:rPr>
          <w:rFonts w:ascii="IRNazanin" w:hAnsi="IRNazanin" w:eastAsia="IRNazanin" w:cs="IRNazanin"/>
          <w:lang w:bidi="fa-IR"/>
          <w:color w:val="111111"/>
          <w:sz w:val="28"/>
          <w:szCs w:val="28"/>
          <w:rtl/>
        </w:rPr>
        <w:t xml:space="preserve">[فهرست مشایخ ۲۳۲/۲]</w:t>
      </w:r>
    </w:p>
    <w:p>
      <w:pPr>
        <w:pStyle w:val="BookText"/>
      </w:pPr>
      <w:r>
        <w:rPr>
          <w:rFonts w:ascii="IRNazanin" w:hAnsi="IRNazanin" w:eastAsia="IRNazanin" w:cs="IRNazanin"/>
          <w:lang w:bidi="fa-IR"/>
          <w:color w:val="111111"/>
          <w:sz w:val="28"/>
          <w:szCs w:val="28"/>
          <w:rtl/>
        </w:rPr>
        <w:t xml:space="preserve">تهران؛ ملک؛ شماره نسخه: ۶۷۵۶</w:t>
      </w:r>
    </w:p>
    <w:p>
      <w:pPr>
        <w:pStyle w:val="BookText"/>
      </w:pPr>
      <w:r>
        <w:rPr>
          <w:rFonts w:ascii="IRNazanin" w:hAnsi="IRNazanin" w:eastAsia="IRNazanin" w:cs="IRNazanin"/>
          <w:lang w:bidi="fa-IR"/>
          <w:color w:val="111111"/>
          <w:sz w:val="28"/>
          <w:szCs w:val="28"/>
          <w:rtl/>
        </w:rPr>
        <w:t xml:space="preserve">آغاز: رسالة في علم الاستيفاء. بسمله، حمدله، و الصلاة علی محمد سيد المرسلين ... و بعد هذه تعليقات قد كتبهاالعبد ... كریم بن ابراهيم الكرماني على المقدمة الخامسة من كتاب الملل والنحل ؛ انجام: فان النسخة التي نقلت عنها المقدمة المغلوطة جـدا.</w:t>
      </w:r>
    </w:p>
    <w:p>
      <w:pPr>
        <w:pStyle w:val="BookText"/>
      </w:pPr>
      <w:r>
        <w:rPr>
          <w:rFonts w:ascii="IRNazanin" w:hAnsi="IRNazanin" w:eastAsia="IRNazanin" w:cs="IRNazanin"/>
          <w:lang w:bidi="fa-IR"/>
          <w:color w:val="111111"/>
          <w:sz w:val="28"/>
          <w:szCs w:val="28"/>
          <w:rtl/>
        </w:rPr>
        <w:t xml:space="preserve">كتب ذالك العبد الاثيم كريم ابن ابراهيم الكرمانی و ختمه في  لیلة الاربعا لاحدى و عشرین مضين من شهر رجب ۱۲۵۲.</w:t>
      </w:r>
    </w:p>
    <w:p>
      <w:pPr>
        <w:pStyle w:val="BookText"/>
      </w:pPr>
      <w:r>
        <w:rPr>
          <w:rFonts w:ascii="IRNazanin" w:hAnsi="IRNazanin" w:eastAsia="IRNazanin" w:cs="IRNazanin"/>
          <w:lang w:bidi="fa-IR"/>
          <w:color w:val="111111"/>
          <w:sz w:val="28"/>
          <w:szCs w:val="28"/>
          <w:rtl/>
        </w:rPr>
        <w:t xml:space="preserve">خط: ،شکسته، نستعلیق، کا: محمد شریف صهبا، تا: جمعه ۱ رجـب ۱۲۸۱ق، به دستور علاءالملک فرمانروای همدان؛ کاغذ: فرنگی آهار مهره، جلد: رویه میشن تریاکی  لایی، ۱۶گ، ۱۵ سـطر،  اندازه: ۱۴/۶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۲۳/۶سم [ف: ۱ - ۳۲]</w:t>
      </w:r>
    </w:p>
    <w:p>
      <w:pPr>
        <w:pStyle w:val="Heading3"/>
      </w:pPr>
      <w:bookmarkStart w:id="1257" w:name="_Toc779"/>
      <w:r>
        <w:t>استيفاء المنقول فيما يصح ان يدعى به من المجهول / عربي</w:t>
      </w:r>
      <w:bookmarkEnd w:id="1257"/>
    </w:p>
    <w:p>
      <w:pPr>
        <w:pStyle w:val="BookText"/>
      </w:pPr>
      <w:r>
        <w:rPr>
          <w:rFonts w:ascii="Times New Roman" w:hAnsi="Times New Roman" w:eastAsia="Times New Roman" w:cs="Times New Roman"/>
          <w:lang w:val="en-US" w:bidi="en-US"/>
          <w:color w:val="111111"/>
          <w:sz w:val="28"/>
          <w:szCs w:val="28"/>
          <w:rtl/>
        </w:rPr>
        <w:t xml:space="preserve">al-istifa-ul manqul fima yasihhu an yuda bi-hi min-al</w:t>
      </w:r>
    </w:p>
    <w:p>
      <w:pPr>
        <w:pStyle w:val="BookText"/>
      </w:pPr>
      <w:r>
        <w:rPr>
          <w:rFonts w:ascii="Times New Roman" w:hAnsi="Times New Roman" w:eastAsia="Times New Roman" w:cs="Times New Roman"/>
          <w:lang w:val="en-US" w:bidi="en-US"/>
          <w:color w:val="111111"/>
          <w:sz w:val="28"/>
          <w:szCs w:val="28"/>
          <w:rtl/>
        </w:rPr>
        <w:t xml:space="preserve">majhūl</w:t>
      </w:r>
    </w:p>
    <w:p>
      <w:pPr>
        <w:pStyle w:val="BookText"/>
      </w:pPr>
      <w:r>
        <w:rPr>
          <w:rFonts w:ascii="IRNazanin" w:hAnsi="IRNazanin" w:eastAsia="IRNazanin" w:cs="IRNazanin"/>
          <w:lang w:bidi="fa-IR"/>
          <w:color w:val="111111"/>
          <w:sz w:val="28"/>
          <w:szCs w:val="28"/>
          <w:rtl/>
        </w:rPr>
        <w:t xml:space="preserve">حلبی، محمد بن  احمد، – ۸۷۵ قمری</w:t>
      </w:r>
    </w:p>
    <w:p>
      <w:pPr>
        <w:pStyle w:val="BookText"/>
      </w:pPr>
      <w:r>
        <w:rPr>
          <w:rFonts w:ascii="Times New Roman" w:hAnsi="Times New Roman" w:eastAsia="Times New Roman" w:cs="Times New Roman"/>
          <w:lang w:val="en-US" w:bidi="en-US"/>
          <w:color w:val="111111"/>
          <w:sz w:val="28"/>
          <w:szCs w:val="28"/>
          <w:rtl/>
        </w:rPr>
        <w:t xml:space="preserve">(halabī, mohammad ebn-e ahmad (- 1471)</w:t>
      </w:r>
    </w:p>
    <w:p>
      <w:pPr>
        <w:pStyle w:val="BookText"/>
      </w:pPr>
      <w:r>
        <w:rPr>
          <w:rFonts w:ascii="IRNazanin" w:hAnsi="IRNazanin" w:eastAsia="IRNazanin" w:cs="IRNazanin"/>
          <w:lang w:bidi="fa-IR"/>
          <w:color w:val="111111"/>
          <w:sz w:val="28"/>
          <w:szCs w:val="28"/>
          <w:rtl/>
        </w:rPr>
        <w:t xml:space="preserve">قم؛ مرعشی؛ شماره نسخه: ۱۳۵۵/۱۰عکسی</w:t>
      </w:r>
    </w:p>
    <w:p>
      <w:pPr>
        <w:pStyle w:val="BookText"/>
      </w:pPr>
      <w:r>
        <w:rPr>
          <w:rFonts w:ascii="Amiri" w:hAnsi="Amiri" w:eastAsia="Amiri" w:cs="Amiri"/>
          <w:lang w:bidi="ar-SA"/>
          <w:color w:val="111111"/>
          <w:sz w:val="28"/>
          <w:szCs w:val="28"/>
          <w:rtl/>
        </w:rPr>
        <w:t xml:space="preserve">آغاز: بسمله. حمدله. وصلى الله على محمد و آله و صحبه و سلم و بعد فهذا شروع في حصر صور</w:t>
      </w:r>
    </w:p>
    <w:p>
      <w:pPr>
        <w:pStyle w:val="BookText"/>
      </w:pPr>
      <w:r>
        <w:rPr>
          <w:rFonts w:ascii="IRNazanin" w:hAnsi="IRNazanin" w:eastAsia="IRNazanin" w:cs="IRNazanin"/>
          <w:lang w:bidi="fa-IR"/>
          <w:color w:val="111111"/>
          <w:sz w:val="28"/>
          <w:szCs w:val="28"/>
          <w:rtl/>
        </w:rPr>
        <w:t xml:space="preserve">نسخه  اصل: کتابخانه  چستربیتی، شماره ۳۸۴۹؛ خط: نسخ، کاتب -مؤلف، تا: رجب ۸۵۰ق ؛ ۶گ (۱۱۵ - ۱۲۰)،۱۶ سطر [عکسی ف:  4- 112]</w:t>
      </w:r>
    </w:p>
    <w:p>
      <w:pPr>
        <w:pStyle w:val="Heading3"/>
      </w:pPr>
      <w:bookmarkStart w:id="1258" w:name="_Toc780"/>
      <w:r>
        <w:t>استيفاء المهمات / فقه / عربي</w:t>
      </w:r>
      <w:bookmarkEnd w:id="1258"/>
    </w:p>
    <w:p>
      <w:pPr>
        <w:pStyle w:val="BookText"/>
      </w:pPr>
      <w:r>
        <w:rPr>
          <w:rFonts w:ascii="Times New Roman" w:hAnsi="Times New Roman" w:eastAsia="Times New Roman" w:cs="Times New Roman"/>
          <w:lang w:val="en-US" w:bidi="en-US"/>
          <w:color w:val="111111"/>
          <w:sz w:val="28"/>
          <w:szCs w:val="28"/>
          <w:rtl/>
        </w:rPr>
        <w:t xml:space="preserve">istīfā'-ul-muhimmāt</w:t>
      </w:r>
    </w:p>
    <w:p>
      <w:pPr>
        <w:pStyle w:val="BookText"/>
      </w:pPr>
      <w:r>
        <w:rPr>
          <w:rFonts w:ascii="IRNazanin" w:hAnsi="IRNazanin" w:eastAsia="IRNazanin" w:cs="IRNazanin"/>
          <w:lang w:bidi="fa-IR"/>
          <w:color w:val="111111"/>
          <w:sz w:val="28"/>
          <w:szCs w:val="28"/>
          <w:rtl/>
        </w:rPr>
        <w:t xml:space="preserve">رشتی، علی بن محمد، ق ۱۳ قمری</w:t>
      </w:r>
    </w:p>
    <w:p>
      <w:pPr>
        <w:pStyle w:val="BookText"/>
      </w:pPr>
      <w:r>
        <w:rPr>
          <w:rFonts w:ascii="Times New Roman" w:hAnsi="Times New Roman" w:eastAsia="Times New Roman" w:cs="Times New Roman"/>
          <w:lang w:val="en-US" w:bidi="en-US"/>
          <w:color w:val="111111"/>
          <w:sz w:val="28"/>
          <w:szCs w:val="28"/>
          <w:rtl/>
        </w:rPr>
        <w:t xml:space="preserve">(raštī, ‘alī ebn-e mohammad (- 19c)</w:t>
      </w:r>
    </w:p>
    <w:p>
      <w:pPr>
        <w:pStyle w:val="BookText"/>
      </w:pPr>
      <w:r>
        <w:rPr>
          <w:rFonts w:ascii="IRNazanin" w:hAnsi="IRNazanin" w:eastAsia="IRNazanin" w:cs="IRNazanin"/>
          <w:lang w:bidi="fa-IR"/>
          <w:color w:val="111111"/>
          <w:sz w:val="28"/>
          <w:szCs w:val="28"/>
          <w:rtl/>
        </w:rPr>
        <w:t xml:space="preserve">فقه استدلالی بسیار مفصلی است با رد و ایراد بسیار و نقل اقوال  فقها قديم و متأخرين.</w:t>
      </w:r>
    </w:p>
    <w:p>
      <w:pPr>
        <w:pStyle w:val="BookText"/>
      </w:pPr>
      <w:r>
        <w:rPr>
          <w:rFonts w:ascii="IRNazanin" w:hAnsi="IRNazanin" w:eastAsia="IRNazanin" w:cs="IRNazanin"/>
          <w:lang w:bidi="fa-IR"/>
          <w:color w:val="111111"/>
          <w:sz w:val="28"/>
          <w:szCs w:val="28"/>
          <w:rtl/>
        </w:rPr>
        <w:t xml:space="preserve">قم ؛مرعشی؛ شماره نسخه: ۴۵۰۲</w:t>
      </w:r>
    </w:p>
    <w:p>
      <w:pPr>
        <w:pStyle w:val="BookText"/>
      </w:pPr>
      <w:r>
        <w:rPr>
          <w:rFonts w:ascii="Amiri" w:hAnsi="Amiri" w:eastAsia="Amiri" w:cs="Amiri"/>
          <w:lang w:bidi="ar-SA"/>
          <w:color w:val="111111"/>
          <w:sz w:val="28"/>
          <w:szCs w:val="28"/>
          <w:rtl/>
        </w:rPr>
        <w:t xml:space="preserve">آغاز: الحمد لله رب العالمين ... كتاب النكاح و أقسامه ثلاثة القسم الاول في النكاح الدائم</w:t>
      </w:r>
    </w:p>
    <w:p>
      <w:pPr>
        <w:pStyle w:val="BookText"/>
      </w:pPr>
      <w:r>
        <w:rPr>
          <w:rFonts w:ascii="IRNazanin" w:hAnsi="IRNazanin" w:eastAsia="IRNazanin" w:cs="IRNazanin"/>
          <w:lang w:bidi="fa-IR"/>
          <w:color w:val="111111"/>
          <w:sz w:val="28"/>
          <w:szCs w:val="28"/>
          <w:rtl/>
        </w:rPr>
        <w:t xml:space="preserve">جلد چهارم از کتاب نکاح تا کفارات؛ خط: نستعليق، كاتب - مؤلف، بی تا؛ مصحح، روی برگ اول تقریظی است بر کتاب از شیخ جعفر (ظاهراً شيخ جعفر كاشف الغطاء) با مهر «رق الصادق جعفر» (هشت گوشه) که شیخ احمد بن زین الدین احسائی با مهر «احمد بن زین الدین» (بیضی) آن را نیز تصدیق کرده؛ جلد: تیماج مشکی، بدون مقوا، ۲۷۶گ، ۲۲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۱۲-۷۸]</w:t>
      </w:r>
    </w:p>
    <w:p>
      <w:pPr>
        <w:pStyle w:val="Heading3"/>
      </w:pPr>
      <w:bookmarkStart w:id="1259" w:name="_Toc781"/>
      <w:r>
        <w:t>استيفاء المهمات فی العبادات و المعاملات / فقه /  عربی</w:t>
      </w:r>
      <w:bookmarkEnd w:id="1259"/>
    </w:p>
    <w:p>
      <w:pPr>
        <w:pStyle w:val="BookText"/>
      </w:pPr>
      <w:r>
        <w:rPr>
          <w:rFonts w:ascii="Times New Roman" w:hAnsi="Times New Roman" w:eastAsia="Times New Roman" w:cs="Times New Roman"/>
          <w:lang w:val="en-US" w:bidi="en-US"/>
          <w:color w:val="111111"/>
          <w:sz w:val="28"/>
          <w:szCs w:val="28"/>
          <w:rtl/>
        </w:rPr>
        <w:t xml:space="preserve">istīfa'-ul muhimmat fi-l 'ibādāt wa-l muʻāmilāt</w:t>
      </w:r>
    </w:p>
    <w:p>
      <w:pPr>
        <w:pStyle w:val="BookText"/>
      </w:pPr>
      <w:r>
        <w:rPr>
          <w:rFonts w:ascii="IRNazanin" w:hAnsi="IRNazanin" w:eastAsia="IRNazanin" w:cs="IRNazanin"/>
          <w:lang w:bidi="fa-IR"/>
          <w:color w:val="111111"/>
          <w:sz w:val="28"/>
          <w:szCs w:val="28"/>
          <w:rtl/>
        </w:rPr>
        <w:t xml:space="preserve">على بن ميرزا محمد ،ق ۱۳ قمری</w:t>
      </w:r>
    </w:p>
    <w:p>
      <w:pPr>
        <w:pStyle w:val="BookText"/>
      </w:pPr>
      <w:r>
        <w:rPr>
          <w:rFonts w:ascii="Times New Roman" w:hAnsi="Times New Roman" w:eastAsia="Times New Roman" w:cs="Times New Roman"/>
          <w:lang w:val="en-US" w:bidi="en-US"/>
          <w:color w:val="111111"/>
          <w:sz w:val="28"/>
          <w:szCs w:val="28"/>
          <w:rtl/>
        </w:rPr>
        <w:t xml:space="preserve">('alī ebn-e mīrzā mohammad (- 19c)</w:t>
      </w:r>
    </w:p>
    <w:p>
      <w:pPr>
        <w:pStyle w:val="BookText"/>
      </w:pPr>
      <w:r>
        <w:rPr>
          <w:rFonts w:ascii="IRNazanin" w:hAnsi="IRNazanin" w:eastAsia="IRNazanin" w:cs="IRNazanin"/>
          <w:lang w:bidi="fa-IR"/>
          <w:color w:val="111111"/>
          <w:sz w:val="28"/>
          <w:szCs w:val="28"/>
          <w:rtl/>
        </w:rPr>
        <w:t xml:space="preserve">مشهد؛ مدرسه آیة الله خوئی؛ شماره نسخه: ۳۶۹</w:t>
      </w:r>
    </w:p>
    <w:p>
      <w:pPr>
        <w:pStyle w:val="BookText"/>
      </w:pPr>
      <w:r>
        <w:rPr>
          <w:rFonts w:ascii="IRNazanin" w:hAnsi="IRNazanin" w:eastAsia="IRNazanin" w:cs="IRNazanin"/>
          <w:lang w:bidi="fa-IR"/>
          <w:color w:val="111111"/>
          <w:sz w:val="28"/>
          <w:szCs w:val="28"/>
          <w:rtl/>
        </w:rPr>
        <w:t xml:space="preserve">ناتمام مانده؛ کاتب -مؤلف، تا: قرن ۱۳ [اوراق عتیق: ۱ – ۲۴۱]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14" w:name="pg20365_260314"/>
    <w:bookmarkEnd w:id="214"/>
    <w:p>
      <w:pPr>
        <w:pStyle w:val="Heading3"/>
      </w:pPr>
      <w:bookmarkStart w:id="1260" w:name="_Toc782"/>
      <w:r>
        <w:t>اسحاق بن عمار / رجال / عربی</w:t>
      </w:r>
      <w:bookmarkEnd w:id="1260"/>
    </w:p>
    <w:p>
      <w:pPr>
        <w:pStyle w:val="BookText"/>
      </w:pPr>
      <w:r>
        <w:rPr>
          <w:rFonts w:ascii="Times New Roman" w:hAnsi="Times New Roman" w:eastAsia="Times New Roman" w:cs="Times New Roman"/>
          <w:lang w:val="en-US" w:bidi="en-US"/>
          <w:color w:val="111111"/>
          <w:sz w:val="28"/>
          <w:szCs w:val="28"/>
          <w:rtl/>
        </w:rPr>
        <w:t xml:space="preserve">isḥāq ibn-i ‘ammār</w:t>
      </w:r>
    </w:p>
    <w:p>
      <w:pPr>
        <w:pStyle w:val="BookText"/>
      </w:pPr>
      <w:r>
        <w:rPr>
          <w:rFonts w:ascii="IRNazanin" w:hAnsi="IRNazanin" w:eastAsia="IRNazanin" w:cs="IRNazanin"/>
          <w:lang w:bidi="fa-IR"/>
          <w:color w:val="111111"/>
          <w:sz w:val="28"/>
          <w:szCs w:val="28"/>
          <w:rtl/>
        </w:rPr>
        <w:t xml:space="preserve">رساله ای است در ترجمه اسحاق بن  عمار، غیر از آن حجة الاسلام شفتی در این باره نوشته است.</w:t>
      </w:r>
    </w:p>
    <w:p>
      <w:pPr>
        <w:pStyle w:val="BookText"/>
      </w:pPr>
      <w:r>
        <w:rPr>
          <w:rFonts w:ascii="IRNazanin" w:hAnsi="IRNazanin" w:eastAsia="IRNazanin" w:cs="IRNazanin"/>
          <w:lang w:bidi="fa-IR"/>
          <w:color w:val="111111"/>
          <w:sz w:val="28"/>
          <w:szCs w:val="28"/>
          <w:rtl/>
        </w:rPr>
        <w:t xml:space="preserve">قم؛ گلپایگانی؛ شماره نسخه: ۶۴۳/۵-۴/۱۱۳</w:t>
      </w:r>
    </w:p>
    <w:p>
      <w:pPr>
        <w:pStyle w:val="BookText"/>
      </w:pPr>
      <w:r>
        <w:rPr>
          <w:rFonts w:ascii="IRNazanin" w:hAnsi="IRNazanin" w:eastAsia="IRNazanin" w:cs="IRNazanin"/>
          <w:lang w:bidi="fa-IR"/>
          <w:color w:val="111111"/>
          <w:sz w:val="28"/>
          <w:szCs w:val="28"/>
          <w:rtl/>
        </w:rPr>
        <w:t xml:space="preserve">آغاز: بسمله الحمد لله وسلام على عباده الذين اصطفى محمدوآله سادات الورى وبعد اعلم ایدک الله تعالى وايانا ان اسحق بن عـمار اثنان والمذكور فى کش وق؛ انجام: و بالاصل الامام كما فی ترجمة ابى حامد وبعض الاصحاب</w:t>
      </w:r>
    </w:p>
    <w:p>
      <w:pPr>
        <w:pStyle w:val="BookText"/>
      </w:pPr>
      <w:r>
        <w:rPr>
          <w:rFonts w:ascii="IRNazanin" w:hAnsi="IRNazanin" w:eastAsia="IRNazanin" w:cs="IRNazanin"/>
          <w:lang w:bidi="fa-IR"/>
          <w:color w:val="111111"/>
          <w:sz w:val="28"/>
          <w:szCs w:val="28"/>
          <w:rtl/>
        </w:rPr>
        <w:t xml:space="preserve">خط: نستعلیق، بی کا، بی تا؛ ۳گ، ۲۵ سطر [ف: ۲ - ۸۵۰]</w:t>
      </w:r>
    </w:p>
    <w:p>
      <w:pPr>
        <w:pStyle w:val="Heading3"/>
      </w:pPr>
      <w:bookmarkStart w:id="1261" w:name="_Toc783"/>
      <w:r>
        <w:t>اسحاقیه / کلام و اعتقادات / فارسی</w:t>
      </w:r>
      <w:bookmarkEnd w:id="1261"/>
    </w:p>
    <w:p>
      <w:pPr>
        <w:pStyle w:val="BookText"/>
      </w:pPr>
      <w:r>
        <w:rPr>
          <w:rFonts w:ascii="Times New Roman" w:hAnsi="Times New Roman" w:eastAsia="Times New Roman" w:cs="Times New Roman"/>
          <w:lang w:val="en-US" w:bidi="en-US"/>
          <w:color w:val="111111"/>
          <w:sz w:val="28"/>
          <w:szCs w:val="28"/>
          <w:rtl/>
        </w:rPr>
        <w:t xml:space="preserve">eshāqīye</w:t>
      </w:r>
    </w:p>
    <w:p>
      <w:pPr>
        <w:pStyle w:val="BookText"/>
      </w:pPr>
      <w:r>
        <w:rPr>
          <w:rFonts w:ascii="IRNazanin" w:hAnsi="IRNazanin" w:eastAsia="IRNazanin" w:cs="IRNazanin"/>
          <w:lang w:bidi="fa-IR"/>
          <w:color w:val="111111"/>
          <w:sz w:val="28"/>
          <w:szCs w:val="28"/>
          <w:rtl/>
        </w:rPr>
        <w:t xml:space="preserve">کرمانی، محمد بن محمد کریم ۱۲۶۳ - ۱۳۲۴ قمری</w:t>
      </w:r>
    </w:p>
    <w:p>
      <w:pPr>
        <w:pStyle w:val="BookText"/>
      </w:pPr>
      <w:r>
        <w:rPr>
          <w:rFonts w:ascii="Times New Roman" w:hAnsi="Times New Roman" w:eastAsia="Times New Roman" w:cs="Times New Roman"/>
          <w:lang w:val="en-US" w:bidi="en-US"/>
          <w:color w:val="111111"/>
          <w:sz w:val="28"/>
          <w:szCs w:val="28"/>
          <w:rtl/>
        </w:rPr>
        <w:t xml:space="preserve">[1906-kermānī, mohammad ebn-e mohammad karīm (1847 -</w:t>
      </w:r>
    </w:p>
    <w:p>
      <w:pPr>
        <w:pStyle w:val="BookText"/>
      </w:pPr>
      <w:r>
        <w:rPr>
          <w:rFonts w:ascii="IRNazanin" w:hAnsi="IRNazanin" w:eastAsia="IRNazanin" w:cs="IRNazanin"/>
          <w:lang w:bidi="fa-IR"/>
          <w:color w:val="111111"/>
          <w:sz w:val="28"/>
          <w:szCs w:val="28"/>
          <w:rtl/>
        </w:rPr>
        <w:t xml:space="preserve">تاریخ تالیف: ۱۳ ذیقعده ۱۲۹۵ق؛ محل تألیف: کرمان</w:t>
      </w:r>
    </w:p>
    <w:p>
      <w:pPr>
        <w:pStyle w:val="BookText"/>
      </w:pPr>
      <w:r>
        <w:rPr>
          <w:rFonts w:ascii="IRNazanin" w:hAnsi="IRNazanin" w:eastAsia="IRNazanin" w:cs="IRNazanin"/>
          <w:lang w:bidi="fa-IR"/>
          <w:color w:val="111111"/>
          <w:sz w:val="28"/>
          <w:szCs w:val="28"/>
          <w:rtl/>
        </w:rPr>
        <w:t xml:space="preserve">در پاسخ پرسش های عقلی و کلامی میرزااسحاق خان است که نمایه ۱۴ پرسش  آن در «فهرست مشایخ» آمده است: ۱. سرایت وجود و جدایی اندیشه احسائی و ملا صدرا ؛۲. اگر در این امـورنزاع لفظی باشد که از شأن اهل حکمت نیست؛ ۳. نسخ در  خلق و مبدأ، خلق، اطلاق وجود ؛ ۴. معنی «انا لم اعبد ربا لم اره» ؛  5.معنی خود اوست لیلی و مجنون و وامق و عذرا؛ ۶ .در عرصه شرع فخر از برای فعلیات است؛ ۷. اثبات نبوت عامه و خاصه؛ 8.زید که در این دنیا در این دنیا متشرع شده و به قول شارع عمل کرده دردنیا چگونه جزا می یابد .۹ .قیامت صغری و کبری؛ ۱۰. بدن زید   پس از مرگ؛ مرگ؛ ۱۱. چگونه پس از پاشیدن این بدن از هم؛ زید آنچه را درک کرده بود واجد خواهد بود؛ ۱۲. چرا به فساد بـدن نباتیت و حیوانیت بر طرف میشود و انسانیت باقی می ماند؛13. تالی مشایخ را به چه باید شناخت؛ ۱۴. اگر جمعی مدعی  این مقام باشند بین آنها به چه نحو باید تمییز داد.</w:t>
      </w:r>
    </w:p>
    <w:p>
      <w:pPr>
        <w:pStyle w:val="BookText"/>
      </w:pPr>
      <w:r>
        <w:rPr>
          <w:rFonts w:ascii="IRNazanin" w:hAnsi="IRNazanin" w:eastAsia="IRNazanin" w:cs="IRNazanin"/>
          <w:lang w:bidi="fa-IR"/>
          <w:color w:val="111111"/>
          <w:sz w:val="28"/>
          <w:szCs w:val="28"/>
          <w:rtl/>
        </w:rPr>
        <w:t xml:space="preserve">چاپ ،کرمان، ۱۳۷۸ق</w:t>
      </w:r>
    </w:p>
    <w:p>
      <w:pPr>
        <w:pStyle w:val="BookText"/>
      </w:pPr>
      <w:r>
        <w:rPr>
          <w:rFonts w:ascii="IRNazanin" w:hAnsi="IRNazanin" w:eastAsia="IRNazanin" w:cs="IRNazanin"/>
          <w:lang w:bidi="fa-IR"/>
          <w:color w:val="111111"/>
          <w:sz w:val="28"/>
          <w:szCs w:val="28"/>
          <w:rtl/>
        </w:rPr>
        <w:t xml:space="preserve">[فهرستواره منزوی (۸۷/۹ فهرست مشایخ ش ۷۳۹]</w:t>
      </w:r>
    </w:p>
    <w:p>
      <w:pPr>
        <w:pStyle w:val="BookText"/>
      </w:pPr>
      <w:r>
        <w:rPr>
          <w:rFonts w:ascii="IRNazanin" w:hAnsi="IRNazanin" w:eastAsia="IRNazanin" w:cs="IRNazanin"/>
          <w:lang w:bidi="fa-IR"/>
          <w:color w:val="111111"/>
          <w:sz w:val="28"/>
          <w:szCs w:val="28"/>
          <w:rtl/>
        </w:rPr>
        <w:t xml:space="preserve">مشهد؛ رضوی؛ شماره نسخه: ۱۵۱۴۱</w:t>
      </w:r>
    </w:p>
    <w:p>
      <w:pPr>
        <w:pStyle w:val="BookText"/>
      </w:pPr>
      <w:r>
        <w:rPr>
          <w:rFonts w:ascii="Amiri" w:hAnsi="Amiri" w:eastAsia="Amiri" w:cs="Amiri"/>
          <w:lang w:bidi="ar-SA"/>
          <w:color w:val="111111"/>
          <w:sz w:val="28"/>
          <w:szCs w:val="28"/>
          <w:rtl/>
        </w:rPr>
        <w:t xml:space="preserve">آغاز: بسمله، الحمد لله الذي هدانا للاسلام و وفقنا بالوصول ؛</w:t>
      </w:r>
    </w:p>
    <w:p>
      <w:pPr>
        <w:pStyle w:val="BookText"/>
      </w:pPr>
      <w:r>
        <w:rPr>
          <w:rFonts w:ascii="Amiri" w:hAnsi="Amiri" w:eastAsia="Amiri" w:cs="Amiri"/>
          <w:lang w:bidi="ar-SA"/>
          <w:color w:val="111111"/>
          <w:sz w:val="28"/>
          <w:szCs w:val="28"/>
          <w:rtl/>
        </w:rPr>
        <w:t xml:space="preserve">انجام: فى يوم الجمعه ثلث و عشرين من شهر رجب المرجب  سنه ۱۲۶۷ اعدائهم و مخالفيهم اجمعين</w:t>
      </w:r>
    </w:p>
    <w:p>
      <w:pPr>
        <w:pStyle w:val="BookText"/>
      </w:pPr>
      <w:r>
        <w:rPr>
          <w:rFonts w:ascii="IRNazanin" w:hAnsi="IRNazanin" w:eastAsia="IRNazanin" w:cs="IRNazanin"/>
          <w:lang w:bidi="fa-IR"/>
          <w:color w:val="111111"/>
          <w:sz w:val="28"/>
          <w:szCs w:val="28"/>
          <w:rtl/>
        </w:rPr>
        <w:t xml:space="preserve">خط: نستعليق، كا: جعفر دبير الشريعه جهت نصر الله خان،  تا: ۱۲۹۷ق [الفبائی: ۶۲۱]</w:t>
      </w:r>
    </w:p>
    <w:p>
      <w:pPr>
        <w:pStyle w:val="Heading3"/>
      </w:pPr>
      <w:bookmarkStart w:id="1262" w:name="_Toc784"/>
      <w:r>
        <w:t>اسد الغابه (مختصر) / رجال / عربی</w:t>
      </w:r>
      <w:bookmarkEnd w:id="1262"/>
    </w:p>
    <w:p>
      <w:pPr>
        <w:pStyle w:val="BookText"/>
      </w:pPr>
      <w:r>
        <w:rPr>
          <w:rFonts w:ascii="Times New Roman" w:hAnsi="Times New Roman" w:eastAsia="Times New Roman" w:cs="Times New Roman"/>
          <w:lang w:val="en-US" w:bidi="en-US"/>
          <w:color w:val="111111"/>
          <w:sz w:val="28"/>
          <w:szCs w:val="28"/>
          <w:rtl/>
        </w:rPr>
        <w:t xml:space="preserve">(asad-ul ġāba (muxtaṣar)</w:t>
      </w:r>
    </w:p>
    <w:p>
      <w:pPr>
        <w:pStyle w:val="BookText"/>
      </w:pPr>
      <w:r>
        <w:rPr>
          <w:rFonts w:ascii="IRNazanin" w:hAnsi="IRNazanin" w:eastAsia="IRNazanin" w:cs="IRNazanin"/>
          <w:lang w:bidi="fa-IR"/>
          <w:color w:val="111111"/>
          <w:sz w:val="28"/>
          <w:szCs w:val="28"/>
          <w:rtl/>
        </w:rPr>
        <w:t xml:space="preserve">کاشغری، محمد بن محمد، - ۷۰۵ قمری</w:t>
      </w:r>
    </w:p>
    <w:p>
      <w:pPr>
        <w:pStyle w:val="BookText"/>
      </w:pPr>
      <w:r>
        <w:rPr>
          <w:rFonts w:ascii="Times New Roman" w:hAnsi="Times New Roman" w:eastAsia="Times New Roman" w:cs="Times New Roman"/>
          <w:lang w:val="en-US" w:bidi="en-US"/>
          <w:color w:val="111111"/>
          <w:sz w:val="28"/>
          <w:szCs w:val="28"/>
          <w:rtl/>
        </w:rPr>
        <w:t xml:space="preserve">(kāšqarī, mohammad ebn-e mohammad (- 1306)</w:t>
      </w:r>
    </w:p>
    <w:p>
      <w:pPr>
        <w:pStyle w:val="BookText"/>
      </w:pPr>
      <w:r>
        <w:rPr>
          <w:rFonts w:ascii="IRNazanin" w:hAnsi="IRNazanin" w:eastAsia="IRNazanin" w:cs="IRNazanin"/>
          <w:lang w:bidi="fa-IR"/>
          <w:color w:val="111111"/>
          <w:sz w:val="28"/>
          <w:szCs w:val="28"/>
          <w:rtl/>
        </w:rPr>
        <w:t xml:space="preserve">مؤلف كتاب «اسد الغابه فى معرفة الصحابه» ابن اثیر جزری  (-۶۳۰ق )را مختصر نموده و مطالبی هم در انساب و احوال و مرویات صحابه به آن افزوده است.</w:t>
      </w:r>
    </w:p>
    <w:p>
      <w:pPr>
        <w:pStyle w:val="BookText"/>
      </w:pPr>
      <w:r>
        <w:rPr>
          <w:rFonts w:ascii="IRNazanin" w:hAnsi="IRNazanin" w:eastAsia="IRNazanin" w:cs="IRNazanin"/>
          <w:lang w:bidi="fa-IR"/>
          <w:color w:val="111111"/>
          <w:sz w:val="28"/>
          <w:szCs w:val="28"/>
          <w:rtl/>
        </w:rPr>
        <w:t xml:space="preserve">[روضات الجنات ۸۵/۸ معجم المولفين ۲۴۹/۱۱؛ داودی طبقات المفسرين ۲۴۴/۲؛ اربری فهرست چستربیتی ۱: ۸۶]</w:t>
      </w:r>
    </w:p>
    <w:p>
      <w:pPr>
        <w:pStyle w:val="BookText"/>
      </w:pPr>
      <w:r>
        <w:rPr>
          <w:rFonts w:ascii="IRNazanin" w:hAnsi="IRNazanin" w:eastAsia="IRNazanin" w:cs="IRNazanin"/>
          <w:lang w:bidi="fa-IR"/>
          <w:color w:val="111111"/>
          <w:sz w:val="28"/>
          <w:szCs w:val="28"/>
          <w:rtl/>
        </w:rPr>
        <w:t xml:space="preserve">قم؛ مرعشی؛ شماره نسخه: ۲۹۰ عکسی</w:t>
      </w:r>
    </w:p>
    <w:p>
      <w:pPr>
        <w:pStyle w:val="BookText"/>
      </w:pPr>
      <w:r>
        <w:rPr>
          <w:rFonts w:ascii="Amiri" w:hAnsi="Amiri" w:eastAsia="Amiri" w:cs="Amiri"/>
          <w:lang w:bidi="ar-SA"/>
          <w:color w:val="111111"/>
          <w:sz w:val="28"/>
          <w:szCs w:val="28"/>
          <w:rtl/>
        </w:rPr>
        <w:t xml:space="preserve">آغاز: الحمد لله على ترادف مننه منا يفقد الكفكر فيها الآمال؛</w:t>
      </w:r>
    </w:p>
    <w:p>
      <w:pPr>
        <w:pStyle w:val="BookText"/>
      </w:pPr>
      <w:r>
        <w:rPr>
          <w:rFonts w:ascii="Amiri" w:hAnsi="Amiri" w:eastAsia="Amiri" w:cs="Amiri"/>
          <w:lang w:bidi="ar-SA"/>
          <w:color w:val="111111"/>
          <w:sz w:val="28"/>
          <w:szCs w:val="28"/>
          <w:rtl/>
        </w:rPr>
        <w:t xml:space="preserve">انجام: ثم صلى عليها ودفنت تم الكتاب بحمد الله و عونه و حسن  توفيقه</w:t>
      </w:r>
    </w:p>
    <w:p>
      <w:pPr>
        <w:pStyle w:val="BookText"/>
      </w:pPr>
      <w:r>
        <w:rPr>
          <w:rFonts w:ascii="IRNazanin" w:hAnsi="IRNazanin" w:eastAsia="IRNazanin" w:cs="IRNazanin"/>
          <w:lang w:bidi="fa-IR"/>
          <w:color w:val="111111"/>
          <w:sz w:val="28"/>
          <w:szCs w:val="28"/>
          <w:rtl/>
        </w:rPr>
        <w:t xml:space="preserve">نسخه اصل: چستربیتی دبلین ش ۳۲۱۳؛ خط: نسخ، کا: احمد بن احمد بن عجمی ،احمدی، تا: قرن ۱۱؛ مصحح، محشی؛ ۴۷۰گ  ، ۱۹ سطر [عکسی ف: ۱ - ۲۶۲]</w:t>
      </w:r>
    </w:p>
    <w:p>
      <w:pPr>
        <w:pStyle w:val="Heading3"/>
      </w:pPr>
      <w:bookmarkStart w:id="1263" w:name="_Toc785"/>
      <w:r>
        <w:t>اسد الغابة فى معرفة الصحابة (ترجمه) / تراجم / فارسی</w:t>
      </w:r>
      <w:bookmarkEnd w:id="1263"/>
    </w:p>
    <w:p>
      <w:pPr>
        <w:pStyle w:val="BookText"/>
      </w:pPr>
      <w:r>
        <w:rPr>
          <w:rFonts w:ascii="Times New Roman" w:hAnsi="Times New Roman" w:eastAsia="Times New Roman" w:cs="Times New Roman"/>
          <w:lang w:val="en-US" w:bidi="en-US"/>
          <w:color w:val="111111"/>
          <w:sz w:val="28"/>
          <w:szCs w:val="28"/>
          <w:rtl/>
        </w:rPr>
        <w:t xml:space="preserve">(asad-ul gaba fi ma rifat-is Sahaba (t.)</w:t>
      </w:r>
    </w:p>
    <w:p>
      <w:pPr>
        <w:pStyle w:val="BookText"/>
      </w:pPr>
      <w:r>
        <w:rPr>
          <w:rFonts w:ascii="IRNazanin" w:hAnsi="IRNazanin" w:eastAsia="IRNazanin" w:cs="IRNazanin"/>
          <w:lang w:bidi="fa-IR"/>
          <w:color w:val="111111"/>
          <w:sz w:val="28"/>
          <w:szCs w:val="28"/>
          <w:rtl/>
        </w:rPr>
        <w:t xml:space="preserve">ابن اثیر کتابی در معرفه اصحاب پیغمبر در شش جلد فراهم بزرگان  آورده که حاوی شرح حال هفت هزار و پانصد تن از بزرگان اسلام است. در این کتاب او برای اختصار از رموزی استفاده کرده است. این کتاب در زمان قاجار به زبان فارسی برگردانده شده است. مشخص نیست که نسخه های زیر از یک مترجم  هستند یا نه.</w:t>
      </w:r>
    </w:p>
    <w:p>
      <w:pPr>
        <w:pStyle w:val="BookText"/>
      </w:pPr>
      <w:r>
        <w:rPr>
          <w:rFonts w:ascii="IRNazanin" w:hAnsi="IRNazanin" w:eastAsia="IRNazanin" w:cs="IRNazanin"/>
          <w:lang w:bidi="fa-IR"/>
          <w:color w:val="111111"/>
          <w:sz w:val="28"/>
          <w:szCs w:val="28"/>
          <w:rtl/>
        </w:rPr>
        <w:t xml:space="preserve">۱. تهران؛ ملی؛ شماره نسخه: ۱۵۵۹</w:t>
      </w:r>
    </w:p>
    <w:p>
      <w:pPr>
        <w:pStyle w:val="BookText"/>
      </w:pPr>
      <w:r>
        <w:rPr>
          <w:rFonts w:ascii="IRNazanin" w:hAnsi="IRNazanin" w:eastAsia="IRNazanin" w:cs="IRNazanin"/>
          <w:lang w:bidi="fa-IR"/>
          <w:color w:val="111111"/>
          <w:sz w:val="28"/>
          <w:szCs w:val="28"/>
          <w:rtl/>
        </w:rPr>
        <w:t xml:space="preserve">آغاز: بسمله، چنین گوید نگارنده این اوراق الشيخ الامام العالم الحافظ البارع الأوحد بقيه السلف عز الدين ابوالحسن علی بن محمد بن عبدالكريم الجزرى معروف بابن اثیر؛ انجام :اسمش احمد استخراج کرده اند و او را ابن منده و ابونعیم بهمین قدر مختصراً</w:t>
      </w:r>
    </w:p>
    <w:p>
      <w:pPr>
        <w:pStyle w:val="BookText"/>
      </w:pPr>
      <w:r>
        <w:rPr>
          <w:rFonts w:ascii="IRNazanin" w:hAnsi="IRNazanin" w:eastAsia="IRNazanin" w:cs="IRNazanin"/>
          <w:lang w:bidi="fa-IR"/>
          <w:color w:val="111111"/>
          <w:sz w:val="28"/>
          <w:szCs w:val="28"/>
          <w:rtl/>
        </w:rPr>
        <w:t xml:space="preserve">حاوی مقدمه و شرح حال پیغمبر اسلام و صحابه کبار تا «اسعد الخیر» می باشد ؛خط: نستعلیق، بی کا :تا: قرن ۱۳؛ با سرلوح مذهب؛ كاغذ: فلفل  نمکی، جلد: مخمل بنفش با گل و بوته، کوبیده مقوایی، ۱۱۰گ، ۱۴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۳۵سم  [ف: ۴ - ۵۴]</w:t>
      </w:r>
    </w:p>
    <w:p>
      <w:pPr>
        <w:pStyle w:val="BookText"/>
      </w:pPr>
      <w:r>
        <w:rPr>
          <w:rFonts w:ascii="IRNazanin" w:hAnsi="IRNazanin" w:eastAsia="IRNazanin" w:cs="IRNazanin"/>
          <w:lang w:bidi="fa-IR"/>
          <w:color w:val="111111"/>
          <w:sz w:val="28"/>
          <w:szCs w:val="28"/>
          <w:rtl/>
        </w:rPr>
        <w:t xml:space="preserve">۲. تهران؛ ملی شماره نسخه: ۱۷۱۱</w:t>
      </w:r>
    </w:p>
    <w:p>
      <w:pPr>
        <w:pStyle w:val="BookText"/>
      </w:pPr>
      <w:r>
        <w:rPr>
          <w:rFonts w:ascii="IRNazanin" w:hAnsi="IRNazanin" w:eastAsia="IRNazanin" w:cs="IRNazanin"/>
          <w:lang w:bidi="fa-IR"/>
          <w:color w:val="111111"/>
          <w:sz w:val="28"/>
          <w:szCs w:val="28"/>
          <w:rtl/>
        </w:rPr>
        <w:t xml:space="preserve">آغاز: بسمله، کتاب سوم از ترجمه کتب اسد الغابه في معرفة الصحابه اوس بن حذیفه؛ انجام: و بلال بلاغت بود و او را فرزندی شود محدثین ثلاثه بشرحی که مذکور شد او را استخراج  کرده اند</w:t>
      </w:r>
    </w:p>
    <w:p>
      <w:pPr>
        <w:pStyle w:val="BookText"/>
      </w:pPr>
      <w:r>
        <w:rPr>
          <w:rFonts w:ascii="IRNazanin" w:hAnsi="IRNazanin" w:eastAsia="IRNazanin" w:cs="IRNazanin"/>
          <w:lang w:bidi="fa-IR"/>
          <w:color w:val="111111"/>
          <w:sz w:val="28"/>
          <w:szCs w:val="28"/>
          <w:rtl/>
        </w:rPr>
        <w:t xml:space="preserve">کتاب سوم از ترجمه  اسدالغابه، از شرح حال اوس بن حذيفة بن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15" w:name="pg20365_260315"/>
    <w:bookmarkEnd w:id="215"/>
    <w:p>
      <w:pPr>
        <w:pStyle w:val="BookText"/>
      </w:pPr>
      <w:r>
        <w:rPr>
          <w:rFonts w:ascii="IRNazanin" w:hAnsi="IRNazanin" w:eastAsia="IRNazanin" w:cs="IRNazanin"/>
          <w:lang w:bidi="fa-IR"/>
          <w:color w:val="111111"/>
          <w:sz w:val="28"/>
          <w:szCs w:val="28"/>
          <w:rtl/>
        </w:rPr>
        <w:t xml:space="preserve">ربيعة بن ابي عمر و بن وهب بن عامر بن يسار بن بن جشم ثقفی» تا شرح حال «بلال بن رباح مکنی به ابی عبدالكريم» خط: نستعلیق، بی کا، تا: قرن ۱۳، جا: طهران؛با سرلوح؛ کاغذ: فرنگی فلفل  نمکی، جلد: مخمل بنفش با گل و بوته، کوبیده مقوایی، ۱۱۵گ، ۱۴ سطر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 اندازه:</w:t>
      </w:r>
    </w:p>
    <w:p>
      <w:pPr>
        <w:pStyle w:val="BookText"/>
      </w:pPr>
      <w:r>
        <w:rPr>
          <w:rFonts w:ascii="IRNazanin" w:hAnsi="IRNazanin" w:eastAsia="IRNazanin" w:cs="IRNazanin"/>
          <w:lang w:bidi="fa-IR"/>
          <w:color w:val="111111"/>
          <w:sz w:val="28"/>
          <w:szCs w:val="28"/>
          <w:rtl/>
        </w:rPr>
        <w:t xml:space="preserve">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۳۵/۵ سم [ف: ۴ - ۱۸۰]</w:t>
      </w:r>
    </w:p>
    <w:p>
      <w:pPr>
        <w:pStyle w:val="BookText"/>
      </w:pPr>
      <w:r>
        <w:rPr>
          <w:rFonts w:ascii="IRNazanin" w:hAnsi="IRNazanin" w:eastAsia="IRNazanin" w:cs="IRNazanin"/>
          <w:lang w:bidi="fa-IR"/>
          <w:color w:val="111111"/>
          <w:sz w:val="28"/>
          <w:szCs w:val="28"/>
          <w:rtl/>
        </w:rPr>
        <w:t xml:space="preserve">تهران؛ ملی؛ شماره نسخه: ۱۷۹۴</w:t>
      </w:r>
    </w:p>
    <w:p>
      <w:pPr>
        <w:pStyle w:val="BookText"/>
      </w:pPr>
      <w:r>
        <w:rPr>
          <w:rFonts w:ascii="IRNazanin" w:hAnsi="IRNazanin" w:eastAsia="IRNazanin" w:cs="IRNazanin"/>
          <w:lang w:bidi="fa-IR"/>
          <w:color w:val="111111"/>
          <w:sz w:val="28"/>
          <w:szCs w:val="28"/>
          <w:rtl/>
        </w:rPr>
        <w:t xml:space="preserve">آغاز: بسمله، کتاب دوم در ترجمه جزء اول از کتاب اسدالغـابه؛</w:t>
      </w:r>
    </w:p>
    <w:p>
      <w:pPr>
        <w:pStyle w:val="BookText"/>
      </w:pPr>
      <w:r>
        <w:rPr>
          <w:rFonts w:ascii="IRNazanin" w:hAnsi="IRNazanin" w:eastAsia="IRNazanin" w:cs="IRNazanin"/>
          <w:lang w:bidi="fa-IR"/>
          <w:color w:val="111111"/>
          <w:sz w:val="28"/>
          <w:szCs w:val="28"/>
          <w:rtl/>
        </w:rPr>
        <w:t xml:space="preserve">انجام: بر این چون مقتضی نبوده باختصار کوشیدیم</w:t>
      </w:r>
    </w:p>
    <w:p>
      <w:pPr>
        <w:pStyle w:val="BookText"/>
      </w:pPr>
      <w:r>
        <w:rPr>
          <w:rFonts w:ascii="IRNazanin" w:hAnsi="IRNazanin" w:eastAsia="IRNazanin" w:cs="IRNazanin"/>
          <w:lang w:bidi="fa-IR"/>
          <w:color w:val="111111"/>
          <w:sz w:val="28"/>
          <w:szCs w:val="28"/>
          <w:rtl/>
        </w:rPr>
        <w:t xml:space="preserve">کتاب دوم، از ترجمه حال« اسد بن زراره بن عدس بن عبید بن  ثعلبه بن غنم بن مالک بن نجار» تا «اوس بن حدثان بن عوف بن ربيعه بن سعبر بن يربوع بن وائله بن دهمان بن نصر بن معاويه بن بكر بن هوازن»؛ خط: نستعلیق، کا: محمد قزوینی عاشوری،تا: ۱۳۱۱ق، جا: تهران؛ با سرلوح مذهب؛ کاغذ: فرنگی ،جلد: مخـمل بنفش با گل و بوته ،مقوایی، ۱۴۰گ، ۱۴ سطر(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۴/۵) ؛اندازه: ۲۱/۵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۳۵سم [ف: ۴ - ۲۴۹]</w:t>
      </w:r>
    </w:p>
    <w:p>
      <w:pPr>
        <w:pStyle w:val="Heading3"/>
      </w:pPr>
      <w:bookmarkStart w:id="1264" w:name="_Toc786"/>
      <w:r>
        <w:t>الاسدية فى انساب العلوية / انساب / فارسی</w:t>
      </w:r>
      <w:bookmarkEnd w:id="1264"/>
    </w:p>
    <w:p>
      <w:pPr>
        <w:pStyle w:val="BookText"/>
      </w:pPr>
      <w:r>
        <w:rPr>
          <w:rFonts w:ascii="Times New Roman" w:hAnsi="Times New Roman" w:eastAsia="Times New Roman" w:cs="Times New Roman"/>
          <w:lang w:val="en-US" w:bidi="en-US"/>
          <w:color w:val="111111"/>
          <w:sz w:val="28"/>
          <w:szCs w:val="28"/>
          <w:rtl/>
        </w:rPr>
        <w:t xml:space="preserve">al-asadīye fī ansāb-el-‘alavīye</w:t>
      </w:r>
    </w:p>
    <w:p>
      <w:pPr>
        <w:pStyle w:val="BookText"/>
      </w:pPr>
      <w:r>
        <w:rPr>
          <w:rFonts w:ascii="IRNazanin" w:hAnsi="IRNazanin" w:eastAsia="IRNazanin" w:cs="IRNazanin"/>
          <w:lang w:bidi="fa-IR"/>
          <w:color w:val="111111"/>
          <w:sz w:val="28"/>
          <w:szCs w:val="28"/>
          <w:rtl/>
        </w:rPr>
        <w:t xml:space="preserve">مختاری، محمد قاسم بن حسن، ق ۱۰ قمری</w:t>
      </w:r>
    </w:p>
    <w:p>
      <w:pPr>
        <w:pStyle w:val="BookText"/>
      </w:pPr>
      <w:r>
        <w:rPr>
          <w:rFonts w:ascii="Times New Roman" w:hAnsi="Times New Roman" w:eastAsia="Times New Roman" w:cs="Times New Roman"/>
          <w:lang w:val="en-US" w:bidi="en-US"/>
          <w:color w:val="111111"/>
          <w:sz w:val="28"/>
          <w:szCs w:val="28"/>
          <w:rtl/>
        </w:rPr>
        <w:t xml:space="preserve">(moxtārī, mohammad qāsem ebn-e hasan (- 16c)</w:t>
      </w:r>
    </w:p>
    <w:p>
      <w:pPr>
        <w:pStyle w:val="BookText"/>
      </w:pPr>
      <w:r>
        <w:rPr>
          <w:rFonts w:ascii="IRNazanin" w:hAnsi="IRNazanin" w:eastAsia="IRNazanin" w:cs="IRNazanin"/>
          <w:lang w:bidi="fa-IR"/>
          <w:color w:val="111111"/>
          <w:sz w:val="28"/>
          <w:szCs w:val="28"/>
          <w:rtl/>
        </w:rPr>
        <w:t xml:space="preserve">به درخواست ابوالعلی سید صدر امیر اسد الله مرعشی</w:t>
      </w:r>
    </w:p>
    <w:p>
      <w:pPr>
        <w:pStyle w:val="BookText"/>
      </w:pPr>
      <w:r>
        <w:rPr>
          <w:rFonts w:ascii="IRNazanin" w:hAnsi="IRNazanin" w:eastAsia="IRNazanin" w:cs="IRNazanin"/>
          <w:lang w:bidi="fa-IR"/>
          <w:color w:val="111111"/>
          <w:sz w:val="28"/>
          <w:szCs w:val="28"/>
          <w:rtl/>
        </w:rPr>
        <w:t xml:space="preserve">در دیباچه کتاب خود از شاه طهماسب صفوی ستایش نموده و زنجیر نسب او را به امام موسی کاظم می آورد و از جمله محامد شاه طهماسب این می داند که میر ابوالعلی اسدالله حسینی مرعشـی را به مقام صدرات انتخاب نموده است. سپس به ذکر «مقدمه»  در نسب امير المومنین و اولاد او پرداخته و در پنج «فصل» انساب سادات علوی را می آورد :۱. ذکر عقب امام حسن (علیه السّلام)؛ ۲. ذکر عقب امام حسین (علیه السّلام) ؛ ۳. ذكر عقب محمد حنفیه؛ ۴. ذكر عقـب حضرت ابوالفضل ؛ ۵. بیان عقب عمر الاطرف. نام این کتاب الذريعه «الرسالة الاسدية فى نسب السادة المرعشية» آورده است.</w:t>
      </w:r>
    </w:p>
    <w:p>
      <w:pPr>
        <w:pStyle w:val="BookText"/>
      </w:pPr>
      <w:r>
        <w:rPr>
          <w:rFonts w:ascii="IRNazanin" w:hAnsi="IRNazanin" w:eastAsia="IRNazanin" w:cs="IRNazanin"/>
          <w:lang w:bidi="fa-IR"/>
          <w:color w:val="111111"/>
          <w:sz w:val="28"/>
          <w:szCs w:val="28"/>
          <w:rtl/>
        </w:rPr>
        <w:t xml:space="preserve">آغاز: ۱: انسب کلامی که از شمائم روایح آن دماغ جان عالی نسبان صوامع قدس معطر گردد و اقرب نظامی که از نسـایم فوایح آن.</w:t>
      </w:r>
    </w:p>
    <w:p>
      <w:pPr>
        <w:pStyle w:val="BookText"/>
      </w:pPr>
      <w:r>
        <w:rPr>
          <w:rFonts w:ascii="IRNazanin" w:hAnsi="IRNazanin" w:eastAsia="IRNazanin" w:cs="IRNazanin"/>
          <w:lang w:bidi="fa-IR"/>
          <w:color w:val="111111"/>
          <w:sz w:val="28"/>
          <w:szCs w:val="28"/>
          <w:rtl/>
        </w:rPr>
        <w:t xml:space="preserve">٢. بعد الحمد و الثناء چون معرفت انساب بموجب حدیث  و کتاب امری است مهم خصوصاً نسب احفاد بتول عذرا.</w:t>
      </w:r>
    </w:p>
    <w:p>
      <w:pPr>
        <w:pStyle w:val="BookText"/>
      </w:pPr>
      <w:r>
        <w:rPr>
          <w:rFonts w:ascii="IRNazanin" w:hAnsi="IRNazanin" w:eastAsia="IRNazanin" w:cs="IRNazanin"/>
          <w:lang w:bidi="fa-IR"/>
          <w:color w:val="111111"/>
          <w:sz w:val="28"/>
          <w:szCs w:val="28"/>
          <w:rtl/>
        </w:rPr>
        <w:t xml:space="preserve">انجام: و اولاد جعفر الملک متفرق اند و بیشتر در تلبان بوده  اند و بقیه اولاد محمد عمر الاطرف در مصر و شام و حله هستند.</w:t>
      </w:r>
    </w:p>
    <w:p>
      <w:pPr>
        <w:pStyle w:val="BookText"/>
      </w:pPr>
      <w:r>
        <w:rPr>
          <w:rFonts w:ascii="IRNazanin" w:hAnsi="IRNazanin" w:eastAsia="IRNazanin" w:cs="IRNazanin"/>
          <w:lang w:bidi="fa-IR"/>
          <w:color w:val="111111"/>
          <w:sz w:val="28"/>
          <w:szCs w:val="28"/>
          <w:rtl/>
        </w:rPr>
        <w:t xml:space="preserve">[احياء الدائر من القرآن العاشر /۱۸۸؛ الذریعه ۶۶/۱۱؛ فهرستواره منزوی۲۰۰۶/۳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مجلس؛ شماره نسخه: ۵۱۳۸/۹۹</w:t>
      </w:r>
    </w:p>
    <w:p>
      <w:pPr>
        <w:pStyle w:val="BookText"/>
      </w:pPr>
      <w:r>
        <w:rPr>
          <w:rFonts w:ascii="IRNazanin" w:hAnsi="IRNazanin" w:eastAsia="IRNazanin" w:cs="IRNazanin"/>
          <w:lang w:bidi="fa-IR"/>
          <w:color w:val="111111"/>
          <w:sz w:val="28"/>
          <w:szCs w:val="28"/>
          <w:rtl/>
        </w:rPr>
        <w:t xml:space="preserve">آغاز برابر ۱؛ انجام: برابر</w:t>
      </w:r>
    </w:p>
    <w:p>
      <w:pPr>
        <w:pStyle w:val="BookText"/>
      </w:pPr>
      <w:r>
        <w:rPr>
          <w:rFonts w:ascii="IRNazanin" w:hAnsi="IRNazanin" w:eastAsia="IRNazanin" w:cs="IRNazanin"/>
          <w:lang w:bidi="fa-IR"/>
          <w:color w:val="111111"/>
          <w:sz w:val="28"/>
          <w:szCs w:val="28"/>
          <w:rtl/>
        </w:rPr>
        <w:t xml:space="preserve">خط: نستعلیق، بی کا، تا: قرن ۱۱؛ اگ (۳۷۸) [ف: ۱۵ – ۱۷۸]</w:t>
      </w:r>
    </w:p>
    <w:p>
      <w:pPr>
        <w:pStyle w:val="BookText"/>
      </w:pPr>
      <w:r>
        <w:rPr>
          <w:rFonts w:ascii="IRNazanin" w:hAnsi="IRNazanin" w:eastAsia="IRNazanin" w:cs="IRNazanin"/>
          <w:lang w:bidi="fa-IR"/>
          <w:color w:val="111111"/>
          <w:sz w:val="28"/>
          <w:szCs w:val="28"/>
          <w:rtl/>
        </w:rPr>
        <w:t xml:space="preserve">2.تهران؛ مجلس؛ شماره نسخه: ۹۴۵۰/۸۵</w:t>
      </w:r>
    </w:p>
    <w:p>
      <w:pPr>
        <w:pStyle w:val="BookText"/>
      </w:pPr>
      <w:r>
        <w:rPr>
          <w:rFonts w:ascii="IRNazanin" w:hAnsi="IRNazanin" w:eastAsia="IRNazanin" w:cs="IRNazanin"/>
          <w:lang w:bidi="fa-IR"/>
          <w:color w:val="111111"/>
          <w:sz w:val="28"/>
          <w:szCs w:val="28"/>
          <w:rtl/>
        </w:rPr>
        <w:t xml:space="preserve">خط: نستعلیق، کا: افضل الملک غلامحسین بن مهدی زندی، تا: قرن ۱۳؛ ۳۵ ص[ ۴۶۲ - (۴۹۶) [مختصر - ف: - ۵۳]</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قم ؛مرعشی؛ شماره نسخه: ۷۵۸۷/۱</w:t>
      </w:r>
    </w:p>
    <w:p>
      <w:pPr>
        <w:pStyle w:val="BookText"/>
      </w:pPr>
      <w:r>
        <w:rPr>
          <w:rFonts w:ascii="IRNazanin" w:hAnsi="IRNazanin" w:eastAsia="IRNazanin" w:cs="IRNazanin"/>
          <w:lang w:bidi="fa-IR"/>
          <w:color w:val="111111"/>
          <w:sz w:val="28"/>
          <w:szCs w:val="28"/>
          <w:rtl/>
        </w:rPr>
        <w:t xml:space="preserve">آغاز: برابر ۲؛ انجام: برابر</w:t>
      </w:r>
    </w:p>
    <w:p>
      <w:pPr>
        <w:pStyle w:val="BookText"/>
      </w:pPr>
      <w:r>
        <w:rPr>
          <w:rFonts w:ascii="IRNazanin" w:hAnsi="IRNazanin" w:eastAsia="IRNazanin" w:cs="IRNazanin"/>
          <w:lang w:bidi="fa-IR"/>
          <w:color w:val="111111"/>
          <w:sz w:val="28"/>
          <w:szCs w:val="28"/>
          <w:rtl/>
        </w:rPr>
        <w:t xml:space="preserve">خط: نستعلیق، کا: محمد حسن طباطبائی تبریزی، تا: ۱۴ محرم  ۱۳۰۱ق؛ مصحح ،جلد: تیماج قهوه ای، ۵۴گ (۱پ-۵۴ر)،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۱۹ - ۳۹۹]</w:t>
      </w:r>
    </w:p>
    <w:p>
      <w:pPr>
        <w:pStyle w:val="BookText"/>
      </w:pPr>
      <w:r>
        <w:rPr>
          <w:rFonts w:ascii="IRNazanin" w:hAnsi="IRNazanin" w:eastAsia="IRNazanin" w:cs="IRNazanin"/>
          <w:lang w:bidi="fa-IR"/>
          <w:color w:val="111111"/>
          <w:sz w:val="28"/>
          <w:szCs w:val="28"/>
          <w:rtl/>
        </w:rPr>
        <w:t xml:space="preserve">۴. تهران؛ ملک؛ شماره نسخه: ۱۷۰۳</w:t>
      </w:r>
    </w:p>
    <w:p>
      <w:pPr>
        <w:pStyle w:val="BookText"/>
      </w:pPr>
      <w:r>
        <w:rPr>
          <w:rFonts w:ascii="IRNazanin" w:hAnsi="IRNazanin" w:eastAsia="IRNazanin" w:cs="IRNazanin"/>
          <w:lang w:bidi="fa-IR"/>
          <w:color w:val="111111"/>
          <w:sz w:val="28"/>
          <w:szCs w:val="28"/>
          <w:rtl/>
        </w:rPr>
        <w:t xml:space="preserve">آغاز: برابر ۱؛ انجام: برابر</w:t>
      </w:r>
    </w:p>
    <w:p>
      <w:pPr>
        <w:pStyle w:val="BookText"/>
      </w:pPr>
      <w:r>
        <w:rPr>
          <w:rFonts w:ascii="IRNazanin" w:hAnsi="IRNazanin" w:eastAsia="IRNazanin" w:cs="IRNazanin"/>
          <w:lang w:bidi="fa-IR"/>
          <w:color w:val="111111"/>
          <w:sz w:val="28"/>
          <w:szCs w:val="28"/>
          <w:rtl/>
        </w:rPr>
        <w:t xml:space="preserve">خط: نسخ و نستعلیق، كا: ابو القاسم بن عبد القدیر سرابی، تا: شعبان ۱۳۲۱ق، برای میرزا کاظم خان امین الوزاره؛ کاغذ: کاغذ ،فرنگی، جلد: میشن لایی قهوه ای، ۵۸گ ۱۱ سطر، اندازه: ۱۲/۶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۲۰/۳سم  [ف: ۲ - ۲۳]</w:t>
      </w:r>
    </w:p>
    <w:p>
      <w:pPr>
        <w:pStyle w:val="BookText"/>
      </w:pPr>
      <w:r>
        <w:rPr>
          <w:rFonts w:ascii="IRNazanin" w:hAnsi="IRNazanin" w:eastAsia="IRNazanin" w:cs="IRNazanin"/>
          <w:lang w:bidi="fa-IR"/>
          <w:color w:val="111111"/>
          <w:sz w:val="28"/>
          <w:szCs w:val="28"/>
          <w:rtl/>
        </w:rPr>
        <w:t xml:space="preserve">قم؛ مرعشی؛ شماره نسخه: ۱۲۱ عکسی</w:t>
      </w:r>
    </w:p>
    <w:p>
      <w:pPr>
        <w:pStyle w:val="BookText"/>
      </w:pPr>
      <w:r>
        <w:rPr>
          <w:rFonts w:ascii="IRNazanin" w:hAnsi="IRNazanin" w:eastAsia="IRNazanin" w:cs="IRNazanin"/>
          <w:lang w:bidi="fa-IR"/>
          <w:color w:val="111111"/>
          <w:sz w:val="28"/>
          <w:szCs w:val="28"/>
          <w:rtl/>
        </w:rPr>
        <w:t xml:space="preserve">نسخه اصل: همان نسخه بالا [عکسی ف: ۱ - ۱۱۸]</w:t>
      </w:r>
    </w:p>
    <w:p>
      <w:pPr>
        <w:pStyle w:val="BookText"/>
      </w:pPr>
      <w:r>
        <w:rPr>
          <w:rFonts w:ascii="IRNazanin" w:hAnsi="IRNazanin" w:eastAsia="IRNazanin" w:cs="IRNazanin"/>
          <w:lang w:bidi="fa-IR"/>
          <w:color w:val="111111"/>
          <w:sz w:val="28"/>
          <w:szCs w:val="28"/>
          <w:rtl/>
        </w:rPr>
        <w:t xml:space="preserve">۵. تهران؛ ملک؛ شماره نسخه: ۳۵۳۱</w:t>
      </w:r>
    </w:p>
    <w:p>
      <w:pPr>
        <w:pStyle w:val="BookText"/>
      </w:pPr>
      <w:r>
        <w:rPr>
          <w:rFonts w:ascii="IRNazanin" w:hAnsi="IRNazanin" w:eastAsia="IRNazanin" w:cs="IRNazanin"/>
          <w:lang w:bidi="fa-IR"/>
          <w:color w:val="111111"/>
          <w:sz w:val="28"/>
          <w:szCs w:val="28"/>
          <w:rtl/>
        </w:rPr>
        <w:t xml:space="preserve">آغاز: برابر  2</w:t>
      </w:r>
    </w:p>
    <w:p>
      <w:pPr>
        <w:pStyle w:val="BookText"/>
      </w:pPr>
      <w:r>
        <w:rPr>
          <w:rFonts w:ascii="IRNazanin" w:hAnsi="IRNazanin" w:eastAsia="IRNazanin" w:cs="IRNazanin"/>
          <w:lang w:bidi="fa-IR"/>
          <w:color w:val="111111"/>
          <w:sz w:val="28"/>
          <w:szCs w:val="28"/>
          <w:rtl/>
        </w:rPr>
        <w:t xml:space="preserve">خط: نسخ، کا: محمد علی  عبرت ،تا: شوال ۱۳۴۵ق؛ کاغذ: کاغذ فستقی  آبی ،جلد: میشن سیاه  لایی، ۲۱گ، ۲۵ سطر، اندازه: ۱۵/۳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۲۰/۷سم [ف ۲ - ۲۳]</w:t>
      </w:r>
    </w:p>
    <w:p>
      <w:pPr>
        <w:pStyle w:val="Heading3"/>
      </w:pPr>
      <w:bookmarkStart w:id="1265" w:name="_Toc787"/>
      <w:r>
        <w:t>الاسراء الى المقام الاسراء / عرفان و تصوف / عربی</w:t>
      </w:r>
      <w:bookmarkEnd w:id="1265"/>
    </w:p>
    <w:p>
      <w:pPr>
        <w:pStyle w:val="BookText"/>
      </w:pPr>
      <w:r>
        <w:rPr>
          <w:rFonts w:ascii="Times New Roman" w:hAnsi="Times New Roman" w:eastAsia="Times New Roman" w:cs="Times New Roman"/>
          <w:lang w:val="en-US" w:bidi="en-US"/>
          <w:color w:val="111111"/>
          <w:sz w:val="28"/>
          <w:szCs w:val="28"/>
          <w:rtl/>
        </w:rPr>
        <w:t xml:space="preserve">al-asrā' ila-l maqām-il asrā'</w:t>
      </w:r>
    </w:p>
    <w:p>
      <w:pPr>
        <w:pStyle w:val="BookText"/>
      </w:pPr>
      <w:r>
        <w:rPr>
          <w:rFonts w:ascii="IRNazanin" w:hAnsi="IRNazanin" w:eastAsia="IRNazanin" w:cs="IRNazanin"/>
          <w:lang w:bidi="fa-IR"/>
          <w:color w:val="111111"/>
          <w:sz w:val="28"/>
          <w:szCs w:val="28"/>
          <w:rtl/>
        </w:rPr>
        <w:t xml:space="preserve">ابن عربی، محمد بن علی، ۵۶۰ - ۶۳۸ قمری</w:t>
      </w:r>
    </w:p>
    <w:p>
      <w:pPr>
        <w:pStyle w:val="BookText"/>
      </w:pPr>
      <w:r>
        <w:rPr>
          <w:rFonts w:ascii="Times New Roman" w:hAnsi="Times New Roman" w:eastAsia="Times New Roman" w:cs="Times New Roman"/>
          <w:lang w:val="en-US" w:bidi="en-US"/>
          <w:color w:val="111111"/>
          <w:sz w:val="28"/>
          <w:szCs w:val="28"/>
          <w:rtl/>
        </w:rPr>
        <w:t xml:space="preserve">(ebn-e ‘arabī, mohammad ebn-e ‘alī (1166 - 1241)</w:t>
      </w:r>
    </w:p>
    <w:p>
      <w:pPr>
        <w:pStyle w:val="BookText"/>
      </w:pPr>
      <w:r>
        <w:rPr>
          <w:rFonts w:ascii="Amiri" w:hAnsi="Amiri" w:eastAsia="Amiri" w:cs="Amiri"/>
          <w:lang w:bidi="ar-SA"/>
          <w:color w:val="111111"/>
          <w:sz w:val="28"/>
          <w:szCs w:val="28"/>
          <w:rtl/>
        </w:rPr>
        <w:t xml:space="preserve">آغاز: قال العبد المعترف المشرف الحضرة الالهية ... أما بعد فاني قصدت معشر الصوفية أصل المعارج العقلية و المقامات الروحانية و الأسرار الالهية والمراتب العلية القدسية</w:t>
      </w:r>
    </w:p>
    <w:p>
      <w:pPr>
        <w:pStyle w:val="BookText"/>
      </w:pPr>
      <w:r>
        <w:rPr>
          <w:rFonts w:ascii="Amiri" w:hAnsi="Amiri" w:eastAsia="Amiri" w:cs="Amiri"/>
          <w:lang w:bidi="ar-SA"/>
          <w:color w:val="111111"/>
          <w:sz w:val="28"/>
          <w:szCs w:val="28"/>
          <w:rtl/>
        </w:rPr>
        <w:t xml:space="preserve">انجام: فقد أعطيت المفتاح لمن شاء فليفتح و الحمدلله على ما  منح و صلى الله على محمد الأعز الأصبح سيدنا النبي العربي</w:t>
      </w:r>
    </w:p>
    <w:p>
      <w:pPr>
        <w:pStyle w:val="BookText"/>
      </w:pPr>
      <w:r>
        <w:rPr>
          <w:rFonts w:ascii="IRNazanin" w:hAnsi="IRNazanin" w:eastAsia="IRNazanin" w:cs="IRNazanin"/>
          <w:lang w:bidi="fa-IR"/>
          <w:color w:val="111111"/>
          <w:sz w:val="28"/>
          <w:szCs w:val="28"/>
          <w:rtl/>
        </w:rPr>
        <w:t xml:space="preserve">چاپ: تهران؛ طهوری: ۱۳۷۲ش ،بیروت، محقق: سعاد الحكيم، دندرة للطباعة والنشر، ۲۶۳ ص ۱۴۰۸ق.</w:t>
      </w:r>
    </w:p>
    <w:p>
      <w:pPr>
        <w:pStyle w:val="BookText"/>
      </w:pPr>
      <w:r>
        <w:rPr>
          <w:rFonts w:ascii="IRNazanin" w:hAnsi="IRNazanin" w:eastAsia="IRNazanin" w:cs="IRNazanin"/>
          <w:lang w:bidi="fa-IR"/>
          <w:color w:val="111111"/>
          <w:sz w:val="28"/>
          <w:szCs w:val="28"/>
          <w:rtl/>
        </w:rPr>
        <w:t xml:space="preserve">۱. تهران؛ دانشگاه؛ شماره نسخه ۵۵۰۴/۲-ف</w:t>
      </w:r>
    </w:p>
    <w:p>
      <w:pPr>
        <w:pStyle w:val="BookText"/>
      </w:pPr>
      <w:r>
        <w:rPr>
          <w:rFonts w:ascii="IRNazanin" w:hAnsi="IRNazanin" w:eastAsia="IRNazanin" w:cs="IRNazanin"/>
          <w:lang w:bidi="fa-IR"/>
          <w:color w:val="111111"/>
          <w:sz w:val="28"/>
          <w:szCs w:val="28"/>
          <w:rtl/>
        </w:rPr>
        <w:t xml:space="preserve">نسخه اصل: دانشگاه پرینستن ش ۵۹۴۲؛ بی کا، تا: قرن ۱۱؛ ۱۰۹گ (143ر-35پ) [فیلم ها-ف: ۳ - ۱۶۳]</w:t>
      </w:r>
    </w:p>
    <w:p>
      <w:pPr>
        <w:pStyle w:val="BookText"/>
      </w:pPr>
      <w:r>
        <w:rPr>
          <w:rFonts w:ascii="IRNazanin" w:hAnsi="IRNazanin" w:eastAsia="IRNazanin" w:cs="IRNazanin"/>
          <w:lang w:bidi="fa-IR"/>
          <w:color w:val="111111"/>
          <w:sz w:val="28"/>
          <w:szCs w:val="28"/>
          <w:rtl/>
        </w:rPr>
        <w:t xml:space="preserve">۲. اردکان یزد؛ امام صادق؛ شماره نسخه: ۱۱۶/۱۱</w:t>
      </w:r>
    </w:p>
    <w:p>
      <w:pPr>
        <w:pStyle w:val="BookText"/>
      </w:pPr>
      <w:r>
        <w:rPr>
          <w:rFonts w:ascii="IRNazanin" w:hAnsi="IRNazanin" w:eastAsia="IRNazanin" w:cs="IRNazanin"/>
          <w:lang w:bidi="fa-IR"/>
          <w:color w:val="111111"/>
          <w:sz w:val="28"/>
          <w:szCs w:val="28"/>
          <w:rtl/>
        </w:rPr>
        <w:t xml:space="preserve">خط: نستعلیق ،کا: عطاء الله بن نظام حسینی بخاری، بی تا؛ جلد: تیماج قرمز، ۱۵گ (۹۷پ-۱۱۱ر)،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۱ - ۹۸]</w:t>
      </w:r>
    </w:p>
    <w:p>
      <w:pPr>
        <w:pStyle w:val="Heading3"/>
      </w:pPr>
      <w:bookmarkStart w:id="1266" w:name="_Toc788"/>
      <w:r>
        <w:t>الاسرار / كيميا / عربي</w:t>
      </w:r>
      <w:bookmarkEnd w:id="1266"/>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16" w:name="pg20365_260316"/>
    <w:bookmarkEnd w:id="216"/>
    <w:p>
      <w:pPr>
        <w:pStyle w:val="BookText"/>
      </w:pPr>
      <w:r>
        <w:rPr>
          <w:rFonts w:ascii="Times New Roman" w:hAnsi="Times New Roman" w:eastAsia="Times New Roman" w:cs="Times New Roman"/>
          <w:lang w:val="en-US" w:bidi="en-US"/>
          <w:color w:val="111111"/>
          <w:sz w:val="28"/>
          <w:szCs w:val="28"/>
          <w:rtl/>
        </w:rPr>
        <w:t xml:space="preserve">al-asrār</w:t>
      </w:r>
    </w:p>
    <w:p>
      <w:pPr>
        <w:pStyle w:val="BookText"/>
      </w:pPr>
      <w:r>
        <w:rPr>
          <w:rFonts w:ascii="IRNazanin" w:hAnsi="IRNazanin" w:eastAsia="IRNazanin" w:cs="IRNazanin"/>
          <w:lang w:bidi="fa-IR"/>
          <w:color w:val="111111"/>
          <w:sz w:val="28"/>
          <w:szCs w:val="28"/>
          <w:rtl/>
        </w:rPr>
        <w:t xml:space="preserve">رازی، محمد بن  زکریا، ۲۵۱ - ۳۱۳ قمری</w:t>
      </w:r>
    </w:p>
    <w:p>
      <w:pPr>
        <w:pStyle w:val="BookText"/>
      </w:pPr>
      <w:r>
        <w:rPr>
          <w:rFonts w:ascii="Times New Roman" w:hAnsi="Times New Roman" w:eastAsia="Times New Roman" w:cs="Times New Roman"/>
          <w:lang w:val="en-US" w:bidi="en-US"/>
          <w:color w:val="111111"/>
          <w:sz w:val="28"/>
          <w:szCs w:val="28"/>
          <w:rtl/>
        </w:rPr>
        <w:t xml:space="preserve">(rāzī, mohammad ebn-e zakaryīā (866 - 926)</w:t>
      </w:r>
    </w:p>
    <w:p>
      <w:pPr>
        <w:pStyle w:val="BookText"/>
      </w:pPr>
      <w:r>
        <w:rPr>
          <w:rFonts w:ascii="IRNazanin" w:hAnsi="IRNazanin" w:eastAsia="IRNazanin" w:cs="IRNazanin"/>
          <w:lang w:bidi="fa-IR"/>
          <w:color w:val="111111"/>
          <w:sz w:val="28"/>
          <w:szCs w:val="28"/>
          <w:rtl/>
        </w:rPr>
        <w:t xml:space="preserve">چاپ ،تهران، جامعه تهران، چاپخانه حیدری، ۱۲۸ ص ۱۳۴۳ ق .</w:t>
      </w:r>
    </w:p>
    <w:p>
      <w:pPr>
        <w:pStyle w:val="BookText"/>
      </w:pPr>
      <w:r>
        <w:rPr>
          <w:rFonts w:ascii="IRNazanin" w:hAnsi="IRNazanin" w:eastAsia="IRNazanin" w:cs="IRNazanin"/>
          <w:lang w:bidi="fa-IR"/>
          <w:color w:val="111111"/>
          <w:sz w:val="28"/>
          <w:szCs w:val="28"/>
          <w:rtl/>
        </w:rPr>
        <w:t xml:space="preserve">[دیباچه دانش پژوه در آغاز چاپ این کتاب در ۱۳۴۳]</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IRNazanin" w:hAnsi="IRNazanin" w:eastAsia="IRNazanin" w:cs="IRNazanin"/>
          <w:lang w:bidi="fa-IR"/>
          <w:color w:val="111111"/>
          <w:sz w:val="28"/>
          <w:szCs w:val="28"/>
          <w:rtl/>
        </w:rPr>
        <w:t xml:space="preserve">۱- سر الاسرار (ترجمه)</w:t>
      </w:r>
    </w:p>
    <w:p>
      <w:pPr>
        <w:pStyle w:val="BookText"/>
      </w:pPr>
      <w:r>
        <w:rPr>
          <w:rFonts w:ascii="IRNazanin" w:hAnsi="IRNazanin" w:eastAsia="IRNazanin" w:cs="IRNazanin"/>
          <w:lang w:bidi="fa-IR"/>
          <w:color w:val="111111"/>
          <w:sz w:val="28"/>
          <w:szCs w:val="28"/>
          <w:rtl/>
        </w:rPr>
        <w:t xml:space="preserve">۱. تهران؛ ملی؛ شماره نسخه: ۱۸۷۰</w:t>
      </w:r>
    </w:p>
    <w:p>
      <w:pPr>
        <w:pStyle w:val="BookText"/>
      </w:pPr>
      <w:r>
        <w:rPr>
          <w:rFonts w:ascii="Amiri" w:hAnsi="Amiri" w:eastAsia="Amiri" w:cs="Amiri"/>
          <w:lang w:bidi="ar-SA"/>
          <w:color w:val="111111"/>
          <w:sz w:val="28"/>
          <w:szCs w:val="28"/>
          <w:rtl/>
        </w:rPr>
        <w:t xml:space="preserve">آغاز: يبقا مصعدا او مختقا احمر و شمعه بماء النوشادر؛ انجام: و آخر ذلك كله الحل و العقد ثلاث دفوع تم ذلك و الحمد لله وحده.</w:t>
      </w:r>
    </w:p>
    <w:p>
      <w:pPr>
        <w:pStyle w:val="BookText"/>
      </w:pPr>
      <w:r>
        <w:rPr>
          <w:rFonts w:ascii="IRNazanin" w:hAnsi="IRNazanin" w:eastAsia="IRNazanin" w:cs="IRNazanin"/>
          <w:lang w:bidi="fa-IR"/>
          <w:color w:val="111111"/>
          <w:sz w:val="28"/>
          <w:szCs w:val="28"/>
          <w:rtl/>
        </w:rPr>
        <w:t xml:space="preserve">جزء اول آن در این نسخه افتاده و چند صفحه آخر آن بحث در تکلیس طلا و نقره و نحاس به اقسام آن می کند. از صفحه  44  جزء ثانی کتاب اسرار شروع و تا آخر نسخه این جزء و جزء ثـالث می آید، در جزء دوم تکلیس بقیه فلزات مورد عمل در کیمیا ذکر می شود و سپس تشميع شرح می گردد و تشميع همه فلزات مورد عمل در کیمیا بیان می شود و بعد ابواب التحلیل گشوده می گردد و در این جزء و جزء ثالث تحليل بالمياه الحادة و تحلیل گشـوده می گردد و در این جزء و جزء ثالث تحليل بالمياه الحادة و تحلیل بالمياه بالزيد و تحليل بالرطوبه و تحليل بالدن و تحليل بالمرجل تحليل بالعميا و تحليل بالكروس و الحب و تحليل بالتقطير مى آید و بعد ابواب عقد یعنی عقود چهارگانه شرح و بعد از آن انواع تصعید و سپس ابواب تدبیر بیان می شود و به آخر ابواب معدنیه می آید. در صفحه آخر از نصف صفحه باب عمل قمر از کتـاب فاضل حسان بن عیسی شروع و هنوز چهار سطر از این باب نیامده نسخه به پایان می رود؛ خط: نسخ، بی کا، تا: قرن ۱۲؛ افتادگی؛ آغاز و انجام؛ ابتداء نسخه از برگ ۴۱ شروع میشود به ظاهر40 برگ اول کتاب این نسخه افتاده در حقیقت تعداد برگ های ۵۷ می باشد ولی چون شماره و برگ آخر مورد لحاظ است لذا عدد برگ ها ۹۷ آمده ؛کاغذ ،فرنگی حنایی، جلد: میشن تریاکی ،مقوایی ،۹۷گ ۱۶ سطر ،(7/5</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،اندازه:۱۰/۵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۱۵/۵سم [  ۴۶۶ - ۱۰  ]</w:t>
      </w:r>
    </w:p>
    <w:p>
      <w:pPr>
        <w:pStyle w:val="BookText"/>
      </w:pPr>
      <w:r>
        <w:rPr>
          <w:rFonts w:ascii="IRNazanin" w:hAnsi="IRNazanin" w:eastAsia="IRNazanin" w:cs="IRNazanin"/>
          <w:lang w:bidi="fa-IR"/>
          <w:color w:val="111111"/>
          <w:sz w:val="28"/>
          <w:szCs w:val="28"/>
          <w:rtl/>
        </w:rPr>
        <w:t xml:space="preserve">۲. تهران؛ مجلس؛ شماره نسخه: ۶۷۹۲/۳</w:t>
      </w:r>
    </w:p>
    <w:p>
      <w:pPr>
        <w:pStyle w:val="BookText"/>
      </w:pPr>
      <w:r>
        <w:rPr>
          <w:rFonts w:ascii="IRNazanin" w:hAnsi="IRNazanin" w:eastAsia="IRNazanin" w:cs="IRNazanin"/>
          <w:lang w:bidi="fa-IR"/>
          <w:color w:val="111111"/>
          <w:sz w:val="28"/>
          <w:szCs w:val="28"/>
          <w:rtl/>
        </w:rPr>
        <w:t xml:space="preserve">بخشی از کتاب ؛خط: نستعلیق، بی کا، تا: ۱۱۰۴ق، جا: دار السلطنه اصفهان؛ در حاشیه کتاب یادداشت های مختصری در کیمیا آمـده ؛جلد: تيماج ،مشکی، ۵گ (۶پ -۱۰ر)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  ف: ۲۶۰ - ۲۰  ]</w:t>
      </w:r>
    </w:p>
    <w:p>
      <w:pPr>
        <w:pStyle w:val="BookText"/>
      </w:pPr>
      <w:r>
        <w:rPr>
          <w:rFonts w:ascii="IRNazanin" w:hAnsi="IRNazanin" w:eastAsia="IRNazanin" w:cs="IRNazanin"/>
          <w:lang w:bidi="fa-IR"/>
          <w:color w:val="111111"/>
          <w:sz w:val="28"/>
          <w:szCs w:val="28"/>
          <w:rtl/>
        </w:rPr>
        <w:t xml:space="preserve">3.تهران؛ دانشگاه؛ شماره نسخه: ۱۲۵۸-ف</w:t>
      </w:r>
    </w:p>
    <w:p>
      <w:pPr>
        <w:pStyle w:val="BookText"/>
      </w:pPr>
      <w:r>
        <w:rPr>
          <w:rFonts w:ascii="IRNazanin" w:hAnsi="IRNazanin" w:eastAsia="IRNazanin" w:cs="IRNazanin"/>
          <w:lang w:bidi="fa-IR"/>
          <w:color w:val="111111"/>
          <w:sz w:val="28"/>
          <w:szCs w:val="28"/>
          <w:rtl/>
        </w:rPr>
        <w:t xml:space="preserve">بی کا، تا: قرن ۱۲ و ۱۳ [ فیلم ها-ف: ۱ - ۲۸۲]</w:t>
      </w:r>
    </w:p>
    <w:p>
      <w:pPr>
        <w:pStyle w:val="Heading3"/>
      </w:pPr>
      <w:bookmarkStart w:id="1267" w:name="_Toc789"/>
      <w:r>
        <w:t>اسرار / عرفان و تصوف / فارسی</w:t>
      </w:r>
      <w:bookmarkEnd w:id="1267"/>
    </w:p>
    <w:p>
      <w:pPr>
        <w:pStyle w:val="BookText"/>
      </w:pPr>
      <w:r>
        <w:rPr>
          <w:rFonts w:ascii="Times New Roman" w:hAnsi="Times New Roman" w:eastAsia="Times New Roman" w:cs="Times New Roman"/>
          <w:lang w:val="en-US" w:bidi="en-US"/>
          <w:color w:val="111111"/>
          <w:sz w:val="28"/>
          <w:szCs w:val="28"/>
          <w:rtl/>
        </w:rPr>
        <w:t xml:space="preserve">asrār</w:t>
      </w:r>
    </w:p>
    <w:p>
      <w:pPr>
        <w:pStyle w:val="BookText"/>
      </w:pPr>
      <w:r>
        <w:rPr>
          <w:rFonts w:ascii="IRNazanin" w:hAnsi="IRNazanin" w:eastAsia="IRNazanin" w:cs="IRNazanin"/>
          <w:lang w:bidi="fa-IR"/>
          <w:color w:val="111111"/>
          <w:sz w:val="28"/>
          <w:szCs w:val="28"/>
          <w:rtl/>
        </w:rPr>
        <w:t xml:space="preserve">شمس تبریزی، محمد بن علی، ۵۸۲ - ۶۴۵ قمری</w:t>
      </w:r>
    </w:p>
    <w:p>
      <w:pPr>
        <w:pStyle w:val="BookText"/>
      </w:pPr>
      <w:r>
        <w:rPr>
          <w:rFonts w:ascii="Times New Roman" w:hAnsi="Times New Roman" w:eastAsia="Times New Roman" w:cs="Times New Roman"/>
          <w:lang w:val="en-US" w:bidi="en-US"/>
          <w:color w:val="111111"/>
          <w:sz w:val="28"/>
          <w:szCs w:val="28"/>
          <w:rtl/>
        </w:rPr>
        <w:t xml:space="preserve">(šams-e tabrīzī, mohammad ebn-e 'alī (1187 1248)</w:t>
      </w:r>
    </w:p>
    <w:p>
      <w:pPr>
        <w:pStyle w:val="BookText"/>
      </w:pPr>
      <w:r>
        <w:rPr>
          <w:rFonts w:ascii="IRNazanin" w:hAnsi="IRNazanin" w:eastAsia="IRNazanin" w:cs="IRNazanin"/>
          <w:lang w:bidi="fa-IR"/>
          <w:color w:val="111111"/>
          <w:sz w:val="28"/>
          <w:szCs w:val="28"/>
          <w:rtl/>
        </w:rPr>
        <w:t xml:space="preserve">مطالب متفرقه ای است در مباحث اعتقادی و اخلاقی با شواهدی قرآنی و روایی و شعری و حکایات که با بیانی ساده و خالی از قواعد ادبی بیان شده است.</w:t>
      </w:r>
    </w:p>
    <w:p>
      <w:pPr>
        <w:pStyle w:val="BookText"/>
      </w:pPr>
      <w:r>
        <w:rPr>
          <w:rFonts w:ascii="IRNazanin" w:hAnsi="IRNazanin" w:eastAsia="IRNazanin" w:cs="IRNazanin"/>
          <w:lang w:bidi="fa-IR"/>
          <w:color w:val="111111"/>
          <w:sz w:val="28"/>
          <w:szCs w:val="28"/>
          <w:rtl/>
        </w:rPr>
        <w:t xml:space="preserve">قم؛ مرکز احیاء؛ شماره نسخه: ۱۲۰۴/۶</w:t>
      </w:r>
    </w:p>
    <w:p>
      <w:pPr>
        <w:pStyle w:val="BookText"/>
      </w:pPr>
      <w:r>
        <w:rPr>
          <w:rFonts w:ascii="IRNazanin" w:hAnsi="IRNazanin" w:eastAsia="IRNazanin" w:cs="IRNazanin"/>
          <w:lang w:bidi="fa-IR"/>
          <w:color w:val="111111"/>
          <w:sz w:val="28"/>
          <w:szCs w:val="28"/>
          <w:rtl/>
        </w:rPr>
        <w:t xml:space="preserve">آغاز: گفتم آدمی می باید در همه عمر یکبار زله کند باقی همه عمر مستغفر آن باشد من اشبه اباه فما ظلم وتقریر زلت آدم و توبه او سبب نزول</w:t>
      </w:r>
    </w:p>
    <w:p>
      <w:pPr>
        <w:pStyle w:val="BookText"/>
      </w:pPr>
      <w:r>
        <w:rPr>
          <w:rFonts w:ascii="IRNazanin" w:hAnsi="IRNazanin" w:eastAsia="IRNazanin" w:cs="IRNazanin"/>
          <w:lang w:bidi="fa-IR"/>
          <w:color w:val="111111"/>
          <w:sz w:val="28"/>
          <w:szCs w:val="28"/>
          <w:rtl/>
        </w:rPr>
        <w:t xml:space="preserve">نسخه اصل: کتابخانه مولانا قوفیه - ترکیه ۷۹؛ خط: نسخ، بی کا، تا: اواخر ذیحجه ۷۵۴ق؛ ۳۶ ص (۳۱۵ - ۳۵۰) [ عکسی ف: ۴ - ۹]</w:t>
      </w:r>
    </w:p>
    <w:p>
      <w:pPr>
        <w:pStyle w:val="Heading3"/>
      </w:pPr>
      <w:bookmarkStart w:id="1268" w:name="_Toc790"/>
      <w:r>
        <w:t>الاسرار / عرفان و تصوف / عربی</w:t>
      </w:r>
      <w:bookmarkEnd w:id="1268"/>
    </w:p>
    <w:p>
      <w:pPr>
        <w:pStyle w:val="BookText"/>
      </w:pPr>
      <w:r>
        <w:rPr>
          <w:rFonts w:ascii="Times New Roman" w:hAnsi="Times New Roman" w:eastAsia="Times New Roman" w:cs="Times New Roman"/>
          <w:lang w:val="en-US" w:bidi="en-US"/>
          <w:color w:val="111111"/>
          <w:sz w:val="28"/>
          <w:szCs w:val="28"/>
          <w:rtl/>
        </w:rPr>
        <w:t xml:space="preserve">al-asrār</w:t>
      </w:r>
    </w:p>
    <w:p>
      <w:pPr>
        <w:pStyle w:val="BookText"/>
      </w:pPr>
      <w:r>
        <w:rPr>
          <w:rFonts w:ascii="IRNazanin" w:hAnsi="IRNazanin" w:eastAsia="IRNazanin" w:cs="IRNazanin"/>
          <w:lang w:bidi="fa-IR"/>
          <w:color w:val="111111"/>
          <w:sz w:val="28"/>
          <w:szCs w:val="28"/>
          <w:rtl/>
        </w:rPr>
        <w:t xml:space="preserve">صدر الدین  قونیوی، محمد بن اسحاق، ۶۰۷ - 673قمری</w:t>
      </w:r>
    </w:p>
    <w:p>
      <w:pPr>
        <w:pStyle w:val="BookText"/>
      </w:pPr>
      <w:r>
        <w:rPr>
          <w:rFonts w:ascii="Times New Roman" w:hAnsi="Times New Roman" w:eastAsia="Times New Roman" w:cs="Times New Roman"/>
          <w:lang w:val="en-US" w:bidi="en-US"/>
          <w:color w:val="111111"/>
          <w:sz w:val="28"/>
          <w:szCs w:val="28"/>
          <w:rtl/>
        </w:rPr>
        <w:t xml:space="preserve">(1275-sadr-od-din qūnīyavī, mohammad ebn-e eshaq (1211 -</w:t>
      </w:r>
    </w:p>
    <w:p>
      <w:pPr>
        <w:pStyle w:val="BookText"/>
      </w:pPr>
      <w:r>
        <w:rPr>
          <w:rFonts w:ascii="Amiri" w:hAnsi="Amiri" w:eastAsia="Amiri" w:cs="Amiri"/>
          <w:lang w:bidi="ar-SA"/>
          <w:color w:val="111111"/>
          <w:sz w:val="28"/>
          <w:szCs w:val="28"/>
          <w:rtl/>
        </w:rPr>
        <w:t xml:space="preserve">آغاز: الحمد لله رب العالمين ... و بعد فهذه نكتة من اسرار الحق الناطق بها على السنة موجوداته من من ... باختلاف عباراتها و بحسب مفهوماتها</w:t>
      </w:r>
    </w:p>
    <w:p>
      <w:pPr>
        <w:pStyle w:val="BookText"/>
      </w:pPr>
      <w:r>
        <w:rPr>
          <w:rFonts w:ascii="Amiri" w:hAnsi="Amiri" w:eastAsia="Amiri" w:cs="Amiri"/>
          <w:lang w:bidi="ar-SA"/>
          <w:color w:val="111111"/>
          <w:sz w:val="28"/>
          <w:szCs w:val="28"/>
          <w:rtl/>
        </w:rPr>
        <w:t xml:space="preserve">انجام: و كذلك نسأل من الله الكريم الجواد أن يرزقه هذه  المقامات بفضله وسعة رحمته إنه ولى الإجابة</w:t>
      </w:r>
    </w:p>
    <w:p>
      <w:pPr>
        <w:pStyle w:val="BookText"/>
      </w:pPr>
      <w:r>
        <w:rPr>
          <w:rFonts w:ascii="IRNazanin" w:hAnsi="IRNazanin" w:eastAsia="IRNazanin" w:cs="IRNazanin"/>
          <w:lang w:bidi="fa-IR"/>
          <w:color w:val="111111"/>
          <w:sz w:val="28"/>
          <w:szCs w:val="28"/>
          <w:rtl/>
        </w:rPr>
        <w:t xml:space="preserve">اردکان یزد؛ امام صادق؛ شماره نسخه: ۱۱۶/۱۰</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کا: عطاء الله بن نظام حسینی بخاری، بی تا؛ جلد: تیماج قرمز، ۵گ (۹۳ ر -۱۹۷ر)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۱ - ۹۸]</w:t>
      </w:r>
    </w:p>
    <w:p>
      <w:pPr>
        <w:pStyle w:val="Heading3"/>
      </w:pPr>
      <w:bookmarkStart w:id="1269" w:name="_Toc791"/>
      <w:r>
        <w:t>الاسرار / كيميا / عربي</w:t>
      </w:r>
      <w:bookmarkEnd w:id="1269"/>
    </w:p>
    <w:p>
      <w:pPr>
        <w:pStyle w:val="BookText"/>
      </w:pPr>
      <w:r>
        <w:rPr>
          <w:rFonts w:ascii="Times New Roman" w:hAnsi="Times New Roman" w:eastAsia="Times New Roman" w:cs="Times New Roman"/>
          <w:lang w:val="en-US" w:bidi="en-US"/>
          <w:color w:val="111111"/>
          <w:sz w:val="28"/>
          <w:szCs w:val="28"/>
          <w:rtl/>
        </w:rPr>
        <w:t xml:space="preserve">al-asrār</w:t>
      </w:r>
    </w:p>
    <w:p>
      <w:pPr>
        <w:pStyle w:val="BookText"/>
      </w:pPr>
      <w:r>
        <w:rPr>
          <w:rFonts w:ascii="IRNazanin" w:hAnsi="IRNazanin" w:eastAsia="IRNazanin" w:cs="IRNazanin"/>
          <w:lang w:bidi="fa-IR"/>
          <w:color w:val="111111"/>
          <w:sz w:val="28"/>
          <w:szCs w:val="28"/>
          <w:rtl/>
        </w:rPr>
        <w:t xml:space="preserve">مشهد؛ مدرسه باقریه؛ شماره نسخه: ۳۲۱/۵</w:t>
      </w:r>
    </w:p>
    <w:p>
      <w:pPr>
        <w:pStyle w:val="BookText"/>
      </w:pPr>
      <w:r>
        <w:rPr>
          <w:rFonts w:ascii="IRNazanin" w:hAnsi="IRNazanin" w:eastAsia="IRNazanin" w:cs="IRNazanin"/>
          <w:lang w:bidi="fa-IR"/>
          <w:color w:val="111111"/>
          <w:sz w:val="28"/>
          <w:szCs w:val="28"/>
          <w:rtl/>
        </w:rPr>
        <w:t xml:space="preserve">بی کا، بی تا [ تراثنا س ۶ش ۴ - ۱۰۲]</w:t>
      </w:r>
    </w:p>
    <w:p>
      <w:pPr>
        <w:pStyle w:val="Heading3"/>
      </w:pPr>
      <w:bookmarkStart w:id="1270" w:name="_Toc792"/>
      <w:r>
        <w:t>اسرار الآيات / عرفان و تصوف / فارسی</w:t>
      </w:r>
      <w:bookmarkEnd w:id="1270"/>
    </w:p>
    <w:p>
      <w:pPr>
        <w:pStyle w:val="BookText"/>
      </w:pPr>
      <w:r>
        <w:rPr>
          <w:rFonts w:ascii="Times New Roman" w:hAnsi="Times New Roman" w:eastAsia="Times New Roman" w:cs="Times New Roman"/>
          <w:lang w:val="en-US" w:bidi="en-US"/>
          <w:color w:val="111111"/>
          <w:sz w:val="28"/>
          <w:szCs w:val="28"/>
          <w:rtl/>
        </w:rPr>
        <w:t xml:space="preserve">asrār-ol-āyāt</w:t>
      </w:r>
    </w:p>
    <w:p>
      <w:pPr>
        <w:pStyle w:val="BookText"/>
      </w:pPr>
      <w:r>
        <w:rPr>
          <w:rFonts w:ascii="IRNazanin" w:hAnsi="IRNazanin" w:eastAsia="IRNazanin" w:cs="IRNazanin"/>
          <w:lang w:bidi="fa-IR"/>
          <w:color w:val="111111"/>
          <w:sz w:val="28"/>
          <w:szCs w:val="28"/>
          <w:rtl/>
        </w:rPr>
        <w:t xml:space="preserve">قاینی، کافی بن محتشم، ق۱۱ قمری</w:t>
      </w:r>
    </w:p>
    <w:p>
      <w:pPr>
        <w:pStyle w:val="BookText"/>
      </w:pPr>
      <w:r>
        <w:rPr>
          <w:rFonts w:ascii="Times New Roman" w:hAnsi="Times New Roman" w:eastAsia="Times New Roman" w:cs="Times New Roman"/>
          <w:lang w:val="en-US" w:bidi="en-US"/>
          <w:color w:val="111111"/>
          <w:sz w:val="28"/>
          <w:szCs w:val="28"/>
          <w:rtl/>
        </w:rPr>
        <w:t xml:space="preserve">(qāyenī, kāfi ebn-e mohtašam (- 17c)</w:t>
      </w:r>
    </w:p>
    <w:p>
      <w:pPr>
        <w:pStyle w:val="BookText"/>
      </w:pPr>
      <w:r>
        <w:rPr>
          <w:rFonts w:ascii="IRNazanin" w:hAnsi="IRNazanin" w:eastAsia="IRNazanin" w:cs="IRNazanin"/>
          <w:lang w:bidi="fa-IR"/>
          <w:color w:val="111111"/>
          <w:sz w:val="28"/>
          <w:szCs w:val="28"/>
          <w:rtl/>
        </w:rPr>
        <w:t xml:space="preserve">در آن از نبوت مجهول ارسطو و سخن «نبی کامل و حکیم حكيم فاضل زرادشت در کتاب زند» و از رساله «فیض الهی» ابن سینا و از ابوعبدالله محمد الرازی و «ما بعد الطبيعة» و «فلسفه اولی» ارسطو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17" w:name="pg20365_260317"/>
    <w:bookmarkEnd w:id="217"/>
    <w:p>
      <w:pPr>
        <w:pStyle w:val="BookText"/>
      </w:pPr>
      <w:r>
        <w:rPr>
          <w:rFonts w:ascii="IRNazanin" w:hAnsi="IRNazanin" w:eastAsia="IRNazanin" w:cs="IRNazanin"/>
          <w:lang w:bidi="fa-IR"/>
          <w:color w:val="111111"/>
          <w:sz w:val="28"/>
          <w:szCs w:val="28"/>
          <w:rtl/>
        </w:rPr>
        <w:t xml:space="preserve">یاد شده است. در باب ۱۲ نامه ای است فلسفی از «خردمند فاضل و دانشور کامل محمد المحسن الاصفهانی اندر اثبات علم احکام النجوم» و گویا مراد او معزالدین محمد بن تقى الدين محمد حسینی اصفهانی باشد که در «التسهیل» از او یاد کرده و گویا از او است که به «الفيلسوف الاستاد «المفيض» (مانند «المحسن»  اینجا تعبیر نموده است. فهرست باب های این رساله چنین است :۱. در آن که به چیست که برخی از مردم که از دنیا اعراض نموده باشند روزگاری چیزی نخورند؛ ۲. در آن که به چیست که گروهی کارهایی بکنند که دیگران آن را نکنند؛ ۳. در آن چسان از غیب آگاهی توان داد و وحی و خواب چیست؛ ۴. آن که کاهنی چیست و کهانت به چه پدید آید؛ ۵. آن والهان چگونه از غیبت آگاهی دهند؛ ۶. در آن که گروهی دیگر به چه از غیبت آگاهی دهند و وجود جن به چیست؛ ۷. آن که خوارق عادات به چه پدید آید؛ ۸. در آن که جادویی بود؛ ۹. در آن که چشم زخم به چه باشد؛ ۱۰. صحت عزايم تعاويذ؛ ۱۱. كيفيت وجود طلسمات و نیز نجات و آنچه بدان متعلق است؛ ۱۲. در آن که به چه وجه تقدمه معرفت به علم نجوم چون به حاصل آید از گفتار حکیم فاضل محمد محسن؛  13. حكيم كيفيت وجود زیارت مشاهد و گورستان؛ ۱۴. سبب استجابت دعوات؛ ۱۵. در آن که روا نبود که دنیا از پیمبری یا امامی خالی باشد؛ 16.در آن سبب اختلاف مردم به چیست؛ خاتمة  الکتاب در آنکه این رساله بعد از علوم حکمت باید خواند.</w:t>
      </w:r>
    </w:p>
    <w:p>
      <w:pPr>
        <w:pStyle w:val="BookText"/>
      </w:pPr>
      <w:r>
        <w:rPr>
          <w:rFonts w:ascii="IRNazanin" w:hAnsi="IRNazanin" w:eastAsia="IRNazanin" w:cs="IRNazanin"/>
          <w:lang w:bidi="fa-IR"/>
          <w:color w:val="111111"/>
          <w:sz w:val="28"/>
          <w:szCs w:val="28"/>
          <w:rtl/>
        </w:rPr>
        <w:t xml:space="preserve">آغاز: بسمله الحمد لله رب العالمين ... و بعد این رساله ای اسـت که برای هدیه مجلس عالى والد اجل اکرم زاده الله علوا نبشتم واندرو باز نمودم چگونگی پیدایش غرائب و عجایب شگفتیهایی که بدین گیتی اندر است و سخن را دشوار یاد نکردم و حقیقت آنچه خواستم بچند باب روشن گردانیدم</w:t>
      </w:r>
    </w:p>
    <w:p>
      <w:pPr>
        <w:pStyle w:val="BookText"/>
      </w:pPr>
      <w:r>
        <w:rPr>
          <w:rFonts w:ascii="IRNazanin" w:hAnsi="IRNazanin" w:eastAsia="IRNazanin" w:cs="IRNazanin"/>
          <w:lang w:bidi="fa-IR"/>
          <w:color w:val="111111"/>
          <w:sz w:val="28"/>
          <w:szCs w:val="28"/>
          <w:rtl/>
        </w:rPr>
        <w:t xml:space="preserve">چاپ: در رسائل عرفانی و فلسفی حکیم قاینی (تهران انتشارات علمی فرهنگی )</w:t>
      </w:r>
    </w:p>
    <w:p>
      <w:pPr>
        <w:pStyle w:val="BookText"/>
      </w:pPr>
      <w:r>
        <w:rPr>
          <w:rFonts w:ascii="IRNazanin" w:hAnsi="IRNazanin" w:eastAsia="IRNazanin" w:cs="IRNazanin"/>
          <w:lang w:bidi="fa-IR"/>
          <w:color w:val="111111"/>
          <w:sz w:val="28"/>
          <w:szCs w:val="28"/>
          <w:rtl/>
        </w:rPr>
        <w:t xml:space="preserve">[فهرستواره منزوی ۶۰/۷]</w:t>
      </w:r>
    </w:p>
    <w:p>
      <w:pPr>
        <w:pStyle w:val="BookText"/>
      </w:pPr>
      <w:r>
        <w:rPr>
          <w:rFonts w:ascii="IRNazanin" w:hAnsi="IRNazanin" w:eastAsia="IRNazanin" w:cs="IRNazanin"/>
          <w:lang w:bidi="fa-IR"/>
          <w:color w:val="111111"/>
          <w:sz w:val="28"/>
          <w:szCs w:val="28"/>
          <w:rtl/>
        </w:rPr>
        <w:t xml:space="preserve">تهران؛ دانشگاه؛ شماره نسخه: ۲۹۸۱/۵-ف</w:t>
      </w:r>
    </w:p>
    <w:p>
      <w:pPr>
        <w:pStyle w:val="BookText"/>
      </w:pPr>
      <w:r>
        <w:rPr>
          <w:rFonts w:ascii="IRNazanin" w:hAnsi="IRNazanin" w:eastAsia="IRNazanin" w:cs="IRNazanin"/>
          <w:lang w:bidi="fa-IR"/>
          <w:color w:val="111111"/>
          <w:sz w:val="28"/>
          <w:szCs w:val="28"/>
          <w:rtl/>
        </w:rPr>
        <w:t xml:space="preserve">آغاز: بسمله. الحمد لله رب العالمين ... و بعد این رساله ای اسـت که برای هدیه مجلس عالى والد اجل اکرم زاده الله علوا نبشتـم اندرو باز نمودم چگونگی پیدایش غرائب و عجایب و شگفتیهایی که بدین گیتی اندراست و سخن را دشوار یاد نکردم و حقیقت آنچه خواستم بچند باب روشن گردانیدم؛ انجام: باب پانزدهم اندر آنکه روا نبود که گیتی از پیامبری یا امامی که به روح قدسی موید بود خالی باشد و بیان آن</w:t>
      </w:r>
    </w:p>
    <w:p>
      <w:pPr>
        <w:pStyle w:val="BookText"/>
      </w:pPr>
      <w:r>
        <w:rPr>
          <w:rFonts w:ascii="IRNazanin" w:hAnsi="IRNazanin" w:eastAsia="IRNazanin" w:cs="IRNazanin"/>
          <w:lang w:bidi="fa-IR"/>
          <w:color w:val="111111"/>
          <w:sz w:val="28"/>
          <w:szCs w:val="28"/>
          <w:rtl/>
        </w:rPr>
        <w:t xml:space="preserve">نسخه اصل: نسخه آقای شیخ آقا بزرگ تهرانی؛ خط:نستعلیق، كاتب - مؤلف، بی تا، افتادگی: انجام با همان گونه حواشی ضـیاء الدین محمد، ص ع به خط نستعلیق گویا از خود مؤلف و گزیده مانند است؛ ۴۷گ (129پ-83پ) [فیلم ها -ف: ۱ - ۷۴۸]</w:t>
      </w:r>
    </w:p>
    <w:p>
      <w:pPr>
        <w:pStyle w:val="Heading3"/>
      </w:pPr>
      <w:bookmarkStart w:id="1271" w:name="_Toc793"/>
      <w:r>
        <w:t>اسرار الآیات و انوار البينات / تفسیر / عربی</w:t>
      </w:r>
      <w:bookmarkEnd w:id="1271"/>
    </w:p>
    <w:p>
      <w:pPr>
        <w:pStyle w:val="BookText"/>
      </w:pPr>
      <w:r>
        <w:rPr>
          <w:rFonts w:ascii="Times New Roman" w:hAnsi="Times New Roman" w:eastAsia="Times New Roman" w:cs="Times New Roman"/>
          <w:lang w:val="en-US" w:bidi="en-US"/>
          <w:color w:val="111111"/>
          <w:sz w:val="28"/>
          <w:szCs w:val="28"/>
          <w:rtl/>
        </w:rPr>
        <w:t xml:space="preserve">asrar-ul ayat wa anwar-ul bayyinat</w:t>
      </w:r>
    </w:p>
    <w:p>
      <w:pPr>
        <w:pStyle w:val="BookText"/>
      </w:pPr>
      <w:r>
        <w:rPr>
          <w:rFonts w:ascii="IRNazanin" w:hAnsi="IRNazanin" w:eastAsia="IRNazanin" w:cs="IRNazanin"/>
          <w:lang w:bidi="fa-IR"/>
          <w:color w:val="111111"/>
          <w:sz w:val="28"/>
          <w:szCs w:val="28"/>
          <w:rtl/>
        </w:rPr>
        <w:t xml:space="preserve">صدرالدین  شیرازی، محمد بن ابراهيم، ۹۷۹ -  1050 قمری</w:t>
      </w:r>
    </w:p>
    <w:p>
      <w:pPr>
        <w:pStyle w:val="BookText"/>
      </w:pPr>
      <w:r>
        <w:rPr>
          <w:rFonts w:ascii="Times New Roman" w:hAnsi="Times New Roman" w:eastAsia="Times New Roman" w:cs="Times New Roman"/>
          <w:lang w:val="en-US" w:bidi="en-US"/>
          <w:color w:val="111111"/>
          <w:sz w:val="28"/>
          <w:szCs w:val="28"/>
          <w:rtl/>
        </w:rPr>
        <w:t xml:space="preserve">(1641-sadr-od-dīn-e šīrāzī, mohammad ebn-e ebrāhīm (1572 -</w:t>
      </w:r>
    </w:p>
    <w:p>
      <w:pPr>
        <w:pStyle w:val="BookText"/>
      </w:pPr>
      <w:r>
        <w:rPr>
          <w:rFonts w:ascii="IRNazanin" w:hAnsi="IRNazanin" w:eastAsia="IRNazanin" w:cs="IRNazanin"/>
          <w:lang w:bidi="fa-IR"/>
          <w:color w:val="111111"/>
          <w:sz w:val="28"/>
          <w:szCs w:val="28"/>
          <w:rtl/>
        </w:rPr>
        <w:t xml:space="preserve">گفتاری در اسرار آیات الهی در مخلوقات او که با روش فلسفی و عرفانی تدوین شده  است. این کتاب دارای یک «مقدمه» و ۳ «طرف» و هر طرف دارای چند «مشهد» است المقدمة في بيان طريق السالكين؛ طرف ۱. علم الربوبية، در سه «مشهد»: ۱) معرفة الحق الاول جل ذكره و وحدانيته، ۲. صفاته و اسمائه، ٣. دوام الهيته و وجود رحمته؛ طرف .۲. افعاله ،سبحانه در چهار «مشهد» (۱ )حدوث هذا العالم (۲) تحقيق الانقراض و النهاية و اثبات الغاية كالبداية للدنيا 3) احكام المخلوقات الواقعة في سلسلة العود اليه تعالی (۴) بيان النبوة و احكامها؛ طرف ٣. علم المعاد، در سیزده مشهد: (۱) بيان الفطرة الأولى للانسان (۲) علم الساعة سر القيامة (۳) تحقيق القبر وعذابه وثوابه (۴) البعث و الحشر، (۵) الصراط، (۶ نفخ الصور، (٧ نشر الصحف و ابراز الكتب، (۸) الميزان و الحساب (٩ الجنة والنار و ابوابهما، (١٠) الزبانية وعددها (۱۱) الزبانية و عددها (۱۲) شجرة طوبى و شجرة الزقوم، ١٣ كيفية تجدد الاحوال و الاثار علی اصحاب الجنة و الصحاب  النار</w:t>
      </w:r>
    </w:p>
    <w:p>
      <w:pPr>
        <w:pStyle w:val="BookText"/>
      </w:pPr>
      <w:r>
        <w:rPr>
          <w:rFonts w:ascii="IRNazanin" w:hAnsi="IRNazanin" w:eastAsia="IRNazanin" w:cs="IRNazanin"/>
          <w:lang w:bidi="fa-IR"/>
          <w:color w:val="111111"/>
          <w:sz w:val="28"/>
          <w:szCs w:val="28"/>
          <w:rtl/>
        </w:rPr>
        <w:t xml:space="preserve">آغاز: بسمله، نحمد اللهم يا من بيده ملكوت الارض و السماء  و اليه يتشوق و يدور الاشياء ... اما بعد فيقول انزل خلق الله محمد الموعد بصدر الدين هذا بيان للناس و هدى و رحمة للمتقین... هذه انوار علوم الهية و اسرار مسائل ربانية و مقاصد قرآنية مستفاد من آيات الكتاب المبين ... سميتها باسرار الآيات و الانوار البينات</w:t>
      </w:r>
    </w:p>
    <w:p>
      <w:pPr>
        <w:pStyle w:val="BookText"/>
      </w:pPr>
      <w:r>
        <w:rPr>
          <w:rFonts w:ascii="Amiri" w:hAnsi="Amiri" w:eastAsia="Amiri" w:cs="Amiri"/>
          <w:lang w:bidi="ar-SA"/>
          <w:color w:val="111111"/>
          <w:sz w:val="28"/>
          <w:szCs w:val="28"/>
          <w:rtl/>
        </w:rPr>
        <w:t xml:space="preserve">انجام: و اصبحت القوه النفسانية مخترعة للصور الخيالية على الوجه الاقوى فصار الحس و الخيال و اصلاح و المتخيل بعينه محسوس و المحجوب مكشوفا والمعلوم حاضراً كقوله علمت نفس ما احضرت</w:t>
      </w:r>
    </w:p>
    <w:p>
      <w:pPr>
        <w:pStyle w:val="BookText"/>
      </w:pPr>
      <w:r>
        <w:rPr>
          <w:rFonts w:ascii="IRNazanin" w:hAnsi="IRNazanin" w:eastAsia="IRNazanin" w:cs="IRNazanin"/>
          <w:lang w:bidi="fa-IR"/>
          <w:color w:val="111111"/>
          <w:sz w:val="28"/>
          <w:szCs w:val="28"/>
          <w:rtl/>
        </w:rPr>
        <w:t xml:space="preserve">چاپ ،تهران ،۱۳۱۹ق ،رحلی ۱۲۰ ص، همراه با نصف کتاب عرشیه ملاصدرا ،طهران ،سنگی ۱۳۲۲، رحلی، 616+ 1صص؛ ،شیراز ،سنگی ۱۳۳۲؛ رحلی؛ با تحقیق سید محمد موسوی، ،تهران، انتشارات حکمت، ۱۳۸۵ش( به انضمام تعلیقات ملا علی نوری  )</w:t>
      </w:r>
    </w:p>
    <w:p>
      <w:pPr>
        <w:pStyle w:val="BookText"/>
      </w:pPr>
      <w:r>
        <w:rPr>
          <w:rFonts w:ascii="IRNazanin" w:hAnsi="IRNazanin" w:eastAsia="IRNazanin" w:cs="IRNazanin"/>
          <w:lang w:bidi="fa-IR"/>
          <w:color w:val="111111"/>
          <w:sz w:val="28"/>
          <w:szCs w:val="28"/>
          <w:rtl/>
        </w:rPr>
        <w:t xml:space="preserve">[الذريعة ۳۹/۲؛ مشار عربی ص ۵۰ ریحانه ۴۱۷/۳؛ منزوی ۷/۱]</w:t>
      </w:r>
    </w:p>
    <w:p>
      <w:pPr>
        <w:pStyle w:val="BookText"/>
      </w:pPr>
      <w:r>
        <w:rPr>
          <w:rFonts w:ascii="IRNazanin" w:hAnsi="IRNazanin" w:eastAsia="IRNazanin" w:cs="IRNazanin"/>
          <w:lang w:bidi="fa-IR"/>
          <w:color w:val="111111"/>
          <w:sz w:val="28"/>
          <w:szCs w:val="28"/>
          <w:rtl/>
        </w:rPr>
        <w:t xml:space="preserve">۱. تهران؛ ادبیات؛ شماره نسخه: ۳۱۵</w:t>
      </w:r>
    </w:p>
    <w:p>
      <w:pPr>
        <w:pStyle w:val="BookText"/>
      </w:pPr>
      <w:r>
        <w:rPr>
          <w:rFonts w:ascii="IRNazanin" w:hAnsi="IRNazanin" w:eastAsia="IRNazanin" w:cs="IRNazanin"/>
          <w:lang w:bidi="fa-IR"/>
          <w:color w:val="111111"/>
          <w:sz w:val="28"/>
          <w:szCs w:val="28"/>
          <w:rtl/>
        </w:rPr>
        <w:t xml:space="preserve">خط: نستعلیق، بی کا، تا: قرن ۱۱ [ ف : ۳ - ۷۰]</w:t>
      </w:r>
    </w:p>
    <w:p>
      <w:pPr>
        <w:pStyle w:val="BookText"/>
      </w:pPr>
      <w:r>
        <w:rPr>
          <w:rFonts w:ascii="IRNazanin" w:hAnsi="IRNazanin" w:eastAsia="IRNazanin" w:cs="IRNazanin"/>
          <w:lang w:bidi="fa-IR"/>
          <w:color w:val="111111"/>
          <w:sz w:val="28"/>
          <w:szCs w:val="28"/>
          <w:rtl/>
        </w:rPr>
        <w:t xml:space="preserve">2.تهران؛ ادبیات؛ شماره نسخه: ۱۸۹/۱ حکمت</w:t>
      </w:r>
    </w:p>
    <w:p>
      <w:pPr>
        <w:pStyle w:val="BookText"/>
      </w:pPr>
      <w:r>
        <w:rPr>
          <w:rFonts w:ascii="IRNazanin" w:hAnsi="IRNazanin" w:eastAsia="IRNazanin" w:cs="IRNazanin"/>
          <w:lang w:bidi="fa-IR"/>
          <w:color w:val="111111"/>
          <w:sz w:val="28"/>
          <w:szCs w:val="28"/>
          <w:rtl/>
        </w:rPr>
        <w:t xml:space="preserve">خط: نسخ، کا: عبدالواحد بن محمد امین شیرازی تا: ۱۰۹۴ق؛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افتادگی: آغاز؛ جلد: تیماج سرخ  مقوایی، قطع: رحلی [ف: ۲  - 5]</w:t>
      </w:r>
    </w:p>
    <w:p>
      <w:pPr>
        <w:pStyle w:val="BookText"/>
      </w:pPr>
      <w:r>
        <w:rPr>
          <w:rFonts w:ascii="IRNazanin" w:hAnsi="IRNazanin" w:eastAsia="IRNazanin" w:cs="IRNazanin"/>
          <w:lang w:bidi="fa-IR"/>
          <w:color w:val="111111"/>
          <w:sz w:val="28"/>
          <w:szCs w:val="28"/>
          <w:rtl/>
        </w:rPr>
        <w:t xml:space="preserve">۳. مشهد؛ رضوی؛ شماره نسخه: ۶۹۵۳</w:t>
      </w:r>
    </w:p>
    <w:p>
      <w:pPr>
        <w:pStyle w:val="BookText"/>
      </w:pPr>
      <w:r>
        <w:rPr>
          <w:rFonts w:ascii="IRNazanin" w:hAnsi="IRNazanin" w:eastAsia="IRNazanin" w:cs="IRNazanin"/>
          <w:lang w:bidi="fa-IR"/>
          <w:color w:val="111111"/>
          <w:sz w:val="28"/>
          <w:szCs w:val="28"/>
          <w:rtl/>
        </w:rPr>
        <w:t xml:space="preserve">آغاز و انجام : برابر</w:t>
      </w:r>
    </w:p>
    <w:p>
      <w:pPr>
        <w:pStyle w:val="BookText"/>
      </w:pPr>
      <w:r>
        <w:rPr>
          <w:rFonts w:ascii="IRNazanin" w:hAnsi="IRNazanin" w:eastAsia="IRNazanin" w:cs="IRNazanin"/>
          <w:lang w:bidi="fa-IR"/>
          <w:color w:val="111111"/>
          <w:sz w:val="28"/>
          <w:szCs w:val="28"/>
          <w:rtl/>
        </w:rPr>
        <w:t xml:space="preserve">خط: شکسته نستعلیق، بی کا ،تا: اواخر قرن ۱۲؛ محشی با نشـان «النورى»؛ واقف: درة السلطنه ملک زاده کوثر، آبان ۱۳۲۶ ؛کاغذ: نخودی آهار مهره، جلد: تیماج قهوه ای ضربی یک لا، ۹۷گ،  20سطر،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 ۲۲ - ۲۸]</w:t>
      </w:r>
    </w:p>
    <w:p>
      <w:pPr>
        <w:pStyle w:val="BookText"/>
      </w:pPr>
      <w:r>
        <w:rPr>
          <w:rFonts w:ascii="IRNazanin" w:hAnsi="IRNazanin" w:eastAsia="IRNazanin" w:cs="IRNazanin"/>
          <w:lang w:bidi="fa-IR"/>
          <w:color w:val="111111"/>
          <w:sz w:val="28"/>
          <w:szCs w:val="28"/>
          <w:rtl/>
        </w:rPr>
        <w:t xml:space="preserve">۴. مشهد؛ رضوی؛ شماره نسخه: ۱۳۶۱۹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۱۲؛ پشت ورق اول ارکان اربعه سلوک و چند بیت در شأن امیر مؤمنان (علیه السّلام)؛ کاغذ: شکری آهار مهـره ،جلد: تیماج  مشکی، ۱۵۷گ ۲۰ سطر، اندازه: ۱۱/۸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[ 22- 29]</w:t>
      </w:r>
    </w:p>
    <w:p>
      <w:pPr>
        <w:pStyle w:val="BookText"/>
      </w:pPr>
      <w:r>
        <w:rPr>
          <w:rFonts w:ascii="IRNazanin" w:hAnsi="IRNazanin" w:eastAsia="IRNazanin" w:cs="IRNazanin"/>
          <w:lang w:bidi="fa-IR"/>
          <w:color w:val="111111"/>
          <w:sz w:val="28"/>
          <w:szCs w:val="28"/>
          <w:rtl/>
        </w:rPr>
        <w:t xml:space="preserve">۵. تهران؛ مجلس؛ شماره نسخه: ۹۳۳/۱۲-ط</w:t>
      </w:r>
    </w:p>
    <w:p>
      <w:pPr>
        <w:pStyle w:val="BookText"/>
      </w:pPr>
      <w:r>
        <w:rPr>
          <w:rFonts w:ascii="Amiri" w:hAnsi="Amiri" w:eastAsia="Amiri" w:cs="Amiri"/>
          <w:lang w:bidi="ar-SA"/>
          <w:color w:val="111111"/>
          <w:sz w:val="28"/>
          <w:szCs w:val="28"/>
          <w:rtl/>
        </w:rPr>
        <w:t xml:space="preserve">آغاز: برابر؛انجام: و قد ذكر بعض الحكماء ان فى بدن الانسـان اربعه آلاف حكمه.</w:t>
      </w:r>
    </w:p>
    <w:p>
      <w:pPr>
        <w:pStyle w:val="BookText"/>
      </w:pPr>
      <w:r>
        <w:rPr>
          <w:rFonts w:ascii="IRNazanin" w:hAnsi="IRNazanin" w:eastAsia="IRNazanin" w:cs="IRNazanin"/>
          <w:lang w:bidi="fa-IR"/>
          <w:color w:val="111111"/>
          <w:sz w:val="28"/>
          <w:szCs w:val="28"/>
          <w:rtl/>
        </w:rPr>
        <w:t xml:space="preserve">خط: نستعلیق، بی کا، تا: قرن ۱۲؛ افتادگی: انجام؛ در   برگ پایان فهرست قاعده های موجود در این نسخه تا «قاعده في فضل معرفة الانسان نفسه» به خط کاتب؛ کاغذ: فرنگی ضخیم  شکری، جـلد: تیماج  مشکی، ۳۹ ص (۱۷۲-۲۱۰) قطع: خشتی اندازه: ۱۶/۵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۲۳ - ۲۳۶]</w:t>
      </w:r>
    </w:p>
    <w:p>
      <w:pPr>
        <w:pStyle w:val="BookText"/>
      </w:pPr>
      <w:r>
        <w:rPr>
          <w:rFonts w:ascii="IRNazanin" w:hAnsi="IRNazanin" w:eastAsia="IRNazanin" w:cs="IRNazanin"/>
          <w:lang w:bidi="fa-IR"/>
          <w:color w:val="111111"/>
          <w:sz w:val="28"/>
          <w:szCs w:val="28"/>
          <w:rtl/>
        </w:rPr>
        <w:t xml:space="preserve">۶. تهران؛ ملک؛ شماره نسخه: ۲۴۷۲</w:t>
      </w:r>
    </w:p>
    <w:p>
      <w:pPr>
        <w:pStyle w:val="BookText"/>
      </w:pPr>
      <w:r>
        <w:rPr>
          <w:rFonts w:ascii="IRNazanin" w:hAnsi="IRNazanin" w:eastAsia="IRNazanin" w:cs="IRNazanin"/>
          <w:lang w:bidi="fa-IR"/>
          <w:color w:val="111111"/>
          <w:sz w:val="28"/>
          <w:szCs w:val="28"/>
          <w:rtl/>
        </w:rPr>
        <w:t xml:space="preserve">خط: نسخ، بی کا، تا: قرن ۱۲؛ کاغذ: ترمه، جلد: رویه کاغذ گلدار مغزی  میشن، ۷۳گ، ۲۳  سطر، اندازه: ۱۶/۶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۲۷/۵سم [ف: ۱ - 32]</w:t>
      </w:r>
    </w:p>
    <w:p>
      <w:pPr>
        <w:pStyle w:val="BookText"/>
      </w:pPr>
      <w:r>
        <w:rPr>
          <w:rFonts w:ascii="IRNazanin" w:hAnsi="IRNazanin" w:eastAsia="IRNazanin" w:cs="IRNazanin"/>
          <w:lang w:bidi="fa-IR"/>
          <w:color w:val="111111"/>
          <w:sz w:val="28"/>
          <w:szCs w:val="28"/>
          <w:rtl/>
        </w:rPr>
        <w:t xml:space="preserve">۷ .تهران؛ دانشگاه؛ شماره نسخه: ۳۶۳۸/۱</w:t>
      </w:r>
    </w:p>
    <w:p>
      <w:pPr>
        <w:pStyle w:val="BookText"/>
      </w:pPr>
      <w:r>
        <w:rPr>
          <w:rFonts w:ascii="IRNazanin" w:hAnsi="IRNazanin" w:eastAsia="IRNazanin" w:cs="IRNazanin"/>
          <w:lang w:bidi="fa-IR"/>
          <w:color w:val="111111"/>
          <w:sz w:val="28"/>
          <w:szCs w:val="28"/>
          <w:rtl/>
        </w:rPr>
        <w:t xml:space="preserve">خط: نستعلیق، بی کا، تا: قرن ۱۲؛کاغذ:  فرنگی ،جلد: تیماج  حنایی، ۲۴۷ ص( ۱-۲۴۷)، ۲۱) سطر (8</w:t>
      </w:r>
      <w:r>
        <w:rPr>
          <w:rFonts w:ascii="Times New Roman" w:hAnsi="Times New Roman" w:eastAsia="Times New Roman" w:cs="Times New Roman"/>
          <w:lang w:val="en-US" w:bidi="en-US"/>
          <w:color w:val="111111"/>
          <w:sz w:val="28"/>
          <w:szCs w:val="28"/>
          <w:rtl/>
        </w:rPr>
        <w:t xml:space="preserve">×19) [ </w:t>
      </w:r>
      <w:r>
        <w:rPr>
          <w:rFonts w:ascii="IRNazanin" w:hAnsi="IRNazanin" w:eastAsia="IRNazanin" w:cs="IRNazanin"/>
          <w:lang w:bidi="fa-IR"/>
          <w:color w:val="111111"/>
          <w:sz w:val="28"/>
          <w:szCs w:val="28"/>
          <w:rtl/>
        </w:rPr>
        <w:t xml:space="preserve">ف : ۱۲ - ۲۶۴۳]</w:t>
      </w:r>
    </w:p>
    <w:p>
      <w:pPr>
        <w:pStyle w:val="BookText"/>
      </w:pPr>
      <w:r>
        <w:rPr>
          <w:rFonts w:ascii="IRNazanin" w:hAnsi="IRNazanin" w:eastAsia="IRNazanin" w:cs="IRNazanin"/>
          <w:lang w:bidi="fa-IR"/>
          <w:color w:val="111111"/>
          <w:sz w:val="28"/>
          <w:szCs w:val="28"/>
          <w:rtl/>
        </w:rPr>
        <w:t xml:space="preserve">۸. تهران؛ ادبیات؛ شماره نسخه: ۲۳۳/۲ حکمت</w:t>
      </w:r>
    </w:p>
    <w:p>
      <w:pPr>
        <w:pStyle w:val="BookText"/>
      </w:pPr>
      <w:r>
        <w:rPr>
          <w:rFonts w:ascii="IRNazanin" w:hAnsi="IRNazanin" w:eastAsia="IRNazanin" w:cs="IRNazanin"/>
          <w:lang w:bidi="fa-IR"/>
          <w:color w:val="111111"/>
          <w:sz w:val="28"/>
          <w:szCs w:val="28"/>
          <w:rtl/>
        </w:rPr>
        <w:t xml:space="preserve">به پایانش نرسانده است؛ خط: نستعلیق  ریز، بی كا، بی تا؛ محـمد شفيع بن محمد مقیم طغایی شیرازی نواده ملاصدرا این نسخه را با نسخه اصل به خط مصنف در ۱ ذیقعده ۱۱۱۵ مقابله نموده است؛ جلد: تیماج مشکی  مقوایی، قطع: رحلی [ف ۲ - ۵۳]</w:t>
      </w:r>
    </w:p>
    <w:p>
      <w:pPr>
        <w:pStyle w:val="BookText"/>
      </w:pPr>
      <w:r>
        <w:rPr>
          <w:rFonts w:ascii="IRNazanin" w:hAnsi="IRNazanin" w:eastAsia="IRNazanin" w:cs="IRNazanin"/>
          <w:lang w:bidi="fa-IR"/>
          <w:color w:val="111111"/>
          <w:sz w:val="28"/>
          <w:szCs w:val="28"/>
          <w:rtl/>
        </w:rPr>
        <w:t xml:space="preserve">۹. قم؛ مرعشی؛ شماره نسخه: ۷۵۷۷/۱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عبدالملک بن محمد ابراهیم بوناتی، تا:چهارشنبه ۹ ربیع  الاول ۱۱۲۸ق ؛جا: مدرسه رفیعه امامیه شیراز؛ سال ۱۱۲۹ مقابله شده؛ جلد: تیماج قهوه ای ۱۰۳گ (۱پ- ۱۰۳پ)، ۱۹ سطر، اندازه:۱۵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۱۹ - ۳۸۳]</w:t>
      </w:r>
    </w:p>
    <w:p>
      <w:pPr>
        <w:pStyle w:val="BookText"/>
      </w:pPr>
      <w:r>
        <w:rPr>
          <w:rFonts w:ascii="IRNazanin" w:hAnsi="IRNazanin" w:eastAsia="IRNazanin" w:cs="IRNazanin"/>
          <w:lang w:bidi="fa-IR"/>
          <w:color w:val="111111"/>
          <w:sz w:val="28"/>
          <w:szCs w:val="28"/>
          <w:rtl/>
        </w:rPr>
        <w:t xml:space="preserve">۱۰. قم؛ معصومیه؛ شماره نسخه: ۳۷۷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محمد  حسین، تا: یک شنبه آخر شعبان ۱۱۶۰ ،مجدول دارای سرصفحه  زیبا، کاتب به یک واسطه از نسـخه مصنف نقل کرده ؛جلد: شميز عطف کالینگور، ۱۹۰گ  ، 17سطر، اندازه: ۱۲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۲۰سم [ف ۱ - ۳۵۸]</w:t>
      </w:r>
    </w:p>
    <w:p>
      <w:pPr>
        <w:pStyle w:val="BookText"/>
      </w:pPr>
      <w:r>
        <w:rPr>
          <w:rFonts w:ascii="IRNazanin" w:hAnsi="IRNazanin" w:eastAsia="IRNazanin" w:cs="IRNazanin"/>
          <w:lang w:bidi="fa-IR"/>
          <w:color w:val="111111"/>
          <w:sz w:val="28"/>
          <w:szCs w:val="28"/>
          <w:rtl/>
        </w:rPr>
        <w:t xml:space="preserve">۱۱. کرمانشاه؛ جلیلی؛ شماره نسخه: ۴۳۷</w:t>
      </w:r>
    </w:p>
    <w:p>
      <w:pPr>
        <w:pStyle w:val="BookText"/>
      </w:pPr>
      <w:r>
        <w:rPr>
          <w:rFonts w:ascii="Amiri" w:hAnsi="Amiri" w:eastAsia="Amiri" w:cs="Amiri"/>
          <w:lang w:bidi="ar-SA"/>
          <w:color w:val="111111"/>
          <w:sz w:val="28"/>
          <w:szCs w:val="28"/>
          <w:rtl/>
        </w:rPr>
        <w:t xml:space="preserve">آغاز: و ملكه و ملكوته و العلم باليوم الآخر ... قاعدة اعلم ان محبة الدنيا و الكفر يتلازمان؛ انجام: برابر</w:t>
      </w:r>
    </w:p>
    <w:p>
      <w:pPr>
        <w:pStyle w:val="BookText"/>
      </w:pPr>
      <w:r>
        <w:rPr>
          <w:rFonts w:ascii="IRNazanin" w:hAnsi="IRNazanin" w:eastAsia="IRNazanin" w:cs="IRNazanin"/>
          <w:lang w:bidi="fa-IR"/>
          <w:color w:val="111111"/>
          <w:sz w:val="28"/>
          <w:szCs w:val="28"/>
          <w:rtl/>
        </w:rPr>
        <w:t xml:space="preserve">خط: نستعلیق، کا: محمد مهدی بن محمد کاظم خوانساری  اصفهانی ،تا: جمعه ۲ رجب ۱۱۸۶ق، جا: زنجان؛ تملک: محمد حسین جلیلی، کاغذ: نخودی فرنگی، جلد: مقوا عطف تیماج  مشکی، ۹۴گ، ۲۱  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۲۶]</w:t>
      </w:r>
    </w:p>
    <w:p>
      <w:pPr>
        <w:pStyle w:val="BookText"/>
      </w:pPr>
      <w:r>
        <w:rPr>
          <w:rFonts w:ascii="IRNazanin" w:hAnsi="IRNazanin" w:eastAsia="IRNazanin" w:cs="IRNazanin"/>
          <w:lang w:bidi="fa-IR"/>
          <w:color w:val="111111"/>
          <w:sz w:val="28"/>
          <w:szCs w:val="28"/>
          <w:rtl/>
        </w:rPr>
        <w:t xml:space="preserve">۱۲ . قم؛ فیضیه؛ شماره نسخه: ۱۲۶/۸</w:t>
      </w:r>
    </w:p>
    <w:p>
      <w:pPr>
        <w:pStyle w:val="BookText"/>
      </w:pPr>
      <w:r>
        <w:rPr>
          <w:rFonts w:ascii="IRNazanin" w:hAnsi="IRNazanin" w:eastAsia="IRNazanin" w:cs="IRNazanin"/>
          <w:lang w:bidi="fa-IR"/>
          <w:color w:val="111111"/>
          <w:sz w:val="28"/>
          <w:szCs w:val="28"/>
          <w:rtl/>
        </w:rPr>
        <w:t xml:space="preserve">خط: تحریری، کا: محمد باقر دزفولی موسوی صدرالدین، تا: ۱۱۹۶-۱۱۹۵ق ،ناتمام؛ ۳۹گ،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۲۹سم [ف: ۳ - ۴]</w:t>
      </w:r>
    </w:p>
    <w:p>
      <w:pPr>
        <w:pStyle w:val="BookText"/>
      </w:pPr>
      <w:r>
        <w:rPr>
          <w:rFonts w:ascii="IRNazanin" w:hAnsi="IRNazanin" w:eastAsia="IRNazanin" w:cs="IRNazanin"/>
          <w:lang w:bidi="fa-IR"/>
          <w:color w:val="111111"/>
          <w:sz w:val="28"/>
          <w:szCs w:val="28"/>
          <w:rtl/>
        </w:rPr>
        <w:t xml:space="preserve">۱۳. تهران؛ مجلس؛ شماره نسخه: ۱۷۱۹/۱</w:t>
      </w:r>
    </w:p>
    <w:p>
      <w:pPr>
        <w:pStyle w:val="BookText"/>
      </w:pPr>
      <w:r>
        <w:rPr>
          <w:rFonts w:ascii="IRNazanin" w:hAnsi="IRNazanin" w:eastAsia="IRNazanin" w:cs="IRNazanin"/>
          <w:lang w:bidi="fa-IR"/>
          <w:color w:val="111111"/>
          <w:sz w:val="28"/>
          <w:szCs w:val="28"/>
          <w:rtl/>
        </w:rPr>
        <w:t xml:space="preserve">آغاز  : برابر؛ انجام: فصل في بطلان الشطحيات اللمتصوفين وضرر استماعها للمسلمين. اعلم ان المراد بالشطح... و اما ابو یزید البسطامي فلا یصح عنه</w:t>
      </w:r>
    </w:p>
    <w:p>
      <w:pPr>
        <w:pStyle w:val="BookText"/>
      </w:pPr>
      <w:r>
        <w:rPr>
          <w:rFonts w:ascii="IRNazanin" w:hAnsi="IRNazanin" w:eastAsia="IRNazanin" w:cs="IRNazanin"/>
          <w:lang w:bidi="fa-IR"/>
          <w:color w:val="111111"/>
          <w:sz w:val="28"/>
          <w:szCs w:val="28"/>
          <w:rtl/>
        </w:rPr>
        <w:t xml:space="preserve">خط: نسخ تحریری، تا: قرن ۱۳ق، بی تا: افتادگی: انجام؛ محشی با نشان «نوری دام ظله» ؛کاغذ: نازک  اصفهانی، جلد: تیماج تریاکی  سیر، ۱۰۶ ص ،(۱-۱۰۶) قطع: خشتی،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۹  - 251]</w:t>
      </w:r>
    </w:p>
    <w:p>
      <w:pPr>
        <w:pStyle w:val="BookText"/>
      </w:pPr>
      <w:r>
        <w:rPr>
          <w:rFonts w:ascii="IRNazanin" w:hAnsi="IRNazanin" w:eastAsia="IRNazanin" w:cs="IRNazanin"/>
          <w:lang w:bidi="fa-IR"/>
          <w:color w:val="111111"/>
          <w:sz w:val="28"/>
          <w:szCs w:val="28"/>
          <w:rtl/>
        </w:rPr>
        <w:t xml:space="preserve">قم؛ مرکز احیاء؛ شماره نسخه: ۹۰۹/۱</w:t>
      </w:r>
    </w:p>
    <w:p>
      <w:pPr>
        <w:pStyle w:val="BookText"/>
      </w:pPr>
      <w:r>
        <w:rPr>
          <w:rFonts w:ascii="IRNazanin" w:hAnsi="IRNazanin" w:eastAsia="IRNazanin" w:cs="IRNazanin"/>
          <w:lang w:bidi="fa-IR"/>
          <w:color w:val="111111"/>
          <w:sz w:val="28"/>
          <w:szCs w:val="28"/>
          <w:rtl/>
        </w:rPr>
        <w:t xml:space="preserve">نسخه اصل: همان نسخه بالا [ عکسی ف: ۳ - ۱۰۹]</w:t>
      </w:r>
    </w:p>
    <w:p>
      <w:pPr>
        <w:pStyle w:val="BookText"/>
      </w:pPr>
      <w:r>
        <w:rPr>
          <w:rFonts w:ascii="IRNazanin" w:hAnsi="IRNazanin" w:eastAsia="IRNazanin" w:cs="IRNazanin"/>
          <w:lang w:bidi="fa-IR"/>
          <w:color w:val="111111"/>
          <w:sz w:val="28"/>
          <w:szCs w:val="28"/>
          <w:rtl/>
        </w:rPr>
        <w:t xml:space="preserve">۱۴. تهران؛ ملی؛ شماره نسخه: ۱۵۳۹/۱۰</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بی کا، تا: قرن ۱۳؛ کاغذ: فرنگی ،جلد: تیماج  مشکی، ۱۹۸ص (۳۳۹ - ۵۳۶)، ۱۸ سطر (۷/۵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 ۱۰ - ۴۰]</w:t>
      </w:r>
    </w:p>
    <w:p>
      <w:pPr>
        <w:pStyle w:val="BookText"/>
      </w:pPr>
      <w:r>
        <w:rPr>
          <w:rFonts w:ascii="IRNazanin" w:hAnsi="IRNazanin" w:eastAsia="IRNazanin" w:cs="IRNazanin"/>
          <w:lang w:bidi="fa-IR"/>
          <w:color w:val="111111"/>
          <w:sz w:val="28"/>
          <w:szCs w:val="28"/>
          <w:rtl/>
        </w:rPr>
        <w:t xml:space="preserve">۱۵. اصفهان؛ مدرسه صدر بازار؛ شماره نسخه: ۲۲۷/۱</w:t>
      </w:r>
    </w:p>
    <w:p>
      <w:pPr>
        <w:pStyle w:val="BookText"/>
      </w:pPr>
      <w:r>
        <w:rPr>
          <w:rFonts w:ascii="IRNazanin" w:hAnsi="IRNazanin" w:eastAsia="IRNazanin" w:cs="IRNazanin"/>
          <w:lang w:bidi="fa-IR"/>
          <w:color w:val="111111"/>
          <w:sz w:val="28"/>
          <w:szCs w:val="28"/>
          <w:rtl/>
        </w:rPr>
        <w:t xml:space="preserve">خط: نستعلیق، بی کا، تا: قرن ۱۳؛ جلد: تیماج مشکی، ۶۵گ (۸پ-۷۲ر)،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۱ -۱۶۰]</w:t>
      </w:r>
    </w:p>
    <w:p>
      <w:pPr>
        <w:pStyle w:val="BookText"/>
      </w:pPr>
      <w:r>
        <w:rPr>
          <w:rFonts w:ascii="IRNazanin" w:hAnsi="IRNazanin" w:eastAsia="IRNazanin" w:cs="IRNazanin"/>
          <w:lang w:bidi="fa-IR"/>
          <w:color w:val="111111"/>
          <w:sz w:val="28"/>
          <w:szCs w:val="28"/>
          <w:rtl/>
        </w:rPr>
        <w:t xml:space="preserve">۱۶. تهران؛ مهدوی؛ شماره نسخه: ۷۳۳</w:t>
      </w:r>
    </w:p>
    <w:p>
      <w:pPr>
        <w:pStyle w:val="BookText"/>
      </w:pPr>
      <w:r>
        <w:rPr>
          <w:rFonts w:ascii="IRNazanin" w:hAnsi="IRNazanin" w:eastAsia="IRNazanin" w:cs="IRNazanin"/>
          <w:lang w:bidi="fa-IR"/>
          <w:color w:val="111111"/>
          <w:sz w:val="28"/>
          <w:szCs w:val="28"/>
          <w:rtl/>
        </w:rPr>
        <w:t xml:space="preserve">خط: نسخ،  کا: سید تقی  موسوی، تا: قرن ۱۳ [نشریه: ۲ - ۱۳۷]</w:t>
      </w:r>
    </w:p>
    <w:p>
      <w:pPr>
        <w:pStyle w:val="BookText"/>
      </w:pPr>
      <w:r>
        <w:rPr>
          <w:rFonts w:ascii="IRNazanin" w:hAnsi="IRNazanin" w:eastAsia="IRNazanin" w:cs="IRNazanin"/>
          <w:lang w:bidi="fa-IR"/>
          <w:color w:val="111111"/>
          <w:sz w:val="28"/>
          <w:szCs w:val="28"/>
          <w:rtl/>
        </w:rPr>
        <w:t xml:space="preserve">۱۷. تهران؛ دانشگاه؛ شماره نسخه: ۱۰۶۸۵</w:t>
      </w:r>
    </w:p>
    <w:p>
      <w:pPr>
        <w:pStyle w:val="BookText"/>
      </w:pPr>
      <w:r>
        <w:rPr>
          <w:rFonts w:ascii="IRNazanin" w:hAnsi="IRNazanin" w:eastAsia="IRNazanin" w:cs="IRNazanin"/>
          <w:lang w:bidi="fa-IR"/>
          <w:color w:val="111111"/>
          <w:sz w:val="28"/>
          <w:szCs w:val="28"/>
          <w:rtl/>
        </w:rPr>
        <w:t xml:space="preserve">کامل؛ خط: نستعلیق، بی کا، تا: قرن ۱۳؛ محشی با نشان های «نوری  رحمه الله»  و «ج»، ابتدای نسخه یادداشت مفصل نعمت الله بن  محمد باقر احقاق جهرمی زرگر درباره افتادن فرزندش احتجاب از بام پنجدری و بهبود یافتنش در ۲۶ربیع الاول ۱۳۵۱ تقريباً  دوازده دقیقه قبل از غروب و چند بیت شعر به خط خودش، به خط نام کتاب را «مفاتیح باب الجنة و الرضوان» دانسته اند، با  یادداشت کتابخانه محمد کریم اشراق اشراق جهرم ۱۳۵۵ و یادداشت اهدایی آقا محمد کریم اشراق و برادران احقاق در پایان یادداشتی از همان احقاقی در ۴ جمادی الاول ۱۳۵۱ق؛ مهر: «رحمت الله» (بیضی)؛ جلد: تیماج سرخ، ۱۴۱گ، ۱۵ سطر (۶/۵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۱۰/۵) ،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۲۰ - ۱۸۹]</w:t>
      </w:r>
    </w:p>
    <w:p>
      <w:pPr>
        <w:pStyle w:val="BookText"/>
      </w:pPr>
      <w:r>
        <w:rPr>
          <w:rFonts w:ascii="IRNazanin" w:hAnsi="IRNazanin" w:eastAsia="IRNazanin" w:cs="IRNazanin"/>
          <w:lang w:bidi="fa-IR"/>
          <w:color w:val="111111"/>
          <w:sz w:val="28"/>
          <w:szCs w:val="28"/>
          <w:rtl/>
        </w:rPr>
        <w:t xml:space="preserve">۱۸. تهران؛ مجلس؛ شماره نسخه: ۱/۱۵ خوئی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رساله در فهرست نیامده از فهرست رایانه ای ۵۱ ذکر شـد؛ بی کا، تا : قرن ۱۳؛ ۶ ص (۲۹۹-۳۰۴) [ف: ۷ - ۲۶۲]</w:t>
      </w:r>
    </w:p>
    <w:p>
      <w:pPr>
        <w:pStyle w:val="BookText"/>
      </w:pPr>
      <w:r>
        <w:rPr>
          <w:rFonts w:ascii="IRNazanin" w:hAnsi="IRNazanin" w:eastAsia="IRNazanin" w:cs="IRNazanin"/>
          <w:lang w:bidi="fa-IR"/>
          <w:color w:val="111111"/>
          <w:sz w:val="28"/>
          <w:szCs w:val="28"/>
          <w:rtl/>
        </w:rPr>
        <w:t xml:space="preserve">۱۹. مشهد؛ شیخ علی حیدر؛ شماره نسخه: ۲۸۰/۱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كا: عبدالجليل حسینی  زنجانی، تا: ۱۲۱۴ق؛ جلد: چرم مشکـی، ۹۵گ (۲ پ- ۹۶ پ)، ۲۲  سطر، اندازه: ۱۵</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۲۱/۵سم [ مؤيد: 1- 249]</w:t>
      </w:r>
    </w:p>
    <w:p>
      <w:pPr>
        <w:pStyle w:val="BookText"/>
      </w:pPr>
      <w:r>
        <w:rPr>
          <w:rFonts w:ascii="IRNazanin" w:hAnsi="IRNazanin" w:eastAsia="IRNazanin" w:cs="IRNazanin"/>
          <w:lang w:bidi="fa-IR"/>
          <w:color w:val="111111"/>
          <w:sz w:val="28"/>
          <w:szCs w:val="28"/>
          <w:rtl/>
        </w:rPr>
        <w:t xml:space="preserve">۲۰. مشهد؛ رضوی؛ شماره نسخه: ۶۱۴۴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و شکسته، کا: احمد بن محمد حسینی، تا: شوال۱۲۱۶ق؛ واقف نائینی؛ ۸۲گ، ۱۷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4- 405]</w:t>
      </w:r>
    </w:p>
    <w:p>
      <w:pPr>
        <w:pStyle w:val="BookText"/>
      </w:pPr>
      <w:r>
        <w:rPr>
          <w:rFonts w:ascii="Amiri" w:hAnsi="Amiri" w:eastAsia="Amiri" w:cs="Amiri"/>
          <w:lang w:bidi="ar-SA"/>
          <w:color w:val="111111"/>
          <w:sz w:val="28"/>
          <w:szCs w:val="28"/>
          <w:rtl/>
        </w:rPr>
        <w:t xml:space="preserve">۲۱. قم؛ مفتى الشيعه؛ شماره نسخه: ۷۷</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نزدیک به  نسخ ،کا: محمد بن شیخ صالح بحرانی، تا: جمعه ۲۶ ربيع الثانی ۱۲۱۹ق؛ مصحح، در برگی قبل از کتـاب فهرست قواعد آن نوشته شده؛ جلد: تیماج مشکی، ۱۴۴گ،  14سطر،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 ۸۲]</w:t>
      </w:r>
    </w:p>
    <w:p>
      <w:pPr>
        <w:pStyle w:val="BookText"/>
      </w:pPr>
      <w:r>
        <w:rPr>
          <w:rFonts w:ascii="IRNazanin" w:hAnsi="IRNazanin" w:eastAsia="IRNazanin" w:cs="IRNazanin"/>
          <w:lang w:bidi="fa-IR"/>
          <w:color w:val="111111"/>
          <w:sz w:val="28"/>
          <w:szCs w:val="28"/>
          <w:rtl/>
        </w:rPr>
        <w:t xml:space="preserve">۲۲ .تهران؛ دانشگاه؛ شماره نسخه: ۷۷۴۶/۱</w:t>
      </w:r>
    </w:p>
    <w:p>
      <w:pPr>
        <w:pStyle w:val="BookText"/>
      </w:pPr>
      <w:r>
        <w:rPr>
          <w:rFonts w:ascii="IRNazanin" w:hAnsi="IRNazanin" w:eastAsia="IRNazanin" w:cs="IRNazanin"/>
          <w:lang w:bidi="fa-IR"/>
          <w:color w:val="111111"/>
          <w:sz w:val="28"/>
          <w:szCs w:val="28"/>
          <w:rtl/>
        </w:rPr>
        <w:t xml:space="preserve">خط: نستعلیق، کا: محمد مهدی خیری ایرایی استرآبادی،تا: ۱۲۳۳ق؛ كاغذ:  فرنگی ،جلد: تیماج مشکی  مقوایی، ۲۵ سـطر (۸/۵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 قطع: ربعی،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۱۶ – ۶۸۸]</w:t>
      </w:r>
    </w:p>
    <w:p>
      <w:pPr>
        <w:pStyle w:val="BookText"/>
      </w:pPr>
      <w:r>
        <w:rPr>
          <w:rFonts w:ascii="IRNazanin" w:hAnsi="IRNazanin" w:eastAsia="IRNazanin" w:cs="IRNazanin"/>
          <w:lang w:bidi="fa-IR"/>
          <w:color w:val="111111"/>
          <w:sz w:val="28"/>
          <w:szCs w:val="28"/>
          <w:rtl/>
        </w:rPr>
        <w:t xml:space="preserve">۲۳. تهران؛ دانشگاه؛ شماره نسخه: ۳۰۹۲/۱</w:t>
      </w:r>
    </w:p>
    <w:p>
      <w:pPr>
        <w:pStyle w:val="BookText"/>
      </w:pPr>
      <w:r>
        <w:rPr>
          <w:rFonts w:ascii="IRNazanin" w:hAnsi="IRNazanin" w:eastAsia="IRNazanin" w:cs="IRNazanin"/>
          <w:lang w:bidi="fa-IR"/>
          <w:color w:val="111111"/>
          <w:sz w:val="28"/>
          <w:szCs w:val="28"/>
          <w:rtl/>
        </w:rPr>
        <w:t xml:space="preserve">خط: نسخ ،بی کا، تا: ۱۲۳۳ق؛ کاغذ ،فرنگی،جلد: تیماج مشکی ،ضربی ۲۰۰ گ (۱-۲۰۰)، ۲۳ سطر (۸/۵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۱۱ - ۲۰۳۸]</w:t>
      </w:r>
    </w:p>
    <w:p>
      <w:pPr>
        <w:pStyle w:val="BookText"/>
      </w:pPr>
      <w:r>
        <w:rPr>
          <w:rFonts w:ascii="IRNazanin" w:hAnsi="IRNazanin" w:eastAsia="IRNazanin" w:cs="IRNazanin"/>
          <w:lang w:bidi="fa-IR"/>
          <w:color w:val="111111"/>
          <w:sz w:val="28"/>
          <w:szCs w:val="28"/>
          <w:rtl/>
        </w:rPr>
        <w:t xml:space="preserve">۲۴. تهران الهیات؛ شماره نسخه: ۱۴۷</w:t>
      </w:r>
    </w:p>
    <w:p>
      <w:pPr>
        <w:pStyle w:val="BookText"/>
      </w:pPr>
      <w:r>
        <w:rPr>
          <w:rFonts w:ascii="IRNazanin" w:hAnsi="IRNazanin" w:eastAsia="IRNazanin" w:cs="IRNazanin"/>
          <w:lang w:bidi="fa-IR"/>
          <w:color w:val="111111"/>
          <w:sz w:val="28"/>
          <w:szCs w:val="28"/>
          <w:rtl/>
        </w:rPr>
        <w:t xml:space="preserve">خط: نستعلیق، کا: عشور علی، تا: ۱۲۳۴ق، جا: اصفهان مدرسه نیماورد ؛افتادگی: آغاز؛ در آغاز نسخه تفسير «خلق السموات الارض في ستة ايام» از ملاصدرا و اشعاری از حکیم سنائی اسـت ؛کاغذ: فرنگی ،جلد: تیماج  مشکی، ۸۹گ، ۲۳ سطر( ۸/۵</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۴۵۵]</w:t>
      </w:r>
    </w:p>
    <w:p>
      <w:pPr>
        <w:pStyle w:val="BookText"/>
      </w:pPr>
      <w:r>
        <w:rPr>
          <w:rFonts w:ascii="IRNazanin" w:hAnsi="IRNazanin" w:eastAsia="IRNazanin" w:cs="IRNazanin"/>
          <w:lang w:bidi="fa-IR"/>
          <w:color w:val="111111"/>
          <w:sz w:val="28"/>
          <w:szCs w:val="28"/>
          <w:rtl/>
        </w:rPr>
        <w:t xml:space="preserve">۲۵. قم؛ حجتیه؛ شماره نسخه: ۴۳۸</w:t>
      </w:r>
    </w:p>
    <w:p>
      <w:pPr>
        <w:pStyle w:val="BookText"/>
      </w:pPr>
      <w:r>
        <w:rPr>
          <w:rFonts w:ascii="IRNazanin" w:hAnsi="IRNazanin" w:eastAsia="IRNazanin" w:cs="IRNazanin"/>
          <w:lang w:bidi="fa-IR"/>
          <w:color w:val="111111"/>
          <w:sz w:val="28"/>
          <w:szCs w:val="28"/>
          <w:rtl/>
        </w:rPr>
        <w:t xml:space="preserve">خط: نسخ، کا: سید تقی بن میر حسین موسوی قاینی، تا: ۲۳۴ق [ف: ۳۵]</w:t>
      </w:r>
    </w:p>
    <w:p>
      <w:pPr>
        <w:pStyle w:val="BookText"/>
      </w:pPr>
      <w:r>
        <w:rPr>
          <w:rFonts w:ascii="IRNazanin" w:hAnsi="IRNazanin" w:eastAsia="IRNazanin" w:cs="IRNazanin"/>
          <w:lang w:bidi="fa-IR"/>
          <w:color w:val="111111"/>
          <w:sz w:val="28"/>
          <w:szCs w:val="28"/>
          <w:rtl/>
        </w:rPr>
        <w:t xml:space="preserve">۲۶. قم؛ گلپایگانی؛ شماره نسخه: 1/ 7894- 104/ 53</w:t>
      </w:r>
    </w:p>
    <w:p>
      <w:pPr>
        <w:pStyle w:val="BookText"/>
      </w:pPr>
      <w:r>
        <w:rPr>
          <w:rFonts w:ascii="IRNazanin" w:hAnsi="IRNazanin" w:eastAsia="IRNazanin" w:cs="IRNazanin"/>
          <w:lang w:bidi="fa-IR"/>
          <w:color w:val="111111"/>
          <w:sz w:val="28"/>
          <w:szCs w:val="28"/>
          <w:rtl/>
        </w:rPr>
        <w:t xml:space="preserve">آغاز: جواهر عالم الملكوت و ينكشف بها انوار عالم الجبروت فيها قرة عيون السالكين وشفاء صدور المومنين... ... و جمعتها  فی مقدمة و اطراف و مشتملة على مشاهد؛ انجام: برابر</w:t>
      </w:r>
    </w:p>
    <w:p>
      <w:pPr>
        <w:pStyle w:val="BookText"/>
      </w:pPr>
      <w:r>
        <w:rPr>
          <w:rFonts w:ascii="IRNazanin" w:hAnsi="IRNazanin" w:eastAsia="IRNazanin" w:cs="IRNazanin"/>
          <w:lang w:bidi="fa-IR"/>
          <w:color w:val="111111"/>
          <w:sz w:val="28"/>
          <w:szCs w:val="28"/>
          <w:rtl/>
        </w:rPr>
        <w:t xml:space="preserve">خط: نستعليق، كا: محمد مهدی جزی انزانی استر آبادی برای سید احمد موسوی استر آبادی، تا: ۱۲۳۸ق؛ افتادگی: آغاز ؛۱۱۸ گ،۱۸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۱ - ۳۴۰]</w:t>
      </w:r>
    </w:p>
    <w:p>
      <w:pPr>
        <w:pStyle w:val="BookText"/>
      </w:pPr>
      <w:r>
        <w:rPr>
          <w:rFonts w:ascii="IRNazanin" w:hAnsi="IRNazanin" w:eastAsia="IRNazanin" w:cs="IRNazanin"/>
          <w:lang w:bidi="fa-IR"/>
          <w:color w:val="111111"/>
          <w:sz w:val="28"/>
          <w:szCs w:val="28"/>
          <w:rtl/>
        </w:rPr>
        <w:t xml:space="preserve">۲۷. مشهد؛ شیخ علی حیدر؛ شماره نسخه: ۶۵۳</w:t>
      </w:r>
    </w:p>
    <w:p>
      <w:pPr>
        <w:pStyle w:val="BookText"/>
      </w:pPr>
      <w:r>
        <w:rPr>
          <w:rFonts w:ascii="IRNazanin" w:hAnsi="IRNazanin" w:eastAsia="IRNazanin" w:cs="IRNazanin"/>
          <w:lang w:bidi="fa-IR"/>
          <w:color w:val="111111"/>
          <w:sz w:val="28"/>
          <w:szCs w:val="28"/>
          <w:rtl/>
        </w:rPr>
        <w:t xml:space="preserve">خط: نسخ، کا: المولى محمد باقر خراسانی، تا: شعبان ۱۲۴۲ق؛ محشی از نوری به دو خط یکی با نشان «دام ظله» و دیگری  «نورالله مرقده»؛ تملک: محمد با مهر ؛جلد: چرم قرمز، ۱۰۰گ، ۱۹  سطر، اندازه: ۱۵</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۲۱سم [مؤيد: ۲ - ۱۵۷]</w:t>
      </w:r>
    </w:p>
    <w:p>
      <w:pPr>
        <w:pStyle w:val="BookText"/>
      </w:pPr>
      <w:r>
        <w:rPr>
          <w:rFonts w:ascii="IRNazanin" w:hAnsi="IRNazanin" w:eastAsia="IRNazanin" w:cs="IRNazanin"/>
          <w:lang w:bidi="fa-IR"/>
          <w:color w:val="111111"/>
          <w:sz w:val="28"/>
          <w:szCs w:val="28"/>
          <w:rtl/>
        </w:rPr>
        <w:t xml:space="preserve">۲۸. تهران؛ ملی؛ شماره نسخه: ۳۰۲۹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نستعليق  شکسته، کا: میرزا ابوالقاسم، تا: ۱۲۴۲ق؛ افتادگی: میان برگ های ۱۰ و ۱۱، ۱۶پ و ۱۷، ۱۷پ و ۱۸ ، ۱۸پ و ۱۹ و ۸۶پ و ۸۷؛ محشی با امضای نوری در برگ ۹۱پ اشعاری به فارسی و عربی کاغذ فرنگی ،شکری، جلد: تیماج قهوه ای روشن ،مقوایی اندرون جلد: کاغذی ،نخودی ۹۱ گ، ۲۱ سطر  ، (7/3</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۱۴/۳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 سم [ف: ۱۴ – ۱۴۵]</w:t>
      </w:r>
    </w:p>
    <w:p>
      <w:pPr>
        <w:pStyle w:val="BookText"/>
      </w:pPr>
      <w:r>
        <w:rPr>
          <w:rFonts w:ascii="IRNazanin" w:hAnsi="IRNazanin" w:eastAsia="IRNazanin" w:cs="IRNazanin"/>
          <w:lang w:bidi="fa-IR"/>
          <w:color w:val="111111"/>
          <w:sz w:val="28"/>
          <w:szCs w:val="28"/>
          <w:rtl/>
        </w:rPr>
        <w:t xml:space="preserve">۲۹. تهران؛ ملی؛ شماره نسخه ۲۳۳/۱</w:t>
      </w:r>
    </w:p>
    <w:p>
      <w:pPr>
        <w:pStyle w:val="BookText"/>
      </w:pPr>
      <w:r>
        <w:rPr>
          <w:rFonts w:ascii="IRNazanin" w:hAnsi="IRNazanin" w:eastAsia="IRNazanin" w:cs="IRNazanin"/>
          <w:lang w:bidi="fa-IR"/>
          <w:color w:val="111111"/>
          <w:sz w:val="28"/>
          <w:szCs w:val="28"/>
          <w:rtl/>
        </w:rPr>
        <w:t xml:space="preserve">آغاز: برابر؛ انجام: و تطهرهم تطهيرا و نو قلوبهم بايات المحكمة  الايمان تنویرا</w:t>
      </w:r>
    </w:p>
    <w:p>
      <w:pPr>
        <w:pStyle w:val="BookText"/>
      </w:pPr>
      <w:r>
        <w:rPr>
          <w:rFonts w:ascii="IRNazanin" w:hAnsi="IRNazanin" w:eastAsia="IRNazanin" w:cs="IRNazanin"/>
          <w:lang w:bidi="fa-IR"/>
          <w:color w:val="111111"/>
          <w:sz w:val="28"/>
          <w:szCs w:val="28"/>
          <w:rtl/>
        </w:rPr>
        <w:t xml:space="preserve">خط: نسخ  خوش، بی کا: تا: ۱۲۴۲ق؛ کاغذ: فرنگی، جلد: روغنی، ۲۰۶ص(۱-۲۰۶)،۱۸سطر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۷ – ۲۰۶]</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تهران؛ ملی؛ شماره نسخه: ۱۰۶۲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:۱۲۴۲ق؛ کاغذ: فرنگی فستقی، جلد: تیماج زرد یک ،لا ۱۰۷گ، ۱۸ سطر (۷/۵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۹ - ۵۷]</w:t>
      </w:r>
    </w:p>
    <w:p>
      <w:pPr>
        <w:pStyle w:val="BookText"/>
      </w:pPr>
      <w:r>
        <w:rPr>
          <w:rFonts w:ascii="IRNazanin" w:hAnsi="IRNazanin" w:eastAsia="IRNazanin" w:cs="IRNazanin"/>
          <w:lang w:bidi="fa-IR"/>
          <w:color w:val="111111"/>
          <w:sz w:val="28"/>
          <w:szCs w:val="28"/>
          <w:rtl/>
        </w:rPr>
        <w:t xml:space="preserve">۳۱ .چالوس؛ امام صادق؛ شماره نسخه: ۴۰۹/۱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۱۲۴۳ق؛ محشی؛ جلد: تیماج قهوه ای مجدول گرهی،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۲۲۸]</w:t>
      </w:r>
    </w:p>
    <w:p>
      <w:pPr>
        <w:pStyle w:val="BookText"/>
      </w:pPr>
      <w:r>
        <w:rPr>
          <w:rFonts w:ascii="IRNazanin" w:hAnsi="IRNazanin" w:eastAsia="IRNazanin" w:cs="IRNazanin"/>
          <w:lang w:bidi="fa-IR"/>
          <w:color w:val="111111"/>
          <w:sz w:val="28"/>
          <w:szCs w:val="28"/>
          <w:rtl/>
        </w:rPr>
        <w:t xml:space="preserve">۳۲. تهران؛ مجلس؛ شماره نسخه: ۱۸۶۶/۲۹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بی کا، تا: ۱۲۴۳ق؛ جلد: چرم قهوه ای، ۱۱۵ ص( ۶۰۷-۷۲۱) قطع :خشتی،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۹ - ۵۶۰]</w:t>
      </w:r>
    </w:p>
    <w:p>
      <w:pPr>
        <w:pStyle w:val="BookText"/>
      </w:pPr>
      <w:r>
        <w:rPr>
          <w:rFonts w:ascii="IRNazanin" w:hAnsi="IRNazanin" w:eastAsia="IRNazanin" w:cs="IRNazanin"/>
          <w:lang w:bidi="fa-IR"/>
          <w:color w:val="111111"/>
          <w:sz w:val="28"/>
          <w:szCs w:val="28"/>
          <w:rtl/>
        </w:rPr>
        <w:t xml:space="preserve">قم؛ مرکز احیاء؛ شماره نسخه: ۲۳۳۸/۱۸</w:t>
      </w:r>
    </w:p>
    <w:p>
      <w:pPr>
        <w:pStyle w:val="BookText"/>
      </w:pPr>
      <w:r>
        <w:rPr>
          <w:rFonts w:ascii="IRNazanin" w:hAnsi="IRNazanin" w:eastAsia="IRNazanin" w:cs="IRNazanin"/>
          <w:lang w:bidi="fa-IR"/>
          <w:color w:val="111111"/>
          <w:sz w:val="28"/>
          <w:szCs w:val="28"/>
          <w:rtl/>
        </w:rPr>
        <w:t xml:space="preserve">نسخه اصل: همان نسخه بالا [عکسی ف: ۶ - ۴۳۲]</w:t>
      </w:r>
    </w:p>
    <w:p>
      <w:pPr>
        <w:pStyle w:val="BookText"/>
      </w:pPr>
      <w:r>
        <w:rPr>
          <w:rFonts w:ascii="IRNazanin" w:hAnsi="IRNazanin" w:eastAsia="IRNazanin" w:cs="IRNazanin"/>
          <w:lang w:bidi="fa-IR"/>
          <w:color w:val="111111"/>
          <w:sz w:val="28"/>
          <w:szCs w:val="28"/>
          <w:rtl/>
        </w:rPr>
        <w:t xml:space="preserve">۳۳. مشهد؛ الهیات؛ شماره نسخه: ۲۲۵۹۶/۱</w:t>
      </w:r>
    </w:p>
    <w:p>
      <w:pPr>
        <w:pStyle w:val="BookText"/>
      </w:pPr>
      <w:r>
        <w:rPr>
          <w:rFonts w:ascii="IRNazanin" w:hAnsi="IRNazanin" w:eastAsia="IRNazanin" w:cs="IRNazanin"/>
          <w:lang w:bidi="fa-IR"/>
          <w:color w:val="111111"/>
          <w:sz w:val="28"/>
          <w:szCs w:val="28"/>
          <w:rtl/>
        </w:rPr>
        <w:t xml:space="preserve">خط: نستعلیق، کا :کلبعلی خادم سرکار فیض آثار روضه رضوی، تا: ۱۲۴۴ق؛ کاغذ: فرنگی آهار مهره ای؛ جلد: تیماج مشکی ضربی، ۸۳گ( ۸۳-۱پ)، ۲۱ سطر (۸/۵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۳ - ۷۷۱]</w:t>
      </w:r>
    </w:p>
    <w:p>
      <w:pPr>
        <w:pStyle w:val="BookText"/>
      </w:pPr>
      <w:r>
        <w:rPr>
          <w:rFonts w:ascii="IRNazanin" w:hAnsi="IRNazanin" w:eastAsia="IRNazanin" w:cs="IRNazanin"/>
          <w:lang w:bidi="fa-IR"/>
          <w:color w:val="111111"/>
          <w:sz w:val="28"/>
          <w:szCs w:val="28"/>
          <w:rtl/>
        </w:rPr>
        <w:t xml:space="preserve">۳۴. تهران؛ ملی؛ شماره نسخه: ۸۳۵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۱۲۴۴ق؛ با سرلوح مذهب؛ کاغذ: فرنگی، جلد: تیماج  ماشی، ۱۷۳گ، ۱۵ سطر (۶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۸ - ۳۴۰]</w:t>
      </w:r>
    </w:p>
    <w:p>
      <w:pPr>
        <w:pStyle w:val="BookText"/>
      </w:pPr>
      <w:r>
        <w:rPr>
          <w:rFonts w:ascii="IRNazanin" w:hAnsi="IRNazanin" w:eastAsia="IRNazanin" w:cs="IRNazanin"/>
          <w:lang w:bidi="fa-IR"/>
          <w:color w:val="111111"/>
          <w:sz w:val="28"/>
          <w:szCs w:val="28"/>
          <w:rtl/>
        </w:rPr>
        <w:t xml:space="preserve">۳۵. قم؛ مرعشی؛ شماره نسخه: ۱۱۰۲۷/۱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شکسته نستعلیق و نسخ، کا: حسین علی بن محمد على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نهاوندی ،تا: جمعه شعبان ۱۲۴۴ق، جا: اصفهان؛ محشی، فرنگی، آهار  مهره، ۶۲گ (1- 62)،22سطر، اندازه : 9</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۲۸ - ۵۱]</w:t>
      </w:r>
    </w:p>
    <w:p>
      <w:pPr>
        <w:pStyle w:val="BookText"/>
      </w:pPr>
      <w:r>
        <w:rPr>
          <w:rFonts w:ascii="IRNazanin" w:hAnsi="IRNazanin" w:eastAsia="IRNazanin" w:cs="IRNazanin"/>
          <w:lang w:bidi="fa-IR"/>
          <w:color w:val="111111"/>
          <w:sz w:val="28"/>
          <w:szCs w:val="28"/>
          <w:rtl/>
        </w:rPr>
        <w:t xml:space="preserve">۳۶. تهران؛ الهیات؛ شماره نسخه ۲۱۲</w:t>
      </w:r>
    </w:p>
    <w:p>
      <w:pPr>
        <w:pStyle w:val="BookText"/>
      </w:pPr>
      <w:r>
        <w:rPr>
          <w:rFonts w:ascii="IRNazanin" w:hAnsi="IRNazanin" w:eastAsia="IRNazanin" w:cs="IRNazanin"/>
          <w:lang w:bidi="fa-IR"/>
          <w:color w:val="111111"/>
          <w:sz w:val="28"/>
          <w:szCs w:val="28"/>
          <w:rtl/>
        </w:rPr>
        <w:t xml:space="preserve">خط: نسخ، بی کا، تا: شنبه ۸ ذیقعده ۱۲۴۴ق؛ کاغذ: فرنگی، جلد: تیماج سرخ ضربی  مقوایی، ۲۳۱گ، ۱۷ سطر (۵/۵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  ، 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۱۹/۵سم [ف: ۴۵۵]</w:t>
      </w:r>
    </w:p>
    <w:p>
      <w:pPr>
        <w:pStyle w:val="BookText"/>
      </w:pPr>
      <w:r>
        <w:rPr>
          <w:rFonts w:ascii="IRNazanin" w:hAnsi="IRNazanin" w:eastAsia="IRNazanin" w:cs="IRNazanin"/>
          <w:lang w:bidi="fa-IR"/>
          <w:color w:val="111111"/>
          <w:sz w:val="28"/>
          <w:szCs w:val="28"/>
          <w:rtl/>
        </w:rPr>
        <w:t xml:space="preserve">۳۷. تهران؛ دانشگاه؛ شماره نسخه: ۴۱۳۰/۳-ف</w:t>
      </w:r>
    </w:p>
    <w:p>
      <w:pPr>
        <w:pStyle w:val="BookText"/>
      </w:pPr>
      <w:r>
        <w:rPr>
          <w:rFonts w:ascii="IRNazanin" w:hAnsi="IRNazanin" w:eastAsia="IRNazanin" w:cs="IRNazanin"/>
          <w:lang w:bidi="fa-IR"/>
          <w:color w:val="111111"/>
          <w:sz w:val="28"/>
          <w:szCs w:val="28"/>
          <w:rtl/>
        </w:rPr>
        <w:t xml:space="preserve">خط: نسخ، کا: شیخ ابن ابی الحسن محمد نایینی مصاحبی، تا: 25 صفر ۱۲۴۵ق [ فیلم ها-ف ۳ - ۱۹]</w:t>
      </w:r>
    </w:p>
    <w:p>
      <w:pPr>
        <w:pStyle w:val="BookText"/>
      </w:pPr>
      <w:r>
        <w:rPr>
          <w:rFonts w:ascii="IRNazanin" w:hAnsi="IRNazanin" w:eastAsia="IRNazanin" w:cs="IRNazanin"/>
          <w:lang w:bidi="fa-IR"/>
          <w:color w:val="111111"/>
          <w:sz w:val="28"/>
          <w:szCs w:val="28"/>
          <w:rtl/>
        </w:rPr>
        <w:t xml:space="preserve">۳۸. تهران؛ مجلس؛ شماره نسخه: ۱۲۰۶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محمد بن ابوالحسن نائینی ،مصاحبی، تا: ۱۲۴۵ ؛کاغذ: ایرانی و مهره  شده ،جلد: تیماج سبز، ۲۰۰ ص ۲۱ سـطر، قطع: خشتی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۴ - ۲]</w:t>
      </w:r>
    </w:p>
    <w:p>
      <w:pPr>
        <w:pStyle w:val="BookText"/>
      </w:pPr>
      <w:r>
        <w:rPr>
          <w:rFonts w:ascii="IRNazanin" w:hAnsi="IRNazanin" w:eastAsia="IRNazanin" w:cs="IRNazanin"/>
          <w:lang w:bidi="fa-IR"/>
          <w:color w:val="111111"/>
          <w:sz w:val="28"/>
          <w:szCs w:val="28"/>
          <w:rtl/>
        </w:rPr>
        <w:t xml:space="preserve">۳۹. قم؛ مرعشی؛ شماره نسخه: ۱۰۰۱۱/۱</w:t>
      </w:r>
    </w:p>
    <w:p>
      <w:pPr>
        <w:pStyle w:val="BookText"/>
      </w:pPr>
      <w:r>
        <w:rPr>
          <w:rFonts w:ascii="IRNazanin" w:hAnsi="IRNazanin" w:eastAsia="IRNazanin" w:cs="IRNazanin"/>
          <w:lang w:bidi="fa-IR"/>
          <w:color w:val="111111"/>
          <w:sz w:val="28"/>
          <w:szCs w:val="28"/>
          <w:rtl/>
        </w:rPr>
        <w:t xml:space="preserve">خط: نستعلیق،کا: ابوالحسن  تنکابنی، تا: ۱۲۴۸ق، جا: اصفهـان، مدرسه میرزا حسین ،به جهت علم الهدى السيد المرتضى؛ جـلد: تیماج مشکی، ۷۵گ (۱پ - ۷۵ر)،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۲۶ - 9]</w:t>
      </w:r>
    </w:p>
    <w:p>
      <w:pPr>
        <w:pStyle w:val="BookText"/>
      </w:pPr>
      <w:r>
        <w:rPr>
          <w:rFonts w:ascii="Amiri" w:hAnsi="Amiri" w:eastAsia="Amiri" w:cs="Amiri"/>
          <w:lang w:bidi="ar-SA"/>
          <w:color w:val="111111"/>
          <w:sz w:val="28"/>
          <w:szCs w:val="28"/>
          <w:rtl/>
        </w:rPr>
        <w:t xml:space="preserve">۴۰. تهران؛ دائرة المعارف؛ شماره نسخه: ۵۹۳/۱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،پخته، بی کا، تا: جمادی الثانی ۱۲۵۸ق :جا: تبریز؛ ۸۳گ،( 1پ-83ر)[ف:۲ - ۱۴]</w:t>
      </w:r>
    </w:p>
    <w:p>
      <w:pPr>
        <w:pStyle w:val="BookText"/>
      </w:pPr>
      <w:r>
        <w:rPr>
          <w:rFonts w:ascii="IRNazanin" w:hAnsi="IRNazanin" w:eastAsia="IRNazanin" w:cs="IRNazanin"/>
          <w:lang w:bidi="fa-IR"/>
          <w:color w:val="111111"/>
          <w:sz w:val="28"/>
          <w:szCs w:val="28"/>
          <w:rtl/>
        </w:rPr>
        <w:t xml:space="preserve">41.تهران؛ نوربخش؛ شماره نسخه:۶۴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خط:نسخ، كا: محمد باقر بن محمد کاظم خراسانی قاینی، تا: شوال ۱۲۶۱ق؛ نسخه نخست در تملک محمد كاظم اعتـصاد الاسلام بوده، سپس آن را به کتابخانه خانقاه هدیه نموده؛کاغذ: ایرانی ،زرد ،جلد: تیماج تریاکی مقوایی، ۳۵۲ ص، ۱۹ سـطر،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۱ - ۹۷]</w:t>
      </w:r>
    </w:p>
    <w:p>
      <w:pPr>
        <w:pStyle w:val="BookText"/>
      </w:pPr>
      <w:r>
        <w:rPr>
          <w:rFonts w:ascii="IRNazanin" w:hAnsi="IRNazanin" w:eastAsia="IRNazanin" w:cs="IRNazanin"/>
          <w:lang w:bidi="fa-IR"/>
          <w:color w:val="111111"/>
          <w:sz w:val="28"/>
          <w:szCs w:val="28"/>
          <w:rtl/>
        </w:rPr>
        <w:t xml:space="preserve">42.تهران؛ دانشگاه؛ شماره نسخه: ۴۱۷</w:t>
      </w:r>
    </w:p>
    <w:p>
      <w:pPr>
        <w:pStyle w:val="BookText"/>
      </w:pPr>
      <w:r>
        <w:rPr>
          <w:rFonts w:ascii="IRNazanin" w:hAnsi="IRNazanin" w:eastAsia="IRNazanin" w:cs="IRNazanin"/>
          <w:lang w:bidi="fa-IR"/>
          <w:color w:val="111111"/>
          <w:sz w:val="28"/>
          <w:szCs w:val="28"/>
          <w:rtl/>
        </w:rPr>
        <w:t xml:space="preserve">خط: نسخ، بی کا، تا: محرم ۱۲۶۲ق؛ جلد: تیماج قرمز یک  لا،۲۱۸گ،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۱۵/۵سم [ف: ۱ - ۷]</w:t>
      </w:r>
    </w:p>
    <w:p>
      <w:pPr>
        <w:pStyle w:val="BookText"/>
      </w:pPr>
      <w:r>
        <w:rPr>
          <w:rFonts w:ascii="IRNazanin" w:hAnsi="IRNazanin" w:eastAsia="IRNazanin" w:cs="IRNazanin"/>
          <w:lang w:bidi="fa-IR"/>
          <w:color w:val="111111"/>
          <w:sz w:val="28"/>
          <w:szCs w:val="28"/>
          <w:rtl/>
        </w:rPr>
        <w:t xml:space="preserve">۴۳. تهران؛ مجلس؛ شماره نسخه: ۱۲۰۴۳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نجفعلی بن محمد علی  نهاوندی، تا: سه شنبـه6 شوال  ۱۲۶۴ق، برای میرزا محمد حسن ؛جلد: تیماج قهوه ای، ۱۶۲گ، ۱۵ سطر،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۳۵ - ۵۷]</w:t>
      </w:r>
    </w:p>
    <w:p>
      <w:pPr>
        <w:pStyle w:val="BookText"/>
      </w:pPr>
      <w:r>
        <w:rPr>
          <w:rFonts w:ascii="IRNazanin" w:hAnsi="IRNazanin" w:eastAsia="IRNazanin" w:cs="IRNazanin"/>
          <w:lang w:bidi="fa-IR"/>
          <w:color w:val="111111"/>
          <w:sz w:val="28"/>
          <w:szCs w:val="28"/>
          <w:rtl/>
        </w:rPr>
        <w:t xml:space="preserve">۴۴. قم؛ فیضیه؛ شماره نسخه: ۸۴۹/۴</w:t>
      </w:r>
    </w:p>
    <w:p>
      <w:pPr>
        <w:pStyle w:val="BookText"/>
      </w:pPr>
      <w:r>
        <w:rPr>
          <w:rFonts w:ascii="IRNazanin" w:hAnsi="IRNazanin" w:eastAsia="IRNazanin" w:cs="IRNazanin"/>
          <w:lang w:bidi="fa-IR"/>
          <w:color w:val="111111"/>
          <w:sz w:val="28"/>
          <w:szCs w:val="28"/>
          <w:rtl/>
        </w:rPr>
        <w:t xml:space="preserve">خط: نستعلیق، کا: هاشم بن ابراهیم حسینی، تا: ۱۲۶۴ق، ۷۰  گ،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۳ - ۳۱]</w:t>
      </w:r>
    </w:p>
    <w:p>
      <w:pPr>
        <w:pStyle w:val="BookText"/>
      </w:pPr>
      <w:r>
        <w:rPr>
          <w:rFonts w:ascii="IRNazanin" w:hAnsi="IRNazanin" w:eastAsia="IRNazanin" w:cs="IRNazanin"/>
          <w:lang w:bidi="fa-IR"/>
          <w:color w:val="111111"/>
          <w:sz w:val="28"/>
          <w:szCs w:val="28"/>
          <w:rtl/>
        </w:rPr>
        <w:t xml:space="preserve">۴۵ .تهران؛ دانشگاه؛ شماره نسخه: ۳۶۹۹</w:t>
      </w:r>
    </w:p>
    <w:p>
      <w:pPr>
        <w:pStyle w:val="BookText"/>
      </w:pPr>
      <w:r>
        <w:rPr>
          <w:rFonts w:ascii="IRNazanin" w:hAnsi="IRNazanin" w:eastAsia="IRNazanin" w:cs="IRNazanin"/>
          <w:lang w:bidi="fa-IR"/>
          <w:color w:val="111111"/>
          <w:sz w:val="28"/>
          <w:szCs w:val="28"/>
          <w:rtl/>
        </w:rPr>
        <w:t xml:space="preserve">خط: نستعلیق، کا: ساوجبلاغی ،تا: جمادی الثانی ۱۲۶۷ق،به فرموده آخوند ملا مصطفی نجم آبادی؛ کاغذ: فرنگی، جلد: تیماج زرد ضربی، ۸۳گ ۲۵ سطر (5</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۱۰</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۱۷سم  [ف: ۱۲ - ۲۷۰۳]</w:t>
      </w:r>
    </w:p>
    <w:p>
      <w:pPr>
        <w:pStyle w:val="BookText"/>
      </w:pPr>
      <w:r>
        <w:rPr>
          <w:rFonts w:ascii="IRNazanin" w:hAnsi="IRNazanin" w:eastAsia="IRNazanin" w:cs="IRNazanin"/>
          <w:lang w:bidi="fa-IR"/>
          <w:color w:val="111111"/>
          <w:sz w:val="28"/>
          <w:szCs w:val="28"/>
          <w:rtl/>
        </w:rPr>
        <w:t xml:space="preserve">۴۶. مشهد؛ شیخ علی حیدر؛ شماره نسخه: ۸۱۹</w:t>
      </w:r>
    </w:p>
    <w:p>
      <w:pPr>
        <w:pStyle w:val="BookText"/>
      </w:pPr>
      <w:r>
        <w:rPr>
          <w:rFonts w:ascii="IRNazanin" w:hAnsi="IRNazanin" w:eastAsia="IRNazanin" w:cs="IRNazanin"/>
          <w:lang w:bidi="fa-IR"/>
          <w:color w:val="111111"/>
          <w:sz w:val="28"/>
          <w:szCs w:val="28"/>
          <w:rtl/>
        </w:rPr>
        <w:t xml:space="preserve">خط: نسخ، کا: محمد رضا بن محمد حسین یزدی، تا: پنج شنبه ۱۹ ربیع الثانی؛ در برگ اول یادداشتی به خط محمد تقى قمى الاصل طهرانی به تاریخ ۱۲۷۰ که در سرای حاج ملا علی در تهران نوشته است؛ جلد: چرم زرد ۱۹۰گ ، ۱۷ سطر، اندازه: ۱۰/۵</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۱۷سم [مؤيد: ۲ - ۲۶۰]</w:t>
      </w:r>
    </w:p>
    <w:p>
      <w:pPr>
        <w:pStyle w:val="BookText"/>
      </w:pPr>
      <w:r>
        <w:rPr>
          <w:rFonts w:ascii="IRNazanin" w:hAnsi="IRNazanin" w:eastAsia="IRNazanin" w:cs="IRNazanin"/>
          <w:lang w:bidi="fa-IR"/>
          <w:color w:val="111111"/>
          <w:sz w:val="28"/>
          <w:szCs w:val="28"/>
          <w:rtl/>
        </w:rPr>
        <w:t xml:space="preserve">۴۷. تهران؛ دانشگاه؛ شماره نسخه: ۲۲۷۳/۱</w:t>
      </w:r>
    </w:p>
    <w:p>
      <w:pPr>
        <w:pStyle w:val="BookText"/>
      </w:pPr>
      <w:r>
        <w:rPr>
          <w:rFonts w:ascii="IRNazanin" w:hAnsi="IRNazanin" w:eastAsia="IRNazanin" w:cs="IRNazanin"/>
          <w:lang w:bidi="fa-IR"/>
          <w:color w:val="111111"/>
          <w:sz w:val="28"/>
          <w:szCs w:val="28"/>
          <w:rtl/>
        </w:rPr>
        <w:t xml:space="preserve">خط: نسخ، بی کا، تا: ۱۲۷۹ق؛ کاغذ: فرنگی، جلد: تیماج مشکی ضربی ،مقوایی ۸۹گ (۱پ- ۸۹ر)، ۲۲ سطر(۸/۵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۲۵/۵سم [ف: ۹ – ۹۲۲]</w:t>
      </w:r>
    </w:p>
    <w:p>
      <w:pPr>
        <w:pStyle w:val="BookText"/>
      </w:pPr>
      <w:r>
        <w:rPr>
          <w:rFonts w:ascii="IRNazanin" w:hAnsi="IRNazanin" w:eastAsia="IRNazanin" w:cs="IRNazanin"/>
          <w:lang w:bidi="fa-IR"/>
          <w:color w:val="111111"/>
          <w:sz w:val="28"/>
          <w:szCs w:val="28"/>
          <w:rtl/>
        </w:rPr>
        <w:t xml:space="preserve">۴۸. شیراز؛ ملی؛ شماره نسخه: ۵۴-الف/۴۹۲/۱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كا: عبدالله معلم خفری، تا: ۱۶ ذیحجه ۱۲۷۹ق، حسب فرمایش لطفعلی خان بن آقا محمد ؛جلد: مقوا با تیماج سرخ، ۱۳۱ص، ۱۹  سطر (8/5</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۲ - ۸۹]</w:t>
      </w:r>
    </w:p>
    <w:p>
      <w:pPr>
        <w:pStyle w:val="BookText"/>
      </w:pPr>
      <w:r>
        <w:rPr>
          <w:rFonts w:ascii="IRNazanin" w:hAnsi="IRNazanin" w:eastAsia="IRNazanin" w:cs="IRNazanin"/>
          <w:lang w:bidi="fa-IR"/>
          <w:color w:val="111111"/>
          <w:sz w:val="28"/>
          <w:szCs w:val="28"/>
          <w:rtl/>
        </w:rPr>
        <w:t xml:space="preserve">۴۹. تهران؛ دانشگاه؛ شماره نسخه: ۱۰۵۹۷/۱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نستعليق ،كا: ابوالحسن بن محمد حسینی  شیروانی، تا: ۸ رمضان ۱۲۸۰ق؛ ابتدای مجموعه یک صفحه از کاتب در معنای حدیثی از رسول اکرم با امضای «ح ن شیروانی» در آخرین برگ هم روایتی از ایشان آمده؛ انتقالی از مدرسه آیت الله بروجردی شهر ری در اردیبهشت۱۳۷۰؛ جلد: تیماج تریاکی یک لا، ۶۷گ (۲ پ-۶۸پ)،  ۲۲ سطر، اندازه: ۱۹/۵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۲۰ - ۵۶]</w:t>
      </w:r>
    </w:p>
    <w:p>
      <w:pPr>
        <w:pStyle w:val="BookText"/>
      </w:pPr>
      <w:r>
        <w:rPr>
          <w:rFonts w:ascii="IRNazanin" w:hAnsi="IRNazanin" w:eastAsia="IRNazanin" w:cs="IRNazanin"/>
          <w:lang w:bidi="fa-IR"/>
          <w:color w:val="111111"/>
          <w:sz w:val="28"/>
          <w:szCs w:val="28"/>
          <w:rtl/>
        </w:rPr>
        <w:t xml:space="preserve">۵۰. تهران؛ مجلس؛ شماره نسخه: ۱۳۱۶ 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محمد جعفر بن محمد رحیم، تا: سلخ جمادی الثاني؛ مهر: «محمد بن صادق الحسینی ۱۲۸۳» (بیضی)؛ کاغذ: فرنگی آهار مهره، جلد: تیماج نارنجی با جدول و کمند، ۱۱۶گ، با احتساب برگ های اضافی، ۲۰  سطر، قطع: وزیری بزرگ [ف:  24/2- 207]</w:t>
      </w:r>
    </w:p>
    <w:p>
      <w:pPr>
        <w:pStyle w:val="BookText"/>
      </w:pPr>
      <w:r>
        <w:rPr>
          <w:rFonts w:ascii="IRNazanin" w:hAnsi="IRNazanin" w:eastAsia="IRNazanin" w:cs="IRNazanin"/>
          <w:lang w:bidi="fa-IR"/>
          <w:color w:val="111111"/>
          <w:sz w:val="28"/>
          <w:szCs w:val="28"/>
          <w:rtl/>
        </w:rPr>
        <w:t xml:space="preserve">۵۱. زنجان؛ امام جمعه؛ شماره :نسخه ۱ مجموعه بدون شماره</w:t>
      </w:r>
    </w:p>
    <w:p>
      <w:pPr>
        <w:pStyle w:val="BookText"/>
      </w:pPr>
      <w:r>
        <w:rPr>
          <w:rFonts w:ascii="IRNazanin" w:hAnsi="IRNazanin" w:eastAsia="IRNazanin" w:cs="IRNazanin"/>
          <w:lang w:bidi="fa-IR"/>
          <w:color w:val="111111"/>
          <w:sz w:val="28"/>
          <w:szCs w:val="28"/>
          <w:rtl/>
        </w:rPr>
        <w:t xml:space="preserve">كا: عبدالصمد بن محمد صادق، تا: پنج شنبه ۶ شوال ۱۲۸۳ق [دلیل المخطوطات: ۱ - ۱۵۶]</w:t>
      </w:r>
    </w:p>
    <w:p>
      <w:pPr>
        <w:pStyle w:val="BookText"/>
      </w:pPr>
      <w:r>
        <w:rPr>
          <w:rFonts w:ascii="IRNazanin" w:hAnsi="IRNazanin" w:eastAsia="IRNazanin" w:cs="IRNazanin"/>
          <w:lang w:bidi="fa-IR"/>
          <w:color w:val="111111"/>
          <w:sz w:val="28"/>
          <w:szCs w:val="28"/>
          <w:rtl/>
        </w:rPr>
        <w:t xml:space="preserve">۵۲. بیرجند؛ دیانی؛ شماره نسخه: ۱۲۸/۱</w:t>
      </w:r>
    </w:p>
    <w:p>
      <w:pPr>
        <w:pStyle w:val="BookText"/>
      </w:pPr>
      <w:r>
        <w:rPr>
          <w:rFonts w:ascii="IRNazanin" w:hAnsi="IRNazanin" w:eastAsia="IRNazanin" w:cs="IRNazanin"/>
          <w:lang w:bidi="fa-IR"/>
          <w:color w:val="111111"/>
          <w:sz w:val="28"/>
          <w:szCs w:val="28"/>
          <w:rtl/>
        </w:rPr>
        <w:t xml:space="preserve">خط: نستعليق، كا: محمود موسوی تونی، تا: جمعه ۲۴ رمضان  ۱۲۸۵ق ،جا ،شیراز مدرسه میرزا علی اکبر ؛ مصحح؛ جلد: تيماج مشکی، ۹۵گ (۱پ-۹۵پ)، ۱۹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۲۳سم [دیانی  - ف ۱۰۱]</w:t>
      </w:r>
    </w:p>
    <w:p>
      <w:pPr>
        <w:pStyle w:val="BookText"/>
      </w:pPr>
      <w:r>
        <w:rPr>
          <w:rFonts w:ascii="IRNazanin" w:hAnsi="IRNazanin" w:eastAsia="IRNazanin" w:cs="IRNazanin"/>
          <w:lang w:bidi="fa-IR"/>
          <w:color w:val="111111"/>
          <w:sz w:val="28"/>
          <w:szCs w:val="28"/>
          <w:rtl/>
        </w:rPr>
        <w:t xml:space="preserve">۵۳. قم؛ مرکز احیاء؛ شماره نسخه: ۱۳۴۳</w:t>
      </w:r>
    </w:p>
    <w:p>
      <w:pPr>
        <w:pStyle w:val="BookText"/>
      </w:pPr>
      <w:r>
        <w:rPr>
          <w:rFonts w:ascii="IRNazanin" w:hAnsi="IRNazanin" w:eastAsia="IRNazanin" w:cs="IRNazanin"/>
          <w:lang w:bidi="fa-IR"/>
          <w:color w:val="111111"/>
          <w:sz w:val="28"/>
          <w:szCs w:val="28"/>
          <w:rtl/>
        </w:rPr>
        <w:t xml:space="preserve">خط: نسخ  خوب، بی کا، تا: دهه آخر جمادی الثانی ۱۲۹۳ق؛  در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18" w:name="pg20365_260321"/>
    <w:bookmarkEnd w:id="218"/>
    <w:p>
      <w:pPr>
        <w:pStyle w:val="BookText"/>
      </w:pPr>
      <w:r>
        <w:rPr>
          <w:rFonts w:ascii="IRNazanin" w:hAnsi="IRNazanin" w:eastAsia="IRNazanin" w:cs="IRNazanin"/>
          <w:lang w:bidi="fa-IR"/>
          <w:color w:val="111111"/>
          <w:sz w:val="28"/>
          <w:szCs w:val="28"/>
          <w:rtl/>
        </w:rPr>
        <w:t xml:space="preserve">پايان پاسخ صدرا به بعض افاضل ابهر افزوده شده و كاتب نسخه خود را نوه صدرا می داند؛ جلد: تيماج قرمز، ۱۳۵ گ، ۱۹ سطر،اندازه: 15</w:t>
      </w:r>
      <w:r>
        <w:rPr>
          <w:rFonts w:ascii="Times New Roman" w:hAnsi="Times New Roman" w:eastAsia="Times New Roman" w:cs="Times New Roman"/>
          <w:lang w:val="en-US" w:bidi="en-US"/>
          <w:color w:val="111111"/>
          <w:sz w:val="28"/>
          <w:szCs w:val="28"/>
          <w:rtl/>
        </w:rPr>
        <w:t xml:space="preserve">×23/5</w:t>
      </w:r>
      <w:r>
        <w:rPr>
          <w:rFonts w:ascii="IRNazanin" w:hAnsi="IRNazanin" w:eastAsia="IRNazanin" w:cs="IRNazanin"/>
          <w:lang w:bidi="fa-IR"/>
          <w:color w:val="111111"/>
          <w:sz w:val="28"/>
          <w:szCs w:val="28"/>
          <w:rtl/>
        </w:rPr>
        <w:t xml:space="preserve">سم[ف: 4- 172]</w:t>
      </w:r>
    </w:p>
    <w:p>
      <w:pPr>
        <w:pStyle w:val="BookText"/>
      </w:pPr>
      <w:r>
        <w:rPr>
          <w:rFonts w:ascii="IRNazanin" w:hAnsi="IRNazanin" w:eastAsia="IRNazanin" w:cs="IRNazanin"/>
          <w:lang w:bidi="fa-IR"/>
          <w:color w:val="111111"/>
          <w:sz w:val="28"/>
          <w:szCs w:val="28"/>
          <w:rtl/>
        </w:rPr>
        <w:t xml:space="preserve">54.قم؛ مسجد اعظم ؛ شماره نسخه: 255</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کا: محمدسميع بن محمدجعفر، تا: صفر ۱۲۹۵ ق؛ مصحح؛ جلد:تيماج سبز، ۹۶ گ، ۱۹ سطر، اندازه: ۱۷</w:t>
      </w:r>
      <w:r>
        <w:rPr>
          <w:rFonts w:ascii="Times New Roman" w:hAnsi="Times New Roman" w:eastAsia="Times New Roman" w:cs="Times New Roman"/>
          <w:lang w:val="en-US" w:bidi="en-US"/>
          <w:color w:val="111111"/>
          <w:sz w:val="28"/>
          <w:szCs w:val="28"/>
          <w:rtl/>
        </w:rPr>
        <w:t xml:space="preserve">× 22</w:t>
      </w:r>
      <w:r>
        <w:rPr>
          <w:rFonts w:ascii="IRNazanin" w:hAnsi="IRNazanin" w:eastAsia="IRNazanin" w:cs="IRNazanin"/>
          <w:lang w:bidi="fa-IR"/>
          <w:color w:val="111111"/>
          <w:sz w:val="28"/>
          <w:szCs w:val="28"/>
          <w:rtl/>
        </w:rPr>
        <w:t xml:space="preserve">سم[ف مخ: 1- 143]</w:t>
      </w:r>
    </w:p>
    <w:p>
      <w:pPr>
        <w:pStyle w:val="BookText"/>
      </w:pPr>
      <w:r>
        <w:rPr>
          <w:rFonts w:ascii="Amiri" w:hAnsi="Amiri" w:eastAsia="Amiri" w:cs="Amiri"/>
          <w:lang w:bidi="ar-SA"/>
          <w:color w:val="111111"/>
          <w:sz w:val="28"/>
          <w:szCs w:val="28"/>
          <w:rtl/>
        </w:rPr>
        <w:t xml:space="preserve">۵۵ . شيراز؛ امام عصر؛ شماره نسخه: ۶۶</w:t>
      </w:r>
    </w:p>
    <w:p>
      <w:pPr>
        <w:pStyle w:val="BookText"/>
      </w:pPr>
      <w:r>
        <w:rPr>
          <w:rFonts w:ascii="IRNazanin" w:hAnsi="IRNazanin" w:eastAsia="IRNazanin" w:cs="IRNazanin"/>
          <w:lang w:bidi="fa-IR"/>
          <w:color w:val="111111"/>
          <w:sz w:val="28"/>
          <w:szCs w:val="28"/>
          <w:rtl/>
        </w:rPr>
        <w:t xml:space="preserve">خط: نسخ، بی كا، تا: پنج شنبه ۱۹ محرم ۱۲۹۷ ق؛ ۱۷۳ گ، اندازه:11</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سم[1- 7]</w:t>
      </w:r>
    </w:p>
    <w:p>
      <w:pPr>
        <w:pStyle w:val="BookText"/>
      </w:pPr>
      <w:r>
        <w:rPr>
          <w:rFonts w:ascii="Amiri" w:hAnsi="Amiri" w:eastAsia="Amiri" w:cs="Amiri"/>
          <w:lang w:bidi="ar-SA"/>
          <w:color w:val="111111"/>
          <w:sz w:val="28"/>
          <w:szCs w:val="28"/>
          <w:rtl/>
        </w:rPr>
        <w:t xml:space="preserve">۵۶ . قم؛ مركز احياء؛ شماره نسخه: ۳۹۱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خوب، کا: سلمان حسينی، تا: جمعه غره صفر ۱۲۹۹ ق،به دستور آقا مير سيد محمود منشی باشی؛ مصحح؛ جلد: تيماج قرمز بدون مقوا</w:t>
      </w:r>
    </w:p>
    <w:p>
      <w:pPr>
        <w:pStyle w:val="BookText"/>
      </w:pPr>
      <w:r>
        <w:rPr>
          <w:rFonts w:ascii="IRNazanin" w:hAnsi="IRNazanin" w:eastAsia="IRNazanin" w:cs="IRNazanin"/>
          <w:lang w:bidi="fa-IR"/>
          <w:color w:val="111111"/>
          <w:sz w:val="28"/>
          <w:szCs w:val="28"/>
          <w:rtl/>
        </w:rPr>
        <w:t xml:space="preserve">۸۷ گ، ۲۰ سطر،اندازه: 14/5</w:t>
      </w:r>
      <w:r>
        <w:rPr>
          <w:rFonts w:ascii="Times New Roman" w:hAnsi="Times New Roman" w:eastAsia="Times New Roman" w:cs="Times New Roman"/>
          <w:lang w:val="en-US" w:bidi="en-US"/>
          <w:color w:val="111111"/>
          <w:sz w:val="28"/>
          <w:szCs w:val="28"/>
          <w:rtl/>
        </w:rPr>
        <w:t xml:space="preserve">× 21/5</w:t>
      </w:r>
      <w:r>
        <w:rPr>
          <w:rFonts w:ascii="IRNazanin" w:hAnsi="IRNazanin" w:eastAsia="IRNazanin" w:cs="IRNazanin"/>
          <w:lang w:bidi="fa-IR"/>
          <w:color w:val="111111"/>
          <w:sz w:val="28"/>
          <w:szCs w:val="28"/>
          <w:rtl/>
        </w:rPr>
        <w:t xml:space="preserve">سم[ف: 1- 509]</w:t>
      </w:r>
    </w:p>
    <w:p>
      <w:pPr>
        <w:pStyle w:val="BookText"/>
      </w:pPr>
      <w:r>
        <w:rPr>
          <w:rFonts w:ascii="IRNazanin" w:hAnsi="IRNazanin" w:eastAsia="IRNazanin" w:cs="IRNazanin"/>
          <w:lang w:bidi="fa-IR"/>
          <w:color w:val="111111"/>
          <w:sz w:val="28"/>
          <w:szCs w:val="28"/>
          <w:rtl/>
        </w:rPr>
        <w:t xml:space="preserve">۵٧ . قم؛ مرعشی؛ شماره نسخه: ۹۲۴۷</w:t>
      </w:r>
    </w:p>
    <w:p>
      <w:pPr>
        <w:pStyle w:val="BookText"/>
      </w:pPr>
      <w:r>
        <w:rPr>
          <w:rFonts w:ascii="IRNazanin" w:hAnsi="IRNazanin" w:eastAsia="IRNazanin" w:cs="IRNazanin"/>
          <w:lang w:bidi="fa-IR"/>
          <w:color w:val="111111"/>
          <w:sz w:val="28"/>
          <w:szCs w:val="28"/>
          <w:rtl/>
        </w:rPr>
        <w:t xml:space="preserve">خط: نسخ، بی كا، تا: نزديك عصر مؤلف، مصحح؛ جلد: تيماج قهوه  بدون مقوا، ۱۲۹ گ، ۲۱ سطر، اندازه: 12/5</w:t>
      </w:r>
      <w:r>
        <w:rPr>
          <w:rFonts w:ascii="Times New Roman" w:hAnsi="Times New Roman" w:eastAsia="Times New Roman" w:cs="Times New Roman"/>
          <w:lang w:val="en-US" w:bidi="en-US"/>
          <w:color w:val="111111"/>
          <w:sz w:val="28"/>
          <w:szCs w:val="28"/>
          <w:rtl/>
        </w:rPr>
        <w:t xml:space="preserve">×17/5</w:t>
      </w:r>
      <w:r>
        <w:rPr>
          <w:rFonts w:ascii="IRNazanin" w:hAnsi="IRNazanin" w:eastAsia="IRNazanin" w:cs="IRNazanin"/>
          <w:lang w:bidi="fa-IR"/>
          <w:color w:val="111111"/>
          <w:sz w:val="28"/>
          <w:szCs w:val="28"/>
          <w:rtl/>
        </w:rPr>
        <w:t xml:space="preserve">سم [ف: 24- 43]</w:t>
      </w:r>
    </w:p>
    <w:p>
      <w:pPr>
        <w:pStyle w:val="BookText"/>
      </w:pPr>
      <w:r>
        <w:rPr>
          <w:rFonts w:ascii="Amiri" w:hAnsi="Amiri" w:eastAsia="Amiri" w:cs="Amiri"/>
          <w:lang w:bidi="ar-SA"/>
          <w:color w:val="111111"/>
          <w:sz w:val="28"/>
          <w:szCs w:val="28"/>
          <w:rtl/>
        </w:rPr>
        <w:t xml:space="preserve">۵٨ . قم؛ فيضيه؛ شماره نسخه: ۹۲۹</w:t>
      </w:r>
    </w:p>
    <w:p>
      <w:pPr>
        <w:pStyle w:val="BookText"/>
      </w:pPr>
      <w:r>
        <w:rPr>
          <w:rFonts w:ascii="IRNazanin" w:hAnsi="IRNazanin" w:eastAsia="IRNazanin" w:cs="IRNazanin"/>
          <w:lang w:bidi="fa-IR"/>
          <w:color w:val="111111"/>
          <w:sz w:val="28"/>
          <w:szCs w:val="28"/>
          <w:rtl/>
        </w:rPr>
        <w:t xml:space="preserve">خط: نسخ، بی كا، بی تا؛ ۱۴۰ گ، ۱۵ سطر، اندازه: ۱۴</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ف: 1- 13]</w:t>
      </w:r>
    </w:p>
    <w:p>
      <w:pPr>
        <w:pStyle w:val="BookText"/>
      </w:pPr>
      <w:r>
        <w:rPr>
          <w:rFonts w:ascii="IRNazanin" w:hAnsi="IRNazanin" w:eastAsia="IRNazanin" w:cs="IRNazanin"/>
          <w:lang w:bidi="fa-IR"/>
          <w:color w:val="111111"/>
          <w:sz w:val="28"/>
          <w:szCs w:val="28"/>
          <w:rtl/>
        </w:rPr>
        <w:t xml:space="preserve">۵٩ . تهران؛ سپهسالار؛ شماره نسخه: ۵</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تذكر: نام مؤلف و كتاب به قرينه آغاز نسخه تعيين شد؛ بی كا،بی تا؛ افتادگی: انجام؛ ۷گ ( ۵۶ ر- ۶۲ ر) [ف: ۵- 17]</w:t>
      </w:r>
    </w:p>
    <w:p>
      <w:pPr>
        <w:pStyle w:val="BookText"/>
      </w:pPr>
      <w:r>
        <w:rPr>
          <w:rFonts w:ascii="IRNazanin" w:hAnsi="IRNazanin" w:eastAsia="IRNazanin" w:cs="IRNazanin"/>
          <w:lang w:bidi="fa-IR"/>
          <w:color w:val="111111"/>
          <w:sz w:val="28"/>
          <w:szCs w:val="28"/>
          <w:rtl/>
        </w:rPr>
        <w:t xml:space="preserve">۶٠ . تهران؛ مجلس؛ شماره نسخه: 3/ 12062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نستعليق، بی كا، بی تا؛ جلد: تيماج، مشكی، ۲۰۰ ص ( ۱۳- 212)14سطر، اندازه: 10/5</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سم[ف: 35- 74]</w:t>
      </w:r>
    </w:p>
    <w:p>
      <w:pPr>
        <w:pStyle w:val="BookText"/>
      </w:pPr>
      <w:r>
        <w:rPr>
          <w:rFonts w:ascii="IRNazanin" w:hAnsi="IRNazanin" w:eastAsia="IRNazanin" w:cs="IRNazanin"/>
          <w:lang w:bidi="fa-IR"/>
          <w:color w:val="111111"/>
          <w:sz w:val="28"/>
          <w:szCs w:val="28"/>
          <w:rtl/>
        </w:rPr>
        <w:t xml:space="preserve">۶١ . تهران؛ مجلس؛ شماره نسخه: 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كا، بی تا؛ جلد: روغنی نارنجی دارای ترنج، ۱۸۹ ص ( 1- 189)23سطر اندازه: 15</w:t>
      </w:r>
      <w:r>
        <w:rPr>
          <w:rFonts w:ascii="Times New Roman" w:hAnsi="Times New Roman" w:eastAsia="Times New Roman" w:cs="Times New Roman"/>
          <w:lang w:val="en-US" w:bidi="en-US"/>
          <w:color w:val="111111"/>
          <w:sz w:val="28"/>
          <w:szCs w:val="28"/>
          <w:rtl/>
        </w:rPr>
        <w:t xml:space="preserve">×23</w:t>
      </w:r>
      <w:r>
        <w:rPr>
          <w:rFonts w:ascii="IRNazanin" w:hAnsi="IRNazanin" w:eastAsia="IRNazanin" w:cs="IRNazanin"/>
          <w:lang w:bidi="fa-IR"/>
          <w:color w:val="111111"/>
          <w:sz w:val="28"/>
          <w:szCs w:val="28"/>
          <w:rtl/>
        </w:rPr>
        <w:t xml:space="preserve">سم [ف: ۹ - 24]</w:t>
      </w:r>
    </w:p>
    <w:p>
      <w:pPr>
        <w:pStyle w:val="BookText"/>
      </w:pPr>
      <w:r>
        <w:rPr>
          <w:rFonts w:ascii="IRNazanin" w:hAnsi="IRNazanin" w:eastAsia="IRNazanin" w:cs="IRNazanin"/>
          <w:lang w:bidi="fa-IR"/>
          <w:color w:val="111111"/>
          <w:sz w:val="28"/>
          <w:szCs w:val="28"/>
          <w:rtl/>
        </w:rPr>
        <w:t xml:space="preserve">۶٢ . مشهد؛ رضوی؛ شماره نسخه: ۵۶۷۲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كا، بی تا؛ محشی به امضای نوری گويا همان آخوند ملاعلی نوری حكيم باشد؛ واقف: فهرستی؛ ۱۱۹ گ، ۱۸ سطر،اندازه: 18</w:t>
      </w:r>
      <w:r>
        <w:rPr>
          <w:rFonts w:ascii="Times New Roman" w:hAnsi="Times New Roman" w:eastAsia="Times New Roman" w:cs="Times New Roman"/>
          <w:lang w:val="en-US" w:bidi="en-US"/>
          <w:color w:val="111111"/>
          <w:sz w:val="28"/>
          <w:szCs w:val="28"/>
          <w:rtl/>
        </w:rPr>
        <w:t xml:space="preserve">×23</w:t>
      </w:r>
      <w:r>
        <w:rPr>
          <w:rFonts w:ascii="IRNazanin" w:hAnsi="IRNazanin" w:eastAsia="IRNazanin" w:cs="IRNazanin"/>
          <w:lang w:bidi="fa-IR"/>
          <w:color w:val="111111"/>
          <w:sz w:val="28"/>
          <w:szCs w:val="28"/>
          <w:rtl/>
        </w:rPr>
        <w:t xml:space="preserve">سم[4- 406]</w:t>
      </w:r>
    </w:p>
    <w:p>
      <w:pPr>
        <w:pStyle w:val="BookText"/>
      </w:pPr>
      <w:r>
        <w:rPr>
          <w:rFonts w:ascii="IRNazanin" w:hAnsi="IRNazanin" w:eastAsia="IRNazanin" w:cs="IRNazanin"/>
          <w:lang w:bidi="fa-IR"/>
          <w:color w:val="111111"/>
          <w:sz w:val="28"/>
          <w:szCs w:val="28"/>
          <w:rtl/>
        </w:rPr>
        <w:t xml:space="preserve">۶٣ . تهران؛ دانشگاه؛ شماره نسخه: ۲</w:t>
      </w:r>
    </w:p>
    <w:p>
      <w:pPr>
        <w:pStyle w:val="BookText"/>
      </w:pPr>
      <w:r>
        <w:rPr>
          <w:rFonts w:ascii="IRNazanin" w:hAnsi="IRNazanin" w:eastAsia="IRNazanin" w:cs="IRNazanin"/>
          <w:lang w:bidi="fa-IR"/>
          <w:color w:val="111111"/>
          <w:sz w:val="28"/>
          <w:szCs w:val="28"/>
          <w:rtl/>
        </w:rPr>
        <w:t xml:space="preserve">خط: نستعليق، کا: محمد علی بن ملا حسين بن حاجی قربان علی،بی تا؛ کاغذ: فرنگی، جلد: نو، 19سطر(10</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قطع: خشتی، اندازه:18</w:t>
      </w:r>
      <w:r>
        <w:rPr>
          <w:rFonts w:ascii="Times New Roman" w:hAnsi="Times New Roman" w:eastAsia="Times New Roman" w:cs="Times New Roman"/>
          <w:lang w:val="en-US" w:bidi="en-US"/>
          <w:color w:val="111111"/>
          <w:sz w:val="28"/>
          <w:szCs w:val="28"/>
          <w:rtl/>
        </w:rPr>
        <w:t xml:space="preserve">×23</w:t>
      </w:r>
      <w:r>
        <w:rPr>
          <w:rFonts w:ascii="IRNazanin" w:hAnsi="IRNazanin" w:eastAsia="IRNazanin" w:cs="IRNazanin"/>
          <w:lang w:bidi="fa-IR"/>
          <w:color w:val="111111"/>
          <w:sz w:val="28"/>
          <w:szCs w:val="28"/>
          <w:rtl/>
        </w:rPr>
        <w:t xml:space="preserve">سم[ف: 16- 504]</w:t>
      </w:r>
    </w:p>
    <w:p>
      <w:pPr>
        <w:pStyle w:val="BookText"/>
      </w:pPr>
      <w:r>
        <w:rPr>
          <w:rFonts w:ascii="IRNazanin" w:hAnsi="IRNazanin" w:eastAsia="IRNazanin" w:cs="IRNazanin"/>
          <w:lang w:bidi="fa-IR"/>
          <w:color w:val="111111"/>
          <w:sz w:val="28"/>
          <w:szCs w:val="28"/>
          <w:rtl/>
        </w:rPr>
        <w:t xml:space="preserve">۶۴ .قم؛ گلپایگانی؛ شماره نسخه: ۶۹۱۴/۱-۳۵/۹۴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جلد: مقوا عطف تیماج، ۱۷۶گ، ۱۶سطر،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۱ - ۳۳۹]</w:t>
      </w:r>
    </w:p>
    <w:p>
      <w:pPr>
        <w:pStyle w:val="BookText"/>
      </w:pPr>
      <w:r>
        <w:rPr>
          <w:rFonts w:ascii="IRNazanin" w:hAnsi="IRNazanin" w:eastAsia="IRNazanin" w:cs="IRNazanin"/>
          <w:lang w:bidi="fa-IR"/>
          <w:color w:val="111111"/>
          <w:sz w:val="28"/>
          <w:szCs w:val="28"/>
          <w:rtl/>
        </w:rPr>
        <w:t xml:space="preserve">65.یزد؛ وزیری شماره نسخه: ۳۱۴۴/۲</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بی کا، بی تا: کاغذ: اصفهانی،جلد: تیماج مشکی، ۷۴ ص (۱۰-۸۳)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۱۹/۵سم [ف: ۵ - ۱۵۴۹]</w:t>
      </w:r>
    </w:p>
    <w:p>
      <w:pPr>
        <w:pStyle w:val="BookText"/>
      </w:pPr>
      <w:r>
        <w:rPr>
          <w:rFonts w:ascii="IRNazanin" w:hAnsi="IRNazanin" w:eastAsia="IRNazanin" w:cs="IRNazanin"/>
          <w:lang w:bidi="fa-IR"/>
          <w:color w:val="111111"/>
          <w:sz w:val="28"/>
          <w:szCs w:val="28"/>
          <w:rtl/>
        </w:rPr>
        <w:t xml:space="preserve">۶۶. قم؛ گلپایگانی؛ شماره نسخه: ۷۶۳۶-۵۱/۹۶</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بی کا، بی تا؛ افتادگی: انجام؛ ۱۰۳گ، ۱۶-۱۷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۱ - ۳۴۰]</w:t>
      </w:r>
    </w:p>
    <w:p>
      <w:pPr>
        <w:pStyle w:val="Heading3"/>
      </w:pPr>
      <w:bookmarkStart w:id="1272" w:name="_Toc794"/>
      <w:r>
        <w:t>اسرار ابتلاء الاولیاء / تاریخ معصومین / فارسی</w:t>
      </w:r>
      <w:bookmarkEnd w:id="1272"/>
    </w:p>
    <w:p>
      <w:pPr>
        <w:pStyle w:val="BookText"/>
      </w:pPr>
      <w:r>
        <w:rPr>
          <w:rFonts w:ascii="Times New Roman" w:hAnsi="Times New Roman" w:eastAsia="Times New Roman" w:cs="Times New Roman"/>
          <w:lang w:val="en-US" w:bidi="en-US"/>
          <w:color w:val="111111"/>
          <w:sz w:val="28"/>
          <w:szCs w:val="28"/>
          <w:rtl/>
        </w:rPr>
        <w:t xml:space="preserve">asrār-e ebtelā’-ol owlīyā’</w:t>
      </w:r>
    </w:p>
    <w:p>
      <w:pPr>
        <w:pStyle w:val="BookText"/>
      </w:pPr>
      <w:r>
        <w:rPr>
          <w:rFonts w:ascii="IRNazanin" w:hAnsi="IRNazanin" w:eastAsia="IRNazanin" w:cs="IRNazanin"/>
          <w:lang w:bidi="fa-IR"/>
          <w:color w:val="111111"/>
          <w:sz w:val="28"/>
          <w:szCs w:val="28"/>
          <w:rtl/>
        </w:rPr>
        <w:t xml:space="preserve">کزازی، محمد شفیع بن محمد حسین، ق۱۳ قمری</w:t>
      </w:r>
    </w:p>
    <w:p>
      <w:pPr>
        <w:pStyle w:val="BookText"/>
      </w:pPr>
      <w:r>
        <w:rPr>
          <w:rFonts w:ascii="Times New Roman" w:hAnsi="Times New Roman" w:eastAsia="Times New Roman" w:cs="Times New Roman"/>
          <w:lang w:val="en-US" w:bidi="en-US"/>
          <w:color w:val="111111"/>
          <w:sz w:val="28"/>
          <w:szCs w:val="28"/>
          <w:rtl/>
        </w:rPr>
        <w:t xml:space="preserve">kazzāzī, mohammad šafi' ebn-e mohammad hoseyn (-</w:t>
      </w:r>
    </w:p>
    <w:p>
      <w:pPr>
        <w:pStyle w:val="BookText"/>
      </w:pPr>
      <w:r>
        <w:rPr>
          <w:rFonts w:ascii="Times New Roman" w:hAnsi="Times New Roman" w:eastAsia="Times New Roman" w:cs="Times New Roman"/>
          <w:lang w:val="en-US" w:bidi="en-US"/>
          <w:color w:val="111111"/>
          <w:sz w:val="28"/>
          <w:szCs w:val="28"/>
          <w:rtl/>
        </w:rPr>
        <w:t xml:space="preserve">(19c-)</w:t>
      </w:r>
    </w:p>
    <w:p>
      <w:pPr>
        <w:pStyle w:val="BookText"/>
      </w:pPr>
      <w:r>
        <w:rPr>
          <w:rFonts w:ascii="IRNazanin" w:hAnsi="IRNazanin" w:eastAsia="IRNazanin" w:cs="IRNazanin"/>
          <w:lang w:bidi="fa-IR"/>
          <w:color w:val="111111"/>
          <w:sz w:val="28"/>
          <w:szCs w:val="28"/>
          <w:rtl/>
        </w:rPr>
        <w:t xml:space="preserve">اهدا به: محمد شاه قاجار</w:t>
      </w:r>
    </w:p>
    <w:p>
      <w:pPr>
        <w:pStyle w:val="BookText"/>
      </w:pPr>
      <w:r>
        <w:rPr>
          <w:rFonts w:ascii="IRNazanin" w:hAnsi="IRNazanin" w:eastAsia="IRNazanin" w:cs="IRNazanin"/>
          <w:lang w:bidi="fa-IR"/>
          <w:color w:val="111111"/>
          <w:sz w:val="28"/>
          <w:szCs w:val="28"/>
          <w:rtl/>
        </w:rPr>
        <w:t xml:space="preserve">تاریخ تالیف: ۱۲۰۸ق</w:t>
      </w:r>
    </w:p>
    <w:p>
      <w:pPr>
        <w:pStyle w:val="BookText"/>
      </w:pPr>
      <w:r>
        <w:rPr>
          <w:rFonts w:ascii="IRNazanin" w:hAnsi="IRNazanin" w:eastAsia="IRNazanin" w:cs="IRNazanin"/>
          <w:lang w:bidi="fa-IR"/>
          <w:color w:val="111111"/>
          <w:sz w:val="28"/>
          <w:szCs w:val="28"/>
          <w:rtl/>
        </w:rPr>
        <w:t xml:space="preserve">مؤلف کتاب را پس از «بحری البکاء» و به نام محمد شاه قاجار تألیف کرده است و هر دو کتاب در سوگواری است. در چند «مقدمه» و چند «روضه» و چند «بلیه» و یک «خاتمه» تنظیم شده است نام مؤلف و کتاب و شاه در دیباچه هست.</w:t>
      </w:r>
    </w:p>
    <w:p>
      <w:pPr>
        <w:pStyle w:val="BookText"/>
      </w:pPr>
      <w:r>
        <w:rPr>
          <w:rFonts w:ascii="Amiri" w:hAnsi="Amiri" w:eastAsia="Amiri" w:cs="Amiri"/>
          <w:lang w:bidi="ar-SA"/>
          <w:color w:val="111111"/>
          <w:sz w:val="28"/>
          <w:szCs w:val="28"/>
          <w:rtl/>
        </w:rPr>
        <w:t xml:space="preserve">آغاز :بسمله، الحمد لله الذى خلق بحسب معرفته قصبة الياقوت عن عالم اللاهوت و جعلها اربعة عشر عقداً اجابة</w:t>
      </w:r>
    </w:p>
    <w:p>
      <w:pPr>
        <w:pStyle w:val="BookText"/>
      </w:pPr>
      <w:r>
        <w:rPr>
          <w:rFonts w:ascii="IRNazanin" w:hAnsi="IRNazanin" w:eastAsia="IRNazanin" w:cs="IRNazanin"/>
          <w:lang w:bidi="fa-IR"/>
          <w:color w:val="111111"/>
          <w:sz w:val="28"/>
          <w:szCs w:val="28"/>
          <w:rtl/>
        </w:rPr>
        <w:t xml:space="preserve">انجام: امین رب العالمين و صلى الله على محمد و آله الطاهرين.</w:t>
      </w:r>
    </w:p>
    <w:p>
      <w:pPr>
        <w:pStyle w:val="BookText"/>
      </w:pPr>
      <w:r>
        <w:rPr>
          <w:rFonts w:ascii="IRNazanin" w:hAnsi="IRNazanin" w:eastAsia="IRNazanin" w:cs="IRNazanin"/>
          <w:lang w:bidi="fa-IR"/>
          <w:color w:val="111111"/>
          <w:sz w:val="28"/>
          <w:szCs w:val="28"/>
          <w:rtl/>
        </w:rPr>
        <w:t xml:space="preserve">۱. تهران؛ سپهسالار؛ شماره نسخه: ۵۳۳۱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نام مؤلف به قرینه آغاز نسخه تعیین شد؛ خط: نستعلیق، بی کا، بی تا؛ گویا نسخه اصل است؛ کاغذ: فرنگی سفید، جلد: تیماج زرد ،مقوایی ۱۴۳گ ۱۴ سطر،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ف:۳-۱۲۴]</w:t>
      </w:r>
    </w:p>
    <w:p>
      <w:pPr>
        <w:pStyle w:val="BookText"/>
      </w:pPr>
      <w:r>
        <w:rPr>
          <w:rFonts w:ascii="IRNazanin" w:hAnsi="IRNazanin" w:eastAsia="IRNazanin" w:cs="IRNazanin"/>
          <w:lang w:bidi="fa-IR"/>
          <w:color w:val="111111"/>
          <w:sz w:val="28"/>
          <w:szCs w:val="28"/>
          <w:rtl/>
        </w:rPr>
        <w:t xml:space="preserve">۲. تهران؛ ملی؛ شماره نسخه ۷۹۳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نجفعلی انجدانی، تا: ۱۲۰۸ق؛ کاغذ: فرنگی، جلد:  مقوایی، نقاشی بوم تریاکی گل و بوته زر و شنجرف، ۱۸۶گ  ، ۱۷ سطر (۶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۲ - ۳۱۹]</w:t>
      </w:r>
    </w:p>
    <w:p>
      <w:pPr>
        <w:pStyle w:val="BookText"/>
      </w:pPr>
      <w:r>
        <w:rPr>
          <w:rFonts w:ascii="IRNazanin" w:hAnsi="IRNazanin" w:eastAsia="IRNazanin" w:cs="IRNazanin"/>
          <w:lang w:bidi="fa-IR"/>
          <w:color w:val="111111"/>
          <w:sz w:val="28"/>
          <w:szCs w:val="28"/>
          <w:rtl/>
        </w:rPr>
        <w:t xml:space="preserve">3.تهران؛ مجلس؛ شماره نسخه: ۱۰۵۷۵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نجف علی انجدانی، تا: ۱۲ جمادی الاول ۱۲۵۸ق؛ جلد: تيماج قهوه ای ،مجدول ۱۷۵گ ، ۱۷ 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۳۳/۱ - ۱۱۰]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19" w:name="pg20365_260322"/>
    <w:bookmarkEnd w:id="219"/>
    <w:p>
      <w:pPr>
        <w:pStyle w:val="Heading3"/>
      </w:pPr>
      <w:bookmarkStart w:id="1273" w:name="_Toc795"/>
      <w:r>
        <w:t>اسرار الابرار / تراجم / فارسی</w:t>
      </w:r>
      <w:bookmarkEnd w:id="1273"/>
    </w:p>
    <w:p>
      <w:pPr>
        <w:pStyle w:val="BookText"/>
      </w:pPr>
      <w:r>
        <w:rPr>
          <w:rFonts w:ascii="Times New Roman" w:hAnsi="Times New Roman" w:eastAsia="Times New Roman" w:cs="Times New Roman"/>
          <w:lang w:val="en-US" w:bidi="en-US"/>
          <w:color w:val="111111"/>
          <w:sz w:val="28"/>
          <w:szCs w:val="28"/>
          <w:rtl/>
        </w:rPr>
        <w:t xml:space="preserve">asrār-ol abrār</w:t>
      </w:r>
    </w:p>
    <w:p>
      <w:pPr>
        <w:pStyle w:val="BookText"/>
      </w:pPr>
      <w:r>
        <w:rPr>
          <w:rFonts w:ascii="IRNazanin" w:hAnsi="IRNazanin" w:eastAsia="IRNazanin" w:cs="IRNazanin"/>
          <w:lang w:bidi="fa-IR"/>
          <w:color w:val="111111"/>
          <w:sz w:val="28"/>
          <w:szCs w:val="28"/>
          <w:rtl/>
        </w:rPr>
        <w:t xml:space="preserve">؟ هروی داود بن مسعود</w:t>
      </w:r>
    </w:p>
    <w:p>
      <w:pPr>
        <w:pStyle w:val="BookText"/>
      </w:pPr>
      <w:r>
        <w:rPr>
          <w:rFonts w:ascii="Times New Roman" w:hAnsi="Times New Roman" w:eastAsia="Times New Roman" w:cs="Times New Roman"/>
          <w:lang w:val="en-US" w:bidi="en-US"/>
          <w:color w:val="111111"/>
          <w:sz w:val="28"/>
          <w:szCs w:val="28"/>
          <w:rtl/>
        </w:rPr>
        <w:t xml:space="preserve">heravī, dāvūd ebn-e mas‘ūd</w:t>
      </w:r>
    </w:p>
    <w:p>
      <w:pPr>
        <w:pStyle w:val="BookText"/>
      </w:pPr>
      <w:r>
        <w:rPr>
          <w:rFonts w:ascii="IRNazanin" w:hAnsi="IRNazanin" w:eastAsia="IRNazanin" w:cs="IRNazanin"/>
          <w:lang w:bidi="fa-IR"/>
          <w:color w:val="111111"/>
          <w:sz w:val="28"/>
          <w:szCs w:val="28"/>
          <w:rtl/>
        </w:rPr>
        <w:t xml:space="preserve">ویژگی ها و حالات گروهی از رجال طریقت عرفان.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مرکز فرهنگی خراسان شماره نسخه: ۹۱ عکسی</w:t>
      </w:r>
    </w:p>
    <w:p>
      <w:pPr>
        <w:pStyle w:val="BookText"/>
      </w:pPr>
      <w:r>
        <w:rPr>
          <w:rFonts w:ascii="IRNazanin" w:hAnsi="IRNazanin" w:eastAsia="IRNazanin" w:cs="IRNazanin"/>
          <w:lang w:bidi="fa-IR"/>
          <w:color w:val="111111"/>
          <w:sz w:val="28"/>
          <w:szCs w:val="28"/>
          <w:rtl/>
        </w:rPr>
        <w:t xml:space="preserve">شرح حال مشایخ منطقه غور و غرجستان و کشمیر؛ خط: نستعلیق، بی کا، تا: ۱۱۶۵ق [جنگ: ۱ - ۴۴۳]</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مرکز فرهنگی خراسان؛ شماره نسخه: ۱۲۵ عکسی</w:t>
      </w:r>
    </w:p>
    <w:p>
      <w:pPr>
        <w:pStyle w:val="BookText"/>
      </w:pPr>
      <w:r>
        <w:rPr>
          <w:rFonts w:ascii="IRNazanin" w:hAnsi="IRNazanin" w:eastAsia="IRNazanin" w:cs="IRNazanin"/>
          <w:lang w:bidi="fa-IR"/>
          <w:color w:val="111111"/>
          <w:sz w:val="28"/>
          <w:szCs w:val="28"/>
          <w:rtl/>
        </w:rPr>
        <w:t xml:space="preserve">خط: نستعلیق، بی کا، تا: ۱۱۶۶ق، ۱۹۶گ [جنگ: ۱ - ۴۴۲]</w:t>
      </w:r>
    </w:p>
    <w:p>
      <w:pPr>
        <w:pStyle w:val="Heading3"/>
      </w:pPr>
      <w:bookmarkStart w:id="1274" w:name="_Toc796"/>
      <w:r>
        <w:t>اسرار الابرار و اخبار الاخیار / عرفان و تصوف / فارسی</w:t>
      </w:r>
      <w:bookmarkEnd w:id="1274"/>
    </w:p>
    <w:p>
      <w:pPr>
        <w:pStyle w:val="BookText"/>
      </w:pPr>
      <w:r>
        <w:rPr>
          <w:rFonts w:ascii="Times New Roman" w:hAnsi="Times New Roman" w:eastAsia="Times New Roman" w:cs="Times New Roman"/>
          <w:lang w:val="en-US" w:bidi="en-US"/>
          <w:color w:val="111111"/>
          <w:sz w:val="28"/>
          <w:szCs w:val="28"/>
          <w:rtl/>
        </w:rPr>
        <w:t xml:space="preserve">asrār-ol-abrār va axbār-ol-axyār</w:t>
      </w:r>
    </w:p>
    <w:p>
      <w:pPr>
        <w:pStyle w:val="BookText"/>
      </w:pPr>
      <w:r>
        <w:rPr>
          <w:rFonts w:ascii="IRNazanin" w:hAnsi="IRNazanin" w:eastAsia="IRNazanin" w:cs="IRNazanin"/>
          <w:lang w:bidi="fa-IR"/>
          <w:color w:val="111111"/>
          <w:sz w:val="28"/>
          <w:szCs w:val="28"/>
          <w:rtl/>
        </w:rPr>
        <w:t xml:space="preserve">وابسته به: تذکرة الاولياء عطار ، محمد بن ابراهيم (۵۳۷-۶۲۷) گزیده تذکرة الاولياء عطار  است، با فهرست در دیباچه.</w:t>
      </w:r>
    </w:p>
    <w:p>
      <w:pPr>
        <w:pStyle w:val="BookText"/>
      </w:pPr>
      <w:r>
        <w:rPr>
          <w:rFonts w:ascii="IRNazanin" w:hAnsi="IRNazanin" w:eastAsia="IRNazanin" w:cs="IRNazanin"/>
          <w:lang w:bidi="fa-IR"/>
          <w:color w:val="111111"/>
          <w:sz w:val="28"/>
          <w:szCs w:val="28"/>
          <w:rtl/>
        </w:rPr>
        <w:t xml:space="preserve">تهران؛ موزه ملی؛ شماره نسخه: ۳۵۹۲/۲</w:t>
      </w:r>
    </w:p>
    <w:p>
      <w:pPr>
        <w:pStyle w:val="BookText"/>
      </w:pPr>
      <w:r>
        <w:rPr>
          <w:rFonts w:ascii="IRNazanin" w:hAnsi="IRNazanin" w:eastAsia="IRNazanin" w:cs="IRNazanin"/>
          <w:lang w:bidi="fa-IR"/>
          <w:color w:val="111111"/>
          <w:sz w:val="28"/>
          <w:szCs w:val="28"/>
          <w:rtl/>
        </w:rPr>
        <w:t xml:space="preserve">آغاز: بسمله الحمدالله مستحق الحمد لوجوب و مستوجب الشکر لكمال الجود ... بدانکه این اوراق مشتل است بر ذکر بعض اسامی کبار اولیا و علما و سادات و مشایخ و زهاد سلف و طرفی از قصص و مقامات و سخنان ایشان ... و این کتاب را اسرار الابـرار و اخبار الاخیار نام نهاده شد و از کتاب تذكرة الاوليا [و تبصـرة الاصفیا] که شیخ فریدالدین عطار ساخته است اختیار کرده ایم؛</w:t>
      </w:r>
    </w:p>
    <w:p>
      <w:pPr>
        <w:pStyle w:val="BookText"/>
      </w:pPr>
      <w:r>
        <w:rPr>
          <w:rFonts w:ascii="IRNazanin" w:hAnsi="IRNazanin" w:eastAsia="IRNazanin" w:cs="IRNazanin"/>
          <w:lang w:bidi="fa-IR"/>
          <w:color w:val="111111"/>
          <w:sz w:val="28"/>
          <w:szCs w:val="28"/>
          <w:rtl/>
        </w:rPr>
        <w:t xml:space="preserve">انجام: و بسعادت ابدی پیوست.</w:t>
      </w:r>
    </w:p>
    <w:p>
      <w:pPr>
        <w:pStyle w:val="BookText"/>
      </w:pPr>
      <w:r>
        <w:rPr>
          <w:rFonts w:ascii="IRNazanin" w:hAnsi="IRNazanin" w:eastAsia="IRNazanin" w:cs="IRNazanin"/>
          <w:lang w:bidi="fa-IR"/>
          <w:color w:val="111111"/>
          <w:sz w:val="28"/>
          <w:szCs w:val="28"/>
          <w:rtl/>
        </w:rPr>
        <w:t xml:space="preserve">خط: نستعليق، كا: غياث الدين بن ابراهیم معلم بلگیجانی، بی تا؛ شماره ميكروفيلم ، کاغذ: خانبالغ، جلد: تیماج تریاکی ضربی مقوایی با لولا، ۷۴گ (۱۴۷پ-۲۲۰ر)، ۱۷ سطر [نشریه: ۲ – ۱۴  ]</w:t>
      </w:r>
    </w:p>
    <w:p>
      <w:pPr>
        <w:pStyle w:val="BookText"/>
      </w:pPr>
      <w:r>
        <w:rPr>
          <w:rFonts w:ascii="IRNazanin" w:hAnsi="IRNazanin" w:eastAsia="IRNazanin" w:cs="IRNazanin"/>
          <w:lang w:bidi="fa-IR"/>
          <w:color w:val="111111"/>
          <w:sz w:val="28"/>
          <w:szCs w:val="28"/>
          <w:rtl/>
        </w:rPr>
        <w:t xml:space="preserve">تهران؛ دانشگاه؛ شماره نسخه: ۱۶۶۹/۲-ف</w:t>
      </w:r>
    </w:p>
    <w:p>
      <w:pPr>
        <w:pStyle w:val="BookText"/>
      </w:pPr>
      <w:r>
        <w:rPr>
          <w:rFonts w:ascii="IRNazanin" w:hAnsi="IRNazanin" w:eastAsia="IRNazanin" w:cs="IRNazanin"/>
          <w:lang w:bidi="fa-IR"/>
          <w:color w:val="111111"/>
          <w:sz w:val="28"/>
          <w:szCs w:val="28"/>
          <w:rtl/>
        </w:rPr>
        <w:t xml:space="preserve">نسخه اصل: همان نسخه بالا [فیلم ها-ف: ۱- ۶۲۵]</w:t>
      </w:r>
    </w:p>
    <w:p>
      <w:pPr>
        <w:pStyle w:val="Heading3"/>
      </w:pPr>
      <w:bookmarkStart w:id="1275" w:name="_Toc797"/>
      <w:r>
        <w:t>اسرار الاخيار و الابرار / عرفان و تصوف / فارسی</w:t>
      </w:r>
      <w:bookmarkEnd w:id="1275"/>
    </w:p>
    <w:p>
      <w:pPr>
        <w:pStyle w:val="BookText"/>
      </w:pPr>
      <w:r>
        <w:rPr>
          <w:rFonts w:ascii="Times New Roman" w:hAnsi="Times New Roman" w:eastAsia="Times New Roman" w:cs="Times New Roman"/>
          <w:lang w:val="en-US" w:bidi="en-US"/>
          <w:color w:val="111111"/>
          <w:sz w:val="28"/>
          <w:szCs w:val="28"/>
          <w:rtl/>
        </w:rPr>
        <w:t xml:space="preserve">asrār-ol-axyār va-l-abrār</w:t>
      </w:r>
    </w:p>
    <w:p>
      <w:pPr>
        <w:pStyle w:val="BookText"/>
      </w:pPr>
      <w:r>
        <w:rPr>
          <w:rFonts w:ascii="IRNazanin" w:hAnsi="IRNazanin" w:eastAsia="IRNazanin" w:cs="IRNazanin"/>
          <w:lang w:bidi="fa-IR"/>
          <w:color w:val="111111"/>
          <w:sz w:val="28"/>
          <w:szCs w:val="28"/>
          <w:rtl/>
        </w:rPr>
        <w:t xml:space="preserve">در سلوک عرفانی</w:t>
      </w:r>
    </w:p>
    <w:p>
      <w:pPr>
        <w:pStyle w:val="BookText"/>
      </w:pPr>
      <w:r>
        <w:rPr>
          <w:rFonts w:ascii="IRNazanin" w:hAnsi="IRNazanin" w:eastAsia="IRNazanin" w:cs="IRNazanin"/>
          <w:lang w:bidi="fa-IR"/>
          <w:color w:val="111111"/>
          <w:sz w:val="28"/>
          <w:szCs w:val="28"/>
          <w:rtl/>
        </w:rPr>
        <w:t xml:space="preserve">تهران؛ دانشگاه؛ شماره نسخه: ۴۶۸۹/۳</w:t>
      </w:r>
    </w:p>
    <w:p>
      <w:pPr>
        <w:pStyle w:val="BookText"/>
      </w:pPr>
      <w:r>
        <w:rPr>
          <w:rFonts w:ascii="IRNazanin" w:hAnsi="IRNazanin" w:eastAsia="IRNazanin" w:cs="IRNazanin"/>
          <w:lang w:bidi="fa-IR"/>
          <w:color w:val="111111"/>
          <w:sz w:val="28"/>
          <w:szCs w:val="28"/>
          <w:rtl/>
        </w:rPr>
        <w:t xml:space="preserve">آغاز: اسرار الاخيار و الابرار من مشايخ  ترکستان. بسمله شرایط سلوک اول نفی خیال است؛ انجام: فی آناء الليل و اطراف النهـار.</w:t>
      </w:r>
    </w:p>
    <w:p>
      <w:pPr>
        <w:pStyle w:val="BookText"/>
      </w:pPr>
      <w:r>
        <w:rPr>
          <w:rFonts w:ascii="IRNazanin" w:hAnsi="IRNazanin" w:eastAsia="IRNazanin" w:cs="IRNazanin"/>
          <w:lang w:bidi="fa-IR"/>
          <w:color w:val="111111"/>
          <w:sz w:val="28"/>
          <w:szCs w:val="28"/>
          <w:rtl/>
        </w:rPr>
        <w:t xml:space="preserve">بی کا، بی تا؛ کاغذ: فرنگی آهار مهره ،جلد: مقوای پارچه ای،8ص  (۸-۱)، ۱۳ سطر (۵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 اندازه: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 ۱۴ - ۳۶۳۹]</w:t>
      </w:r>
    </w:p>
    <w:p>
      <w:pPr>
        <w:pStyle w:val="Heading3"/>
      </w:pPr>
      <w:bookmarkStart w:id="1276" w:name="_Toc798"/>
      <w:r>
        <w:t>اسرار الاذکار / عرفان و تصوف / فارسی</w:t>
      </w:r>
      <w:bookmarkEnd w:id="1276"/>
    </w:p>
    <w:p>
      <w:pPr>
        <w:pStyle w:val="BookText"/>
      </w:pPr>
      <w:r>
        <w:rPr>
          <w:rFonts w:ascii="Times New Roman" w:hAnsi="Times New Roman" w:eastAsia="Times New Roman" w:cs="Times New Roman"/>
          <w:lang w:val="en-US" w:bidi="en-US"/>
          <w:color w:val="111111"/>
          <w:sz w:val="28"/>
          <w:szCs w:val="28"/>
          <w:rtl/>
        </w:rPr>
        <w:t xml:space="preserve">asrār-ul aḏkār</w:t>
      </w:r>
    </w:p>
    <w:p>
      <w:pPr>
        <w:pStyle w:val="BookText"/>
      </w:pPr>
      <w:r>
        <w:rPr>
          <w:rFonts w:ascii="IRNazanin" w:hAnsi="IRNazanin" w:eastAsia="IRNazanin" w:cs="IRNazanin"/>
          <w:lang w:bidi="fa-IR"/>
          <w:color w:val="111111"/>
          <w:sz w:val="28"/>
          <w:szCs w:val="28"/>
          <w:rtl/>
        </w:rPr>
        <w:t xml:space="preserve">عنقا ،طالقانی ، ابوالفضل بن علی ۱۲۶۶ - ۱۳۳۳ قمری</w:t>
      </w:r>
    </w:p>
    <w:p>
      <w:pPr>
        <w:pStyle w:val="BookText"/>
      </w:pPr>
      <w:r>
        <w:rPr>
          <w:rFonts w:ascii="Times New Roman" w:hAnsi="Times New Roman" w:eastAsia="Times New Roman" w:cs="Times New Roman"/>
          <w:lang w:val="en-US" w:bidi="en-US"/>
          <w:color w:val="111111"/>
          <w:sz w:val="28"/>
          <w:szCs w:val="28"/>
          <w:rtl/>
        </w:rPr>
        <w:t xml:space="preserve">'(anqā tāleqānī, ab-ol-fazl ebn-e 'alī (1850-1915)</w:t>
      </w:r>
    </w:p>
    <w:p>
      <w:pPr>
        <w:pStyle w:val="BookText"/>
      </w:pPr>
      <w:r>
        <w:rPr>
          <w:rFonts w:ascii="IRNazanin" w:hAnsi="IRNazanin" w:eastAsia="IRNazanin" w:cs="IRNazanin"/>
          <w:lang w:bidi="fa-IR"/>
          <w:color w:val="111111"/>
          <w:sz w:val="28"/>
          <w:szCs w:val="28"/>
          <w:rtl/>
        </w:rPr>
        <w:t xml:space="preserve">آغاز: بسمله. تخلقوا باخلاق الله. از مشایخ بزرگوار نقل شده است از حضرت اميرالمؤمنين على عليه السلام که حضرت رسالت پناهی خاتم صلى الله علیه و آله و سلم به عشق و محبت خود بیان کرده اند که مرا راهنمایی فرما به معشوق ازلی و حبیب لم يزلي جاء في الخبر قال على عليه السلام يا رسول الله دلنی على اقرب الطرق الى الله و اسهلها على عباده و افضلها عندالله تعالى فقال رسول الله علیه و آله یا علی علیک بذکر الله تعالی فی الخلوة فقال على عليه السلام كيف اذكر يا رسول الله (صلّی اللَّهِ علیه وَ آلِهِ وَ سَلَّمَ ) فقال و غمض عينيك و سمع منى ثلاث مرات و على يسمع ثم قال لا</w:t>
      </w:r>
    </w:p>
    <w:p>
      <w:pPr>
        <w:pStyle w:val="BookText"/>
      </w:pPr>
      <w:r>
        <w:rPr>
          <w:rFonts w:ascii="Amiri" w:hAnsi="Amiri" w:eastAsia="Amiri" w:cs="Amiri"/>
          <w:lang w:bidi="ar-SA"/>
          <w:color w:val="111111"/>
          <w:sz w:val="28"/>
          <w:szCs w:val="28"/>
          <w:rtl/>
        </w:rPr>
        <w:t xml:space="preserve">اله الا الله ثلث مرات و النبي عليه السلام يسمع.</w:t>
      </w:r>
    </w:p>
    <w:p>
      <w:pPr>
        <w:pStyle w:val="BookText"/>
      </w:pPr>
      <w:r>
        <w:rPr>
          <w:rFonts w:ascii="IRNazanin" w:hAnsi="IRNazanin" w:eastAsia="IRNazanin" w:cs="IRNazanin"/>
          <w:lang w:bidi="fa-IR"/>
          <w:color w:val="111111"/>
          <w:sz w:val="28"/>
          <w:szCs w:val="28"/>
          <w:rtl/>
        </w:rPr>
        <w:t xml:space="preserve">تهران؛ دانشگاه؛ شماره نسخه: ۴- عنقا</w:t>
      </w:r>
    </w:p>
    <w:p>
      <w:pPr>
        <w:pStyle w:val="BookText"/>
      </w:pPr>
      <w:r>
        <w:rPr>
          <w:rFonts w:ascii="IRNazanin" w:hAnsi="IRNazanin" w:eastAsia="IRNazanin" w:cs="IRNazanin"/>
          <w:lang w:bidi="fa-IR"/>
          <w:color w:val="111111"/>
          <w:sz w:val="28"/>
          <w:szCs w:val="28"/>
          <w:rtl/>
        </w:rPr>
        <w:t xml:space="preserve">انجام: این عمده غامض به غیر عشق حل نگردد و السلام.</w:t>
      </w:r>
    </w:p>
    <w:p>
      <w:pPr>
        <w:pStyle w:val="BookText"/>
      </w:pPr>
      <w:r>
        <w:rPr>
          <w:rFonts w:ascii="IRNazanin" w:hAnsi="IRNazanin" w:eastAsia="IRNazanin" w:cs="IRNazanin"/>
          <w:lang w:bidi="fa-IR"/>
          <w:color w:val="111111"/>
          <w:sz w:val="28"/>
          <w:szCs w:val="28"/>
          <w:rtl/>
        </w:rPr>
        <w:t xml:space="preserve">خط: نستعليق، كاتب - مؤلف، بی تا ،۴۵ص، ۲۶ سطر، قطع: رقعی  [نشریه: ۵ - ۷۴۷]</w:t>
      </w:r>
    </w:p>
    <w:p>
      <w:pPr>
        <w:pStyle w:val="Heading3"/>
      </w:pPr>
      <w:bookmarkStart w:id="1277" w:name="_Toc799"/>
      <w:r>
        <w:t>اسرار الاصول / اصول فقه / عربی</w:t>
      </w:r>
      <w:bookmarkEnd w:id="1277"/>
    </w:p>
    <w:p>
      <w:pPr>
        <w:pStyle w:val="BookText"/>
      </w:pPr>
      <w:r>
        <w:rPr>
          <w:rFonts w:ascii="Times New Roman" w:hAnsi="Times New Roman" w:eastAsia="Times New Roman" w:cs="Times New Roman"/>
          <w:lang w:val="en-US" w:bidi="en-US"/>
          <w:color w:val="111111"/>
          <w:sz w:val="28"/>
          <w:szCs w:val="28"/>
          <w:rtl/>
        </w:rPr>
        <w:t xml:space="preserve">asrār-ul usūl</w:t>
      </w:r>
    </w:p>
    <w:p>
      <w:pPr>
        <w:pStyle w:val="BookText"/>
      </w:pPr>
      <w:r>
        <w:rPr>
          <w:rFonts w:ascii="IRNazanin" w:hAnsi="IRNazanin" w:eastAsia="IRNazanin" w:cs="IRNazanin"/>
          <w:lang w:bidi="fa-IR"/>
          <w:color w:val="111111"/>
          <w:sz w:val="28"/>
          <w:szCs w:val="28"/>
          <w:rtl/>
        </w:rPr>
        <w:t xml:space="preserve">لاریجانی، علی بن چراغعلی، ق۱۳ قمری</w:t>
      </w:r>
    </w:p>
    <w:p>
      <w:pPr>
        <w:pStyle w:val="BookText"/>
      </w:pPr>
      <w:r>
        <w:rPr>
          <w:rFonts w:ascii="Times New Roman" w:hAnsi="Times New Roman" w:eastAsia="Times New Roman" w:cs="Times New Roman"/>
          <w:lang w:val="en-US" w:bidi="en-US"/>
          <w:color w:val="111111"/>
          <w:sz w:val="28"/>
          <w:szCs w:val="28"/>
          <w:rtl/>
        </w:rPr>
        <w:t xml:space="preserve">(lārījānī, ‘alī ebn-e čeraq-'alī (- 19c)</w:t>
      </w:r>
    </w:p>
    <w:p>
      <w:pPr>
        <w:pStyle w:val="BookText"/>
      </w:pPr>
      <w:r>
        <w:rPr>
          <w:rFonts w:ascii="IRNazanin" w:hAnsi="IRNazanin" w:eastAsia="IRNazanin" w:cs="IRNazanin"/>
          <w:lang w:bidi="fa-IR"/>
          <w:color w:val="111111"/>
          <w:sz w:val="28"/>
          <w:szCs w:val="28"/>
          <w:rtl/>
        </w:rPr>
        <w:t xml:space="preserve">مشهد؛ رضوی؛ شماره نسخه: ۲۳۵۹۲</w:t>
      </w:r>
    </w:p>
    <w:p>
      <w:pPr>
        <w:pStyle w:val="BookText"/>
      </w:pPr>
      <w:r>
        <w:rPr>
          <w:rFonts w:ascii="IRNazanin" w:hAnsi="IRNazanin" w:eastAsia="IRNazanin" w:cs="IRNazanin"/>
          <w:lang w:bidi="fa-IR"/>
          <w:color w:val="111111"/>
          <w:sz w:val="28"/>
          <w:szCs w:val="28"/>
          <w:rtl/>
        </w:rPr>
        <w:t xml:space="preserve">آغاز ،بسمله، الحمد لله الذى جعل الجنه مقرا للمتقين؛ انجام: من سنه الف و ماتین و خمس وستين حامدا مصليا و الحمد لله رب  العالمين</w:t>
      </w:r>
    </w:p>
    <w:p>
      <w:pPr>
        <w:pStyle w:val="BookText"/>
      </w:pPr>
      <w:r>
        <w:rPr>
          <w:rFonts w:ascii="IRNazanin" w:hAnsi="IRNazanin" w:eastAsia="IRNazanin" w:cs="IRNazanin"/>
          <w:lang w:bidi="fa-IR"/>
          <w:color w:val="111111"/>
          <w:sz w:val="28"/>
          <w:szCs w:val="28"/>
          <w:rtl/>
        </w:rPr>
        <w:t xml:space="preserve">خط: نستعلیق تحریری، بی کا، تا: ۱۲۶۵ق [رایانه ]</w:t>
      </w:r>
    </w:p>
    <w:p>
      <w:pPr>
        <w:pStyle w:val="Heading3"/>
      </w:pPr>
      <w:bookmarkStart w:id="1278" w:name="_Toc800"/>
      <w:r>
        <w:t>اسرار الاطباء / طب / فارسی</w:t>
      </w:r>
      <w:bookmarkEnd w:id="1278"/>
    </w:p>
    <w:p>
      <w:pPr>
        <w:pStyle w:val="BookText"/>
      </w:pPr>
      <w:r>
        <w:rPr>
          <w:rFonts w:ascii="Times New Roman" w:hAnsi="Times New Roman" w:eastAsia="Times New Roman" w:cs="Times New Roman"/>
          <w:lang w:val="en-US" w:bidi="en-US"/>
          <w:color w:val="111111"/>
          <w:sz w:val="28"/>
          <w:szCs w:val="28"/>
          <w:rtl/>
        </w:rPr>
        <w:t xml:space="preserve">asrar-ol-atebba</w:t>
      </w:r>
    </w:p>
    <w:p>
      <w:pPr>
        <w:pStyle w:val="BookText"/>
      </w:pPr>
      <w:r>
        <w:rPr>
          <w:rFonts w:ascii="IRNazanin" w:hAnsi="IRNazanin" w:eastAsia="IRNazanin" w:cs="IRNazanin"/>
          <w:lang w:bidi="fa-IR"/>
          <w:color w:val="111111"/>
          <w:sz w:val="28"/>
          <w:szCs w:val="28"/>
          <w:rtl/>
        </w:rPr>
        <w:t xml:space="preserve">نظام الدین  گیلانی، احمد بن محمد - ۱۰۵۹ قمری</w:t>
      </w:r>
    </w:p>
    <w:p>
      <w:pPr>
        <w:pStyle w:val="BookText"/>
      </w:pPr>
      <w:r>
        <w:rPr>
          <w:rFonts w:ascii="Times New Roman" w:hAnsi="Times New Roman" w:eastAsia="Times New Roman" w:cs="Times New Roman"/>
          <w:lang w:val="en-US" w:bidi="en-US"/>
          <w:color w:val="111111"/>
          <w:sz w:val="28"/>
          <w:szCs w:val="28"/>
          <w:rtl/>
        </w:rPr>
        <w:t xml:space="preserve">nezām-od-dīn-e gīlānī, ahmad ebn-e mohammad (-</w:t>
      </w:r>
    </w:p>
    <w:p>
      <w:pPr>
        <w:pStyle w:val="BookText"/>
      </w:pPr>
      <w:r>
        <w:rPr>
          <w:rFonts w:ascii="Times New Roman" w:hAnsi="Times New Roman" w:eastAsia="Times New Roman" w:cs="Times New Roman"/>
          <w:lang w:val="en-US" w:bidi="en-US"/>
          <w:color w:val="111111"/>
          <w:sz w:val="28"/>
          <w:szCs w:val="28"/>
          <w:rtl/>
        </w:rPr>
        <w:t xml:space="preserve">(1649-)</w:t>
      </w:r>
    </w:p>
    <w:p>
      <w:pPr>
        <w:pStyle w:val="BookText"/>
      </w:pPr>
      <w:r>
        <w:rPr>
          <w:rFonts w:ascii="IRNazanin" w:hAnsi="IRNazanin" w:eastAsia="IRNazanin" w:cs="IRNazanin"/>
          <w:lang w:bidi="fa-IR"/>
          <w:color w:val="111111"/>
          <w:sz w:val="28"/>
          <w:szCs w:val="28"/>
          <w:rtl/>
        </w:rPr>
        <w:t xml:space="preserve">اهدا به: سلطان عبدالله قطب شاه فرمانروای گلکنده (۱۰۲۰ -۱۰۸۳ق)</w:t>
      </w:r>
    </w:p>
    <w:p>
      <w:pPr>
        <w:pStyle w:val="BookText"/>
      </w:pPr>
      <w:r>
        <w:rPr>
          <w:rFonts w:ascii="IRNazanin" w:hAnsi="IRNazanin" w:eastAsia="IRNazanin" w:cs="IRNazanin"/>
          <w:lang w:bidi="fa-IR"/>
          <w:color w:val="111111"/>
          <w:sz w:val="28"/>
          <w:szCs w:val="28"/>
          <w:rtl/>
        </w:rPr>
        <w:t xml:space="preserve">محل تأليف: حیدر آباد هند</w:t>
      </w:r>
    </w:p>
    <w:p>
      <w:pPr>
        <w:pStyle w:val="BookText"/>
      </w:pPr>
      <w:r>
        <w:rPr>
          <w:rFonts w:ascii="IRNazanin" w:hAnsi="IRNazanin" w:eastAsia="IRNazanin" w:cs="IRNazanin"/>
          <w:lang w:bidi="fa-IR"/>
          <w:color w:val="111111"/>
          <w:sz w:val="28"/>
          <w:szCs w:val="28"/>
          <w:rtl/>
        </w:rPr>
        <w:t xml:space="preserve">این رساله در ۴ «فصل» نوشته شده  است: ۱. داروهایی که شایسته است فرمانروایان با خود داشته باشند؛ ۲. داروهایی که اثر شگفت انگیز دارند؛ 3- داروهایی که اگر با خود دارند اثر دارد -۴ دستورهای بهداشتی گیلانی در آن از اندروماخوس فرزانه یاد می کند و نام هندی برخی از داروها را می آورد و آزمایش هایی که خود کرده است یاد می کند٣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20" w:name="pg20365_260323"/>
    <w:bookmarkEnd w:id="220"/>
    <w:p>
      <w:pPr>
        <w:pStyle w:val="BookText"/>
      </w:pPr>
      <w:r>
        <w:rPr>
          <w:rFonts w:ascii="IRNazanin" w:hAnsi="IRNazanin" w:eastAsia="IRNazanin" w:cs="IRNazanin"/>
          <w:lang w:bidi="fa-IR"/>
          <w:color w:val="111111"/>
          <w:sz w:val="28"/>
          <w:szCs w:val="28"/>
          <w:rtl/>
        </w:rPr>
        <w:t xml:space="preserve">آغاز: هو هو و ما هو الاهو. حمد لامحدود و مدح لامعدود مالک الملک عالم ... را که ... عالم و آدم را مصور کرده.</w:t>
      </w:r>
    </w:p>
    <w:p>
      <w:pPr>
        <w:pStyle w:val="BookText"/>
      </w:pPr>
      <w:r>
        <w:rPr>
          <w:rFonts w:ascii="IRNazanin" w:hAnsi="IRNazanin" w:eastAsia="IRNazanin" w:cs="IRNazanin"/>
          <w:lang w:bidi="fa-IR"/>
          <w:color w:val="111111"/>
          <w:sz w:val="28"/>
          <w:szCs w:val="28"/>
          <w:rtl/>
        </w:rPr>
        <w:t xml:space="preserve">انجام و تغییر در مزاج راه نمییابد.</w:t>
      </w:r>
    </w:p>
    <w:p>
      <w:pPr>
        <w:pStyle w:val="BookText"/>
      </w:pPr>
      <w:r>
        <w:rPr>
          <w:rFonts w:ascii="IRNazanin" w:hAnsi="IRNazanin" w:eastAsia="IRNazanin" w:cs="IRNazanin"/>
          <w:lang w:bidi="fa-IR"/>
          <w:color w:val="111111"/>
          <w:sz w:val="28"/>
          <w:szCs w:val="28"/>
          <w:rtl/>
        </w:rPr>
        <w:t xml:space="preserve">[فهرستواره منزوی ۳۲۷۹/۵]</w:t>
      </w:r>
    </w:p>
    <w:p>
      <w:pPr>
        <w:pStyle w:val="BookText"/>
      </w:pPr>
      <w:r>
        <w:rPr>
          <w:rFonts w:ascii="IRNazanin" w:hAnsi="IRNazanin" w:eastAsia="IRNazanin" w:cs="IRNazanin"/>
          <w:lang w:bidi="fa-IR"/>
          <w:color w:val="111111"/>
          <w:sz w:val="28"/>
          <w:szCs w:val="28"/>
          <w:rtl/>
        </w:rPr>
        <w:t xml:space="preserve">تهران؛ دانشگاه؛ شماره نسخه: ۱۰۷۹/۳۱</w:t>
      </w:r>
    </w:p>
    <w:p>
      <w:pPr>
        <w:pStyle w:val="BookText"/>
      </w:pPr>
      <w:r>
        <w:rPr>
          <w:rFonts w:ascii="IRNazanin" w:hAnsi="IRNazanin" w:eastAsia="IRNazanin" w:cs="IRNazanin"/>
          <w:lang w:bidi="fa-IR"/>
          <w:color w:val="111111"/>
          <w:sz w:val="28"/>
          <w:szCs w:val="28"/>
          <w:rtl/>
        </w:rPr>
        <w:t xml:space="preserve">آغاز: هو هو و ما هو الاهو. حمد لامحدود و مدح لامعدود مالک الملک عالم ... را که ... عالم و آدم را مصور کرده؛ انجـام؛ و تغییر در مزاج راه  نمییابد. تمام شد رساله اسرار الاطبا تأليف اقل خلق الله نظام احمد گیلانی در بلده حیدرآباد خیر بنیاد صانها الله عن  الافات.</w:t>
      </w:r>
    </w:p>
    <w:p>
      <w:pPr>
        <w:pStyle w:val="BookText"/>
      </w:pPr>
      <w:r>
        <w:rPr>
          <w:rFonts w:ascii="IRNazanin" w:hAnsi="IRNazanin" w:eastAsia="IRNazanin" w:cs="IRNazanin"/>
          <w:lang w:bidi="fa-IR"/>
          <w:color w:val="111111"/>
          <w:sz w:val="28"/>
          <w:szCs w:val="28"/>
          <w:rtl/>
        </w:rPr>
        <w:t xml:space="preserve">خط: نستعلیق  چلیپا، کا: میر محمد مقیم فرزند میر شاهمیر رضوی ،تا: شنبه ۱۳ رمضان ۱۰۵۲ق؛ ۱۱ ص (۱۸۵ - ۱۹۵) [ف: ۴ - ۷۱۸]</w:t>
      </w:r>
    </w:p>
    <w:p>
      <w:pPr>
        <w:pStyle w:val="Heading3"/>
      </w:pPr>
      <w:bookmarkStart w:id="1279" w:name="_Toc801"/>
      <w:r>
        <w:t>الاسرار الاعظم / علوم غریبه / عربی</w:t>
      </w:r>
      <w:bookmarkEnd w:id="1279"/>
    </w:p>
    <w:p>
      <w:pPr>
        <w:pStyle w:val="BookText"/>
      </w:pPr>
      <w:r>
        <w:rPr>
          <w:rFonts w:ascii="Times New Roman" w:hAnsi="Times New Roman" w:eastAsia="Times New Roman" w:cs="Times New Roman"/>
          <w:lang w:val="en-US" w:bidi="en-US"/>
          <w:color w:val="111111"/>
          <w:sz w:val="28"/>
          <w:szCs w:val="28"/>
          <w:rtl/>
        </w:rPr>
        <w:t xml:space="preserve">al-asrār-ul-a‘ẓam</w:t>
      </w:r>
    </w:p>
    <w:p>
      <w:pPr>
        <w:pStyle w:val="BookText"/>
      </w:pPr>
      <w:r>
        <w:rPr>
          <w:rFonts w:ascii="IRNazanin" w:hAnsi="IRNazanin" w:eastAsia="IRNazanin" w:cs="IRNazanin"/>
          <w:lang w:bidi="fa-IR"/>
          <w:color w:val="111111"/>
          <w:sz w:val="28"/>
          <w:szCs w:val="28"/>
          <w:rtl/>
        </w:rPr>
        <w:t xml:space="preserve">مؤلف در این کتاب دعاها و حرزهای زیادی را برای درمان بیماری ها و امراض ذکر نموده است. او کتابش را در چند «باب» و هر باب را در چند «فصل» کوتاه تنظیم نموده است. مؤلف در کتابش از فخرالائمه با عنوان «قال فخرالائمه» پی در پی می کند فخرالائمه و در موردی  گوید:« قال فخر الائمه و قد تمت هـذه الطريق لما و سمت الكتاب بالشامل فلابد و ان يشتمل الطـریق كلها ....». بنابراین، به نظر می رسد که این کتاب شرح کتاب «الشامل» باشد. در مصادر دو کتاب با این نام در علوم غریبه  ذکر شده با این خصوصیات: (الف) «الشامل من البحر الكامل الدور العامل فى اصول التعزيم و قواعد التنجيم» تأليف ابوالفضـل محمدبن احمد بن جعفر طبسی  (-۴۸۲ق) که نسخه ای از آن کتابخانه ملک تهران ش ۳۳۴۵ موجود است [فهرست کتابخانه ملک ،1/ 275، بروکلمان۴۹۶/۱ و ذیل ۹۰۷/۱، المؤلفـین .۲۴۷/۸] گویا نسخه حاضر همین کتاب یا یکی از شروح است. ب) «الشامل في علم الحرف»، تأليف سكاكى [كشـف الظنون ۱۰۲۴/۲] هم چنین در این کتاب از حافظ حسن بن احمد سمرقندی یاد شده که گویا همان است که کحاله در معجم المؤلفين (۵۳۷/۳) وفات وی را در سال ۴۹۱ق ذکر کرده است.</w:t>
      </w:r>
    </w:p>
    <w:p>
      <w:pPr>
        <w:pStyle w:val="BookText"/>
      </w:pPr>
      <w:r>
        <w:rPr>
          <w:rFonts w:ascii="IRNazanin" w:hAnsi="IRNazanin" w:eastAsia="IRNazanin" w:cs="IRNazanin"/>
          <w:lang w:bidi="fa-IR"/>
          <w:color w:val="111111"/>
          <w:sz w:val="28"/>
          <w:szCs w:val="28"/>
          <w:rtl/>
        </w:rPr>
        <w:t xml:space="preserve">تهران؛ مجلس؛ شماره نسخه: ۱۲۶۲۱</w:t>
      </w:r>
    </w:p>
    <w:p>
      <w:pPr>
        <w:pStyle w:val="BookText"/>
      </w:pPr>
      <w:r>
        <w:rPr>
          <w:rFonts w:ascii="IRNazanin" w:hAnsi="IRNazanin" w:eastAsia="IRNazanin" w:cs="IRNazanin"/>
          <w:lang w:bidi="fa-IR"/>
          <w:color w:val="111111"/>
          <w:sz w:val="28"/>
          <w:szCs w:val="28"/>
          <w:rtl/>
        </w:rPr>
        <w:t xml:space="preserve">آغاز: شکش شککورش شقرانه شورقش اشا شموش بمشقـش کشی اشمشاطيل طوشا؛ انجام: الدائم القائم الحى القيوم الكریم الاكرم العظيم الاعظم الذي احرز به ربنا السموات اسبع ممن ليسرق السمع و من شر كل دابة الله.</w:t>
      </w:r>
    </w:p>
    <w:p>
      <w:pPr>
        <w:pStyle w:val="BookText"/>
      </w:pPr>
      <w:r>
        <w:rPr>
          <w:rFonts w:ascii="IRNazanin" w:hAnsi="IRNazanin" w:eastAsia="IRNazanin" w:cs="IRNazanin"/>
          <w:lang w:bidi="fa-IR"/>
          <w:color w:val="111111"/>
          <w:sz w:val="28"/>
          <w:szCs w:val="28"/>
          <w:rtl/>
        </w:rPr>
        <w:t xml:space="preserve">خط: نسخ، بی   کا، تا: ۱۲۶۸ق؛ افتادگی: آغاز و انجام، آخرین باب موجود باب سی ام است که احتمالاً آخرین باب کتاب اسـت؛  عناوین فصول و بابها در حاشیه به فارسی ترجمه شده؛ جلد :گالینگور، قرمز، عطف تیماج  سبز، ۷۶گ، ۲۲-۲۳ سطر، اندازه:۲۰/۵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۳۳سم [ف: ۳۶ - ۱۸۰]</w:t>
      </w:r>
    </w:p>
    <w:p>
      <w:pPr>
        <w:pStyle w:val="Heading3"/>
      </w:pPr>
      <w:bookmarkStart w:id="1280" w:name="_Toc802"/>
      <w:r>
        <w:t>الاسرار الالهية / كيميا / عربي</w:t>
      </w:r>
      <w:bookmarkEnd w:id="1280"/>
    </w:p>
    <w:p>
      <w:pPr>
        <w:pStyle w:val="BookText"/>
      </w:pPr>
      <w:r>
        <w:rPr>
          <w:rFonts w:ascii="Times New Roman" w:hAnsi="Times New Roman" w:eastAsia="Times New Roman" w:cs="Times New Roman"/>
          <w:lang w:val="en-US" w:bidi="en-US"/>
          <w:color w:val="111111"/>
          <w:sz w:val="28"/>
          <w:szCs w:val="28"/>
          <w:rtl/>
        </w:rPr>
        <w:t xml:space="preserve">al-asrar-ul ilāhīya</w:t>
      </w:r>
    </w:p>
    <w:p>
      <w:pPr>
        <w:pStyle w:val="BookText"/>
      </w:pPr>
      <w:r>
        <w:rPr>
          <w:rFonts w:ascii="IRNazanin" w:hAnsi="IRNazanin" w:eastAsia="IRNazanin" w:cs="IRNazanin"/>
          <w:lang w:bidi="fa-IR"/>
          <w:color w:val="111111"/>
          <w:sz w:val="28"/>
          <w:szCs w:val="28"/>
          <w:rtl/>
        </w:rPr>
        <w:t xml:space="preserve">الحاكم بالله، منصور بن عزیز، ۳۸۶ – ۴۱۱ قمری</w:t>
      </w:r>
    </w:p>
    <w:p>
      <w:pPr>
        <w:pStyle w:val="BookText"/>
      </w:pPr>
      <w:r>
        <w:rPr>
          <w:rFonts w:ascii="Times New Roman" w:hAnsi="Times New Roman" w:eastAsia="Times New Roman" w:cs="Times New Roman"/>
          <w:lang w:val="en-US" w:bidi="en-US"/>
          <w:color w:val="111111"/>
          <w:sz w:val="28"/>
          <w:szCs w:val="28"/>
          <w:rtl/>
        </w:rPr>
        <w:t xml:space="preserve">(al-hākem be-l-lah, mansur ebn-e 'azīz (997 - 1021)</w:t>
      </w:r>
    </w:p>
    <w:p>
      <w:pPr>
        <w:pStyle w:val="BookText"/>
      </w:pPr>
      <w:r>
        <w:rPr>
          <w:rFonts w:ascii="IRNazanin" w:hAnsi="IRNazanin" w:eastAsia="IRNazanin" w:cs="IRNazanin"/>
          <w:lang w:bidi="fa-IR"/>
          <w:color w:val="111111"/>
          <w:sz w:val="28"/>
          <w:szCs w:val="28"/>
          <w:rtl/>
        </w:rPr>
        <w:t xml:space="preserve">تهران؛ مجلس؛ شماره نسخه: ۱۵۶۵۲/۴</w:t>
      </w:r>
    </w:p>
    <w:p>
      <w:pPr>
        <w:pStyle w:val="BookText"/>
      </w:pPr>
      <w:r>
        <w:rPr>
          <w:rFonts w:ascii="Amiri" w:hAnsi="Amiri" w:eastAsia="Amiri" w:cs="Amiri"/>
          <w:lang w:bidi="ar-SA"/>
          <w:color w:val="111111"/>
          <w:sz w:val="28"/>
          <w:szCs w:val="28"/>
          <w:rtl/>
        </w:rPr>
        <w:t xml:space="preserve">آغاز: في بعض الايام نتحدث مع صديقى الجوهرى اذ قد تقدم اليه رجل فسلم و قعد عنده؛ انجام: فهذه المياه الثلاثة التي تدخل فى باب الكبير والله تعالى اعلم.</w:t>
      </w:r>
    </w:p>
    <w:p>
      <w:pPr>
        <w:pStyle w:val="BookText"/>
      </w:pPr>
      <w:r>
        <w:rPr>
          <w:rFonts w:ascii="IRNazanin" w:hAnsi="IRNazanin" w:eastAsia="IRNazanin" w:cs="IRNazanin"/>
          <w:lang w:bidi="fa-IR"/>
          <w:color w:val="111111"/>
          <w:sz w:val="28"/>
          <w:szCs w:val="28"/>
          <w:rtl/>
        </w:rPr>
        <w:t xml:space="preserve">خط: نسخ و نستعلیق، كا: اسماعيل بن يحيیی مازندرانی، تا: شنبه ۲۹ صفر ۱۲۳۳ق؛ کاغذ: آبی یا کرم یا سبز روشن، جلد: تیماج تریاکی، ۲۳ص (۱۰۲ – ۱۲۴)، ۲۰سطر، اندازه: ۱۵/۳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43- 214]</w:t>
      </w:r>
    </w:p>
    <w:p>
      <w:pPr>
        <w:pStyle w:val="Heading3"/>
      </w:pPr>
      <w:bookmarkStart w:id="1281" w:name="_Toc803"/>
      <w:r>
        <w:t>الاسرار الالهية / فلسفه / عربي</w:t>
      </w:r>
      <w:bookmarkEnd w:id="1281"/>
    </w:p>
    <w:p>
      <w:pPr>
        <w:pStyle w:val="BookText"/>
      </w:pPr>
      <w:r>
        <w:rPr>
          <w:rFonts w:ascii="Times New Roman" w:hAnsi="Times New Roman" w:eastAsia="Times New Roman" w:cs="Times New Roman"/>
          <w:lang w:val="en-US" w:bidi="en-US"/>
          <w:color w:val="111111"/>
          <w:sz w:val="28"/>
          <w:szCs w:val="28"/>
          <w:rtl/>
        </w:rPr>
        <w:t xml:space="preserve">al-asrar-ul-ilahiyya</w:t>
      </w:r>
    </w:p>
    <w:p>
      <w:pPr>
        <w:pStyle w:val="BookText"/>
      </w:pPr>
      <w:r>
        <w:rPr>
          <w:rFonts w:ascii="IRNazanin" w:hAnsi="IRNazanin" w:eastAsia="IRNazanin" w:cs="IRNazanin"/>
          <w:lang w:bidi="fa-IR"/>
          <w:color w:val="111111"/>
          <w:sz w:val="28"/>
          <w:szCs w:val="28"/>
          <w:rtl/>
        </w:rPr>
        <w:t xml:space="preserve">حسینی، قوام الدین بن حیدر، ق۱۳ قمری</w:t>
      </w:r>
    </w:p>
    <w:p>
      <w:pPr>
        <w:pStyle w:val="BookText"/>
      </w:pPr>
      <w:r>
        <w:rPr>
          <w:rFonts w:ascii="Times New Roman" w:hAnsi="Times New Roman" w:eastAsia="Times New Roman" w:cs="Times New Roman"/>
          <w:lang w:val="en-US" w:bidi="en-US"/>
          <w:color w:val="111111"/>
          <w:sz w:val="28"/>
          <w:szCs w:val="28"/>
          <w:rtl/>
        </w:rPr>
        <w:t xml:space="preserve">(hoseynī, qavām-od-dīn ebn-e heydar (- 19c)</w:t>
      </w:r>
    </w:p>
    <w:p>
      <w:pPr>
        <w:pStyle w:val="BookText"/>
      </w:pPr>
      <w:r>
        <w:rPr>
          <w:rFonts w:ascii="IRNazanin" w:hAnsi="IRNazanin" w:eastAsia="IRNazanin" w:cs="IRNazanin"/>
          <w:lang w:bidi="fa-IR"/>
          <w:color w:val="111111"/>
          <w:sz w:val="28"/>
          <w:szCs w:val="28"/>
          <w:rtl/>
        </w:rPr>
        <w:t xml:space="preserve">وابسته به: الشواهد الربوبية فى المناهج السلوكية؛ صدرالدين  شیرازی، محمد بن ابراهيم (۱۰۵۰-۹۷۹)</w:t>
      </w:r>
    </w:p>
    <w:p>
      <w:pPr>
        <w:pStyle w:val="BookText"/>
      </w:pPr>
      <w:r>
        <w:rPr>
          <w:rFonts w:ascii="IRNazanin" w:hAnsi="IRNazanin" w:eastAsia="IRNazanin" w:cs="IRNazanin"/>
          <w:lang w:bidi="fa-IR"/>
          <w:color w:val="111111"/>
          <w:sz w:val="28"/>
          <w:szCs w:val="28"/>
          <w:rtl/>
        </w:rPr>
        <w:t xml:space="preserve">حاشیه ای است با عناوین «قوله -قوله» بر کتاب «شواهد الربوبيه فى المناهج السلوكيه» صدرالدین شیرازی (۱۰۵۰-۹۷۹ق).</w:t>
      </w:r>
    </w:p>
    <w:p>
      <w:pPr>
        <w:pStyle w:val="BookText"/>
      </w:pPr>
      <w:r>
        <w:rPr>
          <w:rFonts w:ascii="IRNazanin" w:hAnsi="IRNazanin" w:eastAsia="IRNazanin" w:cs="IRNazanin"/>
          <w:lang w:bidi="fa-IR"/>
          <w:color w:val="111111"/>
          <w:sz w:val="28"/>
          <w:szCs w:val="28"/>
          <w:rtl/>
        </w:rPr>
        <w:t xml:space="preserve">تهران؛ ملی ؛شماره نسخه: ۳۱۰۱/۲</w:t>
      </w:r>
    </w:p>
    <w:p>
      <w:pPr>
        <w:pStyle w:val="BookText"/>
      </w:pPr>
      <w:r>
        <w:rPr>
          <w:rFonts w:ascii="IRNazanin" w:hAnsi="IRNazanin" w:eastAsia="IRNazanin" w:cs="IRNazanin"/>
          <w:lang w:bidi="fa-IR"/>
          <w:color w:val="111111"/>
          <w:sz w:val="28"/>
          <w:szCs w:val="28"/>
          <w:rtl/>
        </w:rPr>
        <w:t xml:space="preserve">آغاز: بسمله حمدله، الاحسان لمن اقام بقوام ربويته على انه معروف بكونه غير معروف ... اما ب عد فيقول الملتجى الى باب ربه الغنى قوام الدين بن حيدر الحسینی؛ انجام: و الواجب على ما فهمه الجماعه و هو من قدم الخيال و قول بالتجديد و التشبيه و التوليد بسبة الى الكثرة</w:t>
      </w:r>
    </w:p>
    <w:p>
      <w:pPr>
        <w:pStyle w:val="BookText"/>
      </w:pPr>
      <w:r>
        <w:rPr>
          <w:rFonts w:ascii="IRNazanin" w:hAnsi="IRNazanin" w:eastAsia="IRNazanin" w:cs="IRNazanin"/>
          <w:lang w:bidi="fa-IR"/>
          <w:color w:val="111111"/>
          <w:sz w:val="28"/>
          <w:szCs w:val="28"/>
          <w:rtl/>
        </w:rPr>
        <w:t xml:space="preserve">خط: نستعلیق ریز متوسط، بی کا، بی تا، کاغذ: فرنگی شکری آهار  مهره، جلد: تیماج  زرشکی، ۲۷گ (165پ-191پ)،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۲۸/۵سم [ف: ۱۴ - ۲۲۶]</w:t>
      </w:r>
    </w:p>
    <w:p>
      <w:pPr>
        <w:pStyle w:val="Heading3"/>
      </w:pPr>
      <w:bookmarkStart w:id="1282" w:name="_Toc804"/>
      <w:r>
        <w:t>اسرار الامامة = اسرار الائمة / كلام و اعتقادات / عربی</w:t>
      </w:r>
      <w:bookmarkEnd w:id="1282"/>
    </w:p>
    <w:p>
      <w:pPr>
        <w:pStyle w:val="BookText"/>
      </w:pPr>
      <w:r>
        <w:rPr>
          <w:rFonts w:ascii="Times New Roman" w:hAnsi="Times New Roman" w:eastAsia="Times New Roman" w:cs="Times New Roman"/>
          <w:lang w:val="en-US" w:bidi="en-US"/>
          <w:color w:val="111111"/>
          <w:sz w:val="28"/>
          <w:szCs w:val="28"/>
          <w:rtl/>
        </w:rPr>
        <w:t xml:space="preserve">asrār-ul-imāma = asrār-ul-a'imma</w:t>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طبری، حسن بن علی، ق ۷ قمری</w:t>
      </w:r>
    </w:p>
    <w:p>
      <w:pPr>
        <w:pStyle w:val="BookText"/>
      </w:pPr>
      <w:r>
        <w:rPr>
          <w:rFonts w:ascii="Times New Roman" w:hAnsi="Times New Roman" w:eastAsia="Times New Roman" w:cs="Times New Roman"/>
          <w:lang w:val="en-US" w:bidi="en-US"/>
          <w:color w:val="111111"/>
          <w:sz w:val="28"/>
          <w:szCs w:val="28"/>
          <w:rtl/>
        </w:rPr>
        <w:t xml:space="preserve">(tabarī, hasan ebn-e 'alī (- 13c)</w:t>
      </w:r>
    </w:p>
    <w:p>
      <w:pPr>
        <w:pStyle w:val="BookText"/>
      </w:pPr>
      <w:r>
        <w:rPr>
          <w:rFonts w:ascii="IRNazanin" w:hAnsi="IRNazanin" w:eastAsia="IRNazanin" w:cs="IRNazanin"/>
          <w:lang w:bidi="fa-IR"/>
          <w:color w:val="111111"/>
          <w:sz w:val="28"/>
          <w:szCs w:val="28"/>
          <w:rtl/>
        </w:rPr>
        <w:t xml:space="preserve">مؤلف، کتابی در تاریخ و وقایع سقیفه نگاشته بود و چون به ری آمد از وی خواهش نمودند که کتابی در امامت به فارسی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21" w:name="pg20365_260324"/>
    <w:bookmarkEnd w:id="221"/>
    <w:p>
      <w:pPr>
        <w:pStyle w:val="BookText"/>
      </w:pPr>
      <w:r>
        <w:rPr>
          <w:rFonts w:ascii="IRNazanin" w:hAnsi="IRNazanin" w:eastAsia="IRNazanin" w:cs="IRNazanin"/>
          <w:lang w:bidi="fa-IR"/>
          <w:color w:val="111111"/>
          <w:sz w:val="28"/>
          <w:szCs w:val="28"/>
          <w:rtl/>
        </w:rPr>
        <w:t xml:space="preserve">بنگارد. پس از انجام این کاری و نسخه برداری از آن باز درخواست شد که آن را به عربی برگرداند کتاب حاضر ترجـمه همان است با عناوین «اصل - فصل» و اضافه مطالب لازم وی به سال ۶۹۸ به تألیف اشتغال داشته است چنانچه در حالاحضرت حجت (علیه السّلام) این تاریخ دیده می شود.</w:t>
      </w:r>
    </w:p>
    <w:p>
      <w:pPr>
        <w:pStyle w:val="BookText"/>
      </w:pPr>
      <w:r>
        <w:rPr>
          <w:rFonts w:ascii="IRNazanin" w:hAnsi="IRNazanin" w:eastAsia="IRNazanin" w:cs="IRNazanin"/>
          <w:lang w:bidi="fa-IR"/>
          <w:color w:val="111111"/>
          <w:sz w:val="28"/>
          <w:szCs w:val="28"/>
          <w:rtl/>
        </w:rPr>
        <w:t xml:space="preserve">آغاز: اللهم انا نحمدك على ان جعلتنا من امة محمد خاتم النبيین و سيد المرسلين و وفقتنا ان الهمتنا بان كونوا مع الصادقين</w:t>
      </w:r>
    </w:p>
    <w:p>
      <w:pPr>
        <w:pStyle w:val="BookText"/>
      </w:pPr>
      <w:r>
        <w:rPr>
          <w:rFonts w:ascii="IRNazanin" w:hAnsi="IRNazanin" w:eastAsia="IRNazanin" w:cs="IRNazanin"/>
          <w:lang w:bidi="fa-IR"/>
          <w:color w:val="111111"/>
          <w:sz w:val="28"/>
          <w:szCs w:val="28"/>
          <w:rtl/>
        </w:rPr>
        <w:t xml:space="preserve">انجام: و کیومرث حيوان يقال له ثور و لهم مذاهب و طرق</w:t>
      </w:r>
    </w:p>
    <w:p>
      <w:pPr>
        <w:pStyle w:val="BookText"/>
      </w:pPr>
      <w:r>
        <w:rPr>
          <w:rFonts w:ascii="IRNazanin" w:hAnsi="IRNazanin" w:eastAsia="IRNazanin" w:cs="IRNazanin"/>
          <w:lang w:bidi="fa-IR"/>
          <w:color w:val="111111"/>
          <w:sz w:val="28"/>
          <w:szCs w:val="28"/>
          <w:rtl/>
        </w:rPr>
        <w:t xml:space="preserve">1.مشهد؛ رضوی؛ شماره نسخه: ۸۸۳۸</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۱۰۷۲ق؛ کاغذ: آهار مهره  شکری، جـلد: تیماج  عنابی، ۱۴۹گ، ۱۹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 ۱۱ - 12]</w:t>
      </w:r>
    </w:p>
    <w:p>
      <w:pPr>
        <w:pStyle w:val="BookText"/>
      </w:pPr>
      <w:r>
        <w:rPr>
          <w:rFonts w:ascii="IRNazanin" w:hAnsi="IRNazanin" w:eastAsia="IRNazanin" w:cs="IRNazanin"/>
          <w:lang w:bidi="fa-IR"/>
          <w:color w:val="111111"/>
          <w:sz w:val="28"/>
          <w:szCs w:val="28"/>
          <w:rtl/>
        </w:rPr>
        <w:t xml:space="preserve">۲. قم؛ مرعشی؛ شماره نسخه: ۳۷۵۷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محمد باقر، تا: ۱۸ جمادی الثانی ۱۲۹۴ق؛ محـشی به فارسی ؛جلد: گالینگور  سبز ،۱۷۳گ، ۱۶سطر،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۲۳سم [ف: ۱۰ - ۱۴۹]</w:t>
      </w:r>
    </w:p>
    <w:p>
      <w:pPr>
        <w:pStyle w:val="Heading3"/>
      </w:pPr>
      <w:bookmarkStart w:id="1283" w:name="_Toc805"/>
      <w:r>
        <w:t>اسرار امیرالمؤمنین / فضایل و مناقب / عربی</w:t>
      </w:r>
      <w:bookmarkEnd w:id="1283"/>
    </w:p>
    <w:p>
      <w:pPr>
        <w:pStyle w:val="BookText"/>
      </w:pPr>
      <w:r>
        <w:rPr>
          <w:rFonts w:ascii="Times New Roman" w:hAnsi="Times New Roman" w:eastAsia="Times New Roman" w:cs="Times New Roman"/>
          <w:lang w:val="en-US" w:bidi="en-US"/>
          <w:color w:val="111111"/>
          <w:sz w:val="28"/>
          <w:szCs w:val="28"/>
          <w:rtl/>
        </w:rPr>
        <w:t xml:space="preserve">asrār-u amīr-il-mu’minīn</w:t>
      </w:r>
    </w:p>
    <w:p>
      <w:pPr>
        <w:pStyle w:val="BookText"/>
      </w:pPr>
      <w:r>
        <w:rPr>
          <w:rFonts w:ascii="IRNazanin" w:hAnsi="IRNazanin" w:eastAsia="IRNazanin" w:cs="IRNazanin"/>
          <w:lang w:bidi="fa-IR"/>
          <w:color w:val="111111"/>
          <w:sz w:val="28"/>
          <w:szCs w:val="28"/>
          <w:rtl/>
        </w:rPr>
        <w:t xml:space="preserve">گزیده ایست از مشارق الانوار رجب برسی</w:t>
      </w:r>
    </w:p>
    <w:p>
      <w:pPr>
        <w:pStyle w:val="BookText"/>
      </w:pPr>
      <w:r>
        <w:rPr>
          <w:rFonts w:ascii="IRNazanin" w:hAnsi="IRNazanin" w:eastAsia="IRNazanin" w:cs="IRNazanin"/>
          <w:lang w:bidi="fa-IR"/>
          <w:color w:val="111111"/>
          <w:sz w:val="28"/>
          <w:szCs w:val="28"/>
          <w:rtl/>
        </w:rPr>
        <w:t xml:space="preserve">تهران؛ ملک؛ شماره نسخه: ۶۰۷۷/۳</w:t>
      </w:r>
    </w:p>
    <w:p>
      <w:pPr>
        <w:pStyle w:val="BookText"/>
      </w:pPr>
      <w:r>
        <w:rPr>
          <w:rFonts w:ascii="IRNazanin" w:hAnsi="IRNazanin" w:eastAsia="IRNazanin" w:cs="IRNazanin"/>
          <w:lang w:bidi="fa-IR"/>
          <w:color w:val="111111"/>
          <w:sz w:val="28"/>
          <w:szCs w:val="28"/>
          <w:rtl/>
        </w:rPr>
        <w:t xml:space="preserve">آغاز: فی کشف اسرار امیرالمومنین و امام المتقين على بن ابيطالب (علیه السّلام) كلمة علويه يويد و يشيد ما اصلنا رواها الشيخ الحافظ رجـب بن محمد بن رجب البرسى الحلى فى كتابه المسمى بمشارق الانوار في كشف اسرارامیرالمومنین (علیه السّلام) قال و من خطبته قال اما عندی؛ انجام: لاحول ولاقوة الا بالله العلى العظيم و امثال هذه من كلماته كثيرة و السلام</w:t>
      </w:r>
    </w:p>
    <w:p>
      <w:pPr>
        <w:pStyle w:val="BookText"/>
      </w:pPr>
      <w:r>
        <w:rPr>
          <w:rFonts w:ascii="IRNazanin" w:hAnsi="IRNazanin" w:eastAsia="IRNazanin" w:cs="IRNazanin"/>
          <w:lang w:bidi="fa-IR"/>
          <w:color w:val="111111"/>
          <w:sz w:val="28"/>
          <w:szCs w:val="28"/>
          <w:rtl/>
        </w:rPr>
        <w:t xml:space="preserve">بی کا، بی تا؛ جلد: میشن قهوه ای، ۲گ (۸۹پ-۹۰پ)، ۱۲ و 14 سطر ،اندازه: 15/9</w:t>
      </w:r>
      <w:r>
        <w:rPr>
          <w:rFonts w:ascii="Times New Roman" w:hAnsi="Times New Roman" w:eastAsia="Times New Roman" w:cs="Times New Roman"/>
          <w:lang w:val="en-US" w:bidi="en-US"/>
          <w:color w:val="111111"/>
          <w:sz w:val="28"/>
          <w:szCs w:val="28"/>
          <w:rtl/>
        </w:rPr>
        <w:t xml:space="preserve">×21/7</w:t>
      </w:r>
      <w:r>
        <w:rPr>
          <w:rFonts w:ascii="IRNazanin" w:hAnsi="IRNazanin" w:eastAsia="IRNazanin" w:cs="IRNazanin"/>
          <w:lang w:bidi="fa-IR"/>
          <w:color w:val="111111"/>
          <w:sz w:val="28"/>
          <w:szCs w:val="28"/>
          <w:rtl/>
        </w:rPr>
        <w:t xml:space="preserve">سم [ف: ۹ - ۱۴۰]</w:t>
      </w:r>
    </w:p>
    <w:p>
      <w:pPr>
        <w:pStyle w:val="Heading3"/>
      </w:pPr>
      <w:bookmarkStart w:id="1284" w:name="_Toc806"/>
      <w:r>
        <w:t>اسرار امیرالمؤمنين (الفصل الثاني في) / فضایل و  مناقب / عربی</w:t>
      </w:r>
      <w:bookmarkEnd w:id="1284"/>
    </w:p>
    <w:p>
      <w:pPr>
        <w:pStyle w:val="BookText"/>
      </w:pPr>
      <w:r>
        <w:rPr>
          <w:rFonts w:ascii="Times New Roman" w:hAnsi="Times New Roman" w:eastAsia="Times New Roman" w:cs="Times New Roman"/>
          <w:lang w:val="en-US" w:bidi="en-US"/>
          <w:color w:val="111111"/>
          <w:sz w:val="28"/>
          <w:szCs w:val="28"/>
          <w:rtl/>
        </w:rPr>
        <w:t xml:space="preserve">(asrār-u amīr-il mu’minīn (al-faṣl-uṯ ṯānī fī)</w:t>
      </w:r>
    </w:p>
    <w:p>
      <w:pPr>
        <w:pStyle w:val="BookText"/>
      </w:pPr>
      <w:r>
        <w:rPr>
          <w:rFonts w:ascii="IRNazanin" w:hAnsi="IRNazanin" w:eastAsia="IRNazanin" w:cs="IRNazanin"/>
          <w:lang w:bidi="fa-IR"/>
          <w:color w:val="111111"/>
          <w:sz w:val="28"/>
          <w:szCs w:val="28"/>
          <w:rtl/>
        </w:rPr>
        <w:t xml:space="preserve">تهران؛ دائرة المعارف؛ شماره نسخه: ۱۵۰۶/۳-عکسی</w:t>
      </w:r>
    </w:p>
    <w:p>
      <w:pPr>
        <w:pStyle w:val="BookText"/>
      </w:pPr>
      <w:r>
        <w:rPr>
          <w:rFonts w:ascii="IRNazanin" w:hAnsi="IRNazanin" w:eastAsia="IRNazanin" w:cs="IRNazanin"/>
          <w:lang w:bidi="fa-IR"/>
          <w:color w:val="111111"/>
          <w:sz w:val="28"/>
          <w:szCs w:val="28"/>
          <w:rtl/>
        </w:rPr>
        <w:t xml:space="preserve">آغاز: آغاز فصل دوم: الفصل الثانى فى اسرار اميرالمؤمنين علی(علیه السّلام) انه لما ولد فى البيت الحرام و كعبة الملك العلام خر سا جدا ثم رفع راسه الشريف فاذن و اقام و شهد الله بالوحدانية و لمحـمد بالرسالة و لنفسه بالخلافه</w:t>
      </w:r>
    </w:p>
    <w:p>
      <w:pPr>
        <w:pStyle w:val="BookText"/>
      </w:pPr>
      <w:r>
        <w:rPr>
          <w:rFonts w:ascii="IRNazanin" w:hAnsi="IRNazanin" w:eastAsia="IRNazanin" w:cs="IRNazanin"/>
          <w:lang w:bidi="fa-IR"/>
          <w:color w:val="111111"/>
          <w:sz w:val="28"/>
          <w:szCs w:val="28"/>
          <w:rtl/>
        </w:rPr>
        <w:t xml:space="preserve">ناشناخته فصل یکم که آغازش افتاه است، با سربندهای «و من  ذالک»؛ خط: نسخ خوش، بی کا، بی تا؛ افتادگی: آغاز و انجام؛  ۲۸ ص( 97- 124) [ف: ۱- ۲۸۵]</w:t>
      </w:r>
    </w:p>
    <w:p>
      <w:pPr>
        <w:pStyle w:val="Heading3"/>
      </w:pPr>
      <w:bookmarkStart w:id="1285" w:name="_Toc807"/>
      <w:r>
        <w:t>اسرار الانبیاء و انوار الاصفیاء / حدیث - فارسی</w:t>
      </w:r>
      <w:bookmarkEnd w:id="1285"/>
    </w:p>
    <w:p>
      <w:pPr>
        <w:pStyle w:val="BookText"/>
      </w:pPr>
      <w:r>
        <w:rPr>
          <w:rFonts w:ascii="Times New Roman" w:hAnsi="Times New Roman" w:eastAsia="Times New Roman" w:cs="Times New Roman"/>
          <w:lang w:val="en-US" w:bidi="en-US"/>
          <w:color w:val="111111"/>
          <w:sz w:val="28"/>
          <w:szCs w:val="28"/>
          <w:rtl/>
        </w:rPr>
        <w:t xml:space="preserve">asrar-ol-anbiya va anvar-ol-asfiya</w:t>
      </w:r>
    </w:p>
    <w:p>
      <w:pPr>
        <w:pStyle w:val="BookText"/>
      </w:pPr>
      <w:r>
        <w:rPr>
          <w:rFonts w:ascii="IRNazanin" w:hAnsi="IRNazanin" w:eastAsia="IRNazanin" w:cs="IRNazanin"/>
          <w:lang w:bidi="fa-IR"/>
          <w:color w:val="111111"/>
          <w:sz w:val="28"/>
          <w:szCs w:val="28"/>
          <w:rtl/>
        </w:rPr>
        <w:t xml:space="preserve">کاشانی، حبيب الله بن علی مدد، ۱۲۶۲ - ۱۳۴۰ قمری</w:t>
      </w:r>
    </w:p>
    <w:p>
      <w:pPr>
        <w:pStyle w:val="BookText"/>
      </w:pPr>
      <w:r>
        <w:rPr>
          <w:rFonts w:ascii="Times New Roman" w:hAnsi="Times New Roman" w:eastAsia="Times New Roman" w:cs="Times New Roman"/>
          <w:lang w:val="en-US" w:bidi="en-US"/>
          <w:color w:val="111111"/>
          <w:sz w:val="28"/>
          <w:szCs w:val="28"/>
          <w:rtl/>
        </w:rPr>
        <w:t xml:space="preserve">(kāšānī, habīb-ol-lah ebn-e 'alī madad (1846 - 1922)</w:t>
      </w:r>
    </w:p>
    <w:p>
      <w:pPr>
        <w:pStyle w:val="BookText"/>
      </w:pPr>
      <w:r>
        <w:rPr>
          <w:rFonts w:ascii="Amiri" w:hAnsi="Amiri" w:eastAsia="Amiri" w:cs="Amiri"/>
          <w:lang w:bidi="ar-SA"/>
          <w:color w:val="111111"/>
          <w:sz w:val="28"/>
          <w:szCs w:val="28"/>
          <w:rtl/>
        </w:rPr>
        <w:t xml:space="preserve">وابسته به: الجواهر السنية فى الاحاديث القدسية؛ حر عاملى، محمد بن حسن (۱۰۳۳-۱۱۰۴)</w:t>
      </w:r>
    </w:p>
    <w:p>
      <w:pPr>
        <w:pStyle w:val="BookText"/>
      </w:pPr>
      <w:r>
        <w:rPr>
          <w:rFonts w:ascii="IRNazanin" w:hAnsi="IRNazanin" w:eastAsia="IRNazanin" w:cs="IRNazanin"/>
          <w:lang w:bidi="fa-IR"/>
          <w:color w:val="111111"/>
          <w:sz w:val="28"/>
          <w:szCs w:val="28"/>
          <w:rtl/>
        </w:rPr>
        <w:t xml:space="preserve">ترجمه تحت اللفظی است از کتاب «الجواهر السنية» شيخ حر عاملی که احادیث قدسیه را در آن گرد آورده است بر این کتاب روایت هایی افزوده شده و در پایان دو باب بر اصل نیز اضافه دارد و گاهی به عنوان «مترجم گوید» توضیحاتی نیز داده  می شود.</w:t>
      </w:r>
    </w:p>
    <w:p>
      <w:pPr>
        <w:pStyle w:val="BookText"/>
      </w:pPr>
      <w:r>
        <w:rPr>
          <w:rFonts w:ascii="IRNazanin" w:hAnsi="IRNazanin" w:eastAsia="IRNazanin" w:cs="IRNazanin"/>
          <w:lang w:bidi="fa-IR"/>
          <w:color w:val="111111"/>
          <w:sz w:val="28"/>
          <w:szCs w:val="28"/>
          <w:rtl/>
        </w:rPr>
        <w:t xml:space="preserve">آغاز: قدسیات جواهر سنيات ثنا پیشگاه حضرت قدوسی را  سز است که بعنایات انسیه و خطابات قدسیه برگزیننده</w:t>
      </w:r>
    </w:p>
    <w:p>
      <w:pPr>
        <w:pStyle w:val="BookText"/>
      </w:pPr>
      <w:r>
        <w:rPr>
          <w:rFonts w:ascii="IRNazanin" w:hAnsi="IRNazanin" w:eastAsia="IRNazanin" w:cs="IRNazanin"/>
          <w:lang w:bidi="fa-IR"/>
          <w:color w:val="111111"/>
          <w:sz w:val="28"/>
          <w:szCs w:val="28"/>
          <w:rtl/>
        </w:rPr>
        <w:t xml:space="preserve">انجام: و از این جمله است حدیث اولیائیى تحت قبائى لا يعرفهم غیری دوستان مستورند نمیشناسدایشان را جز من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مرعشی؛ شماره نسخه: ۲۸۵۵</w:t>
      </w:r>
    </w:p>
    <w:p>
      <w:pPr>
        <w:pStyle w:val="BookText"/>
      </w:pPr>
      <w:r>
        <w:rPr>
          <w:rFonts w:ascii="IRNazanin" w:hAnsi="IRNazanin" w:eastAsia="IRNazanin" w:cs="IRNazanin"/>
          <w:lang w:bidi="fa-IR"/>
          <w:color w:val="111111"/>
          <w:sz w:val="28"/>
          <w:szCs w:val="28"/>
          <w:rtl/>
        </w:rPr>
        <w:t xml:space="preserve">خط: نسخ، کا: محمد حسين بن محمد جعفر کاشانی، تا: جمعه ۱۵ ربیع الثانی ۱۲۹۲ق؛ جلد: مقوایی عطف تیماج قرمز، ۲۴۶گ، ۲۱ سطر،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۸ - ۵۸]</w:t>
      </w:r>
    </w:p>
    <w:p>
      <w:pPr>
        <w:pStyle w:val="BookText"/>
      </w:pPr>
      <w:r>
        <w:rPr>
          <w:rFonts w:ascii="IRNazanin" w:hAnsi="IRNazanin" w:eastAsia="IRNazanin" w:cs="IRNazanin"/>
          <w:lang w:bidi="fa-IR"/>
          <w:color w:val="111111"/>
          <w:sz w:val="28"/>
          <w:szCs w:val="28"/>
          <w:rtl/>
        </w:rPr>
        <w:t xml:space="preserve">۲. قم؛ مرعشی؛ شماره نسخه: ۱۲۴۲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علی اکبر بن محمد حسین بن علی اکبر، تا: رجب ۱۳۱۰ق؛ جلد: تیماج  سبز، ۱۸۷گ، ۲۵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۴ - ۴۱]</w:t>
      </w:r>
    </w:p>
    <w:p>
      <w:pPr>
        <w:pStyle w:val="Heading3"/>
      </w:pPr>
      <w:bookmarkStart w:id="1286" w:name="_Toc808"/>
      <w:r>
        <w:t>اسرار الانوار الالهية / عرفان و تصوف / عربی</w:t>
      </w:r>
      <w:bookmarkEnd w:id="1286"/>
    </w:p>
    <w:p>
      <w:pPr>
        <w:pStyle w:val="BookText"/>
      </w:pPr>
      <w:r>
        <w:rPr>
          <w:rFonts w:ascii="Times New Roman" w:hAnsi="Times New Roman" w:eastAsia="Times New Roman" w:cs="Times New Roman"/>
          <w:lang w:val="en-US" w:bidi="en-US"/>
          <w:color w:val="111111"/>
          <w:sz w:val="28"/>
          <w:szCs w:val="28"/>
          <w:rtl/>
        </w:rPr>
        <w:t xml:space="preserve">asrār-ul anwār-il ilāhīya</w:t>
      </w:r>
    </w:p>
    <w:p>
      <w:pPr>
        <w:pStyle w:val="BookText"/>
      </w:pPr>
      <w:r>
        <w:rPr>
          <w:rFonts w:ascii="IRNazanin" w:hAnsi="IRNazanin" w:eastAsia="IRNazanin" w:cs="IRNazanin"/>
          <w:lang w:bidi="fa-IR"/>
          <w:color w:val="111111"/>
          <w:sz w:val="28"/>
          <w:szCs w:val="28"/>
          <w:rtl/>
        </w:rPr>
        <w:t xml:space="preserve">مشهد؛ رضوی؛ شماره نسخه: ۱۸۵۶۵</w:t>
      </w:r>
    </w:p>
    <w:p>
      <w:pPr>
        <w:pStyle w:val="BookText"/>
      </w:pPr>
      <w:r>
        <w:rPr>
          <w:rFonts w:ascii="Amiri" w:hAnsi="Amiri" w:eastAsia="Amiri" w:cs="Amiri"/>
          <w:lang w:bidi="ar-SA"/>
          <w:color w:val="111111"/>
          <w:sz w:val="28"/>
          <w:szCs w:val="28"/>
          <w:rtl/>
        </w:rPr>
        <w:t xml:space="preserve">آغاز: الحمد لله فايض الانوار و فاتح الابصار؛ انجام: انوارها و را الحجب البشريه</w:t>
      </w:r>
    </w:p>
    <w:p>
      <w:pPr>
        <w:pStyle w:val="BookText"/>
      </w:pPr>
      <w:r>
        <w:rPr>
          <w:rFonts w:ascii="IRNazanin" w:hAnsi="IRNazanin" w:eastAsia="IRNazanin" w:cs="IRNazanin"/>
          <w:lang w:bidi="fa-IR"/>
          <w:color w:val="111111"/>
          <w:sz w:val="28"/>
          <w:szCs w:val="28"/>
          <w:rtl/>
        </w:rPr>
        <w:t xml:space="preserve">خط: نسخ، بی کا، تا: ۱۰۷۸ق [رایانه]</w:t>
      </w:r>
    </w:p>
    <w:p>
      <w:pPr>
        <w:pStyle w:val="BookText"/>
      </w:pPr>
      <w:r>
        <w:rPr>
          <w:rFonts w:ascii="Amiri" w:hAnsi="Amiri" w:eastAsia="Amiri" w:cs="Amiri"/>
          <w:lang w:bidi="ar-SA"/>
          <w:color w:val="111111"/>
          <w:sz w:val="28"/>
          <w:szCs w:val="28"/>
          <w:rtl/>
        </w:rPr>
        <w:t xml:space="preserve">« اسرار الانوار الالهية بالايات المتلوة » مشكاة الانوار و مصفاة  الاسرار</w:t>
      </w:r>
    </w:p>
    <w:p>
      <w:pPr>
        <w:pStyle w:val="Heading3"/>
      </w:pPr>
      <w:bookmarkStart w:id="1287" w:name="_Toc809"/>
      <w:r>
        <w:t>اسرار الانوار فى مناقب ائمة الاطهار = رساله  لاهوتیه و مقاله ملکوتیه / شعر / فارسی</w:t>
      </w:r>
      <w:bookmarkEnd w:id="1287"/>
    </w:p>
    <w:p>
      <w:pPr>
        <w:pStyle w:val="BookText"/>
      </w:pPr>
      <w:r>
        <w:rPr>
          <w:rFonts w:ascii="Times New Roman" w:hAnsi="Times New Roman" w:eastAsia="Times New Roman" w:cs="Times New Roman"/>
          <w:lang w:val="en-US" w:bidi="en-US"/>
          <w:color w:val="111111"/>
          <w:sz w:val="28"/>
          <w:szCs w:val="28"/>
          <w:rtl/>
        </w:rPr>
        <w:t xml:space="preserve">asrar-ol anvār fi manaqeb-e a'emmat-el athar = r.-ye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22" w:name="pg20365_260325"/>
    <w:bookmarkEnd w:id="222"/>
    <w:p>
      <w:pPr>
        <w:pStyle w:val="BookText"/>
      </w:pPr>
      <w:r>
        <w:rPr>
          <w:rFonts w:ascii="Times New Roman" w:hAnsi="Times New Roman" w:eastAsia="Times New Roman" w:cs="Times New Roman"/>
          <w:lang w:val="en-US" w:bidi="en-US"/>
          <w:color w:val="111111"/>
          <w:sz w:val="28"/>
          <w:szCs w:val="28"/>
          <w:rtl/>
        </w:rPr>
        <w:t xml:space="preserve">lāhūtīye va maqāle-ye malakūtīye</w:t>
      </w:r>
    </w:p>
    <w:p>
      <w:pPr>
        <w:pStyle w:val="BookText"/>
      </w:pPr>
      <w:r>
        <w:rPr>
          <w:rFonts w:ascii="IRNazanin" w:hAnsi="IRNazanin" w:eastAsia="IRNazanin" w:cs="IRNazanin"/>
          <w:lang w:bidi="fa-IR"/>
          <w:color w:val="111111"/>
          <w:sz w:val="28"/>
          <w:szCs w:val="28"/>
          <w:rtl/>
        </w:rPr>
        <w:t xml:space="preserve">سپهر، محمد تقی بن محمد علی ۱۲۱۶ - ۱۲۹۷ قمری</w:t>
      </w:r>
    </w:p>
    <w:p>
      <w:pPr>
        <w:pStyle w:val="BookText"/>
      </w:pPr>
      <w:r>
        <w:rPr>
          <w:rFonts w:ascii="Times New Roman" w:hAnsi="Times New Roman" w:eastAsia="Times New Roman" w:cs="Times New Roman"/>
          <w:lang w:val="en-US" w:bidi="en-US"/>
          <w:color w:val="111111"/>
          <w:sz w:val="28"/>
          <w:szCs w:val="28"/>
          <w:rtl/>
        </w:rPr>
        <w:t xml:space="preserve">(1880-sepehr, mohammad taqī-ye-bn-e mohammad ‘alī (1802</w:t>
      </w:r>
    </w:p>
    <w:p>
      <w:pPr>
        <w:pStyle w:val="BookText"/>
      </w:pPr>
      <w:r>
        <w:rPr>
          <w:rFonts w:ascii="IRNazanin" w:hAnsi="IRNazanin" w:eastAsia="IRNazanin" w:cs="IRNazanin"/>
          <w:lang w:bidi="fa-IR"/>
          <w:color w:val="111111"/>
          <w:sz w:val="28"/>
          <w:szCs w:val="28"/>
          <w:rtl/>
        </w:rPr>
        <w:t xml:space="preserve">آغاز: ای فروزنده از سیاه و سپید*** راست چون وقت چاشتگه   خورشید</w:t>
      </w:r>
    </w:p>
    <w:p>
      <w:pPr>
        <w:pStyle w:val="BookText"/>
      </w:pPr>
      <w:r>
        <w:rPr>
          <w:rFonts w:ascii="IRNazanin" w:hAnsi="IRNazanin" w:eastAsia="IRNazanin" w:cs="IRNazanin"/>
          <w:lang w:bidi="fa-IR"/>
          <w:color w:val="111111"/>
          <w:sz w:val="28"/>
          <w:szCs w:val="28"/>
          <w:rtl/>
        </w:rPr>
        <w:t xml:space="preserve">[فهرستواره منزوی ۱۳۹/۱۰؛ الذریعه ۸۸/۱۹ و ۱۱۴]</w:t>
      </w:r>
    </w:p>
    <w:p>
      <w:pPr>
        <w:pStyle w:val="BookText"/>
      </w:pPr>
      <w:r>
        <w:rPr>
          <w:rFonts w:ascii="IRNazanin" w:hAnsi="IRNazanin" w:eastAsia="IRNazanin" w:cs="IRNazanin"/>
          <w:lang w:bidi="fa-IR"/>
          <w:color w:val="111111"/>
          <w:sz w:val="28"/>
          <w:szCs w:val="28"/>
          <w:rtl/>
        </w:rPr>
        <w:t xml:space="preserve">تهران؛ ملک؛ شماره نسخه: ۴۹۰۵/۱</w:t>
      </w:r>
    </w:p>
    <w:p>
      <w:pPr>
        <w:pStyle w:val="BookText"/>
      </w:pPr>
      <w:r>
        <w:rPr>
          <w:rFonts w:ascii="IRNazanin" w:hAnsi="IRNazanin" w:eastAsia="IRNazanin" w:cs="IRNazanin"/>
          <w:lang w:bidi="fa-IR"/>
          <w:color w:val="111111"/>
          <w:sz w:val="28"/>
          <w:szCs w:val="28"/>
          <w:rtl/>
        </w:rPr>
        <w:t xml:space="preserve">آغاز: برابر؛ انجام: بر نبی و آل او سلام و صلوة *** از کنون تـا به موقف عرصات</w:t>
      </w:r>
    </w:p>
    <w:p>
      <w:pPr>
        <w:pStyle w:val="BookText"/>
      </w:pPr>
      <w:r>
        <w:rPr>
          <w:rFonts w:ascii="IRNazanin" w:hAnsi="IRNazanin" w:eastAsia="IRNazanin" w:cs="IRNazanin"/>
          <w:lang w:bidi="fa-IR"/>
          <w:color w:val="111111"/>
          <w:sz w:val="28"/>
          <w:szCs w:val="28"/>
          <w:rtl/>
        </w:rPr>
        <w:t xml:space="preserve">خط: نستعلیق، بی کا، تا: قرن ۱۳ :کاغذ: ترمه اصفهانی، جـلد: میشن ،قهوه ای ۱۷سطر،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۲۱/۸سم [ف: ۸ - ۱۱۸]</w:t>
      </w:r>
    </w:p>
    <w:p>
      <w:pPr>
        <w:pStyle w:val="Heading3"/>
      </w:pPr>
      <w:bookmarkStart w:id="1288" w:name="_Toc810"/>
      <w:r>
        <w:t>اسرار الاولیاء / عرفان و تصوف / فارسی</w:t>
      </w:r>
      <w:bookmarkEnd w:id="1288"/>
    </w:p>
    <w:p>
      <w:pPr>
        <w:pStyle w:val="BookText"/>
      </w:pPr>
      <w:r>
        <w:rPr>
          <w:rFonts w:ascii="Times New Roman" w:hAnsi="Times New Roman" w:eastAsia="Times New Roman" w:cs="Times New Roman"/>
          <w:lang w:val="en-US" w:bidi="en-US"/>
          <w:color w:val="111111"/>
          <w:sz w:val="28"/>
          <w:szCs w:val="28"/>
          <w:rtl/>
        </w:rPr>
        <w:t xml:space="preserve">asrār-ol-owlīyā</w:t>
      </w:r>
    </w:p>
    <w:p>
      <w:pPr>
        <w:pStyle w:val="BookText"/>
      </w:pPr>
      <w:r>
        <w:rPr>
          <w:rFonts w:ascii="IRNazanin" w:hAnsi="IRNazanin" w:eastAsia="IRNazanin" w:cs="IRNazanin"/>
          <w:lang w:bidi="fa-IR"/>
          <w:color w:val="111111"/>
          <w:sz w:val="28"/>
          <w:szCs w:val="28"/>
          <w:rtl/>
        </w:rPr>
        <w:t xml:space="preserve">بدرالدین  دهلوی، اسحاق بن علی - ۶۹۰ قمری</w:t>
      </w:r>
    </w:p>
    <w:p>
      <w:pPr>
        <w:pStyle w:val="BookText"/>
      </w:pPr>
      <w:r>
        <w:rPr>
          <w:rFonts w:ascii="Times New Roman" w:hAnsi="Times New Roman" w:eastAsia="Times New Roman" w:cs="Times New Roman"/>
          <w:lang w:val="en-US" w:bidi="en-US"/>
          <w:color w:val="111111"/>
          <w:sz w:val="28"/>
          <w:szCs w:val="28"/>
          <w:rtl/>
        </w:rPr>
        <w:t xml:space="preserve">(badr-od-dīn dehlavī, eshāq ebn-e ‘alī (- 1292)</w:t>
      </w:r>
    </w:p>
    <w:p>
      <w:pPr>
        <w:pStyle w:val="BookText"/>
      </w:pPr>
      <w:r>
        <w:rPr>
          <w:rFonts w:ascii="IRNazanin" w:hAnsi="IRNazanin" w:eastAsia="IRNazanin" w:cs="IRNazanin"/>
          <w:lang w:bidi="fa-IR"/>
          <w:color w:val="111111"/>
          <w:sz w:val="28"/>
          <w:szCs w:val="28"/>
          <w:rtl/>
        </w:rPr>
        <w:t xml:space="preserve">ملفوظات فریدالدین گنج شکر (-۶۶۵ ق) است که بدرالدین اسحاق گردآوری کرده است که می گوید «دولت پابوس حاصل کرده و به شرف بیعت نابل شدم». وی به دامادی و سپـس به خلافت گنج شکر رسیده است و مدفنش در مسجد جامع قدیم اجودهن است نسخه های این رساله فصول متفاوتی دارد نسخه مرعشی دارای ۲۳ «فصل» به ترتیب زیر  است: ۱. اسـرار عشق و جز آن؛ ۲. متعبدان و درویشان؛ ۳. رزق و جز آن؛4. توبه و جز آن؛ ۵. خدمت کردن و آداب بزرگان؛ ۶. تلاوت قرآن؛ ۷. فضیلت سوره اخلاص؛ ۸. خرقه و فقر ؛ ۹. گلیم صوف؛ ۱۰. خوف و محبت؛ ۱۱. خوف و توکل؛ ۱۲. طاقیه و جزآن؛ ۱۳. درویشی؛ ۱۴. محبت و عداوت دنیا؛ ۱۵. حسن عقيدت مرید؛ ۱۶. بوسیدن دست بزرگان .۱۷. در ذکر طایفه ای که ذكر حق مستغرق اند؛ ۱۸. علماء و مشایخ؛ ۱۹. امساک باران؛20. کشف و کرامات؛ ۲۱.ذکر تعظیم داشتن؛ ۲۲. ذکر صوم؛23. ذكر رنج و محنت و مشقت.</w:t>
      </w:r>
    </w:p>
    <w:p>
      <w:pPr>
        <w:pStyle w:val="BookText"/>
      </w:pPr>
      <w:r>
        <w:rPr>
          <w:rFonts w:ascii="IRNazanin" w:hAnsi="IRNazanin" w:eastAsia="IRNazanin" w:cs="IRNazanin"/>
          <w:lang w:bidi="fa-IR"/>
          <w:color w:val="111111"/>
          <w:sz w:val="28"/>
          <w:szCs w:val="28"/>
          <w:rtl/>
        </w:rPr>
        <w:t xml:space="preserve">آغاز: الحمد لله الذى نور قلوب العارفين بنور رحمته... حمد بيحد و ثنای بیعد مر حضرت صمدیت را ... بنده درویشان خـادم الفقراء و المساكين الملقب ببدر الدين اسحاق که جامع این معانی است دولت پای بوس حاصل شده همان زمان به شرف بیعت مشرف گردانیده و کلاه چهار ترکی که دولت دین و دنیاست به بنده عطا فرموده. الحمدلله على ذلك</w:t>
      </w:r>
    </w:p>
    <w:p>
      <w:pPr>
        <w:pStyle w:val="BookText"/>
      </w:pPr>
      <w:r>
        <w:rPr>
          <w:rFonts w:ascii="IRNazanin" w:hAnsi="IRNazanin" w:eastAsia="IRNazanin" w:cs="IRNazanin"/>
          <w:lang w:bidi="fa-IR"/>
          <w:color w:val="111111"/>
          <w:sz w:val="28"/>
          <w:szCs w:val="28"/>
          <w:rtl/>
        </w:rPr>
        <w:t xml:space="preserve">انجام: هر دری که از لفظ مبارک ایشان شنیده خواهد شد آن  هم نوشته خواهد آمد انشاء الله تعالى.</w:t>
      </w:r>
    </w:p>
    <w:p>
      <w:pPr>
        <w:pStyle w:val="BookText"/>
      </w:pPr>
      <w:r>
        <w:rPr>
          <w:rFonts w:ascii="IRNazanin" w:hAnsi="IRNazanin" w:eastAsia="IRNazanin" w:cs="IRNazanin"/>
          <w:lang w:bidi="fa-IR"/>
          <w:color w:val="111111"/>
          <w:sz w:val="28"/>
          <w:szCs w:val="28"/>
          <w:rtl/>
        </w:rPr>
        <w:t xml:space="preserve">[فهرستواره منزوی ۲۰۰۸/۳]</w:t>
      </w:r>
    </w:p>
    <w:p>
      <w:pPr>
        <w:pStyle w:val="BookText"/>
      </w:pPr>
      <w:r>
        <w:rPr>
          <w:rFonts w:ascii="IRNazanin" w:hAnsi="IRNazanin" w:eastAsia="IRNazanin" w:cs="IRNazanin"/>
          <w:lang w:bidi="fa-IR"/>
          <w:color w:val="111111"/>
          <w:sz w:val="28"/>
          <w:szCs w:val="28"/>
          <w:rtl/>
        </w:rPr>
        <w:t xml:space="preserve">۱. قم؛ مرعشی؛ شماره نسخه: ۵۶۲۲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محمد حسین بن محمد سعید روگهی، تا: ۹ ذیحجه ۱۲۵۴ق؛ مهر: كاتب الراجى حسين بن محمد سعيد (مربع)، جلد: مقوایی عطف تیماج قهوه ای، ۹۱گ، ۱۵ 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 ۱۵ - ۲۲]</w:t>
      </w:r>
    </w:p>
    <w:p>
      <w:pPr>
        <w:pStyle w:val="BookText"/>
      </w:pPr>
      <w:r>
        <w:rPr>
          <w:rFonts w:ascii="IRNazanin" w:hAnsi="IRNazanin" w:eastAsia="IRNazanin" w:cs="IRNazanin"/>
          <w:lang w:bidi="fa-IR"/>
          <w:color w:val="111111"/>
          <w:sz w:val="28"/>
          <w:szCs w:val="28"/>
          <w:rtl/>
        </w:rPr>
        <w:t xml:space="preserve">۲ . قم؛ لاجوردی، سید مهدی؛ شماره نسخه: ۳۳/۱</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بی کا، بی تا؛ قطع: ربعی [چند نسخه-ف: - ۱۱۲]</w:t>
      </w:r>
    </w:p>
    <w:p>
      <w:pPr>
        <w:pStyle w:val="BookText"/>
      </w:pPr>
      <w:r>
        <w:rPr>
          <w:rFonts w:ascii="Amiri" w:hAnsi="Amiri" w:eastAsia="Amiri" w:cs="Amiri"/>
          <w:lang w:bidi="ar-SA"/>
          <w:color w:val="111111"/>
          <w:sz w:val="28"/>
          <w:szCs w:val="28"/>
          <w:rtl/>
        </w:rPr>
        <w:t xml:space="preserve">«اسرار الائمة » اسرار الامامة</w:t>
      </w:r>
    </w:p>
    <w:p>
      <w:pPr>
        <w:pStyle w:val="Heading3"/>
      </w:pPr>
      <w:bookmarkStart w:id="1289" w:name="_Toc811"/>
      <w:r>
        <w:t>اسرار الائمة / كلام و اعتقادات / عربی</w:t>
      </w:r>
      <w:bookmarkEnd w:id="1289"/>
    </w:p>
    <w:p>
      <w:pPr>
        <w:pStyle w:val="BookText"/>
      </w:pPr>
      <w:r>
        <w:rPr>
          <w:rFonts w:ascii="Times New Roman" w:hAnsi="Times New Roman" w:eastAsia="Times New Roman" w:cs="Times New Roman"/>
          <w:lang w:val="en-US" w:bidi="en-US"/>
          <w:color w:val="111111"/>
          <w:sz w:val="28"/>
          <w:szCs w:val="28"/>
          <w:rtl/>
        </w:rPr>
        <w:t xml:space="preserve">asrar-ul-a'imma</w:t>
      </w:r>
    </w:p>
    <w:p>
      <w:pPr>
        <w:pStyle w:val="BookText"/>
      </w:pPr>
      <w:r>
        <w:rPr>
          <w:rFonts w:ascii="IRNazanin" w:hAnsi="IRNazanin" w:eastAsia="IRNazanin" w:cs="IRNazanin"/>
          <w:lang w:bidi="fa-IR"/>
          <w:color w:val="111111"/>
          <w:sz w:val="28"/>
          <w:szCs w:val="28"/>
          <w:rtl/>
        </w:rPr>
        <w:t xml:space="preserve">حافظ برسی  ،  رجب بن محمد، ق ۹ قمری</w:t>
      </w:r>
    </w:p>
    <w:p>
      <w:pPr>
        <w:pStyle w:val="BookText"/>
      </w:pPr>
      <w:r>
        <w:rPr>
          <w:rFonts w:ascii="Times New Roman" w:hAnsi="Times New Roman" w:eastAsia="Times New Roman" w:cs="Times New Roman"/>
          <w:lang w:val="en-US" w:bidi="en-US"/>
          <w:color w:val="111111"/>
          <w:sz w:val="28"/>
          <w:szCs w:val="28"/>
          <w:rtl/>
        </w:rPr>
        <w:t xml:space="preserve">(hafez-e barsī, rajab ebn-e mohammad (- 15c)</w:t>
      </w:r>
    </w:p>
    <w:p>
      <w:pPr>
        <w:pStyle w:val="BookText"/>
      </w:pPr>
      <w:r>
        <w:rPr>
          <w:rFonts w:ascii="IRNazanin" w:hAnsi="IRNazanin" w:eastAsia="IRNazanin" w:cs="IRNazanin"/>
          <w:lang w:bidi="fa-IR"/>
          <w:color w:val="111111"/>
          <w:sz w:val="28"/>
          <w:szCs w:val="28"/>
          <w:rtl/>
        </w:rPr>
        <w:t xml:space="preserve">در بعضی از فضایل اهل بیت (علیهم السّلام) و اسرار خفيه آنان. مؤلف ادعا می کند که بر این اسرار اطلاع یافته و ادعاهای غریبی در آن دارد منکر این امور را به جهل و دشمنی نسبت داده است. در ابتدای کتاب احادیثی است در فضایل و چگونگی استخراج اسرار خلیفه از اعداد و حروف سپس آیاتی که در آنها این اسرار آمده به ترتیب سوره ها و بعد فضایل معصومین را از پیامبر تا امام زمان (علیه السّلام) و سپس فضایل کلی که در شأن آنها وارد شده است. مطالب این کتاب به مشارق الانوار» مؤلف بسیار نزدیک است.</w:t>
      </w:r>
    </w:p>
    <w:p>
      <w:pPr>
        <w:pStyle w:val="BookText"/>
      </w:pPr>
      <w:r>
        <w:rPr>
          <w:rFonts w:ascii="Amiri" w:hAnsi="Amiri" w:eastAsia="Amiri" w:cs="Amiri"/>
          <w:lang w:bidi="ar-SA"/>
          <w:color w:val="111111"/>
          <w:sz w:val="28"/>
          <w:szCs w:val="28"/>
          <w:rtl/>
        </w:rPr>
        <w:t xml:space="preserve">آغاز: الحمد الله الرب الحكيم القادر العليم المتفرد بالدوام الذى أخرج من النور ما أدرج فى الظلم و أرز الى الوجود ما كنز في  العدم.</w:t>
      </w:r>
    </w:p>
    <w:p>
      <w:pPr>
        <w:pStyle w:val="BookText"/>
      </w:pPr>
      <w:r>
        <w:rPr>
          <w:rFonts w:ascii="IRNazanin" w:hAnsi="IRNazanin" w:eastAsia="IRNazanin" w:cs="IRNazanin"/>
          <w:lang w:bidi="fa-IR"/>
          <w:color w:val="111111"/>
          <w:sz w:val="28"/>
          <w:szCs w:val="28"/>
          <w:rtl/>
        </w:rPr>
        <w:t xml:space="preserve">۱. قم؛ مرکز احیاء؛ شماره نسخه: ۱۰۱۱/۱</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نسخه اصل: کتابخانه شیخ لطف الله صافی- قم. قسمتی از کتاب است؛ خط: نستعلیق کاتب - مؤلف، تا: با تاریخ ۱۳۱۵ق؛ ۲۲ص (١-(٢٢) [عکسی ف ۳ - ۲۶۱]</w:t>
      </w:r>
    </w:p>
    <w:p>
      <w:pPr>
        <w:pStyle w:val="BookText"/>
      </w:pPr>
      <w:r>
        <w:rPr>
          <w:rFonts w:ascii="IRNazanin" w:hAnsi="IRNazanin" w:eastAsia="IRNazanin" w:cs="IRNazanin"/>
          <w:lang w:bidi="fa-IR"/>
          <w:color w:val="111111"/>
          <w:sz w:val="28"/>
          <w:szCs w:val="28"/>
          <w:rtl/>
        </w:rPr>
        <w:t xml:space="preserve">۲. قم؛ مرعشی؛ شماره نسخه: ۶۱۶۲/۲</w:t>
      </w:r>
    </w:p>
    <w:p>
      <w:pPr>
        <w:pStyle w:val="BookText"/>
      </w:pPr>
      <w:r>
        <w:rPr>
          <w:rFonts w:ascii="Amiri" w:hAnsi="Amiri" w:eastAsia="Amiri" w:cs="Amiri"/>
          <w:lang w:bidi="ar-SA"/>
          <w:color w:val="111111"/>
          <w:sz w:val="28"/>
          <w:szCs w:val="28"/>
          <w:rtl/>
        </w:rPr>
        <w:t xml:space="preserve">آغاز: برابر؛ انجام: فصل و المنكر هذا انما أنكره لأنه لا يعرف ما الفرق بين الروح والجسد لأن الكتاب الحق</w:t>
      </w:r>
    </w:p>
    <w:p>
      <w:pPr>
        <w:pStyle w:val="BookText"/>
      </w:pPr>
      <w:r>
        <w:rPr>
          <w:rFonts w:ascii="IRNazanin" w:hAnsi="IRNazanin" w:eastAsia="IRNazanin" w:cs="IRNazanin"/>
          <w:lang w:bidi="fa-IR"/>
          <w:color w:val="111111"/>
          <w:sz w:val="28"/>
          <w:szCs w:val="28"/>
          <w:rtl/>
        </w:rPr>
        <w:t xml:space="preserve">خط: نسخ، بی کا، تا: قرن ۹ ؛افتادگی: انجام؛ محشی با امضای حسن الواعظ؛ جلد: تیماج قهوه ای، ۳۱۳گ (۵۳پ-۳۶۵پ)،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 ۱۶ - ۱۵۹]</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ملک ؛شماره نسخه: ۱۹۵/۴</w:t>
      </w:r>
    </w:p>
    <w:p>
      <w:pPr>
        <w:pStyle w:val="BookText"/>
      </w:pPr>
      <w:r>
        <w:rPr>
          <w:rFonts w:ascii="Amiri" w:hAnsi="Amiri" w:eastAsia="Amiri" w:cs="Amiri"/>
          <w:lang w:bidi="ar-SA"/>
          <w:color w:val="111111"/>
          <w:sz w:val="28"/>
          <w:szCs w:val="28"/>
          <w:rtl/>
        </w:rPr>
        <w:t xml:space="preserve">آغاز: وها انا مورد في هذا المختصر تتمة من اسرار الائمة الهداة؛ انجام: فما غاب عني شيء مما كان قبلى و لا بعدى تمت الكتاب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223" w:name="pg20365_260326"/>
    <w:bookmarkEnd w:id="223"/>
    <w:p>
      <w:pPr>
        <w:pStyle w:val="BookText"/>
      </w:pPr>
      <w:r>
        <w:rPr>
          <w:rFonts w:ascii="Amiri" w:hAnsi="Amiri" w:eastAsia="Amiri" w:cs="Amiri"/>
          <w:lang w:bidi="ar-SA"/>
          <w:color w:val="111111"/>
          <w:sz w:val="28"/>
          <w:szCs w:val="28"/>
          <w:rtl/>
        </w:rPr>
        <w:t xml:space="preserve">بعون الملك الوهاب فى تاريخ سنه ستة وسبعين بعد الف  من الهجرة النبوى.</w:t>
      </w:r>
    </w:p>
    <w:p>
      <w:pPr>
        <w:pStyle w:val="BookText"/>
      </w:pPr>
      <w:r>
        <w:rPr>
          <w:rFonts w:ascii="IRNazanin" w:hAnsi="IRNazanin" w:eastAsia="IRNazanin" w:cs="IRNazanin"/>
          <w:lang w:bidi="fa-IR"/>
          <w:color w:val="111111"/>
          <w:sz w:val="28"/>
          <w:szCs w:val="28"/>
          <w:rtl/>
        </w:rPr>
        <w:t xml:space="preserve">خط: نسخ، بی کا، تا: ۱۰۸۶ق؛ کاغذ: ترمه ،جلد: میشن قهوه ای، ۱۵ سطر اندازه: ۱۲/۷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۱۸/۷سم [ف: ۵ - ۸]</w:t>
      </w:r>
    </w:p>
    <w:p>
      <w:pPr>
        <w:pStyle w:val="BookText"/>
      </w:pPr>
      <w:r>
        <w:rPr>
          <w:rFonts w:ascii="IRNazanin" w:hAnsi="IRNazanin" w:eastAsia="IRNazanin" w:cs="IRNazanin"/>
          <w:lang w:bidi="fa-IR"/>
          <w:color w:val="111111"/>
          <w:sz w:val="28"/>
          <w:szCs w:val="28"/>
          <w:rtl/>
        </w:rPr>
        <w:t xml:space="preserve">4.تهران؛ دانشگاه؛ شماره نسخه: ۷۵۶۰/۲</w:t>
      </w:r>
    </w:p>
    <w:p>
      <w:pPr>
        <w:pStyle w:val="BookText"/>
      </w:pPr>
      <w:r>
        <w:rPr>
          <w:rFonts w:ascii="IRNazanin" w:hAnsi="IRNazanin" w:eastAsia="IRNazanin" w:cs="IRNazanin"/>
          <w:lang w:bidi="fa-IR"/>
          <w:color w:val="111111"/>
          <w:sz w:val="28"/>
          <w:szCs w:val="28"/>
          <w:rtl/>
        </w:rPr>
        <w:t xml:space="preserve">خط: نستعلیق، کا: ابو طالب بن محمد  ابراهیم، تا: ۲۸ شوال ۱۲۰۶ق؛ کاغذ ،فرنگی ،جلد: تیماج عنابی مقوایی، ۱۰۹گ (191- 299)1 سطر (۶/۵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قطع ،بغلی، 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۱۵/۵سم [ف: ۱۶ – ۶۲۸]</w:t>
      </w:r>
    </w:p>
    <w:p>
      <w:pPr>
        <w:pStyle w:val="BookText"/>
      </w:pPr>
      <w:r>
        <w:rPr>
          <w:rFonts w:ascii="Amiri" w:hAnsi="Amiri" w:eastAsia="Amiri" w:cs="Amiri"/>
          <w:lang w:bidi="ar-SA"/>
          <w:color w:val="111111"/>
          <w:sz w:val="28"/>
          <w:szCs w:val="28"/>
          <w:rtl/>
        </w:rPr>
        <w:t xml:space="preserve">«اسرار البراعة و انوار الفصاحة » انوار الفصاحة  و اسرار البلاغة (البراعة) في شرح نهج البلاغة</w:t>
      </w:r>
    </w:p>
    <w:p>
      <w:pPr>
        <w:pStyle w:val="Heading3"/>
      </w:pPr>
      <w:bookmarkStart w:id="1290" w:name="_Toc812"/>
      <w:r>
        <w:t>اسرار برخی از اشکال و طلسمات و ادعیه / علوم غریبه / فارسی</w:t>
      </w:r>
      <w:bookmarkEnd w:id="1290"/>
    </w:p>
    <w:p>
      <w:pPr>
        <w:pStyle w:val="BookText"/>
      </w:pPr>
      <w:r>
        <w:rPr>
          <w:rFonts w:ascii="Times New Roman" w:hAnsi="Times New Roman" w:eastAsia="Times New Roman" w:cs="Times New Roman"/>
          <w:lang w:val="en-US" w:bidi="en-US"/>
          <w:color w:val="111111"/>
          <w:sz w:val="28"/>
          <w:szCs w:val="28"/>
          <w:rtl/>
        </w:rPr>
        <w:t xml:space="preserve">asrār-e barxī az aškāl va telesmāt va ad‘īye</w:t>
      </w:r>
    </w:p>
    <w:p>
      <w:pPr>
        <w:pStyle w:val="BookText"/>
      </w:pPr>
      <w:r>
        <w:rPr>
          <w:rFonts w:ascii="IRNazanin" w:hAnsi="IRNazanin" w:eastAsia="IRNazanin" w:cs="IRNazanin"/>
          <w:lang w:bidi="fa-IR"/>
          <w:color w:val="111111"/>
          <w:sz w:val="28"/>
          <w:szCs w:val="28"/>
          <w:rtl/>
        </w:rPr>
        <w:t xml:space="preserve">تهران؛ مجلس؛ شماره نسخه: ۱۲۵۷۵/۷</w:t>
      </w:r>
    </w:p>
    <w:p>
      <w:pPr>
        <w:pStyle w:val="BookText"/>
      </w:pPr>
      <w:r>
        <w:rPr>
          <w:rFonts w:ascii="IRNazanin" w:hAnsi="IRNazanin" w:eastAsia="IRNazanin" w:cs="IRNazanin"/>
          <w:lang w:bidi="fa-IR"/>
          <w:color w:val="111111"/>
          <w:sz w:val="28"/>
          <w:szCs w:val="28"/>
          <w:rtl/>
        </w:rPr>
        <w:t xml:space="preserve">آغاز: هر کس این دعا را با خود دارد در جنگگاه زخم سنان شمشیر ... فائده به جهت عقد اللسان در بیست و نهم هر ماهی</w:t>
      </w:r>
    </w:p>
    <w:p>
      <w:pPr>
        <w:pStyle w:val="BookText"/>
      </w:pPr>
      <w:r>
        <w:rPr>
          <w:rFonts w:ascii="IRNazanin" w:hAnsi="IRNazanin" w:eastAsia="IRNazanin" w:cs="IRNazanin"/>
          <w:lang w:bidi="fa-IR"/>
          <w:color w:val="111111"/>
          <w:sz w:val="28"/>
          <w:szCs w:val="28"/>
          <w:rtl/>
        </w:rPr>
        <w:t xml:space="preserve">رساله ای است با عنوان های «فائده فائده»؛ خط: نسخ، بی کا، بی تا، افتادگی: آغاز و انجام؛جلد:قهوه ای، ۸ ص (۳۵۰-۳۵۷) [ف: 36- 117]</w:t>
      </w:r>
    </w:p>
    <w:p>
      <w:pPr>
        <w:pStyle w:val="Heading3"/>
      </w:pPr>
      <w:bookmarkStart w:id="1291" w:name="_Toc813"/>
      <w:r>
        <w:t>اسرار بسمله / شعر / فارسی</w:t>
      </w:r>
      <w:bookmarkEnd w:id="1291"/>
    </w:p>
    <w:p>
      <w:pPr>
        <w:pStyle w:val="BookText"/>
      </w:pPr>
      <w:r>
        <w:rPr>
          <w:rFonts w:ascii="Times New Roman" w:hAnsi="Times New Roman" w:eastAsia="Times New Roman" w:cs="Times New Roman"/>
          <w:lang w:val="en-US" w:bidi="en-US"/>
          <w:color w:val="111111"/>
          <w:sz w:val="28"/>
          <w:szCs w:val="28"/>
          <w:rtl/>
        </w:rPr>
        <w:t xml:space="preserve">asrār-e besmelah</w:t>
      </w:r>
    </w:p>
    <w:p>
      <w:pPr>
        <w:pStyle w:val="BookText"/>
      </w:pPr>
      <w:r>
        <w:rPr>
          <w:rFonts w:ascii="IRNazanin" w:hAnsi="IRNazanin" w:eastAsia="IRNazanin" w:cs="IRNazanin"/>
          <w:lang w:bidi="fa-IR"/>
          <w:color w:val="111111"/>
          <w:sz w:val="28"/>
          <w:szCs w:val="28"/>
          <w:rtl/>
        </w:rPr>
        <w:t xml:space="preserve">کاتبی ترشیزی، محمد بن عبدالله، - ۸۳۸؟ قمری</w:t>
      </w:r>
    </w:p>
    <w:p>
      <w:pPr>
        <w:pStyle w:val="BookText"/>
      </w:pPr>
      <w:r>
        <w:rPr>
          <w:rFonts w:ascii="Times New Roman" w:hAnsi="Times New Roman" w:eastAsia="Times New Roman" w:cs="Times New Roman"/>
          <w:lang w:val="en-US" w:bidi="en-US"/>
          <w:color w:val="111111"/>
          <w:sz w:val="28"/>
          <w:szCs w:val="28"/>
          <w:rtl/>
        </w:rPr>
        <w:t xml:space="preserve">(kātebī toršīzī, mohammad ebn-e ‘abd-ol-lāh (- 1435)</w:t>
      </w:r>
    </w:p>
    <w:p>
      <w:pPr>
        <w:pStyle w:val="BookText"/>
      </w:pPr>
      <w:r>
        <w:rPr>
          <w:rFonts w:ascii="IRNazanin" w:hAnsi="IRNazanin" w:eastAsia="IRNazanin" w:cs="IRNazanin"/>
          <w:lang w:bidi="fa-IR"/>
          <w:color w:val="111111"/>
          <w:sz w:val="28"/>
          <w:szCs w:val="28"/>
          <w:rtl/>
        </w:rPr>
        <w:t xml:space="preserve">مثنوی در بیان اشارات و رموز باطنی بسمله در آغاز فاتح هو  ظاهراً سر آغاز مثنوی گلشن ابرار او است. این مثنوی در اصل مقصود( = تاویل بسمله) با منظومه جامی مشترک است اختلاف در پاره ای از تعبیرات و نیز اختلاف در شیوه و سبك و وزن شعر و به نظر می رسد یکی از این دو نظر به دیگری است این مثنوی دارای ۲۳ بیت است</w:t>
      </w:r>
    </w:p>
    <w:p>
      <w:pPr>
        <w:pStyle w:val="BookText"/>
      </w:pPr>
      <w:r>
        <w:rPr>
          <w:rFonts w:ascii="IRNazanin" w:hAnsi="IRNazanin" w:eastAsia="IRNazanin" w:cs="IRNazanin"/>
          <w:lang w:bidi="fa-IR"/>
          <w:color w:val="111111"/>
          <w:sz w:val="28"/>
          <w:szCs w:val="28"/>
          <w:rtl/>
        </w:rPr>
        <w:t xml:space="preserve">آغاز: بسم  الله الرحمان الرحيم *** تاج کلام و کلام قدیم / نقـطه که در بسمل این فاتحه است*** دانه مرغاناولی اجنحه است</w:t>
      </w:r>
    </w:p>
    <w:p>
      <w:pPr>
        <w:pStyle w:val="BookText"/>
      </w:pPr>
      <w:r>
        <w:rPr>
          <w:rFonts w:ascii="IRNazanin" w:hAnsi="IRNazanin" w:eastAsia="IRNazanin" w:cs="IRNazanin"/>
          <w:lang w:bidi="fa-IR"/>
          <w:color w:val="111111"/>
          <w:sz w:val="28"/>
          <w:szCs w:val="28"/>
          <w:rtl/>
        </w:rPr>
        <w:t xml:space="preserve">[الذریعه ۲۲۲:۱۸ و ۱۹: ۱۰۰؛ فهرستواره منزوی (۱۴۰/۱۰]</w:t>
      </w:r>
    </w:p>
    <w:p>
      <w:pPr>
        <w:pStyle w:val="BookText"/>
      </w:pPr>
      <w:r>
        <w:rPr>
          <w:rFonts w:ascii="IRNazanin" w:hAnsi="IRNazanin" w:eastAsia="IRNazanin" w:cs="IRNazanin"/>
          <w:lang w:bidi="fa-IR"/>
          <w:color w:val="111111"/>
          <w:sz w:val="28"/>
          <w:szCs w:val="28"/>
          <w:rtl/>
        </w:rPr>
        <w:t xml:space="preserve">تهران؛ مجلس؛ شماره نسخه: ۳۹۲۱/۹</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بی کا، تا: قرن ۱۰ ؛کاغذ: شکری و سفید ،جلد: تیماج مشکی  رنگ، ۱۱۷ص، قطع: رقعی،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 ف: ۱۰ - ۹۷۲  ]</w:t>
      </w:r>
    </w:p>
    <w:p>
      <w:pPr>
        <w:pStyle w:val="Heading3"/>
      </w:pPr>
      <w:bookmarkStart w:id="1292" w:name="_Toc814"/>
      <w:r>
        <w:t>اسرار بسمله/ عرفان و تصوف / عربی</w:t>
      </w:r>
      <w:bookmarkEnd w:id="1292"/>
    </w:p>
    <w:p>
      <w:pPr>
        <w:pStyle w:val="BookText"/>
      </w:pPr>
      <w:r>
        <w:rPr>
          <w:rFonts w:ascii="Times New Roman" w:hAnsi="Times New Roman" w:eastAsia="Times New Roman" w:cs="Times New Roman"/>
          <w:lang w:val="en-US" w:bidi="en-US"/>
          <w:color w:val="111111"/>
          <w:sz w:val="28"/>
          <w:szCs w:val="28"/>
          <w:rtl/>
        </w:rPr>
        <w:t xml:space="preserve">asrar-e besmelah</w:t>
      </w:r>
    </w:p>
    <w:p>
      <w:pPr>
        <w:pStyle w:val="BookText"/>
      </w:pPr>
      <w:r>
        <w:rPr>
          <w:rFonts w:ascii="IRNazanin" w:hAnsi="IRNazanin" w:eastAsia="IRNazanin" w:cs="IRNazanin"/>
          <w:lang w:bidi="fa-IR"/>
          <w:color w:val="111111"/>
          <w:sz w:val="28"/>
          <w:szCs w:val="28"/>
          <w:rtl/>
        </w:rPr>
        <w:t xml:space="preserve">نوری، علی بن جمشید - ۱۲۴۶ قمری</w:t>
      </w:r>
    </w:p>
    <w:p>
      <w:pPr>
        <w:pStyle w:val="BookText"/>
      </w:pPr>
      <w:r>
        <w:rPr>
          <w:rFonts w:ascii="Times New Roman" w:hAnsi="Times New Roman" w:eastAsia="Times New Roman" w:cs="Times New Roman"/>
          <w:lang w:val="en-US" w:bidi="en-US"/>
          <w:color w:val="111111"/>
          <w:sz w:val="28"/>
          <w:szCs w:val="28"/>
          <w:rtl/>
        </w:rPr>
        <w:t xml:space="preserve">(nūrī, ‘alī ebn-e jamšīd (- 1831)</w:t>
      </w:r>
    </w:p>
    <w:p>
      <w:pPr>
        <w:pStyle w:val="BookText"/>
      </w:pPr>
      <w:r>
        <w:rPr>
          <w:rFonts w:ascii="IRNazanin" w:hAnsi="IRNazanin" w:eastAsia="IRNazanin" w:cs="IRNazanin"/>
          <w:lang w:bidi="fa-IR"/>
          <w:color w:val="111111"/>
          <w:sz w:val="28"/>
          <w:szCs w:val="28"/>
          <w:rtl/>
        </w:rPr>
        <w:t xml:space="preserve">گویا حاشیه یا شرح متنی است که تنها از باء وسین مهمله یاد می شود رساله ای است عرفانی صرف و در آن از «اخوان الصفا» و «فتوحات» شیخ و از حسین بن منصور حلاج یاد می کند. نزدیک است با «جامع الحکمه» افضل الدین کاشانی.</w:t>
      </w:r>
    </w:p>
    <w:p>
      <w:pPr>
        <w:pStyle w:val="BookText"/>
      </w:pPr>
      <w:r>
        <w:rPr>
          <w:rFonts w:ascii="Amiri" w:hAnsi="Amiri" w:eastAsia="Amiri" w:cs="Amiri"/>
          <w:lang w:bidi="ar-SA"/>
          <w:color w:val="111111"/>
          <w:sz w:val="28"/>
          <w:szCs w:val="28"/>
          <w:rtl/>
        </w:rPr>
        <w:t xml:space="preserve">آغاز: قوله، بسمله اقول: اعلم ان الباء هى المرتبه الاولى من العالم المعبر عنها بالعقل الأول، والسين يقع فى المرتبة الثانيه التي هي مرتبه النفس الكلية المعبر عنها باللوح المحفوظ و الكتاب والميم فى المرتبة الثالثة التى هى الطبيعة الكلية و بعض من طابق من العالم ومراتبه الكلية و بين البسملة جعل العقل الاوله بمثابة الباء و سماه بعالم الجبروت و النفس الكلية بمثابة السين وسماها بعالم الملكوت في الواقع كذلك و قد اشار الى ذلك الشيخ فتوحاته في قوله الباء انواع ثلثة شكل الباء و نقطها و الحركة فصار فيها العوالم الثلثة فالباء ملكوته و النقطة جبروته و الحركة شهادة ملكه و الالف المحذوفة التيهي بدل منها هي حقيقة القائم لها الكل و احتجب رقمه منه بالنطقة تحت الباء</w:t>
      </w:r>
    </w:p>
    <w:p>
      <w:pPr>
        <w:pStyle w:val="BookText"/>
      </w:pPr>
      <w:r>
        <w:rPr>
          <w:rFonts w:ascii="Amiri" w:hAnsi="Amiri" w:eastAsia="Amiri" w:cs="Amiri"/>
          <w:lang w:bidi="ar-SA"/>
          <w:color w:val="111111"/>
          <w:sz w:val="28"/>
          <w:szCs w:val="28"/>
          <w:rtl/>
        </w:rPr>
        <w:t xml:space="preserve">انجام: فانه اشارة الى هذه المراتب الثلث و التوحيدات الثلث و ما اشرنا اليه فى هذا المقام من مباحث البسمله كفاية لاولى الالباب. والله الموفق</w:t>
      </w:r>
    </w:p>
    <w:p>
      <w:pPr>
        <w:pStyle w:val="BookText"/>
      </w:pPr>
      <w:r>
        <w:rPr>
          <w:rFonts w:ascii="IRNazanin" w:hAnsi="IRNazanin" w:eastAsia="IRNazanin" w:cs="IRNazanin"/>
          <w:lang w:bidi="fa-IR"/>
          <w:color w:val="111111"/>
          <w:sz w:val="28"/>
          <w:szCs w:val="28"/>
          <w:rtl/>
        </w:rPr>
        <w:t xml:space="preserve">1.تهران؛ ملک؛ شماره نسخه: ۶۱۰۱/۲۰</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نام مؤلف به استناد نسخه مجلس ذکر شد؛ خط: نسخ، کا: محمد قاسم بن شجاع الدین نجفی، تا: ۱۰۶۷ق؛ جا: اصفهان؛ جلد: میشن زرد ،لایی ،3گ (۱۸۱-۱۸۳) ،۳۳سطر، اندازه: ۱۳/۹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۲۴/۸سم  [ف: ۹ - ۱۵۸]</w:t>
      </w:r>
    </w:p>
    <w:p>
      <w:pPr>
        <w:pStyle w:val="BookText"/>
      </w:pPr>
      <w:r>
        <w:rPr>
          <w:rFonts w:ascii="IRNazanin" w:hAnsi="IRNazanin" w:eastAsia="IRNazanin" w:cs="IRNazanin"/>
          <w:lang w:bidi="fa-IR"/>
          <w:color w:val="111111"/>
          <w:sz w:val="28"/>
          <w:szCs w:val="28"/>
          <w:rtl/>
        </w:rPr>
        <w:t xml:space="preserve">۲. تهران؛ مجلس؛ شماره نسخه: ۱۰۲۰/۹-ط</w:t>
      </w:r>
    </w:p>
    <w:p>
      <w:pPr>
        <w:pStyle w:val="BookText"/>
      </w:pPr>
      <w:r>
        <w:rPr>
          <w:rFonts w:ascii="Amiri" w:hAnsi="Amiri" w:eastAsia="Amiri" w:cs="Amiri"/>
          <w:lang w:bidi="ar-SA"/>
          <w:color w:val="111111"/>
          <w:sz w:val="28"/>
          <w:szCs w:val="28"/>
          <w:rtl/>
        </w:rPr>
        <w:t xml:space="preserve">آغاز: بسمله اعلم ان الباء هى المرتبة الأولى من العالم المعبر عنها بالعقل الاول والسين يقع فى المرتبة الثانيه ... و بعض من طابق بين العالم و مراتبه الكليه و بين البسمله؛ انجام: فان قلت فخلق السماوات و الارض في سته ايام و المراتب المشار اليها ثلاث الثلاث الأولى هى سته لان الثلاث التى هى الباء و السين و الميم و الثلث التى فى الله و الرحمان</w:t>
      </w:r>
    </w:p>
    <w:p>
      <w:pPr>
        <w:pStyle w:val="BookText"/>
      </w:pPr>
      <w:r>
        <w:rPr>
          <w:rFonts w:ascii="IRNazanin" w:hAnsi="IRNazanin" w:eastAsia="IRNazanin" w:cs="IRNazanin"/>
          <w:lang w:bidi="fa-IR"/>
          <w:color w:val="111111"/>
          <w:sz w:val="28"/>
          <w:szCs w:val="28"/>
          <w:rtl/>
        </w:rPr>
        <w:t xml:space="preserve">خط: نستعلیق ،شکسته ،کا: محمد رحیم بن محمد بن محمد على طالقانی، تا: قرن ۱۳؛ افتادگی: انجام؛ کاغذ: فرنگی، آهار مهره، جلد: تيماج قرمز بدون مقوا، ۱۵۵گ، قطع: وزیری کوچک :اندازه ۱۲/۵۰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 ۲۳ - ۳۰۴]</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مجلس؛ شماره نسخه: ۱۱۴۸/۲-ط</w:t>
      </w:r>
    </w:p>
    <w:p>
      <w:pPr>
        <w:pStyle w:val="BookText"/>
      </w:pPr>
      <w:r>
        <w:rPr>
          <w:rFonts w:ascii="IRNazanin" w:hAnsi="IRNazanin" w:eastAsia="IRNazanin" w:cs="IRNazanin"/>
          <w:lang w:bidi="fa-IR"/>
          <w:color w:val="111111"/>
          <w:sz w:val="28"/>
          <w:szCs w:val="28"/>
          <w:rtl/>
        </w:rPr>
        <w:t xml:space="preserve">انجام: عباراتنا شتی و حسنک واحد *** و كل الى ذاك الجمال يشير. و اما التسعه فهى تطبقها من كلام الحكيم الرباني ملا على النورى طاب ثراه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24" w:name="pg20365_260327"/>
    <w:bookmarkEnd w:id="224"/>
    <w:p>
      <w:pPr>
        <w:pStyle w:val="BookText"/>
      </w:pPr>
      <w:r>
        <w:rPr>
          <w:rFonts w:ascii="IRNazanin" w:hAnsi="IRNazanin" w:eastAsia="IRNazanin" w:cs="IRNazanin"/>
          <w:lang w:bidi="fa-IR"/>
          <w:color w:val="111111"/>
          <w:sz w:val="28"/>
          <w:szCs w:val="28"/>
          <w:rtl/>
        </w:rPr>
        <w:t xml:space="preserve">خط: نستعلیق شکسته ،كا: علی اصغر بن علی اکبر طالقانی، تا: ۱۲۸۰ق، ۲گ (۱۴۹-۱۵۰) [ف: ۲۳ - ۶۲۰]</w:t>
      </w:r>
    </w:p>
    <w:p>
      <w:pPr>
        <w:pStyle w:val="Heading3"/>
      </w:pPr>
      <w:bookmarkStart w:id="1293" w:name="_Toc815"/>
      <w:r>
        <w:t>اسرار بسمله / علوم قرآن - فارسی</w:t>
      </w:r>
      <w:bookmarkEnd w:id="1293"/>
    </w:p>
    <w:p>
      <w:pPr>
        <w:pStyle w:val="BookText"/>
      </w:pPr>
      <w:r>
        <w:rPr>
          <w:rFonts w:ascii="Times New Roman" w:hAnsi="Times New Roman" w:eastAsia="Times New Roman" w:cs="Times New Roman"/>
          <w:lang w:val="en-US" w:bidi="en-US"/>
          <w:color w:val="111111"/>
          <w:sz w:val="28"/>
          <w:szCs w:val="28"/>
          <w:rtl/>
        </w:rPr>
        <w:t xml:space="preserve">asrār-e besmelah</w:t>
      </w:r>
    </w:p>
    <w:p>
      <w:pPr>
        <w:pStyle w:val="BookText"/>
      </w:pPr>
      <w:r>
        <w:rPr>
          <w:rFonts w:ascii="IRNazanin" w:hAnsi="IRNazanin" w:eastAsia="IRNazanin" w:cs="IRNazanin"/>
          <w:lang w:bidi="fa-IR"/>
          <w:color w:val="111111"/>
          <w:sz w:val="28"/>
          <w:szCs w:val="28"/>
          <w:rtl/>
        </w:rPr>
        <w:t xml:space="preserve">تربتى، عبدالجواد بن محمد حسن</w:t>
      </w:r>
    </w:p>
    <w:p>
      <w:pPr>
        <w:pStyle w:val="BookText"/>
      </w:pPr>
      <w:r>
        <w:rPr>
          <w:rFonts w:ascii="Times New Roman" w:hAnsi="Times New Roman" w:eastAsia="Times New Roman" w:cs="Times New Roman"/>
          <w:lang w:val="en-US" w:bidi="en-US"/>
          <w:color w:val="111111"/>
          <w:sz w:val="28"/>
          <w:szCs w:val="28"/>
          <w:rtl/>
        </w:rPr>
        <w:t xml:space="preserve">torbatī, ‘abd-ol-javād ebn-e mohammad hasan</w:t>
      </w:r>
    </w:p>
    <w:p>
      <w:pPr>
        <w:pStyle w:val="BookText"/>
      </w:pPr>
      <w:r>
        <w:rPr>
          <w:rFonts w:ascii="IRNazanin" w:hAnsi="IRNazanin" w:eastAsia="IRNazanin" w:cs="IRNazanin"/>
          <w:lang w:bidi="fa-IR"/>
          <w:color w:val="111111"/>
          <w:sz w:val="28"/>
          <w:szCs w:val="28"/>
          <w:rtl/>
        </w:rPr>
        <w:t xml:space="preserve">جز آنچه که در الذریعه (۴۲/۲) به نام سید محمد مهدی بن محمد جعفر موسوی تنکابنی یاد شده است.</w:t>
      </w:r>
    </w:p>
    <w:p>
      <w:pPr>
        <w:pStyle w:val="BookText"/>
      </w:pPr>
      <w:r>
        <w:rPr>
          <w:rFonts w:ascii="IRNazanin" w:hAnsi="IRNazanin" w:eastAsia="IRNazanin" w:cs="IRNazanin"/>
          <w:lang w:bidi="fa-IR"/>
          <w:color w:val="111111"/>
          <w:sz w:val="28"/>
          <w:szCs w:val="28"/>
          <w:rtl/>
        </w:rPr>
        <w:t xml:space="preserve">آغاز: بسمله حمد له ... فيقول ابن الحسن الخراسانی عبد الجواد التمس منى بعض الطلبة ... ان احرر رسالةفى اسـرار کلمه بسم الله الرحمن الرحيم فاجبت ملتمسه سر از حضرت رضا ... منقول است.</w:t>
      </w:r>
    </w:p>
    <w:p>
      <w:pPr>
        <w:pStyle w:val="BookText"/>
      </w:pPr>
      <w:r>
        <w:rPr>
          <w:rFonts w:ascii="IRNazanin" w:hAnsi="IRNazanin" w:eastAsia="IRNazanin" w:cs="IRNazanin"/>
          <w:lang w:bidi="fa-IR"/>
          <w:color w:val="111111"/>
          <w:sz w:val="28"/>
          <w:szCs w:val="28"/>
          <w:rtl/>
        </w:rPr>
        <w:t xml:space="preserve">[فهرستواره منزوی ۶۱/۷ (۱نسخه)]</w:t>
      </w:r>
    </w:p>
    <w:p>
      <w:pPr>
        <w:pStyle w:val="BookText"/>
      </w:pPr>
      <w:r>
        <w:rPr>
          <w:rFonts w:ascii="IRNazanin" w:hAnsi="IRNazanin" w:eastAsia="IRNazanin" w:cs="IRNazanin"/>
          <w:lang w:bidi="fa-IR"/>
          <w:color w:val="111111"/>
          <w:sz w:val="28"/>
          <w:szCs w:val="28"/>
          <w:rtl/>
        </w:rPr>
        <w:t xml:space="preserve">۱. تهران؛ دانشگاه؛ شماره نسخه: ۴۴۵۹</w:t>
      </w:r>
    </w:p>
    <w:p>
      <w:pPr>
        <w:pStyle w:val="BookText"/>
      </w:pPr>
      <w:r>
        <w:rPr>
          <w:rFonts w:ascii="IRNazanin" w:hAnsi="IRNazanin" w:eastAsia="IRNazanin" w:cs="IRNazanin"/>
          <w:lang w:bidi="fa-IR"/>
          <w:color w:val="111111"/>
          <w:sz w:val="28"/>
          <w:szCs w:val="28"/>
          <w:rtl/>
        </w:rPr>
        <w:t xml:space="preserve">آغاز: برابر؛ انجام؛ پس اوضاع است</w:t>
      </w:r>
    </w:p>
    <w:p>
      <w:pPr>
        <w:pStyle w:val="BookText"/>
      </w:pPr>
      <w:r>
        <w:rPr>
          <w:rFonts w:ascii="IRNazanin" w:hAnsi="IRNazanin" w:eastAsia="IRNazanin" w:cs="IRNazanin"/>
          <w:lang w:bidi="fa-IR"/>
          <w:color w:val="111111"/>
          <w:sz w:val="28"/>
          <w:szCs w:val="28"/>
          <w:rtl/>
        </w:rPr>
        <w:t xml:space="preserve">خط: نسخ و نستعلیق، بی کا، تا: قرن ۱۳ و ۱۴؛ افتادگی: انجام؛ در گ ۱۱-۵۷ بخشی است از کتابی به فارسی در خبر از عبداللطیف گویا متخلص به شکسته ؛کاغذ ،فرنگی ،جلد: تیماج سبز مقوایی تازه، ۶۹گ، ۲۰ سطر (9</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 ف : ۱۳ -3415]</w:t>
      </w:r>
    </w:p>
    <w:p>
      <w:pPr>
        <w:pStyle w:val="BookText"/>
      </w:pPr>
      <w:r>
        <w:rPr>
          <w:rFonts w:ascii="IRNazanin" w:hAnsi="IRNazanin" w:eastAsia="IRNazanin" w:cs="IRNazanin"/>
          <w:lang w:bidi="fa-IR"/>
          <w:color w:val="111111"/>
          <w:sz w:val="28"/>
          <w:szCs w:val="28"/>
          <w:rtl/>
        </w:rPr>
        <w:t xml:space="preserve">۲. همدان؛ مدرسه غرب؛ شماره نسخه: ۴۷۶۰/۲</w:t>
      </w:r>
    </w:p>
    <w:p>
      <w:pPr>
        <w:pStyle w:val="BookText"/>
      </w:pPr>
      <w:r>
        <w:rPr>
          <w:rFonts w:ascii="IRNazanin" w:hAnsi="IRNazanin" w:eastAsia="IRNazanin" w:cs="IRNazanin"/>
          <w:lang w:bidi="fa-IR"/>
          <w:color w:val="111111"/>
          <w:sz w:val="28"/>
          <w:szCs w:val="28"/>
          <w:rtl/>
        </w:rPr>
        <w:t xml:space="preserve">خط: شکسته نستعلیق ،كا: على بن عبد الجواد بن محمد حسن  تربتی، بی  تا: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[رشت و همدان - ف - ۱۵۴۶]</w:t>
      </w:r>
    </w:p>
    <w:p>
      <w:pPr>
        <w:pStyle w:val="BookText"/>
      </w:pPr>
      <w:r>
        <w:rPr>
          <w:rFonts w:ascii="IRNazanin" w:hAnsi="IRNazanin" w:eastAsia="IRNazanin" w:cs="IRNazanin"/>
          <w:lang w:bidi="fa-IR"/>
          <w:color w:val="111111"/>
          <w:sz w:val="28"/>
          <w:szCs w:val="28"/>
          <w:rtl/>
        </w:rPr>
        <w:t xml:space="preserve">«اسرار پاریس » له میستر دپاری</w:t>
      </w:r>
    </w:p>
    <w:p>
      <w:pPr>
        <w:pStyle w:val="BookText"/>
      </w:pPr>
      <w:r>
        <w:rPr>
          <w:rFonts w:ascii="Amiri" w:hAnsi="Amiri" w:eastAsia="Amiri" w:cs="Amiri"/>
          <w:lang w:bidi="ar-SA"/>
          <w:color w:val="111111"/>
          <w:sz w:val="28"/>
          <w:szCs w:val="28"/>
          <w:rtl/>
        </w:rPr>
        <w:t xml:space="preserve">«اسرار التجويد » تجويد القرآن</w:t>
      </w:r>
    </w:p>
    <w:p>
      <w:pPr>
        <w:pStyle w:val="Heading3"/>
      </w:pPr>
      <w:bookmarkStart w:id="1294" w:name="_Toc816"/>
      <w:r>
        <w:t>اسرار ترن آبی رنگ / داستان / فارسی</w:t>
      </w:r>
      <w:bookmarkEnd w:id="1294"/>
    </w:p>
    <w:p>
      <w:pPr>
        <w:pStyle w:val="BookText"/>
      </w:pPr>
      <w:r>
        <w:rPr>
          <w:rFonts w:ascii="Times New Roman" w:hAnsi="Times New Roman" w:eastAsia="Times New Roman" w:cs="Times New Roman"/>
          <w:lang w:val="en-US" w:bidi="en-US"/>
          <w:color w:val="111111"/>
          <w:sz w:val="28"/>
          <w:szCs w:val="28"/>
          <w:rtl/>
        </w:rPr>
        <w:t xml:space="preserve">asrār-e teran-e ābī rang</w:t>
      </w:r>
    </w:p>
    <w:p>
      <w:pPr>
        <w:pStyle w:val="BookText"/>
      </w:pPr>
      <w:r>
        <w:rPr>
          <w:rFonts w:ascii="IRNazanin" w:hAnsi="IRNazanin" w:eastAsia="IRNazanin" w:cs="IRNazanin"/>
          <w:lang w:bidi="fa-IR"/>
          <w:color w:val="111111"/>
          <w:sz w:val="28"/>
          <w:szCs w:val="28"/>
          <w:rtl/>
        </w:rPr>
        <w:t xml:space="preserve">رمانی است در بیان قتلی که در یک ترن اتفاق افتاده و قضای تحقیق درباره آن و مشتمل بر ۳۲ «فصل».</w:t>
      </w:r>
    </w:p>
    <w:p>
      <w:pPr>
        <w:pStyle w:val="BookText"/>
      </w:pPr>
      <w:r>
        <w:rPr>
          <w:rFonts w:ascii="IRNazanin" w:hAnsi="IRNazanin" w:eastAsia="IRNazanin" w:cs="IRNazanin"/>
          <w:lang w:bidi="fa-IR"/>
          <w:color w:val="111111"/>
          <w:sz w:val="28"/>
          <w:szCs w:val="28"/>
          <w:rtl/>
        </w:rPr>
        <w:t xml:space="preserve">یزد؛ کاظمینی؛ شماره نسخه: ۳۰۰</w:t>
      </w:r>
    </w:p>
    <w:p>
      <w:pPr>
        <w:pStyle w:val="BookText"/>
      </w:pPr>
      <w:r>
        <w:rPr>
          <w:rFonts w:ascii="IRNazanin" w:hAnsi="IRNazanin" w:eastAsia="IRNazanin" w:cs="IRNazanin"/>
          <w:lang w:bidi="fa-IR"/>
          <w:color w:val="111111"/>
          <w:sz w:val="28"/>
          <w:szCs w:val="28"/>
          <w:rtl/>
        </w:rPr>
        <w:t xml:space="preserve">آغاز: فصل اول: مرد سفید موی نزدیک به نصف شب بود که یک نفر از پلاس دولا کانکرد عبور کرد؛ انجام: یعنی اگر شما شخصی را تهدید کنید که اگر موضوعی را به شما اظهار نکند  او را</w:t>
      </w:r>
    </w:p>
    <w:p>
      <w:pPr>
        <w:pStyle w:val="BookText"/>
      </w:pPr>
      <w:r>
        <w:rPr>
          <w:rFonts w:ascii="IRNazanin" w:hAnsi="IRNazanin" w:eastAsia="IRNazanin" w:cs="IRNazanin"/>
          <w:lang w:bidi="fa-IR"/>
          <w:color w:val="111111"/>
          <w:sz w:val="28"/>
          <w:szCs w:val="28"/>
          <w:rtl/>
        </w:rPr>
        <w:t xml:space="preserve">خط: نستعلیق، بی کا، تا: قرن ۱۴؛ افتادگی: انجام؛ ظاهراً به خط مترجم؛ جلد: گالینگور قهوه ای عطف تیماج کرمی، ۳۰۰گ، 12سطر،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۲ - ۲۴]</w:t>
      </w:r>
    </w:p>
    <w:p>
      <w:pPr>
        <w:pStyle w:val="Heading3"/>
      </w:pPr>
      <w:bookmarkStart w:id="1295" w:name="_Toc817"/>
      <w:r>
        <w:t>اسرار التصوف و خواص الحروف / عرفان و تصوف /  فارسی</w:t>
      </w:r>
      <w:bookmarkEnd w:id="1295"/>
    </w:p>
    <w:p>
      <w:pPr>
        <w:pStyle w:val="BookText"/>
      </w:pPr>
      <w:r>
        <w:rPr>
          <w:rFonts w:ascii="Times New Roman" w:hAnsi="Times New Roman" w:eastAsia="Times New Roman" w:cs="Times New Roman"/>
          <w:lang w:val="en-US" w:bidi="en-US"/>
          <w:color w:val="111111"/>
          <w:sz w:val="28"/>
          <w:szCs w:val="28"/>
          <w:rtl/>
        </w:rPr>
        <w:t xml:space="preserve">asrar-ot-tasavvof va xavass-ol-horuf</w:t>
      </w:r>
    </w:p>
    <w:p>
      <w:pPr>
        <w:pStyle w:val="BookText"/>
      </w:pPr>
      <w:r>
        <w:rPr>
          <w:rFonts w:ascii="IRNazanin" w:hAnsi="IRNazanin" w:eastAsia="IRNazanin" w:cs="IRNazanin"/>
          <w:lang w:bidi="fa-IR"/>
          <w:color w:val="111111"/>
          <w:sz w:val="28"/>
          <w:szCs w:val="28"/>
          <w:rtl/>
        </w:rPr>
        <w:t xml:space="preserve">؟ نسفی، عزیز الدین بن محمد، ق ۷ قمری</w:t>
      </w:r>
    </w:p>
    <w:p>
      <w:pPr>
        <w:pStyle w:val="BookText"/>
      </w:pPr>
      <w:r>
        <w:rPr>
          <w:rFonts w:ascii="Times New Roman" w:hAnsi="Times New Roman" w:eastAsia="Times New Roman" w:cs="Times New Roman"/>
          <w:lang w:val="en-US" w:bidi="en-US"/>
          <w:color w:val="111111"/>
          <w:sz w:val="28"/>
          <w:szCs w:val="28"/>
          <w:rtl/>
        </w:rPr>
        <w:t xml:space="preserve">(nasafī, ‘azīz-od-dīn ebn-e mohammad (- 13c)</w:t>
      </w:r>
    </w:p>
    <w:p>
      <w:pPr>
        <w:pStyle w:val="BookText"/>
      </w:pPr>
      <w:r>
        <w:rPr>
          <w:rFonts w:ascii="IRNazanin" w:hAnsi="IRNazanin" w:eastAsia="IRNazanin" w:cs="IRNazanin"/>
          <w:lang w:bidi="fa-IR"/>
          <w:color w:val="111111"/>
          <w:sz w:val="28"/>
          <w:szCs w:val="28"/>
          <w:rtl/>
        </w:rPr>
        <w:t xml:space="preserve">در یک «مقدمه» و دو «اصل» و «خاتمه».</w:t>
      </w:r>
    </w:p>
    <w:p>
      <w:pPr>
        <w:pStyle w:val="BookText"/>
      </w:pPr>
      <w:r>
        <w:rPr>
          <w:rFonts w:ascii="IRNazanin" w:hAnsi="IRNazanin" w:eastAsia="IRNazanin" w:cs="IRNazanin"/>
          <w:lang w:bidi="fa-IR"/>
          <w:color w:val="111111"/>
          <w:sz w:val="28"/>
          <w:szCs w:val="28"/>
          <w:rtl/>
        </w:rPr>
        <w:t xml:space="preserve">[فهرستواره منزوی (۶۱/۷]</w:t>
      </w:r>
    </w:p>
    <w:p>
      <w:pPr>
        <w:pStyle w:val="BookText"/>
      </w:pPr>
      <w:r>
        <w:rPr>
          <w:rFonts w:ascii="IRNazanin" w:hAnsi="IRNazanin" w:eastAsia="IRNazanin" w:cs="IRNazanin"/>
          <w:lang w:bidi="fa-IR"/>
          <w:color w:val="111111"/>
          <w:sz w:val="28"/>
          <w:szCs w:val="28"/>
          <w:rtl/>
        </w:rPr>
        <w:t xml:space="preserve">تهران؛ دانشگاه؛ شماره نسخه: ۴۴۲/۱۸ف</w:t>
      </w:r>
    </w:p>
    <w:p>
      <w:pPr>
        <w:pStyle w:val="BookText"/>
      </w:pPr>
      <w:r>
        <w:rPr>
          <w:rFonts w:ascii="IRNazanin" w:hAnsi="IRNazanin" w:eastAsia="IRNazanin" w:cs="IRNazanin"/>
          <w:lang w:bidi="fa-IR"/>
          <w:color w:val="111111"/>
          <w:sz w:val="28"/>
          <w:szCs w:val="28"/>
          <w:rtl/>
        </w:rPr>
        <w:t xml:space="preserve">نسخه اصل: بایزید ولی الدین ش۱۸۲۵؛ خط: نسخ، بی کا، تا: جمادی الاول، ۸۵۱ق؛ ۸گ (۲۷۷-۲۸۴)، ۱۹ سطر [ فیلم ها-ف: ۱- ۴۷۸]</w:t>
      </w:r>
    </w:p>
    <w:p>
      <w:pPr>
        <w:pStyle w:val="Heading3"/>
      </w:pPr>
      <w:bookmarkStart w:id="1296" w:name="_Toc818"/>
      <w:r>
        <w:t>اسرار تلگراف بی سیم / صنعت / فارسی</w:t>
      </w:r>
      <w:bookmarkEnd w:id="1296"/>
    </w:p>
    <w:p>
      <w:pPr>
        <w:pStyle w:val="BookText"/>
      </w:pPr>
      <w:r>
        <w:rPr>
          <w:rFonts w:ascii="Times New Roman" w:hAnsi="Times New Roman" w:eastAsia="Times New Roman" w:cs="Times New Roman"/>
          <w:lang w:val="en-US" w:bidi="en-US"/>
          <w:color w:val="111111"/>
          <w:sz w:val="28"/>
          <w:szCs w:val="28"/>
          <w:rtl/>
        </w:rPr>
        <w:t xml:space="preserve">asrar-e telegraf-e bi sim</w:t>
      </w:r>
    </w:p>
    <w:p>
      <w:pPr>
        <w:pStyle w:val="BookText"/>
      </w:pPr>
      <w:r>
        <w:rPr>
          <w:rFonts w:ascii="IRNazanin" w:hAnsi="IRNazanin" w:eastAsia="IRNazanin" w:cs="IRNazanin"/>
          <w:lang w:bidi="fa-IR"/>
          <w:color w:val="111111"/>
          <w:sz w:val="28"/>
          <w:szCs w:val="28"/>
          <w:rtl/>
        </w:rPr>
        <w:t xml:space="preserve">مترجم،عماد الملک احمد خان، ق۱۴ قمری</w:t>
      </w:r>
    </w:p>
    <w:p>
      <w:pPr>
        <w:pStyle w:val="BookText"/>
      </w:pPr>
      <w:r>
        <w:rPr>
          <w:rFonts w:ascii="Times New Roman" w:hAnsi="Times New Roman" w:eastAsia="Times New Roman" w:cs="Times New Roman"/>
          <w:lang w:val="en-US" w:bidi="en-US"/>
          <w:color w:val="111111"/>
          <w:sz w:val="28"/>
          <w:szCs w:val="28"/>
          <w:rtl/>
        </w:rPr>
        <w:t xml:space="preserve">(emād-ol-molk, ahmad xān (20c)</w:t>
      </w:r>
    </w:p>
    <w:p>
      <w:pPr>
        <w:pStyle w:val="BookText"/>
      </w:pPr>
      <w:r>
        <w:rPr>
          <w:rFonts w:ascii="IRNazanin" w:hAnsi="IRNazanin" w:eastAsia="IRNazanin" w:cs="IRNazanin"/>
          <w:lang w:bidi="fa-IR"/>
          <w:color w:val="111111"/>
          <w:sz w:val="28"/>
          <w:szCs w:val="28"/>
          <w:rtl/>
        </w:rPr>
        <w:t xml:space="preserve">سال ترجمه : ۱۳۳۵ق</w:t>
      </w:r>
    </w:p>
    <w:p>
      <w:pPr>
        <w:pStyle w:val="BookText"/>
      </w:pPr>
      <w:r>
        <w:rPr>
          <w:rFonts w:ascii="IRNazanin" w:hAnsi="IRNazanin" w:eastAsia="IRNazanin" w:cs="IRNazanin"/>
          <w:lang w:bidi="fa-IR"/>
          <w:color w:val="111111"/>
          <w:sz w:val="28"/>
          <w:szCs w:val="28"/>
          <w:rtl/>
        </w:rPr>
        <w:t xml:space="preserve">مترجم  ، که رئیس دارالترجمه وزرات معارف ،بوده این کتاب را  از متن فرانسوی به فارسی برگردانده است.موضوع آن تلگراف بی سیم است و در آن از مرکز فرستنده و گیرنده و سایر وسائط ارتباطی این دستگاه مطابق معلومات آن روزگار بحث می شود.</w:t>
      </w:r>
    </w:p>
    <w:p>
      <w:pPr>
        <w:pStyle w:val="BookText"/>
      </w:pPr>
      <w:r>
        <w:rPr>
          <w:rFonts w:ascii="IRNazanin" w:hAnsi="IRNazanin" w:eastAsia="IRNazanin" w:cs="IRNazanin"/>
          <w:lang w:bidi="fa-IR"/>
          <w:color w:val="111111"/>
          <w:sz w:val="28"/>
          <w:szCs w:val="28"/>
          <w:rtl/>
        </w:rPr>
        <w:t xml:space="preserve">تهران؛ ملی؛ شماره نسخه: ۱۱۰۱</w:t>
      </w:r>
    </w:p>
    <w:p>
      <w:pPr>
        <w:pStyle w:val="BookText"/>
      </w:pPr>
      <w:r>
        <w:rPr>
          <w:rFonts w:ascii="IRNazanin" w:hAnsi="IRNazanin" w:eastAsia="IRNazanin" w:cs="IRNazanin"/>
          <w:lang w:bidi="fa-IR"/>
          <w:color w:val="111111"/>
          <w:sz w:val="28"/>
          <w:szCs w:val="28"/>
          <w:rtl/>
        </w:rPr>
        <w:t xml:space="preserve">آغاز: تلگراف بیسیم فصل اول اسرار تلگراف بی سیم: ۱- واسطه حیرت انگیز طبیعت. کلمه تلگراف بی سیم عموماً استعمال می شود و در مقابل تلگراف معمولی؛ انجام: با کمال اطمینان می توان منتظر شد که تا چند سال دیگر عجایب بزرگی از این صنعت دیده خواهد شد (پایان نسخه) بیداقل الناس غلام رضای تفرشی محرر اداره دارالترجمه و دارالتأليف بتاريخ ۱۲ شهر جمادى الأولى سنه ۱۳۳۵ .</w:t>
      </w:r>
    </w:p>
    <w:p>
      <w:pPr>
        <w:pStyle w:val="BookText"/>
      </w:pPr>
      <w:r>
        <w:rPr>
          <w:rFonts w:ascii="IRNazanin" w:hAnsi="IRNazanin" w:eastAsia="IRNazanin" w:cs="IRNazanin"/>
          <w:lang w:bidi="fa-IR"/>
          <w:color w:val="111111"/>
          <w:sz w:val="28"/>
          <w:szCs w:val="28"/>
          <w:rtl/>
        </w:rPr>
        <w:t xml:space="preserve">خط: نستعلیق، کا: غلامرضا تفرشی، تا: ۱۲ جمادی الاول۱۳۳۵ق، جا: طهران؛ كاغذ ،فرنگی ،جلد: تیماج قرمز مقوایی عطف و گوشه پارچه  مشکی، ۴۲گ، ۱۴ سطر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۳ - ۱۲۰]</w:t>
      </w:r>
    </w:p>
    <w:p>
      <w:pPr>
        <w:pStyle w:val="BookText"/>
      </w:pPr>
      <w:r>
        <w:rPr>
          <w:rFonts w:ascii="Amiri" w:hAnsi="Amiri" w:eastAsia="Amiri" w:cs="Amiri"/>
          <w:lang w:bidi="ar-SA"/>
          <w:color w:val="111111"/>
          <w:sz w:val="28"/>
          <w:szCs w:val="28"/>
          <w:rtl/>
        </w:rPr>
        <w:t xml:space="preserve">«اسرار التنزيل » الدر النظيم في خواص القرآن العظيم  (ترجمه)</w:t>
      </w:r>
    </w:p>
    <w:p>
      <w:pPr>
        <w:pStyle w:val="BookText"/>
      </w:pPr>
      <w:r>
        <w:rPr>
          <w:rFonts w:ascii="IRNazanin" w:hAnsi="IRNazanin" w:eastAsia="IRNazanin" w:cs="IRNazanin"/>
          <w:lang w:bidi="fa-IR"/>
          <w:color w:val="111111"/>
          <w:sz w:val="28"/>
          <w:szCs w:val="28"/>
          <w:rtl/>
        </w:rPr>
        <w:t xml:space="preserve">«اسرار التنزيل (ترجمه) » لطائف غیاثی</w:t>
      </w:r>
    </w:p>
    <w:p>
      <w:pPr>
        <w:pStyle w:val="Heading3"/>
      </w:pPr>
      <w:bookmarkStart w:id="1297" w:name="_Toc819"/>
      <w:r>
        <w:t>اسرار التنزیل و انوار التأویل / چند دانشی / عربی</w:t>
      </w:r>
      <w:bookmarkEnd w:id="1297"/>
    </w:p>
    <w:p>
      <w:pPr>
        <w:pStyle w:val="BookText"/>
      </w:pPr>
      <w:r>
        <w:rPr>
          <w:rFonts w:ascii="Times New Roman" w:hAnsi="Times New Roman" w:eastAsia="Times New Roman" w:cs="Times New Roman"/>
          <w:lang w:val="en-US" w:bidi="en-US"/>
          <w:color w:val="111111"/>
          <w:sz w:val="28"/>
          <w:szCs w:val="28"/>
          <w:rtl/>
        </w:rPr>
        <w:t xml:space="preserve">asrār-ut tanzīl wa anwar-ut ta'wīl</w:t>
      </w:r>
    </w:p>
    <w:p>
      <w:pPr>
        <w:pStyle w:val="BookText"/>
      </w:pPr>
      <w:r>
        <w:rPr>
          <w:rFonts w:ascii="IRNazanin" w:hAnsi="IRNazanin" w:eastAsia="IRNazanin" w:cs="IRNazanin"/>
          <w:lang w:bidi="fa-IR"/>
          <w:color w:val="111111"/>
          <w:sz w:val="28"/>
          <w:szCs w:val="28"/>
          <w:rtl/>
        </w:rPr>
        <w:t xml:space="preserve">فخر  رازی، محمد بن  عمر، ۵۴۴؟ - ۶۰۶ قمری</w:t>
      </w:r>
    </w:p>
    <w:p>
      <w:pPr>
        <w:pStyle w:val="BookText"/>
      </w:pPr>
      <w:r>
        <w:rPr>
          <w:rFonts w:ascii="Times New Roman" w:hAnsi="Times New Roman" w:eastAsia="Times New Roman" w:cs="Times New Roman"/>
          <w:lang w:val="en-US" w:bidi="en-US"/>
          <w:color w:val="111111"/>
          <w:sz w:val="28"/>
          <w:szCs w:val="28"/>
          <w:rtl/>
        </w:rPr>
        <w:t xml:space="preserve">(faxr-e rāzī, mohammad ebn-e 'omar (1150 - 1210)</w:t>
      </w:r>
    </w:p>
    <w:p>
      <w:pPr>
        <w:pStyle w:val="BookText"/>
      </w:pPr>
      <w:r>
        <w:rPr>
          <w:rFonts w:ascii="IRNazanin" w:hAnsi="IRNazanin" w:eastAsia="IRNazanin" w:cs="IRNazanin"/>
          <w:lang w:bidi="fa-IR"/>
          <w:color w:val="111111"/>
          <w:sz w:val="28"/>
          <w:szCs w:val="28"/>
          <w:rtl/>
        </w:rPr>
        <w:t xml:space="preserve">این کتاب تفسیر صغیر هم نامیده می شود و دارای چهار «مبحث»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25" w:name="pg20365_260328"/>
    <w:bookmarkEnd w:id="225"/>
    <w:p>
      <w:pPr>
        <w:pStyle w:val="BookText"/>
      </w:pPr>
      <w:r>
        <w:rPr>
          <w:rFonts w:ascii="IRNazanin" w:hAnsi="IRNazanin" w:eastAsia="IRNazanin" w:cs="IRNazanin"/>
          <w:lang w:bidi="fa-IR"/>
          <w:color w:val="111111"/>
          <w:sz w:val="28"/>
          <w:szCs w:val="28"/>
          <w:rtl/>
        </w:rPr>
        <w:t xml:space="preserve">است: ۱. الاصول؛ ۲. الفروع؛ ٣. الاخلاق و المناجاة . الدعوات. ولى قبل از اتمام آن فوت کرد و در اواخر قسم اول متوقف شد فارسی آن همان «الطائف غیاثیه» است که به نام   «اسرار التنزیل و فوائد غیاثیه» به چاپ رسیده است</w:t>
      </w:r>
    </w:p>
    <w:p>
      <w:pPr>
        <w:pStyle w:val="BookText"/>
      </w:pPr>
      <w:r>
        <w:rPr>
          <w:rFonts w:ascii="IRNazanin" w:hAnsi="IRNazanin" w:eastAsia="IRNazanin" w:cs="IRNazanin"/>
          <w:lang w:bidi="fa-IR"/>
          <w:color w:val="111111"/>
          <w:sz w:val="28"/>
          <w:szCs w:val="28"/>
          <w:rtl/>
        </w:rPr>
        <w:t xml:space="preserve">آغاز: بسمله، الحمد لله الذي اظهر من آثار سلطانه و جلال کبریائه  ما حيره مقل العقول من عجائب قدرته</w:t>
      </w:r>
    </w:p>
    <w:p>
      <w:pPr>
        <w:pStyle w:val="BookText"/>
      </w:pPr>
      <w:r>
        <w:rPr>
          <w:rFonts w:ascii="IRNazanin" w:hAnsi="IRNazanin" w:eastAsia="IRNazanin" w:cs="IRNazanin"/>
          <w:lang w:bidi="fa-IR"/>
          <w:color w:val="111111"/>
          <w:sz w:val="28"/>
          <w:szCs w:val="28"/>
          <w:rtl/>
        </w:rPr>
        <w:t xml:space="preserve">انجام: فینبغى ان تكن خايفا منى منقاداً لحكمى و الا كسرت رقبتك فى محل القهر و الله اعلم بالصواب تم.</w:t>
      </w:r>
    </w:p>
    <w:p>
      <w:pPr>
        <w:pStyle w:val="BookText"/>
      </w:pPr>
      <w:r>
        <w:rPr>
          <w:rFonts w:ascii="IRNazanin" w:hAnsi="IRNazanin" w:eastAsia="IRNazanin" w:cs="IRNazanin"/>
          <w:lang w:bidi="fa-IR"/>
          <w:color w:val="111111"/>
          <w:sz w:val="28"/>
          <w:szCs w:val="28"/>
          <w:rtl/>
        </w:rPr>
        <w:t xml:space="preserve">چاپ: تهران؛ سنگی؛ ۱۳۰۱ ق؛ وزیری؛ ۱۷۰ص  [كشف الظنون (۸۳/۱]</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IRNazanin" w:hAnsi="IRNazanin" w:eastAsia="IRNazanin" w:cs="IRNazanin"/>
          <w:lang w:bidi="fa-IR"/>
          <w:color w:val="111111"/>
          <w:sz w:val="28"/>
          <w:szCs w:val="28"/>
          <w:rtl/>
        </w:rPr>
        <w:t xml:space="preserve">١- لطائف غیاثی - ترجمه اسرار التنزيل</w:t>
      </w:r>
    </w:p>
    <w:p>
      <w:pPr>
        <w:pStyle w:val="BookText"/>
      </w:pPr>
      <w:r>
        <w:rPr>
          <w:rFonts w:ascii="IRNazanin" w:hAnsi="IRNazanin" w:eastAsia="IRNazanin" w:cs="IRNazanin"/>
          <w:lang w:bidi="fa-IR"/>
          <w:color w:val="111111"/>
          <w:sz w:val="28"/>
          <w:szCs w:val="28"/>
          <w:rtl/>
        </w:rPr>
        <w:t xml:space="preserve">۱. تهران؛ ملک؛ شماره نسخه: ۱۲۶۷</w:t>
      </w:r>
    </w:p>
    <w:p>
      <w:pPr>
        <w:pStyle w:val="BookText"/>
      </w:pPr>
      <w:r>
        <w:rPr>
          <w:rFonts w:ascii="Amiri" w:hAnsi="Amiri" w:eastAsia="Amiri" w:cs="Amiri"/>
          <w:lang w:bidi="ar-SA"/>
          <w:color w:val="111111"/>
          <w:sz w:val="28"/>
          <w:szCs w:val="28"/>
          <w:rtl/>
        </w:rPr>
        <w:t xml:space="preserve">آغاز: برابر؛ انجام: و الله اعلم بحقايق الاشياء و الحمد لله رب العالمين ... اجمعين.</w:t>
      </w:r>
    </w:p>
    <w:p>
      <w:pPr>
        <w:pStyle w:val="BookText"/>
      </w:pPr>
      <w:r>
        <w:rPr>
          <w:rFonts w:ascii="IRNazanin" w:hAnsi="IRNazanin" w:eastAsia="IRNazanin" w:cs="IRNazanin"/>
          <w:lang w:bidi="fa-IR"/>
          <w:color w:val="111111"/>
          <w:sz w:val="28"/>
          <w:szCs w:val="28"/>
          <w:rtl/>
        </w:rPr>
        <w:t xml:space="preserve">خط: نسخ، کا: علی بن ابی سعد بن (؟)، تا: جمادی الثانی 737ق ؛ مقابله شده؛ کاغذ: دولت آبادی ،جلد: رویه ابری فرنگـی، ۳۱۶گ، ۲۰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۲۲/۸سم [ف: ۱ - ۳۲]</w:t>
      </w:r>
    </w:p>
    <w:p>
      <w:pPr>
        <w:pStyle w:val="BookText"/>
      </w:pPr>
      <w:r>
        <w:rPr>
          <w:rFonts w:ascii="IRNazanin" w:hAnsi="IRNazanin" w:eastAsia="IRNazanin" w:cs="IRNazanin"/>
          <w:lang w:bidi="fa-IR"/>
          <w:color w:val="111111"/>
          <w:sz w:val="28"/>
          <w:szCs w:val="28"/>
          <w:rtl/>
        </w:rPr>
        <w:t xml:space="preserve">۲. قزوین؛ میر حسینا قزوینی؛ شماره نسخه: ۸۶</w:t>
      </w:r>
    </w:p>
    <w:p>
      <w:pPr>
        <w:pStyle w:val="BookText"/>
      </w:pPr>
      <w:r>
        <w:rPr>
          <w:rFonts w:ascii="IRNazanin" w:hAnsi="IRNazanin" w:eastAsia="IRNazanin" w:cs="IRNazanin"/>
          <w:lang w:bidi="fa-IR"/>
          <w:color w:val="111111"/>
          <w:sz w:val="28"/>
          <w:szCs w:val="28"/>
          <w:rtl/>
        </w:rPr>
        <w:t xml:space="preserve">خط: نسخ، بی کا، تا: قرن ۱۰ ؛قطع: ربعی [نشریه: ۶ - ۳۳۷]</w:t>
      </w:r>
    </w:p>
    <w:p>
      <w:pPr>
        <w:pStyle w:val="BookText"/>
      </w:pPr>
      <w:r>
        <w:rPr>
          <w:rFonts w:ascii="IRNazanin" w:hAnsi="IRNazanin" w:eastAsia="IRNazanin" w:cs="IRNazanin"/>
          <w:lang w:bidi="fa-IR"/>
          <w:color w:val="111111"/>
          <w:sz w:val="28"/>
          <w:szCs w:val="28"/>
          <w:rtl/>
        </w:rPr>
        <w:t xml:space="preserve">۳. تهران؛ مینوی؛ شماره نسخه: ۱۸</w:t>
      </w:r>
    </w:p>
    <w:p>
      <w:pPr>
        <w:pStyle w:val="BookText"/>
      </w:pPr>
      <w:r>
        <w:rPr>
          <w:rFonts w:ascii="IRNazanin" w:hAnsi="IRNazanin" w:eastAsia="IRNazanin" w:cs="IRNazanin"/>
          <w:lang w:bidi="fa-IR"/>
          <w:color w:val="111111"/>
          <w:sz w:val="28"/>
          <w:szCs w:val="28"/>
          <w:rtl/>
        </w:rPr>
        <w:t xml:space="preserve">خط: نستعلیق، بی کا، تا: قرن ۱۱؛ افتادگی: انجام؛ مجدول، با سرلوح،  سه برگ آغاز ساختگی و کس دیگری آن را نوشته  و با تغییر رابطه و دو کلمه آغاز نخستین صفحه اصل آن را به  این مقدمه پیوند داده است؛ قطع: ربعی [ نشریه: ۶ - ۶۵۸]</w:t>
      </w:r>
    </w:p>
    <w:p>
      <w:pPr>
        <w:pStyle w:val="BookText"/>
      </w:pPr>
      <w:r>
        <w:rPr>
          <w:rFonts w:ascii="IRNazanin" w:hAnsi="IRNazanin" w:eastAsia="IRNazanin" w:cs="IRNazanin"/>
          <w:lang w:bidi="fa-IR"/>
          <w:color w:val="111111"/>
          <w:sz w:val="28"/>
          <w:szCs w:val="28"/>
          <w:rtl/>
        </w:rPr>
        <w:t xml:space="preserve">۴. قم ؛گلپایگانی؛ شماره نسخه: ۵۱۵۶-۲۶/۳۶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محمود بن هدایت الله، تا: پنج شنبه ۹ رمضـان ۱۰۱۴ق، جلد: تیماج سرخ، ۱۱۵گ، ۲۹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  [ف: ۱ - ۳۴۰]</w:t>
      </w:r>
    </w:p>
    <w:p>
      <w:pPr>
        <w:pStyle w:val="Heading3"/>
      </w:pPr>
      <w:bookmarkStart w:id="1298" w:name="_Toc820"/>
      <w:r>
        <w:t>اسرار التوحید = بیان توحید / عرفان و تصوف / فارسی</w:t>
      </w:r>
      <w:bookmarkEnd w:id="1298"/>
    </w:p>
    <w:p>
      <w:pPr>
        <w:pStyle w:val="BookText"/>
      </w:pPr>
      <w:r>
        <w:rPr>
          <w:rFonts w:ascii="Times New Roman" w:hAnsi="Times New Roman" w:eastAsia="Times New Roman" w:cs="Times New Roman"/>
          <w:lang w:val="en-US" w:bidi="en-US"/>
          <w:color w:val="111111"/>
          <w:sz w:val="28"/>
          <w:szCs w:val="28"/>
          <w:rtl/>
        </w:rPr>
        <w:t xml:space="preserve">asrār-ut tawḥīd</w:t>
      </w:r>
    </w:p>
    <w:p>
      <w:pPr>
        <w:pStyle w:val="BookText"/>
      </w:pPr>
      <w:r>
        <w:rPr>
          <w:rFonts w:ascii="IRNazanin" w:hAnsi="IRNazanin" w:eastAsia="IRNazanin" w:cs="IRNazanin"/>
          <w:lang w:bidi="fa-IR"/>
          <w:color w:val="111111"/>
          <w:sz w:val="28"/>
          <w:szCs w:val="28"/>
          <w:rtl/>
        </w:rPr>
        <w:t xml:space="preserve">نسفی، عزیزالدین بن محمد، ق ۷ قمری</w:t>
      </w:r>
    </w:p>
    <w:p>
      <w:pPr>
        <w:pStyle w:val="BookText"/>
      </w:pPr>
      <w:r>
        <w:rPr>
          <w:rFonts w:ascii="Times New Roman" w:hAnsi="Times New Roman" w:eastAsia="Times New Roman" w:cs="Times New Roman"/>
          <w:lang w:val="en-US" w:bidi="en-US"/>
          <w:color w:val="111111"/>
          <w:sz w:val="28"/>
          <w:szCs w:val="28"/>
          <w:rtl/>
        </w:rPr>
        <w:t xml:space="preserve">(nasafī, ‘azīz-od-dīn ebn-e mohammad (- 13c)</w:t>
      </w:r>
    </w:p>
    <w:p>
      <w:pPr>
        <w:pStyle w:val="BookText"/>
      </w:pPr>
      <w:r>
        <w:rPr>
          <w:rFonts w:ascii="IRNazanin" w:hAnsi="IRNazanin" w:eastAsia="IRNazanin" w:cs="IRNazanin"/>
          <w:lang w:bidi="fa-IR"/>
          <w:color w:val="111111"/>
          <w:sz w:val="28"/>
          <w:szCs w:val="28"/>
          <w:rtl/>
        </w:rPr>
        <w:t xml:space="preserve">محل تالیف: ابرقو</w:t>
      </w:r>
    </w:p>
    <w:p>
      <w:pPr>
        <w:pStyle w:val="BookText"/>
      </w:pPr>
      <w:r>
        <w:rPr>
          <w:rFonts w:ascii="IRNazanin" w:hAnsi="IRNazanin" w:eastAsia="IRNazanin" w:cs="IRNazanin"/>
          <w:lang w:bidi="fa-IR"/>
          <w:color w:val="111111"/>
          <w:sz w:val="28"/>
          <w:szCs w:val="28"/>
          <w:rtl/>
        </w:rPr>
        <w:t xml:space="preserve">در حقیقت توحید و اتحاد و وحدت و بحث درباره معنی وجود، با عناوین «ای درویش» نوشته شده  است. این رساله در ۵«فصـل»است .۱ بیان واجب الوجود .۲ بیان اهل تقلید و این طایفه عوام گویند؛ ۳. بیان اعتقاد اهل استدلال و این طایفه را خواص می گویند؛ ۴. بیان اعتقاد اهل کشف و این طایفه را خانه الخاص گویند؛ ۵. بیان یک طایفه دیگر از اهل  وحدت. در پایان فصلی درباره معاد دارد. رساله های موجود از این رساله در نام و برخی مطالب همانند نیست.</w:t>
      </w:r>
    </w:p>
    <w:p>
      <w:pPr>
        <w:pStyle w:val="BookText"/>
      </w:pPr>
      <w:r>
        <w:rPr>
          <w:rFonts w:ascii="IRNazanin" w:hAnsi="IRNazanin" w:eastAsia="IRNazanin" w:cs="IRNazanin"/>
          <w:lang w:bidi="fa-IR"/>
          <w:color w:val="111111"/>
          <w:sz w:val="28"/>
          <w:szCs w:val="28"/>
          <w:rtl/>
        </w:rPr>
        <w:t xml:space="preserve">آغاز: بسمله. اما بعد چنین گوید ... عزيز بن محمد النسفی که جماعت درویشان ... از این بیچاره درخواست کردند که می باید در توحید رساله ای جمع کنید و بیان کنید که کفر و توحید و  اتحاد و وحدت چیست</w:t>
      </w:r>
    </w:p>
    <w:p>
      <w:pPr>
        <w:pStyle w:val="BookText"/>
      </w:pPr>
      <w:r>
        <w:rPr>
          <w:rFonts w:ascii="IRNazanin" w:hAnsi="IRNazanin" w:eastAsia="IRNazanin" w:cs="IRNazanin"/>
          <w:lang w:bidi="fa-IR"/>
          <w:color w:val="111111"/>
          <w:sz w:val="28"/>
          <w:szCs w:val="28"/>
          <w:rtl/>
        </w:rPr>
        <w:t xml:space="preserve">انجام: این چنین موجود می نماید و به حقیقت وجود ندارد الا وجود خیالی و عکسی و ظلی، الحمد لله رب العالمين</w:t>
      </w:r>
    </w:p>
    <w:p>
      <w:pPr>
        <w:pStyle w:val="BookText"/>
      </w:pPr>
      <w:r>
        <w:rPr>
          <w:rFonts w:ascii="IRNazanin" w:hAnsi="IRNazanin" w:eastAsia="IRNazanin" w:cs="IRNazanin"/>
          <w:lang w:bidi="fa-IR"/>
          <w:color w:val="111111"/>
          <w:sz w:val="28"/>
          <w:szCs w:val="28"/>
          <w:rtl/>
        </w:rPr>
        <w:t xml:space="preserve">چاپ: با تصحیح و مقدمه ماریژان ،موله تهران انتشارات طهوری، چاپ دهم، ۱۳۸۹ش</w:t>
      </w:r>
    </w:p>
    <w:p>
      <w:pPr>
        <w:pStyle w:val="BookText"/>
      </w:pPr>
      <w:r>
        <w:rPr>
          <w:rFonts w:ascii="IRNazanin" w:hAnsi="IRNazanin" w:eastAsia="IRNazanin" w:cs="IRNazanin"/>
          <w:lang w:bidi="fa-IR"/>
          <w:color w:val="111111"/>
          <w:sz w:val="28"/>
          <w:szCs w:val="28"/>
          <w:rtl/>
        </w:rPr>
        <w:t xml:space="preserve">[نسخه های منزوی ۱۰۲۷:۲ فهرستواره منزوی ۲۶۱/۷ نسخه)، ۲۴۳/۷ با نام  «توحید و اتحاد»]</w:t>
      </w:r>
    </w:p>
    <w:p>
      <w:pPr>
        <w:pStyle w:val="BookText"/>
      </w:pPr>
      <w:r>
        <w:rPr>
          <w:rFonts w:ascii="IRNazanin" w:hAnsi="IRNazanin" w:eastAsia="IRNazanin" w:cs="IRNazanin"/>
          <w:lang w:bidi="fa-IR"/>
          <w:color w:val="111111"/>
          <w:sz w:val="28"/>
          <w:szCs w:val="28"/>
          <w:rtl/>
        </w:rPr>
        <w:t xml:space="preserve">۱. تهران؛ ملی؛ شماره نسخه: ۱۹۱۱۸/۱</w:t>
      </w:r>
    </w:p>
    <w:p>
      <w:pPr>
        <w:pStyle w:val="BookText"/>
      </w:pPr>
      <w:r>
        <w:rPr>
          <w:rFonts w:ascii="IRNazanin" w:hAnsi="IRNazanin" w:eastAsia="IRNazanin" w:cs="IRNazanin"/>
          <w:lang w:bidi="fa-IR"/>
          <w:color w:val="111111"/>
          <w:sz w:val="28"/>
          <w:szCs w:val="28"/>
          <w:rtl/>
        </w:rPr>
        <w:t xml:space="preserve">کا: درویش، تا: ۹۰۹ ق؛ انتقالی از کتابخانه پهلوی-مجموعه  نوازی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۱۷/۴سم [رایانه]</w:t>
      </w:r>
    </w:p>
    <w:p>
      <w:pPr>
        <w:pStyle w:val="BookText"/>
      </w:pPr>
      <w:r>
        <w:rPr>
          <w:rFonts w:ascii="IRNazanin" w:hAnsi="IRNazanin" w:eastAsia="IRNazanin" w:cs="IRNazanin"/>
          <w:lang w:bidi="fa-IR"/>
          <w:color w:val="111111"/>
          <w:sz w:val="28"/>
          <w:szCs w:val="28"/>
          <w:rtl/>
        </w:rPr>
        <w:t xml:space="preserve">۲. قم ؛مرکز احیاء؛ شماره نسخه: ۱۷۶۰/۱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خوش، بی کا، تا: قرن ۱۱؛ جلد: مقوایی ۷گ (1ر  - 7پ) ، ۱۳سطر، 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۱۹/۵سم [ف: ۵ - ۱۶۶]</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ملک؛ شماره نسخه: ۴۰۴۵/۶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۱۰۷۵ق؛ نام کتاب و نگارنده در دیباچه آمده است؛ کاغذ: آهار مهره فرنگی ،جلد: رویه میشن سیاه، ۶گ (۸۷پ-۸۲پ)، ۱۸ سطر، اندازه: ۱۵/۷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۲۲/۲سم [ف: ۷ - ۱۶۷]</w:t>
      </w:r>
    </w:p>
    <w:p>
      <w:pPr>
        <w:pStyle w:val="BookText"/>
      </w:pPr>
      <w:r>
        <w:rPr>
          <w:rFonts w:ascii="IRNazanin" w:hAnsi="IRNazanin" w:eastAsia="IRNazanin" w:cs="IRNazanin"/>
          <w:lang w:bidi="fa-IR"/>
          <w:color w:val="111111"/>
          <w:sz w:val="28"/>
          <w:szCs w:val="28"/>
          <w:rtl/>
        </w:rPr>
        <w:t xml:space="preserve">۴. تهران؛ سپهسالار؛ شماره نسخه: ۱۳۱۶/۹</w:t>
      </w:r>
    </w:p>
    <w:p>
      <w:pPr>
        <w:pStyle w:val="BookText"/>
      </w:pPr>
      <w:r>
        <w:rPr>
          <w:rFonts w:ascii="IRNazanin" w:hAnsi="IRNazanin" w:eastAsia="IRNazanin" w:cs="IRNazanin"/>
          <w:lang w:bidi="fa-IR"/>
          <w:color w:val="111111"/>
          <w:sz w:val="28"/>
          <w:szCs w:val="28"/>
          <w:rtl/>
        </w:rPr>
        <w:t xml:space="preserve">آغاز: برابر؛ انجام: درین دو رساله گشاده بیان کردم. الحمدلله رب العالمين.</w:t>
      </w:r>
    </w:p>
    <w:p>
      <w:pPr>
        <w:pStyle w:val="BookText"/>
      </w:pPr>
      <w:r>
        <w:rPr>
          <w:rFonts w:ascii="IRNazanin" w:hAnsi="IRNazanin" w:eastAsia="IRNazanin" w:cs="IRNazanin"/>
          <w:lang w:bidi="fa-IR"/>
          <w:color w:val="111111"/>
          <w:sz w:val="28"/>
          <w:szCs w:val="28"/>
          <w:rtl/>
        </w:rPr>
        <w:t xml:space="preserve">در چهار فصل؛ خط: نسخ، کا: حیدر علی، تا: شوال ۱۲۸۰ق، جا: تهران؛ مصحح ولی پر غلط، کاغذ: فرنگی سفید آهار مهره، جلد: ،مقوایی ۱۱گ (۱۵۷پ -۱۶۷ر)، ۱۵ سطر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۲۲/۵سم [ف ۵ - ۴۹]</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قم؛ مرعشی؛ شماره نسخه: ۸۰۱۳/۹</w:t>
      </w:r>
    </w:p>
    <w:p>
      <w:pPr>
        <w:pStyle w:val="BookText"/>
      </w:pPr>
      <w:r>
        <w:rPr>
          <w:rFonts w:ascii="IRNazanin" w:hAnsi="IRNazanin" w:eastAsia="IRNazanin" w:cs="IRNazanin"/>
          <w:lang w:bidi="fa-IR"/>
          <w:color w:val="111111"/>
          <w:sz w:val="28"/>
          <w:szCs w:val="28"/>
          <w:rtl/>
        </w:rPr>
        <w:t xml:space="preserve">آغاز: برابر؛ انجام: و این بر قاعده و قانون أهل حكمت و مراتب  موجوداترا از اعلی تا به اسفل در این رساله گشاده بیان کردم</w:t>
      </w:r>
    </w:p>
    <w:p>
      <w:pPr>
        <w:pStyle w:val="BookText"/>
      </w:pPr>
      <w:r>
        <w:rPr>
          <w:rFonts w:ascii="IRNazanin" w:hAnsi="IRNazanin" w:eastAsia="IRNazanin" w:cs="IRNazanin"/>
          <w:lang w:bidi="fa-IR"/>
          <w:color w:val="111111"/>
          <w:sz w:val="28"/>
          <w:szCs w:val="28"/>
          <w:rtl/>
        </w:rPr>
        <w:t xml:space="preserve">خط: نستعليق زيبا، بی کا، تا: ربیع الثانی ۱۲۸۵ق؛ جلد: تیماج  قهوه ای ، (۱۲۸ پ - ۱۳۵پ)، ۱۳ سطر، 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۱۷/۵سم  [ف: ۲۱ - ۱۷]</w:t>
      </w:r>
    </w:p>
    <w:p>
      <w:pPr>
        <w:pStyle w:val="BookText"/>
      </w:pPr>
      <w:r>
        <w:rPr>
          <w:rFonts w:ascii="IRNazanin" w:hAnsi="IRNazanin" w:eastAsia="IRNazanin" w:cs="IRNazanin"/>
          <w:lang w:bidi="fa-IR"/>
          <w:color w:val="111111"/>
          <w:sz w:val="28"/>
          <w:szCs w:val="28"/>
          <w:rtl/>
        </w:rPr>
        <w:t xml:space="preserve">۶ .تهران؛ مجلس؛ شماره نسخه: ۷/۴۹۴۹/۱</w:t>
      </w:r>
    </w:p>
    <w:p>
      <w:pPr>
        <w:pStyle w:val="BookText"/>
      </w:pPr>
      <w:r>
        <w:rPr>
          <w:rFonts w:ascii="IRNazanin" w:hAnsi="IRNazanin" w:eastAsia="IRNazanin" w:cs="IRNazanin"/>
          <w:lang w:bidi="fa-IR"/>
          <w:color w:val="111111"/>
          <w:sz w:val="28"/>
          <w:szCs w:val="28"/>
          <w:rtl/>
        </w:rPr>
        <w:t xml:space="preserve">آغاز: برابر :انجام: ایدرویش بدانکه این دو رساله یکی مسمی است برساله عروج نزول و عروج و یکی مبداء و معاد بدرخواست مولانا اعظم ... سيد تاج الدين هادی ابروقویی در ابر قو جمع کردم ... ظاهراً وباطناً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226" w:name="pg20365_260329"/>
    <w:bookmarkEnd w:id="226"/>
    <w:p>
      <w:pPr>
        <w:pStyle w:val="BookText"/>
      </w:pPr>
      <w:r>
        <w:rPr>
          <w:rFonts w:ascii="IRNazanin" w:hAnsi="IRNazanin" w:eastAsia="IRNazanin" w:cs="IRNazanin"/>
          <w:lang w:bidi="fa-IR"/>
          <w:color w:val="111111"/>
          <w:sz w:val="28"/>
          <w:szCs w:val="28"/>
          <w:rtl/>
        </w:rPr>
        <w:t xml:space="preserve">خط: شکسته نستعلیق، کا: محمد جواد بن محمد حسین طبـیب طهراني (نجم الحكماء)، تا: ۱۳۱۴ق؛ همراه با دو رساله کوتاه در آخر که به خواهش سید تاج الدین ابرقوهی ساخته؛ کاغذ: فرنگـی،جلد: تیماج سرخ یک لا، ۵گ (۴۴ر -۴۸ر)، ۱۵ سطر (9</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 ۱۴ - ۲۱۳]</w:t>
      </w:r>
    </w:p>
    <w:p>
      <w:pPr>
        <w:pStyle w:val="BookText"/>
      </w:pPr>
      <w:r>
        <w:rPr>
          <w:rFonts w:ascii="IRNazanin" w:hAnsi="IRNazanin" w:eastAsia="IRNazanin" w:cs="IRNazanin"/>
          <w:lang w:bidi="fa-IR"/>
          <w:color w:val="111111"/>
          <w:sz w:val="28"/>
          <w:szCs w:val="28"/>
          <w:rtl/>
        </w:rPr>
        <w:t xml:space="preserve">7.تهران؛ مجلس؛ شماره نسخه: ۹۹۴/۹-ط</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بی کا، بی تا :کاغذ: فرنگی ۶ص (۱۰۹-۱۱۴) ، قطع:وزیری، اندازه: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:۲۳ - ۲۸۳]</w:t>
      </w:r>
    </w:p>
    <w:p>
      <w:pPr>
        <w:pStyle w:val="Heading3"/>
      </w:pPr>
      <w:bookmarkStart w:id="1299" w:name="_Toc821"/>
      <w:r>
        <w:t>اسرار التوحيد / عرفان و تصوف / عربی</w:t>
      </w:r>
      <w:bookmarkEnd w:id="1299"/>
    </w:p>
    <w:p>
      <w:pPr>
        <w:pStyle w:val="BookText"/>
      </w:pPr>
      <w:r>
        <w:rPr>
          <w:rFonts w:ascii="Times New Roman" w:hAnsi="Times New Roman" w:eastAsia="Times New Roman" w:cs="Times New Roman"/>
          <w:lang w:val="en-US" w:bidi="en-US"/>
          <w:color w:val="111111"/>
          <w:sz w:val="28"/>
          <w:szCs w:val="28"/>
          <w:rtl/>
        </w:rPr>
        <w:t xml:space="preserve">asrār-ut tawḥīd</w:t>
      </w:r>
    </w:p>
    <w:p>
      <w:pPr>
        <w:pStyle w:val="BookText"/>
      </w:pPr>
      <w:r>
        <w:rPr>
          <w:rFonts w:ascii="IRNazanin" w:hAnsi="IRNazanin" w:eastAsia="IRNazanin" w:cs="IRNazanin"/>
          <w:lang w:bidi="fa-IR"/>
          <w:color w:val="111111"/>
          <w:sz w:val="28"/>
          <w:szCs w:val="28"/>
          <w:rtl/>
        </w:rPr>
        <w:t xml:space="preserve">واعظ  گیلانی، عبدالوحید بن نعمت الله، ق۱۱ قمری</w:t>
      </w:r>
    </w:p>
    <w:p>
      <w:pPr>
        <w:pStyle w:val="BookText"/>
      </w:pPr>
      <w:r>
        <w:rPr>
          <w:rFonts w:ascii="Times New Roman" w:hAnsi="Times New Roman" w:eastAsia="Times New Roman" w:cs="Times New Roman"/>
          <w:lang w:val="en-US" w:bidi="en-US"/>
          <w:color w:val="111111"/>
          <w:sz w:val="28"/>
          <w:szCs w:val="28"/>
          <w:rtl/>
        </w:rPr>
        <w:t xml:space="preserve">(vā‘ez-e gīlānī, ‘abd-ol-vahīd ebn-e ne‘mat-ol-lāh (-17c</w:t>
      </w:r>
    </w:p>
    <w:p>
      <w:pPr>
        <w:pStyle w:val="BookText"/>
      </w:pPr>
      <w:r>
        <w:rPr>
          <w:rFonts w:ascii="IRNazanin" w:hAnsi="IRNazanin" w:eastAsia="IRNazanin" w:cs="IRNazanin"/>
          <w:lang w:bidi="fa-IR"/>
          <w:color w:val="111111"/>
          <w:sz w:val="28"/>
          <w:szCs w:val="28"/>
          <w:rtl/>
        </w:rPr>
        <w:t xml:space="preserve">رساله ای در شرح اسم اعظم و شرح هویت آن به روش عرفانی و مطالب ذوقی با استناد به آیات قرآنی و با عناوین «نور- نور  » و «سر – سر» مؤلف از شاگردان شیخ بهاء می باشد.</w:t>
      </w:r>
    </w:p>
    <w:p>
      <w:pPr>
        <w:pStyle w:val="BookText"/>
      </w:pPr>
      <w:r>
        <w:rPr>
          <w:rFonts w:ascii="IRNazanin" w:hAnsi="IRNazanin" w:eastAsia="IRNazanin" w:cs="IRNazanin"/>
          <w:lang w:bidi="fa-IR"/>
          <w:color w:val="111111"/>
          <w:sz w:val="28"/>
          <w:szCs w:val="28"/>
          <w:rtl/>
        </w:rPr>
        <w:t xml:space="preserve">قم؛ معصومیه؛ شماره نسخه: ۲۶/۱</w:t>
      </w:r>
    </w:p>
    <w:p>
      <w:pPr>
        <w:pStyle w:val="BookText"/>
      </w:pPr>
      <w:r>
        <w:rPr>
          <w:rFonts w:ascii="Amiri" w:hAnsi="Amiri" w:eastAsia="Amiri" w:cs="Amiri"/>
          <w:lang w:bidi="ar-SA"/>
          <w:color w:val="111111"/>
          <w:sz w:val="28"/>
          <w:szCs w:val="28"/>
          <w:rtl/>
        </w:rPr>
        <w:t xml:space="preserve">آغاز: بسم الله الاعظم الاقدس الاكرم المقدس، الذى هو سبحانه   هو، ولا يقدر احد ان يخبر عنه الا هو ؛ انجام: فان الخوض غـمرة الاسرار الالهية خطير و استنكاف الانوار الالهيه وراء الحجـب البشرية عسير غير يسير و الحمد لواهب العقل بلا نهاية و الصلـواةعلى رسوله وآله بلا غاية.</w:t>
      </w:r>
    </w:p>
    <w:p>
      <w:pPr>
        <w:pStyle w:val="BookText"/>
      </w:pPr>
      <w:r>
        <w:rPr>
          <w:rFonts w:ascii="IRNazanin" w:hAnsi="IRNazanin" w:eastAsia="IRNazanin" w:cs="IRNazanin"/>
          <w:lang w:bidi="fa-IR"/>
          <w:color w:val="111111"/>
          <w:sz w:val="28"/>
          <w:szCs w:val="28"/>
          <w:rtl/>
        </w:rPr>
        <w:t xml:space="preserve">خط: نستعلیق ،خوش، بی کا، تا: ۱۲۵؟، مجدول ،جلد: تیماج مشکی، ۴۹گ (۱پ-۴۹پ) ، اندازه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۱ - ۴۰]</w:t>
      </w:r>
    </w:p>
    <w:p>
      <w:pPr>
        <w:pStyle w:val="Heading3"/>
      </w:pPr>
      <w:bookmarkStart w:id="1300" w:name="_Toc822"/>
      <w:r>
        <w:t>اسرار التوحيد / عربي</w:t>
      </w:r>
      <w:bookmarkEnd w:id="1300"/>
    </w:p>
    <w:p>
      <w:pPr>
        <w:pStyle w:val="BookText"/>
      </w:pPr>
      <w:r>
        <w:rPr>
          <w:rFonts w:ascii="Times New Roman" w:hAnsi="Times New Roman" w:eastAsia="Times New Roman" w:cs="Times New Roman"/>
          <w:lang w:val="en-US" w:bidi="en-US"/>
          <w:color w:val="111111"/>
          <w:sz w:val="28"/>
          <w:szCs w:val="28"/>
          <w:rtl/>
        </w:rPr>
        <w:t xml:space="preserve">asrār-ut tawḥīd</w:t>
      </w:r>
    </w:p>
    <w:p>
      <w:pPr>
        <w:pStyle w:val="BookText"/>
      </w:pPr>
      <w:r>
        <w:rPr>
          <w:rFonts w:ascii="IRNazanin" w:hAnsi="IRNazanin" w:eastAsia="IRNazanin" w:cs="IRNazanin"/>
          <w:lang w:bidi="fa-IR"/>
          <w:color w:val="111111"/>
          <w:sz w:val="28"/>
          <w:szCs w:val="28"/>
          <w:rtl/>
        </w:rPr>
        <w:t xml:space="preserve">مشهد؛ رضوی؛ شماره نسخه: ۵۴۵۴۲</w:t>
      </w:r>
    </w:p>
    <w:p>
      <w:pPr>
        <w:pStyle w:val="BookText"/>
      </w:pPr>
      <w:r>
        <w:rPr>
          <w:rFonts w:ascii="IRNazanin" w:hAnsi="IRNazanin" w:eastAsia="IRNazanin" w:cs="IRNazanin"/>
          <w:lang w:bidi="fa-IR"/>
          <w:color w:val="111111"/>
          <w:sz w:val="28"/>
          <w:szCs w:val="28"/>
          <w:rtl/>
        </w:rPr>
        <w:t xml:space="preserve">بی کا ،بی تا[ رایانه]</w:t>
      </w:r>
    </w:p>
    <w:p>
      <w:pPr>
        <w:pStyle w:val="Heading3"/>
      </w:pPr>
      <w:bookmarkStart w:id="1301" w:name="_Toc823"/>
      <w:r>
        <w:t>اسرار التوحيد فى مقامات الشيخ ابی سعید / عرفان  و تصوف, تراجم / فارسی</w:t>
      </w:r>
      <w:bookmarkEnd w:id="1301"/>
    </w:p>
    <w:p>
      <w:pPr>
        <w:pStyle w:val="BookText"/>
      </w:pPr>
      <w:r>
        <w:rPr>
          <w:rFonts w:ascii="Times New Roman" w:hAnsi="Times New Roman" w:eastAsia="Times New Roman" w:cs="Times New Roman"/>
          <w:lang w:val="en-US" w:bidi="en-US"/>
          <w:color w:val="111111"/>
          <w:sz w:val="28"/>
          <w:szCs w:val="28"/>
          <w:rtl/>
        </w:rPr>
        <w:t xml:space="preserve">asrār-ot-towhīd fī maqāmāt-eš-šeyx abī sa‘īd</w:t>
      </w:r>
    </w:p>
    <w:p>
      <w:pPr>
        <w:pStyle w:val="BookText"/>
      </w:pPr>
      <w:r>
        <w:rPr>
          <w:rFonts w:ascii="IRNazanin" w:hAnsi="IRNazanin" w:eastAsia="IRNazanin" w:cs="IRNazanin"/>
          <w:lang w:bidi="fa-IR"/>
          <w:color w:val="111111"/>
          <w:sz w:val="28"/>
          <w:szCs w:val="28"/>
          <w:rtl/>
        </w:rPr>
        <w:t xml:space="preserve">میهنی، محمد بن منور، ق۶ قمری</w:t>
      </w:r>
    </w:p>
    <w:p>
      <w:pPr>
        <w:pStyle w:val="BookText"/>
      </w:pPr>
      <w:r>
        <w:rPr>
          <w:rFonts w:ascii="Times New Roman" w:hAnsi="Times New Roman" w:eastAsia="Times New Roman" w:cs="Times New Roman"/>
          <w:lang w:val="en-US" w:bidi="en-US"/>
          <w:color w:val="111111"/>
          <w:sz w:val="28"/>
          <w:szCs w:val="28"/>
          <w:rtl/>
        </w:rPr>
        <w:t xml:space="preserve">(meyhanī, mohammad ebn-e monavvar (- 12c)</w:t>
      </w:r>
    </w:p>
    <w:p>
      <w:pPr>
        <w:pStyle w:val="BookText"/>
      </w:pPr>
      <w:r>
        <w:rPr>
          <w:rFonts w:ascii="IRNazanin" w:hAnsi="IRNazanin" w:eastAsia="IRNazanin" w:cs="IRNazanin"/>
          <w:lang w:bidi="fa-IR"/>
          <w:color w:val="111111"/>
          <w:sz w:val="28"/>
          <w:szCs w:val="28"/>
          <w:rtl/>
        </w:rPr>
        <w:t xml:space="preserve">تاریخ تألیف: حدود ۵۷۴ق</w:t>
      </w:r>
    </w:p>
    <w:p>
      <w:pPr>
        <w:pStyle w:val="BookText"/>
      </w:pPr>
      <w:r>
        <w:rPr>
          <w:rFonts w:ascii="IRNazanin" w:hAnsi="IRNazanin" w:eastAsia="IRNazanin" w:cs="IRNazanin"/>
          <w:lang w:bidi="fa-IR"/>
          <w:color w:val="111111"/>
          <w:sz w:val="28"/>
          <w:szCs w:val="28"/>
          <w:rtl/>
        </w:rPr>
        <w:t xml:space="preserve">اهداء به: محمد بن سام غوری (۵۹۹ق)</w:t>
      </w:r>
    </w:p>
    <w:p>
      <w:pPr>
        <w:pStyle w:val="BookText"/>
      </w:pPr>
      <w:r>
        <w:rPr>
          <w:rFonts w:ascii="IRNazanin" w:hAnsi="IRNazanin" w:eastAsia="IRNazanin" w:cs="IRNazanin"/>
          <w:lang w:bidi="fa-IR"/>
          <w:color w:val="111111"/>
          <w:sz w:val="28"/>
          <w:szCs w:val="28"/>
          <w:rtl/>
        </w:rPr>
        <w:t xml:space="preserve">زندگی نامه ابوسعید بن ابی الخیر میهنی (357-440ق)است که به خامه یکی از احفاد وی نگارش یافته است. مؤلف در نگارش این  کتاب، مانند اغلب زندگی نامه های مشایخ تصوف، اساس کار را بر روایات شفاهی یا کتبی رایج در میان اهل خانقاه و ارباب تصوف نهاده است و چنان که خود تصریح دارد، وی نخستین کسی نیست که به تألیف کتابی در باب زندگی نامه ابوسعید پرداخته است، زیرا قبل از وی پسر عمش جمال الدين ابوروح لطف الله لطف الله بن ابی سعید، کتابی در باب «حالات و سخنان» شیخ ابوسعید تألیف کرده بوده است که خوشبختانه نسخه ای از آن هنوز موجود است و چاپ شده است (نخستین بار توسط ژوکوفسکی در سن پطرز بورغ در1899 و پس از آن توسط ایرج افشار از روی چاپ ژوکوفسکی در تهران در ۱۳۳۱ و ۱۳۴۱) کتاب در یک «مقدمه» و سه «باب» نگارش یافته است. این کتاب به عربی و فرانسوی ترجمه شده است.</w:t>
      </w:r>
    </w:p>
    <w:p>
      <w:pPr>
        <w:pStyle w:val="BookText"/>
      </w:pPr>
      <w:r>
        <w:rPr>
          <w:rFonts w:ascii="IRNazanin" w:hAnsi="IRNazanin" w:eastAsia="IRNazanin" w:cs="IRNazanin"/>
          <w:lang w:bidi="fa-IR"/>
          <w:color w:val="111111"/>
          <w:sz w:val="28"/>
          <w:szCs w:val="28"/>
          <w:rtl/>
        </w:rPr>
        <w:t xml:space="preserve">آغاز: الحمد لله الذى نور قلوب اولیائه بلطائف انواره ... شکر و سپاس و ستایش بی قیاس</w:t>
      </w:r>
    </w:p>
    <w:p>
      <w:pPr>
        <w:pStyle w:val="BookText"/>
      </w:pPr>
      <w:r>
        <w:rPr>
          <w:rFonts w:ascii="IRNazanin" w:hAnsi="IRNazanin" w:eastAsia="IRNazanin" w:cs="IRNazanin"/>
          <w:lang w:bidi="fa-IR"/>
          <w:color w:val="111111"/>
          <w:sz w:val="28"/>
          <w:szCs w:val="28"/>
          <w:rtl/>
        </w:rPr>
        <w:t xml:space="preserve">چاپ: از ژوکوفسکی لنینگراد، ۱۸۹۹ از روی دو نسخه شچدرین و کپنهاک؛ از ،بهمنیار از روی همینچاپ، تهران، ۱۳۱۳؛ از ذبیح اله صفا از روی نسخه سلیم آغا و چاپ بهمنیار، ،تهران ۱۳۳۳ ؛با تصحیح محمد رضا شفیعی کدکنی، تهران، انتشارات آگاه، ۱۳۶۶</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ملی؛ شماره نسخه: ۱۳۴- عکسی</w:t>
      </w:r>
    </w:p>
    <w:p>
      <w:pPr>
        <w:pStyle w:val="BookText"/>
      </w:pPr>
      <w:r>
        <w:rPr>
          <w:rFonts w:ascii="IRNazanin" w:hAnsi="IRNazanin" w:eastAsia="IRNazanin" w:cs="IRNazanin"/>
          <w:lang w:bidi="fa-IR"/>
          <w:color w:val="111111"/>
          <w:sz w:val="28"/>
          <w:szCs w:val="28"/>
          <w:rtl/>
        </w:rPr>
        <w:t xml:space="preserve">نسخه  اصل: کتابخانه پیر  هدائی، ترکیه ش 488 ،؛ بی کا، تا ۷۰۰ق  [ نشریه: ۲ - ۲۷۱]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دانشگاه؛ شماره نسخه: ۲۷-ف</w:t>
      </w:r>
    </w:p>
    <w:p>
      <w:pPr>
        <w:pStyle w:val="BookText"/>
      </w:pPr>
      <w:r>
        <w:rPr>
          <w:rFonts w:ascii="IRNazanin" w:hAnsi="IRNazanin" w:eastAsia="IRNazanin" w:cs="IRNazanin"/>
          <w:lang w:bidi="fa-IR"/>
          <w:color w:val="111111"/>
          <w:sz w:val="28"/>
          <w:szCs w:val="28"/>
          <w:rtl/>
        </w:rPr>
        <w:t xml:space="preserve">نسخه اصل: خواجه سلیم آقاش 488/238 (احتملاً همان نسخه ،بالا) خط: نسخ، کا: محمد صالح، تا: ۱۰ جمادی الثانی ۷۰۰ق، برای علی بن قاضی بن علی جوینی؛ ۲۶۱گ، ۱۵ سطر [فیلم ها-  ف: ١ - ١٠]</w:t>
      </w:r>
    </w:p>
    <w:p>
      <w:pPr>
        <w:pStyle w:val="BookText"/>
      </w:pPr>
      <w:r>
        <w:rPr>
          <w:rFonts w:ascii="IRNazanin" w:hAnsi="IRNazanin" w:eastAsia="IRNazanin" w:cs="IRNazanin"/>
          <w:lang w:bidi="fa-IR"/>
          <w:color w:val="111111"/>
          <w:sz w:val="28"/>
          <w:szCs w:val="28"/>
          <w:rtl/>
        </w:rPr>
        <w:t xml:space="preserve">٣. تهران؛ دانشگاه؛ شماره نسخه: ۴۸۱-ف</w:t>
      </w:r>
    </w:p>
    <w:p>
      <w:pPr>
        <w:pStyle w:val="BookText"/>
      </w:pPr>
      <w:r>
        <w:rPr>
          <w:rFonts w:ascii="IRNazanin" w:hAnsi="IRNazanin" w:eastAsia="IRNazanin" w:cs="IRNazanin"/>
          <w:lang w:bidi="fa-IR"/>
          <w:color w:val="111111"/>
          <w:sz w:val="28"/>
          <w:szCs w:val="28"/>
          <w:rtl/>
        </w:rPr>
        <w:t xml:space="preserve">نسخه اصل: کتابخانه ملی راشد افندی قیصریه ش ۱۱۶۴؛ خط ،نسخ، کا: محمد بن شاه بن  آییک، تا: ۲ رمضان ۷۰۱ق؛ ۱۲۴گ، ۲۴ سطر [فيلم ها -ف: ۱ - ۱۰]</w:t>
      </w:r>
    </w:p>
    <w:p>
      <w:pPr>
        <w:pStyle w:val="BookText"/>
      </w:pPr>
      <w:r>
        <w:rPr>
          <w:rFonts w:ascii="IRNazanin" w:hAnsi="IRNazanin" w:eastAsia="IRNazanin" w:cs="IRNazanin"/>
          <w:lang w:bidi="fa-IR"/>
          <w:color w:val="111111"/>
          <w:sz w:val="28"/>
          <w:szCs w:val="28"/>
          <w:rtl/>
        </w:rPr>
        <w:t xml:space="preserve">4.تهران؛ دانشگاه؛ شماره نسخه: ۶۱۹-ف</w:t>
      </w:r>
    </w:p>
    <w:p>
      <w:pPr>
        <w:pStyle w:val="BookText"/>
      </w:pPr>
      <w:r>
        <w:rPr>
          <w:rFonts w:ascii="IRNazanin" w:hAnsi="IRNazanin" w:eastAsia="IRNazanin" w:cs="IRNazanin"/>
          <w:lang w:bidi="fa-IR"/>
          <w:color w:val="111111"/>
          <w:sz w:val="28"/>
          <w:szCs w:val="28"/>
          <w:rtl/>
        </w:rPr>
        <w:t xml:space="preserve">نسخه اصل: شهید علی پاشاش ۱۴۱۶ :خط: نستعليق ،كا: محمد بن عبدالله سرخسی، تا: دهه سوم صفر ۸۵۴ق، ۲۴۰، ۱۹ سطر[فیلم ها-ف: ۱ - ۱۰]</w:t>
      </w:r>
    </w:p>
    <w:p>
      <w:pPr>
        <w:pStyle w:val="BookText"/>
      </w:pPr>
      <w:r>
        <w:rPr>
          <w:rFonts w:ascii="IRNazanin" w:hAnsi="IRNazanin" w:eastAsia="IRNazanin" w:cs="IRNazanin"/>
          <w:lang w:bidi="fa-IR"/>
          <w:color w:val="111111"/>
          <w:sz w:val="28"/>
          <w:szCs w:val="28"/>
          <w:rtl/>
        </w:rPr>
        <w:t xml:space="preserve">۵. تهران؛ دانشگاه؛ شماره نسخه: ۷۰۵۶-عکس</w:t>
      </w:r>
    </w:p>
    <w:p>
      <w:pPr>
        <w:pStyle w:val="BookText"/>
      </w:pPr>
      <w:r>
        <w:rPr>
          <w:rFonts w:ascii="IRNazanin" w:hAnsi="IRNazanin" w:eastAsia="IRNazanin" w:cs="IRNazanin"/>
          <w:lang w:bidi="fa-IR"/>
          <w:color w:val="111111"/>
          <w:sz w:val="28"/>
          <w:szCs w:val="28"/>
          <w:rtl/>
        </w:rPr>
        <w:t xml:space="preserve">نسخه اصل: از هرمان لندلت استاد دانشگاه مک گیل؛ خط: نسخ، روشن ،کا: حاجی محمد بن محمد رافعی جاجرمی، تا: پنج شنبه ۱۳ جمادی الاول ،۸۵۶ق، جا: میهنه با یادداشت سال ۱۰۴۹ درباره آمدن زمین لرزه در سیدی شهری در هنگام نماز خفتن در پایان و با یادداشت سال ۱۰۴۷ که در روز یکشنبه ششم رجب همین سال(سبع و اربعین و الف) زمین لرزه ای رخ داده است نیز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227" w:name="pg20365_260330"/>
    <w:bookmarkEnd w:id="227"/>
    <w:p>
      <w:pPr>
        <w:pStyle w:val="BookText"/>
      </w:pPr>
      <w:r>
        <w:rPr>
          <w:rFonts w:ascii="IRNazanin" w:hAnsi="IRNazanin" w:eastAsia="IRNazanin" w:cs="IRNazanin"/>
          <w:lang w:bidi="fa-IR"/>
          <w:color w:val="111111"/>
          <w:sz w:val="28"/>
          <w:szCs w:val="28"/>
          <w:rtl/>
        </w:rPr>
        <w:t xml:space="preserve">یادداشت ۱۹ محرم ۱۱۷۳ و سال ۱۳۷۰ از حاج ابوالقاسم بهروزی در دو جا با امضای داود پسرالله وردی خان که گویا نسخه ازآن او بوده است از این یادداشت های و حاشیه ای که ترکی در نسخه هست پیداست که نسخه بایستی در ترکیه بوده باشد ابوسعید ابی الخیر به آلمانی از فریتس مایر ص 20،آکتاایراینکا۳) ۲۵۵گ، ۱۷ سطر [ فیلم ها-ف: ٣ -  275]</w:t>
      </w:r>
    </w:p>
    <w:p>
      <w:pPr>
        <w:pStyle w:val="BookText"/>
      </w:pPr>
      <w:r>
        <w:rPr>
          <w:rFonts w:ascii="IRNazanin" w:hAnsi="IRNazanin" w:eastAsia="IRNazanin" w:cs="IRNazanin"/>
          <w:lang w:bidi="fa-IR"/>
          <w:color w:val="111111"/>
          <w:sz w:val="28"/>
          <w:szCs w:val="28"/>
          <w:rtl/>
        </w:rPr>
        <w:t xml:space="preserve">۶ .تهران؛ دانشگاه؛ شماره نسخه: ۲۷۰۹-ف</w:t>
      </w:r>
    </w:p>
    <w:p>
      <w:pPr>
        <w:pStyle w:val="BookText"/>
      </w:pPr>
      <w:r>
        <w:rPr>
          <w:rFonts w:ascii="IRNazanin" w:hAnsi="IRNazanin" w:eastAsia="IRNazanin" w:cs="IRNazanin"/>
          <w:lang w:bidi="fa-IR"/>
          <w:color w:val="111111"/>
          <w:sz w:val="28"/>
          <w:szCs w:val="28"/>
          <w:rtl/>
        </w:rPr>
        <w:t xml:space="preserve">نسخه اصل: کتابخانه دارالکتب قاهرهش ۲۹۷۷ تاریخ فارسی 17؛ خط: نسخ، کا: محمد سلیم، بی تا، ۲۱۹، ۲۳ سطر (22</w:t>
      </w:r>
      <w:r>
        <w:rPr>
          <w:rFonts w:ascii="Times New Roman" w:hAnsi="Times New Roman" w:eastAsia="Times New Roman" w:cs="Times New Roman"/>
          <w:lang w:val="en-US" w:bidi="en-US"/>
          <w:color w:val="111111"/>
          <w:sz w:val="28"/>
          <w:szCs w:val="28"/>
          <w:rtl/>
        </w:rPr>
        <w:t xml:space="preserve">×31)  [ </w:t>
      </w:r>
      <w:r>
        <w:rPr>
          <w:rFonts w:ascii="IRNazanin" w:hAnsi="IRNazanin" w:eastAsia="IRNazanin" w:cs="IRNazanin"/>
          <w:lang w:bidi="fa-IR"/>
          <w:color w:val="111111"/>
          <w:sz w:val="28"/>
          <w:szCs w:val="28"/>
          <w:rtl/>
        </w:rPr>
        <w:t xml:space="preserve">فیلم ها-ف: ۱ - ۱۰]</w:t>
      </w:r>
    </w:p>
    <w:p>
      <w:pPr>
        <w:pStyle w:val="Heading3"/>
      </w:pPr>
      <w:bookmarkStart w:id="1302" w:name="_Toc824"/>
      <w:r>
        <w:t>اسرار التوحيد والنبوة والولاية و المعاد / عرفان و  تصوف / فارسی</w:t>
      </w:r>
      <w:bookmarkEnd w:id="1302"/>
    </w:p>
    <w:p>
      <w:pPr>
        <w:pStyle w:val="BookText"/>
      </w:pPr>
      <w:r>
        <w:rPr>
          <w:rFonts w:ascii="Times New Roman" w:hAnsi="Times New Roman" w:eastAsia="Times New Roman" w:cs="Times New Roman"/>
          <w:lang w:val="en-US" w:bidi="en-US"/>
          <w:color w:val="111111"/>
          <w:sz w:val="28"/>
          <w:szCs w:val="28"/>
          <w:rtl/>
        </w:rPr>
        <w:t xml:space="preserve">asrār-ot-towhīd va-n-nobovvat va-l-velāyat va-l-ma‘ād</w:t>
      </w:r>
    </w:p>
    <w:p>
      <w:pPr>
        <w:pStyle w:val="BookText"/>
      </w:pPr>
      <w:r>
        <w:rPr>
          <w:rFonts w:ascii="IRNazanin" w:hAnsi="IRNazanin" w:eastAsia="IRNazanin" w:cs="IRNazanin"/>
          <w:lang w:bidi="fa-IR"/>
          <w:color w:val="111111"/>
          <w:sz w:val="28"/>
          <w:szCs w:val="28"/>
          <w:rtl/>
        </w:rPr>
        <w:t xml:space="preserve">میرزا بابا  شیرازی، ابوالقاسم بن عبد النبي، ١٢١٢؟- ۱۲۸۶ قمری</w:t>
      </w:r>
    </w:p>
    <w:p>
      <w:pPr>
        <w:pStyle w:val="BookText"/>
      </w:pPr>
      <w:r>
        <w:rPr>
          <w:rFonts w:ascii="Times New Roman" w:hAnsi="Times New Roman" w:eastAsia="Times New Roman" w:cs="Times New Roman"/>
          <w:lang w:val="en-US" w:bidi="en-US"/>
          <w:color w:val="111111"/>
          <w:sz w:val="28"/>
          <w:szCs w:val="28"/>
          <w:rtl/>
        </w:rPr>
        <w:t xml:space="preserve">(1870-1798)mīrzā bābā šīrāzī, ab-ol-qāsem ebn-e ‘abd-on-nabī</w:t>
      </w:r>
    </w:p>
    <w:p>
      <w:pPr>
        <w:pStyle w:val="BookText"/>
      </w:pPr>
      <w:r>
        <w:rPr>
          <w:rFonts w:ascii="IRNazanin" w:hAnsi="IRNazanin" w:eastAsia="IRNazanin" w:cs="IRNazanin"/>
          <w:lang w:bidi="fa-IR"/>
          <w:color w:val="111111"/>
          <w:sz w:val="28"/>
          <w:szCs w:val="28"/>
          <w:rtl/>
        </w:rPr>
        <w:t xml:space="preserve">رساله ای در اسرار توحید و نبوت و ولایت و معاد و مطالبی  در الهيات الاوليه و الاخرويه.</w:t>
      </w:r>
    </w:p>
    <w:p>
      <w:pPr>
        <w:pStyle w:val="BookText"/>
      </w:pPr>
      <w:r>
        <w:rPr>
          <w:rFonts w:ascii="Amiri" w:hAnsi="Amiri" w:eastAsia="Amiri" w:cs="Amiri"/>
          <w:lang w:bidi="ar-SA"/>
          <w:color w:val="111111"/>
          <w:sz w:val="28"/>
          <w:szCs w:val="28"/>
          <w:rtl/>
        </w:rPr>
        <w:t xml:space="preserve">آغاز: بسمله بسم الله و بالله و الحمدلله و على دين رسول الله. اما بعد  بعد فاعلم يا ولدى ... ان هذه الكلمات شطريات من اسرار التوحيد و النبوة و الولاية و المعاد و شطحيات فى الالهيات الاولية و الاخروية.</w:t>
      </w:r>
    </w:p>
    <w:p>
      <w:pPr>
        <w:pStyle w:val="BookText"/>
      </w:pPr>
      <w:r>
        <w:rPr>
          <w:rFonts w:ascii="IRNazanin" w:hAnsi="IRNazanin" w:eastAsia="IRNazanin" w:cs="IRNazanin"/>
          <w:lang w:bidi="fa-IR"/>
          <w:color w:val="111111"/>
          <w:sz w:val="28"/>
          <w:szCs w:val="28"/>
          <w:rtl/>
        </w:rPr>
        <w:t xml:space="preserve">انجام: در اینجا همین قدر کافی است و السلام علی محمد و  آله اجمعین</w:t>
      </w:r>
    </w:p>
    <w:p>
      <w:pPr>
        <w:pStyle w:val="BookText"/>
      </w:pPr>
      <w:r>
        <w:rPr>
          <w:rFonts w:ascii="IRNazanin" w:hAnsi="IRNazanin" w:eastAsia="IRNazanin" w:cs="IRNazanin"/>
          <w:lang w:bidi="fa-IR"/>
          <w:color w:val="111111"/>
          <w:sz w:val="28"/>
          <w:szCs w:val="28"/>
          <w:rtl/>
        </w:rPr>
        <w:t xml:space="preserve">[فهرستواره منزوی (۶۱/۷ (۱ نسخه و ۳۸۷/۹ بدون نام مؤلف]</w:t>
      </w:r>
    </w:p>
    <w:p>
      <w:pPr>
        <w:pStyle w:val="BookText"/>
      </w:pPr>
      <w:r>
        <w:rPr>
          <w:rFonts w:ascii="IRNazanin" w:hAnsi="IRNazanin" w:eastAsia="IRNazanin" w:cs="IRNazanin"/>
          <w:lang w:bidi="fa-IR"/>
          <w:color w:val="111111"/>
          <w:sz w:val="28"/>
          <w:szCs w:val="28"/>
          <w:rtl/>
        </w:rPr>
        <w:t xml:space="preserve">۱. تهران؛ دانشگاه شماره نسخه: ۳۸۸۷/۲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محسن موسوی سپاهانی، بی تا ؛کاغذ: فرنگـی، جلد: تیماج سرخ  ضربی، ۶۷گ (۳۴ ر - ۱۰۱ر)، ۱۴ سطر (9</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۱۲ – ۲۸۷۴]</w:t>
      </w:r>
    </w:p>
    <w:p>
      <w:pPr>
        <w:pStyle w:val="BookText"/>
      </w:pPr>
      <w:r>
        <w:rPr>
          <w:rFonts w:ascii="IRNazanin" w:hAnsi="IRNazanin" w:eastAsia="IRNazanin" w:cs="IRNazanin"/>
          <w:lang w:bidi="fa-IR"/>
          <w:color w:val="111111"/>
          <w:sz w:val="28"/>
          <w:szCs w:val="28"/>
          <w:rtl/>
        </w:rPr>
        <w:t xml:space="preserve">۲. شیراز؛ شاهچراغ؛ شماره نسخه: ۶۱۸/۶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شکسته نستعلیق خوب، بی کا، بی تا؛ کاغذ: آبی و خاکستری، جلد: مقوا با تیماج قهوه ای، ۴۸گ، ۹۴ص، ۱۹ سطر (9</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۲ - ۳۱۸]</w:t>
      </w:r>
    </w:p>
    <w:p>
      <w:pPr>
        <w:pStyle w:val="Heading3"/>
      </w:pPr>
      <w:bookmarkStart w:id="1303" w:name="_Toc825"/>
      <w:r>
        <w:t>اسرار جانکاه / تاریخ معصومین / فارسی</w:t>
      </w:r>
      <w:bookmarkEnd w:id="1303"/>
    </w:p>
    <w:p>
      <w:pPr>
        <w:pStyle w:val="BookText"/>
      </w:pPr>
      <w:r>
        <w:rPr>
          <w:rFonts w:ascii="Times New Roman" w:hAnsi="Times New Roman" w:eastAsia="Times New Roman" w:cs="Times New Roman"/>
          <w:lang w:val="en-US" w:bidi="en-US"/>
          <w:color w:val="111111"/>
          <w:sz w:val="28"/>
          <w:szCs w:val="28"/>
          <w:rtl/>
        </w:rPr>
        <w:t xml:space="preserve">asrār-e jānkāh</w:t>
      </w:r>
    </w:p>
    <w:p>
      <w:pPr>
        <w:pStyle w:val="BookText"/>
      </w:pPr>
      <w:r>
        <w:rPr>
          <w:rFonts w:ascii="IRNazanin" w:hAnsi="IRNazanin" w:eastAsia="IRNazanin" w:cs="IRNazanin"/>
          <w:lang w:bidi="fa-IR"/>
          <w:color w:val="111111"/>
          <w:sz w:val="28"/>
          <w:szCs w:val="28"/>
          <w:rtl/>
        </w:rPr>
        <w:t xml:space="preserve">برقعی، علی اکبر، ۱۲۷۸ میلادی</w:t>
      </w:r>
    </w:p>
    <w:p>
      <w:pPr>
        <w:pStyle w:val="BookText"/>
      </w:pPr>
      <w:r>
        <w:rPr>
          <w:rFonts w:ascii="Times New Roman" w:hAnsi="Times New Roman" w:eastAsia="Times New Roman" w:cs="Times New Roman"/>
          <w:lang w:val="en-US" w:bidi="en-US"/>
          <w:color w:val="111111"/>
          <w:sz w:val="28"/>
          <w:szCs w:val="28"/>
          <w:rtl/>
        </w:rPr>
        <w:t xml:space="preserve">(-borqe‘ī, ‘alī akbar (1278 -)</w:t>
      </w:r>
    </w:p>
    <w:p>
      <w:pPr>
        <w:pStyle w:val="BookText"/>
      </w:pPr>
      <w:r>
        <w:rPr>
          <w:rFonts w:ascii="IRNazanin" w:hAnsi="IRNazanin" w:eastAsia="IRNazanin" w:cs="IRNazanin"/>
          <w:lang w:bidi="fa-IR"/>
          <w:color w:val="111111"/>
          <w:sz w:val="28"/>
          <w:szCs w:val="28"/>
          <w:rtl/>
        </w:rPr>
        <w:t xml:space="preserve">ترجمه تحت اللفظی از کتاب «نهضة الحسين عليه السلام» هبة الدین شهرستانی است تاریخ ترجمه این کتاب ۲۸ جمادی الاولی ۱۳۴۶ ق می باشد</w:t>
      </w:r>
    </w:p>
    <w:p>
      <w:pPr>
        <w:pStyle w:val="BookText"/>
      </w:pPr>
      <w:r>
        <w:rPr>
          <w:rFonts w:ascii="IRNazanin" w:hAnsi="IRNazanin" w:eastAsia="IRNazanin" w:cs="IRNazanin"/>
          <w:lang w:bidi="fa-IR"/>
          <w:color w:val="111111"/>
          <w:sz w:val="28"/>
          <w:szCs w:val="28"/>
          <w:rtl/>
        </w:rPr>
        <w:t xml:space="preserve">چاپ: توسط کتابخانه مهدیه خیابان ناصریه، ۱۳۴۸ق</w:t>
      </w:r>
    </w:p>
    <w:p>
      <w:pPr>
        <w:pStyle w:val="BookText"/>
      </w:pPr>
      <w:r>
        <w:rPr>
          <w:rFonts w:ascii="IRNazanin" w:hAnsi="IRNazanin" w:eastAsia="IRNazanin" w:cs="IRNazanin"/>
          <w:lang w:bidi="fa-IR"/>
          <w:color w:val="111111"/>
          <w:sz w:val="28"/>
          <w:szCs w:val="28"/>
          <w:rtl/>
        </w:rPr>
        <w:t xml:space="preserve">قم؛ مسجد اعظم؛ شماره نسخه: ۳۵۴۴</w:t>
      </w:r>
    </w:p>
    <w:p>
      <w:pPr>
        <w:pStyle w:val="BookText"/>
      </w:pPr>
      <w:r>
        <w:rPr>
          <w:rFonts w:ascii="IRNazanin" w:hAnsi="IRNazanin" w:eastAsia="IRNazanin" w:cs="IRNazanin"/>
          <w:lang w:bidi="fa-IR"/>
          <w:color w:val="111111"/>
          <w:sz w:val="28"/>
          <w:szCs w:val="28"/>
          <w:rtl/>
        </w:rPr>
        <w:t xml:space="preserve">آغاز: بعد الحمد و الصلاة عظمت و اعتلاء هر ملتی منوط به یک دسته از مردمان بزرگی است که در رأس جامعه و توده بشری قرار گرفته اند و تاریخ عبارت است از تغییراتی که؛ انجام: این است عاقبت فاجر ستمکار این است عاقبت مجاهد ناصح و زمین در تحت سلطنت الهی است هر کسی را که بخواهد از طبقه صلحاء از بندگانش به اوارث می دهد</w:t>
      </w:r>
    </w:p>
    <w:p>
      <w:pPr>
        <w:pStyle w:val="BookText"/>
      </w:pPr>
      <w:r>
        <w:rPr>
          <w:rFonts w:ascii="IRNazanin" w:hAnsi="IRNazanin" w:eastAsia="IRNazanin" w:cs="IRNazanin"/>
          <w:lang w:bidi="fa-IR"/>
          <w:color w:val="111111"/>
          <w:sz w:val="28"/>
          <w:szCs w:val="28"/>
          <w:rtl/>
        </w:rPr>
        <w:t xml:space="preserve">خط: نستعلیق، بی کا، بی تا؛ افتادگی: آغاز و انجام، مصحح؛ اهداء: حسین کجوری؛ جلد: گالینگور سیاه، عطف تیماج قهوه ای، ۷۴گ، مختلف السطر،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مخ: ۱ - ۱۴۳]</w:t>
      </w:r>
    </w:p>
    <w:p>
      <w:pPr>
        <w:pStyle w:val="BookText"/>
      </w:pPr>
      <w:r>
        <w:rPr>
          <w:rFonts w:ascii="IRNazanin" w:hAnsi="IRNazanin" w:eastAsia="IRNazanin" w:cs="IRNazanin"/>
          <w:lang w:bidi="fa-IR"/>
          <w:color w:val="111111"/>
          <w:sz w:val="28"/>
          <w:szCs w:val="28"/>
          <w:rtl/>
        </w:rPr>
        <w:t xml:space="preserve">«اسرار جزئیه نماز » اسرار الصلاة</w:t>
      </w:r>
    </w:p>
    <w:p>
      <w:pPr>
        <w:pStyle w:val="Heading3"/>
      </w:pPr>
      <w:bookmarkStart w:id="1304" w:name="_Toc826"/>
      <w:r>
        <w:t>اسرار الجفر / جفر / فارسی</w:t>
      </w:r>
      <w:bookmarkEnd w:id="1304"/>
    </w:p>
    <w:p>
      <w:pPr>
        <w:pStyle w:val="BookText"/>
      </w:pPr>
      <w:r>
        <w:rPr>
          <w:rFonts w:ascii="Times New Roman" w:hAnsi="Times New Roman" w:eastAsia="Times New Roman" w:cs="Times New Roman"/>
          <w:lang w:val="en-US" w:bidi="en-US"/>
          <w:color w:val="111111"/>
          <w:sz w:val="28"/>
          <w:szCs w:val="28"/>
          <w:rtl/>
        </w:rPr>
        <w:t xml:space="preserve">asrār-ol-jafr</w:t>
      </w:r>
    </w:p>
    <w:p>
      <w:pPr>
        <w:pStyle w:val="BookText"/>
      </w:pPr>
      <w:r>
        <w:rPr>
          <w:rFonts w:ascii="IRNazanin" w:hAnsi="IRNazanin" w:eastAsia="IRNazanin" w:cs="IRNazanin"/>
          <w:lang w:bidi="fa-IR"/>
          <w:color w:val="111111"/>
          <w:sz w:val="28"/>
          <w:szCs w:val="28"/>
          <w:rtl/>
        </w:rPr>
        <w:t xml:space="preserve">چشتی  انصاری، محمد منعم بن منور،</w:t>
      </w:r>
    </w:p>
    <w:p>
      <w:pPr>
        <w:pStyle w:val="BookText"/>
      </w:pPr>
      <w:r>
        <w:rPr>
          <w:rFonts w:ascii="Times New Roman" w:hAnsi="Times New Roman" w:eastAsia="Times New Roman" w:cs="Times New Roman"/>
          <w:lang w:val="en-US" w:bidi="en-US"/>
          <w:color w:val="111111"/>
          <w:sz w:val="28"/>
          <w:szCs w:val="28"/>
          <w:rtl/>
        </w:rPr>
        <w:t xml:space="preserve">asrar-ol-jafr</w:t>
      </w:r>
    </w:p>
    <w:p>
      <w:pPr>
        <w:pStyle w:val="BookText"/>
      </w:pPr>
      <w:r>
        <w:rPr>
          <w:rFonts w:ascii="Times New Roman" w:hAnsi="Times New Roman" w:eastAsia="Times New Roman" w:cs="Times New Roman"/>
          <w:lang w:val="en-US" w:bidi="en-US"/>
          <w:color w:val="111111"/>
          <w:sz w:val="28"/>
          <w:szCs w:val="28"/>
          <w:rtl/>
        </w:rPr>
        <w:t xml:space="preserve">čaštī ansārī, mohammad mon'em ebn-e monavvar</w:t>
      </w:r>
    </w:p>
    <w:p>
      <w:pPr>
        <w:pStyle w:val="BookText"/>
      </w:pPr>
      <w:r>
        <w:rPr>
          <w:rFonts w:ascii="IRNazanin" w:hAnsi="IRNazanin" w:eastAsia="IRNazanin" w:cs="IRNazanin"/>
          <w:lang w:bidi="fa-IR"/>
          <w:color w:val="111111"/>
          <w:sz w:val="28"/>
          <w:szCs w:val="28"/>
          <w:rtl/>
        </w:rPr>
        <w:t xml:space="preserve">قواعدی است مربوط به کلیات علم جفر و جفر جامع، استخراج شده از کتابهایی که در علم جفرتألیف شده و آزموده های پدر مؤلف در یک «مقدمه» و «خاتمه»، با ترسیم جدولهایی برای قواعد ذکر شده و گاهی قاعده های به نظم آمده است، مقدمه در استخراج امور غیبیه و یافتن بیت جفر جامع خاتمه در قواعد بر اساس جفر جامع.</w:t>
      </w:r>
    </w:p>
    <w:p>
      <w:pPr>
        <w:pStyle w:val="BookText"/>
      </w:pPr>
      <w:r>
        <w:rPr>
          <w:rFonts w:ascii="IRNazanin" w:hAnsi="IRNazanin" w:eastAsia="IRNazanin" w:cs="IRNazanin"/>
          <w:lang w:bidi="fa-IR"/>
          <w:color w:val="111111"/>
          <w:sz w:val="28"/>
          <w:szCs w:val="28"/>
          <w:rtl/>
        </w:rPr>
        <w:t xml:space="preserve">قم؛ مرکز احیاء؛ شماره نسخه: ۱۶۰۶</w:t>
      </w:r>
    </w:p>
    <w:p>
      <w:pPr>
        <w:pStyle w:val="BookText"/>
      </w:pPr>
      <w:r>
        <w:rPr>
          <w:rFonts w:ascii="IRNazanin" w:hAnsi="IRNazanin" w:eastAsia="IRNazanin" w:cs="IRNazanin"/>
          <w:lang w:bidi="fa-IR"/>
          <w:color w:val="111111"/>
          <w:sz w:val="28"/>
          <w:szCs w:val="28"/>
          <w:rtl/>
        </w:rPr>
        <w:t xml:space="preserve">آغاز: حمد و سپاس قادری را که قلوب عالمیان را به انوار علم و یقین متجلی گردانیده و صدور عارفان را به آثار حلم و تمکین مالا مال ساخته؛ انجام: و مجموع این دایره در این جدول من بعد نموده می شود.</w:t>
      </w:r>
    </w:p>
    <w:p>
      <w:pPr>
        <w:pStyle w:val="BookText"/>
      </w:pPr>
      <w:r>
        <w:rPr>
          <w:rFonts w:ascii="IRNazanin" w:hAnsi="IRNazanin" w:eastAsia="IRNazanin" w:cs="IRNazanin"/>
          <w:lang w:bidi="fa-IR"/>
          <w:color w:val="111111"/>
          <w:sz w:val="28"/>
          <w:szCs w:val="28"/>
          <w:rtl/>
        </w:rPr>
        <w:t xml:space="preserve">خط: نستعلیق ،کا: میرزا فقیر محمد مشهور به مرشد، تا: ۱۲۹۴ق جلد مقوایی عطف تیماج قهوه ای، ۵۲گ، ۱۵ سطر، 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۱۶/۵سم [ف: ۵ - ۱۴]</w:t>
      </w:r>
    </w:p>
    <w:p>
      <w:pPr>
        <w:pStyle w:val="Heading3"/>
      </w:pPr>
      <w:bookmarkStart w:id="1305" w:name="_Toc827"/>
      <w:r>
        <w:t>اسرار جنگل سیاه / داستان / فارسی</w:t>
      </w:r>
      <w:bookmarkEnd w:id="1305"/>
    </w:p>
    <w:p>
      <w:pPr>
        <w:pStyle w:val="BookText"/>
      </w:pPr>
      <w:r>
        <w:rPr>
          <w:rFonts w:ascii="Times New Roman" w:hAnsi="Times New Roman" w:eastAsia="Times New Roman" w:cs="Times New Roman"/>
          <w:lang w:val="en-US" w:bidi="en-US"/>
          <w:color w:val="111111"/>
          <w:sz w:val="28"/>
          <w:szCs w:val="28"/>
          <w:rtl/>
        </w:rPr>
        <w:t xml:space="preserve">asrār-e jangal-e sīyāh</w:t>
      </w:r>
    </w:p>
    <w:p>
      <w:pPr>
        <w:pStyle w:val="BookText"/>
      </w:pPr>
      <w:r>
        <w:rPr>
          <w:rFonts w:ascii="IRNazanin" w:hAnsi="IRNazanin" w:eastAsia="IRNazanin" w:cs="IRNazanin"/>
          <w:lang w:bidi="fa-IR"/>
          <w:color w:val="111111"/>
          <w:sz w:val="28"/>
          <w:szCs w:val="28"/>
          <w:rtl/>
        </w:rPr>
        <w:t xml:space="preserve">حنانه، عبد الغفار، ق ۱۴ قمری</w:t>
      </w:r>
    </w:p>
    <w:p>
      <w:pPr>
        <w:pStyle w:val="BookText"/>
      </w:pPr>
      <w:r>
        <w:rPr>
          <w:rFonts w:ascii="Times New Roman" w:hAnsi="Times New Roman" w:eastAsia="Times New Roman" w:cs="Times New Roman"/>
          <w:lang w:val="en-US" w:bidi="en-US"/>
          <w:color w:val="111111"/>
          <w:sz w:val="28"/>
          <w:szCs w:val="28"/>
          <w:rtl/>
        </w:rPr>
        <w:t xml:space="preserve">(hannāne, ‘abd-ol-qaffar (- 20c)</w:t>
      </w:r>
    </w:p>
    <w:p>
      <w:pPr>
        <w:pStyle w:val="BookText"/>
      </w:pPr>
      <w:r>
        <w:rPr>
          <w:rFonts w:ascii="IRNazanin" w:hAnsi="IRNazanin" w:eastAsia="IRNazanin" w:cs="IRNazanin"/>
          <w:lang w:bidi="fa-IR"/>
          <w:color w:val="111111"/>
          <w:sz w:val="28"/>
          <w:szCs w:val="28"/>
          <w:rtl/>
        </w:rPr>
        <w:t xml:space="preserve">داستان خارجی است با شخصیت هایی به نام کاماموری و ترمال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228" w:name="pg20365_260331"/>
    <w:bookmarkEnd w:id="228"/>
    <w:p>
      <w:pPr>
        <w:pStyle w:val="BookText"/>
      </w:pPr>
      <w:r>
        <w:rPr>
          <w:rFonts w:ascii="IRNazanin" w:hAnsi="IRNazanin" w:eastAsia="IRNazanin" w:cs="IRNazanin"/>
          <w:lang w:bidi="fa-IR"/>
          <w:color w:val="111111"/>
          <w:sz w:val="28"/>
          <w:szCs w:val="28"/>
          <w:rtl/>
        </w:rPr>
        <w:t xml:space="preserve">نک که در منطقه هورتی با حیوانات درنده در حيوانات درنده درگیر می شود.</w:t>
      </w:r>
    </w:p>
    <w:p>
      <w:pPr>
        <w:pStyle w:val="BookText"/>
      </w:pPr>
      <w:r>
        <w:rPr>
          <w:rFonts w:ascii="IRNazanin" w:hAnsi="IRNazanin" w:eastAsia="IRNazanin" w:cs="IRNazanin"/>
          <w:lang w:bidi="fa-IR"/>
          <w:color w:val="111111"/>
          <w:sz w:val="28"/>
          <w:szCs w:val="28"/>
          <w:rtl/>
        </w:rPr>
        <w:t xml:space="preserve">نویسنده این داستان سالگاری است.</w:t>
      </w:r>
    </w:p>
    <w:p>
      <w:pPr>
        <w:pStyle w:val="BookText"/>
      </w:pPr>
      <w:r>
        <w:rPr>
          <w:rFonts w:ascii="IRNazanin" w:hAnsi="IRNazanin" w:eastAsia="IRNazanin" w:cs="IRNazanin"/>
          <w:lang w:bidi="fa-IR"/>
          <w:color w:val="111111"/>
          <w:sz w:val="28"/>
          <w:szCs w:val="28"/>
          <w:rtl/>
        </w:rPr>
        <w:t xml:space="preserve">١ . قم؛ مسجد اعظم؛ شماره نسخه: ۱۵۰۵</w:t>
      </w:r>
    </w:p>
    <w:p>
      <w:pPr>
        <w:pStyle w:val="BookText"/>
      </w:pPr>
      <w:r>
        <w:rPr>
          <w:rFonts w:ascii="IRNazanin" w:hAnsi="IRNazanin" w:eastAsia="IRNazanin" w:cs="IRNazanin"/>
          <w:lang w:bidi="fa-IR"/>
          <w:color w:val="111111"/>
          <w:sz w:val="28"/>
          <w:szCs w:val="28"/>
          <w:rtl/>
        </w:rPr>
        <w:t xml:space="preserve">آغاز: بی حرکتی کای فرورفت کاهاموری به زمزمه گفت: او خوابیده بهتر صدایش دیگر ما را رسوا نمی کند .حالا خود محافظت کنیم شایاً ببر در کمین باشد؛ انجام: کاماموری  با تفنگش حیوان را قراوال رفت ولی حیوان متوحش از قسمت اول؛ خط: نستعلیق ،بی کا، بی تا :افتادگی: آغاز و انجـام؛ جلد: مقوا، ۶۰، مختلف السطر، قطع: بیاضی،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مخ: ۱ - ۱۴۴]</w:t>
      </w:r>
    </w:p>
    <w:p>
      <w:pPr>
        <w:pStyle w:val="BookText"/>
      </w:pPr>
      <w:r>
        <w:rPr>
          <w:rFonts w:ascii="IRNazanin" w:hAnsi="IRNazanin" w:eastAsia="IRNazanin" w:cs="IRNazanin"/>
          <w:lang w:bidi="fa-IR"/>
          <w:color w:val="111111"/>
          <w:sz w:val="28"/>
          <w:szCs w:val="28"/>
          <w:rtl/>
        </w:rPr>
        <w:t xml:space="preserve">۲ . قم؛ مسجد اعظم؛ شماره نسخه: ۱۵۰۶</w:t>
      </w:r>
    </w:p>
    <w:p>
      <w:pPr>
        <w:pStyle w:val="BookText"/>
      </w:pPr>
      <w:r>
        <w:rPr>
          <w:rFonts w:ascii="IRNazanin" w:hAnsi="IRNazanin" w:eastAsia="IRNazanin" w:cs="IRNazanin"/>
          <w:lang w:bidi="fa-IR"/>
          <w:color w:val="111111"/>
          <w:sz w:val="28"/>
          <w:szCs w:val="28"/>
          <w:rtl/>
        </w:rPr>
        <w:t xml:space="preserve">آغاز: را نگاه کنید در نیم کیلومتری دوفانوس سفید و سبز  را می بینید. ترمال نک فریاد کرد؛ انجام : و ترمال نک فریاد کرد ... نزدیک است که از زحماتم نتیجه بگیرم. ساحلبی حاصل  بود و دسته ای از ما را برد</w:t>
      </w:r>
    </w:p>
    <w:p>
      <w:pPr>
        <w:pStyle w:val="BookText"/>
      </w:pPr>
      <w:r>
        <w:rPr>
          <w:rFonts w:ascii="IRNazanin" w:hAnsi="IRNazanin" w:eastAsia="IRNazanin" w:cs="IRNazanin"/>
          <w:lang w:bidi="fa-IR"/>
          <w:color w:val="111111"/>
          <w:sz w:val="28"/>
          <w:szCs w:val="28"/>
          <w:rtl/>
        </w:rPr>
        <w:t xml:space="preserve">قسمت دوم؛ خط: نستعلیق،بی کا، بی تا: ادامه نسخه ۱۵۰۵؛ جـلد: مقوا، ۴۲گ، مختلف السطر، قطع: بیاضی، اندازه: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  [ف مخ: ۱ - ۱۴۴]</w:t>
      </w:r>
    </w:p>
    <w:p>
      <w:pPr>
        <w:pStyle w:val="BookText"/>
      </w:pPr>
      <w:r>
        <w:rPr>
          <w:rFonts w:ascii="IRNazanin" w:hAnsi="IRNazanin" w:eastAsia="IRNazanin" w:cs="IRNazanin"/>
          <w:lang w:bidi="fa-IR"/>
          <w:color w:val="111111"/>
          <w:sz w:val="28"/>
          <w:szCs w:val="28"/>
          <w:rtl/>
        </w:rPr>
        <w:t xml:space="preserve">۳. قم؛ مسجد اعظم؛ شماره نسخه: ۱۵۰۷</w:t>
      </w:r>
    </w:p>
    <w:p>
      <w:pPr>
        <w:pStyle w:val="BookText"/>
      </w:pPr>
      <w:r>
        <w:rPr>
          <w:rFonts w:ascii="IRNazanin" w:hAnsi="IRNazanin" w:eastAsia="IRNazanin" w:cs="IRNazanin"/>
          <w:lang w:bidi="fa-IR"/>
          <w:color w:val="111111"/>
          <w:sz w:val="28"/>
          <w:szCs w:val="28"/>
          <w:rtl/>
        </w:rPr>
        <w:t xml:space="preserve">آغاز :چه میخواهی ؟ - دختر جواب داد: از تشنگی می میرم.خفه می شوم. هوای اینجا مرا ناقص می کند. ترمال تک ! یـک قطره آب به من برسان !؛انجام: یک صدای رعد آسای پر تهدیدی از جانب جزیره لعنتی بلند شده و گفت: بودید همدیگر را خواهیم دید</w:t>
      </w:r>
    </w:p>
    <w:p>
      <w:pPr>
        <w:pStyle w:val="BookText"/>
      </w:pPr>
      <w:r>
        <w:rPr>
          <w:rFonts w:ascii="IRNazanin" w:hAnsi="IRNazanin" w:eastAsia="IRNazanin" w:cs="IRNazanin"/>
          <w:lang w:bidi="fa-IR"/>
          <w:color w:val="111111"/>
          <w:sz w:val="28"/>
          <w:szCs w:val="28"/>
          <w:rtl/>
        </w:rPr>
        <w:t xml:space="preserve">قسمت سوم؛ خط: نستعلیق، بی کا ،تا: ۱۵ مردادماه ۱۳۰۸؛ افتادگی: آغاز؛ جلد: مقوا ۵۱گ، مختلف السطر، قطع: بياض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مخ: ۱ - ۱۴۴]</w:t>
      </w:r>
    </w:p>
    <w:p>
      <w:pPr>
        <w:pStyle w:val="BookText"/>
      </w:pPr>
      <w:r>
        <w:rPr>
          <w:rFonts w:ascii="Amiri" w:hAnsi="Amiri" w:eastAsia="Amiri" w:cs="Amiri"/>
          <w:lang w:bidi="ar-SA"/>
          <w:color w:val="111111"/>
          <w:sz w:val="28"/>
          <w:szCs w:val="28"/>
          <w:rtl/>
        </w:rPr>
        <w:t xml:space="preserve">«اسرار حج » فتوح الحرمين</w:t>
      </w:r>
    </w:p>
    <w:p>
      <w:pPr>
        <w:pStyle w:val="Heading3"/>
      </w:pPr>
      <w:bookmarkStart w:id="1306" w:name="_Toc828"/>
      <w:r>
        <w:t>اسرار الحج / فقه / عربي</w:t>
      </w:r>
      <w:bookmarkEnd w:id="1306"/>
    </w:p>
    <w:p>
      <w:pPr>
        <w:pStyle w:val="BookText"/>
      </w:pPr>
      <w:r>
        <w:rPr>
          <w:rFonts w:ascii="Times New Roman" w:hAnsi="Times New Roman" w:eastAsia="Times New Roman" w:cs="Times New Roman"/>
          <w:lang w:val="en-US" w:bidi="en-US"/>
          <w:color w:val="111111"/>
          <w:sz w:val="28"/>
          <w:szCs w:val="28"/>
          <w:rtl/>
        </w:rPr>
        <w:t xml:space="preserve">asrār-ul-hajj</w:t>
      </w:r>
    </w:p>
    <w:p>
      <w:pPr>
        <w:pStyle w:val="BookText"/>
      </w:pPr>
      <w:r>
        <w:rPr>
          <w:rFonts w:ascii="IRNazanin" w:hAnsi="IRNazanin" w:eastAsia="IRNazanin" w:cs="IRNazanin"/>
          <w:lang w:bidi="fa-IR"/>
          <w:color w:val="111111"/>
          <w:sz w:val="28"/>
          <w:szCs w:val="28"/>
          <w:rtl/>
        </w:rPr>
        <w:t xml:space="preserve">خوئی، محمد بن حسینعلی، ق۱۳ قمری</w:t>
      </w:r>
    </w:p>
    <w:p>
      <w:pPr>
        <w:pStyle w:val="BookText"/>
      </w:pPr>
      <w:r>
        <w:rPr>
          <w:rFonts w:ascii="Times New Roman" w:hAnsi="Times New Roman" w:eastAsia="Times New Roman" w:cs="Times New Roman"/>
          <w:lang w:val="en-US" w:bidi="en-US"/>
          <w:color w:val="111111"/>
          <w:sz w:val="28"/>
          <w:szCs w:val="28"/>
          <w:rtl/>
        </w:rPr>
        <w:t xml:space="preserve">(xū’ī, mohammad ebn-e hoseyn-‘alī (- 19c)</w:t>
      </w:r>
    </w:p>
    <w:p>
      <w:pPr>
        <w:pStyle w:val="BookText"/>
      </w:pPr>
      <w:r>
        <w:rPr>
          <w:rFonts w:ascii="IRNazanin" w:hAnsi="IRNazanin" w:eastAsia="IRNazanin" w:cs="IRNazanin"/>
          <w:lang w:bidi="fa-IR"/>
          <w:color w:val="111111"/>
          <w:sz w:val="28"/>
          <w:szCs w:val="28"/>
          <w:rtl/>
        </w:rPr>
        <w:t xml:space="preserve">مشهد ؛رضوی؛ شماره نسخه: ض ۹۷۴۲</w:t>
      </w:r>
    </w:p>
    <w:p>
      <w:pPr>
        <w:pStyle w:val="BookText"/>
      </w:pPr>
      <w:r>
        <w:rPr>
          <w:rFonts w:ascii="IRNazanin" w:hAnsi="IRNazanin" w:eastAsia="IRNazanin" w:cs="IRNazanin"/>
          <w:lang w:bidi="fa-IR"/>
          <w:color w:val="111111"/>
          <w:sz w:val="28"/>
          <w:szCs w:val="28"/>
          <w:rtl/>
        </w:rPr>
        <w:t xml:space="preserve">خط: نسخ کاتب - مؤلف، تا: ۱۲۶۴ق [الفبائی: ۴۶]</w:t>
      </w:r>
    </w:p>
    <w:p>
      <w:pPr>
        <w:pStyle w:val="Heading3"/>
      </w:pPr>
      <w:bookmarkStart w:id="1307" w:name="_Toc829"/>
      <w:r>
        <w:t>اسرار الحج / فلسفه احکام -</w:t>
      </w:r>
      <w:bookmarkEnd w:id="1307"/>
    </w:p>
    <w:p>
      <w:pPr>
        <w:pStyle w:val="BookText"/>
      </w:pPr>
      <w:r>
        <w:rPr>
          <w:rFonts w:ascii="Times New Roman" w:hAnsi="Times New Roman" w:eastAsia="Times New Roman" w:cs="Times New Roman"/>
          <w:lang w:val="en-US" w:bidi="en-US"/>
          <w:color w:val="111111"/>
          <w:sz w:val="28"/>
          <w:szCs w:val="28"/>
          <w:rtl/>
        </w:rPr>
        <w:t xml:space="preserve">asrār-ol-hajj</w:t>
      </w:r>
    </w:p>
    <w:p>
      <w:pPr>
        <w:pStyle w:val="BookText"/>
      </w:pPr>
      <w:r>
        <w:rPr>
          <w:rFonts w:ascii="IRNazanin" w:hAnsi="IRNazanin" w:eastAsia="IRNazanin" w:cs="IRNazanin"/>
          <w:lang w:bidi="fa-IR"/>
          <w:color w:val="111111"/>
          <w:sz w:val="28"/>
          <w:szCs w:val="28"/>
          <w:rtl/>
        </w:rPr>
        <w:t xml:space="preserve">رشت؛ جمعیت نشر فرهنگ؛ شماره نسخه: ۱۴۶/۷ح</w:t>
      </w:r>
    </w:p>
    <w:p>
      <w:pPr>
        <w:pStyle w:val="BookText"/>
      </w:pPr>
      <w:r>
        <w:rPr>
          <w:rFonts w:ascii="IRNazanin" w:hAnsi="IRNazanin" w:eastAsia="IRNazanin" w:cs="IRNazanin"/>
          <w:lang w:bidi="fa-IR"/>
          <w:color w:val="111111"/>
          <w:sz w:val="28"/>
          <w:szCs w:val="28"/>
          <w:rtl/>
        </w:rPr>
        <w:t xml:space="preserve">کا: شیخ محمد حسین ابن شیخ محمد رضا رحمة الله عليه، تا: ۱۳۳۰ق، قطع: بیاض رقعی[ رشت و همدان - ف: - ۱۲۰۶]</w:t>
      </w:r>
    </w:p>
    <w:p>
      <w:pPr>
        <w:pStyle w:val="BookText"/>
      </w:pPr>
      <w:r>
        <w:rPr>
          <w:rFonts w:ascii="IRNazanin" w:hAnsi="IRNazanin" w:eastAsia="IRNazanin" w:cs="IRNazanin"/>
          <w:lang w:bidi="fa-IR"/>
          <w:color w:val="111111"/>
          <w:sz w:val="28"/>
          <w:szCs w:val="28"/>
          <w:rtl/>
        </w:rPr>
        <w:t xml:space="preserve">«اسرار حروف » تحفه روحانی</w:t>
      </w:r>
    </w:p>
    <w:p>
      <w:pPr>
        <w:pStyle w:val="BookText"/>
      </w:pPr>
      <w:r>
        <w:rPr>
          <w:rFonts w:ascii="IRNazanin" w:hAnsi="IRNazanin" w:eastAsia="IRNazanin" w:cs="IRNazanin"/>
          <w:lang w:bidi="fa-IR"/>
          <w:color w:val="111111"/>
          <w:sz w:val="28"/>
          <w:szCs w:val="28"/>
          <w:rtl/>
        </w:rPr>
        <w:t xml:space="preserve">«اسرار حروف » زبر و بینات</w:t>
      </w:r>
    </w:p>
    <w:p>
      <w:pPr>
        <w:pStyle w:val="BookText"/>
      </w:pPr>
      <w:r>
        <w:rPr>
          <w:rFonts w:ascii="Amiri" w:hAnsi="Amiri" w:eastAsia="Amiri" w:cs="Amiri"/>
          <w:lang w:bidi="ar-SA"/>
          <w:color w:val="111111"/>
          <w:sz w:val="28"/>
          <w:szCs w:val="28"/>
          <w:rtl/>
        </w:rPr>
        <w:t xml:space="preserve">«اسرار الحروف » النيروزية فى معانى الحروف الهجائية</w:t>
      </w:r>
    </w:p>
    <w:p>
      <w:pPr>
        <w:pStyle w:val="BookText"/>
      </w:pPr>
      <w:r>
        <w:rPr>
          <w:rFonts w:ascii="IRNazanin" w:hAnsi="IRNazanin" w:eastAsia="IRNazanin" w:cs="IRNazanin"/>
          <w:lang w:bidi="fa-IR"/>
          <w:color w:val="111111"/>
          <w:sz w:val="28"/>
          <w:szCs w:val="28"/>
          <w:rtl/>
        </w:rPr>
        <w:t xml:space="preserve">«اسرار الحروف » خواص حروف</w:t>
      </w:r>
    </w:p>
    <w:p>
      <w:pPr>
        <w:pStyle w:val="BookText"/>
      </w:pPr>
      <w:r>
        <w:rPr>
          <w:rFonts w:ascii="IRNazanin" w:hAnsi="IRNazanin" w:eastAsia="IRNazanin" w:cs="IRNazanin"/>
          <w:lang w:bidi="fa-IR"/>
          <w:color w:val="111111"/>
          <w:sz w:val="28"/>
          <w:szCs w:val="28"/>
          <w:rtl/>
        </w:rPr>
        <w:t xml:space="preserve">«اسرار الحروف » حروف</w:t>
      </w:r>
    </w:p>
    <w:p>
      <w:pPr>
        <w:pStyle w:val="BookText"/>
      </w:pPr>
      <w:r>
        <w:rPr>
          <w:rFonts w:ascii="Amiri" w:hAnsi="Amiri" w:eastAsia="Amiri" w:cs="Amiri"/>
          <w:lang w:bidi="ar-SA"/>
          <w:color w:val="111111"/>
          <w:sz w:val="28"/>
          <w:szCs w:val="28"/>
          <w:rtl/>
        </w:rPr>
        <w:t xml:space="preserve">«اسرار الحروف » رسالة الخواص</w:t>
      </w:r>
    </w:p>
    <w:p>
      <w:pPr>
        <w:pStyle w:val="Heading3"/>
      </w:pPr>
      <w:bookmarkStart w:id="1308" w:name="_Toc830"/>
      <w:r>
        <w:t>اسرار الحروف = علم الحروف / علوم غریبه / عربی</w:t>
      </w:r>
      <w:bookmarkEnd w:id="1308"/>
    </w:p>
    <w:p>
      <w:pPr>
        <w:pStyle w:val="BookText"/>
      </w:pPr>
      <w:r>
        <w:rPr>
          <w:rFonts w:ascii="Times New Roman" w:hAnsi="Times New Roman" w:eastAsia="Times New Roman" w:cs="Times New Roman"/>
          <w:lang w:val="en-US" w:bidi="en-US"/>
          <w:color w:val="111111"/>
          <w:sz w:val="28"/>
          <w:szCs w:val="28"/>
          <w:rtl/>
        </w:rPr>
        <w:t xml:space="preserve">asrar-ul-huraf = ilm-ul-huraf</w:t>
      </w:r>
    </w:p>
    <w:p>
      <w:pPr>
        <w:pStyle w:val="BookText"/>
      </w:pPr>
      <w:r>
        <w:rPr>
          <w:rFonts w:ascii="IRNazanin" w:hAnsi="IRNazanin" w:eastAsia="IRNazanin" w:cs="IRNazanin"/>
          <w:lang w:bidi="fa-IR"/>
          <w:color w:val="111111"/>
          <w:sz w:val="28"/>
          <w:szCs w:val="28"/>
          <w:rtl/>
        </w:rPr>
        <w:t xml:space="preserve">غزالی، محمد بن محمد، ۴۵۰ - ۵۰۵ قمری</w:t>
      </w:r>
    </w:p>
    <w:p>
      <w:pPr>
        <w:pStyle w:val="BookText"/>
      </w:pPr>
      <w:r>
        <w:rPr>
          <w:rFonts w:ascii="Times New Roman" w:hAnsi="Times New Roman" w:eastAsia="Times New Roman" w:cs="Times New Roman"/>
          <w:lang w:val="en-US" w:bidi="en-US"/>
          <w:color w:val="111111"/>
          <w:sz w:val="28"/>
          <w:szCs w:val="28"/>
          <w:rtl/>
        </w:rPr>
        <w:t xml:space="preserve">(qazzālī, mohammad ebn-e mohammad (1059 - 1112)</w:t>
      </w:r>
    </w:p>
    <w:p>
      <w:pPr>
        <w:pStyle w:val="BookText"/>
      </w:pPr>
      <w:r>
        <w:rPr>
          <w:rFonts w:ascii="IRNazanin" w:hAnsi="IRNazanin" w:eastAsia="IRNazanin" w:cs="IRNazanin"/>
          <w:lang w:bidi="fa-IR"/>
          <w:color w:val="111111"/>
          <w:sz w:val="28"/>
          <w:szCs w:val="28"/>
          <w:rtl/>
        </w:rPr>
        <w:t xml:space="preserve">رساله ای است در چند «فصل» درباره اسرار حروف مقطعه ای که در اوایل برخی از سور قرآنی آمده است، با استفاده از رمزها و اصطلاحات رایج در علوم غریبه.</w:t>
      </w:r>
    </w:p>
    <w:p>
      <w:pPr>
        <w:pStyle w:val="BookText"/>
      </w:pPr>
      <w:r>
        <w:rPr>
          <w:rFonts w:ascii="IRNazanin" w:hAnsi="IRNazanin" w:eastAsia="IRNazanin" w:cs="IRNazanin"/>
          <w:lang w:bidi="fa-IR"/>
          <w:color w:val="111111"/>
          <w:sz w:val="28"/>
          <w:szCs w:val="28"/>
          <w:rtl/>
        </w:rPr>
        <w:t xml:space="preserve">آغاز: بسمله قال الشيخ الامام ... ابو حامد الغزالي ... بعد حمد الله تعالى بما هو اهله والصلاة والسلام على نبينا محمد صلى الله عليه و آله و سلم ... الان اذكر الاقلام الان اذكر الاقلام الثلاثة و هي داخلة في قلمنا العربى و هى اى ق ش ب ک رج ل س د م ت ... هذه الاقلام سر الكون و الفساد بزيادة الاشارة و غايتها و هو الاشتراك الكلى الذى لا يكاد ان يخفى على من نظر في كتابنا</w:t>
      </w:r>
    </w:p>
    <w:p>
      <w:pPr>
        <w:pStyle w:val="BookText"/>
      </w:pPr>
      <w:r>
        <w:rPr>
          <w:rFonts w:ascii="Amiri" w:hAnsi="Amiri" w:eastAsia="Amiri" w:cs="Amiri"/>
          <w:lang w:bidi="ar-SA"/>
          <w:color w:val="111111"/>
          <w:sz w:val="28"/>
          <w:szCs w:val="28"/>
          <w:rtl/>
        </w:rPr>
        <w:t xml:space="preserve">انجام: وقد وضحت لك امراً مبهما عن الناس وقليل من ذكره من الناس... كما شرحت لك هاهنا و خير الخواتم ما استفتح باسم واهب القوة و نختم بالصلوة على سيد الاولين والآخرين و الرضى عن الصحابة اجمعين</w:t>
      </w:r>
    </w:p>
    <w:p>
      <w:pPr>
        <w:pStyle w:val="BookText"/>
      </w:pPr>
      <w:r>
        <w:rPr>
          <w:rFonts w:ascii="Amiri" w:hAnsi="Amiri" w:eastAsia="Amiri" w:cs="Amiri"/>
          <w:lang w:bidi="ar-SA"/>
          <w:color w:val="111111"/>
          <w:sz w:val="28"/>
          <w:szCs w:val="28"/>
          <w:rtl/>
        </w:rPr>
        <w:t xml:space="preserve">[كشف الظنون ۸۳/۱؛ هدية العارفين ۷۹/۲ - ۸۱ معجم المؤلفين (۲۶۶/۱۱-۲۶۷]</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گلپایگانی؛ شماره نسخه: ۷۱۳۴/۱۱-۳۶/۱۳۴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محمد ابراهيم و حیدر قلی کابلی، تا: ۱۳۱۲ق؛مصحح، دارای بلاغ مقابله به تاریخ ۱۳۱۲ق؛ جلد: گالینگور آبی ۵۳ گ، ۱۷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 - ۳۴۱]</w:t>
      </w:r>
    </w:p>
    <w:p>
      <w:pPr>
        <w:pStyle w:val="BookText"/>
      </w:pPr>
      <w:r>
        <w:rPr>
          <w:rFonts w:ascii="IRNazanin" w:hAnsi="IRNazanin" w:eastAsia="IRNazanin" w:cs="IRNazanin"/>
          <w:lang w:bidi="fa-IR"/>
          <w:color w:val="111111"/>
          <w:sz w:val="28"/>
          <w:szCs w:val="28"/>
          <w:rtl/>
        </w:rPr>
        <w:t xml:space="preserve">۲. مشهد؛ شیخ علی حیدر؛ شماره نسخه: ۵۳۶/۳</w:t>
      </w:r>
    </w:p>
    <w:p>
      <w:pPr>
        <w:pStyle w:val="BookText"/>
      </w:pPr>
      <w:r>
        <w:rPr>
          <w:rFonts w:ascii="Amiri" w:hAnsi="Amiri" w:eastAsia="Amiri" w:cs="Amiri"/>
          <w:lang w:bidi="ar-SA"/>
          <w:color w:val="111111"/>
          <w:sz w:val="28"/>
          <w:szCs w:val="28"/>
          <w:rtl/>
        </w:rPr>
        <w:t xml:space="preserve">آغاز: برابر؛ انجام: و علم ذلك حرف الهاء و ما في سطر ته لزوال البرودة من كتبها</w:t>
      </w:r>
    </w:p>
    <w:p>
      <w:pPr>
        <w:pStyle w:val="BookText"/>
      </w:pPr>
      <w:r>
        <w:rPr>
          <w:rFonts w:ascii="IRNazanin" w:hAnsi="IRNazanin" w:eastAsia="IRNazanin" w:cs="IRNazanin"/>
          <w:lang w:bidi="fa-IR"/>
          <w:color w:val="111111"/>
          <w:sz w:val="28"/>
          <w:szCs w:val="28"/>
          <w:rtl/>
        </w:rPr>
        <w:t xml:space="preserve">خط: نسخ، بی کا، بی تا؛ افتادگی: انجام؛ جلد: چرم مشکی، ۲۱گ (۲۹ پ - ۴۹ پ)، ۱۹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[مؤید: ۲ - ۳۷]</w:t>
      </w:r>
    </w:p>
    <w:p>
      <w:pPr>
        <w:pStyle w:val="Heading3"/>
      </w:pPr>
      <w:bookmarkStart w:id="1309" w:name="_Toc831"/>
      <w:r>
        <w:t>اسرار الحروف / جفر / عربي</w:t>
      </w:r>
      <w:bookmarkEnd w:id="1309"/>
    </w:p>
    <w:p>
      <w:pPr>
        <w:pStyle w:val="BookText"/>
      </w:pPr>
      <w:r>
        <w:rPr>
          <w:rFonts w:ascii="Times New Roman" w:hAnsi="Times New Roman" w:eastAsia="Times New Roman" w:cs="Times New Roman"/>
          <w:lang w:val="en-US" w:bidi="en-US"/>
          <w:color w:val="111111"/>
          <w:sz w:val="28"/>
          <w:szCs w:val="28"/>
          <w:rtl/>
        </w:rPr>
        <w:t xml:space="preserve">asrar-ul huraf</w:t>
      </w:r>
    </w:p>
    <w:p>
      <w:pPr>
        <w:pStyle w:val="BookText"/>
      </w:pPr>
      <w:r>
        <w:rPr>
          <w:rFonts w:ascii="IRNazanin" w:hAnsi="IRNazanin" w:eastAsia="IRNazanin" w:cs="IRNazanin"/>
          <w:lang w:bidi="fa-IR"/>
          <w:color w:val="111111"/>
          <w:sz w:val="28"/>
          <w:szCs w:val="28"/>
          <w:rtl/>
        </w:rPr>
        <w:t xml:space="preserve">ابن  عربی، محمد بن علی، ۵۶۰ - ۶۳۸ قمری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29" w:name="pg20365_260332"/>
    <w:bookmarkEnd w:id="229"/>
    <w:p>
      <w:pPr>
        <w:pStyle w:val="BookText"/>
      </w:pPr>
      <w:r>
        <w:rPr>
          <w:rFonts w:ascii="Times New Roman" w:hAnsi="Times New Roman" w:eastAsia="Times New Roman" w:cs="Times New Roman"/>
          <w:lang w:val="en-US" w:bidi="en-US"/>
          <w:color w:val="111111"/>
          <w:sz w:val="28"/>
          <w:szCs w:val="28"/>
          <w:rtl/>
        </w:rPr>
        <w:t xml:space="preserve">(ebn-e ‘arabī, mohammad ebn-e ‘alī (1166 - 1241)</w:t>
      </w:r>
    </w:p>
    <w:p>
      <w:pPr>
        <w:pStyle w:val="BookText"/>
      </w:pPr>
      <w:r>
        <w:rPr>
          <w:rFonts w:ascii="IRNazanin" w:hAnsi="IRNazanin" w:eastAsia="IRNazanin" w:cs="IRNazanin"/>
          <w:lang w:bidi="fa-IR"/>
          <w:color w:val="111111"/>
          <w:sz w:val="28"/>
          <w:szCs w:val="28"/>
          <w:rtl/>
        </w:rPr>
        <w:t xml:space="preserve">رساله ای در بیان خواص و اسرار و حقایق حروف ۲۸ گانه تهـجی و کشف رموزی که در کتب علمای علم حروف به کار رفته است و استخراج احکام از آنها با استفاده از آیات و روایات عناوين «واعلم- واعلم مؤلف این کتاب را به یکی درخواست یک از دوستانش نوشته است. در انتساب آن به ابن عربی تردید جدی وجود دارد و اکثر نسخه ها نیز بدون نام مؤلف آمده است و این انتساب فقط در نسخه مدرسه امام صادق یزد دیده شد.</w:t>
      </w:r>
    </w:p>
    <w:p>
      <w:pPr>
        <w:pStyle w:val="BookText"/>
      </w:pPr>
      <w:r>
        <w:rPr>
          <w:rFonts w:ascii="Amiri" w:hAnsi="Amiri" w:eastAsia="Amiri" w:cs="Amiri"/>
          <w:lang w:bidi="ar-SA"/>
          <w:color w:val="111111"/>
          <w:sz w:val="28"/>
          <w:szCs w:val="28"/>
          <w:rtl/>
        </w:rPr>
        <w:t xml:space="preserve">آغاز: الحمد لله الذى أدار بيد الاسرار لطائف أفلاك الملكوتيات و أبرز من خدير الغيب شموس معارف لذوى الحقائق الالهيات</w:t>
      </w:r>
    </w:p>
    <w:p>
      <w:pPr>
        <w:pStyle w:val="BookText"/>
      </w:pPr>
      <w:r>
        <w:rPr>
          <w:rFonts w:ascii="Amiri" w:hAnsi="Amiri" w:eastAsia="Amiri" w:cs="Amiri"/>
          <w:lang w:bidi="ar-SA"/>
          <w:color w:val="111111"/>
          <w:sz w:val="28"/>
          <w:szCs w:val="28"/>
          <w:rtl/>
        </w:rPr>
        <w:t xml:space="preserve">انجام: فنسأل الله تعالى أن أوضح لنا بأنوار أسراره و ألهمنا بذكره و أن شرح صدورنا بمعرفته و قلوبنا بحكمته وجميع إخواننـا كافة المسلمين و لا حول ولا قوة إلا بالله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مرعشی؛ شماره نسخه: ۶۲۹/۳</w:t>
      </w:r>
    </w:p>
    <w:p>
      <w:pPr>
        <w:pStyle w:val="BookText"/>
      </w:pPr>
      <w:r>
        <w:rPr>
          <w:rFonts w:ascii="IRNazanin" w:hAnsi="IRNazanin" w:eastAsia="IRNazanin" w:cs="IRNazanin"/>
          <w:lang w:bidi="fa-IR"/>
          <w:color w:val="111111"/>
          <w:sz w:val="28"/>
          <w:szCs w:val="28"/>
          <w:rtl/>
        </w:rPr>
        <w:t xml:space="preserve">آغاز: برابر؛ انجام: و أنت تحمل بالقول حتى يبقى خاطر الجـمیع عندك يكون ذلك انشاء الله تعالى و فضله</w:t>
      </w:r>
    </w:p>
    <w:p>
      <w:pPr>
        <w:pStyle w:val="BookText"/>
      </w:pPr>
      <w:r>
        <w:rPr>
          <w:rFonts w:ascii="IRNazanin" w:hAnsi="IRNazanin" w:eastAsia="IRNazanin" w:cs="IRNazanin"/>
          <w:lang w:bidi="fa-IR"/>
          <w:color w:val="111111"/>
          <w:sz w:val="28"/>
          <w:szCs w:val="28"/>
          <w:rtl/>
        </w:rPr>
        <w:t xml:space="preserve">تذکر: نام مؤلف به استناد نسخه ش ۱۱۶/۲۴ حوزه علمیه امام صادق تعیین شد؛ خط: نستعلیق ،نازیبا، بی کا، تا: ذیحجه ۱۰۳۶ق، جا: اصفهان؛ مصحح؛ جلد: تیماج قرمز، ۸۰گ (۸۱پ-۱۶۰ر)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۱۴/۵سم [ف: ۲ - ۲۳۱]</w:t>
      </w:r>
    </w:p>
    <w:p>
      <w:pPr>
        <w:pStyle w:val="BookText"/>
      </w:pPr>
      <w:r>
        <w:rPr>
          <w:rFonts w:ascii="IRNazanin" w:hAnsi="IRNazanin" w:eastAsia="IRNazanin" w:cs="IRNazanin"/>
          <w:lang w:bidi="fa-IR"/>
          <w:color w:val="111111"/>
          <w:sz w:val="28"/>
          <w:szCs w:val="28"/>
          <w:rtl/>
        </w:rPr>
        <w:t xml:space="preserve">۲. تهران؛ مجلس؛ شماره نسخه: ۱۲۴۱۳/۵</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نام مؤلف به استناد نسخه ش ۱۱۶/۲۴ حوزه علمیه امام صادق تعیین شد، قسمت اول کتاب؛ کا: عبدالکریم، تا: ۱۱۶۱ق؛ مجدول مذهب ،جلد: تیماج مشکی ۷ ص (۵۴-۶۰)، ۲۰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۲۶سم [ف: ۳۵ - ۳۶۸]</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اردکان یزد؛ امام صادق؛ شماره نسخه: ۱۱۶/۱۴</w:t>
      </w:r>
    </w:p>
    <w:p>
      <w:pPr>
        <w:pStyle w:val="BookText"/>
      </w:pPr>
      <w:r>
        <w:rPr>
          <w:rFonts w:ascii="IRNazanin" w:hAnsi="IRNazanin" w:eastAsia="IRNazanin" w:cs="IRNazanin"/>
          <w:lang w:bidi="fa-IR"/>
          <w:color w:val="111111"/>
          <w:sz w:val="28"/>
          <w:szCs w:val="28"/>
          <w:rtl/>
        </w:rPr>
        <w:t xml:space="preserve">خط: نستعليق، كا: عطاء الله بن محمد بن نظام حسینی بخاری، بی تا؛ جلد: تیماج  قرمز، ۳گ (۱۲۹پ-۱۳۱ر)،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  سم[ف: ۱ - ۹۸]</w:t>
      </w:r>
    </w:p>
    <w:p>
      <w:pPr>
        <w:pStyle w:val="BookText"/>
      </w:pPr>
      <w:r>
        <w:rPr>
          <w:rFonts w:ascii="IRNazanin" w:hAnsi="IRNazanin" w:eastAsia="IRNazanin" w:cs="IRNazanin"/>
          <w:lang w:bidi="fa-IR"/>
          <w:color w:val="111111"/>
          <w:sz w:val="28"/>
          <w:szCs w:val="28"/>
          <w:rtl/>
        </w:rPr>
        <w:t xml:space="preserve">۴. اردکان؛ یزد؛ امام صادق؛ شماره نسخه: ۱۱۶/۲۴</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غیر از رساله شماره ۱۴ همین مجموعه، رساله حاضر مفصل ظاهراً شرحی بر ساله قبل است به همراه جدول ها و دوائری در این علم؛ خط: نستعليق، كا: عطاء الله بن محمد بن نظام حسینی بخاری، بی تا؛ جلد: تیماج  قرمز، ۳۴گ (۲۰۲پ - ۲۳۵پ) ،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۱ - ۱۰۳]</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قم؛ گلپایگانی؛ شماره نسخه: ۱۳۶۲/۲-۸/۷۲</w:t>
      </w:r>
    </w:p>
    <w:p>
      <w:pPr>
        <w:pStyle w:val="BookText"/>
      </w:pPr>
      <w:r>
        <w:rPr>
          <w:rFonts w:ascii="Amiri" w:hAnsi="Amiri" w:eastAsia="Amiri" w:cs="Amiri"/>
          <w:lang w:bidi="ar-SA"/>
          <w:color w:val="111111"/>
          <w:sz w:val="28"/>
          <w:szCs w:val="28"/>
          <w:rtl/>
        </w:rPr>
        <w:t xml:space="preserve">آغاز: برابر؛ انجام: والشمس فى الخامس عشر من الحمل او العشرين يكتب على كاغذ فمن خاف خائفاً فيحمله يزول  عنه الخوف باذن الله تعالى قوبل بالاصل كما كان. تم</w:t>
      </w:r>
    </w:p>
    <w:p>
      <w:pPr>
        <w:pStyle w:val="BookText"/>
      </w:pPr>
      <w:r>
        <w:rPr>
          <w:rFonts w:ascii="IRNazanin" w:hAnsi="IRNazanin" w:eastAsia="IRNazanin" w:cs="IRNazanin"/>
          <w:lang w:bidi="fa-IR"/>
          <w:color w:val="111111"/>
          <w:sz w:val="28"/>
          <w:szCs w:val="28"/>
          <w:rtl/>
        </w:rPr>
        <w:t xml:space="preserve">این رساله در فهرست به نام «شموس المعارف» آمده که به قرینه آغاز نسخه حوزه علمیه امام صادق ش ۱۱۶/۲۴ همراه نام مؤلف  تعیین شد؛ خط: نسخ، بی کا، بی تا؛ مجدول مذهب، مقابله با نسخه  اصل در روز جمعه ربیع الاول ۱۰۸۰ ،دارای علامت بلاغ، مصحح، دارای اشکال   دوایر مربوط به کتاب ؛جلد: تیماج  قهوه ای سیر ترنج با سر ترنج، ۱۰۰گ، ۱۴ سطر،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۵ - ۲۷۲۵]</w:t>
      </w:r>
    </w:p>
    <w:p>
      <w:pPr>
        <w:pStyle w:val="Heading3"/>
      </w:pPr>
      <w:bookmarkStart w:id="1310" w:name="_Toc832"/>
      <w:r>
        <w:t>اسرار الحروف / علوم غریبه، شعر / فارسی</w:t>
      </w:r>
      <w:bookmarkEnd w:id="1310"/>
    </w:p>
    <w:p>
      <w:pPr>
        <w:pStyle w:val="BookText"/>
      </w:pPr>
      <w:r>
        <w:rPr>
          <w:rFonts w:ascii="Times New Roman" w:hAnsi="Times New Roman" w:eastAsia="Times New Roman" w:cs="Times New Roman"/>
          <w:lang w:val="en-US" w:bidi="en-US"/>
          <w:color w:val="111111"/>
          <w:sz w:val="28"/>
          <w:szCs w:val="28"/>
          <w:rtl/>
        </w:rPr>
        <w:t xml:space="preserve">asrar-ul huruf</w:t>
      </w:r>
    </w:p>
    <w:p>
      <w:pPr>
        <w:pStyle w:val="BookText"/>
      </w:pPr>
      <w:r>
        <w:rPr>
          <w:rFonts w:ascii="IRNazanin" w:hAnsi="IRNazanin" w:eastAsia="IRNazanin" w:cs="IRNazanin"/>
          <w:lang w:bidi="fa-IR"/>
          <w:color w:val="111111"/>
          <w:sz w:val="28"/>
          <w:szCs w:val="28"/>
          <w:rtl/>
        </w:rPr>
        <w:t xml:space="preserve">دهدار عیانی، محمود بن محمد، ق ۱۰ قمری</w:t>
      </w:r>
    </w:p>
    <w:p>
      <w:pPr>
        <w:pStyle w:val="BookText"/>
      </w:pPr>
      <w:r>
        <w:rPr>
          <w:rFonts w:ascii="Times New Roman" w:hAnsi="Times New Roman" w:eastAsia="Times New Roman" w:cs="Times New Roman"/>
          <w:lang w:val="en-US" w:bidi="en-US"/>
          <w:color w:val="111111"/>
          <w:sz w:val="28"/>
          <w:szCs w:val="28"/>
          <w:rtl/>
        </w:rPr>
        <w:t xml:space="preserve">(dehdār-e ‘ayānī, mahmūd ebn-e mohammad (- 16c)</w:t>
      </w:r>
    </w:p>
    <w:p>
      <w:pPr>
        <w:pStyle w:val="BookText"/>
      </w:pPr>
      <w:r>
        <w:rPr>
          <w:rFonts w:ascii="IRNazanin" w:hAnsi="IRNazanin" w:eastAsia="IRNazanin" w:cs="IRNazanin"/>
          <w:lang w:bidi="fa-IR"/>
          <w:color w:val="111111"/>
          <w:sz w:val="28"/>
          <w:szCs w:val="28"/>
          <w:rtl/>
        </w:rPr>
        <w:t xml:space="preserve">مختصری است در حدود پانصد بیت در بیان اسرار و خواص حروف که ابتدا با اشاره به حدیث پیامبر (صلّی اللَّهِ علیه وَ آلِهِ وَ سَلَّمَ ) «انا اول من تكلم بالضاد» اسرار و خواص حرف ضاد را بیان کرده و بعد از آن مطالبی در بیان بعضی از کیفیات حروف و خواص آن ذکر کرده است.</w:t>
      </w:r>
    </w:p>
    <w:p>
      <w:pPr>
        <w:pStyle w:val="BookText"/>
      </w:pPr>
      <w:r>
        <w:rPr>
          <w:rFonts w:ascii="IRNazanin" w:hAnsi="IRNazanin" w:eastAsia="IRNazanin" w:cs="IRNazanin"/>
          <w:lang w:bidi="fa-IR"/>
          <w:color w:val="111111"/>
          <w:sz w:val="28"/>
          <w:szCs w:val="28"/>
          <w:rtl/>
        </w:rPr>
        <w:t xml:space="preserve">آغاز: بسم  الله الرحمن الرحيم *** مطلع دیباچه حی قدیم / باء  بسم الله چون شد جلوه گر ***ای عیانی بر گشا گنج گهر</w:t>
      </w:r>
    </w:p>
    <w:p>
      <w:pPr>
        <w:pStyle w:val="BookText"/>
      </w:pPr>
      <w:r>
        <w:rPr>
          <w:rFonts w:ascii="IRNazanin" w:hAnsi="IRNazanin" w:eastAsia="IRNazanin" w:cs="IRNazanin"/>
          <w:lang w:bidi="fa-IR"/>
          <w:color w:val="111111"/>
          <w:sz w:val="28"/>
          <w:szCs w:val="28"/>
          <w:rtl/>
        </w:rPr>
        <w:t xml:space="preserve">انجام :یا الهی از سر صدق و صواب *** ساز دعوات عیانی  مستجاب</w:t>
      </w:r>
    </w:p>
    <w:p>
      <w:pPr>
        <w:pStyle w:val="BookText"/>
      </w:pPr>
      <w:r>
        <w:rPr>
          <w:rFonts w:ascii="IRNazanin" w:hAnsi="IRNazanin" w:eastAsia="IRNazanin" w:cs="IRNazanin"/>
          <w:lang w:bidi="fa-IR"/>
          <w:color w:val="111111"/>
          <w:sz w:val="28"/>
          <w:szCs w:val="28"/>
          <w:rtl/>
        </w:rPr>
        <w:t xml:space="preserve">[منزوی ۳۲۸۳/۴؛ فهرستواره منزوی ۱۴۱/۱۰]</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مرعشی؛ شماره نسخه: ۷۶۳۱/۲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ابو طالب بن محمد باقر حسینی تبریزی، تا: سه شنبه ۲۵ ذیحجه ۱۲۰۶ق، جلد: تیماج قهوه ای بدون مقوا، ۱۳گ (۲۹پ-۱۷پ) اندازه: ۱۶</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۲۳سم [ف: ۲۰ - ۳۵]</w:t>
      </w:r>
    </w:p>
    <w:p>
      <w:pPr>
        <w:pStyle w:val="BookText"/>
      </w:pPr>
      <w:r>
        <w:rPr>
          <w:rFonts w:ascii="IRNazanin" w:hAnsi="IRNazanin" w:eastAsia="IRNazanin" w:cs="IRNazanin"/>
          <w:lang w:bidi="fa-IR"/>
          <w:color w:val="111111"/>
          <w:sz w:val="28"/>
          <w:szCs w:val="28"/>
          <w:rtl/>
        </w:rPr>
        <w:t xml:space="preserve">۲. تهران؛ ملی؛ شماره نسخه: ۱۵۸۲۷</w:t>
      </w:r>
    </w:p>
    <w:p>
      <w:pPr>
        <w:pStyle w:val="BookText"/>
      </w:pPr>
      <w:r>
        <w:rPr>
          <w:rFonts w:ascii="IRNazanin" w:hAnsi="IRNazanin" w:eastAsia="IRNazanin" w:cs="IRNazanin"/>
          <w:lang w:bidi="fa-IR"/>
          <w:color w:val="111111"/>
          <w:sz w:val="28"/>
          <w:szCs w:val="28"/>
          <w:rtl/>
        </w:rPr>
        <w:t xml:space="preserve">آغاز: چو دانستی سؤال از هر چه خواهی *** بكن بشنو جواب خود تو آسان ... بدان ایدک الله که حضرت رسالت پناه؛ انجام: و حمل هیچ شکل نمینماید و حرفی باضافه ندارند و اسم مانعة الغير تمت بالخير</w:t>
      </w:r>
    </w:p>
    <w:p>
      <w:pPr>
        <w:pStyle w:val="BookText"/>
      </w:pPr>
      <w:r>
        <w:rPr>
          <w:rFonts w:ascii="IRNazanin" w:hAnsi="IRNazanin" w:eastAsia="IRNazanin" w:cs="IRNazanin"/>
          <w:lang w:bidi="fa-IR"/>
          <w:color w:val="111111"/>
          <w:sz w:val="28"/>
          <w:szCs w:val="28"/>
          <w:rtl/>
        </w:rPr>
        <w:t xml:space="preserve">خط: نسخ، بی کا، بی تا؛ کاغذ: فرنگی نخودی، جلد: تیماج حنایی مقوایی ،مجدول اندرون جلد آستر کاغذی، ۳گ (۱۵۸پ - ۱۶۰پ)، ۱۷ سطر (۹/۵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[رایانه]</w:t>
      </w:r>
    </w:p>
    <w:p>
      <w:pPr>
        <w:pStyle w:val="BookText"/>
      </w:pPr>
      <w:r>
        <w:rPr>
          <w:rFonts w:ascii="IRNazanin" w:hAnsi="IRNazanin" w:eastAsia="IRNazanin" w:cs="IRNazanin"/>
          <w:lang w:bidi="fa-IR"/>
          <w:color w:val="111111"/>
          <w:sz w:val="28"/>
          <w:szCs w:val="28"/>
          <w:rtl/>
        </w:rPr>
        <w:t xml:space="preserve">3.تهران؛ مجلس؛ شماره نسخه: ۱۲۵۷۵/۶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جلد :قهوه ای، ۲۴ ص( ۳۲۷-۳۵۰) [ف: ۳۶  - 116]</w:t>
      </w:r>
    </w:p>
    <w:p>
      <w:pPr>
        <w:pStyle w:val="Heading3"/>
      </w:pPr>
      <w:bookmarkStart w:id="1311" w:name="_Toc833"/>
      <w:r>
        <w:t>اسرار الحروف / علوم غریبه / عربی</w:t>
      </w:r>
      <w:bookmarkEnd w:id="1311"/>
    </w:p>
    <w:p>
      <w:pPr>
        <w:pStyle w:val="BookText"/>
      </w:pPr>
      <w:r>
        <w:rPr>
          <w:rFonts w:ascii="Times New Roman" w:hAnsi="Times New Roman" w:eastAsia="Times New Roman" w:cs="Times New Roman"/>
          <w:lang w:val="en-US" w:bidi="en-US"/>
          <w:color w:val="111111"/>
          <w:sz w:val="28"/>
          <w:szCs w:val="28"/>
          <w:rtl/>
        </w:rPr>
        <w:t xml:space="preserve">asrar-ul huraf</w:t>
      </w:r>
    </w:p>
    <w:p>
      <w:pPr>
        <w:pStyle w:val="BookText"/>
      </w:pPr>
      <w:r>
        <w:rPr>
          <w:rFonts w:ascii="IRNazanin" w:hAnsi="IRNazanin" w:eastAsia="IRNazanin" w:cs="IRNazanin"/>
          <w:lang w:bidi="fa-IR"/>
          <w:color w:val="111111"/>
          <w:sz w:val="28"/>
          <w:szCs w:val="28"/>
          <w:rtl/>
        </w:rPr>
        <w:t xml:space="preserve">در اسرار حروف مخصوصاً بسم الله الرحمن الرحیم به نقل از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230" w:name="pg20365_260333"/>
    <w:bookmarkEnd w:id="230"/>
    <w:p>
      <w:pPr>
        <w:pStyle w:val="BookText"/>
      </w:pPr>
      <w:r>
        <w:rPr>
          <w:rFonts w:ascii="IRNazanin" w:hAnsi="IRNazanin" w:eastAsia="IRNazanin" w:cs="IRNazanin"/>
          <w:lang w:bidi="fa-IR"/>
          <w:color w:val="111111"/>
          <w:sz w:val="28"/>
          <w:szCs w:val="28"/>
          <w:rtl/>
        </w:rPr>
        <w:t xml:space="preserve">حضرت امیرالمؤمنین (علیه السّلام) و بعضی دیگر ازائمه و غیرهم.</w:t>
      </w:r>
    </w:p>
    <w:p>
      <w:pPr>
        <w:pStyle w:val="BookText"/>
      </w:pPr>
      <w:r>
        <w:rPr>
          <w:rFonts w:ascii="IRNazanin" w:hAnsi="IRNazanin" w:eastAsia="IRNazanin" w:cs="IRNazanin"/>
          <w:lang w:bidi="fa-IR"/>
          <w:color w:val="111111"/>
          <w:sz w:val="28"/>
          <w:szCs w:val="28"/>
          <w:rtl/>
        </w:rPr>
        <w:t xml:space="preserve">قم؛ مرعشی؛ شماره نسخه: ۲۵۶۱/۳</w:t>
      </w:r>
    </w:p>
    <w:p>
      <w:pPr>
        <w:pStyle w:val="BookText"/>
      </w:pPr>
      <w:r>
        <w:rPr>
          <w:rFonts w:ascii="Amiri" w:hAnsi="Amiri" w:eastAsia="Amiri" w:cs="Amiri"/>
          <w:lang w:bidi="ar-SA"/>
          <w:color w:val="111111"/>
          <w:sz w:val="28"/>
          <w:szCs w:val="28"/>
          <w:rtl/>
        </w:rPr>
        <w:t xml:space="preserve">آغاز: الحمدلله مفنى الامم و محى الرمم والصلاة على المـمد بالعمم صاحب الطريق و الامم؛ انجام: أو يرى الارواح دون الاشباح و الحمد لله وحده و الصلاة على رسوله وآله.</w:t>
      </w:r>
    </w:p>
    <w:p>
      <w:pPr>
        <w:pStyle w:val="BookText"/>
      </w:pPr>
      <w:r>
        <w:rPr>
          <w:rFonts w:ascii="IRNazanin" w:hAnsi="IRNazanin" w:eastAsia="IRNazanin" w:cs="IRNazanin"/>
          <w:lang w:bidi="fa-IR"/>
          <w:color w:val="111111"/>
          <w:sz w:val="28"/>
          <w:szCs w:val="28"/>
          <w:rtl/>
        </w:rPr>
        <w:t xml:space="preserve">خط: نسخ، بی کا، بی تا؛ مجدول؛ جلد: تیماج مشکی، ۱۱ گ (۱۶ ر-۲۶پ)، ۲۰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۷ - ۱۴۵]</w:t>
      </w:r>
    </w:p>
    <w:p>
      <w:pPr>
        <w:pStyle w:val="Heading3"/>
      </w:pPr>
      <w:bookmarkStart w:id="1312" w:name="_Toc834"/>
      <w:r>
        <w:t>اسرار الحروف / علوم غریبه / فارسی</w:t>
      </w:r>
      <w:bookmarkEnd w:id="1312"/>
    </w:p>
    <w:p>
      <w:pPr>
        <w:pStyle w:val="BookText"/>
      </w:pPr>
      <w:r>
        <w:rPr>
          <w:rFonts w:ascii="Times New Roman" w:hAnsi="Times New Roman" w:eastAsia="Times New Roman" w:cs="Times New Roman"/>
          <w:lang w:val="en-US" w:bidi="en-US"/>
          <w:color w:val="111111"/>
          <w:sz w:val="28"/>
          <w:szCs w:val="28"/>
          <w:rtl/>
        </w:rPr>
        <w:t xml:space="preserve">asrār-ul ḥurūf</w:t>
      </w:r>
    </w:p>
    <w:p>
      <w:pPr>
        <w:pStyle w:val="BookText"/>
      </w:pPr>
      <w:r>
        <w:rPr>
          <w:rFonts w:ascii="IRNazanin" w:hAnsi="IRNazanin" w:eastAsia="IRNazanin" w:cs="IRNazanin"/>
          <w:lang w:bidi="fa-IR"/>
          <w:color w:val="111111"/>
          <w:sz w:val="28"/>
          <w:szCs w:val="28"/>
          <w:rtl/>
        </w:rPr>
        <w:t xml:space="preserve">در علم حروف و اعداد بوده و دارای نثر پارسی قبل ازعـصر صفوی می باشد.</w:t>
      </w:r>
    </w:p>
    <w:p>
      <w:pPr>
        <w:pStyle w:val="BookText"/>
      </w:pPr>
      <w:r>
        <w:rPr>
          <w:rFonts w:ascii="IRNazanin" w:hAnsi="IRNazanin" w:eastAsia="IRNazanin" w:cs="IRNazanin"/>
          <w:lang w:bidi="fa-IR"/>
          <w:color w:val="111111"/>
          <w:sz w:val="28"/>
          <w:szCs w:val="28"/>
          <w:rtl/>
        </w:rPr>
        <w:t xml:space="preserve">قم؛ مرعشی؛ شماره نسخه: ۱۱۱۲۱/۱</w:t>
      </w:r>
    </w:p>
    <w:p>
      <w:pPr>
        <w:pStyle w:val="BookText"/>
      </w:pPr>
      <w:r>
        <w:rPr>
          <w:rFonts w:ascii="IRNazanin" w:hAnsi="IRNazanin" w:eastAsia="IRNazanin" w:cs="IRNazanin"/>
          <w:lang w:bidi="fa-IR"/>
          <w:color w:val="111111"/>
          <w:sz w:val="28"/>
          <w:szCs w:val="28"/>
          <w:rtl/>
        </w:rPr>
        <w:t xml:space="preserve">آغاز: این کتاب سر خداست بزرگ  سر است و او ربانیست آنچنان چیز است که در عالم؛ انجام: اطفف سعف لبطشلا شلان.ن الله فقشقل صحلفو هلمعين</w:t>
      </w:r>
    </w:p>
    <w:p>
      <w:pPr>
        <w:pStyle w:val="BookText"/>
      </w:pPr>
      <w:r>
        <w:rPr>
          <w:rFonts w:ascii="IRNazanin" w:hAnsi="IRNazanin" w:eastAsia="IRNazanin" w:cs="IRNazanin"/>
          <w:lang w:bidi="fa-IR"/>
          <w:color w:val="111111"/>
          <w:sz w:val="28"/>
          <w:szCs w:val="28"/>
          <w:rtl/>
        </w:rPr>
        <w:t xml:space="preserve">خط:   نسخ، کا: معصوم بن  حسین، بروجردی ،تا:ربیع الاول ۱۲۴۴ق؛ کاغذ ،فرنگی، ۷گ (۱-۷) ۲۵ سطر، 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۱۶/۵سم [ف: ۲۸ - ۱۸۷]</w:t>
      </w:r>
    </w:p>
    <w:p>
      <w:pPr>
        <w:pStyle w:val="Heading3"/>
      </w:pPr>
      <w:bookmarkStart w:id="1313" w:name="_Toc835"/>
      <w:r>
        <w:t>اسرار الحروف / علوم غریبه / فارسی</w:t>
      </w:r>
      <w:bookmarkEnd w:id="1313"/>
    </w:p>
    <w:p>
      <w:pPr>
        <w:pStyle w:val="BookText"/>
      </w:pPr>
      <w:r>
        <w:rPr>
          <w:rFonts w:ascii="Times New Roman" w:hAnsi="Times New Roman" w:eastAsia="Times New Roman" w:cs="Times New Roman"/>
          <w:lang w:val="en-US" w:bidi="en-US"/>
          <w:color w:val="111111"/>
          <w:sz w:val="28"/>
          <w:szCs w:val="28"/>
          <w:rtl/>
        </w:rPr>
        <w:t xml:space="preserve">asrār-ul ḥurūf</w:t>
      </w:r>
    </w:p>
    <w:p>
      <w:pPr>
        <w:pStyle w:val="BookText"/>
      </w:pPr>
      <w:r>
        <w:rPr>
          <w:rFonts w:ascii="IRNazanin" w:hAnsi="IRNazanin" w:eastAsia="IRNazanin" w:cs="IRNazanin"/>
          <w:lang w:bidi="fa-IR"/>
          <w:color w:val="111111"/>
          <w:sz w:val="28"/>
          <w:szCs w:val="28"/>
          <w:rtl/>
        </w:rPr>
        <w:t xml:space="preserve">قم؛ مرکز مطالعات؛ شماره نسخه: ۸۲۶/۱</w:t>
      </w:r>
    </w:p>
    <w:p>
      <w:pPr>
        <w:pStyle w:val="BookText"/>
      </w:pPr>
      <w:r>
        <w:rPr>
          <w:rFonts w:ascii="IRNazanin" w:hAnsi="IRNazanin" w:eastAsia="IRNazanin" w:cs="IRNazanin"/>
          <w:lang w:bidi="fa-IR"/>
          <w:color w:val="111111"/>
          <w:sz w:val="28"/>
          <w:szCs w:val="28"/>
          <w:rtl/>
        </w:rPr>
        <w:t xml:space="preserve">خط: نستعلیق، بی کا، بی تا :جلد: تیماج قهوه ای، ۱۲گ( ۱ر- ۱۲پ)، ۱۲ 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۲ - ۱۰۱]</w:t>
      </w:r>
    </w:p>
    <w:p>
      <w:pPr>
        <w:pStyle w:val="Heading3"/>
      </w:pPr>
      <w:bookmarkStart w:id="1314" w:name="_Toc836"/>
      <w:r>
        <w:t>اسرار الحروف (ترجمه) / عرفان و تصوف / فارسی</w:t>
      </w:r>
      <w:bookmarkEnd w:id="1314"/>
    </w:p>
    <w:p>
      <w:pPr>
        <w:pStyle w:val="BookText"/>
      </w:pPr>
      <w:r>
        <w:rPr>
          <w:rFonts w:ascii="Times New Roman" w:hAnsi="Times New Roman" w:eastAsia="Times New Roman" w:cs="Times New Roman"/>
          <w:lang w:val="en-US" w:bidi="en-US"/>
          <w:color w:val="111111"/>
          <w:sz w:val="28"/>
          <w:szCs w:val="28"/>
          <w:rtl/>
        </w:rPr>
        <w:t xml:space="preserve">(asrār-ul ḥurūf (t.)</w:t>
      </w:r>
    </w:p>
    <w:p>
      <w:pPr>
        <w:pStyle w:val="BookText"/>
      </w:pPr>
      <w:r>
        <w:rPr>
          <w:rFonts w:ascii="IRNazanin" w:hAnsi="IRNazanin" w:eastAsia="IRNazanin" w:cs="IRNazanin"/>
          <w:lang w:bidi="fa-IR"/>
          <w:color w:val="111111"/>
          <w:sz w:val="28"/>
          <w:szCs w:val="28"/>
          <w:rtl/>
        </w:rPr>
        <w:t xml:space="preserve">مسیحائی، رکن الدین احمد بن عبد الرحمن، ق ۸ قمری</w:t>
      </w:r>
    </w:p>
    <w:p>
      <w:pPr>
        <w:pStyle w:val="BookText"/>
      </w:pPr>
      <w:r>
        <w:rPr>
          <w:rFonts w:ascii="Times New Roman" w:hAnsi="Times New Roman" w:eastAsia="Times New Roman" w:cs="Times New Roman"/>
          <w:lang w:val="en-US" w:bidi="en-US"/>
          <w:color w:val="111111"/>
          <w:sz w:val="28"/>
          <w:szCs w:val="28"/>
          <w:rtl/>
        </w:rPr>
        <w:t xml:space="preserve">(masyhā’ī, rokn-od-dīn ahmad ebn-e ‘abd-or-rahmān (-14c</w:t>
      </w:r>
    </w:p>
    <w:p>
      <w:pPr>
        <w:pStyle w:val="BookText"/>
      </w:pPr>
      <w:r>
        <w:rPr>
          <w:rFonts w:ascii="IRNazanin" w:hAnsi="IRNazanin" w:eastAsia="IRNazanin" w:cs="IRNazanin"/>
          <w:lang w:bidi="fa-IR"/>
          <w:color w:val="111111"/>
          <w:sz w:val="28"/>
          <w:szCs w:val="28"/>
          <w:rtl/>
        </w:rPr>
        <w:t xml:space="preserve">مؤلف در دیباچه می گوید که «رساله اسرار الحروف» بوعـلی سینا را از خانه کعبه (مکه) به خدمت قاضی شمس الدین دیباجی آورده و به دستور ایشان برای استفاده عموم در ۷۷۷ق به فارسی برگردانده است. با عناوین «فصل»: فصل بدانک چون در این عالم جسمی موجود می شود، فصل بدانک حروف خزانه خدایی  ست، فصل در بیان حروف و اصل تکسیر، فصل تقسيم حروف فلک ،المستقیم، فصل در جدول بیان قسمت منازل و بروج، فصل جدول اسماء باری تعالى.</w:t>
      </w:r>
    </w:p>
    <w:p>
      <w:pPr>
        <w:pStyle w:val="BookText"/>
      </w:pPr>
      <w:r>
        <w:rPr>
          <w:rFonts w:ascii="IRNazanin" w:hAnsi="IRNazanin" w:eastAsia="IRNazanin" w:cs="IRNazanin"/>
          <w:lang w:bidi="fa-IR"/>
          <w:color w:val="111111"/>
          <w:sz w:val="28"/>
          <w:szCs w:val="28"/>
          <w:rtl/>
        </w:rPr>
        <w:t xml:space="preserve">[فهرستواره ۳۰۰/۷ مشترک پاکستان ۳۲۹/۱ ترجمه اسرار الحروف)؛ حاجی خليفه 1/ 83«اسرار الحروف و الکلمات» از چند تن ]</w:t>
      </w:r>
    </w:p>
    <w:p>
      <w:pPr>
        <w:pStyle w:val="BookText"/>
      </w:pPr>
      <w:r>
        <w:rPr>
          <w:rFonts w:ascii="IRNazanin" w:hAnsi="IRNazanin" w:eastAsia="IRNazanin" w:cs="IRNazanin"/>
          <w:lang w:bidi="fa-IR"/>
          <w:color w:val="111111"/>
          <w:sz w:val="28"/>
          <w:szCs w:val="28"/>
          <w:rtl/>
        </w:rPr>
        <w:t xml:space="preserve">تهران؛ دائرة المعارف؛ شماره نسخه: ۳۱۹/۵-عکسی</w:t>
      </w:r>
    </w:p>
    <w:p>
      <w:pPr>
        <w:pStyle w:val="BookText"/>
      </w:pPr>
      <w:r>
        <w:rPr>
          <w:rFonts w:ascii="IRNazanin" w:hAnsi="IRNazanin" w:eastAsia="IRNazanin" w:cs="IRNazanin"/>
          <w:lang w:bidi="fa-IR"/>
          <w:color w:val="111111"/>
          <w:sz w:val="28"/>
          <w:szCs w:val="28"/>
          <w:rtl/>
        </w:rPr>
        <w:t xml:space="preserve">آغاز: شکر و سپاس مر خدایرا که آدمی را بهترین موجودات  گردانید ،و به شرف نطق و عقل در مرتبه اعلی رسانید ... بعد حمد و درود می گوید بنده امیدوار ... رکن الدین احمد بن عبدالرحمان ملقب به مسیحایی؛ انجام: به عدد تمام حروف ناظر با دل مطلوب منقلب گردد. و هو اعلم. تم.</w:t>
      </w:r>
    </w:p>
    <w:p>
      <w:pPr>
        <w:pStyle w:val="BookText"/>
      </w:pPr>
      <w:r>
        <w:rPr>
          <w:rFonts w:ascii="IRNazanin" w:hAnsi="IRNazanin" w:eastAsia="IRNazanin" w:cs="IRNazanin"/>
          <w:lang w:bidi="fa-IR"/>
          <w:color w:val="111111"/>
          <w:sz w:val="28"/>
          <w:szCs w:val="28"/>
          <w:rtl/>
        </w:rPr>
        <w:t xml:space="preserve">اصل نسخه: گنج بخش، ش ۴۰۸۴؛ خط: تحریری کهن، بی کا، تا: قرن 9؛11ص (۲۸۰ -۲۹۰) [ف: ۲ - ۹۹]</w:t>
      </w:r>
    </w:p>
    <w:p>
      <w:pPr>
        <w:pStyle w:val="Heading3"/>
      </w:pPr>
      <w:bookmarkStart w:id="1315" w:name="_Toc837"/>
      <w:r>
        <w:t>اسرار الحروف و الاعداد / عرفان و تصوف / عربی</w:t>
      </w:r>
      <w:bookmarkEnd w:id="1315"/>
    </w:p>
    <w:p>
      <w:pPr>
        <w:pStyle w:val="BookText"/>
      </w:pPr>
      <w:r>
        <w:rPr>
          <w:rFonts w:ascii="Times New Roman" w:hAnsi="Times New Roman" w:eastAsia="Times New Roman" w:cs="Times New Roman"/>
          <w:lang w:val="en-US" w:bidi="en-US"/>
          <w:color w:val="111111"/>
          <w:sz w:val="28"/>
          <w:szCs w:val="28"/>
          <w:rtl/>
        </w:rPr>
        <w:t xml:space="preserve">asrar-ul-huruf wa-l-a'dād</w:t>
      </w:r>
    </w:p>
    <w:p>
      <w:pPr>
        <w:pStyle w:val="BookText"/>
      </w:pPr>
      <w:r>
        <w:rPr>
          <w:rFonts w:ascii="IRNazanin" w:hAnsi="IRNazanin" w:eastAsia="IRNazanin" w:cs="IRNazanin"/>
          <w:lang w:bidi="fa-IR"/>
          <w:color w:val="111111"/>
          <w:sz w:val="28"/>
          <w:szCs w:val="28"/>
          <w:rtl/>
        </w:rPr>
        <w:t xml:space="preserve">رساله ای در این که اصل حروف الف است که دلالت بر وحدت ضمن کثرت دارد، و این که اعداد در واحد خلاصه می شوند که بازدلالت بر وحدت دارد و از این راه اشاره به وحدت وجود می شود.</w:t>
      </w:r>
    </w:p>
    <w:p>
      <w:pPr>
        <w:pStyle w:val="BookText"/>
      </w:pPr>
      <w:r>
        <w:rPr>
          <w:rFonts w:ascii="IRNazanin" w:hAnsi="IRNazanin" w:eastAsia="IRNazanin" w:cs="IRNazanin"/>
          <w:lang w:bidi="fa-IR"/>
          <w:color w:val="111111"/>
          <w:sz w:val="28"/>
          <w:szCs w:val="28"/>
          <w:rtl/>
        </w:rPr>
        <w:t xml:space="preserve">قم؛ مرعشی؛ شماره نسخه: ۴۶۵۰/۲۹</w:t>
      </w:r>
    </w:p>
    <w:p>
      <w:pPr>
        <w:pStyle w:val="BookText"/>
      </w:pPr>
      <w:r>
        <w:rPr>
          <w:rFonts w:ascii="IRNazanin" w:hAnsi="IRNazanin" w:eastAsia="IRNazanin" w:cs="IRNazanin"/>
          <w:lang w:bidi="fa-IR"/>
          <w:color w:val="111111"/>
          <w:sz w:val="28"/>
          <w:szCs w:val="28"/>
          <w:rtl/>
        </w:rPr>
        <w:t xml:space="preserve">آغاز: فی بعض اسرار الحروف و الاعداد تكثرت الحروف و هن حروف مشكلة بأشكال الحروف؛ انجام: أعاذنا الله من اتباع الباطل بعد ما أراناه حقاً، والحمد لله رب العالمين والصلاة على محمد و  آله اجمعين.</w:t>
      </w:r>
    </w:p>
    <w:p>
      <w:pPr>
        <w:pStyle w:val="BookText"/>
      </w:pPr>
      <w:r>
        <w:rPr>
          <w:rFonts w:ascii="IRNazanin" w:hAnsi="IRNazanin" w:eastAsia="IRNazanin" w:cs="IRNazanin"/>
          <w:lang w:bidi="fa-IR"/>
          <w:color w:val="111111"/>
          <w:sz w:val="28"/>
          <w:szCs w:val="28"/>
          <w:rtl/>
        </w:rPr>
        <w:t xml:space="preserve">خط: نستعليق، كا: احمد بن محمود متطبب تولمی گیلانی، بی تا؛جلد: مخمل  قرمز، ۲گ (۲۲۴ ر- ۲۲۵پ) اندازه: 12/5</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۱۲ - ۲۳۲]</w:t>
      </w:r>
    </w:p>
    <w:p>
      <w:pPr>
        <w:pStyle w:val="Heading3"/>
      </w:pPr>
      <w:bookmarkStart w:id="1316" w:name="_Toc838"/>
      <w:r>
        <w:t>اسرار حروف و وجود / متفرقه / فارسی</w:t>
      </w:r>
      <w:bookmarkEnd w:id="1316"/>
    </w:p>
    <w:p>
      <w:pPr>
        <w:pStyle w:val="BookText"/>
      </w:pPr>
      <w:r>
        <w:rPr>
          <w:rFonts w:ascii="Times New Roman" w:hAnsi="Times New Roman" w:eastAsia="Times New Roman" w:cs="Times New Roman"/>
          <w:lang w:val="en-US" w:bidi="en-US"/>
          <w:color w:val="111111"/>
          <w:sz w:val="28"/>
          <w:szCs w:val="28"/>
          <w:rtl/>
        </w:rPr>
        <w:t xml:space="preserve">asrar-e horuf va vojūd</w:t>
      </w:r>
    </w:p>
    <w:p>
      <w:pPr>
        <w:pStyle w:val="BookText"/>
      </w:pPr>
      <w:r>
        <w:rPr>
          <w:rFonts w:ascii="IRNazanin" w:hAnsi="IRNazanin" w:eastAsia="IRNazanin" w:cs="IRNazanin"/>
          <w:lang w:bidi="fa-IR"/>
          <w:color w:val="111111"/>
          <w:sz w:val="28"/>
          <w:szCs w:val="28"/>
          <w:rtl/>
        </w:rPr>
        <w:t xml:space="preserve">شمس العلماء گرکانی، محمد حسین، ۱۲۲۵ - ۱۳۰۵  شمسی</w:t>
      </w:r>
    </w:p>
    <w:p>
      <w:pPr>
        <w:pStyle w:val="BookText"/>
      </w:pPr>
      <w:r>
        <w:rPr>
          <w:rFonts w:ascii="Times New Roman" w:hAnsi="Times New Roman" w:eastAsia="Times New Roman" w:cs="Times New Roman"/>
          <w:lang w:val="en-US" w:bidi="en-US"/>
          <w:color w:val="111111"/>
          <w:sz w:val="28"/>
          <w:szCs w:val="28"/>
          <w:rtl/>
        </w:rPr>
        <w:t xml:space="preserve">(1926-šams-ol-'olama' gorgānī, mohammad hoseyn (1846 ·</w:t>
      </w:r>
    </w:p>
    <w:p>
      <w:pPr>
        <w:pStyle w:val="BookText"/>
      </w:pPr>
      <w:r>
        <w:rPr>
          <w:rFonts w:ascii="IRNazanin" w:hAnsi="IRNazanin" w:eastAsia="IRNazanin" w:cs="IRNazanin"/>
          <w:lang w:bidi="fa-IR"/>
          <w:color w:val="111111"/>
          <w:sz w:val="28"/>
          <w:szCs w:val="28"/>
          <w:rtl/>
        </w:rPr>
        <w:t xml:space="preserve">رساله ای است درباره اسرار حروف و دوائر ارتباط لفظ و معنی  و مراتب وجود و اسماء الله و اسماء عظام. نویسنده اظهار عقیده می کند که در متن واقع و نفس الامر ربط و علاقه و مناسبتی  بین لفظ و معنی هست...هر گاه کسی بر حقائق مبانی بر حقائق مبانی ... مطلع  شود اگر از وضع هم مطلع نباشد از الفاظ پی به معانی خواهد برد اگر چه عارف به آن لسان نباشد چنانکه از میرداماد و سایر حكماء اسلام معروف و مبنای عمل علماء جفر و علم میزان بر آن است این نوشته ها که بخش هایی پراکنده و با فواصل و بدون آخر و آگاه بدون ابتدا و انتهاست به نظر می رسد مسوده رساله ای مبسوط در موضوعات یاد شده است. در یکی از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31" w:name="pg20365_260334"/>
    <w:bookmarkEnd w:id="231"/>
    <w:p>
      <w:pPr>
        <w:pStyle w:val="BookText"/>
      </w:pPr>
      <w:r>
        <w:rPr>
          <w:rFonts w:ascii="IRNazanin" w:hAnsi="IRNazanin" w:eastAsia="IRNazanin" w:cs="IRNazanin"/>
          <w:lang w:bidi="fa-IR"/>
          <w:color w:val="111111"/>
          <w:sz w:val="28"/>
          <w:szCs w:val="28"/>
          <w:rtl/>
        </w:rPr>
        <w:t xml:space="preserve">فصل ها حروف را به این پنج قسم تقسیم می کند:۱. حروف رقميه، ۲. حروف لفظیه،3 . حروف  عددیه، ۴ .حروف فكريه، 5. حروف وجودیه. در پایان این ،بخش بخشی دیگر از اسماء الله با این عنوان نوشته شده «پای نویس اسماء الله العظام هر یک از حروف تهجی دویست و چهل و یک اسم مبارک است».</w:t>
      </w:r>
    </w:p>
    <w:p>
      <w:pPr>
        <w:pStyle w:val="BookText"/>
      </w:pPr>
      <w:r>
        <w:rPr>
          <w:rFonts w:ascii="IRNazanin" w:hAnsi="IRNazanin" w:eastAsia="IRNazanin" w:cs="IRNazanin"/>
          <w:lang w:bidi="fa-IR"/>
          <w:color w:val="111111"/>
          <w:sz w:val="28"/>
          <w:szCs w:val="28"/>
          <w:rtl/>
        </w:rPr>
        <w:t xml:space="preserve">تهران؛ مجلس؛ شماره نسخه: ۸۷۲/۴-ط</w:t>
      </w:r>
    </w:p>
    <w:p>
      <w:pPr>
        <w:pStyle w:val="BookText"/>
      </w:pPr>
      <w:r>
        <w:rPr>
          <w:rFonts w:ascii="IRNazanin" w:hAnsi="IRNazanin" w:eastAsia="IRNazanin" w:cs="IRNazanin"/>
          <w:lang w:bidi="fa-IR"/>
          <w:color w:val="111111"/>
          <w:sz w:val="28"/>
          <w:szCs w:val="28"/>
          <w:rtl/>
        </w:rPr>
        <w:t xml:space="preserve">آغاز: فصل بدان که خداوند خلاق... چنان طباق و علاقه اتصال و رابطه میان الواح وجود و اوراق غیب و شهود قرار فرموده اند که از هر یک پی به دیگری توان برد به حیثیتی که  اگر شخص لبیب به دیده حکمت ... در سطور و کلمات و سور و اوراق و صفحات هر یک از کتب تشریعیه وتکوینیه و آفاقیه و انفسیه امعان نظر کند؛ انجام: حرف الغين ،غفور ،غفار غنی... غافر الخطئيات.</w:t>
      </w:r>
    </w:p>
    <w:p>
      <w:pPr>
        <w:pStyle w:val="BookText"/>
      </w:pPr>
      <w:r>
        <w:rPr>
          <w:rFonts w:ascii="IRNazanin" w:hAnsi="IRNazanin" w:eastAsia="IRNazanin" w:cs="IRNazanin"/>
          <w:lang w:bidi="fa-IR"/>
          <w:color w:val="111111"/>
          <w:sz w:val="28"/>
          <w:szCs w:val="28"/>
          <w:rtl/>
        </w:rPr>
        <w:t xml:space="preserve">کا: محمد حسین گرکانی معروف به جناب، بی تا، افتادگی: آغـاز؛ کاغذ: فرنگی نخودی رنگ، جلد: تیماج سبز یک  لا، ۶۰گ، قطع: رقعی،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۲۳ - ۱۵۲]</w:t>
      </w:r>
    </w:p>
    <w:p>
      <w:pPr>
        <w:pStyle w:val="Heading3"/>
      </w:pPr>
      <w:bookmarkStart w:id="1317" w:name="_Toc839"/>
      <w:r>
        <w:t>الاسرار الحسينيه</w:t>
      </w:r>
      <w:bookmarkEnd w:id="1317"/>
    </w:p>
    <w:p>
      <w:pPr>
        <w:pStyle w:val="BookText"/>
      </w:pPr>
      <w:r>
        <w:rPr>
          <w:rFonts w:ascii="Times New Roman" w:hAnsi="Times New Roman" w:eastAsia="Times New Roman" w:cs="Times New Roman"/>
          <w:lang w:val="en-US" w:bidi="en-US"/>
          <w:color w:val="111111"/>
          <w:sz w:val="28"/>
          <w:szCs w:val="28"/>
          <w:rtl/>
        </w:rPr>
        <w:t xml:space="preserve">al-asrār-ol-hoseynīye</w:t>
      </w:r>
    </w:p>
    <w:p>
      <w:pPr>
        <w:pStyle w:val="BookText"/>
      </w:pPr>
      <w:r>
        <w:rPr>
          <w:rFonts w:ascii="IRNazanin" w:hAnsi="IRNazanin" w:eastAsia="IRNazanin" w:cs="IRNazanin"/>
          <w:lang w:bidi="fa-IR"/>
          <w:color w:val="111111"/>
          <w:sz w:val="28"/>
          <w:szCs w:val="28"/>
          <w:rtl/>
        </w:rPr>
        <w:t xml:space="preserve">تهران؛ ملی؛ شماره نسخه: ۱۸۳۵۳</w:t>
      </w:r>
    </w:p>
    <w:p>
      <w:pPr>
        <w:pStyle w:val="BookText"/>
      </w:pPr>
      <w:r>
        <w:rPr>
          <w:rFonts w:ascii="IRNazanin" w:hAnsi="IRNazanin" w:eastAsia="IRNazanin" w:cs="IRNazanin"/>
          <w:lang w:bidi="fa-IR"/>
          <w:color w:val="111111"/>
          <w:sz w:val="28"/>
          <w:szCs w:val="28"/>
          <w:rtl/>
        </w:rPr>
        <w:t xml:space="preserve">از ملا عبدالکریم؛ بی کا، تا: ۱۲۱۴ق؛ انتقالی از کتابخانه پهلوی- مجموعه نوازی؛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۱۶/۳سم [رایانه]</w:t>
      </w:r>
    </w:p>
    <w:p>
      <w:pPr>
        <w:pStyle w:val="Heading3"/>
      </w:pPr>
      <w:bookmarkStart w:id="1318" w:name="_Toc840"/>
      <w:r>
        <w:t>اسرار الحكم = حقایق الاسرار و دقایق الابرار / طب / فارسی</w:t>
      </w:r>
      <w:bookmarkEnd w:id="1318"/>
    </w:p>
    <w:p>
      <w:pPr>
        <w:pStyle w:val="BookText"/>
      </w:pPr>
      <w:r>
        <w:rPr>
          <w:rFonts w:ascii="Times New Roman" w:hAnsi="Times New Roman" w:eastAsia="Times New Roman" w:cs="Times New Roman"/>
          <w:lang w:val="en-US" w:bidi="en-US"/>
          <w:color w:val="111111"/>
          <w:sz w:val="28"/>
          <w:szCs w:val="28"/>
          <w:rtl/>
        </w:rPr>
        <w:t xml:space="preserve">asrār-ol-hekam = haqāyeq-ol-asrār va daqāyeq-ol-abrār</w:t>
      </w:r>
    </w:p>
    <w:p>
      <w:pPr>
        <w:pStyle w:val="BookText"/>
      </w:pPr>
      <w:r>
        <w:rPr>
          <w:rFonts w:ascii="IRNazanin" w:hAnsi="IRNazanin" w:eastAsia="IRNazanin" w:cs="IRNazanin"/>
          <w:lang w:bidi="fa-IR"/>
          <w:color w:val="111111"/>
          <w:sz w:val="28"/>
          <w:szCs w:val="28"/>
          <w:rtl/>
        </w:rPr>
        <w:t xml:space="preserve">قاری  گیلانی ،ملامیر، ق ۱۱ قمری</w:t>
      </w:r>
    </w:p>
    <w:p>
      <w:pPr>
        <w:pStyle w:val="BookText"/>
      </w:pPr>
      <w:r>
        <w:rPr>
          <w:rFonts w:ascii="Times New Roman" w:hAnsi="Times New Roman" w:eastAsia="Times New Roman" w:cs="Times New Roman"/>
          <w:lang w:val="en-US" w:bidi="en-US"/>
          <w:color w:val="111111"/>
          <w:sz w:val="28"/>
          <w:szCs w:val="28"/>
          <w:rtl/>
        </w:rPr>
        <w:t xml:space="preserve">(qārī gīlānī, mollā-mīr (- 17c)</w:t>
      </w:r>
    </w:p>
    <w:p>
      <w:pPr>
        <w:pStyle w:val="BookText"/>
      </w:pPr>
      <w:r>
        <w:rPr>
          <w:rFonts w:ascii="IRNazanin" w:hAnsi="IRNazanin" w:eastAsia="IRNazanin" w:cs="IRNazanin"/>
          <w:lang w:bidi="fa-IR"/>
          <w:color w:val="111111"/>
          <w:sz w:val="28"/>
          <w:szCs w:val="28"/>
          <w:rtl/>
        </w:rPr>
        <w:t xml:space="preserve">اهدا به: شاه عباس دوم</w:t>
      </w:r>
    </w:p>
    <w:p>
      <w:pPr>
        <w:pStyle w:val="BookText"/>
      </w:pPr>
      <w:r>
        <w:rPr>
          <w:rFonts w:ascii="IRNazanin" w:hAnsi="IRNazanin" w:eastAsia="IRNazanin" w:cs="IRNazanin"/>
          <w:lang w:bidi="fa-IR"/>
          <w:color w:val="111111"/>
          <w:sz w:val="28"/>
          <w:szCs w:val="28"/>
          <w:rtl/>
        </w:rPr>
        <w:t xml:space="preserve">تاریخ تالیف: ۱۰ جمادی الثانی ۱۰۰۹ق؛ محل تأليف: لاهيجان کتابی است مفصل در دستورات پزشکی، همراه با مطالب بسیاری در اخلاق و فلسفه و موضوعاتی در نجوم و جز اینها،  در دو بخش (یا دو جلد) ۱. در نه «باب» باب یکم در ستایش فرد خرده بین مصلحت  آئین ... باب نهم در تدبیر حمام؛ ۲. در شـش (باب) امور طبیعیه هضوم ،اربعه، اخلاط، قوی و جواهرنامه، اعراض نفسانیه، تشریح اعضاء.</w:t>
      </w:r>
    </w:p>
    <w:p>
      <w:pPr>
        <w:pStyle w:val="BookText"/>
      </w:pPr>
      <w:r>
        <w:rPr>
          <w:rFonts w:ascii="IRNazanin" w:hAnsi="IRNazanin" w:eastAsia="IRNazanin" w:cs="IRNazanin"/>
          <w:lang w:bidi="fa-IR"/>
          <w:color w:val="111111"/>
          <w:sz w:val="28"/>
          <w:szCs w:val="28"/>
          <w:rtl/>
        </w:rPr>
        <w:t xml:space="preserve">[فهرستواره منزوی (۳۲۷۹/۵]</w:t>
      </w:r>
    </w:p>
    <w:p>
      <w:pPr>
        <w:pStyle w:val="BookText"/>
      </w:pPr>
      <w:r>
        <w:rPr>
          <w:rFonts w:ascii="IRNazanin" w:hAnsi="IRNazanin" w:eastAsia="IRNazanin" w:cs="IRNazanin"/>
          <w:lang w:bidi="fa-IR"/>
          <w:color w:val="111111"/>
          <w:sz w:val="28"/>
          <w:szCs w:val="28"/>
          <w:rtl/>
        </w:rPr>
        <w:t xml:space="preserve">۱. تهران؛ ملک؛ شماره نسخه: ۲۴۷۱/۱</w:t>
      </w:r>
    </w:p>
    <w:p>
      <w:pPr>
        <w:pStyle w:val="BookText"/>
      </w:pPr>
      <w:r>
        <w:rPr>
          <w:rFonts w:ascii="IRNazanin" w:hAnsi="IRNazanin" w:eastAsia="IRNazanin" w:cs="IRNazanin"/>
          <w:lang w:bidi="fa-IR"/>
          <w:color w:val="111111"/>
          <w:sz w:val="28"/>
          <w:szCs w:val="28"/>
          <w:rtl/>
        </w:rPr>
        <w:t xml:space="preserve">آغاز ،بسمله، ای دو جهان محو تماشای تو جز تو.... کسی نیست شناسای تو ... لطائف سپاس نامحدود مترادفة الورود که روایح  اسرارش از گلزار ؛ انجام: و بعد هذا نشرع في تأليف المجلد.</w:t>
      </w:r>
    </w:p>
    <w:p>
      <w:pPr>
        <w:pStyle w:val="BookText"/>
      </w:pPr>
      <w:r>
        <w:rPr>
          <w:rFonts w:ascii="IRNazanin" w:hAnsi="IRNazanin" w:eastAsia="IRNazanin" w:cs="IRNazanin"/>
          <w:lang w:bidi="fa-IR"/>
          <w:color w:val="111111"/>
          <w:sz w:val="28"/>
          <w:szCs w:val="28"/>
          <w:rtl/>
        </w:rPr>
        <w:t xml:space="preserve">يخش یکم؛ خط: نستعلیق، بی کا، تا: قرن ۱۱؛ افتادگی: انجام؛ با سرلوح؛ کاغذ ،ترمه :جلد: میشن سیاه ضربی، ۱۸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۳۷سم [ف: ۶ - ۲۱]</w:t>
      </w:r>
    </w:p>
    <w:p>
      <w:pPr>
        <w:pStyle w:val="BookText"/>
      </w:pPr>
      <w:r>
        <w:rPr>
          <w:rFonts w:ascii="IRNazanin" w:hAnsi="IRNazanin" w:eastAsia="IRNazanin" w:cs="IRNazanin"/>
          <w:lang w:bidi="fa-IR"/>
          <w:color w:val="111111"/>
          <w:sz w:val="28"/>
          <w:szCs w:val="28"/>
          <w:rtl/>
        </w:rPr>
        <w:t xml:space="preserve">۲. تهران؛ دانشگاه؛ شماره نسخه: ۳۴۱۲/۱</w:t>
      </w:r>
    </w:p>
    <w:p>
      <w:pPr>
        <w:pStyle w:val="BookText"/>
      </w:pPr>
      <w:r>
        <w:rPr>
          <w:rFonts w:ascii="IRNazanin" w:hAnsi="IRNazanin" w:eastAsia="IRNazanin" w:cs="IRNazanin"/>
          <w:lang w:bidi="fa-IR"/>
          <w:color w:val="111111"/>
          <w:sz w:val="28"/>
          <w:szCs w:val="28"/>
          <w:rtl/>
        </w:rPr>
        <w:t xml:space="preserve">آغاز: بسمله. حمد بی حد مبدع ارواح را شکر بی عد صانع اشباح را آنکه روح از باغ جودش نفحه ایست *** عالم از بحر وجودش رشحه ایست؛ انجام: یقطین در لغت عرب هر نباتی که آن را ساق افراشته نباشد مانند کدو و خربزه آن را یقطین می دانند.</w:t>
      </w:r>
    </w:p>
    <w:p>
      <w:pPr>
        <w:pStyle w:val="BookText"/>
      </w:pPr>
      <w:r>
        <w:rPr>
          <w:rFonts w:ascii="IRNazanin" w:hAnsi="IRNazanin" w:eastAsia="IRNazanin" w:cs="IRNazanin"/>
          <w:lang w:bidi="fa-IR"/>
          <w:color w:val="111111"/>
          <w:sz w:val="28"/>
          <w:szCs w:val="28"/>
          <w:rtl/>
        </w:rPr>
        <w:t xml:space="preserve">جلد دوم؛ در شش باب؛ خط: نسخ، کا: محمد باقر عاملی، تا: ۱۰۵۳ق؛ قصیده ای از ابن یمین در دیباچه آن هست نزدیک به ۸۸ بيت (ص۳-۲) در پایان خواص اشیاء است؛ کاغذ: سپاهانی :جلد: تیماج مشکی درون ،عنابی ۱۴۶گ (۱-۱۴۶)، ۲۱ سطر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۱۱ - ۲۴۱۷]</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قم؛ مرعشی؛ شماره نسخه: ۶۵۳۴</w:t>
      </w:r>
    </w:p>
    <w:p>
      <w:pPr>
        <w:pStyle w:val="BookText"/>
      </w:pPr>
      <w:r>
        <w:rPr>
          <w:rFonts w:ascii="IRNazanin" w:hAnsi="IRNazanin" w:eastAsia="IRNazanin" w:cs="IRNazanin"/>
          <w:lang w:bidi="fa-IR"/>
          <w:color w:val="111111"/>
          <w:sz w:val="28"/>
          <w:szCs w:val="28"/>
          <w:rtl/>
        </w:rPr>
        <w:t xml:space="preserve">جلد دوم؛ خط: نسخ معرب و نستعلیق، بی کا، تا: قرن ۱۲؛ افتادگی: آغاز (برگ اول )و انجام( برگ آخر)؛ در بخش تشریح چند شکل توضیحی ترسیم شده؛ جلد: مقوایی عطف تیماج مشکی، ۲۹۹گ ۲۱ ،سطر، اندازه: ۲۱/۵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۳۷سم [ف: ۱۷ - ۱۱۷]</w:t>
      </w:r>
    </w:p>
    <w:p>
      <w:pPr>
        <w:pStyle w:val="BookText"/>
      </w:pPr>
      <w:r>
        <w:rPr>
          <w:rFonts w:ascii="IRNazanin" w:hAnsi="IRNazanin" w:eastAsia="IRNazanin" w:cs="IRNazanin"/>
          <w:lang w:bidi="fa-IR"/>
          <w:color w:val="111111"/>
          <w:sz w:val="28"/>
          <w:szCs w:val="28"/>
          <w:rtl/>
        </w:rPr>
        <w:t xml:space="preserve">۴ .قم؛ مرعشی؛ شماره نسخه: ۴۸۸۲</w:t>
      </w:r>
    </w:p>
    <w:p>
      <w:pPr>
        <w:pStyle w:val="BookText"/>
      </w:pPr>
      <w:r>
        <w:rPr>
          <w:rFonts w:ascii="IRNazanin" w:hAnsi="IRNazanin" w:eastAsia="IRNazanin" w:cs="IRNazanin"/>
          <w:lang w:bidi="fa-IR"/>
          <w:color w:val="111111"/>
          <w:sz w:val="28"/>
          <w:szCs w:val="28"/>
          <w:rtl/>
        </w:rPr>
        <w:t xml:space="preserve">آغاز: حمد بيحد مبدع ارواح را *** شكر بيعد صانع اشباح را؛ انجام: و اکثر یونانیان گفته اند که دیدن کواکب مر مسافران را و  کسانی را که قصد کار خفی کنند</w:t>
      </w:r>
    </w:p>
    <w:p>
      <w:pPr>
        <w:pStyle w:val="BookText"/>
      </w:pPr>
      <w:r>
        <w:rPr>
          <w:rFonts w:ascii="IRNazanin" w:hAnsi="IRNazanin" w:eastAsia="IRNazanin" w:cs="IRNazanin"/>
          <w:lang w:bidi="fa-IR"/>
          <w:color w:val="111111"/>
          <w:sz w:val="28"/>
          <w:szCs w:val="28"/>
          <w:rtl/>
        </w:rPr>
        <w:t xml:space="preserve">جلد دوم؛  خط: نستعلیق بی کا، بی تا؛ افتادگی: انجام؛ مصحح، در  حاشیه صفحه دوم وقف نامه کتاب به تاریخ ۲۲ جمادى الاول  ۱۲۹۹ ، بر فراز صفحه  پنجم  کتاب به تاریخ غره ماه صفر ۱۲۶۹ به میرزا محمد حسن شیخ الاسلام منتقل شده؛ جلد: مقوایی عطف تیماج قهوه ای، ۴۱۵گ، ۲۳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۳۲سم [ف : ۱۳ - ۶۲]</w:t>
      </w:r>
    </w:p>
    <w:p>
      <w:pPr>
        <w:pStyle w:val="BookText"/>
      </w:pPr>
      <w:r>
        <w:rPr>
          <w:rFonts w:ascii="IRNazanin" w:hAnsi="IRNazanin" w:eastAsia="IRNazanin" w:cs="IRNazanin"/>
          <w:lang w:bidi="fa-IR"/>
          <w:color w:val="111111"/>
          <w:sz w:val="28"/>
          <w:szCs w:val="28"/>
          <w:rtl/>
        </w:rPr>
        <w:t xml:space="preserve">«اسرار الحكماء » مغناطيس الابدان في تصرف خیالات  الانسان</w:t>
      </w:r>
    </w:p>
    <w:p>
      <w:pPr>
        <w:pStyle w:val="Heading3"/>
      </w:pPr>
      <w:bookmarkStart w:id="1319" w:name="_Toc841"/>
      <w:r>
        <w:t>اسرار الحكمة / كيميا / عربي</w:t>
      </w:r>
      <w:bookmarkEnd w:id="1319"/>
    </w:p>
    <w:p>
      <w:pPr>
        <w:pStyle w:val="BookText"/>
      </w:pPr>
      <w:r>
        <w:rPr>
          <w:rFonts w:ascii="Times New Roman" w:hAnsi="Times New Roman" w:eastAsia="Times New Roman" w:cs="Times New Roman"/>
          <w:lang w:val="en-US" w:bidi="en-US"/>
          <w:color w:val="111111"/>
          <w:sz w:val="28"/>
          <w:szCs w:val="28"/>
          <w:rtl/>
        </w:rPr>
        <w:t xml:space="preserve">asrār-ul-ḥikma</w:t>
      </w:r>
    </w:p>
    <w:p>
      <w:pPr>
        <w:pStyle w:val="BookText"/>
      </w:pPr>
      <w:r>
        <w:rPr>
          <w:rFonts w:ascii="IRNazanin" w:hAnsi="IRNazanin" w:eastAsia="IRNazanin" w:cs="IRNazanin"/>
          <w:lang w:bidi="fa-IR"/>
          <w:color w:val="111111"/>
          <w:sz w:val="28"/>
          <w:szCs w:val="28"/>
          <w:rtl/>
        </w:rPr>
        <w:t xml:space="preserve">طغرائی، حسین بن علی، ۴۵۵ - ۵۱۴ قمری</w:t>
      </w:r>
    </w:p>
    <w:p>
      <w:pPr>
        <w:pStyle w:val="BookText"/>
      </w:pPr>
      <w:r>
        <w:rPr>
          <w:rFonts w:ascii="Times New Roman" w:hAnsi="Times New Roman" w:eastAsia="Times New Roman" w:cs="Times New Roman"/>
          <w:lang w:val="en-US" w:bidi="en-US"/>
          <w:color w:val="111111"/>
          <w:sz w:val="28"/>
          <w:szCs w:val="28"/>
          <w:rtl/>
        </w:rPr>
        <w:t xml:space="preserve">(toqra'i, hoseyn ebn-e ali (1064 - 1121)</w:t>
      </w:r>
    </w:p>
    <w:p>
      <w:pPr>
        <w:pStyle w:val="BookText"/>
      </w:pPr>
      <w:r>
        <w:rPr>
          <w:rFonts w:ascii="IRNazanin" w:hAnsi="IRNazanin" w:eastAsia="IRNazanin" w:cs="IRNazanin"/>
          <w:lang w:bidi="fa-IR"/>
          <w:color w:val="111111"/>
          <w:sz w:val="28"/>
          <w:szCs w:val="28"/>
          <w:rtl/>
        </w:rPr>
        <w:t xml:space="preserve">حل رموز و بیان اصطلاحات اهل این فن.</w:t>
      </w:r>
    </w:p>
    <w:p>
      <w:pPr>
        <w:pStyle w:val="BookText"/>
      </w:pPr>
      <w:r>
        <w:rPr>
          <w:rFonts w:ascii="IRNazanin" w:hAnsi="IRNazanin" w:eastAsia="IRNazanin" w:cs="IRNazanin"/>
          <w:lang w:bidi="fa-IR"/>
          <w:color w:val="111111"/>
          <w:sz w:val="28"/>
          <w:szCs w:val="28"/>
          <w:rtl/>
        </w:rPr>
        <w:t xml:space="preserve">تهران؛ مجلس؛ شماره نسخه: ۷۳۰/۳</w:t>
      </w:r>
    </w:p>
    <w:p>
      <w:pPr>
        <w:pStyle w:val="BookText"/>
      </w:pPr>
      <w:r>
        <w:rPr>
          <w:rFonts w:ascii="Amiri" w:hAnsi="Amiri" w:eastAsia="Amiri" w:cs="Amiri"/>
          <w:lang w:bidi="ar-SA"/>
          <w:color w:val="111111"/>
          <w:sz w:val="28"/>
          <w:szCs w:val="28"/>
          <w:rtl/>
        </w:rPr>
        <w:t xml:space="preserve">آغاز: الحمد لله الذى فصل مواد انواع المكونات و اعدها لقبول  فيضان التاثيرات و التاثرات</w:t>
      </w:r>
    </w:p>
    <w:p>
      <w:pPr>
        <w:pStyle w:val="BookText"/>
      </w:pPr>
      <w:r>
        <w:rPr>
          <w:rFonts w:ascii="IRNazanin" w:hAnsi="IRNazanin" w:eastAsia="IRNazanin" w:cs="IRNazanin"/>
          <w:lang w:bidi="fa-IR"/>
          <w:color w:val="111111"/>
          <w:sz w:val="28"/>
          <w:szCs w:val="28"/>
          <w:rtl/>
        </w:rPr>
        <w:t xml:space="preserve">خط: نستعلیق و شکسته ،ریز، بی کا، تا: ۱۳۲۱ق؛ ۳۲ سطر، قطع:  وزیری، اندازه: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۲ - ۴۶۴]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232" w:name="pg20365_260335"/>
    <w:bookmarkEnd w:id="232"/>
    <w:p>
      <w:pPr>
        <w:pStyle w:val="BookText"/>
      </w:pPr>
      <w:r>
        <w:rPr>
          <w:rFonts w:ascii="IRNazanin" w:hAnsi="IRNazanin" w:eastAsia="IRNazanin" w:cs="IRNazanin"/>
          <w:lang w:bidi="fa-IR"/>
          <w:color w:val="111111"/>
          <w:sz w:val="28"/>
          <w:szCs w:val="28"/>
          <w:rtl/>
        </w:rPr>
        <w:t xml:space="preserve">« اسرار الحکمة المشرقیة» حی بن یقظان</w:t>
      </w:r>
    </w:p>
    <w:p>
      <w:pPr>
        <w:pStyle w:val="Heading3"/>
      </w:pPr>
      <w:bookmarkStart w:id="1320" w:name="_Toc842"/>
      <w:r>
        <w:t>اسرار الحكم في المفتتح و المختتم / فلسفه / فارسي</w:t>
      </w:r>
      <w:bookmarkEnd w:id="1320"/>
    </w:p>
    <w:p>
      <w:pPr>
        <w:pStyle w:val="BookText"/>
      </w:pPr>
      <w:r>
        <w:rPr>
          <w:rFonts w:ascii="Times New Roman" w:hAnsi="Times New Roman" w:eastAsia="Times New Roman" w:cs="Times New Roman"/>
          <w:lang w:val="en-US" w:bidi="en-US"/>
          <w:color w:val="111111"/>
          <w:sz w:val="28"/>
          <w:szCs w:val="28"/>
          <w:rtl/>
        </w:rPr>
        <w:t xml:space="preserve">asrār-ol-hekam fe-l-moftatah va-l-moxtatam</w:t>
      </w:r>
    </w:p>
    <w:p>
      <w:pPr>
        <w:pStyle w:val="BookText"/>
      </w:pPr>
      <w:r>
        <w:rPr>
          <w:rFonts w:ascii="IRNazanin" w:hAnsi="IRNazanin" w:eastAsia="IRNazanin" w:cs="IRNazanin"/>
          <w:lang w:bidi="fa-IR"/>
          <w:color w:val="111111"/>
          <w:sz w:val="28"/>
          <w:szCs w:val="28"/>
          <w:rtl/>
        </w:rPr>
        <w:t xml:space="preserve">سبزواری، هادی بن مهدی،1212- 1289قمری</w:t>
      </w:r>
    </w:p>
    <w:p>
      <w:pPr>
        <w:pStyle w:val="BookText"/>
      </w:pPr>
      <w:r>
        <w:rPr>
          <w:rFonts w:ascii="Times New Roman" w:hAnsi="Times New Roman" w:eastAsia="Times New Roman" w:cs="Times New Roman"/>
          <w:lang w:val="en-US" w:bidi="en-US"/>
          <w:color w:val="111111"/>
          <w:sz w:val="28"/>
          <w:szCs w:val="28"/>
          <w:rtl/>
        </w:rPr>
        <w:t xml:space="preserve">(sabzevārī, hādī ebn-e mahdī (1798 - 1872)</w:t>
      </w:r>
    </w:p>
    <w:p>
      <w:pPr>
        <w:pStyle w:val="BookText"/>
      </w:pPr>
      <w:r>
        <w:rPr>
          <w:rFonts w:ascii="Amiri" w:hAnsi="Amiri" w:eastAsia="Amiri" w:cs="Amiri"/>
          <w:lang w:bidi="ar-SA"/>
          <w:color w:val="111111"/>
          <w:sz w:val="28"/>
          <w:szCs w:val="28"/>
          <w:rtl/>
        </w:rPr>
        <w:t xml:space="preserve">تاريخ تأليف: ۱۲۷۴ ق (جلد اول)، ۱۲۸۶ (جلد دوم)</w:t>
      </w:r>
    </w:p>
    <w:p>
      <w:pPr>
        <w:pStyle w:val="BookText"/>
      </w:pPr>
      <w:r>
        <w:rPr>
          <w:rFonts w:ascii="Amiri" w:hAnsi="Amiri" w:eastAsia="Amiri" w:cs="Amiri"/>
          <w:lang w:bidi="ar-SA"/>
          <w:color w:val="111111"/>
          <w:sz w:val="28"/>
          <w:szCs w:val="28"/>
          <w:rtl/>
        </w:rPr>
        <w:t xml:space="preserve">اهدا به: ناصرالدين شاه قاجار</w:t>
      </w:r>
    </w:p>
    <w:p>
      <w:pPr>
        <w:pStyle w:val="BookText"/>
      </w:pPr>
      <w:r>
        <w:rPr>
          <w:rFonts w:ascii="IRNazanin" w:hAnsi="IRNazanin" w:eastAsia="IRNazanin" w:cs="IRNazanin"/>
          <w:lang w:bidi="fa-IR"/>
          <w:color w:val="111111"/>
          <w:sz w:val="28"/>
          <w:szCs w:val="28"/>
          <w:rtl/>
        </w:rPr>
        <w:t xml:space="preserve">كتاب مهمی است كه مؤلف آن را به درخواست ناصرالدين شاه قاجار، در ضمن ملاقات با مؤلف در سبزوار در سفر خود به مشهد، تأليف کرده است، در دو جلد: جلد اول در حکمت نظری، شامل هفت باب: ۱. اثبات واجب الوجود، ۲. معرفت  صفات حق تعالی، ۳. افعال حق تعالی، ۴. خودشناسی، ۵. انجام شناسی و معاد، ۶. نبوت مطلقه، ۷. امامت؛ جلد دوم درحکمت عملی در سه باب: ۱. طهارت، ۲. صلاة، ۳. صيام.متضمن شرح « القصیده العینیه»شيخ الرئيس ابو علي سينا در ضمن باب خودشناسی از جلد اول. مؤلف درباره تأليف كتاب  قصيده اي دارد كه مطلع آن چنين است: الحكم ** كاشفات المبتدأ و المختتم / تحفة من احقر الحلق الي « ملك ** قرم هو العالي الشیم»</w:t>
      </w:r>
    </w:p>
    <w:p>
      <w:pPr>
        <w:pStyle w:val="BookText"/>
      </w:pPr>
      <w:r>
        <w:rPr>
          <w:rFonts w:ascii="IRNazanin" w:hAnsi="IRNazanin" w:eastAsia="IRNazanin" w:cs="IRNazanin"/>
          <w:lang w:bidi="fa-IR"/>
          <w:color w:val="111111"/>
          <w:sz w:val="28"/>
          <w:szCs w:val="28"/>
          <w:rtl/>
        </w:rPr>
        <w:t xml:space="preserve">آغاز: (آغاز جلد ۱:) سپاس بيقياس ايزدی را سزاست كه در پرده حامديت هر حامد و محموديت هر محمود نوای اوست ... اين كتابي است در معارف مبدء و معاد مشتمل بر مطالب حكمت اشراقيه و مشائيه و بر مآرب مشارب ذوقيه مسمي به اسرار الحكم في المفتتح و المختتم</w:t>
      </w:r>
    </w:p>
    <w:p>
      <w:pPr>
        <w:pStyle w:val="BookText"/>
      </w:pPr>
      <w:r>
        <w:rPr>
          <w:rFonts w:ascii="IRNazanin" w:hAnsi="IRNazanin" w:eastAsia="IRNazanin" w:cs="IRNazanin"/>
          <w:lang w:bidi="fa-IR"/>
          <w:color w:val="111111"/>
          <w:sz w:val="28"/>
          <w:szCs w:val="28"/>
          <w:rtl/>
        </w:rPr>
        <w:t xml:space="preserve">(آغاز جلد ۲:) نخستين آفرين جهان را که همه دم گاه و بيگاه از سپيده دم روز ازل تا بسواد اعظم شبانگاه ابد مواقيت ذکر و ستايش اوست</w:t>
      </w:r>
    </w:p>
    <w:p>
      <w:pPr>
        <w:pStyle w:val="BookText"/>
      </w:pPr>
      <w:r>
        <w:rPr>
          <w:rFonts w:ascii="IRNazanin" w:hAnsi="IRNazanin" w:eastAsia="IRNazanin" w:cs="IRNazanin"/>
          <w:lang w:bidi="fa-IR"/>
          <w:color w:val="111111"/>
          <w:sz w:val="28"/>
          <w:szCs w:val="28"/>
          <w:rtl/>
        </w:rPr>
        <w:t xml:space="preserve">انجام: (پايان جلد ۱) و الحمدلله اولا و آخرا و العظمة له باطنا و ظاهرًا و الصلوة و السلام علي محمد و آله دائمًا متواترًا و يتلو هذا المجلد الثانی فی الحکم العملية انشاء الله غابرًا، نفع الله بها الطالبين دهرًا داهرًا</w:t>
      </w:r>
    </w:p>
    <w:p>
      <w:pPr>
        <w:pStyle w:val="BookText"/>
      </w:pPr>
      <w:r>
        <w:rPr>
          <w:rFonts w:ascii="IRNazanin" w:hAnsi="IRNazanin" w:eastAsia="IRNazanin" w:cs="IRNazanin"/>
          <w:lang w:bidi="fa-IR"/>
          <w:color w:val="111111"/>
          <w:sz w:val="28"/>
          <w:szCs w:val="28"/>
          <w:rtl/>
        </w:rPr>
        <w:t xml:space="preserve">(پايان جلد ۲:) و بعضی از فقها رضوان الله تعالی عليهم در اسرار العبادات نوشته اند و گويا اين فقير الی الله الغنی بيشتر مطالب برهانيه و ذوقيات عيانيه تحرير نموده باشد. کل ميسر لما خلق له،و اختتام پذيرفت اين تأليف در سال متمم هزار و دويست و هشتاد و شش هجری سنة 1286</w:t>
      </w:r>
    </w:p>
    <w:p>
      <w:pPr>
        <w:pStyle w:val="BookText"/>
      </w:pPr>
      <w:r>
        <w:rPr>
          <w:rFonts w:ascii="IRNazanin" w:hAnsi="IRNazanin" w:eastAsia="IRNazanin" w:cs="IRNazanin"/>
          <w:lang w:bidi="fa-IR"/>
          <w:color w:val="111111"/>
          <w:sz w:val="28"/>
          <w:szCs w:val="28"/>
          <w:rtl/>
        </w:rPr>
        <w:t xml:space="preserve">چاپ: ايران، سنگی بی ناشر، ۱۳۲۳ ، خشتی، ۴۷۴ ص؛ تهران،کتابفروشی اسلاميه، ۱۳۵۱ ش</w:t>
      </w:r>
    </w:p>
    <w:p>
      <w:pPr>
        <w:pStyle w:val="BookText"/>
      </w:pPr>
      <w:r>
        <w:rPr>
          <w:rFonts w:ascii="IRNazanin" w:hAnsi="IRNazanin" w:eastAsia="IRNazanin" w:cs="IRNazanin"/>
          <w:lang w:bidi="fa-IR"/>
          <w:color w:val="111111"/>
          <w:sz w:val="28"/>
          <w:szCs w:val="28"/>
          <w:rtl/>
        </w:rPr>
        <w:t xml:space="preserve">[ نسخه های منزوی: 2/ 732؛ الذریعة 2/ 44؛مشار فارسی1: 281:فهرستواره منزوی 6/ 70( 6 نسخه)و 9/ 88(2 نسخه)]</w:t>
      </w:r>
    </w:p>
    <w:p>
      <w:pPr>
        <w:pStyle w:val="BookText"/>
      </w:pPr>
      <w:r>
        <w:rPr>
          <w:rFonts w:ascii="Amiri" w:hAnsi="Amiri" w:eastAsia="Amiri" w:cs="Amiri"/>
          <w:lang w:bidi="ar-SA"/>
          <w:color w:val="111111"/>
          <w:sz w:val="28"/>
          <w:szCs w:val="28"/>
          <w:rtl/>
        </w:rPr>
        <w:t xml:space="preserve">١. تهران؛ عبدالعظيم؛ شماره نسخه:403</w:t>
      </w:r>
    </w:p>
    <w:p>
      <w:pPr>
        <w:pStyle w:val="BookText"/>
      </w:pPr>
      <w:r>
        <w:rPr>
          <w:rFonts w:ascii="IRNazanin" w:hAnsi="IRNazanin" w:eastAsia="IRNazanin" w:cs="IRNazanin"/>
          <w:lang w:bidi="fa-IR"/>
          <w:color w:val="111111"/>
          <w:sz w:val="28"/>
          <w:szCs w:val="28"/>
          <w:rtl/>
        </w:rPr>
        <w:t xml:space="preserve">آغاز: برابر آغاز جلد ۱؛ انجام: منکر تجرد نفس ناطقه در حقیقت ملحق به طباعیه و دهریه است، العیاذ بالله.</w:t>
      </w:r>
    </w:p>
    <w:p>
      <w:pPr>
        <w:pStyle w:val="BookText"/>
      </w:pPr>
      <w:r>
        <w:rPr>
          <w:rFonts w:ascii="IRNazanin" w:hAnsi="IRNazanin" w:eastAsia="IRNazanin" w:cs="IRNazanin"/>
          <w:lang w:bidi="fa-IR"/>
          <w:color w:val="111111"/>
          <w:sz w:val="28"/>
          <w:szCs w:val="28"/>
          <w:rtl/>
        </w:rPr>
        <w:t xml:space="preserve">خط: نستعلیق، بی کا، تا: قرن ۱۳؛سبزواری در این کتاب قصیده عينيه ابن سینا را شرح کرده است؛ بهای نسخه در ابتدای آن ۳۰۰ ریال درج شده؛ جلد: تیماج کبود، ۱۷۶گ، ۱۶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 - ۴۶]  2.شیراز؛ شاهچراغ؛ شماره نسخه: ۲۴۴۵/۲</w:t>
      </w:r>
    </w:p>
    <w:p>
      <w:pPr>
        <w:pStyle w:val="BookText"/>
      </w:pPr>
      <w:r>
        <w:rPr>
          <w:rFonts w:ascii="IRNazanin" w:hAnsi="IRNazanin" w:eastAsia="IRNazanin" w:cs="IRNazanin"/>
          <w:lang w:bidi="fa-IR"/>
          <w:color w:val="111111"/>
          <w:sz w:val="28"/>
          <w:szCs w:val="28"/>
          <w:rtl/>
        </w:rPr>
        <w:t xml:space="preserve">خط: نسخ، بی کا، تا :قرن ۱۳ ؛۶۰گ (۶۱-۱۲۰)،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۳ - ۱۲۶]</w:t>
      </w:r>
    </w:p>
    <w:p>
      <w:pPr>
        <w:pStyle w:val="BookText"/>
      </w:pPr>
      <w:r>
        <w:rPr>
          <w:rFonts w:ascii="IRNazanin" w:hAnsi="IRNazanin" w:eastAsia="IRNazanin" w:cs="IRNazanin"/>
          <w:lang w:bidi="fa-IR"/>
          <w:color w:val="111111"/>
          <w:sz w:val="28"/>
          <w:szCs w:val="28"/>
          <w:rtl/>
        </w:rPr>
        <w:t xml:space="preserve">3.تهران؛ ملی؛ شماره نسخه: ۲۳۶</w:t>
      </w:r>
    </w:p>
    <w:p>
      <w:pPr>
        <w:pStyle w:val="BookText"/>
      </w:pPr>
      <w:r>
        <w:rPr>
          <w:rFonts w:ascii="IRNazanin" w:hAnsi="IRNazanin" w:eastAsia="IRNazanin" w:cs="IRNazanin"/>
          <w:lang w:bidi="fa-IR"/>
          <w:color w:val="111111"/>
          <w:sz w:val="28"/>
          <w:szCs w:val="28"/>
          <w:rtl/>
        </w:rPr>
        <w:t xml:space="preserve">آغاز و انجام: برابر با جلد ۱</w:t>
      </w:r>
    </w:p>
    <w:p>
      <w:pPr>
        <w:pStyle w:val="BookText"/>
      </w:pPr>
      <w:r>
        <w:rPr>
          <w:rFonts w:ascii="IRNazanin" w:hAnsi="IRNazanin" w:eastAsia="IRNazanin" w:cs="IRNazanin"/>
          <w:lang w:bidi="fa-IR"/>
          <w:color w:val="111111"/>
          <w:sz w:val="28"/>
          <w:szCs w:val="28"/>
          <w:rtl/>
        </w:rPr>
        <w:t xml:space="preserve">جلد ۱؛ خط: نسخ خوش، بی کا، تا: قرن ۱۳؛ کاغذ:فرنگی آبی، :جلد: تیماج ،قرمز، ۲۶۵گ، ۱۶ سطر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 اندازه: ۱۶/۵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۲۶سم [ف: ۱ - ۲۴۰]</w:t>
      </w:r>
    </w:p>
    <w:p>
      <w:pPr>
        <w:pStyle w:val="BookText"/>
      </w:pPr>
      <w:r>
        <w:rPr>
          <w:rFonts w:ascii="IRNazanin" w:hAnsi="IRNazanin" w:eastAsia="IRNazanin" w:cs="IRNazanin"/>
          <w:lang w:bidi="fa-IR"/>
          <w:color w:val="111111"/>
          <w:sz w:val="28"/>
          <w:szCs w:val="28"/>
          <w:rtl/>
        </w:rPr>
        <w:t xml:space="preserve">4.تهران؛ دانشگاه؛ شماره نسخه: ۹۳۲۳/۳</w:t>
      </w:r>
    </w:p>
    <w:p>
      <w:pPr>
        <w:pStyle w:val="BookText"/>
      </w:pPr>
      <w:r>
        <w:rPr>
          <w:rFonts w:ascii="Amiri" w:hAnsi="Amiri" w:eastAsia="Amiri" w:cs="Amiri"/>
          <w:lang w:bidi="ar-SA"/>
          <w:color w:val="111111"/>
          <w:sz w:val="28"/>
          <w:szCs w:val="28"/>
          <w:rtl/>
        </w:rPr>
        <w:t xml:space="preserve">انجام: برابر با انجام جلد ۱؛ انجامه: فرغت من تاليف الرسالة في اليوم الثامن من شهر رجب سنة اربعة و سبعين بعد الماتين و الالف من الهجرة النبوية ۱۲۷۴</w:t>
      </w:r>
    </w:p>
    <w:p>
      <w:pPr>
        <w:pStyle w:val="BookText"/>
      </w:pPr>
      <w:r>
        <w:rPr>
          <w:rFonts w:ascii="IRNazanin" w:hAnsi="IRNazanin" w:eastAsia="IRNazanin" w:cs="IRNazanin"/>
          <w:lang w:bidi="fa-IR"/>
          <w:color w:val="111111"/>
          <w:sz w:val="28"/>
          <w:szCs w:val="28"/>
          <w:rtl/>
        </w:rPr>
        <w:t xml:space="preserve">در فهرست ناشناس و با عنوان «رساله فلسفی» آمده؛ خط: نستعلیق، بی کا، تا: ۸ رجب ۱۲۷۴ق [شاید صرفاً تاریخ تألیف]؛ افتادگی: آغاز؛ کاغذ: سپاهانی، جلد: تیماج تریاکی لایی، ۶گ (۳۵ر- ۴۰ر)، ۱۴ سطر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 ، قطع: بغلی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۱۷ - ۳۴۷]</w:t>
      </w:r>
    </w:p>
    <w:p>
      <w:pPr>
        <w:pStyle w:val="BookText"/>
      </w:pPr>
      <w:r>
        <w:rPr>
          <w:rFonts w:ascii="IRNazanin" w:hAnsi="IRNazanin" w:eastAsia="IRNazanin" w:cs="IRNazanin"/>
          <w:lang w:bidi="fa-IR"/>
          <w:color w:val="111111"/>
          <w:sz w:val="28"/>
          <w:szCs w:val="28"/>
          <w:rtl/>
        </w:rPr>
        <w:t xml:space="preserve">۵. تهران؛ مجلس؛ شماره نسخه: ۲۹۳۶</w:t>
      </w:r>
    </w:p>
    <w:p>
      <w:pPr>
        <w:pStyle w:val="BookText"/>
      </w:pPr>
      <w:r>
        <w:rPr>
          <w:rFonts w:ascii="IRNazanin" w:hAnsi="IRNazanin" w:eastAsia="IRNazanin" w:cs="IRNazanin"/>
          <w:lang w:bidi="fa-IR"/>
          <w:color w:val="111111"/>
          <w:sz w:val="28"/>
          <w:szCs w:val="28"/>
          <w:rtl/>
        </w:rPr>
        <w:t xml:space="preserve">آغاز و انجام :برابر با جلد ۲</w:t>
      </w:r>
    </w:p>
    <w:p>
      <w:pPr>
        <w:pStyle w:val="BookText"/>
      </w:pPr>
      <w:r>
        <w:rPr>
          <w:rFonts w:ascii="IRNazanin" w:hAnsi="IRNazanin" w:eastAsia="IRNazanin" w:cs="IRNazanin"/>
          <w:lang w:bidi="fa-IR"/>
          <w:color w:val="111111"/>
          <w:sz w:val="28"/>
          <w:szCs w:val="28"/>
          <w:rtl/>
        </w:rPr>
        <w:t xml:space="preserve">جلد دوم؛ خط: نسخ، کا: میر محمد علی خوانساری ،رضوی تا  :۱۲۸۷ق؛ مجدول ،کاغذ: فرنگی ،جلد: تیماج تریاکی دارای ترنج کمند وتعداد چهار گل در چهار گل چهار گوش، ۱۱۰ص، ۲۱سطر   ، قطع: وزیری، اندازه: ۱۶/۵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۲۴/۵سم [ف: ۱۰ - ۳۴۶]</w:t>
      </w:r>
    </w:p>
    <w:p>
      <w:pPr>
        <w:pStyle w:val="BookText"/>
      </w:pPr>
      <w:r>
        <w:rPr>
          <w:rFonts w:ascii="IRNazanin" w:hAnsi="IRNazanin" w:eastAsia="IRNazanin" w:cs="IRNazanin"/>
          <w:lang w:bidi="fa-IR"/>
          <w:color w:val="111111"/>
          <w:sz w:val="28"/>
          <w:szCs w:val="28"/>
          <w:rtl/>
        </w:rPr>
        <w:t xml:space="preserve">۶. تهران؛ مجلس؛ شماره نسخه: ۱۰۵۵۵</w:t>
      </w:r>
    </w:p>
    <w:p>
      <w:pPr>
        <w:pStyle w:val="BookText"/>
      </w:pPr>
      <w:r>
        <w:rPr>
          <w:rFonts w:ascii="IRNazanin" w:hAnsi="IRNazanin" w:eastAsia="IRNazanin" w:cs="IRNazanin"/>
          <w:lang w:bidi="fa-IR"/>
          <w:color w:val="111111"/>
          <w:sz w:val="28"/>
          <w:szCs w:val="28"/>
          <w:rtl/>
        </w:rPr>
        <w:t xml:space="preserve">آغاز و انجام :برابر با جلد ۲</w:t>
      </w:r>
    </w:p>
    <w:p>
      <w:pPr>
        <w:pStyle w:val="BookText"/>
      </w:pPr>
      <w:r>
        <w:rPr>
          <w:rFonts w:ascii="IRNazanin" w:hAnsi="IRNazanin" w:eastAsia="IRNazanin" w:cs="IRNazanin"/>
          <w:lang w:bidi="fa-IR"/>
          <w:color w:val="111111"/>
          <w:sz w:val="28"/>
          <w:szCs w:val="28"/>
          <w:rtl/>
        </w:rPr>
        <w:t xml:space="preserve">جلد ۲؛ خط: نستعلیق، کا: میرزا اسماعیل بن میرزا معصوم ،تفرشی :تا: شوال ،۱۲۸۷ق به حکم حاج میرزا رحیم پیشخدمت؛ مجدول؛ جلد: تیماج قهوه ای با ترنج و ،مجدول ۷۴گ، ۱۴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۲۳سم [ف: ۳۳/۱ - ۹۵]</w:t>
      </w:r>
    </w:p>
    <w:p>
      <w:pPr>
        <w:pStyle w:val="BookText"/>
      </w:pPr>
      <w:r>
        <w:rPr>
          <w:rFonts w:ascii="IRNazanin" w:hAnsi="IRNazanin" w:eastAsia="IRNazanin" w:cs="IRNazanin"/>
          <w:lang w:bidi="fa-IR"/>
          <w:color w:val="111111"/>
          <w:sz w:val="28"/>
          <w:szCs w:val="28"/>
          <w:rtl/>
        </w:rPr>
        <w:t xml:space="preserve">۷. تهران ؛الهیات؛ شماره نسخه: ۱۸۵</w:t>
      </w:r>
    </w:p>
    <w:p>
      <w:pPr>
        <w:pStyle w:val="BookText"/>
      </w:pPr>
      <w:r>
        <w:rPr>
          <w:rFonts w:ascii="IRNazanin" w:hAnsi="IRNazanin" w:eastAsia="IRNazanin" w:cs="IRNazanin"/>
          <w:lang w:bidi="fa-IR"/>
          <w:color w:val="111111"/>
          <w:sz w:val="28"/>
          <w:szCs w:val="28"/>
          <w:rtl/>
        </w:rPr>
        <w:t xml:space="preserve">خط: نسخ ،کا: محمد رضا برغمدی، تا: ۱۲۸۹ق (پایان جلد ۱) در پشت جلد راست تاریخ ۱۲۹۱ دیده می شود؛کاغذ فرنگی، جلد: تیماج قهوه ای ۲۱۱گ، ۲۱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قطع : وزیری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۹]</w:t>
      </w:r>
    </w:p>
    <w:p>
      <w:pPr>
        <w:pStyle w:val="BookText"/>
      </w:pPr>
      <w:r>
        <w:rPr>
          <w:rFonts w:ascii="IRNazanin" w:hAnsi="IRNazanin" w:eastAsia="IRNazanin" w:cs="IRNazanin"/>
          <w:lang w:bidi="fa-IR"/>
          <w:color w:val="111111"/>
          <w:sz w:val="28"/>
          <w:szCs w:val="28"/>
          <w:rtl/>
        </w:rPr>
        <w:t xml:space="preserve">۸ .تهران؛ ملی؛ شماره نسخه: ۲۲۹۰</w:t>
      </w:r>
    </w:p>
    <w:p>
      <w:pPr>
        <w:pStyle w:val="BookText"/>
      </w:pPr>
      <w:r>
        <w:rPr>
          <w:rFonts w:ascii="IRNazanin" w:hAnsi="IRNazanin" w:eastAsia="IRNazanin" w:cs="IRNazanin"/>
          <w:lang w:bidi="fa-IR"/>
          <w:color w:val="111111"/>
          <w:sz w:val="28"/>
          <w:szCs w:val="28"/>
          <w:rtl/>
        </w:rPr>
        <w:t xml:space="preserve">آغاز و انجام: برابر با جلد ۲</w:t>
      </w:r>
    </w:p>
    <w:p>
      <w:pPr>
        <w:pStyle w:val="BookText"/>
      </w:pPr>
      <w:r>
        <w:rPr>
          <w:rFonts w:ascii="IRNazanin" w:hAnsi="IRNazanin" w:eastAsia="IRNazanin" w:cs="IRNazanin"/>
          <w:lang w:bidi="fa-IR"/>
          <w:color w:val="111111"/>
          <w:sz w:val="28"/>
          <w:szCs w:val="28"/>
          <w:rtl/>
        </w:rPr>
        <w:t xml:space="preserve">جلد ۲ ،نام مؤلف به قرینه آغاز نسخه تعیین شد؛ خط: نستعلیق خوش، کا: محمد علی، تا: ۱۲۹۲ق؛ کاغذ: فرنگی، جلد: تیماج،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33" w:name="pg20365_260336"/>
    <w:bookmarkEnd w:id="233"/>
    <w:p>
      <w:pPr>
        <w:pStyle w:val="BookText"/>
      </w:pPr>
      <w:r>
        <w:rPr>
          <w:rFonts w:ascii="IRNazanin" w:hAnsi="IRNazanin" w:eastAsia="IRNazanin" w:cs="IRNazanin"/>
          <w:lang w:bidi="fa-IR"/>
          <w:color w:val="111111"/>
          <w:sz w:val="28"/>
          <w:szCs w:val="28"/>
          <w:rtl/>
        </w:rPr>
        <w:t xml:space="preserve">قرمز ،مقوایی ۹۷ گ، ۱۲ سطر (۶/۵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اندازه: 13</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ف: ۵ - ۴۰۶]</w:t>
      </w:r>
    </w:p>
    <w:p>
      <w:pPr>
        <w:pStyle w:val="BookText"/>
      </w:pPr>
      <w:r>
        <w:rPr>
          <w:rFonts w:ascii="IRNazanin" w:hAnsi="IRNazanin" w:eastAsia="IRNazanin" w:cs="IRNazanin"/>
          <w:lang w:bidi="fa-IR"/>
          <w:color w:val="111111"/>
          <w:sz w:val="28"/>
          <w:szCs w:val="28"/>
          <w:rtl/>
        </w:rPr>
        <w:t xml:space="preserve">۹ . قائن؛ حسینی قهستانی؛ شماره نسخه: ۳۵/۱</w:t>
      </w:r>
    </w:p>
    <w:p>
      <w:pPr>
        <w:pStyle w:val="BookText"/>
      </w:pPr>
      <w:r>
        <w:rPr>
          <w:rFonts w:ascii="IRNazanin" w:hAnsi="IRNazanin" w:eastAsia="IRNazanin" w:cs="IRNazanin"/>
          <w:lang w:bidi="fa-IR"/>
          <w:color w:val="111111"/>
          <w:sz w:val="28"/>
          <w:szCs w:val="28"/>
          <w:rtl/>
        </w:rPr>
        <w:t xml:space="preserve">آغاز :برابر با آغاز جلد ۲</w:t>
      </w:r>
    </w:p>
    <w:p>
      <w:pPr>
        <w:pStyle w:val="BookText"/>
      </w:pPr>
      <w:r>
        <w:rPr>
          <w:rFonts w:ascii="IRNazanin" w:hAnsi="IRNazanin" w:eastAsia="IRNazanin" w:cs="IRNazanin"/>
          <w:lang w:bidi="fa-IR"/>
          <w:color w:val="111111"/>
          <w:sz w:val="28"/>
          <w:szCs w:val="28"/>
          <w:rtl/>
        </w:rPr>
        <w:t xml:space="preserve">جلد ۲؛ خط: نسخ ،کا: عبدالرحیم موسوی خراسانی قائنی نوربخشی، تا: رمضان ۱۲۹۴ق [ در فهرست ۱۲۴۹ آمده و باید ۱۲۹۴ باشد]، جا: سبزوار؛ جلد: تیماج ،مشکی، ۴۴گ (۱ر-۴۴پ  )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۲۲/۵سم [ف: ۱۴۳]</w:t>
      </w:r>
    </w:p>
    <w:p>
      <w:pPr>
        <w:pStyle w:val="BookText"/>
      </w:pPr>
      <w:r>
        <w:rPr>
          <w:rFonts w:ascii="IRNazanin" w:hAnsi="IRNazanin" w:eastAsia="IRNazanin" w:cs="IRNazanin"/>
          <w:lang w:bidi="fa-IR"/>
          <w:color w:val="111111"/>
          <w:sz w:val="28"/>
          <w:szCs w:val="28"/>
          <w:rtl/>
        </w:rPr>
        <w:t xml:space="preserve">۱۰ . شیراز؛ ملی؛ شماره نسخه: ۸- الف /۸۶</w:t>
      </w:r>
    </w:p>
    <w:p>
      <w:pPr>
        <w:pStyle w:val="BookText"/>
      </w:pPr>
      <w:r>
        <w:rPr>
          <w:rFonts w:ascii="IRNazanin" w:hAnsi="IRNazanin" w:eastAsia="IRNazanin" w:cs="IRNazanin"/>
          <w:lang w:bidi="fa-IR"/>
          <w:color w:val="111111"/>
          <w:sz w:val="28"/>
          <w:szCs w:val="28"/>
          <w:rtl/>
        </w:rPr>
        <w:t xml:space="preserve">آغاز و انجام: برابر با جلد ۱</w:t>
      </w:r>
    </w:p>
    <w:p>
      <w:pPr>
        <w:pStyle w:val="BookText"/>
      </w:pPr>
      <w:r>
        <w:rPr>
          <w:rFonts w:ascii="IRNazanin" w:hAnsi="IRNazanin" w:eastAsia="IRNazanin" w:cs="IRNazanin"/>
          <w:lang w:bidi="fa-IR"/>
          <w:color w:val="111111"/>
          <w:sz w:val="28"/>
          <w:szCs w:val="28"/>
          <w:rtl/>
        </w:rPr>
        <w:t xml:space="preserve">جلد ۱؛ خط: شکسته نستعلیق، کا: حاج اسد الله مستشير الملك.تا: ،۱۳۰۰ق، جا: شیراز؛ محشی؛ کاغذ: فرنگی ،شکری،جلد: مقوا با تیماج سرخ، ۱۲۷گ، ۱۶ - ۲۹ سطر (7/5</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۱ - ۷۶]</w:t>
      </w:r>
    </w:p>
    <w:p>
      <w:pPr>
        <w:pStyle w:val="BookText"/>
      </w:pPr>
      <w:r>
        <w:rPr>
          <w:rFonts w:ascii="IRNazanin" w:hAnsi="IRNazanin" w:eastAsia="IRNazanin" w:cs="IRNazanin"/>
          <w:lang w:bidi="fa-IR"/>
          <w:color w:val="111111"/>
          <w:sz w:val="28"/>
          <w:szCs w:val="28"/>
          <w:rtl/>
        </w:rPr>
        <w:t xml:space="preserve">۱۱. شیراز؛ ملی؛ شماره نسخه: ۷۵۱</w:t>
      </w:r>
    </w:p>
    <w:p>
      <w:pPr>
        <w:pStyle w:val="BookText"/>
      </w:pPr>
      <w:r>
        <w:rPr>
          <w:rFonts w:ascii="IRNazanin" w:hAnsi="IRNazanin" w:eastAsia="IRNazanin" w:cs="IRNazanin"/>
          <w:lang w:bidi="fa-IR"/>
          <w:color w:val="111111"/>
          <w:sz w:val="28"/>
          <w:szCs w:val="28"/>
          <w:rtl/>
        </w:rPr>
        <w:t xml:space="preserve">انجام: برابر با انجام جلد ۱</w:t>
      </w:r>
    </w:p>
    <w:p>
      <w:pPr>
        <w:pStyle w:val="BookText"/>
      </w:pPr>
      <w:r>
        <w:rPr>
          <w:rFonts w:ascii="IRNazanin" w:hAnsi="IRNazanin" w:eastAsia="IRNazanin" w:cs="IRNazanin"/>
          <w:lang w:bidi="fa-IR"/>
          <w:color w:val="111111"/>
          <w:sz w:val="28"/>
          <w:szCs w:val="28"/>
          <w:rtl/>
        </w:rPr>
        <w:t xml:space="preserve">خط: نستعلیق، بی کا، تا :۱۵ رجب ۱۳۰۱ق؛ کاغذ: ترمه شکری،جلد: مقوا با تیماج  سرخ، ۱۷۵گ ۱۸سطر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۲ - ۳۳۷]</w:t>
      </w:r>
    </w:p>
    <w:p>
      <w:pPr>
        <w:pStyle w:val="BookText"/>
      </w:pPr>
      <w:r>
        <w:rPr>
          <w:rFonts w:ascii="IRNazanin" w:hAnsi="IRNazanin" w:eastAsia="IRNazanin" w:cs="IRNazanin"/>
          <w:lang w:bidi="fa-IR"/>
          <w:color w:val="111111"/>
          <w:sz w:val="28"/>
          <w:szCs w:val="28"/>
          <w:rtl/>
        </w:rPr>
        <w:t xml:space="preserve">۱۲. قم؛ معصومیه شماره نسخه: ۶۰۰/۱</w:t>
      </w:r>
    </w:p>
    <w:p>
      <w:pPr>
        <w:pStyle w:val="BookText"/>
      </w:pPr>
      <w:r>
        <w:rPr>
          <w:rFonts w:ascii="IRNazanin" w:hAnsi="IRNazanin" w:eastAsia="IRNazanin" w:cs="IRNazanin"/>
          <w:lang w:bidi="fa-IR"/>
          <w:color w:val="111111"/>
          <w:sz w:val="28"/>
          <w:szCs w:val="28"/>
          <w:rtl/>
        </w:rPr>
        <w:t xml:space="preserve">آغاز و انجام: برابر با جلد ۱</w:t>
      </w:r>
    </w:p>
    <w:p>
      <w:pPr>
        <w:pStyle w:val="BookText"/>
      </w:pPr>
      <w:r>
        <w:rPr>
          <w:rFonts w:ascii="IRNazanin" w:hAnsi="IRNazanin" w:eastAsia="IRNazanin" w:cs="IRNazanin"/>
          <w:lang w:bidi="fa-IR"/>
          <w:color w:val="111111"/>
          <w:sz w:val="28"/>
          <w:szCs w:val="28"/>
          <w:rtl/>
        </w:rPr>
        <w:t xml:space="preserve">جلد اول؛ خط: نستعلیق، کا: محمد حسین بن يوسف همدانی الاصل نهاوندى المسكن مشهور به جفار  تاجر، تا: ۵ جمادی الثـانی ۱۳۰۵ق؛ محشی با عنوان «محسن» که در یکی از این حواشی چنین نوشته «... كذا افاد المؤلف المحقق مدظله في بعـض مصنفاته» و حواشی از مؤلف با امضا «منه سلمه الله»؛ تملكى در سال ۱۳۳۷ با مهر «محمود» (بیضی)؛ جلد: تیماج مشکی، ۱۱۷گ (۲ ر -۱۱۸پ)، ۲۲ 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۲ - 231]</w:t>
      </w:r>
    </w:p>
    <w:p>
      <w:pPr>
        <w:pStyle w:val="BookText"/>
      </w:pPr>
      <w:r>
        <w:rPr>
          <w:rFonts w:ascii="IRNazanin" w:hAnsi="IRNazanin" w:eastAsia="IRNazanin" w:cs="IRNazanin"/>
          <w:lang w:bidi="fa-IR"/>
          <w:color w:val="111111"/>
          <w:sz w:val="28"/>
          <w:szCs w:val="28"/>
          <w:rtl/>
        </w:rPr>
        <w:t xml:space="preserve">۱۳ . قم؛ مرکز مطالعات؛ شماره نسخه: ۶۸۹</w:t>
      </w:r>
    </w:p>
    <w:p>
      <w:pPr>
        <w:pStyle w:val="BookText"/>
      </w:pPr>
      <w:r>
        <w:rPr>
          <w:rFonts w:ascii="IRNazanin" w:hAnsi="IRNazanin" w:eastAsia="IRNazanin" w:cs="IRNazanin"/>
          <w:lang w:bidi="fa-IR"/>
          <w:color w:val="111111"/>
          <w:sz w:val="28"/>
          <w:szCs w:val="28"/>
          <w:rtl/>
        </w:rPr>
        <w:t xml:space="preserve">آغاز و انجام: برابر با جلد ۱</w:t>
      </w:r>
    </w:p>
    <w:p>
      <w:pPr>
        <w:pStyle w:val="BookText"/>
      </w:pPr>
      <w:r>
        <w:rPr>
          <w:rFonts w:ascii="IRNazanin" w:hAnsi="IRNazanin" w:eastAsia="IRNazanin" w:cs="IRNazanin"/>
          <w:lang w:bidi="fa-IR"/>
          <w:color w:val="111111"/>
          <w:sz w:val="28"/>
          <w:szCs w:val="28"/>
          <w:rtl/>
        </w:rPr>
        <w:t xml:space="preserve">جلد اول؛ خط: نستعلیق ،خوب ،کا: کمال شرمساری، بی تا؛ جـلد: پارچه، سفید، ۱۸۷گ، ۱۹ سطر ،اندازه: ۱۸</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۲۲سم [ف: ۱ - 587  ]</w:t>
      </w:r>
    </w:p>
    <w:p>
      <w:pPr>
        <w:pStyle w:val="BookText"/>
      </w:pPr>
      <w:r>
        <w:rPr>
          <w:rFonts w:ascii="IRNazanin" w:hAnsi="IRNazanin" w:eastAsia="IRNazanin" w:cs="IRNazanin"/>
          <w:lang w:bidi="fa-IR"/>
          <w:color w:val="111111"/>
          <w:sz w:val="28"/>
          <w:szCs w:val="28"/>
          <w:rtl/>
        </w:rPr>
        <w:t xml:space="preserve">۱۴. قم؛ گلپایگانی؛ شماره نسخه: ۸۷۶-۵/۱۶۶</w:t>
      </w:r>
    </w:p>
    <w:p>
      <w:pPr>
        <w:pStyle w:val="BookText"/>
      </w:pPr>
      <w:r>
        <w:rPr>
          <w:rFonts w:ascii="IRNazanin" w:hAnsi="IRNazanin" w:eastAsia="IRNazanin" w:cs="IRNazanin"/>
          <w:lang w:bidi="fa-IR"/>
          <w:color w:val="111111"/>
          <w:sz w:val="28"/>
          <w:szCs w:val="28"/>
          <w:rtl/>
        </w:rPr>
        <w:t xml:space="preserve">آغاز :مقدمه: بدانکه آدمی را دو عقل است که به منزله دو بال هستند برای روحش و در اول حال  کتاب: بسمله و مرتب ساختم این کتاب را بر چند باب و هر باب بر چند فصل ؛انجام: برابـر با انجام جلد ۱</w:t>
      </w:r>
    </w:p>
    <w:p>
      <w:pPr>
        <w:pStyle w:val="BookText"/>
      </w:pPr>
      <w:r>
        <w:rPr>
          <w:rFonts w:ascii="IRNazanin" w:hAnsi="IRNazanin" w:eastAsia="IRNazanin" w:cs="IRNazanin"/>
          <w:lang w:bidi="fa-IR"/>
          <w:color w:val="111111"/>
          <w:sz w:val="28"/>
          <w:szCs w:val="28"/>
          <w:rtl/>
        </w:rPr>
        <w:t xml:space="preserve">جلد اول: خطبه کتاب تحریر نشده است؛ خط: نسخ، بی کا، بی تا:مصحح، با تعلیقات میرزا (احتمالاً جلوه) در حاشیه در آخر نسـخه توقیع امام حسن عسکری (علیه السّلام) به على بن حسين بن بابويه قمی که  درج شده؛ در اول نسخه ۵ بیت فارسی است: «واقعیت هر بنیاد شد *** راحت این خانه اش بر باد شد»؛ :جلد: تیماج مشکـی، ۲۲۸ برگ، ۲۲-۲۳  سطر، اندازه: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۱۸/۵سم [ف: ۱ - ۳۴۱]</w:t>
      </w:r>
    </w:p>
    <w:p>
      <w:pPr>
        <w:pStyle w:val="BookText"/>
      </w:pPr>
      <w:r>
        <w:rPr>
          <w:rFonts w:ascii="IRNazanin" w:hAnsi="IRNazanin" w:eastAsia="IRNazanin" w:cs="IRNazanin"/>
          <w:lang w:bidi="fa-IR"/>
          <w:color w:val="111111"/>
          <w:sz w:val="28"/>
          <w:szCs w:val="28"/>
          <w:rtl/>
        </w:rPr>
        <w:t xml:space="preserve">۱۵. قم؛ مرعشی؛ شماره نسخه: ۸۶۹۷</w:t>
      </w:r>
    </w:p>
    <w:p>
      <w:pPr>
        <w:pStyle w:val="BookText"/>
      </w:pPr>
      <w:r>
        <w:rPr>
          <w:rFonts w:ascii="IRNazanin" w:hAnsi="IRNazanin" w:eastAsia="IRNazanin" w:cs="IRNazanin"/>
          <w:lang w:bidi="fa-IR"/>
          <w:color w:val="111111"/>
          <w:sz w:val="28"/>
          <w:szCs w:val="28"/>
          <w:rtl/>
        </w:rPr>
        <w:t xml:space="preserve">آغاز و انجام: برابر با جلد ۲</w:t>
      </w:r>
    </w:p>
    <w:p>
      <w:pPr>
        <w:pStyle w:val="BookText"/>
      </w:pPr>
      <w:r>
        <w:rPr>
          <w:rFonts w:ascii="IRNazanin" w:hAnsi="IRNazanin" w:eastAsia="IRNazanin" w:cs="IRNazanin"/>
          <w:lang w:bidi="fa-IR"/>
          <w:color w:val="111111"/>
          <w:sz w:val="28"/>
          <w:szCs w:val="28"/>
          <w:rtl/>
        </w:rPr>
        <w:t xml:space="preserve">جلد ۲؛ خط: نسخ، بی کا، بی تا؛ جلد: تیماج قهوه ای، ۱۷۸گ ۱۱ سطر؛  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۲۲ –۲۴۱]</w:t>
      </w:r>
    </w:p>
    <w:p>
      <w:pPr>
        <w:pStyle w:val="Heading3"/>
      </w:pPr>
      <w:bookmarkStart w:id="1321" w:name="_Toc843"/>
      <w:r>
        <w:t>اسرار حکمیه / فلسفه / فارسی</w:t>
      </w:r>
      <w:bookmarkEnd w:id="1321"/>
    </w:p>
    <w:p>
      <w:pPr>
        <w:pStyle w:val="BookText"/>
      </w:pPr>
      <w:r>
        <w:rPr>
          <w:rFonts w:ascii="Times New Roman" w:hAnsi="Times New Roman" w:eastAsia="Times New Roman" w:cs="Times New Roman"/>
          <w:lang w:val="en-US" w:bidi="en-US"/>
          <w:color w:val="111111"/>
          <w:sz w:val="28"/>
          <w:szCs w:val="28"/>
          <w:rtl/>
        </w:rPr>
        <w:t xml:space="preserve">asrār-e hekmīye</w:t>
      </w:r>
    </w:p>
    <w:p>
      <w:pPr>
        <w:pStyle w:val="BookText"/>
      </w:pPr>
      <w:r>
        <w:rPr>
          <w:rFonts w:ascii="IRNazanin" w:hAnsi="IRNazanin" w:eastAsia="IRNazanin" w:cs="IRNazanin"/>
          <w:lang w:bidi="fa-IR"/>
          <w:color w:val="111111"/>
          <w:sz w:val="28"/>
          <w:szCs w:val="28"/>
          <w:rtl/>
        </w:rPr>
        <w:t xml:space="preserve">تهران؛ مجلس؛ شماره نسخه: ۴۰۱۳/۱</w:t>
      </w:r>
    </w:p>
    <w:p>
      <w:pPr>
        <w:pStyle w:val="BookText"/>
      </w:pPr>
      <w:r>
        <w:rPr>
          <w:rFonts w:ascii="IRNazanin" w:hAnsi="IRNazanin" w:eastAsia="IRNazanin" w:cs="IRNazanin"/>
          <w:lang w:bidi="fa-IR"/>
          <w:color w:val="111111"/>
          <w:sz w:val="28"/>
          <w:szCs w:val="28"/>
          <w:rtl/>
        </w:rPr>
        <w:t xml:space="preserve">آغاز: از اسرار نتایج حکمیه این نتیجه است که این لا شیی فی الحقيقه لكونه عارفا بحقيقة نفسه؛ انجام: و اختلاف مسمی بشئون و اطوار و متضرع اليه و مسائل عظيمه</w:t>
      </w:r>
    </w:p>
    <w:p>
      <w:pPr>
        <w:pStyle w:val="BookText"/>
      </w:pPr>
      <w:r>
        <w:rPr>
          <w:rFonts w:ascii="IRNazanin" w:hAnsi="IRNazanin" w:eastAsia="IRNazanin" w:cs="IRNazanin"/>
          <w:lang w:bidi="fa-IR"/>
          <w:color w:val="111111"/>
          <w:sz w:val="28"/>
          <w:szCs w:val="28"/>
          <w:rtl/>
        </w:rPr>
        <w:t xml:space="preserve">خط: نستعلیق، بی کا، تا: قرن ۱۲ ؛کاغذ: سمرقندی، جلد: تیماج مشکی یک لا ۲گ (۱پ-۲ر)، مختلف السطر (۸/۵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 قطع: بیاضی (۸/۵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۱۷/۵سم [ف: ۱۱ - ۱۳]</w:t>
      </w:r>
    </w:p>
    <w:p>
      <w:pPr>
        <w:pStyle w:val="Heading3"/>
      </w:pPr>
      <w:bookmarkStart w:id="1322" w:name="_Toc844"/>
      <w:r>
        <w:t>الاسرار الخفية فى العلوم العقيلة / فلسفه / عربي</w:t>
      </w:r>
      <w:bookmarkEnd w:id="1322"/>
    </w:p>
    <w:p>
      <w:pPr>
        <w:pStyle w:val="BookText"/>
      </w:pPr>
      <w:r>
        <w:rPr>
          <w:rFonts w:ascii="Times New Roman" w:hAnsi="Times New Roman" w:eastAsia="Times New Roman" w:cs="Times New Roman"/>
          <w:lang w:val="en-US" w:bidi="en-US"/>
          <w:color w:val="111111"/>
          <w:sz w:val="28"/>
          <w:szCs w:val="28"/>
          <w:rtl/>
        </w:rPr>
        <w:t xml:space="preserve">al-asrār-ul-xafiyya fi-l-‘ulum-il-'aqīla</w:t>
      </w:r>
    </w:p>
    <w:p>
      <w:pPr>
        <w:pStyle w:val="BookText"/>
      </w:pPr>
      <w:r>
        <w:rPr>
          <w:rFonts w:ascii="IRNazanin" w:hAnsi="IRNazanin" w:eastAsia="IRNazanin" w:cs="IRNazanin"/>
          <w:lang w:bidi="fa-IR"/>
          <w:color w:val="111111"/>
          <w:sz w:val="28"/>
          <w:szCs w:val="28"/>
          <w:rtl/>
        </w:rPr>
        <w:t xml:space="preserve">علامه حلی، حسن بن  یوسف، ۶۴۸ - ۷۲۶ قمری</w:t>
      </w:r>
    </w:p>
    <w:p>
      <w:pPr>
        <w:pStyle w:val="BookText"/>
      </w:pPr>
      <w:r>
        <w:rPr>
          <w:rFonts w:ascii="Times New Roman" w:hAnsi="Times New Roman" w:eastAsia="Times New Roman" w:cs="Times New Roman"/>
          <w:lang w:val="en-US" w:bidi="en-US"/>
          <w:color w:val="111111"/>
          <w:sz w:val="28"/>
          <w:szCs w:val="28"/>
          <w:rtl/>
        </w:rPr>
        <w:t xml:space="preserve">('allāme-ye hellī, hasan ebn-e yusof (1251 - 1326)</w:t>
      </w:r>
    </w:p>
    <w:p>
      <w:pPr>
        <w:pStyle w:val="BookText"/>
      </w:pPr>
      <w:r>
        <w:rPr>
          <w:rFonts w:ascii="IRNazanin" w:hAnsi="IRNazanin" w:eastAsia="IRNazanin" w:cs="IRNazanin"/>
          <w:lang w:bidi="fa-IR"/>
          <w:color w:val="111111"/>
          <w:sz w:val="28"/>
          <w:szCs w:val="28"/>
          <w:rtl/>
        </w:rPr>
        <w:t xml:space="preserve">اهدا به: هارون بن شمس الدین محمد</w:t>
      </w:r>
    </w:p>
    <w:p>
      <w:pPr>
        <w:pStyle w:val="BookText"/>
      </w:pPr>
      <w:r>
        <w:rPr>
          <w:rFonts w:ascii="IRNazanin" w:hAnsi="IRNazanin" w:eastAsia="IRNazanin" w:cs="IRNazanin"/>
          <w:lang w:bidi="fa-IR"/>
          <w:color w:val="111111"/>
          <w:sz w:val="28"/>
          <w:szCs w:val="28"/>
          <w:rtl/>
        </w:rPr>
        <w:t xml:space="preserve">کتابی است مفصل در حکمت مشتمل بر سه «قسم»: منطق، طبيعيات و الهیات که مؤلف آن را به هارون بن شمس الدين  محمد» هدیه نموده است</w:t>
      </w:r>
    </w:p>
    <w:p>
      <w:pPr>
        <w:pStyle w:val="BookText"/>
      </w:pPr>
      <w:r>
        <w:rPr>
          <w:rFonts w:ascii="Amiri" w:hAnsi="Amiri" w:eastAsia="Amiri" w:cs="Amiri"/>
          <w:lang w:bidi="ar-SA"/>
          <w:color w:val="111111"/>
          <w:sz w:val="28"/>
          <w:szCs w:val="28"/>
          <w:rtl/>
        </w:rPr>
        <w:t xml:space="preserve">آغاز: الحمد لله الذى ذى الازلية و البقاء والعزة والارتقاء و  القدرة و العلاء المتطول بالاحسان المتفضل بالامتنان.</w:t>
      </w:r>
    </w:p>
    <w:p>
      <w:pPr>
        <w:pStyle w:val="BookText"/>
      </w:pPr>
      <w:r>
        <w:rPr>
          <w:rFonts w:ascii="IRNazanin" w:hAnsi="IRNazanin" w:eastAsia="IRNazanin" w:cs="IRNazanin"/>
          <w:lang w:bidi="fa-IR"/>
          <w:color w:val="111111"/>
          <w:sz w:val="28"/>
          <w:szCs w:val="28"/>
          <w:rtl/>
        </w:rPr>
        <w:t xml:space="preserve">[الذریعه ۴۴/۲]</w:t>
      </w:r>
    </w:p>
    <w:p>
      <w:pPr>
        <w:pStyle w:val="BookText"/>
      </w:pPr>
      <w:r>
        <w:rPr>
          <w:rFonts w:ascii="IRNazanin" w:hAnsi="IRNazanin" w:eastAsia="IRNazanin" w:cs="IRNazanin"/>
          <w:lang w:bidi="fa-IR"/>
          <w:color w:val="111111"/>
          <w:sz w:val="28"/>
          <w:szCs w:val="28"/>
          <w:rtl/>
        </w:rPr>
        <w:t xml:space="preserve">۱. قم؛ مرکز احیاء؛ شماره نسخه: ۱۷۹۷</w:t>
      </w:r>
    </w:p>
    <w:p>
      <w:pPr>
        <w:pStyle w:val="BookText"/>
      </w:pPr>
      <w:r>
        <w:rPr>
          <w:rFonts w:ascii="IRNazanin" w:hAnsi="IRNazanin" w:eastAsia="IRNazanin" w:cs="IRNazanin"/>
          <w:lang w:bidi="fa-IR"/>
          <w:color w:val="111111"/>
          <w:sz w:val="28"/>
          <w:szCs w:val="28"/>
          <w:rtl/>
        </w:rPr>
        <w:t xml:space="preserve">نسخه اصل: کتابخانه احمد ثالث- ترکیه ۳۲۵۴؛ مشتمل بر هر سه فن؛ :خط ،مغربی بی کا، تا: اواخر شوال ۷۳۴ق، جا: مدرسه کاملیه؛ تملک: «حسین بن حسن بن حامد»؛ ۵۵۰ ص [عکسی ف: ۵ - ۲۶۵]</w:t>
      </w:r>
    </w:p>
    <w:p>
      <w:pPr>
        <w:pStyle w:val="BookText"/>
      </w:pPr>
      <w:r>
        <w:rPr>
          <w:rFonts w:ascii="IRNazanin" w:hAnsi="IRNazanin" w:eastAsia="IRNazanin" w:cs="IRNazanin"/>
          <w:lang w:bidi="fa-IR"/>
          <w:color w:val="111111"/>
          <w:sz w:val="28"/>
          <w:szCs w:val="28"/>
          <w:rtl/>
        </w:rPr>
        <w:t xml:space="preserve">۲. تهران؛ مجلس؛ شماره نسخه: ۱۰۱۴۳</w:t>
      </w:r>
    </w:p>
    <w:p>
      <w:pPr>
        <w:pStyle w:val="BookText"/>
      </w:pPr>
      <w:r>
        <w:rPr>
          <w:rFonts w:ascii="Amiri" w:hAnsi="Amiri" w:eastAsia="Amiri" w:cs="Amiri"/>
          <w:lang w:bidi="ar-SA"/>
          <w:color w:val="111111"/>
          <w:sz w:val="28"/>
          <w:szCs w:val="28"/>
          <w:rtl/>
        </w:rPr>
        <w:t xml:space="preserve">آغاز: برابر؛ انجام: اقول و الحق ان الغلط فى هذا انما هو من باب ... مصلين على رسوله</w:t>
      </w:r>
    </w:p>
    <w:p>
      <w:pPr>
        <w:pStyle w:val="BookText"/>
      </w:pPr>
      <w:r>
        <w:rPr>
          <w:rFonts w:ascii="IRNazanin" w:hAnsi="IRNazanin" w:eastAsia="IRNazanin" w:cs="IRNazanin"/>
          <w:lang w:bidi="fa-IR"/>
          <w:color w:val="111111"/>
          <w:sz w:val="28"/>
          <w:szCs w:val="28"/>
          <w:rtl/>
        </w:rPr>
        <w:t xml:space="preserve">جلد اول شامل منطق، خط: نسخ ،كا: عبدالله بن محمد حسن هشترودی تبریزی به درخواست شیخ فضل الله رنجانی، تا: ربیع الثانی ۱۳۳۹ق، از روی نسخه شیخ محمد سماوی و او نیز از روی نسخه ای به خط علامه حلی موجود در خزانه حضرت امیر (علیه السّلام)، در انتهای نسخه یادداشت فضل الله  زنجانی، جلد: تیماج بنفش ،۸۱گ، ۲۳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۲۴سم [ف: ۳۲ - ۱۷۷]</w:t>
      </w:r>
    </w:p>
    <w:p>
      <w:pPr>
        <w:pStyle w:val="BookText"/>
      </w:pPr>
      <w:r>
        <w:rPr>
          <w:rFonts w:ascii="IRNazanin" w:hAnsi="IRNazanin" w:eastAsia="IRNazanin" w:cs="IRNazanin"/>
          <w:lang w:bidi="fa-IR"/>
          <w:color w:val="111111"/>
          <w:sz w:val="28"/>
          <w:szCs w:val="28"/>
          <w:rtl/>
        </w:rPr>
        <w:t xml:space="preserve">قم؛ مرکز احیاء؛ شماره نسخه: ۱۴۶۵</w:t>
      </w:r>
    </w:p>
    <w:p>
      <w:pPr>
        <w:pStyle w:val="BookText"/>
      </w:pPr>
      <w:r>
        <w:rPr>
          <w:rFonts w:ascii="IRNazanin" w:hAnsi="IRNazanin" w:eastAsia="IRNazanin" w:cs="IRNazanin"/>
          <w:lang w:bidi="fa-IR"/>
          <w:color w:val="111111"/>
          <w:sz w:val="28"/>
          <w:szCs w:val="28"/>
          <w:rtl/>
        </w:rPr>
        <w:t xml:space="preserve">نسخه اصل: همان نسخه بالا [ عکسی ف: ۴ - ۲۹۳]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234" w:name="pg20365_260337"/>
    <w:bookmarkEnd w:id="234"/>
    <w:p>
      <w:pPr>
        <w:pStyle w:val="BookText"/>
      </w:pPr>
      <w:r>
        <w:rPr>
          <w:rFonts w:ascii="IRNazanin" w:hAnsi="IRNazanin" w:eastAsia="IRNazanin" w:cs="IRNazanin"/>
          <w:lang w:bidi="fa-IR"/>
          <w:color w:val="111111"/>
          <w:sz w:val="28"/>
          <w:szCs w:val="28"/>
          <w:rtl/>
        </w:rPr>
        <w:t xml:space="preserve">3.تهران؛ مجلس؛ شماره نسخه: ۱۰۴۵۲</w:t>
      </w:r>
    </w:p>
    <w:p>
      <w:pPr>
        <w:pStyle w:val="BookText"/>
      </w:pPr>
      <w:r>
        <w:rPr>
          <w:rFonts w:ascii="IRNazanin" w:hAnsi="IRNazanin" w:eastAsia="IRNazanin" w:cs="IRNazanin"/>
          <w:lang w:bidi="fa-IR"/>
          <w:color w:val="111111"/>
          <w:sz w:val="28"/>
          <w:szCs w:val="28"/>
          <w:rtl/>
        </w:rPr>
        <w:t xml:space="preserve">آغاز: بسمله قد جمع راينا على اانتقال من العلوم المنطقية طالـبین للعلوم الطبيعية اذ هى اقرب الاشياء بالنسبة الينا؛ انجام: جعل شـرطاً فى القصد ليس هوانما التحقيق الخارجى حق يلزم الدور هو  التحقق الخيالي.</w:t>
      </w:r>
    </w:p>
    <w:p>
      <w:pPr>
        <w:pStyle w:val="BookText"/>
      </w:pPr>
      <w:r>
        <w:rPr>
          <w:rFonts w:ascii="IRNazanin" w:hAnsi="IRNazanin" w:eastAsia="IRNazanin" w:cs="IRNazanin"/>
          <w:lang w:bidi="fa-IR"/>
          <w:color w:val="111111"/>
          <w:sz w:val="28"/>
          <w:szCs w:val="28"/>
          <w:rtl/>
        </w:rPr>
        <w:t xml:space="preserve">جلد دوم؛ خط:نسخ، :كا عبدالله بن محمد حسن هشترودی   تبریزی :تا: ۷ جمادی الثانی ۱۳۳۸ق؛ از روی نسخه شیخ محـمد سماوی مورخ ۱۳۳۵ق. از نسخه منقوله از خط مؤلف ،جلد: تیمـاج،بنفش،۶۲گ، ۲۳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۳۳/۱۸ - ۳۴]</w:t>
      </w:r>
    </w:p>
    <w:p>
      <w:pPr>
        <w:pStyle w:val="BookText"/>
      </w:pPr>
      <w:r>
        <w:rPr>
          <w:rFonts w:ascii="IRNazanin" w:hAnsi="IRNazanin" w:eastAsia="IRNazanin" w:cs="IRNazanin"/>
          <w:lang w:bidi="fa-IR"/>
          <w:color w:val="111111"/>
          <w:sz w:val="28"/>
          <w:szCs w:val="28"/>
          <w:rtl/>
        </w:rPr>
        <w:t xml:space="preserve">قم؛ مرکز احیاء؛ شماره نسخه: ۱۴۶۶</w:t>
      </w:r>
    </w:p>
    <w:p>
      <w:pPr>
        <w:pStyle w:val="BookText"/>
      </w:pPr>
      <w:r>
        <w:rPr>
          <w:rFonts w:ascii="IRNazanin" w:hAnsi="IRNazanin" w:eastAsia="IRNazanin" w:cs="IRNazanin"/>
          <w:lang w:bidi="fa-IR"/>
          <w:color w:val="111111"/>
          <w:sz w:val="28"/>
          <w:szCs w:val="28"/>
          <w:rtl/>
        </w:rPr>
        <w:t xml:space="preserve">نسخه اصل: همان نسخه بالا [ عکسی ف ۴ - ۲۹۴]</w:t>
      </w:r>
    </w:p>
    <w:p>
      <w:pPr>
        <w:pStyle w:val="BookText"/>
      </w:pPr>
      <w:r>
        <w:rPr>
          <w:rFonts w:ascii="IRNazanin" w:hAnsi="IRNazanin" w:eastAsia="IRNazanin" w:cs="IRNazanin"/>
          <w:lang w:bidi="fa-IR"/>
          <w:color w:val="111111"/>
          <w:sz w:val="28"/>
          <w:szCs w:val="28"/>
          <w:rtl/>
        </w:rPr>
        <w:t xml:space="preserve">۴ .تهران؛ مجلس؛ شماره نسخه: ۱۰۱۴۴</w:t>
      </w:r>
    </w:p>
    <w:p>
      <w:pPr>
        <w:pStyle w:val="BookText"/>
      </w:pPr>
      <w:r>
        <w:rPr>
          <w:rFonts w:ascii="Amiri" w:hAnsi="Amiri" w:eastAsia="Amiri" w:cs="Amiri"/>
          <w:lang w:bidi="ar-SA"/>
          <w:color w:val="111111"/>
          <w:sz w:val="28"/>
          <w:szCs w:val="28"/>
          <w:rtl/>
        </w:rPr>
        <w:t xml:space="preserve">آغاز: بسمله شرعنا بالفن الثالث من كتابنا ... المشتمل على اشرف المطالب و المحتوى على الغاية؛ انجام: و هو نظام للعالم متصورله تعالى ... و اصحابه الاخيار المنتخبين</w:t>
      </w:r>
    </w:p>
    <w:p>
      <w:pPr>
        <w:pStyle w:val="BookText"/>
      </w:pPr>
      <w:r>
        <w:rPr>
          <w:rFonts w:ascii="IRNazanin" w:hAnsi="IRNazanin" w:eastAsia="IRNazanin" w:cs="IRNazanin"/>
          <w:lang w:bidi="fa-IR"/>
          <w:color w:val="111111"/>
          <w:sz w:val="28"/>
          <w:szCs w:val="28"/>
          <w:rtl/>
        </w:rPr>
        <w:t xml:space="preserve">جلد ۳ در الهيات؛ خط: نسخ، كا: عبدالله بن محمد حـسن هشترودی  تبریزی ،تا: جمادی الثانی ۱۳۳۸ق در پایان یادداشـتی به خط شیخ محمد بن طاهر سماوی در روز جمعه۱۴ شوال 1335 آمده؛ جلد: تیماج بنفش، ۵۴گ ۲۳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[ف:22- 177]</w:t>
      </w:r>
    </w:p>
    <w:p>
      <w:pPr>
        <w:pStyle w:val="BookText"/>
      </w:pPr>
      <w:r>
        <w:rPr>
          <w:rFonts w:ascii="IRNazanin" w:hAnsi="IRNazanin" w:eastAsia="IRNazanin" w:cs="IRNazanin"/>
          <w:lang w:bidi="fa-IR"/>
          <w:color w:val="111111"/>
          <w:sz w:val="28"/>
          <w:szCs w:val="28"/>
          <w:rtl/>
        </w:rPr>
        <w:t xml:space="preserve">قم؛ مرکز احیاء ؛شماره نسخه: ۱۴۶۷</w:t>
      </w:r>
    </w:p>
    <w:p>
      <w:pPr>
        <w:pStyle w:val="BookText"/>
      </w:pPr>
      <w:r>
        <w:rPr>
          <w:rFonts w:ascii="IRNazanin" w:hAnsi="IRNazanin" w:eastAsia="IRNazanin" w:cs="IRNazanin"/>
          <w:lang w:bidi="fa-IR"/>
          <w:color w:val="111111"/>
          <w:sz w:val="28"/>
          <w:szCs w:val="28"/>
          <w:rtl/>
        </w:rPr>
        <w:t xml:space="preserve">نسخه اصل: همان نسخه بالا [عکسی ف: ۴ - ۲۹۴]</w:t>
      </w:r>
    </w:p>
    <w:p>
      <w:pPr>
        <w:pStyle w:val="Heading3"/>
      </w:pPr>
      <w:bookmarkStart w:id="1323" w:name="_Toc845"/>
      <w:r>
        <w:t>الاسرار الخفية فى معرفة الشهور الرومية / هيئت / عم</w:t>
      </w:r>
      <w:bookmarkEnd w:id="1323"/>
    </w:p>
    <w:p>
      <w:pPr>
        <w:pStyle w:val="BookText"/>
      </w:pPr>
      <w:r>
        <w:rPr>
          <w:rFonts w:ascii="Times New Roman" w:hAnsi="Times New Roman" w:eastAsia="Times New Roman" w:cs="Times New Roman"/>
          <w:lang w:val="en-US" w:bidi="en-US"/>
          <w:color w:val="111111"/>
          <w:sz w:val="28"/>
          <w:szCs w:val="28"/>
          <w:rtl/>
        </w:rPr>
        <w:t xml:space="preserve">asrār-ul-xafīyya fī maʼrifat-iš-šuhūr-ir-rūmīyya</w:t>
      </w:r>
    </w:p>
    <w:p>
      <w:pPr>
        <w:pStyle w:val="BookText"/>
      </w:pPr>
      <w:r>
        <w:rPr>
          <w:rFonts w:ascii="IRNazanin" w:hAnsi="IRNazanin" w:eastAsia="IRNazanin" w:cs="IRNazanin"/>
          <w:lang w:bidi="fa-IR"/>
          <w:color w:val="111111"/>
          <w:sz w:val="28"/>
          <w:szCs w:val="28"/>
          <w:rtl/>
        </w:rPr>
        <w:t xml:space="preserve">رساله ای مجهول المؤلف که در آن اشعاری از ذوالرمه و ابوالعلاء معری و دیگران آمده و از بعضی مصنفات ابوالحس الرضى احمد العلوى الموسوى الحايری نیز مطالبی نقل شـده است مشتمل بر «مقدمه» و «فواید» و «باب» مقدمه در ذکر شهـور تام و ناقص فايدة فى هيئت البروج و سايرالكواكب منها؛ فايدة في هيئت المنازل؛ فايدة الضابط في معرفة الطالع و الغارب فائدة في معرفة سير القمر فى المنازل و البروج ؛ فايدة في معرفة فصـول الاربعة باب فى شهور الرومية و ما قيل فيها؛ فايدة في التقويم.</w:t>
      </w:r>
    </w:p>
    <w:p>
      <w:pPr>
        <w:pStyle w:val="BookText"/>
      </w:pPr>
      <w:r>
        <w:rPr>
          <w:rFonts w:ascii="IRNazanin" w:hAnsi="IRNazanin" w:eastAsia="IRNazanin" w:cs="IRNazanin"/>
          <w:lang w:bidi="fa-IR"/>
          <w:color w:val="111111"/>
          <w:sz w:val="28"/>
          <w:szCs w:val="28"/>
          <w:rtl/>
        </w:rPr>
        <w:t xml:space="preserve">مشهد ؛رضوی؛ شماره نسخه: ۷۴۳۲</w:t>
      </w:r>
    </w:p>
    <w:p>
      <w:pPr>
        <w:pStyle w:val="BookText"/>
      </w:pPr>
      <w:r>
        <w:rPr>
          <w:rFonts w:ascii="IRNazanin" w:hAnsi="IRNazanin" w:eastAsia="IRNazanin" w:cs="IRNazanin"/>
          <w:lang w:bidi="fa-IR"/>
          <w:color w:val="111111"/>
          <w:sz w:val="28"/>
          <w:szCs w:val="28"/>
          <w:rtl/>
        </w:rPr>
        <w:t xml:space="preserve">آغاز: بسمله، الحمد لله الحى القيوم القديم الديوم؛ انجام: فى اول تلك الدايرة كما اذا بقى فى المحرم يكون [وصالي و بريدگی دارد] الشهور والله اعلم</w:t>
      </w:r>
    </w:p>
    <w:p>
      <w:pPr>
        <w:pStyle w:val="BookText"/>
      </w:pPr>
      <w:r>
        <w:rPr>
          <w:rFonts w:ascii="IRNazanin" w:hAnsi="IRNazanin" w:eastAsia="IRNazanin" w:cs="IRNazanin"/>
          <w:lang w:bidi="fa-IR"/>
          <w:color w:val="111111"/>
          <w:sz w:val="28"/>
          <w:szCs w:val="28"/>
          <w:rtl/>
        </w:rPr>
        <w:t xml:space="preserve">خط: نسخ، بی کا، تا :قرن ۱۰؛ در اول نسخه نیز شش صفحه ادعیه ایام نوشته شده؛ کاغذ: نخودی آهار مهره، جلد: تیماج قهوه ای، یک لا، ۵۰گ، ۱۵ سطر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۱۵/۷)،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۸- 28]</w:t>
      </w:r>
    </w:p>
    <w:p>
      <w:pPr>
        <w:pStyle w:val="Heading3"/>
      </w:pPr>
      <w:bookmarkStart w:id="1324" w:name="_Toc846"/>
      <w:r>
        <w:t>اسرار خلقت منتخب) / ادبیات / فارسی</w:t>
      </w:r>
      <w:bookmarkEnd w:id="1324"/>
    </w:p>
    <w:p>
      <w:pPr>
        <w:pStyle w:val="BookText"/>
      </w:pPr>
      <w:r>
        <w:rPr>
          <w:rFonts w:ascii="Times New Roman" w:hAnsi="Times New Roman" w:eastAsia="Times New Roman" w:cs="Times New Roman"/>
          <w:lang w:val="en-US" w:bidi="en-US"/>
          <w:color w:val="111111"/>
          <w:sz w:val="28"/>
          <w:szCs w:val="28"/>
          <w:rtl/>
        </w:rPr>
        <w:t xml:space="preserve">(asrar-e xelqat (mn.)</w:t>
      </w:r>
    </w:p>
    <w:p>
      <w:pPr>
        <w:pStyle w:val="BookText"/>
      </w:pPr>
      <w:r>
        <w:rPr>
          <w:rFonts w:ascii="IRNazanin" w:hAnsi="IRNazanin" w:eastAsia="IRNazanin" w:cs="IRNazanin"/>
          <w:lang w:bidi="fa-IR"/>
          <w:color w:val="111111"/>
          <w:sz w:val="28"/>
          <w:szCs w:val="28"/>
          <w:rtl/>
        </w:rPr>
        <w:t xml:space="preserve">گزیده ای از اسرار خلقت تألیف سرهنگ احمد اخگر که مجموعه ای از نظریات شعرا و نویسندگان در مورد بعضی نشریات همچون روزنامه کانون شعرا و ... را به ترتیب حروف تهجی جمع آوری نموده؛ در این منتخب نظریات ابوالقاسم دبیر، رضازاده شفق على اكبر ،سلیمی محمد تقی فلسفی و ... به صورت پراکنده در برگهای این نسخه آمده است.</w:t>
      </w:r>
    </w:p>
    <w:p>
      <w:pPr>
        <w:pStyle w:val="BookText"/>
      </w:pPr>
      <w:r>
        <w:rPr>
          <w:rFonts w:ascii="IRNazanin" w:hAnsi="IRNazanin" w:eastAsia="IRNazanin" w:cs="IRNazanin"/>
          <w:lang w:bidi="fa-IR"/>
          <w:color w:val="111111"/>
          <w:sz w:val="28"/>
          <w:szCs w:val="28"/>
          <w:rtl/>
        </w:rPr>
        <w:t xml:space="preserve">[اسرار ،خلقت چاپ ،تهران، ۱۳۱۵ش، ص۴۶۱]</w:t>
      </w:r>
    </w:p>
    <w:p>
      <w:pPr>
        <w:pStyle w:val="BookText"/>
      </w:pPr>
      <w:r>
        <w:rPr>
          <w:rFonts w:ascii="IRNazanin" w:hAnsi="IRNazanin" w:eastAsia="IRNazanin" w:cs="IRNazanin"/>
          <w:lang w:bidi="fa-IR"/>
          <w:color w:val="111111"/>
          <w:sz w:val="28"/>
          <w:szCs w:val="28"/>
          <w:rtl/>
        </w:rPr>
        <w:t xml:space="preserve">قم؛ مرعشی؛ شماره نسخه: ۱۱۵۳۷/۱</w:t>
      </w:r>
    </w:p>
    <w:p>
      <w:pPr>
        <w:pStyle w:val="BookText"/>
      </w:pPr>
      <w:r>
        <w:rPr>
          <w:rFonts w:ascii="IRNazanin" w:hAnsi="IRNazanin" w:eastAsia="IRNazanin" w:cs="IRNazanin"/>
          <w:lang w:bidi="fa-IR"/>
          <w:color w:val="111111"/>
          <w:sz w:val="28"/>
          <w:szCs w:val="28"/>
          <w:rtl/>
        </w:rPr>
        <w:t xml:space="preserve">آغاز: آقای تدین: وقت و حالم اقتضای ورود این گونه مطالب... پس از جوابهای منطقی؛ انجام: اصلاح عیوب نفس که اصلاً پروای بدگویی هیچ آفریده ندارد ندانم از کیست تو بتقصير الخ.</w:t>
      </w:r>
    </w:p>
    <w:p>
      <w:pPr>
        <w:pStyle w:val="BookText"/>
      </w:pPr>
      <w:r>
        <w:rPr>
          <w:rFonts w:ascii="IRNazanin" w:hAnsi="IRNazanin" w:eastAsia="IRNazanin" w:cs="IRNazanin"/>
          <w:lang w:bidi="fa-IR"/>
          <w:color w:val="111111"/>
          <w:sz w:val="28"/>
          <w:szCs w:val="28"/>
          <w:rtl/>
        </w:rPr>
        <w:t xml:space="preserve">خط: نسخ و نستعلیق تحریری، کاتب - مؤلف، بی تا؛ کاغذ: فرنگی، ۲۸گ( به صورت پراکنده (۶-۸»، «۱۲-۱۵»، «۶۷-۹۶»،  (۱۶۸-۱۶۶»)، ۳۲ سطر، اندازه: 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۱۵/۵سم [ف: ۲۹ - ۲۰۴]</w:t>
      </w:r>
    </w:p>
    <w:p>
      <w:pPr>
        <w:pStyle w:val="BookText"/>
      </w:pPr>
      <w:r>
        <w:rPr>
          <w:rFonts w:ascii="IRNazanin" w:hAnsi="IRNazanin" w:eastAsia="IRNazanin" w:cs="IRNazanin"/>
          <w:lang w:bidi="fa-IR"/>
          <w:color w:val="111111"/>
          <w:sz w:val="28"/>
          <w:szCs w:val="28"/>
          <w:rtl/>
        </w:rPr>
        <w:t xml:space="preserve">«اسرار خلوت » سیر و سلوک</w:t>
      </w:r>
    </w:p>
    <w:p>
      <w:pPr>
        <w:pStyle w:val="BookText"/>
      </w:pPr>
      <w:r>
        <w:rPr>
          <w:rFonts w:ascii="Amiri" w:hAnsi="Amiri" w:eastAsia="Amiri" w:cs="Amiri"/>
          <w:lang w:bidi="ar-SA"/>
          <w:color w:val="111111"/>
          <w:sz w:val="28"/>
          <w:szCs w:val="28"/>
          <w:rtl/>
        </w:rPr>
        <w:t xml:space="preserve">«اسرار الخلوة » الخلوة</w:t>
      </w:r>
    </w:p>
    <w:p>
      <w:pPr>
        <w:pStyle w:val="Heading3"/>
      </w:pPr>
      <w:bookmarkStart w:id="1325" w:name="_Toc847"/>
      <w:r>
        <w:t>اسرار دعای سحر / شرح دعا</w:t>
      </w:r>
      <w:bookmarkEnd w:id="1325"/>
    </w:p>
    <w:p>
      <w:pPr>
        <w:pStyle w:val="BookText"/>
      </w:pPr>
      <w:r>
        <w:rPr>
          <w:rFonts w:ascii="Times New Roman" w:hAnsi="Times New Roman" w:eastAsia="Times New Roman" w:cs="Times New Roman"/>
          <w:lang w:val="en-US" w:bidi="en-US"/>
          <w:color w:val="111111"/>
          <w:sz w:val="28"/>
          <w:szCs w:val="28"/>
          <w:rtl/>
        </w:rPr>
        <w:t xml:space="preserve">asrar-e do a-ye sahar</w:t>
      </w:r>
    </w:p>
    <w:p>
      <w:pPr>
        <w:pStyle w:val="BookText"/>
      </w:pPr>
      <w:r>
        <w:rPr>
          <w:rFonts w:ascii="IRNazanin" w:hAnsi="IRNazanin" w:eastAsia="IRNazanin" w:cs="IRNazanin"/>
          <w:lang w:bidi="fa-IR"/>
          <w:color w:val="111111"/>
          <w:sz w:val="28"/>
          <w:szCs w:val="28"/>
          <w:rtl/>
        </w:rPr>
        <w:t xml:space="preserve">شرح اسرار فقرات دعای سحر ماه رمضان مروی از امام محمد باقر «اللهم انی اسئلک من بهائک» به در خواست دوستان در شش «اشاره : ۱. بیان معنی اسم؛ ۲. بيان اسم اعظم؛ ٣. مراتب و مقامات چهارگانه ائمه؛ ۴. بیان این که فقرات دعای سحر تجليات الهیه است .۵ .معنای جمال و جلال؛ ۶. بیان سر تعبیر  فقرات دعای مبارک سحر.</w:t>
      </w:r>
    </w:p>
    <w:p>
      <w:pPr>
        <w:pStyle w:val="BookText"/>
      </w:pPr>
      <w:r>
        <w:rPr>
          <w:rFonts w:ascii="IRNazanin" w:hAnsi="IRNazanin" w:eastAsia="IRNazanin" w:cs="IRNazanin"/>
          <w:lang w:bidi="fa-IR"/>
          <w:color w:val="111111"/>
          <w:sz w:val="28"/>
          <w:szCs w:val="28"/>
          <w:rtl/>
        </w:rPr>
        <w:t xml:space="preserve">تهران؛ دانشگاه؛ شماره نسخه: ۸۸۸۴/۶</w:t>
      </w:r>
    </w:p>
    <w:p>
      <w:pPr>
        <w:pStyle w:val="BookText"/>
      </w:pPr>
      <w:r>
        <w:rPr>
          <w:rFonts w:ascii="IRNazanin" w:hAnsi="IRNazanin" w:eastAsia="IRNazanin" w:cs="IRNazanin"/>
          <w:lang w:bidi="fa-IR"/>
          <w:color w:val="111111"/>
          <w:sz w:val="28"/>
          <w:szCs w:val="28"/>
          <w:rtl/>
        </w:rPr>
        <w:t xml:space="preserve">خط: نستعلیق، بی کا :تا: شوال ۱۲۶۱ق، جا: اشتهارد؛ کاغذ ،فرنگی ،جلد: مقوا عطف ،پارچه ۸گ (۸۸پ-۹۵پ)، ۱۴ سطر (7</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قطع: ربعی [ف: ۱۷ - ۲۴۳]</w:t>
      </w:r>
    </w:p>
    <w:p>
      <w:pPr>
        <w:pStyle w:val="Heading3"/>
      </w:pPr>
      <w:bookmarkStart w:id="1326" w:name="_Toc848"/>
      <w:r>
        <w:t>اسرار الدعوة / دعا / فارسى</w:t>
      </w:r>
      <w:bookmarkEnd w:id="1326"/>
    </w:p>
    <w:p>
      <w:pPr>
        <w:pStyle w:val="BookText"/>
      </w:pPr>
      <w:r>
        <w:rPr>
          <w:rFonts w:ascii="Times New Roman" w:hAnsi="Times New Roman" w:eastAsia="Times New Roman" w:cs="Times New Roman"/>
          <w:lang w:val="en-US" w:bidi="en-US"/>
          <w:color w:val="111111"/>
          <w:sz w:val="28"/>
          <w:szCs w:val="28"/>
          <w:rtl/>
        </w:rPr>
        <w:t xml:space="preserve">asrār-od-da'vat</w:t>
      </w:r>
    </w:p>
    <w:p>
      <w:pPr>
        <w:pStyle w:val="BookText"/>
      </w:pPr>
      <w:r>
        <w:rPr>
          <w:rFonts w:ascii="IRNazanin" w:hAnsi="IRNazanin" w:eastAsia="IRNazanin" w:cs="IRNazanin"/>
          <w:lang w:bidi="fa-IR"/>
          <w:color w:val="111111"/>
          <w:sz w:val="28"/>
          <w:szCs w:val="28"/>
          <w:rtl/>
        </w:rPr>
        <w:t xml:space="preserve">رساله ای است در  ذکر آداب  آن، و خواص ذکر مجموعه و منفرد صوفیان در سه «اسرار »۱. بیان دعوت مجموعه و منفرده .۲. بیان ادعيه مختلفه . 3.بیان دعوت اعمال متفرقه.</w:t>
      </w:r>
    </w:p>
    <w:p>
      <w:pPr>
        <w:pStyle w:val="BookText"/>
      </w:pPr>
      <w:r>
        <w:rPr>
          <w:rFonts w:ascii="IRNazanin" w:hAnsi="IRNazanin" w:eastAsia="IRNazanin" w:cs="IRNazanin"/>
          <w:lang w:bidi="fa-IR"/>
          <w:color w:val="111111"/>
          <w:sz w:val="28"/>
          <w:szCs w:val="28"/>
          <w:rtl/>
        </w:rPr>
        <w:t xml:space="preserve">قم؛ مرعشی؛ شماره نسخه: ۱۱۳۱۷/۷</w:t>
      </w:r>
    </w:p>
    <w:p>
      <w:pPr>
        <w:pStyle w:val="BookText"/>
      </w:pPr>
      <w:r>
        <w:rPr>
          <w:rFonts w:ascii="IRNazanin" w:hAnsi="IRNazanin" w:eastAsia="IRNazanin" w:cs="IRNazanin"/>
          <w:lang w:bidi="fa-IR"/>
          <w:color w:val="111111"/>
          <w:sz w:val="28"/>
          <w:szCs w:val="28"/>
          <w:rtl/>
        </w:rPr>
        <w:t xml:space="preserve">آغاز: این کتاب مسمى باسرار الدعوة باندراج پرداخته و بر سه اسرار مرتب ساخته سر اول در بیان دعوظ مجموعه و منفرده؛.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35" w:name="pg20365_260338"/>
    <w:bookmarkEnd w:id="235"/>
    <w:p>
      <w:pPr>
        <w:pStyle w:val="BookText"/>
      </w:pPr>
      <w:r>
        <w:rPr>
          <w:rFonts w:ascii="Amiri" w:hAnsi="Amiri" w:eastAsia="Amiri" w:cs="Amiri"/>
          <w:lang w:bidi="ar-SA"/>
          <w:color w:val="111111"/>
          <w:sz w:val="28"/>
          <w:szCs w:val="28"/>
          <w:rtl/>
        </w:rPr>
        <w:t xml:space="preserve">انجام: هذا كلكم يا معشر الجن و الارواح تعال تعال...</w:t>
      </w:r>
    </w:p>
    <w:p>
      <w:pPr>
        <w:pStyle w:val="BookText"/>
      </w:pPr>
      <w:r>
        <w:rPr>
          <w:rFonts w:ascii="IRNazanin" w:hAnsi="IRNazanin" w:eastAsia="IRNazanin" w:cs="IRNazanin"/>
          <w:lang w:bidi="fa-IR"/>
          <w:color w:val="111111"/>
          <w:sz w:val="28"/>
          <w:szCs w:val="28"/>
          <w:rtl/>
        </w:rPr>
        <w:t xml:space="preserve">تا سر دوم؛ خط: نستعلیق ،تحریری بی کا ،تا: قرن ۱۳؛ افتادگی:   انجام: کاغذ: فرنگی قدیم،2گ( 87- 88)45سطر، اندازه: 10</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۲۸ - ۵۰۰]</w:t>
      </w:r>
    </w:p>
    <w:p>
      <w:pPr>
        <w:pStyle w:val="Heading3"/>
      </w:pPr>
      <w:bookmarkStart w:id="1327" w:name="_Toc849"/>
      <w:r>
        <w:t>اسرار الدقائق = شرح حدیث «من عرف نفسه فقـد عرف ربه / کلام و اعتقادات / عربی</w:t>
      </w:r>
      <w:bookmarkEnd w:id="1327"/>
    </w:p>
    <w:p>
      <w:pPr>
        <w:pStyle w:val="BookText"/>
      </w:pPr>
      <w:r>
        <w:rPr>
          <w:rFonts w:ascii="Times New Roman" w:hAnsi="Times New Roman" w:eastAsia="Times New Roman" w:cs="Times New Roman"/>
          <w:lang w:val="en-US" w:bidi="en-US"/>
          <w:color w:val="111111"/>
          <w:sz w:val="28"/>
          <w:szCs w:val="28"/>
          <w:rtl/>
        </w:rPr>
        <w:t xml:space="preserve">asrār-ud daqā’iq = š.-e hadīs-e «man ‘arafa nafs-ah</w:t>
      </w:r>
    </w:p>
    <w:p>
      <w:pPr>
        <w:pStyle w:val="BookText"/>
      </w:pPr>
      <w:r>
        <w:rPr>
          <w:rFonts w:ascii="Times New Roman" w:hAnsi="Times New Roman" w:eastAsia="Times New Roman" w:cs="Times New Roman"/>
          <w:lang w:val="en-US" w:bidi="en-US"/>
          <w:color w:val="111111"/>
          <w:sz w:val="28"/>
          <w:szCs w:val="28"/>
          <w:rtl/>
        </w:rPr>
        <w:t xml:space="preserve">faqad ‘arafa rabb-ah»</w:t>
      </w:r>
    </w:p>
    <w:p>
      <w:pPr>
        <w:pStyle w:val="BookText"/>
      </w:pPr>
      <w:r>
        <w:rPr>
          <w:rFonts w:ascii="IRNazanin" w:hAnsi="IRNazanin" w:eastAsia="IRNazanin" w:cs="IRNazanin"/>
          <w:lang w:bidi="fa-IR"/>
          <w:color w:val="111111"/>
          <w:sz w:val="28"/>
          <w:szCs w:val="28"/>
          <w:rtl/>
        </w:rPr>
        <w:t xml:space="preserve">سماوی، بدرالدین</w:t>
      </w:r>
    </w:p>
    <w:p>
      <w:pPr>
        <w:pStyle w:val="BookText"/>
      </w:pPr>
      <w:r>
        <w:rPr>
          <w:rFonts w:ascii="Times New Roman" w:hAnsi="Times New Roman" w:eastAsia="Times New Roman" w:cs="Times New Roman"/>
          <w:lang w:val="en-US" w:bidi="en-US"/>
          <w:color w:val="111111"/>
          <w:sz w:val="28"/>
          <w:szCs w:val="28"/>
          <w:rtl/>
        </w:rPr>
        <w:t xml:space="preserve">samāvī, badr-od-dīn</w:t>
      </w:r>
    </w:p>
    <w:p>
      <w:pPr>
        <w:pStyle w:val="BookText"/>
      </w:pPr>
      <w:r>
        <w:rPr>
          <w:rFonts w:ascii="IRNazanin" w:hAnsi="IRNazanin" w:eastAsia="IRNazanin" w:cs="IRNazanin"/>
          <w:lang w:bidi="fa-IR"/>
          <w:color w:val="111111"/>
          <w:sz w:val="28"/>
          <w:szCs w:val="28"/>
          <w:rtl/>
        </w:rPr>
        <w:t xml:space="preserve">در موضوع «من عرف نفسه فقد عرف ربه».</w:t>
      </w:r>
    </w:p>
    <w:p>
      <w:pPr>
        <w:pStyle w:val="BookText"/>
      </w:pPr>
      <w:r>
        <w:rPr>
          <w:rFonts w:ascii="Amiri" w:hAnsi="Amiri" w:eastAsia="Amiri" w:cs="Amiri"/>
          <w:lang w:bidi="ar-SA"/>
          <w:color w:val="111111"/>
          <w:sz w:val="28"/>
          <w:szCs w:val="28"/>
          <w:rtl/>
        </w:rPr>
        <w:t xml:space="preserve">آغاز: بسم  اله. الحمد لله الذى حققنا بتحقيق حقايق الايمان  و اكرمنا بكرامة تكريم الاذعان و الايقان</w:t>
      </w:r>
    </w:p>
    <w:p>
      <w:pPr>
        <w:pStyle w:val="BookText"/>
      </w:pPr>
      <w:r>
        <w:rPr>
          <w:rFonts w:ascii="IRNazanin" w:hAnsi="IRNazanin" w:eastAsia="IRNazanin" w:cs="IRNazanin"/>
          <w:lang w:bidi="fa-IR"/>
          <w:color w:val="111111"/>
          <w:sz w:val="28"/>
          <w:szCs w:val="28"/>
          <w:rtl/>
        </w:rPr>
        <w:t xml:space="preserve">انجام: وقال الله تعالى و ان جهنم لمحيطة بالكافرين فافهم کلام شیخ ...لک المقصود، تم الانتخاب من كتاب اسرار الدقايق</w:t>
      </w:r>
    </w:p>
    <w:p>
      <w:pPr>
        <w:pStyle w:val="BookText"/>
      </w:pPr>
      <w:r>
        <w:rPr>
          <w:rFonts w:ascii="IRNazanin" w:hAnsi="IRNazanin" w:eastAsia="IRNazanin" w:cs="IRNazanin"/>
          <w:lang w:bidi="fa-IR"/>
          <w:color w:val="111111"/>
          <w:sz w:val="28"/>
          <w:szCs w:val="28"/>
          <w:rtl/>
        </w:rPr>
        <w:t xml:space="preserve">[فهرستواره منزوی ۶۳/۷]</w:t>
      </w:r>
    </w:p>
    <w:p>
      <w:pPr>
        <w:pStyle w:val="BookText"/>
      </w:pPr>
      <w:r>
        <w:rPr>
          <w:rFonts w:ascii="IRNazanin" w:hAnsi="IRNazanin" w:eastAsia="IRNazanin" w:cs="IRNazanin"/>
          <w:lang w:bidi="fa-IR"/>
          <w:color w:val="111111"/>
          <w:sz w:val="28"/>
          <w:szCs w:val="28"/>
          <w:rtl/>
        </w:rPr>
        <w:t xml:space="preserve">تهران؛ ملک؛ شماره نسخه: ۶۰۹۶/۴۶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نسخ،کا:يوسف نسیم، بی تا :جلد: میشن تریاکی لبه  دار، ۱۰گ (۹۴ر-۱۰۳پ)، ۲۳  سطر،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:[ف:9- 147]</w:t>
      </w:r>
    </w:p>
    <w:p>
      <w:pPr>
        <w:pStyle w:val="Heading3"/>
      </w:pPr>
      <w:bookmarkStart w:id="1328" w:name="_Toc850"/>
      <w:r>
        <w:t>اسرار دل / عرفان و تصوف / فارسی</w:t>
      </w:r>
      <w:bookmarkEnd w:id="1328"/>
    </w:p>
    <w:p>
      <w:pPr>
        <w:pStyle w:val="BookText"/>
      </w:pPr>
      <w:r>
        <w:rPr>
          <w:rFonts w:ascii="Times New Roman" w:hAnsi="Times New Roman" w:eastAsia="Times New Roman" w:cs="Times New Roman"/>
          <w:lang w:val="en-US" w:bidi="en-US"/>
          <w:color w:val="111111"/>
          <w:sz w:val="28"/>
          <w:szCs w:val="28"/>
          <w:rtl/>
        </w:rPr>
        <w:t xml:space="preserve">asrār-e del</w:t>
      </w:r>
    </w:p>
    <w:p>
      <w:pPr>
        <w:pStyle w:val="BookText"/>
      </w:pPr>
      <w:r>
        <w:rPr>
          <w:rFonts w:ascii="IRNazanin" w:hAnsi="IRNazanin" w:eastAsia="IRNazanin" w:cs="IRNazanin"/>
          <w:lang w:bidi="fa-IR"/>
          <w:color w:val="111111"/>
          <w:sz w:val="28"/>
          <w:szCs w:val="28"/>
          <w:rtl/>
        </w:rPr>
        <w:t xml:space="preserve">ابن همام ،شیرازی، ق ۱۰ قمری</w:t>
      </w:r>
    </w:p>
    <w:p>
      <w:pPr>
        <w:pStyle w:val="BookText"/>
      </w:pPr>
      <w:r>
        <w:rPr>
          <w:rFonts w:ascii="Times New Roman" w:hAnsi="Times New Roman" w:eastAsia="Times New Roman" w:cs="Times New Roman"/>
          <w:lang w:val="en-US" w:bidi="en-US"/>
          <w:color w:val="111111"/>
          <w:sz w:val="28"/>
          <w:szCs w:val="28"/>
          <w:rtl/>
        </w:rPr>
        <w:t xml:space="preserve">(ebn-e hammām-e šīrāzī (- 16c)</w:t>
      </w:r>
    </w:p>
    <w:p>
      <w:pPr>
        <w:pStyle w:val="BookText"/>
      </w:pPr>
      <w:r>
        <w:rPr>
          <w:rFonts w:ascii="IRNazanin" w:hAnsi="IRNazanin" w:eastAsia="IRNazanin" w:cs="IRNazanin"/>
          <w:lang w:bidi="fa-IR"/>
          <w:color w:val="111111"/>
          <w:sz w:val="28"/>
          <w:szCs w:val="28"/>
          <w:rtl/>
        </w:rPr>
        <w:t xml:space="preserve">منظومه و مثنوی اسرار دل در معارف و تصوف و عرفان مشتـمل بر  مقالت و مقامات العارفين</w:t>
      </w:r>
    </w:p>
    <w:p>
      <w:pPr>
        <w:pStyle w:val="BookText"/>
      </w:pPr>
      <w:r>
        <w:rPr>
          <w:rFonts w:ascii="IRNazanin" w:hAnsi="IRNazanin" w:eastAsia="IRNazanin" w:cs="IRNazanin"/>
          <w:lang w:bidi="fa-IR"/>
          <w:color w:val="111111"/>
          <w:sz w:val="28"/>
          <w:szCs w:val="28"/>
          <w:rtl/>
        </w:rPr>
        <w:t xml:space="preserve">[فهرستواره منزوی ۱۴۲/۱۰؛ الذریعه ۱۱۴/۱۹]</w:t>
      </w:r>
    </w:p>
    <w:p>
      <w:pPr>
        <w:pStyle w:val="BookText"/>
      </w:pPr>
      <w:r>
        <w:rPr>
          <w:rFonts w:ascii="IRNazanin" w:hAnsi="IRNazanin" w:eastAsia="IRNazanin" w:cs="IRNazanin"/>
          <w:lang w:bidi="fa-IR"/>
          <w:color w:val="111111"/>
          <w:sz w:val="28"/>
          <w:szCs w:val="28"/>
          <w:rtl/>
        </w:rPr>
        <w:t xml:space="preserve">تهران؛ دانشگاه؛ شماره نسخه: ۲۶۵۴/۶</w:t>
      </w:r>
    </w:p>
    <w:p>
      <w:pPr>
        <w:pStyle w:val="BookText"/>
      </w:pPr>
      <w:r>
        <w:rPr>
          <w:rFonts w:ascii="IRNazanin" w:hAnsi="IRNazanin" w:eastAsia="IRNazanin" w:cs="IRNazanin"/>
          <w:lang w:bidi="fa-IR"/>
          <w:color w:val="111111"/>
          <w:sz w:val="28"/>
          <w:szCs w:val="28"/>
          <w:rtl/>
        </w:rPr>
        <w:t xml:space="preserve">خط: نستعلیق، بی کا، تا: قرن ۱۰ :کاغذ ،سپاهانی :جلد: تیماج تریاکی ضربی ،مقوایی ۹۳ ص( حاشیه ۱-۹۳)، ۱۹ سطر (۶</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ف ۱۰ - ۱۵۲۵]</w:t>
      </w:r>
    </w:p>
    <w:p>
      <w:pPr>
        <w:pStyle w:val="Heading3"/>
      </w:pPr>
      <w:bookmarkStart w:id="1329" w:name="_Toc851"/>
      <w:r>
        <w:t>اسرار دل / شعر / فارسی</w:t>
      </w:r>
      <w:bookmarkEnd w:id="1329"/>
    </w:p>
    <w:p>
      <w:pPr>
        <w:pStyle w:val="BookText"/>
      </w:pPr>
      <w:r>
        <w:rPr>
          <w:rFonts w:ascii="Times New Roman" w:hAnsi="Times New Roman" w:eastAsia="Times New Roman" w:cs="Times New Roman"/>
          <w:lang w:val="en-US" w:bidi="en-US"/>
          <w:color w:val="111111"/>
          <w:sz w:val="28"/>
          <w:szCs w:val="28"/>
          <w:rtl/>
        </w:rPr>
        <w:t xml:space="preserve">asrār-e del</w:t>
      </w:r>
    </w:p>
    <w:p>
      <w:pPr>
        <w:pStyle w:val="BookText"/>
      </w:pPr>
      <w:r>
        <w:rPr>
          <w:rFonts w:ascii="IRNazanin" w:hAnsi="IRNazanin" w:eastAsia="IRNazanin" w:cs="IRNazanin"/>
          <w:lang w:bidi="fa-IR"/>
          <w:color w:val="111111"/>
          <w:sz w:val="28"/>
          <w:szCs w:val="28"/>
          <w:rtl/>
        </w:rPr>
        <w:t xml:space="preserve">مثنوی اسرار دل  است از مثنویات جامی و خواجو و عـطار نیست</w:t>
      </w:r>
    </w:p>
    <w:p>
      <w:pPr>
        <w:pStyle w:val="BookText"/>
      </w:pPr>
      <w:r>
        <w:rPr>
          <w:rFonts w:ascii="IRNazanin" w:hAnsi="IRNazanin" w:eastAsia="IRNazanin" w:cs="IRNazanin"/>
          <w:lang w:bidi="fa-IR"/>
          <w:color w:val="111111"/>
          <w:sz w:val="28"/>
          <w:szCs w:val="28"/>
          <w:rtl/>
        </w:rPr>
        <w:t xml:space="preserve">[فهرستواره منزوی ۱۴۲/۱۰]</w:t>
      </w:r>
    </w:p>
    <w:p>
      <w:pPr>
        <w:pStyle w:val="BookText"/>
      </w:pPr>
      <w:r>
        <w:rPr>
          <w:rFonts w:ascii="IRNazanin" w:hAnsi="IRNazanin" w:eastAsia="IRNazanin" w:cs="IRNazanin"/>
          <w:lang w:bidi="fa-IR"/>
          <w:color w:val="111111"/>
          <w:sz w:val="28"/>
          <w:szCs w:val="28"/>
          <w:rtl/>
        </w:rPr>
        <w:t xml:space="preserve">تهران؛ مجلس؛ شماره نسخه: ۱۱۰۹/۴</w:t>
      </w:r>
    </w:p>
    <w:p>
      <w:pPr>
        <w:pStyle w:val="BookText"/>
      </w:pPr>
      <w:r>
        <w:rPr>
          <w:rFonts w:ascii="IRNazanin" w:hAnsi="IRNazanin" w:eastAsia="IRNazanin" w:cs="IRNazanin"/>
          <w:lang w:bidi="fa-IR"/>
          <w:color w:val="111111"/>
          <w:sz w:val="28"/>
          <w:szCs w:val="28"/>
          <w:rtl/>
        </w:rPr>
        <w:t xml:space="preserve">آغاز: چیست بگو جوهر دل جان من کوشده منزلگه جانان من</w:t>
      </w:r>
    </w:p>
    <w:p>
      <w:pPr>
        <w:pStyle w:val="BookText"/>
      </w:pPr>
      <w:r>
        <w:rPr>
          <w:rFonts w:ascii="IRNazanin" w:hAnsi="IRNazanin" w:eastAsia="IRNazanin" w:cs="IRNazanin"/>
          <w:lang w:bidi="fa-IR"/>
          <w:color w:val="111111"/>
          <w:sz w:val="28"/>
          <w:szCs w:val="28"/>
          <w:rtl/>
        </w:rPr>
        <w:t xml:space="preserve">خط: نستعلیق، بی کا، تا: قرن ۱۳؛ کاغذ: سمرقندی شکری، جلد: گالینگور مشکی عطف تیماج قهوه ای ۶ص (۶۸-۷۳)، ۲۳ سطر، قطع: خشتی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۳ - ۵۵۸]</w:t>
      </w:r>
    </w:p>
    <w:p>
      <w:pPr>
        <w:pStyle w:val="Heading3"/>
      </w:pPr>
      <w:bookmarkStart w:id="1330" w:name="_Toc852"/>
      <w:r>
        <w:t>اسرار دل و جان / عرفان و تصوف، شعر / فارسی</w:t>
      </w:r>
      <w:bookmarkEnd w:id="1330"/>
    </w:p>
    <w:p>
      <w:pPr>
        <w:pStyle w:val="BookText"/>
      </w:pPr>
      <w:r>
        <w:rPr>
          <w:rFonts w:ascii="Times New Roman" w:hAnsi="Times New Roman" w:eastAsia="Times New Roman" w:cs="Times New Roman"/>
          <w:lang w:val="en-US" w:bidi="en-US"/>
          <w:color w:val="111111"/>
          <w:sz w:val="28"/>
          <w:szCs w:val="28"/>
          <w:rtl/>
        </w:rPr>
        <w:t xml:space="preserve">asrar-e del va jān</w:t>
      </w:r>
    </w:p>
    <w:p>
      <w:pPr>
        <w:pStyle w:val="BookText"/>
      </w:pPr>
      <w:r>
        <w:rPr>
          <w:rFonts w:ascii="IRNazanin" w:hAnsi="IRNazanin" w:eastAsia="IRNazanin" w:cs="IRNazanin"/>
          <w:lang w:bidi="fa-IR"/>
          <w:color w:val="111111"/>
          <w:sz w:val="28"/>
          <w:szCs w:val="28"/>
          <w:rtl/>
        </w:rPr>
        <w:t xml:space="preserve">فانی شیرازی دهدار، محمد بن محمود، ۹۴۷  - 1016قمری</w:t>
      </w:r>
    </w:p>
    <w:p>
      <w:pPr>
        <w:pStyle w:val="BookText"/>
      </w:pPr>
      <w:r>
        <w:rPr>
          <w:rFonts w:ascii="Times New Roman" w:hAnsi="Times New Roman" w:eastAsia="Times New Roman" w:cs="Times New Roman"/>
          <w:lang w:val="en-US" w:bidi="en-US"/>
          <w:color w:val="111111"/>
          <w:sz w:val="28"/>
          <w:szCs w:val="28"/>
          <w:rtl/>
        </w:rPr>
        <w:t xml:space="preserve">[1608-fānī šīrāzī dehdar, mohammad ebn-e mahmud (1541 -</w:t>
      </w:r>
    </w:p>
    <w:p>
      <w:pPr>
        <w:pStyle w:val="BookText"/>
      </w:pPr>
      <w:r>
        <w:rPr>
          <w:rFonts w:ascii="IRNazanin" w:hAnsi="IRNazanin" w:eastAsia="IRNazanin" w:cs="IRNazanin"/>
          <w:lang w:bidi="fa-IR"/>
          <w:color w:val="111111"/>
          <w:sz w:val="28"/>
          <w:szCs w:val="28"/>
          <w:rtl/>
        </w:rPr>
        <w:t xml:space="preserve">مثنوی است عرفانی - حروفی که در ابتدا علت سرایش مثنوی را چنین شرح داده است: «تحفه مضجاع دو مهر جلی *** احمد مختار و علی ولی / از پی احمد صلوات و سلام *** یاد مبرهن بر اهل کلام / کانچه عیانی به طریق اصول </w:t>
      </w:r>
      <w:r>
        <w:rPr>
          <w:rFonts w:ascii="IRNazanin" w:hAnsi="IRNazanin" w:eastAsia="IRNazanin" w:cs="IRNazanin"/>
          <w:lang w:bidi="fa-IR"/>
          <w:color w:val="111111"/>
          <w:sz w:val="28"/>
          <w:szCs w:val="28"/>
          <w:b w:val="1"/>
          <w:bCs w:val="1"/>
          <w:i w:val="1"/>
          <w:iCs w:val="1"/>
          <w:rtl/>
        </w:rPr>
        <w:t xml:space="preserve">گفت ز اسرار دل و جان فضول / به پی آنان که ز روی خلاف</w:t>
      </w:r>
      <w:r>
        <w:rPr>
          <w:rFonts w:ascii="IRNazanin" w:hAnsi="IRNazanin" w:eastAsia="IRNazanin" w:cs="IRNazanin"/>
          <w:lang w:bidi="fa-IR"/>
          <w:color w:val="111111"/>
          <w:sz w:val="28"/>
          <w:szCs w:val="28"/>
          <w:rtl/>
        </w:rPr>
        <w:t xml:space="preserve"> بود درین ماده شان اختلاف / خاطر هر یک به رهی رفته بود *** کان نه رهی که می داد سود / بود طریقی که ازین زاویه*** یکسره</w:t>
      </w:r>
    </w:p>
    <w:p>
      <w:pPr>
        <w:pStyle w:val="BookText"/>
      </w:pPr>
      <w:r>
        <w:rPr>
          <w:rFonts w:ascii="IRNazanin" w:hAnsi="IRNazanin" w:eastAsia="IRNazanin" w:cs="IRNazanin"/>
          <w:lang w:bidi="fa-IR"/>
          <w:color w:val="111111"/>
          <w:sz w:val="28"/>
          <w:szCs w:val="28"/>
          <w:rtl/>
        </w:rPr>
        <w:t xml:space="preserve">می رفت سوی هاویه / جمعی از ایشان همه در این طریق ***آمده بودند به ایشان رفیق / گشت به این دلشده این کار فرض </w:t>
      </w:r>
      <w:r>
        <w:rPr>
          <w:rFonts w:ascii="IRNazanin" w:hAnsi="IRNazanin" w:eastAsia="IRNazanin" w:cs="IRNazanin"/>
          <w:lang w:bidi="fa-IR"/>
          <w:color w:val="111111"/>
          <w:sz w:val="28"/>
          <w:szCs w:val="28"/>
          <w:b w:val="1"/>
          <w:bCs w:val="1"/>
          <w:i w:val="1"/>
          <w:iCs w:val="1"/>
          <w:rtl/>
        </w:rPr>
        <w:t xml:space="preserve">تا کند این حال به تفصیل عرض / باشد از آن مغلطه ها دوستان</w:t>
      </w:r>
      <w:r>
        <w:rPr>
          <w:rFonts w:ascii="IRNazanin" w:hAnsi="IRNazanin" w:eastAsia="IRNazanin" w:cs="IRNazanin"/>
          <w:lang w:bidi="fa-IR"/>
          <w:color w:val="111111"/>
          <w:sz w:val="28"/>
          <w:szCs w:val="28"/>
          <w:rtl/>
        </w:rPr>
        <w:t xml:space="preserve"> روی دل آرند بدین بوستان / ملتمس آن است کنون زاهل راز ***چه عیانی شده زان نغمه ساز گر/ نه صواب است قلم بر کشند *** وز پی اصلاح رقم در کشند». این عناوین در آن دیده می شود مقدمه در بیان ظهور وحدت؛ بیان رموز اعداد؛ شرح اسم اعظم الهی؛ بیان اسرار نبوت ولایت؛ تنبيه؛ توضیح بیان بیان اطوار ولایت بعد از نبوت؛ بیان اسرار وجود؛ حقیقت وجود؛ سر وجود و رمز قید و عدم بیان مراتب تنزلات و ظهور حرف و سر بعضی از اسماء الهی؛ بیان احوال آدم و حوا و سر وجود حضرت نبوی؛ بیان اسم جان و دل و سر بعضی از حروف تهجی؛ تنبیه؛ بیان حروف ابجد در مفاتیح اسماء الهی؛ تنبیه؛ بیان اسرار دوره صاحب بیان اسرار الف و واو.</w:t>
      </w:r>
    </w:p>
    <w:p>
      <w:pPr>
        <w:pStyle w:val="BookText"/>
      </w:pPr>
      <w:r>
        <w:rPr>
          <w:rFonts w:ascii="IRNazanin" w:hAnsi="IRNazanin" w:eastAsia="IRNazanin" w:cs="IRNazanin"/>
          <w:lang w:bidi="fa-IR"/>
          <w:color w:val="111111"/>
          <w:sz w:val="28"/>
          <w:szCs w:val="28"/>
          <w:rtl/>
        </w:rPr>
        <w:t xml:space="preserve">آغاز: بسم الله الرحمان الرحيم *** المحمود المتعالى القديم /  حمد حکیمی که ندارد زوال *** شکر کریمی که ندارد مثال</w:t>
      </w:r>
    </w:p>
    <w:p>
      <w:pPr>
        <w:pStyle w:val="BookText"/>
      </w:pPr>
      <w:r>
        <w:rPr>
          <w:rFonts w:ascii="IRNazanin" w:hAnsi="IRNazanin" w:eastAsia="IRNazanin" w:cs="IRNazanin"/>
          <w:lang w:bidi="fa-IR"/>
          <w:color w:val="111111"/>
          <w:sz w:val="28"/>
          <w:szCs w:val="28"/>
          <w:rtl/>
        </w:rPr>
        <w:t xml:space="preserve">۱. تهران؛ مفتاح؛ شماره نسخه: ۴۶۱/۲</w:t>
      </w:r>
    </w:p>
    <w:p>
      <w:pPr>
        <w:pStyle w:val="BookText"/>
      </w:pPr>
      <w:r>
        <w:rPr>
          <w:rFonts w:ascii="IRNazanin" w:hAnsi="IRNazanin" w:eastAsia="IRNazanin" w:cs="IRNazanin"/>
          <w:lang w:bidi="fa-IR"/>
          <w:color w:val="111111"/>
          <w:sz w:val="28"/>
          <w:szCs w:val="28"/>
          <w:rtl/>
        </w:rPr>
        <w:t xml:space="preserve">خط: نستعلیق، بی کا، تا: قرن ،۱۲[ نشریه: ۷ - ۲۴۳]</w:t>
      </w:r>
    </w:p>
    <w:p>
      <w:pPr>
        <w:pStyle w:val="BookText"/>
      </w:pPr>
      <w:r>
        <w:rPr>
          <w:rFonts w:ascii="IRNazanin" w:hAnsi="IRNazanin" w:eastAsia="IRNazanin" w:cs="IRNazanin"/>
          <w:lang w:bidi="fa-IR"/>
          <w:color w:val="111111"/>
          <w:sz w:val="28"/>
          <w:szCs w:val="28"/>
          <w:rtl/>
        </w:rPr>
        <w:t xml:space="preserve">۲. تهران؛ دانشگاه؛ شماره نسخه: ۱۰۷۶۰/۳</w:t>
      </w:r>
    </w:p>
    <w:p>
      <w:pPr>
        <w:pStyle w:val="BookText"/>
      </w:pPr>
      <w:r>
        <w:rPr>
          <w:rFonts w:ascii="IRNazanin" w:hAnsi="IRNazanin" w:eastAsia="IRNazanin" w:cs="IRNazanin"/>
          <w:lang w:bidi="fa-IR"/>
          <w:color w:val="111111"/>
          <w:sz w:val="28"/>
          <w:szCs w:val="28"/>
          <w:rtl/>
        </w:rPr>
        <w:t xml:space="preserve">آغاز: برابر؛ انجام :ز سر این سه حرفای مرد رهبر *** رموز دور و صاحب دور بنگر / به ذوق حال دریاب این سخن را *** مده  دخلی درین تقرير من/ را نكو درياب کین در نیک سفتم *** سخن از دور با تو نیک گفتم / بود کین گفته ها باشد قبولت *** نگیرد راه دل عقل فضولت / و گر در ناقبولی افتدت راه *** تو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236" w:name="pg20365_260339"/>
    <w:bookmarkEnd w:id="236"/>
    <w:p>
      <w:pPr>
        <w:pStyle w:val="BookText"/>
      </w:pPr>
      <w:r>
        <w:rPr>
          <w:rFonts w:ascii="IRNazanin" w:hAnsi="IRNazanin" w:eastAsia="IRNazanin" w:cs="IRNazanin"/>
          <w:lang w:bidi="fa-IR"/>
          <w:color w:val="111111"/>
          <w:sz w:val="28"/>
          <w:szCs w:val="28"/>
          <w:rtl/>
        </w:rPr>
        <w:t xml:space="preserve">دانی من نمودم قصه کوتاه</w:t>
      </w:r>
    </w:p>
    <w:p>
      <w:pPr>
        <w:pStyle w:val="BookText"/>
      </w:pPr>
      <w:r>
        <w:rPr>
          <w:rFonts w:ascii="IRNazanin" w:hAnsi="IRNazanin" w:eastAsia="IRNazanin" w:cs="IRNazanin"/>
          <w:lang w:bidi="fa-IR"/>
          <w:color w:val="111111"/>
          <w:sz w:val="28"/>
          <w:szCs w:val="28"/>
          <w:rtl/>
        </w:rPr>
        <w:t xml:space="preserve">خط: نسخ، بی کا، تا: قرن۱۳ ؛جلد: تیماج قهوه ای یک لا، ۱۶گ (۴۸ پ - ۶۳ر)، ۱۵ سطر (۶/۵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 ف : ۲۰ -292]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دائرة المعارف؛ شماره نسخه ۱۹۲۶/۳- عکسی</w:t>
      </w:r>
    </w:p>
    <w:p>
      <w:pPr>
        <w:pStyle w:val="BookText"/>
      </w:pPr>
      <w:r>
        <w:rPr>
          <w:rFonts w:ascii="IRNazanin" w:hAnsi="IRNazanin" w:eastAsia="IRNazanin" w:cs="IRNazanin"/>
          <w:lang w:bidi="fa-IR"/>
          <w:color w:val="111111"/>
          <w:sz w:val="28"/>
          <w:szCs w:val="28"/>
          <w:rtl/>
        </w:rPr>
        <w:t xml:space="preserve">آغاز:  برابر؛ انجام: و گر در ناباوری افتدت راه *** تو دانی  من نمودم راه</w:t>
      </w:r>
    </w:p>
    <w:p>
      <w:pPr>
        <w:pStyle w:val="BookText"/>
      </w:pPr>
      <w:r>
        <w:rPr>
          <w:rFonts w:ascii="IRNazanin" w:hAnsi="IRNazanin" w:eastAsia="IRNazanin" w:cs="IRNazanin"/>
          <w:lang w:bidi="fa-IR"/>
          <w:color w:val="111111"/>
          <w:sz w:val="28"/>
          <w:szCs w:val="28"/>
          <w:rtl/>
        </w:rPr>
        <w:t xml:space="preserve">گریده آن و در حدود ۴۶۲ بیت؛ خط: نسخ، خوش، بی کا، تا قرن ۱۲- ۱۳ ، ص (92- 119) جدول بندی ۲ راه [ف ۱ - ۲۱]</w:t>
      </w:r>
    </w:p>
    <w:p>
      <w:pPr>
        <w:pStyle w:val="BookText"/>
      </w:pPr>
      <w:r>
        <w:rPr>
          <w:rFonts w:ascii="Amiri" w:hAnsi="Amiri" w:eastAsia="Amiri" w:cs="Amiri"/>
          <w:lang w:bidi="ar-SA"/>
          <w:color w:val="111111"/>
          <w:sz w:val="28"/>
          <w:szCs w:val="28"/>
          <w:rtl/>
        </w:rPr>
        <w:t xml:space="preserve">«اسرار الرباني » السر الرباني في علم الميزان</w:t>
      </w:r>
    </w:p>
    <w:p>
      <w:pPr>
        <w:pStyle w:val="Heading3"/>
      </w:pPr>
      <w:bookmarkStart w:id="1331" w:name="_Toc853"/>
      <w:r>
        <w:t>الاسرار الربانی / عرفان و تصوف / فارسی</w:t>
      </w:r>
      <w:bookmarkEnd w:id="1331"/>
    </w:p>
    <w:p>
      <w:pPr>
        <w:pStyle w:val="BookText"/>
      </w:pPr>
      <w:r>
        <w:rPr>
          <w:rFonts w:ascii="Times New Roman" w:hAnsi="Times New Roman" w:eastAsia="Times New Roman" w:cs="Times New Roman"/>
          <w:lang w:val="en-US" w:bidi="en-US"/>
          <w:color w:val="111111"/>
          <w:sz w:val="28"/>
          <w:szCs w:val="28"/>
          <w:rtl/>
        </w:rPr>
        <w:t xml:space="preserve">al-asrār-or-rabbānī</w:t>
      </w:r>
    </w:p>
    <w:p>
      <w:pPr>
        <w:pStyle w:val="BookText"/>
      </w:pPr>
      <w:r>
        <w:rPr>
          <w:rFonts w:ascii="IRNazanin" w:hAnsi="IRNazanin" w:eastAsia="IRNazanin" w:cs="IRNazanin"/>
          <w:lang w:bidi="fa-IR"/>
          <w:color w:val="111111"/>
          <w:sz w:val="28"/>
          <w:szCs w:val="28"/>
          <w:rtl/>
        </w:rPr>
        <w:t xml:space="preserve">دارای شش «مقاله»</w:t>
      </w:r>
    </w:p>
    <w:p>
      <w:pPr>
        <w:pStyle w:val="BookText"/>
      </w:pPr>
      <w:r>
        <w:rPr>
          <w:rFonts w:ascii="IRNazanin" w:hAnsi="IRNazanin" w:eastAsia="IRNazanin" w:cs="IRNazanin"/>
          <w:lang w:bidi="fa-IR"/>
          <w:color w:val="111111"/>
          <w:sz w:val="28"/>
          <w:szCs w:val="28"/>
          <w:rtl/>
        </w:rPr>
        <w:t xml:space="preserve">شیراز؛ شاهچراغ؛ شماره نسخه: ۴۸/۲</w:t>
      </w:r>
    </w:p>
    <w:p>
      <w:pPr>
        <w:pStyle w:val="BookText"/>
      </w:pPr>
      <w:r>
        <w:rPr>
          <w:rFonts w:ascii="IRNazanin" w:hAnsi="IRNazanin" w:eastAsia="IRNazanin" w:cs="IRNazanin"/>
          <w:lang w:bidi="fa-IR"/>
          <w:color w:val="111111"/>
          <w:sz w:val="28"/>
          <w:szCs w:val="28"/>
          <w:rtl/>
        </w:rPr>
        <w:t xml:space="preserve">آغاز: بدانکه علمی نامیده شده به وحی در علم میزان و آن متعلق است به اجساد ناقصه به سوی کمال بدون بعد زمان و جسد کامل در میان اجساد معدنی نقره و طلا است.</w:t>
      </w:r>
    </w:p>
    <w:p>
      <w:pPr>
        <w:pStyle w:val="BookText"/>
      </w:pPr>
      <w:r>
        <w:rPr>
          <w:rFonts w:ascii="IRNazanin" w:hAnsi="IRNazanin" w:eastAsia="IRNazanin" w:cs="IRNazanin"/>
          <w:lang w:bidi="fa-IR"/>
          <w:color w:val="111111"/>
          <w:sz w:val="28"/>
          <w:szCs w:val="28"/>
          <w:rtl/>
        </w:rPr>
        <w:t xml:space="preserve">خط: نستعلیق ،زیبا ،کا: هدایت الله اهل سلسلة الذهب، تا: ۱۳۲۲ ق؛اندازه: ۱۶/۵</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۲۳سم [ف: ۳ - ۹۵]</w:t>
      </w:r>
    </w:p>
    <w:p>
      <w:pPr>
        <w:pStyle w:val="Heading3"/>
      </w:pPr>
      <w:bookmarkStart w:id="1332" w:name="_Toc854"/>
      <w:r>
        <w:t>اسرار الربانية فى منقبة الائمة الالهيه / فلسفه /عربي</w:t>
      </w:r>
      <w:bookmarkEnd w:id="1332"/>
    </w:p>
    <w:p>
      <w:pPr>
        <w:pStyle w:val="BookText"/>
      </w:pPr>
      <w:r>
        <w:rPr>
          <w:rFonts w:ascii="Times New Roman" w:hAnsi="Times New Roman" w:eastAsia="Times New Roman" w:cs="Times New Roman"/>
          <w:lang w:val="en-US" w:bidi="en-US"/>
          <w:color w:val="111111"/>
          <w:sz w:val="28"/>
          <w:szCs w:val="28"/>
          <w:rtl/>
        </w:rPr>
        <w:t xml:space="preserve">asrār-ur rabbānīya fī manqabat-il a’immat-il ilāhīyya</w:t>
      </w:r>
    </w:p>
    <w:p>
      <w:pPr>
        <w:pStyle w:val="BookText"/>
      </w:pPr>
      <w:r>
        <w:rPr>
          <w:rFonts w:ascii="IRNazanin" w:hAnsi="IRNazanin" w:eastAsia="IRNazanin" w:cs="IRNazanin"/>
          <w:lang w:bidi="fa-IR"/>
          <w:color w:val="111111"/>
          <w:sz w:val="28"/>
          <w:szCs w:val="28"/>
          <w:rtl/>
        </w:rPr>
        <w:t xml:space="preserve">مشهدی ،عبدالمجید بن محمد تقی، ق۱۳ قمری</w:t>
      </w:r>
    </w:p>
    <w:p>
      <w:pPr>
        <w:pStyle w:val="BookText"/>
      </w:pPr>
      <w:r>
        <w:rPr>
          <w:rFonts w:ascii="Times New Roman" w:hAnsi="Times New Roman" w:eastAsia="Times New Roman" w:cs="Times New Roman"/>
          <w:lang w:val="en-US" w:bidi="en-US"/>
          <w:color w:val="111111"/>
          <w:sz w:val="28"/>
          <w:szCs w:val="28"/>
          <w:rtl/>
        </w:rPr>
        <w:t xml:space="preserve">(mašhadī, ‘abd-ol-majīd ben mohammad taqī (- 19c)</w:t>
      </w:r>
    </w:p>
    <w:p>
      <w:pPr>
        <w:pStyle w:val="BookText"/>
      </w:pPr>
      <w:r>
        <w:rPr>
          <w:rFonts w:ascii="IRNazanin" w:hAnsi="IRNazanin" w:eastAsia="IRNazanin" w:cs="IRNazanin"/>
          <w:lang w:bidi="fa-IR"/>
          <w:color w:val="111111"/>
          <w:sz w:val="28"/>
          <w:szCs w:val="28"/>
          <w:rtl/>
        </w:rPr>
        <w:t xml:space="preserve">مشهد؛ رضوی؛ شماره نسخه: ۱۸۳۰۴</w:t>
      </w:r>
    </w:p>
    <w:p>
      <w:pPr>
        <w:pStyle w:val="BookText"/>
      </w:pPr>
      <w:r>
        <w:rPr>
          <w:rFonts w:ascii="IRNazanin" w:hAnsi="IRNazanin" w:eastAsia="IRNazanin" w:cs="IRNazanin"/>
          <w:lang w:bidi="fa-IR"/>
          <w:color w:val="111111"/>
          <w:sz w:val="28"/>
          <w:szCs w:val="28"/>
          <w:rtl/>
        </w:rPr>
        <w:t xml:space="preserve">آغاز: بسمله الحمدلله الذي جعل طراز الواح كتاب الاذن؛ انجام: المحتاج الى رحمه ربه الحميد عبدالمجید محمد تقی مشهدی</w:t>
      </w:r>
    </w:p>
    <w:p>
      <w:pPr>
        <w:pStyle w:val="BookText"/>
      </w:pPr>
      <w:r>
        <w:rPr>
          <w:rFonts w:ascii="IRNazanin" w:hAnsi="IRNazanin" w:eastAsia="IRNazanin" w:cs="IRNazanin"/>
          <w:lang w:bidi="fa-IR"/>
          <w:color w:val="111111"/>
          <w:sz w:val="28"/>
          <w:szCs w:val="28"/>
          <w:rtl/>
        </w:rPr>
        <w:t xml:space="preserve">خط: نسخ ،بی کا، تا: ۱۲۶۵ق؛ کاغذ: نخودی ،جلد: تیماج [رایانه  ]</w:t>
      </w:r>
    </w:p>
    <w:p>
      <w:pPr>
        <w:pStyle w:val="Heading3"/>
      </w:pPr>
      <w:bookmarkStart w:id="1333" w:name="_Toc855"/>
      <w:r>
        <w:t>اسرار الرجال / طب / عربي</w:t>
      </w:r>
      <w:bookmarkEnd w:id="1333"/>
    </w:p>
    <w:p>
      <w:pPr>
        <w:pStyle w:val="BookText"/>
      </w:pPr>
      <w:r>
        <w:rPr>
          <w:rFonts w:ascii="Times New Roman" w:hAnsi="Times New Roman" w:eastAsia="Times New Roman" w:cs="Times New Roman"/>
          <w:lang w:val="en-US" w:bidi="en-US"/>
          <w:color w:val="111111"/>
          <w:sz w:val="28"/>
          <w:szCs w:val="28"/>
          <w:rtl/>
        </w:rPr>
        <w:t xml:space="preserve">asrār-ur-rijāl</w:t>
      </w:r>
    </w:p>
    <w:p>
      <w:pPr>
        <w:pStyle w:val="BookText"/>
      </w:pPr>
      <w:r>
        <w:rPr>
          <w:rFonts w:ascii="IRNazanin" w:hAnsi="IRNazanin" w:eastAsia="IRNazanin" w:cs="IRNazanin"/>
          <w:lang w:bidi="fa-IR"/>
          <w:color w:val="111111"/>
          <w:sz w:val="28"/>
          <w:szCs w:val="28"/>
          <w:rtl/>
        </w:rPr>
        <w:t xml:space="preserve">جالینوس، ۱۲۹ - ۱۹۹ میلادی</w:t>
      </w:r>
    </w:p>
    <w:p>
      <w:pPr>
        <w:pStyle w:val="BookText"/>
      </w:pPr>
      <w:r>
        <w:rPr>
          <w:rFonts w:ascii="Times New Roman" w:hAnsi="Times New Roman" w:eastAsia="Times New Roman" w:cs="Times New Roman"/>
          <w:lang w:val="en-US" w:bidi="en-US"/>
          <w:color w:val="111111"/>
          <w:sz w:val="28"/>
          <w:szCs w:val="28"/>
          <w:rtl/>
        </w:rPr>
        <w:t xml:space="preserve">(jālīnūs (129 - 199)</w:t>
      </w:r>
    </w:p>
    <w:p>
      <w:pPr>
        <w:pStyle w:val="BookText"/>
      </w:pPr>
      <w:r>
        <w:rPr>
          <w:rFonts w:ascii="IRNazanin" w:hAnsi="IRNazanin" w:eastAsia="IRNazanin" w:cs="IRNazanin"/>
          <w:lang w:bidi="fa-IR"/>
          <w:color w:val="111111"/>
          <w:sz w:val="28"/>
          <w:szCs w:val="28"/>
          <w:rtl/>
        </w:rPr>
        <w:t xml:space="preserve">مترجم: حنين بن اسحاق، ۱۹۴ - ۲۶۰ قمری</w:t>
      </w:r>
    </w:p>
    <w:p>
      <w:pPr>
        <w:pStyle w:val="BookText"/>
      </w:pPr>
      <w:r>
        <w:rPr>
          <w:rFonts w:ascii="IRNazanin" w:hAnsi="IRNazanin" w:eastAsia="IRNazanin" w:cs="IRNazanin"/>
          <w:lang w:bidi="fa-IR"/>
          <w:color w:val="111111"/>
          <w:sz w:val="28"/>
          <w:szCs w:val="28"/>
          <w:rtl/>
        </w:rPr>
        <w:t xml:space="preserve">رساله ای است درباره رازهای جنسی مردان خطاب به قسطنطین قرمانی (قهرمان؟). دست نویس یونانی اش مفقود شده و چند نسخه از ترجمه عربی آن در کتابخانه های ترکیه و هند موجـود است.</w:t>
      </w:r>
    </w:p>
    <w:p>
      <w:pPr>
        <w:pStyle w:val="BookText"/>
      </w:pPr>
      <w:r>
        <w:rPr>
          <w:rFonts w:ascii="IRNazanin" w:hAnsi="IRNazanin" w:eastAsia="IRNazanin" w:cs="IRNazanin"/>
          <w:lang w:bidi="fa-IR"/>
          <w:color w:val="111111"/>
          <w:sz w:val="28"/>
          <w:szCs w:val="28"/>
          <w:rtl/>
        </w:rPr>
        <w:t xml:space="preserve">[تاریخ نگارش های عربی ۱۸۵/۳؛ فهرس مخطوطات الطب الاسلامي  فی مكتبات ترکیا ۱۶۰].</w:t>
      </w:r>
    </w:p>
    <w:p>
      <w:pPr>
        <w:pStyle w:val="BookText"/>
      </w:pPr>
      <w:r>
        <w:rPr>
          <w:rFonts w:ascii="IRNazanin" w:hAnsi="IRNazanin" w:eastAsia="IRNazanin" w:cs="IRNazanin"/>
          <w:lang w:bidi="fa-IR"/>
          <w:color w:val="111111"/>
          <w:sz w:val="28"/>
          <w:szCs w:val="28"/>
          <w:rtl/>
        </w:rPr>
        <w:t xml:space="preserve">۱. قم؛ مرعشی؛ شماره نسخه: ۱۰۹۴/۴</w:t>
      </w:r>
    </w:p>
    <w:p>
      <w:pPr>
        <w:pStyle w:val="BookText"/>
      </w:pPr>
      <w:r>
        <w:rPr>
          <w:rFonts w:ascii="IRNazanin" w:hAnsi="IRNazanin" w:eastAsia="IRNazanin" w:cs="IRNazanin"/>
          <w:lang w:bidi="fa-IR"/>
          <w:color w:val="111111"/>
          <w:sz w:val="28"/>
          <w:szCs w:val="28"/>
          <w:rtl/>
        </w:rPr>
        <w:t xml:space="preserve">آغاز: بسمله و هو حسبی حمدله. وصلاته على انبياء أجمعين. أما بعد فان سبب وضع هذا الكتاب الملقب بأسرار النساء (كذا) انه بلغنا ان قسطاس القهرمان دخل على جالينوس مسلماً و كان دخوله من غير اذن فلما دخل عليه وحده و هو يؤلف كتاباً الى الملكه في أسرار النساء فبقى كل واحد منهما فزعان من صاحبه ... الأدوية التى تمنع من انتشار العصب فى كل وقت بغير شهوة تدعوا الى الانتشار؛ انجام: هذه الأدوية من الغرض الذي يضادها لتلك العلة هى الشافية لها اذ كان جارياً على تأليف هذا الكتاب و هو نقل اسحق بن حنين المتطبب، و الحمد لله و به توفیقی تم کتاب اسرار  الرجال</w:t>
      </w:r>
    </w:p>
    <w:p>
      <w:pPr>
        <w:pStyle w:val="BookText"/>
      </w:pPr>
      <w:r>
        <w:rPr>
          <w:rFonts w:ascii="IRNazanin" w:hAnsi="IRNazanin" w:eastAsia="IRNazanin" w:cs="IRNazanin"/>
          <w:lang w:bidi="fa-IR"/>
          <w:color w:val="111111"/>
          <w:sz w:val="28"/>
          <w:szCs w:val="28"/>
          <w:rtl/>
        </w:rPr>
        <w:t xml:space="preserve">نسخه اصل: کتابخانه ایاصوفیا در استانبول ترکیه ش ۴۸۳۸؛ خط:نسخ، معرب ، بی کا، تا: قرن ۷ ،۱۷گ (۷۵-۹۱)، ۱۱ سطر [عکسی  ف: 3- 186]</w:t>
      </w:r>
    </w:p>
    <w:p>
      <w:pPr>
        <w:pStyle w:val="BookText"/>
      </w:pPr>
      <w:r>
        <w:rPr>
          <w:rFonts w:ascii="IRNazanin" w:hAnsi="IRNazanin" w:eastAsia="IRNazanin" w:cs="IRNazanin"/>
          <w:lang w:bidi="fa-IR"/>
          <w:color w:val="111111"/>
          <w:sz w:val="28"/>
          <w:szCs w:val="28"/>
          <w:rtl/>
        </w:rPr>
        <w:t xml:space="preserve">۲. یزد؛ وزیری، شماره نسخه: ۳۶۴۴/۲</w:t>
      </w:r>
    </w:p>
    <w:p>
      <w:pPr>
        <w:pStyle w:val="BookText"/>
      </w:pPr>
      <w:r>
        <w:rPr>
          <w:rFonts w:ascii="Amiri" w:hAnsi="Amiri" w:eastAsia="Amiri" w:cs="Amiri"/>
          <w:lang w:bidi="ar-SA"/>
          <w:color w:val="111111"/>
          <w:sz w:val="28"/>
          <w:szCs w:val="28"/>
          <w:rtl/>
        </w:rPr>
        <w:t xml:space="preserve">آغاز: بسمله، جوامع الكتاب جالينوس الى قسطالس القهرمان في اسرار الرجال ذكر الادوية التى تمنع من انتشار القضيب في كل وقت؛ انجام: و الا طرح في دهن من حيث لا يعلم و يمزج بها  بطنها</w:t>
      </w:r>
    </w:p>
    <w:p>
      <w:pPr>
        <w:pStyle w:val="BookText"/>
      </w:pPr>
      <w:r>
        <w:rPr>
          <w:rFonts w:ascii="IRNazanin" w:hAnsi="IRNazanin" w:eastAsia="IRNazanin" w:cs="IRNazanin"/>
          <w:lang w:bidi="fa-IR"/>
          <w:color w:val="111111"/>
          <w:sz w:val="28"/>
          <w:szCs w:val="28"/>
          <w:rtl/>
        </w:rPr>
        <w:t xml:space="preserve">خط: نسخ، كا: محمد رفيع بن محمد باقر الحافظ العاملي، تا: ربيع الاول ۱۰۷۵ق؛ کاغذ: اصفهانی، جلد: مقوایی روکش کاغذ ابری عطف تیماج  قرمز، ۱۰ص (۳۸-۲۷)، ۱۲ سطر (۴/۵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۷/۵)، اندازه: 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۵ - ۱۷۳۴]</w:t>
      </w:r>
    </w:p>
    <w:p>
      <w:pPr>
        <w:pStyle w:val="BookText"/>
      </w:pPr>
      <w:r>
        <w:rPr>
          <w:rFonts w:ascii="Amiri" w:hAnsi="Amiri" w:eastAsia="Amiri" w:cs="Amiri"/>
          <w:lang w:bidi="ar-SA"/>
          <w:color w:val="111111"/>
          <w:sz w:val="28"/>
          <w:szCs w:val="28"/>
          <w:rtl/>
        </w:rPr>
        <w:t xml:space="preserve">«اسرار رضويه » الاسرار الرضوية فى بيان غوامض مسائل  الحكمة الالهية</w:t>
      </w:r>
    </w:p>
    <w:p>
      <w:pPr>
        <w:pStyle w:val="Heading3"/>
      </w:pPr>
      <w:bookmarkStart w:id="1334" w:name="_Toc856"/>
      <w:r>
        <w:t>الاسرار الرضوية فى بيان غوامض مسائل الحكمة  الالهية / فلسفه / فارسی</w:t>
      </w:r>
      <w:bookmarkEnd w:id="1334"/>
    </w:p>
    <w:p>
      <w:pPr>
        <w:pStyle w:val="BookText"/>
      </w:pPr>
      <w:r>
        <w:rPr>
          <w:rFonts w:ascii="Times New Roman" w:hAnsi="Times New Roman" w:eastAsia="Times New Roman" w:cs="Times New Roman"/>
          <w:lang w:val="en-US" w:bidi="en-US"/>
          <w:color w:val="111111"/>
          <w:sz w:val="28"/>
          <w:szCs w:val="28"/>
          <w:rtl/>
        </w:rPr>
        <w:t xml:space="preserve">al-asrār-ur-raḍawīyya fī bayān-i ġawāmiḍ-i masā’il-il-</w:t>
      </w:r>
    </w:p>
    <w:p>
      <w:pPr>
        <w:pStyle w:val="BookText"/>
      </w:pPr>
      <w:r>
        <w:rPr>
          <w:rFonts w:ascii="Times New Roman" w:hAnsi="Times New Roman" w:eastAsia="Times New Roman" w:cs="Times New Roman"/>
          <w:lang w:val="en-US" w:bidi="en-US"/>
          <w:color w:val="111111"/>
          <w:sz w:val="28"/>
          <w:szCs w:val="28"/>
          <w:rtl/>
        </w:rPr>
        <w:t xml:space="preserve">hikmat-il-ilahiyya</w:t>
      </w:r>
    </w:p>
    <w:p>
      <w:pPr>
        <w:pStyle w:val="BookText"/>
      </w:pPr>
      <w:r>
        <w:rPr>
          <w:rFonts w:ascii="IRNazanin" w:hAnsi="IRNazanin" w:eastAsia="IRNazanin" w:cs="IRNazanin"/>
          <w:lang w:bidi="fa-IR"/>
          <w:color w:val="111111"/>
          <w:sz w:val="28"/>
          <w:szCs w:val="28"/>
          <w:rtl/>
        </w:rPr>
        <w:t xml:space="preserve">سبزواری رود سرابی، محمد حسن بن محمد تقی، ق ۱۴  قمری</w:t>
      </w:r>
    </w:p>
    <w:p>
      <w:pPr>
        <w:pStyle w:val="BookText"/>
      </w:pPr>
      <w:r>
        <w:rPr>
          <w:rFonts w:ascii="Times New Roman" w:hAnsi="Times New Roman" w:eastAsia="Times New Roman" w:cs="Times New Roman"/>
          <w:lang w:val="en-US" w:bidi="en-US"/>
          <w:color w:val="111111"/>
          <w:sz w:val="28"/>
          <w:szCs w:val="28"/>
          <w:rtl/>
        </w:rPr>
        <w:t xml:space="preserve">sabzevārī rūdsarābī, mohammad hasan ebn-e</w:t>
      </w:r>
    </w:p>
    <w:p>
      <w:pPr>
        <w:pStyle w:val="BookText"/>
      </w:pPr>
      <w:r>
        <w:rPr>
          <w:rFonts w:ascii="Times New Roman" w:hAnsi="Times New Roman" w:eastAsia="Times New Roman" w:cs="Times New Roman"/>
          <w:lang w:val="en-US" w:bidi="en-US"/>
          <w:color w:val="111111"/>
          <w:sz w:val="28"/>
          <w:szCs w:val="28"/>
          <w:rtl/>
        </w:rPr>
        <w:t xml:space="preserve">(mohammad taqī (- 20c)</w:t>
      </w:r>
    </w:p>
    <w:p>
      <w:pPr>
        <w:pStyle w:val="BookText"/>
      </w:pPr>
      <w:r>
        <w:rPr>
          <w:rFonts w:ascii="IRNazanin" w:hAnsi="IRNazanin" w:eastAsia="IRNazanin" w:cs="IRNazanin"/>
          <w:lang w:bidi="fa-IR"/>
          <w:color w:val="111111"/>
          <w:sz w:val="28"/>
          <w:szCs w:val="28"/>
          <w:rtl/>
        </w:rPr>
        <w:t xml:space="preserve">اهدا به: به دستور عماد الملک طبسی و به نامناصرالدین شاه</w:t>
      </w:r>
    </w:p>
    <w:p>
      <w:pPr>
        <w:pStyle w:val="BookText"/>
      </w:pPr>
      <w:r>
        <w:rPr>
          <w:rFonts w:ascii="IRNazanin" w:hAnsi="IRNazanin" w:eastAsia="IRNazanin" w:cs="IRNazanin"/>
          <w:lang w:bidi="fa-IR"/>
          <w:color w:val="111111"/>
          <w:sz w:val="28"/>
          <w:szCs w:val="28"/>
          <w:rtl/>
        </w:rPr>
        <w:t xml:space="preserve">تاریخ تالیف: ۱۲۸۷ق</w:t>
      </w:r>
    </w:p>
    <w:p>
      <w:pPr>
        <w:pStyle w:val="BookText"/>
      </w:pPr>
      <w:r>
        <w:rPr>
          <w:rFonts w:ascii="IRNazanin" w:hAnsi="IRNazanin" w:eastAsia="IRNazanin" w:cs="IRNazanin"/>
          <w:lang w:bidi="fa-IR"/>
          <w:color w:val="111111"/>
          <w:sz w:val="28"/>
          <w:szCs w:val="28"/>
          <w:rtl/>
        </w:rPr>
        <w:t xml:space="preserve">پاسخ پرسش های فلسفی و کلامی است از آن پرسش های انتقادی عصر قاجار که آزاداندیشان از برخی از دانشمندان مطرود نزد فقیهان مانند شیخ احمد احسایی و سید کاظم رشتی و حاج محمد کریمخان و میرزا محمد اخباری می کردند، بررسی این گونه پاسخ و پرسش ها برای درک تاریخ تحول فکری اخیر ایران بسیار سودمند است.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237" w:name="pg20365_260340"/>
    <w:bookmarkEnd w:id="237"/>
    <w:p>
      <w:pPr>
        <w:pStyle w:val="BookText"/>
      </w:pPr>
      <w:r>
        <w:rPr>
          <w:rFonts w:ascii="IRNazanin" w:hAnsi="IRNazanin" w:eastAsia="IRNazanin" w:cs="IRNazanin"/>
          <w:lang w:bidi="fa-IR"/>
          <w:color w:val="111111"/>
          <w:sz w:val="28"/>
          <w:szCs w:val="28"/>
          <w:rtl/>
        </w:rPr>
        <w:t xml:space="preserve">آغاز: یگانه صانعی را ستایش و پرستش رواست که نمایش نرش اسم واحد واحد را بحلی و حلل تمیز و تعیین بیاراست</w:t>
      </w:r>
    </w:p>
    <w:p>
      <w:pPr>
        <w:pStyle w:val="BookText"/>
      </w:pPr>
      <w:r>
        <w:rPr>
          <w:rFonts w:ascii="Amiri" w:hAnsi="Amiri" w:eastAsia="Amiri" w:cs="Amiri"/>
          <w:lang w:bidi="ar-SA"/>
          <w:color w:val="111111"/>
          <w:sz w:val="28"/>
          <w:szCs w:val="28"/>
          <w:rtl/>
        </w:rPr>
        <w:t xml:space="preserve">انجام: و اليه المرجع و المعاد و الحمد لله اولاو آخراً و ظاهراً باطناً</w:t>
      </w:r>
    </w:p>
    <w:p>
      <w:pPr>
        <w:pStyle w:val="BookText"/>
      </w:pPr>
      <w:r>
        <w:rPr>
          <w:rFonts w:ascii="IRNazanin" w:hAnsi="IRNazanin" w:eastAsia="IRNazanin" w:cs="IRNazanin"/>
          <w:lang w:bidi="fa-IR"/>
          <w:color w:val="111111"/>
          <w:sz w:val="28"/>
          <w:szCs w:val="28"/>
          <w:rtl/>
        </w:rPr>
        <w:t xml:space="preserve">[فهرستواره منزوی ۳۸۸/۹ نسخه]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ادبیات؛ شماره نسخه: ۱۲۵ - ج</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۱۳؛ کاغذ: فرنگی، جلد: تیماج مشکی  ضربی مقوایی، ۳۱۵گ، ۲۱ سطر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۱ - ۲۸]</w:t>
      </w:r>
    </w:p>
    <w:p>
      <w:pPr>
        <w:pStyle w:val="BookText"/>
      </w:pPr>
      <w:r>
        <w:rPr>
          <w:rFonts w:ascii="IRNazanin" w:hAnsi="IRNazanin" w:eastAsia="IRNazanin" w:cs="IRNazanin"/>
          <w:lang w:bidi="fa-IR"/>
          <w:color w:val="111111"/>
          <w:sz w:val="28"/>
          <w:szCs w:val="28"/>
          <w:rtl/>
        </w:rPr>
        <w:t xml:space="preserve">۲. یزد ،سعیدی سید ابوالفضل؛ شماره نسخه: ۱</w:t>
      </w:r>
    </w:p>
    <w:p>
      <w:pPr>
        <w:pStyle w:val="BookText"/>
      </w:pPr>
      <w:r>
        <w:rPr>
          <w:rFonts w:ascii="IRNazanin" w:hAnsi="IRNazanin" w:eastAsia="IRNazanin" w:cs="IRNazanin"/>
          <w:lang w:bidi="fa-IR"/>
          <w:color w:val="111111"/>
          <w:sz w:val="28"/>
          <w:szCs w:val="28"/>
          <w:rtl/>
        </w:rPr>
        <w:t xml:space="preserve">خط: نسخ ،کا: محمد علی بن جعفر بن حسین حسینی، تا: شنبه 4رمضان ۱۲۹۳ق [ نشریه: ۴ - ۴۵۹]</w:t>
      </w:r>
    </w:p>
    <w:p>
      <w:pPr>
        <w:pStyle w:val="BookText"/>
      </w:pPr>
      <w:r>
        <w:rPr>
          <w:rFonts w:ascii="IRNazanin" w:hAnsi="IRNazanin" w:eastAsia="IRNazanin" w:cs="IRNazanin"/>
          <w:lang w:bidi="fa-IR"/>
          <w:color w:val="111111"/>
          <w:sz w:val="28"/>
          <w:szCs w:val="28"/>
          <w:rtl/>
        </w:rPr>
        <w:t xml:space="preserve">۳. تهران؛ دانشگاه؛ شماره نسخه: ۳۷۲۵</w:t>
      </w:r>
    </w:p>
    <w:p>
      <w:pPr>
        <w:pStyle w:val="BookText"/>
      </w:pPr>
      <w:r>
        <w:rPr>
          <w:rFonts w:ascii="IRNazanin" w:hAnsi="IRNazanin" w:eastAsia="IRNazanin" w:cs="IRNazanin"/>
          <w:lang w:bidi="fa-IR"/>
          <w:color w:val="111111"/>
          <w:sz w:val="28"/>
          <w:szCs w:val="28"/>
          <w:rtl/>
        </w:rPr>
        <w:t xml:space="preserve">خط: نسخ، بی کا، تا: قرن ۱۴؛ کاغذ: فرنگی، جلد: تیماج تریاکی مقوایی، ۲۶۴گ، ۱۹ سطر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۱۴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۲۲سم [ف: ۱۲ - 2723]</w:t>
      </w:r>
    </w:p>
    <w:p>
      <w:pPr>
        <w:pStyle w:val="BookText"/>
      </w:pPr>
      <w:r>
        <w:rPr>
          <w:rFonts w:ascii="IRNazanin" w:hAnsi="IRNazanin" w:eastAsia="IRNazanin" w:cs="IRNazanin"/>
          <w:lang w:bidi="fa-IR"/>
          <w:color w:val="111111"/>
          <w:sz w:val="28"/>
          <w:szCs w:val="28"/>
          <w:rtl/>
        </w:rPr>
        <w:t xml:space="preserve">« اسرار رمل » الرمل</w:t>
      </w:r>
    </w:p>
    <w:p>
      <w:pPr>
        <w:pStyle w:val="Heading3"/>
      </w:pPr>
      <w:bookmarkStart w:id="1335" w:name="_Toc857"/>
      <w:r>
        <w:t>اسرار الرمل / رمل / فارسی</w:t>
      </w:r>
      <w:bookmarkEnd w:id="1335"/>
    </w:p>
    <w:p>
      <w:pPr>
        <w:pStyle w:val="BookText"/>
      </w:pPr>
      <w:r>
        <w:rPr>
          <w:rFonts w:ascii="Times New Roman" w:hAnsi="Times New Roman" w:eastAsia="Times New Roman" w:cs="Times New Roman"/>
          <w:lang w:val="en-US" w:bidi="en-US"/>
          <w:color w:val="111111"/>
          <w:sz w:val="28"/>
          <w:szCs w:val="28"/>
          <w:rtl/>
        </w:rPr>
        <w:t xml:space="preserve">asrār-or-raml</w:t>
      </w:r>
    </w:p>
    <w:p>
      <w:pPr>
        <w:pStyle w:val="BookText"/>
      </w:pPr>
      <w:r>
        <w:rPr>
          <w:rFonts w:ascii="IRNazanin" w:hAnsi="IRNazanin" w:eastAsia="IRNazanin" w:cs="IRNazanin"/>
          <w:lang w:bidi="fa-IR"/>
          <w:color w:val="111111"/>
          <w:sz w:val="28"/>
          <w:szCs w:val="28"/>
          <w:rtl/>
        </w:rPr>
        <w:t xml:space="preserve">غیر همانند:</w:t>
      </w:r>
    </w:p>
    <w:p>
      <w:pPr>
        <w:pStyle w:val="BookText"/>
      </w:pPr>
      <w:r>
        <w:rPr>
          <w:rFonts w:ascii="IRNazanin" w:hAnsi="IRNazanin" w:eastAsia="IRNazanin" w:cs="IRNazanin"/>
          <w:lang w:bidi="fa-IR"/>
          <w:color w:val="111111"/>
          <w:sz w:val="28"/>
          <w:szCs w:val="28"/>
          <w:rtl/>
        </w:rPr>
        <w:t xml:space="preserve">1.مشهد؛ رضوی؛ شماره نسخه: ۵۶۳۲/۱۲</w:t>
      </w:r>
    </w:p>
    <w:p>
      <w:pPr>
        <w:pStyle w:val="BookText"/>
      </w:pPr>
      <w:r>
        <w:rPr>
          <w:rFonts w:ascii="IRNazanin" w:hAnsi="IRNazanin" w:eastAsia="IRNazanin" w:cs="IRNazanin"/>
          <w:lang w:bidi="fa-IR"/>
          <w:color w:val="111111"/>
          <w:sz w:val="28"/>
          <w:szCs w:val="28"/>
          <w:rtl/>
        </w:rPr>
        <w:t xml:space="preserve">آغاز: دانستن و آن دشوارست و امتزاج نتیجه آمیزش عنصر بـود؛</w:t>
      </w:r>
    </w:p>
    <w:p>
      <w:pPr>
        <w:pStyle w:val="BookText"/>
      </w:pPr>
      <w:r>
        <w:rPr>
          <w:rFonts w:ascii="IRNazanin" w:hAnsi="IRNazanin" w:eastAsia="IRNazanin" w:cs="IRNazanin"/>
          <w:lang w:bidi="fa-IR"/>
          <w:color w:val="111111"/>
          <w:sz w:val="28"/>
          <w:szCs w:val="28"/>
          <w:rtl/>
        </w:rPr>
        <w:t xml:space="preserve">انجام :و معنی آن است که چون سایل بر تو آید</w:t>
      </w:r>
    </w:p>
    <w:p>
      <w:pPr>
        <w:pStyle w:val="BookText"/>
      </w:pPr>
      <w:r>
        <w:rPr>
          <w:rFonts w:ascii="IRNazanin" w:hAnsi="IRNazanin" w:eastAsia="IRNazanin" w:cs="IRNazanin"/>
          <w:lang w:bidi="fa-IR"/>
          <w:color w:val="111111"/>
          <w:sz w:val="28"/>
          <w:szCs w:val="28"/>
          <w:rtl/>
        </w:rPr>
        <w:t xml:space="preserve">رساله ای است بی سر و ته در عمل  رمل، مقتبس از کتاب اسـرارالرمل تالیف امام ابو عبدالله محمد بن عثمان زناتی و فصول آن عبارت: «زناتی  ،گوید من قول الامام زناتی  گوید من قول ابو عبدالله محمد بن عثمان «الزناتى شروع می شود؛ خط: نسخ، حيدر بن محمد رمال، تا: ۶۸۰ ق ؛ کاغذ: حنایی، جلد: چرمی ضربی عنایی ۱۶ ص (۱۴۷-۱۶۲)،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۲۱/۸سم [ف: ۸ -441]</w:t>
      </w:r>
    </w:p>
    <w:p>
      <w:pPr>
        <w:pStyle w:val="BookText"/>
      </w:pPr>
      <w:r>
        <w:rPr>
          <w:rFonts w:ascii="IRNazanin" w:hAnsi="IRNazanin" w:eastAsia="IRNazanin" w:cs="IRNazanin"/>
          <w:lang w:bidi="fa-IR"/>
          <w:color w:val="111111"/>
          <w:sz w:val="28"/>
          <w:szCs w:val="28"/>
          <w:rtl/>
        </w:rPr>
        <w:t xml:space="preserve">۲ . قم؛ معصومیه؛ شماره نسخه: ۶۷۱/۶</w:t>
      </w:r>
    </w:p>
    <w:p>
      <w:pPr>
        <w:pStyle w:val="BookText"/>
      </w:pPr>
      <w:r>
        <w:rPr>
          <w:rFonts w:ascii="IRNazanin" w:hAnsi="IRNazanin" w:eastAsia="IRNazanin" w:cs="IRNazanin"/>
          <w:lang w:bidi="fa-IR"/>
          <w:color w:val="111111"/>
          <w:sz w:val="28"/>
          <w:szCs w:val="28"/>
          <w:rtl/>
        </w:rPr>
        <w:t xml:space="preserve">آغاز: از صورت اول و صورت ثانی نتیجه حاصل نماید و ببیند که نتیجه ثالث در رمل موجود است یا نه</w:t>
      </w:r>
    </w:p>
    <w:p>
      <w:pPr>
        <w:pStyle w:val="BookText"/>
      </w:pPr>
      <w:r>
        <w:rPr>
          <w:rFonts w:ascii="IRNazanin" w:hAnsi="IRNazanin" w:eastAsia="IRNazanin" w:cs="IRNazanin"/>
          <w:lang w:bidi="fa-IR"/>
          <w:color w:val="111111"/>
          <w:sz w:val="28"/>
          <w:szCs w:val="28"/>
          <w:rtl/>
        </w:rPr>
        <w:t xml:space="preserve">رساله مختصری است در احکام خانه های رمل، مقدمه کتاب پاره شده؛  ؛ بی کا، تا: قرن  ۱۳؛ جلد: تیماج قهوه ای ۵گ (۳۹ پ-۴۳ر) ابعاد متن: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 قطع: بیاض ،رقعی،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۲ - 306]</w:t>
      </w:r>
    </w:p>
    <w:p>
      <w:pPr>
        <w:pStyle w:val="BookText"/>
      </w:pPr>
      <w:r>
        <w:rPr>
          <w:rFonts w:ascii="IRNazanin" w:hAnsi="IRNazanin" w:eastAsia="IRNazanin" w:cs="IRNazanin"/>
          <w:lang w:bidi="fa-IR"/>
          <w:color w:val="111111"/>
          <w:sz w:val="28"/>
          <w:szCs w:val="28"/>
          <w:rtl/>
        </w:rPr>
        <w:t xml:space="preserve">۳. یزد؛ وزیری؛ شماره نسخه: ۲۰۵۲/۲</w:t>
      </w:r>
    </w:p>
    <w:p>
      <w:pPr>
        <w:pStyle w:val="BookText"/>
      </w:pPr>
      <w:r>
        <w:rPr>
          <w:rFonts w:ascii="IRNazanin" w:hAnsi="IRNazanin" w:eastAsia="IRNazanin" w:cs="IRNazanin"/>
          <w:lang w:bidi="fa-IR"/>
          <w:color w:val="111111"/>
          <w:sz w:val="28"/>
          <w:szCs w:val="28"/>
          <w:rtl/>
        </w:rPr>
        <w:t xml:space="preserve">آغاز: بسمله حمد  له، اما بعد سبب تالیف این چند کلمه آنکه بندگی امیر اعظم مالك الرقاب الامم جلال الدوله و الدين  امیرحاجی خواجه زید دولته از این بنده کم بضاعت التماس فرمودند که نکته چند در باب علم رمل بنویس... و این کتاب را اسرار الرمل نام نهاده شد؛ انجام: و اگر منقلب بود فروخته شود اما باز گردانند سعد بسعود و نحس بزبان</w:t>
      </w:r>
    </w:p>
    <w:p>
      <w:pPr>
        <w:pStyle w:val="BookText"/>
      </w:pPr>
      <w:r>
        <w:rPr>
          <w:rFonts w:ascii="IRNazanin" w:hAnsi="IRNazanin" w:eastAsia="IRNazanin" w:cs="IRNazanin"/>
          <w:lang w:bidi="fa-IR"/>
          <w:color w:val="111111"/>
          <w:sz w:val="28"/>
          <w:szCs w:val="28"/>
          <w:rtl/>
        </w:rPr>
        <w:t xml:space="preserve">خط: نستعليق تحریری، بی کا، بی تا؛ افتادگی: انجام؛ اهدایی دکتر حکمت؛ کاغذ: اصفهانی، جلد: مقوایی با تیماج زرد، ۲۷گ (۲۳- ۴۹)، ۲۰ سطر (7</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۴ - ۱۱۴۱]</w:t>
      </w:r>
    </w:p>
    <w:p>
      <w:pPr>
        <w:pStyle w:val="Heading3"/>
      </w:pPr>
      <w:bookmarkStart w:id="1336" w:name="_Toc858"/>
      <w:r>
        <w:t>اسرار رموز / شعر / فارسی</w:t>
      </w:r>
      <w:bookmarkEnd w:id="1336"/>
    </w:p>
    <w:p>
      <w:pPr>
        <w:pStyle w:val="BookText"/>
      </w:pPr>
      <w:r>
        <w:rPr>
          <w:rFonts w:ascii="Times New Roman" w:hAnsi="Times New Roman" w:eastAsia="Times New Roman" w:cs="Times New Roman"/>
          <w:lang w:val="en-US" w:bidi="en-US"/>
          <w:color w:val="111111"/>
          <w:sz w:val="28"/>
          <w:szCs w:val="28"/>
          <w:rtl/>
        </w:rPr>
        <w:t xml:space="preserve">asrār-e romūz</w:t>
      </w:r>
    </w:p>
    <w:p>
      <w:pPr>
        <w:pStyle w:val="BookText"/>
      </w:pPr>
      <w:r>
        <w:rPr>
          <w:rFonts w:ascii="IRNazanin" w:hAnsi="IRNazanin" w:eastAsia="IRNazanin" w:cs="IRNazanin"/>
          <w:lang w:bidi="fa-IR"/>
          <w:color w:val="111111"/>
          <w:sz w:val="28"/>
          <w:szCs w:val="28"/>
          <w:rtl/>
        </w:rPr>
        <w:t xml:space="preserve">اسرار رموز مثنوی عرفانی فارسی از «بی نشان».</w:t>
      </w:r>
    </w:p>
    <w:p>
      <w:pPr>
        <w:pStyle w:val="BookText"/>
      </w:pPr>
      <w:r>
        <w:rPr>
          <w:rFonts w:ascii="IRNazanin" w:hAnsi="IRNazanin" w:eastAsia="IRNazanin" w:cs="IRNazanin"/>
          <w:lang w:bidi="fa-IR"/>
          <w:color w:val="111111"/>
          <w:sz w:val="28"/>
          <w:szCs w:val="28"/>
          <w:rtl/>
        </w:rPr>
        <w:t xml:space="preserve">تهران؛ دانشگاه؛ شماره نسخه: ۶۱۱۵/۱</w:t>
      </w:r>
    </w:p>
    <w:p>
      <w:pPr>
        <w:pStyle w:val="BookText"/>
      </w:pPr>
      <w:r>
        <w:rPr>
          <w:rFonts w:ascii="IRNazanin" w:hAnsi="IRNazanin" w:eastAsia="IRNazanin" w:cs="IRNazanin"/>
          <w:lang w:bidi="fa-IR"/>
          <w:color w:val="111111"/>
          <w:sz w:val="28"/>
          <w:szCs w:val="28"/>
          <w:rtl/>
        </w:rPr>
        <w:t xml:space="preserve">آغاز: صد هزاران کافر اندر خون نشست*** تا که عیسی بر سر گردون نشست؛ انجام: بر سبیل مزد ایما ای غلام*** ختم شد والله اعلم بالصواب.</w:t>
      </w:r>
    </w:p>
    <w:p>
      <w:pPr>
        <w:pStyle w:val="BookText"/>
      </w:pPr>
      <w:r>
        <w:rPr>
          <w:rFonts w:ascii="IRNazanin" w:hAnsi="IRNazanin" w:eastAsia="IRNazanin" w:cs="IRNazanin"/>
          <w:lang w:bidi="fa-IR"/>
          <w:color w:val="111111"/>
          <w:sz w:val="28"/>
          <w:szCs w:val="28"/>
          <w:rtl/>
        </w:rPr>
        <w:t xml:space="preserve">بی کا  ، بی تا :کاغذ: کبود  سپاهانی ،جلد: تیماج مشکی مقوایی، ۲۵گ (26ر-2)، ۱۲ سطر (6</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قطع : جیبی،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۱۶ - ۲۰۰]</w:t>
      </w:r>
    </w:p>
    <w:p>
      <w:pPr>
        <w:pStyle w:val="Heading3"/>
      </w:pPr>
      <w:bookmarkStart w:id="1337" w:name="_Toc859"/>
      <w:r>
        <w:t>اسرار الرموز فى الجفر الجامع / جفر / عربی و فارسی</w:t>
      </w:r>
      <w:bookmarkEnd w:id="1337"/>
    </w:p>
    <w:p>
      <w:pPr>
        <w:pStyle w:val="BookText"/>
      </w:pPr>
      <w:r>
        <w:rPr>
          <w:rFonts w:ascii="Times New Roman" w:hAnsi="Times New Roman" w:eastAsia="Times New Roman" w:cs="Times New Roman"/>
          <w:lang w:val="en-US" w:bidi="en-US"/>
          <w:color w:val="111111"/>
          <w:sz w:val="28"/>
          <w:szCs w:val="28"/>
          <w:rtl/>
        </w:rPr>
        <w:t xml:space="preserve">asrār-ur-rumūz fi-l-jafr-il-jāmi‘</w:t>
      </w:r>
    </w:p>
    <w:p>
      <w:pPr>
        <w:pStyle w:val="BookText"/>
      </w:pPr>
      <w:r>
        <w:rPr>
          <w:rFonts w:ascii="IRNazanin" w:hAnsi="IRNazanin" w:eastAsia="IRNazanin" w:cs="IRNazanin"/>
          <w:lang w:bidi="fa-IR"/>
          <w:color w:val="111111"/>
          <w:sz w:val="28"/>
          <w:szCs w:val="28"/>
          <w:rtl/>
        </w:rPr>
        <w:t xml:space="preserve">بخاری، بکار بن احمد</w:t>
      </w:r>
    </w:p>
    <w:p>
      <w:pPr>
        <w:pStyle w:val="BookText"/>
      </w:pPr>
      <w:r>
        <w:rPr>
          <w:rFonts w:ascii="Times New Roman" w:hAnsi="Times New Roman" w:eastAsia="Times New Roman" w:cs="Times New Roman"/>
          <w:lang w:val="en-US" w:bidi="en-US"/>
          <w:color w:val="111111"/>
          <w:sz w:val="28"/>
          <w:szCs w:val="28"/>
          <w:rtl/>
        </w:rPr>
        <w:t xml:space="preserve">boxārī, bakkar ebn-e ahmad</w:t>
      </w:r>
    </w:p>
    <w:p>
      <w:pPr>
        <w:pStyle w:val="BookText"/>
      </w:pPr>
      <w:r>
        <w:rPr>
          <w:rFonts w:ascii="IRNazanin" w:hAnsi="IRNazanin" w:eastAsia="IRNazanin" w:cs="IRNazanin"/>
          <w:lang w:bidi="fa-IR"/>
          <w:color w:val="111111"/>
          <w:sz w:val="28"/>
          <w:szCs w:val="28"/>
          <w:rtl/>
        </w:rPr>
        <w:t xml:space="preserve">کتابی است در جفر شامل دو رساله که اول مشتمل بر دو «طریقه» و هر طریقه مشتمل بر چند رمز و رموز شامل دو «قاعده» می باشد. رساله دوم مربوط به طریقه استخراج دایره خطائی  است. این رساله به عربی است ولی ترجمه فارسی رموز و قاعده آن را نیز در آخر نوشته است. در فهرست الذریعه آن را به نام  «جفر مرتضوی» معرفی کرده است.</w:t>
      </w:r>
    </w:p>
    <w:p>
      <w:pPr>
        <w:pStyle w:val="BookText"/>
      </w:pPr>
      <w:r>
        <w:rPr>
          <w:rFonts w:ascii="Amiri" w:hAnsi="Amiri" w:eastAsia="Amiri" w:cs="Amiri"/>
          <w:lang w:bidi="ar-SA"/>
          <w:color w:val="111111"/>
          <w:sz w:val="28"/>
          <w:szCs w:val="28"/>
          <w:rtl/>
        </w:rPr>
        <w:t xml:space="preserve">آغاز: بسمله ايها الاخ الاعز من الكبريت الاحمر اتلو عليك طريقتين فى الجفر الجامع ... فنقول الطريقة الأولى من الجفر الجامع فى استخراج الاسوله التي لا تعلق لها با براز</w:t>
      </w:r>
    </w:p>
    <w:p>
      <w:pPr>
        <w:pStyle w:val="BookText"/>
      </w:pPr>
      <w:r>
        <w:rPr>
          <w:rFonts w:ascii="IRNazanin" w:hAnsi="IRNazanin" w:eastAsia="IRNazanin" w:cs="IRNazanin"/>
          <w:lang w:bidi="fa-IR"/>
          <w:color w:val="111111"/>
          <w:sz w:val="28"/>
          <w:szCs w:val="28"/>
          <w:rtl/>
        </w:rPr>
        <w:t xml:space="preserve">انجام: وله الشكر فى الاول والاخر والصلوة على على مدينة علم رسول الله ثم اولاده الكرام والحمد لله على ذلك تم وبالخير عم. [الذریعه ۵: ۱۲۱]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گلپایگانی؛ شماره نسخه: ۷۸۳۷/۲-۳۹/۲۱۷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۱۲۸۰ق، جا: تهران؛ جلد: تیماج قهوه ای، ۱۲گ، ۱۲ 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۱ - ۳۴۲]</w:t>
      </w:r>
    </w:p>
    <w:p>
      <w:pPr>
        <w:pStyle w:val="BookText"/>
      </w:pPr>
      <w:r>
        <w:rPr>
          <w:rFonts w:ascii="IRNazanin" w:hAnsi="IRNazanin" w:eastAsia="IRNazanin" w:cs="IRNazanin"/>
          <w:lang w:bidi="fa-IR"/>
          <w:color w:val="111111"/>
          <w:sz w:val="28"/>
          <w:szCs w:val="28"/>
          <w:rtl/>
        </w:rPr>
        <w:t xml:space="preserve">٢ .تهران؛ دانشگاه؛ شماره نسخه: ۸۲۱/۸</w:t>
      </w:r>
    </w:p>
    <w:p>
      <w:pPr>
        <w:pStyle w:val="BookText"/>
      </w:pPr>
      <w:r>
        <w:rPr>
          <w:rFonts w:ascii="Amiri" w:hAnsi="Amiri" w:eastAsia="Amiri" w:cs="Amiri"/>
          <w:lang w:bidi="ar-SA"/>
          <w:color w:val="111111"/>
          <w:sz w:val="28"/>
          <w:szCs w:val="28"/>
          <w:rtl/>
        </w:rPr>
        <w:t xml:space="preserve">آغاز: برابر؛ انجام: و هذه الطريقة مما لا يفهمها الا المعصوم او من  اخذ من المعصوم ... و  لو بالوسائط او من قدر الله له حظا و ارتاض.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238" w:name="pg20365_260341"/>
    <w:bookmarkEnd w:id="238"/>
    <w:p>
      <w:pPr>
        <w:pStyle w:val="BookText"/>
      </w:pPr>
      <w:r>
        <w:rPr>
          <w:rFonts w:ascii="IRNazanin" w:hAnsi="IRNazanin" w:eastAsia="IRNazanin" w:cs="IRNazanin"/>
          <w:lang w:bidi="fa-IR"/>
          <w:color w:val="111111"/>
          <w:sz w:val="28"/>
          <w:szCs w:val="28"/>
          <w:rtl/>
        </w:rPr>
        <w:t xml:space="preserve">خط: نسخ، بی کا، بی تا؛ در ۶ سطر با یک جدول در گ ۱۴ب می باشد پیش از این در برگ (۱۳ ب- ۱۴ب) باب ۳ منهج ۴ الحـبل المتین است در مواریث و ش ۷ دفتر می باشد [ف ۴ - ۹۷۵]</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ملی؛ شماره نسخه: ۱۵۶۹۷</w:t>
      </w:r>
    </w:p>
    <w:p>
      <w:pPr>
        <w:pStyle w:val="BookText"/>
      </w:pPr>
      <w:r>
        <w:rPr>
          <w:rFonts w:ascii="IRNazanin" w:hAnsi="IRNazanin" w:eastAsia="IRNazanin" w:cs="IRNazanin"/>
          <w:lang w:bidi="fa-IR"/>
          <w:color w:val="111111"/>
          <w:sz w:val="28"/>
          <w:szCs w:val="28"/>
          <w:rtl/>
        </w:rPr>
        <w:t xml:space="preserve">آغاز: برابر ؛انجام: اولها صار هكذا می ن ف ت ح ب هو المطلوب هذه الرساله ثانيه فى اسرار الرموز للشيخ عطار بن  الشیخ احمد البخارى</w:t>
      </w:r>
    </w:p>
    <w:p>
      <w:pPr>
        <w:pStyle w:val="BookText"/>
      </w:pPr>
      <w:r>
        <w:rPr>
          <w:rFonts w:ascii="IRNazanin" w:hAnsi="IRNazanin" w:eastAsia="IRNazanin" w:cs="IRNazanin"/>
          <w:lang w:bidi="fa-IR"/>
          <w:color w:val="111111"/>
          <w:sz w:val="28"/>
          <w:szCs w:val="28"/>
          <w:rtl/>
        </w:rPr>
        <w:t xml:space="preserve">خط: نسخ، بی کا،بی تا:در برگ ۱۲پ تا ۱۳ قاعده ای در بیان اعجاز علم جفر جامع نوشته؛ در برگ ۱۵پ تا ۱۸ مطالبی در جفر شامل جفر مرتضوی قاعده در تحصیل جواب از صفحـات جفر جامع و طریقه جفر صغیر و همچنین برگ ۱۹ فائده درجفر منسوب به محیی الدین عربی به زبان عربی نوشته شده؛ کاغذ: فرنگی ،نخودی :جلد: مقوا روکش پارچه سبز ۱۲ ص( 4- 15) ۱۷-۱۶ سطر (۶/۷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۱۶/۵سم [رایانه ]</w:t>
      </w:r>
    </w:p>
    <w:p>
      <w:pPr>
        <w:pStyle w:val="BookText"/>
      </w:pPr>
      <w:r>
        <w:rPr>
          <w:rFonts w:ascii="IRNazanin" w:hAnsi="IRNazanin" w:eastAsia="IRNazanin" w:cs="IRNazanin"/>
          <w:lang w:bidi="fa-IR"/>
          <w:color w:val="111111"/>
          <w:sz w:val="28"/>
          <w:szCs w:val="28"/>
          <w:rtl/>
        </w:rPr>
        <w:t xml:space="preserve">۴. تهران؛ ادبیات؛ شماره نسخه: ۳۴۹/۳ حکمت</w:t>
      </w:r>
    </w:p>
    <w:p>
      <w:pPr>
        <w:pStyle w:val="BookText"/>
      </w:pPr>
      <w:r>
        <w:rPr>
          <w:rFonts w:ascii="IRNazanin" w:hAnsi="IRNazanin" w:eastAsia="IRNazanin" w:cs="IRNazanin"/>
          <w:lang w:bidi="fa-IR"/>
          <w:color w:val="111111"/>
          <w:sz w:val="28"/>
          <w:szCs w:val="28"/>
          <w:rtl/>
        </w:rPr>
        <w:t xml:space="preserve">آغاز: بسمله شکر و سپاس مر خدای را سزاست که بر همه چیز  داناست؛ انجام: عسکر رومی از دمشق بمغرب آيد خرماء (؟) و السلام تمام شد.</w:t>
      </w:r>
    </w:p>
    <w:p>
      <w:pPr>
        <w:pStyle w:val="BookText"/>
      </w:pPr>
      <w:r>
        <w:rPr>
          <w:rFonts w:ascii="IRNazanin" w:hAnsi="IRNazanin" w:eastAsia="IRNazanin" w:cs="IRNazanin"/>
          <w:lang w:bidi="fa-IR"/>
          <w:color w:val="111111"/>
          <w:sz w:val="28"/>
          <w:szCs w:val="28"/>
          <w:rtl/>
        </w:rPr>
        <w:t xml:space="preserve">بی  کا، بی تا؛ جلد: تیماج ،مشکی، قطع: ربعی [ف ۲ - ۶۲]</w:t>
      </w:r>
    </w:p>
    <w:p>
      <w:pPr>
        <w:pStyle w:val="Heading3"/>
      </w:pPr>
      <w:bookmarkStart w:id="1338" w:name="_Toc860"/>
      <w:r>
        <w:t>اسرار الزكاة والصوم والحج / فلسفه احکام / عربی</w:t>
      </w:r>
      <w:bookmarkEnd w:id="1338"/>
    </w:p>
    <w:p>
      <w:pPr>
        <w:pStyle w:val="BookText"/>
      </w:pPr>
      <w:r>
        <w:rPr>
          <w:rFonts w:ascii="Times New Roman" w:hAnsi="Times New Roman" w:eastAsia="Times New Roman" w:cs="Times New Roman"/>
          <w:lang w:val="en-US" w:bidi="en-US"/>
          <w:color w:val="111111"/>
          <w:sz w:val="28"/>
          <w:szCs w:val="28"/>
          <w:rtl/>
        </w:rPr>
        <w:t xml:space="preserve">asrār-uz zakāt wa-ṣ ṣawm wa-l ḥajj</w:t>
      </w:r>
    </w:p>
    <w:p>
      <w:pPr>
        <w:pStyle w:val="BookText"/>
      </w:pPr>
      <w:r>
        <w:rPr>
          <w:rFonts w:ascii="IRNazanin" w:hAnsi="IRNazanin" w:eastAsia="IRNazanin" w:cs="IRNazanin"/>
          <w:lang w:bidi="fa-IR"/>
          <w:color w:val="111111"/>
          <w:sz w:val="28"/>
          <w:szCs w:val="28"/>
          <w:rtl/>
        </w:rPr>
        <w:t xml:space="preserve">شهید ثانی، زین الدین بن علی، ۹۱۱ - ۹۶۵ قمری</w:t>
      </w:r>
    </w:p>
    <w:p>
      <w:pPr>
        <w:pStyle w:val="BookText"/>
      </w:pPr>
      <w:r>
        <w:rPr>
          <w:rFonts w:ascii="Times New Roman" w:hAnsi="Times New Roman" w:eastAsia="Times New Roman" w:cs="Times New Roman"/>
          <w:lang w:val="en-US" w:bidi="en-US"/>
          <w:color w:val="111111"/>
          <w:sz w:val="28"/>
          <w:szCs w:val="28"/>
          <w:rtl/>
        </w:rPr>
        <w:t xml:space="preserve">(šahīd-e sānī, zayn-od-dīn ebn-e ‘alī (1506 - 1558)</w:t>
      </w:r>
    </w:p>
    <w:p>
      <w:pPr>
        <w:pStyle w:val="BookText"/>
      </w:pPr>
      <w:r>
        <w:rPr>
          <w:rFonts w:ascii="IRNazanin" w:hAnsi="IRNazanin" w:eastAsia="IRNazanin" w:cs="IRNazanin"/>
          <w:lang w:bidi="fa-IR"/>
          <w:color w:val="111111"/>
          <w:sz w:val="28"/>
          <w:szCs w:val="28"/>
          <w:rtl/>
        </w:rPr>
        <w:t xml:space="preserve">رساله استدلالی مختصری است در بیان فضیلت اداء زكات و ثواب آن و اعمال روزه و حج، برگرفته شده از کتاب «جواهر القرآن» امام غزالی مؤلف درباره پرداخت زکات و انفال مال مردم را به سه دسته (اقویا،متوسطان و ضعیفان) تقسیم کرد ودر ستایش اقویا فرموده است: آنچه دارند در راه خدا انفـاق می نمایند. فهؤلاء الذين صدقوا ما عاهد و الله» متوسطان بیشتر آنچه خدا واجب کرده می بخشند و ضعیفان همان بخیلانند که غیر از واجب الهی هیچ نمی دهند.</w:t>
      </w:r>
    </w:p>
    <w:p>
      <w:pPr>
        <w:pStyle w:val="BookText"/>
      </w:pPr>
      <w:r>
        <w:rPr>
          <w:rFonts w:ascii="IRNazanin" w:hAnsi="IRNazanin" w:eastAsia="IRNazanin" w:cs="IRNazanin"/>
          <w:lang w:bidi="fa-IR"/>
          <w:color w:val="111111"/>
          <w:sz w:val="28"/>
          <w:szCs w:val="28"/>
          <w:rtl/>
        </w:rPr>
        <w:t xml:space="preserve">آغاز: هذا اصول فى اسرار الزكاة والصوم و الحج ... الاصل فی الصدقة و الزكاة قال الله تعالى مثل الذين ينفقون أموالهم فى سبیل الله كمثل حبة انبتت سبع سنابل.</w:t>
      </w:r>
    </w:p>
    <w:p>
      <w:pPr>
        <w:pStyle w:val="BookText"/>
      </w:pPr>
      <w:r>
        <w:rPr>
          <w:rFonts w:ascii="Amiri" w:hAnsi="Amiri" w:eastAsia="Amiri" w:cs="Amiri"/>
          <w:lang w:bidi="ar-SA"/>
          <w:color w:val="111111"/>
          <w:sz w:val="28"/>
          <w:szCs w:val="28"/>
          <w:rtl/>
        </w:rPr>
        <w:t xml:space="preserve">انجام: فان في كل عمل سراً و تحته رمزاً ينبه لها كل عبد بقـدر الاستعداد المتنبه بصفاء قلبه و قصور همته على مهمات الدين</w:t>
      </w:r>
    </w:p>
    <w:p>
      <w:pPr>
        <w:pStyle w:val="BookText"/>
      </w:pPr>
      <w:r>
        <w:rPr>
          <w:rFonts w:ascii="IRNazanin" w:hAnsi="IRNazanin" w:eastAsia="IRNazanin" w:cs="IRNazanin"/>
          <w:lang w:bidi="fa-IR"/>
          <w:color w:val="111111"/>
          <w:sz w:val="28"/>
          <w:szCs w:val="28"/>
          <w:rtl/>
        </w:rPr>
        <w:t xml:space="preserve">[الذریعه ۴۵/۲، کشف الحجب و الاستار ۴۴]</w:t>
      </w:r>
    </w:p>
    <w:p>
      <w:pPr>
        <w:pStyle w:val="BookText"/>
      </w:pPr>
      <w:r>
        <w:rPr>
          <w:rFonts w:ascii="IRNazanin" w:hAnsi="IRNazanin" w:eastAsia="IRNazanin" w:cs="IRNazanin"/>
          <w:lang w:bidi="fa-IR"/>
          <w:color w:val="111111"/>
          <w:sz w:val="28"/>
          <w:szCs w:val="28"/>
          <w:rtl/>
        </w:rPr>
        <w:t xml:space="preserve">۱. قم؛ مرکز احیاء؛ شماره نسخه: ۴۳۷۶/۴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۱۱؛ جلد: تیماج قهوه ای بدون مقوا،6 گ (۷۵پ-۸۰پ) ۱۴ سطر،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[محدث ارمـوی مخ ١ - ١٣٠]</w:t>
      </w:r>
    </w:p>
    <w:p>
      <w:pPr>
        <w:pStyle w:val="BookText"/>
      </w:pPr>
      <w:r>
        <w:rPr>
          <w:rFonts w:ascii="IRNazanin" w:hAnsi="IRNazanin" w:eastAsia="IRNazanin" w:cs="IRNazanin"/>
          <w:lang w:bidi="fa-IR"/>
          <w:color w:val="111111"/>
          <w:sz w:val="28"/>
          <w:szCs w:val="28"/>
          <w:rtl/>
        </w:rPr>
        <w:t xml:space="preserve">2مشهد؛ رضوی؛ شماره نسخه ۲۱۷۳۰</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پنج شنبه ۱۶ ذیحجه ۱۱۲۹ق؛ اهدایی  :رهبری، خرداد ۱۳۷۳؛ کاغذ: نباتی آهار مهره، جلد: مقوا، ۹گ  ، ۱۵ سطر، اندازه: ۱۳/۵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۲۳سم [اهدائی  رهبر: ۳ -۶۷]</w:t>
      </w:r>
    </w:p>
    <w:p>
      <w:pPr>
        <w:pStyle w:val="Heading3"/>
      </w:pPr>
      <w:bookmarkStart w:id="1339" w:name="_Toc861"/>
      <w:r>
        <w:t>اسرار سبعه / کیمیا / فارسی</w:t>
      </w:r>
      <w:bookmarkEnd w:id="1339"/>
    </w:p>
    <w:p>
      <w:pPr>
        <w:pStyle w:val="BookText"/>
      </w:pPr>
      <w:r>
        <w:rPr>
          <w:rFonts w:ascii="Times New Roman" w:hAnsi="Times New Roman" w:eastAsia="Times New Roman" w:cs="Times New Roman"/>
          <w:lang w:val="en-US" w:bidi="en-US"/>
          <w:color w:val="111111"/>
          <w:sz w:val="28"/>
          <w:szCs w:val="28"/>
          <w:rtl/>
        </w:rPr>
        <w:t xml:space="preserve">asrār-e sab‘e</w:t>
      </w:r>
    </w:p>
    <w:p>
      <w:pPr>
        <w:pStyle w:val="BookText"/>
      </w:pPr>
      <w:r>
        <w:rPr>
          <w:rFonts w:ascii="IRNazanin" w:hAnsi="IRNazanin" w:eastAsia="IRNazanin" w:cs="IRNazanin"/>
          <w:lang w:bidi="fa-IR"/>
          <w:color w:val="111111"/>
          <w:sz w:val="28"/>
          <w:szCs w:val="28"/>
          <w:rtl/>
        </w:rPr>
        <w:t xml:space="preserve">تنکلو شاه کبیر تبریزی</w:t>
      </w:r>
    </w:p>
    <w:p>
      <w:pPr>
        <w:pStyle w:val="BookText"/>
      </w:pPr>
      <w:r>
        <w:rPr>
          <w:rFonts w:ascii="Times New Roman" w:hAnsi="Times New Roman" w:eastAsia="Times New Roman" w:cs="Times New Roman"/>
          <w:lang w:val="en-US" w:bidi="en-US"/>
          <w:color w:val="111111"/>
          <w:sz w:val="28"/>
          <w:szCs w:val="28"/>
          <w:rtl/>
        </w:rPr>
        <w:t xml:space="preserve">tanaklū šāh kabīr-e tabrīzī</w:t>
      </w:r>
    </w:p>
    <w:p>
      <w:pPr>
        <w:pStyle w:val="BookText"/>
      </w:pPr>
      <w:r>
        <w:rPr>
          <w:rFonts w:ascii="IRNazanin" w:hAnsi="IRNazanin" w:eastAsia="IRNazanin" w:cs="IRNazanin"/>
          <w:lang w:bidi="fa-IR"/>
          <w:color w:val="111111"/>
          <w:sz w:val="28"/>
          <w:szCs w:val="28"/>
          <w:rtl/>
        </w:rPr>
        <w:t xml:space="preserve">رساله کوتاهی است در اسرار وزن دو چیز متنجانس از اجساد و انفاس و ارواح شامل هفت «سر» .۱ در دو وزن کردن روح با  روح؛ ۲. در دو وزن کردن نفس با نفس؛ ۳. در دو وزن کردن جسد با جسد؛ ۴. در دو وزن کردن روح با جسد؛ ۵. در دو وزن کردن روح با نفس؛ ۶. در دو وزن کردن جسد با نفس؛ ۷. در دو وزن کردن روح و نفس و جسد با یکدیگر. نسخه ها با یکدیگر تفاوتهایی دارند.</w:t>
      </w:r>
    </w:p>
    <w:p>
      <w:pPr>
        <w:pStyle w:val="BookText"/>
      </w:pPr>
      <w:r>
        <w:rPr>
          <w:rFonts w:ascii="IRNazanin" w:hAnsi="IRNazanin" w:eastAsia="IRNazanin" w:cs="IRNazanin"/>
          <w:lang w:bidi="fa-IR"/>
          <w:color w:val="111111"/>
          <w:sz w:val="28"/>
          <w:szCs w:val="28"/>
          <w:rtl/>
        </w:rPr>
        <w:t xml:space="preserve">آغاز: بسمله کتاب اسرار سبعه کامله در دو وزن اجساد و انفاس و ارواح بدرستی و راستی مجرب و صحیح و مسطور است  لاشك فيه و لاریب و لانقصان سر اول درد وزن کردن روح</w:t>
      </w:r>
    </w:p>
    <w:p>
      <w:pPr>
        <w:pStyle w:val="BookText"/>
      </w:pPr>
      <w:r>
        <w:rPr>
          <w:rFonts w:ascii="IRNazanin" w:hAnsi="IRNazanin" w:eastAsia="IRNazanin" w:cs="IRNazanin"/>
          <w:lang w:bidi="fa-IR"/>
          <w:color w:val="111111"/>
          <w:sz w:val="28"/>
          <w:szCs w:val="28"/>
          <w:rtl/>
        </w:rPr>
        <w:t xml:space="preserve">انجام: در مراتب اربعه که در این ابکار بانواع تدر جست در هر درجه که هست بکار است</w:t>
      </w:r>
    </w:p>
    <w:p>
      <w:pPr>
        <w:pStyle w:val="BookText"/>
      </w:pPr>
      <w:r>
        <w:rPr>
          <w:rFonts w:ascii="IRNazanin" w:hAnsi="IRNazanin" w:eastAsia="IRNazanin" w:cs="IRNazanin"/>
          <w:lang w:bidi="fa-IR"/>
          <w:color w:val="111111"/>
          <w:sz w:val="28"/>
          <w:szCs w:val="28"/>
          <w:rtl/>
        </w:rPr>
        <w:t xml:space="preserve">[فهرست مشترک نسخه های پاکستان ۷۷۱/۱؛ نسخه های منزوی ۲۵۸/۱؛ نشریه  ۷۳۳/۱۱؛ فهرستواره منزوی ۳۹۳۸/۵]</w:t>
      </w:r>
    </w:p>
    <w:p>
      <w:pPr>
        <w:pStyle w:val="BookText"/>
      </w:pPr>
      <w:r>
        <w:rPr>
          <w:rFonts w:ascii="IRNazanin" w:hAnsi="IRNazanin" w:eastAsia="IRNazanin" w:cs="IRNazanin"/>
          <w:lang w:bidi="fa-IR"/>
          <w:color w:val="111111"/>
          <w:sz w:val="28"/>
          <w:szCs w:val="28"/>
          <w:rtl/>
        </w:rPr>
        <w:t xml:space="preserve">۱. قم؛ مرعشی؛ شماره نسخه: ۳۳۷۵/۵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محمد طاهر، تا: قرن ۱۱ ؛جلد: مقوایی عطف پارچه ،نیلی ۱۰گ (۳۶ پ - ۴۵ر)، ۱۵ ،سطر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9- 151]</w:t>
      </w:r>
    </w:p>
    <w:p>
      <w:pPr>
        <w:pStyle w:val="BookText"/>
      </w:pPr>
      <w:r>
        <w:rPr>
          <w:rFonts w:ascii="IRNazanin" w:hAnsi="IRNazanin" w:eastAsia="IRNazanin" w:cs="IRNazanin"/>
          <w:lang w:bidi="fa-IR"/>
          <w:color w:val="111111"/>
          <w:sz w:val="28"/>
          <w:szCs w:val="28"/>
          <w:rtl/>
        </w:rPr>
        <w:t xml:space="preserve">۲ . قم؛ گلپایگانی؛ شماره نسخه: ۶۸۲۴/۱۳-۳۵/۴</w:t>
      </w:r>
    </w:p>
    <w:p>
      <w:pPr>
        <w:pStyle w:val="BookText"/>
      </w:pPr>
      <w:r>
        <w:rPr>
          <w:rFonts w:ascii="IRNazanin" w:hAnsi="IRNazanin" w:eastAsia="IRNazanin" w:cs="IRNazanin"/>
          <w:lang w:bidi="fa-IR"/>
          <w:color w:val="111111"/>
          <w:sz w:val="28"/>
          <w:szCs w:val="28"/>
          <w:rtl/>
        </w:rPr>
        <w:t xml:space="preserve">آغاز: برابر؛ انجام؛ که شنجرفی بود نیکو واحمر، تمام شد کتاب سبعه حضرت مولانا تنكلو شاه</w:t>
      </w:r>
    </w:p>
    <w:p>
      <w:pPr>
        <w:pStyle w:val="BookText"/>
      </w:pPr>
      <w:r>
        <w:rPr>
          <w:rFonts w:ascii="IRNazanin" w:hAnsi="IRNazanin" w:eastAsia="IRNazanin" w:cs="IRNazanin"/>
          <w:lang w:bidi="fa-IR"/>
          <w:color w:val="111111"/>
          <w:sz w:val="28"/>
          <w:szCs w:val="28"/>
          <w:rtl/>
        </w:rPr>
        <w:t xml:space="preserve">خط: نستعلیق، کا: محمد صالح بن عباس  کاشانی، تا: ۱۱۱۳ق؛ جلد: تیماج روغنی مشکی سوخت مجدول با ترنج و سرترنج،  9 گ، ۳۰ سطر،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۳۷سم [ف: ۱ – ۳۵۰]</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قم؛ گلپایگانی؛ شماره نسخه: ۷۸۶۱/۸-۵۳/۷۱</w:t>
      </w:r>
    </w:p>
    <w:p>
      <w:pPr>
        <w:pStyle w:val="BookText"/>
      </w:pPr>
      <w:r>
        <w:rPr>
          <w:rFonts w:ascii="IRNazanin" w:hAnsi="IRNazanin" w:eastAsia="IRNazanin" w:cs="IRNazanin"/>
          <w:lang w:bidi="fa-IR"/>
          <w:color w:val="111111"/>
          <w:sz w:val="28"/>
          <w:szCs w:val="28"/>
          <w:rtl/>
        </w:rPr>
        <w:t xml:space="preserve">آغاز : برابر</w:t>
      </w:r>
    </w:p>
    <w:p>
      <w:pPr>
        <w:pStyle w:val="BookText"/>
      </w:pPr>
      <w:r>
        <w:rPr>
          <w:rFonts w:ascii="IRNazanin" w:hAnsi="IRNazanin" w:eastAsia="IRNazanin" w:cs="IRNazanin"/>
          <w:lang w:bidi="fa-IR"/>
          <w:color w:val="111111"/>
          <w:sz w:val="28"/>
          <w:szCs w:val="28"/>
          <w:rtl/>
        </w:rPr>
        <w:t xml:space="preserve">خط: نسخ و نستعلیق، کا: علی اکبر کرمانشاهی، تا:۱۱۱۳ق، جا: تهران و مشهد رضوی؛ ۱۲گ،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 - ۳۵۱]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قم؛ مرعشی؛ شماره نسخه: ۱۰۲۱۳/۵</w:t>
      </w:r>
    </w:p>
    <w:p>
      <w:pPr>
        <w:pStyle w:val="BookText"/>
      </w:pPr>
      <w:r>
        <w:rPr>
          <w:rFonts w:ascii="IRNazanin" w:hAnsi="IRNazanin" w:eastAsia="IRNazanin" w:cs="IRNazanin"/>
          <w:lang w:bidi="fa-IR"/>
          <w:color w:val="111111"/>
          <w:sz w:val="28"/>
          <w:szCs w:val="28"/>
          <w:rtl/>
        </w:rPr>
        <w:t xml:space="preserve">خط: نستعلیق، بی کا، تا: صفر ۱۲۰۳ق؛ جلد: تیماج قهوه ای، ۱۲گ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239" w:name="pg20365_260342"/>
    <w:bookmarkEnd w:id="239"/>
    <w:p>
      <w:pPr>
        <w:pStyle w:val="BookText"/>
      </w:pPr>
      <w:r>
        <w:rPr>
          <w:rFonts w:ascii="IRNazanin" w:hAnsi="IRNazanin" w:eastAsia="IRNazanin" w:cs="IRNazanin"/>
          <w:lang w:bidi="fa-IR"/>
          <w:color w:val="111111"/>
          <w:sz w:val="28"/>
          <w:szCs w:val="28"/>
          <w:rtl/>
        </w:rPr>
        <w:t xml:space="preserve">(۳۴ پ-۴۵ر)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۲۶ - ۱۸۰]</w:t>
      </w:r>
    </w:p>
    <w:p>
      <w:pPr>
        <w:pStyle w:val="BookText"/>
      </w:pPr>
      <w:r>
        <w:rPr>
          <w:rFonts w:ascii="IRNazanin" w:hAnsi="IRNazanin" w:eastAsia="IRNazanin" w:cs="IRNazanin"/>
          <w:lang w:bidi="fa-IR"/>
          <w:color w:val="111111"/>
          <w:sz w:val="28"/>
          <w:szCs w:val="28"/>
          <w:rtl/>
        </w:rPr>
        <w:t xml:space="preserve">۵. قم؛ مرعشی؛ شماره نسخه: ۸۰۹۹/۵</w:t>
      </w:r>
    </w:p>
    <w:p>
      <w:pPr>
        <w:pStyle w:val="BookText"/>
      </w:pPr>
      <w:r>
        <w:rPr>
          <w:rFonts w:ascii="IRNazanin" w:hAnsi="IRNazanin" w:eastAsia="IRNazanin" w:cs="IRNazanin"/>
          <w:lang w:bidi="fa-IR"/>
          <w:color w:val="111111"/>
          <w:sz w:val="28"/>
          <w:szCs w:val="28"/>
          <w:rtl/>
        </w:rPr>
        <w:t xml:space="preserve">خط: نسخ، بی کا، تا: رجب ۱۲۶۰ق؛ جلد: مقوایی عطف تیماج قهوه ای، ۱۰گ (۳۶ ر - ۴۵ ر) ۱۷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  ف: 21- 101]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تهران؛ دائرة المعارف؛ شماره نسخه: ۲۷۴/۴</w:t>
      </w:r>
    </w:p>
    <w:p>
      <w:pPr>
        <w:pStyle w:val="BookText"/>
      </w:pPr>
      <w:r>
        <w:rPr>
          <w:rFonts w:ascii="IRNazanin" w:hAnsi="IRNazanin" w:eastAsia="IRNazanin" w:cs="IRNazanin"/>
          <w:lang w:bidi="fa-IR"/>
          <w:color w:val="111111"/>
          <w:sz w:val="28"/>
          <w:szCs w:val="28"/>
          <w:rtl/>
        </w:rPr>
        <w:t xml:space="preserve">آغاز: برابر؛ انجام: در سبزی و روشنی و شفافی و شعاع و لطافت هیچ چشمی ندیده باشد</w:t>
      </w:r>
    </w:p>
    <w:p>
      <w:pPr>
        <w:pStyle w:val="BookText"/>
      </w:pPr>
      <w:r>
        <w:rPr>
          <w:rFonts w:ascii="IRNazanin" w:hAnsi="IRNazanin" w:eastAsia="IRNazanin" w:cs="IRNazanin"/>
          <w:lang w:bidi="fa-IR"/>
          <w:color w:val="111111"/>
          <w:sz w:val="28"/>
          <w:szCs w:val="28"/>
          <w:rtl/>
        </w:rPr>
        <w:t xml:space="preserve">خط: شکسته نستعلیق، بی کا :تا: ذیحجه ۱۲۶۹ق؛ ۳گ (۷۸پ-۸۰پ) [ف: ۱ - ۱۷]</w:t>
      </w:r>
    </w:p>
    <w:p>
      <w:pPr>
        <w:pStyle w:val="Heading3"/>
      </w:pPr>
      <w:bookmarkStart w:id="1340" w:name="_Toc862"/>
      <w:r>
        <w:t>اسرار سر / شعر / ترکی - فارسی</w:t>
      </w:r>
      <w:bookmarkEnd w:id="1340"/>
    </w:p>
    <w:p>
      <w:pPr>
        <w:pStyle w:val="BookText"/>
      </w:pPr>
      <w:r>
        <w:rPr>
          <w:rFonts w:ascii="Times New Roman" w:hAnsi="Times New Roman" w:eastAsia="Times New Roman" w:cs="Times New Roman"/>
          <w:lang w:val="en-US" w:bidi="en-US"/>
          <w:color w:val="111111"/>
          <w:sz w:val="28"/>
          <w:szCs w:val="28"/>
          <w:rtl/>
        </w:rPr>
        <w:t xml:space="preserve">asrār-e serr</w:t>
      </w:r>
    </w:p>
    <w:p>
      <w:pPr>
        <w:pStyle w:val="BookText"/>
      </w:pPr>
      <w:r>
        <w:rPr>
          <w:rFonts w:ascii="IRNazanin" w:hAnsi="IRNazanin" w:eastAsia="IRNazanin" w:cs="IRNazanin"/>
          <w:lang w:bidi="fa-IR"/>
          <w:color w:val="111111"/>
          <w:sz w:val="28"/>
          <w:szCs w:val="28"/>
          <w:rtl/>
        </w:rPr>
        <w:t xml:space="preserve">حسینی، غلامعلی ق ۱۳ قمری</w:t>
      </w:r>
    </w:p>
    <w:p>
      <w:pPr>
        <w:pStyle w:val="BookText"/>
      </w:pPr>
      <w:r>
        <w:rPr>
          <w:rFonts w:ascii="Times New Roman" w:hAnsi="Times New Roman" w:eastAsia="Times New Roman" w:cs="Times New Roman"/>
          <w:lang w:val="en-US" w:bidi="en-US"/>
          <w:color w:val="111111"/>
          <w:sz w:val="28"/>
          <w:szCs w:val="28"/>
          <w:rtl/>
        </w:rPr>
        <w:t xml:space="preserve">(hoseynī, qolām ‘alī (- 19c)</w:t>
      </w:r>
    </w:p>
    <w:p>
      <w:pPr>
        <w:pStyle w:val="BookText"/>
      </w:pPr>
      <w:r>
        <w:rPr>
          <w:rFonts w:ascii="IRNazanin" w:hAnsi="IRNazanin" w:eastAsia="IRNazanin" w:cs="IRNazanin"/>
          <w:lang w:bidi="fa-IR"/>
          <w:color w:val="111111"/>
          <w:sz w:val="28"/>
          <w:szCs w:val="28"/>
          <w:rtl/>
        </w:rPr>
        <w:t xml:space="preserve">اهدا به: ناصرالدین شاه</w:t>
      </w:r>
    </w:p>
    <w:p>
      <w:pPr>
        <w:pStyle w:val="BookText"/>
      </w:pPr>
      <w:r>
        <w:rPr>
          <w:rFonts w:ascii="IRNazanin" w:hAnsi="IRNazanin" w:eastAsia="IRNazanin" w:cs="IRNazanin"/>
          <w:lang w:bidi="fa-IR"/>
          <w:color w:val="111111"/>
          <w:sz w:val="28"/>
          <w:szCs w:val="28"/>
          <w:rtl/>
        </w:rPr>
        <w:t xml:space="preserve">تاریخ تالیف: ۱۲۷۰ق</w:t>
      </w:r>
    </w:p>
    <w:p>
      <w:pPr>
        <w:pStyle w:val="BookText"/>
      </w:pPr>
      <w:r>
        <w:rPr>
          <w:rFonts w:ascii="IRNazanin" w:hAnsi="IRNazanin" w:eastAsia="IRNazanin" w:cs="IRNazanin"/>
          <w:lang w:bidi="fa-IR"/>
          <w:color w:val="111111"/>
          <w:sz w:val="28"/>
          <w:szCs w:val="28"/>
          <w:rtl/>
        </w:rPr>
        <w:t xml:space="preserve">دیوان اشعاری است به ترکی که سراینده در مقدمه آن به فارسی چنین آورده است:« ازتاریخ هزار و دویست و پنجاه و یک عهدی دولت شهنشاه محمد شاه مرحوم جنت مكان ... گرفتار به دست پریان بودم بعد از چهار پنج سال گذشته شبی قدرت از نمایان دو نفر پری و پادشاه پری حاضر و صولت محابت (=مهابت) حیدری آشکار و فرمان کرار حقیر عاشق را از حبس گرفتاری خلاص و مداح حیدری شغل نموده سنه ها به راه رفتـم» وی پس از رهایی از دست پریان به کربلا می رود و از حرم امام حسین زیارت می کند و سپس بر اثر از بین رفتن سه دانگ ملـک خود دست به گدایی می زند و این اشعار ترکی را می سراید خدمت ناصرالدین شاه می آورد</w:t>
      </w:r>
    </w:p>
    <w:p>
      <w:pPr>
        <w:pStyle w:val="BookText"/>
      </w:pPr>
      <w:r>
        <w:rPr>
          <w:rFonts w:ascii="IRNazanin" w:hAnsi="IRNazanin" w:eastAsia="IRNazanin" w:cs="IRNazanin"/>
          <w:lang w:bidi="fa-IR"/>
          <w:color w:val="111111"/>
          <w:sz w:val="28"/>
          <w:szCs w:val="28"/>
          <w:rtl/>
        </w:rPr>
        <w:t xml:space="preserve">تهران؛ ملی؛ شماره نسخه: ۷۸۸</w:t>
      </w:r>
    </w:p>
    <w:p>
      <w:pPr>
        <w:pStyle w:val="BookText"/>
      </w:pPr>
      <w:r>
        <w:rPr>
          <w:rFonts w:ascii="IRNazanin" w:hAnsi="IRNazanin" w:eastAsia="IRNazanin" w:cs="IRNazanin"/>
          <w:lang w:bidi="fa-IR"/>
          <w:color w:val="111111"/>
          <w:sz w:val="28"/>
          <w:szCs w:val="28"/>
          <w:rtl/>
        </w:rPr>
        <w:t xml:space="preserve">آغاز: هذا كتاب اسرار سر بسمله، اسرار سری عشق ناصریه به سلطان ابن سلطان خاقان ابن خاقان ناصرالدین شاه قاجار؛ انجام:با صاحب روشن کوه یا فرمان سلسبیل کوثر حور يا على يا سلطان مشهور.</w:t>
      </w:r>
    </w:p>
    <w:p>
      <w:pPr>
        <w:pStyle w:val="BookText"/>
      </w:pPr>
      <w:r>
        <w:rPr>
          <w:rFonts w:ascii="IRNazanin" w:hAnsi="IRNazanin" w:eastAsia="IRNazanin" w:cs="IRNazanin"/>
          <w:lang w:bidi="fa-IR"/>
          <w:color w:val="111111"/>
          <w:sz w:val="28"/>
          <w:szCs w:val="28"/>
          <w:rtl/>
        </w:rPr>
        <w:t xml:space="preserve">خط: نستعليق، كاتب - مؤلف، تا: ۱۲۷۰ق، جا: دمق من محال سردره رود؛ کاغذ: فرنگی، جلد: تیماج سبز، ۴۳گ، ۱۲ سـطر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اندازه: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۲ - ۳۱۳]</w:t>
      </w:r>
    </w:p>
    <w:p>
      <w:pPr>
        <w:pStyle w:val="Heading3"/>
      </w:pPr>
      <w:bookmarkStart w:id="1341" w:name="_Toc863"/>
      <w:r>
        <w:t>اسرار سر الهی / جفر / فارسی</w:t>
      </w:r>
      <w:bookmarkEnd w:id="1341"/>
    </w:p>
    <w:p>
      <w:pPr>
        <w:pStyle w:val="BookText"/>
      </w:pPr>
      <w:r>
        <w:rPr>
          <w:rFonts w:ascii="Times New Roman" w:hAnsi="Times New Roman" w:eastAsia="Times New Roman" w:cs="Times New Roman"/>
          <w:lang w:val="en-US" w:bidi="en-US"/>
          <w:color w:val="111111"/>
          <w:sz w:val="28"/>
          <w:szCs w:val="28"/>
          <w:rtl/>
        </w:rPr>
        <w:t xml:space="preserve">asrār-e serr-e elāhī</w:t>
      </w:r>
    </w:p>
    <w:p>
      <w:pPr>
        <w:pStyle w:val="BookText"/>
      </w:pPr>
      <w:r>
        <w:rPr>
          <w:rFonts w:ascii="IRNazanin" w:hAnsi="IRNazanin" w:eastAsia="IRNazanin" w:cs="IRNazanin"/>
          <w:lang w:bidi="fa-IR"/>
          <w:color w:val="111111"/>
          <w:sz w:val="28"/>
          <w:szCs w:val="28"/>
          <w:rtl/>
        </w:rPr>
        <w:t xml:space="preserve">رساله ای است شامل مطالب زیر علم جفر، علم بازداشتن طير هوا میان آسمان و  زمین فرود آمدن مائده از آسمان پیدا کردن ابر بر آسمان و باریدن باران و برق و تگرگ و صاعقه، سخن آوردن اموات و از آن پرسیدن، خود را به آب افکندن و از چشم پوشیده شدن حمام مریخ شهر انطاکیه که با سوختن یک چراغ زیر آن سیصد سال است که گرم است و هر روز هزار کس در آنجا می روند طلسم عقارب و استخدام ارواح و حيوانات و کیمیا، دانستن سخنان مرغان و نیز نجات ملوک، کشتن دشمن و صاعقه فرستادن شکستن ،لشکرها، ویران کردن  دژها در پایان چند قاعده است.</w:t>
      </w:r>
    </w:p>
    <w:p>
      <w:pPr>
        <w:pStyle w:val="BookText"/>
      </w:pPr>
      <w:r>
        <w:rPr>
          <w:rFonts w:ascii="IRNazanin" w:hAnsi="IRNazanin" w:eastAsia="IRNazanin" w:cs="IRNazanin"/>
          <w:lang w:bidi="fa-IR"/>
          <w:color w:val="111111"/>
          <w:sz w:val="28"/>
          <w:szCs w:val="28"/>
          <w:rtl/>
        </w:rPr>
        <w:t xml:space="preserve">تهران؛ دانشگاه؛ شماره نسخه: ۳۲۷۵/۴</w:t>
      </w:r>
    </w:p>
    <w:p>
      <w:pPr>
        <w:pStyle w:val="BookText"/>
      </w:pPr>
      <w:r>
        <w:rPr>
          <w:rFonts w:ascii="IRNazanin" w:hAnsi="IRNazanin" w:eastAsia="IRNazanin" w:cs="IRNazanin"/>
          <w:lang w:bidi="fa-IR"/>
          <w:color w:val="111111"/>
          <w:sz w:val="28"/>
          <w:szCs w:val="28"/>
          <w:rtl/>
        </w:rPr>
        <w:t xml:space="preserve">خط: نسخ، بی کا، تا: قرن ۱۳؛ کاغذ: فرنگی، جلد: تیماج مشکی مقوایی  ضربی، ۱۰گ (۱۰۷ر -۱۱۶ر)، ۲۱ سطر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 ۱۱ - ۲۲۳۵]</w:t>
      </w:r>
    </w:p>
    <w:p>
      <w:pPr>
        <w:pStyle w:val="Heading3"/>
      </w:pPr>
      <w:bookmarkStart w:id="1342" w:name="_Toc864"/>
      <w:r>
        <w:t>اسرار السلوک / عرفان و تصوف / فارسی</w:t>
      </w:r>
      <w:bookmarkEnd w:id="1342"/>
    </w:p>
    <w:p>
      <w:pPr>
        <w:pStyle w:val="BookText"/>
      </w:pPr>
      <w:r>
        <w:rPr>
          <w:rFonts w:ascii="Times New Roman" w:hAnsi="Times New Roman" w:eastAsia="Times New Roman" w:cs="Times New Roman"/>
          <w:lang w:val="en-US" w:bidi="en-US"/>
          <w:color w:val="111111"/>
          <w:sz w:val="28"/>
          <w:szCs w:val="28"/>
          <w:rtl/>
        </w:rPr>
        <w:t xml:space="preserve">asrār-os-solūk</w:t>
      </w:r>
    </w:p>
    <w:p>
      <w:pPr>
        <w:pStyle w:val="BookText"/>
      </w:pPr>
      <w:r>
        <w:rPr>
          <w:rFonts w:ascii="IRNazanin" w:hAnsi="IRNazanin" w:eastAsia="IRNazanin" w:cs="IRNazanin"/>
          <w:lang w:bidi="fa-IR"/>
          <w:color w:val="111111"/>
          <w:sz w:val="28"/>
          <w:szCs w:val="28"/>
          <w:rtl/>
        </w:rPr>
        <w:t xml:space="preserve">صامت بروجردی، محمد باقر ۱۲۶۳ - ۱۳۳۱ قمری</w:t>
      </w:r>
    </w:p>
    <w:p>
      <w:pPr>
        <w:pStyle w:val="BookText"/>
      </w:pPr>
      <w:r>
        <w:rPr>
          <w:rFonts w:ascii="Times New Roman" w:hAnsi="Times New Roman" w:eastAsia="Times New Roman" w:cs="Times New Roman"/>
          <w:lang w:val="en-US" w:bidi="en-US"/>
          <w:color w:val="111111"/>
          <w:sz w:val="28"/>
          <w:szCs w:val="28"/>
          <w:rtl/>
        </w:rPr>
        <w:t xml:space="preserve">(samet borujerdi, mohammad baqer (1847 - 1913)</w:t>
      </w:r>
    </w:p>
    <w:p>
      <w:pPr>
        <w:pStyle w:val="BookText"/>
      </w:pPr>
      <w:r>
        <w:rPr>
          <w:rFonts w:ascii="IRNazanin" w:hAnsi="IRNazanin" w:eastAsia="IRNazanin" w:cs="IRNazanin"/>
          <w:lang w:bidi="fa-IR"/>
          <w:color w:val="111111"/>
          <w:sz w:val="28"/>
          <w:szCs w:val="28"/>
          <w:rtl/>
        </w:rPr>
        <w:t xml:space="preserve">در حدود سیصد و پنجاه بیت شامل: غزلیات عرفانی و اوصاف پیر کامل و تجلی ،ذکر، ظهور نور محمدی (صلّی اللَّهِ علیه وَ آلِهِ وَ سَلَّمَ )، سرشت انسان ترقيات مواليد ثلاثه ترقی جمادی به عالم نباتی، ترقی حیوان به عالم ملکوتی و جز آنها با تاویلهای عرفانی.</w:t>
      </w:r>
    </w:p>
    <w:p>
      <w:pPr>
        <w:pStyle w:val="BookText"/>
      </w:pPr>
      <w:r>
        <w:rPr>
          <w:rFonts w:ascii="IRNazanin" w:hAnsi="IRNazanin" w:eastAsia="IRNazanin" w:cs="IRNazanin"/>
          <w:lang w:bidi="fa-IR"/>
          <w:color w:val="111111"/>
          <w:sz w:val="28"/>
          <w:szCs w:val="28"/>
          <w:rtl/>
        </w:rPr>
        <w:t xml:space="preserve">آغاز: چون کنم حمد و ثنای پاک را *** ره کجا بر حمد او ادراک را  / حق مبرا از خیالات عقول*** چون کند اوصاف او هر بو الفضول</w:t>
      </w:r>
    </w:p>
    <w:p>
      <w:pPr>
        <w:pStyle w:val="BookText"/>
      </w:pPr>
      <w:r>
        <w:rPr>
          <w:rFonts w:ascii="IRNazanin" w:hAnsi="IRNazanin" w:eastAsia="IRNazanin" w:cs="IRNazanin"/>
          <w:lang w:bidi="fa-IR"/>
          <w:color w:val="111111"/>
          <w:sz w:val="28"/>
          <w:szCs w:val="28"/>
          <w:rtl/>
        </w:rPr>
        <w:t xml:space="preserve">۱ .تهران؛ مجلس؛ شماره نسخه: ۱۵۹۷۷/۵6</w:t>
      </w:r>
    </w:p>
    <w:p>
      <w:pPr>
        <w:pStyle w:val="BookText"/>
      </w:pPr>
      <w:r>
        <w:rPr>
          <w:rFonts w:ascii="IRNazanin" w:hAnsi="IRNazanin" w:eastAsia="IRNazanin" w:cs="IRNazanin"/>
          <w:lang w:bidi="fa-IR"/>
          <w:color w:val="111111"/>
          <w:sz w:val="28"/>
          <w:szCs w:val="28"/>
          <w:rtl/>
        </w:rPr>
        <w:t xml:space="preserve">آغاز : برابر؛ انجام: کشف کردم بر تو اسرار السلوك ***فهم مطلب کن در آئی از شکوک / عشق بی خود رفته تا دارالسلام *** قطع این گفتار کردم و السلام</w:t>
      </w:r>
    </w:p>
    <w:p>
      <w:pPr>
        <w:pStyle w:val="BookText"/>
      </w:pPr>
      <w:r>
        <w:rPr>
          <w:rFonts w:ascii="IRNazanin" w:hAnsi="IRNazanin" w:eastAsia="IRNazanin" w:cs="IRNazanin"/>
          <w:lang w:bidi="fa-IR"/>
          <w:color w:val="111111"/>
          <w:sz w:val="28"/>
          <w:szCs w:val="28"/>
          <w:rtl/>
        </w:rPr>
        <w:t xml:space="preserve">خط: نستعليق، كا: عبدالله بن قاسم خان افشار، تا: ۱۲۸۸ق؛ مجدول دو ستونی؛ تملک: محسن سالمی، محمد حسین سلطان آبادی و .... :جلد: تیماج  مشکی، ۱۵ سطر، اندازه: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۴۴ - ۱۶۸]</w:t>
      </w:r>
    </w:p>
    <w:p>
      <w:pPr>
        <w:pStyle w:val="BookText"/>
      </w:pPr>
      <w:r>
        <w:rPr>
          <w:rFonts w:ascii="IRNazanin" w:hAnsi="IRNazanin" w:eastAsia="IRNazanin" w:cs="IRNazanin"/>
          <w:lang w:bidi="fa-IR"/>
          <w:color w:val="111111"/>
          <w:sz w:val="28"/>
          <w:szCs w:val="28"/>
          <w:rtl/>
        </w:rPr>
        <w:t xml:space="preserve">۲. قم؛ معصومیه؛ شماره نسخه: ۳۵۰/۳</w:t>
      </w:r>
    </w:p>
    <w:p>
      <w:pPr>
        <w:pStyle w:val="BookText"/>
      </w:pPr>
      <w:r>
        <w:rPr>
          <w:rFonts w:ascii="IRNazanin" w:hAnsi="IRNazanin" w:eastAsia="IRNazanin" w:cs="IRNazanin"/>
          <w:lang w:bidi="fa-IR"/>
          <w:color w:val="111111"/>
          <w:sz w:val="28"/>
          <w:szCs w:val="28"/>
          <w:rtl/>
        </w:rPr>
        <w:t xml:space="preserve">آغاز: برابر؛ انجام: قصرها و مالها یکجا بماند *** خواجه شوی زن  بجای مردشان</w:t>
      </w:r>
    </w:p>
    <w:p>
      <w:pPr>
        <w:pStyle w:val="BookText"/>
      </w:pPr>
      <w:r>
        <w:rPr>
          <w:rFonts w:ascii="IRNazanin" w:hAnsi="IRNazanin" w:eastAsia="IRNazanin" w:cs="IRNazanin"/>
          <w:lang w:bidi="fa-IR"/>
          <w:color w:val="111111"/>
          <w:sz w:val="28"/>
          <w:szCs w:val="28"/>
          <w:rtl/>
        </w:rPr>
        <w:t xml:space="preserve">خط: نستعلیق ،خوش ،بی کا، بی تا :جلد: تیماج قهوه ای روشن ضربی، بی مقوا، ۱۷گ، (۴۲پ-۵۸ر)،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۱ - ۳۳۶]</w:t>
      </w:r>
    </w:p>
    <w:p>
      <w:pPr>
        <w:pStyle w:val="Heading3"/>
      </w:pPr>
      <w:bookmarkStart w:id="1343" w:name="_Toc865"/>
      <w:r>
        <w:t>اسرار سوره فاتحه و توحید / فقه / فارسی</w:t>
      </w:r>
      <w:bookmarkEnd w:id="1343"/>
    </w:p>
    <w:p>
      <w:pPr>
        <w:pStyle w:val="BookText"/>
      </w:pPr>
      <w:r>
        <w:rPr>
          <w:rFonts w:ascii="Times New Roman" w:hAnsi="Times New Roman" w:eastAsia="Times New Roman" w:cs="Times New Roman"/>
          <w:lang w:val="en-US" w:bidi="en-US"/>
          <w:color w:val="111111"/>
          <w:sz w:val="28"/>
          <w:szCs w:val="28"/>
          <w:rtl/>
        </w:rPr>
        <w:t xml:space="preserve">asrar-e sure-ye fatehe va towhid</w:t>
      </w:r>
    </w:p>
    <w:p>
      <w:pPr>
        <w:pStyle w:val="BookText"/>
      </w:pPr>
      <w:r>
        <w:rPr>
          <w:rFonts w:ascii="IRNazanin" w:hAnsi="IRNazanin" w:eastAsia="IRNazanin" w:cs="IRNazanin"/>
          <w:lang w:bidi="fa-IR"/>
          <w:color w:val="111111"/>
          <w:sz w:val="28"/>
          <w:szCs w:val="28"/>
          <w:rtl/>
        </w:rPr>
        <w:t xml:space="preserve">تهران؛ مجلس؛ شماره نسخه: ۱۷۶۴۳</w:t>
      </w:r>
    </w:p>
    <w:p>
      <w:pPr>
        <w:pStyle w:val="BookText"/>
      </w:pPr>
      <w:r>
        <w:rPr>
          <w:rFonts w:ascii="IRNazanin" w:hAnsi="IRNazanin" w:eastAsia="IRNazanin" w:cs="IRNazanin"/>
          <w:lang w:bidi="fa-IR"/>
          <w:color w:val="111111"/>
          <w:sz w:val="28"/>
          <w:szCs w:val="28"/>
          <w:rtl/>
        </w:rPr>
        <w:t xml:space="preserve">گویا از کتب  شیخیه، درباره  نماز، دارای عنوان های «مائده»؛</w:t>
      </w:r>
    </w:p>
    <w:p>
      <w:pPr>
        <w:pStyle w:val="BookText"/>
      </w:pPr>
      <w:r>
        <w:rPr>
          <w:rFonts w:ascii="IRNazanin" w:hAnsi="IRNazanin" w:eastAsia="IRNazanin" w:cs="IRNazanin"/>
          <w:lang w:bidi="fa-IR"/>
          <w:color w:val="111111"/>
          <w:sz w:val="28"/>
          <w:szCs w:val="28"/>
          <w:rtl/>
        </w:rPr>
        <w:t xml:space="preserve">بی  کا، بی تا [د.ث. مجلس]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240" w:name="pg20365_260343"/>
    <w:bookmarkEnd w:id="240"/>
    <w:p>
      <w:pPr>
        <w:pStyle w:val="Heading3"/>
      </w:pPr>
      <w:bookmarkStart w:id="1344" w:name="_Toc866"/>
      <w:r>
        <w:t>اسرار سیاسی / حکومت و سیاست / فارسی</w:t>
      </w:r>
      <w:bookmarkEnd w:id="1344"/>
    </w:p>
    <w:p>
      <w:pPr>
        <w:pStyle w:val="BookText"/>
      </w:pPr>
      <w:r>
        <w:rPr>
          <w:rFonts w:ascii="Times New Roman" w:hAnsi="Times New Roman" w:eastAsia="Times New Roman" w:cs="Times New Roman"/>
          <w:lang w:val="en-US" w:bidi="en-US"/>
          <w:color w:val="111111"/>
          <w:sz w:val="28"/>
          <w:szCs w:val="28"/>
          <w:rtl/>
        </w:rPr>
        <w:t xml:space="preserve">asrār-e sīyāsī</w:t>
      </w:r>
    </w:p>
    <w:p>
      <w:pPr>
        <w:pStyle w:val="BookText"/>
      </w:pPr>
      <w:r>
        <w:rPr>
          <w:rFonts w:ascii="IRNazanin" w:hAnsi="IRNazanin" w:eastAsia="IRNazanin" w:cs="IRNazanin"/>
          <w:lang w:bidi="fa-IR"/>
          <w:color w:val="111111"/>
          <w:sz w:val="28"/>
          <w:szCs w:val="28"/>
          <w:rtl/>
        </w:rPr>
        <w:t xml:space="preserve">شیخ ابراهیم  زنجانی، ق ۱۴ قمری</w:t>
      </w:r>
    </w:p>
    <w:p>
      <w:pPr>
        <w:pStyle w:val="BookText"/>
      </w:pPr>
      <w:r>
        <w:rPr>
          <w:rFonts w:ascii="Times New Roman" w:hAnsi="Times New Roman" w:eastAsia="Times New Roman" w:cs="Times New Roman"/>
          <w:lang w:val="en-US" w:bidi="en-US"/>
          <w:color w:val="111111"/>
          <w:sz w:val="28"/>
          <w:szCs w:val="28"/>
          <w:rtl/>
        </w:rPr>
        <w:t xml:space="preserve">(šeyx ebrāhīm-e zanjānī (- 20c)</w:t>
      </w:r>
    </w:p>
    <w:p>
      <w:pPr>
        <w:pStyle w:val="BookText"/>
      </w:pPr>
      <w:r>
        <w:rPr>
          <w:rFonts w:ascii="IRNazanin" w:hAnsi="IRNazanin" w:eastAsia="IRNazanin" w:cs="IRNazanin"/>
          <w:lang w:bidi="fa-IR"/>
          <w:color w:val="111111"/>
          <w:sz w:val="28"/>
          <w:szCs w:val="28"/>
          <w:rtl/>
        </w:rPr>
        <w:t xml:space="preserve">تهران؛ مجلس؛ شماره نسخه: ۱۶۸۷۵</w:t>
      </w:r>
    </w:p>
    <w:p>
      <w:pPr>
        <w:pStyle w:val="BookText"/>
      </w:pPr>
      <w:r>
        <w:rPr>
          <w:rFonts w:ascii="IRNazanin" w:hAnsi="IRNazanin" w:eastAsia="IRNazanin" w:cs="IRNazanin"/>
          <w:lang w:bidi="fa-IR"/>
          <w:color w:val="111111"/>
          <w:sz w:val="28"/>
          <w:szCs w:val="28"/>
          <w:rtl/>
        </w:rPr>
        <w:t xml:space="preserve">کاتب - مؤلف، بی تا [د.ث. مجلس ]</w:t>
      </w:r>
    </w:p>
    <w:p>
      <w:pPr>
        <w:pStyle w:val="BookText"/>
      </w:pPr>
      <w:r>
        <w:rPr>
          <w:rFonts w:ascii="IRNazanin" w:hAnsi="IRNazanin" w:eastAsia="IRNazanin" w:cs="IRNazanin"/>
          <w:lang w:bidi="fa-IR"/>
          <w:color w:val="111111"/>
          <w:sz w:val="28"/>
          <w:szCs w:val="28"/>
          <w:rtl/>
        </w:rPr>
        <w:t xml:space="preserve">«اسرار شب اسراء » اسرار الوحى</w:t>
      </w:r>
    </w:p>
    <w:p>
      <w:pPr>
        <w:pStyle w:val="BookText"/>
      </w:pPr>
      <w:r>
        <w:rPr>
          <w:rFonts w:ascii="IRNazanin" w:hAnsi="IRNazanin" w:eastAsia="IRNazanin" w:cs="IRNazanin"/>
          <w:lang w:bidi="fa-IR"/>
          <w:color w:val="111111"/>
          <w:sz w:val="28"/>
          <w:szCs w:val="28"/>
          <w:rtl/>
        </w:rPr>
        <w:t xml:space="preserve">«اسرار شب معراج » اسرار الوحى</w:t>
      </w:r>
    </w:p>
    <w:p>
      <w:pPr>
        <w:pStyle w:val="Heading3"/>
      </w:pPr>
      <w:bookmarkStart w:id="1345" w:name="_Toc867"/>
      <w:r>
        <w:t>اسرار الشريعة / عرفان و تصوف / عربی</w:t>
      </w:r>
      <w:bookmarkEnd w:id="1345"/>
    </w:p>
    <w:p>
      <w:pPr>
        <w:pStyle w:val="BookText"/>
      </w:pPr>
      <w:r>
        <w:rPr>
          <w:rFonts w:ascii="Times New Roman" w:hAnsi="Times New Roman" w:eastAsia="Times New Roman" w:cs="Times New Roman"/>
          <w:lang w:val="en-US" w:bidi="en-US"/>
          <w:color w:val="111111"/>
          <w:sz w:val="28"/>
          <w:szCs w:val="28"/>
          <w:rtl/>
        </w:rPr>
        <w:t xml:space="preserve">asrār-uš-šarī‘a</w:t>
      </w:r>
    </w:p>
    <w:p>
      <w:pPr>
        <w:pStyle w:val="BookText"/>
      </w:pPr>
      <w:r>
        <w:rPr>
          <w:rFonts w:ascii="IRNazanin" w:hAnsi="IRNazanin" w:eastAsia="IRNazanin" w:cs="IRNazanin"/>
          <w:lang w:bidi="fa-IR"/>
          <w:color w:val="111111"/>
          <w:sz w:val="28"/>
          <w:szCs w:val="28"/>
          <w:rtl/>
        </w:rPr>
        <w:t xml:space="preserve">تهران؛ مجلس؛ شماره نسخه: ۳۳۲۱/۱۶</w:t>
      </w:r>
    </w:p>
    <w:p>
      <w:pPr>
        <w:pStyle w:val="BookText"/>
      </w:pPr>
      <w:r>
        <w:rPr>
          <w:rFonts w:ascii="Amiri" w:hAnsi="Amiri" w:eastAsia="Amiri" w:cs="Amiri"/>
          <w:lang w:bidi="ar-SA"/>
          <w:color w:val="111111"/>
          <w:sz w:val="28"/>
          <w:szCs w:val="28"/>
          <w:rtl/>
        </w:rPr>
        <w:t xml:space="preserve">آغاز: قال النبی (صلّی اللَّهِ علیه وَ آلِهِ وَ سَلَّمَ ) دبيب الشرك فى امتى اخفى من دبيـب النمله ؛انجام: لان الاول اشاره الى التوحيد الفعلى والثاني  الی</w:t>
      </w:r>
    </w:p>
    <w:p>
      <w:pPr>
        <w:pStyle w:val="BookText"/>
      </w:pPr>
      <w:r>
        <w:rPr>
          <w:rFonts w:ascii="Amiri" w:hAnsi="Amiri" w:eastAsia="Amiri" w:cs="Amiri"/>
          <w:lang w:bidi="ar-SA"/>
          <w:color w:val="111111"/>
          <w:sz w:val="28"/>
          <w:szCs w:val="28"/>
          <w:rtl/>
        </w:rPr>
        <w:t xml:space="preserve">التوحيد الصفاتى و الثالث الى التوحيد الوجود الذاتى.</w:t>
      </w:r>
    </w:p>
    <w:p>
      <w:pPr>
        <w:pStyle w:val="BookText"/>
      </w:pPr>
      <w:r>
        <w:rPr>
          <w:rFonts w:ascii="IRNazanin" w:hAnsi="IRNazanin" w:eastAsia="IRNazanin" w:cs="IRNazanin"/>
          <w:lang w:bidi="fa-IR"/>
          <w:color w:val="111111"/>
          <w:sz w:val="28"/>
          <w:szCs w:val="28"/>
          <w:rtl/>
        </w:rPr>
        <w:t xml:space="preserve">بخشی از آن ؛بی کا، بی تا ،کاغذ: اصفهانی جلد: تیماج سبز (۳۴۰) قطع: بياض ،رقعی، اندازه: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۱۰ - ۹۸۶]</w:t>
      </w:r>
    </w:p>
    <w:p>
      <w:pPr>
        <w:pStyle w:val="BookText"/>
      </w:pPr>
      <w:r>
        <w:rPr>
          <w:rFonts w:ascii="IRNazanin" w:hAnsi="IRNazanin" w:eastAsia="IRNazanin" w:cs="IRNazanin"/>
          <w:lang w:bidi="fa-IR"/>
          <w:color w:val="111111"/>
          <w:sz w:val="28"/>
          <w:szCs w:val="28"/>
          <w:rtl/>
        </w:rPr>
        <w:t xml:space="preserve">« اسرار الشريعة و اطوار الطريقة و انوار الحقيقة » انوار الحقـیقة و اطوار الطريقة و اسرار الشريعة</w:t>
      </w:r>
    </w:p>
    <w:p>
      <w:pPr>
        <w:pStyle w:val="Heading3"/>
      </w:pPr>
      <w:bookmarkStart w:id="1346" w:name="_Toc868"/>
      <w:r>
        <w:t>اسرار الشهادة = يازده مجلس / تاریخ معصومین / فارسی</w:t>
      </w:r>
      <w:bookmarkEnd w:id="1346"/>
    </w:p>
    <w:p>
      <w:pPr>
        <w:pStyle w:val="BookText"/>
      </w:pPr>
      <w:r>
        <w:rPr>
          <w:rFonts w:ascii="Times New Roman" w:hAnsi="Times New Roman" w:eastAsia="Times New Roman" w:cs="Times New Roman"/>
          <w:lang w:val="en-US" w:bidi="en-US"/>
          <w:color w:val="111111"/>
          <w:sz w:val="28"/>
          <w:szCs w:val="28"/>
          <w:rtl/>
        </w:rPr>
        <w:t xml:space="preserve">asrār-oš-šahādat = yāzdah majles</w:t>
      </w:r>
    </w:p>
    <w:p>
      <w:pPr>
        <w:pStyle w:val="BookText"/>
      </w:pPr>
      <w:r>
        <w:rPr>
          <w:rFonts w:ascii="IRNazanin" w:hAnsi="IRNazanin" w:eastAsia="IRNazanin" w:cs="IRNazanin"/>
          <w:lang w:bidi="fa-IR"/>
          <w:color w:val="111111"/>
          <w:sz w:val="28"/>
          <w:szCs w:val="28"/>
          <w:rtl/>
        </w:rPr>
        <w:t xml:space="preserve">همدانی، محمد باقر بن ابراهیم، - ۱۲۱۸ قمری</w:t>
      </w:r>
    </w:p>
    <w:p>
      <w:pPr>
        <w:pStyle w:val="BookText"/>
      </w:pPr>
      <w:r>
        <w:rPr>
          <w:rFonts w:ascii="Times New Roman" w:hAnsi="Times New Roman" w:eastAsia="Times New Roman" w:cs="Times New Roman"/>
          <w:lang w:val="en-US" w:bidi="en-US"/>
          <w:color w:val="111111"/>
          <w:sz w:val="28"/>
          <w:szCs w:val="28"/>
          <w:rtl/>
        </w:rPr>
        <w:t xml:space="preserve">(hamadānī, mohammad bāqer ebn-e ebrāhīm (- 1804)</w:t>
      </w:r>
    </w:p>
    <w:p>
      <w:pPr>
        <w:pStyle w:val="BookText"/>
      </w:pPr>
      <w:r>
        <w:rPr>
          <w:rFonts w:ascii="IRNazanin" w:hAnsi="IRNazanin" w:eastAsia="IRNazanin" w:cs="IRNazanin"/>
          <w:lang w:bidi="fa-IR"/>
          <w:color w:val="111111"/>
          <w:sz w:val="28"/>
          <w:szCs w:val="28"/>
          <w:rtl/>
        </w:rPr>
        <w:t xml:space="preserve">تهران؛ مجلس؛ شماره نسخه: ۹۷۶۷</w:t>
      </w:r>
    </w:p>
    <w:p>
      <w:pPr>
        <w:pStyle w:val="BookText"/>
      </w:pPr>
      <w:r>
        <w:rPr>
          <w:rFonts w:ascii="IRNazanin" w:hAnsi="IRNazanin" w:eastAsia="IRNazanin" w:cs="IRNazanin"/>
          <w:lang w:bidi="fa-IR"/>
          <w:color w:val="111111"/>
          <w:sz w:val="28"/>
          <w:szCs w:val="28"/>
          <w:rtl/>
        </w:rPr>
        <w:t xml:space="preserve">آغاز: بسمله. حمدله. و صلى الله على محمد و آله الطيـبین الطاهرین ...و بعد چون خداوند روف رحیم از فضل نامتناهی  وکرم بی پایان خود؛ انجام: در نزد حضرت سیدالشهداء صلوات الله عليه ضایع نخواهد شد و صلى الله على محمد آله الطيـبین الطاهرين</w:t>
      </w:r>
    </w:p>
    <w:p>
      <w:pPr>
        <w:pStyle w:val="BookText"/>
      </w:pPr>
      <w:r>
        <w:rPr>
          <w:rFonts w:ascii="IRNazanin" w:hAnsi="IRNazanin" w:eastAsia="IRNazanin" w:cs="IRNazanin"/>
          <w:lang w:bidi="fa-IR"/>
          <w:color w:val="111111"/>
          <w:sz w:val="28"/>
          <w:szCs w:val="28"/>
          <w:rtl/>
        </w:rPr>
        <w:t xml:space="preserve">خط: نستعلیق، کا: آقا محمد ابراهیم شیرازی، تا: ۲۶ صفر ۱۲۹۹ق؛ رکابه  دار در صفحه عنوان آمده است:( اسرار الشهاده سنه 1299 که آقا محمد ابراهیم شیرازی برای حاج محمد رحیم نوشته» ؛جلد: تيماج قهوه ای، ۲۱۷گ ، ۱۵ سطر ، اندازه: ۱۱</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۱۷سم [ف: ۳۱-83]</w:t>
      </w:r>
    </w:p>
    <w:p>
      <w:pPr>
        <w:pStyle w:val="Heading3"/>
      </w:pPr>
      <w:bookmarkStart w:id="1347" w:name="_Toc869"/>
      <w:r>
        <w:t>اسرار الشهادة = سر الحقيقة في وقعة الطفوف  = الشهادة / مقتل كلام و اعتقادات تاریخ معصومین / عربی</w:t>
      </w:r>
      <w:bookmarkEnd w:id="1347"/>
    </w:p>
    <w:p>
      <w:pPr>
        <w:pStyle w:val="BookText"/>
      </w:pPr>
      <w:r>
        <w:rPr>
          <w:rFonts w:ascii="Times New Roman" w:hAnsi="Times New Roman" w:eastAsia="Times New Roman" w:cs="Times New Roman"/>
          <w:lang w:val="en-US" w:bidi="en-US"/>
          <w:color w:val="111111"/>
          <w:sz w:val="28"/>
          <w:szCs w:val="28"/>
          <w:rtl/>
        </w:rPr>
        <w:t xml:space="preserve">asrār-uš šahāda = sirr-ul ḥaqīqa fī waq‘at-iṭ ṭafūf =</w:t>
      </w:r>
    </w:p>
    <w:p>
      <w:pPr>
        <w:pStyle w:val="BookText"/>
      </w:pPr>
      <w:r>
        <w:rPr>
          <w:rFonts w:ascii="Times New Roman" w:hAnsi="Times New Roman" w:eastAsia="Times New Roman" w:cs="Times New Roman"/>
          <w:lang w:val="en-US" w:bidi="en-US"/>
          <w:color w:val="111111"/>
          <w:sz w:val="28"/>
          <w:szCs w:val="28"/>
          <w:rtl/>
        </w:rPr>
        <w:t xml:space="preserve">sirr-uš šahādat</w:t>
      </w:r>
    </w:p>
    <w:p>
      <w:pPr>
        <w:pStyle w:val="BookText"/>
      </w:pPr>
      <w:r>
        <w:rPr>
          <w:rFonts w:ascii="IRNazanin" w:hAnsi="IRNazanin" w:eastAsia="IRNazanin" w:cs="IRNazanin"/>
          <w:lang w:bidi="fa-IR"/>
          <w:color w:val="111111"/>
          <w:sz w:val="28"/>
          <w:szCs w:val="28"/>
          <w:rtl/>
        </w:rPr>
        <w:t xml:space="preserve">رشتی، كاظم بن قاسم، ۱۲۱۲ - ۱۲۵۹ قمری</w:t>
      </w:r>
    </w:p>
    <w:p>
      <w:pPr>
        <w:pStyle w:val="BookText"/>
      </w:pPr>
      <w:r>
        <w:rPr>
          <w:rFonts w:ascii="Times New Roman" w:hAnsi="Times New Roman" w:eastAsia="Times New Roman" w:cs="Times New Roman"/>
          <w:lang w:val="en-US" w:bidi="en-US"/>
          <w:color w:val="111111"/>
          <w:sz w:val="28"/>
          <w:szCs w:val="28"/>
          <w:rtl/>
        </w:rPr>
        <w:t xml:space="preserve">(raštī, kāzem ebn-e qāsem (1798 - 1843)</w:t>
      </w:r>
    </w:p>
    <w:p>
      <w:pPr>
        <w:pStyle w:val="BookText"/>
      </w:pPr>
      <w:r>
        <w:rPr>
          <w:rFonts w:ascii="IRNazanin" w:hAnsi="IRNazanin" w:eastAsia="IRNazanin" w:cs="IRNazanin"/>
          <w:lang w:bidi="fa-IR"/>
          <w:color w:val="111111"/>
          <w:sz w:val="28"/>
          <w:szCs w:val="28"/>
          <w:rtl/>
        </w:rPr>
        <w:t xml:space="preserve">به درخواست: حاج عبدالوهاب قزوینی</w:t>
      </w:r>
    </w:p>
    <w:p>
      <w:pPr>
        <w:pStyle w:val="BookText"/>
      </w:pPr>
      <w:r>
        <w:rPr>
          <w:rFonts w:ascii="IRNazanin" w:hAnsi="IRNazanin" w:eastAsia="IRNazanin" w:cs="IRNazanin"/>
          <w:lang w:bidi="fa-IR"/>
          <w:color w:val="111111"/>
          <w:sz w:val="28"/>
          <w:szCs w:val="28"/>
          <w:rtl/>
        </w:rPr>
        <w:t xml:space="preserve">تاریخ تالیف: پنج شنبه ۲۴ جمادی الاول ۱۲۳۸ق</w:t>
      </w:r>
    </w:p>
    <w:p>
      <w:pPr>
        <w:pStyle w:val="BookText"/>
      </w:pPr>
      <w:r>
        <w:rPr>
          <w:rFonts w:ascii="IRNazanin" w:hAnsi="IRNazanin" w:eastAsia="IRNazanin" w:cs="IRNazanin"/>
          <w:lang w:bidi="fa-IR"/>
          <w:color w:val="111111"/>
          <w:sz w:val="28"/>
          <w:szCs w:val="28"/>
          <w:rtl/>
        </w:rPr>
        <w:t xml:space="preserve">در بیان رموز و اسرار معنوی و فلسفه و نتائج دینی شهادت حضرت ابی عبدالله الحسين عليه السلام است که را به خواهش حاج عبدالوهاب قزوینی و به مشرب شیخیان تألیف نموده است.</w:t>
      </w:r>
    </w:p>
    <w:p>
      <w:pPr>
        <w:pStyle w:val="BookText"/>
      </w:pPr>
      <w:r>
        <w:rPr>
          <w:rFonts w:ascii="IRNazanin" w:hAnsi="IRNazanin" w:eastAsia="IRNazanin" w:cs="IRNazanin"/>
          <w:lang w:bidi="fa-IR"/>
          <w:color w:val="111111"/>
          <w:sz w:val="28"/>
          <w:szCs w:val="28"/>
          <w:rtl/>
        </w:rPr>
        <w:t xml:space="preserve">آغاز: حمدله. صلاة. اما بعد فيقول العبد الجاني و الاسير الفاني كاظم بن قاسم الحسينى الرشتي، ان جناب المولى الامجد... الحاج عبدالوهاب القزويني .... قد امرنى ان املی کلمات اظهرها  سر الحقيقة فى وقعة الطفوف، حقيقة الامر فيها.</w:t>
      </w:r>
    </w:p>
    <w:p>
      <w:pPr>
        <w:pStyle w:val="BookText"/>
      </w:pPr>
      <w:r>
        <w:rPr>
          <w:rFonts w:ascii="Amiri" w:hAnsi="Amiri" w:eastAsia="Amiri" w:cs="Amiri"/>
          <w:lang w:bidi="ar-SA"/>
          <w:color w:val="111111"/>
          <w:sz w:val="28"/>
          <w:szCs w:val="28"/>
          <w:rtl/>
        </w:rPr>
        <w:t xml:space="preserve">انجام: يحتمله الجنان. و هذا القدر كفاية لاهل الدراية وصلى الله على محمد و آله الطاهرين و الحمد لله رب العالمين</w:t>
      </w:r>
    </w:p>
    <w:p>
      <w:pPr>
        <w:pStyle w:val="BookText"/>
      </w:pPr>
      <w:r>
        <w:rPr>
          <w:rFonts w:ascii="IRNazanin" w:hAnsi="IRNazanin" w:eastAsia="IRNazanin" w:cs="IRNazanin"/>
          <w:lang w:bidi="fa-IR"/>
          <w:color w:val="111111"/>
          <w:sz w:val="28"/>
          <w:szCs w:val="28"/>
          <w:rtl/>
        </w:rPr>
        <w:t xml:space="preserve">چاپ: در مجموعة الرسائل، ۱۲۷۷ق</w:t>
      </w:r>
    </w:p>
    <w:p>
      <w:pPr>
        <w:pStyle w:val="BookText"/>
      </w:pPr>
      <w:r>
        <w:rPr>
          <w:rFonts w:ascii="IRNazanin" w:hAnsi="IRNazanin" w:eastAsia="IRNazanin" w:cs="IRNazanin"/>
          <w:lang w:bidi="fa-IR"/>
          <w:color w:val="111111"/>
          <w:sz w:val="28"/>
          <w:szCs w:val="28"/>
          <w:rtl/>
        </w:rPr>
        <w:t xml:space="preserve">[فهرست کتب احسائی ۱۳۵؛ الذریعه ۴۶/۲؛ فهرست کتب مشایخ ۳۲؛ مشار  ،عربی، ۴۸۲]</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IRNazanin" w:hAnsi="IRNazanin" w:eastAsia="IRNazanin" w:cs="IRNazanin"/>
          <w:lang w:bidi="fa-IR"/>
          <w:color w:val="111111"/>
          <w:sz w:val="28"/>
          <w:szCs w:val="28"/>
          <w:rtl/>
        </w:rPr>
        <w:t xml:space="preserve">۱ - اسرار الشهادة (ترجمه) طباطبائی، حسین  (- 13)</w:t>
      </w:r>
    </w:p>
    <w:p>
      <w:pPr>
        <w:pStyle w:val="BookText"/>
      </w:pPr>
      <w:r>
        <w:rPr>
          <w:rFonts w:ascii="IRNazanin" w:hAnsi="IRNazanin" w:eastAsia="IRNazanin" w:cs="IRNazanin"/>
          <w:lang w:bidi="fa-IR"/>
          <w:color w:val="111111"/>
          <w:sz w:val="28"/>
          <w:szCs w:val="28"/>
          <w:rtl/>
        </w:rPr>
        <w:t xml:space="preserve">۱. یزد؛ وزیری؛ شماره نسخه: ۱۰۹۲/۲</w:t>
      </w:r>
    </w:p>
    <w:p>
      <w:pPr>
        <w:pStyle w:val="BookText"/>
      </w:pPr>
      <w:r>
        <w:rPr>
          <w:rFonts w:ascii="IRNazanin" w:hAnsi="IRNazanin" w:eastAsia="IRNazanin" w:cs="IRNazanin"/>
          <w:lang w:bidi="fa-IR"/>
          <w:color w:val="111111"/>
          <w:sz w:val="28"/>
          <w:szCs w:val="28"/>
          <w:rtl/>
        </w:rPr>
        <w:t xml:space="preserve">خط: نسخ، بی کا، تا: قرن ۱۳؛ محشی؛ کاغذ: فرنگی، جلد: تیماج مشکی یک لا ،نرم ۳۴ ص ،(۷۸-۱۱۱) ابعاد متن:۱۰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۳ - ۸۵۱]</w:t>
      </w:r>
    </w:p>
    <w:p>
      <w:pPr>
        <w:pStyle w:val="BookText"/>
      </w:pPr>
      <w:r>
        <w:rPr>
          <w:rFonts w:ascii="IRNazanin" w:hAnsi="IRNazanin" w:eastAsia="IRNazanin" w:cs="IRNazanin"/>
          <w:lang w:bidi="fa-IR"/>
          <w:color w:val="111111"/>
          <w:sz w:val="28"/>
          <w:szCs w:val="28"/>
          <w:rtl/>
        </w:rPr>
        <w:t xml:space="preserve">۲. قم؛ مسجد اعظم؛ شماره نسخه: ۲۵۳۷/۲</w:t>
      </w:r>
    </w:p>
    <w:p>
      <w:pPr>
        <w:pStyle w:val="BookText"/>
      </w:pPr>
      <w:r>
        <w:rPr>
          <w:rFonts w:ascii="IRNazanin" w:hAnsi="IRNazanin" w:eastAsia="IRNazanin" w:cs="IRNazanin"/>
          <w:lang w:bidi="fa-IR"/>
          <w:color w:val="111111"/>
          <w:sz w:val="28"/>
          <w:szCs w:val="28"/>
          <w:rtl/>
        </w:rPr>
        <w:t xml:space="preserve">آغاز: برابر؛ انجام :من غير ميل الى مرقبة ... لم بفقد ولا يندم ولا يختلف عليه حال الاستغناء لانه لا يشتهيها اصلاً ويعرف الاعلی قصور الاولى رتبته فمتنعم بذلك من من ... الرتبة الأولى لمثل هذا  فليعمل العاملون ولاحول ولاقوة الا بالله العلى العظيم</w:t>
      </w:r>
    </w:p>
    <w:p>
      <w:pPr>
        <w:pStyle w:val="BookText"/>
      </w:pPr>
      <w:r>
        <w:rPr>
          <w:rFonts w:ascii="IRNazanin" w:hAnsi="IRNazanin" w:eastAsia="IRNazanin" w:cs="IRNazanin"/>
          <w:lang w:bidi="fa-IR"/>
          <w:color w:val="111111"/>
          <w:sz w:val="28"/>
          <w:szCs w:val="28"/>
          <w:rtl/>
        </w:rPr>
        <w:t xml:space="preserve">خط: نستعلیق ،شکسته، بی کا، تا: قرن ۱۳؛ ۱۳گ، ۱۶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مخ: ۱ – ۱۴۵]</w:t>
      </w:r>
    </w:p>
    <w:p>
      <w:pPr>
        <w:pStyle w:val="BookText"/>
      </w:pPr>
      <w:r>
        <w:rPr>
          <w:rFonts w:ascii="IRNazanin" w:hAnsi="IRNazanin" w:eastAsia="IRNazanin" w:cs="IRNazanin"/>
          <w:lang w:bidi="fa-IR"/>
          <w:color w:val="111111"/>
          <w:sz w:val="28"/>
          <w:szCs w:val="28"/>
          <w:rtl/>
        </w:rPr>
        <w:t xml:space="preserve">3.قم ؛مرعشی؛ شماره نسخه: ۱۴۹۹۸/۴</w:t>
      </w:r>
    </w:p>
    <w:p>
      <w:pPr>
        <w:pStyle w:val="BookText"/>
      </w:pPr>
      <w:r>
        <w:rPr>
          <w:rFonts w:ascii="IRNazanin" w:hAnsi="IRNazanin" w:eastAsia="IRNazanin" w:cs="IRNazanin"/>
          <w:lang w:bidi="fa-IR"/>
          <w:color w:val="111111"/>
          <w:sz w:val="28"/>
          <w:szCs w:val="28"/>
          <w:rtl/>
        </w:rPr>
        <w:t xml:space="preserve">آغاز: اعلم ان الله عز وجل لما وجب ان يكمل صنعة و يتقن امره و يحسن خلقه و الخلق و الصنع بان يكون مختارا ذا شعور و ادراک اولى و احسن من ان يكون مضطرا؛ انجام: فعلى مثل الحسين (علیه السّلام) فليبك الباكون و اياه فليندب النادبون و لمثله فلتذرف الدموع من العيون و يضج الضاجون ويعج العاجون و لعنة الله على ظالميه و خاذليه ابد الآبدين.</w:t>
      </w:r>
    </w:p>
    <w:p>
      <w:pPr>
        <w:pStyle w:val="BookText"/>
      </w:pPr>
      <w:r>
        <w:rPr>
          <w:rFonts w:ascii="IRNazanin" w:hAnsi="IRNazanin" w:eastAsia="IRNazanin" w:cs="IRNazanin"/>
          <w:lang w:bidi="fa-IR"/>
          <w:color w:val="111111"/>
          <w:sz w:val="28"/>
          <w:szCs w:val="28"/>
          <w:rtl/>
        </w:rPr>
        <w:t xml:space="preserve">نسخه فاقد خطبه است؛ خط: نستعلیق، كا: على بن عبدالكريم خوئی، تا: اواخر قرن ۱۳؛ مصحح؛ کاغذ: فرنگی، ۱۶گ (۳۳پ -۴۸ پ) ۲۰  سطر، اندازه: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۳۷ - ۷۰۲]</w:t>
      </w:r>
    </w:p>
    <w:p>
      <w:pPr>
        <w:pStyle w:val="BookText"/>
      </w:pPr>
      <w:r>
        <w:rPr>
          <w:rFonts w:ascii="IRNazanin" w:hAnsi="IRNazanin" w:eastAsia="IRNazanin" w:cs="IRNazanin"/>
          <w:lang w:bidi="fa-IR"/>
          <w:color w:val="111111"/>
          <w:sz w:val="28"/>
          <w:szCs w:val="28"/>
          <w:rtl/>
        </w:rPr>
        <w:t xml:space="preserve">۴. قزوین؛ امام صادق؛ شماره نسخه: ۴۸۰/۸</w:t>
      </w:r>
    </w:p>
    <w:p>
      <w:pPr>
        <w:pStyle w:val="BookText"/>
      </w:pPr>
      <w:r>
        <w:rPr>
          <w:rFonts w:ascii="IRNazanin" w:hAnsi="IRNazanin" w:eastAsia="IRNazanin" w:cs="IRNazanin"/>
          <w:lang w:bidi="fa-IR"/>
          <w:color w:val="111111"/>
          <w:sz w:val="28"/>
          <w:szCs w:val="28"/>
          <w:rtl/>
        </w:rPr>
        <w:t xml:space="preserve">آغاز: برابر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 کا، تا: ۲۴ جمادی الاول ۱۲۳۸ق؛ جلد: گالینگور سیاه، ۲۰ گ [ف: ۱ - ۳۹۲]</w:t>
      </w:r>
    </w:p>
    <w:p>
      <w:pPr>
        <w:pStyle w:val="BookText"/>
      </w:pPr>
      <w:r>
        <w:rPr>
          <w:rFonts w:ascii="IRNazanin" w:hAnsi="IRNazanin" w:eastAsia="IRNazanin" w:cs="IRNazanin"/>
          <w:lang w:bidi="fa-IR"/>
          <w:color w:val="111111"/>
          <w:sz w:val="28"/>
          <w:szCs w:val="28"/>
          <w:rtl/>
        </w:rPr>
        <w:t xml:space="preserve">۵. همدان؛ مدرسه غرب؛ شماره نسخه: ۶۲۵/۴</w:t>
      </w:r>
    </w:p>
    <w:p>
      <w:pPr>
        <w:pStyle w:val="BookText"/>
      </w:pPr>
      <w:r>
        <w:rPr>
          <w:rFonts w:ascii="IRNazanin" w:hAnsi="IRNazanin" w:eastAsia="IRNazanin" w:cs="IRNazanin"/>
          <w:lang w:bidi="fa-IR"/>
          <w:color w:val="111111"/>
          <w:sz w:val="28"/>
          <w:szCs w:val="28"/>
          <w:rtl/>
        </w:rPr>
        <w:t xml:space="preserve">خط: نسخ، بی کا، تا: ۲۴ جمادی الاول ۱۲۳۸ق؛ قطع: خشـتی، [رشت و همدان - ف: - ۱۴۲۱]</w:t>
      </w:r>
    </w:p>
    <w:p>
      <w:pPr>
        <w:pStyle w:val="BookText"/>
      </w:pPr>
      <w:r>
        <w:rPr>
          <w:rFonts w:ascii="IRNazanin" w:hAnsi="IRNazanin" w:eastAsia="IRNazanin" w:cs="IRNazanin"/>
          <w:lang w:bidi="fa-IR"/>
          <w:color w:val="111111"/>
          <w:sz w:val="28"/>
          <w:szCs w:val="28"/>
          <w:rtl/>
        </w:rPr>
        <w:t xml:space="preserve">۶. مشهد؛ رضوی؛ شماره نسخه ۲۳۱۹۰</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محمد رضا بن میرزا  شاه، تا: شنبه ۷ شوال ۱۲۴۲ق؛ مذیل است به ۱ -الخطاب مع اصحاب القبور در ۴ برگ2- احادیث نبوی و معجزاتی از معصومین به نقل از «جامع الاخبار»و مطالب متفرقه دیگر برگرفته از کتب مختلفه از جمله: روضة الصفا، تفسير المعادى، تفسير طوالعة خلاصة التفاسير، مفاتیح العلوم، حبيب السير، حجة الهند و غيره؛ واقف: فخر المحققین  شیرازی ،مرداد ۱۳۷۵ ؛کاغذ: شکری آهار مهره ،جلد: تیماج قهوه ای، ۲۸گ، ۲۰  سطر، اندازه: ۱۰/۲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۲۶ - ۸۵]</w:t>
      </w:r>
    </w:p>
    <w:p>
      <w:pPr>
        <w:pStyle w:val="BookText"/>
      </w:pPr>
      <w:r>
        <w:rPr>
          <w:rFonts w:ascii="IRNazanin" w:hAnsi="IRNazanin" w:eastAsia="IRNazanin" w:cs="IRNazanin"/>
          <w:lang w:bidi="fa-IR"/>
          <w:color w:val="111111"/>
          <w:sz w:val="28"/>
          <w:szCs w:val="28"/>
          <w:rtl/>
        </w:rPr>
        <w:t xml:space="preserve">۷. تهران؛ دائرة المعارف ؛شماره نسخه: ۱۶۵۹/۱۰-عکسی</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خوش، بی کا، تا :۱۲۴۳ق( ص ۴۶۹-۴۹۲) [ف: ۱ - 21]</w:t>
      </w:r>
    </w:p>
    <w:p>
      <w:pPr>
        <w:pStyle w:val="BookText"/>
      </w:pPr>
      <w:r>
        <w:rPr>
          <w:rFonts w:ascii="IRNazanin" w:hAnsi="IRNazanin" w:eastAsia="IRNazanin" w:cs="IRNazanin"/>
          <w:lang w:bidi="fa-IR"/>
          <w:color w:val="111111"/>
          <w:sz w:val="28"/>
          <w:szCs w:val="28"/>
          <w:rtl/>
        </w:rPr>
        <w:t xml:space="preserve">۸. تهران؛ دائرة المعارف؛ شماره نسخه: ۲۱۰۰/۴- عکسی</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۱۲۴۵ق؛ در انجامه نگارنده تاریخ به پایان رسیدن پنج شنبه ۲۴ جمادی الاول ۱۲۳۸ق. آمده، و نام رساله در فراز نسخه «رساله جواب ملا عبدالوهاب قزوینی در سر شهادت» آمده است. [ف: ۱ - ۲۱]</w:t>
      </w:r>
    </w:p>
    <w:p>
      <w:pPr>
        <w:pStyle w:val="BookText"/>
      </w:pPr>
      <w:r>
        <w:rPr>
          <w:rFonts w:ascii="IRNazanin" w:hAnsi="IRNazanin" w:eastAsia="IRNazanin" w:cs="IRNazanin"/>
          <w:lang w:bidi="fa-IR"/>
          <w:color w:val="111111"/>
          <w:sz w:val="28"/>
          <w:szCs w:val="28"/>
          <w:rtl/>
        </w:rPr>
        <w:t xml:space="preserve">9.تهران؛ دائرة المعارف؛ شماره نسخه: ۱۷۲۵/۴-عکسی</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تحریری، کا: حسن بن محمد باقر مراغه ای، تا: یک شنبه 18 شعبان ۱۲۴۷ق؛ ۴۰ص (۱۱۶-۱۵۵) [ف: ۱ - ۲۱]</w:t>
      </w:r>
    </w:p>
    <w:p>
      <w:pPr>
        <w:pStyle w:val="BookText"/>
      </w:pPr>
      <w:r>
        <w:rPr>
          <w:rFonts w:ascii="IRNazanin" w:hAnsi="IRNazanin" w:eastAsia="IRNazanin" w:cs="IRNazanin"/>
          <w:lang w:bidi="fa-IR"/>
          <w:color w:val="111111"/>
          <w:sz w:val="28"/>
          <w:szCs w:val="28"/>
          <w:rtl/>
        </w:rPr>
        <w:t xml:space="preserve">۱۰. مشهد؛ شیخ علی حیدر؛ شماره نسخه: ۷۴۰/۲</w:t>
      </w:r>
    </w:p>
    <w:p>
      <w:pPr>
        <w:pStyle w:val="BookText"/>
      </w:pPr>
      <w:r>
        <w:rPr>
          <w:rFonts w:ascii="IRNazanin" w:hAnsi="IRNazanin" w:eastAsia="IRNazanin" w:cs="IRNazanin"/>
          <w:lang w:bidi="fa-IR"/>
          <w:color w:val="111111"/>
          <w:sz w:val="28"/>
          <w:szCs w:val="28"/>
          <w:rtl/>
        </w:rPr>
        <w:t xml:space="preserve">خط: نستعليق، كا: جعفر بن محمد الثوبی، تا : ۱۲۴۷ق؛ جلد: چرم زرد، ۱۲گ (۲۵۷ر - ۲۶۸پ) ، ۲۶ سطر ،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[مؤید ۲ - 219]</w:t>
      </w:r>
    </w:p>
    <w:p>
      <w:pPr>
        <w:pStyle w:val="BookText"/>
      </w:pPr>
      <w:r>
        <w:rPr>
          <w:rFonts w:ascii="IRNazanin" w:hAnsi="IRNazanin" w:eastAsia="IRNazanin" w:cs="IRNazanin"/>
          <w:lang w:bidi="fa-IR"/>
          <w:color w:val="111111"/>
          <w:sz w:val="28"/>
          <w:szCs w:val="28"/>
          <w:rtl/>
        </w:rPr>
        <w:t xml:space="preserve">۱۱. تهران؛ مجلس؛ شماره نسخه: ۱۰۵۰۳/۳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۱۲۵۰ق؛ جلد: تیماج زرشکی، ۲۶گ (۱۸۹پ-۱۶۴ر)، ۱۸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۳۳/۱ - ۶۰]</w:t>
      </w:r>
    </w:p>
    <w:p>
      <w:pPr>
        <w:pStyle w:val="BookText"/>
      </w:pPr>
      <w:r>
        <w:rPr>
          <w:rFonts w:ascii="IRNazanin" w:hAnsi="IRNazanin" w:eastAsia="IRNazanin" w:cs="IRNazanin"/>
          <w:lang w:bidi="fa-IR"/>
          <w:color w:val="111111"/>
          <w:sz w:val="28"/>
          <w:szCs w:val="28"/>
          <w:rtl/>
        </w:rPr>
        <w:t xml:space="preserve">۱۲. قم؛ گلپایگانی؛ شماره نسخه: ۲۰۹۸/۲-۱۱/۱۹۸</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على نقی بن محمد علی  هروی، تا: ۵ محـرم ۱۲۵۰ق؛ جلد: ساغری قهوه ای، ۲۸ گ، ۱۶ سطر،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۱ - ۳۴۳]</w:t>
      </w:r>
    </w:p>
    <w:p>
      <w:pPr>
        <w:pStyle w:val="BookText"/>
      </w:pPr>
      <w:r>
        <w:rPr>
          <w:rFonts w:ascii="IRNazanin" w:hAnsi="IRNazanin" w:eastAsia="IRNazanin" w:cs="IRNazanin"/>
          <w:lang w:bidi="fa-IR"/>
          <w:color w:val="111111"/>
          <w:sz w:val="28"/>
          <w:szCs w:val="28"/>
          <w:rtl/>
        </w:rPr>
        <w:t xml:space="preserve">۱۳. بیرجند؛ دیانی؛ شماره نسخه: ۱۰۹/۵</w:t>
      </w:r>
    </w:p>
    <w:p>
      <w:pPr>
        <w:pStyle w:val="BookText"/>
      </w:pPr>
      <w:r>
        <w:rPr>
          <w:rFonts w:ascii="Amiri" w:hAnsi="Amiri" w:eastAsia="Amiri" w:cs="Amiri"/>
          <w:lang w:bidi="ar-SA"/>
          <w:color w:val="111111"/>
          <w:sz w:val="28"/>
          <w:szCs w:val="28"/>
          <w:rtl/>
        </w:rPr>
        <w:t xml:space="preserve">آغاز: فبادرت بالامتثال و اكتفيت بالاشارة بدون البسط فى المقال</w:t>
      </w:r>
    </w:p>
    <w:p>
      <w:pPr>
        <w:pStyle w:val="BookText"/>
      </w:pPr>
      <w:r>
        <w:rPr>
          <w:rFonts w:ascii="IRNazanin" w:hAnsi="IRNazanin" w:eastAsia="IRNazanin" w:cs="IRNazanin"/>
          <w:lang w:bidi="fa-IR"/>
          <w:color w:val="111111"/>
          <w:sz w:val="28"/>
          <w:szCs w:val="28"/>
          <w:rtl/>
        </w:rPr>
        <w:t xml:space="preserve">خط: نستعلیق، کا: محمد، تا: ۱۶ ذیقعده ۱۲۵۱ق، جا: بيرجـند؛  افتادگی: آغاز: مصحح؛ جلد: تیماج مشکی بدون مقوا، ۶گ (۴۶ ر-۵۱پ)،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[دیانی - ف: ۸۵]</w:t>
      </w:r>
    </w:p>
    <w:p>
      <w:pPr>
        <w:pStyle w:val="BookText"/>
      </w:pPr>
      <w:r>
        <w:rPr>
          <w:rFonts w:ascii="IRNazanin" w:hAnsi="IRNazanin" w:eastAsia="IRNazanin" w:cs="IRNazanin"/>
          <w:lang w:bidi="fa-IR"/>
          <w:color w:val="111111"/>
          <w:sz w:val="28"/>
          <w:szCs w:val="28"/>
          <w:rtl/>
        </w:rPr>
        <w:t xml:space="preserve">۱۴. مشهد؛ رضوی؛ شماره نسخه: ۲۹۴۲۶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جلی  خوش، کا: محمد بن حسن بیرجندی، تا: ۱۲۵۲ق؛ هشت برگ در حکمت و غیره ضمیمه شده است [رایانه]</w:t>
      </w:r>
    </w:p>
    <w:p>
      <w:pPr>
        <w:pStyle w:val="BookText"/>
      </w:pPr>
      <w:r>
        <w:rPr>
          <w:rFonts w:ascii="IRNazanin" w:hAnsi="IRNazanin" w:eastAsia="IRNazanin" w:cs="IRNazanin"/>
          <w:lang w:bidi="fa-IR"/>
          <w:color w:val="111111"/>
          <w:sz w:val="28"/>
          <w:szCs w:val="28"/>
          <w:rtl/>
        </w:rPr>
        <w:t xml:space="preserve">۱۵. مشهد؛ رضوی؛ شماره نسخه: ۲۲۵۲۰</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نستعليق ،كا: على نقی بن محمد رضا همدانی، تا: دوشنبه ۲۹ ذیحجه ۱۲۵۳ق؛ مذیل است به روایات و خطبه هایی از نهج البلاغه و دست نوشت های پراکنده و نیز اجازه روایت از شیخ یوسف بحرانی به شیخ عبدعلی و حسین بن شیخ محمد؛ واقف: ملکزاده  کوثر، آبان ۱۳۲۶ ؛کاغذ: شکری آهار مهره، جلد: مقوا، رویه پارچه ،خاکستری، ۱۳گ، ۲۱ و ۲۲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26- 86]</w:t>
      </w:r>
    </w:p>
    <w:p>
      <w:pPr>
        <w:pStyle w:val="BookText"/>
      </w:pPr>
      <w:r>
        <w:rPr>
          <w:rFonts w:ascii="IRNazanin" w:hAnsi="IRNazanin" w:eastAsia="IRNazanin" w:cs="IRNazanin"/>
          <w:lang w:bidi="fa-IR"/>
          <w:color w:val="111111"/>
          <w:sz w:val="28"/>
          <w:szCs w:val="28"/>
          <w:rtl/>
        </w:rPr>
        <w:t xml:space="preserve">۱۶. بشرویه؛ امیرالمؤمنین؛ شماره نسخه: ۱۴۴/۳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نستعليق ،كا: على اکبر بن کربلایی محمد مهدی بشرویی طبسی، تا: پنج شنبه ۲ ربیع الثانی ۱۲۵۳ق؛ جلد: گالینگور با عطف پارچه، ۱۶گ (۲۳۰ ر - ۲۴۵ ر)، ۲۰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مخ]</w:t>
      </w:r>
    </w:p>
    <w:p>
      <w:pPr>
        <w:pStyle w:val="BookText"/>
      </w:pPr>
      <w:r>
        <w:rPr>
          <w:rFonts w:ascii="IRNazanin" w:hAnsi="IRNazanin" w:eastAsia="IRNazanin" w:cs="IRNazanin"/>
          <w:lang w:bidi="fa-IR"/>
          <w:color w:val="111111"/>
          <w:sz w:val="28"/>
          <w:szCs w:val="28"/>
          <w:rtl/>
        </w:rPr>
        <w:t xml:space="preserve">۱۷. قم؛ فاضل قائینی؛ شماره نسخه: ۱۴۶</w:t>
      </w:r>
    </w:p>
    <w:p>
      <w:pPr>
        <w:pStyle w:val="BookText"/>
      </w:pPr>
      <w:r>
        <w:rPr>
          <w:rFonts w:ascii="IRNazanin" w:hAnsi="IRNazanin" w:eastAsia="IRNazanin" w:cs="IRNazanin"/>
          <w:lang w:bidi="fa-IR"/>
          <w:color w:val="111111"/>
          <w:sz w:val="28"/>
          <w:szCs w:val="28"/>
          <w:rtl/>
        </w:rPr>
        <w:t xml:space="preserve">انجام: برابر</w:t>
      </w:r>
    </w:p>
    <w:p>
      <w:pPr>
        <w:pStyle w:val="BookText"/>
      </w:pPr>
      <w:r>
        <w:rPr>
          <w:rFonts w:ascii="IRNazanin" w:hAnsi="IRNazanin" w:eastAsia="IRNazanin" w:cs="IRNazanin"/>
          <w:lang w:bidi="fa-IR"/>
          <w:color w:val="111111"/>
          <w:sz w:val="28"/>
          <w:szCs w:val="28"/>
          <w:rtl/>
        </w:rPr>
        <w:t xml:space="preserve">كا: ابو القاسم واعظ حسینی  یزدی، تا: ۱۲۵۳ق، جا: لاهیجان [ تراثنا س ۱۳ ش ۲ و ۳ - ۳۳۴]</w:t>
      </w:r>
    </w:p>
    <w:p>
      <w:pPr>
        <w:pStyle w:val="BookText"/>
      </w:pPr>
      <w:r>
        <w:rPr>
          <w:rFonts w:ascii="IRNazanin" w:hAnsi="IRNazanin" w:eastAsia="IRNazanin" w:cs="IRNazanin"/>
          <w:lang w:bidi="fa-IR"/>
          <w:color w:val="111111"/>
          <w:sz w:val="28"/>
          <w:szCs w:val="28"/>
          <w:rtl/>
        </w:rPr>
        <w:t xml:space="preserve">۱۸. تهران؛ مجلس؛ شماره نسخه: ۲۶۰/۲-ط</w:t>
      </w:r>
    </w:p>
    <w:p>
      <w:pPr>
        <w:pStyle w:val="BookText"/>
      </w:pPr>
      <w:r>
        <w:rPr>
          <w:rFonts w:ascii="IRNazanin" w:hAnsi="IRNazanin" w:eastAsia="IRNazanin" w:cs="IRNazanin"/>
          <w:lang w:bidi="fa-IR"/>
          <w:color w:val="111111"/>
          <w:sz w:val="28"/>
          <w:szCs w:val="28"/>
          <w:rtl/>
        </w:rPr>
        <w:t xml:space="preserve">خط: نستعلیق، کا: اسماعیل  حکیم، تا: ۱۲۵۴ق؛ ۱۵ص (۴۳-۵۷)  [ف ۲۲ - ۹۷]</w:t>
      </w:r>
    </w:p>
    <w:p>
      <w:pPr>
        <w:pStyle w:val="BookText"/>
      </w:pPr>
      <w:r>
        <w:rPr>
          <w:rFonts w:ascii="IRNazanin" w:hAnsi="IRNazanin" w:eastAsia="IRNazanin" w:cs="IRNazanin"/>
          <w:lang w:bidi="fa-IR"/>
          <w:color w:val="111111"/>
          <w:sz w:val="28"/>
          <w:szCs w:val="28"/>
          <w:rtl/>
        </w:rPr>
        <w:t xml:space="preserve">۱۹. تهران؛ دائرة المعارف؛ شماره نسخه: ۲۱۱۰/۳-عکسی</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،تحریری، بی کا، تا: ۱۶ ذیقعده ۱۲۵۶ق؛ ۹۳ص (۱۵۸-  ۲۵۰) [ف: ۱ - ۲۱]</w:t>
      </w:r>
    </w:p>
    <w:p>
      <w:pPr>
        <w:pStyle w:val="BookText"/>
      </w:pPr>
      <w:r>
        <w:rPr>
          <w:rFonts w:ascii="IRNazanin" w:hAnsi="IRNazanin" w:eastAsia="IRNazanin" w:cs="IRNazanin"/>
          <w:lang w:bidi="fa-IR"/>
          <w:color w:val="111111"/>
          <w:sz w:val="28"/>
          <w:szCs w:val="28"/>
          <w:rtl/>
        </w:rPr>
        <w:t xml:space="preserve">20.تهران؛ دائرة المعارف؛ شماره نسخه ۲۰۹۹/۸- عکسی</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پخته، بی کا، تا: ۱۲۵۷ق؛ ۲۹ص (۲۳۶-۲۶۴) [ف: ۱-۲۱]</w:t>
      </w:r>
    </w:p>
    <w:p>
      <w:pPr>
        <w:pStyle w:val="BookText"/>
      </w:pPr>
      <w:r>
        <w:rPr>
          <w:rFonts w:ascii="IRNazanin" w:hAnsi="IRNazanin" w:eastAsia="IRNazanin" w:cs="IRNazanin"/>
          <w:lang w:bidi="fa-IR"/>
          <w:color w:val="111111"/>
          <w:sz w:val="28"/>
          <w:szCs w:val="28"/>
          <w:rtl/>
        </w:rPr>
        <w:t xml:space="preserve">۲۱ . مشهد؛ رضوی؛ شماره نسخه: ۲۲۴۱۷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محمد حسین بن عبدالعلی یزدی، تا: ۱۲۵۷ق؛  واقف: حاج عماد، تیر ۱۳۱۰؛ کاغذ :شکری آهار مهره، جلد: تیماج ،مشکی، ۲۷گ ۲۳ سطر، اندازه: ۱۴/۷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۲۶- ۸۵]</w:t>
      </w:r>
    </w:p>
    <w:p>
      <w:pPr>
        <w:pStyle w:val="BookText"/>
      </w:pPr>
      <w:r>
        <w:rPr>
          <w:rFonts w:ascii="IRNazanin" w:hAnsi="IRNazanin" w:eastAsia="IRNazanin" w:cs="IRNazanin"/>
          <w:lang w:bidi="fa-IR"/>
          <w:color w:val="111111"/>
          <w:sz w:val="28"/>
          <w:szCs w:val="28"/>
          <w:rtl/>
        </w:rPr>
        <w:t xml:space="preserve">۲۲ . مشهد؛ رضوی؛ شماره نسخه: ۶۳۱۴/۳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محمد حسین بن عبدالعلی یزدی، تا: ۱۲۵۷ق؛  کاغذ: سفید فرنگی آهار مهره ،جلد: تیماج مشکی، ۲۷ ص (211-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۲۳۷)، (۲۳) سطر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۷ - ۱۶۲]</w:t>
      </w:r>
    </w:p>
    <w:p>
      <w:pPr>
        <w:pStyle w:val="BookText"/>
      </w:pPr>
      <w:r>
        <w:rPr>
          <w:rFonts w:ascii="IRNazanin" w:hAnsi="IRNazanin" w:eastAsia="IRNazanin" w:cs="IRNazanin"/>
          <w:lang w:bidi="fa-IR"/>
          <w:color w:val="111111"/>
          <w:sz w:val="28"/>
          <w:szCs w:val="28"/>
          <w:rtl/>
        </w:rPr>
        <w:t xml:space="preserve">۲۳. مشهد؛ رضوی؛ شماره نسخه: ۱۹۱۳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۱۳ محرم ۱۲۵۷ق؛ واقف: فهرستی، تیر۱۳۱۰ کاغذ: آهار مهره فرنگی  شکری ،جلد: مقوا با روکش  پارچه، ۱۰گ، ۲۸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۲۶سم [ف: ۵ - ۳۷]</w:t>
      </w:r>
    </w:p>
    <w:p>
      <w:pPr>
        <w:pStyle w:val="BookText"/>
      </w:pPr>
      <w:r>
        <w:rPr>
          <w:rFonts w:ascii="IRNazanin" w:hAnsi="IRNazanin" w:eastAsia="IRNazanin" w:cs="IRNazanin"/>
          <w:lang w:bidi="fa-IR"/>
          <w:color w:val="111111"/>
          <w:sz w:val="28"/>
          <w:szCs w:val="28"/>
          <w:rtl/>
        </w:rPr>
        <w:t xml:space="preserve">۲۴. تهران؛ ملک شماره نسخه: ۲۹۸۱/۳</w:t>
      </w:r>
    </w:p>
    <w:p>
      <w:pPr>
        <w:pStyle w:val="BookText"/>
      </w:pPr>
      <w:r>
        <w:rPr>
          <w:rFonts w:ascii="IRNazanin" w:hAnsi="IRNazanin" w:eastAsia="IRNazanin" w:cs="IRNazanin"/>
          <w:lang w:bidi="fa-IR"/>
          <w:color w:val="111111"/>
          <w:sz w:val="28"/>
          <w:szCs w:val="28"/>
          <w:rtl/>
        </w:rPr>
        <w:t xml:space="preserve">خط: شکسته نستعليق ،كا: عبدالرحيم بن حاج جعفر ریزی،تا: دوشنبه رمضان ۱۲۵۷ق؛ کاغذ: فرنگی آهار مهره ،جلد: میشں سیاه ۱۹گ (۱۰۳ر - ۱۲۱پ)، ۱۹ سطر اندازه:۱۷/۷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۲۲/۴  [ف: ۶ - ۱۸۰]</w:t>
      </w:r>
    </w:p>
    <w:p>
      <w:pPr>
        <w:pStyle w:val="BookText"/>
      </w:pPr>
      <w:r>
        <w:rPr>
          <w:rFonts w:ascii="IRNazanin" w:hAnsi="IRNazanin" w:eastAsia="IRNazanin" w:cs="IRNazanin"/>
          <w:lang w:bidi="fa-IR"/>
          <w:color w:val="111111"/>
          <w:sz w:val="28"/>
          <w:szCs w:val="28"/>
          <w:rtl/>
        </w:rPr>
        <w:t xml:space="preserve">۲۵ .تهران؛ مجلس؛ شماره نسخه: ۱۰۶۵۵/۴</w:t>
      </w:r>
    </w:p>
    <w:p>
      <w:pPr>
        <w:pStyle w:val="BookText"/>
      </w:pPr>
      <w:r>
        <w:rPr>
          <w:rFonts w:ascii="IRNazanin" w:hAnsi="IRNazanin" w:eastAsia="IRNazanin" w:cs="IRNazanin"/>
          <w:lang w:bidi="fa-IR"/>
          <w:color w:val="111111"/>
          <w:sz w:val="28"/>
          <w:szCs w:val="28"/>
          <w:rtl/>
        </w:rPr>
        <w:t xml:space="preserve">آغاز: بسمله اعلم ان الله عز وجل لما واجب ان يكمل صنعه و ينقن امره و یمن خلقه  و الخلق و الصنع بان يكون مختاراً ذا شعور ؛انجام: بمعنى انه تعالى عاملهم بعدله في الغى لتجاوز عنهم  فی الرخص فقد اصبت و الواجب على العباد شكره.</w:t>
      </w:r>
    </w:p>
    <w:p>
      <w:pPr>
        <w:pStyle w:val="BookText"/>
      </w:pPr>
      <w:r>
        <w:rPr>
          <w:rFonts w:ascii="IRNazanin" w:hAnsi="IRNazanin" w:eastAsia="IRNazanin" w:cs="IRNazanin"/>
          <w:lang w:bidi="fa-IR"/>
          <w:color w:val="111111"/>
          <w:sz w:val="28"/>
          <w:szCs w:val="28"/>
          <w:rtl/>
        </w:rPr>
        <w:t xml:space="preserve">خط: نسخ و نستعلیق، بی کا، تا: ۱۲۵۷ق؛ جلد: تیماج سیاه، ۴۱ ص (۴۲۸-۳۸۸)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۳۳/۱ - ۱۵۰]</w:t>
      </w:r>
    </w:p>
    <w:p>
      <w:pPr>
        <w:pStyle w:val="BookText"/>
      </w:pPr>
      <w:r>
        <w:rPr>
          <w:rFonts w:ascii="IRNazanin" w:hAnsi="IRNazanin" w:eastAsia="IRNazanin" w:cs="IRNazanin"/>
          <w:lang w:bidi="fa-IR"/>
          <w:color w:val="111111"/>
          <w:sz w:val="28"/>
          <w:szCs w:val="28"/>
          <w:rtl/>
        </w:rPr>
        <w:t xml:space="preserve">۲۶. تهران؛ دانشگاه؛ شماره نسخه: ۲۶۹۳/۳</w:t>
      </w:r>
    </w:p>
    <w:p>
      <w:pPr>
        <w:pStyle w:val="BookText"/>
      </w:pPr>
      <w:r>
        <w:rPr>
          <w:rFonts w:ascii="Amiri" w:hAnsi="Amiri" w:eastAsia="Amiri" w:cs="Amiri"/>
          <w:lang w:bidi="ar-SA"/>
          <w:color w:val="111111"/>
          <w:sz w:val="28"/>
          <w:szCs w:val="28"/>
          <w:rtl/>
        </w:rPr>
        <w:t xml:space="preserve">آغاز: اعلم ان الله عز وجل لما وجب ان يكمل صنعه؛ انجام: برابر</w:t>
      </w:r>
    </w:p>
    <w:p>
      <w:pPr>
        <w:pStyle w:val="BookText"/>
      </w:pPr>
      <w:r>
        <w:rPr>
          <w:rFonts w:ascii="IRNazanin" w:hAnsi="IRNazanin" w:eastAsia="IRNazanin" w:cs="IRNazanin"/>
          <w:lang w:bidi="fa-IR"/>
          <w:color w:val="111111"/>
          <w:sz w:val="28"/>
          <w:szCs w:val="28"/>
          <w:rtl/>
        </w:rPr>
        <w:t xml:space="preserve">خط: نستعلیق، بی کا، تا: ۱۲۵۸ق؛ کاغذ: فرنگی ،جلد: تیماج قهوه ضربی، ۲۰گ (۹۶ر -۱۱۵ر)، اندازه: ۱۶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۲۳سم [ف : ۱۰ -۱۵۷۷  ]</w:t>
      </w:r>
    </w:p>
    <w:p>
      <w:pPr>
        <w:pStyle w:val="BookText"/>
      </w:pPr>
      <w:r>
        <w:rPr>
          <w:rFonts w:ascii="IRNazanin" w:hAnsi="IRNazanin" w:eastAsia="IRNazanin" w:cs="IRNazanin"/>
          <w:lang w:bidi="fa-IR"/>
          <w:color w:val="111111"/>
          <w:sz w:val="28"/>
          <w:szCs w:val="28"/>
          <w:rtl/>
        </w:rPr>
        <w:t xml:space="preserve">۲۷. تهران؛ دانشگاه؛ شماره نسخه: ۲۷۷۷/۳</w:t>
      </w:r>
    </w:p>
    <w:p>
      <w:pPr>
        <w:pStyle w:val="BookText"/>
      </w:pPr>
      <w:r>
        <w:rPr>
          <w:rFonts w:ascii="IRNazanin" w:hAnsi="IRNazanin" w:eastAsia="IRNazanin" w:cs="IRNazanin"/>
          <w:lang w:bidi="fa-IR"/>
          <w:color w:val="111111"/>
          <w:sz w:val="28"/>
          <w:szCs w:val="28"/>
          <w:rtl/>
        </w:rPr>
        <w:t xml:space="preserve">خط: نستعلیق بی کا، تا: شنبه صفر ۱۲۵۸ق؛ کاغذ: فرنگی ،جلد: تیماج تریاکی ضربی درون  سرخ، ۵۳ ص( ۱۰۹-۱۶۱) [ف: ۱۰-۱۶۳۲]</w:t>
      </w:r>
    </w:p>
    <w:p>
      <w:pPr>
        <w:pStyle w:val="BookText"/>
      </w:pPr>
      <w:r>
        <w:rPr>
          <w:rFonts w:ascii="IRNazanin" w:hAnsi="IRNazanin" w:eastAsia="IRNazanin" w:cs="IRNazanin"/>
          <w:lang w:bidi="fa-IR"/>
          <w:color w:val="111111"/>
          <w:sz w:val="28"/>
          <w:szCs w:val="28"/>
          <w:rtl/>
        </w:rPr>
        <w:t xml:space="preserve">۲۸. مشهد؛ الهیات شماره نسخه: ۲۲۷۱۹/۲</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کا: عبدالمطلب، تا: چهارشنبه ۱۳ صفر ۱۲۵۹ق؛ کا: فرنگی ،جلد: مقوا عطف میشن مشکی، ۳۰گ (۴۱-۷۰)، ۱۵ سـطر (6</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۳ - ۸۵۷]</w:t>
      </w:r>
    </w:p>
    <w:p>
      <w:pPr>
        <w:pStyle w:val="BookText"/>
      </w:pPr>
      <w:r>
        <w:rPr>
          <w:rFonts w:ascii="IRNazanin" w:hAnsi="IRNazanin" w:eastAsia="IRNazanin" w:cs="IRNazanin"/>
          <w:lang w:bidi="fa-IR"/>
          <w:color w:val="111111"/>
          <w:sz w:val="28"/>
          <w:szCs w:val="28"/>
          <w:rtl/>
        </w:rPr>
        <w:t xml:space="preserve">۲۹. تهران؛ مجلس؛ شماره نسخه: ۴۳۴۰/۴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عبدالله بن شریف لواسانی، تا: یک شنبه 25جمادی الاول ۱۲۶۰ق؛ جلد: مقوا و پارچه، ۱۱گ( ۱۳۵ ر- ۴۵)، ۲۱ سطر (10/5</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 ۱۲ - ۴۴]</w:t>
      </w:r>
    </w:p>
    <w:p>
      <w:pPr>
        <w:pStyle w:val="BookText"/>
      </w:pPr>
      <w:r>
        <w:rPr>
          <w:rFonts w:ascii="IRNazanin" w:hAnsi="IRNazanin" w:eastAsia="IRNazanin" w:cs="IRNazanin"/>
          <w:lang w:bidi="fa-IR"/>
          <w:color w:val="111111"/>
          <w:sz w:val="28"/>
          <w:szCs w:val="28"/>
          <w:rtl/>
        </w:rPr>
        <w:t xml:space="preserve">۳۰. تهران؛ دائرة المعارف؛ شماره نسخه: ۲۱۱۴/۲- عکسی</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پخته، بی کا، تا: شنبه ۶ صفر ۱۲۶۰ق [ف: ۱ - ۲۲] :</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مشهد؛ رضوی؛ شماره نسخه: ۱۴۲۷۳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جلی، کا: عبدالحمید روضه خوان، تا: یکشنبه جمادی الاول ۱۲۶۱ق؛ واقف: سيد محمد باقر سبزواری  ، محرم  1405؛ کاغذ: شکری، جلد: تیماج  مشکی، ۵۴گ، ۱۱ سطر، اندازه:۱۴/۷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 ۱۴ - ۷۴]</w:t>
      </w:r>
    </w:p>
    <w:p>
      <w:pPr>
        <w:pStyle w:val="BookText"/>
      </w:pPr>
      <w:r>
        <w:rPr>
          <w:rFonts w:ascii="IRNazanin" w:hAnsi="IRNazanin" w:eastAsia="IRNazanin" w:cs="IRNazanin"/>
          <w:lang w:bidi="fa-IR"/>
          <w:color w:val="111111"/>
          <w:sz w:val="28"/>
          <w:szCs w:val="28"/>
          <w:rtl/>
        </w:rPr>
        <w:t xml:space="preserve">۳۲. تهران؛ دانشگاه؛ شماره نسخه: ۹۵۷۷/۹</w:t>
      </w:r>
    </w:p>
    <w:p>
      <w:pPr>
        <w:pStyle w:val="BookText"/>
      </w:pPr>
      <w:r>
        <w:rPr>
          <w:rFonts w:ascii="IRNazanin" w:hAnsi="IRNazanin" w:eastAsia="IRNazanin" w:cs="IRNazanin"/>
          <w:lang w:bidi="fa-IR"/>
          <w:color w:val="111111"/>
          <w:sz w:val="28"/>
          <w:szCs w:val="28"/>
          <w:rtl/>
        </w:rPr>
        <w:t xml:space="preserve">کا: سید علی اصغر پسر محمد قاسم طباطبائی، تا: ۱۵ شوال ۱۲۶۱ق؛ کاغذ ،فرنگی ،جلد: تیماج مشکی ضربی مقوایی، ۵ گ (۲۶۹پ- ۲۷۳پ) ۳۵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۲۸)، قطع: رحلی، اندازه: ۲۲</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۳۹سم [ف : ۱۷ - ۴۱۰]</w:t>
      </w:r>
    </w:p>
    <w:p>
      <w:pPr>
        <w:pStyle w:val="BookText"/>
      </w:pPr>
      <w:r>
        <w:rPr>
          <w:rFonts w:ascii="IRNazanin" w:hAnsi="IRNazanin" w:eastAsia="IRNazanin" w:cs="IRNazanin"/>
          <w:lang w:bidi="fa-IR"/>
          <w:color w:val="111111"/>
          <w:sz w:val="28"/>
          <w:szCs w:val="28"/>
          <w:rtl/>
        </w:rPr>
        <w:t xml:space="preserve">۳۳. قم؛ مرکز احیاء؛ شماره نسخه: ۲۵۵/۲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حیدر علی بن محمد هاشم قرطمانی، تا: ۱۲۶۲ق؛ جلد: تیماج مشکی ضربی، ۲۰گ (۱۴۰پ-۱۵۹پ)، ۲۰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۱- ۳۵۴]</w:t>
      </w:r>
    </w:p>
    <w:p>
      <w:pPr>
        <w:pStyle w:val="BookText"/>
      </w:pPr>
      <w:r>
        <w:rPr>
          <w:rFonts w:ascii="IRNazanin" w:hAnsi="IRNazanin" w:eastAsia="IRNazanin" w:cs="IRNazanin"/>
          <w:lang w:bidi="fa-IR"/>
          <w:color w:val="111111"/>
          <w:sz w:val="28"/>
          <w:szCs w:val="28"/>
          <w:rtl/>
        </w:rPr>
        <w:t xml:space="preserve">۳۴. تهران؛ دائرة المعارف؛ شماره نسخه: ۲۰۹۷/۲ -عکسی</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پخته، بی کا، تا: ۱۲۶۲ق؛ ۶۶ ص (۶۳-۱۲۸) [ف: ۱-۲۲]</w:t>
      </w:r>
    </w:p>
    <w:p>
      <w:pPr>
        <w:pStyle w:val="BookText"/>
      </w:pPr>
      <w:r>
        <w:rPr>
          <w:rFonts w:ascii="IRNazanin" w:hAnsi="IRNazanin" w:eastAsia="IRNazanin" w:cs="IRNazanin"/>
          <w:lang w:bidi="fa-IR"/>
          <w:color w:val="111111"/>
          <w:sz w:val="28"/>
          <w:szCs w:val="28"/>
          <w:rtl/>
        </w:rPr>
        <w:t xml:space="preserve">۳۵. قم؛ معصومیه ؛شماره نسخه: ۴۳۱/۳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جمعه ۲۶ جمادی الاول ۱۲۶۲ق؛ جلد: تیماج ،مشکی، ۶۴گ (۱۴۸-۲۱۱) ۱۷-۲۱ سطر (۶/۵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۲ - ۴۰]</w:t>
      </w:r>
    </w:p>
    <w:p>
      <w:pPr>
        <w:pStyle w:val="BookText"/>
      </w:pPr>
      <w:r>
        <w:rPr>
          <w:rFonts w:ascii="IRNazanin" w:hAnsi="IRNazanin" w:eastAsia="IRNazanin" w:cs="IRNazanin"/>
          <w:lang w:bidi="fa-IR"/>
          <w:color w:val="111111"/>
          <w:sz w:val="28"/>
          <w:szCs w:val="28"/>
          <w:rtl/>
        </w:rPr>
        <w:t xml:space="preserve">۳۶. مشهد؛ رضوی؛ شماره نسخه: ۱۴۹۸۳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رضا بن محمد صادق حسنی حسینی موسوی طباطبائی تبریزی، تا: جمعه ۲۴ ربيع الاول ۱۲۶۳ق؛ واقف: سید محمد باقر  سبزواری، محرم ۱۴۰۵؛کاغذ ،نخودی ،جلد: مقوا ۲۸گ، ۱۷ سطر،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۲۶سم [ف: ۱۴ – ۷۴]</w:t>
      </w:r>
    </w:p>
    <w:p>
      <w:pPr>
        <w:pStyle w:val="BookText"/>
      </w:pPr>
      <w:r>
        <w:rPr>
          <w:rFonts w:ascii="IRNazanin" w:hAnsi="IRNazanin" w:eastAsia="IRNazanin" w:cs="IRNazanin"/>
          <w:lang w:bidi="fa-IR"/>
          <w:color w:val="111111"/>
          <w:sz w:val="28"/>
          <w:szCs w:val="28"/>
          <w:rtl/>
        </w:rPr>
        <w:t xml:space="preserve">۳۷. شیراز؛ علامه طباطبائی؛ شماره نسخه: ۶۰۴/۸</w:t>
      </w:r>
    </w:p>
    <w:p>
      <w:pPr>
        <w:pStyle w:val="BookText"/>
      </w:pPr>
      <w:r>
        <w:rPr>
          <w:rFonts w:ascii="IRNazanin" w:hAnsi="IRNazanin" w:eastAsia="IRNazanin" w:cs="IRNazanin"/>
          <w:lang w:bidi="fa-IR"/>
          <w:color w:val="111111"/>
          <w:sz w:val="28"/>
          <w:szCs w:val="28"/>
          <w:rtl/>
        </w:rPr>
        <w:t xml:space="preserve">آغاز : برابر</w:t>
      </w:r>
    </w:p>
    <w:p>
      <w:pPr>
        <w:pStyle w:val="BookText"/>
      </w:pPr>
      <w:r>
        <w:rPr>
          <w:rFonts w:ascii="IRNazanin" w:hAnsi="IRNazanin" w:eastAsia="IRNazanin" w:cs="IRNazanin"/>
          <w:lang w:bidi="fa-IR"/>
          <w:color w:val="111111"/>
          <w:sz w:val="28"/>
          <w:szCs w:val="28"/>
          <w:rtl/>
        </w:rPr>
        <w:t xml:space="preserve">خط: نسخ،  كا: عبدالكريم بن حاج عدارم، تا: ۱۲۶۳ق، ۲۰گ (۱۳۰ - ۱۴۹ر)،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 نسخه پژوهی: ۳ - ۱۰۹]</w:t>
      </w:r>
    </w:p>
    <w:p>
      <w:pPr>
        <w:pStyle w:val="BookText"/>
      </w:pPr>
      <w:r>
        <w:rPr>
          <w:rFonts w:ascii="IRNazanin" w:hAnsi="IRNazanin" w:eastAsia="IRNazanin" w:cs="IRNazanin"/>
          <w:lang w:bidi="fa-IR"/>
          <w:color w:val="111111"/>
          <w:sz w:val="28"/>
          <w:szCs w:val="28"/>
          <w:rtl/>
        </w:rPr>
        <w:t xml:space="preserve">۳۸. مشهد؛ مدرسه آیة الله خوئی؛ شماره نسخه: ۹۹/۲</w:t>
      </w:r>
    </w:p>
    <w:p>
      <w:pPr>
        <w:pStyle w:val="BookText"/>
      </w:pPr>
      <w:r>
        <w:rPr>
          <w:rFonts w:ascii="IRNazanin" w:hAnsi="IRNazanin" w:eastAsia="IRNazanin" w:cs="IRNazanin"/>
          <w:lang w:bidi="fa-IR"/>
          <w:color w:val="111111"/>
          <w:sz w:val="28"/>
          <w:szCs w:val="28"/>
          <w:rtl/>
        </w:rPr>
        <w:t xml:space="preserve">خط: نسخ، بی کا: تا: پنج شنبه ۲۰ شعبان ۱۲۶۵ق؛ جلد: تیماج ،مشکی، ۲۹گ (۳۲ پ - ۶۰ر)،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۶۵]</w:t>
      </w:r>
    </w:p>
    <w:p>
      <w:pPr>
        <w:pStyle w:val="BookText"/>
      </w:pPr>
      <w:r>
        <w:rPr>
          <w:rFonts w:ascii="IRNazanin" w:hAnsi="IRNazanin" w:eastAsia="IRNazanin" w:cs="IRNazanin"/>
          <w:lang w:bidi="fa-IR"/>
          <w:color w:val="111111"/>
          <w:sz w:val="28"/>
          <w:szCs w:val="28"/>
          <w:rtl/>
        </w:rPr>
        <w:t xml:space="preserve">۳۹. قم؛ گلپایگانی؛ شماره نسخه: ۸۹۹۶/۲-۵۹/۲۱۶</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بی  کا، تا: چهارشنبه شوال ۱۲۶۵ق؛ ۵۰گ (۵۱- ۱۰۰)، ۱۱ سطر،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 - ۳۴۳]</w:t>
      </w:r>
    </w:p>
    <w:p>
      <w:pPr>
        <w:pStyle w:val="BookText"/>
      </w:pPr>
      <w:r>
        <w:rPr>
          <w:rFonts w:ascii="IRNazanin" w:hAnsi="IRNazanin" w:eastAsia="IRNazanin" w:cs="IRNazanin"/>
          <w:lang w:bidi="fa-IR"/>
          <w:color w:val="111111"/>
          <w:sz w:val="28"/>
          <w:szCs w:val="28"/>
          <w:rtl/>
        </w:rPr>
        <w:t xml:space="preserve">۴۰. تهران؛ مجلس؛ شماره نسخه: ۳/۴ خوئی</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بی کا، تا: ۱۲۶۶ق؛ کاغذ: فرنگی شکری، جلد: تیماج یک لا   يشمى، ص (۱۴۶-۱۴۸) اندازه: 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۱۳۷]</w:t>
      </w:r>
    </w:p>
    <w:p>
      <w:pPr>
        <w:pStyle w:val="BookText"/>
      </w:pPr>
      <w:r>
        <w:rPr>
          <w:rFonts w:ascii="IRNazanin" w:hAnsi="IRNazanin" w:eastAsia="IRNazanin" w:cs="IRNazanin"/>
          <w:lang w:bidi="fa-IR"/>
          <w:color w:val="111111"/>
          <w:sz w:val="28"/>
          <w:szCs w:val="28"/>
          <w:rtl/>
        </w:rPr>
        <w:t xml:space="preserve">۴۱. یزد؛ وزیری؛ شماره نسخه: ۱۹۷۰/۳</w:t>
      </w:r>
    </w:p>
    <w:p>
      <w:pPr>
        <w:pStyle w:val="BookText"/>
      </w:pPr>
      <w:r>
        <w:rPr>
          <w:rFonts w:ascii="IRNazanin" w:hAnsi="IRNazanin" w:eastAsia="IRNazanin" w:cs="IRNazanin"/>
          <w:lang w:bidi="fa-IR"/>
          <w:color w:val="111111"/>
          <w:sz w:val="28"/>
          <w:szCs w:val="28"/>
          <w:rtl/>
        </w:rPr>
        <w:t xml:space="preserve">کامل؛ کا: احمد بن عباس بن علی  یزدی، تا: ۱۲۶۶ق؛ کاغذ: فرنگی آهار مهره ،جلد: تیماج  مشکی، ۲۶گ (۵۲-۷۷)، ابعاد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متن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۳ - ۱۱۱۰]</w:t>
      </w:r>
    </w:p>
    <w:p>
      <w:pPr>
        <w:pStyle w:val="BookText"/>
      </w:pPr>
      <w:r>
        <w:rPr>
          <w:rFonts w:ascii="IRNazanin" w:hAnsi="IRNazanin" w:eastAsia="IRNazanin" w:cs="IRNazanin"/>
          <w:lang w:bidi="fa-IR"/>
          <w:color w:val="111111"/>
          <w:sz w:val="28"/>
          <w:szCs w:val="28"/>
          <w:rtl/>
        </w:rPr>
        <w:t xml:space="preserve">۴۲. همدان؛ دانشگاه بوعلی؛ شماره نسخه: ۲۹۷/۳</w:t>
      </w:r>
    </w:p>
    <w:p>
      <w:pPr>
        <w:pStyle w:val="BookText"/>
      </w:pPr>
      <w:r>
        <w:rPr>
          <w:rFonts w:ascii="IRNazanin" w:hAnsi="IRNazanin" w:eastAsia="IRNazanin" w:cs="IRNazanin"/>
          <w:lang w:bidi="fa-IR"/>
          <w:color w:val="111111"/>
          <w:sz w:val="28"/>
          <w:szCs w:val="28"/>
          <w:rtl/>
        </w:rPr>
        <w:t xml:space="preserve">خط: نسخ، كا: احمد بن عباس بن علی یزدی، تا: شنبه ۱ربیع الثانی ۱۲۶۶ق؛ جلد: مقوایی عطف پارچه مشکی، ۲۳گ (۵۹پ - 81ر)ا، ۱۸ 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 ۱۶۱]</w:t>
      </w:r>
    </w:p>
    <w:p>
      <w:pPr>
        <w:pStyle w:val="BookText"/>
      </w:pPr>
      <w:r>
        <w:rPr>
          <w:rFonts w:ascii="IRNazanin" w:hAnsi="IRNazanin" w:eastAsia="IRNazanin" w:cs="IRNazanin"/>
          <w:lang w:bidi="fa-IR"/>
          <w:color w:val="111111"/>
          <w:sz w:val="28"/>
          <w:szCs w:val="28"/>
          <w:rtl/>
        </w:rPr>
        <w:t xml:space="preserve">43.اصفهان؛ مدرسه صدر بازار؛ شماره نسخه: ۴۸۳/۴</w:t>
      </w:r>
    </w:p>
    <w:p>
      <w:pPr>
        <w:pStyle w:val="BookText"/>
      </w:pPr>
      <w:r>
        <w:rPr>
          <w:rFonts w:ascii="IRNazanin" w:hAnsi="IRNazanin" w:eastAsia="IRNazanin" w:cs="IRNazanin"/>
          <w:lang w:bidi="fa-IR"/>
          <w:color w:val="111111"/>
          <w:sz w:val="28"/>
          <w:szCs w:val="28"/>
          <w:rtl/>
        </w:rPr>
        <w:t xml:space="preserve">خط: نستعلیق، کا: ابراهیم  اصفهانی، تا: پنج شنبه ۱۳ رجـب ۱۲۶۷ق؛ جا: اصفهان؛ جلد: تیماج قهوه ای مجدول ضربی، ۲۸گ (۸۱پ -۱۰۸ر)،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۱۷/۵سم [ف: ۲ - ۳۴۹]</w:t>
      </w:r>
    </w:p>
    <w:p>
      <w:pPr>
        <w:pStyle w:val="BookText"/>
      </w:pPr>
      <w:r>
        <w:rPr>
          <w:rFonts w:ascii="IRNazanin" w:hAnsi="IRNazanin" w:eastAsia="IRNazanin" w:cs="IRNazanin"/>
          <w:lang w:bidi="fa-IR"/>
          <w:color w:val="111111"/>
          <w:sz w:val="28"/>
          <w:szCs w:val="28"/>
          <w:rtl/>
        </w:rPr>
        <w:t xml:space="preserve">44.قم؛ مسجد اعظم؛ شماره نسخه: ۲۸۸۲/۲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۱۲۶۸ق؛ ۳۶گ، ۱۲ سطر، اندازه: ۱۱</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۱۷سم [ف مخ: ۱- ۱۴۵]</w:t>
      </w:r>
    </w:p>
    <w:p>
      <w:pPr>
        <w:pStyle w:val="BookText"/>
      </w:pPr>
      <w:r>
        <w:rPr>
          <w:rFonts w:ascii="IRNazanin" w:hAnsi="IRNazanin" w:eastAsia="IRNazanin" w:cs="IRNazanin"/>
          <w:lang w:bidi="fa-IR"/>
          <w:color w:val="111111"/>
          <w:sz w:val="28"/>
          <w:szCs w:val="28"/>
          <w:rtl/>
        </w:rPr>
        <w:t xml:space="preserve">۴۵. تهران؛ دائرة المعارف؛ شماره نسخه ۱۵۰۲/۱- عکسی</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خوش، کا: محمد جعفر  اهری، تا: ۱۲ شعبان ۱۲۶۹ ق،۵۵ ص( ۲-۵۶)، ۱۵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 [ف: ۱-۲۲]</w:t>
      </w:r>
    </w:p>
    <w:p>
      <w:pPr>
        <w:pStyle w:val="BookText"/>
      </w:pPr>
      <w:r>
        <w:rPr>
          <w:rFonts w:ascii="IRNazanin" w:hAnsi="IRNazanin" w:eastAsia="IRNazanin" w:cs="IRNazanin"/>
          <w:lang w:bidi="fa-IR"/>
          <w:color w:val="111111"/>
          <w:sz w:val="28"/>
          <w:szCs w:val="28"/>
          <w:rtl/>
        </w:rPr>
        <w:t xml:space="preserve">۴۶. قم؛ مرکز احیاء؛ شماره نسخه: ۴۴۰۹/۲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سید محمد باقر بن علی محمد حسینی ارومجی،تا:15 محرم، ۱۲۷۰ق؛ در برگ اول خطبه ای در صلوات و تحیات بر امام حسین (علیه السّلام) آمده؛ جلد: تیماج مشکی بدون مقوا، ۱۸گ (۱۸ ر-۳۵ر)، ۲۱ سطر،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[محدث ارموی مخ: ۱-۱۳۰  ]</w:t>
      </w:r>
    </w:p>
    <w:p>
      <w:pPr>
        <w:pStyle w:val="BookText"/>
      </w:pPr>
      <w:r>
        <w:rPr>
          <w:rFonts w:ascii="IRNazanin" w:hAnsi="IRNazanin" w:eastAsia="IRNazanin" w:cs="IRNazanin"/>
          <w:lang w:bidi="fa-IR"/>
          <w:color w:val="111111"/>
          <w:sz w:val="28"/>
          <w:szCs w:val="28"/>
          <w:rtl/>
        </w:rPr>
        <w:t xml:space="preserve">۴۷. مشهد؛ رضوی؛ شماره نسخه: ۱۲۰۴۵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عبدالرحيم بن محمد تقی حسینی شیرازی،تا :۱۲۷۳ق؛ واقف: سید جلال الدین  تهرانی، مرداد ۱۳۶۱؛ کا: شکری آهار مهره ،جلد: تیماج یک لا ،مشکی، ۲۰گ، ۱۹ سـطر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۲۶ - ۸۶]</w:t>
      </w:r>
    </w:p>
    <w:p>
      <w:pPr>
        <w:pStyle w:val="BookText"/>
      </w:pPr>
      <w:r>
        <w:rPr>
          <w:rFonts w:ascii="IRNazanin" w:hAnsi="IRNazanin" w:eastAsia="IRNazanin" w:cs="IRNazanin"/>
          <w:lang w:bidi="fa-IR"/>
          <w:color w:val="111111"/>
          <w:sz w:val="28"/>
          <w:szCs w:val="28"/>
          <w:rtl/>
        </w:rPr>
        <w:t xml:space="preserve">۴۸. تهران؛ ملک؛ شماره نسخه: ۲۹۹۳/۱۱</w:t>
      </w:r>
    </w:p>
    <w:p>
      <w:pPr>
        <w:pStyle w:val="BookText"/>
      </w:pPr>
      <w:r>
        <w:rPr>
          <w:rFonts w:ascii="IRNazanin" w:hAnsi="IRNazanin" w:eastAsia="IRNazanin" w:cs="IRNazanin"/>
          <w:lang w:bidi="fa-IR"/>
          <w:color w:val="111111"/>
          <w:sz w:val="28"/>
          <w:szCs w:val="28"/>
          <w:rtl/>
        </w:rPr>
        <w:t xml:space="preserve">خط: شکسته نستعلیق، بی کا ،تا: دوشنبه ۲۲ شعبان ۱۲۷۵ق؛ كاغذ: فرنگی، آهار مهره ،جلد: میشن لایی ،قهوه ای ۱۶ گ (۹۵پ- ۱۱۰ر)، ۱۸ و ۱۹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۶ - ۱۸۳]</w:t>
      </w:r>
    </w:p>
    <w:p>
      <w:pPr>
        <w:pStyle w:val="BookText"/>
      </w:pPr>
      <w:r>
        <w:rPr>
          <w:rFonts w:ascii="IRNazanin" w:hAnsi="IRNazanin" w:eastAsia="IRNazanin" w:cs="IRNazanin"/>
          <w:lang w:bidi="fa-IR"/>
          <w:color w:val="111111"/>
          <w:sz w:val="28"/>
          <w:szCs w:val="28"/>
          <w:rtl/>
        </w:rPr>
        <w:t xml:space="preserve">۴۹. قم؛ گلپایگانی؛ شماره نسخه: ۱۷۴۹/۱-۱۰/۵۹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ابو القاسم بن  احمد، تا: یک شنبه ۲۶ شـوال ۱۲۷۸ق؛ پس از اتمام رساله دو خطبه درج شده در خطبه اول بسیاری از جملات با نام امام حسین (علیه السّلام) ختم می شود «الحمـد الذى افاده افئدة العارفين ببهاءالحسين و اذاب قلوب السالكین ببكاء الحسين و خطبه دوم از امام علی (علیه السّلام) است: «ايها الناس من طلب الدنيا وجد الحسرة» و مطلبی درباره نیک و بد ایام به نقل امام علی (علیه السّلام)؛ جلد: گالینگور ،قهوه ای ۲۳گ، ۱۷ سطر، اندازه: ۲۳</w:t>
      </w:r>
      <w:r>
        <w:rPr>
          <w:rFonts w:ascii="Times New Roman" w:hAnsi="Times New Roman" w:eastAsia="Times New Roman" w:cs="Times New Roman"/>
          <w:lang w:val="en-US" w:bidi="en-US"/>
          <w:color w:val="111111"/>
          <w:sz w:val="28"/>
          <w:szCs w:val="28"/>
          <w:rtl/>
        </w:rPr>
        <w:t xml:space="preserve">x</w:t>
      </w:r>
      <w:r>
        <w:rPr>
          <w:rFonts w:ascii="IRNazanin" w:hAnsi="IRNazanin" w:eastAsia="IRNazanin" w:cs="IRNazanin"/>
          <w:lang w:bidi="fa-IR"/>
          <w:color w:val="111111"/>
          <w:sz w:val="28"/>
          <w:szCs w:val="28"/>
          <w:rtl/>
        </w:rPr>
        <w:t xml:space="preserve">۱۷/۵سم [ف: ۱ - ۳۴۳]</w:t>
      </w:r>
    </w:p>
    <w:p>
      <w:pPr>
        <w:pStyle w:val="BookText"/>
      </w:pPr>
      <w:r>
        <w:rPr>
          <w:rFonts w:ascii="IRNazanin" w:hAnsi="IRNazanin" w:eastAsia="IRNazanin" w:cs="IRNazanin"/>
          <w:lang w:bidi="fa-IR"/>
          <w:color w:val="111111"/>
          <w:sz w:val="28"/>
          <w:szCs w:val="28"/>
          <w:rtl/>
        </w:rPr>
        <w:t xml:space="preserve">۵۰. مشهد؛ رضوی؛ شماره نسخه ۶۹۷۰</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مهدی بن حسین حسنی، تا: ۱۱ صفر ۱۲۸۴ق، جا: قزوین؛ در آخر ضمن ۱۰ صفحه مطالب متفرقه در حدیث و دعا و سؤال و جواب از شیخ احسائی؛ واقف: ملکزاده کوثر، آبان ۱۳۲۶؛ کاغذ: آهاری  نباتی ،جلد: تیماج نیلی، ۴۳گ، ۱۲ سطر،اندازه: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۵ - ۳۸]</w:t>
      </w:r>
    </w:p>
    <w:p>
      <w:pPr>
        <w:pStyle w:val="BookText"/>
      </w:pPr>
      <w:r>
        <w:rPr>
          <w:rFonts w:ascii="IRNazanin" w:hAnsi="IRNazanin" w:eastAsia="IRNazanin" w:cs="IRNazanin"/>
          <w:lang w:bidi="fa-IR"/>
          <w:color w:val="111111"/>
          <w:sz w:val="28"/>
          <w:szCs w:val="28"/>
          <w:rtl/>
        </w:rPr>
        <w:t xml:space="preserve">۵۱. قم؛ مرکز مطالعات؛ شماره نسخه: ۳۴۴/۲</w:t>
      </w:r>
    </w:p>
    <w:p>
      <w:pPr>
        <w:pStyle w:val="BookText"/>
      </w:pPr>
      <w:r>
        <w:rPr>
          <w:rFonts w:ascii="Amiri" w:hAnsi="Amiri" w:eastAsia="Amiri" w:cs="Amiri"/>
          <w:lang w:bidi="ar-SA"/>
          <w:color w:val="111111"/>
          <w:sz w:val="28"/>
          <w:szCs w:val="28"/>
          <w:rtl/>
        </w:rPr>
        <w:t xml:space="preserve">آغاز: برابر؛ انجام: و لو كان لي قلب و مجال لا رخيت عنان القلم هذا الميدان و لا ريتك من عجايب الاسرار و غرايب الاطوار  ...الحمد لله رب العالمين ... قد تمت</w:t>
      </w:r>
    </w:p>
    <w:p>
      <w:pPr>
        <w:pStyle w:val="BookText"/>
      </w:pPr>
      <w:r>
        <w:rPr>
          <w:rFonts w:ascii="IRNazanin" w:hAnsi="IRNazanin" w:eastAsia="IRNazanin" w:cs="IRNazanin"/>
          <w:lang w:bidi="fa-IR"/>
          <w:color w:val="111111"/>
          <w:sz w:val="28"/>
          <w:szCs w:val="28"/>
          <w:rtl/>
        </w:rPr>
        <w:t xml:space="preserve">خط: نستعلیق، کا: محمد علی بن ابوالقاسم بن محمد على بن عبدالحمید حسینی دست غیب  شیرازی، تا: ۱۲۸۹ق؛ جلد: تیماج مشکی ضربی مجدول، ۲۶گ (۱۵۳ پ-۱۷۸پ)، ۱۹ سطر،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 ۳۰۴]</w:t>
      </w:r>
    </w:p>
    <w:p>
      <w:pPr>
        <w:pStyle w:val="BookText"/>
      </w:pPr>
      <w:r>
        <w:rPr>
          <w:rFonts w:ascii="IRNazanin" w:hAnsi="IRNazanin" w:eastAsia="IRNazanin" w:cs="IRNazanin"/>
          <w:lang w:bidi="fa-IR"/>
          <w:color w:val="111111"/>
          <w:sz w:val="28"/>
          <w:szCs w:val="28"/>
          <w:rtl/>
        </w:rPr>
        <w:t xml:space="preserve">۵۲. قم؛ گلپایگانی؛ شماره نسخه: ۹۱۸۲-۶۰/۱۲۲</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کا: محمد سمین کرکونی جدید الاسلام، تا: دوشنبه۱۵ صفر ۱۲۹۰ق، برای ملاحسین روضه خوان؛ ۲۱گ، ۱۵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۱ - ۳۴۳]</w:t>
      </w:r>
    </w:p>
    <w:p>
      <w:pPr>
        <w:pStyle w:val="BookText"/>
      </w:pPr>
      <w:r>
        <w:rPr>
          <w:rFonts w:ascii="IRNazanin" w:hAnsi="IRNazanin" w:eastAsia="IRNazanin" w:cs="IRNazanin"/>
          <w:lang w:bidi="fa-IR"/>
          <w:color w:val="111111"/>
          <w:sz w:val="28"/>
          <w:szCs w:val="28"/>
          <w:rtl/>
        </w:rPr>
        <w:t xml:space="preserve">۵۳. اصفهان؛ دانشگاه اصفهان؛ شماره نسخه: ۱۲۳/۱</w:t>
      </w:r>
    </w:p>
    <w:p>
      <w:pPr>
        <w:pStyle w:val="BookText"/>
      </w:pPr>
      <w:r>
        <w:rPr>
          <w:rFonts w:ascii="IRNazanin" w:hAnsi="IRNazanin" w:eastAsia="IRNazanin" w:cs="IRNazanin"/>
          <w:lang w:bidi="fa-IR"/>
          <w:color w:val="111111"/>
          <w:sz w:val="28"/>
          <w:szCs w:val="28"/>
          <w:rtl/>
        </w:rPr>
        <w:t xml:space="preserve">خط: نسخ، کا: محمد جعفر بن میرزا احمد عقدایی، تا: پنج شنبه دهه یکم صفر ۱۲۹۵ق؛ به خواهش آقا میرزا ابوالقاسم روزه خوان (؟) [نشریه: ۱۱ - ۹۲۶]</w:t>
      </w:r>
    </w:p>
    <w:p>
      <w:pPr>
        <w:pStyle w:val="BookText"/>
      </w:pPr>
      <w:r>
        <w:rPr>
          <w:rFonts w:ascii="IRNazanin" w:hAnsi="IRNazanin" w:eastAsia="IRNazanin" w:cs="IRNazanin"/>
          <w:lang w:bidi="fa-IR"/>
          <w:color w:val="111111"/>
          <w:sz w:val="28"/>
          <w:szCs w:val="28"/>
          <w:rtl/>
        </w:rPr>
        <w:t xml:space="preserve">۵۴. قم؛ مرکز احیاء شماره نسخه: ۱۸۹۹/۲</w:t>
      </w:r>
    </w:p>
    <w:p>
      <w:pPr>
        <w:pStyle w:val="BookText"/>
      </w:pPr>
      <w:r>
        <w:rPr>
          <w:rFonts w:ascii="IRNazanin" w:hAnsi="IRNazanin" w:eastAsia="IRNazanin" w:cs="IRNazanin"/>
          <w:lang w:bidi="fa-IR"/>
          <w:color w:val="111111"/>
          <w:sz w:val="28"/>
          <w:szCs w:val="28"/>
          <w:rtl/>
        </w:rPr>
        <w:t xml:space="preserve">خط: نستعلیق، بی کا، تا: قرن ۱۴؛ جلد: تیماج قهوه ای، ۹گ  (۲۶۶ ر - ۲۷۴پ) ، اندازه: ۲۹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۳۳/۵سم [ف: ۵ - ۳۲۷]</w:t>
      </w:r>
    </w:p>
    <w:p>
      <w:pPr>
        <w:pStyle w:val="BookText"/>
      </w:pPr>
      <w:r>
        <w:rPr>
          <w:rFonts w:ascii="IRNazanin" w:hAnsi="IRNazanin" w:eastAsia="IRNazanin" w:cs="IRNazanin"/>
          <w:lang w:bidi="fa-IR"/>
          <w:color w:val="111111"/>
          <w:sz w:val="28"/>
          <w:szCs w:val="28"/>
          <w:rtl/>
        </w:rPr>
        <w:t xml:space="preserve">۵۵. قم؛ مرکز احیاء؛ شماره نسخه: ۴۴۵۲/۲</w:t>
      </w:r>
    </w:p>
    <w:p>
      <w:pPr>
        <w:pStyle w:val="BookText"/>
      </w:pPr>
      <w:r>
        <w:rPr>
          <w:rFonts w:ascii="IRNazanin" w:hAnsi="IRNazanin" w:eastAsia="IRNazanin" w:cs="IRNazanin"/>
          <w:lang w:bidi="fa-IR"/>
          <w:color w:val="111111"/>
          <w:sz w:val="28"/>
          <w:szCs w:val="28"/>
          <w:rtl/>
        </w:rPr>
        <w:t xml:space="preserve">خط: نسخ، بی کا، تا: قرن ۱۴ ؛جلد: مقوایی عطف پارچه ای  مشکی، ۲۴گ (۸۳پ- ۱۰۶ پ)، ۱۹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۲۳سم  [محدث ارموی مخ: ۱ - ۱۳۱]</w:t>
      </w:r>
    </w:p>
    <w:p>
      <w:pPr>
        <w:pStyle w:val="BookText"/>
      </w:pPr>
      <w:r>
        <w:rPr>
          <w:rFonts w:ascii="IRNazanin" w:hAnsi="IRNazanin" w:eastAsia="IRNazanin" w:cs="IRNazanin"/>
          <w:lang w:bidi="fa-IR"/>
          <w:color w:val="111111"/>
          <w:sz w:val="28"/>
          <w:szCs w:val="28"/>
          <w:rtl/>
        </w:rPr>
        <w:t xml:space="preserve">۵۶. مراغه؛ عمومی؛ شماره نسخه: ۱۹/۴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و نستعلیق، کا: میرزا قاسم بن کربلائی سرحد علی، تا: چهارشنبه ۱۹ ذیحجه ۱۳۵۲ق؛ جلد: تیماج قهوه ای مجدول، ۲۲گ،اندازه: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 ۲۳۳]</w:t>
      </w:r>
    </w:p>
    <w:p>
      <w:pPr>
        <w:pStyle w:val="BookText"/>
      </w:pPr>
      <w:r>
        <w:rPr>
          <w:rFonts w:ascii="IRNazanin" w:hAnsi="IRNazanin" w:eastAsia="IRNazanin" w:cs="IRNazanin"/>
          <w:lang w:bidi="fa-IR"/>
          <w:color w:val="111111"/>
          <w:sz w:val="28"/>
          <w:szCs w:val="28"/>
          <w:rtl/>
        </w:rPr>
        <w:t xml:space="preserve">۵۷. مشهد؛ شیخ علی حیدر؛ شماره نسخه: ۴۵۴/۶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عبدالرحيم بن ابى الحسن علوی همدانی، بی تا؛ جلد: چرم زرد ۱۸ گ (۱۸۷ پ -۲۰۴ ر)، ۲۱ سطر، اندازه: ۱۴/۵</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۲۰/۵ سم [مؤيد: ۱ - ۳۶۸]</w:t>
      </w:r>
    </w:p>
    <w:p>
      <w:pPr>
        <w:pStyle w:val="BookText"/>
      </w:pPr>
      <w:r>
        <w:rPr>
          <w:rFonts w:ascii="IRNazanin" w:hAnsi="IRNazanin" w:eastAsia="IRNazanin" w:cs="IRNazanin"/>
          <w:lang w:bidi="fa-IR"/>
          <w:color w:val="111111"/>
          <w:sz w:val="28"/>
          <w:szCs w:val="28"/>
          <w:rtl/>
        </w:rPr>
        <w:t xml:space="preserve">۵۸. مشهد؛ شیخ علی حیدر؛ شماره نسخه: ۴۷۷/۳</w:t>
      </w:r>
    </w:p>
    <w:p>
      <w:pPr>
        <w:pStyle w:val="BookText"/>
      </w:pPr>
      <w:r>
        <w:rPr>
          <w:rFonts w:ascii="IRNazanin" w:hAnsi="IRNazanin" w:eastAsia="IRNazanin" w:cs="IRNazanin"/>
          <w:lang w:bidi="fa-IR"/>
          <w:color w:val="111111"/>
          <w:sz w:val="28"/>
          <w:szCs w:val="28"/>
          <w:rtl/>
        </w:rPr>
        <w:t xml:space="preserve">بی کا، بی تا، جلد: عادی ۳۴گ (۱۲۲ر-۱۵۵پ)، اندازه: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241" w:name="pg20365_260347"/>
    <w:bookmarkEnd w:id="241"/>
    <w:p>
      <w:pPr>
        <w:pStyle w:val="BookText"/>
      </w:pPr>
      <w:r>
        <w:rPr>
          <w:rFonts w:ascii="IRNazanin" w:hAnsi="IRNazanin" w:eastAsia="IRNazanin" w:cs="IRNazanin"/>
          <w:lang w:bidi="fa-IR"/>
          <w:color w:val="111111"/>
          <w:sz w:val="28"/>
          <w:szCs w:val="28"/>
          <w:rtl/>
        </w:rPr>
        <w:t xml:space="preserve">۱۵</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۲۱سم [مؤيد: ۱ - ۳۸۵]</w:t>
      </w:r>
    </w:p>
    <w:p>
      <w:pPr>
        <w:pStyle w:val="BookText"/>
      </w:pPr>
      <w:r>
        <w:rPr>
          <w:rFonts w:ascii="IRNazanin" w:hAnsi="IRNazanin" w:eastAsia="IRNazanin" w:cs="IRNazanin"/>
          <w:lang w:bidi="fa-IR"/>
          <w:color w:val="111111"/>
          <w:sz w:val="28"/>
          <w:szCs w:val="28"/>
          <w:rtl/>
        </w:rPr>
        <w:t xml:space="preserve">۵۹ .تهران نوربخش؛ شماره نسخه: ۵۶۴/۲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بی تا؛کاغذ: فرنگی، جلد: تیماج تریاکی یک  لا،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 - ۲۱۵]</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تهران؛ دائرة المعارف؛ شماره نسخه: ۴۵۳/۹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 نسخ  پخته، بی کا، بی تا، ۲۰گ (۱۰۲ پ-۱۲۱پ) [ف: ۱-  17]</w:t>
      </w:r>
    </w:p>
    <w:p>
      <w:pPr>
        <w:pStyle w:val="BookText"/>
      </w:pPr>
      <w:r>
        <w:rPr>
          <w:rFonts w:ascii="IRNazanin" w:hAnsi="IRNazanin" w:eastAsia="IRNazanin" w:cs="IRNazanin"/>
          <w:lang w:bidi="fa-IR"/>
          <w:color w:val="111111"/>
          <w:sz w:val="28"/>
          <w:szCs w:val="28"/>
          <w:rtl/>
        </w:rPr>
        <w:t xml:space="preserve">۶۱. قم؛ مرکز مطالعات؛ شماره نسخه: ۶۱۹/۳</w:t>
      </w:r>
    </w:p>
    <w:p>
      <w:pPr>
        <w:pStyle w:val="BookText"/>
      </w:pPr>
      <w:r>
        <w:rPr>
          <w:rFonts w:ascii="Amiri" w:hAnsi="Amiri" w:eastAsia="Amiri" w:cs="Amiri"/>
          <w:lang w:bidi="ar-SA"/>
          <w:color w:val="111111"/>
          <w:sz w:val="28"/>
          <w:szCs w:val="28"/>
          <w:rtl/>
        </w:rPr>
        <w:t xml:space="preserve">آغاز: برابر؛ انجام: و لو كان لي قلب و مجال لارحت عنان الـقلم فى هذا الميدان و لأرايتك من عجايب الاسرار و غرايب الانـوار مما لا تكاد يحتمله العنان</w:t>
      </w:r>
    </w:p>
    <w:p>
      <w:pPr>
        <w:pStyle w:val="BookText"/>
      </w:pPr>
      <w:r>
        <w:rPr>
          <w:rFonts w:ascii="IRNazanin" w:hAnsi="IRNazanin" w:eastAsia="IRNazanin" w:cs="IRNazanin"/>
          <w:lang w:bidi="fa-IR"/>
          <w:color w:val="111111"/>
          <w:sz w:val="28"/>
          <w:szCs w:val="28"/>
          <w:rtl/>
        </w:rPr>
        <w:t xml:space="preserve">خط: نسخ خوانا، بی کا، بی تا ،جلد: تیماج قهوه ای ضربی مجدول ،گرهی ۳۰ (۷۳ر -۱۰۲پ) ،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۱ - ۵۲۸]</w:t>
      </w:r>
    </w:p>
    <w:p>
      <w:pPr>
        <w:pStyle w:val="BookText"/>
      </w:pPr>
      <w:r>
        <w:rPr>
          <w:rFonts w:ascii="IRNazanin" w:hAnsi="IRNazanin" w:eastAsia="IRNazanin" w:cs="IRNazanin"/>
          <w:lang w:bidi="fa-IR"/>
          <w:color w:val="111111"/>
          <w:sz w:val="28"/>
          <w:szCs w:val="28"/>
          <w:rtl/>
        </w:rPr>
        <w:t xml:space="preserve">62.شیراز؛ امام عصر؛ شماره نسخه: ۸۹/۴</w:t>
      </w:r>
    </w:p>
    <w:p>
      <w:pPr>
        <w:pStyle w:val="BookText"/>
      </w:pPr>
      <w:r>
        <w:rPr>
          <w:rFonts w:ascii="IRNazanin" w:hAnsi="IRNazanin" w:eastAsia="IRNazanin" w:cs="IRNazanin"/>
          <w:lang w:bidi="fa-IR"/>
          <w:color w:val="111111"/>
          <w:sz w:val="28"/>
          <w:szCs w:val="28"/>
          <w:rtl/>
        </w:rPr>
        <w:t xml:space="preserve">آغاز : برابر</w:t>
      </w:r>
    </w:p>
    <w:p>
      <w:pPr>
        <w:pStyle w:val="BookText"/>
      </w:pPr>
      <w:r>
        <w:rPr>
          <w:rFonts w:ascii="IRNazanin" w:hAnsi="IRNazanin" w:eastAsia="IRNazanin" w:cs="IRNazanin"/>
          <w:lang w:bidi="fa-IR"/>
          <w:color w:val="111111"/>
          <w:sz w:val="28"/>
          <w:szCs w:val="28"/>
          <w:rtl/>
        </w:rPr>
        <w:t xml:space="preserve">خط: نستعلیق، کا:محمد حسن بن محمد شفیع، بی تا، جا: کربلا؛ ۲۱گ (۱۱۴-۹۴)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۱۹/۵سم [ف: ۱ - ۹۱]</w:t>
      </w:r>
    </w:p>
    <w:p>
      <w:pPr>
        <w:pStyle w:val="BookText"/>
      </w:pPr>
      <w:r>
        <w:rPr>
          <w:rFonts w:ascii="IRNazanin" w:hAnsi="IRNazanin" w:eastAsia="IRNazanin" w:cs="IRNazanin"/>
          <w:lang w:bidi="fa-IR"/>
          <w:color w:val="111111"/>
          <w:sz w:val="28"/>
          <w:szCs w:val="28"/>
          <w:rtl/>
        </w:rPr>
        <w:t xml:space="preserve">۶۳. قم؛ مرعشی؛ شماره نسخه: ۸۷۸۸/۳</w:t>
      </w:r>
    </w:p>
    <w:p>
      <w:pPr>
        <w:pStyle w:val="BookText"/>
      </w:pPr>
      <w:r>
        <w:rPr>
          <w:rFonts w:ascii="IRNazanin" w:hAnsi="IRNazanin" w:eastAsia="IRNazanin" w:cs="IRNazanin"/>
          <w:lang w:bidi="fa-IR"/>
          <w:color w:val="111111"/>
          <w:sz w:val="28"/>
          <w:szCs w:val="28"/>
          <w:rtl/>
        </w:rPr>
        <w:t xml:space="preserve">انجام: فقام ناعيا عند قبر جده الرسول صلى الله علیه و آله فنعاه الدمع</w:t>
      </w:r>
    </w:p>
    <w:p>
      <w:pPr>
        <w:pStyle w:val="BookText"/>
      </w:pPr>
      <w:r>
        <w:rPr>
          <w:rFonts w:ascii="IRNazanin" w:hAnsi="IRNazanin" w:eastAsia="IRNazanin" w:cs="IRNazanin"/>
          <w:lang w:bidi="fa-IR"/>
          <w:color w:val="111111"/>
          <w:sz w:val="28"/>
          <w:szCs w:val="28"/>
          <w:rtl/>
        </w:rPr>
        <w:t xml:space="preserve">خط: نسخ، بی کا، بی تا؛ افتادگی: انجام؛ با چند خط؛جلد: تیماج ،مشکی، ۱۶گ (۱۱۳ر -۱۲۸(پ) ،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۲۲ - ۲</w:t>
      </w:r>
    </w:p>
    <w:p>
      <w:pPr>
        <w:pStyle w:val="BookText"/>
      </w:pPr>
      <w:r>
        <w:rPr>
          <w:rFonts w:ascii="IRNazanin" w:hAnsi="IRNazanin" w:eastAsia="IRNazanin" w:cs="IRNazanin"/>
          <w:lang w:bidi="fa-IR"/>
          <w:color w:val="111111"/>
          <w:sz w:val="28"/>
          <w:szCs w:val="28"/>
          <w:rtl/>
        </w:rPr>
        <w:t xml:space="preserve">۶۴ .قم؛ مرعشی؛ شماره نسخه: ۸۵۰۸/۶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و نستعلیق، بی کا، بی تا ،جلد: تیماج مشکی بدون مقـوا، ۲۶ گ (۱۶۸ پ - ۱۹۳ر)،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 ۲۲ - ۹۴]</w:t>
      </w:r>
    </w:p>
    <w:p>
      <w:pPr>
        <w:pStyle w:val="BookText"/>
      </w:pPr>
      <w:r>
        <w:rPr>
          <w:rFonts w:ascii="IRNazanin" w:hAnsi="IRNazanin" w:eastAsia="IRNazanin" w:cs="IRNazanin"/>
          <w:lang w:bidi="fa-IR"/>
          <w:color w:val="111111"/>
          <w:sz w:val="28"/>
          <w:szCs w:val="28"/>
          <w:rtl/>
        </w:rPr>
        <w:t xml:space="preserve">65.تهران؛ ملی؛ شماره نسخه: ۷۰۵۲</w:t>
      </w:r>
    </w:p>
    <w:p>
      <w:pPr>
        <w:pStyle w:val="BookText"/>
      </w:pPr>
      <w:r>
        <w:rPr>
          <w:rFonts w:ascii="IRNazanin" w:hAnsi="IRNazanin" w:eastAsia="IRNazanin" w:cs="IRNazanin"/>
          <w:lang w:bidi="fa-IR"/>
          <w:color w:val="111111"/>
          <w:sz w:val="28"/>
          <w:szCs w:val="28"/>
          <w:rtl/>
        </w:rPr>
        <w:t xml:space="preserve">خط: نستعلیق و نسخ، بی کا، بی تا؛ محشی؛ اهدایی: آقای بینا؛کاغذ: فرنگی حنایی، ۱۷گ (۱۴۹پ - ۱۶۵پ)، ۱۹) سطر (6</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،اندازه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۱۷/۷سم [رایانه ]</w:t>
      </w:r>
    </w:p>
    <w:p>
      <w:pPr>
        <w:pStyle w:val="BookText"/>
      </w:pPr>
      <w:r>
        <w:rPr>
          <w:rFonts w:ascii="IRNazanin" w:hAnsi="IRNazanin" w:eastAsia="IRNazanin" w:cs="IRNazanin"/>
          <w:lang w:bidi="fa-IR"/>
          <w:color w:val="111111"/>
          <w:sz w:val="28"/>
          <w:szCs w:val="28"/>
          <w:rtl/>
        </w:rPr>
        <w:t xml:space="preserve">۶۶. قم؛ گلپایگانی؛ شماره نسخه: ۲۳۴۷/۳-۱۳/۲۷</w:t>
      </w:r>
    </w:p>
    <w:p>
      <w:pPr>
        <w:pStyle w:val="BookText"/>
      </w:pPr>
      <w:r>
        <w:rPr>
          <w:rFonts w:ascii="IRNazanin" w:hAnsi="IRNazanin" w:eastAsia="IRNazanin" w:cs="IRNazanin"/>
          <w:lang w:bidi="fa-IR"/>
          <w:color w:val="111111"/>
          <w:sz w:val="28"/>
          <w:szCs w:val="28"/>
          <w:rtl/>
        </w:rPr>
        <w:t xml:space="preserve">آغاز: برابر؛ انجام: ترکت ذکرها و بيانها لتهجم الامراض والاعراض و اسماعيل عليه السلام كان له اغنا ما و هى ترعى لشاطی الفرات فاخبره الراعى انها لاتشرب.</w:t>
      </w:r>
    </w:p>
    <w:p>
      <w:pPr>
        <w:pStyle w:val="BookText"/>
      </w:pPr>
      <w:r>
        <w:rPr>
          <w:rFonts w:ascii="IRNazanin" w:hAnsi="IRNazanin" w:eastAsia="IRNazanin" w:cs="IRNazanin"/>
          <w:lang w:bidi="fa-IR"/>
          <w:color w:val="111111"/>
          <w:sz w:val="28"/>
          <w:szCs w:val="28"/>
          <w:rtl/>
        </w:rPr>
        <w:t xml:space="preserve">خط:نسنعلیق،شکستهر،بی کا، بی تا؛ افتادگی: انجام ؛جلد: تیماج  قهوه ای، ۱۴گ، ۱۵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 - ۳۴۳]</w:t>
      </w:r>
    </w:p>
    <w:p>
      <w:pPr>
        <w:pStyle w:val="BookText"/>
      </w:pPr>
      <w:r>
        <w:rPr>
          <w:rFonts w:ascii="IRNazanin" w:hAnsi="IRNazanin" w:eastAsia="IRNazanin" w:cs="IRNazanin"/>
          <w:lang w:bidi="fa-IR"/>
          <w:color w:val="111111"/>
          <w:sz w:val="28"/>
          <w:szCs w:val="28"/>
          <w:rtl/>
        </w:rPr>
        <w:t xml:space="preserve">۶۷. قم؛ مسجد اعظم؛ شماره نسخه: ۴۷۹/۳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جلد: تیماج قهوه ای مجدول گرهی، ۲۱ گ، ۱۷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مخ: ۱ - ۱۴۵]</w:t>
      </w:r>
    </w:p>
    <w:p>
      <w:pPr>
        <w:pStyle w:val="BookText"/>
      </w:pPr>
      <w:r>
        <w:rPr>
          <w:rFonts w:ascii="IRNazanin" w:hAnsi="IRNazanin" w:eastAsia="IRNazanin" w:cs="IRNazanin"/>
          <w:lang w:bidi="fa-IR"/>
          <w:color w:val="111111"/>
          <w:sz w:val="28"/>
          <w:szCs w:val="28"/>
          <w:rtl/>
        </w:rPr>
        <w:t xml:space="preserve">۶۸. خوی؛ نمازی؛ شماره نسخه: ۷۸۲/۱</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بی کا، بی تا؛ ۱۸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۴۲۰]</w:t>
      </w:r>
    </w:p>
    <w:p>
      <w:pPr>
        <w:pStyle w:val="BookText"/>
      </w:pPr>
      <w:r>
        <w:rPr>
          <w:rFonts w:ascii="IRNazanin" w:hAnsi="IRNazanin" w:eastAsia="IRNazanin" w:cs="IRNazanin"/>
          <w:lang w:bidi="fa-IR"/>
          <w:color w:val="111111"/>
          <w:sz w:val="28"/>
          <w:szCs w:val="28"/>
          <w:rtl/>
        </w:rPr>
        <w:t xml:space="preserve">۶۹. مشهد؛ ادبیات؛ شماره نسخه: ۲۵/۱ فرخ</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و نستعلیق، کا: حسین بن علی اكبر اصفهانی، بی تا، جا: نجف اشرف؛ كاغذ الوان؛ جلد: تيماج لایه ای مشکی، قطع: خشتی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۱۹۷]</w:t>
      </w:r>
    </w:p>
    <w:p>
      <w:pPr>
        <w:pStyle w:val="Heading3"/>
      </w:pPr>
      <w:bookmarkStart w:id="1348" w:name="_Toc870"/>
      <w:r>
        <w:t>اسرار الشهادة (ترجمه) / کلام و اعتقادات / فارسی</w:t>
      </w:r>
      <w:bookmarkEnd w:id="1348"/>
    </w:p>
    <w:p>
      <w:pPr>
        <w:pStyle w:val="BookText"/>
      </w:pPr>
      <w:r>
        <w:rPr>
          <w:rFonts w:ascii="Times New Roman" w:hAnsi="Times New Roman" w:eastAsia="Times New Roman" w:cs="Times New Roman"/>
          <w:lang w:val="en-US" w:bidi="en-US"/>
          <w:color w:val="111111"/>
          <w:sz w:val="28"/>
          <w:szCs w:val="28"/>
          <w:rtl/>
        </w:rPr>
        <w:t xml:space="preserve">(asrār-uš šahāda (t.)</w:t>
      </w:r>
    </w:p>
    <w:p>
      <w:pPr>
        <w:pStyle w:val="BookText"/>
      </w:pPr>
      <w:r>
        <w:rPr>
          <w:rFonts w:ascii="IRNazanin" w:hAnsi="IRNazanin" w:eastAsia="IRNazanin" w:cs="IRNazanin"/>
          <w:lang w:bidi="fa-IR"/>
          <w:color w:val="111111"/>
          <w:sz w:val="28"/>
          <w:szCs w:val="28"/>
          <w:rtl/>
        </w:rPr>
        <w:t xml:space="preserve">طباطبائی، حسین ق۱۳ قمری</w:t>
      </w:r>
    </w:p>
    <w:p>
      <w:pPr>
        <w:pStyle w:val="BookText"/>
      </w:pPr>
      <w:r>
        <w:rPr>
          <w:rFonts w:ascii="Times New Roman" w:hAnsi="Times New Roman" w:eastAsia="Times New Roman" w:cs="Times New Roman"/>
          <w:lang w:val="en-US" w:bidi="en-US"/>
          <w:color w:val="111111"/>
          <w:sz w:val="28"/>
          <w:szCs w:val="28"/>
          <w:rtl/>
        </w:rPr>
        <w:t xml:space="preserve">(tabataba't, hoseyn (- 19c)</w:t>
      </w:r>
    </w:p>
    <w:p>
      <w:pPr>
        <w:pStyle w:val="BookText"/>
      </w:pPr>
      <w:r>
        <w:rPr>
          <w:rFonts w:ascii="Amiri" w:hAnsi="Amiri" w:eastAsia="Amiri" w:cs="Amiri"/>
          <w:lang w:bidi="ar-SA"/>
          <w:color w:val="111111"/>
          <w:sz w:val="28"/>
          <w:szCs w:val="28"/>
          <w:rtl/>
        </w:rPr>
        <w:t xml:space="preserve">وابسته به: اسرار الشهادة  =  سر الحقيقة في وقعة الطفوف  =  سر  الشهادة ،رشتى كاظم بن قاسم (۱۲۱۲-۱۲۵۹)</w:t>
      </w:r>
    </w:p>
    <w:p>
      <w:pPr>
        <w:pStyle w:val="BookText"/>
      </w:pPr>
      <w:r>
        <w:rPr>
          <w:rFonts w:ascii="IRNazanin" w:hAnsi="IRNazanin" w:eastAsia="IRNazanin" w:cs="IRNazanin"/>
          <w:lang w:bidi="fa-IR"/>
          <w:color w:val="111111"/>
          <w:sz w:val="28"/>
          <w:szCs w:val="28"/>
          <w:rtl/>
        </w:rPr>
        <w:t xml:space="preserve">ترجمه تحت اللفظى روان و شیوایی است از کتاب «اسرار الشهادة» سيد كاظمی رشتی که به خواهش یکی از دوستان نگاشته شده است.</w:t>
      </w:r>
    </w:p>
    <w:p>
      <w:pPr>
        <w:pStyle w:val="BookText"/>
      </w:pPr>
      <w:r>
        <w:rPr>
          <w:rFonts w:ascii="IRNazanin" w:hAnsi="IRNazanin" w:eastAsia="IRNazanin" w:cs="IRNazanin"/>
          <w:lang w:bidi="fa-IR"/>
          <w:color w:val="111111"/>
          <w:sz w:val="28"/>
          <w:szCs w:val="28"/>
          <w:rtl/>
        </w:rPr>
        <w:t xml:space="preserve">مشهد؛ رضوی؛ شماره نسخه: ۲۷۵۵۰</w:t>
      </w:r>
    </w:p>
    <w:p>
      <w:pPr>
        <w:pStyle w:val="BookText"/>
      </w:pPr>
      <w:r>
        <w:rPr>
          <w:rFonts w:ascii="IRNazanin" w:hAnsi="IRNazanin" w:eastAsia="IRNazanin" w:cs="IRNazanin"/>
          <w:lang w:bidi="fa-IR"/>
          <w:color w:val="111111"/>
          <w:sz w:val="28"/>
          <w:szCs w:val="28"/>
          <w:rtl/>
        </w:rPr>
        <w:t xml:space="preserve">آغاز: حمدله اما بعد چنین گوید زاویه نشین گوشه تنهایی سید حسن طباطبائی که یکی از دوستان که رسم اخوت داشت؛ انجام: ،موجود و انا السبط الذى من غير جرم قتلونى ليتكم في يوم عاشورا جميعا تنظرونی</w:t>
      </w:r>
    </w:p>
    <w:p>
      <w:pPr>
        <w:pStyle w:val="BookText"/>
      </w:pPr>
      <w:r>
        <w:rPr>
          <w:rFonts w:ascii="IRNazanin" w:hAnsi="IRNazanin" w:eastAsia="IRNazanin" w:cs="IRNazanin"/>
          <w:lang w:bidi="fa-IR"/>
          <w:color w:val="111111"/>
          <w:sz w:val="28"/>
          <w:szCs w:val="28"/>
          <w:rtl/>
        </w:rPr>
        <w:t xml:space="preserve">خط: نسخ، بی کا، تا: قرن ۱۳؛ اوراق افتادگی دارد؛ ضمیمه نسخه ش ۲۷۵۴۹؛ کاغذ: شکری آهار مهره، جلد: تیماج مشکی یک لا،  63 گ، ۱۰ سطر، 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۲۶ - ۸۶]</w:t>
      </w:r>
    </w:p>
    <w:p>
      <w:pPr>
        <w:pStyle w:val="Heading3"/>
      </w:pPr>
      <w:bookmarkStart w:id="1349" w:name="_Toc871"/>
      <w:r>
        <w:t>اسرار الشهادة (ترجمه) / تاریخ / فارسی</w:t>
      </w:r>
      <w:bookmarkEnd w:id="1349"/>
    </w:p>
    <w:p>
      <w:pPr>
        <w:pStyle w:val="BookText"/>
      </w:pPr>
      <w:r>
        <w:rPr>
          <w:rFonts w:ascii="Times New Roman" w:hAnsi="Times New Roman" w:eastAsia="Times New Roman" w:cs="Times New Roman"/>
          <w:lang w:val="en-US" w:bidi="en-US"/>
          <w:color w:val="111111"/>
          <w:sz w:val="28"/>
          <w:szCs w:val="28"/>
          <w:rtl/>
        </w:rPr>
        <w:t xml:space="preserve">asrār-uš šahāda (t.)</w:t>
      </w:r>
    </w:p>
    <w:p>
      <w:pPr>
        <w:pStyle w:val="BookText"/>
      </w:pPr>
      <w:r>
        <w:rPr>
          <w:rFonts w:ascii="IRNazanin" w:hAnsi="IRNazanin" w:eastAsia="IRNazanin" w:cs="IRNazanin"/>
          <w:lang w:bidi="fa-IR"/>
          <w:color w:val="111111"/>
          <w:sz w:val="28"/>
          <w:szCs w:val="28"/>
          <w:rtl/>
        </w:rPr>
        <w:t xml:space="preserve">مراغی، حسن بن محمد باقر</w:t>
      </w:r>
    </w:p>
    <w:p>
      <w:pPr>
        <w:pStyle w:val="BookText"/>
      </w:pPr>
      <w:r>
        <w:rPr>
          <w:rFonts w:ascii="Times New Roman" w:hAnsi="Times New Roman" w:eastAsia="Times New Roman" w:cs="Times New Roman"/>
          <w:lang w:val="en-US" w:bidi="en-US"/>
          <w:color w:val="111111"/>
          <w:sz w:val="28"/>
          <w:szCs w:val="28"/>
          <w:rtl/>
        </w:rPr>
        <w:t xml:space="preserve">marāqī, hasan ebn-e mohammad bāqer</w:t>
      </w:r>
    </w:p>
    <w:p>
      <w:pPr>
        <w:pStyle w:val="BookText"/>
      </w:pPr>
      <w:r>
        <w:rPr>
          <w:rFonts w:ascii="Amiri" w:hAnsi="Amiri" w:eastAsia="Amiri" w:cs="Amiri"/>
          <w:lang w:bidi="ar-SA"/>
          <w:color w:val="111111"/>
          <w:sz w:val="28"/>
          <w:szCs w:val="28"/>
          <w:rtl/>
        </w:rPr>
        <w:t xml:space="preserve">وابسته به: اسرار الشهادة = سر الحقيقة في وقعة الطفوف=سر الشهادة ،رشتى كاظم بن قاسم (۱۲۱۲-۱۲۵۹)</w:t>
      </w:r>
    </w:p>
    <w:p>
      <w:pPr>
        <w:pStyle w:val="BookText"/>
      </w:pPr>
      <w:r>
        <w:rPr>
          <w:rFonts w:ascii="IRNazanin" w:hAnsi="IRNazanin" w:eastAsia="IRNazanin" w:cs="IRNazanin"/>
          <w:lang w:bidi="fa-IR"/>
          <w:color w:val="111111"/>
          <w:sz w:val="28"/>
          <w:szCs w:val="28"/>
          <w:rtl/>
        </w:rPr>
        <w:t xml:space="preserve">ترجمه ای است از «اسرار الشهادة» سيد كاظم رشتی که پس از  ترجمه ای آن را به سید نشان داده و مورد پسند واقع شده است و سید او را امر به ترجمه الحجة البالغه خود نموده است تذکر از آنجا که فهرست نگار محترم، مترجم شماره ۳ و ۴ مجموعه ای که نسخه در آن قرار دارد را یکی میداند و نام مترجم شماره ۴ به قرینه آغاز معلوم ،گشت نام مؤلف این کتاب نیز روشن شد.</w:t>
      </w:r>
    </w:p>
    <w:p>
      <w:pPr>
        <w:pStyle w:val="BookText"/>
      </w:pPr>
      <w:r>
        <w:rPr>
          <w:rFonts w:ascii="IRNazanin" w:hAnsi="IRNazanin" w:eastAsia="IRNazanin" w:cs="IRNazanin"/>
          <w:lang w:bidi="fa-IR"/>
          <w:color w:val="111111"/>
          <w:sz w:val="28"/>
          <w:szCs w:val="28"/>
          <w:rtl/>
        </w:rPr>
        <w:t xml:space="preserve">تهران؛ مجلس؛ شماره نسخه: ۶۸۳۳/۳</w:t>
      </w:r>
    </w:p>
    <w:p>
      <w:pPr>
        <w:pStyle w:val="BookText"/>
      </w:pPr>
      <w:r>
        <w:rPr>
          <w:rFonts w:ascii="IRNazanin" w:hAnsi="IRNazanin" w:eastAsia="IRNazanin" w:cs="IRNazanin"/>
          <w:lang w:bidi="fa-IR"/>
          <w:color w:val="111111"/>
          <w:sz w:val="28"/>
          <w:szCs w:val="28"/>
          <w:rtl/>
        </w:rPr>
        <w:t xml:space="preserve">آغاز: حمد و ثنائی که فوایح اخلاص و اختصاصش فیض اثمار جنت المأوى محبت و طیب ازهار سدرة المنتهای مودت گردد. .</w:t>
      </w:r>
    </w:p>
    <w:p>
      <w:pPr>
        <w:pStyle w:val="BookText"/>
      </w:pPr>
      <w:r>
        <w:rPr>
          <w:rFonts w:ascii="IRNazanin" w:hAnsi="IRNazanin" w:eastAsia="IRNazanin" w:cs="IRNazanin"/>
          <w:lang w:bidi="fa-IR"/>
          <w:color w:val="111111"/>
          <w:sz w:val="28"/>
          <w:szCs w:val="28"/>
          <w:rtl/>
        </w:rPr>
        <w:t xml:space="preserve">انجام: دل نتواند او را متحمل شود و همین قدر کفایت شد از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242" w:name="pg20365_260348"/>
    <w:bookmarkEnd w:id="242"/>
    <w:p>
      <w:pPr>
        <w:pStyle w:val="BookText"/>
      </w:pPr>
      <w:r>
        <w:rPr>
          <w:rFonts w:ascii="IRNazanin" w:hAnsi="IRNazanin" w:eastAsia="IRNazanin" w:cs="IRNazanin"/>
          <w:lang w:bidi="fa-IR"/>
          <w:color w:val="111111"/>
          <w:sz w:val="28"/>
          <w:szCs w:val="28"/>
          <w:rtl/>
        </w:rPr>
        <w:t xml:space="preserve">برای اهل درایت و صلى الله علی محمد و آله الطاهرين</w:t>
      </w:r>
    </w:p>
    <w:p>
      <w:pPr>
        <w:pStyle w:val="BookText"/>
      </w:pPr>
      <w:r>
        <w:rPr>
          <w:rFonts w:ascii="IRNazanin" w:hAnsi="IRNazanin" w:eastAsia="IRNazanin" w:cs="IRNazanin"/>
          <w:lang w:bidi="fa-IR"/>
          <w:color w:val="111111"/>
          <w:sz w:val="28"/>
          <w:szCs w:val="28"/>
          <w:rtl/>
        </w:rPr>
        <w:t xml:space="preserve">بی کا، تا: دوشنبه از ربیع الاول ۱۲۸۵ق؛ جلد: تیماج مشكـی، ۷۴گ (۹۴پ-۱۶۷پ) ،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۱۷/۵سم [ف: ۲ - ۲۹۴]</w:t>
      </w:r>
    </w:p>
    <w:p>
      <w:pPr>
        <w:pStyle w:val="Heading3"/>
      </w:pPr>
      <w:bookmarkStart w:id="1350" w:name="_Toc872"/>
      <w:r>
        <w:t>اسرار الشهادة = اكسير العبادات في اسرار  الشهادات / تاریخ معصومین / عربی</w:t>
      </w:r>
      <w:bookmarkEnd w:id="1350"/>
    </w:p>
    <w:p>
      <w:pPr>
        <w:pStyle w:val="BookText"/>
      </w:pPr>
      <w:r>
        <w:rPr>
          <w:rFonts w:ascii="Times New Roman" w:hAnsi="Times New Roman" w:eastAsia="Times New Roman" w:cs="Times New Roman"/>
          <w:lang w:val="en-US" w:bidi="en-US"/>
          <w:color w:val="111111"/>
          <w:sz w:val="28"/>
          <w:szCs w:val="28"/>
          <w:rtl/>
        </w:rPr>
        <w:t xml:space="preserve">asrār-uš šahāda = iksīr-ul ‘ibādāt fī asrār-uš šahādāt</w:t>
      </w:r>
    </w:p>
    <w:p>
      <w:pPr>
        <w:pStyle w:val="BookText"/>
      </w:pPr>
      <w:r>
        <w:rPr>
          <w:rFonts w:ascii="IRNazanin" w:hAnsi="IRNazanin" w:eastAsia="IRNazanin" w:cs="IRNazanin"/>
          <w:lang w:bidi="fa-IR"/>
          <w:color w:val="111111"/>
          <w:sz w:val="28"/>
          <w:szCs w:val="28"/>
          <w:rtl/>
        </w:rPr>
        <w:t xml:space="preserve">دربندی، آقا بن  عابد - ۱۲۸۵ قمری</w:t>
      </w:r>
    </w:p>
    <w:p>
      <w:pPr>
        <w:pStyle w:val="BookText"/>
      </w:pPr>
      <w:r>
        <w:rPr>
          <w:rFonts w:ascii="Times New Roman" w:hAnsi="Times New Roman" w:eastAsia="Times New Roman" w:cs="Times New Roman"/>
          <w:lang w:val="en-US" w:bidi="en-US"/>
          <w:color w:val="111111"/>
          <w:sz w:val="28"/>
          <w:szCs w:val="28"/>
          <w:rtl/>
        </w:rPr>
        <w:t xml:space="preserve">(darbandī, āqā ben ‘ābed (- 1869)</w:t>
      </w:r>
    </w:p>
    <w:p>
      <w:pPr>
        <w:pStyle w:val="BookText"/>
      </w:pPr>
      <w:r>
        <w:rPr>
          <w:rFonts w:ascii="IRNazanin" w:hAnsi="IRNazanin" w:eastAsia="IRNazanin" w:cs="IRNazanin"/>
          <w:lang w:bidi="fa-IR"/>
          <w:color w:val="111111"/>
          <w:sz w:val="28"/>
          <w:szCs w:val="28"/>
          <w:rtl/>
        </w:rPr>
        <w:t xml:space="preserve">تاریخ تالیف: جمعه نیمه ذیقعده ۱۲۷۲ق</w:t>
      </w:r>
    </w:p>
    <w:p>
      <w:pPr>
        <w:pStyle w:val="BookText"/>
      </w:pPr>
      <w:r>
        <w:rPr>
          <w:rFonts w:ascii="IRNazanin" w:hAnsi="IRNazanin" w:eastAsia="IRNazanin" w:cs="IRNazanin"/>
          <w:lang w:bidi="fa-IR"/>
          <w:color w:val="111111"/>
          <w:sz w:val="28"/>
          <w:szCs w:val="28"/>
          <w:rtl/>
        </w:rPr>
        <w:t xml:space="preserve">کتابی در زندگی معصومین که عمده آن به حوادث کربلا اختصاص دارد دارای ۱۲ «مقدمه» و ۴۴ «مجلس» و «تذييل» «خاتمه» است آن را در مدت ۱۸ ماه تالیف کرد محدث نور در کتاب «لؤلؤ و مرجان» خود ایرادات سختی بر این کتاب گرفته است.</w:t>
      </w:r>
    </w:p>
    <w:p>
      <w:pPr>
        <w:pStyle w:val="BookText"/>
      </w:pPr>
      <w:r>
        <w:rPr>
          <w:rFonts w:ascii="Amiri" w:hAnsi="Amiri" w:eastAsia="Amiri" w:cs="Amiri"/>
          <w:lang w:bidi="ar-SA"/>
          <w:color w:val="111111"/>
          <w:sz w:val="28"/>
          <w:szCs w:val="28"/>
          <w:rtl/>
        </w:rPr>
        <w:t xml:space="preserve">آغاز: بسمله، الحمد لله الذى جعل المعارف الالهيه و الاعتقادا الحقانيه اشرف</w:t>
      </w:r>
    </w:p>
    <w:p>
      <w:pPr>
        <w:pStyle w:val="BookText"/>
      </w:pPr>
      <w:r>
        <w:rPr>
          <w:rFonts w:ascii="Amiri" w:hAnsi="Amiri" w:eastAsia="Amiri" w:cs="Amiri"/>
          <w:lang w:bidi="ar-SA"/>
          <w:color w:val="111111"/>
          <w:sz w:val="28"/>
          <w:szCs w:val="28"/>
          <w:rtl/>
        </w:rPr>
        <w:t xml:space="preserve">انجام: و منافقهم من الجن و الانس من الأولين والآخرين و  لا سيما على من اسس اساس الظلم عليهم آمين آمين.</w:t>
      </w:r>
    </w:p>
    <w:p>
      <w:pPr>
        <w:pStyle w:val="BookText"/>
      </w:pPr>
      <w:r>
        <w:rPr>
          <w:rFonts w:ascii="IRNazanin" w:hAnsi="IRNazanin" w:eastAsia="IRNazanin" w:cs="IRNazanin"/>
          <w:lang w:bidi="fa-IR"/>
          <w:color w:val="111111"/>
          <w:sz w:val="28"/>
          <w:szCs w:val="28"/>
          <w:rtl/>
        </w:rPr>
        <w:t xml:space="preserve">چاپ: بارها به چاپ رسیده است از جمله،تهران ،سنگی ۹۴ تهران، الاعلمی بی تا ،تبریز ،سنگی دارالطباعه در السلطنه ۱۲۷۹ .</w:t>
      </w:r>
    </w:p>
    <w:p>
      <w:pPr>
        <w:pStyle w:val="BookText"/>
      </w:pPr>
      <w:r>
        <w:rPr>
          <w:rFonts w:ascii="Amiri" w:hAnsi="Amiri" w:eastAsia="Amiri" w:cs="Amiri"/>
          <w:lang w:bidi="ar-SA"/>
          <w:color w:val="111111"/>
          <w:sz w:val="28"/>
          <w:szCs w:val="28"/>
          <w:rtl/>
        </w:rPr>
        <w:t xml:space="preserve">[الذريعة ٢٧٩/٢]</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IRNazanin" w:hAnsi="IRNazanin" w:eastAsia="IRNazanin" w:cs="IRNazanin"/>
          <w:lang w:bidi="fa-IR"/>
          <w:color w:val="111111"/>
          <w:sz w:val="28"/>
          <w:szCs w:val="28"/>
          <w:rtl/>
        </w:rPr>
        <w:t xml:space="preserve">۱- سعادات ناصریه و اقوات روحانیه - سعادت ناصری - ترجمه  اکسیر العباده ،دربندی آقا بن عابد (-۱۲۸۵)</w:t>
      </w:r>
    </w:p>
    <w:p>
      <w:pPr>
        <w:pStyle w:val="BookText"/>
      </w:pPr>
      <w:r>
        <w:rPr>
          <w:rFonts w:ascii="IRNazanin" w:hAnsi="IRNazanin" w:eastAsia="IRNazanin" w:cs="IRNazanin"/>
          <w:lang w:bidi="fa-IR"/>
          <w:color w:val="111111"/>
          <w:sz w:val="28"/>
          <w:szCs w:val="28"/>
          <w:rtl/>
        </w:rPr>
        <w:t xml:space="preserve">۲ -رضوان بارفروشی، عبدالجلیل بن محمد رفیع (-۱۴)</w:t>
      </w:r>
    </w:p>
    <w:p>
      <w:pPr>
        <w:pStyle w:val="BookText"/>
      </w:pPr>
      <w:r>
        <w:rPr>
          <w:rFonts w:ascii="IRNazanin" w:hAnsi="IRNazanin" w:eastAsia="IRNazanin" w:cs="IRNazanin"/>
          <w:lang w:bidi="fa-IR"/>
          <w:color w:val="111111"/>
          <w:sz w:val="28"/>
          <w:szCs w:val="28"/>
          <w:rtl/>
        </w:rPr>
        <w:t xml:space="preserve">1.تهران؛ ملی؛ شماره نسخه ۴۷۰</w:t>
      </w:r>
    </w:p>
    <w:p>
      <w:pPr>
        <w:pStyle w:val="BookText"/>
      </w:pPr>
      <w:r>
        <w:rPr>
          <w:rFonts w:ascii="Amiri" w:hAnsi="Amiri" w:eastAsia="Amiri" w:cs="Amiri"/>
          <w:lang w:bidi="ar-SA"/>
          <w:color w:val="111111"/>
          <w:sz w:val="28"/>
          <w:szCs w:val="28"/>
          <w:rtl/>
        </w:rPr>
        <w:t xml:space="preserve">آغاز :المجلس التاسع من اكسير العبادات في اسرار الشهادات شهاده ؛انجام: برابر</w:t>
      </w:r>
    </w:p>
    <w:p>
      <w:pPr>
        <w:pStyle w:val="BookText"/>
      </w:pPr>
      <w:r>
        <w:rPr>
          <w:rFonts w:ascii="IRNazanin" w:hAnsi="IRNazanin" w:eastAsia="IRNazanin" w:cs="IRNazanin"/>
          <w:lang w:bidi="fa-IR"/>
          <w:color w:val="111111"/>
          <w:sz w:val="28"/>
          <w:szCs w:val="28"/>
          <w:rtl/>
        </w:rPr>
        <w:t xml:space="preserve">خط: نسخ، بی کا، تا: قرن ۱۲؛ افتادگی: آغاز؛ کاغذ: فرنگی، تیماج عنابی ضربی ،مقوایی ۴۲۲گ ۲۰ سطر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۲۶/۵سم [ف: ۷ - ۳۹۲]</w:t>
      </w:r>
    </w:p>
    <w:p>
      <w:pPr>
        <w:pStyle w:val="BookText"/>
      </w:pPr>
      <w:r>
        <w:rPr>
          <w:rFonts w:ascii="IRNazanin" w:hAnsi="IRNazanin" w:eastAsia="IRNazanin" w:cs="IRNazanin"/>
          <w:lang w:bidi="fa-IR"/>
          <w:color w:val="111111"/>
          <w:sz w:val="28"/>
          <w:szCs w:val="28"/>
          <w:rtl/>
        </w:rPr>
        <w:t xml:space="preserve">۲. تهران؛ ملی؛ شماره نسخه: ۴۸۸</w:t>
      </w:r>
    </w:p>
    <w:p>
      <w:pPr>
        <w:pStyle w:val="BookText"/>
      </w:pPr>
      <w:r>
        <w:rPr>
          <w:rFonts w:ascii="IRNazanin" w:hAnsi="IRNazanin" w:eastAsia="IRNazanin" w:cs="IRNazanin"/>
          <w:lang w:bidi="fa-IR"/>
          <w:color w:val="111111"/>
          <w:sz w:val="28"/>
          <w:szCs w:val="28"/>
          <w:rtl/>
        </w:rPr>
        <w:t xml:space="preserve">آغاز: برابر؛ انجام: و اصحابه ... یزید بن معاويه ... و لعن</w:t>
      </w:r>
    </w:p>
    <w:p>
      <w:pPr>
        <w:pStyle w:val="BookText"/>
      </w:pPr>
      <w:r>
        <w:rPr>
          <w:rFonts w:ascii="IRNazanin" w:hAnsi="IRNazanin" w:eastAsia="IRNazanin" w:cs="IRNazanin"/>
          <w:lang w:bidi="fa-IR"/>
          <w:color w:val="111111"/>
          <w:sz w:val="28"/>
          <w:szCs w:val="28"/>
          <w:rtl/>
        </w:rPr>
        <w:t xml:space="preserve">جلد اول؛ خط: نسخ، بی کا، تا: قرن ۱۳؛ افتادگی: آغاز؛ کاغذ: فرنگی، جلد: تیماج  سرخ ،۴۰۶گ، ۲۰ سطر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۲۶/۵سم [ف: ۷ - ۴۰۸]</w:t>
      </w:r>
    </w:p>
    <w:p>
      <w:pPr>
        <w:pStyle w:val="BookText"/>
      </w:pPr>
      <w:r>
        <w:rPr>
          <w:rFonts w:ascii="IRNazanin" w:hAnsi="IRNazanin" w:eastAsia="IRNazanin" w:cs="IRNazanin"/>
          <w:lang w:bidi="fa-IR"/>
          <w:color w:val="111111"/>
          <w:sz w:val="28"/>
          <w:szCs w:val="28"/>
          <w:rtl/>
        </w:rPr>
        <w:t xml:space="preserve">3.تهران؛ مجلس؛ شماره نسخه: ۱۶۵۰۴</w:t>
      </w:r>
    </w:p>
    <w:p>
      <w:pPr>
        <w:pStyle w:val="BookText"/>
      </w:pPr>
      <w:r>
        <w:rPr>
          <w:rFonts w:ascii="IRNazanin" w:hAnsi="IRNazanin" w:eastAsia="IRNazanin" w:cs="IRNazanin"/>
          <w:lang w:bidi="fa-IR"/>
          <w:color w:val="111111"/>
          <w:sz w:val="28"/>
          <w:szCs w:val="28"/>
          <w:rtl/>
        </w:rPr>
        <w:t xml:space="preserve">بی  کا، تا: قرن ۱۳؛ قطع: وزیری کوچک [د.ث. مجلس]</w:t>
      </w:r>
    </w:p>
    <w:p>
      <w:pPr>
        <w:pStyle w:val="BookText"/>
      </w:pPr>
      <w:r>
        <w:rPr>
          <w:rFonts w:ascii="IRNazanin" w:hAnsi="IRNazanin" w:eastAsia="IRNazanin" w:cs="IRNazanin"/>
          <w:lang w:bidi="fa-IR"/>
          <w:color w:val="111111"/>
          <w:sz w:val="28"/>
          <w:szCs w:val="28"/>
          <w:rtl/>
        </w:rPr>
        <w:t xml:space="preserve">۴. مشهد؛ شیخ علی حیدر؛ شماره نسخه ۱۷۳</w:t>
      </w:r>
    </w:p>
    <w:p>
      <w:pPr>
        <w:pStyle w:val="BookText"/>
      </w:pPr>
      <w:r>
        <w:rPr>
          <w:rFonts w:ascii="IRNazanin" w:hAnsi="IRNazanin" w:eastAsia="IRNazanin" w:cs="IRNazanin"/>
          <w:lang w:bidi="fa-IR"/>
          <w:color w:val="111111"/>
          <w:sz w:val="28"/>
          <w:szCs w:val="28"/>
          <w:rtl/>
        </w:rPr>
        <w:t xml:space="preserve">آغاز: المجلس . من اكسير العبادات فى اسرار الشهادات  فی شهادة القاسم انجام برابر</w:t>
      </w:r>
    </w:p>
    <w:p>
      <w:pPr>
        <w:pStyle w:val="BookText"/>
      </w:pPr>
      <w:r>
        <w:rPr>
          <w:rFonts w:ascii="IRNazanin" w:hAnsi="IRNazanin" w:eastAsia="IRNazanin" w:cs="IRNazanin"/>
          <w:lang w:bidi="fa-IR"/>
          <w:color w:val="111111"/>
          <w:sz w:val="28"/>
          <w:szCs w:val="28"/>
          <w:rtl/>
        </w:rPr>
        <w:t xml:space="preserve">از مجلس شهادة قاسم (علیه السّلام) آغاز شده؛ خط: نسخ، كا: احمد بن شیخ حسن و یسین، تا: سه شنبه ۲۲ رمضان ۱۲۷۵ق؛ افتادگی: آغاز؛ مصحح، دارای بلاغ؛ کاغذ: فرنگی نباتی آهار مهره، جلد: چرم سیاه، ۲۷۹گ، ۲۲ ،سطر،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[مؤید: ۱ -۱۷۰]</w:t>
      </w:r>
    </w:p>
    <w:p>
      <w:pPr>
        <w:pStyle w:val="BookText"/>
      </w:pPr>
      <w:r>
        <w:rPr>
          <w:rFonts w:ascii="IRNazanin" w:hAnsi="IRNazanin" w:eastAsia="IRNazanin" w:cs="IRNazanin"/>
          <w:lang w:bidi="fa-IR"/>
          <w:color w:val="111111"/>
          <w:sz w:val="28"/>
          <w:szCs w:val="28"/>
          <w:rtl/>
        </w:rPr>
        <w:t xml:space="preserve">۵. مشهد؛ رضوی؛ شماره نسخه: ۳۷۲۲۹</w:t>
      </w:r>
    </w:p>
    <w:p>
      <w:pPr>
        <w:pStyle w:val="BookText"/>
      </w:pPr>
      <w:r>
        <w:rPr>
          <w:rFonts w:ascii="IRNazanin" w:hAnsi="IRNazanin" w:eastAsia="IRNazanin" w:cs="IRNazanin"/>
          <w:lang w:bidi="fa-IR"/>
          <w:color w:val="111111"/>
          <w:sz w:val="28"/>
          <w:szCs w:val="28"/>
          <w:rtl/>
        </w:rPr>
        <w:t xml:space="preserve">آغاز: المجلس...( جای یک کلمه خالی است) من اکسیر السعادات في اسرار الشهادات فى شهادة القاسم بن الامام المظلوم المسموم الحسن المجتبى (علیه السّلام) اقول روى ابو مخنف عن حميد بن مسلم؛ انجام: برابر</w:t>
      </w:r>
    </w:p>
    <w:p>
      <w:pPr>
        <w:pStyle w:val="BookText"/>
      </w:pPr>
      <w:r>
        <w:rPr>
          <w:rFonts w:ascii="IRNazanin" w:hAnsi="IRNazanin" w:eastAsia="IRNazanin" w:cs="IRNazanin"/>
          <w:lang w:bidi="fa-IR"/>
          <w:color w:val="111111"/>
          <w:sz w:val="28"/>
          <w:szCs w:val="28"/>
          <w:rtl/>
        </w:rPr>
        <w:t xml:space="preserve">خط: نسخ، کا: احمد بن شیخ حسن  ویسین، تا: سه شنبه ۲۲ رمضان ۱۲۷۵ق؛ افتادگی: آغاز؛ مصحح، اهدایی رهبری، مهر ۱۳۸۶؛ کاغذ: فرنگی نباتی آهار مهره جلد تیماج مشکی، ۲۷۹گ، ۲۲  سطر،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[اهدائی رهبر: ۸ – ۱۵۴]</w:t>
      </w:r>
    </w:p>
    <w:p>
      <w:pPr>
        <w:pStyle w:val="BookText"/>
      </w:pPr>
      <w:r>
        <w:rPr>
          <w:rFonts w:ascii="IRNazanin" w:hAnsi="IRNazanin" w:eastAsia="IRNazanin" w:cs="IRNazanin"/>
          <w:lang w:bidi="fa-IR"/>
          <w:color w:val="111111"/>
          <w:sz w:val="28"/>
          <w:szCs w:val="28"/>
          <w:rtl/>
        </w:rPr>
        <w:t xml:space="preserve">6.قم؛ گلپایگانی؛ شماره نسخه: ۴۴۸۲-۲۳/۲</w:t>
      </w:r>
    </w:p>
    <w:p>
      <w:pPr>
        <w:pStyle w:val="BookText"/>
      </w:pPr>
      <w:r>
        <w:rPr>
          <w:rFonts w:ascii="IRNazanin" w:hAnsi="IRNazanin" w:eastAsia="IRNazanin" w:cs="IRNazanin"/>
          <w:lang w:bidi="fa-IR"/>
          <w:color w:val="111111"/>
          <w:sz w:val="28"/>
          <w:szCs w:val="28"/>
          <w:rtl/>
        </w:rPr>
        <w:t xml:space="preserve">آغاز: بسمله و به ثقتی (سفید) من اكسير العبادات فى اسرار الشهادات في شهادة القاسم بن الامام المظلوم المسموم الحسن المجتبى عليهما السلام؛ انجام: از شهادت امام حسن تا آخر؛ خط: نسخ ،کا: محمد باقر بن محمد على اصفهانی نجفی برای سید محمد حسن کاشانی اصفهانی، تا: شنبه ۵ ربیع الاول ۱۲۷۷ق، جا: نجف اشرف؛ جلد: تیماج مشکی ۱۷۶گ، ۳۱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۳۱سم [ف: ۱ - ۳۴۲]</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تبریز؛ ملی؛ شماره نسخه: ۳۱۰۶</w:t>
      </w:r>
    </w:p>
    <w:p>
      <w:pPr>
        <w:pStyle w:val="BookText"/>
      </w:pPr>
      <w:r>
        <w:rPr>
          <w:rFonts w:ascii="IRNazanin" w:hAnsi="IRNazanin" w:eastAsia="IRNazanin" w:cs="IRNazanin"/>
          <w:lang w:bidi="fa-IR"/>
          <w:color w:val="111111"/>
          <w:sz w:val="28"/>
          <w:szCs w:val="28"/>
          <w:rtl/>
        </w:rPr>
        <w:t xml:space="preserve">آغاز: برابر؛ انجام: و لكن الشيخ الحسين و اصحابه قد فسروه بيزيد بن معوية لعن الله اتباعهما المجلس التاسع في شهادة القاسم تمت الكتاب ... قد تمت مقابلة هذا الجلد، و ذلك فى ثالث من العشر الأول من الشهر السابع من السنة العاشرة من العشر الثامن من المائة الثالثة من الالف الثانى من هجرة النبي صلى الله علیه و آله وسلم</w:t>
      </w:r>
    </w:p>
    <w:p>
      <w:pPr>
        <w:pStyle w:val="BookText"/>
      </w:pPr>
      <w:r>
        <w:rPr>
          <w:rFonts w:ascii="IRNazanin" w:hAnsi="IRNazanin" w:eastAsia="IRNazanin" w:cs="IRNazanin"/>
          <w:lang w:bidi="fa-IR"/>
          <w:color w:val="111111"/>
          <w:sz w:val="28"/>
          <w:szCs w:val="28"/>
          <w:rtl/>
        </w:rPr>
        <w:t xml:space="preserve">خط: نسخ، کا: علی بن حسین حسینی طهرانی، تا: ۱۲۸۰ق، به فرمان ناصر الدین شاه قاجار ؛کاغذ: فرنگی ،نیلی جلد :چرمی  سرخ، ۳۶۵گ ۲۳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۲۶/۵سم [ف: ۱ – ۵۴]</w:t>
      </w:r>
    </w:p>
    <w:p>
      <w:pPr>
        <w:pStyle w:val="BookText"/>
      </w:pPr>
      <w:r>
        <w:rPr>
          <w:rFonts w:ascii="IRNazanin" w:hAnsi="IRNazanin" w:eastAsia="IRNazanin" w:cs="IRNazanin"/>
          <w:lang w:bidi="fa-IR"/>
          <w:color w:val="111111"/>
          <w:sz w:val="28"/>
          <w:szCs w:val="28"/>
          <w:rtl/>
        </w:rPr>
        <w:t xml:space="preserve">8.قم؛ فیضیه؛ شماره نسخه: ۵۶۳</w:t>
      </w:r>
    </w:p>
    <w:p>
      <w:pPr>
        <w:pStyle w:val="BookText"/>
      </w:pPr>
      <w:r>
        <w:rPr>
          <w:rFonts w:ascii="IRNazanin" w:hAnsi="IRNazanin" w:eastAsia="IRNazanin" w:cs="IRNazanin"/>
          <w:lang w:bidi="fa-IR"/>
          <w:color w:val="111111"/>
          <w:sz w:val="28"/>
          <w:szCs w:val="28"/>
          <w:rtl/>
        </w:rPr>
        <w:t xml:space="preserve">تا مجلس دهم؛ خط: نسخ ،بی کا، بی تا؛ افتادگی: انجام، ۲۰۰گ، ۲۷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۲۷سم [ف: ۱ - ۲۰]  9. کرمانشاه؛ میبدی (خاندان)؛ شماره نسخه: ۱۰۱</w:t>
      </w:r>
    </w:p>
    <w:p>
      <w:pPr>
        <w:pStyle w:val="BookText"/>
      </w:pPr>
      <w:r>
        <w:rPr>
          <w:rFonts w:ascii="IRNazanin" w:hAnsi="IRNazanin" w:eastAsia="IRNazanin" w:cs="IRNazanin"/>
          <w:lang w:bidi="fa-IR"/>
          <w:color w:val="111111"/>
          <w:sz w:val="28"/>
          <w:szCs w:val="28"/>
          <w:rtl/>
        </w:rPr>
        <w:t xml:space="preserve">خط: نسخ، بی کا، تا: شاید در عصر مؤلف؛ مهر: «علم الهدى» (بیضی) ،جلد: تیماج قهوه ای ۵۲۱ گ، ۲۵ سطر، اندازه: ۵۲۱گ،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۲۸سم [ف: ۷۷]</w:t>
      </w:r>
    </w:p>
    <w:p>
      <w:pPr>
        <w:pStyle w:val="Heading3"/>
      </w:pPr>
      <w:bookmarkStart w:id="1351" w:name="_Toc873"/>
      <w:r>
        <w:t>أسرار الشهادة / شعر / فارسی</w:t>
      </w:r>
      <w:bookmarkEnd w:id="1351"/>
    </w:p>
    <w:p>
      <w:pPr>
        <w:pStyle w:val="BookText"/>
      </w:pPr>
      <w:r>
        <w:rPr>
          <w:rFonts w:ascii="Times New Roman" w:hAnsi="Times New Roman" w:eastAsia="Times New Roman" w:cs="Times New Roman"/>
          <w:lang w:val="en-US" w:bidi="en-US"/>
          <w:color w:val="111111"/>
          <w:sz w:val="28"/>
          <w:szCs w:val="28"/>
          <w:rtl/>
        </w:rPr>
        <w:t xml:space="preserve">asrār-oš šahāda</w:t>
      </w:r>
    </w:p>
    <w:p>
      <w:pPr>
        <w:pStyle w:val="BookText"/>
      </w:pPr>
      <w:r>
        <w:rPr>
          <w:rFonts w:ascii="IRNazanin" w:hAnsi="IRNazanin" w:eastAsia="IRNazanin" w:cs="IRNazanin"/>
          <w:lang w:bidi="fa-IR"/>
          <w:color w:val="111111"/>
          <w:sz w:val="28"/>
          <w:szCs w:val="28"/>
          <w:rtl/>
        </w:rPr>
        <w:t xml:space="preserve">سرباز بروجردی، اسماعیل، ق ۱۳ قمری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243" w:name="pg20365_260349"/>
    <w:bookmarkEnd w:id="243"/>
    <w:p>
      <w:pPr>
        <w:pStyle w:val="BookText"/>
      </w:pPr>
      <w:r>
        <w:rPr>
          <w:rFonts w:ascii="Times New Roman" w:hAnsi="Times New Roman" w:eastAsia="Times New Roman" w:cs="Times New Roman"/>
          <w:lang w:val="en-US" w:bidi="en-US"/>
          <w:color w:val="111111"/>
          <w:sz w:val="28"/>
          <w:szCs w:val="28"/>
          <w:rtl/>
        </w:rPr>
        <w:t xml:space="preserve">(sarbāz-e borūjerdī, esmā‘īl (- 19c)</w:t>
      </w:r>
    </w:p>
    <w:p>
      <w:pPr>
        <w:pStyle w:val="BookText"/>
      </w:pPr>
      <w:r>
        <w:rPr>
          <w:rFonts w:ascii="IRNazanin" w:hAnsi="IRNazanin" w:eastAsia="IRNazanin" w:cs="IRNazanin"/>
          <w:lang w:bidi="fa-IR"/>
          <w:color w:val="111111"/>
          <w:sz w:val="28"/>
          <w:szCs w:val="28"/>
          <w:rtl/>
        </w:rPr>
        <w:t xml:space="preserve">تاریخ تالیف: ۱۲۷۴ق؛</w:t>
      </w:r>
    </w:p>
    <w:p>
      <w:pPr>
        <w:pStyle w:val="BookText"/>
      </w:pPr>
      <w:r>
        <w:rPr>
          <w:rFonts w:ascii="IRNazanin" w:hAnsi="IRNazanin" w:eastAsia="IRNazanin" w:cs="IRNazanin"/>
          <w:lang w:bidi="fa-IR"/>
          <w:color w:val="111111"/>
          <w:sz w:val="28"/>
          <w:szCs w:val="28"/>
          <w:rtl/>
        </w:rPr>
        <w:t xml:space="preserve">مراثی فارسی در اسرار رویدادهای کربلا .</w:t>
      </w:r>
    </w:p>
    <w:p>
      <w:pPr>
        <w:pStyle w:val="BookText"/>
      </w:pPr>
      <w:r>
        <w:rPr>
          <w:rFonts w:ascii="IRNazanin" w:hAnsi="IRNazanin" w:eastAsia="IRNazanin" w:cs="IRNazanin"/>
          <w:lang w:bidi="fa-IR"/>
          <w:color w:val="111111"/>
          <w:sz w:val="28"/>
          <w:szCs w:val="28"/>
          <w:rtl/>
        </w:rPr>
        <w:t xml:space="preserve">چاپ:ایران ،سنگی ،۱۲۷۹ق. خشتی (متن و هامش)</w:t>
      </w:r>
    </w:p>
    <w:p>
      <w:pPr>
        <w:pStyle w:val="BookText"/>
      </w:pPr>
      <w:r>
        <w:rPr>
          <w:rFonts w:ascii="IRNazanin" w:hAnsi="IRNazanin" w:eastAsia="IRNazanin" w:cs="IRNazanin"/>
          <w:lang w:bidi="fa-IR"/>
          <w:color w:val="111111"/>
          <w:sz w:val="28"/>
          <w:szCs w:val="28"/>
          <w:rtl/>
        </w:rPr>
        <w:t xml:space="preserve">[فهرستواره منزوی ۱۵۴۵/۳؛ مشار فارسی :۱ ۲۸۹-۲۹۰  ]</w:t>
      </w:r>
    </w:p>
    <w:p>
      <w:pPr>
        <w:pStyle w:val="BookText"/>
      </w:pPr>
      <w:r>
        <w:rPr>
          <w:rFonts w:ascii="IRNazanin" w:hAnsi="IRNazanin" w:eastAsia="IRNazanin" w:cs="IRNazanin"/>
          <w:lang w:bidi="fa-IR"/>
          <w:color w:val="111111"/>
          <w:sz w:val="28"/>
          <w:szCs w:val="28"/>
          <w:rtl/>
        </w:rPr>
        <w:t xml:space="preserve">مشهد؛ مدرسه آیة الله خوئی؛ شماره نسخه: ۳۵۴</w:t>
      </w:r>
    </w:p>
    <w:p>
      <w:pPr>
        <w:pStyle w:val="BookText"/>
      </w:pPr>
      <w:r>
        <w:rPr>
          <w:rFonts w:ascii="IRNazanin" w:hAnsi="IRNazanin" w:eastAsia="IRNazanin" w:cs="IRNazanin"/>
          <w:lang w:bidi="fa-IR"/>
          <w:color w:val="111111"/>
          <w:sz w:val="28"/>
          <w:szCs w:val="28"/>
          <w:rtl/>
        </w:rPr>
        <w:t xml:space="preserve">بی کا، تا: ۱۳۲۵ق [اوراق عتیق: ۱ – ۲۴۱]</w:t>
      </w:r>
    </w:p>
    <w:p>
      <w:pPr>
        <w:pStyle w:val="Heading3"/>
      </w:pPr>
      <w:bookmarkStart w:id="1352" w:name="_Toc874"/>
      <w:r>
        <w:t>اسرار الشهادة / تاریخ معصومین / عربی</w:t>
      </w:r>
      <w:bookmarkEnd w:id="1352"/>
    </w:p>
    <w:p>
      <w:pPr>
        <w:pStyle w:val="BookText"/>
      </w:pPr>
      <w:r>
        <w:rPr>
          <w:rFonts w:ascii="Times New Roman" w:hAnsi="Times New Roman" w:eastAsia="Times New Roman" w:cs="Times New Roman"/>
          <w:lang w:val="en-US" w:bidi="en-US"/>
          <w:color w:val="111111"/>
          <w:sz w:val="28"/>
          <w:szCs w:val="28"/>
          <w:rtl/>
        </w:rPr>
        <w:t xml:space="preserve">asrār-uš šahāda</w:t>
      </w:r>
    </w:p>
    <w:p>
      <w:pPr>
        <w:pStyle w:val="BookText"/>
      </w:pPr>
      <w:r>
        <w:rPr>
          <w:rFonts w:ascii="IRNazanin" w:hAnsi="IRNazanin" w:eastAsia="IRNazanin" w:cs="IRNazanin"/>
          <w:lang w:bidi="fa-IR"/>
          <w:color w:val="111111"/>
          <w:sz w:val="28"/>
          <w:szCs w:val="28"/>
          <w:rtl/>
        </w:rPr>
        <w:t xml:space="preserve">یزدی، حسین بن محمد علی - ۱۳۱۰ قمری</w:t>
      </w:r>
    </w:p>
    <w:p>
      <w:pPr>
        <w:pStyle w:val="BookText"/>
      </w:pPr>
      <w:r>
        <w:rPr>
          <w:rFonts w:ascii="Times New Roman" w:hAnsi="Times New Roman" w:eastAsia="Times New Roman" w:cs="Times New Roman"/>
          <w:lang w:val="en-US" w:bidi="en-US"/>
          <w:color w:val="111111"/>
          <w:sz w:val="28"/>
          <w:szCs w:val="28"/>
          <w:rtl/>
        </w:rPr>
        <w:t xml:space="preserve">(yazdī, hoseyn ebn-e mohammad ‘alī (- 1893)</w:t>
      </w:r>
    </w:p>
    <w:p>
      <w:pPr>
        <w:pStyle w:val="BookText"/>
      </w:pPr>
      <w:r>
        <w:rPr>
          <w:rFonts w:ascii="Amiri" w:hAnsi="Amiri" w:eastAsia="Amiri" w:cs="Amiri"/>
          <w:lang w:bidi="ar-SA"/>
          <w:color w:val="111111"/>
          <w:sz w:val="28"/>
          <w:szCs w:val="28"/>
          <w:rtl/>
        </w:rPr>
        <w:t xml:space="preserve">آغاز: حمدا لمن جعل البلايا هدايا لأوليائه و شكرا لمن جـعل المصائب و الرزايا والمحن و الفتن والمشاق تحفا لأودائه  و أحبائه</w:t>
      </w:r>
    </w:p>
    <w:p>
      <w:pPr>
        <w:pStyle w:val="BookText"/>
      </w:pPr>
      <w:r>
        <w:rPr>
          <w:rFonts w:ascii="IRNazanin" w:hAnsi="IRNazanin" w:eastAsia="IRNazanin" w:cs="IRNazanin"/>
          <w:lang w:bidi="fa-IR"/>
          <w:color w:val="111111"/>
          <w:sz w:val="28"/>
          <w:szCs w:val="28"/>
          <w:rtl/>
        </w:rPr>
        <w:t xml:space="preserve">تهران؛ مروی؛ شماره نسخه: ۷۰۳/۱</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فقط ۱۱ برگ آن در این مجموعه هست؛ بی کا،  بی تا؛ ۱۱  گ، قطع: خشتی [ف: ۲۹۷]</w:t>
      </w:r>
    </w:p>
    <w:p>
      <w:pPr>
        <w:pStyle w:val="Heading3"/>
      </w:pPr>
      <w:bookmarkStart w:id="1353" w:name="_Toc875"/>
      <w:r>
        <w:t>اسرار الشهادة / كلام و اعتقادات / عربی</w:t>
      </w:r>
      <w:bookmarkEnd w:id="1353"/>
    </w:p>
    <w:p>
      <w:pPr>
        <w:pStyle w:val="BookText"/>
      </w:pPr>
      <w:r>
        <w:rPr>
          <w:rFonts w:ascii="Times New Roman" w:hAnsi="Times New Roman" w:eastAsia="Times New Roman" w:cs="Times New Roman"/>
          <w:lang w:val="en-US" w:bidi="en-US"/>
          <w:color w:val="111111"/>
          <w:sz w:val="28"/>
          <w:szCs w:val="28"/>
          <w:rtl/>
        </w:rPr>
        <w:t xml:space="preserve">asrār-uš šahāda</w:t>
      </w:r>
    </w:p>
    <w:p>
      <w:pPr>
        <w:pStyle w:val="BookText"/>
      </w:pPr>
      <w:r>
        <w:rPr>
          <w:rFonts w:ascii="IRNazanin" w:hAnsi="IRNazanin" w:eastAsia="IRNazanin" w:cs="IRNazanin"/>
          <w:lang w:bidi="fa-IR"/>
          <w:color w:val="111111"/>
          <w:sz w:val="28"/>
          <w:szCs w:val="28"/>
          <w:rtl/>
        </w:rPr>
        <w:t xml:space="preserve">تهرانی  نجفی، هادی بن محمد امین ،- ۱۳۲۱ قمری</w:t>
      </w:r>
    </w:p>
    <w:p>
      <w:pPr>
        <w:pStyle w:val="BookText"/>
      </w:pPr>
      <w:r>
        <w:rPr>
          <w:rFonts w:ascii="Times New Roman" w:hAnsi="Times New Roman" w:eastAsia="Times New Roman" w:cs="Times New Roman"/>
          <w:lang w:val="en-US" w:bidi="en-US"/>
          <w:color w:val="111111"/>
          <w:sz w:val="28"/>
          <w:szCs w:val="28"/>
          <w:rtl/>
        </w:rPr>
        <w:t xml:space="preserve">(tehrānī najafī, hādī ebn-e mohammad amīn (- 1903)</w:t>
      </w:r>
    </w:p>
    <w:p>
      <w:pPr>
        <w:pStyle w:val="BookText"/>
      </w:pPr>
      <w:r>
        <w:rPr>
          <w:rFonts w:ascii="IRNazanin" w:hAnsi="IRNazanin" w:eastAsia="IRNazanin" w:cs="IRNazanin"/>
          <w:lang w:bidi="fa-IR"/>
          <w:color w:val="111111"/>
          <w:sz w:val="28"/>
          <w:szCs w:val="28"/>
          <w:rtl/>
        </w:rPr>
        <w:t xml:space="preserve">مؤلف موفق به اتمام این کتاب نشده است و کتاب از حیث موضوع با این نام ضبط گردیده است. مؤلف در بیان مقصود از این کتاب آورده است: «ان تاخر زماننا عن واقعة سيد اهل الجـنان عليه السلام اوجب الحرمان عن نصرته بالابدان فاجبناه و الحمد بالسمع والبصر و الجنان فننصره بقطع اساس الكذب الافتراء كاللهو و الغناء لتحصيل الجاه». تا آنجا که: «و لنمهد مقدمة تتكفل ببيان مقام الامام (علیه السّلام) على وجه عام ثم اتعرض لخصوصياته قبل التعرض لمصائبه و رزاياه و الخصوصيات ستة الاولى ما ورد فى امامته و امامة ذريته من الآيات و الاخبار الثـانیة ما ورد من الايات والاخبار فى مصائبه الثالثة فى بكاء كل شيـیء عليه الرابعة فى اجابة الارواح حين استنصاره الخامسة انه العروة الوثقى و اقرب الوسائل الى الله تع السادسة فى بيان بحسب الظاهر و بعد هذه المقدمة المتكفلة ببيان هذه الامور الـسـتة نشرع في بيان اصل المقصد و تفصيل الواقعة من اول زمان بـیعة الناس ليزيد بن معاويه».</w:t>
      </w:r>
    </w:p>
    <w:p>
      <w:pPr>
        <w:pStyle w:val="BookText"/>
      </w:pPr>
      <w:r>
        <w:rPr>
          <w:rFonts w:ascii="IRNazanin" w:hAnsi="IRNazanin" w:eastAsia="IRNazanin" w:cs="IRNazanin"/>
          <w:lang w:bidi="fa-IR"/>
          <w:color w:val="111111"/>
          <w:sz w:val="28"/>
          <w:szCs w:val="28"/>
          <w:rtl/>
        </w:rPr>
        <w:t xml:space="preserve">مأثور خامه مؤلف تنها مقام اول (مقام الامام بوجه عام) اسـت. اندکی از بقیه مطالب کتاب به طور ناقص به خامه ناشناسی  (احتمالاً کاتب نسخه) نوشته شده است.</w:t>
      </w:r>
    </w:p>
    <w:p>
      <w:pPr>
        <w:pStyle w:val="BookText"/>
      </w:pPr>
      <w:r>
        <w:rPr>
          <w:rFonts w:ascii="IRNazanin" w:hAnsi="IRNazanin" w:eastAsia="IRNazanin" w:cs="IRNazanin"/>
          <w:lang w:bidi="fa-IR"/>
          <w:color w:val="111111"/>
          <w:sz w:val="28"/>
          <w:szCs w:val="28"/>
          <w:rtl/>
        </w:rPr>
        <w:t xml:space="preserve">مشهد؛ رضوی؛ شماره نسخه: ۱۲۸۳۶/۵</w:t>
      </w:r>
    </w:p>
    <w:p>
      <w:pPr>
        <w:pStyle w:val="BookText"/>
      </w:pPr>
      <w:r>
        <w:rPr>
          <w:rFonts w:ascii="IRNazanin" w:hAnsi="IRNazanin" w:eastAsia="IRNazanin" w:cs="IRNazanin"/>
          <w:lang w:bidi="fa-IR"/>
          <w:color w:val="111111"/>
          <w:sz w:val="28"/>
          <w:szCs w:val="28"/>
          <w:rtl/>
        </w:rPr>
        <w:t xml:space="preserve">انجام: و اما ثالث المقاصد فغنى عن البيان و سيزداد كل من هذه الامور فى طى ماسیاتی ذکره انش تع.</w:t>
      </w:r>
    </w:p>
    <w:p>
      <w:pPr>
        <w:pStyle w:val="BookText"/>
      </w:pPr>
      <w:r>
        <w:rPr>
          <w:rFonts w:ascii="IRNazanin" w:hAnsi="IRNazanin" w:eastAsia="IRNazanin" w:cs="IRNazanin"/>
          <w:lang w:bidi="fa-IR"/>
          <w:color w:val="111111"/>
          <w:sz w:val="28"/>
          <w:szCs w:val="28"/>
          <w:rtl/>
        </w:rPr>
        <w:t xml:space="preserve">خط: نستعلیق، کا: محمد حسین بن علی رشتی همدانی، تا: ۱۳۱۴ق؛ کاغذ: حنایی  فرنگی ،جلد: میشن عنابی، ۲۱ سطر  ، اندازه: ۱۵/۵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۲۰سم [ف : ۱۱ - ۳۷۰]</w:t>
      </w:r>
    </w:p>
    <w:p>
      <w:pPr>
        <w:pStyle w:val="Heading3"/>
      </w:pPr>
      <w:bookmarkStart w:id="1354" w:name="_Toc876"/>
      <w:r>
        <w:t>اسرار الشهادة / تاریخ معصومین / عربی</w:t>
      </w:r>
      <w:bookmarkEnd w:id="1354"/>
    </w:p>
    <w:p>
      <w:pPr>
        <w:pStyle w:val="BookText"/>
      </w:pPr>
      <w:r>
        <w:rPr>
          <w:rFonts w:ascii="Times New Roman" w:hAnsi="Times New Roman" w:eastAsia="Times New Roman" w:cs="Times New Roman"/>
          <w:lang w:val="en-US" w:bidi="en-US"/>
          <w:color w:val="111111"/>
          <w:sz w:val="28"/>
          <w:szCs w:val="28"/>
          <w:rtl/>
        </w:rPr>
        <w:t xml:space="preserve">asrār-uš šahāda</w:t>
      </w:r>
    </w:p>
    <w:p>
      <w:pPr>
        <w:pStyle w:val="BookText"/>
      </w:pPr>
      <w:r>
        <w:rPr>
          <w:rFonts w:ascii="IRNazanin" w:hAnsi="IRNazanin" w:eastAsia="IRNazanin" w:cs="IRNazanin"/>
          <w:lang w:bidi="fa-IR"/>
          <w:color w:val="111111"/>
          <w:sz w:val="28"/>
          <w:szCs w:val="28"/>
          <w:rtl/>
        </w:rPr>
        <w:t xml:space="preserve">جامع و منتخب شناخته نشد. مشتمل است بر بیش از۱۳۵ اسرار از حادثه غمبار کربلا که از کتب مختلف امامیه از جمله «مقتل ابو مخنف»، «ارشاد»، «ملهوف»، «بحار الانوار»، «امالی» صدوق، «التبر المذاب»، «كامل الزيارة، المنتخب و البحار و غیره به طور نامرتب و پراکنده انتخاب شده است. در هامش اوراق نسخه حاضر نخست «اسرار الشهادات» كتابت شده و در برگ ۵۹ نسخه عبارت تاریخ شروع تحریر انتخاب ۲ ماه ربيع الثاني سنه ۱۳۰۴ هجری آمده که ظاهراً دال بر تحریر و انتخاب دارد لذا منتخب از اعلام قرن ۱۴ق و احتمالاً «مير معصوم على» (كاتب  نسخه) خواهد بود.</w:t>
      </w:r>
    </w:p>
    <w:p>
      <w:pPr>
        <w:pStyle w:val="BookText"/>
      </w:pPr>
      <w:r>
        <w:rPr>
          <w:rFonts w:ascii="IRNazanin" w:hAnsi="IRNazanin" w:eastAsia="IRNazanin" w:cs="IRNazanin"/>
          <w:lang w:bidi="fa-IR"/>
          <w:color w:val="111111"/>
          <w:sz w:val="28"/>
          <w:szCs w:val="28"/>
          <w:rtl/>
        </w:rPr>
        <w:t xml:space="preserve">مشهد؛ رضوی؛ شماره نسخه: ۲۴۴۲۸</w:t>
      </w:r>
    </w:p>
    <w:p>
      <w:pPr>
        <w:pStyle w:val="BookText"/>
      </w:pPr>
      <w:r>
        <w:rPr>
          <w:rFonts w:ascii="IRNazanin" w:hAnsi="IRNazanin" w:eastAsia="IRNazanin" w:cs="IRNazanin"/>
          <w:lang w:bidi="fa-IR"/>
          <w:color w:val="111111"/>
          <w:sz w:val="28"/>
          <w:szCs w:val="28"/>
          <w:rtl/>
        </w:rPr>
        <w:t xml:space="preserve">آغاز: روی فی البحار ان معوية طلب البيعة من الحسين فقال الحسن يا معوية؛ انجام: م يزحفون الى العدو اى يمشون م نسخه ناقص الطرفين و موجودی آن از اسرار ۱۰۳ تا ۱۳۵ است. این شماره ها در هامش نسخه آمده؛ خط: نسخ، کا: میر معصوم  علی :تا: ۱۳۰۴ق اهدایی  رهبری، اسفند ۱۳۷۶؛ کاغذ: نخودی ۱۸۷گ مختلف السطر، اندازه: ۱۷ ۲۵/۵سم [اهدائی رهبر: ۲ اخبار ١ - ٩٩]</w:t>
      </w:r>
    </w:p>
    <w:p>
      <w:pPr>
        <w:pStyle w:val="BookText"/>
      </w:pPr>
      <w:r>
        <w:rPr>
          <w:rFonts w:ascii="IRNazanin" w:hAnsi="IRNazanin" w:eastAsia="IRNazanin" w:cs="IRNazanin"/>
          <w:lang w:bidi="fa-IR"/>
          <w:color w:val="111111"/>
          <w:sz w:val="28"/>
          <w:szCs w:val="28"/>
          <w:rtl/>
        </w:rPr>
        <w:t xml:space="preserve">«اسرار الشهاده » مصائب خامس آل عبا</w:t>
      </w:r>
    </w:p>
    <w:p>
      <w:pPr>
        <w:pStyle w:val="BookText"/>
      </w:pPr>
      <w:r>
        <w:rPr>
          <w:rFonts w:ascii="IRNazanin" w:hAnsi="IRNazanin" w:eastAsia="IRNazanin" w:cs="IRNazanin"/>
          <w:lang w:bidi="fa-IR"/>
          <w:color w:val="111111"/>
          <w:sz w:val="28"/>
          <w:szCs w:val="28"/>
          <w:rtl/>
        </w:rPr>
        <w:t xml:space="preserve">«اسرار الشهاده » حکمت شهادت</w:t>
      </w:r>
    </w:p>
    <w:p>
      <w:pPr>
        <w:pStyle w:val="Heading3"/>
      </w:pPr>
      <w:bookmarkStart w:id="1355" w:name="_Toc877"/>
      <w:r>
        <w:t>اسرار الشهاده / متفرقه / فارسی</w:t>
      </w:r>
      <w:bookmarkEnd w:id="1355"/>
    </w:p>
    <w:p>
      <w:pPr>
        <w:pStyle w:val="BookText"/>
      </w:pPr>
      <w:r>
        <w:rPr>
          <w:rFonts w:ascii="Times New Roman" w:hAnsi="Times New Roman" w:eastAsia="Times New Roman" w:cs="Times New Roman"/>
          <w:lang w:val="en-US" w:bidi="en-US"/>
          <w:color w:val="111111"/>
          <w:sz w:val="28"/>
          <w:szCs w:val="28"/>
          <w:rtl/>
        </w:rPr>
        <w:t xml:space="preserve">asrār-oš šahāda</w:t>
      </w:r>
    </w:p>
    <w:p>
      <w:pPr>
        <w:pStyle w:val="BookText"/>
      </w:pPr>
      <w:r>
        <w:rPr>
          <w:rFonts w:ascii="IRNazanin" w:hAnsi="IRNazanin" w:eastAsia="IRNazanin" w:cs="IRNazanin"/>
          <w:lang w:bidi="fa-IR"/>
          <w:color w:val="111111"/>
          <w:sz w:val="28"/>
          <w:szCs w:val="28"/>
          <w:rtl/>
        </w:rPr>
        <w:t xml:space="preserve">مشهد؛ رضوی؛ شماره نسخه: ۱۶۱۷۶</w:t>
      </w:r>
    </w:p>
    <w:p>
      <w:pPr>
        <w:pStyle w:val="BookText"/>
      </w:pPr>
      <w:r>
        <w:rPr>
          <w:rFonts w:ascii="IRNazanin" w:hAnsi="IRNazanin" w:eastAsia="IRNazanin" w:cs="IRNazanin"/>
          <w:lang w:bidi="fa-IR"/>
          <w:color w:val="111111"/>
          <w:sz w:val="28"/>
          <w:szCs w:val="28"/>
          <w:rtl/>
        </w:rPr>
        <w:t xml:space="preserve">آغاز: جميع موجودات عداوتشان اندازه دارد؛ انجام: کوبرون نه  پاز کنعان بدن</w:t>
      </w:r>
    </w:p>
    <w:p>
      <w:pPr>
        <w:pStyle w:val="BookText"/>
      </w:pPr>
      <w:r>
        <w:rPr>
          <w:rFonts w:ascii="IRNazanin" w:hAnsi="IRNazanin" w:eastAsia="IRNazanin" w:cs="IRNazanin"/>
          <w:lang w:bidi="fa-IR"/>
          <w:color w:val="111111"/>
          <w:sz w:val="28"/>
          <w:szCs w:val="28"/>
          <w:rtl/>
        </w:rPr>
        <w:t xml:space="preserve">خط: نستعلیق، کا: محمد رحیم، بی تا [رایانه]</w:t>
      </w:r>
    </w:p>
    <w:p>
      <w:pPr>
        <w:pStyle w:val="Heading3"/>
      </w:pPr>
      <w:bookmarkStart w:id="1356" w:name="_Toc878"/>
      <w:r>
        <w:t>اسرار الشهود فى معرفة الحق المعبود / عرفان و  تصوف شعر / فارسی</w:t>
      </w:r>
      <w:bookmarkEnd w:id="1356"/>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244" w:name="pg20365_260350"/>
    <w:bookmarkEnd w:id="244"/>
    <w:p>
      <w:pPr>
        <w:pStyle w:val="BookText"/>
      </w:pPr>
      <w:r>
        <w:rPr>
          <w:rFonts w:ascii="Times New Roman" w:hAnsi="Times New Roman" w:eastAsia="Times New Roman" w:cs="Times New Roman"/>
          <w:lang w:val="en-US" w:bidi="en-US"/>
          <w:color w:val="111111"/>
          <w:sz w:val="28"/>
          <w:szCs w:val="28"/>
          <w:rtl/>
        </w:rPr>
        <w:t xml:space="preserve">asrār-oš šohūd fī ma‘refat-el haqq-el ma‘būd</w:t>
      </w:r>
    </w:p>
    <w:p>
      <w:pPr>
        <w:pStyle w:val="BookText"/>
      </w:pPr>
      <w:r>
        <w:rPr>
          <w:rFonts w:ascii="IRNazanin" w:hAnsi="IRNazanin" w:eastAsia="IRNazanin" w:cs="IRNazanin"/>
          <w:lang w:bidi="fa-IR"/>
          <w:color w:val="111111"/>
          <w:sz w:val="28"/>
          <w:szCs w:val="28"/>
          <w:rtl/>
        </w:rPr>
        <w:t xml:space="preserve">لاهیجی، محمد بن یحیی، ۸۴۰ – ۹۱۲ قمری</w:t>
      </w:r>
    </w:p>
    <w:p>
      <w:pPr>
        <w:pStyle w:val="BookText"/>
      </w:pPr>
      <w:r>
        <w:rPr>
          <w:rFonts w:ascii="Times New Roman" w:hAnsi="Times New Roman" w:eastAsia="Times New Roman" w:cs="Times New Roman"/>
          <w:lang w:val="en-US" w:bidi="en-US"/>
          <w:color w:val="111111"/>
          <w:sz w:val="28"/>
          <w:szCs w:val="28"/>
          <w:rtl/>
        </w:rPr>
        <w:t xml:space="preserve">(lāhījī, mohammad ebn-e yahyā (1437 - 1507)</w:t>
      </w:r>
    </w:p>
    <w:p>
      <w:pPr>
        <w:pStyle w:val="BookText"/>
      </w:pPr>
      <w:r>
        <w:rPr>
          <w:rFonts w:ascii="IRNazanin" w:hAnsi="IRNazanin" w:eastAsia="IRNazanin" w:cs="IRNazanin"/>
          <w:lang w:bidi="fa-IR"/>
          <w:color w:val="111111"/>
          <w:sz w:val="28"/>
          <w:szCs w:val="28"/>
          <w:rtl/>
        </w:rPr>
        <w:t xml:space="preserve">تاریخ تأليف: ۸۷۷ق</w:t>
      </w:r>
    </w:p>
    <w:p>
      <w:pPr>
        <w:pStyle w:val="BookText"/>
      </w:pPr>
      <w:r>
        <w:rPr>
          <w:rFonts w:ascii="IRNazanin" w:hAnsi="IRNazanin" w:eastAsia="IRNazanin" w:cs="IRNazanin"/>
          <w:lang w:bidi="fa-IR"/>
          <w:color w:val="111111"/>
          <w:sz w:val="28"/>
          <w:szCs w:val="28"/>
          <w:rtl/>
        </w:rPr>
        <w:t xml:space="preserve">مثنوی عرفانی است در سیر و سلوک و داستان های پند آموز، حدود سه هزار بیت در آغاز آن از مراد خود سید محـمد نوربخش (د: ۸۶۹ق /۱۴۶۴م) ستایش کرده است: «آن محمد عیسی مرتبت / بود چون خورشید دانش نوربخش» مؤلـف خود نامی به آن نداده  است، هدایت در «مجمع الفصحاء» آن به نام «اسرار الشهود» نامیده و نسخه ای دیگر از آن به نام «مصبـاح الهداية» ديده شده است. آغاز می شود با حمد ،مناجات نعت نبی منقبت محمد نوربخش نصیحت در تحریص بر متابعت مرشد ،زمانه احوال جماعتی که خود را مرشد و رهبر می نامند، رهزنان راه ،حق شوق و عشق و احوال ،عاشقان و در میانه مطالب عرفانی حکایت هایی آورده است چون جوانی که کفـش فراموش کرده ،بود حکایت زاهدی به وقت ،بایزید حکایت خواب دیدن بایزید ،ذات حق را.</w:t>
      </w:r>
    </w:p>
    <w:p>
      <w:pPr>
        <w:pStyle w:val="BookText"/>
      </w:pPr>
      <w:r>
        <w:rPr>
          <w:rFonts w:ascii="IRNazanin" w:hAnsi="IRNazanin" w:eastAsia="IRNazanin" w:cs="IRNazanin"/>
          <w:lang w:bidi="fa-IR"/>
          <w:color w:val="111111"/>
          <w:sz w:val="28"/>
          <w:szCs w:val="28"/>
          <w:rtl/>
        </w:rPr>
        <w:t xml:space="preserve">آغاز: آغاز۱ :هست هست بسـم الله الرحمن الرحيم *** مصحف آيات اسرار قدیم / نام حق سر دفتر هر دفتر است *** هر چه بی نام خدای است ابتر است</w:t>
      </w:r>
    </w:p>
    <w:p>
      <w:pPr>
        <w:pStyle w:val="BookText"/>
      </w:pPr>
      <w:r>
        <w:rPr>
          <w:rFonts w:ascii="IRNazanin" w:hAnsi="IRNazanin" w:eastAsia="IRNazanin" w:cs="IRNazanin"/>
          <w:lang w:bidi="fa-IR"/>
          <w:color w:val="111111"/>
          <w:sz w:val="28"/>
          <w:szCs w:val="28"/>
          <w:rtl/>
        </w:rPr>
        <w:t xml:space="preserve">آغاز ۲ :ای منزه ذات از فهم عقول *** در صفات و در عـقل بوالفضول / عقل کل از جام عشقت باده نوش *** نفس کل مستانه از شوقت بجوش</w:t>
      </w:r>
    </w:p>
    <w:p>
      <w:pPr>
        <w:pStyle w:val="BookText"/>
      </w:pPr>
      <w:r>
        <w:rPr>
          <w:rFonts w:ascii="IRNazanin" w:hAnsi="IRNazanin" w:eastAsia="IRNazanin" w:cs="IRNazanin"/>
          <w:lang w:bidi="fa-IR"/>
          <w:color w:val="111111"/>
          <w:sz w:val="28"/>
          <w:szCs w:val="28"/>
          <w:rtl/>
        </w:rPr>
        <w:t xml:space="preserve">انجام: چون بیزم وصل او کردم مقام *** واگذارم گفت و گو والسلام</w:t>
      </w:r>
    </w:p>
    <w:p>
      <w:pPr>
        <w:pStyle w:val="BookText"/>
      </w:pPr>
      <w:r>
        <w:rPr>
          <w:rFonts w:ascii="IRNazanin" w:hAnsi="IRNazanin" w:eastAsia="IRNazanin" w:cs="IRNazanin"/>
          <w:lang w:bidi="fa-IR"/>
          <w:color w:val="111111"/>
          <w:sz w:val="28"/>
          <w:szCs w:val="28"/>
          <w:rtl/>
        </w:rPr>
        <w:t xml:space="preserve">چاپ: به تصحیح على آل داود، تهران، موسسه مطالعات تحقیقات فرهنگی، ۱۳۶۸ش</w:t>
      </w:r>
    </w:p>
    <w:p>
      <w:pPr>
        <w:pStyle w:val="BookText"/>
      </w:pPr>
      <w:r>
        <w:rPr>
          <w:rFonts w:ascii="IRNazanin" w:hAnsi="IRNazanin" w:eastAsia="IRNazanin" w:cs="IRNazanin"/>
          <w:lang w:bidi="fa-IR"/>
          <w:color w:val="111111"/>
          <w:sz w:val="28"/>
          <w:szCs w:val="28"/>
          <w:rtl/>
        </w:rPr>
        <w:t xml:space="preserve">[الذريعة ۷۶/۹ و ۱۱۴/۱۹؛ نسخههای منزوی ۲۶۲۸/۲؛ مكتبة امير المؤمنين ١/ 36و ۳۸/۱؛ فهرستواره منزوی (۱۴۳/۱۰]</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سپهسالار؛ شماره نسخه: ۷۰۷۶/۱</w:t>
      </w:r>
    </w:p>
    <w:p>
      <w:pPr>
        <w:pStyle w:val="BookText"/>
      </w:pPr>
      <w:r>
        <w:rPr>
          <w:rFonts w:ascii="IRNazanin" w:hAnsi="IRNazanin" w:eastAsia="IRNazanin" w:cs="IRNazanin"/>
          <w:lang w:bidi="fa-IR"/>
          <w:color w:val="111111"/>
          <w:sz w:val="28"/>
          <w:szCs w:val="28"/>
          <w:rtl/>
        </w:rPr>
        <w:t xml:space="preserve">آغاز: برابر ۱ ؛انجام: برابر</w:t>
      </w:r>
    </w:p>
    <w:p>
      <w:pPr>
        <w:pStyle w:val="BookText"/>
      </w:pPr>
      <w:r>
        <w:rPr>
          <w:rFonts w:ascii="IRNazanin" w:hAnsi="IRNazanin" w:eastAsia="IRNazanin" w:cs="IRNazanin"/>
          <w:lang w:bidi="fa-IR"/>
          <w:color w:val="111111"/>
          <w:sz w:val="28"/>
          <w:szCs w:val="28"/>
          <w:rtl/>
        </w:rPr>
        <w:t xml:space="preserve">خط: نستعلیق، کا: حضرت علی بن محمد عرب خراسانی، تا: شـنبه ۱۰ شوال ۱۰۴۱ق ،کاغذ ،سپاهانی، جلد: تیماج مشکی مقوایـی، ۱۲۲گ (3پ-۱۲۴پ)،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۱۹/۵سم [ف: ۳ - ۱۲۵  ] و [ فیلم ها-ف: ۳ - ۱۳۰]</w:t>
      </w:r>
    </w:p>
    <w:p>
      <w:pPr>
        <w:pStyle w:val="BookText"/>
      </w:pPr>
      <w:r>
        <w:rPr>
          <w:rFonts w:ascii="IRNazanin" w:hAnsi="IRNazanin" w:eastAsia="IRNazanin" w:cs="IRNazanin"/>
          <w:lang w:bidi="fa-IR"/>
          <w:color w:val="111111"/>
          <w:sz w:val="28"/>
          <w:szCs w:val="28"/>
          <w:rtl/>
        </w:rPr>
        <w:t xml:space="preserve">2.تهران؛ دانشگاه؛ شماره نسخه ۳۰۲۵ و ۵۰۵۸-ف</w:t>
      </w:r>
    </w:p>
    <w:p>
      <w:pPr>
        <w:pStyle w:val="BookText"/>
      </w:pPr>
      <w:r>
        <w:rPr>
          <w:rFonts w:ascii="IRNazanin" w:hAnsi="IRNazanin" w:eastAsia="IRNazanin" w:cs="IRNazanin"/>
          <w:lang w:bidi="fa-IR"/>
          <w:color w:val="111111"/>
          <w:sz w:val="28"/>
          <w:szCs w:val="28"/>
          <w:rtl/>
        </w:rPr>
        <w:t xml:space="preserve">آغاز: برابر ؛انجام: برابر</w:t>
      </w:r>
    </w:p>
    <w:p>
      <w:pPr>
        <w:pStyle w:val="BookText"/>
      </w:pPr>
      <w:r>
        <w:rPr>
          <w:rFonts w:ascii="IRNazanin" w:hAnsi="IRNazanin" w:eastAsia="IRNazanin" w:cs="IRNazanin"/>
          <w:lang w:bidi="fa-IR"/>
          <w:color w:val="111111"/>
          <w:sz w:val="28"/>
          <w:szCs w:val="28"/>
          <w:rtl/>
        </w:rPr>
        <w:t xml:space="preserve">خط: نستعلیق، بی کا، تا: ۳ شوال ۱۱۲۴ق؛ در ۰ ۳۲۰۰ و اندی بیـت؛ کاغذ: سپاهانی، جلد: تیماج قهوه ای درون  آبی، ۸۷گ، ۱۹ سـطر  (7/5</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 ۱۰ - ۱۹۶۷]</w:t>
      </w:r>
    </w:p>
    <w:p>
      <w:pPr>
        <w:pStyle w:val="BookText"/>
      </w:pPr>
      <w:r>
        <w:rPr>
          <w:rFonts w:ascii="IRNazanin" w:hAnsi="IRNazanin" w:eastAsia="IRNazanin" w:cs="IRNazanin"/>
          <w:lang w:bidi="fa-IR"/>
          <w:color w:val="111111"/>
          <w:sz w:val="28"/>
          <w:szCs w:val="28"/>
          <w:rtl/>
        </w:rPr>
        <w:t xml:space="preserve">3.تهران؛ مجلس؛ شماره نسخه: ۱۱۸۷/۷</w:t>
      </w:r>
    </w:p>
    <w:p>
      <w:pPr>
        <w:pStyle w:val="BookText"/>
      </w:pPr>
      <w:r>
        <w:rPr>
          <w:rFonts w:ascii="IRNazanin" w:hAnsi="IRNazanin" w:eastAsia="IRNazanin" w:cs="IRNazanin"/>
          <w:lang w:bidi="fa-IR"/>
          <w:color w:val="111111"/>
          <w:sz w:val="28"/>
          <w:szCs w:val="28"/>
          <w:rtl/>
        </w:rPr>
        <w:t xml:space="preserve">خط: نسخ، کا: محمد بن فاضل  سبزواری، تا: ۱۲۱۸ق؛ کاغذ: ترمه، جلد: تيماج، ۵۰ص (۳۲۰-۳۶۹)، ۴۱ سطر، قطع: خشتی ،باریک ،اندازه: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۱۸/۵سم [ف: ۳ - ۴۷۹]</w:t>
      </w:r>
    </w:p>
    <w:p>
      <w:pPr>
        <w:pStyle w:val="BookText"/>
      </w:pPr>
      <w:r>
        <w:rPr>
          <w:rFonts w:ascii="IRNazanin" w:hAnsi="IRNazanin" w:eastAsia="IRNazanin" w:cs="IRNazanin"/>
          <w:lang w:bidi="fa-IR"/>
          <w:color w:val="111111"/>
          <w:sz w:val="28"/>
          <w:szCs w:val="28"/>
          <w:rtl/>
        </w:rPr>
        <w:t xml:space="preserve">۴ .تهران؛ نوربخش شماره نسخه: ۶۶۰/۶</w:t>
      </w:r>
    </w:p>
    <w:p>
      <w:pPr>
        <w:pStyle w:val="BookText"/>
      </w:pPr>
      <w:r>
        <w:rPr>
          <w:rFonts w:ascii="IRNazanin" w:hAnsi="IRNazanin" w:eastAsia="IRNazanin" w:cs="IRNazanin"/>
          <w:lang w:bidi="fa-IR"/>
          <w:color w:val="111111"/>
          <w:sz w:val="28"/>
          <w:szCs w:val="28"/>
          <w:rtl/>
        </w:rPr>
        <w:t xml:space="preserve">آغاز: چیست دنیا آتشی افروخته *** هر دو روزی خلق دیگر سوخته / همچو شیران چشم از این آتش بدوز *** ورنه چون پروانه در آتش سوز؛ انجام: برابر</w:t>
      </w:r>
    </w:p>
    <w:p>
      <w:pPr>
        <w:pStyle w:val="BookText"/>
      </w:pPr>
      <w:r>
        <w:rPr>
          <w:rFonts w:ascii="IRNazanin" w:hAnsi="IRNazanin" w:eastAsia="IRNazanin" w:cs="IRNazanin"/>
          <w:lang w:bidi="fa-IR"/>
          <w:color w:val="111111"/>
          <w:sz w:val="28"/>
          <w:szCs w:val="28"/>
          <w:rtl/>
        </w:rPr>
        <w:t xml:space="preserve">خط: نستعلیق ،کا: محمد علی پسر محمد صادق  رازی، تا: ۱۲۶۲ق؛ کاغذ: فرنگی ،جلد: تیماج  قرمز، ۸۷گ (۱۲پ-۹۸پ)، ۱۵ سطر، قطع: رقعی، اندازه:۱۰/۵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 نشریه: ۱۳ - ۴۸]</w:t>
      </w:r>
    </w:p>
    <w:p>
      <w:pPr>
        <w:pStyle w:val="BookText"/>
      </w:pPr>
      <w:r>
        <w:rPr>
          <w:rFonts w:ascii="IRNazanin" w:hAnsi="IRNazanin" w:eastAsia="IRNazanin" w:cs="IRNazanin"/>
          <w:lang w:bidi="fa-IR"/>
          <w:color w:val="111111"/>
          <w:sz w:val="28"/>
          <w:szCs w:val="28"/>
          <w:rtl/>
        </w:rPr>
        <w:t xml:space="preserve">۵. تهران؛ ملک شماره نسخه: ۴۸۴۱</w:t>
      </w:r>
    </w:p>
    <w:p>
      <w:pPr>
        <w:pStyle w:val="BookText"/>
      </w:pPr>
      <w:r>
        <w:rPr>
          <w:rFonts w:ascii="IRNazanin" w:hAnsi="IRNazanin" w:eastAsia="IRNazanin" w:cs="IRNazanin"/>
          <w:lang w:bidi="fa-IR"/>
          <w:color w:val="111111"/>
          <w:sz w:val="28"/>
          <w:szCs w:val="28"/>
          <w:rtl/>
        </w:rPr>
        <w:t xml:space="preserve">آغاز: برابر؛ انجام: جنبش بحر عشق پیدا شد موج زد نقش ما  هویدا شد</w:t>
      </w:r>
    </w:p>
    <w:p>
      <w:pPr>
        <w:pStyle w:val="BookText"/>
      </w:pPr>
      <w:r>
        <w:rPr>
          <w:rFonts w:ascii="IRNazanin" w:hAnsi="IRNazanin" w:eastAsia="IRNazanin" w:cs="IRNazanin"/>
          <w:lang w:bidi="fa-IR"/>
          <w:color w:val="111111"/>
          <w:sz w:val="28"/>
          <w:szCs w:val="28"/>
          <w:rtl/>
        </w:rPr>
        <w:t xml:space="preserve">خط ،شکسته، نستعلیق، بی کا، تا:جمادی الاول ۱۳۲۲ق؛ در انتهای نسخه دو یادداشت از عیسی بن محمد؛ کاغذ: کاغذ ،فرنگی ،جلد: میشن سرخ تازه، ۱۵۷گ، ۱۱سطر، اندازه: ۱۳/۱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۲۰/۸سم [ف: ۲ - ۲۴]</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تهران؛ مجلس؛ شماره نسخه: ۱۳۷۲۶</w:t>
      </w:r>
    </w:p>
    <w:p>
      <w:pPr>
        <w:pStyle w:val="BookText"/>
      </w:pPr>
      <w:r>
        <w:rPr>
          <w:rFonts w:ascii="IRNazanin" w:hAnsi="IRNazanin" w:eastAsia="IRNazanin" w:cs="IRNazanin"/>
          <w:lang w:bidi="fa-IR"/>
          <w:color w:val="111111"/>
          <w:sz w:val="28"/>
          <w:szCs w:val="28"/>
          <w:rtl/>
        </w:rPr>
        <w:t xml:space="preserve">آغاز: برابر ۲؛ انجام: برابر</w:t>
      </w:r>
    </w:p>
    <w:p>
      <w:pPr>
        <w:pStyle w:val="BookText"/>
      </w:pPr>
      <w:r>
        <w:rPr>
          <w:rFonts w:ascii="IRNazanin" w:hAnsi="IRNazanin" w:eastAsia="IRNazanin" w:cs="IRNazanin"/>
          <w:lang w:bidi="fa-IR"/>
          <w:color w:val="111111"/>
          <w:sz w:val="28"/>
          <w:szCs w:val="28"/>
          <w:rtl/>
        </w:rPr>
        <w:t xml:space="preserve">خط: نستعلیق، بی کا، بی تا، افتادگی: آغاز؛ تملک:(ع- انصار قراچه داغی) در طهران به تاریخ رجب ۱۳۵۲؛ جلد: مقوا عطف و گوشه پارچه ۱۴۳گ ۱۴ سطر 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۳۷-۲۵۲]</w:t>
      </w:r>
    </w:p>
    <w:p>
      <w:pPr>
        <w:pStyle w:val="BookText"/>
      </w:pPr>
      <w:r>
        <w:rPr>
          <w:rFonts w:ascii="IRNazanin" w:hAnsi="IRNazanin" w:eastAsia="IRNazanin" w:cs="IRNazanin"/>
          <w:lang w:bidi="fa-IR"/>
          <w:color w:val="111111"/>
          <w:sz w:val="28"/>
          <w:szCs w:val="28"/>
          <w:rtl/>
        </w:rPr>
        <w:t xml:space="preserve">«اسرار صحیفه خالد » صحیفه خالد</w:t>
      </w:r>
    </w:p>
    <w:p>
      <w:pPr>
        <w:pStyle w:val="BookText"/>
      </w:pPr>
      <w:r>
        <w:rPr>
          <w:rFonts w:ascii="Amiri" w:hAnsi="Amiri" w:eastAsia="Amiri" w:cs="Amiri"/>
          <w:lang w:bidi="ar-SA"/>
          <w:color w:val="111111"/>
          <w:sz w:val="28"/>
          <w:szCs w:val="28"/>
          <w:rtl/>
        </w:rPr>
        <w:t xml:space="preserve">«اسرار الصلاة » التنبيهات العلية على وظايف الصلوة القلبية  (ترجمه)</w:t>
      </w:r>
    </w:p>
    <w:p>
      <w:pPr>
        <w:pStyle w:val="BookText"/>
      </w:pPr>
      <w:r>
        <w:rPr>
          <w:rFonts w:ascii="Amiri" w:hAnsi="Amiri" w:eastAsia="Amiri" w:cs="Amiri"/>
          <w:lang w:bidi="ar-SA"/>
          <w:color w:val="111111"/>
          <w:sz w:val="28"/>
          <w:szCs w:val="28"/>
          <w:rtl/>
        </w:rPr>
        <w:t xml:space="preserve">«اسرار الصلاة » حلاوة العباد في الاعياد</w:t>
      </w:r>
    </w:p>
    <w:p>
      <w:pPr>
        <w:pStyle w:val="BookText"/>
      </w:pPr>
      <w:r>
        <w:rPr>
          <w:rFonts w:ascii="Amiri" w:hAnsi="Amiri" w:eastAsia="Amiri" w:cs="Amiri"/>
          <w:lang w:bidi="ar-SA"/>
          <w:color w:val="111111"/>
          <w:sz w:val="28"/>
          <w:szCs w:val="28"/>
          <w:rtl/>
        </w:rPr>
        <w:t xml:space="preserve">«اسرار الصلاة » مصباح النجاة فى النشأتين في سر الاستغفار  بين السجدتين</w:t>
      </w:r>
    </w:p>
    <w:p>
      <w:pPr>
        <w:pStyle w:val="BookText"/>
      </w:pPr>
      <w:r>
        <w:rPr>
          <w:rFonts w:ascii="Amiri" w:hAnsi="Amiri" w:eastAsia="Amiri" w:cs="Amiri"/>
          <w:lang w:bidi="ar-SA"/>
          <w:color w:val="111111"/>
          <w:sz w:val="28"/>
          <w:szCs w:val="28"/>
          <w:rtl/>
        </w:rPr>
        <w:t xml:space="preserve">«اسرار الصلاة » الصلاة</w:t>
      </w:r>
    </w:p>
    <w:p>
      <w:pPr>
        <w:pStyle w:val="BookText"/>
      </w:pPr>
      <w:r>
        <w:rPr>
          <w:rFonts w:ascii="Amiri" w:hAnsi="Amiri" w:eastAsia="Amiri" w:cs="Amiri"/>
          <w:lang w:bidi="ar-SA"/>
          <w:color w:val="111111"/>
          <w:sz w:val="28"/>
          <w:szCs w:val="28"/>
          <w:rtl/>
        </w:rPr>
        <w:t xml:space="preserve">«اسرار الصلاة » ثمرة الفؤاد</w:t>
      </w:r>
    </w:p>
    <w:p>
      <w:pPr>
        <w:pStyle w:val="BookText"/>
      </w:pPr>
      <w:r>
        <w:rPr>
          <w:rFonts w:ascii="Amiri" w:hAnsi="Amiri" w:eastAsia="Amiri" w:cs="Amiri"/>
          <w:lang w:bidi="ar-SA"/>
          <w:color w:val="111111"/>
          <w:sz w:val="28"/>
          <w:szCs w:val="28"/>
          <w:rtl/>
        </w:rPr>
        <w:t xml:space="preserve">«اسرار الصلاة » اسرار نماز</w:t>
      </w:r>
    </w:p>
    <w:p>
      <w:pPr>
        <w:pStyle w:val="BookText"/>
      </w:pPr>
      <w:r>
        <w:rPr>
          <w:rFonts w:ascii="Amiri" w:hAnsi="Amiri" w:eastAsia="Amiri" w:cs="Amiri"/>
          <w:lang w:bidi="ar-SA"/>
          <w:color w:val="111111"/>
          <w:sz w:val="28"/>
          <w:szCs w:val="28"/>
          <w:rtl/>
        </w:rPr>
        <w:t xml:space="preserve">«اسرار الصلاة » التنبيهات العلية على وظائف الصلاة القلبية</w:t>
      </w:r>
    </w:p>
    <w:p>
      <w:pPr>
        <w:pStyle w:val="BookText"/>
      </w:pPr>
      <w:r>
        <w:rPr>
          <w:rFonts w:ascii="Amiri" w:hAnsi="Amiri" w:eastAsia="Amiri" w:cs="Amiri"/>
          <w:lang w:bidi="ar-SA"/>
          <w:color w:val="111111"/>
          <w:sz w:val="28"/>
          <w:szCs w:val="28"/>
          <w:rtl/>
        </w:rPr>
        <w:t xml:space="preserve">« اسرار الصلاة » روح  الصلاة</w:t>
      </w:r>
    </w:p>
    <w:p>
      <w:pPr>
        <w:pStyle w:val="BookText"/>
      </w:pPr>
      <w:r>
        <w:rPr>
          <w:rFonts w:ascii="Amiri" w:hAnsi="Amiri" w:eastAsia="Amiri" w:cs="Amiri"/>
          <w:lang w:bidi="ar-SA"/>
          <w:color w:val="111111"/>
          <w:sz w:val="28"/>
          <w:szCs w:val="28"/>
          <w:rtl/>
        </w:rPr>
        <w:t xml:space="preserve">«اسرار الصلاة » خوان يغما</w:t>
      </w:r>
    </w:p>
    <w:p>
      <w:pPr>
        <w:pStyle w:val="BookText"/>
      </w:pPr>
      <w:r>
        <w:rPr>
          <w:rFonts w:ascii="Amiri" w:hAnsi="Amiri" w:eastAsia="Amiri" w:cs="Amiri"/>
          <w:lang w:bidi="ar-SA"/>
          <w:color w:val="111111"/>
          <w:sz w:val="28"/>
          <w:szCs w:val="28"/>
          <w:rtl/>
        </w:rPr>
        <w:t xml:space="preserve">«اسرار الصلاة » اسرار الغيوب</w:t>
      </w:r>
    </w:p>
    <w:p>
      <w:pPr>
        <w:pStyle w:val="Heading3"/>
      </w:pPr>
      <w:bookmarkStart w:id="1357" w:name="_Toc879"/>
      <w:r>
        <w:t>اسرار الصلاة / فلسفه احکام / عربی</w:t>
      </w:r>
      <w:bookmarkEnd w:id="1357"/>
    </w:p>
    <w:p>
      <w:pPr>
        <w:pStyle w:val="BookText"/>
      </w:pPr>
      <w:r>
        <w:rPr>
          <w:rFonts w:ascii="Times New Roman" w:hAnsi="Times New Roman" w:eastAsia="Times New Roman" w:cs="Times New Roman"/>
          <w:lang w:val="en-US" w:bidi="en-US"/>
          <w:color w:val="111111"/>
          <w:sz w:val="28"/>
          <w:szCs w:val="28"/>
          <w:rtl/>
        </w:rPr>
        <w:t xml:space="preserve">asrar-us-Salat</w:t>
      </w:r>
    </w:p>
    <w:p>
      <w:pPr>
        <w:pStyle w:val="BookText"/>
      </w:pPr>
      <w:r>
        <w:rPr>
          <w:rFonts w:ascii="IRNazanin" w:hAnsi="IRNazanin" w:eastAsia="IRNazanin" w:cs="IRNazanin"/>
          <w:lang w:bidi="fa-IR"/>
          <w:color w:val="111111"/>
          <w:sz w:val="28"/>
          <w:szCs w:val="28"/>
          <w:rtl/>
        </w:rPr>
        <w:t xml:space="preserve">ابن  عربی، محمد بن علی، ۵۶۰ - ۶۳۸ قمری</w:t>
      </w:r>
    </w:p>
    <w:p>
      <w:pPr>
        <w:pStyle w:val="BookText"/>
      </w:pPr>
      <w:r>
        <w:rPr>
          <w:rFonts w:ascii="Times New Roman" w:hAnsi="Times New Roman" w:eastAsia="Times New Roman" w:cs="Times New Roman"/>
          <w:lang w:val="en-US" w:bidi="en-US"/>
          <w:color w:val="111111"/>
          <w:sz w:val="28"/>
          <w:szCs w:val="28"/>
          <w:rtl/>
        </w:rPr>
        <w:t xml:space="preserve">(ebn-e arabi, mohammad ebne ali (1166 - 1241)</w:t>
      </w:r>
    </w:p>
    <w:p>
      <w:pPr>
        <w:pStyle w:val="BookText"/>
      </w:pPr>
      <w:r>
        <w:rPr>
          <w:rFonts w:ascii="IRNazanin" w:hAnsi="IRNazanin" w:eastAsia="IRNazanin" w:cs="IRNazanin"/>
          <w:lang w:bidi="fa-IR"/>
          <w:color w:val="111111"/>
          <w:sz w:val="28"/>
          <w:szCs w:val="28"/>
          <w:rtl/>
        </w:rPr>
        <w:t xml:space="preserve">رساله ای کوتاه در بعضی از آداب و اسرار و حقیقت نماز به روش صوفیان و معنی نماز ظاهری و باطنی آن در سه «فصل» .١ مهية الصلاة .۲ ظاهر الصلاة وباطنها ؛٣. في أنها على من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245" w:name="pg20365_260351"/>
    <w:bookmarkEnd w:id="245"/>
    <w:p>
      <w:pPr>
        <w:pStyle w:val="BookText"/>
      </w:pPr>
      <w:r>
        <w:rPr>
          <w:rFonts w:ascii="IRNazanin" w:hAnsi="IRNazanin" w:eastAsia="IRNazanin" w:cs="IRNazanin"/>
          <w:lang w:bidi="fa-IR"/>
          <w:color w:val="111111"/>
          <w:sz w:val="28"/>
          <w:szCs w:val="28"/>
          <w:rtl/>
        </w:rPr>
        <w:t xml:space="preserve">تجب و على من لا تجب.</w:t>
      </w:r>
    </w:p>
    <w:p>
      <w:pPr>
        <w:pStyle w:val="BookText"/>
      </w:pPr>
      <w:r>
        <w:rPr>
          <w:rFonts w:ascii="Amiri" w:hAnsi="Amiri" w:eastAsia="Amiri" w:cs="Amiri"/>
          <w:lang w:bidi="ar-SA"/>
          <w:color w:val="111111"/>
          <w:sz w:val="28"/>
          <w:szCs w:val="28"/>
          <w:rtl/>
        </w:rPr>
        <w:t xml:space="preserve">آغاز: هذه رسالة فى الصلاة .... الفصلالأول فى مهية الصلاة و يحتاج فى هذا الفصل الى مقدمة فنقول.</w:t>
      </w:r>
    </w:p>
    <w:p>
      <w:pPr>
        <w:pStyle w:val="BookText"/>
      </w:pPr>
      <w:r>
        <w:rPr>
          <w:rFonts w:ascii="Amiri" w:hAnsi="Amiri" w:eastAsia="Amiri" w:cs="Amiri"/>
          <w:lang w:bidi="ar-SA"/>
          <w:color w:val="111111"/>
          <w:sz w:val="28"/>
          <w:szCs w:val="28"/>
          <w:rtl/>
        </w:rPr>
        <w:t xml:space="preserve">انجام: فان لذة الجماع لا يتصور للعنين و لذة النظر لا يصدق  به الأبله.</w:t>
      </w:r>
    </w:p>
    <w:p>
      <w:pPr>
        <w:pStyle w:val="BookText"/>
      </w:pPr>
      <w:r>
        <w:rPr>
          <w:rFonts w:ascii="IRNazanin" w:hAnsi="IRNazanin" w:eastAsia="IRNazanin" w:cs="IRNazanin"/>
          <w:lang w:bidi="fa-IR"/>
          <w:color w:val="111111"/>
          <w:sz w:val="28"/>
          <w:szCs w:val="28"/>
          <w:rtl/>
        </w:rPr>
        <w:t xml:space="preserve">قم: مرعشی؛ شماره نسخه:۸۵۵۶/۵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حاجی عبدالله  بن سید طه عرب، تا: قرن ۱۲؛ جـلد: مقوایی عطف تیماج قهوه ای، ۸ گ(۱۰۴پ-۱۱۱پ)، ۱۵ سـطر،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۲۲/۵سم [ف: ۲۲ – ۱۳۱]</w:t>
      </w:r>
    </w:p>
    <w:p>
      <w:pPr>
        <w:pStyle w:val="Heading3"/>
      </w:pPr>
      <w:bookmarkStart w:id="1358" w:name="_Toc880"/>
      <w:r>
        <w:t>اسرار الصلاة / عرفان و تصوف / فارسی</w:t>
      </w:r>
      <w:bookmarkEnd w:id="1358"/>
    </w:p>
    <w:p>
      <w:pPr>
        <w:pStyle w:val="BookText"/>
      </w:pPr>
      <w:r>
        <w:rPr>
          <w:rFonts w:ascii="Times New Roman" w:hAnsi="Times New Roman" w:eastAsia="Times New Roman" w:cs="Times New Roman"/>
          <w:lang w:val="en-US" w:bidi="en-US"/>
          <w:color w:val="111111"/>
          <w:sz w:val="28"/>
          <w:szCs w:val="28"/>
          <w:rtl/>
        </w:rPr>
        <w:t xml:space="preserve">asrār-uṣ-ṣalāt</w:t>
      </w:r>
    </w:p>
    <w:p>
      <w:pPr>
        <w:pStyle w:val="BookText"/>
      </w:pPr>
      <w:r>
        <w:rPr>
          <w:rFonts w:ascii="IRNazanin" w:hAnsi="IRNazanin" w:eastAsia="IRNazanin" w:cs="IRNazanin"/>
          <w:lang w:bidi="fa-IR"/>
          <w:color w:val="111111"/>
          <w:sz w:val="28"/>
          <w:szCs w:val="28"/>
          <w:rtl/>
        </w:rPr>
        <w:t xml:space="preserve">نعمة الله ولی، نعمة الله بن عبدالله، ۲۷۳۰ - ۸۳۴ قمری</w:t>
      </w:r>
    </w:p>
    <w:p>
      <w:pPr>
        <w:pStyle w:val="BookText"/>
      </w:pPr>
      <w:r>
        <w:rPr>
          <w:rFonts w:ascii="Times New Roman" w:hAnsi="Times New Roman" w:eastAsia="Times New Roman" w:cs="Times New Roman"/>
          <w:lang w:val="en-US" w:bidi="en-US"/>
          <w:color w:val="111111"/>
          <w:sz w:val="28"/>
          <w:szCs w:val="28"/>
          <w:rtl/>
        </w:rPr>
        <w:t xml:space="preserve">ne‘mat-ol-lāh-e valī, ne‘mat-ol-lāh ebn-e ‘abd-ol-lāh</w:t>
      </w:r>
    </w:p>
    <w:p>
      <w:pPr>
        <w:pStyle w:val="BookText"/>
      </w:pPr>
      <w:r>
        <w:rPr>
          <w:rFonts w:ascii="Times New Roman" w:hAnsi="Times New Roman" w:eastAsia="Times New Roman" w:cs="Times New Roman"/>
          <w:lang w:val="en-US" w:bidi="en-US"/>
          <w:color w:val="111111"/>
          <w:sz w:val="28"/>
          <w:szCs w:val="28"/>
          <w:rtl/>
        </w:rPr>
        <w:t xml:space="preserve">(330-1431)</w:t>
      </w:r>
    </w:p>
    <w:p>
      <w:pPr>
        <w:pStyle w:val="BookText"/>
      </w:pPr>
      <w:r>
        <w:rPr>
          <w:rFonts w:ascii="IRNazanin" w:hAnsi="IRNazanin" w:eastAsia="IRNazanin" w:cs="IRNazanin"/>
          <w:lang w:bidi="fa-IR"/>
          <w:color w:val="111111"/>
          <w:sz w:val="28"/>
          <w:szCs w:val="28"/>
          <w:rtl/>
        </w:rPr>
        <w:t xml:space="preserve">در این رساله به روش عرفانی راز نماز را روشن ساخته است.</w:t>
      </w:r>
    </w:p>
    <w:p>
      <w:pPr>
        <w:pStyle w:val="BookText"/>
      </w:pPr>
      <w:r>
        <w:rPr>
          <w:rFonts w:ascii="IRNazanin" w:hAnsi="IRNazanin" w:eastAsia="IRNazanin" w:cs="IRNazanin"/>
          <w:lang w:bidi="fa-IR"/>
          <w:color w:val="111111"/>
          <w:sz w:val="28"/>
          <w:szCs w:val="28"/>
          <w:rtl/>
        </w:rPr>
        <w:t xml:space="preserve">تهران؛ دانشگاه؛ شماره نسخه: ۸۹۰/۱۰</w:t>
      </w:r>
    </w:p>
    <w:p>
      <w:pPr>
        <w:pStyle w:val="BookText"/>
      </w:pPr>
      <w:r>
        <w:rPr>
          <w:rFonts w:ascii="IRNazanin" w:hAnsi="IRNazanin" w:eastAsia="IRNazanin" w:cs="IRNazanin"/>
          <w:lang w:bidi="fa-IR"/>
          <w:color w:val="111111"/>
          <w:sz w:val="28"/>
          <w:szCs w:val="28"/>
          <w:rtl/>
        </w:rPr>
        <w:t xml:space="preserve">آغاز: الحمد لله رب العالمين ... اما بعد روزی جمعی از شاه نعمة الله ولی پرسید که نماز چون میگذارید؛ انجام: تا از ملازمت عبودیت محروم ننماید والله اعلم بالصواب و اليه المرجع و المآب.</w:t>
      </w:r>
    </w:p>
    <w:p>
      <w:pPr>
        <w:pStyle w:val="BookText"/>
      </w:pPr>
      <w:r>
        <w:rPr>
          <w:rFonts w:ascii="IRNazanin" w:hAnsi="IRNazanin" w:eastAsia="IRNazanin" w:cs="IRNazanin"/>
          <w:lang w:bidi="fa-IR"/>
          <w:color w:val="111111"/>
          <w:sz w:val="28"/>
          <w:szCs w:val="28"/>
          <w:rtl/>
        </w:rPr>
        <w:t xml:space="preserve">خط: تعلیق، بی کا، بی تا؛ ۲گ( ۵۴ر - ۵۵پ) [ف:۳ - ۴۰۶]</w:t>
      </w:r>
    </w:p>
    <w:p>
      <w:pPr>
        <w:pStyle w:val="Heading3"/>
      </w:pPr>
      <w:bookmarkStart w:id="1359" w:name="_Toc881"/>
      <w:r>
        <w:t>اسرار الصلاة / فلسفه احكام,عرفان و تصوف / فارسی</w:t>
      </w:r>
      <w:bookmarkEnd w:id="1359"/>
    </w:p>
    <w:p>
      <w:pPr>
        <w:pStyle w:val="BookText"/>
      </w:pPr>
      <w:r>
        <w:rPr>
          <w:rFonts w:ascii="Times New Roman" w:hAnsi="Times New Roman" w:eastAsia="Times New Roman" w:cs="Times New Roman"/>
          <w:lang w:val="en-US" w:bidi="en-US"/>
          <w:color w:val="111111"/>
          <w:sz w:val="28"/>
          <w:szCs w:val="28"/>
          <w:rtl/>
        </w:rPr>
        <w:t xml:space="preserve">asrār-uṣ-ṣalāt</w:t>
      </w:r>
    </w:p>
    <w:p>
      <w:pPr>
        <w:pStyle w:val="BookText"/>
      </w:pPr>
      <w:r>
        <w:rPr>
          <w:rFonts w:ascii="IRNazanin" w:hAnsi="IRNazanin" w:eastAsia="IRNazanin" w:cs="IRNazanin"/>
          <w:lang w:bidi="fa-IR"/>
          <w:color w:val="111111"/>
          <w:sz w:val="28"/>
          <w:szCs w:val="28"/>
          <w:rtl/>
        </w:rPr>
        <w:t xml:space="preserve">ترکه اصفهانی، علی بن محمد، - ۸۳۵ ؟ قمری</w:t>
      </w:r>
    </w:p>
    <w:p>
      <w:pPr>
        <w:pStyle w:val="BookText"/>
      </w:pPr>
      <w:r>
        <w:rPr>
          <w:rFonts w:ascii="Times New Roman" w:hAnsi="Times New Roman" w:eastAsia="Times New Roman" w:cs="Times New Roman"/>
          <w:lang w:val="en-US" w:bidi="en-US"/>
          <w:color w:val="111111"/>
          <w:sz w:val="28"/>
          <w:szCs w:val="28"/>
          <w:rtl/>
        </w:rPr>
        <w:t xml:space="preserve">(torke esfahānī, ‘alī ebn-e mohammad (- 1432)</w:t>
      </w:r>
    </w:p>
    <w:p>
      <w:pPr>
        <w:pStyle w:val="BookText"/>
      </w:pPr>
      <w:r>
        <w:rPr>
          <w:rFonts w:ascii="IRNazanin" w:hAnsi="IRNazanin" w:eastAsia="IRNazanin" w:cs="IRNazanin"/>
          <w:lang w:bidi="fa-IR"/>
          <w:color w:val="111111"/>
          <w:sz w:val="28"/>
          <w:szCs w:val="28"/>
          <w:rtl/>
        </w:rPr>
        <w:t xml:space="preserve">تاریخ تالیف: پنج شنبه ۲۱ جمادی الثاني ۸۲۰ق؛ محل تأليف: هرات</w:t>
      </w:r>
    </w:p>
    <w:p>
      <w:pPr>
        <w:pStyle w:val="BookText"/>
      </w:pPr>
      <w:r>
        <w:rPr>
          <w:rFonts w:ascii="IRNazanin" w:hAnsi="IRNazanin" w:eastAsia="IRNazanin" w:cs="IRNazanin"/>
          <w:lang w:bidi="fa-IR"/>
          <w:color w:val="111111"/>
          <w:sz w:val="28"/>
          <w:szCs w:val="28"/>
          <w:rtl/>
        </w:rPr>
        <w:t xml:space="preserve">در اسرار نماز به روشی عرفانی آن گونه که در کلمات عرف صوفیه تشریح شده است. دارای ۱ «مقدمه» و ۲ «باب»: مقدمه طبایع و عناصر و ارکان چهارگانه؛ باب اول در طهارت و تحقیق و ارکان معنوی آن در دو «صحیفه» و یک«تذنيب»: صحیفه1. حقیقت طهارت و اقسام ،آن .۲. ارکان وضو و حکمت آن؛ 3.تذنيب در سنن وضو؛ باب دوم در نماز در چند «صحیفه»1. معنی ،نماز .۴ .اوقات ،نماز .۵ .شرایط نماز و تحقیق معانی آن؛ تذنيب در سنت در چند فصل.</w:t>
      </w:r>
    </w:p>
    <w:p>
      <w:pPr>
        <w:pStyle w:val="BookText"/>
      </w:pPr>
      <w:r>
        <w:rPr>
          <w:rFonts w:ascii="IRNazanin" w:hAnsi="IRNazanin" w:eastAsia="IRNazanin" w:cs="IRNazanin"/>
          <w:lang w:bidi="fa-IR"/>
          <w:color w:val="111111"/>
          <w:sz w:val="28"/>
          <w:szCs w:val="28"/>
          <w:rtl/>
        </w:rPr>
        <w:t xml:space="preserve">آغاز: بسمله. رب يسرو تمم بالخير شکر و سپاس پروردگاری که شاه را بندگی بارگاه جلالش که بسر حد هدایت ابدی و سعادت سرمدی میرود بفرستاد گل پیغمبران مرسل و افعال  و اموال غوایت زدایشان بی سپر و روشن گردانید بیت. بجان  گفت باید نفس بر نفس *** که شکرش نه کار زبانست و بس</w:t>
      </w:r>
    </w:p>
    <w:p>
      <w:pPr>
        <w:pStyle w:val="BookText"/>
      </w:pPr>
      <w:r>
        <w:rPr>
          <w:rFonts w:ascii="IRNazanin" w:hAnsi="IRNazanin" w:eastAsia="IRNazanin" w:cs="IRNazanin"/>
          <w:lang w:bidi="fa-IR"/>
          <w:color w:val="111111"/>
          <w:sz w:val="28"/>
          <w:szCs w:val="28"/>
          <w:rtl/>
        </w:rPr>
        <w:t xml:space="preserve">انجام: چنگ در گفته یزدان و پیمبر زن – و زو کانچه قرآن و خبرست فسونست [و] هوس - وصلى الله على من انزل عليه القرآن و ختم به کمال الانسان محمد و آله و صحبه متممی بنیان الايمان اللهم صل عليه و على آله كلما ذكر الذاكرون و سهى عنه الغافلون.</w:t>
      </w:r>
    </w:p>
    <w:p>
      <w:pPr>
        <w:pStyle w:val="BookText"/>
      </w:pPr>
      <w:r>
        <w:rPr>
          <w:rFonts w:ascii="IRNazanin" w:hAnsi="IRNazanin" w:eastAsia="IRNazanin" w:cs="IRNazanin"/>
          <w:lang w:bidi="fa-IR"/>
          <w:color w:val="111111"/>
          <w:sz w:val="28"/>
          <w:szCs w:val="28"/>
          <w:rtl/>
        </w:rPr>
        <w:t xml:space="preserve">چاپ: در چهارده رساله فارسی از صاین الدین علی بن محمد ترکه  اصفهانی، به کوشش علی موسوی بهبهانی و ابراهیم دیباجی (تهران تقی شریف رضایی 1351)</w:t>
      </w:r>
    </w:p>
    <w:p>
      <w:pPr>
        <w:pStyle w:val="BookText"/>
      </w:pPr>
      <w:r>
        <w:rPr>
          <w:rFonts w:ascii="IRNazanin" w:hAnsi="IRNazanin" w:eastAsia="IRNazanin" w:cs="IRNazanin"/>
          <w:lang w:bidi="fa-IR"/>
          <w:color w:val="111111"/>
          <w:sz w:val="28"/>
          <w:szCs w:val="28"/>
          <w:rtl/>
        </w:rPr>
        <w:t xml:space="preserve">[فهرستواره منزوی۶۴/۷ (۵ نسخه داخلی)]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مجلس؛ شماره نسخه: ۱۰۱۹۶/۱۷</w:t>
      </w:r>
    </w:p>
    <w:p>
      <w:pPr>
        <w:pStyle w:val="BookText"/>
      </w:pPr>
      <w:r>
        <w:rPr>
          <w:rFonts w:ascii="Amiri" w:hAnsi="Amiri" w:eastAsia="Amiri" w:cs="Amiri"/>
          <w:lang w:bidi="ar-SA"/>
          <w:color w:val="111111"/>
          <w:sz w:val="28"/>
          <w:szCs w:val="28"/>
          <w:rtl/>
        </w:rPr>
        <w:t xml:space="preserve">آغاز: برابر؛ انجام: اللهم صل عليه و على آله كلما ذكره ... و قد وقع الفراغ ... لسنة ۸۲۰ ببلدة هرات.</w:t>
      </w:r>
    </w:p>
    <w:p>
      <w:pPr>
        <w:pStyle w:val="BookText"/>
      </w:pPr>
      <w:r>
        <w:rPr>
          <w:rFonts w:ascii="IRNazanin" w:hAnsi="IRNazanin" w:eastAsia="IRNazanin" w:cs="IRNazanin"/>
          <w:lang w:bidi="fa-IR"/>
          <w:color w:val="111111"/>
          <w:sz w:val="28"/>
          <w:szCs w:val="28"/>
          <w:rtl/>
        </w:rPr>
        <w:t xml:space="preserve">خط: نسخ، بی کا، تا:828- 841ق؛ خط مؤلف و شرف الدين على یزدی و دیگران در برخی صفحات مصحح، محشی از مؤلف، علی یزدی و نوری جلد: تیماج ،مشکی۱۱ص (۱۲۹-۱۳۹)، ۲۳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۲۳سم [ف: ۳۲ - ۲۳۸]</w:t>
      </w:r>
    </w:p>
    <w:p>
      <w:pPr>
        <w:pStyle w:val="BookText"/>
      </w:pPr>
      <w:r>
        <w:rPr>
          <w:rFonts w:ascii="IRNazanin" w:hAnsi="IRNazanin" w:eastAsia="IRNazanin" w:cs="IRNazanin"/>
          <w:lang w:bidi="fa-IR"/>
          <w:color w:val="111111"/>
          <w:sz w:val="28"/>
          <w:szCs w:val="28"/>
          <w:rtl/>
        </w:rPr>
        <w:t xml:space="preserve">۲. تهران؛ دانشگاه؛ شماره نسخه: ۴۴۲/۱۴ف</w:t>
      </w:r>
    </w:p>
    <w:p>
      <w:pPr>
        <w:pStyle w:val="BookText"/>
      </w:pPr>
      <w:r>
        <w:rPr>
          <w:rFonts w:ascii="IRNazanin" w:hAnsi="IRNazanin" w:eastAsia="IRNazanin" w:cs="IRNazanin"/>
          <w:lang w:bidi="fa-IR"/>
          <w:color w:val="111111"/>
          <w:sz w:val="28"/>
          <w:szCs w:val="28"/>
          <w:rtl/>
        </w:rPr>
        <w:t xml:space="preserve">در فهرست از ،جیلانی ،عبدالكريم بن ابراهيم (۷۶۷- 832) دانسته شده که صحیح نیست؛ نسخه اصل: بايزيد ولى الدين ش ۱۸۲۵؛ خط: نسخ، بی کا، تا: ۲۷ ربیع الثانی ۸۵۱ق، جا: ابرقوه؛ ۳۶گ (۱۴۲-۱۷۷)، ۱۹ سطر [ فیلم ها-ف: ۱ - ۴۷۷]</w:t>
      </w:r>
    </w:p>
    <w:p>
      <w:pPr>
        <w:pStyle w:val="BookText"/>
      </w:pPr>
      <w:r>
        <w:rPr>
          <w:rFonts w:ascii="IRNazanin" w:hAnsi="IRNazanin" w:eastAsia="IRNazanin" w:cs="IRNazanin"/>
          <w:lang w:bidi="fa-IR"/>
          <w:color w:val="111111"/>
          <w:sz w:val="28"/>
          <w:szCs w:val="28"/>
          <w:rtl/>
        </w:rPr>
        <w:t xml:space="preserve">۳. تهران؛ باقر رقت (ترقی)؛ شماره نسخه: بدون شماره/۳</w:t>
      </w:r>
    </w:p>
    <w:p>
      <w:pPr>
        <w:pStyle w:val="BookText"/>
      </w:pPr>
      <w:r>
        <w:rPr>
          <w:rFonts w:ascii="IRNazanin" w:hAnsi="IRNazanin" w:eastAsia="IRNazanin" w:cs="IRNazanin"/>
          <w:lang w:bidi="fa-IR"/>
          <w:color w:val="111111"/>
          <w:sz w:val="28"/>
          <w:szCs w:val="28"/>
          <w:rtl/>
        </w:rPr>
        <w:t xml:space="preserve">كا : عبد القادر بن محمد بن افضل  خراسانی، تا: ۱۶ جمادی الثانی ۹۰۱ ق [ ميراث اسلامی: ۵ - ۶۲۴]</w:t>
      </w:r>
    </w:p>
    <w:p>
      <w:pPr>
        <w:pStyle w:val="BookText"/>
      </w:pPr>
      <w:r>
        <w:rPr>
          <w:rFonts w:ascii="IRNazanin" w:hAnsi="IRNazanin" w:eastAsia="IRNazanin" w:cs="IRNazanin"/>
          <w:lang w:bidi="fa-IR"/>
          <w:color w:val="111111"/>
          <w:sz w:val="28"/>
          <w:szCs w:val="28"/>
          <w:rtl/>
        </w:rPr>
        <w:t xml:space="preserve">۴ .تهران؛ دانشگاه ؛شماره نسخه ۵۸۵۸/۲</w:t>
      </w:r>
    </w:p>
    <w:p>
      <w:pPr>
        <w:pStyle w:val="BookText"/>
      </w:pPr>
      <w:r>
        <w:rPr>
          <w:rFonts w:ascii="IRNazanin" w:hAnsi="IRNazanin" w:eastAsia="IRNazanin" w:cs="IRNazanin"/>
          <w:lang w:bidi="fa-IR"/>
          <w:color w:val="111111"/>
          <w:sz w:val="28"/>
          <w:szCs w:val="28"/>
          <w:rtl/>
        </w:rPr>
        <w:t xml:space="preserve">خط: نستعلیق ،کا: مرتضی بن محمد  حسینی، تا: جمادی الاول ۱۰۴۸ق؛ کاغذ: فرنگی، جلد: مقوا، ۶۲گ (۸۹-۱۵۰)، ۱۷ سطر  (9</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قطع ،بغلی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 ۱۶ -۱۰۹]</w:t>
      </w:r>
    </w:p>
    <w:p>
      <w:pPr>
        <w:pStyle w:val="BookText"/>
      </w:pPr>
      <w:r>
        <w:rPr>
          <w:rFonts w:ascii="IRNazanin" w:hAnsi="IRNazanin" w:eastAsia="IRNazanin" w:cs="IRNazanin"/>
          <w:lang w:bidi="fa-IR"/>
          <w:color w:val="111111"/>
          <w:sz w:val="28"/>
          <w:szCs w:val="28"/>
          <w:rtl/>
        </w:rPr>
        <w:t xml:space="preserve">۵. قم: مرعشی؛ شماره نسخه: ۹۲۶۳/۲</w:t>
      </w:r>
    </w:p>
    <w:p>
      <w:pPr>
        <w:pStyle w:val="BookText"/>
      </w:pPr>
      <w:r>
        <w:rPr>
          <w:rFonts w:ascii="IRNazanin" w:hAnsi="IRNazanin" w:eastAsia="IRNazanin" w:cs="IRNazanin"/>
          <w:lang w:bidi="fa-IR"/>
          <w:color w:val="111111"/>
          <w:sz w:val="28"/>
          <w:szCs w:val="28"/>
          <w:rtl/>
        </w:rPr>
        <w:t xml:space="preserve">خط: نستعلیق، بی کا، تا: جمادی الثانی ۱۰۶۱ق؛ جلد: تیماج قهوه ای بدون  مقوا، ۸۷گ (۶۵ر-۱۵۱ر)، ۱۶ سطر، اندازه: 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۲۴ - ۵۶]</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قم؛ مرعشی؛ شماره نسخه: ۳۰۳۵/۱۶</w:t>
      </w:r>
    </w:p>
    <w:p>
      <w:pPr>
        <w:pStyle w:val="BookText"/>
      </w:pPr>
      <w:r>
        <w:rPr>
          <w:rFonts w:ascii="IRNazanin" w:hAnsi="IRNazanin" w:eastAsia="IRNazanin" w:cs="IRNazanin"/>
          <w:lang w:bidi="fa-IR"/>
          <w:color w:val="111111"/>
          <w:sz w:val="28"/>
          <w:szCs w:val="28"/>
          <w:rtl/>
        </w:rPr>
        <w:t xml:space="preserve">آغاز: برابر؛ انجام: اول و آخر قرآن زچه با آمد و سین *** یعنی اندر ره دین رهبرتان قرآنست</w:t>
      </w:r>
    </w:p>
    <w:p>
      <w:pPr>
        <w:pStyle w:val="BookText"/>
      </w:pPr>
      <w:r>
        <w:rPr>
          <w:rFonts w:ascii="IRNazanin" w:hAnsi="IRNazanin" w:eastAsia="IRNazanin" w:cs="IRNazanin"/>
          <w:lang w:bidi="fa-IR"/>
          <w:color w:val="111111"/>
          <w:sz w:val="28"/>
          <w:szCs w:val="28"/>
          <w:rtl/>
        </w:rPr>
        <w:t xml:space="preserve">خط: نستعليق، كا: محمد صالح اصفهانی، تا: یکشنبه ۱۷ جمادی الثانی ۱۰۸۴ق؛ جلد: دو رو تیماج رو قرمز ضربی پشت سبز، ۳۰گ( ۱۳۹پ - ۱۶۸ر)، ۱۵ سطر،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۱۸/۵سم[ف:۸-۲۳۴]</w:t>
      </w:r>
    </w:p>
    <w:p>
      <w:pPr>
        <w:pStyle w:val="BookText"/>
      </w:pPr>
      <w:r>
        <w:rPr>
          <w:rFonts w:ascii="IRNazanin" w:hAnsi="IRNazanin" w:eastAsia="IRNazanin" w:cs="IRNazanin"/>
          <w:lang w:bidi="fa-IR"/>
          <w:color w:val="111111"/>
          <w:sz w:val="28"/>
          <w:szCs w:val="28"/>
          <w:rtl/>
        </w:rPr>
        <w:t xml:space="preserve">7.تهران؛ دانشگاه؛ شماره نسخه: ۲۸۱۴/۲-ف</w:t>
      </w:r>
    </w:p>
    <w:p>
      <w:pPr>
        <w:pStyle w:val="BookText"/>
      </w:pPr>
      <w:r>
        <w:rPr>
          <w:rFonts w:ascii="IRNazanin" w:hAnsi="IRNazanin" w:eastAsia="IRNazanin" w:cs="IRNazanin"/>
          <w:lang w:bidi="fa-IR"/>
          <w:color w:val="111111"/>
          <w:sz w:val="28"/>
          <w:szCs w:val="28"/>
          <w:rtl/>
        </w:rPr>
        <w:t xml:space="preserve">نسخه  اصل: کتابخانه سعید  نفیسی، ش ۳۶۰ ؛خط: نستعلیق، کا: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246" w:name="pg20365_260352"/>
    <w:bookmarkEnd w:id="246"/>
    <w:p>
      <w:pPr>
        <w:pStyle w:val="BookText"/>
      </w:pPr>
      <w:r>
        <w:rPr>
          <w:rFonts w:ascii="IRNazanin" w:hAnsi="IRNazanin" w:eastAsia="IRNazanin" w:cs="IRNazanin"/>
          <w:lang w:bidi="fa-IR"/>
          <w:color w:val="111111"/>
          <w:sz w:val="28"/>
          <w:szCs w:val="28"/>
          <w:rtl/>
        </w:rPr>
        <w:t xml:space="preserve">مرتضى بن محمد حسینی، تا: ۱۰۸۴ق [ فیلم ها-ف: ۱ - ۷۳۴]</w:t>
      </w:r>
    </w:p>
    <w:p>
      <w:pPr>
        <w:pStyle w:val="BookText"/>
      </w:pPr>
      <w:r>
        <w:rPr>
          <w:rFonts w:ascii="IRNazanin" w:hAnsi="IRNazanin" w:eastAsia="IRNazanin" w:cs="IRNazanin"/>
          <w:lang w:bidi="fa-IR"/>
          <w:color w:val="111111"/>
          <w:sz w:val="28"/>
          <w:szCs w:val="28"/>
          <w:rtl/>
        </w:rPr>
        <w:t xml:space="preserve">۸. تهران؛ ادبیات؛ شماره نسخه: ۳۲۶/۱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در یک مقدمه و دو باب، خط: نستعلیق، بی کا، تا: ۱۰۸۸ق[ ف: 3- 48]</w:t>
      </w:r>
    </w:p>
    <w:p>
      <w:pPr>
        <w:pStyle w:val="BookText"/>
      </w:pPr>
      <w:r>
        <w:rPr>
          <w:rFonts w:ascii="IRNazanin" w:hAnsi="IRNazanin" w:eastAsia="IRNazanin" w:cs="IRNazanin"/>
          <w:lang w:bidi="fa-IR"/>
          <w:color w:val="111111"/>
          <w:sz w:val="28"/>
          <w:szCs w:val="28"/>
          <w:rtl/>
        </w:rPr>
        <w:t xml:space="preserve">9.تهران؛ مجلس؛ شماره نسخه: ۱۰۳۱۹/۵</w:t>
      </w:r>
    </w:p>
    <w:p>
      <w:pPr>
        <w:pStyle w:val="BookText"/>
      </w:pPr>
      <w:r>
        <w:rPr>
          <w:rFonts w:ascii="IRNazanin" w:hAnsi="IRNazanin" w:eastAsia="IRNazanin" w:cs="IRNazanin"/>
          <w:lang w:bidi="fa-IR"/>
          <w:color w:val="111111"/>
          <w:sz w:val="28"/>
          <w:szCs w:val="28"/>
          <w:rtl/>
        </w:rPr>
        <w:t xml:space="preserve">آغاز: برابر؛ انجام: یعنی اندرره دین رهبرتان قرآن بس.</w:t>
      </w:r>
    </w:p>
    <w:p>
      <w:pPr>
        <w:pStyle w:val="BookText"/>
      </w:pPr>
      <w:r>
        <w:rPr>
          <w:rFonts w:ascii="IRNazanin" w:hAnsi="IRNazanin" w:eastAsia="IRNazanin" w:cs="IRNazanin"/>
          <w:lang w:bidi="fa-IR"/>
          <w:color w:val="111111"/>
          <w:sz w:val="28"/>
          <w:szCs w:val="28"/>
          <w:rtl/>
        </w:rPr>
        <w:t xml:space="preserve">خط: نسخ و نستعلیق، بی کا، تا: قرن ۱۳؛ مصحح،  مجدول، دارای ، چند سرلوح مذهب و مرصع؛ جلد: تیماج دورو، قرمز و مشکـی، مجدول ۲۶ ص (۶۲۹-۶۵۴) ۲۵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۲۷/۵سم [[ ٣٢  - 321]</w:t>
      </w:r>
    </w:p>
    <w:p>
      <w:pPr>
        <w:pStyle w:val="BookText"/>
      </w:pPr>
      <w:r>
        <w:rPr>
          <w:rFonts w:ascii="IRNazanin" w:hAnsi="IRNazanin" w:eastAsia="IRNazanin" w:cs="IRNazanin"/>
          <w:lang w:bidi="fa-IR"/>
          <w:color w:val="111111"/>
          <w:sz w:val="28"/>
          <w:szCs w:val="28"/>
          <w:rtl/>
        </w:rPr>
        <w:t xml:space="preserve">۱۰ . قزوین؛ امام صادق؛ شماره نسخه: ۳۱۲/۱۱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بی  تا؛ جلد: تیماج ۳۰گ [ف ۱ - ۳۱۵]</w:t>
      </w:r>
    </w:p>
    <w:p>
      <w:pPr>
        <w:pStyle w:val="BookText"/>
      </w:pPr>
      <w:r>
        <w:rPr>
          <w:rFonts w:ascii="IRNazanin" w:hAnsi="IRNazanin" w:eastAsia="IRNazanin" w:cs="IRNazanin"/>
          <w:lang w:bidi="fa-IR"/>
          <w:color w:val="111111"/>
          <w:sz w:val="28"/>
          <w:szCs w:val="28"/>
          <w:rtl/>
        </w:rPr>
        <w:t xml:space="preserve">١١ . نجف آباد؛ حججی؛ شماره نسخه: ۲۰/۲۰</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كا: محمد قاسم بن تاج الدین محمود حسینی؛ بی تا، ۴۷گ (۲۳۵پ-۱۸۹پ)، اندازه: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 ۴۶]  ۱۲. تهران؛ ملک؛ شماره نسخه: ۴۰۲۹/۷</w:t>
      </w:r>
    </w:p>
    <w:p>
      <w:pPr>
        <w:pStyle w:val="BookText"/>
      </w:pPr>
      <w:r>
        <w:rPr>
          <w:rFonts w:ascii="IRNazanin" w:hAnsi="IRNazanin" w:eastAsia="IRNazanin" w:cs="IRNazanin"/>
          <w:lang w:bidi="fa-IR"/>
          <w:color w:val="111111"/>
          <w:sz w:val="28"/>
          <w:szCs w:val="28"/>
          <w:rtl/>
        </w:rPr>
        <w:t xml:space="preserve">خط: نستعلیق، بی کا، بی تا :کاغذ: پسته ای ،جلد: میشن قهوه ای سیر ضربی، ۲۰  سطر، اندازه: 15/2</w:t>
      </w:r>
      <w:r>
        <w:rPr>
          <w:rFonts w:ascii="Times New Roman" w:hAnsi="Times New Roman" w:eastAsia="Times New Roman" w:cs="Times New Roman"/>
          <w:lang w:val="en-US" w:bidi="en-US"/>
          <w:color w:val="111111"/>
          <w:sz w:val="28"/>
          <w:szCs w:val="28"/>
          <w:rtl/>
        </w:rPr>
        <w:t xml:space="preserve">×20/7</w:t>
      </w:r>
      <w:r>
        <w:rPr>
          <w:rFonts w:ascii="IRNazanin" w:hAnsi="IRNazanin" w:eastAsia="IRNazanin" w:cs="IRNazanin"/>
          <w:lang w:bidi="fa-IR"/>
          <w:color w:val="111111"/>
          <w:sz w:val="28"/>
          <w:szCs w:val="28"/>
          <w:rtl/>
        </w:rPr>
        <w:t xml:space="preserve">سم [ف: ۷ - ۱۵۳]</w:t>
      </w:r>
    </w:p>
    <w:p>
      <w:pPr>
        <w:pStyle w:val="BookText"/>
      </w:pPr>
      <w:r>
        <w:rPr>
          <w:rFonts w:ascii="IRNazanin" w:hAnsi="IRNazanin" w:eastAsia="IRNazanin" w:cs="IRNazanin"/>
          <w:lang w:bidi="fa-IR"/>
          <w:color w:val="111111"/>
          <w:sz w:val="28"/>
          <w:szCs w:val="28"/>
          <w:rtl/>
        </w:rPr>
        <w:t xml:space="preserve">13 . مشهد؛ رضوی؛ شماره نسخه: ۲۶۳۲۶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بی تا[ رایانه]</w:t>
      </w:r>
    </w:p>
    <w:p>
      <w:pPr>
        <w:pStyle w:val="Heading3"/>
      </w:pPr>
      <w:bookmarkStart w:id="1360" w:name="_Toc882"/>
      <w:r>
        <w:t>اسرار الصلاة / فلسفه احکام / عربی</w:t>
      </w:r>
      <w:bookmarkEnd w:id="1360"/>
    </w:p>
    <w:p>
      <w:pPr>
        <w:pStyle w:val="BookText"/>
      </w:pPr>
      <w:r>
        <w:rPr>
          <w:rFonts w:ascii="Times New Roman" w:hAnsi="Times New Roman" w:eastAsia="Times New Roman" w:cs="Times New Roman"/>
          <w:lang w:val="en-US" w:bidi="en-US"/>
          <w:color w:val="111111"/>
          <w:sz w:val="28"/>
          <w:szCs w:val="28"/>
          <w:rtl/>
        </w:rPr>
        <w:t xml:space="preserve">asrār-uṣ-ṣalāt</w:t>
      </w:r>
    </w:p>
    <w:p>
      <w:pPr>
        <w:pStyle w:val="BookText"/>
      </w:pPr>
      <w:r>
        <w:rPr>
          <w:rFonts w:ascii="IRNazanin" w:hAnsi="IRNazanin" w:eastAsia="IRNazanin" w:cs="IRNazanin"/>
          <w:lang w:bidi="fa-IR"/>
          <w:color w:val="111111"/>
          <w:sz w:val="28"/>
          <w:szCs w:val="28"/>
          <w:rtl/>
        </w:rPr>
        <w:t xml:space="preserve">نصیری  طوسی، محمد تقی بن عبدالحسین، ق ۱۱ قمری</w:t>
      </w:r>
    </w:p>
    <w:p>
      <w:pPr>
        <w:pStyle w:val="BookText"/>
      </w:pPr>
      <w:r>
        <w:rPr>
          <w:rFonts w:ascii="Times New Roman" w:hAnsi="Times New Roman" w:eastAsia="Times New Roman" w:cs="Times New Roman"/>
          <w:lang w:val="en-US" w:bidi="en-US"/>
          <w:color w:val="111111"/>
          <w:sz w:val="28"/>
          <w:szCs w:val="28"/>
          <w:rtl/>
        </w:rPr>
        <w:t xml:space="preserve">(nasīrī tūsī, mohammad taqī ebn-e ‘abd-ol-hoseyn (-17c</w:t>
      </w:r>
    </w:p>
    <w:p>
      <w:pPr>
        <w:pStyle w:val="BookText"/>
      </w:pPr>
      <w:r>
        <w:rPr>
          <w:rFonts w:ascii="IRNazanin" w:hAnsi="IRNazanin" w:eastAsia="IRNazanin" w:cs="IRNazanin"/>
          <w:lang w:bidi="fa-IR"/>
          <w:color w:val="111111"/>
          <w:sz w:val="28"/>
          <w:szCs w:val="28"/>
          <w:rtl/>
        </w:rPr>
        <w:t xml:space="preserve">بخشی از مجموعه دست نوشته خود او است؛ که سربندهای «ناموس اکبر»، «فن» و «اصل» دارد این رساله نیز سربندهای« فصل» بیشماره دارد.</w:t>
      </w:r>
    </w:p>
    <w:p>
      <w:pPr>
        <w:pStyle w:val="BookText"/>
      </w:pPr>
      <w:r>
        <w:rPr>
          <w:rFonts w:ascii="IRNazanin" w:hAnsi="IRNazanin" w:eastAsia="IRNazanin" w:cs="IRNazanin"/>
          <w:lang w:bidi="fa-IR"/>
          <w:color w:val="111111"/>
          <w:sz w:val="28"/>
          <w:szCs w:val="28"/>
          <w:rtl/>
        </w:rPr>
        <w:t xml:space="preserve">تهران؛ حقوق؛ شماره نسخه: ۱۱۱/۱۲ - ب</w:t>
      </w:r>
    </w:p>
    <w:p>
      <w:pPr>
        <w:pStyle w:val="BookText"/>
      </w:pPr>
      <w:r>
        <w:rPr>
          <w:rFonts w:ascii="IRNazanin" w:hAnsi="IRNazanin" w:eastAsia="IRNazanin" w:cs="IRNazanin"/>
          <w:lang w:bidi="fa-IR"/>
          <w:color w:val="111111"/>
          <w:sz w:val="28"/>
          <w:szCs w:val="28"/>
          <w:rtl/>
        </w:rPr>
        <w:t xml:space="preserve">آغاز: بسمله الجزء الثانى من الفن الثانى من الاصل الاول الناموس الأكبر فى الحقيقة و هو ناموس النبوة من شرعياتنا ونقـدم فى هذا الفن فرع الفروع المصطلح بالفقه ونؤخر اصل الفروع ای الروايات و الاحاديث الامامية التى هى السنة واصلها الكتاب وما يصدر من النبى (صلّی اللَّهِ علیه وَ آلِهِ وَ سَلَّمَ ) في السنن ونذكر بينهما من العلوم التى يحـتاج اخذ هذا الفرع من هذا الاصل علوما ينتهى امرها ايضا الى الروايـات و الاحاديث ... و نقدم الا نفع فى العمل من هذه العلوم على غيـرها ... ثم لا نذكر فى هذا الكتاب الكلام لان اصول الاخبار و الـعلم  الالهى من الفلسفه مغنى عنه و هذا ... ثلثة اجزاء: اجزاء فى الفقه و اجزاء فى الاسباب الشرعيه لاخذ الفقه من الاصل و اجزاء في الاصل بسمله الاجزاء الأولى من الجزء الثانى من الفن الثاني من الاصل الأول فى الفقه ... رسالة موسومة باسرار الصلوة في فضل  الصلوة و هي كالمقدمة لما سياتي بسمله. الحمد لله رب العالمين... اما بعد فهذه رسالة في شرح العبادة و بيان اسرار الصلوة و فوايدها و كونها خير العبادات صنفها ... محمد تقى بن عبد الحسين النصيري؛ انجام: تمثيل القلب ينبوع الحكمة ... و كلما ينقى العين يزداد الماء و السلم</w:t>
      </w:r>
    </w:p>
    <w:p>
      <w:pPr>
        <w:pStyle w:val="BookText"/>
      </w:pPr>
      <w:r>
        <w:rPr>
          <w:rFonts w:ascii="IRNazanin" w:hAnsi="IRNazanin" w:eastAsia="IRNazanin" w:cs="IRNazanin"/>
          <w:lang w:bidi="fa-IR"/>
          <w:color w:val="111111"/>
          <w:sz w:val="28"/>
          <w:szCs w:val="28"/>
          <w:rtl/>
        </w:rPr>
        <w:t xml:space="preserve">کا: نصیری، تا: 1070-۱۰۷۴ق؛ در گ ۱۹۶ر بندیست از او به عربی درباره اجزاء ناموس اکبر یا شرع که درباره ناموس اصغر یا سیاست می باشد؛ ۶گ (۱۹۶ر-۲۰۱ر) [ف: ۴۳۹]</w:t>
      </w:r>
    </w:p>
    <w:p>
      <w:pPr>
        <w:pStyle w:val="BookText"/>
      </w:pPr>
      <w:r>
        <w:rPr>
          <w:rFonts w:ascii="IRNazanin" w:hAnsi="IRNazanin" w:eastAsia="IRNazanin" w:cs="IRNazanin"/>
          <w:lang w:bidi="fa-IR"/>
          <w:color w:val="111111"/>
          <w:sz w:val="28"/>
          <w:szCs w:val="28"/>
          <w:rtl/>
        </w:rPr>
        <w:t xml:space="preserve">تهران؛ دائرة المعارف؛ شماره نسخه: ۴۷۷/۱۳- عکسی</w:t>
      </w:r>
    </w:p>
    <w:p>
      <w:pPr>
        <w:pStyle w:val="BookText"/>
      </w:pPr>
      <w:r>
        <w:rPr>
          <w:rFonts w:ascii="IRNazanin" w:hAnsi="IRNazanin" w:eastAsia="IRNazanin" w:cs="IRNazanin"/>
          <w:lang w:bidi="fa-IR"/>
          <w:color w:val="111111"/>
          <w:sz w:val="28"/>
          <w:szCs w:val="28"/>
          <w:rtl/>
        </w:rPr>
        <w:t xml:space="preserve">اصل  نسخه: همان نسخه بالا [ف ۲ - ۲۱]</w:t>
      </w:r>
    </w:p>
    <w:p>
      <w:pPr>
        <w:pStyle w:val="Heading3"/>
      </w:pPr>
      <w:bookmarkStart w:id="1361" w:name="_Toc883"/>
      <w:r>
        <w:t>اسرار الصلاة = اسرار العبادات / فلسفه احکام / عربی</w:t>
      </w:r>
      <w:bookmarkEnd w:id="1361"/>
    </w:p>
    <w:p>
      <w:pPr>
        <w:pStyle w:val="BookText"/>
      </w:pPr>
      <w:r>
        <w:rPr>
          <w:rFonts w:ascii="Times New Roman" w:hAnsi="Times New Roman" w:eastAsia="Times New Roman" w:cs="Times New Roman"/>
          <w:lang w:val="en-US" w:bidi="en-US"/>
          <w:color w:val="111111"/>
          <w:sz w:val="28"/>
          <w:szCs w:val="28"/>
          <w:rtl/>
        </w:rPr>
        <w:t xml:space="preserve">asrār-uṣ-ṣalāt = asrār-ul-‘ibādāt</w:t>
      </w:r>
    </w:p>
    <w:p>
      <w:pPr>
        <w:pStyle w:val="BookText"/>
      </w:pPr>
      <w:r>
        <w:rPr>
          <w:rFonts w:ascii="IRNazanin" w:hAnsi="IRNazanin" w:eastAsia="IRNazanin" w:cs="IRNazanin"/>
          <w:lang w:bidi="fa-IR"/>
          <w:color w:val="111111"/>
          <w:sz w:val="28"/>
          <w:szCs w:val="28"/>
          <w:rtl/>
        </w:rPr>
        <w:t xml:space="preserve">رشتی، کاظم بن قاسم، ۱۲۱۲ - ۱۲۵۹ قمری</w:t>
      </w:r>
    </w:p>
    <w:p>
      <w:pPr>
        <w:pStyle w:val="BookText"/>
      </w:pPr>
      <w:r>
        <w:rPr>
          <w:rFonts w:ascii="Times New Roman" w:hAnsi="Times New Roman" w:eastAsia="Times New Roman" w:cs="Times New Roman"/>
          <w:lang w:val="en-US" w:bidi="en-US"/>
          <w:color w:val="111111"/>
          <w:sz w:val="28"/>
          <w:szCs w:val="28"/>
          <w:rtl/>
        </w:rPr>
        <w:t xml:space="preserve">(raštī, kāzem ebn-e qasem (1798 - 1843)</w:t>
      </w:r>
    </w:p>
    <w:p>
      <w:pPr>
        <w:pStyle w:val="BookText"/>
      </w:pPr>
      <w:r>
        <w:rPr>
          <w:rFonts w:ascii="IRNazanin" w:hAnsi="IRNazanin" w:eastAsia="IRNazanin" w:cs="IRNazanin"/>
          <w:lang w:bidi="fa-IR"/>
          <w:color w:val="111111"/>
          <w:sz w:val="28"/>
          <w:szCs w:val="28"/>
          <w:rtl/>
        </w:rPr>
        <w:t xml:space="preserve">رساله ای درباره اسرار نماز و زکات و حج و خمس، به ویژه نماز که در این بخش تفسیری عرفانی از سوره حمد و توحید نیز کرده است. در پایان حکمت غیب امام زمان را نیز آورده  است. آن را در پاسخ سؤالی فردی نوشته که از او نام نمی برد. با همین عنوان رساله ای به فارسی دارد که جز این است.</w:t>
      </w:r>
    </w:p>
    <w:p>
      <w:pPr>
        <w:pStyle w:val="BookText"/>
      </w:pPr>
      <w:r>
        <w:rPr>
          <w:rFonts w:ascii="Amiri" w:hAnsi="Amiri" w:eastAsia="Amiri" w:cs="Amiri"/>
          <w:lang w:bidi="ar-SA"/>
          <w:color w:val="111111"/>
          <w:sz w:val="28"/>
          <w:szCs w:val="28"/>
          <w:rtl/>
        </w:rPr>
        <w:t xml:space="preserve">[الذريعه ۵۲/۱) اسرار العبادة»]</w:t>
      </w:r>
    </w:p>
    <w:p>
      <w:pPr>
        <w:pStyle w:val="BookText"/>
      </w:pPr>
      <w:r>
        <w:rPr>
          <w:rFonts w:ascii="IRNazanin" w:hAnsi="IRNazanin" w:eastAsia="IRNazanin" w:cs="IRNazanin"/>
          <w:lang w:bidi="fa-IR"/>
          <w:color w:val="111111"/>
          <w:sz w:val="28"/>
          <w:szCs w:val="28"/>
          <w:rtl/>
        </w:rPr>
        <w:t xml:space="preserve">تهران؛ دائرة المعارف؛ شماره نسخه: ۱۸۳۴/۲-عکسی</w:t>
      </w:r>
    </w:p>
    <w:p>
      <w:pPr>
        <w:pStyle w:val="BookText"/>
      </w:pPr>
      <w:r>
        <w:rPr>
          <w:rFonts w:ascii="IRNazanin" w:hAnsi="IRNazanin" w:eastAsia="IRNazanin" w:cs="IRNazanin"/>
          <w:lang w:bidi="fa-IR"/>
          <w:color w:val="111111"/>
          <w:sz w:val="28"/>
          <w:szCs w:val="28"/>
          <w:rtl/>
        </w:rPr>
        <w:t xml:space="preserve">آغاز: بسمله ،قال سلمه الله تعالى ان تبين لنا اسرار الصلاة والزكاة و الحج و الخمس على جهة التوضيح و التبيين سيما تفصيل مقامات الصلاة و مراتبها من اول الشرايط و المقدمات الى آخر التسليم و ساير الفرایض و الواجبات و تفسير سورة الحمد و التوحيد بتفسير الباطن و التأويل ؛ انجام: فيعطى كل ذي حق حقه  و يسوق الى كل مخلوق رزقه .فافهم وصلى الله على محمد و آله اجمعين. تمت الرسالة.</w:t>
      </w:r>
    </w:p>
    <w:p>
      <w:pPr>
        <w:pStyle w:val="BookText"/>
      </w:pPr>
      <w:r>
        <w:rPr>
          <w:rFonts w:ascii="IRNazanin" w:hAnsi="IRNazanin" w:eastAsia="IRNazanin" w:cs="IRNazanin"/>
          <w:lang w:bidi="fa-IR"/>
          <w:color w:val="111111"/>
          <w:sz w:val="28"/>
          <w:szCs w:val="28"/>
          <w:rtl/>
        </w:rPr>
        <w:t xml:space="preserve">از سؤال دوم آغاز کرده است؛ خط: نستعلیق تحریری، بی کا، تا: ۲۴ صفر ۱۲۶۵ق؛ افتادگی: آغاز و انجام؛ ۲۰۳ ص (ص 97- 300)  [ف: ۱ - ۲۲]</w:t>
      </w:r>
    </w:p>
    <w:p>
      <w:pPr>
        <w:pStyle w:val="Heading3"/>
      </w:pPr>
      <w:bookmarkStart w:id="1362" w:name="_Toc884"/>
      <w:r>
        <w:t>اسرار الصلاة = ترجمة الصلات = اسرار جزئیه نماز  / فلسفه احکام / فارسی</w:t>
      </w:r>
      <w:bookmarkEnd w:id="1362"/>
    </w:p>
    <w:p>
      <w:pPr>
        <w:pStyle w:val="BookText"/>
      </w:pPr>
      <w:r>
        <w:rPr>
          <w:rFonts w:ascii="Times New Roman" w:hAnsi="Times New Roman" w:eastAsia="Times New Roman" w:cs="Times New Roman"/>
          <w:lang w:val="en-US" w:bidi="en-US"/>
          <w:color w:val="111111"/>
          <w:sz w:val="28"/>
          <w:szCs w:val="28"/>
          <w:rtl/>
        </w:rPr>
        <w:t xml:space="preserve">asrār-os-salāt = t.t-os-salāt = asrār-e joz’īye-ye namāz</w:t>
      </w:r>
    </w:p>
    <w:p>
      <w:pPr>
        <w:pStyle w:val="BookText"/>
      </w:pPr>
      <w:r>
        <w:rPr>
          <w:rFonts w:ascii="IRNazanin" w:hAnsi="IRNazanin" w:eastAsia="IRNazanin" w:cs="IRNazanin"/>
          <w:lang w:bidi="fa-IR"/>
          <w:color w:val="111111"/>
          <w:sz w:val="28"/>
          <w:szCs w:val="28"/>
          <w:rtl/>
        </w:rPr>
        <w:t xml:space="preserve">رشتی ،کاظم بن  قاسم، ۱۲۱۲ - ۱۲۵۹ قمری</w:t>
      </w:r>
    </w:p>
    <w:p>
      <w:pPr>
        <w:pStyle w:val="BookText"/>
      </w:pPr>
      <w:r>
        <w:rPr>
          <w:rFonts w:ascii="Times New Roman" w:hAnsi="Times New Roman" w:eastAsia="Times New Roman" w:cs="Times New Roman"/>
          <w:lang w:val="en-US" w:bidi="en-US"/>
          <w:color w:val="111111"/>
          <w:sz w:val="28"/>
          <w:szCs w:val="28"/>
          <w:rtl/>
        </w:rPr>
        <w:t xml:space="preserve">(raštī, kāzem ebn-e qasem (1798 - 1843)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247" w:name="pg20365_260353"/>
    <w:bookmarkEnd w:id="247"/>
    <w:p>
      <w:pPr>
        <w:pStyle w:val="BookText"/>
      </w:pPr>
      <w:r>
        <w:rPr>
          <w:rFonts w:ascii="IRNazanin" w:hAnsi="IRNazanin" w:eastAsia="IRNazanin" w:cs="IRNazanin"/>
          <w:lang w:bidi="fa-IR"/>
          <w:color w:val="111111"/>
          <w:sz w:val="28"/>
          <w:szCs w:val="28"/>
          <w:rtl/>
        </w:rPr>
        <w:t xml:space="preserve">در این رساله به اختصار به اسرار و رموزات نماز پرداخته بدان انگیزه که همگان از آن بهره برند و توجه به عبادات افزایـش  یابد. از او رساله ای با همین عنوان به زبان عربی دارد که غیر این رساله است. در برخی نسخه ها به نام «ترجمة الصلات» و در دیباچه به گونه تلویحی به نام «اسرار جزئیه نماز» خوانده شده است. به این دو نام در الذریعه و فهرست مشایخ و مؤلفین مشـار، نیامده است. در پایان به کار بزرگتر خود که در اسرار صلات نگاشته ارجاع داده است.</w:t>
      </w:r>
    </w:p>
    <w:p>
      <w:pPr>
        <w:pStyle w:val="BookText"/>
      </w:pPr>
      <w:r>
        <w:rPr>
          <w:rFonts w:ascii="IRNazanin" w:hAnsi="IRNazanin" w:eastAsia="IRNazanin" w:cs="IRNazanin"/>
          <w:lang w:bidi="fa-IR"/>
          <w:color w:val="111111"/>
          <w:sz w:val="28"/>
          <w:szCs w:val="28"/>
          <w:rtl/>
        </w:rPr>
        <w:t xml:space="preserve">آغاز: بسمله حمدله والصلوة .... اما بعد پس چنین گوید بنده خاکسار ذره بيمقدار كاظم بن قاسم الحسيني الرشتی که چـون نماز اعظم ارکان دین است ... از این حقیر ملتمس که معانی بعضی اسرار جزئیه نماز را بزبان فارسی</w:t>
      </w:r>
    </w:p>
    <w:p>
      <w:pPr>
        <w:pStyle w:val="BookText"/>
      </w:pPr>
      <w:r>
        <w:rPr>
          <w:rFonts w:ascii="IRNazanin" w:hAnsi="IRNazanin" w:eastAsia="IRNazanin" w:cs="IRNazanin"/>
          <w:lang w:bidi="fa-IR"/>
          <w:color w:val="111111"/>
          <w:sz w:val="28"/>
          <w:szCs w:val="28"/>
          <w:rtl/>
        </w:rPr>
        <w:t xml:space="preserve">انجام: مر طالب هدایت را و صلی الله على محمد و آله الطاهرین و الحمدلله رب العالمین. تمام شد این رساله شریفه در یوم...الطاهرين.</w:t>
      </w:r>
    </w:p>
    <w:p>
      <w:pPr>
        <w:pStyle w:val="BookText"/>
      </w:pPr>
      <w:r>
        <w:rPr>
          <w:rFonts w:ascii="IRNazanin" w:hAnsi="IRNazanin" w:eastAsia="IRNazanin" w:cs="IRNazanin"/>
          <w:lang w:bidi="fa-IR"/>
          <w:color w:val="111111"/>
          <w:sz w:val="28"/>
          <w:szCs w:val="28"/>
          <w:rtl/>
        </w:rPr>
        <w:t xml:space="preserve">[فهرستواره منزوی ۲۶۵/۷ (نسخه و ۲۰۶/۷]</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گلپایگانی؛ شماره نسخه: ۷۵۹۹/۵-۳۸/۲۱۹</w:t>
      </w:r>
    </w:p>
    <w:p>
      <w:pPr>
        <w:pStyle w:val="BookText"/>
      </w:pPr>
      <w:r>
        <w:rPr>
          <w:rFonts w:ascii="IRNazanin" w:hAnsi="IRNazanin" w:eastAsia="IRNazanin" w:cs="IRNazanin"/>
          <w:lang w:bidi="fa-IR"/>
          <w:color w:val="111111"/>
          <w:sz w:val="28"/>
          <w:szCs w:val="28"/>
          <w:rtl/>
        </w:rPr>
        <w:t xml:space="preserve">آغاز: برابر؛ انجام: اهدنا الصراط المستقیم ارشاد و هدایت کن  ما را براه راست و جاده مستقیم صراط الذين انعمت عليهم براه است آنکسانی که انعام کرده ای بر ایشان... در مرتبه محبت  تو کشتند و از خود فانی شدند و بتو باقی و مانند صالحان</w:t>
      </w:r>
    </w:p>
    <w:p>
      <w:pPr>
        <w:pStyle w:val="BookText"/>
      </w:pPr>
      <w:r>
        <w:rPr>
          <w:rFonts w:ascii="IRNazanin" w:hAnsi="IRNazanin" w:eastAsia="IRNazanin" w:cs="IRNazanin"/>
          <w:lang w:bidi="fa-IR"/>
          <w:color w:val="111111"/>
          <w:sz w:val="28"/>
          <w:szCs w:val="28"/>
          <w:rtl/>
        </w:rPr>
        <w:t xml:space="preserve">بی کا، تا: قرن ۱۳ ؛افتادگی: انجام ؛جلد: مقوا عطف گالینگور، 8گ، ۱۴ 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 - ۳۴۵]</w:t>
      </w:r>
    </w:p>
    <w:p>
      <w:pPr>
        <w:pStyle w:val="BookText"/>
      </w:pPr>
      <w:r>
        <w:rPr>
          <w:rFonts w:ascii="IRNazanin" w:hAnsi="IRNazanin" w:eastAsia="IRNazanin" w:cs="IRNazanin"/>
          <w:lang w:bidi="fa-IR"/>
          <w:color w:val="111111"/>
          <w:sz w:val="28"/>
          <w:szCs w:val="28"/>
          <w:rtl/>
        </w:rPr>
        <w:t xml:space="preserve">2.تهران؛ دائرة المعارف؛ شماره نسخه: ۱۷۲۳/۴-عکسی</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خوش، کا: عبدالکریم بن معصوم  قزوینی،تا: پنج شـنبه ۳ رمضان ۱۲۴۳ق؛ ۲۱ ص( ۳۷-۵۷) [ف: ۱-۷۱]</w:t>
      </w:r>
    </w:p>
    <w:p>
      <w:pPr>
        <w:pStyle w:val="BookText"/>
      </w:pPr>
      <w:r>
        <w:rPr>
          <w:rFonts w:ascii="IRNazanin" w:hAnsi="IRNazanin" w:eastAsia="IRNazanin" w:cs="IRNazanin"/>
          <w:lang w:bidi="fa-IR"/>
          <w:color w:val="111111"/>
          <w:sz w:val="28"/>
          <w:szCs w:val="28"/>
          <w:rtl/>
        </w:rPr>
        <w:t xml:space="preserve">3.تهران؛ مجلس؛ شماره نسخه: ۱۱۵۴۵/۲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و نستعلیق، بی کا، تا: ۱۲۴۶ق؛ جلد: تیماج قهوه ای  ، 21 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۳۳/۲ - ۱۷۳]</w:t>
      </w:r>
    </w:p>
    <w:p>
      <w:pPr>
        <w:pStyle w:val="BookText"/>
      </w:pPr>
      <w:r>
        <w:rPr>
          <w:rFonts w:ascii="IRNazanin" w:hAnsi="IRNazanin" w:eastAsia="IRNazanin" w:cs="IRNazanin"/>
          <w:lang w:bidi="fa-IR"/>
          <w:color w:val="111111"/>
          <w:sz w:val="28"/>
          <w:szCs w:val="28"/>
          <w:rtl/>
        </w:rPr>
        <w:t xml:space="preserve">4.تهران؛ دائرة المعارف؛ شماره نسخه: ۱۶۰۵- عکسی</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تحریری درشت، کا: علی نقی بن محمد تقی، تا: پایان صـفر ۱۲۸۱ق؛ ۱۶۰ ص، ۸ سطر (6</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  - 71]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قم؛ مرعشی؛ شماره نسخه: ۷۵۸۷/۳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بی تا :جلد: تیماج قهوه ای ۱۶گ (۶۰ پ-۷۵ر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۱۹ - ۹۰۰]</w:t>
      </w:r>
    </w:p>
    <w:p>
      <w:pPr>
        <w:pStyle w:val="Heading3"/>
      </w:pPr>
      <w:bookmarkStart w:id="1363" w:name="_Toc885"/>
      <w:r>
        <w:t>اسرار الصلاة - مرآة الهداة في كشف اسرار  الصلوة / فلسفه احکام / فارسی</w:t>
      </w:r>
      <w:bookmarkEnd w:id="1363"/>
    </w:p>
    <w:p>
      <w:pPr>
        <w:pStyle w:val="BookText"/>
      </w:pPr>
      <w:r>
        <w:rPr>
          <w:rFonts w:ascii="Times New Roman" w:hAnsi="Times New Roman" w:eastAsia="Times New Roman" w:cs="Times New Roman"/>
          <w:lang w:val="en-US" w:bidi="en-US"/>
          <w:color w:val="111111"/>
          <w:sz w:val="28"/>
          <w:szCs w:val="28"/>
          <w:rtl/>
        </w:rPr>
        <w:t xml:space="preserve">asrar-us Salat = mirat-ul huda fi kasf-i asrar-us Salat</w:t>
      </w:r>
    </w:p>
    <w:p>
      <w:pPr>
        <w:pStyle w:val="BookText"/>
      </w:pPr>
      <w:r>
        <w:rPr>
          <w:rFonts w:ascii="IRNazanin" w:hAnsi="IRNazanin" w:eastAsia="IRNazanin" w:cs="IRNazanin"/>
          <w:lang w:bidi="fa-IR"/>
          <w:color w:val="111111"/>
          <w:sz w:val="28"/>
          <w:szCs w:val="28"/>
          <w:rtl/>
        </w:rPr>
        <w:t xml:space="preserve">کوثر  همدانی، علی نقی بن محمد رضا، ۱۲۹۶ قمری</w:t>
      </w:r>
    </w:p>
    <w:p>
      <w:pPr>
        <w:pStyle w:val="BookText"/>
      </w:pPr>
      <w:r>
        <w:rPr>
          <w:rFonts w:ascii="Times New Roman" w:hAnsi="Times New Roman" w:eastAsia="Times New Roman" w:cs="Times New Roman"/>
          <w:lang w:val="en-US" w:bidi="en-US"/>
          <w:color w:val="111111"/>
          <w:sz w:val="28"/>
          <w:szCs w:val="28"/>
          <w:rtl/>
        </w:rPr>
        <w:t xml:space="preserve">(kosar-e hamedānī, ‘alī naqī-ye-bn-e mohammad rezā (-1879)</w:t>
      </w:r>
    </w:p>
    <w:p>
      <w:pPr>
        <w:pStyle w:val="BookText"/>
      </w:pPr>
      <w:r>
        <w:rPr>
          <w:rFonts w:ascii="IRNazanin" w:hAnsi="IRNazanin" w:eastAsia="IRNazanin" w:cs="IRNazanin"/>
          <w:lang w:bidi="fa-IR"/>
          <w:color w:val="111111"/>
          <w:sz w:val="28"/>
          <w:szCs w:val="28"/>
          <w:rtl/>
        </w:rPr>
        <w:t xml:space="preserve">اهدا به: میرزا محمد یوسف مستوفی الممالک</w:t>
      </w:r>
    </w:p>
    <w:p>
      <w:pPr>
        <w:pStyle w:val="BookText"/>
      </w:pPr>
      <w:r>
        <w:rPr>
          <w:rFonts w:ascii="IRNazanin" w:hAnsi="IRNazanin" w:eastAsia="IRNazanin" w:cs="IRNazanin"/>
          <w:lang w:bidi="fa-IR"/>
          <w:color w:val="111111"/>
          <w:sz w:val="28"/>
          <w:szCs w:val="28"/>
          <w:rtl/>
        </w:rPr>
        <w:t xml:space="preserve">تاریخ تالیف: ۱۲۷۹ق</w:t>
      </w:r>
    </w:p>
    <w:p>
      <w:pPr>
        <w:pStyle w:val="BookText"/>
      </w:pPr>
      <w:r>
        <w:rPr>
          <w:rFonts w:ascii="IRNazanin" w:hAnsi="IRNazanin" w:eastAsia="IRNazanin" w:cs="IRNazanin"/>
          <w:lang w:bidi="fa-IR"/>
          <w:color w:val="111111"/>
          <w:sz w:val="28"/>
          <w:szCs w:val="28"/>
          <w:rtl/>
        </w:rPr>
        <w:t xml:space="preserve">رساله مفصلی است در بیان اسرار افعال و اذکار نماز به روش  عرفانی، در چندین (باب) با استفاده از زبر و بینات: ۱. بیان توحید؛ ۲. اشارات سوره حمد؛ ۳. ذکر بعضی از اسرار و اشارات سوره توحید .۴. اشارات و رموز سوره قدر .۵. بیان اشارات ذکر رکوع؛ ۶. بیان اشارات ذکر سجود؛ ۷. بیان اشارات ذکر تشهد؛ . .۸. بیان اشارات ذکر سلام .۹. اشارات كلمات اذان و اقامه.</w:t>
      </w:r>
    </w:p>
    <w:p>
      <w:pPr>
        <w:pStyle w:val="BookText"/>
      </w:pPr>
      <w:r>
        <w:rPr>
          <w:rFonts w:ascii="IRNazanin" w:hAnsi="IRNazanin" w:eastAsia="IRNazanin" w:cs="IRNazanin"/>
          <w:lang w:bidi="fa-IR"/>
          <w:color w:val="111111"/>
          <w:sz w:val="28"/>
          <w:szCs w:val="28"/>
          <w:rtl/>
        </w:rPr>
        <w:t xml:space="preserve">آغاز: بسمله الحمد لله رب العالمين... بعد معروض می دارد عبد فانی علی نقی ابن محمدرضا الهمداني عفى الله عنهما كه درگاهی بود که بخاطر اخلاص میرسید.</w:t>
      </w:r>
    </w:p>
    <w:p>
      <w:pPr>
        <w:pStyle w:val="BookText"/>
      </w:pPr>
      <w:r>
        <w:rPr>
          <w:rFonts w:ascii="IRNazanin" w:hAnsi="IRNazanin" w:eastAsia="IRNazanin" w:cs="IRNazanin"/>
          <w:lang w:bidi="fa-IR"/>
          <w:color w:val="111111"/>
          <w:sz w:val="28"/>
          <w:szCs w:val="28"/>
          <w:rtl/>
        </w:rPr>
        <w:t xml:space="preserve">انجام: و حذراً من التطويل معروض نمیآید. و الحمدلله اولا و  آخراً</w:t>
      </w:r>
    </w:p>
    <w:p>
      <w:pPr>
        <w:pStyle w:val="BookText"/>
      </w:pPr>
      <w:r>
        <w:rPr>
          <w:rFonts w:ascii="IRNazanin" w:hAnsi="IRNazanin" w:eastAsia="IRNazanin" w:cs="IRNazanin"/>
          <w:lang w:bidi="fa-IR"/>
          <w:color w:val="111111"/>
          <w:sz w:val="28"/>
          <w:szCs w:val="28"/>
          <w:rtl/>
        </w:rPr>
        <w:t xml:space="preserve">[فهرستواره منزوی ۸۵۹/۸ با عنوان مرآت الهداة ]</w:t>
      </w:r>
    </w:p>
    <w:p>
      <w:pPr>
        <w:pStyle w:val="BookText"/>
      </w:pPr>
      <w:r>
        <w:rPr>
          <w:rFonts w:ascii="IRNazanin" w:hAnsi="IRNazanin" w:eastAsia="IRNazanin" w:cs="IRNazanin"/>
          <w:lang w:bidi="fa-IR"/>
          <w:color w:val="111111"/>
          <w:sz w:val="28"/>
          <w:szCs w:val="28"/>
          <w:rtl/>
        </w:rPr>
        <w:t xml:space="preserve">۱. شیراز؛ شاهچراغ؛ شماره نسخه: ۷۷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درشت،خط، كاتب - مؤلف، تا: ۱۲۷۹ق؛ کاغذ: سفید کلفت، جلد: مقوا با کاغذ  سبز، ۱۵۸۰گ، ۲۹۸ص، مختلف السطر،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۲۶/۵سم [ف: ۲ - ۱۲۳]</w:t>
      </w:r>
    </w:p>
    <w:p>
      <w:pPr>
        <w:pStyle w:val="BookText"/>
      </w:pPr>
      <w:r>
        <w:rPr>
          <w:rFonts w:ascii="IRNazanin" w:hAnsi="IRNazanin" w:eastAsia="IRNazanin" w:cs="IRNazanin"/>
          <w:lang w:bidi="fa-IR"/>
          <w:color w:val="111111"/>
          <w:sz w:val="28"/>
          <w:szCs w:val="28"/>
          <w:rtl/>
        </w:rPr>
        <w:t xml:space="preserve">۲. تهران؛ مجلس؛ شماره نسخه: ۸۶۳۶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كاتب- مؤلف، تا: ۲۶ جمادی الاول ۱۲۸۴ق؛مصحح، تملک: درویش غلام علی به سال ۱۳۱۳ق، علاء الحكماء ، به سال ۱۳۵۴ق با یادداشتی به خط همو که مؤلف را علی نقی کوثر علی شاه همدانی دانسته و اینکه کتاب به خط مؤلف است؛ جلد: تیماج قهوه ای مجدول ضربی، ۸۲گ، ۱۹ سطر، اندازه:۱۵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۲۸ - ۱۷۵]</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قم؛ مرعشی؛ شماره نسخه: ۹۲۳۹</w:t>
      </w:r>
    </w:p>
    <w:p>
      <w:pPr>
        <w:pStyle w:val="BookText"/>
      </w:pPr>
      <w:r>
        <w:rPr>
          <w:rFonts w:ascii="IRNazanin" w:hAnsi="IRNazanin" w:eastAsia="IRNazanin" w:cs="IRNazanin"/>
          <w:lang w:bidi="fa-IR"/>
          <w:color w:val="111111"/>
          <w:sz w:val="28"/>
          <w:szCs w:val="28"/>
          <w:rtl/>
        </w:rPr>
        <w:t xml:space="preserve">آغاز: الحمد لله رب العالمين... و بعد معروض برادران ایمانی می دارد. چون موافق صریح اخبار اکثر در مراتب علمیه؛ انجام:  گفت ای محمد آیا با این غیر  هم  هست حضرت فرمودند</w:t>
      </w:r>
    </w:p>
    <w:p>
      <w:pPr>
        <w:pStyle w:val="BookText"/>
      </w:pPr>
      <w:r>
        <w:rPr>
          <w:rFonts w:ascii="IRNazanin" w:hAnsi="IRNazanin" w:eastAsia="IRNazanin" w:cs="IRNazanin"/>
          <w:lang w:bidi="fa-IR"/>
          <w:color w:val="111111"/>
          <w:sz w:val="28"/>
          <w:szCs w:val="28"/>
          <w:rtl/>
        </w:rPr>
        <w:t xml:space="preserve">خط: نستعليق، كاتب - مؤلف، بی تا ؛جلد: مقوایی عطف پارچه  مشکی، ۵۸گ، مختلف السطر،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۱۷/۵سم [ف: ۲۴ - ۳۶]</w:t>
      </w:r>
    </w:p>
    <w:p>
      <w:pPr>
        <w:pStyle w:val="BookText"/>
      </w:pPr>
      <w:r>
        <w:rPr>
          <w:rFonts w:ascii="IRNazanin" w:hAnsi="IRNazanin" w:eastAsia="IRNazanin" w:cs="IRNazanin"/>
          <w:lang w:bidi="fa-IR"/>
          <w:color w:val="111111"/>
          <w:sz w:val="28"/>
          <w:szCs w:val="28"/>
          <w:rtl/>
        </w:rPr>
        <w:t xml:space="preserve">۴. تهران؛ مهدوی؛ شماره نسخه: ۲۶۴/۱</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شکسته، کا: علی نقی بن ملا محمد نعیم همدانی، تا: ۱۲۸۴ق  [نشریه: ۲ - ۱۰۰]</w:t>
      </w:r>
    </w:p>
    <w:p>
      <w:pPr>
        <w:pStyle w:val="BookText"/>
      </w:pPr>
      <w:r>
        <w:rPr>
          <w:rFonts w:ascii="IRNazanin" w:hAnsi="IRNazanin" w:eastAsia="IRNazanin" w:cs="IRNazanin"/>
          <w:lang w:bidi="fa-IR"/>
          <w:color w:val="111111"/>
          <w:sz w:val="28"/>
          <w:szCs w:val="28"/>
          <w:rtl/>
        </w:rPr>
        <w:t xml:space="preserve">۵. تهران؛ مجلس؛ شماره نسخه: ۱۴۴۵۸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248" w:name="pg20365_260354"/>
    <w:bookmarkEnd w:id="248"/>
    <w:p>
      <w:pPr>
        <w:pStyle w:val="BookText"/>
      </w:pPr>
      <w:r>
        <w:rPr>
          <w:rFonts w:ascii="IRNazanin" w:hAnsi="IRNazanin" w:eastAsia="IRNazanin" w:cs="IRNazanin"/>
          <w:lang w:bidi="fa-IR"/>
          <w:color w:val="111111"/>
          <w:sz w:val="28"/>
          <w:szCs w:val="28"/>
          <w:rtl/>
        </w:rPr>
        <w:t xml:space="preserve">آغاز: الحمد لله رب العالمين وصلى الله على محمد و آله الطاهرین و بعد مفروض رأض رأى برادران ایمانی میدارد اقل عباد... موافق صریح اخبار؛ انجام: برابر</w:t>
      </w:r>
    </w:p>
    <w:p>
      <w:pPr>
        <w:pStyle w:val="BookText"/>
      </w:pPr>
      <w:r>
        <w:rPr>
          <w:rFonts w:ascii="IRNazanin" w:hAnsi="IRNazanin" w:eastAsia="IRNazanin" w:cs="IRNazanin"/>
          <w:lang w:bidi="fa-IR"/>
          <w:color w:val="111111"/>
          <w:sz w:val="28"/>
          <w:szCs w:val="28"/>
          <w:rtl/>
        </w:rPr>
        <w:t xml:space="preserve">خط: نستعلیق  زیبا ،كا: عبدالله بن حسن تفرشی نعمة اللهی، تا: دهـه اول رمضان ۱۳۰۵ق؛ جلد: تیماج قهوه ای، ۱۸۱گ، ۱۴ سـطر،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۳۸ - ۶۰۴]</w:t>
      </w:r>
    </w:p>
    <w:p>
      <w:pPr>
        <w:pStyle w:val="BookText"/>
      </w:pPr>
      <w:r>
        <w:rPr>
          <w:rFonts w:ascii="IRNazanin" w:hAnsi="IRNazanin" w:eastAsia="IRNazanin" w:cs="IRNazanin"/>
          <w:lang w:bidi="fa-IR"/>
          <w:color w:val="111111"/>
          <w:sz w:val="28"/>
          <w:szCs w:val="28"/>
          <w:rtl/>
        </w:rPr>
        <w:t xml:space="preserve">۶ . همدان؛ مدرسه غرب؛ شماره نسخه: ۴۳۹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شکسته نستعلیق ،کا: محمد ابراهيم بن قربان علی، تا: رجب ۱۳۲۸ق، قطع: ربعی[ رشت و همدان - ف - ۱۲۴۲]</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قم؛ گلپایگانی؛ شماره نسخه: ۳۷۶۵/۳-۱۹/۹۵</w:t>
      </w:r>
    </w:p>
    <w:p>
      <w:pPr>
        <w:pStyle w:val="BookText"/>
      </w:pPr>
      <w:r>
        <w:rPr>
          <w:rFonts w:ascii="IRNazanin" w:hAnsi="IRNazanin" w:eastAsia="IRNazanin" w:cs="IRNazanin"/>
          <w:lang w:bidi="fa-IR"/>
          <w:color w:val="111111"/>
          <w:sz w:val="28"/>
          <w:szCs w:val="28"/>
          <w:rtl/>
        </w:rPr>
        <w:t xml:space="preserve">آغاز: بسمله الحمد لله رب العالمين رب العالمين ... چون موافق صریح  اخـبار تفکر در مراتب علمیه ونشر احکام الهیه از طریق اصفیا واجله اعمال عبادات قلبیه است؛ انجام: ضمير ذوى العقول ذکر فرموده زیرا که اشاره است بحقائق متأصله</w:t>
      </w:r>
    </w:p>
    <w:p>
      <w:pPr>
        <w:pStyle w:val="BookText"/>
      </w:pPr>
      <w:r>
        <w:rPr>
          <w:rFonts w:ascii="IRNazanin" w:hAnsi="IRNazanin" w:eastAsia="IRNazanin" w:cs="IRNazanin"/>
          <w:lang w:bidi="fa-IR"/>
          <w:color w:val="111111"/>
          <w:sz w:val="28"/>
          <w:szCs w:val="28"/>
          <w:rtl/>
        </w:rPr>
        <w:t xml:space="preserve">بی کا، بی تا؛ افتادگی: انجام :جلد: تیماج مشکی ،مجدول، ۱۰۴گ، ۱۵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 - ۳۴۶]</w:t>
      </w:r>
    </w:p>
    <w:p>
      <w:pPr>
        <w:pStyle w:val="Heading3"/>
      </w:pPr>
      <w:bookmarkStart w:id="1364" w:name="_Toc886"/>
      <w:r>
        <w:t>اسرار الصلاة / فلسفه احکام / فارسی</w:t>
      </w:r>
      <w:bookmarkEnd w:id="1364"/>
    </w:p>
    <w:p>
      <w:pPr>
        <w:pStyle w:val="BookText"/>
      </w:pPr>
      <w:r>
        <w:rPr>
          <w:rFonts w:ascii="Times New Roman" w:hAnsi="Times New Roman" w:eastAsia="Times New Roman" w:cs="Times New Roman"/>
          <w:lang w:val="en-US" w:bidi="en-US"/>
          <w:color w:val="111111"/>
          <w:sz w:val="28"/>
          <w:szCs w:val="28"/>
          <w:rtl/>
        </w:rPr>
        <w:t xml:space="preserve">asrār-uṣ-ṣalāt</w:t>
      </w:r>
    </w:p>
    <w:p>
      <w:pPr>
        <w:pStyle w:val="BookText"/>
      </w:pPr>
      <w:r>
        <w:rPr>
          <w:rFonts w:ascii="IRNazanin" w:hAnsi="IRNazanin" w:eastAsia="IRNazanin" w:cs="IRNazanin"/>
          <w:lang w:bidi="fa-IR"/>
          <w:color w:val="111111"/>
          <w:sz w:val="28"/>
          <w:szCs w:val="28"/>
          <w:rtl/>
        </w:rPr>
        <w:t xml:space="preserve">بروجردی، محمد بن نادعلی، ق۱۳ قمری</w:t>
      </w:r>
    </w:p>
    <w:p>
      <w:pPr>
        <w:pStyle w:val="BookText"/>
      </w:pPr>
      <w:r>
        <w:rPr>
          <w:rFonts w:ascii="Times New Roman" w:hAnsi="Times New Roman" w:eastAsia="Times New Roman" w:cs="Times New Roman"/>
          <w:lang w:val="en-US" w:bidi="en-US"/>
          <w:color w:val="111111"/>
          <w:sz w:val="28"/>
          <w:szCs w:val="28"/>
          <w:rtl/>
        </w:rPr>
        <w:t xml:space="preserve">(borūjerdī, mohammad ebn-e nād‘alī (- 19c)</w:t>
      </w:r>
    </w:p>
    <w:p>
      <w:pPr>
        <w:pStyle w:val="BookText"/>
      </w:pPr>
      <w:r>
        <w:rPr>
          <w:rFonts w:ascii="IRNazanin" w:hAnsi="IRNazanin" w:eastAsia="IRNazanin" w:cs="IRNazanin"/>
          <w:lang w:bidi="fa-IR"/>
          <w:color w:val="111111"/>
          <w:sz w:val="28"/>
          <w:szCs w:val="28"/>
          <w:rtl/>
        </w:rPr>
        <w:t xml:space="preserve">رساله ای مفصل در اسرار نماز و ترجمه آنچه در نماز خوان می شود که به جهت بعضی از برادران ایمانی در یک «مقدمه» و چند «حدیقه» نوشته شده است.</w:t>
      </w:r>
    </w:p>
    <w:p>
      <w:pPr>
        <w:pStyle w:val="BookText"/>
      </w:pPr>
      <w:r>
        <w:rPr>
          <w:rFonts w:ascii="IRNazanin" w:hAnsi="IRNazanin" w:eastAsia="IRNazanin" w:cs="IRNazanin"/>
          <w:lang w:bidi="fa-IR"/>
          <w:color w:val="111111"/>
          <w:sz w:val="28"/>
          <w:szCs w:val="28"/>
          <w:rtl/>
        </w:rPr>
        <w:t xml:space="preserve">قم: مرعشی؛ شماره نسخه: ۷۷۱</w:t>
      </w:r>
    </w:p>
    <w:p>
      <w:pPr>
        <w:pStyle w:val="BookText"/>
      </w:pPr>
      <w:r>
        <w:rPr>
          <w:rFonts w:ascii="IRNazanin" w:hAnsi="IRNazanin" w:eastAsia="IRNazanin" w:cs="IRNazanin"/>
          <w:lang w:bidi="fa-IR"/>
          <w:color w:val="111111"/>
          <w:sz w:val="28"/>
          <w:szCs w:val="28"/>
          <w:rtl/>
        </w:rPr>
        <w:t xml:space="preserve">آغاز: سبحان الله حين تمسون و حين تصبحون و له الحمد  فی السماوات و الارض و عشياً و حين تظهرون؛ انجام: یعنی هركـس  که طاعت نماید رسول را پس بتحقیق که اطاعت نموده است خدا را و الحال سر اینکه آنجنابان را باسم . ..</w:t>
      </w:r>
    </w:p>
    <w:p>
      <w:pPr>
        <w:pStyle w:val="BookText"/>
      </w:pPr>
      <w:r>
        <w:rPr>
          <w:rFonts w:ascii="IRNazanin" w:hAnsi="IRNazanin" w:eastAsia="IRNazanin" w:cs="IRNazanin"/>
          <w:lang w:bidi="fa-IR"/>
          <w:color w:val="111111"/>
          <w:sz w:val="28"/>
          <w:szCs w:val="28"/>
          <w:rtl/>
        </w:rPr>
        <w:t xml:space="preserve">خط: نستعلیق، بی کا، بی تا؛ افتادگی: انجام، مصحح، جلد: تیماج، مشکی بدون مقوا، ۷۸گ، ۲۲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 ف: ۲  - 380]</w:t>
      </w:r>
    </w:p>
    <w:p>
      <w:pPr>
        <w:pStyle w:val="Heading3"/>
      </w:pPr>
      <w:bookmarkStart w:id="1365" w:name="_Toc887"/>
      <w:r>
        <w:t>اسرار الصلاة / فقه / عربی</w:t>
      </w:r>
      <w:bookmarkEnd w:id="1365"/>
    </w:p>
    <w:p>
      <w:pPr>
        <w:pStyle w:val="BookText"/>
      </w:pPr>
      <w:r>
        <w:rPr>
          <w:rFonts w:ascii="Times New Roman" w:hAnsi="Times New Roman" w:eastAsia="Times New Roman" w:cs="Times New Roman"/>
          <w:lang w:val="en-US" w:bidi="en-US"/>
          <w:color w:val="111111"/>
          <w:sz w:val="28"/>
          <w:szCs w:val="28"/>
          <w:rtl/>
        </w:rPr>
        <w:t xml:space="preserve">asrār-uṣ-ṣalāt</w:t>
      </w:r>
    </w:p>
    <w:p>
      <w:pPr>
        <w:pStyle w:val="BookText"/>
      </w:pPr>
      <w:r>
        <w:rPr>
          <w:rFonts w:ascii="IRNazanin" w:hAnsi="IRNazanin" w:eastAsia="IRNazanin" w:cs="IRNazanin"/>
          <w:lang w:bidi="fa-IR"/>
          <w:color w:val="111111"/>
          <w:sz w:val="28"/>
          <w:szCs w:val="28"/>
          <w:rtl/>
        </w:rPr>
        <w:t xml:space="preserve">خوئی، مصطفى بن محمد، ق۱۳ قمری</w:t>
      </w:r>
    </w:p>
    <w:p>
      <w:pPr>
        <w:pStyle w:val="BookText"/>
      </w:pPr>
      <w:r>
        <w:rPr>
          <w:rFonts w:ascii="Times New Roman" w:hAnsi="Times New Roman" w:eastAsia="Times New Roman" w:cs="Times New Roman"/>
          <w:lang w:val="en-US" w:bidi="en-US"/>
          <w:color w:val="111111"/>
          <w:sz w:val="28"/>
          <w:szCs w:val="28"/>
          <w:rtl/>
        </w:rPr>
        <w:t xml:space="preserve">(xū’ī, mostafā ebn-e mohammad (- 19c)</w:t>
      </w:r>
    </w:p>
    <w:p>
      <w:pPr>
        <w:pStyle w:val="BookText"/>
      </w:pPr>
      <w:r>
        <w:rPr>
          <w:rFonts w:ascii="IRNazanin" w:hAnsi="IRNazanin" w:eastAsia="IRNazanin" w:cs="IRNazanin"/>
          <w:lang w:bidi="fa-IR"/>
          <w:color w:val="111111"/>
          <w:sz w:val="28"/>
          <w:szCs w:val="28"/>
          <w:rtl/>
        </w:rPr>
        <w:t xml:space="preserve">یزد؛ وزیری ؛شماره نسخه: ۲۴۶۵</w:t>
      </w:r>
    </w:p>
    <w:p>
      <w:pPr>
        <w:pStyle w:val="BookText"/>
      </w:pPr>
      <w:r>
        <w:rPr>
          <w:rFonts w:ascii="IRNazanin" w:hAnsi="IRNazanin" w:eastAsia="IRNazanin" w:cs="IRNazanin"/>
          <w:lang w:bidi="fa-IR"/>
          <w:color w:val="111111"/>
          <w:sz w:val="28"/>
          <w:szCs w:val="28"/>
          <w:rtl/>
        </w:rPr>
        <w:t xml:space="preserve">آغاز: و به استعين و هو الموفق و المعين انه لما كانت الصلـوة؛ انجام: عليهم صلوات من ربهم اولئک هم  المهتدون.</w:t>
      </w:r>
    </w:p>
    <w:p>
      <w:pPr>
        <w:pStyle w:val="BookText"/>
      </w:pPr>
      <w:r>
        <w:rPr>
          <w:rFonts w:ascii="IRNazanin" w:hAnsi="IRNazanin" w:eastAsia="IRNazanin" w:cs="IRNazanin"/>
          <w:lang w:bidi="fa-IR"/>
          <w:color w:val="111111"/>
          <w:sz w:val="28"/>
          <w:szCs w:val="28"/>
          <w:rtl/>
        </w:rPr>
        <w:t xml:space="preserve">خط: نسخ ،نازیبا ،کاتب - مؤلف، تا: ۱۲۴۲ق؛ افتادگی: آغاز؛درانجام چند برگ مطالب متفرقه از مصطفى بن محمد خوئی ضمیمه دارد؛ اهدایی: شیخ محمد جواد علمیه؛ کاغذ ،فرنگی ،جلد: تیماج مشکی، ۸۳گ، مختلف السطر، 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۱۵سم[ف: ۴ - ۱۳۰۵]</w:t>
      </w:r>
    </w:p>
    <w:p>
      <w:pPr>
        <w:pStyle w:val="Heading3"/>
      </w:pPr>
      <w:bookmarkStart w:id="1366" w:name="_Toc888"/>
      <w:r>
        <w:t>اسرار الصلاة / فلسفه احکام / فارسی</w:t>
      </w:r>
      <w:bookmarkEnd w:id="1366"/>
    </w:p>
    <w:p>
      <w:pPr>
        <w:pStyle w:val="BookText"/>
      </w:pPr>
      <w:r>
        <w:rPr>
          <w:rFonts w:ascii="Times New Roman" w:hAnsi="Times New Roman" w:eastAsia="Times New Roman" w:cs="Times New Roman"/>
          <w:lang w:val="en-US" w:bidi="en-US"/>
          <w:color w:val="111111"/>
          <w:sz w:val="28"/>
          <w:szCs w:val="28"/>
          <w:rtl/>
        </w:rPr>
        <w:t xml:space="preserve">asrar-us-Salat</w:t>
      </w:r>
    </w:p>
    <w:p>
      <w:pPr>
        <w:pStyle w:val="BookText"/>
      </w:pPr>
      <w:r>
        <w:rPr>
          <w:rFonts w:ascii="IRNazanin" w:hAnsi="IRNazanin" w:eastAsia="IRNazanin" w:cs="IRNazanin"/>
          <w:lang w:bidi="fa-IR"/>
          <w:color w:val="111111"/>
          <w:sz w:val="28"/>
          <w:szCs w:val="28"/>
          <w:rtl/>
        </w:rPr>
        <w:t xml:space="preserve">کوثر  علیشاه، محمد رضا بن  علینقی، ۱۲۶۱-۱۳۱۸ قمری</w:t>
      </w:r>
    </w:p>
    <w:p>
      <w:pPr>
        <w:pStyle w:val="BookText"/>
      </w:pPr>
      <w:r>
        <w:rPr>
          <w:rFonts w:ascii="Times New Roman" w:hAnsi="Times New Roman" w:eastAsia="Times New Roman" w:cs="Times New Roman"/>
          <w:lang w:val="en-US" w:bidi="en-US"/>
          <w:color w:val="111111"/>
          <w:sz w:val="28"/>
          <w:szCs w:val="28"/>
          <w:rtl/>
        </w:rPr>
        <w:t xml:space="preserve">(kowsar ‘alī-šāh, mohammad rezā ebn-e ‘alī-naqī (1845- 1901)</w:t>
      </w:r>
    </w:p>
    <w:p>
      <w:pPr>
        <w:pStyle w:val="BookText"/>
      </w:pPr>
      <w:r>
        <w:rPr>
          <w:rFonts w:ascii="IRNazanin" w:hAnsi="IRNazanin" w:eastAsia="IRNazanin" w:cs="IRNazanin"/>
          <w:lang w:bidi="fa-IR"/>
          <w:color w:val="111111"/>
          <w:sz w:val="28"/>
          <w:szCs w:val="28"/>
          <w:rtl/>
        </w:rPr>
        <w:t xml:space="preserve">تهران؛ مجلس؛ شماره نسخه: ۱۵۸۷۹</w:t>
      </w:r>
    </w:p>
    <w:p>
      <w:pPr>
        <w:pStyle w:val="BookText"/>
      </w:pPr>
      <w:r>
        <w:rPr>
          <w:rFonts w:ascii="IRNazanin" w:hAnsi="IRNazanin" w:eastAsia="IRNazanin" w:cs="IRNazanin"/>
          <w:lang w:bidi="fa-IR"/>
          <w:color w:val="111111"/>
          <w:sz w:val="28"/>
          <w:szCs w:val="28"/>
          <w:rtl/>
        </w:rPr>
        <w:t xml:space="preserve">خط: نستعلیق، کا: محمد صادق بن ملا محمد رضا خوانساری، تا: ذیحجه ۱۳۰۰ق؛ مصحح، مقابله شده به وسیله یحیی حسینی   همدانی، در اول نسخه یادداشت خرید آن از اسماعیل دزفولی در ۱۳۳۵ق  که نسخه را از شیخ فضل الله آشتیانی خریده؛ رکابه دار؛ جلد: تيماج سبز دورو و با ترنج و سرترنج، ۱۷۸گ، ۱۴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۴۴ - ۱۱۳]</w:t>
      </w:r>
    </w:p>
    <w:p>
      <w:pPr>
        <w:pStyle w:val="Heading3"/>
      </w:pPr>
      <w:bookmarkStart w:id="1367" w:name="_Toc889"/>
      <w:r>
        <w:t>اسرار الصلاة / فلسفه احکام / عربی</w:t>
      </w:r>
      <w:bookmarkEnd w:id="1367"/>
    </w:p>
    <w:p>
      <w:pPr>
        <w:pStyle w:val="BookText"/>
      </w:pPr>
      <w:r>
        <w:rPr>
          <w:rFonts w:ascii="Times New Roman" w:hAnsi="Times New Roman" w:eastAsia="Times New Roman" w:cs="Times New Roman"/>
          <w:lang w:val="en-US" w:bidi="en-US"/>
          <w:color w:val="111111"/>
          <w:sz w:val="28"/>
          <w:szCs w:val="28"/>
          <w:rtl/>
        </w:rPr>
        <w:t xml:space="preserve">asrār-uṣ-ṣalāt</w:t>
      </w:r>
    </w:p>
    <w:p>
      <w:pPr>
        <w:pStyle w:val="BookText"/>
      </w:pPr>
      <w:r>
        <w:rPr>
          <w:rFonts w:ascii="IRNazanin" w:hAnsi="IRNazanin" w:eastAsia="IRNazanin" w:cs="IRNazanin"/>
          <w:lang w:bidi="fa-IR"/>
          <w:color w:val="111111"/>
          <w:sz w:val="28"/>
          <w:szCs w:val="28"/>
          <w:rtl/>
        </w:rPr>
        <w:t xml:space="preserve">غیر همانند:</w:t>
      </w:r>
    </w:p>
    <w:p>
      <w:pPr>
        <w:pStyle w:val="BookText"/>
      </w:pPr>
      <w:r>
        <w:rPr>
          <w:rFonts w:ascii="IRNazanin" w:hAnsi="IRNazanin" w:eastAsia="IRNazanin" w:cs="IRNazanin"/>
          <w:lang w:bidi="fa-IR"/>
          <w:color w:val="111111"/>
          <w:sz w:val="28"/>
          <w:szCs w:val="28"/>
          <w:rtl/>
        </w:rPr>
        <w:t xml:space="preserve">1.تهران؛ شهشهانی، حسین؛ شماره نسخه: بدون شماره</w:t>
      </w:r>
    </w:p>
    <w:p>
      <w:pPr>
        <w:pStyle w:val="BookText"/>
      </w:pPr>
      <w:r>
        <w:rPr>
          <w:rFonts w:ascii="IRNazanin" w:hAnsi="IRNazanin" w:eastAsia="IRNazanin" w:cs="IRNazanin"/>
          <w:lang w:bidi="fa-IR"/>
          <w:color w:val="111111"/>
          <w:sz w:val="28"/>
          <w:szCs w:val="28"/>
          <w:rtl/>
        </w:rPr>
        <w:t xml:space="preserve">از محمد رحیم  خان پدر  آصف الممالک، بی کا، تا: ۱۲۸۶ق  [ميراث اسلامی ۵ - ۶۰۵]</w:t>
      </w:r>
    </w:p>
    <w:p>
      <w:pPr>
        <w:pStyle w:val="BookText"/>
      </w:pPr>
      <w:r>
        <w:rPr>
          <w:rFonts w:ascii="IRNazanin" w:hAnsi="IRNazanin" w:eastAsia="IRNazanin" w:cs="IRNazanin"/>
          <w:lang w:bidi="fa-IR"/>
          <w:color w:val="111111"/>
          <w:sz w:val="28"/>
          <w:szCs w:val="28"/>
          <w:rtl/>
        </w:rPr>
        <w:t xml:space="preserve">۲. قم؛ مرکز احیاء؛ شماره نسخه: ۳۴۵۱/۲</w:t>
      </w:r>
    </w:p>
    <w:p>
      <w:pPr>
        <w:pStyle w:val="BookText"/>
      </w:pPr>
      <w:r>
        <w:rPr>
          <w:rFonts w:ascii="Amiri" w:hAnsi="Amiri" w:eastAsia="Amiri" w:cs="Amiri"/>
          <w:lang w:bidi="ar-SA"/>
          <w:color w:val="111111"/>
          <w:sz w:val="28"/>
          <w:szCs w:val="28"/>
          <w:rtl/>
        </w:rPr>
        <w:t xml:space="preserve">آغاز: الحمد لله رب العالمين رب السموات السبع و رب الارضين السبع ... أما بعد فهذه خزينة لاسرار الاعمال و عيبة لبطون الاقوال اللتين صدرتا من النبى المختار و الائمة الاخيار؛ انجام: ربنا و لا تحملنا ما لا طاقة لنا به و اعف عنا و اغفرلنا وارحمنا انت مولانا فانصرنا على القوم الكافرين</w:t>
      </w:r>
    </w:p>
    <w:p>
      <w:pPr>
        <w:pStyle w:val="BookText"/>
      </w:pPr>
      <w:r>
        <w:rPr>
          <w:rFonts w:ascii="IRNazanin" w:hAnsi="IRNazanin" w:eastAsia="IRNazanin" w:cs="IRNazanin"/>
          <w:lang w:bidi="fa-IR"/>
          <w:color w:val="111111"/>
          <w:sz w:val="28"/>
          <w:szCs w:val="28"/>
          <w:rtl/>
        </w:rPr>
        <w:t xml:space="preserve">در بیان اسرار و افعال نماز از دید عرفانی و فلسفی و تألیف شده به سال ۱۰۱۴ موافق نام کتاب «اسرار الصلاة»؛ خط: نسخ، بی کا، تا: قرن ۱۱؛ ظاهراً به خط مؤلف، مصحح با خط خوردگی و اضافات در حاشیه، محشی، در برگ آخر یادداشتی درباره ماده تاریخ تألیف کتاب آمده است، در برگ اول یادداشتی درباره البسه انسان از دید عرفانی آمده؛ ۱۰۴گ (۵۱پ-۱۵۴پ)، ۱۷ سطر،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[محدث ارموی مخ: ۱ - ۱۳۱]</w:t>
      </w:r>
    </w:p>
    <w:p>
      <w:pPr>
        <w:pStyle w:val="BookText"/>
      </w:pPr>
      <w:r>
        <w:rPr>
          <w:rFonts w:ascii="IRNazanin" w:hAnsi="IRNazanin" w:eastAsia="IRNazanin" w:cs="IRNazanin"/>
          <w:lang w:bidi="fa-IR"/>
          <w:color w:val="111111"/>
          <w:sz w:val="28"/>
          <w:szCs w:val="28"/>
          <w:rtl/>
        </w:rPr>
        <w:t xml:space="preserve">۳. تهران؛ مؤسسه مطالعات اسلامی؛ شماره نسخه: ۷۹/۳</w:t>
      </w:r>
    </w:p>
    <w:p>
      <w:pPr>
        <w:pStyle w:val="BookText"/>
      </w:pPr>
      <w:r>
        <w:rPr>
          <w:rFonts w:ascii="Amiri" w:hAnsi="Amiri" w:eastAsia="Amiri" w:cs="Amiri"/>
          <w:lang w:bidi="ar-SA"/>
          <w:color w:val="111111"/>
          <w:sz w:val="28"/>
          <w:szCs w:val="28"/>
          <w:rtl/>
        </w:rPr>
        <w:t xml:space="preserve">آغاز:  بسم  ... الحمد لله ... و بعد فهذه رسالة وجيزة مشتمله على  افعال الصلوة؛ انجام: والسلام من الله عليكم و الحمد لله رب العالمين وصلى الله ... تم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249" w:name="pg20365_260355"/>
    <w:bookmarkEnd w:id="249"/>
    <w:p>
      <w:pPr>
        <w:pStyle w:val="BookText"/>
      </w:pPr>
      <w:r>
        <w:rPr>
          <w:rFonts w:ascii="IRNazanin" w:hAnsi="IRNazanin" w:eastAsia="IRNazanin" w:cs="IRNazanin"/>
          <w:lang w:bidi="fa-IR"/>
          <w:color w:val="111111"/>
          <w:sz w:val="28"/>
          <w:szCs w:val="28"/>
          <w:rtl/>
        </w:rPr>
        <w:t xml:space="preserve">خط: نستعليق ،كا: عبد الحميد بن محمدرضا، تا: صفر۱۲۲۷ق؛ كاغذ: الوان، ضخیم، جلد: مقوایی ،جدید، ۱۳گ (۴۰پ-۵۲پ)،  19سطر (۶/۵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 اندازه: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 ف : - ۶۶]</w:t>
      </w:r>
    </w:p>
    <w:p>
      <w:pPr>
        <w:pStyle w:val="BookText"/>
      </w:pPr>
      <w:r>
        <w:rPr>
          <w:rFonts w:ascii="IRNazanin" w:hAnsi="IRNazanin" w:eastAsia="IRNazanin" w:cs="IRNazanin"/>
          <w:lang w:bidi="fa-IR"/>
          <w:color w:val="111111"/>
          <w:sz w:val="28"/>
          <w:szCs w:val="28"/>
          <w:rtl/>
        </w:rPr>
        <w:t xml:space="preserve">۴. قم؛ گلپایگانی؛ شماره نسخه: ۱۲۴۹/۷-۷/۱۴۹</w:t>
      </w:r>
    </w:p>
    <w:p>
      <w:pPr>
        <w:pStyle w:val="BookText"/>
      </w:pPr>
      <w:r>
        <w:rPr>
          <w:rFonts w:ascii="IRNazanin" w:hAnsi="IRNazanin" w:eastAsia="IRNazanin" w:cs="IRNazanin"/>
          <w:lang w:bidi="fa-IR"/>
          <w:color w:val="111111"/>
          <w:sz w:val="28"/>
          <w:szCs w:val="28"/>
          <w:rtl/>
        </w:rPr>
        <w:t xml:space="preserve">آغاز: من الخواص فان عذابهم اشد و عقوبتهم اعظم ... فغـسل السدر و هو الأول من قبل الروح طبيعى لازالة الأوساخ و الاعراض الحاصلة ... و غسل ماء القراح و هو الثالث من قبل الروح؛ انجـام: لا يناسب هذا المقام فليطلب فى غيره فى مظانه و هذه مجمل اسـرار مقدمات الصلوة وعللها ذكرتها مع قلب مغشوش .... و اما كيفیة الصلوة وحدودها و اسرارها و عللها فانما نذكر حديثاً جامعاً</w:t>
      </w:r>
    </w:p>
    <w:p>
      <w:pPr>
        <w:pStyle w:val="BookText"/>
      </w:pPr>
      <w:r>
        <w:rPr>
          <w:rFonts w:ascii="IRNazanin" w:hAnsi="IRNazanin" w:eastAsia="IRNazanin" w:cs="IRNazanin"/>
          <w:lang w:bidi="fa-IR"/>
          <w:color w:val="111111"/>
          <w:sz w:val="28"/>
          <w:szCs w:val="28"/>
          <w:rtl/>
        </w:rPr>
        <w:t xml:space="preserve">بحث نیکویی است درباره اسرار نماز و مقدمات و افعال در نـماز با استفاده از احادیث مرویه از ائمه اطهار (علیه السّلام) . مؤلف از مجلـسی نقل می کند و مطالبی از او درباره قبله اصفهان می آورد. شامل بحث در مقدمات نماز است، ازجمله المقدمة الثالثة في الاوقات و خصوصياتها لفعل الصلاة، المقدمة الرابعة فى القبلة و اسرارها المقدمة الخامسة فى المكان ...؛ بى ك، بی تا، افتادگی: آغازو انجام :جلد: تیماج قهوه ای، ۶۱گ، ۲۴ سطر،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  سم[ف: ۱ - ۳۴۴]</w:t>
      </w:r>
    </w:p>
    <w:p>
      <w:pPr>
        <w:pStyle w:val="BookText"/>
      </w:pPr>
      <w:r>
        <w:rPr>
          <w:rFonts w:ascii="IRNazanin" w:hAnsi="IRNazanin" w:eastAsia="IRNazanin" w:cs="IRNazanin"/>
          <w:lang w:bidi="fa-IR"/>
          <w:color w:val="111111"/>
          <w:sz w:val="28"/>
          <w:szCs w:val="28"/>
          <w:rtl/>
        </w:rPr>
        <w:t xml:space="preserve">۵. تهران؛ دانشگاه؛ شماره نسخه: ۳۹۸/۳</w:t>
      </w:r>
    </w:p>
    <w:p>
      <w:pPr>
        <w:pStyle w:val="BookText"/>
      </w:pPr>
      <w:r>
        <w:rPr>
          <w:rFonts w:ascii="IRNazanin" w:hAnsi="IRNazanin" w:eastAsia="IRNazanin" w:cs="IRNazanin"/>
          <w:lang w:bidi="fa-IR"/>
          <w:color w:val="111111"/>
          <w:sz w:val="28"/>
          <w:szCs w:val="28"/>
          <w:rtl/>
        </w:rPr>
        <w:t xml:space="preserve">آغاز: بسمله الحمدلله اولا و آخرا و صلى على نبينا المصطفی باطناً و ظاهرا اما بعد فاعلم ان الصلوة بالحقيقة في النبوة الاولی ركعتان ركعة فى الجنة و ركعة فى النار كما ذكرنا و فى الـنبوة الاخيرة ركعتان ركعة فى الذات و ركعة فى الصفات؛ انجـام: فهؤلاء الاصناف الخمس حين اضاعو الصلوة و اتبعوا الشهوات.و الآن بحمد الله و منه اهلكهم (اهلكم - نسخه) و فرقهم وشتتهم حین خرجت الصلوة مع نورها الى اهل النور و اتم الله النور فى اهله (تم).</w:t>
      </w:r>
    </w:p>
    <w:p>
      <w:pPr>
        <w:pStyle w:val="BookText"/>
      </w:pPr>
      <w:r>
        <w:rPr>
          <w:rFonts w:ascii="IRNazanin" w:hAnsi="IRNazanin" w:eastAsia="IRNazanin" w:cs="IRNazanin"/>
          <w:lang w:bidi="fa-IR"/>
          <w:color w:val="111111"/>
          <w:sz w:val="28"/>
          <w:szCs w:val="28"/>
          <w:rtl/>
        </w:rPr>
        <w:t xml:space="preserve">در این نامه نماز تأویل عرفانی و باطنی شده و در آن رو گردید که دانشمندان و رهبران و فرمانروایان و شاهدان و داوران بدنماز را تباه  ساختند. از عبارت «کما ذکرنا» که در آغاز آن دارد بر می آید که دنباله نامه دیگری است مگر این که در نسخه ما رساله ای جدا به شمار آمده و نگارنده آن نادانسته است؛ خـط: نستعلیق، بی کا، بی تا؛ ۲گ (۱۹پ-۲۰ پ) [ف: ۶ - ۲۱۳۵]</w:t>
      </w:r>
    </w:p>
    <w:p>
      <w:pPr>
        <w:pStyle w:val="BookText"/>
      </w:pPr>
      <w:r>
        <w:rPr>
          <w:rFonts w:ascii="IRNazanin" w:hAnsi="IRNazanin" w:eastAsia="IRNazanin" w:cs="IRNazanin"/>
          <w:lang w:bidi="fa-IR"/>
          <w:color w:val="111111"/>
          <w:sz w:val="28"/>
          <w:szCs w:val="28"/>
          <w:rtl/>
        </w:rPr>
        <w:t xml:space="preserve">۶. اصفهان ابوالبرکات ،رضا؛ شماره نسخه: ۵۸/۱۰</w:t>
      </w:r>
    </w:p>
    <w:p>
      <w:pPr>
        <w:pStyle w:val="BookText"/>
      </w:pPr>
      <w:r>
        <w:rPr>
          <w:rFonts w:ascii="IRNazanin" w:hAnsi="IRNazanin" w:eastAsia="IRNazanin" w:cs="IRNazanin"/>
          <w:lang w:bidi="fa-IR"/>
          <w:color w:val="111111"/>
          <w:sz w:val="28"/>
          <w:szCs w:val="28"/>
          <w:rtl/>
        </w:rPr>
        <w:t xml:space="preserve">آغاز: فالمعروض على اخوان المؤمنين و اخلاء المتقين ان الصـلاة لما كانت عمود الدين؛ انجام: فيتحد موضع النظر في جـمیع الاحوال ظاهرا.</w:t>
      </w:r>
    </w:p>
    <w:p>
      <w:pPr>
        <w:pStyle w:val="BookText"/>
      </w:pPr>
      <w:r>
        <w:rPr>
          <w:rFonts w:ascii="IRNazanin" w:hAnsi="IRNazanin" w:eastAsia="IRNazanin" w:cs="IRNazanin"/>
          <w:lang w:bidi="fa-IR"/>
          <w:color w:val="111111"/>
          <w:sz w:val="28"/>
          <w:szCs w:val="28"/>
          <w:rtl/>
        </w:rPr>
        <w:t xml:space="preserve">به امر محمد ابراهیم خان کرمانی تألیف شده؛ خط: نسخ، محمد بن کربلایی حسین بیرجندی، بی تا؛افتادگی: انجام؛ جـلد: تیماج مشکی بدون مقوا، ۵گ (۱۰۶پ-۱۱۰پ) [سه کتابخانه اصفهان - ف: ۶۰  ]</w:t>
      </w:r>
    </w:p>
    <w:p>
      <w:pPr>
        <w:pStyle w:val="Heading3"/>
      </w:pPr>
      <w:bookmarkStart w:id="1368" w:name="_Toc890"/>
      <w:r>
        <w:t>اسرار الصلاة / عرفان و تصوف / فارسی</w:t>
      </w:r>
      <w:bookmarkEnd w:id="1368"/>
    </w:p>
    <w:p>
      <w:pPr>
        <w:pStyle w:val="BookText"/>
      </w:pPr>
      <w:r>
        <w:rPr>
          <w:rFonts w:ascii="Times New Roman" w:hAnsi="Times New Roman" w:eastAsia="Times New Roman" w:cs="Times New Roman"/>
          <w:lang w:val="en-US" w:bidi="en-US"/>
          <w:color w:val="111111"/>
          <w:sz w:val="28"/>
          <w:szCs w:val="28"/>
          <w:rtl/>
        </w:rPr>
        <w:t xml:space="preserve">asrar-us-Salat</w:t>
      </w:r>
    </w:p>
    <w:p>
      <w:pPr>
        <w:pStyle w:val="BookText"/>
      </w:pPr>
      <w:r>
        <w:rPr>
          <w:rFonts w:ascii="IRNazanin" w:hAnsi="IRNazanin" w:eastAsia="IRNazanin" w:cs="IRNazanin"/>
          <w:lang w:bidi="fa-IR"/>
          <w:color w:val="111111"/>
          <w:sz w:val="28"/>
          <w:szCs w:val="28"/>
          <w:rtl/>
        </w:rPr>
        <w:t xml:space="preserve">غیر همانند:</w:t>
      </w:r>
    </w:p>
    <w:p>
      <w:pPr>
        <w:pStyle w:val="BookText"/>
      </w:pPr>
      <w:r>
        <w:rPr>
          <w:rFonts w:ascii="IRNazanin" w:hAnsi="IRNazanin" w:eastAsia="IRNazanin" w:cs="IRNazanin"/>
          <w:lang w:bidi="fa-IR"/>
          <w:color w:val="111111"/>
          <w:sz w:val="28"/>
          <w:szCs w:val="28"/>
          <w:rtl/>
        </w:rPr>
        <w:t xml:space="preserve">1.تهران؛ مجلس؛ شماره نسخه: ۳۹۳۹/۶</w:t>
      </w:r>
    </w:p>
    <w:p>
      <w:pPr>
        <w:pStyle w:val="BookText"/>
      </w:pPr>
      <w:r>
        <w:rPr>
          <w:rFonts w:ascii="IRNazanin" w:hAnsi="IRNazanin" w:eastAsia="IRNazanin" w:cs="IRNazanin"/>
          <w:lang w:bidi="fa-IR"/>
          <w:color w:val="111111"/>
          <w:sz w:val="28"/>
          <w:szCs w:val="28"/>
          <w:rtl/>
        </w:rPr>
        <w:t xml:space="preserve">بخشی است بدون اول و آخر از رساله ای در اسرار صلوة (گویا از صائن الدين على تركه) در این بخش  آمده: «ای عزیز تا گمان نبری که نماز کاری آسان است قیام ورکوعی و سجودی از سر رسم و عادت این جمله صورت و صفت نماز بود و این صفت را موصوفی»؛ بی کا، بی تا؛ کاغذ: هندی نخودی رنگ، جلد: تیماج قرمز، ۴ص (۹۴-۹۷)، ۱۵ سطر، قطع وزیری،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۲۶سم  [ف: ۱۰ - ۲۰۶۲]</w:t>
      </w:r>
    </w:p>
    <w:p>
      <w:pPr>
        <w:pStyle w:val="BookText"/>
      </w:pPr>
      <w:r>
        <w:rPr>
          <w:rFonts w:ascii="IRNazanin" w:hAnsi="IRNazanin" w:eastAsia="IRNazanin" w:cs="IRNazanin"/>
          <w:lang w:bidi="fa-IR"/>
          <w:color w:val="111111"/>
          <w:sz w:val="28"/>
          <w:szCs w:val="28"/>
          <w:rtl/>
        </w:rPr>
        <w:t xml:space="preserve">۲. تهران؛ مینوی؛ شماره نسخه: ۴/۱۶</w:t>
      </w:r>
    </w:p>
    <w:p>
      <w:pPr>
        <w:pStyle w:val="BookText"/>
      </w:pPr>
      <w:r>
        <w:rPr>
          <w:rFonts w:ascii="IRNazanin" w:hAnsi="IRNazanin" w:eastAsia="IRNazanin" w:cs="IRNazanin"/>
          <w:lang w:bidi="fa-IR"/>
          <w:color w:val="111111"/>
          <w:sz w:val="28"/>
          <w:szCs w:val="28"/>
          <w:rtl/>
        </w:rPr>
        <w:t xml:space="preserve">خط: نسخ ،بی کا، بی تا، قطع: ربعی [نشریه: ۶ - ۶۷۱]</w:t>
      </w:r>
    </w:p>
    <w:p>
      <w:pPr>
        <w:pStyle w:val="BookText"/>
      </w:pPr>
      <w:r>
        <w:rPr>
          <w:rFonts w:ascii="IRNazanin" w:hAnsi="IRNazanin" w:eastAsia="IRNazanin" w:cs="IRNazanin"/>
          <w:lang w:bidi="fa-IR"/>
          <w:color w:val="111111"/>
          <w:sz w:val="28"/>
          <w:szCs w:val="28"/>
          <w:rtl/>
        </w:rPr>
        <w:t xml:space="preserve">٣. شیراز؛ خانقاه احمدیه ؛شماره نسخه: ۱۳۸/۱۴</w:t>
      </w:r>
    </w:p>
    <w:p>
      <w:pPr>
        <w:pStyle w:val="BookText"/>
      </w:pPr>
      <w:r>
        <w:rPr>
          <w:rFonts w:ascii="IRNazanin" w:hAnsi="IRNazanin" w:eastAsia="IRNazanin" w:cs="IRNazanin"/>
          <w:lang w:bidi="fa-IR"/>
          <w:color w:val="111111"/>
          <w:sz w:val="28"/>
          <w:szCs w:val="28"/>
          <w:rtl/>
        </w:rPr>
        <w:t xml:space="preserve">بی کا، بی تا [نشریه ۵ - ۲۲۵]</w:t>
      </w:r>
    </w:p>
    <w:p>
      <w:pPr>
        <w:pStyle w:val="BookText"/>
      </w:pPr>
      <w:r>
        <w:rPr>
          <w:rFonts w:ascii="IRNazanin" w:hAnsi="IRNazanin" w:eastAsia="IRNazanin" w:cs="IRNazanin"/>
          <w:lang w:bidi="fa-IR"/>
          <w:color w:val="111111"/>
          <w:sz w:val="28"/>
          <w:szCs w:val="28"/>
          <w:rtl/>
        </w:rPr>
        <w:t xml:space="preserve">۴. مراغه عمومی؛ شماره نسخه: ۹۱/۴</w:t>
      </w:r>
    </w:p>
    <w:p>
      <w:pPr>
        <w:pStyle w:val="BookText"/>
      </w:pPr>
      <w:r>
        <w:rPr>
          <w:rFonts w:ascii="IRNazanin" w:hAnsi="IRNazanin" w:eastAsia="IRNazanin" w:cs="IRNazanin"/>
          <w:lang w:bidi="fa-IR"/>
          <w:color w:val="111111"/>
          <w:sz w:val="28"/>
          <w:szCs w:val="28"/>
          <w:rtl/>
        </w:rPr>
        <w:t xml:space="preserve">آغاز: بدانکه نماز با بی نیاز راز گفتن است و آن اشتغالی است با حق سبحانه و تعالى مظاهر و باطن و حقیقت آن مناجات است با حضرت صمدیت و مناجات مخاطبه بود؛ انجام: حاصل الامر آنکه در نماز از صفای لذت مناجات که آن غایت مقیم اکابر اولیاء و نهایت آمال افاضل اتقیات محروم نماند، تمت من  تحقیقات م. ح</w:t>
      </w:r>
    </w:p>
    <w:p>
      <w:pPr>
        <w:pStyle w:val="BookText"/>
      </w:pPr>
      <w:r>
        <w:rPr>
          <w:rFonts w:ascii="IRNazanin" w:hAnsi="IRNazanin" w:eastAsia="IRNazanin" w:cs="IRNazanin"/>
          <w:lang w:bidi="fa-IR"/>
          <w:color w:val="111111"/>
          <w:sz w:val="28"/>
          <w:szCs w:val="28"/>
          <w:rtl/>
        </w:rPr>
        <w:t xml:space="preserve">رساله ای مختصر در اصول و قواعد حضور قلب در نماز و اسرار معنوی آن که مطابق مذاق عرفانی به رشته تحریر درآمده، کامل است؛ خط: نستعلیق بی کا، بی تا ،جلد: تیماج سیاه منقوش زیبا، ۲گ (۹۵ر-۹۴ پ)، ۱۸ 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۲۰۸]</w:t>
      </w:r>
    </w:p>
    <w:p>
      <w:pPr>
        <w:pStyle w:val="BookText"/>
      </w:pPr>
      <w:r>
        <w:rPr>
          <w:rFonts w:ascii="Amiri" w:hAnsi="Amiri" w:eastAsia="Amiri" w:cs="Amiri"/>
          <w:lang w:bidi="ar-SA"/>
          <w:color w:val="111111"/>
          <w:sz w:val="28"/>
          <w:szCs w:val="28"/>
          <w:rtl/>
        </w:rPr>
        <w:t xml:space="preserve">«اسرار الصلاة (ترجمه) » التنبيهات العلية على وظائف الصلاة  القلبية (ترجمه)</w:t>
      </w:r>
    </w:p>
    <w:p>
      <w:pPr>
        <w:pStyle w:val="Heading3"/>
      </w:pPr>
      <w:bookmarkStart w:id="1369" w:name="_Toc891"/>
      <w:r>
        <w:t>اسرار الصلاة (ترجمه) / فلسفه احکام / فارسی</w:t>
      </w:r>
      <w:bookmarkEnd w:id="1369"/>
    </w:p>
    <w:p>
      <w:pPr>
        <w:pStyle w:val="BookText"/>
      </w:pPr>
      <w:r>
        <w:rPr>
          <w:rFonts w:ascii="Times New Roman" w:hAnsi="Times New Roman" w:eastAsia="Times New Roman" w:cs="Times New Roman"/>
          <w:lang w:val="en-US" w:bidi="en-US"/>
          <w:color w:val="111111"/>
          <w:sz w:val="28"/>
          <w:szCs w:val="28"/>
          <w:rtl/>
        </w:rPr>
        <w:t xml:space="preserve">(asrār-us salāt (t.)</w:t>
      </w:r>
    </w:p>
    <w:p>
      <w:pPr>
        <w:pStyle w:val="BookText"/>
      </w:pPr>
      <w:r>
        <w:rPr>
          <w:rFonts w:ascii="IRNazanin" w:hAnsi="IRNazanin" w:eastAsia="IRNazanin" w:cs="IRNazanin"/>
          <w:lang w:bidi="fa-IR"/>
          <w:color w:val="111111"/>
          <w:sz w:val="28"/>
          <w:szCs w:val="28"/>
          <w:rtl/>
        </w:rPr>
        <w:t xml:space="preserve">سرکانی، محمد صادق بن محمد علی، ق ۱۱ قمری</w:t>
      </w:r>
    </w:p>
    <w:p>
      <w:pPr>
        <w:pStyle w:val="BookText"/>
      </w:pPr>
      <w:r>
        <w:rPr>
          <w:rFonts w:ascii="Times New Roman" w:hAnsi="Times New Roman" w:eastAsia="Times New Roman" w:cs="Times New Roman"/>
          <w:lang w:val="en-US" w:bidi="en-US"/>
          <w:color w:val="111111"/>
          <w:sz w:val="28"/>
          <w:szCs w:val="28"/>
          <w:rtl/>
        </w:rPr>
        <w:t xml:space="preserve">(serkānī, mohammad sādeq ebn-e mohammad ‘alī (-17c</w:t>
      </w:r>
    </w:p>
    <w:p>
      <w:pPr>
        <w:pStyle w:val="BookText"/>
      </w:pPr>
      <w:r>
        <w:rPr>
          <w:rFonts w:ascii="IRNazanin" w:hAnsi="IRNazanin" w:eastAsia="IRNazanin" w:cs="IRNazanin"/>
          <w:lang w:bidi="fa-IR"/>
          <w:color w:val="111111"/>
          <w:sz w:val="28"/>
          <w:szCs w:val="28"/>
          <w:rtl/>
        </w:rPr>
        <w:t xml:space="preserve">وابسته به: التنبيهات العلية على وظائف الصلاة القلبية = اسرار الصلاة؛ شهید ثانی زین الدین بن علی (۹۱۱-۹۶۵)</w:t>
      </w:r>
    </w:p>
    <w:p>
      <w:pPr>
        <w:pStyle w:val="BookText"/>
      </w:pPr>
      <w:r>
        <w:rPr>
          <w:rFonts w:ascii="IRNazanin" w:hAnsi="IRNazanin" w:eastAsia="IRNazanin" w:cs="IRNazanin"/>
          <w:lang w:bidi="fa-IR"/>
          <w:color w:val="111111"/>
          <w:sz w:val="28"/>
          <w:szCs w:val="28"/>
          <w:rtl/>
        </w:rPr>
        <w:t xml:space="preserve">قم؛ مرعشی؛ شماره نسخه: بدون شماره/ ۱</w:t>
      </w:r>
    </w:p>
    <w:p>
      <w:pPr>
        <w:pStyle w:val="BookText"/>
      </w:pPr>
      <w:r>
        <w:rPr>
          <w:rFonts w:ascii="IRNazanin" w:hAnsi="IRNazanin" w:eastAsia="IRNazanin" w:cs="IRNazanin"/>
          <w:lang w:bidi="fa-IR"/>
          <w:color w:val="111111"/>
          <w:sz w:val="28"/>
          <w:szCs w:val="28"/>
          <w:rtl/>
        </w:rPr>
        <w:t xml:space="preserve">بی کا، بی تا [ میراث شهاب: س ۶ش ۱ - ۱۱۲]</w:t>
      </w:r>
    </w:p>
    <w:p>
      <w:pPr>
        <w:pStyle w:val="Heading3"/>
      </w:pPr>
      <w:bookmarkStart w:id="1370" w:name="_Toc892"/>
      <w:r>
        <w:t>اسرار الصلاة (ترجمه) / فلسفه احکام / فارسی</w:t>
      </w:r>
      <w:bookmarkEnd w:id="1370"/>
    </w:p>
    <w:p>
      <w:pPr>
        <w:pStyle w:val="BookText"/>
      </w:pPr>
      <w:r>
        <w:rPr>
          <w:rFonts w:ascii="Times New Roman" w:hAnsi="Times New Roman" w:eastAsia="Times New Roman" w:cs="Times New Roman"/>
          <w:lang w:val="en-US" w:bidi="en-US"/>
          <w:color w:val="111111"/>
          <w:sz w:val="28"/>
          <w:szCs w:val="28"/>
          <w:rtl/>
        </w:rPr>
        <w:t xml:space="preserve">(asrār-us salāt (t.)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250" w:name="pg20365_260356"/>
    <w:bookmarkEnd w:id="250"/>
    <w:p>
      <w:pPr>
        <w:pStyle w:val="BookText"/>
      </w:pPr>
      <w:r>
        <w:rPr>
          <w:rFonts w:ascii="IRNazanin" w:hAnsi="IRNazanin" w:eastAsia="IRNazanin" w:cs="IRNazanin"/>
          <w:lang w:bidi="fa-IR"/>
          <w:color w:val="111111"/>
          <w:sz w:val="28"/>
          <w:szCs w:val="28"/>
          <w:rtl/>
        </w:rPr>
        <w:t xml:space="preserve">وابسته به التنبيهات العلية على وظائف الصلاة القلبية=اسرار الصلاة؛ شهید ثانی زین الدین بن علی (۹۱۱-۹۶۵)</w:t>
      </w:r>
    </w:p>
    <w:p>
      <w:pPr>
        <w:pStyle w:val="BookText"/>
      </w:pPr>
      <w:r>
        <w:rPr>
          <w:rFonts w:ascii="IRNazanin" w:hAnsi="IRNazanin" w:eastAsia="IRNazanin" w:cs="IRNazanin"/>
          <w:lang w:bidi="fa-IR"/>
          <w:color w:val="111111"/>
          <w:sz w:val="28"/>
          <w:szCs w:val="28"/>
          <w:rtl/>
        </w:rPr>
        <w:t xml:space="preserve">از رساله «التنبيهات العلیه» شهید ثانی دو ترجمه فارسی شناسایی شده که گویا ترجمه حاضر یکی از آن دو باشد: ۱. ترجمه ملا محمد رنان  تنکابنی، به امر سلطان حسین صفوى (الذريعة /۴/ 78 رقم ۳۳۰)؛ ۲. ترجمه محمد صالح بن محمد صادق واعظ، تصحیح محدث ارموی چاپ شده (مشار فارسی ۸۵۱/۱ ):آغاز فصل اول این ترجمه چنین است: «فصل اول در بیان مقدمات نماز به غیر اموری که پیش از شروع در نماز باید به عمل آید و این مقدمات بعض واجب است و بعض مستحب پس واجبات آن شش است اول طهارت که عبارت از وضو و غسل و تیـمم است دوم ازاله نجاست از جامه و بدن».</w:t>
      </w:r>
    </w:p>
    <w:p>
      <w:pPr>
        <w:pStyle w:val="BookText"/>
      </w:pPr>
      <w:r>
        <w:rPr>
          <w:rFonts w:ascii="IRNazanin" w:hAnsi="IRNazanin" w:eastAsia="IRNazanin" w:cs="IRNazanin"/>
          <w:lang w:bidi="fa-IR"/>
          <w:color w:val="111111"/>
          <w:sz w:val="28"/>
          <w:szCs w:val="28"/>
          <w:rtl/>
        </w:rPr>
        <w:t xml:space="preserve">بشرویه ؛امیرالمؤمنین؛ شماره نسخه: ۱۰۰</w:t>
      </w:r>
    </w:p>
    <w:p>
      <w:pPr>
        <w:pStyle w:val="BookText"/>
      </w:pPr>
      <w:r>
        <w:rPr>
          <w:rFonts w:ascii="IRNazanin" w:hAnsi="IRNazanin" w:eastAsia="IRNazanin" w:cs="IRNazanin"/>
          <w:lang w:bidi="fa-IR"/>
          <w:color w:val="111111"/>
          <w:sz w:val="28"/>
          <w:szCs w:val="28"/>
          <w:rtl/>
        </w:rPr>
        <w:t xml:space="preserve">آغاز: از گلشن مرحمت پیغامیش وزیدن گیرد مشام آرزو جز عبير جيب رستگاری نبویه علیمی که در ظلمتکده قلوب موجودات عالم امکان؛ انجام: حسرت نکشیده و از قصور و بساتين عيش و عشرت می رود ... بکنج ظلمتكده لحد ساخت و بناچاری قطع علایق جسمانی</w:t>
      </w:r>
    </w:p>
    <w:p>
      <w:pPr>
        <w:pStyle w:val="BookText"/>
      </w:pPr>
      <w:r>
        <w:rPr>
          <w:rFonts w:ascii="IRNazanin" w:hAnsi="IRNazanin" w:eastAsia="IRNazanin" w:cs="IRNazanin"/>
          <w:lang w:bidi="fa-IR"/>
          <w:color w:val="111111"/>
          <w:sz w:val="28"/>
          <w:szCs w:val="28"/>
          <w:rtl/>
        </w:rPr>
        <w:t xml:space="preserve">بی کا،بی تا؛ افتادگی: آغاز و انجام ؛جلد: تیماج ،عنابی ۱۱۵  گ، ۱۹ 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مخ]</w:t>
      </w:r>
    </w:p>
    <w:p>
      <w:pPr>
        <w:pStyle w:val="Heading3"/>
      </w:pPr>
      <w:bookmarkStart w:id="1371" w:name="_Toc893"/>
      <w:r>
        <w:t>اسرار الصلاة (ترجمه) / فلسفه و کلام / فارسی</w:t>
      </w:r>
      <w:bookmarkEnd w:id="1371"/>
    </w:p>
    <w:p>
      <w:pPr>
        <w:pStyle w:val="BookText"/>
      </w:pPr>
      <w:r>
        <w:rPr>
          <w:rFonts w:ascii="Times New Roman" w:hAnsi="Times New Roman" w:eastAsia="Times New Roman" w:cs="Times New Roman"/>
          <w:lang w:val="en-US" w:bidi="en-US"/>
          <w:color w:val="111111"/>
          <w:sz w:val="28"/>
          <w:szCs w:val="28"/>
          <w:rtl/>
        </w:rPr>
        <w:t xml:space="preserve">(asrār-us salāt (t.)</w:t>
      </w:r>
    </w:p>
    <w:p>
      <w:pPr>
        <w:pStyle w:val="BookText"/>
      </w:pPr>
      <w:r>
        <w:rPr>
          <w:rFonts w:ascii="IRNazanin" w:hAnsi="IRNazanin" w:eastAsia="IRNazanin" w:cs="IRNazanin"/>
          <w:lang w:bidi="fa-IR"/>
          <w:color w:val="111111"/>
          <w:sz w:val="28"/>
          <w:szCs w:val="28"/>
          <w:rtl/>
        </w:rPr>
        <w:t xml:space="preserve">تهران؛ ملی؛ شماره نسخه: ۲۵۱۳۰</w:t>
      </w:r>
    </w:p>
    <w:p>
      <w:pPr>
        <w:pStyle w:val="BookText"/>
      </w:pPr>
      <w:r>
        <w:rPr>
          <w:rFonts w:ascii="IRNazanin" w:hAnsi="IRNazanin" w:eastAsia="IRNazanin" w:cs="IRNazanin"/>
          <w:lang w:bidi="fa-IR"/>
          <w:color w:val="111111"/>
          <w:sz w:val="28"/>
          <w:szCs w:val="28"/>
          <w:rtl/>
        </w:rPr>
        <w:t xml:space="preserve">بی  کا، بی تا، خریداری از امرالله صفری [رایانه]</w:t>
      </w:r>
    </w:p>
    <w:p>
      <w:pPr>
        <w:pStyle w:val="Heading3"/>
      </w:pPr>
      <w:bookmarkStart w:id="1372" w:name="_Toc894"/>
      <w:r>
        <w:t>اسرار الصلاة (منتخب) / فلسفه احکام / عربی</w:t>
      </w:r>
      <w:bookmarkEnd w:id="1372"/>
    </w:p>
    <w:p>
      <w:pPr>
        <w:pStyle w:val="BookText"/>
      </w:pPr>
      <w:r>
        <w:rPr>
          <w:rFonts w:ascii="Times New Roman" w:hAnsi="Times New Roman" w:eastAsia="Times New Roman" w:cs="Times New Roman"/>
          <w:lang w:val="en-US" w:bidi="en-US"/>
          <w:color w:val="111111"/>
          <w:sz w:val="28"/>
          <w:szCs w:val="28"/>
          <w:rtl/>
        </w:rPr>
        <w:t xml:space="preserve">(asrār-uṣ ṣalāt (mn.)</w:t>
      </w:r>
    </w:p>
    <w:p>
      <w:pPr>
        <w:pStyle w:val="BookText"/>
      </w:pPr>
      <w:r>
        <w:rPr>
          <w:rFonts w:ascii="IRNazanin" w:hAnsi="IRNazanin" w:eastAsia="IRNazanin" w:cs="IRNazanin"/>
          <w:lang w:bidi="fa-IR"/>
          <w:color w:val="111111"/>
          <w:sz w:val="28"/>
          <w:szCs w:val="28"/>
          <w:rtl/>
        </w:rPr>
        <w:t xml:space="preserve">ابن طاوس، علی بن موسی، ۵۸۹ - ۶۶۴ قمری</w:t>
      </w:r>
    </w:p>
    <w:p>
      <w:pPr>
        <w:pStyle w:val="BookText"/>
      </w:pPr>
      <w:r>
        <w:rPr>
          <w:rFonts w:ascii="Times New Roman" w:hAnsi="Times New Roman" w:eastAsia="Times New Roman" w:cs="Times New Roman"/>
          <w:lang w:val="en-US" w:bidi="en-US"/>
          <w:color w:val="111111"/>
          <w:sz w:val="28"/>
          <w:szCs w:val="28"/>
          <w:rtl/>
        </w:rPr>
        <w:t xml:space="preserve">(ebn-e tāvūs, ‘alī ebn-e mūsā (1194 - 1266)</w:t>
      </w:r>
    </w:p>
    <w:p>
      <w:pPr>
        <w:pStyle w:val="BookText"/>
      </w:pPr>
      <w:r>
        <w:rPr>
          <w:rFonts w:ascii="IRNazanin" w:hAnsi="IRNazanin" w:eastAsia="IRNazanin" w:cs="IRNazanin"/>
          <w:lang w:bidi="fa-IR"/>
          <w:color w:val="111111"/>
          <w:sz w:val="28"/>
          <w:szCs w:val="28"/>
          <w:rtl/>
        </w:rPr>
        <w:t xml:space="preserve">تهران؛ مجلس؛ شماره نسخه: ۴۳۳۸/۱۳</w:t>
      </w:r>
    </w:p>
    <w:p>
      <w:pPr>
        <w:pStyle w:val="BookText"/>
      </w:pPr>
      <w:r>
        <w:rPr>
          <w:rFonts w:ascii="IRNazanin" w:hAnsi="IRNazanin" w:eastAsia="IRNazanin" w:cs="IRNazanin"/>
          <w:lang w:bidi="fa-IR"/>
          <w:color w:val="111111"/>
          <w:sz w:val="28"/>
          <w:szCs w:val="28"/>
          <w:rtl/>
        </w:rPr>
        <w:t xml:space="preserve">بی  کا، تا: ۱۲۲۹ق؛ جلد: تیماج  ضربی، ۱۷۹پ تا آخر،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 ۱۲ - ۳۷]</w:t>
      </w:r>
    </w:p>
    <w:p>
      <w:pPr>
        <w:pStyle w:val="Heading3"/>
      </w:pPr>
      <w:bookmarkStart w:id="1373" w:name="_Toc895"/>
      <w:r>
        <w:t>اسرار الصنايع / منطق / فارسی</w:t>
      </w:r>
      <w:bookmarkEnd w:id="1373"/>
    </w:p>
    <w:p>
      <w:pPr>
        <w:pStyle w:val="BookText"/>
      </w:pPr>
      <w:r>
        <w:rPr>
          <w:rFonts w:ascii="Times New Roman" w:hAnsi="Times New Roman" w:eastAsia="Times New Roman" w:cs="Times New Roman"/>
          <w:lang w:val="en-US" w:bidi="en-US"/>
          <w:color w:val="111111"/>
          <w:sz w:val="28"/>
          <w:szCs w:val="28"/>
          <w:rtl/>
        </w:rPr>
        <w:t xml:space="preserve">asrār-os-sanāye‘</w:t>
      </w:r>
    </w:p>
    <w:p>
      <w:pPr>
        <w:pStyle w:val="BookText"/>
      </w:pPr>
      <w:r>
        <w:rPr>
          <w:rFonts w:ascii="IRNazanin" w:hAnsi="IRNazanin" w:eastAsia="IRNazanin" w:cs="IRNazanin"/>
          <w:lang w:bidi="fa-IR"/>
          <w:color w:val="111111"/>
          <w:sz w:val="28"/>
          <w:szCs w:val="28"/>
          <w:rtl/>
        </w:rPr>
        <w:t xml:space="preserve">قاضی سعید  قمی، محمد سعید بن محمد ،مفید ۱۰۴۹  - ۱۱۰۳ ؟ قمری</w:t>
      </w:r>
    </w:p>
    <w:p>
      <w:pPr>
        <w:pStyle w:val="BookText"/>
      </w:pPr>
      <w:r>
        <w:rPr>
          <w:rFonts w:ascii="Times New Roman" w:hAnsi="Times New Roman" w:eastAsia="Times New Roman" w:cs="Times New Roman"/>
          <w:lang w:val="en-US" w:bidi="en-US"/>
          <w:color w:val="111111"/>
          <w:sz w:val="28"/>
          <w:szCs w:val="28"/>
          <w:rtl/>
        </w:rPr>
        <w:t xml:space="preserve">qāzī sa‘īd-e qomī, mohammad sa‘īd ebn-e mohammad</w:t>
      </w:r>
    </w:p>
    <w:p>
      <w:pPr>
        <w:pStyle w:val="BookText"/>
      </w:pPr>
      <w:r>
        <w:rPr>
          <w:rFonts w:ascii="Times New Roman" w:hAnsi="Times New Roman" w:eastAsia="Times New Roman" w:cs="Times New Roman"/>
          <w:lang w:val="en-US" w:bidi="en-US"/>
          <w:color w:val="111111"/>
          <w:sz w:val="28"/>
          <w:szCs w:val="28"/>
          <w:rtl/>
        </w:rPr>
        <w:t xml:space="preserve">(mofīd (1640 - 1692)</w:t>
      </w:r>
    </w:p>
    <w:p>
      <w:pPr>
        <w:pStyle w:val="BookText"/>
      </w:pPr>
      <w:r>
        <w:rPr>
          <w:rFonts w:ascii="IRNazanin" w:hAnsi="IRNazanin" w:eastAsia="IRNazanin" w:cs="IRNazanin"/>
          <w:lang w:bidi="fa-IR"/>
          <w:color w:val="111111"/>
          <w:sz w:val="28"/>
          <w:szCs w:val="28"/>
          <w:rtl/>
        </w:rPr>
        <w:t xml:space="preserve">رساله در دیباچه چنین تعریف و توصیف شده است: «این فصـلی  چند است در بیان کیفیت حدوث حروف مقطعه و کلمه و کلام و پیدا شدن صناعات خمسه قیاسیه معروفه و تفاوت مقامات آنها بحسب درجات و درکات شرافت و خساست و تقدم و تاخر هر یک در وجود خارجی و شرافت و مرتبت و کیفیت درخشیدن گوهر جهانتاب نبوت و رسالت و شرح حال صناعت کلام و فقه و کیفیت خدمت آنها مرملت را و بیان صنایع و وقایع متعلقه باین مقام و في الحقيقة اين رساله ترجمه ایست از مقالاتشافیه قدماء حكماء و نتیجه ایست از مقدمات کلیه ایشان قدس الله تعالى ارواحهم و حقیر را دخلی بیش از ترتیب تالیفی و تنظیم و تنسيق کتابی نیست مگر شرذمه قلیلی رساله ضمن یک «مقدمه» و ۱۹ «فصل» است: مقدمه در بیان شرح صناعات خمسه منطقيه؛ ۱. وجود الحروف المعجمة و الاصوات و فى بيان السبب الاول لاختلاف الالسنة؛ ۲. سبب وقوع التركيبات و التاليفات اللفظية في حروف المعجمة و كيفية مهمية الالفاظ و تداولها بين الامم ؛ . 3.مراتب المكالمات و المحاورات و ابتداء شروعها في الاستعارات و الصناعات؛ ۴. حدوث صناعة الخطابة و صناعة العشر و ما يتعلق بهما ؛5. حدوث صناعة الكتابة وسبب حدوثها و ضرورة وجودها .۶. حدوث صناعة اهل اللغة و ما يتعلق بهذا الموضع ؛ ٧. حدوث صناعة الجدل وصناعة السوفسطيقا؛ ۸. ظهور لوامع صناعة البرهان من مشارق العرفان؛ ۹ .سطوع انوار النبوة من آفاق انفس العباد و ظهور آثار الهداية من مظاهر الرشاد؛ ١٠. وجوب تقدم الحكمة بحسب الزمان على النبوة؛ ۱۱. لمية وجود الانبياء (علیه السّلام) و سلاطين الاعصار و بیان احتیاج كل واحد منهما الى الآخر في تحصيل النظام بين امور الجمهور؛ ١٢. كيفية تعليم الانبياء (علیه السّلام) و ارشادهم للجمهور؛ ۱۳. الاقتصاء عن الحكاية الغريبة الموعود ذكرها التي نقلها افلاطون الالهي في كتابه المعروف بالنواميس؛ ۱۴. بیان حدوث صناعة الكلام و صناعة  الفقه و تحقيق حالها و منزلتهما؛ ۱۵. بیان الفرق بين صناعه الفقه و صناعة الكلام و بیان طرق ذب المتكلمين عن الملل؛ ۱۶. بيان تقدم الصناعات المذكورة وتاخرها بحسب الشرافة و المرتبة و الزمان؛ ۱۷. تحقيق معنى الخاص و بيان ان الصناعات المذكورة ايها مستحقة لهذا الاسم بحسب نفس الامر ؛ ۱۸. بیان بعض معانی الخفية المتعلقة بالحكمة و الملة .۱۹. بيان الفروق التي وقعت بين النواميس الالهية يعنى الشريعة النبوية و السياسات العرفية السلطانية و امتياز كل واحد منهما عن الآخر.</w:t>
      </w:r>
    </w:p>
    <w:p>
      <w:pPr>
        <w:pStyle w:val="BookText"/>
      </w:pPr>
      <w:r>
        <w:rPr>
          <w:rFonts w:ascii="Amiri" w:hAnsi="Amiri" w:eastAsia="Amiri" w:cs="Amiri"/>
          <w:lang w:bidi="ar-SA"/>
          <w:color w:val="111111"/>
          <w:sz w:val="28"/>
          <w:szCs w:val="28"/>
          <w:rtl/>
        </w:rPr>
        <w:t xml:space="preserve">آغاز: بسمله ... اللهم انطقنى بمحاسن الكلمة و الكلام و اعصمنى عن التنطق بما ينطق به الجهلة و العوام و احفظني في مدارج الاسترشاد</w:t>
      </w:r>
    </w:p>
    <w:p>
      <w:pPr>
        <w:pStyle w:val="BookText"/>
      </w:pPr>
      <w:r>
        <w:rPr>
          <w:rFonts w:ascii="IRNazanin" w:hAnsi="IRNazanin" w:eastAsia="IRNazanin" w:cs="IRNazanin"/>
          <w:lang w:bidi="fa-IR"/>
          <w:color w:val="111111"/>
          <w:sz w:val="28"/>
          <w:szCs w:val="28"/>
          <w:rtl/>
        </w:rPr>
        <w:t xml:space="preserve">[الذريعه ۳۴/۷ و ۵۱/۲؛ نسخه های منزوی ۶۴۶/۱ و ۶۶۱ و ۱۴۹۳]</w:t>
      </w:r>
    </w:p>
    <w:p>
      <w:pPr>
        <w:pStyle w:val="BookText"/>
      </w:pPr>
      <w:r>
        <w:rPr>
          <w:rFonts w:ascii="IRNazanin" w:hAnsi="IRNazanin" w:eastAsia="IRNazanin" w:cs="IRNazanin"/>
          <w:lang w:bidi="fa-IR"/>
          <w:color w:val="111111"/>
          <w:sz w:val="28"/>
          <w:szCs w:val="28"/>
          <w:rtl/>
        </w:rPr>
        <w:t xml:space="preserve">۱. مشهد؛ رضوی؛ شماره نسخه: ۳۱۶</w:t>
      </w:r>
    </w:p>
    <w:p>
      <w:pPr>
        <w:pStyle w:val="BookText"/>
      </w:pPr>
      <w:r>
        <w:rPr>
          <w:rFonts w:ascii="IRNazanin" w:hAnsi="IRNazanin" w:eastAsia="IRNazanin" w:cs="IRNazanin"/>
          <w:lang w:bidi="fa-IR"/>
          <w:color w:val="111111"/>
          <w:sz w:val="28"/>
          <w:szCs w:val="28"/>
          <w:rtl/>
        </w:rPr>
        <w:t xml:space="preserve">آغاز: برابر؛ انجام: چه همگی از برای دیگران می باشند یعنی گریدکان (کذا) نه از برای ایشان کما لایخفی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251" w:name="pg20365_260357"/>
    <w:bookmarkEnd w:id="251"/>
    <w:p>
      <w:pPr>
        <w:pStyle w:val="BookText"/>
      </w:pPr>
      <w:r>
        <w:rPr>
          <w:rFonts w:ascii="IRNazanin" w:hAnsi="IRNazanin" w:eastAsia="IRNazanin" w:cs="IRNazanin"/>
          <w:lang w:bidi="fa-IR"/>
          <w:color w:val="111111"/>
          <w:sz w:val="28"/>
          <w:szCs w:val="28"/>
          <w:rtl/>
        </w:rPr>
        <w:t xml:space="preserve">خط: نستعلیق شکسته ،کا: محمد ابراهيم بن محمد رضی، ۱۰۸۰ق (در زمان مؤلف نوشته شده)؛ واقف: نادر شاه 1145؛ ۶۵گ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۴ - ۱۹]</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تبریز؛ خادم حسینی؛ شماره نسخه: ۱۱</w:t>
      </w:r>
    </w:p>
    <w:p>
      <w:pPr>
        <w:pStyle w:val="BookText"/>
      </w:pPr>
      <w:r>
        <w:rPr>
          <w:rFonts w:ascii="IRNazanin" w:hAnsi="IRNazanin" w:eastAsia="IRNazanin" w:cs="IRNazanin"/>
          <w:lang w:bidi="fa-IR"/>
          <w:color w:val="111111"/>
          <w:sz w:val="28"/>
          <w:szCs w:val="28"/>
          <w:rtl/>
        </w:rPr>
        <w:t xml:space="preserve">آغاز: برابر؛ انجام: و برکت در بقایای اموال بر روی امانی و آمال ایشان گشاد و مفتوح خواهد شد بحول الله تعالى</w:t>
      </w:r>
    </w:p>
    <w:p>
      <w:pPr>
        <w:pStyle w:val="BookText"/>
      </w:pPr>
      <w:r>
        <w:rPr>
          <w:rFonts w:ascii="IRNazanin" w:hAnsi="IRNazanin" w:eastAsia="IRNazanin" w:cs="IRNazanin"/>
          <w:lang w:bidi="fa-IR"/>
          <w:color w:val="111111"/>
          <w:sz w:val="28"/>
          <w:szCs w:val="28"/>
          <w:rtl/>
        </w:rPr>
        <w:t xml:space="preserve">کا: محمد ابراهیم بن محمد  رضی، تا: ۱۰۸۵ق؛ جلد: تیماج قهوه ای، ۷۶گ، ۱۵ 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[اوراق عتیق: ۱ -86]</w:t>
      </w:r>
    </w:p>
    <w:p>
      <w:pPr>
        <w:pStyle w:val="BookText"/>
      </w:pPr>
      <w:r>
        <w:rPr>
          <w:rFonts w:ascii="IRNazanin" w:hAnsi="IRNazanin" w:eastAsia="IRNazanin" w:cs="IRNazanin"/>
          <w:lang w:bidi="fa-IR"/>
          <w:color w:val="111111"/>
          <w:sz w:val="28"/>
          <w:szCs w:val="28"/>
          <w:rtl/>
        </w:rPr>
        <w:t xml:space="preserve">3.قم؛ گلپایگانی؛ شماره نسخه: ۴۱۳۱-۲۱/۵۱</w:t>
      </w:r>
    </w:p>
    <w:p>
      <w:pPr>
        <w:pStyle w:val="BookText"/>
      </w:pPr>
      <w:r>
        <w:rPr>
          <w:rFonts w:ascii="IRNazanin" w:hAnsi="IRNazanin" w:eastAsia="IRNazanin" w:cs="IRNazanin"/>
          <w:lang w:bidi="fa-IR"/>
          <w:color w:val="111111"/>
          <w:sz w:val="28"/>
          <w:szCs w:val="28"/>
          <w:rtl/>
        </w:rPr>
        <w:t xml:space="preserve">آغاز: الحمد لوليه و بحول الله وقوة الله تعالى وصلى الله علی النبي محمد و آله غرض از این رساله بیان صناعت است و منفعت صناعت و اختلاف صنایع در منافع؛ انجام :یا در اصل جوهر  لفظ افتد چون الفاظ غریب بکار بردن یا در خارج لفظ</w:t>
      </w:r>
    </w:p>
    <w:p>
      <w:pPr>
        <w:pStyle w:val="BookText"/>
      </w:pPr>
      <w:r>
        <w:rPr>
          <w:rFonts w:ascii="IRNazanin" w:hAnsi="IRNazanin" w:eastAsia="IRNazanin" w:cs="IRNazanin"/>
          <w:lang w:bidi="fa-IR"/>
          <w:color w:val="111111"/>
          <w:sz w:val="28"/>
          <w:szCs w:val="28"/>
          <w:rtl/>
        </w:rPr>
        <w:t xml:space="preserve">خط: تحریری، بی کا، تا: قرن ۱۲؛ افتادگی: انجام؛ وقف در سال ۱۲۴۰؛ جلد: مقوا، ۳۷گ، ۱۹  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 ف: 1- 347]</w:t>
      </w:r>
    </w:p>
    <w:p>
      <w:pPr>
        <w:pStyle w:val="BookText"/>
      </w:pPr>
      <w:r>
        <w:rPr>
          <w:rFonts w:ascii="IRNazanin" w:hAnsi="IRNazanin" w:eastAsia="IRNazanin" w:cs="IRNazanin"/>
          <w:lang w:bidi="fa-IR"/>
          <w:color w:val="111111"/>
          <w:sz w:val="28"/>
          <w:szCs w:val="28"/>
          <w:rtl/>
        </w:rPr>
        <w:t xml:space="preserve">۴ .خوانسار ؛فاضل؛ شماره نسخه: ۲۴۵/۸</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بی کا، بی تا، جلد: تیماج شتری  ضربی، اندازه: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ف[1-214]</w:t>
      </w:r>
    </w:p>
    <w:p>
      <w:pPr>
        <w:pStyle w:val="BookText"/>
      </w:pPr>
      <w:r>
        <w:rPr>
          <w:rFonts w:ascii="IRNazanin" w:hAnsi="IRNazanin" w:eastAsia="IRNazanin" w:cs="IRNazanin"/>
          <w:lang w:bidi="fa-IR"/>
          <w:color w:val="111111"/>
          <w:sz w:val="28"/>
          <w:szCs w:val="28"/>
          <w:rtl/>
        </w:rPr>
        <w:t xml:space="preserve">۵. تهران؛ مجلس؛ شماره نسخه: ۲۸۵/۷</w:t>
      </w:r>
    </w:p>
    <w:p>
      <w:pPr>
        <w:pStyle w:val="BookText"/>
      </w:pPr>
      <w:r>
        <w:rPr>
          <w:rFonts w:ascii="IRNazanin" w:hAnsi="IRNazanin" w:eastAsia="IRNazanin" w:cs="IRNazanin"/>
          <w:lang w:bidi="fa-IR"/>
          <w:color w:val="111111"/>
          <w:sz w:val="28"/>
          <w:szCs w:val="28"/>
          <w:rtl/>
        </w:rPr>
        <w:t xml:space="preserve">آغاز: ؛  بندی از ؛بی کا، بی تا ؛کاغذ ،سفید، ۵ ص (۹۴-۹۸) اندازه: ۹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[سنا - ف: ۱ - ۱۴۴]</w:t>
      </w:r>
    </w:p>
    <w:p>
      <w:pPr>
        <w:pStyle w:val="BookText"/>
      </w:pPr>
      <w:r>
        <w:rPr>
          <w:rFonts w:ascii="IRNazanin" w:hAnsi="IRNazanin" w:eastAsia="IRNazanin" w:cs="IRNazanin"/>
          <w:lang w:bidi="fa-IR"/>
          <w:color w:val="111111"/>
          <w:sz w:val="28"/>
          <w:szCs w:val="28"/>
          <w:rtl/>
        </w:rPr>
        <w:t xml:space="preserve">۶. تهران؛ دانشگاه؛ شماره نسخه: ۸۷۴۲/۲</w:t>
      </w:r>
    </w:p>
    <w:p>
      <w:pPr>
        <w:pStyle w:val="BookText"/>
      </w:pPr>
      <w:r>
        <w:rPr>
          <w:rFonts w:ascii="IRNazanin" w:hAnsi="IRNazanin" w:eastAsia="IRNazanin" w:cs="IRNazanin"/>
          <w:lang w:bidi="fa-IR"/>
          <w:color w:val="111111"/>
          <w:sz w:val="28"/>
          <w:szCs w:val="28"/>
          <w:rtl/>
        </w:rPr>
        <w:t xml:space="preserve">خط: نستعلیق، بی کا، بی تا؛ افتادگی: آغاز و انجام؛ کاغذ: هندی،   جلد: مقوا عطف تیماج حنایی، ۴۷گ (۱۶ر-۶۲ پ)، ۲۱ سـطر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 قطع: ربعی :[ف ۱۷ - ۲۰۹]</w:t>
      </w:r>
    </w:p>
    <w:p>
      <w:pPr>
        <w:pStyle w:val="Heading3"/>
      </w:pPr>
      <w:bookmarkStart w:id="1374" w:name="_Toc896"/>
      <w:r>
        <w:t>اسرار الصنعة / كيميا / فارسى</w:t>
      </w:r>
      <w:bookmarkEnd w:id="1374"/>
    </w:p>
    <w:p>
      <w:pPr>
        <w:pStyle w:val="BookText"/>
      </w:pPr>
      <w:r>
        <w:rPr>
          <w:rFonts w:ascii="Times New Roman" w:hAnsi="Times New Roman" w:eastAsia="Times New Roman" w:cs="Times New Roman"/>
          <w:lang w:val="en-US" w:bidi="en-US"/>
          <w:color w:val="111111"/>
          <w:sz w:val="28"/>
          <w:szCs w:val="28"/>
          <w:rtl/>
        </w:rPr>
        <w:t xml:space="preserve">asrār-os san‘a</w:t>
      </w:r>
    </w:p>
    <w:p>
      <w:pPr>
        <w:pStyle w:val="BookText"/>
      </w:pPr>
      <w:r>
        <w:rPr>
          <w:rFonts w:ascii="IRNazanin" w:hAnsi="IRNazanin" w:eastAsia="IRNazanin" w:cs="IRNazanin"/>
          <w:lang w:bidi="fa-IR"/>
          <w:color w:val="111111"/>
          <w:sz w:val="28"/>
          <w:szCs w:val="28"/>
          <w:rtl/>
        </w:rPr>
        <w:t xml:space="preserve">ارسطو، ۳۸۴ - ۳۲۲ ؟ قبل میلاد</w:t>
      </w:r>
    </w:p>
    <w:p>
      <w:pPr>
        <w:pStyle w:val="BookText"/>
      </w:pPr>
      <w:r>
        <w:rPr>
          <w:rFonts w:ascii="Times New Roman" w:hAnsi="Times New Roman" w:eastAsia="Times New Roman" w:cs="Times New Roman"/>
          <w:lang w:val="en-US" w:bidi="en-US"/>
          <w:color w:val="111111"/>
          <w:sz w:val="28"/>
          <w:szCs w:val="28"/>
          <w:rtl/>
        </w:rPr>
        <w:t xml:space="preserve">(arastū (-384 - -322)</w:t>
      </w:r>
    </w:p>
    <w:p>
      <w:pPr>
        <w:pStyle w:val="BookText"/>
      </w:pPr>
      <w:r>
        <w:rPr>
          <w:rFonts w:ascii="IRNazanin" w:hAnsi="IRNazanin" w:eastAsia="IRNazanin" w:cs="IRNazanin"/>
          <w:lang w:bidi="fa-IR"/>
          <w:color w:val="111111"/>
          <w:sz w:val="28"/>
          <w:szCs w:val="28"/>
          <w:rtl/>
        </w:rPr>
        <w:t xml:space="preserve">منسوب به ارسطو که گویا برای پسرش نوشته و باید ترجمه  از عربی باشد در هفت «باب» ۱. بیان اناهات؛ ۲. حجر؛ ٣. بیان وقت؛ ۴. بیان نیران؛ ۵. بیان ،ازمان .۶. تفریق؛ ۷. سر اسرار</w:t>
      </w:r>
    </w:p>
    <w:p>
      <w:pPr>
        <w:pStyle w:val="BookText"/>
      </w:pPr>
      <w:r>
        <w:rPr>
          <w:rFonts w:ascii="IRNazanin" w:hAnsi="IRNazanin" w:eastAsia="IRNazanin" w:cs="IRNazanin"/>
          <w:lang w:bidi="fa-IR"/>
          <w:color w:val="111111"/>
          <w:sz w:val="28"/>
          <w:szCs w:val="28"/>
          <w:rtl/>
        </w:rPr>
        <w:t xml:space="preserve">آغاز: بسمله. نوشته است ارسطو از برای پسر خود، و در آخر  عمرش پسر گفته که بدان ای پسر این را که حکما وضع کرده اند این صنعت را بر هفت  باب، و کتمان کرده اند او را پـس ظاهر گشته مر آنچه حقیقت</w:t>
      </w:r>
    </w:p>
    <w:p>
      <w:pPr>
        <w:pStyle w:val="BookText"/>
      </w:pPr>
      <w:r>
        <w:rPr>
          <w:rFonts w:ascii="IRNazanin" w:hAnsi="IRNazanin" w:eastAsia="IRNazanin" w:cs="IRNazanin"/>
          <w:lang w:bidi="fa-IR"/>
          <w:color w:val="111111"/>
          <w:sz w:val="28"/>
          <w:szCs w:val="28"/>
          <w:rtl/>
        </w:rPr>
        <w:t xml:space="preserve">انجام :ضایع نمی کند مزد نیکوکاران را او، خدای تعالی عـلام الغيوب است. و السلام</w:t>
      </w:r>
    </w:p>
    <w:p>
      <w:pPr>
        <w:pStyle w:val="BookText"/>
      </w:pPr>
      <w:r>
        <w:rPr>
          <w:rFonts w:ascii="IRNazanin" w:hAnsi="IRNazanin" w:eastAsia="IRNazanin" w:cs="IRNazanin"/>
          <w:lang w:bidi="fa-IR"/>
          <w:color w:val="111111"/>
          <w:sz w:val="28"/>
          <w:szCs w:val="28"/>
          <w:rtl/>
        </w:rPr>
        <w:t xml:space="preserve">[نسخه های منزوی ۶۱۳؛ فهرستواره منزوی ۳۹۳۷/۵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ملک؛ شماره نسخه: ۳۳۹۷/۱۶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۱۲؛ ۳ ص (۲۲۸-۲۳۰) [ف: ۶ - ۳۹۴]</w:t>
      </w:r>
    </w:p>
    <w:p>
      <w:pPr>
        <w:pStyle w:val="BookText"/>
      </w:pPr>
      <w:r>
        <w:rPr>
          <w:rFonts w:ascii="IRNazanin" w:hAnsi="IRNazanin" w:eastAsia="IRNazanin" w:cs="IRNazanin"/>
          <w:lang w:bidi="fa-IR"/>
          <w:color w:val="111111"/>
          <w:sz w:val="28"/>
          <w:szCs w:val="28"/>
          <w:rtl/>
        </w:rPr>
        <w:t xml:space="preserve">۲. قم؛ مرعشی؛ شماره نسخه: ۱۰۲۱۳/۱۲</w:t>
      </w:r>
    </w:p>
    <w:p>
      <w:pPr>
        <w:pStyle w:val="BookText"/>
      </w:pPr>
      <w:r>
        <w:rPr>
          <w:rFonts w:ascii="IRNazanin" w:hAnsi="IRNazanin" w:eastAsia="IRNazanin" w:cs="IRNazanin"/>
          <w:lang w:bidi="fa-IR"/>
          <w:color w:val="111111"/>
          <w:sz w:val="28"/>
          <w:szCs w:val="28"/>
          <w:rtl/>
        </w:rPr>
        <w:t xml:space="preserve">آغاز: برابر؛ انجام: بدرستیکه حجر هرگاه واقع شود بر دهن برافروخته گردد نه میرد مادامیکه گرد و خاک</w:t>
      </w:r>
    </w:p>
    <w:p>
      <w:pPr>
        <w:pStyle w:val="BookText"/>
      </w:pPr>
      <w:r>
        <w:rPr>
          <w:rFonts w:ascii="IRNazanin" w:hAnsi="IRNazanin" w:eastAsia="IRNazanin" w:cs="IRNazanin"/>
          <w:lang w:bidi="fa-IR"/>
          <w:color w:val="111111"/>
          <w:sz w:val="28"/>
          <w:szCs w:val="28"/>
          <w:rtl/>
        </w:rPr>
        <w:t xml:space="preserve">خط: نستعلیق، بی کا، تا: صفر ۱۲۰۳ق؛ جلد: تیماج قهوه ای، ۳گ (۲۵۱ پ - ۲۵۳پ) ،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۲۶ - ۱۸۳]</w:t>
      </w:r>
    </w:p>
    <w:p>
      <w:pPr>
        <w:pStyle w:val="Heading3"/>
      </w:pPr>
      <w:bookmarkStart w:id="1375" w:name="_Toc897"/>
      <w:r>
        <w:t>اسرار الصنعة / كيميا / فارسى</w:t>
      </w:r>
      <w:bookmarkEnd w:id="1375"/>
    </w:p>
    <w:p>
      <w:pPr>
        <w:pStyle w:val="BookText"/>
      </w:pPr>
      <w:r>
        <w:rPr>
          <w:rFonts w:ascii="Times New Roman" w:hAnsi="Times New Roman" w:eastAsia="Times New Roman" w:cs="Times New Roman"/>
          <w:lang w:val="en-US" w:bidi="en-US"/>
          <w:color w:val="111111"/>
          <w:sz w:val="28"/>
          <w:szCs w:val="28"/>
          <w:rtl/>
        </w:rPr>
        <w:t xml:space="preserve">asrār-os san‘a</w:t>
      </w:r>
    </w:p>
    <w:p>
      <w:pPr>
        <w:pStyle w:val="BookText"/>
      </w:pPr>
      <w:r>
        <w:rPr>
          <w:rFonts w:ascii="IRNazanin" w:hAnsi="IRNazanin" w:eastAsia="IRNazanin" w:cs="IRNazanin"/>
          <w:lang w:bidi="fa-IR"/>
          <w:color w:val="111111"/>
          <w:sz w:val="28"/>
          <w:szCs w:val="28"/>
          <w:rtl/>
        </w:rPr>
        <w:t xml:space="preserve">طغرائی، حسین بن علی، ۴۵۵ - ۵۱۴ قمری</w:t>
      </w:r>
    </w:p>
    <w:p>
      <w:pPr>
        <w:pStyle w:val="BookText"/>
      </w:pPr>
      <w:r>
        <w:rPr>
          <w:rFonts w:ascii="Times New Roman" w:hAnsi="Times New Roman" w:eastAsia="Times New Roman" w:cs="Times New Roman"/>
          <w:lang w:val="en-US" w:bidi="en-US"/>
          <w:color w:val="111111"/>
          <w:sz w:val="28"/>
          <w:szCs w:val="28"/>
          <w:rtl/>
        </w:rPr>
        <w:t xml:space="preserve">(toqra'i, hoseyn ebn-e ali (1064 - 1121)</w:t>
      </w:r>
    </w:p>
    <w:p>
      <w:pPr>
        <w:pStyle w:val="BookText"/>
      </w:pPr>
      <w:r>
        <w:rPr>
          <w:rFonts w:ascii="IRNazanin" w:hAnsi="IRNazanin" w:eastAsia="IRNazanin" w:cs="IRNazanin"/>
          <w:lang w:bidi="fa-IR"/>
          <w:color w:val="111111"/>
          <w:sz w:val="28"/>
          <w:szCs w:val="28"/>
          <w:rtl/>
        </w:rPr>
        <w:t xml:space="preserve">منسوب به حکیم سفیدوس در صنعت کیمیا  است، گویند که مؤيد الدین طغرائی از عربی ترجمه کرده است.</w:t>
      </w:r>
    </w:p>
    <w:p>
      <w:pPr>
        <w:pStyle w:val="BookText"/>
      </w:pPr>
      <w:r>
        <w:rPr>
          <w:rFonts w:ascii="IRNazanin" w:hAnsi="IRNazanin" w:eastAsia="IRNazanin" w:cs="IRNazanin"/>
          <w:lang w:bidi="fa-IR"/>
          <w:color w:val="111111"/>
          <w:sz w:val="28"/>
          <w:szCs w:val="28"/>
          <w:rtl/>
        </w:rPr>
        <w:t xml:space="preserve">آغاز: اما بعد چنین گفت ای کرده طلب این سرنهفته مکرم که  شفا بخشند</w:t>
      </w:r>
    </w:p>
    <w:p>
      <w:pPr>
        <w:pStyle w:val="BookText"/>
      </w:pPr>
      <w:r>
        <w:rPr>
          <w:rFonts w:ascii="IRNazanin" w:hAnsi="IRNazanin" w:eastAsia="IRNazanin" w:cs="IRNazanin"/>
          <w:lang w:bidi="fa-IR"/>
          <w:color w:val="111111"/>
          <w:sz w:val="28"/>
          <w:szCs w:val="28"/>
          <w:rtl/>
        </w:rPr>
        <w:t xml:space="preserve">انجام: و کیاست و ذکا همراه او بود</w:t>
      </w:r>
    </w:p>
    <w:p>
      <w:pPr>
        <w:pStyle w:val="BookText"/>
      </w:pPr>
      <w:r>
        <w:rPr>
          <w:rFonts w:ascii="IRNazanin" w:hAnsi="IRNazanin" w:eastAsia="IRNazanin" w:cs="IRNazanin"/>
          <w:lang w:bidi="fa-IR"/>
          <w:color w:val="111111"/>
          <w:sz w:val="28"/>
          <w:szCs w:val="28"/>
          <w:rtl/>
        </w:rPr>
        <w:t xml:space="preserve">[نسخه های منزوی ۶۱۸؛ فهرستواره منزوی ۳۹۳۸/۵]</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ملک؛ شماره نسخه: ۳۳۹۷/۱۷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۱۲؛ در هامش نسخه نوشته شده «حکم اسفید در تدبیر حجر»؛ ۲ ص (۲۳۱-۲۳۲) [ف: ۶ - ۳۹۵]</w:t>
      </w:r>
    </w:p>
    <w:p>
      <w:pPr>
        <w:pStyle w:val="BookText"/>
      </w:pPr>
      <w:r>
        <w:rPr>
          <w:rFonts w:ascii="IRNazanin" w:hAnsi="IRNazanin" w:eastAsia="IRNazanin" w:cs="IRNazanin"/>
          <w:lang w:bidi="fa-IR"/>
          <w:color w:val="111111"/>
          <w:sz w:val="28"/>
          <w:szCs w:val="28"/>
          <w:rtl/>
        </w:rPr>
        <w:t xml:space="preserve">۲. تهران؛ مهدوی؛ شماره نسخه: ۲۸۰/۴۵</w:t>
      </w:r>
    </w:p>
    <w:p>
      <w:pPr>
        <w:pStyle w:val="BookText"/>
      </w:pPr>
      <w:r>
        <w:rPr>
          <w:rFonts w:ascii="IRNazanin" w:hAnsi="IRNazanin" w:eastAsia="IRNazanin" w:cs="IRNazanin"/>
          <w:lang w:bidi="fa-IR"/>
          <w:color w:val="111111"/>
          <w:sz w:val="28"/>
          <w:szCs w:val="28"/>
          <w:rtl/>
        </w:rPr>
        <w:t xml:space="preserve">بی کا، تا: قرن ۱۳[ نشریه ۲ - ۱۰۴]</w:t>
      </w:r>
    </w:p>
    <w:p>
      <w:pPr>
        <w:pStyle w:val="BookText"/>
      </w:pPr>
      <w:r>
        <w:rPr>
          <w:rFonts w:ascii="IRNazanin" w:hAnsi="IRNazanin" w:eastAsia="IRNazanin" w:cs="IRNazanin"/>
          <w:lang w:bidi="fa-IR"/>
          <w:color w:val="111111"/>
          <w:sz w:val="28"/>
          <w:szCs w:val="28"/>
          <w:rtl/>
        </w:rPr>
        <w:t xml:space="preserve">۳. قم؛ مرعشی؛ شماره نسخه: ۱۰۲۱۳/۱۳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صفر ۱۲۰۳ق؛ جلد: تیماج قهوه ای، ۳گ (۲۵۳پ-۲۵۵پ) ،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۲۶ - ۱۸۴]</w:t>
      </w:r>
    </w:p>
    <w:p>
      <w:pPr>
        <w:pStyle w:val="BookText"/>
      </w:pPr>
      <w:r>
        <w:rPr>
          <w:rFonts w:ascii="IRNazanin" w:hAnsi="IRNazanin" w:eastAsia="IRNazanin" w:cs="IRNazanin"/>
          <w:lang w:bidi="fa-IR"/>
          <w:color w:val="111111"/>
          <w:sz w:val="28"/>
          <w:szCs w:val="28"/>
          <w:rtl/>
        </w:rPr>
        <w:t xml:space="preserve">۴. تهران؛ مجلس؛ شماره نسخه: ۱۵۹۳۷/۱۴</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کا: سید علی محمد موسوی، تا: دوشنبه ۲۰ شعبان  ۱۲۷۹ق؛ رکابه دار؛ جلد :مقوا عطف ،پارچه ۱۶ص (۷۴۵-۷۶۰)، ۱۷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۲۲/۵سم [ف: ۴۴ - ۱۴۴]</w:t>
      </w:r>
    </w:p>
    <w:p>
      <w:pPr>
        <w:pStyle w:val="BookText"/>
      </w:pPr>
      <w:r>
        <w:rPr>
          <w:rFonts w:ascii="IRNazanin" w:hAnsi="IRNazanin" w:eastAsia="IRNazanin" w:cs="IRNazanin"/>
          <w:lang w:bidi="fa-IR"/>
          <w:color w:val="111111"/>
          <w:sz w:val="28"/>
          <w:szCs w:val="28"/>
          <w:rtl/>
        </w:rPr>
        <w:t xml:space="preserve">«اسرار صهیونیزم و فراماسونری » اندرزهای حکمای یهود  »اسرار الطالبين » سير الطالبين</w:t>
      </w:r>
    </w:p>
    <w:p>
      <w:pPr>
        <w:pStyle w:val="Heading3"/>
      </w:pPr>
      <w:bookmarkStart w:id="1376" w:name="_Toc898"/>
      <w:r>
        <w:t>اسرار الطالع / فارسی</w:t>
      </w:r>
      <w:bookmarkEnd w:id="1376"/>
    </w:p>
    <w:p>
      <w:pPr>
        <w:pStyle w:val="BookText"/>
      </w:pPr>
      <w:r>
        <w:rPr>
          <w:rFonts w:ascii="Times New Roman" w:hAnsi="Times New Roman" w:eastAsia="Times New Roman" w:cs="Times New Roman"/>
          <w:lang w:val="en-US" w:bidi="en-US"/>
          <w:color w:val="111111"/>
          <w:sz w:val="28"/>
          <w:szCs w:val="28"/>
          <w:rtl/>
        </w:rPr>
        <w:t xml:space="preserve">asrār-ot-tāle‘</w:t>
      </w:r>
    </w:p>
    <w:p>
      <w:pPr>
        <w:pStyle w:val="BookText"/>
      </w:pPr>
      <w:r>
        <w:rPr>
          <w:rFonts w:ascii="IRNazanin" w:hAnsi="IRNazanin" w:eastAsia="IRNazanin" w:cs="IRNazanin"/>
          <w:lang w:bidi="fa-IR"/>
          <w:color w:val="111111"/>
          <w:sz w:val="28"/>
          <w:szCs w:val="28"/>
          <w:rtl/>
        </w:rPr>
        <w:t xml:space="preserve">تهران؛ ملی؛ شماره نسخه: ۱۸۸۷۳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252" w:name="pg20365_260358"/>
    <w:bookmarkEnd w:id="252"/>
    <w:p>
      <w:pPr>
        <w:pStyle w:val="BookText"/>
      </w:pPr>
      <w:r>
        <w:rPr>
          <w:rFonts w:ascii="IRNazanin" w:hAnsi="IRNazanin" w:eastAsia="IRNazanin" w:cs="IRNazanin"/>
          <w:lang w:bidi="fa-IR"/>
          <w:color w:val="111111"/>
          <w:sz w:val="28"/>
          <w:szCs w:val="28"/>
          <w:rtl/>
        </w:rPr>
        <w:t xml:space="preserve">بی کا، بی تا؛ انتقالی از کتابخانه پهلوی - مجموعه نوازی؛ ۸۷ گ ، اندازه: ۱۴/۱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۱۹/۲سم [رایانه]</w:t>
      </w:r>
    </w:p>
    <w:p>
      <w:pPr>
        <w:pStyle w:val="Heading3"/>
      </w:pPr>
      <w:bookmarkStart w:id="1377" w:name="_Toc899"/>
      <w:r>
        <w:t>اسرار الطبايع / طب / فارسی</w:t>
      </w:r>
      <w:bookmarkEnd w:id="1377"/>
    </w:p>
    <w:p>
      <w:pPr>
        <w:pStyle w:val="BookText"/>
      </w:pPr>
      <w:r>
        <w:rPr>
          <w:rFonts w:ascii="Times New Roman" w:hAnsi="Times New Roman" w:eastAsia="Times New Roman" w:cs="Times New Roman"/>
          <w:lang w:val="en-US" w:bidi="en-US"/>
          <w:color w:val="111111"/>
          <w:sz w:val="28"/>
          <w:szCs w:val="28"/>
          <w:rtl/>
        </w:rPr>
        <w:t xml:space="preserve">asrār-ot tabāye‘</w:t>
      </w:r>
    </w:p>
    <w:p>
      <w:pPr>
        <w:pStyle w:val="BookText"/>
      </w:pPr>
      <w:r>
        <w:rPr>
          <w:rFonts w:ascii="IRNazanin" w:hAnsi="IRNazanin" w:eastAsia="IRNazanin" w:cs="IRNazanin"/>
          <w:lang w:bidi="fa-IR"/>
          <w:color w:val="111111"/>
          <w:sz w:val="28"/>
          <w:szCs w:val="28"/>
          <w:rtl/>
        </w:rPr>
        <w:t xml:space="preserve">همدانی، محمد حسین</w:t>
      </w:r>
    </w:p>
    <w:p>
      <w:pPr>
        <w:pStyle w:val="BookText"/>
      </w:pPr>
      <w:r>
        <w:rPr>
          <w:rFonts w:ascii="Times New Roman" w:hAnsi="Times New Roman" w:eastAsia="Times New Roman" w:cs="Times New Roman"/>
          <w:lang w:val="en-US" w:bidi="en-US"/>
          <w:color w:val="111111"/>
          <w:sz w:val="28"/>
          <w:szCs w:val="28"/>
          <w:rtl/>
        </w:rPr>
        <w:t xml:space="preserve">hamadānī, mohammad hoseyn</w:t>
      </w:r>
    </w:p>
    <w:p>
      <w:pPr>
        <w:pStyle w:val="BookText"/>
      </w:pPr>
      <w:r>
        <w:rPr>
          <w:rFonts w:ascii="IRNazanin" w:hAnsi="IRNazanin" w:eastAsia="IRNazanin" w:cs="IRNazanin"/>
          <w:lang w:bidi="fa-IR"/>
          <w:color w:val="111111"/>
          <w:sz w:val="28"/>
          <w:szCs w:val="28"/>
          <w:rtl/>
        </w:rPr>
        <w:t xml:space="preserve">رساله ای در چگونگی خلقت انسان به عنوان مقدمه ای بر خداشناسی در یک «مقدمه» و پنج «فصل» و «خاتمه»: مقدمه در مبدأ خلقت انسان و کیفیت تصاريف او در رحم و مدت توقـف او در آن مکان؛ فصل ۱. بیان ارواح و قوی و افعال بدنی؛ ۲. بـیان خلقت و ماهیت هر یک از اعضای مفرده و مرکبه به طریق اجمال .3. بيان كیفیت ورود غذا به بدن و تولد هر یک  از اخلاط اربعه .۴. اسباب حدوث حمیات و کیفیت آن</w:t>
      </w:r>
    </w:p>
    <w:p>
      <w:pPr>
        <w:pStyle w:val="BookText"/>
      </w:pPr>
      <w:r>
        <w:rPr>
          <w:rFonts w:ascii="Amiri" w:hAnsi="Amiri" w:eastAsia="Amiri" w:cs="Amiri"/>
          <w:lang w:bidi="ar-SA"/>
          <w:color w:val="111111"/>
          <w:sz w:val="28"/>
          <w:szCs w:val="28"/>
          <w:rtl/>
        </w:rPr>
        <w:t xml:space="preserve">آغاز: الحمد لله الذي خلق الانسان في أحسن التقويم ... أما بعد لباب صافيه ارباب الباب.</w:t>
      </w:r>
    </w:p>
    <w:p>
      <w:pPr>
        <w:pStyle w:val="BookText"/>
      </w:pPr>
      <w:r>
        <w:rPr>
          <w:rFonts w:ascii="IRNazanin" w:hAnsi="IRNazanin" w:eastAsia="IRNazanin" w:cs="IRNazanin"/>
          <w:lang w:bidi="fa-IR"/>
          <w:color w:val="111111"/>
          <w:sz w:val="28"/>
          <w:szCs w:val="28"/>
          <w:rtl/>
        </w:rPr>
        <w:t xml:space="preserve">انجام: اگر شیر زنی که دختر آورده باشد با قدری زعفران و تخم بهی در چشم کشد رمد را بنشاند.</w:t>
      </w:r>
    </w:p>
    <w:p>
      <w:pPr>
        <w:pStyle w:val="BookText"/>
      </w:pPr>
      <w:r>
        <w:rPr>
          <w:rFonts w:ascii="IRNazanin" w:hAnsi="IRNazanin" w:eastAsia="IRNazanin" w:cs="IRNazanin"/>
          <w:lang w:bidi="fa-IR"/>
          <w:color w:val="111111"/>
          <w:sz w:val="28"/>
          <w:szCs w:val="28"/>
          <w:rtl/>
        </w:rPr>
        <w:t xml:space="preserve">[فهرستواره منزوی ۳۷۸۱/۵]</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مرعشی؛ شماره نسخه: ۴۲۲۹/۱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نستعليق كاتب - مؤلف، بی تا ،جلد: تیماج قرمز بدون مقـوا، ۱۶گ (۱ر-۱۶ر) اندازه: ۱۷/۵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 ۱۱ - ۲۳۱]</w:t>
      </w:r>
    </w:p>
    <w:p>
      <w:pPr>
        <w:pStyle w:val="BookText"/>
      </w:pPr>
      <w:r>
        <w:rPr>
          <w:rFonts w:ascii="IRNazanin" w:hAnsi="IRNazanin" w:eastAsia="IRNazanin" w:cs="IRNazanin"/>
          <w:lang w:bidi="fa-IR"/>
          <w:color w:val="111111"/>
          <w:sz w:val="28"/>
          <w:szCs w:val="28"/>
          <w:rtl/>
        </w:rPr>
        <w:t xml:space="preserve">2.تهران؛ مجلس؛ شماره نسخه: ۶۷۲۸/۲</w:t>
      </w:r>
    </w:p>
    <w:p>
      <w:pPr>
        <w:pStyle w:val="BookText"/>
      </w:pPr>
      <w:r>
        <w:rPr>
          <w:rFonts w:ascii="IRNazanin" w:hAnsi="IRNazanin" w:eastAsia="IRNazanin" w:cs="IRNazanin"/>
          <w:lang w:bidi="fa-IR"/>
          <w:color w:val="111111"/>
          <w:sz w:val="28"/>
          <w:szCs w:val="28"/>
          <w:rtl/>
        </w:rPr>
        <w:t xml:space="preserve">خط: نسخ، بی کا، تا: پنج شنبه اواخر شعبان ۱۱۲۲ق؛ مصحح، دارای امضای بلاغ؛ جلد: تیماج سرمه ای ۲۳گ (74پ-96ر)  ۱۷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۲۳/۵سم [ف : ۲۰ - ۲۲۳]</w:t>
      </w:r>
    </w:p>
    <w:p>
      <w:pPr>
        <w:pStyle w:val="BookText"/>
      </w:pPr>
      <w:r>
        <w:rPr>
          <w:rFonts w:ascii="IRNazanin" w:hAnsi="IRNazanin" w:eastAsia="IRNazanin" w:cs="IRNazanin"/>
          <w:lang w:bidi="fa-IR"/>
          <w:color w:val="111111"/>
          <w:sz w:val="28"/>
          <w:szCs w:val="28"/>
          <w:rtl/>
        </w:rPr>
        <w:t xml:space="preserve">۳. تهران؛ ملک؛ شماره نسخه: ۴۳۸۸/۲</w:t>
      </w:r>
    </w:p>
    <w:p>
      <w:pPr>
        <w:pStyle w:val="BookText"/>
      </w:pPr>
      <w:r>
        <w:rPr>
          <w:rFonts w:ascii="IRNazanin" w:hAnsi="IRNazanin" w:eastAsia="IRNazanin" w:cs="IRNazanin"/>
          <w:lang w:bidi="fa-IR"/>
          <w:color w:val="111111"/>
          <w:sz w:val="28"/>
          <w:szCs w:val="28"/>
          <w:rtl/>
        </w:rPr>
        <w:t xml:space="preserve">آغاز: برابر؛ انجام : افتاده در (استفراغات) و بعد از آن غذای لطيف سريع الهضم جيد الکیموس و در اکثر.</w:t>
      </w:r>
    </w:p>
    <w:p>
      <w:pPr>
        <w:pStyle w:val="BookText"/>
      </w:pPr>
      <w:r>
        <w:rPr>
          <w:rFonts w:ascii="IRNazanin" w:hAnsi="IRNazanin" w:eastAsia="IRNazanin" w:cs="IRNazanin"/>
          <w:lang w:bidi="fa-IR"/>
          <w:color w:val="111111"/>
          <w:sz w:val="28"/>
          <w:szCs w:val="28"/>
          <w:rtl/>
        </w:rPr>
        <w:t xml:space="preserve">نام مؤلف در فهرست محمد هادی حسین آمده است که به استـناد نسخه مرعشی ش ۴۲۲۹/۱ تغییر یافت به توضیح فهرست مذکـورمراجعه شود؛ خط: نستعلیق، بی کا، بی تا؛ افتادگی: انجام؛  کاغذ:  پسته ای و  ترمه ،جلد: میشن سبز یک  لا، ۱۴ سطر، اندازه: ۱۲/۴</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۱۹/۳سم [ف: ۷ - ۳۸۱]</w:t>
      </w:r>
    </w:p>
    <w:p>
      <w:pPr>
        <w:pStyle w:val="Heading3"/>
      </w:pPr>
      <w:bookmarkStart w:id="1378" w:name="_Toc900"/>
      <w:r>
        <w:t>اسرار طریقت و معرفت / عرفان و تصوف / فارسی</w:t>
      </w:r>
      <w:bookmarkEnd w:id="1378"/>
    </w:p>
    <w:p>
      <w:pPr>
        <w:pStyle w:val="BookText"/>
      </w:pPr>
      <w:r>
        <w:rPr>
          <w:rFonts w:ascii="Times New Roman" w:hAnsi="Times New Roman" w:eastAsia="Times New Roman" w:cs="Times New Roman"/>
          <w:lang w:val="en-US" w:bidi="en-US"/>
          <w:color w:val="111111"/>
          <w:sz w:val="28"/>
          <w:szCs w:val="28"/>
          <w:rtl/>
        </w:rPr>
        <w:t xml:space="preserve">asrār-e tarīqat va ma‘refat</w:t>
      </w:r>
    </w:p>
    <w:p>
      <w:pPr>
        <w:pStyle w:val="BookText"/>
      </w:pPr>
      <w:r>
        <w:rPr>
          <w:rFonts w:ascii="IRNazanin" w:hAnsi="IRNazanin" w:eastAsia="IRNazanin" w:cs="IRNazanin"/>
          <w:lang w:bidi="fa-IR"/>
          <w:color w:val="111111"/>
          <w:sz w:val="28"/>
          <w:szCs w:val="28"/>
          <w:rtl/>
        </w:rPr>
        <w:t xml:space="preserve">میرزا بابا  شیرازی، ابوالقاسم بن عبد النبي، ١٢١٢؟  - ۱۲۸۶ قمری</w:t>
      </w:r>
    </w:p>
    <w:p>
      <w:pPr>
        <w:pStyle w:val="BookText"/>
      </w:pPr>
      <w:r>
        <w:rPr>
          <w:rFonts w:ascii="Times New Roman" w:hAnsi="Times New Roman" w:eastAsia="Times New Roman" w:cs="Times New Roman"/>
          <w:lang w:val="en-US" w:bidi="en-US"/>
          <w:color w:val="111111"/>
          <w:sz w:val="28"/>
          <w:szCs w:val="28"/>
          <w:rtl/>
        </w:rPr>
        <w:t xml:space="preserve">mīrzā bābā šīrāzī, ab-ol-qāsem ebn-e ‘abd-on-nabī</w:t>
      </w:r>
    </w:p>
    <w:p>
      <w:pPr>
        <w:pStyle w:val="BookText"/>
      </w:pPr>
      <w:r>
        <w:rPr>
          <w:rFonts w:ascii="Times New Roman" w:hAnsi="Times New Roman" w:eastAsia="Times New Roman" w:cs="Times New Roman"/>
          <w:lang w:val="en-US" w:bidi="en-US"/>
          <w:color w:val="111111"/>
          <w:sz w:val="28"/>
          <w:szCs w:val="28"/>
          <w:rtl/>
        </w:rPr>
        <w:t xml:space="preserve">(1798 - 1870)</w:t>
      </w:r>
    </w:p>
    <w:p>
      <w:pPr>
        <w:pStyle w:val="BookText"/>
      </w:pPr>
      <w:r>
        <w:rPr>
          <w:rFonts w:ascii="IRNazanin" w:hAnsi="IRNazanin" w:eastAsia="IRNazanin" w:cs="IRNazanin"/>
          <w:lang w:bidi="fa-IR"/>
          <w:color w:val="111111"/>
          <w:sz w:val="28"/>
          <w:szCs w:val="28"/>
          <w:rtl/>
        </w:rPr>
        <w:t xml:space="preserve">رساله ای در روش سلوک طریقه رضویه ذهبیه و شرح حدیث «الا ان في الجسد لضمغة اذا صلحت صلح أمر سائر الجسد و اذا  فسدت فسد أمر سائر الجسد ألا و هو القلب» و توجه  سالک  به  پیر و مرشد خود.</w:t>
      </w:r>
    </w:p>
    <w:p>
      <w:pPr>
        <w:pStyle w:val="BookText"/>
      </w:pPr>
      <w:r>
        <w:rPr>
          <w:rFonts w:ascii="IRNazanin" w:hAnsi="IRNazanin" w:eastAsia="IRNazanin" w:cs="IRNazanin"/>
          <w:lang w:bidi="fa-IR"/>
          <w:color w:val="111111"/>
          <w:sz w:val="28"/>
          <w:szCs w:val="28"/>
          <w:rtl/>
        </w:rPr>
        <w:t xml:space="preserve">[فهرستواره منزوی ۶۷/۷]</w:t>
      </w:r>
    </w:p>
    <w:p>
      <w:pPr>
        <w:pStyle w:val="BookText"/>
      </w:pPr>
      <w:r>
        <w:rPr>
          <w:rFonts w:ascii="IRNazanin" w:hAnsi="IRNazanin" w:eastAsia="IRNazanin" w:cs="IRNazanin"/>
          <w:lang w:bidi="fa-IR"/>
          <w:color w:val="111111"/>
          <w:sz w:val="28"/>
          <w:szCs w:val="28"/>
          <w:rtl/>
        </w:rPr>
        <w:t xml:space="preserve">قم؛ مرعشی؛ شماره نسخه: ۷۳۵۴/۳</w:t>
      </w:r>
    </w:p>
    <w:p>
      <w:pPr>
        <w:pStyle w:val="BookText"/>
      </w:pPr>
      <w:r>
        <w:rPr>
          <w:rFonts w:ascii="IRNazanin" w:hAnsi="IRNazanin" w:eastAsia="IRNazanin" w:cs="IRNazanin"/>
          <w:lang w:bidi="fa-IR"/>
          <w:color w:val="111111"/>
          <w:sz w:val="28"/>
          <w:szCs w:val="28"/>
          <w:rtl/>
        </w:rPr>
        <w:t xml:space="preserve">آغاز: در تلویح و تشریح حدیث شریف هدايت رديف الا ان في الجسد ... که مولود ثانوی انسان است؛ انجام: و أنا اقول ربنا أتمملنا نورنا</w:t>
      </w:r>
    </w:p>
    <w:p>
      <w:pPr>
        <w:pStyle w:val="BookText"/>
      </w:pPr>
      <w:r>
        <w:rPr>
          <w:rFonts w:ascii="IRNazanin" w:hAnsi="IRNazanin" w:eastAsia="IRNazanin" w:cs="IRNazanin"/>
          <w:lang w:bidi="fa-IR"/>
          <w:color w:val="111111"/>
          <w:sz w:val="28"/>
          <w:szCs w:val="28"/>
          <w:rtl/>
        </w:rPr>
        <w:t xml:space="preserve">خط: نستعليق، كا: حاج محسن مدرس خوشنویس بن ملاحسنعلی اردبیلی ملقب به عماد الفقراء، تا: ۱۳۶۲ق؛ جلد: تیماج قهوه ای ۹گ (۳۶پ-۴۴پ)، ۱۹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۱۹ - ۱۵۴]</w:t>
      </w:r>
    </w:p>
    <w:p>
      <w:pPr>
        <w:pStyle w:val="Heading3"/>
      </w:pPr>
      <w:bookmarkStart w:id="1379" w:name="_Toc901"/>
      <w:r>
        <w:t>اسرار العارفين / عرفان و تصوف / فارسی</w:t>
      </w:r>
      <w:bookmarkEnd w:id="1379"/>
    </w:p>
    <w:p>
      <w:pPr>
        <w:pStyle w:val="BookText"/>
      </w:pPr>
      <w:r>
        <w:rPr>
          <w:rFonts w:ascii="Times New Roman" w:hAnsi="Times New Roman" w:eastAsia="Times New Roman" w:cs="Times New Roman"/>
          <w:lang w:val="en-US" w:bidi="en-US"/>
          <w:color w:val="111111"/>
          <w:sz w:val="28"/>
          <w:szCs w:val="28"/>
          <w:rtl/>
        </w:rPr>
        <w:t xml:space="preserve">asrār-ol-‘ārefīn</w:t>
      </w:r>
    </w:p>
    <w:p>
      <w:pPr>
        <w:pStyle w:val="BookText"/>
      </w:pPr>
      <w:r>
        <w:rPr>
          <w:rFonts w:ascii="IRNazanin" w:hAnsi="IRNazanin" w:eastAsia="IRNazanin" w:cs="IRNazanin"/>
          <w:lang w:bidi="fa-IR"/>
          <w:color w:val="111111"/>
          <w:sz w:val="28"/>
          <w:szCs w:val="28"/>
          <w:rtl/>
        </w:rPr>
        <w:t xml:space="preserve">تهران؛ ملی؛ شماره نسخه: ۱۸۷۹۴</w:t>
      </w:r>
    </w:p>
    <w:p>
      <w:pPr>
        <w:pStyle w:val="BookText"/>
      </w:pPr>
      <w:r>
        <w:rPr>
          <w:rFonts w:ascii="IRNazanin" w:hAnsi="IRNazanin" w:eastAsia="IRNazanin" w:cs="IRNazanin"/>
          <w:lang w:bidi="fa-IR"/>
          <w:color w:val="111111"/>
          <w:sz w:val="28"/>
          <w:szCs w:val="28"/>
          <w:rtl/>
        </w:rPr>
        <w:t xml:space="preserve">کا: رسول  بابا، بی تا؛ انتقالی از کتابخانه پهلوی - مجموعه نوازی؛اندازه: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۲۲/۵سم [رایانه ]</w:t>
      </w:r>
    </w:p>
    <w:p>
      <w:pPr>
        <w:pStyle w:val="Heading3"/>
      </w:pPr>
      <w:bookmarkStart w:id="1380" w:name="_Toc902"/>
      <w:r>
        <w:t>اسرار العارفين فى سير الطالبين / عرفان و تصوف / عربی</w:t>
      </w:r>
      <w:bookmarkEnd w:id="1380"/>
    </w:p>
    <w:p>
      <w:pPr>
        <w:pStyle w:val="BookText"/>
      </w:pPr>
      <w:r>
        <w:rPr>
          <w:rFonts w:ascii="Times New Roman" w:hAnsi="Times New Roman" w:eastAsia="Times New Roman" w:cs="Times New Roman"/>
          <w:lang w:val="en-US" w:bidi="en-US"/>
          <w:color w:val="111111"/>
          <w:sz w:val="28"/>
          <w:szCs w:val="28"/>
          <w:rtl/>
        </w:rPr>
        <w:t xml:space="preserve">asrar-ul-arifin fi siyr-it-talibin</w:t>
      </w:r>
    </w:p>
    <w:p>
      <w:pPr>
        <w:pStyle w:val="BookText"/>
      </w:pPr>
      <w:r>
        <w:rPr>
          <w:rFonts w:ascii="IRNazanin" w:hAnsi="IRNazanin" w:eastAsia="IRNazanin" w:cs="IRNazanin"/>
          <w:lang w:bidi="fa-IR"/>
          <w:color w:val="111111"/>
          <w:sz w:val="28"/>
          <w:szCs w:val="28"/>
          <w:rtl/>
        </w:rPr>
        <w:t xml:space="preserve">مؤلف در مقدمه گفته است که از مقالات شيخ المشايخ جلال الدين بخاری استفاده برده است عناوین این رساله «سيرة سيرة»  است.</w:t>
      </w:r>
    </w:p>
    <w:p>
      <w:pPr>
        <w:pStyle w:val="BookText"/>
      </w:pPr>
      <w:r>
        <w:rPr>
          <w:rFonts w:ascii="IRNazanin" w:hAnsi="IRNazanin" w:eastAsia="IRNazanin" w:cs="IRNazanin"/>
          <w:lang w:bidi="fa-IR"/>
          <w:color w:val="111111"/>
          <w:sz w:val="28"/>
          <w:szCs w:val="28"/>
          <w:rtl/>
        </w:rPr>
        <w:t xml:space="preserve">تهران؛ ملک؛ شماره نسخه: ۴۷۴/۴</w:t>
      </w:r>
    </w:p>
    <w:p>
      <w:pPr>
        <w:pStyle w:val="BookText"/>
      </w:pPr>
      <w:r>
        <w:rPr>
          <w:rFonts w:ascii="Amiri" w:hAnsi="Amiri" w:eastAsia="Amiri" w:cs="Amiri"/>
          <w:lang w:bidi="ar-SA"/>
          <w:color w:val="111111"/>
          <w:sz w:val="28"/>
          <w:szCs w:val="28"/>
          <w:rtl/>
        </w:rPr>
        <w:t xml:space="preserve">آغاز: بسمله حمدله ... اما بعد فان دباع الفقر قد حربت و بنيانه قد  و هفت ... و سميته اسرار العارفين</w:t>
      </w:r>
    </w:p>
    <w:p>
      <w:pPr>
        <w:pStyle w:val="BookText"/>
      </w:pPr>
      <w:r>
        <w:rPr>
          <w:rFonts w:ascii="IRNazanin" w:hAnsi="IRNazanin" w:eastAsia="IRNazanin" w:cs="IRNazanin"/>
          <w:lang w:bidi="fa-IR"/>
          <w:color w:val="111111"/>
          <w:sz w:val="28"/>
          <w:szCs w:val="28"/>
          <w:rtl/>
        </w:rPr>
        <w:t xml:space="preserve">خط: نسخ، بی کا، تا: قرن ۱۰ ؛کاغذ: ترمه بخارائی، جلد:میشن  لائى يشمى، ۱۱ سطر [ف: ۵ - ۳۳]</w:t>
      </w:r>
    </w:p>
    <w:p>
      <w:pPr>
        <w:pStyle w:val="Heading3"/>
      </w:pPr>
      <w:bookmarkStart w:id="1381" w:name="_Toc903"/>
      <w:r>
        <w:t>اسرار العارفین فی مراثی و معارف حيوة سيد  المرسلين / تاریخ معصومین / فارسی</w:t>
      </w:r>
      <w:bookmarkEnd w:id="1381"/>
    </w:p>
    <w:p>
      <w:pPr>
        <w:pStyle w:val="BookText"/>
      </w:pPr>
      <w:r>
        <w:rPr>
          <w:rFonts w:ascii="Times New Roman" w:hAnsi="Times New Roman" w:eastAsia="Times New Roman" w:cs="Times New Roman"/>
          <w:lang w:val="en-US" w:bidi="en-US"/>
          <w:color w:val="111111"/>
          <w:sz w:val="28"/>
          <w:szCs w:val="28"/>
          <w:rtl/>
        </w:rPr>
        <w:t xml:space="preserve">asrar-ul arifin fi marati wa marif-i hayat-i sayyid-il</w:t>
      </w:r>
    </w:p>
    <w:p>
      <w:pPr>
        <w:pStyle w:val="BookText"/>
      </w:pPr>
      <w:r>
        <w:rPr>
          <w:rFonts w:ascii="Times New Roman" w:hAnsi="Times New Roman" w:eastAsia="Times New Roman" w:cs="Times New Roman"/>
          <w:lang w:val="en-US" w:bidi="en-US"/>
          <w:color w:val="111111"/>
          <w:sz w:val="28"/>
          <w:szCs w:val="28"/>
          <w:rtl/>
        </w:rPr>
        <w:t xml:space="preserve">mursalin</w:t>
      </w:r>
    </w:p>
    <w:p>
      <w:pPr>
        <w:pStyle w:val="BookText"/>
      </w:pPr>
      <w:r>
        <w:rPr>
          <w:rFonts w:ascii="IRNazanin" w:hAnsi="IRNazanin" w:eastAsia="IRNazanin" w:cs="IRNazanin"/>
          <w:lang w:bidi="fa-IR"/>
          <w:color w:val="111111"/>
          <w:sz w:val="28"/>
          <w:szCs w:val="28"/>
          <w:rtl/>
        </w:rPr>
        <w:t xml:space="preserve">برغانی، محمد علی بن محمد - ۱۲۷۲ قمری</w:t>
      </w:r>
    </w:p>
    <w:p>
      <w:pPr>
        <w:pStyle w:val="BookText"/>
      </w:pPr>
      <w:r>
        <w:rPr>
          <w:rFonts w:ascii="Times New Roman" w:hAnsi="Times New Roman" w:eastAsia="Times New Roman" w:cs="Times New Roman"/>
          <w:lang w:val="en-US" w:bidi="en-US"/>
          <w:color w:val="111111"/>
          <w:sz w:val="28"/>
          <w:szCs w:val="28"/>
          <w:rtl/>
        </w:rPr>
        <w:t xml:space="preserve">(boraqānī, mohammad ‘alī ebn-e mohammad (- 1856)</w:t>
      </w:r>
    </w:p>
    <w:p>
      <w:pPr>
        <w:pStyle w:val="BookText"/>
      </w:pPr>
      <w:r>
        <w:rPr>
          <w:rFonts w:ascii="Amiri" w:hAnsi="Amiri" w:eastAsia="Amiri" w:cs="Amiri"/>
          <w:lang w:bidi="ar-SA"/>
          <w:color w:val="111111"/>
          <w:sz w:val="28"/>
          <w:szCs w:val="28"/>
          <w:rtl/>
        </w:rPr>
        <w:t xml:space="preserve">تاريخ تأليف: جمعه ۱۲ شعبان ۱۲۵۶ق</w:t>
      </w:r>
    </w:p>
    <w:p>
      <w:pPr>
        <w:pStyle w:val="BookText"/>
      </w:pPr>
      <w:r>
        <w:rPr>
          <w:rFonts w:ascii="IRNazanin" w:hAnsi="IRNazanin" w:eastAsia="IRNazanin" w:cs="IRNazanin"/>
          <w:lang w:bidi="fa-IR"/>
          <w:color w:val="111111"/>
          <w:sz w:val="28"/>
          <w:szCs w:val="28"/>
          <w:rtl/>
        </w:rPr>
        <w:t xml:space="preserve">مؤلف كتاب «رياض الاحزان» را در هشت جلد تألیف نموده و برای هر جلد نام خاصی نهاده است. از این کتاب تا به حال این مجلدات شناسایی شده اند: ابواب الاحزان (منزوی ۴۴۷۸/۶)؛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253" w:name="pg20365_260359"/>
    <w:bookmarkEnd w:id="253"/>
    <w:p>
      <w:pPr>
        <w:pStyle w:val="BookText"/>
      </w:pPr>
      <w:r>
        <w:rPr>
          <w:rFonts w:ascii="IRNazanin" w:hAnsi="IRNazanin" w:eastAsia="IRNazanin" w:cs="IRNazanin"/>
          <w:lang w:bidi="fa-IR"/>
          <w:color w:val="111111"/>
          <w:sz w:val="28"/>
          <w:szCs w:val="28"/>
          <w:rtl/>
        </w:rPr>
        <w:t xml:space="preserve">جنة النعيم كه جلد پنجم کتاب است (الذریعه ۵/۱۶۱و  ۳۱۷/۱۱)؛ جنة الرضوان که جلد هشتم کتاب است( الذریعه و ۳۱۷/۱۱)؛ مجلد حاضر (اسرار العارفين) که ششمین جلد و در حالات حضرت امام حسین (علیه السّلام) و مقتل است به نثر و نظم به عربی فارسی در یک«مقدمه» و ۱۹ «مجلس» و یـک «خاتمه».</w:t>
      </w:r>
    </w:p>
    <w:p>
      <w:pPr>
        <w:pStyle w:val="BookText"/>
      </w:pPr>
      <w:r>
        <w:rPr>
          <w:rFonts w:ascii="IRNazanin" w:hAnsi="IRNazanin" w:eastAsia="IRNazanin" w:cs="IRNazanin"/>
          <w:lang w:bidi="fa-IR"/>
          <w:color w:val="111111"/>
          <w:sz w:val="28"/>
          <w:szCs w:val="28"/>
          <w:rtl/>
        </w:rPr>
        <w:t xml:space="preserve">آغاز: الحمد لله رب العالمين ... اما بعد چنین گوید محتاج به فضـل و رحمت یزدانی محمد علی بن ملا محمد البرغاني عفى الله عنهما که اشرف قربات و افضل طاعات مستفاد از آیات و روایات محبت و دوستی محمد و علی و اهل بیت طاهرین ایشـان است</w:t>
      </w:r>
    </w:p>
    <w:p>
      <w:pPr>
        <w:pStyle w:val="BookText"/>
      </w:pPr>
      <w:r>
        <w:rPr>
          <w:rFonts w:ascii="IRNazanin" w:hAnsi="IRNazanin" w:eastAsia="IRNazanin" w:cs="IRNazanin"/>
          <w:lang w:bidi="fa-IR"/>
          <w:color w:val="111111"/>
          <w:sz w:val="28"/>
          <w:szCs w:val="28"/>
          <w:rtl/>
        </w:rPr>
        <w:t xml:space="preserve">انجام: اما الوصية پس آن التماس است از اخوان مؤمنین برادران روحانیین که اگر بر خطا و لغزشی واقف شوند و در این مجلد و سایر تألیفات این فقیر به قلم عفو در مقام اصلاح برآیـند... و ادراک اوهام عقول متفاوت می شوند ... اللهم تقبل دعایی و اقبل ثنایی باسمائك الحسنی و امثالك العليا يا معيى اللهم صل علی محمد و آل محمد برحمتک یا الله.</w:t>
      </w:r>
    </w:p>
    <w:p>
      <w:pPr>
        <w:pStyle w:val="BookText"/>
      </w:pPr>
      <w:r>
        <w:rPr>
          <w:rFonts w:ascii="IRNazanin" w:hAnsi="IRNazanin" w:eastAsia="IRNazanin" w:cs="IRNazanin"/>
          <w:lang w:bidi="fa-IR"/>
          <w:color w:val="111111"/>
          <w:sz w:val="28"/>
          <w:szCs w:val="28"/>
          <w:rtl/>
        </w:rPr>
        <w:t xml:space="preserve">[الذریعه ۳۱۷/۱۱؛ نسخه های منزوی ۴۴۷۸/۶؛ ریحانة الادب۱۵۸/۱؛ قصص العلماء ص ۱۴؛ احسن الوديعة ۳۵/۱]</w:t>
      </w:r>
    </w:p>
    <w:p>
      <w:pPr>
        <w:pStyle w:val="BookText"/>
      </w:pPr>
      <w:r>
        <w:rPr>
          <w:rFonts w:ascii="IRNazanin" w:hAnsi="IRNazanin" w:eastAsia="IRNazanin" w:cs="IRNazanin"/>
          <w:lang w:bidi="fa-IR"/>
          <w:color w:val="111111"/>
          <w:sz w:val="28"/>
          <w:szCs w:val="28"/>
          <w:rtl/>
        </w:rPr>
        <w:t xml:space="preserve">۱. تهران؛ مجلس؛ شماره نسخه: ۱۳۴۷۶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محمد مهدی، تا: ۲۲ شعبان ۱۲۵۶ق؛ جلد: تیماج قهوه ای، ۱۴۳گ، ۱۸ سطر،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۳۶-۴۳۶]</w:t>
      </w:r>
    </w:p>
    <w:p>
      <w:pPr>
        <w:pStyle w:val="BookText"/>
      </w:pPr>
      <w:r>
        <w:rPr>
          <w:rFonts w:ascii="IRNazanin" w:hAnsi="IRNazanin" w:eastAsia="IRNazanin" w:cs="IRNazanin"/>
          <w:lang w:bidi="fa-IR"/>
          <w:color w:val="111111"/>
          <w:sz w:val="28"/>
          <w:szCs w:val="28"/>
          <w:rtl/>
        </w:rPr>
        <w:t xml:space="preserve">۲. تبریز؛ خادم حسینی؛ شماره نسخه: ۳۴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نستعليق، كا: عبدالله بن حاجی نقی بروجردی، تا: سلخ رجـب ۱۲۵۷ق؛ جلد: تیماج قهوه ای، ۱۲۷گ، ۱۹ سطر، اندازه: ۱۲</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۲۲سم [اوراق عتيق ۱ - ۹۳]</w:t>
      </w:r>
    </w:p>
    <w:p>
      <w:pPr>
        <w:pStyle w:val="BookText"/>
      </w:pPr>
      <w:r>
        <w:rPr>
          <w:rFonts w:ascii="IRNazanin" w:hAnsi="IRNazanin" w:eastAsia="IRNazanin" w:cs="IRNazanin"/>
          <w:lang w:bidi="fa-IR"/>
          <w:color w:val="111111"/>
          <w:sz w:val="28"/>
          <w:szCs w:val="28"/>
          <w:rtl/>
        </w:rPr>
        <w:t xml:space="preserve">3.قم ؛مرعشی؛ شماره نسخه: ۱۴۱۸۴</w:t>
      </w:r>
    </w:p>
    <w:p>
      <w:pPr>
        <w:pStyle w:val="BookText"/>
      </w:pPr>
      <w:r>
        <w:rPr>
          <w:rFonts w:ascii="IRNazanin" w:hAnsi="IRNazanin" w:eastAsia="IRNazanin" w:cs="IRNazanin"/>
          <w:lang w:bidi="fa-IR"/>
          <w:color w:val="111111"/>
          <w:sz w:val="28"/>
          <w:szCs w:val="28"/>
          <w:rtl/>
        </w:rPr>
        <w:t xml:space="preserve">آغاز: برابر؛ انجام: و الشكر لهعلى ما وفقنى لا قامة عزاء وليـه و ابن ولیه حامداً مصلياً مستغفراً منيباً</w:t>
      </w:r>
    </w:p>
    <w:p>
      <w:pPr>
        <w:pStyle w:val="BookText"/>
      </w:pPr>
      <w:r>
        <w:rPr>
          <w:rFonts w:ascii="IRNazanin" w:hAnsi="IRNazanin" w:eastAsia="IRNazanin" w:cs="IRNazanin"/>
          <w:lang w:bidi="fa-IR"/>
          <w:color w:val="111111"/>
          <w:sz w:val="28"/>
          <w:szCs w:val="28"/>
          <w:rtl/>
        </w:rPr>
        <w:t xml:space="preserve">خط: نستعليق، كا: عبدالله بن تقی بروجردی ،تا: سلخ رجـب ۱۲۵۷ق؛ محشی با نشان «المحرره»، مصحح، دارای یادداشتی تاریخ ۱۲۶۱؛ کاغذ: شرقی، جلد: تیماج مجدول ضربی، ۲۰ 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۳۵ - ۷۵۹]</w:t>
      </w:r>
    </w:p>
    <w:p>
      <w:pPr>
        <w:pStyle w:val="BookText"/>
      </w:pPr>
      <w:r>
        <w:rPr>
          <w:rFonts w:ascii="IRNazanin" w:hAnsi="IRNazanin" w:eastAsia="IRNazanin" w:cs="IRNazanin"/>
          <w:lang w:bidi="fa-IR"/>
          <w:color w:val="111111"/>
          <w:sz w:val="28"/>
          <w:szCs w:val="28"/>
          <w:rtl/>
        </w:rPr>
        <w:t xml:space="preserve">་.۴ قم؛ مرکز مطالعات؛ شماره نسخه: ۵۵۶/۳</w:t>
      </w:r>
    </w:p>
    <w:p>
      <w:pPr>
        <w:pStyle w:val="BookText"/>
      </w:pPr>
      <w:r>
        <w:rPr>
          <w:rFonts w:ascii="IRNazanin" w:hAnsi="IRNazanin" w:eastAsia="IRNazanin" w:cs="IRNazanin"/>
          <w:lang w:bidi="fa-IR"/>
          <w:color w:val="111111"/>
          <w:sz w:val="28"/>
          <w:szCs w:val="28"/>
          <w:rtl/>
        </w:rPr>
        <w:t xml:space="preserve">آغاز: برابر؛ انجام: و الحمد لله رب العالمين و الشكر له على وفقني لاقامه عزاء وليه و ابن ولیه حامداً مستغفراً منيباً و الحمـد رب العالمين</w:t>
      </w:r>
    </w:p>
    <w:p>
      <w:pPr>
        <w:pStyle w:val="BookText"/>
      </w:pPr>
      <w:r>
        <w:rPr>
          <w:rFonts w:ascii="IRNazanin" w:hAnsi="IRNazanin" w:eastAsia="IRNazanin" w:cs="IRNazanin"/>
          <w:lang w:bidi="fa-IR"/>
          <w:color w:val="111111"/>
          <w:sz w:val="28"/>
          <w:szCs w:val="28"/>
          <w:rtl/>
        </w:rPr>
        <w:t xml:space="preserve">خط: نسخ ،خوب، کا: جعفر بن حاج حسین خوانساری، تا: ذیقعده۱۲۵۷ق؛ جلد: تیماج قهوه ای ضربی، ۱۵۵گ( ۱۲۰ پ- ۲۷۴ر) ۲۰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۱ - ۴۷۹]</w:t>
      </w:r>
    </w:p>
    <w:p>
      <w:pPr>
        <w:pStyle w:val="BookText"/>
      </w:pPr>
      <w:r>
        <w:rPr>
          <w:rFonts w:ascii="IRNazanin" w:hAnsi="IRNazanin" w:eastAsia="IRNazanin" w:cs="IRNazanin"/>
          <w:lang w:bidi="fa-IR"/>
          <w:color w:val="111111"/>
          <w:sz w:val="28"/>
          <w:szCs w:val="28"/>
          <w:rtl/>
        </w:rPr>
        <w:t xml:space="preserve">۵. تهران؛ مفتاح؛ شماره نسخه: ۷۳۳</w:t>
      </w:r>
    </w:p>
    <w:p>
      <w:pPr>
        <w:pStyle w:val="BookText"/>
      </w:pPr>
      <w:r>
        <w:rPr>
          <w:rFonts w:ascii="IRNazanin" w:hAnsi="IRNazanin" w:eastAsia="IRNazanin" w:cs="IRNazanin"/>
          <w:lang w:bidi="fa-IR"/>
          <w:color w:val="111111"/>
          <w:sz w:val="28"/>
          <w:szCs w:val="28"/>
          <w:rtl/>
        </w:rPr>
        <w:t xml:space="preserve">خط: نستعلیق، بی کا، تا: ۱۸ ربیع الاول، ۱۲۵۷ق؛ قطع: ربعي  [نشریه: ۷ - ۱۰۱]</w:t>
      </w:r>
    </w:p>
    <w:p>
      <w:pPr>
        <w:pStyle w:val="BookText"/>
      </w:pPr>
      <w:r>
        <w:rPr>
          <w:rFonts w:ascii="IRNazanin" w:hAnsi="IRNazanin" w:eastAsia="IRNazanin" w:cs="IRNazanin"/>
          <w:lang w:bidi="fa-IR"/>
          <w:color w:val="111111"/>
          <w:sz w:val="28"/>
          <w:szCs w:val="28"/>
          <w:rtl/>
        </w:rPr>
        <w:t xml:space="preserve">۶. تهران؛ مجلس؛ شماره نسخه: ۱۴۸۷۱</w:t>
      </w:r>
    </w:p>
    <w:p>
      <w:pPr>
        <w:pStyle w:val="BookText"/>
      </w:pPr>
      <w:r>
        <w:rPr>
          <w:rFonts w:ascii="Amiri" w:hAnsi="Amiri" w:eastAsia="Amiri" w:cs="Amiri"/>
          <w:lang w:bidi="ar-SA"/>
          <w:color w:val="111111"/>
          <w:sz w:val="28"/>
          <w:szCs w:val="28"/>
          <w:rtl/>
        </w:rPr>
        <w:t xml:space="preserve">آغاز: برابر؛ انجام: رحم الله مع قرأ الفاتحة مع الاخلاص.</w:t>
      </w:r>
    </w:p>
    <w:p>
      <w:pPr>
        <w:pStyle w:val="BookText"/>
      </w:pPr>
      <w:r>
        <w:rPr>
          <w:rFonts w:ascii="IRNazanin" w:hAnsi="IRNazanin" w:eastAsia="IRNazanin" w:cs="IRNazanin"/>
          <w:lang w:bidi="fa-IR"/>
          <w:color w:val="111111"/>
          <w:sz w:val="28"/>
          <w:szCs w:val="28"/>
          <w:rtl/>
        </w:rPr>
        <w:t xml:space="preserve">خط: نستعلیق مایل به  نسخ ،کا: محمد مهدی، تا: ۱۲۶۲ق؛ جلد: تیماج قهوه ای ضربی، ۲۱۲گ، ۱۴ سطر، اندازه: ۱۴/۴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۲۰/۷سم  [ف: ۴۱ - ۲۵۲]</w:t>
      </w:r>
    </w:p>
    <w:p>
      <w:pPr>
        <w:pStyle w:val="BookText"/>
      </w:pPr>
      <w:r>
        <w:rPr>
          <w:rFonts w:ascii="IRNazanin" w:hAnsi="IRNazanin" w:eastAsia="IRNazanin" w:cs="IRNazanin"/>
          <w:lang w:bidi="fa-IR"/>
          <w:color w:val="111111"/>
          <w:sz w:val="28"/>
          <w:szCs w:val="28"/>
          <w:rtl/>
        </w:rPr>
        <w:t xml:space="preserve">7.قم ؛مرعشی؛ شماره نسخه: ۶۳۹۶</w:t>
      </w:r>
    </w:p>
    <w:p>
      <w:pPr>
        <w:pStyle w:val="BookText"/>
      </w:pPr>
      <w:r>
        <w:rPr>
          <w:rFonts w:ascii="IRNazanin" w:hAnsi="IRNazanin" w:eastAsia="IRNazanin" w:cs="IRNazanin"/>
          <w:lang w:bidi="fa-IR"/>
          <w:color w:val="111111"/>
          <w:sz w:val="28"/>
          <w:szCs w:val="28"/>
          <w:rtl/>
        </w:rPr>
        <w:t xml:space="preserve">آغاز: و بمقدار استیناس محب ما سوى المحبوب را فدای محبوب ،سازد لمؤلفه از محبت گویمت ای نکته دان؛ انجام: و الشكر له على ما وفقنى لا قامة عزاء وليه و ابن وليه حامداً مصلياً مستغفراً  منیباً</w:t>
      </w:r>
    </w:p>
    <w:p>
      <w:pPr>
        <w:pStyle w:val="BookText"/>
      </w:pPr>
      <w:r>
        <w:rPr>
          <w:rFonts w:ascii="IRNazanin" w:hAnsi="IRNazanin" w:eastAsia="IRNazanin" w:cs="IRNazanin"/>
          <w:lang w:bidi="fa-IR"/>
          <w:color w:val="111111"/>
          <w:sz w:val="28"/>
          <w:szCs w:val="28"/>
          <w:rtl/>
        </w:rPr>
        <w:t xml:space="preserve">خط: نسخ و نستعلیق، کا: محمد مهدی بن حسینعلی، تا: ۲۲ربیع الثانی ۱۲۶۳ق؛ افتادگی: آغاز؛ برگ اول نونویس و گویا شخصی خطبه ای افزوده که ناتمام در این برگ آمده؛ جلد: تیماج قهوه ای،  ۲۱۴گ، ۱۴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۱۶ – ۳۵۱]</w:t>
      </w:r>
    </w:p>
    <w:p>
      <w:pPr>
        <w:pStyle w:val="Heading3"/>
      </w:pPr>
      <w:bookmarkStart w:id="1382" w:name="_Toc904"/>
      <w:r>
        <w:t>اسرار العارفین و انوار السالكين / اخلاق / عربی</w:t>
      </w:r>
      <w:bookmarkEnd w:id="1382"/>
    </w:p>
    <w:p>
      <w:pPr>
        <w:pStyle w:val="BookText"/>
      </w:pPr>
      <w:r>
        <w:rPr>
          <w:rFonts w:ascii="Times New Roman" w:hAnsi="Times New Roman" w:eastAsia="Times New Roman" w:cs="Times New Roman"/>
          <w:lang w:val="en-US" w:bidi="en-US"/>
          <w:color w:val="111111"/>
          <w:sz w:val="28"/>
          <w:szCs w:val="28"/>
          <w:rtl/>
        </w:rPr>
        <w:t xml:space="preserve">asrar-ul-arifin wa anwar-us-salikin</w:t>
      </w:r>
    </w:p>
    <w:p>
      <w:pPr>
        <w:pStyle w:val="BookText"/>
      </w:pPr>
      <w:r>
        <w:rPr>
          <w:rFonts w:ascii="IRNazanin" w:hAnsi="IRNazanin" w:eastAsia="IRNazanin" w:cs="IRNazanin"/>
          <w:lang w:bidi="fa-IR"/>
          <w:color w:val="111111"/>
          <w:sz w:val="28"/>
          <w:szCs w:val="28"/>
          <w:rtl/>
        </w:rPr>
        <w:t xml:space="preserve">کاشانی، حبیب الله بن علی مدد ،۱۲۶۲ - ۱۳۴۰ قمری</w:t>
      </w:r>
    </w:p>
    <w:p>
      <w:pPr>
        <w:pStyle w:val="BookText"/>
      </w:pPr>
      <w:r>
        <w:rPr>
          <w:rFonts w:ascii="Times New Roman" w:hAnsi="Times New Roman" w:eastAsia="Times New Roman" w:cs="Times New Roman"/>
          <w:lang w:val="en-US" w:bidi="en-US"/>
          <w:color w:val="111111"/>
          <w:sz w:val="28"/>
          <w:szCs w:val="28"/>
          <w:rtl/>
        </w:rPr>
        <w:t xml:space="preserve">(kāšānī, habīb-ol-lah ebn-e 'alī madad (1846 - 1922)</w:t>
      </w:r>
    </w:p>
    <w:p>
      <w:pPr>
        <w:pStyle w:val="BookText"/>
      </w:pPr>
      <w:r>
        <w:rPr>
          <w:rFonts w:ascii="IRNazanin" w:hAnsi="IRNazanin" w:eastAsia="IRNazanin" w:cs="IRNazanin"/>
          <w:lang w:bidi="fa-IR"/>
          <w:color w:val="111111"/>
          <w:sz w:val="28"/>
          <w:szCs w:val="28"/>
          <w:rtl/>
        </w:rPr>
        <w:t xml:space="preserve">مشتمل بر سه «باب» همراه با اشعار فارسی در مذاهب صوفیه.</w:t>
      </w:r>
    </w:p>
    <w:p>
      <w:pPr>
        <w:pStyle w:val="BookText"/>
      </w:pPr>
      <w:r>
        <w:rPr>
          <w:rFonts w:ascii="IRNazanin" w:hAnsi="IRNazanin" w:eastAsia="IRNazanin" w:cs="IRNazanin"/>
          <w:lang w:bidi="fa-IR"/>
          <w:color w:val="111111"/>
          <w:sz w:val="28"/>
          <w:szCs w:val="28"/>
          <w:rtl/>
        </w:rPr>
        <w:t xml:space="preserve">تهران؛ ملک؛ شماره نسخه: ۲۱۳۴/۲</w:t>
      </w:r>
    </w:p>
    <w:p>
      <w:pPr>
        <w:pStyle w:val="BookText"/>
      </w:pPr>
      <w:r>
        <w:rPr>
          <w:rFonts w:ascii="Amiri" w:hAnsi="Amiri" w:eastAsia="Amiri" w:cs="Amiri"/>
          <w:lang w:bidi="ar-SA"/>
          <w:color w:val="111111"/>
          <w:sz w:val="28"/>
          <w:szCs w:val="28"/>
          <w:rtl/>
        </w:rPr>
        <w:t xml:space="preserve">آغاز: بسمله الحمد لله الذى غاص فى قطرة من بحار تعريف مائية عميقات مذاهب فطن المتبحرين فعادت و هي مضطربة و هم متالهون؛ انجام: و البحر يمده سبعة البحر ما نفدت كلمات الله، و الحمد لله الذي ختم عواقب الصلحاء عواقب الصلحاء ... و الصلوة على اشرف النجباء و محمد و آله خير الورى و على صحابه مصابيح الدجى، قد فرع المولف من تاليفه فى شهر ذيحجة الحرام من شهور سنة  ۱۲۷۳</w:t>
      </w:r>
    </w:p>
    <w:p>
      <w:pPr>
        <w:pStyle w:val="BookText"/>
      </w:pPr>
      <w:r>
        <w:rPr>
          <w:rFonts w:ascii="IRNazanin" w:hAnsi="IRNazanin" w:eastAsia="IRNazanin" w:cs="IRNazanin"/>
          <w:lang w:bidi="fa-IR"/>
          <w:color w:val="111111"/>
          <w:sz w:val="28"/>
          <w:szCs w:val="28"/>
          <w:rtl/>
        </w:rPr>
        <w:t xml:space="preserve">خط: نستعليق كاتب - مؤلف (گویا) تا: ذیحجه ۱۲۷۳ق؛ در برگ ۶۵ر-پ شعر فارسی مؤلف و شماره مؤلفات او دیده می شود) ؛کاغذ: فرنگی آهار مهره ،جلد: میشن لایی سیاه، ۵۸گ (66ر- 123ر)،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۵ - ۴۳۰]</w:t>
      </w:r>
    </w:p>
    <w:p>
      <w:pPr>
        <w:pStyle w:val="Heading3"/>
      </w:pPr>
      <w:bookmarkStart w:id="1383" w:name="_Toc905"/>
      <w:r>
        <w:t>اسرار العارفین و سراج العالمین و برهان العاشقین  / عرفان و تصوف / فارسی</w:t>
      </w:r>
      <w:bookmarkEnd w:id="1383"/>
    </w:p>
    <w:p>
      <w:pPr>
        <w:pStyle w:val="BookText"/>
      </w:pPr>
      <w:r>
        <w:rPr>
          <w:rFonts w:ascii="Times New Roman" w:hAnsi="Times New Roman" w:eastAsia="Times New Roman" w:cs="Times New Roman"/>
          <w:lang w:val="en-US" w:bidi="en-US"/>
          <w:color w:val="111111"/>
          <w:sz w:val="28"/>
          <w:szCs w:val="28"/>
          <w:rtl/>
        </w:rPr>
        <w:t xml:space="preserve">asrār-ol ‘ārefīn va serāj-ol ‘ālemīn va borhān-ol ‘āšeqīn</w:t>
      </w:r>
    </w:p>
    <w:p>
      <w:pPr>
        <w:pStyle w:val="BookText"/>
      </w:pPr>
      <w:r>
        <w:rPr>
          <w:rFonts w:ascii="IRNazanin" w:hAnsi="IRNazanin" w:eastAsia="IRNazanin" w:cs="IRNazanin"/>
          <w:lang w:bidi="fa-IR"/>
          <w:color w:val="111111"/>
          <w:sz w:val="28"/>
          <w:szCs w:val="28"/>
          <w:rtl/>
        </w:rPr>
        <w:t xml:space="preserve">شاه بوعلی قلندر پانی پتی</w:t>
      </w:r>
    </w:p>
    <w:p>
      <w:pPr>
        <w:pStyle w:val="BookText"/>
      </w:pPr>
      <w:r>
        <w:rPr>
          <w:rFonts w:ascii="Times New Roman" w:hAnsi="Times New Roman" w:eastAsia="Times New Roman" w:cs="Times New Roman"/>
          <w:lang w:val="en-US" w:bidi="en-US"/>
          <w:color w:val="111111"/>
          <w:sz w:val="28"/>
          <w:szCs w:val="28"/>
          <w:rtl/>
        </w:rPr>
        <w:t xml:space="preserve">šāh bū-‘alī qalanadr pānī patī</w:t>
      </w:r>
    </w:p>
    <w:p>
      <w:pPr>
        <w:pStyle w:val="BookText"/>
      </w:pPr>
      <w:r>
        <w:rPr>
          <w:rFonts w:ascii="IRNazanin" w:hAnsi="IRNazanin" w:eastAsia="IRNazanin" w:cs="IRNazanin"/>
          <w:lang w:bidi="fa-IR"/>
          <w:color w:val="111111"/>
          <w:sz w:val="28"/>
          <w:szCs w:val="28"/>
          <w:rtl/>
        </w:rPr>
        <w:t xml:space="preserve">رساله کوتاهی است در توحید و عرفان به طریق سؤال و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254" w:name="pg20365_260360"/>
    <w:bookmarkEnd w:id="254"/>
    <w:p>
      <w:pPr>
        <w:pStyle w:val="BookText"/>
      </w:pPr>
      <w:r>
        <w:rPr>
          <w:rFonts w:ascii="IRNazanin" w:hAnsi="IRNazanin" w:eastAsia="IRNazanin" w:cs="IRNazanin"/>
          <w:lang w:bidi="fa-IR"/>
          <w:color w:val="111111"/>
          <w:sz w:val="28"/>
          <w:szCs w:val="28"/>
          <w:rtl/>
        </w:rPr>
        <w:t xml:space="preserve">جواب هایی که مؤلف خود سؤال کرده و خود پاسخ داده است.</w:t>
      </w:r>
    </w:p>
    <w:p>
      <w:pPr>
        <w:pStyle w:val="BookText"/>
      </w:pPr>
      <w:r>
        <w:rPr>
          <w:rFonts w:ascii="IRNazanin" w:hAnsi="IRNazanin" w:eastAsia="IRNazanin" w:cs="IRNazanin"/>
          <w:lang w:bidi="fa-IR"/>
          <w:color w:val="111111"/>
          <w:sz w:val="28"/>
          <w:szCs w:val="28"/>
          <w:rtl/>
        </w:rPr>
        <w:t xml:space="preserve">قم؛ گلپایگانی؛ شماره نسخه: 5/ 7987- 77/ 54</w:t>
      </w:r>
    </w:p>
    <w:p>
      <w:pPr>
        <w:pStyle w:val="BookText"/>
      </w:pPr>
      <w:r>
        <w:rPr>
          <w:rFonts w:ascii="IRNazanin" w:hAnsi="IRNazanin" w:eastAsia="IRNazanin" w:cs="IRNazanin"/>
          <w:lang w:bidi="fa-IR"/>
          <w:color w:val="111111"/>
          <w:sz w:val="28"/>
          <w:szCs w:val="28"/>
          <w:rtl/>
        </w:rPr>
        <w:t xml:space="preserve">آغاز: بسمله؛ این رساله است اسرار العارفين وسراج العالمين و برهان العاشقين مخدوم شرف الدین بوعلی پانی پتی قدس الله سـره</w:t>
      </w:r>
    </w:p>
    <w:p>
      <w:pPr>
        <w:pStyle w:val="BookText"/>
      </w:pPr>
      <w:r>
        <w:rPr>
          <w:rFonts w:ascii="IRNazanin" w:hAnsi="IRNazanin" w:eastAsia="IRNazanin" w:cs="IRNazanin"/>
          <w:lang w:bidi="fa-IR"/>
          <w:color w:val="111111"/>
          <w:sz w:val="28"/>
          <w:szCs w:val="28"/>
          <w:rtl/>
        </w:rPr>
        <w:t xml:space="preserve">خط: نستعلیق، بی کا، تا: ۱۵ ربیع الاول ۱۲۵۰ق؛ ۱۰گ، ۱۴ سـطر  ،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۱ - ۳۴۸]</w:t>
      </w:r>
    </w:p>
    <w:p>
      <w:pPr>
        <w:pStyle w:val="BookText"/>
      </w:pPr>
      <w:r>
        <w:rPr>
          <w:rFonts w:ascii="Amiri" w:hAnsi="Amiri" w:eastAsia="Amiri" w:cs="Amiri"/>
          <w:lang w:bidi="ar-SA"/>
          <w:color w:val="111111"/>
          <w:sz w:val="28"/>
          <w:szCs w:val="28"/>
          <w:rtl/>
        </w:rPr>
        <w:t xml:space="preserve">«اسرار العبادات » اسرار الصلاة</w:t>
      </w:r>
    </w:p>
    <w:p>
      <w:pPr>
        <w:pStyle w:val="Heading3"/>
      </w:pPr>
      <w:bookmarkStart w:id="1384" w:name="_Toc906"/>
      <w:r>
        <w:t>اسرار العبادات / عرفان و تصوف / فارسی</w:t>
      </w:r>
      <w:bookmarkEnd w:id="1384"/>
    </w:p>
    <w:p>
      <w:pPr>
        <w:pStyle w:val="BookText"/>
      </w:pPr>
      <w:r>
        <w:rPr>
          <w:rFonts w:ascii="Times New Roman" w:hAnsi="Times New Roman" w:eastAsia="Times New Roman" w:cs="Times New Roman"/>
          <w:lang w:val="en-US" w:bidi="en-US"/>
          <w:color w:val="111111"/>
          <w:sz w:val="28"/>
          <w:szCs w:val="28"/>
          <w:rtl/>
        </w:rPr>
        <w:t xml:space="preserve">asrār-ul ‘ibādāt</w:t>
      </w:r>
    </w:p>
    <w:p>
      <w:pPr>
        <w:pStyle w:val="BookText"/>
      </w:pPr>
      <w:r>
        <w:rPr>
          <w:rFonts w:ascii="IRNazanin" w:hAnsi="IRNazanin" w:eastAsia="IRNazanin" w:cs="IRNazanin"/>
          <w:lang w:bidi="fa-IR"/>
          <w:color w:val="111111"/>
          <w:sz w:val="28"/>
          <w:szCs w:val="28"/>
          <w:rtl/>
        </w:rPr>
        <w:t xml:space="preserve">نعمة الله ولی، نعمة الله بن عبدالله، ۷۳۰؟ ۷۳؟ - ۸۳۴ قمری</w:t>
      </w:r>
    </w:p>
    <w:p>
      <w:pPr>
        <w:pStyle w:val="BookText"/>
      </w:pPr>
      <w:r>
        <w:rPr>
          <w:rFonts w:ascii="Times New Roman" w:hAnsi="Times New Roman" w:eastAsia="Times New Roman" w:cs="Times New Roman"/>
          <w:lang w:val="en-US" w:bidi="en-US"/>
          <w:color w:val="111111"/>
          <w:sz w:val="28"/>
          <w:szCs w:val="28"/>
          <w:rtl/>
        </w:rPr>
        <w:t xml:space="preserve">ne‘mat-ol-lāh-e valī, ne‘mat-ol-lāh ebn-e ‘abd-ol-lāh</w:t>
      </w:r>
    </w:p>
    <w:p>
      <w:pPr>
        <w:pStyle w:val="BookText"/>
      </w:pPr>
      <w:r>
        <w:rPr>
          <w:rFonts w:ascii="Times New Roman" w:hAnsi="Times New Roman" w:eastAsia="Times New Roman" w:cs="Times New Roman"/>
          <w:lang w:val="en-US" w:bidi="en-US"/>
          <w:color w:val="111111"/>
          <w:sz w:val="28"/>
          <w:szCs w:val="28"/>
          <w:rtl/>
        </w:rPr>
        <w:t xml:space="preserve">(1330 - 1431)</w:t>
      </w:r>
    </w:p>
    <w:p>
      <w:pPr>
        <w:pStyle w:val="BookText"/>
      </w:pPr>
      <w:r>
        <w:rPr>
          <w:rFonts w:ascii="IRNazanin" w:hAnsi="IRNazanin" w:eastAsia="IRNazanin" w:cs="IRNazanin"/>
          <w:lang w:bidi="fa-IR"/>
          <w:color w:val="111111"/>
          <w:sz w:val="28"/>
          <w:szCs w:val="28"/>
          <w:rtl/>
        </w:rPr>
        <w:t xml:space="preserve">این رساله در آداب طاعات و عبادات است.همانند «منهاج المسلمين» و «اسرار الصلاة» اوست بایستی دید گرچه تفاوت دارد. سر آغاز آن با «منهاج المسلمین» او یکسان است.</w:t>
      </w:r>
    </w:p>
    <w:p>
      <w:pPr>
        <w:pStyle w:val="BookText"/>
      </w:pPr>
      <w:r>
        <w:rPr>
          <w:rFonts w:ascii="IRNazanin" w:hAnsi="IRNazanin" w:eastAsia="IRNazanin" w:cs="IRNazanin"/>
          <w:lang w:bidi="fa-IR"/>
          <w:color w:val="111111"/>
          <w:sz w:val="28"/>
          <w:szCs w:val="28"/>
          <w:rtl/>
        </w:rPr>
        <w:t xml:space="preserve">آغاز: الحمد لله الذى خلق الأرواح بقدرته</w:t>
      </w:r>
    </w:p>
    <w:p>
      <w:pPr>
        <w:pStyle w:val="BookText"/>
      </w:pPr>
      <w:r>
        <w:rPr>
          <w:rFonts w:ascii="IRNazanin" w:hAnsi="IRNazanin" w:eastAsia="IRNazanin" w:cs="IRNazanin"/>
          <w:lang w:bidi="fa-IR"/>
          <w:color w:val="111111"/>
          <w:sz w:val="28"/>
          <w:szCs w:val="28"/>
          <w:rtl/>
        </w:rPr>
        <w:t xml:space="preserve">انجام: خانه خاص نعمت الله است... و ردنا سالمين غانمـین بحرمة نبيك سيد المرسلين صلى الله عليه و آله و سلم</w:t>
      </w:r>
    </w:p>
    <w:p>
      <w:pPr>
        <w:pStyle w:val="BookText"/>
      </w:pPr>
      <w:r>
        <w:rPr>
          <w:rFonts w:ascii="IRNazanin" w:hAnsi="IRNazanin" w:eastAsia="IRNazanin" w:cs="IRNazanin"/>
          <w:lang w:bidi="fa-IR"/>
          <w:color w:val="111111"/>
          <w:sz w:val="28"/>
          <w:szCs w:val="28"/>
          <w:rtl/>
        </w:rPr>
        <w:t xml:space="preserve">چاپ: ضمن رضوان ،المعارف ،تهران، کتابفروشی فردوسی</w:t>
      </w:r>
    </w:p>
    <w:p>
      <w:pPr>
        <w:pStyle w:val="BookText"/>
      </w:pPr>
      <w:r>
        <w:rPr>
          <w:rFonts w:ascii="IRNazanin" w:hAnsi="IRNazanin" w:eastAsia="IRNazanin" w:cs="IRNazanin"/>
          <w:lang w:bidi="fa-IR"/>
          <w:color w:val="111111"/>
          <w:sz w:val="28"/>
          <w:szCs w:val="28"/>
          <w:rtl/>
        </w:rPr>
        <w:t xml:space="preserve">[فهرستواره منزوی ۴۶۸/۷) نسخه]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مجلس؛ شماره نسخه: ۳۷۲/۱۵</w:t>
      </w:r>
    </w:p>
    <w:p>
      <w:pPr>
        <w:pStyle w:val="BookText"/>
      </w:pPr>
      <w:r>
        <w:rPr>
          <w:rFonts w:ascii="IRNazanin" w:hAnsi="IRNazanin" w:eastAsia="IRNazanin" w:cs="IRNazanin"/>
          <w:lang w:bidi="fa-IR"/>
          <w:color w:val="111111"/>
          <w:sz w:val="28"/>
          <w:szCs w:val="28"/>
          <w:rtl/>
        </w:rPr>
        <w:t xml:space="preserve">بی کا، تا: ۱۰۶۶ق؛ کاغذ: سفید، جلد: تیماج مشکی مقوایی، 23سطر (9</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۲۴سم [سنا - ف: ۱ - ۲۰۸]</w:t>
      </w:r>
    </w:p>
    <w:p>
      <w:pPr>
        <w:pStyle w:val="BookText"/>
      </w:pPr>
      <w:r>
        <w:rPr>
          <w:rFonts w:ascii="IRNazanin" w:hAnsi="IRNazanin" w:eastAsia="IRNazanin" w:cs="IRNazanin"/>
          <w:lang w:bidi="fa-IR"/>
          <w:color w:val="111111"/>
          <w:sz w:val="28"/>
          <w:szCs w:val="28"/>
          <w:rtl/>
        </w:rPr>
        <w:t xml:space="preserve">۲. تهران؛ مجلس؛ شماره نسخه: ۱۰۱۱۹/۱۵</w:t>
      </w:r>
    </w:p>
    <w:p>
      <w:pPr>
        <w:pStyle w:val="BookText"/>
      </w:pPr>
      <w:r>
        <w:rPr>
          <w:rFonts w:ascii="IRNazanin" w:hAnsi="IRNazanin" w:eastAsia="IRNazanin" w:cs="IRNazanin"/>
          <w:lang w:bidi="fa-IR"/>
          <w:color w:val="111111"/>
          <w:sz w:val="28"/>
          <w:szCs w:val="28"/>
          <w:rtl/>
        </w:rPr>
        <w:t xml:space="preserve">خط: نسخ  ریز ،کا:عباس بن حاجی محمد شیرازی الاصل همدانی  المسکن ،تا: ۱۲۶۴ق؛ ۱۹ ص( ۱۸۹- ۲۰۷) ، ۲۹ سطر، قـطع: رحلی، اندازه: ۱۹/۵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۳۲سم [ف: ۳۲ - ۱۴۸]</w:t>
      </w:r>
    </w:p>
    <w:p>
      <w:pPr>
        <w:pStyle w:val="BookText"/>
      </w:pPr>
      <w:r>
        <w:rPr>
          <w:rFonts w:ascii="IRNazanin" w:hAnsi="IRNazanin" w:eastAsia="IRNazanin" w:cs="IRNazanin"/>
          <w:lang w:bidi="fa-IR"/>
          <w:color w:val="111111"/>
          <w:sz w:val="28"/>
          <w:szCs w:val="28"/>
          <w:rtl/>
        </w:rPr>
        <w:t xml:space="preserve">3.مشهد؛ الهیات؛ شماره نسخه: ۴۰/۱۷ -عکسی</w:t>
      </w:r>
    </w:p>
    <w:p>
      <w:pPr>
        <w:pStyle w:val="BookText"/>
      </w:pPr>
      <w:r>
        <w:rPr>
          <w:rFonts w:ascii="IRNazanin" w:hAnsi="IRNazanin" w:eastAsia="IRNazanin" w:cs="IRNazanin"/>
          <w:lang w:bidi="fa-IR"/>
          <w:color w:val="111111"/>
          <w:sz w:val="28"/>
          <w:szCs w:val="28"/>
          <w:rtl/>
        </w:rPr>
        <w:t xml:space="preserve">نسخه  اصل: آستان قدس ش ۵۳۰ [این رساله ضمن مجموعه ای است که فقط در فهرست الفبائی فهرست شده و از این رساله نشده است] ؛خط: نسخ، کا: عباس بن حاجی محمد شیرازی همدانی، تا: سلخ رمضان ۱۲۶۴ق؛ جلد: گالینگور مشکی، ۱۰گ (۱۰۴-۹۵)، ۲۹ ،سطر، اندازه:  ۲۸/۵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۴۰سم [ف: ۳ - ۱۳۰۵]</w:t>
      </w:r>
    </w:p>
    <w:p>
      <w:pPr>
        <w:pStyle w:val="BookText"/>
      </w:pPr>
      <w:r>
        <w:rPr>
          <w:rFonts w:ascii="IRNazanin" w:hAnsi="IRNazanin" w:eastAsia="IRNazanin" w:cs="IRNazanin"/>
          <w:lang w:bidi="fa-IR"/>
          <w:color w:val="111111"/>
          <w:sz w:val="28"/>
          <w:szCs w:val="28"/>
          <w:rtl/>
        </w:rPr>
        <w:t xml:space="preserve">4.تهران؛ مجلس؛ شماره نسخه: ۳۰۶۷/۱۵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شکسته نستعلیق ،خوش، بی کا، تا: ۱۲۶۵ق؛ مجدول شـش خطی؛ کاغذ: فرنگی نازک شکری آهار مهره ،جلد: تیماج مشکی ۲۲ ص (۹۹-۷۸) ، ۲۵  سطر،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۲۳/۵سم [ف : ۱۰ - ۸۹.۵ ]</w:t>
      </w:r>
    </w:p>
    <w:p>
      <w:pPr>
        <w:pStyle w:val="BookText"/>
      </w:pPr>
      <w:r>
        <w:rPr>
          <w:rFonts w:ascii="IRNazanin" w:hAnsi="IRNazanin" w:eastAsia="IRNazanin" w:cs="IRNazanin"/>
          <w:lang w:bidi="fa-IR"/>
          <w:color w:val="111111"/>
          <w:sz w:val="28"/>
          <w:szCs w:val="28"/>
          <w:rtl/>
        </w:rPr>
        <w:t xml:space="preserve">5.تهران؛ نوربخش؛ شماره نسخه: ۵۹/۷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بی کا، بی تا؛ جلد: تیماج مشکی ،مقوایی، ۶۰ ص (۱۱۴-۱۷۳)،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۱۸/۵سم [ف: ۱ - ۹۰]</w:t>
      </w:r>
    </w:p>
    <w:p>
      <w:pPr>
        <w:pStyle w:val="Heading3"/>
      </w:pPr>
      <w:bookmarkStart w:id="1385" w:name="_Toc907"/>
      <w:r>
        <w:t>اسرار العبادات / فلسفه احکام / عربی</w:t>
      </w:r>
      <w:bookmarkEnd w:id="1385"/>
    </w:p>
    <w:p>
      <w:pPr>
        <w:pStyle w:val="BookText"/>
      </w:pPr>
      <w:r>
        <w:rPr>
          <w:rFonts w:ascii="Times New Roman" w:hAnsi="Times New Roman" w:eastAsia="Times New Roman" w:cs="Times New Roman"/>
          <w:lang w:val="en-US" w:bidi="en-US"/>
          <w:color w:val="111111"/>
          <w:sz w:val="28"/>
          <w:szCs w:val="28"/>
          <w:rtl/>
        </w:rPr>
        <w:t xml:space="preserve">asrar-ul 'ibādāt</w:t>
      </w:r>
    </w:p>
    <w:p>
      <w:pPr>
        <w:pStyle w:val="BookText"/>
      </w:pPr>
      <w:r>
        <w:rPr>
          <w:rFonts w:ascii="IRNazanin" w:hAnsi="IRNazanin" w:eastAsia="IRNazanin" w:cs="IRNazanin"/>
          <w:lang w:bidi="fa-IR"/>
          <w:color w:val="111111"/>
          <w:sz w:val="28"/>
          <w:szCs w:val="28"/>
          <w:rtl/>
        </w:rPr>
        <w:t xml:space="preserve">قاینی، کافی بن محتشم، ق ۱۱ قمری</w:t>
      </w:r>
    </w:p>
    <w:p>
      <w:pPr>
        <w:pStyle w:val="BookText"/>
      </w:pPr>
      <w:r>
        <w:rPr>
          <w:rFonts w:ascii="Times New Roman" w:hAnsi="Times New Roman" w:eastAsia="Times New Roman" w:cs="Times New Roman"/>
          <w:lang w:val="en-US" w:bidi="en-US"/>
          <w:color w:val="111111"/>
          <w:sz w:val="28"/>
          <w:szCs w:val="28"/>
          <w:rtl/>
        </w:rPr>
        <w:t xml:space="preserve">qayenī, kāfi ebn-e mohtašam (- 17c)</w:t>
      </w:r>
    </w:p>
    <w:p>
      <w:pPr>
        <w:pStyle w:val="BookText"/>
      </w:pPr>
      <w:r>
        <w:rPr>
          <w:rFonts w:ascii="IRNazanin" w:hAnsi="IRNazanin" w:eastAsia="IRNazanin" w:cs="IRNazanin"/>
          <w:lang w:bidi="fa-IR"/>
          <w:color w:val="111111"/>
          <w:sz w:val="28"/>
          <w:szCs w:val="28"/>
          <w:rtl/>
        </w:rPr>
        <w:t xml:space="preserve">مشتمل بر ۶ «فصل» و یک «خاتمه»: ۱. حدها و انواعها و اقسامها؛ .٢. بيان حقيقة الصلاة و مقدار نفعها 3. الحكمة فى التكليف بها على وجه بليق بالنظر الفلسفی؛ ۴. اسرار مقدمات الصلاة؛ ۵. اسرار   فضائل الجماعة وصلاة الجمعة و العيدين و الطواف و الحج الزيارة؛ ۶. اسرار الصلاة نحوا آخر من البيان و في الحكمة في الموت؛ ختم المقالة في دواء مرض القلب.</w:t>
      </w:r>
    </w:p>
    <w:p>
      <w:pPr>
        <w:pStyle w:val="BookText"/>
      </w:pPr>
      <w:r>
        <w:rPr>
          <w:rFonts w:ascii="IRNazanin" w:hAnsi="IRNazanin" w:eastAsia="IRNazanin" w:cs="IRNazanin"/>
          <w:lang w:bidi="fa-IR"/>
          <w:color w:val="111111"/>
          <w:sz w:val="28"/>
          <w:szCs w:val="28"/>
          <w:rtl/>
        </w:rPr>
        <w:t xml:space="preserve">چاپ: در رسائل عرفانی و فلسفی حکیم قاینی (تهران، انتشارات علمی فرهنگی  )</w:t>
      </w:r>
    </w:p>
    <w:p>
      <w:pPr>
        <w:pStyle w:val="BookText"/>
      </w:pPr>
      <w:r>
        <w:rPr>
          <w:rFonts w:ascii="IRNazanin" w:hAnsi="IRNazanin" w:eastAsia="IRNazanin" w:cs="IRNazanin"/>
          <w:lang w:bidi="fa-IR"/>
          <w:color w:val="111111"/>
          <w:sz w:val="28"/>
          <w:szCs w:val="28"/>
          <w:rtl/>
        </w:rPr>
        <w:t xml:space="preserve">تهران؛ دانشگاه؛ شماره نسخه: ۲۹۸۱/۱-ف</w:t>
      </w:r>
    </w:p>
    <w:p>
      <w:pPr>
        <w:pStyle w:val="BookText"/>
      </w:pPr>
      <w:r>
        <w:rPr>
          <w:rFonts w:ascii="IRNazanin" w:hAnsi="IRNazanin" w:eastAsia="IRNazanin" w:cs="IRNazanin"/>
          <w:lang w:bidi="fa-IR"/>
          <w:color w:val="111111"/>
          <w:sz w:val="28"/>
          <w:szCs w:val="28"/>
          <w:rtl/>
        </w:rPr>
        <w:t xml:space="preserve">آغاز: بسمله حمدله... و بعد فانی ارید ان ابين في مقالتي هذه حقيقة الصلاة و انواعها و اقسامها و الحكمة فيهاو مقدار نفعها و غايتها ثم ابين اسرار اعمالها و انواعها و ابین عند هذا شيئا من اسرار الصوم والزيارة و الحج ... متقربا الى مجلس شيخنا و مولانا الافقه الاعلم الاعظم زير سطور المراد منه شيخ علی بن محيى الدين الجامعى العاملى محتدا والتونى مسكنا ؛ انجام: فانما يلوح من علوم اخرى اقدم على هذه المقالة و اذا بلغ مقالنا الى هذا المقام فلنحت الكلام حامد الله و مصليا على رسوله المصطفى وآله المصطفين الطاهرين و قد جمعنا هذه المقالة حسب ما امرنا به الشيخ الاجل الافضل فى ليلة واحدة بجبال قاين سنة ستة و عشرين بعد الألف من الهجرة</w:t>
      </w:r>
    </w:p>
    <w:p>
      <w:pPr>
        <w:pStyle w:val="BookText"/>
      </w:pPr>
      <w:r>
        <w:rPr>
          <w:rFonts w:ascii="IRNazanin" w:hAnsi="IRNazanin" w:eastAsia="IRNazanin" w:cs="IRNazanin"/>
          <w:lang w:bidi="fa-IR"/>
          <w:color w:val="111111"/>
          <w:sz w:val="28"/>
          <w:szCs w:val="28"/>
          <w:rtl/>
        </w:rPr>
        <w:t xml:space="preserve">خط: نستعليق، كاتب - مؤلف، تا: ۱۰۲۶ق، جا: قاین؛ قطع: ربعی [ فیلم ها-ف: ۱ - ۷۴۴]</w:t>
      </w:r>
    </w:p>
    <w:p>
      <w:pPr>
        <w:pStyle w:val="Heading3"/>
      </w:pPr>
      <w:bookmarkStart w:id="1386" w:name="_Toc908"/>
      <w:r>
        <w:t>اسرار العبادات / فلسفه احکام / عربی</w:t>
      </w:r>
      <w:bookmarkEnd w:id="1386"/>
    </w:p>
    <w:p>
      <w:pPr>
        <w:pStyle w:val="BookText"/>
      </w:pPr>
      <w:r>
        <w:rPr>
          <w:rFonts w:ascii="Times New Roman" w:hAnsi="Times New Roman" w:eastAsia="Times New Roman" w:cs="Times New Roman"/>
          <w:lang w:val="en-US" w:bidi="en-US"/>
          <w:color w:val="111111"/>
          <w:sz w:val="28"/>
          <w:szCs w:val="28"/>
          <w:rtl/>
        </w:rPr>
        <w:t xml:space="preserve">asrar-ul 'ibādāt</w:t>
      </w:r>
    </w:p>
    <w:p>
      <w:pPr>
        <w:pStyle w:val="BookText"/>
      </w:pPr>
      <w:r>
        <w:rPr>
          <w:rFonts w:ascii="IRNazanin" w:hAnsi="IRNazanin" w:eastAsia="IRNazanin" w:cs="IRNazanin"/>
          <w:lang w:bidi="fa-IR"/>
          <w:color w:val="111111"/>
          <w:sz w:val="28"/>
          <w:szCs w:val="28"/>
          <w:rtl/>
        </w:rPr>
        <w:t xml:space="preserve">قاضی سعید  قمی، محمد سعید بن محمد مفید، 1049- 1103؟ قمری</w:t>
      </w:r>
    </w:p>
    <w:p>
      <w:pPr>
        <w:pStyle w:val="BookText"/>
      </w:pPr>
      <w:r>
        <w:rPr>
          <w:rFonts w:ascii="Times New Roman" w:hAnsi="Times New Roman" w:eastAsia="Times New Roman" w:cs="Times New Roman"/>
          <w:lang w:val="en-US" w:bidi="en-US"/>
          <w:color w:val="111111"/>
          <w:sz w:val="28"/>
          <w:szCs w:val="28"/>
          <w:rtl/>
        </w:rPr>
        <w:t xml:space="preserve">(qāzī sa'īd-e qomi, mohammad sa'īd ebn-e mohammad mofid (1640 - 1692)</w:t>
      </w:r>
    </w:p>
    <w:p>
      <w:pPr>
        <w:pStyle w:val="BookText"/>
      </w:pPr>
      <w:r>
        <w:rPr>
          <w:rFonts w:ascii="IRNazanin" w:hAnsi="IRNazanin" w:eastAsia="IRNazanin" w:cs="IRNazanin"/>
          <w:lang w:bidi="fa-IR"/>
          <w:color w:val="111111"/>
          <w:sz w:val="28"/>
          <w:szCs w:val="28"/>
          <w:rtl/>
        </w:rPr>
        <w:t xml:space="preserve">کتابی در فلسفه احکام و اسرار آن شامل: «اسرار الصلاة»،  «اسرار الزكاة»، «اسرار الصيام»، «اسرار الحج» و «اسرار الامر بالمعروف والنهي عن المنكر» و  ...</w:t>
      </w:r>
    </w:p>
    <w:p>
      <w:pPr>
        <w:pStyle w:val="BookText"/>
      </w:pPr>
      <w:r>
        <w:rPr>
          <w:rFonts w:ascii="IRNazanin" w:hAnsi="IRNazanin" w:eastAsia="IRNazanin" w:cs="IRNazanin"/>
          <w:lang w:bidi="fa-IR"/>
          <w:color w:val="111111"/>
          <w:sz w:val="28"/>
          <w:szCs w:val="28"/>
          <w:rtl/>
        </w:rPr>
        <w:t xml:space="preserve">مشهد؛ رضوی؛ شماره نسخه: ۱۴۶۷۰/۲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255" w:name="pg20365_260361"/>
    <w:bookmarkEnd w:id="255"/>
    <w:p>
      <w:pPr>
        <w:pStyle w:val="BookText"/>
      </w:pPr>
      <w:r>
        <w:rPr>
          <w:rFonts w:ascii="IRNazanin" w:hAnsi="IRNazanin" w:eastAsia="IRNazanin" w:cs="IRNazanin"/>
          <w:lang w:bidi="fa-IR"/>
          <w:color w:val="111111"/>
          <w:sz w:val="28"/>
          <w:szCs w:val="28"/>
          <w:rtl/>
        </w:rPr>
        <w:t xml:space="preserve">آغاز: ولیکن ذلك و مقدمه فى الاصول ثم بعدها تتلى عليـک كتب في فصول؛ انجام: ثم ان فى الحديث النبوى الوارد فی جواب ثعلبة الاسدى من امهات ذمائم.</w:t>
      </w:r>
    </w:p>
    <w:p>
      <w:pPr>
        <w:pStyle w:val="BookText"/>
      </w:pPr>
      <w:r>
        <w:rPr>
          <w:rFonts w:ascii="IRNazanin" w:hAnsi="IRNazanin" w:eastAsia="IRNazanin" w:cs="IRNazanin"/>
          <w:lang w:bidi="fa-IR"/>
          <w:color w:val="111111"/>
          <w:sz w:val="28"/>
          <w:szCs w:val="28"/>
          <w:rtl/>
        </w:rPr>
        <w:t xml:space="preserve">خط: نسخ، بی کا، تا: قرن ۱۱؛ افتادگی: آغاز و انجام؛ واقف: سید محمد باقر سبزواری، محرم ۱۴۰۵ ،کاغذ ،نخودی ،جلد: مقـوا ،۲۱۰گ، ۱۸ سطر، اندازه: ۱۱/۶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۱۸/۲سم [ف: ۱۴ - ۲۹۰]</w:t>
      </w:r>
    </w:p>
    <w:p>
      <w:pPr>
        <w:pStyle w:val="BookText"/>
      </w:pPr>
      <w:r>
        <w:rPr>
          <w:rFonts w:ascii="Amiri" w:hAnsi="Amiri" w:eastAsia="Amiri" w:cs="Amiri"/>
          <w:lang w:bidi="ar-SA"/>
          <w:color w:val="111111"/>
          <w:sz w:val="28"/>
          <w:szCs w:val="28"/>
          <w:rtl/>
        </w:rPr>
        <w:t xml:space="preserve">« اسرار العبادات » اسرار الحكم في المفتتح والمختتم</w:t>
      </w:r>
    </w:p>
    <w:p>
      <w:pPr>
        <w:pStyle w:val="Heading3"/>
      </w:pPr>
      <w:bookmarkStart w:id="1387" w:name="_Toc909"/>
      <w:r>
        <w:t>اسرار العبادات / عرفان و تصوف / عربی</w:t>
      </w:r>
      <w:bookmarkEnd w:id="1387"/>
    </w:p>
    <w:p>
      <w:pPr>
        <w:pStyle w:val="BookText"/>
      </w:pPr>
      <w:r>
        <w:rPr>
          <w:rFonts w:ascii="Times New Roman" w:hAnsi="Times New Roman" w:eastAsia="Times New Roman" w:cs="Times New Roman"/>
          <w:lang w:val="en-US" w:bidi="en-US"/>
          <w:color w:val="111111"/>
          <w:sz w:val="28"/>
          <w:szCs w:val="28"/>
          <w:rtl/>
        </w:rPr>
        <w:t xml:space="preserve">asrār-ul ‘ibādāt</w:t>
      </w:r>
    </w:p>
    <w:p>
      <w:pPr>
        <w:pStyle w:val="BookText"/>
      </w:pPr>
      <w:r>
        <w:rPr>
          <w:rFonts w:ascii="IRNazanin" w:hAnsi="IRNazanin" w:eastAsia="IRNazanin" w:cs="IRNazanin"/>
          <w:lang w:bidi="fa-IR"/>
          <w:color w:val="111111"/>
          <w:sz w:val="28"/>
          <w:szCs w:val="28"/>
          <w:rtl/>
        </w:rPr>
        <w:t xml:space="preserve">حاجی رجبعلی</w:t>
      </w:r>
    </w:p>
    <w:p>
      <w:pPr>
        <w:pStyle w:val="BookText"/>
      </w:pPr>
      <w:r>
        <w:rPr>
          <w:rFonts w:ascii="Times New Roman" w:hAnsi="Times New Roman" w:eastAsia="Times New Roman" w:cs="Times New Roman"/>
          <w:lang w:val="en-US" w:bidi="en-US"/>
          <w:color w:val="111111"/>
          <w:sz w:val="28"/>
          <w:szCs w:val="28"/>
          <w:rtl/>
        </w:rPr>
        <w:t xml:space="preserve">hājī rajab-‘alī</w:t>
      </w:r>
    </w:p>
    <w:p>
      <w:pPr>
        <w:pStyle w:val="BookText"/>
      </w:pPr>
      <w:r>
        <w:rPr>
          <w:rFonts w:ascii="IRNazanin" w:hAnsi="IRNazanin" w:eastAsia="IRNazanin" w:cs="IRNazanin"/>
          <w:lang w:bidi="fa-IR"/>
          <w:color w:val="111111"/>
          <w:sz w:val="28"/>
          <w:szCs w:val="28"/>
          <w:rtl/>
        </w:rPr>
        <w:t xml:space="preserve">مشهد؛ رضوی؛ شماره نسخه: ۲۹۴۳۴</w:t>
      </w:r>
    </w:p>
    <w:p>
      <w:pPr>
        <w:pStyle w:val="BookText"/>
      </w:pPr>
      <w:r>
        <w:rPr>
          <w:rFonts w:ascii="IRNazanin" w:hAnsi="IRNazanin" w:eastAsia="IRNazanin" w:cs="IRNazanin"/>
          <w:lang w:bidi="fa-IR"/>
          <w:color w:val="111111"/>
          <w:sz w:val="28"/>
          <w:szCs w:val="28"/>
          <w:rtl/>
        </w:rPr>
        <w:t xml:space="preserve">آغاز ،بسمله. حمدله و بعد فالمعروض على اخوانى المومنين و اخلاء المتقين ان الصلوة لما كانت عمود الدین؛ انجام: لوحظ فی الشك زيادة الملک و ... بهذا ظاهر انشاء الله</w:t>
      </w:r>
    </w:p>
    <w:p>
      <w:pPr>
        <w:pStyle w:val="BookText"/>
      </w:pPr>
      <w:r>
        <w:rPr>
          <w:rFonts w:ascii="IRNazanin" w:hAnsi="IRNazanin" w:eastAsia="IRNazanin" w:cs="IRNazanin"/>
          <w:lang w:bidi="fa-IR"/>
          <w:color w:val="111111"/>
          <w:sz w:val="28"/>
          <w:szCs w:val="28"/>
          <w:rtl/>
        </w:rPr>
        <w:t xml:space="preserve">خط: شکسته نستعلیق و نسخ، بی کا، تا: قرن ۱۳؛ ضمیمه نسخه ۲۹۴۲۶ [رایانه ]</w:t>
      </w:r>
    </w:p>
    <w:p>
      <w:pPr>
        <w:pStyle w:val="Heading3"/>
      </w:pPr>
      <w:bookmarkStart w:id="1388" w:name="_Toc910"/>
      <w:r>
        <w:t>اسرار العبادات / فلسفه احکام / فارسی</w:t>
      </w:r>
      <w:bookmarkEnd w:id="1388"/>
    </w:p>
    <w:p>
      <w:pPr>
        <w:pStyle w:val="BookText"/>
      </w:pPr>
      <w:r>
        <w:rPr>
          <w:rFonts w:ascii="Times New Roman" w:hAnsi="Times New Roman" w:eastAsia="Times New Roman" w:cs="Times New Roman"/>
          <w:lang w:val="en-US" w:bidi="en-US"/>
          <w:color w:val="111111"/>
          <w:sz w:val="28"/>
          <w:szCs w:val="28"/>
          <w:rtl/>
        </w:rPr>
        <w:t xml:space="preserve">asrār-ul ‘ibādāt</w:t>
      </w:r>
    </w:p>
    <w:p>
      <w:pPr>
        <w:pStyle w:val="BookText"/>
      </w:pPr>
      <w:r>
        <w:rPr>
          <w:rFonts w:ascii="IRNazanin" w:hAnsi="IRNazanin" w:eastAsia="IRNazanin" w:cs="IRNazanin"/>
          <w:lang w:bidi="fa-IR"/>
          <w:color w:val="111111"/>
          <w:sz w:val="28"/>
          <w:szCs w:val="28"/>
          <w:rtl/>
        </w:rPr>
        <w:t xml:space="preserve">خوانساری، حسن بن محمد تقی</w:t>
      </w:r>
    </w:p>
    <w:p>
      <w:pPr>
        <w:pStyle w:val="BookText"/>
      </w:pPr>
      <w:r>
        <w:rPr>
          <w:rFonts w:ascii="Times New Roman" w:hAnsi="Times New Roman" w:eastAsia="Times New Roman" w:cs="Times New Roman"/>
          <w:lang w:val="en-US" w:bidi="en-US"/>
          <w:color w:val="111111"/>
          <w:sz w:val="28"/>
          <w:szCs w:val="28"/>
          <w:rtl/>
        </w:rPr>
        <w:t xml:space="preserve">xānsārī, hasan ebn-e mohammad taqī</w:t>
      </w:r>
    </w:p>
    <w:p>
      <w:pPr>
        <w:pStyle w:val="BookText"/>
      </w:pPr>
      <w:r>
        <w:rPr>
          <w:rFonts w:ascii="IRNazanin" w:hAnsi="IRNazanin" w:eastAsia="IRNazanin" w:cs="IRNazanin"/>
          <w:lang w:bidi="fa-IR"/>
          <w:color w:val="111111"/>
          <w:sz w:val="28"/>
          <w:szCs w:val="28"/>
          <w:rtl/>
        </w:rPr>
        <w:t xml:space="preserve">اهداء  به: محمد شاه غازی</w:t>
      </w:r>
    </w:p>
    <w:p>
      <w:pPr>
        <w:pStyle w:val="BookText"/>
      </w:pPr>
      <w:r>
        <w:rPr>
          <w:rFonts w:ascii="IRNazanin" w:hAnsi="IRNazanin" w:eastAsia="IRNazanin" w:cs="IRNazanin"/>
          <w:lang w:bidi="fa-IR"/>
          <w:color w:val="111111"/>
          <w:sz w:val="28"/>
          <w:szCs w:val="28"/>
          <w:rtl/>
        </w:rPr>
        <w:t xml:space="preserve">رساله ای است در اسرار بعضی از عبادات شامل شش «باب» وهر باب در چند :«فصل» ۱. سر نماز ؛ ۲. سر شرایط نماز ؛۳. اجزای نماز؛ ۴. سر باقی عبادات؛ ۵. توحید؛ ۶. سؤالات متفرقه.</w:t>
      </w:r>
    </w:p>
    <w:p>
      <w:pPr>
        <w:pStyle w:val="BookText"/>
      </w:pPr>
      <w:r>
        <w:rPr>
          <w:rFonts w:ascii="IRNazanin" w:hAnsi="IRNazanin" w:eastAsia="IRNazanin" w:cs="IRNazanin"/>
          <w:lang w:bidi="fa-IR"/>
          <w:color w:val="111111"/>
          <w:sz w:val="28"/>
          <w:szCs w:val="28"/>
          <w:rtl/>
        </w:rPr>
        <w:t xml:space="preserve">مؤلف :گوید: مدت ۲۵ سال در غربت گشتم از جمله ده سال در اصفهان مشغول علوم رسمیه بودم و اکثر علوم متعارفه را خواندم و به جز اصطلاح چیزی ندیدم تا این که در کربلای معلی خدمـت یکی از فضلا رسیدم و بسیاری از مشکلات حل شد لذا در آنجا رحل اقامت افکندم و چهار سال در خدمتش مشرف بودم و حـال چهار سال می شود که از خدمتش دورم». گویا شخصی که وی در کربلا به حضورش رسیده شیخ احمد احسایی بوده است.</w:t>
      </w:r>
    </w:p>
    <w:p>
      <w:pPr>
        <w:pStyle w:val="BookText"/>
      </w:pPr>
      <w:r>
        <w:rPr>
          <w:rFonts w:ascii="IRNazanin" w:hAnsi="IRNazanin" w:eastAsia="IRNazanin" w:cs="IRNazanin"/>
          <w:lang w:bidi="fa-IR"/>
          <w:color w:val="111111"/>
          <w:sz w:val="28"/>
          <w:szCs w:val="28"/>
          <w:rtl/>
        </w:rPr>
        <w:t xml:space="preserve">آغاز: بسمله ... اما بعد بر ارباب بینش و دانش پوشیده نماناد به لسان اهل شرع... ما سوى الله عالم کبیر می نامند</w:t>
      </w:r>
    </w:p>
    <w:p>
      <w:pPr>
        <w:pStyle w:val="BookText"/>
      </w:pPr>
      <w:r>
        <w:rPr>
          <w:rFonts w:ascii="IRNazanin" w:hAnsi="IRNazanin" w:eastAsia="IRNazanin" w:cs="IRNazanin"/>
          <w:lang w:bidi="fa-IR"/>
          <w:color w:val="111111"/>
          <w:sz w:val="28"/>
          <w:szCs w:val="28"/>
          <w:rtl/>
        </w:rPr>
        <w:t xml:space="preserve">۱. تهران؛ ملک شماره نسخه: ۲۲۶۸</w:t>
      </w:r>
    </w:p>
    <w:p>
      <w:pPr>
        <w:pStyle w:val="BookText"/>
      </w:pPr>
      <w:r>
        <w:rPr>
          <w:rFonts w:ascii="Amiri" w:hAnsi="Amiri" w:eastAsia="Amiri" w:cs="Amiri"/>
          <w:lang w:bidi="ar-SA"/>
          <w:color w:val="111111"/>
          <w:sz w:val="28"/>
          <w:szCs w:val="28"/>
          <w:rtl/>
        </w:rPr>
        <w:t xml:space="preserve">آغاز: برابر؛ انجام: طلب حق و معارف الهيه و الحمد لله  رب العالمين.</w:t>
      </w:r>
    </w:p>
    <w:p>
      <w:pPr>
        <w:pStyle w:val="BookText"/>
      </w:pPr>
      <w:r>
        <w:rPr>
          <w:rFonts w:ascii="IRNazanin" w:hAnsi="IRNazanin" w:eastAsia="IRNazanin" w:cs="IRNazanin"/>
          <w:lang w:bidi="fa-IR"/>
          <w:color w:val="111111"/>
          <w:sz w:val="28"/>
          <w:szCs w:val="28"/>
          <w:rtl/>
        </w:rPr>
        <w:t xml:space="preserve">خط: نسخ، بی کا، تا: قرن ۱۳ ؛کاغذ: کاغذ فستقی ،جلد: میـشن  قهوه ای، ۱۴۲گ، ۱۸  سطر، اندازه: ۱۲/۶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۲ - ۲۴]</w:t>
      </w:r>
    </w:p>
    <w:p>
      <w:pPr>
        <w:pStyle w:val="BookText"/>
      </w:pPr>
      <w:r>
        <w:rPr>
          <w:rFonts w:ascii="IRNazanin" w:hAnsi="IRNazanin" w:eastAsia="IRNazanin" w:cs="IRNazanin"/>
          <w:lang w:bidi="fa-IR"/>
          <w:color w:val="111111"/>
          <w:sz w:val="28"/>
          <w:szCs w:val="28"/>
          <w:rtl/>
        </w:rPr>
        <w:t xml:space="preserve">۲. قم؛ گلپایگانی؛ شماره نسخه: ۸۸۳-۵/۱۷۳</w:t>
      </w:r>
    </w:p>
    <w:p>
      <w:pPr>
        <w:pStyle w:val="BookText"/>
      </w:pPr>
      <w:r>
        <w:rPr>
          <w:rFonts w:ascii="IRNazanin" w:hAnsi="IRNazanin" w:eastAsia="IRNazanin" w:cs="IRNazanin"/>
          <w:lang w:bidi="fa-IR"/>
          <w:color w:val="111111"/>
          <w:sz w:val="28"/>
          <w:szCs w:val="28"/>
          <w:rtl/>
        </w:rPr>
        <w:t xml:space="preserve">آغاز: حضرت رسالت مآبی را که خداوند عالم در باب آن رسول میفرماید .تبارك الذى نزل الفرقان على عبده ليكون للعالمين نذيراً ... راقم این كلمات حسن بن محمد تقی بن رحيم ... مدت ۲۵ سال در غربت گشتم؛ انجام: به تبدل اشخاص واوقات بلی چیزی دیگر در اینجا باقی ماند و ممکن است بعداً نوشته شود تمت  الكتاب.</w:t>
      </w:r>
    </w:p>
    <w:p>
      <w:pPr>
        <w:pStyle w:val="BookText"/>
      </w:pPr>
      <w:r>
        <w:rPr>
          <w:rFonts w:ascii="IRNazanin" w:hAnsi="IRNazanin" w:eastAsia="IRNazanin" w:cs="IRNazanin"/>
          <w:lang w:bidi="fa-IR"/>
          <w:color w:val="111111"/>
          <w:sz w:val="28"/>
          <w:szCs w:val="28"/>
          <w:rtl/>
        </w:rPr>
        <w:t xml:space="preserve">خط: نسخ، بی کا، بی تا؛ افتادگی: آغاز ؛ محشی، با نشان «منه عفی عنه» مصحح؛ جلد: تیماج قهوه ای  ضربی، ۲۳۴گ، ۱۴ 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۱۷/۵سم [ف: ۱ - ۳۴۸]</w:t>
      </w:r>
    </w:p>
    <w:p>
      <w:pPr>
        <w:pStyle w:val="BookText"/>
      </w:pPr>
      <w:r>
        <w:rPr>
          <w:rFonts w:ascii="IRNazanin" w:hAnsi="IRNazanin" w:eastAsia="IRNazanin" w:cs="IRNazanin"/>
          <w:lang w:bidi="fa-IR"/>
          <w:color w:val="111111"/>
          <w:sz w:val="28"/>
          <w:szCs w:val="28"/>
          <w:rtl/>
        </w:rPr>
        <w:t xml:space="preserve">۲. مشهد؛ الهیات شماره نسخه: ۲۰/۴</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بی کا، بی تا :جلد: تیماج ،مشکی، ۱۹ سطر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 - ۴۰۶]</w:t>
      </w:r>
    </w:p>
    <w:p>
      <w:pPr>
        <w:pStyle w:val="Heading3"/>
      </w:pPr>
      <w:bookmarkStart w:id="1389" w:name="_Toc911"/>
      <w:r>
        <w:t>اسرار عبادات / عرفان و تصوف / فارسی</w:t>
      </w:r>
      <w:bookmarkEnd w:id="1389"/>
    </w:p>
    <w:p>
      <w:pPr>
        <w:pStyle w:val="BookText"/>
      </w:pPr>
      <w:r>
        <w:rPr>
          <w:rFonts w:ascii="Times New Roman" w:hAnsi="Times New Roman" w:eastAsia="Times New Roman" w:cs="Times New Roman"/>
          <w:lang w:val="en-US" w:bidi="en-US"/>
          <w:color w:val="111111"/>
          <w:sz w:val="28"/>
          <w:szCs w:val="28"/>
          <w:rtl/>
        </w:rPr>
        <w:t xml:space="preserve">asrar-e 'ebādāt</w:t>
      </w:r>
    </w:p>
    <w:p>
      <w:pPr>
        <w:pStyle w:val="BookText"/>
      </w:pPr>
      <w:r>
        <w:rPr>
          <w:rFonts w:ascii="IRNazanin" w:hAnsi="IRNazanin" w:eastAsia="IRNazanin" w:cs="IRNazanin"/>
          <w:lang w:bidi="fa-IR"/>
          <w:color w:val="111111"/>
          <w:sz w:val="28"/>
          <w:szCs w:val="28"/>
          <w:rtl/>
        </w:rPr>
        <w:t xml:space="preserve">رساله ای متوسط در بیان اسرار و حقایق عبادات به روش اخلاقی و عرفانی که در سه قسمت  نماز، روزه و جهاد نگاشته شده و از آیات و احادیث سروده شده  است. مؤلف عبادات را به سه قسم  بدنی، مالی اقتصادی و مشترک تقسیم و از میان آنها به بیان اسرار نماز (به طور مستقل) و روزه و جهاد پرداخته است.</w:t>
      </w:r>
    </w:p>
    <w:p>
      <w:pPr>
        <w:pStyle w:val="BookText"/>
      </w:pPr>
      <w:r>
        <w:rPr>
          <w:rFonts w:ascii="IRNazanin" w:hAnsi="IRNazanin" w:eastAsia="IRNazanin" w:cs="IRNazanin"/>
          <w:lang w:bidi="fa-IR"/>
          <w:color w:val="111111"/>
          <w:sz w:val="28"/>
          <w:szCs w:val="28"/>
          <w:rtl/>
        </w:rPr>
        <w:t xml:space="preserve">قم؛ مسجد اعظم؛ شماره نسخه: ۲۶۲۲/۲</w:t>
      </w:r>
    </w:p>
    <w:p>
      <w:pPr>
        <w:pStyle w:val="BookText"/>
      </w:pPr>
      <w:r>
        <w:rPr>
          <w:rFonts w:ascii="IRNazanin" w:hAnsi="IRNazanin" w:eastAsia="IRNazanin" w:cs="IRNazanin"/>
          <w:lang w:bidi="fa-IR"/>
          <w:color w:val="111111"/>
          <w:sz w:val="28"/>
          <w:szCs w:val="28"/>
          <w:rtl/>
        </w:rPr>
        <w:t xml:space="preserve">آغاز: بسمله در بیان اسرار عبادات که غرض اصلی شارع از این تکلیف  است، بدانکه عبادت برسه قسم است یا محض بدن یا محض مالی یا مشترک اول نماز ،وروزه، دویم: مثل خمس وزكوة، سيم :مثل حج و جهاد ؛انجام: بلی جماعتی که بحد بلوغ حقیقی که کمال عقل باشد رسیده باشند ظاهراً این مراتب را بفهمند كماقال امير المؤمنين (علیه السّلام) لوكشف الغطاء ما ازددت يقيناً بلغنا الله واياكم الى هذا المقام ... واياكم من اهل البصيرة وذوى الافهام.</w:t>
      </w:r>
    </w:p>
    <w:p>
      <w:pPr>
        <w:pStyle w:val="BookText"/>
      </w:pPr>
      <w:r>
        <w:rPr>
          <w:rFonts w:ascii="IRNazanin" w:hAnsi="IRNazanin" w:eastAsia="IRNazanin" w:cs="IRNazanin"/>
          <w:lang w:bidi="fa-IR"/>
          <w:color w:val="111111"/>
          <w:sz w:val="28"/>
          <w:szCs w:val="28"/>
          <w:rtl/>
        </w:rPr>
        <w:t xml:space="preserve">خط: نستعليق، كاتب - مؤلف، تا: قرن ۱۳، ۳۶گ، ۱۰ سطر،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مخ: ۱ - ۱۴۶]</w:t>
      </w:r>
    </w:p>
    <w:p>
      <w:pPr>
        <w:pStyle w:val="Heading3"/>
      </w:pPr>
      <w:bookmarkStart w:id="1390" w:name="_Toc912"/>
      <w:r>
        <w:t>اسرار العبادة = اجوبة مسائل العشرين / كلام و  اعتقادات / عربی</w:t>
      </w:r>
      <w:bookmarkEnd w:id="1390"/>
    </w:p>
    <w:p>
      <w:pPr>
        <w:pStyle w:val="BookText"/>
      </w:pPr>
      <w:r>
        <w:rPr>
          <w:rFonts w:ascii="Times New Roman" w:hAnsi="Times New Roman" w:eastAsia="Times New Roman" w:cs="Times New Roman"/>
          <w:lang w:val="en-US" w:bidi="en-US"/>
          <w:color w:val="111111"/>
          <w:sz w:val="28"/>
          <w:szCs w:val="28"/>
          <w:rtl/>
        </w:rPr>
        <w:t xml:space="preserve">asrār-ul ‘ibāda = ajwibat-u masā’il-il ‘išrīn</w:t>
      </w:r>
    </w:p>
    <w:p>
      <w:pPr>
        <w:pStyle w:val="BookText"/>
      </w:pPr>
      <w:r>
        <w:rPr>
          <w:rFonts w:ascii="IRNazanin" w:hAnsi="IRNazanin" w:eastAsia="IRNazanin" w:cs="IRNazanin"/>
          <w:lang w:bidi="fa-IR"/>
          <w:color w:val="111111"/>
          <w:sz w:val="28"/>
          <w:szCs w:val="28"/>
          <w:rtl/>
        </w:rPr>
        <w:t xml:space="preserve">رشتی کاظم بن قاسم، ۱۲۱۲ - ۱۲۵۹ قمری</w:t>
      </w:r>
    </w:p>
    <w:p>
      <w:pPr>
        <w:pStyle w:val="BookText"/>
      </w:pPr>
      <w:r>
        <w:rPr>
          <w:rFonts w:ascii="Times New Roman" w:hAnsi="Times New Roman" w:eastAsia="Times New Roman" w:cs="Times New Roman"/>
          <w:lang w:val="en-US" w:bidi="en-US"/>
          <w:color w:val="111111"/>
          <w:sz w:val="28"/>
          <w:szCs w:val="28"/>
          <w:rtl/>
        </w:rPr>
        <w:t xml:space="preserve">(raštī, kāzem ebn-e qāsem (1798 - 1843)</w:t>
      </w:r>
    </w:p>
    <w:p>
      <w:pPr>
        <w:pStyle w:val="BookText"/>
      </w:pPr>
      <w:r>
        <w:rPr>
          <w:rFonts w:ascii="IRNazanin" w:hAnsi="IRNazanin" w:eastAsia="IRNazanin" w:cs="IRNazanin"/>
          <w:lang w:bidi="fa-IR"/>
          <w:color w:val="111111"/>
          <w:sz w:val="28"/>
          <w:szCs w:val="28"/>
          <w:rtl/>
        </w:rPr>
        <w:t xml:space="preserve">پاسخ بیست سؤال اعتقادی و بعضاً فقهی است که یکی از اهل علم (ظاهراً از سپاهان) پرسیده است. سؤالها به صورت متن و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ها به عنوان شرح می باشد که هنگام بازگشتش از سـفر خراسان به کربلا بدانها پاسخ گفته است؛ سؤالات عبارت اسـت :از ۱ اثبات نبوت خاصه و ولایت خاصه با دلیل عقلی؛ ۲ بـیان اسرار الصلاة وزكاة و حج و خمس ،که این رساله به علت طولانی شدن پاسخ به همین نام آمده است؛ ۳. حکمت غیب امام زمان؛ ۴. حکمت انسداد باب العلم با آیه ای که بر حکیم فياض لطف واجب است؛ ۵. وجه جمع بين دو آيه:« و أن ليـس للانسان الا ما سعى» ... و «لاراد لقضائه ولا معقب لحكمه»؛ 6.معنى حديث: «تعلق القلب بالموجود شرک و بالمفقود كفر»؛  7.سؤال از دنیای ملعونه و دنیای مذمومه؛ ۸. سؤال از تفسیر آیه:«كمثل الشيطان إذ قال للانسان أكفر ...»؛ ۹. اگر نماز طواف دلیل جهل به حکم باطل و زائر بعداً بفهمد؛ ۱۰. سؤال از کس که در اول تکلیف راه اجتهاد و تقلید را نداند .۱۱. تقلید میـ .۱۲ سؤال از کسی که امکان اقامه دلیل بر عقائد ندارد ولی معـاند و منکر نیست؛ ۱۳. سؤال از امامت مفضول بر فاضل ؛ ۱۴. سؤال از افضلیت قرائت قرآن یا ادعیه و اذکار؛ ۱۵. سؤال از سعی بین صفا و مروه با پوشیدن مسح عربی؛ ۱۶. تلاش برای تحصیل توسعه بر عیال آیا مذموم است یا خیر؛ ۱۷. طريق صحیح استخاره؛ ۱۸. آیا عمل به حکم استخاره واجب است یا خیر؛ 19. سؤال از آموختن ذکر خاصی برای تأثیر آنی؛ ۲۰. کیفیت سلوک الی الله.</w:t>
      </w:r>
    </w:p>
    <w:p>
      <w:pPr>
        <w:pStyle w:val="BookText"/>
      </w:pPr>
      <w:r>
        <w:rPr>
          <w:rFonts w:ascii="Amiri" w:hAnsi="Amiri" w:eastAsia="Amiri" w:cs="Amiri"/>
          <w:lang w:bidi="ar-SA"/>
          <w:color w:val="111111"/>
          <w:sz w:val="28"/>
          <w:szCs w:val="28"/>
          <w:rtl/>
        </w:rPr>
        <w:t xml:space="preserve">آغاز: الحمد لله رب العالمين ... ان بعض الديانين ميزوا الماء من السراب و فرقوا بين القشور واللباب وطلبوا لذلك الحق والصواب</w:t>
      </w:r>
    </w:p>
    <w:p>
      <w:pPr>
        <w:pStyle w:val="BookText"/>
      </w:pPr>
      <w:r>
        <w:rPr>
          <w:rFonts w:ascii="Amiri" w:hAnsi="Amiri" w:eastAsia="Amiri" w:cs="Amiri"/>
          <w:lang w:bidi="ar-SA"/>
          <w:color w:val="111111"/>
          <w:sz w:val="28"/>
          <w:szCs w:val="28"/>
          <w:rtl/>
        </w:rPr>
        <w:t xml:space="preserve">انجام: و اما افضل الاذكار انه الصلاة على محمد و آل محمد و من تتبع الاخبار و جاس خلال تلك الديار وجد ما ذكرنا صحوا بلاغبار</w:t>
      </w:r>
    </w:p>
    <w:p>
      <w:pPr>
        <w:pStyle w:val="BookText"/>
      </w:pPr>
      <w:r>
        <w:rPr>
          <w:rFonts w:ascii="IRNazanin" w:hAnsi="IRNazanin" w:eastAsia="IRNazanin" w:cs="IRNazanin"/>
          <w:lang w:bidi="fa-IR"/>
          <w:color w:val="111111"/>
          <w:sz w:val="28"/>
          <w:szCs w:val="28"/>
          <w:rtl/>
        </w:rPr>
        <w:t xml:space="preserve">[ الذریعه ۳۶۰۸؛ فهرست مشایخ ۱۱۱/۲]</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تهران؛ دائرة المعارف؛ شماره نسخه:۲۰۰۱/۳-عکسی</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تحریری، بی کا، تا: ۱۲۴۲ق؛ ۲۰۸ ص( 307-100) [  ف: 1- 109]</w:t>
      </w:r>
    </w:p>
    <w:p>
      <w:pPr>
        <w:pStyle w:val="BookText"/>
      </w:pPr>
      <w:r>
        <w:rPr>
          <w:rFonts w:ascii="IRNazanin" w:hAnsi="IRNazanin" w:eastAsia="IRNazanin" w:cs="IRNazanin"/>
          <w:lang w:bidi="fa-IR"/>
          <w:color w:val="111111"/>
          <w:sz w:val="28"/>
          <w:szCs w:val="28"/>
          <w:rtl/>
        </w:rPr>
        <w:t xml:space="preserve">۵. تهران؛ دائرة المعارف؛ شماره نسخه: ۱۶۵۹/۱۱-عکسی</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خوش، کاتب - گویا مؤلف، تا: ۱۲۴۳ق؛ ۱۱۶ص (۶۰۸-۴۹۳) [ف: ۱ - ۱۰۹]</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قم؛ گلپایگانی؛ شماره نسخه: ۲۰۹۸/۱-۱۱/۱۹۸</w:t>
      </w:r>
    </w:p>
    <w:p>
      <w:pPr>
        <w:pStyle w:val="BookText"/>
      </w:pPr>
      <w:r>
        <w:rPr>
          <w:rFonts w:ascii="IRNazanin" w:hAnsi="IRNazanin" w:eastAsia="IRNazanin" w:cs="IRNazanin"/>
          <w:lang w:bidi="fa-IR"/>
          <w:color w:val="111111"/>
          <w:sz w:val="28"/>
          <w:szCs w:val="28"/>
          <w:rtl/>
        </w:rPr>
        <w:t xml:space="preserve">آغاز: برابر؛انجام: وفيما ذكرت كفاية لمن نظر و استبصر والله الهادى الى سواء السبيل و الحمد لله رب العالمين وصلى الله عـلی محمد و آله اجمعین الطيبين</w:t>
      </w:r>
    </w:p>
    <w:p>
      <w:pPr>
        <w:pStyle w:val="BookText"/>
      </w:pPr>
      <w:r>
        <w:rPr>
          <w:rFonts w:ascii="IRNazanin" w:hAnsi="IRNazanin" w:eastAsia="IRNazanin" w:cs="IRNazanin"/>
          <w:lang w:bidi="fa-IR"/>
          <w:color w:val="111111"/>
          <w:sz w:val="28"/>
          <w:szCs w:val="28"/>
          <w:rtl/>
        </w:rPr>
        <w:t xml:space="preserve">خط:  نسخ، كا: علی نقی بن محمد على هروی، تا: یک شنبه  17 ذیقعده ۱۲۵۱ق، جلد: ساغری قهوه ای ۱۰۰گ، ۱۴ سطر،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۴ -- ۲۳۲۶]</w:t>
      </w:r>
    </w:p>
    <w:p>
      <w:pPr>
        <w:pStyle w:val="BookText"/>
      </w:pPr>
      <w:r>
        <w:rPr>
          <w:rFonts w:ascii="IRNazanin" w:hAnsi="IRNazanin" w:eastAsia="IRNazanin" w:cs="IRNazanin"/>
          <w:lang w:bidi="fa-IR"/>
          <w:color w:val="111111"/>
          <w:sz w:val="28"/>
          <w:szCs w:val="28"/>
          <w:rtl/>
        </w:rPr>
        <w:t xml:space="preserve">۷. قم؛ مسجد اعظم؛ شماره نسخه: ۴۷۹/۴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دوشنبه جمادی الثانی ۱۲۵۳ق؛ جلد: تیماج قهوه ای مجدول گرهی، ۱۰۹گ، ۱۹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مخ: ۱ - ۴۹]</w:t>
      </w:r>
    </w:p>
    <w:p>
      <w:pPr>
        <w:pStyle w:val="BookText"/>
      </w:pPr>
      <w:r>
        <w:rPr>
          <w:rFonts w:ascii="IRNazanin" w:hAnsi="IRNazanin" w:eastAsia="IRNazanin" w:cs="IRNazanin"/>
          <w:lang w:bidi="fa-IR"/>
          <w:color w:val="111111"/>
          <w:sz w:val="28"/>
          <w:szCs w:val="28"/>
          <w:rtl/>
        </w:rPr>
        <w:t xml:space="preserve">۸. تهران؛ دائرة المعارف؛ شماره نسخه: ۱۵۳۷/۳-عکسی</w:t>
      </w:r>
    </w:p>
    <w:p>
      <w:pPr>
        <w:pStyle w:val="BookText"/>
      </w:pPr>
      <w:r>
        <w:rPr>
          <w:rFonts w:ascii="Amiri" w:hAnsi="Amiri" w:eastAsia="Amiri" w:cs="Amiri"/>
          <w:lang w:bidi="ar-SA"/>
          <w:color w:val="111111"/>
          <w:sz w:val="28"/>
          <w:szCs w:val="28"/>
          <w:rtl/>
        </w:rPr>
        <w:t xml:space="preserve">آغاز: برابر ؛انجام: فى جميع ماقلنا و هذا آخر ما اردنا ايراده في جواب هذه المسائل الغامضة و اعذرك يا مولنا من عدم البسط و تحقيق الحقايق من جهة الكمال.</w:t>
      </w:r>
    </w:p>
    <w:p>
      <w:pPr>
        <w:pStyle w:val="BookText"/>
      </w:pPr>
      <w:r>
        <w:rPr>
          <w:rFonts w:ascii="IRNazanin" w:hAnsi="IRNazanin" w:eastAsia="IRNazanin" w:cs="IRNazanin"/>
          <w:lang w:bidi="fa-IR"/>
          <w:color w:val="111111"/>
          <w:sz w:val="28"/>
          <w:szCs w:val="28"/>
          <w:rtl/>
        </w:rPr>
        <w:t xml:space="preserve">خط: نسخ  خوش، کا: محمد مؤمن بن محمد حسین، تا: ۱۲۵۴ق؛ ( ص ۹۸ - ۱۳۳) و (ص۱۳۴-۲۷۶) و (ص ۲۷۶-۳۴۹) [ ف : ۱ - ۱۰۹]</w:t>
      </w:r>
    </w:p>
    <w:p>
      <w:pPr>
        <w:pStyle w:val="BookText"/>
      </w:pPr>
      <w:r>
        <w:rPr>
          <w:rFonts w:ascii="IRNazanin" w:hAnsi="IRNazanin" w:eastAsia="IRNazanin" w:cs="IRNazanin"/>
          <w:lang w:bidi="fa-IR"/>
          <w:color w:val="111111"/>
          <w:sz w:val="28"/>
          <w:szCs w:val="28"/>
          <w:rtl/>
        </w:rPr>
        <w:t xml:space="preserve">۹. قم؛ مرکز مطالعات؛ شماره نسخه: ۶۱۸</w:t>
      </w:r>
    </w:p>
    <w:p>
      <w:pPr>
        <w:pStyle w:val="BookText"/>
      </w:pPr>
      <w:r>
        <w:rPr>
          <w:rFonts w:ascii="IRNazanin" w:hAnsi="IRNazanin" w:eastAsia="IRNazanin" w:cs="IRNazanin"/>
          <w:lang w:bidi="fa-IR"/>
          <w:color w:val="111111"/>
          <w:sz w:val="28"/>
          <w:szCs w:val="28"/>
          <w:rtl/>
        </w:rPr>
        <w:t xml:space="preserve">خط: نسخ زیبا ،کا:حسین بن ملا محمد باقر المراغى، تا: جمعه ۹ رمضان ۱۲۵۴ق؛ مجدول مذهب ،جلد: تیماج قهوه ای ضربی مجدول، ۸۸گ، ۲۲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۱ - ۵۲۶]</w:t>
      </w:r>
    </w:p>
    <w:p>
      <w:pPr>
        <w:pStyle w:val="BookText"/>
      </w:pPr>
      <w:r>
        <w:rPr>
          <w:rFonts w:ascii="IRNazanin" w:hAnsi="IRNazanin" w:eastAsia="IRNazanin" w:cs="IRNazanin"/>
          <w:lang w:bidi="fa-IR"/>
          <w:color w:val="111111"/>
          <w:sz w:val="28"/>
          <w:szCs w:val="28"/>
          <w:rtl/>
        </w:rPr>
        <w:t xml:space="preserve">۱۰ . قم؛ مرکز احیاء؛ شماره نسخه: ۳۴۸۸/۱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علی بن رحيم، تا: دوشنبه ۵ شوال ۱۲۵۴ق، جا: کربلا ؛مصحح؛ ۱۰۱گ (۱پ-۱۰۱پ)، ۱۹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[محدث ارموی مخ: ۱ – ۶۱]</w:t>
      </w:r>
    </w:p>
    <w:p>
      <w:pPr>
        <w:pStyle w:val="BookText"/>
      </w:pPr>
      <w:r>
        <w:rPr>
          <w:rFonts w:ascii="IRNazanin" w:hAnsi="IRNazanin" w:eastAsia="IRNazanin" w:cs="IRNazanin"/>
          <w:lang w:bidi="fa-IR"/>
          <w:color w:val="111111"/>
          <w:sz w:val="28"/>
          <w:szCs w:val="28"/>
          <w:rtl/>
        </w:rPr>
        <w:t xml:space="preserve">۱۱. قم؛ مرکز احیاء؛ شماره نسخه: ۳۴۸۸/۲</w:t>
      </w:r>
    </w:p>
    <w:p>
      <w:pPr>
        <w:pStyle w:val="BookText"/>
      </w:pPr>
      <w:r>
        <w:rPr>
          <w:rFonts w:ascii="Amiri" w:hAnsi="Amiri" w:eastAsia="Amiri" w:cs="Amiri"/>
          <w:lang w:bidi="ar-SA"/>
          <w:color w:val="111111"/>
          <w:sz w:val="28"/>
          <w:szCs w:val="28"/>
          <w:rtl/>
        </w:rPr>
        <w:t xml:space="preserve">آغاز: برابر؛ انجام: و لا جرى عليه خطاب نسأل الله التوفيق و التسديد و العصمة فى كل باب و الحمد لله رب العالمين.</w:t>
      </w:r>
    </w:p>
    <w:p>
      <w:pPr>
        <w:pStyle w:val="BookText"/>
      </w:pPr>
      <w:r>
        <w:rPr>
          <w:rFonts w:ascii="IRNazanin" w:hAnsi="IRNazanin" w:eastAsia="IRNazanin" w:cs="IRNazanin"/>
          <w:lang w:bidi="fa-IR"/>
          <w:color w:val="111111"/>
          <w:sz w:val="28"/>
          <w:szCs w:val="28"/>
          <w:rtl/>
        </w:rPr>
        <w:t xml:space="preserve">خط: نسخ، بی کا، تا: پنج شنبه شوال ۱۲۵۴ق؛ مصحح؛ ۱۹گ (۱۰۲ر --۱۲۰پ)، ۱۹ سطر، اندازه:۱۵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[محدث ارموی مخ: ۱ - ۴۱]</w:t>
      </w:r>
    </w:p>
    <w:p>
      <w:pPr>
        <w:pStyle w:val="BookText"/>
      </w:pPr>
      <w:r>
        <w:rPr>
          <w:rFonts w:ascii="IRNazanin" w:hAnsi="IRNazanin" w:eastAsia="IRNazanin" w:cs="IRNazanin"/>
          <w:lang w:bidi="fa-IR"/>
          <w:color w:val="111111"/>
          <w:sz w:val="28"/>
          <w:szCs w:val="28"/>
          <w:rtl/>
        </w:rPr>
        <w:t xml:space="preserve">۱۲ . قم؛ فیضیه؛ شماره نسخه: ۹۴۹/۲</w:t>
      </w:r>
    </w:p>
    <w:p>
      <w:pPr>
        <w:pStyle w:val="BookText"/>
      </w:pPr>
      <w:r>
        <w:rPr>
          <w:rFonts w:ascii="IRNazanin" w:hAnsi="IRNazanin" w:eastAsia="IRNazanin" w:cs="IRNazanin"/>
          <w:lang w:bidi="fa-IR"/>
          <w:color w:val="111111"/>
          <w:sz w:val="28"/>
          <w:szCs w:val="28"/>
          <w:rtl/>
        </w:rPr>
        <w:t xml:space="preserve">خط: تحریری، بی کا، تا: ۱۲۵۵ق؛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۳ - ۴۲]</w:t>
      </w:r>
    </w:p>
    <w:p>
      <w:pPr>
        <w:pStyle w:val="BookText"/>
      </w:pPr>
      <w:r>
        <w:rPr>
          <w:rFonts w:ascii="IRNazanin" w:hAnsi="IRNazanin" w:eastAsia="IRNazanin" w:cs="IRNazanin"/>
          <w:lang w:bidi="fa-IR"/>
          <w:color w:val="111111"/>
          <w:sz w:val="28"/>
          <w:szCs w:val="28"/>
          <w:rtl/>
        </w:rPr>
        <w:t xml:space="preserve">۱۳. قم؛ مرعشی؛ شماره نسخه: ۲۰۸۷/۸</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علی بن رحیم و یوسف بن علی اردبیلی، تا: ۱۲۵۶ق، جا: کاظمین؛ جلد: تیماج مشکی، ۱۲۳گ (۱۵۴پ- ۲۷۶پ)،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۶ - ۱۰۲]</w:t>
      </w:r>
    </w:p>
    <w:p>
      <w:pPr>
        <w:pStyle w:val="BookText"/>
      </w:pPr>
      <w:r>
        <w:rPr>
          <w:rFonts w:ascii="IRNazanin" w:hAnsi="IRNazanin" w:eastAsia="IRNazanin" w:cs="IRNazanin"/>
          <w:lang w:bidi="fa-IR"/>
          <w:color w:val="111111"/>
          <w:sz w:val="28"/>
          <w:szCs w:val="28"/>
          <w:rtl/>
        </w:rPr>
        <w:t xml:space="preserve">14.تهران؛ دائرة المعارف؛ شماره نسخه: ۲۱۱۰/۷-عکسی</w:t>
      </w:r>
    </w:p>
    <w:p>
      <w:pPr>
        <w:pStyle w:val="BookText"/>
      </w:pPr>
      <w:r>
        <w:rPr>
          <w:rFonts w:ascii="Amiri" w:hAnsi="Amiri" w:eastAsia="Amiri" w:cs="Amiri"/>
          <w:lang w:bidi="ar-SA"/>
          <w:color w:val="111111"/>
          <w:sz w:val="28"/>
          <w:szCs w:val="28"/>
          <w:rtl/>
        </w:rPr>
        <w:t xml:space="preserve">آغاز: برابر؛ انجام: فى جميع ماقلنا و هذا آخر ما اردنا ايراده في جواب هذه المسائل الغامضة و اعذرك يا مولنا من عدم البسط و تحقيق الحقايق من جهة الكمال.</w:t>
      </w:r>
    </w:p>
    <w:p>
      <w:pPr>
        <w:pStyle w:val="BookText"/>
      </w:pPr>
      <w:r>
        <w:rPr>
          <w:rFonts w:ascii="IRNazanin" w:hAnsi="IRNazanin" w:eastAsia="IRNazanin" w:cs="IRNazanin"/>
          <w:lang w:bidi="fa-IR"/>
          <w:color w:val="111111"/>
          <w:sz w:val="28"/>
          <w:szCs w:val="28"/>
          <w:rtl/>
        </w:rPr>
        <w:t xml:space="preserve">گویا ناتمام مانده؛ خط: نسخ و نستعلیق تحریری، بی کا، تا: ۱۲۵۷ق [ف: ۱ - ۱۰۹]</w:t>
      </w:r>
    </w:p>
    <w:p>
      <w:pPr>
        <w:pStyle w:val="BookText"/>
      </w:pPr>
      <w:r>
        <w:rPr>
          <w:rFonts w:ascii="IRNazanin" w:hAnsi="IRNazanin" w:eastAsia="IRNazanin" w:cs="IRNazanin"/>
          <w:lang w:bidi="fa-IR"/>
          <w:color w:val="111111"/>
          <w:sz w:val="28"/>
          <w:szCs w:val="28"/>
          <w:rtl/>
        </w:rPr>
        <w:t xml:space="preserve">۱۵. تهران؛ دانشگاه؛ شماره نسخه: ۲۸۸۱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۱۲۵۸ق؛ کاغذ: فرنگی، جلد: تیماج عنابی ضربی  مقوایی، ۹۷گ، ۲۱ سطر (9/5</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 ۱۰۸ - ۱۷۲۷]</w:t>
      </w:r>
    </w:p>
    <w:p>
      <w:pPr>
        <w:pStyle w:val="BookText"/>
      </w:pPr>
      <w:r>
        <w:rPr>
          <w:rFonts w:ascii="IRNazanin" w:hAnsi="IRNazanin" w:eastAsia="IRNazanin" w:cs="IRNazanin"/>
          <w:lang w:bidi="fa-IR"/>
          <w:color w:val="111111"/>
          <w:sz w:val="28"/>
          <w:szCs w:val="28"/>
          <w:rtl/>
        </w:rPr>
        <w:t xml:space="preserve">۱۶. شیراز؛ علامه طباطبائی؛ شماره نسخه: ۶۰۴/۲</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كا: عبدالكريم بن حاج عدارم، تا: ۱۲۶۳ق؛ ۲۲گ(۳۱ پ -۵۲)،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[نسخه پژوهی: ۳ - ۱۰۹]</w:t>
      </w:r>
    </w:p>
    <w:p>
      <w:pPr>
        <w:pStyle w:val="BookText"/>
      </w:pPr>
      <w:r>
        <w:rPr>
          <w:rFonts w:ascii="IRNazanin" w:hAnsi="IRNazanin" w:eastAsia="IRNazanin" w:cs="IRNazanin"/>
          <w:lang w:bidi="fa-IR"/>
          <w:color w:val="111111"/>
          <w:sz w:val="28"/>
          <w:szCs w:val="28"/>
          <w:rtl/>
        </w:rPr>
        <w:t xml:space="preserve">۱۷. همدان؛ مدرسه غرب؛ شماره نسخه: ۴۵۸۲/۳</w:t>
      </w:r>
    </w:p>
    <w:p>
      <w:pPr>
        <w:pStyle w:val="BookText"/>
      </w:pPr>
      <w:r>
        <w:rPr>
          <w:rFonts w:ascii="IRNazanin" w:hAnsi="IRNazanin" w:eastAsia="IRNazanin" w:cs="IRNazanin"/>
          <w:lang w:bidi="fa-IR"/>
          <w:color w:val="111111"/>
          <w:sz w:val="28"/>
          <w:szCs w:val="28"/>
          <w:rtl/>
        </w:rPr>
        <w:t xml:space="preserve">خط: نسخ، بی کا، تا: ۱۲۶۶ق، قطع: رحلی [رشت و همدان -  ف: - 1501]</w:t>
      </w:r>
    </w:p>
    <w:p>
      <w:pPr>
        <w:pStyle w:val="BookText"/>
      </w:pPr>
      <w:r>
        <w:rPr>
          <w:rFonts w:ascii="IRNazanin" w:hAnsi="IRNazanin" w:eastAsia="IRNazanin" w:cs="IRNazanin"/>
          <w:lang w:bidi="fa-IR"/>
          <w:color w:val="111111"/>
          <w:sz w:val="28"/>
          <w:szCs w:val="28"/>
          <w:rtl/>
        </w:rPr>
        <w:t xml:space="preserve">۱۸ . قم؛ مسجد اعظم؛ شماره نسخه: ۷۷۳/۱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محمد تقی ابن محمد کاظم  همدانی، تا: پنج شـنبه 17 ربیع الاول ۱۲۶۶ق؛ جلد: تیماج قهوه ای  مجدول، ۸۴گ  ، مختلف السطر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مخ: ۱ - ۵۳]</w:t>
      </w:r>
    </w:p>
    <w:p>
      <w:pPr>
        <w:pStyle w:val="BookText"/>
      </w:pPr>
      <w:r>
        <w:rPr>
          <w:rFonts w:ascii="IRNazanin" w:hAnsi="IRNazanin" w:eastAsia="IRNazanin" w:cs="IRNazanin"/>
          <w:lang w:bidi="fa-IR"/>
          <w:color w:val="111111"/>
          <w:sz w:val="28"/>
          <w:szCs w:val="28"/>
          <w:rtl/>
        </w:rPr>
        <w:t xml:space="preserve">۱۹. بیرجند؛ دیانی؛ شماره نسخه: ۱۰۱/۳</w:t>
      </w:r>
    </w:p>
    <w:p>
      <w:pPr>
        <w:pStyle w:val="BookText"/>
      </w:pPr>
      <w:r>
        <w:rPr>
          <w:rFonts w:ascii="IRNazanin" w:hAnsi="IRNazanin" w:eastAsia="IRNazanin" w:cs="IRNazanin"/>
          <w:lang w:bidi="fa-IR"/>
          <w:color w:val="111111"/>
          <w:sz w:val="28"/>
          <w:szCs w:val="28"/>
          <w:rtl/>
        </w:rPr>
        <w:t xml:space="preserve">خط: نسخ،کا: محمد بن علی اصغر قائنی سرچاهی، تا: جمادی الثانی ۱۲۶۹ق؛ جا: سرچاه؛ جلد: تیماج مشکی ضربی، ۳۶گ (۸۴ر-۴۹پ)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[دیانی - ف - ۷۹]</w:t>
      </w:r>
    </w:p>
    <w:p>
      <w:pPr>
        <w:pStyle w:val="BookText"/>
      </w:pPr>
      <w:r>
        <w:rPr>
          <w:rFonts w:ascii="IRNazanin" w:hAnsi="IRNazanin" w:eastAsia="IRNazanin" w:cs="IRNazanin"/>
          <w:lang w:bidi="fa-IR"/>
          <w:color w:val="111111"/>
          <w:sz w:val="28"/>
          <w:szCs w:val="28"/>
          <w:rtl/>
        </w:rPr>
        <w:t xml:space="preserve">۲۰. مشهد؛ گوهرشاد؛ شماره نسخه: ۴۹۶/۱</w:t>
      </w:r>
    </w:p>
    <w:p>
      <w:pPr>
        <w:pStyle w:val="BookText"/>
      </w:pPr>
      <w:r>
        <w:rPr>
          <w:rFonts w:ascii="IRNazanin" w:hAnsi="IRNazanin" w:eastAsia="IRNazanin" w:cs="IRNazanin"/>
          <w:lang w:bidi="fa-IR"/>
          <w:color w:val="111111"/>
          <w:sz w:val="28"/>
          <w:szCs w:val="28"/>
          <w:rtl/>
        </w:rPr>
        <w:t xml:space="preserve">آغاز: بسمبر ابر</w:t>
      </w:r>
    </w:p>
    <w:p>
      <w:pPr>
        <w:pStyle w:val="BookText"/>
      </w:pPr>
      <w:r>
        <w:rPr>
          <w:rFonts w:ascii="IRNazanin" w:hAnsi="IRNazanin" w:eastAsia="IRNazanin" w:cs="IRNazanin"/>
          <w:lang w:bidi="fa-IR"/>
          <w:color w:val="111111"/>
          <w:sz w:val="28"/>
          <w:szCs w:val="28"/>
          <w:rtl/>
        </w:rPr>
        <w:t xml:space="preserve">خط ،نسخ، بی کا: تا: جمادی الثانی ۱۲۷۵ق؛ مهر: کتابخانه مجدالدین؛ جلد: تیماج  مشکی، ۲۳ سطر (8</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۲ - ۶۰۱]</w:t>
      </w:r>
    </w:p>
    <w:p>
      <w:pPr>
        <w:pStyle w:val="BookText"/>
      </w:pPr>
      <w:r>
        <w:rPr>
          <w:rFonts w:ascii="IRNazanin" w:hAnsi="IRNazanin" w:eastAsia="IRNazanin" w:cs="IRNazanin"/>
          <w:lang w:bidi="fa-IR"/>
          <w:color w:val="111111"/>
          <w:sz w:val="28"/>
          <w:szCs w:val="28"/>
          <w:rtl/>
        </w:rPr>
        <w:t xml:space="preserve">۲۱. مشهد؛ شیخ علی حیدر؛ شماره نسخه: ۴۶۵/۲</w:t>
      </w:r>
    </w:p>
    <w:p>
      <w:pPr>
        <w:pStyle w:val="BookText"/>
      </w:pPr>
      <w:r>
        <w:rPr>
          <w:rFonts w:ascii="IRNazanin" w:hAnsi="IRNazanin" w:eastAsia="IRNazanin" w:cs="IRNazanin"/>
          <w:lang w:bidi="fa-IR"/>
          <w:color w:val="111111"/>
          <w:sz w:val="28"/>
          <w:szCs w:val="28"/>
          <w:rtl/>
        </w:rPr>
        <w:t xml:space="preserve">خط: نسخ، بی کا، بی تا؛ صورت امانت کتاب نزد عبدالمولى  در محرم ۱۲۸۳؛ جلد: چرم مشکی، ۷۲ ص( ۱۱۰پ-۱۸۱ر)،  23سطر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[مؤید: ۱ - ۳۷۵]</w:t>
      </w:r>
    </w:p>
    <w:p>
      <w:pPr>
        <w:pStyle w:val="BookText"/>
      </w:pPr>
      <w:r>
        <w:rPr>
          <w:rFonts w:ascii="IRNazanin" w:hAnsi="IRNazanin" w:eastAsia="IRNazanin" w:cs="IRNazanin"/>
          <w:lang w:bidi="fa-IR"/>
          <w:color w:val="111111"/>
          <w:sz w:val="28"/>
          <w:szCs w:val="28"/>
          <w:rtl/>
        </w:rPr>
        <w:t xml:space="preserve">۲۲. قم؛ مرعشی؛ شماره نسخه: ۱۱۰۰۳/۶</w:t>
      </w:r>
    </w:p>
    <w:p>
      <w:pPr>
        <w:pStyle w:val="BookText"/>
      </w:pPr>
      <w:r>
        <w:rPr>
          <w:rFonts w:ascii="IRNazanin" w:hAnsi="IRNazanin" w:eastAsia="IRNazanin" w:cs="IRNazanin"/>
          <w:lang w:bidi="fa-IR"/>
          <w:color w:val="111111"/>
          <w:sz w:val="28"/>
          <w:szCs w:val="28"/>
          <w:rtl/>
        </w:rPr>
        <w:t xml:space="preserve">آغاز: مخزونا تحت حجاب الواحدية؛ فى قعر بحر القدرة و هو الشمس المضيئة؛ انجام: لا يمكننى اظهار ما فى البال الا ما ذكـرته کفایت لاولى الدراية و الحمد لله</w:t>
      </w:r>
    </w:p>
    <w:p>
      <w:pPr>
        <w:pStyle w:val="BookText"/>
      </w:pPr>
      <w:r>
        <w:rPr>
          <w:rFonts w:ascii="IRNazanin" w:hAnsi="IRNazanin" w:eastAsia="IRNazanin" w:cs="IRNazanin"/>
          <w:lang w:bidi="fa-IR"/>
          <w:color w:val="111111"/>
          <w:sz w:val="28"/>
          <w:szCs w:val="28"/>
          <w:rtl/>
        </w:rPr>
        <w:t xml:space="preserve">تا موضوع زکات؛ خط: نسخ، بی کا، تا: قرن ۱۳؛ افتادگی: آغاز و انجام؛ مصحح؛ در برگ آخر (برگ ۱۸۰) یادداشتی از نوه «میـرزا حسن حسینی زنوزی» آمده که حدیث نبوى «لو كان القرآن فی اهاب ما مس النار» را از کتاب جدش به نام بحر العلوم نقل كرده و آن را در چند سطر توضیح داده است، سپس مطالبی در عصمت انبیا به زبان عربی بیان شده است؛ کاغذ ،فرنگی، ۲۸گ (۵۳) - ۱۸۰)، ۲۹ سطر، اندازه: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۲۴سم [ف: ۲۸ - ۷]</w:t>
      </w:r>
    </w:p>
    <w:p>
      <w:pPr>
        <w:pStyle w:val="BookText"/>
      </w:pPr>
      <w:r>
        <w:rPr>
          <w:rFonts w:ascii="IRNazanin" w:hAnsi="IRNazanin" w:eastAsia="IRNazanin" w:cs="IRNazanin"/>
          <w:lang w:bidi="fa-IR"/>
          <w:color w:val="111111"/>
          <w:sz w:val="28"/>
          <w:szCs w:val="28"/>
          <w:rtl/>
        </w:rPr>
        <w:t xml:space="preserve">۲۳. قم؛ مرعشی؛ شماره نسخه: ۱۱۳۶۹/۳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شکسته نستعلیق، بی کا، تا: قرن ۱۳؛ در پایان نسخه۳ برگ پرسش و پاسخ در خصوص «ادعونی استجب لکم» به تاریخ سـال ۱۲۵۸ق آمده؛ کاغذ: فرنگی آهار مهره، ۱۲۴گ (۳۳ - ۱۵۶)،  18 سطر، اندازه: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۲۸ – ۶۱۲]</w:t>
      </w:r>
    </w:p>
    <w:p>
      <w:pPr>
        <w:pStyle w:val="BookText"/>
      </w:pPr>
      <w:r>
        <w:rPr>
          <w:rFonts w:ascii="IRNazanin" w:hAnsi="IRNazanin" w:eastAsia="IRNazanin" w:cs="IRNazanin"/>
          <w:lang w:bidi="fa-IR"/>
          <w:color w:val="111111"/>
          <w:sz w:val="28"/>
          <w:szCs w:val="28"/>
          <w:rtl/>
        </w:rPr>
        <w:t xml:space="preserve">۲۴. دامغان؛ صادقیه؛ شماره نسخه: ۱۴۰۲</w:t>
      </w:r>
    </w:p>
    <w:p>
      <w:pPr>
        <w:pStyle w:val="BookText"/>
      </w:pPr>
      <w:r>
        <w:rPr>
          <w:rFonts w:ascii="Amiri" w:hAnsi="Amiri" w:eastAsia="Amiri" w:cs="Amiri"/>
          <w:lang w:bidi="ar-SA"/>
          <w:color w:val="111111"/>
          <w:sz w:val="28"/>
          <w:szCs w:val="28"/>
          <w:rtl/>
        </w:rPr>
        <w:t xml:space="preserve">آغاز: برابر؛ انجام: وبسط مقالات وفيما ذكرت كفاية لمن نظر واعتبر واستبصروا الله الهادى الى سواء السبيل.</w:t>
      </w:r>
    </w:p>
    <w:p>
      <w:pPr>
        <w:pStyle w:val="BookText"/>
      </w:pPr>
      <w:r>
        <w:rPr>
          <w:rFonts w:ascii="IRNazanin" w:hAnsi="IRNazanin" w:eastAsia="IRNazanin" w:cs="IRNazanin"/>
          <w:lang w:bidi="fa-IR"/>
          <w:color w:val="111111"/>
          <w:sz w:val="28"/>
          <w:szCs w:val="28"/>
          <w:rtl/>
        </w:rPr>
        <w:t xml:space="preserve">خط: نسخ، بی کا، تا: قرن ۱۳ ،مصحح ،در دو برگ آخر مسائلی در ماهیت قبر وغیره با جواب؛ جلد: مقوایی ،۵۷گ،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 ۵]</w:t>
      </w:r>
    </w:p>
    <w:p>
      <w:pPr>
        <w:pStyle w:val="BookText"/>
      </w:pPr>
      <w:r>
        <w:rPr>
          <w:rFonts w:ascii="IRNazanin" w:hAnsi="IRNazanin" w:eastAsia="IRNazanin" w:cs="IRNazanin"/>
          <w:lang w:bidi="fa-IR"/>
          <w:color w:val="111111"/>
          <w:sz w:val="28"/>
          <w:szCs w:val="28"/>
          <w:rtl/>
        </w:rPr>
        <w:t xml:space="preserve">۲۵. مشهد؛ رضوی؛ شماره نسخه: ۲۹۴۳۳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شکسته نستعلیق، بی کا، تا: قرن ۱۳؛ ضمیمه نسخه ش ۲۹۴۲۶؛ قطع: وزیری کوچک [رایانه]</w:t>
      </w:r>
    </w:p>
    <w:p>
      <w:pPr>
        <w:pStyle w:val="BookText"/>
      </w:pPr>
      <w:r>
        <w:rPr>
          <w:rFonts w:ascii="IRNazanin" w:hAnsi="IRNazanin" w:eastAsia="IRNazanin" w:cs="IRNazanin"/>
          <w:lang w:bidi="fa-IR"/>
          <w:color w:val="111111"/>
          <w:sz w:val="28"/>
          <w:szCs w:val="28"/>
          <w:rtl/>
        </w:rPr>
        <w:t xml:space="preserve">۲۶. تهران؛ الهیات؛ شماره نسخه: ۲۶۳/۳</w:t>
      </w:r>
    </w:p>
    <w:p>
      <w:pPr>
        <w:pStyle w:val="BookText"/>
      </w:pPr>
      <w:r>
        <w:rPr>
          <w:rFonts w:ascii="IRNazanin" w:hAnsi="IRNazanin" w:eastAsia="IRNazanin" w:cs="IRNazanin"/>
          <w:lang w:bidi="fa-IR"/>
          <w:color w:val="111111"/>
          <w:sz w:val="28"/>
          <w:szCs w:val="28"/>
          <w:rtl/>
        </w:rPr>
        <w:t xml:space="preserve">خط: نسخ، بی کا، تا: قرن ۱۳؛ کاغذ ،فرنگی، ۸۱گ (۳۳پ- ۱۱۳ر)، ۱۹ سطر (۸/۵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۲۶۹]</w:t>
      </w:r>
    </w:p>
    <w:p>
      <w:pPr>
        <w:pStyle w:val="BookText"/>
      </w:pPr>
      <w:r>
        <w:rPr>
          <w:rFonts w:ascii="IRNazanin" w:hAnsi="IRNazanin" w:eastAsia="IRNazanin" w:cs="IRNazanin"/>
          <w:lang w:bidi="fa-IR"/>
          <w:color w:val="111111"/>
          <w:sz w:val="28"/>
          <w:szCs w:val="28"/>
          <w:rtl/>
        </w:rPr>
        <w:t xml:space="preserve">۲۷. قم؛ گلپایگانی؛ شماره نسخه: ۷۷۵۱-۵۲/۹۱</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بی کا، تا: در عصر مؤلف؛ ۸۸گ، ۲۳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۴ - ۲۳۲۶]</w:t>
      </w:r>
    </w:p>
    <w:p>
      <w:pPr>
        <w:pStyle w:val="BookText"/>
      </w:pPr>
      <w:r>
        <w:rPr>
          <w:rFonts w:ascii="IRNazanin" w:hAnsi="IRNazanin" w:eastAsia="IRNazanin" w:cs="IRNazanin"/>
          <w:lang w:bidi="fa-IR"/>
          <w:color w:val="111111"/>
          <w:sz w:val="28"/>
          <w:szCs w:val="28"/>
          <w:rtl/>
        </w:rPr>
        <w:t xml:space="preserve">۲۸ . قم؛ مرکز احیاء؛ شماره نسخه: ۱۳۶۴/۱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در عصر مؤلف؛ جلد: تيماج مشکی، بدون  مقوا، ۹۰گ (۱پ - (۹۰ر)، ۲۳ سطر،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۴  - 191]</w:t>
      </w:r>
    </w:p>
    <w:p>
      <w:pPr>
        <w:pStyle w:val="BookText"/>
      </w:pPr>
      <w:r>
        <w:rPr>
          <w:rFonts w:ascii="IRNazanin" w:hAnsi="IRNazanin" w:eastAsia="IRNazanin" w:cs="IRNazanin"/>
          <w:lang w:bidi="fa-IR"/>
          <w:color w:val="111111"/>
          <w:sz w:val="28"/>
          <w:szCs w:val="28"/>
          <w:rtl/>
        </w:rPr>
        <w:t xml:space="preserve">۲۹ . قم؛ گلپایگانی؛ شماره نسخه: ۱۶۲۰/۵-۹/۱۷۰</w:t>
      </w:r>
    </w:p>
    <w:p>
      <w:pPr>
        <w:pStyle w:val="BookText"/>
      </w:pPr>
      <w:r>
        <w:rPr>
          <w:rFonts w:ascii="Amiri" w:hAnsi="Amiri" w:eastAsia="Amiri" w:cs="Amiri"/>
          <w:lang w:bidi="ar-SA"/>
          <w:color w:val="111111"/>
          <w:sz w:val="28"/>
          <w:szCs w:val="28"/>
          <w:rtl/>
        </w:rPr>
        <w:t xml:space="preserve">آغاز: برابر؛ انجام: و اسأل الله ان يفتح عليك باب فهمه فان هذه المطالب ليست مذكورة فى كتاب و لاجرى عليه خطاب نسأل الله  التوفيق والسديد والعصمة فى كل باب الحمد لله رب العالمين</w:t>
      </w:r>
    </w:p>
    <w:p>
      <w:pPr>
        <w:pStyle w:val="BookText"/>
      </w:pPr>
      <w:r>
        <w:rPr>
          <w:rFonts w:ascii="IRNazanin" w:hAnsi="IRNazanin" w:eastAsia="IRNazanin" w:cs="IRNazanin"/>
          <w:lang w:bidi="fa-IR"/>
          <w:color w:val="111111"/>
          <w:sz w:val="28"/>
          <w:szCs w:val="28"/>
          <w:rtl/>
        </w:rPr>
        <w:t xml:space="preserve">خط: نسخ، بی کا، بی تا، جلد: تیماج مشکی، ۳۹گ، ۱۵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۱ - ۱۰۳]</w:t>
      </w:r>
    </w:p>
    <w:p>
      <w:pPr>
        <w:pStyle w:val="BookText"/>
      </w:pPr>
      <w:r>
        <w:rPr>
          <w:rFonts w:ascii="IRNazanin" w:hAnsi="IRNazanin" w:eastAsia="IRNazanin" w:cs="IRNazanin"/>
          <w:lang w:bidi="fa-IR"/>
          <w:color w:val="111111"/>
          <w:sz w:val="28"/>
          <w:szCs w:val="28"/>
          <w:rtl/>
        </w:rPr>
        <w:t xml:space="preserve">۳۰. تهران؛ مجلس؛ شماره نسخه: ۱۰۵۰۳/۲</w:t>
      </w:r>
    </w:p>
    <w:p>
      <w:pPr>
        <w:pStyle w:val="BookText"/>
      </w:pPr>
      <w:r>
        <w:rPr>
          <w:rFonts w:ascii="Amiri" w:hAnsi="Amiri" w:eastAsia="Amiri" w:cs="Amiri"/>
          <w:lang w:bidi="ar-SA"/>
          <w:color w:val="111111"/>
          <w:sz w:val="28"/>
          <w:szCs w:val="28"/>
          <w:rtl/>
        </w:rPr>
        <w:t xml:space="preserve">آغاز: برابر؛ انجام: فان الله يقضى حاجتك ان شاء الله البتة لان هم عند الله مقاماً عظيماً و جاهاً منيماً.</w:t>
      </w:r>
    </w:p>
    <w:p>
      <w:pPr>
        <w:pStyle w:val="BookText"/>
      </w:pPr>
      <w:r>
        <w:rPr>
          <w:rFonts w:ascii="IRNazanin" w:hAnsi="IRNazanin" w:eastAsia="IRNazanin" w:cs="IRNazanin"/>
          <w:lang w:bidi="fa-IR"/>
          <w:color w:val="111111"/>
          <w:sz w:val="28"/>
          <w:szCs w:val="28"/>
          <w:rtl/>
        </w:rPr>
        <w:t xml:space="preserve">خط: نسخ، بی کا، بی تا؛ ۱۱۰گ (155ر-46ر)،۱۸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۳۳/۱ - ۶۰]</w:t>
      </w:r>
    </w:p>
    <w:p>
      <w:pPr>
        <w:pStyle w:val="BookText"/>
      </w:pPr>
      <w:r>
        <w:rPr>
          <w:rFonts w:ascii="IRNazanin" w:hAnsi="IRNazanin" w:eastAsia="IRNazanin" w:cs="IRNazanin"/>
          <w:lang w:bidi="fa-IR"/>
          <w:color w:val="111111"/>
          <w:sz w:val="28"/>
          <w:szCs w:val="28"/>
          <w:rtl/>
        </w:rPr>
        <w:t xml:space="preserve">۳۱. قم؛ مرعشی؛ شماره نسخه: ۸۵۰۸/۲</w:t>
      </w:r>
    </w:p>
    <w:p>
      <w:pPr>
        <w:pStyle w:val="BookText"/>
      </w:pPr>
      <w:r>
        <w:rPr>
          <w:rFonts w:ascii="IRNazanin" w:hAnsi="IRNazanin" w:eastAsia="IRNazanin" w:cs="IRNazanin"/>
          <w:lang w:bidi="fa-IR"/>
          <w:color w:val="111111"/>
          <w:sz w:val="28"/>
          <w:szCs w:val="28"/>
          <w:rtl/>
        </w:rPr>
        <w:t xml:space="preserve">خط: نسخ و نستعلیق، بی کا، بی تا ،جلد: تیماج مشکی بدون مقوا، ۲۰گ (۱۷پ-۳۶پ) ،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 ۲۲ - ۹۴]</w:t>
      </w:r>
    </w:p>
    <w:p>
      <w:pPr>
        <w:pStyle w:val="BookText"/>
      </w:pPr>
      <w:r>
        <w:rPr>
          <w:rFonts w:ascii="IRNazanin" w:hAnsi="IRNazanin" w:eastAsia="IRNazanin" w:cs="IRNazanin"/>
          <w:lang w:bidi="fa-IR"/>
          <w:color w:val="111111"/>
          <w:sz w:val="28"/>
          <w:szCs w:val="28"/>
          <w:rtl/>
        </w:rPr>
        <w:t xml:space="preserve">۳۲. قم؛ مرعشی؛ شماره نسخه: ۸۷۸۸/۱</w:t>
      </w:r>
    </w:p>
    <w:p>
      <w:pPr>
        <w:pStyle w:val="BookText"/>
      </w:pPr>
      <w:r>
        <w:rPr>
          <w:rFonts w:ascii="IRNazanin" w:hAnsi="IRNazanin" w:eastAsia="IRNazanin" w:cs="IRNazanin"/>
          <w:lang w:bidi="fa-IR"/>
          <w:color w:val="111111"/>
          <w:sz w:val="28"/>
          <w:szCs w:val="28"/>
          <w:rtl/>
        </w:rPr>
        <w:t xml:space="preserve">خط: نسخ، بی کا، بی تا؛ جلد: تیماج  مشکی، ۸۵گ (۱پ-۸۵پ)،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 ۲۲ - ۳۲۱]</w:t>
      </w:r>
    </w:p>
    <w:p>
      <w:pPr>
        <w:pStyle w:val="BookText"/>
      </w:pPr>
      <w:r>
        <w:rPr>
          <w:rFonts w:ascii="IRNazanin" w:hAnsi="IRNazanin" w:eastAsia="IRNazanin" w:cs="IRNazanin"/>
          <w:lang w:bidi="fa-IR"/>
          <w:color w:val="111111"/>
          <w:sz w:val="28"/>
          <w:szCs w:val="28"/>
          <w:rtl/>
        </w:rPr>
        <w:t xml:space="preserve">۳۳ .قم؛ مسجد اعظم؛ شماره نسخه: ۵۰۶/۶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بی تا؛ مصحح ،جلد: تیماج قهوه ای مجدول  گرهی، ۵۶گ، ۲۵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مخ: ۱ - ۴۹]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256" w:name="pg20365_260364"/>
    <w:bookmarkEnd w:id="256"/>
    <w:p>
      <w:pPr>
        <w:pStyle w:val="BookText"/>
      </w:pPr>
      <w:r>
        <w:rPr>
          <w:rFonts w:ascii="IRNazanin" w:hAnsi="IRNazanin" w:eastAsia="IRNazanin" w:cs="IRNazanin"/>
          <w:lang w:bidi="fa-IR"/>
          <w:color w:val="111111"/>
          <w:sz w:val="28"/>
          <w:szCs w:val="28"/>
          <w:rtl/>
        </w:rPr>
        <w:t xml:space="preserve">34.مشهد؛ شیخ علی حیدر؛ شماره نسخه: ۴۵۴/۳</w:t>
      </w:r>
    </w:p>
    <w:p>
      <w:pPr>
        <w:pStyle w:val="BookText"/>
      </w:pPr>
      <w:r>
        <w:rPr>
          <w:rFonts w:ascii="Amiri" w:hAnsi="Amiri" w:eastAsia="Amiri" w:cs="Amiri"/>
          <w:lang w:bidi="ar-SA"/>
          <w:color w:val="111111"/>
          <w:sz w:val="28"/>
          <w:szCs w:val="28"/>
          <w:rtl/>
        </w:rPr>
        <w:t xml:space="preserve">آغاز: برابر؛ انجام: و قايس ما ذكره بما ذكر ناترى التفاوت  و العلم الالهى</w:t>
      </w:r>
    </w:p>
    <w:p>
      <w:pPr>
        <w:pStyle w:val="BookText"/>
      </w:pPr>
      <w:r>
        <w:rPr>
          <w:rFonts w:ascii="IRNazanin" w:hAnsi="IRNazanin" w:eastAsia="IRNazanin" w:cs="IRNazanin"/>
          <w:lang w:bidi="fa-IR"/>
          <w:color w:val="111111"/>
          <w:sz w:val="28"/>
          <w:szCs w:val="28"/>
          <w:rtl/>
        </w:rPr>
        <w:t xml:space="preserve">خط: نسخ،  کا: عبدالرحيم بن ابی الحسن علوی همدانی، بی تا،  جا: کربلا؛ افتادگی: انجام ؛جلد: چرم  زرد، ۷۹گ (۵۱ پ - ۱۲۹پ)  ، ۲۱ سطر، اندازه: ۱۴/۵</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۲۰/۵سم [مؤيد: ۱ - ۳۶۷]</w:t>
      </w:r>
    </w:p>
    <w:p>
      <w:pPr>
        <w:pStyle w:val="Heading3"/>
      </w:pPr>
      <w:bookmarkStart w:id="1391" w:name="_Toc913"/>
      <w:r>
        <w:t>اسرار العبادة (ترجمه) / کلام و اعتقادات /فارسی</w:t>
      </w:r>
      <w:bookmarkEnd w:id="1391"/>
    </w:p>
    <w:p>
      <w:pPr>
        <w:pStyle w:val="BookText"/>
      </w:pPr>
      <w:r>
        <w:rPr>
          <w:rFonts w:ascii="Times New Roman" w:hAnsi="Times New Roman" w:eastAsia="Times New Roman" w:cs="Times New Roman"/>
          <w:lang w:val="en-US" w:bidi="en-US"/>
          <w:color w:val="111111"/>
          <w:sz w:val="28"/>
          <w:szCs w:val="28"/>
          <w:rtl/>
        </w:rPr>
        <w:t xml:space="preserve">(asrār-ul ‘ibāda (t.)</w:t>
      </w:r>
    </w:p>
    <w:p>
      <w:pPr>
        <w:pStyle w:val="BookText"/>
      </w:pPr>
      <w:r>
        <w:rPr>
          <w:rFonts w:ascii="IRNazanin" w:hAnsi="IRNazanin" w:eastAsia="IRNazanin" w:cs="IRNazanin"/>
          <w:lang w:bidi="fa-IR"/>
          <w:color w:val="111111"/>
          <w:sz w:val="28"/>
          <w:szCs w:val="28"/>
          <w:rtl/>
        </w:rPr>
        <w:t xml:space="preserve">خوانساری، حسن بن محمد تقی</w:t>
      </w:r>
    </w:p>
    <w:p>
      <w:pPr>
        <w:pStyle w:val="BookText"/>
      </w:pPr>
      <w:r>
        <w:rPr>
          <w:rFonts w:ascii="IRNazanin" w:hAnsi="IRNazanin" w:eastAsia="IRNazanin" w:cs="IRNazanin"/>
          <w:lang w:bidi="fa-IR"/>
          <w:color w:val="111111"/>
          <w:sz w:val="28"/>
          <w:szCs w:val="28"/>
          <w:rtl/>
        </w:rPr>
        <w:t xml:space="preserve">وابسته به: اسرار العبادة = اجوبة مسائل العشرين؛ رشتی، کاظم  بن قاسم (۱۲۱۲-۱۲۵۹)</w:t>
      </w:r>
    </w:p>
    <w:p>
      <w:pPr>
        <w:pStyle w:val="BookText"/>
      </w:pPr>
      <w:r>
        <w:rPr>
          <w:rFonts w:ascii="IRNazanin" w:hAnsi="IRNazanin" w:eastAsia="IRNazanin" w:cs="IRNazanin"/>
          <w:lang w:bidi="fa-IR"/>
          <w:color w:val="111111"/>
          <w:sz w:val="28"/>
          <w:szCs w:val="28"/>
          <w:rtl/>
        </w:rPr>
        <w:t xml:space="preserve">۳۵. مشهد؛ الهیات؛ شماره نسخه: ۲۰/۱</w:t>
      </w:r>
    </w:p>
    <w:p>
      <w:pPr>
        <w:pStyle w:val="BookText"/>
      </w:pPr>
      <w:r>
        <w:rPr>
          <w:rFonts w:ascii="IRNazanin" w:hAnsi="IRNazanin" w:eastAsia="IRNazanin" w:cs="IRNazanin"/>
          <w:lang w:bidi="fa-IR"/>
          <w:color w:val="111111"/>
          <w:sz w:val="28"/>
          <w:szCs w:val="28"/>
          <w:rtl/>
        </w:rPr>
        <w:t xml:space="preserve">خط: نسخ، بی کا،  بی تا :جلد: تیماج ،مشکی،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  [ف: ۱- ۴۰۵]</w:t>
      </w:r>
    </w:p>
    <w:p>
      <w:pPr>
        <w:pStyle w:val="Heading3"/>
      </w:pPr>
      <w:bookmarkStart w:id="1392" w:name="_Toc914"/>
      <w:r>
        <w:t>اسرار العباده و اسرار الشهاده / فلسفه احکام / عربی</w:t>
      </w:r>
      <w:bookmarkEnd w:id="1392"/>
    </w:p>
    <w:p>
      <w:pPr>
        <w:pStyle w:val="BookText"/>
      </w:pPr>
      <w:r>
        <w:rPr>
          <w:rFonts w:ascii="Times New Roman" w:hAnsi="Times New Roman" w:eastAsia="Times New Roman" w:cs="Times New Roman"/>
          <w:lang w:val="en-US" w:bidi="en-US"/>
          <w:color w:val="111111"/>
          <w:sz w:val="28"/>
          <w:szCs w:val="28"/>
          <w:rtl/>
        </w:rPr>
        <w:t xml:space="preserve">asrār-ul-‘ibāda wa asrār-uš-šahāda</w:t>
      </w:r>
    </w:p>
    <w:p>
      <w:pPr>
        <w:pStyle w:val="BookText"/>
      </w:pPr>
      <w:r>
        <w:rPr>
          <w:rFonts w:ascii="IRNazanin" w:hAnsi="IRNazanin" w:eastAsia="IRNazanin" w:cs="IRNazanin"/>
          <w:lang w:bidi="fa-IR"/>
          <w:color w:val="111111"/>
          <w:sz w:val="28"/>
          <w:szCs w:val="28"/>
          <w:rtl/>
        </w:rPr>
        <w:t xml:space="preserve">تهران؛ ملی؛ شماره نسخه: ۱۷۱۲۶</w:t>
      </w:r>
    </w:p>
    <w:p>
      <w:pPr>
        <w:pStyle w:val="BookText"/>
      </w:pPr>
      <w:r>
        <w:rPr>
          <w:rFonts w:ascii="IRNazanin" w:hAnsi="IRNazanin" w:eastAsia="IRNazanin" w:cs="IRNazanin"/>
          <w:lang w:bidi="fa-IR"/>
          <w:color w:val="111111"/>
          <w:sz w:val="28"/>
          <w:szCs w:val="28"/>
          <w:rtl/>
        </w:rPr>
        <w:t xml:space="preserve">بی کا: تا: ۱۰۲۶ق؛ خریداری از امرالله صفری؛ اندازه: ۱۰/۳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۱۷/۴سم [رایانه]</w:t>
      </w:r>
    </w:p>
    <w:p>
      <w:pPr>
        <w:pStyle w:val="Heading3"/>
      </w:pPr>
      <w:bookmarkStart w:id="1393" w:name="_Toc915"/>
      <w:r>
        <w:t>اسرار العربية / نحو / عربي</w:t>
      </w:r>
      <w:bookmarkEnd w:id="1393"/>
    </w:p>
    <w:p>
      <w:pPr>
        <w:pStyle w:val="BookText"/>
      </w:pPr>
      <w:r>
        <w:rPr>
          <w:rFonts w:ascii="Times New Roman" w:hAnsi="Times New Roman" w:eastAsia="Times New Roman" w:cs="Times New Roman"/>
          <w:lang w:val="en-US" w:bidi="en-US"/>
          <w:color w:val="111111"/>
          <w:sz w:val="28"/>
          <w:szCs w:val="28"/>
          <w:rtl/>
        </w:rPr>
        <w:t xml:space="preserve">asrār-ul-‘arabīyya</w:t>
      </w:r>
    </w:p>
    <w:p>
      <w:pPr>
        <w:pStyle w:val="BookText"/>
      </w:pPr>
      <w:r>
        <w:rPr>
          <w:rFonts w:ascii="IRNazanin" w:hAnsi="IRNazanin" w:eastAsia="IRNazanin" w:cs="IRNazanin"/>
          <w:lang w:bidi="fa-IR"/>
          <w:color w:val="111111"/>
          <w:sz w:val="28"/>
          <w:szCs w:val="28"/>
          <w:rtl/>
        </w:rPr>
        <w:t xml:space="preserve">ابن  انباری، عبدالرحمن بن محمد، ۵۱۳ - ۵۷۷ قمری</w:t>
      </w:r>
    </w:p>
    <w:p>
      <w:pPr>
        <w:pStyle w:val="BookText"/>
      </w:pPr>
      <w:r>
        <w:rPr>
          <w:rFonts w:ascii="Times New Roman" w:hAnsi="Times New Roman" w:eastAsia="Times New Roman" w:cs="Times New Roman"/>
          <w:lang w:val="en-US" w:bidi="en-US"/>
          <w:color w:val="111111"/>
          <w:sz w:val="28"/>
          <w:szCs w:val="28"/>
          <w:rtl/>
        </w:rPr>
        <w:t xml:space="preserve">(1182-ebn-e anbārī, ‘abd-or-rahmān ebn-e mohammad (1120</w:t>
      </w:r>
    </w:p>
    <w:p>
      <w:pPr>
        <w:pStyle w:val="BookText"/>
      </w:pPr>
      <w:r>
        <w:rPr>
          <w:rFonts w:ascii="IRNazanin" w:hAnsi="IRNazanin" w:eastAsia="IRNazanin" w:cs="IRNazanin"/>
          <w:lang w:bidi="fa-IR"/>
          <w:color w:val="111111"/>
          <w:sz w:val="28"/>
          <w:szCs w:val="28"/>
          <w:rtl/>
        </w:rPr>
        <w:t xml:space="preserve">معروفترین کتاب ابن  انباری، نحوی و ادیب مشهورقرن شـشم هجری، است این کتاب به قول حاجى خليفه سهل المأخذو كثير الفايده است و در آن نظرات مکاتب مختلف نحوى نقل  و نقد شده است.</w:t>
      </w:r>
    </w:p>
    <w:p>
      <w:pPr>
        <w:pStyle w:val="BookText"/>
      </w:pPr>
      <w:r>
        <w:rPr>
          <w:rFonts w:ascii="Amiri" w:hAnsi="Amiri" w:eastAsia="Amiri" w:cs="Amiri"/>
          <w:lang w:bidi="ar-SA"/>
          <w:color w:val="111111"/>
          <w:sz w:val="28"/>
          <w:szCs w:val="28"/>
          <w:rtl/>
        </w:rPr>
        <w:t xml:space="preserve">آغاز: الحمد لله كاشف الغطاء و مانح العطاء ذى الجود والايداء و الاعادة و الابداء.</w:t>
      </w:r>
    </w:p>
    <w:p>
      <w:pPr>
        <w:pStyle w:val="BookText"/>
      </w:pPr>
      <w:r>
        <w:rPr>
          <w:rFonts w:ascii="IRNazanin" w:hAnsi="IRNazanin" w:eastAsia="IRNazanin" w:cs="IRNazanin"/>
          <w:lang w:bidi="fa-IR"/>
          <w:color w:val="111111"/>
          <w:sz w:val="28"/>
          <w:szCs w:val="28"/>
          <w:rtl/>
        </w:rPr>
        <w:t xml:space="preserve">چاپ: به کوشش کریستین فردریش سیبولد ،لیدن  1886م، دمشق، ۱۹۵۷م، مطبوعات المجمع العلمى العربى، ۲۸ ص مقدمه، ۴۲۹ ص النص + ۶۷ ص فهارس نشره محمد بهجة البيطار</w:t>
      </w:r>
    </w:p>
    <w:p>
      <w:pPr>
        <w:pStyle w:val="BookText"/>
      </w:pPr>
      <w:r>
        <w:rPr>
          <w:rFonts w:ascii="Amiri" w:hAnsi="Amiri" w:eastAsia="Amiri" w:cs="Amiri"/>
          <w:lang w:bidi="ar-SA"/>
          <w:color w:val="111111"/>
          <w:sz w:val="28"/>
          <w:szCs w:val="28"/>
          <w:rtl/>
        </w:rPr>
        <w:t xml:space="preserve">[فهرس المخطوطات المصورة ۳۷۸/۱؛ كشف الظنون ۸۳/۱]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مرعشی؛ شماره نسخه: ۱۴۵۱/۱ عکسی</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نسخه اصل: کتابخانه چستر  بیتی، ش ۳۴۵۳ ؛خط: نسخ، معرب،بی کا، تا: با تاریخ ۵۹۵ ق ،مصحح، دارای بلاغ قرائت های متعدد از جمله به تاریخ  ۵۹۵ق، یادداشت وقف ابن شحنه در ابتدای نسخه  درج  شده؛ ۸۶ ص (۵-۹۰)، ۲۱ سطر [عکسی ف ۴ - ۲۹۷]</w:t>
      </w:r>
    </w:p>
    <w:p>
      <w:pPr>
        <w:pStyle w:val="BookText"/>
      </w:pPr>
      <w:r>
        <w:rPr>
          <w:rFonts w:ascii="IRNazanin" w:hAnsi="IRNazanin" w:eastAsia="IRNazanin" w:cs="IRNazanin"/>
          <w:lang w:bidi="fa-IR"/>
          <w:color w:val="111111"/>
          <w:sz w:val="28"/>
          <w:szCs w:val="28"/>
          <w:rtl/>
        </w:rPr>
        <w:t xml:space="preserve">۲. تهران؛ مجلس؛ شماره نسخه: ۸۰۲۳</w:t>
      </w:r>
    </w:p>
    <w:p>
      <w:pPr>
        <w:pStyle w:val="BookText"/>
      </w:pPr>
      <w:r>
        <w:rPr>
          <w:rFonts w:ascii="Amiri" w:hAnsi="Amiri" w:eastAsia="Amiri" w:cs="Amiri"/>
          <w:lang w:bidi="ar-SA"/>
          <w:color w:val="111111"/>
          <w:sz w:val="28"/>
          <w:szCs w:val="28"/>
          <w:rtl/>
        </w:rPr>
        <w:t xml:space="preserve">آغاز: لبقى في النفس شيء لا يمكن التعبير عنه بازاء ما سقط لاترى انه لو سقط احد هذه الاقسام الثلثه لبقى في النفس شيء لا يمكن التعبير عنه؛ انجام: الادغام لحركة النون و سكون اللام فحذفوا النون بدلا من الادغام ومن ذلك قولهم بلعم بريدون</w:t>
      </w:r>
    </w:p>
    <w:p>
      <w:pPr>
        <w:pStyle w:val="BookText"/>
      </w:pPr>
      <w:r>
        <w:rPr>
          <w:rFonts w:ascii="IRNazanin" w:hAnsi="IRNazanin" w:eastAsia="IRNazanin" w:cs="IRNazanin"/>
          <w:lang w:bidi="fa-IR"/>
          <w:color w:val="111111"/>
          <w:sz w:val="28"/>
          <w:szCs w:val="28"/>
          <w:rtl/>
        </w:rPr>
        <w:t xml:space="preserve">خط: نسخ وثلث، بی کا، تا قرن ، افتادگی: آغاز (چند برگ مختصر) و انجام (در وسط باب شصت و چهارم «باب الادغام»؛  مصحح  ، با علامت «صح»، «خ» (شاید به معنی نسخه بدل) و یا بدون  آن، روی برگ الصاقی آغاز نسخه مهر «داخل کتابخانه مجدالدین شد نمره ۲۰۰۶» هست با خطی خوش به نسخ و نستعلیق (احتمالا خط صدر الافاضل پدر  مجدالدین)، نام کتاب و مؤلف هست و این عبارت «كتب فى عصره» جلد: مقوایی با روکش تیماج ،عنابی، ۱۰۸گ، مختلف السطر (۱۸ سطر به بالا)،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۲۷/۱ - ۵۴]</w:t>
      </w:r>
    </w:p>
    <w:p>
      <w:pPr>
        <w:pStyle w:val="BookText"/>
      </w:pPr>
      <w:r>
        <w:rPr>
          <w:rFonts w:ascii="IRNazanin" w:hAnsi="IRNazanin" w:eastAsia="IRNazanin" w:cs="IRNazanin"/>
          <w:lang w:bidi="fa-IR"/>
          <w:color w:val="111111"/>
          <w:sz w:val="28"/>
          <w:szCs w:val="28"/>
          <w:rtl/>
        </w:rPr>
        <w:t xml:space="preserve">3.قم؛ مرعشی؛ شماره نسخه: ۴۴۲۵</w:t>
      </w:r>
    </w:p>
    <w:p>
      <w:pPr>
        <w:pStyle w:val="BookText"/>
      </w:pPr>
      <w:r>
        <w:rPr>
          <w:rFonts w:ascii="Amiri" w:hAnsi="Amiri" w:eastAsia="Amiri" w:cs="Amiri"/>
          <w:lang w:bidi="ar-SA"/>
          <w:color w:val="111111"/>
          <w:sz w:val="28"/>
          <w:szCs w:val="28"/>
          <w:rtl/>
        </w:rPr>
        <w:t xml:space="preserve">آغاز: برابر؛ انجام: قيل لان التفسير انما يكون بنكرة انمابنكرة  منصوبة نحو نعم رجلا زيد و النكرة أخف من المعرفة، فان قيل</w:t>
      </w:r>
    </w:p>
    <w:p>
      <w:pPr>
        <w:pStyle w:val="BookText"/>
      </w:pPr>
      <w:r>
        <w:rPr>
          <w:rFonts w:ascii="IRNazanin" w:hAnsi="IRNazanin" w:eastAsia="IRNazanin" w:cs="IRNazanin"/>
          <w:lang w:bidi="fa-IR"/>
          <w:color w:val="111111"/>
          <w:sz w:val="28"/>
          <w:szCs w:val="28"/>
          <w:rtl/>
        </w:rPr>
        <w:t xml:space="preserve">خط: نسخ، بی کا، تا: قرن ۸ (گویا)؛ افتادگی: انجام؛ تملک: مصطفى بن عبد الوهاب الصلاحي الصالحی به تاریخ ۱۲۲۲، عبدالقادر بن مصطفى الصقوری به تاریخ ۱۰۴۳، محمد امین بکمش  زاده، شیخ ابراهیم وداعی؛ جلد: تیماج مشکی عطف تیماج قهوه ای، ۳۵گ، ۱۹ سطر،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۱۲-۲۳]</w:t>
      </w:r>
    </w:p>
    <w:p>
      <w:pPr>
        <w:pStyle w:val="BookText"/>
      </w:pPr>
      <w:r>
        <w:rPr>
          <w:rFonts w:ascii="IRNazanin" w:hAnsi="IRNazanin" w:eastAsia="IRNazanin" w:cs="IRNazanin"/>
          <w:lang w:bidi="fa-IR"/>
          <w:color w:val="111111"/>
          <w:sz w:val="28"/>
          <w:szCs w:val="28"/>
          <w:rtl/>
        </w:rPr>
        <w:t xml:space="preserve">۴. شیراز؛ شاهچراغ؛ شماره نسخه: ۲۴۷۸</w:t>
      </w:r>
    </w:p>
    <w:p>
      <w:pPr>
        <w:pStyle w:val="BookText"/>
      </w:pPr>
      <w:r>
        <w:rPr>
          <w:rFonts w:ascii="IRNazanin" w:hAnsi="IRNazanin" w:eastAsia="IRNazanin" w:cs="IRNazanin"/>
          <w:lang w:bidi="fa-IR"/>
          <w:color w:val="111111"/>
          <w:sz w:val="28"/>
          <w:szCs w:val="28"/>
          <w:rtl/>
        </w:rPr>
        <w:t xml:space="preserve">خط: نسخ، بی کا، تا: قرن ۱۱، جمادی الثانی ۱۰۶۷؛ نزدیک به  زمان مؤلف مقابله شده؛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۳ - ۸]</w:t>
      </w:r>
    </w:p>
    <w:p>
      <w:pPr>
        <w:pStyle w:val="BookText"/>
      </w:pPr>
      <w:r>
        <w:rPr>
          <w:rFonts w:ascii="IRNazanin" w:hAnsi="IRNazanin" w:eastAsia="IRNazanin" w:cs="IRNazanin"/>
          <w:lang w:bidi="fa-IR"/>
          <w:color w:val="111111"/>
          <w:sz w:val="28"/>
          <w:szCs w:val="28"/>
          <w:rtl/>
        </w:rPr>
        <w:t xml:space="preserve">۵. تهران؛ ملک؛ شماره نسخه: ۸۵۱/۱</w:t>
      </w:r>
    </w:p>
    <w:p>
      <w:pPr>
        <w:pStyle w:val="BookText"/>
      </w:pPr>
      <w:r>
        <w:rPr>
          <w:rFonts w:ascii="IRNazanin" w:hAnsi="IRNazanin" w:eastAsia="IRNazanin" w:cs="IRNazanin"/>
          <w:lang w:bidi="fa-IR"/>
          <w:color w:val="111111"/>
          <w:sz w:val="28"/>
          <w:szCs w:val="28"/>
          <w:rtl/>
        </w:rPr>
        <w:t xml:space="preserve">خط: نسخ، كا: محمد باقر بن غیاث الدین محمد حسینی، تا: جمادى الاول ۱۰۳۳ق؛ دیباچه الاغراب و لمع الادلة از سعید افغانی؛ کاغذ ،ترمه، جلد: کاغذی، ۶۵ ص (۵۱۳-۵۷۷)، ۱۵ سطر،:اندازه: ۱۲/۸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۱۹/۱سم [ف: ۵ - ۲۰۹]</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قم؛ مرعشی؛ شماره نسخه: ۸۷۲۳</w:t>
      </w:r>
    </w:p>
    <w:p>
      <w:pPr>
        <w:pStyle w:val="BookText"/>
      </w:pPr>
      <w:r>
        <w:rPr>
          <w:rFonts w:ascii="IRNazanin" w:hAnsi="IRNazanin" w:eastAsia="IRNazanin" w:cs="IRNazanin"/>
          <w:lang w:bidi="fa-IR"/>
          <w:color w:val="111111"/>
          <w:sz w:val="28"/>
          <w:szCs w:val="28"/>
          <w:rtl/>
        </w:rPr>
        <w:t xml:space="preserve">خط: نستعليق، كا: علی قلی  اوزبک، تا: چهارشنبه ۱۹ رمضان ؛۱۰۳۷ق؛ جلد: مقوایی ۷۳گ، ۱۷ سطر،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۱۹/۵سم [ف:  22- 261]</w:t>
      </w:r>
    </w:p>
    <w:p>
      <w:pPr>
        <w:pStyle w:val="BookText"/>
      </w:pPr>
      <w:r>
        <w:rPr>
          <w:rFonts w:ascii="IRNazanin" w:hAnsi="IRNazanin" w:eastAsia="IRNazanin" w:cs="IRNazanin"/>
          <w:lang w:bidi="fa-IR"/>
          <w:color w:val="111111"/>
          <w:sz w:val="28"/>
          <w:szCs w:val="28"/>
          <w:rtl/>
        </w:rPr>
        <w:t xml:space="preserve">۷ .تهران؛ مجلس؛ شماره نسخه: ۸۲۵۱</w:t>
      </w:r>
    </w:p>
    <w:p>
      <w:pPr>
        <w:pStyle w:val="BookText"/>
      </w:pPr>
      <w:r>
        <w:rPr>
          <w:rFonts w:ascii="Amiri" w:hAnsi="Amiri" w:eastAsia="Amiri" w:cs="Amiri"/>
          <w:lang w:bidi="ar-SA"/>
          <w:color w:val="111111"/>
          <w:sz w:val="28"/>
          <w:szCs w:val="28"/>
          <w:rtl/>
        </w:rPr>
        <w:t xml:space="preserve">آغاز: برابر ؛انجام: و هو من الشاذ لا يقاس عليه  ...</w:t>
      </w:r>
    </w:p>
    <w:p>
      <w:pPr>
        <w:pStyle w:val="BookText"/>
      </w:pPr>
      <w:r>
        <w:rPr>
          <w:rFonts w:ascii="IRNazanin" w:hAnsi="IRNazanin" w:eastAsia="IRNazanin" w:cs="IRNazanin"/>
          <w:lang w:bidi="fa-IR"/>
          <w:color w:val="111111"/>
          <w:sz w:val="28"/>
          <w:szCs w:val="28"/>
          <w:rtl/>
        </w:rPr>
        <w:t xml:space="preserve">خط: نسخ، کا: ابراهيم بن محمد بن كاظم حلی، تا: ۲۸ شوال ۱۱۷۷ق؛ در آغاز نسخه این روایت از امیرالمؤمنین (علیه السّلام) نقل شده:« ان الشريف هو الشريف بنفسه ليس الشريف بعمه و بخاله ان الفقيه هو الفقيه بدينه ليس الفقيه بنطقه و مقاله ان الغنى هو الغنى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257" w:name="pg20365_260365"/>
    <w:bookmarkEnd w:id="257"/>
    <w:p>
      <w:pPr>
        <w:pStyle w:val="BookText"/>
      </w:pPr>
      <w:r>
        <w:rPr>
          <w:rFonts w:ascii="IRNazanin" w:hAnsi="IRNazanin" w:eastAsia="IRNazanin" w:cs="IRNazanin"/>
          <w:lang w:bidi="fa-IR"/>
          <w:color w:val="111111"/>
          <w:sz w:val="28"/>
          <w:szCs w:val="28"/>
          <w:rtl/>
        </w:rPr>
        <w:t xml:space="preserve">بقلبه ليس الغنى بقلبه (كذا) و بماله ان الكريم هو الكريم بخـلقه ليس الكريم بقومه و رجاله»؛ جلد: مقوایی و تیماج قهوه ای، ۱۶۴گ، ۱۵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۲۷/۲ - ۳۰]</w:t>
      </w:r>
    </w:p>
    <w:p>
      <w:pPr>
        <w:pStyle w:val="Heading3"/>
      </w:pPr>
      <w:bookmarkStart w:id="1394" w:name="_Toc916"/>
      <w:r>
        <w:t>اسرار العربية / نحو / عربي</w:t>
      </w:r>
      <w:bookmarkEnd w:id="1394"/>
    </w:p>
    <w:p>
      <w:pPr>
        <w:pStyle w:val="BookText"/>
      </w:pPr>
      <w:r>
        <w:rPr>
          <w:rFonts w:ascii="Times New Roman" w:hAnsi="Times New Roman" w:eastAsia="Times New Roman" w:cs="Times New Roman"/>
          <w:lang w:val="en-US" w:bidi="en-US"/>
          <w:color w:val="111111"/>
          <w:sz w:val="28"/>
          <w:szCs w:val="28"/>
          <w:rtl/>
        </w:rPr>
        <w:t xml:space="preserve">asrār-ul-‘arabīyya</w:t>
      </w:r>
    </w:p>
    <w:p>
      <w:pPr>
        <w:pStyle w:val="BookText"/>
      </w:pPr>
      <w:r>
        <w:rPr>
          <w:rFonts w:ascii="IRNazanin" w:hAnsi="IRNazanin" w:eastAsia="IRNazanin" w:cs="IRNazanin"/>
          <w:lang w:bidi="fa-IR"/>
          <w:color w:val="111111"/>
          <w:sz w:val="28"/>
          <w:szCs w:val="28"/>
          <w:rtl/>
        </w:rPr>
        <w:t xml:space="preserve">رساله ای بسیار مختصر در قواعد نحو و بعضی اسرار لغت عربی، در چهار «عنوان» و دارای «فصول» عنوان ۱. مجمل من اسرار اللغة العربية و خصائصها .۲. مجمل من الحذف و الاختصار؛3. مجمل من الزوائد و الصلات؛ ۴. الجمل.</w:t>
      </w:r>
    </w:p>
    <w:p>
      <w:pPr>
        <w:pStyle w:val="BookText"/>
      </w:pPr>
      <w:r>
        <w:rPr>
          <w:rFonts w:ascii="IRNazanin" w:hAnsi="IRNazanin" w:eastAsia="IRNazanin" w:cs="IRNazanin"/>
          <w:lang w:bidi="fa-IR"/>
          <w:color w:val="111111"/>
          <w:sz w:val="28"/>
          <w:szCs w:val="28"/>
          <w:rtl/>
        </w:rPr>
        <w:t xml:space="preserve">قم؛ مرکز احیاء؛ شماره نسخه: ۶۵۳/۳</w:t>
      </w:r>
    </w:p>
    <w:p>
      <w:pPr>
        <w:pStyle w:val="BookText"/>
      </w:pPr>
      <w:r>
        <w:rPr>
          <w:rFonts w:ascii="IRNazanin" w:hAnsi="IRNazanin" w:eastAsia="IRNazanin" w:cs="IRNazanin"/>
          <w:lang w:bidi="fa-IR"/>
          <w:color w:val="111111"/>
          <w:sz w:val="28"/>
          <w:szCs w:val="28"/>
          <w:rtl/>
        </w:rPr>
        <w:t xml:space="preserve">آغاز: و هذه الحاشية رتبت على اربعة عناوين ... نحن نذكرها هذه الدوائر انشاء الله تعالى لتسهيلها على المبتدى؛ انجام: بل التی فى رؤوسها امور تتناسب بعضها لبعض و ما فى الاعجاز و الاطراف امور أخر مربوط بعضها ببعض</w:t>
      </w:r>
    </w:p>
    <w:p>
      <w:pPr>
        <w:pStyle w:val="BookText"/>
      </w:pPr>
      <w:r>
        <w:rPr>
          <w:rFonts w:ascii="IRNazanin" w:hAnsi="IRNazanin" w:eastAsia="IRNazanin" w:cs="IRNazanin"/>
          <w:lang w:bidi="fa-IR"/>
          <w:color w:val="111111"/>
          <w:sz w:val="28"/>
          <w:szCs w:val="28"/>
          <w:rtl/>
        </w:rPr>
        <w:t xml:space="preserve">خط: نستعلیق، بی کا، تا: ۱۹ رجب ۱۳۲۰ق؛ جلد: مقوایی عطف تیماج ،قرمز، ۱۲گ (۱۰۷ پ - ۱۱۸ر) ، اندازه: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۲ - 217]</w:t>
      </w:r>
    </w:p>
    <w:p>
      <w:pPr>
        <w:pStyle w:val="Heading3"/>
      </w:pPr>
      <w:bookmarkStart w:id="1395" w:name="_Toc917"/>
      <w:r>
        <w:t>اسرار العقود / فقه / فارسی</w:t>
      </w:r>
      <w:bookmarkEnd w:id="1395"/>
    </w:p>
    <w:p>
      <w:pPr>
        <w:pStyle w:val="BookText"/>
      </w:pPr>
      <w:r>
        <w:rPr>
          <w:rFonts w:ascii="Times New Roman" w:hAnsi="Times New Roman" w:eastAsia="Times New Roman" w:cs="Times New Roman"/>
          <w:lang w:val="en-US" w:bidi="en-US"/>
          <w:color w:val="111111"/>
          <w:sz w:val="28"/>
          <w:szCs w:val="28"/>
          <w:rtl/>
        </w:rPr>
        <w:t xml:space="preserve">asrār-ol-‘oqūd</w:t>
      </w:r>
    </w:p>
    <w:p>
      <w:pPr>
        <w:pStyle w:val="BookText"/>
      </w:pPr>
      <w:r>
        <w:rPr>
          <w:rFonts w:ascii="IRNazanin" w:hAnsi="IRNazanin" w:eastAsia="IRNazanin" w:cs="IRNazanin"/>
          <w:lang w:bidi="fa-IR"/>
          <w:color w:val="111111"/>
          <w:sz w:val="28"/>
          <w:szCs w:val="28"/>
          <w:rtl/>
        </w:rPr>
        <w:t xml:space="preserve">تنکابنی، محمد بن سلیمان، ۱۲۳۴ - ۱۳۰۲ قمری</w:t>
      </w:r>
    </w:p>
    <w:p>
      <w:pPr>
        <w:pStyle w:val="BookText"/>
      </w:pPr>
      <w:r>
        <w:rPr>
          <w:rFonts w:ascii="Times New Roman" w:hAnsi="Times New Roman" w:eastAsia="Times New Roman" w:cs="Times New Roman"/>
          <w:lang w:val="en-US" w:bidi="en-US"/>
          <w:color w:val="111111"/>
          <w:sz w:val="28"/>
          <w:szCs w:val="28"/>
          <w:rtl/>
        </w:rPr>
        <w:t xml:space="preserve">(tonekābonī, mohammad ebn-e soleymān (1819 - 1885)</w:t>
      </w:r>
    </w:p>
    <w:p>
      <w:pPr>
        <w:pStyle w:val="BookText"/>
      </w:pPr>
      <w:r>
        <w:rPr>
          <w:rFonts w:ascii="IRNazanin" w:hAnsi="IRNazanin" w:eastAsia="IRNazanin" w:cs="IRNazanin"/>
          <w:lang w:bidi="fa-IR"/>
          <w:color w:val="111111"/>
          <w:sz w:val="28"/>
          <w:szCs w:val="28"/>
          <w:rtl/>
        </w:rPr>
        <w:t xml:space="preserve">رساله ای کوتاه و بدون استدلال در بیان آداب صیغه های نکاح و برخی از عقود، در چند «فصل».</w:t>
      </w:r>
    </w:p>
    <w:p>
      <w:pPr>
        <w:pStyle w:val="BookText"/>
      </w:pPr>
      <w:r>
        <w:rPr>
          <w:rFonts w:ascii="IRNazanin" w:hAnsi="IRNazanin" w:eastAsia="IRNazanin" w:cs="IRNazanin"/>
          <w:lang w:bidi="fa-IR"/>
          <w:color w:val="111111"/>
          <w:sz w:val="28"/>
          <w:szCs w:val="28"/>
          <w:rtl/>
        </w:rPr>
        <w:t xml:space="preserve">آغاز: الحمد لله ... بعد چنین گوید بنده خطاکار ...که این چند کلمه ایست در آداب صیغه نکاح و بعضی از عقود که بنا به خواهش بعضی از اخوان دینی مرقوم گردید</w:t>
      </w:r>
    </w:p>
    <w:p>
      <w:pPr>
        <w:pStyle w:val="BookText"/>
      </w:pPr>
      <w:r>
        <w:rPr>
          <w:rFonts w:ascii="IRNazanin" w:hAnsi="IRNazanin" w:eastAsia="IRNazanin" w:cs="IRNazanin"/>
          <w:lang w:bidi="fa-IR"/>
          <w:color w:val="111111"/>
          <w:sz w:val="28"/>
          <w:szCs w:val="28"/>
          <w:rtl/>
        </w:rPr>
        <w:t xml:space="preserve">۱. چالوس؛ امام صادق؛ شماره نسخه: ۳۳۱/۵</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کا: ابراهيم بن علی کلارستاقی، تا: ۱۲۶۹ق؛جا: مدرسه جناب مجتهد الزمانی آقا میرزا محمد؛ جلد: تیماج سـیاه، ۱۰گ،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۲۱۴]</w:t>
      </w:r>
    </w:p>
    <w:p>
      <w:pPr>
        <w:pStyle w:val="BookText"/>
      </w:pPr>
      <w:r>
        <w:rPr>
          <w:rFonts w:ascii="IRNazanin" w:hAnsi="IRNazanin" w:eastAsia="IRNazanin" w:cs="IRNazanin"/>
          <w:lang w:bidi="fa-IR"/>
          <w:color w:val="111111"/>
          <w:sz w:val="28"/>
          <w:szCs w:val="28"/>
          <w:rtl/>
        </w:rPr>
        <w:t xml:space="preserve">۲. چالوس؛ امام صادق؛ شماره نسخه: ۶۰۴/۴</w:t>
      </w:r>
    </w:p>
    <w:p>
      <w:pPr>
        <w:pStyle w:val="BookText"/>
      </w:pPr>
      <w:r>
        <w:rPr>
          <w:rFonts w:ascii="IRNazanin" w:hAnsi="IRNazanin" w:eastAsia="IRNazanin" w:cs="IRNazanin"/>
          <w:lang w:bidi="fa-IR"/>
          <w:color w:val="111111"/>
          <w:sz w:val="28"/>
          <w:szCs w:val="28"/>
          <w:rtl/>
        </w:rPr>
        <w:t xml:space="preserve">بی کا، تا: ۱۲۹۲ق، جلد: تیماج سیاه،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305]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چالوس؛ امام صادق؛ شماره نسخه: ۵۵۰/۳</w:t>
      </w:r>
    </w:p>
    <w:p>
      <w:pPr>
        <w:pStyle w:val="BookText"/>
      </w:pPr>
      <w:r>
        <w:rPr>
          <w:rFonts w:ascii="IRNazanin" w:hAnsi="IRNazanin" w:eastAsia="IRNazanin" w:cs="IRNazanin"/>
          <w:lang w:bidi="fa-IR"/>
          <w:color w:val="111111"/>
          <w:sz w:val="28"/>
          <w:szCs w:val="28"/>
          <w:rtl/>
        </w:rPr>
        <w:t xml:space="preserve">بی کا، تا: ۱۲۹۳ق، جلد: تیماج،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۲۸۷]</w:t>
      </w:r>
    </w:p>
    <w:p>
      <w:pPr>
        <w:pStyle w:val="BookText"/>
      </w:pPr>
      <w:r>
        <w:rPr>
          <w:rFonts w:ascii="IRNazanin" w:hAnsi="IRNazanin" w:eastAsia="IRNazanin" w:cs="IRNazanin"/>
          <w:lang w:bidi="fa-IR"/>
          <w:color w:val="111111"/>
          <w:sz w:val="28"/>
          <w:szCs w:val="28"/>
          <w:rtl/>
        </w:rPr>
        <w:t xml:space="preserve">4.تهران؛ مجلس؛ شماره نسخه: ۱۱۳۰۶/۴</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کا: مهدی بن داوود تنکابنی، تا: ۱۲۹۴ق؛ جـلد: تیماج سیاه، ۴ ص( ۲۵-۲۸) [ف: ۳۳/۲۸-۷۳]</w:t>
      </w:r>
    </w:p>
    <w:p>
      <w:pPr>
        <w:pStyle w:val="BookText"/>
      </w:pPr>
      <w:r>
        <w:rPr>
          <w:rFonts w:ascii="IRNazanin" w:hAnsi="IRNazanin" w:eastAsia="IRNazanin" w:cs="IRNazanin"/>
          <w:lang w:bidi="fa-IR"/>
          <w:color w:val="111111"/>
          <w:sz w:val="28"/>
          <w:szCs w:val="28"/>
          <w:rtl/>
        </w:rPr>
        <w:t xml:space="preserve">۵. چالوس؛ امام صادق؛ شماره نسخه: ۴۶۱/۶</w:t>
      </w:r>
    </w:p>
    <w:p>
      <w:pPr>
        <w:pStyle w:val="BookText"/>
      </w:pPr>
      <w:r>
        <w:rPr>
          <w:rFonts w:ascii="IRNazanin" w:hAnsi="IRNazanin" w:eastAsia="IRNazanin" w:cs="IRNazanin"/>
          <w:lang w:bidi="fa-IR"/>
          <w:color w:val="111111"/>
          <w:sz w:val="28"/>
          <w:szCs w:val="28"/>
          <w:rtl/>
        </w:rPr>
        <w:t xml:space="preserve">كا: قاسم بن علی گل تیر کر، تا: ۱۲۹۵ق؛ جلد: تیماج، ۸گ[ف: ۲۵۴]</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چالوس؛ امام صادق؛ شماره نسخه: ۴۱۰/۳</w:t>
      </w:r>
    </w:p>
    <w:p>
      <w:pPr>
        <w:pStyle w:val="BookText"/>
      </w:pPr>
      <w:r>
        <w:rPr>
          <w:rFonts w:ascii="IRNazanin" w:hAnsi="IRNazanin" w:eastAsia="IRNazanin" w:cs="IRNazanin"/>
          <w:lang w:bidi="fa-IR"/>
          <w:color w:val="111111"/>
          <w:sz w:val="28"/>
          <w:szCs w:val="28"/>
          <w:rtl/>
        </w:rPr>
        <w:t xml:space="preserve">کا: احمد مرادی ،تا: ۱۳۰۴ق؛ جلد: تیماج قهوه ای،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:۲۳۰]</w:t>
      </w:r>
    </w:p>
    <w:p>
      <w:pPr>
        <w:pStyle w:val="Heading3"/>
      </w:pPr>
      <w:bookmarkStart w:id="1396" w:name="_Toc918"/>
      <w:r>
        <w:t>اسرار علم التصوف / عرفان و تصوف / فارسی</w:t>
      </w:r>
      <w:bookmarkEnd w:id="1396"/>
    </w:p>
    <w:p>
      <w:pPr>
        <w:pStyle w:val="BookText"/>
      </w:pPr>
      <w:r>
        <w:rPr>
          <w:rFonts w:ascii="Times New Roman" w:hAnsi="Times New Roman" w:eastAsia="Times New Roman" w:cs="Times New Roman"/>
          <w:lang w:val="en-US" w:bidi="en-US"/>
          <w:color w:val="111111"/>
          <w:sz w:val="28"/>
          <w:szCs w:val="28"/>
          <w:rtl/>
        </w:rPr>
        <w:t xml:space="preserve">asrar-e 'elm-et-tasavvof</w:t>
      </w:r>
    </w:p>
    <w:p>
      <w:pPr>
        <w:pStyle w:val="BookText"/>
      </w:pPr>
      <w:r>
        <w:rPr>
          <w:rFonts w:ascii="IRNazanin" w:hAnsi="IRNazanin" w:eastAsia="IRNazanin" w:cs="IRNazanin"/>
          <w:lang w:bidi="fa-IR"/>
          <w:color w:val="111111"/>
          <w:sz w:val="28"/>
          <w:szCs w:val="28"/>
          <w:rtl/>
        </w:rPr>
        <w:t xml:space="preserve">جامی، عبدالرحمن بن  احمد، ۸۱۷ - ۸۹۸ قمری</w:t>
      </w:r>
    </w:p>
    <w:p>
      <w:pPr>
        <w:pStyle w:val="BookText"/>
      </w:pPr>
      <w:r>
        <w:rPr>
          <w:rFonts w:ascii="Times New Roman" w:hAnsi="Times New Roman" w:eastAsia="Times New Roman" w:cs="Times New Roman"/>
          <w:lang w:val="en-US" w:bidi="en-US"/>
          <w:color w:val="111111"/>
          <w:sz w:val="28"/>
          <w:szCs w:val="28"/>
          <w:rtl/>
        </w:rPr>
        <w:t xml:space="preserve">(jāmī, ‘abd-or-rahman ebn-e ahmad (1415 - 1493)</w:t>
      </w:r>
    </w:p>
    <w:p>
      <w:pPr>
        <w:pStyle w:val="BookText"/>
      </w:pPr>
      <w:r>
        <w:rPr>
          <w:rFonts w:ascii="IRNazanin" w:hAnsi="IRNazanin" w:eastAsia="IRNazanin" w:cs="IRNazanin"/>
          <w:lang w:bidi="fa-IR"/>
          <w:color w:val="111111"/>
          <w:sz w:val="28"/>
          <w:szCs w:val="28"/>
          <w:rtl/>
        </w:rPr>
        <w:t xml:space="preserve">رساله ای در یک «مقدمه» و سه «اصل».</w:t>
      </w:r>
    </w:p>
    <w:p>
      <w:pPr>
        <w:pStyle w:val="BookText"/>
      </w:pPr>
      <w:r>
        <w:rPr>
          <w:rFonts w:ascii="IRNazanin" w:hAnsi="IRNazanin" w:eastAsia="IRNazanin" w:cs="IRNazanin"/>
          <w:lang w:bidi="fa-IR"/>
          <w:color w:val="111111"/>
          <w:sz w:val="28"/>
          <w:szCs w:val="28"/>
          <w:rtl/>
        </w:rPr>
        <w:t xml:space="preserve">تهران؛ دانشگاه؛ شماره نسخه: ۴۴۲/۲۱-ف</w:t>
      </w:r>
    </w:p>
    <w:p>
      <w:pPr>
        <w:pStyle w:val="BookText"/>
      </w:pPr>
      <w:r>
        <w:rPr>
          <w:rFonts w:ascii="IRNazanin" w:hAnsi="IRNazanin" w:eastAsia="IRNazanin" w:cs="IRNazanin"/>
          <w:lang w:bidi="fa-IR"/>
          <w:color w:val="111111"/>
          <w:sz w:val="28"/>
          <w:szCs w:val="28"/>
          <w:rtl/>
        </w:rPr>
        <w:t xml:space="preserve">نسخه اصل: بایزید ولی الدین ش ۱۸۲۵؛ خط: نسخ، بی کا، تا:۸۵۱ق؛ ۱۱گ (۳۲۵-۳۳۵)، ۱۹ سطر [ فیلم ها-ف: ۱ - ۴۷۸]</w:t>
      </w:r>
    </w:p>
    <w:p>
      <w:pPr>
        <w:pStyle w:val="BookText"/>
      </w:pPr>
      <w:r>
        <w:rPr>
          <w:rFonts w:ascii="IRNazanin" w:hAnsi="IRNazanin" w:eastAsia="IRNazanin" w:cs="IRNazanin"/>
          <w:lang w:bidi="fa-IR"/>
          <w:color w:val="111111"/>
          <w:sz w:val="28"/>
          <w:szCs w:val="28"/>
          <w:rtl/>
        </w:rPr>
        <w:t xml:space="preserve">«اسرار علم النجوم » اسرار النجوم</w:t>
      </w:r>
    </w:p>
    <w:p>
      <w:pPr>
        <w:pStyle w:val="Heading3"/>
      </w:pPr>
      <w:bookmarkStart w:id="1397" w:name="_Toc919"/>
      <w:r>
        <w:t>اسرار العلوم / علوم غریبه / فارسی</w:t>
      </w:r>
      <w:bookmarkEnd w:id="1397"/>
    </w:p>
    <w:p>
      <w:pPr>
        <w:pStyle w:val="BookText"/>
      </w:pPr>
      <w:r>
        <w:rPr>
          <w:rFonts w:ascii="Times New Roman" w:hAnsi="Times New Roman" w:eastAsia="Times New Roman" w:cs="Times New Roman"/>
          <w:lang w:val="en-US" w:bidi="en-US"/>
          <w:color w:val="111111"/>
          <w:sz w:val="28"/>
          <w:szCs w:val="28"/>
          <w:rtl/>
        </w:rPr>
        <w:t xml:space="preserve">asrār-ol-‘olūm</w:t>
      </w:r>
    </w:p>
    <w:p>
      <w:pPr>
        <w:pStyle w:val="BookText"/>
      </w:pPr>
      <w:r>
        <w:rPr>
          <w:rFonts w:ascii="IRNazanin" w:hAnsi="IRNazanin" w:eastAsia="IRNazanin" w:cs="IRNazanin"/>
          <w:lang w:bidi="fa-IR"/>
          <w:color w:val="111111"/>
          <w:sz w:val="28"/>
          <w:szCs w:val="28"/>
          <w:rtl/>
        </w:rPr>
        <w:t xml:space="preserve">اصفهانی، محمد تقی</w:t>
      </w:r>
    </w:p>
    <w:p>
      <w:pPr>
        <w:pStyle w:val="BookText"/>
      </w:pPr>
      <w:r>
        <w:rPr>
          <w:rFonts w:ascii="Times New Roman" w:hAnsi="Times New Roman" w:eastAsia="Times New Roman" w:cs="Times New Roman"/>
          <w:lang w:val="en-US" w:bidi="en-US"/>
          <w:color w:val="111111"/>
          <w:sz w:val="28"/>
          <w:szCs w:val="28"/>
          <w:rtl/>
        </w:rPr>
        <w:t xml:space="preserve">esfahānī, mohammad taqī</w:t>
      </w:r>
    </w:p>
    <w:p>
      <w:pPr>
        <w:pStyle w:val="BookText"/>
      </w:pPr>
      <w:r>
        <w:rPr>
          <w:rFonts w:ascii="IRNazanin" w:hAnsi="IRNazanin" w:eastAsia="IRNazanin" w:cs="IRNazanin"/>
          <w:lang w:bidi="fa-IR"/>
          <w:color w:val="111111"/>
          <w:sz w:val="28"/>
          <w:szCs w:val="28"/>
          <w:rtl/>
        </w:rPr>
        <w:t xml:space="preserve">از محمد تقی  اصفهانی، معروف به رای ذره بینان [دیباچه] در علم اعداد و طلسمات و عزایم. در ۱ «مقدمه» و ۱۰۰ «فصل» و ۱ «خاتمه» و هر فصل در چند (نوع و قسم) ولی این بخش بندی در متن نیست.در دیباچه پس از نام خود و کتاب نام ۵۱ کتاب از مآخذ خود را برشمرده است خواص دارویی و جادویی «چیز»هایی است فصل در ذکر عدد آیات و سوره های قرآنی، فصل در بیان مناسبات اسماء الله و درمان بیماری ها، فصل در بیان قسم و سوگند  خوردن در باب قلم تراشیدن، در خواص هدهد،  عمل محبت ...</w:t>
      </w:r>
    </w:p>
    <w:p>
      <w:pPr>
        <w:pStyle w:val="BookText"/>
      </w:pPr>
      <w:r>
        <w:rPr>
          <w:rFonts w:ascii="IRNazanin" w:hAnsi="IRNazanin" w:eastAsia="IRNazanin" w:cs="IRNazanin"/>
          <w:lang w:bidi="fa-IR"/>
          <w:color w:val="111111"/>
          <w:sz w:val="28"/>
          <w:szCs w:val="28"/>
          <w:rtl/>
        </w:rPr>
        <w:t xml:space="preserve">آغاز: بسمله حمدله. عاقبة صلاة. اما بعد حروف تحمید و  كلمات تمجيد مضمون صدق</w:t>
      </w:r>
    </w:p>
    <w:p>
      <w:pPr>
        <w:pStyle w:val="BookText"/>
      </w:pPr>
      <w:r>
        <w:rPr>
          <w:rFonts w:ascii="IRNazanin" w:hAnsi="IRNazanin" w:eastAsia="IRNazanin" w:cs="IRNazanin"/>
          <w:lang w:bidi="fa-IR"/>
          <w:color w:val="111111"/>
          <w:sz w:val="28"/>
          <w:szCs w:val="28"/>
          <w:rtl/>
        </w:rPr>
        <w:t xml:space="preserve">[دنا ۷۸۶/۱؛ فهرستواره منزوی ۲۵۹۷/۴ ]</w:t>
      </w:r>
    </w:p>
    <w:p>
      <w:pPr>
        <w:pStyle w:val="BookText"/>
      </w:pPr>
      <w:r>
        <w:rPr>
          <w:rFonts w:ascii="Amiri" w:hAnsi="Amiri" w:eastAsia="Amiri" w:cs="Amiri"/>
          <w:lang w:bidi="ar-SA"/>
          <w:color w:val="111111"/>
          <w:sz w:val="28"/>
          <w:szCs w:val="28"/>
          <w:rtl/>
        </w:rPr>
        <w:t xml:space="preserve">۱. تهران؛ دائرة المعارف؛ شماره نسخه: ۶۵۹</w:t>
      </w:r>
    </w:p>
    <w:p>
      <w:pPr>
        <w:pStyle w:val="BookText"/>
      </w:pPr>
      <w:r>
        <w:rPr>
          <w:rFonts w:ascii="IRNazanin" w:hAnsi="IRNazanin" w:eastAsia="IRNazanin" w:cs="IRNazanin"/>
          <w:lang w:bidi="fa-IR"/>
          <w:color w:val="111111"/>
          <w:sz w:val="28"/>
          <w:szCs w:val="28"/>
          <w:rtl/>
        </w:rPr>
        <w:t xml:space="preserve">آغاز: برابر؛ انجام: مراد دجاجه مرغ خانگی باشد</w:t>
      </w:r>
    </w:p>
    <w:p>
      <w:pPr>
        <w:pStyle w:val="BookText"/>
      </w:pPr>
      <w:r>
        <w:rPr>
          <w:rFonts w:ascii="IRNazanin" w:hAnsi="IRNazanin" w:eastAsia="IRNazanin" w:cs="IRNazanin"/>
          <w:lang w:bidi="fa-IR"/>
          <w:color w:val="111111"/>
          <w:sz w:val="28"/>
          <w:szCs w:val="28"/>
          <w:rtl/>
        </w:rPr>
        <w:t xml:space="preserve">خط: نسخ و نستعلیق تحریری، بی کا، تا: قرن ۱۳؛افتادگی انجام؛ سپس منتخب الختوم (گ ۸۰پ-۹۶ر)؛ جلد: مقوا كاغذ منقش پوشانیده، ۷۸گ (۱پ-۷۸ پ)، ۱۹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اندازه: ۲۳</w:t>
      </w:r>
      <w:r>
        <w:rPr>
          <w:rFonts w:ascii="Times New Roman" w:hAnsi="Times New Roman" w:eastAsia="Times New Roman" w:cs="Times New Roman"/>
          <w:lang w:val="en-US" w:bidi="en-US"/>
          <w:color w:val="111111"/>
          <w:sz w:val="28"/>
          <w:szCs w:val="28"/>
          <w:rtl/>
        </w:rPr>
        <w:t xml:space="preserve">x</w:t>
      </w:r>
      <w:r>
        <w:rPr>
          <w:rFonts w:ascii="IRNazanin" w:hAnsi="IRNazanin" w:eastAsia="IRNazanin" w:cs="IRNazanin"/>
          <w:lang w:bidi="fa-IR"/>
          <w:color w:val="111111"/>
          <w:sz w:val="28"/>
          <w:szCs w:val="28"/>
          <w:rtl/>
        </w:rPr>
        <w:t xml:space="preserve">۱۸سم [ف: ۲ - ۱۴]</w:t>
      </w:r>
    </w:p>
    <w:p>
      <w:pPr>
        <w:pStyle w:val="BookText"/>
      </w:pPr>
      <w:r>
        <w:rPr>
          <w:rFonts w:ascii="IRNazanin" w:hAnsi="IRNazanin" w:eastAsia="IRNazanin" w:cs="IRNazanin"/>
          <w:lang w:bidi="fa-IR"/>
          <w:color w:val="111111"/>
          <w:sz w:val="28"/>
          <w:szCs w:val="28"/>
          <w:rtl/>
        </w:rPr>
        <w:t xml:space="preserve">۲. تهران؛ ملک؛ شماره نسخه: ۳۲۳۲</w:t>
      </w:r>
    </w:p>
    <w:p>
      <w:pPr>
        <w:pStyle w:val="BookText"/>
      </w:pPr>
      <w:r>
        <w:rPr>
          <w:rFonts w:ascii="IRNazanin" w:hAnsi="IRNazanin" w:eastAsia="IRNazanin" w:cs="IRNazanin"/>
          <w:lang w:bidi="fa-IR"/>
          <w:color w:val="111111"/>
          <w:sz w:val="28"/>
          <w:szCs w:val="28"/>
          <w:rtl/>
        </w:rPr>
        <w:t xml:space="preserve">خط: شکسته، نستعلیق ،کا: محمد علی بن محمد خراسانی قائنی، تا: ۱۲۵۰ق؛ کاغذ: کاغذ ،فرنگی ،جلد: میشن زرد سیر ضربی،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258" w:name="pg20365_260366"/>
    <w:bookmarkEnd w:id="258"/>
    <w:p>
      <w:pPr>
        <w:pStyle w:val="BookText"/>
      </w:pPr>
      <w:r>
        <w:rPr>
          <w:rFonts w:ascii="IRNazanin" w:hAnsi="IRNazanin" w:eastAsia="IRNazanin" w:cs="IRNazanin"/>
          <w:lang w:bidi="fa-IR"/>
          <w:color w:val="111111"/>
          <w:sz w:val="28"/>
          <w:szCs w:val="28"/>
          <w:rtl/>
        </w:rPr>
        <w:t xml:space="preserve">۱۲۳گ، ۱۹ سطر، اندازه: ۱۲/۴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۱۳/۶سم [ف: ۲ - ۲۴]</w:t>
      </w:r>
    </w:p>
    <w:p>
      <w:pPr>
        <w:pStyle w:val="BookText"/>
      </w:pPr>
      <w:r>
        <w:rPr>
          <w:rFonts w:ascii="Amiri" w:hAnsi="Amiri" w:eastAsia="Amiri" w:cs="Amiri"/>
          <w:lang w:bidi="ar-SA"/>
          <w:color w:val="111111"/>
          <w:sz w:val="28"/>
          <w:szCs w:val="28"/>
          <w:rtl/>
        </w:rPr>
        <w:t xml:space="preserve">«اسرار الغيب » اسرار الغيوب</w:t>
      </w:r>
    </w:p>
    <w:p>
      <w:pPr>
        <w:pStyle w:val="Heading3"/>
      </w:pPr>
      <w:bookmarkStart w:id="1398" w:name="_Toc920"/>
      <w:r>
        <w:t>اسرار غیب / شعر / فارسی</w:t>
      </w:r>
      <w:bookmarkEnd w:id="1398"/>
    </w:p>
    <w:p>
      <w:pPr>
        <w:pStyle w:val="BookText"/>
      </w:pPr>
      <w:r>
        <w:rPr>
          <w:rFonts w:ascii="Times New Roman" w:hAnsi="Times New Roman" w:eastAsia="Times New Roman" w:cs="Times New Roman"/>
          <w:lang w:val="en-US" w:bidi="en-US"/>
          <w:color w:val="111111"/>
          <w:sz w:val="28"/>
          <w:szCs w:val="28"/>
          <w:rtl/>
        </w:rPr>
        <w:t xml:space="preserve">asrār-e qeyb</w:t>
      </w:r>
    </w:p>
    <w:p>
      <w:pPr>
        <w:pStyle w:val="BookText"/>
      </w:pPr>
      <w:r>
        <w:rPr>
          <w:rFonts w:ascii="IRNazanin" w:hAnsi="IRNazanin" w:eastAsia="IRNazanin" w:cs="IRNazanin"/>
          <w:lang w:bidi="fa-IR"/>
          <w:color w:val="111111"/>
          <w:sz w:val="28"/>
          <w:szCs w:val="28"/>
          <w:rtl/>
        </w:rPr>
        <w:t xml:space="preserve">به وزن مثنوی از «وفا»</w:t>
      </w:r>
    </w:p>
    <w:p>
      <w:pPr>
        <w:pStyle w:val="BookText"/>
      </w:pPr>
      <w:r>
        <w:rPr>
          <w:rFonts w:ascii="IRNazanin" w:hAnsi="IRNazanin" w:eastAsia="IRNazanin" w:cs="IRNazanin"/>
          <w:lang w:bidi="fa-IR"/>
          <w:color w:val="111111"/>
          <w:sz w:val="28"/>
          <w:szCs w:val="28"/>
          <w:rtl/>
        </w:rPr>
        <w:t xml:space="preserve">تهران؛ دانشگاه؛ شماره نسخه: ۶۱۱۵/۵</w:t>
      </w:r>
    </w:p>
    <w:p>
      <w:pPr>
        <w:pStyle w:val="BookText"/>
      </w:pPr>
      <w:r>
        <w:rPr>
          <w:rFonts w:ascii="IRNazanin" w:hAnsi="IRNazanin" w:eastAsia="IRNazanin" w:cs="IRNazanin"/>
          <w:lang w:bidi="fa-IR"/>
          <w:color w:val="111111"/>
          <w:sz w:val="28"/>
          <w:szCs w:val="28"/>
          <w:rtl/>
        </w:rPr>
        <w:t xml:space="preserve">آغاز: دلا چون خلیل از آتش آز *** برون او بگردون سر بر افراز ؛انجام: شکل تدویری که در ساغر بود *** چشمه حیوان و ماه خـور بود</w:t>
      </w:r>
    </w:p>
    <w:p>
      <w:pPr>
        <w:pStyle w:val="BookText"/>
      </w:pPr>
      <w:r>
        <w:rPr>
          <w:rFonts w:ascii="IRNazanin" w:hAnsi="IRNazanin" w:eastAsia="IRNazanin" w:cs="IRNazanin"/>
          <w:lang w:bidi="fa-IR"/>
          <w:color w:val="111111"/>
          <w:sz w:val="28"/>
          <w:szCs w:val="28"/>
          <w:rtl/>
        </w:rPr>
        <w:t xml:space="preserve">بی کا، بی تا، کاغذ: کبود  سپاهانی، جلد: تیماج مشکی، مقوا، ۱۰گ( ۹۷ر-۱۰۶ر)، ۱۲ سطر (6</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قطع: جیبی،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۱۶ - ۲۰۰]</w:t>
      </w:r>
    </w:p>
    <w:p>
      <w:pPr>
        <w:pStyle w:val="Heading3"/>
      </w:pPr>
      <w:bookmarkStart w:id="1399" w:name="_Toc921"/>
      <w:r>
        <w:t>اسرار الغيبية لاسباب المدنية = نصيحت نامه منهاج تمدن و مفتاح ترقی = مدنیت (کتاب) / حکومت  و سیاست / فارسی</w:t>
      </w:r>
      <w:bookmarkEnd w:id="1399"/>
    </w:p>
    <w:p>
      <w:pPr>
        <w:pStyle w:val="BookText"/>
      </w:pPr>
      <w:r>
        <w:rPr>
          <w:rFonts w:ascii="Times New Roman" w:hAnsi="Times New Roman" w:eastAsia="Times New Roman" w:cs="Times New Roman"/>
          <w:lang w:val="en-US" w:bidi="en-US"/>
          <w:color w:val="111111"/>
          <w:sz w:val="28"/>
          <w:szCs w:val="28"/>
          <w:rtl/>
        </w:rPr>
        <w:t xml:space="preserve">asrār-ul qeybīyye le-asbāb-il madanīyya = nasīhatnāme</w:t>
      </w:r>
    </w:p>
    <w:p>
      <w:pPr>
        <w:pStyle w:val="BookText"/>
      </w:pPr>
      <w:r>
        <w:rPr>
          <w:rFonts w:ascii="Times New Roman" w:hAnsi="Times New Roman" w:eastAsia="Times New Roman" w:cs="Times New Roman"/>
          <w:lang w:val="en-US" w:bidi="en-US"/>
          <w:color w:val="111111"/>
          <w:sz w:val="28"/>
          <w:szCs w:val="28"/>
          <w:rtl/>
        </w:rPr>
        <w:t xml:space="preserve">= menhāj-e tamaddon va meftāh-e taraqqī =</w:t>
      </w:r>
    </w:p>
    <w:p>
      <w:pPr>
        <w:pStyle w:val="BookText"/>
      </w:pPr>
      <w:r>
        <w:rPr>
          <w:rFonts w:ascii="Times New Roman" w:hAnsi="Times New Roman" w:eastAsia="Times New Roman" w:cs="Times New Roman"/>
          <w:lang w:val="en-US" w:bidi="en-US"/>
          <w:color w:val="111111"/>
          <w:sz w:val="28"/>
          <w:szCs w:val="28"/>
          <w:rtl/>
        </w:rPr>
        <w:t xml:space="preserve">(madanīyyat (k.)</w:t>
      </w:r>
    </w:p>
    <w:p>
      <w:pPr>
        <w:pStyle w:val="BookText"/>
      </w:pPr>
      <w:r>
        <w:rPr>
          <w:rFonts w:ascii="IRNazanin" w:hAnsi="IRNazanin" w:eastAsia="IRNazanin" w:cs="IRNazanin"/>
          <w:lang w:bidi="fa-IR"/>
          <w:color w:val="111111"/>
          <w:sz w:val="28"/>
          <w:szCs w:val="28"/>
          <w:rtl/>
        </w:rPr>
        <w:t xml:space="preserve">عبدالبهاء، عباس بن حسینعلی، ۱۲۶۰ - ۱۳۴۰ قمری</w:t>
      </w:r>
    </w:p>
    <w:p>
      <w:pPr>
        <w:pStyle w:val="BookText"/>
      </w:pPr>
      <w:r>
        <w:rPr>
          <w:rFonts w:ascii="Times New Roman" w:hAnsi="Times New Roman" w:eastAsia="Times New Roman" w:cs="Times New Roman"/>
          <w:lang w:val="en-US" w:bidi="en-US"/>
          <w:color w:val="111111"/>
          <w:sz w:val="28"/>
          <w:szCs w:val="28"/>
          <w:rtl/>
        </w:rPr>
        <w:t xml:space="preserve">(‘abd-ol-bahā’, ‘abbās ebn-e hoseyn-‘alī (1844 - 1922</w:t>
      </w:r>
    </w:p>
    <w:p>
      <w:pPr>
        <w:pStyle w:val="BookText"/>
      </w:pPr>
      <w:r>
        <w:rPr>
          <w:rFonts w:ascii="IRNazanin" w:hAnsi="IRNazanin" w:eastAsia="IRNazanin" w:cs="IRNazanin"/>
          <w:lang w:bidi="fa-IR"/>
          <w:color w:val="111111"/>
          <w:sz w:val="28"/>
          <w:szCs w:val="28"/>
          <w:rtl/>
        </w:rPr>
        <w:t xml:space="preserve">کتابی در دعوت به تمدن اصیل و اشتغالات به علوم و فنون من و بازگشت به دستورات الهی و پای بند بودن به اخلاق و آداب نیکوی مذهبی و به یاد آوردن سوابق تاریخی اسلام در سرزمـین ایران با تضمین آیات و احادیثی مناسب و اشاره به بعضی وقایع آموزنده تاریخی ظاهراً بنای مؤلف بر تألیف کتاب در جلد بوده چون در جلد اول کتاب و در چند جا حوالت به جـلد جلد دوم  داده شده است ولی ما از آن اطلاعی نداریم و آنچه از نسخه ها شناخته شده همین جلد  است جز نسخه ۲۹۴۰ مجلـس که فهرست نگار معتقد است بخشی از جلد دوم نیز در آن هسـت.</w:t>
      </w:r>
    </w:p>
    <w:p>
      <w:pPr>
        <w:pStyle w:val="BookText"/>
      </w:pPr>
      <w:r>
        <w:rPr>
          <w:rFonts w:ascii="IRNazanin" w:hAnsi="IRNazanin" w:eastAsia="IRNazanin" w:cs="IRNazanin"/>
          <w:lang w:bidi="fa-IR"/>
          <w:color w:val="111111"/>
          <w:sz w:val="28"/>
          <w:szCs w:val="28"/>
          <w:rtl/>
        </w:rPr>
        <w:t xml:space="preserve">مؤلف در دیباچه کتاب می گوید که من از تصریح اسم خویش احتراز نموده ام تا واضح و مبرهن شود که مقصدی جز خیر کل نداشته و ندارم این رساله بانام های گوناگون در فهارس آمده و اكثراً ناشناس است.عبارات این رساله و برخورداری بسیار از آیات و روایات و ابای مؤلف از ذکر نام خود که شاید بیشتر  به جهت حساسیت جامعه نسبت به او بوده و عدم نامگذاری در اکثر نسخه ها، مؤلف و نام کتاب را دست خوش تغییرات کرده است. در فهرست مجلس جلد ۲۳ جناب حائری آن را «اسـرار الغيبة لاسباب المدنية» دانسته که در منابع، این کتاب از عباس افندی دانسته شده و ایشان نیز چنین دانسته اند و ما نیز با تفحصی  که در فهارس نمودیم و رساله های متعددی با نام های گوناگون یافتیم همگی را تحت یک عنوان و منتسب به او دانستیم. حق آن است که فقط با مطالعه این رساله نمیتوان دلیلی بر انتساب آن به بهائیان یافت مگر این که از قرائن دیگر آن را اثبات نمود و به نظر می رسد مؤلف بر آن بوده که طرح این مسئله را جدای از اختلافات احتمالی درباره خودش مطرح نماید و استنادات او همانند دیگر کتب دینی رایج است و بنای خود را بر دفاع از تمدن جدید گذاشته و با استناد به آیات و روایات سخن و ادعاهای در برابر را پاسخ میدهد در هر صورت نسخه های این رساله چندین است چه از عباس افندی بدانیم یا ندانیم.</w:t>
      </w:r>
    </w:p>
    <w:p>
      <w:pPr>
        <w:pStyle w:val="BookText"/>
      </w:pPr>
      <w:r>
        <w:rPr>
          <w:rFonts w:ascii="IRNazanin" w:hAnsi="IRNazanin" w:eastAsia="IRNazanin" w:cs="IRNazanin"/>
          <w:lang w:bidi="fa-IR"/>
          <w:color w:val="111111"/>
          <w:sz w:val="28"/>
          <w:szCs w:val="28"/>
          <w:rtl/>
        </w:rPr>
        <w:t xml:space="preserve">آغاز: بدایع حمد و ثنا و جوامع شکر و سپاس درگاه احدیت پروردگاری را سزاست که از بین کافه حقايق كونيه حقیقت انسانیه را بدانش و هوش که نیرین اعظمین عالم کون و امکان است مفتخر وممتاز فرموده و از نتایج آثار آن موهبت عظمی در هر عصر و قرنی مرأت كائنات را بصور بدیعه و نقوش جدیده مرتسم و منطبع نمود</w:t>
      </w:r>
    </w:p>
    <w:p>
      <w:pPr>
        <w:pStyle w:val="BookText"/>
      </w:pPr>
      <w:r>
        <w:rPr>
          <w:rFonts w:ascii="IRNazanin" w:hAnsi="IRNazanin" w:eastAsia="IRNazanin" w:cs="IRNazanin"/>
          <w:lang w:bidi="fa-IR"/>
          <w:color w:val="111111"/>
          <w:sz w:val="28"/>
          <w:szCs w:val="28"/>
          <w:rtl/>
        </w:rPr>
        <w:t xml:space="preserve">انجام: و ازهار و اثمار سعادت مقدسه سر سبز و خرم نماید.</w:t>
      </w:r>
    </w:p>
    <w:p>
      <w:pPr>
        <w:pStyle w:val="BookText"/>
      </w:pPr>
      <w:r>
        <w:rPr>
          <w:rFonts w:ascii="IRNazanin" w:hAnsi="IRNazanin" w:eastAsia="IRNazanin" w:cs="IRNazanin"/>
          <w:lang w:bidi="fa-IR"/>
          <w:color w:val="111111"/>
          <w:sz w:val="28"/>
          <w:szCs w:val="28"/>
          <w:rtl/>
        </w:rPr>
        <w:t xml:space="preserve">چاپ: به کوشش منصور داداش زاده ،قم، انتشارات کتابخانه آية الله  نجفی، میراث اسلامی  ایران، جلد دوم، صص73- 138، ۱۳۷۴ش، بدون نام مؤلف</w:t>
      </w:r>
    </w:p>
    <w:p>
      <w:pPr>
        <w:pStyle w:val="BookText"/>
      </w:pPr>
      <w:r>
        <w:rPr>
          <w:rFonts w:ascii="IRNazanin" w:hAnsi="IRNazanin" w:eastAsia="IRNazanin" w:cs="IRNazanin"/>
          <w:lang w:bidi="fa-IR"/>
          <w:color w:val="111111"/>
          <w:sz w:val="28"/>
          <w:szCs w:val="28"/>
          <w:rtl/>
        </w:rPr>
        <w:t xml:space="preserve">[نسخه های منزوی ۱۷۳۳/۲ «اسرار الغیبه» از عباس افندی؛ مجلس شورا ۶۹۰/۲۳ «اسرار الغيبه لاسباب المدنیه از عباس افندی و ۵۳/۴۱ «نصیحت</w:t>
      </w:r>
    </w:p>
    <w:p>
      <w:pPr>
        <w:pStyle w:val="BookText"/>
      </w:pPr>
      <w:r>
        <w:rPr>
          <w:rFonts w:ascii="IRNazanin" w:hAnsi="IRNazanin" w:eastAsia="IRNazanin" w:cs="IRNazanin"/>
          <w:lang w:bidi="fa-IR"/>
          <w:color w:val="111111"/>
          <w:sz w:val="28"/>
          <w:szCs w:val="28"/>
          <w:rtl/>
        </w:rPr>
        <w:t xml:space="preserve">نامه» و ناشناس؛ فهرستواره منزوی ۴۶۳/۶ با عنوان «رساله در اوضاع اجتماعی و سیاسی ایران»و به احتمال از عباس افندی که همین رساله است و ۶۳۸/۶ با عنوان «منهاج تمدن و مفتاح ترقی» بدون نام مؤلف؛ کتابخانه ملک ۴۸۱/۳ با عنوان «سیاست و کشورداری و به احتمال از عباس افندی و یا سید جمال  افغانی دانسته؛ دنا 1/ 786(2 نسخه)]</w:t>
      </w:r>
    </w:p>
    <w:p>
      <w:pPr>
        <w:pStyle w:val="BookText"/>
      </w:pPr>
      <w:r>
        <w:rPr>
          <w:rFonts w:ascii="IRNazanin" w:hAnsi="IRNazanin" w:eastAsia="IRNazanin" w:cs="IRNazanin"/>
          <w:lang w:bidi="fa-IR"/>
          <w:color w:val="111111"/>
          <w:sz w:val="28"/>
          <w:szCs w:val="28"/>
          <w:rtl/>
        </w:rPr>
        <w:t xml:space="preserve">۱. تهران؛ ملک؛ شماره نسخه: ۷۳۲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۱۳؛ با جدول؛ کاغذ: فرنگی آمار مهره،  ۶۵گ، ۱۷  سطر، اندازه: ۱۰/۸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۱۷/۲سم [ف: ۳ - ۴۸۱]</w:t>
      </w:r>
    </w:p>
    <w:p>
      <w:pPr>
        <w:pStyle w:val="BookText"/>
      </w:pPr>
      <w:r>
        <w:rPr>
          <w:rFonts w:ascii="IRNazanin" w:hAnsi="IRNazanin" w:eastAsia="IRNazanin" w:cs="IRNazanin"/>
          <w:lang w:bidi="fa-IR"/>
          <w:color w:val="111111"/>
          <w:sz w:val="28"/>
          <w:szCs w:val="28"/>
          <w:rtl/>
        </w:rPr>
        <w:t xml:space="preserve">۲. تهران؛ مجلس؛ شماره نسخه: ۱۱۹۳/۳-ط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قرن ۱۳؛ ۵۳ گ (۷۳-۱۲۵) [ف : ۲۳ - ۶۹۰]</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دانشگاه؛ شماره نسخه: ۸۴۳۰</w:t>
      </w:r>
    </w:p>
    <w:p>
      <w:pPr>
        <w:pStyle w:val="BookText"/>
      </w:pPr>
      <w:r>
        <w:rPr>
          <w:rFonts w:ascii="IRNazanin" w:hAnsi="IRNazanin" w:eastAsia="IRNazanin" w:cs="IRNazanin"/>
          <w:lang w:bidi="fa-IR"/>
          <w:color w:val="111111"/>
          <w:sz w:val="28"/>
          <w:szCs w:val="28"/>
          <w:rtl/>
        </w:rPr>
        <w:t xml:space="preserve">آغاز: برابر؛ انجام: و به یاد دست خورسند نیکو است کسی که  بیابد و بیاید</w:t>
      </w:r>
    </w:p>
    <w:p>
      <w:pPr>
        <w:pStyle w:val="BookText"/>
      </w:pPr>
      <w:r>
        <w:rPr>
          <w:rFonts w:ascii="IRNazanin" w:hAnsi="IRNazanin" w:eastAsia="IRNazanin" w:cs="IRNazanin"/>
          <w:lang w:bidi="fa-IR"/>
          <w:color w:val="111111"/>
          <w:sz w:val="28"/>
          <w:szCs w:val="28"/>
          <w:rtl/>
        </w:rPr>
        <w:t xml:space="preserve">در فهرست با عنوان «کلمه نصحیه مختصری در چند نصیحت ابنای وطن» و ناشناس؛ خط: نستعلیق، بی کا، تا: قرن ۱۳؛ کاغذ: فرنگی، جلد: تیماج  مشکی، ۸۲گ، ۱۵ سطر (9</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قطع: ربعی،  اندازه: ۱۰</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۱۷سم [ف: ۱۷ - ۱۳۳]</w:t>
      </w:r>
    </w:p>
    <w:p>
      <w:pPr>
        <w:pStyle w:val="BookText"/>
      </w:pPr>
      <w:r>
        <w:rPr>
          <w:rFonts w:ascii="IRNazanin" w:hAnsi="IRNazanin" w:eastAsia="IRNazanin" w:cs="IRNazanin"/>
          <w:lang w:bidi="fa-IR"/>
          <w:color w:val="111111"/>
          <w:sz w:val="28"/>
          <w:szCs w:val="28"/>
          <w:rtl/>
        </w:rPr>
        <w:t xml:space="preserve">۴ .تهران؛ مجلس؛ شماره نسخه: ۱۴۵۶۷/۳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259" w:name="pg20365_260367"/>
    <w:bookmarkEnd w:id="259"/>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زیبا، بی کا، تا: قرن ۱۳؛ ۳۲گ (۵۴پ – ۸۵پ)،  18سطر، اندازه: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۴۱ - ۵۳]</w:t>
      </w:r>
    </w:p>
    <w:p>
      <w:pPr>
        <w:pStyle w:val="BookText"/>
      </w:pPr>
      <w:r>
        <w:rPr>
          <w:rFonts w:ascii="IRNazanin" w:hAnsi="IRNazanin" w:eastAsia="IRNazanin" w:cs="IRNazanin"/>
          <w:lang w:bidi="fa-IR"/>
          <w:color w:val="111111"/>
          <w:sz w:val="28"/>
          <w:szCs w:val="28"/>
          <w:rtl/>
        </w:rPr>
        <w:t xml:space="preserve">۵. تهران؛ مجلس؛ شماره نسخه: ۱۱۴۲۲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در فهرست با عنوان «مدنیت» و ناشناس آمده، جلد اول؛ خـط :نسخ، بی کا، تا: ۱۲۹۴ق؛ جلد: تیماج زرشکی، ۶۵گ، ۱۷ سـطر،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۳۳/۲ - ۱۲۲]</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قم؛ مرعشی؛ شماره نسخه: ۶۶۴۶</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در فهرست با عنوان «منهاج تمدن و مفتاح ترقی» و ناشناس؛ خـط: نسخ و نستعلیق ،زیبا بی کا، تا: ۲۴ صفر ۱۲۹۷ق، جا: مشهـد؛ مصحح، جلد: تیماج  سبز، ۵۶گ ۱۶  سطر، اندازه:15</w:t>
      </w:r>
      <w:r>
        <w:rPr>
          <w:rFonts w:ascii="Times New Roman" w:hAnsi="Times New Roman" w:eastAsia="Times New Roman" w:cs="Times New Roman"/>
          <w:lang w:val="en-US" w:bidi="en-US"/>
          <w:color w:val="111111"/>
          <w:sz w:val="28"/>
          <w:szCs w:val="28"/>
          <w:rtl/>
        </w:rPr>
        <w:t xml:space="preserve">×20/5</w:t>
      </w:r>
      <w:r>
        <w:rPr>
          <w:rFonts w:ascii="IRNazanin" w:hAnsi="IRNazanin" w:eastAsia="IRNazanin" w:cs="IRNazanin"/>
          <w:lang w:bidi="fa-IR"/>
          <w:color w:val="111111"/>
          <w:sz w:val="28"/>
          <w:szCs w:val="28"/>
          <w:rtl/>
        </w:rPr>
        <w:t xml:space="preserve">سم [ف: ۱۷ - ۲۱۲]</w:t>
      </w:r>
    </w:p>
    <w:p>
      <w:pPr>
        <w:pStyle w:val="BookText"/>
      </w:pPr>
      <w:r>
        <w:rPr>
          <w:rFonts w:ascii="IRNazanin" w:hAnsi="IRNazanin" w:eastAsia="IRNazanin" w:cs="IRNazanin"/>
          <w:lang w:bidi="fa-IR"/>
          <w:color w:val="111111"/>
          <w:sz w:val="28"/>
          <w:szCs w:val="28"/>
          <w:rtl/>
        </w:rPr>
        <w:t xml:space="preserve">۷. تهران؛ مجلس؛ شماره نسخه: ۵۰۲۷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در فهرست با عنوان «گفتار سیاسی و ناشناس آمده؛ خـط: نستعلیق، بی کا، تا: قرن ۱۴؛ مهر: نصر الله التقوى؛ کاغذ: فرنگـی ،جلد: تیماج آبی  سیر، ۶۵گ، ۱۴ سطر (۵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۱۰/۵)، اندازه: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۱۷/۵سم [ف : ۱۴ - ۳۳۳]</w:t>
      </w:r>
    </w:p>
    <w:p>
      <w:pPr>
        <w:pStyle w:val="BookText"/>
      </w:pPr>
      <w:r>
        <w:rPr>
          <w:rFonts w:ascii="IRNazanin" w:hAnsi="IRNazanin" w:eastAsia="IRNazanin" w:cs="IRNazanin"/>
          <w:lang w:bidi="fa-IR"/>
          <w:color w:val="111111"/>
          <w:sz w:val="28"/>
          <w:szCs w:val="28"/>
          <w:rtl/>
        </w:rPr>
        <w:t xml:space="preserve">۸. تهران؛ مجلس؛ شماره نسخه: ۲۹۴۰</w:t>
      </w:r>
    </w:p>
    <w:p>
      <w:pPr>
        <w:pStyle w:val="BookText"/>
      </w:pPr>
      <w:r>
        <w:rPr>
          <w:rFonts w:ascii="IRNazanin" w:hAnsi="IRNazanin" w:eastAsia="IRNazanin" w:cs="IRNazanin"/>
          <w:lang w:bidi="fa-IR"/>
          <w:color w:val="111111"/>
          <w:sz w:val="28"/>
          <w:szCs w:val="28"/>
          <w:rtl/>
        </w:rPr>
        <w:t xml:space="preserve">آغاز: برابر؛ انجام: بگو امرزو به پیروزی دانای یکتا آفتاب دانـایی  از پس پرده جان بر آمد و همه پرندگان بیابان از باده دانش مستند و بیاد دوست خورسند نیکوست کسیکه بیابد و بیاید.</w:t>
      </w:r>
    </w:p>
    <w:p>
      <w:pPr>
        <w:pStyle w:val="BookText"/>
      </w:pPr>
      <w:r>
        <w:rPr>
          <w:rFonts w:ascii="IRNazanin" w:hAnsi="IRNazanin" w:eastAsia="IRNazanin" w:cs="IRNazanin"/>
          <w:lang w:bidi="fa-IR"/>
          <w:color w:val="111111"/>
          <w:sz w:val="28"/>
          <w:szCs w:val="28"/>
          <w:rtl/>
        </w:rPr>
        <w:t xml:space="preserve">در فهرست با عنوان «نصیحت نامه» و ناشناس تمام جلد اول و بخشی از آغاز جلد دوم است؛ خط: نسخ، بی کا، بی تا ،کاغذ: شطرنجی سفید  فرنگی،  جلد: تیماج عنابی یک لا، ۱۵۶ص، 15سطر، قطع: خشتی، اندازه: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 ۱۰ - ۳۷۱]</w:t>
      </w:r>
    </w:p>
    <w:p>
      <w:pPr>
        <w:pStyle w:val="BookText"/>
      </w:pPr>
      <w:r>
        <w:rPr>
          <w:rFonts w:ascii="IRNazanin" w:hAnsi="IRNazanin" w:eastAsia="IRNazanin" w:cs="IRNazanin"/>
          <w:lang w:bidi="fa-IR"/>
          <w:color w:val="111111"/>
          <w:sz w:val="28"/>
          <w:szCs w:val="28"/>
          <w:rtl/>
        </w:rPr>
        <w:t xml:space="preserve">۹. تهران؛ دانشگاه؛ شماره نسخه: ۴۶۸۲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در فهرست با عنوان کتاب «مدنیت و ناشناس آمده؛ خـط: نستعلیق، کا :ملا احمد (ص-ع)،  بی تا؛ کاغذ: فرنگی، ۵۸گ،18سطر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۱۴ - ۳۶۳۱]</w:t>
      </w:r>
    </w:p>
    <w:p>
      <w:pPr>
        <w:pStyle w:val="Heading3"/>
      </w:pPr>
      <w:bookmarkStart w:id="1400" w:name="_Toc922"/>
      <w:r>
        <w:t>اسرار الغيوب / ادبیات / فارسی</w:t>
      </w:r>
      <w:bookmarkEnd w:id="1400"/>
    </w:p>
    <w:p>
      <w:pPr>
        <w:pStyle w:val="BookText"/>
      </w:pPr>
      <w:r>
        <w:rPr>
          <w:rFonts w:ascii="Times New Roman" w:hAnsi="Times New Roman" w:eastAsia="Times New Roman" w:cs="Times New Roman"/>
          <w:lang w:val="en-US" w:bidi="en-US"/>
          <w:color w:val="111111"/>
          <w:sz w:val="28"/>
          <w:szCs w:val="28"/>
          <w:rtl/>
        </w:rPr>
        <w:t xml:space="preserve">asrār-ol-qoyūb</w:t>
      </w:r>
    </w:p>
    <w:p>
      <w:pPr>
        <w:pStyle w:val="BookText"/>
      </w:pPr>
      <w:r>
        <w:rPr>
          <w:rFonts w:ascii="IRNazanin" w:hAnsi="IRNazanin" w:eastAsia="IRNazanin" w:cs="IRNazanin"/>
          <w:lang w:bidi="fa-IR"/>
          <w:color w:val="111111"/>
          <w:sz w:val="28"/>
          <w:szCs w:val="28"/>
          <w:rtl/>
        </w:rPr>
        <w:t xml:space="preserve">پارسای لاهوری، خواجه  ایوب، ق ۱۲ قمری</w:t>
      </w:r>
    </w:p>
    <w:p>
      <w:pPr>
        <w:pStyle w:val="BookText"/>
      </w:pPr>
      <w:r>
        <w:rPr>
          <w:rFonts w:ascii="Times New Roman" w:hAnsi="Times New Roman" w:eastAsia="Times New Roman" w:cs="Times New Roman"/>
          <w:lang w:val="en-US" w:bidi="en-US"/>
          <w:color w:val="111111"/>
          <w:sz w:val="28"/>
          <w:szCs w:val="28"/>
          <w:rtl/>
        </w:rPr>
        <w:t xml:space="preserve">(pārsāy lāhūrī, xāje ayyūb (- 18c)</w:t>
      </w:r>
    </w:p>
    <w:p>
      <w:pPr>
        <w:pStyle w:val="BookText"/>
      </w:pPr>
      <w:r>
        <w:rPr>
          <w:rFonts w:ascii="IRNazanin" w:hAnsi="IRNazanin" w:eastAsia="IRNazanin" w:cs="IRNazanin"/>
          <w:lang w:bidi="fa-IR"/>
          <w:color w:val="111111"/>
          <w:sz w:val="28"/>
          <w:szCs w:val="28"/>
          <w:rtl/>
        </w:rPr>
        <w:t xml:space="preserve">وابسته به: مثنوی معنوی = مثنوی مولوی ،مولوی، جلال الدین  محمد بن محمد (604- 672ق)</w:t>
      </w:r>
    </w:p>
    <w:p>
      <w:pPr>
        <w:pStyle w:val="BookText"/>
      </w:pPr>
      <w:r>
        <w:rPr>
          <w:rFonts w:ascii="IRNazanin" w:hAnsi="IRNazanin" w:eastAsia="IRNazanin" w:cs="IRNazanin"/>
          <w:lang w:bidi="fa-IR"/>
          <w:color w:val="111111"/>
          <w:sz w:val="28"/>
          <w:szCs w:val="28"/>
          <w:rtl/>
        </w:rPr>
        <w:t xml:space="preserve">تاریخ تأليف: ۱۱۲۰ق</w:t>
      </w:r>
    </w:p>
    <w:p>
      <w:pPr>
        <w:pStyle w:val="BookText"/>
      </w:pPr>
      <w:r>
        <w:rPr>
          <w:rFonts w:ascii="IRNazanin" w:hAnsi="IRNazanin" w:eastAsia="IRNazanin" w:cs="IRNazanin"/>
          <w:lang w:bidi="fa-IR"/>
          <w:color w:val="111111"/>
          <w:sz w:val="28"/>
          <w:szCs w:val="28"/>
          <w:rtl/>
        </w:rPr>
        <w:t xml:space="preserve">در شرح مثنوی. در ص ع آمده که در آن از «بعضی از شارحان»میر محمد رضا و از «بعضی از شراح» از «بعضی از شراح» میر نورالله و از «شـیخ</w:t>
      </w:r>
    </w:p>
    <w:p>
      <w:pPr>
        <w:pStyle w:val="BookText"/>
      </w:pPr>
      <w:r>
        <w:rPr>
          <w:rFonts w:ascii="IRNazanin" w:hAnsi="IRNazanin" w:eastAsia="IRNazanin" w:cs="IRNazanin"/>
          <w:lang w:bidi="fa-IR"/>
          <w:color w:val="111111"/>
          <w:sz w:val="28"/>
          <w:szCs w:val="28"/>
          <w:rtl/>
        </w:rPr>
        <w:t xml:space="preserve">مرحوم شیخ عبداللطیف و از «شارح خوارزمی» خواجه حسین  خواسته شده است.</w:t>
      </w:r>
    </w:p>
    <w:p>
      <w:pPr>
        <w:pStyle w:val="BookText"/>
      </w:pPr>
      <w:r>
        <w:rPr>
          <w:rFonts w:ascii="IRNazanin" w:hAnsi="IRNazanin" w:eastAsia="IRNazanin" w:cs="IRNazanin"/>
          <w:lang w:bidi="fa-IR"/>
          <w:color w:val="111111"/>
          <w:sz w:val="28"/>
          <w:szCs w:val="28"/>
          <w:rtl/>
        </w:rPr>
        <w:t xml:space="preserve">[نسخه های منزوی ص ۳۴۹۵؛ دیباچه شرح مثنوی فروزان فر ۱۱:۱]</w:t>
      </w:r>
    </w:p>
    <w:p>
      <w:pPr>
        <w:pStyle w:val="BookText"/>
      </w:pPr>
      <w:r>
        <w:rPr>
          <w:rFonts w:ascii="IRNazanin" w:hAnsi="IRNazanin" w:eastAsia="IRNazanin" w:cs="IRNazanin"/>
          <w:lang w:bidi="fa-IR"/>
          <w:color w:val="111111"/>
          <w:sz w:val="28"/>
          <w:szCs w:val="28"/>
          <w:rtl/>
        </w:rPr>
        <w:t xml:space="preserve">تهران؛ دانشگاه؛ شماره نسخه: ۸۵۲۰</w:t>
      </w:r>
    </w:p>
    <w:p>
      <w:pPr>
        <w:pStyle w:val="BookText"/>
      </w:pPr>
      <w:r>
        <w:rPr>
          <w:rFonts w:ascii="IRNazanin" w:hAnsi="IRNazanin" w:eastAsia="IRNazanin" w:cs="IRNazanin"/>
          <w:lang w:bidi="fa-IR"/>
          <w:color w:val="111111"/>
          <w:sz w:val="28"/>
          <w:szCs w:val="28"/>
          <w:rtl/>
        </w:rPr>
        <w:t xml:space="preserve">آغاز: حمد لا يحصى و ثنای نامنتها مر ملکی را؛ انجام: نجر توید کاغذ آخر رسید.</w:t>
      </w:r>
    </w:p>
    <w:p>
      <w:pPr>
        <w:pStyle w:val="BookText"/>
      </w:pPr>
      <w:r>
        <w:rPr>
          <w:rFonts w:ascii="IRNazanin" w:hAnsi="IRNazanin" w:eastAsia="IRNazanin" w:cs="IRNazanin"/>
          <w:lang w:bidi="fa-IR"/>
          <w:color w:val="111111"/>
          <w:sz w:val="28"/>
          <w:szCs w:val="28"/>
          <w:rtl/>
        </w:rPr>
        <w:t xml:space="preserve">خط: نستعلیق، بی کا، تا: ۲۹ شوال ۱۲۰۰ق؛ کاغذ:سپاهانی، جلد: تيماج مشکی  مقوایی، ۲۴۱گ، ۲۹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 قطع: رحلی کوچک،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۱۷ - ۱۵۴]</w:t>
      </w:r>
    </w:p>
    <w:p>
      <w:pPr>
        <w:pStyle w:val="Heading3"/>
      </w:pPr>
      <w:bookmarkStart w:id="1401" w:name="_Toc923"/>
      <w:r>
        <w:t>اسرار الغيوب = ماسه بلوچیه = اسرار الغيب / علوم  غریبه / فارسی</w:t>
      </w:r>
      <w:bookmarkEnd w:id="1401"/>
    </w:p>
    <w:p>
      <w:pPr>
        <w:pStyle w:val="BookText"/>
      </w:pPr>
      <w:r>
        <w:rPr>
          <w:rFonts w:ascii="Times New Roman" w:hAnsi="Times New Roman" w:eastAsia="Times New Roman" w:cs="Times New Roman"/>
          <w:lang w:val="en-US" w:bidi="en-US"/>
          <w:color w:val="111111"/>
          <w:sz w:val="28"/>
          <w:szCs w:val="28"/>
          <w:rtl/>
        </w:rPr>
        <w:t xml:space="preserve">asrar-ol-qoyub = mase-ye balucie = asrar-ol-qeyb</w:t>
      </w:r>
    </w:p>
    <w:p>
      <w:pPr>
        <w:pStyle w:val="BookText"/>
      </w:pPr>
      <w:r>
        <w:rPr>
          <w:rFonts w:ascii="IRNazanin" w:hAnsi="IRNazanin" w:eastAsia="IRNazanin" w:cs="IRNazanin"/>
          <w:lang w:bidi="fa-IR"/>
          <w:color w:val="111111"/>
          <w:sz w:val="28"/>
          <w:szCs w:val="28"/>
          <w:rtl/>
        </w:rPr>
        <w:t xml:space="preserve">ورانی  کرمانی، علی مردان بن محمد حسین، ق۱۳  قمری</w:t>
      </w:r>
    </w:p>
    <w:p>
      <w:pPr>
        <w:pStyle w:val="BookText"/>
      </w:pPr>
      <w:r>
        <w:rPr>
          <w:rFonts w:ascii="Times New Roman" w:hAnsi="Times New Roman" w:eastAsia="Times New Roman" w:cs="Times New Roman"/>
          <w:lang w:val="en-US" w:bidi="en-US"/>
          <w:color w:val="111111"/>
          <w:sz w:val="28"/>
          <w:szCs w:val="28"/>
          <w:rtl/>
        </w:rPr>
        <w:t xml:space="preserve">varānī kermānī, ‘alī mardān ebn-e mohammad hoseyn</w:t>
      </w:r>
    </w:p>
    <w:p>
      <w:pPr>
        <w:pStyle w:val="BookText"/>
      </w:pPr>
      <w:r>
        <w:rPr>
          <w:rFonts w:ascii="Times New Roman" w:hAnsi="Times New Roman" w:eastAsia="Times New Roman" w:cs="Times New Roman"/>
          <w:lang w:val="en-US" w:bidi="en-US"/>
          <w:color w:val="111111"/>
          <w:sz w:val="28"/>
          <w:szCs w:val="28"/>
          <w:rtl/>
        </w:rPr>
        <w:t xml:space="preserve">(- 19c)</w:t>
      </w:r>
    </w:p>
    <w:p>
      <w:pPr>
        <w:pStyle w:val="BookText"/>
      </w:pPr>
      <w:r>
        <w:rPr>
          <w:rFonts w:ascii="IRNazanin" w:hAnsi="IRNazanin" w:eastAsia="IRNazanin" w:cs="IRNazanin"/>
          <w:lang w:bidi="fa-IR"/>
          <w:color w:val="111111"/>
          <w:sz w:val="28"/>
          <w:szCs w:val="28"/>
          <w:rtl/>
        </w:rPr>
        <w:t xml:space="preserve">تاریخ تألیف: ۱۲۵۶ق</w:t>
      </w:r>
    </w:p>
    <w:p>
      <w:pPr>
        <w:pStyle w:val="BookText"/>
      </w:pPr>
      <w:r>
        <w:rPr>
          <w:rFonts w:ascii="IRNazanin" w:hAnsi="IRNazanin" w:eastAsia="IRNazanin" w:cs="IRNazanin"/>
          <w:lang w:bidi="fa-IR"/>
          <w:color w:val="111111"/>
          <w:sz w:val="28"/>
          <w:szCs w:val="28"/>
          <w:rtl/>
        </w:rPr>
        <w:t xml:space="preserve">اهدا به: به فرمان حاکم بلوچستان محمد ابراهیم میرزاابن سلطان فتح علی شاه</w:t>
      </w:r>
    </w:p>
    <w:p>
      <w:pPr>
        <w:pStyle w:val="BookText"/>
      </w:pPr>
      <w:r>
        <w:rPr>
          <w:rFonts w:ascii="IRNazanin" w:hAnsi="IRNazanin" w:eastAsia="IRNazanin" w:cs="IRNazanin"/>
          <w:lang w:bidi="fa-IR"/>
          <w:color w:val="111111"/>
          <w:sz w:val="28"/>
          <w:szCs w:val="28"/>
          <w:rtl/>
        </w:rPr>
        <w:t xml:space="preserve">رساله ای در توضیح نوعی فالگیری است که به آن «ماسه» می گویند (پیشگویی است بر پایه پشم شتر و رشته ها را گره زدن و به زیر ریگ های روان خاک کردن و صورت هایی که پس از آن به دست آید. ) در این فن رساله های دیگری نیز تألیف شده است. نام دیگر این رساله «ماسه بلوچیه» است چون در بلوچستان تألیف شده و مؤلف به فرمان حاکم بلوچستان محمد ابراهیم ميرزا ابن سلطان فتح علی شاه آن را به رشته تحریر آورده و خود نیز از امیران لشگر او بوده است این رساله شامل صد و اندی از اشکال مختلف این فن است که به هر یک حدس ها و احتمالاتی  مترتب است که از هر یک چیز پنهانی کشف می شود.</w:t>
      </w:r>
    </w:p>
    <w:p>
      <w:pPr>
        <w:pStyle w:val="BookText"/>
      </w:pPr>
      <w:r>
        <w:rPr>
          <w:rFonts w:ascii="IRNazanin" w:hAnsi="IRNazanin" w:eastAsia="IRNazanin" w:cs="IRNazanin"/>
          <w:lang w:bidi="fa-IR"/>
          <w:color w:val="111111"/>
          <w:sz w:val="28"/>
          <w:szCs w:val="28"/>
          <w:rtl/>
        </w:rPr>
        <w:t xml:space="preserve">آغاز: حمد حد بی و کران و ثنای بیعدد و پایان واجب الوجودی را سزاست که جمیع اسرار کنت کنزاً مخفی در آینه قدرتش پیداست و درود سپاسی بی اندازه علام الغیوبی را سز است که تمام اسرار</w:t>
      </w:r>
    </w:p>
    <w:p>
      <w:pPr>
        <w:pStyle w:val="BookText"/>
      </w:pPr>
      <w:r>
        <w:rPr>
          <w:rFonts w:ascii="IRNazanin" w:hAnsi="IRNazanin" w:eastAsia="IRNazanin" w:cs="IRNazanin"/>
          <w:lang w:bidi="fa-IR"/>
          <w:color w:val="111111"/>
          <w:sz w:val="28"/>
          <w:szCs w:val="28"/>
          <w:rtl/>
        </w:rPr>
        <w:t xml:space="preserve">انجام: مدعی به هم زند بعد آیا چه شود بسفه نخواهد رفت اگر برود باز می آید و نفع ندارد و اگر ملاقات دوستان باشد بدو دفعه یا دو نفر ملاقات حاصل می شود قلعه و خانه بدو حامل شود در  یکطرف آن مدعی رخنه و ... و خواهد کرد</w:t>
      </w:r>
    </w:p>
    <w:p>
      <w:pPr>
        <w:pStyle w:val="BookText"/>
      </w:pPr>
      <w:r>
        <w:rPr>
          <w:rFonts w:ascii="Amiri" w:hAnsi="Amiri" w:eastAsia="Amiri" w:cs="Amiri"/>
          <w:lang w:bidi="ar-SA"/>
          <w:color w:val="111111"/>
          <w:sz w:val="28"/>
          <w:szCs w:val="28"/>
          <w:rtl/>
        </w:rPr>
        <w:t xml:space="preserve">[الذريعة ۵۳/۲ و ۲۱/۱۹]</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دائرة المعارف؛ شماره نسخه: ۱۶۳۵-عکسی</w:t>
      </w:r>
    </w:p>
    <w:p>
      <w:pPr>
        <w:pStyle w:val="BookText"/>
      </w:pPr>
      <w:r>
        <w:rPr>
          <w:rFonts w:ascii="IRNazanin" w:hAnsi="IRNazanin" w:eastAsia="IRNazanin" w:cs="IRNazanin"/>
          <w:lang w:bidi="fa-IR"/>
          <w:color w:val="111111"/>
          <w:sz w:val="28"/>
          <w:szCs w:val="28"/>
          <w:rtl/>
        </w:rPr>
        <w:t xml:space="preserve">آغاز و انجام: برابر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260" w:name="pg20365_260368"/>
    <w:bookmarkEnd w:id="260"/>
    <w:p>
      <w:pPr>
        <w:pStyle w:val="BookText"/>
      </w:pPr>
      <w:r>
        <w:rPr>
          <w:rFonts w:ascii="IRNazanin" w:hAnsi="IRNazanin" w:eastAsia="IRNazanin" w:cs="IRNazanin"/>
          <w:lang w:bidi="fa-IR"/>
          <w:color w:val="111111"/>
          <w:sz w:val="28"/>
          <w:szCs w:val="28"/>
          <w:rtl/>
        </w:rPr>
        <w:t xml:space="preserve">خط: شکسته  تحریری، بی کا، تا: ۱۲۵۹ق؛ با یادداشت: «ابراهیم اثیم در رمضان ۱۲۵۹ق که احکام آن مطابق نموده واقعیت ظاهر شد»، یادداشت دیگری در تایید نوشته «رضوان مكان محـمد ابراهیم خان  قاجار» با شکل های بسیار از گونه هایی که ماسه به خود گیرد؛ ۱۱۷ص، ۱۵ سطر (9/5</w:t>
      </w:r>
      <w:r>
        <w:rPr>
          <w:rFonts w:ascii="Times New Roman" w:hAnsi="Times New Roman" w:eastAsia="Times New Roman" w:cs="Times New Roman"/>
          <w:lang w:val="en-US" w:bidi="en-US"/>
          <w:color w:val="111111"/>
          <w:sz w:val="28"/>
          <w:szCs w:val="28"/>
          <w:rtl/>
        </w:rPr>
        <w:t xml:space="preserve">×26) </w:t>
      </w:r>
      <w:r>
        <w:rPr>
          <w:rFonts w:ascii="IRNazanin" w:hAnsi="IRNazanin" w:eastAsia="IRNazanin" w:cs="IRNazanin"/>
          <w:lang w:bidi="fa-IR"/>
          <w:color w:val="111111"/>
          <w:sz w:val="28"/>
          <w:szCs w:val="28"/>
          <w:rtl/>
        </w:rPr>
        <w:t xml:space="preserve">،اندازه: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۳۰سم[ف: 1- 22]</w:t>
      </w:r>
    </w:p>
    <w:p>
      <w:pPr>
        <w:pStyle w:val="BookText"/>
      </w:pPr>
      <w:r>
        <w:rPr>
          <w:rFonts w:ascii="IRNazanin" w:hAnsi="IRNazanin" w:eastAsia="IRNazanin" w:cs="IRNazanin"/>
          <w:lang w:bidi="fa-IR"/>
          <w:color w:val="111111"/>
          <w:sz w:val="28"/>
          <w:szCs w:val="28"/>
          <w:rtl/>
        </w:rPr>
        <w:t xml:space="preserve">۲ . قم؛ مرعشی؛ شماره نسخه: ۱۱۳۲۸/۶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شکسته  تحریری، کا: محمد حسین، تا: محـرم  ۱۲۶۶ق، جا: تهران؛ در پایان چند جدول در موضوع رمل آمـده :مهر :آیت الله مرعشی نجفی ،کاغذ: فرنگی آهار مهره، جـلد: تیماج حنایی ضربی ،مجدول ۲۷گ (۹۳-۶۷) ، ۲۵سطر (۱۰</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۲۸ - ۵۳۴]</w:t>
      </w:r>
    </w:p>
    <w:p>
      <w:pPr>
        <w:pStyle w:val="BookText"/>
      </w:pPr>
      <w:r>
        <w:rPr>
          <w:rFonts w:ascii="IRNazanin" w:hAnsi="IRNazanin" w:eastAsia="IRNazanin" w:cs="IRNazanin"/>
          <w:lang w:bidi="fa-IR"/>
          <w:color w:val="111111"/>
          <w:sz w:val="28"/>
          <w:szCs w:val="28"/>
          <w:rtl/>
        </w:rPr>
        <w:t xml:space="preserve">۳. تهران؛ سپهسالار؛ شماره نسخه: ۲۸۷۵</w:t>
      </w:r>
    </w:p>
    <w:p>
      <w:pPr>
        <w:pStyle w:val="BookText"/>
      </w:pPr>
      <w:r>
        <w:rPr>
          <w:rFonts w:ascii="IRNazanin" w:hAnsi="IRNazanin" w:eastAsia="IRNazanin" w:cs="IRNazanin"/>
          <w:lang w:bidi="fa-IR"/>
          <w:color w:val="111111"/>
          <w:sz w:val="28"/>
          <w:szCs w:val="28"/>
          <w:rtl/>
        </w:rPr>
        <w:t xml:space="preserve">خط: نستعلیق، بی کا، تا: سه شنبه ۲۸ شوال ۱۲۶۷ق؛ کاغذ: فرنگـی،جلد: تیماج مشکی یک  لا، ۸۰گ ، ۱۳ سطر، 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[ف: ۳-]</w:t>
      </w:r>
    </w:p>
    <w:p>
      <w:pPr>
        <w:pStyle w:val="BookText"/>
      </w:pPr>
      <w:r>
        <w:rPr>
          <w:rFonts w:ascii="IRNazanin" w:hAnsi="IRNazanin" w:eastAsia="IRNazanin" w:cs="IRNazanin"/>
          <w:lang w:bidi="fa-IR"/>
          <w:color w:val="111111"/>
          <w:sz w:val="28"/>
          <w:szCs w:val="28"/>
          <w:rtl/>
        </w:rPr>
        <w:t xml:space="preserve">4.تهران؛ ملک؛ شماره نسخه: ۳۱۷۰</w:t>
      </w:r>
    </w:p>
    <w:p>
      <w:pPr>
        <w:pStyle w:val="BookText"/>
      </w:pPr>
      <w:r>
        <w:rPr>
          <w:rFonts w:ascii="IRNazanin" w:hAnsi="IRNazanin" w:eastAsia="IRNazanin" w:cs="IRNazanin"/>
          <w:lang w:bidi="fa-IR"/>
          <w:color w:val="111111"/>
          <w:sz w:val="28"/>
          <w:szCs w:val="28"/>
          <w:rtl/>
        </w:rPr>
        <w:t xml:space="preserve">خط: شکسته، نستعلیق، بی کا، تا: ۱۴ ربیع الاول ۱۲۷۱ق؛ كاغذ: کاغذ آهار مهره  فرنگی ،جلد: میشن لایی قهوه ای، ۲۹گ،  14سطر ،اندازه: ۱۴/۴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۲۲/۸سم [ف: ۲ - ۲۵]</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قم؛ گلپایگانی؛ شماره نسخه: ۱۶۸۳/۳-۹/۲۳۳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نستعليق ،كا: على بن حسن  بحرانی ،تا :۱۲۷۳ق؛ جلد: تیماج قهوه ای، عطف و حاشیه تیماج مشکی دارای ترنج با سر، مجدول گرهی، ۱۲۵گ، ۱۲ سطر، اندازه: 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۱۳/۵سم [ف: ۱ - ۳۴۹]</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تهران؛ دائرة المعارف؛ شماره نسخه: ۲۰۷۶ -عکسی</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،شکسته، بی کا، تا: ٣ رجب ۱۲۹۰ق؛ ۱۱۶ص، 15سطر ،(9/5</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اندازه: 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۳۰سم [ف: ۱ - ۲۲]</w:t>
      </w:r>
    </w:p>
    <w:p>
      <w:pPr>
        <w:pStyle w:val="BookText"/>
      </w:pPr>
      <w:r>
        <w:rPr>
          <w:rFonts w:ascii="IRNazanin" w:hAnsi="IRNazanin" w:eastAsia="IRNazanin" w:cs="IRNazanin"/>
          <w:lang w:bidi="fa-IR"/>
          <w:color w:val="111111"/>
          <w:sz w:val="28"/>
          <w:szCs w:val="28"/>
          <w:rtl/>
        </w:rPr>
        <w:t xml:space="preserve">۷. تهران؛ مجلس؛ شماره نسخه: ۸۷۶۸</w:t>
      </w:r>
    </w:p>
    <w:p>
      <w:pPr>
        <w:pStyle w:val="BookText"/>
      </w:pPr>
      <w:r>
        <w:rPr>
          <w:rFonts w:ascii="IRNazanin" w:hAnsi="IRNazanin" w:eastAsia="IRNazanin" w:cs="IRNazanin"/>
          <w:lang w:bidi="fa-IR"/>
          <w:color w:val="111111"/>
          <w:sz w:val="28"/>
          <w:szCs w:val="28"/>
          <w:rtl/>
        </w:rPr>
        <w:t xml:space="preserve">خط: نسخ و نستعلیق، بی کا، تا: قرن  ۱۳، جهت مشهدی محـمد صادق؛ اشکال و عناوین به شنگرف؛ جلد: تیماج مشکی بدون مقوا با جدول ضربی، ۸۰گ، ۱۴ 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۱۷/۵سم [  28- 250]</w:t>
      </w:r>
    </w:p>
    <w:p>
      <w:pPr>
        <w:pStyle w:val="BookText"/>
      </w:pPr>
      <w:r>
        <w:rPr>
          <w:rFonts w:ascii="IRNazanin" w:hAnsi="IRNazanin" w:eastAsia="IRNazanin" w:cs="IRNazanin"/>
          <w:lang w:bidi="fa-IR"/>
          <w:color w:val="111111"/>
          <w:sz w:val="28"/>
          <w:szCs w:val="28"/>
          <w:rtl/>
        </w:rPr>
        <w:t xml:space="preserve">8.تهران؛ مجلس؛ شماره نسخه: ۱۶۴۷۴</w:t>
      </w:r>
    </w:p>
    <w:p>
      <w:pPr>
        <w:pStyle w:val="BookText"/>
      </w:pPr>
      <w:r>
        <w:rPr>
          <w:rFonts w:ascii="IRNazanin" w:hAnsi="IRNazanin" w:eastAsia="IRNazanin" w:cs="IRNazanin"/>
          <w:lang w:bidi="fa-IR"/>
          <w:color w:val="111111"/>
          <w:sz w:val="28"/>
          <w:szCs w:val="28"/>
          <w:rtl/>
        </w:rPr>
        <w:t xml:space="preserve">بی کا، تا: قرن  ۱۳، قطع: رقعی [د.ث. مجلس ]</w:t>
      </w:r>
    </w:p>
    <w:p>
      <w:pPr>
        <w:pStyle w:val="BookText"/>
      </w:pPr>
      <w:r>
        <w:rPr>
          <w:rFonts w:ascii="IRNazanin" w:hAnsi="IRNazanin" w:eastAsia="IRNazanin" w:cs="IRNazanin"/>
          <w:lang w:bidi="fa-IR"/>
          <w:color w:val="111111"/>
          <w:sz w:val="28"/>
          <w:szCs w:val="28"/>
          <w:rtl/>
        </w:rPr>
        <w:t xml:space="preserve">۹. تهران؛ مجلس؛ شماره نسخه: ۶۸۸۴</w:t>
      </w:r>
    </w:p>
    <w:p>
      <w:pPr>
        <w:pStyle w:val="BookText"/>
      </w:pPr>
      <w:r>
        <w:rPr>
          <w:rFonts w:ascii="IRNazanin" w:hAnsi="IRNazanin" w:eastAsia="IRNazanin" w:cs="IRNazanin"/>
          <w:lang w:bidi="fa-IR"/>
          <w:color w:val="111111"/>
          <w:sz w:val="28"/>
          <w:szCs w:val="28"/>
          <w:rtl/>
        </w:rPr>
        <w:t xml:space="preserve">خط: شکسته نستعلیق، بی کا ،تا :قرن ۱۳؛ روی برگ اول نام کتـاب و مؤلف آمده است ،مصحح، در برگ پایانی یادداشتی در رمل،جلد تیماج قهوه ای، ۶۲گ، ۱۲ سطر، اندازه: ۱۱</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۱۷سم [ف: 20- 319]</w:t>
      </w:r>
    </w:p>
    <w:p>
      <w:pPr>
        <w:pStyle w:val="BookText"/>
      </w:pPr>
      <w:r>
        <w:rPr>
          <w:rFonts w:ascii="IRNazanin" w:hAnsi="IRNazanin" w:eastAsia="IRNazanin" w:cs="IRNazanin"/>
          <w:lang w:bidi="fa-IR"/>
          <w:color w:val="111111"/>
          <w:sz w:val="28"/>
          <w:szCs w:val="28"/>
          <w:rtl/>
        </w:rPr>
        <w:t xml:space="preserve">۱۰ .تهران؛ ادبیات؛ شماره نسخه: ۳۴۵</w:t>
      </w:r>
    </w:p>
    <w:p>
      <w:pPr>
        <w:pStyle w:val="BookText"/>
      </w:pPr>
      <w:r>
        <w:rPr>
          <w:rFonts w:ascii="IRNazanin" w:hAnsi="IRNazanin" w:eastAsia="IRNazanin" w:cs="IRNazanin"/>
          <w:lang w:bidi="fa-IR"/>
          <w:color w:val="111111"/>
          <w:sz w:val="28"/>
          <w:szCs w:val="28"/>
          <w:rtl/>
        </w:rPr>
        <w:t xml:space="preserve">خط: نسخ، بی کا، تا: قرن ۱۳ [ف: ۳ - ۱۱]</w:t>
      </w:r>
    </w:p>
    <w:p>
      <w:pPr>
        <w:pStyle w:val="BookText"/>
      </w:pPr>
      <w:r>
        <w:rPr>
          <w:rFonts w:ascii="IRNazanin" w:hAnsi="IRNazanin" w:eastAsia="IRNazanin" w:cs="IRNazanin"/>
          <w:lang w:bidi="fa-IR"/>
          <w:color w:val="111111"/>
          <w:sz w:val="28"/>
          <w:szCs w:val="28"/>
          <w:rtl/>
        </w:rPr>
        <w:t xml:space="preserve">11.. قم؛ مسجد اعظم؛ شماره نسخه: ۳۴۴۴/۱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و نستعلیق، بی کا، تا: قرن ۱۳؛ جلد: تیماج سبز مجدول با ترنج و سر، ۹۰گ، ۱۵ 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مخ: ۱- ۱۴۶ ]</w:t>
      </w:r>
    </w:p>
    <w:p>
      <w:pPr>
        <w:pStyle w:val="BookText"/>
      </w:pPr>
      <w:r>
        <w:rPr>
          <w:rFonts w:ascii="IRNazanin" w:hAnsi="IRNazanin" w:eastAsia="IRNazanin" w:cs="IRNazanin"/>
          <w:lang w:bidi="fa-IR"/>
          <w:color w:val="111111"/>
          <w:sz w:val="28"/>
          <w:szCs w:val="28"/>
          <w:rtl/>
        </w:rPr>
        <w:t xml:space="preserve">۱۲. تهران؛ دائرة المعارف؛ شماره نسخه: ۱۹۵۲- عکسی</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تحریری، کا: محمد حسن بن ابوالقاسم قاجار، تا: چهارشنبه ۱۴ محرم ۱۳۲۵ق؛ ۲۳۷ ص ۱۴ سطر (۷/۵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۳۰سم [ف: ۱ - ۲۲]</w:t>
      </w:r>
    </w:p>
    <w:p>
      <w:pPr>
        <w:pStyle w:val="BookText"/>
      </w:pPr>
      <w:r>
        <w:rPr>
          <w:rFonts w:ascii="IRNazanin" w:hAnsi="IRNazanin" w:eastAsia="IRNazanin" w:cs="IRNazanin"/>
          <w:lang w:bidi="fa-IR"/>
          <w:color w:val="111111"/>
          <w:sz w:val="28"/>
          <w:szCs w:val="28"/>
          <w:rtl/>
        </w:rPr>
        <w:t xml:space="preserve">۱۳. تهران؛ دانشگاه؛ شماره نسخه: ۸۶۶/۸</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شکسته نستعلیق، بی کا، بی تا؛ کاغذ: فرنگی، جلد: تیماج زرد، (۱۵۷پ-۲۵۷پ)، ۲۰ و ۲۱ سطر (8</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 ف: ۴ - ۹۶۲]</w:t>
      </w:r>
    </w:p>
    <w:p>
      <w:pPr>
        <w:pStyle w:val="BookText"/>
      </w:pPr>
      <w:r>
        <w:rPr>
          <w:rFonts w:ascii="IRNazanin" w:hAnsi="IRNazanin" w:eastAsia="IRNazanin" w:cs="IRNazanin"/>
          <w:lang w:bidi="fa-IR"/>
          <w:color w:val="111111"/>
          <w:sz w:val="28"/>
          <w:szCs w:val="28"/>
          <w:rtl/>
        </w:rPr>
        <w:t xml:space="preserve">۱۴. تهران؛ دانشگاه؛ شماره نسخه: ۸۶۷/۱</w:t>
      </w:r>
    </w:p>
    <w:p>
      <w:pPr>
        <w:pStyle w:val="BookText"/>
      </w:pPr>
      <w:r>
        <w:rPr>
          <w:rFonts w:ascii="IRNazanin" w:hAnsi="IRNazanin" w:eastAsia="IRNazanin" w:cs="IRNazanin"/>
          <w:lang w:bidi="fa-IR"/>
          <w:color w:val="111111"/>
          <w:sz w:val="28"/>
          <w:szCs w:val="28"/>
          <w:rtl/>
        </w:rPr>
        <w:t xml:space="preserve">بی کا، بی تا، کاغذ: آبی رنگ، ۵۷گ (۱-۵۷)، ۱۴ سطر (۶/۵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اندازه: 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۱۷/۱۰سم [ف: ۲ - ۷۲۸]</w:t>
      </w:r>
    </w:p>
    <w:p>
      <w:pPr>
        <w:pStyle w:val="Heading3"/>
      </w:pPr>
      <w:bookmarkStart w:id="1402" w:name="_Toc924"/>
      <w:r>
        <w:t>اسرار الغيوب / فقه / فارسی</w:t>
      </w:r>
      <w:bookmarkEnd w:id="1402"/>
    </w:p>
    <w:p>
      <w:pPr>
        <w:pStyle w:val="BookText"/>
      </w:pPr>
      <w:r>
        <w:rPr>
          <w:rFonts w:ascii="Times New Roman" w:hAnsi="Times New Roman" w:eastAsia="Times New Roman" w:cs="Times New Roman"/>
          <w:lang w:val="en-US" w:bidi="en-US"/>
          <w:color w:val="111111"/>
          <w:sz w:val="28"/>
          <w:szCs w:val="28"/>
          <w:rtl/>
        </w:rPr>
        <w:t xml:space="preserve">asrār-ol-qoyūb</w:t>
      </w:r>
    </w:p>
    <w:p>
      <w:pPr>
        <w:pStyle w:val="BookText"/>
      </w:pPr>
      <w:r>
        <w:rPr>
          <w:rFonts w:ascii="IRNazanin" w:hAnsi="IRNazanin" w:eastAsia="IRNazanin" w:cs="IRNazanin"/>
          <w:lang w:bidi="fa-IR"/>
          <w:color w:val="111111"/>
          <w:sz w:val="28"/>
          <w:szCs w:val="28"/>
          <w:rtl/>
        </w:rPr>
        <w:t xml:space="preserve">مشهد؛ رضوی؛ شماره نسخه: ۵۶۴۲</w:t>
      </w:r>
    </w:p>
    <w:p>
      <w:pPr>
        <w:pStyle w:val="BookText"/>
      </w:pPr>
      <w:r>
        <w:rPr>
          <w:rFonts w:ascii="IRNazanin" w:hAnsi="IRNazanin" w:eastAsia="IRNazanin" w:cs="IRNazanin"/>
          <w:lang w:bidi="fa-IR"/>
          <w:color w:val="111111"/>
          <w:sz w:val="28"/>
          <w:szCs w:val="28"/>
          <w:rtl/>
        </w:rPr>
        <w:t xml:space="preserve">آغاز: بسمله الحمد لله ... من المتمسكين بولایه؛ انجام: لاحول و لاقوه الا بالله العلى العظيم وصلى الله على محمد و آله الطاهرين</w:t>
      </w:r>
    </w:p>
    <w:p>
      <w:pPr>
        <w:pStyle w:val="BookText"/>
      </w:pPr>
      <w:r>
        <w:rPr>
          <w:rFonts w:ascii="IRNazanin" w:hAnsi="IRNazanin" w:eastAsia="IRNazanin" w:cs="IRNazanin"/>
          <w:lang w:bidi="fa-IR"/>
          <w:color w:val="111111"/>
          <w:sz w:val="28"/>
          <w:szCs w:val="28"/>
          <w:rtl/>
        </w:rPr>
        <w:t xml:space="preserve">خط: نستعلیق، بی کا، بی تا [الفبائی: ۴۷]</w:t>
      </w:r>
    </w:p>
    <w:p>
      <w:pPr>
        <w:pStyle w:val="Heading3"/>
      </w:pPr>
      <w:bookmarkStart w:id="1403" w:name="_Toc925"/>
      <w:r>
        <w:t>اسرار الفاتحة (رسالة فی) / تفسیر / عربی</w:t>
      </w:r>
      <w:bookmarkEnd w:id="1403"/>
    </w:p>
    <w:p>
      <w:pPr>
        <w:pStyle w:val="BookText"/>
      </w:pPr>
      <w:r>
        <w:rPr>
          <w:rFonts w:ascii="Times New Roman" w:hAnsi="Times New Roman" w:eastAsia="Times New Roman" w:cs="Times New Roman"/>
          <w:lang w:val="en-US" w:bidi="en-US"/>
          <w:color w:val="111111"/>
          <w:sz w:val="28"/>
          <w:szCs w:val="28"/>
          <w:rtl/>
        </w:rPr>
        <w:t xml:space="preserve">(asrār-ul fātiḥa (r. fī)</w:t>
      </w:r>
    </w:p>
    <w:p>
      <w:pPr>
        <w:pStyle w:val="BookText"/>
      </w:pPr>
      <w:r>
        <w:rPr>
          <w:rFonts w:ascii="IRNazanin" w:hAnsi="IRNazanin" w:eastAsia="IRNazanin" w:cs="IRNazanin"/>
          <w:lang w:bidi="fa-IR"/>
          <w:color w:val="111111"/>
          <w:sz w:val="28"/>
          <w:szCs w:val="28"/>
          <w:rtl/>
        </w:rPr>
        <w:t xml:space="preserve">قم؛ مرعشی؛ شماره نسخه: ۱۰۹۴۳/۱</w:t>
      </w:r>
    </w:p>
    <w:p>
      <w:pPr>
        <w:pStyle w:val="BookText"/>
      </w:pPr>
      <w:r>
        <w:rPr>
          <w:rFonts w:ascii="IRNazanin" w:hAnsi="IRNazanin" w:eastAsia="IRNazanin" w:cs="IRNazanin"/>
          <w:lang w:bidi="fa-IR"/>
          <w:color w:val="111111"/>
          <w:sz w:val="28"/>
          <w:szCs w:val="28"/>
          <w:rtl/>
        </w:rPr>
        <w:t xml:space="preserve">كا: ابراهيم بن على حفيد بكلى  افندی، تا: قرن ۱۳؛ جا: ترکیه عثمانی؛ قطع: رقعی بزرگ [میراث شهاب: س ۹ش ۲ - ۳۶]</w:t>
      </w:r>
    </w:p>
    <w:p>
      <w:pPr>
        <w:pStyle w:val="BookText"/>
      </w:pPr>
      <w:r>
        <w:rPr>
          <w:rFonts w:ascii="IRNazanin" w:hAnsi="IRNazanin" w:eastAsia="IRNazanin" w:cs="IRNazanin"/>
          <w:lang w:bidi="fa-IR"/>
          <w:color w:val="111111"/>
          <w:sz w:val="28"/>
          <w:szCs w:val="28"/>
          <w:rtl/>
        </w:rPr>
        <w:t xml:space="preserve">«اسرار فراموش خانه » فراموشخانه</w:t>
      </w:r>
    </w:p>
    <w:p>
      <w:pPr>
        <w:pStyle w:val="Heading3"/>
      </w:pPr>
      <w:bookmarkStart w:id="1404" w:name="_Toc926"/>
      <w:r>
        <w:t>اسرار فراموشخانه / متفرقه / فارسی</w:t>
      </w:r>
      <w:bookmarkEnd w:id="1404"/>
    </w:p>
    <w:p>
      <w:pPr>
        <w:pStyle w:val="BookText"/>
      </w:pPr>
      <w:r>
        <w:rPr>
          <w:rFonts w:ascii="Times New Roman" w:hAnsi="Times New Roman" w:eastAsia="Times New Roman" w:cs="Times New Roman"/>
          <w:lang w:val="en-US" w:bidi="en-US"/>
          <w:color w:val="111111"/>
          <w:sz w:val="28"/>
          <w:szCs w:val="28"/>
          <w:rtl/>
        </w:rPr>
        <w:t xml:space="preserve">asrar-e farāmūš-xāne</w:t>
      </w:r>
    </w:p>
    <w:p>
      <w:pPr>
        <w:pStyle w:val="BookText"/>
      </w:pPr>
      <w:r>
        <w:rPr>
          <w:rFonts w:ascii="IRNazanin" w:hAnsi="IRNazanin" w:eastAsia="IRNazanin" w:cs="IRNazanin"/>
          <w:lang w:bidi="fa-IR"/>
          <w:color w:val="111111"/>
          <w:sz w:val="28"/>
          <w:szCs w:val="28"/>
          <w:rtl/>
        </w:rPr>
        <w:t xml:space="preserve">نویسنده که از قرار معلوم عضو فراموش خانه بوده از فراموشخانه مطالبی یاد می کند و نتیجه می گیرد که تفکر راجع به استقرار دین و قوام دولت از اسرار این مجمع است. ظاهراً مخاطب در این کتابچه عالم دینی است که نگارنده مطالب خود را برای او نقل می کند.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261" w:name="pg20365_260369"/>
    <w:bookmarkEnd w:id="261"/>
    <w:p>
      <w:pPr>
        <w:pStyle w:val="BookText"/>
      </w:pPr>
      <w:r>
        <w:rPr>
          <w:rFonts w:ascii="IRNazanin" w:hAnsi="IRNazanin" w:eastAsia="IRNazanin" w:cs="IRNazanin"/>
          <w:lang w:bidi="fa-IR"/>
          <w:color w:val="111111"/>
          <w:sz w:val="28"/>
          <w:szCs w:val="28"/>
          <w:rtl/>
        </w:rPr>
        <w:t xml:space="preserve">تهران؛ ملی؛ شماره نسخه: ۱۴۹/۱۲</w:t>
      </w:r>
    </w:p>
    <w:p>
      <w:pPr>
        <w:pStyle w:val="BookText"/>
      </w:pPr>
      <w:r>
        <w:rPr>
          <w:rFonts w:ascii="IRNazanin" w:hAnsi="IRNazanin" w:eastAsia="IRNazanin" w:cs="IRNazanin"/>
          <w:lang w:bidi="fa-IR"/>
          <w:color w:val="111111"/>
          <w:sz w:val="28"/>
          <w:szCs w:val="28"/>
          <w:rtl/>
        </w:rPr>
        <w:t xml:space="preserve">آغاز: کتابچه موسوم باسرار فراموشخانه جناب آقا داستان فراموشخانه البته بعرض شما رسیده است جمعی در تحقیق این مسئله متحیر مانده اند؛ انجام: در تقديرات الهى حكيم علی الاطلاق چه رمزهای نگفتنی بوده است من آنچه باید بگویم گـفتم حال وقت تحقیق شماست</w:t>
      </w:r>
    </w:p>
    <w:p>
      <w:pPr>
        <w:pStyle w:val="BookText"/>
      </w:pPr>
      <w:r>
        <w:rPr>
          <w:rFonts w:ascii="IRNazanin" w:hAnsi="IRNazanin" w:eastAsia="IRNazanin" w:cs="IRNazanin"/>
          <w:lang w:bidi="fa-IR"/>
          <w:color w:val="111111"/>
          <w:sz w:val="28"/>
          <w:szCs w:val="28"/>
          <w:rtl/>
        </w:rPr>
        <w:t xml:space="preserve">خط: نستعلیق شکسته  خوش ،کا: ابوتراب  طباطبائی ،تا: ۱۳۰۱ق، جا: تبریز؛ کاغذ: فرنگی ،جلد: تیماج  قرمز، مقوایی ضربی، ۲۱ ص (۳۰۴-۳۱۵)، ۱۶ سطر ،(۹/۵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 اندازه: 16/5</w:t>
      </w:r>
      <w:r>
        <w:rPr>
          <w:rFonts w:ascii="Times New Roman" w:hAnsi="Times New Roman" w:eastAsia="Times New Roman" w:cs="Times New Roman"/>
          <w:lang w:val="en-US" w:bidi="en-US"/>
          <w:color w:val="111111"/>
          <w:sz w:val="28"/>
          <w:szCs w:val="28"/>
          <w:rtl/>
        </w:rPr>
        <w:t xml:space="preserve">×25</w:t>
      </w:r>
      <w:r>
        <w:rPr>
          <w:rFonts w:ascii="IRNazanin" w:hAnsi="IRNazanin" w:eastAsia="IRNazanin" w:cs="IRNazanin"/>
          <w:lang w:bidi="fa-IR"/>
          <w:color w:val="111111"/>
          <w:sz w:val="28"/>
          <w:szCs w:val="28"/>
          <w:rtl/>
        </w:rPr>
        <w:t xml:space="preserve">سم[ ف: ۱ - ۱۵۲]</w:t>
      </w:r>
    </w:p>
    <w:p>
      <w:pPr>
        <w:pStyle w:val="Heading3"/>
      </w:pPr>
      <w:bookmarkStart w:id="1405" w:name="_Toc927"/>
      <w:r>
        <w:t>اسرار الفقراء / عرفان و تصوف / فارسی</w:t>
      </w:r>
      <w:bookmarkEnd w:id="1405"/>
    </w:p>
    <w:p>
      <w:pPr>
        <w:pStyle w:val="BookText"/>
      </w:pPr>
      <w:r>
        <w:rPr>
          <w:rFonts w:ascii="Times New Roman" w:hAnsi="Times New Roman" w:eastAsia="Times New Roman" w:cs="Times New Roman"/>
          <w:lang w:val="en-US" w:bidi="en-US"/>
          <w:color w:val="111111"/>
          <w:sz w:val="28"/>
          <w:szCs w:val="28"/>
          <w:rtl/>
        </w:rPr>
        <w:t xml:space="preserve">asrār-ol-foqarā’</w:t>
      </w:r>
    </w:p>
    <w:p>
      <w:pPr>
        <w:pStyle w:val="BookText"/>
      </w:pPr>
      <w:r>
        <w:rPr>
          <w:rFonts w:ascii="IRNazanin" w:hAnsi="IRNazanin" w:eastAsia="IRNazanin" w:cs="IRNazanin"/>
          <w:lang w:bidi="fa-IR"/>
          <w:color w:val="111111"/>
          <w:sz w:val="28"/>
          <w:szCs w:val="28"/>
          <w:rtl/>
        </w:rPr>
        <w:t xml:space="preserve">قزوینی، علی بن غلامعلی</w:t>
      </w:r>
    </w:p>
    <w:p>
      <w:pPr>
        <w:pStyle w:val="BookText"/>
      </w:pPr>
      <w:r>
        <w:rPr>
          <w:rFonts w:ascii="Times New Roman" w:hAnsi="Times New Roman" w:eastAsia="Times New Roman" w:cs="Times New Roman"/>
          <w:lang w:val="en-US" w:bidi="en-US"/>
          <w:color w:val="111111"/>
          <w:sz w:val="28"/>
          <w:szCs w:val="28"/>
          <w:rtl/>
        </w:rPr>
        <w:t xml:space="preserve">qazvīnī, ‘alī ebn-e qolām ‘alī</w:t>
      </w:r>
    </w:p>
    <w:p>
      <w:pPr>
        <w:pStyle w:val="BookText"/>
      </w:pPr>
      <w:r>
        <w:rPr>
          <w:rFonts w:ascii="IRNazanin" w:hAnsi="IRNazanin" w:eastAsia="IRNazanin" w:cs="IRNazanin"/>
          <w:lang w:bidi="fa-IR"/>
          <w:color w:val="111111"/>
          <w:sz w:val="28"/>
          <w:szCs w:val="28"/>
          <w:rtl/>
        </w:rPr>
        <w:t xml:space="preserve">شرح مفصلی است بر اجزاء و کلمات شریفه نماز با عناوین «سر». ابتدا بخش هایی از یک کتاب را که به عربی است آورده سپس با خطاب های «فقیر ،درویش، عزیز» با استفاده از آیات روایات و اشعار به شرح آن پرداخته است. متن این کتاب سجع مانند است.</w:t>
      </w:r>
    </w:p>
    <w:p>
      <w:pPr>
        <w:pStyle w:val="BookText"/>
      </w:pPr>
      <w:r>
        <w:rPr>
          <w:rFonts w:ascii="IRNazanin" w:hAnsi="IRNazanin" w:eastAsia="IRNazanin" w:cs="IRNazanin"/>
          <w:lang w:bidi="fa-IR"/>
          <w:color w:val="111111"/>
          <w:sz w:val="28"/>
          <w:szCs w:val="28"/>
          <w:rtl/>
        </w:rPr>
        <w:t xml:space="preserve">آغاز: حمد بی حد واجب الوجودى راسزد که به نوری از انوار عبدی اطعنى حتى اجعلك مثلى ... الواح قلوب عابدان و زاهدان را که مظهر غرایب صنع قضا و قدر است</w:t>
      </w:r>
    </w:p>
    <w:p>
      <w:pPr>
        <w:pStyle w:val="BookText"/>
      </w:pPr>
      <w:r>
        <w:rPr>
          <w:rFonts w:ascii="IRNazanin" w:hAnsi="IRNazanin" w:eastAsia="IRNazanin" w:cs="IRNazanin"/>
          <w:lang w:bidi="fa-IR"/>
          <w:color w:val="111111"/>
          <w:sz w:val="28"/>
          <w:szCs w:val="28"/>
          <w:rtl/>
        </w:rPr>
        <w:t xml:space="preserve">قم؛ مسجد اعظم؛ شماره نسخه: ۳۵۷۸</w:t>
      </w:r>
    </w:p>
    <w:p>
      <w:pPr>
        <w:pStyle w:val="BookText"/>
      </w:pPr>
      <w:r>
        <w:rPr>
          <w:rFonts w:ascii="IRNazanin" w:hAnsi="IRNazanin" w:eastAsia="IRNazanin" w:cs="IRNazanin"/>
          <w:lang w:bidi="fa-IR"/>
          <w:color w:val="111111"/>
          <w:sz w:val="28"/>
          <w:szCs w:val="28"/>
          <w:rtl/>
        </w:rPr>
        <w:t xml:space="preserve">آغاز: برابر؛ انجام: و کوفی و شامی به شهادات آن بزرگوار ناظره ناله استغاثه هل من ناصر ینصرنی و معین یعیننی وی را سامعه این است لعنت ابدى الالعنة الله على القوم الظالمین از همگی بر همگی وارده و لكن هذا آخر اسرار الصلاة</w:t>
      </w:r>
    </w:p>
    <w:p>
      <w:pPr>
        <w:pStyle w:val="BookText"/>
      </w:pPr>
      <w:r>
        <w:rPr>
          <w:rFonts w:ascii="IRNazanin" w:hAnsi="IRNazanin" w:eastAsia="IRNazanin" w:cs="IRNazanin"/>
          <w:lang w:bidi="fa-IR"/>
          <w:color w:val="111111"/>
          <w:sz w:val="28"/>
          <w:szCs w:val="28"/>
          <w:rtl/>
        </w:rPr>
        <w:t xml:space="preserve">خط: نستعلیق، بی کا، بی تا :جلد: تیماج قهوه ای ترنج و سر، ۳۰۰گ، مختلف السطر ، اندازه: ۲۰</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۳۳سم [ف مخ: ۱ - ۱۴۷]</w:t>
      </w:r>
    </w:p>
    <w:p>
      <w:pPr>
        <w:pStyle w:val="BookText"/>
      </w:pPr>
      <w:r>
        <w:rPr>
          <w:rFonts w:ascii="Amiri" w:hAnsi="Amiri" w:eastAsia="Amiri" w:cs="Amiri"/>
          <w:lang w:bidi="ar-SA"/>
          <w:color w:val="111111"/>
          <w:sz w:val="28"/>
          <w:szCs w:val="28"/>
          <w:rtl/>
        </w:rPr>
        <w:t xml:space="preserve">«اسرار الفلك » احكام القرانات و تحويل سنى العالم</w:t>
      </w:r>
    </w:p>
    <w:p>
      <w:pPr>
        <w:pStyle w:val="BookText"/>
      </w:pPr>
      <w:r>
        <w:rPr>
          <w:rFonts w:ascii="IRNazanin" w:hAnsi="IRNazanin" w:eastAsia="IRNazanin" w:cs="IRNazanin"/>
          <w:lang w:bidi="fa-IR"/>
          <w:color w:val="111111"/>
          <w:sz w:val="28"/>
          <w:szCs w:val="28"/>
          <w:rtl/>
        </w:rPr>
        <w:t xml:space="preserve">«اسرار الفلك » قرآن کریم (مترجم)</w:t>
      </w:r>
    </w:p>
    <w:p>
      <w:pPr>
        <w:pStyle w:val="Heading3"/>
      </w:pPr>
      <w:bookmarkStart w:id="1406" w:name="_Toc928"/>
      <w:r>
        <w:t>اسرار الفلک = کتاب ابن وحشيه / هیئت / عربی</w:t>
      </w:r>
      <w:bookmarkEnd w:id="1406"/>
    </w:p>
    <w:p>
      <w:pPr>
        <w:pStyle w:val="BookText"/>
      </w:pPr>
      <w:r>
        <w:rPr>
          <w:rFonts w:ascii="Times New Roman" w:hAnsi="Times New Roman" w:eastAsia="Times New Roman" w:cs="Times New Roman"/>
          <w:lang w:val="en-US" w:bidi="en-US"/>
          <w:color w:val="111111"/>
          <w:sz w:val="28"/>
          <w:szCs w:val="28"/>
          <w:rtl/>
        </w:rPr>
        <w:t xml:space="preserve">asrār-ul-falak = k.-u ibn-i waḥšīyya</w:t>
      </w:r>
    </w:p>
    <w:p>
      <w:pPr>
        <w:pStyle w:val="BookText"/>
      </w:pPr>
      <w:r>
        <w:rPr>
          <w:rFonts w:ascii="IRNazanin" w:hAnsi="IRNazanin" w:eastAsia="IRNazanin" w:cs="IRNazanin"/>
          <w:lang w:bidi="fa-IR"/>
          <w:color w:val="111111"/>
          <w:sz w:val="28"/>
          <w:szCs w:val="28"/>
          <w:rtl/>
        </w:rPr>
        <w:t xml:space="preserve">ابن  وحشیه، احمد بن علی - ۲۹۶ قمری</w:t>
      </w:r>
    </w:p>
    <w:p>
      <w:pPr>
        <w:pStyle w:val="BookText"/>
      </w:pPr>
      <w:r>
        <w:rPr>
          <w:rFonts w:ascii="Times New Roman" w:hAnsi="Times New Roman" w:eastAsia="Times New Roman" w:cs="Times New Roman"/>
          <w:lang w:val="en-US" w:bidi="en-US"/>
          <w:color w:val="111111"/>
          <w:sz w:val="28"/>
          <w:szCs w:val="28"/>
          <w:rtl/>
        </w:rPr>
        <w:t xml:space="preserve">(ebn-e vahšīya, ahmad ebn-e ‘alī (- 910)</w:t>
      </w:r>
    </w:p>
    <w:p>
      <w:pPr>
        <w:pStyle w:val="BookText"/>
      </w:pPr>
      <w:r>
        <w:rPr>
          <w:rFonts w:ascii="IRNazanin" w:hAnsi="IRNazanin" w:eastAsia="IRNazanin" w:cs="IRNazanin"/>
          <w:lang w:bidi="fa-IR"/>
          <w:color w:val="111111"/>
          <w:sz w:val="28"/>
          <w:szCs w:val="28"/>
          <w:rtl/>
        </w:rPr>
        <w:t xml:space="preserve">گفتاری است در ستاره شناسی و پیشگویی و در آغاز آن چندبار از «اسرار الفلک» و ترجمه آن به گونه ای یاد کرده که می توان آن را نام کتاب دانست مؤلف این کتاب را بر ابن زیات امـلاء کرده است. این ابن زیات همان است که روایت همه یا بیشتر کارهای ابن وحشیه از اوست، تا آنجا که گفته شده است ابن وحشيه شخص ساختگی ذهن او بوده باشد. از این ابن زیات نیز آگاهی چندانی در دست نیست این کتاب بخش بندی نشده نسخه دردست ۵ بار سربند «بسمله» را دارد و شش رساله یا پنج مقاله از یک کتاب را ماند.</w:t>
      </w:r>
    </w:p>
    <w:p>
      <w:pPr>
        <w:pStyle w:val="BookText"/>
      </w:pPr>
      <w:r>
        <w:rPr>
          <w:rFonts w:ascii="IRNazanin" w:hAnsi="IRNazanin" w:eastAsia="IRNazanin" w:cs="IRNazanin"/>
          <w:lang w:bidi="fa-IR"/>
          <w:color w:val="111111"/>
          <w:sz w:val="28"/>
          <w:szCs w:val="28"/>
          <w:rtl/>
        </w:rPr>
        <w:t xml:space="preserve">آغاز: ۱: بسمله قال ابوبكر بن ويس الصوفى الكندي المعروف به ابن وحشیه، لابی طالب احمد بن الحسين بن على بن احمد ... الزيات اعلم ان حكماء القبط القدماء الذين  كانو يسكنون اقليم بابل و هو الذي سمى بعدهم  العراق، كانوا اعلم و افضل من جميع انواع القبط و هم الجيل الذى كانوا آخرهم و بقاياهم على  عهد بخت نصر و كان وزيره</w:t>
      </w:r>
    </w:p>
    <w:p>
      <w:pPr>
        <w:pStyle w:val="BookText"/>
      </w:pPr>
      <w:r>
        <w:rPr>
          <w:rFonts w:ascii="IRNazanin" w:hAnsi="IRNazanin" w:eastAsia="IRNazanin" w:cs="IRNazanin"/>
          <w:lang w:bidi="fa-IR"/>
          <w:color w:val="111111"/>
          <w:sz w:val="28"/>
          <w:szCs w:val="28"/>
          <w:rtl/>
        </w:rPr>
        <w:t xml:space="preserve">۲: بسمله قال روایای اعلموا معشر طالبی العلم و ابنا التعليم ان ابانا القدماء كانوا يأخذون من افعال النيرين و الكوكبين من العالم العلوى فى العالم السفلى</w:t>
      </w:r>
    </w:p>
    <w:p>
      <w:pPr>
        <w:pStyle w:val="BookText"/>
      </w:pPr>
      <w:r>
        <w:rPr>
          <w:rFonts w:ascii="Amiri" w:hAnsi="Amiri" w:eastAsia="Amiri" w:cs="Amiri"/>
          <w:lang w:bidi="ar-SA"/>
          <w:color w:val="111111"/>
          <w:sz w:val="28"/>
          <w:szCs w:val="28"/>
          <w:rtl/>
        </w:rPr>
        <w:t xml:space="preserve">3:بسمله و به الاعانة. و هذا باب آخر فات (؟) الكواكب و ماتدل عليه من امتزاج افعالها بافعال الشمس وان كانت اذا احترقت صارت كالبالطلة</w:t>
      </w:r>
    </w:p>
    <w:p>
      <w:pPr>
        <w:pStyle w:val="BookText"/>
      </w:pPr>
      <w:r>
        <w:rPr>
          <w:rFonts w:ascii="Amiri" w:hAnsi="Amiri" w:eastAsia="Amiri" w:cs="Amiri"/>
          <w:lang w:bidi="ar-SA"/>
          <w:color w:val="111111"/>
          <w:sz w:val="28"/>
          <w:szCs w:val="28"/>
          <w:rtl/>
        </w:rPr>
        <w:t xml:space="preserve">۴: بسمله و به الاعانة. قال رواياى الحكيم السيد اعلموا ان للزهرة و عطارد احتراقين احدهما كان قدمانا يسمونه</w:t>
      </w:r>
    </w:p>
    <w:p>
      <w:pPr>
        <w:pStyle w:val="BookText"/>
      </w:pPr>
      <w:r>
        <w:rPr>
          <w:rFonts w:ascii="Amiri" w:hAnsi="Amiri" w:eastAsia="Amiri" w:cs="Amiri"/>
          <w:lang w:bidi="ar-SA"/>
          <w:color w:val="111111"/>
          <w:sz w:val="28"/>
          <w:szCs w:val="28"/>
          <w:rtl/>
        </w:rPr>
        <w:t xml:space="preserve">۵ :بسمله و به الاعانة. قد بينا من افعال الكواكب ومقارنتها  للشمس ما فيه كفاية باحتراقها و اجتماعها مع الشمس.</w:t>
      </w:r>
    </w:p>
    <w:p>
      <w:pPr>
        <w:pStyle w:val="BookText"/>
      </w:pPr>
      <w:r>
        <w:rPr>
          <w:rFonts w:ascii="IRNazanin" w:hAnsi="IRNazanin" w:eastAsia="IRNazanin" w:cs="IRNazanin"/>
          <w:lang w:bidi="fa-IR"/>
          <w:color w:val="111111"/>
          <w:sz w:val="28"/>
          <w:szCs w:val="28"/>
          <w:rtl/>
        </w:rPr>
        <w:t xml:space="preserve">[ دائرة المعارف بزرگ ۳۱۳/۱ و ۶۷/۵؛ ابن وحشيه بغدادی، هدیه ۵۵/۱ که  «اسرار الفلک» را ندارد]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دائرة المعارف؛ شماره نسخه: ۱۹۱۲/۲-عکسی</w:t>
      </w:r>
    </w:p>
    <w:p>
      <w:pPr>
        <w:pStyle w:val="BookText"/>
      </w:pPr>
      <w:r>
        <w:rPr>
          <w:rFonts w:ascii="Amiri" w:hAnsi="Amiri" w:eastAsia="Amiri" w:cs="Amiri"/>
          <w:lang w:bidi="ar-SA"/>
          <w:color w:val="111111"/>
          <w:sz w:val="28"/>
          <w:szCs w:val="28"/>
          <w:rtl/>
        </w:rPr>
        <w:t xml:space="preserve">آغاز: برابر؛ انجام: معمول ريح الشاة و هو ما كان مستخرجة القدر ماء في قديم الدهر. تم القول على هذه المقالة  و الحمد لله رب العالمين و ....</w:t>
      </w:r>
    </w:p>
    <w:p>
      <w:pPr>
        <w:pStyle w:val="BookText"/>
      </w:pPr>
      <w:r>
        <w:rPr>
          <w:rFonts w:ascii="IRNazanin" w:hAnsi="IRNazanin" w:eastAsia="IRNazanin" w:cs="IRNazanin"/>
          <w:lang w:bidi="fa-IR"/>
          <w:color w:val="111111"/>
          <w:sz w:val="28"/>
          <w:szCs w:val="28"/>
          <w:rtl/>
        </w:rPr>
        <w:t xml:space="preserve">خط: نستعلیق  پخته، بی کا، تا: قرن ۱۰؛ ۱۴۲ص (۱۲۰-۲۶۱) [ف: ۱  - 313]</w:t>
      </w:r>
    </w:p>
    <w:p>
      <w:pPr>
        <w:pStyle w:val="BookText"/>
      </w:pPr>
      <w:r>
        <w:rPr>
          <w:rFonts w:ascii="IRNazanin" w:hAnsi="IRNazanin" w:eastAsia="IRNazanin" w:cs="IRNazanin"/>
          <w:lang w:bidi="fa-IR"/>
          <w:color w:val="111111"/>
          <w:sz w:val="28"/>
          <w:szCs w:val="28"/>
          <w:rtl/>
        </w:rPr>
        <w:t xml:space="preserve">۲. تهران؛ مهدوی؛ شماره نسخه: ۳۰۶/۲</w:t>
      </w:r>
    </w:p>
    <w:p>
      <w:pPr>
        <w:pStyle w:val="BookText"/>
      </w:pPr>
      <w:r>
        <w:rPr>
          <w:rFonts w:ascii="Amiri" w:hAnsi="Amiri" w:eastAsia="Amiri" w:cs="Amiri"/>
          <w:lang w:bidi="ar-SA"/>
          <w:color w:val="111111"/>
          <w:sz w:val="28"/>
          <w:szCs w:val="28"/>
          <w:rtl/>
        </w:rPr>
        <w:t xml:space="preserve">آغاز: برابر؛ انجام: و يقبله في هذا العالم السفلى سريعا. تم هذا  الكتاب ... تعالى عما يصفون تم كتاب اسرار الفلك</w:t>
      </w:r>
    </w:p>
    <w:p>
      <w:pPr>
        <w:pStyle w:val="BookText"/>
      </w:pPr>
      <w:r>
        <w:rPr>
          <w:rFonts w:ascii="IRNazanin" w:hAnsi="IRNazanin" w:eastAsia="IRNazanin" w:cs="IRNazanin"/>
          <w:lang w:bidi="fa-IR"/>
          <w:color w:val="111111"/>
          <w:sz w:val="28"/>
          <w:szCs w:val="28"/>
          <w:rtl/>
        </w:rPr>
        <w:t xml:space="preserve">خط: نسخ پخته؛ بی کا، تا: ۱۰۷۹-۱۰۹۴ق؛ ۴۰گ (۴-۴۳) [ نشریه:  2- 109]</w:t>
      </w:r>
    </w:p>
    <w:p>
      <w:pPr>
        <w:pStyle w:val="BookText"/>
      </w:pPr>
      <w:r>
        <w:rPr>
          <w:rFonts w:ascii="IRNazanin" w:hAnsi="IRNazanin" w:eastAsia="IRNazanin" w:cs="IRNazanin"/>
          <w:lang w:bidi="fa-IR"/>
          <w:color w:val="111111"/>
          <w:sz w:val="28"/>
          <w:szCs w:val="28"/>
          <w:rtl/>
        </w:rPr>
        <w:t xml:space="preserve">تهران؛ دائرة المعارف؛ شماره نسخه: ۳۵۸/۲-عکسی</w:t>
      </w:r>
    </w:p>
    <w:p>
      <w:pPr>
        <w:pStyle w:val="BookText"/>
      </w:pPr>
      <w:r>
        <w:rPr>
          <w:rFonts w:ascii="IRNazanin" w:hAnsi="IRNazanin" w:eastAsia="IRNazanin" w:cs="IRNazanin"/>
          <w:lang w:bidi="fa-IR"/>
          <w:color w:val="111111"/>
          <w:sz w:val="28"/>
          <w:szCs w:val="28"/>
          <w:rtl/>
        </w:rPr>
        <w:t xml:space="preserve">اصل  نسخه: همان نسخه بالا :[ف ۲ - ۲۱]</w:t>
      </w:r>
    </w:p>
    <w:p>
      <w:pPr>
        <w:pStyle w:val="BookText"/>
      </w:pPr>
      <w:r>
        <w:rPr>
          <w:rFonts w:ascii="IRNazanin" w:hAnsi="IRNazanin" w:eastAsia="IRNazanin" w:cs="IRNazanin"/>
          <w:lang w:bidi="fa-IR"/>
          <w:color w:val="111111"/>
          <w:sz w:val="28"/>
          <w:szCs w:val="28"/>
          <w:rtl/>
        </w:rPr>
        <w:t xml:space="preserve">3.تهران؛ مجلس؛ شماره نسخه: ۶۴۱۵/۳</w:t>
      </w:r>
    </w:p>
    <w:p>
      <w:pPr>
        <w:pStyle w:val="BookText"/>
      </w:pPr>
      <w:r>
        <w:rPr>
          <w:rFonts w:ascii="IRNazanin" w:hAnsi="IRNazanin" w:eastAsia="IRNazanin" w:cs="IRNazanin"/>
          <w:lang w:bidi="fa-IR"/>
          <w:color w:val="111111"/>
          <w:sz w:val="28"/>
          <w:szCs w:val="28"/>
          <w:rtl/>
        </w:rPr>
        <w:t xml:space="preserve">خط: نسخ، كا: عبدالكريم بن محمد حسینی طبسی کیلکی، تا:  سه شنبه از دهه دوم ذیقعده ۱۰۷۲ق؛ مصحح؛ جلد: تيماج سبز، ۵۰گ (۸۸ پ-۱۳۷ر) ۲۵ ،سطر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۲۴/۵سم [ف: ۲۰ - ۱۲]</w:t>
      </w:r>
    </w:p>
    <w:p>
      <w:pPr>
        <w:pStyle w:val="Heading3"/>
      </w:pPr>
      <w:bookmarkStart w:id="1407" w:name="_Toc929"/>
      <w:r>
        <w:t>اسرار الفلك فى احكام النجوم / هيئت / عربي</w:t>
      </w:r>
      <w:bookmarkEnd w:id="1407"/>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262" w:name="pg20365_260370"/>
    <w:bookmarkEnd w:id="262"/>
    <w:p>
      <w:pPr>
        <w:pStyle w:val="BookText"/>
      </w:pPr>
      <w:r>
        <w:rPr>
          <w:rFonts w:ascii="Times New Roman" w:hAnsi="Times New Roman" w:eastAsia="Times New Roman" w:cs="Times New Roman"/>
          <w:lang w:val="en-US" w:bidi="en-US"/>
          <w:color w:val="111111"/>
          <w:sz w:val="28"/>
          <w:szCs w:val="28"/>
          <w:rtl/>
        </w:rPr>
        <w:t xml:space="preserve">asrār-ul-falak fī aḥkām-in-nujūm</w:t>
      </w:r>
    </w:p>
    <w:p>
      <w:pPr>
        <w:pStyle w:val="BookText"/>
      </w:pPr>
      <w:r>
        <w:rPr>
          <w:rFonts w:ascii="IRNazanin" w:hAnsi="IRNazanin" w:eastAsia="IRNazanin" w:cs="IRNazanin"/>
          <w:lang w:bidi="fa-IR"/>
          <w:color w:val="111111"/>
          <w:sz w:val="28"/>
          <w:szCs w:val="28"/>
          <w:rtl/>
        </w:rPr>
        <w:t xml:space="preserve">رساله مختصری است با عناوین «دلائل - دلائل» که در آن  از كسوف شمس در بروج  مختلف و تاثیر آن بر حوادث عالم بحث می کند با جستجو در منابع موجود، نشانی از این اثر  به دست نیامد.</w:t>
      </w:r>
    </w:p>
    <w:p>
      <w:pPr>
        <w:pStyle w:val="BookText"/>
      </w:pPr>
      <w:r>
        <w:rPr>
          <w:rFonts w:ascii="IRNazanin" w:hAnsi="IRNazanin" w:eastAsia="IRNazanin" w:cs="IRNazanin"/>
          <w:lang w:bidi="fa-IR"/>
          <w:color w:val="111111"/>
          <w:sz w:val="28"/>
          <w:szCs w:val="28"/>
          <w:rtl/>
        </w:rPr>
        <w:t xml:space="preserve">تهران؛ ملی؛ شماره نسخه: ۴۴۰۸/۱</w:t>
      </w:r>
    </w:p>
    <w:p>
      <w:pPr>
        <w:pStyle w:val="BookText"/>
      </w:pPr>
      <w:r>
        <w:rPr>
          <w:rFonts w:ascii="IRNazanin" w:hAnsi="IRNazanin" w:eastAsia="IRNazanin" w:cs="IRNazanin"/>
          <w:lang w:bidi="fa-IR"/>
          <w:color w:val="111111"/>
          <w:sz w:val="28"/>
          <w:szCs w:val="28"/>
          <w:rtl/>
        </w:rPr>
        <w:t xml:space="preserve">آغاز: بسمله اعلموا معشر طالبى العلم ان كسوف الشمس عند اجتماع القمر و هذا الاجتماع هو اصل الفساد والكون وتغييرات کثیره؛ انجام: ملک بابل و ملک خراسان لامرين كبيرين فيظفرون بما قصدوا باهتماله و نهج السباع الكبار و تضر بالناس فهذا دلائل کسوف</w:t>
      </w:r>
    </w:p>
    <w:p>
      <w:pPr>
        <w:pStyle w:val="BookText"/>
      </w:pPr>
      <w:r>
        <w:rPr>
          <w:rFonts w:ascii="IRNazanin" w:hAnsi="IRNazanin" w:eastAsia="IRNazanin" w:cs="IRNazanin"/>
          <w:lang w:bidi="fa-IR"/>
          <w:color w:val="111111"/>
          <w:sz w:val="28"/>
          <w:szCs w:val="28"/>
          <w:rtl/>
        </w:rPr>
        <w:t xml:space="preserve">خط: نسخ ناخوانا، بی کا، کا، بی تا؛ افتادگی: انجام؛ کاغذ: اصفهانی نخودی، جلد: تیماج ،مشکی، ۶گ (۱پ-۶ پ)، ۲۲ سـطر (۸/۵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۱۹ - ۱۶]</w:t>
      </w:r>
    </w:p>
    <w:p>
      <w:pPr>
        <w:pStyle w:val="Heading3"/>
      </w:pPr>
      <w:bookmarkStart w:id="1408" w:name="_Toc930"/>
      <w:r>
        <w:t>اسرار فلک و انوار ملک (الف) / هیئت / فارسی</w:t>
      </w:r>
      <w:bookmarkEnd w:id="1408"/>
    </w:p>
    <w:p>
      <w:pPr>
        <w:pStyle w:val="BookText"/>
      </w:pPr>
      <w:r>
        <w:rPr>
          <w:rFonts w:ascii="Times New Roman" w:hAnsi="Times New Roman" w:eastAsia="Times New Roman" w:cs="Times New Roman"/>
          <w:lang w:val="en-US" w:bidi="en-US"/>
          <w:color w:val="111111"/>
          <w:sz w:val="28"/>
          <w:szCs w:val="28"/>
          <w:rtl/>
        </w:rPr>
        <w:t xml:space="preserve">asrār-e falak va anvār-e malak</w:t>
      </w:r>
    </w:p>
    <w:p>
      <w:pPr>
        <w:pStyle w:val="BookText"/>
      </w:pPr>
      <w:r>
        <w:rPr>
          <w:rFonts w:ascii="IRNazanin" w:hAnsi="IRNazanin" w:eastAsia="IRNazanin" w:cs="IRNazanin"/>
          <w:lang w:bidi="fa-IR"/>
          <w:color w:val="111111"/>
          <w:sz w:val="28"/>
          <w:szCs w:val="28"/>
          <w:rtl/>
        </w:rPr>
        <w:t xml:space="preserve">پیش از ۲۰ محرم ۷۲۰ق که تاریخ نسخه است تألیف شده است. باید در ۵ رکن باشد «رکن» ۱- ۲ ؛۳. فنون الخواص و النواميس و الطلسمات و الاعمال الشريفه؛ ۴. علم الفلاحة و الخواص والنواميس و الطلسمات؛5 . الكيمياء والاطعمة وما يتعلق بها من الخواص الغريبة و الطلسمات.</w:t>
      </w:r>
    </w:p>
    <w:p>
      <w:pPr>
        <w:pStyle w:val="BookText"/>
      </w:pPr>
      <w:r>
        <w:rPr>
          <w:rFonts w:ascii="IRNazanin" w:hAnsi="IRNazanin" w:eastAsia="IRNazanin" w:cs="IRNazanin"/>
          <w:lang w:bidi="fa-IR"/>
          <w:color w:val="111111"/>
          <w:sz w:val="28"/>
          <w:szCs w:val="28"/>
          <w:rtl/>
        </w:rPr>
        <w:t xml:space="preserve">[فهرستواره منزوی ۳۷۸۱/۵  ]</w:t>
      </w:r>
    </w:p>
    <w:p>
      <w:pPr>
        <w:pStyle w:val="BookText"/>
      </w:pPr>
      <w:r>
        <w:rPr>
          <w:rFonts w:ascii="IRNazanin" w:hAnsi="IRNazanin" w:eastAsia="IRNazanin" w:cs="IRNazanin"/>
          <w:lang w:bidi="fa-IR"/>
          <w:color w:val="111111"/>
          <w:sz w:val="28"/>
          <w:szCs w:val="28"/>
          <w:rtl/>
        </w:rPr>
        <w:t xml:space="preserve">تهران؛ دانشگاه؛ شماره نسخه: ۳۴۷۵/۲-ف</w:t>
      </w:r>
    </w:p>
    <w:p>
      <w:pPr>
        <w:pStyle w:val="BookText"/>
      </w:pPr>
      <w:r>
        <w:rPr>
          <w:rFonts w:ascii="IRNazanin" w:hAnsi="IRNazanin" w:eastAsia="IRNazanin" w:cs="IRNazanin"/>
          <w:lang w:bidi="fa-IR"/>
          <w:color w:val="111111"/>
          <w:sz w:val="28"/>
          <w:szCs w:val="28"/>
          <w:rtl/>
        </w:rPr>
        <w:t xml:space="preserve">نسخه اصل: ایاصوفیا ش ۶۳۹۱؛ بی کا، تا: ۲۰ محرم ۷۲۰ق [ فیلم ها- ف: ۲ - ۱۴۹]</w:t>
      </w:r>
    </w:p>
    <w:p>
      <w:pPr>
        <w:pStyle w:val="BookText"/>
      </w:pPr>
      <w:r>
        <w:rPr>
          <w:rFonts w:ascii="IRNazanin" w:hAnsi="IRNazanin" w:eastAsia="IRNazanin" w:cs="IRNazanin"/>
          <w:lang w:bidi="fa-IR"/>
          <w:color w:val="111111"/>
          <w:sz w:val="28"/>
          <w:szCs w:val="28"/>
          <w:rtl/>
        </w:rPr>
        <w:t xml:space="preserve">تهران؛ مطالعات فرهنگی؛ شماره نسخه: ف ۵۰/۲</w:t>
      </w:r>
    </w:p>
    <w:p>
      <w:pPr>
        <w:pStyle w:val="BookText"/>
      </w:pPr>
      <w:r>
        <w:rPr>
          <w:rFonts w:ascii="IRNazanin" w:hAnsi="IRNazanin" w:eastAsia="IRNazanin" w:cs="IRNazanin"/>
          <w:lang w:bidi="fa-IR"/>
          <w:color w:val="111111"/>
          <w:sz w:val="28"/>
          <w:szCs w:val="28"/>
          <w:rtl/>
        </w:rPr>
        <w:t xml:space="preserve">همان نسخه بالا [مینوی - ف ۱۸۳]</w:t>
      </w:r>
    </w:p>
    <w:p>
      <w:pPr>
        <w:pStyle w:val="Heading3"/>
      </w:pPr>
      <w:bookmarkStart w:id="1409" w:name="_Toc931"/>
      <w:r>
        <w:t>الاسرار في خواص دماغ الانسان / طب / عربی</w:t>
      </w:r>
      <w:bookmarkEnd w:id="1409"/>
    </w:p>
    <w:p>
      <w:pPr>
        <w:pStyle w:val="BookText"/>
      </w:pPr>
      <w:r>
        <w:rPr>
          <w:rFonts w:ascii="Times New Roman" w:hAnsi="Times New Roman" w:eastAsia="Times New Roman" w:cs="Times New Roman"/>
          <w:lang w:val="en-US" w:bidi="en-US"/>
          <w:color w:val="111111"/>
          <w:sz w:val="28"/>
          <w:szCs w:val="28"/>
          <w:rtl/>
        </w:rPr>
        <w:t xml:space="preserve">al-asrār fī xawāṣṣ-i dimāġ-il insān</w:t>
      </w:r>
    </w:p>
    <w:p>
      <w:pPr>
        <w:pStyle w:val="BookText"/>
      </w:pPr>
      <w:r>
        <w:rPr>
          <w:rFonts w:ascii="IRNazanin" w:hAnsi="IRNazanin" w:eastAsia="IRNazanin" w:cs="IRNazanin"/>
          <w:lang w:bidi="fa-IR"/>
          <w:color w:val="111111"/>
          <w:sz w:val="28"/>
          <w:szCs w:val="28"/>
          <w:rtl/>
        </w:rPr>
        <w:t xml:space="preserve">تهران؛ مجلس؛ شماره نسخه: ۱۱۷۸/۱۹</w:t>
      </w:r>
    </w:p>
    <w:p>
      <w:pPr>
        <w:pStyle w:val="BookText"/>
      </w:pPr>
      <w:r>
        <w:rPr>
          <w:rFonts w:ascii="IRNazanin" w:hAnsi="IRNazanin" w:eastAsia="IRNazanin" w:cs="IRNazanin"/>
          <w:lang w:bidi="fa-IR"/>
          <w:color w:val="111111"/>
          <w:sz w:val="28"/>
          <w:szCs w:val="28"/>
          <w:rtl/>
        </w:rPr>
        <w:t xml:space="preserve">آغاز: هذا الكتاب استخرجه عبدالرحمن البابلى من كتاب الحـکیم و سماه كتاب الحكيم و قسمه على اربعة اقسام فالجزء الاول سـماه كتاب المذنوطيس و هو من كتاب الهرمس، و الجزء الثانى كتـاب النيرنج استخرجه من مارية القبطية، و الجزء الثالث سماه كتـاب العيون، والجزء الرابع استخرجه من کتاب عبدالله بن هلال</w:t>
      </w:r>
    </w:p>
    <w:p>
      <w:pPr>
        <w:pStyle w:val="BookText"/>
      </w:pPr>
      <w:r>
        <w:rPr>
          <w:rFonts w:ascii="IRNazanin" w:hAnsi="IRNazanin" w:eastAsia="IRNazanin" w:cs="IRNazanin"/>
          <w:lang w:bidi="fa-IR"/>
          <w:color w:val="111111"/>
          <w:sz w:val="28"/>
          <w:szCs w:val="28"/>
          <w:rtl/>
        </w:rPr>
        <w:t xml:space="preserve">بی کا، تا: قرن ۱۲؛ محشی با فهرست، کاغذ: سفید برخی  رنگین، جـلد: تیماج مشکی ضربی و مقوایی (۱۱۳، ۱۲۷) [سنا -ف: ۲ - ۱۵۸]</w:t>
      </w:r>
    </w:p>
    <w:p>
      <w:pPr>
        <w:pStyle w:val="Heading3"/>
      </w:pPr>
      <w:bookmarkStart w:id="1410" w:name="_Toc932"/>
      <w:r>
        <w:t>اسرار القابلية / عرفان و تصوف / فارسی</w:t>
      </w:r>
      <w:bookmarkEnd w:id="1410"/>
    </w:p>
    <w:p>
      <w:pPr>
        <w:pStyle w:val="BookText"/>
      </w:pPr>
      <w:r>
        <w:rPr>
          <w:rFonts w:ascii="Times New Roman" w:hAnsi="Times New Roman" w:eastAsia="Times New Roman" w:cs="Times New Roman"/>
          <w:lang w:val="en-US" w:bidi="en-US"/>
          <w:color w:val="111111"/>
          <w:sz w:val="28"/>
          <w:szCs w:val="28"/>
          <w:rtl/>
        </w:rPr>
        <w:t xml:space="preserve">asrār-ol-qābelīye</w:t>
      </w:r>
    </w:p>
    <w:p>
      <w:pPr>
        <w:pStyle w:val="BookText"/>
      </w:pPr>
      <w:r>
        <w:rPr>
          <w:rFonts w:ascii="IRNazanin" w:hAnsi="IRNazanin" w:eastAsia="IRNazanin" w:cs="IRNazanin"/>
          <w:lang w:bidi="fa-IR"/>
          <w:color w:val="111111"/>
          <w:sz w:val="28"/>
          <w:szCs w:val="28"/>
          <w:rtl/>
        </w:rPr>
        <w:t xml:space="preserve">نسفی، عزیزالدین بن محمد، ق ۷ قمری</w:t>
      </w:r>
    </w:p>
    <w:p>
      <w:pPr>
        <w:pStyle w:val="BookText"/>
      </w:pPr>
      <w:r>
        <w:rPr>
          <w:rFonts w:ascii="Times New Roman" w:hAnsi="Times New Roman" w:eastAsia="Times New Roman" w:cs="Times New Roman"/>
          <w:lang w:val="en-US" w:bidi="en-US"/>
          <w:color w:val="111111"/>
          <w:sz w:val="28"/>
          <w:szCs w:val="28"/>
          <w:rtl/>
        </w:rPr>
        <w:t xml:space="preserve">(nasafī, ‘azīz-od-dīn ebn-e mohammad (- 13c)</w:t>
      </w:r>
    </w:p>
    <w:p>
      <w:pPr>
        <w:pStyle w:val="BookText"/>
      </w:pPr>
      <w:r>
        <w:rPr>
          <w:rFonts w:ascii="IRNazanin" w:hAnsi="IRNazanin" w:eastAsia="IRNazanin" w:cs="IRNazanin"/>
          <w:lang w:bidi="fa-IR"/>
          <w:color w:val="111111"/>
          <w:sz w:val="28"/>
          <w:szCs w:val="28"/>
          <w:rtl/>
        </w:rPr>
        <w:t xml:space="preserve">[فهرستواره منزوی ۷۰/۷]</w:t>
      </w:r>
    </w:p>
    <w:p>
      <w:pPr>
        <w:pStyle w:val="BookText"/>
      </w:pPr>
      <w:r>
        <w:rPr>
          <w:rFonts w:ascii="IRNazanin" w:hAnsi="IRNazanin" w:eastAsia="IRNazanin" w:cs="IRNazanin"/>
          <w:lang w:bidi="fa-IR"/>
          <w:color w:val="111111"/>
          <w:sz w:val="28"/>
          <w:szCs w:val="28"/>
          <w:rtl/>
        </w:rPr>
        <w:t xml:space="preserve">تهران؛ دانشگاه؛ شماره نسخه: ۴۴۲/۱۱-ف</w:t>
      </w:r>
    </w:p>
    <w:p>
      <w:pPr>
        <w:pStyle w:val="BookText"/>
      </w:pPr>
      <w:r>
        <w:rPr>
          <w:rFonts w:ascii="IRNazanin" w:hAnsi="IRNazanin" w:eastAsia="IRNazanin" w:cs="IRNazanin"/>
          <w:lang w:bidi="fa-IR"/>
          <w:color w:val="111111"/>
          <w:sz w:val="28"/>
          <w:szCs w:val="28"/>
          <w:rtl/>
        </w:rPr>
        <w:t xml:space="preserve">نسخه اصل: بایزید ولی الدین ش ۱۸۲۵؛ خط: نسخ، بی کا، تا: ۸۵۱ق؛ ۴گ (۱۳۰-۱۳۳)، ۱۹ سطر [فیلم ها-ف: ۱ - ۴۷۷]</w:t>
      </w:r>
    </w:p>
    <w:p>
      <w:pPr>
        <w:pStyle w:val="Heading3"/>
      </w:pPr>
      <w:bookmarkStart w:id="1411" w:name="_Toc933"/>
      <w:r>
        <w:t>اسرار قاسمی / علوم غریبه / فارسی</w:t>
      </w:r>
      <w:bookmarkEnd w:id="1411"/>
    </w:p>
    <w:p>
      <w:pPr>
        <w:pStyle w:val="BookText"/>
      </w:pPr>
      <w:r>
        <w:rPr>
          <w:rFonts w:ascii="Times New Roman" w:hAnsi="Times New Roman" w:eastAsia="Times New Roman" w:cs="Times New Roman"/>
          <w:lang w:val="en-US" w:bidi="en-US"/>
          <w:color w:val="111111"/>
          <w:sz w:val="28"/>
          <w:szCs w:val="28"/>
          <w:rtl/>
        </w:rPr>
        <w:t xml:space="preserve">asrār-e qāsemī</w:t>
      </w:r>
    </w:p>
    <w:p>
      <w:pPr>
        <w:pStyle w:val="BookText"/>
      </w:pPr>
      <w:r>
        <w:rPr>
          <w:rFonts w:ascii="IRNazanin" w:hAnsi="IRNazanin" w:eastAsia="IRNazanin" w:cs="IRNazanin"/>
          <w:lang w:bidi="fa-IR"/>
          <w:color w:val="111111"/>
          <w:sz w:val="28"/>
          <w:szCs w:val="28"/>
          <w:rtl/>
        </w:rPr>
        <w:t xml:space="preserve">کاشفی، حسین بن علی - ۹۱۰ قمری</w:t>
      </w:r>
    </w:p>
    <w:p>
      <w:pPr>
        <w:pStyle w:val="BookText"/>
      </w:pPr>
      <w:r>
        <w:rPr>
          <w:rFonts w:ascii="Times New Roman" w:hAnsi="Times New Roman" w:eastAsia="Times New Roman" w:cs="Times New Roman"/>
          <w:lang w:val="en-US" w:bidi="en-US"/>
          <w:color w:val="111111"/>
          <w:sz w:val="28"/>
          <w:szCs w:val="28"/>
          <w:rtl/>
        </w:rPr>
        <w:t xml:space="preserve">(kāšefi, hoseyn ebn-e 'alī (- 1505)</w:t>
      </w:r>
    </w:p>
    <w:p>
      <w:pPr>
        <w:pStyle w:val="BookText"/>
      </w:pPr>
      <w:r>
        <w:rPr>
          <w:rFonts w:ascii="IRNazanin" w:hAnsi="IRNazanin" w:eastAsia="IRNazanin" w:cs="IRNazanin"/>
          <w:lang w:bidi="fa-IR"/>
          <w:color w:val="111111"/>
          <w:sz w:val="28"/>
          <w:szCs w:val="28"/>
          <w:rtl/>
        </w:rPr>
        <w:t xml:space="preserve">اهدا به: میر قاسم انوار ( یکی از درباریان صفویه)</w:t>
      </w:r>
    </w:p>
    <w:p>
      <w:pPr>
        <w:pStyle w:val="BookText"/>
      </w:pPr>
      <w:r>
        <w:rPr>
          <w:rFonts w:ascii="IRNazanin" w:hAnsi="IRNazanin" w:eastAsia="IRNazanin" w:cs="IRNazanin"/>
          <w:lang w:bidi="fa-IR"/>
          <w:color w:val="111111"/>
          <w:sz w:val="28"/>
          <w:szCs w:val="28"/>
          <w:rtl/>
        </w:rPr>
        <w:t xml:space="preserve">تاریخ تالیف: در چهارمین سال پادشاهی اسماعیل۹۰۷ق</w:t>
      </w:r>
    </w:p>
    <w:p>
      <w:pPr>
        <w:pStyle w:val="BookText"/>
      </w:pPr>
      <w:r>
        <w:rPr>
          <w:rFonts w:ascii="IRNazanin" w:hAnsi="IRNazanin" w:eastAsia="IRNazanin" w:cs="IRNazanin"/>
          <w:lang w:bidi="fa-IR"/>
          <w:color w:val="111111"/>
          <w:sz w:val="28"/>
          <w:szCs w:val="28"/>
          <w:rtl/>
        </w:rPr>
        <w:t xml:space="preserve">این کتاب در اسرار علم  کیمیا ،لیمیا ،سیمیا، ريميا و هيميا تأليف شده است پسر مؤلف صفى الدين علی واعظ آن را به نام «کشف الاسرار» گزین نموده و این گزیده در بمبئی در ۱۳۱۲ق و پس از آن مکرر در برلن و ایران چاپ شده است. در دیباچه پس از شرح بخش های پنج گانه علوم غریبه از دو کتاب به گونه منبع نام برده شده است: «سحر العيون» ابوعبدالله مغربی مشهور به لباب ابن الحلاج و «عيون الحقايق و ايضاح الطريق» حكيم ابو القاسم احمد [ چنین است و باید محمد بن احمد باشد] سماوی که از نوشته های یونانی به عربی درآمده است. سپس از «امیر سید قاسم» به بزرگی نام می برد و می نویسد که وی بدو دستور داده است تا آن دو کتاب را به فارسی درآورد و می افزاید که از کتاب های دیگر بر آن افزوده و آن را «سحر العيون» نامیده است. در دو«مقصد» و هر مقصد در چند «اصل» یا «وصل» و هر اصلی در چند فصل و خاتمه ای مقصد .۱. علم سیمیا و کلیات آن در چهار اصل و خاتمه ای اصل اول در عظام و رماد مداد و و هر یک از این سه در فصلی، اصل دوم در نوامیس، در فصلها، وصلها و نوعها، اصل چهارم در ترجمه كتاب «سر الاسرار» مشتمل بر ۲ فصل؛ مقصد .۲. علم ریمیا و آن شعبدات است در دو اصل و خاتمه ای: اصل اول در شعبده و انواع آن، در چهارده «فصل: یکم در عجایب بیوت و آن ۵ «وصل» است: اول بیت  الذهب</w:t>
      </w:r>
    </w:p>
    <w:p>
      <w:pPr>
        <w:pStyle w:val="BookText"/>
      </w:pPr>
      <w:r>
        <w:rPr>
          <w:rFonts w:ascii="IRNazanin" w:hAnsi="IRNazanin" w:eastAsia="IRNazanin" w:cs="IRNazanin"/>
          <w:lang w:bidi="fa-IR"/>
          <w:color w:val="111111"/>
          <w:sz w:val="28"/>
          <w:szCs w:val="28"/>
          <w:rtl/>
        </w:rPr>
        <w:t xml:space="preserve">آغاز: بسمله حضرت قاسم العطيات و عالم الخفيات له الحمد فى الغدوات و العشيات چون عنایت بی نهایت سید السادات ... در فضیلت علم میفرماید و ترجمه آن اینست، نظم :علم بود زندگی جان و دل *** علم بود تازگی آب و گل</w:t>
      </w:r>
    </w:p>
    <w:p>
      <w:pPr>
        <w:pStyle w:val="BookText"/>
      </w:pPr>
      <w:r>
        <w:rPr>
          <w:rFonts w:ascii="IRNazanin" w:hAnsi="IRNazanin" w:eastAsia="IRNazanin" w:cs="IRNazanin"/>
          <w:lang w:bidi="fa-IR"/>
          <w:color w:val="111111"/>
          <w:sz w:val="28"/>
          <w:szCs w:val="28"/>
          <w:rtl/>
        </w:rPr>
        <w:t xml:space="preserve">انجام: و بچشم غبطه نگاه نکند و از فاتحه که لطفی نفرمایند  تمت.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چاپ: بمبئی، مطبع فتح الكريم، سنگی، ۱۳۰۲ق؛ تهران، کتابفروشی محمد حسن  علمی، سنگی، بی تا ،تهران، موسـسه مطبوعاتی امیر کبیر، سنگی، ۱۳۰۲ق</w:t>
      </w:r>
    </w:p>
    <w:p>
      <w:pPr>
        <w:pStyle w:val="BookText"/>
      </w:pPr>
      <w:r>
        <w:rPr>
          <w:rFonts w:ascii="IRNazanin" w:hAnsi="IRNazanin" w:eastAsia="IRNazanin" w:cs="IRNazanin"/>
          <w:lang w:bidi="fa-IR"/>
          <w:color w:val="111111"/>
          <w:sz w:val="28"/>
          <w:szCs w:val="28"/>
          <w:rtl/>
        </w:rPr>
        <w:t xml:space="preserve">[الذريعة 2/ 54 و ۱۲/۱۸: كشف الاسرار که گزیده اسرار قاسمی است؛ مـشار فارسی 2/ 292- 294؛ فهرست مشترک نسخه های پاکستان ۷۷۲/۱؛ فهرستواره منزوی ۳۹۳۸/۵ دنا 1/ 787(5 نسخه)]</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IRNazanin" w:hAnsi="IRNazanin" w:eastAsia="IRNazanin" w:cs="IRNazanin"/>
          <w:lang w:bidi="fa-IR"/>
          <w:color w:val="111111"/>
          <w:sz w:val="28"/>
          <w:szCs w:val="28"/>
          <w:rtl/>
        </w:rPr>
        <w:t xml:space="preserve">١- كشف الاسرار؛ فخرالدین  صفی، علی بن حسین (۸۶۸-۹۳۹)</w:t>
      </w:r>
    </w:p>
    <w:p>
      <w:pPr>
        <w:pStyle w:val="BookText"/>
      </w:pPr>
      <w:r>
        <w:rPr>
          <w:rFonts w:ascii="IRNazanin" w:hAnsi="IRNazanin" w:eastAsia="IRNazanin" w:cs="IRNazanin"/>
          <w:lang w:bidi="fa-IR"/>
          <w:color w:val="111111"/>
          <w:sz w:val="28"/>
          <w:szCs w:val="28"/>
          <w:rtl/>
        </w:rPr>
        <w:t xml:space="preserve">۲- تحفه خانی؛ فخرالدین صفی، علی بن حسین  ( 868- 939)</w:t>
      </w:r>
    </w:p>
    <w:p>
      <w:pPr>
        <w:pStyle w:val="BookText"/>
      </w:pPr>
      <w:r>
        <w:rPr>
          <w:rFonts w:ascii="IRNazanin" w:hAnsi="IRNazanin" w:eastAsia="IRNazanin" w:cs="IRNazanin"/>
          <w:lang w:bidi="fa-IR"/>
          <w:color w:val="111111"/>
          <w:sz w:val="28"/>
          <w:szCs w:val="28"/>
          <w:rtl/>
        </w:rPr>
        <w:t xml:space="preserve">۱. تهران؛ الهیات؛ شماره نسخه: ۲۹۹</w:t>
      </w:r>
    </w:p>
    <w:p>
      <w:pPr>
        <w:pStyle w:val="BookText"/>
      </w:pPr>
      <w:r>
        <w:rPr>
          <w:rFonts w:ascii="IRNazanin" w:hAnsi="IRNazanin" w:eastAsia="IRNazanin" w:cs="IRNazanin"/>
          <w:lang w:bidi="fa-IR"/>
          <w:color w:val="111111"/>
          <w:sz w:val="28"/>
          <w:szCs w:val="28"/>
          <w:rtl/>
        </w:rPr>
        <w:t xml:space="preserve">آغاز: برابر؛ انجام: از خون آدمی سیاه فتیله سازند چراغ افروخته نشود مگر جایی که گنج باشد</w:t>
      </w:r>
    </w:p>
    <w:p>
      <w:pPr>
        <w:pStyle w:val="BookText"/>
      </w:pPr>
      <w:r>
        <w:rPr>
          <w:rFonts w:ascii="IRNazanin" w:hAnsi="IRNazanin" w:eastAsia="IRNazanin" w:cs="IRNazanin"/>
          <w:lang w:bidi="fa-IR"/>
          <w:color w:val="111111"/>
          <w:sz w:val="28"/>
          <w:szCs w:val="28"/>
          <w:rtl/>
        </w:rPr>
        <w:t xml:space="preserve">خط: نستعليق، كا: قطب الدين محمد حکیم رانکویی نونایی، قرن ۱۰؛ کاغذ ،اصفهانی، جلد: تیماج،مشکی، ۴۴گ، ۱۴ سـطر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۱۸/۵سم [ف: ۹]</w:t>
      </w:r>
    </w:p>
    <w:p>
      <w:pPr>
        <w:pStyle w:val="BookText"/>
      </w:pPr>
      <w:r>
        <w:rPr>
          <w:rFonts w:ascii="IRNazanin" w:hAnsi="IRNazanin" w:eastAsia="IRNazanin" w:cs="IRNazanin"/>
          <w:lang w:bidi="fa-IR"/>
          <w:color w:val="111111"/>
          <w:sz w:val="28"/>
          <w:szCs w:val="28"/>
          <w:rtl/>
        </w:rPr>
        <w:t xml:space="preserve">۲. قم؛ گلپایگانی؛ شماره نسخه: ۵۳۷۶-۲۷/۴۶</w:t>
      </w:r>
    </w:p>
    <w:p>
      <w:pPr>
        <w:pStyle w:val="BookText"/>
      </w:pPr>
      <w:r>
        <w:rPr>
          <w:rFonts w:ascii="IRNazanin" w:hAnsi="IRNazanin" w:eastAsia="IRNazanin" w:cs="IRNazanin"/>
          <w:lang w:bidi="fa-IR"/>
          <w:color w:val="111111"/>
          <w:sz w:val="28"/>
          <w:szCs w:val="28"/>
          <w:rtl/>
        </w:rPr>
        <w:t xml:space="preserve">آغاز: بسمله اسعد الله فی الدارین بدانکه در علم کیمیا وسیـما وريميا ودعوات کتب بی حساب آمده است اوعلم طلسمات آن علمیست ؛انجام: طعام برنج در دیگ پخته کند و یک پری در ان دیگ اندازد شیر بسیار شود</w:t>
      </w:r>
    </w:p>
    <w:p>
      <w:pPr>
        <w:pStyle w:val="BookText"/>
      </w:pPr>
      <w:r>
        <w:rPr>
          <w:rFonts w:ascii="IRNazanin" w:hAnsi="IRNazanin" w:eastAsia="IRNazanin" w:cs="IRNazanin"/>
          <w:lang w:bidi="fa-IR"/>
          <w:color w:val="111111"/>
          <w:sz w:val="28"/>
          <w:szCs w:val="28"/>
          <w:rtl/>
        </w:rPr>
        <w:t xml:space="preserve">خطبه مؤلف تحریر نشده؛ خط: نسخ، بی کا، تا: قرن ۱۱ ؛افتادگی : انجام؛ جلد: تیماج قهوه ای، ۸۱گ، ۱۹ 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  [ف: ۱ - ۳۵۲]</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قم؛ مرعشی؛ شماره نسخه: ۷۴۱۴</w:t>
      </w:r>
    </w:p>
    <w:p>
      <w:pPr>
        <w:pStyle w:val="BookText"/>
      </w:pPr>
      <w:r>
        <w:rPr>
          <w:rFonts w:ascii="IRNazanin" w:hAnsi="IRNazanin" w:eastAsia="IRNazanin" w:cs="IRNazanin"/>
          <w:lang w:bidi="fa-IR"/>
          <w:color w:val="111111"/>
          <w:sz w:val="28"/>
          <w:szCs w:val="28"/>
          <w:rtl/>
        </w:rPr>
        <w:t xml:space="preserve">آغاز: برابر؛ انجام:علوم جلوه جمال ارزانی فرمود و يعلمهم الله الحكمة و چون برزبان معجز نشان حقایق دانش.</w:t>
      </w:r>
    </w:p>
    <w:p>
      <w:pPr>
        <w:pStyle w:val="BookText"/>
      </w:pPr>
      <w:r>
        <w:rPr>
          <w:rFonts w:ascii="IRNazanin" w:hAnsi="IRNazanin" w:eastAsia="IRNazanin" w:cs="IRNazanin"/>
          <w:lang w:bidi="fa-IR"/>
          <w:color w:val="111111"/>
          <w:sz w:val="28"/>
          <w:szCs w:val="28"/>
          <w:rtl/>
        </w:rPr>
        <w:t xml:space="preserve">خط: نستعلیق، بی کا، تا: قرن ۱۱؛ روی برگ اول وقفنامه کتـاب به تاریخ جمادى الثانى ۱۲۳۷؛ جلد: دورو تیماج رو مشکی پشت قهوه ای، ۱۰۵گ، ۱۵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۲۳/۵سم [ف : ۱۹ - ۲۲۹  ]</w:t>
      </w:r>
    </w:p>
    <w:p>
      <w:pPr>
        <w:pStyle w:val="BookText"/>
      </w:pPr>
      <w:r>
        <w:rPr>
          <w:rFonts w:ascii="IRNazanin" w:hAnsi="IRNazanin" w:eastAsia="IRNazanin" w:cs="IRNazanin"/>
          <w:lang w:bidi="fa-IR"/>
          <w:color w:val="111111"/>
          <w:sz w:val="28"/>
          <w:szCs w:val="28"/>
          <w:rtl/>
        </w:rPr>
        <w:t xml:space="preserve">۴. تهران؛ ملی؛ شماره نسخه: ۲۸۹۳/۷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محتملاً اواخر قرن ۱۱؛ افتادگی: آغـاز؛ کاغذ: فرنگی ،جلد: تیماج تریاکی، ۷۶ص (۲۴۲پ- ۳۱۸)، 17سطر (۸/۵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اندازه: ۱۶/۵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۲۳/۵سم [ف: ۶ - ۵۸۸]</w:t>
      </w:r>
    </w:p>
    <w:p>
      <w:pPr>
        <w:pStyle w:val="BookText"/>
      </w:pPr>
      <w:r>
        <w:rPr>
          <w:rFonts w:ascii="IRNazanin" w:hAnsi="IRNazanin" w:eastAsia="IRNazanin" w:cs="IRNazanin"/>
          <w:lang w:bidi="fa-IR"/>
          <w:color w:val="111111"/>
          <w:sz w:val="28"/>
          <w:szCs w:val="28"/>
          <w:rtl/>
        </w:rPr>
        <w:t xml:space="preserve">۵. تهران؛ مجلس؛ شماره نسخه: ۱۵۴۸۷/۱</w:t>
      </w:r>
    </w:p>
    <w:p>
      <w:pPr>
        <w:pStyle w:val="BookText"/>
      </w:pPr>
      <w:r>
        <w:rPr>
          <w:rFonts w:ascii="IRNazanin" w:hAnsi="IRNazanin" w:eastAsia="IRNazanin" w:cs="IRNazanin"/>
          <w:lang w:bidi="fa-IR"/>
          <w:color w:val="111111"/>
          <w:sz w:val="28"/>
          <w:szCs w:val="28"/>
          <w:rtl/>
        </w:rPr>
        <w:t xml:space="preserve">آغاز: بهمان سیر اما بعکس سابق در جهت سیر باز کردند تا بخانه متصل بمحل واحد</w:t>
      </w:r>
    </w:p>
    <w:p>
      <w:pPr>
        <w:pStyle w:val="BookText"/>
      </w:pPr>
      <w:r>
        <w:rPr>
          <w:rFonts w:ascii="IRNazanin" w:hAnsi="IRNazanin" w:eastAsia="IRNazanin" w:cs="IRNazanin"/>
          <w:lang w:bidi="fa-IR"/>
          <w:color w:val="111111"/>
          <w:sz w:val="28"/>
          <w:szCs w:val="28"/>
          <w:rtl/>
        </w:rPr>
        <w:t xml:space="preserve">خط: نسخ، کا: ملا لطفی  شیرازی، تا: پنج شنبه ۲۰ رمضان1028ق (در عهد سلطنت محمد امین قطبشاه)، جا: حیدر آباد، جلد: چرم مشکی، ۱۶۶گ (۲ر - ۱۶۷پ)، ۱۴ ،سطر، اندازه: 12/5</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۴۳ - ۱۲۲]</w:t>
      </w:r>
    </w:p>
    <w:p>
      <w:pPr>
        <w:pStyle w:val="BookText"/>
      </w:pPr>
      <w:r>
        <w:rPr>
          <w:rFonts w:ascii="IRNazanin" w:hAnsi="IRNazanin" w:eastAsia="IRNazanin" w:cs="IRNazanin"/>
          <w:lang w:bidi="fa-IR"/>
          <w:color w:val="111111"/>
          <w:sz w:val="28"/>
          <w:szCs w:val="28"/>
          <w:rtl/>
        </w:rPr>
        <w:t xml:space="preserve">۶. زنجان؛ امام جمعه؛ شماره نسخه: ۱ مجموعه بدون شماره</w:t>
      </w:r>
    </w:p>
    <w:p>
      <w:pPr>
        <w:pStyle w:val="BookText"/>
      </w:pPr>
      <w:r>
        <w:rPr>
          <w:rFonts w:ascii="IRNazanin" w:hAnsi="IRNazanin" w:eastAsia="IRNazanin" w:cs="IRNazanin"/>
          <w:lang w:bidi="fa-IR"/>
          <w:color w:val="111111"/>
          <w:sz w:val="28"/>
          <w:szCs w:val="28"/>
          <w:rtl/>
        </w:rPr>
        <w:t xml:space="preserve">کا: محمد طاهر بن محمد علی، تا: شنبه ۲۵ جمادی الثانی ۱۰۸۷ق[ دليل المخطوطات: ۱ - ۵۴]</w:t>
      </w:r>
    </w:p>
    <w:p>
      <w:pPr>
        <w:pStyle w:val="BookText"/>
      </w:pPr>
      <w:r>
        <w:rPr>
          <w:rFonts w:ascii="IRNazanin" w:hAnsi="IRNazanin" w:eastAsia="IRNazanin" w:cs="IRNazanin"/>
          <w:lang w:bidi="fa-IR"/>
          <w:color w:val="111111"/>
          <w:sz w:val="28"/>
          <w:szCs w:val="28"/>
          <w:rtl/>
        </w:rPr>
        <w:t xml:space="preserve">۷. تهران؛ مفتاح؛ شماره نسخه:۴۶۵</w:t>
      </w:r>
    </w:p>
    <w:p>
      <w:pPr>
        <w:pStyle w:val="BookText"/>
      </w:pPr>
      <w:r>
        <w:rPr>
          <w:rFonts w:ascii="IRNazanin" w:hAnsi="IRNazanin" w:eastAsia="IRNazanin" w:cs="IRNazanin"/>
          <w:lang w:bidi="fa-IR"/>
          <w:color w:val="111111"/>
          <w:sz w:val="28"/>
          <w:szCs w:val="28"/>
          <w:rtl/>
        </w:rPr>
        <w:t xml:space="preserve">خط: نسخ، بی کا، تا: قرن ۱۲؛ قطع: ربعی :[نشریه: ۷ - ۱۰۱]</w:t>
      </w:r>
    </w:p>
    <w:p>
      <w:pPr>
        <w:pStyle w:val="BookText"/>
      </w:pPr>
      <w:r>
        <w:rPr>
          <w:rFonts w:ascii="Amiri" w:hAnsi="Amiri" w:eastAsia="Amiri" w:cs="Amiri"/>
          <w:lang w:bidi="ar-SA"/>
          <w:color w:val="111111"/>
          <w:sz w:val="28"/>
          <w:szCs w:val="28"/>
          <w:rtl/>
        </w:rPr>
        <w:t xml:space="preserve">۸ .تهران؛ دائرة المعارف؛ شماره نسخه: ۱۹۱/۱</w:t>
      </w:r>
    </w:p>
    <w:p>
      <w:pPr>
        <w:pStyle w:val="BookText"/>
      </w:pPr>
      <w:r>
        <w:rPr>
          <w:rFonts w:ascii="IRNazanin" w:hAnsi="IRNazanin" w:eastAsia="IRNazanin" w:cs="IRNazanin"/>
          <w:lang w:bidi="fa-IR"/>
          <w:color w:val="111111"/>
          <w:sz w:val="28"/>
          <w:szCs w:val="28"/>
          <w:rtl/>
        </w:rPr>
        <w:t xml:space="preserve">آغاز: برابر ؛انجام : ترجمه کتاب عیون و لباب فنون به اتمام رسید ...و هو سنه سبع و تسع مائة ۹۱۱ [چنین] هجریه و هم در بیان تاریخ قطعه و رباعی اتفاق افتاد اگر این نسخه را کنی تکرار *** راه یابی به گنجهای نهان</w:t>
      </w:r>
    </w:p>
    <w:p>
      <w:pPr>
        <w:pStyle w:val="BookText"/>
      </w:pPr>
      <w:r>
        <w:rPr>
          <w:rFonts w:ascii="IRNazanin" w:hAnsi="IRNazanin" w:eastAsia="IRNazanin" w:cs="IRNazanin"/>
          <w:lang w:bidi="fa-IR"/>
          <w:color w:val="111111"/>
          <w:sz w:val="28"/>
          <w:szCs w:val="28"/>
          <w:rtl/>
        </w:rPr>
        <w:t xml:space="preserve">خط: نستعلیق ،تحریری، بی کا، تا: قرن ۱۲؛ ۷۱گ (۱پ-۷۱ر) [ف:  1- 133]</w:t>
      </w:r>
    </w:p>
    <w:p>
      <w:pPr>
        <w:pStyle w:val="BookText"/>
      </w:pPr>
      <w:r>
        <w:rPr>
          <w:rFonts w:ascii="IRNazanin" w:hAnsi="IRNazanin" w:eastAsia="IRNazanin" w:cs="IRNazanin"/>
          <w:lang w:bidi="fa-IR"/>
          <w:color w:val="111111"/>
          <w:sz w:val="28"/>
          <w:szCs w:val="28"/>
          <w:rtl/>
        </w:rPr>
        <w:t xml:space="preserve">۹. مشهد؛ گوهر شاد؛ شماره نسخه: ۱۸۵۹/۲</w:t>
      </w:r>
    </w:p>
    <w:p>
      <w:pPr>
        <w:pStyle w:val="BookText"/>
      </w:pPr>
      <w:r>
        <w:rPr>
          <w:rFonts w:ascii="IRNazanin" w:hAnsi="IRNazanin" w:eastAsia="IRNazanin" w:cs="IRNazanin"/>
          <w:lang w:bidi="fa-IR"/>
          <w:color w:val="111111"/>
          <w:sz w:val="28"/>
          <w:szCs w:val="28"/>
          <w:rtl/>
        </w:rPr>
        <w:t xml:space="preserve">آغاز: همچنین اگر ملکی عظیم در تصرف تو بودی... و عبادت اوثان مشغول شدند و عصیان و فساد اختیار کردند؛ انجام: بما در قیل گفتی خداوند تعالی مرا بر تو بواسطه رجحان کرامت فرموده  است ... که غم جان و جامه کم دانند ... از زیبنده خلعت.</w:t>
      </w:r>
    </w:p>
    <w:p>
      <w:pPr>
        <w:pStyle w:val="BookText"/>
      </w:pPr>
      <w:r>
        <w:rPr>
          <w:rFonts w:ascii="IRNazanin" w:hAnsi="IRNazanin" w:eastAsia="IRNazanin" w:cs="IRNazanin"/>
          <w:lang w:bidi="fa-IR"/>
          <w:color w:val="111111"/>
          <w:sz w:val="28"/>
          <w:szCs w:val="28"/>
          <w:rtl/>
        </w:rPr>
        <w:t xml:space="preserve">خط: نسخ و نستعلیق، بی کا، تا: قرن ۱۲؛ افتادگی: آغاز و انجام؛ در حاشیه نسخه؛ واقف: سید سعید طباطبایی، ۱۳۳۲؛ کاغذ ،نخودی، جلد: میشن  عنابی، اندازه: ۱۶/۵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۲۷/۵سم [ف: ۵ - ۲۶۲]</w:t>
      </w:r>
    </w:p>
    <w:p>
      <w:pPr>
        <w:pStyle w:val="BookText"/>
      </w:pPr>
      <w:r>
        <w:rPr>
          <w:rFonts w:ascii="IRNazanin" w:hAnsi="IRNazanin" w:eastAsia="IRNazanin" w:cs="IRNazanin"/>
          <w:lang w:bidi="fa-IR"/>
          <w:color w:val="111111"/>
          <w:sz w:val="28"/>
          <w:szCs w:val="28"/>
          <w:rtl/>
        </w:rPr>
        <w:t xml:space="preserve">۱۰. تهران؛ سپهسالار؛ شماره نسخه: ۲۸۹۷</w:t>
      </w:r>
    </w:p>
    <w:p>
      <w:pPr>
        <w:pStyle w:val="BookText"/>
      </w:pPr>
      <w:r>
        <w:rPr>
          <w:rFonts w:ascii="IRNazanin" w:hAnsi="IRNazanin" w:eastAsia="IRNazanin" w:cs="IRNazanin"/>
          <w:lang w:bidi="fa-IR"/>
          <w:color w:val="111111"/>
          <w:sz w:val="28"/>
          <w:szCs w:val="28"/>
          <w:rtl/>
        </w:rPr>
        <w:t xml:space="preserve">خط: نستعلیق، بی کا، تا: قرن ۱۲؛ افتادگی: آغاز و انجام؛ کاغذ: سپاهانی، جلد تیماج حنایی زرکوب مقوایی، ۴۸گ، ۱۳ سطر،اندازه: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۳ - ۱۲۷]</w:t>
      </w:r>
    </w:p>
    <w:p>
      <w:pPr>
        <w:pStyle w:val="BookText"/>
      </w:pPr>
      <w:r>
        <w:rPr>
          <w:rFonts w:ascii="IRNazanin" w:hAnsi="IRNazanin" w:eastAsia="IRNazanin" w:cs="IRNazanin"/>
          <w:lang w:bidi="fa-IR"/>
          <w:color w:val="111111"/>
          <w:sz w:val="28"/>
          <w:szCs w:val="28"/>
          <w:rtl/>
        </w:rPr>
        <w:t xml:space="preserve">۱۱. تهران؛ ملی؛ شماره نسخه: ۱۹۲۰/۱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نستعليق ،كا: محمد زمان بن محمد یوسف چرکس، تا: ۱۱۴۰ق؛ کاغذ: دولت آبادی، جلد ،ابره کاغذی، ۲۱۹ ص( ۱- ۲۱۹)، ۱۴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۴ - ۳۷۲]</w:t>
      </w:r>
    </w:p>
    <w:p>
      <w:pPr>
        <w:pStyle w:val="BookText"/>
      </w:pPr>
      <w:r>
        <w:rPr>
          <w:rFonts w:ascii="IRNazanin" w:hAnsi="IRNazanin" w:eastAsia="IRNazanin" w:cs="IRNazanin"/>
          <w:lang w:bidi="fa-IR"/>
          <w:color w:val="111111"/>
          <w:sz w:val="28"/>
          <w:szCs w:val="28"/>
          <w:rtl/>
        </w:rPr>
        <w:t xml:space="preserve">۱۲. قم؛ مرعشی؛ شماره نسخه: ۹۶۸۷</w:t>
      </w:r>
    </w:p>
    <w:p>
      <w:pPr>
        <w:pStyle w:val="BookText"/>
      </w:pPr>
      <w:r>
        <w:rPr>
          <w:rFonts w:ascii="IRNazanin" w:hAnsi="IRNazanin" w:eastAsia="IRNazanin" w:cs="IRNazanin"/>
          <w:lang w:bidi="fa-IR"/>
          <w:color w:val="111111"/>
          <w:sz w:val="28"/>
          <w:szCs w:val="28"/>
          <w:rtl/>
        </w:rPr>
        <w:t xml:space="preserve">خط: نستعلیق، بی کا، تا: قرن۱۳؛جلد: مقوایی عطف تیماج سبز، ۱۴۴گ، ۹ 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۲۵ - ۵۴]</w:t>
      </w:r>
    </w:p>
    <w:p>
      <w:pPr>
        <w:pStyle w:val="BookText"/>
      </w:pPr>
      <w:r>
        <w:rPr>
          <w:rFonts w:ascii="IRNazanin" w:hAnsi="IRNazanin" w:eastAsia="IRNazanin" w:cs="IRNazanin"/>
          <w:lang w:bidi="fa-IR"/>
          <w:color w:val="111111"/>
          <w:sz w:val="28"/>
          <w:szCs w:val="28"/>
          <w:rtl/>
        </w:rPr>
        <w:t xml:space="preserve">۱۳. تهران؛ سپهسالار؛ شماره نسخه: ۲۸۶۴/۱</w:t>
      </w:r>
    </w:p>
    <w:p>
      <w:pPr>
        <w:pStyle w:val="BookText"/>
      </w:pPr>
      <w:r>
        <w:rPr>
          <w:rFonts w:ascii="IRNazanin" w:hAnsi="IRNazanin" w:eastAsia="IRNazanin" w:cs="IRNazanin"/>
          <w:lang w:bidi="fa-IR"/>
          <w:color w:val="111111"/>
          <w:sz w:val="28"/>
          <w:szCs w:val="28"/>
          <w:rtl/>
        </w:rPr>
        <w:t xml:space="preserve">خط: نستعلیق، بی کا، تا: قرن ۱۳؛ افتادگی: آغاز و انجام؛ کاغذ:  فرنگی ،جلد: تیماج زرد  مقوایی، ۱۱ص (۳ر-۱۳ر)، ۱۳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۳ - ۱۲۶]</w:t>
      </w:r>
    </w:p>
    <w:p>
      <w:pPr>
        <w:pStyle w:val="BookText"/>
      </w:pPr>
      <w:r>
        <w:rPr>
          <w:rFonts w:ascii="IRNazanin" w:hAnsi="IRNazanin" w:eastAsia="IRNazanin" w:cs="IRNazanin"/>
          <w:lang w:bidi="fa-IR"/>
          <w:color w:val="111111"/>
          <w:sz w:val="28"/>
          <w:szCs w:val="28"/>
          <w:rtl/>
        </w:rPr>
        <w:t xml:space="preserve">۱۴. تهران؛ ملک؛ شماره نسخه: ۳۱۳۱</w:t>
      </w:r>
    </w:p>
    <w:p>
      <w:pPr>
        <w:pStyle w:val="BookText"/>
      </w:pPr>
      <w:r>
        <w:rPr>
          <w:rFonts w:ascii="IRNazanin" w:hAnsi="IRNazanin" w:eastAsia="IRNazanin" w:cs="IRNazanin"/>
          <w:lang w:bidi="fa-IR"/>
          <w:color w:val="111111"/>
          <w:sz w:val="28"/>
          <w:szCs w:val="28"/>
          <w:rtl/>
        </w:rPr>
        <w:t xml:space="preserve">خط: نسخ، بی کا، تا: قرن ۱۳؛ افتادگی: انجام؛ کاغذ: کاغذ آهار مهره ،فرنگی ،جلد: میشن لایی قهوه ای، ۸۸گ، ۱۲ سطر، اندازه: ۱۱/۲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۱۷/۵سم [ف ۲ - ۲۵]</w:t>
      </w:r>
    </w:p>
    <w:p>
      <w:pPr>
        <w:pStyle w:val="BookText"/>
      </w:pPr>
      <w:r>
        <w:rPr>
          <w:rFonts w:ascii="IRNazanin" w:hAnsi="IRNazanin" w:eastAsia="IRNazanin" w:cs="IRNazanin"/>
          <w:lang w:bidi="fa-IR"/>
          <w:color w:val="111111"/>
          <w:sz w:val="28"/>
          <w:szCs w:val="28"/>
          <w:rtl/>
        </w:rPr>
        <w:t xml:space="preserve">۱۵. تهران؛ ملک؛ شماره نسخه: ۳۱۶۸</w:t>
      </w:r>
    </w:p>
    <w:p>
      <w:pPr>
        <w:pStyle w:val="BookText"/>
      </w:pPr>
      <w:r>
        <w:rPr>
          <w:rFonts w:ascii="IRNazanin" w:hAnsi="IRNazanin" w:eastAsia="IRNazanin" w:cs="IRNazanin"/>
          <w:lang w:bidi="fa-IR"/>
          <w:color w:val="111111"/>
          <w:sz w:val="28"/>
          <w:szCs w:val="28"/>
          <w:rtl/>
        </w:rPr>
        <w:t xml:space="preserve">خط: شکسته، نستعلیق، بی کا، تا: قرن  ۱۳؛ کاغذ: کاغذ فرنگی ،جلد: میشن لایی قهوه ای ۱۰۰گ، ۱۷ سطر، اندازه: ۱۴/۳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۱۹/۸سم [ف: ۲ - ۲۵]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۱۶. تهران؛ ملک؛ شماره نسخه: ۳۶۵۰</w:t>
      </w:r>
    </w:p>
    <w:p>
      <w:pPr>
        <w:pStyle w:val="BookText"/>
      </w:pPr>
      <w:r>
        <w:rPr>
          <w:rFonts w:ascii="IRNazanin" w:hAnsi="IRNazanin" w:eastAsia="IRNazanin" w:cs="IRNazanin"/>
          <w:lang w:bidi="fa-IR"/>
          <w:color w:val="111111"/>
          <w:sz w:val="28"/>
          <w:szCs w:val="28"/>
          <w:rtl/>
        </w:rPr>
        <w:t xml:space="preserve">خط: نسخ ،کا: کربلایی حسین، تا: قرن ۱۳؛ کاغذ: کاغذ آهار مهره  فرنگی ،جلد: میشن  قهوه ای، ۳۰۸گ، ۱۲ سطر، اندازه: ۲۰/۹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۳۴/۴سم [ف: ۲ - ۲۵]</w:t>
      </w:r>
    </w:p>
    <w:p>
      <w:pPr>
        <w:pStyle w:val="BookText"/>
      </w:pPr>
      <w:r>
        <w:rPr>
          <w:rFonts w:ascii="IRNazanin" w:hAnsi="IRNazanin" w:eastAsia="IRNazanin" w:cs="IRNazanin"/>
          <w:lang w:bidi="fa-IR"/>
          <w:color w:val="111111"/>
          <w:sz w:val="28"/>
          <w:szCs w:val="28"/>
          <w:rtl/>
        </w:rPr>
        <w:t xml:space="preserve">۱۷ . قم؛ مرعشی؛ شماره نسخه: ۱۲۸۹۶</w:t>
      </w:r>
    </w:p>
    <w:p>
      <w:pPr>
        <w:pStyle w:val="BookText"/>
      </w:pPr>
      <w:r>
        <w:rPr>
          <w:rFonts w:ascii="IRNazanin" w:hAnsi="IRNazanin" w:eastAsia="IRNazanin" w:cs="IRNazanin"/>
          <w:lang w:bidi="fa-IR"/>
          <w:color w:val="111111"/>
          <w:sz w:val="28"/>
          <w:szCs w:val="28"/>
          <w:rtl/>
        </w:rPr>
        <w:t xml:space="preserve">آغاز: فصل اول در علم سیمیا و کلیات آن بر چهار اصل و خاتمه اشتمال دارد، اول بباید دانست که اصل همه اصلها در این علم سه چیز است عظام و رماد و مداد و مدار اعمال سیمیا برین اصول ثلثه است؛ انجام: آن را نگاه دار چهار فصل بی آنکه فصل تمـور شابال آن بریزد آنگاه آن در قفس پنهان شود بباید دست در آن قفس کنی او را بگیری و او را ... کنیو خشک کنی باید  بر بازوبندی که عجایب بینی  ..</w:t>
      </w:r>
    </w:p>
    <w:p>
      <w:pPr>
        <w:pStyle w:val="BookText"/>
      </w:pPr>
      <w:r>
        <w:rPr>
          <w:rFonts w:ascii="IRNazanin" w:hAnsi="IRNazanin" w:eastAsia="IRNazanin" w:cs="IRNazanin"/>
          <w:lang w:bidi="fa-IR"/>
          <w:color w:val="111111"/>
          <w:sz w:val="28"/>
          <w:szCs w:val="28"/>
          <w:rtl/>
        </w:rPr>
        <w:t xml:space="preserve">بخش اندکی از کتاب؛ خط: نستعلیق، بی کا، تا: قرن ۱۳؛ افتادگی: انجام: مصحح ،محشی ،کاغذ ،فرنگی ،جلد: مشمعی قهوه ای با مقوا. ۱۸گ ، ۱۹ سطر (۸/۵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[ف: 32- 704]</w:t>
      </w:r>
    </w:p>
    <w:p>
      <w:pPr>
        <w:pStyle w:val="BookText"/>
      </w:pPr>
      <w:r>
        <w:rPr>
          <w:rFonts w:ascii="IRNazanin" w:hAnsi="IRNazanin" w:eastAsia="IRNazanin" w:cs="IRNazanin"/>
          <w:lang w:bidi="fa-IR"/>
          <w:color w:val="111111"/>
          <w:sz w:val="28"/>
          <w:szCs w:val="28"/>
          <w:rtl/>
        </w:rPr>
        <w:t xml:space="preserve">۱۸. تهران؛ مهدوی؛ شماره نسخه: ۳۶۵</w:t>
      </w:r>
    </w:p>
    <w:p>
      <w:pPr>
        <w:pStyle w:val="BookText"/>
      </w:pPr>
      <w:r>
        <w:rPr>
          <w:rFonts w:ascii="IRNazanin" w:hAnsi="IRNazanin" w:eastAsia="IRNazanin" w:cs="IRNazanin"/>
          <w:lang w:bidi="fa-IR"/>
          <w:color w:val="111111"/>
          <w:sz w:val="28"/>
          <w:szCs w:val="28"/>
          <w:rtl/>
        </w:rPr>
        <w:t xml:space="preserve">خط: نستعلیق، بی کا، تا: قرن ۱۲ و ۱۳؛ افتادگی: آغاز [نشریه: ۲- 63]</w:t>
      </w:r>
    </w:p>
    <w:p>
      <w:pPr>
        <w:pStyle w:val="BookText"/>
      </w:pPr>
      <w:r>
        <w:rPr>
          <w:rFonts w:ascii="IRNazanin" w:hAnsi="IRNazanin" w:eastAsia="IRNazanin" w:cs="IRNazanin"/>
          <w:lang w:bidi="fa-IR"/>
          <w:color w:val="111111"/>
          <w:sz w:val="28"/>
          <w:szCs w:val="28"/>
          <w:rtl/>
        </w:rPr>
        <w:t xml:space="preserve">۱۹. قم؛ گلپایگانی؛ شماره نسخه: ۶۹۳۲/۳-۳۵/۱۱۲</w:t>
      </w:r>
    </w:p>
    <w:p>
      <w:pPr>
        <w:pStyle w:val="BookText"/>
      </w:pPr>
      <w:r>
        <w:rPr>
          <w:rFonts w:ascii="IRNazanin" w:hAnsi="IRNazanin" w:eastAsia="IRNazanin" w:cs="IRNazanin"/>
          <w:lang w:bidi="fa-IR"/>
          <w:color w:val="111111"/>
          <w:sz w:val="28"/>
          <w:szCs w:val="28"/>
          <w:rtl/>
        </w:rPr>
        <w:t xml:space="preserve">آغاز: برابر؛ انجام: و این اول ایجاد نیز هست حرف دویم غافیطوس که ن باشد و این نیز دوم ایجاد است وعلى هذه القياس</w:t>
      </w:r>
    </w:p>
    <w:p>
      <w:pPr>
        <w:pStyle w:val="BookText"/>
      </w:pPr>
      <w:r>
        <w:rPr>
          <w:rFonts w:ascii="IRNazanin" w:hAnsi="IRNazanin" w:eastAsia="IRNazanin" w:cs="IRNazanin"/>
          <w:lang w:bidi="fa-IR"/>
          <w:color w:val="111111"/>
          <w:sz w:val="28"/>
          <w:szCs w:val="28"/>
          <w:rtl/>
        </w:rPr>
        <w:t xml:space="preserve">خط: نسخ، کا: عبدالحسین دارابی شیرازی  دارابی، تا: قرن ۱۳؛ جـلد: تیماج  مشکی، ۶۸گ ۱۸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۱-۳۵۱]</w:t>
      </w:r>
    </w:p>
    <w:p>
      <w:pPr>
        <w:pStyle w:val="BookText"/>
      </w:pPr>
      <w:r>
        <w:rPr>
          <w:rFonts w:ascii="IRNazanin" w:hAnsi="IRNazanin" w:eastAsia="IRNazanin" w:cs="IRNazanin"/>
          <w:lang w:bidi="fa-IR"/>
          <w:color w:val="111111"/>
          <w:sz w:val="28"/>
          <w:szCs w:val="28"/>
          <w:rtl/>
        </w:rPr>
        <w:t xml:space="preserve">۲۰. شیراز؛ شاهچراغ؛ شماره نسخه: ۶۵۸</w:t>
      </w:r>
    </w:p>
    <w:p>
      <w:pPr>
        <w:pStyle w:val="BookText"/>
      </w:pPr>
      <w:r>
        <w:rPr>
          <w:rFonts w:ascii="IRNazanin" w:hAnsi="IRNazanin" w:eastAsia="IRNazanin" w:cs="IRNazanin"/>
          <w:lang w:bidi="fa-IR"/>
          <w:color w:val="111111"/>
          <w:sz w:val="28"/>
          <w:szCs w:val="28"/>
          <w:rtl/>
        </w:rPr>
        <w:t xml:space="preserve">خط: نستعلیق، بی کا، تا قرن ۱۳ ؛کاغذ: آبی  رنگ ،۷۱گ،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۳ - ۸]</w:t>
      </w:r>
    </w:p>
    <w:p>
      <w:pPr>
        <w:pStyle w:val="BookText"/>
      </w:pPr>
      <w:r>
        <w:rPr>
          <w:rFonts w:ascii="IRNazanin" w:hAnsi="IRNazanin" w:eastAsia="IRNazanin" w:cs="IRNazanin"/>
          <w:lang w:bidi="fa-IR"/>
          <w:color w:val="111111"/>
          <w:sz w:val="28"/>
          <w:szCs w:val="28"/>
          <w:rtl/>
        </w:rPr>
        <w:t xml:space="preserve">۲۱. تهران؛ مجلس؛ شماره نسخه: ۱۴۸۶۶</w:t>
      </w:r>
    </w:p>
    <w:p>
      <w:pPr>
        <w:pStyle w:val="BookText"/>
      </w:pPr>
      <w:r>
        <w:rPr>
          <w:rFonts w:ascii="IRNazanin" w:hAnsi="IRNazanin" w:eastAsia="IRNazanin" w:cs="IRNazanin"/>
          <w:lang w:bidi="fa-IR"/>
          <w:color w:val="111111"/>
          <w:sz w:val="28"/>
          <w:szCs w:val="28"/>
          <w:rtl/>
        </w:rPr>
        <w:t xml:space="preserve">آغاز: برابر؛ انجام: ور زما گنج (؟) او نشان طلبی *** دیگر اسـرار قاسمی برخوان</w:t>
      </w:r>
    </w:p>
    <w:p>
      <w:pPr>
        <w:pStyle w:val="BookText"/>
      </w:pPr>
      <w:r>
        <w:rPr>
          <w:rFonts w:ascii="IRNazanin" w:hAnsi="IRNazanin" w:eastAsia="IRNazanin" w:cs="IRNazanin"/>
          <w:lang w:bidi="fa-IR"/>
          <w:color w:val="111111"/>
          <w:sz w:val="28"/>
          <w:szCs w:val="28"/>
          <w:rtl/>
        </w:rPr>
        <w:t xml:space="preserve">خط: نستعلیق ،هندی، بی کا،تا: قرن ۱۳؛ روی صفحه اول  سید محمد باقر حسینی مازندرانی بار فروشی دیو کلائی در سال 1317 توصیه کرده که «مطالعه این گونه کتابها جز تعطیل عمر شریـف چیز دیگر  نیست، گول نخورید روزی بدست خداوند است»؛ کاغذ: نخودی یا صورتی مات ،جلد: مقوایی با روکش کاغذی ابر و باد، ۷۱گ، ۱۹ و ۱۵ سطر، اندازه: ۱۴/۳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۲۴سم [ ف: 41- 250]</w:t>
      </w:r>
    </w:p>
    <w:p>
      <w:pPr>
        <w:pStyle w:val="BookText"/>
      </w:pPr>
      <w:r>
        <w:rPr>
          <w:rFonts w:ascii="IRNazanin" w:hAnsi="IRNazanin" w:eastAsia="IRNazanin" w:cs="IRNazanin"/>
          <w:lang w:bidi="fa-IR"/>
          <w:color w:val="111111"/>
          <w:sz w:val="28"/>
          <w:szCs w:val="28"/>
          <w:rtl/>
        </w:rPr>
        <w:t xml:space="preserve">۲۲. تهران؛ مجلس؛ شماره نسخه: ۱۶۳۴۵</w:t>
      </w:r>
    </w:p>
    <w:p>
      <w:pPr>
        <w:pStyle w:val="BookText"/>
      </w:pPr>
      <w:r>
        <w:rPr>
          <w:rFonts w:ascii="IRNazanin" w:hAnsi="IRNazanin" w:eastAsia="IRNazanin" w:cs="IRNazanin"/>
          <w:lang w:bidi="fa-IR"/>
          <w:color w:val="111111"/>
          <w:sz w:val="28"/>
          <w:szCs w:val="28"/>
          <w:rtl/>
        </w:rPr>
        <w:t xml:space="preserve">بی کا، تا: قرن ۱۳؛ قطع: خشتی [د.ث. مجلس] ؛</w:t>
      </w:r>
    </w:p>
    <w:p>
      <w:pPr>
        <w:pStyle w:val="BookText"/>
      </w:pPr>
      <w:r>
        <w:rPr>
          <w:rFonts w:ascii="IRNazanin" w:hAnsi="IRNazanin" w:eastAsia="IRNazanin" w:cs="IRNazanin"/>
          <w:lang w:bidi="fa-IR"/>
          <w:color w:val="111111"/>
          <w:sz w:val="28"/>
          <w:szCs w:val="28"/>
          <w:rtl/>
        </w:rPr>
        <w:t xml:space="preserve">23.تهران؛ ملک؛ شماره نسخه: ۳۱۲۸</w:t>
      </w:r>
    </w:p>
    <w:p>
      <w:pPr>
        <w:pStyle w:val="BookText"/>
      </w:pPr>
      <w:r>
        <w:rPr>
          <w:rFonts w:ascii="IRNazanin" w:hAnsi="IRNazanin" w:eastAsia="IRNazanin" w:cs="IRNazanin"/>
          <w:lang w:bidi="fa-IR"/>
          <w:color w:val="111111"/>
          <w:sz w:val="28"/>
          <w:szCs w:val="28"/>
          <w:rtl/>
        </w:rPr>
        <w:t xml:space="preserve">خط: نسخ، بی کا، تا: ۲۴ شعبان ۱۲۲۸ق، مدرسه حاجی میرزا محمد باقر ؛کاغذ: کاغذ فستقی ،آبی ،جلد: میشن تریاک ،۲۳۷گ، ۹ سطر، اندازه: ۱۱/۲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۱۷/۶سم [ف: ۲ - ۲۵]</w:t>
      </w:r>
    </w:p>
    <w:p>
      <w:pPr>
        <w:pStyle w:val="BookText"/>
      </w:pPr>
      <w:r>
        <w:rPr>
          <w:rFonts w:ascii="IRNazanin" w:hAnsi="IRNazanin" w:eastAsia="IRNazanin" w:cs="IRNazanin"/>
          <w:lang w:bidi="fa-IR"/>
          <w:color w:val="111111"/>
          <w:sz w:val="28"/>
          <w:szCs w:val="28"/>
          <w:rtl/>
        </w:rPr>
        <w:t xml:space="preserve">۲۴. تهران؛ ملک؛ شماره نسخه: ۳۰۹۰</w:t>
      </w:r>
    </w:p>
    <w:p>
      <w:pPr>
        <w:pStyle w:val="BookText"/>
      </w:pPr>
      <w:r>
        <w:rPr>
          <w:rFonts w:ascii="IRNazanin" w:hAnsi="IRNazanin" w:eastAsia="IRNazanin" w:cs="IRNazanin"/>
          <w:lang w:bidi="fa-IR"/>
          <w:color w:val="111111"/>
          <w:sz w:val="28"/>
          <w:szCs w:val="28"/>
          <w:rtl/>
        </w:rPr>
        <w:t xml:space="preserve">خط: نسخ، بی کا، تا: رمضان ۱۲۳۹ق ،مجدول با گوشه هـای تذهيب، كاغذ: كاغذ ترمه ،اصفهانی، جلد: میشن قهوه ای روشن  طلاکوب ،۵۴گ ۲۱  سطر، اندازه: ۱۳/۲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۲۱/۶سم [ف: ۲ - ۲۵]</w:t>
      </w:r>
    </w:p>
    <w:p>
      <w:pPr>
        <w:pStyle w:val="BookText"/>
      </w:pPr>
      <w:r>
        <w:rPr>
          <w:rFonts w:ascii="IRNazanin" w:hAnsi="IRNazanin" w:eastAsia="IRNazanin" w:cs="IRNazanin"/>
          <w:lang w:bidi="fa-IR"/>
          <w:color w:val="111111"/>
          <w:sz w:val="28"/>
          <w:szCs w:val="28"/>
          <w:rtl/>
        </w:rPr>
        <w:t xml:space="preserve">۲۵. تهران؛ مجلس؛ شماره نسخه: ۱۶۹۳۷</w:t>
      </w:r>
    </w:p>
    <w:p>
      <w:pPr>
        <w:pStyle w:val="BookText"/>
      </w:pPr>
      <w:r>
        <w:rPr>
          <w:rFonts w:ascii="IRNazanin" w:hAnsi="IRNazanin" w:eastAsia="IRNazanin" w:cs="IRNazanin"/>
          <w:lang w:bidi="fa-IR"/>
          <w:color w:val="111111"/>
          <w:sz w:val="28"/>
          <w:szCs w:val="28"/>
          <w:rtl/>
        </w:rPr>
        <w:t xml:space="preserve">آغاز: برابر؛ انجام : و الله میسر الدهور و عليم بذات الصدور و الله ما نقول وكيل. انجامه: تمت المقصد الأول بتوفيق الله عز وجل. كتب في ۶... ربیع الاول ۱۲۵۱.</w:t>
      </w:r>
    </w:p>
    <w:p>
      <w:pPr>
        <w:pStyle w:val="BookText"/>
      </w:pPr>
      <w:r>
        <w:rPr>
          <w:rFonts w:ascii="IRNazanin" w:hAnsi="IRNazanin" w:eastAsia="IRNazanin" w:cs="IRNazanin"/>
          <w:lang w:bidi="fa-IR"/>
          <w:color w:val="111111"/>
          <w:sz w:val="28"/>
          <w:szCs w:val="28"/>
          <w:rtl/>
        </w:rPr>
        <w:t xml:space="preserve">شامل مقصد اول؛ خط: شکسته  تحریری، بی کا، تا: ۱۲۵۱ق؛ جلد: مقوا، ۵۹  ص، ۱۷ سطر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۴۷ -]</w:t>
      </w:r>
    </w:p>
    <w:p>
      <w:pPr>
        <w:pStyle w:val="BookText"/>
      </w:pPr>
      <w:r>
        <w:rPr>
          <w:rFonts w:ascii="IRNazanin" w:hAnsi="IRNazanin" w:eastAsia="IRNazanin" w:cs="IRNazanin"/>
          <w:lang w:bidi="fa-IR"/>
          <w:color w:val="111111"/>
          <w:sz w:val="28"/>
          <w:szCs w:val="28"/>
          <w:rtl/>
        </w:rPr>
        <w:t xml:space="preserve">۲۶. تهران؛ مجلس؛ شماره نسخه: ۱۲۵۵۹/۲</w:t>
      </w:r>
    </w:p>
    <w:p>
      <w:pPr>
        <w:pStyle w:val="BookText"/>
      </w:pPr>
      <w:r>
        <w:rPr>
          <w:rFonts w:ascii="IRNazanin" w:hAnsi="IRNazanin" w:eastAsia="IRNazanin" w:cs="IRNazanin"/>
          <w:lang w:bidi="fa-IR"/>
          <w:color w:val="111111"/>
          <w:sz w:val="28"/>
          <w:szCs w:val="28"/>
          <w:rtl/>
        </w:rPr>
        <w:t xml:space="preserve">آغاز: برابر ؛ انجام: چون قاعده می باشد که ختم طعام بر حلاوت باشد اگر درین مقام مایده کلام نیز بدین شیرینی اختتام یابد خالی از مناسبتی نخواهد شد.</w:t>
      </w:r>
    </w:p>
    <w:p>
      <w:pPr>
        <w:pStyle w:val="BookText"/>
      </w:pPr>
      <w:r>
        <w:rPr>
          <w:rFonts w:ascii="IRNazanin" w:hAnsi="IRNazanin" w:eastAsia="IRNazanin" w:cs="IRNazanin"/>
          <w:lang w:bidi="fa-IR"/>
          <w:color w:val="111111"/>
          <w:sz w:val="28"/>
          <w:szCs w:val="28"/>
          <w:rtl/>
        </w:rPr>
        <w:t xml:space="preserve">خط: نستعلیق، بی کا، تا: ۱۵ ذیحجه ۱۲۵۲ق؛ جلد: تیماج قهوه ای  مجدول، ۱۱۵ ص (۵۲-۱۶۷)، ۲۳ سطر [ف: ۳۶ - ۹۱]</w:t>
      </w:r>
    </w:p>
    <w:p>
      <w:pPr>
        <w:pStyle w:val="BookText"/>
      </w:pPr>
      <w:r>
        <w:rPr>
          <w:rFonts w:ascii="IRNazanin" w:hAnsi="IRNazanin" w:eastAsia="IRNazanin" w:cs="IRNazanin"/>
          <w:lang w:bidi="fa-IR"/>
          <w:color w:val="111111"/>
          <w:sz w:val="28"/>
          <w:szCs w:val="28"/>
          <w:rtl/>
        </w:rPr>
        <w:t xml:space="preserve">۲۷. قم؛ مرعشی؛ شماره نسخه: ۹۴۴۴/۳</w:t>
      </w:r>
    </w:p>
    <w:p>
      <w:pPr>
        <w:pStyle w:val="BookText"/>
      </w:pPr>
      <w:r>
        <w:rPr>
          <w:rFonts w:ascii="IRNazanin" w:hAnsi="IRNazanin" w:eastAsia="IRNazanin" w:cs="IRNazanin"/>
          <w:lang w:bidi="fa-IR"/>
          <w:color w:val="111111"/>
          <w:sz w:val="28"/>
          <w:szCs w:val="28"/>
          <w:rtl/>
        </w:rPr>
        <w:t xml:space="preserve">خط: نستعلیق، بی کا، تا: ۲۳ محرم  ۱۲۵۲ق؛ جلد: مقوایی عطف تیماج قهوه ای، ۸۳گ (324پ-241ر) ۱۵ سطر،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۲۵/۵سم [ف: ۲۴ - ۲۰۶]</w:t>
      </w:r>
    </w:p>
    <w:p>
      <w:pPr>
        <w:pStyle w:val="BookText"/>
      </w:pPr>
      <w:r>
        <w:rPr>
          <w:rFonts w:ascii="IRNazanin" w:hAnsi="IRNazanin" w:eastAsia="IRNazanin" w:cs="IRNazanin"/>
          <w:lang w:bidi="fa-IR"/>
          <w:color w:val="111111"/>
          <w:sz w:val="28"/>
          <w:szCs w:val="28"/>
          <w:rtl/>
        </w:rPr>
        <w:t xml:space="preserve">۲۸. شیراز ،محلاتی صدر الدین؛ شماره نسخه: ۱</w:t>
      </w:r>
    </w:p>
    <w:p>
      <w:pPr>
        <w:pStyle w:val="BookText"/>
      </w:pPr>
      <w:r>
        <w:rPr>
          <w:rFonts w:ascii="IRNazanin" w:hAnsi="IRNazanin" w:eastAsia="IRNazanin" w:cs="IRNazanin"/>
          <w:lang w:bidi="fa-IR"/>
          <w:color w:val="111111"/>
          <w:sz w:val="28"/>
          <w:szCs w:val="28"/>
          <w:rtl/>
        </w:rPr>
        <w:t xml:space="preserve">بی کا ،تا: چهارشنبه ۲۹ جمادی ۱۲۵۴ق [ نشریه: ۵ - ۲۷۵]</w:t>
      </w:r>
    </w:p>
    <w:p>
      <w:pPr>
        <w:pStyle w:val="BookText"/>
      </w:pPr>
      <w:r>
        <w:rPr>
          <w:rFonts w:ascii="IRNazanin" w:hAnsi="IRNazanin" w:eastAsia="IRNazanin" w:cs="IRNazanin"/>
          <w:lang w:bidi="fa-IR"/>
          <w:color w:val="111111"/>
          <w:sz w:val="28"/>
          <w:szCs w:val="28"/>
          <w:rtl/>
        </w:rPr>
        <w:t xml:space="preserve">۲۹. مشهد؛ رضوی؛ شماره نسخه: ۲۲۹۵۲</w:t>
      </w:r>
    </w:p>
    <w:p>
      <w:pPr>
        <w:pStyle w:val="BookText"/>
      </w:pPr>
      <w:r>
        <w:rPr>
          <w:rFonts w:ascii="IRNazanin" w:hAnsi="IRNazanin" w:eastAsia="IRNazanin" w:cs="IRNazanin"/>
          <w:lang w:bidi="fa-IR"/>
          <w:color w:val="111111"/>
          <w:sz w:val="28"/>
          <w:szCs w:val="28"/>
          <w:rtl/>
        </w:rPr>
        <w:t xml:space="preserve">آغاز: برابر؛ انجام: و تفرج عنی فرجا عاجلا ... برحمتک یا ارحم  الراحمين</w:t>
      </w:r>
    </w:p>
    <w:p>
      <w:pPr>
        <w:pStyle w:val="BookText"/>
      </w:pPr>
      <w:r>
        <w:rPr>
          <w:rFonts w:ascii="IRNazanin" w:hAnsi="IRNazanin" w:eastAsia="IRNazanin" w:cs="IRNazanin"/>
          <w:lang w:bidi="fa-IR"/>
          <w:color w:val="111111"/>
          <w:sz w:val="28"/>
          <w:szCs w:val="28"/>
          <w:rtl/>
        </w:rPr>
        <w:t xml:space="preserve">خط: نستعلیق، بی کا، تا: ۱۲۵۸ق[ رایانه ]</w:t>
      </w:r>
    </w:p>
    <w:p>
      <w:pPr>
        <w:pStyle w:val="BookText"/>
      </w:pPr>
      <w:r>
        <w:rPr>
          <w:rFonts w:ascii="IRNazanin" w:hAnsi="IRNazanin" w:eastAsia="IRNazanin" w:cs="IRNazanin"/>
          <w:lang w:bidi="fa-IR"/>
          <w:color w:val="111111"/>
          <w:sz w:val="28"/>
          <w:szCs w:val="28"/>
          <w:rtl/>
        </w:rPr>
        <w:t xml:space="preserve">۳۰. مشهد؛ رضوی؛ شماره نسخه: ۱۰۴۳۷</w:t>
      </w:r>
    </w:p>
    <w:p>
      <w:pPr>
        <w:pStyle w:val="BookText"/>
      </w:pPr>
      <w:r>
        <w:rPr>
          <w:rFonts w:ascii="IRNazanin" w:hAnsi="IRNazanin" w:eastAsia="IRNazanin" w:cs="IRNazanin"/>
          <w:lang w:bidi="fa-IR"/>
          <w:color w:val="111111"/>
          <w:sz w:val="28"/>
          <w:szCs w:val="28"/>
          <w:rtl/>
        </w:rPr>
        <w:t xml:space="preserve">آغاز: برابر؛ انجام: تاریخ کتاب تو ز فيض ابدى فيشهر ذى  قعده سنه ۱۲۵۹سمت اختتام پذیرف</w:t>
      </w:r>
    </w:p>
    <w:p>
      <w:pPr>
        <w:pStyle w:val="BookText"/>
      </w:pPr>
      <w:r>
        <w:rPr>
          <w:rFonts w:ascii="IRNazanin" w:hAnsi="IRNazanin" w:eastAsia="IRNazanin" w:cs="IRNazanin"/>
          <w:lang w:bidi="fa-IR"/>
          <w:color w:val="111111"/>
          <w:sz w:val="28"/>
          <w:szCs w:val="28"/>
          <w:rtl/>
        </w:rPr>
        <w:t xml:space="preserve">خط: نستعلیق، بی کا، تا: ۱۲۵۹ق [الفبائی: ۴۷]</w:t>
      </w:r>
    </w:p>
    <w:p>
      <w:pPr>
        <w:pStyle w:val="BookText"/>
      </w:pPr>
      <w:r>
        <w:rPr>
          <w:rFonts w:ascii="IRNazanin" w:hAnsi="IRNazanin" w:eastAsia="IRNazanin" w:cs="IRNazanin"/>
          <w:lang w:bidi="fa-IR"/>
          <w:color w:val="111111"/>
          <w:sz w:val="28"/>
          <w:szCs w:val="28"/>
          <w:rtl/>
        </w:rPr>
        <w:t xml:space="preserve">۳۱. مشهد؛ رضوی؛ شماره نسخه: ۲۳۰۵۴</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بی کا، تا: چهارشنبه ربیع الاول ۱۲۶۰ق [رایانه]</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تهران؛ سپهسالار؛ شماره نسخه: ۲۸۷۶/۱</w:t>
      </w:r>
    </w:p>
    <w:p>
      <w:pPr>
        <w:pStyle w:val="BookText"/>
      </w:pPr>
      <w:r>
        <w:rPr>
          <w:rFonts w:ascii="IRNazanin" w:hAnsi="IRNazanin" w:eastAsia="IRNazanin" w:cs="IRNazanin"/>
          <w:lang w:bidi="fa-IR"/>
          <w:color w:val="111111"/>
          <w:sz w:val="28"/>
          <w:szCs w:val="28"/>
          <w:rtl/>
        </w:rPr>
        <w:t xml:space="preserve">خط: نستعليق، كا ،الله مراد، تا: ۲۸ شعبان ۱۲۷۴ق، جا: لنگرود؛ کاغذ: فرنگی ،سفید ،جلد: تیماج مشکی، یک لا، ۱۰۸گ (۳پ-۱۱۰پ)، ۱۳ 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۳ - ۱۲۷]</w:t>
      </w:r>
    </w:p>
    <w:p>
      <w:pPr>
        <w:pStyle w:val="BookText"/>
      </w:pPr>
      <w:r>
        <w:rPr>
          <w:rFonts w:ascii="IRNazanin" w:hAnsi="IRNazanin" w:eastAsia="IRNazanin" w:cs="IRNazanin"/>
          <w:lang w:bidi="fa-IR"/>
          <w:color w:val="111111"/>
          <w:sz w:val="28"/>
          <w:szCs w:val="28"/>
          <w:rtl/>
        </w:rPr>
        <w:t xml:space="preserve">٣٣. تهران؛ دانشگاه؛ شماره نسخه: ۳۸۲۶/۱</w:t>
      </w:r>
    </w:p>
    <w:p>
      <w:pPr>
        <w:pStyle w:val="BookText"/>
      </w:pPr>
      <w:r>
        <w:rPr>
          <w:rFonts w:ascii="IRNazanin" w:hAnsi="IRNazanin" w:eastAsia="IRNazanin" w:cs="IRNazanin"/>
          <w:lang w:bidi="fa-IR"/>
          <w:color w:val="111111"/>
          <w:sz w:val="28"/>
          <w:szCs w:val="28"/>
          <w:rtl/>
        </w:rPr>
        <w:t xml:space="preserve">خط: نستعلیق، بی کا، تا: ۱۲۷۶ق؛ کاغذ: فرنگی، جلد: تیماج قهوه ای ضربی  مقوایی، ۳۳گ ،(۱۵ر -۴۷ر)، ۱۹ سطر (8</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۱۱</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۱۷سم [ف: ۱۲ - ۲۸۰۶]</w:t>
      </w:r>
    </w:p>
    <w:p>
      <w:pPr>
        <w:pStyle w:val="BookText"/>
      </w:pPr>
      <w:r>
        <w:rPr>
          <w:rFonts w:ascii="IRNazanin" w:hAnsi="IRNazanin" w:eastAsia="IRNazanin" w:cs="IRNazanin"/>
          <w:lang w:bidi="fa-IR"/>
          <w:color w:val="111111"/>
          <w:sz w:val="28"/>
          <w:szCs w:val="28"/>
          <w:rtl/>
        </w:rPr>
        <w:t xml:space="preserve">۳۴. تهران؛ نوربخش؛ شماره نسخه: ۵۰۱</w:t>
      </w:r>
    </w:p>
    <w:p>
      <w:pPr>
        <w:pStyle w:val="BookText"/>
      </w:pPr>
      <w:r>
        <w:rPr>
          <w:rFonts w:ascii="IRNazanin" w:hAnsi="IRNazanin" w:eastAsia="IRNazanin" w:cs="IRNazanin"/>
          <w:lang w:bidi="fa-IR"/>
          <w:color w:val="111111"/>
          <w:sz w:val="28"/>
          <w:szCs w:val="28"/>
          <w:rtl/>
        </w:rPr>
        <w:t xml:space="preserve">آغاز: برابر؛ انجام: ک. ل. م. ن. و. هـ ى.</w:t>
      </w:r>
    </w:p>
    <w:p>
      <w:pPr>
        <w:pStyle w:val="BookText"/>
      </w:pPr>
      <w:r>
        <w:rPr>
          <w:rFonts w:ascii="IRNazanin" w:hAnsi="IRNazanin" w:eastAsia="IRNazanin" w:cs="IRNazanin"/>
          <w:lang w:bidi="fa-IR"/>
          <w:color w:val="111111"/>
          <w:sz w:val="28"/>
          <w:szCs w:val="28"/>
          <w:rtl/>
        </w:rPr>
        <w:t xml:space="preserve">خط: نستعلیق،بی کا، تا: ذیقعده ۱۲۸۰ق؛ کاغذ: فرنگی، جلد: تیماج عنابی یک لا، ۷۶ص، ۲۰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۲ - ۱۷۱]</w:t>
      </w:r>
    </w:p>
    <w:p>
      <w:pPr>
        <w:pStyle w:val="BookText"/>
      </w:pPr>
      <w:r>
        <w:rPr>
          <w:rFonts w:ascii="IRNazanin" w:hAnsi="IRNazanin" w:eastAsia="IRNazanin" w:cs="IRNazanin"/>
          <w:lang w:bidi="fa-IR"/>
          <w:color w:val="111111"/>
          <w:sz w:val="28"/>
          <w:szCs w:val="28"/>
          <w:rtl/>
        </w:rPr>
        <w:t xml:space="preserve">۳۵. تهران؛ مجلس؛ شماره نسخه: ۱۲۵۶۸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آغاز: برابر؛ انجام:و او بکار مردمان بسیار جهد بکند و یک زن بیگانه باشد او را دشمن کمتر بود و از مردماندیگر راضی باشد  و خداوند ثور را خدایتعالی حج روزی گرداند تمت.</w:t>
      </w:r>
    </w:p>
    <w:p>
      <w:pPr>
        <w:pStyle w:val="BookText"/>
      </w:pPr>
      <w:r>
        <w:rPr>
          <w:rFonts w:ascii="IRNazanin" w:hAnsi="IRNazanin" w:eastAsia="IRNazanin" w:cs="IRNazanin"/>
          <w:lang w:bidi="fa-IR"/>
          <w:color w:val="111111"/>
          <w:sz w:val="28"/>
          <w:szCs w:val="28"/>
          <w:rtl/>
        </w:rPr>
        <w:t xml:space="preserve">خط: نسخ، کا: محمد تقی بن حاجی عبدالرزاق ساوجی، پنج شنبه ۴ ربیع الثانی ۱۲۸۳ق؛ دارای جداول؛ جلد» تیماج سـبز ،۱۶۸ گ، ۱۶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۳۲سم [ف: ۳۶ - ۱۰۳]</w:t>
      </w:r>
    </w:p>
    <w:p>
      <w:pPr>
        <w:pStyle w:val="BookText"/>
      </w:pPr>
      <w:r>
        <w:rPr>
          <w:rFonts w:ascii="IRNazanin" w:hAnsi="IRNazanin" w:eastAsia="IRNazanin" w:cs="IRNazanin"/>
          <w:lang w:bidi="fa-IR"/>
          <w:color w:val="111111"/>
          <w:sz w:val="28"/>
          <w:szCs w:val="28"/>
          <w:rtl/>
        </w:rPr>
        <w:t xml:space="preserve">۳۶. مشهد شیخ علی حیدر؛ شماره نسخه: ۱۰۲۱/۱</w:t>
      </w:r>
    </w:p>
    <w:p>
      <w:pPr>
        <w:pStyle w:val="BookText"/>
      </w:pPr>
      <w:r>
        <w:rPr>
          <w:rFonts w:ascii="IRNazanin" w:hAnsi="IRNazanin" w:eastAsia="IRNazanin" w:cs="IRNazanin"/>
          <w:lang w:bidi="fa-IR"/>
          <w:color w:val="111111"/>
          <w:sz w:val="28"/>
          <w:szCs w:val="28"/>
          <w:rtl/>
        </w:rPr>
        <w:t xml:space="preserve">آغاز: برابر؛ انجام: که موجب ضحک بسیار باشد و مکرر تجـربه شده</w:t>
      </w:r>
    </w:p>
    <w:p>
      <w:pPr>
        <w:pStyle w:val="BookText"/>
      </w:pPr>
      <w:r>
        <w:rPr>
          <w:rFonts w:ascii="IRNazanin" w:hAnsi="IRNazanin" w:eastAsia="IRNazanin" w:cs="IRNazanin"/>
          <w:lang w:bidi="fa-IR"/>
          <w:color w:val="111111"/>
          <w:sz w:val="28"/>
          <w:szCs w:val="28"/>
          <w:rtl/>
        </w:rPr>
        <w:t xml:space="preserve">نام کتاب و مؤلف به قرینه آغاز نسخه تعیین شد؛ خط: نستعلیق، کا: ابوالحسن بن محمد نقی نهاوندی، تا: شوال ۱۲۸۶ق؛ افتادگی: وسط؛ عناوین آن «وصل» است؛ جلد: تیماج قهوه ای، ۸۲  گ (۱پ-۸۲ر)،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[مؤید: ۳ - ۳۴]</w:t>
      </w:r>
    </w:p>
    <w:p>
      <w:pPr>
        <w:pStyle w:val="BookText"/>
      </w:pPr>
      <w:r>
        <w:rPr>
          <w:rFonts w:ascii="IRNazanin" w:hAnsi="IRNazanin" w:eastAsia="IRNazanin" w:cs="IRNazanin"/>
          <w:lang w:bidi="fa-IR"/>
          <w:color w:val="111111"/>
          <w:sz w:val="28"/>
          <w:szCs w:val="28"/>
          <w:rtl/>
        </w:rPr>
        <w:t xml:space="preserve">۳۷. شیراز؛ شاهچراغ؛ شماره نسخه: ۶۴۸</w:t>
      </w:r>
    </w:p>
    <w:p>
      <w:pPr>
        <w:pStyle w:val="BookText"/>
      </w:pPr>
      <w:r>
        <w:rPr>
          <w:rFonts w:ascii="IRNazanin" w:hAnsi="IRNazanin" w:eastAsia="IRNazanin" w:cs="IRNazanin"/>
          <w:lang w:bidi="fa-IR"/>
          <w:color w:val="111111"/>
          <w:sz w:val="28"/>
          <w:szCs w:val="28"/>
          <w:rtl/>
        </w:rPr>
        <w:t xml:space="preserve">خط: نسخ، بی کا، تا: قرن  ۱۴، ۴۷گ،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۳  - 8]</w:t>
      </w:r>
    </w:p>
    <w:p>
      <w:pPr>
        <w:pStyle w:val="BookText"/>
      </w:pPr>
      <w:r>
        <w:rPr>
          <w:rFonts w:ascii="IRNazanin" w:hAnsi="IRNazanin" w:eastAsia="IRNazanin" w:cs="IRNazanin"/>
          <w:lang w:bidi="fa-IR"/>
          <w:color w:val="111111"/>
          <w:sz w:val="28"/>
          <w:szCs w:val="28"/>
          <w:rtl/>
        </w:rPr>
        <w:t xml:space="preserve">۳۸. مشهد؛ رضوی؛ شماره نسخه: ۲۹۵۴۳</w:t>
      </w:r>
    </w:p>
    <w:p>
      <w:pPr>
        <w:pStyle w:val="BookText"/>
      </w:pPr>
      <w:r>
        <w:rPr>
          <w:rFonts w:ascii="IRNazanin" w:hAnsi="IRNazanin" w:eastAsia="IRNazanin" w:cs="IRNazanin"/>
          <w:lang w:bidi="fa-IR"/>
          <w:color w:val="111111"/>
          <w:sz w:val="28"/>
          <w:szCs w:val="28"/>
          <w:rtl/>
        </w:rPr>
        <w:t xml:space="preserve">آغاز: دوازده یک ل می رسد بعد از آن ... یکی یکی در ریز زبان گیرد در هر کلام که خفی بعمل آمده؛ انجام: مثل این است  که با آتش آب ریخته شده و این حکمت یونان است ...</w:t>
      </w:r>
    </w:p>
    <w:p>
      <w:pPr>
        <w:pStyle w:val="BookText"/>
      </w:pPr>
      <w:r>
        <w:rPr>
          <w:rFonts w:ascii="IRNazanin" w:hAnsi="IRNazanin" w:eastAsia="IRNazanin" w:cs="IRNazanin"/>
          <w:lang w:bidi="fa-IR"/>
          <w:color w:val="111111"/>
          <w:sz w:val="28"/>
          <w:szCs w:val="28"/>
          <w:rtl/>
        </w:rPr>
        <w:t xml:space="preserve">خط: نستعلیق  جلی، بی کا، تا: قرن ۱۴ ؛افتادگی: آغاز و انجـام؛ ضمیمه نسخه ش ۱۶۱۸۴؛ جلد: گالینگور با عطف و گوشه تیماج، قطع: رقعی [رایانه]</w:t>
      </w:r>
    </w:p>
    <w:p>
      <w:pPr>
        <w:pStyle w:val="BookText"/>
      </w:pPr>
      <w:r>
        <w:rPr>
          <w:rFonts w:ascii="IRNazanin" w:hAnsi="IRNazanin" w:eastAsia="IRNazanin" w:cs="IRNazanin"/>
          <w:lang w:bidi="fa-IR"/>
          <w:color w:val="111111"/>
          <w:sz w:val="28"/>
          <w:szCs w:val="28"/>
          <w:rtl/>
        </w:rPr>
        <w:t xml:space="preserve">۳۹. اصفهان؛ مهدوی مصلح الدین؛ شماره نسخه: ۱۵۵</w:t>
      </w:r>
    </w:p>
    <w:p>
      <w:pPr>
        <w:pStyle w:val="BookText"/>
      </w:pPr>
      <w:r>
        <w:rPr>
          <w:rFonts w:ascii="IRNazanin" w:hAnsi="IRNazanin" w:eastAsia="IRNazanin" w:cs="IRNazanin"/>
          <w:lang w:bidi="fa-IR"/>
          <w:color w:val="111111"/>
          <w:sz w:val="28"/>
          <w:szCs w:val="28"/>
          <w:rtl/>
        </w:rPr>
        <w:t xml:space="preserve">آغاز: برابر؛ انجام: اسالک بحق خالقک مدیر الکل و منشی العلويات و السفليات مالكها ان تفعل كذا وكذا</w:t>
      </w:r>
    </w:p>
    <w:p>
      <w:pPr>
        <w:pStyle w:val="BookText"/>
      </w:pPr>
      <w:r>
        <w:rPr>
          <w:rFonts w:ascii="IRNazanin" w:hAnsi="IRNazanin" w:eastAsia="IRNazanin" w:cs="IRNazanin"/>
          <w:lang w:bidi="fa-IR"/>
          <w:color w:val="111111"/>
          <w:sz w:val="28"/>
          <w:szCs w:val="28"/>
          <w:rtl/>
        </w:rPr>
        <w:t xml:space="preserve">خط: نسخ، كا: محمد بن محمدرضائی اصفهانی، تا: ۲۶ شوال ۱۳۴۱ق، جا: بندر معموره اهواز مهر حرره محمد اصفهانی؛جـلد: مقوایی با روکش  پارچه، ۱۰۵گ، ۲۰ سطر، اندازه: 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[ف: ۱۵۱]</w:t>
      </w:r>
    </w:p>
    <w:p>
      <w:pPr>
        <w:pStyle w:val="BookText"/>
      </w:pPr>
      <w:r>
        <w:rPr>
          <w:rFonts w:ascii="IRNazanin" w:hAnsi="IRNazanin" w:eastAsia="IRNazanin" w:cs="IRNazanin"/>
          <w:lang w:bidi="fa-IR"/>
          <w:color w:val="111111"/>
          <w:sz w:val="28"/>
          <w:szCs w:val="28"/>
          <w:rtl/>
        </w:rPr>
        <w:t xml:space="preserve">40.مشهد؛ شیخ علی حیدر؛ شماره نسخه: ۱۲۹۷</w:t>
      </w:r>
    </w:p>
    <w:p>
      <w:pPr>
        <w:pStyle w:val="BookText"/>
      </w:pPr>
      <w:r>
        <w:rPr>
          <w:rFonts w:ascii="IRNazanin" w:hAnsi="IRNazanin" w:eastAsia="IRNazanin" w:cs="IRNazanin"/>
          <w:lang w:bidi="fa-IR"/>
          <w:color w:val="111111"/>
          <w:sz w:val="28"/>
          <w:szCs w:val="28"/>
          <w:rtl/>
        </w:rPr>
        <w:t xml:space="preserve">آغاز: برابر؛ انجام: متفرقه مشتمل است بر دو فصل در صورت (؟)</w:t>
      </w:r>
    </w:p>
    <w:p>
      <w:pPr>
        <w:pStyle w:val="BookText"/>
      </w:pPr>
      <w:r>
        <w:rPr>
          <w:rFonts w:ascii="IRNazanin" w:hAnsi="IRNazanin" w:eastAsia="IRNazanin" w:cs="IRNazanin"/>
          <w:lang w:bidi="fa-IR"/>
          <w:color w:val="111111"/>
          <w:sz w:val="28"/>
          <w:szCs w:val="28"/>
          <w:rtl/>
        </w:rPr>
        <w:t xml:space="preserve">خط: نستعلیق، بی کا، بی تا؛ افتادگی: انجام؛ مصحح ؛جلد: تیماج زرد ،۹۱گ، ۱۱ سطر، اندازه: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[مؤید: ۳ - ۲۴۸]</w:t>
      </w:r>
    </w:p>
    <w:p>
      <w:pPr>
        <w:pStyle w:val="BookText"/>
      </w:pPr>
      <w:r>
        <w:rPr>
          <w:rFonts w:ascii="IRNazanin" w:hAnsi="IRNazanin" w:eastAsia="IRNazanin" w:cs="IRNazanin"/>
          <w:lang w:bidi="fa-IR"/>
          <w:color w:val="111111"/>
          <w:sz w:val="28"/>
          <w:szCs w:val="28"/>
          <w:rtl/>
        </w:rPr>
        <w:t xml:space="preserve">۴۱. نجف آباد ؛حججی؛ شماره نسخه: ۱۲۳/۱۵</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کا: مصطفى بن هاشم حسینی، بی تا، جلد: تیماج سرخ مجدول با ترنج و سر ترنج ،۱۷گ (۹۶پ-۱۱۲ر)، اندازه: ۱۷/۵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۲۳/۵  سم[ف: ۱۸۰]</w:t>
      </w:r>
    </w:p>
    <w:p>
      <w:pPr>
        <w:pStyle w:val="BookText"/>
      </w:pPr>
      <w:r>
        <w:rPr>
          <w:rFonts w:ascii="IRNazanin" w:hAnsi="IRNazanin" w:eastAsia="IRNazanin" w:cs="IRNazanin"/>
          <w:lang w:bidi="fa-IR"/>
          <w:color w:val="111111"/>
          <w:sz w:val="28"/>
          <w:szCs w:val="28"/>
          <w:rtl/>
        </w:rPr>
        <w:t xml:space="preserve">42.تهران؛ نوربخش؛ شماره نسخه: ۷۷</w:t>
      </w:r>
    </w:p>
    <w:p>
      <w:pPr>
        <w:pStyle w:val="BookText"/>
      </w:pPr>
      <w:r>
        <w:rPr>
          <w:rFonts w:ascii="IRNazanin" w:hAnsi="IRNazanin" w:eastAsia="IRNazanin" w:cs="IRNazanin"/>
          <w:lang w:bidi="fa-IR"/>
          <w:color w:val="111111"/>
          <w:sz w:val="28"/>
          <w:szCs w:val="28"/>
          <w:rtl/>
        </w:rPr>
        <w:t xml:space="preserve">آغاز: فصل در عظام و انقیاد از سه استخوان؛ انجام: مطابق  تمایلات روحیه طرف بدهد.</w:t>
      </w:r>
    </w:p>
    <w:p>
      <w:pPr>
        <w:pStyle w:val="BookText"/>
      </w:pPr>
      <w:r>
        <w:rPr>
          <w:rFonts w:ascii="IRNazanin" w:hAnsi="IRNazanin" w:eastAsia="IRNazanin" w:cs="IRNazanin"/>
          <w:lang w:bidi="fa-IR"/>
          <w:color w:val="111111"/>
          <w:sz w:val="28"/>
          <w:szCs w:val="28"/>
          <w:rtl/>
        </w:rPr>
        <w:t xml:space="preserve">دارای پنج مقصد  و هر مقصدی در چند فصل و یک خاتـمه؛   بی کا بی تا؛ افتادگی: آغاز: کاغذ ،فرنگی، جلد: مقوایی، ۱۱۴ص،۱۰ سطر،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۱ - ۱۰۶]</w:t>
      </w:r>
    </w:p>
    <w:p>
      <w:pPr>
        <w:pStyle w:val="BookText"/>
      </w:pPr>
      <w:r>
        <w:rPr>
          <w:rFonts w:ascii="IRNazanin" w:hAnsi="IRNazanin" w:eastAsia="IRNazanin" w:cs="IRNazanin"/>
          <w:lang w:bidi="fa-IR"/>
          <w:color w:val="111111"/>
          <w:sz w:val="28"/>
          <w:szCs w:val="28"/>
          <w:rtl/>
        </w:rPr>
        <w:t xml:space="preserve">۴۳. قم؛ معصومیه؛ شماره نسخه: ۶۱۰/۳</w:t>
      </w:r>
    </w:p>
    <w:p>
      <w:pPr>
        <w:pStyle w:val="BookText"/>
      </w:pPr>
      <w:r>
        <w:rPr>
          <w:rFonts w:ascii="IRNazanin" w:hAnsi="IRNazanin" w:eastAsia="IRNazanin" w:cs="IRNazanin"/>
          <w:lang w:bidi="fa-IR"/>
          <w:color w:val="111111"/>
          <w:sz w:val="28"/>
          <w:szCs w:val="28"/>
          <w:rtl/>
        </w:rPr>
        <w:t xml:space="preserve">آغاز: بر صاحب وقوفی مخفی نمی باشد و حاجت تقریر ندارد</w:t>
      </w:r>
    </w:p>
    <w:p>
      <w:pPr>
        <w:pStyle w:val="BookText"/>
      </w:pPr>
      <w:r>
        <w:rPr>
          <w:rFonts w:ascii="IRNazanin" w:hAnsi="IRNazanin" w:eastAsia="IRNazanin" w:cs="IRNazanin"/>
          <w:lang w:bidi="fa-IR"/>
          <w:color w:val="111111"/>
          <w:sz w:val="28"/>
          <w:szCs w:val="28"/>
          <w:rtl/>
        </w:rPr>
        <w:t xml:space="preserve">خط: نسخ و نستعلیق، بی کا، بی تا؛ افتادگی: آغاز و انجام؛ جلد: تیماج قهوه ای ،۱۲۳گ (۱۰۸-۲۳۱)، ۲۰ سطر (۶/۵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۲ - ۲۴۱]</w:t>
      </w:r>
    </w:p>
    <w:p>
      <w:pPr>
        <w:pStyle w:val="BookText"/>
      </w:pPr>
      <w:r>
        <w:rPr>
          <w:rFonts w:ascii="IRNazanin" w:hAnsi="IRNazanin" w:eastAsia="IRNazanin" w:cs="IRNazanin"/>
          <w:lang w:bidi="fa-IR"/>
          <w:color w:val="111111"/>
          <w:sz w:val="28"/>
          <w:szCs w:val="28"/>
          <w:rtl/>
        </w:rPr>
        <w:t xml:space="preserve">۴۴. قم؛ فیضیه؛ شماره نسخه: ۸۵۳/۲</w:t>
      </w:r>
    </w:p>
    <w:p>
      <w:pPr>
        <w:pStyle w:val="BookText"/>
      </w:pPr>
      <w:r>
        <w:rPr>
          <w:rFonts w:ascii="IRNazanin" w:hAnsi="IRNazanin" w:eastAsia="IRNazanin" w:cs="IRNazanin"/>
          <w:lang w:bidi="fa-IR"/>
          <w:color w:val="111111"/>
          <w:sz w:val="28"/>
          <w:szCs w:val="28"/>
          <w:rtl/>
        </w:rPr>
        <w:t xml:space="preserve">تا فصل ششم؛ خط: نستعلیق، بی کا، بی تا؛ ۱۷ سطر، اندازه: ۱۵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۲۰سم [ف: ۳ - ۳۱]</w:t>
      </w:r>
    </w:p>
    <w:p>
      <w:pPr>
        <w:pStyle w:val="BookText"/>
      </w:pPr>
      <w:r>
        <w:rPr>
          <w:rFonts w:ascii="IRNazanin" w:hAnsi="IRNazanin" w:eastAsia="IRNazanin" w:cs="IRNazanin"/>
          <w:lang w:bidi="fa-IR"/>
          <w:color w:val="111111"/>
          <w:sz w:val="28"/>
          <w:szCs w:val="28"/>
          <w:rtl/>
        </w:rPr>
        <w:t xml:space="preserve">۴۵. شیراز؛ امام عصر؛ شماره نسخه: ۱۷۰/۱</w:t>
      </w:r>
    </w:p>
    <w:p>
      <w:pPr>
        <w:pStyle w:val="BookText"/>
      </w:pPr>
      <w:r>
        <w:rPr>
          <w:rFonts w:ascii="IRNazanin" w:hAnsi="IRNazanin" w:eastAsia="IRNazanin" w:cs="IRNazanin"/>
          <w:lang w:bidi="fa-IR"/>
          <w:color w:val="111111"/>
          <w:sz w:val="28"/>
          <w:szCs w:val="28"/>
          <w:rtl/>
        </w:rPr>
        <w:t xml:space="preserve">آغاز: برابر؛ انجام: در آخر کتاب در ماده تاریخ این سه بیت  آمده: اگر این قطعه را کنی تکرار*** راه یابی به گنجهای نهان /  منطق الطیر اگر بیاموزی *** شود این گفتگوی بر تو عیان / گر زتاریخ آن نشان یابی *** دیگر اسرار قاسمی بر خوان</w:t>
      </w:r>
    </w:p>
    <w:p>
      <w:pPr>
        <w:pStyle w:val="BookText"/>
      </w:pPr>
      <w:r>
        <w:rPr>
          <w:rFonts w:ascii="IRNazanin" w:hAnsi="IRNazanin" w:eastAsia="IRNazanin" w:cs="IRNazanin"/>
          <w:lang w:bidi="fa-IR"/>
          <w:color w:val="111111"/>
          <w:sz w:val="28"/>
          <w:szCs w:val="28"/>
          <w:rtl/>
        </w:rPr>
        <w:t xml:space="preserve">خط: نسخ، بی کا، بی  تا؛ ۵۰گ (۱-۵۰)،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1- 95]</w:t>
      </w:r>
    </w:p>
    <w:p>
      <w:pPr>
        <w:pStyle w:val="BookText"/>
      </w:pPr>
      <w:r>
        <w:rPr>
          <w:rFonts w:ascii="IRNazanin" w:hAnsi="IRNazanin" w:eastAsia="IRNazanin" w:cs="IRNazanin"/>
          <w:lang w:bidi="fa-IR"/>
          <w:color w:val="111111"/>
          <w:sz w:val="28"/>
          <w:szCs w:val="28"/>
          <w:rtl/>
        </w:rPr>
        <w:t xml:space="preserve">۴۶. تهران؛ دانشگاه؛ شماره نسخه: ۶۲۱۸/۳-ف</w:t>
      </w:r>
    </w:p>
    <w:p>
      <w:pPr>
        <w:pStyle w:val="BookText"/>
      </w:pPr>
      <w:r>
        <w:rPr>
          <w:rFonts w:ascii="IRNazanin" w:hAnsi="IRNazanin" w:eastAsia="IRNazanin" w:cs="IRNazanin"/>
          <w:lang w:bidi="fa-IR"/>
          <w:color w:val="111111"/>
          <w:sz w:val="28"/>
          <w:szCs w:val="28"/>
          <w:rtl/>
        </w:rPr>
        <w:t xml:space="preserve">نسخه اصل: کتابخانه گنج بخش ش، ۶۰۲؛ بی کا، بی تا [فیلمها-ف:  ٣ - ٢١١  ]</w:t>
      </w:r>
    </w:p>
    <w:p>
      <w:pPr>
        <w:pStyle w:val="BookText"/>
      </w:pPr>
      <w:r>
        <w:rPr>
          <w:rFonts w:ascii="IRNazanin" w:hAnsi="IRNazanin" w:eastAsia="IRNazanin" w:cs="IRNazanin"/>
          <w:lang w:bidi="fa-IR"/>
          <w:color w:val="111111"/>
          <w:sz w:val="28"/>
          <w:szCs w:val="28"/>
          <w:rtl/>
        </w:rPr>
        <w:t xml:space="preserve">۴۷. قم؛ گلپایگانی؛ شماره نسخه: ۲۲۴۱/۶-۱۲/۱۳۱</w:t>
      </w:r>
    </w:p>
    <w:p>
      <w:pPr>
        <w:pStyle w:val="BookText"/>
      </w:pPr>
      <w:r>
        <w:rPr>
          <w:rFonts w:ascii="IRNazanin" w:hAnsi="IRNazanin" w:eastAsia="IRNazanin" w:cs="IRNazanin"/>
          <w:lang w:bidi="fa-IR"/>
          <w:color w:val="111111"/>
          <w:sz w:val="28"/>
          <w:szCs w:val="28"/>
          <w:rtl/>
        </w:rPr>
        <w:t xml:space="preserve">آغاز: افتتاح کتاب اسرار آنچه توضیح بود نوشته شد اگر خواهی که تسخیر قمر کنی سه روز روزه دارد و بعد از آن خانه را؛ انجام: و اگر دم از ماه رودپشت سوی شمال باید کرد و ساکن باش و از جای خود حرکت مکن تا تو را ظفر بود و الله اعلم  بالصواب.</w:t>
      </w:r>
    </w:p>
    <w:p>
      <w:pPr>
        <w:pStyle w:val="BookText"/>
      </w:pPr>
      <w:r>
        <w:rPr>
          <w:rFonts w:ascii="IRNazanin" w:hAnsi="IRNazanin" w:eastAsia="IRNazanin" w:cs="IRNazanin"/>
          <w:lang w:bidi="fa-IR"/>
          <w:color w:val="111111"/>
          <w:sz w:val="28"/>
          <w:szCs w:val="28"/>
          <w:rtl/>
        </w:rPr>
        <w:t xml:space="preserve">خطبه کتاب حذف شده؛ خط: نستعلیق شکسته، بی کا، بی تا؛ جلد: ساغری قهوه ای  مجدول ،ضربی ۳۷گ (۱۲۲پ-۱۵۸پ)، ۱۲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۱ - ۳۵۱]</w:t>
      </w:r>
    </w:p>
    <w:p>
      <w:pPr>
        <w:pStyle w:val="BookText"/>
      </w:pPr>
      <w:r>
        <w:rPr>
          <w:rFonts w:ascii="IRNazanin" w:hAnsi="IRNazanin" w:eastAsia="IRNazanin" w:cs="IRNazanin"/>
          <w:lang w:bidi="fa-IR"/>
          <w:color w:val="111111"/>
          <w:sz w:val="28"/>
          <w:szCs w:val="28"/>
          <w:rtl/>
        </w:rPr>
        <w:t xml:space="preserve">۴۸. یزد؛ وزیری؛ شماره نسخه: ۳۵۷۳/۱</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بی کا، بی تا، کاغذ: دولت آبادی، جلد: مقوایی روکش تیماج مشکی عطف تیماج  قرمز، ۴۵ (۱-۴۵)، ۲۱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۳۱سم [ف: ۵ - ۱۷۰۶]</w:t>
      </w:r>
    </w:p>
    <w:p>
      <w:pPr>
        <w:pStyle w:val="BookText"/>
      </w:pPr>
      <w:r>
        <w:rPr>
          <w:rFonts w:ascii="IRNazanin" w:hAnsi="IRNazanin" w:eastAsia="IRNazanin" w:cs="IRNazanin"/>
          <w:lang w:bidi="fa-IR"/>
          <w:color w:val="111111"/>
          <w:sz w:val="28"/>
          <w:szCs w:val="28"/>
          <w:rtl/>
        </w:rPr>
        <w:t xml:space="preserve">۴۹. قم؛ گلپایگانی؛ شماره نسخه: ۷۵۷۲-۳۸/۱۹۲</w:t>
      </w:r>
    </w:p>
    <w:p>
      <w:pPr>
        <w:pStyle w:val="BookText"/>
      </w:pPr>
      <w:r>
        <w:rPr>
          <w:rFonts w:ascii="IRNazanin" w:hAnsi="IRNazanin" w:eastAsia="IRNazanin" w:cs="IRNazanin"/>
          <w:lang w:bidi="fa-IR"/>
          <w:color w:val="111111"/>
          <w:sz w:val="28"/>
          <w:szCs w:val="28"/>
          <w:rtl/>
        </w:rPr>
        <w:t xml:space="preserve">آغاز: بسمله الحمد لله والصلوة على نبيه و وصیه چنین گوید فقیر  حقیر بی بضاعت... على بن الحسين المشتهر بالصفى...مسما باسرارالقاسمی مشتمل بر بعضی از اعمال خیالات که آنرا سیمیا گویند؛ انجام: و این دو کلمه مرقوم شد تا طالبان راه حق از راه  ضلالت و شقاوت روی بجانب سعادت نهند بالله التوفيق.</w:t>
      </w:r>
    </w:p>
    <w:p>
      <w:pPr>
        <w:pStyle w:val="BookText"/>
      </w:pPr>
      <w:r>
        <w:rPr>
          <w:rFonts w:ascii="IRNazanin" w:hAnsi="IRNazanin" w:eastAsia="IRNazanin" w:cs="IRNazanin"/>
          <w:lang w:bidi="fa-IR"/>
          <w:color w:val="111111"/>
          <w:sz w:val="28"/>
          <w:szCs w:val="28"/>
          <w:rtl/>
        </w:rPr>
        <w:t xml:space="preserve">خط: نستعلیق، بی کا، بی تا؛ جلد: تیماج سرخ، ۵۳گ، ۱۱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۱ - ۳۵۲]</w:t>
      </w:r>
    </w:p>
    <w:p>
      <w:pPr>
        <w:pStyle w:val="BookText"/>
      </w:pPr>
      <w:r>
        <w:rPr>
          <w:rFonts w:ascii="IRNazanin" w:hAnsi="IRNazanin" w:eastAsia="IRNazanin" w:cs="IRNazanin"/>
          <w:lang w:bidi="fa-IR"/>
          <w:color w:val="111111"/>
          <w:sz w:val="28"/>
          <w:szCs w:val="28"/>
          <w:rtl/>
        </w:rPr>
        <w:t xml:space="preserve">۵۰. قم؛ مرعشی؛ شماره نسخه: ۱۳۳۴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263" w:name="pg20365_260374"/>
    <w:bookmarkEnd w:id="263"/>
    <w:p>
      <w:pPr>
        <w:pStyle w:val="BookText"/>
      </w:pPr>
      <w:r>
        <w:rPr>
          <w:rFonts w:ascii="IRNazanin" w:hAnsi="IRNazanin" w:eastAsia="IRNazanin" w:cs="IRNazanin"/>
          <w:lang w:bidi="fa-IR"/>
          <w:color w:val="111111"/>
          <w:sz w:val="28"/>
          <w:szCs w:val="28"/>
          <w:rtl/>
        </w:rPr>
        <w:t xml:space="preserve">آغاز: علوم جلوه جمال ارزانی فرمود و يعلمهم الله الحكمة  و چون بر زبان معجز نشان حقایق دانش</w:t>
      </w:r>
    </w:p>
    <w:p>
      <w:pPr>
        <w:pStyle w:val="BookText"/>
      </w:pPr>
      <w:r>
        <w:rPr>
          <w:rFonts w:ascii="IRNazanin" w:hAnsi="IRNazanin" w:eastAsia="IRNazanin" w:cs="IRNazanin"/>
          <w:lang w:bidi="fa-IR"/>
          <w:color w:val="111111"/>
          <w:sz w:val="28"/>
          <w:szCs w:val="28"/>
          <w:rtl/>
        </w:rPr>
        <w:t xml:space="preserve">خط: نسخ، کا: حاجی علی بن محمد حسین طرماح كربلایی؛ بی تا؛ افتادگی: آغاز؛ جلد :مقوایی، ۱۲۴گ،۱۵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۲۷/۵سم [ف: ۴- ۱۱۵]</w:t>
      </w:r>
    </w:p>
    <w:p>
      <w:pPr>
        <w:pStyle w:val="BookText"/>
      </w:pPr>
      <w:r>
        <w:rPr>
          <w:rFonts w:ascii="IRNazanin" w:hAnsi="IRNazanin" w:eastAsia="IRNazanin" w:cs="IRNazanin"/>
          <w:lang w:bidi="fa-IR"/>
          <w:color w:val="111111"/>
          <w:sz w:val="28"/>
          <w:szCs w:val="28"/>
          <w:rtl/>
        </w:rPr>
        <w:t xml:space="preserve">۵۱. قم؛ مرعشی؛ شماره نسخه: ۱۹۵۹</w:t>
      </w:r>
    </w:p>
    <w:p>
      <w:pPr>
        <w:pStyle w:val="BookText"/>
      </w:pPr>
      <w:r>
        <w:rPr>
          <w:rFonts w:ascii="IRNazanin" w:hAnsi="IRNazanin" w:eastAsia="IRNazanin" w:cs="IRNazanin"/>
          <w:lang w:bidi="fa-IR"/>
          <w:color w:val="111111"/>
          <w:sz w:val="28"/>
          <w:szCs w:val="28"/>
          <w:rtl/>
        </w:rPr>
        <w:t xml:space="preserve">خط: نستعلیق، بی کا، بی تا؛ این نسخه کتاب را بر دو مقصد تقسیم کرده و نام «نیر نجات» بدو داده است، تاریخ تألیف کتاب در نسخه حاضر ۹۰۷ می باشد؛ جلد: تیماج قهوه ای بدون مقـوا، ۷۳گ، مختلف السطر،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۵ - ۳۳۱]</w:t>
      </w:r>
    </w:p>
    <w:p>
      <w:pPr>
        <w:pStyle w:val="BookText"/>
      </w:pPr>
      <w:r>
        <w:rPr>
          <w:rFonts w:ascii="IRNazanin" w:hAnsi="IRNazanin" w:eastAsia="IRNazanin" w:cs="IRNazanin"/>
          <w:lang w:bidi="fa-IR"/>
          <w:color w:val="111111"/>
          <w:sz w:val="28"/>
          <w:szCs w:val="28"/>
          <w:rtl/>
        </w:rPr>
        <w:t xml:space="preserve">۵۲. تهران؛ ملی؛ شماره نسخه: ۱۵۸۴۲</w:t>
      </w:r>
    </w:p>
    <w:p>
      <w:pPr>
        <w:pStyle w:val="BookText"/>
      </w:pPr>
      <w:r>
        <w:rPr>
          <w:rFonts w:ascii="IRNazanin" w:hAnsi="IRNazanin" w:eastAsia="IRNazanin" w:cs="IRNazanin"/>
          <w:lang w:bidi="fa-IR"/>
          <w:color w:val="111111"/>
          <w:sz w:val="28"/>
          <w:szCs w:val="28"/>
          <w:rtl/>
        </w:rPr>
        <w:t xml:space="preserve">آغاز: مطابق نسخه ۱۴۸۸۸؛ انجام: پیش از آن که سخن گوید بر  بالای بام رود برابر مسکن او هشتاد کرت دال بگوید</w:t>
      </w:r>
    </w:p>
    <w:p>
      <w:pPr>
        <w:pStyle w:val="BookText"/>
      </w:pPr>
      <w:r>
        <w:rPr>
          <w:rFonts w:ascii="IRNazanin" w:hAnsi="IRNazanin" w:eastAsia="IRNazanin" w:cs="IRNazanin"/>
          <w:lang w:bidi="fa-IR"/>
          <w:color w:val="111111"/>
          <w:sz w:val="28"/>
          <w:szCs w:val="28"/>
          <w:rtl/>
        </w:rPr>
        <w:t xml:space="preserve">بی کا، بی تا؛ افتادگی: انجام؛ محشی، نسخه شامل سیمیا، زیمیا و لیمیا می باشد؛ کاغذ: فرنگی  نخودی، جلد: مقوا روکش کاغذ طرح دار عطف تیماج مشکی، اندرون جلد آستر کاغذی ۴۶  گ، ۲۳-۲۱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 اندازه: ۱۷/۵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۲۲/۵سم [رایانه]</w:t>
      </w:r>
    </w:p>
    <w:p>
      <w:pPr>
        <w:pStyle w:val="BookText"/>
      </w:pPr>
      <w:r>
        <w:rPr>
          <w:rFonts w:ascii="IRNazanin" w:hAnsi="IRNazanin" w:eastAsia="IRNazanin" w:cs="IRNazanin"/>
          <w:lang w:bidi="fa-IR"/>
          <w:color w:val="111111"/>
          <w:sz w:val="28"/>
          <w:szCs w:val="28"/>
          <w:rtl/>
        </w:rPr>
        <w:t xml:space="preserve">۵۳. تهران؛ ملی؛ شماره نسخه: ۱۸۶۶۹</w:t>
      </w:r>
    </w:p>
    <w:p>
      <w:pPr>
        <w:pStyle w:val="BookText"/>
      </w:pPr>
      <w:r>
        <w:rPr>
          <w:rFonts w:ascii="IRNazanin" w:hAnsi="IRNazanin" w:eastAsia="IRNazanin" w:cs="IRNazanin"/>
          <w:lang w:bidi="fa-IR"/>
          <w:color w:val="111111"/>
          <w:sz w:val="28"/>
          <w:szCs w:val="28"/>
          <w:rtl/>
        </w:rPr>
        <w:t xml:space="preserve">بی کا ، بی تا، انتقالی از کتابخانه پهلوی - مجموعه نوازی؛ 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۱۶/۸سم [رایانه]</w:t>
      </w:r>
    </w:p>
    <w:p>
      <w:pPr>
        <w:pStyle w:val="BookText"/>
      </w:pPr>
      <w:r>
        <w:rPr>
          <w:rFonts w:ascii="IRNazanin" w:hAnsi="IRNazanin" w:eastAsia="IRNazanin" w:cs="IRNazanin"/>
          <w:lang w:bidi="fa-IR"/>
          <w:color w:val="111111"/>
          <w:sz w:val="28"/>
          <w:szCs w:val="28"/>
          <w:rtl/>
        </w:rPr>
        <w:t xml:space="preserve">۵۴. تهران؛ ملی؛ شماره نسخه: ۱۸۴۲۹</w:t>
      </w:r>
    </w:p>
    <w:p>
      <w:pPr>
        <w:pStyle w:val="BookText"/>
      </w:pPr>
      <w:r>
        <w:rPr>
          <w:rFonts w:ascii="IRNazanin" w:hAnsi="IRNazanin" w:eastAsia="IRNazanin" w:cs="IRNazanin"/>
          <w:lang w:bidi="fa-IR"/>
          <w:color w:val="111111"/>
          <w:sz w:val="28"/>
          <w:szCs w:val="28"/>
          <w:rtl/>
        </w:rPr>
        <w:t xml:space="preserve">بی کا، بی تا؛ انتقالی از کتابخانه پهلوی - مجموعه نوازی؛ ۱۱۲گ، اندازه: ۱۲/۳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۱۶/۷سم [رایانه ]</w:t>
      </w:r>
    </w:p>
    <w:p>
      <w:pPr>
        <w:pStyle w:val="BookText"/>
      </w:pPr>
      <w:r>
        <w:rPr>
          <w:rFonts w:ascii="IRNazanin" w:hAnsi="IRNazanin" w:eastAsia="IRNazanin" w:cs="IRNazanin"/>
          <w:lang w:bidi="fa-IR"/>
          <w:color w:val="111111"/>
          <w:sz w:val="28"/>
          <w:szCs w:val="28"/>
          <w:rtl/>
        </w:rPr>
        <w:t xml:space="preserve">55.مشهد؛ رضوی؛ شماره نسخه: ۶۳۷۳</w:t>
      </w:r>
    </w:p>
    <w:p>
      <w:pPr>
        <w:pStyle w:val="BookText"/>
      </w:pPr>
      <w:r>
        <w:rPr>
          <w:rFonts w:ascii="IRNazanin" w:hAnsi="IRNazanin" w:eastAsia="IRNazanin" w:cs="IRNazanin"/>
          <w:lang w:bidi="fa-IR"/>
          <w:color w:val="111111"/>
          <w:sz w:val="28"/>
          <w:szCs w:val="28"/>
          <w:rtl/>
        </w:rPr>
        <w:t xml:space="preserve">خط: نستعلیق، بی کا، بی تا [الفبائی: ۴۷]</w:t>
      </w:r>
    </w:p>
    <w:p>
      <w:pPr>
        <w:pStyle w:val="BookText"/>
      </w:pPr>
      <w:r>
        <w:rPr>
          <w:rFonts w:ascii="IRNazanin" w:hAnsi="IRNazanin" w:eastAsia="IRNazanin" w:cs="IRNazanin"/>
          <w:lang w:bidi="fa-IR"/>
          <w:color w:val="111111"/>
          <w:sz w:val="28"/>
          <w:szCs w:val="28"/>
          <w:rtl/>
        </w:rPr>
        <w:t xml:space="preserve">۵۶. مشهد؛ رضوی؛ شماره نسخه: ۹۶۵۳</w:t>
      </w:r>
    </w:p>
    <w:p>
      <w:pPr>
        <w:pStyle w:val="BookText"/>
      </w:pPr>
      <w:r>
        <w:rPr>
          <w:rFonts w:ascii="IRNazanin" w:hAnsi="IRNazanin" w:eastAsia="IRNazanin" w:cs="IRNazanin"/>
          <w:lang w:bidi="fa-IR"/>
          <w:color w:val="111111"/>
          <w:sz w:val="28"/>
          <w:szCs w:val="28"/>
          <w:rtl/>
        </w:rPr>
        <w:t xml:space="preserve">آغاز: برابر؛ انجام: دیگر اسرار قاسمی برخوان</w:t>
      </w:r>
    </w:p>
    <w:p>
      <w:pPr>
        <w:pStyle w:val="BookText"/>
      </w:pPr>
      <w:r>
        <w:rPr>
          <w:rFonts w:ascii="IRNazanin" w:hAnsi="IRNazanin" w:eastAsia="IRNazanin" w:cs="IRNazanin"/>
          <w:lang w:bidi="fa-IR"/>
          <w:color w:val="111111"/>
          <w:sz w:val="28"/>
          <w:szCs w:val="28"/>
          <w:rtl/>
        </w:rPr>
        <w:t xml:space="preserve">خط: نستعلیق، بی کا،بی تا [الفبائی: ۴۷]</w:t>
      </w:r>
    </w:p>
    <w:p>
      <w:pPr>
        <w:pStyle w:val="BookText"/>
      </w:pPr>
      <w:r>
        <w:rPr>
          <w:rFonts w:ascii="IRNazanin" w:hAnsi="IRNazanin" w:eastAsia="IRNazanin" w:cs="IRNazanin"/>
          <w:lang w:bidi="fa-IR"/>
          <w:color w:val="111111"/>
          <w:sz w:val="28"/>
          <w:szCs w:val="28"/>
          <w:rtl/>
        </w:rPr>
        <w:t xml:space="preserve">۵۷. مشهد؛ رضوی؛ شماره نسخه: ۱۰۹۵۹</w:t>
      </w:r>
    </w:p>
    <w:p>
      <w:pPr>
        <w:pStyle w:val="BookText"/>
      </w:pPr>
      <w:r>
        <w:rPr>
          <w:rFonts w:ascii="IRNazanin" w:hAnsi="IRNazanin" w:eastAsia="IRNazanin" w:cs="IRNazanin"/>
          <w:lang w:bidi="fa-IR"/>
          <w:color w:val="111111"/>
          <w:sz w:val="28"/>
          <w:szCs w:val="28"/>
          <w:rtl/>
        </w:rPr>
        <w:t xml:space="preserve">آغاز: برابر؛ انجام: چنین استماع افتاد بر کافه عوام مخفی نبوده باشد</w:t>
      </w:r>
    </w:p>
    <w:p>
      <w:pPr>
        <w:pStyle w:val="BookText"/>
      </w:pPr>
      <w:r>
        <w:rPr>
          <w:rFonts w:ascii="IRNazanin" w:hAnsi="IRNazanin" w:eastAsia="IRNazanin" w:cs="IRNazanin"/>
          <w:lang w:bidi="fa-IR"/>
          <w:color w:val="111111"/>
          <w:sz w:val="28"/>
          <w:szCs w:val="28"/>
          <w:rtl/>
        </w:rPr>
        <w:t xml:space="preserve">خط: نستعلیق، بی کا، بی تا [الفبائی: ۴۷]</w:t>
      </w:r>
    </w:p>
    <w:p>
      <w:pPr>
        <w:pStyle w:val="BookText"/>
      </w:pPr>
      <w:r>
        <w:rPr>
          <w:rFonts w:ascii="Amiri" w:hAnsi="Amiri" w:eastAsia="Amiri" w:cs="Amiri"/>
          <w:lang w:bidi="ar-SA"/>
          <w:color w:val="111111"/>
          <w:sz w:val="28"/>
          <w:szCs w:val="28"/>
          <w:rtl/>
        </w:rPr>
        <w:t xml:space="preserve">«اسرار القرآن » انيس العاقلين</w:t>
      </w:r>
    </w:p>
    <w:p>
      <w:pPr>
        <w:pStyle w:val="Heading3"/>
      </w:pPr>
      <w:bookmarkStart w:id="1412" w:name="_Toc934"/>
      <w:r>
        <w:t>اسرار القرآن / تفسیر / عربی</w:t>
      </w:r>
      <w:bookmarkEnd w:id="1412"/>
    </w:p>
    <w:p>
      <w:pPr>
        <w:pStyle w:val="BookText"/>
      </w:pPr>
      <w:r>
        <w:rPr>
          <w:rFonts w:ascii="Times New Roman" w:hAnsi="Times New Roman" w:eastAsia="Times New Roman" w:cs="Times New Roman"/>
          <w:lang w:val="en-US" w:bidi="en-US"/>
          <w:color w:val="111111"/>
          <w:sz w:val="28"/>
          <w:szCs w:val="28"/>
          <w:rtl/>
        </w:rPr>
        <w:t xml:space="preserve">asrār-ul-qur‘ān</w:t>
      </w:r>
    </w:p>
    <w:p>
      <w:pPr>
        <w:pStyle w:val="BookText"/>
      </w:pPr>
      <w:r>
        <w:rPr>
          <w:rFonts w:ascii="IRNazanin" w:hAnsi="IRNazanin" w:eastAsia="IRNazanin" w:cs="IRNazanin"/>
          <w:lang w:bidi="fa-IR"/>
          <w:color w:val="111111"/>
          <w:sz w:val="28"/>
          <w:szCs w:val="28"/>
          <w:rtl/>
        </w:rPr>
        <w:t xml:space="preserve">روح  افزایانی، محمد، ق۱۳ قمری</w:t>
      </w:r>
    </w:p>
    <w:p>
      <w:pPr>
        <w:pStyle w:val="BookText"/>
      </w:pPr>
      <w:r>
        <w:rPr>
          <w:rFonts w:ascii="Times New Roman" w:hAnsi="Times New Roman" w:eastAsia="Times New Roman" w:cs="Times New Roman"/>
          <w:lang w:val="en-US" w:bidi="en-US"/>
          <w:color w:val="111111"/>
          <w:sz w:val="28"/>
          <w:szCs w:val="28"/>
          <w:rtl/>
        </w:rPr>
        <w:t xml:space="preserve">(rūh-afzāyānī, mohammad (- 19c)</w:t>
      </w:r>
    </w:p>
    <w:p>
      <w:pPr>
        <w:pStyle w:val="BookText"/>
      </w:pPr>
      <w:r>
        <w:rPr>
          <w:rFonts w:ascii="IRNazanin" w:hAnsi="IRNazanin" w:eastAsia="IRNazanin" w:cs="IRNazanin"/>
          <w:lang w:bidi="fa-IR"/>
          <w:color w:val="111111"/>
          <w:sz w:val="28"/>
          <w:szCs w:val="28"/>
          <w:rtl/>
        </w:rPr>
        <w:t xml:space="preserve">تاریخ تالیف: ۱۱۹۸ تا ۱۲۰۵ق</w:t>
      </w:r>
    </w:p>
    <w:p>
      <w:pPr>
        <w:pStyle w:val="BookText"/>
      </w:pPr>
      <w:r>
        <w:rPr>
          <w:rFonts w:ascii="IRNazanin" w:hAnsi="IRNazanin" w:eastAsia="IRNazanin" w:cs="IRNazanin"/>
          <w:lang w:bidi="fa-IR"/>
          <w:color w:val="111111"/>
          <w:sz w:val="28"/>
          <w:szCs w:val="28"/>
          <w:rtl/>
        </w:rPr>
        <w:t xml:space="preserve">رساله ای کوتاه در تأویلات آیات سوره  بلد ،نجم ،الرحمن قدر، که بر مبنای فضایل اهل بیت (علیهم السّلام) و مطاعن دشمنان آن بزرگواران با نام های سوره الحجة و غصب الحجة وسورة هتک  الحرمة (برای سوره بلد) سورة نصب الحجة (سوره نجم)، سورة رد الحجة (براى سوره رحمان) و سورة التسلية (براى سوره قدر) تدوین و در پایان خاتمه ای منظوم در ۶۰ بیت در مصائب اهل بیت (علیهم السّلام) سروده شده است.</w:t>
      </w:r>
    </w:p>
    <w:p>
      <w:pPr>
        <w:pStyle w:val="BookText"/>
      </w:pPr>
      <w:r>
        <w:rPr>
          <w:rFonts w:ascii="IRNazanin" w:hAnsi="IRNazanin" w:eastAsia="IRNazanin" w:cs="IRNazanin"/>
          <w:lang w:bidi="fa-IR"/>
          <w:color w:val="111111"/>
          <w:sz w:val="28"/>
          <w:szCs w:val="28"/>
          <w:rtl/>
        </w:rPr>
        <w:t xml:space="preserve">قم؛ مسجد اعظم؛ شماره نسخه: ۲۲۹۱</w:t>
      </w:r>
    </w:p>
    <w:p>
      <w:pPr>
        <w:pStyle w:val="BookText"/>
      </w:pPr>
      <w:r>
        <w:rPr>
          <w:rFonts w:ascii="IRNazanin" w:hAnsi="IRNazanin" w:eastAsia="IRNazanin" w:cs="IRNazanin"/>
          <w:lang w:bidi="fa-IR"/>
          <w:color w:val="111111"/>
          <w:sz w:val="28"/>
          <w:szCs w:val="28"/>
          <w:rtl/>
        </w:rPr>
        <w:t xml:space="preserve">آغاز: بسمله و من وجوه اعجاز القرآن انه لا يقبل الزيادة و النقصان فلله الحمد على هذا الاحسان و الصلاة و السلام على مواطن بواطنه و بواطن مواطنه محمد و آله الذين نزل فيهم نجماً بظاهره و باطنه ... قصیده ايها الطالب للحق اليقين *** بين ارباب النهى فى السالكين ؛انجام: عبرة ما قال في تاريخه ***قبل ان يختمه سبع سنين / من كلام ربهم وانكم *** لتمرون عليهم  مصبحين.</w:t>
      </w:r>
    </w:p>
    <w:p>
      <w:pPr>
        <w:pStyle w:val="BookText"/>
      </w:pPr>
      <w:r>
        <w:rPr>
          <w:rFonts w:ascii="IRNazanin" w:hAnsi="IRNazanin" w:eastAsia="IRNazanin" w:cs="IRNazanin"/>
          <w:lang w:bidi="fa-IR"/>
          <w:color w:val="111111"/>
          <w:sz w:val="28"/>
          <w:szCs w:val="28"/>
          <w:rtl/>
        </w:rPr>
        <w:t xml:space="preserve">خط: نسخ، کا: صدرا بن محسن عبدالعظیمی، تا: ۲۶رجب ۱۲۰۵ق؛ محشی، نام مؤلف در پایان رساله نوشته شده؛ جلد: تیماج سیاه، ۲۵گ، ۱۰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مخ: ۱ - ۱۴۷]</w:t>
      </w:r>
    </w:p>
    <w:p>
      <w:pPr>
        <w:pStyle w:val="Heading3"/>
      </w:pPr>
      <w:bookmarkStart w:id="1413" w:name="_Toc935"/>
      <w:r>
        <w:t>اسرار القلوب / عرفان و تصوف / عربی و فارسی</w:t>
      </w:r>
      <w:bookmarkEnd w:id="1413"/>
    </w:p>
    <w:p>
      <w:pPr>
        <w:pStyle w:val="BookText"/>
      </w:pPr>
      <w:r>
        <w:rPr>
          <w:rFonts w:ascii="Times New Roman" w:hAnsi="Times New Roman" w:eastAsia="Times New Roman" w:cs="Times New Roman"/>
          <w:lang w:val="en-US" w:bidi="en-US"/>
          <w:color w:val="111111"/>
          <w:sz w:val="28"/>
          <w:szCs w:val="28"/>
          <w:rtl/>
        </w:rPr>
        <w:t xml:space="preserve">asrar-ul-qulub</w:t>
      </w:r>
    </w:p>
    <w:p>
      <w:pPr>
        <w:pStyle w:val="BookText"/>
      </w:pPr>
      <w:r>
        <w:rPr>
          <w:rFonts w:ascii="IRNazanin" w:hAnsi="IRNazanin" w:eastAsia="IRNazanin" w:cs="IRNazanin"/>
          <w:lang w:bidi="fa-IR"/>
          <w:color w:val="111111"/>
          <w:sz w:val="28"/>
          <w:szCs w:val="28"/>
          <w:rtl/>
        </w:rPr>
        <w:t xml:space="preserve">انصاری، عبدالله بن محمد، ۳۹۶ - محمد، ۳۹۶ - ۴۸۱ قمری</w:t>
      </w:r>
    </w:p>
    <w:p>
      <w:pPr>
        <w:pStyle w:val="BookText"/>
      </w:pPr>
      <w:r>
        <w:rPr>
          <w:rFonts w:ascii="Times New Roman" w:hAnsi="Times New Roman" w:eastAsia="Times New Roman" w:cs="Times New Roman"/>
          <w:lang w:val="en-US" w:bidi="en-US"/>
          <w:color w:val="111111"/>
          <w:sz w:val="28"/>
          <w:szCs w:val="28"/>
          <w:rtl/>
        </w:rPr>
        <w:t xml:space="preserve">(ansārī, ‘abd-ol-lāh ebn-e mohammad (1006 - 1089)</w:t>
      </w:r>
    </w:p>
    <w:p>
      <w:pPr>
        <w:pStyle w:val="BookText"/>
      </w:pPr>
      <w:r>
        <w:rPr>
          <w:rFonts w:ascii="IRNazanin" w:hAnsi="IRNazanin" w:eastAsia="IRNazanin" w:cs="IRNazanin"/>
          <w:lang w:bidi="fa-IR"/>
          <w:color w:val="111111"/>
          <w:sz w:val="28"/>
          <w:szCs w:val="28"/>
          <w:rtl/>
        </w:rPr>
        <w:t xml:space="preserve">تهران؛ سادات  ناصری، حسن؛ شماره نسخه: ۲۵۰/۴</w:t>
      </w:r>
    </w:p>
    <w:p>
      <w:pPr>
        <w:pStyle w:val="BookText"/>
      </w:pPr>
      <w:r>
        <w:rPr>
          <w:rFonts w:ascii="IRNazanin" w:hAnsi="IRNazanin" w:eastAsia="IRNazanin" w:cs="IRNazanin"/>
          <w:lang w:bidi="fa-IR"/>
          <w:color w:val="111111"/>
          <w:sz w:val="28"/>
          <w:szCs w:val="28"/>
          <w:rtl/>
        </w:rPr>
        <w:t xml:space="preserve">خط: شکسته نستعلیق ،کا: میرزا محمد بن میرزا علی رضا، تا: ۱۲۹۴ق؛ قطع: ربعی [نشریه ۶ - ۶۹۸]</w:t>
      </w:r>
    </w:p>
    <w:p>
      <w:pPr>
        <w:pStyle w:val="Heading3"/>
      </w:pPr>
      <w:bookmarkStart w:id="1414" w:name="_Toc936"/>
      <w:r>
        <w:t>اسرار القلوب / علوم غریبه / فارسی</w:t>
      </w:r>
      <w:bookmarkEnd w:id="1414"/>
    </w:p>
    <w:p>
      <w:pPr>
        <w:pStyle w:val="BookText"/>
      </w:pPr>
      <w:r>
        <w:rPr>
          <w:rFonts w:ascii="Times New Roman" w:hAnsi="Times New Roman" w:eastAsia="Times New Roman" w:cs="Times New Roman"/>
          <w:lang w:val="en-US" w:bidi="en-US"/>
          <w:color w:val="111111"/>
          <w:sz w:val="28"/>
          <w:szCs w:val="28"/>
          <w:rtl/>
        </w:rPr>
        <w:t xml:space="preserve">asrār-ol-qolūb</w:t>
      </w:r>
    </w:p>
    <w:p>
      <w:pPr>
        <w:pStyle w:val="BookText"/>
      </w:pPr>
      <w:r>
        <w:rPr>
          <w:rFonts w:ascii="IRNazanin" w:hAnsi="IRNazanin" w:eastAsia="IRNazanin" w:cs="IRNazanin"/>
          <w:lang w:bidi="fa-IR"/>
          <w:color w:val="111111"/>
          <w:sz w:val="28"/>
          <w:szCs w:val="28"/>
          <w:rtl/>
        </w:rPr>
        <w:t xml:space="preserve">علی مردان کرمانی</w:t>
      </w:r>
    </w:p>
    <w:p>
      <w:pPr>
        <w:pStyle w:val="BookText"/>
      </w:pPr>
      <w:r>
        <w:rPr>
          <w:rFonts w:ascii="Times New Roman" w:hAnsi="Times New Roman" w:eastAsia="Times New Roman" w:cs="Times New Roman"/>
          <w:lang w:val="en-US" w:bidi="en-US"/>
          <w:color w:val="111111"/>
          <w:sz w:val="28"/>
          <w:szCs w:val="28"/>
          <w:rtl/>
        </w:rPr>
        <w:t xml:space="preserve">alī mardān-e kermānī</w:t>
      </w:r>
    </w:p>
    <w:p>
      <w:pPr>
        <w:pStyle w:val="BookText"/>
      </w:pPr>
      <w:r>
        <w:rPr>
          <w:rFonts w:ascii="IRNazanin" w:hAnsi="IRNazanin" w:eastAsia="IRNazanin" w:cs="IRNazanin"/>
          <w:lang w:bidi="fa-IR"/>
          <w:color w:val="111111"/>
          <w:sz w:val="28"/>
          <w:szCs w:val="28"/>
          <w:rtl/>
        </w:rPr>
        <w:t xml:space="preserve">تهران؛ مجلس؛ شماره نسخه ۱۷۵۸۲ ض</w:t>
      </w:r>
    </w:p>
    <w:p>
      <w:pPr>
        <w:pStyle w:val="BookText"/>
      </w:pPr>
      <w:r>
        <w:rPr>
          <w:rFonts w:ascii="Times New Roman" w:hAnsi="Times New Roman" w:eastAsia="Times New Roman" w:cs="Times New Roman"/>
          <w:lang w:val="en-US" w:bidi="en-US"/>
          <w:color w:val="111111"/>
          <w:sz w:val="28"/>
          <w:szCs w:val="28"/>
          <w:rtl/>
        </w:rPr>
        <w:t xml:space="preserve">asrar-ol-qolub</w:t>
      </w:r>
    </w:p>
    <w:p>
      <w:pPr>
        <w:pStyle w:val="BookText"/>
      </w:pPr>
      <w:r>
        <w:rPr>
          <w:rFonts w:ascii="Times New Roman" w:hAnsi="Times New Roman" w:eastAsia="Times New Roman" w:cs="Times New Roman"/>
          <w:lang w:val="en-US" w:bidi="en-US"/>
          <w:color w:val="111111"/>
          <w:sz w:val="28"/>
          <w:szCs w:val="28"/>
          <w:rtl/>
        </w:rPr>
        <w:t xml:space="preserve">'alī mardān-e kermānī</w:t>
      </w:r>
    </w:p>
    <w:p>
      <w:pPr>
        <w:pStyle w:val="BookText"/>
      </w:pPr>
      <w:r>
        <w:rPr>
          <w:rFonts w:ascii="IRNazanin" w:hAnsi="IRNazanin" w:eastAsia="IRNazanin" w:cs="IRNazanin"/>
          <w:lang w:bidi="fa-IR"/>
          <w:color w:val="111111"/>
          <w:sz w:val="28"/>
          <w:szCs w:val="28"/>
          <w:rtl/>
        </w:rPr>
        <w:t xml:space="preserve">خط: نستعلیق، خوب، بی کا، بی تا [د.ث. مجلس]</w:t>
      </w:r>
    </w:p>
    <w:p>
      <w:pPr>
        <w:pStyle w:val="Heading3"/>
      </w:pPr>
      <w:bookmarkStart w:id="1415" w:name="_Toc937"/>
      <w:r>
        <w:t>اسرار القلوب / عرفان و تصوف / عربی</w:t>
      </w:r>
      <w:bookmarkEnd w:id="1415"/>
    </w:p>
    <w:p>
      <w:pPr>
        <w:pStyle w:val="BookText"/>
      </w:pPr>
      <w:r>
        <w:rPr>
          <w:rFonts w:ascii="Times New Roman" w:hAnsi="Times New Roman" w:eastAsia="Times New Roman" w:cs="Times New Roman"/>
          <w:lang w:val="en-US" w:bidi="en-US"/>
          <w:color w:val="111111"/>
          <w:sz w:val="28"/>
          <w:szCs w:val="28"/>
          <w:rtl/>
        </w:rPr>
        <w:t xml:space="preserve">asrar-ul qulub</w:t>
      </w:r>
    </w:p>
    <w:p>
      <w:pPr>
        <w:pStyle w:val="BookText"/>
      </w:pPr>
      <w:r>
        <w:rPr>
          <w:rFonts w:ascii="IRNazanin" w:hAnsi="IRNazanin" w:eastAsia="IRNazanin" w:cs="IRNazanin"/>
          <w:lang w:bidi="fa-IR"/>
          <w:color w:val="111111"/>
          <w:sz w:val="28"/>
          <w:szCs w:val="28"/>
          <w:rtl/>
        </w:rPr>
        <w:t xml:space="preserve">اهداء به: سلطان محمد بن مرادخان عثمانی</w:t>
      </w:r>
    </w:p>
    <w:p>
      <w:pPr>
        <w:pStyle w:val="BookText"/>
      </w:pPr>
      <w:r>
        <w:rPr>
          <w:rFonts w:ascii="IRNazanin" w:hAnsi="IRNazanin" w:eastAsia="IRNazanin" w:cs="IRNazanin"/>
          <w:lang w:bidi="fa-IR"/>
          <w:color w:val="111111"/>
          <w:sz w:val="28"/>
          <w:szCs w:val="28"/>
          <w:rtl/>
        </w:rPr>
        <w:t xml:space="preserve">درباره قلب از دید فلسفی و روایات و آیات و همچنین گفته های عرفا و دانشمندان درباره قلب و وظایف آن و اهمیت آن در شؤون مادی و معنوی انسان در چند «فصل» کوتاه و بعضی عبارت ها و شعرها به فارسی.</w:t>
      </w:r>
    </w:p>
    <w:p>
      <w:pPr>
        <w:pStyle w:val="BookText"/>
      </w:pPr>
      <w:r>
        <w:rPr>
          <w:rFonts w:ascii="Amiri" w:hAnsi="Amiri" w:eastAsia="Amiri" w:cs="Amiri"/>
          <w:lang w:bidi="ar-SA"/>
          <w:color w:val="111111"/>
          <w:sz w:val="28"/>
          <w:szCs w:val="28"/>
          <w:rtl/>
        </w:rPr>
        <w:t xml:space="preserve">آغاز:الحمدالله مقلب القلوب وعلام الأسرار والغيوب و الصلاة  على نبيه و آله و صحبه ما تعاقب الشروق و الغروب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264" w:name="pg20365_260375"/>
    <w:bookmarkEnd w:id="264"/>
    <w:p>
      <w:pPr>
        <w:pStyle w:val="BookText"/>
      </w:pPr>
      <w:r>
        <w:rPr>
          <w:rFonts w:ascii="IRNazanin" w:hAnsi="IRNazanin" w:eastAsia="IRNazanin" w:cs="IRNazanin"/>
          <w:lang w:bidi="fa-IR"/>
          <w:color w:val="111111"/>
          <w:sz w:val="28"/>
          <w:szCs w:val="28"/>
          <w:rtl/>
        </w:rPr>
        <w:t xml:space="preserve">انجام: عشق حق را گزین تو ایمن شو *** می شمر غیر عشق را  یک جو</w:t>
      </w:r>
    </w:p>
    <w:p>
      <w:pPr>
        <w:pStyle w:val="BookText"/>
      </w:pPr>
      <w:r>
        <w:rPr>
          <w:rFonts w:ascii="IRNazanin" w:hAnsi="IRNazanin" w:eastAsia="IRNazanin" w:cs="IRNazanin"/>
          <w:lang w:bidi="fa-IR"/>
          <w:color w:val="111111"/>
          <w:sz w:val="28"/>
          <w:szCs w:val="28"/>
          <w:rtl/>
        </w:rPr>
        <w:t xml:space="preserve">۱. قم؛ مرعشی؛ شماره نسخه: ۸۰۶۹/۱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محمد خلیل بن محمد حسین بیرجندی قائنی،تا: ۱۲۹۵ق؛ جلد: تيماج قرمز بدون مقوا، ۳۸گ(۱پ-۳۸ر)،  19 سطر، اندازه: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۲۱ - ۷۱]</w:t>
      </w:r>
    </w:p>
    <w:p>
      <w:pPr>
        <w:pStyle w:val="BookText"/>
      </w:pPr>
      <w:r>
        <w:rPr>
          <w:rFonts w:ascii="IRNazanin" w:hAnsi="IRNazanin" w:eastAsia="IRNazanin" w:cs="IRNazanin"/>
          <w:lang w:bidi="fa-IR"/>
          <w:color w:val="111111"/>
          <w:sz w:val="28"/>
          <w:szCs w:val="28"/>
          <w:rtl/>
        </w:rPr>
        <w:t xml:space="preserve">۱. قم؛ گلپایگانی؛ شماره نسخه: ۳۸۷۶/۱-۱۹/۲۰۶</w:t>
      </w:r>
    </w:p>
    <w:p>
      <w:pPr>
        <w:pStyle w:val="BookText"/>
      </w:pPr>
      <w:r>
        <w:rPr>
          <w:rFonts w:ascii="Amiri" w:hAnsi="Amiri" w:eastAsia="Amiri" w:cs="Amiri"/>
          <w:lang w:bidi="ar-SA"/>
          <w:color w:val="111111"/>
          <w:sz w:val="28"/>
          <w:szCs w:val="28"/>
          <w:rtl/>
        </w:rPr>
        <w:t xml:space="preserve">آغاز: برابر؛ انجام: حادماً للقلب مسخراً له لايستطيع خلافه فاذا أمر العين بالانفتاح انفتحت</w:t>
      </w:r>
    </w:p>
    <w:p>
      <w:pPr>
        <w:pStyle w:val="BookText"/>
      </w:pPr>
      <w:r>
        <w:rPr>
          <w:rFonts w:ascii="IRNazanin" w:hAnsi="IRNazanin" w:eastAsia="IRNazanin" w:cs="IRNazanin"/>
          <w:lang w:bidi="fa-IR"/>
          <w:color w:val="111111"/>
          <w:sz w:val="28"/>
          <w:szCs w:val="28"/>
          <w:rtl/>
        </w:rPr>
        <w:t xml:space="preserve">خط: نستعلیق، بی کا، بی تا؛ افتادگی: انجام؛ جلد: مقوایی ۱۰گ، ۲۱  سطر،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۶ - ۳۲۲۷]</w:t>
      </w:r>
    </w:p>
    <w:p>
      <w:pPr>
        <w:pStyle w:val="Heading3"/>
      </w:pPr>
      <w:bookmarkStart w:id="1416" w:name="_Toc938"/>
      <w:r>
        <w:t>اسرار قلوب العارفين / متفرقه / عربی و فارسی</w:t>
      </w:r>
      <w:bookmarkEnd w:id="1416"/>
    </w:p>
    <w:p>
      <w:pPr>
        <w:pStyle w:val="BookText"/>
      </w:pPr>
      <w:r>
        <w:rPr>
          <w:rFonts w:ascii="Times New Roman" w:hAnsi="Times New Roman" w:eastAsia="Times New Roman" w:cs="Times New Roman"/>
          <w:lang w:val="en-US" w:bidi="en-US"/>
          <w:color w:val="111111"/>
          <w:sz w:val="28"/>
          <w:szCs w:val="28"/>
          <w:rtl/>
        </w:rPr>
        <w:t xml:space="preserve">asrār-u qulūb-il-‘ārifīn</w:t>
      </w:r>
    </w:p>
    <w:p>
      <w:pPr>
        <w:pStyle w:val="BookText"/>
      </w:pPr>
      <w:r>
        <w:rPr>
          <w:rFonts w:ascii="IRNazanin" w:hAnsi="IRNazanin" w:eastAsia="IRNazanin" w:cs="IRNazanin"/>
          <w:lang w:bidi="fa-IR"/>
          <w:color w:val="111111"/>
          <w:sz w:val="28"/>
          <w:szCs w:val="28"/>
          <w:rtl/>
        </w:rPr>
        <w:t xml:space="preserve">احمدی، علی اکبر بن  حسینعلی، ۱۳۰۷ق ۱۴ قمری</w:t>
      </w:r>
    </w:p>
    <w:p>
      <w:pPr>
        <w:pStyle w:val="BookText"/>
      </w:pPr>
      <w:r>
        <w:rPr>
          <w:rFonts w:ascii="Times New Roman" w:hAnsi="Times New Roman" w:eastAsia="Times New Roman" w:cs="Times New Roman"/>
          <w:lang w:val="en-US" w:bidi="en-US"/>
          <w:color w:val="111111"/>
          <w:sz w:val="28"/>
          <w:szCs w:val="28"/>
          <w:rtl/>
        </w:rPr>
        <w:t xml:space="preserve">(ahmadī, ‘alī akbar ebn-e hoseyn-‘alī (1890 - 20c)</w:t>
      </w:r>
    </w:p>
    <w:p>
      <w:pPr>
        <w:pStyle w:val="BookText"/>
      </w:pPr>
      <w:r>
        <w:rPr>
          <w:rFonts w:ascii="IRNazanin" w:hAnsi="IRNazanin" w:eastAsia="IRNazanin" w:cs="IRNazanin"/>
          <w:lang w:bidi="fa-IR"/>
          <w:color w:val="111111"/>
          <w:sz w:val="28"/>
          <w:szCs w:val="28"/>
          <w:rtl/>
        </w:rPr>
        <w:t xml:space="preserve">مشهد ؛رضوی؛ شماره نسخه: ۹۳۷۲</w:t>
      </w:r>
    </w:p>
    <w:p>
      <w:pPr>
        <w:pStyle w:val="BookText"/>
      </w:pPr>
      <w:r>
        <w:rPr>
          <w:rFonts w:ascii="IRNazanin" w:hAnsi="IRNazanin" w:eastAsia="IRNazanin" w:cs="IRNazanin"/>
          <w:lang w:bidi="fa-IR"/>
          <w:color w:val="111111"/>
          <w:sz w:val="28"/>
          <w:szCs w:val="28"/>
          <w:rtl/>
        </w:rPr>
        <w:t xml:space="preserve">آغاز: نسخه اما توحید دعاء عرفه از حضرت سيد الشهداء ؛ انجـام: از شر شیطان الله ما را حفظ کند در شاه آباد شمیران نوشتم علی اکبر احمدی</w:t>
      </w:r>
    </w:p>
    <w:p>
      <w:pPr>
        <w:pStyle w:val="BookText"/>
      </w:pPr>
      <w:r>
        <w:rPr>
          <w:rFonts w:ascii="IRNazanin" w:hAnsi="IRNazanin" w:eastAsia="IRNazanin" w:cs="IRNazanin"/>
          <w:lang w:bidi="fa-IR"/>
          <w:color w:val="111111"/>
          <w:sz w:val="28"/>
          <w:szCs w:val="28"/>
          <w:rtl/>
        </w:rPr>
        <w:t xml:space="preserve">خط: مختلف كاتب - مؤلف، تا: ۱۳۸۵ق [الفبائی: ۴۷]</w:t>
      </w:r>
    </w:p>
    <w:p>
      <w:pPr>
        <w:pStyle w:val="Heading3"/>
      </w:pPr>
      <w:bookmarkStart w:id="1417" w:name="_Toc939"/>
      <w:r>
        <w:t>اسرار القلوب فى اوصاف المحبوب / تفسیر - فارسی</w:t>
      </w:r>
      <w:bookmarkEnd w:id="1417"/>
    </w:p>
    <w:p>
      <w:pPr>
        <w:pStyle w:val="BookText"/>
      </w:pPr>
      <w:r>
        <w:rPr>
          <w:rFonts w:ascii="Times New Roman" w:hAnsi="Times New Roman" w:eastAsia="Times New Roman" w:cs="Times New Roman"/>
          <w:lang w:val="en-US" w:bidi="en-US"/>
          <w:color w:val="111111"/>
          <w:sz w:val="28"/>
          <w:szCs w:val="28"/>
          <w:rtl/>
        </w:rPr>
        <w:t xml:space="preserve">asrār-ol-qolūb fī ovsāf-el-mahbūb</w:t>
      </w:r>
    </w:p>
    <w:p>
      <w:pPr>
        <w:pStyle w:val="BookText"/>
      </w:pPr>
      <w:r>
        <w:rPr>
          <w:rFonts w:ascii="IRNazanin" w:hAnsi="IRNazanin" w:eastAsia="IRNazanin" w:cs="IRNazanin"/>
          <w:lang w:bidi="fa-IR"/>
          <w:color w:val="111111"/>
          <w:sz w:val="28"/>
          <w:szCs w:val="28"/>
          <w:rtl/>
        </w:rPr>
        <w:t xml:space="preserve">نواب لاهیجانی، محمد بن محمد باقر، - ۱۲۶۳ قمری</w:t>
      </w:r>
    </w:p>
    <w:p>
      <w:pPr>
        <w:pStyle w:val="BookText"/>
      </w:pPr>
      <w:r>
        <w:rPr>
          <w:rFonts w:ascii="Times New Roman" w:hAnsi="Times New Roman" w:eastAsia="Times New Roman" w:cs="Times New Roman"/>
          <w:lang w:val="en-US" w:bidi="en-US"/>
          <w:color w:val="111111"/>
          <w:sz w:val="28"/>
          <w:szCs w:val="28"/>
          <w:rtl/>
        </w:rPr>
        <w:t xml:space="preserve">(1847-)navvāb-e lāhījānī, mohammad ebn-e mohammad bāqer</w:t>
      </w:r>
    </w:p>
    <w:p>
      <w:pPr>
        <w:pStyle w:val="BookText"/>
      </w:pPr>
      <w:r>
        <w:rPr>
          <w:rFonts w:ascii="IRNazanin" w:hAnsi="IRNazanin" w:eastAsia="IRNazanin" w:cs="IRNazanin"/>
          <w:lang w:bidi="fa-IR"/>
          <w:color w:val="111111"/>
          <w:sz w:val="28"/>
          <w:szCs w:val="28"/>
          <w:rtl/>
        </w:rPr>
        <w:t xml:space="preserve">اهداءبه: حاجی میرزا آقاسی</w:t>
      </w:r>
    </w:p>
    <w:p>
      <w:pPr>
        <w:pStyle w:val="BookText"/>
      </w:pPr>
      <w:r>
        <w:rPr>
          <w:rFonts w:ascii="IRNazanin" w:hAnsi="IRNazanin" w:eastAsia="IRNazanin" w:cs="IRNazanin"/>
          <w:lang w:bidi="fa-IR"/>
          <w:color w:val="111111"/>
          <w:sz w:val="28"/>
          <w:szCs w:val="28"/>
          <w:rtl/>
        </w:rPr>
        <w:t xml:space="preserve">تاریخ تالیف: ۱۲۶۳ق</w:t>
      </w:r>
    </w:p>
    <w:p>
      <w:pPr>
        <w:pStyle w:val="BookText"/>
      </w:pPr>
      <w:r>
        <w:rPr>
          <w:rFonts w:ascii="IRNazanin" w:hAnsi="IRNazanin" w:eastAsia="IRNazanin" w:cs="IRNazanin"/>
          <w:lang w:bidi="fa-IR"/>
          <w:color w:val="111111"/>
          <w:sz w:val="28"/>
          <w:szCs w:val="28"/>
          <w:rtl/>
        </w:rPr>
        <w:t xml:space="preserve">در این رساله نویسنده آیه «و بشرالدین آمنوا اعملوا ...» را مطابق  مشرب صوفیان تفسیر کرده است.</w:t>
      </w:r>
    </w:p>
    <w:p>
      <w:pPr>
        <w:pStyle w:val="BookText"/>
      </w:pPr>
      <w:r>
        <w:rPr>
          <w:rFonts w:ascii="IRNazanin" w:hAnsi="IRNazanin" w:eastAsia="IRNazanin" w:cs="IRNazanin"/>
          <w:lang w:bidi="fa-IR"/>
          <w:color w:val="111111"/>
          <w:sz w:val="28"/>
          <w:szCs w:val="28"/>
          <w:rtl/>
        </w:rPr>
        <w:t xml:space="preserve">تهران؛ ملی؛ شماره نسخه: ۶۸۲/۳</w:t>
      </w:r>
    </w:p>
    <w:p>
      <w:pPr>
        <w:pStyle w:val="BookText"/>
      </w:pPr>
      <w:r>
        <w:rPr>
          <w:rFonts w:ascii="IRNazanin" w:hAnsi="IRNazanin" w:eastAsia="IRNazanin" w:cs="IRNazanin"/>
          <w:lang w:bidi="fa-IR"/>
          <w:color w:val="111111"/>
          <w:sz w:val="28"/>
          <w:szCs w:val="28"/>
          <w:rtl/>
        </w:rPr>
        <w:t xml:space="preserve">آغاز: بسمله، و كم الله من لطف خفى *** يدق خفاه عن فهم الزکی؛ انجام: توسن عرفان چو تند است و حرون *** هین عيانـش را بکشای  ای ذوفنون. پایان نسخه: كتبه مولفه الفقير محمد بن محمد باقر الملقب به نواب اللاهیجانى فى ربيع الاول سنه 1263هـ ق .</w:t>
      </w:r>
    </w:p>
    <w:p>
      <w:pPr>
        <w:pStyle w:val="BookText"/>
      </w:pPr>
      <w:r>
        <w:rPr>
          <w:rFonts w:ascii="IRNazanin" w:hAnsi="IRNazanin" w:eastAsia="IRNazanin" w:cs="IRNazanin"/>
          <w:lang w:bidi="fa-IR"/>
          <w:color w:val="111111"/>
          <w:sz w:val="28"/>
          <w:szCs w:val="28"/>
          <w:rtl/>
        </w:rPr>
        <w:t xml:space="preserve">خط: نستعلیق، كاتب - مؤلف، تا: ۱۲۵۸ق، جا: محتملاً تهران؛ کاغذ: فرنگی الوان، جلد: تیماج  سبز، ۱۴ص، ۱۵ سطر (۶</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  اندازه: 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۱۶/۵سم [ف: ۲ - ۱۸۳]</w:t>
      </w:r>
    </w:p>
    <w:p>
      <w:pPr>
        <w:pStyle w:val="BookText"/>
      </w:pPr>
      <w:r>
        <w:rPr>
          <w:rFonts w:ascii="IRNazanin" w:hAnsi="IRNazanin" w:eastAsia="IRNazanin" w:cs="IRNazanin"/>
          <w:lang w:bidi="fa-IR"/>
          <w:color w:val="111111"/>
          <w:sz w:val="28"/>
          <w:szCs w:val="28"/>
          <w:rtl/>
        </w:rPr>
        <w:t xml:space="preserve">«اسرار قوله تعالی «اقتربت الساعة و انشق القمر» » شق القمر</w:t>
      </w:r>
    </w:p>
    <w:p>
      <w:pPr>
        <w:pStyle w:val="BookText"/>
      </w:pPr>
      <w:r>
        <w:rPr>
          <w:rFonts w:ascii="Amiri" w:hAnsi="Amiri" w:eastAsia="Amiri" w:cs="Amiri"/>
          <w:lang w:bidi="ar-SA"/>
          <w:color w:val="111111"/>
          <w:sz w:val="28"/>
          <w:szCs w:val="28"/>
          <w:rtl/>
        </w:rPr>
        <w:t xml:space="preserve">«اسرار الكف » فراسة الكف</w:t>
      </w:r>
    </w:p>
    <w:p>
      <w:pPr>
        <w:pStyle w:val="Heading3"/>
      </w:pPr>
      <w:bookmarkStart w:id="1418" w:name="_Toc940"/>
      <w:r>
        <w:t>اسرار کلمه علمیه / اردو</w:t>
      </w:r>
      <w:bookmarkEnd w:id="1418"/>
    </w:p>
    <w:p>
      <w:pPr>
        <w:pStyle w:val="BookText"/>
      </w:pPr>
      <w:r>
        <w:rPr>
          <w:rFonts w:ascii="Times New Roman" w:hAnsi="Times New Roman" w:eastAsia="Times New Roman" w:cs="Times New Roman"/>
          <w:lang w:val="en-US" w:bidi="en-US"/>
          <w:color w:val="111111"/>
          <w:sz w:val="28"/>
          <w:szCs w:val="28"/>
          <w:rtl/>
        </w:rPr>
        <w:t xml:space="preserve">asrar-e kalame-ye ‘elmīye</w:t>
      </w:r>
    </w:p>
    <w:p>
      <w:pPr>
        <w:pStyle w:val="BookText"/>
      </w:pPr>
      <w:r>
        <w:rPr>
          <w:rFonts w:ascii="IRNazanin" w:hAnsi="IRNazanin" w:eastAsia="IRNazanin" w:cs="IRNazanin"/>
          <w:lang w:bidi="fa-IR"/>
          <w:color w:val="111111"/>
          <w:sz w:val="28"/>
          <w:szCs w:val="28"/>
          <w:rtl/>
        </w:rPr>
        <w:t xml:space="preserve">یزد؛ وزیری؛ شماره نسخه: ۲۲۹۴/۸</w:t>
      </w:r>
    </w:p>
    <w:p>
      <w:pPr>
        <w:pStyle w:val="BookText"/>
      </w:pPr>
      <w:r>
        <w:rPr>
          <w:rFonts w:ascii="IRNazanin" w:hAnsi="IRNazanin" w:eastAsia="IRNazanin" w:cs="IRNazanin"/>
          <w:lang w:bidi="fa-IR"/>
          <w:color w:val="111111"/>
          <w:sz w:val="28"/>
          <w:szCs w:val="28"/>
          <w:rtl/>
        </w:rPr>
        <w:t xml:space="preserve">آغاز: بسمله لا اله الا الله محمد رسول الله یعنی الله جل و علا شانه؛  بی کا، بی تا؛ اهدایی: علی اخلاقی فیروز آبادی؛ کاغذ ،فرنگی ، جلد: مقوایی با تیماج  عنابی، ۲۲گ (۱۸۲-۲۰۳)،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۱۹/۵سم [ف ۴ - ۱۲۳۷]</w:t>
      </w:r>
    </w:p>
    <w:p>
      <w:pPr>
        <w:pStyle w:val="Heading3"/>
      </w:pPr>
      <w:bookmarkStart w:id="1419" w:name="_Toc941"/>
      <w:r>
        <w:t>اسرار اللغة (مختصر) / ادبیات / عربي</w:t>
      </w:r>
      <w:bookmarkEnd w:id="1419"/>
    </w:p>
    <w:p>
      <w:pPr>
        <w:pStyle w:val="BookText"/>
      </w:pPr>
      <w:r>
        <w:rPr>
          <w:rFonts w:ascii="Times New Roman" w:hAnsi="Times New Roman" w:eastAsia="Times New Roman" w:cs="Times New Roman"/>
          <w:lang w:val="en-US" w:bidi="en-US"/>
          <w:color w:val="111111"/>
          <w:sz w:val="28"/>
          <w:szCs w:val="28"/>
          <w:rtl/>
        </w:rPr>
        <w:t xml:space="preserve">asrār-ul luġa (muxtaṣar)</w:t>
      </w:r>
    </w:p>
    <w:p>
      <w:pPr>
        <w:pStyle w:val="BookText"/>
      </w:pPr>
      <w:r>
        <w:rPr>
          <w:rFonts w:ascii="IRNazanin" w:hAnsi="IRNazanin" w:eastAsia="IRNazanin" w:cs="IRNazanin"/>
          <w:lang w:bidi="fa-IR"/>
          <w:color w:val="111111"/>
          <w:sz w:val="28"/>
          <w:szCs w:val="28"/>
          <w:rtl/>
        </w:rPr>
        <w:t xml:space="preserve">ابن الشريفين، ق۱۳ قمری</w:t>
      </w:r>
    </w:p>
    <w:p>
      <w:pPr>
        <w:pStyle w:val="BookText"/>
      </w:pPr>
      <w:r>
        <w:rPr>
          <w:rFonts w:ascii="Times New Roman" w:hAnsi="Times New Roman" w:eastAsia="Times New Roman" w:cs="Times New Roman"/>
          <w:lang w:val="en-US" w:bidi="en-US"/>
          <w:color w:val="111111"/>
          <w:sz w:val="28"/>
          <w:szCs w:val="28"/>
          <w:rtl/>
        </w:rPr>
        <w:t xml:space="preserve">(ebn-oš-šarīfin (- 19c)</w:t>
      </w:r>
    </w:p>
    <w:p>
      <w:pPr>
        <w:pStyle w:val="BookText"/>
      </w:pPr>
      <w:r>
        <w:rPr>
          <w:rFonts w:ascii="IRNazanin" w:hAnsi="IRNazanin" w:eastAsia="IRNazanin" w:cs="IRNazanin"/>
          <w:lang w:bidi="fa-IR"/>
          <w:color w:val="111111"/>
          <w:sz w:val="28"/>
          <w:szCs w:val="28"/>
          <w:rtl/>
        </w:rPr>
        <w:t xml:space="preserve">یزد؛ وزیری؛ شماره نسخه: ۲۵۸۰/۴</w:t>
      </w:r>
    </w:p>
    <w:p>
      <w:pPr>
        <w:pStyle w:val="BookText"/>
      </w:pPr>
      <w:r>
        <w:rPr>
          <w:rFonts w:ascii="Amiri" w:hAnsi="Amiri" w:eastAsia="Amiri" w:cs="Amiri"/>
          <w:lang w:bidi="ar-SA"/>
          <w:color w:val="111111"/>
          <w:sz w:val="28"/>
          <w:szCs w:val="28"/>
          <w:rtl/>
        </w:rPr>
        <w:t xml:space="preserve">آغاز: اما بعد البسمله و حمد الله والصلوة على محمد و آله. الباب الاول فى ما اطبق ائمة اللغة فى بيانها؛ انجام: حزم الانف و هو دون  الجدع.</w:t>
      </w:r>
    </w:p>
    <w:p>
      <w:pPr>
        <w:pStyle w:val="BookText"/>
      </w:pPr>
      <w:r>
        <w:rPr>
          <w:rFonts w:ascii="IRNazanin" w:hAnsi="IRNazanin" w:eastAsia="IRNazanin" w:cs="IRNazanin"/>
          <w:lang w:bidi="fa-IR"/>
          <w:color w:val="111111"/>
          <w:sz w:val="28"/>
          <w:szCs w:val="28"/>
          <w:rtl/>
        </w:rPr>
        <w:t xml:space="preserve">خط: نستعلیق تحریری، بی کا، تا: ربیع الثانی ۱۲۴۴ق؛ اهدایی : شیخ محمد جواد علمیه؛ کاغذ: اصفهانی، جلد: تیماج مشکی، ۱۹گ (24- 52) ،اندازه: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۱۵/۵سم [ف: ۴ - ۱۳۵۱]</w:t>
      </w:r>
    </w:p>
    <w:p>
      <w:pPr>
        <w:pStyle w:val="BookText"/>
      </w:pPr>
      <w:r>
        <w:rPr>
          <w:rFonts w:ascii="Amiri" w:hAnsi="Amiri" w:eastAsia="Amiri" w:cs="Amiri"/>
          <w:lang w:bidi="ar-SA"/>
          <w:color w:val="111111"/>
          <w:sz w:val="28"/>
          <w:szCs w:val="28"/>
          <w:rtl/>
        </w:rPr>
        <w:t xml:space="preserve">«اسرار مبدأ و معاد » روضة العقلاء و نزهة النبلاء</w:t>
      </w:r>
    </w:p>
    <w:p>
      <w:pPr>
        <w:pStyle w:val="Heading3"/>
      </w:pPr>
      <w:bookmarkStart w:id="1420" w:name="_Toc942"/>
      <w:r>
        <w:t>الاسرار المرفوعة فى الاخبار الموضوعة= الموضوعات الكبرى = الاحاديث الموضوعة / حديث /  عربی</w:t>
      </w:r>
      <w:bookmarkEnd w:id="1420"/>
    </w:p>
    <w:p>
      <w:pPr>
        <w:pStyle w:val="BookText"/>
      </w:pPr>
      <w:r>
        <w:rPr>
          <w:rFonts w:ascii="Times New Roman" w:hAnsi="Times New Roman" w:eastAsia="Times New Roman" w:cs="Times New Roman"/>
          <w:lang w:val="en-US" w:bidi="en-US"/>
          <w:color w:val="111111"/>
          <w:sz w:val="28"/>
          <w:szCs w:val="28"/>
          <w:rtl/>
        </w:rPr>
        <w:t xml:space="preserve">asrar-ul marfa a fi-l axbar-il mawdua = al-mawdu at- ul kubra = al-ahadit-ul mawdua</w:t>
      </w:r>
    </w:p>
    <w:p>
      <w:pPr>
        <w:pStyle w:val="BookText"/>
      </w:pPr>
      <w:r>
        <w:rPr>
          <w:rFonts w:ascii="IRNazanin" w:hAnsi="IRNazanin" w:eastAsia="IRNazanin" w:cs="IRNazanin"/>
          <w:lang w:bidi="fa-IR"/>
          <w:color w:val="111111"/>
          <w:sz w:val="28"/>
          <w:szCs w:val="28"/>
          <w:rtl/>
        </w:rPr>
        <w:t xml:space="preserve">قاری هروی، علی بن سلطان محمد ، 1014قمری</w:t>
      </w:r>
    </w:p>
    <w:p>
      <w:pPr>
        <w:pStyle w:val="BookText"/>
      </w:pPr>
      <w:r>
        <w:rPr>
          <w:rFonts w:ascii="Times New Roman" w:hAnsi="Times New Roman" w:eastAsia="Times New Roman" w:cs="Times New Roman"/>
          <w:lang w:val="en-US" w:bidi="en-US"/>
          <w:color w:val="111111"/>
          <w:sz w:val="28"/>
          <w:szCs w:val="28"/>
          <w:rtl/>
        </w:rPr>
        <w:t xml:space="preserve">(qārī heravī, ‘alī ebn-e soltān mohammad (- 1606)</w:t>
      </w:r>
    </w:p>
    <w:p>
      <w:pPr>
        <w:pStyle w:val="BookText"/>
      </w:pPr>
      <w:r>
        <w:rPr>
          <w:rFonts w:ascii="IRNazanin" w:hAnsi="IRNazanin" w:eastAsia="IRNazanin" w:cs="IRNazanin"/>
          <w:lang w:bidi="fa-IR"/>
          <w:color w:val="111111"/>
          <w:sz w:val="28"/>
          <w:szCs w:val="28"/>
          <w:rtl/>
        </w:rPr>
        <w:t xml:space="preserve">رساله ای است در احادیث جعلی و ساختگی عامه که در کتاب های روایی آنها آمده است. احادیث را به ترتیب حروف تنظیم نموده است.</w:t>
      </w:r>
    </w:p>
    <w:p>
      <w:pPr>
        <w:pStyle w:val="BookText"/>
      </w:pPr>
      <w:r>
        <w:rPr>
          <w:rFonts w:ascii="Amiri" w:hAnsi="Amiri" w:eastAsia="Amiri" w:cs="Amiri"/>
          <w:lang w:bidi="ar-SA"/>
          <w:color w:val="111111"/>
          <w:sz w:val="28"/>
          <w:szCs w:val="28"/>
          <w:rtl/>
        </w:rPr>
        <w:t xml:space="preserve">آغاز: الحمد لله الذى انزل القرآن العظيم القديم وبينه بالاحاديث الثابتة من النبى الكريم بنقل الصحابة والتابعين.</w:t>
      </w:r>
    </w:p>
    <w:p>
      <w:pPr>
        <w:pStyle w:val="BookText"/>
      </w:pPr>
      <w:r>
        <w:rPr>
          <w:rFonts w:ascii="Amiri" w:hAnsi="Amiri" w:eastAsia="Amiri" w:cs="Amiri"/>
          <w:lang w:bidi="ar-SA"/>
          <w:color w:val="111111"/>
          <w:sz w:val="28"/>
          <w:szCs w:val="28"/>
          <w:rtl/>
        </w:rPr>
        <w:t xml:space="preserve">انجام: ذكره العلامة الجزرى فى الحصن مع التزام ان يكون جميع  ما فيه صحيحا.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265" w:name="pg20365_260376"/>
    <w:bookmarkEnd w:id="265"/>
    <w:p>
      <w:pPr>
        <w:pStyle w:val="BookText"/>
      </w:pPr>
      <w:r>
        <w:rPr>
          <w:rFonts w:ascii="IRNazanin" w:hAnsi="IRNazanin" w:eastAsia="IRNazanin" w:cs="IRNazanin"/>
          <w:lang w:bidi="fa-IR"/>
          <w:color w:val="111111"/>
          <w:sz w:val="28"/>
          <w:szCs w:val="28"/>
          <w:rtl/>
        </w:rPr>
        <w:t xml:space="preserve">چاپ: با تحقيق محمد الصباغ، القاهرة  ۱۹۷۲م، بيروت، دار الكتب العلميه، ۱۴۰۵ق ،کراچی ،سنگی، بدون تاریخ  وزیری، ۱۷۶ص</w:t>
      </w:r>
    </w:p>
    <w:p>
      <w:pPr>
        <w:pStyle w:val="BookText"/>
      </w:pPr>
      <w:r>
        <w:rPr>
          <w:rFonts w:ascii="Amiri" w:hAnsi="Amiri" w:eastAsia="Amiri" w:cs="Amiri"/>
          <w:lang w:bidi="ar-SA"/>
          <w:color w:val="111111"/>
          <w:sz w:val="28"/>
          <w:szCs w:val="28"/>
          <w:rtl/>
        </w:rPr>
        <w:t xml:space="preserve">[هدية العارفين ۷۵۱/۱؛ الاوقاف العامة بغداد ۳۱۱/۱ و ۳۱۲؛ دار الصـدام ص ۵۲ و 53]</w:t>
      </w:r>
    </w:p>
    <w:p>
      <w:pPr>
        <w:pStyle w:val="BookText"/>
      </w:pPr>
      <w:r>
        <w:rPr>
          <w:rFonts w:ascii="IRNazanin" w:hAnsi="IRNazanin" w:eastAsia="IRNazanin" w:cs="IRNazanin"/>
          <w:lang w:bidi="fa-IR"/>
          <w:color w:val="111111"/>
          <w:sz w:val="28"/>
          <w:szCs w:val="28"/>
          <w:rtl/>
        </w:rPr>
        <w:t xml:space="preserve">۱. قم؛ مرعشی؛ شماره نسخه: ۹۰۲۷/۷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و نستعلیق، کا: ابوبکر بن حمزه، تا: ۲۶ رجب 1134ق؛جلد: تیماج قهوه ای، ۸۵گ (۳۶ پ- ۱۲۰پ)،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 [ف: ۲۳ - ۱۸۲]</w:t>
      </w:r>
    </w:p>
    <w:p>
      <w:pPr>
        <w:pStyle w:val="BookText"/>
      </w:pPr>
      <w:r>
        <w:rPr>
          <w:rFonts w:ascii="IRNazanin" w:hAnsi="IRNazanin" w:eastAsia="IRNazanin" w:cs="IRNazanin"/>
          <w:lang w:bidi="fa-IR"/>
          <w:color w:val="111111"/>
          <w:sz w:val="28"/>
          <w:szCs w:val="28"/>
          <w:rtl/>
        </w:rPr>
        <w:t xml:space="preserve">۲. قم؛ مرعشی؛ شماره نسخه: ۱۱۱۲۹/۱</w:t>
      </w:r>
    </w:p>
    <w:p>
      <w:pPr>
        <w:pStyle w:val="BookText"/>
      </w:pPr>
      <w:r>
        <w:rPr>
          <w:rFonts w:ascii="IRNazanin" w:hAnsi="IRNazanin" w:eastAsia="IRNazanin" w:cs="IRNazanin"/>
          <w:lang w:bidi="fa-IR"/>
          <w:color w:val="111111"/>
          <w:sz w:val="28"/>
          <w:szCs w:val="28"/>
          <w:rtl/>
        </w:rPr>
        <w:t xml:space="preserve">آغاز: برابر؛ انجام: جعل الله تعالى نافها لعامله شافعا لمؤلفة و ناظره و قارئه و کاتبه و معلما لطالبه ... سبحان ربنا رب العزة عما يصفـون و سلام على المرسلين و الحمدلله رب العالمين</w:t>
      </w:r>
    </w:p>
    <w:p>
      <w:pPr>
        <w:pStyle w:val="BookText"/>
      </w:pPr>
      <w:r>
        <w:rPr>
          <w:rFonts w:ascii="IRNazanin" w:hAnsi="IRNazanin" w:eastAsia="IRNazanin" w:cs="IRNazanin"/>
          <w:lang w:bidi="fa-IR"/>
          <w:color w:val="111111"/>
          <w:sz w:val="28"/>
          <w:szCs w:val="28"/>
          <w:rtl/>
        </w:rPr>
        <w:t xml:space="preserve">خط: نستعلیق، کا: مصطفى بن يوسف بن مصطفی، پاینوی، تا: ربیع الاول ۱۲۰۲ق؛ دارای سرلوح، مجدول، یک برگ در اصطلاحات و انواع حدیث در پایان این رساله؛ کاغذ: فرنگی، ۵۹گ (۱ تا ۵۹)، ۲۷ سطر، اندازه: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۲۸ - ۱۹۶]</w:t>
      </w:r>
    </w:p>
    <w:p>
      <w:pPr>
        <w:pStyle w:val="BookText"/>
      </w:pPr>
      <w:r>
        <w:rPr>
          <w:rFonts w:ascii="IRNazanin" w:hAnsi="IRNazanin" w:eastAsia="IRNazanin" w:cs="IRNazanin"/>
          <w:lang w:bidi="fa-IR"/>
          <w:color w:val="111111"/>
          <w:sz w:val="28"/>
          <w:szCs w:val="28"/>
          <w:rtl/>
        </w:rPr>
        <w:t xml:space="preserve">3.مشهد؛ رضوی؛ شماره نسخه ۲۱۸۷۲</w:t>
      </w:r>
    </w:p>
    <w:p>
      <w:pPr>
        <w:pStyle w:val="BookText"/>
      </w:pPr>
      <w:r>
        <w:rPr>
          <w:rFonts w:ascii="IRNazanin" w:hAnsi="IRNazanin" w:eastAsia="IRNazanin" w:cs="IRNazanin"/>
          <w:lang w:bidi="fa-IR"/>
          <w:color w:val="111111"/>
          <w:sz w:val="28"/>
          <w:szCs w:val="28"/>
          <w:rtl/>
        </w:rPr>
        <w:t xml:space="preserve">آغاز: بسمله. الحمد لله و کفی و سلام على عباده الذين اصطفـی؛</w:t>
      </w:r>
    </w:p>
    <w:p>
      <w:pPr>
        <w:pStyle w:val="BookText"/>
      </w:pPr>
      <w:r>
        <w:rPr>
          <w:rFonts w:ascii="Amiri" w:hAnsi="Amiri" w:eastAsia="Amiri" w:cs="Amiri"/>
          <w:lang w:bidi="ar-SA"/>
          <w:color w:val="111111"/>
          <w:sz w:val="28"/>
          <w:szCs w:val="28"/>
          <w:rtl/>
        </w:rPr>
        <w:t xml:space="preserve">انجام: فمن اراد ان يشم رائحتى فليشم الورد.</w:t>
      </w:r>
    </w:p>
    <w:p>
      <w:pPr>
        <w:pStyle w:val="BookText"/>
      </w:pPr>
      <w:r>
        <w:rPr>
          <w:rFonts w:ascii="IRNazanin" w:hAnsi="IRNazanin" w:eastAsia="IRNazanin" w:cs="IRNazanin"/>
          <w:lang w:bidi="fa-IR"/>
          <w:color w:val="111111"/>
          <w:sz w:val="28"/>
          <w:szCs w:val="28"/>
          <w:rtl/>
        </w:rPr>
        <w:t xml:space="preserve">خط: نستعلیق، بی کا، بی تا ؛اهدایی: رهبری، خرداد ۱۳۷۳؛ کاغذ: حنایی آهار مهره، جلد: مقوا با عطف و گوشه تیماج قهوه ای، ۱۶گ، ۱۷ سطر، اندازه: ۱۴/۲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[اهدائی  رهبر: ۲ اخبار ۲ - 688]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قم؛ مرعشی؛ شماره نسخه: ۱۰۹۵۹/۴</w:t>
      </w:r>
    </w:p>
    <w:p>
      <w:pPr>
        <w:pStyle w:val="BookText"/>
      </w:pPr>
      <w:r>
        <w:rPr>
          <w:rFonts w:ascii="IRNazanin" w:hAnsi="IRNazanin" w:eastAsia="IRNazanin" w:cs="IRNazanin"/>
          <w:lang w:bidi="fa-IR"/>
          <w:color w:val="111111"/>
          <w:sz w:val="28"/>
          <w:szCs w:val="28"/>
          <w:rtl/>
        </w:rPr>
        <w:t xml:space="preserve">آغاز: بحدیث و هو يرى انه كذب فهو احد الكذابين فقد كثرت فى زماننا الاحاديث الموضوعة و يرويها القصاص؛ انجام: و ابو سعيد عبدالمنعم بن يغنم</w:t>
      </w:r>
    </w:p>
    <w:p>
      <w:pPr>
        <w:pStyle w:val="BookText"/>
      </w:pPr>
      <w:r>
        <w:rPr>
          <w:rFonts w:ascii="IRNazanin" w:hAnsi="IRNazanin" w:eastAsia="IRNazanin" w:cs="IRNazanin"/>
          <w:lang w:bidi="fa-IR"/>
          <w:color w:val="111111"/>
          <w:sz w:val="28"/>
          <w:szCs w:val="28"/>
          <w:rtl/>
        </w:rPr>
        <w:t xml:space="preserve">خط: نسخ، بی کا، بی تا؛ افتادگی: آغاز؛ جلد: مقوایی ۸گ (80ر-87پ)،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۲۷ - ۳۷۰]</w:t>
      </w:r>
    </w:p>
    <w:p>
      <w:pPr>
        <w:pStyle w:val="BookText"/>
      </w:pPr>
      <w:r>
        <w:rPr>
          <w:rFonts w:ascii="IRNazanin" w:hAnsi="IRNazanin" w:eastAsia="IRNazanin" w:cs="IRNazanin"/>
          <w:lang w:bidi="fa-IR"/>
          <w:color w:val="111111"/>
          <w:sz w:val="28"/>
          <w:szCs w:val="28"/>
          <w:rtl/>
        </w:rPr>
        <w:t xml:space="preserve">«اسرار المصائب » مصائب خامس آل عبا</w:t>
      </w:r>
    </w:p>
    <w:p>
      <w:pPr>
        <w:pStyle w:val="BookText"/>
      </w:pPr>
      <w:r>
        <w:rPr>
          <w:rFonts w:ascii="IRNazanin" w:hAnsi="IRNazanin" w:eastAsia="IRNazanin" w:cs="IRNazanin"/>
          <w:lang w:bidi="fa-IR"/>
          <w:color w:val="111111"/>
          <w:sz w:val="28"/>
          <w:szCs w:val="28"/>
          <w:rtl/>
        </w:rPr>
        <w:t xml:space="preserve">«اسرار المصائب » زبدة المصائب فى نوايب الحسين بن عـلی ابن ابی طالب</w:t>
      </w:r>
    </w:p>
    <w:p>
      <w:pPr>
        <w:pStyle w:val="Heading3"/>
      </w:pPr>
      <w:bookmarkStart w:id="1421" w:name="_Toc943"/>
      <w:r>
        <w:t>اسرار المصائب / تاریخ معصومین / فارسی</w:t>
      </w:r>
      <w:bookmarkEnd w:id="1421"/>
    </w:p>
    <w:p>
      <w:pPr>
        <w:pStyle w:val="BookText"/>
      </w:pPr>
      <w:r>
        <w:rPr>
          <w:rFonts w:ascii="Times New Roman" w:hAnsi="Times New Roman" w:eastAsia="Times New Roman" w:cs="Times New Roman"/>
          <w:lang w:val="en-US" w:bidi="en-US"/>
          <w:color w:val="111111"/>
          <w:sz w:val="28"/>
          <w:szCs w:val="28"/>
          <w:rtl/>
        </w:rPr>
        <w:t xml:space="preserve">asrār-ol-masā’eb</w:t>
      </w:r>
    </w:p>
    <w:p>
      <w:pPr>
        <w:pStyle w:val="BookText"/>
      </w:pPr>
      <w:r>
        <w:rPr>
          <w:rFonts w:ascii="IRNazanin" w:hAnsi="IRNazanin" w:eastAsia="IRNazanin" w:cs="IRNazanin"/>
          <w:lang w:bidi="fa-IR"/>
          <w:color w:val="111111"/>
          <w:sz w:val="28"/>
          <w:szCs w:val="28"/>
          <w:rtl/>
        </w:rPr>
        <w:t xml:space="preserve">تنکابنی، محمد بن سلیمان، ۱۲۳۴ - ۱۳۰۲ قمری</w:t>
      </w:r>
    </w:p>
    <w:p>
      <w:pPr>
        <w:pStyle w:val="BookText"/>
      </w:pPr>
      <w:r>
        <w:rPr>
          <w:rFonts w:ascii="Times New Roman" w:hAnsi="Times New Roman" w:eastAsia="Times New Roman" w:cs="Times New Roman"/>
          <w:lang w:val="en-US" w:bidi="en-US"/>
          <w:color w:val="111111"/>
          <w:sz w:val="28"/>
          <w:szCs w:val="28"/>
          <w:rtl/>
        </w:rPr>
        <w:t xml:space="preserve">(tonekābonī, mohammad ebn-e soleymān (1819 - 1885)</w:t>
      </w:r>
    </w:p>
    <w:p>
      <w:pPr>
        <w:pStyle w:val="BookText"/>
      </w:pPr>
      <w:r>
        <w:rPr>
          <w:rFonts w:ascii="IRNazanin" w:hAnsi="IRNazanin" w:eastAsia="IRNazanin" w:cs="IRNazanin"/>
          <w:lang w:bidi="fa-IR"/>
          <w:color w:val="111111"/>
          <w:sz w:val="28"/>
          <w:szCs w:val="28"/>
          <w:rtl/>
        </w:rPr>
        <w:t xml:space="preserve">کتابی در اسرار و حكم مصايب وارده حكم مصايب وارده بر خاندان پیامبر و در احوالات امام حسین است به رفع مشکلات برخی از اخباردرباره اهل بیت نیز پرداخته است. در زمان حکومت ناصرالدین شاه و در زمان صدرات میرزا آقاخان نوشته شده است. در آن  از«الاصول الاصلية» و «الدرة البيهة» و «لسان الصدق» و «بدايع الاحكام في شرح شرایعالاسلام» و کتاب های علوم غریبه خودش یاد کرده است.</w:t>
      </w:r>
    </w:p>
    <w:p>
      <w:pPr>
        <w:pStyle w:val="BookText"/>
      </w:pPr>
      <w:r>
        <w:rPr>
          <w:rFonts w:ascii="IRNazanin" w:hAnsi="IRNazanin" w:eastAsia="IRNazanin" w:cs="IRNazanin"/>
          <w:lang w:bidi="fa-IR"/>
          <w:color w:val="111111"/>
          <w:sz w:val="28"/>
          <w:szCs w:val="28"/>
          <w:rtl/>
        </w:rPr>
        <w:t xml:space="preserve">آغاز: خوشترین ذکری از اذکار ... اما بعد چنین گوید</w:t>
      </w:r>
    </w:p>
    <w:p>
      <w:pPr>
        <w:pStyle w:val="BookText"/>
      </w:pPr>
      <w:r>
        <w:rPr>
          <w:rFonts w:ascii="IRNazanin" w:hAnsi="IRNazanin" w:eastAsia="IRNazanin" w:cs="IRNazanin"/>
          <w:lang w:bidi="fa-IR"/>
          <w:color w:val="111111"/>
          <w:sz w:val="28"/>
          <w:szCs w:val="28"/>
          <w:rtl/>
        </w:rPr>
        <w:t xml:space="preserve">انجام: اشعریه و معتزله قدریه اند و گبران این امت</w:t>
      </w:r>
    </w:p>
    <w:p>
      <w:pPr>
        <w:pStyle w:val="BookText"/>
      </w:pPr>
      <w:r>
        <w:rPr>
          <w:rFonts w:ascii="IRNazanin" w:hAnsi="IRNazanin" w:eastAsia="IRNazanin" w:cs="IRNazanin"/>
          <w:lang w:bidi="fa-IR"/>
          <w:color w:val="111111"/>
          <w:sz w:val="28"/>
          <w:szCs w:val="28"/>
          <w:rtl/>
        </w:rPr>
        <w:t xml:space="preserve">[الذريعة ۵۵/۲ ش ۲۱۹؛ نسخه های منزوی ۴۴۰۹/۶؛ فهرستواره منزوی  ۱۵۴۶/۳  ]</w:t>
      </w:r>
    </w:p>
    <w:p>
      <w:pPr>
        <w:pStyle w:val="BookText"/>
      </w:pPr>
      <w:r>
        <w:rPr>
          <w:rFonts w:ascii="IRNazanin" w:hAnsi="IRNazanin" w:eastAsia="IRNazanin" w:cs="IRNazanin"/>
          <w:lang w:bidi="fa-IR"/>
          <w:color w:val="111111"/>
          <w:sz w:val="28"/>
          <w:szCs w:val="28"/>
          <w:rtl/>
        </w:rPr>
        <w:t xml:space="preserve">1.شیراز؛ شاهچراغ؛ شماره نسخه: ۸۳</w:t>
      </w:r>
    </w:p>
    <w:p>
      <w:pPr>
        <w:pStyle w:val="BookText"/>
      </w:pPr>
      <w:r>
        <w:rPr>
          <w:rFonts w:ascii="IRNazanin" w:hAnsi="IRNazanin" w:eastAsia="IRNazanin" w:cs="IRNazanin"/>
          <w:lang w:bidi="fa-IR"/>
          <w:color w:val="111111"/>
          <w:sz w:val="28"/>
          <w:szCs w:val="28"/>
          <w:rtl/>
        </w:rPr>
        <w:t xml:space="preserve">خط: نستعلیق، بی کا، تا: شوال ۱۲۶۷ق؛ انتهای این نسخه فهرست ۷۰ تألیف خود را ذکر کرده که تألیف ۵۷ کتاب حاضر است؛  ۶۱گ،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۳ - ۸]</w:t>
      </w:r>
    </w:p>
    <w:p>
      <w:pPr>
        <w:pStyle w:val="BookText"/>
      </w:pPr>
      <w:r>
        <w:rPr>
          <w:rFonts w:ascii="IRNazanin" w:hAnsi="IRNazanin" w:eastAsia="IRNazanin" w:cs="IRNazanin"/>
          <w:lang w:bidi="fa-IR"/>
          <w:color w:val="111111"/>
          <w:sz w:val="28"/>
          <w:szCs w:val="28"/>
          <w:rtl/>
        </w:rPr>
        <w:t xml:space="preserve">۲. تهران؛ مفتاح؛ شماره نسخه: ۲۲۷/۱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قرن ۱۴[ نشریه: ۷ - ۲۲۹]</w:t>
      </w:r>
    </w:p>
    <w:p>
      <w:pPr>
        <w:pStyle w:val="Heading3"/>
      </w:pPr>
      <w:bookmarkStart w:id="1422" w:name="_Toc944"/>
      <w:r>
        <w:t>اسرار المصائب و نکات النوائب / تاریخ معصومین / عربی</w:t>
      </w:r>
      <w:bookmarkEnd w:id="1422"/>
    </w:p>
    <w:p>
      <w:pPr>
        <w:pStyle w:val="BookText"/>
      </w:pPr>
      <w:r>
        <w:rPr>
          <w:rFonts w:ascii="Times New Roman" w:hAnsi="Times New Roman" w:eastAsia="Times New Roman" w:cs="Times New Roman"/>
          <w:lang w:val="en-US" w:bidi="en-US"/>
          <w:color w:val="111111"/>
          <w:sz w:val="28"/>
          <w:szCs w:val="28"/>
          <w:rtl/>
        </w:rPr>
        <w:t xml:space="preserve">asrar-ul-masaib wa nukat-un-nawa'ib</w:t>
      </w:r>
    </w:p>
    <w:p>
      <w:pPr>
        <w:pStyle w:val="BookText"/>
      </w:pPr>
      <w:r>
        <w:rPr>
          <w:rFonts w:ascii="IRNazanin" w:hAnsi="IRNazanin" w:eastAsia="IRNazanin" w:cs="IRNazanin"/>
          <w:lang w:bidi="fa-IR"/>
          <w:color w:val="111111"/>
          <w:sz w:val="28"/>
          <w:szCs w:val="28"/>
          <w:rtl/>
        </w:rPr>
        <w:t xml:space="preserve">فشندی  قزوینی، محمد تقی بن محمد علی، ق۱۳</w:t>
      </w:r>
    </w:p>
    <w:p>
      <w:pPr>
        <w:pStyle w:val="BookText"/>
      </w:pPr>
      <w:r>
        <w:rPr>
          <w:rFonts w:ascii="Times New Roman" w:hAnsi="Times New Roman" w:eastAsia="Times New Roman" w:cs="Times New Roman"/>
          <w:lang w:val="en-US" w:bidi="en-US"/>
          <w:color w:val="111111"/>
          <w:sz w:val="28"/>
          <w:szCs w:val="28"/>
          <w:rtl/>
        </w:rPr>
        <w:t xml:space="preserve">fašandī qazvīnī, mohammad taqī ebn-e mohammad ‘alī</w:t>
      </w:r>
    </w:p>
    <w:p>
      <w:pPr>
        <w:pStyle w:val="BookText"/>
      </w:pPr>
      <w:r>
        <w:rPr>
          <w:rFonts w:ascii="Times New Roman" w:hAnsi="Times New Roman" w:eastAsia="Times New Roman" w:cs="Times New Roman"/>
          <w:lang w:val="en-US" w:bidi="en-US"/>
          <w:color w:val="111111"/>
          <w:sz w:val="28"/>
          <w:szCs w:val="28"/>
          <w:rtl/>
        </w:rPr>
        <w:t xml:space="preserve">(- 13c)</w:t>
      </w:r>
    </w:p>
    <w:p>
      <w:pPr>
        <w:pStyle w:val="BookText"/>
      </w:pPr>
      <w:r>
        <w:rPr>
          <w:rFonts w:ascii="IRNazanin" w:hAnsi="IRNazanin" w:eastAsia="IRNazanin" w:cs="IRNazanin"/>
          <w:lang w:bidi="fa-IR"/>
          <w:color w:val="111111"/>
          <w:sz w:val="28"/>
          <w:szCs w:val="28"/>
          <w:rtl/>
        </w:rPr>
        <w:t xml:space="preserve">تاریخ تالیف: آغاز غره صفر ۱۳۲۳ق؛ محل تأليف: نجف اشرف کتاب در رد کسانی است که روایات جعلی پیرامون وقایع عاشورا روایت می کنند و داستانهایی غیر واقعی به آن نسبت می دهند و اعمال موهن مذهب در عزاداری ها انجام می دهند. در آن روایات صحیحه و تاریخ های نقل شده واقعی راجمع آوری نموده است و آن را در آن را در یک «مقدمه» و چند «مقصد» و یک  «خاتمه» قرار داده است.</w:t>
      </w:r>
    </w:p>
    <w:p>
      <w:pPr>
        <w:pStyle w:val="BookText"/>
      </w:pPr>
      <w:r>
        <w:rPr>
          <w:rFonts w:ascii="IRNazanin" w:hAnsi="IRNazanin" w:eastAsia="IRNazanin" w:cs="IRNazanin"/>
          <w:lang w:bidi="fa-IR"/>
          <w:color w:val="111111"/>
          <w:sz w:val="28"/>
          <w:szCs w:val="28"/>
          <w:rtl/>
        </w:rPr>
        <w:t xml:space="preserve">تهران؛ مجلس؛ شماره نسخه: ۷۸۳۲</w:t>
      </w:r>
    </w:p>
    <w:p>
      <w:pPr>
        <w:pStyle w:val="BookText"/>
      </w:pPr>
      <w:r>
        <w:rPr>
          <w:rFonts w:ascii="IRNazanin" w:hAnsi="IRNazanin" w:eastAsia="IRNazanin" w:cs="IRNazanin"/>
          <w:lang w:bidi="fa-IR"/>
          <w:color w:val="111111"/>
          <w:sz w:val="28"/>
          <w:szCs w:val="28"/>
          <w:rtl/>
        </w:rPr>
        <w:t xml:space="preserve">آغاز: الحمد لله الذى جعلنا من الامة المرحومة وفضلنا على ساير الامم بفضائل معينة معلومة و من علينا بان خلقنا من بقية طينة الائمة فلذا نحن اليهم الى سماع مناقبهم و ذکر مصائبهم؛ انجام: في مواضع كثيرة كما لا يخفى على المتتبع الخبير فهذه جملة من الاسباب التي اوجبت لمعاداة يزيد مع الامام السعيد ابي عبدالله الحسين عليه السلام</w:t>
      </w:r>
    </w:p>
    <w:p>
      <w:pPr>
        <w:pStyle w:val="BookText"/>
      </w:pPr>
      <w:r>
        <w:rPr>
          <w:rFonts w:ascii="IRNazanin" w:hAnsi="IRNazanin" w:eastAsia="IRNazanin" w:cs="IRNazanin"/>
          <w:lang w:bidi="fa-IR"/>
          <w:color w:val="111111"/>
          <w:sz w:val="28"/>
          <w:szCs w:val="28"/>
          <w:rtl/>
        </w:rPr>
        <w:t xml:space="preserve">فقط دوازده نکته از مقدمه کتاب (در نکات مهمه و دقایق معظمه) را شامل است؛ خط: نسخ، كاتب - مؤلف، تا: ۱ جمادی الثانی، ۱۳۲۴ق؛ جلد: تیماج قهوه ای، ۳۴۸گ، ۲۶ سطر،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[ف:۲۶ - ۳۱۶]</w:t>
      </w:r>
    </w:p>
    <w:p>
      <w:pPr>
        <w:pStyle w:val="Heading3"/>
      </w:pPr>
      <w:bookmarkStart w:id="1423" w:name="_Toc945"/>
      <w:r>
        <w:t>اسرار المطالب و نخبة الفوائد في الشرح على  الفرائد / اصول فقه / عربی</w:t>
      </w:r>
      <w:bookmarkEnd w:id="1423"/>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266" w:name="pg20365_260377"/>
    <w:bookmarkEnd w:id="266"/>
    <w:p>
      <w:pPr>
        <w:pStyle w:val="BookText"/>
      </w:pPr>
      <w:r>
        <w:rPr>
          <w:rFonts w:ascii="Times New Roman" w:hAnsi="Times New Roman" w:eastAsia="Times New Roman" w:cs="Times New Roman"/>
          <w:lang w:val="en-US" w:bidi="en-US"/>
          <w:color w:val="111111"/>
          <w:sz w:val="28"/>
          <w:szCs w:val="28"/>
          <w:rtl/>
        </w:rPr>
        <w:t xml:space="preserve">asrār-ul-maṭālib wa nuxbat-ul-fawā’id fi s. ‘al-alfarā’id</w:t>
      </w:r>
    </w:p>
    <w:p>
      <w:pPr>
        <w:pStyle w:val="BookText"/>
      </w:pPr>
      <w:r>
        <w:rPr>
          <w:rFonts w:ascii="IRNazanin" w:hAnsi="IRNazanin" w:eastAsia="IRNazanin" w:cs="IRNazanin"/>
          <w:lang w:bidi="fa-IR"/>
          <w:color w:val="111111"/>
          <w:sz w:val="28"/>
          <w:szCs w:val="28"/>
          <w:rtl/>
        </w:rPr>
        <w:t xml:space="preserve">شرحی است بر «رسائل» شیخ انصاری با عناوین «قوله-قوله» از مصنف کتاب با دعای «رحمه الله» یاد می کند.</w:t>
      </w:r>
    </w:p>
    <w:p>
      <w:pPr>
        <w:pStyle w:val="BookText"/>
      </w:pPr>
      <w:r>
        <w:rPr>
          <w:rFonts w:ascii="IRNazanin" w:hAnsi="IRNazanin" w:eastAsia="IRNazanin" w:cs="IRNazanin"/>
          <w:lang w:bidi="fa-IR"/>
          <w:color w:val="111111"/>
          <w:sz w:val="28"/>
          <w:szCs w:val="28"/>
          <w:rtl/>
        </w:rPr>
        <w:t xml:space="preserve">قم؛ گلپایگانی؛ شماره نسخه: ۴۴۳-۳/۶۳</w:t>
      </w:r>
    </w:p>
    <w:p>
      <w:pPr>
        <w:pStyle w:val="BookText"/>
      </w:pPr>
      <w:r>
        <w:rPr>
          <w:rFonts w:ascii="IRNazanin" w:hAnsi="IRNazanin" w:eastAsia="IRNazanin" w:cs="IRNazanin"/>
          <w:lang w:bidi="fa-IR"/>
          <w:color w:val="111111"/>
          <w:sz w:val="28"/>
          <w:szCs w:val="28"/>
          <w:rtl/>
        </w:rPr>
        <w:t xml:space="preserve">آغاز: بسمله. حمدله وصلاة قوله فاعلم ان المكلف اذا التفت الی حكم شرعى الخ قد يقال ان بتخصيص ذلك بالمكلف غير مستـقیم اما اولاً فلان غير المكلف ايضاً اذا التفت الى حكم شرعى؛ انجـام: لم يقم دليل شرعى فى دليل اجتهادی او اصل عملى على بيـان حكمها فيلزمه القول بتقديم الاصول العلمية عليها ايضاً. المقصد  الثاني.</w:t>
      </w:r>
    </w:p>
    <w:p>
      <w:pPr>
        <w:pStyle w:val="BookText"/>
      </w:pPr>
      <w:r>
        <w:rPr>
          <w:rFonts w:ascii="IRNazanin" w:hAnsi="IRNazanin" w:eastAsia="IRNazanin" w:cs="IRNazanin"/>
          <w:lang w:bidi="fa-IR"/>
          <w:color w:val="111111"/>
          <w:sz w:val="28"/>
          <w:szCs w:val="28"/>
          <w:rtl/>
        </w:rPr>
        <w:t xml:space="preserve">از اول تا اول المقصد الثاني؛ خط: نسخ، بی کا، تا: قرن ۱۳ و14؛ مصحح، در اول نسخه چند برگ پیش نویس مؤلف است: «الكـلام في الادلة الشرعية و الكلام فيه يقع في مقامات الأولى في بیان الفرق بين الدليل والامارة»؛ جلد: تيماج  ،آبی، ۴۵گ، ۱۹ سـطر، اندازه: ۱۷/۵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۱ - ۳۴۹]</w:t>
      </w:r>
    </w:p>
    <w:p>
      <w:pPr>
        <w:pStyle w:val="Heading3"/>
      </w:pPr>
      <w:bookmarkStart w:id="1424" w:name="_Toc946"/>
      <w:r>
        <w:t>اسرار معنی قوله عليه السلام «من حفظ على امتى  اربعين حديثا» / شرح حدیث / عربی</w:t>
      </w:r>
      <w:bookmarkEnd w:id="1424"/>
    </w:p>
    <w:p>
      <w:pPr>
        <w:pStyle w:val="BookText"/>
      </w:pPr>
      <w:r>
        <w:rPr>
          <w:rFonts w:ascii="Times New Roman" w:hAnsi="Times New Roman" w:eastAsia="Times New Roman" w:cs="Times New Roman"/>
          <w:lang w:val="en-US" w:bidi="en-US"/>
          <w:color w:val="111111"/>
          <w:sz w:val="28"/>
          <w:szCs w:val="28"/>
          <w:rtl/>
        </w:rPr>
        <w:t xml:space="preserve">asrār-u ma‘nī qawl-ih ‘alayh-is salām «man ḥafiẓ-a</w:t>
      </w:r>
    </w:p>
    <w:p>
      <w:pPr>
        <w:pStyle w:val="BookText"/>
      </w:pPr>
      <w:r>
        <w:rPr>
          <w:rFonts w:ascii="Times New Roman" w:hAnsi="Times New Roman" w:eastAsia="Times New Roman" w:cs="Times New Roman"/>
          <w:lang w:val="en-US" w:bidi="en-US"/>
          <w:color w:val="111111"/>
          <w:sz w:val="28"/>
          <w:szCs w:val="28"/>
          <w:rtl/>
        </w:rPr>
        <w:t xml:space="preserve">‘alā ummatī arba‘īn-a ḥadīṯā»</w:t>
      </w:r>
    </w:p>
    <w:p>
      <w:pPr>
        <w:pStyle w:val="BookText"/>
      </w:pPr>
      <w:r>
        <w:rPr>
          <w:rFonts w:ascii="IRNazanin" w:hAnsi="IRNazanin" w:eastAsia="IRNazanin" w:cs="IRNazanin"/>
          <w:lang w:bidi="fa-IR"/>
          <w:color w:val="111111"/>
          <w:sz w:val="28"/>
          <w:szCs w:val="28"/>
          <w:rtl/>
        </w:rPr>
        <w:t xml:space="preserve">جیلانی، عبدالکریم بن ابراهیم، ۷۶۷ - ۸۳۲ قمری</w:t>
      </w:r>
    </w:p>
    <w:p>
      <w:pPr>
        <w:pStyle w:val="BookText"/>
      </w:pPr>
      <w:r>
        <w:rPr>
          <w:rFonts w:ascii="Times New Roman" w:hAnsi="Times New Roman" w:eastAsia="Times New Roman" w:cs="Times New Roman"/>
          <w:lang w:val="en-US" w:bidi="en-US"/>
          <w:color w:val="111111"/>
          <w:sz w:val="28"/>
          <w:szCs w:val="28"/>
          <w:rtl/>
        </w:rPr>
        <w:t xml:space="preserve">(jīlānī, ‘abd-ol-karīm ebn-e ebrāhīm (1366 - 1429)</w:t>
      </w:r>
    </w:p>
    <w:p>
      <w:pPr>
        <w:pStyle w:val="BookText"/>
      </w:pPr>
      <w:r>
        <w:rPr>
          <w:rFonts w:ascii="IRNazanin" w:hAnsi="IRNazanin" w:eastAsia="IRNazanin" w:cs="IRNazanin"/>
          <w:lang w:bidi="fa-IR"/>
          <w:color w:val="111111"/>
          <w:sz w:val="28"/>
          <w:szCs w:val="28"/>
          <w:rtl/>
        </w:rPr>
        <w:t xml:space="preserve">تهران؛ دانشگاه؛ شماره نسخه: ۴۴۲/۷-ف</w:t>
      </w:r>
    </w:p>
    <w:p>
      <w:pPr>
        <w:pStyle w:val="BookText"/>
      </w:pPr>
      <w:r>
        <w:rPr>
          <w:rFonts w:ascii="IRNazanin" w:hAnsi="IRNazanin" w:eastAsia="IRNazanin" w:cs="IRNazanin"/>
          <w:lang w:bidi="fa-IR"/>
          <w:color w:val="111111"/>
          <w:sz w:val="28"/>
          <w:szCs w:val="28"/>
          <w:rtl/>
        </w:rPr>
        <w:t xml:space="preserve">نسخه  اصل: بایزید ولی الدین ش۱۸۲۵؛ خط: نسخ، بی کا،تا:۸۵۱ق، ۳گ (۱۱۸-۱۲۰)، ۱۹ سطر [ فیلم ها -ف: ۱ - ۴۷۷]</w:t>
      </w:r>
    </w:p>
    <w:p>
      <w:pPr>
        <w:pStyle w:val="Heading3"/>
      </w:pPr>
      <w:bookmarkStart w:id="1425" w:name="_Toc947"/>
      <w:r>
        <w:t>اسرار مفاتیح / رمل / فارسی</w:t>
      </w:r>
      <w:bookmarkEnd w:id="1425"/>
    </w:p>
    <w:p>
      <w:pPr>
        <w:pStyle w:val="BookText"/>
      </w:pPr>
      <w:r>
        <w:rPr>
          <w:rFonts w:ascii="Times New Roman" w:hAnsi="Times New Roman" w:eastAsia="Times New Roman" w:cs="Times New Roman"/>
          <w:lang w:val="en-US" w:bidi="en-US"/>
          <w:color w:val="111111"/>
          <w:sz w:val="28"/>
          <w:szCs w:val="28"/>
          <w:rtl/>
        </w:rPr>
        <w:t xml:space="preserve">asrār-e mafātīh</w:t>
      </w:r>
    </w:p>
    <w:p>
      <w:pPr>
        <w:pStyle w:val="BookText"/>
      </w:pPr>
      <w:r>
        <w:rPr>
          <w:rFonts w:ascii="IRNazanin" w:hAnsi="IRNazanin" w:eastAsia="IRNazanin" w:cs="IRNazanin"/>
          <w:lang w:bidi="fa-IR"/>
          <w:color w:val="111111"/>
          <w:sz w:val="28"/>
          <w:szCs w:val="28"/>
          <w:rtl/>
        </w:rPr>
        <w:t xml:space="preserve">نیشابوری، ابو منصور محمد، ق ۷ قمری</w:t>
      </w:r>
    </w:p>
    <w:p>
      <w:pPr>
        <w:pStyle w:val="BookText"/>
      </w:pPr>
      <w:r>
        <w:rPr>
          <w:rFonts w:ascii="Times New Roman" w:hAnsi="Times New Roman" w:eastAsia="Times New Roman" w:cs="Times New Roman"/>
          <w:lang w:val="en-US" w:bidi="en-US"/>
          <w:color w:val="111111"/>
          <w:sz w:val="28"/>
          <w:szCs w:val="28"/>
          <w:rtl/>
        </w:rPr>
        <w:t xml:space="preserve">(neyšābūrī, abū-mansūr mohammad (- 13c)</w:t>
      </w:r>
    </w:p>
    <w:p>
      <w:pPr>
        <w:pStyle w:val="BookText"/>
      </w:pPr>
      <w:r>
        <w:rPr>
          <w:rFonts w:ascii="IRNazanin" w:hAnsi="IRNazanin" w:eastAsia="IRNazanin" w:cs="IRNazanin"/>
          <w:lang w:bidi="fa-IR"/>
          <w:color w:val="111111"/>
          <w:sz w:val="28"/>
          <w:szCs w:val="28"/>
          <w:rtl/>
        </w:rPr>
        <w:t xml:space="preserve">تاریخ تألیف: رجب ۶۷۳ق</w:t>
      </w:r>
    </w:p>
    <w:p>
      <w:pPr>
        <w:pStyle w:val="BookText"/>
      </w:pPr>
      <w:r>
        <w:rPr>
          <w:rFonts w:ascii="IRNazanin" w:hAnsi="IRNazanin" w:eastAsia="IRNazanin" w:cs="IRNazanin"/>
          <w:lang w:bidi="fa-IR"/>
          <w:color w:val="111111"/>
          <w:sz w:val="28"/>
          <w:szCs w:val="28"/>
          <w:rtl/>
        </w:rPr>
        <w:t xml:space="preserve">رساله ای مفصل در اسرار و قواعد و اصول علم رمل که مطابق حروف تهجی در بیست و هشت «کتاب» تنظیم شده است: «واین کتاب را اسرار مفاتیح نام کرده اند و مجموع این کتاب28 باشد و بر هر کتابی حروفی و نقطه ای بود ... و این کتاب را  بر من نهاده اند و مردم سرگردان کرده اند... و این ضعیف محـمد ابی منصور مدتی دراز سیاحت کردم ....». مؤلف پس از سیاحات بسیار و دیدن اساتید فراوان در طول سی سال تجارب و اندوخته های علمی خود را در این اثر گردآوری کرده است.</w:t>
      </w:r>
    </w:p>
    <w:p>
      <w:pPr>
        <w:pStyle w:val="BookText"/>
      </w:pPr>
      <w:r>
        <w:rPr>
          <w:rFonts w:ascii="IRNazanin" w:hAnsi="IRNazanin" w:eastAsia="IRNazanin" w:cs="IRNazanin"/>
          <w:lang w:bidi="fa-IR"/>
          <w:color w:val="111111"/>
          <w:sz w:val="28"/>
          <w:szCs w:val="28"/>
          <w:rtl/>
        </w:rPr>
        <w:t xml:space="preserve">قم؛ مسجد اعظم؛ شماره نسخه: ۲۸۶۳</w:t>
      </w:r>
    </w:p>
    <w:p>
      <w:pPr>
        <w:pStyle w:val="BookText"/>
      </w:pPr>
      <w:r>
        <w:rPr>
          <w:rFonts w:ascii="IRNazanin" w:hAnsi="IRNazanin" w:eastAsia="IRNazanin" w:cs="IRNazanin"/>
          <w:lang w:bidi="fa-IR"/>
          <w:color w:val="111111"/>
          <w:sz w:val="28"/>
          <w:szCs w:val="28"/>
          <w:rtl/>
        </w:rPr>
        <w:t xml:space="preserve">آغاز: فصل زمستان بود و حکم یکسال بدین طبایع از این ۱۲ بروج بدر کند و دیگر در چند دیده باش که آتش یک رطل بود و باد ۱۰ رطل و آب ۱۰۰ رطل و خاک ۱۰۰۰ رطل؛ انجام: فصل   و از آن رمل بدین نقطه آفریده است یعنی که نقطه و یک نقطه دیگر صفر بود بدین شکل و اصل نقطه رمل از حساب ضرب و قسمت هندسه بدر آمده است</w:t>
      </w:r>
    </w:p>
    <w:p>
      <w:pPr>
        <w:pStyle w:val="BookText"/>
      </w:pPr>
      <w:r>
        <w:rPr>
          <w:rFonts w:ascii="IRNazanin" w:hAnsi="IRNazanin" w:eastAsia="IRNazanin" w:cs="IRNazanin"/>
          <w:lang w:bidi="fa-IR"/>
          <w:color w:val="111111"/>
          <w:sz w:val="28"/>
          <w:szCs w:val="28"/>
          <w:rtl/>
        </w:rPr>
        <w:t xml:space="preserve">خط: نستعلیق، نازیبا، بی کا، تا: قرن ۱۰؛ افتادگی: آغاز و انجام؛ مجدول؛ جلد: تیماج قهوه ای  مجدول، ۷۳گ، ۱۹ 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مخ: ۱ - ۱۴۸]</w:t>
      </w:r>
    </w:p>
    <w:p>
      <w:pPr>
        <w:pStyle w:val="Heading3"/>
      </w:pPr>
      <w:bookmarkStart w:id="1426" w:name="_Toc948"/>
      <w:r>
        <w:t>اسرار المفاتيح / رمل / فارسی</w:t>
      </w:r>
      <w:bookmarkEnd w:id="1426"/>
    </w:p>
    <w:p>
      <w:pPr>
        <w:pStyle w:val="BookText"/>
      </w:pPr>
      <w:r>
        <w:rPr>
          <w:rFonts w:ascii="Times New Roman" w:hAnsi="Times New Roman" w:eastAsia="Times New Roman" w:cs="Times New Roman"/>
          <w:lang w:val="en-US" w:bidi="en-US"/>
          <w:color w:val="111111"/>
          <w:sz w:val="28"/>
          <w:szCs w:val="28"/>
          <w:rtl/>
        </w:rPr>
        <w:t xml:space="preserve">asrar-ol-mafatth</w:t>
      </w:r>
    </w:p>
    <w:p>
      <w:pPr>
        <w:pStyle w:val="BookText"/>
      </w:pPr>
      <w:r>
        <w:rPr>
          <w:rFonts w:ascii="IRNazanin" w:hAnsi="IRNazanin" w:eastAsia="IRNazanin" w:cs="IRNazanin"/>
          <w:lang w:bidi="fa-IR"/>
          <w:color w:val="111111"/>
          <w:sz w:val="28"/>
          <w:szCs w:val="28"/>
          <w:rtl/>
        </w:rPr>
        <w:t xml:space="preserve">مؤلف مدعی است که عمویش ابوعبدالله محمد حسين معروف به کله کبود به مغرب رفته و کتاب ابن شیشی مغربی را به دست آورده و خود از آن کتاب بهره برده و این کتاب را پرداخته  است.</w:t>
      </w:r>
    </w:p>
    <w:p>
      <w:pPr>
        <w:pStyle w:val="BookText"/>
      </w:pPr>
      <w:r>
        <w:rPr>
          <w:rFonts w:ascii="IRNazanin" w:hAnsi="IRNazanin" w:eastAsia="IRNazanin" w:cs="IRNazanin"/>
          <w:lang w:bidi="fa-IR"/>
          <w:color w:val="111111"/>
          <w:sz w:val="28"/>
          <w:szCs w:val="28"/>
          <w:rtl/>
        </w:rPr>
        <w:t xml:space="preserve">قم؛ مرعشی؛ شماره نسخه: ۹۳۶۹/۴</w:t>
      </w:r>
    </w:p>
    <w:p>
      <w:pPr>
        <w:pStyle w:val="BookText"/>
      </w:pPr>
      <w:r>
        <w:rPr>
          <w:rFonts w:ascii="IRNazanin" w:hAnsi="IRNazanin" w:eastAsia="IRNazanin" w:cs="IRNazanin"/>
          <w:lang w:bidi="fa-IR"/>
          <w:color w:val="111111"/>
          <w:sz w:val="28"/>
          <w:szCs w:val="28"/>
          <w:rtl/>
        </w:rPr>
        <w:t xml:space="preserve">آغاز: الحمد لله رب العالمين ... اما بعد بدانکه این کتابی است که بیان خواهد رفت در بیست وهشت نقطه</w:t>
      </w:r>
    </w:p>
    <w:p>
      <w:pPr>
        <w:pStyle w:val="BookText"/>
      </w:pPr>
      <w:r>
        <w:rPr>
          <w:rFonts w:ascii="IRNazanin" w:hAnsi="IRNazanin" w:eastAsia="IRNazanin" w:cs="IRNazanin"/>
          <w:lang w:bidi="fa-IR"/>
          <w:color w:val="111111"/>
          <w:sz w:val="28"/>
          <w:szCs w:val="28"/>
          <w:rtl/>
        </w:rPr>
        <w:t xml:space="preserve">در این نسخه فقط سه صفحه اول این کتاب آمده؛ خط: نسخ، بی کا، تا: ۱۰۱۴ق؛ جلد: تیماج قهوه ای، ۲گ، ۴۰پ-۴۱پ، اندازه: ۱۸/۵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۲۴سم [ف: ۲۴ - ۱۵۵]</w:t>
      </w:r>
    </w:p>
    <w:p>
      <w:pPr>
        <w:pStyle w:val="Heading3"/>
      </w:pPr>
      <w:bookmarkStart w:id="1427" w:name="_Toc949"/>
      <w:r>
        <w:t>اسرار المفاتيح / رمل / فارسی</w:t>
      </w:r>
      <w:bookmarkEnd w:id="1427"/>
    </w:p>
    <w:p>
      <w:pPr>
        <w:pStyle w:val="BookText"/>
      </w:pPr>
      <w:r>
        <w:rPr>
          <w:rFonts w:ascii="Times New Roman" w:hAnsi="Times New Roman" w:eastAsia="Times New Roman" w:cs="Times New Roman"/>
          <w:lang w:val="en-US" w:bidi="en-US"/>
          <w:color w:val="111111"/>
          <w:sz w:val="28"/>
          <w:szCs w:val="28"/>
          <w:rtl/>
        </w:rPr>
        <w:t xml:space="preserve">asrar-ol-mafatih</w:t>
      </w:r>
    </w:p>
    <w:p>
      <w:pPr>
        <w:pStyle w:val="BookText"/>
      </w:pPr>
      <w:r>
        <w:rPr>
          <w:rFonts w:ascii="IRNazanin" w:hAnsi="IRNazanin" w:eastAsia="IRNazanin" w:cs="IRNazanin"/>
          <w:lang w:bidi="fa-IR"/>
          <w:color w:val="111111"/>
          <w:sz w:val="28"/>
          <w:szCs w:val="28"/>
          <w:rtl/>
        </w:rPr>
        <w:t xml:space="preserve">گفتاری است به فارسی در رمل با عنوان فصل در آوردن خبی، فصل در دانستن حال هر روز  خود، فصل در ضمیر گرفتن.</w:t>
      </w:r>
    </w:p>
    <w:p>
      <w:pPr>
        <w:pStyle w:val="BookText"/>
      </w:pPr>
      <w:r>
        <w:rPr>
          <w:rFonts w:ascii="IRNazanin" w:hAnsi="IRNazanin" w:eastAsia="IRNazanin" w:cs="IRNazanin"/>
          <w:lang w:bidi="fa-IR"/>
          <w:color w:val="111111"/>
          <w:sz w:val="28"/>
          <w:szCs w:val="28"/>
          <w:rtl/>
        </w:rPr>
        <w:t xml:space="preserve">تهران؛ ملک؛ شماره نسخه: ۳۴۵۳/۱</w:t>
      </w:r>
    </w:p>
    <w:p>
      <w:pPr>
        <w:pStyle w:val="BookText"/>
      </w:pPr>
      <w:r>
        <w:rPr>
          <w:rFonts w:ascii="IRNazanin" w:hAnsi="IRNazanin" w:eastAsia="IRNazanin" w:cs="IRNazanin"/>
          <w:lang w:bidi="fa-IR"/>
          <w:color w:val="111111"/>
          <w:sz w:val="28"/>
          <w:szCs w:val="28"/>
          <w:rtl/>
        </w:rPr>
        <w:t xml:space="preserve">آغاز: هذا كتاب اسرار مفاتيح، بسمله ... حمدله. و العاقبة للمتقين و الصلاة على ... روایت است از حکماء اوایل که این علم فقط علمی است که به دانیال پیغمبر (علیه السّلام) آمده است و این را پوشیده داشته اند؛ انجام: موجت نقصان دنیا و دینی رمال شود</w:t>
      </w:r>
    </w:p>
    <w:p>
      <w:pPr>
        <w:pStyle w:val="BookText"/>
      </w:pPr>
      <w:r>
        <w:rPr>
          <w:rFonts w:ascii="IRNazanin" w:hAnsi="IRNazanin" w:eastAsia="IRNazanin" w:cs="IRNazanin"/>
          <w:lang w:bidi="fa-IR"/>
          <w:color w:val="111111"/>
          <w:sz w:val="28"/>
          <w:szCs w:val="28"/>
          <w:rtl/>
        </w:rPr>
        <w:t xml:space="preserve">خط: نسخ، بی کا، تا: قرن ۱۱و 12؛ کاغذ:  پسته ای، جلد: رویه میشن یک لایی، ۱۰گ (۱پ-۱۰ر)، ۱۵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۶ - ۴۲۶]</w:t>
      </w:r>
    </w:p>
    <w:p>
      <w:pPr>
        <w:pStyle w:val="Heading3"/>
      </w:pPr>
      <w:bookmarkStart w:id="1428" w:name="_Toc950"/>
      <w:r>
        <w:t>اسرار المفاتيح / رمل / فارسی</w:t>
      </w:r>
      <w:bookmarkEnd w:id="1428"/>
    </w:p>
    <w:p>
      <w:pPr>
        <w:pStyle w:val="BookText"/>
      </w:pPr>
      <w:r>
        <w:rPr>
          <w:rFonts w:ascii="Times New Roman" w:hAnsi="Times New Roman" w:eastAsia="Times New Roman" w:cs="Times New Roman"/>
          <w:lang w:val="en-US" w:bidi="en-US"/>
          <w:color w:val="111111"/>
          <w:sz w:val="28"/>
          <w:szCs w:val="28"/>
          <w:rtl/>
        </w:rPr>
        <w:t xml:space="preserve">asrār-ol-mafātīh</w:t>
      </w:r>
    </w:p>
    <w:p>
      <w:pPr>
        <w:pStyle w:val="BookText"/>
      </w:pPr>
      <w:r>
        <w:rPr>
          <w:rFonts w:ascii="IRNazanin" w:hAnsi="IRNazanin" w:eastAsia="IRNazanin" w:cs="IRNazanin"/>
          <w:lang w:bidi="fa-IR"/>
          <w:color w:val="111111"/>
          <w:sz w:val="28"/>
          <w:szCs w:val="28"/>
          <w:rtl/>
        </w:rPr>
        <w:t xml:space="preserve">تهران؛ ملک؛ شماره نسخه: ۵۷۹۹/۳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267" w:name="pg20365_260378"/>
    <w:bookmarkEnd w:id="267"/>
    <w:p>
      <w:pPr>
        <w:pStyle w:val="BookText"/>
      </w:pPr>
      <w:r>
        <w:rPr>
          <w:rFonts w:ascii="IRNazanin" w:hAnsi="IRNazanin" w:eastAsia="IRNazanin" w:cs="IRNazanin"/>
          <w:lang w:bidi="fa-IR"/>
          <w:color w:val="111111"/>
          <w:sz w:val="28"/>
          <w:szCs w:val="28"/>
          <w:rtl/>
        </w:rPr>
        <w:t xml:space="preserve">آغاز: خانه اول منوبست بنفس و طالع و نیک و بد وصحت و مرض و ابتدای هر کاری حال نفس در کل امور؛ انجام: آتـش روح بود و باد عقل بود و آب نفس و خاک جسم، و الله اعلم</w:t>
      </w:r>
    </w:p>
    <w:p>
      <w:pPr>
        <w:pStyle w:val="BookText"/>
      </w:pPr>
      <w:r>
        <w:rPr>
          <w:rFonts w:ascii="IRNazanin" w:hAnsi="IRNazanin" w:eastAsia="IRNazanin" w:cs="IRNazanin"/>
          <w:lang w:bidi="fa-IR"/>
          <w:color w:val="111111"/>
          <w:sz w:val="28"/>
          <w:szCs w:val="28"/>
          <w:rtl/>
        </w:rPr>
        <w:t xml:space="preserve">در رمل است و مختصر آن؛ خط: نسخ، بی کا، تا: قرن ۱۳؛ کاغذ: فرنگی ،جلد: میشن تریاکی  لایی، ۸۰گ (87پ-۱۶۶ر)،  16سطر،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۱۸/۲سم [ف: ۹ - ۴۵]</w:t>
      </w:r>
    </w:p>
    <w:p>
      <w:pPr>
        <w:pStyle w:val="Heading3"/>
      </w:pPr>
      <w:bookmarkStart w:id="1429" w:name="_Toc951"/>
      <w:r>
        <w:t>اسرار المفاتيح / رمل / فارسی</w:t>
      </w:r>
      <w:bookmarkEnd w:id="1429"/>
    </w:p>
    <w:p>
      <w:pPr>
        <w:pStyle w:val="BookText"/>
      </w:pPr>
      <w:r>
        <w:rPr>
          <w:rFonts w:ascii="Times New Roman" w:hAnsi="Times New Roman" w:eastAsia="Times New Roman" w:cs="Times New Roman"/>
          <w:lang w:val="en-US" w:bidi="en-US"/>
          <w:color w:val="111111"/>
          <w:sz w:val="28"/>
          <w:szCs w:val="28"/>
          <w:rtl/>
        </w:rPr>
        <w:t xml:space="preserve">asrār-ol-mafātīh</w:t>
      </w:r>
    </w:p>
    <w:p>
      <w:pPr>
        <w:pStyle w:val="BookText"/>
      </w:pPr>
      <w:r>
        <w:rPr>
          <w:rFonts w:ascii="IRNazanin" w:hAnsi="IRNazanin" w:eastAsia="IRNazanin" w:cs="IRNazanin"/>
          <w:lang w:bidi="fa-IR"/>
          <w:color w:val="111111"/>
          <w:sz w:val="28"/>
          <w:szCs w:val="28"/>
          <w:rtl/>
        </w:rPr>
        <w:t xml:space="preserve">رساله مختصری است در دستور عمل به رمل و چگونگی یافـتن احکام از خانه های جدول رمل.</w:t>
      </w:r>
    </w:p>
    <w:p>
      <w:pPr>
        <w:pStyle w:val="BookText"/>
      </w:pPr>
      <w:r>
        <w:rPr>
          <w:rFonts w:ascii="IRNazanin" w:hAnsi="IRNazanin" w:eastAsia="IRNazanin" w:cs="IRNazanin"/>
          <w:lang w:bidi="fa-IR"/>
          <w:color w:val="111111"/>
          <w:sz w:val="28"/>
          <w:szCs w:val="28"/>
          <w:rtl/>
        </w:rPr>
        <w:t xml:space="preserve">قم؛ معصومیه؛ شماره نسخه: ۶۷۱/۳</w:t>
      </w:r>
    </w:p>
    <w:p>
      <w:pPr>
        <w:pStyle w:val="BookText"/>
      </w:pPr>
      <w:r>
        <w:rPr>
          <w:rFonts w:ascii="IRNazanin" w:hAnsi="IRNazanin" w:eastAsia="IRNazanin" w:cs="IRNazanin"/>
          <w:lang w:bidi="fa-IR"/>
          <w:color w:val="111111"/>
          <w:sz w:val="28"/>
          <w:szCs w:val="28"/>
          <w:rtl/>
        </w:rPr>
        <w:t xml:space="preserve">آغاز: اما بعد بدانکه در علم رمل آتش فصل بهار و باد فـصل تابستان و آب فصل خزان و خاک فصل زمستان؛ انجام: همچـون لوحی که پسر را دهند که بخواند و راست باز آید چون تیر بر نشانه تمت الرساله الرمل.</w:t>
      </w:r>
    </w:p>
    <w:p>
      <w:pPr>
        <w:pStyle w:val="BookText"/>
      </w:pPr>
      <w:r>
        <w:rPr>
          <w:rFonts w:ascii="IRNazanin" w:hAnsi="IRNazanin" w:eastAsia="IRNazanin" w:cs="IRNazanin"/>
          <w:lang w:bidi="fa-IR"/>
          <w:color w:val="111111"/>
          <w:sz w:val="28"/>
          <w:szCs w:val="28"/>
          <w:rtl/>
        </w:rPr>
        <w:t xml:space="preserve">بی  کا، تا: قرن  ۱۳؛ جلد: تیماج قهوه ای، ۱۷گ (۱۷ پ-۳۳ر) ابعاد متن: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۲ - ۳۰۵]</w:t>
      </w:r>
    </w:p>
    <w:p>
      <w:pPr>
        <w:pStyle w:val="Heading3"/>
      </w:pPr>
      <w:bookmarkStart w:id="1430" w:name="_Toc952"/>
      <w:r>
        <w:t>اسرار المكارم / شرح دعا / عربي</w:t>
      </w:r>
      <w:bookmarkEnd w:id="1430"/>
    </w:p>
    <w:p>
      <w:pPr>
        <w:pStyle w:val="BookText"/>
      </w:pPr>
      <w:r>
        <w:rPr>
          <w:rFonts w:ascii="Times New Roman" w:hAnsi="Times New Roman" w:eastAsia="Times New Roman" w:cs="Times New Roman"/>
          <w:lang w:val="en-US" w:bidi="en-US"/>
          <w:color w:val="111111"/>
          <w:sz w:val="28"/>
          <w:szCs w:val="28"/>
          <w:rtl/>
        </w:rPr>
        <w:t xml:space="preserve">asrār-ul-makārim</w:t>
      </w:r>
    </w:p>
    <w:p>
      <w:pPr>
        <w:pStyle w:val="BookText"/>
      </w:pPr>
      <w:r>
        <w:rPr>
          <w:rFonts w:ascii="IRNazanin" w:hAnsi="IRNazanin" w:eastAsia="IRNazanin" w:cs="IRNazanin"/>
          <w:lang w:bidi="fa-IR"/>
          <w:color w:val="111111"/>
          <w:sz w:val="28"/>
          <w:szCs w:val="28"/>
          <w:rtl/>
        </w:rPr>
        <w:t xml:space="preserve">بارفروشی  مازندرانی، محمد بن مقيم، ۱۱۹۶ – 1281قمری</w:t>
      </w:r>
    </w:p>
    <w:p>
      <w:pPr>
        <w:pStyle w:val="BookText"/>
      </w:pPr>
      <w:r>
        <w:rPr>
          <w:rFonts w:ascii="Times New Roman" w:hAnsi="Times New Roman" w:eastAsia="Times New Roman" w:cs="Times New Roman"/>
          <w:lang w:val="en-US" w:bidi="en-US"/>
          <w:color w:val="111111"/>
          <w:sz w:val="28"/>
          <w:szCs w:val="28"/>
          <w:rtl/>
        </w:rPr>
        <w:t xml:space="preserve">bārforūšī māzandarānī, mohammad ebn-e moqīm</w:t>
      </w:r>
    </w:p>
    <w:p>
      <w:pPr>
        <w:pStyle w:val="BookText"/>
      </w:pPr>
      <w:r>
        <w:rPr>
          <w:rFonts w:ascii="Times New Roman" w:hAnsi="Times New Roman" w:eastAsia="Times New Roman" w:cs="Times New Roman"/>
          <w:lang w:val="en-US" w:bidi="en-US"/>
          <w:color w:val="111111"/>
          <w:sz w:val="28"/>
          <w:szCs w:val="28"/>
          <w:rtl/>
        </w:rPr>
        <w:t xml:space="preserve">(782-1865)</w:t>
      </w:r>
    </w:p>
    <w:p>
      <w:pPr>
        <w:pStyle w:val="BookText"/>
      </w:pPr>
      <w:r>
        <w:rPr>
          <w:rFonts w:ascii="IRNazanin" w:hAnsi="IRNazanin" w:eastAsia="IRNazanin" w:cs="IRNazanin"/>
          <w:lang w:bidi="fa-IR"/>
          <w:color w:val="111111"/>
          <w:sz w:val="28"/>
          <w:szCs w:val="28"/>
          <w:rtl/>
        </w:rPr>
        <w:t xml:space="preserve">تاریخ تالیف: رمضان ۱۲۶۱ق</w:t>
      </w:r>
    </w:p>
    <w:p>
      <w:pPr>
        <w:pStyle w:val="BookText"/>
      </w:pPr>
      <w:r>
        <w:rPr>
          <w:rFonts w:ascii="IRNazanin" w:hAnsi="IRNazanin" w:eastAsia="IRNazanin" w:cs="IRNazanin"/>
          <w:lang w:bidi="fa-IR"/>
          <w:color w:val="111111"/>
          <w:sz w:val="28"/>
          <w:szCs w:val="28"/>
          <w:rtl/>
        </w:rPr>
        <w:t xml:space="preserve">شرحى  است بر دعای مکارم الاخلاق حضرت امام زین العابدین (علیه السّلام) که مؤلف در ماه مبارک رمضان سال ۱۲۶۱ آن را برای مردم بر بالای منبر شرح نموده و سپس آن را در کتاب حاضر تدوین نموده است.</w:t>
      </w:r>
    </w:p>
    <w:p>
      <w:pPr>
        <w:pStyle w:val="BookText"/>
      </w:pPr>
      <w:r>
        <w:rPr>
          <w:rFonts w:ascii="IRNazanin" w:hAnsi="IRNazanin" w:eastAsia="IRNazanin" w:cs="IRNazanin"/>
          <w:lang w:bidi="fa-IR"/>
          <w:color w:val="111111"/>
          <w:sz w:val="28"/>
          <w:szCs w:val="28"/>
          <w:rtl/>
        </w:rPr>
        <w:t xml:space="preserve">بابل؛ خاتم الانبیاء؛ شماره نسخه: ۲۷۲/۱</w:t>
      </w:r>
    </w:p>
    <w:p>
      <w:pPr>
        <w:pStyle w:val="BookText"/>
      </w:pPr>
      <w:r>
        <w:rPr>
          <w:rFonts w:ascii="IRNazanin" w:hAnsi="IRNazanin" w:eastAsia="IRNazanin" w:cs="IRNazanin"/>
          <w:lang w:bidi="fa-IR"/>
          <w:color w:val="111111"/>
          <w:sz w:val="28"/>
          <w:szCs w:val="28"/>
          <w:rtl/>
        </w:rPr>
        <w:t xml:space="preserve">آغاز: الحمد لله رب العالمين اللهم صل على محمد و آل محمد و  بعد فيقول الفقير الى الله الغنى محمد بن مقیم بار فروشی... انی  شاورت الاحباب فى امر كيفية الوعظ فى شهرنا هذا و ان دارت الموعظة على مدار مصالح المقام؛ انجام: و الادلة القائم عليه أکثر ان يحصى فالآن عقيب شهر الصيام جف القلم.</w:t>
      </w:r>
    </w:p>
    <w:p>
      <w:pPr>
        <w:pStyle w:val="BookText"/>
      </w:pPr>
      <w:r>
        <w:rPr>
          <w:rFonts w:ascii="IRNazanin" w:hAnsi="IRNazanin" w:eastAsia="IRNazanin" w:cs="IRNazanin"/>
          <w:lang w:bidi="fa-IR"/>
          <w:color w:val="111111"/>
          <w:sz w:val="28"/>
          <w:szCs w:val="28"/>
          <w:rtl/>
        </w:rPr>
        <w:t xml:space="preserve">خط: تحریری، کاتب - ،مؤلف، بی تا؛ واقف: يعقوب بن مقیم درزی بارفروشی مازندرانی (برادر مؤلف)، ۱۱محرم1262؛ ۱۴۶ ص (۲-۱۴۷)، ۲۴  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۱۹۳]</w:t>
      </w:r>
    </w:p>
    <w:p>
      <w:pPr>
        <w:pStyle w:val="BookText"/>
      </w:pPr>
      <w:r>
        <w:rPr>
          <w:rFonts w:ascii="IRNazanin" w:hAnsi="IRNazanin" w:eastAsia="IRNazanin" w:cs="IRNazanin"/>
          <w:lang w:bidi="fa-IR"/>
          <w:color w:val="111111"/>
          <w:sz w:val="28"/>
          <w:szCs w:val="28"/>
          <w:rtl/>
        </w:rPr>
        <w:t xml:space="preserve">قم؛ مرکز احیاء؛ شماره نسخه: ۱۷۹۲/۱</w:t>
      </w:r>
    </w:p>
    <w:p>
      <w:pPr>
        <w:pStyle w:val="BookText"/>
      </w:pPr>
      <w:r>
        <w:rPr>
          <w:rFonts w:ascii="IRNazanin" w:hAnsi="IRNazanin" w:eastAsia="IRNazanin" w:cs="IRNazanin"/>
          <w:lang w:bidi="fa-IR"/>
          <w:color w:val="111111"/>
          <w:sz w:val="28"/>
          <w:szCs w:val="28"/>
          <w:rtl/>
        </w:rPr>
        <w:t xml:space="preserve">نسخه اصل: همان نسخه بالا [ عکسی ف: ۵ - ۲۶۱]</w:t>
      </w:r>
    </w:p>
    <w:p>
      <w:pPr>
        <w:pStyle w:val="Heading3"/>
      </w:pPr>
      <w:bookmarkStart w:id="1431" w:name="_Toc953"/>
      <w:r>
        <w:t>الاسرار المكنونة و الانوار المخزونة / عربي</w:t>
      </w:r>
      <w:bookmarkEnd w:id="1431"/>
    </w:p>
    <w:p>
      <w:pPr>
        <w:pStyle w:val="BookText"/>
      </w:pPr>
      <w:r>
        <w:rPr>
          <w:rFonts w:ascii="Times New Roman" w:hAnsi="Times New Roman" w:eastAsia="Times New Roman" w:cs="Times New Roman"/>
          <w:lang w:val="en-US" w:bidi="en-US"/>
          <w:color w:val="111111"/>
          <w:sz w:val="28"/>
          <w:szCs w:val="28"/>
          <w:rtl/>
        </w:rPr>
        <w:t xml:space="preserve">al-asrār-ul maknūna wa-l anwār-ul maxzūna</w:t>
      </w:r>
    </w:p>
    <w:p>
      <w:pPr>
        <w:pStyle w:val="BookText"/>
      </w:pPr>
      <w:r>
        <w:rPr>
          <w:rFonts w:ascii="IRNazanin" w:hAnsi="IRNazanin" w:eastAsia="IRNazanin" w:cs="IRNazanin"/>
          <w:lang w:bidi="fa-IR"/>
          <w:color w:val="111111"/>
          <w:sz w:val="28"/>
          <w:szCs w:val="28"/>
          <w:rtl/>
        </w:rPr>
        <w:t xml:space="preserve">؟ مراغی، حسن بن عبدالرحيم، - ۱۳۰۰ قمری</w:t>
      </w:r>
    </w:p>
    <w:p>
      <w:pPr>
        <w:pStyle w:val="BookText"/>
      </w:pPr>
      <w:r>
        <w:rPr>
          <w:rFonts w:ascii="Times New Roman" w:hAnsi="Times New Roman" w:eastAsia="Times New Roman" w:cs="Times New Roman"/>
          <w:lang w:val="en-US" w:bidi="en-US"/>
          <w:color w:val="111111"/>
          <w:sz w:val="28"/>
          <w:szCs w:val="28"/>
          <w:rtl/>
        </w:rPr>
        <w:t xml:space="preserve">(marāqī, hasan ebn-e 'abd-or-rahīm (- 1883)</w:t>
      </w:r>
    </w:p>
    <w:p>
      <w:pPr>
        <w:pStyle w:val="BookText"/>
      </w:pPr>
      <w:r>
        <w:rPr>
          <w:rFonts w:ascii="IRNazanin" w:hAnsi="IRNazanin" w:eastAsia="IRNazanin" w:cs="IRNazanin"/>
          <w:lang w:bidi="fa-IR"/>
          <w:color w:val="111111"/>
          <w:sz w:val="28"/>
          <w:szCs w:val="28"/>
          <w:rtl/>
        </w:rPr>
        <w:t xml:space="preserve">تهران؛ مجلس؛ شماره نسخه: ۱۰۱۸۹/۹</w:t>
      </w:r>
    </w:p>
    <w:p>
      <w:pPr>
        <w:pStyle w:val="BookText"/>
      </w:pPr>
      <w:r>
        <w:rPr>
          <w:rFonts w:ascii="Amiri" w:hAnsi="Amiri" w:eastAsia="Amiri" w:cs="Amiri"/>
          <w:lang w:bidi="ar-SA"/>
          <w:color w:val="111111"/>
          <w:sz w:val="28"/>
          <w:szCs w:val="28"/>
          <w:rtl/>
        </w:rPr>
        <w:t xml:space="preserve">آغاز: بسمله الحمد لله الذي خلق الخلق بالاحتجاب فالخلق حجب لانفسهم و لولا ذلك لاحترقت سبحات وجهه؛ انجام: و اتمم لنا انوار معرفتك و اذقنا حلاوة عفوك و لذة مغفرتك ... يا ارحم  الراحمين.</w:t>
      </w:r>
    </w:p>
    <w:p>
      <w:pPr>
        <w:pStyle w:val="BookText"/>
      </w:pPr>
      <w:r>
        <w:rPr>
          <w:rFonts w:ascii="IRNazanin" w:hAnsi="IRNazanin" w:eastAsia="IRNazanin" w:cs="IRNazanin"/>
          <w:lang w:bidi="fa-IR"/>
          <w:color w:val="111111"/>
          <w:sz w:val="28"/>
          <w:szCs w:val="28"/>
          <w:rtl/>
        </w:rPr>
        <w:t xml:space="preserve">خط:  نسخ، کا: رستم بن بیجن (؟) ،مراغی، بی تا؛ مصحح؛ جلد: تيماج مشكى مجدول، ۱۳۲ ص( ۴۷۳-۶۰۴)، ۱۶ سطر،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۳۲ - ۲۲۹]</w:t>
      </w:r>
    </w:p>
    <w:p>
      <w:pPr>
        <w:pStyle w:val="Heading3"/>
      </w:pPr>
      <w:bookmarkStart w:id="1432" w:name="_Toc954"/>
      <w:r>
        <w:t>اسرار الملكوت / هیئت / عربی</w:t>
      </w:r>
      <w:bookmarkEnd w:id="1432"/>
    </w:p>
    <w:p>
      <w:pPr>
        <w:pStyle w:val="BookText"/>
      </w:pPr>
      <w:r>
        <w:rPr>
          <w:rFonts w:ascii="Times New Roman" w:hAnsi="Times New Roman" w:eastAsia="Times New Roman" w:cs="Times New Roman"/>
          <w:lang w:val="en-US" w:bidi="en-US"/>
          <w:color w:val="111111"/>
          <w:sz w:val="28"/>
          <w:szCs w:val="28"/>
          <w:rtl/>
        </w:rPr>
        <w:t xml:space="preserve">asrar-ul-malakut</w:t>
      </w:r>
    </w:p>
    <w:p>
      <w:pPr>
        <w:pStyle w:val="BookText"/>
      </w:pPr>
      <w:r>
        <w:rPr>
          <w:rFonts w:ascii="IRNazanin" w:hAnsi="IRNazanin" w:eastAsia="IRNazanin" w:cs="IRNazanin"/>
          <w:lang w:bidi="fa-IR"/>
          <w:color w:val="111111"/>
          <w:sz w:val="28"/>
          <w:szCs w:val="28"/>
          <w:rtl/>
        </w:rPr>
        <w:t xml:space="preserve">قدسی، عباسقلی بن میرزا محمد ثانی، ق۱۳ قمری</w:t>
      </w:r>
    </w:p>
    <w:p>
      <w:pPr>
        <w:pStyle w:val="BookText"/>
      </w:pPr>
      <w:r>
        <w:rPr>
          <w:rFonts w:ascii="Times New Roman" w:hAnsi="Times New Roman" w:eastAsia="Times New Roman" w:cs="Times New Roman"/>
          <w:lang w:val="en-US" w:bidi="en-US"/>
          <w:color w:val="111111"/>
          <w:sz w:val="28"/>
          <w:szCs w:val="28"/>
          <w:rtl/>
        </w:rPr>
        <w:t xml:space="preserve">qodsī, ‘abbās-qolī ebn-e mīrzā mohammad-e sānī (-</w:t>
      </w:r>
    </w:p>
    <w:p>
      <w:pPr>
        <w:pStyle w:val="BookText"/>
      </w:pPr>
      <w:r>
        <w:rPr>
          <w:rFonts w:ascii="Times New Roman" w:hAnsi="Times New Roman" w:eastAsia="Times New Roman" w:cs="Times New Roman"/>
          <w:lang w:val="en-US" w:bidi="en-US"/>
          <w:color w:val="111111"/>
          <w:sz w:val="28"/>
          <w:szCs w:val="28"/>
          <w:rtl/>
        </w:rPr>
        <w:t xml:space="preserve">(19c)</w:t>
      </w:r>
    </w:p>
    <w:p>
      <w:pPr>
        <w:pStyle w:val="BookText"/>
      </w:pPr>
      <w:r>
        <w:rPr>
          <w:rFonts w:ascii="IRNazanin" w:hAnsi="IRNazanin" w:eastAsia="IRNazanin" w:cs="IRNazanin"/>
          <w:lang w:bidi="fa-IR"/>
          <w:color w:val="111111"/>
          <w:sz w:val="28"/>
          <w:szCs w:val="28"/>
          <w:rtl/>
        </w:rPr>
        <w:t xml:space="preserve">اهدا به: سلطان عبدالحمید خان عثمانی</w:t>
      </w:r>
    </w:p>
    <w:p>
      <w:pPr>
        <w:pStyle w:val="BookText"/>
      </w:pPr>
      <w:r>
        <w:rPr>
          <w:rFonts w:ascii="IRNazanin" w:hAnsi="IRNazanin" w:eastAsia="IRNazanin" w:cs="IRNazanin"/>
          <w:lang w:bidi="fa-IR"/>
          <w:color w:val="111111"/>
          <w:sz w:val="28"/>
          <w:szCs w:val="28"/>
          <w:rtl/>
        </w:rPr>
        <w:t xml:space="preserve">تاریخ تالیف: ۱۲۶۲ق</w:t>
      </w:r>
    </w:p>
    <w:p>
      <w:pPr>
        <w:pStyle w:val="BookText"/>
      </w:pPr>
      <w:r>
        <w:rPr>
          <w:rFonts w:ascii="IRNazanin" w:hAnsi="IRNazanin" w:eastAsia="IRNazanin" w:cs="IRNazanin"/>
          <w:lang w:bidi="fa-IR"/>
          <w:color w:val="111111"/>
          <w:sz w:val="28"/>
          <w:szCs w:val="28"/>
          <w:rtl/>
        </w:rPr>
        <w:t xml:space="preserve">رساله ای در اثبات حرکت زمین به گرد خورشید و رد عقیده بطلیموس در یک «مقدمه» و سه «باب» و هر باب در چند «فصل» و «خاتمه».</w:t>
      </w:r>
    </w:p>
    <w:p>
      <w:pPr>
        <w:pStyle w:val="BookText"/>
      </w:pPr>
      <w:r>
        <w:rPr>
          <w:rFonts w:ascii="IRNazanin" w:hAnsi="IRNazanin" w:eastAsia="IRNazanin" w:cs="IRNazanin"/>
          <w:lang w:bidi="fa-IR"/>
          <w:color w:val="111111"/>
          <w:sz w:val="28"/>
          <w:szCs w:val="28"/>
          <w:rtl/>
        </w:rPr>
        <w:t xml:space="preserve">آغاز: الحمد لله الذى على العرش استوى... و بعد فيقول الجاني الشهير بقدسی عباس قلی بن میرزا محمد خان ثانى باکری ... ان في علم الهيئه قاعدتين احدهما لبطليموس الرومى مبنية على سكون الارض.</w:t>
      </w:r>
    </w:p>
    <w:p>
      <w:pPr>
        <w:pStyle w:val="BookText"/>
      </w:pPr>
      <w:r>
        <w:rPr>
          <w:rFonts w:ascii="Amiri" w:hAnsi="Amiri" w:eastAsia="Amiri" w:cs="Amiri"/>
          <w:lang w:bidi="ar-SA"/>
          <w:color w:val="111111"/>
          <w:sz w:val="28"/>
          <w:szCs w:val="28"/>
          <w:rtl/>
        </w:rPr>
        <w:t xml:space="preserve">انجام: فكيف يجترى ان يتصور فى صفات ... والحمد لله رب  العالمين</w:t>
      </w:r>
    </w:p>
    <w:p>
      <w:pPr>
        <w:pStyle w:val="BookText"/>
      </w:pPr>
      <w:r>
        <w:rPr>
          <w:rFonts w:ascii="IRNazanin" w:hAnsi="IRNazanin" w:eastAsia="IRNazanin" w:cs="IRNazanin"/>
          <w:lang w:bidi="fa-IR"/>
          <w:color w:val="111111"/>
          <w:sz w:val="28"/>
          <w:szCs w:val="28"/>
          <w:rtl/>
        </w:rPr>
        <w:t xml:space="preserve">١. تهران؛ مجلس؛ شماره نسخه: ۱۰۰۲۷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قرن ۱۳؛ جلد: تیماج  مشکی، ۳۲گ، ۱۱  سطر، اندازه: 9</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سم [ف: ۳۲ - ۳۵]</w:t>
      </w:r>
    </w:p>
    <w:p>
      <w:pPr>
        <w:pStyle w:val="BookText"/>
      </w:pPr>
      <w:r>
        <w:rPr>
          <w:rFonts w:ascii="IRNazanin" w:hAnsi="IRNazanin" w:eastAsia="IRNazanin" w:cs="IRNazanin"/>
          <w:lang w:bidi="fa-IR"/>
          <w:color w:val="111111"/>
          <w:sz w:val="28"/>
          <w:szCs w:val="28"/>
          <w:rtl/>
        </w:rPr>
        <w:t xml:space="preserve">۲. تهران؛ مجلس؛ شماره نسخه: ۶۱۰۳/۱</w:t>
      </w:r>
    </w:p>
    <w:p>
      <w:pPr>
        <w:pStyle w:val="BookText"/>
      </w:pPr>
      <w:r>
        <w:rPr>
          <w:rFonts w:ascii="Amiri" w:hAnsi="Amiri" w:eastAsia="Amiri" w:cs="Amiri"/>
          <w:lang w:bidi="ar-SA"/>
          <w:color w:val="111111"/>
          <w:sz w:val="28"/>
          <w:szCs w:val="28"/>
          <w:rtl/>
        </w:rPr>
        <w:t xml:space="preserve">آغاز: برابر؛ انجام: لا يدرك العقول ادنى مظاهرها.</w:t>
      </w:r>
    </w:p>
    <w:p>
      <w:pPr>
        <w:pStyle w:val="BookText"/>
      </w:pPr>
      <w:r>
        <w:rPr>
          <w:rFonts w:ascii="IRNazanin" w:hAnsi="IRNazanin" w:eastAsia="IRNazanin" w:cs="IRNazanin"/>
          <w:lang w:bidi="fa-IR"/>
          <w:color w:val="111111"/>
          <w:sz w:val="28"/>
          <w:szCs w:val="28"/>
          <w:rtl/>
        </w:rPr>
        <w:t xml:space="preserve">خط: نسخ  تحریری، بی کا، تا: ۱۲۰۸ق؛ جا: موصل، مدرسه دارالاحسان؛ کاغذ ،فرنگی ،جلد: تیماج یک لا  مشکی، ۱۹ص (۲۰-۲)، ۲۱ سطر، قطع: خشتی،اندازه: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۱۹ – ۸۷]</w:t>
      </w:r>
    </w:p>
    <w:p>
      <w:pPr>
        <w:pStyle w:val="Heading3"/>
      </w:pPr>
      <w:bookmarkStart w:id="1433" w:name="_Toc955"/>
      <w:r>
        <w:t>اسرار مناسك الحج / فلسفه احکام / عربی</w:t>
      </w:r>
      <w:bookmarkEnd w:id="1433"/>
    </w:p>
    <w:p>
      <w:pPr>
        <w:pStyle w:val="BookText"/>
      </w:pPr>
      <w:r>
        <w:rPr>
          <w:rFonts w:ascii="Times New Roman" w:hAnsi="Times New Roman" w:eastAsia="Times New Roman" w:cs="Times New Roman"/>
          <w:lang w:val="en-US" w:bidi="en-US"/>
          <w:color w:val="111111"/>
          <w:sz w:val="28"/>
          <w:szCs w:val="28"/>
          <w:rtl/>
        </w:rPr>
        <w:t xml:space="preserve">asrar-u manasik-il hajj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268" w:name="pg20365_260379"/>
    <w:bookmarkEnd w:id="268"/>
    <w:p>
      <w:pPr>
        <w:pStyle w:val="BookText"/>
      </w:pPr>
      <w:r>
        <w:rPr>
          <w:rFonts w:ascii="IRNazanin" w:hAnsi="IRNazanin" w:eastAsia="IRNazanin" w:cs="IRNazanin"/>
          <w:lang w:bidi="fa-IR"/>
          <w:color w:val="111111"/>
          <w:sz w:val="28"/>
          <w:szCs w:val="28"/>
          <w:rtl/>
        </w:rPr>
        <w:t xml:space="preserve">اسرار و علل حج را با استناد به احادیث بیان کرده است عناوین برخی از ابواب آن: باب علة التلبية باب العلة التي من اجـلها لا يؤخذ الطير الاهلى؛ باب العلة التي لا يجوز للمحرم ان ينظر فی المرءة؛ باب العلة التي من اجلها صار المسعى احب البقاع الى الله تعالى؛ باب العلة التي من اجلها سمى يوم التروية يوم التروية؛ باب العلة التى من اجلها صار الناس يستلمون الحجر و الركن من اليماني و لا يستلمون الركنين الآخرين.</w:t>
      </w:r>
    </w:p>
    <w:p>
      <w:pPr>
        <w:pStyle w:val="BookText"/>
      </w:pPr>
      <w:r>
        <w:rPr>
          <w:rFonts w:ascii="IRNazanin" w:hAnsi="IRNazanin" w:eastAsia="IRNazanin" w:cs="IRNazanin"/>
          <w:lang w:bidi="fa-IR"/>
          <w:color w:val="111111"/>
          <w:sz w:val="28"/>
          <w:szCs w:val="28"/>
          <w:rtl/>
        </w:rPr>
        <w:t xml:space="preserve">مشهد؛ گوهر شاد؛ شماره نسخه: ۲۳۶۱/۱</w:t>
      </w:r>
    </w:p>
    <w:p>
      <w:pPr>
        <w:pStyle w:val="BookText"/>
      </w:pPr>
      <w:r>
        <w:rPr>
          <w:rFonts w:ascii="IRNazanin" w:hAnsi="IRNazanin" w:eastAsia="IRNazanin" w:cs="IRNazanin"/>
          <w:lang w:bidi="fa-IR"/>
          <w:color w:val="111111"/>
          <w:sz w:val="28"/>
          <w:szCs w:val="28"/>
          <w:rtl/>
        </w:rPr>
        <w:t xml:space="preserve">آغاز: بسمله، سبحان الذى جعل الحرام حراما على النسناس و الحمد لله الذى صرف عمن فيه تطرق الوسواس؛ انجام: لانه من مقامات الاصول و جعل التكبير بازائه فى الفطر الحمد لله الـذی هدانا لتدوينها ووفقنا لتتميمها وصلى الله على محمد و آله الذین هم وسائل الفيوضات و وسائط الرحمات ۱۲۳۱. خط: نستعلیق، بی کا، تا: ۱۴ ذیحجه ۱۲۳۱ق؛ کاغذ: آبی و فستـقی آهار مهره، جلد: مقوا، عطف و گوشه تیماج قهوه ای، ۶۱گ، 16و ۱۷ 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۵ - ۷۰۸]</w:t>
      </w:r>
    </w:p>
    <w:p>
      <w:pPr>
        <w:pStyle w:val="Heading3"/>
      </w:pPr>
      <w:bookmarkStart w:id="1434" w:name="_Toc956"/>
      <w:r>
        <w:t>اسرار المواعظ / اخلاق / فارسی</w:t>
      </w:r>
      <w:bookmarkEnd w:id="1434"/>
    </w:p>
    <w:p>
      <w:pPr>
        <w:pStyle w:val="BookText"/>
      </w:pPr>
      <w:r>
        <w:rPr>
          <w:rFonts w:ascii="Times New Roman" w:hAnsi="Times New Roman" w:eastAsia="Times New Roman" w:cs="Times New Roman"/>
          <w:lang w:val="en-US" w:bidi="en-US"/>
          <w:color w:val="111111"/>
          <w:sz w:val="28"/>
          <w:szCs w:val="28"/>
          <w:rtl/>
        </w:rPr>
        <w:t xml:space="preserve">asrār-ol-mavā‘ez</w:t>
      </w:r>
    </w:p>
    <w:p>
      <w:pPr>
        <w:pStyle w:val="BookText"/>
      </w:pPr>
      <w:r>
        <w:rPr>
          <w:rFonts w:ascii="IRNazanin" w:hAnsi="IRNazanin" w:eastAsia="IRNazanin" w:cs="IRNazanin"/>
          <w:lang w:bidi="fa-IR"/>
          <w:color w:val="111111"/>
          <w:sz w:val="28"/>
          <w:szCs w:val="28"/>
          <w:rtl/>
        </w:rPr>
        <w:t xml:space="preserve">؟ صدر، محمد حسین، ق۱۳ قمری</w:t>
      </w:r>
    </w:p>
    <w:p>
      <w:pPr>
        <w:pStyle w:val="BookText"/>
      </w:pPr>
      <w:r>
        <w:rPr>
          <w:rFonts w:ascii="Times New Roman" w:hAnsi="Times New Roman" w:eastAsia="Times New Roman" w:cs="Times New Roman"/>
          <w:lang w:val="en-US" w:bidi="en-US"/>
          <w:color w:val="111111"/>
          <w:sz w:val="28"/>
          <w:szCs w:val="28"/>
          <w:rtl/>
        </w:rPr>
        <w:t xml:space="preserve">(sadr, mohammad hoseyn (- 19c)</w:t>
      </w:r>
    </w:p>
    <w:p>
      <w:pPr>
        <w:pStyle w:val="BookText"/>
      </w:pPr>
      <w:r>
        <w:rPr>
          <w:rFonts w:ascii="IRNazanin" w:hAnsi="IRNazanin" w:eastAsia="IRNazanin" w:cs="IRNazanin"/>
          <w:lang w:bidi="fa-IR"/>
          <w:color w:val="111111"/>
          <w:sz w:val="28"/>
          <w:szCs w:val="28"/>
          <w:rtl/>
        </w:rPr>
        <w:t xml:space="preserve">کتابی اخلاقی در ده «سر» .۱. صفت ایمان و مومن؛ ۲. مذمت نفاق و منافق؛ ۳. صفت سخاوت؛ ۴. مذمت بخل و حسد؛ 5.عزت قناعت؛ ۶. مذمت حرص و طمع؛ ۷. ذم کبر و نخوت؛8. معرفت علم و جهل و صفت آن؛ ۹. مدح صبر و حل و فوائد خاموشی؛ ۱۰. مدح عدل و مذمت ظلم.</w:t>
      </w:r>
    </w:p>
    <w:p>
      <w:pPr>
        <w:pStyle w:val="BookText"/>
      </w:pPr>
      <w:r>
        <w:rPr>
          <w:rFonts w:ascii="IRNazanin" w:hAnsi="IRNazanin" w:eastAsia="IRNazanin" w:cs="IRNazanin"/>
          <w:lang w:bidi="fa-IR"/>
          <w:color w:val="111111"/>
          <w:sz w:val="28"/>
          <w:szCs w:val="28"/>
          <w:rtl/>
        </w:rPr>
        <w:t xml:space="preserve">آغاز: سر اول در رساله اسرار المواعظ در صفت ایمان و مومن.</w:t>
      </w:r>
    </w:p>
    <w:p>
      <w:pPr>
        <w:pStyle w:val="BookText"/>
      </w:pPr>
      <w:r>
        <w:rPr>
          <w:rFonts w:ascii="IRNazanin" w:hAnsi="IRNazanin" w:eastAsia="IRNazanin" w:cs="IRNazanin"/>
          <w:lang w:bidi="fa-IR"/>
          <w:color w:val="111111"/>
          <w:sz w:val="28"/>
          <w:szCs w:val="28"/>
          <w:rtl/>
        </w:rPr>
        <w:t xml:space="preserve">ایمان درختی است ببخش یقین  است. فرعش تقوى شكوفه اش حياء. میوه اش سخا</w:t>
      </w:r>
    </w:p>
    <w:p>
      <w:pPr>
        <w:pStyle w:val="BookText"/>
      </w:pPr>
      <w:r>
        <w:rPr>
          <w:rFonts w:ascii="IRNazanin" w:hAnsi="IRNazanin" w:eastAsia="IRNazanin" w:cs="IRNazanin"/>
          <w:lang w:bidi="fa-IR"/>
          <w:color w:val="111111"/>
          <w:sz w:val="28"/>
          <w:szCs w:val="28"/>
          <w:rtl/>
        </w:rPr>
        <w:t xml:space="preserve">انجام: و اساس در چیده بر چیده  نباشد. این نسخه اولین مناجات سبعه و اسرار المواعظ است که بخط مؤلف در تاریخ تالیف اتمام پذیرفت</w:t>
      </w:r>
    </w:p>
    <w:p>
      <w:pPr>
        <w:pStyle w:val="BookText"/>
      </w:pPr>
      <w:r>
        <w:rPr>
          <w:rFonts w:ascii="IRNazanin" w:hAnsi="IRNazanin" w:eastAsia="IRNazanin" w:cs="IRNazanin"/>
          <w:lang w:bidi="fa-IR"/>
          <w:color w:val="111111"/>
          <w:sz w:val="28"/>
          <w:szCs w:val="28"/>
          <w:rtl/>
        </w:rPr>
        <w:t xml:space="preserve">[فهرستواره منزوی ۳۱۹/۶ ]</w:t>
      </w:r>
    </w:p>
    <w:p>
      <w:pPr>
        <w:pStyle w:val="BookText"/>
      </w:pPr>
      <w:r>
        <w:rPr>
          <w:rFonts w:ascii="IRNazanin" w:hAnsi="IRNazanin" w:eastAsia="IRNazanin" w:cs="IRNazanin"/>
          <w:lang w:bidi="fa-IR"/>
          <w:color w:val="111111"/>
          <w:sz w:val="28"/>
          <w:szCs w:val="28"/>
          <w:rtl/>
        </w:rPr>
        <w:t xml:space="preserve">تهران؛ ملک؛ شماره نسخه: ۶۱۲/۲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نستعليق، كاتب - مؤلف، بی تا ؛کاغذ: آهار مهره فرنگـی ،جلد: میشن قهوه ای  نو، ۳۶گ( ۲۷ ر - ۶۲ پ)، ۱۱ سطر، اندازه:۱۳/۴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۵ - ۱۱۳]</w:t>
      </w:r>
    </w:p>
    <w:p>
      <w:pPr>
        <w:pStyle w:val="Heading3"/>
      </w:pPr>
      <w:bookmarkStart w:id="1435" w:name="_Toc957"/>
      <w:r>
        <w:t>اسرار مهر النبوة بين كتفى النبى / عرفان و تصوف /عربی</w:t>
      </w:r>
      <w:bookmarkEnd w:id="1435"/>
    </w:p>
    <w:p>
      <w:pPr>
        <w:pStyle w:val="BookText"/>
      </w:pPr>
      <w:r>
        <w:rPr>
          <w:rFonts w:ascii="Times New Roman" w:hAnsi="Times New Roman" w:eastAsia="Times New Roman" w:cs="Times New Roman"/>
          <w:lang w:val="en-US" w:bidi="en-US"/>
          <w:color w:val="111111"/>
          <w:sz w:val="28"/>
          <w:szCs w:val="28"/>
          <w:rtl/>
        </w:rPr>
        <w:t xml:space="preserve">asrār-u muhr-in nabuwwa bayn-a kitfay-in nabī</w:t>
      </w:r>
    </w:p>
    <w:p>
      <w:pPr>
        <w:pStyle w:val="BookText"/>
      </w:pPr>
      <w:r>
        <w:rPr>
          <w:rFonts w:ascii="IRNazanin" w:hAnsi="IRNazanin" w:eastAsia="IRNazanin" w:cs="IRNazanin"/>
          <w:lang w:bidi="fa-IR"/>
          <w:color w:val="111111"/>
          <w:sz w:val="28"/>
          <w:szCs w:val="28"/>
          <w:rtl/>
        </w:rPr>
        <w:t xml:space="preserve">جیلانی، عبدالکریم بن ابراهیم، ۷۶۷ - ۸۳۲ قمری</w:t>
      </w:r>
    </w:p>
    <w:p>
      <w:pPr>
        <w:pStyle w:val="BookText"/>
      </w:pPr>
      <w:r>
        <w:rPr>
          <w:rFonts w:ascii="Times New Roman" w:hAnsi="Times New Roman" w:eastAsia="Times New Roman" w:cs="Times New Roman"/>
          <w:lang w:val="en-US" w:bidi="en-US"/>
          <w:color w:val="111111"/>
          <w:sz w:val="28"/>
          <w:szCs w:val="28"/>
          <w:rtl/>
        </w:rPr>
        <w:t xml:space="preserve">(jīlānī, ‘abd-ol-karīm ebn-e ebrāhīm (1366 - 1429)</w:t>
      </w:r>
    </w:p>
    <w:p>
      <w:pPr>
        <w:pStyle w:val="BookText"/>
      </w:pPr>
      <w:r>
        <w:rPr>
          <w:rFonts w:ascii="IRNazanin" w:hAnsi="IRNazanin" w:eastAsia="IRNazanin" w:cs="IRNazanin"/>
          <w:lang w:bidi="fa-IR"/>
          <w:color w:val="111111"/>
          <w:sz w:val="28"/>
          <w:szCs w:val="28"/>
          <w:rtl/>
        </w:rPr>
        <w:t xml:space="preserve">تهران؛ دانشگاه؛ شماره نسخه: ۴۴۲/۱۰-ف</w:t>
      </w:r>
    </w:p>
    <w:p>
      <w:pPr>
        <w:pStyle w:val="BookText"/>
      </w:pPr>
      <w:r>
        <w:rPr>
          <w:rFonts w:ascii="IRNazanin" w:hAnsi="IRNazanin" w:eastAsia="IRNazanin" w:cs="IRNazanin"/>
          <w:lang w:bidi="fa-IR"/>
          <w:color w:val="111111"/>
          <w:sz w:val="28"/>
          <w:szCs w:val="28"/>
          <w:rtl/>
        </w:rPr>
        <w:t xml:space="preserve">نسخه اصل: بایزید ولی الدین ش۱۸۲۵؛ خط: نسخ، بی کا، تا: ۸۵۱ق، ۳گ (۱۲۷-۱۲۹)، ۱۹ سطر [ فیلم ها-ف: ۱ - ۴۷۷]</w:t>
      </w:r>
    </w:p>
    <w:p>
      <w:pPr>
        <w:pStyle w:val="Heading3"/>
      </w:pPr>
      <w:bookmarkStart w:id="1436" w:name="_Toc958"/>
      <w:r>
        <w:t>اسرار نام خدا جل جلاله / ادبیات / اردو</w:t>
      </w:r>
      <w:bookmarkEnd w:id="1436"/>
    </w:p>
    <w:p>
      <w:pPr>
        <w:pStyle w:val="BookText"/>
      </w:pPr>
      <w:r>
        <w:rPr>
          <w:rFonts w:ascii="Times New Roman" w:hAnsi="Times New Roman" w:eastAsia="Times New Roman" w:cs="Times New Roman"/>
          <w:lang w:val="en-US" w:bidi="en-US"/>
          <w:color w:val="111111"/>
          <w:sz w:val="28"/>
          <w:szCs w:val="28"/>
          <w:rtl/>
        </w:rPr>
        <w:t xml:space="preserve">asrar-e name xoda jalla jalal-o-h</w:t>
      </w:r>
    </w:p>
    <w:p>
      <w:pPr>
        <w:pStyle w:val="BookText"/>
      </w:pPr>
      <w:r>
        <w:rPr>
          <w:rFonts w:ascii="IRNazanin" w:hAnsi="IRNazanin" w:eastAsia="IRNazanin" w:cs="IRNazanin"/>
          <w:lang w:bidi="fa-IR"/>
          <w:color w:val="111111"/>
          <w:sz w:val="28"/>
          <w:szCs w:val="28"/>
          <w:rtl/>
        </w:rPr>
        <w:t xml:space="preserve">ناظم: صابر علی</w:t>
      </w:r>
    </w:p>
    <w:p>
      <w:pPr>
        <w:pStyle w:val="BookText"/>
      </w:pPr>
      <w:r>
        <w:rPr>
          <w:rFonts w:ascii="IRNazanin" w:hAnsi="IRNazanin" w:eastAsia="IRNazanin" w:cs="IRNazanin"/>
          <w:lang w:bidi="fa-IR"/>
          <w:color w:val="111111"/>
          <w:sz w:val="28"/>
          <w:szCs w:val="28"/>
          <w:rtl/>
        </w:rPr>
        <w:t xml:space="preserve">مشهد؛ رضوی؛ شماره نسخه: ۲۴۵۶۹</w:t>
      </w:r>
    </w:p>
    <w:p>
      <w:pPr>
        <w:pStyle w:val="BookText"/>
      </w:pPr>
      <w:r>
        <w:rPr>
          <w:rFonts w:ascii="IRNazanin" w:hAnsi="IRNazanin" w:eastAsia="IRNazanin" w:cs="IRNazanin"/>
          <w:lang w:bidi="fa-IR"/>
          <w:color w:val="111111"/>
          <w:sz w:val="28"/>
          <w:szCs w:val="28"/>
          <w:rtl/>
        </w:rPr>
        <w:t xml:space="preserve">آغاز: اسرار و رموز نام الله ؛ انجام: سلامت رهين شهريار دكن ...  پنجم ماه رمضان المبارک سنه ۱۲۵۰</w:t>
      </w:r>
    </w:p>
    <w:p>
      <w:pPr>
        <w:pStyle w:val="BookText"/>
      </w:pPr>
      <w:r>
        <w:rPr>
          <w:rFonts w:ascii="IRNazanin" w:hAnsi="IRNazanin" w:eastAsia="IRNazanin" w:cs="IRNazanin"/>
          <w:lang w:bidi="fa-IR"/>
          <w:color w:val="111111"/>
          <w:sz w:val="28"/>
          <w:szCs w:val="28"/>
          <w:rtl/>
        </w:rPr>
        <w:t xml:space="preserve">خط: نستعلیق، بی کا، تا: ۱۲۵۰ق [رایانه]</w:t>
      </w:r>
    </w:p>
    <w:p>
      <w:pPr>
        <w:pStyle w:val="Heading3"/>
      </w:pPr>
      <w:bookmarkStart w:id="1437" w:name="_Toc959"/>
      <w:r>
        <w:t>اسرار نامه / شعر / فارسی</w:t>
      </w:r>
      <w:bookmarkEnd w:id="1437"/>
    </w:p>
    <w:p>
      <w:pPr>
        <w:pStyle w:val="BookText"/>
      </w:pPr>
      <w:r>
        <w:rPr>
          <w:rFonts w:ascii="Times New Roman" w:hAnsi="Times New Roman" w:eastAsia="Times New Roman" w:cs="Times New Roman"/>
          <w:lang w:val="en-US" w:bidi="en-US"/>
          <w:color w:val="111111"/>
          <w:sz w:val="28"/>
          <w:szCs w:val="28"/>
          <w:rtl/>
        </w:rPr>
        <w:t xml:space="preserve">asrār nāme</w:t>
      </w:r>
    </w:p>
    <w:p>
      <w:pPr>
        <w:pStyle w:val="BookText"/>
      </w:pPr>
      <w:r>
        <w:rPr>
          <w:rFonts w:ascii="IRNazanin" w:hAnsi="IRNazanin" w:eastAsia="IRNazanin" w:cs="IRNazanin"/>
          <w:lang w:bidi="fa-IR"/>
          <w:color w:val="111111"/>
          <w:sz w:val="28"/>
          <w:szCs w:val="28"/>
          <w:rtl/>
        </w:rPr>
        <w:t xml:space="preserve">عطار، محمد بن  ابراهيم، ۵۳۷ - ۶۲۷ ؟ قمری</w:t>
      </w:r>
    </w:p>
    <w:p>
      <w:pPr>
        <w:pStyle w:val="BookText"/>
      </w:pPr>
      <w:r>
        <w:rPr>
          <w:rFonts w:ascii="Times New Roman" w:hAnsi="Times New Roman" w:eastAsia="Times New Roman" w:cs="Times New Roman"/>
          <w:lang w:val="en-US" w:bidi="en-US"/>
          <w:color w:val="111111"/>
          <w:sz w:val="28"/>
          <w:szCs w:val="28"/>
          <w:rtl/>
        </w:rPr>
        <w:t xml:space="preserve">(attar, mohammad ebn-e ebrahim (1143 - 1230)</w:t>
      </w:r>
    </w:p>
    <w:p>
      <w:pPr>
        <w:pStyle w:val="BookText"/>
      </w:pPr>
      <w:r>
        <w:rPr>
          <w:rFonts w:ascii="IRNazanin" w:hAnsi="IRNazanin" w:eastAsia="IRNazanin" w:cs="IRNazanin"/>
          <w:lang w:bidi="fa-IR"/>
          <w:color w:val="111111"/>
          <w:sz w:val="28"/>
          <w:szCs w:val="28"/>
          <w:rtl/>
        </w:rPr>
        <w:t xml:space="preserve">مثنوی عرفانی به شیوه داستان سرایی، شماره بیت ها در نسخه ها میان ۲۴۰۰ تا ۳۳۰۹ مختلف است و در نسخه های تازه تر در سیزده و بعضاً ۲۲« مقاله» و یک «خاتمه» است و این تقسیم بندی در نسخه های کهن نیست. این کتاب را عطار به مولانا جلال الدین بلخی در کودکی هدیه کرده است. نسخه هایی از آن به نام «كنز الحقايق» است: «چو گفتم اندرو چندین حقایق / نهادم نام او كنز الحقايق.</w:t>
      </w:r>
    </w:p>
    <w:p>
      <w:pPr>
        <w:pStyle w:val="BookText"/>
      </w:pPr>
      <w:r>
        <w:rPr>
          <w:rFonts w:ascii="IRNazanin" w:hAnsi="IRNazanin" w:eastAsia="IRNazanin" w:cs="IRNazanin"/>
          <w:lang w:bidi="fa-IR"/>
          <w:color w:val="111111"/>
          <w:sz w:val="28"/>
          <w:szCs w:val="28"/>
          <w:rtl/>
        </w:rPr>
        <w:t xml:space="preserve">آغاز: به  نام آنکه جان را نور دین داد*** خرد را در خدا دانی يقين داد / خداوندی که عالم نامور ز اوست *** زمین و آسمان  زیر و زبر زوست</w:t>
      </w:r>
    </w:p>
    <w:p>
      <w:pPr>
        <w:pStyle w:val="BookText"/>
      </w:pPr>
      <w:r>
        <w:rPr>
          <w:rFonts w:ascii="IRNazanin" w:hAnsi="IRNazanin" w:eastAsia="IRNazanin" w:cs="IRNazanin"/>
          <w:lang w:bidi="fa-IR"/>
          <w:color w:val="111111"/>
          <w:sz w:val="28"/>
          <w:szCs w:val="28"/>
          <w:rtl/>
        </w:rPr>
        <w:t xml:space="preserve">انجام: سخن با درد تر این کس نگفتست *** کزین هر بیت خونین می چکیدست</w:t>
      </w:r>
    </w:p>
    <w:p>
      <w:pPr>
        <w:pStyle w:val="BookText"/>
      </w:pPr>
      <w:r>
        <w:rPr>
          <w:rFonts w:ascii="IRNazanin" w:hAnsi="IRNazanin" w:eastAsia="IRNazanin" w:cs="IRNazanin"/>
          <w:lang w:bidi="fa-IR"/>
          <w:color w:val="111111"/>
          <w:sz w:val="28"/>
          <w:szCs w:val="28"/>
          <w:rtl/>
        </w:rPr>
        <w:t xml:space="preserve">چاپ: چاپ چهارم ،۱۳۳۸ ،سربی با تحقیق صادق گوهری؛ تهران ،سنگی ،۱۲۹۸ وزیری کوجک، ۲۴۰ص</w:t>
      </w:r>
    </w:p>
    <w:p>
      <w:pPr>
        <w:pStyle w:val="BookText"/>
      </w:pPr>
      <w:r>
        <w:rPr>
          <w:rFonts w:ascii="IRNazanin" w:hAnsi="IRNazanin" w:eastAsia="IRNazanin" w:cs="IRNazanin"/>
          <w:lang w:bidi="fa-IR"/>
          <w:color w:val="111111"/>
          <w:sz w:val="28"/>
          <w:szCs w:val="28"/>
          <w:rtl/>
        </w:rPr>
        <w:t xml:space="preserve">[ نسخه های منزوی ۲۶۲۸/۴ (نشانی ۵۲ نسخه)؛ الذريعة ۶/۲ و ۱۱۴/۱۹ و ۵۶/۲؛ مشترک پاکستان ۱۶۵/۷( نشانی ۲۳ نسخه)؛مشار فارسی ۲۹۹/۱ نشانی  3چ؛ فهرستواره منزوی ۱۴۶/۱۰؛ دنا ۷۹۰/۱ - ۵۶۷۹۲ نسخه]</w:t>
      </w:r>
    </w:p>
    <w:p>
      <w:pPr>
        <w:pStyle w:val="BookText"/>
      </w:pPr>
      <w:r>
        <w:rPr>
          <w:rFonts w:ascii="IRNazanin" w:hAnsi="IRNazanin" w:eastAsia="IRNazanin" w:cs="IRNazanin"/>
          <w:lang w:bidi="fa-IR"/>
          <w:color w:val="111111"/>
          <w:sz w:val="28"/>
          <w:szCs w:val="28"/>
          <w:rtl/>
        </w:rPr>
        <w:t xml:space="preserve">١. تهران؛ دانشگاه؛ شماره نسخه: ۳۱۲/۲-ف</w:t>
      </w:r>
    </w:p>
    <w:p>
      <w:pPr>
        <w:pStyle w:val="BookText"/>
      </w:pPr>
      <w:r>
        <w:rPr>
          <w:rFonts w:ascii="IRNazanin" w:hAnsi="IRNazanin" w:eastAsia="IRNazanin" w:cs="IRNazanin"/>
          <w:lang w:bidi="fa-IR"/>
          <w:color w:val="111111"/>
          <w:sz w:val="28"/>
          <w:szCs w:val="28"/>
          <w:rtl/>
        </w:rPr>
        <w:t xml:space="preserve">موزه قونیه ش ۱۷۳۴؛ خط: نسخ، بی کا، تا: ۱۹ رجب ۶۹۵ق؛ ۷۴گ (۱۰۳-۱۷۶)، ۲۵ سطر [ فیلم ها-ف: ۱ - ۱۶۷]</w:t>
      </w:r>
    </w:p>
    <w:p>
      <w:pPr>
        <w:pStyle w:val="BookText"/>
      </w:pPr>
      <w:r>
        <w:rPr>
          <w:rFonts w:ascii="IRNazanin" w:hAnsi="IRNazanin" w:eastAsia="IRNazanin" w:cs="IRNazanin"/>
          <w:lang w:bidi="fa-IR"/>
          <w:color w:val="111111"/>
          <w:sz w:val="28"/>
          <w:szCs w:val="28"/>
          <w:rtl/>
        </w:rPr>
        <w:t xml:space="preserve">۲. تهران؛ دانشگاه؛ شماره نسخه: ۳۱۳/۲-ف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نسخه اصل: موزه قونیه ۱۷۴۱؛ خط: نسخ، کا: ابراهيم بن عوض مراغی، تا: ۵ ذیحجه ۶۹۸ق، ۲۴ سطر [فیلم ها-ف: ۱ - ۱۶۷]</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قم ؛گلپایگانی؛ شماره نسخه: ۴۷۵۳/۵-۲۴/۵۳</w:t>
      </w:r>
    </w:p>
    <w:p>
      <w:pPr>
        <w:pStyle w:val="BookText"/>
      </w:pPr>
      <w:r>
        <w:rPr>
          <w:rFonts w:ascii="IRNazanin" w:hAnsi="IRNazanin" w:eastAsia="IRNazanin" w:cs="IRNazanin"/>
          <w:lang w:bidi="fa-IR"/>
          <w:color w:val="111111"/>
          <w:sz w:val="28"/>
          <w:szCs w:val="28"/>
          <w:rtl/>
        </w:rPr>
        <w:t xml:space="preserve">آغاز: دلایک دم رها کن آب و گل را *** صلاح عشق در دل/ زنور عشق شمع جان برافروز *** زبور عشق از جانان درآمـوز؛</w:t>
      </w:r>
    </w:p>
    <w:p>
      <w:pPr>
        <w:pStyle w:val="BookText"/>
      </w:pPr>
      <w:r>
        <w:rPr>
          <w:rFonts w:ascii="IRNazanin" w:hAnsi="IRNazanin" w:eastAsia="IRNazanin" w:cs="IRNazanin"/>
          <w:lang w:bidi="fa-IR"/>
          <w:color w:val="111111"/>
          <w:sz w:val="28"/>
          <w:szCs w:val="28"/>
          <w:rtl/>
        </w:rPr>
        <w:t xml:space="preserve">انجام: همه ذرات عالم در تکاپوی *** نبیند یک نفس جز در روش روی / همه در گردشند و در روش مست *** توبی چشمی و در تو این روش هست</w:t>
      </w:r>
    </w:p>
    <w:p>
      <w:pPr>
        <w:pStyle w:val="BookText"/>
      </w:pPr>
      <w:r>
        <w:rPr>
          <w:rFonts w:ascii="IRNazanin" w:hAnsi="IRNazanin" w:eastAsia="IRNazanin" w:cs="IRNazanin"/>
          <w:lang w:bidi="fa-IR"/>
          <w:color w:val="111111"/>
          <w:sz w:val="28"/>
          <w:szCs w:val="28"/>
          <w:rtl/>
        </w:rPr>
        <w:t xml:space="preserve">بخشی از آغاز کتاب؛ خط: نسخ، بی کا، تا: قرن ۸ ؛جلد: تیماج مشکی ، ۲گ (۹۴پ-۹۵پ)، ۲۷ سطر، اندازه: 9</w:t>
      </w:r>
      <w:r>
        <w:rPr>
          <w:rFonts w:ascii="Times New Roman" w:hAnsi="Times New Roman" w:eastAsia="Times New Roman" w:cs="Times New Roman"/>
          <w:lang w:val="en-US" w:bidi="en-US"/>
          <w:color w:val="111111"/>
          <w:sz w:val="28"/>
          <w:szCs w:val="28"/>
          <w:rtl/>
        </w:rPr>
        <w:t xml:space="preserve">×24</w:t>
      </w:r>
      <w:r>
        <w:rPr>
          <w:rFonts w:ascii="IRNazanin" w:hAnsi="IRNazanin" w:eastAsia="IRNazanin" w:cs="IRNazanin"/>
          <w:lang w:bidi="fa-IR"/>
          <w:color w:val="111111"/>
          <w:sz w:val="28"/>
          <w:szCs w:val="28"/>
          <w:rtl/>
        </w:rPr>
        <w:t xml:space="preserve">سم [ف:1- 352]</w:t>
      </w:r>
    </w:p>
    <w:p>
      <w:pPr>
        <w:pStyle w:val="BookText"/>
      </w:pPr>
      <w:r>
        <w:rPr>
          <w:rFonts w:ascii="IRNazanin" w:hAnsi="IRNazanin" w:eastAsia="IRNazanin" w:cs="IRNazanin"/>
          <w:lang w:bidi="fa-IR"/>
          <w:color w:val="111111"/>
          <w:sz w:val="28"/>
          <w:szCs w:val="28"/>
          <w:rtl/>
        </w:rPr>
        <w:t xml:space="preserve">۴. تهران؛ سلطنتی؛ شماره نسخه: ۲۷۰/۲</w:t>
      </w:r>
    </w:p>
    <w:p>
      <w:pPr>
        <w:pStyle w:val="BookText"/>
      </w:pPr>
      <w:r>
        <w:rPr>
          <w:rFonts w:ascii="IRNazanin" w:hAnsi="IRNazanin" w:eastAsia="IRNazanin" w:cs="IRNazanin"/>
          <w:lang w:bidi="fa-IR"/>
          <w:color w:val="111111"/>
          <w:sz w:val="28"/>
          <w:szCs w:val="28"/>
          <w:rtl/>
        </w:rPr>
        <w:t xml:space="preserve">آغاز: برابر؛ انجام: سخن با دردتر زین کس ندیدست ***کزین هر بیت خونی می چکیدست. تمت الكتاب اسرار نامه بتوفيق عز اسمه و الله اعلم بالصواب من کلامه برد الله مضجعه. بهر کار تخـت تو فیروز باد ***همه روزگار تو نوروز باد</w:t>
      </w:r>
    </w:p>
    <w:p>
      <w:pPr>
        <w:pStyle w:val="BookText"/>
      </w:pPr>
      <w:r>
        <w:rPr>
          <w:rFonts w:ascii="IRNazanin" w:hAnsi="IRNazanin" w:eastAsia="IRNazanin" w:cs="IRNazanin"/>
          <w:lang w:bidi="fa-IR"/>
          <w:color w:val="111111"/>
          <w:sz w:val="28"/>
          <w:szCs w:val="28"/>
          <w:rtl/>
        </w:rPr>
        <w:t xml:space="preserve">خط: نسخ  تحریری، کا: ابوبكر بن على بن محمد اسفراینی معروف به باکان (پاکان)، تا: ۷۳۱ق؛ در ذیل صفحه آخر چـنین رقم رفته است «پوشیده نماند که این کتاب سیصد و یازده ورق است هر ورقی ۱۰۸ بیت که مجموع ۳۳۵۰۰ بیت می باشد ... یـک جمله محذوف و محو گردیده است پنج هزار و بیست و پنج دینار می شود کاغذ و جلد و جدول تذهیب هیچ یک در حساب نیامده است» همچنین رقم دیگر «ابن حسین خان این کتاب را فقیر حـقیر حاجی قطب الدین به نواب سیادت پناه خداوندی ام قربت نمودم که در کتابخانه ایشان بیادگاری باشد بشرط آنکه بکسی نبخشد که بنده به آن راضی نیستم و بهل نمی کنم»، مجدول، دارای کتیبه ،مهر: حسین بن هدایت الله، محمد رضا الحسيني، مشیر السلطنه مورخ به تاریخ ۱۳۲۲؛ کاغذ: بخارائی، جلد: مقوای روکش چرم  مشکی، قطع: رحلی،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۳۵/۵سم [ ف : ۴  - 801]</w:t>
      </w:r>
    </w:p>
    <w:p>
      <w:pPr>
        <w:pStyle w:val="BookText"/>
      </w:pPr>
      <w:r>
        <w:rPr>
          <w:rFonts w:ascii="IRNazanin" w:hAnsi="IRNazanin" w:eastAsia="IRNazanin" w:cs="IRNazanin"/>
          <w:lang w:bidi="fa-IR"/>
          <w:color w:val="111111"/>
          <w:sz w:val="28"/>
          <w:szCs w:val="28"/>
          <w:rtl/>
        </w:rPr>
        <w:t xml:space="preserve">تهران؛ دانشگاه؛ شماره نسخه: ۱۳۸۰/۴-ف</w:t>
      </w:r>
    </w:p>
    <w:p>
      <w:pPr>
        <w:pStyle w:val="BookText"/>
      </w:pPr>
      <w:r>
        <w:rPr>
          <w:rFonts w:ascii="IRNazanin" w:hAnsi="IRNazanin" w:eastAsia="IRNazanin" w:cs="IRNazanin"/>
          <w:lang w:bidi="fa-IR"/>
          <w:color w:val="111111"/>
          <w:sz w:val="28"/>
          <w:szCs w:val="28"/>
          <w:rtl/>
        </w:rPr>
        <w:t xml:space="preserve">نسخه اصل: همان نسخه بالا [ فیلم ها-ف: ۱ - ۱۶۷]</w:t>
      </w:r>
    </w:p>
    <w:p>
      <w:pPr>
        <w:pStyle w:val="BookText"/>
      </w:pPr>
      <w:r>
        <w:rPr>
          <w:rFonts w:ascii="IRNazanin" w:hAnsi="IRNazanin" w:eastAsia="IRNazanin" w:cs="IRNazanin"/>
          <w:lang w:bidi="fa-IR"/>
          <w:color w:val="111111"/>
          <w:sz w:val="28"/>
          <w:szCs w:val="28"/>
          <w:rtl/>
        </w:rPr>
        <w:t xml:space="preserve">۵. تهران؛ دانشگاه؛ شماره نسخه: ۵۵۴-ف</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نسخه اصل: حالت افندی ملحقی ش ۵۶؛ خط: نسخ،کا:خواجه عمر بن احمد شاه  قونوی، تا: ۲۳ ذیحجه ۷۵۳ق ؛ ۸۲گ، ۲۳ سـطر[ فیلم ها-ف: ١ - ١٠]</w:t>
      </w:r>
    </w:p>
    <w:p>
      <w:pPr>
        <w:pStyle w:val="BookText"/>
      </w:pPr>
      <w:r>
        <w:rPr>
          <w:rFonts w:ascii="IRNazanin" w:hAnsi="IRNazanin" w:eastAsia="IRNazanin" w:cs="IRNazanin"/>
          <w:lang w:bidi="fa-IR"/>
          <w:color w:val="111111"/>
          <w:sz w:val="28"/>
          <w:szCs w:val="28"/>
          <w:rtl/>
        </w:rPr>
        <w:t xml:space="preserve">۶. قم؛ مرعشی؛ شماره نسخه: ۱۲۶۰۵/۴</w:t>
      </w:r>
    </w:p>
    <w:p>
      <w:pPr>
        <w:pStyle w:val="BookText"/>
      </w:pPr>
      <w:r>
        <w:rPr>
          <w:rFonts w:ascii="IRNazanin" w:hAnsi="IRNazanin" w:eastAsia="IRNazanin" w:cs="IRNazanin"/>
          <w:lang w:bidi="fa-IR"/>
          <w:color w:val="111111"/>
          <w:sz w:val="28"/>
          <w:szCs w:val="28"/>
          <w:rtl/>
        </w:rPr>
        <w:t xml:space="preserve">آغاز: نه آگاهی ازین کس مملکت را*** نه جن وانس و شیطاه و ملک را ... (آغاز بخش دیگر:) الا ای مهره باز حقه پرداز *** نقـاب از لعبت معنی برانداز؛ انجام: بر او بیند بعالم یارنامه *** که بر تو ختم شد اسرار نامه</w:t>
      </w:r>
    </w:p>
    <w:p>
      <w:pPr>
        <w:pStyle w:val="BookText"/>
      </w:pPr>
      <w:r>
        <w:rPr>
          <w:rFonts w:ascii="IRNazanin" w:hAnsi="IRNazanin" w:eastAsia="IRNazanin" w:cs="IRNazanin"/>
          <w:lang w:bidi="fa-IR"/>
          <w:color w:val="111111"/>
          <w:sz w:val="28"/>
          <w:szCs w:val="28"/>
          <w:rtl/>
        </w:rPr>
        <w:t xml:space="preserve">گزیده ای است از مجموعه مثنوی اسرارنامه عطار نیشابوری که بخش موجود از «قصه طوطی و حکیم هندی» به صورت گزیده آغاز گردیده و در آغاز مقاله ۲۲ پایان می پذیرد؛ خط: نستعلیق، بی کا، تا: نیمه قرن ۹ ؛افتادگی: آغاز؛ مصحح، رکابه دار، نام کاتب به قرینه رساله های قبلی پیر حاجی بن...  است؛ کاغذ:  شرقی، 8برگ، ۱۴۸-۱۵۵، ۲۲ سطر (۵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 اندازه: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۳۲-۲۲]</w:t>
      </w:r>
    </w:p>
    <w:p>
      <w:pPr>
        <w:pStyle w:val="BookText"/>
      </w:pPr>
      <w:r>
        <w:rPr>
          <w:rFonts w:ascii="Amiri" w:hAnsi="Amiri" w:eastAsia="Amiri" w:cs="Amiri"/>
          <w:lang w:bidi="ar-SA"/>
          <w:color w:val="111111"/>
          <w:sz w:val="28"/>
          <w:szCs w:val="28"/>
          <w:rtl/>
        </w:rPr>
        <w:t xml:space="preserve">۷. تهران؛ دائرة المعارف؛ شماره نسخه: ۹۵۱/۷</w:t>
      </w:r>
    </w:p>
    <w:p>
      <w:pPr>
        <w:pStyle w:val="BookText"/>
      </w:pPr>
      <w:r>
        <w:rPr>
          <w:rFonts w:ascii="IRNazanin" w:hAnsi="IRNazanin" w:eastAsia="IRNazanin" w:cs="IRNazanin"/>
          <w:lang w:bidi="fa-IR"/>
          <w:color w:val="111111"/>
          <w:sz w:val="28"/>
          <w:szCs w:val="28"/>
          <w:rtl/>
        </w:rPr>
        <w:t xml:space="preserve">آغاز: برابر؛ انجام: شب معرج و اترک نفسک این است</w:t>
      </w:r>
    </w:p>
    <w:p>
      <w:pPr>
        <w:pStyle w:val="BookText"/>
      </w:pPr>
      <w:r>
        <w:rPr>
          <w:rFonts w:ascii="IRNazanin" w:hAnsi="IRNazanin" w:eastAsia="IRNazanin" w:cs="IRNazanin"/>
          <w:lang w:bidi="fa-IR"/>
          <w:color w:val="111111"/>
          <w:sz w:val="28"/>
          <w:szCs w:val="28"/>
          <w:rtl/>
        </w:rPr>
        <w:t xml:space="preserve">خط: نستعلیق  پخته، بی کا، تا: با تاریخ های ۸۳۸، ۸۳۹ و ۸۴۲ق؛ افتادگی: انجام؛ نسخه تنها سربندهای «الحكاية» را دارد؛ ۴۵گ (۶۴۴پ-۶۰۰ پ)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۲ - ۱۵]</w:t>
      </w:r>
    </w:p>
    <w:p>
      <w:pPr>
        <w:pStyle w:val="BookText"/>
      </w:pPr>
      <w:r>
        <w:rPr>
          <w:rFonts w:ascii="IRNazanin" w:hAnsi="IRNazanin" w:eastAsia="IRNazanin" w:cs="IRNazanin"/>
          <w:lang w:bidi="fa-IR"/>
          <w:color w:val="111111"/>
          <w:sz w:val="28"/>
          <w:szCs w:val="28"/>
          <w:rtl/>
        </w:rPr>
        <w:t xml:space="preserve">۸. تهران؛ مفتاح؛ شماره نسخه: ۶۲۶/۲</w:t>
      </w:r>
    </w:p>
    <w:p>
      <w:pPr>
        <w:pStyle w:val="BookText"/>
      </w:pPr>
      <w:r>
        <w:rPr>
          <w:rFonts w:ascii="IRNazanin" w:hAnsi="IRNazanin" w:eastAsia="IRNazanin" w:cs="IRNazanin"/>
          <w:lang w:bidi="fa-IR"/>
          <w:color w:val="111111"/>
          <w:sz w:val="28"/>
          <w:szCs w:val="28"/>
          <w:rtl/>
        </w:rPr>
        <w:t xml:space="preserve">خط: نستعلیق، بی کا، تا: قرن ۹ [ نشریه: ۷ - ۲۱۱]</w:t>
      </w:r>
    </w:p>
    <w:p>
      <w:pPr>
        <w:pStyle w:val="BookText"/>
      </w:pPr>
      <w:r>
        <w:rPr>
          <w:rFonts w:ascii="IRNazanin" w:hAnsi="IRNazanin" w:eastAsia="IRNazanin" w:cs="IRNazanin"/>
          <w:lang w:bidi="fa-IR"/>
          <w:color w:val="111111"/>
          <w:sz w:val="28"/>
          <w:szCs w:val="28"/>
          <w:rtl/>
        </w:rPr>
        <w:t xml:space="preserve">۹. قم؛ مرعشی؛ شماره نسخه: ۱۲۴۲۸/۹</w:t>
      </w:r>
    </w:p>
    <w:p>
      <w:pPr>
        <w:pStyle w:val="BookText"/>
      </w:pPr>
      <w:r>
        <w:rPr>
          <w:rFonts w:ascii="IRNazanin" w:hAnsi="IRNazanin" w:eastAsia="IRNazanin" w:cs="IRNazanin"/>
          <w:lang w:bidi="fa-IR"/>
          <w:color w:val="111111"/>
          <w:sz w:val="28"/>
          <w:szCs w:val="28"/>
          <w:rtl/>
        </w:rPr>
        <w:t xml:space="preserve">آغاز: بشب حلاج را دیدند در خواب *** بریده سر بکف بر جام جلاب؛ انجام: کاشکی مستی زبانی داشتی *** تازمستان  پرده را برداشتی</w:t>
      </w:r>
    </w:p>
    <w:p>
      <w:pPr>
        <w:pStyle w:val="BookText"/>
      </w:pPr>
      <w:r>
        <w:rPr>
          <w:rFonts w:ascii="IRNazanin" w:hAnsi="IRNazanin" w:eastAsia="IRNazanin" w:cs="IRNazanin"/>
          <w:lang w:bidi="fa-IR"/>
          <w:color w:val="111111"/>
          <w:sz w:val="28"/>
          <w:szCs w:val="28"/>
          <w:rtl/>
        </w:rPr>
        <w:t xml:space="preserve">چند قعطه از مثنویات اسرارنامه «عطار نیشابوری» است که گویا از سوی خطاط نستعلیق ماهری، گزیده و کتابت شده است؛ خط: نستعلیق ،زیبا، بی کا، تا: قرن ۹؛ کاغذ  شرقی، ۴گ (۳۹-۴۲)، ۲۴  سطر، اندازه: 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۱۲/۵سم [ف: ۳۱ - ۴۰۳]</w:t>
      </w:r>
    </w:p>
    <w:p>
      <w:pPr>
        <w:pStyle w:val="BookText"/>
      </w:pPr>
      <w:r>
        <w:rPr>
          <w:rFonts w:ascii="IRNazanin" w:hAnsi="IRNazanin" w:eastAsia="IRNazanin" w:cs="IRNazanin"/>
          <w:lang w:bidi="fa-IR"/>
          <w:color w:val="111111"/>
          <w:sz w:val="28"/>
          <w:szCs w:val="28"/>
          <w:rtl/>
        </w:rPr>
        <w:t xml:space="preserve">۱۰. تهران؛ مجلس؛ شماره نسخه: ۲۶۵۹/۲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کهن، بی کا، تا: قرن ۹؛ کاغذ: سمرقندی، جلد: تیماج  قرمز، ۴۱۸گ،(۴۱۸-۱)، ۳۰ نیم سطر (۹/۵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۱۸/۵سم [ف: ۸ - ۴۰۶]</w:t>
      </w:r>
    </w:p>
    <w:p>
      <w:pPr>
        <w:pStyle w:val="BookText"/>
      </w:pPr>
      <w:r>
        <w:rPr>
          <w:rFonts w:ascii="IRNazanin" w:hAnsi="IRNazanin" w:eastAsia="IRNazanin" w:cs="IRNazanin"/>
          <w:lang w:bidi="fa-IR"/>
          <w:color w:val="111111"/>
          <w:sz w:val="28"/>
          <w:szCs w:val="28"/>
          <w:rtl/>
        </w:rPr>
        <w:t xml:space="preserve">۱۱. تهران؛ ملک؛ شماره نسخه: ۵۹۷۴/۵</w:t>
      </w:r>
    </w:p>
    <w:p>
      <w:pPr>
        <w:pStyle w:val="BookText"/>
      </w:pPr>
      <w:r>
        <w:rPr>
          <w:rFonts w:ascii="IRNazanin" w:hAnsi="IRNazanin" w:eastAsia="IRNazanin" w:cs="IRNazanin"/>
          <w:lang w:bidi="fa-IR"/>
          <w:color w:val="111111"/>
          <w:sz w:val="28"/>
          <w:szCs w:val="28"/>
          <w:rtl/>
        </w:rPr>
        <w:t xml:space="preserve">انجام: برابر</w:t>
      </w:r>
    </w:p>
    <w:p>
      <w:pPr>
        <w:pStyle w:val="BookText"/>
      </w:pPr>
      <w:r>
        <w:rPr>
          <w:rFonts w:ascii="IRNazanin" w:hAnsi="IRNazanin" w:eastAsia="IRNazanin" w:cs="IRNazanin"/>
          <w:lang w:bidi="fa-IR"/>
          <w:color w:val="111111"/>
          <w:sz w:val="28"/>
          <w:szCs w:val="28"/>
          <w:rtl/>
        </w:rPr>
        <w:t xml:space="preserve">خط: نستعليق، كا: عبد القادر بن علی بن محمد بدر استرآبادی، تا: رجب ۸۰۹ق؛ صفحات زرین ،کاغذ ،ترمه ،جلد: میشن آلبالویی سیر ضربی شکسته، ۳۱گ (۴۴ر-۷۴ پ)، ۲۱ سطر، اندازه: ۱۸/۵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۳۶/۲سم [ف: ۹ - ۱۱۶]</w:t>
      </w:r>
    </w:p>
    <w:p>
      <w:pPr>
        <w:pStyle w:val="BookText"/>
      </w:pPr>
      <w:r>
        <w:rPr>
          <w:rFonts w:ascii="IRNazanin" w:hAnsi="IRNazanin" w:eastAsia="IRNazanin" w:cs="IRNazanin"/>
          <w:lang w:bidi="fa-IR"/>
          <w:color w:val="111111"/>
          <w:sz w:val="28"/>
          <w:szCs w:val="28"/>
          <w:rtl/>
        </w:rPr>
        <w:t xml:space="preserve">۱۲. قم؛ مرکز احیاء؛ شماره نسخه: ۱۲۰۵/۴</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نسخه اصل: کتابخانه ایاصوفیا، استانبول  ترکیه، ش ۴۷۹۲؛ خط: نسخ و ثلث؛ کا: اسعد بن احمد بن محمد کاتب، تا: با تاریخ ۸۱۵ ق؛ ۱۵۱ ص (۳۲۶-۴۷۶) حاشیه ) [عکسی ف: ۴ - ۱۲]</w:t>
      </w:r>
    </w:p>
    <w:p>
      <w:pPr>
        <w:pStyle w:val="BookText"/>
      </w:pPr>
      <w:r>
        <w:rPr>
          <w:rFonts w:ascii="IRNazanin" w:hAnsi="IRNazanin" w:eastAsia="IRNazanin" w:cs="IRNazanin"/>
          <w:lang w:bidi="fa-IR"/>
          <w:color w:val="111111"/>
          <w:sz w:val="28"/>
          <w:szCs w:val="28"/>
          <w:rtl/>
        </w:rPr>
        <w:t xml:space="preserve">تهران ؛دانشگاه؛ شماره نسخه: ۱/۲۸-عکس</w:t>
      </w:r>
    </w:p>
    <w:p>
      <w:pPr>
        <w:pStyle w:val="BookText"/>
      </w:pPr>
      <w:r>
        <w:rPr>
          <w:rFonts w:ascii="Amiri" w:hAnsi="Amiri" w:eastAsia="Amiri" w:cs="Amiri"/>
          <w:lang w:bidi="ar-SA"/>
          <w:color w:val="111111"/>
          <w:sz w:val="28"/>
          <w:szCs w:val="28"/>
          <w:rtl/>
        </w:rPr>
        <w:t xml:space="preserve">نسخه اصل: همان نسخه بالا [ فيلم ها -ف: ٣ - ۲۱٧]</w:t>
      </w:r>
    </w:p>
    <w:p>
      <w:pPr>
        <w:pStyle w:val="BookText"/>
      </w:pPr>
      <w:r>
        <w:rPr>
          <w:rFonts w:ascii="IRNazanin" w:hAnsi="IRNazanin" w:eastAsia="IRNazanin" w:cs="IRNazanin"/>
          <w:lang w:bidi="fa-IR"/>
          <w:color w:val="111111"/>
          <w:sz w:val="28"/>
          <w:szCs w:val="28"/>
          <w:rtl/>
        </w:rPr>
        <w:t xml:space="preserve">۱۳. تهران؛ ملک؛ شماره نسخه: ۵۹۵۵/۱</w:t>
      </w:r>
    </w:p>
    <w:p>
      <w:pPr>
        <w:pStyle w:val="BookText"/>
      </w:pPr>
      <w:r>
        <w:rPr>
          <w:rFonts w:ascii="IRNazanin" w:hAnsi="IRNazanin" w:eastAsia="IRNazanin" w:cs="IRNazanin"/>
          <w:lang w:bidi="fa-IR"/>
          <w:color w:val="111111"/>
          <w:sz w:val="28"/>
          <w:szCs w:val="28"/>
          <w:rtl/>
        </w:rPr>
        <w:t xml:space="preserve">خط: نسخ، بی کا، تا: ۸۱۹ق کاغذ: ترمه سمرقندی، جلد: میشن قهوه ای ،مغزیدار ۲۵ سطر [ف ۹ - ۱۱۱]</w:t>
      </w:r>
    </w:p>
    <w:p>
      <w:pPr>
        <w:pStyle w:val="BookText"/>
      </w:pPr>
      <w:r>
        <w:rPr>
          <w:rFonts w:ascii="IRNazanin" w:hAnsi="IRNazanin" w:eastAsia="IRNazanin" w:cs="IRNazanin"/>
          <w:lang w:bidi="fa-IR"/>
          <w:color w:val="111111"/>
          <w:sz w:val="28"/>
          <w:szCs w:val="28"/>
          <w:rtl/>
        </w:rPr>
        <w:t xml:space="preserve">۱۴. تهران؛ دانشگاه؛ شماره نسخه: ۱۰۴/۱۲-ف</w:t>
      </w:r>
    </w:p>
    <w:p>
      <w:pPr>
        <w:pStyle w:val="BookText"/>
      </w:pPr>
      <w:r>
        <w:rPr>
          <w:rFonts w:ascii="IRNazanin" w:hAnsi="IRNazanin" w:eastAsia="IRNazanin" w:cs="IRNazanin"/>
          <w:lang w:bidi="fa-IR"/>
          <w:color w:val="111111"/>
          <w:sz w:val="28"/>
          <w:szCs w:val="28"/>
          <w:rtl/>
        </w:rPr>
        <w:t xml:space="preserve">نسخه اصل: عاطف افندی ش ۲۲۴۱ ؛خط: نستعلیق، بی کا، تا: چهارشنبه ۴ ذیقعده ۸۲۸ق؛ افتادگی: انجام؛ ۶۲ گ (۲۷۲-۳۳۳)، ۲۳ سطر [ فیلم ها-ف: ۱ - ۴۰۹]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۱۵. تهران؛ ملک؛ شماره نسخه: ۴۷۵۷/۱</w:t>
      </w:r>
    </w:p>
    <w:p>
      <w:pPr>
        <w:pStyle w:val="BookText"/>
      </w:pPr>
      <w:r>
        <w:rPr>
          <w:rFonts w:ascii="IRNazanin" w:hAnsi="IRNazanin" w:eastAsia="IRNazanin" w:cs="IRNazanin"/>
          <w:lang w:bidi="fa-IR"/>
          <w:color w:val="111111"/>
          <w:sz w:val="28"/>
          <w:szCs w:val="28"/>
          <w:rtl/>
        </w:rPr>
        <w:t xml:space="preserve">خط: نستعليق؛ كا: عمر بن بایزید بن عمر بن شرف الدین هر ابيالی ؛تا: سه شنبه جمادی الاول ۸۳۴قريال كاغذ: سمرقندی ،جلد: میشن يشمى ،ضربی ۱۵ سطر ،اندازه: ۲۰/۶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۲۸سم [ف: ۸ - ۸۱]</w:t>
      </w:r>
    </w:p>
    <w:p>
      <w:pPr>
        <w:pStyle w:val="BookText"/>
      </w:pPr>
      <w:r>
        <w:rPr>
          <w:rFonts w:ascii="IRNazanin" w:hAnsi="IRNazanin" w:eastAsia="IRNazanin" w:cs="IRNazanin"/>
          <w:lang w:bidi="fa-IR"/>
          <w:color w:val="111111"/>
          <w:sz w:val="28"/>
          <w:szCs w:val="28"/>
          <w:rtl/>
        </w:rPr>
        <w:t xml:space="preserve">۱۶. تهران؛ مجلس؛ شماره نسخه: ۲۶۵۶/۷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۲۱۷۰ بیت؛ خط: ثلث شکسته، بی کا، تا: ۸۳۴ق؛ کاغذ: سمرقندی، جلد: تیماج سیاه، ۱۳۶گ (1- 136 حاشیه)، ۳۲  نیم سطر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 سم [ف: ۸ - ۴۰۰]</w:t>
      </w:r>
    </w:p>
    <w:p>
      <w:pPr>
        <w:pStyle w:val="BookText"/>
      </w:pPr>
      <w:r>
        <w:rPr>
          <w:rFonts w:ascii="IRNazanin" w:hAnsi="IRNazanin" w:eastAsia="IRNazanin" w:cs="IRNazanin"/>
          <w:lang w:bidi="fa-IR"/>
          <w:color w:val="111111"/>
          <w:sz w:val="28"/>
          <w:szCs w:val="28"/>
          <w:rtl/>
        </w:rPr>
        <w:t xml:space="preserve">۱۷. تهران؛ دانشگاه؛ شماره نسخه: ۲۷۰۷/۶-ف</w:t>
      </w:r>
    </w:p>
    <w:p>
      <w:pPr>
        <w:pStyle w:val="BookText"/>
      </w:pPr>
      <w:r>
        <w:rPr>
          <w:rFonts w:ascii="IRNazanin" w:hAnsi="IRNazanin" w:eastAsia="IRNazanin" w:cs="IRNazanin"/>
          <w:lang w:bidi="fa-IR"/>
          <w:color w:val="111111"/>
          <w:sz w:val="28"/>
          <w:szCs w:val="28"/>
          <w:rtl/>
        </w:rPr>
        <w:t xml:space="preserve">نسخه  اصل: دارالکتب المصرية ش ۲۳ تصوف فارسی؛ خط: نسـخ، کا: بایزید ابراهیم  تبریزی، تا: ۸۵۱ق؛ ۳۵ سطر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 فیلم ها- ف: ۱ - ۷۲۱]</w:t>
      </w:r>
    </w:p>
    <w:p>
      <w:pPr>
        <w:pStyle w:val="BookText"/>
      </w:pPr>
      <w:r>
        <w:rPr>
          <w:rFonts w:ascii="IRNazanin" w:hAnsi="IRNazanin" w:eastAsia="IRNazanin" w:cs="IRNazanin"/>
          <w:lang w:bidi="fa-IR"/>
          <w:color w:val="111111"/>
          <w:sz w:val="28"/>
          <w:szCs w:val="28"/>
          <w:rtl/>
        </w:rPr>
        <w:t xml:space="preserve">۱۸. تهران؛ ملک؛ شماره نسخه:۴۶۲۷/۵</w:t>
      </w:r>
    </w:p>
    <w:p>
      <w:pPr>
        <w:pStyle w:val="BookText"/>
      </w:pPr>
      <w:r>
        <w:rPr>
          <w:rFonts w:ascii="IRNazanin" w:hAnsi="IRNazanin" w:eastAsia="IRNazanin" w:cs="IRNazanin"/>
          <w:lang w:bidi="fa-IR"/>
          <w:color w:val="111111"/>
          <w:sz w:val="28"/>
          <w:szCs w:val="28"/>
          <w:rtl/>
        </w:rPr>
        <w:t xml:space="preserve">خط: نستعلیق، کا :حاجی حسن بن سلغر بن حاجی حسن شریف ؛تا: ۵ ربیع الاول ۸۶۰ق؛ مجدول و ستون بندی، جلد: میشن سـیاه،۳۶ سطر،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۲۲/۵سم [ف: ۷ - ۴۴۲]</w:t>
      </w:r>
    </w:p>
    <w:p>
      <w:pPr>
        <w:pStyle w:val="BookText"/>
      </w:pPr>
      <w:r>
        <w:rPr>
          <w:rFonts w:ascii="IRNazanin" w:hAnsi="IRNazanin" w:eastAsia="IRNazanin" w:cs="IRNazanin"/>
          <w:lang w:bidi="fa-IR"/>
          <w:color w:val="111111"/>
          <w:sz w:val="28"/>
          <w:szCs w:val="28"/>
          <w:rtl/>
        </w:rPr>
        <w:t xml:space="preserve">۱۹. تهران؛ سلطنتی؛ شماره نسخه: ۲۱۵۳/۴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خوب، بی کا، تا: ۸۸۰ق این نسخه به سال های 1282 و ۱۳۲۲ به ترتیب از عرض  گذشته ،مجدول، مذهب، با سرترنج   مذهب مرصع؛ با پنج سرلوح عالی مذهب مرصع، دارای کـتیبه مذهب؛ تملک: کتابخانه امیر اصلان خان با مهر به تاریخ جمادی الثانی ۱۲۶۶؛ مهر: ناصرالدین شاه قاجار؛ کاغذ: دولت آبادی ،جلد: تیماج قهوه ای سوخته زمینه طلایی متن نقش زرین اسلیمی بسیار عالی لولادار، قطع: وزیری حجیم،اندازه: ۱۶/۸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۲۶سم  [ف: 4- 794]</w:t>
      </w:r>
    </w:p>
    <w:p>
      <w:pPr>
        <w:pStyle w:val="BookText"/>
      </w:pPr>
      <w:r>
        <w:rPr>
          <w:rFonts w:ascii="IRNazanin" w:hAnsi="IRNazanin" w:eastAsia="IRNazanin" w:cs="IRNazanin"/>
          <w:lang w:bidi="fa-IR"/>
          <w:color w:val="111111"/>
          <w:sz w:val="28"/>
          <w:szCs w:val="28"/>
          <w:rtl/>
        </w:rPr>
        <w:t xml:space="preserve">۲۰. تهران؛ مهدوی؛ شماره نسخه: ۸۸۴/۴</w:t>
      </w:r>
    </w:p>
    <w:p>
      <w:pPr>
        <w:pStyle w:val="BookText"/>
      </w:pPr>
      <w:r>
        <w:rPr>
          <w:rFonts w:ascii="IRNazanin" w:hAnsi="IRNazanin" w:eastAsia="IRNazanin" w:cs="IRNazanin"/>
          <w:lang w:bidi="fa-IR"/>
          <w:color w:val="111111"/>
          <w:sz w:val="28"/>
          <w:szCs w:val="28"/>
          <w:rtl/>
        </w:rPr>
        <w:t xml:space="preserve">خط: نستعلیق  خوش، بی کا، تا: ۸۸۳ق؛ کاغذ: سمرقندی، جـلد: تیماج مشکی، ۵۰گ (300پ-349ر) [نشریه: ۳ - ۴۸۴]</w:t>
      </w:r>
    </w:p>
    <w:p>
      <w:pPr>
        <w:pStyle w:val="BookText"/>
      </w:pPr>
      <w:r>
        <w:rPr>
          <w:rFonts w:ascii="IRNazanin" w:hAnsi="IRNazanin" w:eastAsia="IRNazanin" w:cs="IRNazanin"/>
          <w:lang w:bidi="fa-IR"/>
          <w:color w:val="111111"/>
          <w:sz w:val="28"/>
          <w:szCs w:val="28"/>
          <w:rtl/>
        </w:rPr>
        <w:t xml:space="preserve">21.تبریز؛ ملی؛ شماره نسخه: ۳۶۳۵/۸</w:t>
      </w:r>
    </w:p>
    <w:p>
      <w:pPr>
        <w:pStyle w:val="BookText"/>
      </w:pPr>
      <w:r>
        <w:rPr>
          <w:rFonts w:ascii="IRNazanin" w:hAnsi="IRNazanin" w:eastAsia="IRNazanin" w:cs="IRNazanin"/>
          <w:lang w:bidi="fa-IR"/>
          <w:color w:val="111111"/>
          <w:sz w:val="28"/>
          <w:szCs w:val="28"/>
          <w:rtl/>
        </w:rPr>
        <w:t xml:space="preserve">آغاز: همی باید که خلقی از ارادت*** برآرد پشت انگشت شهادت ؛انجام: چرا چندین سخن بایست گفتن *** چو خاک می بایست خفتن</w:t>
      </w:r>
    </w:p>
    <w:p>
      <w:pPr>
        <w:pStyle w:val="BookText"/>
      </w:pPr>
      <w:r>
        <w:rPr>
          <w:rFonts w:ascii="IRNazanin" w:hAnsi="IRNazanin" w:eastAsia="IRNazanin" w:cs="IRNazanin"/>
          <w:lang w:bidi="fa-IR"/>
          <w:color w:val="111111"/>
          <w:sz w:val="28"/>
          <w:szCs w:val="28"/>
          <w:rtl/>
        </w:rPr>
        <w:t xml:space="preserve">خط: نسخ، بی کا، تا: با تاریخ ۸۸۵؛ افتادگی: آغاز؛ کاغذ: آهار مهره سمرقندی ،جلد: چرمی  تریدکی ،۳۰گ، ۵۴ سطر چـهار ستون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۳ - ۱۱۲۷]</w:t>
      </w:r>
    </w:p>
    <w:p>
      <w:pPr>
        <w:pStyle w:val="BookText"/>
      </w:pPr>
      <w:r>
        <w:rPr>
          <w:rFonts w:ascii="IRNazanin" w:hAnsi="IRNazanin" w:eastAsia="IRNazanin" w:cs="IRNazanin"/>
          <w:lang w:bidi="fa-IR"/>
          <w:color w:val="111111"/>
          <w:sz w:val="28"/>
          <w:szCs w:val="28"/>
          <w:rtl/>
        </w:rPr>
        <w:t xml:space="preserve">تهران؛ دانشگاه؛ شماره نسخه: ۳۱۰۳/۱-ف</w:t>
      </w:r>
    </w:p>
    <w:p>
      <w:pPr>
        <w:pStyle w:val="BookText"/>
      </w:pPr>
      <w:r>
        <w:rPr>
          <w:rFonts w:ascii="IRNazanin" w:hAnsi="IRNazanin" w:eastAsia="IRNazanin" w:cs="IRNazanin"/>
          <w:lang w:bidi="fa-IR"/>
          <w:color w:val="111111"/>
          <w:sz w:val="28"/>
          <w:szCs w:val="28"/>
          <w:rtl/>
        </w:rPr>
        <w:t xml:space="preserve">نسخه اصل: ملی تبریزش ۳۶۳۴ [ احتمالاً همان نسخه بالا؛ بی  کا، تا: با تاریخ ۸۸۵ق [ فیلم ها-ف: ۲ - ۷۷]  ۲۲. شیراز؛ وصال (دکتر)؛ شماره نسخه: ۳۴/۲</w:t>
      </w:r>
    </w:p>
    <w:p>
      <w:pPr>
        <w:pStyle w:val="BookText"/>
      </w:pPr>
      <w:r>
        <w:rPr>
          <w:rFonts w:ascii="IRNazanin" w:hAnsi="IRNazanin" w:eastAsia="IRNazanin" w:cs="IRNazanin"/>
          <w:lang w:bidi="fa-IR"/>
          <w:color w:val="111111"/>
          <w:sz w:val="28"/>
          <w:szCs w:val="28"/>
          <w:rtl/>
        </w:rPr>
        <w:t xml:space="preserve">بی کا، تا: ۸۹۲ق [ نشریه: ۵ - ۲۹۳]</w:t>
      </w:r>
    </w:p>
    <w:p>
      <w:pPr>
        <w:pStyle w:val="BookText"/>
      </w:pPr>
      <w:r>
        <w:rPr>
          <w:rFonts w:ascii="IRNazanin" w:hAnsi="IRNazanin" w:eastAsia="IRNazanin" w:cs="IRNazanin"/>
          <w:lang w:bidi="fa-IR"/>
          <w:color w:val="111111"/>
          <w:sz w:val="28"/>
          <w:szCs w:val="28"/>
          <w:rtl/>
        </w:rPr>
        <w:t xml:space="preserve">۲۳. تهران؛ ملی؛ شماره نسخه: ۱۹۰۸۰/۱</w:t>
      </w:r>
    </w:p>
    <w:p>
      <w:pPr>
        <w:pStyle w:val="BookText"/>
      </w:pPr>
      <w:r>
        <w:rPr>
          <w:rFonts w:ascii="IRNazanin" w:hAnsi="IRNazanin" w:eastAsia="IRNazanin" w:cs="IRNazanin"/>
          <w:lang w:bidi="fa-IR"/>
          <w:color w:val="111111"/>
          <w:sz w:val="28"/>
          <w:szCs w:val="28"/>
          <w:rtl/>
        </w:rPr>
        <w:t xml:space="preserve">بی  کا، تا: ۸۹۲ق؛ انتقالی از کتابخانه پهلوی- مجموعه نوازی؛  اندازه: ۱۵/۶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۲۲/۵سم [ رایانه ]</w:t>
      </w:r>
    </w:p>
    <w:p>
      <w:pPr>
        <w:pStyle w:val="BookText"/>
      </w:pPr>
      <w:r>
        <w:rPr>
          <w:rFonts w:ascii="IRNazanin" w:hAnsi="IRNazanin" w:eastAsia="IRNazanin" w:cs="IRNazanin"/>
          <w:lang w:bidi="fa-IR"/>
          <w:color w:val="111111"/>
          <w:sz w:val="28"/>
          <w:szCs w:val="28"/>
          <w:rtl/>
        </w:rPr>
        <w:t xml:space="preserve">۲۴. تهران؛ دانشگاه؛ شماره نسخه: ۵۲۳۸/۴</w:t>
      </w:r>
    </w:p>
    <w:p>
      <w:pPr>
        <w:pStyle w:val="BookText"/>
      </w:pPr>
      <w:r>
        <w:rPr>
          <w:rFonts w:ascii="IRNazanin" w:hAnsi="IRNazanin" w:eastAsia="IRNazanin" w:cs="IRNazanin"/>
          <w:lang w:bidi="fa-IR"/>
          <w:color w:val="111111"/>
          <w:sz w:val="28"/>
          <w:szCs w:val="28"/>
          <w:rtl/>
        </w:rPr>
        <w:t xml:space="preserve">خط: نستعلیق ریز و خوش، کا: پیر حسین، تا: ۱۵ رجب۸۹۳ق؛ در متن و هامش؛ کاغذ: سمرقندی، جلد: تیماج مشکی مقوایی ضربی زرکوب درون و بیرون، ۲۸گ (۴۰۵ر-۴۳۳ر)، ۲۳ سطر (9</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۲۳سم [ف: ۱۵ - ۴۱۷۲]</w:t>
      </w:r>
    </w:p>
    <w:p>
      <w:pPr>
        <w:pStyle w:val="BookText"/>
      </w:pPr>
      <w:r>
        <w:rPr>
          <w:rFonts w:ascii="IRNazanin" w:hAnsi="IRNazanin" w:eastAsia="IRNazanin" w:cs="IRNazanin"/>
          <w:lang w:bidi="fa-IR"/>
          <w:color w:val="111111"/>
          <w:sz w:val="28"/>
          <w:szCs w:val="28"/>
          <w:rtl/>
        </w:rPr>
        <w:t xml:space="preserve">۲۵. مشهد؛ رضوی؛ شماره نسخه: ۴۶۸۳/۱</w:t>
      </w:r>
    </w:p>
    <w:p>
      <w:pPr>
        <w:pStyle w:val="BookText"/>
      </w:pPr>
      <w:r>
        <w:rPr>
          <w:rFonts w:ascii="IRNazanin" w:hAnsi="IRNazanin" w:eastAsia="IRNazanin" w:cs="IRNazanin"/>
          <w:lang w:bidi="fa-IR"/>
          <w:color w:val="111111"/>
          <w:sz w:val="28"/>
          <w:szCs w:val="28"/>
          <w:rtl/>
        </w:rPr>
        <w:t xml:space="preserve">آغاز: برابر؛ انجام: نمی رانم سخن زین من زیادت *** که گردان ختم کارم بر سعادت</w:t>
      </w:r>
    </w:p>
    <w:p>
      <w:pPr>
        <w:pStyle w:val="BookText"/>
      </w:pPr>
      <w:r>
        <w:rPr>
          <w:rFonts w:ascii="IRNazanin" w:hAnsi="IRNazanin" w:eastAsia="IRNazanin" w:cs="IRNazanin"/>
          <w:lang w:bidi="fa-IR"/>
          <w:color w:val="111111"/>
          <w:sz w:val="28"/>
          <w:szCs w:val="28"/>
          <w:rtl/>
        </w:rPr>
        <w:t xml:space="preserve">خط: نستعليق ،كا: على بن حیدر  قاسمی، تا: ۱۹محرم ۸۹۷ق، جا: مهرآباد نیشابور؛ واقف: نایینی ؛کاغذ: نخودی، جلد: چرمی قهوه ای :[ف ۷ - ۶۸۷]</w:t>
      </w:r>
    </w:p>
    <w:p>
      <w:pPr>
        <w:pStyle w:val="BookText"/>
      </w:pPr>
      <w:r>
        <w:rPr>
          <w:rFonts w:ascii="IRNazanin" w:hAnsi="IRNazanin" w:eastAsia="IRNazanin" w:cs="IRNazanin"/>
          <w:lang w:bidi="fa-IR"/>
          <w:color w:val="111111"/>
          <w:sz w:val="28"/>
          <w:szCs w:val="28"/>
          <w:rtl/>
        </w:rPr>
        <w:t xml:space="preserve">۲۶. تهران؛ ملی؛ شماره نسخه: ۱۳۲۵/۲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۱۰ ؛کاغذ: دولت آبادی، جلد: تیماج سیاه ترنج و نیم ترنج کوبیده  مقوایی، ۷۲ص ۲۳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۳۶/۵سم [ف : ۳ -۳۸۷]</w:t>
      </w:r>
    </w:p>
    <w:p>
      <w:pPr>
        <w:pStyle w:val="BookText"/>
      </w:pPr>
      <w:r>
        <w:rPr>
          <w:rFonts w:ascii="IRNazanin" w:hAnsi="IRNazanin" w:eastAsia="IRNazanin" w:cs="IRNazanin"/>
          <w:lang w:bidi="fa-IR"/>
          <w:color w:val="111111"/>
          <w:sz w:val="28"/>
          <w:szCs w:val="28"/>
          <w:rtl/>
        </w:rPr>
        <w:t xml:space="preserve">۲۷. تهران؛ مجلس؛ شماره نسخه: ۱۹/۱۰ معیری</w:t>
      </w:r>
    </w:p>
    <w:p>
      <w:pPr>
        <w:pStyle w:val="BookText"/>
      </w:pPr>
      <w:r>
        <w:rPr>
          <w:rFonts w:ascii="IRNazanin" w:hAnsi="IRNazanin" w:eastAsia="IRNazanin" w:cs="IRNazanin"/>
          <w:lang w:bidi="fa-IR"/>
          <w:color w:val="111111"/>
          <w:sz w:val="28"/>
          <w:szCs w:val="28"/>
          <w:rtl/>
        </w:rPr>
        <w:t xml:space="preserve">منتخب اسرارنامه عطار؛ خط: نستعلیق  خفی، بی کا، تا: قرن ۱۰؛ افتادگی: انجام؛ مجدول و کمند زر؛ کاغذ: سمرقندی، جلد: گالینگور قرمز ۳۸ ص (۲۷۰-۳۰۷)، ۱۵ سطر متن و ۲۴ نیم سطر حاشیه، ابعاد متن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۱۸ - ۲۴]</w:t>
      </w:r>
    </w:p>
    <w:p>
      <w:pPr>
        <w:pStyle w:val="BookText"/>
      </w:pPr>
      <w:r>
        <w:rPr>
          <w:rFonts w:ascii="IRNazanin" w:hAnsi="IRNazanin" w:eastAsia="IRNazanin" w:cs="IRNazanin"/>
          <w:lang w:bidi="fa-IR"/>
          <w:color w:val="111111"/>
          <w:sz w:val="28"/>
          <w:szCs w:val="28"/>
          <w:rtl/>
        </w:rPr>
        <w:t xml:space="preserve">۲۸. تهران؛ بیانی مهدی (دکتر)؛ شماره نسخه: ۵۵/۱</w:t>
      </w:r>
    </w:p>
    <w:p>
      <w:pPr>
        <w:pStyle w:val="BookText"/>
      </w:pPr>
      <w:r>
        <w:rPr>
          <w:rFonts w:ascii="IRNazanin" w:hAnsi="IRNazanin" w:eastAsia="IRNazanin" w:cs="IRNazanin"/>
          <w:lang w:bidi="fa-IR"/>
          <w:color w:val="111111"/>
          <w:sz w:val="28"/>
          <w:szCs w:val="28"/>
          <w:rtl/>
        </w:rPr>
        <w:t xml:space="preserve">خط: تعلیق، کا: امر الله بن حاج شیخ اویس نخجوانی، تا: ۹۰۱ق [نشریه ۱ - ۱۵]</w:t>
      </w:r>
    </w:p>
    <w:p>
      <w:pPr>
        <w:pStyle w:val="BookText"/>
      </w:pPr>
      <w:r>
        <w:rPr>
          <w:rFonts w:ascii="IRNazanin" w:hAnsi="IRNazanin" w:eastAsia="IRNazanin" w:cs="IRNazanin"/>
          <w:lang w:bidi="fa-IR"/>
          <w:color w:val="111111"/>
          <w:sz w:val="28"/>
          <w:szCs w:val="28"/>
          <w:rtl/>
        </w:rPr>
        <w:t xml:space="preserve">۲۹. تهران؛ ملک؛ شماره نسخه: ۵۰۶۲/۵</w:t>
      </w:r>
    </w:p>
    <w:p>
      <w:pPr>
        <w:pStyle w:val="BookText"/>
      </w:pPr>
      <w:r>
        <w:rPr>
          <w:rFonts w:ascii="IRNazanin" w:hAnsi="IRNazanin" w:eastAsia="IRNazanin" w:cs="IRNazanin"/>
          <w:lang w:bidi="fa-IR"/>
          <w:color w:val="111111"/>
          <w:sz w:val="28"/>
          <w:szCs w:val="28"/>
          <w:rtl/>
        </w:rPr>
        <w:t xml:space="preserve">خط: نستعلیق، بی کا، تا: ۹۴۶ق کاغذ ،ترمه، جلد: رویه ساغری سیاه، ۴۷گ (۲۷۹پ - ۳۲۵ر)، اندازه: ۱۹/۵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۲۹/۲سم [ف: 4- 663]</w:t>
      </w:r>
    </w:p>
    <w:p>
      <w:pPr>
        <w:pStyle w:val="BookText"/>
      </w:pPr>
      <w:r>
        <w:rPr>
          <w:rFonts w:ascii="IRNazanin" w:hAnsi="IRNazanin" w:eastAsia="IRNazanin" w:cs="IRNazanin"/>
          <w:lang w:bidi="fa-IR"/>
          <w:color w:val="111111"/>
          <w:sz w:val="28"/>
          <w:szCs w:val="28"/>
          <w:rtl/>
        </w:rPr>
        <w:t xml:space="preserve">۳۰. تهران؛ سلطنتی؛ شماره نسخه: ۶۷۲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،ممتاز ،کا: شاه محمود  نیشابوری، تا: ۹۷۰ق؛ پشت صفحه اول، «کتاب اسرار نامه شیخ فریدالدین عطار عليه الرحمه به توسط میرزا سید علی مستوفی دواب ابتیاع گردید بمبلغ هیجده تومان رایج خزانه عامره فى شهر ذى حجة الحرام ۱۲۷۱ توشقان ئیل» این نسخه به سال های ۱۲۸۲ و ۱۳۲۲ به ترتیب از عرض کتابخانه مبارکه گذشته است ،مجدول مذهب، دارای چهار کتیبه  مذهب مرصع؛ مهر: ناصرالدین شاه قاجار؛ کاغذ ،بخارایی، جلد: مقوای ابره تیماج زرشکی رنگ وسط ترنج دو گل ترنج و چهار لچکی سوخت تحریر زمینه طلا گل  برجسته، ۶۸ص، ۲۴ سطر،  قطع ،وزیری، اندازه: ۲۱/۵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۳۱سم [ف: ۴ - ۷۹۰]</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مشهد؛ رضوی؛ شماره نسخه: ۸۳۴۷/۵</w:t>
      </w:r>
    </w:p>
    <w:p>
      <w:pPr>
        <w:pStyle w:val="BookText"/>
      </w:pPr>
      <w:r>
        <w:rPr>
          <w:rFonts w:ascii="IRNazanin" w:hAnsi="IRNazanin" w:eastAsia="IRNazanin" w:cs="IRNazanin"/>
          <w:lang w:bidi="fa-IR"/>
          <w:color w:val="111111"/>
          <w:sz w:val="28"/>
          <w:szCs w:val="28"/>
          <w:rtl/>
        </w:rPr>
        <w:t xml:space="preserve">آغاز: برابر؛ انجام:شبی بیدار دار آخر خدا را *** چو صد شب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داشتی نفس و هوا را</w:t>
      </w:r>
    </w:p>
    <w:p>
      <w:pPr>
        <w:pStyle w:val="BookText"/>
      </w:pPr>
      <w:r>
        <w:rPr>
          <w:rFonts w:ascii="IRNazanin" w:hAnsi="IRNazanin" w:eastAsia="IRNazanin" w:cs="IRNazanin"/>
          <w:lang w:bidi="fa-IR"/>
          <w:color w:val="111111"/>
          <w:sz w:val="28"/>
          <w:szCs w:val="28"/>
          <w:rtl/>
        </w:rPr>
        <w:t xml:space="preserve">خط: نستعلیق، بی کا، تا: قرن ۱۱ ؛کاغذ ،نخودی ،جلد: تیماج  مشکی، ۳۳گ، ۲۵ سطر چهارستونی (۱۰/۷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 اندازه: ۱۸/۵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۳۲/۳سم [ف: ۷ - ۶۸۶]</w:t>
      </w:r>
    </w:p>
    <w:p>
      <w:pPr>
        <w:pStyle w:val="BookText"/>
      </w:pPr>
      <w:r>
        <w:rPr>
          <w:rFonts w:ascii="IRNazanin" w:hAnsi="IRNazanin" w:eastAsia="IRNazanin" w:cs="IRNazanin"/>
          <w:lang w:bidi="fa-IR"/>
          <w:color w:val="111111"/>
          <w:sz w:val="28"/>
          <w:szCs w:val="28"/>
          <w:rtl/>
        </w:rPr>
        <w:t xml:space="preserve">۳۲. تهران؛ سپهسالار؛ شماره نسخه: ۳۹۸</w:t>
      </w:r>
    </w:p>
    <w:p>
      <w:pPr>
        <w:pStyle w:val="BookText"/>
      </w:pPr>
      <w:r>
        <w:rPr>
          <w:rFonts w:ascii="IRNazanin" w:hAnsi="IRNazanin" w:eastAsia="IRNazanin" w:cs="IRNazanin"/>
          <w:lang w:bidi="fa-IR"/>
          <w:color w:val="111111"/>
          <w:sz w:val="28"/>
          <w:szCs w:val="28"/>
          <w:rtl/>
        </w:rPr>
        <w:t xml:space="preserve">آغاز: رو تو با حق راست گوی و راست باش *** تا نیاید بر سرت هر دم بلاش؛ انجام: من گنهکارم به پیشت ای حکیم *** رحمتی بر جان عطار ای رحیم</w:t>
      </w:r>
    </w:p>
    <w:p>
      <w:pPr>
        <w:pStyle w:val="BookText"/>
      </w:pPr>
      <w:r>
        <w:rPr>
          <w:rFonts w:ascii="IRNazanin" w:hAnsi="IRNazanin" w:eastAsia="IRNazanin" w:cs="IRNazanin"/>
          <w:lang w:bidi="fa-IR"/>
          <w:color w:val="111111"/>
          <w:sz w:val="28"/>
          <w:szCs w:val="28"/>
          <w:rtl/>
        </w:rPr>
        <w:t xml:space="preserve">خط: نستعلیق  زیبا، بی کا، تا: قرن ۱۱؛ با سرلوحی  در آغاز و حاشیه سازی گل و بوته زرین، مالک:اعتضاد السلطنه ۱۲۷۹ ق،واقف: سپهسالار، ۱۲۹۷ق؛ کاغذ: کلفت رنگارنگ ،جلد: تیماج سوخت آبی زرکوب، ۷۴گ، ۱۲ 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۲۹سم [ف: 3- 127]</w:t>
      </w:r>
    </w:p>
    <w:p>
      <w:pPr>
        <w:pStyle w:val="BookText"/>
      </w:pPr>
      <w:r>
        <w:rPr>
          <w:rFonts w:ascii="IRNazanin" w:hAnsi="IRNazanin" w:eastAsia="IRNazanin" w:cs="IRNazanin"/>
          <w:lang w:bidi="fa-IR"/>
          <w:color w:val="111111"/>
          <w:sz w:val="28"/>
          <w:szCs w:val="28"/>
          <w:rtl/>
        </w:rPr>
        <w:t xml:space="preserve">۳۳. تهران؛ ملک؛ شماره نسخه: ۵۲۶۲</w:t>
      </w:r>
    </w:p>
    <w:p>
      <w:pPr>
        <w:pStyle w:val="BookText"/>
      </w:pPr>
      <w:r>
        <w:rPr>
          <w:rFonts w:ascii="IRNazanin" w:hAnsi="IRNazanin" w:eastAsia="IRNazanin" w:cs="IRNazanin"/>
          <w:lang w:bidi="fa-IR"/>
          <w:color w:val="111111"/>
          <w:sz w:val="28"/>
          <w:szCs w:val="28"/>
          <w:rtl/>
        </w:rPr>
        <w:t xml:space="preserve">خط: نستعلیق، بی کا، تا: قرن ۱۱؛ دارای ترنج و سرلوح مذهـب مجدول؛ كاغذ: كاغذ ترمه سمرقندی، جلد: میشن سیاه ضربی، ۱۴۱گ، ۱۳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۲۳/۵سم [ف: ۲ - ۲۵]</w:t>
      </w:r>
    </w:p>
    <w:p>
      <w:pPr>
        <w:pStyle w:val="BookText"/>
      </w:pPr>
      <w:r>
        <w:rPr>
          <w:rFonts w:ascii="IRNazanin" w:hAnsi="IRNazanin" w:eastAsia="IRNazanin" w:cs="IRNazanin"/>
          <w:lang w:bidi="fa-IR"/>
          <w:color w:val="111111"/>
          <w:sz w:val="28"/>
          <w:szCs w:val="28"/>
          <w:rtl/>
        </w:rPr>
        <w:t xml:space="preserve">۳۴. تهران؛ مجلس؛ شماره نسخه: ۲۶۶۴/۴</w:t>
      </w:r>
    </w:p>
    <w:p>
      <w:pPr>
        <w:pStyle w:val="BookText"/>
      </w:pPr>
      <w:r>
        <w:rPr>
          <w:rFonts w:ascii="IRNazanin" w:hAnsi="IRNazanin" w:eastAsia="IRNazanin" w:cs="IRNazanin"/>
          <w:lang w:bidi="fa-IR"/>
          <w:color w:val="111111"/>
          <w:sz w:val="28"/>
          <w:szCs w:val="28"/>
          <w:rtl/>
        </w:rPr>
        <w:t xml:space="preserve">آغاز: برابر؛ انجام: مکن چیزی که تو با آن برایی.</w:t>
      </w:r>
    </w:p>
    <w:p>
      <w:pPr>
        <w:pStyle w:val="BookText"/>
      </w:pPr>
      <w:r>
        <w:rPr>
          <w:rFonts w:ascii="IRNazanin" w:hAnsi="IRNazanin" w:eastAsia="IRNazanin" w:cs="IRNazanin"/>
          <w:lang w:bidi="fa-IR"/>
          <w:color w:val="111111"/>
          <w:sz w:val="28"/>
          <w:szCs w:val="28"/>
          <w:rtl/>
        </w:rPr>
        <w:t xml:space="preserve">خط: نستعلیق  کتابتی، بی کا، تا: قرن ۱۱؛ افتادگی: انجام؛ مجدول، با کمند زر و سیاه کاغذ ،فرنگی ،جلد: تیماج قهوه ای ترنج  و سر ترنج،منگنه، ۱۸۹گ (۷۲-۲۶۰)، ۳۰ نیم سطر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 اندازه:۲۸/۵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۸ - ۴۱۶]</w:t>
      </w:r>
    </w:p>
    <w:p>
      <w:pPr>
        <w:pStyle w:val="BookText"/>
      </w:pPr>
      <w:r>
        <w:rPr>
          <w:rFonts w:ascii="IRNazanin" w:hAnsi="IRNazanin" w:eastAsia="IRNazanin" w:cs="IRNazanin"/>
          <w:lang w:bidi="fa-IR"/>
          <w:color w:val="111111"/>
          <w:sz w:val="28"/>
          <w:szCs w:val="28"/>
          <w:rtl/>
        </w:rPr>
        <w:t xml:space="preserve">۳۵. تهران؛ مجلس؛ شماره نسخه: ۲۵۹۹/۶</w:t>
      </w:r>
    </w:p>
    <w:p>
      <w:pPr>
        <w:pStyle w:val="BookText"/>
      </w:pPr>
      <w:r>
        <w:rPr>
          <w:rFonts w:ascii="IRNazanin" w:hAnsi="IRNazanin" w:eastAsia="IRNazanin" w:cs="IRNazanin"/>
          <w:lang w:bidi="fa-IR"/>
          <w:color w:val="111111"/>
          <w:sz w:val="28"/>
          <w:szCs w:val="28"/>
          <w:rtl/>
        </w:rPr>
        <w:t xml:space="preserve">آغاز: برابر؛ انجام: شبی بیدار دار آخر خدا را *** چو صد شـب داشتی نفس و هوا را</w:t>
      </w:r>
    </w:p>
    <w:p>
      <w:pPr>
        <w:pStyle w:val="BookText"/>
      </w:pPr>
      <w:r>
        <w:rPr>
          <w:rFonts w:ascii="IRNazanin" w:hAnsi="IRNazanin" w:eastAsia="IRNazanin" w:cs="IRNazanin"/>
          <w:lang w:bidi="fa-IR"/>
          <w:color w:val="111111"/>
          <w:sz w:val="28"/>
          <w:szCs w:val="28"/>
          <w:rtl/>
        </w:rPr>
        <w:t xml:space="preserve">خط: نستعلیق، بی کا، تا: قرن ۱۱ ؛کاغذ : سمرقندی ،جلد: روغنی بوم نارنجی زرک، گل کوکب  الوان، درون  زرشکی، ۶۶گ (۷۳۶-۶۷۱) ۲۵ سطر،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۸ - ۳۳۶]</w:t>
      </w:r>
    </w:p>
    <w:p>
      <w:pPr>
        <w:pStyle w:val="BookText"/>
      </w:pPr>
      <w:r>
        <w:rPr>
          <w:rFonts w:ascii="IRNazanin" w:hAnsi="IRNazanin" w:eastAsia="IRNazanin" w:cs="IRNazanin"/>
          <w:lang w:bidi="fa-IR"/>
          <w:color w:val="111111"/>
          <w:sz w:val="28"/>
          <w:szCs w:val="28"/>
          <w:rtl/>
        </w:rPr>
        <w:t xml:space="preserve">۳۶. مشهد؛ رضوی؛ شماره نسخه: ۱۶۳۳۲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کتابتی ،کا: محمد سعید بن ابوالقاسم تربتی،تا: رجب ۱۰۰۵ق، جا: لاهور؛ واگذاری بنیاد مستضعفان در شهریور ۱۳۶۷؛ کاغذ ،حنایی، جلد: تیماج، ۴۵گ، ۱۹ سطر چهار ستوانه،اندازه: ۱۲/۳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۳۰سم [ف: ۱۷ – ۹]</w:t>
      </w:r>
    </w:p>
    <w:p>
      <w:pPr>
        <w:pStyle w:val="BookText"/>
      </w:pPr>
      <w:r>
        <w:rPr>
          <w:rFonts w:ascii="IRNazanin" w:hAnsi="IRNazanin" w:eastAsia="IRNazanin" w:cs="IRNazanin"/>
          <w:lang w:bidi="fa-IR"/>
          <w:color w:val="111111"/>
          <w:sz w:val="28"/>
          <w:szCs w:val="28"/>
          <w:rtl/>
        </w:rPr>
        <w:t xml:space="preserve">۳۷. تهران؛ مجلس؛ شماره نسخه: ۹۰۸۱/۲</w:t>
      </w:r>
    </w:p>
    <w:p>
      <w:pPr>
        <w:pStyle w:val="BookText"/>
      </w:pPr>
      <w:r>
        <w:rPr>
          <w:rFonts w:ascii="IRNazanin" w:hAnsi="IRNazanin" w:eastAsia="IRNazanin" w:cs="IRNazanin"/>
          <w:lang w:bidi="fa-IR"/>
          <w:color w:val="111111"/>
          <w:sz w:val="28"/>
          <w:szCs w:val="28"/>
          <w:rtl/>
        </w:rPr>
        <w:t xml:space="preserve">آغاز: زهی شدت که در حجت گرفتن *** نه برگ خامشی نه روی گفتن/ زهی رخصت که گر راهی نبودی *** کسی را زهره آهی نبودی؛ انجام: سخن با دردتر زین کس ندیدست*** کزین هر بیت خونی می چکیدست / من این اسرارنامه چون نوشتم *** زبھر پور خود تخمی بکشتن</w:t>
      </w:r>
    </w:p>
    <w:p>
      <w:pPr>
        <w:pStyle w:val="BookText"/>
      </w:pPr>
      <w:r>
        <w:rPr>
          <w:rFonts w:ascii="IRNazanin" w:hAnsi="IRNazanin" w:eastAsia="IRNazanin" w:cs="IRNazanin"/>
          <w:lang w:bidi="fa-IR"/>
          <w:color w:val="111111"/>
          <w:sz w:val="28"/>
          <w:szCs w:val="28"/>
          <w:rtl/>
        </w:rPr>
        <w:t xml:space="preserve">بخشی از آن؛ خط: نستعلیق، کا: دوست محمد بن علی دوست بدستانی/ بجستانی، تا: ۲۱ رمضان ۱۰۱۳ق؛ مصحح؛ كاغذ:  نخودی آهار مهره نازک، جلد: تیماج مشکی، دورو، درون قهوه ای، ۳۹ گ(۲۰ ر - ۵۸پ)، ۱۹ 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اندازه:۱۶/۵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۲۳/۵سم [ف: ۲۹/۲ – ۷۱۶]</w:t>
      </w:r>
    </w:p>
    <w:p>
      <w:pPr>
        <w:pStyle w:val="BookText"/>
      </w:pPr>
      <w:r>
        <w:rPr>
          <w:rFonts w:ascii="IRNazanin" w:hAnsi="IRNazanin" w:eastAsia="IRNazanin" w:cs="IRNazanin"/>
          <w:lang w:bidi="fa-IR"/>
          <w:color w:val="111111"/>
          <w:sz w:val="28"/>
          <w:szCs w:val="28"/>
          <w:rtl/>
        </w:rPr>
        <w:t xml:space="preserve">۳۸. تهران؛ ملی؛ شماره نسخه: ۲۲۱۷/۲</w:t>
      </w:r>
    </w:p>
    <w:p>
      <w:pPr>
        <w:pStyle w:val="BookText"/>
      </w:pPr>
      <w:r>
        <w:rPr>
          <w:rFonts w:ascii="IRNazanin" w:hAnsi="IRNazanin" w:eastAsia="IRNazanin" w:cs="IRNazanin"/>
          <w:lang w:bidi="fa-IR"/>
          <w:color w:val="111111"/>
          <w:sz w:val="28"/>
          <w:szCs w:val="28"/>
          <w:rtl/>
        </w:rPr>
        <w:t xml:space="preserve">آغاز: بنام آنکه از خاک آدمی کرد *** زکفی وز دودی عالمی کرد؛ انجام: برابر</w:t>
      </w:r>
    </w:p>
    <w:p>
      <w:pPr>
        <w:pStyle w:val="BookText"/>
      </w:pPr>
      <w:r>
        <w:rPr>
          <w:rFonts w:ascii="IRNazanin" w:hAnsi="IRNazanin" w:eastAsia="IRNazanin" w:cs="IRNazanin"/>
          <w:lang w:bidi="fa-IR"/>
          <w:color w:val="111111"/>
          <w:sz w:val="28"/>
          <w:szCs w:val="28"/>
          <w:rtl/>
        </w:rPr>
        <w:t xml:space="preserve">خط: نستعليق ،كا: حيدر بن اسماعیل بن عبدالعلی کرکی هاشمی  عاملی، تا: ۱۰۷۶ق؛ کاغذ ،اصفهانی ،جلد: تیماج تریاکی مقوایی، ۱۶ سطر (7</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۵ - ۳۱۳]</w:t>
      </w:r>
    </w:p>
    <w:p>
      <w:pPr>
        <w:pStyle w:val="BookText"/>
      </w:pPr>
      <w:r>
        <w:rPr>
          <w:rFonts w:ascii="IRNazanin" w:hAnsi="IRNazanin" w:eastAsia="IRNazanin" w:cs="IRNazanin"/>
          <w:lang w:bidi="fa-IR"/>
          <w:color w:val="111111"/>
          <w:sz w:val="28"/>
          <w:szCs w:val="28"/>
          <w:rtl/>
        </w:rPr>
        <w:t xml:space="preserve">۳۹. مشهد؛ رضوی؛ شماره نسخه: ۴۴۳۲</w:t>
      </w:r>
    </w:p>
    <w:p>
      <w:pPr>
        <w:pStyle w:val="BookText"/>
      </w:pPr>
      <w:r>
        <w:rPr>
          <w:rFonts w:ascii="IRNazanin" w:hAnsi="IRNazanin" w:eastAsia="IRNazanin" w:cs="IRNazanin"/>
          <w:lang w:bidi="fa-IR"/>
          <w:color w:val="111111"/>
          <w:sz w:val="28"/>
          <w:szCs w:val="28"/>
          <w:rtl/>
        </w:rPr>
        <w:t xml:space="preserve">آغاز: برابر؛ انجام: ترا این پند بس در هر دو عالم *** که بر ناید زجانت بی خدا دم.</w:t>
      </w:r>
    </w:p>
    <w:p>
      <w:pPr>
        <w:pStyle w:val="BookText"/>
      </w:pPr>
      <w:r>
        <w:rPr>
          <w:rFonts w:ascii="IRNazanin" w:hAnsi="IRNazanin" w:eastAsia="IRNazanin" w:cs="IRNazanin"/>
          <w:lang w:bidi="fa-IR"/>
          <w:color w:val="111111"/>
          <w:sz w:val="28"/>
          <w:szCs w:val="28"/>
          <w:rtl/>
        </w:rPr>
        <w:t xml:space="preserve">خط: نسخ، بی کا، تا: قرن ۱۲؛ افتادگی: انجام؛ تحریر در متن و هامش؛ واقف: نایینی ،کاغذ: شکری آهار مهره، جلد: پارچه ای،67گ، هر صفحه به طورمتوسط ۲۳  بیت، (۱۱بیت متن ۱۲ بیت  هامش)؛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۱۵/۵سم [ف: ۷ - ۱۹۹]</w:t>
      </w:r>
    </w:p>
    <w:p>
      <w:pPr>
        <w:pStyle w:val="BookText"/>
      </w:pPr>
      <w:r>
        <w:rPr>
          <w:rFonts w:ascii="IRNazanin" w:hAnsi="IRNazanin" w:eastAsia="IRNazanin" w:cs="IRNazanin"/>
          <w:lang w:bidi="fa-IR"/>
          <w:color w:val="111111"/>
          <w:sz w:val="28"/>
          <w:szCs w:val="28"/>
          <w:rtl/>
        </w:rPr>
        <w:t xml:space="preserve">۴۰. تهران؛ دانشگاه؛ شماره نسخه: ۶۰۸۹/۲</w:t>
      </w:r>
    </w:p>
    <w:p>
      <w:pPr>
        <w:pStyle w:val="BookText"/>
      </w:pPr>
      <w:r>
        <w:rPr>
          <w:rFonts w:ascii="IRNazanin" w:hAnsi="IRNazanin" w:eastAsia="IRNazanin" w:cs="IRNazanin"/>
          <w:lang w:bidi="fa-IR"/>
          <w:color w:val="111111"/>
          <w:sz w:val="28"/>
          <w:szCs w:val="28"/>
          <w:rtl/>
        </w:rPr>
        <w:t xml:space="preserve">بخشی از آن؛ خط: نستعلیق، کا: سید  ربیع عالمیان پسر محمد حسینی بنی  مختاری، تا: ۱۵ربيع   ۱۱۴۲ و اواخر محرم ۱۱۴۲، جا:  دولتخانه حاجی محمد حسین پسر حاجی محمد جعفر؛ کاغذ: سپاهانی؛ جلد: تیماج تریاکی عطف مشکی مقوایی، ۲۰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 قطع: وزیری،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 ۱۶ - ۱۹۵]</w:t>
      </w:r>
    </w:p>
    <w:p>
      <w:pPr>
        <w:pStyle w:val="BookText"/>
      </w:pPr>
      <w:r>
        <w:rPr>
          <w:rFonts w:ascii="IRNazanin" w:hAnsi="IRNazanin" w:eastAsia="IRNazanin" w:cs="IRNazanin"/>
          <w:lang w:bidi="fa-IR"/>
          <w:color w:val="111111"/>
          <w:sz w:val="28"/>
          <w:szCs w:val="28"/>
          <w:rtl/>
        </w:rPr>
        <w:t xml:space="preserve">41.تهران؛ ملی؛ شماره نسخه ۱۰۱۰</w:t>
      </w:r>
    </w:p>
    <w:p>
      <w:pPr>
        <w:pStyle w:val="BookText"/>
      </w:pPr>
      <w:r>
        <w:rPr>
          <w:rFonts w:ascii="IRNazanin" w:hAnsi="IRNazanin" w:eastAsia="IRNazanin" w:cs="IRNazanin"/>
          <w:lang w:bidi="fa-IR"/>
          <w:color w:val="111111"/>
          <w:sz w:val="28"/>
          <w:szCs w:val="28"/>
          <w:rtl/>
        </w:rPr>
        <w:t xml:space="preserve">آغاز: برابر؛ انجام:مکن غیبت مده بیهوده دشنام *** که در حسرت فرومانی سر انجام.</w:t>
      </w:r>
    </w:p>
    <w:p>
      <w:pPr>
        <w:pStyle w:val="BookText"/>
      </w:pPr>
      <w:r>
        <w:rPr>
          <w:rFonts w:ascii="IRNazanin" w:hAnsi="IRNazanin" w:eastAsia="IRNazanin" w:cs="IRNazanin"/>
          <w:lang w:bidi="fa-IR"/>
          <w:color w:val="111111"/>
          <w:sz w:val="28"/>
          <w:szCs w:val="28"/>
          <w:rtl/>
        </w:rPr>
        <w:t xml:space="preserve">خط: شکسته نستعلیق، بی کا، تا: قرن ۱۳؛ کاغذ: فرنگی ،جلد: کاغذ آبی سیر و روشن  مقوایی ،۳۹گ، ۱۹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 سم [ف: ۳ - ۱۲]</w:t>
      </w:r>
    </w:p>
    <w:p>
      <w:pPr>
        <w:pStyle w:val="BookText"/>
      </w:pPr>
      <w:r>
        <w:rPr>
          <w:rFonts w:ascii="IRNazanin" w:hAnsi="IRNazanin" w:eastAsia="IRNazanin" w:cs="IRNazanin"/>
          <w:lang w:bidi="fa-IR"/>
          <w:color w:val="111111"/>
          <w:sz w:val="28"/>
          <w:szCs w:val="28"/>
          <w:rtl/>
        </w:rPr>
        <w:t xml:space="preserve">۴۲. تهران؛ دانشگاه؛ شماره نسخه: ۶۰۳۹/۱</w:t>
      </w:r>
    </w:p>
    <w:p>
      <w:pPr>
        <w:pStyle w:val="BookText"/>
      </w:pPr>
      <w:r>
        <w:rPr>
          <w:rFonts w:ascii="IRNazanin" w:hAnsi="IRNazanin" w:eastAsia="IRNazanin" w:cs="IRNazanin"/>
          <w:lang w:bidi="fa-IR"/>
          <w:color w:val="111111"/>
          <w:sz w:val="28"/>
          <w:szCs w:val="28"/>
          <w:rtl/>
        </w:rPr>
        <w:t xml:space="preserve">خط: نستعلیق، بی کا، تا: قرن ۱۳؛ کاغذ: فرنگی، جلد: تیماج مشکی ضربی ،مقوایی (۱۷۷گ (۱-۷۷۱)، ۱۰ سطر (6</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قطع: جیبی،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۱۶-۱۸۴]</w:t>
      </w:r>
    </w:p>
    <w:p>
      <w:pPr>
        <w:pStyle w:val="BookText"/>
      </w:pPr>
      <w:r>
        <w:rPr>
          <w:rFonts w:ascii="IRNazanin" w:hAnsi="IRNazanin" w:eastAsia="IRNazanin" w:cs="IRNazanin"/>
          <w:lang w:bidi="fa-IR"/>
          <w:color w:val="111111"/>
          <w:sz w:val="28"/>
          <w:szCs w:val="28"/>
          <w:rtl/>
        </w:rPr>
        <w:t xml:space="preserve">۴۳. مشهد؛ رضوی؛ شماره نسخه: ۱۸۲۵۱</w:t>
      </w:r>
    </w:p>
    <w:p>
      <w:pPr>
        <w:pStyle w:val="BookText"/>
      </w:pPr>
      <w:r>
        <w:rPr>
          <w:rFonts w:ascii="IRNazanin" w:hAnsi="IRNazanin" w:eastAsia="IRNazanin" w:cs="IRNazanin"/>
          <w:lang w:bidi="fa-IR"/>
          <w:color w:val="111111"/>
          <w:sz w:val="28"/>
          <w:szCs w:val="28"/>
          <w:rtl/>
        </w:rPr>
        <w:t xml:space="preserve">آغاز: رقص آفتاب روی دلبر ز شیر آسمان قدر تو برتر؛ انجام: که خواجو که در عالم جان رسید چو از خود بیرون شد بجانان رسید</w:t>
      </w:r>
    </w:p>
    <w:p>
      <w:pPr>
        <w:pStyle w:val="BookText"/>
      </w:pPr>
      <w:r>
        <w:rPr>
          <w:rFonts w:ascii="IRNazanin" w:hAnsi="IRNazanin" w:eastAsia="IRNazanin" w:cs="IRNazanin"/>
          <w:lang w:bidi="fa-IR"/>
          <w:color w:val="111111"/>
          <w:sz w:val="28"/>
          <w:szCs w:val="28"/>
          <w:rtl/>
        </w:rPr>
        <w:t xml:space="preserve">خط: نستعلیق، بی کا، تا: ۱۲۲۸ق؛ افتادگی: آغاز [رایانه]</w:t>
      </w:r>
    </w:p>
    <w:p>
      <w:pPr>
        <w:pStyle w:val="BookText"/>
      </w:pPr>
      <w:r>
        <w:rPr>
          <w:rFonts w:ascii="IRNazanin" w:hAnsi="IRNazanin" w:eastAsia="IRNazanin" w:cs="IRNazanin"/>
          <w:lang w:bidi="fa-IR"/>
          <w:color w:val="111111"/>
          <w:sz w:val="28"/>
          <w:szCs w:val="28"/>
          <w:rtl/>
        </w:rPr>
        <w:t xml:space="preserve">۴۴. تهران؛ مجلس؛ شماره نسخه: ۱۱۵۴/۱</w:t>
      </w:r>
    </w:p>
    <w:p>
      <w:pPr>
        <w:pStyle w:val="BookText"/>
      </w:pPr>
      <w:r>
        <w:rPr>
          <w:rFonts w:ascii="IRNazanin" w:hAnsi="IRNazanin" w:eastAsia="IRNazanin" w:cs="IRNazanin"/>
          <w:lang w:bidi="fa-IR"/>
          <w:color w:val="111111"/>
          <w:sz w:val="28"/>
          <w:szCs w:val="28"/>
          <w:rtl/>
        </w:rPr>
        <w:t xml:space="preserve">آغاز: همی باید که خلقی از ارادت*** برآرد پشت انگشت شهادت ؛انجام: چرا چندین سخن بایست گفتن *** چو زیر خاک می بایست خفتن</w:t>
      </w:r>
    </w:p>
    <w:p>
      <w:pPr>
        <w:pStyle w:val="BookText"/>
      </w:pPr>
      <w:r>
        <w:rPr>
          <w:rFonts w:ascii="IRNazanin" w:hAnsi="IRNazanin" w:eastAsia="IRNazanin" w:cs="IRNazanin"/>
          <w:lang w:bidi="fa-IR"/>
          <w:color w:val="111111"/>
          <w:sz w:val="28"/>
          <w:szCs w:val="28"/>
          <w:rtl/>
        </w:rPr>
        <w:t xml:space="preserve">بی کا، تا: ۱۲۸۰ق؛ افتادگی: آغاز [ف: ۳ - ۴۰۷]</w:t>
      </w:r>
    </w:p>
    <w:p>
      <w:pPr>
        <w:pStyle w:val="BookText"/>
      </w:pPr>
      <w:r>
        <w:rPr>
          <w:rFonts w:ascii="IRNazanin" w:hAnsi="IRNazanin" w:eastAsia="IRNazanin" w:cs="IRNazanin"/>
          <w:lang w:bidi="fa-IR"/>
          <w:color w:val="111111"/>
          <w:sz w:val="28"/>
          <w:szCs w:val="28"/>
          <w:rtl/>
        </w:rPr>
        <w:t xml:space="preserve">۴۵. مشهد؛ گوهر شاد؛ شماره نسخه: ۷۹۶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269" w:name="pg20365_260383"/>
    <w:bookmarkEnd w:id="269"/>
    <w:p>
      <w:pPr>
        <w:pStyle w:val="BookText"/>
      </w:pPr>
      <w:r>
        <w:rPr>
          <w:rFonts w:ascii="IRNazanin" w:hAnsi="IRNazanin" w:eastAsia="IRNazanin" w:cs="IRNazanin"/>
          <w:lang w:bidi="fa-IR"/>
          <w:color w:val="111111"/>
          <w:sz w:val="28"/>
          <w:szCs w:val="28"/>
          <w:rtl/>
        </w:rPr>
        <w:t xml:space="preserve">آغاز: برابر؛ انجام: گر جمله کاینات کافر گردند*** بر دامن کبریات ننشیند گرد</w:t>
      </w:r>
    </w:p>
    <w:p>
      <w:pPr>
        <w:pStyle w:val="BookText"/>
      </w:pPr>
      <w:r>
        <w:rPr>
          <w:rFonts w:ascii="IRNazanin" w:hAnsi="IRNazanin" w:eastAsia="IRNazanin" w:cs="IRNazanin"/>
          <w:lang w:bidi="fa-IR"/>
          <w:color w:val="111111"/>
          <w:sz w:val="28"/>
          <w:szCs w:val="28"/>
          <w:rtl/>
        </w:rPr>
        <w:t xml:space="preserve">خط: نستعلیق، کا: علی رضا، تا: ۷ ذیقعده ۱۳۳۰ق؛ مهر : حاج سید سعيد؛ جلد: مقوا با کاغذ ابری عطف و گوشه میشن قهوه ای، 15سطر (۷/۵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۲ - ۹۰۶]</w:t>
      </w:r>
    </w:p>
    <w:p>
      <w:pPr>
        <w:pStyle w:val="BookText"/>
      </w:pPr>
      <w:r>
        <w:rPr>
          <w:rFonts w:ascii="IRNazanin" w:hAnsi="IRNazanin" w:eastAsia="IRNazanin" w:cs="IRNazanin"/>
          <w:lang w:bidi="fa-IR"/>
          <w:color w:val="111111"/>
          <w:sz w:val="28"/>
          <w:szCs w:val="28"/>
          <w:rtl/>
        </w:rPr>
        <w:t xml:space="preserve">۴۶. تهران؛ مجلس؛ شماره نسخه: ۲۶۰۸/۱</w:t>
      </w:r>
    </w:p>
    <w:p>
      <w:pPr>
        <w:pStyle w:val="BookText"/>
      </w:pPr>
      <w:r>
        <w:rPr>
          <w:rFonts w:ascii="IRNazanin" w:hAnsi="IRNazanin" w:eastAsia="IRNazanin" w:cs="IRNazanin"/>
          <w:lang w:bidi="fa-IR"/>
          <w:color w:val="111111"/>
          <w:sz w:val="28"/>
          <w:szCs w:val="28"/>
          <w:rtl/>
        </w:rPr>
        <w:t xml:space="preserve">آغاز: الحمد لله المتجلى لخلقه بخلقه؛ انجام: نمیدانم سخن زین من زیادت *** که رانی ختم کارم بر سعادت  شامل مقدمه نثر که در آغاز اسرارنامه چاپی است و اسرار نامه ؛خط: نستعلیق، کا: محسن  حالی، تا: ۱۳۳۵ق؛ کاغذ: فرنگی زرد ،جلد: مقوایی، ۲۸۸ ص (۱-۲۸۸) ، ۱۵ سطر، اندازه: 9</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سم [ف : 8- 345]</w:t>
      </w:r>
    </w:p>
    <w:p>
      <w:pPr>
        <w:pStyle w:val="BookText"/>
      </w:pPr>
      <w:r>
        <w:rPr>
          <w:rFonts w:ascii="IRNazanin" w:hAnsi="IRNazanin" w:eastAsia="IRNazanin" w:cs="IRNazanin"/>
          <w:lang w:bidi="fa-IR"/>
          <w:color w:val="111111"/>
          <w:sz w:val="28"/>
          <w:szCs w:val="28"/>
          <w:rtl/>
        </w:rPr>
        <w:t xml:space="preserve">۴۷. شیراز ؛خانقاه احمدیه؛ شماره نسخه: ۱۳۴/۱</w:t>
      </w:r>
    </w:p>
    <w:p>
      <w:pPr>
        <w:pStyle w:val="BookText"/>
      </w:pPr>
      <w:r>
        <w:rPr>
          <w:rFonts w:ascii="IRNazanin" w:hAnsi="IRNazanin" w:eastAsia="IRNazanin" w:cs="IRNazanin"/>
          <w:lang w:bidi="fa-IR"/>
          <w:color w:val="111111"/>
          <w:sz w:val="28"/>
          <w:szCs w:val="28"/>
          <w:rtl/>
        </w:rPr>
        <w:t xml:space="preserve">كا: ابوالحسن بن شیخ مصطفى موذن شاه چراغ، تا: ۳۳۶ق[نشریه: ۵ - ۲۲۴]</w:t>
      </w:r>
    </w:p>
    <w:p>
      <w:pPr>
        <w:pStyle w:val="BookText"/>
      </w:pPr>
      <w:r>
        <w:rPr>
          <w:rFonts w:ascii="IRNazanin" w:hAnsi="IRNazanin" w:eastAsia="IRNazanin" w:cs="IRNazanin"/>
          <w:lang w:bidi="fa-IR"/>
          <w:color w:val="111111"/>
          <w:sz w:val="28"/>
          <w:szCs w:val="28"/>
          <w:rtl/>
        </w:rPr>
        <w:t xml:space="preserve">۴۸. قم؛ گلپایگانی؛ شماره نسخه: ۹۸۴/۱-۶/۷۴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۱۳۵گ (۱پ-۱۳۵ر)، ۱۳-۱۵ سـطر،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۱ - ۳۵۲]</w:t>
      </w:r>
    </w:p>
    <w:p>
      <w:pPr>
        <w:pStyle w:val="BookText"/>
      </w:pPr>
      <w:r>
        <w:rPr>
          <w:rFonts w:ascii="IRNazanin" w:hAnsi="IRNazanin" w:eastAsia="IRNazanin" w:cs="IRNazanin"/>
          <w:lang w:bidi="fa-IR"/>
          <w:color w:val="111111"/>
          <w:sz w:val="28"/>
          <w:szCs w:val="28"/>
          <w:rtl/>
        </w:rPr>
        <w:t xml:space="preserve">۴۹. قم؛ گلپایگانی؛ شماره نسخه: ۸۳۲۵/۱-۵۶/۱۷۵</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شکسته، بی کا، بی تا؛ ۱۱۹گ (۱-۱۱۹) ۱۷ 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۱ - ۳۵۲]</w:t>
      </w:r>
    </w:p>
    <w:p>
      <w:pPr>
        <w:pStyle w:val="BookText"/>
      </w:pPr>
      <w:r>
        <w:rPr>
          <w:rFonts w:ascii="IRNazanin" w:hAnsi="IRNazanin" w:eastAsia="IRNazanin" w:cs="IRNazanin"/>
          <w:lang w:bidi="fa-IR"/>
          <w:color w:val="111111"/>
          <w:sz w:val="28"/>
          <w:szCs w:val="28"/>
          <w:rtl/>
        </w:rPr>
        <w:t xml:space="preserve">۵۰. تهران؛ دانشگاه؛ شماره نسخه: ۲۴۱/۷-ف</w:t>
      </w:r>
    </w:p>
    <w:p>
      <w:pPr>
        <w:pStyle w:val="BookText"/>
      </w:pPr>
      <w:r>
        <w:rPr>
          <w:rFonts w:ascii="IRNazanin" w:hAnsi="IRNazanin" w:eastAsia="IRNazanin" w:cs="IRNazanin"/>
          <w:lang w:bidi="fa-IR"/>
          <w:color w:val="111111"/>
          <w:sz w:val="28"/>
          <w:szCs w:val="28"/>
          <w:rtl/>
        </w:rPr>
        <w:t xml:space="preserve">نسخه  اصل: اونیورسیته ش .۴۹۶ در ۳۵۳۱ بیت؛ بی کا، بی تا؛ ۴۰گ( هامش ۳۱۹ پ - ۳۵۹پ)، ۲۵ سطر [فیلم ها-ف: ۱ - ۴۴۲]</w:t>
      </w:r>
    </w:p>
    <w:p>
      <w:pPr>
        <w:pStyle w:val="BookText"/>
      </w:pPr>
      <w:r>
        <w:rPr>
          <w:rFonts w:ascii="IRNazanin" w:hAnsi="IRNazanin" w:eastAsia="IRNazanin" w:cs="IRNazanin"/>
          <w:lang w:bidi="fa-IR"/>
          <w:color w:val="111111"/>
          <w:sz w:val="28"/>
          <w:szCs w:val="28"/>
          <w:rtl/>
        </w:rPr>
        <w:t xml:space="preserve">۵۱ .تهران؛ دانشگاه؛ شماره نسخه: ۶۰۷۵/۳</w:t>
      </w:r>
    </w:p>
    <w:p>
      <w:pPr>
        <w:pStyle w:val="BookText"/>
      </w:pPr>
      <w:r>
        <w:rPr>
          <w:rFonts w:ascii="IRNazanin" w:hAnsi="IRNazanin" w:eastAsia="IRNazanin" w:cs="IRNazanin"/>
          <w:lang w:bidi="fa-IR"/>
          <w:color w:val="111111"/>
          <w:sz w:val="28"/>
          <w:szCs w:val="28"/>
          <w:rtl/>
        </w:rPr>
        <w:t xml:space="preserve">خط: نستعلیق، بی کا، بی تا، کاغذ: سمرقندی، جلد: گالینگور و عطف تیماج  سرخ، ۱۶۶ ص ،(۲۷۲-۴۳۷)، ۲۲ سطر (8</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 قـطع: ربعی،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سم [ف: ۱۶ – ۱۹۲]</w:t>
      </w:r>
    </w:p>
    <w:p>
      <w:pPr>
        <w:pStyle w:val="BookText"/>
      </w:pPr>
      <w:r>
        <w:rPr>
          <w:rFonts w:ascii="IRNazanin" w:hAnsi="IRNazanin" w:eastAsia="IRNazanin" w:cs="IRNazanin"/>
          <w:lang w:bidi="fa-IR"/>
          <w:color w:val="111111"/>
          <w:sz w:val="28"/>
          <w:szCs w:val="28"/>
          <w:rtl/>
        </w:rPr>
        <w:t xml:space="preserve">۵۲. تهران؛ دانشگاه؛ شماره نسخه: ۷۵۵۷/۲</w:t>
      </w:r>
    </w:p>
    <w:p>
      <w:pPr>
        <w:pStyle w:val="BookText"/>
      </w:pPr>
      <w:r>
        <w:rPr>
          <w:rFonts w:ascii="IRNazanin" w:hAnsi="IRNazanin" w:eastAsia="IRNazanin" w:cs="IRNazanin"/>
          <w:lang w:bidi="fa-IR"/>
          <w:color w:val="111111"/>
          <w:sz w:val="28"/>
          <w:szCs w:val="28"/>
          <w:rtl/>
        </w:rPr>
        <w:t xml:space="preserve">خط: نستعلیق، بی کا، بی تا :کاغذ ،فرنگی ،جلد: مقوا عطف تیماج تریاکی، ۱۱ سطر (۶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 قطع: ربعی، 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  سم [ف: ۱۶ - ۶۲۸]</w:t>
      </w:r>
    </w:p>
    <w:p>
      <w:pPr>
        <w:pStyle w:val="BookText"/>
      </w:pPr>
      <w:r>
        <w:rPr>
          <w:rFonts w:ascii="IRNazanin" w:hAnsi="IRNazanin" w:eastAsia="IRNazanin" w:cs="IRNazanin"/>
          <w:lang w:bidi="fa-IR"/>
          <w:color w:val="111111"/>
          <w:sz w:val="28"/>
          <w:szCs w:val="28"/>
          <w:rtl/>
        </w:rPr>
        <w:t xml:space="preserve">۵۳. تهران؛ مجلس؛ شماره نسخه: ۱۸۷۲۰ ض</w:t>
      </w:r>
    </w:p>
    <w:p>
      <w:pPr>
        <w:pStyle w:val="BookText"/>
      </w:pPr>
      <w:r>
        <w:rPr>
          <w:rFonts w:ascii="IRNazanin" w:hAnsi="IRNazanin" w:eastAsia="IRNazanin" w:cs="IRNazanin"/>
          <w:lang w:bidi="fa-IR"/>
          <w:color w:val="111111"/>
          <w:sz w:val="28"/>
          <w:szCs w:val="28"/>
          <w:rtl/>
        </w:rPr>
        <w:t xml:space="preserve">بی  کا، بی تا [د.ث. مجلس ]</w:t>
      </w:r>
    </w:p>
    <w:p>
      <w:pPr>
        <w:pStyle w:val="BookText"/>
      </w:pPr>
      <w:r>
        <w:rPr>
          <w:rFonts w:ascii="IRNazanin" w:hAnsi="IRNazanin" w:eastAsia="IRNazanin" w:cs="IRNazanin"/>
          <w:lang w:bidi="fa-IR"/>
          <w:color w:val="111111"/>
          <w:sz w:val="28"/>
          <w:szCs w:val="28"/>
          <w:rtl/>
        </w:rPr>
        <w:t xml:space="preserve">۵۴. تهران؛ مجلس؛ شماره نسخه: ۷۳۵۷/۲</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بی کا، بی تا؛ مجدول مذهب؛ جلد: روغنی زرد  عطف تیماج، ۳۵گ (۶۳ پ-۹۷پ)، ۲۵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  [ف: ۲۵ - ۳۳۸]</w:t>
      </w:r>
    </w:p>
    <w:p>
      <w:pPr>
        <w:pStyle w:val="BookText"/>
      </w:pPr>
      <w:r>
        <w:rPr>
          <w:rFonts w:ascii="IRNazanin" w:hAnsi="IRNazanin" w:eastAsia="IRNazanin" w:cs="IRNazanin"/>
          <w:lang w:bidi="fa-IR"/>
          <w:color w:val="111111"/>
          <w:sz w:val="28"/>
          <w:szCs w:val="28"/>
          <w:rtl/>
        </w:rPr>
        <w:t xml:space="preserve">۵۴. تهران؛ مجلس؛ شماره نسخه: ۹۰۰۴/۱۷</w:t>
      </w:r>
    </w:p>
    <w:p>
      <w:pPr>
        <w:pStyle w:val="BookText"/>
      </w:pPr>
      <w:r>
        <w:rPr>
          <w:rFonts w:ascii="IRNazanin" w:hAnsi="IRNazanin" w:eastAsia="IRNazanin" w:cs="IRNazanin"/>
          <w:lang w:bidi="fa-IR"/>
          <w:color w:val="111111"/>
          <w:sz w:val="28"/>
          <w:szCs w:val="28"/>
          <w:rtl/>
        </w:rPr>
        <w:t xml:space="preserve">منتخب؛ بی کا، بی تا ؛کاغذ: نخودی آهار مهره ،جلد: میشن  قهوه ای ضربی با ترنج و سر ترنج، ۵گ (179- 181پ و ۲۰۹ر- ۲۱۰ ر) سطور چلیپا و معمولی [ف:۲۹/۲ - ۶۰۱]</w:t>
      </w:r>
    </w:p>
    <w:p>
      <w:pPr>
        <w:pStyle w:val="Heading3"/>
      </w:pPr>
      <w:bookmarkStart w:id="1438" w:name="_Toc960"/>
      <w:r>
        <w:t>اسرار نامه / شعر / فارسی</w:t>
      </w:r>
      <w:bookmarkEnd w:id="1438"/>
    </w:p>
    <w:p>
      <w:pPr>
        <w:pStyle w:val="BookText"/>
      </w:pPr>
      <w:r>
        <w:rPr>
          <w:rFonts w:ascii="Times New Roman" w:hAnsi="Times New Roman" w:eastAsia="Times New Roman" w:cs="Times New Roman"/>
          <w:lang w:val="en-US" w:bidi="en-US"/>
          <w:color w:val="111111"/>
          <w:sz w:val="28"/>
          <w:szCs w:val="28"/>
          <w:rtl/>
        </w:rPr>
        <w:t xml:space="preserve">asrār nāme</w:t>
      </w:r>
    </w:p>
    <w:p>
      <w:pPr>
        <w:pStyle w:val="BookText"/>
      </w:pPr>
      <w:r>
        <w:rPr>
          <w:rFonts w:ascii="IRNazanin" w:hAnsi="IRNazanin" w:eastAsia="IRNazanin" w:cs="IRNazanin"/>
          <w:lang w:bidi="fa-IR"/>
          <w:color w:val="111111"/>
          <w:sz w:val="28"/>
          <w:szCs w:val="28"/>
          <w:rtl/>
        </w:rPr>
        <w:t xml:space="preserve">سبزواری، هادی بن  مهدی، ۱۲۱۲ - ۱۲۸۹ قمری</w:t>
      </w:r>
    </w:p>
    <w:p>
      <w:pPr>
        <w:pStyle w:val="BookText"/>
      </w:pPr>
      <w:r>
        <w:rPr>
          <w:rFonts w:ascii="Times New Roman" w:hAnsi="Times New Roman" w:eastAsia="Times New Roman" w:cs="Times New Roman"/>
          <w:lang w:val="en-US" w:bidi="en-US"/>
          <w:color w:val="111111"/>
          <w:sz w:val="28"/>
          <w:szCs w:val="28"/>
          <w:rtl/>
        </w:rPr>
        <w:t xml:space="preserve">(sabzevari, hadi ebn-e mahdi (1798 - 1872)</w:t>
      </w:r>
    </w:p>
    <w:p>
      <w:pPr>
        <w:pStyle w:val="BookText"/>
      </w:pPr>
      <w:r>
        <w:rPr>
          <w:rFonts w:ascii="IRNazanin" w:hAnsi="IRNazanin" w:eastAsia="IRNazanin" w:cs="IRNazanin"/>
          <w:lang w:bidi="fa-IR"/>
          <w:color w:val="111111"/>
          <w:sz w:val="28"/>
          <w:szCs w:val="28"/>
          <w:rtl/>
        </w:rPr>
        <w:t xml:space="preserve">[فهرستواره منزوی ۱۴۶/۱۰]</w:t>
      </w:r>
    </w:p>
    <w:p>
      <w:pPr>
        <w:pStyle w:val="BookText"/>
      </w:pPr>
      <w:r>
        <w:rPr>
          <w:rFonts w:ascii="IRNazanin" w:hAnsi="IRNazanin" w:eastAsia="IRNazanin" w:cs="IRNazanin"/>
          <w:lang w:bidi="fa-IR"/>
          <w:color w:val="111111"/>
          <w:sz w:val="28"/>
          <w:szCs w:val="28"/>
          <w:rtl/>
        </w:rPr>
        <w:t xml:space="preserve">تهران؛ مجلس؛ شماره نسخه: ۵۸۶۶/۲</w:t>
      </w:r>
    </w:p>
    <w:p>
      <w:pPr>
        <w:pStyle w:val="BookText"/>
      </w:pPr>
      <w:r>
        <w:rPr>
          <w:rFonts w:ascii="IRNazanin" w:hAnsi="IRNazanin" w:eastAsia="IRNazanin" w:cs="IRNazanin"/>
          <w:lang w:bidi="fa-IR"/>
          <w:color w:val="111111"/>
          <w:sz w:val="28"/>
          <w:szCs w:val="28"/>
          <w:rtl/>
        </w:rPr>
        <w:t xml:space="preserve">خط: نستعلیق، کا: کربلائی میرزا حسن سبزواری خلف کربلائی؛ بی تا،  ۴۳ ص (۱۷۲-۲۱۴) [ف: ۱۷ - ۲۶۹]</w:t>
      </w:r>
    </w:p>
    <w:p>
      <w:pPr>
        <w:pStyle w:val="Heading3"/>
      </w:pPr>
      <w:bookmarkStart w:id="1439" w:name="_Toc961"/>
      <w:r>
        <w:t>اسرار النبوه / تاريخ / فارسی</w:t>
      </w:r>
      <w:bookmarkEnd w:id="1439"/>
    </w:p>
    <w:p>
      <w:pPr>
        <w:pStyle w:val="BookText"/>
      </w:pPr>
      <w:r>
        <w:rPr>
          <w:rFonts w:ascii="Times New Roman" w:hAnsi="Times New Roman" w:eastAsia="Times New Roman" w:cs="Times New Roman"/>
          <w:lang w:val="en-US" w:bidi="en-US"/>
          <w:color w:val="111111"/>
          <w:sz w:val="28"/>
          <w:szCs w:val="28"/>
          <w:rtl/>
        </w:rPr>
        <w:t xml:space="preserve">asrar-on-nobovva</w:t>
      </w:r>
    </w:p>
    <w:p>
      <w:pPr>
        <w:pStyle w:val="BookText"/>
      </w:pPr>
      <w:r>
        <w:rPr>
          <w:rFonts w:ascii="IRNazanin" w:hAnsi="IRNazanin" w:eastAsia="IRNazanin" w:cs="IRNazanin"/>
          <w:lang w:bidi="fa-IR"/>
          <w:color w:val="111111"/>
          <w:sz w:val="28"/>
          <w:szCs w:val="28"/>
          <w:rtl/>
        </w:rPr>
        <w:t xml:space="preserve">مشهد؛ رضوی؛ شماره نسخه: ۱۵۵۰۵</w:t>
      </w:r>
    </w:p>
    <w:p>
      <w:pPr>
        <w:pStyle w:val="BookText"/>
      </w:pPr>
      <w:r>
        <w:rPr>
          <w:rFonts w:ascii="IRNazanin" w:hAnsi="IRNazanin" w:eastAsia="IRNazanin" w:cs="IRNazanin"/>
          <w:lang w:bidi="fa-IR"/>
          <w:color w:val="111111"/>
          <w:sz w:val="28"/>
          <w:szCs w:val="28"/>
          <w:rtl/>
        </w:rPr>
        <w:t xml:space="preserve">آغاز: بسمله الحمد لله رب العالمین نخستین آغاز؛ انجام: و از صحابه دو تن بازمانده بودند</w:t>
      </w:r>
    </w:p>
    <w:p>
      <w:pPr>
        <w:pStyle w:val="BookText"/>
      </w:pPr>
      <w:r>
        <w:rPr>
          <w:rFonts w:ascii="IRNazanin" w:hAnsi="IRNazanin" w:eastAsia="IRNazanin" w:cs="IRNazanin"/>
          <w:lang w:bidi="fa-IR"/>
          <w:color w:val="111111"/>
          <w:sz w:val="28"/>
          <w:szCs w:val="28"/>
          <w:rtl/>
        </w:rPr>
        <w:t xml:space="preserve">اوراقی پراکنده و ناقص از رکن سوم عنوان فوق در غزوات پیامبر (صلّی اللَّهِ علیه وَ آلِهِ وَ سَلَّمَ )؛ خط: نسخ، بی کا، بی تا [الفبائی: ۶۲۱] :</w:t>
      </w:r>
    </w:p>
    <w:p>
      <w:pPr>
        <w:pStyle w:val="Heading3"/>
      </w:pPr>
      <w:bookmarkStart w:id="1440" w:name="_Toc962"/>
      <w:r>
        <w:t>اسرار النبی محمد (صلّی اللَّهِ علیه وَ آلِهِ وَ سَلَّمَ ) / تاریخ پیامبراکرم (صلّی اللَّهِ علیه وَ آلِهِ وَ سَلَّمَ ) / عربی</w:t>
      </w:r>
      <w:bookmarkEnd w:id="1440"/>
    </w:p>
    <w:p>
      <w:pPr>
        <w:pStyle w:val="BookText"/>
      </w:pPr>
      <w:r>
        <w:rPr>
          <w:rFonts w:ascii="Times New Roman" w:hAnsi="Times New Roman" w:eastAsia="Times New Roman" w:cs="Times New Roman"/>
          <w:lang w:val="en-US" w:bidi="en-US"/>
          <w:color w:val="111111"/>
          <w:sz w:val="28"/>
          <w:szCs w:val="28"/>
          <w:rtl/>
        </w:rPr>
        <w:t xml:space="preserve">(asrār-un-nabī muḥammad (ṣ)</w:t>
      </w:r>
    </w:p>
    <w:p>
      <w:pPr>
        <w:pStyle w:val="BookText"/>
      </w:pPr>
      <w:r>
        <w:rPr>
          <w:rFonts w:ascii="IRNazanin" w:hAnsi="IRNazanin" w:eastAsia="IRNazanin" w:cs="IRNazanin"/>
          <w:lang w:bidi="fa-IR"/>
          <w:color w:val="111111"/>
          <w:sz w:val="28"/>
          <w:szCs w:val="28"/>
          <w:rtl/>
        </w:rPr>
        <w:t xml:space="preserve">فصلی از کتابی است درباره زندگانی و شخصیت پیامبر (صلّی اللَّهِ علیه وَ آلِهِ وَ سَلَّمَ ).</w:t>
      </w:r>
    </w:p>
    <w:p>
      <w:pPr>
        <w:pStyle w:val="BookText"/>
      </w:pPr>
      <w:r>
        <w:rPr>
          <w:rFonts w:ascii="IRNazanin" w:hAnsi="IRNazanin" w:eastAsia="IRNazanin" w:cs="IRNazanin"/>
          <w:lang w:bidi="fa-IR"/>
          <w:color w:val="111111"/>
          <w:sz w:val="28"/>
          <w:szCs w:val="28"/>
          <w:rtl/>
        </w:rPr>
        <w:t xml:space="preserve">تهران؛ مجلس؛ شماره نسخه: ۱۲۲۷/۱۰-ط</w:t>
      </w:r>
    </w:p>
    <w:p>
      <w:pPr>
        <w:pStyle w:val="BookText"/>
      </w:pPr>
      <w:r>
        <w:rPr>
          <w:rFonts w:ascii="Amiri" w:hAnsi="Amiri" w:eastAsia="Amiri" w:cs="Amiri"/>
          <w:lang w:bidi="ar-SA"/>
          <w:color w:val="111111"/>
          <w:sz w:val="28"/>
          <w:szCs w:val="28"/>
          <w:rtl/>
        </w:rPr>
        <w:t xml:space="preserve">آغاز: فصل فى اسرار النبي محمد صلى الله عليه و آله فمنها اسرار مولده رواه زياد بن المنذر عن ليث بن سعيد</w:t>
      </w:r>
    </w:p>
    <w:p>
      <w:pPr>
        <w:pStyle w:val="BookText"/>
      </w:pPr>
      <w:r>
        <w:rPr>
          <w:rFonts w:ascii="IRNazanin" w:hAnsi="IRNazanin" w:eastAsia="IRNazanin" w:cs="IRNazanin"/>
          <w:lang w:bidi="fa-IR"/>
          <w:color w:val="111111"/>
          <w:sz w:val="28"/>
          <w:szCs w:val="28"/>
          <w:rtl/>
        </w:rPr>
        <w:t xml:space="preserve">خط: نسخ، بی کا، تا: قرن ۱۳؛ پس از این بخش فقراتی است در اسرار  معراج، عرش و احادیثی درباره نجوم، فجر، و اسرار جنت و نار؛ کاغذ: فرنگی ،جلد: تیماج قرمز یک لا، ۲ ص( ۳۱۷-۳۱۸)،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 ۲۳ - ۸۰۱]</w:t>
      </w:r>
    </w:p>
    <w:p>
      <w:pPr>
        <w:pStyle w:val="Heading3"/>
      </w:pPr>
      <w:bookmarkStart w:id="1441" w:name="_Toc963"/>
      <w:r>
        <w:t>اسرار النجوم = احكام النجوم = کتاب اسرار / هیئت  / عربی</w:t>
      </w:r>
      <w:bookmarkEnd w:id="1441"/>
    </w:p>
    <w:p>
      <w:pPr>
        <w:pStyle w:val="BookText"/>
      </w:pPr>
      <w:r>
        <w:rPr>
          <w:rFonts w:ascii="Times New Roman" w:hAnsi="Times New Roman" w:eastAsia="Times New Roman" w:cs="Times New Roman"/>
          <w:lang w:val="en-US" w:bidi="en-US"/>
          <w:color w:val="111111"/>
          <w:sz w:val="28"/>
          <w:szCs w:val="28"/>
          <w:rtl/>
        </w:rPr>
        <w:t xml:space="preserve">asrār-un-nujūm = aḥkām-un-nujūm = k.-e asrār</w:t>
      </w:r>
    </w:p>
    <w:p>
      <w:pPr>
        <w:pStyle w:val="BookText"/>
      </w:pPr>
      <w:r>
        <w:rPr>
          <w:rFonts w:ascii="IRNazanin" w:hAnsi="IRNazanin" w:eastAsia="IRNazanin" w:cs="IRNazanin"/>
          <w:lang w:bidi="fa-IR"/>
          <w:color w:val="111111"/>
          <w:sz w:val="28"/>
          <w:szCs w:val="28"/>
          <w:rtl/>
        </w:rPr>
        <w:t xml:space="preserve">ارسطو، ۳۸۴ - ۳۲۲ ؟ قبل میلاد</w:t>
      </w:r>
    </w:p>
    <w:p>
      <w:pPr>
        <w:pStyle w:val="BookText"/>
      </w:pPr>
      <w:r>
        <w:rPr>
          <w:rFonts w:ascii="Times New Roman" w:hAnsi="Times New Roman" w:eastAsia="Times New Roman" w:cs="Times New Roman"/>
          <w:lang w:val="en-US" w:bidi="en-US"/>
          <w:color w:val="111111"/>
          <w:sz w:val="28"/>
          <w:szCs w:val="28"/>
          <w:rtl/>
        </w:rPr>
        <w:t xml:space="preserve">(arastū (-384 - -322)</w:t>
      </w:r>
    </w:p>
    <w:p>
      <w:pPr>
        <w:pStyle w:val="BookText"/>
      </w:pPr>
      <w:r>
        <w:rPr>
          <w:rFonts w:ascii="IRNazanin" w:hAnsi="IRNazanin" w:eastAsia="IRNazanin" w:cs="IRNazanin"/>
          <w:lang w:bidi="fa-IR"/>
          <w:color w:val="111111"/>
          <w:sz w:val="28"/>
          <w:szCs w:val="28"/>
          <w:rtl/>
        </w:rPr>
        <w:t xml:space="preserve">رساله ای کوتاه در صد اصل و قاعده هیئت و اخترشناسی که ارسطو فيلسوف نامدار یونانی برای شاگردش اسکندر مقدونی تألیف نموده است. اصل متن یونانی این اثر در مصادر از ارسطو دانسته شده است. استاد منزوی این نسبت را نادرست می شمارد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ترجمه ای از آن که توسط محمد اكبر بن نصر الله بن شاهرخ میرزا افشاری نگاشته شده یاد کرده است که نسخه از آن به شماره ۱۱۸۵ در کتابخانه مرکزی دانشگاه تهران نگهداری می شود.</w:t>
      </w:r>
    </w:p>
    <w:p>
      <w:pPr>
        <w:pStyle w:val="BookText"/>
      </w:pPr>
      <w:r>
        <w:rPr>
          <w:rFonts w:ascii="IRNazanin" w:hAnsi="IRNazanin" w:eastAsia="IRNazanin" w:cs="IRNazanin"/>
          <w:lang w:bidi="fa-IR"/>
          <w:color w:val="111111"/>
          <w:sz w:val="28"/>
          <w:szCs w:val="28"/>
          <w:rtl/>
        </w:rPr>
        <w:t xml:space="preserve">آغاز: بسمله، وضع ارسطو للاسكندر هذه الفصول بالقضايا وهی مائة فصل الاول الفلك مطبوع افعاله اتفاقيه و الانسان مختار اختياريه وللمختاران يحكم على المطبوع و يصرفه الى اختياره</w:t>
      </w:r>
    </w:p>
    <w:p>
      <w:pPr>
        <w:pStyle w:val="BookText"/>
      </w:pPr>
      <w:r>
        <w:rPr>
          <w:rFonts w:ascii="IRNazanin" w:hAnsi="IRNazanin" w:eastAsia="IRNazanin" w:cs="IRNazanin"/>
          <w:lang w:bidi="fa-IR"/>
          <w:color w:val="111111"/>
          <w:sz w:val="28"/>
          <w:szCs w:val="28"/>
          <w:rtl/>
        </w:rPr>
        <w:t xml:space="preserve">انجام: وإنما ذلك على حسب   حركة القمر و أسرعها و علوها و أیضاً و من أجل صارت دلالتها يظهر في درج التي بخلاف بها و ولا يتجاوزها كالمنشار ان تجريه والسكين التي يقطع بها؛ تمت الرسالة.</w:t>
      </w:r>
    </w:p>
    <w:p>
      <w:pPr>
        <w:pStyle w:val="BookText"/>
      </w:pPr>
      <w:r>
        <w:rPr>
          <w:rFonts w:ascii="IRNazanin" w:hAnsi="IRNazanin" w:eastAsia="IRNazanin" w:cs="IRNazanin"/>
          <w:lang w:bidi="fa-IR"/>
          <w:color w:val="111111"/>
          <w:sz w:val="28"/>
          <w:szCs w:val="28"/>
          <w:rtl/>
        </w:rPr>
        <w:t xml:space="preserve">[الذریعه ۱۷۱/۱۳ و ۳۶۰؛ سزگین ۶۱/۷]</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Amiri" w:hAnsi="Amiri" w:eastAsia="Amiri" w:cs="Amiri"/>
          <w:lang w:bidi="ar-SA"/>
          <w:color w:val="111111"/>
          <w:sz w:val="28"/>
          <w:szCs w:val="28"/>
          <w:rtl/>
        </w:rPr>
        <w:t xml:space="preserve">۱- منتخب اسرار النجوم - احكام مواليد الفلاسفه و .... ارسطو (384- 322)</w:t>
      </w:r>
    </w:p>
    <w:p>
      <w:pPr>
        <w:pStyle w:val="BookText"/>
      </w:pPr>
      <w:r>
        <w:rPr>
          <w:rFonts w:ascii="Amiri" w:hAnsi="Amiri" w:eastAsia="Amiri" w:cs="Amiri"/>
          <w:lang w:bidi="ar-SA"/>
          <w:color w:val="111111"/>
          <w:sz w:val="28"/>
          <w:szCs w:val="28"/>
          <w:rtl/>
        </w:rPr>
        <w:t xml:space="preserve">۲ -منتخب اسرار النجوم - منتخب مقالة في أحكام النجوم؛ ارسطو  (۳۲۲-۳۸۴)</w:t>
      </w:r>
    </w:p>
    <w:p>
      <w:pPr>
        <w:pStyle w:val="BookText"/>
      </w:pPr>
      <w:r>
        <w:rPr>
          <w:rFonts w:ascii="IRNazanin" w:hAnsi="IRNazanin" w:eastAsia="IRNazanin" w:cs="IRNazanin"/>
          <w:lang w:bidi="fa-IR"/>
          <w:color w:val="111111"/>
          <w:sz w:val="28"/>
          <w:szCs w:val="28"/>
          <w:rtl/>
        </w:rPr>
        <w:t xml:space="preserve">۳- اسرار النجوم (ترجمه) = صد باب اسکندری؛افشار، محمد اکبر بن نصر الله (-۱۳)</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دانشگاه؛ شماره نسخه: ۸۶۱۲/۲</w:t>
      </w:r>
    </w:p>
    <w:p>
      <w:pPr>
        <w:pStyle w:val="BookText"/>
      </w:pPr>
      <w:r>
        <w:rPr>
          <w:rFonts w:ascii="IRNazanin" w:hAnsi="IRNazanin" w:eastAsia="IRNazanin" w:cs="IRNazanin"/>
          <w:lang w:bidi="fa-IR"/>
          <w:color w:val="111111"/>
          <w:sz w:val="28"/>
          <w:szCs w:val="28"/>
          <w:rtl/>
        </w:rPr>
        <w:t xml:space="preserve">خط: نسخ، بی کا، تا: قرن ۱۰؛ کاغذ: سپاهانی، جلد: تیماج مشکی ، ترنجی ،مقوایی ۲گ (۲۹پ -۳۰ر)، ۲۲ سطر (۴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قـطع: ربعی [ف ۱۷ - ۱۷۶]</w:t>
      </w:r>
    </w:p>
    <w:p>
      <w:pPr>
        <w:pStyle w:val="BookText"/>
      </w:pPr>
      <w:r>
        <w:rPr>
          <w:rFonts w:ascii="IRNazanin" w:hAnsi="IRNazanin" w:eastAsia="IRNazanin" w:cs="IRNazanin"/>
          <w:lang w:bidi="fa-IR"/>
          <w:color w:val="111111"/>
          <w:sz w:val="28"/>
          <w:szCs w:val="28"/>
          <w:rtl/>
        </w:rPr>
        <w:t xml:space="preserve">۲ . مشهد؛ رضوی؛ شماره نسخه: ۵۵۲۹/۲</w:t>
      </w:r>
    </w:p>
    <w:p>
      <w:pPr>
        <w:pStyle w:val="BookText"/>
      </w:pPr>
      <w:r>
        <w:rPr>
          <w:rFonts w:ascii="Amiri" w:hAnsi="Amiri" w:eastAsia="Amiri" w:cs="Amiri"/>
          <w:lang w:bidi="ar-SA"/>
          <w:color w:val="111111"/>
          <w:sz w:val="28"/>
          <w:szCs w:val="28"/>
          <w:rtl/>
        </w:rPr>
        <w:t xml:space="preserve">آغاز: مقالة فيلسوف ارسطا طاليس فى احكام النجوم،قال المشترى والزهره اذا كانا في المقام الثاني؛ انجام: وذلك قد اشرف عليه نحس دل على خلاص الاخوان من البلايا</w:t>
      </w:r>
    </w:p>
    <w:p>
      <w:pPr>
        <w:pStyle w:val="BookText"/>
      </w:pPr>
      <w:r>
        <w:rPr>
          <w:rFonts w:ascii="IRNazanin" w:hAnsi="IRNazanin" w:eastAsia="IRNazanin" w:cs="IRNazanin"/>
          <w:lang w:bidi="fa-IR"/>
          <w:color w:val="111111"/>
          <w:sz w:val="28"/>
          <w:szCs w:val="28"/>
          <w:rtl/>
        </w:rPr>
        <w:t xml:space="preserve">خط: نسخ، بی کا، تا: قرن ۱۱؛ کاغذ: نخودی، جلد: مقوایی ۲ص (۷-۶)، ۲۳ سطر (۱۸/۵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۳۶/۵)، اندازه: ۳۴/۳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۲۷/۵ سم[ ف:8- 320]</w:t>
      </w:r>
    </w:p>
    <w:p>
      <w:pPr>
        <w:pStyle w:val="BookText"/>
      </w:pPr>
      <w:r>
        <w:rPr>
          <w:rFonts w:ascii="IRNazanin" w:hAnsi="IRNazanin" w:eastAsia="IRNazanin" w:cs="IRNazanin"/>
          <w:lang w:bidi="fa-IR"/>
          <w:color w:val="111111"/>
          <w:sz w:val="28"/>
          <w:szCs w:val="28"/>
          <w:rtl/>
        </w:rPr>
        <w:t xml:space="preserve">۳. تهران؛ مجلس؛ شماره نسخه: ۵۲۸۳/۴۱</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بی کا، تا: قرن ۱۱؛ ۵گ (۱۰۲ پ-۱۰۶ر) [ف: 16- 191]</w:t>
      </w:r>
    </w:p>
    <w:p>
      <w:pPr>
        <w:pStyle w:val="BookText"/>
      </w:pPr>
      <w:r>
        <w:rPr>
          <w:rFonts w:ascii="IRNazanin" w:hAnsi="IRNazanin" w:eastAsia="IRNazanin" w:cs="IRNazanin"/>
          <w:lang w:bidi="fa-IR"/>
          <w:color w:val="111111"/>
          <w:sz w:val="28"/>
          <w:szCs w:val="28"/>
          <w:rtl/>
        </w:rPr>
        <w:t xml:space="preserve">۴. قم؛ مرعشی؛ شماره نسخه: ۱۱۵۷۹/۴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و نستعلیق، بی کا، تا: ربیع الاول ۱۰۲۷ق؛ در پایان نسـخه  ۱۶ برگ موضوعات گوناگون در بیان کواکب  ثابته، اشعاری درباره کواکب و نجوم ۱۲ زمام در نجوم و ساعات، همچنین فوائدی در علم نجوم و منتخب از لامية العجمى به صورت شـعر ؛مهر: «عبده يحيى الطباطبایی ۱۲۹۰» (بیضی) «عبده محمد ابراهیم بن محمد تقی» (مربع)؛ کاغذ: سمرقندی، جلد: تیماج قهوه ای یک لا؛ ۱۳گ (۶۳-۷۵) ۱۵ سطر (۸/۵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  سم[ف: ۲۹ - ۲۹۳]</w:t>
      </w:r>
    </w:p>
    <w:p>
      <w:pPr>
        <w:pStyle w:val="BookText"/>
      </w:pPr>
      <w:r>
        <w:rPr>
          <w:rFonts w:ascii="IRNazanin" w:hAnsi="IRNazanin" w:eastAsia="IRNazanin" w:cs="IRNazanin"/>
          <w:lang w:bidi="fa-IR"/>
          <w:color w:val="111111"/>
          <w:sz w:val="28"/>
          <w:szCs w:val="28"/>
          <w:rtl/>
        </w:rPr>
        <w:t xml:space="preserve">۵. تهران؛ ملی؛ شماره نسخه: ۱۳۸۴/۱۳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عبدالقادر  اردوبادی، تا: ۱۰۳۴ق، جا: شیراز؛ کاغذ: دولت آبادی؛ جلد: تیماج مشکی یک لا، ۱۱ص، ۲۳ سطر (7</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 ۳ - ۴۴۸]</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قم ؛مرعشی؛ شماره نسخه: ۲۸۶/۹۹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شاه مراد بن نقد علی فراهانی ورامینی، تا: ۵ ذیحجه ۱۰۷۲ق؛ کاغذ: شرقی ،نخودی، جلد: دو رو تیماج رو ،مشکی، ۴گ (۴۴۴پ-۴۴۷ر)، ۲۷ سطر،اندازه: ۱۸</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۲۷/۵سم  [ميراث شهاب: ۴۲ - ۱۶۲]  7.تهران؛ دائرة المعارف شماره نسخه: ۱۱۴/۳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تحریری، بی کا، تا: ۵ جمادی الثانی ۱۰۸۴ق؛ ۷گ  (۱۵۰ پ- ۱۵۶پ) [ف: ۱-۱۷]</w:t>
      </w:r>
    </w:p>
    <w:p>
      <w:pPr>
        <w:pStyle w:val="BookText"/>
      </w:pPr>
      <w:r>
        <w:rPr>
          <w:rFonts w:ascii="IRNazanin" w:hAnsi="IRNazanin" w:eastAsia="IRNazanin" w:cs="IRNazanin"/>
          <w:lang w:bidi="fa-IR"/>
          <w:color w:val="111111"/>
          <w:sz w:val="28"/>
          <w:szCs w:val="28"/>
          <w:rtl/>
        </w:rPr>
        <w:t xml:space="preserve">۸. تهران؛ مجلس؛ شماره نسخه: ۱۲۵۵/۴۲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نستعليق ،كا: محمد بن نعمت  طبسی، تا: ۱۰۹۱ق؛ کاغذ: سفید، جلد: تیماج حنایی ضربی و  مقوایی، ۱۲ص (۳۳۷-۳۴۸)،  ۲۵ سطر [سنا - ف: ۲ - ۱۹۳]</w:t>
      </w:r>
    </w:p>
    <w:p>
      <w:pPr>
        <w:pStyle w:val="BookText"/>
      </w:pPr>
      <w:r>
        <w:rPr>
          <w:rFonts w:ascii="IRNazanin" w:hAnsi="IRNazanin" w:eastAsia="IRNazanin" w:cs="IRNazanin"/>
          <w:lang w:bidi="fa-IR"/>
          <w:color w:val="111111"/>
          <w:sz w:val="28"/>
          <w:szCs w:val="28"/>
          <w:rtl/>
        </w:rPr>
        <w:t xml:space="preserve">۹. مشهد؛ رضوی؛ شماره نسخه: ۱۹۳۲۱</w:t>
      </w:r>
    </w:p>
    <w:p>
      <w:pPr>
        <w:pStyle w:val="BookText"/>
      </w:pPr>
      <w:r>
        <w:rPr>
          <w:rFonts w:ascii="IRNazanin" w:hAnsi="IRNazanin" w:eastAsia="IRNazanin" w:cs="IRNazanin"/>
          <w:lang w:bidi="fa-IR"/>
          <w:color w:val="111111"/>
          <w:sz w:val="28"/>
          <w:szCs w:val="28"/>
          <w:rtl/>
        </w:rPr>
        <w:t xml:space="preserve">آغاز: مقاله فیلسوف ارسطاطاليس فى احكام النجوم؛انجام: و قد ذالك قداشرف ... علی رسوله محمد و آله</w:t>
      </w:r>
    </w:p>
    <w:p>
      <w:pPr>
        <w:pStyle w:val="BookText"/>
      </w:pPr>
      <w:r>
        <w:rPr>
          <w:rFonts w:ascii="IRNazanin" w:hAnsi="IRNazanin" w:eastAsia="IRNazanin" w:cs="IRNazanin"/>
          <w:lang w:bidi="fa-IR"/>
          <w:color w:val="111111"/>
          <w:sz w:val="28"/>
          <w:szCs w:val="28"/>
          <w:rtl/>
        </w:rPr>
        <w:t xml:space="preserve">خط: نسخ  خفی، کا: شاه حسین  تربتی، تا: قرن ۱۲؛ مجدول مذهب؛ ضمیمه نسخه ش ۵۵۲۹؛ کاغذ: شکری، جلد: مقوا، ۲۳ سطر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۳۵/۵) ،قطع: رحلی، کوچک، اندازه: ۲۶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۴۳سم [رایانه]</w:t>
      </w:r>
    </w:p>
    <w:p>
      <w:pPr>
        <w:pStyle w:val="BookText"/>
      </w:pPr>
      <w:r>
        <w:rPr>
          <w:rFonts w:ascii="IRNazanin" w:hAnsi="IRNazanin" w:eastAsia="IRNazanin" w:cs="IRNazanin"/>
          <w:lang w:bidi="fa-IR"/>
          <w:color w:val="111111"/>
          <w:sz w:val="28"/>
          <w:szCs w:val="28"/>
          <w:rtl/>
        </w:rPr>
        <w:t xml:space="preserve">۱۰. مشهد؛ رضوی؛ شماره نسخه: ۲۶۳۷۳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خفی، کا: محمد کریم، تا: ۱۵ شوال ۱۱۲۸ق؛ کاغذ: ،نخودی، جلد: تیماج برون جلد تیماج قهوه ای، ۱۹ سطر (۵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قطع: رقعی، اندازه: ۱۷۹/۵سم [رایانه]</w:t>
      </w:r>
    </w:p>
    <w:p>
      <w:pPr>
        <w:pStyle w:val="BookText"/>
      </w:pPr>
      <w:r>
        <w:rPr>
          <w:rFonts w:ascii="IRNazanin" w:hAnsi="IRNazanin" w:eastAsia="IRNazanin" w:cs="IRNazanin"/>
          <w:lang w:bidi="fa-IR"/>
          <w:color w:val="111111"/>
          <w:sz w:val="28"/>
          <w:szCs w:val="28"/>
          <w:rtl/>
        </w:rPr>
        <w:t xml:space="preserve">۱۱. تهران؛ مجلس؛ شماره نسخه: ۳۴۵۵/۲۸۷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کا: احمد غلام، تا: بین ۱۰۶۳ تا ۱۱۴۱ق، جلد: تیماج یک لا قرمز، ۲ ص( ۴۱۹ -۴۲۰)، قطع :بیاضی، اندازه: ۱۵/۵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۳۳سم [ف: ۱۰-۱۳۷۸]</w:t>
      </w:r>
    </w:p>
    <w:p>
      <w:pPr>
        <w:pStyle w:val="BookText"/>
      </w:pPr>
      <w:r>
        <w:rPr>
          <w:rFonts w:ascii="IRNazanin" w:hAnsi="IRNazanin" w:eastAsia="IRNazanin" w:cs="IRNazanin"/>
          <w:lang w:bidi="fa-IR"/>
          <w:color w:val="111111"/>
          <w:sz w:val="28"/>
          <w:szCs w:val="28"/>
          <w:rtl/>
        </w:rPr>
        <w:t xml:space="preserve">۱۲. قم؛ مسجد اعظم؛ شماره نسخه: ۲۶۳۴/۱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۱۳ ؛جلد: تیماج قهوه ای، ۱۳گ، ۱۷  سطر، اندازه: ۱۲</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۱۷سم [ف مخ: ۱- ۱۴۸]</w:t>
      </w:r>
    </w:p>
    <w:p>
      <w:pPr>
        <w:pStyle w:val="BookText"/>
      </w:pPr>
      <w:r>
        <w:rPr>
          <w:rFonts w:ascii="IRNazanin" w:hAnsi="IRNazanin" w:eastAsia="IRNazanin" w:cs="IRNazanin"/>
          <w:lang w:bidi="fa-IR"/>
          <w:color w:val="111111"/>
          <w:sz w:val="28"/>
          <w:szCs w:val="28"/>
          <w:rtl/>
        </w:rPr>
        <w:t xml:space="preserve">۱۳. تهران؛ مجلس؛ شماره نسخه: ۴۳۴۵/۵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حاج هادی جراح، تا: ۱۴ رمضان ۱۲۵۷ق؛ کاغذ: فرنگی، جلد: تیماج یک لا  مشکی، ۵گ (۷۰-۷۶)، ۲۰ سطر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۱۲ - ۵۶]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270" w:name="pg20365_260385"/>
    <w:bookmarkEnd w:id="270"/>
    <w:p>
      <w:pPr>
        <w:pStyle w:val="BookText"/>
      </w:pPr>
      <w:r>
        <w:rPr>
          <w:rFonts w:ascii="IRNazanin" w:hAnsi="IRNazanin" w:eastAsia="IRNazanin" w:cs="IRNazanin"/>
          <w:lang w:bidi="fa-IR"/>
          <w:color w:val="111111"/>
          <w:sz w:val="28"/>
          <w:szCs w:val="28"/>
          <w:rtl/>
        </w:rPr>
        <w:t xml:space="preserve">۱۴ . مشهد؛ شیخ علی حیدر؛ شماره نسخه:۷۷/۳۱</w:t>
      </w:r>
    </w:p>
    <w:p>
      <w:pPr>
        <w:pStyle w:val="BookText"/>
      </w:pPr>
      <w:r>
        <w:rPr>
          <w:rFonts w:ascii="IRNazanin" w:hAnsi="IRNazanin" w:eastAsia="IRNazanin" w:cs="IRNazanin"/>
          <w:lang w:bidi="fa-IR"/>
          <w:color w:val="111111"/>
          <w:sz w:val="28"/>
          <w:szCs w:val="28"/>
          <w:rtl/>
        </w:rPr>
        <w:t xml:space="preserve">آغاز: مقالة فيلسوف أرسطو طاليس في احكام النجوم.قال المشترى و الزهرة؛ انجام: ذلك قد اشرف عليه نحس دل  علی خلاص الإخوان من البلايا</w:t>
      </w:r>
    </w:p>
    <w:p>
      <w:pPr>
        <w:pStyle w:val="BookText"/>
      </w:pPr>
      <w:r>
        <w:rPr>
          <w:rFonts w:ascii="IRNazanin" w:hAnsi="IRNazanin" w:eastAsia="IRNazanin" w:cs="IRNazanin"/>
          <w:lang w:bidi="fa-IR"/>
          <w:color w:val="111111"/>
          <w:sz w:val="28"/>
          <w:szCs w:val="28"/>
          <w:rtl/>
        </w:rPr>
        <w:t xml:space="preserve">خط: نستعلیق، کا: ابو القاسم حسینی تفریشی، تا: ۱۲۶۳ق؛ جـلد: چرم سبز، ۱گ   (۱۲۲ر - ۱۲۲پ)، ۳۳  سطر، اندازه: ۲۱/۵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۳۴/۵  سم[ مؤید ۳ - ۶۳۴]</w:t>
      </w:r>
    </w:p>
    <w:p>
      <w:pPr>
        <w:pStyle w:val="BookText"/>
      </w:pPr>
      <w:r>
        <w:rPr>
          <w:rFonts w:ascii="IRNazanin" w:hAnsi="IRNazanin" w:eastAsia="IRNazanin" w:cs="IRNazanin"/>
          <w:lang w:bidi="fa-IR"/>
          <w:color w:val="111111"/>
          <w:sz w:val="28"/>
          <w:szCs w:val="28"/>
          <w:rtl/>
        </w:rPr>
        <w:t xml:space="preserve">۱۵. تهران؛ دانشگاه؛ شماره نسخه: ۳۷۵۲/۲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بی کا، تا: ۱۲۷۰ق؛ کاغذ ،فرنگی ،جلد:تیماج عنابی ضربی، ۱۶ص (۱۱۴-۹۹)، ۱۷ سطر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 ف : ۱۲ - ۲۷۴۷ ]</w:t>
      </w:r>
    </w:p>
    <w:p>
      <w:pPr>
        <w:pStyle w:val="BookText"/>
      </w:pPr>
      <w:r>
        <w:rPr>
          <w:rFonts w:ascii="IRNazanin" w:hAnsi="IRNazanin" w:eastAsia="IRNazanin" w:cs="IRNazanin"/>
          <w:lang w:bidi="fa-IR"/>
          <w:color w:val="111111"/>
          <w:sz w:val="28"/>
          <w:szCs w:val="28"/>
          <w:rtl/>
        </w:rPr>
        <w:t xml:space="preserve">۱۶. قم؛ معصومیه؛ شماره نسخه: ۳۰۳/۷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اواخر رمضان ۱۲۷۲ق؛ ۲۰ گ (۷۶پ- 95پ) ، اندازه: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۱۷/۵سم [ف: ۱ - ۳۰۱]</w:t>
      </w:r>
    </w:p>
    <w:p>
      <w:pPr>
        <w:pStyle w:val="BookText"/>
      </w:pPr>
      <w:r>
        <w:rPr>
          <w:rFonts w:ascii="IRNazanin" w:hAnsi="IRNazanin" w:eastAsia="IRNazanin" w:cs="IRNazanin"/>
          <w:lang w:bidi="fa-IR"/>
          <w:color w:val="111111"/>
          <w:sz w:val="28"/>
          <w:szCs w:val="28"/>
          <w:rtl/>
        </w:rPr>
        <w:t xml:space="preserve">۱۷. تهران؛ ملک؛ شماره نسخه: ۳۲۳۸/۴</w:t>
      </w:r>
    </w:p>
    <w:p>
      <w:pPr>
        <w:pStyle w:val="BookText"/>
      </w:pPr>
      <w:r>
        <w:rPr>
          <w:rFonts w:ascii="IRNazanin" w:hAnsi="IRNazanin" w:eastAsia="IRNazanin" w:cs="IRNazanin"/>
          <w:lang w:bidi="fa-IR"/>
          <w:color w:val="111111"/>
          <w:sz w:val="28"/>
          <w:szCs w:val="28"/>
          <w:rtl/>
        </w:rPr>
        <w:t xml:space="preserve">خط: نسخ ،کا: آقا بابا  تفرشی، تا: یکشنبه ۱۶ رجب ۱۲۷۵ ق؛کاغذ: فرنگی ،آبی ،جلد: رویه میشن ،قرمز ۱۰گ (۱۱۵پ-۱۲۴ پ) ۱۷ سطر،اندازه: ۱۲/۷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۶ - ۳۱۸]</w:t>
      </w:r>
    </w:p>
    <w:p>
      <w:pPr>
        <w:pStyle w:val="BookText"/>
      </w:pPr>
      <w:r>
        <w:rPr>
          <w:rFonts w:ascii="IRNazanin" w:hAnsi="IRNazanin" w:eastAsia="IRNazanin" w:cs="IRNazanin"/>
          <w:lang w:bidi="fa-IR"/>
          <w:color w:val="111111"/>
          <w:sz w:val="28"/>
          <w:szCs w:val="28"/>
          <w:rtl/>
        </w:rPr>
        <w:t xml:space="preserve">۱۸.تهران؛ ملک؛ شماره نسخه: ۴۶۵۵/۴۳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کرمعلی  خراسانی، تا: قرن ۱۳ق؛ کاغذ: فستـقی  آبی، ۱گ (۲۲۳ ر - ۲۲۳پ)، ۲۲ سطر ،اندازه: ۱۴/۶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۱۸/۵سم [  ف: 7- 463]</w:t>
      </w:r>
    </w:p>
    <w:p>
      <w:pPr>
        <w:pStyle w:val="BookText"/>
      </w:pPr>
      <w:r>
        <w:rPr>
          <w:rFonts w:ascii="IRNazanin" w:hAnsi="IRNazanin" w:eastAsia="IRNazanin" w:cs="IRNazanin"/>
          <w:lang w:bidi="fa-IR"/>
          <w:color w:val="111111"/>
          <w:sz w:val="28"/>
          <w:szCs w:val="28"/>
          <w:rtl/>
        </w:rPr>
        <w:t xml:space="preserve">۱۹. تهران؛ دانشگاه؛ شماره نسخه: ۳۴۷/۲</w:t>
      </w:r>
    </w:p>
    <w:p>
      <w:pPr>
        <w:pStyle w:val="BookText"/>
      </w:pPr>
      <w:r>
        <w:rPr>
          <w:rFonts w:ascii="IRNazanin" w:hAnsi="IRNazanin" w:eastAsia="IRNazanin" w:cs="IRNazanin"/>
          <w:lang w:bidi="fa-IR"/>
          <w:color w:val="111111"/>
          <w:sz w:val="28"/>
          <w:szCs w:val="28"/>
          <w:rtl/>
        </w:rPr>
        <w:t xml:space="preserve">آغاز: بسمله و به نستعین مقالة فيلسوف ارسطو طاليس فى احکام النجوم. قال المشترى والزهرة اذا كانا في المقام الثانى اعطيا الـخیر الكثير؛ انجام: دل على خلاص الاخوان من البلاء و الله اعـلم. تمت النسخة الشريفة المنسوبة الى فيلسوف الاعظم الأكرم  و الحكيم الفاضل الكامل ارسطو طاليس. تمت.</w:t>
      </w:r>
    </w:p>
    <w:p>
      <w:pPr>
        <w:pStyle w:val="BookText"/>
      </w:pPr>
      <w:r>
        <w:rPr>
          <w:rFonts w:ascii="IRNazanin" w:hAnsi="IRNazanin" w:eastAsia="IRNazanin" w:cs="IRNazanin"/>
          <w:lang w:bidi="fa-IR"/>
          <w:color w:val="111111"/>
          <w:sz w:val="28"/>
          <w:szCs w:val="28"/>
          <w:rtl/>
        </w:rPr>
        <w:t xml:space="preserve">خط: نستعلیق، بی کا، بی تا؛ ۴گ( ۳۶ پ-۳۹ر) [ف: ۴ - ۹۵۴]</w:t>
      </w:r>
    </w:p>
    <w:p>
      <w:pPr>
        <w:pStyle w:val="BookText"/>
      </w:pPr>
      <w:r>
        <w:rPr>
          <w:rFonts w:ascii="IRNazanin" w:hAnsi="IRNazanin" w:eastAsia="IRNazanin" w:cs="IRNazanin"/>
          <w:lang w:bidi="fa-IR"/>
          <w:color w:val="111111"/>
          <w:sz w:val="28"/>
          <w:szCs w:val="28"/>
          <w:rtl/>
        </w:rPr>
        <w:t xml:space="preserve">20.تهران؛ دانشگاه؛ شماره نسخه: ۳۴۷/۳</w:t>
      </w:r>
    </w:p>
    <w:p>
      <w:pPr>
        <w:pStyle w:val="BookText"/>
      </w:pPr>
      <w:r>
        <w:rPr>
          <w:rFonts w:ascii="Amiri" w:hAnsi="Amiri" w:eastAsia="Amiri" w:cs="Amiri"/>
          <w:lang w:bidi="ar-SA"/>
          <w:color w:val="111111"/>
          <w:sz w:val="28"/>
          <w:szCs w:val="28"/>
          <w:rtl/>
        </w:rPr>
        <w:t xml:space="preserve">آغاز: برابر؛ انجام :۹۱ -الكوكب المحترق الذى تحت الشمـس  بمنزلة الاسير فهو لا يقدر على شئى جزم بفعله في قبضه</w:t>
      </w:r>
    </w:p>
    <w:p>
      <w:pPr>
        <w:pStyle w:val="BookText"/>
      </w:pPr>
      <w:r>
        <w:rPr>
          <w:rFonts w:ascii="IRNazanin" w:hAnsi="IRNazanin" w:eastAsia="IRNazanin" w:cs="IRNazanin"/>
          <w:lang w:bidi="fa-IR"/>
          <w:color w:val="111111"/>
          <w:sz w:val="28"/>
          <w:szCs w:val="28"/>
          <w:rtl/>
        </w:rPr>
        <w:t xml:space="preserve">خط: نستعلیق، بی کا، بی تا؛ پایان ان آغاز بند نود و یکم بدینگونه «۹۱ - الكوكب المحترق الذي تحت الشمس بمنزلة الاسير فهو لا يقدر على شئى جزم بفعله فى قبضه» در هامش بجـای همین بند بدین گونه آمده «المحترق لتحت الشعاعى كالاسير قبضته ... قاهر قد استولى عليه فلا يقدر على شيء و الراجع كالمريض المشغول بنفسه ليس تقوى على فعل شيء بسقوط قـوته  و ضعفه و الهابط كالمضرور المنكوب حتى يتخلص من  نکبته»جای یک کلمه سوراخ شده و خوانده نمی شود که نقطه گذاری گردید و گویا «تحت» باشد؛ ۷ گ (۴۰ب -۴۷ب). [ف: ۴ - 955]</w:t>
      </w:r>
    </w:p>
    <w:p>
      <w:pPr>
        <w:pStyle w:val="BookText"/>
      </w:pPr>
      <w:r>
        <w:rPr>
          <w:rFonts w:ascii="IRNazanin" w:hAnsi="IRNazanin" w:eastAsia="IRNazanin" w:cs="IRNazanin"/>
          <w:lang w:bidi="fa-IR"/>
          <w:color w:val="111111"/>
          <w:sz w:val="28"/>
          <w:szCs w:val="28"/>
          <w:rtl/>
        </w:rPr>
        <w:t xml:space="preserve">۲۱. تهران؛ مجلس؛ شماره نسخه: ۱۴۸۲/۶</w:t>
      </w:r>
    </w:p>
    <w:p>
      <w:pPr>
        <w:pStyle w:val="BookText"/>
      </w:pPr>
      <w:r>
        <w:rPr>
          <w:rFonts w:ascii="Amiri" w:hAnsi="Amiri" w:eastAsia="Amiri" w:cs="Amiri"/>
          <w:lang w:bidi="ar-SA"/>
          <w:color w:val="111111"/>
          <w:sz w:val="28"/>
          <w:szCs w:val="28"/>
          <w:rtl/>
        </w:rPr>
        <w:t xml:space="preserve">آغاز: قال المشترى و الزهره اذا كانا فى المقام الثانى اعطيا الخير الكثير؛ انجام: و ذلك الكوكب قد اشرف عليه نحس دل على  خلاص الاخوان من البلاء و الله اعلم بالصواب.</w:t>
      </w:r>
    </w:p>
    <w:p>
      <w:pPr>
        <w:pStyle w:val="BookText"/>
      </w:pPr>
      <w:r>
        <w:rPr>
          <w:rFonts w:ascii="IRNazanin" w:hAnsi="IRNazanin" w:eastAsia="IRNazanin" w:cs="IRNazanin"/>
          <w:lang w:bidi="fa-IR"/>
          <w:color w:val="111111"/>
          <w:sz w:val="28"/>
          <w:szCs w:val="28"/>
          <w:rtl/>
        </w:rPr>
        <w:t xml:space="preserve">خط: نسخ، کا: امیر بیک بن مرتضی بن صنع  الله  بن سر الله بن روح الله بن حجة الله بن عطاء الله  بن  لطف الله بن روح الله بن سلام الله  حسینی عریضی احدی سلامی، بی تا ؛کاغذ: سفید، جلد: مقوایی، ۵ ص( ۹۱-۹۶) ۱۷ سطر [سنا - ف: ۲ - ۲۹۶]</w:t>
      </w:r>
    </w:p>
    <w:p>
      <w:pPr>
        <w:pStyle w:val="BookText"/>
      </w:pPr>
      <w:r>
        <w:rPr>
          <w:rFonts w:ascii="IRNazanin" w:hAnsi="IRNazanin" w:eastAsia="IRNazanin" w:cs="IRNazanin"/>
          <w:lang w:bidi="fa-IR"/>
          <w:color w:val="111111"/>
          <w:sz w:val="28"/>
          <w:szCs w:val="28"/>
          <w:rtl/>
        </w:rPr>
        <w:t xml:space="preserve">۲۲. تهران؛ نوربخش؛ شماره نسخه: ۱۱۳/۱۷</w:t>
      </w:r>
    </w:p>
    <w:p>
      <w:pPr>
        <w:pStyle w:val="BookText"/>
      </w:pPr>
      <w:r>
        <w:rPr>
          <w:rFonts w:ascii="IRNazanin" w:hAnsi="IRNazanin" w:eastAsia="IRNazanin" w:cs="IRNazanin"/>
          <w:lang w:bidi="fa-IR"/>
          <w:color w:val="111111"/>
          <w:sz w:val="28"/>
          <w:szCs w:val="28"/>
          <w:rtl/>
        </w:rPr>
        <w:t xml:space="preserve">آغاز و انجام: برالبر</w:t>
      </w:r>
    </w:p>
    <w:p>
      <w:pPr>
        <w:pStyle w:val="BookText"/>
      </w:pPr>
      <w:r>
        <w:rPr>
          <w:rFonts w:ascii="IRNazanin" w:hAnsi="IRNazanin" w:eastAsia="IRNazanin" w:cs="IRNazanin"/>
          <w:lang w:bidi="fa-IR"/>
          <w:color w:val="111111"/>
          <w:sz w:val="28"/>
          <w:szCs w:val="28"/>
          <w:rtl/>
        </w:rPr>
        <w:t xml:space="preserve">خط: نستعلیق، کا: محمد صالح بن محمد رضا طالقانی ساوجبلاغی، بی تا، کاغذ ،ایرانی ،جلد: تیماج سرخ  مقوایی، ۱۳ ص (۲۲۵-۲۳۸) ۱۹ سطر،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۱ - ۱۴۱]</w:t>
      </w:r>
    </w:p>
    <w:p>
      <w:pPr>
        <w:pStyle w:val="BookText"/>
      </w:pPr>
      <w:r>
        <w:rPr>
          <w:rFonts w:ascii="IRNazanin" w:hAnsi="IRNazanin" w:eastAsia="IRNazanin" w:cs="IRNazanin"/>
          <w:lang w:bidi="fa-IR"/>
          <w:color w:val="111111"/>
          <w:sz w:val="28"/>
          <w:szCs w:val="28"/>
          <w:rtl/>
        </w:rPr>
        <w:t xml:space="preserve">۲۳. تهران؛ سپهسالار؛ شماره نسخه: ۱۲۱۶/۴۲</w:t>
      </w:r>
    </w:p>
    <w:p>
      <w:pPr>
        <w:pStyle w:val="BookText"/>
      </w:pPr>
      <w:r>
        <w:rPr>
          <w:rFonts w:ascii="Amiri" w:hAnsi="Amiri" w:eastAsia="Amiri" w:cs="Amiri"/>
          <w:lang w:bidi="ar-SA"/>
          <w:color w:val="111111"/>
          <w:sz w:val="28"/>
          <w:szCs w:val="28"/>
          <w:rtl/>
        </w:rPr>
        <w:t xml:space="preserve">آغاز: برابر؛ انجام: الفصل  ۱۰۰؛ ان المختارين المنحوسين  لكنها  تقاطعين في فلكين ... كالمنشاران لحربه و السكين التي يقطع بها.</w:t>
      </w:r>
    </w:p>
    <w:p>
      <w:pPr>
        <w:pStyle w:val="BookText"/>
      </w:pPr>
      <w:r>
        <w:rPr>
          <w:rFonts w:ascii="IRNazanin" w:hAnsi="IRNazanin" w:eastAsia="IRNazanin" w:cs="IRNazanin"/>
          <w:lang w:bidi="fa-IR"/>
          <w:color w:val="111111"/>
          <w:sz w:val="28"/>
          <w:szCs w:val="28"/>
          <w:rtl/>
        </w:rPr>
        <w:t xml:space="preserve">بی کا، بی تا؛ کاغذ: فرنگی ،جلد: تیماج سرخ  مقوایی، ۷ص  (۲۳۱-۲۲۵) [ف: ۳ - ۱۲۸]</w:t>
      </w:r>
    </w:p>
    <w:p>
      <w:pPr>
        <w:pStyle w:val="Heading3"/>
      </w:pPr>
      <w:bookmarkStart w:id="1442" w:name="_Toc964"/>
      <w:r>
        <w:t>اسرار النجوم (ترجمه) = صد باب اسکندری / هیئت  / فارسی</w:t>
      </w:r>
      <w:bookmarkEnd w:id="1442"/>
    </w:p>
    <w:p>
      <w:pPr>
        <w:pStyle w:val="BookText"/>
      </w:pPr>
      <w:r>
        <w:rPr>
          <w:rFonts w:ascii="Times New Roman" w:hAnsi="Times New Roman" w:eastAsia="Times New Roman" w:cs="Times New Roman"/>
          <w:lang w:val="en-US" w:bidi="en-US"/>
          <w:color w:val="111111"/>
          <w:sz w:val="28"/>
          <w:szCs w:val="28"/>
          <w:rtl/>
        </w:rPr>
        <w:t xml:space="preserve">asrār-on nojūm (t.) = sad bāb-e eskandarī</w:t>
      </w:r>
    </w:p>
    <w:p>
      <w:pPr>
        <w:pStyle w:val="BookText"/>
      </w:pPr>
      <w:r>
        <w:rPr>
          <w:rFonts w:ascii="IRNazanin" w:hAnsi="IRNazanin" w:eastAsia="IRNazanin" w:cs="IRNazanin"/>
          <w:lang w:bidi="fa-IR"/>
          <w:color w:val="111111"/>
          <w:sz w:val="28"/>
          <w:szCs w:val="28"/>
          <w:rtl/>
        </w:rPr>
        <w:t xml:space="preserve">افشار، محمد اکبر بن نصر الله، ق۱۳ قمری</w:t>
      </w:r>
    </w:p>
    <w:p>
      <w:pPr>
        <w:pStyle w:val="BookText"/>
      </w:pPr>
      <w:r>
        <w:rPr>
          <w:rFonts w:ascii="Times New Roman" w:hAnsi="Times New Roman" w:eastAsia="Times New Roman" w:cs="Times New Roman"/>
          <w:lang w:val="en-US" w:bidi="en-US"/>
          <w:color w:val="111111"/>
          <w:sz w:val="28"/>
          <w:szCs w:val="28"/>
          <w:rtl/>
        </w:rPr>
        <w:t xml:space="preserve">(afšār, mohammad akbar ebn-e nasr-ol-lāh (- 19c)</w:t>
      </w:r>
    </w:p>
    <w:p>
      <w:pPr>
        <w:pStyle w:val="BookText"/>
      </w:pPr>
      <w:r>
        <w:rPr>
          <w:rFonts w:ascii="Amiri" w:hAnsi="Amiri" w:eastAsia="Amiri" w:cs="Amiri"/>
          <w:lang w:bidi="ar-SA"/>
          <w:color w:val="111111"/>
          <w:sz w:val="28"/>
          <w:szCs w:val="28"/>
          <w:rtl/>
        </w:rPr>
        <w:t xml:space="preserve">وابسته به: اسرار النجوم = احكام النجوم = كتاب اسرار؛ ارسطو  (۳۲۲-۳۸۴)</w:t>
      </w:r>
    </w:p>
    <w:p>
      <w:pPr>
        <w:pStyle w:val="BookText"/>
      </w:pPr>
      <w:r>
        <w:rPr>
          <w:rFonts w:ascii="IRNazanin" w:hAnsi="IRNazanin" w:eastAsia="IRNazanin" w:cs="IRNazanin"/>
          <w:lang w:bidi="fa-IR"/>
          <w:color w:val="111111"/>
          <w:sz w:val="28"/>
          <w:szCs w:val="28"/>
          <w:rtl/>
        </w:rPr>
        <w:t xml:space="preserve">کتابی است در نجوم متن آن را که در صدبند است از ارسطو پنداشته اند که برای اسکندر ساخته و چند تحریر از آن در دست هست که «مقالة فى احكام النجوم» و «صد باب اسکندری» خوانده می شود. مترجم تولد خود را در سال ۱۱۹۸ یاد می کند  و می گوید که کتاب را به دستور محمد شاه ترجمه نموده است.</w:t>
      </w:r>
    </w:p>
    <w:p>
      <w:pPr>
        <w:pStyle w:val="BookText"/>
      </w:pPr>
      <w:r>
        <w:rPr>
          <w:rFonts w:ascii="Amiri" w:hAnsi="Amiri" w:eastAsia="Amiri" w:cs="Amiri"/>
          <w:lang w:bidi="ar-SA"/>
          <w:color w:val="111111"/>
          <w:sz w:val="28"/>
          <w:szCs w:val="28"/>
          <w:rtl/>
        </w:rPr>
        <w:t xml:space="preserve">آغاز: شرح اسرار النجوم ارسطاطاليس الحكيم. و به نستعين.</w:t>
      </w:r>
    </w:p>
    <w:p>
      <w:pPr>
        <w:pStyle w:val="BookText"/>
      </w:pPr>
      <w:r>
        <w:rPr>
          <w:rFonts w:ascii="IRNazanin" w:hAnsi="IRNazanin" w:eastAsia="IRNazanin" w:cs="IRNazanin"/>
          <w:lang w:bidi="fa-IR"/>
          <w:color w:val="111111"/>
          <w:sz w:val="28"/>
          <w:szCs w:val="28"/>
          <w:rtl/>
        </w:rPr>
        <w:t xml:space="preserve">سپاس و منت و جودی را که واجب الوجود است و هر چه جزوى ممكن الوجود. و هر چه ممکن الوجود است کرده او است و همه چیز را جداگانه از اجناس و انواع را علتی پدید کرده و هیچ چیز را بی علت نیافریده علت نیافریده ... اما بعد چنین گوید محمد اکبر این نصر الله میرزا بن شاهرخ شاه بن رضاقلی میرزا بن ناردشاه افشار ... که مدنی بود ... که جمعی کثیر از دوستان ومحبان خواهش از این حقیر نمودند که اسرار النجوم معلم اول ارسطاطالیس را ترجمه بزبان فارسی نموده شرح و بسطی لایق داده شود .... در این زمان ... که بملازمت ... اردشیر میرزا سرافراز گردید حسب الامر ... بترجمه این کتاب مستطاب صد باب اسکندری مفتخر و سرافراز گردید ... و این کتاب مشتمل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271" w:name="pg20365_260386"/>
    <w:bookmarkEnd w:id="271"/>
    <w:p>
      <w:pPr>
        <w:pStyle w:val="BookText"/>
      </w:pPr>
      <w:r>
        <w:rPr>
          <w:rFonts w:ascii="IRNazanin" w:hAnsi="IRNazanin" w:eastAsia="IRNazanin" w:cs="IRNazanin"/>
          <w:lang w:bidi="fa-IR"/>
          <w:color w:val="111111"/>
          <w:sz w:val="28"/>
          <w:szCs w:val="28"/>
          <w:rtl/>
        </w:rPr>
        <w:t xml:space="preserve">است بر صد باب هذا دیباچه کتاب اسرار النجوم لارسطاطاليس فيلسوف. وضع هذا الكتاب لاسكندر الملك و رسم هذا الفصـول بالقضايا و هى مائة فصل .ترجمه: این کتاب مستطاب اسـرار النجوم ارسطاطالیس حکیم است حکیم است ... قال ارسطاطاليسى انت ایها الملك بعزه موقعه منی و جلالك فى نفسك و استكمالک فضائل الانسانية و استمالك على احد الصفات الملكوتية حقیق بان تكون و ارثاً للعلوم الحكمية التى اودعها الملك الخـیبرهرمس الكبير حين علم بما يكون من الطوفان و لم يقدر عـلی استخراجه بعده الا الحكيم الفاضل بليناس و انا اخذته منه  واستقدمته</w:t>
      </w:r>
    </w:p>
    <w:p>
      <w:pPr>
        <w:pStyle w:val="BookText"/>
      </w:pPr>
      <w:r>
        <w:rPr>
          <w:rFonts w:ascii="IRNazanin" w:hAnsi="IRNazanin" w:eastAsia="IRNazanin" w:cs="IRNazanin"/>
          <w:lang w:bidi="fa-IR"/>
          <w:color w:val="111111"/>
          <w:sz w:val="28"/>
          <w:szCs w:val="28"/>
          <w:rtl/>
        </w:rPr>
        <w:t xml:space="preserve">انجام: فصل صدم: قال ارسطاطاليس الحكيم القمر اذا افسدی فساد كان و كان صاحب الطالع صالح الحال دال على البلوی بعدها نعمة المشكورة. ترجمه: چون قمر فاسد الحال باشد وهر فسادی که باشد صاحب طالع صالح الحال بود دلالت کند بر آنکه اولاد مولود ببلیه و بلائی و عارضه گرفتار شود وبعد از آن نعمت و مالی و ثروتی بمولود برسد که از آن نعمت و دولت شکر خدای کند. والله اعلم بالصواب</w:t>
      </w:r>
    </w:p>
    <w:p>
      <w:pPr>
        <w:pStyle w:val="BookText"/>
      </w:pPr>
      <w:r>
        <w:rPr>
          <w:rFonts w:ascii="IRNazanin" w:hAnsi="IRNazanin" w:eastAsia="IRNazanin" w:cs="IRNazanin"/>
          <w:lang w:bidi="fa-IR"/>
          <w:color w:val="111111"/>
          <w:sz w:val="28"/>
          <w:szCs w:val="28"/>
          <w:rtl/>
        </w:rPr>
        <w:t xml:space="preserve">[نسخه های منزوی ۲۵۷/۱۰؛ فهرستواره منزوی ۲۸۵۱/۴]</w:t>
      </w:r>
    </w:p>
    <w:p>
      <w:pPr>
        <w:pStyle w:val="BookText"/>
      </w:pPr>
      <w:r>
        <w:rPr>
          <w:rFonts w:ascii="IRNazanin" w:hAnsi="IRNazanin" w:eastAsia="IRNazanin" w:cs="IRNazanin"/>
          <w:lang w:bidi="fa-IR"/>
          <w:color w:val="111111"/>
          <w:sz w:val="28"/>
          <w:szCs w:val="28"/>
          <w:rtl/>
        </w:rPr>
        <w:t xml:space="preserve">۱. تهران؛ دانشگاه؛ شماره نسخه: ۳۳۸۶/۱</w:t>
      </w:r>
    </w:p>
    <w:p>
      <w:pPr>
        <w:pStyle w:val="BookText"/>
      </w:pPr>
      <w:r>
        <w:rPr>
          <w:rFonts w:ascii="IRNazanin" w:hAnsi="IRNazanin" w:eastAsia="IRNazanin" w:cs="IRNazanin"/>
          <w:lang w:bidi="fa-IR"/>
          <w:color w:val="111111"/>
          <w:sz w:val="28"/>
          <w:szCs w:val="28"/>
          <w:rtl/>
        </w:rPr>
        <w:t xml:space="preserve">خط: نسخ، كاتب - مؤلف، بی تا؛ مصحح توسط خود مولف، محشی خود مؤلف با امضای «محمد اکبر» و با نشانه «منه»؛ کاغذ: فرنگی، جلد: تیماج مشکی ضربی عطف قهوه ای، ۲۰۳گ (1- ۲۰۳) ، ۱۷ سطر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۱۱ - ۲۳۸۴]</w:t>
      </w:r>
    </w:p>
    <w:p>
      <w:pPr>
        <w:pStyle w:val="BookText"/>
      </w:pPr>
      <w:r>
        <w:rPr>
          <w:rFonts w:ascii="IRNazanin" w:hAnsi="IRNazanin" w:eastAsia="IRNazanin" w:cs="IRNazanin"/>
          <w:lang w:bidi="fa-IR"/>
          <w:color w:val="111111"/>
          <w:sz w:val="28"/>
          <w:szCs w:val="28"/>
          <w:rtl/>
        </w:rPr>
        <w:t xml:space="preserve">2.تهران؛ دانشگاه؛ شماره نسخه: ۱۱۸۵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هاشم موسوی هروی، تا: یک شنبه غره صفر ۱۲۶۹ق؛ حسب خواهش شاهزاده آزاده محمدرضا؛ تملک: شاهزاده ای در ۲۷ شعبان ۱۲۷۱، محمد مهدی بن محمد حسین بن محمد حسین بن بدیع الزمان حلبی منجم در ۱۲۸۹، علی اصغربن محمد ابراهیم در سیچقان ئیل ۱۲۹۳؛ مهر: «منجم باشی»؛ کاغذ: فرنگی ،جلد: تیماج خاکستری درون  سرخ، ۱۰۳گ (۶/۵</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سطر  ۱۵،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۱۷/۵سم [ف: ۶ - ۲۱۶۰]</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قم ؛طبسی؛ شماره نسخه: ۹۷/۲</w:t>
      </w:r>
    </w:p>
    <w:p>
      <w:pPr>
        <w:pStyle w:val="BookText"/>
      </w:pPr>
      <w:r>
        <w:rPr>
          <w:rFonts w:ascii="IRNazanin" w:hAnsi="IRNazanin" w:eastAsia="IRNazanin" w:cs="IRNazanin"/>
          <w:lang w:bidi="fa-IR"/>
          <w:color w:val="111111"/>
          <w:sz w:val="28"/>
          <w:szCs w:val="28"/>
          <w:rtl/>
        </w:rPr>
        <w:t xml:space="preserve">آغاز: برابر؛ انجام: گذران و معیشت خود کند و دائماً شـکر خداوند رؤف عفور عفو کریم نمايد و الله العالم بالصواب</w:t>
      </w:r>
    </w:p>
    <w:p>
      <w:pPr>
        <w:pStyle w:val="BookText"/>
      </w:pPr>
      <w:r>
        <w:rPr>
          <w:rFonts w:ascii="IRNazanin" w:hAnsi="IRNazanin" w:eastAsia="IRNazanin" w:cs="IRNazanin"/>
          <w:lang w:bidi="fa-IR"/>
          <w:color w:val="111111"/>
          <w:sz w:val="28"/>
          <w:szCs w:val="28"/>
          <w:rtl/>
        </w:rPr>
        <w:t xml:space="preserve">خط: شکسته، نستعلیق، کا: ابراهیم بن میرزا، تا: پنج شنبه ۲۰ شوال ۱۲۸۷ق ؛جا: مازندران ساری، حسب الامر شاهزاده علیقی میرزا؛ در میان نسخه جدول هایی است در استخراج مطالع از مترجم با تاریخ صفر ۱۲۹۸ ؛جلد: تیماج قهوه ای ضربی ،مجدول، ۹۷گ (۱۳ر- ۱۰۹)، ۱۵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[طبسی مخ: ۱ - ۱۱۱]</w:t>
      </w:r>
    </w:p>
    <w:p>
      <w:pPr>
        <w:pStyle w:val="BookText"/>
      </w:pPr>
      <w:r>
        <w:rPr>
          <w:rFonts w:ascii="IRNazanin" w:hAnsi="IRNazanin" w:eastAsia="IRNazanin" w:cs="IRNazanin"/>
          <w:lang w:bidi="fa-IR"/>
          <w:color w:val="111111"/>
          <w:sz w:val="28"/>
          <w:szCs w:val="28"/>
          <w:rtl/>
        </w:rPr>
        <w:t xml:space="preserve">۴. تهران؛ لغت نامه دهخدا؛ شماره نسخه: ۲۸۹</w:t>
      </w:r>
    </w:p>
    <w:p>
      <w:pPr>
        <w:pStyle w:val="BookText"/>
      </w:pPr>
      <w:r>
        <w:rPr>
          <w:rFonts w:ascii="IRNazanin" w:hAnsi="IRNazanin" w:eastAsia="IRNazanin" w:cs="IRNazanin"/>
          <w:lang w:bidi="fa-IR"/>
          <w:color w:val="111111"/>
          <w:sz w:val="28"/>
          <w:szCs w:val="28"/>
          <w:rtl/>
        </w:rPr>
        <w:t xml:space="preserve">خط: نستعلیق، بی کا، بی تا؛ با تاریخ تملک ۱۲۵۴ در ص ع؛ جـلد: تیماج حنایی ضربی متن، قطع: ربعی [نشریه ۳ - ۳۹۰]</w:t>
      </w:r>
    </w:p>
    <w:p>
      <w:pPr>
        <w:pStyle w:val="Heading3"/>
      </w:pPr>
      <w:bookmarkStart w:id="1443" w:name="_Toc965"/>
      <w:r>
        <w:t>اسرار النجوم / هيئت / عربي</w:t>
      </w:r>
      <w:bookmarkEnd w:id="1443"/>
    </w:p>
    <w:p>
      <w:pPr>
        <w:pStyle w:val="BookText"/>
      </w:pPr>
      <w:r>
        <w:rPr>
          <w:rFonts w:ascii="Times New Roman" w:hAnsi="Times New Roman" w:eastAsia="Times New Roman" w:cs="Times New Roman"/>
          <w:lang w:val="en-US" w:bidi="en-US"/>
          <w:color w:val="111111"/>
          <w:sz w:val="28"/>
          <w:szCs w:val="28"/>
          <w:rtl/>
        </w:rPr>
        <w:t xml:space="preserve">asrār-un nujūm</w:t>
      </w:r>
    </w:p>
    <w:p>
      <w:pPr>
        <w:pStyle w:val="BookText"/>
      </w:pPr>
      <w:r>
        <w:rPr>
          <w:rFonts w:ascii="IRNazanin" w:hAnsi="IRNazanin" w:eastAsia="IRNazanin" w:cs="IRNazanin"/>
          <w:lang w:bidi="fa-IR"/>
          <w:color w:val="111111"/>
          <w:sz w:val="28"/>
          <w:szCs w:val="28"/>
          <w:rtl/>
        </w:rPr>
        <w:t xml:space="preserve">ابو معشر  فلکی، جعفر بن محمد، ۱۷۲ - ۲۷۲ قمری</w:t>
      </w:r>
    </w:p>
    <w:p>
      <w:pPr>
        <w:pStyle w:val="BookText"/>
      </w:pPr>
      <w:r>
        <w:rPr>
          <w:rFonts w:ascii="Times New Roman" w:hAnsi="Times New Roman" w:eastAsia="Times New Roman" w:cs="Times New Roman"/>
          <w:lang w:val="en-US" w:bidi="en-US"/>
          <w:color w:val="111111"/>
          <w:sz w:val="28"/>
          <w:szCs w:val="28"/>
          <w:rtl/>
        </w:rPr>
        <w:t xml:space="preserve">(886-abū-ma‘šar-e falakī, ja‘far ebn-e mohammad (789 -</w:t>
      </w:r>
    </w:p>
    <w:p>
      <w:pPr>
        <w:pStyle w:val="BookText"/>
      </w:pPr>
      <w:r>
        <w:rPr>
          <w:rFonts w:ascii="IRNazanin" w:hAnsi="IRNazanin" w:eastAsia="IRNazanin" w:cs="IRNazanin"/>
          <w:lang w:bidi="fa-IR"/>
          <w:color w:val="111111"/>
          <w:sz w:val="28"/>
          <w:szCs w:val="28"/>
          <w:rtl/>
        </w:rPr>
        <w:t xml:space="preserve">کتابی در نجوم و احکام آن دارای چندین «باب» که که در بابی از آن کتاب های معروف زمان خود را نام می برد که کمتر در منابع دیده می شود، و بیشتر «قال ابو معشر» برای نشانی: «فی الامطار قال ابو معشر انظر فى الامطار وقلتها وركوبها الى طبيعة الكوكب المسئول على البلد و على الاقاليم الذي فيه ذلك البلد و طبيعة البرج المنسوب اليه الاقليم ... البروج الدالة على السعادة: اذا كانت درجة الطالع او كان القمر او السعادة في هذه الدرجات .....» فهرستی از نام  کتاب ها: قال ابو معشر الكتب القديمة فى الاحكام الغريبة التى توجد في خزائن الملوك و عند العظماء الكتب المشهورة المعروفة المذكورة من كتب الاوائل: كتاب الاسعار كتاب  اصطفن،کتاب ارسطاطالیس، کتاب توفیل بن توما، كتاب البلخی، کتاب جاماسب و هي كتاب جليلة جداً،كتاب خالد الاموى، کتاب اسحق بن سلمی و هو ابوقماش، كتاب التجارب ليحيى بن خالد بن برمك، كتاب الرجوع و الهبوط ليحيى بن ابی  منصور، کتاب ابن سافر الیمانی، کتاب منافع النجوم في الطلسمات مجهول من كتب اهل بابک (بابل)؟)،</w:t>
      </w:r>
    </w:p>
    <w:p>
      <w:pPr>
        <w:pStyle w:val="BookText"/>
      </w:pPr>
      <w:r>
        <w:rPr>
          <w:rFonts w:ascii="IRNazanin" w:hAnsi="IRNazanin" w:eastAsia="IRNazanin" w:cs="IRNazanin"/>
          <w:lang w:bidi="fa-IR"/>
          <w:color w:val="111111"/>
          <w:sz w:val="28"/>
          <w:szCs w:val="28"/>
          <w:rtl/>
        </w:rPr>
        <w:t xml:space="preserve">کتاب زردشت في صور درج  الفلک و هو کتاب کوصحح،كتاب الاسرار هرمس، كتاب الحراني و هو يوجد عند اليهود، و كتاب فهو حسن البابلى فى اسرار النجوم و فيه الدول و الملك و الملوک و الملاحم، كتاب النفس للفرس، كتاب المحاسن لمحمد بن عبدالله بن طاهر و فيه كذب كثير كتاب الصور لواليس، كتاب الصور الثلاثماة و الستين للفرس، كتاب المناحس و السعادات لسند بن على كتاب استخراج الخبى و الضمير لماشاء الله، كتاب المثالات [جنين] لا بن طارق و فيه مواليد الخلفا.</w:t>
      </w:r>
    </w:p>
    <w:p>
      <w:pPr>
        <w:pStyle w:val="BookText"/>
      </w:pPr>
      <w:r>
        <w:rPr>
          <w:rFonts w:ascii="IRNazanin" w:hAnsi="IRNazanin" w:eastAsia="IRNazanin" w:cs="IRNazanin"/>
          <w:lang w:bidi="fa-IR"/>
          <w:color w:val="111111"/>
          <w:sz w:val="28"/>
          <w:szCs w:val="28"/>
          <w:rtl/>
        </w:rPr>
        <w:t xml:space="preserve">[الفلك والتنجيم ١٢؛ کشف الظنون ۸۴/۱؛ هدية العارفين ۲۵۱/۱؛ بروكلمان  (عربی) (۲۰۵۴؛ معجم المؤلفين (۱۵۶/۹]</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IRNazanin" w:hAnsi="IRNazanin" w:eastAsia="IRNazanin" w:cs="IRNazanin"/>
          <w:lang w:bidi="fa-IR"/>
          <w:color w:val="111111"/>
          <w:sz w:val="28"/>
          <w:szCs w:val="28"/>
          <w:rtl/>
        </w:rPr>
        <w:t xml:space="preserve">۱- اسرار النجوم (ترجمه).</w:t>
      </w:r>
    </w:p>
    <w:p>
      <w:pPr>
        <w:pStyle w:val="BookText"/>
      </w:pPr>
      <w:r>
        <w:rPr>
          <w:rFonts w:ascii="IRNazanin" w:hAnsi="IRNazanin" w:eastAsia="IRNazanin" w:cs="IRNazanin"/>
          <w:lang w:bidi="fa-IR"/>
          <w:color w:val="111111"/>
          <w:sz w:val="28"/>
          <w:szCs w:val="28"/>
          <w:rtl/>
        </w:rPr>
        <w:t xml:space="preserve">1.تهران؛ دائرة المعارف؛ شماره نسخه: ۳۷/۱-عکسی</w:t>
      </w:r>
    </w:p>
    <w:p>
      <w:pPr>
        <w:pStyle w:val="BookText"/>
      </w:pPr>
      <w:r>
        <w:rPr>
          <w:rFonts w:ascii="IRNazanin" w:hAnsi="IRNazanin" w:eastAsia="IRNazanin" w:cs="IRNazanin"/>
          <w:lang w:bidi="fa-IR"/>
          <w:color w:val="111111"/>
          <w:sz w:val="28"/>
          <w:szCs w:val="28"/>
          <w:rtl/>
        </w:rPr>
        <w:t xml:space="preserve">آغاز: هذا كتاب ابی معشر فى اسرار علم النجوم و سئوال ابى سعيد شاذان بن بحر عنه و حکایات ابی معشر ... قال شاذان سمعت ابا معشر يقول اصطفى حيوة كل ذى روح بقدر خطه من من الشمس و القمر. قال ابو معشر بهذا اخذ فاتى مولود لم يكن له هيلاج و وقع شعاع ؛انجام: قال ابو معشر القول كما قال و هذا كلام يقتضى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272" w:name="pg20365_260387"/>
    <w:bookmarkEnd w:id="272"/>
    <w:p>
      <w:pPr>
        <w:pStyle w:val="BookText"/>
      </w:pPr>
      <w:r>
        <w:rPr>
          <w:rFonts w:ascii="IRNazanin" w:hAnsi="IRNazanin" w:eastAsia="IRNazanin" w:cs="IRNazanin"/>
          <w:lang w:bidi="fa-IR"/>
          <w:color w:val="111111"/>
          <w:sz w:val="28"/>
          <w:szCs w:val="28"/>
          <w:rtl/>
        </w:rPr>
        <w:t xml:space="preserve">تفسير طويلا ... قال ابو سعيد و لم ليتفق الى ان مسئلة عن تفسير  کلام الاصطفن. تم الكتاب بعون الله تعالى وصلواته على سيدنا.</w:t>
      </w:r>
    </w:p>
    <w:p>
      <w:pPr>
        <w:pStyle w:val="BookText"/>
      </w:pPr>
      <w:r>
        <w:rPr>
          <w:rFonts w:ascii="IRNazanin" w:hAnsi="IRNazanin" w:eastAsia="IRNazanin" w:cs="IRNazanin"/>
          <w:lang w:bidi="fa-IR"/>
          <w:color w:val="111111"/>
          <w:sz w:val="28"/>
          <w:szCs w:val="28"/>
          <w:rtl/>
        </w:rPr>
        <w:t xml:space="preserve">نسخه اصل: اسماعیل صائب ش ۲۹۹؛ خط: نسخ ،کهن، بی کا،تا:قرن ۷، ۲۶گ( 2ر-27ر) [ف: 2- 21]</w:t>
      </w:r>
    </w:p>
    <w:p>
      <w:pPr>
        <w:pStyle w:val="BookText"/>
      </w:pPr>
      <w:r>
        <w:rPr>
          <w:rFonts w:ascii="IRNazanin" w:hAnsi="IRNazanin" w:eastAsia="IRNazanin" w:cs="IRNazanin"/>
          <w:lang w:bidi="fa-IR"/>
          <w:color w:val="111111"/>
          <w:sz w:val="28"/>
          <w:szCs w:val="28"/>
          <w:rtl/>
        </w:rPr>
        <w:t xml:space="preserve">تهران؛ دانشگاه؛ شماره نسخه: ۲۸۱/۱-ف</w:t>
      </w:r>
    </w:p>
    <w:p>
      <w:pPr>
        <w:pStyle w:val="BookText"/>
      </w:pPr>
      <w:r>
        <w:rPr>
          <w:rFonts w:ascii="IRNazanin" w:hAnsi="IRNazanin" w:eastAsia="IRNazanin" w:cs="IRNazanin"/>
          <w:lang w:bidi="fa-IR"/>
          <w:color w:val="111111"/>
          <w:sz w:val="28"/>
          <w:szCs w:val="28"/>
          <w:rtl/>
        </w:rPr>
        <w:t xml:space="preserve">نسخه  اصل: همان نسخه اصل بالا [فیلم ها -ف: ۱ - ۴۵۰]</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مجلس؛ شماره نسخه: ۱۷۳۱۶ ض</w:t>
      </w:r>
    </w:p>
    <w:p>
      <w:pPr>
        <w:pStyle w:val="BookText"/>
      </w:pPr>
      <w:r>
        <w:rPr>
          <w:rFonts w:ascii="IRNazanin" w:hAnsi="IRNazanin" w:eastAsia="IRNazanin" w:cs="IRNazanin"/>
          <w:lang w:bidi="fa-IR"/>
          <w:color w:val="111111"/>
          <w:sz w:val="28"/>
          <w:szCs w:val="28"/>
          <w:rtl/>
        </w:rPr>
        <w:t xml:space="preserve">بی کا، بی تا [دث. مجلس ]</w:t>
      </w:r>
    </w:p>
    <w:p>
      <w:pPr>
        <w:pStyle w:val="Heading3"/>
      </w:pPr>
      <w:bookmarkStart w:id="1444" w:name="_Toc966"/>
      <w:r>
        <w:t>اسرار النجوم (ترجمه) / هیئت / فارسی</w:t>
      </w:r>
      <w:bookmarkEnd w:id="1444"/>
    </w:p>
    <w:p>
      <w:pPr>
        <w:pStyle w:val="BookText"/>
      </w:pPr>
      <w:r>
        <w:rPr>
          <w:rFonts w:ascii="Times New Roman" w:hAnsi="Times New Roman" w:eastAsia="Times New Roman" w:cs="Times New Roman"/>
          <w:lang w:val="en-US" w:bidi="en-US"/>
          <w:color w:val="111111"/>
          <w:sz w:val="28"/>
          <w:szCs w:val="28"/>
          <w:rtl/>
        </w:rPr>
        <w:t xml:space="preserve">(asrār-un nujūm (t.)</w:t>
      </w:r>
    </w:p>
    <w:p>
      <w:pPr>
        <w:pStyle w:val="BookText"/>
      </w:pPr>
      <w:r>
        <w:rPr>
          <w:rFonts w:ascii="IRNazanin" w:hAnsi="IRNazanin" w:eastAsia="IRNazanin" w:cs="IRNazanin"/>
          <w:lang w:bidi="fa-IR"/>
          <w:color w:val="111111"/>
          <w:sz w:val="28"/>
          <w:szCs w:val="28"/>
          <w:rtl/>
        </w:rPr>
        <w:t xml:space="preserve">وابسته به: اسرار النجوم؛ ابو معشر  فلکی، جعفر بن محمد (172- 272)</w:t>
      </w:r>
    </w:p>
    <w:p>
      <w:pPr>
        <w:pStyle w:val="BookText"/>
      </w:pPr>
      <w:r>
        <w:rPr>
          <w:rFonts w:ascii="IRNazanin" w:hAnsi="IRNazanin" w:eastAsia="IRNazanin" w:cs="IRNazanin"/>
          <w:lang w:bidi="fa-IR"/>
          <w:color w:val="111111"/>
          <w:sz w:val="28"/>
          <w:szCs w:val="28"/>
          <w:rtl/>
        </w:rPr>
        <w:t xml:space="preserve">اصل عربی از ابو معشر بلخی دانسته شده است و این کتاب ترجمه فارسی آن است.</w:t>
      </w:r>
    </w:p>
    <w:p>
      <w:pPr>
        <w:pStyle w:val="BookText"/>
      </w:pPr>
      <w:r>
        <w:rPr>
          <w:rFonts w:ascii="IRNazanin" w:hAnsi="IRNazanin" w:eastAsia="IRNazanin" w:cs="IRNazanin"/>
          <w:lang w:bidi="fa-IR"/>
          <w:color w:val="111111"/>
          <w:sz w:val="28"/>
          <w:szCs w:val="28"/>
          <w:rtl/>
        </w:rPr>
        <w:t xml:space="preserve">تهران؛ سپهسالار؛ شماره نسخه: ۸۲۴۶/۳</w:t>
      </w:r>
    </w:p>
    <w:p>
      <w:pPr>
        <w:pStyle w:val="BookText"/>
      </w:pPr>
      <w:r>
        <w:rPr>
          <w:rFonts w:ascii="IRNazanin" w:hAnsi="IRNazanin" w:eastAsia="IRNazanin" w:cs="IRNazanin"/>
          <w:lang w:bidi="fa-IR"/>
          <w:color w:val="111111"/>
          <w:sz w:val="28"/>
          <w:szCs w:val="28"/>
          <w:rtl/>
        </w:rPr>
        <w:t xml:space="preserve">آغاز: بسمله. حمدله ... اما بعد این چند کلمه ای است از اسـرار ابی معشر بلخی در احکام نجوم. بدانکه هبوط بودن کوکب است محبوس؛ انجام: رسیدن قمر به بروج آتشی باید متوجه شد.</w:t>
      </w:r>
    </w:p>
    <w:p>
      <w:pPr>
        <w:pStyle w:val="BookText"/>
      </w:pPr>
      <w:r>
        <w:rPr>
          <w:rFonts w:ascii="IRNazanin" w:hAnsi="IRNazanin" w:eastAsia="IRNazanin" w:cs="IRNazanin"/>
          <w:lang w:bidi="fa-IR"/>
          <w:color w:val="111111"/>
          <w:sz w:val="28"/>
          <w:szCs w:val="28"/>
          <w:rtl/>
        </w:rPr>
        <w:t xml:space="preserve">خط: نستعلیق، بی کا، بی تا؛ در حاشیه «اشجار و اثمار» نوشته شـده؛ کاغذ: اصفهانی، جلد: تیماج قهوه ای یک  لا، ۳۰گ (1- 15ر و 127پ- 141ر)،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۳ - ۳۹۸]</w:t>
      </w:r>
    </w:p>
    <w:p>
      <w:pPr>
        <w:pStyle w:val="Heading3"/>
      </w:pPr>
      <w:bookmarkStart w:id="1445" w:name="_Toc967"/>
      <w:r>
        <w:t>اسرار النجوم / هيئت / عربي</w:t>
      </w:r>
      <w:bookmarkEnd w:id="1445"/>
    </w:p>
    <w:p>
      <w:pPr>
        <w:pStyle w:val="BookText"/>
      </w:pPr>
      <w:r>
        <w:rPr>
          <w:rFonts w:ascii="Times New Roman" w:hAnsi="Times New Roman" w:eastAsia="Times New Roman" w:cs="Times New Roman"/>
          <w:lang w:val="en-US" w:bidi="en-US"/>
          <w:color w:val="111111"/>
          <w:sz w:val="28"/>
          <w:szCs w:val="28"/>
          <w:rtl/>
        </w:rPr>
        <w:t xml:space="preserve">asrār-un nujūm</w:t>
      </w:r>
    </w:p>
    <w:p>
      <w:pPr>
        <w:pStyle w:val="BookText"/>
      </w:pPr>
      <w:r>
        <w:rPr>
          <w:rFonts w:ascii="IRNazanin" w:hAnsi="IRNazanin" w:eastAsia="IRNazanin" w:cs="IRNazanin"/>
          <w:lang w:bidi="fa-IR"/>
          <w:color w:val="111111"/>
          <w:sz w:val="28"/>
          <w:szCs w:val="28"/>
          <w:rtl/>
        </w:rPr>
        <w:t xml:space="preserve">تهران؛ مجلس؛ شماره نسخه: ۱۷۳۱۶ ض</w:t>
      </w:r>
    </w:p>
    <w:p>
      <w:pPr>
        <w:pStyle w:val="BookText"/>
      </w:pPr>
      <w:r>
        <w:rPr>
          <w:rFonts w:ascii="IRNazanin" w:hAnsi="IRNazanin" w:eastAsia="IRNazanin" w:cs="IRNazanin"/>
          <w:lang w:bidi="fa-IR"/>
          <w:color w:val="111111"/>
          <w:sz w:val="28"/>
          <w:szCs w:val="28"/>
          <w:rtl/>
        </w:rPr>
        <w:t xml:space="preserve">بی کا، بی تا [د.ث. مجلس ]</w:t>
      </w:r>
    </w:p>
    <w:p>
      <w:pPr>
        <w:pStyle w:val="Heading3"/>
      </w:pPr>
      <w:bookmarkStart w:id="1446" w:name="_Toc968"/>
      <w:r>
        <w:t>اسرار النجوم (مختصر) = مختصر الاسرار = مختصـر اسرار النجوم / هيئت / عربي</w:t>
      </w:r>
      <w:bookmarkEnd w:id="1446"/>
    </w:p>
    <w:p>
      <w:pPr>
        <w:pStyle w:val="BookText"/>
      </w:pPr>
      <w:r>
        <w:rPr>
          <w:rFonts w:ascii="Times New Roman" w:hAnsi="Times New Roman" w:eastAsia="Times New Roman" w:cs="Times New Roman"/>
          <w:lang w:val="en-US" w:bidi="en-US"/>
          <w:color w:val="111111"/>
          <w:sz w:val="28"/>
          <w:szCs w:val="28"/>
          <w:rtl/>
        </w:rPr>
        <w:t xml:space="preserve">asrār-un nujūm (mx.) = mx.-ul asrār = mx.-u asrār-in</w:t>
      </w:r>
    </w:p>
    <w:p>
      <w:pPr>
        <w:pStyle w:val="BookText"/>
      </w:pPr>
      <w:r>
        <w:rPr>
          <w:rFonts w:ascii="Times New Roman" w:hAnsi="Times New Roman" w:eastAsia="Times New Roman" w:cs="Times New Roman"/>
          <w:lang w:val="en-US" w:bidi="en-US"/>
          <w:color w:val="111111"/>
          <w:sz w:val="28"/>
          <w:szCs w:val="28"/>
          <w:rtl/>
        </w:rPr>
        <w:t xml:space="preserve">nujūm</w:t>
      </w:r>
    </w:p>
    <w:p>
      <w:pPr>
        <w:pStyle w:val="BookText"/>
      </w:pPr>
      <w:r>
        <w:rPr>
          <w:rFonts w:ascii="IRNazanin" w:hAnsi="IRNazanin" w:eastAsia="IRNazanin" w:cs="IRNazanin"/>
          <w:lang w:bidi="fa-IR"/>
          <w:color w:val="111111"/>
          <w:sz w:val="28"/>
          <w:szCs w:val="28"/>
          <w:rtl/>
        </w:rPr>
        <w:t xml:space="preserve">وابسته به: اسرار النجوم؛ ابو معشر  فلکی، جعفر بن محمد (172-272)</w:t>
      </w:r>
    </w:p>
    <w:p>
      <w:pPr>
        <w:pStyle w:val="BookText"/>
      </w:pPr>
      <w:r>
        <w:rPr>
          <w:rFonts w:ascii="IRNazanin" w:hAnsi="IRNazanin" w:eastAsia="IRNazanin" w:cs="IRNazanin"/>
          <w:lang w:bidi="fa-IR"/>
          <w:color w:val="111111"/>
          <w:sz w:val="28"/>
          <w:szCs w:val="28"/>
          <w:rtl/>
        </w:rPr>
        <w:t xml:space="preserve">متن از ابو معشر بلخی است. ابواب چندی است در قواعد کلی علم نجوم و مسائل چندی تطبیقی و شناخت سعد و نحـس ستاره ها و استخراج طوالع و تحویل بروج.</w:t>
      </w:r>
    </w:p>
    <w:p>
      <w:pPr>
        <w:pStyle w:val="BookText"/>
      </w:pPr>
      <w:r>
        <w:rPr>
          <w:rFonts w:ascii="IRNazanin" w:hAnsi="IRNazanin" w:eastAsia="IRNazanin" w:cs="IRNazanin"/>
          <w:lang w:bidi="fa-IR"/>
          <w:color w:val="111111"/>
          <w:sz w:val="28"/>
          <w:szCs w:val="28"/>
          <w:rtl/>
        </w:rPr>
        <w:t xml:space="preserve">آغاز: بسمله هذا كتاب مختصر الاسرار لابي معشر ... باب معانی القضاء و وجوهه اعلم أن الهبوط حبس و ان المنحوس مقاتل و  الراجع</w:t>
      </w:r>
    </w:p>
    <w:p>
      <w:pPr>
        <w:pStyle w:val="BookText"/>
      </w:pPr>
      <w:r>
        <w:rPr>
          <w:rFonts w:ascii="IRNazanin" w:hAnsi="IRNazanin" w:eastAsia="IRNazanin" w:cs="IRNazanin"/>
          <w:lang w:bidi="fa-IR"/>
          <w:color w:val="111111"/>
          <w:sz w:val="28"/>
          <w:szCs w:val="28"/>
          <w:rtl/>
        </w:rPr>
        <w:t xml:space="preserve">[كشف الظنون حاجی خلیفه ۸۴/۱ نسخههای منزوی 1/ 257؛ سزگین ۷/ 146  ش  13]</w:t>
      </w:r>
    </w:p>
    <w:p>
      <w:pPr>
        <w:pStyle w:val="BookText"/>
      </w:pPr>
      <w:r>
        <w:rPr>
          <w:rFonts w:ascii="IRNazanin" w:hAnsi="IRNazanin" w:eastAsia="IRNazanin" w:cs="IRNazanin"/>
          <w:lang w:bidi="fa-IR"/>
          <w:color w:val="111111"/>
          <w:sz w:val="28"/>
          <w:szCs w:val="28"/>
          <w:rtl/>
        </w:rPr>
        <w:t xml:space="preserve">۱. قم؛ مرعشی؛ شماره نسخه: ۸۴۷۷/۳</w:t>
      </w:r>
    </w:p>
    <w:p>
      <w:pPr>
        <w:pStyle w:val="BookText"/>
      </w:pPr>
      <w:r>
        <w:rPr>
          <w:rFonts w:ascii="Amiri" w:hAnsi="Amiri" w:eastAsia="Amiri" w:cs="Amiri"/>
          <w:lang w:bidi="ar-SA"/>
          <w:color w:val="111111"/>
          <w:sz w:val="28"/>
          <w:szCs w:val="28"/>
          <w:rtl/>
        </w:rPr>
        <w:t xml:space="preserve">آغاز: برابر؛ انجام: و السادسة و هى اصغر الكواكب مما يرى في  السماء مما عرف قياسها فمثل الأرض، ك مره و الله اعلم.</w:t>
      </w:r>
    </w:p>
    <w:p>
      <w:pPr>
        <w:pStyle w:val="BookText"/>
      </w:pPr>
      <w:r>
        <w:rPr>
          <w:rFonts w:ascii="IRNazanin" w:hAnsi="IRNazanin" w:eastAsia="IRNazanin" w:cs="IRNazanin"/>
          <w:lang w:bidi="fa-IR"/>
          <w:color w:val="111111"/>
          <w:sz w:val="28"/>
          <w:szCs w:val="28"/>
          <w:rtl/>
        </w:rPr>
        <w:t xml:space="preserve">خط: نستعلیق، کا: نظام بن عبدالله بن محمد، تا: ۸۳۶ق؛ جلد: تیماج قرمز عطف تیماج قهوه ای، ۴۲گ (۳۷پ-۷۸ر)، اندازه: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۲۲ - ۶۵]</w:t>
      </w:r>
    </w:p>
    <w:p>
      <w:pPr>
        <w:pStyle w:val="BookText"/>
      </w:pPr>
      <w:r>
        <w:rPr>
          <w:rFonts w:ascii="Amiri" w:hAnsi="Amiri" w:eastAsia="Amiri" w:cs="Amiri"/>
          <w:lang w:bidi="ar-SA"/>
          <w:color w:val="111111"/>
          <w:sz w:val="28"/>
          <w:szCs w:val="28"/>
          <w:rtl/>
        </w:rPr>
        <w:t xml:space="preserve">۲. تهران؛ دائرة المعارف؛ شماره نسخه: ۱۱۴/۴</w:t>
      </w:r>
    </w:p>
    <w:p>
      <w:pPr>
        <w:pStyle w:val="BookText"/>
      </w:pPr>
      <w:r>
        <w:rPr>
          <w:rFonts w:ascii="IRNazanin" w:hAnsi="IRNazanin" w:eastAsia="IRNazanin" w:cs="IRNazanin"/>
          <w:lang w:bidi="fa-IR"/>
          <w:color w:val="111111"/>
          <w:sz w:val="28"/>
          <w:szCs w:val="28"/>
          <w:rtl/>
        </w:rPr>
        <w:t xml:space="preserve">آغاز: برابر؛ انجام: القمر له من الادیان دین الصابئة من الالسن  السر</w:t>
      </w:r>
    </w:p>
    <w:p>
      <w:pPr>
        <w:pStyle w:val="BookText"/>
      </w:pPr>
      <w:r>
        <w:rPr>
          <w:rFonts w:ascii="IRNazanin" w:hAnsi="IRNazanin" w:eastAsia="IRNazanin" w:cs="IRNazanin"/>
          <w:lang w:bidi="fa-IR"/>
          <w:color w:val="111111"/>
          <w:sz w:val="28"/>
          <w:szCs w:val="28"/>
          <w:rtl/>
        </w:rPr>
        <w:t xml:space="preserve">خط: نستعلیق ،تحریری، بی کا، تا: ۱۰۸۴ق؛ سپس بندهایی به نقل از ابو معشر که می تواند دنباله همین کتاب باشد؛ ۹گ (۱۸۵پ-193ر ) [ف ۱ - ۱۸]</w:t>
      </w:r>
    </w:p>
    <w:p>
      <w:pPr>
        <w:pStyle w:val="BookText"/>
      </w:pPr>
      <w:r>
        <w:rPr>
          <w:rFonts w:ascii="IRNazanin" w:hAnsi="IRNazanin" w:eastAsia="IRNazanin" w:cs="IRNazanin"/>
          <w:lang w:bidi="fa-IR"/>
          <w:color w:val="111111"/>
          <w:sz w:val="28"/>
          <w:szCs w:val="28"/>
          <w:rtl/>
        </w:rPr>
        <w:t xml:space="preserve">3.تهران؛ مجلس؛ شماره نسخه: ۶۴۳۴/۲</w:t>
      </w:r>
    </w:p>
    <w:p>
      <w:pPr>
        <w:pStyle w:val="BookText"/>
      </w:pPr>
      <w:r>
        <w:rPr>
          <w:rFonts w:ascii="IRNazanin" w:hAnsi="IRNazanin" w:eastAsia="IRNazanin" w:cs="IRNazanin"/>
          <w:lang w:bidi="fa-IR"/>
          <w:color w:val="111111"/>
          <w:sz w:val="28"/>
          <w:szCs w:val="28"/>
          <w:rtl/>
        </w:rPr>
        <w:t xml:space="preserve">خط: نسخ، بی کا، تا: شعبان ۱۱۷۰ق؛ مصحح؛ جلد: تیماج مشکی ضربی ترنج و سرترنج دار بدون مقوا ،۱۴گ (۱۸۴پ-۱۹۷پ)، اندازه: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٢٠ - ٢٠]</w:t>
      </w:r>
    </w:p>
    <w:p>
      <w:pPr>
        <w:pStyle w:val="BookText"/>
      </w:pPr>
      <w:r>
        <w:rPr>
          <w:rFonts w:ascii="IRNazanin" w:hAnsi="IRNazanin" w:eastAsia="IRNazanin" w:cs="IRNazanin"/>
          <w:lang w:bidi="fa-IR"/>
          <w:color w:val="111111"/>
          <w:sz w:val="28"/>
          <w:szCs w:val="28"/>
          <w:rtl/>
        </w:rPr>
        <w:t xml:space="preserve">۴. تهران؛ مجلس؛ شماره نسخه: ۶۴۷۰</w:t>
      </w:r>
    </w:p>
    <w:p>
      <w:pPr>
        <w:pStyle w:val="BookText"/>
      </w:pPr>
      <w:r>
        <w:rPr>
          <w:rFonts w:ascii="IRNazanin" w:hAnsi="IRNazanin" w:eastAsia="IRNazanin" w:cs="IRNazanin"/>
          <w:lang w:bidi="fa-IR"/>
          <w:color w:val="111111"/>
          <w:sz w:val="28"/>
          <w:szCs w:val="28"/>
          <w:rtl/>
        </w:rPr>
        <w:t xml:space="preserve">خط: نستعلیق، بی کا، تا: ۱۲۳۸ق؛ یادداشتی در هدیه کتاب از مجد الدین (نصیری) به کتابخانه مجلس در ۴/۱۲/۱۷ و مهر مستطیل کتابخانه وی ؛تملک: محمد باقر خوانساری؛ جلد: تیماج قهوه ای، ۳۵گ، ۱۷ سطر،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 ۲۰ - ۴۹]</w:t>
      </w:r>
    </w:p>
    <w:p>
      <w:pPr>
        <w:pStyle w:val="BookText"/>
      </w:pPr>
      <w:r>
        <w:rPr>
          <w:rFonts w:ascii="IRNazanin" w:hAnsi="IRNazanin" w:eastAsia="IRNazanin" w:cs="IRNazanin"/>
          <w:lang w:bidi="fa-IR"/>
          <w:color w:val="111111"/>
          <w:sz w:val="28"/>
          <w:szCs w:val="28"/>
          <w:rtl/>
        </w:rPr>
        <w:t xml:space="preserve">5.تهران؛ ملک؛ شماره نسخه: ۳۲۴۲/۴</w:t>
      </w:r>
    </w:p>
    <w:p>
      <w:pPr>
        <w:pStyle w:val="BookText"/>
      </w:pPr>
      <w:r>
        <w:rPr>
          <w:rFonts w:ascii="Amiri" w:hAnsi="Amiri" w:eastAsia="Amiri" w:cs="Amiri"/>
          <w:lang w:bidi="ar-SA"/>
          <w:color w:val="111111"/>
          <w:sz w:val="28"/>
          <w:szCs w:val="28"/>
          <w:rtl/>
        </w:rPr>
        <w:t xml:space="preserve">آغاز: برابر؛ انجام: اصغر الكواكب مما يرى في السماء مما عرف قياسها، فمثل الأرض مرة. و الله اعلم</w:t>
      </w:r>
    </w:p>
    <w:p>
      <w:pPr>
        <w:pStyle w:val="BookText"/>
      </w:pPr>
      <w:r>
        <w:rPr>
          <w:rFonts w:ascii="IRNazanin" w:hAnsi="IRNazanin" w:eastAsia="IRNazanin" w:cs="IRNazanin"/>
          <w:lang w:bidi="fa-IR"/>
          <w:color w:val="111111"/>
          <w:sz w:val="28"/>
          <w:szCs w:val="28"/>
          <w:rtl/>
        </w:rPr>
        <w:t xml:space="preserve">خط: شکسته نستعلیق، کا: محمد باقر بن محمد حسین بن بديع الزمان منجم  اصفهانی، تا: ۱۲۴۸ق؛ جا: اصفهان، کاغذ: پسته ای،جلد: رویه میشن قهوه ای  ضربی، ۳۳گ (۵۹پ-۹۱ر)، ۱۶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۲۱/۶سم [ف: ۶ - ۳۲۶]</w:t>
      </w:r>
    </w:p>
    <w:p>
      <w:pPr>
        <w:pStyle w:val="BookText"/>
      </w:pPr>
      <w:r>
        <w:rPr>
          <w:rFonts w:ascii="IRNazanin" w:hAnsi="IRNazanin" w:eastAsia="IRNazanin" w:cs="IRNazanin"/>
          <w:lang w:bidi="fa-IR"/>
          <w:color w:val="111111"/>
          <w:sz w:val="28"/>
          <w:szCs w:val="28"/>
          <w:rtl/>
        </w:rPr>
        <w:t xml:space="preserve">۶. تهران؛ مجلس؛ شماره نسخه: ۱۷۳۰۹</w:t>
      </w:r>
    </w:p>
    <w:p>
      <w:pPr>
        <w:pStyle w:val="BookText"/>
      </w:pPr>
      <w:r>
        <w:rPr>
          <w:rFonts w:ascii="IRNazanin" w:hAnsi="IRNazanin" w:eastAsia="IRNazanin" w:cs="IRNazanin"/>
          <w:lang w:bidi="fa-IR"/>
          <w:color w:val="111111"/>
          <w:sz w:val="28"/>
          <w:szCs w:val="28"/>
          <w:rtl/>
        </w:rPr>
        <w:t xml:space="preserve">بی کا، بی تا [د.ث. مجلس ]</w:t>
      </w:r>
    </w:p>
    <w:p>
      <w:pPr>
        <w:pStyle w:val="BookText"/>
      </w:pPr>
      <w:r>
        <w:rPr>
          <w:rFonts w:ascii="Amiri" w:hAnsi="Amiri" w:eastAsia="Amiri" w:cs="Amiri"/>
          <w:lang w:bidi="ar-SA"/>
          <w:color w:val="111111"/>
          <w:sz w:val="28"/>
          <w:szCs w:val="28"/>
          <w:rtl/>
        </w:rPr>
        <w:t xml:space="preserve">«اسرار النساء » اسرار النكاح</w:t>
      </w:r>
    </w:p>
    <w:p>
      <w:pPr>
        <w:pStyle w:val="Heading3"/>
      </w:pPr>
      <w:bookmarkStart w:id="1447" w:name="_Toc969"/>
      <w:r>
        <w:t>اسرار النساء / طب / عربي</w:t>
      </w:r>
      <w:bookmarkEnd w:id="1447"/>
    </w:p>
    <w:p>
      <w:pPr>
        <w:pStyle w:val="BookText"/>
      </w:pPr>
      <w:r>
        <w:rPr>
          <w:rFonts w:ascii="Times New Roman" w:hAnsi="Times New Roman" w:eastAsia="Times New Roman" w:cs="Times New Roman"/>
          <w:lang w:val="en-US" w:bidi="en-US"/>
          <w:color w:val="111111"/>
          <w:sz w:val="28"/>
          <w:szCs w:val="28"/>
          <w:rtl/>
        </w:rPr>
        <w:t xml:space="preserve">asrār-un-nisā’</w:t>
      </w:r>
    </w:p>
    <w:p>
      <w:pPr>
        <w:pStyle w:val="BookText"/>
      </w:pPr>
      <w:r>
        <w:rPr>
          <w:rFonts w:ascii="IRNazanin" w:hAnsi="IRNazanin" w:eastAsia="IRNazanin" w:cs="IRNazanin"/>
          <w:lang w:bidi="fa-IR"/>
          <w:color w:val="111111"/>
          <w:sz w:val="28"/>
          <w:szCs w:val="28"/>
          <w:rtl/>
        </w:rPr>
        <w:t xml:space="preserve">جالينوس، ۱۲۹ - ۱۹۹ میلادی</w:t>
      </w:r>
    </w:p>
    <w:p>
      <w:pPr>
        <w:pStyle w:val="BookText"/>
      </w:pPr>
      <w:r>
        <w:rPr>
          <w:rFonts w:ascii="Times New Roman" w:hAnsi="Times New Roman" w:eastAsia="Times New Roman" w:cs="Times New Roman"/>
          <w:lang w:val="en-US" w:bidi="en-US"/>
          <w:color w:val="111111"/>
          <w:sz w:val="28"/>
          <w:szCs w:val="28"/>
          <w:rtl/>
        </w:rPr>
        <w:t xml:space="preserve">(jalinus (129 - 199</w:t>
      </w:r>
    </w:p>
    <w:p>
      <w:pPr>
        <w:pStyle w:val="BookText"/>
      </w:pPr>
      <w:r>
        <w:rPr>
          <w:rFonts w:ascii="IRNazanin" w:hAnsi="IRNazanin" w:eastAsia="IRNazanin" w:cs="IRNazanin"/>
          <w:lang w:bidi="fa-IR"/>
          <w:color w:val="111111"/>
          <w:sz w:val="28"/>
          <w:szCs w:val="28"/>
          <w:rtl/>
        </w:rPr>
        <w:t xml:space="preserve">مترجم: حنين بن اسحاق ۱۹۴ - ۲۶۰ قمری</w:t>
      </w:r>
    </w:p>
    <w:p>
      <w:pPr>
        <w:pStyle w:val="BookText"/>
      </w:pPr>
      <w:r>
        <w:rPr>
          <w:rFonts w:ascii="IRNazanin" w:hAnsi="IRNazanin" w:eastAsia="IRNazanin" w:cs="IRNazanin"/>
          <w:lang w:bidi="fa-IR"/>
          <w:color w:val="111111"/>
          <w:sz w:val="28"/>
          <w:szCs w:val="28"/>
          <w:rtl/>
        </w:rPr>
        <w:t xml:space="preserve">درباره رازهای زنان که به دستور ملکه فیلانوس (فینلاينوس، قيلاسوس) تألیف شده  است. در مقدمه آمده که فیلانوس ملکه از جالینوس خواست که کتابی در اسرار زنان بنویسد در دو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273" w:name="pg20365_260388"/>
    <w:bookmarkEnd w:id="273"/>
    <w:p>
      <w:pPr>
        <w:pStyle w:val="BookText"/>
      </w:pPr>
      <w:r>
        <w:rPr>
          <w:rFonts w:ascii="IRNazanin" w:hAnsi="IRNazanin" w:eastAsia="IRNazanin" w:cs="IRNazanin"/>
          <w:lang w:bidi="fa-IR"/>
          <w:color w:val="111111"/>
          <w:sz w:val="28"/>
          <w:szCs w:val="28"/>
          <w:rtl/>
        </w:rPr>
        <w:t xml:space="preserve">بخش یک قسم داروهای مفید و دیگر ادویه مضر و او این کتاب را نوشته است. نسخه هایی از آن در ایران ترکیه و هند نگهداری می شود.</w:t>
      </w:r>
    </w:p>
    <w:p>
      <w:pPr>
        <w:pStyle w:val="BookText"/>
      </w:pPr>
      <w:r>
        <w:rPr>
          <w:rFonts w:ascii="IRNazanin" w:hAnsi="IRNazanin" w:eastAsia="IRNazanin" w:cs="IRNazanin"/>
          <w:lang w:bidi="fa-IR"/>
          <w:color w:val="111111"/>
          <w:sz w:val="28"/>
          <w:szCs w:val="28"/>
          <w:rtl/>
        </w:rPr>
        <w:t xml:space="preserve">آغاز: بسمله. و هو حسبى، كتاب أسرار النساء، سالت فيلانوس الملكة جالينوس أن يؤلف لها كتاباً فى أسرار النساء على ما سألته و بينت له عرضها فى الكتاب و أن يقسمه لها قسمين، أحدهما فی نفسها فيما يصلح به بدنها مما يلحقه من الأعراض الداخلة عـلیه ورده الى حالة التي خرج عنها أو تدبير يدبر به بدنها اذا احتاجت الآفات الى ذلك و الآخر مما يعنيها به لوقوع بمن يضاهيها... الأدوية التي تسمن البدن و ترطبه.</w:t>
      </w:r>
    </w:p>
    <w:p>
      <w:pPr>
        <w:pStyle w:val="BookText"/>
      </w:pPr>
      <w:r>
        <w:rPr>
          <w:rFonts w:ascii="Amiri" w:hAnsi="Amiri" w:eastAsia="Amiri" w:cs="Amiri"/>
          <w:lang w:bidi="ar-SA"/>
          <w:color w:val="111111"/>
          <w:sz w:val="28"/>
          <w:szCs w:val="28"/>
          <w:rtl/>
        </w:rPr>
        <w:t xml:space="preserve">انجام: بان يطرح لها في دهن تندهن به و هي لا تعلم فانه يفعل  ما وصفنا. تم كتاب جالينوس و الحمدلله</w:t>
      </w:r>
    </w:p>
    <w:p>
      <w:pPr>
        <w:pStyle w:val="BookText"/>
      </w:pPr>
      <w:r>
        <w:rPr>
          <w:rFonts w:ascii="IRNazanin" w:hAnsi="IRNazanin" w:eastAsia="IRNazanin" w:cs="IRNazanin"/>
          <w:lang w:bidi="fa-IR"/>
          <w:color w:val="111111"/>
          <w:sz w:val="28"/>
          <w:szCs w:val="28"/>
          <w:rtl/>
        </w:rPr>
        <w:t xml:space="preserve">چاپ : بمبئی ،سنگی ۱۳۱۱، وزیری کوچک، ۲۵ص</w:t>
      </w:r>
    </w:p>
    <w:p>
      <w:pPr>
        <w:pStyle w:val="BookText"/>
      </w:pPr>
      <w:r>
        <w:rPr>
          <w:rFonts w:ascii="IRNazanin" w:hAnsi="IRNazanin" w:eastAsia="IRNazanin" w:cs="IRNazanin"/>
          <w:lang w:bidi="fa-IR"/>
          <w:color w:val="111111"/>
          <w:sz w:val="28"/>
          <w:szCs w:val="28"/>
          <w:rtl/>
        </w:rPr>
        <w:t xml:space="preserve">[ تاریخ نگارش های عرب ۱۸۵/۳؛ فهرس مخطوطات الطب الاسلامي  مكتاب ترکیا ۱۶۰]</w:t>
      </w:r>
    </w:p>
    <w:p>
      <w:pPr>
        <w:pStyle w:val="BookText"/>
      </w:pPr>
      <w:r>
        <w:rPr>
          <w:rFonts w:ascii="IRNazanin" w:hAnsi="IRNazanin" w:eastAsia="IRNazanin" w:cs="IRNazanin"/>
          <w:lang w:bidi="fa-IR"/>
          <w:color w:val="111111"/>
          <w:sz w:val="28"/>
          <w:szCs w:val="28"/>
          <w:rtl/>
        </w:rPr>
        <w:t xml:space="preserve">۱. قم؛ مرعشی؛ شماره نسخه: ۱۰۹۴/۳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نسخه اصل: کتابخانه ایاصوفیا در استانبول ترکیه، ش ۴۸۳۸؛ خـط: نسخ ،معرب، بی کا، تا: قرن 8، مقابله شده با نسخه منقول منه، 18گ (۷۴-۵۷)، ۱۱ سطر [عکسی ف: ۳ - ۱۸۶]</w:t>
      </w:r>
    </w:p>
    <w:p>
      <w:pPr>
        <w:pStyle w:val="BookText"/>
      </w:pPr>
      <w:r>
        <w:rPr>
          <w:rFonts w:ascii="IRNazanin" w:hAnsi="IRNazanin" w:eastAsia="IRNazanin" w:cs="IRNazanin"/>
          <w:lang w:bidi="fa-IR"/>
          <w:color w:val="111111"/>
          <w:sz w:val="28"/>
          <w:szCs w:val="28"/>
          <w:rtl/>
        </w:rPr>
        <w:t xml:space="preserve">۲. یزد؛ وزیری؛ شماره نسخه: ۳۶۴۴/۱</w:t>
      </w:r>
    </w:p>
    <w:p>
      <w:pPr>
        <w:pStyle w:val="BookText"/>
      </w:pPr>
      <w:r>
        <w:rPr>
          <w:rFonts w:ascii="IRNazanin" w:hAnsi="IRNazanin" w:eastAsia="IRNazanin" w:cs="IRNazanin"/>
          <w:lang w:bidi="fa-IR"/>
          <w:color w:val="111111"/>
          <w:sz w:val="28"/>
          <w:szCs w:val="28"/>
          <w:rtl/>
        </w:rPr>
        <w:t xml:space="preserve">آغاز: بسمله و به ثقتی جامع کتاب جالينوس الى قيلاسوس الملكة فى اسرار النساء؛ انجام: و جميع خروج الدم من المواضع كلها</w:t>
      </w:r>
    </w:p>
    <w:p>
      <w:pPr>
        <w:pStyle w:val="BookText"/>
      </w:pPr>
      <w:r>
        <w:rPr>
          <w:rFonts w:ascii="IRNazanin" w:hAnsi="IRNazanin" w:eastAsia="IRNazanin" w:cs="IRNazanin"/>
          <w:lang w:bidi="fa-IR"/>
          <w:color w:val="111111"/>
          <w:sz w:val="28"/>
          <w:szCs w:val="28"/>
          <w:rtl/>
        </w:rPr>
        <w:t xml:space="preserve">خط: نسخ، كا: محمد رفیع بن محمد باقر حافظ عاملی، تا: ربیع الاول ۱۰۷۵ق؛ كاغذ ،اصفهانی ،جلد: مقوایی روکش کاغذ، ابـری عطف تیماج ،قرمز، ۲۷ ص (1- 27) ۱۲ سطر (۴/۵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۷/۵)، اندازه: 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۵ - ۱۷۳۴]</w:t>
      </w:r>
    </w:p>
    <w:p>
      <w:pPr>
        <w:pStyle w:val="BookText"/>
      </w:pPr>
      <w:r>
        <w:rPr>
          <w:rFonts w:ascii="IRNazanin" w:hAnsi="IRNazanin" w:eastAsia="IRNazanin" w:cs="IRNazanin"/>
          <w:lang w:bidi="fa-IR"/>
          <w:color w:val="111111"/>
          <w:sz w:val="28"/>
          <w:szCs w:val="28"/>
          <w:rtl/>
        </w:rPr>
        <w:t xml:space="preserve">3.تهران؛ دانشگاه؛ شماره نسخه: ۲۸۳۶۱۰</w:t>
      </w:r>
    </w:p>
    <w:p>
      <w:pPr>
        <w:pStyle w:val="BookText"/>
      </w:pPr>
      <w:r>
        <w:rPr>
          <w:rFonts w:ascii="IRNazanin" w:hAnsi="IRNazanin" w:eastAsia="IRNazanin" w:cs="IRNazanin"/>
          <w:lang w:bidi="fa-IR"/>
          <w:color w:val="111111"/>
          <w:sz w:val="28"/>
          <w:szCs w:val="28"/>
          <w:rtl/>
        </w:rPr>
        <w:t xml:space="preserve">آغاز: برابر؛ انجام :و انياب سرطان بحری</w:t>
      </w:r>
    </w:p>
    <w:p>
      <w:pPr>
        <w:pStyle w:val="BookText"/>
      </w:pPr>
      <w:r>
        <w:rPr>
          <w:rFonts w:ascii="IRNazanin" w:hAnsi="IRNazanin" w:eastAsia="IRNazanin" w:cs="IRNazanin"/>
          <w:lang w:bidi="fa-IR"/>
          <w:color w:val="111111"/>
          <w:sz w:val="28"/>
          <w:szCs w:val="28"/>
          <w:rtl/>
        </w:rPr>
        <w:t xml:space="preserve">خط: نسخ، بی کا ،تا: قرن ۱۳ ؛کاغذ: سمرقندی و  فرنگی، جلد: تیماج تریاکی درون  سرخ، ۲۰ ص (۱۸۰-۱۹۹) [ف: ۱۰ - ۱۶۷۹]</w:t>
      </w:r>
    </w:p>
    <w:p>
      <w:pPr>
        <w:pStyle w:val="BookText"/>
      </w:pPr>
      <w:r>
        <w:rPr>
          <w:rFonts w:ascii="IRNazanin" w:hAnsi="IRNazanin" w:eastAsia="IRNazanin" w:cs="IRNazanin"/>
          <w:lang w:bidi="fa-IR"/>
          <w:color w:val="111111"/>
          <w:sz w:val="28"/>
          <w:szCs w:val="28"/>
          <w:rtl/>
        </w:rPr>
        <w:t xml:space="preserve">۴. تهران؛ دانشگاه؛ شماره نسخه: ۸۰۵۱/۱</w:t>
      </w:r>
    </w:p>
    <w:p>
      <w:pPr>
        <w:pStyle w:val="BookText"/>
      </w:pPr>
      <w:r>
        <w:rPr>
          <w:rFonts w:ascii="IRNazanin" w:hAnsi="IRNazanin" w:eastAsia="IRNazanin" w:cs="IRNazanin"/>
          <w:lang w:bidi="fa-IR"/>
          <w:color w:val="111111"/>
          <w:sz w:val="28"/>
          <w:szCs w:val="28"/>
          <w:rtl/>
        </w:rPr>
        <w:t xml:space="preserve">بی کا، تا :۶ ربیع الاول ۱۳۱۱ق؛ كاغذ: فرنگی، جلد: مقوا، ۲۱ص (۲۲-۲)، ۱۴ سطر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قطع: ربعی، اندازه: 15/5</w:t>
      </w:r>
      <w:r>
        <w:rPr>
          <w:rFonts w:ascii="Times New Roman" w:hAnsi="Times New Roman" w:eastAsia="Times New Roman" w:cs="Times New Roman"/>
          <w:lang w:val="en-US" w:bidi="en-US"/>
          <w:color w:val="111111"/>
          <w:sz w:val="28"/>
          <w:szCs w:val="28"/>
          <w:rtl/>
        </w:rPr>
        <w:t xml:space="preserve">×24</w:t>
      </w:r>
      <w:r>
        <w:rPr>
          <w:rFonts w:ascii="IRNazanin" w:hAnsi="IRNazanin" w:eastAsia="IRNazanin" w:cs="IRNazanin"/>
          <w:lang w:bidi="fa-IR"/>
          <w:color w:val="111111"/>
          <w:sz w:val="28"/>
          <w:szCs w:val="28"/>
          <w:rtl/>
        </w:rPr>
        <w:t xml:space="preserve">سم[ف: ۱۷-۱۷]</w:t>
      </w:r>
    </w:p>
    <w:p>
      <w:pPr>
        <w:pStyle w:val="BookText"/>
      </w:pPr>
      <w:r>
        <w:rPr>
          <w:rFonts w:ascii="IRNazanin" w:hAnsi="IRNazanin" w:eastAsia="IRNazanin" w:cs="IRNazanin"/>
          <w:lang w:bidi="fa-IR"/>
          <w:color w:val="111111"/>
          <w:sz w:val="28"/>
          <w:szCs w:val="28"/>
          <w:rtl/>
        </w:rPr>
        <w:t xml:space="preserve">۵. مشهد؛ الهیات؛ شماره نسخه: ۵۲۱/۱</w:t>
      </w:r>
    </w:p>
    <w:p>
      <w:pPr>
        <w:pStyle w:val="BookText"/>
      </w:pPr>
      <w:r>
        <w:rPr>
          <w:rFonts w:ascii="IRNazanin" w:hAnsi="IRNazanin" w:eastAsia="IRNazanin" w:cs="IRNazanin"/>
          <w:lang w:bidi="fa-IR"/>
          <w:color w:val="111111"/>
          <w:sz w:val="28"/>
          <w:szCs w:val="28"/>
          <w:rtl/>
        </w:rPr>
        <w:t xml:space="preserve">آغاز: برابر؛ انجام: و ایناب سربان بحری</w:t>
      </w:r>
    </w:p>
    <w:p>
      <w:pPr>
        <w:pStyle w:val="BookText"/>
      </w:pPr>
      <w:r>
        <w:rPr>
          <w:rFonts w:ascii="IRNazanin" w:hAnsi="IRNazanin" w:eastAsia="IRNazanin" w:cs="IRNazanin"/>
          <w:lang w:bidi="fa-IR"/>
          <w:color w:val="111111"/>
          <w:sz w:val="28"/>
          <w:szCs w:val="28"/>
          <w:rtl/>
        </w:rPr>
        <w:t xml:space="preserve">خط: نسخ، بی کا، بی تا: کاتب نسخه را به آخر نرسانده؛ کاغذ: فرنگی؛ جلد: تیماج خرمائی، ۱۲ سطر (5</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،قطع: ربعی [ف: 1-341]</w:t>
      </w:r>
    </w:p>
    <w:p>
      <w:pPr>
        <w:pStyle w:val="BookText"/>
      </w:pPr>
      <w:r>
        <w:rPr>
          <w:rFonts w:ascii="IRNazanin" w:hAnsi="IRNazanin" w:eastAsia="IRNazanin" w:cs="IRNazanin"/>
          <w:lang w:bidi="fa-IR"/>
          <w:color w:val="111111"/>
          <w:sz w:val="28"/>
          <w:szCs w:val="28"/>
          <w:rtl/>
        </w:rPr>
        <w:t xml:space="preserve">۶. تهران؛ دانشگاه؛ شماره نسخه: ۱۹۸۷/۱۰</w:t>
      </w:r>
    </w:p>
    <w:p>
      <w:pPr>
        <w:pStyle w:val="BookText"/>
      </w:pPr>
      <w:r>
        <w:rPr>
          <w:rFonts w:ascii="Amiri" w:hAnsi="Amiri" w:eastAsia="Amiri" w:cs="Amiri"/>
          <w:lang w:bidi="ar-SA"/>
          <w:color w:val="111111"/>
          <w:sz w:val="28"/>
          <w:szCs w:val="28"/>
          <w:rtl/>
        </w:rPr>
        <w:t xml:space="preserve">آغاز: من كتاب جوامع جالينوس فى اسرار النساء ترجمه حنين بن اسحق الطبيب. ذكر الادوية التي اذا استعملها النساء اللواتي لم تدركن لم ينبت على كرسى ارحامهن الشعر و ينعم الموضع و يصيره رطبا ؛انجام: برابر</w:t>
      </w:r>
    </w:p>
    <w:p>
      <w:pPr>
        <w:pStyle w:val="BookText"/>
      </w:pPr>
      <w:r>
        <w:rPr>
          <w:rFonts w:ascii="IRNazanin" w:hAnsi="IRNazanin" w:eastAsia="IRNazanin" w:cs="IRNazanin"/>
          <w:lang w:bidi="fa-IR"/>
          <w:color w:val="111111"/>
          <w:sz w:val="28"/>
          <w:szCs w:val="28"/>
          <w:rtl/>
        </w:rPr>
        <w:t xml:space="preserve">خط: نستعلیق، کا: محمد حسین بن محمد باقر  طبیب، بی تا؛ کاغذ: سپاهانی، جلد: تیماج سرخ  مقوایی، ۳گ (۲۲۴پ-۲۲۶پ)،۲۳ سطر (۸/۵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۸ - ۵۹۶]</w:t>
      </w:r>
    </w:p>
    <w:p>
      <w:pPr>
        <w:pStyle w:val="Heading3"/>
      </w:pPr>
      <w:bookmarkStart w:id="1448" w:name="_Toc970"/>
      <w:r>
        <w:t>اسرار النساء / طب / فارسی</w:t>
      </w:r>
      <w:bookmarkEnd w:id="1448"/>
    </w:p>
    <w:p>
      <w:pPr>
        <w:pStyle w:val="BookText"/>
      </w:pPr>
      <w:r>
        <w:rPr>
          <w:rFonts w:ascii="Times New Roman" w:hAnsi="Times New Roman" w:eastAsia="Times New Roman" w:cs="Times New Roman"/>
          <w:lang w:val="en-US" w:bidi="en-US"/>
          <w:color w:val="111111"/>
          <w:sz w:val="28"/>
          <w:szCs w:val="28"/>
          <w:rtl/>
        </w:rPr>
        <w:t xml:space="preserve">asrār-on-nesā</w:t>
      </w:r>
    </w:p>
    <w:p>
      <w:pPr>
        <w:pStyle w:val="BookText"/>
      </w:pPr>
      <w:r>
        <w:rPr>
          <w:rFonts w:ascii="IRNazanin" w:hAnsi="IRNazanin" w:eastAsia="IRNazanin" w:cs="IRNazanin"/>
          <w:lang w:bidi="fa-IR"/>
          <w:color w:val="111111"/>
          <w:sz w:val="28"/>
          <w:szCs w:val="28"/>
          <w:rtl/>
        </w:rPr>
        <w:t xml:space="preserve">گرگانی، رستم، ق۱۰ قمری</w:t>
      </w:r>
    </w:p>
    <w:p>
      <w:pPr>
        <w:pStyle w:val="BookText"/>
      </w:pPr>
      <w:r>
        <w:rPr>
          <w:rFonts w:ascii="Times New Roman" w:hAnsi="Times New Roman" w:eastAsia="Times New Roman" w:cs="Times New Roman"/>
          <w:lang w:val="en-US" w:bidi="en-US"/>
          <w:color w:val="111111"/>
          <w:sz w:val="28"/>
          <w:szCs w:val="28"/>
          <w:rtl/>
        </w:rPr>
        <w:t xml:space="preserve">(gorgani, rostam (-16c)</w:t>
      </w:r>
    </w:p>
    <w:p>
      <w:pPr>
        <w:pStyle w:val="BookText"/>
      </w:pPr>
      <w:r>
        <w:rPr>
          <w:rFonts w:ascii="IRNazanin" w:hAnsi="IRNazanin" w:eastAsia="IRNazanin" w:cs="IRNazanin"/>
          <w:lang w:bidi="fa-IR"/>
          <w:color w:val="111111"/>
          <w:sz w:val="28"/>
          <w:szCs w:val="28"/>
          <w:rtl/>
        </w:rPr>
        <w:t xml:space="preserve">تاریخ تالیف: ۹۶۱ق؛ محل تالیف: هند</w:t>
      </w:r>
    </w:p>
    <w:p>
      <w:pPr>
        <w:pStyle w:val="BookText"/>
      </w:pPr>
      <w:r>
        <w:rPr>
          <w:rFonts w:ascii="IRNazanin" w:hAnsi="IRNazanin" w:eastAsia="IRNazanin" w:cs="IRNazanin"/>
          <w:lang w:bidi="fa-IR"/>
          <w:color w:val="111111"/>
          <w:sz w:val="28"/>
          <w:szCs w:val="28"/>
          <w:rtl/>
        </w:rPr>
        <w:t xml:space="preserve">مؤلف، پزشک خان احمد پادشاه گیلان بوده و این رساله رادر شش «باب» [نسخه مجلس در ده باب] تألیف کرده است: ۱. منفعت مباشرت؛ ۲. مضرت مجامعت؛ 3. معرفت هیئت و عفت زنان و موافقت و مضرت مباشرت؛ ۴. معرفت جای شهوت زنان و مكان لذت ایشان و کیفیت مباشرت و تحصیل لذت؛ ۵. معرفت وقت مباشرت .۶ .بیان هیئت مجامعت و راندن شهوت  مباشرت. در نسخه  مجلس: ۹. سبب نقصان شهوت و تدابیر ۱۰. غذاهایی که قوت  بیفزاید. از اوست رساله تب ساخته در 648.</w:t>
      </w:r>
    </w:p>
    <w:p>
      <w:pPr>
        <w:pStyle w:val="BookText"/>
      </w:pPr>
      <w:r>
        <w:rPr>
          <w:rFonts w:ascii="IRNazanin" w:hAnsi="IRNazanin" w:eastAsia="IRNazanin" w:cs="IRNazanin"/>
          <w:lang w:bidi="fa-IR"/>
          <w:color w:val="111111"/>
          <w:sz w:val="28"/>
          <w:szCs w:val="28"/>
          <w:rtl/>
        </w:rPr>
        <w:t xml:space="preserve">آغاز: بسمله، حمد بی حد و شکر حکیمی را که افراد انسانی را به تشریف شریف و لقد کر منابنی آدم مشرف گردانید ... این رساله ایست در بیان منفعت و مضرت مجامعت و معرفت عفت و مضرت و موافقت زنان و دانستن وقت عشرت و جای شهوت ایشان و کیفیت مباشرت و شناختن هیئت پسندیده و صورت ناپسندیده و بازداشتن مضرت مجامعت و ادویه با هست و غیر آن که بنده جانی رستم جرجانی در بعض بلاد هند ترتیب داد و بنای رساله بر شش باب ساخته نام اسرار النساء نهاد.</w:t>
      </w:r>
    </w:p>
    <w:p>
      <w:pPr>
        <w:pStyle w:val="BookText"/>
      </w:pPr>
      <w:r>
        <w:rPr>
          <w:rFonts w:ascii="IRNazanin" w:hAnsi="IRNazanin" w:eastAsia="IRNazanin" w:cs="IRNazanin"/>
          <w:lang w:bidi="fa-IR"/>
          <w:color w:val="111111"/>
          <w:sz w:val="28"/>
          <w:szCs w:val="28"/>
          <w:rtl/>
        </w:rPr>
        <w:t xml:space="preserve">انجام: و چنک در کمروی زند.</w:t>
      </w:r>
    </w:p>
    <w:p>
      <w:pPr>
        <w:pStyle w:val="BookText"/>
      </w:pPr>
      <w:r>
        <w:rPr>
          <w:rFonts w:ascii="IRNazanin" w:hAnsi="IRNazanin" w:eastAsia="IRNazanin" w:cs="IRNazanin"/>
          <w:lang w:bidi="fa-IR"/>
          <w:color w:val="111111"/>
          <w:sz w:val="28"/>
          <w:szCs w:val="28"/>
          <w:rtl/>
        </w:rPr>
        <w:t xml:space="preserve">[نسخه های منزوی ۴۸۶؛ فهرستواره منزوی ۳۲۸۰/۵]</w:t>
      </w:r>
    </w:p>
    <w:p>
      <w:pPr>
        <w:pStyle w:val="BookText"/>
      </w:pPr>
      <w:r>
        <w:rPr>
          <w:rFonts w:ascii="IRNazanin" w:hAnsi="IRNazanin" w:eastAsia="IRNazanin" w:cs="IRNazanin"/>
          <w:lang w:bidi="fa-IR"/>
          <w:color w:val="111111"/>
          <w:sz w:val="28"/>
          <w:szCs w:val="28"/>
          <w:rtl/>
        </w:rPr>
        <w:t xml:space="preserve">۱. تهران؛ مجلس؛ شماره نسخه: ۱۵۹۳۰/۳</w:t>
      </w:r>
    </w:p>
    <w:p>
      <w:pPr>
        <w:pStyle w:val="BookText"/>
      </w:pPr>
      <w:r>
        <w:rPr>
          <w:rFonts w:ascii="IRNazanin" w:hAnsi="IRNazanin" w:eastAsia="IRNazanin" w:cs="IRNazanin"/>
          <w:lang w:bidi="fa-IR"/>
          <w:color w:val="111111"/>
          <w:sz w:val="28"/>
          <w:szCs w:val="28"/>
          <w:rtl/>
        </w:rPr>
        <w:t xml:space="preserve">آغاز: مباشرت و شناختن هیئت پسندیده و صورت ناپسند و بازداشتن مضرت ... نام وی اسرار النساء نهاد</w:t>
      </w:r>
    </w:p>
    <w:p>
      <w:pPr>
        <w:pStyle w:val="BookText"/>
      </w:pPr>
      <w:r>
        <w:rPr>
          <w:rFonts w:ascii="IRNazanin" w:hAnsi="IRNazanin" w:eastAsia="IRNazanin" w:cs="IRNazanin"/>
          <w:lang w:bidi="fa-IR"/>
          <w:color w:val="111111"/>
          <w:sz w:val="28"/>
          <w:szCs w:val="28"/>
          <w:rtl/>
        </w:rPr>
        <w:t xml:space="preserve">خط: نستعلیق، بی کا، تا: ۱ رمضان ۹۶۳ق؛ افتادگی: آغاز (یک برگ)؛ جلد: تیماج قهوه ای ساده، ۵۴گ (۲۰۹ر-۲۶۲پ)، ۱۵ ،سطر،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۱۵/۵سم [ف ۴۴ - ۱۳۸]</w:t>
      </w:r>
    </w:p>
    <w:p>
      <w:pPr>
        <w:pStyle w:val="BookText"/>
      </w:pPr>
      <w:r>
        <w:rPr>
          <w:rFonts w:ascii="IRNazanin" w:hAnsi="IRNazanin" w:eastAsia="IRNazanin" w:cs="IRNazanin"/>
          <w:lang w:bidi="fa-IR"/>
          <w:color w:val="111111"/>
          <w:sz w:val="28"/>
          <w:szCs w:val="28"/>
          <w:rtl/>
        </w:rPr>
        <w:t xml:space="preserve">۲ . مشهد؛ رضوی؛ شماره نسخه: ۲۲۸۸۸</w:t>
      </w:r>
    </w:p>
    <w:p>
      <w:pPr>
        <w:pStyle w:val="BookText"/>
      </w:pPr>
      <w:r>
        <w:rPr>
          <w:rFonts w:ascii="IRNazanin" w:hAnsi="IRNazanin" w:eastAsia="IRNazanin" w:cs="IRNazanin"/>
          <w:lang w:bidi="fa-IR"/>
          <w:color w:val="111111"/>
          <w:sz w:val="28"/>
          <w:szCs w:val="28"/>
          <w:rtl/>
        </w:rPr>
        <w:t xml:space="preserve">آغاز: برابر؛ انجام: و صلى الله على خير خلقه محمد و آله اجمعین  و سلم تسليما كثيرا</w:t>
      </w:r>
    </w:p>
    <w:p>
      <w:pPr>
        <w:pStyle w:val="BookText"/>
      </w:pPr>
      <w:r>
        <w:rPr>
          <w:rFonts w:ascii="IRNazanin" w:hAnsi="IRNazanin" w:eastAsia="IRNazanin" w:cs="IRNazanin"/>
          <w:lang w:bidi="fa-IR"/>
          <w:color w:val="111111"/>
          <w:sz w:val="28"/>
          <w:szCs w:val="28"/>
          <w:rtl/>
        </w:rPr>
        <w:t xml:space="preserve">خط: نستعلیق، بی کا، تا: ۱۲۳۴ق [رایانه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دانشگاه؛ شماره نسخه: ۸۰۰۲/۵</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274" w:name="pg20365_260389"/>
    <w:bookmarkEnd w:id="274"/>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هندی، بی کا، بی تا ؛کاغذ: هندی ،جلد: مقوا عطف گالینگور ،نو، ۱۶ص (۵۶-۷۱)، ۱۱ سطر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 قطع: ربعـی،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۱۸/۵سم [ف : ۱۷ - ۲]</w:t>
      </w:r>
    </w:p>
    <w:p>
      <w:pPr>
        <w:pStyle w:val="Heading3"/>
      </w:pPr>
      <w:bookmarkStart w:id="1449" w:name="_Toc971"/>
      <w:r>
        <w:t>اسرار النقاط = رساله رملیه / رمل / عربی</w:t>
      </w:r>
      <w:bookmarkEnd w:id="1449"/>
    </w:p>
    <w:p>
      <w:pPr>
        <w:pStyle w:val="BookText"/>
      </w:pPr>
      <w:r>
        <w:rPr>
          <w:rFonts w:ascii="Times New Roman" w:hAnsi="Times New Roman" w:eastAsia="Times New Roman" w:cs="Times New Roman"/>
          <w:lang w:val="en-US" w:bidi="en-US"/>
          <w:color w:val="111111"/>
          <w:sz w:val="28"/>
          <w:szCs w:val="28"/>
          <w:rtl/>
        </w:rPr>
        <w:t xml:space="preserve">asrār-un-nuqāṭ = r.-ye ramlīye</w:t>
      </w:r>
    </w:p>
    <w:p>
      <w:pPr>
        <w:pStyle w:val="BookText"/>
      </w:pPr>
      <w:r>
        <w:rPr>
          <w:rFonts w:ascii="IRNazanin" w:hAnsi="IRNazanin" w:eastAsia="IRNazanin" w:cs="IRNazanin"/>
          <w:lang w:bidi="fa-IR"/>
          <w:color w:val="111111"/>
          <w:sz w:val="28"/>
          <w:szCs w:val="28"/>
          <w:rtl/>
        </w:rPr>
        <w:t xml:space="preserve">کرمانی، محمد کریم بن ابراهیم، ۱۲۲۵ -۱۲۸۸ قمری</w:t>
      </w:r>
    </w:p>
    <w:p>
      <w:pPr>
        <w:pStyle w:val="BookText"/>
      </w:pPr>
      <w:r>
        <w:rPr>
          <w:rFonts w:ascii="Times New Roman" w:hAnsi="Times New Roman" w:eastAsia="Times New Roman" w:cs="Times New Roman"/>
          <w:lang w:val="en-US" w:bidi="en-US"/>
          <w:color w:val="111111"/>
          <w:sz w:val="28"/>
          <w:szCs w:val="28"/>
          <w:rtl/>
        </w:rPr>
        <w:t xml:space="preserve">(1871-kermānī, mohammad karīm ebn-e ebrāhīm (1810 -</w:t>
      </w:r>
    </w:p>
    <w:p>
      <w:pPr>
        <w:pStyle w:val="BookText"/>
      </w:pPr>
      <w:r>
        <w:rPr>
          <w:rFonts w:ascii="IRNazanin" w:hAnsi="IRNazanin" w:eastAsia="IRNazanin" w:cs="IRNazanin"/>
          <w:lang w:bidi="fa-IR"/>
          <w:color w:val="111111"/>
          <w:sz w:val="28"/>
          <w:szCs w:val="28"/>
          <w:rtl/>
        </w:rPr>
        <w:t xml:space="preserve">تاریخ تالیف: ۱۴ ذیحجه ۱۲۶۴ق؛ محل تالیف: روستای لنگر</w:t>
      </w:r>
    </w:p>
    <w:p>
      <w:pPr>
        <w:pStyle w:val="BookText"/>
      </w:pPr>
      <w:r>
        <w:rPr>
          <w:rFonts w:ascii="IRNazanin" w:hAnsi="IRNazanin" w:eastAsia="IRNazanin" w:cs="IRNazanin"/>
          <w:lang w:bidi="fa-IR"/>
          <w:color w:val="111111"/>
          <w:sz w:val="28"/>
          <w:szCs w:val="28"/>
          <w:rtl/>
        </w:rPr>
        <w:t xml:space="preserve">رساله ای مفصل در قواعد علم رمل و درک مکنونات و ضمـائر دارای یک «مقدمه» و شش «باب» و هر کدام دارای چند «فصل». ابواب آن عبارت است: ۱. کلیات هذا العلم؛ ۲. كليات الاحكـام ؛3. فذلكة فى ضروب الرمل للحوائج ؛ ۴. الاحكام الجزئيه عـلی طريق التفصيل ؛ ۵. احكام الاشكال الميزانيه؛ ۶. النزول  فی البيوت.</w:t>
      </w:r>
    </w:p>
    <w:p>
      <w:pPr>
        <w:pStyle w:val="BookText"/>
      </w:pPr>
      <w:r>
        <w:rPr>
          <w:rFonts w:ascii="IRNazanin" w:hAnsi="IRNazanin" w:eastAsia="IRNazanin" w:cs="IRNazanin"/>
          <w:lang w:bidi="fa-IR"/>
          <w:color w:val="111111"/>
          <w:sz w:val="28"/>
          <w:szCs w:val="28"/>
          <w:rtl/>
        </w:rPr>
        <w:t xml:space="preserve">آغاز: بسمله حمدله صلاة... بعد فهذه كلمات قليلة ذات معـان جليلة كتبتها في علم الرمل فانه من كل علم طريق الى معرفة الله سبحانه و سبیل الیه و آية له و دليل عليه</w:t>
      </w:r>
    </w:p>
    <w:p>
      <w:pPr>
        <w:pStyle w:val="BookText"/>
      </w:pPr>
      <w:r>
        <w:rPr>
          <w:rFonts w:ascii="IRNazanin" w:hAnsi="IRNazanin" w:eastAsia="IRNazanin" w:cs="IRNazanin"/>
          <w:lang w:bidi="fa-IR"/>
          <w:color w:val="111111"/>
          <w:sz w:val="28"/>
          <w:szCs w:val="28"/>
          <w:rtl/>
        </w:rPr>
        <w:t xml:space="preserve">انجام: الا ان يحيط به من اشهده اللهحقايق الاشياء وفتح عـینه تشاهد الخلايق وعرف الدقايق والله ولي التوفيق.</w:t>
      </w:r>
    </w:p>
    <w:p>
      <w:pPr>
        <w:pStyle w:val="BookText"/>
      </w:pPr>
      <w:r>
        <w:rPr>
          <w:rFonts w:ascii="IRNazanin" w:hAnsi="IRNazanin" w:eastAsia="IRNazanin" w:cs="IRNazanin"/>
          <w:lang w:bidi="fa-IR"/>
          <w:color w:val="111111"/>
          <w:sz w:val="28"/>
          <w:szCs w:val="28"/>
          <w:rtl/>
        </w:rPr>
        <w:t xml:space="preserve">[فهرست مشایخ ۲۴۰۲؛ ريحانة الادب ۵۱/۵؛ مكتبة امير المومنين ۱۰۸/۱]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ملک؛ شماره نسخه: ۳۴۳۹/۳</w:t>
      </w:r>
    </w:p>
    <w:p>
      <w:pPr>
        <w:pStyle w:val="BookText"/>
      </w:pPr>
      <w:r>
        <w:rPr>
          <w:rFonts w:ascii="Amiri" w:hAnsi="Amiri" w:eastAsia="Amiri" w:cs="Amiri"/>
          <w:lang w:bidi="ar-SA"/>
          <w:color w:val="111111"/>
          <w:sz w:val="28"/>
          <w:szCs w:val="28"/>
          <w:rtl/>
        </w:rPr>
        <w:t xml:space="preserve">آغاز و انجام: برابر ؛ و قد فرغ ... في قرية لنجر صانها الله من شر حامداً</w:t>
      </w:r>
    </w:p>
    <w:p>
      <w:pPr>
        <w:pStyle w:val="BookText"/>
      </w:pPr>
      <w:r>
        <w:rPr>
          <w:rFonts w:ascii="IRNazanin" w:hAnsi="IRNazanin" w:eastAsia="IRNazanin" w:cs="IRNazanin"/>
          <w:lang w:bidi="fa-IR"/>
          <w:color w:val="111111"/>
          <w:sz w:val="28"/>
          <w:szCs w:val="28"/>
          <w:rtl/>
        </w:rPr>
        <w:t xml:space="preserve">خط: نسخ، بی کا، تا: ۱۴ ذیحجه ۱۲۶۲ق [شاید صرفاً تاریخ تأليف] ،جا: روستای لنگر ؛کاغذ: فرنگی ،جلد: میشن سـیاه  مقوایی، ۶۳گ (۴۶ ر - ۱۰۸ پ)، ۱۶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۲۰/۹سم [  ف: 6- 418]</w:t>
      </w:r>
    </w:p>
    <w:p>
      <w:pPr>
        <w:pStyle w:val="BookText"/>
      </w:pPr>
      <w:r>
        <w:rPr>
          <w:rFonts w:ascii="IRNazanin" w:hAnsi="IRNazanin" w:eastAsia="IRNazanin" w:cs="IRNazanin"/>
          <w:lang w:bidi="fa-IR"/>
          <w:color w:val="111111"/>
          <w:sz w:val="28"/>
          <w:szCs w:val="28"/>
          <w:rtl/>
        </w:rPr>
        <w:t xml:space="preserve">۲ . قم؛ گلپایگانی؛ شماره نسخه: ۶۲۶۵/۱-۳۰/۱۴۵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۱۴ ذیحجه ۱۲۶۴ق [شاید صرفاً تاریخ  تألیف]، دارای رموز و اشکال و جداول؛ جلد: تيماج قهوه ا ی،۵۷گ، ۲۰ سطر، اندازه: ۱۵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۲۰سم [ف: ۱ - ۳۵۰]</w:t>
      </w:r>
    </w:p>
    <w:p>
      <w:pPr>
        <w:pStyle w:val="BookText"/>
      </w:pPr>
      <w:r>
        <w:rPr>
          <w:rFonts w:ascii="IRNazanin" w:hAnsi="IRNazanin" w:eastAsia="IRNazanin" w:cs="IRNazanin"/>
          <w:lang w:bidi="fa-IR"/>
          <w:color w:val="111111"/>
          <w:sz w:val="28"/>
          <w:szCs w:val="28"/>
          <w:rtl/>
        </w:rPr>
        <w:t xml:space="preserve">3.قم ؛مرعشی؛ شماره نسخه: ۳۲۰۵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۱۲۶۴ق [شاید صرفاً تاريخ تأليف]؛ چند برگ پس از کتاب مشتمل بر قواعد و فوائد متفرقه در علم رمل کتاب های گوناگون؛ جلد: مقوایی عطف تیماج مشکی، ۹۶گ، مختلف السطر،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۹ - ۸]</w:t>
      </w:r>
    </w:p>
    <w:p>
      <w:pPr>
        <w:pStyle w:val="BookText"/>
      </w:pPr>
      <w:r>
        <w:rPr>
          <w:rFonts w:ascii="IRNazanin" w:hAnsi="IRNazanin" w:eastAsia="IRNazanin" w:cs="IRNazanin"/>
          <w:lang w:bidi="fa-IR"/>
          <w:color w:val="111111"/>
          <w:sz w:val="28"/>
          <w:szCs w:val="28"/>
          <w:rtl/>
        </w:rPr>
        <w:t xml:space="preserve">۴. قم؛ مرعشی؛ شماره نسخه: ۱۱۳۵۰/۱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محمد باقر بن محمد محسن، اصفهانی، تا: شنبه ۲۳ شوال ۱۲۷۱ق، جا: روستای لنگر ،محشی، مجدول، کاغذ: فرنگی، آهار مهره، ۵۶گ، ۲۰ سطر، اندازه: 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۱۴/۵سم [ف: ۲۸ - ۵۸۷]</w:t>
      </w:r>
    </w:p>
    <w:p>
      <w:pPr>
        <w:pStyle w:val="BookText"/>
      </w:pPr>
      <w:r>
        <w:rPr>
          <w:rFonts w:ascii="IRNazanin" w:hAnsi="IRNazanin" w:eastAsia="IRNazanin" w:cs="IRNazanin"/>
          <w:lang w:bidi="fa-IR"/>
          <w:color w:val="111111"/>
          <w:sz w:val="28"/>
          <w:szCs w:val="28"/>
          <w:rtl/>
        </w:rPr>
        <w:t xml:space="preserve">۵. تهران؛ دانشگاه؛ شماره نسخه: ۳۵۲۹/۴</w:t>
      </w:r>
    </w:p>
    <w:p>
      <w:pPr>
        <w:pStyle w:val="BookText"/>
      </w:pPr>
      <w:r>
        <w:rPr>
          <w:rFonts w:ascii="Amiri" w:hAnsi="Amiri" w:eastAsia="Amiri" w:cs="Amiri"/>
          <w:lang w:bidi="ar-SA"/>
          <w:color w:val="111111"/>
          <w:sz w:val="28"/>
          <w:szCs w:val="28"/>
          <w:rtl/>
        </w:rPr>
        <w:t xml:space="preserve">آغاز: برابر؛ انجام: و ان سئل عن فرسين في الحلبة أيهما يسبق... لان المسئول السابع فصل (۱۲ باب ۴)</w:t>
      </w:r>
    </w:p>
    <w:p>
      <w:pPr>
        <w:pStyle w:val="BookText"/>
      </w:pPr>
      <w:r>
        <w:rPr>
          <w:rFonts w:ascii="IRNazanin" w:hAnsi="IRNazanin" w:eastAsia="IRNazanin" w:cs="IRNazanin"/>
          <w:lang w:bidi="fa-IR"/>
          <w:color w:val="111111"/>
          <w:sz w:val="28"/>
          <w:szCs w:val="28"/>
          <w:rtl/>
        </w:rPr>
        <w:t xml:space="preserve">خط: نستعلیق، کا: محمد حسن بن محمد شفیع نوری، تا: شنبه5 ربیع الثانی ۱۲۷۲ق، جا: تهران؛ کاغذ: فرنگی، جلد: تیماج  سبز ضربی، ۱۱۱گ (65پ- 175پ)، ۱۷ سطر (9</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 اندازه:۱۵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 ۱۲ - ۲۵۴۸]</w:t>
      </w:r>
    </w:p>
    <w:p>
      <w:pPr>
        <w:pStyle w:val="BookText"/>
      </w:pPr>
      <w:r>
        <w:rPr>
          <w:rFonts w:ascii="IRNazanin" w:hAnsi="IRNazanin" w:eastAsia="IRNazanin" w:cs="IRNazanin"/>
          <w:lang w:bidi="fa-IR"/>
          <w:color w:val="111111"/>
          <w:sz w:val="28"/>
          <w:szCs w:val="28"/>
          <w:rtl/>
        </w:rPr>
        <w:t xml:space="preserve">6.تبریز؛ محقق (آقای)؛ شماره نسخه: ۹/۱</w:t>
      </w:r>
    </w:p>
    <w:p>
      <w:pPr>
        <w:pStyle w:val="BookText"/>
      </w:pPr>
      <w:r>
        <w:rPr>
          <w:rFonts w:ascii="IRNazanin" w:hAnsi="IRNazanin" w:eastAsia="IRNazanin" w:cs="IRNazanin"/>
          <w:lang w:bidi="fa-IR"/>
          <w:color w:val="111111"/>
          <w:sz w:val="28"/>
          <w:szCs w:val="28"/>
          <w:rtl/>
        </w:rPr>
        <w:t xml:space="preserve">بی کا، تا: قرن ۱۳ [نشریه: ۴ - ۳۳۱]</w:t>
      </w:r>
    </w:p>
    <w:p>
      <w:pPr>
        <w:pStyle w:val="BookText"/>
      </w:pPr>
      <w:r>
        <w:rPr>
          <w:rFonts w:ascii="IRNazanin" w:hAnsi="IRNazanin" w:eastAsia="IRNazanin" w:cs="IRNazanin"/>
          <w:lang w:bidi="fa-IR"/>
          <w:color w:val="111111"/>
          <w:sz w:val="28"/>
          <w:szCs w:val="28"/>
          <w:rtl/>
        </w:rPr>
        <w:t xml:space="preserve">۷ .تهران؛ ملک؛ شماره نسخه: ۳۲۸۶</w:t>
      </w:r>
    </w:p>
    <w:p>
      <w:pPr>
        <w:pStyle w:val="BookText"/>
      </w:pPr>
      <w:r>
        <w:rPr>
          <w:rFonts w:ascii="IRNazanin" w:hAnsi="IRNazanin" w:eastAsia="IRNazanin" w:cs="IRNazanin"/>
          <w:lang w:bidi="fa-IR"/>
          <w:color w:val="111111"/>
          <w:sz w:val="28"/>
          <w:szCs w:val="28"/>
          <w:rtl/>
        </w:rPr>
        <w:t xml:space="preserve">خط: شکسته، نستعلیق ،کا: محمد صادق بن مرتضی حسینی نوری، تا: قرن ۱۳؛ کاغذ: فرنگی، جلد: رویه کاغذ سرخ،  ۵۷ برگ، ۱۷ سطر، اندازه: ۱۷/۹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۲۲/۶سم [ف: ۱ - ۳۳]</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قم؛ گلپایگانی؛ شماره نسخه: ۷۰۹۶/۱-۳۶/۹۶</w:t>
      </w:r>
    </w:p>
    <w:p>
      <w:pPr>
        <w:pStyle w:val="BookText"/>
      </w:pPr>
      <w:r>
        <w:rPr>
          <w:rFonts w:ascii="IRNazanin" w:hAnsi="IRNazanin" w:eastAsia="IRNazanin" w:cs="IRNazanin"/>
          <w:lang w:bidi="fa-IR"/>
          <w:color w:val="111111"/>
          <w:sz w:val="28"/>
          <w:szCs w:val="28"/>
          <w:rtl/>
        </w:rPr>
        <w:t xml:space="preserve">آغاز و انجام: برابر ؛ .... كريم بن ابراهيم في رابع شهر ذيحجة الحرام من شهور سنه ۱۲۶۳ فى قرية لنكر . ...  خط: نسخ، کا: محمد کاظم  کرمانشاهانی، تا: ۱۳۰۱ق؛ تملک: سردار کابلی به تاریخ ۱۳۱۷ق؛ جلد: تیماج قهوه ای ،مجدول ۶۸گ، ۱۵ سطر،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۱ - ۳۵۰]</w:t>
      </w:r>
    </w:p>
    <w:p>
      <w:pPr>
        <w:pStyle w:val="BookText"/>
      </w:pPr>
      <w:r>
        <w:rPr>
          <w:rFonts w:ascii="IRNazanin" w:hAnsi="IRNazanin" w:eastAsia="IRNazanin" w:cs="IRNazanin"/>
          <w:lang w:bidi="fa-IR"/>
          <w:color w:val="111111"/>
          <w:sz w:val="28"/>
          <w:szCs w:val="28"/>
          <w:rtl/>
        </w:rPr>
        <w:t xml:space="preserve">۹. قم؛ مرعشی؛ شماره نسخه: ۴۶۵۲/۱</w:t>
      </w:r>
    </w:p>
    <w:p>
      <w:pPr>
        <w:pStyle w:val="BookText"/>
      </w:pPr>
      <w:r>
        <w:rPr>
          <w:rFonts w:ascii="IRNazanin" w:hAnsi="IRNazanin" w:eastAsia="IRNazanin" w:cs="IRNazanin"/>
          <w:lang w:bidi="fa-IR"/>
          <w:color w:val="111111"/>
          <w:sz w:val="28"/>
          <w:szCs w:val="28"/>
          <w:rtl/>
        </w:rPr>
        <w:t xml:space="preserve">خط: نستعليق، كا: يحيى سيد الحكما فرزند میرزا علی محمد حسنی  لاریجانی ،تا:ذیقعده ۱۳۲۰ق، جا: طهران؛ جلد: پارچه، ۱۰۳گ ( ۱پ- 103پ) ،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۱۶/۵سم [ف : ۱۲ - ۲۳۹]</w:t>
      </w:r>
    </w:p>
    <w:p>
      <w:pPr>
        <w:pStyle w:val="BookText"/>
      </w:pPr>
      <w:r>
        <w:rPr>
          <w:rFonts w:ascii="IRNazanin" w:hAnsi="IRNazanin" w:eastAsia="IRNazanin" w:cs="IRNazanin"/>
          <w:lang w:bidi="fa-IR"/>
          <w:color w:val="111111"/>
          <w:sz w:val="28"/>
          <w:szCs w:val="28"/>
          <w:rtl/>
        </w:rPr>
        <w:t xml:space="preserve">۱۰. قم؛ مرعشی؛ شماره نسخه: ۹۱۰۰</w:t>
      </w:r>
    </w:p>
    <w:p>
      <w:pPr>
        <w:pStyle w:val="BookText"/>
      </w:pPr>
      <w:r>
        <w:rPr>
          <w:rFonts w:ascii="IRNazanin" w:hAnsi="IRNazanin" w:eastAsia="IRNazanin" w:cs="IRNazanin"/>
          <w:lang w:bidi="fa-IR"/>
          <w:color w:val="111111"/>
          <w:sz w:val="28"/>
          <w:szCs w:val="28"/>
          <w:rtl/>
        </w:rPr>
        <w:t xml:space="preserve">انجام: و الخارج عکسه و الثابت دليل التوقف و البقاء</w:t>
      </w:r>
    </w:p>
    <w:p>
      <w:pPr>
        <w:pStyle w:val="BookText"/>
      </w:pPr>
      <w:r>
        <w:rPr>
          <w:rFonts w:ascii="IRNazanin" w:hAnsi="IRNazanin" w:eastAsia="IRNazanin" w:cs="IRNazanin"/>
          <w:lang w:bidi="fa-IR"/>
          <w:color w:val="111111"/>
          <w:sz w:val="28"/>
          <w:szCs w:val="28"/>
          <w:rtl/>
        </w:rPr>
        <w:t xml:space="preserve">خط: نسخ، بی کا، بی تا؛ تملک: عبدالحسین جنابا به تاریخ ۱۲۷۵ در اصفهان؛ جلد: تیماج  قرمز، ۶۴گ، ۱۶ سطر،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۲۳ - ۲۴۶]</w:t>
      </w:r>
    </w:p>
    <w:p>
      <w:pPr>
        <w:pStyle w:val="BookText"/>
      </w:pPr>
      <w:r>
        <w:rPr>
          <w:rFonts w:ascii="IRNazanin" w:hAnsi="IRNazanin" w:eastAsia="IRNazanin" w:cs="IRNazanin"/>
          <w:lang w:bidi="fa-IR"/>
          <w:color w:val="111111"/>
          <w:sz w:val="28"/>
          <w:szCs w:val="28"/>
          <w:rtl/>
        </w:rPr>
        <w:t xml:space="preserve">۱۱. تهران؛ ملی؛ شماره نسخه: ۲۵۶۶۱</w:t>
      </w:r>
    </w:p>
    <w:p>
      <w:pPr>
        <w:pStyle w:val="BookText"/>
      </w:pPr>
      <w:r>
        <w:rPr>
          <w:rFonts w:ascii="IRNazanin" w:hAnsi="IRNazanin" w:eastAsia="IRNazanin" w:cs="IRNazanin"/>
          <w:lang w:bidi="fa-IR"/>
          <w:color w:val="111111"/>
          <w:sz w:val="28"/>
          <w:szCs w:val="28"/>
          <w:rtl/>
        </w:rPr>
        <w:t xml:space="preserve">بی کا، بی تا؛ خریداری از احمد اقبالیان [رایانه]</w:t>
      </w:r>
    </w:p>
    <w:p>
      <w:pPr>
        <w:pStyle w:val="BookText"/>
      </w:pPr>
      <w:r>
        <w:rPr>
          <w:rFonts w:ascii="IRNazanin" w:hAnsi="IRNazanin" w:eastAsia="IRNazanin" w:cs="IRNazanin"/>
          <w:lang w:bidi="fa-IR"/>
          <w:color w:val="111111"/>
          <w:sz w:val="28"/>
          <w:szCs w:val="28"/>
          <w:rtl/>
        </w:rPr>
        <w:t xml:space="preserve">۱۲. تهران؛ ملی؛ شماره نسخه: ۱۶۹۹</w:t>
      </w:r>
    </w:p>
    <w:p>
      <w:pPr>
        <w:pStyle w:val="BookText"/>
      </w:pPr>
      <w:r>
        <w:rPr>
          <w:rFonts w:ascii="IRNazanin" w:hAnsi="IRNazanin" w:eastAsia="IRNazanin" w:cs="IRNazanin"/>
          <w:lang w:bidi="fa-IR"/>
          <w:color w:val="111111"/>
          <w:sz w:val="28"/>
          <w:szCs w:val="28"/>
          <w:rtl/>
        </w:rPr>
        <w:t xml:space="preserve">آغاز و انجام: برابر؛ قد فرغ من تسويد هذه الاوراق العبد الاثيم كريم بن ابراهيم في رابع شهر ذيحجه الحرام من شهور سنه ۱۲۶۴ فى قريه لنگر مصلیا مستغفرا</w:t>
      </w:r>
    </w:p>
    <w:p>
      <w:pPr>
        <w:pStyle w:val="BookText"/>
      </w:pPr>
      <w:r>
        <w:rPr>
          <w:rFonts w:ascii="IRNazanin" w:hAnsi="IRNazanin" w:eastAsia="IRNazanin" w:cs="IRNazanin"/>
          <w:lang w:bidi="fa-IR"/>
          <w:color w:val="111111"/>
          <w:sz w:val="28"/>
          <w:szCs w:val="28"/>
          <w:rtl/>
        </w:rPr>
        <w:t xml:space="preserve">خط: نسخ خوش، كا: محمد باقر بن محمد جعفر شهیر به میرزاکوچک، بی تا؛ مجدول؛ کاغذ ،فرنگی، جلد: تیماج تریاکی ۵۵گ، ۱۷ سطر (9</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اندازه: ۱۲/۵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۱۹/۵سم [ف: ۱۰ – ۲۸۷]</w:t>
      </w:r>
    </w:p>
    <w:p>
      <w:pPr>
        <w:pStyle w:val="BookText"/>
      </w:pPr>
      <w:r>
        <w:rPr>
          <w:rFonts w:ascii="Amiri" w:hAnsi="Amiri" w:eastAsia="Amiri" w:cs="Amiri"/>
          <w:lang w:bidi="ar-SA"/>
          <w:color w:val="111111"/>
          <w:sz w:val="28"/>
          <w:szCs w:val="28"/>
          <w:rtl/>
        </w:rPr>
        <w:t xml:space="preserve">«اسرار النقط » الرسالة القدسية فى اسرار النقطة الحسية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275" w:name="pg20365_260390"/>
    <w:bookmarkEnd w:id="275"/>
    <w:p>
      <w:pPr>
        <w:pStyle w:val="BookText"/>
      </w:pPr>
      <w:r>
        <w:rPr>
          <w:rFonts w:ascii="Amiri" w:hAnsi="Amiri" w:eastAsia="Amiri" w:cs="Amiri"/>
          <w:lang w:bidi="ar-SA"/>
          <w:color w:val="111111"/>
          <w:sz w:val="28"/>
          <w:szCs w:val="28"/>
          <w:rtl/>
        </w:rPr>
        <w:t xml:space="preserve">«اسرار النقطة » النقطة</w:t>
      </w:r>
    </w:p>
    <w:p>
      <w:pPr>
        <w:pStyle w:val="Heading3"/>
      </w:pPr>
      <w:bookmarkStart w:id="1450" w:name="_Toc972"/>
      <w:r>
        <w:t>اسرار نقطه / عرفان و تصوف / فارسی</w:t>
      </w:r>
      <w:bookmarkEnd w:id="1450"/>
    </w:p>
    <w:p>
      <w:pPr>
        <w:pStyle w:val="BookText"/>
      </w:pPr>
      <w:r>
        <w:rPr>
          <w:rFonts w:ascii="Times New Roman" w:hAnsi="Times New Roman" w:eastAsia="Times New Roman" w:cs="Times New Roman"/>
          <w:lang w:val="en-US" w:bidi="en-US"/>
          <w:color w:val="111111"/>
          <w:sz w:val="28"/>
          <w:szCs w:val="28"/>
          <w:rtl/>
        </w:rPr>
        <w:t xml:space="preserve">asrār-e noqte</w:t>
      </w:r>
    </w:p>
    <w:p>
      <w:pPr>
        <w:pStyle w:val="BookText"/>
      </w:pPr>
      <w:r>
        <w:rPr>
          <w:rFonts w:ascii="IRNazanin" w:hAnsi="IRNazanin" w:eastAsia="IRNazanin" w:cs="IRNazanin"/>
          <w:lang w:bidi="fa-IR"/>
          <w:color w:val="111111"/>
          <w:sz w:val="28"/>
          <w:szCs w:val="28"/>
          <w:rtl/>
        </w:rPr>
        <w:t xml:space="preserve">خوئی، تقی بن محمد، ق ۱۳ قمری</w:t>
      </w:r>
    </w:p>
    <w:p>
      <w:pPr>
        <w:pStyle w:val="BookText"/>
      </w:pPr>
      <w:r>
        <w:rPr>
          <w:rFonts w:ascii="Times New Roman" w:hAnsi="Times New Roman" w:eastAsia="Times New Roman" w:cs="Times New Roman"/>
          <w:lang w:val="en-US" w:bidi="en-US"/>
          <w:color w:val="111111"/>
          <w:sz w:val="28"/>
          <w:szCs w:val="28"/>
          <w:rtl/>
        </w:rPr>
        <w:t xml:space="preserve">(xū’ī, taqī ebn-e mohammad (- 19c)</w:t>
      </w:r>
    </w:p>
    <w:p>
      <w:pPr>
        <w:pStyle w:val="BookText"/>
      </w:pPr>
      <w:r>
        <w:rPr>
          <w:rFonts w:ascii="IRNazanin" w:hAnsi="IRNazanin" w:eastAsia="IRNazanin" w:cs="IRNazanin"/>
          <w:lang w:bidi="fa-IR"/>
          <w:color w:val="111111"/>
          <w:sz w:val="28"/>
          <w:szCs w:val="28"/>
          <w:rtl/>
        </w:rPr>
        <w:t xml:space="preserve">تهران؛ مجلس؛ شماره نسخه: ۱۰۵۹۷/۱</w:t>
      </w:r>
    </w:p>
    <w:p>
      <w:pPr>
        <w:pStyle w:val="BookText"/>
      </w:pPr>
      <w:r>
        <w:rPr>
          <w:rFonts w:ascii="IRNazanin" w:hAnsi="IRNazanin" w:eastAsia="IRNazanin" w:cs="IRNazanin"/>
          <w:lang w:bidi="fa-IR"/>
          <w:color w:val="111111"/>
          <w:sz w:val="28"/>
          <w:szCs w:val="28"/>
          <w:rtl/>
        </w:rPr>
        <w:t xml:space="preserve">آغاز: یا كريم العفو حى لم يزل *** يا كثير الخير شاه بی بدل؛</w:t>
      </w:r>
    </w:p>
    <w:p>
      <w:pPr>
        <w:pStyle w:val="BookText"/>
      </w:pPr>
      <w:r>
        <w:rPr>
          <w:rFonts w:ascii="IRNazanin" w:hAnsi="IRNazanin" w:eastAsia="IRNazanin" w:cs="IRNazanin"/>
          <w:lang w:bidi="fa-IR"/>
          <w:color w:val="111111"/>
          <w:sz w:val="28"/>
          <w:szCs w:val="28"/>
          <w:rtl/>
        </w:rPr>
        <w:t xml:space="preserve">انجام: بی تفکر پیش هر داننده است*** آنکه با شوریده شوراننده هست</w:t>
      </w:r>
    </w:p>
    <w:p>
      <w:pPr>
        <w:pStyle w:val="BookText"/>
      </w:pPr>
      <w:r>
        <w:rPr>
          <w:rFonts w:ascii="IRNazanin" w:hAnsi="IRNazanin" w:eastAsia="IRNazanin" w:cs="IRNazanin"/>
          <w:lang w:bidi="fa-IR"/>
          <w:color w:val="111111"/>
          <w:sz w:val="28"/>
          <w:szCs w:val="28"/>
          <w:rtl/>
        </w:rPr>
        <w:t xml:space="preserve">خط: نستعلیق، بی کا، بی تا ؛جلد: تیماج سیاه ساده، ۱۰۵گ(1-۱۰۵)،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۳۳/۱ - ۱۲۳]</w:t>
      </w:r>
    </w:p>
    <w:p>
      <w:pPr>
        <w:pStyle w:val="Heading3"/>
      </w:pPr>
      <w:bookmarkStart w:id="1451" w:name="_Toc973"/>
      <w:r>
        <w:t>اسرار نقطه و حروف / بهائیت / فارسی</w:t>
      </w:r>
      <w:bookmarkEnd w:id="1451"/>
    </w:p>
    <w:p>
      <w:pPr>
        <w:pStyle w:val="BookText"/>
      </w:pPr>
      <w:r>
        <w:rPr>
          <w:rFonts w:ascii="Times New Roman" w:hAnsi="Times New Roman" w:eastAsia="Times New Roman" w:cs="Times New Roman"/>
          <w:lang w:val="en-US" w:bidi="en-US"/>
          <w:color w:val="111111"/>
          <w:sz w:val="28"/>
          <w:szCs w:val="28"/>
          <w:rtl/>
        </w:rPr>
        <w:t xml:space="preserve">asrār-e noqte va horūf</w:t>
      </w:r>
    </w:p>
    <w:p>
      <w:pPr>
        <w:pStyle w:val="BookText"/>
      </w:pPr>
      <w:r>
        <w:rPr>
          <w:rFonts w:ascii="IRNazanin" w:hAnsi="IRNazanin" w:eastAsia="IRNazanin" w:cs="IRNazanin"/>
          <w:lang w:bidi="fa-IR"/>
          <w:color w:val="111111"/>
          <w:sz w:val="28"/>
          <w:szCs w:val="28"/>
          <w:rtl/>
        </w:rPr>
        <w:t xml:space="preserve">مطالبی درباره تفسیر بسم الله الرحمن الرحيم و اسرار نقطه  و حروف می باشد.</w:t>
      </w:r>
    </w:p>
    <w:p>
      <w:pPr>
        <w:pStyle w:val="BookText"/>
      </w:pPr>
      <w:r>
        <w:rPr>
          <w:rFonts w:ascii="IRNazanin" w:hAnsi="IRNazanin" w:eastAsia="IRNazanin" w:cs="IRNazanin"/>
          <w:lang w:bidi="fa-IR"/>
          <w:color w:val="111111"/>
          <w:sz w:val="28"/>
          <w:szCs w:val="28"/>
          <w:rtl/>
        </w:rPr>
        <w:t xml:space="preserve">قم؛ مسجد اعظم؛ شماره نسخه: ۳۹۱۲</w:t>
      </w:r>
    </w:p>
    <w:p>
      <w:pPr>
        <w:pStyle w:val="BookText"/>
      </w:pPr>
      <w:r>
        <w:rPr>
          <w:rFonts w:ascii="IRNazanin" w:hAnsi="IRNazanin" w:eastAsia="IRNazanin" w:cs="IRNazanin"/>
          <w:lang w:bidi="fa-IR"/>
          <w:color w:val="111111"/>
          <w:sz w:val="28"/>
          <w:szCs w:val="28"/>
          <w:rtl/>
        </w:rPr>
        <w:t xml:space="preserve">آغاز: و بخواهند حرفی از این کتاب را محو کنند نمی توانند و با وجود این باز هم می گویند که حجت بیآورید و غافل شده اند که  اگر جميع ماعلى الارض جمع شوند و بخواهند که اتیان به مثل یک حرف از این کتاب کنند؛ انجام: کنيه او كنيه جميع حجـتها بوده باشد وعد حروف اون واحد باشد واسم اول اون واحد واسم آخر اون بدوح</w:t>
      </w:r>
    </w:p>
    <w:p>
      <w:pPr>
        <w:pStyle w:val="BookText"/>
      </w:pPr>
      <w:r>
        <w:rPr>
          <w:rFonts w:ascii="IRNazanin" w:hAnsi="IRNazanin" w:eastAsia="IRNazanin" w:cs="IRNazanin"/>
          <w:lang w:bidi="fa-IR"/>
          <w:color w:val="111111"/>
          <w:sz w:val="28"/>
          <w:szCs w:val="28"/>
          <w:rtl/>
        </w:rPr>
        <w:t xml:space="preserve">خط: نستعلیق، بی کا، تا: ۱۹ربيع الثانى ۱۳۲۰ق؛ افتادگی: آغاز؛ جـلد: مقوا، ۶۱گ، ۱۴ سطر، 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۱۷/۵سم [ف مخ: ۳ - ۹۹۱  ]</w:t>
      </w:r>
    </w:p>
    <w:p>
      <w:pPr>
        <w:pStyle w:val="Heading3"/>
      </w:pPr>
      <w:bookmarkStart w:id="1452" w:name="_Toc974"/>
      <w:r>
        <w:t>اسرار النكات / عرفان و تصوف / فارسی</w:t>
      </w:r>
      <w:bookmarkEnd w:id="1452"/>
    </w:p>
    <w:p>
      <w:pPr>
        <w:pStyle w:val="BookText"/>
      </w:pPr>
      <w:r>
        <w:rPr>
          <w:rFonts w:ascii="Times New Roman" w:hAnsi="Times New Roman" w:eastAsia="Times New Roman" w:cs="Times New Roman"/>
          <w:lang w:val="en-US" w:bidi="en-US"/>
          <w:color w:val="111111"/>
          <w:sz w:val="28"/>
          <w:szCs w:val="28"/>
          <w:rtl/>
        </w:rPr>
        <w:t xml:space="preserve">asrār-on-nokāt</w:t>
      </w:r>
    </w:p>
    <w:p>
      <w:pPr>
        <w:pStyle w:val="BookText"/>
      </w:pPr>
      <w:r>
        <w:rPr>
          <w:rFonts w:ascii="IRNazanin" w:hAnsi="IRNazanin" w:eastAsia="IRNazanin" w:cs="IRNazanin"/>
          <w:lang w:bidi="fa-IR"/>
          <w:color w:val="111111"/>
          <w:sz w:val="28"/>
          <w:szCs w:val="28"/>
          <w:rtl/>
        </w:rPr>
        <w:t xml:space="preserve">مزید بن بهادر حاجی</w:t>
      </w:r>
    </w:p>
    <w:p>
      <w:pPr>
        <w:pStyle w:val="BookText"/>
      </w:pPr>
      <w:r>
        <w:rPr>
          <w:rFonts w:ascii="Times New Roman" w:hAnsi="Times New Roman" w:eastAsia="Times New Roman" w:cs="Times New Roman"/>
          <w:lang w:val="en-US" w:bidi="en-US"/>
          <w:color w:val="111111"/>
          <w:sz w:val="28"/>
          <w:szCs w:val="28"/>
          <w:rtl/>
        </w:rPr>
        <w:t xml:space="preserve">mazyad ebn-e bahādor hājī</w:t>
      </w:r>
    </w:p>
    <w:p>
      <w:pPr>
        <w:pStyle w:val="BookText"/>
      </w:pPr>
      <w:r>
        <w:rPr>
          <w:rFonts w:ascii="IRNazanin" w:hAnsi="IRNazanin" w:eastAsia="IRNazanin" w:cs="IRNazanin"/>
          <w:lang w:bidi="fa-IR"/>
          <w:color w:val="111111"/>
          <w:sz w:val="28"/>
          <w:szCs w:val="28"/>
          <w:rtl/>
        </w:rPr>
        <w:t xml:space="preserve">در بیان رموز و اشارات حروف هجاء نزد عرفاء و مشایخ در منازل و ادوار و اطوار انسانی است حروف الفباء را به ترتیب عنوان داشته و هر حرفی را که ذکر کرده آیه ای آورده و پس  از آن به شرح و ذکر مطالب عرفانی و اخلاقیپرداخته است.</w:t>
      </w:r>
    </w:p>
    <w:p>
      <w:pPr>
        <w:pStyle w:val="BookText"/>
      </w:pPr>
      <w:r>
        <w:rPr>
          <w:rFonts w:ascii="IRNazanin" w:hAnsi="IRNazanin" w:eastAsia="IRNazanin" w:cs="IRNazanin"/>
          <w:lang w:bidi="fa-IR"/>
          <w:color w:val="111111"/>
          <w:sz w:val="28"/>
          <w:szCs w:val="28"/>
          <w:rtl/>
        </w:rPr>
        <w:t xml:space="preserve">آغاز: الحمد لله الذى جعل معرفته معرفت العجر عن العقول الی کنه معرفته.</w:t>
      </w:r>
    </w:p>
    <w:p>
      <w:pPr>
        <w:pStyle w:val="BookText"/>
      </w:pPr>
      <w:r>
        <w:rPr>
          <w:rFonts w:ascii="IRNazanin" w:hAnsi="IRNazanin" w:eastAsia="IRNazanin" w:cs="IRNazanin"/>
          <w:lang w:bidi="fa-IR"/>
          <w:color w:val="111111"/>
          <w:sz w:val="28"/>
          <w:szCs w:val="28"/>
          <w:rtl/>
        </w:rPr>
        <w:t xml:space="preserve">انجام: مائیم جهان کرفت در کوشه غم. غم توشه ما شده اسـت ما توشه غم.</w:t>
      </w:r>
    </w:p>
    <w:p>
      <w:pPr>
        <w:pStyle w:val="BookText"/>
      </w:pPr>
      <w:r>
        <w:rPr>
          <w:rFonts w:ascii="IRNazanin" w:hAnsi="IRNazanin" w:eastAsia="IRNazanin" w:cs="IRNazanin"/>
          <w:lang w:bidi="fa-IR"/>
          <w:color w:val="111111"/>
          <w:sz w:val="28"/>
          <w:szCs w:val="28"/>
          <w:rtl/>
        </w:rPr>
        <w:t xml:space="preserve">[فهرستواره منزوی ۷۳/۷ و ۳۲۰۶]</w:t>
      </w:r>
    </w:p>
    <w:p>
      <w:pPr>
        <w:pStyle w:val="BookText"/>
      </w:pPr>
      <w:r>
        <w:rPr>
          <w:rFonts w:ascii="IRNazanin" w:hAnsi="IRNazanin" w:eastAsia="IRNazanin" w:cs="IRNazanin"/>
          <w:lang w:bidi="fa-IR"/>
          <w:color w:val="111111"/>
          <w:sz w:val="28"/>
          <w:szCs w:val="28"/>
          <w:rtl/>
        </w:rPr>
        <w:t xml:space="preserve">مشهد؛ رضوی؛ شماره نسخه: ۸۷۹۹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مولانا  یوسف، تا: پیش از ۹۷۱ق؛ ۱۴۴گ، ۱۳  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۶ - ۳۸۶]</w:t>
      </w:r>
    </w:p>
    <w:p>
      <w:pPr>
        <w:pStyle w:val="Heading3"/>
      </w:pPr>
      <w:bookmarkStart w:id="1453" w:name="_Toc975"/>
      <w:r>
        <w:t>اسرار النكاح / طب، اخلاق / عربی</w:t>
      </w:r>
      <w:bookmarkEnd w:id="1453"/>
    </w:p>
    <w:p>
      <w:pPr>
        <w:pStyle w:val="BookText"/>
      </w:pPr>
      <w:r>
        <w:rPr>
          <w:rFonts w:ascii="Times New Roman" w:hAnsi="Times New Roman" w:eastAsia="Times New Roman" w:cs="Times New Roman"/>
          <w:lang w:val="en-US" w:bidi="en-US"/>
          <w:color w:val="111111"/>
          <w:sz w:val="28"/>
          <w:szCs w:val="28"/>
          <w:rtl/>
        </w:rPr>
        <w:t xml:space="preserve">asrar-un-nikah</w:t>
      </w:r>
    </w:p>
    <w:p>
      <w:pPr>
        <w:pStyle w:val="BookText"/>
      </w:pPr>
      <w:r>
        <w:rPr>
          <w:rFonts w:ascii="IRNazanin" w:hAnsi="IRNazanin" w:eastAsia="IRNazanin" w:cs="IRNazanin"/>
          <w:lang w:bidi="fa-IR"/>
          <w:color w:val="111111"/>
          <w:sz w:val="28"/>
          <w:szCs w:val="28"/>
          <w:rtl/>
        </w:rPr>
        <w:t xml:space="preserve">نجم الدین  شیرازی، محمود بن الياس - ۷۳۰ قمری</w:t>
      </w:r>
    </w:p>
    <w:p>
      <w:pPr>
        <w:pStyle w:val="BookText"/>
      </w:pPr>
      <w:r>
        <w:rPr>
          <w:rFonts w:ascii="Times New Roman" w:hAnsi="Times New Roman" w:eastAsia="Times New Roman" w:cs="Times New Roman"/>
          <w:lang w:val="en-US" w:bidi="en-US"/>
          <w:color w:val="111111"/>
          <w:sz w:val="28"/>
          <w:szCs w:val="28"/>
          <w:rtl/>
        </w:rPr>
        <w:t xml:space="preserve">(najm-od-dīn-e šīrāzī, mahmūd ebn-e elyās (- 1330)</w:t>
      </w:r>
    </w:p>
    <w:p>
      <w:pPr>
        <w:pStyle w:val="BookText"/>
      </w:pPr>
      <w:r>
        <w:rPr>
          <w:rFonts w:ascii="IRNazanin" w:hAnsi="IRNazanin" w:eastAsia="IRNazanin" w:cs="IRNazanin"/>
          <w:lang w:bidi="fa-IR"/>
          <w:color w:val="111111"/>
          <w:sz w:val="28"/>
          <w:szCs w:val="28"/>
          <w:rtl/>
        </w:rPr>
        <w:t xml:space="preserve">رساله ای در سی (باب) در موضوعات عشق و کیفیت آن و صفات مستحسنه محبوب و سپس در ادویه مخصوصه امر نکاح  و جماع: ۱. ماهية العشق و كيفية حدوثه؛ ۲. علامات الذي يظهر على العشاق الدالة على العشق و المحبة المفرط؛ ٣. الصفات المستحسنة فى المحبوب الراغبة الى العشق الدالة على اعتدال المزاج .۲۹ الادوية المسهرة الموقطة؛ ٣٠ .معرفة السموم المطروحة فى المأكول والمشروب والملبوس و المفروش و به يختم الرسالة.</w:t>
      </w:r>
    </w:p>
    <w:p>
      <w:pPr>
        <w:pStyle w:val="BookText"/>
      </w:pPr>
      <w:r>
        <w:rPr>
          <w:rFonts w:ascii="Amiri" w:hAnsi="Amiri" w:eastAsia="Amiri" w:cs="Amiri"/>
          <w:lang w:bidi="ar-SA"/>
          <w:color w:val="111111"/>
          <w:sz w:val="28"/>
          <w:szCs w:val="28"/>
          <w:rtl/>
        </w:rPr>
        <w:t xml:space="preserve">آغاز: الحمد لله الواحد الفتاح خالق الأرواح والاشباح الذى جعل الليل سكنا [الاصلح] واباح النكاح وحرم السفاح والصلوة على رسوله محمد داعى الخلائق الى النجاح</w:t>
      </w:r>
    </w:p>
    <w:p>
      <w:pPr>
        <w:pStyle w:val="BookText"/>
      </w:pPr>
      <w:r>
        <w:rPr>
          <w:rFonts w:ascii="IRNazanin" w:hAnsi="IRNazanin" w:eastAsia="IRNazanin" w:cs="IRNazanin"/>
          <w:lang w:bidi="fa-IR"/>
          <w:color w:val="111111"/>
          <w:sz w:val="28"/>
          <w:szCs w:val="28"/>
          <w:rtl/>
        </w:rPr>
        <w:t xml:space="preserve">انجام: وكذلك فى غول اليد اضائة منه حكاك شديد في اليد و حرقه و لهيب فى اصابع اليدين و نشيخ كيفية و اصابعه ورما يتقاطر منه ماء اصفرا و صدیدا و دم ماى و ان لم يعالج هلك سريعا و بهذ الباب حسن هذه الرساله و الحمد لله ... اجمعين</w:t>
      </w:r>
    </w:p>
    <w:p>
      <w:pPr>
        <w:pStyle w:val="BookText"/>
      </w:pPr>
      <w:r>
        <w:rPr>
          <w:rFonts w:ascii="IRNazanin" w:hAnsi="IRNazanin" w:eastAsia="IRNazanin" w:cs="IRNazanin"/>
          <w:lang w:bidi="fa-IR"/>
          <w:color w:val="111111"/>
          <w:sz w:val="28"/>
          <w:szCs w:val="28"/>
          <w:rtl/>
        </w:rPr>
        <w:t xml:space="preserve">[فهرستواره منزوی ۳۲۸۱/۵]</w:t>
      </w:r>
    </w:p>
    <w:p>
      <w:pPr>
        <w:pStyle w:val="BookText"/>
      </w:pPr>
      <w:r>
        <w:rPr>
          <w:rFonts w:ascii="IRNazanin" w:hAnsi="IRNazanin" w:eastAsia="IRNazanin" w:cs="IRNazanin"/>
          <w:lang w:bidi="fa-IR"/>
          <w:color w:val="111111"/>
          <w:sz w:val="28"/>
          <w:szCs w:val="28"/>
          <w:rtl/>
        </w:rPr>
        <w:t xml:space="preserve">1.تهران؛ ملک؛ شماره نسخه: ۴۶۴۰/۲</w:t>
      </w:r>
    </w:p>
    <w:p>
      <w:pPr>
        <w:pStyle w:val="BookText"/>
      </w:pPr>
      <w:r>
        <w:rPr>
          <w:rFonts w:ascii="IRNazanin" w:hAnsi="IRNazanin" w:eastAsia="IRNazanin" w:cs="IRNazanin"/>
          <w:lang w:bidi="fa-IR"/>
          <w:color w:val="111111"/>
          <w:sz w:val="28"/>
          <w:szCs w:val="28"/>
          <w:rtl/>
        </w:rPr>
        <w:t xml:space="preserve">خط: نسخ، بی کا، تا: قرن ۱۱؛ کاغذ: نوعی ترمه، جلد: کاغذی،  ۱۹  سطر، اندازه: ۱۹/۲۸/۸۲سم [ ف: ۷ - ۴۴۶ ]</w:t>
      </w:r>
    </w:p>
    <w:p>
      <w:pPr>
        <w:pStyle w:val="BookText"/>
      </w:pPr>
      <w:r>
        <w:rPr>
          <w:rFonts w:ascii="IRNazanin" w:hAnsi="IRNazanin" w:eastAsia="IRNazanin" w:cs="IRNazanin"/>
          <w:lang w:bidi="fa-IR"/>
          <w:color w:val="111111"/>
          <w:sz w:val="28"/>
          <w:szCs w:val="28"/>
          <w:rtl/>
        </w:rPr>
        <w:t xml:space="preserve">۲. یزد؛ وزیری؛ شماره نسخه: ۱۸۴۰/۲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بی کا، تا: ۱۲۲۴ق؛ جلد: تیماج مشکی، ۱۱ص (۳۸-۴۸)، ۲۱ سطر،  اندازه: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۳ - ۱۰۷۱]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قم؛ مسجد اعظم؛ شماره نسخه: ۶۰۷/۱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۱۱ شوال ۱۲۶۹ق؛ جلد: تیماج مشکی بدون مقوا مجدول، ۲۳گ ۲۰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مخ:1- 149]</w:t>
      </w:r>
    </w:p>
    <w:p>
      <w:pPr>
        <w:pStyle w:val="BookText"/>
      </w:pPr>
      <w:r>
        <w:rPr>
          <w:rFonts w:ascii="IRNazanin" w:hAnsi="IRNazanin" w:eastAsia="IRNazanin" w:cs="IRNazanin"/>
          <w:lang w:bidi="fa-IR"/>
          <w:color w:val="111111"/>
          <w:sz w:val="28"/>
          <w:szCs w:val="28"/>
          <w:rtl/>
        </w:rPr>
        <w:t xml:space="preserve">4.مشهد؛ شیخ علی حیدر؛ شماره نسخه: ۵۸۵/۴</w:t>
      </w:r>
    </w:p>
    <w:p>
      <w:pPr>
        <w:pStyle w:val="BookText"/>
      </w:pPr>
      <w:r>
        <w:rPr>
          <w:rFonts w:ascii="Amiri" w:hAnsi="Amiri" w:eastAsia="Amiri" w:cs="Amiri"/>
          <w:lang w:bidi="ar-SA"/>
          <w:color w:val="111111"/>
          <w:sz w:val="28"/>
          <w:szCs w:val="28"/>
          <w:rtl/>
        </w:rPr>
        <w:t xml:space="preserve">آغاز: الباب الثالث فى الادوية المفردة الباهية من الحبوب و البذور و الاشربة و الاغذية؛ انجام: و يصب منه قدر مثقال في الماء الذى  يستنجى</w:t>
      </w:r>
    </w:p>
    <w:p>
      <w:pPr>
        <w:pStyle w:val="BookText"/>
      </w:pPr>
      <w:r>
        <w:rPr>
          <w:rFonts w:ascii="IRNazanin" w:hAnsi="IRNazanin" w:eastAsia="IRNazanin" w:cs="IRNazanin"/>
          <w:lang w:bidi="fa-IR"/>
          <w:color w:val="111111"/>
          <w:sz w:val="28"/>
          <w:szCs w:val="28"/>
          <w:rtl/>
        </w:rPr>
        <w:t xml:space="preserve">از باب ۳ تا باب ۲۲؛ خط: نسخ، بی کا، تا: شعبان ۱۲۹۴ق؛ جلد: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276" w:name="pg20365_260391"/>
    <w:bookmarkEnd w:id="276"/>
    <w:p>
      <w:pPr>
        <w:pStyle w:val="BookText"/>
      </w:pPr>
      <w:r>
        <w:rPr>
          <w:rFonts w:ascii="IRNazanin" w:hAnsi="IRNazanin" w:eastAsia="IRNazanin" w:cs="IRNazanin"/>
          <w:lang w:bidi="fa-IR"/>
          <w:color w:val="111111"/>
          <w:sz w:val="28"/>
          <w:szCs w:val="28"/>
          <w:rtl/>
        </w:rPr>
        <w:t xml:space="preserve">مشکی، ۸گ (۵۷ر - ۶۴ پ) ، اندازه: ۱۰/۵ </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۱۷سم [مؤيد: ۲ - ۹۰]</w:t>
      </w:r>
    </w:p>
    <w:p>
      <w:pPr>
        <w:pStyle w:val="BookText"/>
      </w:pPr>
      <w:r>
        <w:rPr>
          <w:rFonts w:ascii="IRNazanin" w:hAnsi="IRNazanin" w:eastAsia="IRNazanin" w:cs="IRNazanin"/>
          <w:lang w:bidi="fa-IR"/>
          <w:color w:val="111111"/>
          <w:sz w:val="28"/>
          <w:szCs w:val="28"/>
          <w:rtl/>
        </w:rPr>
        <w:t xml:space="preserve">۵. همدان ،سیرلو حمید؛ شماره نسخه: ۱۲/۶</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این رساله در فهرست به ابن سینا نسبت داده شده؛بی کا، بی تا،  ۲۵گ (۱۹ پ - ۴۳پ) [مدرسه غرب - ف: - ۱۷۰۸]</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تبریز؛ ملی؛ شماره نسخه: ۳۴۳۳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كا، بی تا ،جلد: چرمی تریاکی  مندرس، 28گ، ۱۴ سطر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۱۷/۵سم [ف: ۱ - ۵۶]</w:t>
      </w:r>
    </w:p>
    <w:p>
      <w:pPr>
        <w:pStyle w:val="BookText"/>
      </w:pPr>
      <w:r>
        <w:rPr>
          <w:rFonts w:ascii="IRNazanin" w:hAnsi="IRNazanin" w:eastAsia="IRNazanin" w:cs="IRNazanin"/>
          <w:lang w:bidi="fa-IR"/>
          <w:color w:val="111111"/>
          <w:sz w:val="28"/>
          <w:szCs w:val="28"/>
          <w:rtl/>
        </w:rPr>
        <w:t xml:space="preserve">تهران؛ دانشگاه؛ شماره نسخه: ۳۰۸۲/۱-ف</w:t>
      </w:r>
    </w:p>
    <w:p>
      <w:pPr>
        <w:pStyle w:val="BookText"/>
      </w:pPr>
      <w:r>
        <w:rPr>
          <w:rFonts w:ascii="IRNazanin" w:hAnsi="IRNazanin" w:eastAsia="IRNazanin" w:cs="IRNazanin"/>
          <w:lang w:bidi="fa-IR"/>
          <w:color w:val="111111"/>
          <w:sz w:val="28"/>
          <w:szCs w:val="28"/>
          <w:rtl/>
        </w:rPr>
        <w:t xml:space="preserve">نسخه اصل: همان نسخه بالا [ فیلم ها-ف: ۲ - ۶۲]</w:t>
      </w:r>
    </w:p>
    <w:p>
      <w:pPr>
        <w:pStyle w:val="Heading3"/>
      </w:pPr>
      <w:bookmarkStart w:id="1454" w:name="_Toc976"/>
      <w:r>
        <w:t>اسرار النکاح = اسرار النساء / طب / فارسی</w:t>
      </w:r>
      <w:bookmarkEnd w:id="1454"/>
    </w:p>
    <w:p>
      <w:pPr>
        <w:pStyle w:val="BookText"/>
      </w:pPr>
      <w:r>
        <w:rPr>
          <w:rFonts w:ascii="Times New Roman" w:hAnsi="Times New Roman" w:eastAsia="Times New Roman" w:cs="Times New Roman"/>
          <w:lang w:val="en-US" w:bidi="en-US"/>
          <w:color w:val="111111"/>
          <w:sz w:val="28"/>
          <w:szCs w:val="28"/>
          <w:rtl/>
        </w:rPr>
        <w:t xml:space="preserve">asrār-on nekāh = asrār-on nesā’</w:t>
      </w:r>
    </w:p>
    <w:p>
      <w:pPr>
        <w:pStyle w:val="BookText"/>
      </w:pPr>
      <w:r>
        <w:rPr>
          <w:rFonts w:ascii="IRNazanin" w:hAnsi="IRNazanin" w:eastAsia="IRNazanin" w:cs="IRNazanin"/>
          <w:lang w:bidi="fa-IR"/>
          <w:color w:val="111111"/>
          <w:sz w:val="28"/>
          <w:szCs w:val="28"/>
          <w:rtl/>
        </w:rPr>
        <w:t xml:space="preserve">زين العابدین عطار، على بن  حسین، ۷۳۰؟ - ۸۰۶ قمری</w:t>
      </w:r>
    </w:p>
    <w:p>
      <w:pPr>
        <w:pStyle w:val="BookText"/>
      </w:pPr>
      <w:r>
        <w:rPr>
          <w:rFonts w:ascii="Times New Roman" w:hAnsi="Times New Roman" w:eastAsia="Times New Roman" w:cs="Times New Roman"/>
          <w:lang w:val="en-US" w:bidi="en-US"/>
          <w:color w:val="111111"/>
          <w:sz w:val="28"/>
          <w:szCs w:val="28"/>
          <w:rtl/>
        </w:rPr>
        <w:t xml:space="preserve">(1404-zayn-ol-‘ābedīn-e ‘attār, ‘alī ebn-e hoseyn (1330 -</w:t>
      </w:r>
    </w:p>
    <w:p>
      <w:pPr>
        <w:pStyle w:val="BookText"/>
      </w:pPr>
      <w:r>
        <w:rPr>
          <w:rFonts w:ascii="IRNazanin" w:hAnsi="IRNazanin" w:eastAsia="IRNazanin" w:cs="IRNazanin"/>
          <w:lang w:bidi="fa-IR"/>
          <w:color w:val="111111"/>
          <w:sz w:val="28"/>
          <w:szCs w:val="28"/>
          <w:rtl/>
        </w:rPr>
        <w:t xml:space="preserve">در اسرار نکاح و آنچه در تقویت قوه باه مفید است، نگاشته شـذه به درخواست برخی از دوستان در دو جزء هر یک مشتمل بر 10«باب»: الجزء الاول فى اسرار الرجال: ١. ذكر مقدمة يلزم معرفـتها من اداء تركيب الادوية الباهية .۲. معرفة ادوية المفردة الزائدة فی الباه؛ 3. معرفة الاغذية المركبة الزائدة فى الباه؛ ۴. معرفة ادایة المركبة الزائدة فى الباه؛ ۵. معرفة المسوحات و الضمادات و الحقن والحمولات الزائدة فى الباه .۶. معرفة الادوية الملذذة فی الجماع؛ 7. معرفة الادوية التى تعظم الذكر وتصلبه؛ ۸. معرفة؛  الادوية المغنية على الحبل .۹. معرفة الادوية المانعة من الحبل، .۱۰. معرفة الاشياءالمنقصة للباه مميتة الشهوة و الجماع. بـقیه عناوین در نسخه نیامده است، طبعاً جزء دوم در اسرار النـساء است.</w:t>
      </w:r>
    </w:p>
    <w:p>
      <w:pPr>
        <w:pStyle w:val="BookText"/>
      </w:pPr>
      <w:r>
        <w:rPr>
          <w:rFonts w:ascii="Amiri" w:hAnsi="Amiri" w:eastAsia="Amiri" w:cs="Amiri"/>
          <w:lang w:bidi="ar-SA"/>
          <w:color w:val="111111"/>
          <w:sz w:val="28"/>
          <w:szCs w:val="28"/>
          <w:rtl/>
        </w:rPr>
        <w:t xml:space="preserve">آغاز: الحمد لله الذى خلق الانسان من طين ثم جعل نسله من ماء مهين ثم سواه في قرار مكين</w:t>
      </w:r>
    </w:p>
    <w:p>
      <w:pPr>
        <w:pStyle w:val="BookText"/>
      </w:pPr>
      <w:r>
        <w:rPr>
          <w:rFonts w:ascii="IRNazanin" w:hAnsi="IRNazanin" w:eastAsia="IRNazanin" w:cs="IRNazanin"/>
          <w:lang w:bidi="fa-IR"/>
          <w:color w:val="111111"/>
          <w:sz w:val="28"/>
          <w:szCs w:val="28"/>
          <w:rtl/>
        </w:rPr>
        <w:t xml:space="preserve">انجام: و در هم جوز بواد نصف درهم كندر يشرب منه كل یوم در همين مع شراب الخشخاش فانه نافع جدا.</w:t>
      </w:r>
    </w:p>
    <w:p>
      <w:pPr>
        <w:pStyle w:val="BookText"/>
      </w:pPr>
      <w:r>
        <w:rPr>
          <w:rFonts w:ascii="IRNazanin" w:hAnsi="IRNazanin" w:eastAsia="IRNazanin" w:cs="IRNazanin"/>
          <w:lang w:bidi="fa-IR"/>
          <w:color w:val="111111"/>
          <w:sz w:val="28"/>
          <w:szCs w:val="28"/>
          <w:rtl/>
        </w:rPr>
        <w:t xml:space="preserve">[الطب الصيدلية ص ۲۷؛ الذريعة ۱: ۳۶۸، ۲: ۵۶-۵۷؛ فهرستواره منزوی 5/ 3281]</w:t>
      </w:r>
    </w:p>
    <w:p>
      <w:pPr>
        <w:pStyle w:val="BookText"/>
      </w:pPr>
      <w:r>
        <w:rPr>
          <w:rFonts w:ascii="IRNazanin" w:hAnsi="IRNazanin" w:eastAsia="IRNazanin" w:cs="IRNazanin"/>
          <w:lang w:bidi="fa-IR"/>
          <w:color w:val="111111"/>
          <w:sz w:val="28"/>
          <w:szCs w:val="28"/>
          <w:rtl/>
        </w:rPr>
        <w:t xml:space="preserve">تهران؛ مجلس؛ شماره نسخه: ۶۷۷۳/۲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خط:نسخ، بی کا، بی تا ؛جلد: مقوایی با روکش ابر و باد ۱۲گ ( ۵۰ پ - ۶۱ پ)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۲۰ – ۲۴۸]</w:t>
      </w:r>
    </w:p>
    <w:p>
      <w:pPr>
        <w:pStyle w:val="Heading3"/>
      </w:pPr>
      <w:bookmarkStart w:id="1455" w:name="_Toc977"/>
      <w:r>
        <w:t>اسرار النكاح / فقه، اخلاق / فارسی</w:t>
      </w:r>
      <w:bookmarkEnd w:id="1455"/>
    </w:p>
    <w:p>
      <w:pPr>
        <w:pStyle w:val="BookText"/>
      </w:pPr>
      <w:r>
        <w:rPr>
          <w:rFonts w:ascii="Times New Roman" w:hAnsi="Times New Roman" w:eastAsia="Times New Roman" w:cs="Times New Roman"/>
          <w:lang w:val="en-US" w:bidi="en-US"/>
          <w:color w:val="111111"/>
          <w:sz w:val="28"/>
          <w:szCs w:val="28"/>
          <w:rtl/>
        </w:rPr>
        <w:t xml:space="preserve">asrār-on-nekāh</w:t>
      </w:r>
    </w:p>
    <w:p>
      <w:pPr>
        <w:pStyle w:val="BookText"/>
      </w:pPr>
      <w:r>
        <w:rPr>
          <w:rFonts w:ascii="IRNazanin" w:hAnsi="IRNazanin" w:eastAsia="IRNazanin" w:cs="IRNazanin"/>
          <w:lang w:bidi="fa-IR"/>
          <w:color w:val="111111"/>
          <w:sz w:val="28"/>
          <w:szCs w:val="28"/>
          <w:rtl/>
        </w:rPr>
        <w:t xml:space="preserve">خواجگی کاسانی، احمد بن جلال الدین، – ۹۴۹ قمری</w:t>
      </w:r>
    </w:p>
    <w:p>
      <w:pPr>
        <w:pStyle w:val="BookText"/>
      </w:pPr>
      <w:r>
        <w:rPr>
          <w:rFonts w:ascii="Times New Roman" w:hAnsi="Times New Roman" w:eastAsia="Times New Roman" w:cs="Times New Roman"/>
          <w:lang w:val="en-US" w:bidi="en-US"/>
          <w:color w:val="111111"/>
          <w:sz w:val="28"/>
          <w:szCs w:val="28"/>
          <w:rtl/>
        </w:rPr>
        <w:t xml:space="preserve">(xājegī kāsānī, ahmad ebn-e jalal-od-dīn (- 1543)</w:t>
      </w:r>
    </w:p>
    <w:p>
      <w:pPr>
        <w:pStyle w:val="BookText"/>
      </w:pPr>
      <w:r>
        <w:rPr>
          <w:rFonts w:ascii="IRNazanin" w:hAnsi="IRNazanin" w:eastAsia="IRNazanin" w:cs="IRNazanin"/>
          <w:lang w:bidi="fa-IR"/>
          <w:color w:val="111111"/>
          <w:sz w:val="28"/>
          <w:szCs w:val="28"/>
          <w:rtl/>
        </w:rPr>
        <w:t xml:space="preserve">درباره زناشویی با دیدی عرفانی به نثر آمیخته به نظم آغاز می کند در دفاع از امر کتخدایی (زناشویی) سپس آفرینش حوا، فيض عام وفيض خاص، اسرار  نکاح، پند و اندرزهای عرفانی درباره زناشویی به نثر آمیخته به نظم، با عناوین «ای طالب  صادق، بدان ای درویش»</w:t>
      </w:r>
    </w:p>
    <w:p>
      <w:pPr>
        <w:pStyle w:val="BookText"/>
      </w:pPr>
      <w:r>
        <w:rPr>
          <w:rFonts w:ascii="IRNazanin" w:hAnsi="IRNazanin" w:eastAsia="IRNazanin" w:cs="IRNazanin"/>
          <w:lang w:bidi="fa-IR"/>
          <w:color w:val="111111"/>
          <w:sz w:val="28"/>
          <w:szCs w:val="28"/>
          <w:rtl/>
        </w:rPr>
        <w:t xml:space="preserve">آغاز: بسمله، الحمد لله الذى جعل النكاح سنة للانام و جعله فاصلا بین الحلال و الحرام. اما بعد سبب تالیف این نسخه آن بود که این ضعیف کم بضاعت نظر کردم در مردمان دیدم اکثر مردمان را از سر جهل و بی معرفتی در امر شریف کدخدایی مسلمانان را عیب و ملامت می کند این ضعیف خواست آن چه از خاکبوسی آستانه این طایفه علیه به او رسیده است شمه ای از اسرار آن نوشته شود تا بعد از دیدن این نسخه هیچ کس هیچ مسلمانی را علی الخصوص این طایفه علیه را ملامت نکند.</w:t>
      </w:r>
    </w:p>
    <w:p>
      <w:pPr>
        <w:pStyle w:val="BookText"/>
      </w:pPr>
      <w:r>
        <w:rPr>
          <w:rFonts w:ascii="IRNazanin" w:hAnsi="IRNazanin" w:eastAsia="IRNazanin" w:cs="IRNazanin"/>
          <w:lang w:bidi="fa-IR"/>
          <w:color w:val="111111"/>
          <w:sz w:val="28"/>
          <w:szCs w:val="28"/>
          <w:rtl/>
        </w:rPr>
        <w:t xml:space="preserve">انجام: پس زیادتی شهوة درين طايفه عليه از فیض مالانهایه است این بود شمه از اسرار نکاح که گفته آمد و اختصار کرده شد برین تا که خواننده و شنونده را ملالت نیفزاید از این جهت  نیز نامیده شد اسرار النکاح</w:t>
      </w:r>
    </w:p>
    <w:p>
      <w:pPr>
        <w:pStyle w:val="BookText"/>
      </w:pPr>
      <w:r>
        <w:rPr>
          <w:rFonts w:ascii="IRNazanin" w:hAnsi="IRNazanin" w:eastAsia="IRNazanin" w:cs="IRNazanin"/>
          <w:lang w:bidi="fa-IR"/>
          <w:color w:val="111111"/>
          <w:sz w:val="28"/>
          <w:szCs w:val="28"/>
          <w:rtl/>
        </w:rPr>
        <w:t xml:space="preserve">[فهرستواره منزوی ۳۲۰/۶ (۳ نسخه) مشترک پاکستان ۲۲۳۸/۳) «اسرار  النکاح» (نشانی ۴ نسخه)]</w:t>
      </w:r>
    </w:p>
    <w:p>
      <w:pPr>
        <w:pStyle w:val="BookText"/>
      </w:pPr>
      <w:r>
        <w:rPr>
          <w:rFonts w:ascii="IRNazanin" w:hAnsi="IRNazanin" w:eastAsia="IRNazanin" w:cs="IRNazanin"/>
          <w:lang w:bidi="fa-IR"/>
          <w:color w:val="111111"/>
          <w:sz w:val="28"/>
          <w:szCs w:val="28"/>
          <w:rtl/>
        </w:rPr>
        <w:t xml:space="preserve">۱. تهران؛ فرهاد معتمد؛ شماره نسخه: ۱۸۷/۱</w:t>
      </w:r>
    </w:p>
    <w:p>
      <w:pPr>
        <w:pStyle w:val="BookText"/>
      </w:pPr>
      <w:r>
        <w:rPr>
          <w:rFonts w:ascii="IRNazanin" w:hAnsi="IRNazanin" w:eastAsia="IRNazanin" w:cs="IRNazanin"/>
          <w:lang w:bidi="fa-IR"/>
          <w:color w:val="111111"/>
          <w:sz w:val="28"/>
          <w:szCs w:val="28"/>
          <w:rtl/>
        </w:rPr>
        <w:t xml:space="preserve">در فهرست بدون نام مؤلف آمده؛ خط: نستعلیق، کا: حسن خان جوهر، تا: ۱۰۵۴ق؛ کاغذ: سپاهانی آهار مهره، جلد: تیماج مشکی ،مقوایی، ۱۷ سطر (۹/۵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۲۳سم [ نشریه: ۳ - ۲۳۱]</w:t>
      </w:r>
    </w:p>
    <w:p>
      <w:pPr>
        <w:pStyle w:val="BookText"/>
      </w:pPr>
      <w:r>
        <w:rPr>
          <w:rFonts w:ascii="IRNazanin" w:hAnsi="IRNazanin" w:eastAsia="IRNazanin" w:cs="IRNazanin"/>
          <w:lang w:bidi="fa-IR"/>
          <w:color w:val="111111"/>
          <w:sz w:val="28"/>
          <w:szCs w:val="28"/>
          <w:rtl/>
        </w:rPr>
        <w:t xml:space="preserve">۲. تهران؛ مجلس؛ شماره نسخه: ۳۳۵/۱-فیروز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،هندی، کا: محمد جمیل بن عبد الرحمن، تا: قرن ۱۲؛ مجدول؛ كاغذ: فرنگی آهار مهره، جلد: تیماج زرشکی با یک ترنج ۱ص ،(۱۲ر) ،۱۹ سطر، قطع: وزیری،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۲۶سم [ف: ۲۱ - ۳۰۶]</w:t>
      </w:r>
    </w:p>
    <w:p>
      <w:pPr>
        <w:pStyle w:val="BookText"/>
      </w:pPr>
      <w:r>
        <w:rPr>
          <w:rFonts w:ascii="IRNazanin" w:hAnsi="IRNazanin" w:eastAsia="IRNazanin" w:cs="IRNazanin"/>
          <w:lang w:bidi="fa-IR"/>
          <w:color w:val="111111"/>
          <w:sz w:val="28"/>
          <w:szCs w:val="28"/>
          <w:rtl/>
        </w:rPr>
        <w:t xml:space="preserve">۳. تهران؛ دائرة المعارف؛ شماره نسخه ۲۶۷/۱- عکسی</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اصل نسخه: گنج بخش ش ۱۴۰۱( گنج، ۶۶۳/۲)؛ خط: نستعلیق تحریری ،کا: محمد امین بن خلیفه حاجی  قربان، تا: ۱۲۸۰ق  ، نستعلیق تحریری پخته؛ ۱۳گ (2- 14) [ف: ۲ - ۲۲]</w:t>
      </w:r>
    </w:p>
    <w:p>
      <w:pPr>
        <w:pStyle w:val="BookText"/>
      </w:pPr>
      <w:r>
        <w:rPr>
          <w:rFonts w:ascii="IRNazanin" w:hAnsi="IRNazanin" w:eastAsia="IRNazanin" w:cs="IRNazanin"/>
          <w:lang w:bidi="fa-IR"/>
          <w:color w:val="111111"/>
          <w:sz w:val="28"/>
          <w:szCs w:val="28"/>
          <w:rtl/>
        </w:rPr>
        <w:t xml:space="preserve">۴. یزد؛ وزیری؛ شماره نسخه: ۳۷۴۱/۱</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،کا ،میرک، بی تا؛ مهر: «محمد ایوب بن خواجه یعقوب ۱۰۶۸»؛ کاغذ: دولت آبادی ،جلد: مقوایی با تیماج عنابی، ۱۷ ص (1- 17)، ابعاد متن: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 ، اندازه:۱۸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۵ – ۱۷۷۶]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277" w:name="pg20365_260392"/>
    <w:bookmarkEnd w:id="277"/>
    <w:p>
      <w:pPr>
        <w:pStyle w:val="Heading3"/>
      </w:pPr>
      <w:bookmarkStart w:id="1456" w:name="_Toc978"/>
      <w:r>
        <w:t>اسرار النكاح و الزوجية (رسالة في) / فقه / عربي</w:t>
      </w:r>
      <w:bookmarkEnd w:id="1456"/>
    </w:p>
    <w:p>
      <w:pPr>
        <w:pStyle w:val="BookText"/>
      </w:pPr>
      <w:r>
        <w:rPr>
          <w:rFonts w:ascii="Times New Roman" w:hAnsi="Times New Roman" w:eastAsia="Times New Roman" w:cs="Times New Roman"/>
          <w:lang w:val="en-US" w:bidi="en-US"/>
          <w:color w:val="111111"/>
          <w:sz w:val="28"/>
          <w:szCs w:val="28"/>
          <w:rtl/>
        </w:rPr>
        <w:t xml:space="preserve">(asrār-un nikāḥ wa-z zawjīyya (r.-un fī)</w:t>
      </w:r>
    </w:p>
    <w:p>
      <w:pPr>
        <w:pStyle w:val="BookText"/>
      </w:pPr>
      <w:r>
        <w:rPr>
          <w:rFonts w:ascii="IRNazanin" w:hAnsi="IRNazanin" w:eastAsia="IRNazanin" w:cs="IRNazanin"/>
          <w:lang w:bidi="fa-IR"/>
          <w:color w:val="111111"/>
          <w:sz w:val="28"/>
          <w:szCs w:val="28"/>
          <w:rtl/>
        </w:rPr>
        <w:t xml:space="preserve">لاهیجانی، محمد بن محمد علی، - ۱۳۵۴ قمری</w:t>
      </w:r>
    </w:p>
    <w:p>
      <w:pPr>
        <w:pStyle w:val="BookText"/>
      </w:pPr>
      <w:r>
        <w:rPr>
          <w:rFonts w:ascii="Times New Roman" w:hAnsi="Times New Roman" w:eastAsia="Times New Roman" w:cs="Times New Roman"/>
          <w:lang w:val="en-US" w:bidi="en-US"/>
          <w:color w:val="111111"/>
          <w:sz w:val="28"/>
          <w:szCs w:val="28"/>
          <w:rtl/>
        </w:rPr>
        <w:t xml:space="preserve">(lāhījānī, mohammad ebn-e mohammad ‘alī (- 1935)</w:t>
      </w:r>
    </w:p>
    <w:p>
      <w:pPr>
        <w:pStyle w:val="BookText"/>
      </w:pPr>
      <w:r>
        <w:rPr>
          <w:rFonts w:ascii="IRNazanin" w:hAnsi="IRNazanin" w:eastAsia="IRNazanin" w:cs="IRNazanin"/>
          <w:lang w:bidi="fa-IR"/>
          <w:color w:val="111111"/>
          <w:sz w:val="28"/>
          <w:szCs w:val="28"/>
          <w:rtl/>
        </w:rPr>
        <w:t xml:space="preserve">مشهد؛ رضوی؛ شماره نسخه: ۲۳۲۹۲</w:t>
      </w:r>
    </w:p>
    <w:p>
      <w:pPr>
        <w:pStyle w:val="BookText"/>
      </w:pPr>
      <w:r>
        <w:rPr>
          <w:rFonts w:ascii="IRNazanin" w:hAnsi="IRNazanin" w:eastAsia="IRNazanin" w:cs="IRNazanin"/>
          <w:lang w:bidi="fa-IR"/>
          <w:color w:val="111111"/>
          <w:sz w:val="28"/>
          <w:szCs w:val="28"/>
          <w:rtl/>
        </w:rPr>
        <w:t xml:space="preserve">آغاز: بسمله، الحمدلله اما بعد فمن بدیع فطره الله؛ انجام:علی مشرفه الصلوه و السلم سنه ۱۳۴۶ هجری</w:t>
      </w:r>
    </w:p>
    <w:p>
      <w:pPr>
        <w:pStyle w:val="BookText"/>
      </w:pPr>
      <w:r>
        <w:rPr>
          <w:rFonts w:ascii="IRNazanin" w:hAnsi="IRNazanin" w:eastAsia="IRNazanin" w:cs="IRNazanin"/>
          <w:lang w:bidi="fa-IR"/>
          <w:color w:val="111111"/>
          <w:sz w:val="28"/>
          <w:szCs w:val="28"/>
          <w:rtl/>
        </w:rPr>
        <w:t xml:space="preserve">خط: نسخ، بی کا، تا: ۱۳۴۶ق [رایانه]</w:t>
      </w:r>
    </w:p>
    <w:p>
      <w:pPr>
        <w:pStyle w:val="Heading3"/>
      </w:pPr>
      <w:bookmarkStart w:id="1457" w:name="_Toc979"/>
      <w:r>
        <w:t>اسرار نماز / عرفان و تصوف / فارسی</w:t>
      </w:r>
      <w:bookmarkEnd w:id="1457"/>
    </w:p>
    <w:p>
      <w:pPr>
        <w:pStyle w:val="BookText"/>
      </w:pPr>
      <w:r>
        <w:rPr>
          <w:rFonts w:ascii="Times New Roman" w:hAnsi="Times New Roman" w:eastAsia="Times New Roman" w:cs="Times New Roman"/>
          <w:lang w:val="en-US" w:bidi="en-US"/>
          <w:color w:val="111111"/>
          <w:sz w:val="28"/>
          <w:szCs w:val="28"/>
          <w:rtl/>
        </w:rPr>
        <w:t xml:space="preserve">asrār-e namāz</w:t>
      </w:r>
    </w:p>
    <w:p>
      <w:pPr>
        <w:pStyle w:val="BookText"/>
      </w:pPr>
      <w:r>
        <w:rPr>
          <w:rFonts w:ascii="IRNazanin" w:hAnsi="IRNazanin" w:eastAsia="IRNazanin" w:cs="IRNazanin"/>
          <w:lang w:bidi="fa-IR"/>
          <w:color w:val="111111"/>
          <w:sz w:val="28"/>
          <w:szCs w:val="28"/>
          <w:rtl/>
        </w:rPr>
        <w:t xml:space="preserve">عبدالرزاق کاشی، عبدالرزاق بن احمد، - ۷۳۶؟ قمری</w:t>
      </w:r>
    </w:p>
    <w:p>
      <w:pPr>
        <w:pStyle w:val="BookText"/>
      </w:pPr>
      <w:r>
        <w:rPr>
          <w:rFonts w:ascii="Times New Roman" w:hAnsi="Times New Roman" w:eastAsia="Times New Roman" w:cs="Times New Roman"/>
          <w:lang w:val="en-US" w:bidi="en-US"/>
          <w:color w:val="111111"/>
          <w:sz w:val="28"/>
          <w:szCs w:val="28"/>
          <w:rtl/>
        </w:rPr>
        <w:t xml:space="preserve">‘(1336-)abd-or-razzāq-e kāšī, ‘abd-or-razzāq ebn-e ahmad (-</w:t>
      </w:r>
    </w:p>
    <w:p>
      <w:pPr>
        <w:pStyle w:val="BookText"/>
      </w:pPr>
      <w:r>
        <w:rPr>
          <w:rFonts w:ascii="IRNazanin" w:hAnsi="IRNazanin" w:eastAsia="IRNazanin" w:cs="IRNazanin"/>
          <w:lang w:bidi="fa-IR"/>
          <w:color w:val="111111"/>
          <w:sz w:val="28"/>
          <w:szCs w:val="28"/>
          <w:rtl/>
        </w:rPr>
        <w:t xml:space="preserve">[دنا ۷۹۴/۱؛ فهرستواره منزوی ۶۶/۷]</w:t>
      </w:r>
    </w:p>
    <w:p>
      <w:pPr>
        <w:pStyle w:val="BookText"/>
      </w:pPr>
      <w:r>
        <w:rPr>
          <w:rFonts w:ascii="IRNazanin" w:hAnsi="IRNazanin" w:eastAsia="IRNazanin" w:cs="IRNazanin"/>
          <w:lang w:bidi="fa-IR"/>
          <w:color w:val="111111"/>
          <w:sz w:val="28"/>
          <w:szCs w:val="28"/>
          <w:rtl/>
        </w:rPr>
        <w:t xml:space="preserve">تهران؛ دانشگاه؛ شماره نسخه: ۳۸۹۴/۸</w:t>
      </w:r>
    </w:p>
    <w:p>
      <w:pPr>
        <w:pStyle w:val="BookText"/>
      </w:pPr>
      <w:r>
        <w:rPr>
          <w:rFonts w:ascii="IRNazanin" w:hAnsi="IRNazanin" w:eastAsia="IRNazanin" w:cs="IRNazanin"/>
          <w:lang w:bidi="fa-IR"/>
          <w:color w:val="111111"/>
          <w:sz w:val="28"/>
          <w:szCs w:val="28"/>
          <w:rtl/>
        </w:rPr>
        <w:t xml:space="preserve">آغاز: ایضا من افاداته  رض. چون حق جل و علا موجد خلق است و باسم رحمن منعم باصول نعمتها؛ انجام: و امکان ایمن و بمعـنی السلام علينا و على عباده الصالحين و اصل و السلام على اهل  السلام.</w:t>
      </w:r>
    </w:p>
    <w:p>
      <w:pPr>
        <w:pStyle w:val="BookText"/>
      </w:pPr>
      <w:r>
        <w:rPr>
          <w:rFonts w:ascii="IRNazanin" w:hAnsi="IRNazanin" w:eastAsia="IRNazanin" w:cs="IRNazanin"/>
          <w:lang w:bidi="fa-IR"/>
          <w:color w:val="111111"/>
          <w:sz w:val="28"/>
          <w:szCs w:val="28"/>
          <w:rtl/>
        </w:rPr>
        <w:t xml:space="preserve">خط: نستعلیق، کا: نصر الله بن احمد نراقی، تا: ۱۲۹۴ق، جا: تهران؛ کاغذ ،فرنگی ،جلد: تیماج حنایی ضربی مقوایی، ۵ ص( 175-۱۷۹)، ۱۶ سطر (7</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۱۲- ۲۸۸۱]</w:t>
      </w:r>
    </w:p>
    <w:p>
      <w:pPr>
        <w:pStyle w:val="Heading3"/>
      </w:pPr>
      <w:bookmarkStart w:id="1458" w:name="_Toc980"/>
      <w:r>
        <w:t>اسرار نماز و ترجمه ادعیه آن / فلسفه احکام / اردو</w:t>
      </w:r>
      <w:bookmarkEnd w:id="1458"/>
    </w:p>
    <w:p>
      <w:pPr>
        <w:pStyle w:val="BookText"/>
      </w:pPr>
      <w:r>
        <w:rPr>
          <w:rFonts w:ascii="Times New Roman" w:hAnsi="Times New Roman" w:eastAsia="Times New Roman" w:cs="Times New Roman"/>
          <w:lang w:val="en-US" w:bidi="en-US"/>
          <w:color w:val="111111"/>
          <w:sz w:val="28"/>
          <w:szCs w:val="28"/>
          <w:rtl/>
        </w:rPr>
        <w:t xml:space="preserve">asrār-e namāz va t.-ye ad‘īye-ye ān</w:t>
      </w:r>
    </w:p>
    <w:p>
      <w:pPr>
        <w:pStyle w:val="BookText"/>
      </w:pPr>
      <w:r>
        <w:rPr>
          <w:rFonts w:ascii="IRNazanin" w:hAnsi="IRNazanin" w:eastAsia="IRNazanin" w:cs="IRNazanin"/>
          <w:lang w:bidi="fa-IR"/>
          <w:color w:val="111111"/>
          <w:sz w:val="28"/>
          <w:szCs w:val="28"/>
          <w:rtl/>
        </w:rPr>
        <w:t xml:space="preserve">چهار کلمه حکمت است ،توکل، قناعت، وحدت، صمدت.</w:t>
      </w:r>
    </w:p>
    <w:p>
      <w:pPr>
        <w:pStyle w:val="BookText"/>
      </w:pPr>
      <w:r>
        <w:rPr>
          <w:rFonts w:ascii="IRNazanin" w:hAnsi="IRNazanin" w:eastAsia="IRNazanin" w:cs="IRNazanin"/>
          <w:lang w:bidi="fa-IR"/>
          <w:color w:val="111111"/>
          <w:sz w:val="28"/>
          <w:szCs w:val="28"/>
          <w:rtl/>
        </w:rPr>
        <w:t xml:space="preserve">[دنا ۷۹۴/۱]</w:t>
      </w:r>
    </w:p>
    <w:p>
      <w:pPr>
        <w:pStyle w:val="BookText"/>
      </w:pPr>
      <w:r>
        <w:rPr>
          <w:rFonts w:ascii="IRNazanin" w:hAnsi="IRNazanin" w:eastAsia="IRNazanin" w:cs="IRNazanin"/>
          <w:lang w:bidi="fa-IR"/>
          <w:color w:val="111111"/>
          <w:sz w:val="28"/>
          <w:szCs w:val="28"/>
          <w:rtl/>
        </w:rPr>
        <w:t xml:space="preserve">یزد: وزیری؛ شماره نسخه: ۲۲۹۴/۱۳</w:t>
      </w:r>
    </w:p>
    <w:p>
      <w:pPr>
        <w:pStyle w:val="BookText"/>
      </w:pPr>
      <w:r>
        <w:rPr>
          <w:rFonts w:ascii="IRNazanin" w:hAnsi="IRNazanin" w:eastAsia="IRNazanin" w:cs="IRNazanin"/>
          <w:lang w:bidi="fa-IR"/>
          <w:color w:val="111111"/>
          <w:sz w:val="28"/>
          <w:szCs w:val="28"/>
          <w:rtl/>
        </w:rPr>
        <w:t xml:space="preserve">آغاز: بسمله الهی شکر تیریی احساس کا که تونی</w:t>
      </w:r>
    </w:p>
    <w:p>
      <w:pPr>
        <w:pStyle w:val="BookText"/>
      </w:pPr>
      <w:r>
        <w:rPr>
          <w:rFonts w:ascii="IRNazanin" w:hAnsi="IRNazanin" w:eastAsia="IRNazanin" w:cs="IRNazanin"/>
          <w:lang w:bidi="fa-IR"/>
          <w:color w:val="111111"/>
          <w:sz w:val="28"/>
          <w:szCs w:val="28"/>
          <w:rtl/>
        </w:rPr>
        <w:t xml:space="preserve">کا، بی تا؛ اهدایی علی اخلاقی فیروز آبادی؛ کاغذ: فرنگـی، جلد: مقوایی با تیماج  عنابی، ۳۶گ (۳۴۸-۳۸۳)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۱۹/۵سم [ف: ۴ - ۱۲۳۷]</w:t>
      </w:r>
    </w:p>
    <w:p>
      <w:pPr>
        <w:pStyle w:val="Heading3"/>
      </w:pPr>
      <w:bookmarkStart w:id="1459" w:name="_Toc981"/>
      <w:r>
        <w:t>الاسرار و اثنی عشریه ترجمه و مختصر / کیمیا / فارسی</w:t>
      </w:r>
      <w:bookmarkEnd w:id="1459"/>
    </w:p>
    <w:p>
      <w:pPr>
        <w:pStyle w:val="BookText"/>
      </w:pPr>
      <w:r>
        <w:rPr>
          <w:rFonts w:ascii="Times New Roman" w:hAnsi="Times New Roman" w:eastAsia="Times New Roman" w:cs="Times New Roman"/>
          <w:lang w:val="en-US" w:bidi="en-US"/>
          <w:color w:val="111111"/>
          <w:sz w:val="28"/>
          <w:szCs w:val="28"/>
          <w:rtl/>
        </w:rPr>
        <w:t xml:space="preserve">(al-asrār va esnā ‘ašarīye (t. va tlx.)</w:t>
      </w:r>
    </w:p>
    <w:p>
      <w:pPr>
        <w:pStyle w:val="BookText"/>
      </w:pPr>
      <w:r>
        <w:rPr>
          <w:rFonts w:ascii="IRNazanin" w:hAnsi="IRNazanin" w:eastAsia="IRNazanin" w:cs="IRNazanin"/>
          <w:lang w:bidi="fa-IR"/>
          <w:color w:val="111111"/>
          <w:sz w:val="28"/>
          <w:szCs w:val="28"/>
          <w:rtl/>
        </w:rPr>
        <w:t xml:space="preserve">ترجمه و گزیده ای است از دو کتاب محمد بن زکریای رازی كتاب الاسرار و کتاب اثنی عشریه.</w:t>
      </w:r>
    </w:p>
    <w:p>
      <w:pPr>
        <w:pStyle w:val="BookText"/>
      </w:pPr>
      <w:r>
        <w:rPr>
          <w:rFonts w:ascii="IRNazanin" w:hAnsi="IRNazanin" w:eastAsia="IRNazanin" w:cs="IRNazanin"/>
          <w:lang w:bidi="fa-IR"/>
          <w:color w:val="111111"/>
          <w:sz w:val="28"/>
          <w:szCs w:val="28"/>
          <w:rtl/>
        </w:rPr>
        <w:t xml:space="preserve">تهران؛ مجلس؛ شماره نسخه: ۱۲۵۷۳/۳</w:t>
      </w:r>
    </w:p>
    <w:p>
      <w:pPr>
        <w:pStyle w:val="BookText"/>
      </w:pPr>
      <w:r>
        <w:rPr>
          <w:rFonts w:ascii="IRNazanin" w:hAnsi="IRNazanin" w:eastAsia="IRNazanin" w:cs="IRNazanin"/>
          <w:lang w:bidi="fa-IR"/>
          <w:color w:val="111111"/>
          <w:sz w:val="28"/>
          <w:szCs w:val="28"/>
          <w:rtl/>
        </w:rPr>
        <w:t xml:space="preserve">آغاز: الحمد لوليه والصلوة على نبيه محمد و آله اجمعين اما بعد بدانکه این نسخه بالتماس عزیزی از اعمال حکیم غازی محمد بن زکریای رازی که خلاصه ترین بایست؛ انجام: العراق نقره القوم الابيض اسد البجلي كلبن الخالد سندر بطين شب طرف بط الیمانی الصبيان زاک</w:t>
      </w:r>
    </w:p>
    <w:p>
      <w:pPr>
        <w:pStyle w:val="BookText"/>
      </w:pPr>
      <w:r>
        <w:rPr>
          <w:rFonts w:ascii="IRNazanin" w:hAnsi="IRNazanin" w:eastAsia="IRNazanin" w:cs="IRNazanin"/>
          <w:lang w:bidi="fa-IR"/>
          <w:color w:val="111111"/>
          <w:sz w:val="28"/>
          <w:szCs w:val="28"/>
          <w:rtl/>
        </w:rPr>
        <w:t xml:space="preserve">خط: نستعلیق، بی کا، بی تا؛ افتادگی: انجام؛ محش، مصحح؛ جلد: تیماج قهوه ای ۵۵گ (140پ-86ر)، ۲۰ سطر،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۱۸/۵سم [ف: ۳۶ - ۱۱۱]</w:t>
      </w:r>
    </w:p>
    <w:p>
      <w:pPr>
        <w:pStyle w:val="Heading3"/>
      </w:pPr>
      <w:bookmarkStart w:id="1460" w:name="_Toc982"/>
      <w:r>
        <w:t>اسرار الوجود = ترجمه ليوردور / طبیعیات / فارسی</w:t>
      </w:r>
      <w:bookmarkEnd w:id="1460"/>
    </w:p>
    <w:p>
      <w:pPr>
        <w:pStyle w:val="BookText"/>
      </w:pPr>
      <w:r>
        <w:rPr>
          <w:rFonts w:ascii="Times New Roman" w:hAnsi="Times New Roman" w:eastAsia="Times New Roman" w:cs="Times New Roman"/>
          <w:lang w:val="en-US" w:bidi="en-US"/>
          <w:color w:val="111111"/>
          <w:sz w:val="28"/>
          <w:szCs w:val="28"/>
          <w:rtl/>
        </w:rPr>
        <w:t xml:space="preserve">asrār-ol vojūd = t.-ye līverdor</w:t>
      </w:r>
    </w:p>
    <w:p>
      <w:pPr>
        <w:pStyle w:val="BookText"/>
      </w:pPr>
      <w:r>
        <w:rPr>
          <w:rFonts w:ascii="IRNazanin" w:hAnsi="IRNazanin" w:eastAsia="IRNazanin" w:cs="IRNazanin"/>
          <w:lang w:bidi="fa-IR"/>
          <w:color w:val="111111"/>
          <w:sz w:val="28"/>
          <w:szCs w:val="28"/>
          <w:rtl/>
        </w:rPr>
        <w:t xml:space="preserve">علی بخش میرزا قاجار ،۱۲۵۴ قمری</w:t>
      </w:r>
    </w:p>
    <w:p>
      <w:pPr>
        <w:pStyle w:val="BookText"/>
      </w:pPr>
      <w:r>
        <w:rPr>
          <w:rFonts w:ascii="Times New Roman" w:hAnsi="Times New Roman" w:eastAsia="Times New Roman" w:cs="Times New Roman"/>
          <w:lang w:val="en-US" w:bidi="en-US"/>
          <w:color w:val="111111"/>
          <w:sz w:val="28"/>
          <w:szCs w:val="28"/>
          <w:rtl/>
        </w:rPr>
        <w:t xml:space="preserve">(- alī baxš mīrzā qājār (1838 -)</w:t>
      </w:r>
    </w:p>
    <w:p>
      <w:pPr>
        <w:pStyle w:val="BookText"/>
      </w:pPr>
      <w:r>
        <w:rPr>
          <w:rFonts w:ascii="IRNazanin" w:hAnsi="IRNazanin" w:eastAsia="IRNazanin" w:cs="IRNazanin"/>
          <w:lang w:bidi="fa-IR"/>
          <w:color w:val="111111"/>
          <w:sz w:val="28"/>
          <w:szCs w:val="28"/>
          <w:rtl/>
        </w:rPr>
        <w:t xml:space="preserve">تاریخ تالیف: ۱۲۹۱ق</w:t>
      </w:r>
    </w:p>
    <w:p>
      <w:pPr>
        <w:pStyle w:val="BookText"/>
      </w:pPr>
      <w:r>
        <w:rPr>
          <w:rFonts w:ascii="IRNazanin" w:hAnsi="IRNazanin" w:eastAsia="IRNazanin" w:cs="IRNazanin"/>
          <w:lang w:bidi="fa-IR"/>
          <w:color w:val="111111"/>
          <w:sz w:val="28"/>
          <w:szCs w:val="28"/>
          <w:rtl/>
        </w:rPr>
        <w:t xml:space="preserve">كتاب ليوردور (=کتاب طلایی) در تاریخ طبیعی و اختراعات و اكتشافات قرن ۱۹ است و دارای ۵«باب» .۱ سیارات شمسی؛ ۲. دنیا قبل از طوفان (طبقات زمین و حیوانات ماقبل تاریخ)؛ ٣. سرگذشت و تاریخ دنیا در قرن تاریخی (آغاز حدوث بشریت)؛ .۴. احوال و حوش و نباتات و طبا و معادن (تاریخ طبیعی ...)؛ ۵. تاریخ اختراعات و اکتشافات (در قرن ۱۹)، در این باب سرگذشت جمعی از دانشمندان و سیاحان و مكتشفان  بزرگ  و در ذیل آن تاریخ پادشاهان و سرداران از اسکندر تا ناپلئون یاد شده است سراسر کتاب در اصل دارای تصویرهای حقیقی و خیالی بسیار بوده که در ترجمه حذف و تنها عنوان تصویر و جای خالی آن در صفحات دیده می شود .آن را به فرمان مظفر الدين ميرزا ( وليعهد ناصر الدین شاه) ترجمه کرده است.</w:t>
      </w:r>
    </w:p>
    <w:p>
      <w:pPr>
        <w:pStyle w:val="BookText"/>
      </w:pPr>
      <w:r>
        <w:rPr>
          <w:rFonts w:ascii="Amiri" w:hAnsi="Amiri" w:eastAsia="Amiri" w:cs="Amiri"/>
          <w:lang w:bidi="ar-SA"/>
          <w:color w:val="111111"/>
          <w:sz w:val="28"/>
          <w:szCs w:val="28"/>
          <w:rtl/>
        </w:rPr>
        <w:t xml:space="preserve">آغاز: بسمله سبحان الذي زين السماء بالنجوم و جعلها للشياطين رجوماً و الحمد لله خالق الشموس و الاقمار و جاعل الظلمات و الانوار وصلى الله على خير البشر و رسوله المختار</w:t>
      </w:r>
    </w:p>
    <w:p>
      <w:pPr>
        <w:pStyle w:val="BookText"/>
      </w:pPr>
      <w:r>
        <w:rPr>
          <w:rFonts w:ascii="IRNazanin" w:hAnsi="IRNazanin" w:eastAsia="IRNazanin" w:cs="IRNazanin"/>
          <w:lang w:bidi="fa-IR"/>
          <w:color w:val="111111"/>
          <w:sz w:val="28"/>
          <w:szCs w:val="28"/>
          <w:rtl/>
        </w:rPr>
        <w:t xml:space="preserve">انجام: و بخون ریزی و محاربه عشق غریبی داشت سبحان من هو حي لا يموت.</w:t>
      </w:r>
    </w:p>
    <w:p>
      <w:pPr>
        <w:pStyle w:val="BookText"/>
      </w:pPr>
      <w:r>
        <w:rPr>
          <w:rFonts w:ascii="IRNazanin" w:hAnsi="IRNazanin" w:eastAsia="IRNazanin" w:cs="IRNazanin"/>
          <w:lang w:bidi="fa-IR"/>
          <w:color w:val="111111"/>
          <w:sz w:val="28"/>
          <w:szCs w:val="28"/>
          <w:rtl/>
        </w:rPr>
        <w:t xml:space="preserve">[نسخه های منزوی ۳۹۶/۱ و ۴۰۵) هر دو یکی است)؛ فهرستواره منزوی  ۳۷۸۱/۵.۱ ]</w:t>
      </w:r>
    </w:p>
    <w:p>
      <w:pPr>
        <w:pStyle w:val="BookText"/>
      </w:pPr>
      <w:r>
        <w:rPr>
          <w:rFonts w:ascii="IRNazanin" w:hAnsi="IRNazanin" w:eastAsia="IRNazanin" w:cs="IRNazanin"/>
          <w:lang w:bidi="fa-IR"/>
          <w:color w:val="111111"/>
          <w:sz w:val="28"/>
          <w:szCs w:val="28"/>
          <w:rtl/>
        </w:rPr>
        <w:t xml:space="preserve">1.تهران؛ ملی؛ شماره نسخه: ۵۳۶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شکسته نستعلیق، کاتب - مؤلف، تا: ۱۲۹۱ق، جا: تهران؛ کاغذ فرنگی ،جلد: تیماج مشکی مقوایی، ۴۰۳گ، ۱۳ سطر (۸/۵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۱۳</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۲ - ۳۰]</w:t>
      </w:r>
    </w:p>
    <w:p>
      <w:pPr>
        <w:pStyle w:val="BookText"/>
      </w:pPr>
      <w:r>
        <w:rPr>
          <w:rFonts w:ascii="IRNazanin" w:hAnsi="IRNazanin" w:eastAsia="IRNazanin" w:cs="IRNazanin"/>
          <w:lang w:bidi="fa-IR"/>
          <w:color w:val="111111"/>
          <w:sz w:val="28"/>
          <w:szCs w:val="28"/>
          <w:rtl/>
        </w:rPr>
        <w:t xml:space="preserve">۲. تهران؛ ملی؛ شماره نسخه: ۱۷۴۵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على اکبر، تا: ۱۲۹۲ق، جا: طهران؛ کاغذ: فرنگی،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278" w:name="pg20365_260393"/>
    <w:bookmarkEnd w:id="278"/>
    <w:p>
      <w:pPr>
        <w:pStyle w:val="BookText"/>
      </w:pPr>
      <w:r>
        <w:rPr>
          <w:rFonts w:ascii="IRNazanin" w:hAnsi="IRNazanin" w:eastAsia="IRNazanin" w:cs="IRNazanin"/>
          <w:lang w:bidi="fa-IR"/>
          <w:color w:val="111111"/>
          <w:sz w:val="28"/>
          <w:szCs w:val="28"/>
          <w:rtl/>
        </w:rPr>
        <w:t xml:space="preserve">جلد: تیماج ،مشکی ،مقوایی ،۲۲۶گ، ۲۱ سطر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۴/۵)  ،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۳۵سم [ف: ۴ - ۲۰۶]</w:t>
      </w:r>
    </w:p>
    <w:p>
      <w:pPr>
        <w:pStyle w:val="BookText"/>
      </w:pPr>
      <w:r>
        <w:rPr>
          <w:rFonts w:ascii="IRNazanin" w:hAnsi="IRNazanin" w:eastAsia="IRNazanin" w:cs="IRNazanin"/>
          <w:lang w:bidi="fa-IR"/>
          <w:color w:val="111111"/>
          <w:sz w:val="28"/>
          <w:szCs w:val="28"/>
          <w:rtl/>
        </w:rPr>
        <w:t xml:space="preserve">۳. تهران؛ ملی؛ شماره نسخه: ۱۱۵۱/۲</w:t>
      </w:r>
    </w:p>
    <w:p>
      <w:pPr>
        <w:pStyle w:val="BookText"/>
      </w:pPr>
      <w:r>
        <w:rPr>
          <w:rFonts w:ascii="IRNazanin" w:hAnsi="IRNazanin" w:eastAsia="IRNazanin" w:cs="IRNazanin"/>
          <w:lang w:bidi="fa-IR"/>
          <w:color w:val="111111"/>
          <w:sz w:val="28"/>
          <w:szCs w:val="28"/>
          <w:rtl/>
        </w:rPr>
        <w:t xml:space="preserve">آغاز و انجام: برابر؛ انجامه: و صلی الله على محمد و آله الاطيـاب مترجم و كاتب التماس دعا دارند از قراء این کتاب و انا الـعبد المذنب على اكبر ۱۲۹۳ - تصویر قبر ناپلئون درست هلن.</w:t>
      </w:r>
    </w:p>
    <w:p>
      <w:pPr>
        <w:pStyle w:val="BookText"/>
      </w:pPr>
      <w:r>
        <w:rPr>
          <w:rFonts w:ascii="IRNazanin" w:hAnsi="IRNazanin" w:eastAsia="IRNazanin" w:cs="IRNazanin"/>
          <w:lang w:bidi="fa-IR"/>
          <w:color w:val="111111"/>
          <w:sz w:val="28"/>
          <w:szCs w:val="28"/>
          <w:rtl/>
        </w:rPr>
        <w:t xml:space="preserve">خط:نسخ خوش، کا: علی اکبر، تا: ۱۲۹۲ق؛ کاغذ: فرنگی، جـلد: تیماج سیاه کوبیده ،ضربی، ۲۳۸گ، ۲۱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 اندازه: ۳۳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 سم [ف: ۳ - ۱۷۷]</w:t>
      </w:r>
    </w:p>
    <w:p>
      <w:pPr>
        <w:pStyle w:val="BookText"/>
      </w:pPr>
      <w:r>
        <w:rPr>
          <w:rFonts w:ascii="IRNazanin" w:hAnsi="IRNazanin" w:eastAsia="IRNazanin" w:cs="IRNazanin"/>
          <w:lang w:bidi="fa-IR"/>
          <w:color w:val="111111"/>
          <w:sz w:val="28"/>
          <w:szCs w:val="28"/>
          <w:rtl/>
        </w:rPr>
        <w:t xml:space="preserve">۴. تبریز؛ ملی؛ شماره نسخه: ۳۴۵۰</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تعلیق، بی کا، تا: ۱۲۹۴ق؛ یوسف نامی در اول و آخر کتاب یادداشتی راجع به استنساخ در قصبه اهر قراجه داغ به تاریخ شعبان ۱۲۹۴ نوشته ولی با خط زیبای متن هیچ نوع هم  آهنگی ندارد؛ کاغذ ،فرنگی ،جلد: چرمی سرخ، ۱۵۵گ، ۱۴ سـطر،اندازه: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۱ - ۵۷]</w:t>
      </w:r>
    </w:p>
    <w:p>
      <w:pPr>
        <w:pStyle w:val="BookText"/>
      </w:pPr>
      <w:r>
        <w:rPr>
          <w:rFonts w:ascii="IRNazanin" w:hAnsi="IRNazanin" w:eastAsia="IRNazanin" w:cs="IRNazanin"/>
          <w:lang w:bidi="fa-IR"/>
          <w:color w:val="111111"/>
          <w:sz w:val="28"/>
          <w:szCs w:val="28"/>
          <w:rtl/>
        </w:rPr>
        <w:t xml:space="preserve">۵. مشهد؛ رضوی؛ شماره نسخه ۵۷۸۲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نستعلیق،کا: محمد  عراقی، تا: ۱۲۹۷ق، جا: کمره [الفبائی:48]</w:t>
      </w:r>
    </w:p>
    <w:p>
      <w:pPr>
        <w:pStyle w:val="BookText"/>
      </w:pPr>
      <w:r>
        <w:rPr>
          <w:rFonts w:ascii="IRNazanin" w:hAnsi="IRNazanin" w:eastAsia="IRNazanin" w:cs="IRNazanin"/>
          <w:lang w:bidi="fa-IR"/>
          <w:color w:val="111111"/>
          <w:sz w:val="28"/>
          <w:szCs w:val="28"/>
          <w:rtl/>
        </w:rPr>
        <w:t xml:space="preserve">۶. تهران؛ مجلس؛ شماره نسخه: ۶۳۱۴/۲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علی اکبر، تا: ۱۲۹۸ق؛ دارای حواشی نادر میرزا؛ کاغذ: فرنگی (سفید و آبی) ،جلد: تیماج قرمز، ۵۲۸ ص (93-620)  ، قطع: رحلی، اندازه: ۲۰/۵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۳۳سم [ف: ۱۹ - ۳۰۱]</w:t>
      </w:r>
    </w:p>
    <w:p>
      <w:pPr>
        <w:pStyle w:val="BookText"/>
      </w:pPr>
      <w:r>
        <w:rPr>
          <w:rFonts w:ascii="IRNazanin" w:hAnsi="IRNazanin" w:eastAsia="IRNazanin" w:cs="IRNazanin"/>
          <w:lang w:bidi="fa-IR"/>
          <w:color w:val="111111"/>
          <w:sz w:val="28"/>
          <w:szCs w:val="28"/>
          <w:rtl/>
        </w:rPr>
        <w:t xml:space="preserve">7.تهران؛ مجلس؛ شماره نسخه: ۶۶۷۱/۲</w:t>
      </w:r>
    </w:p>
    <w:p>
      <w:pPr>
        <w:pStyle w:val="BookText"/>
      </w:pPr>
      <w:r>
        <w:rPr>
          <w:rFonts w:ascii="IRNazanin" w:hAnsi="IRNazanin" w:eastAsia="IRNazanin" w:cs="IRNazanin"/>
          <w:lang w:bidi="fa-IR"/>
          <w:color w:val="111111"/>
          <w:sz w:val="28"/>
          <w:szCs w:val="28"/>
          <w:rtl/>
        </w:rPr>
        <w:t xml:space="preserve">خط: نستعلیق، بی کا، تا: یک شنبه ۲۰ شعبان ۱۳۰۶ق؛ جلد: تیماج قهوه ای، ۲۱۱گ (۷۱پ - ۲۸۱ر)، ۱۷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  سم[ف: ۲۰ - ۱۹۴]</w:t>
      </w:r>
    </w:p>
    <w:p>
      <w:pPr>
        <w:pStyle w:val="Heading3"/>
      </w:pPr>
      <w:bookmarkStart w:id="1461" w:name="_Toc983"/>
      <w:r>
        <w:t>اسرار الوجود فى معرفة المعبود / کلام و اعتقادات /  فارسی</w:t>
      </w:r>
      <w:bookmarkEnd w:id="1461"/>
    </w:p>
    <w:p>
      <w:pPr>
        <w:pStyle w:val="BookText"/>
      </w:pPr>
      <w:r>
        <w:rPr>
          <w:rFonts w:ascii="Times New Roman" w:hAnsi="Times New Roman" w:eastAsia="Times New Roman" w:cs="Times New Roman"/>
          <w:lang w:val="en-US" w:bidi="en-US"/>
          <w:color w:val="111111"/>
          <w:sz w:val="28"/>
          <w:szCs w:val="28"/>
          <w:rtl/>
        </w:rPr>
        <w:t xml:space="preserve">asrār-ol-vojūd fī ma‘refat-el-ma‘būd</w:t>
      </w:r>
    </w:p>
    <w:p>
      <w:pPr>
        <w:pStyle w:val="BookText"/>
      </w:pPr>
      <w:r>
        <w:rPr>
          <w:rFonts w:ascii="IRNazanin" w:hAnsi="IRNazanin" w:eastAsia="IRNazanin" w:cs="IRNazanin"/>
          <w:lang w:bidi="fa-IR"/>
          <w:color w:val="111111"/>
          <w:sz w:val="28"/>
          <w:szCs w:val="28"/>
          <w:rtl/>
        </w:rPr>
        <w:t xml:space="preserve">در مسأله وجود و شناسایی حق با اخبار چندی در اثبات حق  و اطاعت از او سپس به رسول و آل او می پردازد و سخن از اهل بیت نبی می گوید و پس از آن به شهادت امام حسین و آداب مرثیه خوانی پرداخته و در آخر از دیباچه مرحوم میرزا رضـی چند سطری درباره تنزیه و تقدیس حضرت باری می آورد.</w:t>
      </w:r>
    </w:p>
    <w:p>
      <w:pPr>
        <w:pStyle w:val="BookText"/>
      </w:pPr>
      <w:r>
        <w:rPr>
          <w:rFonts w:ascii="IRNazanin" w:hAnsi="IRNazanin" w:eastAsia="IRNazanin" w:cs="IRNazanin"/>
          <w:lang w:bidi="fa-IR"/>
          <w:color w:val="111111"/>
          <w:sz w:val="28"/>
          <w:szCs w:val="28"/>
          <w:rtl/>
        </w:rPr>
        <w:t xml:space="preserve">تهران؛ ملی؛ شماره نسخه: ۲۲۲۲/۸</w:t>
      </w:r>
    </w:p>
    <w:p>
      <w:pPr>
        <w:pStyle w:val="BookText"/>
      </w:pPr>
      <w:r>
        <w:rPr>
          <w:rFonts w:ascii="IRNazanin" w:hAnsi="IRNazanin" w:eastAsia="IRNazanin" w:cs="IRNazanin"/>
          <w:lang w:bidi="fa-IR"/>
          <w:color w:val="111111"/>
          <w:sz w:val="28"/>
          <w:szCs w:val="28"/>
          <w:rtl/>
        </w:rPr>
        <w:t xml:space="preserve">آغاز: بسمله، حمد بیحد و ثنای بی عد خالقی را سزد که از تجـلی پرتو جمال باکمال؛ انجام: حقیر هم بیش ازین در وسعم نیسـت الحاصل لا طريق الى القرب الابشرع الشريف</w:t>
      </w:r>
    </w:p>
    <w:p>
      <w:pPr>
        <w:pStyle w:val="BookText"/>
      </w:pPr>
      <w:r>
        <w:rPr>
          <w:rFonts w:ascii="IRNazanin" w:hAnsi="IRNazanin" w:eastAsia="IRNazanin" w:cs="IRNazanin"/>
          <w:lang w:bidi="fa-IR"/>
          <w:color w:val="111111"/>
          <w:sz w:val="28"/>
          <w:szCs w:val="28"/>
          <w:rtl/>
        </w:rPr>
        <w:t xml:space="preserve">خط: شکسته نستعلیق ،خوش، بی کا، تا: قرن ۱۳؛ کاغذ: فرنگی   (الوان)، جلد: تیماج قرمز یک  لا، ۷۴ ص (۶۸۱ - ۷۵۴)، ۱۵ سطر(۱۳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۶۵سم [ف: ۵ - ۳۳۰]</w:t>
      </w:r>
    </w:p>
    <w:p>
      <w:pPr>
        <w:pStyle w:val="Heading3"/>
      </w:pPr>
      <w:bookmarkStart w:id="1462" w:name="_Toc984"/>
      <w:r>
        <w:t>اسرار الوحى / عرفان و تصوف، شرح حدیث / فارسی</w:t>
      </w:r>
      <w:bookmarkEnd w:id="1462"/>
    </w:p>
    <w:p>
      <w:pPr>
        <w:pStyle w:val="BookText"/>
      </w:pPr>
      <w:r>
        <w:rPr>
          <w:rFonts w:ascii="Times New Roman" w:hAnsi="Times New Roman" w:eastAsia="Times New Roman" w:cs="Times New Roman"/>
          <w:lang w:val="en-US" w:bidi="en-US"/>
          <w:color w:val="111111"/>
          <w:sz w:val="28"/>
          <w:szCs w:val="28"/>
          <w:rtl/>
        </w:rPr>
        <w:t xml:space="preserve">asrār-ul-waḥy</w:t>
      </w:r>
    </w:p>
    <w:p>
      <w:pPr>
        <w:pStyle w:val="BookText"/>
      </w:pPr>
      <w:r>
        <w:rPr>
          <w:rFonts w:ascii="IRNazanin" w:hAnsi="IRNazanin" w:eastAsia="IRNazanin" w:cs="IRNazanin"/>
          <w:lang w:bidi="fa-IR"/>
          <w:color w:val="111111"/>
          <w:sz w:val="28"/>
          <w:szCs w:val="28"/>
          <w:rtl/>
        </w:rPr>
        <w:t xml:space="preserve">؟ همدانی، علی بن  محمد، ۷۱۴ - ۷۸۶ قمری</w:t>
      </w:r>
    </w:p>
    <w:p>
      <w:pPr>
        <w:pStyle w:val="BookText"/>
      </w:pPr>
      <w:r>
        <w:rPr>
          <w:rFonts w:ascii="Times New Roman" w:hAnsi="Times New Roman" w:eastAsia="Times New Roman" w:cs="Times New Roman"/>
          <w:lang w:val="en-US" w:bidi="en-US"/>
          <w:color w:val="111111"/>
          <w:sz w:val="28"/>
          <w:szCs w:val="28"/>
          <w:rtl/>
        </w:rPr>
        <w:t xml:space="preserve">(hamadānī, ‘alī ebn-e mohammad (1315 - 1385)</w:t>
      </w:r>
    </w:p>
    <w:p>
      <w:pPr>
        <w:pStyle w:val="BookText"/>
      </w:pPr>
      <w:r>
        <w:rPr>
          <w:rFonts w:ascii="IRNazanin" w:hAnsi="IRNazanin" w:eastAsia="IRNazanin" w:cs="IRNazanin"/>
          <w:lang w:bidi="fa-IR"/>
          <w:color w:val="111111"/>
          <w:sz w:val="28"/>
          <w:szCs w:val="28"/>
          <w:rtl/>
        </w:rPr>
        <w:t xml:space="preserve">گزارشی عرفانی است به نثر و نظم بر حدیث قدسی با عناوین «یا احمد» که خداوند متعال به حضرت پیامبر اکرم (صلّی اللَّهِ علیه وَ آلِهِ وَ سَلَّمَ ) در شب معراج خطاب کرده است. در این گزارش داستان ها و گفته هایی از بزرگان صوفیه نیز نقل می شود. نام نویسنده در رساله نیامده است و انتساب آن به سید علی همدانی (-۷۸۶ق) و عزیز نسفی (-۶۴۹ق) قائل  دارد. سید محمود انواری معتقد است: «سبک نگارش آن با نوشته های همدانی یکسان نیست و در انتساب آن به وی تردید داریم مگر اینکه خیال کنیم این رساله تنها برای اظهار و اثبات تشیع خود نگاشته است». دکتر ریاض در احوال و آثارهمدانی آن را ضمن کتاب هایی که نادرست به همدانی نسبت داده اند آورده و می گوید بهتر همین است که از نسفی  باشد. دکتر نجیب مایل هروی مصرانه از همدانی دانسته و او را دارای دو هویت عرفانی می داند و می گوید قبل از اینکه پیرو عرفان ابن عربی باشد دارای عرفانی ما بین مسجد و خانقاه بود و زبان نوشتاری روان و مردم فهم داشت و در ضمن از اشعار عطار نیشابوری بسیار استفاده می کرد و حتی به تلخیص اشعار او پرداخت این دو ویژگی در متن «اسرار الوحى» محسوس است.</w:t>
      </w:r>
    </w:p>
    <w:p>
      <w:pPr>
        <w:pStyle w:val="BookText"/>
      </w:pPr>
      <w:r>
        <w:rPr>
          <w:rFonts w:ascii="IRNazanin" w:hAnsi="IRNazanin" w:eastAsia="IRNazanin" w:cs="IRNazanin"/>
          <w:lang w:bidi="fa-IR"/>
          <w:color w:val="111111"/>
          <w:sz w:val="28"/>
          <w:szCs w:val="28"/>
          <w:rtl/>
        </w:rPr>
        <w:t xml:space="preserve">در حالی که عرفان عزیز نسفی خانقاهی مطلق است و تکیه کلامش «ای عزیز» می باشد در صورتی که این لفظ ابداً در این رساله به کار نرفته است و نوع نگارش آن مربوط به قرن هشتم و نهم است نه هفتم پس باید از همدانی باشد نه نسفی .</w:t>
      </w:r>
    </w:p>
    <w:p>
      <w:pPr>
        <w:pStyle w:val="BookText"/>
      </w:pPr>
      <w:r>
        <w:rPr>
          <w:rFonts w:ascii="IRNazanin" w:hAnsi="IRNazanin" w:eastAsia="IRNazanin" w:cs="IRNazanin"/>
          <w:lang w:bidi="fa-IR"/>
          <w:color w:val="111111"/>
          <w:sz w:val="28"/>
          <w:szCs w:val="28"/>
          <w:rtl/>
        </w:rPr>
        <w:t xml:space="preserve">آغاز: بسمله، عن جعفر بن محمد الصادق، عن ابيه محمد الباقر، عن ابيه ... روایت می کند آن مفخر سادات و منبع سعادات، دریای نبوت ثمره شجره فتوت قدوه اهل حقایق بر اقران خود سابق امام جعفر صادق ... این بیان اسراریست که در شب اسرا صدر انبیاء... يا احمد وجبت محبتى للمتجانس في و وجبت محبتى للمتواصلين فى و وجبت محبتي للمتقاطعين</w:t>
      </w:r>
    </w:p>
    <w:p>
      <w:pPr>
        <w:pStyle w:val="BookText"/>
      </w:pPr>
      <w:r>
        <w:rPr>
          <w:rFonts w:ascii="IRNazanin" w:hAnsi="IRNazanin" w:eastAsia="IRNazanin" w:cs="IRNazanin"/>
          <w:lang w:bidi="fa-IR"/>
          <w:color w:val="111111"/>
          <w:sz w:val="28"/>
          <w:szCs w:val="28"/>
          <w:rtl/>
        </w:rPr>
        <w:t xml:space="preserve">انجام: استوار داشت وعده حق بهر چیزی و بی نیاز بودن بحق از هر چیزی و باز داشتن بحق در هر چیزی و الحمد لله شكرا و الصلوة والسلام على سيد الوری و اولاده و احفاده و ذریاته و ازواجه و آله و اصحابه ائمة الهدى و ازنة التقى و اهل الرضا.</w:t>
      </w:r>
    </w:p>
    <w:p>
      <w:pPr>
        <w:pStyle w:val="BookText"/>
      </w:pPr>
      <w:r>
        <w:rPr>
          <w:rFonts w:ascii="IRNazanin" w:hAnsi="IRNazanin" w:eastAsia="IRNazanin" w:cs="IRNazanin"/>
          <w:lang w:bidi="fa-IR"/>
          <w:color w:val="111111"/>
          <w:sz w:val="28"/>
          <w:szCs w:val="28"/>
          <w:rtl/>
        </w:rPr>
        <w:t xml:space="preserve">چاپ: در مجموعه نسخه های خطی فارسی (مشهد آستان قدس رضوی)، دفتر پنجم، ص ۵ - ۵۵</w:t>
      </w:r>
    </w:p>
    <w:p>
      <w:pPr>
        <w:pStyle w:val="BookText"/>
      </w:pPr>
      <w:r>
        <w:rPr>
          <w:rFonts w:ascii="IRNazanin" w:hAnsi="IRNazanin" w:eastAsia="IRNazanin" w:cs="IRNazanin"/>
          <w:lang w:bidi="fa-IR"/>
          <w:color w:val="111111"/>
          <w:sz w:val="28"/>
          <w:szCs w:val="28"/>
          <w:rtl/>
        </w:rPr>
        <w:t xml:space="preserve">[فهرستواره منزوی ۸۷۴/۷ نسخه؛ نسخه های منزوی ۱۰۳۰/۲ نشانی ۴ نسخه که بیشتر آنها از نسفی دانسته شده مشترک پاکستان ۱۲۶۲/۳: نشانی ۲ نسخه  دیگر؛ نشریه دانشکده ادبیات آذر پادگان ،گفتار انواری، ش ۱۲۳ ص ۳۳۰]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279" w:name="pg20365_260394"/>
    <w:bookmarkEnd w:id="279"/>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ملک؛ شماره نسخه: ۴۲۵۰/۷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ابوذر بن عبدالله  سبزواری، تا: ۹۰۷ق ؛جا: مشـهد خراسان؛ کاغذ: نوعی  ترمه ،جلد: رویه میشن سیاه  ضربی، ۳۷گ، (۱۴ پ-۵۰ر)، ۲۱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۲۴/۸سم [ف: ۷ - ۲۹۵]</w:t>
      </w:r>
    </w:p>
    <w:p>
      <w:pPr>
        <w:pStyle w:val="BookText"/>
      </w:pPr>
      <w:r>
        <w:rPr>
          <w:rFonts w:ascii="IRNazanin" w:hAnsi="IRNazanin" w:eastAsia="IRNazanin" w:cs="IRNazanin"/>
          <w:lang w:bidi="fa-IR"/>
          <w:color w:val="111111"/>
          <w:sz w:val="28"/>
          <w:szCs w:val="28"/>
          <w:rtl/>
        </w:rPr>
        <w:t xml:space="preserve">۲. فردوس؛ مدرسه حبیبیه؛ شماره نسخه: ۲۰/۱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نستعليق، كا: معين بن رفيع الدين منشی شیرازی ادهمی،تا: ۹۰۹ق، جا: دارالسلطنه تبریز؛ جلد: تیماج مشکی مجدول گرهی، ۲۶گ (۲ پ-۲۷ر)،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w:t>
      </w:r>
    </w:p>
    <w:p>
      <w:pPr>
        <w:pStyle w:val="BookText"/>
      </w:pPr>
      <w:r>
        <w:rPr>
          <w:rFonts w:ascii="IRNazanin" w:hAnsi="IRNazanin" w:eastAsia="IRNazanin" w:cs="IRNazanin"/>
          <w:lang w:bidi="fa-IR"/>
          <w:color w:val="111111"/>
          <w:sz w:val="28"/>
          <w:szCs w:val="28"/>
          <w:rtl/>
        </w:rPr>
        <w:t xml:space="preserve">3.تهران؛ دانشگاه؛ شماره نسخه: ۲۳۹۸/۱</w:t>
      </w:r>
    </w:p>
    <w:p>
      <w:pPr>
        <w:pStyle w:val="BookText"/>
      </w:pPr>
      <w:r>
        <w:rPr>
          <w:rFonts w:ascii="Amiri" w:hAnsi="Amiri" w:eastAsia="Amiri" w:cs="Amiri"/>
          <w:lang w:bidi="ar-SA"/>
          <w:color w:val="111111"/>
          <w:sz w:val="28"/>
          <w:szCs w:val="28"/>
          <w:rtl/>
        </w:rPr>
        <w:t xml:space="preserve">آغاز و انجام: برابر ؛ انجامه: تم كتاب اسرار الوحى على يد... معين بن رفيع الدين المنشى الشيرازى الادهمى ... بدار السلـطنة تبريز فى سنة تسع و تسعمائة ... صلوات عليه و آله</w:t>
      </w:r>
    </w:p>
    <w:p>
      <w:pPr>
        <w:pStyle w:val="BookText"/>
      </w:pPr>
      <w:r>
        <w:rPr>
          <w:rFonts w:ascii="IRNazanin" w:hAnsi="IRNazanin" w:eastAsia="IRNazanin" w:cs="IRNazanin"/>
          <w:lang w:bidi="fa-IR"/>
          <w:color w:val="111111"/>
          <w:sz w:val="28"/>
          <w:szCs w:val="28"/>
          <w:rtl/>
        </w:rPr>
        <w:t xml:space="preserve">خط: نسخ و نستعلیق، کا: معین بن رفيع الدين منشى شيرازی ،ادهنی، تا: ۹۰۹ ق ؛جا: دارالسلطنه ،تبریز، در زمان گوشه گیری در تبریز؛ کاغذ ،سپاهانی ،جلد:تیماج مشکی ضربی درون سـرخ زرکوب، ۶۰ ص (۱-۶۰)، ۲۰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 اندازه: ۱۶/۵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  سم[ف: ۹ - ۹۹۹]</w:t>
      </w:r>
    </w:p>
    <w:p>
      <w:pPr>
        <w:pStyle w:val="BookText"/>
      </w:pPr>
      <w:r>
        <w:rPr>
          <w:rFonts w:ascii="IRNazanin" w:hAnsi="IRNazanin" w:eastAsia="IRNazanin" w:cs="IRNazanin"/>
          <w:lang w:bidi="fa-IR"/>
          <w:color w:val="111111"/>
          <w:sz w:val="28"/>
          <w:szCs w:val="28"/>
          <w:rtl/>
        </w:rPr>
        <w:t xml:space="preserve">۴. تهران؛ ملک؛ شماره نسخه: ۴۳۷۹/۱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کا: محمد تقی بن حسین خاتون آبادی  اصفهانی، تا: ۱۰۵۶ ق؛کاغذ ،ترمه، جلد: ساغری سیاه  ضربی، ۶۴گ( ۲ پ-۶۵ر)، متن  ،اندازه: ۲۱/۱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۳۵/۲سم [ف : ۷ - ۳۶۵]</w:t>
      </w:r>
    </w:p>
    <w:p>
      <w:pPr>
        <w:pStyle w:val="BookText"/>
      </w:pPr>
      <w:r>
        <w:rPr>
          <w:rFonts w:ascii="IRNazanin" w:hAnsi="IRNazanin" w:eastAsia="IRNazanin" w:cs="IRNazanin"/>
          <w:lang w:bidi="fa-IR"/>
          <w:color w:val="111111"/>
          <w:sz w:val="28"/>
          <w:szCs w:val="28"/>
          <w:rtl/>
        </w:rPr>
        <w:t xml:space="preserve">۵. تهران؛ ملک؛ شماره نسخه: ۴۲۷۵/۲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نستعليق، كا: محمد سعيد بن محمد تقی خاتون آبادی،۱۰۸۱ق؛ با یک سرلوح و دو پیشانی، جدول و کمند به زر؛ کاغذ: نوعی  ترمه، جلد: رویه روغنی گل و بوته زمینه قهوه ای، ۱۹ سطر،اندازه: ۱۶/۸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۲۴/۷سم [ف: ۷ - ۳۲۱]</w:t>
      </w:r>
    </w:p>
    <w:p>
      <w:pPr>
        <w:pStyle w:val="BookText"/>
      </w:pPr>
      <w:r>
        <w:rPr>
          <w:rFonts w:ascii="IRNazanin" w:hAnsi="IRNazanin" w:eastAsia="IRNazanin" w:cs="IRNazanin"/>
          <w:lang w:bidi="fa-IR"/>
          <w:color w:val="111111"/>
          <w:sz w:val="28"/>
          <w:szCs w:val="28"/>
          <w:rtl/>
        </w:rPr>
        <w:t xml:space="preserve">۶. مشهد؛ گوهر شاد؛ شماره نسخه: ۲۱۸۸/۴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خوش ،کا: معزالدین محمد بن سلطان محمد قاری نیریزی، تا: ۱۰۸۵ق؛ صفحه اول ديوان الحسین (علیه السّلام) ، دارای سرلوح مزدوج مذهب مرصع،   دارای  کتیبه، مجدول، مذهب؛ واقف: محمد حسام واعظی، ۱۳۹۷؛ کاغذ: نخودی آهار مهره، جـلد: بیرون تیماج ساده و درون تیماج عنابی مزین به شاخه های  گل زرین، ۲۴ سطر، اندازه: ۲۷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۵ - ۵۵۳]</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تهران؛ دانشگاه؛ شماره نسخه: ۷۹۰۲/۱</w:t>
      </w:r>
    </w:p>
    <w:p>
      <w:pPr>
        <w:pStyle w:val="BookText"/>
      </w:pPr>
      <w:r>
        <w:rPr>
          <w:rFonts w:ascii="IRNazanin" w:hAnsi="IRNazanin" w:eastAsia="IRNazanin" w:cs="IRNazanin"/>
          <w:lang w:bidi="fa-IR"/>
          <w:color w:val="111111"/>
          <w:sz w:val="28"/>
          <w:szCs w:val="28"/>
          <w:rtl/>
        </w:rPr>
        <w:t xml:space="preserve">آغاز: برابر؛ انجام: بر یاد جلال حق اگر بنده شوی *** جز حق همه خلق را فراموش کنی</w:t>
      </w:r>
    </w:p>
    <w:p>
      <w:pPr>
        <w:pStyle w:val="BookText"/>
      </w:pPr>
      <w:r>
        <w:rPr>
          <w:rFonts w:ascii="IRNazanin" w:hAnsi="IRNazanin" w:eastAsia="IRNazanin" w:cs="IRNazanin"/>
          <w:lang w:bidi="fa-IR"/>
          <w:color w:val="111111"/>
          <w:sz w:val="28"/>
          <w:szCs w:val="28"/>
          <w:rtl/>
        </w:rPr>
        <w:t xml:space="preserve">خط: نستعلیق، کا: محمد فاضل روضه ای، تا: ۱۰۹۷ق؛ کا: سپاهانی ،جلد: تیماج تریاکی ضربی مقوایی با پوشه مخمل،  ۶۰گ (۱پ-۶۰ر)، ۱۲ سطر (۶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اندازه: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16- 728]</w:t>
      </w:r>
    </w:p>
    <w:p>
      <w:pPr>
        <w:pStyle w:val="BookText"/>
      </w:pPr>
      <w:r>
        <w:rPr>
          <w:rFonts w:ascii="IRNazanin" w:hAnsi="IRNazanin" w:eastAsia="IRNazanin" w:cs="IRNazanin"/>
          <w:lang w:bidi="fa-IR"/>
          <w:color w:val="111111"/>
          <w:sz w:val="28"/>
          <w:szCs w:val="28"/>
          <w:rtl/>
        </w:rPr>
        <w:t xml:space="preserve">۸. تهران؛ دائرة المعارف؛ شماره نسخه: ۲۱۰/۱-عکسی</w:t>
      </w:r>
    </w:p>
    <w:p>
      <w:pPr>
        <w:pStyle w:val="BookText"/>
      </w:pPr>
      <w:r>
        <w:rPr>
          <w:rFonts w:ascii="IRNazanin" w:hAnsi="IRNazanin" w:eastAsia="IRNazanin" w:cs="IRNazanin"/>
          <w:lang w:bidi="fa-IR"/>
          <w:color w:val="111111"/>
          <w:sz w:val="28"/>
          <w:szCs w:val="28"/>
          <w:rtl/>
        </w:rPr>
        <w:t xml:space="preserve">آغاز: رساله اسرار وی که جناب زبدة العارفین امیر سید علی همدانی (ق) نوشته اند؛ انجام: برابر</w:t>
      </w:r>
    </w:p>
    <w:p>
      <w:pPr>
        <w:pStyle w:val="BookText"/>
      </w:pPr>
      <w:r>
        <w:rPr>
          <w:rFonts w:ascii="IRNazanin" w:hAnsi="IRNazanin" w:eastAsia="IRNazanin" w:cs="IRNazanin"/>
          <w:lang w:bidi="fa-IR"/>
          <w:color w:val="111111"/>
          <w:sz w:val="28"/>
          <w:szCs w:val="28"/>
          <w:rtl/>
        </w:rPr>
        <w:t xml:space="preserve">اصل نسخه: گنج بخش، ش ۵۴۱۷ (گنج ۶۵۸/۲)؛ خط: نستعلیق  پخته، بی کا، تا: قرن ۱۲؛ ۱۱۳ص( ۲-۱۱۴) [ف: ۲ - ۲۲]</w:t>
      </w:r>
    </w:p>
    <w:p>
      <w:pPr>
        <w:pStyle w:val="BookText"/>
      </w:pPr>
      <w:r>
        <w:rPr>
          <w:rFonts w:ascii="IRNazanin" w:hAnsi="IRNazanin" w:eastAsia="IRNazanin" w:cs="IRNazanin"/>
          <w:lang w:bidi="fa-IR"/>
          <w:color w:val="111111"/>
          <w:sz w:val="28"/>
          <w:szCs w:val="28"/>
          <w:rtl/>
        </w:rPr>
        <w:t xml:space="preserve">۹. قم؛ مرعشی؛ شماره نسخه: ۷۷۲۴/۲۵</w:t>
      </w:r>
    </w:p>
    <w:p>
      <w:pPr>
        <w:pStyle w:val="BookText"/>
      </w:pPr>
      <w:r>
        <w:rPr>
          <w:rFonts w:ascii="IRNazanin" w:hAnsi="IRNazanin" w:eastAsia="IRNazanin" w:cs="IRNazanin"/>
          <w:lang w:bidi="fa-IR"/>
          <w:color w:val="111111"/>
          <w:sz w:val="28"/>
          <w:szCs w:val="28"/>
          <w:rtl/>
        </w:rPr>
        <w:t xml:space="preserve">آغاز: برابر؛ انجام: اولیا سه خصلت است استوار داشت وعده حق بهر چیزی و بی نیازی.</w:t>
      </w:r>
    </w:p>
    <w:p>
      <w:pPr>
        <w:pStyle w:val="BookText"/>
      </w:pPr>
      <w:r>
        <w:rPr>
          <w:rFonts w:ascii="IRNazanin" w:hAnsi="IRNazanin" w:eastAsia="IRNazanin" w:cs="IRNazanin"/>
          <w:lang w:bidi="fa-IR"/>
          <w:color w:val="111111"/>
          <w:sz w:val="28"/>
          <w:szCs w:val="28"/>
          <w:rtl/>
        </w:rPr>
        <w:t xml:space="preserve">بی کا، تا: ۱۲۸۶ق؛ افتادگی: انجام ؛جلد: تیماج مشکی بدون مقوا، ۲۳گ (۲۶۷پ-۲۴۵ر)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۳۲سم [ف : ۲۰ - ۱۱۹]</w:t>
      </w:r>
    </w:p>
    <w:p>
      <w:pPr>
        <w:pStyle w:val="BookText"/>
      </w:pPr>
      <w:r>
        <w:rPr>
          <w:rFonts w:ascii="IRNazanin" w:hAnsi="IRNazanin" w:eastAsia="IRNazanin" w:cs="IRNazanin"/>
          <w:lang w:bidi="fa-IR"/>
          <w:color w:val="111111"/>
          <w:sz w:val="28"/>
          <w:szCs w:val="28"/>
          <w:rtl/>
        </w:rPr>
        <w:t xml:space="preserve">۱۰. یزد؛ وزیری؛ شماره نسخه: ۲۴۱۲/۴</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در فهرست بدون نام مؤلف؛ بی کا، بی تا؛ کاغذ: سمرقندی، جلد: تیماج تریاکی، ۶گ (۲۱-۲۶)، اندازه: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۱۸/۵سم [ف: ۴-۱۲۸۵]</w:t>
      </w:r>
    </w:p>
    <w:p>
      <w:pPr>
        <w:pStyle w:val="BookText"/>
      </w:pPr>
      <w:r>
        <w:rPr>
          <w:rFonts w:ascii="IRNazanin" w:hAnsi="IRNazanin" w:eastAsia="IRNazanin" w:cs="IRNazanin"/>
          <w:lang w:bidi="fa-IR"/>
          <w:color w:val="111111"/>
          <w:sz w:val="28"/>
          <w:szCs w:val="28"/>
          <w:rtl/>
        </w:rPr>
        <w:t xml:space="preserve">۱۱. تهران؛ مجلس؛ شماره نسخه: ۷۶۶۲/۳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بی  کا، بی تا ؛جلد: تیماج قهوه ای، ۶۳ ص (۴۸-۱۱۰)، اندازه:۱۵/۵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۲۶ - ۱۵۷]</w:t>
      </w:r>
    </w:p>
    <w:p>
      <w:pPr>
        <w:pStyle w:val="BookText"/>
      </w:pPr>
      <w:r>
        <w:rPr>
          <w:rFonts w:ascii="IRNazanin" w:hAnsi="IRNazanin" w:eastAsia="IRNazanin" w:cs="IRNazanin"/>
          <w:lang w:bidi="fa-IR"/>
          <w:color w:val="111111"/>
          <w:sz w:val="28"/>
          <w:szCs w:val="28"/>
          <w:rtl/>
        </w:rPr>
        <w:t xml:space="preserve">۱۲. قم؛ معصومیه؛ شماره نسخه: ۲۶۸/۲</w:t>
      </w:r>
    </w:p>
    <w:p>
      <w:pPr>
        <w:pStyle w:val="BookText"/>
      </w:pPr>
      <w:r>
        <w:rPr>
          <w:rFonts w:ascii="IRNazanin" w:hAnsi="IRNazanin" w:eastAsia="IRNazanin" w:cs="IRNazanin"/>
          <w:lang w:bidi="fa-IR"/>
          <w:color w:val="111111"/>
          <w:sz w:val="28"/>
          <w:szCs w:val="28"/>
          <w:rtl/>
        </w:rPr>
        <w:t xml:space="preserve">آغاز: سپاس و ستایش بخشنده وجود و زیبنده سجود را که به انوار فیض خویش اسرار وحی بر دل انبیا مکشوف گردانید؛</w:t>
      </w:r>
    </w:p>
    <w:p>
      <w:pPr>
        <w:pStyle w:val="BookText"/>
      </w:pPr>
      <w:r>
        <w:rPr>
          <w:rFonts w:ascii="IRNazanin" w:hAnsi="IRNazanin" w:eastAsia="IRNazanin" w:cs="IRNazanin"/>
          <w:lang w:bidi="fa-IR"/>
          <w:color w:val="111111"/>
          <w:sz w:val="28"/>
          <w:szCs w:val="28"/>
          <w:rtl/>
        </w:rPr>
        <w:t xml:space="preserve">انجام: و دل او تاریک گردانم تا فراموش کند، و حلاوت محبت  خویش ویرا نچشانم و برتست سلام و رحمت من .</w:t>
      </w:r>
    </w:p>
    <w:p>
      <w:pPr>
        <w:pStyle w:val="BookText"/>
      </w:pPr>
      <w:r>
        <w:rPr>
          <w:rFonts w:ascii="IRNazanin" w:hAnsi="IRNazanin" w:eastAsia="IRNazanin" w:cs="IRNazanin"/>
          <w:lang w:bidi="fa-IR"/>
          <w:color w:val="111111"/>
          <w:sz w:val="28"/>
          <w:szCs w:val="28"/>
          <w:rtl/>
        </w:rPr>
        <w:t xml:space="preserve">پرسش هایی را که پیامبر (صلّی اللَّهِ علیه وَ آلِهِ وَ سَلَّمَ ) - شب معراج – از حق تعالی نمود و جواب آنها را با عناوین «یا احمد - يا احمد» آورده و ترجمه نموده است؛ خط: نسخ و نستعلیق، بی کا، بی تا؛ مجدول؛ جلد: تیماج مشکی بی  مقوا، ۲۸گ (24پ-۶۱ر)،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۱۸/۵سم  [ ف: ۱ - ۲۶۴]</w:t>
      </w:r>
    </w:p>
    <w:p>
      <w:pPr>
        <w:pStyle w:val="Heading3"/>
      </w:pPr>
      <w:bookmarkStart w:id="1463" w:name="_Toc985"/>
      <w:r>
        <w:t>اسرار الوحى / عرفان و تصوف / عربی</w:t>
      </w:r>
      <w:bookmarkEnd w:id="1463"/>
    </w:p>
    <w:p>
      <w:pPr>
        <w:pStyle w:val="BookText"/>
      </w:pPr>
      <w:r>
        <w:rPr>
          <w:rFonts w:ascii="Times New Roman" w:hAnsi="Times New Roman" w:eastAsia="Times New Roman" w:cs="Times New Roman"/>
          <w:lang w:val="en-US" w:bidi="en-US"/>
          <w:color w:val="111111"/>
          <w:sz w:val="28"/>
          <w:szCs w:val="28"/>
          <w:rtl/>
        </w:rPr>
        <w:t xml:space="preserve">asrār-ul-waḥy</w:t>
      </w:r>
    </w:p>
    <w:p>
      <w:pPr>
        <w:pStyle w:val="BookText"/>
      </w:pPr>
      <w:r>
        <w:rPr>
          <w:rFonts w:ascii="IRNazanin" w:hAnsi="IRNazanin" w:eastAsia="IRNazanin" w:cs="IRNazanin"/>
          <w:lang w:bidi="fa-IR"/>
          <w:color w:val="111111"/>
          <w:sz w:val="28"/>
          <w:szCs w:val="28"/>
          <w:rtl/>
        </w:rPr>
        <w:t xml:space="preserve">بلخی، عثمان بن محمد</w:t>
      </w:r>
    </w:p>
    <w:p>
      <w:pPr>
        <w:pStyle w:val="BookText"/>
      </w:pPr>
      <w:r>
        <w:rPr>
          <w:rFonts w:ascii="Times New Roman" w:hAnsi="Times New Roman" w:eastAsia="Times New Roman" w:cs="Times New Roman"/>
          <w:lang w:val="en-US" w:bidi="en-US"/>
          <w:color w:val="111111"/>
          <w:sz w:val="28"/>
          <w:szCs w:val="28"/>
          <w:rtl/>
        </w:rPr>
        <w:t xml:space="preserve">balxi, oʻsmān ebn-e mohammad</w:t>
      </w:r>
    </w:p>
    <w:p>
      <w:pPr>
        <w:pStyle w:val="BookText"/>
      </w:pPr>
      <w:r>
        <w:rPr>
          <w:rFonts w:ascii="IRNazanin" w:hAnsi="IRNazanin" w:eastAsia="IRNazanin" w:cs="IRNazanin"/>
          <w:lang w:bidi="fa-IR"/>
          <w:color w:val="111111"/>
          <w:sz w:val="28"/>
          <w:szCs w:val="28"/>
          <w:rtl/>
        </w:rPr>
        <w:t xml:space="preserve">تهران؛ دانشگاه؛ شماره نسخه: ۶۴۳/۷-ف</w:t>
      </w:r>
    </w:p>
    <w:p>
      <w:pPr>
        <w:pStyle w:val="BookText"/>
      </w:pPr>
      <w:r>
        <w:rPr>
          <w:rFonts w:ascii="IRNazanin" w:hAnsi="IRNazanin" w:eastAsia="IRNazanin" w:cs="IRNazanin"/>
          <w:lang w:bidi="fa-IR"/>
          <w:color w:val="111111"/>
          <w:sz w:val="28"/>
          <w:szCs w:val="28"/>
          <w:rtl/>
        </w:rPr>
        <w:t xml:space="preserve">نسخه اصل: بغداد لی وهبیش ۲۰۲۳؛ خط: نستعلیق، بی کا، بی تا، 6گ (۶۱ر-۶۶ پ) [فیلم ها -ف: ۱ - ۵۱۷]</w:t>
      </w:r>
    </w:p>
    <w:p>
      <w:pPr>
        <w:pStyle w:val="BookText"/>
      </w:pPr>
      <w:r>
        <w:rPr>
          <w:rFonts w:ascii="IRNazanin" w:hAnsi="IRNazanin" w:eastAsia="IRNazanin" w:cs="IRNazanin"/>
          <w:lang w:bidi="fa-IR"/>
          <w:color w:val="111111"/>
          <w:sz w:val="28"/>
          <w:szCs w:val="28"/>
          <w:rtl/>
        </w:rPr>
        <w:t xml:space="preserve">«اسرار وحی ربانی » اسرار الوحى</w:t>
      </w:r>
    </w:p>
    <w:p>
      <w:pPr>
        <w:pStyle w:val="Heading3"/>
      </w:pPr>
      <w:bookmarkStart w:id="1464" w:name="_Toc986"/>
      <w:r>
        <w:t>اسرار و خواص حروف و اسماء و اشیاء / علوم غریبه /  عربی</w:t>
      </w:r>
      <w:bookmarkEnd w:id="1464"/>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280" w:name="pg20365_260395"/>
    <w:bookmarkEnd w:id="280"/>
    <w:p>
      <w:pPr>
        <w:pStyle w:val="BookText"/>
      </w:pPr>
      <w:r>
        <w:rPr>
          <w:rFonts w:ascii="Times New Roman" w:hAnsi="Times New Roman" w:eastAsia="Times New Roman" w:cs="Times New Roman"/>
          <w:lang w:val="en-US" w:bidi="en-US"/>
          <w:color w:val="111111"/>
          <w:sz w:val="28"/>
          <w:szCs w:val="28"/>
          <w:rtl/>
        </w:rPr>
        <w:t xml:space="preserve">asrār va xavass-e horūf va asmā’ va ašyā’</w:t>
      </w:r>
    </w:p>
    <w:p>
      <w:pPr>
        <w:pStyle w:val="BookText"/>
      </w:pPr>
      <w:r>
        <w:rPr>
          <w:rFonts w:ascii="IRNazanin" w:hAnsi="IRNazanin" w:eastAsia="IRNazanin" w:cs="IRNazanin"/>
          <w:lang w:bidi="fa-IR"/>
          <w:color w:val="111111"/>
          <w:sz w:val="28"/>
          <w:szCs w:val="28"/>
          <w:rtl/>
        </w:rPr>
        <w:t xml:space="preserve">در چند «باب»: ۱. اسرار و خواص حروف؛ ۲. خواص اسماء الحسنى؛3 . خواص بعضی آیات قرآنی؛ ۴. استخراج جواهر معان فضه و ذهب؛ ۵. حکمت و خواص نباتات و اشجار و . ..دارای جدول های مختلف.</w:t>
      </w:r>
    </w:p>
    <w:p>
      <w:pPr>
        <w:pStyle w:val="BookText"/>
      </w:pPr>
      <w:r>
        <w:rPr>
          <w:rFonts w:ascii="IRNazanin" w:hAnsi="IRNazanin" w:eastAsia="IRNazanin" w:cs="IRNazanin"/>
          <w:lang w:bidi="fa-IR"/>
          <w:color w:val="111111"/>
          <w:sz w:val="28"/>
          <w:szCs w:val="28"/>
          <w:rtl/>
        </w:rPr>
        <w:t xml:space="preserve">قم؛ مرکز مطالعات؛ شماره نسخه: ۷۷۲</w:t>
      </w:r>
    </w:p>
    <w:p>
      <w:pPr>
        <w:pStyle w:val="BookText"/>
      </w:pPr>
      <w:r>
        <w:rPr>
          <w:rFonts w:ascii="IRNazanin" w:hAnsi="IRNazanin" w:eastAsia="IRNazanin" w:cs="IRNazanin"/>
          <w:lang w:bidi="fa-IR"/>
          <w:color w:val="111111"/>
          <w:sz w:val="28"/>
          <w:szCs w:val="28"/>
          <w:rtl/>
        </w:rPr>
        <w:t xml:space="preserve">آغاز: ط </w:t>
      </w:r>
      <w:r>
        <w:rPr>
          <w:rFonts w:ascii="Times New Roman" w:hAnsi="Times New Roman" w:eastAsia="Times New Roman" w:cs="Times New Roman"/>
          <w:lang w:val="en-US" w:bidi="en-US"/>
          <w:color w:val="111111"/>
          <w:sz w:val="28"/>
          <w:szCs w:val="28"/>
          <w:rtl/>
        </w:rPr>
        <w:t xml:space="preserve">P </w:t>
      </w:r>
      <w:r>
        <w:rPr>
          <w:rFonts w:ascii="Amiri" w:hAnsi="Amiri" w:eastAsia="Amiri" w:cs="Amiri"/>
          <w:lang w:bidi="ar-SA"/>
          <w:color w:val="111111"/>
          <w:sz w:val="28"/>
          <w:szCs w:val="28"/>
          <w:rtl/>
        </w:rPr>
        <w:t xml:space="preserve">ط من كتبه في كاغذ ازرق بمداد احمر مائة الف مرة و القمر بمنزلة الطرفه</w:t>
      </w:r>
    </w:p>
    <w:p>
      <w:pPr>
        <w:pStyle w:val="BookText"/>
      </w:pPr>
      <w:r>
        <w:rPr>
          <w:rFonts w:ascii="IRNazanin" w:hAnsi="IRNazanin" w:eastAsia="IRNazanin" w:cs="IRNazanin"/>
          <w:lang w:bidi="fa-IR"/>
          <w:color w:val="111111"/>
          <w:sz w:val="28"/>
          <w:szCs w:val="28"/>
          <w:rtl/>
        </w:rPr>
        <w:t xml:space="preserve">خط: نستعلیق، بی کا، بی تا؛ افتادگی: آغاز و انجام؛ جلد: فاقد جـلد، ۹۲گ، ۱۷ سطر،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۲ - ۵۰]</w:t>
      </w:r>
    </w:p>
    <w:p>
      <w:pPr>
        <w:pStyle w:val="Heading3"/>
      </w:pPr>
      <w:bookmarkStart w:id="1465" w:name="_Toc987"/>
      <w:r>
        <w:t>اسرار و فلسفه نماز / فلسفه احکام / فارسی</w:t>
      </w:r>
      <w:bookmarkEnd w:id="1465"/>
    </w:p>
    <w:p>
      <w:pPr>
        <w:pStyle w:val="BookText"/>
      </w:pPr>
      <w:r>
        <w:rPr>
          <w:rFonts w:ascii="Times New Roman" w:hAnsi="Times New Roman" w:eastAsia="Times New Roman" w:cs="Times New Roman"/>
          <w:lang w:val="en-US" w:bidi="en-US"/>
          <w:color w:val="111111"/>
          <w:sz w:val="28"/>
          <w:szCs w:val="28"/>
          <w:rtl/>
        </w:rPr>
        <w:t xml:space="preserve">asrār va falsafe-ye namāz</w:t>
      </w:r>
    </w:p>
    <w:p>
      <w:pPr>
        <w:pStyle w:val="BookText"/>
      </w:pPr>
      <w:r>
        <w:rPr>
          <w:rFonts w:ascii="IRNazanin" w:hAnsi="IRNazanin" w:eastAsia="IRNazanin" w:cs="IRNazanin"/>
          <w:lang w:bidi="fa-IR"/>
          <w:color w:val="111111"/>
          <w:sz w:val="28"/>
          <w:szCs w:val="28"/>
          <w:rtl/>
        </w:rPr>
        <w:t xml:space="preserve">حسینی  علوی، محمد بن احمد، ق ۱۱ قمری</w:t>
      </w:r>
    </w:p>
    <w:p>
      <w:pPr>
        <w:pStyle w:val="BookText"/>
      </w:pPr>
      <w:r>
        <w:rPr>
          <w:rFonts w:ascii="Times New Roman" w:hAnsi="Times New Roman" w:eastAsia="Times New Roman" w:cs="Times New Roman"/>
          <w:lang w:val="en-US" w:bidi="en-US"/>
          <w:color w:val="111111"/>
          <w:sz w:val="28"/>
          <w:szCs w:val="28"/>
          <w:rtl/>
        </w:rPr>
        <w:t xml:space="preserve">(hoseynī a‘lavī, mohammad ebn-e ahmad (- 17c</w:t>
      </w:r>
    </w:p>
    <w:p>
      <w:pPr>
        <w:pStyle w:val="BookText"/>
      </w:pPr>
      <w:r>
        <w:rPr>
          <w:rFonts w:ascii="Amiri" w:hAnsi="Amiri" w:eastAsia="Amiri" w:cs="Amiri"/>
          <w:lang w:bidi="ar-SA"/>
          <w:color w:val="111111"/>
          <w:sz w:val="28"/>
          <w:szCs w:val="28"/>
          <w:rtl/>
        </w:rPr>
        <w:t xml:space="preserve">اصفهان؛ مكتبة الزهراء؛ شماره نسخه: ۲۲/۳</w:t>
      </w:r>
    </w:p>
    <w:p>
      <w:pPr>
        <w:pStyle w:val="BookText"/>
      </w:pPr>
      <w:r>
        <w:rPr>
          <w:rFonts w:ascii="IRNazanin" w:hAnsi="IRNazanin" w:eastAsia="IRNazanin" w:cs="IRNazanin"/>
          <w:lang w:bidi="fa-IR"/>
          <w:color w:val="111111"/>
          <w:sz w:val="28"/>
          <w:szCs w:val="28"/>
          <w:rtl/>
        </w:rPr>
        <w:t xml:space="preserve">آغاز: بعد از حمد و ستایش پروردگاری که اقبال بالکلیه بـوی موجب خلاصی از الام است و اشتغال نفس بطاعتش سبب رهـائی از رهائی از نیران و صلاة بر مبین طاعات و رابط سالکان؛ انجـام: و أكل مال اليتيم ظلماً و قذف المحصنة إذا ما اتفق املاؤه علی العجلة من وصف دين الأمانة وسائلى شرح ذلك و تفسیره سهل الله عز وجل لى العود من مقصدى إلى نيشابور إن شاء الله.</w:t>
      </w:r>
    </w:p>
    <w:p>
      <w:pPr>
        <w:pStyle w:val="BookText"/>
      </w:pPr>
      <w:r>
        <w:rPr>
          <w:rFonts w:ascii="IRNazanin" w:hAnsi="IRNazanin" w:eastAsia="IRNazanin" w:cs="IRNazanin"/>
          <w:lang w:bidi="fa-IR"/>
          <w:color w:val="111111"/>
          <w:sz w:val="28"/>
          <w:szCs w:val="28"/>
          <w:rtl/>
        </w:rPr>
        <w:t xml:space="preserve">كاتب - مؤلف، تا: ۲۷ رمضان ۷۸ [اگر کاتب مؤلف باشـد، ۱۰۷۸]؛ ۳۳ ص( ۳۴۷-۳۷۹)، ۲۴ 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28[</w:t>
      </w:r>
    </w:p>
    <w:p>
      <w:pPr>
        <w:pStyle w:val="Heading3"/>
      </w:pPr>
      <w:bookmarkStart w:id="1466" w:name="_Toc988"/>
      <w:r>
        <w:t>اسرار الولایه / شعر / فارسی</w:t>
      </w:r>
      <w:bookmarkEnd w:id="1466"/>
    </w:p>
    <w:p>
      <w:pPr>
        <w:pStyle w:val="BookText"/>
      </w:pPr>
      <w:r>
        <w:rPr>
          <w:rFonts w:ascii="Times New Roman" w:hAnsi="Times New Roman" w:eastAsia="Times New Roman" w:cs="Times New Roman"/>
          <w:lang w:val="en-US" w:bidi="en-US"/>
          <w:color w:val="111111"/>
          <w:sz w:val="28"/>
          <w:szCs w:val="28"/>
          <w:rtl/>
        </w:rPr>
        <w:t xml:space="preserve">asrār-ol velāya</w:t>
      </w:r>
    </w:p>
    <w:p>
      <w:pPr>
        <w:pStyle w:val="BookText"/>
      </w:pPr>
      <w:r>
        <w:rPr>
          <w:rFonts w:ascii="IRNazanin" w:hAnsi="IRNazanin" w:eastAsia="IRNazanin" w:cs="IRNazanin"/>
          <w:lang w:bidi="fa-IR"/>
          <w:color w:val="111111"/>
          <w:sz w:val="28"/>
          <w:szCs w:val="28"/>
          <w:rtl/>
        </w:rPr>
        <w:t xml:space="preserve">؟ میرزا بابا  شیرازی، ابوالقاسم بن عبد النبى، 1212؟-1286 قمری</w:t>
      </w:r>
    </w:p>
    <w:p>
      <w:pPr>
        <w:pStyle w:val="BookText"/>
      </w:pPr>
      <w:r>
        <w:rPr>
          <w:rFonts w:ascii="Times New Roman" w:hAnsi="Times New Roman" w:eastAsia="Times New Roman" w:cs="Times New Roman"/>
          <w:lang w:val="en-US" w:bidi="en-US"/>
          <w:color w:val="111111"/>
          <w:sz w:val="28"/>
          <w:szCs w:val="28"/>
          <w:rtl/>
        </w:rPr>
        <w:t xml:space="preserve">(1870 -1798)mīrzā bābā šīrāzī, ab-ol-qāsem ebn-e ‘abd-on-nabī</w:t>
      </w:r>
    </w:p>
    <w:p>
      <w:pPr>
        <w:pStyle w:val="BookText"/>
      </w:pPr>
      <w:r>
        <w:rPr>
          <w:rFonts w:ascii="IRNazanin" w:hAnsi="IRNazanin" w:eastAsia="IRNazanin" w:cs="IRNazanin"/>
          <w:lang w:bidi="fa-IR"/>
          <w:color w:val="111111"/>
          <w:sz w:val="28"/>
          <w:szCs w:val="28"/>
          <w:rtl/>
        </w:rPr>
        <w:t xml:space="preserve">تاریخ تالیف: ۱۲۶۰ق؛ محل تأليف: هرات</w:t>
      </w:r>
    </w:p>
    <w:p>
      <w:pPr>
        <w:pStyle w:val="BookText"/>
      </w:pPr>
      <w:r>
        <w:rPr>
          <w:rFonts w:ascii="IRNazanin" w:hAnsi="IRNazanin" w:eastAsia="IRNazanin" w:cs="IRNazanin"/>
          <w:lang w:bidi="fa-IR"/>
          <w:color w:val="111111"/>
          <w:sz w:val="28"/>
          <w:szCs w:val="28"/>
          <w:rtl/>
        </w:rPr>
        <w:t xml:space="preserve">مثنوی است عرفانی و در انتها آمیخته به نثر. در آغاز از حدیث ما الحقيقه سخن گفته و سپس در سلوک و دیگر سخنان عرفا،آنگاه سر ولایت علی و غزوات او در بیشتر منابع این رساله ناشناس  آمده و فقط در نسخه شاهچراغ آن را از میرزا بابا شیرازی دانسته است.</w:t>
      </w:r>
    </w:p>
    <w:p>
      <w:pPr>
        <w:pStyle w:val="BookText"/>
      </w:pPr>
      <w:r>
        <w:rPr>
          <w:rFonts w:ascii="IRNazanin" w:hAnsi="IRNazanin" w:eastAsia="IRNazanin" w:cs="IRNazanin"/>
          <w:lang w:bidi="fa-IR"/>
          <w:color w:val="111111"/>
          <w:sz w:val="28"/>
          <w:szCs w:val="28"/>
          <w:rtl/>
        </w:rPr>
        <w:t xml:space="preserve">آغاز: این شنیدستی که شه مولی علی*** سر خود با چه بگفـت  از پر دلی / آمد از چه نی برون و آه گفت *** سر حق را ازدم  الله گفت</w:t>
      </w:r>
    </w:p>
    <w:p>
      <w:pPr>
        <w:pStyle w:val="BookText"/>
      </w:pPr>
      <w:r>
        <w:rPr>
          <w:rFonts w:ascii="IRNazanin" w:hAnsi="IRNazanin" w:eastAsia="IRNazanin" w:cs="IRNazanin"/>
          <w:lang w:bidi="fa-IR"/>
          <w:color w:val="111111"/>
          <w:sz w:val="28"/>
          <w:szCs w:val="28"/>
          <w:rtl/>
        </w:rPr>
        <w:t xml:space="preserve">انجام: محبت جو محبت جو محبت*** که یابی از محبت بس فتوت</w:t>
      </w:r>
    </w:p>
    <w:p>
      <w:pPr>
        <w:pStyle w:val="BookText"/>
      </w:pPr>
      <w:r>
        <w:rPr>
          <w:rFonts w:ascii="IRNazanin" w:hAnsi="IRNazanin" w:eastAsia="IRNazanin" w:cs="IRNazanin"/>
          <w:lang w:bidi="fa-IR"/>
          <w:color w:val="111111"/>
          <w:sz w:val="28"/>
          <w:szCs w:val="28"/>
          <w:rtl/>
        </w:rPr>
        <w:t xml:space="preserve">چاپ: تبریز  ، ۱۳۲۳  خ، ،سنگی ۵۱۲ص؛ بی ناشر، بدون تاریخ،  خشتی، ۴۳۹ ص( صص ۱-۴۳۹) در متن و هامش</w:t>
      </w:r>
    </w:p>
    <w:p>
      <w:pPr>
        <w:pStyle w:val="BookText"/>
      </w:pPr>
      <w:r>
        <w:rPr>
          <w:rFonts w:ascii="IRNazanin" w:hAnsi="IRNazanin" w:eastAsia="IRNazanin" w:cs="IRNazanin"/>
          <w:lang w:bidi="fa-IR"/>
          <w:color w:val="111111"/>
          <w:sz w:val="28"/>
          <w:szCs w:val="28"/>
          <w:rtl/>
        </w:rPr>
        <w:t xml:space="preserve">[فهرستواره منزوی ۱۵۱/۱۰؛ دنا ۷۹۵/۱۰؛ مشار فارسی ۱: ۳۰۲]</w:t>
      </w:r>
    </w:p>
    <w:p>
      <w:pPr>
        <w:pStyle w:val="BookText"/>
      </w:pPr>
      <w:r>
        <w:rPr>
          <w:rFonts w:ascii="IRNazanin" w:hAnsi="IRNazanin" w:eastAsia="IRNazanin" w:cs="IRNazanin"/>
          <w:lang w:bidi="fa-IR"/>
          <w:color w:val="111111"/>
          <w:sz w:val="28"/>
          <w:szCs w:val="28"/>
          <w:rtl/>
        </w:rPr>
        <w:t xml:space="preserve">۱. تهران؛ ملک؛ شماره نسخه: ۴۸۵۸/۱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در فهرست ناشناس، نام مؤلف به استناد نسخه شاهچراغ تعیین شد؛ خط: نسخ و نستعلیق، کا: آمحیی، تا: ۲۷ ربیع الثانی ۱۳۰۴ق؛ کاغذ: فرنگی فلفل  نمکی ،جلد: میشن قهوه ای مجدول، اندازه:  ۱۳/۶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۲۱/۳سم :[ف ۸ - ۱۰۹]</w:t>
      </w:r>
    </w:p>
    <w:p>
      <w:pPr>
        <w:pStyle w:val="BookText"/>
      </w:pPr>
      <w:r>
        <w:rPr>
          <w:rFonts w:ascii="IRNazanin" w:hAnsi="IRNazanin" w:eastAsia="IRNazanin" w:cs="IRNazanin"/>
          <w:lang w:bidi="fa-IR"/>
          <w:color w:val="111111"/>
          <w:sz w:val="28"/>
          <w:szCs w:val="28"/>
          <w:rtl/>
        </w:rPr>
        <w:t xml:space="preserve">۲. مشهد؛ رضوی؛ شماره نسخه: ۹۴۲۱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۱۳۱۰ق [رایانه]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دانشگاه؛ شماره نسخه: ۳۷۰۱/۱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در فهرست ناشناس نام مؤلف به استناد نسخه شاهچراغ تعیین شد؛</w:t>
      </w:r>
    </w:p>
    <w:p>
      <w:pPr>
        <w:pStyle w:val="BookText"/>
      </w:pPr>
      <w:r>
        <w:rPr>
          <w:rFonts w:ascii="IRNazanin" w:hAnsi="IRNazanin" w:eastAsia="IRNazanin" w:cs="IRNazanin"/>
          <w:lang w:bidi="fa-IR"/>
          <w:color w:val="111111"/>
          <w:sz w:val="28"/>
          <w:szCs w:val="28"/>
          <w:rtl/>
        </w:rPr>
        <w:t xml:space="preserve">خط: نستعلیق، بی کا، بی تا؛ کاغذ: فرنگی، جلد: تیماج تریاکی ضربی ،مقوایی، ۳۱۶گ،( ۲ پ-۳۱۷پ)، ۱۴ سطر (9</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۱۲ - ۲۷۰۵]</w:t>
      </w:r>
    </w:p>
    <w:p>
      <w:pPr>
        <w:pStyle w:val="BookText"/>
      </w:pPr>
      <w:r>
        <w:rPr>
          <w:rFonts w:ascii="IRNazanin" w:hAnsi="IRNazanin" w:eastAsia="IRNazanin" w:cs="IRNazanin"/>
          <w:lang w:bidi="fa-IR"/>
          <w:color w:val="111111"/>
          <w:sz w:val="28"/>
          <w:szCs w:val="28"/>
          <w:rtl/>
        </w:rPr>
        <w:t xml:space="preserve">۴. شیراز ؛شاهچراغ؛ شماره نسخه: ۶۲۹/۱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مجدول؛ کاغذ: نخودی، جلد: مقوا با تیماج سرخ، ۲۵۲گ، ۵۰۰ ص، ابعاد متن: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۲ - ۳۲۰]</w:t>
      </w:r>
    </w:p>
    <w:p>
      <w:pPr>
        <w:pStyle w:val="Heading3"/>
      </w:pPr>
      <w:bookmarkStart w:id="1467" w:name="_Toc989"/>
      <w:r>
        <w:t>اسرار الولاية / كلام و اعتقادات / فارسی</w:t>
      </w:r>
      <w:bookmarkEnd w:id="1467"/>
    </w:p>
    <w:p>
      <w:pPr>
        <w:pStyle w:val="BookText"/>
      </w:pPr>
      <w:r>
        <w:rPr>
          <w:rFonts w:ascii="Times New Roman" w:hAnsi="Times New Roman" w:eastAsia="Times New Roman" w:cs="Times New Roman"/>
          <w:lang w:val="en-US" w:bidi="en-US"/>
          <w:color w:val="111111"/>
          <w:sz w:val="28"/>
          <w:szCs w:val="28"/>
          <w:rtl/>
        </w:rPr>
        <w:t xml:space="preserve">asrār-ol velāya</w:t>
      </w:r>
    </w:p>
    <w:p>
      <w:pPr>
        <w:pStyle w:val="BookText"/>
      </w:pPr>
      <w:r>
        <w:rPr>
          <w:rFonts w:ascii="IRNazanin" w:hAnsi="IRNazanin" w:eastAsia="IRNazanin" w:cs="IRNazanin"/>
          <w:lang w:bidi="fa-IR"/>
          <w:color w:val="111111"/>
          <w:sz w:val="28"/>
          <w:szCs w:val="28"/>
          <w:rtl/>
        </w:rPr>
        <w:t xml:space="preserve">بهبهانی، عبدالله بن محمد، - ۱۳۲۵ قمری</w:t>
      </w:r>
    </w:p>
    <w:p>
      <w:pPr>
        <w:pStyle w:val="BookText"/>
      </w:pPr>
      <w:r>
        <w:rPr>
          <w:rFonts w:ascii="Times New Roman" w:hAnsi="Times New Roman" w:eastAsia="Times New Roman" w:cs="Times New Roman"/>
          <w:lang w:val="en-US" w:bidi="en-US"/>
          <w:color w:val="111111"/>
          <w:sz w:val="28"/>
          <w:szCs w:val="28"/>
          <w:rtl/>
        </w:rPr>
        <w:t xml:space="preserve">(behbahani, abd-ol-lah ebn-e- mohammad (1907)</w:t>
      </w:r>
    </w:p>
    <w:p>
      <w:pPr>
        <w:pStyle w:val="BookText"/>
      </w:pPr>
      <w:r>
        <w:rPr>
          <w:rFonts w:ascii="IRNazanin" w:hAnsi="IRNazanin" w:eastAsia="IRNazanin" w:cs="IRNazanin"/>
          <w:lang w:bidi="fa-IR"/>
          <w:color w:val="111111"/>
          <w:sz w:val="28"/>
          <w:szCs w:val="28"/>
          <w:rtl/>
        </w:rPr>
        <w:t xml:space="preserve">از مؤلف سؤال می شود که طبق دستور روایت شده، احادیثی که مخالف قرآن است باید به دیوار  کوبید، روایت هایی داریم که ظاهر آنها با ظاهر قرآن سازگار نیست تکلیف ما نسبت به اینها چیست؟ در این پاسخ مراتب ولایت ائمه (علیهم السّلام) چنانچه در آیات و روایات آمده  است، تکرار می شود و می خواهد آنها را به معنی درستی توجیه کند.</w:t>
      </w:r>
    </w:p>
    <w:p>
      <w:pPr>
        <w:pStyle w:val="BookText"/>
      </w:pPr>
      <w:r>
        <w:rPr>
          <w:rFonts w:ascii="IRNazanin" w:hAnsi="IRNazanin" w:eastAsia="IRNazanin" w:cs="IRNazanin"/>
          <w:lang w:bidi="fa-IR"/>
          <w:color w:val="111111"/>
          <w:sz w:val="28"/>
          <w:szCs w:val="28"/>
          <w:rtl/>
        </w:rPr>
        <w:t xml:space="preserve">آغاز: الحمد لله رب العالمين العالمین ... یکی از اخلاء عظام و اجلاء فخام  و فضلاء گرام از این حقیر فقیر ایراد فرمود</w:t>
      </w:r>
    </w:p>
    <w:p>
      <w:pPr>
        <w:pStyle w:val="BookText"/>
      </w:pPr>
      <w:r>
        <w:rPr>
          <w:rFonts w:ascii="IRNazanin" w:hAnsi="IRNazanin" w:eastAsia="IRNazanin" w:cs="IRNazanin"/>
          <w:lang w:bidi="fa-IR"/>
          <w:color w:val="111111"/>
          <w:sz w:val="28"/>
          <w:szCs w:val="28"/>
          <w:rtl/>
        </w:rPr>
        <w:t xml:space="preserve">[فهرستواره منزوی (۸۹/۹]</w:t>
      </w:r>
    </w:p>
    <w:p>
      <w:pPr>
        <w:pStyle w:val="BookText"/>
      </w:pPr>
      <w:r>
        <w:rPr>
          <w:rFonts w:ascii="IRNazanin" w:hAnsi="IRNazanin" w:eastAsia="IRNazanin" w:cs="IRNazanin"/>
          <w:lang w:bidi="fa-IR"/>
          <w:color w:val="111111"/>
          <w:sz w:val="28"/>
          <w:szCs w:val="28"/>
          <w:rtl/>
        </w:rPr>
        <w:t xml:space="preserve">قم؛ مرکز احیاء؛ شماره نسخه: ۱۳۵۸/۲</w:t>
      </w:r>
    </w:p>
    <w:p>
      <w:pPr>
        <w:pStyle w:val="BookText"/>
      </w:pPr>
      <w:r>
        <w:rPr>
          <w:rFonts w:ascii="IRNazanin" w:hAnsi="IRNazanin" w:eastAsia="IRNazanin" w:cs="IRNazanin"/>
          <w:lang w:bidi="fa-IR"/>
          <w:color w:val="111111"/>
          <w:sz w:val="28"/>
          <w:szCs w:val="28"/>
          <w:rtl/>
        </w:rPr>
        <w:t xml:space="preserve">آغاز: برابر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281" w:name="pg20365_260396"/>
    <w:bookmarkEnd w:id="281"/>
    <w:p>
      <w:pPr>
        <w:pStyle w:val="BookText"/>
      </w:pPr>
      <w:r>
        <w:rPr>
          <w:rFonts w:ascii="IRNazanin" w:hAnsi="IRNazanin" w:eastAsia="IRNazanin" w:cs="IRNazanin"/>
          <w:lang w:bidi="fa-IR"/>
          <w:color w:val="111111"/>
          <w:sz w:val="28"/>
          <w:szCs w:val="28"/>
          <w:rtl/>
        </w:rPr>
        <w:t xml:space="preserve">خط: نسخ و نستعلیق، کاتب - مؤلف، بی تا؛ پیش نویس وی است  و خط خوردگی و اضافه دارد؛ جلد: تیماج مقوایی، ۱۴۷  گ (49ر-195پ) ،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۴ - ۱۸۴]</w:t>
      </w:r>
    </w:p>
    <w:p>
      <w:pPr>
        <w:pStyle w:val="Heading3"/>
      </w:pPr>
      <w:bookmarkStart w:id="1468" w:name="_Toc990"/>
      <w:r>
        <w:t>اسرار ولایت / عرفان و تصوف / فارسی</w:t>
      </w:r>
      <w:bookmarkEnd w:id="1468"/>
    </w:p>
    <w:p>
      <w:pPr>
        <w:pStyle w:val="BookText"/>
      </w:pPr>
      <w:r>
        <w:rPr>
          <w:rFonts w:ascii="Times New Roman" w:hAnsi="Times New Roman" w:eastAsia="Times New Roman" w:cs="Times New Roman"/>
          <w:lang w:val="en-US" w:bidi="en-US"/>
          <w:color w:val="111111"/>
          <w:sz w:val="28"/>
          <w:szCs w:val="28"/>
          <w:rtl/>
        </w:rPr>
        <w:t xml:space="preserve">asrār-e velāyat</w:t>
      </w:r>
    </w:p>
    <w:p>
      <w:pPr>
        <w:pStyle w:val="BookText"/>
      </w:pPr>
      <w:r>
        <w:rPr>
          <w:rFonts w:ascii="IRNazanin" w:hAnsi="IRNazanin" w:eastAsia="IRNazanin" w:cs="IRNazanin"/>
          <w:lang w:bidi="fa-IR"/>
          <w:color w:val="111111"/>
          <w:sz w:val="28"/>
          <w:szCs w:val="28"/>
          <w:rtl/>
        </w:rPr>
        <w:t xml:space="preserve">على بن علی اصغر</w:t>
      </w:r>
    </w:p>
    <w:p>
      <w:pPr>
        <w:pStyle w:val="BookText"/>
      </w:pPr>
      <w:r>
        <w:rPr>
          <w:rFonts w:ascii="Times New Roman" w:hAnsi="Times New Roman" w:eastAsia="Times New Roman" w:cs="Times New Roman"/>
          <w:lang w:val="en-US" w:bidi="en-US"/>
          <w:color w:val="111111"/>
          <w:sz w:val="28"/>
          <w:szCs w:val="28"/>
          <w:rtl/>
        </w:rPr>
        <w:t xml:space="preserve">alī ebn-e ‘alī asqar</w:t>
      </w:r>
    </w:p>
    <w:p>
      <w:pPr>
        <w:pStyle w:val="BookText"/>
      </w:pPr>
      <w:r>
        <w:rPr>
          <w:rFonts w:ascii="IRNazanin" w:hAnsi="IRNazanin" w:eastAsia="IRNazanin" w:cs="IRNazanin"/>
          <w:lang w:bidi="fa-IR"/>
          <w:color w:val="111111"/>
          <w:sz w:val="28"/>
          <w:szCs w:val="28"/>
          <w:rtl/>
        </w:rPr>
        <w:t xml:space="preserve">گفتاری است  عرفانی، نگارنده پس از نوشتن مقدمه ای، از خود و سبب نگارش رساله سخن می گوید .</w:t>
      </w:r>
    </w:p>
    <w:p>
      <w:pPr>
        <w:pStyle w:val="BookText"/>
      </w:pPr>
      <w:r>
        <w:rPr>
          <w:rFonts w:ascii="IRNazanin" w:hAnsi="IRNazanin" w:eastAsia="IRNazanin" w:cs="IRNazanin"/>
          <w:lang w:bidi="fa-IR"/>
          <w:color w:val="111111"/>
          <w:sz w:val="28"/>
          <w:szCs w:val="28"/>
          <w:rtl/>
        </w:rPr>
        <w:t xml:space="preserve">آغاز: بسمله لالی حمد و ثنا سزاوار خالق یکتاییست و گوهر شکر و سپاس بر آن داور لایقاس (در صفحه دوازدهم) اما بعد چنین گوید حقى فقير ... على بن علی اصغر که شبی با دوسـتان راستان هم داستان</w:t>
      </w:r>
    </w:p>
    <w:p>
      <w:pPr>
        <w:pStyle w:val="BookText"/>
      </w:pPr>
      <w:r>
        <w:rPr>
          <w:rFonts w:ascii="IRNazanin" w:hAnsi="IRNazanin" w:eastAsia="IRNazanin" w:cs="IRNazanin"/>
          <w:lang w:bidi="fa-IR"/>
          <w:color w:val="111111"/>
          <w:sz w:val="28"/>
          <w:szCs w:val="28"/>
          <w:rtl/>
        </w:rPr>
        <w:t xml:space="preserve">انجام: و نبوت خاصه تعلق به پیغمبر ما دارد هیچکس را در نصیبی ندارد و علاوه از این ولایت مطلقه دارد که عبارت روح الله باشد</w:t>
      </w:r>
    </w:p>
    <w:p>
      <w:pPr>
        <w:pStyle w:val="BookText"/>
      </w:pPr>
      <w:r>
        <w:rPr>
          <w:rFonts w:ascii="IRNazanin" w:hAnsi="IRNazanin" w:eastAsia="IRNazanin" w:cs="IRNazanin"/>
          <w:lang w:bidi="fa-IR"/>
          <w:color w:val="111111"/>
          <w:sz w:val="28"/>
          <w:szCs w:val="28"/>
          <w:rtl/>
        </w:rPr>
        <w:t xml:space="preserve">[دنا ۷۹۵/۱؛ فهرستواره منزوی ۷۵/۷ ]</w:t>
      </w:r>
    </w:p>
    <w:p>
      <w:pPr>
        <w:pStyle w:val="BookText"/>
      </w:pPr>
      <w:r>
        <w:rPr>
          <w:rFonts w:ascii="IRNazanin" w:hAnsi="IRNazanin" w:eastAsia="IRNazanin" w:cs="IRNazanin"/>
          <w:lang w:bidi="fa-IR"/>
          <w:color w:val="111111"/>
          <w:sz w:val="28"/>
          <w:szCs w:val="28"/>
          <w:rtl/>
        </w:rPr>
        <w:t xml:space="preserve">تهران؛ مجلس؛ شماره نسخه: ۵۱۵۹/۲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شکسته نستعلیق، بی کا، بی تا؛ ۱۴گ (۱۱پ-۲۴پ)، 15سطر (8</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ف: ۱۵-۲۴۱]</w:t>
      </w:r>
    </w:p>
    <w:p>
      <w:pPr>
        <w:pStyle w:val="Heading3"/>
      </w:pPr>
      <w:bookmarkStart w:id="1469" w:name="_Toc991"/>
      <w:r>
        <w:t>اسرار الهداية / تاريخ / فارسی</w:t>
      </w:r>
      <w:bookmarkEnd w:id="1469"/>
    </w:p>
    <w:p>
      <w:pPr>
        <w:pStyle w:val="BookText"/>
      </w:pPr>
      <w:r>
        <w:rPr>
          <w:rFonts w:ascii="Times New Roman" w:hAnsi="Times New Roman" w:eastAsia="Times New Roman" w:cs="Times New Roman"/>
          <w:lang w:val="en-US" w:bidi="en-US"/>
          <w:color w:val="111111"/>
          <w:sz w:val="28"/>
          <w:szCs w:val="28"/>
          <w:rtl/>
        </w:rPr>
        <w:t xml:space="preserve">asrār-ol hedāya</w:t>
      </w:r>
    </w:p>
    <w:p>
      <w:pPr>
        <w:pStyle w:val="BookText"/>
      </w:pPr>
      <w:r>
        <w:rPr>
          <w:rFonts w:ascii="IRNazanin" w:hAnsi="IRNazanin" w:eastAsia="IRNazanin" w:cs="IRNazanin"/>
          <w:lang w:bidi="fa-IR"/>
          <w:color w:val="111111"/>
          <w:sz w:val="28"/>
          <w:szCs w:val="28"/>
          <w:rtl/>
        </w:rPr>
        <w:t xml:space="preserve">در علائم ظهور حضرت حجة بن الحسن (علیه السّلام) و وقایعی که از ظهور به وقوع پیوندد و با عناوین «هدايه – هدايه». نام رساله در پایان آمده است.</w:t>
      </w:r>
    </w:p>
    <w:p>
      <w:pPr>
        <w:pStyle w:val="BookText"/>
      </w:pPr>
      <w:r>
        <w:rPr>
          <w:rFonts w:ascii="IRNazanin" w:hAnsi="IRNazanin" w:eastAsia="IRNazanin" w:cs="IRNazanin"/>
          <w:lang w:bidi="fa-IR"/>
          <w:color w:val="111111"/>
          <w:sz w:val="28"/>
          <w:szCs w:val="28"/>
          <w:rtl/>
        </w:rPr>
        <w:t xml:space="preserve">قم؛ مرکز احیاء؛ شماره نسخه: ۴۳۹۶</w:t>
      </w:r>
    </w:p>
    <w:p>
      <w:pPr>
        <w:pStyle w:val="BookText"/>
      </w:pPr>
      <w:r>
        <w:rPr>
          <w:rFonts w:ascii="IRNazanin" w:hAnsi="IRNazanin" w:eastAsia="IRNazanin" w:cs="IRNazanin"/>
          <w:lang w:bidi="fa-IR"/>
          <w:color w:val="111111"/>
          <w:sz w:val="28"/>
          <w:szCs w:val="28"/>
          <w:rtl/>
        </w:rPr>
        <w:t xml:space="preserve">آغاز: در ذکر علامات قائم علیه سلام الله الملك الدائم روايتست بسند صحیح  که روزی امام المتقين و يعسوب الدين وامیر المومنين عليه سلام الله الملك المبین؛ انجام: پس قصه را به هـشام عرض و اعلام کردیم فرمود که چاه را باز به همان خاک که از و بیرون آمده بود پر نمایند</w:t>
      </w:r>
    </w:p>
    <w:p>
      <w:pPr>
        <w:pStyle w:val="BookText"/>
      </w:pPr>
      <w:r>
        <w:rPr>
          <w:rFonts w:ascii="IRNazanin" w:hAnsi="IRNazanin" w:eastAsia="IRNazanin" w:cs="IRNazanin"/>
          <w:lang w:bidi="fa-IR"/>
          <w:color w:val="111111"/>
          <w:sz w:val="28"/>
          <w:szCs w:val="28"/>
          <w:rtl/>
        </w:rPr>
        <w:t xml:space="preserve">خط: نستعلیق، بی کا ،تا: شعبان ۱۲۳۵ق؛ مهر: «عبده محمد علـی» ((مربع)؛ جلد: تیماج زرشکی بدون مقوا، ۶۳گ، ۱۰ 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w:t>
      </w:r>
    </w:p>
    <w:p>
      <w:pPr>
        <w:pStyle w:val="BookText"/>
      </w:pPr>
      <w:r>
        <w:rPr>
          <w:rFonts w:ascii="IRNazanin" w:hAnsi="IRNazanin" w:eastAsia="IRNazanin" w:cs="IRNazanin"/>
          <w:lang w:bidi="fa-IR"/>
          <w:color w:val="111111"/>
          <w:sz w:val="28"/>
          <w:szCs w:val="28"/>
          <w:rtl/>
        </w:rPr>
        <w:t xml:space="preserve">[محدث ارموی مخ:- ]</w:t>
      </w:r>
    </w:p>
    <w:p>
      <w:pPr>
        <w:pStyle w:val="Heading3"/>
      </w:pPr>
      <w:bookmarkStart w:id="1470" w:name="_Toc992"/>
      <w:r>
        <w:t>اسرار هزار رساله / فارسی</w:t>
      </w:r>
      <w:bookmarkEnd w:id="1470"/>
    </w:p>
    <w:p>
      <w:pPr>
        <w:pStyle w:val="BookText"/>
      </w:pPr>
      <w:r>
        <w:rPr>
          <w:rFonts w:ascii="Times New Roman" w:hAnsi="Times New Roman" w:eastAsia="Times New Roman" w:cs="Times New Roman"/>
          <w:lang w:val="en-US" w:bidi="en-US"/>
          <w:color w:val="111111"/>
          <w:sz w:val="28"/>
          <w:szCs w:val="28"/>
          <w:rtl/>
        </w:rPr>
        <w:t xml:space="preserve">asrār-e hezār resāle</w:t>
      </w:r>
    </w:p>
    <w:p>
      <w:pPr>
        <w:pStyle w:val="BookText"/>
      </w:pPr>
      <w:r>
        <w:rPr>
          <w:rFonts w:ascii="IRNazanin" w:hAnsi="IRNazanin" w:eastAsia="IRNazanin" w:cs="IRNazanin"/>
          <w:lang w:bidi="fa-IR"/>
          <w:color w:val="111111"/>
          <w:sz w:val="28"/>
          <w:szCs w:val="28"/>
          <w:rtl/>
        </w:rPr>
        <w:t xml:space="preserve">تهران؛ دانشگاه؛ شماره نسخه:۴۷۵۲/۴-۴۷۵۴-ف</w:t>
      </w:r>
    </w:p>
    <w:p>
      <w:pPr>
        <w:pStyle w:val="BookText"/>
      </w:pPr>
      <w:r>
        <w:rPr>
          <w:rFonts w:ascii="IRNazanin" w:hAnsi="IRNazanin" w:eastAsia="IRNazanin" w:cs="IRNazanin"/>
          <w:lang w:bidi="fa-IR"/>
          <w:color w:val="111111"/>
          <w:sz w:val="28"/>
          <w:szCs w:val="28"/>
          <w:rtl/>
        </w:rPr>
        <w:t xml:space="preserve">بی کا، بی تا [ فیلم ها-ف: ۳ - ۱۰۲]</w:t>
      </w:r>
    </w:p>
    <w:p>
      <w:pPr>
        <w:pStyle w:val="Heading3"/>
      </w:pPr>
      <w:bookmarkStart w:id="1471" w:name="_Toc993"/>
      <w:r>
        <w:t>اسرار الیقین فی مقامات العارفین / عرفان و تصوف / عربی</w:t>
      </w:r>
      <w:bookmarkEnd w:id="1471"/>
    </w:p>
    <w:p>
      <w:pPr>
        <w:pStyle w:val="BookText"/>
      </w:pPr>
      <w:r>
        <w:rPr>
          <w:rFonts w:ascii="Times New Roman" w:hAnsi="Times New Roman" w:eastAsia="Times New Roman" w:cs="Times New Roman"/>
          <w:lang w:val="en-US" w:bidi="en-US"/>
          <w:color w:val="111111"/>
          <w:sz w:val="28"/>
          <w:szCs w:val="28"/>
          <w:rtl/>
        </w:rPr>
        <w:t xml:space="preserve">asrār-ul-yaqīn fī maqāmāt-il-‘ārifīn</w:t>
      </w:r>
    </w:p>
    <w:p>
      <w:pPr>
        <w:pStyle w:val="BookText"/>
      </w:pPr>
      <w:r>
        <w:rPr>
          <w:rFonts w:ascii="IRNazanin" w:hAnsi="IRNazanin" w:eastAsia="IRNazanin" w:cs="IRNazanin"/>
          <w:lang w:bidi="fa-IR"/>
          <w:color w:val="111111"/>
          <w:sz w:val="28"/>
          <w:szCs w:val="28"/>
          <w:rtl/>
        </w:rPr>
        <w:t xml:space="preserve">حویزی، نعمت الله بن  احمد</w:t>
      </w:r>
    </w:p>
    <w:p>
      <w:pPr>
        <w:pStyle w:val="BookText"/>
      </w:pPr>
      <w:r>
        <w:rPr>
          <w:rFonts w:ascii="Times New Roman" w:hAnsi="Times New Roman" w:eastAsia="Times New Roman" w:cs="Times New Roman"/>
          <w:lang w:val="en-US" w:bidi="en-US"/>
          <w:color w:val="111111"/>
          <w:sz w:val="28"/>
          <w:szCs w:val="28"/>
          <w:rtl/>
        </w:rPr>
        <w:t xml:space="preserve">hovayzī, ne‘mat-ol-lāh ebn-e ahmad</w:t>
      </w:r>
    </w:p>
    <w:p>
      <w:pPr>
        <w:pStyle w:val="BookText"/>
      </w:pPr>
      <w:r>
        <w:rPr>
          <w:rFonts w:ascii="IRNazanin" w:hAnsi="IRNazanin" w:eastAsia="IRNazanin" w:cs="IRNazanin"/>
          <w:lang w:bidi="fa-IR"/>
          <w:color w:val="111111"/>
          <w:sz w:val="28"/>
          <w:szCs w:val="28"/>
          <w:rtl/>
        </w:rPr>
        <w:t xml:space="preserve">یزد؛ وزیری؛ شماره نسخه: ۳۲۸۶/۲</w:t>
      </w:r>
    </w:p>
    <w:p>
      <w:pPr>
        <w:pStyle w:val="BookText"/>
      </w:pPr>
      <w:r>
        <w:rPr>
          <w:rFonts w:ascii="Amiri" w:hAnsi="Amiri" w:eastAsia="Amiri" w:cs="Amiri"/>
          <w:lang w:bidi="ar-SA"/>
          <w:color w:val="111111"/>
          <w:sz w:val="28"/>
          <w:szCs w:val="28"/>
          <w:rtl/>
        </w:rPr>
        <w:t xml:space="preserve">آغاز: بسمله، اللهم اجعلنا ممن يطير بجناح العرفان الى عالم اللاهوت؛ انجام: و يتضح لك نطاق الكلام من غير</w:t>
      </w:r>
    </w:p>
    <w:p>
      <w:pPr>
        <w:pStyle w:val="BookText"/>
      </w:pPr>
      <w:r>
        <w:rPr>
          <w:rFonts w:ascii="IRNazanin" w:hAnsi="IRNazanin" w:eastAsia="IRNazanin" w:cs="IRNazanin"/>
          <w:lang w:bidi="fa-IR"/>
          <w:color w:val="111111"/>
          <w:sz w:val="28"/>
          <w:szCs w:val="28"/>
          <w:rtl/>
        </w:rPr>
        <w:t xml:space="preserve">خط: نستعلیق، بی کا، بی تا؛ افتادگی: انجام؛ مهر: «وقف لطف الله»، «الهى بحق نبی و ولی، ببخشا گناه محمد ولی»؛ کاغذ: سمرقندی، جلد: مقوایی با تیماج ،مشکی، ۳۸ ص (۹۳ - ۱۳۰)، ۹ سطر (۶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اندازه: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۱۷/۵سم [ف: ۵ - ۱۶۰۲]</w:t>
      </w:r>
    </w:p>
    <w:p>
      <w:pPr>
        <w:pStyle w:val="Heading3"/>
      </w:pPr>
      <w:bookmarkStart w:id="1472" w:name="_Toc994"/>
      <w:r>
        <w:t>اسرار الیقین محمد شاهی / کلام و اعتقادات / فارسی</w:t>
      </w:r>
      <w:bookmarkEnd w:id="1472"/>
    </w:p>
    <w:p>
      <w:pPr>
        <w:pStyle w:val="BookText"/>
      </w:pPr>
      <w:r>
        <w:rPr>
          <w:rFonts w:ascii="Times New Roman" w:hAnsi="Times New Roman" w:eastAsia="Times New Roman" w:cs="Times New Roman"/>
          <w:lang w:val="en-US" w:bidi="en-US"/>
          <w:color w:val="111111"/>
          <w:sz w:val="28"/>
          <w:szCs w:val="28"/>
          <w:rtl/>
        </w:rPr>
        <w:t xml:space="preserve">asrar-ol-yaqin-e mohammad sahi</w:t>
      </w:r>
    </w:p>
    <w:p>
      <w:pPr>
        <w:pStyle w:val="BookText"/>
      </w:pPr>
      <w:r>
        <w:rPr>
          <w:rFonts w:ascii="IRNazanin" w:hAnsi="IRNazanin" w:eastAsia="IRNazanin" w:cs="IRNazanin"/>
          <w:lang w:bidi="fa-IR"/>
          <w:color w:val="111111"/>
          <w:sz w:val="28"/>
          <w:szCs w:val="28"/>
          <w:rtl/>
        </w:rPr>
        <w:t xml:space="preserve">بروجردی طهرانی، محمد حسین، ق۱۳ قمری</w:t>
      </w:r>
    </w:p>
    <w:p>
      <w:pPr>
        <w:pStyle w:val="BookText"/>
      </w:pPr>
      <w:r>
        <w:rPr>
          <w:rFonts w:ascii="Times New Roman" w:hAnsi="Times New Roman" w:eastAsia="Times New Roman" w:cs="Times New Roman"/>
          <w:lang w:val="en-US" w:bidi="en-US"/>
          <w:color w:val="111111"/>
          <w:sz w:val="28"/>
          <w:szCs w:val="28"/>
          <w:rtl/>
        </w:rPr>
        <w:t xml:space="preserve">(borūjerdī tehrānī, mohammad hoseyn (- 19c</w:t>
      </w:r>
    </w:p>
    <w:p>
      <w:pPr>
        <w:pStyle w:val="BookText"/>
      </w:pPr>
      <w:r>
        <w:rPr>
          <w:rFonts w:ascii="IRNazanin" w:hAnsi="IRNazanin" w:eastAsia="IRNazanin" w:cs="IRNazanin"/>
          <w:lang w:bidi="fa-IR"/>
          <w:color w:val="111111"/>
          <w:sz w:val="28"/>
          <w:szCs w:val="28"/>
          <w:rtl/>
        </w:rPr>
        <w:t xml:space="preserve">اهدا به: محمدشاه قاجار</w:t>
      </w:r>
    </w:p>
    <w:p>
      <w:pPr>
        <w:pStyle w:val="BookText"/>
      </w:pPr>
      <w:r>
        <w:rPr>
          <w:rFonts w:ascii="IRNazanin" w:hAnsi="IRNazanin" w:eastAsia="IRNazanin" w:cs="IRNazanin"/>
          <w:lang w:bidi="fa-IR"/>
          <w:color w:val="111111"/>
          <w:sz w:val="28"/>
          <w:szCs w:val="28"/>
          <w:rtl/>
        </w:rPr>
        <w:t xml:space="preserve">تاریخ تالیف: ۱۲۶۳ق</w:t>
      </w:r>
    </w:p>
    <w:p>
      <w:pPr>
        <w:pStyle w:val="BookText"/>
      </w:pPr>
      <w:r>
        <w:rPr>
          <w:rFonts w:ascii="IRNazanin" w:hAnsi="IRNazanin" w:eastAsia="IRNazanin" w:cs="IRNazanin"/>
          <w:lang w:bidi="fa-IR"/>
          <w:color w:val="111111"/>
          <w:sz w:val="28"/>
          <w:szCs w:val="28"/>
          <w:rtl/>
        </w:rPr>
        <w:t xml:space="preserve">در بیان معنی نبوت و وصایت و ولایت به درخواست عده ای از مؤمنین. در مقدمه آن گفته است که دو کتاب دیگر در اعتقادات تالیف کرده است. مؤلف فهرست مطالب و مقاصد آن  را پیش از مقدمه کتاب آورده  است، در یک «مقدمه» وسه «مطلب» :۱. بیان فرق بین نبی و رسول؛ ۲. بیان آن که آیا ولایت مقدم باشد یا نبوت .۳. بیان آن که آیا ازچه اوصیاء گذشته را انبیاء خوانیم و اوصیاء این امت را انبیاء نخوانیم.</w:t>
      </w:r>
    </w:p>
    <w:p>
      <w:pPr>
        <w:pStyle w:val="BookText"/>
      </w:pPr>
      <w:r>
        <w:rPr>
          <w:rFonts w:ascii="IRNazanin" w:hAnsi="IRNazanin" w:eastAsia="IRNazanin" w:cs="IRNazanin"/>
          <w:lang w:bidi="fa-IR"/>
          <w:color w:val="111111"/>
          <w:sz w:val="28"/>
          <w:szCs w:val="28"/>
          <w:rtl/>
        </w:rPr>
        <w:t xml:space="preserve">آغاز: الحمد لولى النعمة و الصلوة على نبي الرحمة و على عترته هداة الامه ... و بعد چنین گوید تراب اقدام مؤمنين محمد حسین بروجردی حشره الله مع مواليه المعصومين که چون بعضی از خلصين (كذا؟) مؤمنین سؤال نمودند از معنای نبی و فرق آن بارسول و از نسبت نبی باولی که آیا فضل نبوت راست</w:t>
      </w:r>
    </w:p>
    <w:p>
      <w:pPr>
        <w:pStyle w:val="BookText"/>
      </w:pPr>
      <w:r>
        <w:rPr>
          <w:rFonts w:ascii="Amiri" w:hAnsi="Amiri" w:eastAsia="Amiri" w:cs="Amiri"/>
          <w:lang w:bidi="ar-SA"/>
          <w:color w:val="111111"/>
          <w:sz w:val="28"/>
          <w:szCs w:val="28"/>
          <w:rtl/>
        </w:rPr>
        <w:t xml:space="preserve">انجام: فانتظر فرجك و لشيعتك المؤمنين فاذا انكسفت الشمس فارفع بصرك الى السماء و انظر ما فعل الله عزوجل بالمجرمين فقد فسرت لك جملا مجملا و صلى الله على محمد وآله الاخيار هذه تمام الخبر الذى اردت ان اجعله خاتمة الكتاب و قد اوردته و اما شرحه فارجو الله ان ساعدنى الزمان ان اكتب عليه شرحا مفصلا و قد حصل الفراغ فى ليلة الاربعا من العشر الاول  الجماديين اولهما و من سنة ثلاث و سنين و مأتين بعد الالف.</w:t>
      </w:r>
    </w:p>
    <w:p>
      <w:pPr>
        <w:pStyle w:val="BookText"/>
      </w:pPr>
      <w:r>
        <w:rPr>
          <w:rFonts w:ascii="IRNazanin" w:hAnsi="IRNazanin" w:eastAsia="IRNazanin" w:cs="IRNazanin"/>
          <w:lang w:bidi="fa-IR"/>
          <w:color w:val="111111"/>
          <w:sz w:val="28"/>
          <w:szCs w:val="28"/>
          <w:rtl/>
        </w:rPr>
        <w:t xml:space="preserve">[نسخه های منزوی ۸۷۷؛ اعلام الشيعه (الكرام البررة ) :۳۶۷؛ فهرستواره منزوی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282" w:name="pg20365_260397"/>
    <w:bookmarkEnd w:id="282"/>
    <w:p>
      <w:pPr>
        <w:pStyle w:val="BookText"/>
      </w:pPr>
      <w:r>
        <w:rPr>
          <w:rFonts w:ascii="IRNazanin" w:hAnsi="IRNazanin" w:eastAsia="IRNazanin" w:cs="IRNazanin"/>
          <w:lang w:bidi="fa-IR"/>
          <w:color w:val="111111"/>
          <w:sz w:val="28"/>
          <w:szCs w:val="28"/>
          <w:rtl/>
        </w:rPr>
        <w:t xml:space="preserve">9/ 89و 7/ 175(1نسخه)]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مجلس؛ شماره نسخه: ۲۸۷۵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۱۳؛ کاغذ: فرنگی زرد رنگ، تیماج مشکی، ۲۱۴ص، ۱۴ سطر، قطع: خشتی، اندازه:۱۴/۵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۱۰ - ۲۳۰]</w:t>
      </w:r>
    </w:p>
    <w:p>
      <w:pPr>
        <w:pStyle w:val="BookText"/>
      </w:pPr>
      <w:r>
        <w:rPr>
          <w:rFonts w:ascii="IRNazanin" w:hAnsi="IRNazanin" w:eastAsia="IRNazanin" w:cs="IRNazanin"/>
          <w:lang w:bidi="fa-IR"/>
          <w:color w:val="111111"/>
          <w:sz w:val="28"/>
          <w:szCs w:val="28"/>
          <w:rtl/>
        </w:rPr>
        <w:t xml:space="preserve">۲ . تهران؛ ملک؛ شماره نسخه: ۲۵۵۶/۲</w:t>
      </w:r>
    </w:p>
    <w:p>
      <w:pPr>
        <w:pStyle w:val="BookText"/>
      </w:pPr>
      <w:r>
        <w:rPr>
          <w:rFonts w:ascii="IRNazanin" w:hAnsi="IRNazanin" w:eastAsia="IRNazanin" w:cs="IRNazanin"/>
          <w:lang w:bidi="fa-IR"/>
          <w:color w:val="111111"/>
          <w:sz w:val="28"/>
          <w:szCs w:val="28"/>
          <w:rtl/>
        </w:rPr>
        <w:t xml:space="preserve">خط: نستعلیق، بی کا، تا: قرن ۱۳ ؛کاغذ: ترمه و فرنگی آهار مهره، ۸۲گ( 48پ-129) ۱۴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۶ - ۴۵]</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مجلس؛ شماره نسخه: ۱۰۰۸ط</w:t>
      </w:r>
    </w:p>
    <w:p>
      <w:pPr>
        <w:pStyle w:val="BookText"/>
      </w:pPr>
      <w:r>
        <w:rPr>
          <w:rFonts w:ascii="IRNazanin" w:hAnsi="IRNazanin" w:eastAsia="IRNazanin" w:cs="IRNazanin"/>
          <w:lang w:bidi="fa-IR"/>
          <w:color w:val="111111"/>
          <w:sz w:val="28"/>
          <w:szCs w:val="28"/>
          <w:rtl/>
        </w:rPr>
        <w:t xml:space="preserve">خط: نسخ، بی  کا، بی تا؛ مصحح؛ جلد: روغنی گل و بوته دار،  ۲۲۹ ص، ۱۴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۲۴/۳ - ۳۲]</w:t>
      </w:r>
    </w:p>
    <w:p>
      <w:pPr>
        <w:pStyle w:val="Heading3"/>
      </w:pPr>
      <w:bookmarkStart w:id="1473" w:name="_Toc995"/>
      <w:r>
        <w:t>الاسراف / فقه / عربی</w:t>
      </w:r>
      <w:bookmarkEnd w:id="1473"/>
    </w:p>
    <w:p>
      <w:pPr>
        <w:pStyle w:val="BookText"/>
      </w:pPr>
      <w:r>
        <w:rPr>
          <w:rFonts w:ascii="Times New Roman" w:hAnsi="Times New Roman" w:eastAsia="Times New Roman" w:cs="Times New Roman"/>
          <w:lang w:val="en-US" w:bidi="en-US"/>
          <w:color w:val="111111"/>
          <w:sz w:val="28"/>
          <w:szCs w:val="28"/>
          <w:rtl/>
        </w:rPr>
        <w:t xml:space="preserve">al-isrāf</w:t>
      </w:r>
    </w:p>
    <w:p>
      <w:pPr>
        <w:pStyle w:val="BookText"/>
      </w:pPr>
      <w:r>
        <w:rPr>
          <w:rFonts w:ascii="IRNazanin" w:hAnsi="IRNazanin" w:eastAsia="IRNazanin" w:cs="IRNazanin"/>
          <w:lang w:bidi="fa-IR"/>
          <w:color w:val="111111"/>
          <w:sz w:val="28"/>
          <w:szCs w:val="28"/>
          <w:rtl/>
        </w:rPr>
        <w:t xml:space="preserve">بروجردی، منیرالدین بن علی، ۱۲۶۹ -۱۳۴۲ قمری</w:t>
      </w:r>
    </w:p>
    <w:p>
      <w:pPr>
        <w:pStyle w:val="BookText"/>
      </w:pPr>
      <w:r>
        <w:rPr>
          <w:rFonts w:ascii="Times New Roman" w:hAnsi="Times New Roman" w:eastAsia="Times New Roman" w:cs="Times New Roman"/>
          <w:lang w:val="en-US" w:bidi="en-US"/>
          <w:color w:val="111111"/>
          <w:sz w:val="28"/>
          <w:szCs w:val="28"/>
          <w:rtl/>
        </w:rPr>
        <w:t xml:space="preserve">(borūjerdī, monīr-od-dīn ebn-e ‘alī (1853 - 1924)</w:t>
      </w:r>
    </w:p>
    <w:p>
      <w:pPr>
        <w:pStyle w:val="BookText"/>
      </w:pPr>
      <w:r>
        <w:rPr>
          <w:rFonts w:ascii="IRNazanin" w:hAnsi="IRNazanin" w:eastAsia="IRNazanin" w:cs="IRNazanin"/>
          <w:lang w:bidi="fa-IR"/>
          <w:color w:val="111111"/>
          <w:sz w:val="28"/>
          <w:szCs w:val="28"/>
          <w:rtl/>
        </w:rPr>
        <w:t xml:space="preserve">اصفهان؛ علامه فانی (ضیاء الدین) شماره نسخه: ۳۴/۵</w:t>
      </w:r>
    </w:p>
    <w:p>
      <w:pPr>
        <w:pStyle w:val="BookText"/>
      </w:pPr>
      <w:r>
        <w:rPr>
          <w:rFonts w:ascii="IRNazanin" w:hAnsi="IRNazanin" w:eastAsia="IRNazanin" w:cs="IRNazanin"/>
          <w:lang w:bidi="fa-IR"/>
          <w:color w:val="111111"/>
          <w:sz w:val="28"/>
          <w:szCs w:val="28"/>
          <w:rtl/>
        </w:rPr>
        <w:t xml:space="preserve">آغاز: و بعد يقول الراجى الى عفو ربه الغنى منير الدين بن علی عاملهما الله بلطفه الخفى و الجلى هذه رسالة فى باب الاسراف  و هی مسالة شهيرة فى الفتوى عامة فى البلوى؛ انجام: السابع: هل يجوز الاسراف فيما اذا كان اصلاح البدن متوقفا عليه بحيث لم يقدم على ذلك ليصير مورداً للهلاك.</w:t>
      </w:r>
    </w:p>
    <w:p>
      <w:pPr>
        <w:pStyle w:val="BookText"/>
      </w:pPr>
      <w:r>
        <w:rPr>
          <w:rFonts w:ascii="IRNazanin" w:hAnsi="IRNazanin" w:eastAsia="IRNazanin" w:cs="IRNazanin"/>
          <w:lang w:bidi="fa-IR"/>
          <w:color w:val="111111"/>
          <w:sz w:val="28"/>
          <w:szCs w:val="28"/>
          <w:rtl/>
        </w:rPr>
        <w:t xml:space="preserve">بی کا، تا: قرن ۱۳؛ افتادگی: انجام؛ جلد: مقوایی ۱۵گ، (۶۴پ-۷۸ پ) [سه کتابخانه اصفهان - ف: ۱۱۶]</w:t>
      </w:r>
    </w:p>
    <w:p>
      <w:pPr>
        <w:pStyle w:val="Heading3"/>
      </w:pPr>
      <w:bookmarkStart w:id="1474" w:name="_Toc996"/>
      <w:r>
        <w:t>الاسرائيلية الدامغة / كلام و اعتقادات / عربي</w:t>
      </w:r>
      <w:bookmarkEnd w:id="1474"/>
    </w:p>
    <w:p>
      <w:pPr>
        <w:pStyle w:val="BookText"/>
      </w:pPr>
      <w:r>
        <w:rPr>
          <w:rFonts w:ascii="Times New Roman" w:hAnsi="Times New Roman" w:eastAsia="Times New Roman" w:cs="Times New Roman"/>
          <w:lang w:val="en-US" w:bidi="en-US"/>
          <w:color w:val="111111"/>
          <w:sz w:val="28"/>
          <w:szCs w:val="28"/>
          <w:rtl/>
        </w:rPr>
        <w:t xml:space="preserve">al-isrā’īlīyyat-ud-dāmiġa</w:t>
      </w:r>
    </w:p>
    <w:p>
      <w:pPr>
        <w:pStyle w:val="BookText"/>
      </w:pPr>
      <w:r>
        <w:rPr>
          <w:rFonts w:ascii="IRNazanin" w:hAnsi="IRNazanin" w:eastAsia="IRNazanin" w:cs="IRNazanin"/>
          <w:lang w:bidi="fa-IR"/>
          <w:color w:val="111111"/>
          <w:sz w:val="28"/>
          <w:szCs w:val="28"/>
          <w:rtl/>
        </w:rPr>
        <w:t xml:space="preserve">ردی است بر اهل یهود و در آن با استناد به قرآن و بعضی روايات كتب  آسمانی، سعی در اثبات نسخ دین یهود و حقانیت مذهب دروز دارد.</w:t>
      </w:r>
    </w:p>
    <w:p>
      <w:pPr>
        <w:pStyle w:val="BookText"/>
      </w:pPr>
      <w:r>
        <w:rPr>
          <w:rFonts w:ascii="IRNazanin" w:hAnsi="IRNazanin" w:eastAsia="IRNazanin" w:cs="IRNazanin"/>
          <w:lang w:bidi="fa-IR"/>
          <w:color w:val="111111"/>
          <w:sz w:val="28"/>
          <w:szCs w:val="28"/>
          <w:rtl/>
        </w:rPr>
        <w:t xml:space="preserve">قم؛ مرکز احیاء؛ شماره نسخه: ۱۵۷۱/۴</w:t>
      </w:r>
    </w:p>
    <w:p>
      <w:pPr>
        <w:pStyle w:val="BookText"/>
      </w:pPr>
      <w:r>
        <w:rPr>
          <w:rFonts w:ascii="IRNazanin" w:hAnsi="IRNazanin" w:eastAsia="IRNazanin" w:cs="IRNazanin"/>
          <w:lang w:bidi="fa-IR"/>
          <w:color w:val="111111"/>
          <w:sz w:val="28"/>
          <w:szCs w:val="28"/>
          <w:rtl/>
        </w:rPr>
        <w:t xml:space="preserve">آغاز: توکلت على مولانا الحاكم وحده و توسلت اليه بقائم الـحق عبده من  العبد الخاضع الذليل و المملوك لقائم الحق شطنيل</w:t>
      </w:r>
    </w:p>
    <w:p>
      <w:pPr>
        <w:pStyle w:val="BookText"/>
      </w:pPr>
      <w:r>
        <w:rPr>
          <w:rFonts w:ascii="IRNazanin" w:hAnsi="IRNazanin" w:eastAsia="IRNazanin" w:cs="IRNazanin"/>
          <w:lang w:bidi="fa-IR"/>
          <w:color w:val="111111"/>
          <w:sz w:val="28"/>
          <w:szCs w:val="28"/>
          <w:rtl/>
        </w:rPr>
        <w:t xml:space="preserve">نسخه اصل: کتابخانه واتیکان - رم ۹۱۳؛ خط: نسخ،معرب، بی  کا، تا: قرن ۲۰،۱۲ ص (53- 72) [ عکسی ف: ۴ - ۴۰۸]</w:t>
      </w:r>
    </w:p>
    <w:p>
      <w:pPr>
        <w:pStyle w:val="Heading3"/>
      </w:pPr>
      <w:bookmarkStart w:id="1475" w:name="_Toc997"/>
      <w:r>
        <w:t>الاسرب = كتاب الاسرب / كيميا / عربي</w:t>
      </w:r>
      <w:bookmarkEnd w:id="1475"/>
    </w:p>
    <w:p>
      <w:pPr>
        <w:pStyle w:val="BookText"/>
      </w:pPr>
      <w:r>
        <w:rPr>
          <w:rFonts w:ascii="Times New Roman" w:hAnsi="Times New Roman" w:eastAsia="Times New Roman" w:cs="Times New Roman"/>
          <w:lang w:val="en-US" w:bidi="en-US"/>
          <w:color w:val="111111"/>
          <w:sz w:val="28"/>
          <w:szCs w:val="28"/>
          <w:rtl/>
        </w:rPr>
        <w:t xml:space="preserve">al-usrub = k.-ul-usrub</w:t>
      </w:r>
    </w:p>
    <w:p>
      <w:pPr>
        <w:pStyle w:val="BookText"/>
      </w:pPr>
      <w:r>
        <w:rPr>
          <w:rFonts w:ascii="IRNazanin" w:hAnsi="IRNazanin" w:eastAsia="IRNazanin" w:cs="IRNazanin"/>
          <w:lang w:bidi="fa-IR"/>
          <w:color w:val="111111"/>
          <w:sz w:val="28"/>
          <w:szCs w:val="28"/>
          <w:rtl/>
        </w:rPr>
        <w:t xml:space="preserve">جابر بن حيان، ۱۲۰ - ۱۹۸ ؟ قمری</w:t>
      </w:r>
    </w:p>
    <w:p>
      <w:pPr>
        <w:pStyle w:val="BookText"/>
      </w:pPr>
      <w:r>
        <w:rPr>
          <w:rFonts w:ascii="Times New Roman" w:hAnsi="Times New Roman" w:eastAsia="Times New Roman" w:cs="Times New Roman"/>
          <w:lang w:val="en-US" w:bidi="en-US"/>
          <w:color w:val="111111"/>
          <w:sz w:val="28"/>
          <w:szCs w:val="28"/>
          <w:rtl/>
        </w:rPr>
        <w:t xml:space="preserve">(jaber ebn-e hayyan (739 - 814)</w:t>
      </w:r>
    </w:p>
    <w:p>
      <w:pPr>
        <w:pStyle w:val="BookText"/>
      </w:pPr>
      <w:r>
        <w:rPr>
          <w:rFonts w:ascii="Amiri" w:hAnsi="Amiri" w:eastAsia="Amiri" w:cs="Amiri"/>
          <w:lang w:bidi="ar-SA"/>
          <w:color w:val="111111"/>
          <w:sz w:val="28"/>
          <w:szCs w:val="28"/>
          <w:rtl/>
        </w:rPr>
        <w:t xml:space="preserve">آغاز: و قد نسبنا كتابنا هذا من هذه الكتب السبعة الى الاسرب عافاك الله منسوب الى زحل</w:t>
      </w:r>
    </w:p>
    <w:p>
      <w:pPr>
        <w:pStyle w:val="BookText"/>
      </w:pPr>
      <w:r>
        <w:rPr>
          <w:rFonts w:ascii="Amiri" w:hAnsi="Amiri" w:eastAsia="Amiri" w:cs="Amiri"/>
          <w:lang w:bidi="ar-SA"/>
          <w:color w:val="111111"/>
          <w:sz w:val="28"/>
          <w:szCs w:val="28"/>
          <w:rtl/>
        </w:rPr>
        <w:t xml:space="preserve">انجام: و يكون منه المرتك و هو المردار سنج و صفته اخوته في المنافع و المضار و لو ذهبنانشرح منافعها و مضارها لازداد ذلك كتابا كبيراً و السلام على من اتبع الهدى</w:t>
      </w:r>
    </w:p>
    <w:p>
      <w:pPr>
        <w:pStyle w:val="BookText"/>
      </w:pPr>
      <w:r>
        <w:rPr>
          <w:rFonts w:ascii="IRNazanin" w:hAnsi="IRNazanin" w:eastAsia="IRNazanin" w:cs="IRNazanin"/>
          <w:lang w:bidi="fa-IR"/>
          <w:color w:val="111111"/>
          <w:sz w:val="28"/>
          <w:szCs w:val="28"/>
          <w:rtl/>
        </w:rPr>
        <w:t xml:space="preserve">[الذریعه ۲۶۴/۱۷؛ زرکلی ۱۰۳/۲]</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IRNazanin" w:hAnsi="IRNazanin" w:eastAsia="IRNazanin" w:cs="IRNazanin"/>
          <w:lang w:bidi="fa-IR"/>
          <w:color w:val="111111"/>
          <w:sz w:val="28"/>
          <w:szCs w:val="28"/>
          <w:rtl/>
        </w:rPr>
        <w:t xml:space="preserve">١ - الاسرب (ترجمه)</w:t>
      </w:r>
    </w:p>
    <w:p>
      <w:pPr>
        <w:pStyle w:val="BookText"/>
      </w:pPr>
      <w:r>
        <w:rPr>
          <w:rFonts w:ascii="Amiri" w:hAnsi="Amiri" w:eastAsia="Amiri" w:cs="Amiri"/>
          <w:lang w:bidi="ar-SA"/>
          <w:color w:val="111111"/>
          <w:sz w:val="28"/>
          <w:szCs w:val="28"/>
          <w:rtl/>
        </w:rPr>
        <w:t xml:space="preserve">۱. تهران؛ دائرة المعارف؛ شماره نسخه: ۲۱۷/۵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پخته، بی کا، تا: قرن ۱۳؛ ۸گ (۴۰پ-۴۷پ)[ف: ۱-۱۸]</w:t>
      </w:r>
    </w:p>
    <w:p>
      <w:pPr>
        <w:pStyle w:val="BookText"/>
      </w:pPr>
      <w:r>
        <w:rPr>
          <w:rFonts w:ascii="IRNazanin" w:hAnsi="IRNazanin" w:eastAsia="IRNazanin" w:cs="IRNazanin"/>
          <w:lang w:bidi="fa-IR"/>
          <w:color w:val="111111"/>
          <w:sz w:val="28"/>
          <w:szCs w:val="28"/>
          <w:rtl/>
        </w:rPr>
        <w:t xml:space="preserve">۲. اصفهان؛ دانشگاه اصفهان؛ شماره نسخه: ۳۷۷/۱</w:t>
      </w:r>
    </w:p>
    <w:p>
      <w:pPr>
        <w:pStyle w:val="BookText"/>
      </w:pPr>
      <w:r>
        <w:rPr>
          <w:rFonts w:ascii="IRNazanin" w:hAnsi="IRNazanin" w:eastAsia="IRNazanin" w:cs="IRNazanin"/>
          <w:lang w:bidi="fa-IR"/>
          <w:color w:val="111111"/>
          <w:sz w:val="28"/>
          <w:szCs w:val="28"/>
          <w:rtl/>
        </w:rPr>
        <w:t xml:space="preserve">خط: نستعلیق، بی کا، تا: ۱۹ جمادی الثانی ۱۲۷۳ق؛ کاغذ: فرنگی  [نشریه: ۱۱ - ۹۴۴]</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مجلس؛ شماره نسخه: ۱/۱۲۶۱۹/۱</w:t>
      </w:r>
    </w:p>
    <w:p>
      <w:pPr>
        <w:pStyle w:val="BookText"/>
      </w:pPr>
      <w:r>
        <w:rPr>
          <w:rFonts w:ascii="Amiri" w:hAnsi="Amiri" w:eastAsia="Amiri" w:cs="Amiri"/>
          <w:lang w:bidi="ar-SA"/>
          <w:color w:val="111111"/>
          <w:sz w:val="28"/>
          <w:szCs w:val="28"/>
          <w:rtl/>
        </w:rPr>
        <w:t xml:space="preserve">آغاز: الحمد لله على جزيل نعمه. و اعوذ من حلول نقمه بما يستحق و ان كنا معترفين بالتقصير في جميع شكره و ان كان لنا على فضله و عفوه؛ انجام: برابر</w:t>
      </w:r>
    </w:p>
    <w:p>
      <w:pPr>
        <w:pStyle w:val="BookText"/>
      </w:pPr>
      <w:r>
        <w:rPr>
          <w:rFonts w:ascii="IRNazanin" w:hAnsi="IRNazanin" w:eastAsia="IRNazanin" w:cs="IRNazanin"/>
          <w:lang w:bidi="fa-IR"/>
          <w:color w:val="111111"/>
          <w:sz w:val="28"/>
          <w:szCs w:val="28"/>
          <w:rtl/>
        </w:rPr>
        <w:t xml:space="preserve">خط: نسخ، بی کا، بی تا؛ جلد: تیماج قرمز مجدول، ۸گ (۱پ- ۸ر)، ۱۶ سطر [ف: ۳۶ - ۱۷۷]</w:t>
      </w:r>
    </w:p>
    <w:p>
      <w:pPr>
        <w:pStyle w:val="BookText"/>
      </w:pPr>
      <w:r>
        <w:rPr>
          <w:rFonts w:ascii="IRNazanin" w:hAnsi="IRNazanin" w:eastAsia="IRNazanin" w:cs="IRNazanin"/>
          <w:lang w:bidi="fa-IR"/>
          <w:color w:val="111111"/>
          <w:sz w:val="28"/>
          <w:szCs w:val="28"/>
          <w:rtl/>
        </w:rPr>
        <w:t xml:space="preserve">٤. تهران؛ مجلس؛ شماره نسخه: ۷۲۹/۲</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بی کا، بی تا؛ ۱۱ سطر، قطع: وزیری،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۲ - ۴۶۲]</w:t>
      </w:r>
    </w:p>
    <w:p>
      <w:pPr>
        <w:pStyle w:val="Heading3"/>
      </w:pPr>
      <w:bookmarkStart w:id="1476" w:name="_Toc998"/>
      <w:r>
        <w:t>الاسرب (ترجمه) / کیمیا / فارسی</w:t>
      </w:r>
      <w:bookmarkEnd w:id="1476"/>
    </w:p>
    <w:p>
      <w:pPr>
        <w:pStyle w:val="BookText"/>
      </w:pPr>
      <w:r>
        <w:rPr>
          <w:rFonts w:ascii="Times New Roman" w:hAnsi="Times New Roman" w:eastAsia="Times New Roman" w:cs="Times New Roman"/>
          <w:lang w:val="en-US" w:bidi="en-US"/>
          <w:color w:val="111111"/>
          <w:sz w:val="28"/>
          <w:szCs w:val="28"/>
          <w:rtl/>
        </w:rPr>
        <w:t xml:space="preserve">(al-usrub (t.)</w:t>
      </w:r>
    </w:p>
    <w:p>
      <w:pPr>
        <w:pStyle w:val="BookText"/>
      </w:pPr>
      <w:r>
        <w:rPr>
          <w:rFonts w:ascii="IRNazanin" w:hAnsi="IRNazanin" w:eastAsia="IRNazanin" w:cs="IRNazanin"/>
          <w:lang w:bidi="fa-IR"/>
          <w:color w:val="111111"/>
          <w:sz w:val="28"/>
          <w:szCs w:val="28"/>
          <w:rtl/>
        </w:rPr>
        <w:t xml:space="preserve">وابسته به: الاسرب = کتاب الاسرب؛ جابر بن حیان (١٢٠-١٩٨) ترجمه «كتاب الاسرب» جابر بن حیان صوفی است که یکی از هفت رساله در صنعت(کیمیا) می باشد منسوب به کواکب سبعه  و این جزء منسوب به زحل  است.</w:t>
      </w:r>
    </w:p>
    <w:p>
      <w:pPr>
        <w:pStyle w:val="BookText"/>
      </w:pPr>
      <w:r>
        <w:rPr>
          <w:rFonts w:ascii="IRNazanin" w:hAnsi="IRNazanin" w:eastAsia="IRNazanin" w:cs="IRNazanin"/>
          <w:lang w:bidi="fa-IR"/>
          <w:color w:val="111111"/>
          <w:sz w:val="28"/>
          <w:szCs w:val="28"/>
          <w:rtl/>
        </w:rPr>
        <w:t xml:space="preserve">[فهرستواره منزوی ۳۹۴۷/۵؛ الذریعه ۲۶۴/۱۷ کتاب الاسرب»]</w:t>
      </w:r>
    </w:p>
    <w:p>
      <w:pPr>
        <w:pStyle w:val="BookText"/>
      </w:pPr>
      <w:r>
        <w:rPr>
          <w:rFonts w:ascii="IRNazanin" w:hAnsi="IRNazanin" w:eastAsia="IRNazanin" w:cs="IRNazanin"/>
          <w:lang w:bidi="fa-IR"/>
          <w:color w:val="111111"/>
          <w:sz w:val="28"/>
          <w:szCs w:val="28"/>
          <w:rtl/>
        </w:rPr>
        <w:t xml:space="preserve">قم؛ مرعشی؛ شماره نسخه: ۷۵۱۶/۵</w:t>
      </w:r>
    </w:p>
    <w:p>
      <w:pPr>
        <w:pStyle w:val="BookText"/>
      </w:pPr>
      <w:r>
        <w:rPr>
          <w:rFonts w:ascii="IRNazanin" w:hAnsi="IRNazanin" w:eastAsia="IRNazanin" w:cs="IRNazanin"/>
          <w:lang w:bidi="fa-IR"/>
          <w:color w:val="111111"/>
          <w:sz w:val="28"/>
          <w:szCs w:val="28"/>
          <w:rtl/>
        </w:rPr>
        <w:t xml:space="preserve">آغاز: الحمد لله على جزيل نعمه و نعوذ بالله من حلول نقمه... بدرستی که نسبت کردیم ما این کتاب را از میان کتبها؛ انجام: و  اگر در این باب تقصیری باشد بر قدر اختلاف امتحین باشد.</w:t>
      </w:r>
    </w:p>
    <w:p>
      <w:pPr>
        <w:pStyle w:val="BookText"/>
      </w:pPr>
      <w:r>
        <w:rPr>
          <w:rFonts w:ascii="IRNazanin" w:hAnsi="IRNazanin" w:eastAsia="IRNazanin" w:cs="IRNazanin"/>
          <w:lang w:bidi="fa-IR"/>
          <w:color w:val="111111"/>
          <w:sz w:val="28"/>
          <w:szCs w:val="28"/>
          <w:rtl/>
        </w:rPr>
        <w:t xml:space="preserve">بی کا، تا: ۱۲۷۰ق، جا: تهران ؛جلد: مقوایی عطف تیماج قهوه ای، ۲گ( ۸۷پ-۸۶پ) ،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 ۱۹ - ۳۲۱]</w:t>
      </w:r>
    </w:p>
    <w:p>
      <w:pPr>
        <w:pStyle w:val="Heading3"/>
      </w:pPr>
      <w:bookmarkStart w:id="1477" w:name="_Toc999"/>
      <w:r>
        <w:t>الاسرب / كيميا / عربي</w:t>
      </w:r>
      <w:bookmarkEnd w:id="1477"/>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283" w:name="pg20365_260398"/>
    <w:bookmarkEnd w:id="283"/>
    <w:p>
      <w:pPr>
        <w:pStyle w:val="BookText"/>
      </w:pPr>
      <w:r>
        <w:rPr>
          <w:rFonts w:ascii="Times New Roman" w:hAnsi="Times New Roman" w:eastAsia="Times New Roman" w:cs="Times New Roman"/>
          <w:lang w:val="en-US" w:bidi="en-US"/>
          <w:color w:val="111111"/>
          <w:sz w:val="28"/>
          <w:szCs w:val="28"/>
          <w:rtl/>
        </w:rPr>
        <w:t xml:space="preserve">al-usrub</w:t>
      </w:r>
    </w:p>
    <w:p>
      <w:pPr>
        <w:pStyle w:val="BookText"/>
      </w:pPr>
      <w:r>
        <w:rPr>
          <w:rFonts w:ascii="IRNazanin" w:hAnsi="IRNazanin" w:eastAsia="IRNazanin" w:cs="IRNazanin"/>
          <w:lang w:bidi="fa-IR"/>
          <w:color w:val="111111"/>
          <w:sz w:val="28"/>
          <w:szCs w:val="28"/>
          <w:rtl/>
        </w:rPr>
        <w:t xml:space="preserve">جلدکی، علی بن ایدمر، - ۷۶۲ قمری</w:t>
      </w:r>
    </w:p>
    <w:p>
      <w:pPr>
        <w:pStyle w:val="BookText"/>
      </w:pPr>
      <w:r>
        <w:rPr>
          <w:rFonts w:ascii="Times New Roman" w:hAnsi="Times New Roman" w:eastAsia="Times New Roman" w:cs="Times New Roman"/>
          <w:lang w:val="en-US" w:bidi="en-US"/>
          <w:color w:val="111111"/>
          <w:sz w:val="28"/>
          <w:szCs w:val="28"/>
          <w:rtl/>
        </w:rPr>
        <w:t xml:space="preserve">(jeldakī, ‘alī ebn-e aydamor (- 1361)</w:t>
      </w:r>
    </w:p>
    <w:p>
      <w:pPr>
        <w:pStyle w:val="BookText"/>
      </w:pPr>
      <w:r>
        <w:rPr>
          <w:rFonts w:ascii="IRNazanin" w:hAnsi="IRNazanin" w:eastAsia="IRNazanin" w:cs="IRNazanin"/>
          <w:lang w:bidi="fa-IR"/>
          <w:color w:val="111111"/>
          <w:sz w:val="28"/>
          <w:szCs w:val="28"/>
          <w:rtl/>
        </w:rPr>
        <w:t xml:space="preserve">رساله اسرب در شش «فصل» است معدنی است مایع، سنگی سرد که موجب فلج شود یک قطعه هفت بیتی با قافیه عین کتاب «الشذور» درباره آن آورده است.</w:t>
      </w:r>
    </w:p>
    <w:p>
      <w:pPr>
        <w:pStyle w:val="BookText"/>
      </w:pPr>
      <w:r>
        <w:rPr>
          <w:rFonts w:ascii="IRNazanin" w:hAnsi="IRNazanin" w:eastAsia="IRNazanin" w:cs="IRNazanin"/>
          <w:lang w:bidi="fa-IR"/>
          <w:color w:val="111111"/>
          <w:sz w:val="28"/>
          <w:szCs w:val="28"/>
          <w:rtl/>
        </w:rPr>
        <w:t xml:space="preserve">تهران؛ ملی؛ شماره نسخه: ۳۸۸۷/۴</w:t>
      </w:r>
    </w:p>
    <w:p>
      <w:pPr>
        <w:pStyle w:val="BookText"/>
      </w:pPr>
      <w:r>
        <w:rPr>
          <w:rFonts w:ascii="IRNazanin" w:hAnsi="IRNazanin" w:eastAsia="IRNazanin" w:cs="IRNazanin"/>
          <w:lang w:bidi="fa-IR"/>
          <w:color w:val="111111"/>
          <w:sz w:val="28"/>
          <w:szCs w:val="28"/>
          <w:rtl/>
        </w:rPr>
        <w:t xml:space="preserve">آغاز: بسمله، الحمد لله الذى يسر علينا كلما نطلب و بين لنا الصواب... البعد فهذا ما وعدناك ... كتاب الاسرب الذى هو من  جمله كتبنا السبعه. فصل اعلم؛ انجام: بموجبه ترشد انشاء الله وبه اکملنا كتاب الاسرب من حجله الكتب السبعه</w:t>
      </w:r>
    </w:p>
    <w:p>
      <w:pPr>
        <w:pStyle w:val="BookText"/>
      </w:pPr>
      <w:r>
        <w:rPr>
          <w:rFonts w:ascii="IRNazanin" w:hAnsi="IRNazanin" w:eastAsia="IRNazanin" w:cs="IRNazanin"/>
          <w:lang w:bidi="fa-IR"/>
          <w:color w:val="111111"/>
          <w:sz w:val="28"/>
          <w:szCs w:val="28"/>
          <w:rtl/>
        </w:rPr>
        <w:t xml:space="preserve">خط: نستعلیق متوسط، بی کا، تا: قرن ۱۲؛ کاغذ: هندی نخودی، جلد: تیماج یک لا، ۳گ (۴۹ر - ۵۱ پ)، ۲۰سطر( 8/5</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 اندازه: 13/7</w:t>
      </w:r>
      <w:r>
        <w:rPr>
          <w:rFonts w:ascii="Times New Roman" w:hAnsi="Times New Roman" w:eastAsia="Times New Roman" w:cs="Times New Roman"/>
          <w:lang w:val="en-US" w:bidi="en-US"/>
          <w:color w:val="111111"/>
          <w:sz w:val="28"/>
          <w:szCs w:val="28"/>
          <w:rtl/>
        </w:rPr>
        <w:t xml:space="preserve">×19/2</w:t>
      </w:r>
      <w:r>
        <w:rPr>
          <w:rFonts w:ascii="IRNazanin" w:hAnsi="IRNazanin" w:eastAsia="IRNazanin" w:cs="IRNazanin"/>
          <w:lang w:bidi="fa-IR"/>
          <w:color w:val="111111"/>
          <w:sz w:val="28"/>
          <w:szCs w:val="28"/>
          <w:rtl/>
        </w:rPr>
        <w:t xml:space="preserve">سم [ف : ۱۷ - ۱۳۵]</w:t>
      </w:r>
    </w:p>
    <w:p>
      <w:pPr>
        <w:pStyle w:val="Heading3"/>
      </w:pPr>
      <w:bookmarkStart w:id="1478" w:name="_Toc1000"/>
      <w:r>
        <w:t>اسرة الكف (رساله) / علوم غریبه / عربی</w:t>
      </w:r>
      <w:bookmarkEnd w:id="1478"/>
    </w:p>
    <w:p>
      <w:pPr>
        <w:pStyle w:val="BookText"/>
      </w:pPr>
      <w:r>
        <w:rPr>
          <w:rFonts w:ascii="Times New Roman" w:hAnsi="Times New Roman" w:eastAsia="Times New Roman" w:cs="Times New Roman"/>
          <w:lang w:val="en-US" w:bidi="en-US"/>
          <w:color w:val="111111"/>
          <w:sz w:val="28"/>
          <w:szCs w:val="28"/>
          <w:rtl/>
        </w:rPr>
        <w:t xml:space="preserve">(usrat-ul-kaff (r.)</w:t>
      </w:r>
    </w:p>
    <w:p>
      <w:pPr>
        <w:pStyle w:val="BookText"/>
      </w:pPr>
      <w:r>
        <w:rPr>
          <w:rFonts w:ascii="IRNazanin" w:hAnsi="IRNazanin" w:eastAsia="IRNazanin" w:cs="IRNazanin"/>
          <w:lang w:bidi="fa-IR"/>
          <w:color w:val="111111"/>
          <w:sz w:val="28"/>
          <w:szCs w:val="28"/>
          <w:rtl/>
        </w:rPr>
        <w:t xml:space="preserve">در دو «قسم» است: القسم الأول فى طبيعة خطوط اليد و اسبابها دارای ۲۸ «فصل»: ١. تقسيم اليد .۲۸. الخطوط المصورة المختصرة؛ القسم الثاني تفسير الفراسة و الاحكام الممکن حصولها من اسرة الكف، دارای ۴۲ «فصل»: ١. القاعدة المطردة . ... ۴۲. في هذا الشكل.</w:t>
      </w:r>
    </w:p>
    <w:p>
      <w:pPr>
        <w:pStyle w:val="BookText"/>
      </w:pPr>
      <w:r>
        <w:rPr>
          <w:rFonts w:ascii="IRNazanin" w:hAnsi="IRNazanin" w:eastAsia="IRNazanin" w:cs="IRNazanin"/>
          <w:lang w:bidi="fa-IR"/>
          <w:color w:val="111111"/>
          <w:sz w:val="28"/>
          <w:szCs w:val="28"/>
          <w:rtl/>
        </w:rPr>
        <w:t xml:space="preserve">تهران؛ ملک؛ شماره نسخه: ۳۱۹۴/۱</w:t>
      </w:r>
    </w:p>
    <w:p>
      <w:pPr>
        <w:pStyle w:val="BookText"/>
      </w:pPr>
      <w:r>
        <w:rPr>
          <w:rFonts w:ascii="IRNazanin" w:hAnsi="IRNazanin" w:eastAsia="IRNazanin" w:cs="IRNazanin"/>
          <w:lang w:bidi="fa-IR"/>
          <w:color w:val="111111"/>
          <w:sz w:val="28"/>
          <w:szCs w:val="28"/>
          <w:rtl/>
        </w:rPr>
        <w:t xml:space="preserve">آغاز: بسمله، الحمد لله وسلام على عباده الذين اصطفى و بعد فان هذا العلم غير مقبول عند اهل زماننا بل متروک مردود؛ انجـام: فاستر عین الغلط  بعين العفو العفو و السلام بهذا يكون الختام و الحمـدلله على الدوام</w:t>
      </w:r>
    </w:p>
    <w:p>
      <w:pPr>
        <w:pStyle w:val="BookText"/>
      </w:pPr>
      <w:r>
        <w:rPr>
          <w:rFonts w:ascii="IRNazanin" w:hAnsi="IRNazanin" w:eastAsia="IRNazanin" w:cs="IRNazanin"/>
          <w:lang w:bidi="fa-IR"/>
          <w:color w:val="111111"/>
          <w:sz w:val="28"/>
          <w:szCs w:val="28"/>
          <w:rtl/>
        </w:rPr>
        <w:t xml:space="preserve">خط: نسخ، بی کا، تا: قرن ۱۲ ؛کاغذ: پسته ای استانبولی ،جلد: میشن ،سبز، ۸۲ ص (۱-۸۲)، ۱۷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۶-۲۸۲]</w:t>
      </w:r>
    </w:p>
    <w:p>
      <w:pPr>
        <w:pStyle w:val="Heading3"/>
      </w:pPr>
      <w:bookmarkStart w:id="1479" w:name="_Toc1001"/>
      <w:r>
        <w:t>اسس الاصول / اصول فقه / عربی</w:t>
      </w:r>
      <w:bookmarkEnd w:id="1479"/>
    </w:p>
    <w:p>
      <w:pPr>
        <w:pStyle w:val="BookText"/>
      </w:pPr>
      <w:r>
        <w:rPr>
          <w:rFonts w:ascii="Times New Roman" w:hAnsi="Times New Roman" w:eastAsia="Times New Roman" w:cs="Times New Roman"/>
          <w:lang w:val="en-US" w:bidi="en-US"/>
          <w:color w:val="111111"/>
          <w:sz w:val="28"/>
          <w:szCs w:val="28"/>
          <w:rtl/>
        </w:rPr>
        <w:t xml:space="preserve">usus-ul usūl</w:t>
      </w:r>
    </w:p>
    <w:p>
      <w:pPr>
        <w:pStyle w:val="BookText"/>
      </w:pPr>
      <w:r>
        <w:rPr>
          <w:rFonts w:ascii="IRNazanin" w:hAnsi="IRNazanin" w:eastAsia="IRNazanin" w:cs="IRNazanin"/>
          <w:lang w:bidi="fa-IR"/>
          <w:color w:val="111111"/>
          <w:sz w:val="28"/>
          <w:szCs w:val="28"/>
          <w:rtl/>
        </w:rPr>
        <w:t xml:space="preserve">کرمانی، محمد بن غلامرضا، ۱۲۹۲؟ - ۱۳۵۱ ؟ قمری</w:t>
      </w:r>
    </w:p>
    <w:p>
      <w:pPr>
        <w:pStyle w:val="BookText"/>
      </w:pPr>
      <w:r>
        <w:rPr>
          <w:rFonts w:ascii="Times New Roman" w:hAnsi="Times New Roman" w:eastAsia="Times New Roman" w:cs="Times New Roman"/>
          <w:lang w:val="en-US" w:bidi="en-US"/>
          <w:color w:val="111111"/>
          <w:sz w:val="28"/>
          <w:szCs w:val="28"/>
          <w:rtl/>
        </w:rPr>
        <w:t xml:space="preserve">(kermānī, mohammad ebn-e qolām rezā (1875 - 1933)</w:t>
      </w:r>
    </w:p>
    <w:p>
      <w:pPr>
        <w:pStyle w:val="BookText"/>
      </w:pPr>
      <w:r>
        <w:rPr>
          <w:rFonts w:ascii="IRNazanin" w:hAnsi="IRNazanin" w:eastAsia="IRNazanin" w:cs="IRNazanin"/>
          <w:lang w:bidi="fa-IR"/>
          <w:color w:val="111111"/>
          <w:sz w:val="28"/>
          <w:szCs w:val="28"/>
          <w:rtl/>
        </w:rPr>
        <w:t xml:space="preserve">کتاب مشتمل بر مباحث الفاظ می باشد و مؤلف رنج فراوان در تألیف آن برده و تمام آن را از حروف مهمله ترکیب نموده و مشهور به «اصول بی نقطه» گردیده است. در حدود ۱۶۵۰ بیت کتابت دارد. مؤلف خود بر این کتاب شرح و حاشیه ای نوشته و نسخه چاپی شامل آنها است.</w:t>
      </w:r>
    </w:p>
    <w:p>
      <w:pPr>
        <w:pStyle w:val="BookText"/>
      </w:pPr>
      <w:r>
        <w:rPr>
          <w:rFonts w:ascii="IRNazanin" w:hAnsi="IRNazanin" w:eastAsia="IRNazanin" w:cs="IRNazanin"/>
          <w:lang w:bidi="fa-IR"/>
          <w:color w:val="111111"/>
          <w:sz w:val="28"/>
          <w:szCs w:val="28"/>
          <w:rtl/>
        </w:rPr>
        <w:t xml:space="preserve">چاپ: به همت مرحوم  مشیرالسلطنه ،تهران ،سنگی بی ناشر، ۱۳۱۹ق. خشتی (وزیری کوچک )،۲۴۷ص</w:t>
      </w:r>
    </w:p>
    <w:p>
      <w:pPr>
        <w:pStyle w:val="BookText"/>
      </w:pPr>
      <w:r>
        <w:rPr>
          <w:rFonts w:ascii="IRNazanin" w:hAnsi="IRNazanin" w:eastAsia="IRNazanin" w:cs="IRNazanin"/>
          <w:lang w:bidi="fa-IR"/>
          <w:color w:val="111111"/>
          <w:sz w:val="28"/>
          <w:szCs w:val="28"/>
          <w:rtl/>
        </w:rPr>
        <w:t xml:space="preserve">[الذريعة ۵۷۲؛ مشار عربی، ص ۵۲]</w:t>
      </w:r>
    </w:p>
    <w:p>
      <w:pPr>
        <w:pStyle w:val="BookText"/>
      </w:pPr>
      <w:r>
        <w:rPr>
          <w:rFonts w:ascii="IRNazanin" w:hAnsi="IRNazanin" w:eastAsia="IRNazanin" w:cs="IRNazanin"/>
          <w:lang w:bidi="fa-IR"/>
          <w:color w:val="111111"/>
          <w:sz w:val="28"/>
          <w:szCs w:val="28"/>
          <w:rtl/>
        </w:rPr>
        <w:t xml:space="preserve">تهران؛ سپهسالار؛ شماره نسخه: ۹۰۸</w:t>
      </w:r>
    </w:p>
    <w:p>
      <w:pPr>
        <w:pStyle w:val="BookText"/>
      </w:pPr>
      <w:r>
        <w:rPr>
          <w:rFonts w:ascii="Amiri" w:hAnsi="Amiri" w:eastAsia="Amiri" w:cs="Amiri"/>
          <w:lang w:bidi="ar-SA"/>
          <w:color w:val="111111"/>
          <w:sz w:val="28"/>
          <w:szCs w:val="28"/>
          <w:rtl/>
        </w:rPr>
        <w:t xml:space="preserve">آغاز: اول الكلام اسمه الملك العلام احمده حمد حمد لمدحه مدح مدح</w:t>
      </w:r>
    </w:p>
    <w:p>
      <w:pPr>
        <w:pStyle w:val="BookText"/>
      </w:pPr>
      <w:r>
        <w:rPr>
          <w:rFonts w:ascii="IRNazanin" w:hAnsi="IRNazanin" w:eastAsia="IRNazanin" w:cs="IRNazanin"/>
          <w:lang w:bidi="fa-IR"/>
          <w:color w:val="111111"/>
          <w:sz w:val="28"/>
          <w:szCs w:val="28"/>
          <w:rtl/>
        </w:rPr>
        <w:t xml:space="preserve">خط: نسخ  خوب، کا: علی بن حسین طهرانی، تا: یک شنبه ۶ شوال ۱۳۱۸ق، جا: مدرسه ناصریه؛ در حضور مؤلف کتابت آن به اتمام  رسیده است دارای تعلیقاتی که خود مصنف بر این کتاب نوشته؛ ظاهراً این نسخه را مخصوص این کتابخانه نوشته و خود مؤلف تقدیم کرده است؛ واقف: مؤلف (ظاهراً)؛ كاغذ: ترمه مجدول، جلد: روغنی گل و بوته مذهب ،ظریف، صفحه اول مذهب؛ ۱۳۷ ص، ۹ سطر ، قطع: وزیری،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۱ - ۵۵۷]</w:t>
      </w:r>
    </w:p>
    <w:p>
      <w:pPr>
        <w:pStyle w:val="Heading3"/>
      </w:pPr>
      <w:bookmarkStart w:id="1480" w:name="_Toc1002"/>
      <w:r>
        <w:t>اسطر غيبيه / عرفان و تصوف / فارسی</w:t>
      </w:r>
      <w:bookmarkEnd w:id="1480"/>
    </w:p>
    <w:p>
      <w:pPr>
        <w:pStyle w:val="BookText"/>
      </w:pPr>
      <w:r>
        <w:rPr>
          <w:rFonts w:ascii="Times New Roman" w:hAnsi="Times New Roman" w:eastAsia="Times New Roman" w:cs="Times New Roman"/>
          <w:lang w:val="en-US" w:bidi="en-US"/>
          <w:color w:val="111111"/>
          <w:sz w:val="28"/>
          <w:szCs w:val="28"/>
          <w:rtl/>
        </w:rPr>
        <w:t xml:space="preserve">astor-e qeybīye</w:t>
      </w:r>
    </w:p>
    <w:p>
      <w:pPr>
        <w:pStyle w:val="BookText"/>
      </w:pPr>
      <w:r>
        <w:rPr>
          <w:rFonts w:ascii="IRNazanin" w:hAnsi="IRNazanin" w:eastAsia="IRNazanin" w:cs="IRNazanin"/>
          <w:lang w:bidi="fa-IR"/>
          <w:color w:val="111111"/>
          <w:sz w:val="28"/>
          <w:szCs w:val="28"/>
          <w:rtl/>
        </w:rPr>
        <w:t xml:space="preserve">بیدوازی، محمد بن شیخ علی، ق۹ قمری</w:t>
      </w:r>
    </w:p>
    <w:p>
      <w:pPr>
        <w:pStyle w:val="BookText"/>
      </w:pPr>
      <w:r>
        <w:rPr>
          <w:rFonts w:ascii="Times New Roman" w:hAnsi="Times New Roman" w:eastAsia="Times New Roman" w:cs="Times New Roman"/>
          <w:lang w:val="en-US" w:bidi="en-US"/>
          <w:color w:val="111111"/>
          <w:sz w:val="28"/>
          <w:szCs w:val="28"/>
          <w:rtl/>
        </w:rPr>
        <w:t xml:space="preserve">(bīdvāzī, mohammad ebn-e šeyx ‘alī (- 15c)</w:t>
      </w:r>
    </w:p>
    <w:p>
      <w:pPr>
        <w:pStyle w:val="BookText"/>
      </w:pPr>
      <w:r>
        <w:rPr>
          <w:rFonts w:ascii="IRNazanin" w:hAnsi="IRNazanin" w:eastAsia="IRNazanin" w:cs="IRNazanin"/>
          <w:lang w:bidi="fa-IR"/>
          <w:color w:val="111111"/>
          <w:sz w:val="28"/>
          <w:szCs w:val="28"/>
          <w:rtl/>
        </w:rPr>
        <w:t xml:space="preserve">تاریخ تالیف: ذیقعده ۸۷۵ق</w:t>
      </w:r>
    </w:p>
    <w:p>
      <w:pPr>
        <w:pStyle w:val="BookText"/>
      </w:pPr>
      <w:r>
        <w:rPr>
          <w:rFonts w:ascii="IRNazanin" w:hAnsi="IRNazanin" w:eastAsia="IRNazanin" w:cs="IRNazanin"/>
          <w:lang w:bidi="fa-IR"/>
          <w:color w:val="111111"/>
          <w:sz w:val="28"/>
          <w:szCs w:val="28"/>
          <w:rtl/>
        </w:rPr>
        <w:t xml:space="preserve">مولف مدعى مکاشفه ای است که حضرت پیامبر اکرم (صلّی اللَّهِ علیه وَ آلِهِ وَ سَلَّمَ ) را دیده که نوری درخشان حضرت را فرا گرفته و نود و نه نام الهی اعضا و جوارح وی نوشته شده و تلؤلؤ می کند. این حال را و به مشهد مقدس به محضر امیر شهاب الحق عبدالله فرستاده است. وی اذن فرمود تا تألیفی پیرامون اسماء حسنی الهی نماید. در مکاشفه ای دیگر به تاریخ ۶ شوال ۸۷۱ق ترتیب دوایری مخصوص که در آنها نام ها نوشته شده بود به او نشان داده شده و این کتاب را بر آن پایه تألیف کرده است. کتاب در شرح اسماءحسنی به روش صوفیان و با انشایی ادیبانه و تضمین اشعار و رباعیاتی از مؤلف با تخلص «رشید» نگاشته شده است. نام کتاب از عبارتی در پایان نسخه گرفته شده است.</w:t>
      </w:r>
    </w:p>
    <w:p>
      <w:pPr>
        <w:pStyle w:val="BookText"/>
      </w:pPr>
      <w:r>
        <w:rPr>
          <w:rFonts w:ascii="IRNazanin" w:hAnsi="IRNazanin" w:eastAsia="IRNazanin" w:cs="IRNazanin"/>
          <w:lang w:bidi="fa-IR"/>
          <w:color w:val="111111"/>
          <w:sz w:val="28"/>
          <w:szCs w:val="28"/>
          <w:rtl/>
        </w:rPr>
        <w:t xml:space="preserve">قم ؛مرعشی؛ شماره نسخه: ۱۰۷۳۷</w:t>
      </w:r>
    </w:p>
    <w:p>
      <w:pPr>
        <w:pStyle w:val="BookText"/>
      </w:pPr>
      <w:r>
        <w:rPr>
          <w:rFonts w:ascii="IRNazanin" w:hAnsi="IRNazanin" w:eastAsia="IRNazanin" w:cs="IRNazanin"/>
          <w:lang w:bidi="fa-IR"/>
          <w:color w:val="111111"/>
          <w:sz w:val="28"/>
          <w:szCs w:val="28"/>
          <w:rtl/>
        </w:rPr>
        <w:t xml:space="preserve">آغاز: الحمد لله الذى دور على دورة دوار القلوب بدواره العناية دواير المدارات بلا دارات؛ انجام: رشید از کمل انسان فتوح دائمی بادا کزین ره رستگاری یافت هر درمانده عاطل</w:t>
      </w:r>
    </w:p>
    <w:p>
      <w:pPr>
        <w:pStyle w:val="BookText"/>
      </w:pPr>
      <w:r>
        <w:rPr>
          <w:rFonts w:ascii="IRNazanin" w:hAnsi="IRNazanin" w:eastAsia="IRNazanin" w:cs="IRNazanin"/>
          <w:lang w:bidi="fa-IR"/>
          <w:color w:val="111111"/>
          <w:sz w:val="28"/>
          <w:szCs w:val="28"/>
          <w:rtl/>
        </w:rPr>
        <w:t xml:space="preserve">خط: نستعلیق، بی کا، تا: اواخر رجب ۸۸۶ق؛ روی برگ اول چند شعر و یادداشت؛ تملک: ملا شمس الدین به تاریخ ۱۱۵۱؛ جلد: تیماج نیلی  ضربی، ۸۷گ، ۲۱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۲۶سم [ف: ۲۷-۱۷۳]</w:t>
      </w:r>
    </w:p>
    <w:p>
      <w:pPr>
        <w:pStyle w:val="BookText"/>
      </w:pPr>
      <w:r>
        <w:rPr>
          <w:rFonts w:ascii="Amiri" w:hAnsi="Amiri" w:eastAsia="Amiri" w:cs="Amiri"/>
          <w:lang w:bidi="ar-SA"/>
          <w:color w:val="111111"/>
          <w:sz w:val="28"/>
          <w:szCs w:val="28"/>
          <w:rtl/>
        </w:rPr>
        <w:t xml:space="preserve">«الاسطرلاب » البرهان في كيفية تسطيح الكرى</w:t>
      </w:r>
    </w:p>
    <w:p>
      <w:pPr>
        <w:pStyle w:val="BookText"/>
      </w:pPr>
      <w:r>
        <w:rPr>
          <w:rFonts w:ascii="IRNazanin" w:hAnsi="IRNazanin" w:eastAsia="IRNazanin" w:cs="IRNazanin"/>
          <w:lang w:bidi="fa-IR"/>
          <w:color w:val="111111"/>
          <w:sz w:val="28"/>
          <w:szCs w:val="28"/>
          <w:rtl/>
        </w:rPr>
        <w:t xml:space="preserve">«اسطرلاب » سی و دو باب</w:t>
      </w:r>
    </w:p>
    <w:p>
      <w:pPr>
        <w:pStyle w:val="BookText"/>
      </w:pPr>
      <w:r>
        <w:rPr>
          <w:rFonts w:ascii="IRNazanin" w:hAnsi="IRNazanin" w:eastAsia="IRNazanin" w:cs="IRNazanin"/>
          <w:lang w:bidi="fa-IR"/>
          <w:color w:val="111111"/>
          <w:sz w:val="28"/>
          <w:szCs w:val="28"/>
          <w:rtl/>
        </w:rPr>
        <w:t xml:space="preserve">«اسطرلاب » بیست باب در معرفت اسطرلاب</w:t>
      </w:r>
    </w:p>
    <w:p>
      <w:pPr>
        <w:pStyle w:val="BookText"/>
      </w:pPr>
      <w:r>
        <w:rPr>
          <w:rFonts w:ascii="IRNazanin" w:hAnsi="IRNazanin" w:eastAsia="IRNazanin" w:cs="IRNazanin"/>
          <w:lang w:bidi="fa-IR"/>
          <w:color w:val="111111"/>
          <w:sz w:val="28"/>
          <w:szCs w:val="28"/>
          <w:rtl/>
        </w:rPr>
        <w:t xml:space="preserve">«اسطرلاب )» نجوم علمی و عملی</w:t>
      </w:r>
    </w:p>
    <w:p>
      <w:pPr>
        <w:pStyle w:val="BookText"/>
      </w:pPr>
      <w:r>
        <w:rPr>
          <w:rFonts w:ascii="IRNazanin" w:hAnsi="IRNazanin" w:eastAsia="IRNazanin" w:cs="IRNazanin"/>
          <w:lang w:bidi="fa-IR"/>
          <w:color w:val="111111"/>
          <w:sz w:val="28"/>
          <w:szCs w:val="28"/>
          <w:rtl/>
        </w:rPr>
        <w:t xml:space="preserve">«اسطرلاب » معرفت اسطرلاب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284" w:name="pg20365_260399"/>
    <w:bookmarkEnd w:id="284"/>
    <w:p>
      <w:pPr>
        <w:pStyle w:val="BookText"/>
      </w:pPr>
      <w:r>
        <w:rPr>
          <w:rFonts w:ascii="IRNazanin" w:hAnsi="IRNazanin" w:eastAsia="IRNazanin" w:cs="IRNazanin"/>
          <w:lang w:bidi="fa-IR"/>
          <w:color w:val="111111"/>
          <w:sz w:val="28"/>
          <w:szCs w:val="28"/>
          <w:rtl/>
        </w:rPr>
        <w:t xml:space="preserve">«اسطرلاب » ربع صائب</w:t>
      </w:r>
    </w:p>
    <w:p>
      <w:pPr>
        <w:pStyle w:val="BookText"/>
      </w:pPr>
      <w:r>
        <w:rPr>
          <w:rFonts w:ascii="IRNazanin" w:hAnsi="IRNazanin" w:eastAsia="IRNazanin" w:cs="IRNazanin"/>
          <w:lang w:bidi="fa-IR"/>
          <w:color w:val="111111"/>
          <w:sz w:val="28"/>
          <w:szCs w:val="28"/>
          <w:rtl/>
        </w:rPr>
        <w:t xml:space="preserve">«اسطرلاب » آلات اسطرلاب</w:t>
      </w:r>
    </w:p>
    <w:p>
      <w:pPr>
        <w:pStyle w:val="BookText"/>
      </w:pPr>
      <w:r>
        <w:rPr>
          <w:rFonts w:ascii="IRNazanin" w:hAnsi="IRNazanin" w:eastAsia="IRNazanin" w:cs="IRNazanin"/>
          <w:lang w:bidi="fa-IR"/>
          <w:color w:val="111111"/>
          <w:sz w:val="28"/>
          <w:szCs w:val="28"/>
          <w:rtl/>
        </w:rPr>
        <w:t xml:space="preserve">«اسطرلاب » ارشاد در علم اسطرلاب</w:t>
      </w:r>
    </w:p>
    <w:p>
      <w:pPr>
        <w:pStyle w:val="BookText"/>
      </w:pPr>
      <w:r>
        <w:rPr>
          <w:rFonts w:ascii="IRNazanin" w:hAnsi="IRNazanin" w:eastAsia="IRNazanin" w:cs="IRNazanin"/>
          <w:lang w:bidi="fa-IR"/>
          <w:color w:val="111111"/>
          <w:sz w:val="28"/>
          <w:szCs w:val="28"/>
          <w:rtl/>
        </w:rPr>
        <w:t xml:space="preserve">«اسطرلاب » لباب در دانستن اسطرلاب</w:t>
      </w:r>
    </w:p>
    <w:p>
      <w:pPr>
        <w:pStyle w:val="BookText"/>
      </w:pPr>
      <w:r>
        <w:rPr>
          <w:rFonts w:ascii="IRNazanin" w:hAnsi="IRNazanin" w:eastAsia="IRNazanin" w:cs="IRNazanin"/>
          <w:lang w:bidi="fa-IR"/>
          <w:color w:val="111111"/>
          <w:sz w:val="28"/>
          <w:szCs w:val="28"/>
          <w:rtl/>
        </w:rPr>
        <w:t xml:space="preserve">«اسطرلاب » صنعت اسطرلاب</w:t>
      </w:r>
    </w:p>
    <w:p>
      <w:pPr>
        <w:pStyle w:val="BookText"/>
      </w:pPr>
      <w:r>
        <w:rPr>
          <w:rFonts w:ascii="Amiri" w:hAnsi="Amiri" w:eastAsia="Amiri" w:cs="Amiri"/>
          <w:lang w:bidi="ar-SA"/>
          <w:color w:val="111111"/>
          <w:sz w:val="28"/>
          <w:szCs w:val="28"/>
          <w:rtl/>
        </w:rPr>
        <w:t xml:space="preserve">«اسطرلاب » ميزان الصنايع</w:t>
      </w:r>
    </w:p>
    <w:p>
      <w:pPr>
        <w:pStyle w:val="BookText"/>
      </w:pPr>
      <w:r>
        <w:rPr>
          <w:rFonts w:ascii="IRNazanin" w:hAnsi="IRNazanin" w:eastAsia="IRNazanin" w:cs="IRNazanin"/>
          <w:lang w:bidi="fa-IR"/>
          <w:color w:val="111111"/>
          <w:sz w:val="28"/>
          <w:szCs w:val="28"/>
          <w:rtl/>
        </w:rPr>
        <w:t xml:space="preserve">«اسطرلاب » حلقه کریمیه</w:t>
      </w:r>
    </w:p>
    <w:p>
      <w:pPr>
        <w:pStyle w:val="BookText"/>
      </w:pPr>
      <w:r>
        <w:rPr>
          <w:rFonts w:ascii="IRNazanin" w:hAnsi="IRNazanin" w:eastAsia="IRNazanin" w:cs="IRNazanin"/>
          <w:lang w:bidi="fa-IR"/>
          <w:color w:val="111111"/>
          <w:sz w:val="28"/>
          <w:szCs w:val="28"/>
          <w:rtl/>
        </w:rPr>
        <w:t xml:space="preserve">«اسطرلاب » العمل بالاسطرلاب</w:t>
      </w:r>
    </w:p>
    <w:p>
      <w:pPr>
        <w:pStyle w:val="BookText"/>
      </w:pPr>
      <w:r>
        <w:rPr>
          <w:rFonts w:ascii="IRNazanin" w:hAnsi="IRNazanin" w:eastAsia="IRNazanin" w:cs="IRNazanin"/>
          <w:lang w:bidi="fa-IR"/>
          <w:color w:val="111111"/>
          <w:sz w:val="28"/>
          <w:szCs w:val="28"/>
          <w:rtl/>
        </w:rPr>
        <w:t xml:space="preserve">«اسطرلاب » قبله نما</w:t>
      </w:r>
    </w:p>
    <w:p>
      <w:pPr>
        <w:pStyle w:val="BookText"/>
      </w:pPr>
      <w:r>
        <w:rPr>
          <w:rFonts w:ascii="IRNazanin" w:hAnsi="IRNazanin" w:eastAsia="IRNazanin" w:cs="IRNazanin"/>
          <w:lang w:bidi="fa-IR"/>
          <w:color w:val="111111"/>
          <w:sz w:val="28"/>
          <w:szCs w:val="28"/>
          <w:rtl/>
        </w:rPr>
        <w:t xml:space="preserve">«اسطرلاب » بیست باب در اسطرلاب</w:t>
      </w:r>
    </w:p>
    <w:p>
      <w:pPr>
        <w:pStyle w:val="Heading3"/>
      </w:pPr>
      <w:bookmarkStart w:id="1481" w:name="_Toc1003"/>
      <w:r>
        <w:t>الاسطرلاب / اسطرلاب / عربی</w:t>
      </w:r>
      <w:bookmarkEnd w:id="1481"/>
    </w:p>
    <w:p>
      <w:pPr>
        <w:pStyle w:val="BookText"/>
      </w:pPr>
      <w:r>
        <w:rPr>
          <w:rFonts w:ascii="Times New Roman" w:hAnsi="Times New Roman" w:eastAsia="Times New Roman" w:cs="Times New Roman"/>
          <w:lang w:val="en-US" w:bidi="en-US"/>
          <w:color w:val="111111"/>
          <w:sz w:val="28"/>
          <w:szCs w:val="28"/>
          <w:rtl/>
        </w:rPr>
        <w:t xml:space="preserve">al-usṭurlāb</w:t>
      </w:r>
    </w:p>
    <w:p>
      <w:pPr>
        <w:pStyle w:val="BookText"/>
      </w:pPr>
      <w:r>
        <w:rPr>
          <w:rFonts w:ascii="IRNazanin" w:hAnsi="IRNazanin" w:eastAsia="IRNazanin" w:cs="IRNazanin"/>
          <w:lang w:bidi="fa-IR"/>
          <w:color w:val="111111"/>
          <w:sz w:val="28"/>
          <w:szCs w:val="28"/>
          <w:rtl/>
        </w:rPr>
        <w:t xml:space="preserve">ابو معشر  فلکی، جعفر بن محمد، ۱۷۲ – ۲۷۲ قمری</w:t>
      </w:r>
    </w:p>
    <w:p>
      <w:pPr>
        <w:pStyle w:val="BookText"/>
      </w:pPr>
      <w:r>
        <w:rPr>
          <w:rFonts w:ascii="Times New Roman" w:hAnsi="Times New Roman" w:eastAsia="Times New Roman" w:cs="Times New Roman"/>
          <w:lang w:val="en-US" w:bidi="en-US"/>
          <w:color w:val="111111"/>
          <w:sz w:val="28"/>
          <w:szCs w:val="28"/>
          <w:rtl/>
        </w:rPr>
        <w:t xml:space="preserve">(886-abū-ma‘šar-e falakī, ja‘far ebn-e mohammad (789 -</w:t>
      </w:r>
    </w:p>
    <w:p>
      <w:pPr>
        <w:pStyle w:val="BookText"/>
      </w:pPr>
      <w:r>
        <w:rPr>
          <w:rFonts w:ascii="IRNazanin" w:hAnsi="IRNazanin" w:eastAsia="IRNazanin" w:cs="IRNazanin"/>
          <w:lang w:bidi="fa-IR"/>
          <w:color w:val="111111"/>
          <w:sz w:val="28"/>
          <w:szCs w:val="28"/>
          <w:rtl/>
        </w:rPr>
        <w:t xml:space="preserve">مسائل ابو معشر البلخی در اسطرلاب، در چهارده «فصل» کوتاه .</w:t>
      </w:r>
    </w:p>
    <w:p>
      <w:pPr>
        <w:pStyle w:val="BookText"/>
      </w:pPr>
      <w:r>
        <w:rPr>
          <w:rFonts w:ascii="Amiri" w:hAnsi="Amiri" w:eastAsia="Amiri" w:cs="Amiri"/>
          <w:lang w:bidi="ar-SA"/>
          <w:color w:val="111111"/>
          <w:sz w:val="28"/>
          <w:szCs w:val="28"/>
          <w:rtl/>
        </w:rPr>
        <w:t xml:space="preserve">آغاز: هذا جزء فيه معرفة العمل بالاسطرلاب لابي معشر ... اقـول ما يحتاج اليه فى علم الاسطرلاب معرفة العضادة ثم معرفة الاجزاء الارتفاع ثم معرفة الحجرة</w:t>
      </w:r>
    </w:p>
    <w:p>
      <w:pPr>
        <w:pStyle w:val="BookText"/>
      </w:pPr>
      <w:r>
        <w:rPr>
          <w:rFonts w:ascii="IRNazanin" w:hAnsi="IRNazanin" w:eastAsia="IRNazanin" w:cs="IRNazanin"/>
          <w:lang w:bidi="fa-IR"/>
          <w:color w:val="111111"/>
          <w:sz w:val="28"/>
          <w:szCs w:val="28"/>
          <w:rtl/>
        </w:rPr>
        <w:t xml:space="preserve">انجام: ثم انظر على كم وقعت درجة الشمس من الساعات  فما بقی تلك الساعة تطلع الفجر.</w:t>
      </w:r>
    </w:p>
    <w:p>
      <w:pPr>
        <w:pStyle w:val="BookText"/>
      </w:pPr>
      <w:r>
        <w:rPr>
          <w:rFonts w:ascii="IRNazanin" w:hAnsi="IRNazanin" w:eastAsia="IRNazanin" w:cs="IRNazanin"/>
          <w:lang w:bidi="fa-IR"/>
          <w:color w:val="111111"/>
          <w:sz w:val="28"/>
          <w:szCs w:val="28"/>
          <w:rtl/>
        </w:rPr>
        <w:t xml:space="preserve">[دنا ۷۹۶/۱؛ استوری ۳۹۲]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مجلس؛ شماره نسخه: ۶۴۹۲/۸</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شنبه ۲۱ ذیحجه ۸۴۴ق؛ مصحح؛ برخی برگ ها افتادکی دارد که جای آنها کاغذ سفید گذاشته اند؛ جـلد: تیماج قهوه ای ضربی ترنج و سر ترنج دار ضربی عطف ترمیمی، ۴گ (۱۵۱ر - ۱۵۴پ)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۲۳/۵سم [ف: ۲۰ - ۷۲]</w:t>
      </w:r>
    </w:p>
    <w:p>
      <w:pPr>
        <w:pStyle w:val="BookText"/>
      </w:pPr>
      <w:r>
        <w:rPr>
          <w:rFonts w:ascii="IRNazanin" w:hAnsi="IRNazanin" w:eastAsia="IRNazanin" w:cs="IRNazanin"/>
          <w:lang w:bidi="fa-IR"/>
          <w:color w:val="111111"/>
          <w:sz w:val="28"/>
          <w:szCs w:val="28"/>
          <w:rtl/>
        </w:rPr>
        <w:t xml:space="preserve">۲ . قم؛ مرعشی ؛ شماره نسخه: ۸۷۴۷/۵</w:t>
      </w:r>
    </w:p>
    <w:p>
      <w:pPr>
        <w:pStyle w:val="BookText"/>
      </w:pPr>
      <w:r>
        <w:rPr>
          <w:rFonts w:ascii="IRNazanin" w:hAnsi="IRNazanin" w:eastAsia="IRNazanin" w:cs="IRNazanin"/>
          <w:lang w:bidi="fa-IR"/>
          <w:color w:val="111111"/>
          <w:sz w:val="28"/>
          <w:szCs w:val="28"/>
          <w:rtl/>
        </w:rPr>
        <w:t xml:space="preserve">آغاز: برابر؛ انجام: فان كان فى البئر ماء فهو طول عمق البئر الی وجه.</w:t>
      </w:r>
    </w:p>
    <w:p>
      <w:pPr>
        <w:pStyle w:val="BookText"/>
      </w:pPr>
      <w:r>
        <w:rPr>
          <w:rFonts w:ascii="IRNazanin" w:hAnsi="IRNazanin" w:eastAsia="IRNazanin" w:cs="IRNazanin"/>
          <w:lang w:bidi="fa-IR"/>
          <w:color w:val="111111"/>
          <w:sz w:val="28"/>
          <w:szCs w:val="28"/>
          <w:rtl/>
        </w:rPr>
        <w:t xml:space="preserve">خط: نسخ، بی کا، تا: ۱۰۵۰ق، جلد: تیماج قرمز، ۱۰گ (۱۴۸پ- ۱۵۷پ) [ف ۲۲ - ۲۸۳]</w:t>
      </w:r>
    </w:p>
    <w:p>
      <w:pPr>
        <w:pStyle w:val="BookText"/>
      </w:pPr>
      <w:r>
        <w:rPr>
          <w:rFonts w:ascii="IRNazanin" w:hAnsi="IRNazanin" w:eastAsia="IRNazanin" w:cs="IRNazanin"/>
          <w:lang w:bidi="fa-IR"/>
          <w:color w:val="111111"/>
          <w:sz w:val="28"/>
          <w:szCs w:val="28"/>
          <w:rtl/>
        </w:rPr>
        <w:t xml:space="preserve">3.تهران؛ ملک؛ شماره نسخه: ۳۳۸۲/۲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کاغذ ،ترمه جلد: رویه میشن قهوه ای  تازه، ۸گ( 8پ-۱۵پ)، ۱۶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۲۶سم [ف : 6- 388]</w:t>
      </w:r>
    </w:p>
    <w:p>
      <w:pPr>
        <w:pStyle w:val="Heading3"/>
      </w:pPr>
      <w:bookmarkStart w:id="1482" w:name="_Toc1004"/>
      <w:r>
        <w:t>الاسطرلاب = العمل بالاسطرلاب / اسطرلاب / عربی</w:t>
      </w:r>
      <w:bookmarkEnd w:id="1482"/>
    </w:p>
    <w:p>
      <w:pPr>
        <w:pStyle w:val="BookText"/>
      </w:pPr>
      <w:r>
        <w:rPr>
          <w:rFonts w:ascii="Times New Roman" w:hAnsi="Times New Roman" w:eastAsia="Times New Roman" w:cs="Times New Roman"/>
          <w:lang w:val="en-US" w:bidi="en-US"/>
          <w:color w:val="111111"/>
          <w:sz w:val="28"/>
          <w:szCs w:val="28"/>
          <w:rtl/>
        </w:rPr>
        <w:t xml:space="preserve">al-usṭurlāb = al-‘amal bi-l-usṭurlāb</w:t>
      </w:r>
    </w:p>
    <w:p>
      <w:pPr>
        <w:pStyle w:val="BookText"/>
      </w:pPr>
      <w:r>
        <w:rPr>
          <w:rFonts w:ascii="IRNazanin" w:hAnsi="IRNazanin" w:eastAsia="IRNazanin" w:cs="IRNazanin"/>
          <w:lang w:bidi="fa-IR"/>
          <w:color w:val="111111"/>
          <w:sz w:val="28"/>
          <w:szCs w:val="28"/>
          <w:rtl/>
        </w:rPr>
        <w:t xml:space="preserve">صوفی، عبدالرحمن بن عمر، ۲۹۱ - ۳۷۶ قمری</w:t>
      </w:r>
    </w:p>
    <w:p>
      <w:pPr>
        <w:pStyle w:val="BookText"/>
      </w:pPr>
      <w:r>
        <w:rPr>
          <w:rFonts w:ascii="Times New Roman" w:hAnsi="Times New Roman" w:eastAsia="Times New Roman" w:cs="Times New Roman"/>
          <w:lang w:val="en-US" w:bidi="en-US"/>
          <w:color w:val="111111"/>
          <w:sz w:val="28"/>
          <w:szCs w:val="28"/>
          <w:rtl/>
        </w:rPr>
        <w:t xml:space="preserve">(sufi, 'abd-or-rahman ebn-e 'omar (905 - 987)</w:t>
      </w:r>
    </w:p>
    <w:p>
      <w:pPr>
        <w:pStyle w:val="BookText"/>
      </w:pPr>
      <w:r>
        <w:rPr>
          <w:rFonts w:ascii="IRNazanin" w:hAnsi="IRNazanin" w:eastAsia="IRNazanin" w:cs="IRNazanin"/>
          <w:lang w:bidi="fa-IR"/>
          <w:color w:val="111111"/>
          <w:sz w:val="28"/>
          <w:szCs w:val="28"/>
          <w:rtl/>
        </w:rPr>
        <w:t xml:space="preserve">آن را به درخواست یکی از فضلا در ۳۸۶ و در برخی نسخه ها ۳۹۸ «باب» نگاشته است اسطرلابی به فارسی نیز به صوفی  منسوب  گشته که ظاهراً ترجمه و انتخابی است از کتاب او.</w:t>
      </w:r>
    </w:p>
    <w:p>
      <w:pPr>
        <w:pStyle w:val="BookText"/>
      </w:pPr>
      <w:r>
        <w:rPr>
          <w:rFonts w:ascii="Amiri" w:hAnsi="Amiri" w:eastAsia="Amiri" w:cs="Amiri"/>
          <w:lang w:bidi="ar-SA"/>
          <w:color w:val="111111"/>
          <w:sz w:val="28"/>
          <w:szCs w:val="28"/>
          <w:rtl/>
        </w:rPr>
        <w:t xml:space="preserve">آغاز: رسالة عبد الرحمن بن ... فى العمل بالاسطرلاب. ادام الله لك العز و السعادة و النيل و السيادة ... سألتني ايها السيد النجيب  ... اظهار ما في هذه الآلة الشريفة المعروفة بذات الصفائح</w:t>
      </w:r>
    </w:p>
    <w:p>
      <w:pPr>
        <w:pStyle w:val="BookText"/>
      </w:pPr>
      <w:r>
        <w:rPr>
          <w:rFonts w:ascii="Amiri" w:hAnsi="Amiri" w:eastAsia="Amiri" w:cs="Amiri"/>
          <w:lang w:bidi="ar-SA"/>
          <w:color w:val="111111"/>
          <w:sz w:val="28"/>
          <w:szCs w:val="28"/>
          <w:rtl/>
        </w:rPr>
        <w:t xml:space="preserve">انجام: فليكمل الكتاب فى هذا الموضع و بالله التوفيق. و هو حسبنا ونعم الوكيل و الحمد لله اولاً وآخراً</w:t>
      </w:r>
    </w:p>
    <w:p>
      <w:pPr>
        <w:pStyle w:val="BookText"/>
      </w:pPr>
      <w:r>
        <w:rPr>
          <w:rFonts w:ascii="IRNazanin" w:hAnsi="IRNazanin" w:eastAsia="IRNazanin" w:cs="IRNazanin"/>
          <w:lang w:bidi="fa-IR"/>
          <w:color w:val="111111"/>
          <w:sz w:val="28"/>
          <w:szCs w:val="28"/>
          <w:rtl/>
        </w:rPr>
        <w:t xml:space="preserve">چاپ: در حیدر آباد هند</w:t>
      </w:r>
    </w:p>
    <w:p>
      <w:pPr>
        <w:pStyle w:val="BookText"/>
      </w:pPr>
      <w:r>
        <w:rPr>
          <w:rFonts w:ascii="IRNazanin" w:hAnsi="IRNazanin" w:eastAsia="IRNazanin" w:cs="IRNazanin"/>
          <w:lang w:bidi="fa-IR"/>
          <w:color w:val="111111"/>
          <w:sz w:val="28"/>
          <w:szCs w:val="28"/>
          <w:rtl/>
        </w:rPr>
        <w:t xml:space="preserve">[دنا ۷۹۶/۱ (۶ نسخه)؛ زرکلی ۳۱۹/۳ کاراتای </w:t>
      </w:r>
      <w:r>
        <w:rPr>
          <w:rFonts w:ascii="Times New Roman" w:hAnsi="Times New Roman" w:eastAsia="Times New Roman" w:cs="Times New Roman"/>
          <w:lang w:val="en-US" w:bidi="en-US"/>
          <w:color w:val="111111"/>
          <w:sz w:val="28"/>
          <w:szCs w:val="28"/>
          <w:rtl/>
        </w:rPr>
        <w:t xml:space="preserve">III/</w:t>
      </w:r>
      <w:r>
        <w:rPr>
          <w:rFonts w:ascii="IRNazanin" w:hAnsi="IRNazanin" w:eastAsia="IRNazanin" w:cs="IRNazanin"/>
          <w:lang w:bidi="fa-IR"/>
          <w:color w:val="111111"/>
          <w:sz w:val="28"/>
          <w:szCs w:val="28"/>
          <w:rtl/>
        </w:rPr>
        <w:t xml:space="preserve">۷۵۰؛ بروکلمان ۲۱۸/۴؛ الذریعه ۲۰۳:۱۱ و ۹۷:۱۵؛ گور کیس عواد (الاسطرلاب و ما الف فيه في العصور الاسلاميه) ،۱۶۲؛ مكتبة امير المومنين (۱۱۱/۱]</w:t>
      </w:r>
    </w:p>
    <w:p>
      <w:pPr>
        <w:pStyle w:val="BookText"/>
      </w:pPr>
      <w:r>
        <w:rPr>
          <w:rFonts w:ascii="IRNazanin" w:hAnsi="IRNazanin" w:eastAsia="IRNazanin" w:cs="IRNazanin"/>
          <w:lang w:bidi="fa-IR"/>
          <w:color w:val="111111"/>
          <w:sz w:val="28"/>
          <w:szCs w:val="28"/>
          <w:rtl/>
        </w:rPr>
        <w:t xml:space="preserve">۱. تهران؛ دائرة المعارف؛ شماره نسخه: ۳۱۹/۱-عکسی</w:t>
      </w:r>
    </w:p>
    <w:p>
      <w:pPr>
        <w:pStyle w:val="BookText"/>
      </w:pPr>
      <w:r>
        <w:rPr>
          <w:rFonts w:ascii="IRNazanin" w:hAnsi="IRNazanin" w:eastAsia="IRNazanin" w:cs="IRNazanin"/>
          <w:lang w:bidi="fa-IR"/>
          <w:color w:val="111111"/>
          <w:sz w:val="28"/>
          <w:szCs w:val="28"/>
          <w:rtl/>
        </w:rPr>
        <w:t xml:space="preserve">اصل نسخه: گنج بخش، ش ۲۰۸۴؛ خط: ثلث، بی کا، تا: قرن ۹؛ ۱۲۱گ (گ ۲-۱۲۲) [ف: ۲ - ۱۹۷]</w:t>
      </w:r>
    </w:p>
    <w:p>
      <w:pPr>
        <w:pStyle w:val="BookText"/>
      </w:pPr>
      <w:r>
        <w:rPr>
          <w:rFonts w:ascii="IRNazanin" w:hAnsi="IRNazanin" w:eastAsia="IRNazanin" w:cs="IRNazanin"/>
          <w:lang w:bidi="fa-IR"/>
          <w:color w:val="111111"/>
          <w:sz w:val="28"/>
          <w:szCs w:val="28"/>
          <w:rtl/>
        </w:rPr>
        <w:t xml:space="preserve">۲. تهران؛ مجلس؛ شماره نسخه: ۳۸۷۱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خط:نسخ، كا: محمود بن محمد نصیر خادم، تا: ۱۰۰۴ق، جا: مکه، کوه ابوقبیس، تملک: احمد بن علی نقی با مهر «یاتی من بعدی اسمه احمد» (بیضی)، فرزندش محمد حسین که بالارث مالک صادر شده مورخ ۱۲۵۷ با مهر «محمد حسين بن احمد»؛ کاغذ: هندی شکری ،رنگ ،جلد: تیماج قهوه ای، ۳۰۶ص، قطع: خشتی [ف: ۱۰ - ۱۹۰۴]</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قم؛ مؤسسه حضرت آیة الله بروجردی؛ شماره نسخه: ۳۶۲</w:t>
      </w:r>
    </w:p>
    <w:p>
      <w:pPr>
        <w:pStyle w:val="BookText"/>
      </w:pPr>
      <w:r>
        <w:rPr>
          <w:rFonts w:ascii="IRNazanin" w:hAnsi="IRNazanin" w:eastAsia="IRNazanin" w:cs="IRNazanin"/>
          <w:lang w:bidi="fa-IR"/>
          <w:color w:val="111111"/>
          <w:sz w:val="28"/>
          <w:szCs w:val="28"/>
          <w:rtl/>
        </w:rPr>
        <w:t xml:space="preserve">خط ،نسخ، بی کا، تا: سلخ رمضان ۱۰۹۹ق؛ مصحح، مقابله شده، روی برگ اول امضای محمد بن رضی؛ تملک محمد زین الدین، فخر الدين بن جمال الدین طباطبائی؛ جلد: تیماج قهوه ای بدون مقوا، ۱۲۲گ، ۱۸  سطر،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۲۴سم [ف: ۱ - ۲۱۸]</w:t>
      </w:r>
    </w:p>
    <w:p>
      <w:pPr>
        <w:pStyle w:val="BookText"/>
      </w:pPr>
      <w:r>
        <w:rPr>
          <w:rFonts w:ascii="IRNazanin" w:hAnsi="IRNazanin" w:eastAsia="IRNazanin" w:cs="IRNazanin"/>
          <w:lang w:bidi="fa-IR"/>
          <w:color w:val="111111"/>
          <w:sz w:val="28"/>
          <w:szCs w:val="28"/>
          <w:rtl/>
        </w:rPr>
        <w:t xml:space="preserve">۴. تهران؛ سپهسالار؛ شماره نسخه: ۷۰۴</w:t>
      </w:r>
    </w:p>
    <w:p>
      <w:pPr>
        <w:pStyle w:val="BookText"/>
      </w:pPr>
      <w:r>
        <w:rPr>
          <w:rFonts w:ascii="IRNazanin" w:hAnsi="IRNazanin" w:eastAsia="IRNazanin" w:cs="IRNazanin"/>
          <w:lang w:bidi="fa-IR"/>
          <w:color w:val="111111"/>
          <w:sz w:val="28"/>
          <w:szCs w:val="28"/>
          <w:rtl/>
        </w:rPr>
        <w:t xml:space="preserve">خط: نسخ، بی کا، تا: قرن ۱۳؛ کاغذ: فرنگی، جلد: تیماج سرخ مقوایی  ضربی، ۲۱۰گ، ۱۴ سطر، اندازه: 14/5</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سم [ف : ۳-۱۲۹]</w:t>
      </w:r>
    </w:p>
    <w:p>
      <w:pPr>
        <w:pStyle w:val="BookText"/>
      </w:pPr>
      <w:r>
        <w:rPr>
          <w:rFonts w:ascii="Amiri" w:hAnsi="Amiri" w:eastAsia="Amiri" w:cs="Amiri"/>
          <w:lang w:bidi="ar-SA"/>
          <w:color w:val="111111"/>
          <w:sz w:val="28"/>
          <w:szCs w:val="28"/>
          <w:rtl/>
        </w:rPr>
        <w:t xml:space="preserve">۵. تهران؛ دائرة المعارف؛ شماره نسخه: ۲۴/۳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پخته، بی کا، تا: ۱۲۲۸ق؛ جا: اردبیل؛ ۸۸گ (۱۵۱پ- ۲۳۸ پ)، ۲۵ سطر (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[ف: ۱ - ۱۷۸]</w:t>
      </w:r>
    </w:p>
    <w:p>
      <w:pPr>
        <w:pStyle w:val="BookText"/>
      </w:pPr>
      <w:r>
        <w:rPr>
          <w:rFonts w:ascii="IRNazanin" w:hAnsi="IRNazanin" w:eastAsia="IRNazanin" w:cs="IRNazanin"/>
          <w:lang w:bidi="fa-IR"/>
          <w:color w:val="111111"/>
          <w:sz w:val="28"/>
          <w:szCs w:val="28"/>
          <w:rtl/>
        </w:rPr>
        <w:t xml:space="preserve">۶. تهران؛ سپهسالار؛ شماره نسخه ۷۰۳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۱۲۷۵ق؛ کاغذ: فرنگی، جلد: تیماج سبز ،مقوایی ۱۹۵گ، ۱۴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۳ - ۱۲۹]</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مشهد؛ رضوی؛ شماره نسخه: ۱۲۲۶۲</w:t>
      </w:r>
    </w:p>
    <w:p>
      <w:pPr>
        <w:pStyle w:val="BookText"/>
      </w:pPr>
      <w:r>
        <w:rPr>
          <w:rFonts w:ascii="IRNazanin" w:hAnsi="IRNazanin" w:eastAsia="IRNazanin" w:cs="IRNazanin"/>
          <w:lang w:bidi="fa-IR"/>
          <w:color w:val="111111"/>
          <w:sz w:val="28"/>
          <w:szCs w:val="28"/>
          <w:rtl/>
        </w:rPr>
        <w:t xml:space="preserve">آغاز و انجام: برابر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285" w:name="pg20365_260400"/>
    <w:bookmarkEnd w:id="285"/>
    <w:p>
      <w:pPr>
        <w:pStyle w:val="BookText"/>
      </w:pPr>
      <w:r>
        <w:rPr>
          <w:rFonts w:ascii="IRNazanin" w:hAnsi="IRNazanin" w:eastAsia="IRNazanin" w:cs="IRNazanin"/>
          <w:lang w:bidi="fa-IR"/>
          <w:color w:val="111111"/>
          <w:sz w:val="28"/>
          <w:szCs w:val="28"/>
          <w:rtl/>
        </w:rPr>
        <w:t xml:space="preserve">خط: نسخ  ممتاز ،بی کا، تا: ۱۲۸۳ق؛ ،مجدول ،مذهب، دارای سرلوح مزدوج مرصع مذهب ممتاز؛ کاغذ: نباتی آهار مهره، جـلد: تیماج ماشی فرنگی ضربی زرکوب، ۱۷۳گ، ۱۸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۲۶/۵سم [ف: ۱۰ – ۵۴]</w:t>
      </w:r>
    </w:p>
    <w:p>
      <w:pPr>
        <w:pStyle w:val="Heading3"/>
      </w:pPr>
      <w:bookmarkStart w:id="1483" w:name="_Toc1005"/>
      <w:r>
        <w:t>الاسطرلاب / اسطرلاب / فارسی</w:t>
      </w:r>
      <w:bookmarkEnd w:id="1483"/>
    </w:p>
    <w:p>
      <w:pPr>
        <w:pStyle w:val="BookText"/>
      </w:pPr>
      <w:r>
        <w:rPr>
          <w:rFonts w:ascii="Times New Roman" w:hAnsi="Times New Roman" w:eastAsia="Times New Roman" w:cs="Times New Roman"/>
          <w:lang w:val="en-US" w:bidi="en-US"/>
          <w:color w:val="111111"/>
          <w:sz w:val="28"/>
          <w:szCs w:val="28"/>
          <w:rtl/>
        </w:rPr>
        <w:t xml:space="preserve">al-usṭurlāb</w:t>
      </w:r>
    </w:p>
    <w:p>
      <w:pPr>
        <w:pStyle w:val="BookText"/>
      </w:pPr>
      <w:r>
        <w:rPr>
          <w:rFonts w:ascii="IRNazanin" w:hAnsi="IRNazanin" w:eastAsia="IRNazanin" w:cs="IRNazanin"/>
          <w:lang w:bidi="fa-IR"/>
          <w:color w:val="111111"/>
          <w:sz w:val="28"/>
          <w:szCs w:val="28"/>
          <w:rtl/>
        </w:rPr>
        <w:t xml:space="preserve">صوفی، عبدالرحمن بن عمر، ۲۹۱ - ۳۷۶ قمری</w:t>
      </w:r>
    </w:p>
    <w:p>
      <w:pPr>
        <w:pStyle w:val="BookText"/>
      </w:pPr>
      <w:r>
        <w:rPr>
          <w:rFonts w:ascii="Times New Roman" w:hAnsi="Times New Roman" w:eastAsia="Times New Roman" w:cs="Times New Roman"/>
          <w:lang w:val="en-US" w:bidi="en-US"/>
          <w:color w:val="111111"/>
          <w:sz w:val="28"/>
          <w:szCs w:val="28"/>
          <w:rtl/>
        </w:rPr>
        <w:t xml:space="preserve">(sūfī, ‘abd-or-rahmān ebn-e ‘omar (905 - 987)</w:t>
      </w:r>
    </w:p>
    <w:p>
      <w:pPr>
        <w:pStyle w:val="BookText"/>
      </w:pPr>
      <w:r>
        <w:rPr>
          <w:rFonts w:ascii="IRNazanin" w:hAnsi="IRNazanin" w:eastAsia="IRNazanin" w:cs="IRNazanin"/>
          <w:lang w:bidi="fa-IR"/>
          <w:color w:val="111111"/>
          <w:sz w:val="28"/>
          <w:szCs w:val="28"/>
          <w:rtl/>
        </w:rPr>
        <w:t xml:space="preserve">در این رساله از اسطرلاب گفتگو نموده است؛ در ۴۶ «فصل» محتملاً ترجمه و انتخابی از اسطرلاب عربی اوست.</w:t>
      </w:r>
    </w:p>
    <w:p>
      <w:pPr>
        <w:pStyle w:val="BookText"/>
      </w:pPr>
      <w:r>
        <w:rPr>
          <w:rFonts w:ascii="IRNazanin" w:hAnsi="IRNazanin" w:eastAsia="IRNazanin" w:cs="IRNazanin"/>
          <w:lang w:bidi="fa-IR"/>
          <w:color w:val="111111"/>
          <w:sz w:val="28"/>
          <w:szCs w:val="28"/>
          <w:rtl/>
        </w:rPr>
        <w:t xml:space="preserve">آغاز: بسمله. سپاس ایزد تعالی را که آفریننده بندگان است و دارنده زمین و آسمان است... چنین گوید عبدالرحمن بن عمر المعروف بابى الحسين الصوفى رحمة الله عليه چون دیدم که همه کس را بدین علم رغبت است و شناختن اسطرلابرا هر کسی خواستارند.</w:t>
      </w:r>
    </w:p>
    <w:p>
      <w:pPr>
        <w:pStyle w:val="BookText"/>
      </w:pPr>
      <w:r>
        <w:rPr>
          <w:rFonts w:ascii="IRNazanin" w:hAnsi="IRNazanin" w:eastAsia="IRNazanin" w:cs="IRNazanin"/>
          <w:lang w:bidi="fa-IR"/>
          <w:color w:val="111111"/>
          <w:sz w:val="28"/>
          <w:szCs w:val="28"/>
          <w:rtl/>
        </w:rPr>
        <w:t xml:space="preserve">انجام : سی و هفت درجه ازدست راست برود آنجا که شرقی عضاده بود و قبله بود. و الله اعلم.</w:t>
      </w:r>
    </w:p>
    <w:p>
      <w:pPr>
        <w:pStyle w:val="BookText"/>
      </w:pPr>
      <w:r>
        <w:rPr>
          <w:rFonts w:ascii="IRNazanin" w:hAnsi="IRNazanin" w:eastAsia="IRNazanin" w:cs="IRNazanin"/>
          <w:lang w:bidi="fa-IR"/>
          <w:color w:val="111111"/>
          <w:sz w:val="28"/>
          <w:szCs w:val="28"/>
          <w:rtl/>
        </w:rPr>
        <w:t xml:space="preserve">[دنا ۷۹۶۱؛ فهرستواره منزوی ۲۸۰۰/۴؛ هدية العارفين ۵۱۴۱؛ الذریعه ۷۰/۱۱؛ ریاضی دانان ایرانی ۱۰۲]</w:t>
      </w:r>
    </w:p>
    <w:p>
      <w:pPr>
        <w:pStyle w:val="BookText"/>
      </w:pPr>
      <w:r>
        <w:rPr>
          <w:rFonts w:ascii="IRNazanin" w:hAnsi="IRNazanin" w:eastAsia="IRNazanin" w:cs="IRNazanin"/>
          <w:lang w:bidi="fa-IR"/>
          <w:color w:val="111111"/>
          <w:sz w:val="28"/>
          <w:szCs w:val="28"/>
          <w:rtl/>
        </w:rPr>
        <w:t xml:space="preserve">١. تهران؛ دانشگاه؛ شماره نسخه: ۴۸۰/۳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باقیجان محمد فولاد کاتب بخاری، تا: ۱۰۵۵ق؛ ۲۲ گ (۹۱پ - ۱۱۲پ). [ف: ۴ - ۸۲۹]</w:t>
      </w:r>
    </w:p>
    <w:p>
      <w:pPr>
        <w:pStyle w:val="Heading3"/>
      </w:pPr>
      <w:bookmarkStart w:id="1484" w:name="_Toc1006"/>
      <w:r>
        <w:t>الاسطرلاب / اسطرلاب / عربی</w:t>
      </w:r>
      <w:bookmarkEnd w:id="1484"/>
    </w:p>
    <w:p>
      <w:pPr>
        <w:pStyle w:val="BookText"/>
      </w:pPr>
      <w:r>
        <w:rPr>
          <w:rFonts w:ascii="Times New Roman" w:hAnsi="Times New Roman" w:eastAsia="Times New Roman" w:cs="Times New Roman"/>
          <w:lang w:val="en-US" w:bidi="en-US"/>
          <w:color w:val="111111"/>
          <w:sz w:val="28"/>
          <w:szCs w:val="28"/>
          <w:rtl/>
        </w:rPr>
        <w:t xml:space="preserve">al-usṭurlāb</w:t>
      </w:r>
    </w:p>
    <w:p>
      <w:pPr>
        <w:pStyle w:val="BookText"/>
      </w:pPr>
      <w:r>
        <w:rPr>
          <w:rFonts w:ascii="IRNazanin" w:hAnsi="IRNazanin" w:eastAsia="IRNazanin" w:cs="IRNazanin"/>
          <w:lang w:bidi="fa-IR"/>
          <w:color w:val="111111"/>
          <w:sz w:val="28"/>
          <w:szCs w:val="28"/>
          <w:rtl/>
        </w:rPr>
        <w:t xml:space="preserve">ابن  صفار، احمد بن عبدالله، - ۴۲۶ قمری</w:t>
      </w:r>
    </w:p>
    <w:p>
      <w:pPr>
        <w:pStyle w:val="BookText"/>
      </w:pPr>
      <w:r>
        <w:rPr>
          <w:rFonts w:ascii="Times New Roman" w:hAnsi="Times New Roman" w:eastAsia="Times New Roman" w:cs="Times New Roman"/>
          <w:lang w:val="en-US" w:bidi="en-US"/>
          <w:color w:val="111111"/>
          <w:sz w:val="28"/>
          <w:szCs w:val="28"/>
          <w:rtl/>
        </w:rPr>
        <w:t xml:space="preserve">(ebn-e saffār, ahmad ebn-e ‘abd-ol-lāh (- 1036)</w:t>
      </w:r>
    </w:p>
    <w:p>
      <w:pPr>
        <w:pStyle w:val="BookText"/>
      </w:pPr>
      <w:r>
        <w:rPr>
          <w:rFonts w:ascii="IRNazanin" w:hAnsi="IRNazanin" w:eastAsia="IRNazanin" w:cs="IRNazanin"/>
          <w:lang w:bidi="fa-IR"/>
          <w:color w:val="111111"/>
          <w:sz w:val="28"/>
          <w:szCs w:val="28"/>
          <w:rtl/>
        </w:rPr>
        <w:t xml:space="preserve">پنجاه «باب» کوتاه است در قواعد اسطرلاب و هیئت و نجوم از برای شناختن کواکب و ارتفاع آنها و ایام نحس و نیکو وجز اینها از قواعد فلکی.</w:t>
      </w:r>
    </w:p>
    <w:p>
      <w:pPr>
        <w:pStyle w:val="BookText"/>
      </w:pPr>
      <w:r>
        <w:rPr>
          <w:rFonts w:ascii="IRNazanin" w:hAnsi="IRNazanin" w:eastAsia="IRNazanin" w:cs="IRNazanin"/>
          <w:lang w:bidi="fa-IR"/>
          <w:color w:val="111111"/>
          <w:sz w:val="28"/>
          <w:szCs w:val="28"/>
          <w:rtl/>
        </w:rPr>
        <w:t xml:space="preserve">آغاز: باب فی ذکر آلات الاسطرلاب و الاسماء الواقعة عليها أول ذلك الحلقة و تسمى العلاقة</w:t>
      </w:r>
    </w:p>
    <w:p>
      <w:pPr>
        <w:pStyle w:val="BookText"/>
      </w:pPr>
      <w:r>
        <w:rPr>
          <w:rFonts w:ascii="Amiri" w:hAnsi="Amiri" w:eastAsia="Amiri" w:cs="Amiri"/>
          <w:lang w:bidi="ar-SA"/>
          <w:color w:val="111111"/>
          <w:sz w:val="28"/>
          <w:szCs w:val="28"/>
          <w:rtl/>
        </w:rPr>
        <w:t xml:space="preserve">[دنا ۷۹۶۱؛ فهرس الخزانة العلمية الصبيحية بسلا (در شهر رباط مغرب) 493]</w:t>
      </w:r>
    </w:p>
    <w:p>
      <w:pPr>
        <w:pStyle w:val="BookText"/>
      </w:pPr>
      <w:r>
        <w:rPr>
          <w:rFonts w:ascii="IRNazanin" w:hAnsi="IRNazanin" w:eastAsia="IRNazanin" w:cs="IRNazanin"/>
          <w:lang w:bidi="fa-IR"/>
          <w:color w:val="111111"/>
          <w:sz w:val="28"/>
          <w:szCs w:val="28"/>
          <w:rtl/>
        </w:rPr>
        <w:t xml:space="preserve">۱. قم؛ مرعشی ؛شماره نسخه: ۱۳۷۴۷/۲</w:t>
      </w:r>
    </w:p>
    <w:p>
      <w:pPr>
        <w:pStyle w:val="BookText"/>
      </w:pPr>
      <w:r>
        <w:rPr>
          <w:rFonts w:ascii="Amiri" w:hAnsi="Amiri" w:eastAsia="Amiri" w:cs="Amiri"/>
          <w:lang w:bidi="ar-SA"/>
          <w:color w:val="111111"/>
          <w:sz w:val="28"/>
          <w:szCs w:val="28"/>
          <w:rtl/>
        </w:rPr>
        <w:t xml:space="preserve">آغاز: برابر؛ انجام: و هذه صورة الدائرة الموضوعة لذلك فافهمه</w:t>
      </w:r>
    </w:p>
    <w:p>
      <w:pPr>
        <w:pStyle w:val="BookText"/>
      </w:pPr>
      <w:r>
        <w:rPr>
          <w:rFonts w:ascii="IRNazanin" w:hAnsi="IRNazanin" w:eastAsia="IRNazanin" w:cs="IRNazanin"/>
          <w:lang w:bidi="fa-IR"/>
          <w:color w:val="111111"/>
          <w:sz w:val="28"/>
          <w:szCs w:val="28"/>
          <w:rtl/>
        </w:rPr>
        <w:t xml:space="preserve">خط: نسخ، بی کا، تا: اواخر قرن ۱۰؛ مصحح؛ امضای آية الله مرعشی نجفی در آغاز نسخه؛ کاغذ: فرنگی، ۱۷گ (۳۷-۵۳)، 21سطر، اندازه: 8/5</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سم [ف: ۳۴ - ۷۳۰]</w:t>
      </w:r>
    </w:p>
    <w:p>
      <w:pPr>
        <w:pStyle w:val="BookText"/>
      </w:pPr>
      <w:r>
        <w:rPr>
          <w:rFonts w:ascii="IRNazanin" w:hAnsi="IRNazanin" w:eastAsia="IRNazanin" w:cs="IRNazanin"/>
          <w:lang w:bidi="fa-IR"/>
          <w:color w:val="111111"/>
          <w:sz w:val="28"/>
          <w:szCs w:val="28"/>
          <w:rtl/>
        </w:rPr>
        <w:t xml:space="preserve">۲. قم؛ مرعشی؛ شماره نسخه: ۲۸۶۳/۹</w:t>
      </w:r>
    </w:p>
    <w:p>
      <w:pPr>
        <w:pStyle w:val="BookText"/>
      </w:pPr>
      <w:r>
        <w:rPr>
          <w:rFonts w:ascii="IRNazanin" w:hAnsi="IRNazanin" w:eastAsia="IRNazanin" w:cs="IRNazanin"/>
          <w:lang w:bidi="fa-IR"/>
          <w:color w:val="111111"/>
          <w:sz w:val="28"/>
          <w:szCs w:val="28"/>
          <w:rtl/>
        </w:rPr>
        <w:t xml:space="preserve">آغاز: برابر؛ انجام: و مما ذكر تعرف كم يمر بتاريخ مولد المسـیح من قبل تاريخ الهجرة، وهذه حوزة الدائرة</w:t>
      </w:r>
    </w:p>
    <w:p>
      <w:pPr>
        <w:pStyle w:val="BookText"/>
      </w:pPr>
      <w:r>
        <w:rPr>
          <w:rFonts w:ascii="IRNazanin" w:hAnsi="IRNazanin" w:eastAsia="IRNazanin" w:cs="IRNazanin"/>
          <w:lang w:bidi="fa-IR"/>
          <w:color w:val="111111"/>
          <w:sz w:val="28"/>
          <w:szCs w:val="28"/>
          <w:rtl/>
        </w:rPr>
        <w:t xml:space="preserve">نام مؤلف به استناد فهرست مرعشی (۷۳۰/۳۴) تکمیل گردید؛خط ،مغربی، بی کا، تا: ۴ محرم ۱۲۰۳ق؛ مصحح، محشی؛ جلد: تیماج  مشکی، ۱۷گ (70پ-۸۶پ)، ۲۳ سطر،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۸ - ۷۱]</w:t>
      </w:r>
    </w:p>
    <w:p>
      <w:pPr>
        <w:pStyle w:val="Heading3"/>
      </w:pPr>
      <w:bookmarkStart w:id="1485" w:name="_Toc1007"/>
      <w:r>
        <w:t>الاسطرلاب = صنعة الاسطرلاب / اسطرلاب / عربی</w:t>
      </w:r>
      <w:bookmarkEnd w:id="1485"/>
    </w:p>
    <w:p>
      <w:pPr>
        <w:pStyle w:val="BookText"/>
      </w:pPr>
      <w:r>
        <w:rPr>
          <w:rFonts w:ascii="Times New Roman" w:hAnsi="Times New Roman" w:eastAsia="Times New Roman" w:cs="Times New Roman"/>
          <w:lang w:val="en-US" w:bidi="en-US"/>
          <w:color w:val="111111"/>
          <w:sz w:val="28"/>
          <w:szCs w:val="28"/>
          <w:rtl/>
        </w:rPr>
        <w:t xml:space="preserve">al-usturlab = Sanat-ul usturlab</w:t>
      </w:r>
    </w:p>
    <w:p>
      <w:pPr>
        <w:pStyle w:val="BookText"/>
      </w:pPr>
      <w:r>
        <w:rPr>
          <w:rFonts w:ascii="IRNazanin" w:hAnsi="IRNazanin" w:eastAsia="IRNazanin" w:cs="IRNazanin"/>
          <w:lang w:bidi="fa-IR"/>
          <w:color w:val="111111"/>
          <w:sz w:val="28"/>
          <w:szCs w:val="28"/>
          <w:rtl/>
        </w:rPr>
        <w:t xml:space="preserve">ابوریحان  بیرونی، محمد بن  احمد، ۳۶۲ – ۴۴۰ قمری</w:t>
      </w:r>
    </w:p>
    <w:p>
      <w:pPr>
        <w:pStyle w:val="BookText"/>
      </w:pPr>
      <w:r>
        <w:rPr>
          <w:rFonts w:ascii="Times New Roman" w:hAnsi="Times New Roman" w:eastAsia="Times New Roman" w:cs="Times New Roman"/>
          <w:lang w:val="en-US" w:bidi="en-US"/>
          <w:color w:val="111111"/>
          <w:sz w:val="28"/>
          <w:szCs w:val="28"/>
          <w:rtl/>
        </w:rPr>
        <w:t xml:space="preserve">(1049-abū-reyhān-e bīrūnī, mohammad ebn-e ahmad (974 -</w:t>
      </w:r>
    </w:p>
    <w:p>
      <w:pPr>
        <w:pStyle w:val="BookText"/>
      </w:pPr>
      <w:r>
        <w:rPr>
          <w:rFonts w:ascii="IRNazanin" w:hAnsi="IRNazanin" w:eastAsia="IRNazanin" w:cs="IRNazanin"/>
          <w:lang w:bidi="fa-IR"/>
          <w:color w:val="111111"/>
          <w:sz w:val="28"/>
          <w:szCs w:val="28"/>
          <w:rtl/>
        </w:rPr>
        <w:t xml:space="preserve">در فهرست نگاشته های او به این چند رساله در باب اسطرلاب بر می خوریم: ۱. في استيعاب الوجوه الممكنة في صنعة الاصطرلاب ٢. في تسهيل التصحيح الاصطرلابي و العمل مركباته من الشمالى و الجنوبي؛ ٣. فى استعمال الاصطرلاب الكرى؛ ۴. الاسطرلاب.</w:t>
      </w:r>
    </w:p>
    <w:p>
      <w:pPr>
        <w:pStyle w:val="BookText"/>
      </w:pPr>
      <w:r>
        <w:rPr>
          <w:rFonts w:ascii="Amiri" w:hAnsi="Amiri" w:eastAsia="Amiri" w:cs="Amiri"/>
          <w:lang w:bidi="ar-SA"/>
          <w:color w:val="111111"/>
          <w:sz w:val="28"/>
          <w:szCs w:val="28"/>
          <w:rtl/>
        </w:rPr>
        <w:t xml:space="preserve">آغاز: مقالة ابى الريحان محمد بن محمد البيروني في صنعة الاسطرلاب. اذا اردنا ذلك نتخذ دائرة مدار رأس الجدى دايرة عليها ا.ب. ج. د</w:t>
      </w:r>
    </w:p>
    <w:p>
      <w:pPr>
        <w:pStyle w:val="BookText"/>
      </w:pPr>
      <w:r>
        <w:rPr>
          <w:rFonts w:ascii="Amiri" w:hAnsi="Amiri" w:eastAsia="Amiri" w:cs="Amiri"/>
          <w:lang w:bidi="ar-SA"/>
          <w:color w:val="111111"/>
          <w:sz w:val="28"/>
          <w:szCs w:val="28"/>
          <w:rtl/>
        </w:rPr>
        <w:t xml:space="preserve">انجام: و هذا صورته. تم ما وجد من عنل الاسطرلاب لابي  الريحان و الحمد لله.</w:t>
      </w:r>
    </w:p>
    <w:p>
      <w:pPr>
        <w:pStyle w:val="BookText"/>
      </w:pPr>
      <w:r>
        <w:rPr>
          <w:rFonts w:ascii="IRNazanin" w:hAnsi="IRNazanin" w:eastAsia="IRNazanin" w:cs="IRNazanin"/>
          <w:lang w:bidi="fa-IR"/>
          <w:color w:val="111111"/>
          <w:sz w:val="28"/>
          <w:szCs w:val="28"/>
          <w:rtl/>
        </w:rPr>
        <w:t xml:space="preserve">[ذریعه ۷۰/۱۱ رسالة في الاسطراب»]</w:t>
      </w:r>
    </w:p>
    <w:p>
      <w:pPr>
        <w:pStyle w:val="BookText"/>
      </w:pPr>
      <w:r>
        <w:rPr>
          <w:rFonts w:ascii="IRNazanin" w:hAnsi="IRNazanin" w:eastAsia="IRNazanin" w:cs="IRNazanin"/>
          <w:lang w:bidi="fa-IR"/>
          <w:color w:val="111111"/>
          <w:sz w:val="28"/>
          <w:szCs w:val="28"/>
          <w:rtl/>
        </w:rPr>
        <w:t xml:space="preserve">تهران؛ دانشگاه؛ شماره نسخه: ۵۴۶۹/۱</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بی کا، تا: ۵۵۷؛ خریداری شده از کتابخانه شیخ علی  علومی یزد (شماره  ۶۴، معرفی شده در نشریه ۴: ۴۴۸)؛ مهر : «وقف مزار حضرت مخدوم العلماء المحققين مولانا شرف الملة و الدين على اليزدى ...» تملک: علی بن محمود بن على متطبب؛ کاغذ: سمرقندی، جلد: مقوایی با لولا ۲۵ سطر (۹/۵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قطع:ربعی،۱۳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۱۸/۵سم [ف: ۱۶ - ۱۷]</w:t>
      </w:r>
    </w:p>
    <w:p>
      <w:pPr>
        <w:pStyle w:val="BookText"/>
      </w:pPr>
      <w:r>
        <w:rPr>
          <w:rFonts w:ascii="IRNazanin" w:hAnsi="IRNazanin" w:eastAsia="IRNazanin" w:cs="IRNazanin"/>
          <w:lang w:bidi="fa-IR"/>
          <w:color w:val="111111"/>
          <w:sz w:val="28"/>
          <w:szCs w:val="28"/>
          <w:rtl/>
        </w:rPr>
        <w:t xml:space="preserve">تهران؛ دائرة المعارف؛ شماره نسخه: ۴۳۴/۱-عکسی</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اصل نسخه: همان نسخه بالا 7گ (۱-۷) [ف: ۲ - ۲۳]</w:t>
      </w:r>
    </w:p>
    <w:p>
      <w:pPr>
        <w:pStyle w:val="Heading3"/>
      </w:pPr>
      <w:bookmarkStart w:id="1486" w:name="_Toc1008"/>
      <w:r>
        <w:t>الاسطرلاب = معرفة الاسطرلاب = علم الاسطرلاب /  اسطرلاب / عربی</w:t>
      </w:r>
      <w:bookmarkEnd w:id="1486"/>
    </w:p>
    <w:p>
      <w:pPr>
        <w:pStyle w:val="BookText"/>
      </w:pPr>
      <w:r>
        <w:rPr>
          <w:rFonts w:ascii="Times New Roman" w:hAnsi="Times New Roman" w:eastAsia="Times New Roman" w:cs="Times New Roman"/>
          <w:lang w:val="en-US" w:bidi="en-US"/>
          <w:color w:val="111111"/>
          <w:sz w:val="28"/>
          <w:szCs w:val="28"/>
          <w:rtl/>
        </w:rPr>
        <w:t xml:space="preserve">al-usturlab = marifat-ul usturlab = ilm-ul usturlab</w:t>
      </w:r>
    </w:p>
    <w:p>
      <w:pPr>
        <w:pStyle w:val="BookText"/>
      </w:pPr>
      <w:r>
        <w:rPr>
          <w:rFonts w:ascii="IRNazanin" w:hAnsi="IRNazanin" w:eastAsia="IRNazanin" w:cs="IRNazanin"/>
          <w:lang w:bidi="fa-IR"/>
          <w:color w:val="111111"/>
          <w:sz w:val="28"/>
          <w:szCs w:val="28"/>
          <w:rtl/>
        </w:rPr>
        <w:t xml:space="preserve">ابوریحان بیرونی، محمد بن  احمد، ۳۶۲ - ۴۴۰ قمری</w:t>
      </w:r>
    </w:p>
    <w:p>
      <w:pPr>
        <w:pStyle w:val="BookText"/>
      </w:pPr>
      <w:r>
        <w:rPr>
          <w:rFonts w:ascii="Times New Roman" w:hAnsi="Times New Roman" w:eastAsia="Times New Roman" w:cs="Times New Roman"/>
          <w:lang w:val="en-US" w:bidi="en-US"/>
          <w:color w:val="111111"/>
          <w:sz w:val="28"/>
          <w:szCs w:val="28"/>
          <w:rtl/>
        </w:rPr>
        <w:t xml:space="preserve">(1049-abū-reyhān-e bīrūnī, mohammad ebn-e ahmad (974 -</w:t>
      </w:r>
    </w:p>
    <w:p>
      <w:pPr>
        <w:pStyle w:val="BookText"/>
      </w:pPr>
      <w:r>
        <w:rPr>
          <w:rFonts w:ascii="IRNazanin" w:hAnsi="IRNazanin" w:eastAsia="IRNazanin" w:cs="IRNazanin"/>
          <w:lang w:bidi="fa-IR"/>
          <w:color w:val="111111"/>
          <w:sz w:val="28"/>
          <w:szCs w:val="28"/>
          <w:rtl/>
        </w:rPr>
        <w:t xml:space="preserve">رساله ای است در اسطرلاب دارای شصت و هفت «باب» که مؤلف به درخواست بعضی از دوستداران این علم نوشته تا از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286" w:name="pg20365_260401"/>
    <w:bookmarkEnd w:id="286"/>
    <w:p>
      <w:pPr>
        <w:pStyle w:val="BookText"/>
      </w:pPr>
      <w:r>
        <w:rPr>
          <w:rFonts w:ascii="IRNazanin" w:hAnsi="IRNazanin" w:eastAsia="IRNazanin" w:cs="IRNazanin"/>
          <w:lang w:bidi="fa-IR"/>
          <w:color w:val="111111"/>
          <w:sz w:val="28"/>
          <w:szCs w:val="28"/>
          <w:rtl/>
        </w:rPr>
        <w:t xml:space="preserve">سایر تألیفاتی که در این باره شده بی نیاز گردند. فهرست ابواب در آغاز کتاب ذکر شده است در دیباچه، نمایه ۶۷ «باب» آمده است.</w:t>
      </w:r>
    </w:p>
    <w:p>
      <w:pPr>
        <w:pStyle w:val="BookText"/>
      </w:pPr>
      <w:r>
        <w:rPr>
          <w:rFonts w:ascii="IRNazanin" w:hAnsi="IRNazanin" w:eastAsia="IRNazanin" w:cs="IRNazanin"/>
          <w:lang w:bidi="fa-IR"/>
          <w:color w:val="111111"/>
          <w:sz w:val="28"/>
          <w:szCs w:val="28"/>
          <w:rtl/>
        </w:rPr>
        <w:t xml:space="preserve">آغاز: بسمله حسبى الله و نعم الوكيل وعليه توكلت و اليه انیب قال الاسطرلاب اشرف الآلات المستعملة في صناعة النجوم و مخصوص من بينها بخفة المونة فى الثقل و الاستعمال مع سرعة الايقان</w:t>
      </w:r>
    </w:p>
    <w:p>
      <w:pPr>
        <w:pStyle w:val="BookText"/>
      </w:pPr>
      <w:r>
        <w:rPr>
          <w:rFonts w:ascii="Amiri" w:hAnsi="Amiri" w:eastAsia="Amiri" w:cs="Amiri"/>
          <w:lang w:bidi="ar-SA"/>
          <w:color w:val="111111"/>
          <w:sz w:val="28"/>
          <w:szCs w:val="28"/>
          <w:rtl/>
        </w:rPr>
        <w:t xml:space="preserve">انجام: ثم اعمل ساير الاعمال على حسب ما تقدم حذو القذة بالقذة و الله اعلم بالصواب و اليه المرجع والمآب</w:t>
      </w:r>
    </w:p>
    <w:p>
      <w:pPr>
        <w:pStyle w:val="BookText"/>
      </w:pPr>
      <w:r>
        <w:rPr>
          <w:rFonts w:ascii="IRNazanin" w:hAnsi="IRNazanin" w:eastAsia="IRNazanin" w:cs="IRNazanin"/>
          <w:lang w:bidi="fa-IR"/>
          <w:color w:val="111111"/>
          <w:sz w:val="28"/>
          <w:szCs w:val="28"/>
          <w:rtl/>
        </w:rPr>
        <w:t xml:space="preserve">[کتاب شناسی ابوریحان از احمد سعید خان ترجمه عبدالحی حبيبى ص560 و ۱۰۱؛ بروکلمان ذیل ۸۷۳/۱ ش ۵۶؛ الذريعة 1/ 36؛ الاسطرلاب گورگیس عواد ۱۵۷]</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الهیات؛ شماره نسخه: ۳۴۱/۱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عبدالله بن محمد بن خالد، تا: ربیع الثانى 791ق؛ کاغذ ،سمرقندی، ۶۰گ (اپ - ۶۰ پ)، ۱۱) سطر (8</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اندازه:۱۳</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۱۷سم [ف: ۲۸۲]</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الهیات؛ شماره نسخه: ۵۱/۱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نزدیک به پایان ربیع الثانی ۷۹۱ق؛ کاغذ: فرنگی  ضخیم، جلد: تیماج مشکی مقوایی، ۷۴گ (۲ پ- ۷۵ پ)،  ۱۴ سطر (۸/۵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 اندازه: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۲۲۲]</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دانشگاه؛ شماره نسخه: ۱۹۷۱/۲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مؤمن موسوی  قمی، تا: ۱۲۷۳ق؛ کاغذ:فرنگی، جلد: پارچه ترمه مقوایی گرد آن تیماج  مشکی، ۴۳گ (۱۳پ- ۵۵ر ) ، ۱۵ سطر ،(7</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۱۷/۵سم [ف: ۸ - ۵۸۳]</w:t>
      </w:r>
    </w:p>
    <w:p>
      <w:pPr>
        <w:pStyle w:val="BookText"/>
      </w:pPr>
      <w:r>
        <w:rPr>
          <w:rFonts w:ascii="IRNazanin" w:hAnsi="IRNazanin" w:eastAsia="IRNazanin" w:cs="IRNazanin"/>
          <w:lang w:bidi="fa-IR"/>
          <w:color w:val="111111"/>
          <w:sz w:val="28"/>
          <w:szCs w:val="28"/>
          <w:rtl/>
        </w:rPr>
        <w:t xml:space="preserve">تهران؛ دائرة المعارف؛ شماره نسخه: ۴۵۵/۱- عکسی</w:t>
      </w:r>
    </w:p>
    <w:p>
      <w:pPr>
        <w:pStyle w:val="BookText"/>
      </w:pPr>
      <w:r>
        <w:rPr>
          <w:rFonts w:ascii="IRNazanin" w:hAnsi="IRNazanin" w:eastAsia="IRNazanin" w:cs="IRNazanin"/>
          <w:lang w:bidi="fa-IR"/>
          <w:color w:val="111111"/>
          <w:sz w:val="28"/>
          <w:szCs w:val="28"/>
          <w:rtl/>
        </w:rPr>
        <w:t xml:space="preserve">اصل  نسخه: همان نسخه بالا[ف: ۲ - ۲۳]</w:t>
      </w:r>
    </w:p>
    <w:p>
      <w:pPr>
        <w:pStyle w:val="BookText"/>
      </w:pPr>
      <w:r>
        <w:rPr>
          <w:rFonts w:ascii="IRNazanin" w:hAnsi="IRNazanin" w:eastAsia="IRNazanin" w:cs="IRNazanin"/>
          <w:lang w:bidi="fa-IR"/>
          <w:color w:val="111111"/>
          <w:sz w:val="28"/>
          <w:szCs w:val="28"/>
          <w:rtl/>
        </w:rPr>
        <w:t xml:space="preserve">4.تهران؛ مجلس؛ شماره نسخه: ۱۵۱۶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در فهرست بدون نام مؤلف است؛ خط: نستعلیق، بی کا،تا: ۱۲۸۳ق؛ كاغذ: ایرانی برنگ  آبی، جلد: تیماج مشکی بدون مقـوا، ۱۰۵ ص ، ۱۷ سطر، قطع: وزیری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۴ - 225]</w:t>
      </w:r>
    </w:p>
    <w:p>
      <w:pPr>
        <w:pStyle w:val="BookText"/>
      </w:pPr>
      <w:r>
        <w:rPr>
          <w:rFonts w:ascii="IRNazanin" w:hAnsi="IRNazanin" w:eastAsia="IRNazanin" w:cs="IRNazanin"/>
          <w:lang w:bidi="fa-IR"/>
          <w:color w:val="111111"/>
          <w:sz w:val="28"/>
          <w:szCs w:val="28"/>
          <w:rtl/>
        </w:rPr>
        <w:t xml:space="preserve">۵. مشهد؛ رضوی؛ شماره نسخه: ۵۵۹۴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،تحریری، بی کا، تا: ۱۳۱۸ق؛ مجدول ،واقف:نایینی ؛کاغذ: سفید فرنگی آهار مهره و مجدول، جلد: پارچه ای، ۲۴گ، اندازه: 17/7</w:t>
      </w:r>
      <w:r>
        <w:rPr>
          <w:rFonts w:ascii="Times New Roman" w:hAnsi="Times New Roman" w:eastAsia="Times New Roman" w:cs="Times New Roman"/>
          <w:lang w:val="en-US" w:bidi="en-US"/>
          <w:color w:val="111111"/>
          <w:sz w:val="28"/>
          <w:szCs w:val="28"/>
          <w:rtl/>
        </w:rPr>
        <w:t xml:space="preserve">×22/7</w:t>
      </w:r>
      <w:r>
        <w:rPr>
          <w:rFonts w:ascii="IRNazanin" w:hAnsi="IRNazanin" w:eastAsia="IRNazanin" w:cs="IRNazanin"/>
          <w:lang w:bidi="fa-IR"/>
          <w:color w:val="111111"/>
          <w:sz w:val="28"/>
          <w:szCs w:val="28"/>
          <w:rtl/>
        </w:rPr>
        <w:t xml:space="preserve">سم [ف: ۸ - ۳۰]</w:t>
      </w:r>
    </w:p>
    <w:p>
      <w:pPr>
        <w:pStyle w:val="BookText"/>
      </w:pPr>
      <w:r>
        <w:rPr>
          <w:rFonts w:ascii="IRNazanin" w:hAnsi="IRNazanin" w:eastAsia="IRNazanin" w:cs="IRNazanin"/>
          <w:lang w:bidi="fa-IR"/>
          <w:color w:val="111111"/>
          <w:sz w:val="28"/>
          <w:szCs w:val="28"/>
          <w:rtl/>
        </w:rPr>
        <w:t xml:space="preserve">تهران؛ دائرة المعارف؛ شماره نسخه: ۴۸۱- عکسی</w:t>
      </w:r>
    </w:p>
    <w:p>
      <w:pPr>
        <w:pStyle w:val="BookText"/>
      </w:pPr>
      <w:r>
        <w:rPr>
          <w:rFonts w:ascii="IRNazanin" w:hAnsi="IRNazanin" w:eastAsia="IRNazanin" w:cs="IRNazanin"/>
          <w:lang w:bidi="fa-IR"/>
          <w:color w:val="111111"/>
          <w:sz w:val="28"/>
          <w:szCs w:val="28"/>
          <w:rtl/>
        </w:rPr>
        <w:t xml:space="preserve">اصل  نسخه: همان نسخه بالا [ف: ۲ - ۲۳]</w:t>
      </w:r>
    </w:p>
    <w:p>
      <w:pPr>
        <w:pStyle w:val="BookText"/>
      </w:pPr>
      <w:r>
        <w:rPr>
          <w:rFonts w:ascii="IRNazanin" w:hAnsi="IRNazanin" w:eastAsia="IRNazanin" w:cs="IRNazanin"/>
          <w:lang w:bidi="fa-IR"/>
          <w:color w:val="111111"/>
          <w:sz w:val="28"/>
          <w:szCs w:val="28"/>
          <w:rtl/>
        </w:rPr>
        <w:t xml:space="preserve">قم؛ مرکز احیاء؛ شماره نسخه: ۴۶</w:t>
      </w:r>
    </w:p>
    <w:p>
      <w:pPr>
        <w:pStyle w:val="BookText"/>
      </w:pPr>
      <w:r>
        <w:rPr>
          <w:rFonts w:ascii="IRNazanin" w:hAnsi="IRNazanin" w:eastAsia="IRNazanin" w:cs="IRNazanin"/>
          <w:lang w:bidi="fa-IR"/>
          <w:color w:val="111111"/>
          <w:sz w:val="28"/>
          <w:szCs w:val="28"/>
          <w:rtl/>
        </w:rPr>
        <w:t xml:space="preserve">نسخه اصل: همان نسخه بالا [عکسی ف: ۱ - ۶۰]</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یزد؛ وزیری؛ شماره نسخه: ۳۷۵۳/۸</w:t>
      </w:r>
    </w:p>
    <w:p>
      <w:pPr>
        <w:pStyle w:val="BookText"/>
      </w:pPr>
      <w:r>
        <w:rPr>
          <w:rFonts w:ascii="IRNazanin" w:hAnsi="IRNazanin" w:eastAsia="IRNazanin" w:cs="IRNazanin"/>
          <w:lang w:bidi="fa-IR"/>
          <w:color w:val="111111"/>
          <w:sz w:val="28"/>
          <w:szCs w:val="28"/>
          <w:rtl/>
        </w:rPr>
        <w:t xml:space="preserve">آغاز: برابر؛ انجام: فذلک - العرض مستور لهما اخيراً انشاء الله</w:t>
      </w:r>
    </w:p>
    <w:p>
      <w:pPr>
        <w:pStyle w:val="BookText"/>
      </w:pPr>
      <w:r>
        <w:rPr>
          <w:rFonts w:ascii="IRNazanin" w:hAnsi="IRNazanin" w:eastAsia="IRNazanin" w:cs="IRNazanin"/>
          <w:lang w:bidi="fa-IR"/>
          <w:color w:val="111111"/>
          <w:sz w:val="28"/>
          <w:szCs w:val="28"/>
          <w:rtl/>
        </w:rPr>
        <w:t xml:space="preserve">خط: نسخ، بی کا، بی تا؛ افتادگی: انجام؛ کاغذ: فرنگی، جلد: مقوایی لولادار روکش تیماج زرد ،ضربی ۱۳ ص (۶۶-۷۸)، ۴۱سطر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۵ - ۱۷۸۳]</w:t>
      </w:r>
    </w:p>
    <w:p>
      <w:pPr>
        <w:pStyle w:val="Heading3"/>
      </w:pPr>
      <w:bookmarkStart w:id="1487" w:name="_Toc1009"/>
      <w:r>
        <w:t>الاسطرلاب = اربعة فصول / اسطرلاب / عربي</w:t>
      </w:r>
      <w:bookmarkEnd w:id="1487"/>
    </w:p>
    <w:p>
      <w:pPr>
        <w:pStyle w:val="BookText"/>
      </w:pPr>
      <w:r>
        <w:rPr>
          <w:rFonts w:ascii="Times New Roman" w:hAnsi="Times New Roman" w:eastAsia="Times New Roman" w:cs="Times New Roman"/>
          <w:lang w:val="en-US" w:bidi="en-US"/>
          <w:color w:val="111111"/>
          <w:sz w:val="28"/>
          <w:szCs w:val="28"/>
          <w:rtl/>
        </w:rPr>
        <w:t xml:space="preserve">al-usturlab = arba at-u fusul</w:t>
      </w:r>
    </w:p>
    <w:p>
      <w:pPr>
        <w:pStyle w:val="BookText"/>
      </w:pPr>
      <w:r>
        <w:rPr>
          <w:rFonts w:ascii="IRNazanin" w:hAnsi="IRNazanin" w:eastAsia="IRNazanin" w:cs="IRNazanin"/>
          <w:lang w:bidi="fa-IR"/>
          <w:color w:val="111111"/>
          <w:sz w:val="28"/>
          <w:szCs w:val="28"/>
          <w:rtl/>
        </w:rPr>
        <w:t xml:space="preserve">کوشیار بن لبان، - ۴۹۵ ؟ قمری</w:t>
      </w:r>
    </w:p>
    <w:p>
      <w:pPr>
        <w:pStyle w:val="BookText"/>
      </w:pPr>
      <w:r>
        <w:rPr>
          <w:rFonts w:ascii="Times New Roman" w:hAnsi="Times New Roman" w:eastAsia="Times New Roman" w:cs="Times New Roman"/>
          <w:lang w:val="en-US" w:bidi="en-US"/>
          <w:color w:val="111111"/>
          <w:sz w:val="28"/>
          <w:szCs w:val="28"/>
          <w:rtl/>
        </w:rPr>
        <w:t xml:space="preserve">(kūšyār ebn-e laban (- 1102)</w:t>
      </w:r>
    </w:p>
    <w:p>
      <w:pPr>
        <w:pStyle w:val="BookText"/>
      </w:pPr>
      <w:r>
        <w:rPr>
          <w:rFonts w:ascii="IRNazanin" w:hAnsi="IRNazanin" w:eastAsia="IRNazanin" w:cs="IRNazanin"/>
          <w:lang w:bidi="fa-IR"/>
          <w:color w:val="111111"/>
          <w:sz w:val="28"/>
          <w:szCs w:val="28"/>
          <w:rtl/>
        </w:rPr>
        <w:t xml:space="preserve">دارای «مقدمه» و چهار «فصل» :۱. ابواب يحتاج اليها عملا و استعمالا ،دائما، در ۲۴ باب .۲ ابواب يحتاج اليها عملا من دون الاستعمال الا فى قليل من الامور در ۱۲ باب؛ ٣. معرفة امتحان الآلات والدوائر و الخطوط المرسومة فى الاسطرلاب وصحتها، ۱۲ باب؛ ۴. صنعة الاسطرلاب.</w:t>
      </w:r>
    </w:p>
    <w:p>
      <w:pPr>
        <w:pStyle w:val="BookText"/>
      </w:pPr>
      <w:r>
        <w:rPr>
          <w:rFonts w:ascii="Amiri" w:hAnsi="Amiri" w:eastAsia="Amiri" w:cs="Amiri"/>
          <w:lang w:bidi="ar-SA"/>
          <w:color w:val="111111"/>
          <w:sz w:val="28"/>
          <w:szCs w:val="28"/>
          <w:rtl/>
        </w:rPr>
        <w:t xml:space="preserve">آغاز ،بسمله ،حمدله، قال الكيا كوشيار بن لبان بن ماشهر الجيلى (رحمه الله) الاسطرلاب كلمة يونانية واشهر ماقيل في معناها انها ميزان در الشمس</w:t>
      </w:r>
    </w:p>
    <w:p>
      <w:pPr>
        <w:pStyle w:val="BookText"/>
      </w:pPr>
      <w:r>
        <w:rPr>
          <w:rFonts w:ascii="Amiri" w:hAnsi="Amiri" w:eastAsia="Amiri" w:cs="Amiri"/>
          <w:lang w:bidi="ar-SA"/>
          <w:color w:val="111111"/>
          <w:sz w:val="28"/>
          <w:szCs w:val="28"/>
          <w:rtl/>
        </w:rPr>
        <w:t xml:space="preserve">انجام: و مبتداء من خط وتد الارض الى منتصف الربع ايضا وذلك ما اردنا ان نبين ونختم الكتاب بهذا الفصل والفصل بهذا  الكتاب</w:t>
      </w:r>
    </w:p>
    <w:p>
      <w:pPr>
        <w:pStyle w:val="BookText"/>
      </w:pPr>
      <w:r>
        <w:rPr>
          <w:rFonts w:ascii="IRNazanin" w:hAnsi="IRNazanin" w:eastAsia="IRNazanin" w:cs="IRNazanin"/>
          <w:lang w:bidi="fa-IR"/>
          <w:color w:val="111111"/>
          <w:sz w:val="28"/>
          <w:szCs w:val="28"/>
          <w:rtl/>
        </w:rPr>
        <w:t xml:space="preserve">[سزگین ۲۴۸/۶؛ بروکلمان ۲۲۲/۱ -۲۲۳ تعلیقات چهار مقاله از محمد قزوینی و از دکتر معین چاپ مصحح دکتر معین ۲۶۱-۶۶۴؛ الذريعة ۷۳/۱۱؛ دنا</w:t>
      </w:r>
    </w:p>
    <w:p>
      <w:pPr>
        <w:pStyle w:val="BookText"/>
      </w:pPr>
      <w:r>
        <w:rPr>
          <w:rFonts w:ascii="IRNazanin" w:hAnsi="IRNazanin" w:eastAsia="IRNazanin" w:cs="IRNazanin"/>
          <w:lang w:bidi="fa-IR"/>
          <w:color w:val="111111"/>
          <w:sz w:val="28"/>
          <w:szCs w:val="28"/>
          <w:rtl/>
        </w:rPr>
        <w:t xml:space="preserve">۷۹۶/۱ (۸ نسخه)]</w:t>
      </w:r>
    </w:p>
    <w:p>
      <w:pPr>
        <w:pStyle w:val="BookText"/>
      </w:pPr>
      <w:r>
        <w:rPr>
          <w:rFonts w:ascii="IRNazanin" w:hAnsi="IRNazanin" w:eastAsia="IRNazanin" w:cs="IRNazanin"/>
          <w:lang w:bidi="fa-IR"/>
          <w:color w:val="111111"/>
          <w:sz w:val="28"/>
          <w:szCs w:val="28"/>
          <w:rtl/>
        </w:rPr>
        <w:t xml:space="preserve">۱. تهران؛ دانشگاه؛ شماره نسخه: ۸۶۱۲/۱</w:t>
      </w:r>
    </w:p>
    <w:p>
      <w:pPr>
        <w:pStyle w:val="BookText"/>
      </w:pPr>
      <w:r>
        <w:rPr>
          <w:rFonts w:ascii="IRNazanin" w:hAnsi="IRNazanin" w:eastAsia="IRNazanin" w:cs="IRNazanin"/>
          <w:lang w:bidi="fa-IR"/>
          <w:color w:val="111111"/>
          <w:sz w:val="28"/>
          <w:szCs w:val="28"/>
          <w:rtl/>
        </w:rPr>
        <w:t xml:space="preserve">خط: نسخ، بی کا، تا: قرن ۱۰؛ کاغذ: سپاهانی، جلد: تیماج مشکی ترنجی مقوایی، ۲۷گ(۳پ-۲۹ر)، ۲۲ سطر (۴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قطع:  ربعی [ف: ۱۷ - ۱۷۶]</w:t>
      </w:r>
    </w:p>
    <w:p>
      <w:pPr>
        <w:pStyle w:val="BookText"/>
      </w:pPr>
      <w:r>
        <w:rPr>
          <w:rFonts w:ascii="IRNazanin" w:hAnsi="IRNazanin" w:eastAsia="IRNazanin" w:cs="IRNazanin"/>
          <w:lang w:bidi="fa-IR"/>
          <w:color w:val="111111"/>
          <w:sz w:val="28"/>
          <w:szCs w:val="28"/>
          <w:rtl/>
        </w:rPr>
        <w:t xml:space="preserve">۲. مشهد؛ رضوی؛ شماره نسخه: ۱۹۳۲۲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خفی  خوش، بی کا، تا: قرن ۱۱ [رایانه]</w:t>
      </w:r>
    </w:p>
    <w:p>
      <w:pPr>
        <w:pStyle w:val="BookText"/>
      </w:pPr>
      <w:r>
        <w:rPr>
          <w:rFonts w:ascii="IRNazanin" w:hAnsi="IRNazanin" w:eastAsia="IRNazanin" w:cs="IRNazanin"/>
          <w:lang w:bidi="fa-IR"/>
          <w:color w:val="111111"/>
          <w:sz w:val="28"/>
          <w:szCs w:val="28"/>
          <w:rtl/>
        </w:rPr>
        <w:t xml:space="preserve">3.مشهد؛ رضوی؛ شماره نسخه: ۵۵۲۹/۳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۱۱، تحریر در متن و حاشیه، مجدول، کاغذ: نخودی ،جلد ،مقوایی ۱۳ ص( ۷-۱۹)، ۲۳ سطر (۱۸/۵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۳۰/۵ )،اندازه: 24/5</w:t>
      </w:r>
      <w:r>
        <w:rPr>
          <w:rFonts w:ascii="Times New Roman" w:hAnsi="Times New Roman" w:eastAsia="Times New Roman" w:cs="Times New Roman"/>
          <w:lang w:val="en-US" w:bidi="en-US"/>
          <w:color w:val="111111"/>
          <w:sz w:val="28"/>
          <w:szCs w:val="28"/>
          <w:rtl/>
        </w:rPr>
        <w:t xml:space="preserve">×34/3</w:t>
      </w:r>
      <w:r>
        <w:rPr>
          <w:rFonts w:ascii="IRNazanin" w:hAnsi="IRNazanin" w:eastAsia="IRNazanin" w:cs="IRNazanin"/>
          <w:lang w:bidi="fa-IR"/>
          <w:color w:val="111111"/>
          <w:sz w:val="28"/>
          <w:szCs w:val="28"/>
          <w:rtl/>
        </w:rPr>
        <w:t xml:space="preserve">سم [ف: ۸ - ۳۲۰]</w:t>
      </w:r>
    </w:p>
    <w:p>
      <w:pPr>
        <w:pStyle w:val="BookText"/>
      </w:pPr>
      <w:r>
        <w:rPr>
          <w:rFonts w:ascii="IRNazanin" w:hAnsi="IRNazanin" w:eastAsia="IRNazanin" w:cs="IRNazanin"/>
          <w:lang w:bidi="fa-IR"/>
          <w:color w:val="111111"/>
          <w:sz w:val="28"/>
          <w:szCs w:val="28"/>
          <w:rtl/>
        </w:rPr>
        <w:t xml:space="preserve">۴. تهران؛ ملک؛ شماره نسخه: ۲۲۴۲/۳</w:t>
      </w:r>
    </w:p>
    <w:p>
      <w:pPr>
        <w:pStyle w:val="BookText"/>
      </w:pPr>
      <w:r>
        <w:rPr>
          <w:rFonts w:ascii="IRNazanin" w:hAnsi="IRNazanin" w:eastAsia="IRNazanin" w:cs="IRNazanin"/>
          <w:lang w:bidi="fa-IR"/>
          <w:color w:val="111111"/>
          <w:sz w:val="28"/>
          <w:szCs w:val="28"/>
          <w:rtl/>
        </w:rPr>
        <w:t xml:space="preserve">خط: نسخ، بی کا، تا: قرن ۱۱ ؛کاغذ: پسته ای و ترمه، جلد: میشن تریاکی  لایی، ۱۹گ (43پ-۴۳پ)، ۲۰ سطر،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۵ - ۴۴۶]</w:t>
      </w:r>
    </w:p>
    <w:p>
      <w:pPr>
        <w:pStyle w:val="BookText"/>
      </w:pPr>
      <w:r>
        <w:rPr>
          <w:rFonts w:ascii="IRNazanin" w:hAnsi="IRNazanin" w:eastAsia="IRNazanin" w:cs="IRNazanin"/>
          <w:lang w:bidi="fa-IR"/>
          <w:color w:val="111111"/>
          <w:sz w:val="28"/>
          <w:szCs w:val="28"/>
          <w:rtl/>
        </w:rPr>
        <w:t xml:space="preserve">۵. مشهد؛ الهیات؛ شماره نسخه: ۵۲۰/۶</w:t>
      </w:r>
    </w:p>
    <w:p>
      <w:pPr>
        <w:pStyle w:val="BookText"/>
      </w:pPr>
      <w:r>
        <w:rPr>
          <w:rFonts w:ascii="Amiri" w:hAnsi="Amiri" w:eastAsia="Amiri" w:cs="Amiri"/>
          <w:lang w:bidi="ar-SA"/>
          <w:color w:val="111111"/>
          <w:sz w:val="28"/>
          <w:szCs w:val="28"/>
          <w:rtl/>
        </w:rPr>
        <w:t xml:space="preserve">آغاز: برابر؛ انجام: حتى يكون ملتقى الخطين من الجانبين تمت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287" w:name="pg20365_260402"/>
    <w:bookmarkEnd w:id="287"/>
    <w:p>
      <w:pPr>
        <w:pStyle w:val="BookText"/>
      </w:pPr>
      <w:r>
        <w:rPr>
          <w:rFonts w:ascii="Amiri" w:hAnsi="Amiri" w:eastAsia="Amiri" w:cs="Amiri"/>
          <w:lang w:bidi="ar-SA"/>
          <w:color w:val="111111"/>
          <w:sz w:val="28"/>
          <w:szCs w:val="28"/>
          <w:rtl/>
        </w:rPr>
        <w:t xml:space="preserve">الرساله بعون الله وحسن توفيقه</w:t>
      </w:r>
    </w:p>
    <w:p>
      <w:pPr>
        <w:pStyle w:val="BookText"/>
      </w:pPr>
      <w:r>
        <w:rPr>
          <w:rFonts w:ascii="IRNazanin" w:hAnsi="IRNazanin" w:eastAsia="IRNazanin" w:cs="IRNazanin"/>
          <w:lang w:bidi="fa-IR"/>
          <w:color w:val="111111"/>
          <w:sz w:val="28"/>
          <w:szCs w:val="28"/>
          <w:rtl/>
        </w:rPr>
        <w:t xml:space="preserve">نام مؤلف به قرینه آغاز نسخه تعیین شد؛ خط: نسخ، بی کا، تا: پنج شنبه ۱۲ربیع الثانی ۱۰۱۸ق؛ مهر: «عبده المطلب»؛ كاغذ: اصفهانی و فرنگی ،جلد: تیماج قهوه ای ۱۵ سطر (12/5</w:t>
      </w:r>
      <w:r>
        <w:rPr>
          <w:rFonts w:ascii="Times New Roman" w:hAnsi="Times New Roman" w:eastAsia="Times New Roman" w:cs="Times New Roman"/>
          <w:lang w:val="en-US" w:bidi="en-US"/>
          <w:color w:val="111111"/>
          <w:sz w:val="28"/>
          <w:szCs w:val="28"/>
          <w:rtl/>
        </w:rPr>
        <w:t xml:space="preserve">×6/5) </w:t>
      </w:r>
      <w:r>
        <w:rPr>
          <w:rFonts w:ascii="IRNazanin" w:hAnsi="IRNazanin" w:eastAsia="IRNazanin" w:cs="IRNazanin"/>
          <w:lang w:bidi="fa-IR"/>
          <w:color w:val="111111"/>
          <w:sz w:val="28"/>
          <w:szCs w:val="28"/>
          <w:rtl/>
        </w:rPr>
        <w:t xml:space="preserve">، قطع: ربعی،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۱ - ۴۶۰]</w:t>
      </w:r>
    </w:p>
    <w:p>
      <w:pPr>
        <w:pStyle w:val="BookText"/>
      </w:pPr>
      <w:r>
        <w:rPr>
          <w:rFonts w:ascii="IRNazanin" w:hAnsi="IRNazanin" w:eastAsia="IRNazanin" w:cs="IRNazanin"/>
          <w:lang w:bidi="fa-IR"/>
          <w:color w:val="111111"/>
          <w:sz w:val="28"/>
          <w:szCs w:val="28"/>
          <w:rtl/>
        </w:rPr>
        <w:t xml:space="preserve">6.تهران؛ دانشگاه؛ شماره نسخه: ۲۰۹۲/۱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محمد یوسف بن محمد حسین طالقانی، تا: شوال ۱۰۵۷ق؛ نوشته شده از روی نسخه مورخ روز سه شنبه 4 ربیع الاول ۴۹۹ نوشته مسعود بن محمد بن على بن حمزه؛ كاغذ: سپاهانی، جلد: تیماج حنایی، ۲۳گ (۳پ-۲۵پ)، ۱۶ سـطر (6</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۸ - ۷۱۷]</w:t>
      </w:r>
    </w:p>
    <w:p>
      <w:pPr>
        <w:pStyle w:val="BookText"/>
      </w:pPr>
      <w:r>
        <w:rPr>
          <w:rFonts w:ascii="IRNazanin" w:hAnsi="IRNazanin" w:eastAsia="IRNazanin" w:cs="IRNazanin"/>
          <w:lang w:bidi="fa-IR"/>
          <w:color w:val="111111"/>
          <w:sz w:val="28"/>
          <w:szCs w:val="28"/>
          <w:rtl/>
        </w:rPr>
        <w:t xml:space="preserve">۷. مشهد؛ شیخ علی حیدر؛ شماره نسخه ۷۷/۳۲</w:t>
      </w:r>
    </w:p>
    <w:p>
      <w:pPr>
        <w:pStyle w:val="BookText"/>
      </w:pPr>
      <w:r>
        <w:rPr>
          <w:rFonts w:ascii="Amiri" w:hAnsi="Amiri" w:eastAsia="Amiri" w:cs="Amiri"/>
          <w:lang w:bidi="ar-SA"/>
          <w:color w:val="111111"/>
          <w:sz w:val="28"/>
          <w:szCs w:val="28"/>
          <w:rtl/>
        </w:rPr>
        <w:t xml:space="preserve">آغاز: الحمد لله ولى الحمد و أهله والصلاة على نبيه محمد و آله؛</w:t>
      </w:r>
    </w:p>
    <w:p>
      <w:pPr>
        <w:pStyle w:val="BookText"/>
      </w:pPr>
      <w:r>
        <w:rPr>
          <w:rFonts w:ascii="IRNazanin" w:hAnsi="IRNazanin" w:eastAsia="IRNazanin" w:cs="IRNazanin"/>
          <w:lang w:bidi="fa-IR"/>
          <w:color w:val="111111"/>
          <w:sz w:val="28"/>
          <w:szCs w:val="28"/>
          <w:rtl/>
        </w:rPr>
        <w:t xml:space="preserve">انجام: برابر</w:t>
      </w:r>
    </w:p>
    <w:p>
      <w:pPr>
        <w:pStyle w:val="BookText"/>
      </w:pPr>
      <w:r>
        <w:rPr>
          <w:rFonts w:ascii="IRNazanin" w:hAnsi="IRNazanin" w:eastAsia="IRNazanin" w:cs="IRNazanin"/>
          <w:lang w:bidi="fa-IR"/>
          <w:color w:val="111111"/>
          <w:sz w:val="28"/>
          <w:szCs w:val="28"/>
          <w:rtl/>
        </w:rPr>
        <w:t xml:space="preserve">در فهرست ناشناس مانده؛ خط: نستعليق، كا: ابوالقاسم حسینی   تفریشی، تا: ۱۲۶۳ق؛ جلد: چرم سبز،7گ (۱۲۳ر-۱۲۹پ)،23سطر، اندازه: ۲۱/۵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۳۴/۵سم [مؤید: ۳ - ۶۳۵]</w:t>
      </w:r>
    </w:p>
    <w:p>
      <w:pPr>
        <w:pStyle w:val="BookText"/>
      </w:pPr>
      <w:r>
        <w:rPr>
          <w:rFonts w:ascii="IRNazanin" w:hAnsi="IRNazanin" w:eastAsia="IRNazanin" w:cs="IRNazanin"/>
          <w:lang w:bidi="fa-IR"/>
          <w:color w:val="111111"/>
          <w:sz w:val="28"/>
          <w:szCs w:val="28"/>
          <w:rtl/>
        </w:rPr>
        <w:t xml:space="preserve">۸. تهران؛ مجلس؛ شماره نسخه: ۳۲۸۱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سومین بخش از فصل چهارم ناتمام اسـت؛ جلد: مقوا، ۳۰ ص، ۱۸ 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 ۱۰ - ۹۰۴]</w:t>
      </w:r>
    </w:p>
    <w:p>
      <w:pPr>
        <w:pStyle w:val="BookText"/>
      </w:pPr>
      <w:r>
        <w:rPr>
          <w:rFonts w:ascii="IRNazanin" w:hAnsi="IRNazanin" w:eastAsia="IRNazanin" w:cs="IRNazanin"/>
          <w:lang w:bidi="fa-IR"/>
          <w:color w:val="111111"/>
          <w:sz w:val="28"/>
          <w:szCs w:val="28"/>
          <w:rtl/>
        </w:rPr>
        <w:t xml:space="preserve">۹. تهران؛ ملک؛ شماره نسخه: ۳۴۵۵/۶</w:t>
      </w:r>
    </w:p>
    <w:p>
      <w:pPr>
        <w:pStyle w:val="BookText"/>
      </w:pPr>
      <w:r>
        <w:rPr>
          <w:rFonts w:ascii="IRNazanin" w:hAnsi="IRNazanin" w:eastAsia="IRNazanin" w:cs="IRNazanin"/>
          <w:lang w:bidi="fa-IR"/>
          <w:color w:val="111111"/>
          <w:sz w:val="28"/>
          <w:szCs w:val="28"/>
          <w:rtl/>
        </w:rPr>
        <w:t xml:space="preserve">خط: نسخ، بی کا، بی تا، کاغذ: ترمه، جلد: رویه میشن یشمی یـک لایی  مجدول، ۲۳گ (۱۶۹ر-۱۹۱ر)، ۱۴ 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۶ - ۴۳۰]</w:t>
      </w:r>
    </w:p>
    <w:p>
      <w:pPr>
        <w:pStyle w:val="Heading3"/>
      </w:pPr>
      <w:bookmarkStart w:id="1488" w:name="_Toc1010"/>
      <w:r>
        <w:t>الاسطرلاب = العمل بالاسطرلاب / اسطرلاب /عربی</w:t>
      </w:r>
      <w:bookmarkEnd w:id="1488"/>
    </w:p>
    <w:p>
      <w:pPr>
        <w:pStyle w:val="BookText"/>
      </w:pPr>
      <w:r>
        <w:rPr>
          <w:rFonts w:ascii="Times New Roman" w:hAnsi="Times New Roman" w:eastAsia="Times New Roman" w:cs="Times New Roman"/>
          <w:lang w:val="en-US" w:bidi="en-US"/>
          <w:color w:val="111111"/>
          <w:sz w:val="28"/>
          <w:szCs w:val="28"/>
          <w:rtl/>
        </w:rPr>
        <w:t xml:space="preserve">al-usṭurlāb = al-‘amal bi-l-usṭurlāb</w:t>
      </w:r>
    </w:p>
    <w:p>
      <w:pPr>
        <w:pStyle w:val="BookText"/>
      </w:pPr>
      <w:r>
        <w:rPr>
          <w:rFonts w:ascii="IRNazanin" w:hAnsi="IRNazanin" w:eastAsia="IRNazanin" w:cs="IRNazanin"/>
          <w:lang w:bidi="fa-IR"/>
          <w:color w:val="111111"/>
          <w:sz w:val="28"/>
          <w:szCs w:val="28"/>
          <w:rtl/>
        </w:rPr>
        <w:t xml:space="preserve">ابن ابی الصلت، امية بن عبدالعزيز، ۴۶۰ - ۵۲۹ قمری</w:t>
      </w:r>
    </w:p>
    <w:p>
      <w:pPr>
        <w:pStyle w:val="BookText"/>
      </w:pPr>
      <w:r>
        <w:rPr>
          <w:rFonts w:ascii="Times New Roman" w:hAnsi="Times New Roman" w:eastAsia="Times New Roman" w:cs="Times New Roman"/>
          <w:lang w:val="en-US" w:bidi="en-US"/>
          <w:color w:val="111111"/>
          <w:sz w:val="28"/>
          <w:szCs w:val="28"/>
          <w:rtl/>
        </w:rPr>
        <w:t xml:space="preserve">[1135-ebn-e abe-s-salt, omayye ben ‘abd-ol-‘azīz (1069 -</w:t>
      </w:r>
    </w:p>
    <w:p>
      <w:pPr>
        <w:pStyle w:val="BookText"/>
      </w:pPr>
      <w:r>
        <w:rPr>
          <w:rFonts w:ascii="IRNazanin" w:hAnsi="IRNazanin" w:eastAsia="IRNazanin" w:cs="IRNazanin"/>
          <w:lang w:bidi="fa-IR"/>
          <w:color w:val="111111"/>
          <w:sz w:val="28"/>
          <w:szCs w:val="28"/>
          <w:rtl/>
        </w:rPr>
        <w:t xml:space="preserve">در نود باب از الاقتصار  او. باب اول ماهية اسطرلاب(= تعريفات) ابو الصلت در این  کتاب، از یحيى بن ابى منصور منجم (زنده در- ۲۱۷) یاد می کند آغاز: بسمله الحمد لله تعالى خير ما استفتح به و استنجح ببرکته هذ كتاب يتضمن من ابواب العمل بالاسطرلاب ما لا بدمنه و لاغنى عنه و لم يورد فيه الا ما كان جميع عمله او اکثره مما يمكن بهذه الاله و اما ما كان على خلاف ذلك فلم نشتغل به... و هو تسعون باباً</w:t>
      </w:r>
    </w:p>
    <w:p>
      <w:pPr>
        <w:pStyle w:val="BookText"/>
      </w:pPr>
      <w:r>
        <w:rPr>
          <w:rFonts w:ascii="Amiri" w:hAnsi="Amiri" w:eastAsia="Amiri" w:cs="Amiri"/>
          <w:lang w:bidi="ar-SA"/>
          <w:color w:val="111111"/>
          <w:sz w:val="28"/>
          <w:szCs w:val="28"/>
          <w:rtl/>
        </w:rPr>
        <w:t xml:space="preserve">انجام: فهو عدد اجزاء التيسير  والله اعلم</w:t>
      </w:r>
    </w:p>
    <w:p>
      <w:pPr>
        <w:pStyle w:val="BookText"/>
      </w:pPr>
      <w:r>
        <w:rPr>
          <w:rFonts w:ascii="IRNazanin" w:hAnsi="IRNazanin" w:eastAsia="IRNazanin" w:cs="IRNazanin"/>
          <w:lang w:bidi="fa-IR"/>
          <w:color w:val="111111"/>
          <w:sz w:val="28"/>
          <w:szCs w:val="28"/>
          <w:rtl/>
        </w:rPr>
        <w:t xml:space="preserve">[گورگیس عواد (الاسطرلاب )۱۷۲؛ دنا ۸۷۹۶/(8 نسخه)]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ملک؛ شماره نسخه: ۳۴۴۵/۱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عبدالعزيز بن على بن منذر عامری، تا: قرن ۸، برای خودش ؛کاغذ: دولت آبادی ،جلد: میشن قهوه ای  لایی، ۸۲ گ (7پ-88ر)، ۱۱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۶ – ۴۲۰]</w:t>
      </w:r>
    </w:p>
    <w:p>
      <w:pPr>
        <w:pStyle w:val="BookText"/>
      </w:pPr>
      <w:r>
        <w:rPr>
          <w:rFonts w:ascii="IRNazanin" w:hAnsi="IRNazanin" w:eastAsia="IRNazanin" w:cs="IRNazanin"/>
          <w:lang w:bidi="fa-IR"/>
          <w:color w:val="111111"/>
          <w:sz w:val="28"/>
          <w:szCs w:val="28"/>
          <w:rtl/>
        </w:rPr>
        <w:t xml:space="preserve">۲. شیراز؛ علامه طباطبائی؛ شماره نسخه: ۱۶۳۰/۲</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کا: حاج محمد بن حاج اسماعيل بن حاج على «معروف به حاج بکتاش زاده» ،اکینی ،تا: ۱۱۷۳ق؛ مصحح؛ ۱۶گ  (۵۶-۴۱)،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[نسخه پژوهی: ۳ - ۱۵۶]</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مجلس؛ شماره نسخه: ۶۳۶۱/۳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محمد تقی حسینی رادکانی، تا: ۱۲۹۳ق؛ کاغذ: فرنگی آهار مهره، جلد: مقوای بسیار ضخیم با روکش پارچه قرمز نازک، ۶۵ص (۷۶-۱۴۰) قطع: وزیری باریک،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۲۳سم  [ف: ۱۹ - ۴۱۰  ]</w:t>
      </w:r>
    </w:p>
    <w:p>
      <w:pPr>
        <w:pStyle w:val="BookText"/>
      </w:pPr>
      <w:r>
        <w:rPr>
          <w:rFonts w:ascii="IRNazanin" w:hAnsi="IRNazanin" w:eastAsia="IRNazanin" w:cs="IRNazanin"/>
          <w:lang w:bidi="fa-IR"/>
          <w:color w:val="111111"/>
          <w:sz w:val="28"/>
          <w:szCs w:val="28"/>
          <w:rtl/>
        </w:rPr>
        <w:t xml:space="preserve">۴. تبریز؛ ملی؛ شماره نسخه: ۳۳۹۳</w:t>
      </w:r>
    </w:p>
    <w:p>
      <w:pPr>
        <w:pStyle w:val="BookText"/>
      </w:pPr>
      <w:r>
        <w:rPr>
          <w:rFonts w:ascii="IRNazanin" w:hAnsi="IRNazanin" w:eastAsia="IRNazanin" w:cs="IRNazanin"/>
          <w:lang w:bidi="fa-IR"/>
          <w:color w:val="111111"/>
          <w:sz w:val="28"/>
          <w:szCs w:val="28"/>
          <w:rtl/>
        </w:rPr>
        <w:t xml:space="preserve">آغاز: الاخرى مسطره دقيقه معسومه فى الطول باحرا نصف قطر الدايره بدور ايضا على محور کالاولی؛ انجام: و فاعله فيما دونها مايكون جاريه على نظام لايخل به و ترتيب لا يتعدله لاسيما انه ليس هناك شيئى يعوقها عن ذلك النظام و يمنعها من ذلك الترتيب و سيتعين لك فى الفنون يستانف القول فيها بعد هذا ما يستكمل به النظرفي هذا الفن ان شاء الله</w:t>
      </w:r>
    </w:p>
    <w:p>
      <w:pPr>
        <w:pStyle w:val="BookText"/>
      </w:pPr>
      <w:r>
        <w:rPr>
          <w:rFonts w:ascii="IRNazanin" w:hAnsi="IRNazanin" w:eastAsia="IRNazanin" w:cs="IRNazanin"/>
          <w:lang w:bidi="fa-IR"/>
          <w:color w:val="111111"/>
          <w:sz w:val="28"/>
          <w:szCs w:val="28"/>
          <w:rtl/>
        </w:rPr>
        <w:t xml:space="preserve">مقاله اول و مقداری از مقاله دوم را ندارد؛ خط: نسخ، بی کا، بی تا؛  افتادگی: آغاز؛ کاغذ: خانبالغ :جلد: چرمی، ۱۰۸ص (97+11) ، ۱۷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۲۵/۵سم [ف: ۳ - ۱۰۷۹]</w:t>
      </w:r>
    </w:p>
    <w:p>
      <w:pPr>
        <w:pStyle w:val="BookText"/>
      </w:pPr>
      <w:r>
        <w:rPr>
          <w:rFonts w:ascii="IRNazanin" w:hAnsi="IRNazanin" w:eastAsia="IRNazanin" w:cs="IRNazanin"/>
          <w:lang w:bidi="fa-IR"/>
          <w:color w:val="111111"/>
          <w:sz w:val="28"/>
          <w:szCs w:val="28"/>
          <w:rtl/>
        </w:rPr>
        <w:t xml:space="preserve">۵. تهران؛ دانشگاه؛ شماره نسخه: ۲۱۲۸-ف</w:t>
      </w:r>
    </w:p>
    <w:p>
      <w:pPr>
        <w:pStyle w:val="BookText"/>
      </w:pPr>
      <w:r>
        <w:rPr>
          <w:rFonts w:ascii="IRNazanin" w:hAnsi="IRNazanin" w:eastAsia="IRNazanin" w:cs="IRNazanin"/>
          <w:lang w:bidi="fa-IR"/>
          <w:color w:val="111111"/>
          <w:sz w:val="28"/>
          <w:szCs w:val="28"/>
          <w:rtl/>
        </w:rPr>
        <w:t xml:space="preserve">نسخه اصل: مدرسه نوابش .۹۴۱ (فهرست فاضلیه مشهد ص ۲۵۷ ش ۳۰) نود باب؛ بی کا، بی تا؛ افتادگی: انجام؛ با تاریخ  عرض ۱۰۹۴ و ۱۱۰۷ [ فیلم ها-ف: ۱ - ۲۸۲]</w:t>
      </w:r>
    </w:p>
    <w:p>
      <w:pPr>
        <w:pStyle w:val="BookText"/>
      </w:pPr>
      <w:r>
        <w:rPr>
          <w:rFonts w:ascii="IRNazanin" w:hAnsi="IRNazanin" w:eastAsia="IRNazanin" w:cs="IRNazanin"/>
          <w:lang w:bidi="fa-IR"/>
          <w:color w:val="111111"/>
          <w:sz w:val="28"/>
          <w:szCs w:val="28"/>
          <w:rtl/>
        </w:rPr>
        <w:t xml:space="preserve">۶. تهران؛ ملک؛ شماره نسخه: ۳۱۳۵/۱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محشی با نشانه «ص» عبادى الحجازی؛  کاغذ: ترمه متن و  حاشیه ،جلد: میشن لایی قهوه ای سیر، ۴۷گ (۵پ-51پ)، ۱۸  سطر، اندازه: ۱۸/۷۱۰/۸سم [ف: ۶ -۲۴۱]</w:t>
      </w:r>
    </w:p>
    <w:p>
      <w:pPr>
        <w:pStyle w:val="BookText"/>
      </w:pPr>
      <w:r>
        <w:rPr>
          <w:rFonts w:ascii="IRNazanin" w:hAnsi="IRNazanin" w:eastAsia="IRNazanin" w:cs="IRNazanin"/>
          <w:lang w:bidi="fa-IR"/>
          <w:color w:val="111111"/>
          <w:sz w:val="28"/>
          <w:szCs w:val="28"/>
          <w:rtl/>
        </w:rPr>
        <w:t xml:space="preserve">۷. یزد؛ وزیری؛ شماره نسخه: ۳۷۵۳/۷</w:t>
      </w:r>
    </w:p>
    <w:p>
      <w:pPr>
        <w:pStyle w:val="BookText"/>
      </w:pPr>
      <w:r>
        <w:rPr>
          <w:rFonts w:ascii="IRNazanin" w:hAnsi="IRNazanin" w:eastAsia="IRNazanin" w:cs="IRNazanin"/>
          <w:lang w:bidi="fa-IR"/>
          <w:color w:val="111111"/>
          <w:sz w:val="28"/>
          <w:szCs w:val="28"/>
          <w:rtl/>
        </w:rPr>
        <w:t xml:space="preserve">آغاز: برابر؛ انجام: فما خرج فهو ارتفاع عمود الشيء الذي قسمته مشتمل بر نود باب؛ خط: نسخ، بی کا، بی تا؛ افتادگی: انجام؛ کاغذ: فرنگی، جلد: مقوایی لولادار روکش تیماج زرد ضربی، ۱۳ص (۷۸-۶۶)، ۴۱ 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۵ - ۱۷۸۳]</w:t>
      </w:r>
    </w:p>
    <w:p>
      <w:pPr>
        <w:pStyle w:val="Heading3"/>
      </w:pPr>
      <w:bookmarkStart w:id="1489" w:name="_Toc1011"/>
      <w:r>
        <w:t>الاسطرلاب = العمل بالاسطرلاب / اسطرلاب / عربی</w:t>
      </w:r>
      <w:bookmarkEnd w:id="1489"/>
    </w:p>
    <w:p>
      <w:pPr>
        <w:pStyle w:val="BookText"/>
      </w:pPr>
      <w:r>
        <w:rPr>
          <w:rFonts w:ascii="Times New Roman" w:hAnsi="Times New Roman" w:eastAsia="Times New Roman" w:cs="Times New Roman"/>
          <w:lang w:val="en-US" w:bidi="en-US"/>
          <w:color w:val="111111"/>
          <w:sz w:val="28"/>
          <w:szCs w:val="28"/>
          <w:rtl/>
        </w:rPr>
        <w:t xml:space="preserve">al-usturlab = al-amal bi-l-usturlab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288" w:name="pg20365_260403"/>
    <w:bookmarkEnd w:id="288"/>
    <w:p>
      <w:pPr>
        <w:pStyle w:val="BookText"/>
      </w:pPr>
      <w:r>
        <w:rPr>
          <w:rFonts w:ascii="IRNazanin" w:hAnsi="IRNazanin" w:eastAsia="IRNazanin" w:cs="IRNazanin"/>
          <w:lang w:bidi="fa-IR"/>
          <w:color w:val="111111"/>
          <w:sz w:val="28"/>
          <w:szCs w:val="28"/>
          <w:rtl/>
        </w:rPr>
        <w:t xml:space="preserve">اثیر الدین ابهری، مفضل بن عمر، - ۶۶۰ ؟ قمری</w:t>
      </w:r>
    </w:p>
    <w:p>
      <w:pPr>
        <w:pStyle w:val="BookText"/>
      </w:pPr>
      <w:r>
        <w:rPr>
          <w:rFonts w:ascii="Times New Roman" w:hAnsi="Times New Roman" w:eastAsia="Times New Roman" w:cs="Times New Roman"/>
          <w:lang w:val="en-US" w:bidi="en-US"/>
          <w:color w:val="111111"/>
          <w:sz w:val="28"/>
          <w:szCs w:val="28"/>
          <w:rtl/>
        </w:rPr>
        <w:t xml:space="preserve">(asīr-od-dīn-e abharī, mofazzal ebn-e ‘omar (- 1262)</w:t>
      </w:r>
    </w:p>
    <w:p>
      <w:pPr>
        <w:pStyle w:val="BookText"/>
      </w:pPr>
      <w:r>
        <w:rPr>
          <w:rFonts w:ascii="IRNazanin" w:hAnsi="IRNazanin" w:eastAsia="IRNazanin" w:cs="IRNazanin"/>
          <w:lang w:bidi="fa-IR"/>
          <w:color w:val="111111"/>
          <w:sz w:val="28"/>
          <w:szCs w:val="28"/>
          <w:rtl/>
        </w:rPr>
        <w:t xml:space="preserve">مشتمل بر چهارده «فصل» بسیار کوتاه است در قواعد اسطرلاب.</w:t>
      </w:r>
    </w:p>
    <w:p>
      <w:pPr>
        <w:pStyle w:val="BookText"/>
      </w:pPr>
      <w:r>
        <w:rPr>
          <w:rFonts w:ascii="IRNazanin" w:hAnsi="IRNazanin" w:eastAsia="IRNazanin" w:cs="IRNazanin"/>
          <w:lang w:bidi="fa-IR"/>
          <w:color w:val="111111"/>
          <w:sz w:val="28"/>
          <w:szCs w:val="28"/>
          <w:rtl/>
        </w:rPr>
        <w:t xml:space="preserve">آغاز :. الفصل الاول في تعريف الاصطلاحات أم الصفائح هی الصفيحة  التى تحيط بها حلقة مقسومة بثلاثمائة وستين جزءاً.</w:t>
      </w:r>
    </w:p>
    <w:p>
      <w:pPr>
        <w:pStyle w:val="BookText"/>
      </w:pPr>
      <w:r>
        <w:rPr>
          <w:rFonts w:ascii="IRNazanin" w:hAnsi="IRNazanin" w:eastAsia="IRNazanin" w:cs="IRNazanin"/>
          <w:lang w:bidi="fa-IR"/>
          <w:color w:val="111111"/>
          <w:sz w:val="28"/>
          <w:szCs w:val="28"/>
          <w:rtl/>
        </w:rPr>
        <w:t xml:space="preserve">انجام: و يضربه فى اثنى عشر مما بلغ فهو ارتفاع الشخص و ذلـک هو المراد.</w:t>
      </w:r>
    </w:p>
    <w:p>
      <w:pPr>
        <w:pStyle w:val="BookText"/>
      </w:pPr>
      <w:r>
        <w:rPr>
          <w:rFonts w:ascii="IRNazanin" w:hAnsi="IRNazanin" w:eastAsia="IRNazanin" w:cs="IRNazanin"/>
          <w:lang w:bidi="fa-IR"/>
          <w:color w:val="111111"/>
          <w:sz w:val="28"/>
          <w:szCs w:val="28"/>
          <w:rtl/>
        </w:rPr>
        <w:t xml:space="preserve">[دنا ۲۷۹۷/۱ نسخه)]</w:t>
      </w:r>
    </w:p>
    <w:p>
      <w:pPr>
        <w:pStyle w:val="BookText"/>
      </w:pPr>
      <w:r>
        <w:rPr>
          <w:rFonts w:ascii="IRNazanin" w:hAnsi="IRNazanin" w:eastAsia="IRNazanin" w:cs="IRNazanin"/>
          <w:lang w:bidi="fa-IR"/>
          <w:color w:val="111111"/>
          <w:sz w:val="28"/>
          <w:szCs w:val="28"/>
          <w:rtl/>
        </w:rPr>
        <w:t xml:space="preserve">۱. مشهد؛ الهیات؛ شماره نسخه: ۷۰۰/۲</w:t>
      </w:r>
    </w:p>
    <w:p>
      <w:pPr>
        <w:pStyle w:val="BookText"/>
      </w:pPr>
      <w:r>
        <w:rPr>
          <w:rFonts w:ascii="Amiri" w:hAnsi="Amiri" w:eastAsia="Amiri" w:cs="Amiri"/>
          <w:lang w:bidi="ar-SA"/>
          <w:color w:val="111111"/>
          <w:sz w:val="28"/>
          <w:szCs w:val="28"/>
          <w:rtl/>
        </w:rPr>
        <w:t xml:space="preserve">آغاز: الرسالة الثانية فى العمل بالاسطرلاب وفيها اربعة عشر فصـلا، الفصل الاول فى تعريف الاصطلاحات؛ انجام: برابر</w:t>
      </w:r>
    </w:p>
    <w:p>
      <w:pPr>
        <w:pStyle w:val="BookText"/>
      </w:pPr>
      <w:r>
        <w:rPr>
          <w:rFonts w:ascii="IRNazanin" w:hAnsi="IRNazanin" w:eastAsia="IRNazanin" w:cs="IRNazanin"/>
          <w:lang w:bidi="fa-IR"/>
          <w:color w:val="111111"/>
          <w:sz w:val="28"/>
          <w:szCs w:val="28"/>
          <w:rtl/>
        </w:rPr>
        <w:t xml:space="preserve">خط: نسخ، بی کا، تا: یک شنبه ۱۱ شوال ۶۶۶ق؛ از روی نسخه ای به خط مولف، مصحح، مقابله ،شده، دارای جداول و دوایر نجومی ،جلد: تیماج عنابی عطف و لبه مشکی، ۱۹ سطری 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۱۶/۵سم [ف: ۱ - ۲۸۸]</w:t>
      </w:r>
    </w:p>
    <w:p>
      <w:pPr>
        <w:pStyle w:val="BookText"/>
      </w:pPr>
      <w:r>
        <w:rPr>
          <w:rFonts w:ascii="IRNazanin" w:hAnsi="IRNazanin" w:eastAsia="IRNazanin" w:cs="IRNazanin"/>
          <w:lang w:bidi="fa-IR"/>
          <w:color w:val="111111"/>
          <w:sz w:val="28"/>
          <w:szCs w:val="28"/>
          <w:rtl/>
        </w:rPr>
        <w:t xml:space="preserve">۲ . قم؛ مرعشی؛ شماره نسخه: ۴۰۶۰/۲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جلد: مقوایی عطف تیماج  مشکی، ۴ گ (۴۲پ - 45 پ)،  ۲۱ سطر، اندازه: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۱۱ – ۶۴]</w:t>
      </w:r>
    </w:p>
    <w:p>
      <w:pPr>
        <w:pStyle w:val="Heading3"/>
      </w:pPr>
      <w:bookmarkStart w:id="1490" w:name="_Toc1012"/>
      <w:r>
        <w:t>الاسطرلاب / هیئت / عربی</w:t>
      </w:r>
      <w:bookmarkEnd w:id="1490"/>
    </w:p>
    <w:p>
      <w:pPr>
        <w:pStyle w:val="BookText"/>
      </w:pPr>
      <w:r>
        <w:rPr>
          <w:rFonts w:ascii="Times New Roman" w:hAnsi="Times New Roman" w:eastAsia="Times New Roman" w:cs="Times New Roman"/>
          <w:lang w:val="en-US" w:bidi="en-US"/>
          <w:color w:val="111111"/>
          <w:sz w:val="28"/>
          <w:szCs w:val="28"/>
          <w:rtl/>
        </w:rPr>
        <w:t xml:space="preserve">al-usṭurlāb</w:t>
      </w:r>
    </w:p>
    <w:p>
      <w:pPr>
        <w:pStyle w:val="BookText"/>
      </w:pPr>
      <w:r>
        <w:rPr>
          <w:rFonts w:ascii="IRNazanin" w:hAnsi="IRNazanin" w:eastAsia="IRNazanin" w:cs="IRNazanin"/>
          <w:lang w:bidi="fa-IR"/>
          <w:color w:val="111111"/>
          <w:sz w:val="28"/>
          <w:szCs w:val="28"/>
          <w:rtl/>
        </w:rPr>
        <w:t xml:space="preserve">مراکشی، حسن بن علی، - ۶۶۰ قمری</w:t>
      </w:r>
    </w:p>
    <w:p>
      <w:pPr>
        <w:pStyle w:val="BookText"/>
      </w:pPr>
      <w:r>
        <w:rPr>
          <w:rFonts w:ascii="Times New Roman" w:hAnsi="Times New Roman" w:eastAsia="Times New Roman" w:cs="Times New Roman"/>
          <w:lang w:val="en-US" w:bidi="en-US"/>
          <w:color w:val="111111"/>
          <w:sz w:val="28"/>
          <w:szCs w:val="28"/>
          <w:rtl/>
        </w:rPr>
        <w:t xml:space="preserve">(marākešī, hasan ebn-e ‘alī (- 1262)</w:t>
      </w:r>
    </w:p>
    <w:p>
      <w:pPr>
        <w:pStyle w:val="BookText"/>
      </w:pPr>
      <w:r>
        <w:rPr>
          <w:rFonts w:ascii="IRNazanin" w:hAnsi="IRNazanin" w:eastAsia="IRNazanin" w:cs="IRNazanin"/>
          <w:lang w:bidi="fa-IR"/>
          <w:color w:val="111111"/>
          <w:sz w:val="28"/>
          <w:szCs w:val="28"/>
          <w:rtl/>
        </w:rPr>
        <w:t xml:space="preserve">[دنا ۷۹۷/۱]</w:t>
      </w:r>
    </w:p>
    <w:p>
      <w:pPr>
        <w:pStyle w:val="BookText"/>
      </w:pPr>
      <w:r>
        <w:rPr>
          <w:rFonts w:ascii="IRNazanin" w:hAnsi="IRNazanin" w:eastAsia="IRNazanin" w:cs="IRNazanin"/>
          <w:lang w:bidi="fa-IR"/>
          <w:color w:val="111111"/>
          <w:sz w:val="28"/>
          <w:szCs w:val="28"/>
          <w:rtl/>
        </w:rPr>
        <w:t xml:space="preserve">مشهد؛ رضوی؛ شماره نسخه: ض ۱۲۰۴۲</w:t>
      </w:r>
    </w:p>
    <w:p>
      <w:pPr>
        <w:pStyle w:val="BookText"/>
      </w:pPr>
      <w:r>
        <w:rPr>
          <w:rFonts w:ascii="IRNazanin" w:hAnsi="IRNazanin" w:eastAsia="IRNazanin" w:cs="IRNazanin"/>
          <w:lang w:bidi="fa-IR"/>
          <w:color w:val="111111"/>
          <w:sz w:val="28"/>
          <w:szCs w:val="28"/>
          <w:rtl/>
        </w:rPr>
        <w:t xml:space="preserve">خط: نستعلیق، بی کا، بی تا [الفبائی: ۴۸]</w:t>
      </w:r>
    </w:p>
    <w:p>
      <w:pPr>
        <w:pStyle w:val="Heading3"/>
      </w:pPr>
      <w:bookmarkStart w:id="1491" w:name="_Toc1013"/>
      <w:r>
        <w:t>الاسطرلاب / اسطرلاب / عربی</w:t>
      </w:r>
      <w:bookmarkEnd w:id="1491"/>
    </w:p>
    <w:p>
      <w:pPr>
        <w:pStyle w:val="BookText"/>
      </w:pPr>
      <w:r>
        <w:rPr>
          <w:rFonts w:ascii="Times New Roman" w:hAnsi="Times New Roman" w:eastAsia="Times New Roman" w:cs="Times New Roman"/>
          <w:lang w:val="en-US" w:bidi="en-US"/>
          <w:color w:val="111111"/>
          <w:sz w:val="28"/>
          <w:szCs w:val="28"/>
          <w:rtl/>
        </w:rPr>
        <w:t xml:space="preserve">al-usṭurlāb</w:t>
      </w:r>
    </w:p>
    <w:p>
      <w:pPr>
        <w:pStyle w:val="BookText"/>
      </w:pPr>
      <w:r>
        <w:rPr>
          <w:rFonts w:ascii="IRNazanin" w:hAnsi="IRNazanin" w:eastAsia="IRNazanin" w:cs="IRNazanin"/>
          <w:lang w:bidi="fa-IR"/>
          <w:color w:val="111111"/>
          <w:sz w:val="28"/>
          <w:szCs w:val="28"/>
          <w:rtl/>
        </w:rPr>
        <w:t xml:space="preserve">مزی، محمد بن  احمد، ۶۹۰ - ۷۵۰ قمری</w:t>
      </w:r>
    </w:p>
    <w:p>
      <w:pPr>
        <w:pStyle w:val="BookText"/>
      </w:pPr>
      <w:r>
        <w:rPr>
          <w:rFonts w:ascii="Times New Roman" w:hAnsi="Times New Roman" w:eastAsia="Times New Roman" w:cs="Times New Roman"/>
          <w:lang w:val="en-US" w:bidi="en-US"/>
          <w:color w:val="111111"/>
          <w:sz w:val="28"/>
          <w:szCs w:val="28"/>
          <w:rtl/>
        </w:rPr>
        <w:t xml:space="preserve">(mezzī, mohammad ebn-e ahmad (1292 - 1350)</w:t>
      </w:r>
    </w:p>
    <w:p>
      <w:pPr>
        <w:pStyle w:val="BookText"/>
      </w:pPr>
      <w:r>
        <w:rPr>
          <w:rFonts w:ascii="Amiri" w:hAnsi="Amiri" w:eastAsia="Amiri" w:cs="Amiri"/>
          <w:lang w:bidi="ar-SA"/>
          <w:color w:val="111111"/>
          <w:sz w:val="28"/>
          <w:szCs w:val="28"/>
          <w:rtl/>
        </w:rPr>
        <w:t xml:space="preserve">در ده «فصل» و «خاتمه»: ۱. الاسطرلاب؛ ۲. معرفة اخذ الارتفـاع ؛3. معرفة كل واحد من الظلين؛ ۴. معرفةالميل و البعد؛ ۵. معـرفة قوس النهار؛ ۶. معرفة الدائر من الفلك؛ ۷. معرفة مطالع البروج؛8. السمت لكل ارتفاع؛ ۹. معرفة طلوع الكواكب؛ ۱۰ العـمل بالافاقية؛ الخاتمة: في اعمال المساحة.</w:t>
      </w:r>
    </w:p>
    <w:p>
      <w:pPr>
        <w:pStyle w:val="BookText"/>
      </w:pPr>
      <w:r>
        <w:rPr>
          <w:rFonts w:ascii="Amiri" w:hAnsi="Amiri" w:eastAsia="Amiri" w:cs="Amiri"/>
          <w:lang w:bidi="ar-SA"/>
          <w:color w:val="111111"/>
          <w:sz w:val="28"/>
          <w:szCs w:val="28"/>
          <w:rtl/>
        </w:rPr>
        <w:t xml:space="preserve">آغاز: الحمد لله الكريم الوهاب الرحيم التواب الذى هدى</w:t>
      </w:r>
    </w:p>
    <w:p>
      <w:pPr>
        <w:pStyle w:val="BookText"/>
      </w:pPr>
      <w:r>
        <w:rPr>
          <w:rFonts w:ascii="Amiri" w:hAnsi="Amiri" w:eastAsia="Amiri" w:cs="Amiri"/>
          <w:lang w:bidi="ar-SA"/>
          <w:color w:val="111111"/>
          <w:sz w:val="28"/>
          <w:szCs w:val="28"/>
          <w:rtl/>
        </w:rPr>
        <w:t xml:space="preserve">[دنا 1/ 797(1  نسخه)؛ بروكلمن: الرسالة الاسطرلابية؛ الفلك والتنجيم ص ۲۳۶-۲۳۵  ]</w:t>
      </w:r>
    </w:p>
    <w:p>
      <w:pPr>
        <w:pStyle w:val="BookText"/>
      </w:pPr>
      <w:r>
        <w:rPr>
          <w:rFonts w:ascii="IRNazanin" w:hAnsi="IRNazanin" w:eastAsia="IRNazanin" w:cs="IRNazanin"/>
          <w:lang w:bidi="fa-IR"/>
          <w:color w:val="111111"/>
          <w:sz w:val="28"/>
          <w:szCs w:val="28"/>
          <w:rtl/>
        </w:rPr>
        <w:t xml:space="preserve">تهران؛ ملک؛ شماره نسخه: ۳۲۶۶/۲</w:t>
      </w:r>
    </w:p>
    <w:p>
      <w:pPr>
        <w:pStyle w:val="BookText"/>
      </w:pPr>
      <w:r>
        <w:rPr>
          <w:rFonts w:ascii="IRNazanin" w:hAnsi="IRNazanin" w:eastAsia="IRNazanin" w:cs="IRNazanin"/>
          <w:lang w:bidi="fa-IR"/>
          <w:color w:val="111111"/>
          <w:sz w:val="28"/>
          <w:szCs w:val="28"/>
          <w:rtl/>
        </w:rPr>
        <w:t xml:space="preserve">آغاز: بسمله و به ثقتی صلى الله علی سیدنا محمد و آله قال الشيخ الامام العالم... شمس الدین ابو عبدالله محمد بن احمد بن عبد الرحيم المزى ... الحمد الله الكريم الوهاب الرحيم التواب الذى يهدى من شاء ... (پس از ۸سطر ) اما بعد فانه قد قصدني بعض الاحوال؛ انجام: و فروع كثيرة يستغنى عنها و يفيهم اكثرها من  فحوى ما ذكرنا و ليكن ذلك آخر الرساله و بالله التوفيق</w:t>
      </w:r>
    </w:p>
    <w:p>
      <w:pPr>
        <w:pStyle w:val="BookText"/>
      </w:pPr>
      <w:r>
        <w:rPr>
          <w:rFonts w:ascii="IRNazanin" w:hAnsi="IRNazanin" w:eastAsia="IRNazanin" w:cs="IRNazanin"/>
          <w:lang w:bidi="fa-IR"/>
          <w:color w:val="111111"/>
          <w:sz w:val="28"/>
          <w:szCs w:val="28"/>
          <w:rtl/>
        </w:rPr>
        <w:t xml:space="preserve">خط: نسخ، كا: محمد بن يعقوب بن على بن داود بن عبدالله بن محمد مالکی  زبیری، تا: ۷۶۵ق، جا: قاهره و دمشق؛ کاغذ: دولت آبادی، جلد: میشن قرمز نو، ۹گ (۱۳پ-۲۱ر)، ۱۵ سطر، اندازه: ۱۳/۸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۲۸/۵سم [ف: ۶ - ۳۴۰]</w:t>
      </w:r>
    </w:p>
    <w:p>
      <w:pPr>
        <w:pStyle w:val="Heading3"/>
      </w:pPr>
      <w:bookmarkStart w:id="1492" w:name="_Toc1014"/>
      <w:r>
        <w:t>الاسطرلاب = بیست باب / اسطرلاب / فارسی</w:t>
      </w:r>
      <w:bookmarkEnd w:id="1492"/>
    </w:p>
    <w:p>
      <w:pPr>
        <w:pStyle w:val="BookText"/>
      </w:pPr>
      <w:r>
        <w:rPr>
          <w:rFonts w:ascii="Times New Roman" w:hAnsi="Times New Roman" w:eastAsia="Times New Roman" w:cs="Times New Roman"/>
          <w:lang w:val="en-US" w:bidi="en-US"/>
          <w:color w:val="111111"/>
          <w:sz w:val="28"/>
          <w:szCs w:val="28"/>
          <w:rtl/>
        </w:rPr>
        <w:t xml:space="preserve">al-ostorlab = bist bab</w:t>
      </w:r>
    </w:p>
    <w:p>
      <w:pPr>
        <w:pStyle w:val="BookText"/>
      </w:pPr>
      <w:r>
        <w:rPr>
          <w:rFonts w:ascii="IRNazanin" w:hAnsi="IRNazanin" w:eastAsia="IRNazanin" w:cs="IRNazanin"/>
          <w:lang w:bidi="fa-IR"/>
          <w:color w:val="111111"/>
          <w:sz w:val="28"/>
          <w:szCs w:val="28"/>
          <w:rtl/>
        </w:rPr>
        <w:t xml:space="preserve">عبیدی، عبیدالله بن عبدالکافی، ق ۸ قمری</w:t>
      </w:r>
    </w:p>
    <w:p>
      <w:pPr>
        <w:pStyle w:val="BookText"/>
      </w:pPr>
      <w:r>
        <w:rPr>
          <w:rFonts w:ascii="Times New Roman" w:hAnsi="Times New Roman" w:eastAsia="Times New Roman" w:cs="Times New Roman"/>
          <w:lang w:val="en-US" w:bidi="en-US"/>
          <w:color w:val="111111"/>
          <w:sz w:val="28"/>
          <w:szCs w:val="28"/>
          <w:rtl/>
        </w:rPr>
        <w:t xml:space="preserve">('obaydī, 'obeyd-ol-lah ebn-e 'abd-ol-kāfi (- 14c)</w:t>
      </w:r>
    </w:p>
    <w:p>
      <w:pPr>
        <w:pStyle w:val="BookText"/>
      </w:pPr>
      <w:r>
        <w:rPr>
          <w:rFonts w:ascii="IRNazanin" w:hAnsi="IRNazanin" w:eastAsia="IRNazanin" w:cs="IRNazanin"/>
          <w:lang w:bidi="fa-IR"/>
          <w:color w:val="111111"/>
          <w:sz w:val="28"/>
          <w:szCs w:val="28"/>
          <w:rtl/>
        </w:rPr>
        <w:t xml:space="preserve">مختصری است در معرفت اسطرلاب مشتمل بر «مقدمه» و بیست «باب» و «خاتمه» باب .۱ در اسامی و خطوط؛ باب ۲. معرفت ظل از ارتفاع؛ ...</w:t>
      </w:r>
    </w:p>
    <w:p>
      <w:pPr>
        <w:pStyle w:val="BookText"/>
      </w:pPr>
      <w:r>
        <w:rPr>
          <w:rFonts w:ascii="IRNazanin" w:hAnsi="IRNazanin" w:eastAsia="IRNazanin" w:cs="IRNazanin"/>
          <w:lang w:bidi="fa-IR"/>
          <w:color w:val="111111"/>
          <w:sz w:val="28"/>
          <w:szCs w:val="28"/>
          <w:rtl/>
        </w:rPr>
        <w:t xml:space="preserve">آغاز: بسمله رسالة فى معرفة الاسطرلاب من... حمدله وصلاة این مختصری است در معرفت اسطرلاب مشتمل بر مقدمه و بیست باب و خاتمه. اما در مقدمه دو بحث است در معنی  اسطرلاب و بیان احتیاج بدان</w:t>
      </w:r>
    </w:p>
    <w:p>
      <w:pPr>
        <w:pStyle w:val="BookText"/>
      </w:pPr>
      <w:r>
        <w:rPr>
          <w:rFonts w:ascii="IRNazanin" w:hAnsi="IRNazanin" w:eastAsia="IRNazanin" w:cs="IRNazanin"/>
          <w:lang w:bidi="fa-IR"/>
          <w:color w:val="111111"/>
          <w:sz w:val="28"/>
          <w:szCs w:val="28"/>
          <w:rtl/>
        </w:rPr>
        <w:t xml:space="preserve">انجام: و کسی را که طبع مستقیم و خاطر سلیم بود درین اطلاع یابد برجل اعمال بسیار که در این مختصر ذکر کرده شد مطلع شود. والله اعلم بالصواب.</w:t>
      </w:r>
    </w:p>
    <w:p>
      <w:pPr>
        <w:pStyle w:val="BookText"/>
      </w:pPr>
      <w:r>
        <w:rPr>
          <w:rFonts w:ascii="IRNazanin" w:hAnsi="IRNazanin" w:eastAsia="IRNazanin" w:cs="IRNazanin"/>
          <w:lang w:bidi="fa-IR"/>
          <w:color w:val="111111"/>
          <w:sz w:val="28"/>
          <w:szCs w:val="28"/>
          <w:rtl/>
        </w:rPr>
        <w:t xml:space="preserve">[دنا ۷۹۷/۱ (۲ نسخه)؛ مخطوطات الفلك والتنجيم في المتحف العراقي  ص ۲۱۵ فهرستواره منزوی ۲۶۵۰۴؛ فهرست اوقاف موصل ۲۵۴/۵]</w:t>
      </w:r>
    </w:p>
    <w:p>
      <w:pPr>
        <w:pStyle w:val="BookText"/>
      </w:pPr>
      <w:r>
        <w:rPr>
          <w:rFonts w:ascii="IRNazanin" w:hAnsi="IRNazanin" w:eastAsia="IRNazanin" w:cs="IRNazanin"/>
          <w:lang w:bidi="fa-IR"/>
          <w:color w:val="111111"/>
          <w:sz w:val="28"/>
          <w:szCs w:val="28"/>
          <w:rtl/>
        </w:rPr>
        <w:t xml:space="preserve">۱. تهران؛ مجلس؛ شماره نسخه ۱۴۵۹۰/۹۱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شب سه شنبه ۱۴ربیع الاول ۷۲۳ق؛ درنسخه  حاضر از مؤلف تعبیر به جمله دعایی «استادی و مولای ... دام ظله» کرده که معلوم است که عبیدی استاد کاتب بوده و رساله را در حیات او کتابت کرده است؛جلد: تیماج کرم قهوه ای، ۶ص (۳۹۵-۳۹۰)، ۴۱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۳۲سم [ف: ۴۱ - ۸۸]</w:t>
      </w:r>
    </w:p>
    <w:p>
      <w:pPr>
        <w:pStyle w:val="BookText"/>
      </w:pPr>
      <w:r>
        <w:rPr>
          <w:rFonts w:ascii="IRNazanin" w:hAnsi="IRNazanin" w:eastAsia="IRNazanin" w:cs="IRNazanin"/>
          <w:lang w:bidi="fa-IR"/>
          <w:color w:val="111111"/>
          <w:sz w:val="28"/>
          <w:szCs w:val="28"/>
          <w:rtl/>
        </w:rPr>
        <w:t xml:space="preserve">۲. قم؛ گلپایگانی؛ شماره نسخه: ۱۰۷۹/۱-۶/۱۶۹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قرن ۱۱؛ مصحح، در اول نسخه مطالبی به نقل از زیج خواجه نصیر در طول و عرض بلاد و پس از اتمام رساله فوایدی در طریق دانستن كوكب كف الخضیب و یادداشتی از ابن غیاث الدین محمد محمدمهدی رضوی در ۱۰۸۵ق؛  ۱۸ گ، سطور چلیپا،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۱ - ۳۵۴]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289" w:name="pg20365_260404"/>
    <w:bookmarkEnd w:id="289"/>
    <w:p>
      <w:pPr>
        <w:pStyle w:val="Heading3"/>
      </w:pPr>
      <w:bookmarkStart w:id="1493" w:name="_Toc1015"/>
      <w:r>
        <w:t>الاسطرلاب / اسطرلاب / فارسی</w:t>
      </w:r>
      <w:bookmarkEnd w:id="1493"/>
    </w:p>
    <w:p>
      <w:pPr>
        <w:pStyle w:val="BookText"/>
      </w:pPr>
      <w:r>
        <w:rPr>
          <w:rFonts w:ascii="Times New Roman" w:hAnsi="Times New Roman" w:eastAsia="Times New Roman" w:cs="Times New Roman"/>
          <w:lang w:val="en-US" w:bidi="en-US"/>
          <w:color w:val="111111"/>
          <w:sz w:val="28"/>
          <w:szCs w:val="28"/>
          <w:rtl/>
        </w:rPr>
        <w:t xml:space="preserve">al-usṭurlāb</w:t>
      </w:r>
    </w:p>
    <w:p>
      <w:pPr>
        <w:pStyle w:val="BookText"/>
      </w:pPr>
      <w:r>
        <w:rPr>
          <w:rFonts w:ascii="IRNazanin" w:hAnsi="IRNazanin" w:eastAsia="IRNazanin" w:cs="IRNazanin"/>
          <w:lang w:bidi="fa-IR"/>
          <w:color w:val="111111"/>
          <w:sz w:val="28"/>
          <w:szCs w:val="28"/>
          <w:rtl/>
        </w:rPr>
        <w:t xml:space="preserve">کاشی، جمشید بن مسعود، – ۸۴۱؟ قمری</w:t>
      </w:r>
    </w:p>
    <w:p>
      <w:pPr>
        <w:pStyle w:val="BookText"/>
      </w:pPr>
      <w:r>
        <w:rPr>
          <w:rFonts w:ascii="Times New Roman" w:hAnsi="Times New Roman" w:eastAsia="Times New Roman" w:cs="Times New Roman"/>
          <w:lang w:val="en-US" w:bidi="en-US"/>
          <w:color w:val="111111"/>
          <w:sz w:val="28"/>
          <w:szCs w:val="28"/>
          <w:rtl/>
        </w:rPr>
        <w:t xml:space="preserve">(kāšī, jamšīd ebn-e mas‘ūd (- 1438)</w:t>
      </w:r>
    </w:p>
    <w:p>
      <w:pPr>
        <w:pStyle w:val="BookText"/>
      </w:pPr>
      <w:r>
        <w:rPr>
          <w:rFonts w:ascii="IRNazanin" w:hAnsi="IRNazanin" w:eastAsia="IRNazanin" w:cs="IRNazanin"/>
          <w:lang w:bidi="fa-IR"/>
          <w:color w:val="111111"/>
          <w:sz w:val="28"/>
          <w:szCs w:val="28"/>
          <w:rtl/>
        </w:rPr>
        <w:t xml:space="preserve">رساله ای است در یک «مقدمه» و پانزده «فصل»: مقدمه در اجـزاء اسطرلاب علاقه؛ فصل ۱....؛ ۲. رسم دائره مدار راس الجدى؛3. رسم دائرة البروج بر عنکبوت؛ ۴. قسمت دایره؛ ۵. شطایاء کواکب؛ ۶. حرق عنكبوت؛ ۷. رسم دایره؛ ۸. رسم دو مقنطرات؛ ۹. دوایر ساعات؛ ۱۰. رسم   دواير سموت؛11. اعمال ظهر اسطرلاب؛ ۱۲. ترکیب؛ ۱۳. عمل اسطرلاب جنوبـی؛ ۱۴. رسم خطوط ساعات؛ ۱۵. رسم دوایری که از آن معلوم شود.</w:t>
      </w:r>
    </w:p>
    <w:p>
      <w:pPr>
        <w:pStyle w:val="BookText"/>
      </w:pPr>
      <w:r>
        <w:rPr>
          <w:rFonts w:ascii="IRNazanin" w:hAnsi="IRNazanin" w:eastAsia="IRNazanin" w:cs="IRNazanin"/>
          <w:lang w:bidi="fa-IR"/>
          <w:color w:val="111111"/>
          <w:sz w:val="28"/>
          <w:szCs w:val="28"/>
          <w:rtl/>
        </w:rPr>
        <w:t xml:space="preserve">آغاز: آفرین آفریننده چرخ بر این نظام که علم ساکنان مرکز زمین بر اوضاع و هیئت این بعضی بتخمین و بیشتر بیقین مطلع شود و از آینه مثالی از آن بمقدار</w:t>
      </w:r>
    </w:p>
    <w:p>
      <w:pPr>
        <w:pStyle w:val="BookText"/>
      </w:pPr>
      <w:r>
        <w:rPr>
          <w:rFonts w:ascii="IRNazanin" w:hAnsi="IRNazanin" w:eastAsia="IRNazanin" w:cs="IRNazanin"/>
          <w:lang w:bidi="fa-IR"/>
          <w:color w:val="111111"/>
          <w:sz w:val="28"/>
          <w:szCs w:val="28"/>
          <w:rtl/>
        </w:rPr>
        <w:t xml:space="preserve">انجام: و اگر جدول ظل اقدام باشد هفت یا چهارده بر افزایند و صورت استخراج دایره وقت عصر این است والله اعلم بالصواب</w:t>
      </w:r>
    </w:p>
    <w:p>
      <w:pPr>
        <w:pStyle w:val="BookText"/>
      </w:pPr>
      <w:r>
        <w:rPr>
          <w:rFonts w:ascii="IRNazanin" w:hAnsi="IRNazanin" w:eastAsia="IRNazanin" w:cs="IRNazanin"/>
          <w:lang w:bidi="fa-IR"/>
          <w:color w:val="111111"/>
          <w:sz w:val="28"/>
          <w:szCs w:val="28"/>
          <w:rtl/>
        </w:rPr>
        <w:t xml:space="preserve">[دنا 1/ 797/(2 نسخه)؛ فهرستواره منزوی ۲۸۰۳/۴]</w:t>
      </w:r>
    </w:p>
    <w:p>
      <w:pPr>
        <w:pStyle w:val="BookText"/>
      </w:pPr>
      <w:r>
        <w:rPr>
          <w:rFonts w:ascii="IRNazanin" w:hAnsi="IRNazanin" w:eastAsia="IRNazanin" w:cs="IRNazanin"/>
          <w:lang w:bidi="fa-IR"/>
          <w:color w:val="111111"/>
          <w:sz w:val="28"/>
          <w:szCs w:val="28"/>
          <w:rtl/>
        </w:rPr>
        <w:t xml:space="preserve">۱. مشهد؛ رضوی؛ شماره نسخه: ۵۳۱۱/۱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،جلی، بی کا، تا: ۱۰۲۰ق؛ به دنبال آن سه جدول در دو صفحه و نیم؛ جلد: تیماج یشمی یک  لا، ۶۱ ص (۱-۶۱)، ۱۳ سـطر (9/2</w:t>
      </w:r>
      <w:r>
        <w:rPr>
          <w:rFonts w:ascii="Times New Roman" w:hAnsi="Times New Roman" w:eastAsia="Times New Roman" w:cs="Times New Roman"/>
          <w:lang w:val="en-US" w:bidi="en-US"/>
          <w:color w:val="111111"/>
          <w:sz w:val="28"/>
          <w:szCs w:val="28"/>
          <w:rtl/>
        </w:rPr>
        <w:t xml:space="preserve">×12/8)</w:t>
      </w:r>
      <w:r>
        <w:rPr>
          <w:rFonts w:ascii="IRNazanin" w:hAnsi="IRNazanin" w:eastAsia="IRNazanin" w:cs="IRNazanin"/>
          <w:lang w:bidi="fa-IR"/>
          <w:color w:val="111111"/>
          <w:sz w:val="28"/>
          <w:szCs w:val="28"/>
          <w:rtl/>
        </w:rPr>
        <w:t xml:space="preserve">،اندازه:۲۰/۲۱۵/۱۸سم [ف: ۸ - ۳۹۳]</w:t>
      </w:r>
    </w:p>
    <w:p>
      <w:pPr>
        <w:pStyle w:val="BookText"/>
      </w:pPr>
      <w:r>
        <w:rPr>
          <w:rFonts w:ascii="IRNazanin" w:hAnsi="IRNazanin" w:eastAsia="IRNazanin" w:cs="IRNazanin"/>
          <w:lang w:bidi="fa-IR"/>
          <w:color w:val="111111"/>
          <w:sz w:val="28"/>
          <w:szCs w:val="28"/>
          <w:rtl/>
        </w:rPr>
        <w:t xml:space="preserve">۲ . مشهد؛ الهیات؛ شماره نسخه: ۶۸۹/۱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دوشنبه ۲ صفر ۱۳۰۶ق؛ دارای رموز و اشكال؛ كاغذ: فرنگی خط دار و اصفهانی، جلد: تیماج عنابی، ۱۶گ، ۱۶ و ۱۷ سطر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۲۲/۵سم [ف: ۱ - 468]</w:t>
      </w:r>
    </w:p>
    <w:p>
      <w:pPr>
        <w:pStyle w:val="Heading3"/>
      </w:pPr>
      <w:bookmarkStart w:id="1494" w:name="_Toc1016"/>
      <w:r>
        <w:t>الاسطرلاب = منظومه در معرفت اسطرلاب / شعر ،  اسطرلاب / فارسی</w:t>
      </w:r>
      <w:bookmarkEnd w:id="1494"/>
    </w:p>
    <w:p>
      <w:pPr>
        <w:pStyle w:val="BookText"/>
      </w:pPr>
      <w:r>
        <w:rPr>
          <w:rFonts w:ascii="Times New Roman" w:hAnsi="Times New Roman" w:eastAsia="Times New Roman" w:cs="Times New Roman"/>
          <w:lang w:val="en-US" w:bidi="en-US"/>
          <w:color w:val="111111"/>
          <w:sz w:val="28"/>
          <w:szCs w:val="28"/>
          <w:rtl/>
        </w:rPr>
        <w:t xml:space="preserve">al-ostorlāb = mnz. dar ma‘refat-e ostorlāb</w:t>
      </w:r>
    </w:p>
    <w:p>
      <w:pPr>
        <w:pStyle w:val="BookText"/>
      </w:pPr>
      <w:r>
        <w:rPr>
          <w:rFonts w:ascii="IRNazanin" w:hAnsi="IRNazanin" w:eastAsia="IRNazanin" w:cs="IRNazanin"/>
          <w:lang w:bidi="fa-IR"/>
          <w:color w:val="111111"/>
          <w:sz w:val="28"/>
          <w:szCs w:val="28"/>
          <w:rtl/>
        </w:rPr>
        <w:t xml:space="preserve">بخاری، حمید</w:t>
      </w:r>
    </w:p>
    <w:p>
      <w:pPr>
        <w:pStyle w:val="BookText"/>
      </w:pPr>
      <w:r>
        <w:rPr>
          <w:rFonts w:ascii="Times New Roman" w:hAnsi="Times New Roman" w:eastAsia="Times New Roman" w:cs="Times New Roman"/>
          <w:lang w:val="en-US" w:bidi="en-US"/>
          <w:color w:val="111111"/>
          <w:sz w:val="28"/>
          <w:szCs w:val="28"/>
          <w:rtl/>
        </w:rPr>
        <w:t xml:space="preserve">boxārī, hamīd</w:t>
      </w:r>
    </w:p>
    <w:p>
      <w:pPr>
        <w:pStyle w:val="BookText"/>
      </w:pPr>
      <w:r>
        <w:rPr>
          <w:rFonts w:ascii="IRNazanin" w:hAnsi="IRNazanin" w:eastAsia="IRNazanin" w:cs="IRNazanin"/>
          <w:lang w:bidi="fa-IR"/>
          <w:color w:val="111111"/>
          <w:sz w:val="28"/>
          <w:szCs w:val="28"/>
          <w:rtl/>
        </w:rPr>
        <w:t xml:space="preserve">منظومه ای نزدیک به ۳۲۰ بیت در اختران شمالی و جنوبی، مدارات، انواع اسطرلاب ،ارتفاعات، بیرون آوردن طالع سـال بیرون آوردن وقت تحویل سال تعداد ابیات در نسخه ها یکسان نیست</w:t>
      </w:r>
    </w:p>
    <w:p>
      <w:pPr>
        <w:pStyle w:val="BookText"/>
      </w:pPr>
      <w:r>
        <w:rPr>
          <w:rFonts w:ascii="IRNazanin" w:hAnsi="IRNazanin" w:eastAsia="IRNazanin" w:cs="IRNazanin"/>
          <w:lang w:bidi="fa-IR"/>
          <w:color w:val="111111"/>
          <w:sz w:val="28"/>
          <w:szCs w:val="28"/>
          <w:rtl/>
        </w:rPr>
        <w:t xml:space="preserve">آغاز: برگشایم زبان به نام خدای *** خالق ذوالجلال راهنمای/ مبدع عرش و ارض و لوح و قلم ***رازق بی ملال و مثل و ندم</w:t>
      </w:r>
    </w:p>
    <w:p>
      <w:pPr>
        <w:pStyle w:val="BookText"/>
      </w:pPr>
      <w:r>
        <w:rPr>
          <w:rFonts w:ascii="IRNazanin" w:hAnsi="IRNazanin" w:eastAsia="IRNazanin" w:cs="IRNazanin"/>
          <w:lang w:bidi="fa-IR"/>
          <w:color w:val="111111"/>
          <w:sz w:val="28"/>
          <w:szCs w:val="28"/>
          <w:rtl/>
        </w:rPr>
        <w:t xml:space="preserve">انجام: از حمید بخاری این تعلیم *** یادگار است در همه اقلیم/ هر چه دانست ازین عمل بنهفت*** این عمل را کسی بنـظم نگفت / نظم این علم هر که می خواند *** عمل و علم هر دو می داند / تا همی خلق روزگار بود*** از من این نسخه یادگار  بود</w:t>
      </w:r>
    </w:p>
    <w:p>
      <w:pPr>
        <w:pStyle w:val="BookText"/>
      </w:pPr>
      <w:r>
        <w:rPr>
          <w:rFonts w:ascii="IRNazanin" w:hAnsi="IRNazanin" w:eastAsia="IRNazanin" w:cs="IRNazanin"/>
          <w:lang w:bidi="fa-IR"/>
          <w:color w:val="111111"/>
          <w:sz w:val="28"/>
          <w:szCs w:val="28"/>
          <w:rtl/>
        </w:rPr>
        <w:t xml:space="preserve">[دنا 1/  797(3 نسخه)؛ فهرستواره منزوی ۲۷۹۸/۴ ]</w:t>
      </w:r>
    </w:p>
    <w:p>
      <w:pPr>
        <w:pStyle w:val="BookText"/>
      </w:pPr>
      <w:r>
        <w:rPr>
          <w:rFonts w:ascii="IRNazanin" w:hAnsi="IRNazanin" w:eastAsia="IRNazanin" w:cs="IRNazanin"/>
          <w:lang w:bidi="fa-IR"/>
          <w:color w:val="111111"/>
          <w:sz w:val="28"/>
          <w:szCs w:val="28"/>
          <w:rtl/>
        </w:rPr>
        <w:t xml:space="preserve">1.تهران؛ ملک؛ شماره نسخه: ۶۳۵۸</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قرن ۹؛ کاغذ: کاغذ ختایی، جلد: میشن سبز تازه، ۱۲گ، ۱۵  سطر، اندازه: ۱۴/۶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۱۶/۷سم [ف: ۲ - ۲۶]</w:t>
      </w:r>
    </w:p>
    <w:p>
      <w:pPr>
        <w:pStyle w:val="BookText"/>
      </w:pPr>
      <w:r>
        <w:rPr>
          <w:rFonts w:ascii="IRNazanin" w:hAnsi="IRNazanin" w:eastAsia="IRNazanin" w:cs="IRNazanin"/>
          <w:lang w:bidi="fa-IR"/>
          <w:color w:val="111111"/>
          <w:sz w:val="28"/>
          <w:szCs w:val="28"/>
          <w:rtl/>
        </w:rPr>
        <w:t xml:space="preserve">۲. تهران؛ ملک؛ شماره نسخه: ۳۱۵۶/۳</w:t>
      </w:r>
    </w:p>
    <w:p>
      <w:pPr>
        <w:pStyle w:val="BookText"/>
      </w:pPr>
      <w:r>
        <w:rPr>
          <w:rFonts w:ascii="IRNazanin" w:hAnsi="IRNazanin" w:eastAsia="IRNazanin" w:cs="IRNazanin"/>
          <w:lang w:bidi="fa-IR"/>
          <w:color w:val="111111"/>
          <w:sz w:val="28"/>
          <w:szCs w:val="28"/>
          <w:rtl/>
        </w:rPr>
        <w:t xml:space="preserve">آغاز: نام اصطرلاب / ابتدا از نشان اصطرلاب *** اصل او را بیان کنم بصواب / اصطر از لفظ مردم یونان *** به معانی ترازویست بدان؛ انجام: برابر</w:t>
      </w:r>
    </w:p>
    <w:p>
      <w:pPr>
        <w:pStyle w:val="BookText"/>
      </w:pPr>
      <w:r>
        <w:rPr>
          <w:rFonts w:ascii="IRNazanin" w:hAnsi="IRNazanin" w:eastAsia="IRNazanin" w:cs="IRNazanin"/>
          <w:lang w:bidi="fa-IR"/>
          <w:color w:val="111111"/>
          <w:sz w:val="28"/>
          <w:szCs w:val="28"/>
          <w:rtl/>
        </w:rPr>
        <w:t xml:space="preserve">خط: میان نسخ و نستعلیق، بی کا،  تا: قرن ۹و 10؛  کاغذ: ترمه ،جلد: میشن سیاه، ۱۰گ (۶۴ر-۷۳پ)، ۱۵ 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۶ - ۲۴۹]</w:t>
      </w:r>
    </w:p>
    <w:p>
      <w:pPr>
        <w:pStyle w:val="BookText"/>
      </w:pPr>
      <w:r>
        <w:rPr>
          <w:rFonts w:ascii="IRNazanin" w:hAnsi="IRNazanin" w:eastAsia="IRNazanin" w:cs="IRNazanin"/>
          <w:lang w:bidi="fa-IR"/>
          <w:color w:val="111111"/>
          <w:sz w:val="28"/>
          <w:szCs w:val="28"/>
          <w:rtl/>
        </w:rPr>
        <w:t xml:space="preserve">3.مشهد؛ گوهر شاد؛ شماره نسخه: ۹۶۳/۵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در فهرست ناشناس؛ خط: نستعلیق، بی کا، تا:قرن ۱۱؛ دارای جداول نجومی؛ مهر: حاج سید سعید؛ کاغذ: هندی، جلد: تیماج  قهوه ای، ۱۱گ(۱۱۰-۱۲۰)، ۱۷ سطر (۵/۵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۳ - ۱۳۲۰]</w:t>
      </w:r>
    </w:p>
    <w:p>
      <w:pPr>
        <w:pStyle w:val="BookText"/>
      </w:pPr>
      <w:r>
        <w:rPr>
          <w:rFonts w:ascii="IRNazanin" w:hAnsi="IRNazanin" w:eastAsia="IRNazanin" w:cs="IRNazanin"/>
          <w:lang w:bidi="fa-IR"/>
          <w:color w:val="111111"/>
          <w:sz w:val="28"/>
          <w:szCs w:val="28"/>
          <w:rtl/>
        </w:rPr>
        <w:t xml:space="preserve">۴. مشهد؛ الهیات؛ شماره نسخه: ۶۷۴/۱۲</w:t>
      </w:r>
    </w:p>
    <w:p>
      <w:pPr>
        <w:pStyle w:val="BookText"/>
      </w:pPr>
      <w:r>
        <w:rPr>
          <w:rFonts w:ascii="IRNazanin" w:hAnsi="IRNazanin" w:eastAsia="IRNazanin" w:cs="IRNazanin"/>
          <w:lang w:bidi="fa-IR"/>
          <w:color w:val="111111"/>
          <w:sz w:val="28"/>
          <w:szCs w:val="28"/>
          <w:rtl/>
        </w:rPr>
        <w:t xml:space="preserve">بی کا، بی تا؛ افتادگی: انجام؛ ۷گ [ف: ۱ - ۴۸۵]</w:t>
      </w:r>
    </w:p>
    <w:p>
      <w:pPr>
        <w:pStyle w:val="BookText"/>
      </w:pPr>
      <w:r>
        <w:rPr>
          <w:rFonts w:ascii="IRNazanin" w:hAnsi="IRNazanin" w:eastAsia="IRNazanin" w:cs="IRNazanin"/>
          <w:lang w:bidi="fa-IR"/>
          <w:color w:val="111111"/>
          <w:sz w:val="28"/>
          <w:szCs w:val="28"/>
          <w:rtl/>
        </w:rPr>
        <w:t xml:space="preserve">تهران؛ دانشگاه؛ شماره نسخه: ۳۹۰۰/۹-ف</w:t>
      </w:r>
    </w:p>
    <w:p>
      <w:pPr>
        <w:pStyle w:val="BookText"/>
      </w:pPr>
      <w:r>
        <w:rPr>
          <w:rFonts w:ascii="IRNazanin" w:hAnsi="IRNazanin" w:eastAsia="IRNazanin" w:cs="IRNazanin"/>
          <w:lang w:bidi="fa-IR"/>
          <w:color w:val="111111"/>
          <w:sz w:val="28"/>
          <w:szCs w:val="28"/>
          <w:rtl/>
        </w:rPr>
        <w:t xml:space="preserve">نسخه اصل: همان نسخه بالا [فیلم ها-ف: ۲ - ۲۷۷]</w:t>
      </w:r>
    </w:p>
    <w:p>
      <w:pPr>
        <w:pStyle w:val="Heading3"/>
      </w:pPr>
      <w:bookmarkStart w:id="1495" w:name="_Toc1017"/>
      <w:r>
        <w:t>الاسطرلاب / اسطرلاب / فارسی</w:t>
      </w:r>
      <w:bookmarkEnd w:id="1495"/>
    </w:p>
    <w:p>
      <w:pPr>
        <w:pStyle w:val="BookText"/>
      </w:pPr>
      <w:r>
        <w:rPr>
          <w:rFonts w:ascii="Times New Roman" w:hAnsi="Times New Roman" w:eastAsia="Times New Roman" w:cs="Times New Roman"/>
          <w:lang w:val="en-US" w:bidi="en-US"/>
          <w:color w:val="111111"/>
          <w:sz w:val="28"/>
          <w:szCs w:val="28"/>
          <w:rtl/>
        </w:rPr>
        <w:t xml:space="preserve">al-usṭurlāb</w:t>
      </w:r>
    </w:p>
    <w:p>
      <w:pPr>
        <w:pStyle w:val="BookText"/>
      </w:pPr>
      <w:r>
        <w:rPr>
          <w:rFonts w:ascii="IRNazanin" w:hAnsi="IRNazanin" w:eastAsia="IRNazanin" w:cs="IRNazanin"/>
          <w:lang w:bidi="fa-IR"/>
          <w:color w:val="111111"/>
          <w:sz w:val="28"/>
          <w:szCs w:val="28"/>
          <w:rtl/>
        </w:rPr>
        <w:t xml:space="preserve">تبریزی، ابو اسحاق بن عبدالله، ق ۹ قمری</w:t>
      </w:r>
    </w:p>
    <w:p>
      <w:pPr>
        <w:pStyle w:val="BookText"/>
      </w:pPr>
      <w:r>
        <w:rPr>
          <w:rFonts w:ascii="Times New Roman" w:hAnsi="Times New Roman" w:eastAsia="Times New Roman" w:cs="Times New Roman"/>
          <w:lang w:val="en-US" w:bidi="en-US"/>
          <w:color w:val="111111"/>
          <w:sz w:val="28"/>
          <w:szCs w:val="28"/>
          <w:rtl/>
        </w:rPr>
        <w:t xml:space="preserve">(tabrīzī, ābūeshāq ebn-e 'abd-ol-lah (- 15c)</w:t>
      </w:r>
    </w:p>
    <w:p>
      <w:pPr>
        <w:pStyle w:val="BookText"/>
      </w:pPr>
      <w:r>
        <w:rPr>
          <w:rFonts w:ascii="IRNazanin" w:hAnsi="IRNazanin" w:eastAsia="IRNazanin" w:cs="IRNazanin"/>
          <w:lang w:bidi="fa-IR"/>
          <w:color w:val="111111"/>
          <w:sz w:val="28"/>
          <w:szCs w:val="28"/>
          <w:rtl/>
        </w:rPr>
        <w:t xml:space="preserve">اهدا به: شمس الدین محمد بن امیر کبیر ملقب به امیر چقماق نویسنده پس از شرحی درباره شمس الدوله محمد می گوید: «مدتی در آن فکر بودم که کتابی در معرفت اسطرلاب نویسم سه مرتبه: اول: در معرفت ارقام و خطوط اسطرلاب و به کار بردش در تحصیل زمان در هر مکان که به منزله معرفت رقوم تقویم است؛ دوم: صفت آن که به مثابه استخراج تقویم است از زیج و وضع آن؛ سوم: اطلاع بر کیفیت مطابقه آن اوضاع با هیئت افلاک که به مکانت علم رصد و پرداختن زیجات است. از این طبقات سه گانه طبقه سوم واجد اكثر مسائل ریاضی و در نهایت غموضت و اشکال است که اغلب دانشواران این فن از پرداختن به آن ضنت کردهاند و به اشاره گذاشته اند ولی من بر آن رفتم که آن را روشن کنم. حاصل کارم این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290" w:name="pg20365_260405"/>
    <w:bookmarkEnd w:id="290"/>
    <w:p>
      <w:pPr>
        <w:pStyle w:val="BookText"/>
      </w:pPr>
      <w:r>
        <w:rPr>
          <w:rFonts w:ascii="IRNazanin" w:hAnsi="IRNazanin" w:eastAsia="IRNazanin" w:cs="IRNazanin"/>
          <w:lang w:bidi="fa-IR"/>
          <w:color w:val="111111"/>
          <w:sz w:val="28"/>
          <w:szCs w:val="28"/>
          <w:rtl/>
        </w:rPr>
        <w:t xml:space="preserve">کتاب شد.»</w:t>
      </w:r>
    </w:p>
    <w:p>
      <w:pPr>
        <w:pStyle w:val="BookText"/>
      </w:pPr>
      <w:r>
        <w:rPr>
          <w:rFonts w:ascii="IRNazanin" w:hAnsi="IRNazanin" w:eastAsia="IRNazanin" w:cs="IRNazanin"/>
          <w:lang w:bidi="fa-IR"/>
          <w:color w:val="111111"/>
          <w:sz w:val="28"/>
          <w:szCs w:val="28"/>
          <w:rtl/>
        </w:rPr>
        <w:t xml:space="preserve">آغاز: بسمله و به نستعین، آفرین بر آفریننده چرخ برین برین  هنجار که علم  ساکنان</w:t>
      </w:r>
    </w:p>
    <w:p>
      <w:pPr>
        <w:pStyle w:val="BookText"/>
      </w:pPr>
      <w:r>
        <w:rPr>
          <w:rFonts w:ascii="IRNazanin" w:hAnsi="IRNazanin" w:eastAsia="IRNazanin" w:cs="IRNazanin"/>
          <w:lang w:bidi="fa-IR"/>
          <w:color w:val="111111"/>
          <w:sz w:val="28"/>
          <w:szCs w:val="28"/>
          <w:rtl/>
        </w:rPr>
        <w:t xml:space="preserve">انجام: و صورت استخراج دائره وقت العصر این است وبعد ازین جدول ظل اصابع</w:t>
      </w:r>
    </w:p>
    <w:p>
      <w:pPr>
        <w:pStyle w:val="BookText"/>
      </w:pPr>
      <w:r>
        <w:rPr>
          <w:rFonts w:ascii="IRNazanin" w:hAnsi="IRNazanin" w:eastAsia="IRNazanin" w:cs="IRNazanin"/>
          <w:lang w:bidi="fa-IR"/>
          <w:color w:val="111111"/>
          <w:sz w:val="28"/>
          <w:szCs w:val="28"/>
          <w:rtl/>
        </w:rPr>
        <w:t xml:space="preserve">[فهرستواره منزوی ۲۷۹۸/۴]</w:t>
      </w:r>
    </w:p>
    <w:p>
      <w:pPr>
        <w:pStyle w:val="BookText"/>
      </w:pPr>
      <w:r>
        <w:rPr>
          <w:rFonts w:ascii="IRNazanin" w:hAnsi="IRNazanin" w:eastAsia="IRNazanin" w:cs="IRNazanin"/>
          <w:lang w:bidi="fa-IR"/>
          <w:color w:val="111111"/>
          <w:sz w:val="28"/>
          <w:szCs w:val="28"/>
          <w:rtl/>
        </w:rPr>
        <w:t xml:space="preserve">۱. تهران؛ مجلس؛ شماره نسخه: ۶۸۷۲/۲</w:t>
      </w:r>
    </w:p>
    <w:p>
      <w:pPr>
        <w:pStyle w:val="BookText"/>
      </w:pPr>
      <w:r>
        <w:rPr>
          <w:rFonts w:ascii="IRNazanin" w:hAnsi="IRNazanin" w:eastAsia="IRNazanin" w:cs="IRNazanin"/>
          <w:lang w:bidi="fa-IR"/>
          <w:color w:val="111111"/>
          <w:sz w:val="28"/>
          <w:szCs w:val="28"/>
          <w:rtl/>
        </w:rPr>
        <w:t xml:space="preserve">خط: نسخ، بی کا، تا: قرن ۱۱؛ دارای اشکال هندسی دقـیق، مجدول، محشی؛ جلد: تیماج ،دورو، ۲۳گ (31پ-۵۳ر)،  21سطر،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۲۴سم [ف : ۲۰ - ۳۱۳]</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ملی؛ شماره نسخه: ۳۰۱۷/۲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کا: محمد بن محمد باقر مدعوبه  سعید، تا: ۱۰۹۵ق؛ کاغذ: تـرمه  اصفهانی ،جلد ،مقوایی، ۲۵گ (74-98)، ۱۶ سطر (7/5</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۶ - ۷۹۲]</w:t>
      </w:r>
    </w:p>
    <w:p>
      <w:pPr>
        <w:pStyle w:val="Heading3"/>
      </w:pPr>
      <w:bookmarkStart w:id="1496" w:name="_Toc1018"/>
      <w:r>
        <w:t>الاسطرلاب / اسطرلاب / ترکی</w:t>
      </w:r>
      <w:bookmarkEnd w:id="1496"/>
    </w:p>
    <w:p>
      <w:pPr>
        <w:pStyle w:val="BookText"/>
      </w:pPr>
      <w:r>
        <w:rPr>
          <w:rFonts w:ascii="Times New Roman" w:hAnsi="Times New Roman" w:eastAsia="Times New Roman" w:cs="Times New Roman"/>
          <w:lang w:val="en-US" w:bidi="en-US"/>
          <w:color w:val="111111"/>
          <w:sz w:val="28"/>
          <w:szCs w:val="28"/>
          <w:rtl/>
        </w:rPr>
        <w:t xml:space="preserve">al-usṭurlāb</w:t>
      </w:r>
    </w:p>
    <w:p>
      <w:pPr>
        <w:pStyle w:val="BookText"/>
      </w:pPr>
      <w:r>
        <w:rPr>
          <w:rFonts w:ascii="IRNazanin" w:hAnsi="IRNazanin" w:eastAsia="IRNazanin" w:cs="IRNazanin"/>
          <w:lang w:bidi="fa-IR"/>
          <w:color w:val="111111"/>
          <w:sz w:val="28"/>
          <w:szCs w:val="28"/>
          <w:rtl/>
        </w:rPr>
        <w:t xml:space="preserve">موقت، مصطفى بن علی، - ۹۷۹ قمری</w:t>
      </w:r>
    </w:p>
    <w:p>
      <w:pPr>
        <w:pStyle w:val="BookText"/>
      </w:pPr>
      <w:r>
        <w:rPr>
          <w:rFonts w:ascii="Times New Roman" w:hAnsi="Times New Roman" w:eastAsia="Times New Roman" w:cs="Times New Roman"/>
          <w:lang w:val="en-US" w:bidi="en-US"/>
          <w:color w:val="111111"/>
          <w:sz w:val="28"/>
          <w:szCs w:val="28"/>
          <w:rtl/>
        </w:rPr>
        <w:t xml:space="preserve">(movaqqet, mostafā ebn-e ‘alī (- 1572)</w:t>
      </w:r>
    </w:p>
    <w:p>
      <w:pPr>
        <w:pStyle w:val="BookText"/>
      </w:pPr>
      <w:r>
        <w:rPr>
          <w:rFonts w:ascii="IRNazanin" w:hAnsi="IRNazanin" w:eastAsia="IRNazanin" w:cs="IRNazanin"/>
          <w:lang w:bidi="fa-IR"/>
          <w:color w:val="111111"/>
          <w:sz w:val="28"/>
          <w:szCs w:val="28"/>
          <w:rtl/>
        </w:rPr>
        <w:t xml:space="preserve">دارای «مقدمه» و چهل و پنج «باب».</w:t>
      </w:r>
    </w:p>
    <w:p>
      <w:pPr>
        <w:pStyle w:val="BookText"/>
      </w:pPr>
      <w:r>
        <w:rPr>
          <w:rFonts w:ascii="IRNazanin" w:hAnsi="IRNazanin" w:eastAsia="IRNazanin" w:cs="IRNazanin"/>
          <w:lang w:bidi="fa-IR"/>
          <w:color w:val="111111"/>
          <w:sz w:val="28"/>
          <w:szCs w:val="28"/>
          <w:rtl/>
        </w:rPr>
        <w:t xml:space="preserve">مشهد؛ رضوی؛ شماره نسخه: ۱۲۰۸۴/۲</w:t>
      </w:r>
    </w:p>
    <w:p>
      <w:pPr>
        <w:pStyle w:val="BookText"/>
      </w:pPr>
      <w:r>
        <w:rPr>
          <w:rFonts w:ascii="Amiri" w:hAnsi="Amiri" w:eastAsia="Amiri" w:cs="Amiri"/>
          <w:lang w:bidi="ar-SA"/>
          <w:color w:val="111111"/>
          <w:sz w:val="28"/>
          <w:szCs w:val="28"/>
          <w:rtl/>
        </w:rPr>
        <w:t xml:space="preserve">آغاز: بسمله، الحمد لله الذى جعل اجل الات الاسطرلاب الموصولة في جميع الاوقات و الساعات؛ انجام: حمل و دائره افق.</w:t>
      </w:r>
    </w:p>
    <w:p>
      <w:pPr>
        <w:pStyle w:val="BookText"/>
      </w:pPr>
      <w:r>
        <w:rPr>
          <w:rFonts w:ascii="IRNazanin" w:hAnsi="IRNazanin" w:eastAsia="IRNazanin" w:cs="IRNazanin"/>
          <w:lang w:bidi="fa-IR"/>
          <w:color w:val="111111"/>
          <w:sz w:val="28"/>
          <w:szCs w:val="28"/>
          <w:rtl/>
        </w:rPr>
        <w:t xml:space="preserve">خط: نسخ، بی کا، بی تا؛ افتادگی: وسط و انجام؛ جلد: تیماج یک لا، مختلف السطر ، 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۱۸/۲سم [ف : ۱۰ - ۱۵۰]</w:t>
      </w:r>
    </w:p>
    <w:p>
      <w:pPr>
        <w:pStyle w:val="Heading3"/>
      </w:pPr>
      <w:bookmarkStart w:id="1497" w:name="_Toc1019"/>
      <w:r>
        <w:t>اسطرلاب / اسطرلاب / فارسی</w:t>
      </w:r>
      <w:bookmarkEnd w:id="1497"/>
    </w:p>
    <w:p>
      <w:pPr>
        <w:pStyle w:val="BookText"/>
      </w:pPr>
      <w:r>
        <w:rPr>
          <w:rFonts w:ascii="Times New Roman" w:hAnsi="Times New Roman" w:eastAsia="Times New Roman" w:cs="Times New Roman"/>
          <w:lang w:val="en-US" w:bidi="en-US"/>
          <w:color w:val="111111"/>
          <w:sz w:val="28"/>
          <w:szCs w:val="28"/>
          <w:rtl/>
        </w:rPr>
        <w:t xml:space="preserve">(ostorlāb (r. dar)</w:t>
      </w:r>
    </w:p>
    <w:p>
      <w:pPr>
        <w:pStyle w:val="BookText"/>
      </w:pPr>
      <w:r>
        <w:rPr>
          <w:rFonts w:ascii="IRNazanin" w:hAnsi="IRNazanin" w:eastAsia="IRNazanin" w:cs="IRNazanin"/>
          <w:lang w:bidi="fa-IR"/>
          <w:color w:val="111111"/>
          <w:sz w:val="28"/>
          <w:szCs w:val="28"/>
          <w:rtl/>
        </w:rPr>
        <w:t xml:space="preserve">شیخ بهائی، محمد بن حسین، ۹۵۳  - 1030قمری</w:t>
      </w:r>
    </w:p>
    <w:p>
      <w:pPr>
        <w:pStyle w:val="BookText"/>
      </w:pPr>
      <w:r>
        <w:rPr>
          <w:rFonts w:ascii="Times New Roman" w:hAnsi="Times New Roman" w:eastAsia="Times New Roman" w:cs="Times New Roman"/>
          <w:lang w:val="en-US" w:bidi="en-US"/>
          <w:color w:val="111111"/>
          <w:sz w:val="28"/>
          <w:szCs w:val="28"/>
          <w:rtl/>
        </w:rPr>
        <w:t xml:space="preserve">(šeyx-e bahā’ī, mohammad ebn-e hoseyn (1547 - 1621)</w:t>
      </w:r>
    </w:p>
    <w:p>
      <w:pPr>
        <w:pStyle w:val="BookText"/>
      </w:pPr>
      <w:r>
        <w:rPr>
          <w:rFonts w:ascii="IRNazanin" w:hAnsi="IRNazanin" w:eastAsia="IRNazanin" w:cs="IRNazanin"/>
          <w:lang w:bidi="fa-IR"/>
          <w:color w:val="111111"/>
          <w:sz w:val="28"/>
          <w:szCs w:val="28"/>
          <w:rtl/>
        </w:rPr>
        <w:t xml:space="preserve">قم؛ مرعشی؛ شماره نسخه: ۱۰۹۳۴/۱</w:t>
      </w:r>
    </w:p>
    <w:p>
      <w:pPr>
        <w:pStyle w:val="BookText"/>
      </w:pPr>
      <w:r>
        <w:rPr>
          <w:rFonts w:ascii="IRNazanin" w:hAnsi="IRNazanin" w:eastAsia="IRNazanin" w:cs="IRNazanin"/>
          <w:lang w:bidi="fa-IR"/>
          <w:color w:val="111111"/>
          <w:sz w:val="28"/>
          <w:szCs w:val="28"/>
          <w:rtl/>
        </w:rPr>
        <w:t xml:space="preserve">خط: نسخ، بی کا، تا: نیمه دوم قرن ۱۱؛ قطع: جانمازی [ میراث شهاب: س ۹ ش ۲ - ۳۹]</w:t>
      </w:r>
    </w:p>
    <w:p>
      <w:pPr>
        <w:pStyle w:val="Heading3"/>
      </w:pPr>
      <w:bookmarkStart w:id="1498" w:name="_Toc1020"/>
      <w:r>
        <w:t>الاسطرلاب / اسطرلاب / عربی</w:t>
      </w:r>
      <w:bookmarkEnd w:id="1498"/>
    </w:p>
    <w:p>
      <w:pPr>
        <w:pStyle w:val="BookText"/>
      </w:pPr>
      <w:r>
        <w:rPr>
          <w:rFonts w:ascii="Times New Roman" w:hAnsi="Times New Roman" w:eastAsia="Times New Roman" w:cs="Times New Roman"/>
          <w:lang w:val="en-US" w:bidi="en-US"/>
          <w:color w:val="111111"/>
          <w:sz w:val="28"/>
          <w:szCs w:val="28"/>
          <w:rtl/>
        </w:rPr>
        <w:t xml:space="preserve">al-usṭurlāb</w:t>
      </w:r>
    </w:p>
    <w:p>
      <w:pPr>
        <w:pStyle w:val="BookText"/>
      </w:pPr>
      <w:r>
        <w:rPr>
          <w:rFonts w:ascii="IRNazanin" w:hAnsi="IRNazanin" w:eastAsia="IRNazanin" w:cs="IRNazanin"/>
          <w:lang w:bidi="fa-IR"/>
          <w:color w:val="111111"/>
          <w:sz w:val="28"/>
          <w:szCs w:val="28"/>
          <w:rtl/>
        </w:rPr>
        <w:t xml:space="preserve">حرانی، علی بن عیسی</w:t>
      </w:r>
    </w:p>
    <w:p>
      <w:pPr>
        <w:pStyle w:val="BookText"/>
      </w:pPr>
      <w:r>
        <w:rPr>
          <w:rFonts w:ascii="Times New Roman" w:hAnsi="Times New Roman" w:eastAsia="Times New Roman" w:cs="Times New Roman"/>
          <w:lang w:val="en-US" w:bidi="en-US"/>
          <w:color w:val="111111"/>
          <w:sz w:val="28"/>
          <w:szCs w:val="28"/>
          <w:rtl/>
        </w:rPr>
        <w:t xml:space="preserve">harānī, ‘alī-ye-bn-e ‘īsā</w:t>
      </w:r>
    </w:p>
    <w:p>
      <w:pPr>
        <w:pStyle w:val="BookText"/>
      </w:pPr>
      <w:r>
        <w:rPr>
          <w:rFonts w:ascii="IRNazanin" w:hAnsi="IRNazanin" w:eastAsia="IRNazanin" w:cs="IRNazanin"/>
          <w:lang w:bidi="fa-IR"/>
          <w:color w:val="111111"/>
          <w:sz w:val="28"/>
          <w:szCs w:val="28"/>
          <w:rtl/>
        </w:rPr>
        <w:t xml:space="preserve">رساله ای است در عمل به اسطرلاب و چگونگی استخراج  مسائل نجومی با این  آلت، در پنجاه و سه «باب» بسیار کوتاه، شامل: تعريف اجزاء الاسطرلاب و اسمائها و وضعها و فوائدها و كيفية العمل بالاسطرلاب و معرفة البروج الشمالية و الجنوبية و خطوط الساعات و مدارات الكواكب وعروضها.</w:t>
      </w:r>
    </w:p>
    <w:p>
      <w:pPr>
        <w:pStyle w:val="BookText"/>
      </w:pPr>
      <w:r>
        <w:rPr>
          <w:rFonts w:ascii="IRNazanin" w:hAnsi="IRNazanin" w:eastAsia="IRNazanin" w:cs="IRNazanin"/>
          <w:lang w:bidi="fa-IR"/>
          <w:color w:val="111111"/>
          <w:sz w:val="28"/>
          <w:szCs w:val="28"/>
          <w:rtl/>
        </w:rPr>
        <w:t xml:space="preserve">آغاز: الحمد لله العلى شانه القديم برهانه الازلي سلطانه الذي عجزت العقول عن ادراک کیفیته وصفاته وكلت الألسن عن ذکر بداياته و نهاياته.</w:t>
      </w:r>
    </w:p>
    <w:p>
      <w:pPr>
        <w:pStyle w:val="BookText"/>
      </w:pPr>
      <w:r>
        <w:rPr>
          <w:rFonts w:ascii="Amiri" w:hAnsi="Amiri" w:eastAsia="Amiri" w:cs="Amiri"/>
          <w:lang w:bidi="ar-SA"/>
          <w:color w:val="111111"/>
          <w:sz w:val="28"/>
          <w:szCs w:val="28"/>
          <w:rtl/>
        </w:rPr>
        <w:t xml:space="preserve">انجام: و لما عدلناه كان الطالع برج الجدى ستة عشر درجة.</w:t>
      </w:r>
    </w:p>
    <w:p>
      <w:pPr>
        <w:pStyle w:val="BookText"/>
      </w:pPr>
      <w:r>
        <w:rPr>
          <w:rFonts w:ascii="IRNazanin" w:hAnsi="IRNazanin" w:eastAsia="IRNazanin" w:cs="IRNazanin"/>
          <w:lang w:bidi="fa-IR"/>
          <w:color w:val="111111"/>
          <w:sz w:val="28"/>
          <w:szCs w:val="28"/>
          <w:rtl/>
        </w:rPr>
        <w:t xml:space="preserve">چاپ: بیروت، با عنوان اسطرلاب معجم</w:t>
      </w:r>
    </w:p>
    <w:p>
      <w:pPr>
        <w:pStyle w:val="BookText"/>
      </w:pPr>
      <w:r>
        <w:rPr>
          <w:rFonts w:ascii="Amiri" w:hAnsi="Amiri" w:eastAsia="Amiri" w:cs="Amiri"/>
          <w:lang w:bidi="ar-SA"/>
          <w:color w:val="111111"/>
          <w:sz w:val="28"/>
          <w:szCs w:val="28"/>
          <w:rtl/>
        </w:rPr>
        <w:t xml:space="preserve">[الفلك والتنجيم ٧٧]</w:t>
      </w:r>
    </w:p>
    <w:p>
      <w:pPr>
        <w:pStyle w:val="BookText"/>
      </w:pPr>
      <w:r>
        <w:rPr>
          <w:rFonts w:ascii="IRNazanin" w:hAnsi="IRNazanin" w:eastAsia="IRNazanin" w:cs="IRNazanin"/>
          <w:lang w:bidi="fa-IR"/>
          <w:color w:val="111111"/>
          <w:sz w:val="28"/>
          <w:szCs w:val="28"/>
          <w:rtl/>
        </w:rPr>
        <w:t xml:space="preserve">قم؛ مرعشی؛ شماره نسخه: ۸۷۴۷/۳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۱۰۵۰ق؛ جلد: تیماج قرمز عطف تيماج  قهوه ای، ۱۴گ( ۱۲۳پ - ۱۳۶ ر) [ف: ۲۲ - ۲۸۱]</w:t>
      </w:r>
    </w:p>
    <w:p>
      <w:pPr>
        <w:pStyle w:val="Heading3"/>
      </w:pPr>
      <w:bookmarkStart w:id="1499" w:name="_Toc1021"/>
      <w:r>
        <w:t>الاسطرلاب / اسطرلاب / فارسی</w:t>
      </w:r>
      <w:bookmarkEnd w:id="1499"/>
    </w:p>
    <w:p>
      <w:pPr>
        <w:pStyle w:val="BookText"/>
      </w:pPr>
      <w:r>
        <w:rPr>
          <w:rFonts w:ascii="Times New Roman" w:hAnsi="Times New Roman" w:eastAsia="Times New Roman" w:cs="Times New Roman"/>
          <w:lang w:val="en-US" w:bidi="en-US"/>
          <w:color w:val="111111"/>
          <w:sz w:val="28"/>
          <w:szCs w:val="28"/>
          <w:rtl/>
        </w:rPr>
        <w:t xml:space="preserve">al-usṭurlāb</w:t>
      </w:r>
    </w:p>
    <w:p>
      <w:pPr>
        <w:pStyle w:val="BookText"/>
      </w:pPr>
      <w:r>
        <w:rPr>
          <w:rFonts w:ascii="IRNazanin" w:hAnsi="IRNazanin" w:eastAsia="IRNazanin" w:cs="IRNazanin"/>
          <w:lang w:bidi="fa-IR"/>
          <w:color w:val="111111"/>
          <w:sz w:val="28"/>
          <w:szCs w:val="28"/>
          <w:rtl/>
        </w:rPr>
        <w:t xml:space="preserve">عبدی ،خوارزمی، یوسف بن محمد</w:t>
      </w:r>
    </w:p>
    <w:p>
      <w:pPr>
        <w:pStyle w:val="BookText"/>
      </w:pPr>
      <w:r>
        <w:rPr>
          <w:rFonts w:ascii="Times New Roman" w:hAnsi="Times New Roman" w:eastAsia="Times New Roman" w:cs="Times New Roman"/>
          <w:lang w:val="en-US" w:bidi="en-US"/>
          <w:color w:val="111111"/>
          <w:sz w:val="28"/>
          <w:szCs w:val="28"/>
          <w:rtl/>
        </w:rPr>
        <w:t xml:space="preserve">abdī xārazmī, yūsof ebn-e mohammad</w:t>
      </w:r>
    </w:p>
    <w:p>
      <w:pPr>
        <w:pStyle w:val="BookText"/>
      </w:pPr>
      <w:r>
        <w:rPr>
          <w:rFonts w:ascii="IRNazanin" w:hAnsi="IRNazanin" w:eastAsia="IRNazanin" w:cs="IRNazanin"/>
          <w:lang w:bidi="fa-IR"/>
          <w:color w:val="111111"/>
          <w:sz w:val="28"/>
          <w:szCs w:val="28"/>
          <w:rtl/>
        </w:rPr>
        <w:t xml:space="preserve">رساله ای است در اعمال اسطرلاب در سیزده «باب»: ۱. تعریف و خواص اسطرلاب؛ ۲ صنعت اسطرلاب؛ ۳. پیدا کردن افق؛ ۴. پیدا کردن مقنطرات؛ ۵. بیان وضع خطوط ساعات معوج؛ ۶. بیان وضع ساعات مستوی؛ ۷. بیان وضع دوایر سموت؛ ۸. بیان وضع صفحه آفاقی؛ ۹. بیان وضع منطقة البروج در شبکه اسطرلاب؛ ۱۰. بيان وضع شظایای کواکب ثوابت؛ ۱۱. بیان ... حجره که آن را ام نیز گویند؛ ۱۲. بیان وضع ظهر اسطرلاب؛ ۱۳. بیان ساخته عضاده و قطب و فلس و فرس. نسخه ملک را که بدون مؤلف است و سرآغازی مشابه  دارد، در فهرستواره منزوی از سید علی جفری (خفری) رومی دانسته است. آغاز این رساله شباهت بسیار با رساله «الاسطرلاب» قاسمعلی قاینی دارد که باید در تطبیق کامل قرار گیرد.همچنین در فهرستواره منزوی (4: 2800) رسالهای با عنوان رساله در اعمال «اسطرلاب» به سید علی جفری (خفری) نسبت داده شده است که آغازی مشابه همین رساله  دارد.</w:t>
      </w:r>
    </w:p>
    <w:p>
      <w:pPr>
        <w:pStyle w:val="BookText"/>
      </w:pPr>
      <w:r>
        <w:rPr>
          <w:rFonts w:ascii="IRNazanin" w:hAnsi="IRNazanin" w:eastAsia="IRNazanin" w:cs="IRNazanin"/>
          <w:lang w:bidi="fa-IR"/>
          <w:color w:val="111111"/>
          <w:sz w:val="28"/>
          <w:szCs w:val="28"/>
          <w:rtl/>
        </w:rPr>
        <w:t xml:space="preserve">آغاز: سپاس و ستایش مر صانع قدیم و قادر حکیم را که زمین و آسمان بصنایع و بدایع و عجایب و غرایب مصنع اوست ... اما بعد این فقیر ... مدت مدید بود که در طلب آموختن صنعت اسطرلاب سعی بلیغ داشت و استاد مشفق نمی یافت.</w:t>
      </w:r>
    </w:p>
    <w:p>
      <w:pPr>
        <w:pStyle w:val="BookText"/>
      </w:pPr>
      <w:r>
        <w:rPr>
          <w:rFonts w:ascii="IRNazanin" w:hAnsi="IRNazanin" w:eastAsia="IRNazanin" w:cs="IRNazanin"/>
          <w:lang w:bidi="fa-IR"/>
          <w:color w:val="111111"/>
          <w:sz w:val="28"/>
          <w:szCs w:val="28"/>
          <w:rtl/>
        </w:rPr>
        <w:t xml:space="preserve">انجام: قاعده چنانست که اول قطب را از عضاده گذرانند، دوم از حجره، سیوم از صفایح، چهارم از عنکبوت، پنجم از قلس بگذرانند فرس را از قطب بگذرانند و محکم سازند چنانکه از همدیگر حرکات نکنند و نجنبند اینست قواعد صنعت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291" w:name="pg20365_260406"/>
    <w:bookmarkEnd w:id="291"/>
    <w:p>
      <w:pPr>
        <w:pStyle w:val="BookText"/>
      </w:pPr>
      <w:r>
        <w:rPr>
          <w:rFonts w:ascii="IRNazanin" w:hAnsi="IRNazanin" w:eastAsia="IRNazanin" w:cs="IRNazanin"/>
          <w:lang w:bidi="fa-IR"/>
          <w:color w:val="111111"/>
          <w:sz w:val="28"/>
          <w:szCs w:val="28"/>
          <w:rtl/>
        </w:rPr>
        <w:t xml:space="preserve">اسطرلاب.</w:t>
      </w:r>
    </w:p>
    <w:p>
      <w:pPr>
        <w:pStyle w:val="BookText"/>
      </w:pPr>
      <w:r>
        <w:rPr>
          <w:rFonts w:ascii="IRNazanin" w:hAnsi="IRNazanin" w:eastAsia="IRNazanin" w:cs="IRNazanin"/>
          <w:lang w:bidi="fa-IR"/>
          <w:color w:val="111111"/>
          <w:sz w:val="28"/>
          <w:szCs w:val="28"/>
          <w:rtl/>
        </w:rPr>
        <w:t xml:space="preserve">[نسخه های منزوی ۲۳۰/۱]</w:t>
      </w:r>
    </w:p>
    <w:p>
      <w:pPr>
        <w:pStyle w:val="BookText"/>
      </w:pPr>
      <w:r>
        <w:rPr>
          <w:rFonts w:ascii="IRNazanin" w:hAnsi="IRNazanin" w:eastAsia="IRNazanin" w:cs="IRNazanin"/>
          <w:lang w:bidi="fa-IR"/>
          <w:color w:val="111111"/>
          <w:sz w:val="28"/>
          <w:szCs w:val="28"/>
          <w:rtl/>
        </w:rPr>
        <w:t xml:space="preserve">قم؛ مرعشی؛ شماره نسخه: ۱۳۲۱۱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شعبان ۱۰۸۰ق؛ دارای اشکال هندسـی، مجدول؛ کاغذ: شرقی، جلد: تیماج سبز ضربی با ترنج گل و بوته، ۱۵گ، ۱۳ سطر (۸/۵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 اندازه: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۲۲/۵سم [ف : ۳۳ - 386]</w:t>
      </w:r>
    </w:p>
    <w:p>
      <w:pPr>
        <w:pStyle w:val="Heading3"/>
      </w:pPr>
      <w:bookmarkStart w:id="1500" w:name="_Toc1022"/>
      <w:r>
        <w:t>الاسطرلاب / اسطرلاب / فارسی</w:t>
      </w:r>
      <w:bookmarkEnd w:id="1500"/>
    </w:p>
    <w:p>
      <w:pPr>
        <w:pStyle w:val="BookText"/>
      </w:pPr>
      <w:r>
        <w:rPr>
          <w:rFonts w:ascii="Times New Roman" w:hAnsi="Times New Roman" w:eastAsia="Times New Roman" w:cs="Times New Roman"/>
          <w:lang w:val="en-US" w:bidi="en-US"/>
          <w:color w:val="111111"/>
          <w:sz w:val="28"/>
          <w:szCs w:val="28"/>
          <w:rtl/>
        </w:rPr>
        <w:t xml:space="preserve">al-usṭurlāb</w:t>
      </w:r>
    </w:p>
    <w:p>
      <w:pPr>
        <w:pStyle w:val="BookText"/>
      </w:pPr>
      <w:r>
        <w:rPr>
          <w:rFonts w:ascii="IRNazanin" w:hAnsi="IRNazanin" w:eastAsia="IRNazanin" w:cs="IRNazanin"/>
          <w:lang w:bidi="fa-IR"/>
          <w:color w:val="111111"/>
          <w:sz w:val="28"/>
          <w:szCs w:val="28"/>
          <w:rtl/>
        </w:rPr>
        <w:t xml:space="preserve">جوهری  همدانی، عبدالله بن محمد</w:t>
      </w:r>
    </w:p>
    <w:p>
      <w:pPr>
        <w:pStyle w:val="BookText"/>
      </w:pPr>
      <w:r>
        <w:rPr>
          <w:rFonts w:ascii="Times New Roman" w:hAnsi="Times New Roman" w:eastAsia="Times New Roman" w:cs="Times New Roman"/>
          <w:lang w:val="en-US" w:bidi="en-US"/>
          <w:color w:val="111111"/>
          <w:sz w:val="28"/>
          <w:szCs w:val="28"/>
          <w:rtl/>
        </w:rPr>
        <w:t xml:space="preserve">jowharī hamedānī, ‘abd-ol-lāh ebn-e mohammad</w:t>
      </w:r>
    </w:p>
    <w:p>
      <w:pPr>
        <w:pStyle w:val="BookText"/>
      </w:pPr>
      <w:r>
        <w:rPr>
          <w:rFonts w:ascii="IRNazanin" w:hAnsi="IRNazanin" w:eastAsia="IRNazanin" w:cs="IRNazanin"/>
          <w:lang w:bidi="fa-IR"/>
          <w:color w:val="111111"/>
          <w:sz w:val="28"/>
          <w:szCs w:val="28"/>
          <w:rtl/>
        </w:rPr>
        <w:t xml:space="preserve">اهدا به: ابوالمحامد عبد السلام</w:t>
      </w:r>
    </w:p>
    <w:p>
      <w:pPr>
        <w:pStyle w:val="BookText"/>
      </w:pPr>
      <w:r>
        <w:rPr>
          <w:rFonts w:ascii="IRNazanin" w:hAnsi="IRNazanin" w:eastAsia="IRNazanin" w:cs="IRNazanin"/>
          <w:lang w:bidi="fa-IR"/>
          <w:color w:val="111111"/>
          <w:sz w:val="28"/>
          <w:szCs w:val="28"/>
          <w:rtl/>
        </w:rPr>
        <w:t xml:space="preserve">برای فرزند خود «ابوالمحامد عبدالسلام»، در ۲۰ «فصل».</w:t>
      </w:r>
    </w:p>
    <w:p>
      <w:pPr>
        <w:pStyle w:val="BookText"/>
      </w:pPr>
      <w:r>
        <w:rPr>
          <w:rFonts w:ascii="IRNazanin" w:hAnsi="IRNazanin" w:eastAsia="IRNazanin" w:cs="IRNazanin"/>
          <w:lang w:bidi="fa-IR"/>
          <w:color w:val="111111"/>
          <w:sz w:val="28"/>
          <w:szCs w:val="28"/>
          <w:rtl/>
        </w:rPr>
        <w:t xml:space="preserve">آغاز: بسمله، حمدله، اما بعد چنین گوید مولانا شیخ امام همام...  قبلة المتصوفه ... تاج الملة و الدين ابو المجد عبدالله بن الشیخ الرباني قدوة السالكين المحققين محمد بن احمد جوهری الهمدانی که چون فرزند ابو حامد عبدالسلام ... در سن پانزده سالگی که عنفوان صبی است ... بر اسرار کتب بسیار مطلع  گشته میل کرد به علم اسطرلاب و معرفت  آن، واجب شد این مختصر مفید را جمع کردن و آن بیست فصل است</w:t>
      </w:r>
    </w:p>
    <w:p>
      <w:pPr>
        <w:pStyle w:val="BookText"/>
      </w:pPr>
      <w:r>
        <w:rPr>
          <w:rFonts w:ascii="IRNazanin" w:hAnsi="IRNazanin" w:eastAsia="IRNazanin" w:cs="IRNazanin"/>
          <w:lang w:bidi="fa-IR"/>
          <w:color w:val="111111"/>
          <w:sz w:val="28"/>
          <w:szCs w:val="28"/>
          <w:rtl/>
        </w:rPr>
        <w:t xml:space="preserve">انجام: غایت ارتفاع روز مطلوب بود</w:t>
      </w:r>
    </w:p>
    <w:p>
      <w:pPr>
        <w:pStyle w:val="BookText"/>
      </w:pPr>
      <w:r>
        <w:rPr>
          <w:rFonts w:ascii="IRNazanin" w:hAnsi="IRNazanin" w:eastAsia="IRNazanin" w:cs="IRNazanin"/>
          <w:lang w:bidi="fa-IR"/>
          <w:color w:val="111111"/>
          <w:sz w:val="28"/>
          <w:szCs w:val="28"/>
          <w:rtl/>
        </w:rPr>
        <w:t xml:space="preserve">[فهرستواره منزوی ۲۸۰۶/۴]</w:t>
      </w:r>
    </w:p>
    <w:p>
      <w:pPr>
        <w:pStyle w:val="BookText"/>
      </w:pPr>
      <w:r>
        <w:rPr>
          <w:rFonts w:ascii="IRNazanin" w:hAnsi="IRNazanin" w:eastAsia="IRNazanin" w:cs="IRNazanin"/>
          <w:lang w:bidi="fa-IR"/>
          <w:color w:val="111111"/>
          <w:sz w:val="28"/>
          <w:szCs w:val="28"/>
          <w:rtl/>
        </w:rPr>
        <w:t xml:space="preserve">تهران؛ ملک؛ شماره نسخه: ۳۱۲۵/۲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قرن ۱۱؛ کاغذ: ترمه، جلد: میشن ۱۳  سطر ،اندازه: 13</w:t>
      </w:r>
      <w:r>
        <w:rPr>
          <w:rFonts w:ascii="Times New Roman" w:hAnsi="Times New Roman" w:eastAsia="Times New Roman" w:cs="Times New Roman"/>
          <w:lang w:val="en-US" w:bidi="en-US"/>
          <w:color w:val="111111"/>
          <w:sz w:val="28"/>
          <w:szCs w:val="28"/>
          <w:rtl/>
        </w:rPr>
        <w:t xml:space="preserve">×19/2</w:t>
      </w:r>
      <w:r>
        <w:rPr>
          <w:rFonts w:ascii="IRNazanin" w:hAnsi="IRNazanin" w:eastAsia="IRNazanin" w:cs="IRNazanin"/>
          <w:lang w:bidi="fa-IR"/>
          <w:color w:val="111111"/>
          <w:sz w:val="28"/>
          <w:szCs w:val="28"/>
          <w:rtl/>
        </w:rPr>
        <w:t xml:space="preserve">سم [ف: ۶ - ۲۳۷]</w:t>
      </w:r>
    </w:p>
    <w:p>
      <w:pPr>
        <w:pStyle w:val="Heading3"/>
      </w:pPr>
      <w:bookmarkStart w:id="1501" w:name="_Toc1023"/>
      <w:r>
        <w:t>الاسطرلاب = صنعت اسطرلاب / اسطرلاب / فارسی</w:t>
      </w:r>
      <w:bookmarkEnd w:id="1501"/>
    </w:p>
    <w:p>
      <w:pPr>
        <w:pStyle w:val="BookText"/>
      </w:pPr>
      <w:r>
        <w:rPr>
          <w:rFonts w:ascii="Times New Roman" w:hAnsi="Times New Roman" w:eastAsia="Times New Roman" w:cs="Times New Roman"/>
          <w:lang w:val="en-US" w:bidi="en-US"/>
          <w:color w:val="111111"/>
          <w:sz w:val="28"/>
          <w:szCs w:val="28"/>
          <w:rtl/>
        </w:rPr>
        <w:t xml:space="preserve">al-ostorlāb = san‘at-e ostorlāb</w:t>
      </w:r>
    </w:p>
    <w:p>
      <w:pPr>
        <w:pStyle w:val="BookText"/>
      </w:pPr>
      <w:r>
        <w:rPr>
          <w:rFonts w:ascii="IRNazanin" w:hAnsi="IRNazanin" w:eastAsia="IRNazanin" w:cs="IRNazanin"/>
          <w:lang w:bidi="fa-IR"/>
          <w:color w:val="111111"/>
          <w:sz w:val="28"/>
          <w:szCs w:val="28"/>
          <w:rtl/>
        </w:rPr>
        <w:t xml:space="preserve">حجازی، محمد امین بن میرزا  جان، ق ۱۱ قمری</w:t>
      </w:r>
    </w:p>
    <w:p>
      <w:pPr>
        <w:pStyle w:val="BookText"/>
      </w:pPr>
      <w:r>
        <w:rPr>
          <w:rFonts w:ascii="IRNazanin" w:hAnsi="IRNazanin" w:eastAsia="IRNazanin" w:cs="IRNazanin"/>
          <w:lang w:bidi="fa-IR"/>
          <w:color w:val="111111"/>
          <w:sz w:val="28"/>
          <w:szCs w:val="28"/>
          <w:rtl/>
        </w:rPr>
        <w:t xml:space="preserve">در یک «مقدمه» و نه «باب» و یک «خاتمه»: ۱. در اعمال؛2. عمل صفايح؛ ۳. کشیدن خط افق و دیگر مقنطرات؛ ۴ .کشیـدن قوس های ساعات متساوی؛ ۵. کشیدن قوس های ساعات معوج؛ ۶. کشیدن دوایر سموت؛ ۷. دایره فلک البروج؛ ۸. پیدا کردن مرئی کواکب؛ ۹. فلك البروج؛ خاتمه در امتحان راستی درستى ام الصفايح و غیره برخی نسخه ها دارای سه «باب»</w:t>
      </w:r>
    </w:p>
    <w:p>
      <w:pPr>
        <w:pStyle w:val="BookText"/>
      </w:pPr>
      <w:r>
        <w:rPr>
          <w:rFonts w:ascii="IRNazanin" w:hAnsi="IRNazanin" w:eastAsia="IRNazanin" w:cs="IRNazanin"/>
          <w:lang w:bidi="fa-IR"/>
          <w:color w:val="111111"/>
          <w:sz w:val="28"/>
          <w:szCs w:val="28"/>
          <w:rtl/>
        </w:rPr>
        <w:t xml:space="preserve">آغاز: بسمله ،حمدله، این چند کلمه ایست که این فقیر حـقیر كثير التقصير محمد امين النجفى الحجازى ثم القمى از صفـحه خاطر در علم عمل اسطرلاب تحفه مخادیم مشتمل برمقدمه و چند باب</w:t>
      </w:r>
    </w:p>
    <w:p>
      <w:pPr>
        <w:pStyle w:val="BookText"/>
      </w:pPr>
      <w:r>
        <w:rPr>
          <w:rFonts w:ascii="IRNazanin" w:hAnsi="IRNazanin" w:eastAsia="IRNazanin" w:cs="IRNazanin"/>
          <w:lang w:bidi="fa-IR"/>
          <w:color w:val="111111"/>
          <w:sz w:val="28"/>
          <w:szCs w:val="28"/>
          <w:rtl/>
        </w:rPr>
        <w:t xml:space="preserve">انجام: فى الفور عضاده را گردانیده از طرفی دیگر ارتفاع گیرند بر همان ارتفاع افتد بی زیادت و نقصان و الاعضاده کژ است یا   ثقبه کژ همین کافیست در امتحان اسطرلاب والسلام</w:t>
      </w:r>
    </w:p>
    <w:p>
      <w:pPr>
        <w:pStyle w:val="BookText"/>
      </w:pPr>
      <w:r>
        <w:rPr>
          <w:rFonts w:ascii="IRNazanin" w:hAnsi="IRNazanin" w:eastAsia="IRNazanin" w:cs="IRNazanin"/>
          <w:lang w:bidi="fa-IR"/>
          <w:color w:val="111111"/>
          <w:sz w:val="28"/>
          <w:szCs w:val="28"/>
          <w:rtl/>
        </w:rPr>
        <w:t xml:space="preserve">[فهرستواره منزوی ۲۸۰۳/۴؛ الذريعه ۷۰/۱۱ «رسالة في الاسطرلاب»؛  نسخه های منزوی ۲۲۹/۱ (۴ نسخه)]</w:t>
      </w:r>
    </w:p>
    <w:p>
      <w:pPr>
        <w:pStyle w:val="BookText"/>
      </w:pPr>
      <w:r>
        <w:rPr>
          <w:rFonts w:ascii="IRNazanin" w:hAnsi="IRNazanin" w:eastAsia="IRNazanin" w:cs="IRNazanin"/>
          <w:lang w:bidi="fa-IR"/>
          <w:color w:val="111111"/>
          <w:sz w:val="28"/>
          <w:szCs w:val="28"/>
          <w:rtl/>
        </w:rPr>
        <w:t xml:space="preserve">١. تهران؛ ملک؛ شماره نسخه: ۸۲۹/۲۷</w:t>
      </w:r>
    </w:p>
    <w:p>
      <w:pPr>
        <w:pStyle w:val="BookText"/>
      </w:pPr>
      <w:r>
        <w:rPr>
          <w:rFonts w:ascii="IRNazanin" w:hAnsi="IRNazanin" w:eastAsia="IRNazanin" w:cs="IRNazanin"/>
          <w:lang w:bidi="fa-IR"/>
          <w:color w:val="111111"/>
          <w:sz w:val="28"/>
          <w:szCs w:val="28"/>
          <w:rtl/>
        </w:rPr>
        <w:t xml:space="preserve">در مقدمه معنى اسطرلاب و سه باب (اعمال، عمل صفایح در پنج فصل، عمل عنكبوت در سه فصل) و خاتمه در امتحان راستی و درستی ام و صفایح و شبکه و عضاده و لبنه و جز اینها، نام مؤلف را نخعی آورده است؛ خط: شکسته نستعلیق، بی کا، تا: ۱۳محرم ۱۰۲۲ق، جا: خراسان در ۳۸۷پ و ۳۸۸ ر از اخلاق جلالی است و دعا؛ كاغذ: ترمه، جلد: ابری فرنگی، ۸گ (۳۹۰پ-۳۹۷ر)،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۱۹/۸سم [ف: ۵ - ۲۰۱]</w:t>
      </w:r>
    </w:p>
    <w:p>
      <w:pPr>
        <w:pStyle w:val="BookText"/>
      </w:pPr>
      <w:r>
        <w:rPr>
          <w:rFonts w:ascii="IRNazanin" w:hAnsi="IRNazanin" w:eastAsia="IRNazanin" w:cs="IRNazanin"/>
          <w:lang w:bidi="fa-IR"/>
          <w:color w:val="111111"/>
          <w:sz w:val="28"/>
          <w:szCs w:val="28"/>
          <w:rtl/>
        </w:rPr>
        <w:t xml:space="preserve">۲. شیراز؛ علامه طباطبائی؛ شماره نسخه: ۱۳۱۵</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بی کا ،تا: پنج شنبه  ۲۰  محرم  ۱۰۴۶ق؛ ۱۱گ،اندازه: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[نسخه پژوهی: ۲ - ۱۱۳]</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مشهد؛ رضوی؛ شماره نسخه: ۵۲۸۴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۵ رجب ۱۰۶۸ق؛ کاغذ: حنایی آهار مهره، جلد: مقوایی ۱۵گ، ۱۷ سطر ،(5</w:t>
      </w:r>
      <w:r>
        <w:rPr>
          <w:rFonts w:ascii="Times New Roman" w:hAnsi="Times New Roman" w:eastAsia="Times New Roman" w:cs="Times New Roman"/>
          <w:lang w:val="en-US" w:bidi="en-US"/>
          <w:color w:val="111111"/>
          <w:sz w:val="28"/>
          <w:szCs w:val="28"/>
          <w:rtl/>
        </w:rPr>
        <w:t xml:space="preserve">×11/7)</w:t>
      </w:r>
      <w:r>
        <w:rPr>
          <w:rFonts w:ascii="IRNazanin" w:hAnsi="IRNazanin" w:eastAsia="IRNazanin" w:cs="IRNazanin"/>
          <w:lang w:bidi="fa-IR"/>
          <w:color w:val="111111"/>
          <w:sz w:val="28"/>
          <w:szCs w:val="28"/>
          <w:rtl/>
        </w:rPr>
        <w:t xml:space="preserve">،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[ف:8- 30]</w:t>
      </w:r>
    </w:p>
    <w:p>
      <w:pPr>
        <w:pStyle w:val="BookText"/>
      </w:pPr>
      <w:r>
        <w:rPr>
          <w:rFonts w:ascii="IRNazanin" w:hAnsi="IRNazanin" w:eastAsia="IRNazanin" w:cs="IRNazanin"/>
          <w:lang w:bidi="fa-IR"/>
          <w:color w:val="111111"/>
          <w:sz w:val="28"/>
          <w:szCs w:val="28"/>
          <w:rtl/>
        </w:rPr>
        <w:t xml:space="preserve">4.. مشهد؛ رضوی؛ شماره نسخه ۵۲۸۳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تحریری، بی کا، تا: اواخر قرن ۱۱ و اوایل قرن ۱۲؛ کاغذ: حنایی آهار  مهره ،جلد ،مقوایی، ۴گ، ۲۶ سطر چلیپا (۱۱/۳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 اندازه: ۱۷/۱۸</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۲۵/۳سم [ف: ۸ - ۲۹]</w:t>
      </w:r>
    </w:p>
    <w:p>
      <w:pPr>
        <w:pStyle w:val="BookText"/>
      </w:pPr>
      <w:r>
        <w:rPr>
          <w:rFonts w:ascii="IRNazanin" w:hAnsi="IRNazanin" w:eastAsia="IRNazanin" w:cs="IRNazanin"/>
          <w:lang w:bidi="fa-IR"/>
          <w:color w:val="111111"/>
          <w:sz w:val="28"/>
          <w:szCs w:val="28"/>
          <w:rtl/>
        </w:rPr>
        <w:t xml:space="preserve">قم؛ مرکز احیاء؛ شماره نسخه: ۵۵۹</w:t>
      </w:r>
    </w:p>
    <w:p>
      <w:pPr>
        <w:pStyle w:val="BookText"/>
      </w:pPr>
      <w:r>
        <w:rPr>
          <w:rFonts w:ascii="IRNazanin" w:hAnsi="IRNazanin" w:eastAsia="IRNazanin" w:cs="IRNazanin"/>
          <w:lang w:bidi="fa-IR"/>
          <w:color w:val="111111"/>
          <w:sz w:val="28"/>
          <w:szCs w:val="28"/>
          <w:rtl/>
        </w:rPr>
        <w:t xml:space="preserve">نسخه اصل: همان نسخه بالا [عکسی ف: ۲ - ۱۴۹]</w:t>
      </w:r>
    </w:p>
    <w:p>
      <w:pPr>
        <w:pStyle w:val="BookText"/>
      </w:pPr>
      <w:r>
        <w:rPr>
          <w:rFonts w:ascii="IRNazanin" w:hAnsi="IRNazanin" w:eastAsia="IRNazanin" w:cs="IRNazanin"/>
          <w:lang w:bidi="fa-IR"/>
          <w:color w:val="111111"/>
          <w:sz w:val="28"/>
          <w:szCs w:val="28"/>
          <w:rtl/>
        </w:rPr>
        <w:t xml:space="preserve">۵. تهران؛ نوربخش؛ شماره نسخه: ۵۶۹/۶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۱۱۱۱ق؛ کاغذ: فرنگی، جلد: تیماج تریاکی یک لا، ۸ ص (۷۴-۸۱)، ۱۶ و ۱۷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۲ - ۲۲۰]</w:t>
      </w:r>
    </w:p>
    <w:p>
      <w:pPr>
        <w:pStyle w:val="BookText"/>
      </w:pPr>
      <w:r>
        <w:rPr>
          <w:rFonts w:ascii="IRNazanin" w:hAnsi="IRNazanin" w:eastAsia="IRNazanin" w:cs="IRNazanin"/>
          <w:lang w:bidi="fa-IR"/>
          <w:color w:val="111111"/>
          <w:sz w:val="28"/>
          <w:szCs w:val="28"/>
          <w:rtl/>
        </w:rPr>
        <w:t xml:space="preserve">۶. مشهد؛ الهیات؛ شماره نسخه: ۵۱۳/۳</w:t>
      </w:r>
    </w:p>
    <w:p>
      <w:pPr>
        <w:pStyle w:val="BookText"/>
      </w:pPr>
      <w:r>
        <w:rPr>
          <w:rFonts w:ascii="IRNazanin" w:hAnsi="IRNazanin" w:eastAsia="IRNazanin" w:cs="IRNazanin"/>
          <w:lang w:bidi="fa-IR"/>
          <w:color w:val="111111"/>
          <w:sz w:val="28"/>
          <w:szCs w:val="28"/>
          <w:rtl/>
        </w:rPr>
        <w:t xml:space="preserve">آغاز: برابر؛ انجام: بر هفت افتد و همچنین در  ... انتهى ما وجدته من هذه النسخه</w:t>
      </w:r>
    </w:p>
    <w:p>
      <w:pPr>
        <w:pStyle w:val="BookText"/>
      </w:pPr>
      <w:r>
        <w:rPr>
          <w:rFonts w:ascii="IRNazanin" w:hAnsi="IRNazanin" w:eastAsia="IRNazanin" w:cs="IRNazanin"/>
          <w:lang w:bidi="fa-IR"/>
          <w:color w:val="111111"/>
          <w:sz w:val="28"/>
          <w:szCs w:val="28"/>
          <w:rtl/>
        </w:rPr>
        <w:t xml:space="preserve">در سه باب؛ خط: نستعلیق، کا: محمد  علی، تا: شب پنج شنبه ۱۲ جمادی الثانی ۱۲۲۴ق؛ افتادگی: انجام؛ جلد: تیماج مشکی لایه ای ۲۵ سطر (6/5</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،قطع: ربعی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۱۵/۵سم [ف:  1- 393]</w:t>
      </w:r>
    </w:p>
    <w:p>
      <w:pPr>
        <w:pStyle w:val="BookText"/>
      </w:pPr>
      <w:r>
        <w:rPr>
          <w:rFonts w:ascii="IRNazanin" w:hAnsi="IRNazanin" w:eastAsia="IRNazanin" w:cs="IRNazanin"/>
          <w:lang w:bidi="fa-IR"/>
          <w:color w:val="111111"/>
          <w:sz w:val="28"/>
          <w:szCs w:val="28"/>
          <w:rtl/>
        </w:rPr>
        <w:t xml:space="preserve">7.تهران؛ مهدوی؛ شماره نسخه: ۲۸۲/۲۴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292" w:name="pg20365_260407"/>
    <w:bookmarkEnd w:id="292"/>
    <w:p>
      <w:pPr>
        <w:pStyle w:val="BookText"/>
      </w:pPr>
      <w:r>
        <w:rPr>
          <w:rFonts w:ascii="IRNazanin" w:hAnsi="IRNazanin" w:eastAsia="IRNazanin" w:cs="IRNazanin"/>
          <w:lang w:bidi="fa-IR"/>
          <w:color w:val="111111"/>
          <w:sz w:val="28"/>
          <w:szCs w:val="28"/>
          <w:rtl/>
        </w:rPr>
        <w:t xml:space="preserve">خط: نسخ، کا: محمد طاهر بن ولی محمد طبیب مشهدی، ۱۳۰۹ق؛ کاغذ: ترمه ۱۲ ص (۱۹۹-۲۱۰) [ نشریه: ۲ - ۱۰۶]</w:t>
      </w:r>
    </w:p>
    <w:p>
      <w:pPr>
        <w:pStyle w:val="BookText"/>
      </w:pPr>
      <w:r>
        <w:rPr>
          <w:rFonts w:ascii="IRNazanin" w:hAnsi="IRNazanin" w:eastAsia="IRNazanin" w:cs="IRNazanin"/>
          <w:lang w:bidi="fa-IR"/>
          <w:color w:val="111111"/>
          <w:sz w:val="28"/>
          <w:szCs w:val="28"/>
          <w:rtl/>
        </w:rPr>
        <w:t xml:space="preserve">8.مشهد؛ رضوی؛ شماره نسخه: ۱۲۲۹۷/۲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خوش، کا: میرزا طاهر  مشهدی، تا: ۱۳۰۹ق، جا: مشهـد؛ کاغذ: حنائی آهار مهره، جلد: تیماج ضربی زرکوب، ۶ ص( 24- ۲۹)، ۳۱ سطر، اندازه: ۲۰/۲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۳۳/۱سم [ف: ۱۰ - ۲۴۰]</w:t>
      </w:r>
    </w:p>
    <w:p>
      <w:pPr>
        <w:pStyle w:val="BookText"/>
      </w:pPr>
      <w:r>
        <w:rPr>
          <w:rFonts w:ascii="IRNazanin" w:hAnsi="IRNazanin" w:eastAsia="IRNazanin" w:cs="IRNazanin"/>
          <w:lang w:bidi="fa-IR"/>
          <w:color w:val="111111"/>
          <w:sz w:val="28"/>
          <w:szCs w:val="28"/>
          <w:rtl/>
        </w:rPr>
        <w:t xml:space="preserve">تهران؛ دائرة المعارف؛ شماره نسخه: ۴۸۶/۱-عکسی</w:t>
      </w:r>
    </w:p>
    <w:p>
      <w:pPr>
        <w:pStyle w:val="BookText"/>
      </w:pPr>
      <w:r>
        <w:rPr>
          <w:rFonts w:ascii="IRNazanin" w:hAnsi="IRNazanin" w:eastAsia="IRNazanin" w:cs="IRNazanin"/>
          <w:lang w:bidi="fa-IR"/>
          <w:color w:val="111111"/>
          <w:sz w:val="28"/>
          <w:szCs w:val="28"/>
          <w:rtl/>
        </w:rPr>
        <w:t xml:space="preserve">نسخه اصل:همان نسخه بالا[ف: ۲ - ۲۲]</w:t>
      </w:r>
    </w:p>
    <w:p>
      <w:pPr>
        <w:pStyle w:val="Heading3"/>
      </w:pPr>
      <w:bookmarkStart w:id="1502" w:name="_Toc1024"/>
      <w:r>
        <w:t>الاسطرلاب / اسطرلاب / فارسی</w:t>
      </w:r>
      <w:bookmarkEnd w:id="1502"/>
    </w:p>
    <w:p>
      <w:pPr>
        <w:pStyle w:val="BookText"/>
      </w:pPr>
      <w:r>
        <w:rPr>
          <w:rFonts w:ascii="Times New Roman" w:hAnsi="Times New Roman" w:eastAsia="Times New Roman" w:cs="Times New Roman"/>
          <w:lang w:val="en-US" w:bidi="en-US"/>
          <w:color w:val="111111"/>
          <w:sz w:val="28"/>
          <w:szCs w:val="28"/>
          <w:rtl/>
        </w:rPr>
        <w:t xml:space="preserve">al-usṭurlāb</w:t>
      </w:r>
    </w:p>
    <w:p>
      <w:pPr>
        <w:pStyle w:val="BookText"/>
      </w:pPr>
      <w:r>
        <w:rPr>
          <w:rFonts w:ascii="IRNazanin" w:hAnsi="IRNazanin" w:eastAsia="IRNazanin" w:cs="IRNazanin"/>
          <w:lang w:bidi="fa-IR"/>
          <w:color w:val="111111"/>
          <w:sz w:val="28"/>
          <w:szCs w:val="28"/>
          <w:rtl/>
        </w:rPr>
        <w:t xml:space="preserve">قاینی، قاسمعلی، ق ۱۱ قمری</w:t>
      </w:r>
    </w:p>
    <w:p>
      <w:pPr>
        <w:pStyle w:val="BookText"/>
      </w:pPr>
      <w:r>
        <w:rPr>
          <w:rFonts w:ascii="Times New Roman" w:hAnsi="Times New Roman" w:eastAsia="Times New Roman" w:cs="Times New Roman"/>
          <w:lang w:val="en-US" w:bidi="en-US"/>
          <w:color w:val="111111"/>
          <w:sz w:val="28"/>
          <w:szCs w:val="28"/>
          <w:rtl/>
        </w:rPr>
        <w:t xml:space="preserve">(qāyenī, qāsem-‘alī (- 17c)</w:t>
      </w:r>
    </w:p>
    <w:p>
      <w:pPr>
        <w:pStyle w:val="BookText"/>
      </w:pPr>
      <w:r>
        <w:rPr>
          <w:rFonts w:ascii="Amiri" w:hAnsi="Amiri" w:eastAsia="Amiri" w:cs="Amiri"/>
          <w:lang w:bidi="ar-SA"/>
          <w:color w:val="111111"/>
          <w:sz w:val="28"/>
          <w:szCs w:val="28"/>
          <w:rtl/>
        </w:rPr>
        <w:t xml:space="preserve">تاريخ تأليف: ۲۰ محرم  1070ق</w:t>
      </w:r>
    </w:p>
    <w:p>
      <w:pPr>
        <w:pStyle w:val="BookText"/>
      </w:pPr>
      <w:r>
        <w:rPr>
          <w:rFonts w:ascii="IRNazanin" w:hAnsi="IRNazanin" w:eastAsia="IRNazanin" w:cs="IRNazanin"/>
          <w:lang w:bidi="fa-IR"/>
          <w:color w:val="111111"/>
          <w:sz w:val="28"/>
          <w:szCs w:val="28"/>
          <w:rtl/>
        </w:rPr>
        <w:t xml:space="preserve">دو گزارش از این رساله در دست است یکی رساله ای مختصـر در بیان معرفت و اصول و قواعد اسطرلاب که به گفته مؤلف وی از استادش«محمد حسین بن مولانا شمس الدین محمد بـاقر یزدی» فرا گرفته است. این رساله در یک «مقدمه» و دوات «باب» و یک «خاتمه» تنظیم شده است. فهرست باب های این رساله به گزارش فهرستواره منزوی (4: 2802) چنین است: طول و عرض بلد، معرفت  ارتفاع، معرفت طالع از  ارتفاع، معرفـت ارتفاع از طالع، دایره ساعات  مستوی، میل  آفتاب، مطالع بروج خانه های دوازده گانه، ساعات صبح و شفق، معرفت ظل ازارتفاع، طالع سال آینده معرفت عرض بلد، معرفت طالع وقـت، سمت از ارتفاع و ارتفاع از سمت ارتفاع قطب فلک البروج، تقویم آفتاب تقویم  آفتاب، معرفت بالای اشخاص مرتفع از زمین، معرفت عمل کردن بر صحیفه  آفاق، معرفت امتحـان اسطرلاب، صفت ستارگان لازم به ذکر است که در گزارشی که فهرستواره منزوی (۴: ۲۸۰۲) از اسطرلاب قاینی داده است، سرآغاز نقل شده مربوط به رساله «قبله نما»ی قاینی است نسخه ها همان نسخه های «الاسطرلاب» اوست و احتمالاً عناوین باب ها نیز ناظر به همین رساله باشد.</w:t>
      </w:r>
    </w:p>
    <w:p>
      <w:pPr>
        <w:pStyle w:val="BookText"/>
      </w:pPr>
      <w:r>
        <w:rPr>
          <w:rFonts w:ascii="IRNazanin" w:hAnsi="IRNazanin" w:eastAsia="IRNazanin" w:cs="IRNazanin"/>
          <w:lang w:bidi="fa-IR"/>
          <w:color w:val="111111"/>
          <w:sz w:val="28"/>
          <w:szCs w:val="28"/>
          <w:rtl/>
        </w:rPr>
        <w:t xml:space="preserve">آغاز: سپاس بی قیاس و ستایش بی مر صانع قدیم و قادر حکیم را ... اما بعد این فقير الحقير الى الغنى قاسم على قاينى مدت مدید بود در طلب آموختن صنعت اسطرلاب سعی بلیغ داشت و استاد مشفق نمی یافت. به حكم من طلب وجد وجد استاد شفیق رفیق یافت و به قدر وسع خود از استاد صاحب کم و نیز آفتاب خصال اعنى مولانا محمد حسین بن مولا شمـس الملة والدين محمد بقار یزدی فرا گرفت مقدمه در تعریف  و خواص اسطرلاب</w:t>
      </w:r>
    </w:p>
    <w:p>
      <w:pPr>
        <w:pStyle w:val="BookText"/>
      </w:pPr>
      <w:r>
        <w:rPr>
          <w:rFonts w:ascii="IRNazanin" w:hAnsi="IRNazanin" w:eastAsia="IRNazanin" w:cs="IRNazanin"/>
          <w:lang w:bidi="fa-IR"/>
          <w:color w:val="111111"/>
          <w:sz w:val="28"/>
          <w:szCs w:val="28"/>
          <w:rtl/>
        </w:rPr>
        <w:t xml:space="preserve">انجام: از طرف دیگر ارتفاع گیرند بر همان ارتفاع  افتد  بی زیـاده و نقصان والا عضاده کچست یا دفنه کچست یا ثقبه کچست  همین قدر کافیست در امتحان اسطرلاب والله اعلم بالصواب</w:t>
      </w:r>
    </w:p>
    <w:p>
      <w:pPr>
        <w:pStyle w:val="BookText"/>
      </w:pPr>
      <w:r>
        <w:rPr>
          <w:rFonts w:ascii="IRNazanin" w:hAnsi="IRNazanin" w:eastAsia="IRNazanin" w:cs="IRNazanin"/>
          <w:lang w:bidi="fa-IR"/>
          <w:color w:val="111111"/>
          <w:sz w:val="28"/>
          <w:szCs w:val="28"/>
          <w:rtl/>
        </w:rPr>
        <w:t xml:space="preserve">[نسخه های منزوی ۲۳۰؛ فهرستواره منزوی ۴: ۲۸۰۰ ،۲۸۰۲؛ استوری ۸۹/۲-  ۹۱ دنا ۱: ۷۹۸ (۶ نسخه) تذکر: یکی از نسخه های مربوط به آلات</w:t>
      </w:r>
    </w:p>
    <w:p>
      <w:pPr>
        <w:pStyle w:val="BookText"/>
      </w:pPr>
      <w:r>
        <w:rPr>
          <w:rFonts w:ascii="IRNazanin" w:hAnsi="IRNazanin" w:eastAsia="IRNazanin" w:cs="IRNazanin"/>
          <w:lang w:bidi="fa-IR"/>
          <w:color w:val="111111"/>
          <w:sz w:val="28"/>
          <w:szCs w:val="28"/>
          <w:rtl/>
        </w:rPr>
        <w:t xml:space="preserve">اسطرلاب قاینی می باشد]</w:t>
      </w:r>
    </w:p>
    <w:p>
      <w:pPr>
        <w:pStyle w:val="BookText"/>
      </w:pPr>
      <w:r>
        <w:rPr>
          <w:rFonts w:ascii="IRNazanin" w:hAnsi="IRNazanin" w:eastAsia="IRNazanin" w:cs="IRNazanin"/>
          <w:lang w:bidi="fa-IR"/>
          <w:color w:val="111111"/>
          <w:sz w:val="28"/>
          <w:szCs w:val="28"/>
          <w:rtl/>
        </w:rPr>
        <w:t xml:space="preserve">۱. قم؛ مسجد اعظم؛ شماره نسخه: ۲۹۱۳/۱</w:t>
      </w:r>
    </w:p>
    <w:p>
      <w:pPr>
        <w:pStyle w:val="BookText"/>
      </w:pPr>
      <w:r>
        <w:rPr>
          <w:rFonts w:ascii="IRNazanin" w:hAnsi="IRNazanin" w:eastAsia="IRNazanin" w:cs="IRNazanin"/>
          <w:lang w:bidi="fa-IR"/>
          <w:color w:val="111111"/>
          <w:sz w:val="28"/>
          <w:szCs w:val="28"/>
          <w:rtl/>
        </w:rPr>
        <w:t xml:space="preserve">آغاز برابر: برابر</w:t>
      </w:r>
    </w:p>
    <w:p>
      <w:pPr>
        <w:pStyle w:val="BookText"/>
      </w:pPr>
      <w:r>
        <w:rPr>
          <w:rFonts w:ascii="IRNazanin" w:hAnsi="IRNazanin" w:eastAsia="IRNazanin" w:cs="IRNazanin"/>
          <w:lang w:bidi="fa-IR"/>
          <w:color w:val="111111"/>
          <w:sz w:val="28"/>
          <w:szCs w:val="28"/>
          <w:rtl/>
        </w:rPr>
        <w:t xml:space="preserve">خط: نسخ، بی کا، تا: سلخ ربیع الثانی ۱۰۷۴ق؛ جلد: تیماج سرخ، ۳۳گ، ۱۲ سطر، اندازه: ۱۰</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۱۷سم [ف مخ: ۱ - ۱۴۹]</w:t>
      </w:r>
    </w:p>
    <w:p>
      <w:pPr>
        <w:pStyle w:val="BookText"/>
      </w:pPr>
      <w:r>
        <w:rPr>
          <w:rFonts w:ascii="IRNazanin" w:hAnsi="IRNazanin" w:eastAsia="IRNazanin" w:cs="IRNazanin"/>
          <w:lang w:bidi="fa-IR"/>
          <w:color w:val="111111"/>
          <w:sz w:val="28"/>
          <w:szCs w:val="28"/>
          <w:rtl/>
        </w:rPr>
        <w:t xml:space="preserve">۲. تهران؛ سپهسالار؛ شماره نسخه: ۶۹۹</w:t>
      </w:r>
    </w:p>
    <w:p>
      <w:pPr>
        <w:pStyle w:val="BookText"/>
      </w:pPr>
      <w:r>
        <w:rPr>
          <w:rFonts w:ascii="IRNazanin" w:hAnsi="IRNazanin" w:eastAsia="IRNazanin" w:cs="IRNazanin"/>
          <w:lang w:bidi="fa-IR"/>
          <w:color w:val="111111"/>
          <w:sz w:val="28"/>
          <w:szCs w:val="28"/>
          <w:rtl/>
        </w:rPr>
        <w:t xml:space="preserve">آغاز و انجام: برابر؛ انجامه: تألیف رساله شد در تاریخ ۲۰ محرم  ۱۰۷۰ ق.</w:t>
      </w:r>
    </w:p>
    <w:p>
      <w:pPr>
        <w:pStyle w:val="BookText"/>
      </w:pPr>
      <w:r>
        <w:rPr>
          <w:rFonts w:ascii="IRNazanin" w:hAnsi="IRNazanin" w:eastAsia="IRNazanin" w:cs="IRNazanin"/>
          <w:lang w:bidi="fa-IR"/>
          <w:color w:val="111111"/>
          <w:sz w:val="28"/>
          <w:szCs w:val="28"/>
          <w:rtl/>
        </w:rPr>
        <w:t xml:space="preserve">خط: نستعلیق، کا: سیف الدین محمود، تا: ۲۸ جمادی الاول ۱۰۸۳ق؛ پس از آن بندی «در طریقت در کشیدن خطوط ساعات که از ظل مقیاس معلوم شود» نوشته شده است (41پ-43پ)، در پشت برگ نخست نوشته شده است: «عبد الائمه و عبدالعلی که اسطرلاب و حلقه اسکندری و قطب نما ساخته اند و قاسم علی هر سه نزد ملا محمد باقر یزدی یعنی پدر ملا محمد حسین درس خوانده و از قاسم على اسطرلاب و حلقه اسکندری دیده نشده که ساخته باشد؛ تملک:اعتضاد السلطنه در ۱۲۷۰ق؛ واقف: سپهسالار، ۱۲۹۷ق؛ کاغذ: فرنگی ،جلد: تیماج حنایی یک لا، ۴۰گ (۱پ- ۴۰پ)، ۹ سطر،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۳ - ۱۳۰]</w:t>
      </w:r>
    </w:p>
    <w:p>
      <w:pPr>
        <w:pStyle w:val="BookText"/>
      </w:pPr>
      <w:r>
        <w:rPr>
          <w:rFonts w:ascii="IRNazanin" w:hAnsi="IRNazanin" w:eastAsia="IRNazanin" w:cs="IRNazanin"/>
          <w:lang w:bidi="fa-IR"/>
          <w:color w:val="111111"/>
          <w:sz w:val="28"/>
          <w:szCs w:val="28"/>
          <w:rtl/>
        </w:rPr>
        <w:t xml:space="preserve">3.تهران؛ مجلس؛ شماره نسخه: ۳۹۲۹/۵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۱۳ ؛کاغذ: فرنگی سفید، جلد: تیماج مشکی، ۵۲ ص( ۱۲۹ - ۱۸۰)، قطع: خشتی [ف ۱۰ - ۲۰۱۵]</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تهران؛ دانشگاه؛ شماره نسخه: ۸۵۹۷/۸</w:t>
      </w:r>
    </w:p>
    <w:p>
      <w:pPr>
        <w:pStyle w:val="BookText"/>
      </w:pPr>
      <w:r>
        <w:rPr>
          <w:rFonts w:ascii="IRNazanin" w:hAnsi="IRNazanin" w:eastAsia="IRNazanin" w:cs="IRNazanin"/>
          <w:lang w:bidi="fa-IR"/>
          <w:color w:val="111111"/>
          <w:sz w:val="28"/>
          <w:szCs w:val="28"/>
          <w:rtl/>
        </w:rPr>
        <w:t xml:space="preserve">خط: نستعلیق، بی کا، تا: ۱۲۴۰ق؛ کاغذ: کبود فرنگی، جلد: مقوا پارچه دار، ۱۱گ (۱۰۲پ-۱۱۲ر)، ۱۶ سطر (۷/۵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قطع:  خشتی ربعی [ف: ۱۷ - ۱۷۰]</w:t>
      </w:r>
    </w:p>
    <w:p>
      <w:pPr>
        <w:pStyle w:val="BookText"/>
      </w:pPr>
      <w:r>
        <w:rPr>
          <w:rFonts w:ascii="IRNazanin" w:hAnsi="IRNazanin" w:eastAsia="IRNazanin" w:cs="IRNazanin"/>
          <w:lang w:bidi="fa-IR"/>
          <w:color w:val="111111"/>
          <w:sz w:val="28"/>
          <w:szCs w:val="28"/>
          <w:rtl/>
        </w:rPr>
        <w:t xml:space="preserve">۵. تهران؛ ملک؛ شماره نسخه: ۵۶۸۱/۹</w:t>
      </w:r>
    </w:p>
    <w:p>
      <w:pPr>
        <w:pStyle w:val="BookText"/>
      </w:pPr>
      <w:r>
        <w:rPr>
          <w:rFonts w:ascii="IRNazanin" w:hAnsi="IRNazanin" w:eastAsia="IRNazanin" w:cs="IRNazanin"/>
          <w:lang w:bidi="fa-IR"/>
          <w:color w:val="111111"/>
          <w:sz w:val="28"/>
          <w:szCs w:val="28"/>
          <w:rtl/>
        </w:rPr>
        <w:t xml:space="preserve">آغاز: برابر؛ انجام: آنچه در باب ... (؟) اسطرلاب بکار آید زیاده بر این موجب اطناب شود.</w:t>
      </w:r>
    </w:p>
    <w:p>
      <w:pPr>
        <w:pStyle w:val="BookText"/>
      </w:pPr>
      <w:r>
        <w:rPr>
          <w:rFonts w:ascii="IRNazanin" w:hAnsi="IRNazanin" w:eastAsia="IRNazanin" w:cs="IRNazanin"/>
          <w:lang w:bidi="fa-IR"/>
          <w:color w:val="111111"/>
          <w:sz w:val="28"/>
          <w:szCs w:val="28"/>
          <w:rtl/>
        </w:rPr>
        <w:t xml:space="preserve">در فهرست ناشناس آمده و در فهرستواره منزوی (4: 2800) به سید علی جفری (خفری) نسبت داده شده است؛ خط: نسخ و نستعلیق، بی کا، بی تا، کاغذ: نوعی ترمه ،جلد: میشن قهوه ای لایی، ۳۰گ (77پ-۱۰۶ر)، اندازه: ۱۳/۱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۱۹/۵سم [ف: ۸ - ۴۵۴]</w:t>
      </w:r>
    </w:p>
    <w:p>
      <w:pPr>
        <w:pStyle w:val="Heading3"/>
      </w:pPr>
      <w:bookmarkStart w:id="1503" w:name="_Toc1025"/>
      <w:r>
        <w:t>الاسطرلاب / اسطرلاب / فارسی</w:t>
      </w:r>
      <w:bookmarkEnd w:id="1503"/>
    </w:p>
    <w:p>
      <w:pPr>
        <w:pStyle w:val="BookText"/>
      </w:pPr>
      <w:r>
        <w:rPr>
          <w:rFonts w:ascii="Times New Roman" w:hAnsi="Times New Roman" w:eastAsia="Times New Roman" w:cs="Times New Roman"/>
          <w:lang w:val="en-US" w:bidi="en-US"/>
          <w:color w:val="111111"/>
          <w:sz w:val="28"/>
          <w:szCs w:val="28"/>
          <w:rtl/>
        </w:rPr>
        <w:t xml:space="preserve">al-usturlab</w:t>
      </w:r>
    </w:p>
    <w:p>
      <w:pPr>
        <w:pStyle w:val="BookText"/>
      </w:pPr>
      <w:r>
        <w:rPr>
          <w:rFonts w:ascii="IRNazanin" w:hAnsi="IRNazanin" w:eastAsia="IRNazanin" w:cs="IRNazanin"/>
          <w:lang w:bidi="fa-IR"/>
          <w:color w:val="111111"/>
          <w:sz w:val="28"/>
          <w:szCs w:val="28"/>
          <w:rtl/>
        </w:rPr>
        <w:t xml:space="preserve">قاینی، قاسمعلی، ق ۱۱ قمری</w:t>
      </w:r>
    </w:p>
    <w:p>
      <w:pPr>
        <w:pStyle w:val="BookText"/>
      </w:pPr>
      <w:r>
        <w:rPr>
          <w:rFonts w:ascii="Times New Roman" w:hAnsi="Times New Roman" w:eastAsia="Times New Roman" w:cs="Times New Roman"/>
          <w:lang w:val="en-US" w:bidi="en-US"/>
          <w:color w:val="111111"/>
          <w:sz w:val="28"/>
          <w:szCs w:val="28"/>
          <w:rtl/>
        </w:rPr>
        <w:t xml:space="preserve">(qāyenī, qāsem-'alī (- 17c)</w:t>
      </w:r>
    </w:p>
    <w:p>
      <w:pPr>
        <w:pStyle w:val="BookText"/>
      </w:pPr>
      <w:r>
        <w:rPr>
          <w:rFonts w:ascii="IRNazanin" w:hAnsi="IRNazanin" w:eastAsia="IRNazanin" w:cs="IRNazanin"/>
          <w:lang w:bidi="fa-IR"/>
          <w:color w:val="111111"/>
          <w:sz w:val="28"/>
          <w:szCs w:val="28"/>
          <w:rtl/>
        </w:rPr>
        <w:t xml:space="preserve">تاریخ تألیف: پنج شنبه ۱۱ شعبان ۱۰۸۳؛ محل تأليف: مدرسه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293" w:name="pg20365_260408"/>
    <w:bookmarkEnd w:id="293"/>
    <w:p>
      <w:pPr>
        <w:pStyle w:val="BookText"/>
      </w:pPr>
      <w:r>
        <w:rPr>
          <w:rFonts w:ascii="IRNazanin" w:hAnsi="IRNazanin" w:eastAsia="IRNazanin" w:cs="IRNazanin"/>
          <w:lang w:bidi="fa-IR"/>
          <w:color w:val="111111"/>
          <w:sz w:val="28"/>
          <w:szCs w:val="28"/>
          <w:rtl/>
        </w:rPr>
        <w:t xml:space="preserve">چهارباغ</w:t>
      </w:r>
    </w:p>
    <w:p>
      <w:pPr>
        <w:pStyle w:val="BookText"/>
      </w:pPr>
      <w:r>
        <w:rPr>
          <w:rFonts w:ascii="IRNazanin" w:hAnsi="IRNazanin" w:eastAsia="IRNazanin" w:cs="IRNazanin"/>
          <w:lang w:bidi="fa-IR"/>
          <w:color w:val="111111"/>
          <w:sz w:val="28"/>
          <w:szCs w:val="28"/>
          <w:rtl/>
        </w:rPr>
        <w:t xml:space="preserve">رساله دیگری است از قاینی در اسطرلاب در یک «مقدمه» و بیست «جذر» و یک «خاتمه».</w:t>
      </w:r>
    </w:p>
    <w:p>
      <w:pPr>
        <w:pStyle w:val="BookText"/>
      </w:pPr>
      <w:r>
        <w:rPr>
          <w:rFonts w:ascii="IRNazanin" w:hAnsi="IRNazanin" w:eastAsia="IRNazanin" w:cs="IRNazanin"/>
          <w:lang w:bidi="fa-IR"/>
          <w:color w:val="111111"/>
          <w:sz w:val="28"/>
          <w:szCs w:val="28"/>
          <w:rtl/>
        </w:rPr>
        <w:t xml:space="preserve">تهران؛ ملک؛ شماره نسخه: ۳۴۲۵/۳</w:t>
      </w:r>
    </w:p>
    <w:p>
      <w:pPr>
        <w:pStyle w:val="BookText"/>
      </w:pPr>
      <w:r>
        <w:rPr>
          <w:rFonts w:ascii="IRNazanin" w:hAnsi="IRNazanin" w:eastAsia="IRNazanin" w:cs="IRNazanin"/>
          <w:lang w:bidi="fa-IR"/>
          <w:color w:val="111111"/>
          <w:sz w:val="28"/>
          <w:szCs w:val="28"/>
          <w:rtl/>
        </w:rPr>
        <w:t xml:space="preserve">آغاز: بسمله و به نستعين حمد خالق الليل والنهار و ثناء سید الابرار و آله الاطهار ... اما بعد المحتاج الى قاسم الارزاق قاسم علی قاینی بعد از اتمام صنعت مقیاس صاحبقرانی که آن آلتی بود از آلات ارصاد؛ انجام: هر یک در سطوح موازیه هرگاه اراده کنند بطریق که در جذور سابقه مذکور شد یا بآلات متعدده توان کردن بر نحو صواب جهة اول ساعات و اعصار و زوال والله الموفق بالصواب و اليه المرجع والمآب که به اتمام رسید این رساله وجیزه در مدرسه چهار باغ بقدر مقدم بر رسیدن نیر اعـظم به دایره نصف النهار بلده ثامن اثنى عشردر روز پنج شنبه یازدهم شهر شعبان المعظم سنه ،۱۰۸۳ ، امید آنکه این رساله را مخـفی ندارند تا آنکه به نظر ارباب نظر رسد تا اگر در آن خطا و خـلل یابند به نظر مرحمت اصلاح  فرمایند، فان الله لا يضيع اجر المحسنين</w:t>
      </w:r>
    </w:p>
    <w:p>
      <w:pPr>
        <w:pStyle w:val="BookText"/>
      </w:pPr>
      <w:r>
        <w:rPr>
          <w:rFonts w:ascii="IRNazanin" w:hAnsi="IRNazanin" w:eastAsia="IRNazanin" w:cs="IRNazanin"/>
          <w:lang w:bidi="fa-IR"/>
          <w:color w:val="111111"/>
          <w:sz w:val="28"/>
          <w:szCs w:val="28"/>
          <w:rtl/>
        </w:rPr>
        <w:t xml:space="preserve">خط: شکسته نستعلیق، کا: سیف الله ابن محمود مشهدی، تا:15 رجب ۱۰۸۴ق؛ کاغذ ،ترمه ،جلد: میشن  قرمز، ۵۵گ (۱۳۲پ- ۱۸۶ر)، ۱۷ 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۶ - ۴۱۱]</w:t>
      </w:r>
    </w:p>
    <w:p>
      <w:pPr>
        <w:pStyle w:val="Heading3"/>
      </w:pPr>
      <w:bookmarkStart w:id="1504" w:name="_Toc1026"/>
      <w:r>
        <w:t>الاسطرلاب / اسطرلاب / عربی</w:t>
      </w:r>
      <w:bookmarkEnd w:id="1504"/>
    </w:p>
    <w:p>
      <w:pPr>
        <w:pStyle w:val="BookText"/>
      </w:pPr>
      <w:r>
        <w:rPr>
          <w:rFonts w:ascii="Times New Roman" w:hAnsi="Times New Roman" w:eastAsia="Times New Roman" w:cs="Times New Roman"/>
          <w:lang w:val="en-US" w:bidi="en-US"/>
          <w:color w:val="111111"/>
          <w:sz w:val="28"/>
          <w:szCs w:val="28"/>
          <w:rtl/>
        </w:rPr>
        <w:t xml:space="preserve">al-usṭurlāb</w:t>
      </w:r>
    </w:p>
    <w:p>
      <w:pPr>
        <w:pStyle w:val="BookText"/>
      </w:pPr>
      <w:r>
        <w:rPr>
          <w:rFonts w:ascii="IRNazanin" w:hAnsi="IRNazanin" w:eastAsia="IRNazanin" w:cs="IRNazanin"/>
          <w:lang w:bidi="fa-IR"/>
          <w:color w:val="111111"/>
          <w:sz w:val="28"/>
          <w:szCs w:val="28"/>
          <w:rtl/>
        </w:rPr>
        <w:t xml:space="preserve">حسنی جزری، عبدالرحمن بن سعيد</w:t>
      </w:r>
    </w:p>
    <w:p>
      <w:pPr>
        <w:pStyle w:val="BookText"/>
      </w:pPr>
      <w:r>
        <w:rPr>
          <w:rFonts w:ascii="Times New Roman" w:hAnsi="Times New Roman" w:eastAsia="Times New Roman" w:cs="Times New Roman"/>
          <w:lang w:val="en-US" w:bidi="en-US"/>
          <w:color w:val="111111"/>
          <w:sz w:val="28"/>
          <w:szCs w:val="28"/>
          <w:rtl/>
        </w:rPr>
        <w:t xml:space="preserve">hasanī jazarī, ‘abd-or-rahmān ebn-e sa‘īd</w:t>
      </w:r>
    </w:p>
    <w:p>
      <w:pPr>
        <w:pStyle w:val="BookText"/>
      </w:pPr>
      <w:r>
        <w:rPr>
          <w:rFonts w:ascii="IRNazanin" w:hAnsi="IRNazanin" w:eastAsia="IRNazanin" w:cs="IRNazanin"/>
          <w:lang w:bidi="fa-IR"/>
          <w:color w:val="111111"/>
          <w:sz w:val="28"/>
          <w:szCs w:val="28"/>
          <w:rtl/>
        </w:rPr>
        <w:t xml:space="preserve">اهداء به: وزیر مصطفی پاشا</w:t>
      </w:r>
    </w:p>
    <w:p>
      <w:pPr>
        <w:pStyle w:val="BookText"/>
      </w:pPr>
      <w:r>
        <w:rPr>
          <w:rFonts w:ascii="IRNazanin" w:hAnsi="IRNazanin" w:eastAsia="IRNazanin" w:cs="IRNazanin"/>
          <w:lang w:bidi="fa-IR"/>
          <w:color w:val="111111"/>
          <w:sz w:val="28"/>
          <w:szCs w:val="28"/>
          <w:rtl/>
        </w:rPr>
        <w:t xml:space="preserve">رساله مختصر در قواعد اسطرلاب که از رساله ای فارسی به عربی ترجمه نموده و مطالبی بر آن افزوده  است، در یـک «مقدمه» و ده «باب»: المقدمة: في القاب آلات الاسطرلاب باب ١. معرفة اخذ الارتفاع من الشمس و الكواكب؛ ۲. معرفة قوس النهار والليل؛ ٣. معرفة طالع التحويل للعالم؛ ۴. معرفة  الشمس و بعد الكواكب ؛ ۵. معرفة تقديم الشمس و الكواكب؛6. معرفة الطالع فى بلد لم يكن له صحيفة ؛ ۷. معرفة مطالع البروج فى خط الاستواء؛ ۸. معرفة قوس سمت من الارتفاع؛ ۹. العـمل بالآفاقية؛ .۱۰. بعض الاعمال السياحية. نام مؤلف در فهارس حيـدر بن عبدالرحمن حسنی (یا حسینی) جزری و عبدالرحمن بن سعید حسنی جزری آمده است که روزگارش معلوم نشد. چندین نسخه از آن درکتابخانه متحف العراقی معرفی شده که قدیمترین آن تاریخ ۱۱۶۷ را دارد و مؤلف قبل از این تاریخ می زیسته است.</w:t>
      </w:r>
    </w:p>
    <w:p>
      <w:pPr>
        <w:pStyle w:val="BookText"/>
      </w:pPr>
      <w:r>
        <w:rPr>
          <w:rFonts w:ascii="IRNazanin" w:hAnsi="IRNazanin" w:eastAsia="IRNazanin" w:cs="IRNazanin"/>
          <w:lang w:bidi="fa-IR"/>
          <w:color w:val="111111"/>
          <w:sz w:val="28"/>
          <w:szCs w:val="28"/>
          <w:rtl/>
        </w:rPr>
        <w:t xml:space="preserve">آغاز: الحمد لله الذى زين سماء الدنيا بزينة الكواكب و جعـلها علامات يهتدى للمآرب و المكاسب والصلاة و السلام عـلی  محمد طالع مطالع سماء الولاية و غارب</w:t>
      </w:r>
    </w:p>
    <w:p>
      <w:pPr>
        <w:pStyle w:val="BookText"/>
      </w:pPr>
      <w:r>
        <w:rPr>
          <w:rFonts w:ascii="Amiri" w:hAnsi="Amiri" w:eastAsia="Amiri" w:cs="Amiri"/>
          <w:lang w:bidi="ar-SA"/>
          <w:color w:val="111111"/>
          <w:sz w:val="28"/>
          <w:szCs w:val="28"/>
          <w:rtl/>
        </w:rPr>
        <w:t xml:space="preserve">انجام: فخارج القسمة هو الظل للارتفاع المطلوب فيستعلم منه بما مر فى الباب الأول، والحمد لله أولاً وآخراً</w:t>
      </w:r>
    </w:p>
    <w:p>
      <w:pPr>
        <w:pStyle w:val="BookText"/>
      </w:pPr>
      <w:r>
        <w:rPr>
          <w:rFonts w:ascii="IRNazanin" w:hAnsi="IRNazanin" w:eastAsia="IRNazanin" w:cs="IRNazanin"/>
          <w:lang w:bidi="fa-IR"/>
          <w:color w:val="111111"/>
          <w:sz w:val="28"/>
          <w:szCs w:val="28"/>
          <w:rtl/>
        </w:rPr>
        <w:t xml:space="preserve">[دنا 1/ 797(2  نسخه): بروکلمان ذیل ۱۰۲۰/۲؛ مختارات من المخطوطات العربية النادرة فى مكتبات تركيا ۳۹۷؛ مخطوطات الفلك والتنجيم في مكتبة المتحف العراقي ١١٣]</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مرعشی؛ شماره نسخه: ۱۴۶۱۱/۲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در برخی فهرست ها از حیدر بن عبدالرحمن دانسته شده، لیکن در نسخه موجود نام مؤلف صريحا عبدالرحمن بن سعید آمده است؛ خط: نسخ، بی کا، تا: اواخر قرن ۱۲؛ محشی؛ جدولی در خصوص تفال در انجام رساله آمده؛ کاغذ ،فرنگی، ۲۰گ (۷ر-۲۶پ)، ۲۱ ،سطر، اندازه: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۱۴/۵سم [ف: ۳۷ - ۲۶]</w:t>
      </w:r>
    </w:p>
    <w:p>
      <w:pPr>
        <w:pStyle w:val="BookText"/>
      </w:pPr>
      <w:r>
        <w:rPr>
          <w:rFonts w:ascii="IRNazanin" w:hAnsi="IRNazanin" w:eastAsia="IRNazanin" w:cs="IRNazanin"/>
          <w:lang w:bidi="fa-IR"/>
          <w:color w:val="111111"/>
          <w:sz w:val="28"/>
          <w:szCs w:val="28"/>
          <w:rtl/>
        </w:rPr>
        <w:t xml:space="preserve">۲. قم, مرعشی؛ شماره نسخه: ۸۳۶۶/۴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و نستعلیق، کا: سید اسماعیل  بنابی، تا: ۱۲۶۰ق؛ جلد: تیماج مشکی ۱۸گ (۱۳۵ پ -۱۵۲ر)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۲۱ - ۳۳۰]</w:t>
      </w:r>
    </w:p>
    <w:p>
      <w:pPr>
        <w:pStyle w:val="BookText"/>
      </w:pPr>
      <w:r>
        <w:rPr>
          <w:rFonts w:ascii="IRNazanin" w:hAnsi="IRNazanin" w:eastAsia="IRNazanin" w:cs="IRNazanin"/>
          <w:lang w:bidi="fa-IR"/>
          <w:color w:val="111111"/>
          <w:sz w:val="28"/>
          <w:szCs w:val="28"/>
          <w:rtl/>
        </w:rPr>
        <w:t xml:space="preserve">3.خوانسار ؛فاضل؛ شماره نسخه: ۳۱۹/۱</w:t>
      </w:r>
    </w:p>
    <w:p>
      <w:pPr>
        <w:pStyle w:val="BookText"/>
      </w:pPr>
      <w:r>
        <w:rPr>
          <w:rFonts w:ascii="IRNazanin" w:hAnsi="IRNazanin" w:eastAsia="IRNazanin" w:cs="IRNazanin"/>
          <w:lang w:bidi="fa-IR"/>
          <w:color w:val="111111"/>
          <w:sz w:val="28"/>
          <w:szCs w:val="28"/>
          <w:rtl/>
        </w:rPr>
        <w:t xml:space="preserve">آغاز : برابر</w:t>
      </w:r>
    </w:p>
    <w:p>
      <w:pPr>
        <w:pStyle w:val="BookText"/>
      </w:pPr>
      <w:r>
        <w:rPr>
          <w:rFonts w:ascii="IRNazanin" w:hAnsi="IRNazanin" w:eastAsia="IRNazanin" w:cs="IRNazanin"/>
          <w:lang w:bidi="fa-IR"/>
          <w:color w:val="111111"/>
          <w:sz w:val="28"/>
          <w:szCs w:val="28"/>
          <w:rtl/>
        </w:rPr>
        <w:t xml:space="preserve">خط: نسخ، کا: محمد سعید بن ملا احمد سرنجداغی، تا: یک شنبه  ۲۳  ربيع  الثانی ۱۳۲۹ق؛ محشی از کتب مربوطه به فارسی و عربی  ،جلد: مقوایی پارچه ای، عطف پارچه ای گلدار، ۷۳ ص (۱-۷۳)  ،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۲ - ۳۱]</w:t>
      </w:r>
    </w:p>
    <w:p>
      <w:pPr>
        <w:pStyle w:val="BookText"/>
      </w:pPr>
      <w:r>
        <w:rPr>
          <w:rFonts w:ascii="IRNazanin" w:hAnsi="IRNazanin" w:eastAsia="IRNazanin" w:cs="IRNazanin"/>
          <w:lang w:bidi="fa-IR"/>
          <w:color w:val="111111"/>
          <w:sz w:val="28"/>
          <w:szCs w:val="28"/>
          <w:rtl/>
        </w:rPr>
        <w:t xml:space="preserve">قم ؛مرکز احیاء؛ شماره نسخه: ۸۷/۱</w:t>
      </w:r>
    </w:p>
    <w:p>
      <w:pPr>
        <w:pStyle w:val="BookText"/>
      </w:pPr>
      <w:r>
        <w:rPr>
          <w:rFonts w:ascii="IRNazanin" w:hAnsi="IRNazanin" w:eastAsia="IRNazanin" w:cs="IRNazanin"/>
          <w:lang w:bidi="fa-IR"/>
          <w:color w:val="111111"/>
          <w:sz w:val="28"/>
          <w:szCs w:val="28"/>
          <w:rtl/>
        </w:rPr>
        <w:t xml:space="preserve">نسخه اصل: همان نسخه بالا [ عکسی ف: ۱ - ۱۰۸]</w:t>
      </w:r>
    </w:p>
    <w:p>
      <w:pPr>
        <w:pStyle w:val="Heading3"/>
      </w:pPr>
      <w:bookmarkStart w:id="1505" w:name="_Toc1027"/>
      <w:r>
        <w:t>الاسطرلاب = شصت باب / اسطرلاب / عربی</w:t>
      </w:r>
      <w:bookmarkEnd w:id="1505"/>
    </w:p>
    <w:p>
      <w:pPr>
        <w:pStyle w:val="BookText"/>
      </w:pPr>
      <w:r>
        <w:rPr>
          <w:rFonts w:ascii="Times New Roman" w:hAnsi="Times New Roman" w:eastAsia="Times New Roman" w:cs="Times New Roman"/>
          <w:lang w:val="en-US" w:bidi="en-US"/>
          <w:color w:val="111111"/>
          <w:sz w:val="28"/>
          <w:szCs w:val="28"/>
          <w:rtl/>
        </w:rPr>
        <w:t xml:space="preserve">al-usṭurlāb = šaṣt bāb</w:t>
      </w:r>
    </w:p>
    <w:p>
      <w:pPr>
        <w:pStyle w:val="BookText"/>
      </w:pPr>
      <w:r>
        <w:rPr>
          <w:rFonts w:ascii="IRNazanin" w:hAnsi="IRNazanin" w:eastAsia="IRNazanin" w:cs="IRNazanin"/>
          <w:lang w:bidi="fa-IR"/>
          <w:color w:val="111111"/>
          <w:sz w:val="28"/>
          <w:szCs w:val="28"/>
          <w:rtl/>
        </w:rPr>
        <w:t xml:space="preserve">داغستانی، علی بن  صادق، ۱۱۲۵ – ۱۱۹۹ قمری</w:t>
      </w:r>
    </w:p>
    <w:p>
      <w:pPr>
        <w:pStyle w:val="BookText"/>
      </w:pPr>
      <w:r>
        <w:rPr>
          <w:rFonts w:ascii="Times New Roman" w:hAnsi="Times New Roman" w:eastAsia="Times New Roman" w:cs="Times New Roman"/>
          <w:lang w:val="en-US" w:bidi="en-US"/>
          <w:color w:val="111111"/>
          <w:sz w:val="28"/>
          <w:szCs w:val="28"/>
          <w:rtl/>
        </w:rPr>
        <w:t xml:space="preserve">(dāqestānī, ‘alī ebn-e sādeq (1713 - 1785)</w:t>
      </w:r>
    </w:p>
    <w:p>
      <w:pPr>
        <w:pStyle w:val="BookText"/>
      </w:pPr>
      <w:r>
        <w:rPr>
          <w:rFonts w:ascii="IRNazanin" w:hAnsi="IRNazanin" w:eastAsia="IRNazanin" w:cs="IRNazanin"/>
          <w:lang w:bidi="fa-IR"/>
          <w:color w:val="111111"/>
          <w:sz w:val="28"/>
          <w:szCs w:val="28"/>
          <w:rtl/>
        </w:rPr>
        <w:t xml:space="preserve">وابسته به: تحفه حاتمیه = تحفه حاتمی = هفتاد باب در اسطرلاب؛ شیخ بهائی، محمد بن حسین(953- 1030)</w:t>
      </w:r>
    </w:p>
    <w:p>
      <w:pPr>
        <w:pStyle w:val="BookText"/>
      </w:pPr>
      <w:r>
        <w:rPr>
          <w:rFonts w:ascii="IRNazanin" w:hAnsi="IRNazanin" w:eastAsia="IRNazanin" w:cs="IRNazanin"/>
          <w:lang w:bidi="fa-IR"/>
          <w:color w:val="111111"/>
          <w:sz w:val="28"/>
          <w:szCs w:val="28"/>
          <w:rtl/>
        </w:rPr>
        <w:t xml:space="preserve">ترجمه عربی رساله تحفه «حاتمیه» شیخ بهائی است و باب ۶۰ در این ترجمه همان باب ۶۸ تحفه حاتمی است و خاتمه در وصف مواضع ثوابت بر اسطرلاب. ابوالصفا صلاح الدين خليل بن عبد السلام دمشقی شافعی کاملی (م -۱۲۰۷) شاگرد داغستانی بر رساله داغستانی حاشیه نوشته است.</w:t>
      </w:r>
    </w:p>
    <w:p>
      <w:pPr>
        <w:pStyle w:val="BookText"/>
      </w:pPr>
      <w:r>
        <w:rPr>
          <w:rFonts w:ascii="Amiri" w:hAnsi="Amiri" w:eastAsia="Amiri" w:cs="Amiri"/>
          <w:lang w:bidi="ar-SA"/>
          <w:color w:val="111111"/>
          <w:sz w:val="28"/>
          <w:szCs w:val="28"/>
          <w:rtl/>
        </w:rPr>
        <w:t xml:space="preserve">آغاز: الحمد لله رب العالمين ... اما بعد فهذه رساله فى الاسطر اب مشتملة على ستين بابا و خاتمه الباب الاول فى حده و القاب اجزائه</w:t>
      </w:r>
    </w:p>
    <w:p>
      <w:pPr>
        <w:pStyle w:val="BookText"/>
      </w:pPr>
      <w:r>
        <w:rPr>
          <w:rFonts w:ascii="Amiri" w:hAnsi="Amiri" w:eastAsia="Amiri" w:cs="Amiri"/>
          <w:lang w:bidi="ar-SA"/>
          <w:color w:val="111111"/>
          <w:sz w:val="28"/>
          <w:szCs w:val="28"/>
          <w:rtl/>
        </w:rPr>
        <w:t xml:space="preserve">انجام: فمن عرفها بحيث لا يقع في الاشتباه تحصل له الكفايه فى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294" w:name="pg20365_260409"/>
    <w:bookmarkEnd w:id="294"/>
    <w:p>
      <w:pPr>
        <w:pStyle w:val="BookText"/>
      </w:pPr>
      <w:r>
        <w:rPr>
          <w:rFonts w:ascii="IRNazanin" w:hAnsi="IRNazanin" w:eastAsia="IRNazanin" w:cs="IRNazanin"/>
          <w:lang w:bidi="fa-IR"/>
          <w:color w:val="111111"/>
          <w:sz w:val="28"/>
          <w:szCs w:val="28"/>
          <w:rtl/>
        </w:rPr>
        <w:t xml:space="preserve">هذا الاباب و الحمدلله وحده.</w:t>
      </w:r>
    </w:p>
    <w:p>
      <w:pPr>
        <w:pStyle w:val="BookText"/>
      </w:pPr>
      <w:r>
        <w:rPr>
          <w:rFonts w:ascii="IRNazanin" w:hAnsi="IRNazanin" w:eastAsia="IRNazanin" w:cs="IRNazanin"/>
          <w:lang w:bidi="fa-IR"/>
          <w:color w:val="111111"/>
          <w:sz w:val="28"/>
          <w:szCs w:val="28"/>
          <w:rtl/>
        </w:rPr>
        <w:t xml:space="preserve">[دنا ۷۹۷/۱۰؛ گورگیس عواد (الاسطرلاب فى العصور الاسلاميه): ۷۹ معـجم المولفين 7: 108؛ تاریخ علم الفلك فى العراق از عزاوی (مجله مجمع العربی سال ۲۹) ۵۵۴؛ سلك الدرر ۲۱۵:۲ فهرستواره منزوی ۲۸۴۲/۴]</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Amiri" w:hAnsi="Amiri" w:eastAsia="Amiri" w:cs="Amiri"/>
          <w:lang w:bidi="ar-SA"/>
          <w:color w:val="111111"/>
          <w:sz w:val="28"/>
          <w:szCs w:val="28"/>
          <w:rtl/>
        </w:rPr>
        <w:t xml:space="preserve">١- حاشية الاسطرلاب كاملي، خليل بن عبدالسلام(-۱۲۰۷)</w:t>
      </w:r>
    </w:p>
    <w:p>
      <w:pPr>
        <w:pStyle w:val="BookText"/>
      </w:pPr>
      <w:r>
        <w:rPr>
          <w:rFonts w:ascii="IRNazanin" w:hAnsi="IRNazanin" w:eastAsia="IRNazanin" w:cs="IRNazanin"/>
          <w:lang w:bidi="fa-IR"/>
          <w:color w:val="111111"/>
          <w:sz w:val="28"/>
          <w:szCs w:val="28"/>
          <w:rtl/>
        </w:rPr>
        <w:t xml:space="preserve">تهران؛ مجلس؛ شماره نسخه: ۶۳۴۵/۱</w:t>
      </w:r>
    </w:p>
    <w:p>
      <w:pPr>
        <w:pStyle w:val="BookText"/>
      </w:pPr>
      <w:r>
        <w:rPr>
          <w:rFonts w:ascii="Amiri" w:hAnsi="Amiri" w:eastAsia="Amiri" w:cs="Amiri"/>
          <w:lang w:bidi="ar-SA"/>
          <w:color w:val="111111"/>
          <w:sz w:val="28"/>
          <w:szCs w:val="28"/>
          <w:rtl/>
        </w:rPr>
        <w:t xml:space="preserve">آغاز: الحمد لله رب العالمين ... اما بعد فهذه رساله فى الاسطراب مشتملة على ستين بابا و خاتمه الباب الأول في حده والقاب اجزائه؛ انجام: فمن عرفها بحيث لايقع في الاشتباه تحصل له الكفايه فى هذا الاباب و الحمدلله وحده.</w:t>
      </w:r>
    </w:p>
    <w:p>
      <w:pPr>
        <w:pStyle w:val="BookText"/>
      </w:pPr>
      <w:r>
        <w:rPr>
          <w:rFonts w:ascii="IRNazanin" w:hAnsi="IRNazanin" w:eastAsia="IRNazanin" w:cs="IRNazanin"/>
          <w:lang w:bidi="fa-IR"/>
          <w:color w:val="111111"/>
          <w:sz w:val="28"/>
          <w:szCs w:val="28"/>
          <w:rtl/>
        </w:rPr>
        <w:t xml:space="preserve">خط: نسخ  تحریری، کا: محمد عطار معدل، تا: قرن ۱۳؛ کاغذ: فرنگی قلم الوان (آبی و  شکری)؛ جلد: تیماج  قرمز، ۵۸ ص( 2- ۵۹)، ۱۳ سطر، قطع: خشتی،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 ۱۹ - ۳۷۳ ]</w:t>
      </w:r>
    </w:p>
    <w:p>
      <w:pPr>
        <w:pStyle w:val="Heading3"/>
      </w:pPr>
      <w:bookmarkStart w:id="1506" w:name="_Toc1028"/>
      <w:r>
        <w:t>الاسطرلاب / اسطرلاب / عربی</w:t>
      </w:r>
      <w:bookmarkEnd w:id="1506"/>
    </w:p>
    <w:p>
      <w:pPr>
        <w:pStyle w:val="BookText"/>
      </w:pPr>
      <w:r>
        <w:rPr>
          <w:rFonts w:ascii="Times New Roman" w:hAnsi="Times New Roman" w:eastAsia="Times New Roman" w:cs="Times New Roman"/>
          <w:lang w:val="en-US" w:bidi="en-US"/>
          <w:color w:val="111111"/>
          <w:sz w:val="28"/>
          <w:szCs w:val="28"/>
          <w:rtl/>
        </w:rPr>
        <w:t xml:space="preserve">al-usṭurlāb</w:t>
      </w:r>
    </w:p>
    <w:p>
      <w:pPr>
        <w:pStyle w:val="BookText"/>
      </w:pPr>
      <w:r>
        <w:rPr>
          <w:rFonts w:ascii="IRNazanin" w:hAnsi="IRNazanin" w:eastAsia="IRNazanin" w:cs="IRNazanin"/>
          <w:lang w:bidi="fa-IR"/>
          <w:color w:val="111111"/>
          <w:sz w:val="28"/>
          <w:szCs w:val="28"/>
          <w:rtl/>
        </w:rPr>
        <w:t xml:space="preserve">جبسوس، ابوالنشاط</w:t>
      </w:r>
    </w:p>
    <w:p>
      <w:pPr>
        <w:pStyle w:val="BookText"/>
      </w:pPr>
      <w:r>
        <w:rPr>
          <w:rFonts w:ascii="Times New Roman" w:hAnsi="Times New Roman" w:eastAsia="Times New Roman" w:cs="Times New Roman"/>
          <w:lang w:val="en-US" w:bidi="en-US"/>
          <w:color w:val="111111"/>
          <w:sz w:val="28"/>
          <w:szCs w:val="28"/>
          <w:rtl/>
        </w:rPr>
        <w:t xml:space="preserve">jabsūs, abon-našāt</w:t>
      </w:r>
    </w:p>
    <w:p>
      <w:pPr>
        <w:pStyle w:val="BookText"/>
      </w:pPr>
      <w:r>
        <w:rPr>
          <w:rFonts w:ascii="IRNazanin" w:hAnsi="IRNazanin" w:eastAsia="IRNazanin" w:cs="IRNazanin"/>
          <w:lang w:bidi="fa-IR"/>
          <w:color w:val="111111"/>
          <w:sz w:val="28"/>
          <w:szCs w:val="28"/>
          <w:rtl/>
        </w:rPr>
        <w:t xml:space="preserve">رساله ای است مختصر در قواعد کلی و ضروری اسطرلاب ده «باب» و بعضی از ابواب دارای «فصول» و «مسائل» می باشد.</w:t>
      </w:r>
    </w:p>
    <w:p>
      <w:pPr>
        <w:pStyle w:val="BookText"/>
      </w:pPr>
      <w:r>
        <w:rPr>
          <w:rFonts w:ascii="Amiri" w:hAnsi="Amiri" w:eastAsia="Amiri" w:cs="Amiri"/>
          <w:lang w:bidi="ar-SA"/>
          <w:color w:val="111111"/>
          <w:sz w:val="28"/>
          <w:szCs w:val="28"/>
          <w:rtl/>
        </w:rPr>
        <w:t xml:space="preserve">آغاز: الحمد لله الذى له ملك في السماوات و ملك فى الارض له الامر فى الاخرة و هو الحكيم الخبير</w:t>
      </w:r>
    </w:p>
    <w:p>
      <w:pPr>
        <w:pStyle w:val="BookText"/>
      </w:pPr>
      <w:r>
        <w:rPr>
          <w:rFonts w:ascii="Amiri" w:hAnsi="Amiri" w:eastAsia="Amiri" w:cs="Amiri"/>
          <w:lang w:bidi="ar-SA"/>
          <w:color w:val="111111"/>
          <w:sz w:val="28"/>
          <w:szCs w:val="28"/>
          <w:rtl/>
        </w:rPr>
        <w:t xml:space="preserve">انجام: و تزبر على نصف النهار أيضاً اربعة وعشرون و تخرج له الارتفاع و ذلك وقت آخر العصر، و هنا انتهى الفرض</w:t>
      </w:r>
    </w:p>
    <w:p>
      <w:pPr>
        <w:pStyle w:val="BookText"/>
      </w:pPr>
      <w:r>
        <w:rPr>
          <w:rFonts w:ascii="IRNazanin" w:hAnsi="IRNazanin" w:eastAsia="IRNazanin" w:cs="IRNazanin"/>
          <w:lang w:bidi="fa-IR"/>
          <w:color w:val="111111"/>
          <w:sz w:val="28"/>
          <w:szCs w:val="28"/>
          <w:rtl/>
        </w:rPr>
        <w:t xml:space="preserve">قم؛ مرعشی؛ شماره نسخه: ۲۸۶۳/۷</w:t>
      </w:r>
    </w:p>
    <w:p>
      <w:pPr>
        <w:pStyle w:val="BookText"/>
      </w:pPr>
      <w:r>
        <w:rPr>
          <w:rFonts w:ascii="IRNazanin" w:hAnsi="IRNazanin" w:eastAsia="IRNazanin" w:cs="IRNazanin"/>
          <w:lang w:bidi="fa-IR"/>
          <w:color w:val="111111"/>
          <w:sz w:val="28"/>
          <w:szCs w:val="28"/>
          <w:rtl/>
        </w:rPr>
        <w:t xml:space="preserve">آغاز: الحمد لله الذى له ملک فی السماوات و ملک فی الارض له الامر في الآخرة و هو الحكيم الخبير؛ انجام: و تزبر على نصف النهار أيضاً اربعة و عشرون و تخرج له الارتفاع و ذلك وقت آخر العصر، و هنا انتهى الفرض</w:t>
      </w:r>
    </w:p>
    <w:p>
      <w:pPr>
        <w:pStyle w:val="BookText"/>
      </w:pPr>
      <w:r>
        <w:rPr>
          <w:rFonts w:ascii="IRNazanin" w:hAnsi="IRNazanin" w:eastAsia="IRNazanin" w:cs="IRNazanin"/>
          <w:lang w:bidi="fa-IR"/>
          <w:color w:val="111111"/>
          <w:sz w:val="28"/>
          <w:szCs w:val="28"/>
          <w:rtl/>
        </w:rPr>
        <w:t xml:space="preserve">خط: مغربی، بی کا، تا: ۴ محرم ۱۲۰۳ق؛ مصحح، محشی؛ جـلد: تیماج  مشکی، ۶گ (۶۲پ-۶۷ر)، ۲۳ سطر،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  [ف ۸ - ۷۰]</w:t>
      </w:r>
    </w:p>
    <w:p>
      <w:pPr>
        <w:pStyle w:val="Heading3"/>
      </w:pPr>
      <w:bookmarkStart w:id="1507" w:name="_Toc1029"/>
      <w:r>
        <w:t>الاسطرلاب / اسطرلاب / فارسی</w:t>
      </w:r>
      <w:bookmarkEnd w:id="1507"/>
    </w:p>
    <w:p>
      <w:pPr>
        <w:pStyle w:val="BookText"/>
      </w:pPr>
      <w:r>
        <w:rPr>
          <w:rFonts w:ascii="Times New Roman" w:hAnsi="Times New Roman" w:eastAsia="Times New Roman" w:cs="Times New Roman"/>
          <w:lang w:val="en-US" w:bidi="en-US"/>
          <w:color w:val="111111"/>
          <w:sz w:val="28"/>
          <w:szCs w:val="28"/>
          <w:rtl/>
        </w:rPr>
        <w:t xml:space="preserve">al-usṭurlāb</w:t>
      </w:r>
    </w:p>
    <w:p>
      <w:pPr>
        <w:pStyle w:val="BookText"/>
      </w:pPr>
      <w:r>
        <w:rPr>
          <w:rFonts w:ascii="IRNazanin" w:hAnsi="IRNazanin" w:eastAsia="IRNazanin" w:cs="IRNazanin"/>
          <w:lang w:bidi="fa-IR"/>
          <w:color w:val="111111"/>
          <w:sz w:val="28"/>
          <w:szCs w:val="28"/>
          <w:rtl/>
        </w:rPr>
        <w:t xml:space="preserve">حسینی، فخرالدین محمد بن سلطان</w:t>
      </w:r>
    </w:p>
    <w:p>
      <w:pPr>
        <w:pStyle w:val="BookText"/>
      </w:pPr>
      <w:r>
        <w:rPr>
          <w:rFonts w:ascii="Times New Roman" w:hAnsi="Times New Roman" w:eastAsia="Times New Roman" w:cs="Times New Roman"/>
          <w:lang w:val="en-US" w:bidi="en-US"/>
          <w:color w:val="111111"/>
          <w:sz w:val="28"/>
          <w:szCs w:val="28"/>
          <w:rtl/>
        </w:rPr>
        <w:t xml:space="preserve">hoseynī, faxr-od-dīn mohammad ebn-e soltān</w:t>
      </w:r>
    </w:p>
    <w:p>
      <w:pPr>
        <w:pStyle w:val="BookText"/>
      </w:pPr>
      <w:r>
        <w:rPr>
          <w:rFonts w:ascii="IRNazanin" w:hAnsi="IRNazanin" w:eastAsia="IRNazanin" w:cs="IRNazanin"/>
          <w:lang w:bidi="fa-IR"/>
          <w:color w:val="111111"/>
          <w:sz w:val="28"/>
          <w:szCs w:val="28"/>
          <w:rtl/>
        </w:rPr>
        <w:t xml:space="preserve">در یک «مقدمه» و ده «باب».</w:t>
      </w:r>
    </w:p>
    <w:p>
      <w:pPr>
        <w:pStyle w:val="BookText"/>
      </w:pPr>
      <w:r>
        <w:rPr>
          <w:rFonts w:ascii="IRNazanin" w:hAnsi="IRNazanin" w:eastAsia="IRNazanin" w:cs="IRNazanin"/>
          <w:lang w:bidi="fa-IR"/>
          <w:color w:val="111111"/>
          <w:sz w:val="28"/>
          <w:szCs w:val="28"/>
          <w:rtl/>
        </w:rPr>
        <w:t xml:space="preserve">آغاز: رساله در معرفت ربع اسطرلاب الحمد الله فاطر السماوات  و الارض ... این مختصریست در معرفت ربع</w:t>
      </w:r>
    </w:p>
    <w:p>
      <w:pPr>
        <w:pStyle w:val="BookText"/>
      </w:pPr>
      <w:r>
        <w:rPr>
          <w:rFonts w:ascii="IRNazanin" w:hAnsi="IRNazanin" w:eastAsia="IRNazanin" w:cs="IRNazanin"/>
          <w:lang w:bidi="fa-IR"/>
          <w:color w:val="111111"/>
          <w:sz w:val="28"/>
          <w:szCs w:val="28"/>
          <w:rtl/>
        </w:rPr>
        <w:t xml:space="preserve">انجام: چنانچه انحرافی نداشته باشد در این وقت افتاد.</w:t>
      </w:r>
    </w:p>
    <w:p>
      <w:pPr>
        <w:pStyle w:val="BookText"/>
      </w:pPr>
      <w:r>
        <w:rPr>
          <w:rFonts w:ascii="IRNazanin" w:hAnsi="IRNazanin" w:eastAsia="IRNazanin" w:cs="IRNazanin"/>
          <w:lang w:bidi="fa-IR"/>
          <w:color w:val="111111"/>
          <w:sz w:val="28"/>
          <w:szCs w:val="28"/>
          <w:rtl/>
        </w:rPr>
        <w:t xml:space="preserve">[فهرستواره منزوی ۲۸۰۰/۴]</w:t>
      </w:r>
    </w:p>
    <w:p>
      <w:pPr>
        <w:pStyle w:val="BookText"/>
      </w:pPr>
      <w:r>
        <w:rPr>
          <w:rFonts w:ascii="IRNazanin" w:hAnsi="IRNazanin" w:eastAsia="IRNazanin" w:cs="IRNazanin"/>
          <w:lang w:bidi="fa-IR"/>
          <w:color w:val="111111"/>
          <w:sz w:val="28"/>
          <w:szCs w:val="28"/>
          <w:rtl/>
        </w:rPr>
        <w:t xml:space="preserve">تهران؛ دانشگاه؛ شماره نسخه: ۷۴۷۲/۳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قرن ۱۳؛ در متن و هامش؛ کاغذ ،فرنگی ،جلد: تیماج مشکی  مقوایی، ۵گ(۷۶-۸۰)، ابعاد متن: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قطع: ربعی،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 ۱۶ - ۵۸۳]</w:t>
      </w:r>
    </w:p>
    <w:p>
      <w:pPr>
        <w:pStyle w:val="Heading3"/>
      </w:pPr>
      <w:bookmarkStart w:id="1508" w:name="_Toc1030"/>
      <w:r>
        <w:t>الاسطرلاب / اسطرلاب / فارسی</w:t>
      </w:r>
      <w:bookmarkEnd w:id="1508"/>
    </w:p>
    <w:p>
      <w:pPr>
        <w:pStyle w:val="BookText"/>
      </w:pPr>
      <w:r>
        <w:rPr>
          <w:rFonts w:ascii="Times New Roman" w:hAnsi="Times New Roman" w:eastAsia="Times New Roman" w:cs="Times New Roman"/>
          <w:lang w:val="en-US" w:bidi="en-US"/>
          <w:color w:val="111111"/>
          <w:sz w:val="28"/>
          <w:szCs w:val="28"/>
          <w:rtl/>
        </w:rPr>
        <w:t xml:space="preserve">al-usṭurlāb</w:t>
      </w:r>
    </w:p>
    <w:p>
      <w:pPr>
        <w:pStyle w:val="BookText"/>
      </w:pPr>
      <w:r>
        <w:rPr>
          <w:rFonts w:ascii="IRNazanin" w:hAnsi="IRNazanin" w:eastAsia="IRNazanin" w:cs="IRNazanin"/>
          <w:lang w:bidi="fa-IR"/>
          <w:color w:val="111111"/>
          <w:sz w:val="28"/>
          <w:szCs w:val="28"/>
          <w:rtl/>
        </w:rPr>
        <w:t xml:space="preserve">شیخ نظر علی</w:t>
      </w:r>
    </w:p>
    <w:p>
      <w:pPr>
        <w:pStyle w:val="BookText"/>
      </w:pPr>
      <w:r>
        <w:rPr>
          <w:rFonts w:ascii="Times New Roman" w:hAnsi="Times New Roman" w:eastAsia="Times New Roman" w:cs="Times New Roman"/>
          <w:lang w:val="en-US" w:bidi="en-US"/>
          <w:color w:val="111111"/>
          <w:sz w:val="28"/>
          <w:szCs w:val="28"/>
          <w:rtl/>
        </w:rPr>
        <w:t xml:space="preserve">šayx nazar alī</w:t>
      </w:r>
    </w:p>
    <w:p>
      <w:pPr>
        <w:pStyle w:val="BookText"/>
      </w:pPr>
      <w:r>
        <w:rPr>
          <w:rFonts w:ascii="IRNazanin" w:hAnsi="IRNazanin" w:eastAsia="IRNazanin" w:cs="IRNazanin"/>
          <w:lang w:bidi="fa-IR"/>
          <w:color w:val="111111"/>
          <w:sz w:val="28"/>
          <w:szCs w:val="28"/>
          <w:rtl/>
        </w:rPr>
        <w:t xml:space="preserve">در یک «مقدمه» و چند «باب» است.</w:t>
      </w:r>
    </w:p>
    <w:p>
      <w:pPr>
        <w:pStyle w:val="BookText"/>
      </w:pPr>
      <w:r>
        <w:rPr>
          <w:rFonts w:ascii="IRNazanin" w:hAnsi="IRNazanin" w:eastAsia="IRNazanin" w:cs="IRNazanin"/>
          <w:lang w:bidi="fa-IR"/>
          <w:color w:val="111111"/>
          <w:sz w:val="28"/>
          <w:szCs w:val="28"/>
          <w:rtl/>
        </w:rPr>
        <w:t xml:space="preserve">آغاز: بسمله حمد  له، اما بعد چنین گوید نظر علی که این  رساله ایست در صنعت اسطرلاب مشتمل بر مقدمه و چند باب.</w:t>
      </w:r>
    </w:p>
    <w:p>
      <w:pPr>
        <w:pStyle w:val="BookText"/>
      </w:pPr>
      <w:r>
        <w:rPr>
          <w:rFonts w:ascii="IRNazanin" w:hAnsi="IRNazanin" w:eastAsia="IRNazanin" w:cs="IRNazanin"/>
          <w:lang w:bidi="fa-IR"/>
          <w:color w:val="111111"/>
          <w:sz w:val="28"/>
          <w:szCs w:val="28"/>
          <w:rtl/>
        </w:rPr>
        <w:t xml:space="preserve">[فهرستواره منزوی ۲۸۰۵/۴]</w:t>
      </w:r>
    </w:p>
    <w:p>
      <w:pPr>
        <w:pStyle w:val="BookText"/>
      </w:pPr>
      <w:r>
        <w:rPr>
          <w:rFonts w:ascii="IRNazanin" w:hAnsi="IRNazanin" w:eastAsia="IRNazanin" w:cs="IRNazanin"/>
          <w:lang w:bidi="fa-IR"/>
          <w:color w:val="111111"/>
          <w:sz w:val="28"/>
          <w:szCs w:val="28"/>
          <w:rtl/>
        </w:rPr>
        <w:t xml:space="preserve">1.تهران؛ دانشگاه؛ شماره نسخه: ۷۱۱۲/۴</w:t>
      </w:r>
    </w:p>
    <w:p>
      <w:pPr>
        <w:pStyle w:val="BookText"/>
      </w:pPr>
      <w:r>
        <w:rPr>
          <w:rFonts w:ascii="IRNazanin" w:hAnsi="IRNazanin" w:eastAsia="IRNazanin" w:cs="IRNazanin"/>
          <w:lang w:bidi="fa-IR"/>
          <w:color w:val="111111"/>
          <w:sz w:val="28"/>
          <w:szCs w:val="28"/>
          <w:rtl/>
        </w:rPr>
        <w:t xml:space="preserve">آغاز: برابر؛ انجام: و نقطه ص باشد در صفیحه.</w:t>
      </w:r>
    </w:p>
    <w:p>
      <w:pPr>
        <w:pStyle w:val="BookText"/>
      </w:pPr>
      <w:r>
        <w:rPr>
          <w:rFonts w:ascii="IRNazanin" w:hAnsi="IRNazanin" w:eastAsia="IRNazanin" w:cs="IRNazanin"/>
          <w:lang w:bidi="fa-IR"/>
          <w:color w:val="111111"/>
          <w:sz w:val="28"/>
          <w:szCs w:val="28"/>
          <w:rtl/>
        </w:rPr>
        <w:t xml:space="preserve">خط: نستعلیق، کا: محمد رضا بن محمد رضای یزدی، تا: یک شنبه ۲ جمادی الثانی ۱۲۵۳ق؛ رقم و شکل شنگرف؛ کاغذ: سپاهانی، جلد: تیماج  لایی، اگ (۳پ-۳ر)، ابعاد متن: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قطع: ربعی،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۱۸/۵سم [ف : ۱۶ - ۴۵۸]</w:t>
      </w:r>
    </w:p>
    <w:p>
      <w:pPr>
        <w:pStyle w:val="BookText"/>
      </w:pPr>
      <w:r>
        <w:rPr>
          <w:rFonts w:ascii="IRNazanin" w:hAnsi="IRNazanin" w:eastAsia="IRNazanin" w:cs="IRNazanin"/>
          <w:lang w:bidi="fa-IR"/>
          <w:color w:val="111111"/>
          <w:sz w:val="28"/>
          <w:szCs w:val="28"/>
          <w:rtl/>
        </w:rPr>
        <w:t xml:space="preserve">۲. تهران؛ سپهسالار؛ شماره نسخه: ۸۳۶۰/۱۱</w:t>
      </w:r>
    </w:p>
    <w:p>
      <w:pPr>
        <w:pStyle w:val="BookText"/>
      </w:pPr>
      <w:r>
        <w:rPr>
          <w:rFonts w:ascii="IRNazanin" w:hAnsi="IRNazanin" w:eastAsia="IRNazanin" w:cs="IRNazanin"/>
          <w:lang w:bidi="fa-IR"/>
          <w:color w:val="111111"/>
          <w:sz w:val="28"/>
          <w:szCs w:val="28"/>
          <w:rtl/>
        </w:rPr>
        <w:t xml:space="preserve">آغاز: برابر؛ انجام: و در ربع مجیب آن به همین قدر کافی است، و زیاده به تطویل می انجامد و صلى الله ... و آله.</w:t>
      </w:r>
    </w:p>
    <w:p>
      <w:pPr>
        <w:pStyle w:val="BookText"/>
      </w:pPr>
      <w:r>
        <w:rPr>
          <w:rFonts w:ascii="IRNazanin" w:hAnsi="IRNazanin" w:eastAsia="IRNazanin" w:cs="IRNazanin"/>
          <w:lang w:bidi="fa-IR"/>
          <w:color w:val="111111"/>
          <w:sz w:val="28"/>
          <w:szCs w:val="28"/>
          <w:rtl/>
        </w:rPr>
        <w:t xml:space="preserve">خط: نستعليق، كا: حسن بن على منجم شیرازی، بی تا؛ کاغذ: فرنگی سفید، جلد: تیماج مشکی ،مقوایی، ۱۸گ(۸۴ر-۱۰۱پ)، ۲۲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۳ - ۱۳۰]</w:t>
      </w:r>
    </w:p>
    <w:p>
      <w:pPr>
        <w:pStyle w:val="Heading3"/>
      </w:pPr>
      <w:bookmarkStart w:id="1509" w:name="_Toc1031"/>
      <w:r>
        <w:t>الاسطرلاب / شعر اسطرلاب / فارسی</w:t>
      </w:r>
      <w:bookmarkEnd w:id="1509"/>
    </w:p>
    <w:p>
      <w:pPr>
        <w:pStyle w:val="BookText"/>
      </w:pPr>
      <w:r>
        <w:rPr>
          <w:rFonts w:ascii="Times New Roman" w:hAnsi="Times New Roman" w:eastAsia="Times New Roman" w:cs="Times New Roman"/>
          <w:lang w:val="en-US" w:bidi="en-US"/>
          <w:color w:val="111111"/>
          <w:sz w:val="28"/>
          <w:szCs w:val="28"/>
          <w:rtl/>
        </w:rPr>
        <w:t xml:space="preserve">al-usṭurlāb</w:t>
      </w:r>
    </w:p>
    <w:p>
      <w:pPr>
        <w:pStyle w:val="BookText"/>
      </w:pPr>
      <w:r>
        <w:rPr>
          <w:rFonts w:ascii="IRNazanin" w:hAnsi="IRNazanin" w:eastAsia="IRNazanin" w:cs="IRNazanin"/>
          <w:lang w:bidi="fa-IR"/>
          <w:color w:val="111111"/>
          <w:sz w:val="28"/>
          <w:szCs w:val="28"/>
          <w:rtl/>
        </w:rPr>
        <w:t xml:space="preserve">محمد وسیم بن  احمد</w:t>
      </w:r>
    </w:p>
    <w:p>
      <w:pPr>
        <w:pStyle w:val="BookText"/>
      </w:pPr>
      <w:r>
        <w:rPr>
          <w:rFonts w:ascii="Times New Roman" w:hAnsi="Times New Roman" w:eastAsia="Times New Roman" w:cs="Times New Roman"/>
          <w:lang w:val="en-US" w:bidi="en-US"/>
          <w:color w:val="111111"/>
          <w:sz w:val="28"/>
          <w:szCs w:val="28"/>
          <w:rtl/>
        </w:rPr>
        <w:t xml:space="preserve">mohammad vasīm ebn-e ahmad</w:t>
      </w:r>
    </w:p>
    <w:p>
      <w:pPr>
        <w:pStyle w:val="BookText"/>
      </w:pPr>
      <w:r>
        <w:rPr>
          <w:rFonts w:ascii="IRNazanin" w:hAnsi="IRNazanin" w:eastAsia="IRNazanin" w:cs="IRNazanin"/>
          <w:lang w:bidi="fa-IR"/>
          <w:color w:val="111111"/>
          <w:sz w:val="28"/>
          <w:szCs w:val="28"/>
          <w:rtl/>
        </w:rPr>
        <w:t xml:space="preserve">منظومه ای است با این عناوین القاب ادوات، القاب خطوط ام القاب  صفائح، القاب  شبکه، معرفت ارتفاع، معرفت دایره ماضی  و باقی لیل و نهار از ارتفاع و میل و بعد معرفت مطالع و مغارب، معرفت تسوية البيوت، معرفت طلوع وغروب و صبح و شفق و ساعات آن، معرفت ظل ....، معرفت طالع سال، معرفت عرض  بلد، ارتفاع قطب البروج، سمت از ارتفاع وارتفاع از سمت، تقدیم  آفتاب، سمت  قبله، خط  زوال، ارتفاع مرتفعات، عرض ورود، نام كواكب.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295" w:name="pg20365_260410"/>
    <w:bookmarkEnd w:id="295"/>
    <w:p>
      <w:pPr>
        <w:pStyle w:val="BookText"/>
      </w:pPr>
      <w:r>
        <w:rPr>
          <w:rFonts w:ascii="IRNazanin" w:hAnsi="IRNazanin" w:eastAsia="IRNazanin" w:cs="IRNazanin"/>
          <w:lang w:bidi="fa-IR"/>
          <w:color w:val="111111"/>
          <w:sz w:val="28"/>
          <w:szCs w:val="28"/>
          <w:rtl/>
        </w:rPr>
        <w:t xml:space="preserve">آغاز: بسمله قبل الصلوة و التحيات *** برسید خلق خیر سادات/ الحمد لذاته تعالى *** و الشكر لا نعم توالی/ کز در  درگه بندگان والا *** اعلى شان عميم الالاء / شد امر که بنده احمد*** بر اسطرلاب شرح بندد</w:t>
      </w:r>
    </w:p>
    <w:p>
      <w:pPr>
        <w:pStyle w:val="BookText"/>
      </w:pPr>
      <w:r>
        <w:rPr>
          <w:rFonts w:ascii="IRNazanin" w:hAnsi="IRNazanin" w:eastAsia="IRNazanin" w:cs="IRNazanin"/>
          <w:lang w:bidi="fa-IR"/>
          <w:color w:val="111111"/>
          <w:sz w:val="28"/>
          <w:szCs w:val="28"/>
          <w:rtl/>
        </w:rPr>
        <w:t xml:space="preserve">انجام: راس جائی جناج و منکب و متن *** بطن و رجل است وناطح از بر خوان</w:t>
      </w:r>
    </w:p>
    <w:p>
      <w:pPr>
        <w:pStyle w:val="BookText"/>
      </w:pPr>
      <w:r>
        <w:rPr>
          <w:rFonts w:ascii="IRNazanin" w:hAnsi="IRNazanin" w:eastAsia="IRNazanin" w:cs="IRNazanin"/>
          <w:lang w:bidi="fa-IR"/>
          <w:color w:val="111111"/>
          <w:sz w:val="28"/>
          <w:szCs w:val="28"/>
          <w:rtl/>
        </w:rPr>
        <w:t xml:space="preserve">[الذريعة ۱۱۵/۱۹؛ فهرستواره منزوی ۲۸۰۵/۴؛ نسخه های منزوی ۲۳۵/۱]</w:t>
      </w:r>
    </w:p>
    <w:p>
      <w:pPr>
        <w:pStyle w:val="BookText"/>
      </w:pPr>
      <w:r>
        <w:rPr>
          <w:rFonts w:ascii="IRNazanin" w:hAnsi="IRNazanin" w:eastAsia="IRNazanin" w:cs="IRNazanin"/>
          <w:lang w:bidi="fa-IR"/>
          <w:color w:val="111111"/>
          <w:sz w:val="28"/>
          <w:szCs w:val="28"/>
          <w:rtl/>
        </w:rPr>
        <w:t xml:space="preserve">١ . مشهد؛ الهیات؛ شماره نسخه: ۱۴۸۱۳/۱۷</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و نستعلیق، بی کا، تا: ۱۲۶۵ق؛ جلد: تیماج مشـکی عطف تیماج قهوه ای، ۷ ص (۵۱-۵۷)، قطع: پستی [ف: ۲ - ۱۱۴]</w:t>
      </w:r>
    </w:p>
    <w:p>
      <w:pPr>
        <w:pStyle w:val="BookText"/>
      </w:pPr>
      <w:r>
        <w:rPr>
          <w:rFonts w:ascii="IRNazanin" w:hAnsi="IRNazanin" w:eastAsia="IRNazanin" w:cs="IRNazanin"/>
          <w:lang w:bidi="fa-IR"/>
          <w:color w:val="111111"/>
          <w:sz w:val="28"/>
          <w:szCs w:val="28"/>
          <w:rtl/>
        </w:rPr>
        <w:t xml:space="preserve">۲. قم؛ طبسی؛ شماره نسخه: ۶۶۴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۱۴؛ افتادگی: وسط؛ جلد: کاغذی ۷ برگ، ۱۵ سطر، اندازه:۱۵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[طبسی مخ: ۱ - ۴۱]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قم؛ زنجانی (آیة الله)؛ شماره نسخه: ۹۹/۶</w:t>
      </w:r>
    </w:p>
    <w:p>
      <w:pPr>
        <w:pStyle w:val="BookText"/>
      </w:pPr>
      <w:r>
        <w:rPr>
          <w:rFonts w:ascii="IRNazanin" w:hAnsi="IRNazanin" w:eastAsia="IRNazanin" w:cs="IRNazanin"/>
          <w:lang w:bidi="fa-IR"/>
          <w:color w:val="111111"/>
          <w:sz w:val="28"/>
          <w:szCs w:val="28"/>
          <w:rtl/>
        </w:rPr>
        <w:t xml:space="preserve">خط: نستعلیق، بی کا، تا: شنبه ۷ ربیع الثانی ۱۳۳۱ق؛ ۳گ (89ر- ۹۱پ)، قطع: بیاض رقعی [ چند نسخه -ف: - ۲۳۴]</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تهران؛ دانشگاه؛ شماره نسخه: ۱۵۴۲/۸</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بی تا، به دستور شیخ محمد سعید؛ کا: فرنگی، جلد: مقوا عطف تیماج مشکی، ۱۵گ (۱۱۰ر-۱۱۴ر) ۱۵ سطر (8</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۱۵/۵سم [ف: ۸ - ۱۷۰]</w:t>
      </w:r>
    </w:p>
    <w:p>
      <w:pPr>
        <w:pStyle w:val="Heading3"/>
      </w:pPr>
      <w:bookmarkStart w:id="1510" w:name="_Toc1032"/>
      <w:r>
        <w:t>الاسطرلاب = الصفيحة الاسطرلابية / اسطرلاب / عربي</w:t>
      </w:r>
      <w:bookmarkEnd w:id="1510"/>
    </w:p>
    <w:p>
      <w:pPr>
        <w:pStyle w:val="BookText"/>
      </w:pPr>
      <w:r>
        <w:rPr>
          <w:rFonts w:ascii="Times New Roman" w:hAnsi="Times New Roman" w:eastAsia="Times New Roman" w:cs="Times New Roman"/>
          <w:lang w:val="en-US" w:bidi="en-US"/>
          <w:color w:val="111111"/>
          <w:sz w:val="28"/>
          <w:szCs w:val="28"/>
          <w:rtl/>
        </w:rPr>
        <w:t xml:space="preserve">al-usṭurlāb = aṣ-ṣafīḥat-ul-usṭurlābīyya</w:t>
      </w:r>
    </w:p>
    <w:p>
      <w:pPr>
        <w:pStyle w:val="BookText"/>
      </w:pPr>
      <w:r>
        <w:rPr>
          <w:rFonts w:ascii="IRNazanin" w:hAnsi="IRNazanin" w:eastAsia="IRNazanin" w:cs="IRNazanin"/>
          <w:lang w:bidi="fa-IR"/>
          <w:color w:val="111111"/>
          <w:sz w:val="28"/>
          <w:szCs w:val="28"/>
          <w:rtl/>
        </w:rPr>
        <w:t xml:space="preserve">گفتاری است در ۶۱ «باب»: ۱. تسمية الرسوم الموضوعة في وجه و الصفيحة؛ ۲. معرفة درجة الشمس؛ 3. معرفة اخذ ارتفاع الشمـس و الكواكب؛ ۴. معرفة وضع الشمس في جزئيها من برجها؛5. معرفة ميل الشمس؛ ... ١٠. معرفة قوس النهار والليل؛ ... ۱۵.رد الساعات الزمانية؛ ... ۲۰. في ما مضى من النهار من الساعة الزمانية؛ ... ۲۵. في ما  مر من الليل و النهار؛...30.بدر الكواكب عند غروب الشمس؛ ۳۵. بدر الكواكب؛... 40.عرض البلد من قبل الارتفاع؛.۵۰ ميل الشمس او بعد  الكواكب؛ . ... ۵۵. رؤية الهلال ؛ ۵۶. معرفة ما بين اى كوكـبین شئت؛ ۵۷.الساعات الماضية من النهار والليل؛ ۵۸. ترتیب اوقات السحور ؛ ۵۹. اصابع الظل ؛ ۶۰. معرفة الارتفاع من قبل الظل؛61. معرفة ظل الزوال.</w:t>
      </w:r>
    </w:p>
    <w:p>
      <w:pPr>
        <w:pStyle w:val="BookText"/>
      </w:pPr>
      <w:r>
        <w:rPr>
          <w:rFonts w:ascii="IRNazanin" w:hAnsi="IRNazanin" w:eastAsia="IRNazanin" w:cs="IRNazanin"/>
          <w:lang w:bidi="fa-IR"/>
          <w:color w:val="111111"/>
          <w:sz w:val="28"/>
          <w:szCs w:val="28"/>
          <w:rtl/>
        </w:rPr>
        <w:t xml:space="preserve">آغاز: بسمله اما بعد حمد الله الذي لا يحاط بمعلوماته ولايدرک کنه ذاته ... فانی رايت الناس فى القديم والحديث قد اعدوا الات عملية لمعرفة الاوقات</w:t>
      </w:r>
    </w:p>
    <w:p>
      <w:pPr>
        <w:pStyle w:val="BookText"/>
      </w:pPr>
      <w:r>
        <w:rPr>
          <w:rFonts w:ascii="Amiri" w:hAnsi="Amiri" w:eastAsia="Amiri" w:cs="Amiri"/>
          <w:lang w:bidi="ar-SA"/>
          <w:color w:val="111111"/>
          <w:sz w:val="28"/>
          <w:szCs w:val="28"/>
          <w:rtl/>
        </w:rPr>
        <w:t xml:space="preserve">انجام: وعلمت بالمجتمع الارتفاع كان ذلك الارتفاع ارتفاع وقت العصر فاعلم ذالك والله اعلم</w:t>
      </w:r>
    </w:p>
    <w:p>
      <w:pPr>
        <w:pStyle w:val="BookText"/>
      </w:pPr>
      <w:r>
        <w:rPr>
          <w:rFonts w:ascii="Amiri" w:hAnsi="Amiri" w:eastAsia="Amiri" w:cs="Amiri"/>
          <w:lang w:bidi="ar-SA"/>
          <w:color w:val="111111"/>
          <w:sz w:val="28"/>
          <w:szCs w:val="28"/>
          <w:rtl/>
        </w:rPr>
        <w:t xml:space="preserve">۱. تهران؛ دائرة المعارف؛ شماره نسخه: ۱۶۳/۴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خوش، بی کا، تا: ۱۶ جمادی الثانی ۹۱۱ق؛ ۴۴گ(۹۲ر-۴۹پ) [ف: ۱ - ۱۶۶]</w:t>
      </w:r>
    </w:p>
    <w:p>
      <w:pPr>
        <w:pStyle w:val="BookText"/>
      </w:pPr>
      <w:r>
        <w:rPr>
          <w:rFonts w:ascii="IRNazanin" w:hAnsi="IRNazanin" w:eastAsia="IRNazanin" w:cs="IRNazanin"/>
          <w:lang w:bidi="fa-IR"/>
          <w:color w:val="111111"/>
          <w:sz w:val="28"/>
          <w:szCs w:val="28"/>
          <w:rtl/>
        </w:rPr>
        <w:t xml:space="preserve">۲. مشهد؛ الهیات؛ شماره نسخه: ۷۸۹/۳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بی تا؛ کاغذ: نوعی ترمه؛ جلد: تیماج لایه ای  قهوه ای ،۲۲گ ۱۷ سطر (7</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قطع: ربعی،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۱ - ۴۱۲]</w:t>
      </w:r>
    </w:p>
    <w:p>
      <w:pPr>
        <w:pStyle w:val="BookText"/>
      </w:pPr>
      <w:r>
        <w:rPr>
          <w:rFonts w:ascii="IRNazanin" w:hAnsi="IRNazanin" w:eastAsia="IRNazanin" w:cs="IRNazanin"/>
          <w:lang w:bidi="fa-IR"/>
          <w:color w:val="111111"/>
          <w:sz w:val="28"/>
          <w:szCs w:val="28"/>
          <w:rtl/>
        </w:rPr>
        <w:t xml:space="preserve">3.مشهد؛ رضوی؛ شماره نسخه: ۱۲۱۳۲/۳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و شکسته ، کا: ملامحمد باقر یزدی، بی تا؛ اشکال به شنگرف، در آخر نسخه دو یادداشت است که یکی از ملامحمد باقر و دیگری از فرزندش ملامحمد حسین است؛ کاغذ: حنائی آهار مهره ،جلد: تیماج، ۱۸  سطر،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۱۹/۵سم [ف: ۱۰ - 145]</w:t>
      </w:r>
    </w:p>
    <w:p>
      <w:pPr>
        <w:pStyle w:val="Heading3"/>
      </w:pPr>
      <w:bookmarkStart w:id="1511" w:name="_Toc1033"/>
      <w:r>
        <w:t>الاسطرلاب = الاسطرلاب الشمالی / اسطرلاب / عربی</w:t>
      </w:r>
      <w:bookmarkEnd w:id="1511"/>
    </w:p>
    <w:p>
      <w:pPr>
        <w:pStyle w:val="BookText"/>
      </w:pPr>
      <w:r>
        <w:rPr>
          <w:rFonts w:ascii="Times New Roman" w:hAnsi="Times New Roman" w:eastAsia="Times New Roman" w:cs="Times New Roman"/>
          <w:lang w:val="en-US" w:bidi="en-US"/>
          <w:color w:val="111111"/>
          <w:sz w:val="28"/>
          <w:szCs w:val="28"/>
          <w:rtl/>
        </w:rPr>
        <w:t xml:space="preserve">al-usturlab = al-usturlab-us simali</w:t>
      </w:r>
    </w:p>
    <w:p>
      <w:pPr>
        <w:pStyle w:val="BookText"/>
      </w:pPr>
      <w:r>
        <w:rPr>
          <w:rFonts w:ascii="IRNazanin" w:hAnsi="IRNazanin" w:eastAsia="IRNazanin" w:cs="IRNazanin"/>
          <w:lang w:bidi="fa-IR"/>
          <w:color w:val="111111"/>
          <w:sz w:val="28"/>
          <w:szCs w:val="28"/>
          <w:rtl/>
        </w:rPr>
        <w:t xml:space="preserve">رساله ای مجهول المؤلف در یک «مقدمه» و پانزده «فصل» و یک «خاتمه» مقدمه در تسمیه رسوم؛ فصل ۱. معرفت اخذ ارتفاع؛ ۲. معرفت میل شمس و بعد کواکب؛ ٣. معرفت عرض بلد؛ ۴. معرفت ظل منكوس؛ ۵. معرفت دائر؛ ۶. معرفت قوس نهار .۷. معرفت حصه فجر و شفق؛ ۸. معرفت سعه شرق؛ ۹. معرفت حصه عصر و غروب؛ ۱۰. معرفت سمت شمس و کواکب؛ ۱۱. معرفت استخراج سمت قبله؛ ۱۲. معرفت استخراج جهات چهارگانه؛ ۱۳. معرفت طالع فلك؛ ۱۴. معرفت عمل کواکب؛ ۱۵. معرفت طول هر قائم بر سطح زمین؛ خاتمه در معرفت طالع و تسویه بیوت .</w:t>
      </w:r>
    </w:p>
    <w:p>
      <w:pPr>
        <w:pStyle w:val="BookText"/>
      </w:pPr>
      <w:r>
        <w:rPr>
          <w:rFonts w:ascii="IRNazanin" w:hAnsi="IRNazanin" w:eastAsia="IRNazanin" w:cs="IRNazanin"/>
          <w:lang w:bidi="fa-IR"/>
          <w:color w:val="111111"/>
          <w:sz w:val="28"/>
          <w:szCs w:val="28"/>
          <w:rtl/>
        </w:rPr>
        <w:t xml:space="preserve">آغاز: بسمله الحمد لله حمداً يليق بجلاله والصلوة و السلام على خیر خلقه محمد و آله و صحبه اجمعین و بعد فهذه رسالة مختصرة اذكر فيها اسماء الرسوم المرسومة على الآلة المسماة بالاسطرلاب الشمالى ذات الصفايح و بعض اعمالها و  هذه مشتملة على مقدمة و خمسة عشر باباً و خاتمة</w:t>
      </w:r>
    </w:p>
    <w:p>
      <w:pPr>
        <w:pStyle w:val="BookText"/>
      </w:pPr>
      <w:r>
        <w:rPr>
          <w:rFonts w:ascii="Amiri" w:hAnsi="Amiri" w:eastAsia="Amiri" w:cs="Amiri"/>
          <w:lang w:bidi="ar-SA"/>
          <w:color w:val="111111"/>
          <w:sz w:val="28"/>
          <w:szCs w:val="28"/>
          <w:rtl/>
        </w:rPr>
        <w:t xml:space="preserve">انجام: مع زيادة نصف التعديل فى الشمال واسقاطه فى الجنوب.  والله اعلم بالصواب و اليه المرجع والمآب.</w:t>
      </w:r>
    </w:p>
    <w:p>
      <w:pPr>
        <w:pStyle w:val="BookText"/>
      </w:pPr>
      <w:r>
        <w:rPr>
          <w:rFonts w:ascii="Amiri" w:hAnsi="Amiri" w:eastAsia="Amiri" w:cs="Amiri"/>
          <w:lang w:bidi="ar-SA"/>
          <w:color w:val="111111"/>
          <w:sz w:val="28"/>
          <w:szCs w:val="28"/>
          <w:rtl/>
        </w:rPr>
        <w:t xml:space="preserve">[دنا ۷۹۹/۱ (۱۵ نسخه)؛ مخطوطات الفلك والتنجيم في المتحف العراقي  ص 79]</w:t>
      </w:r>
    </w:p>
    <w:p>
      <w:pPr>
        <w:pStyle w:val="BookText"/>
      </w:pPr>
      <w:r>
        <w:rPr>
          <w:rFonts w:ascii="IRNazanin" w:hAnsi="IRNazanin" w:eastAsia="IRNazanin" w:cs="IRNazanin"/>
          <w:lang w:bidi="fa-IR"/>
          <w:color w:val="111111"/>
          <w:sz w:val="28"/>
          <w:szCs w:val="28"/>
          <w:rtl/>
        </w:rPr>
        <w:t xml:space="preserve">1.تهران؛ دانشگاه؛ شماره نسخه: ۸۸۵/۵</w:t>
      </w:r>
    </w:p>
    <w:p>
      <w:pPr>
        <w:pStyle w:val="BookText"/>
      </w:pPr>
      <w:r>
        <w:rPr>
          <w:rFonts w:ascii="IRNazanin" w:hAnsi="IRNazanin" w:eastAsia="IRNazanin" w:cs="IRNazanin"/>
          <w:lang w:bidi="fa-IR"/>
          <w:color w:val="111111"/>
          <w:sz w:val="28"/>
          <w:szCs w:val="28"/>
          <w:rtl/>
        </w:rPr>
        <w:t xml:space="preserve">آغاز و انجام: برابر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 نسخ، بی کا، تا: نزدیک ۱۰۹۱ق؛ ۱۲گ (۶۰پ-۷۱پ) [  ف: 4- 829]</w:t>
      </w:r>
    </w:p>
    <w:p>
      <w:pPr>
        <w:pStyle w:val="BookText"/>
      </w:pPr>
      <w:r>
        <w:rPr>
          <w:rFonts w:ascii="IRNazanin" w:hAnsi="IRNazanin" w:eastAsia="IRNazanin" w:cs="IRNazanin"/>
          <w:lang w:bidi="fa-IR"/>
          <w:color w:val="111111"/>
          <w:sz w:val="28"/>
          <w:szCs w:val="28"/>
          <w:rtl/>
        </w:rPr>
        <w:t xml:space="preserve">۲. تهران؛ مجلس؛ شماره نسخه: ۶۴۷۲</w:t>
      </w:r>
    </w:p>
    <w:p>
      <w:pPr>
        <w:pStyle w:val="BookText"/>
      </w:pPr>
      <w:r>
        <w:rPr>
          <w:rFonts w:ascii="IRNazanin" w:hAnsi="IRNazanin" w:eastAsia="IRNazanin" w:cs="IRNazanin"/>
          <w:lang w:bidi="fa-IR"/>
          <w:color w:val="111111"/>
          <w:sz w:val="28"/>
          <w:szCs w:val="28"/>
          <w:rtl/>
        </w:rPr>
        <w:t xml:space="preserve">همان است که در یک مقدمه و ۱۵ فصل کوتاه تنظیم شده اسـت؛ خط: نسخ، بی کا،تا: رجب ۱۰۹۸ق؛ مصحح، محشی با عناوین «مصطفیریاضی» و «اسحق افندی سلمه الله» و «حسین سلمه الـله»؛  در دو برگ آغازین دو بیت شعر از امیر المومنین علی (علیه السّلام) و یادداشتی در معنای اسطرلاب به نقل از اسحاق زنجانی آمـده؛ تملک: احمد بن علی بن احمد مشهور به راتعی زاده با مهـر بیضوی ؛جلد: گالینگور  کرمی، ۱۳گ، ۱۷ سطر، اندازه:</w:t>
      </w:r>
    </w:p>
    <w:p>
      <w:pPr>
        <w:pStyle w:val="BookText"/>
      </w:pPr>
      <w:r>
        <w:rPr>
          <w:rFonts w:ascii="IRNazanin" w:hAnsi="IRNazanin" w:eastAsia="IRNazanin" w:cs="IRNazanin"/>
          <w:lang w:bidi="fa-IR"/>
          <w:color w:val="111111"/>
          <w:sz w:val="28"/>
          <w:szCs w:val="28"/>
          <w:rtl/>
        </w:rPr>
        <w:t xml:space="preserve">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۲۰ - ۵۰]</w:t>
      </w:r>
    </w:p>
    <w:p>
      <w:pPr>
        <w:pStyle w:val="BookText"/>
      </w:pPr>
      <w:r>
        <w:rPr>
          <w:rFonts w:ascii="IRNazanin" w:hAnsi="IRNazanin" w:eastAsia="IRNazanin" w:cs="IRNazanin"/>
          <w:lang w:bidi="fa-IR"/>
          <w:color w:val="111111"/>
          <w:sz w:val="28"/>
          <w:szCs w:val="28"/>
          <w:rtl/>
        </w:rPr>
        <w:t xml:space="preserve">3.قم؛ مرعشی؛ شماره نسخه: ۱۲۷۳۱/۲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۱۱۱۵ق؛ محشی با نشان «اسحاق» و غیرآن، مصحح ؛ كاغذ ،فرنگی ،جلد ،مقوایی، ۸گ (۱۲۳-۱۳۰)، ۱۹- 20سطر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۳۲ - ۳۶۷]</w:t>
      </w:r>
    </w:p>
    <w:p>
      <w:pPr>
        <w:pStyle w:val="BookText"/>
      </w:pPr>
      <w:r>
        <w:rPr>
          <w:rFonts w:ascii="IRNazanin" w:hAnsi="IRNazanin" w:eastAsia="IRNazanin" w:cs="IRNazanin"/>
          <w:lang w:bidi="fa-IR"/>
          <w:color w:val="111111"/>
          <w:sz w:val="28"/>
          <w:szCs w:val="28"/>
          <w:rtl/>
        </w:rPr>
        <w:t xml:space="preserve">۴. قم؛ مرکز احیاء؛ شماره نسخه: ۴۴۰۶/۷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عبد الله بن مصطفى بن داود ،تا: ۸ صفر ۱۱۳۰ق؛ مصحح، محشی، روی برگ اول تاریخ شروع کاتب به تحصیل این رساله در غره محرم ۱۱۳۰ آمده؛ جلد: تیماج قرمز لبه دار، ۱۳گ (۶۵پ-۵۳ پ)، ۱۷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[محدث ارموی مخ: ۱ - ۱۳۲]</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قم؛ حجتیه؛ شماره نسخه: ۶۹۳/۱</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بی کا، تا: ۱۱۳۶ق، ۷گ، قطع : خشتی [ف: ۱۱۹]</w:t>
      </w:r>
    </w:p>
    <w:p>
      <w:pPr>
        <w:pStyle w:val="BookText"/>
      </w:pPr>
      <w:r>
        <w:rPr>
          <w:rFonts w:ascii="IRNazanin" w:hAnsi="IRNazanin" w:eastAsia="IRNazanin" w:cs="IRNazanin"/>
          <w:lang w:bidi="fa-IR"/>
          <w:color w:val="111111"/>
          <w:sz w:val="28"/>
          <w:szCs w:val="28"/>
          <w:rtl/>
        </w:rPr>
        <w:t xml:space="preserve">۶. تهران؛ ملک؛ شماره نسخه: ۳۱۰۰/۵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شکسته نستعلیق، کا: عبدالرحمن بن ابراهیم، تا: ۳ ذيحـجه۱۱۷۷ق، جا: جزیره قبرس ؛کاغذ: پسته ای، جلد: رویه کاغذ سـبز، ۸گ (۵۶ پ- ۶۳ پ)، ۲۱  سطر، اندازه: ۱۴/۲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۲۲/۲سم [ف:6- 214]</w:t>
      </w:r>
    </w:p>
    <w:p>
      <w:pPr>
        <w:pStyle w:val="BookText"/>
      </w:pPr>
      <w:r>
        <w:rPr>
          <w:rFonts w:ascii="IRNazanin" w:hAnsi="IRNazanin" w:eastAsia="IRNazanin" w:cs="IRNazanin"/>
          <w:lang w:bidi="fa-IR"/>
          <w:color w:val="111111"/>
          <w:sz w:val="28"/>
          <w:szCs w:val="28"/>
          <w:rtl/>
        </w:rPr>
        <w:t xml:space="preserve">7.قم؛ مرعشی؛ شماره نسخه: ۱۰۴۸۵/۸</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احمد البانی، تا: ۱۲۳۷ق؛ جلد: تیماج  مشکی، ۷گ، (۳۲۵ پ - ۳۳۱ ر) ۲۴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۲۳/۵سم [ف: ۲۶ - ۳۹۶]</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قم؛ گلپایگانی؛ شماره نسخه: ۶۲۵۳/۲-۳۱/۱۳۳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سمى  النبي (مصطفی)، تا: ۱۱ شوال ۱۲۴۱ ق؛ محشی به حواشی «مصطفی» و «اسحق افندی» ؛جلد: تیماج قهوه ای، ۱۱گ، ۱۷ سطر،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۲۱سم[ف: ۱ - ۳۵۴]</w:t>
      </w:r>
    </w:p>
    <w:p>
      <w:pPr>
        <w:pStyle w:val="BookText"/>
      </w:pPr>
      <w:r>
        <w:rPr>
          <w:rFonts w:ascii="IRNazanin" w:hAnsi="IRNazanin" w:eastAsia="IRNazanin" w:cs="IRNazanin"/>
          <w:lang w:bidi="fa-IR"/>
          <w:color w:val="111111"/>
          <w:sz w:val="28"/>
          <w:szCs w:val="28"/>
          <w:rtl/>
        </w:rPr>
        <w:t xml:space="preserve">۹. قم؛ گلپایگانی؛ شماره نسخه: ۶۲۳۸/۵-۳۱/۱۱۸</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۱۴ صفر ۱۲۶۷ق؛ با حواشی «قاضی» و«منه سلمه الله» و «حسین الارزنجانی»؛ جلد: تیماج مشکی مجدول، ۱۰گ، ۱۶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۱ - ۳۵۳]</w:t>
      </w:r>
    </w:p>
    <w:p>
      <w:pPr>
        <w:pStyle w:val="BookText"/>
      </w:pPr>
      <w:r>
        <w:rPr>
          <w:rFonts w:ascii="Amiri" w:hAnsi="Amiri" w:eastAsia="Amiri" w:cs="Amiri"/>
          <w:lang w:bidi="ar-SA"/>
          <w:color w:val="111111"/>
          <w:sz w:val="28"/>
          <w:szCs w:val="28"/>
          <w:rtl/>
        </w:rPr>
        <w:t xml:space="preserve">۱۰. قم؛ مفتى الشيعه؛ شماره نسخه: ۹۰/۲</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و نستعلیق، کا: عبدالغني بن محمد حسنی حسینی شیروانی  شماخی ،تا: سه شنبه ۲۰ جمادی الاول ۱۲۸۸ق؛ جلد: تیماج مشکی بدون مقوا، ۲۳گ (8پ-۳۱ر)،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 ۹۵]</w:t>
      </w:r>
    </w:p>
    <w:p>
      <w:pPr>
        <w:pStyle w:val="BookText"/>
      </w:pPr>
      <w:r>
        <w:rPr>
          <w:rFonts w:ascii="IRNazanin" w:hAnsi="IRNazanin" w:eastAsia="IRNazanin" w:cs="IRNazanin"/>
          <w:lang w:bidi="fa-IR"/>
          <w:color w:val="111111"/>
          <w:sz w:val="28"/>
          <w:szCs w:val="28"/>
          <w:rtl/>
        </w:rPr>
        <w:t xml:space="preserve">۱۱. تبریز؛ ملی؛ شماره نسخه: ۳۴۰۰/۵</w:t>
      </w:r>
    </w:p>
    <w:p>
      <w:pPr>
        <w:pStyle w:val="BookText"/>
      </w:pPr>
      <w:r>
        <w:rPr>
          <w:rFonts w:ascii="Amiri" w:hAnsi="Amiri" w:eastAsia="Amiri" w:cs="Amiri"/>
          <w:lang w:bidi="ar-SA"/>
          <w:color w:val="111111"/>
          <w:sz w:val="28"/>
          <w:szCs w:val="28"/>
          <w:rtl/>
        </w:rPr>
        <w:t xml:space="preserve">آغاز: برابر؛ انجام: شس و اجمع الباقي الى المطالع الفلكية فما بلغ فهو المطالع البلدية</w:t>
      </w:r>
    </w:p>
    <w:p>
      <w:pPr>
        <w:pStyle w:val="BookText"/>
      </w:pPr>
      <w:r>
        <w:rPr>
          <w:rFonts w:ascii="IRNazanin" w:hAnsi="IRNazanin" w:eastAsia="IRNazanin" w:cs="IRNazanin"/>
          <w:lang w:bidi="fa-IR"/>
          <w:color w:val="111111"/>
          <w:sz w:val="28"/>
          <w:szCs w:val="28"/>
          <w:rtl/>
        </w:rPr>
        <w:t xml:space="preserve">خط: نسخ، بی کا، بی تا؛ افتادگی: انجام؛ کاغذ ،فرنگی ،جلد: مقوا ، 8گ، ۱۵ سطر،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۲ - ۷۲۵]</w:t>
      </w:r>
    </w:p>
    <w:p>
      <w:pPr>
        <w:pStyle w:val="BookText"/>
      </w:pPr>
      <w:r>
        <w:rPr>
          <w:rFonts w:ascii="IRNazanin" w:hAnsi="IRNazanin" w:eastAsia="IRNazanin" w:cs="IRNazanin"/>
          <w:lang w:bidi="fa-IR"/>
          <w:color w:val="111111"/>
          <w:sz w:val="28"/>
          <w:szCs w:val="28"/>
          <w:rtl/>
        </w:rPr>
        <w:t xml:space="preserve">۱۲. تهران؛ ملک؛ شماره نسخه: ۳۴۳۷/۷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و نستعلیق، بی کا، بی تا؛ کاغذ: پسته ای، جلد: رویه میشن سبز، 7گ (۱۷۸پ-۱۸۴پ)، ۱۸ و ۲۳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۶ - ۴۱۶]</w:t>
      </w:r>
    </w:p>
    <w:p>
      <w:pPr>
        <w:pStyle w:val="BookText"/>
      </w:pPr>
      <w:r>
        <w:rPr>
          <w:rFonts w:ascii="IRNazanin" w:hAnsi="IRNazanin" w:eastAsia="IRNazanin" w:cs="IRNazanin"/>
          <w:lang w:bidi="fa-IR"/>
          <w:color w:val="111111"/>
          <w:sz w:val="28"/>
          <w:szCs w:val="28"/>
          <w:rtl/>
        </w:rPr>
        <w:t xml:space="preserve">۱۳. قم؛ مؤسسه حضرت آیة الله بروجردی؛ شماره نسخه: ۳۸۹/۷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كا: حسن بن محمد مقیم ایروانی، بی تا، جلد: تیماج مشکی، ۱۲ گ (۱۰۱پ-۱۱۲پ)،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۱ - ۲۳۸]</w:t>
      </w:r>
    </w:p>
    <w:p>
      <w:pPr>
        <w:pStyle w:val="BookText"/>
      </w:pPr>
      <w:r>
        <w:rPr>
          <w:rFonts w:ascii="IRNazanin" w:hAnsi="IRNazanin" w:eastAsia="IRNazanin" w:cs="IRNazanin"/>
          <w:lang w:bidi="fa-IR"/>
          <w:color w:val="111111"/>
          <w:sz w:val="28"/>
          <w:szCs w:val="28"/>
          <w:rtl/>
        </w:rPr>
        <w:t xml:space="preserve">۱۴. تهران؛ ملی؛ شماره نسخه: ۳۰۸۰/۵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بی  کا، بی تا، کاغذ: فرنگی نخودی ،جلد: تیماج تریاکی  روشن، ۱۰گ ،(۱۰۲-۹۳)، ابعاد متن: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۲۳/۵سم [ف: ۱۴  - 203]</w:t>
      </w:r>
    </w:p>
    <w:p>
      <w:pPr>
        <w:pStyle w:val="BookText"/>
      </w:pPr>
      <w:r>
        <w:rPr>
          <w:rFonts w:ascii="IRNazanin" w:hAnsi="IRNazanin" w:eastAsia="IRNazanin" w:cs="IRNazanin"/>
          <w:lang w:bidi="fa-IR"/>
          <w:color w:val="111111"/>
          <w:sz w:val="28"/>
          <w:szCs w:val="28"/>
          <w:rtl/>
        </w:rPr>
        <w:t xml:space="preserve">۱۵. قم؛ مرعشی؛ شماره نسخه: ۹۲۹۸/۶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بی کا، بی تا :جلد: مقوایی عطف تیماج قرمز، ۱۲گ (۱۶۳پ - ۱۷۴پ)،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۲۴ - ۸۹]</w:t>
      </w:r>
    </w:p>
    <w:p>
      <w:pPr>
        <w:pStyle w:val="BookText"/>
      </w:pPr>
      <w:r>
        <w:rPr>
          <w:rFonts w:ascii="IRNazanin" w:hAnsi="IRNazanin" w:eastAsia="IRNazanin" w:cs="IRNazanin"/>
          <w:lang w:bidi="fa-IR"/>
          <w:color w:val="111111"/>
          <w:sz w:val="28"/>
          <w:szCs w:val="28"/>
          <w:rtl/>
        </w:rPr>
        <w:t xml:space="preserve">۱۶. قم؛ مرعشی؛ شماره نسخه: ۵۹۲۰/۲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بی تا :جلد: تیماج مشکی، ۹گ (۳۴پ- ۴۲پ)،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 ۱۵ - ۳۰۲]</w:t>
      </w:r>
    </w:p>
    <w:p>
      <w:pPr>
        <w:pStyle w:val="BookText"/>
      </w:pPr>
      <w:r>
        <w:rPr>
          <w:rFonts w:ascii="IRNazanin" w:hAnsi="IRNazanin" w:eastAsia="IRNazanin" w:cs="IRNazanin"/>
          <w:lang w:bidi="fa-IR"/>
          <w:color w:val="111111"/>
          <w:sz w:val="28"/>
          <w:szCs w:val="28"/>
          <w:rtl/>
        </w:rPr>
        <w:t xml:space="preserve">۱۷. مشهد؛ گوهر شاد؛ شماره نسخه: ۵۹۵/۲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و نستعلیق ،كا: على بن ابراهيم بن علی چلبی بن حاج سید احمد، تا: ۱۲۰۳ - ۱۲۰۷ق در خدمت ملا عبدالله افندی مدرس؛ محشی؛ مهر: حاج سید سعید؛ کاغذ: فستقی و شکری رنگ، جلد: مقوا عطف میشن قهوه ای، ۱۳گ (۴۱-۵۳)، ۱۰-۱۴  سطر (۷/۵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اندازه: ۱۷/۵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۲ - ۷۱۲]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296" w:name="pg20365_260412"/>
    <w:bookmarkEnd w:id="296"/>
    <w:p>
      <w:pPr>
        <w:pStyle w:val="Heading3"/>
      </w:pPr>
      <w:bookmarkStart w:id="1512" w:name="_Toc1034"/>
      <w:r>
        <w:t>الاسطرلاب / اسطرلاب / عربی</w:t>
      </w:r>
      <w:bookmarkEnd w:id="1512"/>
    </w:p>
    <w:p>
      <w:pPr>
        <w:pStyle w:val="BookText"/>
      </w:pPr>
      <w:r>
        <w:rPr>
          <w:rFonts w:ascii="Times New Roman" w:hAnsi="Times New Roman" w:eastAsia="Times New Roman" w:cs="Times New Roman"/>
          <w:lang w:val="en-US" w:bidi="en-US"/>
          <w:color w:val="111111"/>
          <w:sz w:val="28"/>
          <w:szCs w:val="28"/>
          <w:rtl/>
        </w:rPr>
        <w:t xml:space="preserve">al-usṭurlāb</w:t>
      </w:r>
    </w:p>
    <w:p>
      <w:pPr>
        <w:pStyle w:val="BookText"/>
      </w:pPr>
      <w:r>
        <w:rPr>
          <w:rFonts w:ascii="IRNazanin" w:hAnsi="IRNazanin" w:eastAsia="IRNazanin" w:cs="IRNazanin"/>
          <w:lang w:bidi="fa-IR"/>
          <w:color w:val="111111"/>
          <w:sz w:val="28"/>
          <w:szCs w:val="28"/>
          <w:rtl/>
        </w:rPr>
        <w:t xml:space="preserve">رساله در اسطرلاب دارای در پنجاه و یک «باب»</w:t>
      </w:r>
    </w:p>
    <w:p>
      <w:pPr>
        <w:pStyle w:val="BookText"/>
      </w:pPr>
      <w:r>
        <w:rPr>
          <w:rFonts w:ascii="IRNazanin" w:hAnsi="IRNazanin" w:eastAsia="IRNazanin" w:cs="IRNazanin"/>
          <w:lang w:bidi="fa-IR"/>
          <w:color w:val="111111"/>
          <w:sz w:val="28"/>
          <w:szCs w:val="28"/>
          <w:rtl/>
        </w:rPr>
        <w:t xml:space="preserve">آغاز: بسمله، الحمدلله  رب العالمين و العاقبة المحمودة للمتقين... الباب الاول في قسمة الاسطرلاب، الباب الثاني في معرفة تخطیط هذه الاجزاء و اسمائه... و الباب الثالث فى كيفية الارتقـاع الشمس في كل وقت</w:t>
      </w:r>
    </w:p>
    <w:p>
      <w:pPr>
        <w:pStyle w:val="BookText"/>
      </w:pPr>
      <w:r>
        <w:rPr>
          <w:rFonts w:ascii="Amiri" w:hAnsi="Amiri" w:eastAsia="Amiri" w:cs="Amiri"/>
          <w:lang w:bidi="ar-SA"/>
          <w:color w:val="111111"/>
          <w:sz w:val="28"/>
          <w:szCs w:val="28"/>
          <w:rtl/>
        </w:rPr>
        <w:t xml:space="preserve">انجام: عن الدائرة التي ذكر فى الباب الرابع و الثلثين و المائة تعمل فى ظهر الاسطرلاب لمعرفة درجة الشمس و الله تعالى عـالم بحقايق الاشياء ... و السلام كاتبه</w:t>
      </w:r>
    </w:p>
    <w:p>
      <w:pPr>
        <w:pStyle w:val="BookText"/>
      </w:pPr>
      <w:r>
        <w:rPr>
          <w:rFonts w:ascii="IRNazanin" w:hAnsi="IRNazanin" w:eastAsia="IRNazanin" w:cs="IRNazanin"/>
          <w:lang w:bidi="fa-IR"/>
          <w:color w:val="111111"/>
          <w:sz w:val="28"/>
          <w:szCs w:val="28"/>
          <w:rtl/>
        </w:rPr>
        <w:t xml:space="preserve">همانند: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ملک؛ شماره نسخه: ۳۲۰۶/۱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۱۰ :کاغذ ،ترمه، جلد: رویه کاغذ مشکی عطف میشن تریاکی، ۳۵گ (۲ پ -۳۶ ر)، ۲۲ سطر، اندازه: ۱۰/۱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۶ - ۲۹۵]</w:t>
      </w:r>
    </w:p>
    <w:p>
      <w:pPr>
        <w:pStyle w:val="BookText"/>
      </w:pPr>
      <w:r>
        <w:rPr>
          <w:rFonts w:ascii="IRNazanin" w:hAnsi="IRNazanin" w:eastAsia="IRNazanin" w:cs="IRNazanin"/>
          <w:lang w:bidi="fa-IR"/>
          <w:color w:val="111111"/>
          <w:sz w:val="28"/>
          <w:szCs w:val="28"/>
          <w:rtl/>
        </w:rPr>
        <w:t xml:space="preserve">۲. مشهد؛ رضوی؛ شماره نسخه: ۵۵۵۸/۳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۱۱؛ تحریر در متن و هامش مجدول به تحریر و زر ؛کاغذ ،نخودی، جلد: مقوایی، ۱۰ص (5-14)، 23سطر (18/3</w:t>
      </w:r>
      <w:r>
        <w:rPr>
          <w:rFonts w:ascii="Times New Roman" w:hAnsi="Times New Roman" w:eastAsia="Times New Roman" w:cs="Times New Roman"/>
          <w:lang w:val="en-US" w:bidi="en-US"/>
          <w:color w:val="111111"/>
          <w:sz w:val="28"/>
          <w:szCs w:val="28"/>
          <w:rtl/>
        </w:rPr>
        <w:t xml:space="preserve">×36/2) </w:t>
      </w:r>
      <w:r>
        <w:rPr>
          <w:rFonts w:ascii="IRNazanin" w:hAnsi="IRNazanin" w:eastAsia="IRNazanin" w:cs="IRNazanin"/>
          <w:lang w:bidi="fa-IR"/>
          <w:color w:val="111111"/>
          <w:sz w:val="28"/>
          <w:szCs w:val="28"/>
          <w:rtl/>
        </w:rPr>
        <w:t xml:space="preserve">اندازه: ۲۶/۳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۴۳/۷سم [ف: ۸ - ۳۲۳]</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مشهد؛ شیخ علی حیدر؛ شماره نسخه: ۷۷/۳۵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على ۱۵۱ باباً؛ خط: نستعليق، كا: ابوالقاسم حسینی تفریشی، تا:۱۲۶۳ق؛ جلد: چرم  سبز، ۱۰گ (۱۳۲پ- ۱۴۱پ)، ۳۳ سطر، اندازه: ۲۱/۵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۳۴/۵سم [مؤید: ۳ - ۶۳۶]</w:t>
      </w:r>
    </w:p>
    <w:p>
      <w:pPr>
        <w:pStyle w:val="Heading3"/>
      </w:pPr>
      <w:bookmarkStart w:id="1513" w:name="_Toc1035"/>
      <w:r>
        <w:t>اسطرلاب = علم رسم خطوط اسطرلاب / اسطرلاب  / فارسی</w:t>
      </w:r>
      <w:bookmarkEnd w:id="1513"/>
    </w:p>
    <w:p>
      <w:pPr>
        <w:pStyle w:val="BookText"/>
      </w:pPr>
      <w:r>
        <w:rPr>
          <w:rFonts w:ascii="Times New Roman" w:hAnsi="Times New Roman" w:eastAsia="Times New Roman" w:cs="Times New Roman"/>
          <w:lang w:val="en-US" w:bidi="en-US"/>
          <w:color w:val="111111"/>
          <w:sz w:val="28"/>
          <w:szCs w:val="28"/>
          <w:rtl/>
        </w:rPr>
        <w:t xml:space="preserve">al-ostorlāb = ‘elm-e rasm-e xotūt-e ostorlāb</w:t>
      </w:r>
    </w:p>
    <w:p>
      <w:pPr>
        <w:pStyle w:val="BookText"/>
      </w:pPr>
      <w:r>
        <w:rPr>
          <w:rFonts w:ascii="IRNazanin" w:hAnsi="IRNazanin" w:eastAsia="IRNazanin" w:cs="IRNazanin"/>
          <w:lang w:bidi="fa-IR"/>
          <w:color w:val="111111"/>
          <w:sz w:val="28"/>
          <w:szCs w:val="28"/>
          <w:rtl/>
        </w:rPr>
        <w:t xml:space="preserve">در علم رسم خطوط اسطرلاب در چهار «باب» و هر باب درچند «فصل» که جای عنوان ها نانویس است و بنابراین میان فصل و باب تشخيص مشکل است و در اینجا آغاز مطلب ذکر می شود، لکن پیدا نیست که تمام این عناوین از آن این رساله باشد یا این که جمله ای از آنها گفتاری مستقل هستند: باب اول کشیدن خطوط بر پشت اسطرلاب بر شش «فصل» چون خواهند که خط وسط السماء و تحت الارض و خط مشرق و مغرب پشت اسطرلاب بدید آورند، در معرفت اجزاء ،ارتفاع، در معرف خطوط جیب؛ (باب) در کشیدن خطوط بر ضیاع و مشتمل اسـت هفت «فصل» ... در پیدا کردن سمت الرأس در کشیدن خطوط ساعات زمانی (باب) در عمل عنکبوت و این مشتمل است بر سه «فصل»؛ باب در معرفت هیلاج و جایگاه آن فصل سیوم در</w:t>
      </w:r>
    </w:p>
    <w:p>
      <w:pPr>
        <w:pStyle w:val="BookText"/>
      </w:pPr>
      <w:r>
        <w:rPr>
          <w:rFonts w:ascii="IRNazanin" w:hAnsi="IRNazanin" w:eastAsia="IRNazanin" w:cs="IRNazanin"/>
          <w:lang w:bidi="fa-IR"/>
          <w:color w:val="111111"/>
          <w:sz w:val="28"/>
          <w:szCs w:val="28"/>
          <w:rtl/>
        </w:rPr>
        <w:t xml:space="preserve">ساختن جایگاه دلیلان</w:t>
      </w:r>
    </w:p>
    <w:p>
      <w:pPr>
        <w:pStyle w:val="BookText"/>
      </w:pPr>
      <w:r>
        <w:rPr>
          <w:rFonts w:ascii="IRNazanin" w:hAnsi="IRNazanin" w:eastAsia="IRNazanin" w:cs="IRNazanin"/>
          <w:lang w:bidi="fa-IR"/>
          <w:color w:val="111111"/>
          <w:sz w:val="28"/>
          <w:szCs w:val="28"/>
          <w:rtl/>
        </w:rPr>
        <w:t xml:space="preserve">آغاز: بسمله بدانکه این رساله ایست در علم رسم خطوط اسطرلاب و آنچه متعلق است بدان مشتمل برچهار باب</w:t>
      </w:r>
    </w:p>
    <w:p>
      <w:pPr>
        <w:pStyle w:val="BookText"/>
      </w:pPr>
      <w:r>
        <w:rPr>
          <w:rFonts w:ascii="IRNazanin" w:hAnsi="IRNazanin" w:eastAsia="IRNazanin" w:cs="IRNazanin"/>
          <w:lang w:bidi="fa-IR"/>
          <w:color w:val="111111"/>
          <w:sz w:val="28"/>
          <w:szCs w:val="28"/>
          <w:rtl/>
        </w:rPr>
        <w:t xml:space="preserve">همانند:</w:t>
      </w:r>
    </w:p>
    <w:p>
      <w:pPr>
        <w:pStyle w:val="BookText"/>
      </w:pPr>
      <w:r>
        <w:rPr>
          <w:rFonts w:ascii="IRNazanin" w:hAnsi="IRNazanin" w:eastAsia="IRNazanin" w:cs="IRNazanin"/>
          <w:lang w:bidi="fa-IR"/>
          <w:color w:val="111111"/>
          <w:sz w:val="28"/>
          <w:szCs w:val="28"/>
          <w:rtl/>
        </w:rPr>
        <w:t xml:space="preserve">١ . مشهد؛ الهیات؛ شماره نسخه: ۲۱۶۹۸/۳</w:t>
      </w:r>
    </w:p>
    <w:p>
      <w:pPr>
        <w:pStyle w:val="BookText"/>
      </w:pPr>
      <w:r>
        <w:rPr>
          <w:rFonts w:ascii="IRNazanin" w:hAnsi="IRNazanin" w:eastAsia="IRNazanin" w:cs="IRNazanin"/>
          <w:lang w:bidi="fa-IR"/>
          <w:color w:val="111111"/>
          <w:sz w:val="28"/>
          <w:szCs w:val="28"/>
          <w:rtl/>
        </w:rPr>
        <w:t xml:space="preserve">آغاز: برابر؛ انجام: و هرگاه پنج روز باشد و پنجم اسفند از هر نوشته رقعه کردن بود و الله اعلم بالصواب.</w:t>
      </w:r>
    </w:p>
    <w:p>
      <w:pPr>
        <w:pStyle w:val="BookText"/>
      </w:pPr>
      <w:r>
        <w:rPr>
          <w:rFonts w:ascii="IRNazanin" w:hAnsi="IRNazanin" w:eastAsia="IRNazanin" w:cs="IRNazanin"/>
          <w:lang w:bidi="fa-IR"/>
          <w:color w:val="111111"/>
          <w:sz w:val="28"/>
          <w:szCs w:val="28"/>
          <w:rtl/>
        </w:rPr>
        <w:t xml:space="preserve">خط: نستعلیق، بی  کا، بی تا: مهر: «یا امام جعفر ادرکنی»؛ کاغذ: نوعی ترمه؛ جلد: تیماج لایه ای لبه دار سبز، ۱۶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۲ - ۵۶۶]</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مشهد؛ الهیات؛ شماره نسخه: ۲۱۶۹۰/۹</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بی  کا،بی تا؛ دارای رموز و دوائر و جداول نجومی؛ جلد: تیماج  لایه ای ،سبز،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۱۸/۵سم [ف: ۲ - ۵۵۸]</w:t>
      </w:r>
    </w:p>
    <w:p>
      <w:pPr>
        <w:pStyle w:val="Heading3"/>
      </w:pPr>
      <w:bookmarkStart w:id="1514" w:name="_Toc1036"/>
      <w:r>
        <w:t>اسطرلاب / اسطرلاب / فارسی</w:t>
      </w:r>
      <w:bookmarkEnd w:id="1514"/>
    </w:p>
    <w:p>
      <w:pPr>
        <w:pStyle w:val="BookText"/>
      </w:pPr>
      <w:r>
        <w:rPr>
          <w:rFonts w:ascii="Times New Roman" w:hAnsi="Times New Roman" w:eastAsia="Times New Roman" w:cs="Times New Roman"/>
          <w:lang w:val="en-US" w:bidi="en-US"/>
          <w:color w:val="111111"/>
          <w:sz w:val="28"/>
          <w:szCs w:val="28"/>
          <w:rtl/>
        </w:rPr>
        <w:t xml:space="preserve">ostorlāb</w:t>
      </w:r>
    </w:p>
    <w:p>
      <w:pPr>
        <w:pStyle w:val="BookText"/>
      </w:pPr>
      <w:r>
        <w:rPr>
          <w:rFonts w:ascii="IRNazanin" w:hAnsi="IRNazanin" w:eastAsia="IRNazanin" w:cs="IRNazanin"/>
          <w:lang w:bidi="fa-IR"/>
          <w:color w:val="111111"/>
          <w:sz w:val="28"/>
          <w:szCs w:val="28"/>
          <w:rtl/>
        </w:rPr>
        <w:t xml:space="preserve">رساله ای است در اسطرلاب دارای یک «مقدمه» و ۱۵ «فصل» و «خاتمه» مقدمه در اجزاء اسطرلاب؛ فصل ۱. معرفت ارتفاع؛... فصل ۱۵ .تعدیل اجزاء مقنطرات؛ خاتمه در امتحان اسطرلاب .</w:t>
      </w:r>
    </w:p>
    <w:p>
      <w:pPr>
        <w:pStyle w:val="BookText"/>
      </w:pPr>
      <w:r>
        <w:rPr>
          <w:rFonts w:ascii="IRNazanin" w:hAnsi="IRNazanin" w:eastAsia="IRNazanin" w:cs="IRNazanin"/>
          <w:lang w:bidi="fa-IR"/>
          <w:color w:val="111111"/>
          <w:sz w:val="28"/>
          <w:szCs w:val="28"/>
          <w:rtl/>
        </w:rPr>
        <w:t xml:space="preserve">آغاز: بعد بسمله. اما بعد این مختصریست در معرفت اسطرلاب.</w:t>
      </w:r>
    </w:p>
    <w:p>
      <w:pPr>
        <w:pStyle w:val="BookText"/>
      </w:pPr>
      <w:r>
        <w:rPr>
          <w:rFonts w:ascii="IRNazanin" w:hAnsi="IRNazanin" w:eastAsia="IRNazanin" w:cs="IRNazanin"/>
          <w:lang w:bidi="fa-IR"/>
          <w:color w:val="111111"/>
          <w:sz w:val="28"/>
          <w:szCs w:val="28"/>
          <w:rtl/>
        </w:rPr>
        <w:t xml:space="preserve">مشتمل بر مقدمه و پانزده فصل و خاتمه اما مقدمه آنست که اجزاء او را بدانند که هر یک را چه گویند تا به وقت عمل آسان باشد و اسطرلاب کلمه یونانیست</w:t>
      </w:r>
    </w:p>
    <w:p>
      <w:pPr>
        <w:pStyle w:val="BookText"/>
      </w:pPr>
      <w:r>
        <w:rPr>
          <w:rFonts w:ascii="IRNazanin" w:hAnsi="IRNazanin" w:eastAsia="IRNazanin" w:cs="IRNazanin"/>
          <w:lang w:bidi="fa-IR"/>
          <w:color w:val="111111"/>
          <w:sz w:val="28"/>
          <w:szCs w:val="28"/>
          <w:rtl/>
        </w:rPr>
        <w:t xml:space="preserve">انجام: آنچه از اجزاء بروج بر مقنطره مشرق افتد ... و حقیقت بر افق مغرب بود و همچنین وسط السماء و وتد الارض و و وتد الارض و الله اعلم.</w:t>
      </w:r>
    </w:p>
    <w:p>
      <w:pPr>
        <w:pStyle w:val="BookText"/>
      </w:pPr>
      <w:r>
        <w:rPr>
          <w:rFonts w:ascii="IRNazanin" w:hAnsi="IRNazanin" w:eastAsia="IRNazanin" w:cs="IRNazanin"/>
          <w:lang w:bidi="fa-IR"/>
          <w:color w:val="111111"/>
          <w:sz w:val="28"/>
          <w:szCs w:val="28"/>
          <w:rtl/>
        </w:rPr>
        <w:t xml:space="preserve">همانند:</w:t>
      </w:r>
    </w:p>
    <w:p>
      <w:pPr>
        <w:pStyle w:val="BookText"/>
      </w:pPr>
      <w:r>
        <w:rPr>
          <w:rFonts w:ascii="IRNazanin" w:hAnsi="IRNazanin" w:eastAsia="IRNazanin" w:cs="IRNazanin"/>
          <w:lang w:bidi="fa-IR"/>
          <w:color w:val="111111"/>
          <w:sz w:val="28"/>
          <w:szCs w:val="28"/>
          <w:rtl/>
        </w:rPr>
        <w:t xml:space="preserve">۱. تهران؛ مجلس؛ شماره نسخه: ۱۲۷۸/۲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در 1مقدمه و ۱۵ فصل؛ خط: نستعلیق، کا ،احمد، تا: شب ۲۶ جمادی الثانى ۸۱۷ق كاغذ: سفید ،جلد: تیماج قهوه ای ضربی و مقوایی با ترنج زرکوب، ۱۵ ص (۵۲-۶۶)، ۱۷ سطر [سنا - ف: ۲ – ۲۰۷]</w:t>
      </w:r>
    </w:p>
    <w:p>
      <w:pPr>
        <w:pStyle w:val="BookText"/>
      </w:pPr>
      <w:r>
        <w:rPr>
          <w:rFonts w:ascii="IRNazanin" w:hAnsi="IRNazanin" w:eastAsia="IRNazanin" w:cs="IRNazanin"/>
          <w:lang w:bidi="fa-IR"/>
          <w:color w:val="111111"/>
          <w:sz w:val="28"/>
          <w:szCs w:val="28"/>
          <w:rtl/>
        </w:rPr>
        <w:t xml:space="preserve">۲. تهران؛ مجلس؛ شماره نسخه: ۶۳۴۲/۲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تاری وردی، تا: ۱۱۶۷ق؛ کاغذ: فرنگی آهار ،مهره، جلد: تیماج قرمز بدون مقوا، ۲۲ ص (۳۷-۵۸)، ۱۵ سطر، قطع: خشتی، اندازه: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۱۹ - ۳۶۶]</w:t>
      </w:r>
    </w:p>
    <w:p>
      <w:pPr>
        <w:pStyle w:val="Heading3"/>
      </w:pPr>
      <w:bookmarkStart w:id="1515" w:name="_Toc1037"/>
      <w:r>
        <w:t>اسطرلاب / اسطرلاب / فارسی</w:t>
      </w:r>
      <w:bookmarkEnd w:id="1515"/>
    </w:p>
    <w:p>
      <w:pPr>
        <w:pStyle w:val="BookText"/>
      </w:pPr>
      <w:r>
        <w:rPr>
          <w:rFonts w:ascii="Times New Roman" w:hAnsi="Times New Roman" w:eastAsia="Times New Roman" w:cs="Times New Roman"/>
          <w:lang w:val="en-US" w:bidi="en-US"/>
          <w:color w:val="111111"/>
          <w:sz w:val="28"/>
          <w:szCs w:val="28"/>
          <w:rtl/>
        </w:rPr>
        <w:t xml:space="preserve">ostorlāb</w:t>
      </w:r>
    </w:p>
    <w:p>
      <w:pPr>
        <w:pStyle w:val="BookText"/>
      </w:pPr>
      <w:r>
        <w:rPr>
          <w:rFonts w:ascii="IRNazanin" w:hAnsi="IRNazanin" w:eastAsia="IRNazanin" w:cs="IRNazanin"/>
          <w:lang w:bidi="fa-IR"/>
          <w:color w:val="111111"/>
          <w:sz w:val="28"/>
          <w:szCs w:val="28"/>
          <w:rtl/>
        </w:rPr>
        <w:t xml:space="preserve">رساله ای مختصر است در بیان اصطلاحات و قواعد اسطرلاب.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297" w:name="pg20365_260413"/>
    <w:bookmarkEnd w:id="297"/>
    <w:p>
      <w:pPr>
        <w:pStyle w:val="BookText"/>
      </w:pPr>
      <w:r>
        <w:rPr>
          <w:rFonts w:ascii="IRNazanin" w:hAnsi="IRNazanin" w:eastAsia="IRNazanin" w:cs="IRNazanin"/>
          <w:lang w:bidi="fa-IR"/>
          <w:color w:val="111111"/>
          <w:sz w:val="28"/>
          <w:szCs w:val="28"/>
          <w:rtl/>
        </w:rPr>
        <w:t xml:space="preserve">آغاز: بیشتر مردمان چنین گویند که این نامی است یونانی اسطر آفتاب بود و لاب ترازو است و گویند که لاب آینه بود و تازیان گویند که لاب نام پسر ادریس بود و اسطرلابی کرد پس ادریس بپرسیدند که این صنعت کیست</w:t>
      </w:r>
    </w:p>
    <w:p>
      <w:pPr>
        <w:pStyle w:val="BookText"/>
      </w:pPr>
      <w:r>
        <w:rPr>
          <w:rFonts w:ascii="IRNazanin" w:hAnsi="IRNazanin" w:eastAsia="IRNazanin" w:cs="IRNazanin"/>
          <w:lang w:bidi="fa-IR"/>
          <w:color w:val="111111"/>
          <w:sz w:val="28"/>
          <w:szCs w:val="28"/>
          <w:rtl/>
        </w:rPr>
        <w:t xml:space="preserve">انجام: چون ارتفاع گرفته باشی نشان کن و در زودی سر عضاده بگردان تا زیروز بر گردد و اگر ارتفاع چندان بازاید درستست امتحان بخشش اجزاء بروج باید که چون بر مقنطره مشرق افتد نظر بحقیقت بر افق مغرب بود و همچنین وسط المسائ و وسـط الارض فافهمه انشاء اله تمت.</w:t>
      </w:r>
    </w:p>
    <w:p>
      <w:pPr>
        <w:pStyle w:val="BookText"/>
      </w:pPr>
      <w:r>
        <w:rPr>
          <w:rFonts w:ascii="IRNazanin" w:hAnsi="IRNazanin" w:eastAsia="IRNazanin" w:cs="IRNazanin"/>
          <w:lang w:bidi="fa-IR"/>
          <w:color w:val="111111"/>
          <w:sz w:val="28"/>
          <w:szCs w:val="28"/>
          <w:rtl/>
        </w:rPr>
        <w:t xml:space="preserve">همانند:</w:t>
      </w:r>
    </w:p>
    <w:p>
      <w:pPr>
        <w:pStyle w:val="BookText"/>
      </w:pPr>
      <w:r>
        <w:rPr>
          <w:rFonts w:ascii="IRNazanin" w:hAnsi="IRNazanin" w:eastAsia="IRNazanin" w:cs="IRNazanin"/>
          <w:lang w:bidi="fa-IR"/>
          <w:color w:val="111111"/>
          <w:sz w:val="28"/>
          <w:szCs w:val="28"/>
          <w:rtl/>
        </w:rPr>
        <w:t xml:space="preserve">۱: مشهد؛ رضوی؛ شماره نسخه: ۵۵۸۵/۲</w:t>
      </w:r>
    </w:p>
    <w:p>
      <w:pPr>
        <w:pStyle w:val="BookText"/>
      </w:pPr>
      <w:r>
        <w:rPr>
          <w:rFonts w:ascii="IRNazanin" w:hAnsi="IRNazanin" w:eastAsia="IRNazanin" w:cs="IRNazanin"/>
          <w:lang w:bidi="fa-IR"/>
          <w:color w:val="111111"/>
          <w:sz w:val="28"/>
          <w:szCs w:val="28"/>
          <w:rtl/>
        </w:rPr>
        <w:t xml:space="preserve">آغاز: برابر؛ انجام: آنچه بر خط افق مغرب افتاد</w:t>
      </w:r>
    </w:p>
    <w:p>
      <w:pPr>
        <w:pStyle w:val="BookText"/>
      </w:pPr>
      <w:r>
        <w:rPr>
          <w:rFonts w:ascii="IRNazanin" w:hAnsi="IRNazanin" w:eastAsia="IRNazanin" w:cs="IRNazanin"/>
          <w:lang w:bidi="fa-IR"/>
          <w:color w:val="111111"/>
          <w:sz w:val="28"/>
          <w:szCs w:val="28"/>
          <w:rtl/>
        </w:rPr>
        <w:t xml:space="preserve">خط: نستعلیق  تحریری ،کا: مختاری، تا: ۱۱۰۸ق، جا: مشـهد ؛افتادگی: انجام؛ محشی فارسی منقول ازشروح هیئت و یـک حاشیه به عربی امضاء کاتبی؛ کاغذ: سمرقندی، جلد: پارچه ای ، ۹ ص (۵۹-۶۷)، ۲۰ سطر (۷/۵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۱۸/۸)،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۲۵/۲سم [ف: 8- 297]</w:t>
      </w:r>
    </w:p>
    <w:p>
      <w:pPr>
        <w:pStyle w:val="BookText"/>
      </w:pPr>
      <w:r>
        <w:rPr>
          <w:rFonts w:ascii="IRNazanin" w:hAnsi="IRNazanin" w:eastAsia="IRNazanin" w:cs="IRNazanin"/>
          <w:lang w:bidi="fa-IR"/>
          <w:color w:val="111111"/>
          <w:sz w:val="28"/>
          <w:szCs w:val="28"/>
          <w:rtl/>
        </w:rPr>
        <w:t xml:space="preserve">۲. تهران؛ مجلس؛ شماره نسخه: ۲۷۶۷/۱۳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۱۲۳۷ق؛ کاغذ: فرنگی به رنگ آبی سیر کم رنگ، جلد: تیماج سیاه منگنه دار، ۱۰ص (۳۵۱-۳۶۰)،  29سطر، اندازه: ۲۰</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۳۳سم [ف: ۹ - ۱۸۴]</w:t>
      </w:r>
    </w:p>
    <w:p>
      <w:pPr>
        <w:pStyle w:val="BookText"/>
      </w:pPr>
      <w:r>
        <w:rPr>
          <w:rFonts w:ascii="IRNazanin" w:hAnsi="IRNazanin" w:eastAsia="IRNazanin" w:cs="IRNazanin"/>
          <w:lang w:bidi="fa-IR"/>
          <w:color w:val="111111"/>
          <w:sz w:val="28"/>
          <w:szCs w:val="28"/>
          <w:rtl/>
        </w:rPr>
        <w:t xml:space="preserve">3.مشهد؛ شیخ علی حیدر؛ شماره نسخه: ۱۳۰۵/۲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محمد مهدی بن عطاء الله  تونی، بی تا ؛جا: مشـهد مقدس؛ جلد: تیماج  مشکی، ۹گ (۴۱ پ-۴۹ ر)، ۱۴ سطر، اندازه:  ا۱۲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[مؤید: ۳ - ۲۵۳]</w:t>
      </w:r>
    </w:p>
    <w:p>
      <w:pPr>
        <w:pStyle w:val="Heading3"/>
      </w:pPr>
      <w:bookmarkStart w:id="1516" w:name="_Toc1038"/>
      <w:r>
        <w:t>اسطرلاب / هیئت / فارسی</w:t>
      </w:r>
      <w:bookmarkEnd w:id="1516"/>
    </w:p>
    <w:p>
      <w:pPr>
        <w:pStyle w:val="BookText"/>
      </w:pPr>
      <w:r>
        <w:rPr>
          <w:rFonts w:ascii="Times New Roman" w:hAnsi="Times New Roman" w:eastAsia="Times New Roman" w:cs="Times New Roman"/>
          <w:lang w:val="en-US" w:bidi="en-US"/>
          <w:color w:val="111111"/>
          <w:sz w:val="28"/>
          <w:szCs w:val="28"/>
          <w:rtl/>
        </w:rPr>
        <w:t xml:space="preserve">ostorlāb</w:t>
      </w:r>
    </w:p>
    <w:p>
      <w:pPr>
        <w:pStyle w:val="BookText"/>
      </w:pPr>
      <w:r>
        <w:rPr>
          <w:rFonts w:ascii="IRNazanin" w:hAnsi="IRNazanin" w:eastAsia="IRNazanin" w:cs="IRNazanin"/>
          <w:lang w:bidi="fa-IR"/>
          <w:color w:val="111111"/>
          <w:sz w:val="28"/>
          <w:szCs w:val="28"/>
          <w:rtl/>
        </w:rPr>
        <w:t xml:space="preserve">رساله مختصری است در شناخت اسطرلاب و چگونگی به کارگیری و موارد استعمال آن. بدون فصل بندی.</w:t>
      </w:r>
    </w:p>
    <w:p>
      <w:pPr>
        <w:pStyle w:val="BookText"/>
      </w:pPr>
      <w:r>
        <w:rPr>
          <w:rFonts w:ascii="IRNazanin" w:hAnsi="IRNazanin" w:eastAsia="IRNazanin" w:cs="IRNazanin"/>
          <w:lang w:bidi="fa-IR"/>
          <w:color w:val="111111"/>
          <w:sz w:val="28"/>
          <w:szCs w:val="28"/>
          <w:rtl/>
        </w:rPr>
        <w:t xml:space="preserve">آغاز: الحمد لله فاطر السموات و الارض بلطف عميمه ... اما بعد این مختصری است در معرفت اسطرلاب بدانکه چون کسی خواهد که اسطرلاب آموزد الو حساب جمل بباید آموخت</w:t>
      </w:r>
    </w:p>
    <w:p>
      <w:pPr>
        <w:pStyle w:val="BookText"/>
      </w:pPr>
      <w:r>
        <w:rPr>
          <w:rFonts w:ascii="IRNazanin" w:hAnsi="IRNazanin" w:eastAsia="IRNazanin" w:cs="IRNazanin"/>
          <w:lang w:bidi="fa-IR"/>
          <w:color w:val="111111"/>
          <w:sz w:val="28"/>
          <w:szCs w:val="28"/>
          <w:rtl/>
        </w:rPr>
        <w:t xml:space="preserve">انجام: آنچه از قسمت برآید درازی چاه باشد یا اندازه بالا ببیـنند اندازه از آن فرو باید شد آنچه بماند بالای چاه باشد.</w:t>
      </w:r>
    </w:p>
    <w:p>
      <w:pPr>
        <w:pStyle w:val="BookText"/>
      </w:pPr>
      <w:r>
        <w:rPr>
          <w:rFonts w:ascii="IRNazanin" w:hAnsi="IRNazanin" w:eastAsia="IRNazanin" w:cs="IRNazanin"/>
          <w:lang w:bidi="fa-IR"/>
          <w:color w:val="111111"/>
          <w:sz w:val="28"/>
          <w:szCs w:val="28"/>
          <w:rtl/>
        </w:rPr>
        <w:t xml:space="preserve">همانند:</w:t>
      </w:r>
    </w:p>
    <w:p>
      <w:pPr>
        <w:pStyle w:val="BookText"/>
      </w:pPr>
      <w:r>
        <w:rPr>
          <w:rFonts w:ascii="IRNazanin" w:hAnsi="IRNazanin" w:eastAsia="IRNazanin" w:cs="IRNazanin"/>
          <w:lang w:bidi="fa-IR"/>
          <w:color w:val="111111"/>
          <w:sz w:val="28"/>
          <w:szCs w:val="28"/>
          <w:rtl/>
        </w:rPr>
        <w:t xml:space="preserve">١. تهران؛ مجلس؛ شماره نسخه: ۶۴۸۹/۱۷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نستعليق، كا: محمد مظفر بن محمد حکیم، تا: سه شنبه 14 ذیقعده ۱۰۸۷ق؛ دارای جدولها و اشکال هندسی، مصحح، محشی بیشتر در پزشکی، جلد: تیماج مشکی ترمیمی، ۴گ (۱۷۵پ-۱۷۸ر)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 ۲۰ - ۶۶]</w:t>
      </w:r>
    </w:p>
    <w:p>
      <w:pPr>
        <w:pStyle w:val="BookText"/>
      </w:pPr>
      <w:r>
        <w:rPr>
          <w:rFonts w:ascii="IRNazanin" w:hAnsi="IRNazanin" w:eastAsia="IRNazanin" w:cs="IRNazanin"/>
          <w:lang w:bidi="fa-IR"/>
          <w:color w:val="111111"/>
          <w:sz w:val="28"/>
          <w:szCs w:val="28"/>
          <w:rtl/>
        </w:rPr>
        <w:t xml:space="preserve">۲ . مشهد؛ رضوی؛ شماره نسخه: ۱۲۱۴۵/۲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تحریری و  شکسته، کا: اسماعیل بن حاجی محمد کریم  شیرازی، تا: ۱۲۱۶ق، جا: سجاس؛ دارای اشکال نجومی، پس از آن پنج سطر است درباره طریقه استخراج ارتفاع مجهول از ارتفاع معلوم به زبان عربی ؛جلد: تیماج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[ف:۲۱۹ - ۱۰  ]</w:t>
      </w:r>
    </w:p>
    <w:p>
      <w:pPr>
        <w:pStyle w:val="Heading3"/>
      </w:pPr>
      <w:bookmarkStart w:id="1517" w:name="_Toc1039"/>
      <w:r>
        <w:t>اسطرلاب / اسطرلاب / فارسی</w:t>
      </w:r>
      <w:bookmarkEnd w:id="1517"/>
    </w:p>
    <w:p>
      <w:pPr>
        <w:pStyle w:val="BookText"/>
      </w:pPr>
      <w:r>
        <w:rPr>
          <w:rFonts w:ascii="Times New Roman" w:hAnsi="Times New Roman" w:eastAsia="Times New Roman" w:cs="Times New Roman"/>
          <w:lang w:val="en-US" w:bidi="en-US"/>
          <w:color w:val="111111"/>
          <w:sz w:val="28"/>
          <w:szCs w:val="28"/>
          <w:rtl/>
        </w:rPr>
        <w:t xml:space="preserve">ostorlāb</w:t>
      </w:r>
    </w:p>
    <w:p>
      <w:pPr>
        <w:pStyle w:val="BookText"/>
      </w:pPr>
      <w:r>
        <w:rPr>
          <w:rFonts w:ascii="IRNazanin" w:hAnsi="IRNazanin" w:eastAsia="IRNazanin" w:cs="IRNazanin"/>
          <w:lang w:bidi="fa-IR"/>
          <w:color w:val="111111"/>
          <w:sz w:val="28"/>
          <w:szCs w:val="28"/>
          <w:rtl/>
        </w:rPr>
        <w:t xml:space="preserve">رساله مرتب است بر ۶۸ «باب»: ۱. ارتفاع گرفتن آفتاب؛ ۲. طالع بدانستن به روز؛ ۳. بدانستن که چند ساعت از روز گذشته است؛ ۴. بدانستن قوس النهار؛ ۵. ساعت زمانیه بدانستن روز؛ ۶. بدانستن طالع وقت به شب؛ ۷. بدانستن غايات؛ ۸. بدانستن چند ساعت مستوی از شب گذشته است؛ ۹. بدانستن که چند زمانی از رفته؛ ۱۰. بدانستن قوس الليل؛ ۱۱. اجزاء ساعات زمانی؛ ۱۲.تعديل النهار؛ ۱۳. بدانستن سعد شمس و کواکب؛ ۱۴. بدانستن بعد عن معدل النهار وكوكب؛ ۱۵. بدانستن میل آفتاب ؛۱۶. بدانستن میل آفتاب در هر برجی؛ ۱۷. بدانستن درج طلوع کوکب؛ ۱۸. بدانستن درجه ممر کوکب؛ ۱۹. اوقات پنج گانه دانستن؛ ۲۰. وقت نماز؛ ۲۱. بدانستن وقت نماز شام؛ ۲۲. بدانستن وقت نماز خفتن؛ ۲۳. وقت نماز بامداد؛ ۲۴. بدست آوردن قبله؛ ۲۵. قبله به شب بازدید آورد؛ ۲۶. اصابع یا اقدام از ظل سلم؛ ۲۷. بدانستن اصابع به اقدام؛ ۲۸. بدانستن طول کوکب؛ ۲۹. بدانستن جیب؛ ۳۰. بدانستن جيب تمام عرض كوكب؛ ۳۱. بدانستن بعد عن سمت الراس كوكب ؛۳۲. بدانستن بعد عن قطب شمال؛ ۳۳. بدانستن ساعات مكث فوق الارض و ساعات مكث تحت الارض؛ ۳۴. بدانستن ساعات زمانیه از جیب؛ ۳۵. بدانستن طالع سال؛ ۳۶. بدانستن طالع مولود .۳۷. بدانستن عرض شهر از کوکب؛ ۳۸. تقویم شمس؛ ۳۹. میل الثانی کوکب؛ ۴۰. اگر بپرسند که کجا باشد که عنکبوت بگردد؛ ۴۱. عمل از قمر کردن؛ ۴۲. طلوع و غروب قمر؛ ۴۳. تسوية البيوت باسطرلاب؛ ۴۴. اضلال؛ ۴۵. تعدیل شمس؛ ۴۶. قوس النهار و تعدیل؛ ۴۷. سعه شمس؛ ۴۸. بدانستن قوس النهار اطول الايام؛ ۴۹. بدانستن ارتفاع النهار هر روزی؛ ۵۰. بدانستن سمت ارتفاع؛ ۵۱. طلوع وقت از اسطرلاب آفاقی؛ ۵۲. بدانستن نور قمر؛ ۵۳. مطالع البروج؛ ۵۴. غرايب مسائل؛ ۵۵. چون بپرسند که چون در عرض سی و دو درجه؛ ۵۶. چون خواهد که عرض کوکبی که از سمت  رأس شمالی باشد بداند؛ ۵۷. اگر بپرسند که چون کوکب شمالی بود؛ ۵۸. چون بپرسند که چون در حینی طالع گرفته.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298" w:name="pg20365_260414"/>
    <w:bookmarkEnd w:id="298"/>
    <w:p>
      <w:pPr>
        <w:pStyle w:val="BookText"/>
      </w:pPr>
      <w:r>
        <w:rPr>
          <w:rFonts w:ascii="IRNazanin" w:hAnsi="IRNazanin" w:eastAsia="IRNazanin" w:cs="IRNazanin"/>
          <w:lang w:bidi="fa-IR"/>
          <w:color w:val="111111"/>
          <w:sz w:val="28"/>
          <w:szCs w:val="28"/>
          <w:rtl/>
        </w:rPr>
        <w:t xml:space="preserve">باشد؛ ۵۹. چون اسطرلاب بود که ربعی از مقنطرات؛60. بدانستن عرض کوکب؛ ۶۱. ارتفاع گرفتن آفتاب از چند نوع؛ 62. آن که ولادتی افتد و آنجا که در بروج شمالی بود؛63. اگر لبه عضاده یکی باشد؛ ۶۴. در آن که ولادتی افتد و آنجا که آفتاب رسیده باشد؛ ۶۵. در عمل کردن به اسطرلابی که عنکبوت ندارد؛ ۶۶. قبله به شب بازدید آوردن؛ ۶۷. بازدسـت کردن طول شهری؛ ۶۸. غرائب مسائل.</w:t>
      </w:r>
    </w:p>
    <w:p>
      <w:pPr>
        <w:pStyle w:val="BookText"/>
      </w:pPr>
      <w:r>
        <w:rPr>
          <w:rFonts w:ascii="IRNazanin" w:hAnsi="IRNazanin" w:eastAsia="IRNazanin" w:cs="IRNazanin"/>
          <w:lang w:bidi="fa-IR"/>
          <w:color w:val="111111"/>
          <w:sz w:val="28"/>
          <w:szCs w:val="28"/>
          <w:rtl/>
        </w:rPr>
        <w:t xml:space="preserve">آغاز: الحمد لله رب العالمين ... بدانکه این رساله ای است در معرفت اسطرلاب مشتمل بر شصت و هشت باب باب اول در ارتفاع گرفتن از آفتاب</w:t>
      </w:r>
    </w:p>
    <w:p>
      <w:pPr>
        <w:pStyle w:val="BookText"/>
      </w:pPr>
      <w:r>
        <w:rPr>
          <w:rFonts w:ascii="IRNazanin" w:hAnsi="IRNazanin" w:eastAsia="IRNazanin" w:cs="IRNazanin"/>
          <w:lang w:bidi="fa-IR"/>
          <w:color w:val="111111"/>
          <w:sz w:val="28"/>
          <w:szCs w:val="28"/>
          <w:rtl/>
        </w:rPr>
        <w:t xml:space="preserve">انجام: و اگر عرض شهر تو افزون تر بود و شمالی باشد ازو کم کند و اگر جنوبی بود برافزاید آنچه شود یا بماند غایت ارتفاع آن کوکب باشد در آن عرض که خواهد.</w:t>
      </w:r>
    </w:p>
    <w:p>
      <w:pPr>
        <w:pStyle w:val="BookText"/>
      </w:pPr>
      <w:r>
        <w:rPr>
          <w:rFonts w:ascii="IRNazanin" w:hAnsi="IRNazanin" w:eastAsia="IRNazanin" w:cs="IRNazanin"/>
          <w:lang w:bidi="fa-IR"/>
          <w:color w:val="111111"/>
          <w:sz w:val="28"/>
          <w:szCs w:val="28"/>
          <w:rtl/>
        </w:rPr>
        <w:t xml:space="preserve">همانند:</w:t>
      </w:r>
    </w:p>
    <w:p>
      <w:pPr>
        <w:pStyle w:val="BookText"/>
      </w:pPr>
      <w:r>
        <w:rPr>
          <w:rFonts w:ascii="IRNazanin" w:hAnsi="IRNazanin" w:eastAsia="IRNazanin" w:cs="IRNazanin"/>
          <w:lang w:bidi="fa-IR"/>
          <w:color w:val="111111"/>
          <w:sz w:val="28"/>
          <w:szCs w:val="28"/>
          <w:rtl/>
        </w:rPr>
        <w:t xml:space="preserve">۱. تهران؛ مجلس؛ شماره نسخه: ۶۴۹۲/۹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سه شنبه ۲۴ ذیحجه ۸۴۴ق؛ مصحح، برخی از برگ ها افتادکی دارد که جای آنها کاغذ سـفید گذاشته اند؛ جلد: تیماج قهوه ای ضربی ترنج و سرترنج دار، ۱۲گ (۱۵۵ر - ۱۶۶پ) ،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۲۳/۵سم [ف : ۲۰ - ۷۲]</w:t>
      </w:r>
    </w:p>
    <w:p>
      <w:pPr>
        <w:pStyle w:val="BookText"/>
      </w:pPr>
      <w:r>
        <w:rPr>
          <w:rFonts w:ascii="IRNazanin" w:hAnsi="IRNazanin" w:eastAsia="IRNazanin" w:cs="IRNazanin"/>
          <w:lang w:bidi="fa-IR"/>
          <w:color w:val="111111"/>
          <w:sz w:val="28"/>
          <w:szCs w:val="28"/>
          <w:rtl/>
        </w:rPr>
        <w:t xml:space="preserve">۲. مشهد؛ رضوی؛ شماره نسخه: ۱۱۹۰۴</w:t>
      </w:r>
    </w:p>
    <w:p>
      <w:pPr>
        <w:pStyle w:val="BookText"/>
      </w:pPr>
      <w:r>
        <w:rPr>
          <w:rFonts w:ascii="IRNazanin" w:hAnsi="IRNazanin" w:eastAsia="IRNazanin" w:cs="IRNazanin"/>
          <w:lang w:bidi="fa-IR"/>
          <w:color w:val="111111"/>
          <w:sz w:val="28"/>
          <w:szCs w:val="28"/>
          <w:rtl/>
        </w:rPr>
        <w:t xml:space="preserve">آغاز: (پس از دو سطر خطبه) معلوم کند که این خود رسالتی است در معرفت اسطرلاب و در صنعت اسطرلاب این رسالت مجموعست چنان که هر کس این رسالت استاد خواند درین  علم بغایت کمال بود و این رسالت از املاء استادان جمع کرده باشد و بر چند باب نهاده شده تا خواننده و آمرزنده را سهل باشد (كذا)؛ انجام: برابر</w:t>
      </w:r>
    </w:p>
    <w:p>
      <w:pPr>
        <w:pStyle w:val="BookText"/>
      </w:pPr>
      <w:r>
        <w:rPr>
          <w:rFonts w:ascii="IRNazanin" w:hAnsi="IRNazanin" w:eastAsia="IRNazanin" w:cs="IRNazanin"/>
          <w:lang w:bidi="fa-IR"/>
          <w:color w:val="111111"/>
          <w:sz w:val="28"/>
          <w:szCs w:val="28"/>
          <w:rtl/>
        </w:rPr>
        <w:t xml:space="preserve">۶۸ باب؛ خط: نستعلیق، کا: مسیح نوری الوازی (كذا)، تا: رجـب ۱۲۲۱ق، جا: تهران واقف: محمد وجدانی، اسفند ۱۳۵۹؛ کاغذ: فستقی فرنگی ،جلد: تیماج  خرمایی، ۶۴گ، ۱۱ 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۱۷/۵سم [ف: ۱۸ - ۱۲]</w:t>
      </w:r>
    </w:p>
    <w:p>
      <w:pPr>
        <w:pStyle w:val="Heading3"/>
      </w:pPr>
      <w:bookmarkStart w:id="1518" w:name="_Toc1040"/>
      <w:r>
        <w:t>اسطرلاب = سی و هشت باب اسطرلاب / اسطرلاب/ فارسی</w:t>
      </w:r>
      <w:bookmarkEnd w:id="1518"/>
    </w:p>
    <w:p>
      <w:pPr>
        <w:pStyle w:val="BookText"/>
      </w:pPr>
      <w:r>
        <w:rPr>
          <w:rFonts w:ascii="Times New Roman" w:hAnsi="Times New Roman" w:eastAsia="Times New Roman" w:cs="Times New Roman"/>
          <w:lang w:val="en-US" w:bidi="en-US"/>
          <w:color w:val="111111"/>
          <w:sz w:val="28"/>
          <w:szCs w:val="28"/>
          <w:rtl/>
        </w:rPr>
        <w:t xml:space="preserve">corlab = sī va hašt bāb-e ostorlāb</w:t>
      </w:r>
    </w:p>
    <w:p>
      <w:pPr>
        <w:pStyle w:val="BookText"/>
      </w:pPr>
      <w:r>
        <w:rPr>
          <w:rFonts w:ascii="IRNazanin" w:hAnsi="IRNazanin" w:eastAsia="IRNazanin" w:cs="IRNazanin"/>
          <w:lang w:bidi="fa-IR"/>
          <w:color w:val="111111"/>
          <w:sz w:val="28"/>
          <w:szCs w:val="28"/>
          <w:rtl/>
        </w:rPr>
        <w:t xml:space="preserve">مختصری است در معرفت اجزاء اسطرلاب و کیفیت عمل بدان، در سی و هشت «باب»: ۱. دانستن آنچه به ذات اسطرلاب تعـلق دارد و غیر آن؛ ۲. تفسیر آنچه به ذات اسطرلاب تعلق دارد؛3. طريق ارتفاع گرفتن بر مقنطرات؛ ۴. بیرون آوردن طالع و غارب و وسط السماء و وتد الارض؛ ۵. بیرون آوردن ساعات روز؛6. شناختن ساعات مستوى؛ ۷. دانستن ساعات شب؛ ۸. شناخت اجزای ساعات شب و روز؛ ۹. شناختن نصف النهار به قیاس؛10.  دانستن قوس النهار؛ ۱۱. دانستن قوس الليل؛ ۱۲. شناختن طالع و غارب و وسط السماء و وتد الارض بهشب؛ ۱۳. دانستن دایره فلک؛ ۱۴. شناختن مطالع فلك مستقيم؛ ۱۵. دانستن برآمدن برج ها در هر اقلیمی؛ ۱۶. دانستن فروشدن برج ها در هر اقلیمی؛ ۱۷. شناختن میل بروج از خط استوا ؛۱۸. دانستن درج مطالع از درج راست؛ ۱۹. معرفت تحویل درج راست از درج مطالع؛ ۲۰. ارتفاع ستارگان ثابته؛ ۲۱. شناختن ارتفاع ستارگان ثابته در شهرها؛ ۲۲. شناختن روز ستارگان؛ ۲۳. دانستن درنگ ستارگان در زیرزمین؛ ۲۴. شناختن جزو بر آمدن و فروشدن ستارگان؛ ۲۵. شناختن مطرح شعاع ستارگان؛ ۲۶. دانستن میل آفتاب؛ ۲۷. شناختن عرض شهرها؛ ۲۸. دانستن شهرهای شمالی و جنوبی و شرقی و غربی؛ ۲۹. شناختن برآمدن فجر؛ ۳۰. دانستن وقت نماز پیشین؛ ۳۱. شناختن وقت نماز دیگر؛ ۳۲. دانستن وقت غروب شفق؛ ۳۳. دانستن دوازده خانه؛ ۳۴. شناختن طالع تحویل سال عالم؛ ۳۵. دانستن طالع سال گذشته؛ ۳۶. شناختن طالع تحویل سال که به روز بود یا به شب؛ ۳۷. دانستن ساعات تحویل سال؛ ۳۸. شناختن کژی و راستی اسطرلاب.</w:t>
      </w:r>
    </w:p>
    <w:p>
      <w:pPr>
        <w:pStyle w:val="BookText"/>
      </w:pPr>
      <w:r>
        <w:rPr>
          <w:rFonts w:ascii="IRNazanin" w:hAnsi="IRNazanin" w:eastAsia="IRNazanin" w:cs="IRNazanin"/>
          <w:lang w:bidi="fa-IR"/>
          <w:color w:val="111111"/>
          <w:sz w:val="28"/>
          <w:szCs w:val="28"/>
          <w:rtl/>
        </w:rPr>
        <w:t xml:space="preserve">[فهرستواره منزوی ۴: ۲۸۰۶ ]</w:t>
      </w:r>
    </w:p>
    <w:p>
      <w:pPr>
        <w:pStyle w:val="BookText"/>
      </w:pPr>
      <w:r>
        <w:rPr>
          <w:rFonts w:ascii="IRNazanin" w:hAnsi="IRNazanin" w:eastAsia="IRNazanin" w:cs="IRNazanin"/>
          <w:lang w:bidi="fa-IR"/>
          <w:color w:val="111111"/>
          <w:sz w:val="28"/>
          <w:szCs w:val="28"/>
          <w:rtl/>
        </w:rPr>
        <w:t xml:space="preserve">۱. مشهد؛ رضوی؛ شماره نسخه: ۱۲۱۴۵/۳</w:t>
      </w:r>
    </w:p>
    <w:p>
      <w:pPr>
        <w:pStyle w:val="BookText"/>
      </w:pPr>
      <w:r>
        <w:rPr>
          <w:rFonts w:ascii="IRNazanin" w:hAnsi="IRNazanin" w:eastAsia="IRNazanin" w:cs="IRNazanin"/>
          <w:lang w:bidi="fa-IR"/>
          <w:color w:val="111111"/>
          <w:sz w:val="28"/>
          <w:szCs w:val="28"/>
          <w:rtl/>
        </w:rPr>
        <w:t xml:space="preserve">آغاز: بسمله، بعد از ستایش خداوندی که آفریننده آسمان و زمین است و درود بر پیغمبر ما؛ انجام: و این بود آنچه ما در شناختن اسطرلاب و اعمال آن خواستیم گفتن</w:t>
      </w:r>
    </w:p>
    <w:p>
      <w:pPr>
        <w:pStyle w:val="BookText"/>
      </w:pPr>
      <w:r>
        <w:rPr>
          <w:rFonts w:ascii="IRNazanin" w:hAnsi="IRNazanin" w:eastAsia="IRNazanin" w:cs="IRNazanin"/>
          <w:lang w:bidi="fa-IR"/>
          <w:color w:val="111111"/>
          <w:sz w:val="28"/>
          <w:szCs w:val="28"/>
          <w:rtl/>
        </w:rPr>
        <w:t xml:space="preserve">خط: نستعلیق تحریری و  شکسته، کا: اسماعیل بن حاجی محمد کریم شیرازی، تا: ۱۲۱۶ق، جا: سجاس؛ اشکال نجومی به  شنگرف، به دنبال آن چهار صفحه است در بیان معرفت کسوف منقول از کتاب محمد مظفر بن محمد حکیم که چنین آغاز می شود: «در شناختن کسوف یعنی گرفتن آفتاب و آن از اجتماع ماه و آفتاب» انجام: «و كان الفراغ من تلك الرساله ضحوة يوم الاثنين السابع و العشرين من شهر ذى القعدة الحرام سنة ستة عشر و ماتى بعد الالف الهجرى»؛ جلد: تیماج،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10- 220]</w:t>
      </w:r>
    </w:p>
    <w:p>
      <w:pPr>
        <w:pStyle w:val="BookText"/>
      </w:pPr>
      <w:r>
        <w:rPr>
          <w:rFonts w:ascii="IRNazanin" w:hAnsi="IRNazanin" w:eastAsia="IRNazanin" w:cs="IRNazanin"/>
          <w:lang w:bidi="fa-IR"/>
          <w:color w:val="111111"/>
          <w:sz w:val="28"/>
          <w:szCs w:val="28"/>
          <w:rtl/>
        </w:rPr>
        <w:t xml:space="preserve">۲. تهران؛ مجلس؛ شماره نسخه: ۶۴۸۹/۱۸</w:t>
      </w:r>
    </w:p>
    <w:p>
      <w:pPr>
        <w:pStyle w:val="BookText"/>
      </w:pPr>
      <w:r>
        <w:rPr>
          <w:rFonts w:ascii="IRNazanin" w:hAnsi="IRNazanin" w:eastAsia="IRNazanin" w:cs="IRNazanin"/>
          <w:lang w:bidi="fa-IR"/>
          <w:color w:val="111111"/>
          <w:sz w:val="28"/>
          <w:szCs w:val="28"/>
          <w:rtl/>
        </w:rPr>
        <w:t xml:space="preserve">خط: نستعليق، كا: محمد مظفر بن محمد حکیم، بی تا؛ دارای جدول ها و اشکال هندسی ،مصحح، محشی در پزشکی؛ جلد:   تیماج مشکی ترمیمی، ۴گ (۱۷۸پ-۱۸۱ر)،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۲۰ - ۶۷]</w:t>
      </w:r>
    </w:p>
    <w:p>
      <w:pPr>
        <w:pStyle w:val="Heading3"/>
      </w:pPr>
      <w:bookmarkStart w:id="1519" w:name="_Toc1041"/>
      <w:r>
        <w:t>الاسطرلاب / اسطرلاب / عربی</w:t>
      </w:r>
      <w:bookmarkEnd w:id="1519"/>
    </w:p>
    <w:p>
      <w:pPr>
        <w:pStyle w:val="BookText"/>
      </w:pPr>
      <w:r>
        <w:rPr>
          <w:rFonts w:ascii="Times New Roman" w:hAnsi="Times New Roman" w:eastAsia="Times New Roman" w:cs="Times New Roman"/>
          <w:lang w:val="en-US" w:bidi="en-US"/>
          <w:color w:val="111111"/>
          <w:sz w:val="28"/>
          <w:szCs w:val="28"/>
          <w:rtl/>
        </w:rPr>
        <w:t xml:space="preserve">al-usṭurlāb</w:t>
      </w:r>
    </w:p>
    <w:p>
      <w:pPr>
        <w:pStyle w:val="BookText"/>
      </w:pPr>
      <w:r>
        <w:rPr>
          <w:rFonts w:ascii="IRNazanin" w:hAnsi="IRNazanin" w:eastAsia="IRNazanin" w:cs="IRNazanin"/>
          <w:lang w:bidi="fa-IR"/>
          <w:color w:val="111111"/>
          <w:sz w:val="28"/>
          <w:szCs w:val="28"/>
          <w:rtl/>
        </w:rPr>
        <w:t xml:space="preserve">غیر همانند:</w:t>
      </w:r>
    </w:p>
    <w:p>
      <w:pPr>
        <w:pStyle w:val="BookText"/>
      </w:pPr>
      <w:r>
        <w:rPr>
          <w:rFonts w:ascii="IRNazanin" w:hAnsi="IRNazanin" w:eastAsia="IRNazanin" w:cs="IRNazanin"/>
          <w:lang w:bidi="fa-IR"/>
          <w:color w:val="111111"/>
          <w:sz w:val="28"/>
          <w:szCs w:val="28"/>
          <w:rtl/>
        </w:rPr>
        <w:t xml:space="preserve">۱. تهران؛ خان ملک ساسانی؛ شماره نسخه: ۳۱/۱</w:t>
      </w:r>
    </w:p>
    <w:p>
      <w:pPr>
        <w:pStyle w:val="BookText"/>
      </w:pPr>
      <w:r>
        <w:rPr>
          <w:rFonts w:ascii="Amiri" w:hAnsi="Amiri" w:eastAsia="Amiri" w:cs="Amiri"/>
          <w:lang w:bidi="ar-SA"/>
          <w:color w:val="111111"/>
          <w:sz w:val="28"/>
          <w:szCs w:val="28"/>
          <w:rtl/>
        </w:rPr>
        <w:t xml:space="preserve">كتاب في عمل مسطح يقوم مقام الاسطرلاب [في] جميع العروض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البلدان؛ خط: نسخ، بی کا، تا: ۶۰۷ق [ نشریه: ۵ - ۱۱۴]</w:t>
      </w:r>
    </w:p>
    <w:p>
      <w:pPr>
        <w:pStyle w:val="BookText"/>
      </w:pPr>
      <w:r>
        <w:rPr>
          <w:rFonts w:ascii="IRNazanin" w:hAnsi="IRNazanin" w:eastAsia="IRNazanin" w:cs="IRNazanin"/>
          <w:lang w:bidi="fa-IR"/>
          <w:color w:val="111111"/>
          <w:sz w:val="28"/>
          <w:szCs w:val="28"/>
          <w:rtl/>
        </w:rPr>
        <w:t xml:space="preserve">۲. تهران دائرة المعارف؛ شماره نسخه: ۱۷۵۹-عکسی</w:t>
      </w:r>
    </w:p>
    <w:p>
      <w:pPr>
        <w:pStyle w:val="BookText"/>
      </w:pPr>
      <w:r>
        <w:rPr>
          <w:rFonts w:ascii="IRNazanin" w:hAnsi="IRNazanin" w:eastAsia="IRNazanin" w:cs="IRNazanin"/>
          <w:lang w:bidi="fa-IR"/>
          <w:color w:val="111111"/>
          <w:sz w:val="28"/>
          <w:szCs w:val="28"/>
          <w:rtl/>
        </w:rPr>
        <w:t xml:space="preserve">آغاز: الليل و النهار فى اقاليم الارض ... (۱۵۴ سطر بعد) البـاب (النوع) الثانى فى تبيين علة هيئة الاسطرلاب و ان جميع ما يتشکل في كرة الفلك من الدواير فانه يتشكل فى سطح الاسطرلاب  دایر و خطوط مستقيمة فى سطح الاسطرلاب خطوط مستقيمة. برهان ذلك. انه اذا انبسط نقطه ب؛ انجام: ثم يكتب على كل واحداً  من المقنطرات مبلغ تعدها من الافق في الجهتين جميعاً.</w:t>
      </w:r>
    </w:p>
    <w:p>
      <w:pPr>
        <w:pStyle w:val="BookText"/>
      </w:pPr>
      <w:r>
        <w:rPr>
          <w:rFonts w:ascii="IRNazanin" w:hAnsi="IRNazanin" w:eastAsia="IRNazanin" w:cs="IRNazanin"/>
          <w:lang w:bidi="fa-IR"/>
          <w:color w:val="111111"/>
          <w:sz w:val="28"/>
          <w:szCs w:val="28"/>
          <w:rtl/>
        </w:rPr>
        <w:t xml:space="preserve">با سربندهای «نوع» و یکجا «باب» است: الباب الثاني في تبيين علة هيئة الاسطرلاب، النوع الثالث في استخراج مقادير الدوائر التی يتشكل في سطح الاسطرلاب و مواضع مركزها بالحساب (چهارم به دست نیامد)؛ النوع الخامس في صفة تخطيط الاسطرلاب الشمالية، النوع السادس في صفة تخطيط الاسطرلاب الجنوبية (و اینجا افتاده)؛ خط: نسخ  تحریری، بی کا، تا: قرن ۸؛ افتادگی: آغاز و انجام؛بی نقطه   بی تاریخ ،دایره ها بسیار دقیق و زیبا، میان (نوع) سوم و پنجم ۳۴ صفحه جدول های زیج گونه، مقابله شـده، مصحح، مجدول؛ وقف نامه برای گروه شیخیان کرمان نوشته3 ربیع الثانی۱۲۸۹ق؛ ۸۶ ص، ۲۱ سطر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۲۶/۵)،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۳۰سم [ف: ۱ - ۲۳]</w:t>
      </w:r>
    </w:p>
    <w:p>
      <w:pPr>
        <w:pStyle w:val="BookText"/>
      </w:pPr>
      <w:r>
        <w:rPr>
          <w:rFonts w:ascii="IRNazanin" w:hAnsi="IRNazanin" w:eastAsia="IRNazanin" w:cs="IRNazanin"/>
          <w:lang w:bidi="fa-IR"/>
          <w:color w:val="111111"/>
          <w:sz w:val="28"/>
          <w:szCs w:val="28"/>
          <w:rtl/>
        </w:rPr>
        <w:t xml:space="preserve">۳. مشهد؛ رضوی؛ شماره نسخه: ۱۳۱۸۴</w:t>
      </w:r>
    </w:p>
    <w:p>
      <w:pPr>
        <w:pStyle w:val="BookText"/>
      </w:pPr>
      <w:r>
        <w:rPr>
          <w:rFonts w:ascii="IRNazanin" w:hAnsi="IRNazanin" w:eastAsia="IRNazanin" w:cs="IRNazanin"/>
          <w:lang w:bidi="fa-IR"/>
          <w:color w:val="111111"/>
          <w:sz w:val="28"/>
          <w:szCs w:val="28"/>
          <w:rtl/>
        </w:rPr>
        <w:t xml:space="preserve">آغاز: پس از بسمله: و صلی الله على سيدنا محمد وآله  و  سلم الحمد لوليه والصلوة والسلام على نبيه و بعد فهذا مختصر فی الاسطرلاب مشتمل على مقدمة و عدة أبواب؛ انجام: و إن  لم بينهما شيء فلا سعة لمشرقه و الله سبحانه و تعالى أعلم.</w:t>
      </w:r>
    </w:p>
    <w:p>
      <w:pPr>
        <w:pStyle w:val="BookText"/>
      </w:pPr>
      <w:r>
        <w:rPr>
          <w:rFonts w:ascii="IRNazanin" w:hAnsi="IRNazanin" w:eastAsia="IRNazanin" w:cs="IRNazanin"/>
          <w:lang w:bidi="fa-IR"/>
          <w:color w:val="111111"/>
          <w:sz w:val="28"/>
          <w:szCs w:val="28"/>
          <w:rtl/>
        </w:rPr>
        <w:t xml:space="preserve">رساله مرتب است بر «مقدمه» و پانزده «باب»: المقدمة فى ألقاب الآلات و المرسومات، باب ١. معرفة الأرتفاع، ۲. معرفة درجة الكوكب من غايت الأرتفاع و بالعكس ... ۴. معرفة قوسى النهار و الليل و نصف قوسيهما وفصل الدائر و الساعات المستوية و اجرا الساعات المعوجة ، ۵. معرفةساعات الصبح و الشفق، ۶. معرفة میل الشمس و بعد الكوكب عن معدل النهار، ٧. معرفة غاية الأرتـفاع من درجة الكوكب و بالعكس، ۸. معرفة عرض البلد؛ ٩ .معـرفة طالع البروج، ۱۰. معرفة تسوية البيوت، ۱۱. معرفة طالع في بلد،12. معرفة مطالع السنة الآتية من مطالع السنة الماضية، ۱۳. معرفة الـظل من الإرتفاع و بالعکس ،14. معرفة ارتفاع قطب فلك البروج،15. معرفة السمت من الإرتفاع؛ خط: نسخ، بی کا، تا: قرن ۹؛ در پشت صفحه آخر چند سطری در مصطلحات نجومی و معرفة تسـویة البيوت، مجدول؛ کاغذ: آهاری  نخودی ،جلد: مقوا گوشه هـا و عطف تيماج قهوه ای، ۵گ ۲۵  سطر، اندازه: ۱۴/۳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۲۱/۸سم [18- 9]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تهران؛ دائرة المعارف؛ شماره نسخه: ۱۶۳/۲</w:t>
      </w:r>
    </w:p>
    <w:p>
      <w:pPr>
        <w:pStyle w:val="BookText"/>
      </w:pPr>
      <w:r>
        <w:rPr>
          <w:rFonts w:ascii="IRNazanin" w:hAnsi="IRNazanin" w:eastAsia="IRNazanin" w:cs="IRNazanin"/>
          <w:lang w:bidi="fa-IR"/>
          <w:color w:val="111111"/>
          <w:sz w:val="28"/>
          <w:szCs w:val="28"/>
          <w:rtl/>
        </w:rPr>
        <w:t xml:space="preserve">آغاز: او لكوكب لوقت القياس. وجه ثان: ضع الخيط؛انجام: فی عيد النحر اذا مضى من النهار خمس ساعة و في عيد الفطر اذا مضى من النهار اربع ساعة و الله اعلم تمت</w:t>
      </w:r>
    </w:p>
    <w:p>
      <w:pPr>
        <w:pStyle w:val="BookText"/>
      </w:pPr>
      <w:r>
        <w:rPr>
          <w:rFonts w:ascii="IRNazanin" w:hAnsi="IRNazanin" w:eastAsia="IRNazanin" w:cs="IRNazanin"/>
          <w:lang w:bidi="fa-IR"/>
          <w:color w:val="111111"/>
          <w:sz w:val="28"/>
          <w:szCs w:val="28"/>
          <w:rtl/>
        </w:rPr>
        <w:t xml:space="preserve">در ۴۶ «باب» نسخه در دست از باب ۳۴ تا پایان را دارد: ۳۴. معرفة اخذ الارتفاع للكواكب؛ ۳۵. معرفة ارتفاع الوقت من فصل الدائر، ۳۶. معرفة الدرجة التى يطلع معها الكوكب و يغرب، ٣٧. معرفة وقت طلوع الكوكب و وقت غروبه، ۳۸. معرفة الماضى من الليل و الباقى منه .۳۹. معرفة الازمان ما بين الكواكب في الطلوع و الغروب، ۴۰. معرفة السمت من فصل الدائر؛ ۴۱. معرفة السمت من الارتفاع؛ ۴۲. معرفة ارتفاع الوقت و سمته، ... ۴۴. معرفة استخراج الجهات الاربع من السمت؛ ۴۵. معرفة نصب القبلة، ۴۶. معرفة اول وقت العصر؛ خط: نسخ خوش،بی کا، تا: ۱۶ جمادی الثانی ۹۱۱ق؛ افتادگی: آغاز ؛ ۱۳گ (۱۸ر- ۳۰پ) [ف: ۱ - ۱۸]</w:t>
      </w:r>
    </w:p>
    <w:p>
      <w:pPr>
        <w:pStyle w:val="BookText"/>
      </w:pPr>
      <w:r>
        <w:rPr>
          <w:rFonts w:ascii="IRNazanin" w:hAnsi="IRNazanin" w:eastAsia="IRNazanin" w:cs="IRNazanin"/>
          <w:lang w:bidi="fa-IR"/>
          <w:color w:val="111111"/>
          <w:sz w:val="28"/>
          <w:szCs w:val="28"/>
          <w:rtl/>
        </w:rPr>
        <w:t xml:space="preserve">5.مشهد؛ رضوی؛ شماره نسخه: ۵۵۹۵/۲</w:t>
      </w:r>
    </w:p>
    <w:p>
      <w:pPr>
        <w:pStyle w:val="BookText"/>
      </w:pPr>
      <w:r>
        <w:rPr>
          <w:rFonts w:ascii="IRNazanin" w:hAnsi="IRNazanin" w:eastAsia="IRNazanin" w:cs="IRNazanin"/>
          <w:lang w:bidi="fa-IR"/>
          <w:color w:val="111111"/>
          <w:sz w:val="28"/>
          <w:szCs w:val="28"/>
          <w:rtl/>
        </w:rPr>
        <w:t xml:space="preserve">آغاز العمل بالاسطرلاب و  عجایبه، نريد ان نبين لك كيف تستعين على ما فى الاسطرلاب ببعض ما اشرنا عليه من اختلاف الليل والنهار؛ انجام: فان الاعمال فيه كالعمل بذات الصفايح سواء و بالله العون والتوفيق</w:t>
      </w:r>
    </w:p>
    <w:p>
      <w:pPr>
        <w:pStyle w:val="BookText"/>
      </w:pPr>
      <w:r>
        <w:rPr>
          <w:rFonts w:ascii="IRNazanin" w:hAnsi="IRNazanin" w:eastAsia="IRNazanin" w:cs="IRNazanin"/>
          <w:lang w:bidi="fa-IR"/>
          <w:color w:val="111111"/>
          <w:sz w:val="28"/>
          <w:szCs w:val="28"/>
          <w:rtl/>
        </w:rPr>
        <w:t xml:space="preserve">فصلی است از کتابی ؛خط: نسخ، کا: حسن بن عبدالله، تا: قرن ۱۱؛  کاغذ: حنایی  مجدول، جلد: پارچه ای ۳ ص (۱۴-۱۶)، اندازه: 19</w:t>
      </w:r>
      <w:r>
        <w:rPr>
          <w:rFonts w:ascii="Times New Roman" w:hAnsi="Times New Roman" w:eastAsia="Times New Roman" w:cs="Times New Roman"/>
          <w:lang w:val="en-US" w:bidi="en-US"/>
          <w:color w:val="111111"/>
          <w:sz w:val="28"/>
          <w:szCs w:val="28"/>
          <w:rtl/>
        </w:rPr>
        <w:t xml:space="preserve">×30/7 </w:t>
      </w:r>
      <w:r>
        <w:rPr>
          <w:rFonts w:ascii="IRNazanin" w:hAnsi="IRNazanin" w:eastAsia="IRNazanin" w:cs="IRNazanin"/>
          <w:lang w:bidi="fa-IR"/>
          <w:color w:val="111111"/>
          <w:sz w:val="28"/>
          <w:szCs w:val="28"/>
          <w:rtl/>
        </w:rPr>
        <w:t xml:space="preserve">سم [ف: ۸ - ۳۰۳]</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مشهد؛ رضوی؛ شماره نسخه: ۱۹۳۲۰</w:t>
      </w:r>
    </w:p>
    <w:p>
      <w:pPr>
        <w:pStyle w:val="BookText"/>
      </w:pPr>
      <w:r>
        <w:rPr>
          <w:rFonts w:ascii="Amiri" w:hAnsi="Amiri" w:eastAsia="Amiri" w:cs="Amiri"/>
          <w:lang w:bidi="ar-SA"/>
          <w:color w:val="111111"/>
          <w:sz w:val="28"/>
          <w:szCs w:val="28"/>
          <w:rtl/>
        </w:rPr>
        <w:t xml:space="preserve">آغاز: بسمله. الحمدلله ... الباب الاول فى قسمة الاسطرلاب؛</w:t>
      </w:r>
    </w:p>
    <w:p>
      <w:pPr>
        <w:pStyle w:val="BookText"/>
      </w:pPr>
      <w:r>
        <w:rPr>
          <w:rFonts w:ascii="IRNazanin" w:hAnsi="IRNazanin" w:eastAsia="IRNazanin" w:cs="IRNazanin"/>
          <w:lang w:bidi="fa-IR"/>
          <w:color w:val="111111"/>
          <w:sz w:val="28"/>
          <w:szCs w:val="28"/>
          <w:rtl/>
        </w:rPr>
        <w:t xml:space="preserve">انجام: و الطالع و ارتفاع نصف النهار وطالع البروج و خط</w:t>
      </w:r>
    </w:p>
    <w:p>
      <w:pPr>
        <w:pStyle w:val="BookText"/>
      </w:pPr>
      <w:r>
        <w:rPr>
          <w:rFonts w:ascii="IRNazanin" w:hAnsi="IRNazanin" w:eastAsia="IRNazanin" w:cs="IRNazanin"/>
          <w:lang w:bidi="fa-IR"/>
          <w:color w:val="111111"/>
          <w:sz w:val="28"/>
          <w:szCs w:val="28"/>
          <w:rtl/>
        </w:rPr>
        <w:t xml:space="preserve">خط: نسخ خوش  خفی، کا: تربتی، شاه حسین، تا: قرن ۱۱، ضمیمه نسخه ش  ۵۵۵۸ ،مطالب کتاب در حاشیه می باشد [رایانه]</w:t>
      </w:r>
    </w:p>
    <w:p>
      <w:pPr>
        <w:pStyle w:val="BookText"/>
      </w:pPr>
      <w:r>
        <w:rPr>
          <w:rFonts w:ascii="IRNazanin" w:hAnsi="IRNazanin" w:eastAsia="IRNazanin" w:cs="IRNazanin"/>
          <w:lang w:bidi="fa-IR"/>
          <w:color w:val="111111"/>
          <w:sz w:val="28"/>
          <w:szCs w:val="28"/>
          <w:rtl/>
        </w:rPr>
        <w:t xml:space="preserve">۷. تهران؛ مجلس؛ شماره نسخه: ۳۹۲۹/۶</w:t>
      </w:r>
    </w:p>
    <w:p>
      <w:pPr>
        <w:pStyle w:val="BookText"/>
      </w:pPr>
      <w:r>
        <w:rPr>
          <w:rFonts w:ascii="IRNazanin" w:hAnsi="IRNazanin" w:eastAsia="IRNazanin" w:cs="IRNazanin"/>
          <w:lang w:bidi="fa-IR"/>
          <w:color w:val="111111"/>
          <w:sz w:val="28"/>
          <w:szCs w:val="28"/>
          <w:rtl/>
        </w:rPr>
        <w:t xml:space="preserve">صورت یک اسطرلاب است با عضاده و چرخ و تمام وسائل که به قلم تازه نقش کرده اند و در کنار هر بخشی شرح و دستور کار آن را نوشته اند. نقاشی و نوشته ها ظاهراً از سید علی اکبر بن سید ابوالقاسم است که در چند جای این دفتر خط و یادداشت او دیده می شود و در یکی از این یادداشت ها می گوید علم هیئت و نجوم را از اجداد خویش به ارث برده است؛ خط: نسخ، بی کا، تا: قرن ۱۳؛ کاغذ: فرنگی ،سفید ،جلد: تیماج مشکی، ۱۸۲ص، قطع: خشتی [ف ۱۰ - ۲۰۱۶]</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تهران؛ دانشگاه؛ شماره نسخه: ۱۵۴۲/۱</w:t>
      </w:r>
    </w:p>
    <w:p>
      <w:pPr>
        <w:pStyle w:val="BookText"/>
      </w:pPr>
      <w:r>
        <w:rPr>
          <w:rFonts w:ascii="IRNazanin" w:hAnsi="IRNazanin" w:eastAsia="IRNazanin" w:cs="IRNazanin"/>
          <w:lang w:bidi="fa-IR"/>
          <w:color w:val="111111"/>
          <w:sz w:val="28"/>
          <w:szCs w:val="28"/>
          <w:rtl/>
        </w:rPr>
        <w:t xml:space="preserve">آغاز: بسمله رب تمم بالخير - فها انا اشرع في المقصود بعون الملك المعبود فنقول الاسطرلاب علم يعرف به احکام حرکات الاجرام السماوية؛ انجام: فتأمل حق التأمل و امعن النظر و الله اعلم. در بیست «باب»؛ خط: نسخ، بی کا، تا: ۱۲۱۷ق؛ کاغذ ،فرنگی، جلد: مقوا عطف تیماج ،مشکی، ۱۹گ (۱ر-۱۹ر)، ۱۵ سطر (8</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۱۵/۵سم [ف: ۸ - ۱۶۷]</w:t>
      </w:r>
    </w:p>
    <w:p>
      <w:pPr>
        <w:pStyle w:val="BookText"/>
      </w:pPr>
      <w:r>
        <w:rPr>
          <w:rFonts w:ascii="IRNazanin" w:hAnsi="IRNazanin" w:eastAsia="IRNazanin" w:cs="IRNazanin"/>
          <w:lang w:bidi="fa-IR"/>
          <w:color w:val="111111"/>
          <w:sz w:val="28"/>
          <w:szCs w:val="28"/>
          <w:rtl/>
        </w:rPr>
        <w:t xml:space="preserve">۹. تهران؛ مجلس؛ شماره نسخه: ۶۹۱۴/۵</w:t>
      </w:r>
    </w:p>
    <w:p>
      <w:pPr>
        <w:pStyle w:val="BookText"/>
      </w:pPr>
      <w:r>
        <w:rPr>
          <w:rFonts w:ascii="Amiri" w:hAnsi="Amiri" w:eastAsia="Amiri" w:cs="Amiri"/>
          <w:lang w:bidi="ar-SA"/>
          <w:color w:val="111111"/>
          <w:sz w:val="28"/>
          <w:szCs w:val="28"/>
          <w:rtl/>
        </w:rPr>
        <w:t xml:space="preserve">آغاز: كاملا على حده مانعا على وجهه واثبت فهرست الابواب فى اوله ليسهل على الطالب وجدان ما يريده فى طيه؛ انجام: و الى الله ارغب ان يحولنا عن هذا القنا المحشو بالفنا الى حضيرة القدس و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299" w:name="pg20365_260416"/>
    <w:bookmarkEnd w:id="299"/>
    <w:p>
      <w:pPr>
        <w:pStyle w:val="BookText"/>
      </w:pPr>
      <w:r>
        <w:rPr>
          <w:rFonts w:ascii="Amiri" w:hAnsi="Amiri" w:eastAsia="Amiri" w:cs="Amiri"/>
          <w:lang w:bidi="ar-SA"/>
          <w:color w:val="111111"/>
          <w:sz w:val="28"/>
          <w:szCs w:val="28"/>
          <w:rtl/>
        </w:rPr>
        <w:t xml:space="preserve">مقر الانس في ملكوت السماء بحيث لا يتعذر مطلوب ولايـفقد محبوب</w:t>
      </w:r>
    </w:p>
    <w:p>
      <w:pPr>
        <w:pStyle w:val="BookText"/>
      </w:pPr>
      <w:r>
        <w:rPr>
          <w:rFonts w:ascii="IRNazanin" w:hAnsi="IRNazanin" w:eastAsia="IRNazanin" w:cs="IRNazanin"/>
          <w:lang w:bidi="fa-IR"/>
          <w:color w:val="111111"/>
          <w:sz w:val="28"/>
          <w:szCs w:val="28"/>
          <w:rtl/>
        </w:rPr>
        <w:t xml:space="preserve">در ۵۰ «باب» تنظیم شده: ۱. معرفة آلات الاسطرلاب و الخطوط ... ۵۰. تحديد الاشياء المستعملة فى الابواب المتقدمة؛</w:t>
      </w:r>
    </w:p>
    <w:p>
      <w:pPr>
        <w:pStyle w:val="BookText"/>
      </w:pPr>
      <w:r>
        <w:rPr>
          <w:rFonts w:ascii="IRNazanin" w:hAnsi="IRNazanin" w:eastAsia="IRNazanin" w:cs="IRNazanin"/>
          <w:lang w:bidi="fa-IR"/>
          <w:color w:val="111111"/>
          <w:sz w:val="28"/>
          <w:szCs w:val="28"/>
          <w:rtl/>
        </w:rPr>
        <w:t xml:space="preserve">خط: نسخ، كا: ابراهيم بن حاج ابوالفتح  زنجانی، تا: ۱۳۰۳ق،جا: تهران؛ افتادگی: آغاز؛ جلد: تیماج قهوه ای بدون مقوا، ۵۵گ (۶۱ پ -۱۱۵ پ)، ۱۸ سطر، اندازه: ۱۷/۵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 ۲۰ - 341]</w:t>
      </w:r>
    </w:p>
    <w:p>
      <w:pPr>
        <w:pStyle w:val="BookText"/>
      </w:pPr>
      <w:r>
        <w:rPr>
          <w:rFonts w:ascii="IRNazanin" w:hAnsi="IRNazanin" w:eastAsia="IRNazanin" w:cs="IRNazanin"/>
          <w:lang w:bidi="fa-IR"/>
          <w:color w:val="111111"/>
          <w:sz w:val="28"/>
          <w:szCs w:val="28"/>
          <w:rtl/>
        </w:rPr>
        <w:t xml:space="preserve">۱۰. تهران؛ مجلس؛ شماره نسخه: ۶۷۷۱/۱</w:t>
      </w:r>
    </w:p>
    <w:p>
      <w:pPr>
        <w:pStyle w:val="BookText"/>
      </w:pPr>
      <w:r>
        <w:rPr>
          <w:rFonts w:ascii="IRNazanin" w:hAnsi="IRNazanin" w:eastAsia="IRNazanin" w:cs="IRNazanin"/>
          <w:lang w:bidi="fa-IR"/>
          <w:color w:val="111111"/>
          <w:sz w:val="28"/>
          <w:szCs w:val="28"/>
          <w:rtl/>
        </w:rPr>
        <w:t xml:space="preserve">خط: نستعليق ،كا: عبد الحسين بن عباس تبریزی، تا: ۱۵ جمادی الثانى ۱۳۲۳ق؛ مهر: کتابخانه شخصی «محمد قاری در تبریز»؛ ۱۰گ (۱پ-۱۰پ)، ۱۷ سطر،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۲۰  - 247]</w:t>
      </w:r>
    </w:p>
    <w:p>
      <w:pPr>
        <w:pStyle w:val="BookText"/>
      </w:pPr>
      <w:r>
        <w:rPr>
          <w:rFonts w:ascii="IRNazanin" w:hAnsi="IRNazanin" w:eastAsia="IRNazanin" w:cs="IRNazanin"/>
          <w:lang w:bidi="fa-IR"/>
          <w:color w:val="111111"/>
          <w:sz w:val="28"/>
          <w:szCs w:val="28"/>
          <w:rtl/>
        </w:rPr>
        <w:t xml:space="preserve">۱۱. قم؛ مرعشی؛ شماره نسخه: ۸۰۹۰/۱</w:t>
      </w:r>
    </w:p>
    <w:p>
      <w:pPr>
        <w:pStyle w:val="BookText"/>
      </w:pPr>
      <w:r>
        <w:rPr>
          <w:rFonts w:ascii="IRNazanin" w:hAnsi="IRNazanin" w:eastAsia="IRNazanin" w:cs="IRNazanin"/>
          <w:lang w:bidi="fa-IR"/>
          <w:color w:val="111111"/>
          <w:sz w:val="28"/>
          <w:szCs w:val="28"/>
          <w:rtl/>
        </w:rPr>
        <w:t xml:space="preserve">خط: نسخ، کا: حافظ عثمان (بن حاج عمر) آمدی، بی تا؛ جـلد: مقوایی عطف تیماج قهوه ای، ۷گ( 2پ-۸پ) [ف: ۲۱ - ۹۱]</w:t>
      </w:r>
    </w:p>
    <w:p>
      <w:pPr>
        <w:pStyle w:val="BookText"/>
      </w:pPr>
      <w:r>
        <w:rPr>
          <w:rFonts w:ascii="IRNazanin" w:hAnsi="IRNazanin" w:eastAsia="IRNazanin" w:cs="IRNazanin"/>
          <w:lang w:bidi="fa-IR"/>
          <w:color w:val="111111"/>
          <w:sz w:val="28"/>
          <w:szCs w:val="28"/>
          <w:rtl/>
        </w:rPr>
        <w:t xml:space="preserve">۱۲. یزد؛ وزیری؛ شماره نسخه: ۳۷۵۳/۹</w:t>
      </w:r>
    </w:p>
    <w:p>
      <w:pPr>
        <w:pStyle w:val="BookText"/>
      </w:pPr>
      <w:r>
        <w:rPr>
          <w:rFonts w:ascii="Amiri" w:hAnsi="Amiri" w:eastAsia="Amiri" w:cs="Amiri"/>
          <w:lang w:bidi="ar-SA"/>
          <w:color w:val="111111"/>
          <w:sz w:val="28"/>
          <w:szCs w:val="28"/>
          <w:rtl/>
        </w:rPr>
        <w:t xml:space="preserve">آغاز: بسمله، الانفس الصافية ذوات نزاع و استباق الى تصـور الموجودات كنفس ابي سهل التي صفت من دون الطينة</w:t>
      </w:r>
    </w:p>
    <w:p>
      <w:pPr>
        <w:pStyle w:val="BookText"/>
      </w:pPr>
      <w:r>
        <w:rPr>
          <w:rFonts w:ascii="IRNazanin" w:hAnsi="IRNazanin" w:eastAsia="IRNazanin" w:cs="IRNazanin"/>
          <w:lang w:bidi="fa-IR"/>
          <w:color w:val="111111"/>
          <w:sz w:val="28"/>
          <w:szCs w:val="28"/>
          <w:rtl/>
        </w:rPr>
        <w:t xml:space="preserve">خط: نسخ، بی کا، بی تا؛ کاغذ ،فرنگی، جلد: مقوایی لولادار، ۴ص (۸۲-۷۹) ، ۴۱ 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۵ - 1783]</w:t>
      </w:r>
    </w:p>
    <w:p>
      <w:pPr>
        <w:pStyle w:val="BookText"/>
      </w:pPr>
      <w:r>
        <w:rPr>
          <w:rFonts w:ascii="IRNazanin" w:hAnsi="IRNazanin" w:eastAsia="IRNazanin" w:cs="IRNazanin"/>
          <w:lang w:bidi="fa-IR"/>
          <w:color w:val="111111"/>
          <w:sz w:val="28"/>
          <w:szCs w:val="28"/>
          <w:rtl/>
        </w:rPr>
        <w:t xml:space="preserve">۱۳. تهران؛ مروی؛ شماره نسخه: ۸۷۷/۲۰</w:t>
      </w:r>
    </w:p>
    <w:p>
      <w:pPr>
        <w:pStyle w:val="BookText"/>
      </w:pPr>
      <w:r>
        <w:rPr>
          <w:rFonts w:ascii="IRNazanin" w:hAnsi="IRNazanin" w:eastAsia="IRNazanin" w:cs="IRNazanin"/>
          <w:lang w:bidi="fa-IR"/>
          <w:color w:val="111111"/>
          <w:sz w:val="28"/>
          <w:szCs w:val="28"/>
          <w:rtl/>
        </w:rPr>
        <w:t xml:space="preserve">بی کا، بی تا، 3ص، قطع: رقعی [ف: ۳۲۳]</w:t>
      </w:r>
    </w:p>
    <w:p>
      <w:pPr>
        <w:pStyle w:val="BookText"/>
      </w:pPr>
      <w:r>
        <w:rPr>
          <w:rFonts w:ascii="IRNazanin" w:hAnsi="IRNazanin" w:eastAsia="IRNazanin" w:cs="IRNazanin"/>
          <w:lang w:bidi="fa-IR"/>
          <w:color w:val="111111"/>
          <w:sz w:val="28"/>
          <w:szCs w:val="28"/>
          <w:rtl/>
        </w:rPr>
        <w:t xml:space="preserve">۱۴. تهران؛ مجلس؛ شماره نسخه: ۶۳۶۲/۷</w:t>
      </w:r>
    </w:p>
    <w:p>
      <w:pPr>
        <w:pStyle w:val="BookText"/>
      </w:pPr>
      <w:r>
        <w:rPr>
          <w:rFonts w:ascii="IRNazanin" w:hAnsi="IRNazanin" w:eastAsia="IRNazanin" w:cs="IRNazanin"/>
          <w:lang w:bidi="fa-IR"/>
          <w:color w:val="111111"/>
          <w:sz w:val="28"/>
          <w:szCs w:val="28"/>
          <w:rtl/>
        </w:rPr>
        <w:t xml:space="preserve">به شيوه كفاية الوقت وفائی  است. باب ۲. معرفة جيب القوس، بـاب3 . معرفة الميل الاول و غاية الارتفاع لكل يوم فرض، باب20. معرفة العمل بالكواكب - اقم بعد الكواكب مقام ميل الشمس و استخرج منه سعة مشرقه و غایته. آنچه موجود است دنبال باب اول است تا اندکی از باب ۲۰؛ خط: نسخ، بی کا، بی تا؛ افتادگی: آغاز و انجام؛ با خط کهن است؛ جلد: تیماج  قرمز، ۱۴ص (45- 58)  ، قطع: رقعی،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 ۱۹ - ۴۱۵]</w:t>
      </w:r>
    </w:p>
    <w:p>
      <w:pPr>
        <w:pStyle w:val="BookText"/>
      </w:pPr>
      <w:r>
        <w:rPr>
          <w:rFonts w:ascii="IRNazanin" w:hAnsi="IRNazanin" w:eastAsia="IRNazanin" w:cs="IRNazanin"/>
          <w:lang w:bidi="fa-IR"/>
          <w:color w:val="111111"/>
          <w:sz w:val="28"/>
          <w:szCs w:val="28"/>
          <w:rtl/>
        </w:rPr>
        <w:t xml:space="preserve">۱۵. تهران؛ مجلس؛ شماره نسخه: ۶۳۶۲/۸</w:t>
      </w:r>
    </w:p>
    <w:p>
      <w:pPr>
        <w:pStyle w:val="BookText"/>
      </w:pPr>
      <w:r>
        <w:rPr>
          <w:rFonts w:ascii="IRNazanin" w:hAnsi="IRNazanin" w:eastAsia="IRNazanin" w:cs="IRNazanin"/>
          <w:lang w:bidi="fa-IR"/>
          <w:color w:val="111111"/>
          <w:sz w:val="28"/>
          <w:szCs w:val="28"/>
          <w:rtl/>
        </w:rPr>
        <w:t xml:space="preserve">از دنبال باب اول است تا مقداری از باب 3: باب ۲. رسم المنحرفات ،باب3:رسم المماثلات؛ خط: نسخ، بی کا، بی  تا؛افتادگی: آغاز و انجام؛ در کنار ص ۶۴ نوشته که نسخه از خط مؤلف رونویس شده است ؛جلد: تیماج  قرمز، ۱۳ ص (59- 71)؛ قطع: رقعی،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۱۹ - ۴۱۵]</w:t>
      </w:r>
    </w:p>
    <w:p>
      <w:pPr>
        <w:pStyle w:val="BookText"/>
      </w:pPr>
      <w:r>
        <w:rPr>
          <w:rFonts w:ascii="IRNazanin" w:hAnsi="IRNazanin" w:eastAsia="IRNazanin" w:cs="IRNazanin"/>
          <w:lang w:bidi="fa-IR"/>
          <w:color w:val="111111"/>
          <w:sz w:val="28"/>
          <w:szCs w:val="28"/>
          <w:rtl/>
        </w:rPr>
        <w:t xml:space="preserve">۱۶. تهران؛ ملی؛ شماره نسخه: ۲۷۴۹۹</w:t>
      </w:r>
    </w:p>
    <w:p>
      <w:pPr>
        <w:pStyle w:val="BookText"/>
      </w:pPr>
      <w:r>
        <w:rPr>
          <w:rFonts w:ascii="IRNazanin" w:hAnsi="IRNazanin" w:eastAsia="IRNazanin" w:cs="IRNazanin"/>
          <w:lang w:bidi="fa-IR"/>
          <w:color w:val="111111"/>
          <w:sz w:val="28"/>
          <w:szCs w:val="28"/>
          <w:rtl/>
        </w:rPr>
        <w:t xml:space="preserve">بی کا، بی تا، خریداری از الهام حمیدی [رایانه]</w:t>
      </w:r>
    </w:p>
    <w:p>
      <w:pPr>
        <w:pStyle w:val="BookText"/>
      </w:pPr>
      <w:r>
        <w:rPr>
          <w:rFonts w:ascii="IRNazanin" w:hAnsi="IRNazanin" w:eastAsia="IRNazanin" w:cs="IRNazanin"/>
          <w:lang w:bidi="fa-IR"/>
          <w:color w:val="111111"/>
          <w:sz w:val="28"/>
          <w:szCs w:val="28"/>
          <w:rtl/>
        </w:rPr>
        <w:t xml:space="preserve">۱۷. تهران؛ ملی؛ شماره نسخه: ۲۶۲۲۴</w:t>
      </w:r>
    </w:p>
    <w:p>
      <w:pPr>
        <w:pStyle w:val="BookText"/>
      </w:pPr>
      <w:r>
        <w:rPr>
          <w:rFonts w:ascii="IRNazanin" w:hAnsi="IRNazanin" w:eastAsia="IRNazanin" w:cs="IRNazanin"/>
          <w:lang w:bidi="fa-IR"/>
          <w:color w:val="111111"/>
          <w:sz w:val="28"/>
          <w:szCs w:val="28"/>
          <w:rtl/>
        </w:rPr>
        <w:t xml:space="preserve">کا: پدر آقا  رفیع قزوینی، بی تا؛ مجموعه آقا رفیع قزوینی استاد اخلاق و فلسفه امام خمینی؛ خریداری از منصوره تالهی معین الدین[ رایانه]</w:t>
      </w:r>
    </w:p>
    <w:p>
      <w:pPr>
        <w:pStyle w:val="BookText"/>
      </w:pPr>
      <w:r>
        <w:rPr>
          <w:rFonts w:ascii="IRNazanin" w:hAnsi="IRNazanin" w:eastAsia="IRNazanin" w:cs="IRNazanin"/>
          <w:lang w:bidi="fa-IR"/>
          <w:color w:val="111111"/>
          <w:sz w:val="28"/>
          <w:szCs w:val="28"/>
          <w:rtl/>
        </w:rPr>
        <w:t xml:space="preserve">۱۸. تهران؛ مجلس؛ شماره نسخه: ۶۳۶۲/۶</w:t>
      </w:r>
    </w:p>
    <w:p>
      <w:pPr>
        <w:pStyle w:val="BookText"/>
      </w:pPr>
      <w:r>
        <w:rPr>
          <w:rFonts w:ascii="IRNazanin" w:hAnsi="IRNazanin" w:eastAsia="IRNazanin" w:cs="IRNazanin"/>
          <w:lang w:bidi="fa-IR"/>
          <w:color w:val="111111"/>
          <w:sz w:val="28"/>
          <w:szCs w:val="28"/>
          <w:rtl/>
        </w:rPr>
        <w:t xml:space="preserve">رساله ای است در معرفة عمل به اسطرلاب دنباله باب ۱۵ تا آخر رساله از دفتر افتاده و عنوان رساله و باب اول در صحافی از بین  رفته: باب ۲. اخذ الارتفاع: علق الاله و سایر بظل الشعبه، باب ۱۵. معرفة الدرجه المتوسطه؛ خط: نسخ، بی کا، بی تا؛ افتادگی: انجام؛ جلد: تیماج  قرمز، ۴ ص (۴۱-۴۴) قطع: رقعی،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۱۹ - ۴۱۵]</w:t>
      </w:r>
    </w:p>
    <w:p>
      <w:pPr>
        <w:pStyle w:val="BookText"/>
      </w:pPr>
      <w:r>
        <w:rPr>
          <w:rFonts w:ascii="Amiri" w:hAnsi="Amiri" w:eastAsia="Amiri" w:cs="Amiri"/>
          <w:lang w:bidi="ar-SA"/>
          <w:color w:val="111111"/>
          <w:sz w:val="28"/>
          <w:szCs w:val="28"/>
          <w:rtl/>
        </w:rPr>
        <w:t xml:space="preserve">۱۹ . اصفهان؛ مكتبة الزهراء؛ شماره نسخه: ۶۱/۳</w:t>
      </w:r>
    </w:p>
    <w:p>
      <w:pPr>
        <w:pStyle w:val="BookText"/>
      </w:pPr>
      <w:r>
        <w:rPr>
          <w:rFonts w:ascii="IRNazanin" w:hAnsi="IRNazanin" w:eastAsia="IRNazanin" w:cs="IRNazanin"/>
          <w:lang w:bidi="fa-IR"/>
          <w:color w:val="111111"/>
          <w:sz w:val="28"/>
          <w:szCs w:val="28"/>
          <w:rtl/>
        </w:rPr>
        <w:t xml:space="preserve">انجام: من حيث انها كيف تؤلف ليصير قياس موصلاً الى مجهول تصدیقى كقولنا العالم محدث</w:t>
      </w:r>
    </w:p>
    <w:p>
      <w:pPr>
        <w:pStyle w:val="BookText"/>
      </w:pPr>
      <w:r>
        <w:rPr>
          <w:rFonts w:ascii="IRNazanin" w:hAnsi="IRNazanin" w:eastAsia="IRNazanin" w:cs="IRNazanin"/>
          <w:lang w:bidi="fa-IR"/>
          <w:color w:val="111111"/>
          <w:sz w:val="28"/>
          <w:szCs w:val="28"/>
          <w:rtl/>
        </w:rPr>
        <w:t xml:space="preserve">خط: نسخ، بی کا، بی تا؛ افتادگی: آغاز و انجام؛ ۱۶ 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۱۸/۵سم [ف: ۴۹]</w:t>
      </w:r>
    </w:p>
    <w:p>
      <w:pPr>
        <w:pStyle w:val="BookText"/>
      </w:pPr>
      <w:r>
        <w:rPr>
          <w:rFonts w:ascii="IRNazanin" w:hAnsi="IRNazanin" w:eastAsia="IRNazanin" w:cs="IRNazanin"/>
          <w:lang w:bidi="fa-IR"/>
          <w:color w:val="111111"/>
          <w:sz w:val="28"/>
          <w:szCs w:val="28"/>
          <w:rtl/>
        </w:rPr>
        <w:t xml:space="preserve">۲۰. همدان؛ مدرسه غرب؛ شماره نسخه: ۴۷۵۸/۱</w:t>
      </w:r>
    </w:p>
    <w:p>
      <w:pPr>
        <w:pStyle w:val="BookText"/>
      </w:pPr>
      <w:r>
        <w:rPr>
          <w:rFonts w:ascii="IRNazanin" w:hAnsi="IRNazanin" w:eastAsia="IRNazanin" w:cs="IRNazanin"/>
          <w:lang w:bidi="fa-IR"/>
          <w:color w:val="111111"/>
          <w:sz w:val="28"/>
          <w:szCs w:val="28"/>
          <w:rtl/>
        </w:rPr>
        <w:t xml:space="preserve">خط: شکسته نستعلیق، بی کا، بی تا؛ قطع: خشتی[ رشت وهمدان -ف: 1544]</w:t>
      </w:r>
    </w:p>
    <w:p>
      <w:pPr>
        <w:pStyle w:val="Heading3"/>
      </w:pPr>
      <w:bookmarkStart w:id="1520" w:name="_Toc1042"/>
      <w:r>
        <w:t>اسطرلاب / اسطرلاب / فارسی</w:t>
      </w:r>
      <w:bookmarkEnd w:id="1520"/>
    </w:p>
    <w:p>
      <w:pPr>
        <w:pStyle w:val="BookText"/>
      </w:pPr>
      <w:r>
        <w:rPr>
          <w:rFonts w:ascii="Times New Roman" w:hAnsi="Times New Roman" w:eastAsia="Times New Roman" w:cs="Times New Roman"/>
          <w:lang w:val="en-US" w:bidi="en-US"/>
          <w:color w:val="111111"/>
          <w:sz w:val="28"/>
          <w:szCs w:val="28"/>
          <w:rtl/>
        </w:rPr>
        <w:t xml:space="preserve">ostorlāb</w:t>
      </w:r>
    </w:p>
    <w:p>
      <w:pPr>
        <w:pStyle w:val="BookText"/>
      </w:pPr>
      <w:r>
        <w:rPr>
          <w:rFonts w:ascii="IRNazanin" w:hAnsi="IRNazanin" w:eastAsia="IRNazanin" w:cs="IRNazanin"/>
          <w:lang w:bidi="fa-IR"/>
          <w:color w:val="111111"/>
          <w:sz w:val="28"/>
          <w:szCs w:val="28"/>
          <w:rtl/>
        </w:rPr>
        <w:t xml:space="preserve">غیر همانند:</w:t>
      </w:r>
    </w:p>
    <w:p>
      <w:pPr>
        <w:pStyle w:val="BookText"/>
      </w:pPr>
      <w:r>
        <w:rPr>
          <w:rFonts w:ascii="IRNazanin" w:hAnsi="IRNazanin" w:eastAsia="IRNazanin" w:cs="IRNazanin"/>
          <w:lang w:bidi="fa-IR"/>
          <w:color w:val="111111"/>
          <w:sz w:val="28"/>
          <w:szCs w:val="28"/>
          <w:rtl/>
        </w:rPr>
        <w:t xml:space="preserve">١ . قم؛ مرعشی؛ شماره نسخه: بدون شماره</w:t>
      </w:r>
    </w:p>
    <w:p>
      <w:pPr>
        <w:pStyle w:val="BookText"/>
      </w:pPr>
      <w:r>
        <w:rPr>
          <w:rFonts w:ascii="IRNazanin" w:hAnsi="IRNazanin" w:eastAsia="IRNazanin" w:cs="IRNazanin"/>
          <w:lang w:bidi="fa-IR"/>
          <w:color w:val="111111"/>
          <w:sz w:val="28"/>
          <w:szCs w:val="28"/>
          <w:rtl/>
        </w:rPr>
        <w:t xml:space="preserve">بی کا، تا: قرن ۸؛ برنجی  کوچک، دارای سه ورق نجومی برنجی  [میراث  شهاب: س ۵ش ۳ و ۴ - ۱۵۰]</w:t>
      </w:r>
    </w:p>
    <w:p>
      <w:pPr>
        <w:pStyle w:val="BookText"/>
      </w:pPr>
      <w:r>
        <w:rPr>
          <w:rFonts w:ascii="IRNazanin" w:hAnsi="IRNazanin" w:eastAsia="IRNazanin" w:cs="IRNazanin"/>
          <w:lang w:bidi="fa-IR"/>
          <w:color w:val="111111"/>
          <w:sz w:val="28"/>
          <w:szCs w:val="28"/>
          <w:rtl/>
        </w:rPr>
        <w:t xml:space="preserve">۲ . مشهد؛ رضوی؛ شماره نسخه: ۱۴۱۱۶</w:t>
      </w:r>
    </w:p>
    <w:p>
      <w:pPr>
        <w:pStyle w:val="BookText"/>
      </w:pPr>
      <w:r>
        <w:rPr>
          <w:rFonts w:ascii="IRNazanin" w:hAnsi="IRNazanin" w:eastAsia="IRNazanin" w:cs="IRNazanin"/>
          <w:lang w:bidi="fa-IR"/>
          <w:color w:val="111111"/>
          <w:sz w:val="28"/>
          <w:szCs w:val="28"/>
          <w:rtl/>
        </w:rPr>
        <w:t xml:space="preserve">آغاز: فن دوم در وضع و صنعت اصطرلابات از هر جنس و این فن مشتمل بر قسم است قسم اول در موضع الاربعي نصفی؛ انجام: و این دائره سطح اصطرلاب باشد.</w:t>
      </w:r>
    </w:p>
    <w:p>
      <w:pPr>
        <w:pStyle w:val="BookText"/>
      </w:pPr>
      <w:r>
        <w:rPr>
          <w:rFonts w:ascii="IRNazanin" w:hAnsi="IRNazanin" w:eastAsia="IRNazanin" w:cs="IRNazanin"/>
          <w:lang w:bidi="fa-IR"/>
          <w:color w:val="111111"/>
          <w:sz w:val="28"/>
          <w:szCs w:val="28"/>
          <w:rtl/>
        </w:rPr>
        <w:t xml:space="preserve">خط: نستعلیق بشیوه ترکستانی، بی کا، تا: قرن ۸؛ واقف: فاضلخان، ۱۰۶۵ق ؛کاغذ: آهاری  حنایی، جلد: مقوا عطف میشن تریاکی، ۳۱گ، ۲۱ سطر، اندازه: 14/5</w:t>
      </w:r>
      <w:r>
        <w:rPr>
          <w:rFonts w:ascii="Times New Roman" w:hAnsi="Times New Roman" w:eastAsia="Times New Roman" w:cs="Times New Roman"/>
          <w:lang w:val="en-US" w:bidi="en-US"/>
          <w:color w:val="111111"/>
          <w:sz w:val="28"/>
          <w:szCs w:val="28"/>
          <w:rtl/>
        </w:rPr>
        <w:t xml:space="preserve">×23/7</w:t>
      </w:r>
      <w:r>
        <w:rPr>
          <w:rFonts w:ascii="IRNazanin" w:hAnsi="IRNazanin" w:eastAsia="IRNazanin" w:cs="IRNazanin"/>
          <w:lang w:bidi="fa-IR"/>
          <w:color w:val="111111"/>
          <w:sz w:val="28"/>
          <w:szCs w:val="28"/>
          <w:rtl/>
        </w:rPr>
        <w:t xml:space="preserve">سم [ف : ۱۸ - ۱۰]</w:t>
      </w:r>
    </w:p>
    <w:p>
      <w:pPr>
        <w:pStyle w:val="BookText"/>
      </w:pPr>
      <w:r>
        <w:rPr>
          <w:rFonts w:ascii="IRNazanin" w:hAnsi="IRNazanin" w:eastAsia="IRNazanin" w:cs="IRNazanin"/>
          <w:lang w:bidi="fa-IR"/>
          <w:color w:val="111111"/>
          <w:sz w:val="28"/>
          <w:szCs w:val="28"/>
          <w:rtl/>
        </w:rPr>
        <w:t xml:space="preserve">۳. مشهد؛ رضوی؛ شماره نسخه: ۴۱۱۸</w:t>
      </w:r>
    </w:p>
    <w:p>
      <w:pPr>
        <w:pStyle w:val="BookText"/>
      </w:pPr>
      <w:r>
        <w:rPr>
          <w:rFonts w:ascii="IRNazanin" w:hAnsi="IRNazanin" w:eastAsia="IRNazanin" w:cs="IRNazanin"/>
          <w:lang w:bidi="fa-IR"/>
          <w:color w:val="111111"/>
          <w:sz w:val="28"/>
          <w:szCs w:val="28"/>
          <w:rtl/>
        </w:rPr>
        <w:t xml:space="preserve">آغاز: ایشان که لابدست ثابت داشتن ایشان آنرا ثابت بداریم؛</w:t>
      </w:r>
    </w:p>
    <w:p>
      <w:pPr>
        <w:pStyle w:val="BookText"/>
      </w:pPr>
      <w:r>
        <w:rPr>
          <w:rFonts w:ascii="IRNazanin" w:hAnsi="IRNazanin" w:eastAsia="IRNazanin" w:cs="IRNazanin"/>
          <w:lang w:bidi="fa-IR"/>
          <w:color w:val="111111"/>
          <w:sz w:val="28"/>
          <w:szCs w:val="28"/>
          <w:rtl/>
        </w:rPr>
        <w:t xml:space="preserve">انجام: و اگر اندک تفاوت آید صانع آن ... خوانده نشد.</w:t>
      </w:r>
    </w:p>
    <w:p>
      <w:pPr>
        <w:pStyle w:val="BookText"/>
      </w:pPr>
      <w:r>
        <w:rPr>
          <w:rFonts w:ascii="IRNazanin" w:hAnsi="IRNazanin" w:eastAsia="IRNazanin" w:cs="IRNazanin"/>
          <w:lang w:bidi="fa-IR"/>
          <w:color w:val="111111"/>
          <w:sz w:val="28"/>
          <w:szCs w:val="28"/>
          <w:rtl/>
        </w:rPr>
        <w:t xml:space="preserve">خط: نستعلیق بشیوه ترکستانی، بی کا، تا: قرن ۸؛ دارای جدول؛ واقف: فاضلخان، ۱۰۶۵ق؛ جلد: مقوا میشن تریاکی، ۱۲گ، ۲۱ سطر، اندازه: ۱۴/۲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۲۴سم [ف:۱۸ – ۱۰]</w:t>
      </w:r>
    </w:p>
    <w:p>
      <w:pPr>
        <w:pStyle w:val="BookText"/>
      </w:pPr>
      <w:r>
        <w:rPr>
          <w:rFonts w:ascii="IRNazanin" w:hAnsi="IRNazanin" w:eastAsia="IRNazanin" w:cs="IRNazanin"/>
          <w:lang w:bidi="fa-IR"/>
          <w:color w:val="111111"/>
          <w:sz w:val="28"/>
          <w:szCs w:val="28"/>
          <w:rtl/>
        </w:rPr>
        <w:t xml:space="preserve">۴. مشهد؛ رضوی؛ شماره نسخه: ۱۴۱۲۱</w:t>
      </w:r>
    </w:p>
    <w:p>
      <w:pPr>
        <w:pStyle w:val="BookText"/>
      </w:pPr>
      <w:r>
        <w:rPr>
          <w:rFonts w:ascii="IRNazanin" w:hAnsi="IRNazanin" w:eastAsia="IRNazanin" w:cs="IRNazanin"/>
          <w:lang w:bidi="fa-IR"/>
          <w:color w:val="111111"/>
          <w:sz w:val="28"/>
          <w:szCs w:val="28"/>
          <w:rtl/>
        </w:rPr>
        <w:t xml:space="preserve">آغاز: عمل مسطره در اصطرلاب یعنی افق و مقنطرات و دوائر سموت را بحساب مسطره وضع کند؛ انجام: از مرکز صحیفه  بمقدار.</w:t>
      </w:r>
    </w:p>
    <w:p>
      <w:pPr>
        <w:pStyle w:val="BookText"/>
      </w:pPr>
      <w:r>
        <w:rPr>
          <w:rFonts w:ascii="IRNazanin" w:hAnsi="IRNazanin" w:eastAsia="IRNazanin" w:cs="IRNazanin"/>
          <w:lang w:bidi="fa-IR"/>
          <w:color w:val="111111"/>
          <w:sz w:val="28"/>
          <w:szCs w:val="28"/>
          <w:rtl/>
        </w:rPr>
        <w:t xml:space="preserve">خط: نستعلیق به شیوه ترکستانی، بی کا، تا: قرن ۸، دارای جداول؛ واقف ،فاضلخان ۱۰۶۵ق؛ جلد: مقوا میشن تریاکی، ۵۲گ، ۲۱ سطر،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۲۴سم [ف: ۱۸ - ۱۱]</w:t>
      </w:r>
    </w:p>
    <w:p>
      <w:pPr>
        <w:pStyle w:val="BookText"/>
      </w:pPr>
      <w:r>
        <w:rPr>
          <w:rFonts w:ascii="IRNazanin" w:hAnsi="IRNazanin" w:eastAsia="IRNazanin" w:cs="IRNazanin"/>
          <w:lang w:bidi="fa-IR"/>
          <w:color w:val="111111"/>
          <w:sz w:val="28"/>
          <w:szCs w:val="28"/>
          <w:rtl/>
        </w:rPr>
        <w:t xml:space="preserve">۵. مشهد؛ رضوی؛ شماره نسخه: ۱۴۱۱۸</w:t>
      </w:r>
    </w:p>
    <w:p>
      <w:pPr>
        <w:pStyle w:val="BookText"/>
      </w:pPr>
      <w:r>
        <w:rPr>
          <w:rFonts w:ascii="IRNazanin" w:hAnsi="IRNazanin" w:eastAsia="IRNazanin" w:cs="IRNazanin"/>
          <w:lang w:bidi="fa-IR"/>
          <w:color w:val="111111"/>
          <w:sz w:val="28"/>
          <w:szCs w:val="28"/>
          <w:rtl/>
        </w:rPr>
        <w:t xml:space="preserve">آغاز: ایشان که لابد است ثابت داشتن ایشان؛ انجام: تفاوت بود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صانع آن مظهار</w:t>
      </w:r>
    </w:p>
    <w:p>
      <w:pPr>
        <w:pStyle w:val="BookText"/>
      </w:pPr>
      <w:r>
        <w:rPr>
          <w:rFonts w:ascii="IRNazanin" w:hAnsi="IRNazanin" w:eastAsia="IRNazanin" w:cs="IRNazanin"/>
          <w:lang w:bidi="fa-IR"/>
          <w:color w:val="111111"/>
          <w:sz w:val="28"/>
          <w:szCs w:val="28"/>
          <w:rtl/>
        </w:rPr>
        <w:t xml:space="preserve">خط: تعلیق، کا: واضح تا قرن ۹ [الفبائی: ۴۹]</w:t>
      </w:r>
    </w:p>
    <w:p>
      <w:pPr>
        <w:pStyle w:val="BookText"/>
      </w:pPr>
      <w:r>
        <w:rPr>
          <w:rFonts w:ascii="IRNazanin" w:hAnsi="IRNazanin" w:eastAsia="IRNazanin" w:cs="IRNazanin"/>
          <w:lang w:bidi="fa-IR"/>
          <w:color w:val="111111"/>
          <w:sz w:val="28"/>
          <w:szCs w:val="28"/>
          <w:rtl/>
        </w:rPr>
        <w:t xml:space="preserve">۶. مشهد؛ نواب؛ شماره نسخه: ۵۹</w:t>
      </w:r>
    </w:p>
    <w:p>
      <w:pPr>
        <w:pStyle w:val="BookText"/>
      </w:pPr>
      <w:r>
        <w:rPr>
          <w:rFonts w:ascii="IRNazanin" w:hAnsi="IRNazanin" w:eastAsia="IRNazanin" w:cs="IRNazanin"/>
          <w:lang w:bidi="fa-IR"/>
          <w:color w:val="111111"/>
          <w:sz w:val="28"/>
          <w:szCs w:val="28"/>
          <w:rtl/>
        </w:rPr>
        <w:t xml:space="preserve">آغاز: قسم دوم در صنعت اصطرلاب و بیان؛ انجام: از منطقة البروج و کواکب ثابته و مرها</w:t>
      </w:r>
    </w:p>
    <w:p>
      <w:pPr>
        <w:pStyle w:val="BookText"/>
      </w:pPr>
      <w:r>
        <w:rPr>
          <w:rFonts w:ascii="IRNazanin" w:hAnsi="IRNazanin" w:eastAsia="IRNazanin" w:cs="IRNazanin"/>
          <w:lang w:bidi="fa-IR"/>
          <w:color w:val="111111"/>
          <w:sz w:val="28"/>
          <w:szCs w:val="28"/>
          <w:rtl/>
        </w:rPr>
        <w:t xml:space="preserve">بخشی از کتابی است که موجودی آن از قسم دوم در صنعت اسطرلاب و بیان تسطیح و لواحق آن شروع می شود. مقدمه: بدانکه اسطرلاب از روی لغت اسمی مرکب به زبان یونانی و ترجمه این ترازوی آفتاب... النصف الأول فى تخطیط الاسطرلاب الشمالی مشتمل بر ۳ «اصل» اصل اول در ساختمان وحجره و ظاهراسرلاب ... شامل هشت «باب»: ۱. معرفت و صفت  اجسام، ۲. تخطيط أم و حجره و .... ٣. تخطيط عضاده و حجره ،</w:t>
      </w:r>
    </w:p>
    <w:p>
      <w:pPr>
        <w:pStyle w:val="BookText"/>
      </w:pPr>
      <w:r>
        <w:rPr>
          <w:rFonts w:ascii="IRNazanin" w:hAnsi="IRNazanin" w:eastAsia="IRNazanin" w:cs="IRNazanin"/>
          <w:lang w:bidi="fa-IR"/>
          <w:color w:val="111111"/>
          <w:sz w:val="28"/>
          <w:szCs w:val="28"/>
          <w:rtl/>
        </w:rPr>
        <w:t xml:space="preserve">...  اصل دوم در هشت «باب» ۱. تسطیح و تخطيط مدارات،2. تسطیح  و تخطيط  افق . 3.دائره، ۴ .ساعات  زمانی، ۵. تخطـیط بعضی از قوس ها .۶. صنعت صحیفه تسيير، ۷. عمل صحيفه؛8. عمل صحیفه میان  العنكبوت، اصل سوم در ساختن عنکبوت دارای چهار «باب»: ۱. عمل تسطیح و تخطيط دایره بروج، ۲. عـمل رئوس كواكب  ثابته .3. عمل عنکبوت به حساب مسطره، ۴. حـرق عنكبوت؛ خط: نستعلیق سمرقندی، بی کا، تا: قرن ۹؛ افتادگی: آغاز و انجام؛ دارای دوائر و جداول دارای بلاغ؛ کاغذ: سمرقندی، جلد: مقوا عطف میشن قهوه ای، ۶۴ گ،۲۱ سـطر (۹/۵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۲۴سم [ف: ۶۹]</w:t>
      </w:r>
    </w:p>
    <w:p>
      <w:pPr>
        <w:pStyle w:val="BookText"/>
      </w:pPr>
      <w:r>
        <w:rPr>
          <w:rFonts w:ascii="IRNazanin" w:hAnsi="IRNazanin" w:eastAsia="IRNazanin" w:cs="IRNazanin"/>
          <w:lang w:bidi="fa-IR"/>
          <w:color w:val="111111"/>
          <w:sz w:val="28"/>
          <w:szCs w:val="28"/>
          <w:rtl/>
        </w:rPr>
        <w:t xml:space="preserve">۷. تهران؛ ملک؛ شماره نسخه: ۳۱۵۶/۲</w:t>
      </w:r>
    </w:p>
    <w:p>
      <w:pPr>
        <w:pStyle w:val="BookText"/>
      </w:pPr>
      <w:r>
        <w:rPr>
          <w:rFonts w:ascii="IRNazanin" w:hAnsi="IRNazanin" w:eastAsia="IRNazanin" w:cs="IRNazanin"/>
          <w:lang w:bidi="fa-IR"/>
          <w:color w:val="111111"/>
          <w:sz w:val="28"/>
          <w:szCs w:val="28"/>
          <w:rtl/>
        </w:rPr>
        <w:t xml:space="preserve">آغاز: (افتاده تا میانه باب چهارم) ... بسیار است از آنکه حکـماء اوائل همان ... (پس از سه برگ) باب پنجم در معرفت دوائرو ساعات مستوی در آن لحظه که طالع بر افق باشد؛ انجام: عضـاده برای احکام شناختن نهیم که خط قبله باشد سکیزیلدر یکم و یازدهم و شست و یكم، و الله اعلم بالصواب</w:t>
      </w:r>
    </w:p>
    <w:p>
      <w:pPr>
        <w:pStyle w:val="BookText"/>
      </w:pPr>
      <w:r>
        <w:rPr>
          <w:rFonts w:ascii="IRNazanin" w:hAnsi="IRNazanin" w:eastAsia="IRNazanin" w:cs="IRNazanin"/>
          <w:lang w:bidi="fa-IR"/>
          <w:color w:val="111111"/>
          <w:sz w:val="28"/>
          <w:szCs w:val="28"/>
          <w:rtl/>
        </w:rPr>
        <w:t xml:space="preserve">در اسطرلاب - رساله در شناختن اوقات نماز در هر ارض و اقلیم ؛خط: نستعلیق، بی کا، تا: قرن ۹ :افتادگی: آغاز؛ کاغذ ،ترمه، جـلد: میشن سیاه،6 گ (۵۷ر - ۶۲ پ)، ۱۵ 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6- 248]</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تهران؛ دانشگاه؛ شماره نسخه: ۱۳۹۹/۱</w:t>
      </w:r>
    </w:p>
    <w:p>
      <w:pPr>
        <w:pStyle w:val="BookText"/>
      </w:pPr>
      <w:r>
        <w:rPr>
          <w:rFonts w:ascii="IRNazanin" w:hAnsi="IRNazanin" w:eastAsia="IRNazanin" w:cs="IRNazanin"/>
          <w:lang w:bidi="fa-IR"/>
          <w:color w:val="111111"/>
          <w:sz w:val="28"/>
          <w:szCs w:val="28"/>
          <w:rtl/>
        </w:rPr>
        <w:t xml:space="preserve">رساله ای است در اسطرلاب در دو «مقاله»: ۱. «در ذکر مسایل اعمال آن بر صفايح بلاد» در ۳۸ باب ۲. در ذکر مسایل و اعـمال اسطرلاب بر صفحه آفاقی» در ۱۲  باب، تا نیمه باب ۱۲ مقاله دوم را دارد؛ خط: نستعلیق  ریز، بی کا، تا: قرن ۱۱؛ کاغذ: سپاهانی آهار  مهره، جلد: تيماج عنابی  ضربی، ۲۶گ (۱پ-۲۶پ)، ۲۷ سـطر (8</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۸ - ۷۷]</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تهران؛ مجلس؛ شماره نسخه: ۳۱۹/۲</w:t>
      </w:r>
    </w:p>
    <w:p>
      <w:pPr>
        <w:pStyle w:val="BookText"/>
      </w:pPr>
      <w:r>
        <w:rPr>
          <w:rFonts w:ascii="IRNazanin" w:hAnsi="IRNazanin" w:eastAsia="IRNazanin" w:cs="IRNazanin"/>
          <w:lang w:bidi="fa-IR"/>
          <w:color w:val="111111"/>
          <w:sz w:val="28"/>
          <w:szCs w:val="28"/>
          <w:rtl/>
        </w:rPr>
        <w:t xml:space="preserve">در دیباچه آمده «این رساله ای است مشتمل بر هژده باب» خـط: نستعلیق، بی کا، تا: قرن ۱۱ ؛کاغذ: سفید، جلد: تيماج مشکی ضربی مقوایی ،نو ۲۵ ص (۶۱-۸۵)، ۱۵ سطر ،(7</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[سنا - ف: ۱ - ۱۶۳]</w:t>
      </w:r>
    </w:p>
    <w:p>
      <w:pPr>
        <w:pStyle w:val="BookText"/>
      </w:pPr>
      <w:r>
        <w:rPr>
          <w:rFonts w:ascii="IRNazanin" w:hAnsi="IRNazanin" w:eastAsia="IRNazanin" w:cs="IRNazanin"/>
          <w:lang w:bidi="fa-IR"/>
          <w:color w:val="111111"/>
          <w:sz w:val="28"/>
          <w:szCs w:val="28"/>
          <w:rtl/>
        </w:rPr>
        <w:t xml:space="preserve">۱۰. تهران؛ مجلس؛ شماره نسخه: ۶۸۷۲/۳</w:t>
      </w:r>
    </w:p>
    <w:p>
      <w:pPr>
        <w:pStyle w:val="BookText"/>
      </w:pPr>
      <w:r>
        <w:rPr>
          <w:rFonts w:ascii="IRNazanin" w:hAnsi="IRNazanin" w:eastAsia="IRNazanin" w:cs="IRNazanin"/>
          <w:lang w:bidi="fa-IR"/>
          <w:color w:val="111111"/>
          <w:sz w:val="28"/>
          <w:szCs w:val="28"/>
          <w:rtl/>
        </w:rPr>
        <w:t xml:space="preserve">آغاز: سپاس بی قیاس مالک الملکی را که اطباق سموات سبع شمه ای از آثار قدرت اوست؛ انجام: همین کافی است در امتحان اسطرلاب این نسخه از صفحه خاطر نوشته شده نه آنکه از کتاب جمع شده.</w:t>
      </w:r>
    </w:p>
    <w:p>
      <w:pPr>
        <w:pStyle w:val="BookText"/>
      </w:pPr>
      <w:r>
        <w:rPr>
          <w:rFonts w:ascii="IRNazanin" w:hAnsi="IRNazanin" w:eastAsia="IRNazanin" w:cs="IRNazanin"/>
          <w:lang w:bidi="fa-IR"/>
          <w:color w:val="111111"/>
          <w:sz w:val="28"/>
          <w:szCs w:val="28"/>
          <w:rtl/>
        </w:rPr>
        <w:t xml:space="preserve">در یک «مقدمه و سه «باب» به این  عناوین: مقدمه در معرفت آلات  اسطرلاب، باب ۱. اعمال  ام، ۲. عمل صفايح ،3. عمل عنکبوت؛ خط: نسخ، بی کا، تا: قرن  ۱۱؛ دارای اشکال هندسی  دقیق ،مجدول محشی؛ جلد: تیماج ،دورو، ترنج و سرترنج دار، ۱۲گ (۵۳پ-۶۴ر)، ۲۱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۲۴سم [ف : ۲۰ - ۳۱۳]</w:t>
      </w:r>
    </w:p>
    <w:p>
      <w:pPr>
        <w:pStyle w:val="BookText"/>
      </w:pPr>
      <w:r>
        <w:rPr>
          <w:rFonts w:ascii="IRNazanin" w:hAnsi="IRNazanin" w:eastAsia="IRNazanin" w:cs="IRNazanin"/>
          <w:lang w:bidi="fa-IR"/>
          <w:color w:val="111111"/>
          <w:sz w:val="28"/>
          <w:szCs w:val="28"/>
          <w:rtl/>
        </w:rPr>
        <w:t xml:space="preserve">۱۱. تهران؛ ملک؛ شماره نسخه: ۲۴۱۳/۳</w:t>
      </w:r>
    </w:p>
    <w:p>
      <w:pPr>
        <w:pStyle w:val="BookText"/>
      </w:pPr>
      <w:r>
        <w:rPr>
          <w:rFonts w:ascii="IRNazanin" w:hAnsi="IRNazanin" w:eastAsia="IRNazanin" w:cs="IRNazanin"/>
          <w:lang w:bidi="fa-IR"/>
          <w:color w:val="111111"/>
          <w:sz w:val="28"/>
          <w:szCs w:val="28"/>
          <w:rtl/>
        </w:rPr>
        <w:t xml:space="preserve">آغاز: بسمله الحمد لله الذي زين السماء الدنيا بزينة الكواكب و جعلها ليلا ... فصل این مختصریست که مؤانس از بهر پیغمبر خویش جمع کرده است از کتب اهل علم به مواقیت و ارباب این صنعت؛ انجام: باب صدودهم مؤذن که در اسحارخواننده گی کند باید که مبدء خوانندن؟ نوبت اول چنانکه ... یک ساعت تاطلوع صبح  باشد الا در رمضان که یک ساعت و نیم مانده باشد (سپس جداول و دوائر است)</w:t>
      </w:r>
    </w:p>
    <w:p>
      <w:pPr>
        <w:pStyle w:val="BookText"/>
      </w:pPr>
      <w:r>
        <w:rPr>
          <w:rFonts w:ascii="IRNazanin" w:hAnsi="IRNazanin" w:eastAsia="IRNazanin" w:cs="IRNazanin"/>
          <w:lang w:bidi="fa-IR"/>
          <w:color w:val="111111"/>
          <w:sz w:val="28"/>
          <w:szCs w:val="28"/>
          <w:rtl/>
        </w:rPr>
        <w:t xml:space="preserve">۱۱۰ باب با جداول در اسطرلاب - رساله در شناختن اوقات نماز در هر ارض و اقلیم ؛خط: نستعلیق، بی  کا، تا: قرن ۱۲؛ کاغذ: پسته ای ،جلد: میشن مشکی ،لایی ۶۰گ (۸۹پ-۱۴۸ر)، ۲۱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۶ - ۱۱]</w:t>
      </w:r>
    </w:p>
    <w:p>
      <w:pPr>
        <w:pStyle w:val="BookText"/>
      </w:pPr>
      <w:r>
        <w:rPr>
          <w:rFonts w:ascii="IRNazanin" w:hAnsi="IRNazanin" w:eastAsia="IRNazanin" w:cs="IRNazanin"/>
          <w:lang w:bidi="fa-IR"/>
          <w:color w:val="111111"/>
          <w:sz w:val="28"/>
          <w:szCs w:val="28"/>
          <w:rtl/>
        </w:rPr>
        <w:t xml:space="preserve">۱۲. مشهد؛ رضوی؛ شماره نسخه: ۱۲۰۴۲/۱۱</w:t>
      </w:r>
    </w:p>
    <w:p>
      <w:pPr>
        <w:pStyle w:val="BookText"/>
      </w:pPr>
      <w:r>
        <w:rPr>
          <w:rFonts w:ascii="IRNazanin" w:hAnsi="IRNazanin" w:eastAsia="IRNazanin" w:cs="IRNazanin"/>
          <w:lang w:bidi="fa-IR"/>
          <w:color w:val="111111"/>
          <w:sz w:val="28"/>
          <w:szCs w:val="28"/>
          <w:rtl/>
        </w:rPr>
        <w:t xml:space="preserve">آغاز: بسمله علاقه، حلقه عروه ،کرسی اجزاء حجره، عنکبوت؛ انجام: 1 ساعت ۲ دانگ</w:t>
      </w:r>
    </w:p>
    <w:p>
      <w:pPr>
        <w:pStyle w:val="BookText"/>
      </w:pPr>
      <w:r>
        <w:rPr>
          <w:rFonts w:ascii="IRNazanin" w:hAnsi="IRNazanin" w:eastAsia="IRNazanin" w:cs="IRNazanin"/>
          <w:lang w:bidi="fa-IR"/>
          <w:color w:val="111111"/>
          <w:sz w:val="28"/>
          <w:szCs w:val="28"/>
          <w:rtl/>
        </w:rPr>
        <w:t xml:space="preserve">خط: نستعلیق  تحریری ،کا: محمد هادی بن محمد تقی سهروردی مشهور به شولستانی، تا: ۱۱۰۴ق، جا: شیراز ، مدرسه صالحیه؛ کاغذ: نخودی آهار مهره ،جلد: تیماج،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۲۶سم [ف: ۱۰ - ۱۷۷]</w:t>
      </w:r>
    </w:p>
    <w:p>
      <w:pPr>
        <w:pStyle w:val="BookText"/>
      </w:pPr>
      <w:r>
        <w:rPr>
          <w:rFonts w:ascii="IRNazanin" w:hAnsi="IRNazanin" w:eastAsia="IRNazanin" w:cs="IRNazanin"/>
          <w:lang w:bidi="fa-IR"/>
          <w:color w:val="111111"/>
          <w:sz w:val="28"/>
          <w:szCs w:val="28"/>
          <w:rtl/>
        </w:rPr>
        <w:t xml:space="preserve">۱۳. دامغان؛ صادقیه؛ شماره نسخه: ۱۹۲۲</w:t>
      </w:r>
    </w:p>
    <w:p>
      <w:pPr>
        <w:pStyle w:val="BookText"/>
      </w:pPr>
      <w:r>
        <w:rPr>
          <w:rFonts w:ascii="IRNazanin" w:hAnsi="IRNazanin" w:eastAsia="IRNazanin" w:cs="IRNazanin"/>
          <w:lang w:bidi="fa-IR"/>
          <w:color w:val="111111"/>
          <w:sz w:val="28"/>
          <w:szCs w:val="28"/>
          <w:rtl/>
        </w:rPr>
        <w:t xml:space="preserve">آغاز: الحمد الله رب العالمين ... اما بعد وقوفات افلاک علویه از جام جهان نمای که برحکیمان ماضی کشف شده»؛ انجام: که هیچ ستاره ایستاده نباشد و راجعی نبود ولیک بدیدار چشم نیاید.</w:t>
      </w:r>
    </w:p>
    <w:p>
      <w:pPr>
        <w:pStyle w:val="BookText"/>
      </w:pPr>
      <w:r>
        <w:rPr>
          <w:rFonts w:ascii="IRNazanin" w:hAnsi="IRNazanin" w:eastAsia="IRNazanin" w:cs="IRNazanin"/>
          <w:lang w:bidi="fa-IR"/>
          <w:color w:val="111111"/>
          <w:sz w:val="28"/>
          <w:szCs w:val="28"/>
          <w:rtl/>
        </w:rPr>
        <w:t xml:space="preserve">رساله ای است مختصر در بیان اسطرلاب و قواعد آن و بیان آلات این فن؛ خط: نستعلیق، کا: عبدالوکیل بن محمد باقر، تا: ۱۹ ربیع الاول ۱۱۰۹ق؛ جلد: تیماج قهوه ای ضربی بدون مقوا، ۳۳گ،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۱۸/۵سم [ف: - ۱۱]</w:t>
      </w:r>
    </w:p>
    <w:p>
      <w:pPr>
        <w:pStyle w:val="BookText"/>
      </w:pPr>
      <w:r>
        <w:rPr>
          <w:rFonts w:ascii="IRNazanin" w:hAnsi="IRNazanin" w:eastAsia="IRNazanin" w:cs="IRNazanin"/>
          <w:lang w:bidi="fa-IR"/>
          <w:color w:val="111111"/>
          <w:sz w:val="28"/>
          <w:szCs w:val="28"/>
          <w:rtl/>
        </w:rPr>
        <w:t xml:space="preserve">۱۴. کاشان؛ فرهنگ و ارشاد؛ شماره نسخه: ۱۰</w:t>
      </w:r>
    </w:p>
    <w:p>
      <w:pPr>
        <w:pStyle w:val="BookText"/>
      </w:pPr>
      <w:r>
        <w:rPr>
          <w:rFonts w:ascii="IRNazanin" w:hAnsi="IRNazanin" w:eastAsia="IRNazanin" w:cs="IRNazanin"/>
          <w:lang w:bidi="fa-IR"/>
          <w:color w:val="111111"/>
          <w:sz w:val="28"/>
          <w:szCs w:val="28"/>
          <w:rtl/>
        </w:rPr>
        <w:t xml:space="preserve">آغاز: الحمد لله رب العالمين ... اما بعد چون از رساله نجوم فارغ شدیم ابتدا کردیم به رساله ثانی در معرفت آلات رصد از اسطرلاب؛ انجام: و از جانب دیگر تا مدار سرطان تا مقدار میل کلی منقسم گردانند که آن میل باشد بدان طریق که باز نموده شد.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خلاصه ای است از آنچه که در کتاب های گذشتگان درب اسطرلاب آمده و مؤلف در دیباچه به نام آنها اشاره می کند به اضافه فوایدی از  خودش، با ترسیم اشکالی چند در بخش  آخر کتاب، در یک «مقدمه» و سه «مقالت» دارای ابواب مشتمل بر فصول: مقدمه در تعریف آلات رصدی و نام کتابهای اسطرلاب، مقالت ۱. معرفت اسطرلاب و آنچه بدان تعلق  دارد، هفده  باب،2. صفیحه آفاقی و اسطرلاب قوسی و جز اینها، در پنج باب ۳ . خطوط  اسطرلاب، در چهار باب؛ خط: نستعلیق، کا: محمد رضا بن محمد صفی حسینی  کاشانی، تا: ربیع الاول ۱۱۸۲ق؛ از روی نسخه ای مغلوط نوشته شده است؛ جلد: گالینگور  مشکی، ۵۲گ، ۲۵ سطر، اندازه: ۱۷/۵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۲۵/۵سم [ف - ۲۲]</w:t>
      </w:r>
    </w:p>
    <w:p>
      <w:pPr>
        <w:pStyle w:val="BookText"/>
      </w:pPr>
      <w:r>
        <w:rPr>
          <w:rFonts w:ascii="IRNazanin" w:hAnsi="IRNazanin" w:eastAsia="IRNazanin" w:cs="IRNazanin"/>
          <w:lang w:bidi="fa-IR"/>
          <w:color w:val="111111"/>
          <w:sz w:val="28"/>
          <w:szCs w:val="28"/>
          <w:rtl/>
        </w:rPr>
        <w:t xml:space="preserve">۱۵. مشهد؛ الهیات؛ شماره نسخه: ۱۴۸۷۵/۲</w:t>
      </w:r>
    </w:p>
    <w:p>
      <w:pPr>
        <w:pStyle w:val="BookText"/>
      </w:pPr>
      <w:r>
        <w:rPr>
          <w:rFonts w:ascii="IRNazanin" w:hAnsi="IRNazanin" w:eastAsia="IRNazanin" w:cs="IRNazanin"/>
          <w:lang w:bidi="fa-IR"/>
          <w:color w:val="111111"/>
          <w:sz w:val="28"/>
          <w:szCs w:val="28"/>
          <w:rtl/>
        </w:rPr>
        <w:t xml:space="preserve">آغاز: بسمله اما بعد این مختصریست در عمل اسطرلاب مشتـمل بر چند باب و چند فصل</w:t>
      </w:r>
    </w:p>
    <w:p>
      <w:pPr>
        <w:pStyle w:val="BookText"/>
      </w:pPr>
      <w:r>
        <w:rPr>
          <w:rFonts w:ascii="IRNazanin" w:hAnsi="IRNazanin" w:eastAsia="IRNazanin" w:cs="IRNazanin"/>
          <w:lang w:bidi="fa-IR"/>
          <w:color w:val="111111"/>
          <w:sz w:val="28"/>
          <w:szCs w:val="28"/>
          <w:rtl/>
        </w:rPr>
        <w:t xml:space="preserve">در۴ «باب»: ۱. کشیدن خطوط بر پشت اسطرلاب در ۷ «فصل»2. کشیدن خطوط بر صفایح و این باب مشتمل بر ۷ «فصل»، ۳. عـمل عنکبوت مشتمل بر سه «فصل»، ۴. بعضی اعمال که نه برهمه اسطرلاب باشد مگر بر بعضی در چند فصل که نسخه ما فقط تا اواخر فصل اول از باب چهارم را دارد؛ خط: نستعلیق،کا: عبدالعلی بن کلبعلی همدانی، تا: ۱۱۹۳ق؛ جلد: تيماج مشكـی، ۱۴گ، ۲۵ سطر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اندازه: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۲ - ۱۸۵]</w:t>
      </w:r>
    </w:p>
    <w:p>
      <w:pPr>
        <w:pStyle w:val="BookText"/>
      </w:pPr>
      <w:r>
        <w:rPr>
          <w:rFonts w:ascii="Amiri" w:hAnsi="Amiri" w:eastAsia="Amiri" w:cs="Amiri"/>
          <w:lang w:bidi="ar-SA"/>
          <w:color w:val="111111"/>
          <w:sz w:val="28"/>
          <w:szCs w:val="28"/>
          <w:rtl/>
        </w:rPr>
        <w:t xml:space="preserve">۱۶. تهران؛ دائرة المعارف؛ شماره نسخه: ۵۱۵/۲</w:t>
      </w:r>
    </w:p>
    <w:p>
      <w:pPr>
        <w:pStyle w:val="BookText"/>
      </w:pPr>
      <w:r>
        <w:rPr>
          <w:rFonts w:ascii="IRNazanin" w:hAnsi="IRNazanin" w:eastAsia="IRNazanin" w:cs="IRNazanin"/>
          <w:lang w:bidi="fa-IR"/>
          <w:color w:val="111111"/>
          <w:sz w:val="28"/>
          <w:szCs w:val="28"/>
          <w:rtl/>
        </w:rPr>
        <w:t xml:space="preserve">آغاز: بسمله ارتفاع بلند شدن کواکب است یا نقطه معینه از افق. بیانش آن است که در هیئت مقرر شده که دایره ارتفاع عظیمه ای است که به دو قطب افق یعنی سمت الرأس؛ انجام: و این درجه طالع است</w:t>
      </w:r>
    </w:p>
    <w:p>
      <w:pPr>
        <w:pStyle w:val="BookText"/>
      </w:pPr>
      <w:r>
        <w:rPr>
          <w:rFonts w:ascii="IRNazanin" w:hAnsi="IRNazanin" w:eastAsia="IRNazanin" w:cs="IRNazanin"/>
          <w:lang w:bidi="fa-IR"/>
          <w:color w:val="111111"/>
          <w:sz w:val="28"/>
          <w:szCs w:val="28"/>
          <w:rtl/>
        </w:rPr>
        <w:t xml:space="preserve">نام کتاب و مؤلف در نسخه نیامده، سربندها نیز نانویس مانده است. پس از نخستین سربند:« و چون علاقه بگیرند و اسطرلاب را معلق دارند، خط علاقه بر سطح دایره، بر افق قائم  شود و مرکز اسطرلاب نسبت با فلک شمسی و فلک ثوابت همان مرکز زمین است؛ خط: نستعلیق  تحریری، بی کا، تا: قرن ۱۳؛ ۵گ (۴۱پ- ۴۵پ) [ف: ۱ - ۱۸]</w:t>
      </w:r>
    </w:p>
    <w:p>
      <w:pPr>
        <w:pStyle w:val="BookText"/>
      </w:pPr>
      <w:r>
        <w:rPr>
          <w:rFonts w:ascii="IRNazanin" w:hAnsi="IRNazanin" w:eastAsia="IRNazanin" w:cs="IRNazanin"/>
          <w:lang w:bidi="fa-IR"/>
          <w:color w:val="111111"/>
          <w:sz w:val="28"/>
          <w:szCs w:val="28"/>
          <w:rtl/>
        </w:rPr>
        <w:t xml:space="preserve">۱۷. مشهد؛ رضوی؛ شماره نسخه: ۲۰۶۴۹</w:t>
      </w:r>
    </w:p>
    <w:p>
      <w:pPr>
        <w:pStyle w:val="BookText"/>
      </w:pPr>
      <w:r>
        <w:rPr>
          <w:rFonts w:ascii="IRNazanin" w:hAnsi="IRNazanin" w:eastAsia="IRNazanin" w:cs="IRNazanin"/>
          <w:lang w:bidi="fa-IR"/>
          <w:color w:val="111111"/>
          <w:sz w:val="28"/>
          <w:szCs w:val="28"/>
          <w:rtl/>
        </w:rPr>
        <w:t xml:space="preserve">آغاز: بسمله. مقدمه هر چیزی که قابل اساره حسی باشد اگر قابل؛</w:t>
      </w:r>
    </w:p>
    <w:p>
      <w:pPr>
        <w:pStyle w:val="BookText"/>
      </w:pPr>
      <w:r>
        <w:rPr>
          <w:rFonts w:ascii="Amiri" w:hAnsi="Amiri" w:eastAsia="Amiri" w:cs="Amiri"/>
          <w:lang w:bidi="ar-SA"/>
          <w:color w:val="111111"/>
          <w:sz w:val="28"/>
          <w:szCs w:val="28"/>
          <w:rtl/>
        </w:rPr>
        <w:t xml:space="preserve">انجام: و هو موجود فلايرد محذور حاشيه منه</w:t>
      </w:r>
    </w:p>
    <w:p>
      <w:pPr>
        <w:pStyle w:val="BookText"/>
      </w:pPr>
      <w:r>
        <w:rPr>
          <w:rFonts w:ascii="IRNazanin" w:hAnsi="IRNazanin" w:eastAsia="IRNazanin" w:cs="IRNazanin"/>
          <w:lang w:bidi="fa-IR"/>
          <w:color w:val="111111"/>
          <w:sz w:val="28"/>
          <w:szCs w:val="28"/>
          <w:rtl/>
        </w:rPr>
        <w:t xml:space="preserve">خط: نستعلیق  شکسته، بی کا، تا: قرن ۱۳ [رایانه]</w:t>
      </w:r>
    </w:p>
    <w:p>
      <w:pPr>
        <w:pStyle w:val="BookText"/>
      </w:pPr>
      <w:r>
        <w:rPr>
          <w:rFonts w:ascii="IRNazanin" w:hAnsi="IRNazanin" w:eastAsia="IRNazanin" w:cs="IRNazanin"/>
          <w:lang w:bidi="fa-IR"/>
          <w:color w:val="111111"/>
          <w:sz w:val="28"/>
          <w:szCs w:val="28"/>
          <w:rtl/>
        </w:rPr>
        <w:t xml:space="preserve">18.تهران؛ شهشهانی حسین؛ شماره نسخه: بدون شماره</w:t>
      </w:r>
    </w:p>
    <w:p>
      <w:pPr>
        <w:pStyle w:val="BookText"/>
      </w:pPr>
      <w:r>
        <w:rPr>
          <w:rFonts w:ascii="IRNazanin" w:hAnsi="IRNazanin" w:eastAsia="IRNazanin" w:cs="IRNazanin"/>
          <w:lang w:bidi="fa-IR"/>
          <w:color w:val="111111"/>
          <w:sz w:val="28"/>
          <w:szCs w:val="28"/>
          <w:rtl/>
        </w:rPr>
        <w:t xml:space="preserve">بی  کا، تا: ۱۲۶۵ق [ میراث اسلامی: ۵ - ۶۰۲]</w:t>
      </w:r>
    </w:p>
    <w:p>
      <w:pPr>
        <w:pStyle w:val="BookText"/>
      </w:pPr>
      <w:r>
        <w:rPr>
          <w:rFonts w:ascii="IRNazanin" w:hAnsi="IRNazanin" w:eastAsia="IRNazanin" w:cs="IRNazanin"/>
          <w:lang w:bidi="fa-IR"/>
          <w:color w:val="111111"/>
          <w:sz w:val="28"/>
          <w:szCs w:val="28"/>
          <w:rtl/>
        </w:rPr>
        <w:t xml:space="preserve">۱۹. تهران؛ دانشگاه؛ شماره نسخه: ۳۳۷۱/۷</w:t>
      </w:r>
    </w:p>
    <w:p>
      <w:pPr>
        <w:pStyle w:val="BookText"/>
      </w:pPr>
      <w:r>
        <w:rPr>
          <w:rFonts w:ascii="IRNazanin" w:hAnsi="IRNazanin" w:eastAsia="IRNazanin" w:cs="IRNazanin"/>
          <w:lang w:bidi="fa-IR"/>
          <w:color w:val="111111"/>
          <w:sz w:val="28"/>
          <w:szCs w:val="28"/>
          <w:rtl/>
        </w:rPr>
        <w:t xml:space="preserve">آغاز: بسمله الحمد الله وسلام على عباده الذين اصطفى وبعد فهذه رسالة في معرفة صنعة الاسطرلاب مشتملة على ثلثة ابواب و خاتمة باب اول در کیفیت صنعت ام و آن را حجره نیز خوانـند؛</w:t>
      </w:r>
    </w:p>
    <w:p>
      <w:pPr>
        <w:pStyle w:val="BookText"/>
      </w:pPr>
      <w:r>
        <w:rPr>
          <w:rFonts w:ascii="IRNazanin" w:hAnsi="IRNazanin" w:eastAsia="IRNazanin" w:cs="IRNazanin"/>
          <w:lang w:bidi="fa-IR"/>
          <w:color w:val="111111"/>
          <w:sz w:val="28"/>
          <w:szCs w:val="28"/>
          <w:rtl/>
        </w:rPr>
        <w:t xml:space="preserve">انجام: و اگر زیاده از این خواهند بمطولات این فن رجوع باید نمود تا مقصود حاصل شود و  الحمد الله رب العالمين.</w:t>
      </w:r>
    </w:p>
    <w:p>
      <w:pPr>
        <w:pStyle w:val="BookText"/>
      </w:pPr>
      <w:r>
        <w:rPr>
          <w:rFonts w:ascii="IRNazanin" w:hAnsi="IRNazanin" w:eastAsia="IRNazanin" w:cs="IRNazanin"/>
          <w:lang w:bidi="fa-IR"/>
          <w:color w:val="111111"/>
          <w:sz w:val="28"/>
          <w:szCs w:val="28"/>
          <w:rtl/>
        </w:rPr>
        <w:t xml:space="preserve">در سه «باب» و «خاتمه»، باب یکم در سه «فصل»، دومی در هفت «فصل» سوم در سه «فصل» ، خاتمه در هشت «فصل» خط:نستعلیق،  بی کا، بی تا ؛کاغذ: سپاهانی آهار مهره، جلد: تیماج مشکی ضربی مقوایی،  ۱۴گ ،(۱۵۷-۱۷۰)، ۱۶ سطر (۵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۱۹/۵سم [ف : ۱۱ - ۲۳۷۰]</w:t>
      </w:r>
    </w:p>
    <w:p>
      <w:pPr>
        <w:pStyle w:val="BookText"/>
      </w:pPr>
      <w:r>
        <w:rPr>
          <w:rFonts w:ascii="IRNazanin" w:hAnsi="IRNazanin" w:eastAsia="IRNazanin" w:cs="IRNazanin"/>
          <w:lang w:bidi="fa-IR"/>
          <w:color w:val="111111"/>
          <w:sz w:val="28"/>
          <w:szCs w:val="28"/>
          <w:rtl/>
        </w:rPr>
        <w:t xml:space="preserve">۲۰ . قم؛ گلپایگانی؛ شماره نسخه: ۸۵۲۸/۱-۵۷/۱۹۸</w:t>
      </w:r>
    </w:p>
    <w:p>
      <w:pPr>
        <w:pStyle w:val="BookText"/>
      </w:pPr>
      <w:r>
        <w:rPr>
          <w:rFonts w:ascii="IRNazanin" w:hAnsi="IRNazanin" w:eastAsia="IRNazanin" w:cs="IRNazanin"/>
          <w:lang w:bidi="fa-IR"/>
          <w:color w:val="111111"/>
          <w:sz w:val="28"/>
          <w:szCs w:val="28"/>
          <w:rtl/>
        </w:rPr>
        <w:t xml:space="preserve">آغاز: و اعمال اسطرلاب بیشتر از دیگرها بازی یکم و چنانچه در کتب استادان دیدیم مانند سؤال و جواب استاد ابوجعفر بن محمد بن ایوب الحاسب الطبرى</w:t>
      </w:r>
    </w:p>
    <w:p>
      <w:pPr>
        <w:pStyle w:val="BookText"/>
      </w:pPr>
      <w:r>
        <w:rPr>
          <w:rFonts w:ascii="IRNazanin" w:hAnsi="IRNazanin" w:eastAsia="IRNazanin" w:cs="IRNazanin"/>
          <w:lang w:bidi="fa-IR"/>
          <w:color w:val="111111"/>
          <w:sz w:val="28"/>
          <w:szCs w:val="28"/>
          <w:rtl/>
        </w:rPr>
        <w:t xml:space="preserve">رساله مفصلی است در معرفت اسطرلاب شامل سه مقاله و هر مقاله در چند باب و هر باب در چند فصل: مقاله ۱. بیان معرفت اسطرلاب و آنچه بدان تعلق دارد شامل هفده «باب»، ۲. معرفت صفحه آفاقی و اسطرلاب قوسی و مستدل و کشفی و ....، ۳. بیان علم خطوط اسطرلاب شامل چهار«باب»؛ خط: نستعلیق، بی کا، بی تا، افتادگی: آغاز و انجام؛ ۱۰۱گ (۱-۱۰۱)، ۱۶-۲۱ سطر،  اندازه: ۱۰</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۱۷سم [ف: ۱ - ۳۵۵]</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تهران؛ مروی؛ شماره نسخه: ۱۰۳۰/۱</w:t>
      </w:r>
    </w:p>
    <w:p>
      <w:pPr>
        <w:pStyle w:val="BookText"/>
      </w:pPr>
      <w:r>
        <w:rPr>
          <w:rFonts w:ascii="IRNazanin" w:hAnsi="IRNazanin" w:eastAsia="IRNazanin" w:cs="IRNazanin"/>
          <w:lang w:bidi="fa-IR"/>
          <w:color w:val="111111"/>
          <w:sz w:val="28"/>
          <w:szCs w:val="28"/>
          <w:rtl/>
        </w:rPr>
        <w:t xml:space="preserve">بی کا، بی تا؛ قطع: خشتی [ف :۳۳۲]</w:t>
      </w:r>
    </w:p>
    <w:p>
      <w:pPr>
        <w:pStyle w:val="BookText"/>
      </w:pPr>
      <w:r>
        <w:rPr>
          <w:rFonts w:ascii="IRNazanin" w:hAnsi="IRNazanin" w:eastAsia="IRNazanin" w:cs="IRNazanin"/>
          <w:lang w:bidi="fa-IR"/>
          <w:color w:val="111111"/>
          <w:sz w:val="28"/>
          <w:szCs w:val="28"/>
          <w:rtl/>
        </w:rPr>
        <w:t xml:space="preserve">۲۲. تهران؛ ملی؛ شماره نسخه: ۱۷۶۸۴</w:t>
      </w:r>
    </w:p>
    <w:p>
      <w:pPr>
        <w:pStyle w:val="BookText"/>
      </w:pPr>
      <w:r>
        <w:rPr>
          <w:rFonts w:ascii="IRNazanin" w:hAnsi="IRNazanin" w:eastAsia="IRNazanin" w:cs="IRNazanin"/>
          <w:lang w:bidi="fa-IR"/>
          <w:color w:val="111111"/>
          <w:sz w:val="28"/>
          <w:szCs w:val="28"/>
          <w:rtl/>
        </w:rPr>
        <w:t xml:space="preserve">بی کا، بی تا؛ انتقالی از کتابخانه پهلوی - مجموعه نوازی؛ اندازه: ۹/۲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١٧/٩سم [رایانه ]</w:t>
      </w:r>
    </w:p>
    <w:p>
      <w:pPr>
        <w:pStyle w:val="BookText"/>
      </w:pPr>
      <w:r>
        <w:rPr>
          <w:rFonts w:ascii="IRNazanin" w:hAnsi="IRNazanin" w:eastAsia="IRNazanin" w:cs="IRNazanin"/>
          <w:lang w:bidi="fa-IR"/>
          <w:color w:val="111111"/>
          <w:sz w:val="28"/>
          <w:szCs w:val="28"/>
          <w:rtl/>
        </w:rPr>
        <w:t xml:space="preserve">۲۳. تهران؛ ملی؛ شماره نسخه: ۱۵۶۶۹</w:t>
      </w:r>
    </w:p>
    <w:p>
      <w:pPr>
        <w:pStyle w:val="BookText"/>
      </w:pPr>
      <w:r>
        <w:rPr>
          <w:rFonts w:ascii="IRNazanin" w:hAnsi="IRNazanin" w:eastAsia="IRNazanin" w:cs="IRNazanin"/>
          <w:lang w:bidi="fa-IR"/>
          <w:color w:val="111111"/>
          <w:sz w:val="28"/>
          <w:szCs w:val="28"/>
          <w:rtl/>
        </w:rPr>
        <w:t xml:space="preserve">رساله بسیار مختصری است در اسطرلاب و نجوم؛ خط: نستعلیق، بی کا، بی تا؛ محشی؛ در برگ ۵۵پ جدول تعدیل عمل زین الدین محمد لاری نوشته شده؛ مهر: «شعاع ۱۳۰۵» (بیضی)؛ کاغذ: اصفهانی نخودی، جلد: تیماج ماشی رنگ و رو رفته، ۱۲گ (۴۴پ-۵۵) مختلف السطر، اندازه: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[رایانه]</w:t>
      </w:r>
    </w:p>
    <w:p>
      <w:pPr>
        <w:pStyle w:val="BookText"/>
      </w:pPr>
      <w:r>
        <w:rPr>
          <w:rFonts w:ascii="IRNazanin" w:hAnsi="IRNazanin" w:eastAsia="IRNazanin" w:cs="IRNazanin"/>
          <w:lang w:bidi="fa-IR"/>
          <w:color w:val="111111"/>
          <w:sz w:val="28"/>
          <w:szCs w:val="28"/>
          <w:rtl/>
        </w:rPr>
        <w:t xml:space="preserve">24.تهران؛ ملی؛ شماره نسخه: ۲۰۰۹۳</w:t>
      </w:r>
    </w:p>
    <w:p>
      <w:pPr>
        <w:pStyle w:val="BookText"/>
      </w:pPr>
      <w:r>
        <w:rPr>
          <w:rFonts w:ascii="IRNazanin" w:hAnsi="IRNazanin" w:eastAsia="IRNazanin" w:cs="IRNazanin"/>
          <w:lang w:bidi="fa-IR"/>
          <w:color w:val="111111"/>
          <w:sz w:val="28"/>
          <w:szCs w:val="28"/>
          <w:rtl/>
        </w:rPr>
        <w:t xml:space="preserve">بی کا، بی تا: خریداری از مهردخت همایی [رایانه]</w:t>
      </w:r>
    </w:p>
    <w:p>
      <w:pPr>
        <w:pStyle w:val="BookText"/>
      </w:pPr>
      <w:r>
        <w:rPr>
          <w:rFonts w:ascii="IRNazanin" w:hAnsi="IRNazanin" w:eastAsia="IRNazanin" w:cs="IRNazanin"/>
          <w:lang w:bidi="fa-IR"/>
          <w:color w:val="111111"/>
          <w:sz w:val="28"/>
          <w:szCs w:val="28"/>
          <w:rtl/>
        </w:rPr>
        <w:t xml:space="preserve">۲۵. تهران؛ مجلس؛ شماره نسخه: ۱۷۳۷۸</w:t>
      </w:r>
    </w:p>
    <w:p>
      <w:pPr>
        <w:pStyle w:val="BookText"/>
      </w:pPr>
      <w:r>
        <w:rPr>
          <w:rFonts w:ascii="IRNazanin" w:hAnsi="IRNazanin" w:eastAsia="IRNazanin" w:cs="IRNazanin"/>
          <w:lang w:bidi="fa-IR"/>
          <w:color w:val="111111"/>
          <w:sz w:val="28"/>
          <w:szCs w:val="28"/>
          <w:rtl/>
        </w:rPr>
        <w:t xml:space="preserve">بی کا، بی تا [دث. مجلس]</w:t>
      </w:r>
    </w:p>
    <w:p>
      <w:pPr>
        <w:pStyle w:val="BookText"/>
      </w:pPr>
      <w:r>
        <w:rPr>
          <w:rFonts w:ascii="IRNazanin" w:hAnsi="IRNazanin" w:eastAsia="IRNazanin" w:cs="IRNazanin"/>
          <w:lang w:bidi="fa-IR"/>
          <w:color w:val="111111"/>
          <w:sz w:val="28"/>
          <w:szCs w:val="28"/>
          <w:rtl/>
        </w:rPr>
        <w:t xml:space="preserve">۲۶ . قم؛ مرعشی؛ شماره نسخه: بدون شماره</w:t>
      </w:r>
    </w:p>
    <w:p>
      <w:pPr>
        <w:pStyle w:val="BookText"/>
      </w:pPr>
      <w:r>
        <w:rPr>
          <w:rFonts w:ascii="IRNazanin" w:hAnsi="IRNazanin" w:eastAsia="IRNazanin" w:cs="IRNazanin"/>
          <w:lang w:bidi="fa-IR"/>
          <w:color w:val="111111"/>
          <w:sz w:val="28"/>
          <w:szCs w:val="28"/>
          <w:rtl/>
        </w:rPr>
        <w:t xml:space="preserve">بی کا، تا: از عصر تیموریان برنجی کوچک، دارای دو برگ  مسطح برنجی [میراث شهاب: س ۵ش ۳ و ۴ - ۱۵۰]</w:t>
      </w:r>
    </w:p>
    <w:p>
      <w:pPr>
        <w:pStyle w:val="BookText"/>
      </w:pPr>
      <w:r>
        <w:rPr>
          <w:rFonts w:ascii="IRNazanin" w:hAnsi="IRNazanin" w:eastAsia="IRNazanin" w:cs="IRNazanin"/>
          <w:lang w:bidi="fa-IR"/>
          <w:color w:val="111111"/>
          <w:sz w:val="28"/>
          <w:szCs w:val="28"/>
          <w:rtl/>
        </w:rPr>
        <w:t xml:space="preserve">۲۷. قم؛ مرعشی؛ شماره نسخه: ۱۰۲۵۲/۴</w:t>
      </w:r>
    </w:p>
    <w:p>
      <w:pPr>
        <w:pStyle w:val="BookText"/>
      </w:pPr>
      <w:r>
        <w:rPr>
          <w:rFonts w:ascii="IRNazanin" w:hAnsi="IRNazanin" w:eastAsia="IRNazanin" w:cs="IRNazanin"/>
          <w:lang w:bidi="fa-IR"/>
          <w:color w:val="111111"/>
          <w:sz w:val="28"/>
          <w:szCs w:val="28"/>
          <w:rtl/>
        </w:rPr>
        <w:t xml:space="preserve">كا: زين العابدين بن ابیطالب، بی تا[ میراث شهاب س ۸ش ۴ - ۷۰]</w:t>
      </w:r>
    </w:p>
    <w:p>
      <w:pPr>
        <w:pStyle w:val="BookText"/>
      </w:pPr>
      <w:r>
        <w:rPr>
          <w:rFonts w:ascii="IRNazanin" w:hAnsi="IRNazanin" w:eastAsia="IRNazanin" w:cs="IRNazanin"/>
          <w:lang w:bidi="fa-IR"/>
          <w:color w:val="111111"/>
          <w:sz w:val="28"/>
          <w:szCs w:val="28"/>
          <w:rtl/>
        </w:rPr>
        <w:t xml:space="preserve">۲۸. تهران؛ ادبیات؛ شماره نسخه: ۹۲/۳ - د</w:t>
      </w:r>
    </w:p>
    <w:p>
      <w:pPr>
        <w:pStyle w:val="BookText"/>
      </w:pPr>
      <w:r>
        <w:rPr>
          <w:rFonts w:ascii="IRNazanin" w:hAnsi="IRNazanin" w:eastAsia="IRNazanin" w:cs="IRNazanin"/>
          <w:lang w:bidi="fa-IR"/>
          <w:color w:val="111111"/>
          <w:sz w:val="28"/>
          <w:szCs w:val="28"/>
          <w:rtl/>
        </w:rPr>
        <w:t xml:space="preserve">آغاز: این رساله ایست در معرفت اسطرلاب مشتمل بر چهار فصل؛ انجام: این بود چند کلمه که نوشته شده... باشارت حضرت آصف العهد و الزمان المؤيد من عند الله ... اعلى الله تعالى شأنه نحراً على العالمين ... وسلم تسليماً كثيراً كثيرا</w:t>
      </w:r>
    </w:p>
    <w:p>
      <w:pPr>
        <w:pStyle w:val="BookText"/>
      </w:pPr>
      <w:r>
        <w:rPr>
          <w:rFonts w:ascii="IRNazanin" w:hAnsi="IRNazanin" w:eastAsia="IRNazanin" w:cs="IRNazanin"/>
          <w:lang w:bidi="fa-IR"/>
          <w:color w:val="111111"/>
          <w:sz w:val="28"/>
          <w:szCs w:val="28"/>
          <w:rtl/>
        </w:rPr>
        <w:t xml:space="preserve">خط: نستعلیق، بی کا، بی تا؛ ش ۲ این مجموعه در تکیه حیدر تبریز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300" w:name="pg20365_260419"/>
    <w:bookmarkEnd w:id="300"/>
    <w:p>
      <w:pPr>
        <w:pStyle w:val="BookText"/>
      </w:pPr>
      <w:r>
        <w:rPr>
          <w:rFonts w:ascii="IRNazanin" w:hAnsi="IRNazanin" w:eastAsia="IRNazanin" w:cs="IRNazanin"/>
          <w:lang w:bidi="fa-IR"/>
          <w:color w:val="111111"/>
          <w:sz w:val="28"/>
          <w:szCs w:val="28"/>
          <w:rtl/>
        </w:rPr>
        <w:t xml:space="preserve">کتابت شده؛ ۶گ،( ۵۷ پ -۶۲) [ف: ۱ - ۲۸]</w:t>
      </w:r>
    </w:p>
    <w:p>
      <w:pPr>
        <w:pStyle w:val="BookText"/>
      </w:pPr>
      <w:r>
        <w:rPr>
          <w:rFonts w:ascii="IRNazanin" w:hAnsi="IRNazanin" w:eastAsia="IRNazanin" w:cs="IRNazanin"/>
          <w:lang w:bidi="fa-IR"/>
          <w:color w:val="111111"/>
          <w:sz w:val="28"/>
          <w:szCs w:val="28"/>
          <w:rtl/>
        </w:rPr>
        <w:t xml:space="preserve">۲۹. تهران؛ مجلس؛ شماره نسخه: ۶۴۶۹/۸</w:t>
      </w:r>
    </w:p>
    <w:p>
      <w:pPr>
        <w:pStyle w:val="BookText"/>
      </w:pPr>
      <w:r>
        <w:rPr>
          <w:rFonts w:ascii="IRNazanin" w:hAnsi="IRNazanin" w:eastAsia="IRNazanin" w:cs="IRNazanin"/>
          <w:lang w:bidi="fa-IR"/>
          <w:color w:val="111111"/>
          <w:sz w:val="28"/>
          <w:szCs w:val="28"/>
          <w:rtl/>
        </w:rPr>
        <w:t xml:space="preserve">آغاز: بابی چند در معرفت اسطرلاب باب اول: در ارتفاع گرفتن آفتاب چون خواهد که ارتفاع شمس گیرد اسطرلاب از دست راست در آویزد و پهلو چپ بر شمس کند؛ انجام: باقی که از زیر پای مانده بود که یک گزبودسی و شش گز قسمت بیرون آمد اصل چوب که شش است از سی و شش نقصان کردیم باقی سی بماند و این درازی چاه است و الله اعلم.</w:t>
      </w:r>
    </w:p>
    <w:p>
      <w:pPr>
        <w:pStyle w:val="BookText"/>
      </w:pPr>
      <w:r>
        <w:rPr>
          <w:rFonts w:ascii="IRNazanin" w:hAnsi="IRNazanin" w:eastAsia="IRNazanin" w:cs="IRNazanin"/>
          <w:lang w:bidi="fa-IR"/>
          <w:color w:val="111111"/>
          <w:sz w:val="28"/>
          <w:szCs w:val="28"/>
          <w:rtl/>
        </w:rPr>
        <w:t xml:space="preserve">ده باب بسیار مختصر است در شناخت اسطرلاب: ۱. ارتـفاع گرفتن آفتاب، ۲. طالع وقت ندانستن به روز؛ ۳. بدانستن که چند ساعت از روز گذشته است .۴. بدانستن قوس النهار؛ ۵. ساعـات زمانیه  بدانستن، ۶. بدانستن طالع  وقت، ۷. غایت ارتفاع كوكب،8. بدانستن طالع سال آینده،9 . بدانستن</w:t>
      </w:r>
    </w:p>
    <w:p>
      <w:pPr>
        <w:pStyle w:val="BookText"/>
      </w:pPr>
      <w:r>
        <w:rPr>
          <w:rFonts w:ascii="IRNazanin" w:hAnsi="IRNazanin" w:eastAsia="IRNazanin" w:cs="IRNazanin"/>
          <w:lang w:bidi="fa-IR"/>
          <w:color w:val="111111"/>
          <w:sz w:val="28"/>
          <w:szCs w:val="28"/>
          <w:rtl/>
        </w:rPr>
        <w:t xml:space="preserve">طالع تحويل مولود، 10.پیمودن چاه و چیزی که دور بود؛ خط: نسخ، بی کا، بی تا؛ جـلد: مقوایی با روکش ابر و باد و سرطبل  دار، ٣گ (۵۷ ر -۵۹ر) ، اندازه:۱۴/۵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۲۴/۵سم [ف : ۲۰ - ۴۷]</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تهران؛ مجلس؛ شماره نسخه: ۶۴۹۲/۱۳</w:t>
      </w:r>
    </w:p>
    <w:p>
      <w:pPr>
        <w:pStyle w:val="BookText"/>
      </w:pPr>
      <w:r>
        <w:rPr>
          <w:rFonts w:ascii="IRNazanin" w:hAnsi="IRNazanin" w:eastAsia="IRNazanin" w:cs="IRNazanin"/>
          <w:lang w:bidi="fa-IR"/>
          <w:color w:val="111111"/>
          <w:sz w:val="28"/>
          <w:szCs w:val="28"/>
          <w:rtl/>
        </w:rPr>
        <w:t xml:space="preserve">آغاز: الحمد لله رب العالمین ... بدان که این رساله ای است در بیـان اعمال دستور اسطرلاب و اعمال اسطرلاب از وری دستور مشتـمل بر دو باب؛ انجام: و اما باید ربعی ازام که مطلوبست رسم خطوط ظل برد موازی ربعی از دستور باشد که مخطط به خطوط ظل است و به طریق سابق مسطره را بر اقسام ظل و مرکز منطبق ساخته خطوط ظل برگشته.</w:t>
      </w:r>
    </w:p>
    <w:p>
      <w:pPr>
        <w:pStyle w:val="BookText"/>
      </w:pPr>
      <w:r>
        <w:rPr>
          <w:rFonts w:ascii="IRNazanin" w:hAnsi="IRNazanin" w:eastAsia="IRNazanin" w:cs="IRNazanin"/>
          <w:lang w:bidi="fa-IR"/>
          <w:color w:val="111111"/>
          <w:sz w:val="28"/>
          <w:szCs w:val="28"/>
          <w:rtl/>
        </w:rPr>
        <w:t xml:space="preserve">رساله مختصری است در اسطرلاب و کیفیت عمل با آن در باب بدین عناوین: ۱. در بیان ساختن دستور عمده که جهت رسم مدارات ثلاثه و مقنطرات و سموت و دوایر مطرح الشعاع می باشد که آن را دستور صفایح گویند ،۲. در بیان کیفیت صفت دسـتور خطوط ظل و قسمت ام و کیفیت رسم خطوط ظل از روی دستور؛ خط: نستعلیق، بی کا، بی تا؛ افتادگی: انجام؛ مصحح، برخی از برگ ها افتادکی دارد که جای آنها کاغذ سفید گذاشته اند ؛جلد: تيماج قهوه ای ضربی ترنج و سرترنج دار ضربی عطف ترمیمی ،  ۳گ (۱۷۷پ-۱۷۹پ) ،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۲۳/۵سم [ف: ۲۰ - 73]</w:t>
      </w:r>
    </w:p>
    <w:p>
      <w:pPr>
        <w:pStyle w:val="Heading3"/>
      </w:pPr>
      <w:bookmarkStart w:id="1521" w:name="_Toc1043"/>
      <w:r>
        <w:t>اسطرلاب آفاقی / اسطرلاب / فارسی</w:t>
      </w:r>
      <w:bookmarkEnd w:id="1521"/>
    </w:p>
    <w:p>
      <w:pPr>
        <w:pStyle w:val="BookText"/>
      </w:pPr>
      <w:r>
        <w:rPr>
          <w:rFonts w:ascii="Times New Roman" w:hAnsi="Times New Roman" w:eastAsia="Times New Roman" w:cs="Times New Roman"/>
          <w:lang w:val="en-US" w:bidi="en-US"/>
          <w:color w:val="111111"/>
          <w:sz w:val="28"/>
          <w:szCs w:val="28"/>
          <w:rtl/>
        </w:rPr>
        <w:t xml:space="preserve">ostorlāb-e āfāqī</w:t>
      </w:r>
    </w:p>
    <w:p>
      <w:pPr>
        <w:pStyle w:val="BookText"/>
      </w:pPr>
      <w:r>
        <w:rPr>
          <w:rFonts w:ascii="IRNazanin" w:hAnsi="IRNazanin" w:eastAsia="IRNazanin" w:cs="IRNazanin"/>
          <w:lang w:bidi="fa-IR"/>
          <w:color w:val="111111"/>
          <w:sz w:val="28"/>
          <w:szCs w:val="28"/>
          <w:rtl/>
        </w:rPr>
        <w:t xml:space="preserve">تهران؛ دانشگاه؛ شماره نسخه: 2/ 2092</w:t>
      </w:r>
    </w:p>
    <w:p>
      <w:pPr>
        <w:pStyle w:val="BookText"/>
      </w:pPr>
      <w:r>
        <w:rPr>
          <w:rFonts w:ascii="IRNazanin" w:hAnsi="IRNazanin" w:eastAsia="IRNazanin" w:cs="IRNazanin"/>
          <w:lang w:bidi="fa-IR"/>
          <w:color w:val="111111"/>
          <w:sz w:val="28"/>
          <w:szCs w:val="28"/>
          <w:rtl/>
        </w:rPr>
        <w:t xml:space="preserve">آغاز: رساله در معرفت اصطرلاب آفاقی .بسمله و به ثقتی چـون ابتدا كنى بطالع گرفتن اسطرلاب آفاقی؛ انجام: ولكن طالع بر خط (تمت).</w:t>
      </w:r>
    </w:p>
    <w:p>
      <w:pPr>
        <w:pStyle w:val="BookText"/>
      </w:pPr>
      <w:r>
        <w:rPr>
          <w:rFonts w:ascii="IRNazanin" w:hAnsi="IRNazanin" w:eastAsia="IRNazanin" w:cs="IRNazanin"/>
          <w:lang w:bidi="fa-IR"/>
          <w:color w:val="111111"/>
          <w:sz w:val="28"/>
          <w:szCs w:val="28"/>
          <w:rtl/>
        </w:rPr>
        <w:t xml:space="preserve">خط: نستعلیق، کا: محمد یوسف بن محمد حسین  طالقانی، بی تا؛ کاغذ: سپاهانی، جلد: تیماج حنایی، ۲گ (۲۶ پ - ۲۷پ)، ۱۶ سـطر (6</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۸ - ۷۱۷]</w:t>
      </w:r>
    </w:p>
    <w:p>
      <w:pPr>
        <w:pStyle w:val="Heading3"/>
      </w:pPr>
      <w:bookmarkStart w:id="1522" w:name="_Toc1044"/>
      <w:r>
        <w:t>الاسطرلاب الاكرى / اسطرلاب / عربی</w:t>
      </w:r>
      <w:bookmarkEnd w:id="1522"/>
    </w:p>
    <w:p>
      <w:pPr>
        <w:pStyle w:val="BookText"/>
      </w:pPr>
      <w:r>
        <w:rPr>
          <w:rFonts w:ascii="Times New Roman" w:hAnsi="Times New Roman" w:eastAsia="Times New Roman" w:cs="Times New Roman"/>
          <w:lang w:val="en-US" w:bidi="en-US"/>
          <w:color w:val="111111"/>
          <w:sz w:val="28"/>
          <w:szCs w:val="28"/>
          <w:rtl/>
        </w:rPr>
        <w:t xml:space="preserve">al-usṭurlāb-ul ukarī</w:t>
      </w:r>
    </w:p>
    <w:p>
      <w:pPr>
        <w:pStyle w:val="BookText"/>
      </w:pPr>
      <w:r>
        <w:rPr>
          <w:rFonts w:ascii="IRNazanin" w:hAnsi="IRNazanin" w:eastAsia="IRNazanin" w:cs="IRNazanin"/>
          <w:lang w:bidi="fa-IR"/>
          <w:color w:val="111111"/>
          <w:sz w:val="28"/>
          <w:szCs w:val="28"/>
          <w:rtl/>
        </w:rPr>
        <w:t xml:space="preserve">برای ملک اشرف در ۲۴ (باب)</w:t>
      </w:r>
    </w:p>
    <w:p>
      <w:pPr>
        <w:pStyle w:val="BookText"/>
      </w:pPr>
      <w:r>
        <w:rPr>
          <w:rFonts w:ascii="IRNazanin" w:hAnsi="IRNazanin" w:eastAsia="IRNazanin" w:cs="IRNazanin"/>
          <w:lang w:bidi="fa-IR"/>
          <w:color w:val="111111"/>
          <w:sz w:val="28"/>
          <w:szCs w:val="28"/>
          <w:rtl/>
        </w:rPr>
        <w:t xml:space="preserve">تهران؛ الهیات؛ شماره نسخه: ۱۸۵/۵</w:t>
      </w:r>
    </w:p>
    <w:p>
      <w:pPr>
        <w:pStyle w:val="BookText"/>
      </w:pPr>
      <w:r>
        <w:rPr>
          <w:rFonts w:ascii="IRNazanin" w:hAnsi="IRNazanin" w:eastAsia="IRNazanin" w:cs="IRNazanin"/>
          <w:lang w:bidi="fa-IR"/>
          <w:color w:val="111111"/>
          <w:sz w:val="28"/>
          <w:szCs w:val="28"/>
          <w:rtl/>
        </w:rPr>
        <w:t xml:space="preserve">آغاز: الحمد لله الذي شرف بطاعته الاملاك و صرف بقدرته الافلاک و نور بنور وجهه؛ انجام: و الثانية من اجزاء دائرة معدل النهار فهو مطالع تلك الاقسام في البلد فهذا ما امكن ارادة ... و من الله اسئل نفحة القبول و بلوغ الامل والسئول و هو حسبنا</w:t>
      </w:r>
    </w:p>
    <w:p>
      <w:pPr>
        <w:pStyle w:val="BookText"/>
      </w:pPr>
      <w:r>
        <w:rPr>
          <w:rFonts w:ascii="IRNazanin" w:hAnsi="IRNazanin" w:eastAsia="IRNazanin" w:cs="IRNazanin"/>
          <w:lang w:bidi="fa-IR"/>
          <w:color w:val="111111"/>
          <w:sz w:val="28"/>
          <w:szCs w:val="28"/>
          <w:rtl/>
        </w:rPr>
        <w:t xml:space="preserve">خط: نستعلیق، بی کا،تا: قرن ۱۱؛ در برگ ۷۶ر تا ۷۲ر دانستن  وقایع فرقه ماضيه و شناختن امم سالفه از باب تدابیر و سال تاریخ از ابتدای دور فلکی تا ۱۰۰۳ هجری و جلوس عباس شاه به فارسی نزدیک به یک  برگ، و استخراج مدعی در یک صفحه به فارسی، و استخراج اسماء مأنوسه از حروف اسمشریف ا س م ع ى ل و دانستن مراتب اعداد  هندسه، و مطالبی در خواص اذکار و  رسوم و جدولی در دانستن غره هر ماه از خواجه طوسی؛ کاغذ: ،فرنگی ،جلد: تیماج سبز ،مقوایی ،۶گ (۶۲ر-۶۷ر)، ۱۷ سطر (9</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۲۶سم [ف :۱۴۱]</w:t>
      </w:r>
    </w:p>
    <w:p>
      <w:pPr>
        <w:pStyle w:val="Heading3"/>
      </w:pPr>
      <w:bookmarkStart w:id="1523" w:name="_Toc1045"/>
      <w:r>
        <w:t>اسطرلاب زورقی / اسطرلاب / فارسی</w:t>
      </w:r>
      <w:bookmarkEnd w:id="1523"/>
    </w:p>
    <w:p>
      <w:pPr>
        <w:pStyle w:val="BookText"/>
      </w:pPr>
      <w:r>
        <w:rPr>
          <w:rFonts w:ascii="Times New Roman" w:hAnsi="Times New Roman" w:eastAsia="Times New Roman" w:cs="Times New Roman"/>
          <w:lang w:val="en-US" w:bidi="en-US"/>
          <w:color w:val="111111"/>
          <w:sz w:val="28"/>
          <w:szCs w:val="28"/>
          <w:rtl/>
        </w:rPr>
        <w:t xml:space="preserve">ostorlāb-e zowraqī</w:t>
      </w:r>
    </w:p>
    <w:p>
      <w:pPr>
        <w:pStyle w:val="BookText"/>
      </w:pPr>
      <w:r>
        <w:rPr>
          <w:rFonts w:ascii="IRNazanin" w:hAnsi="IRNazanin" w:eastAsia="IRNazanin" w:cs="IRNazanin"/>
          <w:lang w:bidi="fa-IR"/>
          <w:color w:val="111111"/>
          <w:sz w:val="28"/>
          <w:szCs w:val="28"/>
          <w:rtl/>
        </w:rPr>
        <w:t xml:space="preserve">جعفر اسطرلابی</w:t>
      </w:r>
    </w:p>
    <w:p>
      <w:pPr>
        <w:pStyle w:val="BookText"/>
      </w:pPr>
      <w:r>
        <w:rPr>
          <w:rFonts w:ascii="Times New Roman" w:hAnsi="Times New Roman" w:eastAsia="Times New Roman" w:cs="Times New Roman"/>
          <w:lang w:val="en-US" w:bidi="en-US"/>
          <w:color w:val="111111"/>
          <w:sz w:val="28"/>
          <w:szCs w:val="28"/>
          <w:rtl/>
        </w:rPr>
        <w:t xml:space="preserve">ja'far-e ostorlābī</w:t>
      </w:r>
    </w:p>
    <w:p>
      <w:pPr>
        <w:pStyle w:val="BookText"/>
      </w:pPr>
      <w:r>
        <w:rPr>
          <w:rFonts w:ascii="IRNazanin" w:hAnsi="IRNazanin" w:eastAsia="IRNazanin" w:cs="IRNazanin"/>
          <w:lang w:bidi="fa-IR"/>
          <w:color w:val="111111"/>
          <w:sz w:val="28"/>
          <w:szCs w:val="28"/>
          <w:rtl/>
        </w:rPr>
        <w:t xml:space="preserve">در معرفت عمل به اسطرلاب زورقی است مشتمل بر ده «فصل» و «خاتمه» و مؤلف آن ظاهراً جعفر اسطرلابی است. در مقدمه آمده است که: «چون کتابی [که] در این باب به مطالعه رسیده باشد ندیده و از ذهن جامد و فکر خامد خود استنباط این ضوابط  کرده، اگر به نظر افاض عمر ملحوظ گردد و زللی یا خللی یابند اغماض و اصلاح مأمولست».</w:t>
      </w:r>
    </w:p>
    <w:p>
      <w:pPr>
        <w:pStyle w:val="BookText"/>
      </w:pPr>
      <w:r>
        <w:rPr>
          <w:rFonts w:ascii="IRNazanin" w:hAnsi="IRNazanin" w:eastAsia="IRNazanin" w:cs="IRNazanin"/>
          <w:lang w:bidi="fa-IR"/>
          <w:color w:val="111111"/>
          <w:sz w:val="28"/>
          <w:szCs w:val="28"/>
          <w:rtl/>
        </w:rPr>
        <w:t xml:space="preserve">آغاز: حمد و ثناء بیشمار بادشاهی را که سزاوار حمد و ثناست، و درود بسیار بر پیغمبری که خاتم رسل و انبیاست</w:t>
      </w:r>
    </w:p>
    <w:p>
      <w:pPr>
        <w:pStyle w:val="BookText"/>
      </w:pPr>
      <w:r>
        <w:rPr>
          <w:rFonts w:ascii="IRNazanin" w:hAnsi="IRNazanin" w:eastAsia="IRNazanin" w:cs="IRNazanin"/>
          <w:lang w:bidi="fa-IR"/>
          <w:color w:val="111111"/>
          <w:sz w:val="28"/>
          <w:szCs w:val="28"/>
          <w:rtl/>
        </w:rPr>
        <w:t xml:space="preserve">انجام: بعد از ان از خط نصف النهار بمقدارانحراف بشماریم، آنجا که سبری شود موی تیز زورق آنجا بریم که آن خط از آن بیرون ،روذ راست قبله باشد تم الكتاب</w:t>
      </w:r>
    </w:p>
    <w:p>
      <w:pPr>
        <w:pStyle w:val="BookText"/>
      </w:pPr>
      <w:r>
        <w:rPr>
          <w:rFonts w:ascii="IRNazanin" w:hAnsi="IRNazanin" w:eastAsia="IRNazanin" w:cs="IRNazanin"/>
          <w:lang w:bidi="fa-IR"/>
          <w:color w:val="111111"/>
          <w:sz w:val="28"/>
          <w:szCs w:val="28"/>
          <w:rtl/>
        </w:rPr>
        <w:t xml:space="preserve">مشهد؛ رضوی؛ شماره نسخه: ۵۵۴۶/۱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،خفی، بی کا، تا: نیمه اول قرن ۹؛ مجدول، مذهب، دارای دو سرلوح ؛کاغذ: حنایی، جلد: چرمی، ۱۰ص (۱-۰۱)، ۱۷ سطر (5</w:t>
      </w:r>
      <w:r>
        <w:rPr>
          <w:rFonts w:ascii="Times New Roman" w:hAnsi="Times New Roman" w:eastAsia="Times New Roman" w:cs="Times New Roman"/>
          <w:lang w:val="en-US" w:bidi="en-US"/>
          <w:color w:val="111111"/>
          <w:sz w:val="28"/>
          <w:szCs w:val="28"/>
          <w:rtl/>
        </w:rPr>
        <w:t xml:space="preserve">×10/3) </w:t>
      </w:r>
      <w:r>
        <w:rPr>
          <w:rFonts w:ascii="IRNazanin" w:hAnsi="IRNazanin" w:eastAsia="IRNazanin" w:cs="IRNazanin"/>
          <w:lang w:bidi="fa-IR"/>
          <w:color w:val="111111"/>
          <w:sz w:val="28"/>
          <w:szCs w:val="28"/>
          <w:rtl/>
        </w:rPr>
        <w:t xml:space="preserve">اندازه: 9/1</w:t>
      </w:r>
      <w:r>
        <w:rPr>
          <w:rFonts w:ascii="Times New Roman" w:hAnsi="Times New Roman" w:eastAsia="Times New Roman" w:cs="Times New Roman"/>
          <w:lang w:val="en-US" w:bidi="en-US"/>
          <w:color w:val="111111"/>
          <w:sz w:val="28"/>
          <w:szCs w:val="28"/>
          <w:rtl/>
        </w:rPr>
        <w:t xml:space="preserve">×15/5</w:t>
      </w:r>
      <w:r>
        <w:rPr>
          <w:rFonts w:ascii="IRNazanin" w:hAnsi="IRNazanin" w:eastAsia="IRNazanin" w:cs="IRNazanin"/>
          <w:lang w:bidi="fa-IR"/>
          <w:color w:val="111111"/>
          <w:sz w:val="28"/>
          <w:szCs w:val="28"/>
          <w:rtl/>
        </w:rPr>
        <w:t xml:space="preserve">سم [ف: ۸ - ۳۱۱]</w:t>
      </w:r>
    </w:p>
    <w:p>
      <w:pPr>
        <w:pStyle w:val="Heading3"/>
      </w:pPr>
      <w:bookmarkStart w:id="1524" w:name="_Toc1046"/>
      <w:r>
        <w:t>اسطرلاب زورقی / اسطرلاب / فارسی</w:t>
      </w:r>
      <w:bookmarkEnd w:id="1524"/>
    </w:p>
    <w:p>
      <w:pPr>
        <w:pStyle w:val="BookText"/>
      </w:pPr>
      <w:r>
        <w:rPr>
          <w:rFonts w:ascii="Times New Roman" w:hAnsi="Times New Roman" w:eastAsia="Times New Roman" w:cs="Times New Roman"/>
          <w:lang w:val="en-US" w:bidi="en-US"/>
          <w:color w:val="111111"/>
          <w:sz w:val="28"/>
          <w:szCs w:val="28"/>
          <w:rtl/>
        </w:rPr>
        <w:t xml:space="preserve">ostorlab-e zowraqi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301" w:name="pg20365_260420"/>
    <w:bookmarkEnd w:id="301"/>
    <w:p>
      <w:pPr>
        <w:pStyle w:val="BookText"/>
      </w:pPr>
      <w:r>
        <w:rPr>
          <w:rFonts w:ascii="IRNazanin" w:hAnsi="IRNazanin" w:eastAsia="IRNazanin" w:cs="IRNazanin"/>
          <w:lang w:bidi="fa-IR"/>
          <w:color w:val="111111"/>
          <w:sz w:val="28"/>
          <w:szCs w:val="28"/>
          <w:rtl/>
        </w:rPr>
        <w:t xml:space="preserve">ابوریحان بیرونی در استیعاب می گوید این نوع از اسطرلاب را بر مبنای فکر حرکت زمین ساخته می شود استاد احمد بن محمد بن عبدالجلیل سگزی ابداع کرده است. این رساله مختصر در معرفت اسطرلاب زورقی وکیفیت عمل به آن است، درده «باب»: ۱. آلات و خطوط آن؛ ۲. استخراج ساعات؛ ٣. استخر طالع .۴. اعمال لیالی؛ ۵. استخراج ساعات به شب؛ ۶. معرفت تسوية البيوت؛ ۷. تعديل النهار و تعديل الليل ؛ ۸. طول و عرض كواكب؛ ۹. معرفت نهار كواكب و ليل او ؛ ۱۰ معرفت میل شمس.</w:t>
      </w:r>
    </w:p>
    <w:p>
      <w:pPr>
        <w:pStyle w:val="BookText"/>
      </w:pPr>
      <w:r>
        <w:rPr>
          <w:rFonts w:ascii="IRNazanin" w:hAnsi="IRNazanin" w:eastAsia="IRNazanin" w:cs="IRNazanin"/>
          <w:lang w:bidi="fa-IR"/>
          <w:color w:val="111111"/>
          <w:sz w:val="28"/>
          <w:szCs w:val="28"/>
          <w:rtl/>
        </w:rPr>
        <w:t xml:space="preserve">آغاز: بسمله حمدله والصلوة على سيد المرسلين محمد وآله اجمعین این مختصر است در معرفت اسطرلاب زورقى و كيفيـت عمل به آن بدانکه اسطرلاب زورقی مانند آسمانیست ایستاد و زمین متحرک بر عکس اسطرلاب مشهور و ایراد اعمال آن  در ده باب باشد باب اول در بیان آلات و خطوط آن</w:t>
      </w:r>
    </w:p>
    <w:p>
      <w:pPr>
        <w:pStyle w:val="BookText"/>
      </w:pPr>
      <w:r>
        <w:rPr>
          <w:rFonts w:ascii="IRNazanin" w:hAnsi="IRNazanin" w:eastAsia="IRNazanin" w:cs="IRNazanin"/>
          <w:lang w:bidi="fa-IR"/>
          <w:color w:val="111111"/>
          <w:sz w:val="28"/>
          <w:szCs w:val="28"/>
          <w:rtl/>
        </w:rPr>
        <w:t xml:space="preserve">انجام: پس از موقع جزو شمس در تیر زورق تا مدار سر حـمل مثل شمس جنوبی بود تا شمالی</w:t>
      </w:r>
    </w:p>
    <w:p>
      <w:pPr>
        <w:pStyle w:val="BookText"/>
      </w:pPr>
      <w:r>
        <w:rPr>
          <w:rFonts w:ascii="IRNazanin" w:hAnsi="IRNazanin" w:eastAsia="IRNazanin" w:cs="IRNazanin"/>
          <w:lang w:bidi="fa-IR"/>
          <w:color w:val="111111"/>
          <w:sz w:val="28"/>
          <w:szCs w:val="28"/>
          <w:rtl/>
        </w:rPr>
        <w:t xml:space="preserve">همانند:</w:t>
      </w:r>
    </w:p>
    <w:p>
      <w:pPr>
        <w:pStyle w:val="BookText"/>
      </w:pPr>
      <w:r>
        <w:rPr>
          <w:rFonts w:ascii="IRNazanin" w:hAnsi="IRNazanin" w:eastAsia="IRNazanin" w:cs="IRNazanin"/>
          <w:lang w:bidi="fa-IR"/>
          <w:color w:val="111111"/>
          <w:sz w:val="28"/>
          <w:szCs w:val="28"/>
          <w:rtl/>
        </w:rPr>
        <w:t xml:space="preserve">۱. قم ؛مرعشی؛ شماره نسخه: ۱۴۱۰۲/۵</w:t>
      </w:r>
    </w:p>
    <w:p>
      <w:pPr>
        <w:pStyle w:val="BookText"/>
      </w:pPr>
      <w:r>
        <w:rPr>
          <w:rFonts w:ascii="IRNazanin" w:hAnsi="IRNazanin" w:eastAsia="IRNazanin" w:cs="IRNazanin"/>
          <w:lang w:bidi="fa-IR"/>
          <w:color w:val="111111"/>
          <w:sz w:val="28"/>
          <w:szCs w:val="28"/>
          <w:rtl/>
        </w:rPr>
        <w:t xml:space="preserve">آغاز: برابر؛ انجام: پس آن موقع جزو شمس در تیر زورق تامدار رأس  الحمل ميل شمس بود شمالی و الله اعلم.</w:t>
      </w:r>
    </w:p>
    <w:p>
      <w:pPr>
        <w:pStyle w:val="BookText"/>
      </w:pPr>
      <w:r>
        <w:rPr>
          <w:rFonts w:ascii="IRNazanin" w:hAnsi="IRNazanin" w:eastAsia="IRNazanin" w:cs="IRNazanin"/>
          <w:lang w:bidi="fa-IR"/>
          <w:color w:val="111111"/>
          <w:sz w:val="28"/>
          <w:szCs w:val="28"/>
          <w:rtl/>
        </w:rPr>
        <w:t xml:space="preserve">خط: نسخ، بی کا، تا: قرن ۱۰؛ مصحح، در برگ انجام مطلبی در مورد شناخت ربع ساعات بدین آغاز «اگر خواهی بر ربع  ساعات بدانی پس نگاه کن تا غایت چندست ...» آمده و بعد از آن نیز یک جدول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در تکسیر، و یک جدول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در تکبیر ایام  هفته، قبل از آن چند سطر در مورد استفاده از جدول آمده در آن به سال ۸۷۲ق اشاره شده؛ کاغذ: شرقی، جلد: مقوای سـبز، ۴گ (۳۸پ - ۱۴۱ر)، ۱۶ سطر (9</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 ف : ۳۵ - 635  ]</w:t>
      </w:r>
    </w:p>
    <w:p>
      <w:pPr>
        <w:pStyle w:val="BookText"/>
      </w:pPr>
      <w:r>
        <w:rPr>
          <w:rFonts w:ascii="IRNazanin" w:hAnsi="IRNazanin" w:eastAsia="IRNazanin" w:cs="IRNazanin"/>
          <w:lang w:bidi="fa-IR"/>
          <w:color w:val="111111"/>
          <w:sz w:val="28"/>
          <w:szCs w:val="28"/>
          <w:rtl/>
        </w:rPr>
        <w:t xml:space="preserve">١. قم؛ گلپایگانی؛ شماره نسخه: ۱۳۵۸/۱-۸/۶۸</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قرن  ۱۱ ؛جا: تون از بلاد خراسان؛ دارای مهر کروی با تاریخ ۱۰۷۸؛ جلد: تیماج  مشکی، ۳گ، ۲۱ سطر ،انداز: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۱- ۳۵۵]</w:t>
      </w:r>
    </w:p>
    <w:p>
      <w:pPr>
        <w:pStyle w:val="BookText"/>
      </w:pPr>
      <w:r>
        <w:rPr>
          <w:rFonts w:ascii="IRNazanin" w:hAnsi="IRNazanin" w:eastAsia="IRNazanin" w:cs="IRNazanin"/>
          <w:lang w:bidi="fa-IR"/>
          <w:color w:val="111111"/>
          <w:sz w:val="28"/>
          <w:szCs w:val="28"/>
          <w:rtl/>
        </w:rPr>
        <w:t xml:space="preserve">۲. تهران؛ دانشگاه؛ شماره نسخه: ۵۹۰۱/۲</w:t>
      </w:r>
    </w:p>
    <w:p>
      <w:pPr>
        <w:pStyle w:val="BookText"/>
      </w:pPr>
      <w:r>
        <w:rPr>
          <w:rFonts w:ascii="IRNazanin" w:hAnsi="IRNazanin" w:eastAsia="IRNazanin" w:cs="IRNazanin"/>
          <w:lang w:bidi="fa-IR"/>
          <w:color w:val="111111"/>
          <w:sz w:val="28"/>
          <w:szCs w:val="28"/>
          <w:rtl/>
        </w:rPr>
        <w:t xml:space="preserve">آغاز: برابر؛ انجام: قسمت کنیم ساعات ظاهر و خفی بود.</w:t>
      </w:r>
    </w:p>
    <w:p>
      <w:pPr>
        <w:pStyle w:val="BookText"/>
      </w:pPr>
      <w:r>
        <w:rPr>
          <w:rFonts w:ascii="IRNazanin" w:hAnsi="IRNazanin" w:eastAsia="IRNazanin" w:cs="IRNazanin"/>
          <w:lang w:bidi="fa-IR"/>
          <w:color w:val="111111"/>
          <w:sz w:val="28"/>
          <w:szCs w:val="28"/>
          <w:rtl/>
        </w:rPr>
        <w:t xml:space="preserve">در دوازده باب به  فارسی، تا: پایان باب دهم؛ خط: نستعلیق، بی کا، تا: قرن ۱۱؛ کاغذ: سپاهانی، جلد: تیماج مشکی لایی، ۲۱ گ(2پ- ۲۲ پ) ، ۲۴ سطر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قطع: ربعی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[ف: ۱۶ - ۱۴۰]</w:t>
      </w:r>
    </w:p>
    <w:p>
      <w:pPr>
        <w:pStyle w:val="BookText"/>
      </w:pPr>
      <w:r>
        <w:rPr>
          <w:rFonts w:ascii="IRNazanin" w:hAnsi="IRNazanin" w:eastAsia="IRNazanin" w:cs="IRNazanin"/>
          <w:lang w:bidi="fa-IR"/>
          <w:color w:val="111111"/>
          <w:sz w:val="28"/>
          <w:szCs w:val="28"/>
          <w:rtl/>
        </w:rPr>
        <w:t xml:space="preserve">3.قم؛ مرعشی؛ شماره نسخه: ۹۹۶۹/۲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ابوالحسن تا ۳ ربیع الاول ۱۰۱۹ق؛ مجدول ؛جلد: تيماج قهوه ای بدون مقوا،۴گ (۱۱پ-۱۴ر)، اندازه: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۲۵ - ۲۴۰]</w:t>
      </w:r>
    </w:p>
    <w:p>
      <w:pPr>
        <w:pStyle w:val="BookText"/>
      </w:pPr>
      <w:r>
        <w:rPr>
          <w:rFonts w:ascii="IRNazanin" w:hAnsi="IRNazanin" w:eastAsia="IRNazanin" w:cs="IRNazanin"/>
          <w:lang w:bidi="fa-IR"/>
          <w:color w:val="111111"/>
          <w:sz w:val="28"/>
          <w:szCs w:val="28"/>
          <w:rtl/>
        </w:rPr>
        <w:t xml:space="preserve">۴. تهران؛ ملک؛ شماره نسخه: ۶۱۹۳/۷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دوشنبه دهه سوم رجب ۱۲۷۹ق؛ کاغذ: فرنگی ،جلد: مشین قهوه ای، ۳گ (۱۷۰پ-۱۷۲پ)، ۱۷ سطر،  اندازه ۱۲</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۱۷/۳سم [ف: ۹ - ۲۳۹]</w:t>
      </w:r>
    </w:p>
    <w:p>
      <w:pPr>
        <w:pStyle w:val="BookText"/>
      </w:pPr>
      <w:r>
        <w:rPr>
          <w:rFonts w:ascii="IRNazanin" w:hAnsi="IRNazanin" w:eastAsia="IRNazanin" w:cs="IRNazanin"/>
          <w:lang w:bidi="fa-IR"/>
          <w:color w:val="111111"/>
          <w:sz w:val="28"/>
          <w:szCs w:val="28"/>
          <w:rtl/>
        </w:rPr>
        <w:t xml:space="preserve">۵. مشهد؛ رضوی؛ شماره نسخه: ۱۲۲۴۳/۶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در جلد ۱۷ فهرست آستان قدس با شماره ۱۲۲۴۳/۷معرفی شده است ؛خط: نستعلیق شکسته، کا: اسدالله منجم دودانگه هزار جریبی، تا: ۱۳۰۶ق ؛جا: تهران ؛واقف: سید جلال الدین تهرانی، مرداد ۱۳۶۱؛ کاغذ: حنائی فرنگی، جلد: تیماج خرمایی، ۴ص (۱۲۴-۱۲۷)، ۱۷ سطر،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۱۰ – ۲۶۳  و ۱۷-۴۷۹  ]</w:t>
      </w:r>
    </w:p>
    <w:p>
      <w:pPr>
        <w:pStyle w:val="BookText"/>
      </w:pPr>
      <w:r>
        <w:rPr>
          <w:rFonts w:ascii="IRNazanin" w:hAnsi="IRNazanin" w:eastAsia="IRNazanin" w:cs="IRNazanin"/>
          <w:lang w:bidi="fa-IR"/>
          <w:color w:val="111111"/>
          <w:sz w:val="28"/>
          <w:szCs w:val="28"/>
          <w:rtl/>
        </w:rPr>
        <w:t xml:space="preserve">۶. تهران؛ مجلس؛ شماره نسخه: ۶۲۴۲/۳</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کا: اسدالله منجم، تا: ۱۳۵۷ق برای عمادالدوله؛ کاغذ: اصفهانی و فرنگی ،شکری جلد: تیماج زرد یک لا، ۴ص (۱۸۷ -۱۹۰)، ۱۶ سطر، قطع: رقعی، اندازه: 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۱۵/۵سم [ف ۱۹ - ۲۱۳]</w:t>
      </w:r>
    </w:p>
    <w:p>
      <w:pPr>
        <w:pStyle w:val="Heading3"/>
      </w:pPr>
      <w:bookmarkStart w:id="1525" w:name="_Toc1047"/>
      <w:r>
        <w:t>اسطرلاب زورقی / اسطرلاب / فارسی</w:t>
      </w:r>
      <w:bookmarkEnd w:id="1525"/>
    </w:p>
    <w:p>
      <w:pPr>
        <w:pStyle w:val="BookText"/>
      </w:pPr>
      <w:r>
        <w:rPr>
          <w:rFonts w:ascii="Times New Roman" w:hAnsi="Times New Roman" w:eastAsia="Times New Roman" w:cs="Times New Roman"/>
          <w:lang w:val="en-US" w:bidi="en-US"/>
          <w:color w:val="111111"/>
          <w:sz w:val="28"/>
          <w:szCs w:val="28"/>
          <w:rtl/>
        </w:rPr>
        <w:t xml:space="preserve">ostorlāb-e zowraqī</w:t>
      </w:r>
    </w:p>
    <w:p>
      <w:pPr>
        <w:pStyle w:val="BookText"/>
      </w:pPr>
      <w:r>
        <w:rPr>
          <w:rFonts w:ascii="IRNazanin" w:hAnsi="IRNazanin" w:eastAsia="IRNazanin" w:cs="IRNazanin"/>
          <w:lang w:bidi="fa-IR"/>
          <w:color w:val="111111"/>
          <w:sz w:val="28"/>
          <w:szCs w:val="28"/>
          <w:rtl/>
        </w:rPr>
        <w:t xml:space="preserve">غیر همانند:</w:t>
      </w:r>
    </w:p>
    <w:p>
      <w:pPr>
        <w:pStyle w:val="BookText"/>
      </w:pPr>
      <w:r>
        <w:rPr>
          <w:rFonts w:ascii="IRNazanin" w:hAnsi="IRNazanin" w:eastAsia="IRNazanin" w:cs="IRNazanin"/>
          <w:lang w:bidi="fa-IR"/>
          <w:color w:val="111111"/>
          <w:sz w:val="28"/>
          <w:szCs w:val="28"/>
          <w:rtl/>
        </w:rPr>
        <w:t xml:space="preserve">۱. تهران؛ مجلس؛ شماره نسخه: ۶۴۹۲/۵</w:t>
      </w:r>
    </w:p>
    <w:p>
      <w:pPr>
        <w:pStyle w:val="BookText"/>
      </w:pPr>
      <w:r>
        <w:rPr>
          <w:rFonts w:ascii="IRNazanin" w:hAnsi="IRNazanin" w:eastAsia="IRNazanin" w:cs="IRNazanin"/>
          <w:lang w:bidi="fa-IR"/>
          <w:color w:val="111111"/>
          <w:sz w:val="28"/>
          <w:szCs w:val="28"/>
          <w:rtl/>
        </w:rPr>
        <w:t xml:space="preserve">آغاز: الحمد الله رب العالمین ... این رساله ای است موجز و مفید در معرفت اسطرلاب مشتمل بر دوازده باب باب اول در معرفت اسطرلاب زورقی و این زورقی جهت آن گویند؛ انجام: میان هر دو نشان بدانیم و هم چندان دیگر مری جدی را برانیم آنچه بر افق مشرق بود طالع باشد و عمل کواکب شمالی بر همین نوع باشد.</w:t>
      </w:r>
    </w:p>
    <w:p>
      <w:pPr>
        <w:pStyle w:val="BookText"/>
      </w:pPr>
      <w:r>
        <w:rPr>
          <w:rFonts w:ascii="IRNazanin" w:hAnsi="IRNazanin" w:eastAsia="IRNazanin" w:cs="IRNazanin"/>
          <w:lang w:bidi="fa-IR"/>
          <w:color w:val="111111"/>
          <w:sz w:val="28"/>
          <w:szCs w:val="28"/>
          <w:rtl/>
        </w:rPr>
        <w:t xml:space="preserve">رساله مختصری است در ۱۲ «باب» .۱ معرفت اسطرلاب زورقی ٢. تعيين جزو شمس ۳. استخراج طالع وقت، ۴. اعمال الليل، ۵. استخراج ساعات .۶. معرفت تعديل النهار و تعديل الليل، ۷. معرفت تسوية البيوت، ۸ .طول و عرض هر کوکب، ۹. میل آفتاب ۱۰. معرفت ظهور و اختفای کواکب و طلوع و غروب افق، ۱۱. تعدیلات تعدیل جزو ،شمس، ۱۲. معرفت مقنطرات بر روی صفیحه؛ خط: نستعلیق، بی کا :تا: شنبه ۲۸ ذیحجه ۸۴۴ق؛ مصحح، برخی از برگ ها افتادگی دارد که جای آنها کاغذ سفید گذاشته اند؛ جلد: تیماج قهوه ای ضربی ترنج و سرترنج دار ضربی عطف ترمیمی، ۲گ (۱۳۰پ-۱۳۱پ)،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۲۳/۵سم [ف:  20- 71]</w:t>
      </w:r>
    </w:p>
    <w:p>
      <w:pPr>
        <w:pStyle w:val="BookText"/>
      </w:pPr>
      <w:r>
        <w:rPr>
          <w:rFonts w:ascii="IRNazanin" w:hAnsi="IRNazanin" w:eastAsia="IRNazanin" w:cs="IRNazanin"/>
          <w:lang w:bidi="fa-IR"/>
          <w:color w:val="111111"/>
          <w:sz w:val="28"/>
          <w:szCs w:val="28"/>
          <w:rtl/>
        </w:rPr>
        <w:t xml:space="preserve">2.تهران؛ مجلس؛ شماره نسخه: ۶۳۷۵/۲</w:t>
      </w:r>
    </w:p>
    <w:p>
      <w:pPr>
        <w:pStyle w:val="BookText"/>
      </w:pPr>
      <w:r>
        <w:rPr>
          <w:rFonts w:ascii="IRNazanin" w:hAnsi="IRNazanin" w:eastAsia="IRNazanin" w:cs="IRNazanin"/>
          <w:lang w:bidi="fa-IR"/>
          <w:color w:val="111111"/>
          <w:sz w:val="28"/>
          <w:szCs w:val="28"/>
          <w:rtl/>
        </w:rPr>
        <w:t xml:space="preserve">آغاز: بدانکه در اسطرلاب زورقی گاهی بر ظهر اسطرلاب منطقة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302" w:name="pg20365_260421"/>
    <w:bookmarkEnd w:id="302"/>
    <w:p>
      <w:pPr>
        <w:pStyle w:val="BookText"/>
      </w:pPr>
      <w:r>
        <w:rPr>
          <w:rFonts w:ascii="IRNazanin" w:hAnsi="IRNazanin" w:eastAsia="IRNazanin" w:cs="IRNazanin"/>
          <w:lang w:bidi="fa-IR"/>
          <w:color w:val="111111"/>
          <w:sz w:val="28"/>
          <w:szCs w:val="28"/>
          <w:rtl/>
        </w:rPr>
        <w:t xml:space="preserve">البروج را می کنند و بعضی از کواکب ثابته را نقش میکنند .. وطریق بیرون آوردن طالع از آنجا در هیچ کتابی ذکر نکرده واگر هست بدین فقیر نرسیده و این فقیر ... حل آن کرده و چون نخواست که بعد از زحمت تمام از خاطر بیرون رود آنرا به حیز تحریر می آورد و پیش از شروع در مقصود محتاجیم ببیـان مقدمه ای و آن آنست که در اسطرلاب زورقی عضاده منحـ می باشد و در هر عرض انحناء خاص اقتضاء میکند؛ انجام: و برای  جزء آفتاب عمل بپایان رسانند و اعلم بالصواب.</w:t>
      </w:r>
    </w:p>
    <w:p>
      <w:pPr>
        <w:pStyle w:val="BookText"/>
      </w:pPr>
      <w:r>
        <w:rPr>
          <w:rFonts w:ascii="IRNazanin" w:hAnsi="IRNazanin" w:eastAsia="IRNazanin" w:cs="IRNazanin"/>
          <w:lang w:bidi="fa-IR"/>
          <w:color w:val="111111"/>
          <w:sz w:val="28"/>
          <w:szCs w:val="28"/>
          <w:rtl/>
        </w:rPr>
        <w:t xml:space="preserve">نسخه جای سخن شاید خود گفتاری جدا و یا بخشی از رساله است و موضوع آن کیفیت استخراج طالع است ما از اسطرلاب  زورقی، که به گفته مؤلف در جای دیگر بیان نشده؛ خط: نسـخ، کا، تا: قرن ۱۳ ؛کاغذ: فرنگی آهار مهره، جلد: تیماج قرمز، روشن ۲ ص (۲۵۹-۲۶۰) ۱۷-۲۰ سطر، قطع: رحلی اندازه: ۱۷/۵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۲۷/۵سم [ف : ۱۹ - ۴۷۶]</w:t>
      </w:r>
    </w:p>
    <w:p>
      <w:pPr>
        <w:pStyle w:val="BookText"/>
      </w:pPr>
      <w:r>
        <w:rPr>
          <w:rFonts w:ascii="Amiri" w:hAnsi="Amiri" w:eastAsia="Amiri" w:cs="Amiri"/>
          <w:lang w:bidi="ar-SA"/>
          <w:color w:val="111111"/>
          <w:sz w:val="28"/>
          <w:szCs w:val="28"/>
          <w:rtl/>
        </w:rPr>
        <w:t xml:space="preserve">«الاسطرلاب الشمالي » الاسطرلاب</w:t>
      </w:r>
    </w:p>
    <w:p>
      <w:pPr>
        <w:pStyle w:val="BookText"/>
      </w:pPr>
      <w:r>
        <w:rPr>
          <w:rFonts w:ascii="Amiri" w:hAnsi="Amiri" w:eastAsia="Amiri" w:cs="Amiri"/>
          <w:lang w:bidi="ar-SA"/>
          <w:color w:val="111111"/>
          <w:sz w:val="28"/>
          <w:szCs w:val="28"/>
          <w:rtl/>
        </w:rPr>
        <w:t xml:space="preserve">«الاسطرلاب الشمالي ذات الصفائح » الاسطرلاب</w:t>
      </w:r>
    </w:p>
    <w:p>
      <w:pPr>
        <w:pStyle w:val="Heading3"/>
      </w:pPr>
      <w:bookmarkStart w:id="1526" w:name="_Toc1048"/>
      <w:r>
        <w:t>اسطرلاب شمالی / اسطرلاب</w:t>
      </w:r>
      <w:bookmarkEnd w:id="1526"/>
    </w:p>
    <w:p>
      <w:pPr>
        <w:pStyle w:val="BookText"/>
      </w:pPr>
      <w:r>
        <w:rPr>
          <w:rFonts w:ascii="Times New Roman" w:hAnsi="Times New Roman" w:eastAsia="Times New Roman" w:cs="Times New Roman"/>
          <w:lang w:val="en-US" w:bidi="en-US"/>
          <w:color w:val="111111"/>
          <w:sz w:val="28"/>
          <w:szCs w:val="28"/>
          <w:rtl/>
        </w:rPr>
        <w:t xml:space="preserve">ostorlāb-e šomālī</w:t>
      </w:r>
    </w:p>
    <w:p>
      <w:pPr>
        <w:pStyle w:val="BookText"/>
      </w:pPr>
      <w:r>
        <w:rPr>
          <w:rFonts w:ascii="IRNazanin" w:hAnsi="IRNazanin" w:eastAsia="IRNazanin" w:cs="IRNazanin"/>
          <w:lang w:bidi="fa-IR"/>
          <w:color w:val="111111"/>
          <w:sz w:val="28"/>
          <w:szCs w:val="28"/>
          <w:rtl/>
        </w:rPr>
        <w:t xml:space="preserve">شیراز ،بغایری عبد الرزاق؛ شماره نسخه: بدون شماره ۹</w:t>
      </w:r>
    </w:p>
    <w:p>
      <w:pPr>
        <w:pStyle w:val="BookText"/>
      </w:pPr>
      <w:r>
        <w:rPr>
          <w:rFonts w:ascii="IRNazanin" w:hAnsi="IRNazanin" w:eastAsia="IRNazanin" w:cs="IRNazanin"/>
          <w:lang w:bidi="fa-IR"/>
          <w:color w:val="111111"/>
          <w:sz w:val="28"/>
          <w:szCs w:val="28"/>
          <w:rtl/>
        </w:rPr>
        <w:t xml:space="preserve">بی کا، تا: ۱۲۳۷ق[ میراث اسلامی ۵ - ۵۷۰]</w:t>
      </w:r>
    </w:p>
    <w:p>
      <w:pPr>
        <w:pStyle w:val="Heading3"/>
      </w:pPr>
      <w:bookmarkStart w:id="1527" w:name="_Toc1049"/>
      <w:r>
        <w:t>اسطرلاب شمالی و جنوبی = بیست باب دراسطرلاب / اسطرلاب / فارسی</w:t>
      </w:r>
      <w:bookmarkEnd w:id="1527"/>
    </w:p>
    <w:p>
      <w:pPr>
        <w:pStyle w:val="BookText"/>
      </w:pPr>
      <w:r>
        <w:rPr>
          <w:rFonts w:ascii="Times New Roman" w:hAnsi="Times New Roman" w:eastAsia="Times New Roman" w:cs="Times New Roman"/>
          <w:lang w:val="en-US" w:bidi="en-US"/>
          <w:color w:val="111111"/>
          <w:sz w:val="28"/>
          <w:szCs w:val="28"/>
          <w:rtl/>
        </w:rPr>
        <w:t xml:space="preserve">corlab-e šomālī va jonūbī = bīst bab dar ostorlāb</w:t>
      </w:r>
    </w:p>
    <w:p>
      <w:pPr>
        <w:pStyle w:val="BookText"/>
      </w:pPr>
      <w:r>
        <w:rPr>
          <w:rFonts w:ascii="IRNazanin" w:hAnsi="IRNazanin" w:eastAsia="IRNazanin" w:cs="IRNazanin"/>
          <w:lang w:bidi="fa-IR"/>
          <w:color w:val="111111"/>
          <w:sz w:val="28"/>
          <w:szCs w:val="28"/>
          <w:rtl/>
        </w:rPr>
        <w:t xml:space="preserve">بیرجندی، عبدالعلی بن محمد، - ۹۳۴ قمری</w:t>
      </w:r>
    </w:p>
    <w:p>
      <w:pPr>
        <w:pStyle w:val="BookText"/>
      </w:pPr>
      <w:r>
        <w:rPr>
          <w:rFonts w:ascii="Times New Roman" w:hAnsi="Times New Roman" w:eastAsia="Times New Roman" w:cs="Times New Roman"/>
          <w:lang w:val="en-US" w:bidi="en-US"/>
          <w:color w:val="111111"/>
          <w:sz w:val="28"/>
          <w:szCs w:val="28"/>
          <w:rtl/>
        </w:rPr>
        <w:t xml:space="preserve">(bīrjandī, ‘abd-ol-‘alī ebn-e mohammad (- 1528)</w:t>
      </w:r>
    </w:p>
    <w:p>
      <w:pPr>
        <w:pStyle w:val="BookText"/>
      </w:pPr>
      <w:r>
        <w:rPr>
          <w:rFonts w:ascii="IRNazanin" w:hAnsi="IRNazanin" w:eastAsia="IRNazanin" w:cs="IRNazanin"/>
          <w:lang w:bidi="fa-IR"/>
          <w:color w:val="111111"/>
          <w:sz w:val="28"/>
          <w:szCs w:val="28"/>
          <w:rtl/>
        </w:rPr>
        <w:t xml:space="preserve">رساله ای است در صنعت اسطرلاب و منسوب به نظام الدین ملاعبدالعلی بن محمد بن حسین بیرجندی، مشتمل بر بیسـت (باب) .۱: مقدمات صناعيه؛ ۲. معرفت صنعت دستورقسمت دواير اسطرلاب؛ ٣. معرفت صنعت حجره و صفایح و رسم خطوط مستقیمه بر آن؛ ۴. معرفت رسم مدارات اجزاء بروج؛ 5.معرفت رسم مقنطرات؛ ۶. معرفت رسم افق و مقنطرات اسطرلاب جنوبی؛ ۷. معرفت رسم خطوط ساعات معوج  و مستوی؛ ۸ .معرفت رسم دوایر سموت؛ ۹. معرفت رسم البروج بر عنکبوت؛ ۱۰. معرفت تعيين مواضع كواكب ثابته بر عنكبوت؛ ۱۱. معرفت خرق و تشبك عنكبوت؛ ۱۲. معرف صنعت صفیحه آفاقیه و صفیحه عرض تمام میل کلی؛ 13. معرفت صنعت عضاده و باقی اجزای اسطرلاب؛ ۱۴.معرف رسم جیب بر ظهر اسطرلاب؛ ۱۵. معرفت نقش اجزای ظل؛ 16. معرفت فجر و شفق و عصر و خطوط ساعات معوج بر عضاده؛۱۷. معرفت کیفیت استخراج جدول دستور؛ ۱۸. معرفت انصاف اقطار مدارات و افق و مقنطرات اسطرلاب شمالی از جدول دستور؛ ۱۹. معرفت انصاف اقطار مدارات و افق و مقنطرات اسطرلاب جنوبی از جدول دستور؛ ۲۰. معرفت مراکز دوایر سموت از جدول دستور.</w:t>
      </w:r>
    </w:p>
    <w:p>
      <w:pPr>
        <w:pStyle w:val="BookText"/>
      </w:pPr>
      <w:r>
        <w:rPr>
          <w:rFonts w:ascii="IRNazanin" w:hAnsi="IRNazanin" w:eastAsia="IRNazanin" w:cs="IRNazanin"/>
          <w:lang w:bidi="fa-IR"/>
          <w:color w:val="111111"/>
          <w:sz w:val="28"/>
          <w:szCs w:val="28"/>
          <w:rtl/>
        </w:rPr>
        <w:t xml:space="preserve">آغاز: بسمله اما بعد این مختصریست در معرفت صنعت اسطرلاب شمالی و جنوبی مشتمل بر بیست باب باب اول در مقدمات صناعیه که معرفت آن در صنعت اسطرلاب ضروریست چون خواهند که خطی تنصیف کنند چون خط آب</w:t>
      </w:r>
    </w:p>
    <w:p>
      <w:pPr>
        <w:pStyle w:val="BookText"/>
      </w:pPr>
      <w:r>
        <w:rPr>
          <w:rFonts w:ascii="IRNazanin" w:hAnsi="IRNazanin" w:eastAsia="IRNazanin" w:cs="IRNazanin"/>
          <w:lang w:bidi="fa-IR"/>
          <w:color w:val="111111"/>
          <w:sz w:val="28"/>
          <w:szCs w:val="28"/>
          <w:rtl/>
        </w:rPr>
        <w:t xml:space="preserve">انجام: باب بیستم در معرفت مراکز دوایر سموت از جدول دستور ... و مرجع همه یکی است اگر تعرض به ذکر آن طرق شود این مختصر به تطویل انجامد پس برین قدر اختصار کنیم و الله التوفيق و المعين</w:t>
      </w:r>
    </w:p>
    <w:p>
      <w:pPr>
        <w:pStyle w:val="BookText"/>
      </w:pPr>
      <w:r>
        <w:rPr>
          <w:rFonts w:ascii="IRNazanin" w:hAnsi="IRNazanin" w:eastAsia="IRNazanin" w:cs="IRNazanin"/>
          <w:lang w:bidi="fa-IR"/>
          <w:color w:val="111111"/>
          <w:sz w:val="28"/>
          <w:szCs w:val="28"/>
          <w:rtl/>
        </w:rPr>
        <w:t xml:space="preserve">چاپ: مشار ۸۴۳/۱ (۵ چاپ)؛ با مقدمه مهراب اکبریان، سیمرغ  (ت)، ۱۳۶۹ ش، ۴: ۲۵ - ۴۰ (چاپ عکسی نسخه مورخ ۱۱۵۰)</w:t>
      </w:r>
    </w:p>
    <w:p>
      <w:pPr>
        <w:pStyle w:val="BookText"/>
      </w:pPr>
      <w:r>
        <w:rPr>
          <w:rFonts w:ascii="IRNazanin" w:hAnsi="IRNazanin" w:eastAsia="IRNazanin" w:cs="IRNazanin"/>
          <w:lang w:bidi="fa-IR"/>
          <w:color w:val="111111"/>
          <w:sz w:val="28"/>
          <w:szCs w:val="28"/>
          <w:rtl/>
        </w:rPr>
        <w:t xml:space="preserve">[فهرستواره منزوی ۲۸۰۷/۴ «اسطرلاب» ناشناس و ۲۷۹۹/۴ با احتمال از بیرجندی؛ نسخه های منزوی ۲۳۱/۱ اسطرلاب» (۴ نسخه)؛ دنا ۸۰۳/۱ که متأسفانه نسخه ها دچار آشفتگی شده و تعدادصحصح نیست.</w:t>
      </w:r>
    </w:p>
    <w:p>
      <w:pPr>
        <w:pStyle w:val="BookText"/>
      </w:pPr>
      <w:r>
        <w:rPr>
          <w:rFonts w:ascii="IRNazanin" w:hAnsi="IRNazanin" w:eastAsia="IRNazanin" w:cs="IRNazanin"/>
          <w:lang w:bidi="fa-IR"/>
          <w:color w:val="111111"/>
          <w:sz w:val="28"/>
          <w:szCs w:val="28"/>
          <w:rtl/>
        </w:rPr>
        <w:t xml:space="preserve">۱. قم؛ مرعشی؛ شماره نسخه: ۷۸۸۱/۳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مؤلف در فهرست ناشناخته مانده است که به قرینه آغاز نسخه تعیین شد؛ خط: نستعلیق، بی کا، تا: قرن ۱۱؛ دارای اشکال و جداول؛ جلد: تیماج قرمز عطف تیماج  مشکی، ۱۲گ( ۷۳ پ- ۹۴ر)، ۱۷ سطر،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۲۲/۵سم [ف: ۲۰ – ۲۱۶]</w:t>
      </w:r>
    </w:p>
    <w:p>
      <w:pPr>
        <w:pStyle w:val="BookText"/>
      </w:pPr>
      <w:r>
        <w:rPr>
          <w:rFonts w:ascii="IRNazanin" w:hAnsi="IRNazanin" w:eastAsia="IRNazanin" w:cs="IRNazanin"/>
          <w:lang w:bidi="fa-IR"/>
          <w:color w:val="111111"/>
          <w:sz w:val="28"/>
          <w:szCs w:val="28"/>
          <w:rtl/>
        </w:rPr>
        <w:t xml:space="preserve">۲. تهران؛ مجلس؛ شماره نسخه: ۶۲۹۴</w:t>
      </w:r>
    </w:p>
    <w:p>
      <w:pPr>
        <w:pStyle w:val="BookText"/>
      </w:pPr>
      <w:r>
        <w:rPr>
          <w:rFonts w:ascii="IRNazanin" w:hAnsi="IRNazanin" w:eastAsia="IRNazanin" w:cs="IRNazanin"/>
          <w:lang w:bidi="fa-IR"/>
          <w:color w:val="111111"/>
          <w:sz w:val="28"/>
          <w:szCs w:val="28"/>
          <w:rtl/>
        </w:rPr>
        <w:t xml:space="preserve">خط: نستعلیق (به دو قلم)، بی کا، تا: قرن ۱۰ و ۱۱؛ افتادگی: انجام (اندکی از پایان باب ۲۰ را ندارد) دارای اشکال ریاضی و نجومی؛ کاغذ: کاهی آهار مهره شکری، جلد: تیماج قرمز، ۳۱۴ص، ۱۲ سطر، قطع: رقعی، اندازه: ۱۹/۵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۱۲/۵سم [ف: ۱۹-۲۷۴]</w:t>
      </w:r>
    </w:p>
    <w:p>
      <w:pPr>
        <w:pStyle w:val="BookText"/>
      </w:pPr>
      <w:r>
        <w:rPr>
          <w:rFonts w:ascii="IRNazanin" w:hAnsi="IRNazanin" w:eastAsia="IRNazanin" w:cs="IRNazanin"/>
          <w:lang w:bidi="fa-IR"/>
          <w:color w:val="111111"/>
          <w:sz w:val="28"/>
          <w:szCs w:val="28"/>
          <w:rtl/>
        </w:rPr>
        <w:t xml:space="preserve">3.تهران؛ مجلس؛ شماره نسخه: ۶۳۸۱/۱</w:t>
      </w:r>
    </w:p>
    <w:p>
      <w:pPr>
        <w:pStyle w:val="BookText"/>
      </w:pPr>
      <w:r>
        <w:rPr>
          <w:rFonts w:ascii="IRNazanin" w:hAnsi="IRNazanin" w:eastAsia="IRNazanin" w:cs="IRNazanin"/>
          <w:lang w:bidi="fa-IR"/>
          <w:color w:val="111111"/>
          <w:sz w:val="28"/>
          <w:szCs w:val="28"/>
          <w:rtl/>
        </w:rPr>
        <w:t xml:space="preserve">انجام: چنانکه مخفی نماند این است تمامی سخن در معرفت اسطرلاب.</w:t>
      </w:r>
    </w:p>
    <w:p>
      <w:pPr>
        <w:pStyle w:val="BookText"/>
      </w:pPr>
      <w:r>
        <w:rPr>
          <w:rFonts w:ascii="IRNazanin" w:hAnsi="IRNazanin" w:eastAsia="IRNazanin" w:cs="IRNazanin"/>
          <w:lang w:bidi="fa-IR"/>
          <w:color w:val="111111"/>
          <w:sz w:val="28"/>
          <w:szCs w:val="28"/>
          <w:rtl/>
        </w:rPr>
        <w:t xml:space="preserve">خط: نسخ، بی کا، تا: اواخر قرن ۱۰ و قرن ۱۱؛ افتادگی: انجام؛ در حواشی منقولاتی از درة التاج و از «شرح» آمده ريالجای جدولی که بیرجندی در شرح باب ۱۶ رسم کرده در این نسخه سفید است، دیباچه ای که به انشاء عبدالواسع نظامی است در این نسخه هست اما با دیگر نسخ متفاوت است و در آن نام خواجه ناصر الدين نیامده، همچنین چند سطری از مؤلف که در ذیل بیشتر نسخه دیده می شود، در پایان نسخه حاضر وجود ندارد، کاغذ: اصفهانی ،جلد: تیماج قهوه ای ۲۰۱ ص (۲۰۰۲) قطع: خشتی باریک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۱۹/۵سم [ف: ۱۹ - ۴۸۶]</w:t>
      </w:r>
    </w:p>
    <w:p>
      <w:pPr>
        <w:pStyle w:val="BookText"/>
      </w:pPr>
      <w:r>
        <w:rPr>
          <w:rFonts w:ascii="IRNazanin" w:hAnsi="IRNazanin" w:eastAsia="IRNazanin" w:cs="IRNazanin"/>
          <w:lang w:bidi="fa-IR"/>
          <w:color w:val="111111"/>
          <w:sz w:val="28"/>
          <w:szCs w:val="28"/>
          <w:rtl/>
        </w:rPr>
        <w:t xml:space="preserve">۴. تهران؛ مجلس؛ شماره نسخه: ۳۲۵/۲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مؤلف در فهرست ناشناخته مانده است که به قرینه آغاز نسـخه تعیین شد ؛خط: نستعلیق، بی کا، تا: قرن ۱۱ ؛کاغذ: سفید، جـلد: تیماج آلبالویی عطف تیماج قهوه ای یک لا، ۴۴ ص( 284- 327) ، 14سطر(7</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[سنا - ف: ۱ - ۱۶۵]</w:t>
      </w:r>
    </w:p>
    <w:p>
      <w:pPr>
        <w:pStyle w:val="BookText"/>
      </w:pPr>
      <w:r>
        <w:rPr>
          <w:rFonts w:ascii="IRNazanin" w:hAnsi="IRNazanin" w:eastAsia="IRNazanin" w:cs="IRNazanin"/>
          <w:lang w:bidi="fa-IR"/>
          <w:color w:val="111111"/>
          <w:sz w:val="28"/>
          <w:szCs w:val="28"/>
          <w:rtl/>
        </w:rPr>
        <w:t xml:space="preserve">۵. مشهد؛ الهیات شماره نسخه: ۲۱۶۹۸/۱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مؤلف در فهرست ناشناخته مانده است که به قرینه آغاز نسـخه تعیین شد؛ خط: نستعلیق، بی کا، تا: ۵ ذیقعده ۱۰۵۸ق؛ مهر : (ماشاءالله لا حول و لا قوة الا بالله العلى العظيم)؛ کاغذ: نوعی ترمه، جـلد: تیماج لایه ای لبه دار سبز ،۱۴ سطر (5</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 اندازه: ۱۱</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۱۷سم [  2- 564]</w:t>
      </w:r>
    </w:p>
    <w:p>
      <w:pPr>
        <w:pStyle w:val="BookText"/>
      </w:pPr>
      <w:r>
        <w:rPr>
          <w:rFonts w:ascii="Amiri" w:hAnsi="Amiri" w:eastAsia="Amiri" w:cs="Amiri"/>
          <w:lang w:bidi="ar-SA"/>
          <w:color w:val="111111"/>
          <w:sz w:val="28"/>
          <w:szCs w:val="28"/>
          <w:rtl/>
        </w:rPr>
        <w:t xml:space="preserve">6.تهران؛ دائرة المعارف؛ شماره نسخه: ۸۶/۱</w:t>
      </w:r>
    </w:p>
    <w:p>
      <w:pPr>
        <w:pStyle w:val="BookText"/>
      </w:pPr>
      <w:r>
        <w:rPr>
          <w:rFonts w:ascii="IRNazanin" w:hAnsi="IRNazanin" w:eastAsia="IRNazanin" w:cs="IRNazanin"/>
          <w:lang w:bidi="fa-IR"/>
          <w:color w:val="111111"/>
          <w:sz w:val="28"/>
          <w:szCs w:val="28"/>
          <w:rtl/>
        </w:rPr>
        <w:t xml:space="preserve">آغاز: (شکل) نقطه ... متقاطع شوند پس میان آن دو نقطه به خـط؛</w:t>
      </w:r>
    </w:p>
    <w:p>
      <w:pPr>
        <w:pStyle w:val="BookText"/>
      </w:pPr>
      <w:r>
        <w:rPr>
          <w:rFonts w:ascii="IRNazanin" w:hAnsi="IRNazanin" w:eastAsia="IRNazanin" w:cs="IRNazanin"/>
          <w:lang w:bidi="fa-IR"/>
          <w:color w:val="111111"/>
          <w:sz w:val="28"/>
          <w:szCs w:val="28"/>
          <w:rtl/>
        </w:rPr>
        <w:t xml:space="preserve">انجام: برابر</w:t>
      </w:r>
    </w:p>
    <w:p>
      <w:pPr>
        <w:pStyle w:val="BookText"/>
      </w:pPr>
      <w:r>
        <w:rPr>
          <w:rFonts w:ascii="IRNazanin" w:hAnsi="IRNazanin" w:eastAsia="IRNazanin" w:cs="IRNazanin"/>
          <w:lang w:bidi="fa-IR"/>
          <w:color w:val="111111"/>
          <w:sz w:val="28"/>
          <w:szCs w:val="28"/>
          <w:rtl/>
        </w:rPr>
        <w:t xml:space="preserve">خط: نستعلیق  خوش، بی کا، تا: ذیقعده ۱۰۷۰ق؛ ۳۲گ( ۲ ر-33ر)  [ف: ۱-۱۸]</w:t>
      </w:r>
    </w:p>
    <w:p>
      <w:pPr>
        <w:pStyle w:val="BookText"/>
      </w:pPr>
      <w:r>
        <w:rPr>
          <w:rFonts w:ascii="IRNazanin" w:hAnsi="IRNazanin" w:eastAsia="IRNazanin" w:cs="IRNazanin"/>
          <w:lang w:bidi="fa-IR"/>
          <w:color w:val="111111"/>
          <w:sz w:val="28"/>
          <w:szCs w:val="28"/>
          <w:rtl/>
        </w:rPr>
        <w:t xml:space="preserve">۷. تهران؛ مجلس؛ شماره نسخه: ۶۹۷۰/۱</w:t>
      </w:r>
    </w:p>
    <w:p>
      <w:pPr>
        <w:pStyle w:val="BookText"/>
      </w:pPr>
      <w:r>
        <w:rPr>
          <w:rFonts w:ascii="IRNazanin" w:hAnsi="IRNazanin" w:eastAsia="IRNazanin" w:cs="IRNazanin"/>
          <w:lang w:bidi="fa-IR"/>
          <w:color w:val="111111"/>
          <w:sz w:val="28"/>
          <w:szCs w:val="28"/>
          <w:rtl/>
        </w:rPr>
        <w:t xml:space="preserve">كاتب عبارت مؤلف را در پایان نسخه آورده و چنین نگاشته که در جمادی الاول سال ۹۰۰ ق تألیف آن پایان یافته است؛ خـط :نسخ ،كا: عبدالائمة بن عبدالحسین جامعی  عاملی، تا: ۲۰ شعـبان ،۱۱۰۰ق، جا: کرمان؛ دارای اشکال هندسی و ،جداول مصحـح، پس از رساله اول جداولی در طول جغرافیایی برخی از شهر ها،جلد: تيماج قهوه ای، بدون مقوا ،۲۳ گ (۱پ- ۲۳ر)، ۱۷ سـطر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۱۸/۵سم [ف : ۲۰ - ۳۷۴]</w:t>
      </w:r>
    </w:p>
    <w:p>
      <w:pPr>
        <w:pStyle w:val="BookText"/>
      </w:pPr>
      <w:r>
        <w:rPr>
          <w:rFonts w:ascii="IRNazanin" w:hAnsi="IRNazanin" w:eastAsia="IRNazanin" w:cs="IRNazanin"/>
          <w:lang w:bidi="fa-IR"/>
          <w:color w:val="111111"/>
          <w:sz w:val="28"/>
          <w:szCs w:val="28"/>
          <w:rtl/>
        </w:rPr>
        <w:t xml:space="preserve">۸ تهران؛ نوربخش شماره نسخه: ۵۶۹/۷</w:t>
      </w:r>
    </w:p>
    <w:p>
      <w:pPr>
        <w:pStyle w:val="BookText"/>
      </w:pPr>
      <w:r>
        <w:rPr>
          <w:rFonts w:ascii="IRNazanin" w:hAnsi="IRNazanin" w:eastAsia="IRNazanin" w:cs="IRNazanin"/>
          <w:lang w:bidi="fa-IR"/>
          <w:color w:val="111111"/>
          <w:sz w:val="28"/>
          <w:szCs w:val="28"/>
          <w:rtl/>
        </w:rPr>
        <w:t xml:space="preserve">آغاز و انجام : برابر</w:t>
      </w:r>
    </w:p>
    <w:p>
      <w:pPr>
        <w:pStyle w:val="BookText"/>
      </w:pPr>
      <w:r>
        <w:rPr>
          <w:rFonts w:ascii="IRNazanin" w:hAnsi="IRNazanin" w:eastAsia="IRNazanin" w:cs="IRNazanin"/>
          <w:lang w:bidi="fa-IR"/>
          <w:color w:val="111111"/>
          <w:sz w:val="28"/>
          <w:szCs w:val="28"/>
          <w:rtl/>
        </w:rPr>
        <w:t xml:space="preserve">در فهرست مؤلف ناشناخته مانده است و به قرینه آغاز نسخه تعـیین شد؛ خط: نستعلیق، بی کا، تا: ۱۱۱۱ق؛ کاغذ ،فرنگی ،جلد: تیماج تریاکی  یک  لا، ۲۷ ص (۸۲-۱۰۸، ۱۶ و ۱۷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۲ - ۲۲۰]</w:t>
      </w:r>
    </w:p>
    <w:p>
      <w:pPr>
        <w:pStyle w:val="BookText"/>
      </w:pPr>
      <w:r>
        <w:rPr>
          <w:rFonts w:ascii="IRNazanin" w:hAnsi="IRNazanin" w:eastAsia="IRNazanin" w:cs="IRNazanin"/>
          <w:lang w:bidi="fa-IR"/>
          <w:color w:val="111111"/>
          <w:sz w:val="28"/>
          <w:szCs w:val="28"/>
          <w:rtl/>
        </w:rPr>
        <w:t xml:space="preserve">۹. مشهد؛ رضوی؛ شماره نسخه: ۱۲۲۰۸/۱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شکسته، کا: شریف  رشتی، تا: ۱۱۱۸ق؛ کاغذ: شكـری فرنگی، جلد: تیماج یشمی ،اندازه: 17/2</w:t>
      </w:r>
      <w:r>
        <w:rPr>
          <w:rFonts w:ascii="Times New Roman" w:hAnsi="Times New Roman" w:eastAsia="Times New Roman" w:cs="Times New Roman"/>
          <w:lang w:val="en-US" w:bidi="en-US"/>
          <w:color w:val="111111"/>
          <w:sz w:val="28"/>
          <w:szCs w:val="28"/>
          <w:rtl/>
        </w:rPr>
        <w:t xml:space="preserve">×23</w:t>
      </w:r>
      <w:r>
        <w:rPr>
          <w:rFonts w:ascii="IRNazanin" w:hAnsi="IRNazanin" w:eastAsia="IRNazanin" w:cs="IRNazanin"/>
          <w:lang w:bidi="fa-IR"/>
          <w:color w:val="111111"/>
          <w:sz w:val="28"/>
          <w:szCs w:val="28"/>
          <w:rtl/>
        </w:rPr>
        <w:t xml:space="preserve">سم [ف: ۱۰-۹۹]</w:t>
      </w:r>
    </w:p>
    <w:p>
      <w:pPr>
        <w:pStyle w:val="BookText"/>
      </w:pPr>
      <w:r>
        <w:rPr>
          <w:rFonts w:ascii="IRNazanin" w:hAnsi="IRNazanin" w:eastAsia="IRNazanin" w:cs="IRNazanin"/>
          <w:lang w:bidi="fa-IR"/>
          <w:color w:val="111111"/>
          <w:sz w:val="28"/>
          <w:szCs w:val="28"/>
          <w:rtl/>
        </w:rPr>
        <w:t xml:space="preserve">۱۰ . مشهد؛ الهیات؛ شماره نسخه: ۱۴۸۷۵/۱</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مؤلف در فهرست ناشناخته مانده و به قرینه آغاز نسخه تعیین شـد؛ خط: نستعليق، كا: عبدالعلی بن کلبعلی  همدانی، تا: ۱۱ صـفر ۱۱۸۵ق ؛جا: دار السلطنه اصفهان؛ کاتب  آورده:« از روی خط مصنف این رساله عبدالعلی بن محمد بن حسین بیرجندی رحـمه الله عليه مسوده کرده بودند کتبه عبدالعلی بن کلبعلی همدانی» ؛جلد: تیماج  مشکی، ۱۲گ، ۲۵ سطر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اندازه:۱۳/۵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۲ - ۱۸۴]</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تهران؛ دائرة المعارف؛ شماره نسخه: ۵۱۵/۳</w:t>
      </w:r>
    </w:p>
    <w:p>
      <w:pPr>
        <w:pStyle w:val="BookText"/>
      </w:pPr>
      <w:r>
        <w:rPr>
          <w:rFonts w:ascii="IRNazanin" w:hAnsi="IRNazanin" w:eastAsia="IRNazanin" w:cs="IRNazanin"/>
          <w:lang w:bidi="fa-IR"/>
          <w:color w:val="111111"/>
          <w:sz w:val="28"/>
          <w:szCs w:val="28"/>
          <w:rtl/>
        </w:rPr>
        <w:t xml:space="preserve">آغاز: باب سیم در معرفت صنعت حجره. .؛ انجام: موجود (باب نهم:) ... پس ... باقی ماند مساوی</w:t>
      </w:r>
    </w:p>
    <w:p>
      <w:pPr>
        <w:pStyle w:val="BookText"/>
      </w:pPr>
      <w:r>
        <w:rPr>
          <w:rFonts w:ascii="IRNazanin" w:hAnsi="IRNazanin" w:eastAsia="IRNazanin" w:cs="IRNazanin"/>
          <w:lang w:bidi="fa-IR"/>
          <w:color w:val="111111"/>
          <w:sz w:val="28"/>
          <w:szCs w:val="28"/>
          <w:rtl/>
        </w:rPr>
        <w:t xml:space="preserve">خط: نستعلیق تحریری، بی کا، تا: قرن ۱۳؛ افتادگی: آغاز و انجام؛  8گ (۴۸پ-۵۵پ) [ف: ۱ - ۱۹]</w:t>
      </w:r>
    </w:p>
    <w:p>
      <w:pPr>
        <w:pStyle w:val="BookText"/>
      </w:pPr>
      <w:r>
        <w:rPr>
          <w:rFonts w:ascii="IRNazanin" w:hAnsi="IRNazanin" w:eastAsia="IRNazanin" w:cs="IRNazanin"/>
          <w:lang w:bidi="fa-IR"/>
          <w:color w:val="111111"/>
          <w:sz w:val="28"/>
          <w:szCs w:val="28"/>
          <w:rtl/>
        </w:rPr>
        <w:t xml:space="preserve">۱۲. تهران؛ دائرة المعارف؛ شماره نسخه: ۱۷۴۹/۳-عکسی</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مؤلف در فهرست ناشناخته مانده است که به قرینه آغاز نسخه تعیین شد؛ خط: نستعلیق خوش، بی کا، تا: قرن ۱۳؛ ۳۸ ص (ص ۱۲۳-۸۶). شکل ها و جدول ها بسیار دقیق [ف: ۱ - ۲۳]</w:t>
      </w:r>
    </w:p>
    <w:p>
      <w:pPr>
        <w:pStyle w:val="BookText"/>
      </w:pPr>
      <w:r>
        <w:rPr>
          <w:rFonts w:ascii="IRNazanin" w:hAnsi="IRNazanin" w:eastAsia="IRNazanin" w:cs="IRNazanin"/>
          <w:lang w:bidi="fa-IR"/>
          <w:color w:val="111111"/>
          <w:sz w:val="28"/>
          <w:szCs w:val="28"/>
          <w:rtl/>
        </w:rPr>
        <w:t xml:space="preserve">۱۳. تهران؛ مجلس؛ شماره نسخه: ۱۵۰۰۳/۲</w:t>
      </w:r>
    </w:p>
    <w:p>
      <w:pPr>
        <w:pStyle w:val="BookText"/>
      </w:pPr>
      <w:r>
        <w:rPr>
          <w:rFonts w:ascii="IRNazanin" w:hAnsi="IRNazanin" w:eastAsia="IRNazanin" w:cs="IRNazanin"/>
          <w:lang w:bidi="fa-IR"/>
          <w:color w:val="111111"/>
          <w:sz w:val="28"/>
          <w:szCs w:val="28"/>
          <w:rtl/>
        </w:rPr>
        <w:t xml:space="preserve">خط: نستعلیق، کا: میرزا محمد بن محمد قاسم، تا: ربیع الاول ۱۲۱۲ق، ۷گ (۴۶ر - ۵۲ر) [مختصر - ف - ۱۱۷]  ۱۴. مشهد؛ رضوی؛ شماره نسخه: ۱۲۱۷۶/۱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شکسته ،کا: عبدالعلی بن رجبعلی مراغی، تا: ۲۵ جمادی الثانی ۱۲۲۱ق؛ دارای اشکال و جداول به دنبال آن پنج صفحه در باب اختیارات ایلات است به فارسی؛ کاغذ: حنایی و شکری آهار مهره ،جلد: مقوا، عطف و گوشه چرمی، ۲۱ و ۲۵ سطر ،اندازه: ۱۴/۴ ۲۰/۲۳سم [ف: ١٠ - ١٠١]</w:t>
      </w:r>
    </w:p>
    <w:p>
      <w:pPr>
        <w:pStyle w:val="BookText"/>
      </w:pPr>
      <w:r>
        <w:rPr>
          <w:rFonts w:ascii="IRNazanin" w:hAnsi="IRNazanin" w:eastAsia="IRNazanin" w:cs="IRNazanin"/>
          <w:lang w:bidi="fa-IR"/>
          <w:color w:val="111111"/>
          <w:sz w:val="28"/>
          <w:szCs w:val="28"/>
          <w:rtl/>
        </w:rPr>
        <w:t xml:space="preserve">۱۵. مشهد؛ الهیات شماره نسخه: ۵۱۳/۱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مؤلف در فهرست ناشناخته مانده است و به قرینه آغاز نسخه تعیین  شد؛ خط: نستعلیق، کا: محمد علی، تا: پنج شنبه ۲۴ ربيع الثانى ۱۲۲۴ق، جا: مشهد رضوی؛ کاغذ: فرنگی؛ جلد: تیماج مشکی لایه ای ۲۵ سطر (۶/۵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،قطع: ربعی،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۱۵/۵سم [ف: 1- 392]</w:t>
      </w:r>
    </w:p>
    <w:p>
      <w:pPr>
        <w:pStyle w:val="BookText"/>
      </w:pPr>
      <w:r>
        <w:rPr>
          <w:rFonts w:ascii="IRNazanin" w:hAnsi="IRNazanin" w:eastAsia="IRNazanin" w:cs="IRNazanin"/>
          <w:lang w:bidi="fa-IR"/>
          <w:color w:val="111111"/>
          <w:sz w:val="28"/>
          <w:szCs w:val="28"/>
          <w:rtl/>
        </w:rPr>
        <w:t xml:space="preserve">۱۶. تهران؛ مجلس؛ شماره نسخه: ۶۷۳۲/۱</w:t>
      </w:r>
    </w:p>
    <w:p>
      <w:pPr>
        <w:pStyle w:val="BookText"/>
      </w:pPr>
      <w:r>
        <w:rPr>
          <w:rFonts w:ascii="IRNazanin" w:hAnsi="IRNazanin" w:eastAsia="IRNazanin" w:cs="IRNazanin"/>
          <w:lang w:bidi="fa-IR"/>
          <w:color w:val="111111"/>
          <w:sz w:val="28"/>
          <w:szCs w:val="28"/>
          <w:rtl/>
        </w:rPr>
        <w:t xml:space="preserve">آغاز: و دال را بدین صورت ... و همچنین ذال را بر صورت دائره صغیره نویسند و کاف مفرد را مسطح نویسند</w:t>
      </w:r>
    </w:p>
    <w:p>
      <w:pPr>
        <w:pStyle w:val="BookText"/>
      </w:pPr>
      <w:r>
        <w:rPr>
          <w:rFonts w:ascii="IRNazanin" w:hAnsi="IRNazanin" w:eastAsia="IRNazanin" w:cs="IRNazanin"/>
          <w:lang w:bidi="fa-IR"/>
          <w:color w:val="111111"/>
          <w:sz w:val="28"/>
          <w:szCs w:val="28"/>
          <w:rtl/>
        </w:rPr>
        <w:t xml:space="preserve">خط: نسخ، بی کا، تا: ۱۵ رجب ۱۲۳۱ق؛ مهر: کتابخانه «جعفر سلطان القرائي» ؛جلد: تیماج مشکی ضربی ترنج و سرترنج با جدول کشی  زرین، ۳۰گ (۳۶ ر-۶۵ پ)، ۱۵ سطر،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 ۲۰ -۲۲۶]</w:t>
      </w:r>
    </w:p>
    <w:p>
      <w:pPr>
        <w:pStyle w:val="BookText"/>
      </w:pPr>
      <w:r>
        <w:rPr>
          <w:rFonts w:ascii="IRNazanin" w:hAnsi="IRNazanin" w:eastAsia="IRNazanin" w:cs="IRNazanin"/>
          <w:lang w:bidi="fa-IR"/>
          <w:color w:val="111111"/>
          <w:sz w:val="28"/>
          <w:szCs w:val="28"/>
          <w:rtl/>
        </w:rPr>
        <w:t xml:space="preserve">۱۷. تهران؛ دانشگاه؛ شماره نسخه: ۷۶۳۵/۲</w:t>
      </w:r>
    </w:p>
    <w:p>
      <w:pPr>
        <w:pStyle w:val="BookText"/>
      </w:pPr>
      <w:r>
        <w:rPr>
          <w:rFonts w:ascii="IRNazanin" w:hAnsi="IRNazanin" w:eastAsia="IRNazanin" w:cs="IRNazanin"/>
          <w:lang w:bidi="fa-IR"/>
          <w:color w:val="111111"/>
          <w:sz w:val="28"/>
          <w:szCs w:val="28"/>
          <w:rtl/>
        </w:rPr>
        <w:t xml:space="preserve">خط: نستعلیق، بی کا، تا: ذیحجه ۱۲۴۵ق؛ کاغذ: فرنگی، جلد: تیماج مشکی مقوایی، ۱۹گ (۶ر-۲۴ر)، ۱۵ 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قطع: ربعی،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۱۶ – ۶۶۱]</w:t>
      </w:r>
    </w:p>
    <w:p>
      <w:pPr>
        <w:pStyle w:val="BookText"/>
      </w:pPr>
      <w:r>
        <w:rPr>
          <w:rFonts w:ascii="Amiri" w:hAnsi="Amiri" w:eastAsia="Amiri" w:cs="Amiri"/>
          <w:lang w:bidi="ar-SA"/>
          <w:color w:val="111111"/>
          <w:sz w:val="28"/>
          <w:szCs w:val="28"/>
          <w:rtl/>
        </w:rPr>
        <w:t xml:space="preserve">۱۸. تهران؛ دائرة المعارف؛ شماره نسخه: ۱۵۶/۵</w:t>
      </w:r>
    </w:p>
    <w:p>
      <w:pPr>
        <w:pStyle w:val="BookText"/>
      </w:pPr>
      <w:r>
        <w:rPr>
          <w:rFonts w:ascii="IRNazanin" w:hAnsi="IRNazanin" w:eastAsia="IRNazanin" w:cs="IRNazanin"/>
          <w:lang w:bidi="fa-IR"/>
          <w:color w:val="111111"/>
          <w:sz w:val="28"/>
          <w:szCs w:val="28"/>
          <w:rtl/>
        </w:rPr>
        <w:t xml:space="preserve">کامل؛ خط: نستعلیق مخلوط به  شکسته، بی کا، تا: ۳ شعبان ۱۲۹۷ق؛ دارای اشکال ؛ ۱۸گ (۶۹پ-۸۶پ) [ف: ۱ - ۱۹]</w:t>
      </w:r>
    </w:p>
    <w:p>
      <w:pPr>
        <w:pStyle w:val="BookText"/>
      </w:pPr>
      <w:r>
        <w:rPr>
          <w:rFonts w:ascii="IRNazanin" w:hAnsi="IRNazanin" w:eastAsia="IRNazanin" w:cs="IRNazanin"/>
          <w:lang w:bidi="fa-IR"/>
          <w:color w:val="111111"/>
          <w:sz w:val="28"/>
          <w:szCs w:val="28"/>
          <w:rtl/>
        </w:rPr>
        <w:t xml:space="preserve">۱۹. تهران؛ مجلس؛ شماره نسخه: ۶۳۵۶/۲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303" w:name="pg20365_260423"/>
    <w:bookmarkEnd w:id="303"/>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نستعليق، كا: محمد علی بن محمد اسماعیل قائنی اصفهانی، تا: سه شنبه ۲۶ ذیقعده ۱۲۹۹ق؛ جا: تهران ؛کاغذ: هندی آهار مـهره شکری، جلد: تیماج قرمز سجاف عطف تیماج مشکی، ۳۵ص (۱۹۷ -۲۳۱)، قطع: وزیری :[ف: ۱۹ - ۳۹۹  ]</w:t>
      </w:r>
    </w:p>
    <w:p>
      <w:pPr>
        <w:pStyle w:val="BookText"/>
      </w:pPr>
      <w:r>
        <w:rPr>
          <w:rFonts w:ascii="IRNazanin" w:hAnsi="IRNazanin" w:eastAsia="IRNazanin" w:cs="IRNazanin"/>
          <w:lang w:bidi="fa-IR"/>
          <w:color w:val="111111"/>
          <w:sz w:val="28"/>
          <w:szCs w:val="28"/>
          <w:rtl/>
        </w:rPr>
        <w:t xml:space="preserve">20.تهران؛ مجلس؛ شماره نسخه: ۱۵۶</w:t>
      </w:r>
    </w:p>
    <w:p>
      <w:pPr>
        <w:pStyle w:val="BookText"/>
      </w:pPr>
      <w:r>
        <w:rPr>
          <w:rFonts w:ascii="IRNazanin" w:hAnsi="IRNazanin" w:eastAsia="IRNazanin" w:cs="IRNazanin"/>
          <w:lang w:bidi="fa-IR"/>
          <w:color w:val="111111"/>
          <w:sz w:val="28"/>
          <w:szCs w:val="28"/>
          <w:rtl/>
        </w:rPr>
        <w:t xml:space="preserve">در فهرست نام مؤلف ذکر نشده است و به استناد فهرست رایانه ای مجلس تعیین گردید ؛خط: شکسته، بی کا، تا: ۱۲۹۹ق، ۲۷گ،  16 سطر، قطع: وزیری، اندازه: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۱۶/۵سم [ف: ۲ - ۸۵]</w:t>
      </w:r>
    </w:p>
    <w:p>
      <w:pPr>
        <w:pStyle w:val="BookText"/>
      </w:pPr>
      <w:r>
        <w:rPr>
          <w:rFonts w:ascii="IRNazanin" w:hAnsi="IRNazanin" w:eastAsia="IRNazanin" w:cs="IRNazanin"/>
          <w:lang w:bidi="fa-IR"/>
          <w:color w:val="111111"/>
          <w:sz w:val="28"/>
          <w:szCs w:val="28"/>
          <w:rtl/>
        </w:rPr>
        <w:t xml:space="preserve">۲۱. تهران؛ مجلس؛ شماره نسخه: ۱۴۸۲/۳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امیر بیک بن مرتضی بن صنع الله بن سر الله بن روح الله  بن حجة الله عطاء الله  بن  لطف الله بن روح بن سلام  الله حسینی عریضی احدی  سلامی، بی تا ؛کاغذ: سفید ،جلد: مقوایی، ۳۴ ص (۴۱-۷۴)، ۱۷ سطر [سنا - ف: ۲ - ۲۹۶]</w:t>
      </w:r>
    </w:p>
    <w:p>
      <w:pPr>
        <w:pStyle w:val="BookText"/>
      </w:pPr>
      <w:r>
        <w:rPr>
          <w:rFonts w:ascii="IRNazanin" w:hAnsi="IRNazanin" w:eastAsia="IRNazanin" w:cs="IRNazanin"/>
          <w:lang w:bidi="fa-IR"/>
          <w:color w:val="111111"/>
          <w:sz w:val="28"/>
          <w:szCs w:val="28"/>
          <w:rtl/>
        </w:rPr>
        <w:t xml:space="preserve">۲۲. تهران؛ مجلس؛ شماره نسخه: ۵۹۷/۲</w:t>
      </w:r>
    </w:p>
    <w:p>
      <w:pPr>
        <w:pStyle w:val="BookText"/>
      </w:pPr>
      <w:r>
        <w:rPr>
          <w:rFonts w:ascii="IRNazanin" w:hAnsi="IRNazanin" w:eastAsia="IRNazanin" w:cs="IRNazanin"/>
          <w:lang w:bidi="fa-IR"/>
          <w:color w:val="111111"/>
          <w:sz w:val="28"/>
          <w:szCs w:val="28"/>
          <w:rtl/>
        </w:rPr>
        <w:t xml:space="preserve">بی کا، بی تا؛ قطع: وزیری،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۲ - ۳۵۳]</w:t>
      </w:r>
    </w:p>
    <w:p>
      <w:pPr>
        <w:pStyle w:val="BookText"/>
      </w:pPr>
      <w:r>
        <w:rPr>
          <w:rFonts w:ascii="IRNazanin" w:hAnsi="IRNazanin" w:eastAsia="IRNazanin" w:cs="IRNazanin"/>
          <w:lang w:bidi="fa-IR"/>
          <w:color w:val="111111"/>
          <w:sz w:val="28"/>
          <w:szCs w:val="28"/>
          <w:rtl/>
        </w:rPr>
        <w:t xml:space="preserve">۲۳. تهران؛ مجلس؛ شماره نسخه: ۶۳۴۱/۱۱</w:t>
      </w:r>
    </w:p>
    <w:p>
      <w:pPr>
        <w:pStyle w:val="BookText"/>
      </w:pPr>
      <w:r>
        <w:rPr>
          <w:rFonts w:ascii="IRNazanin" w:hAnsi="IRNazanin" w:eastAsia="IRNazanin" w:cs="IRNazanin"/>
          <w:lang w:bidi="fa-IR"/>
          <w:color w:val="111111"/>
          <w:sz w:val="28"/>
          <w:szCs w:val="28"/>
          <w:rtl/>
        </w:rPr>
        <w:t xml:space="preserve">خط: شکسته نستعلیق ،تحریری ،کا: مهدی بن ابی الحـسن  اصفهانی، بی تا؛ در حواشی رساله منقولاتی است (به فارسی شرح محمد باقر (یزدی) بر خلاصه و از ملا مظفر و حاشیه هایی است نیز بدون  نشان، کاتب نسخه جمله آخربیرجندی را در شـرح بیست  باب، که اشاره به ماده تاریخ تألیف کتاب نیز هست حذف کرده و پایان نسخه چنین  است: «بغایت رسید و نهایت آنجامید روش قلم تیز كام ... اجزاء كتاب شرح بیست باب در معرفت قواعد فن اسطرلاب على يد العبد المحتاج ... محمد مهدی بن الحسن الاصفهانی»؛ کاغذ: فرنگی آهار مهره، جلد: تیماج مشکی  رنگ، ۷۹ ص (۳۷۴-۴۵۲)، ۱۷ سطر، قطع : خشتی [ف ۱۹ - 364]</w:t>
      </w:r>
    </w:p>
    <w:p>
      <w:pPr>
        <w:pStyle w:val="BookText"/>
      </w:pPr>
      <w:r>
        <w:rPr>
          <w:rFonts w:ascii="IRNazanin" w:hAnsi="IRNazanin" w:eastAsia="IRNazanin" w:cs="IRNazanin"/>
          <w:lang w:bidi="fa-IR"/>
          <w:color w:val="111111"/>
          <w:sz w:val="28"/>
          <w:szCs w:val="28"/>
          <w:rtl/>
        </w:rPr>
        <w:t xml:space="preserve">۲۴. مشهد؛ الهیات؛ شماره نسخه: ۱۴۸۱۳/۸</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مؤلف در فهرست ناشناخته مانده است که به قرینه آغاز نسـخه تعیین شد، تا اواخر باب پانزدهم؛ خط: نسخ و نستعلیق، بی کا، بی تا؛ دارای جداول نجومی در ۴ گ؛ جلد: تیماج مشکی عطف تیماج قهوه ای، ۳۰ ص ،(۷۴-۱۰۳) قطع: پستی [ف: ۲ - ۱۱۱]</w:t>
      </w:r>
    </w:p>
    <w:p>
      <w:pPr>
        <w:pStyle w:val="BookText"/>
      </w:pPr>
      <w:r>
        <w:rPr>
          <w:rFonts w:ascii="IRNazanin" w:hAnsi="IRNazanin" w:eastAsia="IRNazanin" w:cs="IRNazanin"/>
          <w:lang w:bidi="fa-IR"/>
          <w:color w:val="111111"/>
          <w:sz w:val="28"/>
          <w:szCs w:val="28"/>
          <w:rtl/>
        </w:rPr>
        <w:t xml:space="preserve">۲۵. اصفهان؛ مدرسه صدر بازار؛ شماره نسخه: ۳۳۳/۲</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تذکر: مؤلف در فهرست ناشناخته مانده که به قرینه آغاز نسـخه تعیین شد؛ بی کا، بی تا ؛جلد: مقوایی ابر و باد، عطف تیماج قهوه ای، 3گ (۱۵ پ -۱۷پ) ،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۱ - 233]</w:t>
      </w:r>
    </w:p>
    <w:p>
      <w:pPr>
        <w:pStyle w:val="Heading3"/>
      </w:pPr>
      <w:bookmarkStart w:id="1528" w:name="_Toc1050"/>
      <w:r>
        <w:t>اسطرلاب شمالی و جنوبی / اسطرلاب / فارسی</w:t>
      </w:r>
      <w:bookmarkEnd w:id="1528"/>
    </w:p>
    <w:p>
      <w:pPr>
        <w:pStyle w:val="BookText"/>
      </w:pPr>
      <w:r>
        <w:rPr>
          <w:rFonts w:ascii="Times New Roman" w:hAnsi="Times New Roman" w:eastAsia="Times New Roman" w:cs="Times New Roman"/>
          <w:lang w:val="en-US" w:bidi="en-US"/>
          <w:color w:val="111111"/>
          <w:sz w:val="28"/>
          <w:szCs w:val="28"/>
          <w:rtl/>
        </w:rPr>
        <w:t xml:space="preserve">ostorlāb-e šomālī va jonūbī</w:t>
      </w:r>
    </w:p>
    <w:p>
      <w:pPr>
        <w:pStyle w:val="BookText"/>
      </w:pPr>
      <w:r>
        <w:rPr>
          <w:rFonts w:ascii="Amiri" w:hAnsi="Amiri" w:eastAsia="Amiri" w:cs="Amiri"/>
          <w:lang w:bidi="ar-SA"/>
          <w:color w:val="111111"/>
          <w:sz w:val="28"/>
          <w:szCs w:val="28"/>
          <w:rtl/>
        </w:rPr>
        <w:t xml:space="preserve">امير عبد الرزاق، ق ۱۱ قمرى</w:t>
      </w:r>
    </w:p>
    <w:p>
      <w:pPr>
        <w:pStyle w:val="BookText"/>
      </w:pPr>
      <w:r>
        <w:rPr>
          <w:rFonts w:ascii="Times New Roman" w:hAnsi="Times New Roman" w:eastAsia="Times New Roman" w:cs="Times New Roman"/>
          <w:lang w:val="en-US" w:bidi="en-US"/>
          <w:color w:val="111111"/>
          <w:sz w:val="28"/>
          <w:szCs w:val="28"/>
          <w:rtl/>
        </w:rPr>
        <w:t xml:space="preserve">(amīr ‘abd-or-razzāq (- 17c)</w:t>
      </w:r>
    </w:p>
    <w:p>
      <w:pPr>
        <w:pStyle w:val="BookText"/>
      </w:pPr>
      <w:r>
        <w:rPr>
          <w:rFonts w:ascii="IRNazanin" w:hAnsi="IRNazanin" w:eastAsia="IRNazanin" w:cs="IRNazanin"/>
          <w:lang w:bidi="fa-IR"/>
          <w:color w:val="111111"/>
          <w:sz w:val="28"/>
          <w:szCs w:val="28"/>
          <w:rtl/>
        </w:rPr>
        <w:t xml:space="preserve">مختصری است در اسطرلاب. كاتب متن در پشت صفحه اول  نوشته است: «رسالة فى علم التسطيح لسيدنا و استادنا و ملجأنا ملاذنا سيد الحكما برهان الفضلا اعلم العلما امير عبدالرزاق مدالله تعالى ظله على رؤسنا بمحمد وآله ائمة الهدى، كتبه عبده الداعى لبقائه ابوالحسن بن هادی القاینی» و در ذیل آن دیگری نوشته  است: «از جمله کتب عاليحضرت صاحب یعنی برادر مرحوم است که در قاین بود و بعد از تاخت افغان باقی مانده بود.»</w:t>
      </w:r>
    </w:p>
    <w:p>
      <w:pPr>
        <w:pStyle w:val="BookText"/>
      </w:pPr>
      <w:r>
        <w:rPr>
          <w:rFonts w:ascii="IRNazanin" w:hAnsi="IRNazanin" w:eastAsia="IRNazanin" w:cs="IRNazanin"/>
          <w:lang w:bidi="fa-IR"/>
          <w:color w:val="111111"/>
          <w:sz w:val="28"/>
          <w:szCs w:val="28"/>
          <w:rtl/>
        </w:rPr>
        <w:t xml:space="preserve">آغاز: بسمله، رسم دوایر تامه یا ناقصه در اسطرلاب بدانطریق است که سطح مستوی مماس یکی از قطبین فلک اعظم فرض کنند و موضع ناظر راقطب دیگر فرض کنند</w:t>
      </w:r>
    </w:p>
    <w:p>
      <w:pPr>
        <w:pStyle w:val="BookText"/>
      </w:pPr>
      <w:r>
        <w:rPr>
          <w:rFonts w:ascii="IRNazanin" w:hAnsi="IRNazanin" w:eastAsia="IRNazanin" w:cs="IRNazanin"/>
          <w:lang w:bidi="fa-IR"/>
          <w:color w:val="111111"/>
          <w:sz w:val="28"/>
          <w:szCs w:val="28"/>
          <w:rtl/>
        </w:rPr>
        <w:t xml:space="preserve">انجام: بر هر تقدیر فصل مشترک میان مخروطات و مسطح صفیحه دوایر است</w:t>
      </w:r>
    </w:p>
    <w:p>
      <w:pPr>
        <w:pStyle w:val="BookText"/>
      </w:pPr>
      <w:r>
        <w:rPr>
          <w:rFonts w:ascii="IRNazanin" w:hAnsi="IRNazanin" w:eastAsia="IRNazanin" w:cs="IRNazanin"/>
          <w:lang w:bidi="fa-IR"/>
          <w:color w:val="111111"/>
          <w:sz w:val="28"/>
          <w:szCs w:val="28"/>
          <w:rtl/>
        </w:rPr>
        <w:t xml:space="preserve">[دنا ۸۰۳/۱؛ فهرستواره منزوی (۲۸۰۱/۴]</w:t>
      </w:r>
    </w:p>
    <w:p>
      <w:pPr>
        <w:pStyle w:val="BookText"/>
      </w:pPr>
      <w:r>
        <w:rPr>
          <w:rFonts w:ascii="IRNazanin" w:hAnsi="IRNazanin" w:eastAsia="IRNazanin" w:cs="IRNazanin"/>
          <w:lang w:bidi="fa-IR"/>
          <w:color w:val="111111"/>
          <w:sz w:val="28"/>
          <w:szCs w:val="28"/>
          <w:rtl/>
        </w:rPr>
        <w:t xml:space="preserve">مشهد؛ رضوی؛ شماره نسخه: ۵۵۳۴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ابوالحسن  قاینی، تا نیمه دوم قرن ۱۱؛ محشی با نشان «منه مدظله»؛ واقف: نایینی؛ کاغذ: حنایی، جلد:پارچه ای، ۱۰گ، ۱۹ سطر (۴/۵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۱۱/۵)، اندازه: ۱۰/۴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۱۸/۵سم [ف: ۸ - ۳۱]</w:t>
      </w:r>
    </w:p>
    <w:p>
      <w:pPr>
        <w:pStyle w:val="Heading3"/>
      </w:pPr>
      <w:bookmarkStart w:id="1529" w:name="_Toc1051"/>
      <w:r>
        <w:t>الاسطرلاب الصناعی / اسطرلاب / عربی</w:t>
      </w:r>
      <w:bookmarkEnd w:id="1529"/>
    </w:p>
    <w:p>
      <w:pPr>
        <w:pStyle w:val="BookText"/>
      </w:pPr>
      <w:r>
        <w:rPr>
          <w:rFonts w:ascii="Times New Roman" w:hAnsi="Times New Roman" w:eastAsia="Times New Roman" w:cs="Times New Roman"/>
          <w:lang w:val="en-US" w:bidi="en-US"/>
          <w:color w:val="111111"/>
          <w:sz w:val="28"/>
          <w:szCs w:val="28"/>
          <w:rtl/>
        </w:rPr>
        <w:t xml:space="preserve">al-usṭurlāb-uṣ-ṣanā‘ī</w:t>
      </w:r>
    </w:p>
    <w:p>
      <w:pPr>
        <w:pStyle w:val="BookText"/>
      </w:pPr>
      <w:r>
        <w:rPr>
          <w:rFonts w:ascii="IRNazanin" w:hAnsi="IRNazanin" w:eastAsia="IRNazanin" w:cs="IRNazanin"/>
          <w:lang w:bidi="fa-IR"/>
          <w:color w:val="111111"/>
          <w:sz w:val="28"/>
          <w:szCs w:val="28"/>
          <w:rtl/>
        </w:rPr>
        <w:t xml:space="preserve">ابن عراق، منصور بن علی، - ۴۲۵ ؟ قمری</w:t>
      </w:r>
    </w:p>
    <w:p>
      <w:pPr>
        <w:pStyle w:val="BookText"/>
      </w:pPr>
      <w:r>
        <w:rPr>
          <w:rFonts w:ascii="Times New Roman" w:hAnsi="Times New Roman" w:eastAsia="Times New Roman" w:cs="Times New Roman"/>
          <w:lang w:val="en-US" w:bidi="en-US"/>
          <w:color w:val="111111"/>
          <w:sz w:val="28"/>
          <w:szCs w:val="28"/>
          <w:rtl/>
        </w:rPr>
        <w:t xml:space="preserve">(ebn-e ‘erāq, mansūr ebn-e ‘alī (- 1035)</w:t>
      </w:r>
    </w:p>
    <w:p>
      <w:pPr>
        <w:pStyle w:val="BookText"/>
      </w:pPr>
      <w:r>
        <w:rPr>
          <w:rFonts w:ascii="IRNazanin" w:hAnsi="IRNazanin" w:eastAsia="IRNazanin" w:cs="IRNazanin"/>
          <w:lang w:bidi="fa-IR"/>
          <w:color w:val="111111"/>
          <w:sz w:val="28"/>
          <w:szCs w:val="28"/>
          <w:rtl/>
        </w:rPr>
        <w:t xml:space="preserve">می تواند ترجمه یا تحریری از کار ابونصر منصور بن على بن عراق جیلانی، از نیمه دوم قرن ۴ و آغاز قرن ۵ق باشد (قربانی، ریاضی دانان ایرانی ۲۳۱، ۲۲۱) نام آن «رسالة في صنعة الاسطرلاب بالطريق الصناعی» می باشد.</w:t>
      </w:r>
    </w:p>
    <w:p>
      <w:pPr>
        <w:pStyle w:val="BookText"/>
      </w:pPr>
      <w:r>
        <w:rPr>
          <w:rFonts w:ascii="IRNazanin" w:hAnsi="IRNazanin" w:eastAsia="IRNazanin" w:cs="IRNazanin"/>
          <w:lang w:bidi="fa-IR"/>
          <w:color w:val="111111"/>
          <w:sz w:val="28"/>
          <w:szCs w:val="28"/>
          <w:rtl/>
        </w:rPr>
        <w:t xml:space="preserve">آغاز: رسالة أبى نصر منصور بن على بن عراق مولى أمير المومنين أبي عبدالله محمد بن علی المأمولى في صنعة الاسطرلاب بالطريق الصناعى سرني أطال الله تعالى</w:t>
      </w:r>
    </w:p>
    <w:p>
      <w:pPr>
        <w:pStyle w:val="BookText"/>
      </w:pPr>
      <w:r>
        <w:rPr>
          <w:rFonts w:ascii="Amiri" w:hAnsi="Amiri" w:eastAsia="Amiri" w:cs="Amiri"/>
          <w:lang w:bidi="ar-SA"/>
          <w:color w:val="111111"/>
          <w:sz w:val="28"/>
          <w:szCs w:val="28"/>
          <w:rtl/>
        </w:rPr>
        <w:t xml:space="preserve">انجام: رسمته له زاد الله رغبة فى العلم و بلغه أفاض امانيه فيه بمنه  و لطفه</w:t>
      </w:r>
    </w:p>
    <w:p>
      <w:pPr>
        <w:pStyle w:val="BookText"/>
      </w:pPr>
      <w:r>
        <w:rPr>
          <w:rFonts w:ascii="IRNazanin" w:hAnsi="IRNazanin" w:eastAsia="IRNazanin" w:cs="IRNazanin"/>
          <w:lang w:bidi="fa-IR"/>
          <w:color w:val="111111"/>
          <w:sz w:val="28"/>
          <w:szCs w:val="28"/>
          <w:rtl/>
        </w:rPr>
        <w:t xml:space="preserve">۱. اردکان یزد؛ امام صادق شماره نسخه: ۳۰۵/۳</w:t>
      </w:r>
    </w:p>
    <w:p>
      <w:pPr>
        <w:pStyle w:val="BookText"/>
      </w:pPr>
      <w:r>
        <w:rPr>
          <w:rFonts w:ascii="IRNazanin" w:hAnsi="IRNazanin" w:eastAsia="IRNazanin" w:cs="IRNazanin"/>
          <w:lang w:bidi="fa-IR"/>
          <w:color w:val="111111"/>
          <w:sz w:val="28"/>
          <w:szCs w:val="28"/>
          <w:rtl/>
        </w:rPr>
        <w:t xml:space="preserve">خط: نستعلیق، کا: شیخ حسن، تا: ۲۶ رمضان ۸۹۰ق، جلد: تیماج مشکی  ضربی، ۱۰گ (۷۵پ-۸۴ر) ،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۲ - ۴۹]</w:t>
      </w:r>
    </w:p>
    <w:p>
      <w:pPr>
        <w:pStyle w:val="BookText"/>
      </w:pPr>
      <w:r>
        <w:rPr>
          <w:rFonts w:ascii="IRNazanin" w:hAnsi="IRNazanin" w:eastAsia="IRNazanin" w:cs="IRNazanin"/>
          <w:lang w:bidi="fa-IR"/>
          <w:color w:val="111111"/>
          <w:sz w:val="28"/>
          <w:szCs w:val="28"/>
          <w:rtl/>
        </w:rPr>
        <w:t xml:space="preserve">۲. تهران؛ ادبیات؛ شماره نسخه: ۲۴۱/۲</w:t>
      </w:r>
    </w:p>
    <w:p>
      <w:pPr>
        <w:pStyle w:val="BookText"/>
      </w:pPr>
      <w:r>
        <w:rPr>
          <w:rFonts w:ascii="IRNazanin" w:hAnsi="IRNazanin" w:eastAsia="IRNazanin" w:cs="IRNazanin"/>
          <w:lang w:bidi="fa-IR"/>
          <w:color w:val="111111"/>
          <w:sz w:val="28"/>
          <w:szCs w:val="28"/>
          <w:rtl/>
        </w:rPr>
        <w:t xml:space="preserve">آغاز: بسمله چنین گوید ابو نصر منصور بن علی بن عراقی (عراق؟) در صفت اسطرلاب و مدارات ثلاثه، که چون بر صحیفه مدار رأس الجدى بر</w:t>
      </w:r>
    </w:p>
    <w:p>
      <w:pPr>
        <w:pStyle w:val="BookText"/>
      </w:pPr>
      <w:r>
        <w:rPr>
          <w:rFonts w:ascii="IRNazanin" w:hAnsi="IRNazanin" w:eastAsia="IRNazanin" w:cs="IRNazanin"/>
          <w:lang w:bidi="fa-IR"/>
          <w:color w:val="111111"/>
          <w:sz w:val="28"/>
          <w:szCs w:val="28"/>
          <w:rtl/>
        </w:rPr>
        <w:t xml:space="preserve">کشند نصف النهار پنج جزو بشمرند، آنجا که رصد آنرا  مرکز ساخته منطقة البروج رسم کنند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304" w:name="pg20365_260424"/>
    <w:bookmarkEnd w:id="304"/>
    <w:p>
      <w:pPr>
        <w:pStyle w:val="BookText"/>
      </w:pPr>
      <w:r>
        <w:rPr>
          <w:rFonts w:ascii="IRNazanin" w:hAnsi="IRNazanin" w:eastAsia="IRNazanin" w:cs="IRNazanin"/>
          <w:lang w:bidi="fa-IR"/>
          <w:color w:val="111111"/>
          <w:sz w:val="28"/>
          <w:szCs w:val="28"/>
          <w:rtl/>
        </w:rPr>
        <w:t xml:space="preserve">فارسی است؛ خط: تحریری  پخته، بی کا، تا: قرن ۱۱؛ افتادگی: انجام: 3گ (۱۴۳-۱۴۵) [ف: ۳ - ۱۱]</w:t>
      </w:r>
    </w:p>
    <w:p>
      <w:pPr>
        <w:pStyle w:val="BookText"/>
      </w:pPr>
      <w:r>
        <w:rPr>
          <w:rFonts w:ascii="IRNazanin" w:hAnsi="IRNazanin" w:eastAsia="IRNazanin" w:cs="IRNazanin"/>
          <w:lang w:bidi="fa-IR"/>
          <w:color w:val="111111"/>
          <w:sz w:val="28"/>
          <w:szCs w:val="28"/>
          <w:rtl/>
        </w:rPr>
        <w:t xml:space="preserve">تهران؛ دائرة المعارف؛ شماره نسخه: ۵۹۲/۲- عکسی</w:t>
      </w:r>
    </w:p>
    <w:p>
      <w:pPr>
        <w:pStyle w:val="BookText"/>
      </w:pPr>
      <w:r>
        <w:rPr>
          <w:rFonts w:ascii="IRNazanin" w:hAnsi="IRNazanin" w:eastAsia="IRNazanin" w:cs="IRNazanin"/>
          <w:lang w:bidi="fa-IR"/>
          <w:color w:val="111111"/>
          <w:sz w:val="28"/>
          <w:szCs w:val="28"/>
          <w:rtl/>
        </w:rPr>
        <w:t xml:space="preserve">اصل  نسخه: همان نسخه بالا [ف ۲ - ۲۳]</w:t>
      </w:r>
    </w:p>
    <w:p>
      <w:pPr>
        <w:pStyle w:val="Heading3"/>
      </w:pPr>
      <w:bookmarkStart w:id="1530" w:name="_Toc1052"/>
      <w:r>
        <w:t>اسطرلاب کروی = ارتفاع آفتاب و ستارگان  = بیست باب / اسطرلاب / فارسی</w:t>
      </w:r>
      <w:bookmarkEnd w:id="1530"/>
    </w:p>
    <w:p>
      <w:pPr>
        <w:pStyle w:val="BookText"/>
      </w:pPr>
      <w:r>
        <w:rPr>
          <w:rFonts w:ascii="Times New Roman" w:hAnsi="Times New Roman" w:eastAsia="Times New Roman" w:cs="Times New Roman"/>
          <w:lang w:val="en-US" w:bidi="en-US"/>
          <w:color w:val="111111"/>
          <w:sz w:val="28"/>
          <w:szCs w:val="28"/>
          <w:rtl/>
        </w:rPr>
        <w:t xml:space="preserve">ostorlāb-e koravī = ertefā‘-e āftāb va setāregān</w:t>
      </w:r>
    </w:p>
    <w:p>
      <w:pPr>
        <w:pStyle w:val="BookText"/>
      </w:pPr>
      <w:r>
        <w:rPr>
          <w:rFonts w:ascii="IRNazanin" w:hAnsi="IRNazanin" w:eastAsia="IRNazanin" w:cs="IRNazanin"/>
          <w:lang w:bidi="fa-IR"/>
          <w:color w:val="111111"/>
          <w:sz w:val="28"/>
          <w:szCs w:val="28"/>
          <w:rtl/>
        </w:rPr>
        <w:t xml:space="preserve">محتمل است از جعفر اسطرلابی مذکور در ذیل اسطرلاب کشفی و اسطرلاب زورقی باشد( نسخه های منزوی 1/ 234).  رساله ای است موجز و بدون خطبه و دیباچهريال در بیست (باب):1. معرفت طالع ؛ ۲. معرفت قوس النهار ؛ ٣. قوس الليل؛ ۴. ساعا مستوى؛ ۵. ساعات زمانی؛ ۶. مطلع بروج؛ ۷. مطلع خط استوا؛8. میل شمس؛ ۹. غایت ارتفاع؛ ۱۰. عرض كواكب؛ ۱۱.  کواکب؛ ۱۲. سعه مشرق آفتاب؛ ۱۳. معرفت سعه مشـرق کوکب؛ ۱۴. تعديل النهار آفتاب؛ ۱۵. تعديل النهار كوكب؛16 . قوس الليل كوكب؛ ۱۷. وجه طلوع کوکب؛ ۱۸. درجه غروب کوکب؛ ۱۹. درجه قمر كوكب.</w:t>
      </w:r>
    </w:p>
    <w:p>
      <w:pPr>
        <w:pStyle w:val="BookText"/>
      </w:pPr>
      <w:r>
        <w:rPr>
          <w:rFonts w:ascii="IRNazanin" w:hAnsi="IRNazanin" w:eastAsia="IRNazanin" w:cs="IRNazanin"/>
          <w:lang w:bidi="fa-IR"/>
          <w:color w:val="111111"/>
          <w:sz w:val="28"/>
          <w:szCs w:val="28"/>
          <w:rtl/>
        </w:rPr>
        <w:t xml:space="preserve">آغاز: چون خواهی که معرفت ارتفاع آفتاب از کره بدانی نخست دایره نصف النهار راست کند بر کره چنانکه بر تربیع کره راست باشد بس شخصی بکند از موم و بر تربیع دایره نصف النهار نهد چنانکه قایم باشد و بهیج جانب میل ندارد و بعد از آن از افق بر می دارد تا چنان گردد که این شخص را هـیچ سایه نباشد و بس نکاه کند بآخرترین درجه که از افق بر می آید از دایره نصف النهار چنانكه مرتفع شده باشد از دایره آنرا ارتفاع آفتاب باشد در آن وقت والله اعلم مثالش خواستیم که ارتفـاع آفتاب بدانیم دایره نصف النهار را بر چهار قسمت کردیم و آن که حرف نود نوشته شخصی از موم بکردیم و بر آخرترین در نهادیم که مماس افق بود بر تربیع دایره افق و نصف النهار و جایگاه بود که حرف صاد نوشته بود و بعد از آن دایره نصـف النهار کره بر افزودیم تا آنکاه که شخص را هیج سایه نماند نقش خویش سایه بر افکند ونکاه کردیم و سی درجه ازفق بر آمده بود: اینست ارتفاع وقت</w:t>
      </w:r>
    </w:p>
    <w:p>
      <w:pPr>
        <w:pStyle w:val="BookText"/>
      </w:pPr>
      <w:r>
        <w:rPr>
          <w:rFonts w:ascii="IRNazanin" w:hAnsi="IRNazanin" w:eastAsia="IRNazanin" w:cs="IRNazanin"/>
          <w:lang w:bidi="fa-IR"/>
          <w:color w:val="111111"/>
          <w:sz w:val="28"/>
          <w:szCs w:val="28"/>
          <w:rtl/>
        </w:rPr>
        <w:t xml:space="preserve">انجام: چون خواهیم که درجه ممر كوكب بدانیم نخست کوکب را بدایره نصف النهار نهیم و نشان کنیم بران جزو دایره البروج که بر خط وسط السما باشد که آن کوکب با آن در بر وسط السما آمده كوييم كوكب با این درجه در ممر میگذرد</w:t>
      </w:r>
    </w:p>
    <w:p>
      <w:pPr>
        <w:pStyle w:val="BookText"/>
      </w:pPr>
      <w:r>
        <w:rPr>
          <w:rFonts w:ascii="IRNazanin" w:hAnsi="IRNazanin" w:eastAsia="IRNazanin" w:cs="IRNazanin"/>
          <w:lang w:bidi="fa-IR"/>
          <w:color w:val="111111"/>
          <w:sz w:val="28"/>
          <w:szCs w:val="28"/>
          <w:rtl/>
        </w:rPr>
        <w:t xml:space="preserve">[دنا ۸۰۷/۱۰؛ فهرستواره منزوی ۲۸۲۸/۴ با عنوان بیست «باب»]</w:t>
      </w:r>
    </w:p>
    <w:p>
      <w:pPr>
        <w:pStyle w:val="BookText"/>
      </w:pPr>
      <w:r>
        <w:rPr>
          <w:rFonts w:ascii="IRNazanin" w:hAnsi="IRNazanin" w:eastAsia="IRNazanin" w:cs="IRNazanin"/>
          <w:lang w:bidi="fa-IR"/>
          <w:color w:val="111111"/>
          <w:sz w:val="28"/>
          <w:szCs w:val="28"/>
          <w:rtl/>
        </w:rPr>
        <w:t xml:space="preserve">۱. مشهد؛ رضوی؛ شماره نسخه: ۵۵۱۱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دارای بیست و دو باب؛ خط: نسخ، بی کا، تا: قرن ۹؛ جدول به تحریر و زر ؛واقف: فاضل خان؛ کاغذ: حنایی  مجدول، جـلد:  پارچه ای ،۵گ ۱۷ سطر (۹/۴</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۱۱/۳) ، اندازه: 9</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سم [ف: ۸-۳۲]</w:t>
      </w:r>
    </w:p>
    <w:p>
      <w:pPr>
        <w:pStyle w:val="BookText"/>
      </w:pPr>
      <w:r>
        <w:rPr>
          <w:rFonts w:ascii="IRNazanin" w:hAnsi="IRNazanin" w:eastAsia="IRNazanin" w:cs="IRNazanin"/>
          <w:lang w:bidi="fa-IR"/>
          <w:color w:val="111111"/>
          <w:sz w:val="28"/>
          <w:szCs w:val="28"/>
          <w:rtl/>
        </w:rPr>
        <w:t xml:space="preserve">۲. تهران؛ مجلس؛ شماره نسخه: ۵۳۹۱/۶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قرن ۱۱و 12؛   کاغذ: سپاهانی، جلد:  مقوایی، 3گ (۶پ - ۸ر)، ۲۴ 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اندازه: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 ۱۶ - ۲۹۶]</w:t>
      </w:r>
    </w:p>
    <w:p>
      <w:pPr>
        <w:pStyle w:val="Heading3"/>
      </w:pPr>
      <w:bookmarkStart w:id="1531" w:name="_Toc1053"/>
      <w:r>
        <w:t>اسطرلاب کری / اسطرلاب / فارسی</w:t>
      </w:r>
      <w:bookmarkEnd w:id="1531"/>
    </w:p>
    <w:p>
      <w:pPr>
        <w:pStyle w:val="BookText"/>
      </w:pPr>
      <w:r>
        <w:rPr>
          <w:rFonts w:ascii="Times New Roman" w:hAnsi="Times New Roman" w:eastAsia="Times New Roman" w:cs="Times New Roman"/>
          <w:lang w:val="en-US" w:bidi="en-US"/>
          <w:color w:val="111111"/>
          <w:sz w:val="28"/>
          <w:szCs w:val="28"/>
          <w:rtl/>
        </w:rPr>
        <w:t xml:space="preserve">ostorlāb-e korīyy</w:t>
      </w:r>
    </w:p>
    <w:p>
      <w:pPr>
        <w:pStyle w:val="BookText"/>
      </w:pPr>
      <w:r>
        <w:rPr>
          <w:rFonts w:ascii="IRNazanin" w:hAnsi="IRNazanin" w:eastAsia="IRNazanin" w:cs="IRNazanin"/>
          <w:lang w:bidi="fa-IR"/>
          <w:color w:val="111111"/>
          <w:sz w:val="28"/>
          <w:szCs w:val="28"/>
          <w:rtl/>
        </w:rPr>
        <w:t xml:space="preserve">گفتاری است مختصر که برای امیر اسفهسالار اجل سید ولی النعم فخر الدین جمال الاسلام نگاشته شده است، در سی و دو «باب»: ۱. اسامی اعضاء اسطرلاب؛ ۲. ترکیب اسطرلاب؛ ٣. دانستن میل؛ ۴. دانستن غایت ارتفاع هر چه در شهرهاست؛ ۵. دانستن قوس نهار و لیل؛ .۶. دانستن ساعات النهار والليل و اجزاء ساعات؛ ۷. بیرون آوردن ساعات مستوی از معوج به روز و شب؛  ۸. مطالع بروج به خط استوا .۹. مطالع بروج شهرها؛ ۱۰. تحويل درجه سوا؛ به درجه مطالع؛ ۱۱. تحویل درجه مطالع به درجه سوا؛ ١٢. تعديل النهار؛ ۱۳. دانستن ارتفاع؛ ۱۴. نهادن ارتفاع بر مقنطرات؛ ۱۵. تعدیل ارتفاع وقت گرفتن؛ ۱۶. دانستن ارتفاع از ازساعات مستوی و معوج؛ ۱۷. دانستن ساعات مستوى و معوج از ارتفاع؛ ۱۸. دانستن طالع از ارتفاع .۱۹. دانستن طالع از ساعات مستوى و معوج به روز و شب؛ .۲۰. دانستن ساعات مستوى و معوج به روز و شب از طالع؛ ۲۱. تسوية البيوت؛ ۲۲. دانستن  سمت ارتفاع؛۲۳. دانستن غایت ارتفاع آن کواکب که بر اسطرلاب؛ ۲۴. دانستن آن درجه که کواکب با او برآید؛ ۲۵. دانستن آن درجه که کواکب به او به وسط سماء رسد؛ ۲۶. دانستن آن درجه که کواکب با او فرو شود؛ ۲۷. دانستن قوس نهار کواکب؛ ۲۸. دانستن تعديل النهار كواكب؛ ۲۹. دانستن عرض کوکب در شمال و جنوب؛ ۳۰. دانستن طالع تحویل سال  عالم و موالید؛ ۳۱ .تیسیرات؛ ۳۲. طلوع فجر و مغيب شفق.</w:t>
      </w:r>
    </w:p>
    <w:p>
      <w:pPr>
        <w:pStyle w:val="BookText"/>
      </w:pPr>
      <w:r>
        <w:rPr>
          <w:rFonts w:ascii="IRNazanin" w:hAnsi="IRNazanin" w:eastAsia="IRNazanin" w:cs="IRNazanin"/>
          <w:lang w:bidi="fa-IR"/>
          <w:color w:val="111111"/>
          <w:sz w:val="28"/>
          <w:szCs w:val="28"/>
          <w:rtl/>
        </w:rPr>
        <w:t xml:space="preserve">آغاز: بسمله. الحمد لله رب العالمين و العاقبة للمتقين وصلى الله على سيدنا محمد و آله الطاهرين وسلم الى يوم الدين .. چون صفا قريحت و سمو همت و حسن اعتقاد درعلم و أهل علم و علو ارای امیر اسفهسالار اجل سيد ولى النعم فخر الدين جمال الاسلام اطال الله بقائه و أدام علاه و كبت أعداه اقتضا کرد که کمترین خدمت کاران در معرفت اسطرلاب کری رسالتی سازد فرمان را کمر اطاعت بستم و سرف این خدمت را باریخ (کذ) روزگار خویش و ذخیره اعقاب ساختم و گردآوردم از اعمال نجومی آنچه مالا بدست شناختن آن و از چیزها که متعارفست میان مردمان و بشرح محتاج نباشد و از عملهایی که کمتر استعمال افتد دست بار داشتم تا در مجلس عالی اعلاه الله بابرام منسوب شوم (كذ)</w:t>
      </w:r>
    </w:p>
    <w:p>
      <w:pPr>
        <w:pStyle w:val="BookText"/>
      </w:pPr>
      <w:r>
        <w:rPr>
          <w:rFonts w:ascii="IRNazanin" w:hAnsi="IRNazanin" w:eastAsia="IRNazanin" w:cs="IRNazanin"/>
          <w:lang w:bidi="fa-IR"/>
          <w:color w:val="111111"/>
          <w:sz w:val="28"/>
          <w:szCs w:val="28"/>
          <w:rtl/>
        </w:rPr>
        <w:t xml:space="preserve">انجام: ساعات مستوی از غروب شفق.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305" w:name="pg20365_260425"/>
    <w:bookmarkEnd w:id="305"/>
    <w:p>
      <w:pPr>
        <w:pStyle w:val="BookText"/>
      </w:pPr>
      <w:r>
        <w:rPr>
          <w:rFonts w:ascii="IRNazanin" w:hAnsi="IRNazanin" w:eastAsia="IRNazanin" w:cs="IRNazanin"/>
          <w:lang w:bidi="fa-IR"/>
          <w:color w:val="111111"/>
          <w:sz w:val="28"/>
          <w:szCs w:val="28"/>
          <w:rtl/>
        </w:rPr>
        <w:t xml:space="preserve">١. یزد؛ کاظمینی؛ شماره نسخه: ۴۷۲/۱</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کا ،حسن، تا: ۱۰۰۱ق؛ مصحح ،جلد: پارچه ای الوان، عطف تیماج قهوه ای ۱۰گ (۱پ-۱۰پ)،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۱۷/۵سم [ف: ۲ - ۱۶۰]</w:t>
      </w:r>
    </w:p>
    <w:p>
      <w:pPr>
        <w:pStyle w:val="BookText"/>
      </w:pPr>
      <w:r>
        <w:rPr>
          <w:rFonts w:ascii="IRNazanin" w:hAnsi="IRNazanin" w:eastAsia="IRNazanin" w:cs="IRNazanin"/>
          <w:lang w:bidi="fa-IR"/>
          <w:color w:val="111111"/>
          <w:sz w:val="28"/>
          <w:szCs w:val="28"/>
          <w:rtl/>
        </w:rPr>
        <w:t xml:space="preserve">۲. مشهد؛ رضوی؛ شماره نسخه: ۶۵۱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بی کا، بی تا ؛تذکر: در فهرست شماره نسخه مشخص نیست، شماره ۶۵۱ ردیف نسخه است، صرفاً در مورد نسخه آمده اسـت: «این رساله را در مجموعه شماره ۱۷۱۹۸ ببینید»،لذا شايد 17198شماره نسخه باشد. [ف ۱۸ - ۱۳]</w:t>
      </w:r>
    </w:p>
    <w:p>
      <w:pPr>
        <w:pStyle w:val="Heading3"/>
      </w:pPr>
      <w:bookmarkStart w:id="1532" w:name="_Toc1054"/>
      <w:r>
        <w:t>اسطرلاب کشفی / اسطرلاب / فارسی</w:t>
      </w:r>
      <w:bookmarkEnd w:id="1532"/>
    </w:p>
    <w:p>
      <w:pPr>
        <w:pStyle w:val="BookText"/>
      </w:pPr>
      <w:r>
        <w:rPr>
          <w:rFonts w:ascii="Times New Roman" w:hAnsi="Times New Roman" w:eastAsia="Times New Roman" w:cs="Times New Roman"/>
          <w:lang w:val="en-US" w:bidi="en-US"/>
          <w:color w:val="111111"/>
          <w:sz w:val="28"/>
          <w:szCs w:val="28"/>
          <w:rtl/>
        </w:rPr>
        <w:t xml:space="preserve">ostorlāb-e kašfī</w:t>
      </w:r>
    </w:p>
    <w:p>
      <w:pPr>
        <w:pStyle w:val="BookText"/>
      </w:pPr>
      <w:r>
        <w:rPr>
          <w:rFonts w:ascii="IRNazanin" w:hAnsi="IRNazanin" w:eastAsia="IRNazanin" w:cs="IRNazanin"/>
          <w:lang w:bidi="fa-IR"/>
          <w:color w:val="111111"/>
          <w:sz w:val="28"/>
          <w:szCs w:val="28"/>
          <w:rtl/>
        </w:rPr>
        <w:t xml:space="preserve">جعفر اسطرلابی</w:t>
      </w:r>
    </w:p>
    <w:p>
      <w:pPr>
        <w:pStyle w:val="BookText"/>
      </w:pPr>
      <w:r>
        <w:rPr>
          <w:rFonts w:ascii="Times New Roman" w:hAnsi="Times New Roman" w:eastAsia="Times New Roman" w:cs="Times New Roman"/>
          <w:lang w:val="en-US" w:bidi="en-US"/>
          <w:color w:val="111111"/>
          <w:sz w:val="28"/>
          <w:szCs w:val="28"/>
          <w:rtl/>
        </w:rPr>
        <w:t xml:space="preserve">ja‘far-e ostorlābī</w:t>
      </w:r>
    </w:p>
    <w:p>
      <w:pPr>
        <w:pStyle w:val="BookText"/>
      </w:pPr>
      <w:r>
        <w:rPr>
          <w:rFonts w:ascii="IRNazanin" w:hAnsi="IRNazanin" w:eastAsia="IRNazanin" w:cs="IRNazanin"/>
          <w:lang w:bidi="fa-IR"/>
          <w:color w:val="111111"/>
          <w:sz w:val="28"/>
          <w:szCs w:val="28"/>
          <w:rtl/>
        </w:rPr>
        <w:t xml:space="preserve">مختصری است در معرفت اسطرلاب کشفی در بیست «باب».</w:t>
      </w:r>
    </w:p>
    <w:p>
      <w:pPr>
        <w:pStyle w:val="BookText"/>
      </w:pPr>
      <w:r>
        <w:rPr>
          <w:rFonts w:ascii="IRNazanin" w:hAnsi="IRNazanin" w:eastAsia="IRNazanin" w:cs="IRNazanin"/>
          <w:lang w:bidi="fa-IR"/>
          <w:color w:val="111111"/>
          <w:sz w:val="28"/>
          <w:szCs w:val="28"/>
          <w:rtl/>
        </w:rPr>
        <w:t xml:space="preserve">مشهد, رضوی؛ شماره نسخه: ۵۵۴۶/۲</w:t>
      </w:r>
    </w:p>
    <w:p>
      <w:pPr>
        <w:pStyle w:val="BookText"/>
      </w:pPr>
      <w:r>
        <w:rPr>
          <w:rFonts w:ascii="IRNazanin" w:hAnsi="IRNazanin" w:eastAsia="IRNazanin" w:cs="IRNazanin"/>
          <w:lang w:bidi="fa-IR"/>
          <w:color w:val="111111"/>
          <w:sz w:val="28"/>
          <w:szCs w:val="28"/>
          <w:rtl/>
        </w:rPr>
        <w:t xml:space="preserve">آغاز: بسمله، الحمد لله حق حمده و الصلوة على نبيه محمد و آله  وعترته و جميع اصحابه و عترته، اما بعد چنین گوید مؤلف مختصر جعفر اصطرلابی که این رساله ایست در معرفت اصطرلاب کشفی و این رساله بیست  بابست، باب اول در شناختن آلات آن ؛انجام: و مری عضاده بر آنجا نهیم که خط قبله راست باشد ،والله اعلم بالصواب</w:t>
      </w:r>
    </w:p>
    <w:p>
      <w:pPr>
        <w:pStyle w:val="BookText"/>
      </w:pPr>
      <w:r>
        <w:rPr>
          <w:rFonts w:ascii="IRNazanin" w:hAnsi="IRNazanin" w:eastAsia="IRNazanin" w:cs="IRNazanin"/>
          <w:lang w:bidi="fa-IR"/>
          <w:color w:val="111111"/>
          <w:sz w:val="28"/>
          <w:szCs w:val="28"/>
          <w:rtl/>
        </w:rPr>
        <w:t xml:space="preserve">خط: نسخ  خفی، بی کا، تا: نیمه اول قرن ۹؛ مجدول، دارای دو سرلوح کوچک ،کاغذ: حنایی ،جلد ،چرمی، ۱۹ ص( 11- 29)، ۱۷ سطر (۵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۱۰/۳) ، اندازه: ۹/۱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۱۵/۵سم [ف: ۸ - ۳۱۲]</w:t>
      </w:r>
    </w:p>
    <w:p>
      <w:pPr>
        <w:pStyle w:val="Heading3"/>
      </w:pPr>
      <w:bookmarkStart w:id="1533" w:name="_Toc1055"/>
      <w:r>
        <w:t>اسطرلاب کهن / اسطرلاب</w:t>
      </w:r>
      <w:bookmarkEnd w:id="1533"/>
    </w:p>
    <w:p>
      <w:pPr>
        <w:pStyle w:val="BookText"/>
      </w:pPr>
      <w:r>
        <w:rPr>
          <w:rFonts w:ascii="Times New Roman" w:hAnsi="Times New Roman" w:eastAsia="Times New Roman" w:cs="Times New Roman"/>
          <w:lang w:val="en-US" w:bidi="en-US"/>
          <w:color w:val="111111"/>
          <w:sz w:val="28"/>
          <w:szCs w:val="28"/>
          <w:rtl/>
        </w:rPr>
        <w:t xml:space="preserve">ostorlāb-e kohan</w:t>
      </w:r>
    </w:p>
    <w:p>
      <w:pPr>
        <w:pStyle w:val="BookText"/>
      </w:pPr>
      <w:r>
        <w:rPr>
          <w:rFonts w:ascii="IRNazanin" w:hAnsi="IRNazanin" w:eastAsia="IRNazanin" w:cs="IRNazanin"/>
          <w:lang w:bidi="fa-IR"/>
          <w:color w:val="111111"/>
          <w:sz w:val="28"/>
          <w:szCs w:val="28"/>
          <w:rtl/>
        </w:rPr>
        <w:t xml:space="preserve">تهران؛ مجلس؛ شماره نسخه: ۱۷۴۶۳</w:t>
      </w:r>
    </w:p>
    <w:p>
      <w:pPr>
        <w:pStyle w:val="BookText"/>
      </w:pPr>
      <w:r>
        <w:rPr>
          <w:rFonts w:ascii="IRNazanin" w:hAnsi="IRNazanin" w:eastAsia="IRNazanin" w:cs="IRNazanin"/>
          <w:lang w:bidi="fa-IR"/>
          <w:color w:val="111111"/>
          <w:sz w:val="28"/>
          <w:szCs w:val="28"/>
          <w:rtl/>
        </w:rPr>
        <w:t xml:space="preserve">بی کا، تا: قرن ۷ [د.ث. مجلس ]</w:t>
      </w:r>
    </w:p>
    <w:p>
      <w:pPr>
        <w:pStyle w:val="Heading3"/>
      </w:pPr>
      <w:bookmarkStart w:id="1534" w:name="_Toc1056"/>
      <w:r>
        <w:t>اسطرلاب مسرطن / اسطرلاب / فارسی</w:t>
      </w:r>
      <w:bookmarkEnd w:id="1534"/>
    </w:p>
    <w:p>
      <w:pPr>
        <w:pStyle w:val="BookText"/>
      </w:pPr>
      <w:r>
        <w:rPr>
          <w:rFonts w:ascii="Times New Roman" w:hAnsi="Times New Roman" w:eastAsia="Times New Roman" w:cs="Times New Roman"/>
          <w:lang w:val="en-US" w:bidi="en-US"/>
          <w:color w:val="111111"/>
          <w:sz w:val="28"/>
          <w:szCs w:val="28"/>
          <w:rtl/>
        </w:rPr>
        <w:t xml:space="preserve">ostorlāb-e mosartan</w:t>
      </w:r>
    </w:p>
    <w:p>
      <w:pPr>
        <w:pStyle w:val="BookText"/>
      </w:pPr>
      <w:r>
        <w:rPr>
          <w:rFonts w:ascii="IRNazanin" w:hAnsi="IRNazanin" w:eastAsia="IRNazanin" w:cs="IRNazanin"/>
          <w:lang w:bidi="fa-IR"/>
          <w:color w:val="111111"/>
          <w:sz w:val="28"/>
          <w:szCs w:val="28"/>
          <w:rtl/>
        </w:rPr>
        <w:t xml:space="preserve">انطاكي، على بن احمد، - ۳۷۶ قمری</w:t>
      </w:r>
    </w:p>
    <w:p>
      <w:pPr>
        <w:pStyle w:val="BookText"/>
      </w:pPr>
      <w:r>
        <w:rPr>
          <w:rFonts w:ascii="Times New Roman" w:hAnsi="Times New Roman" w:eastAsia="Times New Roman" w:cs="Times New Roman"/>
          <w:lang w:val="en-US" w:bidi="en-US"/>
          <w:color w:val="111111"/>
          <w:sz w:val="28"/>
          <w:szCs w:val="28"/>
          <w:rtl/>
        </w:rPr>
        <w:t xml:space="preserve">(antākī, ‘alī ebn-e ahmad (- 987)</w:t>
      </w:r>
    </w:p>
    <w:p>
      <w:pPr>
        <w:pStyle w:val="BookText"/>
      </w:pPr>
      <w:r>
        <w:rPr>
          <w:rFonts w:ascii="IRNazanin" w:hAnsi="IRNazanin" w:eastAsia="IRNazanin" w:cs="IRNazanin"/>
          <w:lang w:bidi="fa-IR"/>
          <w:color w:val="111111"/>
          <w:sz w:val="28"/>
          <w:szCs w:val="28"/>
          <w:rtl/>
        </w:rPr>
        <w:t xml:space="preserve">گفته شده است که «مسرطن اسم مفعول جعلی است از سرطان و چون در این اسطرلاب منطقه فلک را بدو قسم  کنند، شمالی و جنوبی، و هر یک  را هم بدو قسم متقابل ابتدا از شمالی کنند سه برج شتوی باشد جدی و دلو و حوت و مقابل این منتـهی  سازند که سه برج صیفی باشد. سرطان و اسد و سنبله، و در سرطان احکام بسیار بیاورند. از این جهت این اسطرلاب را مسرطن  خوانند، و یا بواسطه کثرت علایق در صفحه این اسطرلاب بمثابه سرطان آنرا مسرطن گویند». این رساله مشتمل است بر سیزده «فصل».</w:t>
      </w:r>
    </w:p>
    <w:p>
      <w:pPr>
        <w:pStyle w:val="BookText"/>
      </w:pPr>
      <w:r>
        <w:rPr>
          <w:rFonts w:ascii="IRNazanin" w:hAnsi="IRNazanin" w:eastAsia="IRNazanin" w:cs="IRNazanin"/>
          <w:lang w:bidi="fa-IR"/>
          <w:color w:val="111111"/>
          <w:sz w:val="28"/>
          <w:szCs w:val="28"/>
          <w:rtl/>
        </w:rPr>
        <w:t xml:space="preserve">آغاز : بسمله، این رساله مختصریست در معرفت اصطرلاب  مسرطن و ذکر القاب آلات و خطوط و دوایری که</w:t>
      </w:r>
    </w:p>
    <w:p>
      <w:pPr>
        <w:pStyle w:val="BookText"/>
      </w:pPr>
      <w:r>
        <w:rPr>
          <w:rFonts w:ascii="IRNazanin" w:hAnsi="IRNazanin" w:eastAsia="IRNazanin" w:cs="IRNazanin"/>
          <w:lang w:bidi="fa-IR"/>
          <w:color w:val="111111"/>
          <w:sz w:val="28"/>
          <w:szCs w:val="28"/>
          <w:rtl/>
        </w:rPr>
        <w:t xml:space="preserve">انجام: آن برج بآن قدر ساعت و دقیقه در آن عرض طلوع کند و  الله اعلم</w:t>
      </w:r>
    </w:p>
    <w:p>
      <w:pPr>
        <w:pStyle w:val="BookText"/>
      </w:pPr>
      <w:r>
        <w:rPr>
          <w:rFonts w:ascii="IRNazanin" w:hAnsi="IRNazanin" w:eastAsia="IRNazanin" w:cs="IRNazanin"/>
          <w:lang w:bidi="fa-IR"/>
          <w:color w:val="111111"/>
          <w:sz w:val="28"/>
          <w:szCs w:val="28"/>
          <w:rtl/>
        </w:rPr>
        <w:t xml:space="preserve">مشهد؛ رضوی؛ شماره نسخه: ۵۲۸۵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تحریری، بی کا، تا: قرن ۹؛ واقف: ابن  خاتون، ۱۰۶۷ق؛ کاغذ: سمرقندی آهار مهره ،جلد: پارچه ای، ۵گ، ۱۵  سطر (9</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۱۷/۶سم [ف: ۸ - ۳۴]</w:t>
      </w:r>
    </w:p>
    <w:p>
      <w:pPr>
        <w:pStyle w:val="Heading3"/>
      </w:pPr>
      <w:bookmarkStart w:id="1535" w:name="_Toc1057"/>
      <w:r>
        <w:t>الاسطرلاب المسرطن / اسطرلاب / عربی</w:t>
      </w:r>
      <w:bookmarkEnd w:id="1535"/>
    </w:p>
    <w:p>
      <w:pPr>
        <w:pStyle w:val="BookText"/>
      </w:pPr>
      <w:r>
        <w:rPr>
          <w:rFonts w:ascii="Times New Roman" w:hAnsi="Times New Roman" w:eastAsia="Times New Roman" w:cs="Times New Roman"/>
          <w:lang w:val="en-US" w:bidi="en-US"/>
          <w:color w:val="111111"/>
          <w:sz w:val="28"/>
          <w:szCs w:val="28"/>
          <w:rtl/>
        </w:rPr>
        <w:t xml:space="preserve">al-usṭurlāb-ul-musarṭan</w:t>
      </w:r>
    </w:p>
    <w:p>
      <w:pPr>
        <w:pStyle w:val="BookText"/>
      </w:pPr>
      <w:r>
        <w:rPr>
          <w:rFonts w:ascii="IRNazanin" w:hAnsi="IRNazanin" w:eastAsia="IRNazanin" w:cs="IRNazanin"/>
          <w:lang w:bidi="fa-IR"/>
          <w:color w:val="111111"/>
          <w:sz w:val="28"/>
          <w:szCs w:val="28"/>
          <w:rtl/>
        </w:rPr>
        <w:t xml:space="preserve">سجزی، احمد بن محمد، ۳۳۰ - ۴۱۵ قمری</w:t>
      </w:r>
    </w:p>
    <w:p>
      <w:pPr>
        <w:pStyle w:val="BookText"/>
      </w:pPr>
      <w:r>
        <w:rPr>
          <w:rFonts w:ascii="Times New Roman" w:hAnsi="Times New Roman" w:eastAsia="Times New Roman" w:cs="Times New Roman"/>
          <w:lang w:val="en-US" w:bidi="en-US"/>
          <w:color w:val="111111"/>
          <w:sz w:val="28"/>
          <w:szCs w:val="28"/>
          <w:rtl/>
        </w:rPr>
        <w:t xml:space="preserve">(sejzī, ahmad ebn-e mohammad (942 - 1025)</w:t>
      </w:r>
    </w:p>
    <w:p>
      <w:pPr>
        <w:pStyle w:val="BookText"/>
      </w:pPr>
      <w:r>
        <w:rPr>
          <w:rFonts w:ascii="IRNazanin" w:hAnsi="IRNazanin" w:eastAsia="IRNazanin" w:cs="IRNazanin"/>
          <w:lang w:bidi="fa-IR"/>
          <w:color w:val="111111"/>
          <w:sz w:val="28"/>
          <w:szCs w:val="28"/>
          <w:rtl/>
        </w:rPr>
        <w:t xml:space="preserve">بعد از اسطرلاب مسرطن تأليف على بن احمد معروف به ابن  مهندس برای ابو محمد عبدالله بن على حاسب نوشته است.</w:t>
      </w:r>
    </w:p>
    <w:p>
      <w:pPr>
        <w:pStyle w:val="BookText"/>
      </w:pPr>
      <w:r>
        <w:rPr>
          <w:rFonts w:ascii="Amiri" w:hAnsi="Amiri" w:eastAsia="Amiri" w:cs="Amiri"/>
          <w:lang w:bidi="ar-SA"/>
          <w:color w:val="111111"/>
          <w:sz w:val="28"/>
          <w:szCs w:val="28"/>
          <w:rtl/>
        </w:rPr>
        <w:t xml:space="preserve">آغاز: بسمله، كان بعض اصدقاينا بفارس حريصاً على ان انشى له رسالة في العمل بالاسطرلاب المسرطن</w:t>
      </w:r>
    </w:p>
    <w:p>
      <w:pPr>
        <w:pStyle w:val="BookText"/>
      </w:pPr>
      <w:r>
        <w:rPr>
          <w:rFonts w:ascii="Amiri" w:hAnsi="Amiri" w:eastAsia="Amiri" w:cs="Amiri"/>
          <w:lang w:bidi="ar-SA"/>
          <w:color w:val="111111"/>
          <w:sz w:val="28"/>
          <w:szCs w:val="28"/>
          <w:rtl/>
        </w:rPr>
        <w:t xml:space="preserve">انجام: ليصح العمل بذلك انشاء الله تعالى و الحمدلله وحده تمت  رسالة على الكمال و حسبنا الله نعم الوكيل</w:t>
      </w:r>
    </w:p>
    <w:p>
      <w:pPr>
        <w:pStyle w:val="BookText"/>
      </w:pPr>
      <w:r>
        <w:rPr>
          <w:rFonts w:ascii="IRNazanin" w:hAnsi="IRNazanin" w:eastAsia="IRNazanin" w:cs="IRNazanin"/>
          <w:lang w:bidi="fa-IR"/>
          <w:color w:val="111111"/>
          <w:sz w:val="28"/>
          <w:szCs w:val="28"/>
          <w:rtl/>
        </w:rPr>
        <w:t xml:space="preserve">مشهد؛ رضوی؛ شماره نسخه: ۵۲۸۶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تحریری، بی کا ،تا: قرن ۹؛ واقف: ابن خاتون:۱۰۶۷ق؛ کاغذ: سمرقندی آهار مهره، جلد: پارچه ای، ۱۳گ، ۱۵ سطر (9</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،اندازه: ۱۳/۱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۱۷/۶سم [ف: ۸ - ۳۵]</w:t>
      </w:r>
    </w:p>
    <w:p>
      <w:pPr>
        <w:pStyle w:val="BookText"/>
      </w:pPr>
      <w:r>
        <w:rPr>
          <w:rFonts w:ascii="IRNazanin" w:hAnsi="IRNazanin" w:eastAsia="IRNazanin" w:cs="IRNazanin"/>
          <w:lang w:bidi="fa-IR"/>
          <w:color w:val="111111"/>
          <w:sz w:val="28"/>
          <w:szCs w:val="28"/>
          <w:rtl/>
        </w:rPr>
        <w:t xml:space="preserve">قم؛ مرکز احیاء؛ شماره نسخه: ۱۵۴</w:t>
      </w:r>
    </w:p>
    <w:p>
      <w:pPr>
        <w:pStyle w:val="BookText"/>
      </w:pPr>
      <w:r>
        <w:rPr>
          <w:rFonts w:ascii="IRNazanin" w:hAnsi="IRNazanin" w:eastAsia="IRNazanin" w:cs="IRNazanin"/>
          <w:lang w:bidi="fa-IR"/>
          <w:color w:val="111111"/>
          <w:sz w:val="28"/>
          <w:szCs w:val="28"/>
          <w:rtl/>
        </w:rPr>
        <w:t xml:space="preserve">نسخه اصل: همان نسخه بالا [ عکسی ف: ۱ - ۱۷۳]</w:t>
      </w:r>
    </w:p>
    <w:p>
      <w:pPr>
        <w:pStyle w:val="Heading3"/>
      </w:pPr>
      <w:bookmarkStart w:id="1536" w:name="_Toc1058"/>
      <w:r>
        <w:t>اسطرلاب مسطح = آغاز و انجام = صفیحه  اسطرلاب مسطح= جام جهان نما / اسطرلاب / فارسی</w:t>
      </w:r>
      <w:bookmarkEnd w:id="1536"/>
    </w:p>
    <w:p>
      <w:pPr>
        <w:pStyle w:val="BookText"/>
      </w:pPr>
      <w:r>
        <w:rPr>
          <w:rFonts w:ascii="Times New Roman" w:hAnsi="Times New Roman" w:eastAsia="Times New Roman" w:cs="Times New Roman"/>
          <w:lang w:val="en-US" w:bidi="en-US"/>
          <w:color w:val="111111"/>
          <w:sz w:val="28"/>
          <w:szCs w:val="28"/>
          <w:rtl/>
        </w:rPr>
        <w:t xml:space="preserve">ostorlāb-e mosattah = āqāz va anjām = safīhe-ye</w:t>
      </w:r>
    </w:p>
    <w:p>
      <w:pPr>
        <w:pStyle w:val="BookText"/>
      </w:pPr>
      <w:r>
        <w:rPr>
          <w:rFonts w:ascii="Times New Roman" w:hAnsi="Times New Roman" w:eastAsia="Times New Roman" w:cs="Times New Roman"/>
          <w:lang w:val="en-US" w:bidi="en-US"/>
          <w:color w:val="111111"/>
          <w:sz w:val="28"/>
          <w:szCs w:val="28"/>
          <w:rtl/>
        </w:rPr>
        <w:t xml:space="preserve">ostorlab-e mosattah = jam-e jahan nama</w:t>
      </w:r>
    </w:p>
    <w:p>
      <w:pPr>
        <w:pStyle w:val="BookText"/>
      </w:pPr>
      <w:r>
        <w:rPr>
          <w:rFonts w:ascii="IRNazanin" w:hAnsi="IRNazanin" w:eastAsia="IRNazanin" w:cs="IRNazanin"/>
          <w:lang w:bidi="fa-IR"/>
          <w:color w:val="111111"/>
          <w:sz w:val="28"/>
          <w:szCs w:val="28"/>
          <w:rtl/>
        </w:rPr>
        <w:t xml:space="preserve">فارسی، محمد تقی بن محمد، - ۹۴۸ قمری</w:t>
      </w:r>
    </w:p>
    <w:p>
      <w:pPr>
        <w:pStyle w:val="BookText"/>
      </w:pPr>
      <w:r>
        <w:rPr>
          <w:rFonts w:ascii="Times New Roman" w:hAnsi="Times New Roman" w:eastAsia="Times New Roman" w:cs="Times New Roman"/>
          <w:lang w:val="en-US" w:bidi="en-US"/>
          <w:color w:val="111111"/>
          <w:sz w:val="28"/>
          <w:szCs w:val="28"/>
          <w:rtl/>
        </w:rPr>
        <w:t xml:space="preserve">(fārsī, mohammad taqī-ye-bn-e mohammad (- 1542)</w:t>
      </w:r>
    </w:p>
    <w:p>
      <w:pPr>
        <w:pStyle w:val="BookText"/>
      </w:pPr>
      <w:r>
        <w:rPr>
          <w:rFonts w:ascii="IRNazanin" w:hAnsi="IRNazanin" w:eastAsia="IRNazanin" w:cs="IRNazanin"/>
          <w:lang w:bidi="fa-IR"/>
          <w:color w:val="111111"/>
          <w:sz w:val="28"/>
          <w:szCs w:val="28"/>
          <w:rtl/>
        </w:rPr>
        <w:t xml:space="preserve">مشتمل است بر یک «آغاز» ، ۲۳ (یا ۲۴) «سطر» و یک «انجام»: آغاز در بیان لغت و تعریف اسطرلاب و اسامی ادواة آن؛ سطر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1.ارتفاع؛ ۲. دانستن طالع ارتفاع و عمل تعديل درجه شمس و تعديل مقنطرات و تعدیل درجه طالع در اسطرلاب های غیر تـام؛3 . دانستن ارتفاع از طالع؛ ۴. معرفت دائره قوس النهار و قوس الليل و ساعات مستوى .... مؤلف آن را به نام خاصی نخوانده صاحب «الذریعة» آن را «آغاز و انجام» نام نهاده است. در «سطر» ۱۶ قاعده رؤیت هلال را به نظم پارسی درآورده است و مطلع نظم این بیت است: در شبی کان شب بود دیدار ماه *** جزء  خورگاه غروبای نیکخواه / بر افق نه از سوی مغرب روان*** پس مری کن در بر اجزایشان»</w:t>
      </w:r>
    </w:p>
    <w:p>
      <w:pPr>
        <w:pStyle w:val="BookText"/>
      </w:pPr>
      <w:r>
        <w:rPr>
          <w:rFonts w:ascii="IRNazanin" w:hAnsi="IRNazanin" w:eastAsia="IRNazanin" w:cs="IRNazanin"/>
          <w:lang w:bidi="fa-IR"/>
          <w:color w:val="111111"/>
          <w:sz w:val="28"/>
          <w:szCs w:val="28"/>
          <w:rtl/>
        </w:rPr>
        <w:t xml:space="preserve">آغاز: خوبترین صورتی که از حجره خیال به بارگاه متعال جـلوه گر آید ... و بعد فقير غنی ابوالخیر محمد بن محمد الفارسي در این  صحیفه، صحیفه اسطرلاب مسطح و سایر ادواتش بیانی لایق  ...می نماید و طالبان را از ابواب و اساطیر قدیم  ...  مستغنی می سازد</w:t>
      </w:r>
    </w:p>
    <w:p>
      <w:pPr>
        <w:pStyle w:val="BookText"/>
      </w:pPr>
      <w:r>
        <w:rPr>
          <w:rFonts w:ascii="IRNazanin" w:hAnsi="IRNazanin" w:eastAsia="IRNazanin" w:cs="IRNazanin"/>
          <w:lang w:bidi="fa-IR"/>
          <w:color w:val="111111"/>
          <w:sz w:val="28"/>
          <w:szCs w:val="28"/>
          <w:rtl/>
        </w:rPr>
        <w:t xml:space="preserve">انجام: چه در اکثر اسطرلابات این ستارها نقش کنند و الله اعـلم بالصواب</w:t>
      </w:r>
    </w:p>
    <w:p>
      <w:pPr>
        <w:pStyle w:val="BookText"/>
      </w:pPr>
      <w:r>
        <w:rPr>
          <w:rFonts w:ascii="IRNazanin" w:hAnsi="IRNazanin" w:eastAsia="IRNazanin" w:cs="IRNazanin"/>
          <w:lang w:bidi="fa-IR"/>
          <w:color w:val="111111"/>
          <w:sz w:val="28"/>
          <w:szCs w:val="28"/>
          <w:rtl/>
        </w:rPr>
        <w:t xml:space="preserve">[دنا ۲۱۸۰۷/۱ نسخه)؛ الذريعة ۳۵۸/۲ و ۶۷/۷ و ۷۲/۱۱؛ نسخه های منزوی ۱/ ۲۳۴؛ فهرستواره منزوی ۲۸۱۳/۴]</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مرعشی؛ شماره نسخه: ۹۰۱۶/۲</w:t>
      </w:r>
    </w:p>
    <w:p>
      <w:pPr>
        <w:pStyle w:val="BookText"/>
      </w:pPr>
      <w:r>
        <w:rPr>
          <w:rFonts w:ascii="IRNazanin" w:hAnsi="IRNazanin" w:eastAsia="IRNazanin" w:cs="IRNazanin"/>
          <w:lang w:bidi="fa-IR"/>
          <w:color w:val="111111"/>
          <w:sz w:val="28"/>
          <w:szCs w:val="28"/>
          <w:rtl/>
        </w:rPr>
        <w:t xml:space="preserve">خط: نستعلیق، کا: سلیمان  موسوی، تا: قرن ۱۰ ؛جلد: تیماج مشکی بدون مقوا، ۵۶گ (۲۱پ-۷۶ پ)، ۱۵ سطر،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 ۲۳ - ۱۷۰]</w:t>
      </w:r>
    </w:p>
    <w:p>
      <w:pPr>
        <w:pStyle w:val="BookText"/>
      </w:pPr>
      <w:r>
        <w:rPr>
          <w:rFonts w:ascii="IRNazanin" w:hAnsi="IRNazanin" w:eastAsia="IRNazanin" w:cs="IRNazanin"/>
          <w:lang w:bidi="fa-IR"/>
          <w:color w:val="111111"/>
          <w:sz w:val="28"/>
          <w:szCs w:val="28"/>
          <w:rtl/>
        </w:rPr>
        <w:t xml:space="preserve">۲. قم؛ مرعشی؛ شماره نسخه: ۷۸۸۱/۱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شاه محمود، تا: قرن ۱۱؛ دارای اشکال و جدول؛ جلد: تیماج قرمز عطف تیماج مشکی، ۶۰گ (۴پ- ۶۳ر)، ۱۷ سطر،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۲۲/۵سم [ف ۲۰ - ۲۱۵]</w:t>
      </w:r>
    </w:p>
    <w:p>
      <w:pPr>
        <w:pStyle w:val="BookText"/>
      </w:pPr>
      <w:r>
        <w:rPr>
          <w:rFonts w:ascii="IRNazanin" w:hAnsi="IRNazanin" w:eastAsia="IRNazanin" w:cs="IRNazanin"/>
          <w:lang w:bidi="fa-IR"/>
          <w:color w:val="111111"/>
          <w:sz w:val="28"/>
          <w:szCs w:val="28"/>
          <w:rtl/>
        </w:rPr>
        <w:t xml:space="preserve">3.مشهد؛ رضوی؛ شماره نسخه: ۵۲۸۷/۱</w:t>
      </w:r>
    </w:p>
    <w:p>
      <w:pPr>
        <w:pStyle w:val="BookText"/>
      </w:pPr>
      <w:r>
        <w:rPr>
          <w:rFonts w:ascii="IRNazanin" w:hAnsi="IRNazanin" w:eastAsia="IRNazanin" w:cs="IRNazanin"/>
          <w:lang w:bidi="fa-IR"/>
          <w:color w:val="111111"/>
          <w:sz w:val="28"/>
          <w:szCs w:val="28"/>
          <w:rtl/>
        </w:rPr>
        <w:t xml:space="preserve">آغاز: برابر؛ انجام: چه اکثر در اسطرلابها این کواکب نقش کنند و بتجربه سخن باید گفت و الحمد لواهب العقل و مفيض العلم ،بعد از آن اسامی کواکب مذکورست.</w:t>
      </w:r>
    </w:p>
    <w:p>
      <w:pPr>
        <w:pStyle w:val="BookText"/>
      </w:pPr>
      <w:r>
        <w:rPr>
          <w:rFonts w:ascii="IRNazanin" w:hAnsi="IRNazanin" w:eastAsia="IRNazanin" w:cs="IRNazanin"/>
          <w:lang w:bidi="fa-IR"/>
          <w:color w:val="111111"/>
          <w:sz w:val="28"/>
          <w:szCs w:val="28"/>
          <w:rtl/>
        </w:rPr>
        <w:t xml:space="preserve">خط: نسخ، بی کا، تا: اواخر قرن ۱۰ و اوایل قرن ۱۱؛ کاغذ: حنایی آهار مهره، جلد: مقوایی ۵۶ ص ،(1- 56)، ۲۲ سطر (۱۸/۵</w:t>
      </w:r>
      <w:r>
        <w:rPr>
          <w:rFonts w:ascii="Times New Roman" w:hAnsi="Times New Roman" w:eastAsia="Times New Roman" w:cs="Times New Roman"/>
          <w:lang w:val="en-US" w:bidi="en-US"/>
          <w:color w:val="111111"/>
          <w:sz w:val="28"/>
          <w:szCs w:val="28"/>
          <w:rtl/>
        </w:rPr>
        <w:t xml:space="preserve">×21/3)</w:t>
      </w:r>
      <w:r>
        <w:rPr>
          <w:rFonts w:ascii="IRNazanin" w:hAnsi="IRNazanin" w:eastAsia="IRNazanin" w:cs="IRNazanin"/>
          <w:lang w:bidi="fa-IR"/>
          <w:color w:val="111111"/>
          <w:sz w:val="28"/>
          <w:szCs w:val="28"/>
          <w:rtl/>
        </w:rPr>
        <w:t xml:space="preserve">، اندازه: ۱۹/۷۲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۲۵/۵سم [ف: ۸ - ۳۷۹]</w:t>
      </w:r>
    </w:p>
    <w:p>
      <w:pPr>
        <w:pStyle w:val="BookText"/>
      </w:pPr>
      <w:r>
        <w:rPr>
          <w:rFonts w:ascii="IRNazanin" w:hAnsi="IRNazanin" w:eastAsia="IRNazanin" w:cs="IRNazanin"/>
          <w:lang w:bidi="fa-IR"/>
          <w:color w:val="111111"/>
          <w:sz w:val="28"/>
          <w:szCs w:val="28"/>
          <w:rtl/>
        </w:rPr>
        <w:t xml:space="preserve">۴. مشهد؛ رضوی؛ شماره نسخه: ۱۱۹۸۱/۱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۱۱؛ کاغذ: نخودی آهار مهره،55گ، 55 سطر [ف: ۱۰ - ۲۱۶]</w:t>
      </w:r>
    </w:p>
    <w:p>
      <w:pPr>
        <w:pStyle w:val="BookText"/>
      </w:pPr>
      <w:r>
        <w:rPr>
          <w:rFonts w:ascii="IRNazanin" w:hAnsi="IRNazanin" w:eastAsia="IRNazanin" w:cs="IRNazanin"/>
          <w:lang w:bidi="fa-IR"/>
          <w:color w:val="111111"/>
          <w:sz w:val="28"/>
          <w:szCs w:val="28"/>
          <w:rtl/>
        </w:rPr>
        <w:t xml:space="preserve">۵. تهران؛ نوربخش؛ شماره نسخه: ۸۷۰/۲</w:t>
      </w:r>
    </w:p>
    <w:p>
      <w:pPr>
        <w:pStyle w:val="BookText"/>
      </w:pPr>
      <w:r>
        <w:rPr>
          <w:rFonts w:ascii="IRNazanin" w:hAnsi="IRNazanin" w:eastAsia="IRNazanin" w:cs="IRNazanin"/>
          <w:lang w:bidi="fa-IR"/>
          <w:color w:val="111111"/>
          <w:sz w:val="28"/>
          <w:szCs w:val="28"/>
          <w:rtl/>
        </w:rPr>
        <w:t xml:space="preserve">آغاز: برابر؛ انجام: (اسامی کواکب بیست گانه است از عین الثور تا كف الخضیب و پس از آن می گوید:) این کواکب را بـاید شناخت</w:t>
      </w:r>
    </w:p>
    <w:p>
      <w:pPr>
        <w:pStyle w:val="BookText"/>
      </w:pPr>
      <w:r>
        <w:rPr>
          <w:rFonts w:ascii="IRNazanin" w:hAnsi="IRNazanin" w:eastAsia="IRNazanin" w:cs="IRNazanin"/>
          <w:lang w:bidi="fa-IR"/>
          <w:color w:val="111111"/>
          <w:sz w:val="28"/>
          <w:szCs w:val="28"/>
          <w:rtl/>
        </w:rPr>
        <w:t xml:space="preserve">خط: نستعلیق، بی کا، تا: قرن ۱۱؛ کاغذ: سمرقندی شکری، جلد: تیماج مشکی با ترنج ۹۵گ (۱۲-۱۰۶)، ۱۲ سطر، قطع: رقعی ،اندازه: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[نشریه ۱۳ - ۲۶۴]</w:t>
      </w:r>
    </w:p>
    <w:p>
      <w:pPr>
        <w:pStyle w:val="BookText"/>
      </w:pPr>
      <w:r>
        <w:rPr>
          <w:rFonts w:ascii="IRNazanin" w:hAnsi="IRNazanin" w:eastAsia="IRNazanin" w:cs="IRNazanin"/>
          <w:lang w:bidi="fa-IR"/>
          <w:color w:val="111111"/>
          <w:sz w:val="28"/>
          <w:szCs w:val="28"/>
          <w:rtl/>
        </w:rPr>
        <w:t xml:space="preserve">۶. تهران؛ مجلس؛ شماره نسخه: ۶۳۴۳/۲</w:t>
      </w:r>
    </w:p>
    <w:p>
      <w:pPr>
        <w:pStyle w:val="BookText"/>
      </w:pPr>
      <w:r>
        <w:rPr>
          <w:rFonts w:ascii="IRNazanin" w:hAnsi="IRNazanin" w:eastAsia="IRNazanin" w:cs="IRNazanin"/>
          <w:lang w:bidi="fa-IR"/>
          <w:color w:val="111111"/>
          <w:sz w:val="28"/>
          <w:szCs w:val="28"/>
          <w:rtl/>
        </w:rPr>
        <w:t xml:space="preserve">خط: نستعلیق، بی کا، تا: قرن ۱۱؛ با نقاشی نزدیک به یکدیگر، صفحات مجدول؛ كاغذ: دولت آبادی شکری آهار مهره، جلد: تیماج قرمز  ضربی، ۱۰۵ ص ،(۱۹۴-۲۹۸) ۱۹ سطر، قطع: وزیری باریک،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۲۴سم [ف : ۱۹ - ۳۶۸]</w:t>
      </w:r>
    </w:p>
    <w:p>
      <w:pPr>
        <w:pStyle w:val="BookText"/>
      </w:pPr>
      <w:r>
        <w:rPr>
          <w:rFonts w:ascii="IRNazanin" w:hAnsi="IRNazanin" w:eastAsia="IRNazanin" w:cs="IRNazanin"/>
          <w:lang w:bidi="fa-IR"/>
          <w:color w:val="111111"/>
          <w:sz w:val="28"/>
          <w:szCs w:val="28"/>
          <w:rtl/>
        </w:rPr>
        <w:t xml:space="preserve">۷. تهران؛ مجلس؛ شماره نسخه: ۸۲۱/۱-ط</w:t>
      </w:r>
    </w:p>
    <w:p>
      <w:pPr>
        <w:pStyle w:val="BookText"/>
      </w:pPr>
      <w:r>
        <w:rPr>
          <w:rFonts w:ascii="IRNazanin" w:hAnsi="IRNazanin" w:eastAsia="IRNazanin" w:cs="IRNazanin"/>
          <w:lang w:bidi="fa-IR"/>
          <w:color w:val="111111"/>
          <w:sz w:val="28"/>
          <w:szCs w:val="28"/>
          <w:rtl/>
        </w:rPr>
        <w:t xml:space="preserve">آغاز: برابر؛ انجام: چه در اکثر اسطرلابها این کواکب نقش می کنند.</w:t>
      </w:r>
    </w:p>
    <w:p>
      <w:pPr>
        <w:pStyle w:val="BookText"/>
      </w:pPr>
      <w:r>
        <w:rPr>
          <w:rFonts w:ascii="IRNazanin" w:hAnsi="IRNazanin" w:eastAsia="IRNazanin" w:cs="IRNazanin"/>
          <w:lang w:bidi="fa-IR"/>
          <w:color w:val="111111"/>
          <w:sz w:val="28"/>
          <w:szCs w:val="28"/>
          <w:rtl/>
        </w:rPr>
        <w:t xml:space="preserve">خط: نستعلیق، بی کا، تا:۱۰۴۰ق؛ کاغذ: کاهی رنگ؛ جلد: مقوایی با عطف تیماج ،قرمز، ۶۸ص (۱-۶۸)، ۱۶ سطر، قطع: خشتی،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 ۲۳ - ۱۱۵]</w:t>
      </w:r>
    </w:p>
    <w:p>
      <w:pPr>
        <w:pStyle w:val="BookText"/>
      </w:pPr>
      <w:r>
        <w:rPr>
          <w:rFonts w:ascii="IRNazanin" w:hAnsi="IRNazanin" w:eastAsia="IRNazanin" w:cs="IRNazanin"/>
          <w:lang w:bidi="fa-IR"/>
          <w:color w:val="111111"/>
          <w:sz w:val="28"/>
          <w:szCs w:val="28"/>
          <w:rtl/>
        </w:rPr>
        <w:t xml:space="preserve">۸ .تهران؛ دانشگاه؛ شماره نسخه: ۹۵۴</w:t>
      </w:r>
    </w:p>
    <w:p>
      <w:pPr>
        <w:pStyle w:val="BookText"/>
      </w:pPr>
      <w:r>
        <w:rPr>
          <w:rFonts w:ascii="IRNazanin" w:hAnsi="IRNazanin" w:eastAsia="IRNazanin" w:cs="IRNazanin"/>
          <w:lang w:bidi="fa-IR"/>
          <w:color w:val="111111"/>
          <w:sz w:val="28"/>
          <w:szCs w:val="28"/>
          <w:rtl/>
        </w:rPr>
        <w:t xml:space="preserve">آغاز: برابر؛ انجام :چه در اکثر اسطرلابها این کواکب نقش کنند. و الحمد لواهب العقل و مفيض العلم.</w:t>
      </w:r>
    </w:p>
    <w:p>
      <w:pPr>
        <w:pStyle w:val="BookText"/>
      </w:pPr>
      <w:r>
        <w:rPr>
          <w:rFonts w:ascii="IRNazanin" w:hAnsi="IRNazanin" w:eastAsia="IRNazanin" w:cs="IRNazanin"/>
          <w:lang w:bidi="fa-IR"/>
          <w:color w:val="111111"/>
          <w:sz w:val="28"/>
          <w:szCs w:val="28"/>
          <w:rtl/>
        </w:rPr>
        <w:t xml:space="preserve">خط: نستعليق، كا: حسن بن بیک حاجی لطف الله یزدی، تا: چهارشنبه جمادى الثاني ۱۰۷۱ق؛ کاغذ: فرنگی، جلد: تیماج مشکی تازه، ۴۱گ ۲۶-۳۰ سطر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۴ - ۸۳۰]</w:t>
      </w:r>
    </w:p>
    <w:p>
      <w:pPr>
        <w:pStyle w:val="BookText"/>
      </w:pPr>
      <w:r>
        <w:rPr>
          <w:rFonts w:ascii="IRNazanin" w:hAnsi="IRNazanin" w:eastAsia="IRNazanin" w:cs="IRNazanin"/>
          <w:lang w:bidi="fa-IR"/>
          <w:color w:val="111111"/>
          <w:sz w:val="28"/>
          <w:szCs w:val="28"/>
          <w:rtl/>
        </w:rPr>
        <w:t xml:space="preserve">9.تهران؛ مجلس؛ شماره نسخه: ۶۳۳۰/۲</w:t>
      </w:r>
    </w:p>
    <w:p>
      <w:pPr>
        <w:pStyle w:val="BookText"/>
      </w:pPr>
      <w:r>
        <w:rPr>
          <w:rFonts w:ascii="IRNazanin" w:hAnsi="IRNazanin" w:eastAsia="IRNazanin" w:cs="IRNazanin"/>
          <w:lang w:bidi="fa-IR"/>
          <w:color w:val="111111"/>
          <w:sz w:val="28"/>
          <w:szCs w:val="28"/>
          <w:rtl/>
        </w:rPr>
        <w:t xml:space="preserve">خط: نستعلیق، بی کا :تا :۱۰۸۷ق ؛کاغذ: اصفهانی شکری، جلد: تيماج قرمز سجاف عطف قهوه ای و حاشیه قرمز روشن، ۱۲۲ص (۱۴۱-۱۲۰)،۱۷سطر،قطع: رقعی،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۱۹ – ۳۴۷]</w:t>
      </w:r>
    </w:p>
    <w:p>
      <w:pPr>
        <w:pStyle w:val="BookText"/>
      </w:pPr>
      <w:r>
        <w:rPr>
          <w:rFonts w:ascii="IRNazanin" w:hAnsi="IRNazanin" w:eastAsia="IRNazanin" w:cs="IRNazanin"/>
          <w:lang w:bidi="fa-IR"/>
          <w:color w:val="111111"/>
          <w:sz w:val="28"/>
          <w:szCs w:val="28"/>
          <w:rtl/>
        </w:rPr>
        <w:t xml:space="preserve">۱۰. تهران؛ مجلس؛ شماره نسخه: ۶۳۲۷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شکسته نستعلیق، بی کا، تا: قرن ۱۲؛ در پایان نسخه یادداشتی است برگ (۵۵پ) در تفصیل اقالیم سبعه به فارسی و در ذیل آن (در ص آخر نسخه) چند قطعه فارسی در معرفت برج قمر به قلم كاتب نسخه ثبت شده مطلع قطعه اول این است: «آنچه از ماه میرود بشمار </w:t>
      </w:r>
      <w:r>
        <w:rPr>
          <w:rFonts w:ascii="IRNazanin" w:hAnsi="IRNazanin" w:eastAsia="IRNazanin" w:cs="IRNazanin"/>
          <w:lang w:bidi="fa-IR"/>
          <w:color w:val="111111"/>
          <w:sz w:val="28"/>
          <w:szCs w:val="28"/>
          <w:b w:val="1"/>
          <w:bCs w:val="1"/>
          <w:i w:val="1"/>
          <w:iCs w:val="1"/>
          <w:rtl/>
        </w:rPr>
        <w:t xml:space="preserve">هر یکی را دوازده انگار / بعد از این طرح میکنش سی سی *** تا به آنجا که مقصد است رسی/ بعد از این که آفتاب کجاست</w:t>
      </w:r>
      <w:r>
        <w:rPr>
          <w:rFonts w:ascii="IRNazanin" w:hAnsi="IRNazanin" w:eastAsia="IRNazanin" w:cs="IRNazanin"/>
          <w:lang w:bidi="fa-IR"/>
          <w:color w:val="111111"/>
          <w:sz w:val="28"/>
          <w:szCs w:val="28"/>
          <w:rtl/>
        </w:rPr>
        <w:t xml:space="preserve"> از دوم بر جش ابتدا کن راست؛ کاغذ: اصفهانی آهار مهره ،جلد: تیماج قرمز (بدون مقوا)، ۱۱۰ص، ۱۹ سطر، قطع: رقعی،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۱۶/۵سم [ف: ۱۹ - ۳۳۷]</w:t>
      </w:r>
    </w:p>
    <w:p>
      <w:pPr>
        <w:pStyle w:val="BookText"/>
      </w:pPr>
      <w:r>
        <w:rPr>
          <w:rFonts w:ascii="IRNazanin" w:hAnsi="IRNazanin" w:eastAsia="IRNazanin" w:cs="IRNazanin"/>
          <w:lang w:bidi="fa-IR"/>
          <w:color w:val="111111"/>
          <w:sz w:val="28"/>
          <w:szCs w:val="28"/>
          <w:rtl/>
        </w:rPr>
        <w:t xml:space="preserve">۱۱ . قم؛ مسجد اعظم؛ شماره نسخه: ۲۲۸۳</w:t>
      </w:r>
    </w:p>
    <w:p>
      <w:pPr>
        <w:pStyle w:val="BookText"/>
      </w:pPr>
      <w:r>
        <w:rPr>
          <w:rFonts w:ascii="IRNazanin" w:hAnsi="IRNazanin" w:eastAsia="IRNazanin" w:cs="IRNazanin"/>
          <w:lang w:bidi="fa-IR"/>
          <w:color w:val="111111"/>
          <w:sz w:val="28"/>
          <w:szCs w:val="28"/>
          <w:rtl/>
        </w:rPr>
        <w:t xml:space="preserve">آغاز: برابر؛ انجام: فایده در بیان معرفت ساعات معوجه گذشته از حین طلوع آفتاب با کوکب و زمان معین یا مانده از زمان معین  تا  حين غروب از ارتفاع آفتاب با کوکب هرگاه که از آفتاب</w:t>
      </w:r>
    </w:p>
    <w:p>
      <w:pPr>
        <w:pStyle w:val="BookText"/>
      </w:pPr>
      <w:r>
        <w:rPr>
          <w:rFonts w:ascii="IRNazanin" w:hAnsi="IRNazanin" w:eastAsia="IRNazanin" w:cs="IRNazanin"/>
          <w:lang w:bidi="fa-IR"/>
          <w:color w:val="111111"/>
          <w:sz w:val="28"/>
          <w:szCs w:val="28"/>
          <w:rtl/>
        </w:rPr>
        <w:t xml:space="preserve">از ابتدا تا اواسط سطر بیست و دوم ادامه یافته است؛ خط: نستعلیق، بی کا، تا: قرن ۱۲؛ افتادگی: انجام؛ دارای جداول نجومی، محشی؛ ۵۳ گ، ۱۴ 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مخ: ۱ - ۱۵۰]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306" w:name="pg20365_260427"/>
    <w:bookmarkEnd w:id="306"/>
    <w:p>
      <w:pPr>
        <w:pStyle w:val="BookText"/>
      </w:pPr>
      <w:r>
        <w:rPr>
          <w:rFonts w:ascii="IRNazanin" w:hAnsi="IRNazanin" w:eastAsia="IRNazanin" w:cs="IRNazanin"/>
          <w:lang w:bidi="fa-IR"/>
          <w:color w:val="111111"/>
          <w:sz w:val="28"/>
          <w:szCs w:val="28"/>
          <w:rtl/>
        </w:rPr>
        <w:t xml:space="preserve">۱۲. تهران؛ مجلس؛ شماره نسخه: ۶۳۴۲/۵</w:t>
      </w:r>
    </w:p>
    <w:p>
      <w:pPr>
        <w:pStyle w:val="BookText"/>
      </w:pPr>
      <w:r>
        <w:rPr>
          <w:rFonts w:ascii="IRNazanin" w:hAnsi="IRNazanin" w:eastAsia="IRNazanin" w:cs="IRNazanin"/>
          <w:lang w:bidi="fa-IR"/>
          <w:color w:val="111111"/>
          <w:sz w:val="28"/>
          <w:szCs w:val="28"/>
          <w:rtl/>
        </w:rPr>
        <w:t xml:space="preserve">خط: نستعلیق ،کا: تاری وردی ،تا :۱۱۶۷ق؛ در حواشی نوشته هایی است گویا از ابوالخیر فارسی مؤلف رساله که در برخی از نسخ در متن رساله است؛ کاغذ: فرنگی آهار مهره، جلد: تیماج قرمز بدون مقوا، ۱۲۵ ص (۷۵-۱۹۹)، ۱۵ سطر، قـطع: خشتی، اندازه: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 ۱۹ - ۳۶۷]</w:t>
      </w:r>
    </w:p>
    <w:p>
      <w:pPr>
        <w:pStyle w:val="BookText"/>
      </w:pPr>
      <w:r>
        <w:rPr>
          <w:rFonts w:ascii="IRNazanin" w:hAnsi="IRNazanin" w:eastAsia="IRNazanin" w:cs="IRNazanin"/>
          <w:lang w:bidi="fa-IR"/>
          <w:color w:val="111111"/>
          <w:sz w:val="28"/>
          <w:szCs w:val="28"/>
          <w:rtl/>
        </w:rPr>
        <w:t xml:space="preserve">۱۳. تهران؛ مجلس؛ شماره نسخه: ۶۳۲۸/۱</w:t>
      </w:r>
    </w:p>
    <w:p>
      <w:pPr>
        <w:pStyle w:val="BookText"/>
      </w:pPr>
      <w:r>
        <w:rPr>
          <w:rFonts w:ascii="IRNazanin" w:hAnsi="IRNazanin" w:eastAsia="IRNazanin" w:cs="IRNazanin"/>
          <w:lang w:bidi="fa-IR"/>
          <w:color w:val="111111"/>
          <w:sz w:val="28"/>
          <w:szCs w:val="28"/>
          <w:rtl/>
        </w:rPr>
        <w:t xml:space="preserve">این نسخه انجام ندارد و در پایان نسخه قاعده در معلوم کردن جزء شمسی به خط کاتب افزوده شده؛ بی کا، تا: قرن ۱۳؛ کاغذ: فرنگی آهار مهره، جلد: تیماج مشکی بدون مقوا، ۶۷ ص (۲-۶۸)، قـطع: خشتی،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۱۹ - ۳۳۸]</w:t>
      </w:r>
    </w:p>
    <w:p>
      <w:pPr>
        <w:pStyle w:val="BookText"/>
      </w:pPr>
      <w:r>
        <w:rPr>
          <w:rFonts w:ascii="IRNazanin" w:hAnsi="IRNazanin" w:eastAsia="IRNazanin" w:cs="IRNazanin"/>
          <w:lang w:bidi="fa-IR"/>
          <w:color w:val="111111"/>
          <w:sz w:val="28"/>
          <w:szCs w:val="28"/>
          <w:rtl/>
        </w:rPr>
        <w:t xml:space="preserve">۱۴. مشهد؛ گوهر شاد؛ شماره نسخه: ۱۱۲۱/۱</w:t>
      </w:r>
    </w:p>
    <w:p>
      <w:pPr>
        <w:pStyle w:val="BookText"/>
      </w:pPr>
      <w:r>
        <w:rPr>
          <w:rFonts w:ascii="IRNazanin" w:hAnsi="IRNazanin" w:eastAsia="IRNazanin" w:cs="IRNazanin"/>
          <w:lang w:bidi="fa-IR"/>
          <w:color w:val="111111"/>
          <w:sz w:val="28"/>
          <w:szCs w:val="28"/>
          <w:rtl/>
        </w:rPr>
        <w:t xml:space="preserve">آغاز: برابر؛ انجام: آنچه باشد قوس النهار بود پس قوس النهار بر پانزده قسمت کنند آنچه  تا «سطر سوم» را دارد ؛خط: نستعلیق، بی کا، تا: ۱۲۶۹ق؛ افتادگی: انجام؛ مهر: حاج سید سعید؛ کاغذ: هندی، جلد: تیماج مشکی، ۱۶گ (۱۶-۱)،۱۴ سطر (6/5</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۱۷/۵سم [ف: ۳ -1552]</w:t>
      </w:r>
    </w:p>
    <w:p>
      <w:pPr>
        <w:pStyle w:val="BookText"/>
      </w:pPr>
      <w:r>
        <w:rPr>
          <w:rFonts w:ascii="IRNazanin" w:hAnsi="IRNazanin" w:eastAsia="IRNazanin" w:cs="IRNazanin"/>
          <w:lang w:bidi="fa-IR"/>
          <w:color w:val="111111"/>
          <w:sz w:val="28"/>
          <w:szCs w:val="28"/>
          <w:rtl/>
        </w:rPr>
        <w:t xml:space="preserve">تهران؛ دانشگاه؛ شماره نسخه: ۲۱۳۸-ف</w:t>
      </w:r>
    </w:p>
    <w:p>
      <w:pPr>
        <w:pStyle w:val="BookText"/>
      </w:pPr>
      <w:r>
        <w:rPr>
          <w:rFonts w:ascii="Amiri" w:hAnsi="Amiri" w:eastAsia="Amiri" w:cs="Amiri"/>
          <w:lang w:bidi="ar-SA"/>
          <w:color w:val="111111"/>
          <w:sz w:val="28"/>
          <w:szCs w:val="28"/>
          <w:rtl/>
        </w:rPr>
        <w:t xml:space="preserve">نسخه اصل: همان نسخه بالا [فيلم ها-ف: ١ - ١٠]</w:t>
      </w:r>
    </w:p>
    <w:p>
      <w:pPr>
        <w:pStyle w:val="BookText"/>
      </w:pPr>
      <w:r>
        <w:rPr>
          <w:rFonts w:ascii="IRNazanin" w:hAnsi="IRNazanin" w:eastAsia="IRNazanin" w:cs="IRNazanin"/>
          <w:lang w:bidi="fa-IR"/>
          <w:color w:val="111111"/>
          <w:sz w:val="28"/>
          <w:szCs w:val="28"/>
          <w:rtl/>
        </w:rPr>
        <w:t xml:space="preserve">۱۵. مشهد؛ رضوی؛ شماره نسخه: ۵۵۴۴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تحریری، بی کا، تا: ۹ رجب ۱۲۲۹ق؛ افتادگی: آغاز؛ محشی با امضای مطهر؛ واقف: عماد فهرستی؛ کاغذ: فرنگی آهار مهره، جلد: پارچه ای ۳۰گ، مختلف السطر، اندازه: ۱۴/۷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۲۳سم [ف: ۸ - ۳۳]</w:t>
      </w:r>
    </w:p>
    <w:p>
      <w:pPr>
        <w:pStyle w:val="BookText"/>
      </w:pPr>
      <w:r>
        <w:rPr>
          <w:rFonts w:ascii="IRNazanin" w:hAnsi="IRNazanin" w:eastAsia="IRNazanin" w:cs="IRNazanin"/>
          <w:lang w:bidi="fa-IR"/>
          <w:color w:val="111111"/>
          <w:sz w:val="28"/>
          <w:szCs w:val="28"/>
          <w:rtl/>
        </w:rPr>
        <w:t xml:space="preserve">۱۶. تهران؛ مفتاح؛ شماره نسخه: ۳۸۳/۲</w:t>
      </w:r>
    </w:p>
    <w:p>
      <w:pPr>
        <w:pStyle w:val="BookText"/>
      </w:pPr>
      <w:r>
        <w:rPr>
          <w:rFonts w:ascii="IRNazanin" w:hAnsi="IRNazanin" w:eastAsia="IRNazanin" w:cs="IRNazanin"/>
          <w:lang w:bidi="fa-IR"/>
          <w:color w:val="111111"/>
          <w:sz w:val="28"/>
          <w:szCs w:val="28"/>
          <w:rtl/>
        </w:rPr>
        <w:t xml:space="preserve">خط: نستعلیق، بی کا، تا: ۱۲۴۹ق [ نشریه: ۷ - ۲۳۶]</w:t>
      </w:r>
    </w:p>
    <w:p>
      <w:pPr>
        <w:pStyle w:val="BookText"/>
      </w:pPr>
      <w:r>
        <w:rPr>
          <w:rFonts w:ascii="IRNazanin" w:hAnsi="IRNazanin" w:eastAsia="IRNazanin" w:cs="IRNazanin"/>
          <w:lang w:bidi="fa-IR"/>
          <w:color w:val="111111"/>
          <w:sz w:val="28"/>
          <w:szCs w:val="28"/>
          <w:rtl/>
        </w:rPr>
        <w:t xml:space="preserve">۱۷. تهران؛ ملک؛ شماره نسخه: ۱۵۷۷/۶</w:t>
      </w:r>
    </w:p>
    <w:p>
      <w:pPr>
        <w:pStyle w:val="BookText"/>
      </w:pPr>
      <w:r>
        <w:rPr>
          <w:rFonts w:ascii="IRNazanin" w:hAnsi="IRNazanin" w:eastAsia="IRNazanin" w:cs="IRNazanin"/>
          <w:lang w:bidi="fa-IR"/>
          <w:color w:val="111111"/>
          <w:sz w:val="28"/>
          <w:szCs w:val="28"/>
          <w:rtl/>
        </w:rPr>
        <w:t xml:space="preserve">آغاز: خوب ترین صورتی که از حجره خیال به بارگاه متعال جلوه گر آید؛ انجام: این کواکب نقش کند</w:t>
      </w:r>
    </w:p>
    <w:p>
      <w:pPr>
        <w:pStyle w:val="BookText"/>
      </w:pPr>
      <w:r>
        <w:rPr>
          <w:rFonts w:ascii="IRNazanin" w:hAnsi="IRNazanin" w:eastAsia="IRNazanin" w:cs="IRNazanin"/>
          <w:lang w:bidi="fa-IR"/>
          <w:color w:val="111111"/>
          <w:sz w:val="28"/>
          <w:szCs w:val="28"/>
          <w:rtl/>
        </w:rPr>
        <w:t xml:space="preserve">در یک آغاز و بیست و سه سطر و انجام؛ خط: نستعلیق، عبدالله بن ابى  الخير، تا: دوشنبه ۱۷ ذیقعده ۱۲۷۷ق؛ كاغذ: پسته ای ،جلد: میشن سیاه  لایی، ۱۹ سطر [ف: ۵ - ۲۹۹]</w:t>
      </w:r>
    </w:p>
    <w:p>
      <w:pPr>
        <w:pStyle w:val="BookText"/>
      </w:pPr>
      <w:r>
        <w:rPr>
          <w:rFonts w:ascii="IRNazanin" w:hAnsi="IRNazanin" w:eastAsia="IRNazanin" w:cs="IRNazanin"/>
          <w:lang w:bidi="fa-IR"/>
          <w:color w:val="111111"/>
          <w:sz w:val="28"/>
          <w:szCs w:val="28"/>
          <w:rtl/>
        </w:rPr>
        <w:t xml:space="preserve">۱۸ . قم؛ گلپایگانی؛ شماره نسخه: ۱۵۷۸/۱-۹/۱۲۸</w:t>
      </w:r>
    </w:p>
    <w:p>
      <w:pPr>
        <w:pStyle w:val="BookText"/>
      </w:pPr>
      <w:r>
        <w:rPr>
          <w:rFonts w:ascii="IRNazanin" w:hAnsi="IRNazanin" w:eastAsia="IRNazanin" w:cs="IRNazanin"/>
          <w:lang w:bidi="fa-IR"/>
          <w:color w:val="111111"/>
          <w:sz w:val="28"/>
          <w:szCs w:val="28"/>
          <w:rtl/>
        </w:rPr>
        <w:t xml:space="preserve">آغاز: برابر؛ انجام: و اینها را باید شناخت و موضع از فلک باید دانست چه در اکثر اسطرلاب های نقش کنند تم</w:t>
      </w:r>
    </w:p>
    <w:p>
      <w:pPr>
        <w:pStyle w:val="BookText"/>
      </w:pPr>
      <w:r>
        <w:rPr>
          <w:rFonts w:ascii="IRNazanin" w:hAnsi="IRNazanin" w:eastAsia="IRNazanin" w:cs="IRNazanin"/>
          <w:lang w:bidi="fa-IR"/>
          <w:color w:val="111111"/>
          <w:sz w:val="28"/>
          <w:szCs w:val="28"/>
          <w:rtl/>
        </w:rPr>
        <w:t xml:space="preserve">خط: نستعلیق، بی کا، بی تا ،جلد: گالینگور قهوه ای ،۵۸گ، 15- ۲۳ 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۱ - ۳۵۶]  ۱۹. قم؛ گلپایگانی؛ شماره نسخه: ۸۸۶۱/۱-۵۹/۸۱</w:t>
      </w:r>
    </w:p>
    <w:p>
      <w:pPr>
        <w:pStyle w:val="BookText"/>
      </w:pPr>
      <w:r>
        <w:rPr>
          <w:rFonts w:ascii="IRNazanin" w:hAnsi="IRNazanin" w:eastAsia="IRNazanin" w:cs="IRNazanin"/>
          <w:lang w:bidi="fa-IR"/>
          <w:color w:val="111111"/>
          <w:sz w:val="28"/>
          <w:szCs w:val="28"/>
          <w:rtl/>
        </w:rPr>
        <w:t xml:space="preserve">آغاز: زمانی از روز گذشت باید که درجه آفتاب را برمتنظره ارتفاع وقت نهند آنگاه نگاه کنند که نظیرش به کدام خط افتـاده است</w:t>
      </w:r>
    </w:p>
    <w:p>
      <w:pPr>
        <w:pStyle w:val="BookText"/>
      </w:pPr>
      <w:r>
        <w:rPr>
          <w:rFonts w:ascii="IRNazanin" w:hAnsi="IRNazanin" w:eastAsia="IRNazanin" w:cs="IRNazanin"/>
          <w:lang w:bidi="fa-IR"/>
          <w:color w:val="111111"/>
          <w:sz w:val="28"/>
          <w:szCs w:val="28"/>
          <w:rtl/>
        </w:rPr>
        <w:t xml:space="preserve">از ما قبل «سطر پنجم در معرفت میل آفتاب از معدل النهار ...»تا آخر کتاب؛ خط: نستعلیق، بی کا، بی تا؛ افتادگی: آغاز؛ ۳۲گ  (۳۲-۱) ۱۷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۱ - ۳۵۶]</w:t>
      </w:r>
    </w:p>
    <w:p>
      <w:pPr>
        <w:pStyle w:val="BookText"/>
      </w:pPr>
      <w:r>
        <w:rPr>
          <w:rFonts w:ascii="IRNazanin" w:hAnsi="IRNazanin" w:eastAsia="IRNazanin" w:cs="IRNazanin"/>
          <w:lang w:bidi="fa-IR"/>
          <w:color w:val="111111"/>
          <w:sz w:val="28"/>
          <w:szCs w:val="28"/>
          <w:rtl/>
        </w:rPr>
        <w:t xml:space="preserve">۲۰ . مشهد؛ الهیات شماره نسخه: ۱۴۸۱۳/۳</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و نستعلیق، بی کا، بی تا ،جلد: تيماج مشكى عطف تيماج قهوه ای، ۷۳ص، قطع: پستی :[ف ۲ - ۱۱۰]</w:t>
      </w:r>
    </w:p>
    <w:p>
      <w:pPr>
        <w:pStyle w:val="Heading3"/>
      </w:pPr>
      <w:bookmarkStart w:id="1537" w:name="_Toc1059"/>
      <w:r>
        <w:t>اسطرلاب مسطح / هیئت / فارسی</w:t>
      </w:r>
      <w:bookmarkEnd w:id="1537"/>
    </w:p>
    <w:p>
      <w:pPr>
        <w:pStyle w:val="BookText"/>
      </w:pPr>
      <w:r>
        <w:rPr>
          <w:rFonts w:ascii="Times New Roman" w:hAnsi="Times New Roman" w:eastAsia="Times New Roman" w:cs="Times New Roman"/>
          <w:lang w:val="en-US" w:bidi="en-US"/>
          <w:color w:val="111111"/>
          <w:sz w:val="28"/>
          <w:szCs w:val="28"/>
          <w:rtl/>
        </w:rPr>
        <w:t xml:space="preserve">ostorlāb-e mosattah</w:t>
      </w:r>
    </w:p>
    <w:p>
      <w:pPr>
        <w:pStyle w:val="BookText"/>
      </w:pPr>
      <w:r>
        <w:rPr>
          <w:rFonts w:ascii="IRNazanin" w:hAnsi="IRNazanin" w:eastAsia="IRNazanin" w:cs="IRNazanin"/>
          <w:lang w:bidi="fa-IR"/>
          <w:color w:val="111111"/>
          <w:sz w:val="28"/>
          <w:szCs w:val="28"/>
          <w:rtl/>
        </w:rPr>
        <w:t xml:space="preserve">رکن الدین ،آملی رکن الدین بن اشرف، 800ق9  قمری</w:t>
      </w:r>
    </w:p>
    <w:p>
      <w:pPr>
        <w:pStyle w:val="BookText"/>
      </w:pPr>
      <w:r>
        <w:rPr>
          <w:rFonts w:ascii="Times New Roman" w:hAnsi="Times New Roman" w:eastAsia="Times New Roman" w:cs="Times New Roman"/>
          <w:lang w:val="en-US" w:bidi="en-US"/>
          <w:color w:val="111111"/>
          <w:sz w:val="28"/>
          <w:szCs w:val="28"/>
          <w:rtl/>
        </w:rPr>
        <w:t xml:space="preserve">(rokn-o-dīn-e amolī, rokn-od-dīn ebn-e ašraf (1398-15c)</w:t>
      </w:r>
    </w:p>
    <w:p>
      <w:pPr>
        <w:pStyle w:val="BookText"/>
      </w:pPr>
      <w:r>
        <w:rPr>
          <w:rFonts w:ascii="IRNazanin" w:hAnsi="IRNazanin" w:eastAsia="IRNazanin" w:cs="IRNazanin"/>
          <w:lang w:bidi="fa-IR"/>
          <w:color w:val="111111"/>
          <w:sz w:val="28"/>
          <w:szCs w:val="28"/>
          <w:rtl/>
        </w:rPr>
        <w:t xml:space="preserve">مشهد؛ رضوی؛ شماره نسخه: ۲۲۰۷۶</w:t>
      </w:r>
    </w:p>
    <w:p>
      <w:pPr>
        <w:pStyle w:val="BookText"/>
      </w:pPr>
      <w:r>
        <w:rPr>
          <w:rFonts w:ascii="IRNazanin" w:hAnsi="IRNazanin" w:eastAsia="IRNazanin" w:cs="IRNazanin"/>
          <w:lang w:bidi="fa-IR"/>
          <w:color w:val="111111"/>
          <w:sz w:val="28"/>
          <w:szCs w:val="28"/>
          <w:rtl/>
        </w:rPr>
        <w:t xml:space="preserve">آغاز: بسمله، حمد و ثنای بیعد و حد واجب التعظيمى راجل جلاله؛ انجام: و اجزای ارتفاع تا خط آفاقی تا به ظلسلم به روی  بود</w:t>
      </w:r>
    </w:p>
    <w:p>
      <w:pPr>
        <w:pStyle w:val="BookText"/>
      </w:pPr>
      <w:r>
        <w:rPr>
          <w:rFonts w:ascii="IRNazanin" w:hAnsi="IRNazanin" w:eastAsia="IRNazanin" w:cs="IRNazanin"/>
          <w:lang w:bidi="fa-IR"/>
          <w:color w:val="111111"/>
          <w:sz w:val="28"/>
          <w:szCs w:val="28"/>
          <w:rtl/>
        </w:rPr>
        <w:t xml:space="preserve">خط: نستعلیق، بی کا، تا: قرن ۱۰ [ رایانه]</w:t>
      </w:r>
    </w:p>
    <w:p>
      <w:pPr>
        <w:pStyle w:val="Heading3"/>
      </w:pPr>
      <w:bookmarkStart w:id="1538" w:name="_Toc1060"/>
      <w:r>
        <w:t>الاسطرلاب المغنی / اسطرلاب / عربی</w:t>
      </w:r>
      <w:bookmarkEnd w:id="1538"/>
    </w:p>
    <w:p>
      <w:pPr>
        <w:pStyle w:val="BookText"/>
      </w:pPr>
      <w:r>
        <w:rPr>
          <w:rFonts w:ascii="Times New Roman" w:hAnsi="Times New Roman" w:eastAsia="Times New Roman" w:cs="Times New Roman"/>
          <w:lang w:val="en-US" w:bidi="en-US"/>
          <w:color w:val="111111"/>
          <w:sz w:val="28"/>
          <w:szCs w:val="28"/>
          <w:rtl/>
        </w:rPr>
        <w:t xml:space="preserve">al-usturlab-ul-mugni</w:t>
      </w:r>
    </w:p>
    <w:p>
      <w:pPr>
        <w:pStyle w:val="BookText"/>
      </w:pPr>
      <w:r>
        <w:rPr>
          <w:rFonts w:ascii="IRNazanin" w:hAnsi="IRNazanin" w:eastAsia="IRNazanin" w:cs="IRNazanin"/>
          <w:lang w:bidi="fa-IR"/>
          <w:color w:val="111111"/>
          <w:sz w:val="28"/>
          <w:szCs w:val="28"/>
          <w:rtl/>
        </w:rPr>
        <w:t xml:space="preserve">تشریح اسطرلاب مغنی و چگونگی کار با آن وسیله است. در استیعاب بیرونی درباره انواع اسطرلاب و از جمله آنريال اسطرلاب مغنی بررسی شده است.</w:t>
      </w:r>
    </w:p>
    <w:p>
      <w:pPr>
        <w:pStyle w:val="BookText"/>
      </w:pPr>
      <w:r>
        <w:rPr>
          <w:rFonts w:ascii="IRNazanin" w:hAnsi="IRNazanin" w:eastAsia="IRNazanin" w:cs="IRNazanin"/>
          <w:lang w:bidi="fa-IR"/>
          <w:color w:val="111111"/>
          <w:sz w:val="28"/>
          <w:szCs w:val="28"/>
          <w:rtl/>
        </w:rPr>
        <w:t xml:space="preserve">تهران؛ مجلس؛ شماره نسخه: ۸۱۳/۱۲-ط</w:t>
      </w:r>
    </w:p>
    <w:p>
      <w:pPr>
        <w:pStyle w:val="BookText"/>
      </w:pPr>
      <w:r>
        <w:rPr>
          <w:rFonts w:ascii="IRNazanin" w:hAnsi="IRNazanin" w:eastAsia="IRNazanin" w:cs="IRNazanin"/>
          <w:lang w:bidi="fa-IR"/>
          <w:color w:val="111111"/>
          <w:sz w:val="28"/>
          <w:szCs w:val="28"/>
          <w:rtl/>
        </w:rPr>
        <w:t xml:space="preserve">آغاز: بسمله الحمد لله رب العالمين ... و بعد فهذه رساله ملخصه في العمل بالاسطرلاب ... نصفها شبكه و الاخرى ارضها شکازیه و الخط المستقيم المار بالقطبين يسمىافق الاستواء؛ انجام: خارج المنطقه من كواكب الشبكه السماك الاعزل وسط الغفر. كفة  الميزان. تمت</w:t>
      </w:r>
    </w:p>
    <w:p>
      <w:pPr>
        <w:pStyle w:val="BookText"/>
      </w:pPr>
      <w:r>
        <w:rPr>
          <w:rFonts w:ascii="IRNazanin" w:hAnsi="IRNazanin" w:eastAsia="IRNazanin" w:cs="IRNazanin"/>
          <w:lang w:bidi="fa-IR"/>
          <w:color w:val="111111"/>
          <w:sz w:val="28"/>
          <w:szCs w:val="28"/>
          <w:rtl/>
        </w:rPr>
        <w:t xml:space="preserve">بی کا، بی تا؛ کاغذ: آهار مهره سفید فرنگی و ترکی، جلد: تیماج   مشکی، ۲ص (۱۴۷-۱۴۸)، ۱۹، ۲۲ و ۲۵ سطر، قطع : خشتی،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۲۳ – ۱۰۷]</w:t>
      </w:r>
    </w:p>
    <w:p>
      <w:pPr>
        <w:pStyle w:val="BookText"/>
      </w:pPr>
      <w:r>
        <w:rPr>
          <w:rFonts w:ascii="IRNazanin" w:hAnsi="IRNazanin" w:eastAsia="IRNazanin" w:cs="IRNazanin"/>
          <w:lang w:bidi="fa-IR"/>
          <w:color w:val="111111"/>
          <w:sz w:val="28"/>
          <w:szCs w:val="28"/>
          <w:rtl/>
        </w:rPr>
        <w:t xml:space="preserve">«اسطرلاب منظوم » الاسطرلاب</w:t>
      </w:r>
    </w:p>
    <w:p>
      <w:pPr>
        <w:pStyle w:val="Heading3"/>
      </w:pPr>
      <w:bookmarkStart w:id="1539" w:name="_Toc1061"/>
      <w:r>
        <w:t>الاسطرلاب (منظوم) / اسطرلاب / عربی</w:t>
      </w:r>
      <w:bookmarkEnd w:id="1539"/>
    </w:p>
    <w:p>
      <w:pPr>
        <w:pStyle w:val="BookText"/>
      </w:pPr>
      <w:r>
        <w:rPr>
          <w:rFonts w:ascii="Times New Roman" w:hAnsi="Times New Roman" w:eastAsia="Times New Roman" w:cs="Times New Roman"/>
          <w:lang w:val="en-US" w:bidi="en-US"/>
          <w:color w:val="111111"/>
          <w:sz w:val="28"/>
          <w:szCs w:val="28"/>
          <w:rtl/>
        </w:rPr>
        <w:t xml:space="preserve">( al-ostorlāb (manzūm)</w:t>
      </w:r>
    </w:p>
    <w:p>
      <w:pPr>
        <w:pStyle w:val="BookText"/>
      </w:pPr>
      <w:r>
        <w:rPr>
          <w:rFonts w:ascii="IRNazanin" w:hAnsi="IRNazanin" w:eastAsia="IRNazanin" w:cs="IRNazanin"/>
          <w:lang w:bidi="fa-IR"/>
          <w:color w:val="111111"/>
          <w:sz w:val="28"/>
          <w:szCs w:val="28"/>
          <w:rtl/>
        </w:rPr>
        <w:t xml:space="preserve">فاسی، قاسم بن عبدالقادر</w:t>
      </w:r>
    </w:p>
    <w:p>
      <w:pPr>
        <w:pStyle w:val="BookText"/>
      </w:pPr>
      <w:r>
        <w:rPr>
          <w:rFonts w:ascii="Times New Roman" w:hAnsi="Times New Roman" w:eastAsia="Times New Roman" w:cs="Times New Roman"/>
          <w:lang w:val="en-US" w:bidi="en-US"/>
          <w:color w:val="111111"/>
          <w:sz w:val="28"/>
          <w:szCs w:val="28"/>
          <w:rtl/>
        </w:rPr>
        <w:t xml:space="preserve">fāsī, qāsem ebn-e 'abd-ol-qader</w:t>
      </w:r>
    </w:p>
    <w:p>
      <w:pPr>
        <w:pStyle w:val="BookText"/>
      </w:pPr>
      <w:r>
        <w:rPr>
          <w:rFonts w:ascii="IRNazanin" w:hAnsi="IRNazanin" w:eastAsia="IRNazanin" w:cs="IRNazanin"/>
          <w:lang w:bidi="fa-IR"/>
          <w:color w:val="111111"/>
          <w:sz w:val="28"/>
          <w:szCs w:val="28"/>
          <w:rtl/>
        </w:rPr>
        <w:t xml:space="preserve">منظومه ای است در یکصد و هجده بیت که قواعد اسطرلاب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307" w:name="pg20365_260428"/>
    <w:bookmarkEnd w:id="307"/>
    <w:p>
      <w:pPr>
        <w:pStyle w:val="BookText"/>
      </w:pPr>
      <w:r>
        <w:rPr>
          <w:rFonts w:ascii="IRNazanin" w:hAnsi="IRNazanin" w:eastAsia="IRNazanin" w:cs="IRNazanin"/>
          <w:lang w:bidi="fa-IR"/>
          <w:color w:val="111111"/>
          <w:sz w:val="28"/>
          <w:szCs w:val="28"/>
          <w:rtl/>
        </w:rPr>
        <w:t xml:space="preserve">توضیح داده می شود.</w:t>
      </w:r>
    </w:p>
    <w:p>
      <w:pPr>
        <w:pStyle w:val="BookText"/>
      </w:pPr>
      <w:r>
        <w:rPr>
          <w:rFonts w:ascii="IRNazanin" w:hAnsi="IRNazanin" w:eastAsia="IRNazanin" w:cs="IRNazanin"/>
          <w:lang w:bidi="fa-IR"/>
          <w:color w:val="111111"/>
          <w:sz w:val="28"/>
          <w:szCs w:val="28"/>
          <w:rtl/>
        </w:rPr>
        <w:t xml:space="preserve">آغاز: يقول فاسى اللقب ابن عبد *** القادر الفهرى النجار الجد  / حمداً لمن رسم  فی بدیع***مخلوقة غرائب المصنوع</w:t>
      </w:r>
    </w:p>
    <w:p>
      <w:pPr>
        <w:pStyle w:val="BookText"/>
      </w:pPr>
      <w:r>
        <w:rPr>
          <w:rFonts w:ascii="Amiri" w:hAnsi="Amiri" w:eastAsia="Amiri" w:cs="Amiri"/>
          <w:lang w:bidi="ar-SA"/>
          <w:color w:val="111111"/>
          <w:sz w:val="28"/>
          <w:szCs w:val="28"/>
          <w:rtl/>
        </w:rPr>
        <w:t xml:space="preserve">انجام: ثم الصلاة أولا وآخرا *** تعم خير المرسلين الطاهـرا/ محمداً من لا نبي بعده *** وآله و صحبه و جنده</w:t>
      </w:r>
    </w:p>
    <w:p>
      <w:pPr>
        <w:pStyle w:val="BookText"/>
      </w:pPr>
      <w:r>
        <w:rPr>
          <w:rFonts w:ascii="IRNazanin" w:hAnsi="IRNazanin" w:eastAsia="IRNazanin" w:cs="IRNazanin"/>
          <w:lang w:bidi="fa-IR"/>
          <w:color w:val="111111"/>
          <w:sz w:val="28"/>
          <w:szCs w:val="28"/>
          <w:rtl/>
        </w:rPr>
        <w:t xml:space="preserve">قم؛ مرعشی؛ شماره نسخه: ۲۸۶۳/۸</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،مغربی، بی کا، تا: ۴ محرم ۱۲۰۳ق؛ مصحح، محشی؛ تیماج ،مشکی،جلد: ۴گ (۶۷ر-۷۰ر)، ۲۳ سطر،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  [ف: ۸ - ۷۰]</w:t>
      </w:r>
    </w:p>
    <w:p>
      <w:pPr>
        <w:pStyle w:val="Heading3"/>
      </w:pPr>
      <w:bookmarkStart w:id="1540" w:name="_Toc1062"/>
      <w:r>
        <w:t>اسطرلاب (منظوم) / شعر ، اسطرلاب / فارسی</w:t>
      </w:r>
      <w:bookmarkEnd w:id="1540"/>
    </w:p>
    <w:p>
      <w:pPr>
        <w:pStyle w:val="BookText"/>
      </w:pPr>
      <w:r>
        <w:rPr>
          <w:rFonts w:ascii="Times New Roman" w:hAnsi="Times New Roman" w:eastAsia="Times New Roman" w:cs="Times New Roman"/>
          <w:lang w:val="en-US" w:bidi="en-US"/>
          <w:color w:val="111111"/>
          <w:sz w:val="28"/>
          <w:szCs w:val="28"/>
          <w:rtl/>
        </w:rPr>
        <w:t xml:space="preserve">(ostorlāb (manzūm)</w:t>
      </w:r>
    </w:p>
    <w:p>
      <w:pPr>
        <w:pStyle w:val="BookText"/>
      </w:pPr>
      <w:r>
        <w:rPr>
          <w:rFonts w:ascii="IRNazanin" w:hAnsi="IRNazanin" w:eastAsia="IRNazanin" w:cs="IRNazanin"/>
          <w:lang w:bidi="fa-IR"/>
          <w:color w:val="111111"/>
          <w:sz w:val="28"/>
          <w:szCs w:val="28"/>
          <w:rtl/>
        </w:rPr>
        <w:t xml:space="preserve">تاریخ تأليف: ۱۳۰۱ق</w:t>
      </w:r>
    </w:p>
    <w:p>
      <w:pPr>
        <w:pStyle w:val="BookText"/>
      </w:pPr>
      <w:r>
        <w:rPr>
          <w:rFonts w:ascii="IRNazanin" w:hAnsi="IRNazanin" w:eastAsia="IRNazanin" w:cs="IRNazanin"/>
          <w:lang w:bidi="fa-IR"/>
          <w:color w:val="111111"/>
          <w:sz w:val="28"/>
          <w:szCs w:val="28"/>
          <w:rtl/>
        </w:rPr>
        <w:t xml:space="preserve">شرحی است به نظم درباره اسطرلاب و کاربردهای نجومی آن مشتمل بر بیست «باب»: نظم آن در سال ۱۳۰۱ پایان یافته و شاعر درباره آن گوید: «ختم شد این کتب بوقت عشا *** سال تاریخ جوی زاصل غشا»</w:t>
      </w:r>
    </w:p>
    <w:p>
      <w:pPr>
        <w:pStyle w:val="BookText"/>
      </w:pPr>
      <w:r>
        <w:rPr>
          <w:rFonts w:ascii="IRNazanin" w:hAnsi="IRNazanin" w:eastAsia="IRNazanin" w:cs="IRNazanin"/>
          <w:lang w:bidi="fa-IR"/>
          <w:color w:val="111111"/>
          <w:sz w:val="28"/>
          <w:szCs w:val="28"/>
          <w:rtl/>
        </w:rPr>
        <w:t xml:space="preserve">قم؛ گلپایگانی؛ شماره نسخه: ۲۱۶۷-۱۲/۵۷</w:t>
      </w:r>
    </w:p>
    <w:p>
      <w:pPr>
        <w:pStyle w:val="BookText"/>
      </w:pPr>
      <w:r>
        <w:rPr>
          <w:rFonts w:ascii="IRNazanin" w:hAnsi="IRNazanin" w:eastAsia="IRNazanin" w:cs="IRNazanin"/>
          <w:lang w:bidi="fa-IR"/>
          <w:color w:val="111111"/>
          <w:sz w:val="28"/>
          <w:szCs w:val="28"/>
          <w:rtl/>
        </w:rPr>
        <w:t xml:space="preserve">آغاز: از پس حمد حق درود رسول*** آل و اصحاب خاندان بتول / می کنم شرح نظم اسطرلاب *** حفظش آسان نمودم از هرباب؛ انجام: جمله بر صورت شتر پندار ***همه را قدر ثالث آمد بار / هر که زان بیشتر برون آید *** نام كف الخضـیب می شاید.</w:t>
      </w:r>
    </w:p>
    <w:p>
      <w:pPr>
        <w:pStyle w:val="BookText"/>
      </w:pPr>
      <w:r>
        <w:rPr>
          <w:rFonts w:ascii="IRNazanin" w:hAnsi="IRNazanin" w:eastAsia="IRNazanin" w:cs="IRNazanin"/>
          <w:lang w:bidi="fa-IR"/>
          <w:color w:val="111111"/>
          <w:sz w:val="28"/>
          <w:szCs w:val="28"/>
          <w:rtl/>
        </w:rPr>
        <w:t xml:space="preserve">خط: شکسته، نستعلیق، بی کا، تا: ۱۳۰۱ق؛ جلد: تيماج مشكـی، ۳۳گ، ۱۴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۱ - ۳۵۷]</w:t>
      </w:r>
    </w:p>
    <w:p>
      <w:pPr>
        <w:pStyle w:val="Heading3"/>
      </w:pPr>
      <w:bookmarkStart w:id="1541" w:name="_Toc1063"/>
      <w:r>
        <w:t>اسطرلاب (منظوم) / شعر، اسطرلاب / فارسی</w:t>
      </w:r>
      <w:bookmarkEnd w:id="1541"/>
    </w:p>
    <w:p>
      <w:pPr>
        <w:pStyle w:val="BookText"/>
      </w:pPr>
      <w:r>
        <w:rPr>
          <w:rFonts w:ascii="Times New Roman" w:hAnsi="Times New Roman" w:eastAsia="Times New Roman" w:cs="Times New Roman"/>
          <w:lang w:val="en-US" w:bidi="en-US"/>
          <w:color w:val="111111"/>
          <w:sz w:val="28"/>
          <w:szCs w:val="28"/>
          <w:rtl/>
        </w:rPr>
        <w:t xml:space="preserve">(ostorlāb (manzūm)</w:t>
      </w:r>
    </w:p>
    <w:p>
      <w:pPr>
        <w:pStyle w:val="BookText"/>
      </w:pPr>
      <w:r>
        <w:rPr>
          <w:rFonts w:ascii="IRNazanin" w:hAnsi="IRNazanin" w:eastAsia="IRNazanin" w:cs="IRNazanin"/>
          <w:lang w:bidi="fa-IR"/>
          <w:color w:val="111111"/>
          <w:sz w:val="28"/>
          <w:szCs w:val="28"/>
          <w:rtl/>
        </w:rPr>
        <w:t xml:space="preserve">منظومه ای است در اسطرلاب بیش از دویست بیت فارسی شامل: معرفت اسطرلاب و طالع از ارتفاع و ساعات معوجه از خطوط آن و ساعات صبح و شفق و ... [ محتملا همان منظومه بالاست].</w:t>
      </w:r>
    </w:p>
    <w:p>
      <w:pPr>
        <w:pStyle w:val="BookText"/>
      </w:pPr>
      <w:r>
        <w:rPr>
          <w:rFonts w:ascii="IRNazanin" w:hAnsi="IRNazanin" w:eastAsia="IRNazanin" w:cs="IRNazanin"/>
          <w:lang w:bidi="fa-IR"/>
          <w:color w:val="111111"/>
          <w:sz w:val="28"/>
          <w:szCs w:val="28"/>
          <w:rtl/>
        </w:rPr>
        <w:t xml:space="preserve">قم؛ گلپایگانی؛ شماره نسخه: ۷۲/۵-۱/۷۲</w:t>
      </w:r>
    </w:p>
    <w:p>
      <w:pPr>
        <w:pStyle w:val="BookText"/>
      </w:pPr>
      <w:r>
        <w:rPr>
          <w:rFonts w:ascii="IRNazanin" w:hAnsi="IRNazanin" w:eastAsia="IRNazanin" w:cs="IRNazanin"/>
          <w:lang w:bidi="fa-IR"/>
          <w:color w:val="111111"/>
          <w:sz w:val="28"/>
          <w:szCs w:val="28"/>
          <w:rtl/>
        </w:rPr>
        <w:t xml:space="preserve">آغاز: بسمله می کنم نظم شرح اسطرلاب*** حفظش آسان نمودم از هر باب / معنی او ستاره یاب بود *** یا ترازوی آفتاب بود ؛انجام: بر خط هشت ساعتش درکار *** آنچه افتد بخط نصف النهار / جز و هشتم بود بفوق الارض *** دومش تحت ارض کردم عرض</w:t>
      </w:r>
    </w:p>
    <w:p>
      <w:pPr>
        <w:pStyle w:val="BookText"/>
      </w:pPr>
      <w:r>
        <w:rPr>
          <w:rFonts w:ascii="IRNazanin" w:hAnsi="IRNazanin" w:eastAsia="IRNazanin" w:cs="IRNazanin"/>
          <w:lang w:bidi="fa-IR"/>
          <w:color w:val="111111"/>
          <w:sz w:val="28"/>
          <w:szCs w:val="28"/>
          <w:rtl/>
        </w:rPr>
        <w:t xml:space="preserve">خط: نستعلیق، بی کا، بی تا؛ این منظومه در حاشيه «تحفه حاتمی»درج شده است؛ ۱۲گ [ف: ۱ - ۳۵۷]</w:t>
      </w:r>
    </w:p>
    <w:p>
      <w:pPr>
        <w:pStyle w:val="Heading3"/>
      </w:pPr>
      <w:bookmarkStart w:id="1542" w:name="_Toc1064"/>
      <w:r>
        <w:t>اسطرلاب (منظوم) / شعر، اسطرلاب / فارسی</w:t>
      </w:r>
      <w:bookmarkEnd w:id="1542"/>
    </w:p>
    <w:p>
      <w:pPr>
        <w:pStyle w:val="BookText"/>
      </w:pPr>
      <w:r>
        <w:rPr>
          <w:rFonts w:ascii="Times New Roman" w:hAnsi="Times New Roman" w:eastAsia="Times New Roman" w:cs="Times New Roman"/>
          <w:lang w:val="en-US" w:bidi="en-US"/>
          <w:color w:val="111111"/>
          <w:sz w:val="28"/>
          <w:szCs w:val="28"/>
          <w:rtl/>
        </w:rPr>
        <w:t xml:space="preserve">(ostorlāb (manzūm)</w:t>
      </w:r>
    </w:p>
    <w:p>
      <w:pPr>
        <w:pStyle w:val="BookText"/>
      </w:pPr>
      <w:r>
        <w:rPr>
          <w:rFonts w:ascii="IRNazanin" w:hAnsi="IRNazanin" w:eastAsia="IRNazanin" w:cs="IRNazanin"/>
          <w:lang w:bidi="fa-IR"/>
          <w:color w:val="111111"/>
          <w:sz w:val="28"/>
          <w:szCs w:val="28"/>
          <w:rtl/>
        </w:rPr>
        <w:t xml:space="preserve">تهران؛ مجلس؛ شماره نسخه: ۱۷۴۵۸</w:t>
      </w:r>
    </w:p>
    <w:p>
      <w:pPr>
        <w:pStyle w:val="BookText"/>
      </w:pPr>
      <w:r>
        <w:rPr>
          <w:rFonts w:ascii="IRNazanin" w:hAnsi="IRNazanin" w:eastAsia="IRNazanin" w:cs="IRNazanin"/>
          <w:lang w:bidi="fa-IR"/>
          <w:color w:val="111111"/>
          <w:sz w:val="28"/>
          <w:szCs w:val="28"/>
          <w:rtl/>
        </w:rPr>
        <w:t xml:space="preserve">منظومه؛ بی کا، بی تا [د.ث. مجلس ]</w:t>
      </w:r>
    </w:p>
    <w:p>
      <w:pPr>
        <w:pStyle w:val="Heading3"/>
      </w:pPr>
      <w:bookmarkStart w:id="1543" w:name="_Toc1065"/>
      <w:r>
        <w:t>اسطرلاب و معرفت ربع / اسطرلاب</w:t>
      </w:r>
      <w:bookmarkEnd w:id="1543"/>
    </w:p>
    <w:p>
      <w:pPr>
        <w:pStyle w:val="BookText"/>
      </w:pPr>
      <w:r>
        <w:rPr>
          <w:rFonts w:ascii="Times New Roman" w:hAnsi="Times New Roman" w:eastAsia="Times New Roman" w:cs="Times New Roman"/>
          <w:lang w:val="en-US" w:bidi="en-US"/>
          <w:color w:val="111111"/>
          <w:sz w:val="28"/>
          <w:szCs w:val="28"/>
          <w:rtl/>
        </w:rPr>
        <w:t xml:space="preserve">ostorlāb va ma‘refat-e rob‘</w:t>
      </w:r>
    </w:p>
    <w:p>
      <w:pPr>
        <w:pStyle w:val="BookText"/>
      </w:pPr>
      <w:r>
        <w:rPr>
          <w:rFonts w:ascii="IRNazanin" w:hAnsi="IRNazanin" w:eastAsia="IRNazanin" w:cs="IRNazanin"/>
          <w:lang w:bidi="fa-IR"/>
          <w:color w:val="111111"/>
          <w:sz w:val="28"/>
          <w:szCs w:val="28"/>
          <w:rtl/>
        </w:rPr>
        <w:t xml:space="preserve">رشت؛ جمعیت نشر فرهنگ؛ شماره نسخه: ۱۲۰۲/۱۲</w:t>
      </w:r>
    </w:p>
    <w:p>
      <w:pPr>
        <w:pStyle w:val="BookText"/>
      </w:pPr>
      <w:r>
        <w:rPr>
          <w:rFonts w:ascii="IRNazanin" w:hAnsi="IRNazanin" w:eastAsia="IRNazanin" w:cs="IRNazanin"/>
          <w:lang w:bidi="fa-IR"/>
          <w:color w:val="111111"/>
          <w:sz w:val="28"/>
          <w:szCs w:val="28"/>
          <w:rtl/>
        </w:rPr>
        <w:t xml:space="preserve">خط: نسخ  خوش، کا: محمد جعفر بن محمد طبسی، بی تا؛افتادگی: آغاز، وسط و انجام؛ با جدول و شکل؛ جلد: چرمی، ۱۱گ (۲۰۱ پ-۲۱۱ پ) ابعاد متن: 7</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رشت و همدان - ف - ۱۲۳۵]</w:t>
      </w:r>
    </w:p>
    <w:p>
      <w:pPr>
        <w:pStyle w:val="Heading3"/>
      </w:pPr>
      <w:bookmarkStart w:id="1544" w:name="_Toc1066"/>
      <w:r>
        <w:t>اسطره (رساله) (در</w:t>
      </w:r>
      <w:bookmarkEnd w:id="1544"/>
    </w:p>
    <w:p>
      <w:pPr>
        <w:pStyle w:val="BookText"/>
      </w:pPr>
      <w:r>
        <w:rPr>
          <w:rFonts w:ascii="Times New Roman" w:hAnsi="Times New Roman" w:eastAsia="Times New Roman" w:cs="Times New Roman"/>
          <w:lang w:val="en-US" w:bidi="en-US"/>
          <w:color w:val="111111"/>
          <w:sz w:val="28"/>
          <w:szCs w:val="28"/>
          <w:rtl/>
        </w:rPr>
        <w:t xml:space="preserve">(ostore (r. dar)</w:t>
      </w:r>
    </w:p>
    <w:p>
      <w:pPr>
        <w:pStyle w:val="BookText"/>
      </w:pPr>
      <w:r>
        <w:rPr>
          <w:rFonts w:ascii="IRNazanin" w:hAnsi="IRNazanin" w:eastAsia="IRNazanin" w:cs="IRNazanin"/>
          <w:lang w:bidi="fa-IR"/>
          <w:color w:val="111111"/>
          <w:sz w:val="28"/>
          <w:szCs w:val="28"/>
          <w:rtl/>
        </w:rPr>
        <w:t xml:space="preserve">شیراز ،بغایری عبدالرزاق؛ شماره نسخه: بدون شماره ۳</w:t>
      </w:r>
    </w:p>
    <w:p>
      <w:pPr>
        <w:pStyle w:val="BookText"/>
      </w:pPr>
      <w:r>
        <w:rPr>
          <w:rFonts w:ascii="IRNazanin" w:hAnsi="IRNazanin" w:eastAsia="IRNazanin" w:cs="IRNazanin"/>
          <w:lang w:bidi="fa-IR"/>
          <w:color w:val="111111"/>
          <w:sz w:val="28"/>
          <w:szCs w:val="28"/>
          <w:rtl/>
        </w:rPr>
        <w:t xml:space="preserve">بی کا، بی تا [میراث اسلامی ۵ - ۵۷۴]</w:t>
      </w:r>
    </w:p>
    <w:p>
      <w:pPr>
        <w:pStyle w:val="Heading3"/>
      </w:pPr>
      <w:bookmarkStart w:id="1545" w:name="_Toc1067"/>
      <w:r>
        <w:t>الاسطقسات = مختصر وجيز في الاسطقسات / طب / عربی</w:t>
      </w:r>
      <w:bookmarkEnd w:id="1545"/>
    </w:p>
    <w:p>
      <w:pPr>
        <w:pStyle w:val="BookText"/>
      </w:pPr>
      <w:r>
        <w:rPr>
          <w:rFonts w:ascii="Times New Roman" w:hAnsi="Times New Roman" w:eastAsia="Times New Roman" w:cs="Times New Roman"/>
          <w:lang w:val="en-US" w:bidi="en-US"/>
          <w:color w:val="111111"/>
          <w:sz w:val="28"/>
          <w:szCs w:val="28"/>
          <w:rtl/>
        </w:rPr>
        <w:t xml:space="preserve">al-usṭuqussāt</w:t>
      </w:r>
    </w:p>
    <w:p>
      <w:pPr>
        <w:pStyle w:val="BookText"/>
      </w:pPr>
      <w:r>
        <w:rPr>
          <w:rFonts w:ascii="IRNazanin" w:hAnsi="IRNazanin" w:eastAsia="IRNazanin" w:cs="IRNazanin"/>
          <w:lang w:bidi="fa-IR"/>
          <w:color w:val="111111"/>
          <w:sz w:val="28"/>
          <w:szCs w:val="28"/>
          <w:rtl/>
        </w:rPr>
        <w:t xml:space="preserve">حنين بن اسحاق، ۱۹۴ - ۲۶۰ قمری</w:t>
      </w:r>
    </w:p>
    <w:p>
      <w:pPr>
        <w:pStyle w:val="BookText"/>
      </w:pPr>
      <w:r>
        <w:rPr>
          <w:rFonts w:ascii="Times New Roman" w:hAnsi="Times New Roman" w:eastAsia="Times New Roman" w:cs="Times New Roman"/>
          <w:lang w:val="en-US" w:bidi="en-US"/>
          <w:color w:val="111111"/>
          <w:sz w:val="28"/>
          <w:szCs w:val="28"/>
          <w:rtl/>
        </w:rPr>
        <w:t xml:space="preserve">(honayn ebn-e eshāq (811 - 875)</w:t>
      </w:r>
    </w:p>
    <w:p>
      <w:pPr>
        <w:pStyle w:val="BookText"/>
      </w:pPr>
      <w:r>
        <w:rPr>
          <w:rFonts w:ascii="IRNazanin" w:hAnsi="IRNazanin" w:eastAsia="IRNazanin" w:cs="IRNazanin"/>
          <w:lang w:bidi="fa-IR"/>
          <w:color w:val="111111"/>
          <w:sz w:val="28"/>
          <w:szCs w:val="28"/>
          <w:rtl/>
        </w:rPr>
        <w:t xml:space="preserve">وابسته به: الاسطقسات على رأى بقراط = شرح القول في الاسطقسات على رأى بقراط؛ جالینوس (۱۲۹-۱۹۹)</w:t>
      </w:r>
    </w:p>
    <w:p>
      <w:pPr>
        <w:pStyle w:val="BookText"/>
      </w:pPr>
      <w:r>
        <w:rPr>
          <w:rFonts w:ascii="IRNazanin" w:hAnsi="IRNazanin" w:eastAsia="IRNazanin" w:cs="IRNazanin"/>
          <w:lang w:bidi="fa-IR"/>
          <w:color w:val="111111"/>
          <w:sz w:val="28"/>
          <w:szCs w:val="28"/>
          <w:rtl/>
        </w:rPr>
        <w:t xml:space="preserve">رساله ای است از حنين بن اسحاق مستخرج از کتاب جالینوس  در اسطقسات دارای یازده .«باب».</w:t>
      </w:r>
    </w:p>
    <w:p>
      <w:pPr>
        <w:pStyle w:val="BookText"/>
      </w:pPr>
      <w:r>
        <w:rPr>
          <w:rFonts w:ascii="IRNazanin" w:hAnsi="IRNazanin" w:eastAsia="IRNazanin" w:cs="IRNazanin"/>
          <w:lang w:bidi="fa-IR"/>
          <w:color w:val="111111"/>
          <w:sz w:val="28"/>
          <w:szCs w:val="28"/>
          <w:rtl/>
        </w:rPr>
        <w:t xml:space="preserve">تهران؛ مجلس؛ شماره نسخه ۳۹۳۷/۳</w:t>
      </w:r>
    </w:p>
    <w:p>
      <w:pPr>
        <w:pStyle w:val="BookText"/>
      </w:pPr>
      <w:r>
        <w:rPr>
          <w:rFonts w:ascii="IRNazanin" w:hAnsi="IRNazanin" w:eastAsia="IRNazanin" w:cs="IRNazanin"/>
          <w:lang w:bidi="fa-IR"/>
          <w:color w:val="111111"/>
          <w:sz w:val="28"/>
          <w:szCs w:val="28"/>
          <w:rtl/>
        </w:rPr>
        <w:t xml:space="preserve">آغاز: کتاب مختصر وجيز فى الاسطقسات استخرج من کتاب جالينوس و هو احد عشر بابا منسوب الى حنين بن اسحاق الباب الاول فى حد الاسطقس... الباب الحادي عشرفي انواع الاسطقسات ان ارسطو طاليس حد الاسطقس فى كتابه الموسوم بالسماء و العالم بان قال الاسطقس هى الشي الذي فيه فيكون ما هو له اسطقس كونا اوليا؛ انجام: فلنكمل قولنا هذا وتبعه بالقول على امتزاج هذه الاسطقسات و تغیرها و استحالتها و ايما اغلب منها في كل واحد من انواع الحيوان و اعضائه و النبات و ثماره و الله  موفقنا. تم  كتاب الاسطقسات الذي استخرجه حنين بن اسحاق من  كتب جالينوس</w:t>
      </w:r>
    </w:p>
    <w:p>
      <w:pPr>
        <w:pStyle w:val="BookText"/>
      </w:pPr>
      <w:r>
        <w:rPr>
          <w:rFonts w:ascii="IRNazanin" w:hAnsi="IRNazanin" w:eastAsia="IRNazanin" w:cs="IRNazanin"/>
          <w:lang w:bidi="fa-IR"/>
          <w:color w:val="111111"/>
          <w:sz w:val="28"/>
          <w:szCs w:val="28"/>
          <w:rtl/>
        </w:rPr>
        <w:t xml:space="preserve">خط: نسخ، بی کا، تا: ۱۰۶۲ق؛ کاغذ: آهار مهره، جلد: تیماج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308" w:name="pg20365_260429"/>
    <w:bookmarkEnd w:id="308"/>
    <w:p>
      <w:pPr>
        <w:pStyle w:val="BookText"/>
      </w:pPr>
      <w:r>
        <w:rPr>
          <w:rFonts w:ascii="IRNazanin" w:hAnsi="IRNazanin" w:eastAsia="IRNazanin" w:cs="IRNazanin"/>
          <w:lang w:bidi="fa-IR"/>
          <w:color w:val="111111"/>
          <w:sz w:val="28"/>
          <w:szCs w:val="28"/>
          <w:rtl/>
        </w:rPr>
        <w:t xml:space="preserve">قهوه ای، ۱۶ص (۱۹۸-۲۱۳)، قطع: رقعی، اندازه: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  سم [ف: ۱۰/۴ - ۲۰۵۵]</w:t>
      </w:r>
    </w:p>
    <w:p>
      <w:pPr>
        <w:pStyle w:val="Heading3"/>
      </w:pPr>
      <w:bookmarkStart w:id="1546" w:name="_Toc1068"/>
      <w:r>
        <w:t>الاسطقسات / كيميا / عربی</w:t>
      </w:r>
      <w:bookmarkEnd w:id="1546"/>
    </w:p>
    <w:p>
      <w:pPr>
        <w:pStyle w:val="BookText"/>
      </w:pPr>
      <w:r>
        <w:rPr>
          <w:rFonts w:ascii="Times New Roman" w:hAnsi="Times New Roman" w:eastAsia="Times New Roman" w:cs="Times New Roman"/>
          <w:lang w:val="en-US" w:bidi="en-US"/>
          <w:color w:val="111111"/>
          <w:sz w:val="28"/>
          <w:szCs w:val="28"/>
          <w:rtl/>
        </w:rPr>
        <w:t xml:space="preserve">al-usṭuqussāt</w:t>
      </w:r>
    </w:p>
    <w:p>
      <w:pPr>
        <w:pStyle w:val="BookText"/>
      </w:pPr>
      <w:r>
        <w:rPr>
          <w:rFonts w:ascii="IRNazanin" w:hAnsi="IRNazanin" w:eastAsia="IRNazanin" w:cs="IRNazanin"/>
          <w:lang w:bidi="fa-IR"/>
          <w:color w:val="111111"/>
          <w:sz w:val="28"/>
          <w:szCs w:val="28"/>
          <w:rtl/>
        </w:rPr>
        <w:t xml:space="preserve">قسطا بن لوقا، ق۳ قمرى</w:t>
      </w:r>
    </w:p>
    <w:p>
      <w:pPr>
        <w:pStyle w:val="BookText"/>
      </w:pPr>
      <w:r>
        <w:rPr>
          <w:rFonts w:ascii="Times New Roman" w:hAnsi="Times New Roman" w:eastAsia="Times New Roman" w:cs="Times New Roman"/>
          <w:lang w:val="en-US" w:bidi="en-US"/>
          <w:color w:val="111111"/>
          <w:sz w:val="28"/>
          <w:szCs w:val="28"/>
          <w:rtl/>
        </w:rPr>
        <w:t xml:space="preserve">(qostā ebn-e luqā (- 9c)</w:t>
      </w:r>
    </w:p>
    <w:p>
      <w:pPr>
        <w:pStyle w:val="BookText"/>
      </w:pPr>
      <w:r>
        <w:rPr>
          <w:rFonts w:ascii="IRNazanin" w:hAnsi="IRNazanin" w:eastAsia="IRNazanin" w:cs="IRNazanin"/>
          <w:lang w:bidi="fa-IR"/>
          <w:color w:val="111111"/>
          <w:sz w:val="28"/>
          <w:szCs w:val="28"/>
          <w:rtl/>
        </w:rPr>
        <w:t xml:space="preserve">رساله ای است در اسطقسات در ۱۰ «باب»: ١. ما الاستطقس؛2. كمية الاستطقسات؛ ٣. في الرد على الذين قالوا ان الاستطقـس واحد بالعدد؛ ... ۱۰. فى رأى اساوشفى استطقسات بدن الانسـان و الرد عليه.</w:t>
      </w:r>
    </w:p>
    <w:p>
      <w:pPr>
        <w:pStyle w:val="BookText"/>
      </w:pPr>
      <w:r>
        <w:rPr>
          <w:rFonts w:ascii="Amiri" w:hAnsi="Amiri" w:eastAsia="Amiri" w:cs="Amiri"/>
          <w:lang w:bidi="ar-SA"/>
          <w:color w:val="111111"/>
          <w:sz w:val="28"/>
          <w:szCs w:val="28"/>
          <w:rtl/>
        </w:rPr>
        <w:t xml:space="preserve">[دنا ۸۰۸/۱؛ هديه العارفين ۸۳۶/۱  «كتاب الاسطقسات»]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دانشگاه؛ شماره نسخه: ۵۴۶۹/۹</w:t>
      </w:r>
    </w:p>
    <w:p>
      <w:pPr>
        <w:pStyle w:val="BookText"/>
      </w:pPr>
      <w:r>
        <w:rPr>
          <w:rFonts w:ascii="IRNazanin" w:hAnsi="IRNazanin" w:eastAsia="IRNazanin" w:cs="IRNazanin"/>
          <w:lang w:bidi="fa-IR"/>
          <w:color w:val="111111"/>
          <w:sz w:val="28"/>
          <w:szCs w:val="28"/>
          <w:rtl/>
        </w:rPr>
        <w:t xml:space="preserve">مقالة قسطا بن لوقا اليونانى البعلبكى المتطبب فى الاسطقسات ؛خط: نسخ، بی کا، تا: ۱۵ جمادی الاول ۵۵۷ق؛ خریداری شده کتابخانه شیخ علی علومی یزد (شماره ۶۴، معرفی شده در نشـریه ۴: ۴۴۷)؛ مهر: «وقف مزار حضرت مخدوم العلماء المحققین مولانا شرف الملة و الدين على اليزدی ...»؛ تملک: علی بن محمود بن على متطبب ؛کاغذ: سمرقندی ،جلد: مقوایی لولادار ۲۵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 )قطع: ربعی ،اندازه: 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۱۶ - 17]</w:t>
      </w:r>
    </w:p>
    <w:p>
      <w:pPr>
        <w:pStyle w:val="BookText"/>
      </w:pPr>
      <w:r>
        <w:rPr>
          <w:rFonts w:ascii="IRNazanin" w:hAnsi="IRNazanin" w:eastAsia="IRNazanin" w:cs="IRNazanin"/>
          <w:lang w:bidi="fa-IR"/>
          <w:color w:val="111111"/>
          <w:sz w:val="28"/>
          <w:szCs w:val="28"/>
          <w:rtl/>
        </w:rPr>
        <w:t xml:space="preserve">تهران؛ دائرة المعارف؛ شماره نسخه: ۴۳۴/۹- عکسی</w:t>
      </w:r>
    </w:p>
    <w:p>
      <w:pPr>
        <w:pStyle w:val="BookText"/>
      </w:pPr>
      <w:r>
        <w:rPr>
          <w:rFonts w:ascii="IRNazanin" w:hAnsi="IRNazanin" w:eastAsia="IRNazanin" w:cs="IRNazanin"/>
          <w:lang w:bidi="fa-IR"/>
          <w:color w:val="111111"/>
          <w:sz w:val="28"/>
          <w:szCs w:val="28"/>
          <w:rtl/>
        </w:rPr>
        <w:t xml:space="preserve">آغاز: بسمله. و به القوة والحول كتاب قسطا بن لوقيا اليونانی المتطبب في الاستقطسات التي عنها كانت ابدان الناس و ارکانها و هی اصولها و هو فى ابواب الباب الاول ماالاستطقس؛ انجام: و النبات و ثماره و الله موفقنا و علیه توکلنا و به نستعین و لاحول ولاقوة الا بالله العلى العظيم. تمت هذه المقالة و الحمـد لله دائما كما هو اهله و مستحقه، واهب العقل علة العلل لا اله الا هو خالقنا و رازقنا و الیه مصيرنا</w:t>
      </w:r>
    </w:p>
    <w:p>
      <w:pPr>
        <w:pStyle w:val="BookText"/>
      </w:pPr>
      <w:r>
        <w:rPr>
          <w:rFonts w:ascii="IRNazanin" w:hAnsi="IRNazanin" w:eastAsia="IRNazanin" w:cs="IRNazanin"/>
          <w:lang w:bidi="fa-IR"/>
          <w:color w:val="111111"/>
          <w:sz w:val="28"/>
          <w:szCs w:val="28"/>
          <w:rtl/>
        </w:rPr>
        <w:t xml:space="preserve">اصل  نسخه: همان نسخه بالا؛ ۱۰گ( ۴۵-۵۴) [ف: ۲ - ۲۲۰]</w:t>
      </w:r>
    </w:p>
    <w:p>
      <w:pPr>
        <w:pStyle w:val="Heading3"/>
      </w:pPr>
      <w:bookmarkStart w:id="1547" w:name="_Toc1069"/>
      <w:r>
        <w:t>الاسطقسات / طبیعیات / عربی</w:t>
      </w:r>
      <w:bookmarkEnd w:id="1547"/>
    </w:p>
    <w:p>
      <w:pPr>
        <w:pStyle w:val="BookText"/>
      </w:pPr>
      <w:r>
        <w:rPr>
          <w:rFonts w:ascii="Times New Roman" w:hAnsi="Times New Roman" w:eastAsia="Times New Roman" w:cs="Times New Roman"/>
          <w:lang w:val="en-US" w:bidi="en-US"/>
          <w:color w:val="111111"/>
          <w:sz w:val="28"/>
          <w:szCs w:val="28"/>
          <w:rtl/>
        </w:rPr>
        <w:t xml:space="preserve">al-usṭuqussāt</w:t>
      </w:r>
    </w:p>
    <w:p>
      <w:pPr>
        <w:pStyle w:val="BookText"/>
      </w:pPr>
      <w:r>
        <w:rPr>
          <w:rFonts w:ascii="IRNazanin" w:hAnsi="IRNazanin" w:eastAsia="IRNazanin" w:cs="IRNazanin"/>
          <w:lang w:bidi="fa-IR"/>
          <w:color w:val="111111"/>
          <w:sz w:val="28"/>
          <w:szCs w:val="28"/>
          <w:rtl/>
        </w:rPr>
        <w:t xml:space="preserve">ابن باجه، محمد بن یحیی، - ۵۳۳ ؟ قمری</w:t>
      </w:r>
    </w:p>
    <w:p>
      <w:pPr>
        <w:pStyle w:val="BookText"/>
      </w:pPr>
      <w:r>
        <w:rPr>
          <w:rFonts w:ascii="Times New Roman" w:hAnsi="Times New Roman" w:eastAsia="Times New Roman" w:cs="Times New Roman"/>
          <w:lang w:val="en-US" w:bidi="en-US"/>
          <w:color w:val="111111"/>
          <w:sz w:val="28"/>
          <w:szCs w:val="28"/>
          <w:rtl/>
        </w:rPr>
        <w:t xml:space="preserve">(ebn-e bājja, mohammad ebn-e yahyā (- 1139)</w:t>
      </w:r>
    </w:p>
    <w:p>
      <w:pPr>
        <w:pStyle w:val="BookText"/>
      </w:pPr>
      <w:r>
        <w:rPr>
          <w:rFonts w:ascii="IRNazanin" w:hAnsi="IRNazanin" w:eastAsia="IRNazanin" w:cs="IRNazanin"/>
          <w:lang w:bidi="fa-IR"/>
          <w:color w:val="111111"/>
          <w:sz w:val="28"/>
          <w:szCs w:val="28"/>
          <w:rtl/>
        </w:rPr>
        <w:t xml:space="preserve">[سلطنتی برلین ۴: ۳۹۷]</w:t>
      </w:r>
    </w:p>
    <w:p>
      <w:pPr>
        <w:pStyle w:val="BookText"/>
      </w:pPr>
      <w:r>
        <w:rPr>
          <w:rFonts w:ascii="IRNazanin" w:hAnsi="IRNazanin" w:eastAsia="IRNazanin" w:cs="IRNazanin"/>
          <w:lang w:bidi="fa-IR"/>
          <w:color w:val="111111"/>
          <w:sz w:val="28"/>
          <w:szCs w:val="28"/>
          <w:rtl/>
        </w:rPr>
        <w:t xml:space="preserve">قم؛ مرعشی؛ شماره نسخه: ۱۲۸۹/۲ عکسی</w:t>
      </w:r>
    </w:p>
    <w:p>
      <w:pPr>
        <w:pStyle w:val="BookText"/>
      </w:pPr>
      <w:r>
        <w:rPr>
          <w:rFonts w:ascii="IRNazanin" w:hAnsi="IRNazanin" w:eastAsia="IRNazanin" w:cs="IRNazanin"/>
          <w:lang w:bidi="fa-IR"/>
          <w:color w:val="111111"/>
          <w:sz w:val="28"/>
          <w:szCs w:val="28"/>
          <w:rtl/>
        </w:rPr>
        <w:t xml:space="preserve">آغاز: قوله في الاسطقسات: أول ما يجب لمن شرع فى النظر ؛انجام: فى الاسطقسات ان يفحص هل فيشبه ان يكون الخاصیة فتنعكس عليها</w:t>
      </w:r>
    </w:p>
    <w:p>
      <w:pPr>
        <w:pStyle w:val="BookText"/>
      </w:pPr>
      <w:r>
        <w:rPr>
          <w:rFonts w:ascii="IRNazanin" w:hAnsi="IRNazanin" w:eastAsia="IRNazanin" w:cs="IRNazanin"/>
          <w:lang w:bidi="fa-IR"/>
          <w:color w:val="111111"/>
          <w:sz w:val="28"/>
          <w:szCs w:val="28"/>
          <w:rtl/>
        </w:rPr>
        <w:t xml:space="preserve">نسخه اصل: کتابخانه سلطنتی  برلین، ش ۵۰۶۰؛ خط: مغربی، عبدالله بن محمد بن يحيى بن أصبغ  انصاری، تا: ۶۶۷ق، ۳گ(۷۹پ 81پ )۲۸  سطر، قطع: ربعی،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۲۷سم [عکسی  ف: ۳ - ۶۴۴  ]</w:t>
      </w:r>
    </w:p>
    <w:p>
      <w:pPr>
        <w:pStyle w:val="Heading3"/>
      </w:pPr>
      <w:bookmarkStart w:id="1548" w:name="_Toc1070"/>
      <w:r>
        <w:t>الاسطقسات على رأى بقراط = شرح القول في  الاسطقسات على رأی بقراط / طب / عربی</w:t>
      </w:r>
      <w:bookmarkEnd w:id="1548"/>
    </w:p>
    <w:p>
      <w:pPr>
        <w:pStyle w:val="BookText"/>
      </w:pPr>
      <w:r>
        <w:rPr>
          <w:rFonts w:ascii="Times New Roman" w:hAnsi="Times New Roman" w:eastAsia="Times New Roman" w:cs="Times New Roman"/>
          <w:lang w:val="en-US" w:bidi="en-US"/>
          <w:color w:val="111111"/>
          <w:sz w:val="28"/>
          <w:szCs w:val="28"/>
          <w:rtl/>
        </w:rPr>
        <w:t xml:space="preserve">al-usṭuqussāt ‘alā ra’y-i buqrāṭ = š.-ul qawl fi-l</w:t>
      </w:r>
    </w:p>
    <w:p>
      <w:pPr>
        <w:pStyle w:val="BookText"/>
      </w:pPr>
      <w:r>
        <w:rPr>
          <w:rFonts w:ascii="Times New Roman" w:hAnsi="Times New Roman" w:eastAsia="Times New Roman" w:cs="Times New Roman"/>
          <w:lang w:val="en-US" w:bidi="en-US"/>
          <w:color w:val="111111"/>
          <w:sz w:val="28"/>
          <w:szCs w:val="28"/>
          <w:rtl/>
        </w:rPr>
        <w:t xml:space="preserve">ustuqussat ala ra'y-i buqrat</w:t>
      </w:r>
    </w:p>
    <w:p>
      <w:pPr>
        <w:pStyle w:val="BookText"/>
      </w:pPr>
      <w:r>
        <w:rPr>
          <w:rFonts w:ascii="IRNazanin" w:hAnsi="IRNazanin" w:eastAsia="IRNazanin" w:cs="IRNazanin"/>
          <w:lang w:bidi="fa-IR"/>
          <w:color w:val="111111"/>
          <w:sz w:val="28"/>
          <w:szCs w:val="28"/>
          <w:rtl/>
        </w:rPr>
        <w:t xml:space="preserve">جالينوس، ۱۲۹ - ۱۹۹ میلادی</w:t>
      </w:r>
    </w:p>
    <w:p>
      <w:pPr>
        <w:pStyle w:val="BookText"/>
      </w:pPr>
      <w:r>
        <w:rPr>
          <w:rFonts w:ascii="Times New Roman" w:hAnsi="Times New Roman" w:eastAsia="Times New Roman" w:cs="Times New Roman"/>
          <w:lang w:val="en-US" w:bidi="en-US"/>
          <w:color w:val="111111"/>
          <w:sz w:val="28"/>
          <w:szCs w:val="28"/>
          <w:rtl/>
        </w:rPr>
        <w:t xml:space="preserve">(jālīnūs (129 - 199)</w:t>
      </w:r>
    </w:p>
    <w:p>
      <w:pPr>
        <w:pStyle w:val="BookText"/>
      </w:pPr>
      <w:r>
        <w:rPr>
          <w:rFonts w:ascii="IRNazanin" w:hAnsi="IRNazanin" w:eastAsia="IRNazanin" w:cs="IRNazanin"/>
          <w:lang w:bidi="fa-IR"/>
          <w:color w:val="111111"/>
          <w:sz w:val="28"/>
          <w:szCs w:val="28"/>
          <w:rtl/>
        </w:rPr>
        <w:t xml:space="preserve">مترجم: حنين بن اسحاق ۱۹۴ - ۲۶۰ قمری</w:t>
      </w:r>
    </w:p>
    <w:p>
      <w:pPr>
        <w:pStyle w:val="BookText"/>
      </w:pPr>
      <w:r>
        <w:rPr>
          <w:rFonts w:ascii="IRNazanin" w:hAnsi="IRNazanin" w:eastAsia="IRNazanin" w:cs="IRNazanin"/>
          <w:lang w:bidi="fa-IR"/>
          <w:color w:val="111111"/>
          <w:sz w:val="28"/>
          <w:szCs w:val="28"/>
          <w:rtl/>
        </w:rPr>
        <w:t xml:space="preserve">این کتاب از یک مقاله تشکیل می شود و هدف از آن روشن ساختن ترکیب همه پیکرهایی است که پذیرای کون و فسادند، یعنی پیکرهای جانوران، گیاهان و نیز پیکرهایی که در درون زمین به وجود می آیند از ۴  عنصر، یعنی خاک و آب و هوا و آتش همچنین بیان می کند که این اینها عناصر اولیه بعيد بدن انسان را تشکیل می دهند اما عناصر ثانوی  قریب، که بدن انسان و دیگر جانوران خوندار از آنها تشکیل می شود، اخلاط چهارگانه، یعنی خون و بلغم و صفرا و سودا هستند.</w:t>
      </w:r>
    </w:p>
    <w:p>
      <w:pPr>
        <w:pStyle w:val="BookText"/>
      </w:pPr>
      <w:r>
        <w:rPr>
          <w:rFonts w:ascii="IRNazanin" w:hAnsi="IRNazanin" w:eastAsia="IRNazanin" w:cs="IRNazanin"/>
          <w:lang w:bidi="fa-IR"/>
          <w:color w:val="111111"/>
          <w:sz w:val="28"/>
          <w:szCs w:val="28"/>
          <w:rtl/>
        </w:rPr>
        <w:t xml:space="preserve">[تاریخ نگارش های عربی (سزگین) ج ۴: ۱۲۹؛ دنا ۸۰۸/۱ (۲ نسخه)]</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IRNazanin" w:hAnsi="IRNazanin" w:eastAsia="IRNazanin" w:cs="IRNazanin"/>
          <w:lang w:bidi="fa-IR"/>
          <w:color w:val="111111"/>
          <w:sz w:val="28"/>
          <w:szCs w:val="28"/>
          <w:rtl/>
        </w:rPr>
        <w:t xml:space="preserve">۱- الاسطقسات على رأى بقراط (جوامع) - جوامع كتاب الاسطقسات على رأى بقراط ؛ جالینوس (۱۲۹-۱۹۹)</w:t>
      </w:r>
    </w:p>
    <w:p>
      <w:pPr>
        <w:pStyle w:val="BookText"/>
      </w:pPr>
      <w:r>
        <w:rPr>
          <w:rFonts w:ascii="Amiri" w:hAnsi="Amiri" w:eastAsia="Amiri" w:cs="Amiri"/>
          <w:lang w:bidi="ar-SA"/>
          <w:color w:val="111111"/>
          <w:sz w:val="28"/>
          <w:szCs w:val="28"/>
          <w:rtl/>
        </w:rPr>
        <w:t xml:space="preserve">2- الاسطقسات - مختصر وجيز فى الاسطقسات؛ حنين بن اسحاق  (۲۶۰ - ۱۹۴)</w:t>
      </w:r>
    </w:p>
    <w:p>
      <w:pPr>
        <w:pStyle w:val="BookText"/>
      </w:pPr>
      <w:r>
        <w:rPr>
          <w:rFonts w:ascii="IRNazanin" w:hAnsi="IRNazanin" w:eastAsia="IRNazanin" w:cs="IRNazanin"/>
          <w:lang w:bidi="fa-IR"/>
          <w:color w:val="111111"/>
          <w:sz w:val="28"/>
          <w:szCs w:val="28"/>
          <w:rtl/>
        </w:rPr>
        <w:t xml:space="preserve">۱. تهران؛ علوم پزشکی؛ شماره نسخه: ۲۹۱/۱</w:t>
      </w:r>
    </w:p>
    <w:p>
      <w:pPr>
        <w:pStyle w:val="BookText"/>
      </w:pPr>
      <w:r>
        <w:rPr>
          <w:rFonts w:ascii="IRNazanin" w:hAnsi="IRNazanin" w:eastAsia="IRNazanin" w:cs="IRNazanin"/>
          <w:lang w:bidi="fa-IR"/>
          <w:color w:val="111111"/>
          <w:sz w:val="28"/>
          <w:szCs w:val="28"/>
          <w:rtl/>
        </w:rPr>
        <w:t xml:space="preserve">آغاز: بسمله. رب پسر برحمتک کتاب جالينوس في الاسطقسات علی رای بقراط؛ انجام: تم كتاب جالينوس في الاسطقسات على رای ابقراط بحمد الله و منه و ذلك فى نهار الاثنين تاسع شهر ربيع  الاخر سنه اربع و ستمايه فى حصن صفد المحدس</w:t>
      </w:r>
    </w:p>
    <w:p>
      <w:pPr>
        <w:pStyle w:val="BookText"/>
      </w:pPr>
      <w:r>
        <w:rPr>
          <w:rFonts w:ascii="IRNazanin" w:hAnsi="IRNazanin" w:eastAsia="IRNazanin" w:cs="IRNazanin"/>
          <w:lang w:bidi="fa-IR"/>
          <w:color w:val="111111"/>
          <w:sz w:val="28"/>
          <w:szCs w:val="28"/>
          <w:rtl/>
        </w:rPr>
        <w:t xml:space="preserve">بی کا، تا: دوشنبه ۱۹ ربیع الثانی  ۶۰۴ق جا: حصن صفد؛ ۷۱ ص  (۷۱-۱) [ نشریه: ۳ - ۳۶۲]</w:t>
      </w:r>
    </w:p>
    <w:p>
      <w:pPr>
        <w:pStyle w:val="BookText"/>
      </w:pPr>
      <w:r>
        <w:rPr>
          <w:rFonts w:ascii="IRNazanin" w:hAnsi="IRNazanin" w:eastAsia="IRNazanin" w:cs="IRNazanin"/>
          <w:lang w:bidi="fa-IR"/>
          <w:color w:val="111111"/>
          <w:sz w:val="28"/>
          <w:szCs w:val="28"/>
          <w:rtl/>
        </w:rPr>
        <w:t xml:space="preserve">۲. تهران؛ دانشگاه؛ شماره نسخه: ۴۹۱۴/۷</w:t>
      </w:r>
    </w:p>
    <w:p>
      <w:pPr>
        <w:pStyle w:val="BookText"/>
      </w:pPr>
      <w:r>
        <w:rPr>
          <w:rFonts w:ascii="IRNazanin" w:hAnsi="IRNazanin" w:eastAsia="IRNazanin" w:cs="IRNazanin"/>
          <w:lang w:bidi="fa-IR"/>
          <w:color w:val="111111"/>
          <w:sz w:val="28"/>
          <w:szCs w:val="28"/>
          <w:rtl/>
        </w:rPr>
        <w:t xml:space="preserve">خط: نستعلیق، بی کا، تا: قرن ۱۰ و ۱۱؛ کاغذ: سپاهانی، جلد: تیماج سرخ ضربی، ۱۳گ (۱۲۱-۱۳۳)، ۲۵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۳۵سم [ف: ۱۴ - ۴۰۲۰]</w:t>
      </w:r>
    </w:p>
    <w:p>
      <w:pPr>
        <w:pStyle w:val="BookText"/>
      </w:pPr>
      <w:r>
        <w:rPr>
          <w:rFonts w:ascii="IRNazanin" w:hAnsi="IRNazanin" w:eastAsia="IRNazanin" w:cs="IRNazanin"/>
          <w:lang w:bidi="fa-IR"/>
          <w:color w:val="111111"/>
          <w:sz w:val="28"/>
          <w:szCs w:val="28"/>
          <w:rtl/>
        </w:rPr>
        <w:t xml:space="preserve">3.مشهد؛ رضوی؛ شماره نسخه: ۲۷۸۱۷</w:t>
      </w:r>
    </w:p>
    <w:p>
      <w:pPr>
        <w:pStyle w:val="BookText"/>
      </w:pPr>
      <w:r>
        <w:rPr>
          <w:rFonts w:ascii="Amiri" w:hAnsi="Amiri" w:eastAsia="Amiri" w:cs="Amiri"/>
          <w:lang w:bidi="ar-SA"/>
          <w:color w:val="111111"/>
          <w:sz w:val="28"/>
          <w:szCs w:val="28"/>
          <w:rtl/>
        </w:rPr>
        <w:t xml:space="preserve">آغاز: بسمله، كتاب جالينوس فى فرق الطب ترجمه... و هو مقالة واحدة قال جالينوس ان قصد الطب التماس الصحة و غاية احراز الصحة ؛انجام: واحد من ساير الاخلاط و هو الذي ... في طبيعة ذالك الخلط الذى ... فهذا ما اردناه من شرح القول فى الاستقسات  على راى سقراط سنه ۱۱۴۳</w:t>
      </w:r>
    </w:p>
    <w:p>
      <w:pPr>
        <w:pStyle w:val="BookText"/>
      </w:pPr>
      <w:r>
        <w:rPr>
          <w:rFonts w:ascii="IRNazanin" w:hAnsi="IRNazanin" w:eastAsia="IRNazanin" w:cs="IRNazanin"/>
          <w:lang w:bidi="fa-IR"/>
          <w:color w:val="111111"/>
          <w:sz w:val="28"/>
          <w:szCs w:val="28"/>
          <w:rtl/>
        </w:rPr>
        <w:t xml:space="preserve">خط: نستعلیق  شکسته ،کا: حکیم محمد علوی  خان، محمد هاشم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309" w:name="pg20365_260430"/>
    <w:bookmarkEnd w:id="309"/>
    <w:p>
      <w:pPr>
        <w:pStyle w:val="BookText"/>
      </w:pPr>
      <w:r>
        <w:rPr>
          <w:rFonts w:ascii="IRNazanin" w:hAnsi="IRNazanin" w:eastAsia="IRNazanin" w:cs="IRNazanin"/>
          <w:lang w:bidi="fa-IR"/>
          <w:color w:val="111111"/>
          <w:sz w:val="28"/>
          <w:szCs w:val="28"/>
          <w:rtl/>
        </w:rPr>
        <w:t xml:space="preserve">بن میر محمد  هادی، تا: ۱۱۴۳ق[ رایانه]</w:t>
      </w:r>
    </w:p>
    <w:p>
      <w:pPr>
        <w:pStyle w:val="BookText"/>
      </w:pPr>
      <w:r>
        <w:rPr>
          <w:rFonts w:ascii="IRNazanin" w:hAnsi="IRNazanin" w:eastAsia="IRNazanin" w:cs="IRNazanin"/>
          <w:lang w:bidi="fa-IR"/>
          <w:color w:val="111111"/>
          <w:sz w:val="28"/>
          <w:szCs w:val="28"/>
          <w:rtl/>
        </w:rPr>
        <w:t xml:space="preserve">۴. تهران؛ مجلس؛ شماره نسخه: ۵۲۱/۶</w:t>
      </w:r>
    </w:p>
    <w:p>
      <w:pPr>
        <w:pStyle w:val="BookText"/>
      </w:pPr>
      <w:r>
        <w:rPr>
          <w:rFonts w:ascii="IRNazanin" w:hAnsi="IRNazanin" w:eastAsia="IRNazanin" w:cs="IRNazanin"/>
          <w:lang w:bidi="fa-IR"/>
          <w:color w:val="111111"/>
          <w:sz w:val="28"/>
          <w:szCs w:val="28"/>
          <w:rtl/>
        </w:rPr>
        <w:t xml:space="preserve">بی کا، بی تا [ف ۲ - ۳۰۶]</w:t>
      </w:r>
    </w:p>
    <w:p>
      <w:pPr>
        <w:pStyle w:val="Heading3"/>
      </w:pPr>
      <w:bookmarkStart w:id="1549" w:name="_Toc1071"/>
      <w:r>
        <w:t>الاسطقسات على رأى بقراط (جوامع) = جوامع  کتاب الاسطقسات على رأی بقراط / طب / عربی</w:t>
      </w:r>
      <w:bookmarkEnd w:id="1549"/>
    </w:p>
    <w:p>
      <w:pPr>
        <w:pStyle w:val="BookText"/>
      </w:pPr>
      <w:r>
        <w:rPr>
          <w:rFonts w:ascii="Times New Roman" w:hAnsi="Times New Roman" w:eastAsia="Times New Roman" w:cs="Times New Roman"/>
          <w:lang w:val="en-US" w:bidi="en-US"/>
          <w:color w:val="111111"/>
          <w:sz w:val="28"/>
          <w:szCs w:val="28"/>
          <w:rtl/>
        </w:rPr>
        <w:t xml:space="preserve">(al-usṭuqussāt ‘alā ra’y-i buqrāṭ (jawāmi‘)</w:t>
      </w:r>
    </w:p>
    <w:p>
      <w:pPr>
        <w:pStyle w:val="BookText"/>
      </w:pPr>
      <w:r>
        <w:rPr>
          <w:rFonts w:ascii="IRNazanin" w:hAnsi="IRNazanin" w:eastAsia="IRNazanin" w:cs="IRNazanin"/>
          <w:lang w:bidi="fa-IR"/>
          <w:color w:val="111111"/>
          <w:sz w:val="28"/>
          <w:szCs w:val="28"/>
          <w:rtl/>
        </w:rPr>
        <w:t xml:space="preserve">جالینوس، ۱۲۹ - ۱۹۹ میلادی</w:t>
      </w:r>
    </w:p>
    <w:p>
      <w:pPr>
        <w:pStyle w:val="BookText"/>
      </w:pPr>
      <w:r>
        <w:rPr>
          <w:rFonts w:ascii="Times New Roman" w:hAnsi="Times New Roman" w:eastAsia="Times New Roman" w:cs="Times New Roman"/>
          <w:lang w:val="en-US" w:bidi="en-US"/>
          <w:color w:val="111111"/>
          <w:sz w:val="28"/>
          <w:szCs w:val="28"/>
          <w:rtl/>
        </w:rPr>
        <w:t xml:space="preserve">(jālīnūs (129 - 199)</w:t>
      </w:r>
    </w:p>
    <w:p>
      <w:pPr>
        <w:pStyle w:val="BookText"/>
      </w:pPr>
      <w:r>
        <w:rPr>
          <w:rFonts w:ascii="IRNazanin" w:hAnsi="IRNazanin" w:eastAsia="IRNazanin" w:cs="IRNazanin"/>
          <w:lang w:bidi="fa-IR"/>
          <w:color w:val="111111"/>
          <w:sz w:val="28"/>
          <w:szCs w:val="28"/>
          <w:rtl/>
        </w:rPr>
        <w:t xml:space="preserve">مترجم: ابن زرعه، عیسی بن اسحاق ۳۷۱ - ۴۴۸ قمری</w:t>
      </w:r>
    </w:p>
    <w:p>
      <w:pPr>
        <w:pStyle w:val="BookText"/>
      </w:pPr>
      <w:r>
        <w:rPr>
          <w:rFonts w:ascii="IRNazanin" w:hAnsi="IRNazanin" w:eastAsia="IRNazanin" w:cs="IRNazanin"/>
          <w:lang w:bidi="fa-IR"/>
          <w:color w:val="111111"/>
          <w:sz w:val="28"/>
          <w:szCs w:val="28"/>
          <w:rtl/>
        </w:rPr>
        <w:t xml:space="preserve">وابسته به: الاسطقسات على رأى بقراط = شرح القول فی الاسطقسات على رأى بقراط ؛ جالينوس (۱۲۹-۱۹۹)</w:t>
      </w:r>
    </w:p>
    <w:p>
      <w:pPr>
        <w:pStyle w:val="BookText"/>
      </w:pPr>
      <w:r>
        <w:rPr>
          <w:rFonts w:ascii="IRNazanin" w:hAnsi="IRNazanin" w:eastAsia="IRNazanin" w:cs="IRNazanin"/>
          <w:lang w:bidi="fa-IR"/>
          <w:color w:val="111111"/>
          <w:sz w:val="28"/>
          <w:szCs w:val="28"/>
          <w:rtl/>
        </w:rPr>
        <w:t xml:space="preserve">یک مقاله است در ۶۱ فصل. ابن ندیم این کتاب را در شـمار جوامع اسکندرانی (شانزده کتاب) یاد کرده و در شمار شروح جالینوس بر آثار بقراط نیز اثری بدین نام یاد شده است. اما همان گونه که ابن ابی اصیبعه تصریح کرده و از مطالعه کتاب استفاده می شود جالینوس اسطقسات را در تفسیر رای بقراط نوشته است بنا به نوشته ای کهن در پشت برگ اول اسطقسات در نسخه حاضر این کتاب را انقلاوس اسکندرانی در شـمار جوامع در آورده و حنین آن را به سریانی ترجمه کرده و عیسی بن اسحاق بن ابی زرعه آن را از سریانی به عربی ترجمه و تکمیل کرده است.</w:t>
      </w:r>
    </w:p>
    <w:p>
      <w:pPr>
        <w:pStyle w:val="BookText"/>
      </w:pPr>
      <w:r>
        <w:rPr>
          <w:rFonts w:ascii="IRNazanin" w:hAnsi="IRNazanin" w:eastAsia="IRNazanin" w:cs="IRNazanin"/>
          <w:lang w:bidi="fa-IR"/>
          <w:color w:val="111111"/>
          <w:sz w:val="28"/>
          <w:szCs w:val="28"/>
          <w:rtl/>
        </w:rPr>
        <w:t xml:space="preserve">نکته ای دیگر که در نسخه حاضر بدان بر می خوریم آن اسـت که  اسطقسات به ضمیمه کتاب «امزجه و قوى الطبيعي» وکتاب «التشريح« (تشریح در ۵ مقاله) در این دفتر با عنوان «جزء دوم  از جوامع اسکندرانی یاد شده که این گونه تقسیم جوامع  در مدارک و نسخه های دیگر دیده نمی شود متن نوشته مزبور است: «الجزء الثانى من جوامع الاسكندرانيين لكتاب جالينوس الستة عشر المنسوبه الى انقلاووس الاسكندرانی اصلاح عیسی بن اسحاق بن ابی زرعه جميعها من السريانی و نقل ماشذ و نقـص منها و استخراجه معانى فصولها و ثمرة معانيها و يتضمن هذا الجزء كتاب الاسطقسات، كتاب  الامزجه، كتاب القوى الطبيـعیه و كتاب التشریح». نکته دیگر که از این نوشته فهمیده می شود، اشاره به تصرفات و اضافات ابن ابی زرعه است در ترجمه این کتاب ها از سریانی .ابن ابی اصیبعه این پنج کتاب را هر یک جداگانه با ذکر اغراض جالینوس در آنها و تعداد مقالات آنها یاد کرده و در نسخه حاضر فهرست کامل مقالات و فصول مطالب آنها نخست یکجا (پیش از آغاز اسطقسات) و در پایان فهرست کتاب اسطقات چنین آمده: «تمت فصول و ثمرة جوامع  کتاب الاسطقسات».</w:t>
      </w:r>
    </w:p>
    <w:p>
      <w:pPr>
        <w:pStyle w:val="BookText"/>
      </w:pPr>
      <w:r>
        <w:rPr>
          <w:rFonts w:ascii="IRNazanin" w:hAnsi="IRNazanin" w:eastAsia="IRNazanin" w:cs="IRNazanin"/>
          <w:lang w:bidi="fa-IR"/>
          <w:color w:val="111111"/>
          <w:sz w:val="28"/>
          <w:szCs w:val="28"/>
          <w:rtl/>
        </w:rPr>
        <w:t xml:space="preserve">آغاز: جوامع الاسكندرانيين لكتاب جالينوس في الاسطقسات علی رای بقراط قال اجناس الاسطقسات ثلثه</w:t>
      </w:r>
    </w:p>
    <w:p>
      <w:pPr>
        <w:pStyle w:val="BookText"/>
      </w:pPr>
      <w:r>
        <w:rPr>
          <w:rFonts w:ascii="IRNazanin" w:hAnsi="IRNazanin" w:eastAsia="IRNazanin" w:cs="IRNazanin"/>
          <w:lang w:bidi="fa-IR"/>
          <w:color w:val="111111"/>
          <w:sz w:val="28"/>
          <w:szCs w:val="28"/>
          <w:rtl/>
        </w:rPr>
        <w:t xml:space="preserve">تهران؛ مجلس؛ شماره نسخه: ۶۰۳۷/۴</w:t>
      </w:r>
    </w:p>
    <w:p>
      <w:pPr>
        <w:pStyle w:val="BookText"/>
      </w:pPr>
      <w:r>
        <w:rPr>
          <w:rFonts w:ascii="IRNazanin" w:hAnsi="IRNazanin" w:eastAsia="IRNazanin" w:cs="IRNazanin"/>
          <w:lang w:bidi="fa-IR"/>
          <w:color w:val="111111"/>
          <w:sz w:val="28"/>
          <w:szCs w:val="28"/>
          <w:rtl/>
        </w:rPr>
        <w:t xml:space="preserve">آغاز: جوامع الاسكندرانيين لكتاب جالينوس  في الاسطقسات على رای بقراط قال اجناس الاسطقسات ثلثه، فمنها اسطقسات بعيدة نعم الاجسام المركبة؛ انجام : الذى الدواء مخصوص به خلطا آخر ليس ذلك الدواء مخصوصا به و اسهلته تمت جوامع الاسكندرانيين لكتاب جالينوس فى الاسطقسات و الحمد لله و لى  الحمد و مستحقه</w:t>
      </w:r>
    </w:p>
    <w:p>
      <w:pPr>
        <w:pStyle w:val="BookText"/>
      </w:pPr>
      <w:r>
        <w:rPr>
          <w:rFonts w:ascii="IRNazanin" w:hAnsi="IRNazanin" w:eastAsia="IRNazanin" w:cs="IRNazanin"/>
          <w:lang w:bidi="fa-IR"/>
          <w:color w:val="111111"/>
          <w:sz w:val="28"/>
          <w:szCs w:val="28"/>
          <w:rtl/>
        </w:rPr>
        <w:t xml:space="preserve">خط: نستعلیق، بی کا، تا: قرن ۱۰؛ ابتدا ده برگ (۹۵پ-۱۰۴ر) فهرست مطالب کتاب الاسطقسات آمده است و متن از ۱۰۴پ شروع می شود؛ کاغذ: دولت آبادی ضخیم آهار مهره، جلد: تیماج قهوه ای با ترنج، ۲۱گ (115پ-95پ)، ۲۱ سطر، قطع: خشتی،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۲۵/۵سم [ف: ۱۹ - ۲۳]</w:t>
      </w:r>
    </w:p>
    <w:p>
      <w:pPr>
        <w:pStyle w:val="Heading3"/>
      </w:pPr>
      <w:bookmarkStart w:id="1550" w:name="_Toc1072"/>
      <w:r>
        <w:t>اسطقس الاس الاول = اسطقس الاس على رأى  الفلاسفة / كيميا / عربي</w:t>
      </w:r>
      <w:bookmarkEnd w:id="1550"/>
    </w:p>
    <w:p>
      <w:pPr>
        <w:pStyle w:val="BookText"/>
      </w:pPr>
      <w:r>
        <w:rPr>
          <w:rFonts w:ascii="Times New Roman" w:hAnsi="Times New Roman" w:eastAsia="Times New Roman" w:cs="Times New Roman"/>
          <w:lang w:val="en-US" w:bidi="en-US"/>
          <w:color w:val="111111"/>
          <w:sz w:val="28"/>
          <w:szCs w:val="28"/>
          <w:rtl/>
        </w:rPr>
        <w:t xml:space="preserve">usṭuqus-ul uss al-awwal = usṭuqus-ul uss ‘alā ra’y-il</w:t>
      </w:r>
    </w:p>
    <w:p>
      <w:pPr>
        <w:pStyle w:val="BookText"/>
      </w:pPr>
      <w:r>
        <w:rPr>
          <w:rFonts w:ascii="Times New Roman" w:hAnsi="Times New Roman" w:eastAsia="Times New Roman" w:cs="Times New Roman"/>
          <w:lang w:val="en-US" w:bidi="en-US"/>
          <w:color w:val="111111"/>
          <w:sz w:val="28"/>
          <w:szCs w:val="28"/>
          <w:rtl/>
        </w:rPr>
        <w:t xml:space="preserve">falāsifa</w:t>
      </w:r>
    </w:p>
    <w:p>
      <w:pPr>
        <w:pStyle w:val="BookText"/>
      </w:pPr>
      <w:r>
        <w:rPr>
          <w:rFonts w:ascii="IRNazanin" w:hAnsi="IRNazanin" w:eastAsia="IRNazanin" w:cs="IRNazanin"/>
          <w:lang w:bidi="fa-IR"/>
          <w:color w:val="111111"/>
          <w:sz w:val="28"/>
          <w:szCs w:val="28"/>
          <w:rtl/>
        </w:rPr>
        <w:t xml:space="preserve">جابر بن حيان، ۱۲۰ – ۱۹۸ ؟ قمری</w:t>
      </w:r>
    </w:p>
    <w:p>
      <w:pPr>
        <w:pStyle w:val="BookText"/>
      </w:pPr>
      <w:r>
        <w:rPr>
          <w:rFonts w:ascii="Times New Roman" w:hAnsi="Times New Roman" w:eastAsia="Times New Roman" w:cs="Times New Roman"/>
          <w:lang w:val="en-US" w:bidi="en-US"/>
          <w:color w:val="111111"/>
          <w:sz w:val="28"/>
          <w:szCs w:val="28"/>
          <w:rtl/>
        </w:rPr>
        <w:t xml:space="preserve">(jāber ebn-e hayyān (739 - 814)</w:t>
      </w:r>
    </w:p>
    <w:p>
      <w:pPr>
        <w:pStyle w:val="BookText"/>
      </w:pPr>
      <w:r>
        <w:rPr>
          <w:rFonts w:ascii="IRNazanin" w:hAnsi="IRNazanin" w:eastAsia="IRNazanin" w:cs="IRNazanin"/>
          <w:lang w:bidi="fa-IR"/>
          <w:color w:val="111111"/>
          <w:sz w:val="28"/>
          <w:szCs w:val="28"/>
          <w:rtl/>
        </w:rPr>
        <w:t xml:space="preserve">اسطقس، معرب کلمه ای یونانی است و به معنی ماده و اصل هر چیزی است. جابر رأی ها و اندیشه های مردم درباره اسطقس را به سه گونه تقسیم می کند: برهانی عقلی، دینی  ( که از همه برتر است)؛ جدلی اقناعی. در کتاب اسقطس اول به نخستین گونه رأى (رأى اهل فلسفه)، در دومی به دومین گونه (رأی دیانت) و در سومی به سومین گونه (رأی اهل صناعت) می پردازد. همچنین وی بخشی از این کتاب را که در اثناء ترک شده بود در پایان به صورت شرح و ذیل بر اسطقس سوم آورده است.</w:t>
      </w:r>
    </w:p>
    <w:p>
      <w:pPr>
        <w:pStyle w:val="BookText"/>
      </w:pPr>
      <w:r>
        <w:rPr>
          <w:rFonts w:ascii="IRNazanin" w:hAnsi="IRNazanin" w:eastAsia="IRNazanin" w:cs="IRNazanin"/>
          <w:lang w:bidi="fa-IR"/>
          <w:color w:val="111111"/>
          <w:sz w:val="28"/>
          <w:szCs w:val="28"/>
          <w:rtl/>
        </w:rPr>
        <w:t xml:space="preserve">علاوه بر این دوگزارش و شرح نیز از او بر اسطقس اول و سوم  موجود است.</w:t>
      </w:r>
    </w:p>
    <w:p>
      <w:pPr>
        <w:pStyle w:val="BookText"/>
      </w:pPr>
      <w:r>
        <w:rPr>
          <w:rFonts w:ascii="IRNazanin" w:hAnsi="IRNazanin" w:eastAsia="IRNazanin" w:cs="IRNazanin"/>
          <w:lang w:bidi="fa-IR"/>
          <w:color w:val="111111"/>
          <w:sz w:val="28"/>
          <w:szCs w:val="28"/>
          <w:rtl/>
        </w:rPr>
        <w:t xml:space="preserve">رساله حاضر اسطقس اول اوست که مطابق با رأی فلاسفه است. در این رساله وی از فلزهای کیمیایی سخن می گوید و بیان می کند که «چیزها همه به اسطقس بر می گردند و در اینجا هم ما می خواهیم «سنگ فیلسوفان» (حجر الفلاسفه) را که ریشه این هنر است بشناسیم، از این روی آن را اسطقس نامیده ایم. در  آن از «اصحاب  برانین اولین» و «اصحاب نبات» یاد شده است.</w:t>
      </w:r>
    </w:p>
    <w:p>
      <w:pPr>
        <w:pStyle w:val="BookText"/>
      </w:pPr>
      <w:r>
        <w:rPr>
          <w:rFonts w:ascii="Amiri" w:hAnsi="Amiri" w:eastAsia="Amiri" w:cs="Amiri"/>
          <w:lang w:bidi="ar-SA"/>
          <w:color w:val="111111"/>
          <w:sz w:val="28"/>
          <w:szCs w:val="28"/>
          <w:rtl/>
        </w:rPr>
        <w:t xml:space="preserve">آغاز: كتاب الاسطقس الاول. بسمله، قال جابر بن حيان ان الله تعالى بعزته و اختراعه للاشياء بقدرته سماها اظهار و آثارها بلطيف ،صنعته ابدع خلق الانسان بغريب خلقته</w:t>
      </w:r>
    </w:p>
    <w:p>
      <w:pPr>
        <w:pStyle w:val="BookText"/>
      </w:pPr>
      <w:r>
        <w:rPr>
          <w:rFonts w:ascii="Amiri" w:hAnsi="Amiri" w:eastAsia="Amiri" w:cs="Amiri"/>
          <w:lang w:bidi="ar-SA"/>
          <w:color w:val="111111"/>
          <w:sz w:val="28"/>
          <w:szCs w:val="28"/>
          <w:rtl/>
        </w:rPr>
        <w:t xml:space="preserve">انجام: فمن اراد التوسع فى ذلك فليقرأ ما لنا فيها على ما رتبناه في الفهرست. تم كتاب الاسطقس المؤلف على رأى الفلاسفة. و الحمد لله رب العالمين.</w:t>
      </w:r>
    </w:p>
    <w:p>
      <w:pPr>
        <w:pStyle w:val="BookText"/>
      </w:pPr>
      <w:r>
        <w:rPr>
          <w:rFonts w:ascii="IRNazanin" w:hAnsi="IRNazanin" w:eastAsia="IRNazanin" w:cs="IRNazanin"/>
          <w:lang w:bidi="fa-IR"/>
          <w:color w:val="111111"/>
          <w:sz w:val="28"/>
          <w:szCs w:val="28"/>
          <w:rtl/>
        </w:rPr>
        <w:t xml:space="preserve">چاپ: با عنوان «مجموعة احد عشر كتاباً في علم الاكسير»، ،بمبئی ،۱۸۹۲م ،سنگی ،پاریس مطبعة فول غايتينة، ۵۴ص،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310" w:name="pg20365_260431"/>
    <w:bookmarkEnd w:id="310"/>
    <w:p>
      <w:pPr>
        <w:pStyle w:val="BookText"/>
      </w:pPr>
      <w:r>
        <w:rPr>
          <w:rFonts w:ascii="IRNazanin" w:hAnsi="IRNazanin" w:eastAsia="IRNazanin" w:cs="IRNazanin"/>
          <w:lang w:bidi="fa-IR"/>
          <w:color w:val="111111"/>
          <w:sz w:val="28"/>
          <w:szCs w:val="28"/>
          <w:rtl/>
        </w:rPr>
        <w:t xml:space="preserve">1928م</w:t>
      </w:r>
    </w:p>
    <w:p>
      <w:pPr>
        <w:pStyle w:val="BookText"/>
      </w:pPr>
      <w:r>
        <w:rPr>
          <w:rFonts w:ascii="IRNazanin" w:hAnsi="IRNazanin" w:eastAsia="IRNazanin" w:cs="IRNazanin"/>
          <w:lang w:bidi="fa-IR"/>
          <w:color w:val="111111"/>
          <w:sz w:val="28"/>
          <w:szCs w:val="28"/>
          <w:rtl/>
        </w:rPr>
        <w:t xml:space="preserve">[اعلام ۱: ۴۱۰؛ ریحانة الادب ۵ ۱۱۰؛ فهرست ابن ندیم ۴۲۱؛ تاريخ التراث العربی ۴: ۳۰۹؛ دنا ۸۰۹/۱ در دنا بین رساله های مختلف اسطقس اختلاط پدید آمده است.]</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IRNazanin" w:hAnsi="IRNazanin" w:eastAsia="IRNazanin" w:cs="IRNazanin"/>
          <w:lang w:bidi="fa-IR"/>
          <w:color w:val="111111"/>
          <w:sz w:val="28"/>
          <w:szCs w:val="28"/>
          <w:rtl/>
        </w:rPr>
        <w:t xml:space="preserve">١ - تفسیر کتاب اسطقس - التفسير الأول - التفصيل الاول - غرض  الاغراض ؛ جابر بن حيان (۱۲۰-۱۹۸)</w:t>
      </w:r>
    </w:p>
    <w:p>
      <w:pPr>
        <w:pStyle w:val="BookText"/>
      </w:pPr>
      <w:r>
        <w:rPr>
          <w:rFonts w:ascii="IRNazanin" w:hAnsi="IRNazanin" w:eastAsia="IRNazanin" w:cs="IRNazanin"/>
          <w:lang w:bidi="fa-IR"/>
          <w:color w:val="111111"/>
          <w:sz w:val="28"/>
          <w:szCs w:val="28"/>
          <w:rtl/>
        </w:rPr>
        <w:t xml:space="preserve">۱. تهران؛ دائرة المعارف؛ شماره نسخه: ۱۹۸۸/۱۶-عکسی</w:t>
      </w:r>
    </w:p>
    <w:p>
      <w:pPr>
        <w:pStyle w:val="BookText"/>
      </w:pPr>
      <w:r>
        <w:rPr>
          <w:rFonts w:ascii="Amiri" w:hAnsi="Amiri" w:eastAsia="Amiri" w:cs="Amiri"/>
          <w:lang w:bidi="ar-SA"/>
          <w:color w:val="111111"/>
          <w:sz w:val="28"/>
          <w:szCs w:val="28"/>
          <w:rtl/>
        </w:rPr>
        <w:t xml:space="preserve">آغاز: برابر؛ انجام: و لادخول فى هذه الصنعةالا فى قول من لا علم له و لاكثير افعال فيها و ذلك</w:t>
      </w:r>
    </w:p>
    <w:p>
      <w:pPr>
        <w:pStyle w:val="BookText"/>
      </w:pPr>
      <w:r>
        <w:rPr>
          <w:rFonts w:ascii="IRNazanin" w:hAnsi="IRNazanin" w:eastAsia="IRNazanin" w:cs="IRNazanin"/>
          <w:lang w:bidi="fa-IR"/>
          <w:color w:val="111111"/>
          <w:sz w:val="28"/>
          <w:szCs w:val="28"/>
          <w:rtl/>
        </w:rPr>
        <w:t xml:space="preserve">خط: نستعلیق  پخته، بی کا، تا: ۱۰۵۴ق؛ افتادگی: انجام؛ ۶  ص (۱۷۴-۱۶۹) [ف: ۱ - ۲۴]</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قم؛ مرعشی؛ شماره نسخه: ۱۲۶۳۲/۱۸</w:t>
      </w:r>
    </w:p>
    <w:p>
      <w:pPr>
        <w:pStyle w:val="BookText"/>
      </w:pPr>
      <w:r>
        <w:rPr>
          <w:rFonts w:ascii="IRNazanin" w:hAnsi="IRNazanin" w:eastAsia="IRNazanin" w:cs="IRNazanin"/>
          <w:lang w:bidi="fa-IR"/>
          <w:color w:val="111111"/>
          <w:sz w:val="28"/>
          <w:szCs w:val="28"/>
          <w:rtl/>
        </w:rPr>
        <w:t xml:space="preserve">آغاز: اما بعد، قول الحكماء في وصف هذا الحجر و اجماعهم على نعته اذ قالو الحجر نار فى طبيعته ؛انجام: و لیس کذلک لاجل الغوامض التي اعترضتها فاحالتها و فى هذه الجملة كفایة لهذه المقدار من تعرف اصول الصناعة.</w:t>
      </w:r>
    </w:p>
    <w:p>
      <w:pPr>
        <w:pStyle w:val="BookText"/>
      </w:pPr>
      <w:r>
        <w:rPr>
          <w:rFonts w:ascii="IRNazanin" w:hAnsi="IRNazanin" w:eastAsia="IRNazanin" w:cs="IRNazanin"/>
          <w:lang w:bidi="fa-IR"/>
          <w:color w:val="111111"/>
          <w:sz w:val="28"/>
          <w:szCs w:val="28"/>
          <w:rtl/>
        </w:rPr>
        <w:t xml:space="preserve">خط: نسخ  ریز، کا: بھائی بن احمد عاملی (کاظمی)، تا: اواخر قرن ۱۲ یا اوایل قرن ۱۳ق ،کاغذ ،فرنگی، ۲گ (۵۱-۵۲)، جمعاً  52 سطر، اندازه: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۱۰سم [ف ۳۲ - ۷۳]</w:t>
      </w:r>
    </w:p>
    <w:p>
      <w:pPr>
        <w:pStyle w:val="BookText"/>
      </w:pPr>
      <w:r>
        <w:rPr>
          <w:rFonts w:ascii="IRNazanin" w:hAnsi="IRNazanin" w:eastAsia="IRNazanin" w:cs="IRNazanin"/>
          <w:lang w:bidi="fa-IR"/>
          <w:color w:val="111111"/>
          <w:sz w:val="28"/>
          <w:szCs w:val="28"/>
          <w:rtl/>
        </w:rPr>
        <w:t xml:space="preserve">تهران؛ ملک؛ شماره نسخه: ۶۲۰۶/۲۳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۱۳؛ تملک: شیخ سلیمان در 1340؛ کاغذ: فرنگی ،جلد: میشن قهوه ای، ۷ص (۳۷۸-۳۸۴)، ۲۳ سـطر،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۲۹سم [ف: ۹ - ۲۶۱]</w:t>
      </w:r>
    </w:p>
    <w:p>
      <w:pPr>
        <w:pStyle w:val="BookText"/>
      </w:pPr>
      <w:r>
        <w:rPr>
          <w:rFonts w:ascii="IRNazanin" w:hAnsi="IRNazanin" w:eastAsia="IRNazanin" w:cs="IRNazanin"/>
          <w:lang w:bidi="fa-IR"/>
          <w:color w:val="111111"/>
          <w:sz w:val="28"/>
          <w:szCs w:val="28"/>
          <w:rtl/>
        </w:rPr>
        <w:t xml:space="preserve">۴ .تهران؛ دانشگاه؛ شماره نسخه: ۴۹۱/۳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جا: حیدر آباد ۵گ (54ر-50پ). [ف  : 4- 1021]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قم؛ گلپایگانی؛ شماره نسخه: ۳۹۰/۴-۳/۱۰</w:t>
      </w:r>
    </w:p>
    <w:p>
      <w:pPr>
        <w:pStyle w:val="BookText"/>
      </w:pPr>
      <w:r>
        <w:rPr>
          <w:rFonts w:ascii="IRNazanin" w:hAnsi="IRNazanin" w:eastAsia="IRNazanin" w:cs="IRNazanin"/>
          <w:lang w:bidi="fa-IR"/>
          <w:color w:val="111111"/>
          <w:sz w:val="28"/>
          <w:szCs w:val="28"/>
          <w:rtl/>
        </w:rPr>
        <w:t xml:space="preserve">آغاز: بسمله قول الحكماء فى وصف هذا الحجر و جماعة علی لغته اذ قالوا الحجر نار فى طبيعة الماء؛ انجام: لاجل العوارض التی اعترضها فاحالتها وفى هذه الجمله كفاية لهذه المقدار من تعرف اصول الصناعه</w:t>
      </w:r>
    </w:p>
    <w:p>
      <w:pPr>
        <w:pStyle w:val="BookText"/>
      </w:pPr>
      <w:r>
        <w:rPr>
          <w:rFonts w:ascii="IRNazanin" w:hAnsi="IRNazanin" w:eastAsia="IRNazanin" w:cs="IRNazanin"/>
          <w:lang w:bidi="fa-IR"/>
          <w:color w:val="111111"/>
          <w:sz w:val="28"/>
          <w:szCs w:val="28"/>
          <w:rtl/>
        </w:rPr>
        <w:t xml:space="preserve">خط: نسخ، بی کا، بی تا؛ مصحح؛ جلد: تیماج زیتونی ضربی ترنج با سر مجدول؛ ۲گ، ۲۷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۳۰/۵سم [ف: ۱ - 358]</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قم؛ گلپایگانی؛ شماره نسخه: ۶۶۹۴/۱۵/۱-۳۴/۶۴</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شکسته، نستعلیق، بی کا، بی تا؛ مصحح؛ جلد تيماج قهوه مجدول با ترنج و سر ترنج، ۱۶ سطر، اندازه: ۱۴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 سم [ف ۱ - 358]</w:t>
      </w:r>
    </w:p>
    <w:p>
      <w:pPr>
        <w:pStyle w:val="Heading3"/>
      </w:pPr>
      <w:bookmarkStart w:id="1551" w:name="_Toc1073"/>
      <w:r>
        <w:t>اسطقس الاس الثانى - اسطقس الاس على رأى  الديانة / كيميا / عربي</w:t>
      </w:r>
      <w:bookmarkEnd w:id="1551"/>
    </w:p>
    <w:p>
      <w:pPr>
        <w:pStyle w:val="BookText"/>
      </w:pPr>
      <w:r>
        <w:rPr>
          <w:rFonts w:ascii="Times New Roman" w:hAnsi="Times New Roman" w:eastAsia="Times New Roman" w:cs="Times New Roman"/>
          <w:lang w:val="en-US" w:bidi="en-US"/>
          <w:color w:val="111111"/>
          <w:sz w:val="28"/>
          <w:szCs w:val="28"/>
          <w:rtl/>
        </w:rPr>
        <w:t xml:space="preserve">usṭuqus-ul uss aṯ-ṯānī = usṭuqus-ul uss ‘alā ra’y-id</w:t>
      </w:r>
    </w:p>
    <w:p>
      <w:pPr>
        <w:pStyle w:val="BookText"/>
      </w:pPr>
      <w:r>
        <w:rPr>
          <w:rFonts w:ascii="Times New Roman" w:hAnsi="Times New Roman" w:eastAsia="Times New Roman" w:cs="Times New Roman"/>
          <w:lang w:val="en-US" w:bidi="en-US"/>
          <w:color w:val="111111"/>
          <w:sz w:val="28"/>
          <w:szCs w:val="28"/>
          <w:rtl/>
        </w:rPr>
        <w:t xml:space="preserve">dīyāna</w:t>
      </w:r>
    </w:p>
    <w:p>
      <w:pPr>
        <w:pStyle w:val="BookText"/>
      </w:pPr>
      <w:r>
        <w:rPr>
          <w:rFonts w:ascii="IRNazanin" w:hAnsi="IRNazanin" w:eastAsia="IRNazanin" w:cs="IRNazanin"/>
          <w:lang w:bidi="fa-IR"/>
          <w:color w:val="111111"/>
          <w:sz w:val="28"/>
          <w:szCs w:val="28"/>
          <w:rtl/>
        </w:rPr>
        <w:t xml:space="preserve">جابر بن حيان، ۱۲۰ - ۱۹۸ ؟ قمری</w:t>
      </w:r>
    </w:p>
    <w:p>
      <w:pPr>
        <w:pStyle w:val="BookText"/>
      </w:pPr>
      <w:r>
        <w:rPr>
          <w:rFonts w:ascii="Times New Roman" w:hAnsi="Times New Roman" w:eastAsia="Times New Roman" w:cs="Times New Roman"/>
          <w:lang w:val="en-US" w:bidi="en-US"/>
          <w:color w:val="111111"/>
          <w:sz w:val="28"/>
          <w:szCs w:val="28"/>
          <w:rtl/>
        </w:rPr>
        <w:t xml:space="preserve">(jaber ebn-e hayyan (739 - 814)</w:t>
      </w:r>
    </w:p>
    <w:p>
      <w:pPr>
        <w:pStyle w:val="BookText"/>
      </w:pPr>
      <w:r>
        <w:rPr>
          <w:rFonts w:ascii="IRNazanin" w:hAnsi="IRNazanin" w:eastAsia="IRNazanin" w:cs="IRNazanin"/>
          <w:lang w:bidi="fa-IR"/>
          <w:color w:val="111111"/>
          <w:sz w:val="28"/>
          <w:szCs w:val="28"/>
          <w:rtl/>
        </w:rPr>
        <w:t xml:space="preserve">کتاب اسطقس دوم جابر است مطابق با رأی دیانت. وی در این اسطقس می گوید که سقراط، ارسطو و جالینوس اسطقس را به چه معنا کرده اند. سپس می گوید که گروهی صنعت را از وحی الهی دانسته اند در اینجا آیه هایی را به عنوان شاهد می آورد و از سخنان دانشمندان درباره اکسیر نقل قول کرده است. جابر می گوید که با نماز و نیاز و تنهایی و بیابان گردی و قربانی و رفتن به هیکل ها و روزه همیشگی میتوان بدین هنر رسید و پیامبر (صلّی اللَّهِ علیه وَ آلِهِ وَ سَلَّمَ ) و حضرت علی (علیه السّلام) بدان آگاه بوده اند. جابر در آن از «کتاب المنی» که از کتابهای «المائة  و الاثنى عشر» است از «المائة و الاربعين الفلسفية الموازينية» یاد می کند.</w:t>
      </w:r>
    </w:p>
    <w:p>
      <w:pPr>
        <w:pStyle w:val="BookText"/>
      </w:pPr>
      <w:r>
        <w:rPr>
          <w:rFonts w:ascii="Amiri" w:hAnsi="Amiri" w:eastAsia="Amiri" w:cs="Amiri"/>
          <w:lang w:bidi="ar-SA"/>
          <w:color w:val="111111"/>
          <w:sz w:val="28"/>
          <w:szCs w:val="28"/>
          <w:rtl/>
        </w:rPr>
        <w:t xml:space="preserve">آغاز: بسمله. قال جابر. اما بعد فقد سبق لنا قبل كتاب هذا كتاب  فى هذا المعنى على راى الفلاسفة و الذي دعانا الى الفعل</w:t>
      </w:r>
    </w:p>
    <w:p>
      <w:pPr>
        <w:pStyle w:val="BookText"/>
      </w:pPr>
      <w:r>
        <w:rPr>
          <w:rFonts w:ascii="Amiri" w:hAnsi="Amiri" w:eastAsia="Amiri" w:cs="Amiri"/>
          <w:lang w:bidi="ar-SA"/>
          <w:color w:val="111111"/>
          <w:sz w:val="28"/>
          <w:szCs w:val="28"/>
          <w:rtl/>
        </w:rPr>
        <w:t xml:space="preserve">انجام: و اذ قد بينا الى هذه الغاية و بينا بما آتيناه كما رايتم، فليكن الان آخر هذا الكتاب انشاء الله تعالى و لا حول و لا قوة الا بالله العلى العظيم. تم كتاب اسطقس الاس على راى الديانة و هو الثانى والحمد لله وحده و يتلوه الثالث على راى اهل الصناعة. بعون الله و منه.</w:t>
      </w:r>
    </w:p>
    <w:p>
      <w:pPr>
        <w:pStyle w:val="BookText"/>
      </w:pPr>
      <w:r>
        <w:rPr>
          <w:rFonts w:ascii="IRNazanin" w:hAnsi="IRNazanin" w:eastAsia="IRNazanin" w:cs="IRNazanin"/>
          <w:lang w:bidi="fa-IR"/>
          <w:color w:val="111111"/>
          <w:sz w:val="28"/>
          <w:szCs w:val="28"/>
          <w:rtl/>
        </w:rPr>
        <w:t xml:space="preserve">چاپ: با عنوان «مجموعة احد عشر كتاباً في علم الاكسير»، ،بمبئی ،۱۸۹۲م ،سنگی ،پاریس، مطبعة فول غايتينة، ۵۴ص  ، ۱۹۲۸م</w:t>
      </w:r>
    </w:p>
    <w:p>
      <w:pPr>
        <w:pStyle w:val="BookText"/>
      </w:pPr>
      <w:r>
        <w:rPr>
          <w:rFonts w:ascii="IRNazanin" w:hAnsi="IRNazanin" w:eastAsia="IRNazanin" w:cs="IRNazanin"/>
          <w:lang w:bidi="fa-IR"/>
          <w:color w:val="111111"/>
          <w:sz w:val="28"/>
          <w:szCs w:val="28"/>
          <w:rtl/>
        </w:rPr>
        <w:t xml:space="preserve">[اعلام ۱: ۴۱۰؛ ريحانة الادب ۵: ۱۱۰؛ فهرست ابن ندیم۴۲۱؛ تاريخ التراث العربی ۴: ۳۰۹؛ دنا ۸۰۹/۱: در دنا بین رساله های مختلف اسطقس اختلاط پدید  آمده است. ]</w:t>
      </w:r>
    </w:p>
    <w:p>
      <w:pPr>
        <w:pStyle w:val="BookText"/>
      </w:pPr>
      <w:r>
        <w:rPr>
          <w:rFonts w:ascii="IRNazanin" w:hAnsi="IRNazanin" w:eastAsia="IRNazanin" w:cs="IRNazanin"/>
          <w:lang w:bidi="fa-IR"/>
          <w:color w:val="111111"/>
          <w:sz w:val="28"/>
          <w:szCs w:val="28"/>
          <w:rtl/>
        </w:rPr>
        <w:t xml:space="preserve">۱. قم؛ مرعشی؛ شماره نسخه: ۱۲۶۳۲/۱۹</w:t>
      </w:r>
    </w:p>
    <w:p>
      <w:pPr>
        <w:pStyle w:val="BookText"/>
      </w:pPr>
      <w:r>
        <w:rPr>
          <w:rFonts w:ascii="Amiri" w:hAnsi="Amiri" w:eastAsia="Amiri" w:cs="Amiri"/>
          <w:lang w:bidi="ar-SA"/>
          <w:color w:val="111111"/>
          <w:sz w:val="28"/>
          <w:szCs w:val="28"/>
          <w:rtl/>
        </w:rPr>
        <w:t xml:space="preserve">آغاز: اما بعد قول الحكماء فى وصف هذا الحجر و اجماعهم على نعته اذ قالو الحجر نار في طبيعته؛ انجام: فاعرف الآن منزلة هذه الفصول من كتبنا و ترتيبها لتدرك الحق و تنال البغية و اركب اى الآراء شئت و اردت منها.</w:t>
      </w:r>
    </w:p>
    <w:p>
      <w:pPr>
        <w:pStyle w:val="BookText"/>
      </w:pPr>
      <w:r>
        <w:rPr>
          <w:rFonts w:ascii="IRNazanin" w:hAnsi="IRNazanin" w:eastAsia="IRNazanin" w:cs="IRNazanin"/>
          <w:lang w:bidi="fa-IR"/>
          <w:color w:val="111111"/>
          <w:sz w:val="28"/>
          <w:szCs w:val="28"/>
          <w:rtl/>
        </w:rPr>
        <w:t xml:space="preserve">خط: نسخ ریز، کا: بھائی بن احمد عاملی (کاظمی)، تا: اواخر قرن ۱۲ یا اوایل قرن ۱۳ق؛ کاغذ: فرنگی 1گ (۵۲)، ۵۰ سطر، اندازه: 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۳۲ - ۷۳]</w:t>
      </w:r>
    </w:p>
    <w:p>
      <w:pPr>
        <w:pStyle w:val="BookText"/>
      </w:pPr>
      <w:r>
        <w:rPr>
          <w:rFonts w:ascii="IRNazanin" w:hAnsi="IRNazanin" w:eastAsia="IRNazanin" w:cs="IRNazanin"/>
          <w:lang w:bidi="fa-IR"/>
          <w:color w:val="111111"/>
          <w:sz w:val="28"/>
          <w:szCs w:val="28"/>
          <w:rtl/>
        </w:rPr>
        <w:t xml:space="preserve">٢. تهران؛ ملک؛ شماره نسخه: ۶۲۰۶/۲۴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۱۳؛ کاغذ: فرنگی، جلد: میشن قهوه ای، ۸ ص( 384- 391) ۲۳ سطر، اندازه:۱۸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۲۹سم [ف: ۹ - ۲۶۱]</w:t>
      </w:r>
    </w:p>
    <w:p>
      <w:pPr>
        <w:pStyle w:val="BookText"/>
      </w:pPr>
      <w:r>
        <w:rPr>
          <w:rFonts w:ascii="IRNazanin" w:hAnsi="IRNazanin" w:eastAsia="IRNazanin" w:cs="IRNazanin"/>
          <w:lang w:bidi="fa-IR"/>
          <w:color w:val="111111"/>
          <w:sz w:val="28"/>
          <w:szCs w:val="28"/>
          <w:rtl/>
        </w:rPr>
        <w:t xml:space="preserve">3.تهران؛ دانشگاه؛ شماره نسخه: ۴۹۱/۴</w:t>
      </w:r>
    </w:p>
    <w:p>
      <w:pPr>
        <w:pStyle w:val="BookText"/>
      </w:pPr>
      <w:r>
        <w:rPr>
          <w:rFonts w:ascii="IRNazanin" w:hAnsi="IRNazanin" w:eastAsia="IRNazanin" w:cs="IRNazanin"/>
          <w:lang w:bidi="fa-IR"/>
          <w:color w:val="111111"/>
          <w:sz w:val="28"/>
          <w:szCs w:val="28"/>
          <w:rtl/>
        </w:rPr>
        <w:t xml:space="preserve">آغاز و انجام: برابر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311" w:name="pg20365_260432"/>
    <w:bookmarkEnd w:id="311"/>
    <w:p>
      <w:pPr>
        <w:pStyle w:val="BookText"/>
      </w:pPr>
      <w:r>
        <w:rPr>
          <w:rFonts w:ascii="IRNazanin" w:hAnsi="IRNazanin" w:eastAsia="IRNazanin" w:cs="IRNazanin"/>
          <w:lang w:bidi="fa-IR"/>
          <w:color w:val="111111"/>
          <w:sz w:val="28"/>
          <w:szCs w:val="28"/>
          <w:rtl/>
        </w:rPr>
        <w:t xml:space="preserve">خط: نسخ، بی کا، بی تا؛ جا: حیدر آباد؛ ۵گ (۵۴ر-۵۸ر). [ف:  4- 1022]</w:t>
      </w:r>
    </w:p>
    <w:p>
      <w:pPr>
        <w:pStyle w:val="BookText"/>
      </w:pPr>
      <w:r>
        <w:rPr>
          <w:rFonts w:ascii="IRNazanin" w:hAnsi="IRNazanin" w:eastAsia="IRNazanin" w:cs="IRNazanin"/>
          <w:lang w:bidi="fa-IR"/>
          <w:color w:val="111111"/>
          <w:sz w:val="28"/>
          <w:szCs w:val="28"/>
          <w:rtl/>
        </w:rPr>
        <w:t xml:space="preserve">۴. قم؛ گلپایگانی؛ شماره نسخه: ۳۹۰/۵-۳/۱۰</w:t>
      </w:r>
    </w:p>
    <w:p>
      <w:pPr>
        <w:pStyle w:val="BookText"/>
      </w:pPr>
      <w:r>
        <w:rPr>
          <w:rFonts w:ascii="IRNazanin" w:hAnsi="IRNazanin" w:eastAsia="IRNazanin" w:cs="IRNazanin"/>
          <w:lang w:bidi="fa-IR"/>
          <w:color w:val="111111"/>
          <w:sz w:val="28"/>
          <w:szCs w:val="28"/>
          <w:rtl/>
        </w:rPr>
        <w:t xml:space="preserve">آغاز: برابر؛ انجام: و ترتيبها لتدرك الحق وتنال البغتة واركب ای الاراء شئت و اردت منها تم</w:t>
      </w:r>
    </w:p>
    <w:p>
      <w:pPr>
        <w:pStyle w:val="BookText"/>
      </w:pPr>
      <w:r>
        <w:rPr>
          <w:rFonts w:ascii="IRNazanin" w:hAnsi="IRNazanin" w:eastAsia="IRNazanin" w:cs="IRNazanin"/>
          <w:lang w:bidi="fa-IR"/>
          <w:color w:val="111111"/>
          <w:sz w:val="28"/>
          <w:szCs w:val="28"/>
          <w:rtl/>
        </w:rPr>
        <w:t xml:space="preserve">خط: نسخ، بی کا، بی تا؛ مصحح؛ جلد: تیماج زیتونی ضربی با ترنج با سر مجدول، ۳گ، ۲۷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۳۰/۵سم [ف: ۱ - 358]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قم؛ گلپایگانی؛ شماره نسخه: ۶۶۹۴/۱۵/۲-۳۴/۶۴</w:t>
      </w:r>
    </w:p>
    <w:p>
      <w:pPr>
        <w:pStyle w:val="BookText"/>
      </w:pPr>
      <w:r>
        <w:rPr>
          <w:rFonts w:ascii="IRNazanin" w:hAnsi="IRNazanin" w:eastAsia="IRNazanin" w:cs="IRNazanin"/>
          <w:lang w:bidi="fa-IR"/>
          <w:color w:val="111111"/>
          <w:sz w:val="28"/>
          <w:szCs w:val="28"/>
          <w:rtl/>
        </w:rPr>
        <w:t xml:space="preserve">خط: شکسته نستعلیق، بی کا، بی تا؛ مصحح؛ جلد: تيماج قهوه ای مجدول با ترنج و سرترنج، ۱۶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 ف: ۱ - 358]</w:t>
      </w:r>
    </w:p>
    <w:p>
      <w:pPr>
        <w:pStyle w:val="Heading3"/>
      </w:pPr>
      <w:bookmarkStart w:id="1552" w:name="_Toc1074"/>
      <w:r>
        <w:t>اسطقس الاس الثالث = اسطقس الاس على رأى  اهل الصناعة / كيميا / عربي</w:t>
      </w:r>
      <w:bookmarkEnd w:id="1552"/>
    </w:p>
    <w:p>
      <w:pPr>
        <w:pStyle w:val="BookText"/>
      </w:pPr>
      <w:r>
        <w:rPr>
          <w:rFonts w:ascii="Times New Roman" w:hAnsi="Times New Roman" w:eastAsia="Times New Roman" w:cs="Times New Roman"/>
          <w:lang w:val="en-US" w:bidi="en-US"/>
          <w:color w:val="111111"/>
          <w:sz w:val="28"/>
          <w:szCs w:val="28"/>
          <w:rtl/>
        </w:rPr>
        <w:t xml:space="preserve">usṭuqus-ul uss aṯ-ṯāliṯ = usṭuqus-ul uss ‘alā ra’y-i ahl-i</w:t>
      </w:r>
    </w:p>
    <w:p>
      <w:pPr>
        <w:pStyle w:val="BookText"/>
      </w:pPr>
      <w:r>
        <w:rPr>
          <w:rFonts w:ascii="Times New Roman" w:hAnsi="Times New Roman" w:eastAsia="Times New Roman" w:cs="Times New Roman"/>
          <w:lang w:val="en-US" w:bidi="en-US"/>
          <w:color w:val="111111"/>
          <w:sz w:val="28"/>
          <w:szCs w:val="28"/>
          <w:rtl/>
        </w:rPr>
        <w:t xml:space="preserve">ṣinā‘a</w:t>
      </w:r>
    </w:p>
    <w:p>
      <w:pPr>
        <w:pStyle w:val="BookText"/>
      </w:pPr>
      <w:r>
        <w:rPr>
          <w:rFonts w:ascii="IRNazanin" w:hAnsi="IRNazanin" w:eastAsia="IRNazanin" w:cs="IRNazanin"/>
          <w:lang w:bidi="fa-IR"/>
          <w:color w:val="111111"/>
          <w:sz w:val="28"/>
          <w:szCs w:val="28"/>
          <w:rtl/>
        </w:rPr>
        <w:t xml:space="preserve">جابر بن حیان ۱۲۰ - ۱۹۸ ؟ قمری</w:t>
      </w:r>
    </w:p>
    <w:p>
      <w:pPr>
        <w:pStyle w:val="BookText"/>
      </w:pPr>
      <w:r>
        <w:rPr>
          <w:rFonts w:ascii="Times New Roman" w:hAnsi="Times New Roman" w:eastAsia="Times New Roman" w:cs="Times New Roman"/>
          <w:lang w:val="en-US" w:bidi="en-US"/>
          <w:color w:val="111111"/>
          <w:sz w:val="28"/>
          <w:szCs w:val="28"/>
          <w:rtl/>
        </w:rPr>
        <w:t xml:space="preserve">(jāber ebn-e hayyān (739 - 814)</w:t>
      </w:r>
    </w:p>
    <w:p>
      <w:pPr>
        <w:pStyle w:val="BookText"/>
      </w:pPr>
      <w:r>
        <w:rPr>
          <w:rFonts w:ascii="IRNazanin" w:hAnsi="IRNazanin" w:eastAsia="IRNazanin" w:cs="IRNazanin"/>
          <w:lang w:bidi="fa-IR"/>
          <w:color w:val="111111"/>
          <w:sz w:val="28"/>
          <w:szCs w:val="28"/>
          <w:rtl/>
        </w:rPr>
        <w:t xml:space="preserve">اسطقس سوم اوست مطابق با رأی اهل صناعت. در این رسـاله جابر می گوید: «هر کس در روزگارما که مانند «سیدی جـعفر بن محمد عليه الصلوة و السلام» و استادم «حربى» و «اذن الحـمار  المنطقی» پیدا شده  باشد، به حق می تواند برسد. من رنج بردم و این نامه ها نوشتم و از رنج دیگران کاستم. باید نخست نگاشته های دیگران را بخوانید سپس بدینها بنگرید و اینها را هم باید به ترتیب خواند. من این نامه را اسطقس نامیدم» وی در این رساله از بلیناس یاد می کند و در سرتاسر آن از «حجر» سخن می گوید.</w:t>
      </w:r>
    </w:p>
    <w:p>
      <w:pPr>
        <w:pStyle w:val="BookText"/>
      </w:pPr>
      <w:r>
        <w:rPr>
          <w:rFonts w:ascii="IRNazanin" w:hAnsi="IRNazanin" w:eastAsia="IRNazanin" w:cs="IRNazanin"/>
          <w:lang w:bidi="fa-IR"/>
          <w:color w:val="111111"/>
          <w:sz w:val="28"/>
          <w:szCs w:val="28"/>
          <w:rtl/>
        </w:rPr>
        <w:t xml:space="preserve">آغاز: کتاب الاسطقس الاس الثالث على الراى الصناعى الجدلی و هو الراى العملى التي لجابر بن حيان. بسمله الحمد لله و لا اله الله. اما بعد. قال الله تبارک و تعالى: جعل العالم الاصغر الانسان مميز الكل شيء و هو اعلى منه و دونه</w:t>
      </w:r>
    </w:p>
    <w:p>
      <w:pPr>
        <w:pStyle w:val="BookText"/>
      </w:pPr>
      <w:r>
        <w:rPr>
          <w:rFonts w:ascii="IRNazanin" w:hAnsi="IRNazanin" w:eastAsia="IRNazanin" w:cs="IRNazanin"/>
          <w:lang w:bidi="fa-IR"/>
          <w:color w:val="111111"/>
          <w:sz w:val="28"/>
          <w:szCs w:val="28"/>
          <w:rtl/>
        </w:rPr>
        <w:t xml:space="preserve">انجام: ان يكون الدرس امامك ليلك نهارك. تفعل به بکتبنا.اعطاك الله و وقفک و فتح عليك بحوله. تم كتاب الاسطقـس الاس الثالث بحمد الله و عونه.</w:t>
      </w:r>
    </w:p>
    <w:p>
      <w:pPr>
        <w:pStyle w:val="BookText"/>
      </w:pPr>
      <w:r>
        <w:rPr>
          <w:rFonts w:ascii="IRNazanin" w:hAnsi="IRNazanin" w:eastAsia="IRNazanin" w:cs="IRNazanin"/>
          <w:lang w:bidi="fa-IR"/>
          <w:color w:val="111111"/>
          <w:sz w:val="28"/>
          <w:szCs w:val="28"/>
          <w:rtl/>
        </w:rPr>
        <w:t xml:space="preserve">چاپ: با عنوان «مجموعة احد عشر كتاباً في علم الاكـسیر» ،بمبئی، ۱۸۹۲م ،سنگی؛ پاریس، مطبعة فول غايتينة، ۵۴ص، ۱۹۲۸م</w:t>
      </w:r>
    </w:p>
    <w:p>
      <w:pPr>
        <w:pStyle w:val="BookText"/>
      </w:pPr>
      <w:r>
        <w:rPr>
          <w:rFonts w:ascii="IRNazanin" w:hAnsi="IRNazanin" w:eastAsia="IRNazanin" w:cs="IRNazanin"/>
          <w:lang w:bidi="fa-IR"/>
          <w:color w:val="111111"/>
          <w:sz w:val="28"/>
          <w:szCs w:val="28"/>
          <w:rtl/>
        </w:rPr>
        <w:t xml:space="preserve">[اعلام ۱: ۴۱۰؛ ریحانة الادب ۵: ۱۱۰؛ فهرست ابن ندیم ۴۲۱؛ تاريخ التراث العربي ۴: ۳۰۹؛ دنا ۸۰۹/۱ در دنا بین رساله های مختلف اسطقس اختلاط</w:t>
      </w:r>
    </w:p>
    <w:p>
      <w:pPr>
        <w:pStyle w:val="BookText"/>
      </w:pPr>
      <w:r>
        <w:rPr>
          <w:rFonts w:ascii="IRNazanin" w:hAnsi="IRNazanin" w:eastAsia="IRNazanin" w:cs="IRNazanin"/>
          <w:lang w:bidi="fa-IR"/>
          <w:color w:val="111111"/>
          <w:sz w:val="28"/>
          <w:szCs w:val="28"/>
          <w:rtl/>
        </w:rPr>
        <w:t xml:space="preserve">آمده است. ]</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Amiri" w:hAnsi="Amiri" w:eastAsia="Amiri" w:cs="Amiri"/>
          <w:lang w:bidi="ar-SA"/>
          <w:color w:val="111111"/>
          <w:sz w:val="28"/>
          <w:szCs w:val="28"/>
          <w:rtl/>
        </w:rPr>
        <w:t xml:space="preserve">١ - الكمال = منتخب تفسير الاسطقس الثالث؛ جابر بن حيان (۱۲۰- 198)</w:t>
      </w:r>
    </w:p>
    <w:p>
      <w:pPr>
        <w:pStyle w:val="BookText"/>
      </w:pPr>
      <w:r>
        <w:rPr>
          <w:rFonts w:ascii="Amiri" w:hAnsi="Amiri" w:eastAsia="Amiri" w:cs="Amiri"/>
          <w:lang w:bidi="ar-SA"/>
          <w:color w:val="111111"/>
          <w:sz w:val="28"/>
          <w:szCs w:val="28"/>
          <w:rtl/>
        </w:rPr>
        <w:t xml:space="preserve">٢- تفسير الاسطقس الثالث؛ جابر بن حيان (۱۲۰-۱۹۸)</w:t>
      </w:r>
    </w:p>
    <w:p>
      <w:pPr>
        <w:pStyle w:val="BookText"/>
      </w:pPr>
      <w:r>
        <w:rPr>
          <w:rFonts w:ascii="IRNazanin" w:hAnsi="IRNazanin" w:eastAsia="IRNazanin" w:cs="IRNazanin"/>
          <w:lang w:bidi="fa-IR"/>
          <w:color w:val="111111"/>
          <w:sz w:val="28"/>
          <w:szCs w:val="28"/>
          <w:rtl/>
        </w:rPr>
        <w:t xml:space="preserve">3- ذيل الاسطقس الثالث؛ جابر بن حیان (۱۲۰-۱۹۸)</w:t>
      </w:r>
    </w:p>
    <w:p>
      <w:pPr>
        <w:pStyle w:val="BookText"/>
      </w:pPr>
      <w:r>
        <w:rPr>
          <w:rFonts w:ascii="IRNazanin" w:hAnsi="IRNazanin" w:eastAsia="IRNazanin" w:cs="IRNazanin"/>
          <w:lang w:bidi="fa-IR"/>
          <w:color w:val="111111"/>
          <w:sz w:val="28"/>
          <w:szCs w:val="28"/>
          <w:rtl/>
        </w:rPr>
        <w:t xml:space="preserve">۱. قم؛ مرعشی؛ شماره نسخه: ۱۲۶۳۲/۲۰</w:t>
      </w:r>
    </w:p>
    <w:p>
      <w:pPr>
        <w:pStyle w:val="BookText"/>
      </w:pPr>
      <w:r>
        <w:rPr>
          <w:rFonts w:ascii="Amiri" w:hAnsi="Amiri" w:eastAsia="Amiri" w:cs="Amiri"/>
          <w:lang w:bidi="ar-SA"/>
          <w:color w:val="111111"/>
          <w:sz w:val="28"/>
          <w:szCs w:val="28"/>
          <w:rtl/>
        </w:rPr>
        <w:t xml:space="preserve">آغاز: قال الحمد لله و لا اله الا الله اما بعد حرام على من قرأ كتبناهذه المائة الاثناعشر قبل كتبنا هذه؛ انجام: برابر</w:t>
      </w:r>
    </w:p>
    <w:p>
      <w:pPr>
        <w:pStyle w:val="BookText"/>
      </w:pPr>
      <w:r>
        <w:rPr>
          <w:rFonts w:ascii="IRNazanin" w:hAnsi="IRNazanin" w:eastAsia="IRNazanin" w:cs="IRNazanin"/>
          <w:lang w:bidi="fa-IR"/>
          <w:color w:val="111111"/>
          <w:sz w:val="28"/>
          <w:szCs w:val="28"/>
          <w:rtl/>
        </w:rPr>
        <w:t xml:space="preserve">خط: نسخ  ریز، کا: بھائی بن احمد عاملی کاظمی، تا: اواخر قرن ۱۲ یا اوایل قرن ۱۳ق؛ مصحح؛ کاغذ ،فرنگی، ۱گ (۵۲)، ۵۸ سطر اندازه: 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٩سم [ف: ۳۲ - ۷۴]</w:t>
      </w:r>
    </w:p>
    <w:p>
      <w:pPr>
        <w:pStyle w:val="BookText"/>
      </w:pPr>
      <w:r>
        <w:rPr>
          <w:rFonts w:ascii="IRNazanin" w:hAnsi="IRNazanin" w:eastAsia="IRNazanin" w:cs="IRNazanin"/>
          <w:lang w:bidi="fa-IR"/>
          <w:color w:val="111111"/>
          <w:sz w:val="28"/>
          <w:szCs w:val="28"/>
          <w:rtl/>
        </w:rPr>
        <w:t xml:space="preserve">۲. تهران؛ ملک؛ شماره نسخه: ۶۲۰۶/۲۵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همراه با ذیل؛ خط: نسخ، بی کا، تا: قرن ۱۳؛ کاغذ: فرنگی، جلد: میشن قهوه ای ۶ ص (۳۹۱-۳۹۶)، ۲۳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۲۹سم [ ف: ۹ - ۲۶۱]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دانشگاه؛ شماره نسخه: ۴۹۱/۵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جا: حیدرآباد ۴گ (۵۸پ-۶۱ر). [ف: ۴  - 1022]</w:t>
      </w:r>
    </w:p>
    <w:p>
      <w:pPr>
        <w:pStyle w:val="BookText"/>
      </w:pPr>
      <w:r>
        <w:rPr>
          <w:rFonts w:ascii="IRNazanin" w:hAnsi="IRNazanin" w:eastAsia="IRNazanin" w:cs="IRNazanin"/>
          <w:lang w:bidi="fa-IR"/>
          <w:color w:val="111111"/>
          <w:sz w:val="28"/>
          <w:szCs w:val="28"/>
          <w:rtl/>
        </w:rPr>
        <w:t xml:space="preserve">قم؛ گلپایگانی؛ شماره نسخه: ۳۹۰/۶-۳/۱۰</w:t>
      </w:r>
    </w:p>
    <w:p>
      <w:pPr>
        <w:pStyle w:val="BookText"/>
      </w:pPr>
      <w:r>
        <w:rPr>
          <w:rFonts w:ascii="Amiri" w:hAnsi="Amiri" w:eastAsia="Amiri" w:cs="Amiri"/>
          <w:lang w:bidi="ar-SA"/>
          <w:color w:val="111111"/>
          <w:sz w:val="28"/>
          <w:szCs w:val="28"/>
          <w:rtl/>
        </w:rPr>
        <w:t xml:space="preserve">آغاز: بسمله و هو الرأى العلمى الذاتى قال الحمد لله ولا اله الا الله اما بعد حرام على من قرأ كتبنا هذه المأئة و الانثى عشر قبل كتبنا هذه ان يقواها على غير تأليف وعلى غير ترتيبها في ترسيم قراتها؛</w:t>
      </w:r>
    </w:p>
    <w:p>
      <w:pPr>
        <w:pStyle w:val="BookText"/>
      </w:pPr>
      <w:r>
        <w:rPr>
          <w:rFonts w:ascii="Amiri" w:hAnsi="Amiri" w:eastAsia="Amiri" w:cs="Amiri"/>
          <w:lang w:bidi="ar-SA"/>
          <w:color w:val="111111"/>
          <w:sz w:val="28"/>
          <w:szCs w:val="28"/>
          <w:rtl/>
        </w:rPr>
        <w:t xml:space="preserve">انجام: فى الحيطان فاذا احتجب عليه فاخرجه وخذ منه حاجتك و رده الى موضعه انشاء الله تعالى تم الكتاب الاسطقس الاس الاول</w:t>
      </w:r>
    </w:p>
    <w:p>
      <w:pPr>
        <w:pStyle w:val="BookText"/>
      </w:pPr>
      <w:r>
        <w:rPr>
          <w:rFonts w:ascii="IRNazanin" w:hAnsi="IRNazanin" w:eastAsia="IRNazanin" w:cs="IRNazanin"/>
          <w:lang w:bidi="fa-IR"/>
          <w:color w:val="111111"/>
          <w:sz w:val="28"/>
          <w:szCs w:val="28"/>
          <w:rtl/>
        </w:rPr>
        <w:t xml:space="preserve">خط: نسخ، بی  کا،  بی تا؛ مصحح؛ جلد: تیماج زیتونی، ۲گ، ۲۷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۳۰/۵سم [ف: ۱ - ۳۵۷]</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قم؛ گلپایگانی؛ شماره نسخه: ۶۶۹۴/۱۵/۳-۳۴/۶۴</w:t>
      </w:r>
    </w:p>
    <w:p>
      <w:pPr>
        <w:pStyle w:val="BookText"/>
      </w:pPr>
      <w:r>
        <w:rPr>
          <w:rFonts w:ascii="IRNazanin" w:hAnsi="IRNazanin" w:eastAsia="IRNazanin" w:cs="IRNazanin"/>
          <w:lang w:bidi="fa-IR"/>
          <w:color w:val="111111"/>
          <w:sz w:val="28"/>
          <w:szCs w:val="28"/>
          <w:rtl/>
        </w:rPr>
        <w:t xml:space="preserve">انجام: برابر</w:t>
      </w:r>
    </w:p>
    <w:p>
      <w:pPr>
        <w:pStyle w:val="BookText"/>
      </w:pPr>
      <w:r>
        <w:rPr>
          <w:rFonts w:ascii="IRNazanin" w:hAnsi="IRNazanin" w:eastAsia="IRNazanin" w:cs="IRNazanin"/>
          <w:lang w:bidi="fa-IR"/>
          <w:color w:val="111111"/>
          <w:sz w:val="28"/>
          <w:szCs w:val="28"/>
          <w:rtl/>
        </w:rPr>
        <w:t xml:space="preserve">همراه با ذیل؛ خط ،شکسته، نستعلیق، بی کا، بی تا؛ مصحح؛ جلد: تیماج قهوه ای مجدول با ترنج و سرترنج، ۱۶ سطر، اندازه:۱۴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 - ۳۵۸]</w:t>
      </w:r>
    </w:p>
    <w:p>
      <w:pPr>
        <w:pStyle w:val="BookText"/>
      </w:pPr>
      <w:r>
        <w:rPr>
          <w:rFonts w:ascii="Amiri" w:hAnsi="Amiri" w:eastAsia="Amiri" w:cs="Amiri"/>
          <w:lang w:bidi="ar-SA"/>
          <w:color w:val="111111"/>
          <w:sz w:val="28"/>
          <w:szCs w:val="28"/>
          <w:rtl/>
        </w:rPr>
        <w:t xml:space="preserve">«الاسطقس الثالث ( ذيل ) » ذيل الاسطقس الثالث</w:t>
      </w:r>
    </w:p>
    <w:p>
      <w:pPr>
        <w:pStyle w:val="Heading3"/>
      </w:pPr>
      <w:bookmarkStart w:id="1553" w:name="_Toc1075"/>
      <w:r>
        <w:t>الاسطنبولية فى الواجبات العينية = ما لا يسع  المكلف جهله / فقه / عربی</w:t>
      </w:r>
      <w:bookmarkEnd w:id="1553"/>
    </w:p>
    <w:p>
      <w:pPr>
        <w:pStyle w:val="BookText"/>
      </w:pPr>
      <w:r>
        <w:rPr>
          <w:rFonts w:ascii="Times New Roman" w:hAnsi="Times New Roman" w:eastAsia="Times New Roman" w:cs="Times New Roman"/>
          <w:lang w:val="en-US" w:bidi="en-US"/>
          <w:color w:val="111111"/>
          <w:sz w:val="28"/>
          <w:szCs w:val="28"/>
          <w:rtl/>
        </w:rPr>
        <w:t xml:space="preserve">istanbulyya fi-l wājibāt-il ‘aynīyya = mā-lā yasa‘-ul</w:t>
      </w:r>
    </w:p>
    <w:p>
      <w:pPr>
        <w:pStyle w:val="BookText"/>
      </w:pPr>
      <w:r>
        <w:rPr>
          <w:rFonts w:ascii="Times New Roman" w:hAnsi="Times New Roman" w:eastAsia="Times New Roman" w:cs="Times New Roman"/>
          <w:lang w:val="en-US" w:bidi="en-US"/>
          <w:color w:val="111111"/>
          <w:sz w:val="28"/>
          <w:szCs w:val="28"/>
          <w:rtl/>
        </w:rPr>
        <w:t xml:space="preserve">mukallaf jahl-u-h</w:t>
      </w:r>
    </w:p>
    <w:p>
      <w:pPr>
        <w:pStyle w:val="BookText"/>
      </w:pPr>
      <w:r>
        <w:rPr>
          <w:rFonts w:ascii="IRNazanin" w:hAnsi="IRNazanin" w:eastAsia="IRNazanin" w:cs="IRNazanin"/>
          <w:lang w:bidi="fa-IR"/>
          <w:color w:val="111111"/>
          <w:sz w:val="28"/>
          <w:szCs w:val="28"/>
          <w:rtl/>
        </w:rPr>
        <w:t xml:space="preserve">شهید ثانی، زین الدین بن  علی، ۹۱۱ – ۹۶۵ قمری</w:t>
      </w:r>
    </w:p>
    <w:p>
      <w:pPr>
        <w:pStyle w:val="BookText"/>
      </w:pPr>
      <w:r>
        <w:rPr>
          <w:rFonts w:ascii="Times New Roman" w:hAnsi="Times New Roman" w:eastAsia="Times New Roman" w:cs="Times New Roman"/>
          <w:lang w:val="en-US" w:bidi="en-US"/>
          <w:color w:val="111111"/>
          <w:sz w:val="28"/>
          <w:szCs w:val="28"/>
          <w:rtl/>
        </w:rPr>
        <w:t xml:space="preserve">(šahīd-e sānī, zayn-od-dīn ebn-e ‘alī (1506 - 1558)</w:t>
      </w:r>
    </w:p>
    <w:p>
      <w:pPr>
        <w:pStyle w:val="BookText"/>
      </w:pPr>
      <w:r>
        <w:rPr>
          <w:rFonts w:ascii="IRNazanin" w:hAnsi="IRNazanin" w:eastAsia="IRNazanin" w:cs="IRNazanin"/>
          <w:lang w:bidi="fa-IR"/>
          <w:color w:val="111111"/>
          <w:sz w:val="28"/>
          <w:szCs w:val="28"/>
          <w:rtl/>
        </w:rPr>
        <w:t xml:space="preserve">تاریخ تأليف: ۱۲ صفر ۹۵۲ق</w:t>
      </w:r>
    </w:p>
    <w:p>
      <w:pPr>
        <w:pStyle w:val="BookText"/>
      </w:pPr>
      <w:r>
        <w:rPr>
          <w:rFonts w:ascii="IRNazanin" w:hAnsi="IRNazanin" w:eastAsia="IRNazanin" w:cs="IRNazanin"/>
          <w:lang w:bidi="fa-IR"/>
          <w:color w:val="111111"/>
          <w:sz w:val="28"/>
          <w:szCs w:val="28"/>
          <w:rtl/>
        </w:rPr>
        <w:t xml:space="preserve">رساله مختصر و مفیدی است در اصول عقاید و واجبات عمليه عینیه از طهارت و زکوة و خمس و صوم و حج که فراگیری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312" w:name="pg20365_260433"/>
    <w:bookmarkEnd w:id="312"/>
    <w:p>
      <w:pPr>
        <w:pStyle w:val="BookText"/>
      </w:pPr>
      <w:r>
        <w:rPr>
          <w:rFonts w:ascii="IRNazanin" w:hAnsi="IRNazanin" w:eastAsia="IRNazanin" w:cs="IRNazanin"/>
          <w:lang w:bidi="fa-IR"/>
          <w:color w:val="111111"/>
          <w:sz w:val="28"/>
          <w:szCs w:val="28"/>
          <w:rtl/>
        </w:rPr>
        <w:t xml:space="preserve">آنها بر همگان واجب و حتمی است و آن را در یک مجلـس  تألیف نموده است.</w:t>
      </w:r>
    </w:p>
    <w:p>
      <w:pPr>
        <w:pStyle w:val="BookText"/>
      </w:pPr>
      <w:r>
        <w:rPr>
          <w:rFonts w:ascii="Amiri" w:hAnsi="Amiri" w:eastAsia="Amiri" w:cs="Amiri"/>
          <w:lang w:bidi="ar-SA"/>
          <w:color w:val="111111"/>
          <w:sz w:val="28"/>
          <w:szCs w:val="28"/>
          <w:rtl/>
        </w:rPr>
        <w:t xml:space="preserve">آغاز: الحمد لله رب العالمين وصلى الله على محمد و عترته الطاهرين. اما بعد، فهذه رسالة مشتملة على ما لا يسع المكلف جهله من معرفت الله  تعالى، و ما يتبعها من اصول الدين،و العبادات العينية على وجه الاختصار فأول ما يجب على المكلف أن يعرف أن الله تعالى موجود واجب الوجود.</w:t>
      </w:r>
    </w:p>
    <w:p>
      <w:pPr>
        <w:pStyle w:val="BookText"/>
      </w:pPr>
      <w:r>
        <w:rPr>
          <w:rFonts w:ascii="IRNazanin" w:hAnsi="IRNazanin" w:eastAsia="IRNazanin" w:cs="IRNazanin"/>
          <w:lang w:bidi="fa-IR"/>
          <w:color w:val="111111"/>
          <w:sz w:val="28"/>
          <w:szCs w:val="28"/>
          <w:rtl/>
        </w:rPr>
        <w:t xml:space="preserve">انجام: لوجوب الجميع عليه بالأصالة و على بالنيابة قربة إلى الله [لو اقتصر على (نيابة عن فلان) أو (عن من استوجرت عنه) أجـزاء، لفظاً أو قصداً، و كذا في. ..] وليكن هذا آخر ما ذكرناه في هـذه الرسالة، جعلها الله مقربه إلى رضاه يوم العرض عليه كما جعلها مختومة بالقربة إليه. فرغ منها مؤلفها في سنة اثنتين و خمسين  و تسعمائة في مجلس واحد و كان الخلاص في ثاني عشرشهر صفر ختم بالخير و الظفر. والحمد لله رب العالمين وصلى الله علی محمد و آل محمد الطيبين الطاهرين وسلم كثيرا كثيرا.</w:t>
      </w:r>
    </w:p>
    <w:p>
      <w:pPr>
        <w:pStyle w:val="BookText"/>
      </w:pPr>
      <w:r>
        <w:rPr>
          <w:rFonts w:ascii="IRNazanin" w:hAnsi="IRNazanin" w:eastAsia="IRNazanin" w:cs="IRNazanin"/>
          <w:lang w:bidi="fa-IR"/>
          <w:color w:val="111111"/>
          <w:sz w:val="28"/>
          <w:szCs w:val="28"/>
          <w:rtl/>
        </w:rPr>
        <w:t xml:space="preserve">چاپ :تحقیق الشيخاحمد العابدى و الشيخ رضا المختاری، تراثنا، العدد الاول [۲۲] السنة السادسة، محرم الحرام ۴۱۱ق (قم، موسسة آل البيت لاحياء التراث  )</w:t>
      </w:r>
    </w:p>
    <w:p>
      <w:pPr>
        <w:pStyle w:val="BookText"/>
      </w:pPr>
      <w:r>
        <w:rPr>
          <w:rFonts w:ascii="Amiri" w:hAnsi="Amiri" w:eastAsia="Amiri" w:cs="Amiri"/>
          <w:lang w:bidi="ar-SA"/>
          <w:color w:val="111111"/>
          <w:sz w:val="28"/>
          <w:szCs w:val="28"/>
          <w:rtl/>
        </w:rPr>
        <w:t xml:space="preserve">[دنا ۷۷۳/۵ (۶ نسخه) رسالة الاسطنبولية فى الواجبات العينية)]</w:t>
      </w:r>
    </w:p>
    <w:p>
      <w:pPr>
        <w:pStyle w:val="BookText"/>
      </w:pPr>
      <w:r>
        <w:rPr>
          <w:rFonts w:ascii="IRNazanin" w:hAnsi="IRNazanin" w:eastAsia="IRNazanin" w:cs="IRNazanin"/>
          <w:lang w:bidi="fa-IR"/>
          <w:color w:val="111111"/>
          <w:sz w:val="28"/>
          <w:szCs w:val="28"/>
          <w:rtl/>
        </w:rPr>
        <w:t xml:space="preserve">۱. تهران؛ مجلس؛ شماره نسخه: ۱۶۰۰۱/۲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سه شنبه ۱۵ محرم ۹۶۱ق؛ مصحح، رکابه دار؛ جلد: تیماج فرنگی، ۶گ (گ ۴۴پ-۴۹پ)، ۱۷ سطر،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۴۴ - ۱۸۷]</w:t>
      </w:r>
    </w:p>
    <w:p>
      <w:pPr>
        <w:pStyle w:val="BookText"/>
      </w:pPr>
      <w:r>
        <w:rPr>
          <w:rFonts w:ascii="IRNazanin" w:hAnsi="IRNazanin" w:eastAsia="IRNazanin" w:cs="IRNazanin"/>
          <w:lang w:bidi="fa-IR"/>
          <w:color w:val="111111"/>
          <w:sz w:val="28"/>
          <w:szCs w:val="28"/>
          <w:rtl/>
        </w:rPr>
        <w:t xml:space="preserve">۲ . مشهد؛ رضوی؛ شماره نسخه: ۷۲۴۴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علوان بن برکه بن حسین بن على بن شرفالدین بن ناصرالدین شیر عاوی  جزایری، تا: ۲۵ شوال ۹۶۶ق؛ این نسـخه را کاتب نزد مولانا فضل الله بن محمد کعبی خوانده و مولانا درآخر برای کاتب گواهی قرائت و هم روایت آن را قلمی داشـت، مصحح ؛ کاغذ: نخودی ،جلد: مقوا، عطف با روکش  پارچه، ۵گ، مختلف السطر،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۵ - ۴۹۵]</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یزد؛ وزیری؛ شماره نسخه: ۲۲۸۴/۵</w:t>
      </w:r>
    </w:p>
    <w:p>
      <w:pPr>
        <w:pStyle w:val="BookText"/>
      </w:pPr>
      <w:r>
        <w:rPr>
          <w:rFonts w:ascii="Amiri" w:hAnsi="Amiri" w:eastAsia="Amiri" w:cs="Amiri"/>
          <w:lang w:bidi="ar-SA"/>
          <w:color w:val="111111"/>
          <w:sz w:val="28"/>
          <w:szCs w:val="28"/>
          <w:rtl/>
        </w:rPr>
        <w:t xml:space="preserve">آغاز: برابر؛ انجام: و لا ما لا يوكل لحمه عدا.</w:t>
      </w:r>
    </w:p>
    <w:p>
      <w:pPr>
        <w:pStyle w:val="BookText"/>
      </w:pPr>
      <w:r>
        <w:rPr>
          <w:rFonts w:ascii="IRNazanin" w:hAnsi="IRNazanin" w:eastAsia="IRNazanin" w:cs="IRNazanin"/>
          <w:lang w:bidi="fa-IR"/>
          <w:color w:val="111111"/>
          <w:sz w:val="28"/>
          <w:szCs w:val="28"/>
          <w:rtl/>
        </w:rPr>
        <w:t xml:space="preserve">تذکر: نام مؤلف و کتاب به قرینه آغاز نسخه تعیین شد؛ کا: رسـتم بن ملکشاه تفرشی، تا: ۹۷۴ق؛ افتادگی: انجام؛ کاغذ: فرنگی  ، 6گ (۱۷۴-۱۶۹)، ۱۰ - ۱۴ سطر (8</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ف: ۴ - ۱۲۳۲]</w:t>
      </w:r>
    </w:p>
    <w:p>
      <w:pPr>
        <w:pStyle w:val="BookText"/>
      </w:pPr>
      <w:r>
        <w:rPr>
          <w:rFonts w:ascii="IRNazanin" w:hAnsi="IRNazanin" w:eastAsia="IRNazanin" w:cs="IRNazanin"/>
          <w:lang w:bidi="fa-IR"/>
          <w:color w:val="111111"/>
          <w:sz w:val="28"/>
          <w:szCs w:val="28"/>
          <w:rtl/>
        </w:rPr>
        <w:t xml:space="preserve">۴. مشهد؛ رضوی؛ شماره نسخه: ۷۴۳۷</w:t>
      </w:r>
    </w:p>
    <w:p>
      <w:pPr>
        <w:pStyle w:val="BookText"/>
      </w:pPr>
      <w:r>
        <w:rPr>
          <w:rFonts w:ascii="Amiri" w:hAnsi="Amiri" w:eastAsia="Amiri" w:cs="Amiri"/>
          <w:lang w:bidi="ar-SA"/>
          <w:color w:val="111111"/>
          <w:sz w:val="28"/>
          <w:szCs w:val="28"/>
          <w:rtl/>
        </w:rPr>
        <w:t xml:space="preserve">آغاز: برابر؛ انجام:وليكن هذا آخر مما ذكرناه فى هذه الرسالة - يوم الأربع من شهر محرم الحرام سنة ۱۲۶هـ (كذا)</w:t>
      </w:r>
    </w:p>
    <w:p>
      <w:pPr>
        <w:pStyle w:val="BookText"/>
      </w:pPr>
      <w:r>
        <w:rPr>
          <w:rFonts w:ascii="IRNazanin" w:hAnsi="IRNazanin" w:eastAsia="IRNazanin" w:cs="IRNazanin"/>
          <w:lang w:bidi="fa-IR"/>
          <w:color w:val="111111"/>
          <w:sz w:val="28"/>
          <w:szCs w:val="28"/>
          <w:rtl/>
        </w:rPr>
        <w:t xml:space="preserve">خط: نستعلیق، کا: غلامحسین بن علی اصغر  دربندی، تا: دوشنبه ذیقعده ۱۲۸۸ق؛ کاغذ ،فرنگی ،جلد: مقوا، ۵گ، ۲۲ سطر، اندازه:  ۱۵/۴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۲۱/۳سم [ف: (۲۰- ۳۸]</w:t>
      </w:r>
    </w:p>
    <w:p>
      <w:pPr>
        <w:pStyle w:val="BookText"/>
      </w:pPr>
      <w:r>
        <w:rPr>
          <w:rFonts w:ascii="IRNazanin" w:hAnsi="IRNazanin" w:eastAsia="IRNazanin" w:cs="IRNazanin"/>
          <w:lang w:bidi="fa-IR"/>
          <w:color w:val="111111"/>
          <w:sz w:val="28"/>
          <w:szCs w:val="28"/>
          <w:rtl/>
        </w:rPr>
        <w:t xml:space="preserve">۵. خوانسار؛ فاضل؛ شماره نسخه: ۱۵۲/۱۴</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تذکر: در فهرست به نام «الاعتقادية» آمده است؛ خط: نسخ، کا: سید ابوالقاسم موسوی  اصفهانی، تا: ذیحجه ۱۳۲۳ق؛ جلد: تیماج  زرد ساده، ۱۴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۱۹/۵سم [ف: ۱ - ۱۱۴]</w:t>
      </w:r>
    </w:p>
    <w:p>
      <w:pPr>
        <w:pStyle w:val="BookText"/>
      </w:pPr>
      <w:r>
        <w:rPr>
          <w:rFonts w:ascii="IRNazanin" w:hAnsi="IRNazanin" w:eastAsia="IRNazanin" w:cs="IRNazanin"/>
          <w:lang w:bidi="fa-IR"/>
          <w:color w:val="111111"/>
          <w:sz w:val="28"/>
          <w:szCs w:val="28"/>
          <w:rtl/>
        </w:rPr>
        <w:t xml:space="preserve">6.مشهد؛ رضوی؛ شماره نسخه: ۶۱۹۷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تحریری، بی کا، بی تا؛ پس از این ضمن سه صفحه، قصیده ای است در ۴۳ بیت که کاتب آن را به نام «دره» ضبط  کرده است، بیت اول آن: «و آل و صحب اجمعین و تابع *** و تابعهم من كل انس و جنتی» بیت  آخر: «و آل و صحب اجمعین و تابع ***تابعهم من كل انس و جنتی»؛ کاغذ: نخودی، جلد: مقوا با روکش پارچه، ۱۵گ، مختلف السطر،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۵ - ۴۹۶]</w:t>
      </w:r>
    </w:p>
    <w:p>
      <w:pPr>
        <w:pStyle w:val="BookText"/>
      </w:pPr>
      <w:r>
        <w:rPr>
          <w:rFonts w:ascii="IRNazanin" w:hAnsi="IRNazanin" w:eastAsia="IRNazanin" w:cs="IRNazanin"/>
          <w:lang w:bidi="fa-IR"/>
          <w:color w:val="111111"/>
          <w:sz w:val="28"/>
          <w:szCs w:val="28"/>
          <w:rtl/>
        </w:rPr>
        <w:t xml:space="preserve">۷. تهران؛ مجلس؛ شماره نسخه: ۴۹۰۰/۱۱۳</w:t>
      </w:r>
    </w:p>
    <w:p>
      <w:pPr>
        <w:pStyle w:val="BookText"/>
      </w:pPr>
      <w:r>
        <w:rPr>
          <w:rFonts w:ascii="IRNazanin" w:hAnsi="IRNazanin" w:eastAsia="IRNazanin" w:cs="IRNazanin"/>
          <w:lang w:bidi="fa-IR"/>
          <w:color w:val="111111"/>
          <w:sz w:val="28"/>
          <w:szCs w:val="28"/>
          <w:rtl/>
        </w:rPr>
        <w:t xml:space="preserve">آغاز: و اعلم یا نبى ان الحكمة الآلهية اقتضت التكليف بهذه الاغسال عند حصول هذه الاخباث ؛انجام: يا بنى تكن من اهل الاعتبار و تفکر و تبصر ففر بالاستبصار فسبحان صاحب الالطاف  الخفية و الحكمة الربانية، تعالى عما يقول المشركون علواً كبيراً</w:t>
      </w:r>
    </w:p>
    <w:p>
      <w:pPr>
        <w:pStyle w:val="BookText"/>
      </w:pPr>
      <w:r>
        <w:rPr>
          <w:rFonts w:ascii="IRNazanin" w:hAnsi="IRNazanin" w:eastAsia="IRNazanin" w:cs="IRNazanin"/>
          <w:lang w:bidi="fa-IR"/>
          <w:color w:val="111111"/>
          <w:sz w:val="28"/>
          <w:szCs w:val="28"/>
          <w:rtl/>
        </w:rPr>
        <w:t xml:space="preserve">بخشی از آن؛ خط: نسخ، بی کا، بی تا، کاغذ: سپاهانی، جلد: تیماج قهوه ای مغزی  دار، 1گ (۳۰۸ پ)، ۲۵ سطر (۲۹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۳۵سم [ف: ۱۴ - ۱۰۶]</w:t>
      </w:r>
    </w:p>
    <w:p>
      <w:pPr>
        <w:pStyle w:val="BookText"/>
      </w:pPr>
      <w:r>
        <w:rPr>
          <w:rFonts w:ascii="Amiri" w:hAnsi="Amiri" w:eastAsia="Amiri" w:cs="Amiri"/>
          <w:lang w:bidi="ar-SA"/>
          <w:color w:val="111111"/>
          <w:sz w:val="28"/>
          <w:szCs w:val="28"/>
          <w:rtl/>
        </w:rPr>
        <w:t xml:space="preserve">«اسعاد ثمرة الفؤاد على سعادة الدنيا و المعاد » كشف المحجة  لثمرة المهجة</w:t>
      </w:r>
    </w:p>
    <w:p>
      <w:pPr>
        <w:pStyle w:val="Heading3"/>
      </w:pPr>
      <w:bookmarkStart w:id="1554" w:name="_Toc1076"/>
      <w:r>
        <w:t>الاسعار / هیئت / عربی</w:t>
      </w:r>
      <w:bookmarkEnd w:id="1554"/>
    </w:p>
    <w:p>
      <w:pPr>
        <w:pStyle w:val="BookText"/>
      </w:pPr>
      <w:r>
        <w:rPr>
          <w:rFonts w:ascii="Times New Roman" w:hAnsi="Times New Roman" w:eastAsia="Times New Roman" w:cs="Times New Roman"/>
          <w:lang w:val="en-US" w:bidi="en-US"/>
          <w:color w:val="111111"/>
          <w:sz w:val="28"/>
          <w:szCs w:val="28"/>
          <w:rtl/>
        </w:rPr>
        <w:t xml:space="preserve">al-as‘ār</w:t>
      </w:r>
    </w:p>
    <w:p>
      <w:pPr>
        <w:pStyle w:val="BookText"/>
      </w:pPr>
      <w:r>
        <w:rPr>
          <w:rFonts w:ascii="IRNazanin" w:hAnsi="IRNazanin" w:eastAsia="IRNazanin" w:cs="IRNazanin"/>
          <w:lang w:bidi="fa-IR"/>
          <w:color w:val="111111"/>
          <w:sz w:val="28"/>
          <w:szCs w:val="28"/>
          <w:rtl/>
        </w:rPr>
        <w:t xml:space="preserve">سجزی، احمد بن محمد،  ۳۳۰ - ۴۱۵ قمری</w:t>
      </w:r>
    </w:p>
    <w:p>
      <w:pPr>
        <w:pStyle w:val="BookText"/>
      </w:pPr>
      <w:r>
        <w:rPr>
          <w:rFonts w:ascii="Times New Roman" w:hAnsi="Times New Roman" w:eastAsia="Times New Roman" w:cs="Times New Roman"/>
          <w:lang w:val="en-US" w:bidi="en-US"/>
          <w:color w:val="111111"/>
          <w:sz w:val="28"/>
          <w:szCs w:val="28"/>
          <w:rtl/>
        </w:rPr>
        <w:t xml:space="preserve">(sejzī, ahmad ebn-e mohammad (942 - 1025)</w:t>
      </w:r>
    </w:p>
    <w:p>
      <w:pPr>
        <w:pStyle w:val="BookText"/>
      </w:pPr>
      <w:r>
        <w:rPr>
          <w:rFonts w:ascii="IRNazanin" w:hAnsi="IRNazanin" w:eastAsia="IRNazanin" w:cs="IRNazanin"/>
          <w:lang w:bidi="fa-IR"/>
          <w:color w:val="111111"/>
          <w:sz w:val="28"/>
          <w:szCs w:val="28"/>
          <w:rtl/>
        </w:rPr>
        <w:t xml:space="preserve">یکی از اجزای «جامع شاهی» اوست در ده «جمله»: ۱. معرفة مواضع الاستدلال التي يعرف منها حال الاسعار؛ ٢. معرفة الادلاء  التي بها يعرف حال الاسعار من الزيادة و النقصان؛ ٣. معرفة الاستدلال باشكال الكواكب فى مواضعها على حال الاسعار؛ ۴. معرفة تفصيل الادلاء فى اوقات الاستدلال بها على حال الاسعار .۵ .معرفة اوقات الاستدلال بتغير حال الاسعار عن الزيادة الى النقصان او من النقصان الى الزيادة .۶ .ما نية الشيء الذي يقع عليه الغلا و الرخص؛ ۷. المواضع التي يدل عليها حال السعر؛ ٨. دلالات الاشخاص العالية و اوضاع الفلك مفردا على معرفة كيفية حال الاسعار؛ ۹. الاستدلال بالسهام و المعاونة بها على حال الاسعار؛ ۱۰. الاعسارات من قول القدماء و المحدثين و ما قد  جربناها في زماننا.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313" w:name="pg20365_260434"/>
    <w:bookmarkEnd w:id="313"/>
    <w:p>
      <w:pPr>
        <w:pStyle w:val="BookText"/>
      </w:pPr>
      <w:r>
        <w:rPr>
          <w:rFonts w:ascii="IRNazanin" w:hAnsi="IRNazanin" w:eastAsia="IRNazanin" w:cs="IRNazanin"/>
          <w:lang w:bidi="fa-IR"/>
          <w:color w:val="111111"/>
          <w:sz w:val="28"/>
          <w:szCs w:val="28"/>
          <w:rtl/>
        </w:rPr>
        <w:t xml:space="preserve">آغاز: قال احمد بن عبدالجليل السجزی رحمه الله نرید ان يستأنف رسالة فى المعنى الذى يشتمل على حال الاسعار من العزة و الاتضاع وكيفية معرفتها انجام: الجملة العاشرة فى الاعتبارات آخر من قول القدماء و المحدثين و ما قد جربناها في زماننا هذا آخر ما علمه من هذا الکتاب الی ان یسر الله فاتمم الاعتبارات ان شاء الله  وحده</w:t>
      </w:r>
    </w:p>
    <w:p>
      <w:pPr>
        <w:pStyle w:val="BookText"/>
      </w:pPr>
      <w:r>
        <w:rPr>
          <w:rFonts w:ascii="IRNazanin" w:hAnsi="IRNazanin" w:eastAsia="IRNazanin" w:cs="IRNazanin"/>
          <w:lang w:bidi="fa-IR"/>
          <w:color w:val="111111"/>
          <w:sz w:val="28"/>
          <w:szCs w:val="28"/>
          <w:rtl/>
        </w:rPr>
        <w:t xml:space="preserve">[ دنا ۸۰۹/۱ (۳ نسخه)؛ فهرستواره ۲۸۱۴/۴ «اسعار»]</w:t>
      </w:r>
    </w:p>
    <w:p>
      <w:pPr>
        <w:pStyle w:val="BookText"/>
      </w:pPr>
      <w:r>
        <w:rPr>
          <w:rFonts w:ascii="IRNazanin" w:hAnsi="IRNazanin" w:eastAsia="IRNazanin" w:cs="IRNazanin"/>
          <w:lang w:bidi="fa-IR"/>
          <w:color w:val="111111"/>
          <w:sz w:val="28"/>
          <w:szCs w:val="28"/>
          <w:rtl/>
        </w:rPr>
        <w:t xml:space="preserve">۱. تهران؛ مهدوی؛ شماره نسخه: ۳۰۶/۱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پخته، بی کا، تا: قرن ۱۱؛ با یادداشت هایی به تاریخ ۱۰۹۴-۱۰۷۹ق؛ ۲گ (۳-۴) [ نشریه: ۲ - ۱۰۸]</w:t>
      </w:r>
    </w:p>
    <w:p>
      <w:pPr>
        <w:pStyle w:val="BookText"/>
      </w:pPr>
      <w:r>
        <w:rPr>
          <w:rFonts w:ascii="IRNazanin" w:hAnsi="IRNazanin" w:eastAsia="IRNazanin" w:cs="IRNazanin"/>
          <w:lang w:bidi="fa-IR"/>
          <w:color w:val="111111"/>
          <w:sz w:val="28"/>
          <w:szCs w:val="28"/>
          <w:rtl/>
        </w:rPr>
        <w:t xml:space="preserve">تهران؛ دائرة المعارف؛ شماره نسخه: ۳۵۸/۱- عکسی</w:t>
      </w:r>
    </w:p>
    <w:p>
      <w:pPr>
        <w:pStyle w:val="BookText"/>
      </w:pPr>
      <w:r>
        <w:rPr>
          <w:rFonts w:ascii="IRNazanin" w:hAnsi="IRNazanin" w:eastAsia="IRNazanin" w:cs="IRNazanin"/>
          <w:lang w:bidi="fa-IR"/>
          <w:color w:val="111111"/>
          <w:sz w:val="28"/>
          <w:szCs w:val="28"/>
          <w:rtl/>
        </w:rPr>
        <w:t xml:space="preserve">اصل نسخه: همان نسخه بالا [ف: ۲ - ۲۴]</w:t>
      </w:r>
    </w:p>
    <w:p>
      <w:pPr>
        <w:pStyle w:val="BookText"/>
      </w:pPr>
      <w:r>
        <w:rPr>
          <w:rFonts w:ascii="IRNazanin" w:hAnsi="IRNazanin" w:eastAsia="IRNazanin" w:cs="IRNazanin"/>
          <w:lang w:bidi="fa-IR"/>
          <w:color w:val="111111"/>
          <w:sz w:val="28"/>
          <w:szCs w:val="28"/>
          <w:rtl/>
        </w:rPr>
        <w:t xml:space="preserve">۲. تهران؛ ملی؛ شماره نسخه: ۱۶۳۴/۶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۱۳؛ کاغذ: فرنگی، جلد: تیماج مشکی مقوایی، ۶ ص( ۱۸۴ - ۱۸۹)، ۱۷ سطر (9</w:t>
      </w:r>
      <w:r>
        <w:rPr>
          <w:rFonts w:ascii="Times New Roman" w:hAnsi="Times New Roman" w:eastAsia="Times New Roman" w:cs="Times New Roman"/>
          <w:lang w:val="en-US" w:bidi="en-US"/>
          <w:color w:val="111111"/>
          <w:sz w:val="28"/>
          <w:szCs w:val="28"/>
          <w:rtl/>
        </w:rPr>
        <w:t xml:space="preserve">×13/5) </w:t>
      </w:r>
      <w:r>
        <w:rPr>
          <w:rFonts w:ascii="IRNazanin" w:hAnsi="IRNazanin" w:eastAsia="IRNazanin" w:cs="IRNazanin"/>
          <w:lang w:bidi="fa-IR"/>
          <w:color w:val="111111"/>
          <w:sz w:val="28"/>
          <w:szCs w:val="28"/>
          <w:rtl/>
        </w:rPr>
        <w:t xml:space="preserve">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۱۰ - ۲۰۲]</w:t>
      </w:r>
    </w:p>
    <w:p>
      <w:pPr>
        <w:pStyle w:val="BookText"/>
      </w:pPr>
      <w:r>
        <w:rPr>
          <w:rFonts w:ascii="IRNazanin" w:hAnsi="IRNazanin" w:eastAsia="IRNazanin" w:cs="IRNazanin"/>
          <w:lang w:bidi="fa-IR"/>
          <w:color w:val="111111"/>
          <w:sz w:val="28"/>
          <w:szCs w:val="28"/>
          <w:rtl/>
        </w:rPr>
        <w:t xml:space="preserve">3.مشهد ؛رضوی؛ شماره نسخه: ۶۳۵۰/۷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محمد محسن بن محمد حسین، تا: قرن ۱۳؛ دارای جداول؛ كاغذ: سفید فرنگی و آهار مهره، جلد: تیماج، ۵ص (۱۶۸-۱۶۴)، ۲۰ سطر (9</w:t>
      </w:r>
      <w:r>
        <w:rPr>
          <w:rFonts w:ascii="Times New Roman" w:hAnsi="Times New Roman" w:eastAsia="Times New Roman" w:cs="Times New Roman"/>
          <w:lang w:val="en-US" w:bidi="en-US"/>
          <w:color w:val="111111"/>
          <w:sz w:val="28"/>
          <w:szCs w:val="28"/>
          <w:rtl/>
        </w:rPr>
        <w:t xml:space="preserve">×15/7) </w:t>
      </w:r>
      <w:r>
        <w:rPr>
          <w:rFonts w:ascii="IRNazanin" w:hAnsi="IRNazanin" w:eastAsia="IRNazanin" w:cs="IRNazanin"/>
          <w:lang w:bidi="fa-IR"/>
          <w:color w:val="111111"/>
          <w:sz w:val="28"/>
          <w:szCs w:val="28"/>
          <w:rtl/>
        </w:rPr>
        <w:t xml:space="preserve">اندازه: ۱۴/۳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 ف: 8- 122]</w:t>
      </w:r>
    </w:p>
    <w:p>
      <w:pPr>
        <w:pStyle w:val="BookText"/>
      </w:pPr>
      <w:r>
        <w:rPr>
          <w:rFonts w:ascii="IRNazanin" w:hAnsi="IRNazanin" w:eastAsia="IRNazanin" w:cs="IRNazanin"/>
          <w:lang w:bidi="fa-IR"/>
          <w:color w:val="111111"/>
          <w:sz w:val="28"/>
          <w:szCs w:val="28"/>
          <w:rtl/>
        </w:rPr>
        <w:t xml:space="preserve">4.تهران؛ مجلس؛ شماره نسخه: ۱۷۴/۷</w:t>
      </w:r>
    </w:p>
    <w:p>
      <w:pPr>
        <w:pStyle w:val="BookText"/>
      </w:pPr>
      <w:r>
        <w:rPr>
          <w:rFonts w:ascii="IRNazanin" w:hAnsi="IRNazanin" w:eastAsia="IRNazanin" w:cs="IRNazanin"/>
          <w:lang w:bidi="fa-IR"/>
          <w:color w:val="111111"/>
          <w:sz w:val="28"/>
          <w:szCs w:val="28"/>
          <w:rtl/>
        </w:rPr>
        <w:t xml:space="preserve">بی کا، بی تا، اندازه :۲۰/۵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۲۹سم [ف: ۲ - ۹۴]</w:t>
      </w:r>
    </w:p>
    <w:p>
      <w:pPr>
        <w:pStyle w:val="BookText"/>
      </w:pPr>
      <w:r>
        <w:rPr>
          <w:rFonts w:ascii="IRNazanin" w:hAnsi="IRNazanin" w:eastAsia="IRNazanin" w:cs="IRNazanin"/>
          <w:lang w:bidi="fa-IR"/>
          <w:color w:val="111111"/>
          <w:sz w:val="28"/>
          <w:szCs w:val="28"/>
          <w:rtl/>
        </w:rPr>
        <w:t xml:space="preserve">۵. تهران؛ مجلس؛ شماره نسخه: ۶۴۱۵/۲</w:t>
      </w:r>
    </w:p>
    <w:p>
      <w:pPr>
        <w:pStyle w:val="BookText"/>
      </w:pPr>
      <w:r>
        <w:rPr>
          <w:rFonts w:ascii="IRNazanin" w:hAnsi="IRNazanin" w:eastAsia="IRNazanin" w:cs="IRNazanin"/>
          <w:lang w:bidi="fa-IR"/>
          <w:color w:val="111111"/>
          <w:sz w:val="28"/>
          <w:szCs w:val="28"/>
          <w:rtl/>
        </w:rPr>
        <w:t xml:space="preserve">خط: نسخ،  کا: عبدالكريم بن محمد حسینی طبسی کیلکی، بی تا؛ مصحح؛ جلد: تیماج  سبز، ۳گ (۸۵ر-۸۷پ)، ۲۵ سطر،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۲۴/۵سم [ف : ۲۰ - ۱۱]</w:t>
      </w:r>
    </w:p>
    <w:p>
      <w:pPr>
        <w:pStyle w:val="Heading3"/>
      </w:pPr>
      <w:bookmarkStart w:id="1555" w:name="_Toc1077"/>
      <w:r>
        <w:t>اسعار / هیئت / فارسی</w:t>
      </w:r>
      <w:bookmarkEnd w:id="1555"/>
    </w:p>
    <w:p>
      <w:pPr>
        <w:pStyle w:val="BookText"/>
      </w:pPr>
      <w:r>
        <w:rPr>
          <w:rFonts w:ascii="Times New Roman" w:hAnsi="Times New Roman" w:eastAsia="Times New Roman" w:cs="Times New Roman"/>
          <w:lang w:val="en-US" w:bidi="en-US"/>
          <w:color w:val="111111"/>
          <w:sz w:val="28"/>
          <w:szCs w:val="28"/>
          <w:rtl/>
        </w:rPr>
        <w:t xml:space="preserve">as‘ār</w:t>
      </w:r>
    </w:p>
    <w:p>
      <w:pPr>
        <w:pStyle w:val="BookText"/>
      </w:pPr>
      <w:r>
        <w:rPr>
          <w:rFonts w:ascii="IRNazanin" w:hAnsi="IRNazanin" w:eastAsia="IRNazanin" w:cs="IRNazanin"/>
          <w:lang w:bidi="fa-IR"/>
          <w:color w:val="111111"/>
          <w:sz w:val="28"/>
          <w:szCs w:val="28"/>
          <w:rtl/>
        </w:rPr>
        <w:t xml:space="preserve">رساله ای است در احکام اسعار دارای چند «فصل». ابوسعید احمد بن محمد سگزی (۳۳۰ - ۴۱۵ ق) رساله ای در اسعار دارد در ۱۰ جمله که جزء جامع شاهی اوست و نسخه های جداگانه از آن در دست است و ترجمه نیز شده است. مؤلف کتاب حاضر (که نام خود را یاد نمی آورد) تمام رساله سگزی را (به فارسی) در رساله خود گنجانیده است.</w:t>
      </w:r>
    </w:p>
    <w:p>
      <w:pPr>
        <w:pStyle w:val="BookText"/>
      </w:pPr>
      <w:r>
        <w:rPr>
          <w:rFonts w:ascii="IRNazanin" w:hAnsi="IRNazanin" w:eastAsia="IRNazanin" w:cs="IRNazanin"/>
          <w:lang w:bidi="fa-IR"/>
          <w:color w:val="111111"/>
          <w:sz w:val="28"/>
          <w:szCs w:val="28"/>
          <w:rtl/>
        </w:rPr>
        <w:t xml:space="preserve">[نسخه های منزوی 1: 235]</w:t>
      </w:r>
    </w:p>
    <w:p>
      <w:pPr>
        <w:pStyle w:val="BookText"/>
      </w:pPr>
      <w:r>
        <w:rPr>
          <w:rFonts w:ascii="IRNazanin" w:hAnsi="IRNazanin" w:eastAsia="IRNazanin" w:cs="IRNazanin"/>
          <w:lang w:bidi="fa-IR"/>
          <w:color w:val="111111"/>
          <w:sz w:val="28"/>
          <w:szCs w:val="28"/>
          <w:rtl/>
        </w:rPr>
        <w:t xml:space="preserve">تهران؛ مجلس؛ شماره نسخه: ۶۳۶۷/۳۸</w:t>
      </w:r>
    </w:p>
    <w:p>
      <w:pPr>
        <w:pStyle w:val="BookText"/>
      </w:pPr>
      <w:r>
        <w:rPr>
          <w:rFonts w:ascii="IRNazanin" w:hAnsi="IRNazanin" w:eastAsia="IRNazanin" w:cs="IRNazanin"/>
          <w:lang w:bidi="fa-IR"/>
          <w:color w:val="111111"/>
          <w:sz w:val="28"/>
          <w:szCs w:val="28"/>
          <w:rtl/>
        </w:rPr>
        <w:t xml:space="preserve">آغاز: بسمله الحمد لله رب العالمين ... اما بعد بدانکه این نسـخه ایست در احکام اشعار غلاء و رخص آغاز رساله سگزی (در این رساله): قول بوسعيد احمد بن محمد ... سگزی  مشتمل بر هشت جمله ... (؟) جمله اول در معرفت مواضع استدلال؛ انجام: و این از جمله مجربات است و ایام با جور هشت روز است.</w:t>
      </w:r>
    </w:p>
    <w:p>
      <w:pPr>
        <w:pStyle w:val="BookText"/>
      </w:pPr>
      <w:r>
        <w:rPr>
          <w:rFonts w:ascii="IRNazanin" w:hAnsi="IRNazanin" w:eastAsia="IRNazanin" w:cs="IRNazanin"/>
          <w:lang w:bidi="fa-IR"/>
          <w:color w:val="111111"/>
          <w:sz w:val="28"/>
          <w:szCs w:val="28"/>
          <w:rtl/>
        </w:rPr>
        <w:t xml:space="preserve">خط: شکسته نستعلیق، بی کا، تا: ۱۱۹۵ق؛ کاغذ: فرنگی، جلد: تیماج ضربی مشکی عطف قهوه ای، ۴۷ ص (۴۹۴-۵۳۰)، ۱۷ سطر، قطع: خشتی،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۱۹/۵سم [ف: ۱۹ - ۴۵۱]</w:t>
      </w:r>
    </w:p>
    <w:p>
      <w:pPr>
        <w:pStyle w:val="Heading3"/>
      </w:pPr>
      <w:bookmarkStart w:id="1556" w:name="_Toc1078"/>
      <w:r>
        <w:t>الاسعاف بالجواب عن مسئلة الاشراف / فضایل و مناقب /  عربی</w:t>
      </w:r>
      <w:bookmarkEnd w:id="1556"/>
    </w:p>
    <w:p>
      <w:pPr>
        <w:pStyle w:val="BookText"/>
      </w:pPr>
      <w:r>
        <w:rPr>
          <w:rFonts w:ascii="Times New Roman" w:hAnsi="Times New Roman" w:eastAsia="Times New Roman" w:cs="Times New Roman"/>
          <w:lang w:val="en-US" w:bidi="en-US"/>
          <w:color w:val="111111"/>
          <w:sz w:val="28"/>
          <w:szCs w:val="28"/>
          <w:rtl/>
        </w:rPr>
        <w:t xml:space="preserve">al-is‘āf bi-l-jawāb ‘an mas’alat-il ašrāf</w:t>
      </w:r>
    </w:p>
    <w:p>
      <w:pPr>
        <w:pStyle w:val="BookText"/>
      </w:pPr>
      <w:r>
        <w:rPr>
          <w:rFonts w:ascii="IRNazanin" w:hAnsi="IRNazanin" w:eastAsia="IRNazanin" w:cs="IRNazanin"/>
          <w:lang w:bidi="fa-IR"/>
          <w:color w:val="111111"/>
          <w:sz w:val="28"/>
          <w:szCs w:val="28"/>
          <w:rtl/>
        </w:rPr>
        <w:t xml:space="preserve">سخاوی، محمد بن عبدالرحمن، ۸۳۱ - ۹۰۲ قمری</w:t>
      </w:r>
    </w:p>
    <w:p>
      <w:pPr>
        <w:pStyle w:val="BookText"/>
      </w:pPr>
      <w:r>
        <w:rPr>
          <w:rFonts w:ascii="Times New Roman" w:hAnsi="Times New Roman" w:eastAsia="Times New Roman" w:cs="Times New Roman"/>
          <w:lang w:val="en-US" w:bidi="en-US"/>
          <w:color w:val="111111"/>
          <w:sz w:val="28"/>
          <w:szCs w:val="28"/>
          <w:rtl/>
        </w:rPr>
        <w:t xml:space="preserve">]1497-saxāvī, mohammad ebn-e ‘abd-or-rahmān (1428 -</w:t>
      </w:r>
    </w:p>
    <w:p>
      <w:pPr>
        <w:pStyle w:val="BookText"/>
      </w:pPr>
      <w:r>
        <w:rPr>
          <w:rFonts w:ascii="IRNazanin" w:hAnsi="IRNazanin" w:eastAsia="IRNazanin" w:cs="IRNazanin"/>
          <w:lang w:bidi="fa-IR"/>
          <w:color w:val="111111"/>
          <w:sz w:val="28"/>
          <w:szCs w:val="28"/>
          <w:rtl/>
        </w:rPr>
        <w:t xml:space="preserve">رساله در پاسخ به این سئوال است که: آیا ذریه جعفر بن ابی طالب و فرزندان دیگر حضرت علی (علیه السّلام) از همسران دیگرش از نظر مرتبه شرف و فضیلت همانند اشراف از اولاد امام حسن، و امام حسین که مادرشان دختر گرامی پیامبر اسلام سيدة نساء العالمين فاطمة الزهراء (سلام الله علیها) است می باشند یا نه؟</w:t>
      </w:r>
    </w:p>
    <w:p>
      <w:pPr>
        <w:pStyle w:val="BookText"/>
      </w:pPr>
      <w:r>
        <w:rPr>
          <w:rFonts w:ascii="IRNazanin" w:hAnsi="IRNazanin" w:eastAsia="IRNazanin" w:cs="IRNazanin"/>
          <w:lang w:bidi="fa-IR"/>
          <w:color w:val="111111"/>
          <w:sz w:val="28"/>
          <w:szCs w:val="28"/>
          <w:rtl/>
        </w:rPr>
        <w:t xml:space="preserve">۱. قم؛ مرعشی؛ شماره نسخه: ۹۶۹/۲عکسی</w:t>
      </w:r>
    </w:p>
    <w:p>
      <w:pPr>
        <w:pStyle w:val="BookText"/>
      </w:pPr>
      <w:r>
        <w:rPr>
          <w:rFonts w:ascii="IRNazanin" w:hAnsi="IRNazanin" w:eastAsia="IRNazanin" w:cs="IRNazanin"/>
          <w:lang w:bidi="fa-IR"/>
          <w:color w:val="111111"/>
          <w:sz w:val="28"/>
          <w:szCs w:val="28"/>
          <w:rtl/>
        </w:rPr>
        <w:t xml:space="preserve">آغاز: الحمد لله و سلام على عباده الذين اصطفی و بعد: فقد سئلت عن الأشراف الحسنية و الحسينية اولاد على من فاطمة الزهراء رضوان الله عليهم ؛ انجام: و حكى الحافظ ابو بكر الخطيب قال: و قد یحیی بن معاذ على علوى ببلخ او بالرى زايراً له و مسلماً عليه  فقال العلوى ليحيى ما تقول فينا اهل البيت.</w:t>
      </w:r>
    </w:p>
    <w:p>
      <w:pPr>
        <w:pStyle w:val="BookText"/>
      </w:pPr>
      <w:r>
        <w:rPr>
          <w:rFonts w:ascii="IRNazanin" w:hAnsi="IRNazanin" w:eastAsia="IRNazanin" w:cs="IRNazanin"/>
          <w:lang w:bidi="fa-IR"/>
          <w:color w:val="111111"/>
          <w:sz w:val="28"/>
          <w:szCs w:val="28"/>
          <w:rtl/>
        </w:rPr>
        <w:t xml:space="preserve">نسخه اصل: عاطف افندی ،استانبول، ش ۲۷۸۷؛ خط: نسخ، بی کا، بی تا؛ افتادگی: انجام ؛۳ ص( ۷۳-۷۵)، ۲۱ سطر [عکسی ف:۲-۴۵۱]</w:t>
      </w:r>
    </w:p>
    <w:p>
      <w:pPr>
        <w:pStyle w:val="Heading3"/>
      </w:pPr>
      <w:bookmarkStart w:id="1557" w:name="_Toc1079"/>
      <w:r>
        <w:t>اسعاف الراغبين فى سيرة المصطفى و فضائل أهل  بيته الطاهرين / تاریخ معصومین / عربی</w:t>
      </w:r>
      <w:bookmarkEnd w:id="1557"/>
    </w:p>
    <w:p>
      <w:pPr>
        <w:pStyle w:val="BookText"/>
      </w:pPr>
      <w:r>
        <w:rPr>
          <w:rFonts w:ascii="Times New Roman" w:hAnsi="Times New Roman" w:eastAsia="Times New Roman" w:cs="Times New Roman"/>
          <w:lang w:val="en-US" w:bidi="en-US"/>
          <w:color w:val="111111"/>
          <w:sz w:val="28"/>
          <w:szCs w:val="28"/>
          <w:rtl/>
        </w:rPr>
        <w:t xml:space="preserve">is af-ur ragibin fi sirat-il mustafa wa fadail-i ahl-i</w:t>
      </w:r>
    </w:p>
    <w:p>
      <w:pPr>
        <w:pStyle w:val="BookText"/>
      </w:pPr>
      <w:r>
        <w:rPr>
          <w:rFonts w:ascii="Times New Roman" w:hAnsi="Times New Roman" w:eastAsia="Times New Roman" w:cs="Times New Roman"/>
          <w:lang w:val="en-US" w:bidi="en-US"/>
          <w:color w:val="111111"/>
          <w:sz w:val="28"/>
          <w:szCs w:val="28"/>
          <w:rtl/>
        </w:rPr>
        <w:t xml:space="preserve">bayt-i-h-it tahirin</w:t>
      </w:r>
    </w:p>
    <w:p>
      <w:pPr>
        <w:pStyle w:val="BookText"/>
      </w:pPr>
      <w:r>
        <w:rPr>
          <w:rFonts w:ascii="IRNazanin" w:hAnsi="IRNazanin" w:eastAsia="IRNazanin" w:cs="IRNazanin"/>
          <w:lang w:bidi="fa-IR"/>
          <w:color w:val="111111"/>
          <w:sz w:val="28"/>
          <w:szCs w:val="28"/>
          <w:rtl/>
        </w:rPr>
        <w:t xml:space="preserve">صبان، محمد بن علی، - ۱۲۰۶ قمری</w:t>
      </w:r>
    </w:p>
    <w:p>
      <w:pPr>
        <w:pStyle w:val="BookText"/>
      </w:pPr>
      <w:r>
        <w:rPr>
          <w:rFonts w:ascii="Times New Roman" w:hAnsi="Times New Roman" w:eastAsia="Times New Roman" w:cs="Times New Roman"/>
          <w:lang w:val="en-US" w:bidi="en-US"/>
          <w:color w:val="111111"/>
          <w:sz w:val="28"/>
          <w:szCs w:val="28"/>
          <w:rtl/>
        </w:rPr>
        <w:t xml:space="preserve">( sabbān, mohammad ebn-e ‘alī (- 1792)</w:t>
      </w:r>
    </w:p>
    <w:p>
      <w:pPr>
        <w:pStyle w:val="BookText"/>
      </w:pPr>
      <w:r>
        <w:rPr>
          <w:rFonts w:ascii="IRNazanin" w:hAnsi="IRNazanin" w:eastAsia="IRNazanin" w:cs="IRNazanin"/>
          <w:lang w:bidi="fa-IR"/>
          <w:color w:val="111111"/>
          <w:sz w:val="28"/>
          <w:szCs w:val="28"/>
          <w:rtl/>
        </w:rPr>
        <w:t xml:space="preserve">مؤلف، قبلاً کتاب مختصری به نام «اتحاف اهل الاسلام بما يتعلق بالمصطفی و اهل بیته الکرام» در سیره پیامبر اکرم (صلّی اللَّهِ علیه وَ آلِهِ وَ سَلَّمَ ) و فضائل اهل بیت (علیهم السّلام) نوشته است و چون آن کتاب مورد توجه فضلا قرار گرفته، بر آن شده تا کتاب دیگری اوسع از اولی در همین زمینه بنگارد. وی این کتاب را نیز مانند کتاب اول در سه «باب» مرتب نموده است .۱ سیرته (صلّی اللَّهِ علیه وَ آلِهِ وَ سَلَّمَ ) .٢. فضائل اهل البيت؛</w:t>
      </w:r>
    </w:p>
    <w:p>
      <w:pPr>
        <w:pStyle w:val="BookText"/>
      </w:pPr>
      <w:r>
        <w:rPr>
          <w:rFonts w:ascii="Amiri" w:hAnsi="Amiri" w:eastAsia="Amiri" w:cs="Amiri"/>
          <w:lang w:bidi="ar-SA"/>
          <w:color w:val="111111"/>
          <w:sz w:val="28"/>
          <w:szCs w:val="28"/>
          <w:rtl/>
        </w:rPr>
        <w:t xml:space="preserve">٣. فيما يتعلق بجماعة من اعيان اهل البيت دفنوا بمصر.</w:t>
      </w:r>
    </w:p>
    <w:p>
      <w:pPr>
        <w:pStyle w:val="BookText"/>
      </w:pPr>
      <w:r>
        <w:rPr>
          <w:rFonts w:ascii="IRNazanin" w:hAnsi="IRNazanin" w:eastAsia="IRNazanin" w:cs="IRNazanin"/>
          <w:lang w:bidi="fa-IR"/>
          <w:color w:val="111111"/>
          <w:sz w:val="28"/>
          <w:szCs w:val="28"/>
          <w:rtl/>
        </w:rPr>
        <w:t xml:space="preserve">چاپ: طبع فی القاهرة سنة ۱۲۳۸هـ، ايران، سنگی، ۱۲۹۰، ربعی،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314" w:name="pg20365_260435"/>
    <w:bookmarkEnd w:id="314"/>
    <w:p>
      <w:pPr>
        <w:pStyle w:val="BookText"/>
      </w:pPr>
      <w:r>
        <w:rPr>
          <w:rFonts w:ascii="IRNazanin" w:hAnsi="IRNazanin" w:eastAsia="IRNazanin" w:cs="IRNazanin"/>
          <w:lang w:bidi="fa-IR"/>
          <w:color w:val="111111"/>
          <w:sz w:val="28"/>
          <w:szCs w:val="28"/>
          <w:rtl/>
        </w:rPr>
        <w:t xml:space="preserve">۲۳۲ ص</w:t>
      </w:r>
    </w:p>
    <w:p>
      <w:pPr>
        <w:pStyle w:val="BookText"/>
      </w:pPr>
      <w:r>
        <w:rPr>
          <w:rFonts w:ascii="IRNazanin" w:hAnsi="IRNazanin" w:eastAsia="IRNazanin" w:cs="IRNazanin"/>
          <w:lang w:bidi="fa-IR"/>
          <w:color w:val="111111"/>
          <w:sz w:val="28"/>
          <w:szCs w:val="28"/>
          <w:rtl/>
        </w:rPr>
        <w:t xml:space="preserve">[بروکلمان /۲(۸۸۲) ۲ و ۳۷۱؛ معجم المطبوعات /۱۹۴؛ الاوقاف العامة بغـداد ۳۲۲/۱؛ الخطط الجديدة ۸۴/۳؛ الجبرتي ۸۲۷/۲]</w:t>
      </w:r>
    </w:p>
    <w:p>
      <w:pPr>
        <w:pStyle w:val="BookText"/>
      </w:pPr>
      <w:r>
        <w:rPr>
          <w:rFonts w:ascii="IRNazanin" w:hAnsi="IRNazanin" w:eastAsia="IRNazanin" w:cs="IRNazanin"/>
          <w:lang w:bidi="fa-IR"/>
          <w:color w:val="111111"/>
          <w:sz w:val="28"/>
          <w:szCs w:val="28"/>
          <w:rtl/>
        </w:rPr>
        <w:t xml:space="preserve">قم؛ مرعشی؛ شماره نسخه: ۶۹۷عکسی</w:t>
      </w:r>
    </w:p>
    <w:p>
      <w:pPr>
        <w:pStyle w:val="BookText"/>
      </w:pPr>
      <w:r>
        <w:rPr>
          <w:rFonts w:ascii="IRNazanin" w:hAnsi="IRNazanin" w:eastAsia="IRNazanin" w:cs="IRNazanin"/>
          <w:lang w:bidi="fa-IR"/>
          <w:color w:val="111111"/>
          <w:sz w:val="28"/>
          <w:szCs w:val="28"/>
          <w:rtl/>
        </w:rPr>
        <w:t xml:space="preserve">آغاز: الذى انار الوجود بانوار طلعة نبينا محمد عليه افضل الصلاة السلام؛ انجام: و الله اسال ان يختم لنا بالايمان انه على ما يـشاء قدیر و حسبنا الله ونعم الوكيل، و لا حول و لا قوة الا بالله العـلی العظيم.</w:t>
      </w:r>
    </w:p>
    <w:p>
      <w:pPr>
        <w:pStyle w:val="BookText"/>
      </w:pPr>
      <w:r>
        <w:rPr>
          <w:rFonts w:ascii="IRNazanin" w:hAnsi="IRNazanin" w:eastAsia="IRNazanin" w:cs="IRNazanin"/>
          <w:lang w:bidi="fa-IR"/>
          <w:color w:val="111111"/>
          <w:sz w:val="28"/>
          <w:szCs w:val="28"/>
          <w:rtl/>
        </w:rPr>
        <w:t xml:space="preserve">نسخه اصل: ظاهریه دمشق، ش: سیره /۱۵۲؛ خط: تعلیق و نسـخ، بی کا، تا: قرن ۱۲؛ ۹۷گ، ۱۹ سطر [عکسی ف: ۲ - ۱۸۰]</w:t>
      </w:r>
    </w:p>
    <w:p>
      <w:pPr>
        <w:pStyle w:val="Heading3"/>
      </w:pPr>
      <w:bookmarkStart w:id="1558" w:name="_Toc1080"/>
      <w:r>
        <w:t>الاسعاف الشواهد / ادبیات / عربي</w:t>
      </w:r>
      <w:bookmarkEnd w:id="1558"/>
    </w:p>
    <w:p>
      <w:pPr>
        <w:pStyle w:val="BookText"/>
      </w:pPr>
      <w:r>
        <w:rPr>
          <w:rFonts w:ascii="Times New Roman" w:hAnsi="Times New Roman" w:eastAsia="Times New Roman" w:cs="Times New Roman"/>
          <w:lang w:val="en-US" w:bidi="en-US"/>
          <w:color w:val="111111"/>
          <w:sz w:val="28"/>
          <w:szCs w:val="28"/>
          <w:rtl/>
        </w:rPr>
        <w:t xml:space="preserve">al-is‘āf-uš-šawāhid</w:t>
      </w:r>
    </w:p>
    <w:p>
      <w:pPr>
        <w:pStyle w:val="BookText"/>
      </w:pPr>
      <w:r>
        <w:rPr>
          <w:rFonts w:ascii="IRNazanin" w:hAnsi="IRNazanin" w:eastAsia="IRNazanin" w:cs="IRNazanin"/>
          <w:lang w:bidi="fa-IR"/>
          <w:color w:val="111111"/>
          <w:sz w:val="28"/>
          <w:szCs w:val="28"/>
          <w:rtl/>
        </w:rPr>
        <w:t xml:space="preserve">محتملاً همان «الاسعاف في شرح ابيات القاضى و الكشاف» موصلی، خضر بن عطاء الله ( - ۱۰۰۷ق) باشد.</w:t>
      </w:r>
    </w:p>
    <w:p>
      <w:pPr>
        <w:pStyle w:val="BookText"/>
      </w:pPr>
      <w:r>
        <w:rPr>
          <w:rFonts w:ascii="IRNazanin" w:hAnsi="IRNazanin" w:eastAsia="IRNazanin" w:cs="IRNazanin"/>
          <w:lang w:bidi="fa-IR"/>
          <w:color w:val="111111"/>
          <w:sz w:val="28"/>
          <w:szCs w:val="28"/>
          <w:rtl/>
        </w:rPr>
        <w:t xml:space="preserve">۱. تهران؛ ملی؛ شماره نسخه: ۱۷۷۷۵</w:t>
      </w:r>
    </w:p>
    <w:p>
      <w:pPr>
        <w:pStyle w:val="BookText"/>
      </w:pPr>
      <w:r>
        <w:rPr>
          <w:rFonts w:ascii="IRNazanin" w:hAnsi="IRNazanin" w:eastAsia="IRNazanin" w:cs="IRNazanin"/>
          <w:lang w:bidi="fa-IR"/>
          <w:color w:val="111111"/>
          <w:sz w:val="28"/>
          <w:szCs w:val="28"/>
          <w:rtl/>
        </w:rPr>
        <w:t xml:space="preserve">جلد ۱ ؛بی کا، تا :۱۱۵۰ق؛ انتقالی از کتابخانه پهلوی - مجموعه نوازی؛ ۲۶۴گ،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۳۸/۹سم [رایانه]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ملی؛ شماره نسخه: ۱۷۷۷۶</w:t>
      </w:r>
    </w:p>
    <w:p>
      <w:pPr>
        <w:pStyle w:val="BookText"/>
      </w:pPr>
      <w:r>
        <w:rPr>
          <w:rFonts w:ascii="IRNazanin" w:hAnsi="IRNazanin" w:eastAsia="IRNazanin" w:cs="IRNazanin"/>
          <w:lang w:bidi="fa-IR"/>
          <w:color w:val="111111"/>
          <w:sz w:val="28"/>
          <w:szCs w:val="28"/>
          <w:rtl/>
        </w:rPr>
        <w:t xml:space="preserve">جلد ۲؛ بی کا، تا: ۱۱۵۰ق؛ انتقالی از کتابخانه پهلوی- مجموعه نوازی، ۲۴۵گ ،اندازه: ۲۵/۷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۳۹/۸سم [رایانه]</w:t>
      </w:r>
    </w:p>
    <w:p>
      <w:pPr>
        <w:pStyle w:val="Heading3"/>
      </w:pPr>
      <w:bookmarkStart w:id="1559" w:name="_Toc1081"/>
      <w:r>
        <w:t>الاسعاف فى شرح ابیات القاضی و الکشاف / ادبیات/ عربی</w:t>
      </w:r>
      <w:bookmarkEnd w:id="1559"/>
    </w:p>
    <w:p>
      <w:pPr>
        <w:pStyle w:val="BookText"/>
      </w:pPr>
      <w:r>
        <w:rPr>
          <w:rFonts w:ascii="Times New Roman" w:hAnsi="Times New Roman" w:eastAsia="Times New Roman" w:cs="Times New Roman"/>
          <w:lang w:val="en-US" w:bidi="en-US"/>
          <w:color w:val="111111"/>
          <w:sz w:val="28"/>
          <w:szCs w:val="28"/>
          <w:rtl/>
        </w:rPr>
        <w:t xml:space="preserve">al-is‘āf fī š.-i abyāt-il-qāḍī wa-l-kaššāf</w:t>
      </w:r>
    </w:p>
    <w:p>
      <w:pPr>
        <w:pStyle w:val="BookText"/>
      </w:pPr>
      <w:r>
        <w:rPr>
          <w:rFonts w:ascii="IRNazanin" w:hAnsi="IRNazanin" w:eastAsia="IRNazanin" w:cs="IRNazanin"/>
          <w:lang w:bidi="fa-IR"/>
          <w:color w:val="111111"/>
          <w:sz w:val="28"/>
          <w:szCs w:val="28"/>
          <w:rtl/>
        </w:rPr>
        <w:t xml:space="preserve">موصلی، خضر بن عطاء الله، - ۱۰۰۷ قمری</w:t>
      </w:r>
    </w:p>
    <w:p>
      <w:pPr>
        <w:pStyle w:val="BookText"/>
      </w:pPr>
      <w:r>
        <w:rPr>
          <w:rFonts w:ascii="Times New Roman" w:hAnsi="Times New Roman" w:eastAsia="Times New Roman" w:cs="Times New Roman"/>
          <w:lang w:val="en-US" w:bidi="en-US"/>
          <w:color w:val="111111"/>
          <w:sz w:val="28"/>
          <w:szCs w:val="28"/>
          <w:rtl/>
        </w:rPr>
        <w:t xml:space="preserve">(mūselī, xezr ebn-e ‘atā’-ol-lāh (- 1599)</w:t>
      </w:r>
    </w:p>
    <w:p>
      <w:pPr>
        <w:pStyle w:val="BookText"/>
      </w:pPr>
      <w:r>
        <w:rPr>
          <w:rFonts w:ascii="IRNazanin" w:hAnsi="IRNazanin" w:eastAsia="IRNazanin" w:cs="IRNazanin"/>
          <w:lang w:bidi="fa-IR"/>
          <w:color w:val="111111"/>
          <w:sz w:val="28"/>
          <w:szCs w:val="28"/>
          <w:rtl/>
        </w:rPr>
        <w:t xml:space="preserve">وابسته به: انوار التنزيل و اسرار التأويل  = تفسیر بیضاوی؛ بیضاوی، عبدالله بن عمر(- 685)</w:t>
      </w:r>
    </w:p>
    <w:p>
      <w:pPr>
        <w:pStyle w:val="BookText"/>
      </w:pPr>
      <w:r>
        <w:rPr>
          <w:rFonts w:ascii="IRNazanin" w:hAnsi="IRNazanin" w:eastAsia="IRNazanin" w:cs="IRNazanin"/>
          <w:lang w:bidi="fa-IR"/>
          <w:color w:val="111111"/>
          <w:sz w:val="28"/>
          <w:szCs w:val="28"/>
          <w:rtl/>
        </w:rPr>
        <w:t xml:space="preserve">الكشاف عن حقايق غوامض التنزيل وعيون الاقاويل فى وجـوه التأويل = تفسیر کشاف؛ زمخشری، محمود بن عمر(467- 538) اهداء به ابو علی حسن بن ابی نمی بن بركات، شریف مکه</w:t>
      </w:r>
    </w:p>
    <w:p>
      <w:pPr>
        <w:pStyle w:val="BookText"/>
      </w:pPr>
      <w:r>
        <w:rPr>
          <w:rFonts w:ascii="IRNazanin" w:hAnsi="IRNazanin" w:eastAsia="IRNazanin" w:cs="IRNazanin"/>
          <w:lang w:bidi="fa-IR"/>
          <w:color w:val="111111"/>
          <w:sz w:val="28"/>
          <w:szCs w:val="28"/>
          <w:rtl/>
        </w:rPr>
        <w:t xml:space="preserve">تاریخ تأليف: ربيع الثاني ۱۰۰۳ق</w:t>
      </w:r>
    </w:p>
    <w:p>
      <w:pPr>
        <w:pStyle w:val="BookText"/>
      </w:pPr>
      <w:r>
        <w:rPr>
          <w:rFonts w:ascii="IRNazanin" w:hAnsi="IRNazanin" w:eastAsia="IRNazanin" w:cs="IRNazanin"/>
          <w:lang w:bidi="fa-IR"/>
          <w:color w:val="111111"/>
          <w:sz w:val="28"/>
          <w:szCs w:val="28"/>
          <w:rtl/>
        </w:rPr>
        <w:t xml:space="preserve">این کتاب شرح ابیات استشهاد شده در تفسیر «کشاف» و تفسـیر قاضی بیضاوی است و مؤلف، آن را «الاسعاف فی شرح ابیات القاضی و  الكشاف» نامیده و یکی از گنجینه های ادبی و کتاب های پر بها می باشد.صاحب «سلافة العصر» درباره این کتاب آورده است: «این مؤلفه کتابی است که دیده روزگار مانند آن روشن نگردیده و گلستانی مانند گلها و شکوفه هـای الفاظ و میوه های معانی آن بار نداشته و نخواهد داشت». روش مؤلف آن است که ابیات موجود در دو تفسیر مذکور را به ترتیب موجود در آنها (از سوره حمد تا سوره ناس) ذکر و به شرح آنها پرداخته و خود می گوید: «در این شرح چند چیز را گردن گرفته ام، نخست آنکه هر بیت که فقط صاحب کشاف آن را استشهاد نموده به سرخی و آنچه را فقط بیضاوی شاهد آورده به زردی و آنچه هر دو بدانها استشهاد کرده اند به رنگ سبز نویسم تا از یکدگر ممتاز باشند و چون بیتی را ذکر نمایم اول محل شاهد را بیان پس از آن لغات و اعراب و آنچه متعلق به این دو از قواعد ادبی و قواعد عروض و قافیه می باشد با بیانی شافی و کافی ذکر و بعد از اینها گوینده بیت را نام برده و تتمه آن را هم نقل می نمایم و به شرح حال گوینده و سبب انشاء آن با عباراتی مختصر و لطیف پردازم». این کتاب در حدود ۳۲۰۰۰ بیت دارد. خود او در ۱۰۰۶ق و محسن بن مؤمن گرگانی در ۱ ربیع الاول ۱۰۵۴ آن را مختصر کرده اند.</w:t>
      </w:r>
    </w:p>
    <w:p>
      <w:pPr>
        <w:pStyle w:val="BookText"/>
      </w:pPr>
      <w:r>
        <w:rPr>
          <w:rFonts w:ascii="Amiri" w:hAnsi="Amiri" w:eastAsia="Amiri" w:cs="Amiri"/>
          <w:lang w:bidi="ar-SA"/>
          <w:color w:val="111111"/>
          <w:sz w:val="28"/>
          <w:szCs w:val="28"/>
          <w:rtl/>
        </w:rPr>
        <w:t xml:space="preserve">آغاز: اللهم يا كشاف ضبابة الاوهام بشموس شواهد العلوم يا قاضى لبانة الافهام من عروس خرائد الرسوم.</w:t>
      </w:r>
    </w:p>
    <w:p>
      <w:pPr>
        <w:pStyle w:val="BookText"/>
      </w:pPr>
      <w:r>
        <w:rPr>
          <w:rFonts w:ascii="IRNazanin" w:hAnsi="IRNazanin" w:eastAsia="IRNazanin" w:cs="IRNazanin"/>
          <w:lang w:bidi="fa-IR"/>
          <w:color w:val="111111"/>
          <w:sz w:val="28"/>
          <w:szCs w:val="28"/>
          <w:rtl/>
        </w:rPr>
        <w:t xml:space="preserve">انجام: و سائر الاتباع و الاصحاب ***مؤرخاً (قد انتهى كتابی)</w:t>
      </w:r>
    </w:p>
    <w:p>
      <w:pPr>
        <w:pStyle w:val="BookText"/>
      </w:pPr>
      <w:r>
        <w:rPr>
          <w:rFonts w:ascii="Amiri" w:hAnsi="Amiri" w:eastAsia="Amiri" w:cs="Amiri"/>
          <w:lang w:bidi="ar-SA"/>
          <w:color w:val="111111"/>
          <w:sz w:val="28"/>
          <w:szCs w:val="28"/>
          <w:rtl/>
        </w:rPr>
        <w:t xml:space="preserve">[دنا ٨٠٩/١(۱۱ نسخه)؛ الاوقاف العامة بغداد ۱۶۲/۱]</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IRNazanin" w:hAnsi="IRNazanin" w:eastAsia="IRNazanin" w:cs="IRNazanin"/>
          <w:lang w:bidi="fa-IR"/>
          <w:color w:val="111111"/>
          <w:sz w:val="28"/>
          <w:szCs w:val="28"/>
          <w:rtl/>
        </w:rPr>
        <w:t xml:space="preserve">١- الاسعاف في شرح ابیات القاضی و الکشاف (منتخب)؛ موصلی،  خضر بن عطاء الله (-۱۰۰۷)</w:t>
      </w:r>
    </w:p>
    <w:p>
      <w:pPr>
        <w:pStyle w:val="BookText"/>
      </w:pPr>
      <w:r>
        <w:rPr>
          <w:rFonts w:ascii="IRNazanin" w:hAnsi="IRNazanin" w:eastAsia="IRNazanin" w:cs="IRNazanin"/>
          <w:lang w:bidi="fa-IR"/>
          <w:color w:val="111111"/>
          <w:sz w:val="28"/>
          <w:szCs w:val="28"/>
          <w:rtl/>
        </w:rPr>
        <w:t xml:space="preserve">۱ .قم؛ مرعشی؛ شماره نسخه: ۱۵۲۸۴</w:t>
      </w:r>
    </w:p>
    <w:p>
      <w:pPr>
        <w:pStyle w:val="BookText"/>
      </w:pPr>
      <w:r>
        <w:rPr>
          <w:rFonts w:ascii="IRNazanin" w:hAnsi="IRNazanin" w:eastAsia="IRNazanin" w:cs="IRNazanin"/>
          <w:lang w:bidi="fa-IR"/>
          <w:color w:val="111111"/>
          <w:sz w:val="28"/>
          <w:szCs w:val="28"/>
          <w:rtl/>
        </w:rPr>
        <w:t xml:space="preserve">آغاز: الشاهد فى سمى حيث استدل به على مجيء اللغة الخامسة فى الاسم و هو سمى هدى... بسم الله الذي في كل سورة قد  وردت على طريق يعلمه، الشاهد فى مجيء سم و سم من لغات الاسم ؛انجام: یا تیم تيم عدى لا ابا لكم *** لا يوقعنكم في سوءة عمرو و .... تقدم في سورة البقرة</w:t>
      </w:r>
    </w:p>
    <w:p>
      <w:pPr>
        <w:pStyle w:val="BookText"/>
      </w:pPr>
      <w:r>
        <w:rPr>
          <w:rFonts w:ascii="IRNazanin" w:hAnsi="IRNazanin" w:eastAsia="IRNazanin" w:cs="IRNazanin"/>
          <w:lang w:bidi="fa-IR"/>
          <w:color w:val="111111"/>
          <w:sz w:val="28"/>
          <w:szCs w:val="28"/>
          <w:rtl/>
        </w:rPr>
        <w:t xml:space="preserve">از آغاز تا سوره حجر ،خط: نسخ، بی کا، تا: قرن ۱۱؛ افتادگی: آغاز؛ محشی ،مصحح، مقابله شده با نشان «بلغ قصاصة» و «بلغ مقابلة»، مجدول، در حاشیه برگ آغازین نسخه ، به خط کاتب ،چنین آمده «الحمد لله الأول بلا ابتداء... ،بعد، فهذا ما وجدته   بخط المصنف اعنى نسخة التسويد و لم اجدلها اولاً و لم تكن مرتبة كما ينبغى مع انى قليل الدراية بمثل ما تعرضت له الا انه حملني على ذلك محبة الادب، اسأل الله ان يفتح لي في ذلك ابواب و يجعلنى عبداً دعاه مجاب»، یادداشتی به سال ۱۱۰۷ق در آغاز؛ تملکی با مهر «اقل الخليقة عبد الرحمن ۱۱۰۹) (مدور)؛ کاغذ: فرنگی، جلد: تیماج مشکی ضربی با ترنج و سرترنج مجدول، ۱۷۸گ، ۲۹ سطر (11</w:t>
      </w:r>
      <w:r>
        <w:rPr>
          <w:rFonts w:ascii="Times New Roman" w:hAnsi="Times New Roman" w:eastAsia="Times New Roman" w:cs="Times New Roman"/>
          <w:lang w:val="en-US" w:bidi="en-US"/>
          <w:color w:val="111111"/>
          <w:sz w:val="28"/>
          <w:szCs w:val="28"/>
          <w:rtl/>
        </w:rPr>
        <w:t xml:space="preserve">×23)</w:t>
      </w:r>
      <w:r>
        <w:rPr>
          <w:rFonts w:ascii="IRNazanin" w:hAnsi="IRNazanin" w:eastAsia="IRNazanin" w:cs="IRNazanin"/>
          <w:lang w:bidi="fa-IR"/>
          <w:color w:val="111111"/>
          <w:sz w:val="28"/>
          <w:szCs w:val="28"/>
          <w:rtl/>
        </w:rPr>
        <w:t xml:space="preserve">، اندازه: ۲۱/۵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۳۱سم [ف: ۳۸ - ۷۹۹]</w:t>
      </w:r>
    </w:p>
    <w:p>
      <w:pPr>
        <w:pStyle w:val="BookText"/>
      </w:pPr>
      <w:r>
        <w:rPr>
          <w:rFonts w:ascii="IRNazanin" w:hAnsi="IRNazanin" w:eastAsia="IRNazanin" w:cs="IRNazanin"/>
          <w:lang w:bidi="fa-IR"/>
          <w:color w:val="111111"/>
          <w:sz w:val="28"/>
          <w:szCs w:val="28"/>
          <w:rtl/>
        </w:rPr>
        <w:t xml:space="preserve">۲. تهران؛ ملک؛ شماره نسخه: ۱۰۷۹</w:t>
      </w:r>
    </w:p>
    <w:p>
      <w:pPr>
        <w:pStyle w:val="BookText"/>
      </w:pPr>
      <w:r>
        <w:rPr>
          <w:rFonts w:ascii="IRNazanin" w:hAnsi="IRNazanin" w:eastAsia="IRNazanin" w:cs="IRNazanin"/>
          <w:lang w:bidi="fa-IR"/>
          <w:color w:val="111111"/>
          <w:sz w:val="28"/>
          <w:szCs w:val="28"/>
          <w:rtl/>
        </w:rPr>
        <w:t xml:space="preserve">خط: نستعلیق، بی کا، تا: قرن ۱۱ ؛کاغذ: ترمه سمرقندی رنگارنگ، جلد: میشن سرخ ضربی  نو، ۲۷۸گ، ۱۹ سطر، اندازه:  ۱۳/۷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۲۳/۴سم [ف: ۱ - ۳۳]</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قم؛ مرعشی؛ شماره نسخه: ۴۶۱۵6</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315" w:name="pg20365_260436"/>
    <w:bookmarkEnd w:id="315"/>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زیبا، کا: محمد جعفر بن اسماعیل مشهدی، تا: جمعـه9 ذیحجه  ۱۰۸۲ق، به جهت خزانه صدرالدین سید علیخان کبیر احمد بن معصوم حسینی شیرازی ،مجدول ،محشی دارای سرلـوح زرین ،جلد: دو رو تیماج رو روغنی ضربی پشت تیماج قرمز، ۵۲۹گ، ۳۵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۳۴سم [ف: ۱۲ - ۱۷۹]</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تهران؛ مجلس؛ شماره نسخه: ۱۱۷۳</w:t>
      </w:r>
    </w:p>
    <w:p>
      <w:pPr>
        <w:pStyle w:val="BookText"/>
      </w:pPr>
      <w:r>
        <w:rPr>
          <w:rFonts w:ascii="IRNazanin" w:hAnsi="IRNazanin" w:eastAsia="IRNazanin" w:cs="IRNazanin"/>
          <w:lang w:bidi="fa-IR"/>
          <w:color w:val="111111"/>
          <w:sz w:val="28"/>
          <w:szCs w:val="28"/>
          <w:rtl/>
        </w:rPr>
        <w:t xml:space="preserve">خط: نستعلیق، کا: محمد حسین بن طالب ابهری اصفهانی،تا: پنج شنبه پایان شوال ۱۰۸۹ق؛ با فهرست سور و اسامی شعراء محشی؛ مهر:حکیم؛ کاغذ: سرخ فام، جلد: تیماج تریاکی و مقوایی، ۶۲۰گ، ۲۳ سطر (8</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،اندازه: ۲۷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[سنا - ف: ۲ - 156]</w:t>
      </w:r>
    </w:p>
    <w:p>
      <w:pPr>
        <w:pStyle w:val="BookText"/>
      </w:pPr>
      <w:r>
        <w:rPr>
          <w:rFonts w:ascii="IRNazanin" w:hAnsi="IRNazanin" w:eastAsia="IRNazanin" w:cs="IRNazanin"/>
          <w:lang w:bidi="fa-IR"/>
          <w:color w:val="111111"/>
          <w:sz w:val="28"/>
          <w:szCs w:val="28"/>
          <w:rtl/>
        </w:rPr>
        <w:t xml:space="preserve">تهران مفتاح؛ شماره نسخه: ۲۳۴</w:t>
      </w:r>
    </w:p>
    <w:p>
      <w:pPr>
        <w:pStyle w:val="BookText"/>
      </w:pPr>
      <w:r>
        <w:rPr>
          <w:rFonts w:ascii="IRNazanin" w:hAnsi="IRNazanin" w:eastAsia="IRNazanin" w:cs="IRNazanin"/>
          <w:lang w:bidi="fa-IR"/>
          <w:color w:val="111111"/>
          <w:sz w:val="28"/>
          <w:szCs w:val="28"/>
          <w:rtl/>
        </w:rPr>
        <w:t xml:space="preserve">همان نسخه بالا [نشریه: ۷ - ۱۰۱]</w:t>
      </w:r>
    </w:p>
    <w:p>
      <w:pPr>
        <w:pStyle w:val="BookText"/>
      </w:pPr>
      <w:r>
        <w:rPr>
          <w:rFonts w:ascii="IRNazanin" w:hAnsi="IRNazanin" w:eastAsia="IRNazanin" w:cs="IRNazanin"/>
          <w:lang w:bidi="fa-IR"/>
          <w:color w:val="111111"/>
          <w:sz w:val="28"/>
          <w:szCs w:val="28"/>
          <w:rtl/>
        </w:rPr>
        <w:t xml:space="preserve">۵. تهران؛ مجلس؛ شماره نسخه: ۱۰۷۷ ط</w:t>
      </w:r>
    </w:p>
    <w:p>
      <w:pPr>
        <w:pStyle w:val="BookText"/>
      </w:pPr>
      <w:r>
        <w:rPr>
          <w:rFonts w:ascii="IRNazanin" w:hAnsi="IRNazanin" w:eastAsia="IRNazanin" w:cs="IRNazanin"/>
          <w:lang w:bidi="fa-IR"/>
          <w:color w:val="111111"/>
          <w:sz w:val="28"/>
          <w:szCs w:val="28"/>
          <w:rtl/>
        </w:rPr>
        <w:t xml:space="preserve">آغاز: برابر؛ انجام: محط اهل العلم و الآداب *** و كعبة التصاد و الطلاب / بجده النبى ثم آله*** و صحبه و تابعی منواله و اتفق  الفراغ ... على يد المفتقر ... خضر بن عطاء الله ... مورخاً «قد انتـهی كتابي» سنة ثلاث و الف هجريه.</w:t>
      </w:r>
    </w:p>
    <w:p>
      <w:pPr>
        <w:pStyle w:val="BookText"/>
      </w:pPr>
      <w:r>
        <w:rPr>
          <w:rFonts w:ascii="IRNazanin" w:hAnsi="IRNazanin" w:eastAsia="IRNazanin" w:cs="IRNazanin"/>
          <w:lang w:bidi="fa-IR"/>
          <w:color w:val="111111"/>
          <w:sz w:val="28"/>
          <w:szCs w:val="28"/>
          <w:rtl/>
        </w:rPr>
        <w:t xml:space="preserve">خط: نسخ ،ممتاز، بی کا، تا: قرن ۱۳؛ مجدول، مشتمل بر فهرست  نام شعرا، بر پشت برگ آغاز یادداشتی است مورخ ۲۶ ربیع الاول ۱۲۵۹ق مشتمل بر شناسنامه نسخه و کیفیت به دست آمدن آن ما مهری بیضی در ذیل آن با سجع «نائب الایاله» که گویا لقـب یوسف بهبهانی است، ۸ صفحه پایان مشتمل است بر نمونه هـای شعری متفرقه ای در صنایع ادبی چون حسن تخلص و انجام از شعرای نامدار چون حسان بن ثابت و كعب بن زهیر و ابوبـکر خالدی و ابو عثمان خالدی و غیرهم ؛کاغذ: فرنگی آهار مهره ،جلد: تیماج مشکی با ترنج و نیم ترنج و لچک زرکوب، ۵۹۶گ، ۲۳ سطر، قطع: رحلی اندازه: ۱۹/۵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۳۰/۵سم [ف: ۲۴/۲ - ۱۲۹]</w:t>
      </w:r>
    </w:p>
    <w:p>
      <w:pPr>
        <w:pStyle w:val="BookText"/>
      </w:pPr>
      <w:r>
        <w:rPr>
          <w:rFonts w:ascii="IRNazanin" w:hAnsi="IRNazanin" w:eastAsia="IRNazanin" w:cs="IRNazanin"/>
          <w:lang w:bidi="fa-IR"/>
          <w:color w:val="111111"/>
          <w:sz w:val="28"/>
          <w:szCs w:val="28"/>
          <w:rtl/>
        </w:rPr>
        <w:t xml:space="preserve">۶. تهران؛ ملی؛ شماره نسخه: ۱۳۰۹/۵</w:t>
      </w:r>
    </w:p>
    <w:p>
      <w:pPr>
        <w:pStyle w:val="BookText"/>
      </w:pPr>
      <w:r>
        <w:rPr>
          <w:rFonts w:ascii="IRNazanin" w:hAnsi="IRNazanin" w:eastAsia="IRNazanin" w:cs="IRNazanin"/>
          <w:lang w:bidi="fa-IR"/>
          <w:color w:val="111111"/>
          <w:sz w:val="28"/>
          <w:szCs w:val="28"/>
          <w:rtl/>
        </w:rPr>
        <w:t xml:space="preserve">آغاز: برابر؛ انجام: فلا ارواها الله تعالى فامرلى بها كلها سود فقلت. مؤلف در فهرست ناشناخته مانده است که به قرینه آغاز نسـخه تعیین شد؛ خط: نسخ خوش، کا: وصال، تا: قرن  ۱۳ ،جا: شیراز ؛کاغذ ،فرنگی ،جلد: تیماج  سرخ ،مقوایی، ۴۶ص، ۲۵ سـطر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۲۵سم[ف ۳ - ۳۷۴]</w:t>
      </w:r>
    </w:p>
    <w:p>
      <w:pPr>
        <w:pStyle w:val="BookText"/>
      </w:pPr>
      <w:r>
        <w:rPr>
          <w:rFonts w:ascii="IRNazanin" w:hAnsi="IRNazanin" w:eastAsia="IRNazanin" w:cs="IRNazanin"/>
          <w:lang w:bidi="fa-IR"/>
          <w:color w:val="111111"/>
          <w:sz w:val="28"/>
          <w:szCs w:val="28"/>
          <w:rtl/>
        </w:rPr>
        <w:t xml:space="preserve">۷. تهران؛ دانشسرای عالی - کتابخانه میرزا عبدالعظیم خان قریب گر کانی؛ شماره نسخه: ۱۷۵</w:t>
      </w:r>
    </w:p>
    <w:p>
      <w:pPr>
        <w:pStyle w:val="BookText"/>
      </w:pPr>
      <w:r>
        <w:rPr>
          <w:rFonts w:ascii="IRNazanin" w:hAnsi="IRNazanin" w:eastAsia="IRNazanin" w:cs="IRNazanin"/>
          <w:lang w:bidi="fa-IR"/>
          <w:color w:val="111111"/>
          <w:sz w:val="28"/>
          <w:szCs w:val="28"/>
          <w:rtl/>
        </w:rPr>
        <w:t xml:space="preserve">خط: نسخ، كا: محمد بن محمد تقی تبریزی، تا: پنج شنبه پایان شوال ۱۲۲۷ق؛ مجدول؛ قطع: رحلی [نشریه: ۵ - ۶۵۲]</w:t>
      </w:r>
    </w:p>
    <w:p>
      <w:pPr>
        <w:pStyle w:val="BookText"/>
      </w:pPr>
      <w:r>
        <w:rPr>
          <w:rFonts w:ascii="IRNazanin" w:hAnsi="IRNazanin" w:eastAsia="IRNazanin" w:cs="IRNazanin"/>
          <w:lang w:bidi="fa-IR"/>
          <w:color w:val="111111"/>
          <w:sz w:val="28"/>
          <w:szCs w:val="28"/>
          <w:rtl/>
        </w:rPr>
        <w:t xml:space="preserve">۸ .مشهد؛ رضوی؛ شماره نسخه: ۹۴۲۷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محمد حسین  یزدی، تا: ۱۲۴۴ق؛ کتابت شده به  نام عبدالمجيد بن محمد مقیم [الفبائی: ۴۹]</w:t>
      </w:r>
    </w:p>
    <w:p>
      <w:pPr>
        <w:pStyle w:val="BookText"/>
      </w:pPr>
      <w:r>
        <w:rPr>
          <w:rFonts w:ascii="IRNazanin" w:hAnsi="IRNazanin" w:eastAsia="IRNazanin" w:cs="IRNazanin"/>
          <w:lang w:bidi="fa-IR"/>
          <w:color w:val="111111"/>
          <w:sz w:val="28"/>
          <w:szCs w:val="28"/>
          <w:rtl/>
        </w:rPr>
        <w:t xml:space="preserve">۹. تهران؛ ملک؛ شماره نسخه: ۱۳۳۵</w:t>
      </w:r>
    </w:p>
    <w:p>
      <w:pPr>
        <w:pStyle w:val="BookText"/>
      </w:pPr>
      <w:r>
        <w:rPr>
          <w:rFonts w:ascii="IRNazanin" w:hAnsi="IRNazanin" w:eastAsia="IRNazanin" w:cs="IRNazanin"/>
          <w:lang w:bidi="fa-IR"/>
          <w:color w:val="111111"/>
          <w:sz w:val="28"/>
          <w:szCs w:val="28"/>
          <w:rtl/>
        </w:rPr>
        <w:t xml:space="preserve">خط: نسخ، كا: ابوتراب محلاتی، تا: ۱۲۷۲ق، برای میرزا محمد تقى سپهر لسان الملک؛ کاغذ: آهار مهره فرنگی، جلد: میشن قهوه ای ۴۷۰ گ، ۳۵ سطر، اندازه: ۲۲/۲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۳۵/۳سم [ف: ۱ - ۳۳]</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تهران؛ ملی؛ شماره نسخه: ۹۳۵</w:t>
      </w:r>
    </w:p>
    <w:p>
      <w:pPr>
        <w:pStyle w:val="BookText"/>
      </w:pPr>
      <w:r>
        <w:rPr>
          <w:rFonts w:ascii="IRNazanin" w:hAnsi="IRNazanin" w:eastAsia="IRNazanin" w:cs="IRNazanin"/>
          <w:lang w:bidi="fa-IR"/>
          <w:color w:val="111111"/>
          <w:sz w:val="28"/>
          <w:szCs w:val="28"/>
          <w:rtl/>
        </w:rPr>
        <w:t xml:space="preserve">آغاز: برابر؛ انجام: بجده النبي ثم آله ... و صحبه و تابعی منواله</w:t>
      </w:r>
    </w:p>
    <w:p>
      <w:pPr>
        <w:pStyle w:val="BookText"/>
      </w:pPr>
      <w:r>
        <w:rPr>
          <w:rFonts w:ascii="IRNazanin" w:hAnsi="IRNazanin" w:eastAsia="IRNazanin" w:cs="IRNazanin"/>
          <w:lang w:bidi="fa-IR"/>
          <w:color w:val="111111"/>
          <w:sz w:val="28"/>
          <w:szCs w:val="28"/>
          <w:rtl/>
        </w:rPr>
        <w:t xml:space="preserve">خط: نسخ، كا: محمد حسین بن محمد تقی نیریزی، تا: ۱۲۷۴ق؛ ،مجدول، دارای اسامی  شاعران، با سرلوح؛ کاغذ: فرنگی آهار  مهره ،جلد: تیماج  سرخ  مقوایی، ۵۱۳گ، ۲۵ سطر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۳۱سم [ف: ۸ - ۴۳۲]</w:t>
      </w:r>
    </w:p>
    <w:p>
      <w:pPr>
        <w:pStyle w:val="BookText"/>
      </w:pPr>
      <w:r>
        <w:rPr>
          <w:rFonts w:ascii="IRNazanin" w:hAnsi="IRNazanin" w:eastAsia="IRNazanin" w:cs="IRNazanin"/>
          <w:lang w:bidi="fa-IR"/>
          <w:color w:val="111111"/>
          <w:sz w:val="28"/>
          <w:szCs w:val="28"/>
          <w:rtl/>
        </w:rPr>
        <w:t xml:space="preserve">۱۱. تهران؛ سپهسالار؛ شماره نسخه: ۳۳۱۸</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کامل؛ خط: نسخ، کا: محمد حسین نیریزی، تا: ۱۲۷۷ق؛ بر یکی از برگ های ننوشته ای که آخر کتاب بوده عبدالله منشی طبری اسامی جمعی از شعرایی که شرح حالشان در این کتاب است با قيد صفحه آنها به سال ۱۲۷۸ ثبت کرده؛ واقف: سپهسالار؛ کاغذ: فرنگی، جلد: تیماج، ۵۳۶،ص ۲۵ سطر، قطع: رحلی، اندازه: ۲۱/۵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۳۵سم [ف ۲ - ۴۵۹]</w:t>
      </w:r>
    </w:p>
    <w:p>
      <w:pPr>
        <w:pStyle w:val="Heading3"/>
      </w:pPr>
      <w:bookmarkStart w:id="1560" w:name="_Toc1082"/>
      <w:r>
        <w:t>الاسعاف فی شرح ابیات القاضی و الکشاف  (منتخب) / ادبیات / عربی</w:t>
      </w:r>
      <w:bookmarkEnd w:id="1560"/>
    </w:p>
    <w:p>
      <w:pPr>
        <w:pStyle w:val="BookText"/>
      </w:pPr>
      <w:r>
        <w:rPr>
          <w:rFonts w:ascii="Times New Roman" w:hAnsi="Times New Roman" w:eastAsia="Times New Roman" w:cs="Times New Roman"/>
          <w:lang w:val="en-US" w:bidi="en-US"/>
          <w:color w:val="111111"/>
          <w:sz w:val="28"/>
          <w:szCs w:val="28"/>
          <w:rtl/>
        </w:rPr>
        <w:t xml:space="preserve">(al-is af fī-š.-i aby at-il qāḍī wa-l kaššāf (mn.)</w:t>
      </w:r>
    </w:p>
    <w:p>
      <w:pPr>
        <w:pStyle w:val="BookText"/>
      </w:pPr>
      <w:r>
        <w:rPr>
          <w:rFonts w:ascii="IRNazanin" w:hAnsi="IRNazanin" w:eastAsia="IRNazanin" w:cs="IRNazanin"/>
          <w:lang w:bidi="fa-IR"/>
          <w:color w:val="111111"/>
          <w:sz w:val="28"/>
          <w:szCs w:val="28"/>
          <w:rtl/>
        </w:rPr>
        <w:t xml:space="preserve">موصلی، خضر بن عطاء الله، - ۱۰۰۷ قمری</w:t>
      </w:r>
    </w:p>
    <w:p>
      <w:pPr>
        <w:pStyle w:val="BookText"/>
      </w:pPr>
      <w:r>
        <w:rPr>
          <w:rFonts w:ascii="Times New Roman" w:hAnsi="Times New Roman" w:eastAsia="Times New Roman" w:cs="Times New Roman"/>
          <w:lang w:val="en-US" w:bidi="en-US"/>
          <w:color w:val="111111"/>
          <w:sz w:val="28"/>
          <w:szCs w:val="28"/>
          <w:rtl/>
        </w:rPr>
        <w:t xml:space="preserve">(mūselī, xezr ebn-e ‘atā’-ol-lāh (- 1599)</w:t>
      </w:r>
    </w:p>
    <w:p>
      <w:pPr>
        <w:pStyle w:val="BookText"/>
      </w:pPr>
      <w:r>
        <w:rPr>
          <w:rFonts w:ascii="IRNazanin" w:hAnsi="IRNazanin" w:eastAsia="IRNazanin" w:cs="IRNazanin"/>
          <w:lang w:bidi="fa-IR"/>
          <w:color w:val="111111"/>
          <w:sz w:val="28"/>
          <w:szCs w:val="28"/>
          <w:rtl/>
        </w:rPr>
        <w:t xml:space="preserve">وابسته به: الاسعاف في شرح ابيات القاضي و الكشاف؛ موصلی،  خضر بن عطاء الله (-۱۰۰۷)</w:t>
      </w:r>
    </w:p>
    <w:p>
      <w:pPr>
        <w:pStyle w:val="BookText"/>
      </w:pPr>
      <w:r>
        <w:rPr>
          <w:rFonts w:ascii="IRNazanin" w:hAnsi="IRNazanin" w:eastAsia="IRNazanin" w:cs="IRNazanin"/>
          <w:lang w:bidi="fa-IR"/>
          <w:color w:val="111111"/>
          <w:sz w:val="28"/>
          <w:szCs w:val="28"/>
          <w:rtl/>
        </w:rPr>
        <w:t xml:space="preserve">تاریخ تألیف: ۱۰۰۶ق</w:t>
      </w:r>
    </w:p>
    <w:p>
      <w:pPr>
        <w:pStyle w:val="BookText"/>
      </w:pPr>
      <w:r>
        <w:rPr>
          <w:rFonts w:ascii="IRNazanin" w:hAnsi="IRNazanin" w:eastAsia="IRNazanin" w:cs="IRNazanin"/>
          <w:lang w:bidi="fa-IR"/>
          <w:color w:val="111111"/>
          <w:sz w:val="28"/>
          <w:szCs w:val="28"/>
          <w:rtl/>
        </w:rPr>
        <w:t xml:space="preserve">نویسنده پس از بیان شمه ای از مسائل ادبی می گوید دو تفسیر در اسلام از مهمترین تفسیرها می باشند یک «کشاف» زمخشری و دیگری «انوار التنزيل و اسرار التاويل» قاضی بیضاوی در کتاب «اسعاف» شواهد این دو تفسیر آمده و به شرح شواهد پرداخته  شده و در اینجا برگزیده ای از این شرح فراهم آمده است.</w:t>
      </w:r>
    </w:p>
    <w:p>
      <w:pPr>
        <w:pStyle w:val="BookText"/>
      </w:pPr>
      <w:r>
        <w:rPr>
          <w:rFonts w:ascii="IRNazanin" w:hAnsi="IRNazanin" w:eastAsia="IRNazanin" w:cs="IRNazanin"/>
          <w:lang w:bidi="fa-IR"/>
          <w:color w:val="111111"/>
          <w:sz w:val="28"/>
          <w:szCs w:val="28"/>
          <w:rtl/>
        </w:rPr>
        <w:t xml:space="preserve">۱. تهران؛ ملی؛ شماره نسخه: ۱۱۳۰</w:t>
      </w:r>
    </w:p>
    <w:p>
      <w:pPr>
        <w:pStyle w:val="BookText"/>
      </w:pPr>
      <w:r>
        <w:rPr>
          <w:rFonts w:ascii="IRNazanin" w:hAnsi="IRNazanin" w:eastAsia="IRNazanin" w:cs="IRNazanin"/>
          <w:lang w:bidi="fa-IR"/>
          <w:color w:val="111111"/>
          <w:sz w:val="28"/>
          <w:szCs w:val="28"/>
          <w:rtl/>
        </w:rPr>
        <w:t xml:space="preserve">آغاز: بسمله رب يسر ولا تعسر يا كريم، اللهم يا كشاف ضبابة الاوهام بشموس؛ انجام: و اله السادات و ارباب الوفا ... و سایر  الاتباع و الاصحاب مورخاً قد انتهى كتابي سنة و الف هجريه.</w:t>
      </w:r>
    </w:p>
    <w:p>
      <w:pPr>
        <w:pStyle w:val="BookText"/>
      </w:pPr>
      <w:r>
        <w:rPr>
          <w:rFonts w:ascii="IRNazanin" w:hAnsi="IRNazanin" w:eastAsia="IRNazanin" w:cs="IRNazanin"/>
          <w:lang w:bidi="fa-IR"/>
          <w:color w:val="111111"/>
          <w:sz w:val="28"/>
          <w:szCs w:val="28"/>
          <w:rtl/>
        </w:rPr>
        <w:t xml:space="preserve">خط: نسخ، کا: ملا محمد شريف بن شیخ عبدالغنی، تا: ۱۰۷۳ق؛ مجدول ؛کاغذ: دولت آبادی، جلد: تیماج مشکی سجاف و عطف تیماج ،مشکی، ۴۲۷گ، ۲۷ سطر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۳۱سم  [ف: ۹ - ۱۲۱]</w:t>
      </w:r>
    </w:p>
    <w:p>
      <w:pPr>
        <w:pStyle w:val="BookText"/>
      </w:pPr>
      <w:r>
        <w:rPr>
          <w:rFonts w:ascii="IRNazanin" w:hAnsi="IRNazanin" w:eastAsia="IRNazanin" w:cs="IRNazanin"/>
          <w:lang w:bidi="fa-IR"/>
          <w:color w:val="111111"/>
          <w:sz w:val="28"/>
          <w:szCs w:val="28"/>
          <w:rtl/>
        </w:rPr>
        <w:t xml:space="preserve">۲. تهران؛ دانشگاه؛ شماره نسخه: ۴۴۹۴</w:t>
      </w:r>
    </w:p>
    <w:p>
      <w:pPr>
        <w:pStyle w:val="BookText"/>
      </w:pPr>
      <w:r>
        <w:rPr>
          <w:rFonts w:ascii="Amiri" w:hAnsi="Amiri" w:eastAsia="Amiri" w:cs="Amiri"/>
          <w:lang w:bidi="ar-SA"/>
          <w:color w:val="111111"/>
          <w:sz w:val="28"/>
          <w:szCs w:val="28"/>
          <w:rtl/>
        </w:rPr>
        <w:t xml:space="preserve">آغاز: نقلنا من كتاب الاسعاف بشرح ابيات القاضي و الكشاف للفاضل الموصلى. بسمله و به نستمده شواهد سورة فاتحة الكتاب.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316" w:name="pg20365_260437"/>
    <w:bookmarkEnd w:id="316"/>
    <w:p>
      <w:pPr>
        <w:pStyle w:val="BookText"/>
      </w:pPr>
      <w:r>
        <w:rPr>
          <w:rFonts w:ascii="IRNazanin" w:hAnsi="IRNazanin" w:eastAsia="IRNazanin" w:cs="IRNazanin"/>
          <w:lang w:bidi="fa-IR"/>
          <w:color w:val="111111"/>
          <w:sz w:val="28"/>
          <w:szCs w:val="28"/>
          <w:rtl/>
        </w:rPr>
        <w:t xml:space="preserve">نقلت الى الطعام فقال منهم *** فريق نحسد الانس الطعاما استشـهد( ای صاحب الكشاف) به علی حذف متعلق الجار؛ انجام: ولا عيب فيهم غير ان سيوفهم *** بهن فلول من قراع الكتائب</w:t>
      </w:r>
    </w:p>
    <w:p>
      <w:pPr>
        <w:pStyle w:val="BookText"/>
      </w:pPr>
      <w:r>
        <w:rPr>
          <w:rFonts w:ascii="Amiri" w:hAnsi="Amiri" w:eastAsia="Amiri" w:cs="Amiri"/>
          <w:lang w:bidi="ar-SA"/>
          <w:color w:val="111111"/>
          <w:sz w:val="28"/>
          <w:szCs w:val="28"/>
          <w:rtl/>
        </w:rPr>
        <w:t xml:space="preserve">استشهدا به عند الاستثنا ... و قد سبق الكلام على البيت فى البقرة.</w:t>
      </w:r>
    </w:p>
    <w:p>
      <w:pPr>
        <w:pStyle w:val="BookText"/>
      </w:pPr>
      <w:r>
        <w:rPr>
          <w:rFonts w:ascii="IRNazanin" w:hAnsi="IRNazanin" w:eastAsia="IRNazanin" w:cs="IRNazanin"/>
          <w:lang w:bidi="fa-IR"/>
          <w:color w:val="111111"/>
          <w:sz w:val="28"/>
          <w:szCs w:val="28"/>
          <w:rtl/>
        </w:rPr>
        <w:t xml:space="preserve">نام مؤلف در نسخه حاضر ذکر نشده و با استناد به کتابخانه ملی ۱۲۱/۹ تعیین شد؛ خط: نسخ، بی کا، تا: قرن ۱۲ و۱۳؛ کاغذ:  فرنگی، جلد: تیماج قهوه ای ،۶۷گ، ۲۵ سطر (8</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۱۳ - ۳۴۴۰]</w:t>
      </w:r>
    </w:p>
    <w:p>
      <w:pPr>
        <w:pStyle w:val="Heading3"/>
      </w:pPr>
      <w:bookmarkStart w:id="1561" w:name="_Toc1083"/>
      <w:r>
        <w:t>اسعاف المرضى / طب / عربي</w:t>
      </w:r>
      <w:bookmarkEnd w:id="1561"/>
    </w:p>
    <w:p>
      <w:pPr>
        <w:pStyle w:val="BookText"/>
      </w:pPr>
      <w:r>
        <w:rPr>
          <w:rFonts w:ascii="Times New Roman" w:hAnsi="Times New Roman" w:eastAsia="Times New Roman" w:cs="Times New Roman"/>
          <w:lang w:val="en-US" w:bidi="en-US"/>
          <w:color w:val="111111"/>
          <w:sz w:val="28"/>
          <w:szCs w:val="28"/>
          <w:rtl/>
        </w:rPr>
        <w:t xml:space="preserve">is‘āf-ul marḍā</w:t>
      </w:r>
    </w:p>
    <w:p>
      <w:pPr>
        <w:pStyle w:val="BookText"/>
      </w:pPr>
      <w:r>
        <w:rPr>
          <w:rFonts w:ascii="IRNazanin" w:hAnsi="IRNazanin" w:eastAsia="IRNazanin" w:cs="IRNazanin"/>
          <w:lang w:bidi="fa-IR"/>
          <w:color w:val="111111"/>
          <w:sz w:val="28"/>
          <w:szCs w:val="28"/>
          <w:rtl/>
        </w:rPr>
        <w:t xml:space="preserve">هیبت، علی</w:t>
      </w:r>
    </w:p>
    <w:p>
      <w:pPr>
        <w:pStyle w:val="BookText"/>
      </w:pPr>
      <w:r>
        <w:rPr>
          <w:rFonts w:ascii="Times New Roman" w:hAnsi="Times New Roman" w:eastAsia="Times New Roman" w:cs="Times New Roman"/>
          <w:lang w:val="en-US" w:bidi="en-US"/>
          <w:color w:val="111111"/>
          <w:sz w:val="28"/>
          <w:szCs w:val="28"/>
          <w:rtl/>
        </w:rPr>
        <w:t xml:space="preserve">heybat, ‘alī</w:t>
      </w:r>
    </w:p>
    <w:p>
      <w:pPr>
        <w:pStyle w:val="BookText"/>
      </w:pPr>
      <w:r>
        <w:rPr>
          <w:rFonts w:ascii="IRNazanin" w:hAnsi="IRNazanin" w:eastAsia="IRNazanin" w:cs="IRNazanin"/>
          <w:lang w:bidi="fa-IR"/>
          <w:color w:val="111111"/>
          <w:sz w:val="28"/>
          <w:szCs w:val="28"/>
          <w:rtl/>
        </w:rPr>
        <w:t xml:space="preserve">مقدمه ای است در  فیزیولوژی، دردو «مقاله» و مترجم آن را از فرانسوی به عربی برگردانده است. علی هیبت مصری پزشک و مترجم در مدرسه ابی زعبل و متخرج از مدرسه طب پاریس و مؤلف اصل خواجه سوسون استاد فیزیولوژی در مدرسه  ابو زعبل است.</w:t>
      </w:r>
    </w:p>
    <w:p>
      <w:pPr>
        <w:pStyle w:val="BookText"/>
      </w:pPr>
      <w:r>
        <w:rPr>
          <w:rFonts w:ascii="IRNazanin" w:hAnsi="IRNazanin" w:eastAsia="IRNazanin" w:cs="IRNazanin"/>
          <w:lang w:bidi="fa-IR"/>
          <w:color w:val="111111"/>
          <w:sz w:val="28"/>
          <w:szCs w:val="28"/>
          <w:rtl/>
        </w:rPr>
        <w:t xml:space="preserve">چاپ: بولاق، ۱۲۵۳</w:t>
      </w:r>
    </w:p>
    <w:p>
      <w:pPr>
        <w:pStyle w:val="BookText"/>
      </w:pPr>
      <w:r>
        <w:rPr>
          <w:rFonts w:ascii="IRNazanin" w:hAnsi="IRNazanin" w:eastAsia="IRNazanin" w:cs="IRNazanin"/>
          <w:lang w:bidi="fa-IR"/>
          <w:color w:val="111111"/>
          <w:sz w:val="28"/>
          <w:szCs w:val="28"/>
          <w:rtl/>
        </w:rPr>
        <w:t xml:space="preserve">تهران؛ مجلس؛ شماره نسخه: ۳۸۷۷</w:t>
      </w:r>
    </w:p>
    <w:p>
      <w:pPr>
        <w:pStyle w:val="BookText"/>
      </w:pPr>
      <w:r>
        <w:rPr>
          <w:rFonts w:ascii="IRNazanin" w:hAnsi="IRNazanin" w:eastAsia="IRNazanin" w:cs="IRNazanin"/>
          <w:lang w:bidi="fa-IR"/>
          <w:color w:val="111111"/>
          <w:sz w:val="28"/>
          <w:szCs w:val="28"/>
          <w:rtl/>
        </w:rPr>
        <w:t xml:space="preserve">خط: شکسته نستعلیق ،کا: میرزا ابراهیم خراسانی (متخلص به مشتری) تا: ۱۲۷۳ق؛ در آغاز نسخه پنج برگ اضافی است که فهرست مقالات و مباحث و نیز شرحی درباره این کتاب و مترجم و مؤلف و مصححان و مقابله کنندگان این کتاب به خط کاتب نوشته شده؛ کاغذ: رنگی عمودی، جلد: تیماج قرمز، ۱۷۵ص( بدون برگ های فهرست)، ۲۱ سطر، قطع: خشتی،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 ۱۰ - ۱۹۰۹]</w:t>
      </w:r>
    </w:p>
    <w:p>
      <w:pPr>
        <w:pStyle w:val="BookText"/>
      </w:pPr>
      <w:r>
        <w:rPr>
          <w:rFonts w:ascii="Amiri" w:hAnsi="Amiri" w:eastAsia="Amiri" w:cs="Amiri"/>
          <w:lang w:bidi="ar-SA"/>
          <w:color w:val="111111"/>
          <w:sz w:val="28"/>
          <w:szCs w:val="28"/>
          <w:rtl/>
        </w:rPr>
        <w:t xml:space="preserve">«اسفار اربعة » المبدأ و المعاد</w:t>
      </w:r>
    </w:p>
    <w:p>
      <w:pPr>
        <w:pStyle w:val="BookText"/>
      </w:pPr>
      <w:r>
        <w:rPr>
          <w:rFonts w:ascii="Amiri" w:hAnsi="Amiri" w:eastAsia="Amiri" w:cs="Amiri"/>
          <w:lang w:bidi="ar-SA"/>
          <w:color w:val="111111"/>
          <w:sz w:val="28"/>
          <w:szCs w:val="28"/>
          <w:rtl/>
        </w:rPr>
        <w:t xml:space="preserve">«اسفار اربعه » الحكمة المتعالية فى الاسفار الاربعة العقلية</w:t>
      </w:r>
    </w:p>
    <w:p>
      <w:pPr>
        <w:pStyle w:val="BookText"/>
      </w:pPr>
      <w:r>
        <w:rPr>
          <w:rFonts w:ascii="Amiri" w:hAnsi="Amiri" w:eastAsia="Amiri" w:cs="Amiri"/>
          <w:lang w:bidi="ar-SA"/>
          <w:color w:val="111111"/>
          <w:sz w:val="28"/>
          <w:szCs w:val="28"/>
          <w:rtl/>
        </w:rPr>
        <w:t xml:space="preserve">«الاسفار الاربعة » اسفار العارفين</w:t>
      </w:r>
    </w:p>
    <w:p>
      <w:pPr>
        <w:pStyle w:val="Heading3"/>
      </w:pPr>
      <w:bookmarkStart w:id="1562" w:name="_Toc1084"/>
      <w:r>
        <w:t>اسفار العارفين = الاسفار الاربعة / عرفان و تصوف / عربی</w:t>
      </w:r>
      <w:bookmarkEnd w:id="1562"/>
    </w:p>
    <w:p>
      <w:pPr>
        <w:pStyle w:val="BookText"/>
      </w:pPr>
      <w:r>
        <w:rPr>
          <w:rFonts w:ascii="Times New Roman" w:hAnsi="Times New Roman" w:eastAsia="Times New Roman" w:cs="Times New Roman"/>
          <w:lang w:val="en-US" w:bidi="en-US"/>
          <w:color w:val="111111"/>
          <w:sz w:val="28"/>
          <w:szCs w:val="28"/>
          <w:rtl/>
        </w:rPr>
        <w:t xml:space="preserve">asfār-ul-‘ārifīn = al-asfār-ul-arba‘a</w:t>
      </w:r>
    </w:p>
    <w:p>
      <w:pPr>
        <w:pStyle w:val="BookText"/>
      </w:pPr>
      <w:r>
        <w:rPr>
          <w:rFonts w:ascii="IRNazanin" w:hAnsi="IRNazanin" w:eastAsia="IRNazanin" w:cs="IRNazanin"/>
          <w:lang w:bidi="fa-IR"/>
          <w:color w:val="111111"/>
          <w:sz w:val="28"/>
          <w:szCs w:val="28"/>
          <w:rtl/>
        </w:rPr>
        <w:t xml:space="preserve">خفری، محمد بن احمد، - ۹۵۷؟ قمری</w:t>
      </w:r>
    </w:p>
    <w:p>
      <w:pPr>
        <w:pStyle w:val="BookText"/>
      </w:pPr>
      <w:r>
        <w:rPr>
          <w:rFonts w:ascii="Times New Roman" w:hAnsi="Times New Roman" w:eastAsia="Times New Roman" w:cs="Times New Roman"/>
          <w:lang w:val="en-US" w:bidi="en-US"/>
          <w:color w:val="111111"/>
          <w:sz w:val="28"/>
          <w:szCs w:val="28"/>
          <w:rtl/>
        </w:rPr>
        <w:t xml:space="preserve">(xafrī, mohammad ebn-e ahmad (- 1550)</w:t>
      </w:r>
    </w:p>
    <w:p>
      <w:pPr>
        <w:pStyle w:val="BookText"/>
      </w:pPr>
      <w:r>
        <w:rPr>
          <w:rFonts w:ascii="IRNazanin" w:hAnsi="IRNazanin" w:eastAsia="IRNazanin" w:cs="IRNazanin"/>
          <w:lang w:bidi="fa-IR"/>
          <w:color w:val="111111"/>
          <w:sz w:val="28"/>
          <w:szCs w:val="28"/>
          <w:rtl/>
        </w:rPr>
        <w:t xml:space="preserve">رسالهای بسیار مختصر است در اسفار اربعه: ١. من الخلق الی الحق؛ ۲. من الحق الى الحق؛ ٣. من الحق الى الخلق؛ ۴.من الخلق الى الخلق نسخه ای از آن در کتابخانه مرعشی هست  که از ابن سینا دانسته شده  است، ولی در برخی از نسخه ها به نام خفری تصریح شده و چنین تألیفی به ابن سینا نسبت داده نشده و پیداست که صدرای شیرازی از او گرفته است.</w:t>
      </w:r>
    </w:p>
    <w:p>
      <w:pPr>
        <w:pStyle w:val="BookText"/>
      </w:pPr>
      <w:r>
        <w:rPr>
          <w:rFonts w:ascii="Amiri" w:hAnsi="Amiri" w:eastAsia="Amiri" w:cs="Amiri"/>
          <w:lang w:bidi="ar-SA"/>
          <w:color w:val="111111"/>
          <w:sz w:val="28"/>
          <w:szCs w:val="28"/>
          <w:rtl/>
        </w:rPr>
        <w:t xml:space="preserve">آغاز: من  افادات مولى الفاضل شمس الدين محمد الخفرى اعلم ان للعارفين اربعة اسفار، السفر الاول انما هو من الخلق الى الحق فان المتامل اذا تامل انجام: الغناء المطلق للمكنات و ظهور البقاء الحقيقي للحي الحقيقى فيصر المقيد ح باقيابالبقاء الحقيقى فانيا عن الاعتبارات الفانية و السلام على من اتبع الهدى تمت الرساله.</w:t>
      </w:r>
    </w:p>
    <w:p>
      <w:pPr>
        <w:pStyle w:val="BookText"/>
      </w:pPr>
      <w:r>
        <w:rPr>
          <w:rFonts w:ascii="IRNazanin" w:hAnsi="IRNazanin" w:eastAsia="IRNazanin" w:cs="IRNazanin"/>
          <w:lang w:bidi="fa-IR"/>
          <w:color w:val="111111"/>
          <w:sz w:val="28"/>
          <w:szCs w:val="28"/>
          <w:rtl/>
        </w:rPr>
        <w:t xml:space="preserve">[دنا 1/ 810(4 نسخه)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دانشگاه؛ شماره نسخه: ۲۴۰۱/۲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رضا بن موسی  کشمیری، تا: قرن ۱۱ ؛کاغذ ،سپاهانی ،جلد: تیماج عنابی ضربی زرکوب  مقوایی، ۱۸ ص ۲۸ سطر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۲۴/۵سم [ف: ۹ - ۱۰۱۳]</w:t>
      </w:r>
    </w:p>
    <w:p>
      <w:pPr>
        <w:pStyle w:val="BookText"/>
      </w:pPr>
      <w:r>
        <w:rPr>
          <w:rFonts w:ascii="IRNazanin" w:hAnsi="IRNazanin" w:eastAsia="IRNazanin" w:cs="IRNazanin"/>
          <w:lang w:bidi="fa-IR"/>
          <w:color w:val="111111"/>
          <w:sz w:val="28"/>
          <w:szCs w:val="28"/>
          <w:rtl/>
        </w:rPr>
        <w:t xml:space="preserve">۲. تهران؛ ملک؛ شماره نسخه: ۶۹۱/۱۰</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محمد قلی بن محمد علی تبریزی، تا: ۱۰۵۱ق؛  کاغذ ،ترمه ،جلد: میشن قهوه ای [ف: ۵ - ۱۵۱]</w:t>
      </w:r>
    </w:p>
    <w:p>
      <w:pPr>
        <w:pStyle w:val="BookText"/>
      </w:pPr>
      <w:r>
        <w:rPr>
          <w:rFonts w:ascii="IRNazanin" w:hAnsi="IRNazanin" w:eastAsia="IRNazanin" w:cs="IRNazanin"/>
          <w:lang w:bidi="fa-IR"/>
          <w:color w:val="111111"/>
          <w:sz w:val="28"/>
          <w:szCs w:val="28"/>
          <w:rtl/>
        </w:rPr>
        <w:t xml:space="preserve">3.تهران؛ مجلس؛ شماره نسخه: ۱۸۴۲/۴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در فهرست ناشناس مانده؛ خط: نسخ  تحریری، کا: جعفر میربابای تبریزی، تا: قرن ۱۳؛ کاغذ: نخودی آهار مهره، جلد: تیماج مشکی بدون مقوا، ۱ص(۷۱)، ۲۶ سطر، اندازه: ۱۷/۵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۹ - ۵۱۱]</w:t>
      </w:r>
    </w:p>
    <w:p>
      <w:pPr>
        <w:pStyle w:val="BookText"/>
      </w:pPr>
      <w:r>
        <w:rPr>
          <w:rFonts w:ascii="IRNazanin" w:hAnsi="IRNazanin" w:eastAsia="IRNazanin" w:cs="IRNazanin"/>
          <w:lang w:bidi="fa-IR"/>
          <w:color w:val="111111"/>
          <w:sz w:val="28"/>
          <w:szCs w:val="28"/>
          <w:rtl/>
        </w:rPr>
        <w:t xml:space="preserve">4.قم؛ مرعشی؛ شماره نسخه: ۱۵۱۱۳/۱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در فهرست با عنوان «الأسفار الاربعة للشيخ الرئيس» آمده و از ابن سینا دانسته است؛ خط: نسخ، کا: سید اسدالله صفوی ماسالی ،مصطفوی، تا: قرن ۱۴؛ کاتب در برگ ۸۳ در پایان یکی از رساله ها چنین نگاشته است: «کتابی یافتم در طهران در دست یکی  از دوستان در سنه ۱۳۲۲ق و این رسائل را از آنجا نسخه برداشته و آن کتاب مشتمل بود بر نود رساله به خط یاقوت مستعصمی و بعداً رونویس نمودم در رشت در سنه ۱۳۶۳ق مطابق ۱۳۲۳ خورشیدی و انا الاقل العاصى سيد اسدالله الصفوى المصطفوی»، فهرستی از رسائل موجود و یادداشت های پراکنده به سال ۱۳۳۰ق در آغاز آمده این رساله مغلوط است و اشتباهات بسیار در آن مشاهده می شود؛ کاغذ ،فرنگی، 1گ (1- 1) ۱۷ سطر، اندازه: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۱۰سم  [ف: ۳۸ - ۲۸۹]</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تهران؛ مجلس؛ شماره نسخه: ۱۱۳۱/۸-ط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بی کا، بی تا؛ در صدر نسخه  آمده: «من افادات المولى الفاضل شمس الدين محمد الخفری» در پی این بخش فقرات زیر دیده می شود: الربا حرام با نص والاجماع، للمراة ان يداقع المحارب عن نفسها و مالها .... ،فى الجواهر عند قول المحقق النسب يثبت مع النكاح ، قال القاضی ابوالمعالی رایت هذين البيتين على جنبى باب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317" w:name="pg20365_260438"/>
    <w:bookmarkEnd w:id="317"/>
    <w:p>
      <w:pPr>
        <w:pStyle w:val="BookText"/>
      </w:pPr>
      <w:r>
        <w:rPr>
          <w:rFonts w:ascii="IRNazanin" w:hAnsi="IRNazanin" w:eastAsia="IRNazanin" w:cs="IRNazanin"/>
          <w:lang w:bidi="fa-IR"/>
          <w:color w:val="111111"/>
          <w:sz w:val="28"/>
          <w:szCs w:val="28"/>
          <w:rtl/>
        </w:rPr>
        <w:t xml:space="preserve">قصر، من دار السلام ....، يستحب ايقاظ النائم للصلوة، فى الصـافی ...  فى قول الله  ... و من عاد فينتقم الله منه فى سوره المائه، آیـات الشفاء، حرز مولانا القائم صلوات الله عليه، و من   ذلك تهـلیل آلقرآن مروى عن النبي، و من من ذلك دعاء سریع الاجابة، مستدرک عن روضة العابدين لا بى الفتح الكراجكي، انحراف قبله بارفروش، قصه حاج ملا زین العابدین چلاوی که او را مستطیع کرده بودند، فى الكلم الطيب و الغيث الصيب مما اشتهر في زماننا ان سلطان العجم امر بضرب عنق احد امرائه و هو جمشید خان سنة ۱۰۷۸ ... و لم يعمل فيه السيف حتى اخب رهو بنفسه ان فی عضده حرزا، حرز مجرب لدفع الامراض، في كشف الغمه ...بئر عبادان ... من قال عندها بحق على يفور الماء من قعرها في خزائن النراقى - طريق يشناختن مهره ماه ... و حادثه ۳۰۱ دخول قرامطه در مکه و کشتار خلق از جمله علی بن بابويه، عن اخبار الاول لما كثر و ولد اسماعیل، قصه ای که جناب شیخ اسماعیل ... از حاجی ملا ابو الحسن مازندرانی نقل نمود ... در مرض شیخ مرتضی مرحوم شیخ زین العابدین مازندرانی بانی به رفتن نجف برای عیادت او شدیم (در این فقره داستان ملاقات با سیدعلی شوشتری که او نیز قصد عیادت از شیخ داشت و وصیت شیخ انصاری که بسیار قابل دقت است نقل شده  است، جناب آقای شیخ علی می فرمود نواب هندی از صاحب ضوابط دوره اصول شریف العلماء را خواست، در حق مرحوم آخوند ملا محمد کاشی که مدرس مدرسه مادر شاه و امام جماعت آنجا بود و امام جماعت انجا بود، قال الناصبي الغوى ... ابن خلدون في تاريخه فى فصل في امر الفاطمى ... خاتم الاوصيا مولانا صاحب الزمان، فى البـحار نقلا عن قرب الاسناد ... قال سا صدقه بن مسلم ابا عبد الله علیه السلام و انا عنده من الشاهد على فاطمه بانها لاترث فقال علیه السلام شهدت عليها عايشه، وجدت بخط مولانا المجلسى  فی مجلد الفقه من ،بحاره، قال في تشييد المطاعن فيما يتعلق بالطـن الثاني و هو قتل مالك بن نویره، طعن دم قصد عمر احراق  بیت حضرت فاطمه سلام الله عليها، (صاحب جنگ در این بخـش فهرستی از کتاب های معروف اهل سنت را که حدیث قصـد احراق بيت سيدتنا فاطمة الزهراء صلوات الله علیها را آورده اند دست می دهد)، در قصه درء عمر حد را از مغيرة بن  شعبه، مولوی عبد العلی در شرح مسلم ،گفته في حيوة الحيوان قال نصرالله بن یحیی و کان من الثقات  و اهل السنه ... رايت على بن ابى طالب</w:t>
      </w:r>
    </w:p>
    <w:p>
      <w:pPr>
        <w:pStyle w:val="BookText"/>
      </w:pPr>
      <w:r>
        <w:rPr>
          <w:rFonts w:ascii="IRNazanin" w:hAnsi="IRNazanin" w:eastAsia="IRNazanin" w:cs="IRNazanin"/>
          <w:lang w:bidi="fa-IR"/>
          <w:color w:val="111111"/>
          <w:sz w:val="28"/>
          <w:szCs w:val="28"/>
          <w:rtl/>
        </w:rPr>
        <w:t xml:space="preserve">فى المنام فى الفتوحات ... ان الله ما اضاف الافعال الى الخلق الالكون من اضاف الفعل اليه عين الحق؛ ۲۶گ [ ف : ۲۳ - ۵۷۷]</w:t>
      </w:r>
    </w:p>
    <w:p>
      <w:pPr>
        <w:pStyle w:val="Heading3"/>
      </w:pPr>
      <w:bookmarkStart w:id="1563" w:name="_Toc1085"/>
      <w:r>
        <w:t>الاسفار عن اصل الاستخاره / استخاره / عربی</w:t>
      </w:r>
      <w:bookmarkEnd w:id="1563"/>
    </w:p>
    <w:p>
      <w:pPr>
        <w:pStyle w:val="BookText"/>
      </w:pPr>
      <w:r>
        <w:rPr>
          <w:rFonts w:ascii="Times New Roman" w:hAnsi="Times New Roman" w:eastAsia="Times New Roman" w:cs="Times New Roman"/>
          <w:lang w:val="en-US" w:bidi="en-US"/>
          <w:color w:val="111111"/>
          <w:sz w:val="28"/>
          <w:szCs w:val="28"/>
          <w:rtl/>
        </w:rPr>
        <w:t xml:space="preserve">al-isfār ‘an aṣl-il istixāra</w:t>
      </w:r>
    </w:p>
    <w:p>
      <w:pPr>
        <w:pStyle w:val="BookText"/>
      </w:pPr>
      <w:r>
        <w:rPr>
          <w:rFonts w:ascii="IRNazanin" w:hAnsi="IRNazanin" w:eastAsia="IRNazanin" w:cs="IRNazanin"/>
          <w:lang w:bidi="fa-IR"/>
          <w:color w:val="111111"/>
          <w:sz w:val="28"/>
          <w:szCs w:val="28"/>
          <w:rtl/>
        </w:rPr>
        <w:t xml:space="preserve">تاریخ تألیف: ۱۰۸۹ق</w:t>
      </w:r>
    </w:p>
    <w:p>
      <w:pPr>
        <w:pStyle w:val="BookText"/>
      </w:pPr>
      <w:r>
        <w:rPr>
          <w:rFonts w:ascii="IRNazanin" w:hAnsi="IRNazanin" w:eastAsia="IRNazanin" w:cs="IRNazanin"/>
          <w:lang w:bidi="fa-IR"/>
          <w:color w:val="111111"/>
          <w:sz w:val="28"/>
          <w:szCs w:val="28"/>
          <w:rtl/>
        </w:rPr>
        <w:t xml:space="preserve">نویسنده در این رساله از امور متعلق به استخاره سخن می گوید و نیز از استخاره هایی که اهل الله در هر روز در وقت معین می کـنند</w:t>
      </w:r>
    </w:p>
    <w:p>
      <w:pPr>
        <w:pStyle w:val="BookText"/>
      </w:pPr>
      <w:r>
        <w:rPr>
          <w:rFonts w:ascii="IRNazanin" w:hAnsi="IRNazanin" w:eastAsia="IRNazanin" w:cs="IRNazanin"/>
          <w:lang w:bidi="fa-IR"/>
          <w:color w:val="111111"/>
          <w:sz w:val="28"/>
          <w:szCs w:val="28"/>
          <w:rtl/>
        </w:rPr>
        <w:t xml:space="preserve">بحث می کند و می گوید این نوع استخاره ها اصلی در سنت دارد چنانکه فیروز آبادی نقل کرده و شریف سمهودی از او تبعیت نموده است گرچه ابن حجر هیثمی اعتراض نموده و در«تحفه» خود بر امام سهروردی نویسنده «عوارف المعارف» در این باب خرده گرفته است. این کتاب حاوی یک «مقدمه» و چند  «مقصد» و یک «خاتمه» است.</w:t>
      </w:r>
    </w:p>
    <w:p>
      <w:pPr>
        <w:pStyle w:val="BookText"/>
      </w:pPr>
      <w:r>
        <w:rPr>
          <w:rFonts w:ascii="IRNazanin" w:hAnsi="IRNazanin" w:eastAsia="IRNazanin" w:cs="IRNazanin"/>
          <w:lang w:bidi="fa-IR"/>
          <w:color w:val="111111"/>
          <w:sz w:val="28"/>
          <w:szCs w:val="28"/>
          <w:rtl/>
        </w:rPr>
        <w:t xml:space="preserve">تهران؛ ملی؛ شماره نسخه: ۱۹۴۷</w:t>
      </w:r>
    </w:p>
    <w:p>
      <w:pPr>
        <w:pStyle w:val="BookText"/>
      </w:pPr>
      <w:r>
        <w:rPr>
          <w:rFonts w:ascii="IRNazanin" w:hAnsi="IRNazanin" w:eastAsia="IRNazanin" w:cs="IRNazanin"/>
          <w:lang w:bidi="fa-IR"/>
          <w:color w:val="111111"/>
          <w:sz w:val="28"/>
          <w:szCs w:val="28"/>
          <w:rtl/>
        </w:rPr>
        <w:t xml:space="preserve">آغاز: بسمله و صلى الله على سيدنا محمد و و صحبه و علی الانبياء والمرسلين؛ انجام: و غفر الله لنا ولوالدينا و لمشايخنا و احواننا و المسلمين و المسلمات  آمین.</w:t>
      </w:r>
    </w:p>
    <w:p>
      <w:pPr>
        <w:pStyle w:val="BookText"/>
      </w:pPr>
      <w:r>
        <w:rPr>
          <w:rFonts w:ascii="IRNazanin" w:hAnsi="IRNazanin" w:eastAsia="IRNazanin" w:cs="IRNazanin"/>
          <w:lang w:bidi="fa-IR"/>
          <w:color w:val="111111"/>
          <w:sz w:val="28"/>
          <w:szCs w:val="28"/>
          <w:rtl/>
        </w:rPr>
        <w:t xml:space="preserve">خط: نسخ، کا: علی  کرکوکی، تا: قرن ۱۲؛ کاغذ: فرنگی، جلد: مقوایی میشن مشکی ،نوسازی ۶۱گ ۱۷ 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۲۲/۵سم [ف : ۱۰ - ۶۳۱  ]</w:t>
      </w:r>
    </w:p>
    <w:p>
      <w:pPr>
        <w:pStyle w:val="Heading3"/>
      </w:pPr>
      <w:bookmarkStart w:id="1564" w:name="_Toc1086"/>
      <w:r>
        <w:t>الاسفار عن قلم الاظفار / حدیث / عربی</w:t>
      </w:r>
      <w:bookmarkEnd w:id="1564"/>
    </w:p>
    <w:p>
      <w:pPr>
        <w:pStyle w:val="BookText"/>
      </w:pPr>
      <w:r>
        <w:rPr>
          <w:rFonts w:ascii="Times New Roman" w:hAnsi="Times New Roman" w:eastAsia="Times New Roman" w:cs="Times New Roman"/>
          <w:lang w:val="en-US" w:bidi="en-US"/>
          <w:color w:val="111111"/>
          <w:sz w:val="28"/>
          <w:szCs w:val="28"/>
          <w:rtl/>
        </w:rPr>
        <w:t xml:space="preserve">al-isfar 'an qalam-il izfār</w:t>
      </w:r>
    </w:p>
    <w:p>
      <w:pPr>
        <w:pStyle w:val="BookText"/>
      </w:pPr>
      <w:r>
        <w:rPr>
          <w:rFonts w:ascii="IRNazanin" w:hAnsi="IRNazanin" w:eastAsia="IRNazanin" w:cs="IRNazanin"/>
          <w:lang w:bidi="fa-IR"/>
          <w:color w:val="111111"/>
          <w:sz w:val="28"/>
          <w:szCs w:val="28"/>
          <w:rtl/>
        </w:rPr>
        <w:t xml:space="preserve">سیوطی، عبدالرحمن بن ابی بکر، ۸۴۹ - ۹۱۱ قمری</w:t>
      </w:r>
    </w:p>
    <w:p>
      <w:pPr>
        <w:pStyle w:val="BookText"/>
      </w:pPr>
      <w:r>
        <w:rPr>
          <w:rFonts w:ascii="Times New Roman" w:hAnsi="Times New Roman" w:eastAsia="Times New Roman" w:cs="Times New Roman"/>
          <w:lang w:val="en-US" w:bidi="en-US"/>
          <w:color w:val="111111"/>
          <w:sz w:val="28"/>
          <w:szCs w:val="28"/>
          <w:rtl/>
        </w:rPr>
        <w:t xml:space="preserve">(soyūtī, 'abd-or-rahman ebn-e abī-bakr (1446 1506)</w:t>
      </w:r>
    </w:p>
    <w:p>
      <w:pPr>
        <w:pStyle w:val="BookText"/>
      </w:pPr>
      <w:r>
        <w:rPr>
          <w:rFonts w:ascii="IRNazanin" w:hAnsi="IRNazanin" w:eastAsia="IRNazanin" w:cs="IRNazanin"/>
          <w:lang w:bidi="fa-IR"/>
          <w:color w:val="111111"/>
          <w:sz w:val="28"/>
          <w:szCs w:val="28"/>
          <w:rtl/>
        </w:rPr>
        <w:t xml:space="preserve">مشتمل بر روایاتی است که در آداب ناخن گرفتن از حضرت پیامبر اکرم (صلّی اللَّهِ علیه وَ آلِهِ وَ سَلَّمَ ) روایت شده است.</w:t>
      </w:r>
    </w:p>
    <w:p>
      <w:pPr>
        <w:pStyle w:val="BookText"/>
      </w:pPr>
      <w:r>
        <w:rPr>
          <w:rFonts w:ascii="Amiri" w:hAnsi="Amiri" w:eastAsia="Amiri" w:cs="Amiri"/>
          <w:lang w:bidi="ar-SA"/>
          <w:color w:val="111111"/>
          <w:sz w:val="28"/>
          <w:szCs w:val="28"/>
          <w:rtl/>
        </w:rPr>
        <w:t xml:space="preserve">آغاز: بسملة، الحمدلله و سلام على عباده الذين اصطفى؛ و بعد فهذه جزء من آداب قلم آداب قلم الأظفار سميته بالأسفار عن قلم الأظفار؛ أخرج الشيخان رحمهما الله عن أبي هريرةرضى الله عنه أن رسول الله صلى الله عليه و سلم خمس من الفطرة الختان و الاستحداد و قص الشارب و تقليم الأظفار ونتف الإبط</w:t>
      </w:r>
    </w:p>
    <w:p>
      <w:pPr>
        <w:pStyle w:val="BookText"/>
      </w:pPr>
      <w:r>
        <w:rPr>
          <w:rFonts w:ascii="IRNazanin" w:hAnsi="IRNazanin" w:eastAsia="IRNazanin" w:cs="IRNazanin"/>
          <w:lang w:bidi="fa-IR"/>
          <w:color w:val="111111"/>
          <w:sz w:val="28"/>
          <w:szCs w:val="28"/>
          <w:rtl/>
        </w:rPr>
        <w:t xml:space="preserve">انجام: فقلت له في ذلك فقال أخذ الأظفار یوم الخمیس من السنة و بلغني أنه يوم الجمعة ينفى الفقر فقلت يا أمير المؤمنين و تخشى أنت أيضاً الفقر فقال يا أصمعى و هل أحد أخشى للفقر  منی</w:t>
      </w:r>
    </w:p>
    <w:p>
      <w:pPr>
        <w:pStyle w:val="BookText"/>
      </w:pPr>
      <w:r>
        <w:rPr>
          <w:rFonts w:ascii="IRNazanin" w:hAnsi="IRNazanin" w:eastAsia="IRNazanin" w:cs="IRNazanin"/>
          <w:lang w:bidi="fa-IR"/>
          <w:color w:val="111111"/>
          <w:sz w:val="28"/>
          <w:szCs w:val="28"/>
          <w:rtl/>
        </w:rPr>
        <w:t xml:space="preserve">[دنا ۸۱۰/۱(۱ نسخه)]</w:t>
      </w:r>
    </w:p>
    <w:p>
      <w:pPr>
        <w:pStyle w:val="BookText"/>
      </w:pPr>
      <w:r>
        <w:rPr>
          <w:rFonts w:ascii="IRNazanin" w:hAnsi="IRNazanin" w:eastAsia="IRNazanin" w:cs="IRNazanin"/>
          <w:lang w:bidi="fa-IR"/>
          <w:color w:val="111111"/>
          <w:sz w:val="28"/>
          <w:szCs w:val="28"/>
          <w:rtl/>
        </w:rPr>
        <w:t xml:space="preserve">١. تهران؛ مجلس؛ شماره نسخه: ۵۱۰/۳۰ کر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تحریری، کا: حاج صالح قرطبی، تا: ۱۱۲۱ق؛ مصحح، مجدول بر فراز برگ نخست آمده: «كتاب الأسفار عن الأظفار، تأليف الإمام الفاضل قدوة المحدثين الكرام المولى العلامة جلال الدين السيوطي، تغمده الله برحمته و أكرمه البارى  تعالى في دار كرامته»؛ کاغذ: فرنگی نخودی، نازک آهار مهره، ۵گ (۱۰۰ر-۱۰۴ر)، ۲۷سطر، اندازه: 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۱۶/۵سم [ف: ۴۰/۲-۳۶۱]</w:t>
      </w:r>
    </w:p>
    <w:p>
      <w:pPr>
        <w:pStyle w:val="BookText"/>
      </w:pPr>
      <w:r>
        <w:rPr>
          <w:rFonts w:ascii="IRNazanin" w:hAnsi="IRNazanin" w:eastAsia="IRNazanin" w:cs="IRNazanin"/>
          <w:lang w:bidi="fa-IR"/>
          <w:color w:val="111111"/>
          <w:sz w:val="28"/>
          <w:szCs w:val="28"/>
          <w:rtl/>
        </w:rPr>
        <w:t xml:space="preserve">۲. قم؛ مرعشی؛ شماره نسخه: ۲۳۴۳/۷</w:t>
      </w:r>
    </w:p>
    <w:p>
      <w:pPr>
        <w:pStyle w:val="BookText"/>
      </w:pPr>
      <w:r>
        <w:rPr>
          <w:rFonts w:ascii="IRNazanin" w:hAnsi="IRNazanin" w:eastAsia="IRNazanin" w:cs="IRNazanin"/>
          <w:lang w:bidi="fa-IR"/>
          <w:color w:val="111111"/>
          <w:sz w:val="28"/>
          <w:szCs w:val="28"/>
          <w:rtl/>
        </w:rPr>
        <w:t xml:space="preserve">آغاز و انجام:برابر</w:t>
      </w:r>
    </w:p>
    <w:p>
      <w:pPr>
        <w:pStyle w:val="BookText"/>
      </w:pPr>
      <w:r>
        <w:rPr>
          <w:rFonts w:ascii="IRNazanin" w:hAnsi="IRNazanin" w:eastAsia="IRNazanin" w:cs="IRNazanin"/>
          <w:lang w:bidi="fa-IR"/>
          <w:color w:val="111111"/>
          <w:sz w:val="28"/>
          <w:szCs w:val="28"/>
          <w:rtl/>
        </w:rPr>
        <w:t xml:space="preserve">خط: نسخ زیبا بسیار مغلوط، بی کا، بی تا ؛مجدول؛ كاغذ:ترمه،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318" w:name="pg20365_260439"/>
    <w:bookmarkEnd w:id="318"/>
    <w:p>
      <w:pPr>
        <w:pStyle w:val="BookText"/>
      </w:pPr>
      <w:r>
        <w:rPr>
          <w:rFonts w:ascii="IRNazanin" w:hAnsi="IRNazanin" w:eastAsia="IRNazanin" w:cs="IRNazanin"/>
          <w:lang w:bidi="fa-IR"/>
          <w:color w:val="111111"/>
          <w:sz w:val="28"/>
          <w:szCs w:val="28"/>
          <w:rtl/>
        </w:rPr>
        <w:t xml:space="preserve">جلد: مقوایی عطف تیماج قهوه ای، ۳گ (۵۶ر -۵۸پ)، ۲۱ سـطر ،اندازه: ۱۶/۵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۲۳سم [ف: ۶ - ۳۲۱]</w:t>
      </w:r>
    </w:p>
    <w:p>
      <w:pPr>
        <w:pStyle w:val="Heading3"/>
      </w:pPr>
      <w:bookmarkStart w:id="1565" w:name="_Toc1087"/>
      <w:r>
        <w:t>الاسفار عن نتايج الاسفار / عرفان و تصوف / عربی</w:t>
      </w:r>
      <w:bookmarkEnd w:id="1565"/>
    </w:p>
    <w:p>
      <w:pPr>
        <w:pStyle w:val="BookText"/>
      </w:pPr>
      <w:r>
        <w:rPr>
          <w:rFonts w:ascii="Times New Roman" w:hAnsi="Times New Roman" w:eastAsia="Times New Roman" w:cs="Times New Roman"/>
          <w:lang w:val="en-US" w:bidi="en-US"/>
          <w:color w:val="111111"/>
          <w:sz w:val="28"/>
          <w:szCs w:val="28"/>
          <w:rtl/>
        </w:rPr>
        <w:t xml:space="preserve">al-isfār ‘an natāyij-il asfār</w:t>
      </w:r>
    </w:p>
    <w:p>
      <w:pPr>
        <w:pStyle w:val="BookText"/>
      </w:pPr>
      <w:r>
        <w:rPr>
          <w:rFonts w:ascii="IRNazanin" w:hAnsi="IRNazanin" w:eastAsia="IRNazanin" w:cs="IRNazanin"/>
          <w:lang w:bidi="fa-IR"/>
          <w:color w:val="111111"/>
          <w:sz w:val="28"/>
          <w:szCs w:val="28"/>
          <w:rtl/>
        </w:rPr>
        <w:t xml:space="preserve">ابن عربی، محمد بن علی، ۵۶۰ - ۶۳۸ قمری</w:t>
      </w:r>
    </w:p>
    <w:p>
      <w:pPr>
        <w:pStyle w:val="BookText"/>
      </w:pPr>
      <w:r>
        <w:rPr>
          <w:rFonts w:ascii="Times New Roman" w:hAnsi="Times New Roman" w:eastAsia="Times New Roman" w:cs="Times New Roman"/>
          <w:lang w:val="en-US" w:bidi="en-US"/>
          <w:color w:val="111111"/>
          <w:sz w:val="28"/>
          <w:szCs w:val="28"/>
          <w:rtl/>
        </w:rPr>
        <w:t xml:space="preserve">( ebn-e ‘arabī, mohammad ebn-e ‘alī (1166 - 1241)</w:t>
      </w:r>
    </w:p>
    <w:p>
      <w:pPr>
        <w:pStyle w:val="BookText"/>
      </w:pPr>
      <w:r>
        <w:rPr>
          <w:rFonts w:ascii="IRNazanin" w:hAnsi="IRNazanin" w:eastAsia="IRNazanin" w:cs="IRNazanin"/>
          <w:lang w:bidi="fa-IR"/>
          <w:color w:val="111111"/>
          <w:sz w:val="28"/>
          <w:szCs w:val="28"/>
          <w:rtl/>
        </w:rPr>
        <w:t xml:space="preserve">دارای مقدمه ای در تحقیق اقسام سفر و مسافر و اسرار آن با عناوین: سفر ربانی من العماء الى العرش، سفر الخلق، سفر القرآن و سفر نوح. در سفر قرآن از استاد خود ابوالعباس غربی (که می گوید از اهل عليا غرب اندلس است) یاد می کند و نیز از ابوموسی دبیلی نقل می کند که بایزید بسطامی قرآن را در حفظ داشت. ابن العربی در این رساله اشعاری از خویش می آورد.این کتاب در فهرست مصنفات در شمار رساله های دارای رقم  ابجدی آمده و رقم آن «رب» است.</w:t>
      </w:r>
    </w:p>
    <w:p>
      <w:pPr>
        <w:pStyle w:val="BookText"/>
      </w:pPr>
      <w:r>
        <w:rPr>
          <w:rFonts w:ascii="Amiri" w:hAnsi="Amiri" w:eastAsia="Amiri" w:cs="Amiri"/>
          <w:lang w:bidi="ar-SA"/>
          <w:color w:val="111111"/>
          <w:sz w:val="28"/>
          <w:szCs w:val="28"/>
          <w:rtl/>
        </w:rPr>
        <w:t xml:space="preserve">آغاز: اللهم صل على محمد و آله ... الحمد لله الكائن في العماء... انجام: و يعطى الجود والقوة و الظهور على خصمائمه و الله يقـول الحق و هو يهدى السبيل كمل كتاب الاسفار عن نتايج الاسـفار الحمد لله رب العلامين</w:t>
      </w:r>
    </w:p>
    <w:p>
      <w:pPr>
        <w:pStyle w:val="BookText"/>
      </w:pPr>
      <w:r>
        <w:rPr>
          <w:rFonts w:ascii="IRNazanin" w:hAnsi="IRNazanin" w:eastAsia="IRNazanin" w:cs="IRNazanin"/>
          <w:lang w:bidi="fa-IR"/>
          <w:color w:val="111111"/>
          <w:sz w:val="28"/>
          <w:szCs w:val="28"/>
          <w:rtl/>
        </w:rPr>
        <w:t xml:space="preserve">چاپ: در رسائل ابن عربی (حیدر آباد دکن، بی نا ۱۳۶۷ق)</w:t>
      </w:r>
    </w:p>
    <w:p>
      <w:pPr>
        <w:pStyle w:val="BookText"/>
      </w:pPr>
      <w:r>
        <w:rPr>
          <w:rFonts w:ascii="Amiri" w:hAnsi="Amiri" w:eastAsia="Amiri" w:cs="Amiri"/>
          <w:lang w:bidi="ar-SA"/>
          <w:color w:val="111111"/>
          <w:sz w:val="28"/>
          <w:szCs w:val="28"/>
          <w:rtl/>
        </w:rPr>
        <w:t xml:space="preserve">[دنا 1/ ۸۱۰ (۲ نسخه)؛ هدية العارفين: ۱۱۷:۲]</w:t>
      </w:r>
    </w:p>
    <w:p>
      <w:pPr>
        <w:pStyle w:val="BookText"/>
      </w:pPr>
      <w:r>
        <w:rPr>
          <w:rFonts w:ascii="IRNazanin" w:hAnsi="IRNazanin" w:eastAsia="IRNazanin" w:cs="IRNazanin"/>
          <w:lang w:bidi="fa-IR"/>
          <w:color w:val="111111"/>
          <w:sz w:val="28"/>
          <w:szCs w:val="28"/>
          <w:rtl/>
        </w:rPr>
        <w:t xml:space="preserve">۱. تهران؛ دانشگاه؛ شماره نسخه: ۵۵۰۴/۱-ف</w:t>
      </w:r>
    </w:p>
    <w:p>
      <w:pPr>
        <w:pStyle w:val="BookText"/>
      </w:pPr>
      <w:r>
        <w:rPr>
          <w:rFonts w:ascii="IRNazanin" w:hAnsi="IRNazanin" w:eastAsia="IRNazanin" w:cs="IRNazanin"/>
          <w:lang w:bidi="fa-IR"/>
          <w:color w:val="111111"/>
          <w:sz w:val="28"/>
          <w:szCs w:val="28"/>
          <w:rtl/>
        </w:rPr>
        <w:t xml:space="preserve">نسخه اصل: دانشگاه پرینستن، ش ۵۹۴۲؛  بی کا، تا: قرن 11، 24 گ(۱پ - ۳۴ر) [فيلمها ف ۳ - ۱۶۳]</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مجلس؛ شماره نسخه: ۳۹۲۰/۷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بی کا،  بی  تا؛  کاغذ :بخش کهن آهار مهره شکری بخش تازه تر فرنگی ،جلد: تیماج قهوه ای  ضربی، ۴۰ص (۱۰۲-۱۴۱) [ف: 10- 1956]</w:t>
      </w:r>
    </w:p>
    <w:p>
      <w:pPr>
        <w:pStyle w:val="Heading3"/>
      </w:pPr>
      <w:bookmarkStart w:id="1566" w:name="_Toc1088"/>
      <w:r>
        <w:t>اسفراین / جغرافیا، تاریخ ایران / فارسی</w:t>
      </w:r>
      <w:bookmarkEnd w:id="1566"/>
    </w:p>
    <w:p>
      <w:pPr>
        <w:pStyle w:val="BookText"/>
      </w:pPr>
      <w:r>
        <w:rPr>
          <w:rFonts w:ascii="Times New Roman" w:hAnsi="Times New Roman" w:eastAsia="Times New Roman" w:cs="Times New Roman"/>
          <w:lang w:val="en-US" w:bidi="en-US"/>
          <w:color w:val="111111"/>
          <w:sz w:val="28"/>
          <w:szCs w:val="28"/>
          <w:rtl/>
        </w:rPr>
        <w:t xml:space="preserve">esfarāyen</w:t>
      </w:r>
    </w:p>
    <w:p>
      <w:pPr>
        <w:pStyle w:val="BookText"/>
      </w:pPr>
      <w:r>
        <w:rPr>
          <w:rFonts w:ascii="IRNazanin" w:hAnsi="IRNazanin" w:eastAsia="IRNazanin" w:cs="IRNazanin"/>
          <w:lang w:bidi="fa-IR"/>
          <w:color w:val="111111"/>
          <w:sz w:val="28"/>
          <w:szCs w:val="28"/>
          <w:rtl/>
        </w:rPr>
        <w:t xml:space="preserve">تهران؛ ملک؛ شماره نسخه: ۴۳۳۰/۲۸</w:t>
      </w:r>
    </w:p>
    <w:p>
      <w:pPr>
        <w:pStyle w:val="BookText"/>
      </w:pPr>
      <w:r>
        <w:rPr>
          <w:rFonts w:ascii="IRNazanin" w:hAnsi="IRNazanin" w:eastAsia="IRNazanin" w:cs="IRNazanin"/>
          <w:lang w:bidi="fa-IR"/>
          <w:color w:val="111111"/>
          <w:sz w:val="28"/>
          <w:szCs w:val="28"/>
          <w:rtl/>
        </w:rPr>
        <w:t xml:space="preserve">خط: شکسته نستعلیق، بی کا، تا: محرم ۱۲۹۶ق [ف: ۷ - ۳۵۶]</w:t>
      </w:r>
    </w:p>
    <w:p>
      <w:pPr>
        <w:pStyle w:val="Heading3"/>
      </w:pPr>
      <w:bookmarkStart w:id="1567" w:name="_Toc1089"/>
      <w:r>
        <w:t>اسقاط العدة / فقه / عربی</w:t>
      </w:r>
      <w:bookmarkEnd w:id="1567"/>
    </w:p>
    <w:p>
      <w:pPr>
        <w:pStyle w:val="BookText"/>
      </w:pPr>
      <w:r>
        <w:rPr>
          <w:rFonts w:ascii="Times New Roman" w:hAnsi="Times New Roman" w:eastAsia="Times New Roman" w:cs="Times New Roman"/>
          <w:lang w:val="en-US" w:bidi="en-US"/>
          <w:color w:val="111111"/>
          <w:sz w:val="28"/>
          <w:szCs w:val="28"/>
          <w:rtl/>
        </w:rPr>
        <w:t xml:space="preserve">isqāṭ-ul-‘idda</w:t>
      </w:r>
    </w:p>
    <w:p>
      <w:pPr>
        <w:pStyle w:val="BookText"/>
      </w:pPr>
      <w:r>
        <w:rPr>
          <w:rFonts w:ascii="IRNazanin" w:hAnsi="IRNazanin" w:eastAsia="IRNazanin" w:cs="IRNazanin"/>
          <w:lang w:bidi="fa-IR"/>
          <w:color w:val="111111"/>
          <w:sz w:val="28"/>
          <w:szCs w:val="28"/>
          <w:rtl/>
        </w:rPr>
        <w:t xml:space="preserve">یکی از حیله های فقهی است برای اسقاط عده زوجيت منسوب به محقق کرکی نویسنده فائده به نقل از جماعتی از مشایخ صحت نسبت این قول را به کرکی را نفی می کند و می گوید  ثابت نشده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مجلس؛ شماره نسخه: ۱۲۰۲/۲۸-ط</w:t>
      </w:r>
    </w:p>
    <w:p>
      <w:pPr>
        <w:pStyle w:val="BookText"/>
      </w:pPr>
      <w:r>
        <w:rPr>
          <w:rFonts w:ascii="IRNazanin" w:hAnsi="IRNazanin" w:eastAsia="IRNazanin" w:cs="IRNazanin"/>
          <w:lang w:bidi="fa-IR"/>
          <w:color w:val="111111"/>
          <w:sz w:val="28"/>
          <w:szCs w:val="28"/>
          <w:rtl/>
        </w:rPr>
        <w:t xml:space="preserve">آغاز: فائده اشتهربین جماعة من الطلبه حيلة فى اسقاط العدة و نسبها بعضهم الى المحقق الشيخ على؛ انجام: قد وقع التصريح في الاحاديث الكثيره و في فتوى علمائنا بوجوب العده هنا على المراة بالنسبة الى غير الزوج</w:t>
      </w:r>
    </w:p>
    <w:p>
      <w:pPr>
        <w:pStyle w:val="BookText"/>
      </w:pPr>
      <w:r>
        <w:rPr>
          <w:rFonts w:ascii="IRNazanin" w:hAnsi="IRNazanin" w:eastAsia="IRNazanin" w:cs="IRNazanin"/>
          <w:lang w:bidi="fa-IR"/>
          <w:color w:val="111111"/>
          <w:sz w:val="28"/>
          <w:szCs w:val="28"/>
          <w:rtl/>
        </w:rPr>
        <w:t xml:space="preserve">خط: نستعلیق، بی کا، تا: قرن ۱۳، ۳۶گ [ف: ۲۳ – ۷۲۳]</w:t>
      </w:r>
    </w:p>
    <w:p>
      <w:pPr>
        <w:pStyle w:val="BookText"/>
      </w:pPr>
      <w:r>
        <w:rPr>
          <w:rFonts w:ascii="IRNazanin" w:hAnsi="IRNazanin" w:eastAsia="IRNazanin" w:cs="IRNazanin"/>
          <w:lang w:bidi="fa-IR"/>
          <w:color w:val="111111"/>
          <w:sz w:val="28"/>
          <w:szCs w:val="28"/>
          <w:rtl/>
        </w:rPr>
        <w:t xml:space="preserve">۲. تهران؛ مجلس؛ شماره نسخه: ۱۳۸۳۳/۵</w:t>
      </w:r>
    </w:p>
    <w:p>
      <w:pPr>
        <w:pStyle w:val="BookText"/>
      </w:pPr>
      <w:r>
        <w:rPr>
          <w:rFonts w:ascii="IRNazanin" w:hAnsi="IRNazanin" w:eastAsia="IRNazanin" w:cs="IRNazanin"/>
          <w:lang w:bidi="fa-IR"/>
          <w:color w:val="111111"/>
          <w:sz w:val="28"/>
          <w:szCs w:val="28"/>
          <w:rtl/>
        </w:rPr>
        <w:t xml:space="preserve">تذکر: در ضمن شماره فوق آمده است؛ خط: نسخ، کا: محمد حسین بن احمد شهر بابکی مشهور به  کرمانی، تا: ۱۲۵۶ق [ف ۳۷ - ۳۸۷]</w:t>
      </w:r>
    </w:p>
    <w:p>
      <w:pPr>
        <w:pStyle w:val="Heading3"/>
      </w:pPr>
      <w:bookmarkStart w:id="1568" w:name="_Toc1090"/>
      <w:r>
        <w:t>اسقاط همزة الوصل في الحكاية / نحو / عربي</w:t>
      </w:r>
      <w:bookmarkEnd w:id="1568"/>
    </w:p>
    <w:p>
      <w:pPr>
        <w:pStyle w:val="BookText"/>
      </w:pPr>
      <w:r>
        <w:rPr>
          <w:rFonts w:ascii="IRNazanin" w:hAnsi="IRNazanin" w:eastAsia="IRNazanin" w:cs="IRNazanin"/>
          <w:lang w:bidi="fa-IR"/>
          <w:color w:val="111111"/>
          <w:sz w:val="28"/>
          <w:szCs w:val="28"/>
          <w:rtl/>
        </w:rPr>
        <w:t xml:space="preserve">و</w:t>
      </w:r>
      <w:r>
        <w:rPr>
          <w:rFonts w:ascii="Times New Roman" w:hAnsi="Times New Roman" w:eastAsia="Times New Roman" w:cs="Times New Roman"/>
          <w:lang w:val="en-US" w:bidi="en-US"/>
          <w:color w:val="111111"/>
          <w:sz w:val="28"/>
          <w:szCs w:val="28"/>
          <w:rtl/>
        </w:rPr>
        <w:t xml:space="preserve">isqat-u hamzat-il-wasl fi-l-hikaya</w:t>
      </w:r>
    </w:p>
    <w:p>
      <w:pPr>
        <w:pStyle w:val="BookText"/>
      </w:pPr>
      <w:r>
        <w:rPr>
          <w:rFonts w:ascii="IRNazanin" w:hAnsi="IRNazanin" w:eastAsia="IRNazanin" w:cs="IRNazanin"/>
          <w:lang w:bidi="fa-IR"/>
          <w:color w:val="111111"/>
          <w:sz w:val="28"/>
          <w:szCs w:val="28"/>
          <w:rtl/>
        </w:rPr>
        <w:t xml:space="preserve">حسینی میبدی، علی بن محمد علی، - ۱۳۱۳ قمری</w:t>
      </w:r>
    </w:p>
    <w:p>
      <w:pPr>
        <w:pStyle w:val="BookText"/>
      </w:pPr>
      <w:r>
        <w:rPr>
          <w:rFonts w:ascii="IRNazanin" w:hAnsi="IRNazanin" w:eastAsia="IRNazanin" w:cs="IRNazanin"/>
          <w:lang w:bidi="fa-IR"/>
          <w:color w:val="111111"/>
          <w:sz w:val="28"/>
          <w:szCs w:val="28"/>
          <w:rtl/>
        </w:rPr>
        <w:t xml:space="preserve">تاریخ تألیف: ۱۴ جمادی الثانی ،۱۳۰۵ق، محل تألیف: کرمانشاه رساله در اثبات این که جمله «فقلت اذکرونی» که در یکی از دعاهای صحیفه سجادیه  آمده، به وصل همزه «اذکرونی» باید خوانده شود نه به قطع آن چنان که یکی از علما پنداشته است.</w:t>
      </w:r>
    </w:p>
    <w:p>
      <w:pPr>
        <w:pStyle w:val="BookText"/>
      </w:pPr>
      <w:r>
        <w:rPr>
          <w:rFonts w:ascii="Amiri" w:hAnsi="Amiri" w:eastAsia="Amiri" w:cs="Amiri"/>
          <w:lang w:bidi="ar-SA"/>
          <w:color w:val="111111"/>
          <w:sz w:val="28"/>
          <w:szCs w:val="28"/>
          <w:rtl/>
        </w:rPr>
        <w:t xml:space="preserve">آغاز: الحمد لله... و بعد فهذه كلمة بالغة و مقالة سابغة وحكاية عن حكاية رائعة</w:t>
      </w:r>
    </w:p>
    <w:p>
      <w:pPr>
        <w:pStyle w:val="BookText"/>
      </w:pPr>
      <w:r>
        <w:rPr>
          <w:rFonts w:ascii="Amiri" w:hAnsi="Amiri" w:eastAsia="Amiri" w:cs="Amiri"/>
          <w:lang w:bidi="ar-SA"/>
          <w:color w:val="111111"/>
          <w:sz w:val="28"/>
          <w:szCs w:val="28"/>
          <w:rtl/>
        </w:rPr>
        <w:t xml:space="preserve">انجام: و لعل ضيق الصبر و جمود الفكر و كدرالقريحة لا يقتضى ازيد من ذلك و فيه الكفاية انشاء الله</w:t>
      </w:r>
    </w:p>
    <w:p>
      <w:pPr>
        <w:pStyle w:val="BookText"/>
      </w:pPr>
      <w:r>
        <w:rPr>
          <w:rFonts w:ascii="IRNazanin" w:hAnsi="IRNazanin" w:eastAsia="IRNazanin" w:cs="IRNazanin"/>
          <w:lang w:bidi="fa-IR"/>
          <w:color w:val="111111"/>
          <w:sz w:val="28"/>
          <w:szCs w:val="28"/>
          <w:rtl/>
        </w:rPr>
        <w:t xml:space="preserve">[دنا ۸۱۱/۱]</w:t>
      </w:r>
    </w:p>
    <w:p>
      <w:pPr>
        <w:pStyle w:val="BookText"/>
      </w:pPr>
      <w:r>
        <w:rPr>
          <w:rFonts w:ascii="IRNazanin" w:hAnsi="IRNazanin" w:eastAsia="IRNazanin" w:cs="IRNazanin"/>
          <w:lang w:bidi="fa-IR"/>
          <w:color w:val="111111"/>
          <w:sz w:val="28"/>
          <w:szCs w:val="28"/>
          <w:rtl/>
        </w:rPr>
        <w:t xml:space="preserve">مشهد؛ میبدی؛ شماره نسخه: ۲/۷</w:t>
      </w:r>
    </w:p>
    <w:p>
      <w:pPr>
        <w:pStyle w:val="BookText"/>
      </w:pPr>
      <w:r>
        <w:rPr>
          <w:rFonts w:ascii="IRNazanin" w:hAnsi="IRNazanin" w:eastAsia="IRNazanin" w:cs="IRNazanin"/>
          <w:lang w:bidi="fa-IR"/>
          <w:color w:val="111111"/>
          <w:sz w:val="28"/>
          <w:szCs w:val="28"/>
          <w:rtl/>
        </w:rPr>
        <w:t xml:space="preserve">آغاز: الحمد لله .... و بعد فهذه كلمة بالغة ومقالة سابغة و حكاية عن حكاية رائعة؛ انجام: و لعل ضيق الصبر و جمود الفكر و کدر القريحة لا يقتضى ازيد من ذلك و فيه الكفاية انشاء الله</w:t>
      </w:r>
    </w:p>
    <w:p>
      <w:pPr>
        <w:pStyle w:val="BookText"/>
      </w:pPr>
      <w:r>
        <w:rPr>
          <w:rFonts w:ascii="IRNazanin" w:hAnsi="IRNazanin" w:eastAsia="IRNazanin" w:cs="IRNazanin"/>
          <w:lang w:bidi="fa-IR"/>
          <w:color w:val="111111"/>
          <w:sz w:val="28"/>
          <w:szCs w:val="28"/>
          <w:rtl/>
        </w:rPr>
        <w:t xml:space="preserve">خط: نستعليق، كاتب- مؤلف، بی تا، مصحح؛ جلد: تيماج  قهوه ای، ۵ ص( ۷۳-۶۹)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۳۲/۵سم [ف: ۱ - ۱۳]</w:t>
      </w:r>
    </w:p>
    <w:p>
      <w:pPr>
        <w:pStyle w:val="BookText"/>
      </w:pPr>
      <w:r>
        <w:rPr>
          <w:rFonts w:ascii="IRNazanin" w:hAnsi="IRNazanin" w:eastAsia="IRNazanin" w:cs="IRNazanin"/>
          <w:lang w:bidi="fa-IR"/>
          <w:color w:val="111111"/>
          <w:sz w:val="28"/>
          <w:szCs w:val="28"/>
          <w:rtl/>
        </w:rPr>
        <w:t xml:space="preserve">کرمانشاه؛ میبدی (خاندان)؛ شماره نسخه: ۲/۷مشهد</w:t>
      </w:r>
    </w:p>
    <w:p>
      <w:pPr>
        <w:pStyle w:val="BookText"/>
      </w:pPr>
      <w:r>
        <w:rPr>
          <w:rFonts w:ascii="IRNazanin" w:hAnsi="IRNazanin" w:eastAsia="IRNazanin" w:cs="IRNazanin"/>
          <w:lang w:bidi="fa-IR"/>
          <w:color w:val="111111"/>
          <w:sz w:val="28"/>
          <w:szCs w:val="28"/>
          <w:rtl/>
        </w:rPr>
        <w:t xml:space="preserve">همان نسخه بالا [ف - ۱۲۳]</w:t>
      </w:r>
    </w:p>
    <w:p>
      <w:pPr>
        <w:pStyle w:val="BookText"/>
      </w:pPr>
      <w:r>
        <w:rPr>
          <w:rFonts w:ascii="IRNazanin" w:hAnsi="IRNazanin" w:eastAsia="IRNazanin" w:cs="IRNazanin"/>
          <w:lang w:bidi="fa-IR"/>
          <w:color w:val="111111"/>
          <w:sz w:val="28"/>
          <w:szCs w:val="28"/>
          <w:rtl/>
        </w:rPr>
        <w:t xml:space="preserve">قم؛ مرکز احیاء؛ شماره نسخه: ۲۱۳۲/۷</w:t>
      </w:r>
    </w:p>
    <w:p>
      <w:pPr>
        <w:pStyle w:val="BookText"/>
      </w:pPr>
      <w:r>
        <w:rPr>
          <w:rFonts w:ascii="IRNazanin" w:hAnsi="IRNazanin" w:eastAsia="IRNazanin" w:cs="IRNazanin"/>
          <w:lang w:bidi="fa-IR"/>
          <w:color w:val="111111"/>
          <w:sz w:val="28"/>
          <w:szCs w:val="28"/>
          <w:rtl/>
        </w:rPr>
        <w:t xml:space="preserve">نسخه اصل: همان نسخه بالا [ عکسی ف: ۶ - ۱۵۹]</w:t>
      </w:r>
    </w:p>
    <w:p>
      <w:pPr>
        <w:pStyle w:val="Heading3"/>
      </w:pPr>
      <w:bookmarkStart w:id="1569" w:name="_Toc1091"/>
      <w:r>
        <w:t>اسکناس / متفرقه / فارسی</w:t>
      </w:r>
      <w:bookmarkEnd w:id="1569"/>
    </w:p>
    <w:p>
      <w:pPr>
        <w:pStyle w:val="BookText"/>
      </w:pPr>
      <w:r>
        <w:rPr>
          <w:rFonts w:ascii="Times New Roman" w:hAnsi="Times New Roman" w:eastAsia="Times New Roman" w:cs="Times New Roman"/>
          <w:lang w:val="en-US" w:bidi="en-US"/>
          <w:color w:val="111111"/>
          <w:sz w:val="28"/>
          <w:szCs w:val="28"/>
          <w:rtl/>
        </w:rPr>
        <w:t xml:space="preserve">eskenās</w:t>
      </w:r>
    </w:p>
    <w:p>
      <w:pPr>
        <w:pStyle w:val="BookText"/>
      </w:pPr>
      <w:r>
        <w:rPr>
          <w:rFonts w:ascii="IRNazanin" w:hAnsi="IRNazanin" w:eastAsia="IRNazanin" w:cs="IRNazanin"/>
          <w:lang w:bidi="fa-IR"/>
          <w:color w:val="111111"/>
          <w:sz w:val="28"/>
          <w:szCs w:val="28"/>
          <w:rtl/>
        </w:rPr>
        <w:t xml:space="preserve">جعفر قلی خان، ق۱۳ قمری</w:t>
      </w:r>
    </w:p>
    <w:p>
      <w:pPr>
        <w:pStyle w:val="BookText"/>
      </w:pPr>
      <w:r>
        <w:rPr>
          <w:rFonts w:ascii="Times New Roman" w:hAnsi="Times New Roman" w:eastAsia="Times New Roman" w:cs="Times New Roman"/>
          <w:lang w:val="en-US" w:bidi="en-US"/>
          <w:color w:val="111111"/>
          <w:sz w:val="28"/>
          <w:szCs w:val="28"/>
          <w:rtl/>
        </w:rPr>
        <w:t xml:space="preserve">(ja'far qolī xan (- 19c)</w:t>
      </w:r>
    </w:p>
    <w:p>
      <w:pPr>
        <w:pStyle w:val="BookText"/>
      </w:pPr>
      <w:r>
        <w:rPr>
          <w:rFonts w:ascii="IRNazanin" w:hAnsi="IRNazanin" w:eastAsia="IRNazanin" w:cs="IRNazanin"/>
          <w:lang w:bidi="fa-IR"/>
          <w:color w:val="111111"/>
          <w:sz w:val="28"/>
          <w:szCs w:val="28"/>
          <w:rtl/>
        </w:rPr>
        <w:t xml:space="preserve">تهران؛ حقوق؛ شماره نسخه: ۳۶۹/۳ - ج</w:t>
      </w:r>
    </w:p>
    <w:p>
      <w:pPr>
        <w:pStyle w:val="BookText"/>
      </w:pPr>
      <w:r>
        <w:rPr>
          <w:rFonts w:ascii="IRNazanin" w:hAnsi="IRNazanin" w:eastAsia="IRNazanin" w:cs="IRNazanin"/>
          <w:lang w:bidi="fa-IR"/>
          <w:color w:val="111111"/>
          <w:sz w:val="28"/>
          <w:szCs w:val="28"/>
          <w:rtl/>
        </w:rPr>
        <w:t xml:space="preserve">آغاز: بسم  الله تعالى شأنه العزيز رواج و اداره اسکناس که در عرف قدیم چاو میگفته اند و درختائیان معمول بوده است و در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319" w:name="pg20365_260440"/>
    <w:bookmarkEnd w:id="319"/>
    <w:p>
      <w:pPr>
        <w:pStyle w:val="BookText"/>
      </w:pPr>
      <w:r>
        <w:rPr>
          <w:rFonts w:ascii="IRNazanin" w:hAnsi="IRNazanin" w:eastAsia="IRNazanin" w:cs="IRNazanin"/>
          <w:lang w:bidi="fa-IR"/>
          <w:color w:val="111111"/>
          <w:sz w:val="28"/>
          <w:szCs w:val="28"/>
          <w:rtl/>
        </w:rPr>
        <w:t xml:space="preserve">عهد کیخاتو در ایران نیز یک دو سال معمول شده است؛ انجـام: کتابچه دیگر کرده بعرض خواهیم رسانید حرر في ۵ ربیع  الثانی ۱۲۹۱</w:t>
      </w:r>
    </w:p>
    <w:p>
      <w:pPr>
        <w:pStyle w:val="BookText"/>
      </w:pPr>
      <w:r>
        <w:rPr>
          <w:rFonts w:ascii="IRNazanin" w:hAnsi="IRNazanin" w:eastAsia="IRNazanin" w:cs="IRNazanin"/>
          <w:lang w:bidi="fa-IR"/>
          <w:color w:val="111111"/>
          <w:sz w:val="28"/>
          <w:szCs w:val="28"/>
          <w:rtl/>
        </w:rPr>
        <w:t xml:space="preserve">خط: نستعليق كاتب - مؤلف، تا: ۵ ربیع الثانى ۱۲۹۱ق؛ كاغذ:  کبود ،فرنگی ،جلد: تیماج سبز ضربی ،مقوایی ۲گ (۱۹پ- ۲۰ پ)، ۱۲ سطر (۸/۵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 اندازه: 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۱۵/۵سم [ف: ۸۰]</w:t>
      </w:r>
    </w:p>
    <w:p>
      <w:pPr>
        <w:pStyle w:val="Heading3"/>
      </w:pPr>
      <w:bookmarkStart w:id="1570" w:name="_Toc1092"/>
      <w:r>
        <w:t>اسکندر / داستان / فارسی</w:t>
      </w:r>
      <w:bookmarkEnd w:id="1570"/>
    </w:p>
    <w:p>
      <w:pPr>
        <w:pStyle w:val="BookText"/>
      </w:pPr>
      <w:r>
        <w:rPr>
          <w:rFonts w:ascii="Times New Roman" w:hAnsi="Times New Roman" w:eastAsia="Times New Roman" w:cs="Times New Roman"/>
          <w:lang w:val="en-US" w:bidi="en-US"/>
          <w:color w:val="111111"/>
          <w:sz w:val="28"/>
          <w:szCs w:val="28"/>
          <w:rtl/>
        </w:rPr>
        <w:t xml:space="preserve">eskandar</w:t>
      </w:r>
    </w:p>
    <w:p>
      <w:pPr>
        <w:pStyle w:val="BookText"/>
      </w:pPr>
      <w:r>
        <w:rPr>
          <w:rFonts w:ascii="IRNazanin" w:hAnsi="IRNazanin" w:eastAsia="IRNazanin" w:cs="IRNazanin"/>
          <w:lang w:bidi="fa-IR"/>
          <w:color w:val="111111"/>
          <w:sz w:val="28"/>
          <w:szCs w:val="28"/>
          <w:rtl/>
        </w:rPr>
        <w:t xml:space="preserve">تهران؛ مطالعات فرهنگی؛ شماره نسخه: ۳۷۳</w:t>
      </w:r>
      <w:r>
        <w:rPr>
          <w:rFonts w:ascii="Times New Roman" w:hAnsi="Times New Roman" w:eastAsia="Times New Roman" w:cs="Times New Roman"/>
          <w:lang w:val="en-US" w:bidi="en-US"/>
          <w:color w:val="111111"/>
          <w:sz w:val="28"/>
          <w:szCs w:val="28"/>
          <w:rtl/>
        </w:rPr>
        <w:t xml:space="preserve">B</w:t>
      </w:r>
    </w:p>
    <w:p>
      <w:pPr>
        <w:pStyle w:val="BookText"/>
      </w:pPr>
      <w:r>
        <w:rPr>
          <w:rFonts w:ascii="IRNazanin" w:hAnsi="IRNazanin" w:eastAsia="IRNazanin" w:cs="IRNazanin"/>
          <w:lang w:bidi="fa-IR"/>
          <w:color w:val="111111"/>
          <w:sz w:val="28"/>
          <w:szCs w:val="28"/>
          <w:rtl/>
        </w:rPr>
        <w:t xml:space="preserve">به نثر و نظم، جز اسکندرنامه ۳۷۷</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قرطای۲۲۵۸ تا 2260و ۲۷۴۴ تا ۲۷۸۵ - ریو ۱۶۲ تا ۱۶۴؛ خط: نسخ ،معرب بی کا، تا: قرن ۱۰، ص ۱ نونویس [نشریه: ۱۱ - ۳۹۱]</w:t>
      </w:r>
    </w:p>
    <w:p>
      <w:pPr>
        <w:pStyle w:val="Heading3"/>
      </w:pPr>
      <w:bookmarkStart w:id="1571" w:name="_Toc1093"/>
      <w:r>
        <w:t>اسکندر بدخمه شاهان - اسکندر و دخمه شاهان  / داستان / فارسی</w:t>
      </w:r>
      <w:bookmarkEnd w:id="1571"/>
    </w:p>
    <w:p>
      <w:pPr>
        <w:pStyle w:val="BookText"/>
      </w:pPr>
      <w:r>
        <w:rPr>
          <w:rFonts w:ascii="Times New Roman" w:hAnsi="Times New Roman" w:eastAsia="Times New Roman" w:cs="Times New Roman"/>
          <w:lang w:val="en-US" w:bidi="en-US"/>
          <w:color w:val="111111"/>
          <w:sz w:val="28"/>
          <w:szCs w:val="28"/>
          <w:rtl/>
        </w:rPr>
        <w:t xml:space="preserve">eskandar be-daxme-ye šāhān = eskandar va daxme-ye</w:t>
      </w:r>
    </w:p>
    <w:p>
      <w:pPr>
        <w:pStyle w:val="BookText"/>
      </w:pPr>
      <w:r>
        <w:rPr>
          <w:rFonts w:ascii="Times New Roman" w:hAnsi="Times New Roman" w:eastAsia="Times New Roman" w:cs="Times New Roman"/>
          <w:lang w:val="en-US" w:bidi="en-US"/>
          <w:color w:val="111111"/>
          <w:sz w:val="28"/>
          <w:szCs w:val="28"/>
          <w:rtl/>
        </w:rPr>
        <w:t xml:space="preserve">šāsahan</w:t>
      </w:r>
    </w:p>
    <w:p>
      <w:pPr>
        <w:pStyle w:val="BookText"/>
      </w:pPr>
      <w:r>
        <w:rPr>
          <w:rFonts w:ascii="IRNazanin" w:hAnsi="IRNazanin" w:eastAsia="IRNazanin" w:cs="IRNazanin"/>
          <w:lang w:bidi="fa-IR"/>
          <w:color w:val="111111"/>
          <w:sz w:val="28"/>
          <w:szCs w:val="28"/>
          <w:rtl/>
        </w:rPr>
        <w:t xml:space="preserve">داستان اسکندر و رفتن او به دخمه شاهان و گفتگو با آنان با استفاده  از اشعار فارسی، پند آموز و اخلاقی است که به صورت یک داستان عبرت  آموز، نگارش یافته است.</w:t>
      </w:r>
    </w:p>
    <w:p>
      <w:pPr>
        <w:pStyle w:val="BookText"/>
      </w:pPr>
      <w:r>
        <w:rPr>
          <w:rFonts w:ascii="IRNazanin" w:hAnsi="IRNazanin" w:eastAsia="IRNazanin" w:cs="IRNazanin"/>
          <w:lang w:bidi="fa-IR"/>
          <w:color w:val="111111"/>
          <w:sz w:val="28"/>
          <w:szCs w:val="28"/>
          <w:rtl/>
        </w:rPr>
        <w:t xml:space="preserve">قم؛ مرعشی؛ شماره نسخه: ۱۴۲۴۴/۱۰</w:t>
      </w:r>
    </w:p>
    <w:p>
      <w:pPr>
        <w:pStyle w:val="BookText"/>
      </w:pPr>
      <w:r>
        <w:rPr>
          <w:rFonts w:ascii="IRNazanin" w:hAnsi="IRNazanin" w:eastAsia="IRNazanin" w:cs="IRNazanin"/>
          <w:lang w:bidi="fa-IR"/>
          <w:color w:val="111111"/>
          <w:sz w:val="28"/>
          <w:szCs w:val="28"/>
          <w:rtl/>
        </w:rPr>
        <w:t xml:space="preserve">آغاز: در آمدن حضرت اسکندر بدخمه شاهان: سه شب پی  در خاب (كذا) دیدند که جمعی می گویندای حضرت ایـنجا رسیده قدم رنجه فرموده؛ انجام: مگر از کوه چیزی نموده باشد غیر از کوه چیزی از عمارت ظاهر نمی شود و الله أعلم</w:t>
      </w:r>
    </w:p>
    <w:p>
      <w:pPr>
        <w:pStyle w:val="BookText"/>
      </w:pPr>
      <w:r>
        <w:rPr>
          <w:rFonts w:ascii="IRNazanin" w:hAnsi="IRNazanin" w:eastAsia="IRNazanin" w:cs="IRNazanin"/>
          <w:lang w:bidi="fa-IR"/>
          <w:color w:val="111111"/>
          <w:sz w:val="28"/>
          <w:szCs w:val="28"/>
          <w:rtl/>
        </w:rPr>
        <w:t xml:space="preserve">خط: نستعلیق ترکستانی  خفی، کا: فقیر بخارایی، تا: ۱۲۹۷ق؛ کاغذ: شرقی، ۱۷گ (۶۴۷-۶۶۳)، ۱۵ سطر، اندازه: 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  سم[ف: ۳۶ - ۵۷]</w:t>
      </w:r>
    </w:p>
    <w:p>
      <w:pPr>
        <w:pStyle w:val="BookText"/>
      </w:pPr>
      <w:r>
        <w:rPr>
          <w:rFonts w:ascii="IRNazanin" w:hAnsi="IRNazanin" w:eastAsia="IRNazanin" w:cs="IRNazanin"/>
          <w:lang w:bidi="fa-IR"/>
          <w:color w:val="111111"/>
          <w:sz w:val="28"/>
          <w:szCs w:val="28"/>
          <w:rtl/>
        </w:rPr>
        <w:t xml:space="preserve">«اسکندر نامه » حکایت پادشاه آزادبخت</w:t>
      </w:r>
    </w:p>
    <w:p>
      <w:pPr>
        <w:pStyle w:val="BookText"/>
      </w:pPr>
      <w:r>
        <w:rPr>
          <w:rFonts w:ascii="IRNazanin" w:hAnsi="IRNazanin" w:eastAsia="IRNazanin" w:cs="IRNazanin"/>
          <w:lang w:bidi="fa-IR"/>
          <w:color w:val="111111"/>
          <w:sz w:val="28"/>
          <w:szCs w:val="28"/>
          <w:rtl/>
        </w:rPr>
        <w:t xml:space="preserve">«اسکندر نامه » خردنامه اسکندری</w:t>
      </w:r>
    </w:p>
    <w:p>
      <w:pPr>
        <w:pStyle w:val="BookText"/>
      </w:pPr>
      <w:r>
        <w:rPr>
          <w:rFonts w:ascii="IRNazanin" w:hAnsi="IRNazanin" w:eastAsia="IRNazanin" w:cs="IRNazanin"/>
          <w:lang w:bidi="fa-IR"/>
          <w:color w:val="111111"/>
          <w:sz w:val="28"/>
          <w:szCs w:val="28"/>
          <w:rtl/>
        </w:rPr>
        <w:t xml:space="preserve">«اسکندر نامه » آیینه اسکندری</w:t>
      </w:r>
    </w:p>
    <w:p>
      <w:pPr>
        <w:pStyle w:val="Heading3"/>
      </w:pPr>
      <w:bookmarkStart w:id="1572" w:name="_Toc1094"/>
      <w:r>
        <w:t>اسکندر نامه / داستان / فارسی</w:t>
      </w:r>
      <w:bookmarkEnd w:id="1572"/>
    </w:p>
    <w:p>
      <w:pPr>
        <w:pStyle w:val="BookText"/>
      </w:pPr>
      <w:r>
        <w:rPr>
          <w:rFonts w:ascii="Times New Roman" w:hAnsi="Times New Roman" w:eastAsia="Times New Roman" w:cs="Times New Roman"/>
          <w:lang w:val="en-US" w:bidi="en-US"/>
          <w:color w:val="111111"/>
          <w:sz w:val="28"/>
          <w:szCs w:val="28"/>
          <w:rtl/>
        </w:rPr>
        <w:t xml:space="preserve">eskandar-nāme</w:t>
      </w:r>
    </w:p>
    <w:p>
      <w:pPr>
        <w:pStyle w:val="BookText"/>
      </w:pPr>
      <w:r>
        <w:rPr>
          <w:rFonts w:ascii="IRNazanin" w:hAnsi="IRNazanin" w:eastAsia="IRNazanin" w:cs="IRNazanin"/>
          <w:lang w:bidi="fa-IR"/>
          <w:color w:val="111111"/>
          <w:sz w:val="28"/>
          <w:szCs w:val="28"/>
          <w:rtl/>
        </w:rPr>
        <w:t xml:space="preserve">طرطوسی، ابوطاهر بن حسن، ق ۶ قمری</w:t>
      </w:r>
    </w:p>
    <w:p>
      <w:pPr>
        <w:pStyle w:val="BookText"/>
      </w:pPr>
      <w:r>
        <w:rPr>
          <w:rFonts w:ascii="Times New Roman" w:hAnsi="Times New Roman" w:eastAsia="Times New Roman" w:cs="Times New Roman"/>
          <w:lang w:val="en-US" w:bidi="en-US"/>
          <w:color w:val="111111"/>
          <w:sz w:val="28"/>
          <w:szCs w:val="28"/>
          <w:rtl/>
        </w:rPr>
        <w:t xml:space="preserve">(tūsī, abū-tāher ebn-e hasan (- 12c)</w:t>
      </w:r>
    </w:p>
    <w:p>
      <w:pPr>
        <w:pStyle w:val="BookText"/>
      </w:pPr>
      <w:r>
        <w:rPr>
          <w:rFonts w:ascii="IRNazanin" w:hAnsi="IRNazanin" w:eastAsia="IRNazanin" w:cs="IRNazanin"/>
          <w:lang w:bidi="fa-IR"/>
          <w:color w:val="111111"/>
          <w:sz w:val="28"/>
          <w:szCs w:val="28"/>
          <w:rtl/>
        </w:rPr>
        <w:t xml:space="preserve">داستان سرگذشت و جهانگشایی های اسکندر پسر داراب پسر اردشیر و برادر پوراندخت دختر دارا است از ابوطاهر طرطوسی در برخی نسخه ها یاد شده است. در نسبت آن به طرطوسی تردید شده است در این دفتر اسکندر پادشاه دانسته شده  نه پیامبر از داستان «تولد اسکندر از مادری ناهید نام و پدری به نام داراب ارده شیر و اینکه فیروز شاه می خواست او را به آب بیاندازد ولی او ازین آسیب رهید و سرانجام فیروز شاه را به کیفر رساند» آغاز می شود و می رسد به داستان رفتن اسکندر به بیت القدس در بسیاری از جاها دارد «اما مؤلف اخبار و (گذارنده اسرار) ابوطاهر طرسوسی چنین روایت می کند »و و در آن جز این عنوان دیگری نیست بر خلاف نسخه نفیسی که عنوان های مطالب را در جای خود دارد.</w:t>
      </w:r>
    </w:p>
    <w:p>
      <w:pPr>
        <w:pStyle w:val="BookText"/>
      </w:pPr>
      <w:r>
        <w:rPr>
          <w:rFonts w:ascii="IRNazanin" w:hAnsi="IRNazanin" w:eastAsia="IRNazanin" w:cs="IRNazanin"/>
          <w:lang w:bidi="fa-IR"/>
          <w:color w:val="111111"/>
          <w:sz w:val="28"/>
          <w:szCs w:val="28"/>
          <w:rtl/>
        </w:rPr>
        <w:t xml:space="preserve">آغاز: بسمله حمدله ... شکر بیحد و ثنای بی عدد پادشاهی را سزد  که وجود هر موجود نتیجه وجود اوست و حمد و ثنای</w:t>
      </w:r>
    </w:p>
    <w:p>
      <w:pPr>
        <w:pStyle w:val="BookText"/>
      </w:pPr>
      <w:r>
        <w:rPr>
          <w:rFonts w:ascii="IRNazanin" w:hAnsi="IRNazanin" w:eastAsia="IRNazanin" w:cs="IRNazanin"/>
          <w:lang w:bidi="fa-IR"/>
          <w:color w:val="111111"/>
          <w:sz w:val="28"/>
          <w:szCs w:val="28"/>
          <w:rtl/>
        </w:rPr>
        <w:t xml:space="preserve">۱. قم؛ مرعشی؛ شماره نسخه: ۱۰۹۳۳</w:t>
      </w:r>
    </w:p>
    <w:p>
      <w:pPr>
        <w:pStyle w:val="BookText"/>
      </w:pPr>
      <w:r>
        <w:rPr>
          <w:rFonts w:ascii="IRNazanin" w:hAnsi="IRNazanin" w:eastAsia="IRNazanin" w:cs="IRNazanin"/>
          <w:lang w:bidi="fa-IR"/>
          <w:color w:val="111111"/>
          <w:sz w:val="28"/>
          <w:szCs w:val="28"/>
          <w:rtl/>
        </w:rPr>
        <w:t xml:space="preserve">آغاز: بدید ایستاده باز شیر از پستان وی روان شد رشنواداشارت کرد که آن کودک کیست؛ انجام: دویست از آن رومیان را بگرفتند و بنزدیک اسکندر بیاوردند</w:t>
      </w:r>
    </w:p>
    <w:p>
      <w:pPr>
        <w:pStyle w:val="BookText"/>
      </w:pPr>
      <w:r>
        <w:rPr>
          <w:rFonts w:ascii="IRNazanin" w:hAnsi="IRNazanin" w:eastAsia="IRNazanin" w:cs="IRNazanin"/>
          <w:lang w:bidi="fa-IR"/>
          <w:color w:val="111111"/>
          <w:sz w:val="28"/>
          <w:szCs w:val="28"/>
          <w:rtl/>
        </w:rPr>
        <w:t xml:space="preserve">با عناوین «مولف اخبار و گزارنده اسرار ابوطاهر طرسوسی»؛ خط: نستعلیق، بی کا، تا: قرن ۱۰؛ افتادگی: آغاز و انجام؛ مجدول؛ جلد: تیماج ،مشکی، ۴۰۳گ، ۲۵ سطر،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۲۶سم [ف: ۲۷ - ۳۴۵]</w:t>
      </w:r>
    </w:p>
    <w:p>
      <w:pPr>
        <w:pStyle w:val="BookText"/>
      </w:pPr>
      <w:r>
        <w:rPr>
          <w:rFonts w:ascii="IRNazanin" w:hAnsi="IRNazanin" w:eastAsia="IRNazanin" w:cs="IRNazanin"/>
          <w:lang w:bidi="fa-IR"/>
          <w:color w:val="111111"/>
          <w:sz w:val="28"/>
          <w:szCs w:val="28"/>
          <w:rtl/>
        </w:rPr>
        <w:t xml:space="preserve">۲. تهران؛ دانشگاه؛ شماره نسخه: ۲۹۴۷</w:t>
      </w:r>
    </w:p>
    <w:p>
      <w:pPr>
        <w:pStyle w:val="BookText"/>
      </w:pPr>
      <w:r>
        <w:rPr>
          <w:rFonts w:ascii="IRNazanin" w:hAnsi="IRNazanin" w:eastAsia="IRNazanin" w:cs="IRNazanin"/>
          <w:lang w:bidi="fa-IR"/>
          <w:color w:val="111111"/>
          <w:sz w:val="28"/>
          <w:szCs w:val="28"/>
          <w:rtl/>
        </w:rPr>
        <w:t xml:space="preserve">آغاز: و هر کجا که میرسیدند منادی میکردند که هر که ظلم میکرده باشد در زیر پای پیل اندازند؛ انجام: و در کار من نگرید  که تمام تمام از من بوده و خزاین و عساکر را قیاس نبود.</w:t>
      </w:r>
    </w:p>
    <w:p>
      <w:pPr>
        <w:pStyle w:val="BookText"/>
      </w:pPr>
      <w:r>
        <w:rPr>
          <w:rFonts w:ascii="IRNazanin" w:hAnsi="IRNazanin" w:eastAsia="IRNazanin" w:cs="IRNazanin"/>
          <w:lang w:bidi="fa-IR"/>
          <w:color w:val="111111"/>
          <w:sz w:val="28"/>
          <w:szCs w:val="28"/>
          <w:rtl/>
        </w:rPr>
        <w:t xml:space="preserve">خط: نستعلیق، بی کا، تا : قرن ۱۱ ؛افتادگی: آغاز و انجام؛ کاغذ: ،سپاهانی، جلد: تیماج قهوه ای ضربی مقوایی، ۲۹۴گ، ۱۹ سطر (9</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۲۸سم [ف: ۱۰ - ۱۸۳۰]</w:t>
      </w:r>
    </w:p>
    <w:p>
      <w:pPr>
        <w:pStyle w:val="BookText"/>
      </w:pPr>
      <w:r>
        <w:rPr>
          <w:rFonts w:ascii="IRNazanin" w:hAnsi="IRNazanin" w:eastAsia="IRNazanin" w:cs="IRNazanin"/>
          <w:lang w:bidi="fa-IR"/>
          <w:color w:val="111111"/>
          <w:sz w:val="28"/>
          <w:szCs w:val="28"/>
          <w:rtl/>
        </w:rPr>
        <w:t xml:space="preserve">۳ .قم؛ طبسی؛ شماره نسخه: ۱۹/۳</w:t>
      </w:r>
    </w:p>
    <w:p>
      <w:pPr>
        <w:pStyle w:val="BookText"/>
      </w:pPr>
      <w:r>
        <w:rPr>
          <w:rFonts w:ascii="IRNazanin" w:hAnsi="IRNazanin" w:eastAsia="IRNazanin" w:cs="IRNazanin"/>
          <w:lang w:bidi="fa-IR"/>
          <w:color w:val="111111"/>
          <w:sz w:val="28"/>
          <w:szCs w:val="28"/>
          <w:rtl/>
        </w:rPr>
        <w:t xml:space="preserve">آغاز: برابر؛ انجام: من تنها و سرگردان و حیران ماندم نه پای رفتن ونه جای ماندن مبادا کارکس زین</w:t>
      </w:r>
    </w:p>
    <w:p>
      <w:pPr>
        <w:pStyle w:val="BookText"/>
      </w:pPr>
      <w:r>
        <w:rPr>
          <w:rFonts w:ascii="IRNazanin" w:hAnsi="IRNazanin" w:eastAsia="IRNazanin" w:cs="IRNazanin"/>
          <w:lang w:bidi="fa-IR"/>
          <w:color w:val="111111"/>
          <w:sz w:val="28"/>
          <w:szCs w:val="28"/>
          <w:rtl/>
        </w:rPr>
        <w:t xml:space="preserve">جلد اول و دوم؛ خط: تحریری،  بی کا، تا: محرم ۱۲۵۵ق) (پایان جلد اول)؛ افتادگی: انجام ؛جلد: تیماج قهوه ای ضربی دارای ترنج  با سر، مجدول ۲۰۲گ، اندازه: 21</w:t>
      </w:r>
      <w:r>
        <w:rPr>
          <w:rFonts w:ascii="Times New Roman" w:hAnsi="Times New Roman" w:eastAsia="Times New Roman" w:cs="Times New Roman"/>
          <w:lang w:val="en-US" w:bidi="en-US"/>
          <w:color w:val="111111"/>
          <w:sz w:val="28"/>
          <w:szCs w:val="28"/>
          <w:rtl/>
        </w:rPr>
        <w:t xml:space="preserve">×33</w:t>
      </w:r>
      <w:r>
        <w:rPr>
          <w:rFonts w:ascii="IRNazanin" w:hAnsi="IRNazanin" w:eastAsia="IRNazanin" w:cs="IRNazanin"/>
          <w:lang w:bidi="fa-IR"/>
          <w:color w:val="111111"/>
          <w:sz w:val="28"/>
          <w:szCs w:val="28"/>
          <w:rtl/>
        </w:rPr>
        <w:t xml:space="preserve">سم [طبسی مخ: ۱ - ۴۲]</w:t>
      </w:r>
    </w:p>
    <w:p>
      <w:pPr>
        <w:pStyle w:val="BookText"/>
      </w:pPr>
      <w:r>
        <w:rPr>
          <w:rFonts w:ascii="IRNazanin" w:hAnsi="IRNazanin" w:eastAsia="IRNazanin" w:cs="IRNazanin"/>
          <w:lang w:bidi="fa-IR"/>
          <w:color w:val="111111"/>
          <w:sz w:val="28"/>
          <w:szCs w:val="28"/>
          <w:rtl/>
        </w:rPr>
        <w:t xml:space="preserve">۴. یزد؛ کاظمینی؛ شماره نسخه: ۴۸۴</w:t>
      </w:r>
    </w:p>
    <w:p>
      <w:pPr>
        <w:pStyle w:val="BookText"/>
      </w:pPr>
      <w:r>
        <w:rPr>
          <w:rFonts w:ascii="IRNazanin" w:hAnsi="IRNazanin" w:eastAsia="IRNazanin" w:cs="IRNazanin"/>
          <w:lang w:bidi="fa-IR"/>
          <w:color w:val="111111"/>
          <w:sz w:val="28"/>
          <w:szCs w:val="28"/>
          <w:rtl/>
        </w:rPr>
        <w:t xml:space="preserve">آغاز: اما راویان اخبار و ناقلان آثار و طوطیان شکرشکن شیرین گفتار بدین گونه روایت کرده اند؛ انجام: و یک چهار پرده در دهان او گذاشت و یک مشت بزیر چانه اش زد که چهار پرده در دهانش فرو رفت که لال شد.</w:t>
      </w:r>
    </w:p>
    <w:p>
      <w:pPr>
        <w:pStyle w:val="BookText"/>
      </w:pPr>
      <w:r>
        <w:rPr>
          <w:rFonts w:ascii="IRNazanin" w:hAnsi="IRNazanin" w:eastAsia="IRNazanin" w:cs="IRNazanin"/>
          <w:lang w:bidi="fa-IR"/>
          <w:color w:val="111111"/>
          <w:sz w:val="28"/>
          <w:szCs w:val="28"/>
          <w:rtl/>
        </w:rPr>
        <w:t xml:space="preserve">خط: نستعلیق، بی کا، تا: قرن ۱۴؛ افتادگی: انجام ؛جلد: مقوایی ابر و باد عطف تیماج  مشکی، ۴۳گ، ۱۴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۲۲/۵سم[ف: ۲ - ۱۷۷]</w:t>
      </w:r>
    </w:p>
    <w:p>
      <w:pPr>
        <w:pStyle w:val="BookText"/>
      </w:pPr>
      <w:r>
        <w:rPr>
          <w:rFonts w:ascii="IRNazanin" w:hAnsi="IRNazanin" w:eastAsia="IRNazanin" w:cs="IRNazanin"/>
          <w:lang w:bidi="fa-IR"/>
          <w:color w:val="111111"/>
          <w:sz w:val="28"/>
          <w:szCs w:val="28"/>
          <w:rtl/>
        </w:rPr>
        <w:t xml:space="preserve">۵. یزد؛ وزیری؛ شماره نسخه: ۲۳۶</w:t>
      </w:r>
    </w:p>
    <w:p>
      <w:pPr>
        <w:pStyle w:val="BookText"/>
      </w:pPr>
      <w:r>
        <w:rPr>
          <w:rFonts w:ascii="IRNazanin" w:hAnsi="IRNazanin" w:eastAsia="IRNazanin" w:cs="IRNazanin"/>
          <w:lang w:bidi="fa-IR"/>
          <w:color w:val="111111"/>
          <w:sz w:val="28"/>
          <w:szCs w:val="28"/>
          <w:rtl/>
        </w:rPr>
        <w:t xml:space="preserve">آغاز: برابر؛ انجام: عروسی کردن اسکندر سکینه بانو را از جهت سلطان محمد و دختر سبكتكين ... القصه هر دو را مخلع ساختند و ... عشرت نمودند آقا جهان پناه هم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320" w:name="pg20365_260441"/>
    <w:bookmarkEnd w:id="320"/>
    <w:p>
      <w:pPr>
        <w:pStyle w:val="BookText"/>
      </w:pPr>
      <w:r>
        <w:rPr>
          <w:rFonts w:ascii="IRNazanin" w:hAnsi="IRNazanin" w:eastAsia="IRNazanin" w:cs="IRNazanin"/>
          <w:lang w:bidi="fa-IR"/>
          <w:color w:val="111111"/>
          <w:sz w:val="28"/>
          <w:szCs w:val="28"/>
          <w:rtl/>
        </w:rPr>
        <w:t xml:space="preserve">خط: نستعلیق؛ بی کا، تا: ۱۳۰۸ق؛ مهر: «حسین منی و انا من حسین »؛ تملک: حسین؛ اهدایی: علی اکبر ارسلان؛ کاغذ: حنایی آهار مهره، جلد: مقوایی تیماج مشکی ضربی زرین، ۳۰۹گ،24 سطر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۳۲/۵سم [ف: ۱ - ۲۳۷]</w:t>
      </w:r>
    </w:p>
    <w:p>
      <w:pPr>
        <w:pStyle w:val="Heading3"/>
      </w:pPr>
      <w:bookmarkStart w:id="1573" w:name="_Toc1095"/>
      <w:r>
        <w:t>اسکندرنامه = شرف نامه = اقبال نامه / شعر، تاریخ ایراد  - فارسی</w:t>
      </w:r>
      <w:bookmarkEnd w:id="1573"/>
    </w:p>
    <w:p>
      <w:pPr>
        <w:pStyle w:val="BookText"/>
      </w:pPr>
      <w:r>
        <w:rPr>
          <w:rFonts w:ascii="Times New Roman" w:hAnsi="Times New Roman" w:eastAsia="Times New Roman" w:cs="Times New Roman"/>
          <w:lang w:val="en-US" w:bidi="en-US"/>
          <w:color w:val="111111"/>
          <w:sz w:val="28"/>
          <w:szCs w:val="28"/>
          <w:rtl/>
        </w:rPr>
        <w:t xml:space="preserve">eskandar-nāme = šaraf-nāme = eqbāl- nāme</w:t>
      </w:r>
    </w:p>
    <w:p>
      <w:pPr>
        <w:pStyle w:val="BookText"/>
      </w:pPr>
      <w:r>
        <w:rPr>
          <w:rFonts w:ascii="IRNazanin" w:hAnsi="IRNazanin" w:eastAsia="IRNazanin" w:cs="IRNazanin"/>
          <w:lang w:bidi="fa-IR"/>
          <w:color w:val="111111"/>
          <w:sz w:val="28"/>
          <w:szCs w:val="28"/>
          <w:rtl/>
        </w:rPr>
        <w:t xml:space="preserve">نظامی، الیاس بن  یوسف، ۵۳۰؟ - ۶۱۴؟ قمری</w:t>
      </w:r>
    </w:p>
    <w:p>
      <w:pPr>
        <w:pStyle w:val="BookText"/>
      </w:pPr>
      <w:r>
        <w:rPr>
          <w:rFonts w:ascii="Times New Roman" w:hAnsi="Times New Roman" w:eastAsia="Times New Roman" w:cs="Times New Roman"/>
          <w:lang w:val="en-US" w:bidi="en-US"/>
          <w:color w:val="111111"/>
          <w:sz w:val="28"/>
          <w:szCs w:val="28"/>
          <w:rtl/>
        </w:rPr>
        <w:t xml:space="preserve">(nezāmī, elyās ebn-e yūsof (1136 - 1218)</w:t>
      </w:r>
    </w:p>
    <w:p>
      <w:pPr>
        <w:pStyle w:val="BookText"/>
      </w:pPr>
      <w:r>
        <w:rPr>
          <w:rFonts w:ascii="IRNazanin" w:hAnsi="IRNazanin" w:eastAsia="IRNazanin" w:cs="IRNazanin"/>
          <w:lang w:bidi="fa-IR"/>
          <w:color w:val="111111"/>
          <w:sz w:val="28"/>
          <w:szCs w:val="28"/>
          <w:rtl/>
        </w:rPr>
        <w:t xml:space="preserve">تاریخ تألیف : شرفنامه در ۵۷۹ق و اقبال نامه بین ۶۰۷ تا ۶۱۵ق پنجمین دفتر از «پنج گنج» نظامی است. منظومه ای است در بیان داستان حماسی اسکندر مقدونی که در بحر متقارب در دو بخش «شرف نامه» در ۶۸۰۰ بیت به نام اتابک نصرت الدین ابوبکر پسر محمد جهان پهلوان و «اقبال نامه» یا خردنامه در 3480 بيت به نام عز الدین مسعود پسر ارسلان حاکم موصل سروده شده و بیشتر اخلاقی است</w:t>
      </w:r>
    </w:p>
    <w:p>
      <w:pPr>
        <w:pStyle w:val="BookText"/>
      </w:pPr>
      <w:r>
        <w:rPr>
          <w:rFonts w:ascii="IRNazanin" w:hAnsi="IRNazanin" w:eastAsia="IRNazanin" w:cs="IRNazanin"/>
          <w:lang w:bidi="fa-IR"/>
          <w:color w:val="111111"/>
          <w:sz w:val="28"/>
          <w:szCs w:val="28"/>
          <w:rtl/>
        </w:rPr>
        <w:t xml:space="preserve">آغاز: (آغاز شرف نامه): خدایا جهان پادشاهی تراست ***زما خدمت آید خدائی تراست / پناه بلندی و پستی توئی *** هـمه نیستن آنچه هستی توئی</w:t>
      </w:r>
    </w:p>
    <w:p>
      <w:pPr>
        <w:pStyle w:val="BookText"/>
      </w:pPr>
      <w:r>
        <w:rPr>
          <w:rFonts w:ascii="IRNazanin" w:hAnsi="IRNazanin" w:eastAsia="IRNazanin" w:cs="IRNazanin"/>
          <w:lang w:bidi="fa-IR"/>
          <w:color w:val="111111"/>
          <w:sz w:val="28"/>
          <w:szCs w:val="28"/>
          <w:rtl/>
        </w:rPr>
        <w:t xml:space="preserve">(آغاز اقبال نامه:) خرد هر کجا گنجی آرد پدید *** ز نام خدا سازد آن را کلید</w:t>
      </w:r>
    </w:p>
    <w:p>
      <w:pPr>
        <w:pStyle w:val="BookText"/>
      </w:pPr>
      <w:r>
        <w:rPr>
          <w:rFonts w:ascii="IRNazanin" w:hAnsi="IRNazanin" w:eastAsia="IRNazanin" w:cs="IRNazanin"/>
          <w:lang w:bidi="fa-IR"/>
          <w:color w:val="111111"/>
          <w:sz w:val="28"/>
          <w:szCs w:val="28"/>
          <w:rtl/>
        </w:rPr>
        <w:t xml:space="preserve">انجام: (انجام شرف نامه:) جهان بر وجود تو فرخنده باد *** وجـود نظامی به تو زنده باد</w:t>
      </w:r>
    </w:p>
    <w:p>
      <w:pPr>
        <w:pStyle w:val="BookText"/>
      </w:pPr>
      <w:r>
        <w:rPr>
          <w:rFonts w:ascii="IRNazanin" w:hAnsi="IRNazanin" w:eastAsia="IRNazanin" w:cs="IRNazanin"/>
          <w:lang w:bidi="fa-IR"/>
          <w:color w:val="111111"/>
          <w:sz w:val="28"/>
          <w:szCs w:val="28"/>
          <w:rtl/>
        </w:rPr>
        <w:t xml:space="preserve">(انجام اقبال نامه:) بدو باد فرخنده چون نام او ***از آغاز او تا  به انجام او / سرش سبز باد و دلش شادمان *** ازو دور چشم بدگمان / جهانش مطیع و زمانش بکام *** فلک بنده و روزگارش غلام</w:t>
      </w:r>
    </w:p>
    <w:p>
      <w:pPr>
        <w:pStyle w:val="BookText"/>
      </w:pPr>
      <w:r>
        <w:rPr>
          <w:rFonts w:ascii="IRNazanin" w:hAnsi="IRNazanin" w:eastAsia="IRNazanin" w:cs="IRNazanin"/>
          <w:lang w:bidi="fa-IR"/>
          <w:color w:val="111111"/>
          <w:sz w:val="28"/>
          <w:szCs w:val="28"/>
          <w:rtl/>
        </w:rPr>
        <w:t xml:space="preserve">چاپ: مکرر چاپ شده؛ گانپور،سنگی ،۱۸۸۶ ،وزیری ۳۷۴ص</w:t>
      </w:r>
    </w:p>
    <w:p>
      <w:pPr>
        <w:pStyle w:val="BookText"/>
      </w:pPr>
      <w:r>
        <w:rPr>
          <w:rFonts w:ascii="IRNazanin" w:hAnsi="IRNazanin" w:eastAsia="IRNazanin" w:cs="IRNazanin"/>
          <w:lang w:bidi="fa-IR"/>
          <w:color w:val="111111"/>
          <w:sz w:val="28"/>
          <w:szCs w:val="28"/>
          <w:rtl/>
        </w:rPr>
        <w:t xml:space="preserve">[ مشترک پاکستان ۱۰۰/۷ فهرستواره منزوی ۸۱۵/۲ و ۱۵۵/۱۰؛ الذريعة ۲ / 61 و ۲۶۴/۷؛ نسخه های منزوی ۲۶۳۳/۴؛ کشف الظنون 1/ 86؛ مشار فارسی  ۶۱۸/۱؛ دنا 1/ 811) (56نسخه)]</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IRNazanin" w:hAnsi="IRNazanin" w:eastAsia="IRNazanin" w:cs="IRNazanin"/>
          <w:lang w:bidi="fa-IR"/>
          <w:color w:val="111111"/>
          <w:sz w:val="28"/>
          <w:szCs w:val="28"/>
          <w:rtl/>
        </w:rPr>
        <w:t xml:space="preserve">١- شرح اسکندرنامه؛ آرزو، سراج الدین علی بن حسام الدين  (۱۱۶۹-۱۱۰۱)</w:t>
      </w:r>
    </w:p>
    <w:p>
      <w:pPr>
        <w:pStyle w:val="BookText"/>
      </w:pPr>
      <w:r>
        <w:rPr>
          <w:rFonts w:ascii="IRNazanin" w:hAnsi="IRNazanin" w:eastAsia="IRNazanin" w:cs="IRNazanin"/>
          <w:lang w:bidi="fa-IR"/>
          <w:color w:val="111111"/>
          <w:sz w:val="28"/>
          <w:szCs w:val="28"/>
          <w:rtl/>
        </w:rPr>
        <w:t xml:space="preserve">۲ -شرح سکندر نامه؛ نظامی کرمانی، محمد نصیر بن سلطان (-۱۳)</w:t>
      </w:r>
    </w:p>
    <w:p>
      <w:pPr>
        <w:pStyle w:val="BookText"/>
      </w:pPr>
      <w:r>
        <w:rPr>
          <w:rFonts w:ascii="IRNazanin" w:hAnsi="IRNazanin" w:eastAsia="IRNazanin" w:cs="IRNazanin"/>
          <w:lang w:bidi="fa-IR"/>
          <w:color w:val="111111"/>
          <w:sz w:val="28"/>
          <w:szCs w:val="28"/>
          <w:rtl/>
        </w:rPr>
        <w:t xml:space="preserve">٣- فوائد ،علیشیری ،نظام محیی الدین، قرن ۱۰ق</w:t>
      </w:r>
    </w:p>
    <w:p>
      <w:pPr>
        <w:pStyle w:val="BookText"/>
      </w:pPr>
      <w:r>
        <w:rPr>
          <w:rFonts w:ascii="IRNazanin" w:hAnsi="IRNazanin" w:eastAsia="IRNazanin" w:cs="IRNazanin"/>
          <w:lang w:bidi="fa-IR"/>
          <w:color w:val="111111"/>
          <w:sz w:val="28"/>
          <w:szCs w:val="28"/>
          <w:rtl/>
        </w:rPr>
        <w:t xml:space="preserve">٤- شرح اسکندر نامه نظامی</w:t>
      </w:r>
    </w:p>
    <w:p>
      <w:pPr>
        <w:pStyle w:val="BookText"/>
      </w:pPr>
      <w:r>
        <w:rPr>
          <w:rFonts w:ascii="IRNazanin" w:hAnsi="IRNazanin" w:eastAsia="IRNazanin" w:cs="IRNazanin"/>
          <w:lang w:bidi="fa-IR"/>
          <w:color w:val="111111"/>
          <w:sz w:val="28"/>
          <w:szCs w:val="28"/>
          <w:rtl/>
        </w:rPr>
        <w:t xml:space="preserve">٥- شرح اسکندرنامه</w:t>
      </w:r>
    </w:p>
    <w:p>
      <w:pPr>
        <w:pStyle w:val="BookText"/>
      </w:pPr>
      <w:r>
        <w:rPr>
          <w:rFonts w:ascii="IRNazanin" w:hAnsi="IRNazanin" w:eastAsia="IRNazanin" w:cs="IRNazanin"/>
          <w:lang w:bidi="fa-IR"/>
          <w:color w:val="111111"/>
          <w:sz w:val="28"/>
          <w:szCs w:val="28"/>
          <w:rtl/>
        </w:rPr>
        <w:t xml:space="preserve">٦- فرهنگ لغات اسکندرنامه؛ نور محمد</w:t>
      </w:r>
    </w:p>
    <w:p>
      <w:pPr>
        <w:pStyle w:val="BookText"/>
      </w:pPr>
      <w:r>
        <w:rPr>
          <w:rFonts w:ascii="IRNazanin" w:hAnsi="IRNazanin" w:eastAsia="IRNazanin" w:cs="IRNazanin"/>
          <w:lang w:bidi="fa-IR"/>
          <w:color w:val="111111"/>
          <w:sz w:val="28"/>
          <w:szCs w:val="28"/>
          <w:rtl/>
        </w:rPr>
        <w:t xml:space="preserve">۱. تهران؛ مجلس؛ شماره نسخه: ۳۰۱/۲</w:t>
      </w:r>
    </w:p>
    <w:p>
      <w:pPr>
        <w:pStyle w:val="BookText"/>
      </w:pPr>
      <w:r>
        <w:rPr>
          <w:rFonts w:ascii="IRNazanin" w:hAnsi="IRNazanin" w:eastAsia="IRNazanin" w:cs="IRNazanin"/>
          <w:lang w:bidi="fa-IR"/>
          <w:color w:val="111111"/>
          <w:sz w:val="28"/>
          <w:szCs w:val="28"/>
          <w:rtl/>
        </w:rPr>
        <w:t xml:space="preserve">شرف نامه :خط: نستعلیق، بی کا، تا: قرن ، کاغذ سفید ۸۱ ص (۱۸۹-۱۰۹) ، ۲۱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[سنا-ف: ۱ - ۱۵۱]</w:t>
      </w:r>
    </w:p>
    <w:p>
      <w:pPr>
        <w:pStyle w:val="BookText"/>
      </w:pPr>
      <w:r>
        <w:rPr>
          <w:rFonts w:ascii="IRNazanin" w:hAnsi="IRNazanin" w:eastAsia="IRNazanin" w:cs="IRNazanin"/>
          <w:lang w:bidi="fa-IR"/>
          <w:color w:val="111111"/>
          <w:sz w:val="28"/>
          <w:szCs w:val="28"/>
          <w:rtl/>
        </w:rPr>
        <w:t xml:space="preserve">۲.تهران؛ مجلس؛ شماره نسخه: ۳۰۱/۳</w:t>
      </w:r>
    </w:p>
    <w:p>
      <w:pPr>
        <w:pStyle w:val="BookText"/>
      </w:pPr>
      <w:r>
        <w:rPr>
          <w:rFonts w:ascii="IRNazanin" w:hAnsi="IRNazanin" w:eastAsia="IRNazanin" w:cs="IRNazanin"/>
          <w:lang w:bidi="fa-IR"/>
          <w:color w:val="111111"/>
          <w:sz w:val="28"/>
          <w:szCs w:val="28"/>
          <w:rtl/>
        </w:rPr>
        <w:t xml:space="preserve">اقبال نامه؛ خط: نستعلیق، بی کا، تا: قرن ۶؛ کاغذ: سفید، ۳۶ص (۱۹۰ - ۲۲۶)، ۲۱ سطر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[سنا-ف: ۱-۱۵۱]</w:t>
      </w:r>
    </w:p>
    <w:p>
      <w:pPr>
        <w:pStyle w:val="BookText"/>
      </w:pPr>
      <w:r>
        <w:rPr>
          <w:rFonts w:ascii="IRNazanin" w:hAnsi="IRNazanin" w:eastAsia="IRNazanin" w:cs="IRNazanin"/>
          <w:lang w:bidi="fa-IR"/>
          <w:color w:val="111111"/>
          <w:sz w:val="28"/>
          <w:szCs w:val="28"/>
          <w:rtl/>
        </w:rPr>
        <w:t xml:space="preserve">۳. تهران؛ مهدوی؛ شماره نسخه: ۴۱۸</w:t>
      </w:r>
    </w:p>
    <w:p>
      <w:pPr>
        <w:pStyle w:val="BookText"/>
      </w:pPr>
      <w:r>
        <w:rPr>
          <w:rFonts w:ascii="IRNazanin" w:hAnsi="IRNazanin" w:eastAsia="IRNazanin" w:cs="IRNazanin"/>
          <w:lang w:bidi="fa-IR"/>
          <w:color w:val="111111"/>
          <w:sz w:val="28"/>
          <w:szCs w:val="28"/>
          <w:rtl/>
        </w:rPr>
        <w:t xml:space="preserve">خط: نسخ، کا: محمود بن خواجه نجم الدین بن بهاء الدين عمر بن مقرب  تبریزی، تا: ۲۷ جمادی الثانی ۶۳۱ق؛ جدول شنگرف  [نشریه: ۲ - ۶۳]</w:t>
      </w:r>
    </w:p>
    <w:p>
      <w:pPr>
        <w:pStyle w:val="BookText"/>
      </w:pPr>
      <w:r>
        <w:rPr>
          <w:rFonts w:ascii="Amiri" w:hAnsi="Amiri" w:eastAsia="Amiri" w:cs="Amiri"/>
          <w:lang w:bidi="ar-SA"/>
          <w:color w:val="111111"/>
          <w:sz w:val="28"/>
          <w:szCs w:val="28"/>
          <w:rtl/>
        </w:rPr>
        <w:t xml:space="preserve">4.تهران؛ دائرة المعارف ؛شماره نسخه: ۱۱۱۱/۶</w:t>
      </w:r>
    </w:p>
    <w:p>
      <w:pPr>
        <w:pStyle w:val="BookText"/>
      </w:pPr>
      <w:r>
        <w:rPr>
          <w:rFonts w:ascii="IRNazanin" w:hAnsi="IRNazanin" w:eastAsia="IRNazanin" w:cs="IRNazanin"/>
          <w:lang w:bidi="fa-IR"/>
          <w:color w:val="111111"/>
          <w:sz w:val="28"/>
          <w:szCs w:val="28"/>
          <w:rtl/>
        </w:rPr>
        <w:t xml:space="preserve">آغاز: برابر شرف نامه؛ انجام: چو سرسینه را گربه از دیک برد*** چو سودار عجوزه کند سینه خورد (چنین)</w:t>
      </w:r>
    </w:p>
    <w:p>
      <w:pPr>
        <w:pStyle w:val="BookText"/>
      </w:pPr>
      <w:r>
        <w:rPr>
          <w:rFonts w:ascii="IRNazanin" w:hAnsi="IRNazanin" w:eastAsia="IRNazanin" w:cs="IRNazanin"/>
          <w:lang w:bidi="fa-IR"/>
          <w:color w:val="111111"/>
          <w:sz w:val="28"/>
          <w:szCs w:val="28"/>
          <w:rtl/>
        </w:rPr>
        <w:t xml:space="preserve">شرف نامه و اقبال نامه؛ خط: نسخ زیبا، بی کا، تا: قرن ۸؛ افتادگی: انجام؛ در هامش «شاهنامه» خاندان سعدلو؛ اهدایی خاندان سعدلو بیگلر بیگی؛ ۱۶۴ برگ (۳۷۳ر- ۵۳۶پ) [ف: ۲ - ۱۵]</w:t>
      </w:r>
    </w:p>
    <w:p>
      <w:pPr>
        <w:pStyle w:val="BookText"/>
      </w:pPr>
      <w:r>
        <w:rPr>
          <w:rFonts w:ascii="IRNazanin" w:hAnsi="IRNazanin" w:eastAsia="IRNazanin" w:cs="IRNazanin"/>
          <w:lang w:bidi="fa-IR"/>
          <w:color w:val="111111"/>
          <w:sz w:val="28"/>
          <w:szCs w:val="28"/>
          <w:rtl/>
        </w:rPr>
        <w:t xml:space="preserve">۵. تهران؛ دائرة المعارف؛ شماره نسخه: ۳۶/۱-عکسی</w:t>
      </w:r>
    </w:p>
    <w:p>
      <w:pPr>
        <w:pStyle w:val="BookText"/>
      </w:pPr>
      <w:r>
        <w:rPr>
          <w:rFonts w:ascii="IRNazanin" w:hAnsi="IRNazanin" w:eastAsia="IRNazanin" w:cs="IRNazanin"/>
          <w:lang w:bidi="fa-IR"/>
          <w:color w:val="111111"/>
          <w:sz w:val="28"/>
          <w:szCs w:val="28"/>
          <w:rtl/>
        </w:rPr>
        <w:t xml:space="preserve">اصل نسخه: دانشگاه ش ۵۱۷۹ [این شماره با عنوان خمسه نظامی معرفی شده] «شرف نامه»( گ ۲ ر - ۷۲ر) و «اقبال نامه»( گ ۱۴۹ر- ۱۶۹پ)؛ خط: نستعلیق  ریز، بی کا، تا:۷۱۸ق؛ با مجلسهای رنگی و در آغاز آن یک ابرو [ف: ۲ - ۲۴]</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تهران؛ دانشگاه؛ شماره نسخه: ۵۵۹-ف</w:t>
      </w:r>
    </w:p>
    <w:p>
      <w:pPr>
        <w:pStyle w:val="BookText"/>
      </w:pPr>
      <w:r>
        <w:rPr>
          <w:rFonts w:ascii="IRNazanin" w:hAnsi="IRNazanin" w:eastAsia="IRNazanin" w:cs="IRNazanin"/>
          <w:lang w:bidi="fa-IR"/>
          <w:color w:val="111111"/>
          <w:sz w:val="28"/>
          <w:szCs w:val="28"/>
          <w:rtl/>
        </w:rPr>
        <w:t xml:space="preserve">نسخه اصل: حالت افندی ملحقی ش ۱۳۷؛ خط: نستعلیق، بی کا، تا: ۷۸۸ق؛ ۴۰۴گ[ فیلمها -ف: ۱ - ۱۰]</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تهران؛ ادبیات؛ شماره نسخه: ۱۳۱/۴ ـ ب</w:t>
      </w:r>
    </w:p>
    <w:p>
      <w:pPr>
        <w:pStyle w:val="BookText"/>
      </w:pPr>
      <w:r>
        <w:rPr>
          <w:rFonts w:ascii="IRNazanin" w:hAnsi="IRNazanin" w:eastAsia="IRNazanin" w:cs="IRNazanin"/>
          <w:lang w:bidi="fa-IR"/>
          <w:color w:val="111111"/>
          <w:sz w:val="28"/>
          <w:szCs w:val="28"/>
          <w:rtl/>
        </w:rPr>
        <w:t xml:space="preserve">شرفنامه و اقبال نامه؛ خط: نستعلیق، بی کا، تا: یکشنبه ۷ ذیحجه ۷۹۳ق؛ افتادگی: آغاز و انجام؛ مجدول؛ کاغذ: سمرقندی، جلد: تیماج تریاکی روغنی، ۳۹گ (۲۰۶پ-۲۴۴ر)، ۲۵ سطر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۳۰سم [ف: ۱ - ۵۳]</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مشهد؛ گوهر شاد؛ شماره نسخه: ۲۴۰۶</w:t>
      </w:r>
    </w:p>
    <w:p>
      <w:pPr>
        <w:pStyle w:val="BookText"/>
      </w:pPr>
      <w:r>
        <w:rPr>
          <w:rFonts w:ascii="IRNazanin" w:hAnsi="IRNazanin" w:eastAsia="IRNazanin" w:cs="IRNazanin"/>
          <w:lang w:bidi="fa-IR"/>
          <w:color w:val="111111"/>
          <w:sz w:val="28"/>
          <w:szCs w:val="28"/>
          <w:rtl/>
        </w:rPr>
        <w:t xml:space="preserve">آغاز: تو نیرو فرستى بتقدیر پاک *** نه موری نه ماری تو آری هلاک؛ انجام: بهشتی زمر قصری انگیختند *** زر و  سیم را بر زمین ریختند.</w:t>
      </w:r>
    </w:p>
    <w:p>
      <w:pPr>
        <w:pStyle w:val="BookText"/>
      </w:pPr>
      <w:r>
        <w:rPr>
          <w:rFonts w:ascii="IRNazanin" w:hAnsi="IRNazanin" w:eastAsia="IRNazanin" w:cs="IRNazanin"/>
          <w:lang w:bidi="fa-IR"/>
          <w:color w:val="111111"/>
          <w:sz w:val="28"/>
          <w:szCs w:val="28"/>
          <w:rtl/>
        </w:rPr>
        <w:t xml:space="preserve">خط: نستعلیق چهارستونی، بی کا، تا: قرن ۹؛ افتادگی: آغاز و انجام؛ مجدول دارای ۷ مجلس تصویر ؛کاغذ: نخودی آهار  مهره،۷۵گ، ۲۱ سطر، اندازه: ۱۱</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۱۸/۳سم [ف: ۵ - ۷۳۷]</w:t>
      </w:r>
    </w:p>
    <w:p>
      <w:pPr>
        <w:pStyle w:val="BookText"/>
      </w:pPr>
      <w:r>
        <w:rPr>
          <w:rFonts w:ascii="IRNazanin" w:hAnsi="IRNazanin" w:eastAsia="IRNazanin" w:cs="IRNazanin"/>
          <w:lang w:bidi="fa-IR"/>
          <w:color w:val="111111"/>
          <w:sz w:val="28"/>
          <w:szCs w:val="28"/>
          <w:rtl/>
        </w:rPr>
        <w:t xml:space="preserve">۹ .تهران؛ مجلس؛ شماره نسخه: ۱۴۰۵۴/۴</w:t>
      </w:r>
    </w:p>
    <w:p>
      <w:pPr>
        <w:pStyle w:val="BookText"/>
      </w:pPr>
      <w:r>
        <w:rPr>
          <w:rFonts w:ascii="IRNazanin" w:hAnsi="IRNazanin" w:eastAsia="IRNazanin" w:cs="IRNazanin"/>
          <w:lang w:bidi="fa-IR"/>
          <w:color w:val="111111"/>
          <w:sz w:val="28"/>
          <w:szCs w:val="28"/>
          <w:rtl/>
        </w:rPr>
        <w:t xml:space="preserve">آغاز: برابر با شرف نامه</w:t>
      </w:r>
    </w:p>
    <w:p>
      <w:pPr>
        <w:pStyle w:val="BookText"/>
      </w:pPr>
      <w:r>
        <w:rPr>
          <w:rFonts w:ascii="IRNazanin" w:hAnsi="IRNazanin" w:eastAsia="IRNazanin" w:cs="IRNazanin"/>
          <w:lang w:bidi="fa-IR"/>
          <w:color w:val="111111"/>
          <w:sz w:val="28"/>
          <w:szCs w:val="28"/>
          <w:rtl/>
        </w:rPr>
        <w:t xml:space="preserve">اقبال نامه و شرف نامه؛ خط: نسخ، بی کا، تا: ۸۴۱ق؛ ۶۸گ (۱۶۴پ -۲۳۱ ر) [ف: ۳۸ - ۷۹]</w:t>
      </w:r>
    </w:p>
    <w:p>
      <w:pPr>
        <w:pStyle w:val="BookText"/>
      </w:pPr>
      <w:r>
        <w:rPr>
          <w:rFonts w:ascii="IRNazanin" w:hAnsi="IRNazanin" w:eastAsia="IRNazanin" w:cs="IRNazanin"/>
          <w:lang w:bidi="fa-IR"/>
          <w:color w:val="111111"/>
          <w:sz w:val="28"/>
          <w:szCs w:val="28"/>
          <w:rtl/>
        </w:rPr>
        <w:t xml:space="preserve">۱۰. مشهد؛ رضوی؛ شماره نسخه: ۱۲۸۱۵</w:t>
      </w:r>
    </w:p>
    <w:p>
      <w:pPr>
        <w:pStyle w:val="BookText"/>
      </w:pPr>
      <w:r>
        <w:rPr>
          <w:rFonts w:ascii="IRNazanin" w:hAnsi="IRNazanin" w:eastAsia="IRNazanin" w:cs="IRNazanin"/>
          <w:lang w:bidi="fa-IR"/>
          <w:color w:val="111111"/>
          <w:sz w:val="28"/>
          <w:szCs w:val="28"/>
          <w:rtl/>
        </w:rPr>
        <w:t xml:space="preserve">آغاز: کسی کو ز جام تو یک جرعه خورد *** همه ساله ایمن شد از داغ و درد؛ انجام: مرا پایگاهی که شایسته بود *** خبر دادمت ز آنکه بایسته بود.</w:t>
      </w:r>
    </w:p>
    <w:p>
      <w:pPr>
        <w:pStyle w:val="BookText"/>
      </w:pPr>
      <w:r>
        <w:rPr>
          <w:rFonts w:ascii="IRNazanin" w:hAnsi="IRNazanin" w:eastAsia="IRNazanin" w:cs="IRNazanin"/>
          <w:lang w:bidi="fa-IR"/>
          <w:color w:val="111111"/>
          <w:sz w:val="28"/>
          <w:szCs w:val="28"/>
          <w:rtl/>
        </w:rPr>
        <w:t xml:space="preserve">این نسخه با اقبال نامه شروع می شود، از ۳۴۸۰ بیت آن ۱۳۹۲ بیت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باقي مانده و به «گفتار بليناس در آفرينش نخست»، ختم مي شود، «شرفنامه»، از اواخر «نشستن اسکندر بر جاي دارا و بر اسکندر آتشکده ها را» شروع و تا آخر ادامه يافته و از 6800 بيت، 4009 بيت آن باقي مانده و از آخر يک صفحه کم دارد، اين نسخه در مقايسه با نسخه هاي مطبوع در بعضي موارد اشعار بيشتري را دار است؛ خط: نستعليق متوسط، بي کا، تا: قرن 10، افتادگی: آغاز و انجام؛ واقف: حسين کي استوان، آبان 1348، کاغذ آهاري حنايی، جلد: تيماج خرمايي، 85گ، اندازه: 11/5</w:t>
      </w:r>
      <w:r>
        <w:rPr>
          <w:rFonts w:ascii="Times New Roman" w:hAnsi="Times New Roman" w:eastAsia="Times New Roman" w:cs="Times New Roman"/>
          <w:lang w:val="en-US" w:bidi="en-US"/>
          <w:color w:val="111111"/>
          <w:sz w:val="28"/>
          <w:szCs w:val="28"/>
          <w:rtl/>
        </w:rPr>
        <w:t xml:space="preserve">×20/3</w:t>
      </w:r>
      <w:r>
        <w:rPr>
          <w:rFonts w:ascii="IRNazanin" w:hAnsi="IRNazanin" w:eastAsia="IRNazanin" w:cs="IRNazanin"/>
          <w:lang w:bidi="fa-IR"/>
          <w:color w:val="111111"/>
          <w:sz w:val="28"/>
          <w:szCs w:val="28"/>
          <w:rtl/>
        </w:rPr>
        <w:t xml:space="preserve">سم [ف: 17- 13]</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تهران، دانشگاه؛ شماره نسخه: 3/ 8752</w:t>
      </w:r>
    </w:p>
    <w:p>
      <w:pPr>
        <w:pStyle w:val="BookText"/>
      </w:pPr>
      <w:r>
        <w:rPr>
          <w:rFonts w:ascii="IRNazanin" w:hAnsi="IRNazanin" w:eastAsia="IRNazanin" w:cs="IRNazanin"/>
          <w:lang w:bidi="fa-IR"/>
          <w:color w:val="111111"/>
          <w:sz w:val="28"/>
          <w:szCs w:val="28"/>
          <w:rtl/>
        </w:rPr>
        <w:t xml:space="preserve">خط: نستعليق، بي کا، تا: قرن 10؛ کاغذ: سمرقندی، جلد: تيماج ترياکی ضربی مقوايی، 2گ (343پ-344پ)، 17 سطر (9</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قطع: ربعی [ف:17- 213]</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تهران: مجلس؛ شماره نسخه:4/ 928</w:t>
      </w:r>
    </w:p>
    <w:p>
      <w:pPr>
        <w:pStyle w:val="BookText"/>
      </w:pPr>
      <w:r>
        <w:rPr>
          <w:rFonts w:ascii="IRNazanin" w:hAnsi="IRNazanin" w:eastAsia="IRNazanin" w:cs="IRNazanin"/>
          <w:lang w:bidi="fa-IR"/>
          <w:color w:val="111111"/>
          <w:sz w:val="28"/>
          <w:szCs w:val="28"/>
          <w:rtl/>
        </w:rPr>
        <w:t xml:space="preserve">خط: نستعليق، بی کا، تا: 902ق [ف: 3- 169]</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تهران: مجلس؛ شماره نسخه : 4/ 151</w:t>
      </w:r>
    </w:p>
    <w:p>
      <w:pPr>
        <w:pStyle w:val="BookText"/>
      </w:pPr>
      <w:r>
        <w:rPr>
          <w:rFonts w:ascii="IRNazanin" w:hAnsi="IRNazanin" w:eastAsia="IRNazanin" w:cs="IRNazanin"/>
          <w:lang w:bidi="fa-IR"/>
          <w:color w:val="111111"/>
          <w:sz w:val="28"/>
          <w:szCs w:val="28"/>
          <w:rtl/>
        </w:rPr>
        <w:t xml:space="preserve">شرف نامه؛ خط: نستعليق، بی  کا، تا 910ق، مجدول، با شش سر لوح آراسته؛ کاغذ: سفيد، 20 سطر (12</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اندازه : 16</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سم [سنا: ف: 1- 76]</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تهران: مجلس؛ شماره نسخه :5/ 151</w:t>
      </w:r>
    </w:p>
    <w:p>
      <w:pPr>
        <w:pStyle w:val="BookText"/>
      </w:pPr>
      <w:r>
        <w:rPr>
          <w:rFonts w:ascii="Amiri" w:hAnsi="Amiri" w:eastAsia="Amiri" w:cs="Amiri"/>
          <w:lang w:bidi="ar-SA"/>
          <w:color w:val="111111"/>
          <w:sz w:val="28"/>
          <w:szCs w:val="28"/>
          <w:rtl/>
        </w:rPr>
        <w:t xml:space="preserve">اقبال نامه؛ خط: نستعليق، بي كا، تا: ۹۰۹ ق، مجدول، با شش سر لوح آراسته؛ كاغذ: سفيد، ۲۰ سطر ( 12</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اندازه:16</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سم [سنا - ف: 1- 76]</w:t>
      </w:r>
    </w:p>
    <w:p>
      <w:pPr>
        <w:pStyle w:val="BookText"/>
      </w:pPr>
      <w:r>
        <w:rPr>
          <w:rFonts w:ascii="IRNazanin" w:hAnsi="IRNazanin" w:eastAsia="IRNazanin" w:cs="IRNazanin"/>
          <w:lang w:bidi="fa-IR"/>
          <w:color w:val="111111"/>
          <w:sz w:val="28"/>
          <w:szCs w:val="28"/>
          <w:rtl/>
        </w:rPr>
        <w:t xml:space="preserve">تهران؛ مفتاح؛ شماره نسخه:5/ 550</w:t>
      </w:r>
    </w:p>
    <w:p>
      <w:pPr>
        <w:pStyle w:val="BookText"/>
      </w:pPr>
      <w:r>
        <w:rPr>
          <w:rFonts w:ascii="Amiri" w:hAnsi="Amiri" w:eastAsia="Amiri" w:cs="Amiri"/>
          <w:lang w:bidi="ar-SA"/>
          <w:color w:val="111111"/>
          <w:sz w:val="28"/>
          <w:szCs w:val="28"/>
          <w:rtl/>
        </w:rPr>
        <w:t xml:space="preserve">همان نسخه بالا [نشريه: 7- 109]</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تهران: دائرة المعارف؛ شماره نسخه: 5/ 165 - عکسي</w:t>
      </w:r>
    </w:p>
    <w:p>
      <w:pPr>
        <w:pStyle w:val="BookText"/>
      </w:pPr>
      <w:r>
        <w:rPr>
          <w:rFonts w:ascii="IRNazanin" w:hAnsi="IRNazanin" w:eastAsia="IRNazanin" w:cs="IRNazanin"/>
          <w:lang w:bidi="fa-IR"/>
          <w:color w:val="111111"/>
          <w:sz w:val="28"/>
          <w:szCs w:val="28"/>
          <w:rtl/>
        </w:rPr>
        <w:t xml:space="preserve">اصل نسخه: گنج بخش ش 10070 (مشترک 7/ 101) . ). شرفنامه (ص 412- 567)،  و اقبال نامه (ص 568- 654)؛ خط: نستعليق خوش، کا: احمد بن علي شيرازی، تا:910 ق؛ با سرلوح (عکس)[ف:2- 24]</w:t>
      </w:r>
    </w:p>
    <w:p>
      <w:pPr>
        <w:pStyle w:val="BookText"/>
      </w:pPr>
      <w:r>
        <w:rPr>
          <w:rFonts w:ascii="Amiri" w:hAnsi="Amiri" w:eastAsia="Amiri" w:cs="Amiri"/>
          <w:lang w:bidi="ar-SA"/>
          <w:color w:val="111111"/>
          <w:sz w:val="28"/>
          <w:szCs w:val="28"/>
          <w:rtl/>
        </w:rPr>
        <w:t xml:space="preserve">16، تهران؛ ادبيات شماره نسخه:5/ 244- ج</w:t>
      </w:r>
    </w:p>
    <w:p>
      <w:pPr>
        <w:pStyle w:val="BookText"/>
      </w:pPr>
      <w:r>
        <w:rPr>
          <w:rFonts w:ascii="IRNazanin" w:hAnsi="IRNazanin" w:eastAsia="IRNazanin" w:cs="IRNazanin"/>
          <w:lang w:bidi="fa-IR"/>
          <w:color w:val="111111"/>
          <w:sz w:val="28"/>
          <w:szCs w:val="28"/>
          <w:rtl/>
        </w:rPr>
        <w:t xml:space="preserve">شرف نامه و اقبال نامه؛ خط: نستعليق، كا: اخی جان بن خواجه همدانی، تا: يک شنبه 4 ربيع الاول 921ق، کاغذ: سمرقندی، جلد: تيماج سرخي ضربي مقوايی، 132گ (224پ -355ر)، 19 سطر (12</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 اندازه: 18</w:t>
      </w:r>
      <w:r>
        <w:rPr>
          <w:rFonts w:ascii="Times New Roman" w:hAnsi="Times New Roman" w:eastAsia="Times New Roman" w:cs="Times New Roman"/>
          <w:lang w:val="en-US" w:bidi="en-US"/>
          <w:color w:val="111111"/>
          <w:sz w:val="28"/>
          <w:szCs w:val="28"/>
          <w:rtl/>
        </w:rPr>
        <w:t xml:space="preserve">×25</w:t>
      </w:r>
      <w:r>
        <w:rPr>
          <w:rFonts w:ascii="IRNazanin" w:hAnsi="IRNazanin" w:eastAsia="IRNazanin" w:cs="IRNazanin"/>
          <w:lang w:bidi="fa-IR"/>
          <w:color w:val="111111"/>
          <w:sz w:val="28"/>
          <w:szCs w:val="28"/>
          <w:rtl/>
        </w:rPr>
        <w:t xml:space="preserve">سم [ف: 9 - 868]</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تهران: دانشگاه؛ شماره نسخه: 2175</w:t>
      </w:r>
    </w:p>
    <w:p>
      <w:pPr>
        <w:pStyle w:val="BookText"/>
      </w:pPr>
      <w:r>
        <w:rPr>
          <w:rFonts w:ascii="IRNazanin" w:hAnsi="IRNazanin" w:eastAsia="IRNazanin" w:cs="IRNazanin"/>
          <w:lang w:bidi="fa-IR"/>
          <w:color w:val="111111"/>
          <w:sz w:val="28"/>
          <w:szCs w:val="28"/>
          <w:rtl/>
        </w:rPr>
        <w:t xml:space="preserve">خط: نسخ، بی کا، تا: 989ق، مجدول، محشی، دارای 18 تصوير؛ کاغذ: هندی، جلد: تيماج مشکی ضربي مقوايی، 292گ، 11سطر( 9/5</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 اندازه: 18</w:t>
      </w:r>
      <w:r>
        <w:rPr>
          <w:rFonts w:ascii="Times New Roman" w:hAnsi="Times New Roman" w:eastAsia="Times New Roman" w:cs="Times New Roman"/>
          <w:lang w:val="en-US" w:bidi="en-US"/>
          <w:color w:val="111111"/>
          <w:sz w:val="28"/>
          <w:szCs w:val="28"/>
          <w:rtl/>
        </w:rPr>
        <w:t xml:space="preserve">×25 </w:t>
      </w:r>
      <w:r>
        <w:rPr>
          <w:rFonts w:ascii="IRNazanin" w:hAnsi="IRNazanin" w:eastAsia="IRNazanin" w:cs="IRNazanin"/>
          <w:lang w:bidi="fa-IR"/>
          <w:color w:val="111111"/>
          <w:sz w:val="28"/>
          <w:szCs w:val="28"/>
          <w:rtl/>
        </w:rPr>
        <w:t xml:space="preserve">سم[ ف: 9- 868]</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تهران: دانشگاه؛ شماره نسخه: 5/ 9732</w:t>
      </w:r>
    </w:p>
    <w:p>
      <w:pPr>
        <w:pStyle w:val="BookText"/>
      </w:pPr>
      <w:r>
        <w:rPr>
          <w:rFonts w:ascii="IRNazanin" w:hAnsi="IRNazanin" w:eastAsia="IRNazanin" w:cs="IRNazanin"/>
          <w:lang w:bidi="fa-IR"/>
          <w:color w:val="111111"/>
          <w:sz w:val="28"/>
          <w:szCs w:val="28"/>
          <w:rtl/>
        </w:rPr>
        <w:t xml:space="preserve">خط: نستعليق، بی کا، تا: قرن 11؛ کاغذ: هندی، جلد: تيماج ترياکی زرکوب مقوايی، 25 سطر (11</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 قطع: رحلی، اندازه: 18</w:t>
      </w:r>
      <w:r>
        <w:rPr>
          <w:rFonts w:ascii="Times New Roman" w:hAnsi="Times New Roman" w:eastAsia="Times New Roman" w:cs="Times New Roman"/>
          <w:lang w:val="en-US" w:bidi="en-US"/>
          <w:color w:val="111111"/>
          <w:sz w:val="28"/>
          <w:szCs w:val="28"/>
          <w:rtl/>
        </w:rPr>
        <w:t xml:space="preserve">×29[</w:t>
      </w:r>
      <w:r>
        <w:rPr>
          <w:rFonts w:ascii="IRNazanin" w:hAnsi="IRNazanin" w:eastAsia="IRNazanin" w:cs="IRNazanin"/>
          <w:lang w:bidi="fa-IR"/>
          <w:color w:val="111111"/>
          <w:sz w:val="28"/>
          <w:szCs w:val="28"/>
          <w:rtl/>
        </w:rPr>
        <w:t xml:space="preserve">ف: 17- 469]</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تهران: مفتاح، شماره نسخه: 3/ 917</w:t>
      </w:r>
    </w:p>
    <w:p>
      <w:pPr>
        <w:pStyle w:val="BookText"/>
      </w:pPr>
      <w:r>
        <w:rPr>
          <w:rFonts w:ascii="IRNazanin" w:hAnsi="IRNazanin" w:eastAsia="IRNazanin" w:cs="IRNazanin"/>
          <w:lang w:bidi="fa-IR"/>
          <w:color w:val="111111"/>
          <w:sz w:val="28"/>
          <w:szCs w:val="28"/>
          <w:rtl/>
        </w:rPr>
        <w:t xml:space="preserve">خط: نستعليق، بی کا، تا: قرن 11، با يک سرلوح، مجاول زرو زنگار، قطع: رحلی (نشريه : 7- 262]</w:t>
      </w:r>
    </w:p>
    <w:p>
      <w:pPr>
        <w:pStyle w:val="BookText"/>
      </w:pPr>
      <w:r>
        <w:rPr>
          <w:rFonts w:ascii="IRNazanin" w:hAnsi="IRNazanin" w:eastAsia="IRNazanin" w:cs="IRNazanin"/>
          <w:lang w:bidi="fa-IR"/>
          <w:color w:val="111111"/>
          <w:sz w:val="28"/>
          <w:szCs w:val="28"/>
          <w:rtl/>
        </w:rPr>
        <w:t xml:space="preserve">20.. تهران: موزه هنرهای تزئينی شماره نسخه: 7291</w:t>
      </w:r>
    </w:p>
    <w:p>
      <w:pPr>
        <w:pStyle w:val="BookText"/>
      </w:pPr>
      <w:r>
        <w:rPr>
          <w:rFonts w:ascii="IRNazanin" w:hAnsi="IRNazanin" w:eastAsia="IRNazanin" w:cs="IRNazanin"/>
          <w:lang w:bidi="fa-IR"/>
          <w:color w:val="111111"/>
          <w:sz w:val="28"/>
          <w:szCs w:val="28"/>
          <w:rtl/>
        </w:rPr>
        <w:t xml:space="preserve">آغاز: برابر اقبال نامه انجام: رونده رهی زن که بر رودساز *** چون عمر شه آن رود باشد دراز</w:t>
      </w:r>
    </w:p>
    <w:p>
      <w:pPr>
        <w:pStyle w:val="BookText"/>
      </w:pPr>
      <w:r>
        <w:rPr>
          <w:rFonts w:ascii="IRNazanin" w:hAnsi="IRNazanin" w:eastAsia="IRNazanin" w:cs="IRNazanin"/>
          <w:lang w:bidi="fa-IR"/>
          <w:color w:val="111111"/>
          <w:sz w:val="28"/>
          <w:szCs w:val="28"/>
          <w:rtl/>
        </w:rPr>
        <w:t xml:space="preserve">بخشي است از کتاب؛ خط: نستعليق ريز، کا:  محمد صلاح بن حسين حسينی، تا: 1002ق، با سرلوح زرين، مجدول؛ جلد: فرنگی نخودی، تيماج مشکی، 20 سطر (11/5</w:t>
      </w:r>
      <w:r>
        <w:rPr>
          <w:rFonts w:ascii="Times New Roman" w:hAnsi="Times New Roman" w:eastAsia="Times New Roman" w:cs="Times New Roman"/>
          <w:lang w:val="en-US" w:bidi="en-US"/>
          <w:color w:val="111111"/>
          <w:sz w:val="28"/>
          <w:szCs w:val="28"/>
          <w:rtl/>
        </w:rPr>
        <w:t xml:space="preserve">×20/5)</w:t>
      </w:r>
      <w:r>
        <w:rPr>
          <w:rFonts w:ascii="IRNazanin" w:hAnsi="IRNazanin" w:eastAsia="IRNazanin" w:cs="IRNazanin"/>
          <w:lang w:bidi="fa-IR"/>
          <w:color w:val="111111"/>
          <w:sz w:val="28"/>
          <w:szCs w:val="28"/>
          <w:rtl/>
        </w:rPr>
        <w:t xml:space="preserve">، اندازه: 17</w:t>
      </w:r>
      <w:r>
        <w:rPr>
          <w:rFonts w:ascii="Times New Roman" w:hAnsi="Times New Roman" w:eastAsia="Times New Roman" w:cs="Times New Roman"/>
          <w:lang w:val="en-US" w:bidi="en-US"/>
          <w:color w:val="111111"/>
          <w:sz w:val="28"/>
          <w:szCs w:val="28"/>
          <w:rtl/>
        </w:rPr>
        <w:t xml:space="preserve">×29/5</w:t>
      </w:r>
      <w:r>
        <w:rPr>
          <w:rFonts w:ascii="IRNazanin" w:hAnsi="IRNazanin" w:eastAsia="IRNazanin" w:cs="IRNazanin"/>
          <w:lang w:bidi="fa-IR"/>
          <w:color w:val="111111"/>
          <w:sz w:val="28"/>
          <w:szCs w:val="28"/>
          <w:rtl/>
        </w:rPr>
        <w:t xml:space="preserve">سم[نشریه: 3- 128] 21. تهران: سلطنتی، شماره نسخه: 2170</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اقبال نامه و خردنامه ؛ خط: نستعليق خوب، کا: روزبه شيرازی، تا: 1010ق، به سال 1301 توسط آقا بهرام مفرب الخاقان داخل کتابخانه موزه سر کاری شده، مجدول، مذهب، داراي مينياتور خوب، با سرلوح مذهب مرصع، داراي کتيبه، کاغذ: دولت آبادی شکری رنگ، جلد: مقوای روکش تيماج جگری رنگ وسط ترنج دو سر ترنج، 442ص، 16 سطر راست و 14 نيم سطر مورب، قطع: وریري متوسط، اندازه: 16</w:t>
      </w:r>
      <w:r>
        <w:rPr>
          <w:rFonts w:ascii="Times New Roman" w:hAnsi="Times New Roman" w:eastAsia="Times New Roman" w:cs="Times New Roman"/>
          <w:lang w:val="en-US" w:bidi="en-US"/>
          <w:color w:val="111111"/>
          <w:sz w:val="28"/>
          <w:szCs w:val="28"/>
          <w:rtl/>
        </w:rPr>
        <w:t xml:space="preserve">×26/9</w:t>
      </w:r>
      <w:r>
        <w:rPr>
          <w:rFonts w:ascii="IRNazanin" w:hAnsi="IRNazanin" w:eastAsia="IRNazanin" w:cs="IRNazanin"/>
          <w:lang w:bidi="fa-IR"/>
          <w:color w:val="111111"/>
          <w:sz w:val="28"/>
          <w:szCs w:val="28"/>
          <w:rtl/>
        </w:rPr>
        <w:t xml:space="preserve">سم [ف: 4- 1255]</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تهران؛ مجلس؛ شماره نسخه : 2/ 15655</w:t>
      </w:r>
    </w:p>
    <w:p>
      <w:pPr>
        <w:pStyle w:val="BookText"/>
      </w:pPr>
      <w:r>
        <w:rPr>
          <w:rFonts w:ascii="IRNazanin" w:hAnsi="IRNazanin" w:eastAsia="IRNazanin" w:cs="IRNazanin"/>
          <w:lang w:bidi="fa-IR"/>
          <w:color w:val="111111"/>
          <w:sz w:val="28"/>
          <w:szCs w:val="28"/>
          <w:rtl/>
        </w:rPr>
        <w:t xml:space="preserve">در حاشيه ديوان دهلوی نگاشته شده؛ خط: نستعليق، کا: ابراهيم ولد يخشی، تا: با تاريخ 1018ق، جلد: تيماج مشکی، 17 سطر، اندازه: 14</w:t>
      </w:r>
      <w:r>
        <w:rPr>
          <w:rFonts w:ascii="Times New Roman" w:hAnsi="Times New Roman" w:eastAsia="Times New Roman" w:cs="Times New Roman"/>
          <w:lang w:val="en-US" w:bidi="en-US"/>
          <w:color w:val="111111"/>
          <w:sz w:val="28"/>
          <w:szCs w:val="28"/>
          <w:rtl/>
        </w:rPr>
        <w:t xml:space="preserve">×22/8</w:t>
      </w:r>
      <w:r>
        <w:rPr>
          <w:rFonts w:ascii="IRNazanin" w:hAnsi="IRNazanin" w:eastAsia="IRNazanin" w:cs="IRNazanin"/>
          <w:lang w:bidi="fa-IR"/>
          <w:color w:val="111111"/>
          <w:sz w:val="28"/>
          <w:szCs w:val="28"/>
          <w:rtl/>
        </w:rPr>
        <w:t xml:space="preserve">سم [ف: 43- 218]</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مشهد، گوهر شاد؛ شماره نسخه: 2/ 144</w:t>
      </w:r>
    </w:p>
    <w:p>
      <w:pPr>
        <w:pStyle w:val="BookText"/>
      </w:pPr>
      <w:r>
        <w:rPr>
          <w:rFonts w:ascii="IRNazanin" w:hAnsi="IRNazanin" w:eastAsia="IRNazanin" w:cs="IRNazanin"/>
          <w:lang w:bidi="fa-IR"/>
          <w:color w:val="111111"/>
          <w:sz w:val="28"/>
          <w:szCs w:val="28"/>
          <w:rtl/>
        </w:rPr>
        <w:t xml:space="preserve">آغاز و انجام: برابر با اقبال نامه</w:t>
      </w:r>
    </w:p>
    <w:p>
      <w:pPr>
        <w:pStyle w:val="BookText"/>
      </w:pPr>
      <w:r>
        <w:rPr>
          <w:rFonts w:ascii="IRNazanin" w:hAnsi="IRNazanin" w:eastAsia="IRNazanin" w:cs="IRNazanin"/>
          <w:lang w:bidi="fa-IR"/>
          <w:color w:val="111111"/>
          <w:sz w:val="28"/>
          <w:szCs w:val="28"/>
          <w:rtl/>
        </w:rPr>
        <w:t xml:space="preserve">اقبال نامه، در فهرست به نام «شرف نامه» آمده است؛ خط: نستعليق، بی کا، تا: 1042ق؛ واقف:</w:t>
      </w:r>
    </w:p>
    <w:p>
      <w:pPr>
        <w:pStyle w:val="BookText"/>
      </w:pPr>
      <w:r>
        <w:rPr>
          <w:rFonts w:ascii="IRNazanin" w:hAnsi="IRNazanin" w:eastAsia="IRNazanin" w:cs="IRNazanin"/>
          <w:lang w:bidi="fa-IR"/>
          <w:color w:val="111111"/>
          <w:sz w:val="28"/>
          <w:szCs w:val="28"/>
          <w:rtl/>
        </w:rPr>
        <w:t xml:space="preserve">حاج محمد سعيد با مهر او؛ جلد. تيماج سبز لایه ای عطف و لبه ميشن عنابی، 37گ (17- 53)، 35 سطر</w:t>
      </w:r>
    </w:p>
    <w:p>
      <w:pPr>
        <w:pStyle w:val="BookText"/>
      </w:pPr>
      <w:r>
        <w:rPr>
          <w:rFonts w:ascii="Times New Roman" w:hAnsi="Times New Roman" w:eastAsia="Times New Roman" w:cs="Times New Roman"/>
          <w:lang w:val="en-US" w:bidi="en-US"/>
          <w:color w:val="111111"/>
          <w:sz w:val="28"/>
          <w:szCs w:val="28"/>
          <w:rtl/>
        </w:rPr>
        <w:t xml:space="preserve">(13×20/5)</w:t>
      </w:r>
      <w:r>
        <w:rPr>
          <w:rFonts w:ascii="IRNazanin" w:hAnsi="IRNazanin" w:eastAsia="IRNazanin" w:cs="IRNazanin"/>
          <w:lang w:bidi="fa-IR"/>
          <w:color w:val="111111"/>
          <w:sz w:val="28"/>
          <w:szCs w:val="28"/>
          <w:rtl/>
        </w:rPr>
        <w:t xml:space="preserve">، اندازه: 19</w:t>
      </w:r>
      <w:r>
        <w:rPr>
          <w:rFonts w:ascii="Times New Roman" w:hAnsi="Times New Roman" w:eastAsia="Times New Roman" w:cs="Times New Roman"/>
          <w:lang w:val="en-US" w:bidi="en-US"/>
          <w:color w:val="111111"/>
          <w:sz w:val="28"/>
          <w:szCs w:val="28"/>
          <w:rtl/>
        </w:rPr>
        <w:t xml:space="preserve">×29</w:t>
      </w:r>
      <w:r>
        <w:rPr>
          <w:rFonts w:ascii="IRNazanin" w:hAnsi="IRNazanin" w:eastAsia="IRNazanin" w:cs="IRNazanin"/>
          <w:lang w:bidi="fa-IR"/>
          <w:color w:val="111111"/>
          <w:sz w:val="28"/>
          <w:szCs w:val="28"/>
          <w:rtl/>
        </w:rPr>
        <w:t xml:space="preserve">سم [ف: 1- 120]</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همدان ايزدی (حاجی)؛ شماره نسخه : 2/5</w:t>
      </w:r>
    </w:p>
    <w:p>
      <w:pPr>
        <w:pStyle w:val="BookText"/>
      </w:pPr>
      <w:r>
        <w:rPr>
          <w:rFonts w:ascii="IRNazanin" w:hAnsi="IRNazanin" w:eastAsia="IRNazanin" w:cs="IRNazanin"/>
          <w:lang w:bidi="fa-IR"/>
          <w:color w:val="111111"/>
          <w:sz w:val="28"/>
          <w:szCs w:val="28"/>
          <w:rtl/>
        </w:rPr>
        <w:t xml:space="preserve">بی کا، تا: 1058ق، جا: کشمير [نشريه : 5- 366]</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تهران: مجلس، شماره نسخه : 5/ 423</w:t>
      </w:r>
    </w:p>
    <w:p>
      <w:pPr>
        <w:pStyle w:val="BookText"/>
      </w:pPr>
      <w:r>
        <w:rPr>
          <w:rFonts w:ascii="IRNazanin" w:hAnsi="IRNazanin" w:eastAsia="IRNazanin" w:cs="IRNazanin"/>
          <w:lang w:bidi="fa-IR"/>
          <w:color w:val="111111"/>
          <w:sz w:val="28"/>
          <w:szCs w:val="28"/>
          <w:rtl/>
        </w:rPr>
        <w:t xml:space="preserve">خط: نستعليق، بی کا، تا: رجب 1059ق، شرف نامه آن در روز شنبه 6 رجب1059( 358- 500)، و اقبال نامه با آن روز دوشنبه 15 رجب 1059 نوشته شده؛ مجدول؛ کاغذ: سفيد، 82ص (501- 582)، 22 سطر (11</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 اندازه: 18</w:t>
      </w:r>
      <w:r>
        <w:rPr>
          <w:rFonts w:ascii="Times New Roman" w:hAnsi="Times New Roman" w:eastAsia="Times New Roman" w:cs="Times New Roman"/>
          <w:lang w:val="en-US" w:bidi="en-US"/>
          <w:color w:val="111111"/>
          <w:sz w:val="28"/>
          <w:szCs w:val="28"/>
          <w:rtl/>
        </w:rPr>
        <w:t xml:space="preserve">× 30</w:t>
      </w:r>
      <w:r>
        <w:rPr>
          <w:rFonts w:ascii="IRNazanin" w:hAnsi="IRNazanin" w:eastAsia="IRNazanin" w:cs="IRNazanin"/>
          <w:lang w:bidi="fa-IR"/>
          <w:color w:val="111111"/>
          <w:sz w:val="28"/>
          <w:szCs w:val="28"/>
          <w:rtl/>
        </w:rPr>
        <w:t xml:space="preserve">سم [سنا- ف : 1- 253]</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تهران: مجلس؛ شماره نسخه : 2/ 260</w:t>
      </w:r>
    </w:p>
    <w:p>
      <w:pPr>
        <w:pStyle w:val="BookText"/>
      </w:pPr>
      <w:r>
        <w:rPr>
          <w:rFonts w:ascii="IRNazanin" w:hAnsi="IRNazanin" w:eastAsia="IRNazanin" w:cs="IRNazanin"/>
          <w:lang w:bidi="fa-IR"/>
          <w:color w:val="111111"/>
          <w:sz w:val="28"/>
          <w:szCs w:val="28"/>
          <w:rtl/>
        </w:rPr>
        <w:t xml:space="preserve">خط: نستعليق، کا: معز الدين حسين بن محمد ميرک حسينی، تا 1062ق؛ مجدول، کاغذ: سفيد، 155ص(101- 255)، 21 سطر (10</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 اندازه:16</w:t>
      </w:r>
      <w:r>
        <w:rPr>
          <w:rFonts w:ascii="Times New Roman" w:hAnsi="Times New Roman" w:eastAsia="Times New Roman" w:cs="Times New Roman"/>
          <w:lang w:val="en-US" w:bidi="en-US"/>
          <w:color w:val="111111"/>
          <w:sz w:val="28"/>
          <w:szCs w:val="28"/>
          <w:rtl/>
        </w:rPr>
        <w:t xml:space="preserve">×25</w:t>
      </w:r>
      <w:r>
        <w:rPr>
          <w:rFonts w:ascii="IRNazanin" w:hAnsi="IRNazanin" w:eastAsia="IRNazanin" w:cs="IRNazanin"/>
          <w:lang w:bidi="fa-IR"/>
          <w:color w:val="111111"/>
          <w:sz w:val="28"/>
          <w:szCs w:val="28"/>
          <w:rtl/>
        </w:rPr>
        <w:t xml:space="preserve">سم [سنا ف:1- 128]</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تبريز؛ ملی؛ شماره نسخه :2804</w:t>
      </w:r>
    </w:p>
    <w:p>
      <w:pPr>
        <w:pStyle w:val="BookText"/>
      </w:pPr>
      <w:r>
        <w:rPr>
          <w:rFonts w:ascii="IRNazanin" w:hAnsi="IRNazanin" w:eastAsia="IRNazanin" w:cs="IRNazanin"/>
          <w:lang w:bidi="fa-IR"/>
          <w:color w:val="111111"/>
          <w:sz w:val="28"/>
          <w:szCs w:val="28"/>
          <w:rtl/>
        </w:rPr>
        <w:t xml:space="preserve">آغاز: برابر اقبال نامه؛ انجام: از آن می که جان داروی هوش باد *** مرا شربت و شاه را نوش باد</w:t>
      </w:r>
    </w:p>
    <w:p>
      <w:pPr>
        <w:pStyle w:val="BookText"/>
      </w:pPr>
      <w:r>
        <w:rPr>
          <w:rFonts w:ascii="IRNazanin" w:hAnsi="IRNazanin" w:eastAsia="IRNazanin" w:cs="IRNazanin"/>
          <w:lang w:bidi="fa-IR"/>
          <w:color w:val="111111"/>
          <w:sz w:val="28"/>
          <w:szCs w:val="28"/>
          <w:rtl/>
        </w:rPr>
        <w:t xml:space="preserve">كا: علي رضا بن محب على شريف حسن کرانه، تا: 1068ق؛ جلد: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چرمي سياه، ۲۴۸ گ، ۱۴ سطر، اندازه: ۱۲</w:t>
      </w:r>
      <w:r>
        <w:rPr>
          <w:rFonts w:ascii="Times New Roman" w:hAnsi="Times New Roman" w:eastAsia="Times New Roman" w:cs="Times New Roman"/>
          <w:lang w:val="en-US" w:bidi="en-US"/>
          <w:color w:val="111111"/>
          <w:sz w:val="28"/>
          <w:szCs w:val="28"/>
          <w:rtl/>
        </w:rPr>
        <w:t xml:space="preserve">× 18/5</w:t>
      </w:r>
      <w:r>
        <w:rPr>
          <w:rFonts w:ascii="IRNazanin" w:hAnsi="IRNazanin" w:eastAsia="IRNazanin" w:cs="IRNazanin"/>
          <w:lang w:bidi="fa-IR"/>
          <w:color w:val="111111"/>
          <w:sz w:val="28"/>
          <w:szCs w:val="28"/>
          <w:rtl/>
        </w:rPr>
        <w:t xml:space="preserve">سم[ف: 1- 58]</w:t>
      </w:r>
    </w:p>
    <w:p>
      <w:pPr>
        <w:pStyle w:val="BookText"/>
      </w:pPr>
      <w:r>
        <w:rPr>
          <w:rFonts w:ascii="IRNazanin" w:hAnsi="IRNazanin" w:eastAsia="IRNazanin" w:cs="IRNazanin"/>
          <w:lang w:bidi="fa-IR"/>
          <w:color w:val="111111"/>
          <w:sz w:val="28"/>
          <w:szCs w:val="28"/>
          <w:rtl/>
        </w:rPr>
        <w:t xml:space="preserve">٢٨ . تهران؛ مجلس؛ شماره نسخه: ۳</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شرف نامه و اقبال نامه؛ خط: نستعليق، کا: محمد قاسم بمشچی، تا:1078ق، 120گ( 163پ- 282پ) [ف: ۳۷- 508]</w:t>
      </w:r>
    </w:p>
    <w:p>
      <w:pPr>
        <w:pStyle w:val="BookText"/>
      </w:pPr>
      <w:r>
        <w:rPr>
          <w:rFonts w:ascii="Amiri" w:hAnsi="Amiri" w:eastAsia="Amiri" w:cs="Amiri"/>
          <w:lang w:bidi="ar-SA"/>
          <w:color w:val="111111"/>
          <w:sz w:val="28"/>
          <w:szCs w:val="28"/>
          <w:rtl/>
        </w:rPr>
        <w:t xml:space="preserve">٢٩ . مشهد؛ الهيات؛ شماره نسخه: 6/ 171</w:t>
      </w:r>
    </w:p>
    <w:p>
      <w:pPr>
        <w:pStyle w:val="BookText"/>
      </w:pPr>
      <w:r>
        <w:rPr>
          <w:rFonts w:ascii="IRNazanin" w:hAnsi="IRNazanin" w:eastAsia="IRNazanin" w:cs="IRNazanin"/>
          <w:lang w:bidi="fa-IR"/>
          <w:color w:val="111111"/>
          <w:sz w:val="28"/>
          <w:szCs w:val="28"/>
          <w:rtl/>
        </w:rPr>
        <w:t xml:space="preserve">آغاز و انجام: برابر با اقبال نامه</w:t>
      </w:r>
    </w:p>
    <w:p>
      <w:pPr>
        <w:pStyle w:val="BookText"/>
      </w:pPr>
      <w:r>
        <w:rPr>
          <w:rFonts w:ascii="IRNazanin" w:hAnsi="IRNazanin" w:eastAsia="IRNazanin" w:cs="IRNazanin"/>
          <w:lang w:bidi="fa-IR"/>
          <w:color w:val="111111"/>
          <w:sz w:val="28"/>
          <w:szCs w:val="28"/>
          <w:rtl/>
        </w:rPr>
        <w:t xml:space="preserve">اقبال نامه. در فهرست با نام « شرف الدین»آمده است؛ خط: نستعليق، بی کا: تا: جمادی الثانی ۱۰۸۲ ق؛ کاغذ: نخودی، جلد: تيماجی مشکی ضربی، ۳۰ سطر ( 13/8</w:t>
      </w:r>
      <w:r>
        <w:rPr>
          <w:rFonts w:ascii="Times New Roman" w:hAnsi="Times New Roman" w:eastAsia="Times New Roman" w:cs="Times New Roman"/>
          <w:lang w:val="en-US" w:bidi="en-US"/>
          <w:color w:val="111111"/>
          <w:sz w:val="28"/>
          <w:szCs w:val="28"/>
          <w:rtl/>
        </w:rPr>
        <w:t xml:space="preserve">×29)</w:t>
      </w:r>
      <w:r>
        <w:rPr>
          <w:rFonts w:ascii="IRNazanin" w:hAnsi="IRNazanin" w:eastAsia="IRNazanin" w:cs="IRNazanin"/>
          <w:lang w:bidi="fa-IR"/>
          <w:color w:val="111111"/>
          <w:sz w:val="28"/>
          <w:szCs w:val="28"/>
          <w:rtl/>
        </w:rPr>
        <w:t xml:space="preserve">، 20/5</w:t>
      </w:r>
      <w:r>
        <w:rPr>
          <w:rFonts w:ascii="Times New Roman" w:hAnsi="Times New Roman" w:eastAsia="Times New Roman" w:cs="Times New Roman"/>
          <w:lang w:val="en-US" w:bidi="en-US"/>
          <w:color w:val="111111"/>
          <w:sz w:val="28"/>
          <w:szCs w:val="28"/>
          <w:rtl/>
        </w:rPr>
        <w:t xml:space="preserve">×35/5</w:t>
      </w:r>
      <w:r>
        <w:rPr>
          <w:rFonts w:ascii="IRNazanin" w:hAnsi="IRNazanin" w:eastAsia="IRNazanin" w:cs="IRNazanin"/>
          <w:lang w:bidi="fa-IR"/>
          <w:color w:val="111111"/>
          <w:sz w:val="28"/>
          <w:szCs w:val="28"/>
          <w:rtl/>
        </w:rPr>
        <w:t xml:space="preserve">سم[ف: 1- 109]</w:t>
      </w:r>
    </w:p>
    <w:p>
      <w:pPr>
        <w:pStyle w:val="BookText"/>
      </w:pPr>
      <w:r>
        <w:rPr>
          <w:rFonts w:ascii="IRNazanin" w:hAnsi="IRNazanin" w:eastAsia="IRNazanin" w:cs="IRNazanin"/>
          <w:lang w:bidi="fa-IR"/>
          <w:color w:val="111111"/>
          <w:sz w:val="28"/>
          <w:szCs w:val="28"/>
          <w:rtl/>
        </w:rPr>
        <w:t xml:space="preserve">٣٠ . مشهد؛ رضوی؛ شماره نسخه: ۱۷۶۴۲</w:t>
      </w:r>
    </w:p>
    <w:p>
      <w:pPr>
        <w:pStyle w:val="BookText"/>
      </w:pPr>
      <w:r>
        <w:rPr>
          <w:rFonts w:ascii="IRNazanin" w:hAnsi="IRNazanin" w:eastAsia="IRNazanin" w:cs="IRNazanin"/>
          <w:lang w:bidi="fa-IR"/>
          <w:color w:val="111111"/>
          <w:sz w:val="28"/>
          <w:szCs w:val="28"/>
          <w:rtl/>
        </w:rPr>
        <w:t xml:space="preserve">آغاز و انجام: برابر با اقبال نامه</w:t>
      </w:r>
    </w:p>
    <w:p>
      <w:pPr>
        <w:pStyle w:val="BookText"/>
      </w:pPr>
      <w:r>
        <w:rPr>
          <w:rFonts w:ascii="IRNazanin" w:hAnsi="IRNazanin" w:eastAsia="IRNazanin" w:cs="IRNazanin"/>
          <w:lang w:bidi="fa-IR"/>
          <w:color w:val="111111"/>
          <w:sz w:val="28"/>
          <w:szCs w:val="28"/>
          <w:rtl/>
        </w:rPr>
        <w:t xml:space="preserve">اقبال نامه؛ خط: نستعليق، بی کا، تا: قرن ۱۲ ؛ در خاتمه چهار بيت از ديگر مثنوی های نظامی آورده شده است؛ واقف: مولانا منظورالحسن، تير ۱۳۶۸ ؛ کاغذ: حنايی، جلد: اسقاطی، ۱۴۴ گ، ۱۳ سطر، اندازه:11/9</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[ف:17- 15]</w:t>
      </w:r>
    </w:p>
    <w:p>
      <w:pPr>
        <w:pStyle w:val="BookText"/>
      </w:pPr>
      <w:r>
        <w:rPr>
          <w:rFonts w:ascii="IRNazanin" w:hAnsi="IRNazanin" w:eastAsia="IRNazanin" w:cs="IRNazanin"/>
          <w:lang w:bidi="fa-IR"/>
          <w:color w:val="111111"/>
          <w:sz w:val="28"/>
          <w:szCs w:val="28"/>
          <w:rtl/>
        </w:rPr>
        <w:t xml:space="preserve">٣١ . تهران؛ دانشگاه؛ شماره نسخه: ۵۱۴۴</w:t>
      </w:r>
    </w:p>
    <w:p>
      <w:pPr>
        <w:pStyle w:val="BookText"/>
      </w:pPr>
      <w:r>
        <w:rPr>
          <w:rFonts w:ascii="IRNazanin" w:hAnsi="IRNazanin" w:eastAsia="IRNazanin" w:cs="IRNazanin"/>
          <w:lang w:bidi="fa-IR"/>
          <w:color w:val="111111"/>
          <w:sz w:val="28"/>
          <w:szCs w:val="28"/>
          <w:rtl/>
        </w:rPr>
        <w:t xml:space="preserve">خط:نستعليق،کا:محمد عمر،تا: ۲۷ صفر ۱۱۱۷ ق، به فرمايش محمد معصوم خان؛ مجدول، با سرلوح و چهل و پنج مجلس تصوير زيبا؛ كاغذ:سپاهاني،جلد:تيماج سرخ تيره ضربي مقوايي، ۲۸۸ گ،13سطر(8</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قطع: ربعی، اندازه: ۱۲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۱۳ سم[ف: 15- 4124]</w:t>
      </w:r>
    </w:p>
    <w:p>
      <w:pPr>
        <w:pStyle w:val="BookText"/>
      </w:pPr>
      <w:r>
        <w:rPr>
          <w:rFonts w:ascii="IRNazanin" w:hAnsi="IRNazanin" w:eastAsia="IRNazanin" w:cs="IRNazanin"/>
          <w:lang w:bidi="fa-IR"/>
          <w:color w:val="111111"/>
          <w:sz w:val="28"/>
          <w:szCs w:val="28"/>
          <w:rtl/>
        </w:rPr>
        <w:t xml:space="preserve">٣٢ . كاشان؛ مدرسه سلطانی؛ شماره نسخه: ۲۶۹</w:t>
      </w:r>
    </w:p>
    <w:p>
      <w:pPr>
        <w:pStyle w:val="BookText"/>
      </w:pPr>
      <w:r>
        <w:rPr>
          <w:rFonts w:ascii="IRNazanin" w:hAnsi="IRNazanin" w:eastAsia="IRNazanin" w:cs="IRNazanin"/>
          <w:lang w:bidi="fa-IR"/>
          <w:color w:val="111111"/>
          <w:sz w:val="28"/>
          <w:szCs w:val="28"/>
          <w:rtl/>
        </w:rPr>
        <w:t xml:space="preserve">آغاز: کواکب تو بر بستی افلاک را ** به مردم تو آراستی خاک را / تويی گوهر آرای پاوا خشيچ ** مسلسل کن گوهر اندرمزیچ؛</w:t>
      </w:r>
    </w:p>
    <w:p>
      <w:pPr>
        <w:pStyle w:val="BookText"/>
      </w:pPr>
      <w:r>
        <w:rPr>
          <w:rFonts w:ascii="IRNazanin" w:hAnsi="IRNazanin" w:eastAsia="IRNazanin" w:cs="IRNazanin"/>
          <w:lang w:bidi="fa-IR"/>
          <w:color w:val="111111"/>
          <w:sz w:val="28"/>
          <w:szCs w:val="28"/>
          <w:rtl/>
        </w:rPr>
        <w:t xml:space="preserve">انجام: بيا ساقی آن جام رخشيده می ** به من ده که افسرده گشتم بخوی / که تا آن می خوشگوار افکنم ** غمي کز گرفتست جان وتنم</w:t>
      </w:r>
    </w:p>
    <w:p>
      <w:pPr>
        <w:pStyle w:val="BookText"/>
      </w:pPr>
      <w:r>
        <w:rPr>
          <w:rFonts w:ascii="IRNazanin" w:hAnsi="IRNazanin" w:eastAsia="IRNazanin" w:cs="IRNazanin"/>
          <w:lang w:bidi="fa-IR"/>
          <w:color w:val="111111"/>
          <w:sz w:val="28"/>
          <w:szCs w:val="28"/>
          <w:rtl/>
        </w:rPr>
        <w:t xml:space="preserve">کا: شاه محمد حسينی، بي تا؛ افتادگی: آغاز (چند برگ)؛ مجدول مرصع ؛مهر: «عبدالله 1169»(شش ضلعی)؛ جلد: تيماج قهوه ای با ترنج وسرترنج، ۲۳۲ گ، ۱۵ سطر، اندازه: ۱۲</w:t>
      </w:r>
      <w:r>
        <w:rPr>
          <w:rFonts w:ascii="Times New Roman" w:hAnsi="Times New Roman" w:eastAsia="Times New Roman" w:cs="Times New Roman"/>
          <w:lang w:val="en-US" w:bidi="en-US"/>
          <w:color w:val="111111"/>
          <w:sz w:val="28"/>
          <w:szCs w:val="28"/>
          <w:rtl/>
        </w:rPr>
        <w:t xml:space="preserve">×18/5</w:t>
      </w:r>
      <w:r>
        <w:rPr>
          <w:rFonts w:ascii="IRNazanin" w:hAnsi="IRNazanin" w:eastAsia="IRNazanin" w:cs="IRNazanin"/>
          <w:lang w:bidi="fa-IR"/>
          <w:color w:val="111111"/>
          <w:sz w:val="28"/>
          <w:szCs w:val="28"/>
          <w:rtl/>
        </w:rPr>
        <w:t xml:space="preserve">سم[ف]</w:t>
      </w:r>
    </w:p>
    <w:p>
      <w:pPr>
        <w:pStyle w:val="BookText"/>
      </w:pPr>
      <w:r>
        <w:rPr>
          <w:rFonts w:ascii="IRNazanin" w:hAnsi="IRNazanin" w:eastAsia="IRNazanin" w:cs="IRNazanin"/>
          <w:lang w:bidi="fa-IR"/>
          <w:color w:val="111111"/>
          <w:sz w:val="28"/>
          <w:szCs w:val="28"/>
          <w:rtl/>
        </w:rPr>
        <w:t xml:space="preserve">٣٣ . تهران؛ مفتاح؛ شماره نسخه: ۱</w:t>
      </w:r>
    </w:p>
    <w:p>
      <w:pPr>
        <w:pStyle w:val="BookText"/>
      </w:pPr>
      <w:r>
        <w:rPr>
          <w:rFonts w:ascii="IRNazanin" w:hAnsi="IRNazanin" w:eastAsia="IRNazanin" w:cs="IRNazanin"/>
          <w:lang w:bidi="fa-IR"/>
          <w:color w:val="111111"/>
          <w:sz w:val="28"/>
          <w:szCs w:val="28"/>
          <w:rtl/>
        </w:rPr>
        <w:t xml:space="preserve">خط: نستعليق، بی كا، تا: ۱۱۸۹ ق؛ قطع: وزيری [نشريه: ۷- 247]</w:t>
      </w:r>
    </w:p>
    <w:p>
      <w:pPr>
        <w:pStyle w:val="BookText"/>
      </w:pPr>
      <w:r>
        <w:rPr>
          <w:rFonts w:ascii="IRNazanin" w:hAnsi="IRNazanin" w:eastAsia="IRNazanin" w:cs="IRNazanin"/>
          <w:lang w:bidi="fa-IR"/>
          <w:color w:val="111111"/>
          <w:sz w:val="28"/>
          <w:szCs w:val="28"/>
          <w:rtl/>
        </w:rPr>
        <w:t xml:space="preserve">٣۴ . تهران؛ مفتاح؛ شماره نسخه: ۶</w:t>
      </w:r>
    </w:p>
    <w:p>
      <w:pPr>
        <w:pStyle w:val="BookText"/>
      </w:pPr>
      <w:r>
        <w:rPr>
          <w:rFonts w:ascii="IRNazanin" w:hAnsi="IRNazanin" w:eastAsia="IRNazanin" w:cs="IRNazanin"/>
          <w:lang w:bidi="fa-IR"/>
          <w:color w:val="111111"/>
          <w:sz w:val="28"/>
          <w:szCs w:val="28"/>
          <w:rtl/>
        </w:rPr>
        <w:t xml:space="preserve">شرف نامه؛ خط: نسخ، بي كا، تا: صفر ۱۱۹۰ ق؛ قطع: وزيری [نشريه: ۷- 247]</w:t>
      </w:r>
    </w:p>
    <w:p>
      <w:pPr>
        <w:pStyle w:val="BookText"/>
      </w:pPr>
      <w:r>
        <w:rPr>
          <w:rFonts w:ascii="IRNazanin" w:hAnsi="IRNazanin" w:eastAsia="IRNazanin" w:cs="IRNazanin"/>
          <w:lang w:bidi="fa-IR"/>
          <w:color w:val="111111"/>
          <w:sz w:val="28"/>
          <w:szCs w:val="28"/>
          <w:rtl/>
        </w:rPr>
        <w:t xml:space="preserve">٣۵ . تهران؛ مجلس؛ شماره نسخه: ۱۵۹۶۱</w:t>
      </w:r>
    </w:p>
    <w:p>
      <w:pPr>
        <w:pStyle w:val="BookText"/>
      </w:pPr>
      <w:r>
        <w:rPr>
          <w:rFonts w:ascii="IRNazanin" w:hAnsi="IRNazanin" w:eastAsia="IRNazanin" w:cs="IRNazanin"/>
          <w:lang w:bidi="fa-IR"/>
          <w:color w:val="111111"/>
          <w:sz w:val="28"/>
          <w:szCs w:val="28"/>
          <w:rtl/>
        </w:rPr>
        <w:t xml:space="preserve">آغاز: بهی چهره باغ چندان بود ** كه شمشاد با لاله خندان بود؛</w:t>
      </w:r>
    </w:p>
    <w:p>
      <w:pPr>
        <w:pStyle w:val="BookText"/>
      </w:pPr>
      <w:r>
        <w:rPr>
          <w:rFonts w:ascii="IRNazanin" w:hAnsi="IRNazanin" w:eastAsia="IRNazanin" w:cs="IRNazanin"/>
          <w:lang w:bidi="fa-IR"/>
          <w:color w:val="111111"/>
          <w:sz w:val="28"/>
          <w:szCs w:val="28"/>
          <w:rtl/>
        </w:rPr>
        <w:t xml:space="preserve">انجام: كه زيرك تر از ما در اين ترك تاز ** نگر چون شد از ما و نگشاد راز</w:t>
      </w:r>
    </w:p>
    <w:p>
      <w:pPr>
        <w:pStyle w:val="BookText"/>
      </w:pPr>
      <w:r>
        <w:rPr>
          <w:rFonts w:ascii="IRNazanin" w:hAnsi="IRNazanin" w:eastAsia="IRNazanin" w:cs="IRNazanin"/>
          <w:lang w:bidi="fa-IR"/>
          <w:color w:val="111111"/>
          <w:sz w:val="28"/>
          <w:szCs w:val="28"/>
          <w:rtl/>
        </w:rPr>
        <w:t xml:space="preserve">خط: نستعليق، بی كا، تا: قرن ۱۳ ؛ افتادگی: آغاز و انجام؛ركابه دار، در اوايل نسخه لغات مشكل در حاشيه معنا شده؛ جلد:مقوا رويه كاغذ ابر و باد عطف و گوشه تيماج زرد، ۳۰۲ گ، ۱۱ سطر ، اندازه: 15</w:t>
      </w:r>
      <w:r>
        <w:rPr>
          <w:rFonts w:ascii="Times New Roman" w:hAnsi="Times New Roman" w:eastAsia="Times New Roman" w:cs="Times New Roman"/>
          <w:lang w:val="en-US" w:bidi="en-US"/>
          <w:color w:val="111111"/>
          <w:sz w:val="28"/>
          <w:szCs w:val="28"/>
          <w:rtl/>
        </w:rPr>
        <w:t xml:space="preserve">×26</w:t>
      </w:r>
      <w:r>
        <w:rPr>
          <w:rFonts w:ascii="IRNazanin" w:hAnsi="IRNazanin" w:eastAsia="IRNazanin" w:cs="IRNazanin"/>
          <w:lang w:bidi="fa-IR"/>
          <w:color w:val="111111"/>
          <w:sz w:val="28"/>
          <w:szCs w:val="28"/>
          <w:rtl/>
        </w:rPr>
        <w:t xml:space="preserve">سم[ف: 44- 159]</w:t>
      </w:r>
    </w:p>
    <w:p>
      <w:pPr>
        <w:pStyle w:val="BookText"/>
      </w:pPr>
      <w:r>
        <w:rPr>
          <w:rFonts w:ascii="IRNazanin" w:hAnsi="IRNazanin" w:eastAsia="IRNazanin" w:cs="IRNazanin"/>
          <w:lang w:bidi="fa-IR"/>
          <w:color w:val="111111"/>
          <w:sz w:val="28"/>
          <w:szCs w:val="28"/>
          <w:rtl/>
        </w:rPr>
        <w:t xml:space="preserve">٣۶ . تهران؛ مجلس؛ شماره نسخه: ۵</w:t>
      </w:r>
    </w:p>
    <w:p>
      <w:pPr>
        <w:pStyle w:val="BookText"/>
      </w:pPr>
      <w:r>
        <w:rPr>
          <w:rFonts w:ascii="IRNazanin" w:hAnsi="IRNazanin" w:eastAsia="IRNazanin" w:cs="IRNazanin"/>
          <w:lang w:bidi="fa-IR"/>
          <w:color w:val="111111"/>
          <w:sz w:val="28"/>
          <w:szCs w:val="28"/>
          <w:rtl/>
        </w:rPr>
        <w:t xml:space="preserve">خط: نستعليق، کا: نجفعلی، تا: ۱۲۲۸ ق [ف: ۳۷- 141]</w:t>
      </w:r>
    </w:p>
    <w:p>
      <w:pPr>
        <w:pStyle w:val="BookText"/>
      </w:pPr>
      <w:r>
        <w:rPr>
          <w:rFonts w:ascii="IRNazanin" w:hAnsi="IRNazanin" w:eastAsia="IRNazanin" w:cs="IRNazanin"/>
          <w:lang w:bidi="fa-IR"/>
          <w:color w:val="111111"/>
          <w:sz w:val="28"/>
          <w:szCs w:val="28"/>
          <w:rtl/>
        </w:rPr>
        <w:t xml:space="preserve">٣٧ . تهران؛ مجلس؛ شماره نسخه: ۱۶۱۷۶</w:t>
      </w:r>
    </w:p>
    <w:p>
      <w:pPr>
        <w:pStyle w:val="BookText"/>
      </w:pPr>
      <w:r>
        <w:rPr>
          <w:rFonts w:ascii="IRNazanin" w:hAnsi="IRNazanin" w:eastAsia="IRNazanin" w:cs="IRNazanin"/>
          <w:lang w:bidi="fa-IR"/>
          <w:color w:val="111111"/>
          <w:sz w:val="28"/>
          <w:szCs w:val="28"/>
          <w:rtl/>
        </w:rPr>
        <w:t xml:space="preserve">خط: نستعليق هندی، کا: سيد سعادت علی، تا: سه شنبه ۵ رجب  ۱۲۳۲ ق [مختصر - ف: - ۵۵]</w:t>
      </w:r>
    </w:p>
    <w:p>
      <w:pPr>
        <w:pStyle w:val="BookText"/>
      </w:pPr>
      <w:r>
        <w:rPr>
          <w:rFonts w:ascii="IRNazanin" w:hAnsi="IRNazanin" w:eastAsia="IRNazanin" w:cs="IRNazanin"/>
          <w:lang w:bidi="fa-IR"/>
          <w:color w:val="111111"/>
          <w:sz w:val="28"/>
          <w:szCs w:val="28"/>
          <w:rtl/>
        </w:rPr>
        <w:t xml:space="preserve">٣٨ . تهران؛ مجلس؛ شماره نسخه: ۱۶۱۷۶</w:t>
      </w:r>
    </w:p>
    <w:p>
      <w:pPr>
        <w:pStyle w:val="BookText"/>
      </w:pPr>
      <w:r>
        <w:rPr>
          <w:rFonts w:ascii="IRNazanin" w:hAnsi="IRNazanin" w:eastAsia="IRNazanin" w:cs="IRNazanin"/>
          <w:lang w:bidi="fa-IR"/>
          <w:color w:val="111111"/>
          <w:sz w:val="28"/>
          <w:szCs w:val="28"/>
          <w:rtl/>
        </w:rPr>
        <w:t xml:space="preserve">با شرح مفصل؛ خط: نستعليق، بی كا، تا: ۱۲۳۲ ق؛ كاغذ: فرنگی، قطع: خشتی [د.ث. مجلس]</w:t>
      </w:r>
    </w:p>
    <w:p>
      <w:pPr>
        <w:pStyle w:val="BookText"/>
      </w:pPr>
      <w:r>
        <w:rPr>
          <w:rFonts w:ascii="IRNazanin" w:hAnsi="IRNazanin" w:eastAsia="IRNazanin" w:cs="IRNazanin"/>
          <w:lang w:bidi="fa-IR"/>
          <w:color w:val="111111"/>
          <w:sz w:val="28"/>
          <w:szCs w:val="28"/>
          <w:rtl/>
        </w:rPr>
        <w:t xml:space="preserve">٣٩ . تهران؛ نوربخش؛ شماره نسخه: ۶۲۸</w:t>
      </w:r>
    </w:p>
    <w:p>
      <w:pPr>
        <w:pStyle w:val="BookText"/>
      </w:pPr>
      <w:r>
        <w:rPr>
          <w:rFonts w:ascii="IRNazanin" w:hAnsi="IRNazanin" w:eastAsia="IRNazanin" w:cs="IRNazanin"/>
          <w:lang w:bidi="fa-IR"/>
          <w:color w:val="111111"/>
          <w:sz w:val="28"/>
          <w:szCs w:val="28"/>
          <w:rtl/>
        </w:rPr>
        <w:t xml:space="preserve">خط: نستعليق، کا: محمد شرف الدين پسر محمد حسين ساكن قصبه كوهير، تا: ۱۲۴۷ ق؛ محشی، بر پشت برگ آخر آمده:« چندی زاهد علی انعام دار كوهير جنت نظير در اين كتاب خواند به رد یاب شد 21 جمادی 1261» كاغذ: فرنگی، ۴۹۸ گ، 14سطر، قطع: رقعی ، اندازه:13</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نشریه: 13- 25]</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تهران؛ دائرة المعارف؛ شماره نسخه: 5/ 1573- عکسی</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شرف نامه و اقبال نامه؛ خط: نستعليق ريز و خوش، کا: محمد هاشم بن محمد مهدی العرب،</w:t>
      </w:r>
    </w:p>
    <w:p>
      <w:pPr>
        <w:pStyle w:val="BookText"/>
      </w:pPr>
      <w:r>
        <w:rPr>
          <w:rFonts w:ascii="IRNazanin" w:hAnsi="IRNazanin" w:eastAsia="IRNazanin" w:cs="IRNazanin"/>
          <w:lang w:bidi="fa-IR"/>
          <w:color w:val="111111"/>
          <w:sz w:val="28"/>
          <w:szCs w:val="28"/>
          <w:rtl/>
        </w:rPr>
        <w:t xml:space="preserve">تا: ذيقعده ۱۲۴۷ ق، جا: همدان؛ در«پنج کنج» او، با سرلوح بسيار زيبا، جدول بندی 5  راه و كمند ۲ راه،  ميان سطرها جدول بندی عمودی ۲ راه؛ ۱۸۷ ص( ۳۷۴- 560) 45سطر در 4ستون[ف: 1- 24]</w:t>
      </w:r>
    </w:p>
    <w:p>
      <w:pPr>
        <w:pStyle w:val="BookText"/>
      </w:pPr>
      <w:r>
        <w:rPr>
          <w:rFonts w:ascii="IRNazanin" w:hAnsi="IRNazanin" w:eastAsia="IRNazanin" w:cs="IRNazanin"/>
          <w:lang w:bidi="fa-IR"/>
          <w:color w:val="111111"/>
          <w:sz w:val="28"/>
          <w:szCs w:val="28"/>
          <w:rtl/>
        </w:rPr>
        <w:t xml:space="preserve">۴١ . تهران؛ مفتاح؛ شماره نسخه: ۷۷۰</w:t>
      </w:r>
    </w:p>
    <w:p>
      <w:pPr>
        <w:pStyle w:val="BookText"/>
      </w:pPr>
      <w:r>
        <w:rPr>
          <w:rFonts w:ascii="IRNazanin" w:hAnsi="IRNazanin" w:eastAsia="IRNazanin" w:cs="IRNazanin"/>
          <w:lang w:bidi="fa-IR"/>
          <w:color w:val="111111"/>
          <w:sz w:val="28"/>
          <w:szCs w:val="28"/>
          <w:rtl/>
        </w:rPr>
        <w:t xml:space="preserve">خط: نستعليق، بی كا، تا: ۲۷ ربيع الثانی ۱۲۶۳ ق؛ قطع: رحلی [نشريه: ۷- 101]</w:t>
      </w:r>
    </w:p>
    <w:p>
      <w:pPr>
        <w:pStyle w:val="BookText"/>
      </w:pPr>
      <w:r>
        <w:rPr>
          <w:rFonts w:ascii="IRNazanin" w:hAnsi="IRNazanin" w:eastAsia="IRNazanin" w:cs="IRNazanin"/>
          <w:lang w:bidi="fa-IR"/>
          <w:color w:val="111111"/>
          <w:sz w:val="28"/>
          <w:szCs w:val="28"/>
          <w:rtl/>
        </w:rPr>
        <w:t xml:space="preserve">۴٢ . مشهد؛ شيخ علی حيدر؛ شماره نسخه: ۲/ 1104</w:t>
      </w:r>
    </w:p>
    <w:p>
      <w:pPr>
        <w:pStyle w:val="BookText"/>
      </w:pPr>
      <w:r>
        <w:rPr>
          <w:rFonts w:ascii="IRNazanin" w:hAnsi="IRNazanin" w:eastAsia="IRNazanin" w:cs="IRNazanin"/>
          <w:lang w:bidi="fa-IR"/>
          <w:color w:val="111111"/>
          <w:sz w:val="28"/>
          <w:szCs w:val="28"/>
          <w:rtl/>
        </w:rPr>
        <w:t xml:space="preserve">آغاز: برابر اقبال نامه؛ انجام: فلك را بحشمت گراينده دار ** بدو داد و دين هر دو پاينده دار.</w:t>
      </w:r>
    </w:p>
    <w:p>
      <w:pPr>
        <w:pStyle w:val="BookText"/>
      </w:pPr>
      <w:r>
        <w:rPr>
          <w:rFonts w:ascii="IRNazanin" w:hAnsi="IRNazanin" w:eastAsia="IRNazanin" w:cs="IRNazanin"/>
          <w:lang w:bidi="fa-IR"/>
          <w:color w:val="111111"/>
          <w:sz w:val="28"/>
          <w:szCs w:val="28"/>
          <w:rtl/>
        </w:rPr>
        <w:t xml:space="preserve">خط: نستعليق، کا: خواجه محبوب حسن، تا: ۶ صفر ۱۲۷۲ ق؛ در حاشيه، مجدول؛ جلد: تيماج سرخ، ۱۲۸ گ ( ۱پ- ۱۲۸ ر)، ۱۵سطر ، اندازه :17/5</w:t>
      </w:r>
      <w:r>
        <w:rPr>
          <w:rFonts w:ascii="Times New Roman" w:hAnsi="Times New Roman" w:eastAsia="Times New Roman" w:cs="Times New Roman"/>
          <w:lang w:val="en-US" w:bidi="en-US"/>
          <w:color w:val="111111"/>
          <w:sz w:val="28"/>
          <w:szCs w:val="28"/>
          <w:rtl/>
        </w:rPr>
        <w:t xml:space="preserve">×26 </w:t>
      </w:r>
      <w:r>
        <w:rPr>
          <w:rFonts w:ascii="Amiri" w:hAnsi="Amiri" w:eastAsia="Amiri" w:cs="Amiri"/>
          <w:lang w:bidi="ar-SA"/>
          <w:color w:val="111111"/>
          <w:sz w:val="28"/>
          <w:szCs w:val="28"/>
          <w:rtl/>
        </w:rPr>
        <w:t xml:space="preserve">سم [مؤيد: ۳ - 101]</w:t>
      </w:r>
    </w:p>
    <w:p>
      <w:pPr>
        <w:pStyle w:val="BookText"/>
      </w:pPr>
      <w:r>
        <w:rPr>
          <w:rFonts w:ascii="IRNazanin" w:hAnsi="IRNazanin" w:eastAsia="IRNazanin" w:cs="IRNazanin"/>
          <w:lang w:bidi="fa-IR"/>
          <w:color w:val="111111"/>
          <w:sz w:val="28"/>
          <w:szCs w:val="28"/>
          <w:rtl/>
        </w:rPr>
        <w:t xml:space="preserve">۴٣ . مشهد؛ رضوی؛ شماره نسخه: ۱۱۷۹۴</w:t>
      </w:r>
    </w:p>
    <w:p>
      <w:pPr>
        <w:pStyle w:val="BookText"/>
      </w:pPr>
      <w:r>
        <w:rPr>
          <w:rFonts w:ascii="IRNazanin" w:hAnsi="IRNazanin" w:eastAsia="IRNazanin" w:cs="IRNazanin"/>
          <w:lang w:bidi="fa-IR"/>
          <w:color w:val="111111"/>
          <w:sz w:val="28"/>
          <w:szCs w:val="28"/>
          <w:rtl/>
        </w:rPr>
        <w:t xml:space="preserve">آغاز و انجام: برابر با اقبال نامه</w:t>
      </w:r>
    </w:p>
    <w:p>
      <w:pPr>
        <w:pStyle w:val="BookText"/>
      </w:pPr>
      <w:r>
        <w:rPr>
          <w:rFonts w:ascii="IRNazanin" w:hAnsi="IRNazanin" w:eastAsia="IRNazanin" w:cs="IRNazanin"/>
          <w:lang w:bidi="fa-IR"/>
          <w:color w:val="111111"/>
          <w:sz w:val="28"/>
          <w:szCs w:val="28"/>
          <w:rtl/>
        </w:rPr>
        <w:t xml:space="preserve">اقبال نامه؛ خط: نستعليق، کا: امير جوانبخت، تا: ۱۳۴۶ ق؛ از روی نسخه مکتوب آقای سيد مرتضی خوشنويس؛ واقف: امير جوانبخت؛ کاغذ: شکری فرنگی، جلد: مقوايی، ۲۴۶ گ، ۱۳سطر ، اندازه: 16</w:t>
      </w:r>
      <w:r>
        <w:rPr>
          <w:rFonts w:ascii="Times New Roman" w:hAnsi="Times New Roman" w:eastAsia="Times New Roman" w:cs="Times New Roman"/>
          <w:lang w:val="en-US" w:bidi="en-US"/>
          <w:color w:val="111111"/>
          <w:sz w:val="28"/>
          <w:szCs w:val="28"/>
          <w:rtl/>
        </w:rPr>
        <w:t xml:space="preserve">×24</w:t>
      </w:r>
      <w:r>
        <w:rPr>
          <w:rFonts w:ascii="IRNazanin" w:hAnsi="IRNazanin" w:eastAsia="IRNazanin" w:cs="IRNazanin"/>
          <w:lang w:bidi="fa-IR"/>
          <w:color w:val="111111"/>
          <w:sz w:val="28"/>
          <w:szCs w:val="28"/>
          <w:rtl/>
        </w:rPr>
        <w:t xml:space="preserve">سم[ف: 6- 84]</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تهران؛ دانشگاه؛ شماره نسخه: ۴/ 6079/ 1</w:t>
      </w:r>
    </w:p>
    <w:p>
      <w:pPr>
        <w:pStyle w:val="BookText"/>
      </w:pPr>
      <w:r>
        <w:rPr>
          <w:rFonts w:ascii="IRNazanin" w:hAnsi="IRNazanin" w:eastAsia="IRNazanin" w:cs="IRNazanin"/>
          <w:lang w:bidi="fa-IR"/>
          <w:color w:val="111111"/>
          <w:sz w:val="28"/>
          <w:szCs w:val="28"/>
          <w:rtl/>
        </w:rPr>
        <w:t xml:space="preserve">خط: نستعليق، کا: شرف الدين حسين بن حبيب الله، بي تا؛ كاغذ: سمرقندی، جلد: روغنی زمينه سبز ترنجی سرخ عطف تيماج قهوه ای بخارایی،</w:t>
      </w:r>
    </w:p>
    <w:p>
      <w:pPr>
        <w:pStyle w:val="BookText"/>
      </w:pPr>
      <w:r>
        <w:rPr>
          <w:rFonts w:ascii="IRNazanin" w:hAnsi="IRNazanin" w:eastAsia="IRNazanin" w:cs="IRNazanin"/>
          <w:lang w:bidi="fa-IR"/>
          <w:color w:val="111111"/>
          <w:sz w:val="28"/>
          <w:szCs w:val="28"/>
          <w:rtl/>
        </w:rPr>
        <w:t xml:space="preserve">22سطر،(7/5</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قطع: وزيری ، اندازه: 13</w:t>
      </w:r>
      <w:r>
        <w:rPr>
          <w:rFonts w:ascii="Times New Roman" w:hAnsi="Times New Roman" w:eastAsia="Times New Roman" w:cs="Times New Roman"/>
          <w:lang w:val="en-US" w:bidi="en-US"/>
          <w:color w:val="111111"/>
          <w:sz w:val="28"/>
          <w:szCs w:val="28"/>
          <w:rtl/>
        </w:rPr>
        <w:t xml:space="preserve">×25 </w:t>
      </w:r>
      <w:r>
        <w:rPr>
          <w:rFonts w:ascii="IRNazanin" w:hAnsi="IRNazanin" w:eastAsia="IRNazanin" w:cs="IRNazanin"/>
          <w:lang w:bidi="fa-IR"/>
          <w:color w:val="111111"/>
          <w:sz w:val="28"/>
          <w:szCs w:val="28"/>
          <w:rtl/>
        </w:rPr>
        <w:t xml:space="preserve">سم[ف: 16- 192]</w:t>
      </w:r>
    </w:p>
    <w:p>
      <w:pPr>
        <w:pStyle w:val="BookText"/>
      </w:pPr>
      <w:r>
        <w:rPr>
          <w:rFonts w:ascii="Amiri" w:hAnsi="Amiri" w:eastAsia="Amiri" w:cs="Amiri"/>
          <w:lang w:bidi="ar-SA"/>
          <w:color w:val="111111"/>
          <w:sz w:val="28"/>
          <w:szCs w:val="28"/>
          <w:rtl/>
        </w:rPr>
        <w:t xml:space="preserve">۴۵ . تهران؛ ادبيات؛ شماره نسخه: ۵/ 230-ج</w:t>
      </w:r>
    </w:p>
    <w:p>
      <w:pPr>
        <w:pStyle w:val="BookText"/>
      </w:pPr>
      <w:r>
        <w:rPr>
          <w:rFonts w:ascii="IRNazanin" w:hAnsi="IRNazanin" w:eastAsia="IRNazanin" w:cs="IRNazanin"/>
          <w:lang w:bidi="fa-IR"/>
          <w:color w:val="111111"/>
          <w:sz w:val="28"/>
          <w:szCs w:val="28"/>
          <w:rtl/>
        </w:rPr>
        <w:t xml:space="preserve">شرف نامه و اقبال نامه؛ خط: نستعليق كهن، بی كا، بي تا؛ افتادگی: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آغاز و انجام؛ كاغذ: سمرقندی، جلد: تيماج سرخ مقوايی، 108گ  ( ۱۹۰ پ- ۲۹۷ پ)، ۲۵ سطر ( ۱۰</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 اندازه: 14/5</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سم [ف: 1- 53]</w:t>
      </w:r>
    </w:p>
    <w:p>
      <w:pPr>
        <w:pStyle w:val="BookText"/>
      </w:pPr>
      <w:r>
        <w:rPr>
          <w:rFonts w:ascii="IRNazanin" w:hAnsi="IRNazanin" w:eastAsia="IRNazanin" w:cs="IRNazanin"/>
          <w:lang w:bidi="fa-IR"/>
          <w:color w:val="111111"/>
          <w:sz w:val="28"/>
          <w:szCs w:val="28"/>
          <w:rtl/>
        </w:rPr>
        <w:t xml:space="preserve">۴۶ . تهران؛ سلطنتی؛ شماره نسخه: ۲۲۳۱</w:t>
      </w:r>
    </w:p>
    <w:p>
      <w:pPr>
        <w:pStyle w:val="BookText"/>
      </w:pPr>
      <w:r>
        <w:rPr>
          <w:rFonts w:ascii="IRNazanin" w:hAnsi="IRNazanin" w:eastAsia="IRNazanin" w:cs="IRNazanin"/>
          <w:lang w:bidi="fa-IR"/>
          <w:color w:val="111111"/>
          <w:sz w:val="28"/>
          <w:szCs w:val="28"/>
          <w:rtl/>
        </w:rPr>
        <w:t xml:space="preserve">آغاز: برابر با شرف نامه؛ انجام: مهدی داشت تابنده چون آفتاب*** ز بحران تب يافته رنج و تاب.</w:t>
      </w:r>
    </w:p>
    <w:p>
      <w:pPr>
        <w:pStyle w:val="BookText"/>
      </w:pPr>
      <w:r>
        <w:rPr>
          <w:rFonts w:ascii="IRNazanin" w:hAnsi="IRNazanin" w:eastAsia="IRNazanin" w:cs="IRNazanin"/>
          <w:lang w:bidi="fa-IR"/>
          <w:color w:val="111111"/>
          <w:sz w:val="28"/>
          <w:szCs w:val="28"/>
          <w:rtl/>
        </w:rPr>
        <w:t xml:space="preserve">خط: نستعليق ممتاز، بي كا، بي تا؛ افتادگی: انجام؛ به احتمال قوی از خطوط زيبای بابا شاه اصفهانی است، متأسفانه حواشی پنج صفحه از نهايت كتاب را شايد به علت حك كاری و تذهيب زيبا و زرين كه داشته چيده اند در نتيجه نام راقم و تاريخ تحرير آن نامعلوم است، صفحات زوج مجدول زرين و رنگين، با سرلوح كتيبه ای شكل مذهب مرصع خوب؛ كاغذ: دولت آبادی غبار زرافشان، جلد: مقوای روغنی بوم مشكی منقش به گل و بوته،</w:t>
      </w:r>
    </w:p>
    <w:p>
      <w:pPr>
        <w:pStyle w:val="BookText"/>
      </w:pPr>
      <w:r>
        <w:rPr>
          <w:rFonts w:ascii="IRNazanin" w:hAnsi="IRNazanin" w:eastAsia="IRNazanin" w:cs="IRNazanin"/>
          <w:lang w:bidi="fa-IR"/>
          <w:color w:val="111111"/>
          <w:sz w:val="28"/>
          <w:szCs w:val="28"/>
          <w:rtl/>
        </w:rPr>
        <w:t xml:space="preserve">۱۲۴ ص، ۲۰ سطر در چهار ستون، قطع: رحلی، اندازه: 26</w:t>
      </w:r>
      <w:r>
        <w:rPr>
          <w:rFonts w:ascii="Times New Roman" w:hAnsi="Times New Roman" w:eastAsia="Times New Roman" w:cs="Times New Roman"/>
          <w:lang w:val="en-US" w:bidi="en-US"/>
          <w:color w:val="111111"/>
          <w:sz w:val="28"/>
          <w:szCs w:val="28"/>
          <w:rtl/>
        </w:rPr>
        <w:t xml:space="preserve">×36/5</w:t>
      </w:r>
      <w:r>
        <w:rPr>
          <w:rFonts w:ascii="IRNazanin" w:hAnsi="IRNazanin" w:eastAsia="IRNazanin" w:cs="IRNazanin"/>
          <w:lang w:bidi="fa-IR"/>
          <w:color w:val="111111"/>
          <w:sz w:val="28"/>
          <w:szCs w:val="28"/>
          <w:rtl/>
        </w:rPr>
        <w:t xml:space="preserve">سم[ف:4- 1257]</w:t>
      </w:r>
    </w:p>
    <w:p>
      <w:pPr>
        <w:pStyle w:val="BookText"/>
      </w:pPr>
      <w:r>
        <w:rPr>
          <w:rFonts w:ascii="IRNazanin" w:hAnsi="IRNazanin" w:eastAsia="IRNazanin" w:cs="IRNazanin"/>
          <w:lang w:bidi="fa-IR"/>
          <w:color w:val="111111"/>
          <w:sz w:val="28"/>
          <w:szCs w:val="28"/>
          <w:rtl/>
        </w:rPr>
        <w:t xml:space="preserve">۴٧ . تهران؛ سلطنتی؛ شماره نسخه: ۷۱۳</w:t>
      </w:r>
    </w:p>
    <w:p>
      <w:pPr>
        <w:pStyle w:val="BookText"/>
      </w:pPr>
      <w:r>
        <w:rPr>
          <w:rFonts w:ascii="IRNazanin" w:hAnsi="IRNazanin" w:eastAsia="IRNazanin" w:cs="IRNazanin"/>
          <w:lang w:bidi="fa-IR"/>
          <w:color w:val="111111"/>
          <w:sz w:val="28"/>
          <w:szCs w:val="28"/>
          <w:rtl/>
        </w:rPr>
        <w:t xml:space="preserve">آغاز: برابر شرف نامه؛ انجام: برابر با اقبال نامه</w:t>
      </w:r>
    </w:p>
    <w:p>
      <w:pPr>
        <w:pStyle w:val="BookText"/>
      </w:pPr>
      <w:r>
        <w:rPr>
          <w:rFonts w:ascii="IRNazanin" w:hAnsi="IRNazanin" w:eastAsia="IRNazanin" w:cs="IRNazanin"/>
          <w:lang w:bidi="fa-IR"/>
          <w:color w:val="111111"/>
          <w:sz w:val="28"/>
          <w:szCs w:val="28"/>
          <w:rtl/>
        </w:rPr>
        <w:t xml:space="preserve">شرف نامه و اقبال نامه؛ خط: نستعليق بسيار خوش، بي كا، بي تا؛ دومجلس مينياتور عالی، از شيوه تذهيب و رسم الخط مي توان حدس زد كه مربوط به اوايل قرن ۱۱ ق است، اين نسخه از كتابخانه حسين بن شاملو و بعد حسن خان شاملو بوده و به تاريخ ۱۲۸۲ و ۱۳۲۲ به ترتيب به عرض كتابخانه مباركه گذشته، دوشمه مذهب مرصع ممتاز، تمامی صفحات مجدول كمند دار زرين وبند لاجوردی، با دو سرلوح مذهب مرصع مزدوج ممتاز به سبك کار شمشیر مهر: «غلام زاده قديمی شاه عباس حسن بن حسين 1029 » « بنده شاه ولايت حسن بن حسين ۱۰۲۶ » ، « غلام شاه عباس حسین قورچی شمشیر »ناصرالدين شاه؛ كاغذ: اصفهانی، جلد: مقوای ابره چرم ساغری مشكی ضربی، اندرون تيماج زرشكی ساده، ۳۸۵ ص، ۲۳ سطر، قطع: وزيری متوسط، اندازه: ۱۴</w:t>
      </w:r>
      <w:r>
        <w:rPr>
          <w:rFonts w:ascii="Times New Roman" w:hAnsi="Times New Roman" w:eastAsia="Times New Roman" w:cs="Times New Roman"/>
          <w:lang w:val="en-US" w:bidi="en-US"/>
          <w:color w:val="111111"/>
          <w:sz w:val="28"/>
          <w:szCs w:val="28"/>
          <w:rtl/>
        </w:rPr>
        <w:t xml:space="preserve">×24 </w:t>
      </w:r>
      <w:r>
        <w:rPr>
          <w:rFonts w:ascii="IRNazanin" w:hAnsi="IRNazanin" w:eastAsia="IRNazanin" w:cs="IRNazanin"/>
          <w:lang w:bidi="fa-IR"/>
          <w:color w:val="111111"/>
          <w:sz w:val="28"/>
          <w:szCs w:val="28"/>
          <w:rtl/>
        </w:rPr>
        <w:t xml:space="preserve">سم [ ف: 4- 1259]</w:t>
      </w:r>
    </w:p>
    <w:p>
      <w:pPr>
        <w:pStyle w:val="BookText"/>
      </w:pPr>
      <w:r>
        <w:rPr>
          <w:rFonts w:ascii="IRNazanin" w:hAnsi="IRNazanin" w:eastAsia="IRNazanin" w:cs="IRNazanin"/>
          <w:lang w:bidi="fa-IR"/>
          <w:color w:val="111111"/>
          <w:sz w:val="28"/>
          <w:szCs w:val="28"/>
          <w:rtl/>
        </w:rPr>
        <w:t xml:space="preserve">۴٨ . تهران؛ سلطنتی؛ شماره نسخه: ۲۲۲۹</w:t>
      </w:r>
    </w:p>
    <w:p>
      <w:pPr>
        <w:pStyle w:val="BookText"/>
      </w:pPr>
      <w:r>
        <w:rPr>
          <w:rFonts w:ascii="IRNazanin" w:hAnsi="IRNazanin" w:eastAsia="IRNazanin" w:cs="IRNazanin"/>
          <w:lang w:bidi="fa-IR"/>
          <w:color w:val="111111"/>
          <w:sz w:val="28"/>
          <w:szCs w:val="28"/>
          <w:rtl/>
        </w:rPr>
        <w:t xml:space="preserve">آغاز: بر انگيخت آوازي از خشك رود *** كه از تري آرد فلك را فرود؛ انجام: بهنگام اين برگ ريزان سخت *** فرو پژمريد آن كياني درخت</w:t>
      </w:r>
    </w:p>
    <w:p>
      <w:pPr>
        <w:pStyle w:val="BookText"/>
      </w:pPr>
      <w:r>
        <w:rPr>
          <w:rFonts w:ascii="IRNazanin" w:hAnsi="IRNazanin" w:eastAsia="IRNazanin" w:cs="IRNazanin"/>
          <w:lang w:bidi="fa-IR"/>
          <w:color w:val="111111"/>
          <w:sz w:val="28"/>
          <w:szCs w:val="28"/>
          <w:rtl/>
        </w:rPr>
        <w:t xml:space="preserve">قسمتي از اسكندر نامه و ناتمام است؛ خط: نستعليق ممتاز، كا:ميرعماد، بی تا؛ افتادگی: آغاز و انجام؛ پشت صفحه اول دويادداشت نوشته شده كه دو استاد خط شناس تاييد كرده اند، خط  اين نسخه از مير عماد است، اينك شرح يادداشت ها:«بسم الله الرحمن الرحيم. اين اوراق شريف از كثرت وضوح حاجب بشهادت و تصديق كسی ندارد علو رتبت و شرافت و مقام آن بالاتر است و بر اهل خبرت و دانش و بصيرت پوشيده نيست كه</w:t>
      </w:r>
    </w:p>
    <w:p>
      <w:pPr>
        <w:pStyle w:val="BookText"/>
      </w:pPr>
      <w:r>
        <w:rPr>
          <w:rFonts w:ascii="IRNazanin" w:hAnsi="IRNazanin" w:eastAsia="IRNazanin" w:cs="IRNazanin"/>
          <w:lang w:bidi="fa-IR"/>
          <w:color w:val="111111"/>
          <w:sz w:val="28"/>
          <w:szCs w:val="28"/>
          <w:rtl/>
        </w:rPr>
        <w:t xml:space="preserve">هيچ يك از نويسندگان و اسلاف باين شيوه و تمامی غير از استاد بزرگ مير عماد ننوشته است و نسبت اين اوراق به غير از آن استاد بكسي ديگر سزاوار نيست و باعلی رتبه و مدارج خط است گوهريست نفيس و مقوم آن خبرت و دانش است. العبد المذنب علي محمد اللواسانی في شهر شوال المكرم فی سنه ۱۲۸۵ ، با سجع مهر العبد حسنعلی محمد» یاداشت دیگر «بسم الله تعالي شانه اذا  قالت حذام فصدقوها فان القول ما قالب حذام آنچه عاليجناب</w:t>
      </w:r>
    </w:p>
    <w:p>
      <w:pPr>
        <w:pStyle w:val="BookText"/>
      </w:pPr>
      <w:r>
        <w:rPr>
          <w:rFonts w:ascii="IRNazanin" w:hAnsi="IRNazanin" w:eastAsia="IRNazanin" w:cs="IRNazanin"/>
          <w:lang w:bidi="fa-IR"/>
          <w:color w:val="111111"/>
          <w:sz w:val="28"/>
          <w:szCs w:val="28"/>
          <w:rtl/>
        </w:rPr>
        <w:t xml:space="preserve">اخوی ميرزا علی محمد تصديق نموده حجت است محمد جعفرحکیم الهی» یاداشت دیگر «اين كتاب اسكندرنامه از جمله كتبی است كه اين چاكر درگاه آسمان جاه بديوان هيمونی اعلی فروخته ام بمبلغ هفتاد تومان شهر صفر المظفر ۱۲۹۸ با سجع مهر میرزا محمود وزیر»مجدول زرين؛ كاغذ: دولت آبادی زرافشان ،غبار، جلد: مقوای روكش تيماج زيتونی وسط ترنج چهار گل ترنج، ۵۰ ص، ۲۰ سطر در چهار ستون، قطع: رحلی، اندازه: 22</w:t>
      </w: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سم [ف: 4- 1261]</w:t>
      </w:r>
    </w:p>
    <w:p>
      <w:pPr>
        <w:pStyle w:val="BookText"/>
      </w:pPr>
      <w:r>
        <w:rPr>
          <w:rFonts w:ascii="IRNazanin" w:hAnsi="IRNazanin" w:eastAsia="IRNazanin" w:cs="IRNazanin"/>
          <w:lang w:bidi="fa-IR"/>
          <w:color w:val="111111"/>
          <w:sz w:val="28"/>
          <w:szCs w:val="28"/>
          <w:rtl/>
        </w:rPr>
        <w:t xml:space="preserve">۴٩ . تهران؛ سلطنتی؛ شماره نسخه: ۲۲۲۳</w:t>
      </w:r>
    </w:p>
    <w:p>
      <w:pPr>
        <w:pStyle w:val="BookText"/>
      </w:pPr>
      <w:r>
        <w:rPr>
          <w:rFonts w:ascii="IRNazanin" w:hAnsi="IRNazanin" w:eastAsia="IRNazanin" w:cs="IRNazanin"/>
          <w:lang w:bidi="fa-IR"/>
          <w:color w:val="111111"/>
          <w:sz w:val="28"/>
          <w:szCs w:val="28"/>
          <w:rtl/>
        </w:rPr>
        <w:t xml:space="preserve">آغاز: برابر؛ انجام: هزاران در و دو هزاران سلام *** ز ما بر محمد عليه السلام. تمام شد كتاب اسكندر نامه حكيم گرامی شيخ نظامی. اقبال نامه: چو نام شهش فال مسعود باد *** درين داستان شاه محمود باد</w:t>
      </w:r>
    </w:p>
    <w:p>
      <w:pPr>
        <w:pStyle w:val="BookText"/>
      </w:pPr>
      <w:r>
        <w:rPr>
          <w:rFonts w:ascii="IRNazanin" w:hAnsi="IRNazanin" w:eastAsia="IRNazanin" w:cs="IRNazanin"/>
          <w:lang w:bidi="fa-IR"/>
          <w:color w:val="111111"/>
          <w:sz w:val="28"/>
          <w:szCs w:val="28"/>
          <w:rtl/>
        </w:rPr>
        <w:t xml:space="preserve">در متن شرف نامه و در حواشي اقبال نامه كتابت شده؛ خط: نستعليق هندی، بی كا، بی تا؛ نستعليق؛ افتادگی: انجام (ورق اول) و انجام؛ دارای پنج مجلس مينياتور آب و رنگ خوب به مناسبت موضوع اشعار، صفحات مذهب و مزين به گل و درخت، دارای حواشی مذهب منقش بسيار خوب، مجدول زرين؛ كاغذ: كشميری، جلد: مقوای ابره تيماج ترياكی، اندرون كاغذ بنفش، ۴۷۵ ص، ۱۵ سطر در متن و ۱۴ نيم سطر (مصرع) در حواشی، قطع:وزیری ، اندازه: 15/6</w:t>
      </w:r>
      <w:r>
        <w:rPr>
          <w:rFonts w:ascii="Times New Roman" w:hAnsi="Times New Roman" w:eastAsia="Times New Roman" w:cs="Times New Roman"/>
          <w:lang w:val="en-US" w:bidi="en-US"/>
          <w:color w:val="111111"/>
          <w:sz w:val="28"/>
          <w:szCs w:val="28"/>
          <w:rtl/>
        </w:rPr>
        <w:t xml:space="preserve">×24/4  </w:t>
      </w:r>
      <w:r>
        <w:rPr>
          <w:rFonts w:ascii="IRNazanin" w:hAnsi="IRNazanin" w:eastAsia="IRNazanin" w:cs="IRNazanin"/>
          <w:lang w:bidi="fa-IR"/>
          <w:color w:val="111111"/>
          <w:sz w:val="28"/>
          <w:szCs w:val="28"/>
          <w:rtl/>
        </w:rPr>
        <w:t xml:space="preserve">سم [ف: ۴ - 1263]</w:t>
      </w:r>
    </w:p>
    <w:p>
      <w:pPr>
        <w:pStyle w:val="BookText"/>
      </w:pPr>
      <w:r>
        <w:rPr>
          <w:rFonts w:ascii="IRNazanin" w:hAnsi="IRNazanin" w:eastAsia="IRNazanin" w:cs="IRNazanin"/>
          <w:lang w:bidi="fa-IR"/>
          <w:color w:val="111111"/>
          <w:sz w:val="28"/>
          <w:szCs w:val="28"/>
          <w:rtl/>
        </w:rPr>
        <w:t xml:space="preserve">۵٠ . تهران؛ مجلس؛ شماره نسخه: ۴/ 420</w:t>
      </w:r>
    </w:p>
    <w:p>
      <w:pPr>
        <w:pStyle w:val="BookText"/>
      </w:pPr>
      <w:r>
        <w:rPr>
          <w:rFonts w:ascii="IRNazanin" w:hAnsi="IRNazanin" w:eastAsia="IRNazanin" w:cs="IRNazanin"/>
          <w:lang w:bidi="fa-IR"/>
          <w:color w:val="111111"/>
          <w:sz w:val="28"/>
          <w:szCs w:val="28"/>
          <w:rtl/>
        </w:rPr>
        <w:t xml:space="preserve">آغاز و انجام: برابر با شرف نامه</w:t>
      </w:r>
    </w:p>
    <w:p>
      <w:pPr>
        <w:pStyle w:val="BookText"/>
      </w:pPr>
      <w:r>
        <w:rPr>
          <w:rFonts w:ascii="IRNazanin" w:hAnsi="IRNazanin" w:eastAsia="IRNazanin" w:cs="IRNazanin"/>
          <w:lang w:bidi="fa-IR"/>
          <w:color w:val="111111"/>
          <w:sz w:val="28"/>
          <w:szCs w:val="28"/>
          <w:rtl/>
        </w:rPr>
        <w:t xml:space="preserve">شرف نامه؛ خط: نستعليق، بی كا، بی تا؛ ۱۵۲ ص ( ۳۵۶- 507) 23سطر(9</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اندازه:14</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سنا: ف: 1- 252]</w:t>
      </w:r>
    </w:p>
    <w:p>
      <w:pPr>
        <w:pStyle w:val="BookText"/>
      </w:pPr>
      <w:r>
        <w:rPr>
          <w:rFonts w:ascii="IRNazanin" w:hAnsi="IRNazanin" w:eastAsia="IRNazanin" w:cs="IRNazanin"/>
          <w:lang w:bidi="fa-IR"/>
          <w:color w:val="111111"/>
          <w:sz w:val="28"/>
          <w:szCs w:val="28"/>
          <w:rtl/>
        </w:rPr>
        <w:t xml:space="preserve">۵١ . تهران؛ مجلس؛ شماره نسخه: ۵/ 420</w:t>
      </w:r>
    </w:p>
    <w:p>
      <w:pPr>
        <w:pStyle w:val="BookText"/>
      </w:pPr>
      <w:r>
        <w:rPr>
          <w:rFonts w:ascii="IRNazanin" w:hAnsi="IRNazanin" w:eastAsia="IRNazanin" w:cs="IRNazanin"/>
          <w:lang w:bidi="fa-IR"/>
          <w:color w:val="111111"/>
          <w:sz w:val="28"/>
          <w:szCs w:val="28"/>
          <w:rtl/>
        </w:rPr>
        <w:t xml:space="preserve">اقبال نامه؛ خط: نستعليق، بی كا، بی تا؛ افتادگی: انجام؛ ۶۹ ص (509- 577)23 سطر (9</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 اندازه: 14</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[سنا - ف: 1- 252]</w:t>
      </w:r>
    </w:p>
    <w:p>
      <w:pPr>
        <w:pStyle w:val="BookText"/>
      </w:pPr>
      <w:r>
        <w:rPr>
          <w:rFonts w:ascii="IRNazanin" w:hAnsi="IRNazanin" w:eastAsia="IRNazanin" w:cs="IRNazanin"/>
          <w:lang w:bidi="fa-IR"/>
          <w:color w:val="111111"/>
          <w:sz w:val="28"/>
          <w:szCs w:val="28"/>
          <w:rtl/>
        </w:rPr>
        <w:t xml:space="preserve">۵٢ . تهران؛ مجلس؛ شماره نسخه: ۳</w:t>
      </w:r>
    </w:p>
    <w:p>
      <w:pPr>
        <w:pStyle w:val="BookText"/>
      </w:pPr>
      <w:r>
        <w:rPr>
          <w:rFonts w:ascii="IRNazanin" w:hAnsi="IRNazanin" w:eastAsia="IRNazanin" w:cs="IRNazanin"/>
          <w:lang w:bidi="fa-IR"/>
          <w:color w:val="111111"/>
          <w:sz w:val="28"/>
          <w:szCs w:val="28"/>
          <w:rtl/>
        </w:rPr>
        <w:t xml:space="preserve">شرف نامه؛ خط: نستعليق خوش، بی كا، بی تا؛ مجدول؛ كاغذ: سفید، 82گ(88- 170پ) ، 19سطر(8</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 اندازه: 12</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سم[سنا: ف:1- 154 ]</w:t>
      </w:r>
    </w:p>
    <w:p>
      <w:pPr>
        <w:pStyle w:val="BookText"/>
      </w:pPr>
      <w:r>
        <w:rPr>
          <w:rFonts w:ascii="IRNazanin" w:hAnsi="IRNazanin" w:eastAsia="IRNazanin" w:cs="IRNazanin"/>
          <w:lang w:bidi="fa-IR"/>
          <w:color w:val="111111"/>
          <w:sz w:val="28"/>
          <w:szCs w:val="28"/>
          <w:rtl/>
        </w:rPr>
        <w:t xml:space="preserve">۵٣ . تهران؛ مجلس؛ شماره نسخه: ۴/ 308</w:t>
      </w:r>
    </w:p>
    <w:p>
      <w:pPr>
        <w:pStyle w:val="BookText"/>
      </w:pPr>
      <w:r>
        <w:rPr>
          <w:rFonts w:ascii="IRNazanin" w:hAnsi="IRNazanin" w:eastAsia="IRNazanin" w:cs="IRNazanin"/>
          <w:lang w:bidi="fa-IR"/>
          <w:color w:val="111111"/>
          <w:sz w:val="28"/>
          <w:szCs w:val="28"/>
          <w:rtl/>
        </w:rPr>
        <w:t xml:space="preserve">اقبال نامه؛ خط: نستعليق خوش، بی  كا، بی تا؛ مجدول؛ كاغذ: سفيد،40گ( 171ر- 210پ) ، 19سطر(8</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 اندازه: 12</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سم[سنا-ف: 1- 154]</w:t>
      </w:r>
    </w:p>
    <w:p>
      <w:pPr>
        <w:pStyle w:val="BookText"/>
      </w:pPr>
      <w:r>
        <w:rPr>
          <w:rFonts w:ascii="IRNazanin" w:hAnsi="IRNazanin" w:eastAsia="IRNazanin" w:cs="IRNazanin"/>
          <w:lang w:bidi="fa-IR"/>
          <w:color w:val="111111"/>
          <w:sz w:val="28"/>
          <w:szCs w:val="28"/>
          <w:rtl/>
        </w:rPr>
        <w:t xml:space="preserve">۵۴ . تهران؛ مجلس؛ شماره نسخه: ۷/ 13858</w:t>
      </w:r>
    </w:p>
    <w:p>
      <w:pPr>
        <w:pStyle w:val="BookText"/>
      </w:pPr>
      <w:r>
        <w:rPr>
          <w:rFonts w:ascii="IRNazanin" w:hAnsi="IRNazanin" w:eastAsia="IRNazanin" w:cs="IRNazanin"/>
          <w:lang w:bidi="fa-IR"/>
          <w:color w:val="111111"/>
          <w:sz w:val="28"/>
          <w:szCs w:val="28"/>
          <w:rtl/>
        </w:rPr>
        <w:t xml:space="preserve">آغاز: برابر؛ انجام: چو طالع نمودن آن بلند اختري ** كه شد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321" w:name="pg20365_260445"/>
    <w:bookmarkEnd w:id="321"/>
    <w:p>
      <w:pPr>
        <w:pStyle w:val="BookText"/>
      </w:pPr>
      <w:r>
        <w:rPr>
          <w:rFonts w:ascii="IRNazanin" w:hAnsi="IRNazanin" w:eastAsia="IRNazanin" w:cs="IRNazanin"/>
          <w:lang w:bidi="fa-IR"/>
          <w:color w:val="111111"/>
          <w:sz w:val="28"/>
          <w:szCs w:val="28"/>
          <w:rtl/>
        </w:rPr>
        <w:t xml:space="preserve">ساخته سد اسكندری</w:t>
      </w:r>
    </w:p>
    <w:p>
      <w:pPr>
        <w:pStyle w:val="BookText"/>
      </w:pPr>
      <w:r>
        <w:rPr>
          <w:rFonts w:ascii="IRNazanin" w:hAnsi="IRNazanin" w:eastAsia="IRNazanin" w:cs="IRNazanin"/>
          <w:lang w:bidi="fa-IR"/>
          <w:color w:val="111111"/>
          <w:sz w:val="28"/>
          <w:szCs w:val="28"/>
          <w:rtl/>
        </w:rPr>
        <w:t xml:space="preserve">خط: نستعليق، بی كا، بی تا؛ افتادگی: انجام؛ جلد: گالينگور  قهوه ای، ۵۳ گ ( ۳۱۸ پ- ۳۷۰ پ)، ۱۶ سطر [ف: ۳۷- 423]</w:t>
      </w:r>
    </w:p>
    <w:p>
      <w:pPr>
        <w:pStyle w:val="BookText"/>
      </w:pPr>
      <w:r>
        <w:rPr>
          <w:rFonts w:ascii="IRNazanin" w:hAnsi="IRNazanin" w:eastAsia="IRNazanin" w:cs="IRNazanin"/>
          <w:lang w:bidi="fa-IR"/>
          <w:color w:val="111111"/>
          <w:sz w:val="28"/>
          <w:szCs w:val="28"/>
          <w:rtl/>
        </w:rPr>
        <w:t xml:space="preserve">۵۵ . تهران؛ مجلس؛ شماره نسخه: ۴/ 933</w:t>
      </w:r>
    </w:p>
    <w:p>
      <w:pPr>
        <w:pStyle w:val="BookText"/>
      </w:pPr>
      <w:r>
        <w:rPr>
          <w:rFonts w:ascii="IRNazanin" w:hAnsi="IRNazanin" w:eastAsia="IRNazanin" w:cs="IRNazanin"/>
          <w:lang w:bidi="fa-IR"/>
          <w:color w:val="111111"/>
          <w:sz w:val="28"/>
          <w:szCs w:val="28"/>
          <w:rtl/>
        </w:rPr>
        <w:t xml:space="preserve">خط: نستعليق، کا: عبدالعلی بن محمد حسين نائيني، بی تا؛ ۱۶۸ ص (493 - ۶۶۰ ) [ف: ۳ -171]</w:t>
      </w:r>
    </w:p>
    <w:p>
      <w:pPr>
        <w:pStyle w:val="BookText"/>
      </w:pPr>
      <w:r>
        <w:rPr>
          <w:rFonts w:ascii="IRNazanin" w:hAnsi="IRNazanin" w:eastAsia="IRNazanin" w:cs="IRNazanin"/>
          <w:lang w:bidi="fa-IR"/>
          <w:color w:val="111111"/>
          <w:sz w:val="28"/>
          <w:szCs w:val="28"/>
          <w:rtl/>
        </w:rPr>
        <w:t xml:space="preserve">۵۶ . تهران؛ مجلس؛ شماره نسخه: ۵/ 933</w:t>
      </w:r>
    </w:p>
    <w:p>
      <w:pPr>
        <w:pStyle w:val="BookText"/>
      </w:pPr>
      <w:r>
        <w:rPr>
          <w:rFonts w:ascii="IRNazanin" w:hAnsi="IRNazanin" w:eastAsia="IRNazanin" w:cs="IRNazanin"/>
          <w:lang w:bidi="fa-IR"/>
          <w:color w:val="111111"/>
          <w:sz w:val="28"/>
          <w:szCs w:val="28"/>
          <w:rtl/>
        </w:rPr>
        <w:t xml:space="preserve">اقبال نامه؛ خط: نستعليق، کا: عبدالعلی بن محمد حسين نائينی،  بی تا، جا: تهران؛ ۸۵ ص ( ۶۶۱- 745)[ف: 3- 171]</w:t>
      </w:r>
    </w:p>
    <w:p>
      <w:pPr>
        <w:pStyle w:val="BookText"/>
      </w:pPr>
      <w:r>
        <w:rPr>
          <w:rFonts w:ascii="IRNazanin" w:hAnsi="IRNazanin" w:eastAsia="IRNazanin" w:cs="IRNazanin"/>
          <w:lang w:bidi="fa-IR"/>
          <w:color w:val="111111"/>
          <w:sz w:val="28"/>
          <w:szCs w:val="28"/>
          <w:rtl/>
        </w:rPr>
        <w:t xml:space="preserve">۵٧ . تهران؛ مجلس؛ شماره نسخه: ۳ / 13834</w:t>
      </w:r>
    </w:p>
    <w:p>
      <w:pPr>
        <w:pStyle w:val="BookText"/>
      </w:pPr>
      <w:r>
        <w:rPr>
          <w:rFonts w:ascii="IRNazanin" w:hAnsi="IRNazanin" w:eastAsia="IRNazanin" w:cs="IRNazanin"/>
          <w:lang w:bidi="fa-IR"/>
          <w:color w:val="111111"/>
          <w:sz w:val="28"/>
          <w:szCs w:val="28"/>
          <w:rtl/>
        </w:rPr>
        <w:t xml:space="preserve">آغاز: برابر با شرف نامه؛ انجام: چو طالع نمودن آن بلند اختری *** كه شد ساخته سد اسكندری</w:t>
      </w:r>
    </w:p>
    <w:p>
      <w:pPr>
        <w:pStyle w:val="BookText"/>
      </w:pPr>
      <w:r>
        <w:rPr>
          <w:rFonts w:ascii="Amiri" w:hAnsi="Amiri" w:eastAsia="Amiri" w:cs="Amiri"/>
          <w:lang w:bidi="ar-SA"/>
          <w:color w:val="111111"/>
          <w:sz w:val="28"/>
          <w:szCs w:val="28"/>
          <w:rtl/>
        </w:rPr>
        <w:t xml:space="preserve">منتخب؛ خط: نستعليق، بي كا، بي تا؛ در ضمن شماره فوق آمده؛ 40ص، 202- 241 [ف: ۳۷ - 389]</w:t>
      </w:r>
    </w:p>
    <w:p>
      <w:pPr>
        <w:pStyle w:val="BookText"/>
      </w:pPr>
      <w:r>
        <w:rPr>
          <w:rFonts w:ascii="IRNazanin" w:hAnsi="IRNazanin" w:eastAsia="IRNazanin" w:cs="IRNazanin"/>
          <w:lang w:bidi="fa-IR"/>
          <w:color w:val="111111"/>
          <w:sz w:val="28"/>
          <w:szCs w:val="28"/>
          <w:rtl/>
        </w:rPr>
        <w:t xml:space="preserve">۵٨ . خوی؛ نمازی؛ شماره نسخه: ۴۴۴</w:t>
      </w:r>
    </w:p>
    <w:p>
      <w:pPr>
        <w:pStyle w:val="BookText"/>
      </w:pPr>
      <w:r>
        <w:rPr>
          <w:rFonts w:ascii="IRNazanin" w:hAnsi="IRNazanin" w:eastAsia="IRNazanin" w:cs="IRNazanin"/>
          <w:lang w:bidi="fa-IR"/>
          <w:color w:val="111111"/>
          <w:sz w:val="28"/>
          <w:szCs w:val="28"/>
          <w:rtl/>
        </w:rPr>
        <w:t xml:space="preserve">خط: نستعليق، کا: محمد ولد سلطان كرني من اعمال خلخال، بی تا؛ افتادگی: آغاز؛ تملك در رمضان ۱۰۷۴ ؛ مصحح، مقابله شده؛ جلد: تيماج قهوه ای ضربي با ترنج با سر، ۲۲ سطر، اندازه: 12</w:t>
      </w:r>
      <w:r>
        <w:rPr>
          <w:rFonts w:ascii="Times New Roman" w:hAnsi="Times New Roman" w:eastAsia="Times New Roman" w:cs="Times New Roman"/>
          <w:lang w:val="en-US" w:bidi="en-US"/>
          <w:color w:val="111111"/>
          <w:sz w:val="28"/>
          <w:szCs w:val="28"/>
          <w:rtl/>
        </w:rPr>
        <w:t xml:space="preserve">×23[</w:t>
      </w:r>
      <w:r>
        <w:rPr>
          <w:rFonts w:ascii="IRNazanin" w:hAnsi="IRNazanin" w:eastAsia="IRNazanin" w:cs="IRNazanin"/>
          <w:lang w:bidi="fa-IR"/>
          <w:color w:val="111111"/>
          <w:sz w:val="28"/>
          <w:szCs w:val="28"/>
          <w:rtl/>
        </w:rPr>
        <w:t xml:space="preserve">ف: 223]</w:t>
      </w:r>
    </w:p>
    <w:p>
      <w:pPr>
        <w:pStyle w:val="BookText"/>
      </w:pPr>
      <w:r>
        <w:rPr>
          <w:rFonts w:ascii="IRNazanin" w:hAnsi="IRNazanin" w:eastAsia="IRNazanin" w:cs="IRNazanin"/>
          <w:lang w:bidi="fa-IR"/>
          <w:color w:val="111111"/>
          <w:sz w:val="28"/>
          <w:szCs w:val="28"/>
          <w:rtl/>
        </w:rPr>
        <w:t xml:space="preserve">۵٩ . قم؛ مسجد اعظم؛ شماره نسخه: ۱۹۸۴</w:t>
      </w:r>
    </w:p>
    <w:p>
      <w:pPr>
        <w:pStyle w:val="BookText"/>
      </w:pPr>
      <w:r>
        <w:rPr>
          <w:rFonts w:ascii="IRNazanin" w:hAnsi="IRNazanin" w:eastAsia="IRNazanin" w:cs="IRNazanin"/>
          <w:lang w:bidi="fa-IR"/>
          <w:color w:val="111111"/>
          <w:sz w:val="28"/>
          <w:szCs w:val="28"/>
          <w:rtl/>
        </w:rPr>
        <w:t xml:space="preserve">آغاز: برابر با شرف نامه؛ انجام: چو بر خواند اين نامه را شهريار*** خرد ياورش شد وفرهنگ يار / همين داستان باد از او سربلند *** همو باد از اين داستان بهره مند</w:t>
      </w:r>
    </w:p>
    <w:p>
      <w:pPr>
        <w:pStyle w:val="BookText"/>
      </w:pPr>
      <w:r>
        <w:rPr>
          <w:rFonts w:ascii="IRNazanin" w:hAnsi="IRNazanin" w:eastAsia="IRNazanin" w:cs="IRNazanin"/>
          <w:lang w:bidi="fa-IR"/>
          <w:color w:val="111111"/>
          <w:sz w:val="28"/>
          <w:szCs w:val="28"/>
          <w:rtl/>
        </w:rPr>
        <w:t xml:space="preserve">خط: نستعليق، بی كا، بی تا؛ افتادگی: انجام؛ جلد: تيماج مشکی  ترنج و سر مجدول گرهی، ۹۵ گ، ۱۷ سطر، اندازه: ۱۶</w:t>
      </w:r>
      <w:r>
        <w:rPr>
          <w:rFonts w:ascii="Times New Roman" w:hAnsi="Times New Roman" w:eastAsia="Times New Roman" w:cs="Times New Roman"/>
          <w:lang w:val="en-US" w:bidi="en-US"/>
          <w:color w:val="111111"/>
          <w:sz w:val="28"/>
          <w:szCs w:val="28"/>
          <w:rtl/>
        </w:rPr>
        <w:t xml:space="preserve">×23</w:t>
      </w:r>
      <w:r>
        <w:rPr>
          <w:rFonts w:ascii="IRNazanin" w:hAnsi="IRNazanin" w:eastAsia="IRNazanin" w:cs="IRNazanin"/>
          <w:lang w:bidi="fa-IR"/>
          <w:color w:val="111111"/>
          <w:sz w:val="28"/>
          <w:szCs w:val="28"/>
          <w:rtl/>
        </w:rPr>
        <w:t xml:space="preserve">سم [ [ف مخ: 1- 152]</w:t>
      </w:r>
    </w:p>
    <w:p>
      <w:pPr>
        <w:pStyle w:val="BookText"/>
      </w:pPr>
      <w:r>
        <w:rPr>
          <w:rFonts w:ascii="IRNazanin" w:hAnsi="IRNazanin" w:eastAsia="IRNazanin" w:cs="IRNazanin"/>
          <w:lang w:bidi="fa-IR"/>
          <w:color w:val="111111"/>
          <w:sz w:val="28"/>
          <w:szCs w:val="28"/>
          <w:rtl/>
        </w:rPr>
        <w:t xml:space="preserve">۶٠ . فردوس؛ قائم؛ شماره نسخه: ۳/ 11</w:t>
      </w:r>
    </w:p>
    <w:p>
      <w:pPr>
        <w:pStyle w:val="BookText"/>
      </w:pPr>
      <w:r>
        <w:rPr>
          <w:rFonts w:ascii="IRNazanin" w:hAnsi="IRNazanin" w:eastAsia="IRNazanin" w:cs="IRNazanin"/>
          <w:lang w:bidi="fa-IR"/>
          <w:color w:val="111111"/>
          <w:sz w:val="28"/>
          <w:szCs w:val="28"/>
          <w:rtl/>
        </w:rPr>
        <w:t xml:space="preserve">آغاز: برابر؛ انجام: کرد نظامی ز پي زيورش *** غرقه گوهر زقدم تا سرش / شکر که اين نامه به عنوان رسيد *** پيشتر از عمر به پايان رسيد</w:t>
      </w:r>
    </w:p>
    <w:p>
      <w:pPr>
        <w:pStyle w:val="BookText"/>
      </w:pPr>
      <w:r>
        <w:rPr>
          <w:rFonts w:ascii="IRNazanin" w:hAnsi="IRNazanin" w:eastAsia="IRNazanin" w:cs="IRNazanin"/>
          <w:lang w:bidi="fa-IR"/>
          <w:color w:val="111111"/>
          <w:sz w:val="28"/>
          <w:szCs w:val="28"/>
          <w:rtl/>
        </w:rPr>
        <w:t xml:space="preserve">خط: نستعليق، بی كا، بی تا؛ اشعار دو ستونی؛ اهدايی: سيد حسين  مصطفوی ؛65گ(100- 164)، 23سطر،اندازه: 16</w:t>
      </w:r>
      <w:r>
        <w:rPr>
          <w:rFonts w:ascii="Times New Roman" w:hAnsi="Times New Roman" w:eastAsia="Times New Roman" w:cs="Times New Roman"/>
          <w:lang w:val="en-US" w:bidi="en-US"/>
          <w:color w:val="111111"/>
          <w:sz w:val="28"/>
          <w:szCs w:val="28"/>
          <w:rtl/>
        </w:rPr>
        <w:t xml:space="preserve">×25</w:t>
      </w:r>
      <w:r>
        <w:rPr>
          <w:rFonts w:ascii="IRNazanin" w:hAnsi="IRNazanin" w:eastAsia="IRNazanin" w:cs="IRNazanin"/>
          <w:lang w:bidi="fa-IR"/>
          <w:color w:val="111111"/>
          <w:sz w:val="28"/>
          <w:szCs w:val="28"/>
          <w:rtl/>
        </w:rPr>
        <w:t xml:space="preserve">سم [فهرست قائم: ]</w:t>
      </w:r>
    </w:p>
    <w:p>
      <w:pPr>
        <w:pStyle w:val="BookText"/>
      </w:pPr>
      <w:r>
        <w:rPr>
          <w:rFonts w:ascii="IRNazanin" w:hAnsi="IRNazanin" w:eastAsia="IRNazanin" w:cs="IRNazanin"/>
          <w:lang w:bidi="fa-IR"/>
          <w:color w:val="111111"/>
          <w:sz w:val="28"/>
          <w:szCs w:val="28"/>
          <w:rtl/>
        </w:rPr>
        <w:t xml:space="preserve">۶١ . قم؛ گلپايگانی؛ شماره نسخه: ۸ / 517- 137/ 3</w:t>
      </w:r>
    </w:p>
    <w:p>
      <w:pPr>
        <w:pStyle w:val="BookText"/>
      </w:pPr>
      <w:r>
        <w:rPr>
          <w:rFonts w:ascii="IRNazanin" w:hAnsi="IRNazanin" w:eastAsia="IRNazanin" w:cs="IRNazanin"/>
          <w:lang w:bidi="fa-IR"/>
          <w:color w:val="111111"/>
          <w:sz w:val="28"/>
          <w:szCs w:val="28"/>
          <w:rtl/>
        </w:rPr>
        <w:t xml:space="preserve">آغاز: کسی را که قهر تو از سر فکند *** بپامردی کس نگردد بلند / همه زير دستيم وفرمان پذير *** تويی ياوری ده تويی دستگير؛</w:t>
      </w:r>
    </w:p>
    <w:p>
      <w:pPr>
        <w:pStyle w:val="BookText"/>
      </w:pPr>
      <w:r>
        <w:rPr>
          <w:rFonts w:ascii="IRNazanin" w:hAnsi="IRNazanin" w:eastAsia="IRNazanin" w:cs="IRNazanin"/>
          <w:lang w:bidi="fa-IR"/>
          <w:color w:val="111111"/>
          <w:sz w:val="28"/>
          <w:szCs w:val="28"/>
          <w:rtl/>
        </w:rPr>
        <w:t xml:space="preserve">انجام: هنرمند فرزند استاد او *** که هم درس اوبود و هم راز و</w:t>
      </w:r>
    </w:p>
    <w:p>
      <w:pPr>
        <w:pStyle w:val="BookText"/>
      </w:pPr>
      <w:r>
        <w:rPr>
          <w:rFonts w:ascii="IRNazanin" w:hAnsi="IRNazanin" w:eastAsia="IRNazanin" w:cs="IRNazanin"/>
          <w:lang w:bidi="fa-IR"/>
          <w:color w:val="111111"/>
          <w:sz w:val="28"/>
          <w:szCs w:val="28"/>
          <w:rtl/>
        </w:rPr>
        <w:t xml:space="preserve">خط: نستعليق، بي كا، بي تا؛ افتادگی: آغاز؛ ۴۵ گ، ۱۴ سطر [ف: ۱- 359]</w:t>
      </w:r>
    </w:p>
    <w:p>
      <w:pPr>
        <w:pStyle w:val="BookText"/>
      </w:pPr>
      <w:r>
        <w:rPr>
          <w:rFonts w:ascii="IRNazanin" w:hAnsi="IRNazanin" w:eastAsia="IRNazanin" w:cs="IRNazanin"/>
          <w:lang w:bidi="fa-IR"/>
          <w:color w:val="111111"/>
          <w:sz w:val="28"/>
          <w:szCs w:val="28"/>
          <w:rtl/>
        </w:rPr>
        <w:t xml:space="preserve">۶٢ . مشهد؛ رضوی؛ شماره نسخه: ۲۸۲۹۵</w:t>
      </w:r>
    </w:p>
    <w:p>
      <w:pPr>
        <w:pStyle w:val="BookText"/>
      </w:pPr>
      <w:r>
        <w:rPr>
          <w:rFonts w:ascii="IRNazanin" w:hAnsi="IRNazanin" w:eastAsia="IRNazanin" w:cs="IRNazanin"/>
          <w:lang w:bidi="fa-IR"/>
          <w:color w:val="111111"/>
          <w:sz w:val="28"/>
          <w:szCs w:val="28"/>
          <w:rtl/>
        </w:rPr>
        <w:t xml:space="preserve">آغاز: برابر اقبال نامه؛ انجام: فلك را بهشت گردانيده دار *** بدو داد و ... هر دو پاينده دار</w:t>
      </w:r>
    </w:p>
    <w:p>
      <w:pPr>
        <w:pStyle w:val="BookText"/>
      </w:pPr>
      <w:r>
        <w:rPr>
          <w:rFonts w:ascii="IRNazanin" w:hAnsi="IRNazanin" w:eastAsia="IRNazanin" w:cs="IRNazanin"/>
          <w:lang w:bidi="fa-IR"/>
          <w:color w:val="111111"/>
          <w:sz w:val="28"/>
          <w:szCs w:val="28"/>
          <w:rtl/>
        </w:rPr>
        <w:t xml:space="preserve">خط: نستعليق، بي كا، بی تا [رايانه]</w:t>
      </w:r>
    </w:p>
    <w:p>
      <w:pPr>
        <w:pStyle w:val="BookText"/>
      </w:pPr>
      <w:r>
        <w:rPr>
          <w:rFonts w:ascii="IRNazanin" w:hAnsi="IRNazanin" w:eastAsia="IRNazanin" w:cs="IRNazanin"/>
          <w:lang w:bidi="fa-IR"/>
          <w:color w:val="111111"/>
          <w:sz w:val="28"/>
          <w:szCs w:val="28"/>
          <w:rtl/>
        </w:rPr>
        <w:t xml:space="preserve">۶٣ . مشهد؛ رضوی؛ شماره نسخه: ۴۱۲۹</w:t>
      </w:r>
    </w:p>
    <w:p>
      <w:pPr>
        <w:pStyle w:val="BookText"/>
      </w:pPr>
      <w:r>
        <w:rPr>
          <w:rFonts w:ascii="IRNazanin" w:hAnsi="IRNazanin" w:eastAsia="IRNazanin" w:cs="IRNazanin"/>
          <w:lang w:bidi="fa-IR"/>
          <w:color w:val="111111"/>
          <w:sz w:val="28"/>
          <w:szCs w:val="28"/>
          <w:rtl/>
        </w:rPr>
        <w:t xml:space="preserve">آغاز: برابر شرف نامه؛ انجام: غمی كان گرفتست جا در تنم</w:t>
      </w:r>
    </w:p>
    <w:p>
      <w:pPr>
        <w:pStyle w:val="BookText"/>
      </w:pPr>
      <w:r>
        <w:rPr>
          <w:rFonts w:ascii="IRNazanin" w:hAnsi="IRNazanin" w:eastAsia="IRNazanin" w:cs="IRNazanin"/>
          <w:lang w:bidi="fa-IR"/>
          <w:color w:val="111111"/>
          <w:sz w:val="28"/>
          <w:szCs w:val="28"/>
          <w:rtl/>
        </w:rPr>
        <w:t xml:space="preserve">خط: نستعليق، بی كا، بی تا [الفبائی: ۴۹]</w:t>
      </w:r>
    </w:p>
    <w:p>
      <w:pPr>
        <w:pStyle w:val="BookText"/>
      </w:pPr>
      <w:r>
        <w:rPr>
          <w:rFonts w:ascii="IRNazanin" w:hAnsi="IRNazanin" w:eastAsia="IRNazanin" w:cs="IRNazanin"/>
          <w:lang w:bidi="fa-IR"/>
          <w:color w:val="111111"/>
          <w:sz w:val="28"/>
          <w:szCs w:val="28"/>
          <w:rtl/>
        </w:rPr>
        <w:t xml:space="preserve">۶۴ . مشهد؛ رضوی؛ شماره نسخه: ۴۱۳۳</w:t>
      </w:r>
    </w:p>
    <w:p>
      <w:pPr>
        <w:pStyle w:val="BookText"/>
      </w:pPr>
      <w:r>
        <w:rPr>
          <w:rFonts w:ascii="IRNazanin" w:hAnsi="IRNazanin" w:eastAsia="IRNazanin" w:cs="IRNazanin"/>
          <w:lang w:bidi="fa-IR"/>
          <w:color w:val="111111"/>
          <w:sz w:val="28"/>
          <w:szCs w:val="28"/>
          <w:rtl/>
        </w:rPr>
        <w:t xml:space="preserve">آغاز: برابر اقبال نامه؛ انجام: فزون از همه زندگانيش باد</w:t>
      </w:r>
    </w:p>
    <w:p>
      <w:pPr>
        <w:pStyle w:val="BookText"/>
      </w:pPr>
      <w:r>
        <w:rPr>
          <w:rFonts w:ascii="IRNazanin" w:hAnsi="IRNazanin" w:eastAsia="IRNazanin" w:cs="IRNazanin"/>
          <w:lang w:bidi="fa-IR"/>
          <w:color w:val="111111"/>
          <w:sz w:val="28"/>
          <w:szCs w:val="28"/>
          <w:rtl/>
        </w:rPr>
        <w:t xml:space="preserve">خط: نستعليق، بی كا، بی تا [الفبائي: ۴۹]</w:t>
      </w:r>
    </w:p>
    <w:p>
      <w:pPr>
        <w:pStyle w:val="BookText"/>
      </w:pPr>
      <w:r>
        <w:rPr>
          <w:rFonts w:ascii="IRNazanin" w:hAnsi="IRNazanin" w:eastAsia="IRNazanin" w:cs="IRNazanin"/>
          <w:lang w:bidi="fa-IR"/>
          <w:color w:val="111111"/>
          <w:sz w:val="28"/>
          <w:szCs w:val="28"/>
          <w:rtl/>
        </w:rPr>
        <w:t xml:space="preserve">۶۵ . تهران؛ ملی؛ شماره نسخه: ۲۰۹۰۵</w:t>
      </w:r>
    </w:p>
    <w:p>
      <w:pPr>
        <w:pStyle w:val="BookText"/>
      </w:pPr>
      <w:r>
        <w:rPr>
          <w:rFonts w:ascii="IRNazanin" w:hAnsi="IRNazanin" w:eastAsia="IRNazanin" w:cs="IRNazanin"/>
          <w:lang w:bidi="fa-IR"/>
          <w:color w:val="111111"/>
          <w:sz w:val="28"/>
          <w:szCs w:val="28"/>
          <w:rtl/>
        </w:rPr>
        <w:t xml:space="preserve">بی كا، بی تا؛ خريداری از علی اكبر سلطانی [رايانه]</w:t>
      </w:r>
    </w:p>
    <w:p>
      <w:pPr>
        <w:pStyle w:val="BookText"/>
      </w:pPr>
      <w:r>
        <w:rPr>
          <w:rFonts w:ascii="IRNazanin" w:hAnsi="IRNazanin" w:eastAsia="IRNazanin" w:cs="IRNazanin"/>
          <w:lang w:bidi="fa-IR"/>
          <w:color w:val="111111"/>
          <w:sz w:val="28"/>
          <w:szCs w:val="28"/>
          <w:rtl/>
        </w:rPr>
        <w:t xml:space="preserve">۶۶ . تهران؛ ملی؛ شماره نسخه: ۱۷۹۰۱</w:t>
      </w:r>
    </w:p>
    <w:p>
      <w:pPr>
        <w:pStyle w:val="BookText"/>
      </w:pPr>
      <w:r>
        <w:rPr>
          <w:rFonts w:ascii="IRNazanin" w:hAnsi="IRNazanin" w:eastAsia="IRNazanin" w:cs="IRNazanin"/>
          <w:lang w:bidi="fa-IR"/>
          <w:color w:val="111111"/>
          <w:sz w:val="28"/>
          <w:szCs w:val="28"/>
          <w:rtl/>
        </w:rPr>
        <w:t xml:space="preserve">اسكندرنامه و ...؛ بی كا، بی تا؛ انتقالی از كتابخانه پهلوی -مجموعه نوازی ؛ اندازه: 12/4</w:t>
      </w:r>
      <w:r>
        <w:rPr>
          <w:rFonts w:ascii="Times New Roman" w:hAnsi="Times New Roman" w:eastAsia="Times New Roman" w:cs="Times New Roman"/>
          <w:lang w:val="en-US" w:bidi="en-US"/>
          <w:color w:val="111111"/>
          <w:sz w:val="28"/>
          <w:szCs w:val="28"/>
          <w:rtl/>
        </w:rPr>
        <w:t xml:space="preserve">×20/9</w:t>
      </w:r>
      <w:r>
        <w:rPr>
          <w:rFonts w:ascii="Amiri" w:hAnsi="Amiri" w:eastAsia="Amiri" w:cs="Amiri"/>
          <w:lang w:bidi="ar-SA"/>
          <w:color w:val="111111"/>
          <w:sz w:val="28"/>
          <w:szCs w:val="28"/>
          <w:rtl/>
        </w:rPr>
        <w:t xml:space="preserve">سم[ [رايانه]</w:t>
      </w:r>
    </w:p>
    <w:p>
      <w:pPr>
        <w:pStyle w:val="BookText"/>
      </w:pPr>
      <w:r>
        <w:rPr>
          <w:rFonts w:ascii="IRNazanin" w:hAnsi="IRNazanin" w:eastAsia="IRNazanin" w:cs="IRNazanin"/>
          <w:lang w:bidi="fa-IR"/>
          <w:color w:val="111111"/>
          <w:sz w:val="28"/>
          <w:szCs w:val="28"/>
          <w:rtl/>
        </w:rPr>
        <w:t xml:space="preserve">۶٧ . همدان؛ دانشگاه بوعلی؛ شماره نسخه: ۱۵</w:t>
      </w:r>
    </w:p>
    <w:p>
      <w:pPr>
        <w:pStyle w:val="BookText"/>
      </w:pPr>
      <w:r>
        <w:rPr>
          <w:rFonts w:ascii="IRNazanin" w:hAnsi="IRNazanin" w:eastAsia="IRNazanin" w:cs="IRNazanin"/>
          <w:lang w:bidi="fa-IR"/>
          <w:color w:val="111111"/>
          <w:sz w:val="28"/>
          <w:szCs w:val="28"/>
          <w:rtl/>
        </w:rPr>
        <w:t xml:space="preserve">آغاز: چو خاقان ز ما زينهاری شود ** از آن برتری سوی خواری شود</w:t>
      </w:r>
    </w:p>
    <w:p>
      <w:pPr>
        <w:pStyle w:val="BookText"/>
      </w:pPr>
      <w:r>
        <w:rPr>
          <w:rFonts w:ascii="IRNazanin" w:hAnsi="IRNazanin" w:eastAsia="IRNazanin" w:cs="IRNazanin"/>
          <w:lang w:bidi="fa-IR"/>
          <w:color w:val="111111"/>
          <w:sz w:val="28"/>
          <w:szCs w:val="28"/>
          <w:rtl/>
        </w:rPr>
        <w:t xml:space="preserve">ظاهرًا بخشی از شرف نامه؛ خط: نستعليق؛ بی كا، بی تا؛ جلد: مقوایی  عطف پارچه، ۹۷ گ، ۲۱ سطر ( ۲۱</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ف: 15]</w:t>
      </w:r>
    </w:p>
    <w:p>
      <w:pPr>
        <w:pStyle w:val="Heading3"/>
      </w:pPr>
      <w:bookmarkStart w:id="1574" w:name="_Toc1096"/>
      <w:r>
        <w:t>اسكندرنامه / شعر / تركي</w:t>
      </w:r>
      <w:bookmarkEnd w:id="1574"/>
    </w:p>
    <w:p>
      <w:pPr>
        <w:pStyle w:val="BookText"/>
      </w:pPr>
      <w:r>
        <w:rPr>
          <w:rFonts w:ascii="Times New Roman" w:hAnsi="Times New Roman" w:eastAsia="Times New Roman" w:cs="Times New Roman"/>
          <w:lang w:val="en-US" w:bidi="en-US"/>
          <w:color w:val="111111"/>
          <w:sz w:val="28"/>
          <w:szCs w:val="28"/>
          <w:rtl/>
        </w:rPr>
        <w:t xml:space="preserve">eskandar-nāme</w:t>
      </w:r>
    </w:p>
    <w:p>
      <w:pPr>
        <w:pStyle w:val="BookText"/>
      </w:pPr>
      <w:r>
        <w:rPr>
          <w:rFonts w:ascii="IRNazanin" w:hAnsi="IRNazanin" w:eastAsia="IRNazanin" w:cs="IRNazanin"/>
          <w:lang w:bidi="fa-IR"/>
          <w:color w:val="111111"/>
          <w:sz w:val="28"/>
          <w:szCs w:val="28"/>
          <w:rtl/>
        </w:rPr>
        <w:t xml:space="preserve">احمدی، احمد بن ابراهيم، - ۸۱۵ قمری</w:t>
      </w:r>
    </w:p>
    <w:p>
      <w:pPr>
        <w:pStyle w:val="BookText"/>
      </w:pPr>
      <w:r>
        <w:rPr>
          <w:rFonts w:ascii="Times New Roman" w:hAnsi="Times New Roman" w:eastAsia="Times New Roman" w:cs="Times New Roman"/>
          <w:lang w:val="en-US" w:bidi="en-US"/>
          <w:color w:val="111111"/>
          <w:sz w:val="28"/>
          <w:szCs w:val="28"/>
          <w:rtl/>
        </w:rPr>
        <w:t xml:space="preserve">(ahmadī, ahmad ebn-e ebrāhīm (- 1413)</w:t>
      </w:r>
    </w:p>
    <w:p>
      <w:pPr>
        <w:pStyle w:val="BookText"/>
      </w:pPr>
      <w:r>
        <w:rPr>
          <w:rFonts w:ascii="IRNazanin" w:hAnsi="IRNazanin" w:eastAsia="IRNazanin" w:cs="IRNazanin"/>
          <w:lang w:bidi="fa-IR"/>
          <w:color w:val="111111"/>
          <w:sz w:val="28"/>
          <w:szCs w:val="28"/>
          <w:rtl/>
        </w:rPr>
        <w:t xml:space="preserve">اهدا به: تيمور لنگ</w:t>
      </w:r>
    </w:p>
    <w:p>
      <w:pPr>
        <w:pStyle w:val="BookText"/>
      </w:pPr>
      <w:r>
        <w:rPr>
          <w:rFonts w:ascii="IRNazanin" w:hAnsi="IRNazanin" w:eastAsia="IRNazanin" w:cs="IRNazanin"/>
          <w:lang w:bidi="fa-IR"/>
          <w:color w:val="111111"/>
          <w:sz w:val="28"/>
          <w:szCs w:val="28"/>
          <w:rtl/>
        </w:rPr>
        <w:t xml:space="preserve">تاريخ تأليف: ۱ ربيع الثانی ۷۹۲ ق</w:t>
      </w:r>
    </w:p>
    <w:p>
      <w:pPr>
        <w:pStyle w:val="BookText"/>
      </w:pPr>
      <w:r>
        <w:rPr>
          <w:rFonts w:ascii="IRNazanin" w:hAnsi="IRNazanin" w:eastAsia="IRNazanin" w:cs="IRNazanin"/>
          <w:lang w:bidi="fa-IR"/>
          <w:color w:val="111111"/>
          <w:sz w:val="28"/>
          <w:szCs w:val="28"/>
          <w:rtl/>
        </w:rPr>
        <w:t xml:space="preserve">منظومه ای است به تركی در حدود ۸۲۵۰ بيت كه شاعر آن را  به نام سليمان چلبی فرزند سلطان ايلدرم بايزيد ( ۷۹۲- 805) سروده است. در آن از نظامی پيروی كرده و نكته های فلسفی و تاريخی از زبان ارسطو بر آن افزوده است.</w:t>
      </w:r>
    </w:p>
    <w:p>
      <w:pPr>
        <w:pStyle w:val="BookText"/>
      </w:pPr>
      <w:r>
        <w:rPr>
          <w:rFonts w:ascii="IRNazanin" w:hAnsi="IRNazanin" w:eastAsia="IRNazanin" w:cs="IRNazanin"/>
          <w:lang w:bidi="fa-IR"/>
          <w:color w:val="111111"/>
          <w:sz w:val="28"/>
          <w:szCs w:val="28"/>
          <w:rtl/>
        </w:rPr>
        <w:t xml:space="preserve">آغاز: فصل بسم الرحمن الرحيم *** قاموسيه رينی دووای حکيم</w:t>
      </w:r>
    </w:p>
    <w:p>
      <w:pPr>
        <w:pStyle w:val="BookText"/>
      </w:pPr>
      <w:r>
        <w:rPr>
          <w:rFonts w:ascii="IRNazanin" w:hAnsi="IRNazanin" w:eastAsia="IRNazanin" w:cs="IRNazanin"/>
          <w:lang w:bidi="fa-IR"/>
          <w:color w:val="111111"/>
          <w:sz w:val="28"/>
          <w:szCs w:val="28"/>
          <w:rtl/>
        </w:rPr>
        <w:t xml:space="preserve">انجام: خيريله اولسون اينا و عبيده شاد *** كاحمدينی خير ايله ايلايه ياد</w:t>
      </w:r>
    </w:p>
    <w:p>
      <w:pPr>
        <w:pStyle w:val="BookText"/>
      </w:pPr>
      <w:r>
        <w:rPr>
          <w:rFonts w:ascii="IRNazanin" w:hAnsi="IRNazanin" w:eastAsia="IRNazanin" w:cs="IRNazanin"/>
          <w:lang w:bidi="fa-IR"/>
          <w:color w:val="111111"/>
          <w:sz w:val="28"/>
          <w:szCs w:val="28"/>
          <w:rtl/>
        </w:rPr>
        <w:t xml:space="preserve">[قاموس الاعلام 1/ 800؛کشف الظنون 1/ 86؛ هدية العارفين ۱ / 121 ؛فرهنگ نامه های فارسی 1/ 183؛  الشقايق النعمانيه 1/ 183 ؛ الشقایق النعمانیه 18؛ دنا ۱ / 813(5نسخه)</w:t>
      </w:r>
    </w:p>
    <w:p>
      <w:pPr>
        <w:pStyle w:val="BookText"/>
      </w:pPr>
      <w:r>
        <w:rPr>
          <w:rFonts w:ascii="Amiri" w:hAnsi="Amiri" w:eastAsia="Amiri" w:cs="Amiri"/>
          <w:lang w:bidi="ar-SA"/>
          <w:color w:val="111111"/>
          <w:sz w:val="28"/>
          <w:szCs w:val="28"/>
          <w:rtl/>
        </w:rPr>
        <w:t xml:space="preserve">١. تهران؛ ملك؛ شماره نسخه: ۴۹۴۸</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نستعليق، کا: سلمان اصفهانی، تا: صفر ۹۲۴ ق؛ كاغذ: ترمه، جلد: ميشن سياه لبه دار، ۱۲۶ گ، ۲۰ سطر، اندازه: 16/9</w:t>
      </w:r>
      <w:r>
        <w:rPr>
          <w:rFonts w:ascii="Times New Roman" w:hAnsi="Times New Roman" w:eastAsia="Times New Roman" w:cs="Times New Roman"/>
          <w:lang w:val="en-US" w:bidi="en-US"/>
          <w:color w:val="111111"/>
          <w:sz w:val="28"/>
          <w:szCs w:val="28"/>
          <w:rtl/>
        </w:rPr>
        <w:t xml:space="preserve">×24/3</w:t>
      </w:r>
      <w:r>
        <w:rPr>
          <w:rFonts w:ascii="IRNazanin" w:hAnsi="IRNazanin" w:eastAsia="IRNazanin" w:cs="IRNazanin"/>
          <w:lang w:bidi="fa-IR"/>
          <w:color w:val="111111"/>
          <w:sz w:val="28"/>
          <w:szCs w:val="28"/>
          <w:rtl/>
        </w:rPr>
        <w:t xml:space="preserve">سم[ف: 1- 599]</w:t>
      </w:r>
    </w:p>
    <w:p>
      <w:pPr>
        <w:pStyle w:val="BookText"/>
      </w:pPr>
      <w:r>
        <w:rPr>
          <w:rFonts w:ascii="IRNazanin" w:hAnsi="IRNazanin" w:eastAsia="IRNazanin" w:cs="IRNazanin"/>
          <w:lang w:bidi="fa-IR"/>
          <w:color w:val="111111"/>
          <w:sz w:val="28"/>
          <w:szCs w:val="28"/>
          <w:rtl/>
        </w:rPr>
        <w:t xml:space="preserve">٢. تهران؛ سلطنتی؛ شماره نسخه: ۲۱۸۶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نستعليق، کا: ابراهيم منشی، تا: رمضان ۹۳۷ ق؛ دارای ۱۳ مجلس نقاشی آب و رنگ متوسط، مجدول، مذهب، با سرلوح مذهب مزدوج؛ مهر: ناصرالدين شاه قاجار؛ كاغذ: سمرقندی لبه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322" w:name="pg20365_260446"/>
    <w:bookmarkEnd w:id="322"/>
    <w:p>
      <w:pPr>
        <w:pStyle w:val="BookText"/>
      </w:pPr>
      <w:r>
        <w:rPr>
          <w:rFonts w:ascii="IRNazanin" w:hAnsi="IRNazanin" w:eastAsia="IRNazanin" w:cs="IRNazanin"/>
          <w:lang w:bidi="fa-IR"/>
          <w:color w:val="111111"/>
          <w:sz w:val="28"/>
          <w:szCs w:val="28"/>
          <w:rtl/>
        </w:rPr>
        <w:t xml:space="preserve">طلايی، جلد: مقوای روكش تيماج، ۶۳۳ ص، ۱۲ سطر، قطع:  وزيری، اندازه: 18/5</w:t>
      </w:r>
      <w:r>
        <w:rPr>
          <w:rFonts w:ascii="Times New Roman" w:hAnsi="Times New Roman" w:eastAsia="Times New Roman" w:cs="Times New Roman"/>
          <w:lang w:val="en-US" w:bidi="en-US"/>
          <w:color w:val="111111"/>
          <w:sz w:val="28"/>
          <w:szCs w:val="28"/>
          <w:rtl/>
        </w:rPr>
        <w:t xml:space="preserve">×29[</w:t>
      </w:r>
      <w:r>
        <w:rPr>
          <w:rFonts w:ascii="IRNazanin" w:hAnsi="IRNazanin" w:eastAsia="IRNazanin" w:cs="IRNazanin"/>
          <w:lang w:bidi="fa-IR"/>
          <w:color w:val="111111"/>
          <w:sz w:val="28"/>
          <w:szCs w:val="28"/>
          <w:rtl/>
        </w:rPr>
        <w:t xml:space="preserve">ف: 3- 10]</w:t>
      </w:r>
    </w:p>
    <w:p>
      <w:pPr>
        <w:pStyle w:val="BookText"/>
      </w:pPr>
      <w:r>
        <w:rPr>
          <w:rFonts w:ascii="IRNazanin" w:hAnsi="IRNazanin" w:eastAsia="IRNazanin" w:cs="IRNazanin"/>
          <w:lang w:bidi="fa-IR"/>
          <w:color w:val="111111"/>
          <w:sz w:val="28"/>
          <w:szCs w:val="28"/>
          <w:rtl/>
        </w:rPr>
        <w:t xml:space="preserve">٣. تهران؛ مجلس؛ شماره نسخه: ۷۸۰۷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نستعليق، بی كا، تا: ۴ محرم ۹۹۳ ق، بی كا؛ مجدول مذهب، با پنج نقش ميناتور؛ جلد: تيماج زيتونی مجدول، ۱۸۷ گ، ۱۵ سطر، اندازه: ۱۲</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سم[ ف: 26- 290]</w:t>
      </w:r>
    </w:p>
    <w:p>
      <w:pPr>
        <w:pStyle w:val="BookText"/>
      </w:pPr>
      <w:r>
        <w:rPr>
          <w:rFonts w:ascii="IRNazanin" w:hAnsi="IRNazanin" w:eastAsia="IRNazanin" w:cs="IRNazanin"/>
          <w:lang w:bidi="fa-IR"/>
          <w:color w:val="111111"/>
          <w:sz w:val="28"/>
          <w:szCs w:val="28"/>
          <w:rtl/>
        </w:rPr>
        <w:t xml:space="preserve">۴. تهران؛ ملی؛ شماره نسخه: ۲۵۱۲۷</w:t>
      </w:r>
    </w:p>
    <w:p>
      <w:pPr>
        <w:pStyle w:val="BookText"/>
      </w:pPr>
      <w:r>
        <w:rPr>
          <w:rFonts w:ascii="IRNazanin" w:hAnsi="IRNazanin" w:eastAsia="IRNazanin" w:cs="IRNazanin"/>
          <w:lang w:bidi="fa-IR"/>
          <w:color w:val="111111"/>
          <w:sz w:val="28"/>
          <w:szCs w:val="28"/>
          <w:rtl/>
        </w:rPr>
        <w:t xml:space="preserve">بی كا، بی تا؛ خريداری از امرالله صفري [رايانه]</w:t>
      </w:r>
    </w:p>
    <w:p>
      <w:pPr>
        <w:pStyle w:val="BookText"/>
      </w:pPr>
      <w:r>
        <w:rPr>
          <w:rFonts w:ascii="IRNazanin" w:hAnsi="IRNazanin" w:eastAsia="IRNazanin" w:cs="IRNazanin"/>
          <w:lang w:bidi="fa-IR"/>
          <w:color w:val="111111"/>
          <w:sz w:val="28"/>
          <w:szCs w:val="28"/>
          <w:rtl/>
        </w:rPr>
        <w:t xml:space="preserve">۵. تهران؛ دانشگاه؛ شماره نسخه: ۴۱۸۲ -ف</w:t>
      </w:r>
    </w:p>
    <w:p>
      <w:pPr>
        <w:pStyle w:val="BookText"/>
      </w:pPr>
      <w:r>
        <w:rPr>
          <w:rFonts w:ascii="IRNazanin" w:hAnsi="IRNazanin" w:eastAsia="IRNazanin" w:cs="IRNazanin"/>
          <w:lang w:bidi="fa-IR"/>
          <w:color w:val="111111"/>
          <w:sz w:val="28"/>
          <w:szCs w:val="28"/>
          <w:rtl/>
        </w:rPr>
        <w:t xml:space="preserve">خط: نسخ معرب، بی كا، بی تا [فيلم ها-ف: ۳- 27]</w:t>
      </w:r>
    </w:p>
    <w:p>
      <w:pPr>
        <w:pStyle w:val="Heading3"/>
      </w:pPr>
      <w:bookmarkStart w:id="1575" w:name="_Toc1097"/>
      <w:r>
        <w:t>اسكندرنامه / شعر، تاريخ ايران / فارسی</w:t>
      </w:r>
      <w:bookmarkEnd w:id="1575"/>
    </w:p>
    <w:p>
      <w:pPr>
        <w:pStyle w:val="BookText"/>
      </w:pPr>
      <w:r>
        <w:rPr>
          <w:rFonts w:ascii="Times New Roman" w:hAnsi="Times New Roman" w:eastAsia="Times New Roman" w:cs="Times New Roman"/>
          <w:lang w:val="en-US" w:bidi="en-US"/>
          <w:color w:val="111111"/>
          <w:sz w:val="28"/>
          <w:szCs w:val="28"/>
          <w:rtl/>
        </w:rPr>
        <w:t xml:space="preserve">eskandar-nāme</w:t>
      </w:r>
    </w:p>
    <w:p>
      <w:pPr>
        <w:pStyle w:val="BookText"/>
      </w:pPr>
      <w:r>
        <w:rPr>
          <w:rFonts w:ascii="IRNazanin" w:hAnsi="IRNazanin" w:eastAsia="IRNazanin" w:cs="IRNazanin"/>
          <w:lang w:bidi="fa-IR"/>
          <w:color w:val="111111"/>
          <w:sz w:val="28"/>
          <w:szCs w:val="28"/>
          <w:rtl/>
        </w:rPr>
        <w:t xml:space="preserve">ثنائی مشهدی، حسين بن محمد، - ۹۹۶ ؟ قمری</w:t>
      </w:r>
    </w:p>
    <w:p>
      <w:pPr>
        <w:pStyle w:val="BookText"/>
      </w:pPr>
      <w:r>
        <w:rPr>
          <w:rFonts w:ascii="Times New Roman" w:hAnsi="Times New Roman" w:eastAsia="Times New Roman" w:cs="Times New Roman"/>
          <w:lang w:val="en-US" w:bidi="en-US"/>
          <w:color w:val="111111"/>
          <w:sz w:val="28"/>
          <w:szCs w:val="28"/>
          <w:rtl/>
        </w:rPr>
        <w:t xml:space="preserve">(sanā’ī mašhadī, hoseyn ebn-e mohammad (- 1588)</w:t>
      </w:r>
    </w:p>
    <w:p>
      <w:pPr>
        <w:pStyle w:val="BookText"/>
      </w:pPr>
      <w:r>
        <w:rPr>
          <w:rFonts w:ascii="IRNazanin" w:hAnsi="IRNazanin" w:eastAsia="IRNazanin" w:cs="IRNazanin"/>
          <w:lang w:bidi="fa-IR"/>
          <w:color w:val="111111"/>
          <w:sz w:val="28"/>
          <w:szCs w:val="28"/>
          <w:rtl/>
        </w:rPr>
        <w:t xml:space="preserve">مثنوی است. در سرگذشت مؤلف آورده اند كه اين مثنوی را تمام نكرد. پس از نعت و مناجات به جنگ های اسكندر مقدونی می پردازد.</w:t>
      </w:r>
    </w:p>
    <w:p>
      <w:pPr>
        <w:pStyle w:val="BookText"/>
      </w:pPr>
      <w:r>
        <w:rPr>
          <w:rFonts w:ascii="IRNazanin" w:hAnsi="IRNazanin" w:eastAsia="IRNazanin" w:cs="IRNazanin"/>
          <w:lang w:bidi="fa-IR"/>
          <w:color w:val="111111"/>
          <w:sz w:val="28"/>
          <w:szCs w:val="28"/>
          <w:rtl/>
        </w:rPr>
        <w:t xml:space="preserve">آغاز: بنام جهان بخش ملك آفرين *** سراپرده افراز چرخ برين / بخاك افكن افسر سروری *** سكندر ده سعی اسكندری</w:t>
      </w:r>
    </w:p>
    <w:p>
      <w:pPr>
        <w:pStyle w:val="BookText"/>
      </w:pPr>
      <w:r>
        <w:rPr>
          <w:rFonts w:ascii="IRNazanin" w:hAnsi="IRNazanin" w:eastAsia="IRNazanin" w:cs="IRNazanin"/>
          <w:lang w:bidi="fa-IR"/>
          <w:color w:val="111111"/>
          <w:sz w:val="28"/>
          <w:szCs w:val="28"/>
          <w:rtl/>
        </w:rPr>
        <w:t xml:space="preserve">[نسخه ها منزوی ۳۶۳۲ ؛ دنا ۱/ 813(3نسخه) فهرستواره منزوی 10/ 152]</w:t>
      </w:r>
    </w:p>
    <w:p>
      <w:pPr>
        <w:pStyle w:val="BookText"/>
      </w:pPr>
      <w:r>
        <w:rPr>
          <w:rFonts w:ascii="Amiri" w:hAnsi="Amiri" w:eastAsia="Amiri" w:cs="Amiri"/>
          <w:lang w:bidi="ar-SA"/>
          <w:color w:val="111111"/>
          <w:sz w:val="28"/>
          <w:szCs w:val="28"/>
          <w:rtl/>
        </w:rPr>
        <w:t xml:space="preserve">١. تهران؛ ملك؛ شماره نسخه: ۲/ 2024</w:t>
      </w:r>
    </w:p>
    <w:p>
      <w:pPr>
        <w:pStyle w:val="BookText"/>
      </w:pPr>
      <w:r>
        <w:rPr>
          <w:rFonts w:ascii="IRNazanin" w:hAnsi="IRNazanin" w:eastAsia="IRNazanin" w:cs="IRNazanin"/>
          <w:lang w:bidi="fa-IR"/>
          <w:color w:val="111111"/>
          <w:sz w:val="28"/>
          <w:szCs w:val="28"/>
          <w:rtl/>
        </w:rPr>
        <w:t xml:space="preserve">خط: نستعليق، بی كا، تا: قرن ۱۱ و ۱۲ ؛ كاغذ: ترمه، جلد: ميشن  قهوه ای، ۱۴ سطر [ف: ۸- 170]</w:t>
      </w:r>
    </w:p>
    <w:p>
      <w:pPr>
        <w:pStyle w:val="BookText"/>
      </w:pPr>
      <w:r>
        <w:rPr>
          <w:rFonts w:ascii="IRNazanin" w:hAnsi="IRNazanin" w:eastAsia="IRNazanin" w:cs="IRNazanin"/>
          <w:lang w:bidi="fa-IR"/>
          <w:color w:val="111111"/>
          <w:sz w:val="28"/>
          <w:szCs w:val="28"/>
          <w:rtl/>
        </w:rPr>
        <w:t xml:space="preserve">٢. تهران؛ دانشگاه؛ شماره نسخه: ۵/ 1018-ف</w:t>
      </w:r>
    </w:p>
    <w:p>
      <w:pPr>
        <w:pStyle w:val="BookText"/>
      </w:pPr>
      <w:r>
        <w:rPr>
          <w:rFonts w:ascii="IRNazanin" w:hAnsi="IRNazanin" w:eastAsia="IRNazanin" w:cs="IRNazanin"/>
          <w:lang w:bidi="fa-IR"/>
          <w:color w:val="111111"/>
          <w:sz w:val="28"/>
          <w:szCs w:val="28"/>
          <w:rtl/>
        </w:rPr>
        <w:t xml:space="preserve">نسخه اصل: بادليان ش ۷۰ فرازر ( ۱۰۷۱ )؛ بی كا، تا: ربيع الاول  ۱۱۰۸ ق [فيلم ها-ف: ۱- 555]</w:t>
      </w:r>
    </w:p>
    <w:p>
      <w:pPr>
        <w:pStyle w:val="BookText"/>
      </w:pPr>
      <w:r>
        <w:rPr>
          <w:rFonts w:ascii="Amiri" w:hAnsi="Amiri" w:eastAsia="Amiri" w:cs="Amiri"/>
          <w:lang w:bidi="ar-SA"/>
          <w:color w:val="111111"/>
          <w:sz w:val="28"/>
          <w:szCs w:val="28"/>
          <w:rtl/>
        </w:rPr>
        <w:t xml:space="preserve">٣. تهران؛ ملك؛ شماره نسخه: ۵/ 3841</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حدود ۷۵۰ بيت؛ خط: شكسته نستعليق، بي كا، بي تا؛ كاغذ: ترمه، جلد: رويه ميشن قهوه ای، ۶گ ( ۸۲ ر- ۸۷ پ)، سطور راسته و  چليپا، اندازه: ۱۵</w:t>
      </w:r>
      <w:r>
        <w:rPr>
          <w:rFonts w:ascii="Times New Roman" w:hAnsi="Times New Roman" w:eastAsia="Times New Roman" w:cs="Times New Roman"/>
          <w:lang w:val="en-US" w:bidi="en-US"/>
          <w:color w:val="111111"/>
          <w:sz w:val="28"/>
          <w:szCs w:val="28"/>
          <w:rtl/>
        </w:rPr>
        <w:t xml:space="preserve">×25</w:t>
      </w:r>
      <w:r>
        <w:rPr>
          <w:rFonts w:ascii="IRNazanin" w:hAnsi="IRNazanin" w:eastAsia="IRNazanin" w:cs="IRNazanin"/>
          <w:lang w:bidi="fa-IR"/>
          <w:color w:val="111111"/>
          <w:sz w:val="28"/>
          <w:szCs w:val="28"/>
          <w:rtl/>
        </w:rPr>
        <w:t xml:space="preserve">سم [ف: 7- 83]</w:t>
      </w:r>
    </w:p>
    <w:p>
      <w:pPr>
        <w:pStyle w:val="Heading3"/>
      </w:pPr>
      <w:bookmarkStart w:id="1576" w:name="_Toc1098"/>
      <w:r>
        <w:t>اسكندرنامه / داستان / فارسی</w:t>
      </w:r>
      <w:bookmarkEnd w:id="1576"/>
    </w:p>
    <w:p>
      <w:pPr>
        <w:pStyle w:val="BookText"/>
      </w:pPr>
      <w:r>
        <w:rPr>
          <w:rFonts w:ascii="Times New Roman" w:hAnsi="Times New Roman" w:eastAsia="Times New Roman" w:cs="Times New Roman"/>
          <w:lang w:val="en-US" w:bidi="en-US"/>
          <w:color w:val="111111"/>
          <w:sz w:val="28"/>
          <w:szCs w:val="28"/>
          <w:rtl/>
        </w:rPr>
        <w:t xml:space="preserve">eskandar-nāme</w:t>
      </w:r>
    </w:p>
    <w:p>
      <w:pPr>
        <w:pStyle w:val="BookText"/>
      </w:pPr>
      <w:r>
        <w:rPr>
          <w:rFonts w:ascii="IRNazanin" w:hAnsi="IRNazanin" w:eastAsia="IRNazanin" w:cs="IRNazanin"/>
          <w:lang w:bidi="fa-IR"/>
          <w:color w:val="111111"/>
          <w:sz w:val="28"/>
          <w:szCs w:val="28"/>
          <w:rtl/>
        </w:rPr>
        <w:t xml:space="preserve">حكيم، منوچهر، ۱۲۸۹ شمسی</w:t>
      </w:r>
    </w:p>
    <w:p>
      <w:pPr>
        <w:pStyle w:val="BookText"/>
      </w:pPr>
      <w:r>
        <w:rPr>
          <w:rFonts w:ascii="Times New Roman" w:hAnsi="Times New Roman" w:eastAsia="Times New Roman" w:cs="Times New Roman"/>
          <w:lang w:val="en-US" w:bidi="en-US"/>
          <w:color w:val="111111"/>
          <w:sz w:val="28"/>
          <w:szCs w:val="28"/>
          <w:rtl/>
        </w:rPr>
        <w:t xml:space="preserve">(-hakīm, manūčehr (1910 -)</w:t>
      </w:r>
    </w:p>
    <w:p>
      <w:pPr>
        <w:pStyle w:val="BookText"/>
      </w:pPr>
      <w:r>
        <w:rPr>
          <w:rFonts w:ascii="IRNazanin" w:hAnsi="IRNazanin" w:eastAsia="IRNazanin" w:cs="IRNazanin"/>
          <w:lang w:bidi="fa-IR"/>
          <w:color w:val="111111"/>
          <w:sz w:val="28"/>
          <w:szCs w:val="28"/>
          <w:rtl/>
        </w:rPr>
        <w:t xml:space="preserve">اسكندرنامه اي است كه در زمان صفويه ساخته شده است. درآغاز گفته شده كه حكيم منوچهر ناقل آن است.</w:t>
      </w:r>
    </w:p>
    <w:p>
      <w:pPr>
        <w:pStyle w:val="BookText"/>
      </w:pPr>
      <w:r>
        <w:rPr>
          <w:rFonts w:ascii="IRNazanin" w:hAnsi="IRNazanin" w:eastAsia="IRNazanin" w:cs="IRNazanin"/>
          <w:lang w:bidi="fa-IR"/>
          <w:color w:val="111111"/>
          <w:sz w:val="28"/>
          <w:szCs w:val="28"/>
          <w:rtl/>
        </w:rPr>
        <w:t xml:space="preserve">[دنا1/ 813؛سبک شناسی 2: 130- 131- 3: 261؛ مشترك پاكستان ۶ - 991]</w:t>
      </w:r>
    </w:p>
    <w:p>
      <w:pPr>
        <w:pStyle w:val="BookText"/>
      </w:pPr>
      <w:r>
        <w:rPr>
          <w:rFonts w:ascii="IRNazanin" w:hAnsi="IRNazanin" w:eastAsia="IRNazanin" w:cs="IRNazanin"/>
          <w:lang w:bidi="fa-IR"/>
          <w:color w:val="111111"/>
          <w:sz w:val="28"/>
          <w:szCs w:val="28"/>
          <w:rtl/>
        </w:rPr>
        <w:t xml:space="preserve">١. تهران؛ مجلس؛ شماره نسخه: ۳۰۲۵</w:t>
      </w:r>
    </w:p>
    <w:p>
      <w:pPr>
        <w:pStyle w:val="BookText"/>
      </w:pPr>
      <w:r>
        <w:rPr>
          <w:rFonts w:ascii="IRNazanin" w:hAnsi="IRNazanin" w:eastAsia="IRNazanin" w:cs="IRNazanin"/>
          <w:lang w:bidi="fa-IR"/>
          <w:color w:val="111111"/>
          <w:sz w:val="28"/>
          <w:szCs w:val="28"/>
          <w:rtl/>
        </w:rPr>
        <w:t xml:space="preserve">آغاز: بوجد آی ايدل بجوش اين زمان كه باز آمديم بر سر داستان اما صاحب جلد دوم مولانا منوچهر حكيم ناقل است و می فرمايد كه چون سلطان صاحبقران حلقه فكن گوش گردن كشان نتيجه دار بر گزيده خالق يكتا؛ انجام: رو بطرف تركستان روانه شو نوفل پيش خواند با برداشت روانه گرديد تا انشاء الله تعالی باقی داستان را در جلد دوم و آشكار شدن نقابدارها را عرض خواهيم نمود آمين يا رب العالمين بيت: گر بهم بر زده بينی خط من عيب</w:t>
      </w:r>
    </w:p>
    <w:p>
      <w:pPr>
        <w:pStyle w:val="BookText"/>
      </w:pPr>
      <w:r>
        <w:rPr>
          <w:rFonts w:ascii="IRNazanin" w:hAnsi="IRNazanin" w:eastAsia="IRNazanin" w:cs="IRNazanin"/>
          <w:lang w:bidi="fa-IR"/>
          <w:color w:val="111111"/>
          <w:sz w:val="28"/>
          <w:szCs w:val="28"/>
          <w:rtl/>
        </w:rPr>
        <w:t xml:space="preserve">مكن *** كه مرا گردش ايام بهر بر زده است</w:t>
      </w:r>
    </w:p>
    <w:p>
      <w:pPr>
        <w:pStyle w:val="BookText"/>
      </w:pPr>
      <w:r>
        <w:rPr>
          <w:rFonts w:ascii="IRNazanin" w:hAnsi="IRNazanin" w:eastAsia="IRNazanin" w:cs="IRNazanin"/>
          <w:lang w:bidi="fa-IR"/>
          <w:color w:val="111111"/>
          <w:sz w:val="28"/>
          <w:szCs w:val="28"/>
          <w:rtl/>
        </w:rPr>
        <w:t xml:space="preserve">جلد دوم؛خط:نستعليق، بي كا، تا: ۱۱۰۶ ق؛ دارای ۳۴ تصوير نسبتًا زيبا؛ كاغذ: اصفهانی، جلد: تيماج نارنجی رنگ ضربی، ۵۹۸ ص،22سطرقطع: رحلی ، اندازه: 22</w:t>
      </w:r>
      <w:r>
        <w:rPr>
          <w:rFonts w:ascii="Times New Roman" w:hAnsi="Times New Roman" w:eastAsia="Times New Roman" w:cs="Times New Roman"/>
          <w:lang w:val="en-US" w:bidi="en-US"/>
          <w:color w:val="111111"/>
          <w:sz w:val="28"/>
          <w:szCs w:val="28"/>
          <w:rtl/>
        </w:rPr>
        <w:t xml:space="preserve">×34/5</w:t>
      </w:r>
      <w:r>
        <w:rPr>
          <w:rFonts w:ascii="IRNazanin" w:hAnsi="IRNazanin" w:eastAsia="IRNazanin" w:cs="IRNazanin"/>
          <w:lang w:bidi="fa-IR"/>
          <w:color w:val="111111"/>
          <w:sz w:val="28"/>
          <w:szCs w:val="28"/>
          <w:rtl/>
        </w:rPr>
        <w:t xml:space="preserve">سم [ف:10- 472]</w:t>
      </w:r>
    </w:p>
    <w:p>
      <w:pPr>
        <w:pStyle w:val="BookText"/>
      </w:pPr>
      <w:r>
        <w:rPr>
          <w:rFonts w:ascii="IRNazanin" w:hAnsi="IRNazanin" w:eastAsia="IRNazanin" w:cs="IRNazanin"/>
          <w:lang w:bidi="fa-IR"/>
          <w:color w:val="111111"/>
          <w:sz w:val="28"/>
          <w:szCs w:val="28"/>
          <w:rtl/>
        </w:rPr>
        <w:t xml:space="preserve">٢. تهران؛ مجلس؛ شماره نسخه: ۸۴۴۶</w:t>
      </w:r>
    </w:p>
    <w:p>
      <w:pPr>
        <w:pStyle w:val="BookText"/>
      </w:pPr>
      <w:r>
        <w:rPr>
          <w:rFonts w:ascii="IRNazanin" w:hAnsi="IRNazanin" w:eastAsia="IRNazanin" w:cs="IRNazanin"/>
          <w:lang w:bidi="fa-IR"/>
          <w:color w:val="111111"/>
          <w:sz w:val="28"/>
          <w:szCs w:val="28"/>
          <w:rtl/>
        </w:rPr>
        <w:t xml:space="preserve">انجام: به قدرت يك زنده فيل و منقار او سرخ است به گفته او عمل كن ساعتی نشده ديد.</w:t>
      </w:r>
    </w:p>
    <w:p>
      <w:pPr>
        <w:pStyle w:val="BookText"/>
      </w:pPr>
      <w:r>
        <w:rPr>
          <w:rFonts w:ascii="IRNazanin" w:hAnsi="IRNazanin" w:eastAsia="IRNazanin" w:cs="IRNazanin"/>
          <w:lang w:bidi="fa-IR"/>
          <w:color w:val="111111"/>
          <w:sz w:val="28"/>
          <w:szCs w:val="28"/>
          <w:rtl/>
        </w:rPr>
        <w:t xml:space="preserve">خط: نستعليق، بی كا، تا: قرن ۱۳ ؛ دارای ۲۵ مجلس نقاشی آب و رنگ ضعيف؛ جلد: تيماج مشكی، ۱۵۵ گ، ۲۳ سطر، اندازه:21/5</w:t>
      </w:r>
      <w:r>
        <w:rPr>
          <w:rFonts w:ascii="Times New Roman" w:hAnsi="Times New Roman" w:eastAsia="Times New Roman" w:cs="Times New Roman"/>
          <w:lang w:val="en-US" w:bidi="en-US"/>
          <w:color w:val="111111"/>
          <w:sz w:val="28"/>
          <w:szCs w:val="28"/>
          <w:rtl/>
        </w:rPr>
        <w:t xml:space="preserve">×35/5</w:t>
      </w:r>
      <w:r>
        <w:rPr>
          <w:rFonts w:ascii="IRNazanin" w:hAnsi="IRNazanin" w:eastAsia="IRNazanin" w:cs="IRNazanin"/>
          <w:lang w:bidi="fa-IR"/>
          <w:color w:val="111111"/>
          <w:sz w:val="28"/>
          <w:szCs w:val="28"/>
          <w:rtl/>
        </w:rPr>
        <w:t xml:space="preserve">سم[ف: 28- 47]</w:t>
      </w:r>
    </w:p>
    <w:p>
      <w:pPr>
        <w:pStyle w:val="BookText"/>
      </w:pPr>
      <w:r>
        <w:rPr>
          <w:rFonts w:ascii="IRNazanin" w:hAnsi="IRNazanin" w:eastAsia="IRNazanin" w:cs="IRNazanin"/>
          <w:lang w:bidi="fa-IR"/>
          <w:color w:val="111111"/>
          <w:sz w:val="28"/>
          <w:szCs w:val="28"/>
          <w:rtl/>
        </w:rPr>
        <w:t xml:space="preserve">٣. تهران؛ مجلس؛ شماره نسخه: ۳۱۶۱</w:t>
      </w:r>
    </w:p>
    <w:p>
      <w:pPr>
        <w:pStyle w:val="BookText"/>
      </w:pPr>
      <w:r>
        <w:rPr>
          <w:rFonts w:ascii="IRNazanin" w:hAnsi="IRNazanin" w:eastAsia="IRNazanin" w:cs="IRNazanin"/>
          <w:lang w:bidi="fa-IR"/>
          <w:color w:val="111111"/>
          <w:sz w:val="28"/>
          <w:szCs w:val="28"/>
          <w:rtl/>
        </w:rPr>
        <w:t xml:space="preserve">آغاز: مستوفی دفتر دانش و مسخر صفحه آفرينش چنين ... كه او را اسكندر بن دارای اصغر گويند و بلغت يونانی نام اواخشيده روس است يعنی فيلوسف قالب خلق عالم بدين بت پرستی بود؛</w:t>
      </w:r>
    </w:p>
    <w:p>
      <w:pPr>
        <w:pStyle w:val="BookText"/>
      </w:pPr>
      <w:r>
        <w:rPr>
          <w:rFonts w:ascii="IRNazanin" w:hAnsi="IRNazanin" w:eastAsia="IRNazanin" w:cs="IRNazanin"/>
          <w:lang w:bidi="fa-IR"/>
          <w:color w:val="111111"/>
          <w:sz w:val="28"/>
          <w:szCs w:val="28"/>
          <w:rtl/>
        </w:rPr>
        <w:t xml:space="preserve">انجام: و شاهزاده اصلان در ولايت روم پادشاه شد و باقي عمر را در آنجا بسر برد شاهزاده اصلان ... برحمت ايزدی پيوست.</w:t>
      </w:r>
    </w:p>
    <w:p>
      <w:pPr>
        <w:pStyle w:val="BookText"/>
      </w:pPr>
      <w:r>
        <w:rPr>
          <w:rFonts w:ascii="IRNazanin" w:hAnsi="IRNazanin" w:eastAsia="IRNazanin" w:cs="IRNazanin"/>
          <w:lang w:bidi="fa-IR"/>
          <w:color w:val="111111"/>
          <w:sz w:val="28"/>
          <w:szCs w:val="28"/>
          <w:rtl/>
        </w:rPr>
        <w:t xml:space="preserve">همان اسكندرنامه ای است كه در روزگار صفويه ساخته شده در هفت جلد به نقل از حكيم منوچهر و بارها به چاپ رسيده است؛</w:t>
      </w:r>
    </w:p>
    <w:p>
      <w:pPr>
        <w:pStyle w:val="BookText"/>
      </w:pPr>
      <w:r>
        <w:rPr>
          <w:rFonts w:ascii="IRNazanin" w:hAnsi="IRNazanin" w:eastAsia="IRNazanin" w:cs="IRNazanin"/>
          <w:lang w:bidi="fa-IR"/>
          <w:color w:val="111111"/>
          <w:sz w:val="28"/>
          <w:szCs w:val="28"/>
          <w:rtl/>
        </w:rPr>
        <w:t xml:space="preserve">خط: نستعليق، کا: حاجی ميرزا عبدالباقی بن محمد اسماعيل و فرزندش احمد، تا: ۱۲۶۴ ق؛ فرزند كاتب احمد بن عبدالباقی یاداشت های الصافی نوشته: «اين هفت جلد اسكندرنامه را مرحوم مغفور خلد آشيان جنت مكان رضوان آرامگاه حاجی ميرزا  عبدالباقی طاب ثراه در زمان طفوليت مرقوم داشته اند اين كمين بنده كوچك ترين اولاد آن مرحوم در چندي قبل بملاحظه اين كه خط ابوی بود اغلب صفحات آن كه پاره و يا افتاده بود از روي اسكندرنامه ديگر نوشته و ملحق داشته ام اميد است هر وقت فرصت نمايم اگر سهوی در نوشتن اين كتاب از حيث پاك شدن و غلط نوشتن اتفاق افتاد تا آخر صحيح نمايم به تاريخ شنبه پنجم  شعبان المعظم ۳۳۲۵ نمقه احمد بن عبدالباقی»دارای 102قطعه تصوير كه ۷ عدد آن در سرلوحه هر جلد نقاشي شده و ۳ تصوير در آغاز و سه تصوير در پايان و باقی در ميان نسخه؛ كاغذ: اصفهانی، جلد: تيماج يشمی مقوايی، ۸۷۰ ص، ۱۸ سطر، قطع:رحلی ، اندازه:21</w:t>
      </w:r>
      <w:r>
        <w:rPr>
          <w:rFonts w:ascii="Times New Roman" w:hAnsi="Times New Roman" w:eastAsia="Times New Roman" w:cs="Times New Roman"/>
          <w:lang w:val="en-US" w:bidi="en-US"/>
          <w:color w:val="111111"/>
          <w:sz w:val="28"/>
          <w:szCs w:val="28"/>
          <w:rtl/>
        </w:rPr>
        <w:t xml:space="preserve">×34 </w:t>
      </w:r>
      <w:r>
        <w:rPr>
          <w:rFonts w:ascii="IRNazanin" w:hAnsi="IRNazanin" w:eastAsia="IRNazanin" w:cs="IRNazanin"/>
          <w:lang w:bidi="fa-IR"/>
          <w:color w:val="111111"/>
          <w:sz w:val="28"/>
          <w:szCs w:val="28"/>
          <w:rtl/>
        </w:rPr>
        <w:t xml:space="preserve">سم [ف: 10- 744]</w:t>
      </w:r>
    </w:p>
    <w:p>
      <w:pPr>
        <w:pStyle w:val="Heading3"/>
      </w:pPr>
      <w:bookmarkStart w:id="1577" w:name="_Toc1099"/>
      <w:r>
        <w:t>اسكندرنامه / تاريخ ايران / فارسی</w:t>
      </w:r>
      <w:bookmarkEnd w:id="1577"/>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323" w:name="pg20365_260447"/>
    <w:bookmarkEnd w:id="323"/>
    <w:p>
      <w:pPr>
        <w:pStyle w:val="BookText"/>
      </w:pPr>
      <w:r>
        <w:rPr>
          <w:rFonts w:ascii="Times New Roman" w:hAnsi="Times New Roman" w:eastAsia="Times New Roman" w:cs="Times New Roman"/>
          <w:lang w:val="en-US" w:bidi="en-US"/>
          <w:color w:val="111111"/>
          <w:sz w:val="28"/>
          <w:szCs w:val="28"/>
          <w:rtl/>
        </w:rPr>
        <w:t xml:space="preserve">eskandar-nāme</w:t>
      </w:r>
    </w:p>
    <w:p>
      <w:pPr>
        <w:pStyle w:val="BookText"/>
      </w:pPr>
      <w:r>
        <w:rPr>
          <w:rFonts w:ascii="IRNazanin" w:hAnsi="IRNazanin" w:eastAsia="IRNazanin" w:cs="IRNazanin"/>
          <w:lang w:bidi="fa-IR"/>
          <w:color w:val="111111"/>
          <w:sz w:val="28"/>
          <w:szCs w:val="28"/>
          <w:rtl/>
        </w:rPr>
        <w:t xml:space="preserve">ناصری كرمانی، ق ۱۴ قمری</w:t>
      </w:r>
    </w:p>
    <w:p>
      <w:pPr>
        <w:pStyle w:val="BookText"/>
      </w:pPr>
      <w:r>
        <w:rPr>
          <w:rFonts w:ascii="Times New Roman" w:hAnsi="Times New Roman" w:eastAsia="Times New Roman" w:cs="Times New Roman"/>
          <w:lang w:val="en-US" w:bidi="en-US"/>
          <w:color w:val="111111"/>
          <w:sz w:val="28"/>
          <w:szCs w:val="28"/>
          <w:rtl/>
        </w:rPr>
        <w:t xml:space="preserve">(nāserī kermānī (- 20c)</w:t>
      </w:r>
    </w:p>
    <w:p>
      <w:pPr>
        <w:pStyle w:val="BookText"/>
      </w:pPr>
      <w:r>
        <w:rPr>
          <w:rFonts w:ascii="IRNazanin" w:hAnsi="IRNazanin" w:eastAsia="IRNazanin" w:cs="IRNazanin"/>
          <w:lang w:bidi="fa-IR"/>
          <w:color w:val="111111"/>
          <w:sz w:val="28"/>
          <w:szCs w:val="28"/>
          <w:rtl/>
        </w:rPr>
        <w:t xml:space="preserve">منظومه ای در داستان اسكندر و دارا. شاعر از شعراء عهد ناصرالدين شاه و در اصفهان بوده است.</w:t>
      </w:r>
    </w:p>
    <w:p>
      <w:pPr>
        <w:pStyle w:val="BookText"/>
      </w:pPr>
      <w:r>
        <w:rPr>
          <w:rFonts w:ascii="Amiri" w:hAnsi="Amiri" w:eastAsia="Amiri" w:cs="Amiri"/>
          <w:lang w:bidi="ar-SA"/>
          <w:color w:val="111111"/>
          <w:sz w:val="28"/>
          <w:szCs w:val="28"/>
          <w:rtl/>
        </w:rPr>
        <w:t xml:space="preserve">آغاز: دهمين از كيان سكندر بود *** كز هنر از همه فزونتر بود</w:t>
      </w:r>
    </w:p>
    <w:p>
      <w:pPr>
        <w:pStyle w:val="BookText"/>
      </w:pPr>
      <w:r>
        <w:rPr>
          <w:rFonts w:ascii="IRNazanin" w:hAnsi="IRNazanin" w:eastAsia="IRNazanin" w:cs="IRNazanin"/>
          <w:lang w:bidi="fa-IR"/>
          <w:color w:val="111111"/>
          <w:sz w:val="28"/>
          <w:szCs w:val="28"/>
          <w:rtl/>
        </w:rPr>
        <w:t xml:space="preserve">[دنا1/ 813؛مکتبة اميرالمؤمنين1/ 39]</w:t>
      </w:r>
    </w:p>
    <w:p>
      <w:pPr>
        <w:pStyle w:val="BookText"/>
      </w:pPr>
      <w:r>
        <w:rPr>
          <w:rFonts w:ascii="Amiri" w:hAnsi="Amiri" w:eastAsia="Amiri" w:cs="Amiri"/>
          <w:lang w:bidi="ar-SA"/>
          <w:color w:val="111111"/>
          <w:sz w:val="28"/>
          <w:szCs w:val="28"/>
          <w:rtl/>
        </w:rPr>
        <w:t xml:space="preserve">تهران؛ ادبيات؛ شماره نسخه: ۲۸۲ حكمت</w:t>
      </w:r>
    </w:p>
    <w:p>
      <w:pPr>
        <w:pStyle w:val="BookText"/>
      </w:pPr>
      <w:r>
        <w:rPr>
          <w:rFonts w:ascii="IRNazanin" w:hAnsi="IRNazanin" w:eastAsia="IRNazanin" w:cs="IRNazanin"/>
          <w:lang w:bidi="fa-IR"/>
          <w:color w:val="111111"/>
          <w:sz w:val="28"/>
          <w:szCs w:val="28"/>
          <w:rtl/>
        </w:rPr>
        <w:t xml:space="preserve">آغاز: برابر؛ انجام: قرعه آمد بنام بتليموس *** گشت گيتی بكام بتليموس</w:t>
      </w:r>
    </w:p>
    <w:p>
      <w:pPr>
        <w:pStyle w:val="BookText"/>
      </w:pPr>
      <w:r>
        <w:rPr>
          <w:rFonts w:ascii="IRNazanin" w:hAnsi="IRNazanin" w:eastAsia="IRNazanin" w:cs="IRNazanin"/>
          <w:lang w:bidi="fa-IR"/>
          <w:color w:val="111111"/>
          <w:sz w:val="28"/>
          <w:szCs w:val="28"/>
          <w:rtl/>
        </w:rPr>
        <w:t xml:space="preserve">خط: نسخ، بي كا، تا: قرن ۱۳ و ۱۴ ، مجدول زرين، در پايان نسخه ستايش است از حاجی ميرزا علی انصاری به نظم فارسی؛ جلد: مقوا عطف تيماج قهوه ای، قطع: بياض رقعی [ف: ۲- 4]</w:t>
      </w:r>
    </w:p>
    <w:p>
      <w:pPr>
        <w:pStyle w:val="Heading3"/>
      </w:pPr>
      <w:bookmarkStart w:id="1578" w:name="_Toc1100"/>
      <w:r>
        <w:t>اسكندرنامه = كلام ارسطاليس / تاريخ / عربی</w:t>
      </w:r>
      <w:bookmarkEnd w:id="1578"/>
    </w:p>
    <w:p>
      <w:pPr>
        <w:pStyle w:val="BookText"/>
      </w:pPr>
      <w:r>
        <w:rPr>
          <w:rFonts w:ascii="Times New Roman" w:hAnsi="Times New Roman" w:eastAsia="Times New Roman" w:cs="Times New Roman"/>
          <w:lang w:val="en-US" w:bidi="en-US"/>
          <w:color w:val="111111"/>
          <w:sz w:val="28"/>
          <w:szCs w:val="28"/>
          <w:rtl/>
        </w:rPr>
        <w:t xml:space="preserve">eskandar-nāme = kalām-e arestālīs</w:t>
      </w:r>
    </w:p>
    <w:p>
      <w:pPr>
        <w:pStyle w:val="BookText"/>
      </w:pPr>
      <w:r>
        <w:rPr>
          <w:rFonts w:ascii="IRNazanin" w:hAnsi="IRNazanin" w:eastAsia="IRNazanin" w:cs="IRNazanin"/>
          <w:lang w:bidi="fa-IR"/>
          <w:color w:val="111111"/>
          <w:sz w:val="28"/>
          <w:szCs w:val="28"/>
          <w:rtl/>
        </w:rPr>
        <w:t xml:space="preserve">با داستان پدر « اسكندر »  آغاز می شود، كه او را فرزند نمی شد، تا منجمان را گرد آورد و گفتند تو را پسری شايسته خواهد بود،پس چنين شد و پدر او را براي آموزش به ارسطاليس سپرد.</w:t>
      </w:r>
    </w:p>
    <w:p>
      <w:pPr>
        <w:pStyle w:val="BookText"/>
      </w:pPr>
      <w:r>
        <w:rPr>
          <w:rFonts w:ascii="IRNazanin" w:hAnsi="IRNazanin" w:eastAsia="IRNazanin" w:cs="IRNazanin"/>
          <w:lang w:bidi="fa-IR"/>
          <w:color w:val="111111"/>
          <w:sz w:val="28"/>
          <w:szCs w:val="28"/>
          <w:rtl/>
        </w:rPr>
        <w:t xml:space="preserve">سفارش هايی را دربر دارد از ارسطاليس به« اسكندر يونانی » که از وی به گونه فرزانه ياد می كند. نامه هايی از اسكندر به شاهان ايران و هند، نامه از ارسطاطاليس به اسكندر ... حركت اسكندر،ورود او به هند.</w:t>
      </w:r>
    </w:p>
    <w:p>
      <w:pPr>
        <w:pStyle w:val="BookText"/>
      </w:pPr>
      <w:r>
        <w:rPr>
          <w:rFonts w:ascii="IRNazanin" w:hAnsi="IRNazanin" w:eastAsia="IRNazanin" w:cs="IRNazanin"/>
          <w:lang w:bidi="fa-IR"/>
          <w:color w:val="111111"/>
          <w:sz w:val="28"/>
          <w:szCs w:val="28"/>
          <w:rtl/>
        </w:rPr>
        <w:t xml:space="preserve">تهران؛ دائرة المعارف؛ شماره نسخه: 1/ 1974- عکسی</w:t>
      </w:r>
    </w:p>
    <w:p>
      <w:pPr>
        <w:pStyle w:val="BookText"/>
      </w:pPr>
      <w:r>
        <w:rPr>
          <w:rFonts w:ascii="Amiri" w:hAnsi="Amiri" w:eastAsia="Amiri" w:cs="Amiri"/>
          <w:lang w:bidi="ar-SA"/>
          <w:color w:val="111111"/>
          <w:sz w:val="28"/>
          <w:szCs w:val="28"/>
          <w:rtl/>
        </w:rPr>
        <w:t xml:space="preserve">آغاز: بسمله ... كان من قصته ان كان رجلاً لا يقال له فيلسوف من اهل المدينة يقال لها ما قاذونية و كان من اهل بيت الملك، افضي ذلك اليه وراثة عن ابيه، و كان لايولد له. فاشتد ذلك عليه؛</w:t>
      </w:r>
    </w:p>
    <w:p>
      <w:pPr>
        <w:pStyle w:val="BookText"/>
      </w:pPr>
      <w:r>
        <w:rPr>
          <w:rFonts w:ascii="Amiri" w:hAnsi="Amiri" w:eastAsia="Amiri" w:cs="Amiri"/>
          <w:lang w:bidi="ar-SA"/>
          <w:color w:val="111111"/>
          <w:sz w:val="28"/>
          <w:szCs w:val="28"/>
          <w:rtl/>
        </w:rPr>
        <w:t xml:space="preserve">انجام: الانسان من الرذايل ازداد به بصيرة. هذا الذي وجدته من كلام ارسطاليس. و الحمدلله رب العالمين. و صلوته علي اكرم خلقه سيدنا محمد و آله و عترته الطاهرين.</w:t>
      </w:r>
    </w:p>
    <w:p>
      <w:pPr>
        <w:pStyle w:val="BookText"/>
      </w:pPr>
      <w:r>
        <w:rPr>
          <w:rFonts w:ascii="Amiri" w:hAnsi="Amiri" w:eastAsia="Amiri" w:cs="Amiri"/>
          <w:lang w:bidi="ar-SA"/>
          <w:color w:val="111111"/>
          <w:sz w:val="28"/>
          <w:szCs w:val="28"/>
          <w:rtl/>
        </w:rPr>
        <w:t xml:space="preserve">انجام ۲: قال السابع اعلم اني خرجت الي هذه الدار مضطرًا ... قال سقراط المواهب الهية اربع: العقل و العافية و الامن و الكفاية.</w:t>
      </w:r>
    </w:p>
    <w:p>
      <w:pPr>
        <w:pStyle w:val="BookText"/>
      </w:pPr>
      <w:r>
        <w:rPr>
          <w:rFonts w:ascii="Amiri" w:hAnsi="Amiri" w:eastAsia="Amiri" w:cs="Amiri"/>
          <w:lang w:bidi="ar-SA"/>
          <w:color w:val="111111"/>
          <w:sz w:val="28"/>
          <w:szCs w:val="28"/>
          <w:rtl/>
        </w:rPr>
        <w:t xml:space="preserve">فبالعقل يعبد الرب و بالعافية تطيب الحيواة و بالامن تسكن النفس و بالكفاية يقع العزة. تمت. تم.</w:t>
      </w:r>
    </w:p>
    <w:p>
      <w:pPr>
        <w:pStyle w:val="BookText"/>
      </w:pPr>
      <w:r>
        <w:rPr>
          <w:rFonts w:ascii="IRNazanin" w:hAnsi="IRNazanin" w:eastAsia="IRNazanin" w:cs="IRNazanin"/>
          <w:lang w:bidi="fa-IR"/>
          <w:color w:val="111111"/>
          <w:sz w:val="28"/>
          <w:szCs w:val="28"/>
          <w:rtl/>
        </w:rPr>
        <w:t xml:space="preserve">خط: ثلث خوش و شكسته، بی كا، تا: ۱۰۷۰ ق؛ ۱۶۴ ص ( ۲- 165)[ف: 1- 25]</w:t>
      </w:r>
    </w:p>
    <w:p>
      <w:pPr>
        <w:pStyle w:val="Heading3"/>
      </w:pPr>
      <w:bookmarkStart w:id="1579" w:name="_Toc1101"/>
      <w:r>
        <w:t>اسكندرنامه / داستان / فارسي</w:t>
      </w:r>
      <w:bookmarkEnd w:id="1579"/>
    </w:p>
    <w:p>
      <w:pPr>
        <w:pStyle w:val="BookText"/>
      </w:pPr>
      <w:r>
        <w:rPr>
          <w:rFonts w:ascii="Times New Roman" w:hAnsi="Times New Roman" w:eastAsia="Times New Roman" w:cs="Times New Roman"/>
          <w:lang w:val="en-US" w:bidi="en-US"/>
          <w:color w:val="111111"/>
          <w:sz w:val="28"/>
          <w:szCs w:val="28"/>
          <w:rtl/>
        </w:rPr>
        <w:t xml:space="preserve">eskandar-nāme</w:t>
      </w:r>
    </w:p>
    <w:p>
      <w:pPr>
        <w:pStyle w:val="BookText"/>
      </w:pPr>
      <w:r>
        <w:rPr>
          <w:rFonts w:ascii="IRNazanin" w:hAnsi="IRNazanin" w:eastAsia="IRNazanin" w:cs="IRNazanin"/>
          <w:lang w:bidi="fa-IR"/>
          <w:color w:val="111111"/>
          <w:sz w:val="28"/>
          <w:szCs w:val="28"/>
          <w:rtl/>
        </w:rPr>
        <w:t xml:space="preserve">چاپ: ايرج افشار از روی نسخه آقای سعيد نفيسی</w:t>
      </w:r>
    </w:p>
    <w:p>
      <w:pPr>
        <w:pStyle w:val="BookText"/>
      </w:pPr>
      <w:r>
        <w:rPr>
          <w:rFonts w:ascii="IRNazanin" w:hAnsi="IRNazanin" w:eastAsia="IRNazanin" w:cs="IRNazanin"/>
          <w:lang w:bidi="fa-IR"/>
          <w:color w:val="111111"/>
          <w:sz w:val="28"/>
          <w:szCs w:val="28"/>
          <w:rtl/>
        </w:rPr>
        <w:t xml:space="preserve">تهران؛ دانشگاه؛ شماره نسخه: ۱۴۲۸ -ف</w:t>
      </w:r>
    </w:p>
    <w:p>
      <w:pPr>
        <w:pStyle w:val="BookText"/>
      </w:pPr>
      <w:r>
        <w:rPr>
          <w:rFonts w:ascii="IRNazanin" w:hAnsi="IRNazanin" w:eastAsia="IRNazanin" w:cs="IRNazanin"/>
          <w:lang w:bidi="fa-IR"/>
          <w:color w:val="111111"/>
          <w:sz w:val="28"/>
          <w:szCs w:val="28"/>
          <w:rtl/>
        </w:rPr>
        <w:t xml:space="preserve">نسخه آقای سعيد نفيسی؛ بی كا، تا: قرن ۵ و ۶؛ 264گ، قطع:  رحلی [فيلم ها-ف: ۱- 10]</w:t>
      </w:r>
    </w:p>
    <w:p>
      <w:pPr>
        <w:pStyle w:val="BookText"/>
      </w:pPr>
      <w:r>
        <w:rPr>
          <w:rFonts w:ascii="IRNazanin" w:hAnsi="IRNazanin" w:eastAsia="IRNazanin" w:cs="IRNazanin"/>
          <w:lang w:bidi="fa-IR"/>
          <w:color w:val="111111"/>
          <w:sz w:val="28"/>
          <w:szCs w:val="28"/>
          <w:rtl/>
        </w:rPr>
        <w:t xml:space="preserve">تهران؛ مينوی؛ شماره نسخه: ۱۲۶</w:t>
      </w:r>
    </w:p>
    <w:p>
      <w:pPr>
        <w:pStyle w:val="BookText"/>
      </w:pPr>
      <w:r>
        <w:rPr>
          <w:rFonts w:ascii="Amiri" w:hAnsi="Amiri" w:eastAsia="Amiri" w:cs="Amiri"/>
          <w:lang w:bidi="ar-SA"/>
          <w:color w:val="111111"/>
          <w:sz w:val="28"/>
          <w:szCs w:val="28"/>
          <w:rtl/>
        </w:rPr>
        <w:t xml:space="preserve">همان نسخه بالا [نشريه: ۶- 638]</w:t>
      </w:r>
    </w:p>
    <w:p>
      <w:pPr>
        <w:pStyle w:val="Heading3"/>
      </w:pPr>
      <w:bookmarkStart w:id="1580" w:name="_Toc1102"/>
      <w:r>
        <w:t>اسكندرنامه / داستان / فارسی</w:t>
      </w:r>
      <w:bookmarkEnd w:id="1580"/>
    </w:p>
    <w:p>
      <w:pPr>
        <w:pStyle w:val="BookText"/>
      </w:pPr>
      <w:r>
        <w:rPr>
          <w:rFonts w:ascii="Times New Roman" w:hAnsi="Times New Roman" w:eastAsia="Times New Roman" w:cs="Times New Roman"/>
          <w:lang w:val="en-US" w:bidi="en-US"/>
          <w:color w:val="111111"/>
          <w:sz w:val="28"/>
          <w:szCs w:val="28"/>
          <w:rtl/>
        </w:rPr>
        <w:t xml:space="preserve">eskandar-nāme</w:t>
      </w:r>
    </w:p>
    <w:p>
      <w:pPr>
        <w:pStyle w:val="BookText"/>
      </w:pPr>
      <w:r>
        <w:rPr>
          <w:rFonts w:ascii="IRNazanin" w:hAnsi="IRNazanin" w:eastAsia="IRNazanin" w:cs="IRNazanin"/>
          <w:lang w:bidi="fa-IR"/>
          <w:color w:val="111111"/>
          <w:sz w:val="28"/>
          <w:szCs w:val="28"/>
          <w:rtl/>
        </w:rPr>
        <w:t xml:space="preserve">به فارسی سه گونه اسكندرنامه ديده شده است: ۱. اسكندرنامه ای كه در قرن ششم مأخذ نظامی گنجوی بوده و بقيه شاعران از وی پيروی نموده اند و مأخذ اسكندرنامه فردوسی علي التحقيق با اسكندرنامه نظامی تفاوت دارد؛ ۲. نسخه ای كه به اسكندرنامه قديم معروف است و از اين كتاب نسخه ای در كتابخانه مرحوم سعيد نفيسی موجود بوده كه آن را از كتاب های قرن پنجم و ششم دانسته اند؛ ۳. اسكندرنامه كه كتابی عظيم است و به ظن</w:t>
      </w:r>
    </w:p>
    <w:p>
      <w:pPr>
        <w:pStyle w:val="BookText"/>
      </w:pPr>
      <w:r>
        <w:rPr>
          <w:rFonts w:ascii="IRNazanin" w:hAnsi="IRNazanin" w:eastAsia="IRNazanin" w:cs="IRNazanin"/>
          <w:lang w:bidi="fa-IR"/>
          <w:color w:val="111111"/>
          <w:sz w:val="28"/>
          <w:szCs w:val="28"/>
          <w:rtl/>
        </w:rPr>
        <w:t xml:space="preserve">نزديك به يقين در دوران صفوی تحرير شده و از منابعی است كه نقال ها در مجالس از آن استفاده مي كرده اند، كه احتما لاً از عربی به فارسی ترجمه شده و گويند مأخذ رواياتش وهب بن منبه بوده است. جامع و يا مترجم اين كتاب معلوم نيست و اين كتاب با وارد شدن به هر كشوری با توجه به آداب و رسوم آن، رنگ همان مردم را به خود گرفته است. چنان كه اسكندر در اين كتاب، مسلمان و موحد و نمازگزار و پيغمبر ايرانی معرفی می شود. اين كتاب در ايران و بمبئی و ... چاپ گرديده است و نسخه های خطی فراوانی در كتابخانه های مختلف دنيا از آن وجود دارد. نسخه های زير داستان اسکندر مقدونی است و لشکرکشی و فعاليت های ايشان در کشور گشايی هاست که به نثر گزارش داده شده است. نسخه ها يكسان و همانند نيست و با هم تفاوت هايي دارد.</w:t>
      </w:r>
    </w:p>
    <w:p>
      <w:pPr>
        <w:pStyle w:val="BookText"/>
      </w:pPr>
      <w:r>
        <w:rPr>
          <w:rFonts w:ascii="IRNazanin" w:hAnsi="IRNazanin" w:eastAsia="IRNazanin" w:cs="IRNazanin"/>
          <w:lang w:bidi="fa-IR"/>
          <w:color w:val="111111"/>
          <w:sz w:val="28"/>
          <w:szCs w:val="28"/>
          <w:rtl/>
        </w:rPr>
        <w:t xml:space="preserve">١. مشهد؛ رضوی؛ شماره نسخه: ۱۵۹۶۷</w:t>
      </w:r>
    </w:p>
    <w:p>
      <w:pPr>
        <w:pStyle w:val="BookText"/>
      </w:pPr>
      <w:r>
        <w:rPr>
          <w:rFonts w:ascii="IRNazanin" w:hAnsi="IRNazanin" w:eastAsia="IRNazanin" w:cs="IRNazanin"/>
          <w:lang w:bidi="fa-IR"/>
          <w:color w:val="111111"/>
          <w:sz w:val="28"/>
          <w:szCs w:val="28"/>
          <w:rtl/>
        </w:rPr>
        <w:t xml:space="preserve">آغاز: نيست بنشين تا هرگاه كه بتو بفرمايم بتقديم رسانی اما چون فيلقوس؛ انجام: فريدونرا نديدند در پاي قصرش بيهوش ديدند بهوشش آوردن.</w:t>
      </w:r>
    </w:p>
    <w:p>
      <w:pPr>
        <w:pStyle w:val="BookText"/>
      </w:pPr>
      <w:r>
        <w:rPr>
          <w:rFonts w:ascii="IRNazanin" w:hAnsi="IRNazanin" w:eastAsia="IRNazanin" w:cs="IRNazanin"/>
          <w:lang w:bidi="fa-IR"/>
          <w:color w:val="111111"/>
          <w:sz w:val="28"/>
          <w:szCs w:val="28"/>
          <w:rtl/>
        </w:rPr>
        <w:t xml:space="preserve">در اين نسخه، داستان از زماني كه فيلقوس در مصر به رمالی زندگی را مي گذراند آغاز مي شود و بعد به كمك همين حرفه وزير پادشاه مصر شده و بعد قيصر روم و به دنبال آن به جنگ با هما دختر بهمن بن اسفنديار برمی خيزد كه از داراب پسر هما شكست مي خورد و نهايتًا از ازدواج داراب و دختر فيلقوس،اسكندر زاده می شود و بعد از آن شروع داستا نهای اغراق آميز از جمله رفتن اسكندر به جنگ داراب بن داراب (برادرش) و به</w:t>
      </w:r>
    </w:p>
    <w:p>
      <w:pPr>
        <w:pStyle w:val="BookText"/>
      </w:pPr>
      <w:r>
        <w:rPr>
          <w:rFonts w:ascii="IRNazanin" w:hAnsi="IRNazanin" w:eastAsia="IRNazanin" w:cs="IRNazanin"/>
          <w:lang w:bidi="fa-IR"/>
          <w:color w:val="111111"/>
          <w:sz w:val="28"/>
          <w:szCs w:val="28"/>
          <w:rtl/>
        </w:rPr>
        <w:t xml:space="preserve">جانب دخمه بهمن و طلسم دخمه را شكستن و برادر را دفن كردن، كشته شدن زينب سامری به دست اسكندر، شفا دادن عيسي (علیه السّلام) نسيم را و رفتن سرهنگ زمان به غار ديو سفيد و ...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باشد. اين نسخه كامل نيست و با آوردن اشعاري از حافظ درحين نقل داستان و لغاتی از جمله و« سنبك » و « حسب الاشاره » و « كشيك »و نيز لغات تركی « الكه » و غيره نشان دهنده اين است كه نسخه متأخر از قرن هشتم بوده و نثر ساده عهد صفوی را يادآور می باشد. اينك قسمتی از داستان را به عنوان نمونه نقل می كنيم : «اما افلاطون با غلامان در سنبك بر روی آب مي رفتند تا بعد از هفت شبانروز حكيم زمان بجزيره افتاد تا انشاالله در جلد سيوم اين دفتر در الكه مغرب بيان كنيم...» خط: نستعليق، بي كا، تا: حدود قرن ۱۲ ؛ افتادگی: آغاز و انجام؛ واگذاری بنياد مستضعفان در شهريور ۱۳۶۷ ؛ كاغذ: حنايی، جلد: ميشن دارچينی ضربی، ۳۰۶ گ، ۲۲ سطر، اندازه: ۲۰</w:t>
      </w:r>
      <w:r>
        <w:rPr>
          <w:rFonts w:ascii="Times New Roman" w:hAnsi="Times New Roman" w:eastAsia="Times New Roman" w:cs="Times New Roman"/>
          <w:lang w:val="en-US" w:bidi="en-US"/>
          <w:color w:val="111111"/>
          <w:sz w:val="28"/>
          <w:szCs w:val="28"/>
          <w:rtl/>
        </w:rPr>
        <w:t xml:space="preserve">×33/5 </w:t>
      </w:r>
      <w:r>
        <w:rPr>
          <w:rFonts w:ascii="IRNazanin" w:hAnsi="IRNazanin" w:eastAsia="IRNazanin" w:cs="IRNazanin"/>
          <w:lang w:bidi="fa-IR"/>
          <w:color w:val="111111"/>
          <w:sz w:val="28"/>
          <w:szCs w:val="28"/>
          <w:rtl/>
        </w:rPr>
        <w:t xml:space="preserve">سم[ف: 17- 10]</w:t>
      </w:r>
    </w:p>
    <w:p>
      <w:pPr>
        <w:pStyle w:val="BookText"/>
      </w:pPr>
      <w:r>
        <w:rPr>
          <w:rFonts w:ascii="IRNazanin" w:hAnsi="IRNazanin" w:eastAsia="IRNazanin" w:cs="IRNazanin"/>
          <w:lang w:bidi="fa-IR"/>
          <w:color w:val="111111"/>
          <w:sz w:val="28"/>
          <w:szCs w:val="28"/>
          <w:rtl/>
        </w:rPr>
        <w:t xml:space="preserve">٢. قم؛ مسجد اعظم؛ شماره نسخه: ۲۶۰۹</w:t>
      </w:r>
    </w:p>
    <w:p>
      <w:pPr>
        <w:pStyle w:val="BookText"/>
      </w:pPr>
      <w:r>
        <w:rPr>
          <w:rFonts w:ascii="IRNazanin" w:hAnsi="IRNazanin" w:eastAsia="IRNazanin" w:cs="IRNazanin"/>
          <w:lang w:bidi="fa-IR"/>
          <w:color w:val="111111"/>
          <w:sz w:val="28"/>
          <w:szCs w:val="28"/>
          <w:rtl/>
        </w:rPr>
        <w:t xml:space="preserve">آغاز: تا شب بسيار از هم کشتند، شام دست کشيدند؛ انجام: زنگيان دور ترا گرفتند صدا آمد بزرگشان را کشت تمام شد الماس آخواست سالاران را بگيرد.</w:t>
      </w:r>
    </w:p>
    <w:p>
      <w:pPr>
        <w:pStyle w:val="BookText"/>
      </w:pPr>
      <w:r>
        <w:rPr>
          <w:rFonts w:ascii="IRNazanin" w:hAnsi="IRNazanin" w:eastAsia="IRNazanin" w:cs="IRNazanin"/>
          <w:lang w:bidi="fa-IR"/>
          <w:color w:val="111111"/>
          <w:sz w:val="28"/>
          <w:szCs w:val="28"/>
          <w:rtl/>
        </w:rPr>
        <w:t xml:space="preserve">داستان اسکندر مقدوني است و لشکرکشي و فعاليت های ايشان درکشورگشايی هاست که به نثر گزارش داده شده است؛ خط: نستعليق، بی كا، تا: قرن ۱۳ ؛ افتادگی: آغاز و انجام؛ جلد: مشمای سياه، ۲۰ گ، ۲۵ سطر، اندازه: ۱۱</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سم [ف مخ: 1- 151]</w:t>
      </w:r>
    </w:p>
    <w:p>
      <w:pPr>
        <w:pStyle w:val="BookText"/>
      </w:pPr>
      <w:r>
        <w:rPr>
          <w:rFonts w:ascii="IRNazanin" w:hAnsi="IRNazanin" w:eastAsia="IRNazanin" w:cs="IRNazanin"/>
          <w:lang w:bidi="fa-IR"/>
          <w:color w:val="111111"/>
          <w:sz w:val="28"/>
          <w:szCs w:val="28"/>
          <w:rtl/>
        </w:rPr>
        <w:t xml:space="preserve">۳. قم؛ مسجد اعظم؛ شماره نسخه: ۳۱۳۷</w:t>
      </w:r>
    </w:p>
    <w:p>
      <w:pPr>
        <w:pStyle w:val="BookText"/>
      </w:pPr>
      <w:r>
        <w:rPr>
          <w:rFonts w:ascii="IRNazanin" w:hAnsi="IRNazanin" w:eastAsia="IRNazanin" w:cs="IRNazanin"/>
          <w:lang w:bidi="fa-IR"/>
          <w:color w:val="111111"/>
          <w:sz w:val="28"/>
          <w:szCs w:val="28"/>
          <w:rtl/>
        </w:rPr>
        <w:t xml:space="preserve">آغاز: بسمله الحمدلله ... اما راويان اخبار و ناقلان آثار و طوطيان شکر شکن و شيرين گفتار چنين روايت کنند که در ولايت طوران پادشاهی بود افراسياب نام که از ملوک کيان بود؛ انجام: روی بجانب اسکندر بن داراب بن بهمن بن اسفنديار آوردکه آن سپاه از نظر غايب شد</w:t>
      </w:r>
    </w:p>
    <w:p>
      <w:pPr>
        <w:pStyle w:val="BookText"/>
      </w:pPr>
      <w:r>
        <w:rPr>
          <w:rFonts w:ascii="IRNazanin" w:hAnsi="IRNazanin" w:eastAsia="IRNazanin" w:cs="IRNazanin"/>
          <w:lang w:bidi="fa-IR"/>
          <w:color w:val="111111"/>
          <w:sz w:val="28"/>
          <w:szCs w:val="28"/>
          <w:rtl/>
        </w:rPr>
        <w:t xml:space="preserve">خط: نستعليق، بی كا، تا: قرن ۱۳ ؛ افتادگی: انجام؛ جلد: تيماج قهوه ای مجدول با ترنج و سر، ۳۶۳ گ، ۲۳ سطر، اندازه: 20</w:t>
      </w:r>
      <w:r>
        <w:rPr>
          <w:rFonts w:ascii="Times New Roman" w:hAnsi="Times New Roman" w:eastAsia="Times New Roman" w:cs="Times New Roman"/>
          <w:lang w:val="en-US" w:bidi="en-US"/>
          <w:color w:val="111111"/>
          <w:sz w:val="28"/>
          <w:szCs w:val="28"/>
          <w:rtl/>
        </w:rPr>
        <w:t xml:space="preserve">×33</w:t>
      </w:r>
      <w:r>
        <w:rPr>
          <w:rFonts w:ascii="IRNazanin" w:hAnsi="IRNazanin" w:eastAsia="IRNazanin" w:cs="IRNazanin"/>
          <w:lang w:bidi="fa-IR"/>
          <w:color w:val="111111"/>
          <w:sz w:val="28"/>
          <w:szCs w:val="28"/>
          <w:rtl/>
        </w:rPr>
        <w:t xml:space="preserve">سم [ف مخ: 1- 151]</w:t>
      </w:r>
    </w:p>
    <w:p>
      <w:pPr>
        <w:pStyle w:val="BookText"/>
      </w:pPr>
      <w:r>
        <w:rPr>
          <w:rFonts w:ascii="Amiri" w:hAnsi="Amiri" w:eastAsia="Amiri" w:cs="Amiri"/>
          <w:lang w:bidi="ar-SA"/>
          <w:color w:val="111111"/>
          <w:sz w:val="28"/>
          <w:szCs w:val="28"/>
          <w:rtl/>
        </w:rPr>
        <w:t xml:space="preserve">۴. تهران؛ الهيات؛ شماره نسخه: ۱۵</w:t>
      </w:r>
    </w:p>
    <w:p>
      <w:pPr>
        <w:pStyle w:val="BookText"/>
      </w:pPr>
      <w:r>
        <w:rPr>
          <w:rFonts w:ascii="IRNazanin" w:hAnsi="IRNazanin" w:eastAsia="IRNazanin" w:cs="IRNazanin"/>
          <w:lang w:bidi="fa-IR"/>
          <w:color w:val="111111"/>
          <w:sz w:val="28"/>
          <w:szCs w:val="28"/>
          <w:rtl/>
        </w:rPr>
        <w:t xml:space="preserve">انشای تازه ای است از داستان اسكندر مقدونی؛ خط: نستعليق، بی كا، تا: قرن ۱۲ و ۱۳ ؛ دارای جدول و بيست و شش تصوير مجلس مشكی و شنگرف و زرين و لاجورد و سبز؛ كاغذ:فرنگی، جلد: تيماج قهوه ای ضربی، ۲۱۹ گ، ۲۳ سطر (14/5</w:t>
      </w:r>
      <w:r>
        <w:rPr>
          <w:rFonts w:ascii="Times New Roman" w:hAnsi="Times New Roman" w:eastAsia="Times New Roman" w:cs="Times New Roman"/>
          <w:lang w:val="en-US" w:bidi="en-US"/>
          <w:color w:val="111111"/>
          <w:sz w:val="28"/>
          <w:szCs w:val="28"/>
          <w:rtl/>
        </w:rPr>
        <w:t xml:space="preserve">×26) </w:t>
      </w:r>
      <w:r>
        <w:rPr>
          <w:rFonts w:ascii="Amiri" w:hAnsi="Amiri" w:eastAsia="Amiri" w:cs="Amiri"/>
          <w:lang w:bidi="ar-SA"/>
          <w:color w:val="111111"/>
          <w:sz w:val="28"/>
          <w:szCs w:val="28"/>
          <w:rtl/>
        </w:rPr>
        <w:t xml:space="preserve">، قطع: رحلي، اندازه: 20/5</w:t>
      </w:r>
      <w:r>
        <w:rPr>
          <w:rFonts w:ascii="Times New Roman" w:hAnsi="Times New Roman" w:eastAsia="Times New Roman" w:cs="Times New Roman"/>
          <w:lang w:val="en-US" w:bidi="en-US"/>
          <w:color w:val="111111"/>
          <w:sz w:val="28"/>
          <w:szCs w:val="28"/>
          <w:rtl/>
        </w:rPr>
        <w:t xml:space="preserve">×34</w:t>
      </w:r>
      <w:r>
        <w:rPr>
          <w:rFonts w:ascii="IRNazanin" w:hAnsi="IRNazanin" w:eastAsia="IRNazanin" w:cs="IRNazanin"/>
          <w:lang w:bidi="fa-IR"/>
          <w:color w:val="111111"/>
          <w:sz w:val="28"/>
          <w:szCs w:val="28"/>
          <w:rtl/>
        </w:rPr>
        <w:t xml:space="preserve">سم[ف:9]</w:t>
      </w:r>
    </w:p>
    <w:p>
      <w:pPr>
        <w:pStyle w:val="BookText"/>
      </w:pPr>
      <w:r>
        <w:rPr>
          <w:rFonts w:ascii="Amiri" w:hAnsi="Amiri" w:eastAsia="Amiri" w:cs="Amiri"/>
          <w:lang w:bidi="ar-SA"/>
          <w:color w:val="111111"/>
          <w:sz w:val="28"/>
          <w:szCs w:val="28"/>
          <w:rtl/>
        </w:rPr>
        <w:t xml:space="preserve">۵. مشهد؛ مدرسه ميرزا جعفر؛ شماره نسخه: ۱۸۷</w:t>
      </w:r>
    </w:p>
    <w:p>
      <w:pPr>
        <w:pStyle w:val="BookText"/>
      </w:pPr>
      <w:r>
        <w:rPr>
          <w:rFonts w:ascii="IRNazanin" w:hAnsi="IRNazanin" w:eastAsia="IRNazanin" w:cs="IRNazanin"/>
          <w:lang w:bidi="fa-IR"/>
          <w:color w:val="111111"/>
          <w:sz w:val="28"/>
          <w:szCs w:val="28"/>
          <w:rtl/>
        </w:rPr>
        <w:t xml:space="preserve">خط: شكسته نستعليق، بي كا، تا: قرن ۱۳ ؛ افتادگی: آغاز و انجام؛  قطع: ربعی [چهار كتابخانه مشهد-ف: - ۲۷]</w:t>
      </w:r>
    </w:p>
    <w:p>
      <w:pPr>
        <w:pStyle w:val="BookText"/>
      </w:pPr>
      <w:r>
        <w:rPr>
          <w:rFonts w:ascii="IRNazanin" w:hAnsi="IRNazanin" w:eastAsia="IRNazanin" w:cs="IRNazanin"/>
          <w:lang w:bidi="fa-IR"/>
          <w:color w:val="111111"/>
          <w:sz w:val="28"/>
          <w:szCs w:val="28"/>
          <w:rtl/>
        </w:rPr>
        <w:t xml:space="preserve">۶. تهران؛ مجلس؛ شماره نسخه: ۸۲۵۵</w:t>
      </w:r>
    </w:p>
    <w:p>
      <w:pPr>
        <w:pStyle w:val="BookText"/>
      </w:pPr>
      <w:r>
        <w:rPr>
          <w:rFonts w:ascii="IRNazanin" w:hAnsi="IRNazanin" w:eastAsia="IRNazanin" w:cs="IRNazanin"/>
          <w:lang w:bidi="fa-IR"/>
          <w:color w:val="111111"/>
          <w:sz w:val="28"/>
          <w:szCs w:val="28"/>
          <w:rtl/>
        </w:rPr>
        <w:t xml:space="preserve">آغاز: آغاز داستان اسكندرنامه جلد اول ... بسمله حمد بيقياس حكيمی را سزاست كه زورق ماه و خورشيد؛ انجام: از آنجا باد بر قيطور پيچيده آتش زبانه كشيده بالا رفت و بآسمان دويم رسيد</w:t>
      </w:r>
    </w:p>
    <w:p>
      <w:pPr>
        <w:pStyle w:val="BookText"/>
      </w:pPr>
      <w:r>
        <w:rPr>
          <w:rFonts w:ascii="IRNazanin" w:hAnsi="IRNazanin" w:eastAsia="IRNazanin" w:cs="IRNazanin"/>
          <w:lang w:bidi="fa-IR"/>
          <w:color w:val="111111"/>
          <w:sz w:val="28"/>
          <w:szCs w:val="28"/>
          <w:rtl/>
        </w:rPr>
        <w:t xml:space="preserve">خط: نستعليق تحريری، بی كا، تا: احتما لاً قرن ۱۳ ؛ افتادگی: انجام؛ مجدول نارنجی و لاجورد، دارای سرلوح آب و رنگ، دارای چند مجلس نقاشی آب و رنگ ضعيف؛ جلد: تيماج قهوه ای و عطف تيماج قرمز، ۱۹۲ گ، ۲۴ سطر، اندازه: 20/5</w:t>
      </w:r>
      <w:r>
        <w:rPr>
          <w:rFonts w:ascii="Times New Roman" w:hAnsi="Times New Roman" w:eastAsia="Times New Roman" w:cs="Times New Roman"/>
          <w:lang w:val="en-US" w:bidi="en-US"/>
          <w:color w:val="111111"/>
          <w:sz w:val="28"/>
          <w:szCs w:val="28"/>
          <w:rtl/>
        </w:rPr>
        <w:t xml:space="preserve">×32/5 </w:t>
      </w:r>
      <w:r>
        <w:rPr>
          <w:rFonts w:ascii="IRNazanin" w:hAnsi="IRNazanin" w:eastAsia="IRNazanin" w:cs="IRNazanin"/>
          <w:lang w:bidi="fa-IR"/>
          <w:color w:val="111111"/>
          <w:sz w:val="28"/>
          <w:szCs w:val="28"/>
          <w:rtl/>
        </w:rPr>
        <w:t xml:space="preserve">سم[ف: 2/ 27- 32]</w:t>
      </w:r>
    </w:p>
    <w:p>
      <w:pPr>
        <w:pStyle w:val="BookText"/>
      </w:pPr>
      <w:r>
        <w:rPr>
          <w:rFonts w:ascii="IRNazanin" w:hAnsi="IRNazanin" w:eastAsia="IRNazanin" w:cs="IRNazanin"/>
          <w:lang w:bidi="fa-IR"/>
          <w:color w:val="111111"/>
          <w:sz w:val="28"/>
          <w:szCs w:val="28"/>
          <w:rtl/>
        </w:rPr>
        <w:t xml:space="preserve">۷. تهران؛ دانشگاه؛ شماره نسخه: ۹۸۳۸</w:t>
      </w:r>
    </w:p>
    <w:p>
      <w:pPr>
        <w:pStyle w:val="BookText"/>
      </w:pPr>
      <w:r>
        <w:rPr>
          <w:rFonts w:ascii="IRNazanin" w:hAnsi="IRNazanin" w:eastAsia="IRNazanin" w:cs="IRNazanin"/>
          <w:lang w:bidi="fa-IR"/>
          <w:color w:val="111111"/>
          <w:sz w:val="28"/>
          <w:szCs w:val="28"/>
          <w:rtl/>
        </w:rPr>
        <w:t xml:space="preserve">خط: نستعليق، بی كا، تا: قرن ۱۳ ؛ از آن ملا علی اكبر بن ملا غلام رضا؛ كاغذ: فرنگی، جلد: تيماج مشكی ضربی مقوايی، ۲۲۰ گ،29سطر(17</w:t>
      </w: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 قطع: رحلی، اندازه: ۲۲ </w:t>
      </w:r>
      <w:r>
        <w:rPr>
          <w:rFonts w:ascii="Times New Roman" w:hAnsi="Times New Roman" w:eastAsia="Times New Roman" w:cs="Times New Roman"/>
          <w:lang w:val="en-US" w:bidi="en-US"/>
          <w:color w:val="111111"/>
          <w:sz w:val="28"/>
          <w:szCs w:val="28"/>
          <w:rtl/>
        </w:rPr>
        <w:t xml:space="preserve">× 33</w:t>
      </w:r>
      <w:r>
        <w:rPr>
          <w:rFonts w:ascii="IRNazanin" w:hAnsi="IRNazanin" w:eastAsia="IRNazanin" w:cs="IRNazanin"/>
          <w:lang w:bidi="fa-IR"/>
          <w:color w:val="111111"/>
          <w:sz w:val="28"/>
          <w:szCs w:val="28"/>
          <w:rtl/>
        </w:rPr>
        <w:t xml:space="preserve">سم[ف: 17- 493]</w:t>
      </w:r>
    </w:p>
    <w:p>
      <w:pPr>
        <w:pStyle w:val="BookText"/>
      </w:pPr>
      <w:r>
        <w:rPr>
          <w:rFonts w:ascii="Amiri" w:hAnsi="Amiri" w:eastAsia="Amiri" w:cs="Amiri"/>
          <w:lang w:bidi="ar-SA"/>
          <w:color w:val="111111"/>
          <w:sz w:val="28"/>
          <w:szCs w:val="28"/>
          <w:rtl/>
        </w:rPr>
        <w:t xml:space="preserve">۸. تهران؛ ملك؛ شماره نسخه: ۳۰۵۰</w:t>
      </w:r>
    </w:p>
    <w:p>
      <w:pPr>
        <w:pStyle w:val="BookText"/>
      </w:pPr>
      <w:r>
        <w:rPr>
          <w:rFonts w:ascii="IRNazanin" w:hAnsi="IRNazanin" w:eastAsia="IRNazanin" w:cs="IRNazanin"/>
          <w:lang w:bidi="fa-IR"/>
          <w:color w:val="111111"/>
          <w:sz w:val="28"/>
          <w:szCs w:val="28"/>
          <w:rtl/>
        </w:rPr>
        <w:t xml:space="preserve">آغاز: رفتن شاه هفت کشور ملک دادگر خسرو نامور سکندر ذوالقرنين به ترکستان؛ انجام: که ان شاء الله ببينم چون خواهد شد.</w:t>
      </w:r>
    </w:p>
    <w:p>
      <w:pPr>
        <w:pStyle w:val="BookText"/>
      </w:pPr>
      <w:r>
        <w:rPr>
          <w:rFonts w:ascii="IRNazanin" w:hAnsi="IRNazanin" w:eastAsia="IRNazanin" w:cs="IRNazanin"/>
          <w:lang w:bidi="fa-IR"/>
          <w:color w:val="111111"/>
          <w:sz w:val="28"/>
          <w:szCs w:val="28"/>
          <w:rtl/>
        </w:rPr>
        <w:t xml:space="preserve">خط: شكسته، نستعليق، کا: رضا علی، تا: ۱۲ ربيع الثانی ۱۲۰۸ ق، براي کربلائی محمد شريف مشهدی؛ كاغذ: کاغذ فستقی، جلد:  ميشن سبز، ۲۰۲ گ، ۱۸ سطر، اندازه: 18/8</w:t>
      </w:r>
      <w:r>
        <w:rPr>
          <w:rFonts w:ascii="Times New Roman" w:hAnsi="Times New Roman" w:eastAsia="Times New Roman" w:cs="Times New Roman"/>
          <w:lang w:val="en-US" w:bidi="en-US"/>
          <w:color w:val="111111"/>
          <w:sz w:val="28"/>
          <w:szCs w:val="28"/>
          <w:rtl/>
        </w:rPr>
        <w:t xml:space="preserve">×30/7</w:t>
      </w:r>
      <w:r>
        <w:rPr>
          <w:rFonts w:ascii="IRNazanin" w:hAnsi="IRNazanin" w:eastAsia="IRNazanin" w:cs="IRNazanin"/>
          <w:lang w:bidi="fa-IR"/>
          <w:color w:val="111111"/>
          <w:sz w:val="28"/>
          <w:szCs w:val="28"/>
          <w:rtl/>
        </w:rPr>
        <w:t xml:space="preserve">سم[ف: 2- 26]</w:t>
      </w:r>
    </w:p>
    <w:p>
      <w:pPr>
        <w:pStyle w:val="BookText"/>
      </w:pPr>
      <w:r>
        <w:rPr>
          <w:rFonts w:ascii="IRNazanin" w:hAnsi="IRNazanin" w:eastAsia="IRNazanin" w:cs="IRNazanin"/>
          <w:lang w:bidi="fa-IR"/>
          <w:color w:val="111111"/>
          <w:sz w:val="28"/>
          <w:szCs w:val="28"/>
          <w:rtl/>
        </w:rPr>
        <w:t xml:space="preserve">٩. قم؛ مسجد اعظم؛ شماره نسخه: ۳۱۳۶</w:t>
      </w:r>
    </w:p>
    <w:p>
      <w:pPr>
        <w:pStyle w:val="BookText"/>
      </w:pPr>
      <w:r>
        <w:rPr>
          <w:rFonts w:ascii="IRNazanin" w:hAnsi="IRNazanin" w:eastAsia="IRNazanin" w:cs="IRNazanin"/>
          <w:lang w:bidi="fa-IR"/>
          <w:color w:val="111111"/>
          <w:sz w:val="28"/>
          <w:szCs w:val="28"/>
          <w:rtl/>
        </w:rPr>
        <w:t xml:space="preserve">آغاز: کشته شدن داراب از دست وزيران نمود و خبر شدن اسکندر و ايشان را بقصاص رسانيدن، بعد از چهل روز داراب را بر فراز تخت پدر نشانيدند؛ انجام: اما راويان اخبار چنين روايت کرده اند که فيلقور خلعت ايالت روم را پوشيد و در روم رسيد بتکده ها را خراب کرده</w:t>
      </w:r>
    </w:p>
    <w:p>
      <w:pPr>
        <w:pStyle w:val="BookText"/>
      </w:pPr>
      <w:r>
        <w:rPr>
          <w:rFonts w:ascii="IRNazanin" w:hAnsi="IRNazanin" w:eastAsia="IRNazanin" w:cs="IRNazanin"/>
          <w:lang w:bidi="fa-IR"/>
          <w:color w:val="111111"/>
          <w:sz w:val="28"/>
          <w:szCs w:val="28"/>
          <w:rtl/>
        </w:rPr>
        <w:t xml:space="preserve">جلد اول و دوم؛ خط: نستعليق نازيبا، بی كا، تا: جمادی الاول ۱۲۶۵ ق (پايان جلد اول)؛ افتادگی: آغاز و انجام؛ جلد: مقوا با روکش کاغذاسليمی، ۲۶۵ گ، ۲۰ سطر، اندازه: ۲۰</w:t>
      </w:r>
      <w:r>
        <w:rPr>
          <w:rFonts w:ascii="Times New Roman" w:hAnsi="Times New Roman" w:eastAsia="Times New Roman" w:cs="Times New Roman"/>
          <w:lang w:val="en-US" w:bidi="en-US"/>
          <w:color w:val="111111"/>
          <w:sz w:val="28"/>
          <w:szCs w:val="28"/>
          <w:rtl/>
        </w:rPr>
        <w:t xml:space="preserve">×31 </w:t>
      </w:r>
      <w:r>
        <w:rPr>
          <w:rFonts w:ascii="IRNazanin" w:hAnsi="IRNazanin" w:eastAsia="IRNazanin" w:cs="IRNazanin"/>
          <w:lang w:bidi="fa-IR"/>
          <w:color w:val="111111"/>
          <w:sz w:val="28"/>
          <w:szCs w:val="28"/>
          <w:rtl/>
        </w:rPr>
        <w:t xml:space="preserve">سم[ مخ: ۱- 151]</w:t>
      </w:r>
    </w:p>
    <w:p>
      <w:pPr>
        <w:pStyle w:val="BookText"/>
      </w:pPr>
      <w:r>
        <w:rPr>
          <w:rFonts w:ascii="IRNazanin" w:hAnsi="IRNazanin" w:eastAsia="IRNazanin" w:cs="IRNazanin"/>
          <w:lang w:bidi="fa-IR"/>
          <w:color w:val="111111"/>
          <w:sz w:val="28"/>
          <w:szCs w:val="28"/>
          <w:rtl/>
        </w:rPr>
        <w:t xml:space="preserve">١٠ . مشهد؛ رضوی؛ شماره نسخه: ۱۳۲۹۸</w:t>
      </w:r>
    </w:p>
    <w:p>
      <w:pPr>
        <w:pStyle w:val="BookText"/>
      </w:pPr>
      <w:r>
        <w:rPr>
          <w:rFonts w:ascii="IRNazanin" w:hAnsi="IRNazanin" w:eastAsia="IRNazanin" w:cs="IRNazanin"/>
          <w:lang w:bidi="fa-IR"/>
          <w:color w:val="111111"/>
          <w:sz w:val="28"/>
          <w:szCs w:val="28"/>
          <w:rtl/>
        </w:rPr>
        <w:t xml:space="preserve">آغاز: فرود بيافرد افرود آمدند؛ انجام: همراه رفتند در حوالی متفاوت با نسخه های ديگر؛ خط: نستعليق، کا: علی صراف  خراسانی، تا: - ۱۳۳۰۱۳۲۲ ق؛ افتادگی: آغاز و انجام [الفبائی: ۴۹]</w:t>
      </w:r>
    </w:p>
    <w:p>
      <w:pPr>
        <w:pStyle w:val="BookText"/>
      </w:pPr>
      <w:r>
        <w:rPr>
          <w:rFonts w:ascii="IRNazanin" w:hAnsi="IRNazanin" w:eastAsia="IRNazanin" w:cs="IRNazanin"/>
          <w:lang w:bidi="fa-IR"/>
          <w:color w:val="111111"/>
          <w:sz w:val="28"/>
          <w:szCs w:val="28"/>
          <w:rtl/>
        </w:rPr>
        <w:t xml:space="preserve">١١ . قم؛ مسجد اعظم؛ شماره نسخه: ۱۳۶۸</w:t>
      </w:r>
    </w:p>
    <w:p>
      <w:pPr>
        <w:pStyle w:val="BookText"/>
      </w:pPr>
      <w:r>
        <w:rPr>
          <w:rFonts w:ascii="IRNazanin" w:hAnsi="IRNazanin" w:eastAsia="IRNazanin" w:cs="IRNazanin"/>
          <w:lang w:bidi="fa-IR"/>
          <w:color w:val="111111"/>
          <w:sz w:val="28"/>
          <w:szCs w:val="28"/>
          <w:rtl/>
        </w:rPr>
        <w:t xml:space="preserve">آغاز: اسبشان داد مرخص کرد روز ديگر آمدند اردو ... طبل رزم زدند روز ديگر محمد لعل را کشت مغلوبه شد شکست به کفر افتاد؛ انجام: نمرود حکيم را گفت برو درشهر بگو نمرود آمده</w:t>
      </w:r>
    </w:p>
    <w:p>
      <w:pPr>
        <w:pStyle w:val="BookText"/>
      </w:pPr>
      <w:r>
        <w:rPr>
          <w:rFonts w:ascii="IRNazanin" w:hAnsi="IRNazanin" w:eastAsia="IRNazanin" w:cs="IRNazanin"/>
          <w:lang w:bidi="fa-IR"/>
          <w:color w:val="111111"/>
          <w:sz w:val="28"/>
          <w:szCs w:val="28"/>
          <w:rtl/>
        </w:rPr>
        <w:t xml:space="preserve">خط: تحريری، بی كا، بی تا؛ افتادگی: آغاز و انجام؛جلد: مقوا،  ۵۹ گ، مختلف السطر، اندازه: ۱۱</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سم[ف مخ: 1- 150]</w:t>
      </w:r>
    </w:p>
    <w:p>
      <w:pPr>
        <w:pStyle w:val="BookText"/>
      </w:pPr>
      <w:r>
        <w:rPr>
          <w:rFonts w:ascii="IRNazanin" w:hAnsi="IRNazanin" w:eastAsia="IRNazanin" w:cs="IRNazanin"/>
          <w:lang w:bidi="fa-IR"/>
          <w:color w:val="111111"/>
          <w:sz w:val="28"/>
          <w:szCs w:val="28"/>
          <w:rtl/>
        </w:rPr>
        <w:t xml:space="preserve">١٢ . قم؛ مسجد اعظم؛ شماره نسخه: ۱۴۲۶</w:t>
      </w:r>
    </w:p>
    <w:p>
      <w:pPr>
        <w:pStyle w:val="BookText"/>
      </w:pPr>
      <w:r>
        <w:rPr>
          <w:rFonts w:ascii="IRNazanin" w:hAnsi="IRNazanin" w:eastAsia="IRNazanin" w:cs="IRNazanin"/>
          <w:lang w:bidi="fa-IR"/>
          <w:color w:val="111111"/>
          <w:sz w:val="28"/>
          <w:szCs w:val="28"/>
          <w:rtl/>
        </w:rPr>
        <w:t xml:space="preserve">آغاز: شانزده روز شد آمد ديد ريختند حکيم ديد جنگ درگرفت آمد که با دعوی عقد صبح شد شاهزاده ديد؛ انجام: خاست برخيزد چسبيد گريه کرد بيدار شد بردش به قضای حاجت آورد حب بخورد به او اسم داد</w:t>
      </w:r>
    </w:p>
    <w:p>
      <w:pPr>
        <w:pStyle w:val="BookText"/>
      </w:pPr>
      <w:r>
        <w:rPr>
          <w:rFonts w:ascii="IRNazanin" w:hAnsi="IRNazanin" w:eastAsia="IRNazanin" w:cs="IRNazanin"/>
          <w:lang w:bidi="fa-IR"/>
          <w:color w:val="111111"/>
          <w:sz w:val="28"/>
          <w:szCs w:val="28"/>
          <w:rtl/>
        </w:rPr>
        <w:t xml:space="preserve">خط: نستعليق، بی كا، بی تا؛ افتادگی: آغاز و انجام؛ جلد: مقوا، ۵۳ گ، مختلف السطر، اندازه: ۱۱</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 [ ف مخ: 1- 150]</w:t>
      </w:r>
    </w:p>
    <w:p>
      <w:pPr>
        <w:pStyle w:val="BookText"/>
      </w:pPr>
      <w:r>
        <w:rPr>
          <w:rFonts w:ascii="IRNazanin" w:hAnsi="IRNazanin" w:eastAsia="IRNazanin" w:cs="IRNazanin"/>
          <w:lang w:bidi="fa-IR"/>
          <w:color w:val="111111"/>
          <w:sz w:val="28"/>
          <w:szCs w:val="28"/>
          <w:rtl/>
        </w:rPr>
        <w:t xml:space="preserve">١٣ . قم؛ مسجد اعظم؛ شماره نسخه: ۱۴۳۰</w:t>
      </w:r>
    </w:p>
    <w:p>
      <w:pPr>
        <w:pStyle w:val="BookText"/>
      </w:pPr>
      <w:r>
        <w:rPr>
          <w:rFonts w:ascii="IRNazanin" w:hAnsi="IRNazanin" w:eastAsia="IRNazanin" w:cs="IRNazanin"/>
          <w:lang w:bidi="fa-IR"/>
          <w:color w:val="111111"/>
          <w:sz w:val="28"/>
          <w:szCs w:val="28"/>
          <w:rtl/>
        </w:rPr>
        <w:t xml:space="preserve">آغاز: تاخت از عقب آمد بابا برگشت با مظراب او را کشت فرار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324" w:name="pg20365_260449"/>
    <w:bookmarkEnd w:id="324"/>
    <w:p>
      <w:pPr>
        <w:pStyle w:val="BookText"/>
      </w:pPr>
      <w:r>
        <w:rPr>
          <w:rFonts w:ascii="IRNazanin" w:hAnsi="IRNazanin" w:eastAsia="IRNazanin" w:cs="IRNazanin"/>
          <w:lang w:bidi="fa-IR"/>
          <w:color w:val="111111"/>
          <w:sz w:val="28"/>
          <w:szCs w:val="28"/>
          <w:rtl/>
        </w:rPr>
        <w:t xml:space="preserve">کرد؛ انجام: نتردا دويد مايل شد بوسيد گفت بعد برگشت نثر و ارسلان فر از اين گفت مرا به بحريدنت وارسلان را آوردند</w:t>
      </w:r>
    </w:p>
    <w:p>
      <w:pPr>
        <w:pStyle w:val="BookText"/>
      </w:pPr>
      <w:r>
        <w:rPr>
          <w:rFonts w:ascii="IRNazanin" w:hAnsi="IRNazanin" w:eastAsia="IRNazanin" w:cs="IRNazanin"/>
          <w:lang w:bidi="fa-IR"/>
          <w:color w:val="111111"/>
          <w:sz w:val="28"/>
          <w:szCs w:val="28"/>
          <w:rtl/>
        </w:rPr>
        <w:t xml:space="preserve">خط: نستعليق، بی كا، بی تا؛ افتادگی: آغاز و انجام؛ جلد: مقوا، ۷۲ گ، مختلف السطر، اندازه: ۱۱</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سم[ف مخ: 1- 150]</w:t>
      </w:r>
    </w:p>
    <w:p>
      <w:pPr>
        <w:pStyle w:val="BookText"/>
      </w:pPr>
      <w:r>
        <w:rPr>
          <w:rFonts w:ascii="IRNazanin" w:hAnsi="IRNazanin" w:eastAsia="IRNazanin" w:cs="IRNazanin"/>
          <w:lang w:bidi="fa-IR"/>
          <w:color w:val="111111"/>
          <w:sz w:val="28"/>
          <w:szCs w:val="28"/>
          <w:rtl/>
        </w:rPr>
        <w:t xml:space="preserve">١۴ . قم؛ مسجد اعظم؛ شماره نسخه: ۱۴۳۵</w:t>
      </w:r>
    </w:p>
    <w:p>
      <w:pPr>
        <w:pStyle w:val="BookText"/>
      </w:pPr>
      <w:r>
        <w:rPr>
          <w:rFonts w:ascii="IRNazanin" w:hAnsi="IRNazanin" w:eastAsia="IRNazanin" w:cs="IRNazanin"/>
          <w:lang w:bidi="fa-IR"/>
          <w:color w:val="111111"/>
          <w:sz w:val="28"/>
          <w:szCs w:val="28"/>
          <w:rtl/>
        </w:rPr>
        <w:t xml:space="preserve">آغاز: با سپاه آمدند کيار جلد گرفت مغلوبه شد الوس به خبر شد با سپاه بيرون آمدند؛ انجام: عرندس گفت اين پيل ها را بفرستيد به سنکر بست</w:t>
      </w:r>
    </w:p>
    <w:p>
      <w:pPr>
        <w:pStyle w:val="BookText"/>
      </w:pPr>
      <w:r>
        <w:rPr>
          <w:rFonts w:ascii="IRNazanin" w:hAnsi="IRNazanin" w:eastAsia="IRNazanin" w:cs="IRNazanin"/>
          <w:lang w:bidi="fa-IR"/>
          <w:color w:val="111111"/>
          <w:sz w:val="28"/>
          <w:szCs w:val="28"/>
          <w:rtl/>
        </w:rPr>
        <w:t xml:space="preserve">قسمتي از اسکندرنامه است؛ خط: نستعليق، بی كا، بی تا؛ افتادگی: آغاز و انجام؛ جلد: مقوا، ۱۲۷ گ، مختلف السطر، اندازه: 11</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مخ: ۱ - 151]</w:t>
      </w:r>
    </w:p>
    <w:p>
      <w:pPr>
        <w:pStyle w:val="BookText"/>
      </w:pPr>
      <w:r>
        <w:rPr>
          <w:rFonts w:ascii="IRNazanin" w:hAnsi="IRNazanin" w:eastAsia="IRNazanin" w:cs="IRNazanin"/>
          <w:lang w:bidi="fa-IR"/>
          <w:color w:val="111111"/>
          <w:sz w:val="28"/>
          <w:szCs w:val="28"/>
          <w:rtl/>
        </w:rPr>
        <w:t xml:space="preserve">١۵ . مشهد؛ رضوی؛ شماره نسخه: ۲۲۵۶۹</w:t>
      </w:r>
    </w:p>
    <w:p>
      <w:pPr>
        <w:pStyle w:val="BookText"/>
      </w:pPr>
      <w:r>
        <w:rPr>
          <w:rFonts w:ascii="IRNazanin" w:hAnsi="IRNazanin" w:eastAsia="IRNazanin" w:cs="IRNazanin"/>
          <w:lang w:bidi="fa-IR"/>
          <w:color w:val="111111"/>
          <w:sz w:val="28"/>
          <w:szCs w:val="28"/>
          <w:rtl/>
        </w:rPr>
        <w:t xml:space="preserve">آغاز: فرود بيا فردا فرود آمدند الماس بغول گفت برو نقابدار را بياور؛ انجام: دويمی را شقه كرد خود طرحام آمد نقابدار گفت حالا دير وقت است.</w:t>
      </w:r>
    </w:p>
    <w:p>
      <w:pPr>
        <w:pStyle w:val="BookText"/>
      </w:pPr>
      <w:r>
        <w:rPr>
          <w:rFonts w:ascii="IRNazanin" w:hAnsi="IRNazanin" w:eastAsia="IRNazanin" w:cs="IRNazanin"/>
          <w:lang w:bidi="fa-IR"/>
          <w:color w:val="111111"/>
          <w:sz w:val="28"/>
          <w:szCs w:val="28"/>
          <w:rtl/>
        </w:rPr>
        <w:t xml:space="preserve">داستان مفصل و عاميانه ای است از اسكندر و ياران افسانه ای او (مهتر نسيم، الماس خان، ارسطو، افلاطون، بابا، ...) با تحرير جديد كه جنبه ادبی ندارد و با زبان محاور های و مناسب برای نقل در قهوه خانه ها و مجالس نوشته شده است. پس از شرح واقعه ای، پرداختن به یک شخصیت از  داستان را با عبارت  « بشنو از » شروع  می  كند كه برای آشنايی با نثر آن، قسمتی از آن را ذكر مي كنيم:« بشنو از الماس جادو فرستاد به بيند امير بچه خيال است آمد ديد ميايد برگشت خبر داد الماس آمد ديدن الب باو گفت او جوهرغلامش را فرستاد »؛خط: نستعليق تحريری، کا: ميرزا علی حسينی ؛</w:t>
      </w:r>
    </w:p>
    <w:p>
      <w:pPr>
        <w:pStyle w:val="BookText"/>
      </w:pPr>
      <w:r>
        <w:rPr>
          <w:rFonts w:ascii="IRNazanin" w:hAnsi="IRNazanin" w:eastAsia="IRNazanin" w:cs="IRNazanin"/>
          <w:lang w:bidi="fa-IR"/>
          <w:color w:val="111111"/>
          <w:sz w:val="28"/>
          <w:szCs w:val="28"/>
          <w:rtl/>
        </w:rPr>
        <w:t xml:space="preserve">الاصل خراسانی، تا: ۱۳۲۲ تا ۱۳۳۱ ؛ افتادگی: آغاز و انجام؛ اوراق آن در صحافی پس و پيش شده، بنابراين نمي توان شمه ای از داستان را در اينجا نقل كرد. از انتهای بخش های داستان چنين برمی آيد كه كاتب اين كتاب را طی ده سال برای مرشد خود نوشته است، در برگ ۱۴۸ آمده است</w:t>
      </w:r>
    </w:p>
    <w:p>
      <w:pPr>
        <w:pStyle w:val="BookText"/>
      </w:pPr>
      <w:r>
        <w:rPr>
          <w:rFonts w:ascii="IRNazanin" w:hAnsi="IRNazanin" w:eastAsia="IRNazanin" w:cs="IRNazanin"/>
          <w:lang w:bidi="fa-IR"/>
          <w:color w:val="111111"/>
          <w:sz w:val="28"/>
          <w:szCs w:val="28"/>
          <w:rtl/>
        </w:rPr>
        <w:t xml:space="preserve">«كتبه اقل السادات ميرزا  علی الحسينی الاصل خراسانی از جهت مخدومی ها كربلائی مهدی درويش اختيار در كمال دماغ سوختگی و پريشانی صورت اختتام يافت».و نيز در برگ ۳۵۳ آمده ،«.  بقلم درويش ... بجهت  سرور مكرم جناب كربلائی ... مرشد خودم يادگار نوشته شد.»؛</w:t>
      </w:r>
    </w:p>
    <w:p>
      <w:pPr>
        <w:pStyle w:val="BookText"/>
      </w:pPr>
      <w:r>
        <w:rPr>
          <w:rFonts w:ascii="IRNazanin" w:hAnsi="IRNazanin" w:eastAsia="IRNazanin" w:cs="IRNazanin"/>
          <w:lang w:bidi="fa-IR"/>
          <w:color w:val="111111"/>
          <w:sz w:val="28"/>
          <w:szCs w:val="28"/>
          <w:rtl/>
        </w:rPr>
        <w:t xml:space="preserve">كاغذ: نخودی و حنايی كمرنگ، جلد: تيماج ضربی دارچينی،  ۶۰۵ گ، مختلف السطر، اندازه: 10/7</w:t>
      </w:r>
      <w:r>
        <w:rPr>
          <w:rFonts w:ascii="Times New Roman" w:hAnsi="Times New Roman" w:eastAsia="Times New Roman" w:cs="Times New Roman"/>
          <w:lang w:val="en-US" w:bidi="en-US"/>
          <w:color w:val="111111"/>
          <w:sz w:val="28"/>
          <w:szCs w:val="28"/>
          <w:rtl/>
        </w:rPr>
        <w:t xml:space="preserve">×17/3 </w:t>
      </w:r>
      <w:r>
        <w:rPr>
          <w:rFonts w:ascii="IRNazanin" w:hAnsi="IRNazanin" w:eastAsia="IRNazanin" w:cs="IRNazanin"/>
          <w:lang w:bidi="fa-IR"/>
          <w:color w:val="111111"/>
          <w:sz w:val="28"/>
          <w:szCs w:val="28"/>
          <w:rtl/>
        </w:rPr>
        <w:t xml:space="preserve">سم[ف: 17- 12]</w:t>
      </w:r>
    </w:p>
    <w:p>
      <w:pPr>
        <w:pStyle w:val="BookText"/>
      </w:pPr>
      <w:r>
        <w:rPr>
          <w:rFonts w:ascii="IRNazanin" w:hAnsi="IRNazanin" w:eastAsia="IRNazanin" w:cs="IRNazanin"/>
          <w:lang w:bidi="fa-IR"/>
          <w:color w:val="111111"/>
          <w:sz w:val="28"/>
          <w:szCs w:val="28"/>
          <w:rtl/>
        </w:rPr>
        <w:t xml:space="preserve">١۶ . تهران؛ مجلس؛ شماره نسخه: ۷۶۲۹</w:t>
      </w:r>
    </w:p>
    <w:p>
      <w:pPr>
        <w:pStyle w:val="BookText"/>
      </w:pPr>
      <w:r>
        <w:rPr>
          <w:rFonts w:ascii="IRNazanin" w:hAnsi="IRNazanin" w:eastAsia="IRNazanin" w:cs="IRNazanin"/>
          <w:lang w:bidi="fa-IR"/>
          <w:color w:val="111111"/>
          <w:sz w:val="28"/>
          <w:szCs w:val="28"/>
          <w:rtl/>
        </w:rPr>
        <w:t xml:space="preserve">آغاز: بسمله آذر برزين پسر فرامرز با بهمن بعد از جنگها صلح كرد بهمن اراده بلخ؛ انجام: با تو كار دارم مظهر او را نصيحت كرد قبول ننمود امر مظهر شاه.</w:t>
      </w:r>
    </w:p>
    <w:p>
      <w:pPr>
        <w:pStyle w:val="BookText"/>
      </w:pPr>
      <w:r>
        <w:rPr>
          <w:rFonts w:ascii="IRNazanin" w:hAnsi="IRNazanin" w:eastAsia="IRNazanin" w:cs="IRNazanin"/>
          <w:lang w:bidi="fa-IR"/>
          <w:color w:val="111111"/>
          <w:sz w:val="28"/>
          <w:szCs w:val="28"/>
          <w:rtl/>
        </w:rPr>
        <w:t xml:space="preserve">خط: نستعليق، بی كا، بی تا؛ افتادگی: آغاز؛ بی كا، بي تا؛ جلد:  تيماج مشكی مجدول، ۲۴۲ گ، ۴۰ سطر، اندازه: 20/5</w:t>
      </w:r>
      <w:r>
        <w:rPr>
          <w:rFonts w:ascii="Times New Roman" w:hAnsi="Times New Roman" w:eastAsia="Times New Roman" w:cs="Times New Roman"/>
          <w:lang w:val="en-US" w:bidi="en-US"/>
          <w:color w:val="111111"/>
          <w:sz w:val="28"/>
          <w:szCs w:val="28"/>
          <w:rtl/>
        </w:rPr>
        <w:t xml:space="preserve">×32/5 </w:t>
      </w:r>
      <w:r>
        <w:rPr>
          <w:rFonts w:ascii="IRNazanin" w:hAnsi="IRNazanin" w:eastAsia="IRNazanin" w:cs="IRNazanin"/>
          <w:lang w:bidi="fa-IR"/>
          <w:color w:val="111111"/>
          <w:sz w:val="28"/>
          <w:szCs w:val="28"/>
          <w:rtl/>
        </w:rPr>
        <w:t xml:space="preserve">سم[ف: 26- 125]</w:t>
      </w:r>
    </w:p>
    <w:p>
      <w:pPr>
        <w:pStyle w:val="BookText"/>
      </w:pPr>
      <w:r>
        <w:rPr>
          <w:rFonts w:ascii="IRNazanin" w:hAnsi="IRNazanin" w:eastAsia="IRNazanin" w:cs="IRNazanin"/>
          <w:lang w:bidi="fa-IR"/>
          <w:color w:val="111111"/>
          <w:sz w:val="28"/>
          <w:szCs w:val="28"/>
          <w:rtl/>
        </w:rPr>
        <w:t xml:space="preserve">١٧ . تهران؛ مجلس؛ شماره نسخه: ۱۷۴۵۲</w:t>
      </w:r>
    </w:p>
    <w:p>
      <w:pPr>
        <w:pStyle w:val="BookText"/>
      </w:pPr>
      <w:r>
        <w:rPr>
          <w:rFonts w:ascii="IRNazanin" w:hAnsi="IRNazanin" w:eastAsia="IRNazanin" w:cs="IRNazanin"/>
          <w:lang w:bidi="fa-IR"/>
          <w:color w:val="111111"/>
          <w:sz w:val="28"/>
          <w:szCs w:val="28"/>
          <w:rtl/>
        </w:rPr>
        <w:t xml:space="preserve">بی كا، بی تا [د.ث. مجلس]</w:t>
      </w:r>
    </w:p>
    <w:p>
      <w:pPr>
        <w:pStyle w:val="BookText"/>
      </w:pPr>
      <w:r>
        <w:rPr>
          <w:rFonts w:ascii="IRNazanin" w:hAnsi="IRNazanin" w:eastAsia="IRNazanin" w:cs="IRNazanin"/>
          <w:lang w:bidi="fa-IR"/>
          <w:color w:val="111111"/>
          <w:sz w:val="28"/>
          <w:szCs w:val="28"/>
          <w:rtl/>
        </w:rPr>
        <w:t xml:space="preserve">١٨ . تهران؛ ملی؛ شماره نسخه: ۲۵۵۷۵</w:t>
      </w:r>
    </w:p>
    <w:p>
      <w:pPr>
        <w:pStyle w:val="BookText"/>
      </w:pPr>
      <w:r>
        <w:rPr>
          <w:rFonts w:ascii="IRNazanin" w:hAnsi="IRNazanin" w:eastAsia="IRNazanin" w:cs="IRNazanin"/>
          <w:lang w:bidi="fa-IR"/>
          <w:color w:val="111111"/>
          <w:sz w:val="28"/>
          <w:szCs w:val="28"/>
          <w:rtl/>
        </w:rPr>
        <w:t xml:space="preserve">بی كا، بی تا؛ خريداری از امان الله [رايانه]</w:t>
      </w:r>
    </w:p>
    <w:p>
      <w:pPr>
        <w:pStyle w:val="BookText"/>
      </w:pPr>
      <w:r>
        <w:rPr>
          <w:rFonts w:ascii="IRNazanin" w:hAnsi="IRNazanin" w:eastAsia="IRNazanin" w:cs="IRNazanin"/>
          <w:lang w:bidi="fa-IR"/>
          <w:color w:val="111111"/>
          <w:sz w:val="28"/>
          <w:szCs w:val="28"/>
          <w:rtl/>
        </w:rPr>
        <w:t xml:space="preserve">١٩ . تهران؛ ملی؛ شماره نسخه: ۲۷۲۰۲</w:t>
      </w:r>
    </w:p>
    <w:p>
      <w:pPr>
        <w:pStyle w:val="BookText"/>
      </w:pPr>
      <w:r>
        <w:rPr>
          <w:rFonts w:ascii="IRNazanin" w:hAnsi="IRNazanin" w:eastAsia="IRNazanin" w:cs="IRNazanin"/>
          <w:lang w:bidi="fa-IR"/>
          <w:color w:val="111111"/>
          <w:sz w:val="28"/>
          <w:szCs w:val="28"/>
          <w:rtl/>
        </w:rPr>
        <w:t xml:space="preserve">بی كا، بی تا؛ خريداری از رضا ميدانی [رايانه]</w:t>
      </w:r>
    </w:p>
    <w:p>
      <w:pPr>
        <w:pStyle w:val="BookText"/>
      </w:pPr>
      <w:r>
        <w:rPr>
          <w:rFonts w:ascii="IRNazanin" w:hAnsi="IRNazanin" w:eastAsia="IRNazanin" w:cs="IRNazanin"/>
          <w:lang w:bidi="fa-IR"/>
          <w:color w:val="111111"/>
          <w:sz w:val="28"/>
          <w:szCs w:val="28"/>
          <w:rtl/>
        </w:rPr>
        <w:t xml:space="preserve">٢٠ . تهران؛ مينوی؛ شماره نسخه: ۱۶۰ بخش ۳</w:t>
      </w:r>
    </w:p>
    <w:p>
      <w:pPr>
        <w:pStyle w:val="BookText"/>
      </w:pPr>
      <w:r>
        <w:rPr>
          <w:rFonts w:ascii="IRNazanin" w:hAnsi="IRNazanin" w:eastAsia="IRNazanin" w:cs="IRNazanin"/>
          <w:lang w:bidi="fa-IR"/>
          <w:color w:val="111111"/>
          <w:sz w:val="28"/>
          <w:szCs w:val="28"/>
          <w:rtl/>
        </w:rPr>
        <w:t xml:space="preserve">بی كا، بی تا [ف: - ۱۱۹]</w:t>
      </w:r>
    </w:p>
    <w:p>
      <w:pPr>
        <w:pStyle w:val="Heading3"/>
      </w:pPr>
      <w:bookmarkStart w:id="1581" w:name="_Toc1103"/>
      <w:r>
        <w:t>اسكندرنامه حروفی / شعر / فارسی</w:t>
      </w:r>
      <w:bookmarkEnd w:id="1581"/>
    </w:p>
    <w:p>
      <w:pPr>
        <w:pStyle w:val="BookText"/>
      </w:pPr>
      <w:r>
        <w:rPr>
          <w:rFonts w:ascii="Times New Roman" w:hAnsi="Times New Roman" w:eastAsia="Times New Roman" w:cs="Times New Roman"/>
          <w:lang w:val="en-US" w:bidi="en-US"/>
          <w:color w:val="111111"/>
          <w:sz w:val="28"/>
          <w:szCs w:val="28"/>
          <w:rtl/>
        </w:rPr>
        <w:t xml:space="preserve">eskandar-nāme-ye horūfī</w:t>
      </w:r>
    </w:p>
    <w:p>
      <w:pPr>
        <w:pStyle w:val="BookText"/>
      </w:pPr>
      <w:r>
        <w:rPr>
          <w:rFonts w:ascii="IRNazanin" w:hAnsi="IRNazanin" w:eastAsia="IRNazanin" w:cs="IRNazanin"/>
          <w:lang w:bidi="fa-IR"/>
          <w:color w:val="111111"/>
          <w:sz w:val="28"/>
          <w:szCs w:val="28"/>
          <w:rtl/>
        </w:rPr>
        <w:t xml:space="preserve">فضل الله حروفی، ۷۴۰- 796؟ قمری</w:t>
      </w:r>
    </w:p>
    <w:p>
      <w:pPr>
        <w:pStyle w:val="BookText"/>
      </w:pPr>
      <w:r>
        <w:rPr>
          <w:rFonts w:ascii="Times New Roman" w:hAnsi="Times New Roman" w:eastAsia="Times New Roman" w:cs="Times New Roman"/>
          <w:lang w:val="en-US" w:bidi="en-US"/>
          <w:color w:val="111111"/>
          <w:sz w:val="28"/>
          <w:szCs w:val="28"/>
          <w:rtl/>
        </w:rPr>
        <w:t xml:space="preserve">(fazl-ol-lāh-e horūfī (1340 - 1394)</w:t>
      </w:r>
    </w:p>
    <w:p>
      <w:pPr>
        <w:pStyle w:val="BookText"/>
      </w:pPr>
      <w:r>
        <w:rPr>
          <w:rFonts w:ascii="IRNazanin" w:hAnsi="IRNazanin" w:eastAsia="IRNazanin" w:cs="IRNazanin"/>
          <w:lang w:bidi="fa-IR"/>
          <w:color w:val="111111"/>
          <w:sz w:val="28"/>
          <w:szCs w:val="28"/>
          <w:rtl/>
        </w:rPr>
        <w:t xml:space="preserve">مثنوی است عرفانی دربرگيرنده سؤال و جواب. پرسش ها از«شاه» و پاسخ ها از «پیر»  مرشدی، مسائل عرفاني و وضع سلوك  سالك در سلوك الي الله در آن آمده است. اين همان«حاصل حیات»  است كه در كتابخانه ملی به نادرست از « میر دانا» دانسته است.</w:t>
      </w:r>
    </w:p>
    <w:p>
      <w:pPr>
        <w:pStyle w:val="BookText"/>
      </w:pPr>
      <w:r>
        <w:rPr>
          <w:rFonts w:ascii="IRNazanin" w:hAnsi="IRNazanin" w:eastAsia="IRNazanin" w:cs="IRNazanin"/>
          <w:lang w:bidi="fa-IR"/>
          <w:color w:val="111111"/>
          <w:sz w:val="28"/>
          <w:szCs w:val="28"/>
          <w:rtl/>
        </w:rPr>
        <w:t xml:space="preserve">آغاز: ابتدا كردم به نام ذوالجلال *** حی و قيوم و قديم بی زوال / ز آب لطف اوست اشيا جمله حی *** اوست باقی، هست فانی كل شيئ</w:t>
      </w:r>
    </w:p>
    <w:p>
      <w:pPr>
        <w:pStyle w:val="BookText"/>
      </w:pPr>
      <w:r>
        <w:rPr>
          <w:rFonts w:ascii="IRNazanin" w:hAnsi="IRNazanin" w:eastAsia="IRNazanin" w:cs="IRNazanin"/>
          <w:lang w:bidi="fa-IR"/>
          <w:color w:val="111111"/>
          <w:sz w:val="28"/>
          <w:szCs w:val="28"/>
          <w:rtl/>
        </w:rPr>
        <w:t xml:space="preserve">انجام: رو طلب كن اي شه عالي مقام *** مقصد كلی از ره و السلام</w:t>
      </w:r>
    </w:p>
    <w:p>
      <w:pPr>
        <w:pStyle w:val="BookText"/>
      </w:pPr>
      <w:r>
        <w:rPr>
          <w:rFonts w:ascii="IRNazanin" w:hAnsi="IRNazanin" w:eastAsia="IRNazanin" w:cs="IRNazanin"/>
          <w:lang w:bidi="fa-IR"/>
          <w:color w:val="111111"/>
          <w:sz w:val="28"/>
          <w:szCs w:val="28"/>
          <w:rtl/>
        </w:rPr>
        <w:t xml:space="preserve">چاپ: ضمن « مجموعه رسائل حروفيه » به كوشش كلمنت  هوارت، معلم مدرسه زبانهای شرقی در پاريس و دكتر توفيق در سال ۱۹۰۹ /م ۱۳۲۷ ق در مطبعه بريل در ليدن</w:t>
      </w:r>
    </w:p>
    <w:p>
      <w:pPr>
        <w:pStyle w:val="BookText"/>
      </w:pPr>
      <w:r>
        <w:rPr>
          <w:rFonts w:ascii="Amiri" w:hAnsi="Amiri" w:eastAsia="Amiri" w:cs="Amiri"/>
          <w:lang w:bidi="ar-SA"/>
          <w:color w:val="111111"/>
          <w:sz w:val="28"/>
          <w:szCs w:val="28"/>
          <w:rtl/>
        </w:rPr>
        <w:t xml:space="preserve">[فهرستواره منزوي ۱۰/ 153]</w:t>
      </w:r>
    </w:p>
    <w:p>
      <w:pPr>
        <w:pStyle w:val="BookText"/>
      </w:pPr>
      <w:r>
        <w:rPr>
          <w:rFonts w:ascii="IRNazanin" w:hAnsi="IRNazanin" w:eastAsia="IRNazanin" w:cs="IRNazanin"/>
          <w:lang w:bidi="fa-IR"/>
          <w:color w:val="111111"/>
          <w:sz w:val="28"/>
          <w:szCs w:val="28"/>
          <w:rtl/>
        </w:rPr>
        <w:t xml:space="preserve">تهران؛ ملی؛ شماره نسخه: ۵/ 762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Amiri" w:hAnsi="Amiri" w:eastAsia="Amiri" w:cs="Amiri"/>
          <w:lang w:bidi="ar-SA"/>
          <w:color w:val="111111"/>
          <w:sz w:val="28"/>
          <w:szCs w:val="28"/>
          <w:rtl/>
        </w:rPr>
        <w:t xml:space="preserve">در فهرست با عنوان« حاصل حيات » و مير دانا دانسته كه خطاست؛</w:t>
      </w:r>
    </w:p>
    <w:p>
      <w:pPr>
        <w:pStyle w:val="BookText"/>
      </w:pPr>
      <w:r>
        <w:rPr>
          <w:rFonts w:ascii="IRNazanin" w:hAnsi="IRNazanin" w:eastAsia="IRNazanin" w:cs="IRNazanin"/>
          <w:lang w:bidi="fa-IR"/>
          <w:color w:val="111111"/>
          <w:sz w:val="28"/>
          <w:szCs w:val="28"/>
          <w:rtl/>
        </w:rPr>
        <w:t xml:space="preserve">خط: نسخ و نستعليق، بي كا، تا: محتملاً قرن ۱۱ ؛ كاغذ: اصفهانی، جلد: تيماج قهوه ای ترنج و نيم ترنج مقوايی لولادار، ۴۷ ص</w:t>
      </w:r>
    </w:p>
    <w:p>
      <w:pPr>
        <w:pStyle w:val="BookText"/>
      </w:pPr>
      <w:r>
        <w:rPr>
          <w:rFonts w:ascii="IRNazanin" w:hAnsi="IRNazanin" w:eastAsia="IRNazanin" w:cs="IRNazanin"/>
          <w:lang w:bidi="fa-IR"/>
          <w:color w:val="111111"/>
          <w:sz w:val="28"/>
          <w:szCs w:val="28"/>
          <w:rtl/>
        </w:rPr>
        <w:t xml:space="preserve">۱۷ سطر ( ۹</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 اندازه:12</w:t>
      </w:r>
      <w:r>
        <w:rPr>
          <w:rFonts w:ascii="Times New Roman" w:hAnsi="Times New Roman" w:eastAsia="Times New Roman" w:cs="Times New Roman"/>
          <w:lang w:val="en-US" w:bidi="en-US"/>
          <w:color w:val="111111"/>
          <w:sz w:val="28"/>
          <w:szCs w:val="28"/>
          <w:rtl/>
        </w:rPr>
        <w:t xml:space="preserve">×17/5</w:t>
      </w:r>
      <w:r>
        <w:rPr>
          <w:rFonts w:ascii="IRNazanin" w:hAnsi="IRNazanin" w:eastAsia="IRNazanin" w:cs="IRNazanin"/>
          <w:lang w:bidi="fa-IR"/>
          <w:color w:val="111111"/>
          <w:sz w:val="28"/>
          <w:szCs w:val="28"/>
          <w:rtl/>
        </w:rPr>
        <w:t xml:space="preserve">سم[ف: 2- 285]</w:t>
      </w:r>
    </w:p>
    <w:p>
      <w:pPr>
        <w:pStyle w:val="Heading3"/>
      </w:pPr>
      <w:bookmarkStart w:id="1582" w:name="_Toc1104"/>
      <w:r>
        <w:t>اسكندرنامه ناصری / داستان / فارسی</w:t>
      </w:r>
      <w:bookmarkEnd w:id="1582"/>
    </w:p>
    <w:p>
      <w:pPr>
        <w:pStyle w:val="BookText"/>
      </w:pPr>
      <w:r>
        <w:rPr>
          <w:rFonts w:ascii="Times New Roman" w:hAnsi="Times New Roman" w:eastAsia="Times New Roman" w:cs="Times New Roman"/>
          <w:lang w:val="en-US" w:bidi="en-US"/>
          <w:color w:val="111111"/>
          <w:sz w:val="28"/>
          <w:szCs w:val="28"/>
          <w:rtl/>
        </w:rPr>
        <w:t xml:space="preserve">eskandar-nāme-ye nāserī</w:t>
      </w:r>
    </w:p>
    <w:p>
      <w:pPr>
        <w:pStyle w:val="BookText"/>
      </w:pPr>
      <w:r>
        <w:rPr>
          <w:rFonts w:ascii="IRNazanin" w:hAnsi="IRNazanin" w:eastAsia="IRNazanin" w:cs="IRNazanin"/>
          <w:lang w:bidi="fa-IR"/>
          <w:color w:val="111111"/>
          <w:sz w:val="28"/>
          <w:szCs w:val="28"/>
          <w:rtl/>
        </w:rPr>
        <w:t xml:space="preserve">تهران؛ مجلس؛ شماره نسخه: ۱۸۵۳۴</w:t>
      </w:r>
    </w:p>
    <w:p>
      <w:pPr>
        <w:pStyle w:val="BookText"/>
      </w:pPr>
      <w:r>
        <w:rPr>
          <w:rFonts w:ascii="IRNazanin" w:hAnsi="IRNazanin" w:eastAsia="IRNazanin" w:cs="IRNazanin"/>
          <w:lang w:bidi="fa-IR"/>
          <w:color w:val="111111"/>
          <w:sz w:val="28"/>
          <w:szCs w:val="28"/>
          <w:rtl/>
        </w:rPr>
        <w:t xml:space="preserve">نسخه بسيار نادر؛ کاتب = مؤلف، بی تا [د.ث. مجلس]</w:t>
      </w:r>
    </w:p>
    <w:p>
      <w:pPr>
        <w:pStyle w:val="Heading3"/>
      </w:pPr>
      <w:bookmarkStart w:id="1583" w:name="_Toc1105"/>
      <w:r>
        <w:t>اسكندر و دارا / شعر / فارسي</w:t>
      </w:r>
      <w:bookmarkEnd w:id="1583"/>
    </w:p>
    <w:p>
      <w:pPr>
        <w:pStyle w:val="BookText"/>
      </w:pPr>
      <w:r>
        <w:rPr>
          <w:rFonts w:ascii="Times New Roman" w:hAnsi="Times New Roman" w:eastAsia="Times New Roman" w:cs="Times New Roman"/>
          <w:lang w:val="en-US" w:bidi="en-US"/>
          <w:color w:val="111111"/>
          <w:sz w:val="28"/>
          <w:szCs w:val="28"/>
          <w:rtl/>
        </w:rPr>
        <w:t xml:space="preserve">eskandar va dārā</w:t>
      </w:r>
    </w:p>
    <w:p>
      <w:pPr>
        <w:pStyle w:val="BookText"/>
      </w:pPr>
      <w:r>
        <w:rPr>
          <w:rFonts w:ascii="IRNazanin" w:hAnsi="IRNazanin" w:eastAsia="IRNazanin" w:cs="IRNazanin"/>
          <w:lang w:bidi="fa-IR"/>
          <w:color w:val="111111"/>
          <w:sz w:val="28"/>
          <w:szCs w:val="28"/>
          <w:rtl/>
        </w:rPr>
        <w:t xml:space="preserve">ناصری بخاری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325" w:name="pg20365_260450"/>
    <w:bookmarkEnd w:id="325"/>
    <w:p>
      <w:pPr>
        <w:pStyle w:val="BookText"/>
      </w:pPr>
      <w:r>
        <w:rPr>
          <w:rFonts w:ascii="Times New Roman" w:hAnsi="Times New Roman" w:eastAsia="Times New Roman" w:cs="Times New Roman"/>
          <w:lang w:val="en-US" w:bidi="en-US"/>
          <w:color w:val="111111"/>
          <w:sz w:val="28"/>
          <w:szCs w:val="28"/>
          <w:rtl/>
        </w:rPr>
        <w:t xml:space="preserve">nāserī boxārī</w:t>
      </w:r>
    </w:p>
    <w:p>
      <w:pPr>
        <w:pStyle w:val="BookText"/>
      </w:pPr>
      <w:r>
        <w:rPr>
          <w:rFonts w:ascii="IRNazanin" w:hAnsi="IRNazanin" w:eastAsia="IRNazanin" w:cs="IRNazanin"/>
          <w:lang w:bidi="fa-IR"/>
          <w:color w:val="111111"/>
          <w:sz w:val="28"/>
          <w:szCs w:val="28"/>
          <w:rtl/>
        </w:rPr>
        <w:t xml:space="preserve">تهران؛ دانشگاه؛ شماره نسخه: ۱/ 6096</w:t>
      </w:r>
    </w:p>
    <w:p>
      <w:pPr>
        <w:pStyle w:val="BookText"/>
      </w:pPr>
      <w:r>
        <w:rPr>
          <w:rFonts w:ascii="IRNazanin" w:hAnsi="IRNazanin" w:eastAsia="IRNazanin" w:cs="IRNazanin"/>
          <w:lang w:bidi="fa-IR"/>
          <w:color w:val="111111"/>
          <w:sz w:val="28"/>
          <w:szCs w:val="28"/>
          <w:rtl/>
        </w:rPr>
        <w:t xml:space="preserve">آغاز: آنكس كه كشيده جام صهباي سخن *** داند بكجا نهاده ام پای سخن / در دوره خود به زير اين چرخ بلند *** مانند سكندريم و دارای سخن؛ انجام: قرعه آمد بنام بتلميوس *** كشت گيتی بكام بتلميوس</w:t>
      </w:r>
    </w:p>
    <w:p>
      <w:pPr>
        <w:pStyle w:val="BookText"/>
      </w:pPr>
      <w:r>
        <w:rPr>
          <w:rFonts w:ascii="IRNazanin" w:hAnsi="IRNazanin" w:eastAsia="IRNazanin" w:cs="IRNazanin"/>
          <w:lang w:bidi="fa-IR"/>
          <w:color w:val="111111"/>
          <w:sz w:val="28"/>
          <w:szCs w:val="28"/>
          <w:rtl/>
        </w:rPr>
        <w:t xml:space="preserve">به نظم؛ خط: نسخ، بي كا، تا: قرن ۱۳ ؛ پس از آن داراي شعرهای ميرزا علی انصاری و طغرای تفرشی و سها و شمس العلماء پارسی است در ۲ ص ( ۱۲ پ- ۱۳ ر)؛ كاغذ: فرنگی، جلد: تيماج سبز ،ضربی لایی،10گ(3پ- 12پ)14 سطر (8</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قطع: ربعی،اندازه: 14</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16- 196]</w:t>
      </w:r>
    </w:p>
    <w:p>
      <w:pPr>
        <w:pStyle w:val="BookText"/>
      </w:pPr>
      <w:r>
        <w:rPr>
          <w:rFonts w:ascii="Amiri" w:hAnsi="Amiri" w:eastAsia="Amiri" w:cs="Amiri"/>
          <w:lang w:bidi="ar-SA"/>
          <w:color w:val="111111"/>
          <w:sz w:val="28"/>
          <w:szCs w:val="28"/>
          <w:rtl/>
        </w:rPr>
        <w:t xml:space="preserve">«اسكندر ودخمه شاهان» 􀂽 اسكندر و بدخمه شاهان 􀂫</w:t>
      </w:r>
    </w:p>
    <w:p>
      <w:pPr>
        <w:pStyle w:val="BookText"/>
      </w:pPr>
      <w:r>
        <w:rPr>
          <w:rFonts w:ascii="Amiri" w:hAnsi="Amiri" w:eastAsia="Amiri" w:cs="Amiri"/>
          <w:lang w:bidi="ar-SA"/>
          <w:color w:val="111111"/>
          <w:sz w:val="28"/>
          <w:szCs w:val="28"/>
          <w:rtl/>
        </w:rPr>
        <w:t xml:space="preserve">«اسكندريه »􀂫تحفة الحفاظ 􀂽</w:t>
      </w:r>
    </w:p>
    <w:p>
      <w:pPr>
        <w:pStyle w:val="Heading3"/>
      </w:pPr>
      <w:bookmarkStart w:id="1584" w:name="_Toc1106"/>
      <w:r>
        <w:t>اسكندريه = جواب سؤالات اسكندر = پرسش و پاسخ = مبدأ و معاد = اصول دين / كلام و اعتقادات / فارسی</w:t>
      </w:r>
      <w:bookmarkEnd w:id="1584"/>
    </w:p>
    <w:p>
      <w:pPr>
        <w:pStyle w:val="BookText"/>
      </w:pPr>
      <w:r>
        <w:rPr>
          <w:rFonts w:ascii="Times New Roman" w:hAnsi="Times New Roman" w:eastAsia="Times New Roman" w:cs="Times New Roman"/>
          <w:lang w:val="en-US" w:bidi="en-US"/>
          <w:color w:val="111111"/>
          <w:sz w:val="28"/>
          <w:szCs w:val="28"/>
          <w:rtl/>
        </w:rPr>
        <w:t xml:space="preserve">eskandarīye = javāb-e so’ālāt-e eskandar = porseš v-a</w:t>
      </w:r>
    </w:p>
    <w:p>
      <w:pPr>
        <w:pStyle w:val="BookText"/>
      </w:pPr>
      <w:r>
        <w:rPr>
          <w:rFonts w:ascii="Times New Roman" w:hAnsi="Times New Roman" w:eastAsia="Times New Roman" w:cs="Times New Roman"/>
          <w:lang w:val="en-US" w:bidi="en-US"/>
          <w:color w:val="111111"/>
          <w:sz w:val="28"/>
          <w:szCs w:val="28"/>
          <w:rtl/>
        </w:rPr>
        <w:t xml:space="preserve">pāsox = mabda’ v-a ma‘ād = osūl-e dīn</w:t>
      </w:r>
    </w:p>
    <w:p>
      <w:pPr>
        <w:pStyle w:val="BookText"/>
      </w:pPr>
      <w:r>
        <w:rPr>
          <w:rFonts w:ascii="IRNazanin" w:hAnsi="IRNazanin" w:eastAsia="IRNazanin" w:cs="IRNazanin"/>
          <w:lang w:bidi="fa-IR"/>
          <w:color w:val="111111"/>
          <w:sz w:val="28"/>
          <w:szCs w:val="28"/>
          <w:rtl/>
        </w:rPr>
        <w:t xml:space="preserve">جرجانی، علی بن محمد، ۷۴۰- 816 قمری</w:t>
      </w:r>
    </w:p>
    <w:p>
      <w:pPr>
        <w:pStyle w:val="BookText"/>
      </w:pPr>
      <w:r>
        <w:rPr>
          <w:rFonts w:ascii="Times New Roman" w:hAnsi="Times New Roman" w:eastAsia="Times New Roman" w:cs="Times New Roman"/>
          <w:lang w:val="en-US" w:bidi="en-US"/>
          <w:color w:val="111111"/>
          <w:sz w:val="28"/>
          <w:szCs w:val="28"/>
          <w:rtl/>
        </w:rPr>
        <w:t xml:space="preserve">(jorjānī, ‘alī ebn-e mohammad (1340 - 1414)</w:t>
      </w:r>
    </w:p>
    <w:p>
      <w:pPr>
        <w:pStyle w:val="BookText"/>
      </w:pPr>
      <w:r>
        <w:rPr>
          <w:rFonts w:ascii="IRNazanin" w:hAnsi="IRNazanin" w:eastAsia="IRNazanin" w:cs="IRNazanin"/>
          <w:lang w:bidi="fa-IR"/>
          <w:color w:val="111111"/>
          <w:sz w:val="28"/>
          <w:szCs w:val="28"/>
          <w:rtl/>
        </w:rPr>
        <w:t xml:space="preserve">پاسخ پرسش های كلامی و فلسفی است كه امير اسكندر بن عمر بن امير تيمور گرگان (حکمران فارس و عراق عجم در سال های 715- 718ق)در 815ق[ در برخی نسخه ها 818 آمده است که با تاريخ وفات جرجانی نمی خواند] از اصفهان برای سيد شريف به شیراز فرستاد ، در یک «مقدمه» و هشت« فصل »  و یک «خاتمه» مقدمه در تمهيد معذرت جهت قصور ادراك وعبارت؛ ۱. مقصود آفرينش؛ ۲. آفريده اول؛ ۳. چگونگی تركيب روح و جسد؛ ۴. ثواب و عقاب؛ ۵. فرشته؛ ۶. حقيقت شيطان؛ ۷. صراط و سؤال و ميزان؛ ۸. معراج؛ خاتمه: در وصيت مشايخ. در اين رساله سيد شريف جرجانی اصول دين و مسائل اعتقادی را با اختصار به روش اهل ظاهر و متشرعين بيان کرده است و پس از آن به روش حکما و اهل معنی تأويل می کند. در برخی نسخه ها آمده است که وی اين رساله را برای «سلطان سعيد طغرل »  نگاشته است، که ممکن است تعبير ديگری از نام «اسکندر بن عمر باشد، چرا که در برخی نسخه ها از وی با عنوان« سلطان سعيد ميرزا اسکندر » نام برده شده است. اين رساله در جلد اول فهرست آستان قدس با عنوان « اصول دين (رساله) » معرفی شده است، و هر چند در جلد چهارم آن فهرست(ص ۲۱ ) به غلط بودن عنوان اذعان شده، عنوان نادرست به</w:t>
      </w:r>
    </w:p>
    <w:p>
      <w:pPr>
        <w:pStyle w:val="BookText"/>
      </w:pPr>
      <w:r>
        <w:rPr>
          <w:rFonts w:ascii="IRNazanin" w:hAnsi="IRNazanin" w:eastAsia="IRNazanin" w:cs="IRNazanin"/>
          <w:lang w:bidi="fa-IR"/>
          <w:color w:val="111111"/>
          <w:sz w:val="28"/>
          <w:szCs w:val="28"/>
          <w:rtl/>
        </w:rPr>
        <w:t xml:space="preserve">نسخه های منزوی و از آنجا به ديگر فهرست ها راه يافته است.</w:t>
      </w:r>
    </w:p>
    <w:p>
      <w:pPr>
        <w:pStyle w:val="BookText"/>
      </w:pPr>
      <w:r>
        <w:rPr>
          <w:rFonts w:ascii="IRNazanin" w:hAnsi="IRNazanin" w:eastAsia="IRNazanin" w:cs="IRNazanin"/>
          <w:lang w:bidi="fa-IR"/>
          <w:color w:val="111111"/>
          <w:sz w:val="28"/>
          <w:szCs w:val="28"/>
          <w:rtl/>
        </w:rPr>
        <w:t xml:space="preserve">آغاز: ۱.(آغاز پرسش ها:) اول در باب آفرينش كه منظور از آفرينش چه بود و سببی كه باعث آفرينش بود چه بود. اول مخلوقات و سبب تقدم او بر خلق چه بود .... (آغاز پاسخ ها:) بسمله، در تمهيد معذرت جهت قصور ادراک و عبارت اکابر علماء بحث و فکرت تصريح کرده اند که بطريق تأمل و نظر و مباحث حقائق اشياء و احوال آن را بر سبيل اجمال توان دانست.</w:t>
      </w:r>
    </w:p>
    <w:p>
      <w:pPr>
        <w:pStyle w:val="BookText"/>
      </w:pPr>
      <w:r>
        <w:rPr>
          <w:rFonts w:ascii="IRNazanin" w:hAnsi="IRNazanin" w:eastAsia="IRNazanin" w:cs="IRNazanin"/>
          <w:lang w:bidi="fa-IR"/>
          <w:color w:val="111111"/>
          <w:sz w:val="28"/>
          <w:szCs w:val="28"/>
          <w:rtl/>
        </w:rPr>
        <w:t xml:space="preserve">[بسياری از نسخه ها با پاسخ ها شروع می شوند و پرسش ها را ندارند]</w:t>
      </w:r>
    </w:p>
    <w:p>
      <w:pPr>
        <w:pStyle w:val="BookText"/>
      </w:pPr>
      <w:r>
        <w:rPr>
          <w:rFonts w:ascii="IRNazanin" w:hAnsi="IRNazanin" w:eastAsia="IRNazanin" w:cs="IRNazanin"/>
          <w:lang w:bidi="fa-IR"/>
          <w:color w:val="111111"/>
          <w:sz w:val="28"/>
          <w:szCs w:val="28"/>
          <w:rtl/>
        </w:rPr>
        <w:t xml:space="preserve">[دو آغاز زير در برخی نسخه ها در ابتدای رساله آمده است]</w:t>
      </w:r>
    </w:p>
    <w:p>
      <w:pPr>
        <w:pStyle w:val="BookText"/>
      </w:pPr>
      <w:r>
        <w:rPr>
          <w:rFonts w:ascii="IRNazanin" w:hAnsi="IRNazanin" w:eastAsia="IRNazanin" w:cs="IRNazanin"/>
          <w:lang w:bidi="fa-IR"/>
          <w:color w:val="111111"/>
          <w:sz w:val="28"/>
          <w:szCs w:val="28"/>
          <w:rtl/>
        </w:rPr>
        <w:t xml:space="preserve">۲. بسمله. و مقتضای فرمان بندگی حضرت سطان جلالی خلد الله ملکه و خلافته كلمه ای چند از اقوال اصحاب ظاهر و تاويل بدان وجه كه مسموع بود مكتوب گشت با وجود فتور در ادراک و قصور در عادات.</w:t>
      </w:r>
    </w:p>
    <w:p>
      <w:pPr>
        <w:pStyle w:val="BookText"/>
      </w:pPr>
      <w:r>
        <w:rPr>
          <w:rFonts w:ascii="IRNazanin" w:hAnsi="IRNazanin" w:eastAsia="IRNazanin" w:cs="IRNazanin"/>
          <w:lang w:bidi="fa-IR"/>
          <w:color w:val="111111"/>
          <w:sz w:val="28"/>
          <w:szCs w:val="28"/>
          <w:rtl/>
        </w:rPr>
        <w:t xml:space="preserve">۳. حمد بيحد مر حضرت باری را كه عين بصيرت انسان را جهت دريافتن حقايق و دقايق منور و روشن گردانيد.</w:t>
      </w:r>
    </w:p>
    <w:p>
      <w:pPr>
        <w:pStyle w:val="BookText"/>
      </w:pPr>
      <w:r>
        <w:rPr>
          <w:rFonts w:ascii="IRNazanin" w:hAnsi="IRNazanin" w:eastAsia="IRNazanin" w:cs="IRNazanin"/>
          <w:lang w:bidi="fa-IR"/>
          <w:color w:val="111111"/>
          <w:sz w:val="28"/>
          <w:szCs w:val="28"/>
          <w:rtl/>
        </w:rPr>
        <w:t xml:space="preserve">انجام: ۱. لكن درين صورت بعضی از اصحاب رياضت را كه از بدن بكلی منخلع شده اند لمعه ای از مراتب چون برق خاطف ظهور كند و اشارت ايشان به توحيد از آنجا ناشی گردد و الله الموفق للصواب و اليه المرجع و المآب</w:t>
      </w:r>
    </w:p>
    <w:p>
      <w:pPr>
        <w:pStyle w:val="BookText"/>
      </w:pPr>
      <w:r>
        <w:rPr>
          <w:rFonts w:ascii="IRNazanin" w:hAnsi="IRNazanin" w:eastAsia="IRNazanin" w:cs="IRNazanin"/>
          <w:lang w:bidi="fa-IR"/>
          <w:color w:val="111111"/>
          <w:sz w:val="28"/>
          <w:szCs w:val="28"/>
          <w:rtl/>
        </w:rPr>
        <w:t xml:space="preserve">۲. و كمال فرشتگان مقرب ثابت است بي تغير زياده و نقصان پس جبرئيل در مثل اين حالت مصاحب نباشد، و الله اعلم بالصواب [به نظر اين پايان مربوط به پايان فصل هشت و قبل از خاتمه می باشد]</w:t>
      </w:r>
    </w:p>
    <w:p>
      <w:pPr>
        <w:pStyle w:val="BookText"/>
      </w:pPr>
      <w:r>
        <w:rPr>
          <w:rFonts w:ascii="IRNazanin" w:hAnsi="IRNazanin" w:eastAsia="IRNazanin" w:cs="IRNazanin"/>
          <w:lang w:bidi="fa-IR"/>
          <w:color w:val="111111"/>
          <w:sz w:val="28"/>
          <w:szCs w:val="28"/>
          <w:rtl/>
        </w:rPr>
        <w:t xml:space="preserve">چاپ: توسط محمود فاضل، در محقق نامه، جلد دوم، ص ۱۴۴۷-۱۳۸۹</w:t>
      </w:r>
    </w:p>
    <w:p>
      <w:pPr>
        <w:pStyle w:val="BookText"/>
      </w:pPr>
      <w:r>
        <w:rPr>
          <w:rFonts w:ascii="IRNazanin" w:hAnsi="IRNazanin" w:eastAsia="IRNazanin" w:cs="IRNazanin"/>
          <w:lang w:bidi="fa-IR"/>
          <w:color w:val="111111"/>
          <w:sz w:val="28"/>
          <w:szCs w:val="28"/>
          <w:rtl/>
        </w:rPr>
        <w:t xml:space="preserve">[الذریعة 24: 101با عنوان «نخستین آفریده »؛  نسخه های منزوی ۲/ 732و 736 ؛فهرستواره منزوی6/ 70( ۴۰ نسخه)، ۶ / 73با عنوان «اصول دین»و 6/ 154با  سرآغاز دوم با عنوان « رساله فلسفی» دنا1/ 814- 816(75نسخه) ؛ نیز نگاه کنید به جلد اول این مجموعه ذیل «آفرینش  -  صنع و صانع » از سید یوسف  جرجانی که شباهت هايی با اين رساله دارد]</w:t>
      </w:r>
    </w:p>
    <w:p>
      <w:pPr>
        <w:pStyle w:val="BookText"/>
      </w:pPr>
      <w:r>
        <w:rPr>
          <w:rFonts w:ascii="IRNazanin" w:hAnsi="IRNazanin" w:eastAsia="IRNazanin" w:cs="IRNazanin"/>
          <w:lang w:bidi="fa-IR"/>
          <w:color w:val="111111"/>
          <w:sz w:val="28"/>
          <w:szCs w:val="28"/>
          <w:rtl/>
        </w:rPr>
        <w:t xml:space="preserve">١. قم؛ مرعشی؛ شماره نسخه: ٩/ 4650</w:t>
      </w:r>
    </w:p>
    <w:p>
      <w:pPr>
        <w:pStyle w:val="BookText"/>
      </w:pPr>
      <w:r>
        <w:rPr>
          <w:rFonts w:ascii="IRNazanin" w:hAnsi="IRNazanin" w:eastAsia="IRNazanin" w:cs="IRNazanin"/>
          <w:lang w:bidi="fa-IR"/>
          <w:color w:val="111111"/>
          <w:sz w:val="28"/>
          <w:szCs w:val="28"/>
          <w:rtl/>
        </w:rPr>
        <w:t xml:space="preserve">آغاز: برابر ١؛ انجام: برابر ١</w:t>
      </w:r>
    </w:p>
    <w:p>
      <w:pPr>
        <w:pStyle w:val="BookText"/>
      </w:pPr>
      <w:r>
        <w:rPr>
          <w:rFonts w:ascii="IRNazanin" w:hAnsi="IRNazanin" w:eastAsia="IRNazanin" w:cs="IRNazanin"/>
          <w:lang w:bidi="fa-IR"/>
          <w:color w:val="111111"/>
          <w:sz w:val="28"/>
          <w:szCs w:val="28"/>
          <w:rtl/>
        </w:rPr>
        <w:t xml:space="preserve">در فهرست با عنوان و« حقيقت اشياء »  ناشناس آمده؛ خط: - نستعليق، كا: احمد بن محمود متطبب تولمي گيلانی، تا: ٨٦٤ - ٨٦٦ ق؛ جلد: مخمل قرمز، ٢٤ گ ( ١١٠ پ- ١٣٣ ر)، اندازه:12/5</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سم[ف: 12- 224]</w:t>
      </w:r>
    </w:p>
    <w:p>
      <w:pPr>
        <w:pStyle w:val="BookText"/>
      </w:pPr>
      <w:r>
        <w:rPr>
          <w:rFonts w:ascii="Amiri" w:hAnsi="Amiri" w:eastAsia="Amiri" w:cs="Amiri"/>
          <w:lang w:bidi="ar-SA"/>
          <w:color w:val="111111"/>
          <w:sz w:val="28"/>
          <w:szCs w:val="28"/>
          <w:rtl/>
        </w:rPr>
        <w:t xml:space="preserve">٢. تهران؛ ملك؛ شماره نسخه: ۹/ 4009</w:t>
      </w:r>
    </w:p>
    <w:p>
      <w:pPr>
        <w:pStyle w:val="BookText"/>
      </w:pPr>
      <w:r>
        <w:rPr>
          <w:rFonts w:ascii="IRNazanin" w:hAnsi="IRNazanin" w:eastAsia="IRNazanin" w:cs="IRNazanin"/>
          <w:lang w:bidi="fa-IR"/>
          <w:color w:val="111111"/>
          <w:sz w:val="28"/>
          <w:szCs w:val="28"/>
          <w:rtl/>
        </w:rPr>
        <w:t xml:space="preserve">آغاز: برابر ۲؛ انجام: برابر ۱</w:t>
      </w:r>
    </w:p>
    <w:p>
      <w:pPr>
        <w:pStyle w:val="BookText"/>
      </w:pPr>
      <w:r>
        <w:rPr>
          <w:rFonts w:ascii="IRNazanin" w:hAnsi="IRNazanin" w:eastAsia="IRNazanin" w:cs="IRNazanin"/>
          <w:lang w:bidi="fa-IR"/>
          <w:color w:val="111111"/>
          <w:sz w:val="28"/>
          <w:szCs w:val="28"/>
          <w:rtl/>
        </w:rPr>
        <w:t xml:space="preserve">در فهرست با عنوان« رساله عرفانی »  آمده؛ خط: نستعليق، کا: امان  الله بن حسين بن حسن اسفراينی، تا: ۹۲۹ ق؛ در هامش؛ كاغذ: ترمه، جلد: ميشن قرمز لبه دار، ۱۵ سطر، اندازه: 12/6</w:t>
      </w:r>
      <w:r>
        <w:rPr>
          <w:rFonts w:ascii="Times New Roman" w:hAnsi="Times New Roman" w:eastAsia="Times New Roman" w:cs="Times New Roman"/>
          <w:lang w:val="en-US" w:bidi="en-US"/>
          <w:color w:val="111111"/>
          <w:sz w:val="28"/>
          <w:szCs w:val="28"/>
          <w:rtl/>
        </w:rPr>
        <w:t xml:space="preserve">×17/6</w:t>
      </w:r>
      <w:r>
        <w:rPr>
          <w:rFonts w:ascii="IRNazanin" w:hAnsi="IRNazanin" w:eastAsia="IRNazanin" w:cs="IRNazanin"/>
          <w:lang w:bidi="fa-IR"/>
          <w:color w:val="111111"/>
          <w:sz w:val="28"/>
          <w:szCs w:val="28"/>
          <w:rtl/>
        </w:rPr>
        <w:t xml:space="preserve">سم[ف: 7- 145]</w:t>
      </w:r>
    </w:p>
    <w:p>
      <w:pPr>
        <w:pStyle w:val="BookText"/>
      </w:pPr>
      <w:r>
        <w:rPr>
          <w:rFonts w:ascii="IRNazanin" w:hAnsi="IRNazanin" w:eastAsia="IRNazanin" w:cs="IRNazanin"/>
          <w:lang w:bidi="fa-IR"/>
          <w:color w:val="111111"/>
          <w:sz w:val="28"/>
          <w:szCs w:val="28"/>
          <w:rtl/>
        </w:rPr>
        <w:t xml:space="preserve">٣. مشهد؛ رضوی؛ شماره نسخه: ۳۲۳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آغاز: برابر ۱؛ انجام: برابر ۱</w:t>
      </w:r>
    </w:p>
    <w:p>
      <w:pPr>
        <w:pStyle w:val="BookText"/>
      </w:pPr>
      <w:r>
        <w:rPr>
          <w:rFonts w:ascii="IRNazanin" w:hAnsi="IRNazanin" w:eastAsia="IRNazanin" w:cs="IRNazanin"/>
          <w:lang w:bidi="fa-IR"/>
          <w:color w:val="111111"/>
          <w:sz w:val="28"/>
          <w:szCs w:val="28"/>
          <w:rtl/>
        </w:rPr>
        <w:t xml:space="preserve">خط: نستعليق، بی كا، تا: ۹۶۸ ق؛ واقف: خواجه شير احمد؛ ۱۱ گ، ۱۹ سطر، اندازه: ۱۳</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سم[ ف: 4- 21]</w:t>
      </w:r>
    </w:p>
    <w:p>
      <w:pPr>
        <w:pStyle w:val="BookText"/>
      </w:pPr>
      <w:r>
        <w:rPr>
          <w:rFonts w:ascii="Amiri" w:hAnsi="Amiri" w:eastAsia="Amiri" w:cs="Amiri"/>
          <w:lang w:bidi="ar-SA"/>
          <w:color w:val="111111"/>
          <w:sz w:val="28"/>
          <w:szCs w:val="28"/>
          <w:rtl/>
        </w:rPr>
        <w:t xml:space="preserve">٤. تهران؛ الهيات؛ شماره نسخه: ١</w:t>
      </w:r>
    </w:p>
    <w:p>
      <w:pPr>
        <w:pStyle w:val="BookText"/>
      </w:pPr>
      <w:r>
        <w:rPr>
          <w:rFonts w:ascii="IRNazanin" w:hAnsi="IRNazanin" w:eastAsia="IRNazanin" w:cs="IRNazanin"/>
          <w:lang w:bidi="fa-IR"/>
          <w:color w:val="111111"/>
          <w:sz w:val="28"/>
          <w:szCs w:val="28"/>
          <w:rtl/>
        </w:rPr>
        <w:t xml:space="preserve">آغاز: برابر ١؛ انجام: برابر ١</w:t>
      </w:r>
    </w:p>
    <w:p>
      <w:pPr>
        <w:pStyle w:val="BookText"/>
      </w:pPr>
      <w:r>
        <w:rPr>
          <w:rFonts w:ascii="IRNazanin" w:hAnsi="IRNazanin" w:eastAsia="IRNazanin" w:cs="IRNazanin"/>
          <w:lang w:bidi="fa-IR"/>
          <w:color w:val="111111"/>
          <w:sz w:val="28"/>
          <w:szCs w:val="28"/>
          <w:rtl/>
        </w:rPr>
        <w:t xml:space="preserve">خط: نستعليق، بی كا، تا: قرن ١٠ ؛ كاغذ: اصفهانی، جلد: تيماج  قهوه ای ضربی مقوايی، ١٣ گ ( ١پ- ١٣ پ)، ١٥ س ( ٧</w:t>
      </w:r>
      <w:r>
        <w:rPr>
          <w:rFonts w:ascii="Times New Roman" w:hAnsi="Times New Roman" w:eastAsia="Times New Roman" w:cs="Times New Roman"/>
          <w:lang w:val="en-US" w:bidi="en-US"/>
          <w:color w:val="111111"/>
          <w:sz w:val="28"/>
          <w:szCs w:val="28"/>
          <w:rtl/>
        </w:rPr>
        <w:t xml:space="preserve">×14/5)</w:t>
      </w:r>
      <w:r>
        <w:rPr>
          <w:rFonts w:ascii="IRNazanin" w:hAnsi="IRNazanin" w:eastAsia="IRNazanin" w:cs="IRNazanin"/>
          <w:lang w:bidi="fa-IR"/>
          <w:color w:val="111111"/>
          <w:sz w:val="28"/>
          <w:szCs w:val="28"/>
          <w:rtl/>
        </w:rPr>
        <w:t xml:space="preserve">، اندازه:13/5</w:t>
      </w: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سم [ ف:209]</w:t>
      </w:r>
    </w:p>
    <w:p>
      <w:pPr>
        <w:pStyle w:val="BookText"/>
      </w:pPr>
      <w:r>
        <w:rPr>
          <w:rFonts w:ascii="IRNazanin" w:hAnsi="IRNazanin" w:eastAsia="IRNazanin" w:cs="IRNazanin"/>
          <w:lang w:bidi="fa-IR"/>
          <w:color w:val="111111"/>
          <w:sz w:val="28"/>
          <w:szCs w:val="28"/>
          <w:rtl/>
        </w:rPr>
        <w:t xml:space="preserve">تهران؛ دانشگاه؛ شماره نسخه: ۱/ 1163- ف</w:t>
      </w:r>
    </w:p>
    <w:p>
      <w:pPr>
        <w:pStyle w:val="BookText"/>
      </w:pPr>
      <w:r>
        <w:rPr>
          <w:rFonts w:ascii="Amiri" w:hAnsi="Amiri" w:eastAsia="Amiri" w:cs="Amiri"/>
          <w:lang w:bidi="ar-SA"/>
          <w:color w:val="111111"/>
          <w:sz w:val="28"/>
          <w:szCs w:val="28"/>
          <w:rtl/>
        </w:rPr>
        <w:t xml:space="preserve">نسخه اصل: همان نسخه بالا [فيلم ها-ف: ۱- 575]</w:t>
      </w:r>
    </w:p>
    <w:p>
      <w:pPr>
        <w:pStyle w:val="BookText"/>
      </w:pPr>
      <w:r>
        <w:rPr>
          <w:rFonts w:ascii="IRNazanin" w:hAnsi="IRNazanin" w:eastAsia="IRNazanin" w:cs="IRNazanin"/>
          <w:lang w:bidi="fa-IR"/>
          <w:color w:val="111111"/>
          <w:sz w:val="28"/>
          <w:szCs w:val="28"/>
          <w:rtl/>
        </w:rPr>
        <w:t xml:space="preserve">٥. تهران؛ مجلس؛ شماره نسخه: ۱۶/ 531</w:t>
      </w:r>
    </w:p>
    <w:p>
      <w:pPr>
        <w:pStyle w:val="BookText"/>
      </w:pPr>
      <w:r>
        <w:rPr>
          <w:rFonts w:ascii="IRNazanin" w:hAnsi="IRNazanin" w:eastAsia="IRNazanin" w:cs="IRNazanin"/>
          <w:lang w:bidi="fa-IR"/>
          <w:color w:val="111111"/>
          <w:sz w:val="28"/>
          <w:szCs w:val="28"/>
          <w:rtl/>
        </w:rPr>
        <w:t xml:space="preserve">در يک مقدمه، و هفت فصل و يک خاتمه؛ خط: نستعليق، بی كا، تا: قرن ۱۰ ؛ كاغذ: سفيد ترمه، جلد: مشكی مقوايی عطف تيماج  قهوه ای، ۱۰ گ ( ۲۵۵ ر- ۲۶۴ پ)، ۲۳ سطر ( ۶</w:t>
      </w:r>
      <w:r>
        <w:rPr>
          <w:rFonts w:ascii="Times New Roman" w:hAnsi="Times New Roman" w:eastAsia="Times New Roman" w:cs="Times New Roman"/>
          <w:lang w:val="en-US" w:bidi="en-US"/>
          <w:color w:val="111111"/>
          <w:sz w:val="28"/>
          <w:szCs w:val="28"/>
          <w:rtl/>
        </w:rPr>
        <w:t xml:space="preserve">×9) </w:t>
      </w:r>
      <w:r>
        <w:rPr>
          <w:rFonts w:ascii="IRNazanin" w:hAnsi="IRNazanin" w:eastAsia="IRNazanin" w:cs="IRNazanin"/>
          <w:lang w:bidi="fa-IR"/>
          <w:color w:val="111111"/>
          <w:sz w:val="28"/>
          <w:szCs w:val="28"/>
          <w:rtl/>
        </w:rPr>
        <w:t xml:space="preserve">، اندازه: 17</w:t>
      </w:r>
      <w:r>
        <w:rPr>
          <w:rFonts w:ascii="Times New Roman" w:hAnsi="Times New Roman" w:eastAsia="Times New Roman" w:cs="Times New Roman"/>
          <w:lang w:val="en-US" w:bidi="en-US"/>
          <w:color w:val="111111"/>
          <w:sz w:val="28"/>
          <w:szCs w:val="28"/>
          <w:rtl/>
        </w:rPr>
        <w:t xml:space="preserve">×26/5 </w:t>
      </w:r>
      <w:r>
        <w:rPr>
          <w:rFonts w:ascii="IRNazanin" w:hAnsi="IRNazanin" w:eastAsia="IRNazanin" w:cs="IRNazanin"/>
          <w:lang w:bidi="fa-IR"/>
          <w:color w:val="111111"/>
          <w:sz w:val="28"/>
          <w:szCs w:val="28"/>
          <w:rtl/>
        </w:rPr>
        <w:t xml:space="preserve">سم [سنا - ف: 1- 327]</w:t>
      </w:r>
    </w:p>
    <w:p>
      <w:pPr>
        <w:pStyle w:val="BookText"/>
      </w:pPr>
      <w:r>
        <w:rPr>
          <w:rFonts w:ascii="IRNazanin" w:hAnsi="IRNazanin" w:eastAsia="IRNazanin" w:cs="IRNazanin"/>
          <w:lang w:bidi="fa-IR"/>
          <w:color w:val="111111"/>
          <w:sz w:val="28"/>
          <w:szCs w:val="28"/>
          <w:rtl/>
        </w:rPr>
        <w:t xml:space="preserve">تهران؛ دانشگاه؛ شماره نسخه: ۱۶/ 3497-ف</w:t>
      </w:r>
    </w:p>
    <w:p>
      <w:pPr>
        <w:pStyle w:val="BookText"/>
      </w:pPr>
      <w:r>
        <w:rPr>
          <w:rFonts w:ascii="Amiri" w:hAnsi="Amiri" w:eastAsia="Amiri" w:cs="Amiri"/>
          <w:lang w:bidi="ar-SA"/>
          <w:color w:val="111111"/>
          <w:sz w:val="28"/>
          <w:szCs w:val="28"/>
          <w:rtl/>
        </w:rPr>
        <w:t xml:space="preserve">نسخه اصل: همان نسخه بالا [فيلم ها-ف: ۲- 154]</w:t>
      </w:r>
    </w:p>
    <w:p>
      <w:pPr>
        <w:pStyle w:val="BookText"/>
      </w:pPr>
      <w:r>
        <w:rPr>
          <w:rFonts w:ascii="IRNazanin" w:hAnsi="IRNazanin" w:eastAsia="IRNazanin" w:cs="IRNazanin"/>
          <w:lang w:bidi="fa-IR"/>
          <w:color w:val="111111"/>
          <w:sz w:val="28"/>
          <w:szCs w:val="28"/>
          <w:rtl/>
        </w:rPr>
        <w:t xml:space="preserve">٦. قم؛ مرعشی؛ شماره نسخه: 6/ 14362</w:t>
      </w:r>
    </w:p>
    <w:p>
      <w:pPr>
        <w:pStyle w:val="BookText"/>
      </w:pPr>
      <w:r>
        <w:rPr>
          <w:rFonts w:ascii="IRNazanin" w:hAnsi="IRNazanin" w:eastAsia="IRNazanin" w:cs="IRNazanin"/>
          <w:lang w:bidi="fa-IR"/>
          <w:color w:val="111111"/>
          <w:sz w:val="28"/>
          <w:szCs w:val="28"/>
          <w:rtl/>
        </w:rPr>
        <w:t xml:space="preserve">آغاز: برابر ۲؛ انجام: الا بعضی از ارباب رياضت را كه از بدن بكلی منخلع شده اند و الله أعلم بالصواب</w:t>
      </w:r>
    </w:p>
    <w:p>
      <w:pPr>
        <w:pStyle w:val="BookText"/>
      </w:pPr>
      <w:r>
        <w:rPr>
          <w:rFonts w:ascii="IRNazanin" w:hAnsi="IRNazanin" w:eastAsia="IRNazanin" w:cs="IRNazanin"/>
          <w:lang w:bidi="fa-IR"/>
          <w:color w:val="111111"/>
          <w:sz w:val="28"/>
          <w:szCs w:val="28"/>
          <w:rtl/>
        </w:rPr>
        <w:t xml:space="preserve">در فهرست با عنوان «اختلاف اهل الظاهر و التأويل - پاسخ پرسش های اسکندر»؛ خط: نستعليق، کا: علاءالدين قاضی ؛ (صاحب مجموعه)، تا: قرن ۱۰ ؛ كاغذ: شرقی، ۱۲ گ ( ۳۱- 42) در  حاشيه [ف: ۳۶- 265]</w:t>
      </w:r>
    </w:p>
    <w:p>
      <w:pPr>
        <w:pStyle w:val="BookText"/>
      </w:pPr>
      <w:r>
        <w:rPr>
          <w:rFonts w:ascii="Amiri" w:hAnsi="Amiri" w:eastAsia="Amiri" w:cs="Amiri"/>
          <w:lang w:bidi="ar-SA"/>
          <w:color w:val="111111"/>
          <w:sz w:val="28"/>
          <w:szCs w:val="28"/>
          <w:rtl/>
        </w:rPr>
        <w:t xml:space="preserve">٧. تهران؛ ملك؛ شماره نسخه: ١٨/ 1666</w:t>
      </w:r>
    </w:p>
    <w:p>
      <w:pPr>
        <w:pStyle w:val="BookText"/>
      </w:pPr>
      <w:r>
        <w:rPr>
          <w:rFonts w:ascii="IRNazanin" w:hAnsi="IRNazanin" w:eastAsia="IRNazanin" w:cs="IRNazanin"/>
          <w:lang w:bidi="fa-IR"/>
          <w:color w:val="111111"/>
          <w:sz w:val="28"/>
          <w:szCs w:val="28"/>
          <w:rtl/>
        </w:rPr>
        <w:t xml:space="preserve">آغاز: برابر ١؛ انجام: برابر ١</w:t>
      </w:r>
    </w:p>
    <w:p>
      <w:pPr>
        <w:pStyle w:val="BookText"/>
      </w:pPr>
      <w:r>
        <w:rPr>
          <w:rFonts w:ascii="IRNazanin" w:hAnsi="IRNazanin" w:eastAsia="IRNazanin" w:cs="IRNazanin"/>
          <w:lang w:bidi="fa-IR"/>
          <w:color w:val="111111"/>
          <w:sz w:val="28"/>
          <w:szCs w:val="28"/>
          <w:rtl/>
        </w:rPr>
        <w:t xml:space="preserve">در فهرست با عنوان « رساله کلامی »  و بدون مؤلف. در فهرست در  توضيح مطالب چنين آمده است:با عنوان فصل: حکمت آفرينش، آفريده اول، ترکيب روح و بدن، فرشته، جبرئيل، مردم معتاد، اعراف، معراج پيامبر»؛خط: نستعليق، كا: علی بن شعبان ، رومی علائی، تا: با تاريخ ١٠٠٠ ق؛ تملک: فرهاد ميرزا ١٢٨٢،ميرمحمد منير مدرس پسر يوسف با مهر « يوسف » كاغذ: فرنگی،  جلد: ميشن سياه، اندازه: ١٢</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سم[ف: 5- 325]</w:t>
      </w:r>
    </w:p>
    <w:p>
      <w:pPr>
        <w:pStyle w:val="BookText"/>
      </w:pPr>
      <w:r>
        <w:rPr>
          <w:rFonts w:ascii="IRNazanin" w:hAnsi="IRNazanin" w:eastAsia="IRNazanin" w:cs="IRNazanin"/>
          <w:lang w:bidi="fa-IR"/>
          <w:color w:val="111111"/>
          <w:sz w:val="28"/>
          <w:szCs w:val="28"/>
          <w:rtl/>
        </w:rPr>
        <w:t xml:space="preserve">٨. تهران؛ ملی؛ شماره نسخه: ۵/ 2114</w:t>
      </w:r>
    </w:p>
    <w:p>
      <w:pPr>
        <w:pStyle w:val="BookText"/>
      </w:pPr>
      <w:r>
        <w:rPr>
          <w:rFonts w:ascii="IRNazanin" w:hAnsi="IRNazanin" w:eastAsia="IRNazanin" w:cs="IRNazanin"/>
          <w:lang w:bidi="fa-IR"/>
          <w:color w:val="111111"/>
          <w:sz w:val="28"/>
          <w:szCs w:val="28"/>
          <w:rtl/>
        </w:rPr>
        <w:t xml:space="preserve">آغاز: بسمله و به نستعين، هذه اسؤله التی عرض السلطان الاعظم اسکندر خان؛ انجام: برابر ۱</w:t>
      </w:r>
    </w:p>
    <w:p>
      <w:pPr>
        <w:pStyle w:val="BookText"/>
      </w:pPr>
      <w:r>
        <w:rPr>
          <w:rFonts w:ascii="IRNazanin" w:hAnsi="IRNazanin" w:eastAsia="IRNazanin" w:cs="IRNazanin"/>
          <w:lang w:bidi="fa-IR"/>
          <w:color w:val="111111"/>
          <w:sz w:val="28"/>
          <w:szCs w:val="28"/>
          <w:rtl/>
        </w:rPr>
        <w:t xml:space="preserve">خط: نسخ و نستعليق، بي كا، تا: محتملاً قرن ۱۱ ؛ كاغذ: بخارائی،  جلد: تيماج ماشی يك لا، ۳۳ ص، ۱۷ سطر ( ۶</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اندازه: 10</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 [ف: 5- 130]</w:t>
      </w:r>
    </w:p>
    <w:p>
      <w:pPr>
        <w:pStyle w:val="BookText"/>
      </w:pPr>
      <w:r>
        <w:rPr>
          <w:rFonts w:ascii="IRNazanin" w:hAnsi="IRNazanin" w:eastAsia="IRNazanin" w:cs="IRNazanin"/>
          <w:lang w:bidi="fa-IR"/>
          <w:color w:val="111111"/>
          <w:sz w:val="28"/>
          <w:szCs w:val="28"/>
          <w:rtl/>
        </w:rPr>
        <w:t xml:space="preserve">٩. قم؛ مرعشی؛ شماره نسخه: ۳/ 14739</w:t>
      </w:r>
    </w:p>
    <w:p>
      <w:pPr>
        <w:pStyle w:val="BookText"/>
      </w:pPr>
      <w:r>
        <w:rPr>
          <w:rFonts w:ascii="IRNazanin" w:hAnsi="IRNazanin" w:eastAsia="IRNazanin" w:cs="IRNazanin"/>
          <w:lang w:bidi="fa-IR"/>
          <w:color w:val="111111"/>
          <w:sz w:val="28"/>
          <w:szCs w:val="28"/>
          <w:rtl/>
        </w:rPr>
        <w:t xml:space="preserve">آغاز: برابر ۱؛ انجام: برابر ۲</w:t>
      </w:r>
    </w:p>
    <w:p>
      <w:pPr>
        <w:pStyle w:val="BookText"/>
      </w:pPr>
      <w:r>
        <w:rPr>
          <w:rFonts w:ascii="IRNazanin" w:hAnsi="IRNazanin" w:eastAsia="IRNazanin" w:cs="IRNazanin"/>
          <w:lang w:bidi="fa-IR"/>
          <w:color w:val="111111"/>
          <w:sz w:val="28"/>
          <w:szCs w:val="28"/>
          <w:rtl/>
        </w:rPr>
        <w:t xml:space="preserve">خط: نستعليق، بی كا، تا: نيمه نخست قرن ۱۱ ؛ مصحح، دارای عبارت« بلغ قبالا »  كاغذ: شرقی، ۵گ ( ۱۴ پ- ۱۸ ر)، ۳۱ سطر، اندازه: 12</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سم [ف: ۳۷ - 318]</w:t>
      </w:r>
    </w:p>
    <w:p>
      <w:pPr>
        <w:pStyle w:val="BookText"/>
      </w:pPr>
      <w:r>
        <w:rPr>
          <w:rFonts w:ascii="IRNazanin" w:hAnsi="IRNazanin" w:eastAsia="IRNazanin" w:cs="IRNazanin"/>
          <w:lang w:bidi="fa-IR"/>
          <w:color w:val="111111"/>
          <w:sz w:val="28"/>
          <w:szCs w:val="28"/>
          <w:rtl/>
        </w:rPr>
        <w:t xml:space="preserve">١٠ . تهران؛ مجلس؛ شماره نسخه: ۱/ 5690</w:t>
      </w:r>
    </w:p>
    <w:p>
      <w:pPr>
        <w:pStyle w:val="BookText"/>
      </w:pPr>
      <w:r>
        <w:rPr>
          <w:rFonts w:ascii="IRNazanin" w:hAnsi="IRNazanin" w:eastAsia="IRNazanin" w:cs="IRNazanin"/>
          <w:lang w:bidi="fa-IR"/>
          <w:color w:val="111111"/>
          <w:sz w:val="28"/>
          <w:szCs w:val="28"/>
          <w:rtl/>
        </w:rPr>
        <w:t xml:space="preserve">خط: نستعليق، بی كا، تا: قرن ۱۱ ؛ كاغذ: اصفهانی ضخيم، جلد:تيماج مشكی يك لا، ۲۲ ص ( ۱-22) ۱۵ سطر، قطع: رقعی، اندازه:12/5</w:t>
      </w:r>
      <w:r>
        <w:rPr>
          <w:rFonts w:ascii="Times New Roman" w:hAnsi="Times New Roman" w:eastAsia="Times New Roman" w:cs="Times New Roman"/>
          <w:lang w:val="en-US" w:bidi="en-US"/>
          <w:color w:val="111111"/>
          <w:sz w:val="28"/>
          <w:szCs w:val="28"/>
          <w:rtl/>
        </w:rPr>
        <w:t xml:space="preserve">×20/5</w:t>
      </w:r>
    </w:p>
    <w:p>
      <w:pPr>
        <w:pStyle w:val="BookText"/>
      </w:pPr>
      <w:r>
        <w:rPr>
          <w:rFonts w:ascii="IRNazanin" w:hAnsi="IRNazanin" w:eastAsia="IRNazanin" w:cs="IRNazanin"/>
          <w:lang w:bidi="fa-IR"/>
          <w:color w:val="111111"/>
          <w:sz w:val="28"/>
          <w:szCs w:val="28"/>
          <w:rtl/>
        </w:rPr>
        <w:t xml:space="preserve">سم [ف: 17- 142]</w:t>
      </w:r>
    </w:p>
    <w:p>
      <w:pPr>
        <w:pStyle w:val="BookText"/>
      </w:pPr>
      <w:r>
        <w:rPr>
          <w:rFonts w:ascii="IRNazanin" w:hAnsi="IRNazanin" w:eastAsia="IRNazanin" w:cs="IRNazanin"/>
          <w:lang w:bidi="fa-IR"/>
          <w:color w:val="111111"/>
          <w:sz w:val="28"/>
          <w:szCs w:val="28"/>
          <w:rtl/>
        </w:rPr>
        <w:t xml:space="preserve">١١ . مشهد؛ رضوی؛ شماره نسخه: ١٢٩</w:t>
      </w:r>
    </w:p>
    <w:p>
      <w:pPr>
        <w:pStyle w:val="BookText"/>
      </w:pPr>
      <w:r>
        <w:rPr>
          <w:rFonts w:ascii="IRNazanin" w:hAnsi="IRNazanin" w:eastAsia="IRNazanin" w:cs="IRNazanin"/>
          <w:lang w:bidi="fa-IR"/>
          <w:color w:val="111111"/>
          <w:sz w:val="28"/>
          <w:szCs w:val="28"/>
          <w:rtl/>
        </w:rPr>
        <w:t xml:space="preserve">آغاز: برابر ١؛ انجام: برابر ١</w:t>
      </w:r>
    </w:p>
    <w:p>
      <w:pPr>
        <w:pStyle w:val="BookText"/>
      </w:pPr>
      <w:r>
        <w:rPr>
          <w:rFonts w:ascii="IRNazanin" w:hAnsi="IRNazanin" w:eastAsia="IRNazanin" w:cs="IRNazanin"/>
          <w:lang w:bidi="fa-IR"/>
          <w:color w:val="111111"/>
          <w:sz w:val="28"/>
          <w:szCs w:val="28"/>
          <w:rtl/>
        </w:rPr>
        <w:t xml:space="preserve">در فهرست با عنوان« رساله در اصول دين »  خط: نستعليق،كا: عنايت الله ديلمانی، تا: ١٠٢١ ق؛ در صدر رساله نوشته شده: «رساله مير سيد شريف علامه جرجاني كه بجهة سلطان ابوسعيد طغرل تصنيف كرده بود»، اين رساله بدون خطابه و مقدمه آغاز شده؛ واقف: ملاموسی ؛ كاغذ: نخودی آهار مهره، جلد: پارچه ای ،زرد اخری، ١٦ گ، ١٥ سطر، اندازه: ١٠</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سم[ف: 1- 44]</w:t>
      </w:r>
    </w:p>
    <w:p>
      <w:pPr>
        <w:pStyle w:val="BookText"/>
      </w:pPr>
      <w:r>
        <w:rPr>
          <w:rFonts w:ascii="IRNazanin" w:hAnsi="IRNazanin" w:eastAsia="IRNazanin" w:cs="IRNazanin"/>
          <w:lang w:bidi="fa-IR"/>
          <w:color w:val="111111"/>
          <w:sz w:val="28"/>
          <w:szCs w:val="28"/>
          <w:rtl/>
        </w:rPr>
        <w:t xml:space="preserve">١٢ . شيراز؛ شاهچراغ؛ شماره نسخه: ۱/ 35</w:t>
      </w:r>
    </w:p>
    <w:p>
      <w:pPr>
        <w:pStyle w:val="BookText"/>
      </w:pPr>
      <w:r>
        <w:rPr>
          <w:rFonts w:ascii="IRNazanin" w:hAnsi="IRNazanin" w:eastAsia="IRNazanin" w:cs="IRNazanin"/>
          <w:lang w:bidi="fa-IR"/>
          <w:color w:val="111111"/>
          <w:sz w:val="28"/>
          <w:szCs w:val="28"/>
          <w:rtl/>
        </w:rPr>
        <w:t xml:space="preserve">آغاز: برابر ۱؛ انجام: برابر ۱</w:t>
      </w:r>
    </w:p>
    <w:p>
      <w:pPr>
        <w:pStyle w:val="BookText"/>
      </w:pPr>
      <w:r>
        <w:rPr>
          <w:rFonts w:ascii="IRNazanin" w:hAnsi="IRNazanin" w:eastAsia="IRNazanin" w:cs="IRNazanin"/>
          <w:lang w:bidi="fa-IR"/>
          <w:color w:val="111111"/>
          <w:sz w:val="28"/>
          <w:szCs w:val="28"/>
          <w:rtl/>
        </w:rPr>
        <w:t xml:space="preserve">خط: نسخ، بی كا، تا: ۱۰۳۰ ق؛ كاغذ: نخودی، جلد: مقوا با تيماج مشکی، 19گ، 16سطر(5/5</w:t>
      </w:r>
      <w:r>
        <w:rPr>
          <w:rFonts w:ascii="Times New Roman" w:hAnsi="Times New Roman" w:eastAsia="Times New Roman" w:cs="Times New Roman"/>
          <w:lang w:val="en-US" w:bidi="en-US"/>
          <w:color w:val="111111"/>
          <w:sz w:val="28"/>
          <w:szCs w:val="28"/>
          <w:rtl/>
        </w:rPr>
        <w:t xml:space="preserve">×11/5)</w:t>
      </w:r>
      <w:r>
        <w:rPr>
          <w:rFonts w:ascii="IRNazanin" w:hAnsi="IRNazanin" w:eastAsia="IRNazanin" w:cs="IRNazanin"/>
          <w:lang w:bidi="fa-IR"/>
          <w:color w:val="111111"/>
          <w:sz w:val="28"/>
          <w:szCs w:val="28"/>
          <w:rtl/>
        </w:rPr>
        <w:t xml:space="preserve">، اندازه: 9</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سم[ف: 2- 385]</w:t>
      </w:r>
    </w:p>
    <w:p>
      <w:pPr>
        <w:pStyle w:val="BookText"/>
      </w:pPr>
      <w:r>
        <w:rPr>
          <w:rFonts w:ascii="IRNazanin" w:hAnsi="IRNazanin" w:eastAsia="IRNazanin" w:cs="IRNazanin"/>
          <w:lang w:bidi="fa-IR"/>
          <w:color w:val="111111"/>
          <w:sz w:val="28"/>
          <w:szCs w:val="28"/>
          <w:rtl/>
        </w:rPr>
        <w:t xml:space="preserve">١٣ . قم؛ مرعشی؛ شماره نسخه: ۶</w:t>
      </w:r>
    </w:p>
    <w:p>
      <w:pPr>
        <w:pStyle w:val="BookText"/>
      </w:pPr>
      <w:r>
        <w:rPr>
          <w:rFonts w:ascii="IRNazanin" w:hAnsi="IRNazanin" w:eastAsia="IRNazanin" w:cs="IRNazanin"/>
          <w:lang w:bidi="fa-IR"/>
          <w:color w:val="111111"/>
          <w:sz w:val="28"/>
          <w:szCs w:val="28"/>
          <w:rtl/>
        </w:rPr>
        <w:t xml:space="preserve">آغاز: برابر ۱؛ انجام: برابر ۲</w:t>
      </w:r>
    </w:p>
    <w:p>
      <w:pPr>
        <w:pStyle w:val="BookText"/>
      </w:pPr>
      <w:r>
        <w:rPr>
          <w:rFonts w:ascii="IRNazanin" w:hAnsi="IRNazanin" w:eastAsia="IRNazanin" w:cs="IRNazanin"/>
          <w:lang w:bidi="fa-IR"/>
          <w:color w:val="111111"/>
          <w:sz w:val="28"/>
          <w:szCs w:val="28"/>
          <w:rtl/>
        </w:rPr>
        <w:t xml:space="preserve">خط: نستعليق، کا: شيخ امين الدين نصيرالدين محمد خفركی، تا:با تاريخ ۱۰۳۱ ق؛ سطرها چليپا، مجدول؛ تملک: موسی خان کروسی به تاريخ ۱۲۴۸ ، محمد نصير الشريف ابن عنايت الله، محمد ابراهيم، محمد علی؛ مهر:«اردشیر»(بيضی)؛ جلد: دو رو تيماج رو مشكی، ۴گ ( ۲۲۶ پ- ۲۲۹ ر)، اندازه: ۱۹</w:t>
      </w:r>
      <w:r>
        <w:rPr>
          <w:rFonts w:ascii="Times New Roman" w:hAnsi="Times New Roman" w:eastAsia="Times New Roman" w:cs="Times New Roman"/>
          <w:lang w:val="en-US" w:bidi="en-US"/>
          <w:color w:val="111111"/>
          <w:sz w:val="28"/>
          <w:szCs w:val="28"/>
          <w:rtl/>
        </w:rPr>
        <w:t xml:space="preserve">×30</w:t>
      </w:r>
      <w:r>
        <w:rPr>
          <w:rFonts w:ascii="IRNazanin" w:hAnsi="IRNazanin" w:eastAsia="IRNazanin" w:cs="IRNazanin"/>
          <w:lang w:bidi="fa-IR"/>
          <w:color w:val="111111"/>
          <w:sz w:val="28"/>
          <w:szCs w:val="28"/>
          <w:rtl/>
        </w:rPr>
        <w:t xml:space="preserve">سم[ف: 14- 68]</w:t>
      </w:r>
    </w:p>
    <w:p>
      <w:pPr>
        <w:pStyle w:val="BookText"/>
      </w:pPr>
      <w:r>
        <w:rPr>
          <w:rFonts w:ascii="IRNazanin" w:hAnsi="IRNazanin" w:eastAsia="IRNazanin" w:cs="IRNazanin"/>
          <w:lang w:bidi="fa-IR"/>
          <w:color w:val="111111"/>
          <w:sz w:val="28"/>
          <w:szCs w:val="28"/>
          <w:rtl/>
        </w:rPr>
        <w:t xml:space="preserve">١٤ . تبريز؛ ملی؛ شماره نسخه: ۳/ 3232</w:t>
      </w:r>
    </w:p>
    <w:p>
      <w:pPr>
        <w:pStyle w:val="BookText"/>
      </w:pPr>
      <w:r>
        <w:rPr>
          <w:rFonts w:ascii="IRNazanin" w:hAnsi="IRNazanin" w:eastAsia="IRNazanin" w:cs="IRNazanin"/>
          <w:lang w:bidi="fa-IR"/>
          <w:color w:val="111111"/>
          <w:sz w:val="28"/>
          <w:szCs w:val="28"/>
          <w:rtl/>
        </w:rPr>
        <w:t xml:space="preserve">آغاز: برابر ۱؛ انجام: برابر ۱</w:t>
      </w:r>
    </w:p>
    <w:p>
      <w:pPr>
        <w:pStyle w:val="BookText"/>
      </w:pPr>
      <w:r>
        <w:rPr>
          <w:rFonts w:ascii="IRNazanin" w:hAnsi="IRNazanin" w:eastAsia="IRNazanin" w:cs="IRNazanin"/>
          <w:lang w:bidi="fa-IR"/>
          <w:color w:val="111111"/>
          <w:sz w:val="28"/>
          <w:szCs w:val="28"/>
          <w:rtl/>
        </w:rPr>
        <w:t xml:space="preserve">خط: نستعليق، بی كا، تا: رجب ۱۰۳۲ ق؛ كاغذ: فرنگی، جلد:  چرمی ضربی، ۱۷ گ، ۱۱ سطر، اندازه: ۱۳</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سم[ف: 2- 815]</w:t>
      </w:r>
    </w:p>
    <w:p>
      <w:pPr>
        <w:pStyle w:val="BookText"/>
      </w:pPr>
      <w:r>
        <w:rPr>
          <w:rFonts w:ascii="IRNazanin" w:hAnsi="IRNazanin" w:eastAsia="IRNazanin" w:cs="IRNazanin"/>
          <w:lang w:bidi="fa-IR"/>
          <w:color w:val="111111"/>
          <w:sz w:val="28"/>
          <w:szCs w:val="28"/>
          <w:rtl/>
        </w:rPr>
        <w:t xml:space="preserve">١٥ . قم؛ گلپايگانی؛ شماره نسخه: ۶/ 4976- 66/ 25</w:t>
      </w:r>
    </w:p>
    <w:p>
      <w:pPr>
        <w:pStyle w:val="BookText"/>
      </w:pPr>
      <w:r>
        <w:rPr>
          <w:rFonts w:ascii="IRNazanin" w:hAnsi="IRNazanin" w:eastAsia="IRNazanin" w:cs="IRNazanin"/>
          <w:lang w:bidi="fa-IR"/>
          <w:color w:val="111111"/>
          <w:sz w:val="28"/>
          <w:szCs w:val="28"/>
          <w:rtl/>
        </w:rPr>
        <w:t xml:space="preserve">آغاز: بسمله سؤالاتی که حضرت اميرزاده اسکندر که حاکم شيراز بوده از حضرت سلطان العارفين سيدشريف رحمة الله کرده؛</w:t>
      </w:r>
    </w:p>
    <w:p>
      <w:pPr>
        <w:pStyle w:val="BookText"/>
      </w:pPr>
      <w:r>
        <w:rPr>
          <w:rFonts w:ascii="IRNazanin" w:hAnsi="IRNazanin" w:eastAsia="IRNazanin" w:cs="IRNazanin"/>
          <w:lang w:bidi="fa-IR"/>
          <w:color w:val="111111"/>
          <w:sz w:val="28"/>
          <w:szCs w:val="28"/>
          <w:rtl/>
        </w:rPr>
        <w:t xml:space="preserve">انجام: برابر</w:t>
      </w:r>
    </w:p>
    <w:p>
      <w:pPr>
        <w:pStyle w:val="BookText"/>
      </w:pPr>
      <w:r>
        <w:rPr>
          <w:rFonts w:ascii="IRNazanin" w:hAnsi="IRNazanin" w:eastAsia="IRNazanin" w:cs="IRNazanin"/>
          <w:lang w:bidi="fa-IR"/>
          <w:color w:val="111111"/>
          <w:sz w:val="28"/>
          <w:szCs w:val="28"/>
          <w:rtl/>
        </w:rPr>
        <w:t xml:space="preserve">خط: نستعليق شكسته، بي كا، تا: سلخ ذيقعده ۱۰۳۴ ق، جلد: مقوا، ۸گ، ۲۱ سطر، اندازه: ۱۲</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سم[ف: 1- 360]</w:t>
      </w:r>
    </w:p>
    <w:p>
      <w:pPr>
        <w:pStyle w:val="BookText"/>
      </w:pPr>
      <w:r>
        <w:rPr>
          <w:rFonts w:ascii="IRNazanin" w:hAnsi="IRNazanin" w:eastAsia="IRNazanin" w:cs="IRNazanin"/>
          <w:lang w:bidi="fa-IR"/>
          <w:color w:val="111111"/>
          <w:sz w:val="28"/>
          <w:szCs w:val="28"/>
          <w:rtl/>
        </w:rPr>
        <w:t xml:space="preserve">١٦ . تهران؛ مجلس؛ شماره نسخه: ۲۶/ 8948</w:t>
      </w:r>
    </w:p>
    <w:p>
      <w:pPr>
        <w:pStyle w:val="BookText"/>
      </w:pPr>
      <w:r>
        <w:rPr>
          <w:rFonts w:ascii="IRNazanin" w:hAnsi="IRNazanin" w:eastAsia="IRNazanin" w:cs="IRNazanin"/>
          <w:lang w:bidi="fa-IR"/>
          <w:color w:val="111111"/>
          <w:sz w:val="28"/>
          <w:szCs w:val="28"/>
          <w:rtl/>
        </w:rPr>
        <w:t xml:space="preserve">آغاز: برابر ۱؛ انجام: برابر ۱</w:t>
      </w:r>
    </w:p>
    <w:p>
      <w:pPr>
        <w:pStyle w:val="BookText"/>
      </w:pPr>
      <w:r>
        <w:rPr>
          <w:rFonts w:ascii="IRNazanin" w:hAnsi="IRNazanin" w:eastAsia="IRNazanin" w:cs="IRNazanin"/>
          <w:lang w:bidi="fa-IR"/>
          <w:color w:val="111111"/>
          <w:sz w:val="28"/>
          <w:szCs w:val="28"/>
          <w:rtl/>
        </w:rPr>
        <w:t xml:space="preserve">كامل. در صدر نسخه آمده است :«رساله که ميرسيد شريف  جرجانی به جهت سلطان ابوسعيد طغرل تصنيف کرده»؛خط: نستعليق شكسته، کا: خليل ذوالقدر، تا: ۱۰۵۴ ق، جا: احمدآباد گجرات؛ رساله های بعد از آن در مجموعه: ۲۷ . فايده ای نجومی درباره برجها و حالات كواكب ( ۲۶۳ ر)، ۲۸ . احاديثی از امام صادق و اميرالمؤمنين ( ۲۶۳ ر)، ۲۹ . از اعجاز خسروی ( ۲۶۳ پ)؛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كاغذ: الوان آهار مهره، جلد: تيماج قهوه ای ضربی با ترنج و سرترنج ، ۶برگ، ( ۲۵۸ ر- ۲۶۳ ر)، ابعاد متن: 10/5</w:t>
      </w:r>
      <w:r>
        <w:rPr>
          <w:rFonts w:ascii="Times New Roman" w:hAnsi="Times New Roman" w:eastAsia="Times New Roman" w:cs="Times New Roman"/>
          <w:lang w:val="en-US" w:bidi="en-US"/>
          <w:color w:val="111111"/>
          <w:sz w:val="28"/>
          <w:szCs w:val="28"/>
          <w:rtl/>
        </w:rPr>
        <w:t xml:space="preserve">×23/5</w:t>
      </w:r>
      <w:r>
        <w:rPr>
          <w:rFonts w:ascii="IRNazanin" w:hAnsi="IRNazanin" w:eastAsia="IRNazanin" w:cs="IRNazanin"/>
          <w:lang w:bidi="fa-IR"/>
          <w:color w:val="111111"/>
          <w:sz w:val="28"/>
          <w:szCs w:val="28"/>
          <w:rtl/>
        </w:rPr>
        <w:t xml:space="preserve">، اندازه: 14/4</w:t>
      </w:r>
      <w:r>
        <w:rPr>
          <w:rFonts w:ascii="Times New Roman" w:hAnsi="Times New Roman" w:eastAsia="Times New Roman" w:cs="Times New Roman"/>
          <w:lang w:val="en-US" w:bidi="en-US"/>
          <w:color w:val="111111"/>
          <w:sz w:val="28"/>
          <w:szCs w:val="28"/>
          <w:rtl/>
        </w:rPr>
        <w:t xml:space="preserve">×4/ 26</w:t>
      </w:r>
      <w:r>
        <w:rPr>
          <w:rFonts w:ascii="IRNazanin" w:hAnsi="IRNazanin" w:eastAsia="IRNazanin" w:cs="IRNazanin"/>
          <w:lang w:bidi="fa-IR"/>
          <w:color w:val="111111"/>
          <w:sz w:val="28"/>
          <w:szCs w:val="28"/>
          <w:rtl/>
        </w:rPr>
        <w:t xml:space="preserve">سم[ف: 1/ 29- 441]</w:t>
      </w:r>
    </w:p>
    <w:p>
      <w:pPr>
        <w:pStyle w:val="BookText"/>
      </w:pPr>
      <w:r>
        <w:rPr>
          <w:rFonts w:ascii="IRNazanin" w:hAnsi="IRNazanin" w:eastAsia="IRNazanin" w:cs="IRNazanin"/>
          <w:lang w:bidi="fa-IR"/>
          <w:color w:val="111111"/>
          <w:sz w:val="28"/>
          <w:szCs w:val="28"/>
          <w:rtl/>
        </w:rPr>
        <w:t xml:space="preserve">١٧ . تهران؛ مجلس؛ شماره نسخه: ۱/ 10160</w:t>
      </w:r>
    </w:p>
    <w:p>
      <w:pPr>
        <w:pStyle w:val="BookText"/>
      </w:pPr>
      <w:r>
        <w:rPr>
          <w:rFonts w:ascii="IRNazanin" w:hAnsi="IRNazanin" w:eastAsia="IRNazanin" w:cs="IRNazanin"/>
          <w:lang w:bidi="fa-IR"/>
          <w:color w:val="111111"/>
          <w:sz w:val="28"/>
          <w:szCs w:val="28"/>
          <w:rtl/>
        </w:rPr>
        <w:t xml:space="preserve">آغاز: برابر ۱؛ انجام: ای بدرماندگی پناه همه ** كرم تست عذرخواه همه. والله اعلم بالصواب</w:t>
      </w:r>
    </w:p>
    <w:p>
      <w:pPr>
        <w:pStyle w:val="BookText"/>
      </w:pPr>
      <w:r>
        <w:rPr>
          <w:rFonts w:ascii="IRNazanin" w:hAnsi="IRNazanin" w:eastAsia="IRNazanin" w:cs="IRNazanin"/>
          <w:lang w:bidi="fa-IR"/>
          <w:color w:val="111111"/>
          <w:sz w:val="28"/>
          <w:szCs w:val="28"/>
          <w:rtl/>
        </w:rPr>
        <w:t xml:space="preserve">خط:نستعليق،بی كا،تا:با تاريخ ۱۰۵۷ ق؛جلد:تيماج قهوه ای مجدول، 135ص(1- 135) ، 17سطر،  اندازه: ۹ </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سم[ف: 32- 194]</w:t>
      </w:r>
    </w:p>
    <w:p>
      <w:pPr>
        <w:pStyle w:val="BookText"/>
      </w:pPr>
      <w:r>
        <w:rPr>
          <w:rFonts w:ascii="IRNazanin" w:hAnsi="IRNazanin" w:eastAsia="IRNazanin" w:cs="IRNazanin"/>
          <w:lang w:bidi="fa-IR"/>
          <w:color w:val="111111"/>
          <w:sz w:val="28"/>
          <w:szCs w:val="28"/>
          <w:rtl/>
        </w:rPr>
        <w:t xml:space="preserve">١٨ . تهران؛ مجلس؛ شماره نسخه: ۱۶/ 8915</w:t>
      </w:r>
    </w:p>
    <w:p>
      <w:pPr>
        <w:pStyle w:val="BookText"/>
      </w:pPr>
      <w:r>
        <w:rPr>
          <w:rFonts w:ascii="IRNazanin" w:hAnsi="IRNazanin" w:eastAsia="IRNazanin" w:cs="IRNazanin"/>
          <w:lang w:bidi="fa-IR"/>
          <w:color w:val="111111"/>
          <w:sz w:val="28"/>
          <w:szCs w:val="28"/>
          <w:rtl/>
        </w:rPr>
        <w:t xml:space="preserve">آغاز: برابر ۱؛ انجام: برابر ۱</w:t>
      </w:r>
    </w:p>
    <w:p>
      <w:pPr>
        <w:pStyle w:val="BookText"/>
      </w:pPr>
      <w:r>
        <w:rPr>
          <w:rFonts w:ascii="IRNazanin" w:hAnsi="IRNazanin" w:eastAsia="IRNazanin" w:cs="IRNazanin"/>
          <w:lang w:bidi="fa-IR"/>
          <w:color w:val="111111"/>
          <w:sz w:val="28"/>
          <w:szCs w:val="28"/>
          <w:rtl/>
        </w:rPr>
        <w:t xml:space="preserve">خط:نسخ و نستعليق،بی كا، تا: باتاريخ ۱۰۶۰ ق؛ كاغذ: نخودی آهار  مهره، جلد: تيماج مشكی ضربی با ترنج و سرترنج، ۳۷ ص ( ۲۵۷- 293)</w:t>
      </w:r>
    </w:p>
    <w:p>
      <w:pPr>
        <w:pStyle w:val="BookText"/>
      </w:pPr>
      <w:r>
        <w:rPr>
          <w:rFonts w:ascii="IRNazanin" w:hAnsi="IRNazanin" w:eastAsia="IRNazanin" w:cs="IRNazanin"/>
          <w:lang w:bidi="fa-IR"/>
          <w:color w:val="111111"/>
          <w:sz w:val="28"/>
          <w:szCs w:val="28"/>
          <w:rtl/>
        </w:rPr>
        <w:t xml:space="preserve">17سطر(5</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اندازه: 10/8</w:t>
      </w:r>
      <w:r>
        <w:rPr>
          <w:rFonts w:ascii="Times New Roman" w:hAnsi="Times New Roman" w:eastAsia="Times New Roman" w:cs="Times New Roman"/>
          <w:lang w:val="en-US" w:bidi="en-US"/>
          <w:color w:val="111111"/>
          <w:sz w:val="28"/>
          <w:szCs w:val="28"/>
          <w:rtl/>
        </w:rPr>
        <w:t xml:space="preserve">×18/8</w:t>
      </w:r>
      <w:r>
        <w:rPr>
          <w:rFonts w:ascii="IRNazanin" w:hAnsi="IRNazanin" w:eastAsia="IRNazanin" w:cs="IRNazanin"/>
          <w:lang w:bidi="fa-IR"/>
          <w:color w:val="111111"/>
          <w:sz w:val="28"/>
          <w:szCs w:val="28"/>
          <w:rtl/>
        </w:rPr>
        <w:t xml:space="preserve">سم [ف: 1/ 29- 324]</w:t>
      </w:r>
    </w:p>
    <w:p>
      <w:pPr>
        <w:pStyle w:val="BookText"/>
      </w:pPr>
      <w:r>
        <w:rPr>
          <w:rFonts w:ascii="IRNazanin" w:hAnsi="IRNazanin" w:eastAsia="IRNazanin" w:cs="IRNazanin"/>
          <w:lang w:bidi="fa-IR"/>
          <w:color w:val="111111"/>
          <w:sz w:val="28"/>
          <w:szCs w:val="28"/>
          <w:rtl/>
        </w:rPr>
        <w:t xml:space="preserve">١٩ . تهران؛ مجلس؛ شماره نسخه: ۳/ 332</w:t>
      </w:r>
    </w:p>
    <w:p>
      <w:pPr>
        <w:pStyle w:val="BookText"/>
      </w:pPr>
      <w:r>
        <w:rPr>
          <w:rFonts w:ascii="IRNazanin" w:hAnsi="IRNazanin" w:eastAsia="IRNazanin" w:cs="IRNazanin"/>
          <w:lang w:bidi="fa-IR"/>
          <w:color w:val="111111"/>
          <w:sz w:val="28"/>
          <w:szCs w:val="28"/>
          <w:rtl/>
        </w:rPr>
        <w:t xml:space="preserve">آغاز: برابر ۱؛ انجام: (پايان نسخه (فصل ۹):) در مثل اينحالت مصاحب نباشد و الله اعلم بالصواب [برابر با انجام ۲]. فصل دهم در وصيت مشاع احكام شريعت بافهام خواص و عوام ميرسد ... (پايان فصل دهم:) و اشارت ايشان به توحيد از آنجا ناشی  مي گردد. و الله الموفق. [برابر با انجام ۱]</w:t>
      </w:r>
    </w:p>
    <w:p>
      <w:pPr>
        <w:pStyle w:val="BookText"/>
      </w:pPr>
      <w:r>
        <w:rPr>
          <w:rFonts w:ascii="IRNazanin" w:hAnsi="IRNazanin" w:eastAsia="IRNazanin" w:cs="IRNazanin"/>
          <w:lang w:bidi="fa-IR"/>
          <w:color w:val="111111"/>
          <w:sz w:val="28"/>
          <w:szCs w:val="28"/>
          <w:rtl/>
        </w:rPr>
        <w:t xml:space="preserve">خط: شكسته نستعليق، بی كا، تا: ۱۰۶۳ ق؛ در نسخه حاضر پاسخ ها در نه فصل است و فصل دهم به قلم کاتبی ديگر بر آن افزوده شده است، کاتب اول كه نام خود را نياورده در ذيل نسخه به چليپا چنين نوشته است «حسب الاشاره مخدوم ملاذ دردمندان آقا محمد مؤمن اين اقل خليقة بل لا شی بالحقيقه محمد باقر باعث تتميم تحرير اين رساله شريفه گرديد و السلام تحريرا به تاريخ شهر جمادي الاول سنه ۱۶۳»[ با توجه به رساله قبل مجموعه بايد ۱۰۶۳ باشد]، تا ص ۳۹ به خط كاتب سابق يعني محمد مؤمن حسينی است و از آن پس را كاتب دوم نوشته و در پايان نسخه افزوده است:</w:t>
      </w:r>
    </w:p>
    <w:p>
      <w:pPr>
        <w:pStyle w:val="BookText"/>
      </w:pPr>
      <w:r>
        <w:rPr>
          <w:rFonts w:ascii="IRNazanin" w:hAnsi="IRNazanin" w:eastAsia="IRNazanin" w:cs="IRNazanin"/>
          <w:lang w:bidi="fa-IR"/>
          <w:color w:val="111111"/>
          <w:sz w:val="28"/>
          <w:szCs w:val="28"/>
          <w:rtl/>
        </w:rPr>
        <w:t xml:space="preserve">«تتمه رساله سابقست كه در نسخه ديگر ملاحظه شده تمت تحرير يافت» و پس از اين فصل دهم رساله را نوشته است؛ كاغذ: اصفهانی، جلد: تيماج سبز، ۱۸ ص ( ۳۵- 52)، 22- 26 سطر، قطع: بياض رقعی [ف: ۱۰- 978]</w:t>
      </w:r>
    </w:p>
    <w:p>
      <w:pPr>
        <w:pStyle w:val="BookText"/>
      </w:pPr>
      <w:r>
        <w:rPr>
          <w:rFonts w:ascii="IRNazanin" w:hAnsi="IRNazanin" w:eastAsia="IRNazanin" w:cs="IRNazanin"/>
          <w:lang w:bidi="fa-IR"/>
          <w:color w:val="111111"/>
          <w:sz w:val="28"/>
          <w:szCs w:val="28"/>
          <w:rtl/>
        </w:rPr>
        <w:t xml:space="preserve">٢٠ . تهران؛ مجلس؛ شماره نسخه: ۲۰/ 511-ط</w:t>
      </w:r>
    </w:p>
    <w:p>
      <w:pPr>
        <w:pStyle w:val="BookText"/>
      </w:pPr>
      <w:r>
        <w:rPr>
          <w:rFonts w:ascii="IRNazanin" w:hAnsi="IRNazanin" w:eastAsia="IRNazanin" w:cs="IRNazanin"/>
          <w:lang w:bidi="fa-IR"/>
          <w:color w:val="111111"/>
          <w:sz w:val="28"/>
          <w:szCs w:val="28"/>
          <w:rtl/>
        </w:rPr>
        <w:t xml:space="preserve">آغاز: برابر ۱؛ انجام: برابر ۱</w:t>
      </w:r>
    </w:p>
    <w:p>
      <w:pPr>
        <w:pStyle w:val="BookText"/>
      </w:pPr>
      <w:r>
        <w:rPr>
          <w:rFonts w:ascii="IRNazanin" w:hAnsi="IRNazanin" w:eastAsia="IRNazanin" w:cs="IRNazanin"/>
          <w:lang w:bidi="fa-IR"/>
          <w:color w:val="111111"/>
          <w:sz w:val="28"/>
          <w:szCs w:val="28"/>
          <w:rtl/>
        </w:rPr>
        <w:t xml:space="preserve">در نسخه حاضر فصل آخرين (وصيت مشايخ) شماره ۱۱ دارد؛ بی كا، تا: ۱۰۸۵ يا ۱۰۶۵ ؛ بر پشت آخرين برگ يادداشت های مختلف است به شعر و نثر و از آن جمله يادداشتی است درباره مونثات سماعی از شماره ۱ تا ۷۰ ؛ كاغذ: اصفهانی آهار مهره نخودی رنگ، جلد: تيماج قهوه ای، ۸گ ( ۲۸۵ پ- ۲۹۲ ر)، ۲۱  سطر، قطع: خشتی، اندازه: 14/5</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سم[ف: 22- 215]</w:t>
      </w:r>
    </w:p>
    <w:p>
      <w:pPr>
        <w:pStyle w:val="BookText"/>
      </w:pPr>
      <w:r>
        <w:rPr>
          <w:rFonts w:ascii="IRNazanin" w:hAnsi="IRNazanin" w:eastAsia="IRNazanin" w:cs="IRNazanin"/>
          <w:lang w:bidi="fa-IR"/>
          <w:color w:val="111111"/>
          <w:sz w:val="28"/>
          <w:szCs w:val="28"/>
          <w:rtl/>
        </w:rPr>
        <w:t xml:space="preserve">٢١ . مشهد؛ رضوی؛ شماره نسخه: ۶۳۵</w:t>
      </w:r>
    </w:p>
    <w:p>
      <w:pPr>
        <w:pStyle w:val="BookText"/>
      </w:pPr>
      <w:r>
        <w:rPr>
          <w:rFonts w:ascii="IRNazanin" w:hAnsi="IRNazanin" w:eastAsia="IRNazanin" w:cs="IRNazanin"/>
          <w:lang w:bidi="fa-IR"/>
          <w:color w:val="111111"/>
          <w:sz w:val="28"/>
          <w:szCs w:val="28"/>
          <w:rtl/>
        </w:rPr>
        <w:t xml:space="preserve">آغاز: برابر ۲؛ انجام: برابر ۱</w:t>
      </w:r>
    </w:p>
    <w:p>
      <w:pPr>
        <w:pStyle w:val="BookText"/>
      </w:pPr>
      <w:r>
        <w:rPr>
          <w:rFonts w:ascii="IRNazanin" w:hAnsi="IRNazanin" w:eastAsia="IRNazanin" w:cs="IRNazanin"/>
          <w:lang w:bidi="fa-IR"/>
          <w:color w:val="111111"/>
          <w:sz w:val="28"/>
          <w:szCs w:val="28"/>
          <w:rtl/>
        </w:rPr>
        <w:t xml:space="preserve">خط: نسخ، بی كا، بی تا؛ واقف: ابن خاتون، ۱۰۶۷، 20گ، 12سطر، اندازه: ۱۲</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سم[ف: 4- 21]</w:t>
      </w:r>
    </w:p>
    <w:p>
      <w:pPr>
        <w:pStyle w:val="BookText"/>
      </w:pPr>
      <w:r>
        <w:rPr>
          <w:rFonts w:ascii="IRNazanin" w:hAnsi="IRNazanin" w:eastAsia="IRNazanin" w:cs="IRNazanin"/>
          <w:lang w:bidi="fa-IR"/>
          <w:color w:val="111111"/>
          <w:sz w:val="28"/>
          <w:szCs w:val="28"/>
          <w:rtl/>
        </w:rPr>
        <w:t xml:space="preserve">٢٢ . تهران؛ مجلس؛ شماره نسخه: ۲۷/ 5180</w:t>
      </w:r>
    </w:p>
    <w:p>
      <w:pPr>
        <w:pStyle w:val="BookText"/>
      </w:pPr>
      <w:r>
        <w:rPr>
          <w:rFonts w:ascii="IRNazanin" w:hAnsi="IRNazanin" w:eastAsia="IRNazanin" w:cs="IRNazanin"/>
          <w:lang w:bidi="fa-IR"/>
          <w:color w:val="111111"/>
          <w:sz w:val="28"/>
          <w:szCs w:val="28"/>
          <w:rtl/>
        </w:rPr>
        <w:t xml:space="preserve">آغاز: برابر ۱؛ انجام: برابر ۱</w:t>
      </w:r>
    </w:p>
    <w:p>
      <w:pPr>
        <w:pStyle w:val="BookText"/>
      </w:pPr>
      <w:r>
        <w:rPr>
          <w:rFonts w:ascii="IRNazanin" w:hAnsi="IRNazanin" w:eastAsia="IRNazanin" w:cs="IRNazanin"/>
          <w:lang w:bidi="fa-IR"/>
          <w:color w:val="111111"/>
          <w:sz w:val="28"/>
          <w:szCs w:val="28"/>
          <w:rtl/>
        </w:rPr>
        <w:t xml:space="preserve">خط: نستعليق، بی كا، تا: ۱۰۶۹ ق؛ ۹گ ( ۲۸۱- 290)[ف: 15- 331]</w:t>
      </w:r>
    </w:p>
    <w:p>
      <w:pPr>
        <w:pStyle w:val="BookText"/>
      </w:pPr>
      <w:r>
        <w:rPr>
          <w:rFonts w:ascii="IRNazanin" w:hAnsi="IRNazanin" w:eastAsia="IRNazanin" w:cs="IRNazanin"/>
          <w:lang w:bidi="fa-IR"/>
          <w:color w:val="111111"/>
          <w:sz w:val="28"/>
          <w:szCs w:val="28"/>
          <w:rtl/>
        </w:rPr>
        <w:t xml:space="preserve">٢٣ . مشهد؛ رضوی؛ شماره نسخه: ٣٣٨٢٢</w:t>
      </w:r>
    </w:p>
    <w:p>
      <w:pPr>
        <w:pStyle w:val="BookText"/>
      </w:pPr>
      <w:r>
        <w:rPr>
          <w:rFonts w:ascii="IRNazanin" w:hAnsi="IRNazanin" w:eastAsia="IRNazanin" w:cs="IRNazanin"/>
          <w:lang w:bidi="fa-IR"/>
          <w:color w:val="111111"/>
          <w:sz w:val="28"/>
          <w:szCs w:val="28"/>
          <w:rtl/>
        </w:rPr>
        <w:t xml:space="preserve">آغاز: برابر ١؛ انجام: پيغمبر صلی الله عليه و آله را از آنجا برداشته شد تا به عرش رسيد و عجايب بي نهايت مشاهده گردد</w:t>
      </w:r>
    </w:p>
    <w:p>
      <w:pPr>
        <w:pStyle w:val="BookText"/>
      </w:pPr>
      <w:r>
        <w:rPr>
          <w:rFonts w:ascii="IRNazanin" w:hAnsi="IRNazanin" w:eastAsia="IRNazanin" w:cs="IRNazanin"/>
          <w:lang w:bidi="fa-IR"/>
          <w:color w:val="111111"/>
          <w:sz w:val="28"/>
          <w:szCs w:val="28"/>
          <w:rtl/>
        </w:rPr>
        <w:t xml:space="preserve">در فهرست با نام« رموز شرايع (رساله در »  آمده؛ خط: نستعليق، كا: محمد مؤمن، تا: ١٠٧٨ ق، افتادگی: انجام؛ ضميمه نسخه ش  ١٥٠٨٨ ؛ واقف: مكتبة الامام امير المومنين (علیه السّلام)، ارديبهشت ١٣٦٥،  كاغذ: فرنگی نخودی، جلد: گالينگور، ٦، 21سطر، اندازه:17</w:t>
      </w:r>
      <w:r>
        <w:rPr>
          <w:rFonts w:ascii="Times New Roman" w:hAnsi="Times New Roman" w:eastAsia="Times New Roman" w:cs="Times New Roman"/>
          <w:lang w:val="en-US" w:bidi="en-US"/>
          <w:color w:val="111111"/>
          <w:sz w:val="28"/>
          <w:szCs w:val="28"/>
          <w:rtl/>
        </w:rPr>
        <w:t xml:space="preserve">×28  </w:t>
      </w:r>
      <w:r>
        <w:rPr>
          <w:rFonts w:ascii="Amiri" w:hAnsi="Amiri" w:eastAsia="Amiri" w:cs="Amiri"/>
          <w:lang w:bidi="ar-SA"/>
          <w:color w:val="111111"/>
          <w:sz w:val="28"/>
          <w:szCs w:val="28"/>
          <w:rtl/>
        </w:rPr>
        <w:t xml:space="preserve">سم [الفبائي: 645]</w:t>
      </w:r>
    </w:p>
    <w:p>
      <w:pPr>
        <w:pStyle w:val="BookText"/>
      </w:pPr>
      <w:r>
        <w:rPr>
          <w:rFonts w:ascii="IRNazanin" w:hAnsi="IRNazanin" w:eastAsia="IRNazanin" w:cs="IRNazanin"/>
          <w:lang w:bidi="fa-IR"/>
          <w:color w:val="111111"/>
          <w:sz w:val="28"/>
          <w:szCs w:val="28"/>
          <w:rtl/>
        </w:rPr>
        <w:t xml:space="preserve">٢٤ . تهران؛ مجلس؛ شماره نسخه: ۵/ 10165</w:t>
      </w:r>
    </w:p>
    <w:p>
      <w:pPr>
        <w:pStyle w:val="BookText"/>
      </w:pPr>
      <w:r>
        <w:rPr>
          <w:rFonts w:ascii="Amiri" w:hAnsi="Amiri" w:eastAsia="Amiri" w:cs="Amiri"/>
          <w:lang w:bidi="ar-SA"/>
          <w:color w:val="111111"/>
          <w:sz w:val="28"/>
          <w:szCs w:val="28"/>
          <w:rtl/>
        </w:rPr>
        <w:t xml:space="preserve">آغاز: بسمله الحمد لله رب العالمين ... در شهور سنه خمس عشر و ثمانماة اسكندر بن عمر شيخ بن امير تيمور كوركان</w:t>
      </w:r>
    </w:p>
    <w:p>
      <w:pPr>
        <w:pStyle w:val="BookText"/>
      </w:pPr>
      <w:r>
        <w:rPr>
          <w:rFonts w:ascii="IRNazanin" w:hAnsi="IRNazanin" w:eastAsia="IRNazanin" w:cs="IRNazanin"/>
          <w:lang w:bidi="fa-IR"/>
          <w:color w:val="111111"/>
          <w:sz w:val="28"/>
          <w:szCs w:val="28"/>
          <w:rtl/>
        </w:rPr>
        <w:t xml:space="preserve">خط: نسخ، بی كا، تا: با تاريخ ۱۰۸۲ ق؛ ۱۳ ص ( ۱۴۵- 157)، اندازه: 12/5</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سم[ف: 32- 199]</w:t>
      </w:r>
    </w:p>
    <w:p>
      <w:pPr>
        <w:pStyle w:val="BookText"/>
      </w:pPr>
      <w:r>
        <w:rPr>
          <w:rFonts w:ascii="IRNazanin" w:hAnsi="IRNazanin" w:eastAsia="IRNazanin" w:cs="IRNazanin"/>
          <w:lang w:bidi="fa-IR"/>
          <w:color w:val="111111"/>
          <w:sz w:val="28"/>
          <w:szCs w:val="28"/>
          <w:rtl/>
        </w:rPr>
        <w:t xml:space="preserve">٢٥ . مشهد؛ رضوی؛ شماره نسخه:ض ۱۱۰۷۰</w:t>
      </w:r>
    </w:p>
    <w:p>
      <w:pPr>
        <w:pStyle w:val="BookText"/>
      </w:pPr>
      <w:r>
        <w:rPr>
          <w:rFonts w:ascii="Amiri" w:hAnsi="Amiri" w:eastAsia="Amiri" w:cs="Amiri"/>
          <w:lang w:bidi="ar-SA"/>
          <w:color w:val="111111"/>
          <w:sz w:val="28"/>
          <w:szCs w:val="28"/>
          <w:rtl/>
        </w:rPr>
        <w:t xml:space="preserve">آغاز: بسمله حمدله در شهور سنه خمس و ثمانمائه اسكندر بن عمر شيخ بن اميرتيمور؛ انجام: برابر ۲</w:t>
      </w:r>
    </w:p>
    <w:p>
      <w:pPr>
        <w:pStyle w:val="BookText"/>
      </w:pPr>
      <w:r>
        <w:rPr>
          <w:rFonts w:ascii="IRNazanin" w:hAnsi="IRNazanin" w:eastAsia="IRNazanin" w:cs="IRNazanin"/>
          <w:lang w:bidi="fa-IR"/>
          <w:color w:val="111111"/>
          <w:sz w:val="28"/>
          <w:szCs w:val="28"/>
          <w:rtl/>
        </w:rPr>
        <w:t xml:space="preserve">خط: نستعليق، کا: محمدخان، تا: ۱۰۸۲ ق؛ كاغذ: نخودی سرخی،  جلد: ميشن، ۱۵ سطر، قطع: وزيری كوچك، ابعاد متن: 6/5</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اندازه: 13/5</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[الفبائی: ۲۱ ]</w:t>
      </w:r>
    </w:p>
    <w:p>
      <w:pPr>
        <w:pStyle w:val="BookText"/>
      </w:pPr>
      <w:r>
        <w:rPr>
          <w:rFonts w:ascii="IRNazanin" w:hAnsi="IRNazanin" w:eastAsia="IRNazanin" w:cs="IRNazanin"/>
          <w:lang w:bidi="fa-IR"/>
          <w:color w:val="111111"/>
          <w:sz w:val="28"/>
          <w:szCs w:val="28"/>
          <w:rtl/>
        </w:rPr>
        <w:t xml:space="preserve">٢٦ . مشهد؛ شيخ علی حيدر؛ شماره نسخه: ۳/ 1365</w:t>
      </w:r>
    </w:p>
    <w:p>
      <w:pPr>
        <w:pStyle w:val="BookText"/>
      </w:pPr>
      <w:r>
        <w:rPr>
          <w:rFonts w:ascii="IRNazanin" w:hAnsi="IRNazanin" w:eastAsia="IRNazanin" w:cs="IRNazanin"/>
          <w:lang w:bidi="fa-IR"/>
          <w:color w:val="111111"/>
          <w:sz w:val="28"/>
          <w:szCs w:val="28"/>
          <w:rtl/>
        </w:rPr>
        <w:t xml:space="preserve">آغاز: اين رساله ای است مشتمل بر سؤالاتی كه سلطان سعيد مغفور؛ انجام: برابر ۱</w:t>
      </w:r>
    </w:p>
    <w:p>
      <w:pPr>
        <w:pStyle w:val="BookText"/>
      </w:pPr>
      <w:r>
        <w:rPr>
          <w:rFonts w:ascii="IRNazanin" w:hAnsi="IRNazanin" w:eastAsia="IRNazanin" w:cs="IRNazanin"/>
          <w:lang w:bidi="fa-IR"/>
          <w:color w:val="111111"/>
          <w:sz w:val="28"/>
          <w:szCs w:val="28"/>
          <w:rtl/>
        </w:rPr>
        <w:t xml:space="preserve">در فهرست نام سؤا ل کننده به صورت« سلطان سعيد ميرزا اسکندر »  ضبط شده است؛ خط: نستعليق، کا: محمد شفيع فيروز آبادی، تا: ۱۰۸۳ ق، جا: حيدرآباد؛ جلد: تيماج قهوه ای، ۹گ ( ۱۰ پ- ۱۸ ر)، 23سطر، اندازه: 10/5</w:t>
      </w:r>
      <w:r>
        <w:rPr>
          <w:rFonts w:ascii="Times New Roman" w:hAnsi="Times New Roman" w:eastAsia="Times New Roman" w:cs="Times New Roman"/>
          <w:lang w:val="en-US" w:bidi="en-US"/>
          <w:color w:val="111111"/>
          <w:sz w:val="28"/>
          <w:szCs w:val="28"/>
          <w:rtl/>
        </w:rPr>
        <w:t xml:space="preserve">×18 </w:t>
      </w:r>
      <w:r>
        <w:rPr>
          <w:rFonts w:ascii="Amiri" w:hAnsi="Amiri" w:eastAsia="Amiri" w:cs="Amiri"/>
          <w:lang w:bidi="ar-SA"/>
          <w:color w:val="111111"/>
          <w:sz w:val="28"/>
          <w:szCs w:val="28"/>
          <w:rtl/>
        </w:rPr>
        <w:t xml:space="preserve">سم [مؤيد: ۳ - 302]</w:t>
      </w:r>
    </w:p>
    <w:p>
      <w:pPr>
        <w:pStyle w:val="BookText"/>
      </w:pPr>
      <w:r>
        <w:rPr>
          <w:rFonts w:ascii="IRNazanin" w:hAnsi="IRNazanin" w:eastAsia="IRNazanin" w:cs="IRNazanin"/>
          <w:lang w:bidi="fa-IR"/>
          <w:color w:val="111111"/>
          <w:sz w:val="28"/>
          <w:szCs w:val="28"/>
          <w:rtl/>
        </w:rPr>
        <w:t xml:space="preserve">٢٧ . شيراز؛ هاشمی، نورالدين (خاندان)؛ شماره نسخه: ۱۹/ 17</w:t>
      </w:r>
    </w:p>
    <w:p>
      <w:pPr>
        <w:pStyle w:val="BookText"/>
      </w:pPr>
      <w:r>
        <w:rPr>
          <w:rFonts w:ascii="IRNazanin" w:hAnsi="IRNazanin" w:eastAsia="IRNazanin" w:cs="IRNazanin"/>
          <w:lang w:bidi="fa-IR"/>
          <w:color w:val="111111"/>
          <w:sz w:val="28"/>
          <w:szCs w:val="28"/>
          <w:rtl/>
        </w:rPr>
        <w:t xml:space="preserve">کا: رفيع الدين محمد بن غياث الدين محمد، تا: ۲۹ ذيحجه  ۱۰۸۴ ق [نشريه: 5- 288]</w:t>
      </w:r>
    </w:p>
    <w:p>
      <w:pPr>
        <w:pStyle w:val="BookText"/>
      </w:pPr>
      <w:r>
        <w:rPr>
          <w:rFonts w:ascii="IRNazanin" w:hAnsi="IRNazanin" w:eastAsia="IRNazanin" w:cs="IRNazanin"/>
          <w:lang w:bidi="fa-IR"/>
          <w:color w:val="111111"/>
          <w:sz w:val="28"/>
          <w:szCs w:val="28"/>
          <w:rtl/>
        </w:rPr>
        <w:t xml:space="preserve">٢٨ . تهران؛ سپهسالار؛ شماره نسخه: ۲۶/ 2911</w:t>
      </w:r>
    </w:p>
    <w:p>
      <w:pPr>
        <w:pStyle w:val="BookText"/>
      </w:pPr>
      <w:r>
        <w:rPr>
          <w:rFonts w:ascii="IRNazanin" w:hAnsi="IRNazanin" w:eastAsia="IRNazanin" w:cs="IRNazanin"/>
          <w:lang w:bidi="fa-IR"/>
          <w:color w:val="111111"/>
          <w:sz w:val="28"/>
          <w:szCs w:val="28"/>
          <w:rtl/>
        </w:rPr>
        <w:t xml:space="preserve">انجام: برابر</w:t>
      </w:r>
    </w:p>
    <w:p>
      <w:pPr>
        <w:pStyle w:val="BookText"/>
      </w:pPr>
      <w:r>
        <w:rPr>
          <w:rFonts w:ascii="IRNazanin" w:hAnsi="IRNazanin" w:eastAsia="IRNazanin" w:cs="IRNazanin"/>
          <w:lang w:bidi="fa-IR"/>
          <w:color w:val="111111"/>
          <w:sz w:val="28"/>
          <w:szCs w:val="28"/>
          <w:rtl/>
        </w:rPr>
        <w:t xml:space="preserve">خط: نستعليق، بی كا، تا: ۱۰۹۲ ق، جا: اجمير هند؛ كاغذ: هندی نخودی، جلد: تيماج حنايی مقوايی، ۴ص ( ۹۵- 98)،11سطر، اندازه: 21</w:t>
      </w:r>
      <w:r>
        <w:rPr>
          <w:rFonts w:ascii="Times New Roman" w:hAnsi="Times New Roman" w:eastAsia="Times New Roman" w:cs="Times New Roman"/>
          <w:lang w:val="en-US" w:bidi="en-US"/>
          <w:color w:val="111111"/>
          <w:sz w:val="28"/>
          <w:szCs w:val="28"/>
          <w:rtl/>
        </w:rPr>
        <w:t xml:space="preserve">×32/5</w:t>
      </w:r>
    </w:p>
    <w:p>
      <w:pPr>
        <w:pStyle w:val="BookText"/>
      </w:pPr>
      <w:r>
        <w:rPr>
          <w:rFonts w:ascii="IRNazanin" w:hAnsi="IRNazanin" w:eastAsia="IRNazanin" w:cs="IRNazanin"/>
          <w:lang w:bidi="fa-IR"/>
          <w:color w:val="111111"/>
          <w:sz w:val="28"/>
          <w:szCs w:val="28"/>
          <w:rtl/>
        </w:rPr>
        <w:t xml:space="preserve">سم [ف: 3- 133]</w:t>
      </w:r>
    </w:p>
    <w:p>
      <w:pPr>
        <w:pStyle w:val="BookText"/>
      </w:pPr>
      <w:r>
        <w:rPr>
          <w:rFonts w:ascii="IRNazanin" w:hAnsi="IRNazanin" w:eastAsia="IRNazanin" w:cs="IRNazanin"/>
          <w:lang w:bidi="fa-IR"/>
          <w:color w:val="111111"/>
          <w:sz w:val="28"/>
          <w:szCs w:val="28"/>
          <w:rtl/>
        </w:rPr>
        <w:t xml:space="preserve">٢٩ . قم؛ مرعشی؛ شماره نسخه: ۲۶/ 14709</w:t>
      </w:r>
    </w:p>
    <w:p>
      <w:pPr>
        <w:pStyle w:val="BookText"/>
      </w:pPr>
      <w:r>
        <w:rPr>
          <w:rFonts w:ascii="IRNazanin" w:hAnsi="IRNazanin" w:eastAsia="IRNazanin" w:cs="IRNazanin"/>
          <w:lang w:bidi="fa-IR"/>
          <w:color w:val="111111"/>
          <w:sz w:val="28"/>
          <w:szCs w:val="28"/>
          <w:rtl/>
        </w:rPr>
        <w:t xml:space="preserve">آغاز: برابر ۱؛ انجام: بلكه مقارنت و مفارقت ميان ايشان امری معنويست، ليكن قوه وهمی انسانی كه شيطان داخلی است و تابع حواس ظاهره است، امثال اين امور معنوی</w:t>
      </w:r>
    </w:p>
    <w:p>
      <w:pPr>
        <w:pStyle w:val="BookText"/>
      </w:pPr>
      <w:r>
        <w:rPr>
          <w:rFonts w:ascii="IRNazanin" w:hAnsi="IRNazanin" w:eastAsia="IRNazanin" w:cs="IRNazanin"/>
          <w:lang w:bidi="fa-IR"/>
          <w:color w:val="111111"/>
          <w:sz w:val="28"/>
          <w:szCs w:val="28"/>
          <w:rtl/>
        </w:rPr>
        <w:t xml:space="preserve">خط: نسخ، کا: اسحاق بن نوروز شولستانی، تا: ۱۰۹۵ ق؛ افتادگی: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انجام؛ اشعار مختلفی در حاشيه از شاعرانی چند از جمله دلاوری، حافظ و شيخ علي نقي كمره ای آمده؛ تملک:« برادران ميرزائي »  به تاريخ رمضان ۱۳۶۴ ؛ كاغذ: شرقی، جلد: مشمع مشكی عطف تيماج مشكی، ۲گ ( ۲۲۸ ر- ۲۲۹ پ)، ۲۳ سطر ( ۱۲</w:t>
      </w:r>
      <w:r>
        <w:rPr>
          <w:rFonts w:ascii="Times New Roman" w:hAnsi="Times New Roman" w:eastAsia="Times New Roman" w:cs="Times New Roman"/>
          <w:lang w:val="en-US" w:bidi="en-US"/>
          <w:color w:val="111111"/>
          <w:sz w:val="28"/>
          <w:szCs w:val="28"/>
          <w:rtl/>
        </w:rPr>
        <w:t xml:space="preserve">× 17/5)</w:t>
      </w:r>
      <w:r>
        <w:rPr>
          <w:rFonts w:ascii="IRNazanin" w:hAnsi="IRNazanin" w:eastAsia="IRNazanin" w:cs="IRNazanin"/>
          <w:lang w:bidi="fa-IR"/>
          <w:color w:val="111111"/>
          <w:sz w:val="28"/>
          <w:szCs w:val="28"/>
          <w:rtl/>
        </w:rPr>
        <w:t xml:space="preserve">، اندازه:19</w:t>
      </w:r>
      <w:r>
        <w:rPr>
          <w:rFonts w:ascii="Times New Roman" w:hAnsi="Times New Roman" w:eastAsia="Times New Roman" w:cs="Times New Roman"/>
          <w:lang w:val="en-US" w:bidi="en-US"/>
          <w:color w:val="111111"/>
          <w:sz w:val="28"/>
          <w:szCs w:val="28"/>
          <w:rtl/>
        </w:rPr>
        <w:t xml:space="preserve">×25</w:t>
      </w:r>
      <w:r>
        <w:rPr>
          <w:rFonts w:ascii="IRNazanin" w:hAnsi="IRNazanin" w:eastAsia="IRNazanin" w:cs="IRNazanin"/>
          <w:lang w:bidi="fa-IR"/>
          <w:color w:val="111111"/>
          <w:sz w:val="28"/>
          <w:szCs w:val="28"/>
          <w:rtl/>
        </w:rPr>
        <w:t xml:space="preserve">سم [ف: ۳۷ -253]</w:t>
      </w:r>
    </w:p>
    <w:p>
      <w:pPr>
        <w:pStyle w:val="BookText"/>
      </w:pPr>
      <w:r>
        <w:rPr>
          <w:rFonts w:ascii="IRNazanin" w:hAnsi="IRNazanin" w:eastAsia="IRNazanin" w:cs="IRNazanin"/>
          <w:lang w:bidi="fa-IR"/>
          <w:color w:val="111111"/>
          <w:sz w:val="28"/>
          <w:szCs w:val="28"/>
          <w:rtl/>
        </w:rPr>
        <w:t xml:space="preserve">٣٠ . تهران؛ دانشگاه؛ شماره نسخه: ۳۷/ 1035</w:t>
      </w:r>
    </w:p>
    <w:p>
      <w:pPr>
        <w:pStyle w:val="BookText"/>
      </w:pPr>
      <w:r>
        <w:rPr>
          <w:rFonts w:ascii="IRNazanin" w:hAnsi="IRNazanin" w:eastAsia="IRNazanin" w:cs="IRNazanin"/>
          <w:lang w:bidi="fa-IR"/>
          <w:color w:val="111111"/>
          <w:sz w:val="28"/>
          <w:szCs w:val="28"/>
          <w:rtl/>
        </w:rPr>
        <w:t xml:space="preserve">آغاز: برابر ۱؛ انجام: برابر ۱</w:t>
      </w:r>
    </w:p>
    <w:p>
      <w:pPr>
        <w:pStyle w:val="BookText"/>
      </w:pPr>
      <w:r>
        <w:rPr>
          <w:rFonts w:ascii="IRNazanin" w:hAnsi="IRNazanin" w:eastAsia="IRNazanin" w:cs="IRNazanin"/>
          <w:lang w:bidi="fa-IR"/>
          <w:color w:val="111111"/>
          <w:sz w:val="28"/>
          <w:szCs w:val="28"/>
          <w:rtl/>
        </w:rPr>
        <w:t xml:space="preserve">در فهرست با عنوان « رساله فلسفی »  در ۷ فصل  و يك خاتمه،چنين آغاز مي شود: «هو رساله مير سيد شريف كه به جهت سلطان طغرل تصنيف كرده»؛ خط: تعليق، بی كا، تا: ۲۰ ذيقعده ۱۰۹۷ ق ؛[ف: 3- 266]</w:t>
      </w:r>
    </w:p>
    <w:p>
      <w:pPr>
        <w:pStyle w:val="BookText"/>
      </w:pPr>
      <w:r>
        <w:rPr>
          <w:rFonts w:ascii="IRNazanin" w:hAnsi="IRNazanin" w:eastAsia="IRNazanin" w:cs="IRNazanin"/>
          <w:lang w:bidi="fa-IR"/>
          <w:color w:val="111111"/>
          <w:sz w:val="28"/>
          <w:szCs w:val="28"/>
          <w:rtl/>
        </w:rPr>
        <w:t xml:space="preserve">٣١ . قم؛ مرعشی؛ شماره نسخه: ۲۰/ 11619</w:t>
      </w:r>
    </w:p>
    <w:p>
      <w:pPr>
        <w:pStyle w:val="BookText"/>
      </w:pPr>
      <w:r>
        <w:rPr>
          <w:rFonts w:ascii="Amiri" w:hAnsi="Amiri" w:eastAsia="Amiri" w:cs="Amiri"/>
          <w:lang w:bidi="ar-SA"/>
          <w:color w:val="111111"/>
          <w:sz w:val="28"/>
          <w:szCs w:val="28"/>
          <w:rtl/>
        </w:rPr>
        <w:t xml:space="preserve">آغاز: الحمدلله رب العالمين ... اما بعد در شهور سنه خمس عشر و ثمانمائة اسكندر بن عمر؛ انجام: برابر ۱</w:t>
      </w:r>
    </w:p>
    <w:p>
      <w:pPr>
        <w:pStyle w:val="BookText"/>
      </w:pPr>
      <w:r>
        <w:rPr>
          <w:rFonts w:ascii="IRNazanin" w:hAnsi="IRNazanin" w:eastAsia="IRNazanin" w:cs="IRNazanin"/>
          <w:lang w:bidi="fa-IR"/>
          <w:color w:val="111111"/>
          <w:sz w:val="28"/>
          <w:szCs w:val="28"/>
          <w:rtl/>
        </w:rPr>
        <w:t xml:space="preserve">در پايان نسخه به عنوان « رسالة المعراجية »  آمده است؛ خط: نستعليق، کا: محمد نصير فرزند ملا حسن، بالانكابی جيلانی، تا: ۱۱۱۹ ق؛ مصحح؛ كاغذ: فرنگی، ۹گ ( ۹۵- 103)، 22سطر ،اندازه: 6</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سم[ف: 29- 377]</w:t>
      </w:r>
    </w:p>
    <w:p>
      <w:pPr>
        <w:pStyle w:val="BookText"/>
      </w:pPr>
      <w:r>
        <w:rPr>
          <w:rFonts w:ascii="IRNazanin" w:hAnsi="IRNazanin" w:eastAsia="IRNazanin" w:cs="IRNazanin"/>
          <w:lang w:bidi="fa-IR"/>
          <w:color w:val="111111"/>
          <w:sz w:val="28"/>
          <w:szCs w:val="28"/>
          <w:rtl/>
        </w:rPr>
        <w:t xml:space="preserve">٣٢ . قم؛ مرعشی؛ شماره نسخه: ٢/ 8364</w:t>
      </w:r>
    </w:p>
    <w:p>
      <w:pPr>
        <w:pStyle w:val="BookText"/>
      </w:pPr>
      <w:r>
        <w:rPr>
          <w:rFonts w:ascii="IRNazanin" w:hAnsi="IRNazanin" w:eastAsia="IRNazanin" w:cs="IRNazanin"/>
          <w:lang w:bidi="fa-IR"/>
          <w:color w:val="111111"/>
          <w:sz w:val="28"/>
          <w:szCs w:val="28"/>
          <w:rtl/>
        </w:rPr>
        <w:t xml:space="preserve">آغاز: برابر ١؛ انجام: برابر ١</w:t>
      </w:r>
    </w:p>
    <w:p>
      <w:pPr>
        <w:pStyle w:val="BookText"/>
      </w:pPr>
      <w:r>
        <w:rPr>
          <w:rFonts w:ascii="IRNazanin" w:hAnsi="IRNazanin" w:eastAsia="IRNazanin" w:cs="IRNazanin"/>
          <w:lang w:bidi="fa-IR"/>
          <w:color w:val="111111"/>
          <w:sz w:val="28"/>
          <w:szCs w:val="28"/>
          <w:rtl/>
        </w:rPr>
        <w:t xml:space="preserve">در فهرست با عنوان« اصول دين »  خط: نسخ، بی كا، تا: شوال  ١١٣٠ ق؛ مجدول؛ جلد: تيماج قهوه ای، ٢٥ گ ( ١٢٠ پ- ١٤٤ پ)،11سطر،اندازه:13</w:t>
      </w:r>
      <w:r>
        <w:rPr>
          <w:rFonts w:ascii="Times New Roman" w:hAnsi="Times New Roman" w:eastAsia="Times New Roman" w:cs="Times New Roman"/>
          <w:lang w:val="en-US" w:bidi="en-US"/>
          <w:color w:val="111111"/>
          <w:sz w:val="28"/>
          <w:szCs w:val="28"/>
          <w:rtl/>
        </w:rPr>
        <w:t xml:space="preserve">×23</w:t>
      </w:r>
      <w:r>
        <w:rPr>
          <w:rFonts w:ascii="IRNazanin" w:hAnsi="IRNazanin" w:eastAsia="IRNazanin" w:cs="IRNazanin"/>
          <w:lang w:bidi="fa-IR"/>
          <w:color w:val="111111"/>
          <w:sz w:val="28"/>
          <w:szCs w:val="28"/>
          <w:rtl/>
        </w:rPr>
        <w:t xml:space="preserve">سم[ف:21- 326]</w:t>
      </w:r>
    </w:p>
    <w:p>
      <w:pPr>
        <w:pStyle w:val="BookText"/>
      </w:pPr>
      <w:r>
        <w:rPr>
          <w:rFonts w:ascii="IRNazanin" w:hAnsi="IRNazanin" w:eastAsia="IRNazanin" w:cs="IRNazanin"/>
          <w:lang w:bidi="fa-IR"/>
          <w:color w:val="111111"/>
          <w:sz w:val="28"/>
          <w:szCs w:val="28"/>
          <w:rtl/>
        </w:rPr>
        <w:t xml:space="preserve">٣٣ . مشهد؛ رضوی؛ شماره نسخه: ۲۳۹۶۶</w:t>
      </w:r>
    </w:p>
    <w:p>
      <w:pPr>
        <w:pStyle w:val="BookText"/>
      </w:pPr>
      <w:r>
        <w:rPr>
          <w:rFonts w:ascii="IRNazanin" w:hAnsi="IRNazanin" w:eastAsia="IRNazanin" w:cs="IRNazanin"/>
          <w:lang w:bidi="fa-IR"/>
          <w:color w:val="111111"/>
          <w:sz w:val="28"/>
          <w:szCs w:val="28"/>
          <w:rtl/>
        </w:rPr>
        <w:t xml:space="preserve">آغاز: هو الحكيم اجوبه ميرسيد شريف علامه جرجانی بسم الله الرحمن الرحيم؛ انجام: للصواب و اليه المرجع و الماب ... و عن والديه تم</w:t>
      </w:r>
    </w:p>
    <w:p>
      <w:pPr>
        <w:pStyle w:val="BookText"/>
      </w:pPr>
      <w:r>
        <w:rPr>
          <w:rFonts w:ascii="IRNazanin" w:hAnsi="IRNazanin" w:eastAsia="IRNazanin" w:cs="IRNazanin"/>
          <w:lang w:bidi="fa-IR"/>
          <w:color w:val="111111"/>
          <w:sz w:val="28"/>
          <w:szCs w:val="28"/>
          <w:rtl/>
        </w:rPr>
        <w:t xml:space="preserve">خط: نستعليق، بی كا، تا: ۱۱۳۲ ق؛ كاغذ: نخودی، جلد: مقوا، اندازه: 11</w:t>
      </w:r>
      <w:r>
        <w:rPr>
          <w:rFonts w:ascii="Times New Roman" w:hAnsi="Times New Roman" w:eastAsia="Times New Roman" w:cs="Times New Roman"/>
          <w:lang w:val="en-US" w:bidi="en-US"/>
          <w:color w:val="111111"/>
          <w:sz w:val="28"/>
          <w:szCs w:val="28"/>
          <w:rtl/>
        </w:rPr>
        <w:t xml:space="preserve">×19 </w:t>
      </w:r>
      <w:r>
        <w:rPr>
          <w:rFonts w:ascii="Amiri" w:hAnsi="Amiri" w:eastAsia="Amiri" w:cs="Amiri"/>
          <w:lang w:bidi="ar-SA"/>
          <w:color w:val="111111"/>
          <w:sz w:val="28"/>
          <w:szCs w:val="28"/>
          <w:rtl/>
        </w:rPr>
        <w:t xml:space="preserve">سم [رايانه]</w:t>
      </w:r>
    </w:p>
    <w:p>
      <w:pPr>
        <w:pStyle w:val="BookText"/>
      </w:pPr>
      <w:r>
        <w:rPr>
          <w:rFonts w:ascii="IRNazanin" w:hAnsi="IRNazanin" w:eastAsia="IRNazanin" w:cs="IRNazanin"/>
          <w:lang w:bidi="fa-IR"/>
          <w:color w:val="111111"/>
          <w:sz w:val="28"/>
          <w:szCs w:val="28"/>
          <w:rtl/>
        </w:rPr>
        <w:t xml:space="preserve">٣٤ . قم؛ گلپايگانی؛ شماره نسخه: ۶/ 1051- 141/ 6</w:t>
      </w:r>
    </w:p>
    <w:p>
      <w:pPr>
        <w:pStyle w:val="BookText"/>
      </w:pPr>
      <w:r>
        <w:rPr>
          <w:rFonts w:ascii="IRNazanin" w:hAnsi="IRNazanin" w:eastAsia="IRNazanin" w:cs="IRNazanin"/>
          <w:lang w:bidi="fa-IR"/>
          <w:color w:val="111111"/>
          <w:sz w:val="28"/>
          <w:szCs w:val="28"/>
          <w:rtl/>
        </w:rPr>
        <w:t xml:space="preserve">آغاز: برابر ۱؛ انجام: برابر ۱</w:t>
      </w:r>
    </w:p>
    <w:p>
      <w:pPr>
        <w:pStyle w:val="BookText"/>
      </w:pPr>
      <w:r>
        <w:rPr>
          <w:rFonts w:ascii="IRNazanin" w:hAnsi="IRNazanin" w:eastAsia="IRNazanin" w:cs="IRNazanin"/>
          <w:lang w:bidi="fa-IR"/>
          <w:color w:val="111111"/>
          <w:sz w:val="28"/>
          <w:szCs w:val="28"/>
          <w:rtl/>
        </w:rPr>
        <w:t xml:space="preserve">خط: نستعليق، بي كا، تا: يک شنبه ۴ جمادي الاول ۱۱۳۲ ق؛ پس از اتمام رساله دو فايده کوتاه درج شده يکی سؤال از مولوی رومی درباره مقام امام علي (علیه السّلام) و پاسخ وی و ديگری ترکيب معجون فلاسفه که مادة الحيات نيز خوانند؛ ۱۲ گ، سطور چليپا، اندازه:10/5</w:t>
      </w:r>
      <w:r>
        <w:rPr>
          <w:rFonts w:ascii="Times New Roman" w:hAnsi="Times New Roman" w:eastAsia="Times New Roman" w:cs="Times New Roman"/>
          <w:lang w:val="en-US" w:bidi="en-US"/>
          <w:color w:val="111111"/>
          <w:sz w:val="28"/>
          <w:szCs w:val="28"/>
          <w:rtl/>
        </w:rPr>
        <w:t xml:space="preserve">×17/5</w:t>
      </w:r>
      <w:r>
        <w:rPr>
          <w:rFonts w:ascii="IRNazanin" w:hAnsi="IRNazanin" w:eastAsia="IRNazanin" w:cs="IRNazanin"/>
          <w:lang w:bidi="fa-IR"/>
          <w:color w:val="111111"/>
          <w:sz w:val="28"/>
          <w:szCs w:val="28"/>
          <w:rtl/>
        </w:rPr>
        <w:t xml:space="preserve">سم [ف: ۱ -359]</w:t>
      </w:r>
    </w:p>
    <w:p>
      <w:pPr>
        <w:pStyle w:val="BookText"/>
      </w:pPr>
      <w:r>
        <w:rPr>
          <w:rFonts w:ascii="IRNazanin" w:hAnsi="IRNazanin" w:eastAsia="IRNazanin" w:cs="IRNazanin"/>
          <w:lang w:bidi="fa-IR"/>
          <w:color w:val="111111"/>
          <w:sz w:val="28"/>
          <w:szCs w:val="28"/>
          <w:rtl/>
        </w:rPr>
        <w:t xml:space="preserve">٣٥ . اصفهان؛ دانشگاه اصفهان؛ شماره نسخه: ۴/ 204</w:t>
      </w:r>
    </w:p>
    <w:p>
      <w:pPr>
        <w:pStyle w:val="BookText"/>
      </w:pPr>
      <w:r>
        <w:rPr>
          <w:rFonts w:ascii="IRNazanin" w:hAnsi="IRNazanin" w:eastAsia="IRNazanin" w:cs="IRNazanin"/>
          <w:lang w:bidi="fa-IR"/>
          <w:color w:val="111111"/>
          <w:sz w:val="28"/>
          <w:szCs w:val="28"/>
          <w:rtl/>
        </w:rPr>
        <w:t xml:space="preserve">خط: نسخ، بی كا، تا: ذيقعده ۱۱۸۰ ق، مصحح؛ جلد: تيماج  زرشكی مجدول، ۱۲ گ ( ۹۱ ر- ۱۰۲ پ)، اندازه: ۱۱</w:t>
      </w:r>
      <w:r>
        <w:rPr>
          <w:rFonts w:ascii="Times New Roman" w:hAnsi="Times New Roman" w:eastAsia="Times New Roman" w:cs="Times New Roman"/>
          <w:lang w:val="en-US" w:bidi="en-US"/>
          <w:color w:val="111111"/>
          <w:sz w:val="28"/>
          <w:szCs w:val="28"/>
          <w:rtl/>
        </w:rPr>
        <w:t xml:space="preserve">×17/5</w:t>
      </w:r>
      <w:r>
        <w:rPr>
          <w:rFonts w:ascii="IRNazanin" w:hAnsi="IRNazanin" w:eastAsia="IRNazanin" w:cs="IRNazanin"/>
          <w:lang w:bidi="fa-IR"/>
          <w:color w:val="111111"/>
          <w:sz w:val="28"/>
          <w:szCs w:val="28"/>
          <w:rtl/>
        </w:rPr>
        <w:t xml:space="preserve">سم[ف: 1- 153]</w:t>
      </w:r>
    </w:p>
    <w:p>
      <w:pPr>
        <w:pStyle w:val="BookText"/>
      </w:pPr>
      <w:r>
        <w:rPr>
          <w:rFonts w:ascii="IRNazanin" w:hAnsi="IRNazanin" w:eastAsia="IRNazanin" w:cs="IRNazanin"/>
          <w:lang w:bidi="fa-IR"/>
          <w:color w:val="111111"/>
          <w:sz w:val="28"/>
          <w:szCs w:val="28"/>
          <w:rtl/>
        </w:rPr>
        <w:t xml:space="preserve">٣٦ . قم؛ مرعشی؛ شماره نسخه: ۸/ 6713</w:t>
      </w:r>
    </w:p>
    <w:p>
      <w:pPr>
        <w:pStyle w:val="BookText"/>
      </w:pPr>
      <w:r>
        <w:rPr>
          <w:rFonts w:ascii="IRNazanin" w:hAnsi="IRNazanin" w:eastAsia="IRNazanin" w:cs="IRNazanin"/>
          <w:lang w:bidi="fa-IR"/>
          <w:color w:val="111111"/>
          <w:sz w:val="28"/>
          <w:szCs w:val="28"/>
          <w:rtl/>
        </w:rPr>
        <w:t xml:space="preserve">خط: نستعليق، کا: محمد سعيد خلخالی، تا: جمادی الاول ۱۱۹۰ ق؛ جلد: مقوايی عطف تيماج قهوه ای، ۵گ ( ۱۲۳ ر- ۱۲۷ ر)،اندازه: 17</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سم [ف: 17- 271]</w:t>
      </w:r>
    </w:p>
    <w:p>
      <w:pPr>
        <w:pStyle w:val="BookText"/>
      </w:pPr>
      <w:r>
        <w:rPr>
          <w:rFonts w:ascii="IRNazanin" w:hAnsi="IRNazanin" w:eastAsia="IRNazanin" w:cs="IRNazanin"/>
          <w:lang w:bidi="fa-IR"/>
          <w:color w:val="111111"/>
          <w:sz w:val="28"/>
          <w:szCs w:val="28"/>
          <w:rtl/>
        </w:rPr>
        <w:t xml:space="preserve">٣٧ . قم؛ مسجد اعظم؛ شماره نسخه: ۱۰/ 3424</w:t>
      </w:r>
    </w:p>
    <w:p>
      <w:pPr>
        <w:pStyle w:val="BookText"/>
      </w:pPr>
      <w:r>
        <w:rPr>
          <w:rFonts w:ascii="IRNazanin" w:hAnsi="IRNazanin" w:eastAsia="IRNazanin" w:cs="IRNazanin"/>
          <w:lang w:bidi="fa-IR"/>
          <w:color w:val="111111"/>
          <w:sz w:val="28"/>
          <w:szCs w:val="28"/>
          <w:rtl/>
        </w:rPr>
        <w:t xml:space="preserve">آغاز: برابر ۱؛ انجام: برابر ۱</w:t>
      </w:r>
    </w:p>
    <w:p>
      <w:pPr>
        <w:pStyle w:val="BookText"/>
      </w:pPr>
      <w:r>
        <w:rPr>
          <w:rFonts w:ascii="IRNazanin" w:hAnsi="IRNazanin" w:eastAsia="IRNazanin" w:cs="IRNazanin"/>
          <w:lang w:bidi="fa-IR"/>
          <w:color w:val="111111"/>
          <w:sz w:val="28"/>
          <w:szCs w:val="28"/>
          <w:rtl/>
        </w:rPr>
        <w:t xml:space="preserve">خط: نستعليق، بي كا، تا: قرن ۱۳ ؛ داراي علامت بلاغ؛ ۷گ، ۲۲سطر اندازه: 13</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سم [ف مخ: ۱ - 152]</w:t>
      </w:r>
    </w:p>
    <w:p>
      <w:pPr>
        <w:pStyle w:val="BookText"/>
      </w:pPr>
      <w:r>
        <w:rPr>
          <w:rFonts w:ascii="IRNazanin" w:hAnsi="IRNazanin" w:eastAsia="IRNazanin" w:cs="IRNazanin"/>
          <w:lang w:bidi="fa-IR"/>
          <w:color w:val="111111"/>
          <w:sz w:val="28"/>
          <w:szCs w:val="28"/>
          <w:rtl/>
        </w:rPr>
        <w:t xml:space="preserve">٣٨ . تهران؛ دانشگاه؛ شماره نسخه: ٢/ 2293</w:t>
      </w:r>
    </w:p>
    <w:p>
      <w:pPr>
        <w:pStyle w:val="BookText"/>
      </w:pPr>
      <w:r>
        <w:rPr>
          <w:rFonts w:ascii="IRNazanin" w:hAnsi="IRNazanin" w:eastAsia="IRNazanin" w:cs="IRNazanin"/>
          <w:lang w:bidi="fa-IR"/>
          <w:color w:val="111111"/>
          <w:sz w:val="28"/>
          <w:szCs w:val="28"/>
          <w:rtl/>
        </w:rPr>
        <w:t xml:space="preserve">آغاز: برابر ١؛ انجام: و هم ازين عوالم ديگر است كه تابع ارواح است</w:t>
      </w:r>
    </w:p>
    <w:p>
      <w:pPr>
        <w:pStyle w:val="BookText"/>
      </w:pPr>
      <w:r>
        <w:rPr>
          <w:rFonts w:ascii="IRNazanin" w:hAnsi="IRNazanin" w:eastAsia="IRNazanin" w:cs="IRNazanin"/>
          <w:lang w:bidi="fa-IR"/>
          <w:color w:val="111111"/>
          <w:sz w:val="28"/>
          <w:szCs w:val="28"/>
          <w:rtl/>
        </w:rPr>
        <w:t xml:space="preserve">در فهرست با عنوان« رساله فلسفی »  و ناشناس آمده است؛ خط: نسخ،كا:حيدر بن حكيم محمد تبريزی،تا:قرن ١٣ ،جا:ارومی؛كاغذ:سپاهانی و فرنگی، جلد: تيماج مشكی ضربی، ١٨ گ ( ١٢٠ پ-127ر) ، 16سطر(7/5</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اندازه: 13/5</w:t>
      </w:r>
      <w:r>
        <w:rPr>
          <w:rFonts w:ascii="Times New Roman" w:hAnsi="Times New Roman" w:eastAsia="Times New Roman" w:cs="Times New Roman"/>
          <w:lang w:val="en-US" w:bidi="en-US"/>
          <w:color w:val="111111"/>
          <w:sz w:val="28"/>
          <w:szCs w:val="28"/>
          <w:rtl/>
        </w:rPr>
        <w:t xml:space="preserve">×24</w:t>
      </w:r>
      <w:r>
        <w:rPr>
          <w:rFonts w:ascii="IRNazanin" w:hAnsi="IRNazanin" w:eastAsia="IRNazanin" w:cs="IRNazanin"/>
          <w:lang w:bidi="fa-IR"/>
          <w:color w:val="111111"/>
          <w:sz w:val="28"/>
          <w:szCs w:val="28"/>
          <w:rtl/>
        </w:rPr>
        <w:t xml:space="preserve">سم[ف: 9- 929]</w:t>
      </w:r>
    </w:p>
    <w:p>
      <w:pPr>
        <w:pStyle w:val="BookText"/>
      </w:pPr>
      <w:r>
        <w:rPr>
          <w:rFonts w:ascii="IRNazanin" w:hAnsi="IRNazanin" w:eastAsia="IRNazanin" w:cs="IRNazanin"/>
          <w:lang w:bidi="fa-IR"/>
          <w:color w:val="111111"/>
          <w:sz w:val="28"/>
          <w:szCs w:val="28"/>
          <w:rtl/>
        </w:rPr>
        <w:t xml:space="preserve">٣٩ . قم؛ گلپايگانی؛ شماره نسخه: ۵۸۰۴- 144/ 29</w:t>
      </w:r>
    </w:p>
    <w:p>
      <w:pPr>
        <w:pStyle w:val="BookText"/>
      </w:pPr>
      <w:r>
        <w:rPr>
          <w:rFonts w:ascii="IRNazanin" w:hAnsi="IRNazanin" w:eastAsia="IRNazanin" w:cs="IRNazanin"/>
          <w:lang w:bidi="fa-IR"/>
          <w:color w:val="111111"/>
          <w:sz w:val="28"/>
          <w:szCs w:val="28"/>
          <w:rtl/>
        </w:rPr>
        <w:t xml:space="preserve">آغاز: بسم الله الرحمن الرحيم الحمدلله رب العالمين وصلي الله علي سيدنا محمد وآله اجمعين اما بعد در شهور سنه خمس عشر و ثمانمائة اسکندر بن عمر؛ انجام: در لباس محبوسات نادر افهام متمکن وروشن گردد مشابه آن است که گويند از فرشته به فرمان خداي تعالي فعل صادر</w:t>
      </w:r>
    </w:p>
    <w:p>
      <w:pPr>
        <w:pStyle w:val="BookText"/>
      </w:pPr>
      <w:r>
        <w:rPr>
          <w:rFonts w:ascii="IRNazanin" w:hAnsi="IRNazanin" w:eastAsia="IRNazanin" w:cs="IRNazanin"/>
          <w:lang w:bidi="fa-IR"/>
          <w:color w:val="111111"/>
          <w:sz w:val="28"/>
          <w:szCs w:val="28"/>
          <w:rtl/>
        </w:rPr>
        <w:t xml:space="preserve">خط: شكسته، نستعليق، بی كا، تا: قرن ۱۳ ؛ افتادگی: انجام؛ جلد:  گالينگور قهوه ای، ۸گ، ۱۵ سطر، اندازه: ۱۱</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 سم[ف: 1- 360]</w:t>
      </w:r>
    </w:p>
    <w:p>
      <w:pPr>
        <w:pStyle w:val="BookText"/>
      </w:pPr>
      <w:r>
        <w:rPr>
          <w:rFonts w:ascii="IRNazanin" w:hAnsi="IRNazanin" w:eastAsia="IRNazanin" w:cs="IRNazanin"/>
          <w:lang w:bidi="fa-IR"/>
          <w:color w:val="111111"/>
          <w:sz w:val="28"/>
          <w:szCs w:val="28"/>
          <w:rtl/>
        </w:rPr>
        <w:t xml:space="preserve">٤٠ . تهران؛ ملی؛ شماره نسخه: ۵</w:t>
      </w:r>
    </w:p>
    <w:p>
      <w:pPr>
        <w:pStyle w:val="BookText"/>
      </w:pPr>
      <w:r>
        <w:rPr>
          <w:rFonts w:ascii="Amiri" w:hAnsi="Amiri" w:eastAsia="Amiri" w:cs="Amiri"/>
          <w:lang w:bidi="ar-SA"/>
          <w:color w:val="111111"/>
          <w:sz w:val="28"/>
          <w:szCs w:val="28"/>
          <w:rtl/>
        </w:rPr>
        <w:t xml:space="preserve">آغاز: بسمله و به استعين، الحمدلله رب العالمين و العاقبه للمتقين و لا عدوان الاعلي الظالمين و الصلوة و السلام علي محمد و اله اجمعين؛ انجام: برابر ۲</w:t>
      </w:r>
    </w:p>
    <w:p>
      <w:pPr>
        <w:pStyle w:val="BookText"/>
      </w:pPr>
      <w:r>
        <w:rPr>
          <w:rFonts w:ascii="Amiri" w:hAnsi="Amiri" w:eastAsia="Amiri" w:cs="Amiri"/>
          <w:lang w:bidi="ar-SA"/>
          <w:color w:val="111111"/>
          <w:sz w:val="28"/>
          <w:szCs w:val="28"/>
          <w:rtl/>
        </w:rPr>
        <w:t xml:space="preserve">در فهرست با عنوان« مبدأ و معاد »  خط: شكسته نستعليق، بي كا، تا: قرن ۱۳ ؛ كاغذ: ترمه، جلد: تيماج قرمز يك لا، ۱۹ ص، ۱۵ سطر (9</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اندازه: 15</w:t>
      </w:r>
      <w:r>
        <w:rPr>
          <w:rFonts w:ascii="Times New Roman" w:hAnsi="Times New Roman" w:eastAsia="Times New Roman" w:cs="Times New Roman"/>
          <w:lang w:val="en-US" w:bidi="en-US"/>
          <w:color w:val="111111"/>
          <w:sz w:val="28"/>
          <w:szCs w:val="28"/>
          <w:rtl/>
        </w:rPr>
        <w:t xml:space="preserve">×24/5</w:t>
      </w:r>
      <w:r>
        <w:rPr>
          <w:rFonts w:ascii="IRNazanin" w:hAnsi="IRNazanin" w:eastAsia="IRNazanin" w:cs="IRNazanin"/>
          <w:lang w:bidi="fa-IR"/>
          <w:color w:val="111111"/>
          <w:sz w:val="28"/>
          <w:szCs w:val="28"/>
          <w:rtl/>
        </w:rPr>
        <w:t xml:space="preserve">سم [ف: 5- 63]</w:t>
      </w:r>
    </w:p>
    <w:p>
      <w:pPr>
        <w:pStyle w:val="BookText"/>
      </w:pPr>
      <w:r>
        <w:rPr>
          <w:rFonts w:ascii="IRNazanin" w:hAnsi="IRNazanin" w:eastAsia="IRNazanin" w:cs="IRNazanin"/>
          <w:lang w:bidi="fa-IR"/>
          <w:color w:val="111111"/>
          <w:sz w:val="28"/>
          <w:szCs w:val="28"/>
          <w:rtl/>
        </w:rPr>
        <w:t xml:space="preserve">٤١ . تهران؛ دانشگاه؛ شماره نسخه: ۳/ 4650</w:t>
      </w:r>
    </w:p>
    <w:p>
      <w:pPr>
        <w:pStyle w:val="BookText"/>
      </w:pPr>
      <w:r>
        <w:rPr>
          <w:rFonts w:ascii="IRNazanin" w:hAnsi="IRNazanin" w:eastAsia="IRNazanin" w:cs="IRNazanin"/>
          <w:lang w:bidi="fa-IR"/>
          <w:color w:val="111111"/>
          <w:sz w:val="28"/>
          <w:szCs w:val="28"/>
          <w:rtl/>
        </w:rPr>
        <w:t xml:space="preserve">آغاز: برابر ۲؛ انجام: برابر ۱</w:t>
      </w:r>
    </w:p>
    <w:p>
      <w:pPr>
        <w:pStyle w:val="BookText"/>
      </w:pPr>
      <w:r>
        <w:rPr>
          <w:rFonts w:ascii="IRNazanin" w:hAnsi="IRNazanin" w:eastAsia="IRNazanin" w:cs="IRNazanin"/>
          <w:lang w:bidi="fa-IR"/>
          <w:color w:val="111111"/>
          <w:sz w:val="28"/>
          <w:szCs w:val="28"/>
          <w:rtl/>
        </w:rPr>
        <w:t xml:space="preserve">خط: نسخ، کا: علی اصغر شاه كوهی، تا: ۱۲۲۶ ق؛ كاغذ: فرنگی  كبود، جلد: تيماج سرخ ضربی مقوايی، ۲۱ ص ( ۲۳- 43)، 18سطر(7</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اندازه:10</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سم[ف:14- 3593]</w:t>
      </w:r>
    </w:p>
    <w:p>
      <w:pPr>
        <w:pStyle w:val="BookText"/>
      </w:pPr>
      <w:r>
        <w:rPr>
          <w:rFonts w:ascii="IRNazanin" w:hAnsi="IRNazanin" w:eastAsia="IRNazanin" w:cs="IRNazanin"/>
          <w:lang w:bidi="fa-IR"/>
          <w:color w:val="111111"/>
          <w:sz w:val="28"/>
          <w:szCs w:val="28"/>
          <w:rtl/>
        </w:rPr>
        <w:t xml:space="preserve">٤٢ . مشهد؛ رضوی؛ شماره نسخه: ۲۶۱۰۲</w:t>
      </w:r>
    </w:p>
    <w:p>
      <w:pPr>
        <w:pStyle w:val="BookText"/>
      </w:pPr>
      <w:r>
        <w:rPr>
          <w:rFonts w:ascii="Amiri" w:hAnsi="Amiri" w:eastAsia="Amiri" w:cs="Amiri"/>
          <w:lang w:bidi="ar-SA"/>
          <w:color w:val="111111"/>
          <w:sz w:val="28"/>
          <w:szCs w:val="28"/>
          <w:rtl/>
        </w:rPr>
        <w:t xml:space="preserve">آغاز: بسمله. حمدله ... در شهور سنه خمس و عشر و ثمائه اسكندر بن عمر؛ انجام: برابر ۱</w:t>
      </w:r>
    </w:p>
    <w:p>
      <w:pPr>
        <w:pStyle w:val="BookText"/>
      </w:pPr>
      <w:r>
        <w:rPr>
          <w:rFonts w:ascii="IRNazanin" w:hAnsi="IRNazanin" w:eastAsia="IRNazanin" w:cs="IRNazanin"/>
          <w:lang w:bidi="fa-IR"/>
          <w:color w:val="111111"/>
          <w:sz w:val="28"/>
          <w:szCs w:val="28"/>
          <w:rtl/>
        </w:rPr>
        <w:t xml:space="preserve">خط: نستعليق شكسته، بی كا، تا: ۱۲۳۴ ق [رايانه]</w:t>
      </w:r>
    </w:p>
    <w:p>
      <w:pPr>
        <w:pStyle w:val="BookText"/>
      </w:pPr>
      <w:r>
        <w:rPr>
          <w:rFonts w:ascii="IRNazanin" w:hAnsi="IRNazanin" w:eastAsia="IRNazanin" w:cs="IRNazanin"/>
          <w:lang w:bidi="fa-IR"/>
          <w:color w:val="111111"/>
          <w:sz w:val="28"/>
          <w:szCs w:val="28"/>
          <w:rtl/>
        </w:rPr>
        <w:t xml:space="preserve">٤٣ . قم؛ مرعشی؛ شماره نسخه: ۴/ 8702</w:t>
      </w:r>
    </w:p>
    <w:p>
      <w:pPr>
        <w:pStyle w:val="BookText"/>
      </w:pPr>
      <w:r>
        <w:rPr>
          <w:rFonts w:ascii="IRNazanin" w:hAnsi="IRNazanin" w:eastAsia="IRNazanin" w:cs="IRNazanin"/>
          <w:lang w:bidi="fa-IR"/>
          <w:color w:val="111111"/>
          <w:sz w:val="28"/>
          <w:szCs w:val="28"/>
          <w:rtl/>
        </w:rPr>
        <w:t xml:space="preserve">آغاز: برابر ۱؛ انجام: برابر ۱</w:t>
      </w:r>
    </w:p>
    <w:p>
      <w:pPr>
        <w:pStyle w:val="BookText"/>
      </w:pPr>
      <w:r>
        <w:rPr>
          <w:rFonts w:ascii="IRNazanin" w:hAnsi="IRNazanin" w:eastAsia="IRNazanin" w:cs="IRNazanin"/>
          <w:lang w:bidi="fa-IR"/>
          <w:color w:val="111111"/>
          <w:sz w:val="28"/>
          <w:szCs w:val="28"/>
          <w:rtl/>
        </w:rPr>
        <w:t xml:space="preserve">خط: نسخ و نستعليق، کا: ابوالفضل، تا: ۱۲۳۴ ق؛ جلد: تيماج مشكی بدون مقوا، ۱۲ گ ( ۸۱ پ- ۹۲ پ)، اندازه: ۱۰</w:t>
      </w:r>
      <w:r>
        <w:rPr>
          <w:rFonts w:ascii="Times New Roman" w:hAnsi="Times New Roman" w:eastAsia="Times New Roman" w:cs="Times New Roman"/>
          <w:lang w:val="en-US" w:bidi="en-US"/>
          <w:color w:val="111111"/>
          <w:sz w:val="28"/>
          <w:szCs w:val="28"/>
          <w:rtl/>
        </w:rPr>
        <w:t xml:space="preserve">×14/5</w:t>
      </w:r>
      <w:r>
        <w:rPr>
          <w:rFonts w:ascii="IRNazanin" w:hAnsi="IRNazanin" w:eastAsia="IRNazanin" w:cs="IRNazanin"/>
          <w:lang w:bidi="fa-IR"/>
          <w:color w:val="111111"/>
          <w:sz w:val="28"/>
          <w:szCs w:val="28"/>
          <w:rtl/>
        </w:rPr>
        <w:t xml:space="preserve">سم[ف: 22- 245]</w:t>
      </w:r>
    </w:p>
    <w:p>
      <w:pPr>
        <w:pStyle w:val="BookText"/>
      </w:pPr>
      <w:r>
        <w:rPr>
          <w:rFonts w:ascii="Amiri" w:hAnsi="Amiri" w:eastAsia="Amiri" w:cs="Amiri"/>
          <w:lang w:bidi="ar-SA"/>
          <w:color w:val="111111"/>
          <w:sz w:val="28"/>
          <w:szCs w:val="28"/>
          <w:rtl/>
        </w:rPr>
        <w:t xml:space="preserve">٤٤ . قم؛ مركز احياء؛ شماره نسخه: ۹/ 4412</w:t>
      </w:r>
    </w:p>
    <w:p>
      <w:pPr>
        <w:pStyle w:val="BookText"/>
      </w:pPr>
      <w:r>
        <w:rPr>
          <w:rFonts w:ascii="IRNazanin" w:hAnsi="IRNazanin" w:eastAsia="IRNazanin" w:cs="IRNazanin"/>
          <w:lang w:bidi="fa-IR"/>
          <w:color w:val="111111"/>
          <w:sz w:val="28"/>
          <w:szCs w:val="28"/>
          <w:rtl/>
        </w:rPr>
        <w:t xml:space="preserve">خط: نستعليق، بی كا، تا: دهه وسط محرم ۱۲۳۸ ق؛ مصحح؛ جلد: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تيماج مشكی، ۷گ ( ۲۲۰ ر- ۲۲۶ پ)، ۲۰ سطر، اندازه: 15</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 [محدث ارموی مخ: 1- 133]</w:t>
      </w:r>
    </w:p>
    <w:p>
      <w:pPr>
        <w:pStyle w:val="BookText"/>
      </w:pPr>
      <w:r>
        <w:rPr>
          <w:rFonts w:ascii="IRNazanin" w:hAnsi="IRNazanin" w:eastAsia="IRNazanin" w:cs="IRNazanin"/>
          <w:lang w:bidi="fa-IR"/>
          <w:color w:val="111111"/>
          <w:sz w:val="28"/>
          <w:szCs w:val="28"/>
          <w:rtl/>
        </w:rPr>
        <w:t xml:space="preserve">٤٥ . مشهد؛ رضوی؛ شماره نسخه: ٢٨٨٢٠</w:t>
      </w:r>
    </w:p>
    <w:p>
      <w:pPr>
        <w:pStyle w:val="BookText"/>
      </w:pPr>
      <w:r>
        <w:rPr>
          <w:rFonts w:ascii="IRNazanin" w:hAnsi="IRNazanin" w:eastAsia="IRNazanin" w:cs="IRNazanin"/>
          <w:lang w:bidi="fa-IR"/>
          <w:color w:val="111111"/>
          <w:sz w:val="28"/>
          <w:szCs w:val="28"/>
          <w:rtl/>
        </w:rPr>
        <w:t xml:space="preserve">آغاز: برابر ١؛ انجام: برابر ١</w:t>
      </w:r>
    </w:p>
    <w:p>
      <w:pPr>
        <w:pStyle w:val="BookText"/>
      </w:pPr>
      <w:r>
        <w:rPr>
          <w:rFonts w:ascii="IRNazanin" w:hAnsi="IRNazanin" w:eastAsia="IRNazanin" w:cs="IRNazanin"/>
          <w:lang w:bidi="fa-IR"/>
          <w:color w:val="111111"/>
          <w:sz w:val="28"/>
          <w:szCs w:val="28"/>
          <w:rtl/>
        </w:rPr>
        <w:t xml:space="preserve">خط: نستعليق خوش، بی كا، تا: ١٢٤٨ ق؛ ضميمه نسخه ش ٢٨٨١٣ ؛ كاغذ: نخودی [ رايانه]</w:t>
      </w:r>
    </w:p>
    <w:p>
      <w:pPr>
        <w:pStyle w:val="BookText"/>
      </w:pPr>
      <w:r>
        <w:rPr>
          <w:rFonts w:ascii="IRNazanin" w:hAnsi="IRNazanin" w:eastAsia="IRNazanin" w:cs="IRNazanin"/>
          <w:lang w:bidi="fa-IR"/>
          <w:color w:val="111111"/>
          <w:sz w:val="28"/>
          <w:szCs w:val="28"/>
          <w:rtl/>
        </w:rPr>
        <w:t xml:space="preserve">٤٦ . قم؛ مسجد اعظم؛ شماره نسخه: ۱۱/ 2372</w:t>
      </w:r>
    </w:p>
    <w:p>
      <w:pPr>
        <w:pStyle w:val="BookText"/>
      </w:pPr>
      <w:r>
        <w:rPr>
          <w:rFonts w:ascii="IRNazanin" w:hAnsi="IRNazanin" w:eastAsia="IRNazanin" w:cs="IRNazanin"/>
          <w:lang w:bidi="fa-IR"/>
          <w:color w:val="111111"/>
          <w:sz w:val="28"/>
          <w:szCs w:val="28"/>
          <w:rtl/>
        </w:rPr>
        <w:t xml:space="preserve">آغاز: برابر ۲؛ انجام: برابر ۲</w:t>
      </w:r>
    </w:p>
    <w:p>
      <w:pPr>
        <w:pStyle w:val="BookText"/>
      </w:pPr>
      <w:r>
        <w:rPr>
          <w:rFonts w:ascii="IRNazanin" w:hAnsi="IRNazanin" w:eastAsia="IRNazanin" w:cs="IRNazanin"/>
          <w:lang w:bidi="fa-IR"/>
          <w:color w:val="111111"/>
          <w:sz w:val="28"/>
          <w:szCs w:val="28"/>
          <w:rtl/>
        </w:rPr>
        <w:t xml:space="preserve">خط: نستعليق، بی كا، تا: ۱۲۵۰ ق، ۱۳ گ، ۱۲ سطر، اندازه: 15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مخ: 1- 152]</w:t>
      </w:r>
    </w:p>
    <w:p>
      <w:pPr>
        <w:pStyle w:val="BookText"/>
      </w:pPr>
      <w:r>
        <w:rPr>
          <w:rFonts w:ascii="IRNazanin" w:hAnsi="IRNazanin" w:eastAsia="IRNazanin" w:cs="IRNazanin"/>
          <w:lang w:bidi="fa-IR"/>
          <w:color w:val="111111"/>
          <w:sz w:val="28"/>
          <w:szCs w:val="28"/>
          <w:rtl/>
        </w:rPr>
        <w:t xml:space="preserve">٤٧ . تهران؛ مجلس؛ شماره نسخه: ۱۸/ 8871</w:t>
      </w:r>
    </w:p>
    <w:p>
      <w:pPr>
        <w:pStyle w:val="BookText"/>
      </w:pPr>
      <w:r>
        <w:rPr>
          <w:rFonts w:ascii="IRNazanin" w:hAnsi="IRNazanin" w:eastAsia="IRNazanin" w:cs="IRNazanin"/>
          <w:lang w:bidi="fa-IR"/>
          <w:color w:val="111111"/>
          <w:sz w:val="28"/>
          <w:szCs w:val="28"/>
          <w:rtl/>
        </w:rPr>
        <w:t xml:space="preserve">آغاز: برابر ۱؛ انجام: برابر ۲</w:t>
      </w:r>
    </w:p>
    <w:p>
      <w:pPr>
        <w:pStyle w:val="BookText"/>
      </w:pPr>
      <w:r>
        <w:rPr>
          <w:rFonts w:ascii="IRNazanin" w:hAnsi="IRNazanin" w:eastAsia="IRNazanin" w:cs="IRNazanin"/>
          <w:lang w:bidi="fa-IR"/>
          <w:color w:val="111111"/>
          <w:sz w:val="28"/>
          <w:szCs w:val="28"/>
          <w:rtl/>
        </w:rPr>
        <w:t xml:space="preserve">كامل؛ خط: نستعليق، کا: محمد حسن بن محمد علی مازندرانی بارفروشی، تا: با تاريخ ۱۲۵۳ ق؛ كاغذ: فرنگی نخودی، جلد: گالينگور سبز، ۱۰ ص( 263- 272) ، اندازه:19/3</w:t>
      </w:r>
      <w:r>
        <w:rPr>
          <w:rFonts w:ascii="Times New Roman" w:hAnsi="Times New Roman" w:eastAsia="Times New Roman" w:cs="Times New Roman"/>
          <w:lang w:val="en-US" w:bidi="en-US"/>
          <w:color w:val="111111"/>
          <w:sz w:val="28"/>
          <w:szCs w:val="28"/>
          <w:rtl/>
        </w:rPr>
        <w:t xml:space="preserve">×22/8</w:t>
      </w:r>
      <w:r>
        <w:rPr>
          <w:rFonts w:ascii="IRNazanin" w:hAnsi="IRNazanin" w:eastAsia="IRNazanin" w:cs="IRNazanin"/>
          <w:lang w:bidi="fa-IR"/>
          <w:color w:val="111111"/>
          <w:sz w:val="28"/>
          <w:szCs w:val="28"/>
          <w:rtl/>
        </w:rPr>
        <w:t xml:space="preserve">سم (ف: 1/ 29- 196]</w:t>
      </w:r>
    </w:p>
    <w:p>
      <w:pPr>
        <w:pStyle w:val="BookText"/>
      </w:pPr>
      <w:r>
        <w:rPr>
          <w:rFonts w:ascii="IRNazanin" w:hAnsi="IRNazanin" w:eastAsia="IRNazanin" w:cs="IRNazanin"/>
          <w:lang w:bidi="fa-IR"/>
          <w:color w:val="111111"/>
          <w:sz w:val="28"/>
          <w:szCs w:val="28"/>
          <w:rtl/>
        </w:rPr>
        <w:t xml:space="preserve">٤٨ . قم؛ گلپايگانی؛ شماره نسخه: ۶/ 7997- 197/ 36</w:t>
      </w:r>
    </w:p>
    <w:p>
      <w:pPr>
        <w:pStyle w:val="BookText"/>
      </w:pPr>
      <w:r>
        <w:rPr>
          <w:rFonts w:ascii="IRNazanin" w:hAnsi="IRNazanin" w:eastAsia="IRNazanin" w:cs="IRNazanin"/>
          <w:lang w:bidi="fa-IR"/>
          <w:color w:val="111111"/>
          <w:sz w:val="28"/>
          <w:szCs w:val="28"/>
          <w:rtl/>
        </w:rPr>
        <w:t xml:space="preserve">آغاز: برابر ۱؛ انجام: پس محض توحيد نباشد چنانکه مشهور است و حينئذ سخن در توحيد حقيقی ميسر نشود والله اعلم بالصواب.</w:t>
      </w:r>
    </w:p>
    <w:p>
      <w:pPr>
        <w:pStyle w:val="BookText"/>
      </w:pPr>
      <w:r>
        <w:rPr>
          <w:rFonts w:ascii="IRNazanin" w:hAnsi="IRNazanin" w:eastAsia="IRNazanin" w:cs="IRNazanin"/>
          <w:lang w:bidi="fa-IR"/>
          <w:color w:val="111111"/>
          <w:sz w:val="28"/>
          <w:szCs w:val="28"/>
          <w:rtl/>
        </w:rPr>
        <w:t xml:space="preserve">خط: نستعليق، بی كا، تا: ۲۰ ذيحجه ۱۲۵۷ ق؛ جلد: تيماج مشکی  مجدول، ۷گ، ۲۸ سطر، اندازه: ۱۰</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سم[ف: 1- 360]</w:t>
      </w:r>
    </w:p>
    <w:p>
      <w:pPr>
        <w:pStyle w:val="BookText"/>
      </w:pPr>
      <w:r>
        <w:rPr>
          <w:rFonts w:ascii="IRNazanin" w:hAnsi="IRNazanin" w:eastAsia="IRNazanin" w:cs="IRNazanin"/>
          <w:lang w:bidi="fa-IR"/>
          <w:color w:val="111111"/>
          <w:sz w:val="28"/>
          <w:szCs w:val="28"/>
          <w:rtl/>
        </w:rPr>
        <w:t xml:space="preserve">٤٩ . قم؛ مرعشی؛ شماره نسخه: ۶/ 9562</w:t>
      </w:r>
    </w:p>
    <w:p>
      <w:pPr>
        <w:pStyle w:val="BookText"/>
      </w:pPr>
      <w:r>
        <w:rPr>
          <w:rFonts w:ascii="IRNazanin" w:hAnsi="IRNazanin" w:eastAsia="IRNazanin" w:cs="IRNazanin"/>
          <w:lang w:bidi="fa-IR"/>
          <w:color w:val="111111"/>
          <w:sz w:val="28"/>
          <w:szCs w:val="28"/>
          <w:rtl/>
        </w:rPr>
        <w:t xml:space="preserve">خط: نستعليق، کا: محمد مهدی بن محمد رضا اصفهانی مشهور به ارباب، تا: ۱۲۵۷ ق؛ جلد: تيماج قرمز عطف تيماج قهوه ای، ۱۰ گ ( 112ر- 121پ) ،۱۶ سطر، اندازه: ۱۵ </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سم[ف: 24- 305]</w:t>
      </w:r>
    </w:p>
    <w:p>
      <w:pPr>
        <w:pStyle w:val="BookText"/>
      </w:pPr>
      <w:r>
        <w:rPr>
          <w:rFonts w:ascii="IRNazanin" w:hAnsi="IRNazanin" w:eastAsia="IRNazanin" w:cs="IRNazanin"/>
          <w:lang w:bidi="fa-IR"/>
          <w:color w:val="111111"/>
          <w:sz w:val="28"/>
          <w:szCs w:val="28"/>
          <w:rtl/>
        </w:rPr>
        <w:t xml:space="preserve">٥٠ . قم؛ مرعشی؛ شماره نسخه: ۸/ 5697</w:t>
      </w:r>
    </w:p>
    <w:p>
      <w:pPr>
        <w:pStyle w:val="BookText"/>
      </w:pPr>
      <w:r>
        <w:rPr>
          <w:rFonts w:ascii="IRNazanin" w:hAnsi="IRNazanin" w:eastAsia="IRNazanin" w:cs="IRNazanin"/>
          <w:lang w:bidi="fa-IR"/>
          <w:color w:val="111111"/>
          <w:sz w:val="28"/>
          <w:szCs w:val="28"/>
          <w:rtl/>
        </w:rPr>
        <w:t xml:space="preserve">خط: نستعليق، کا: ملا محمد شهير به ملا آقا جان مازندرانی، تا:۱۲۶۸ ق؛ جلد: تيماج قهوه ای، ۷گ ( ۳۶ ر- ۴۲ پ)، اندازه:17</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سم[ف: 15- 99]</w:t>
      </w:r>
    </w:p>
    <w:p>
      <w:pPr>
        <w:pStyle w:val="BookText"/>
      </w:pPr>
      <w:r>
        <w:rPr>
          <w:rFonts w:ascii="IRNazanin" w:hAnsi="IRNazanin" w:eastAsia="IRNazanin" w:cs="IRNazanin"/>
          <w:lang w:bidi="fa-IR"/>
          <w:color w:val="111111"/>
          <w:sz w:val="28"/>
          <w:szCs w:val="28"/>
          <w:rtl/>
        </w:rPr>
        <w:t xml:space="preserve">٥١ . مشهد؛ رضوی؛ شماره نسخه: ۶۲۶</w:t>
      </w:r>
    </w:p>
    <w:p>
      <w:pPr>
        <w:pStyle w:val="BookText"/>
      </w:pPr>
      <w:r>
        <w:rPr>
          <w:rFonts w:ascii="Amiri" w:hAnsi="Amiri" w:eastAsia="Amiri" w:cs="Amiri"/>
          <w:lang w:bidi="ar-SA"/>
          <w:color w:val="111111"/>
          <w:sz w:val="28"/>
          <w:szCs w:val="28"/>
          <w:rtl/>
        </w:rPr>
        <w:t xml:space="preserve">آغاز: اين اجوب هايست كه استاد البشر و العقل الحاديعشر؛ انجام: برابر ۱</w:t>
      </w:r>
    </w:p>
    <w:p>
      <w:pPr>
        <w:pStyle w:val="BookText"/>
      </w:pPr>
      <w:r>
        <w:rPr>
          <w:rFonts w:ascii="IRNazanin" w:hAnsi="IRNazanin" w:eastAsia="IRNazanin" w:cs="IRNazanin"/>
          <w:lang w:bidi="fa-IR"/>
          <w:color w:val="111111"/>
          <w:sz w:val="28"/>
          <w:szCs w:val="28"/>
          <w:rtl/>
        </w:rPr>
        <w:t xml:space="preserve">خط: نسخ، بی كا، تا: ۱۲۷۹ ق؛ واقف: نائينی؛ ۱۹ گ، مختلف  السطر، اندازه: ۱۲</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سم[ف: 4- 22]</w:t>
      </w:r>
    </w:p>
    <w:p>
      <w:pPr>
        <w:pStyle w:val="BookText"/>
      </w:pPr>
      <w:r>
        <w:rPr>
          <w:rFonts w:ascii="IRNazanin" w:hAnsi="IRNazanin" w:eastAsia="IRNazanin" w:cs="IRNazanin"/>
          <w:lang w:bidi="fa-IR"/>
          <w:color w:val="111111"/>
          <w:sz w:val="28"/>
          <w:szCs w:val="28"/>
          <w:rtl/>
        </w:rPr>
        <w:t xml:space="preserve">٥٢ . كرمانشاه؛ مدرسه آية الله بروجردی؛ شماره نسخه: ٣/ 119</w:t>
      </w:r>
    </w:p>
    <w:p>
      <w:pPr>
        <w:pStyle w:val="BookText"/>
      </w:pPr>
      <w:r>
        <w:rPr>
          <w:rFonts w:ascii="IRNazanin" w:hAnsi="IRNazanin" w:eastAsia="IRNazanin" w:cs="IRNazanin"/>
          <w:lang w:bidi="fa-IR"/>
          <w:color w:val="111111"/>
          <w:sz w:val="28"/>
          <w:szCs w:val="28"/>
          <w:rtl/>
        </w:rPr>
        <w:t xml:space="preserve">آغاز: برابر ١؛ انجام: برابر ١</w:t>
      </w:r>
    </w:p>
    <w:p>
      <w:pPr>
        <w:pStyle w:val="BookText"/>
      </w:pPr>
      <w:r>
        <w:rPr>
          <w:rFonts w:ascii="IRNazanin" w:hAnsi="IRNazanin" w:eastAsia="IRNazanin" w:cs="IRNazanin"/>
          <w:lang w:bidi="fa-IR"/>
          <w:color w:val="111111"/>
          <w:sz w:val="28"/>
          <w:szCs w:val="28"/>
          <w:rtl/>
        </w:rPr>
        <w:t xml:space="preserve">خط: نسخ خوب، كا: محمد باقر محمد حسن بروجنی، تا: ١٢٩٤ ق؛ جلد: تيماج مشكی، ٨گ ( ٥٦ پ- ٦٣ پ)، ٢٣ سطر،  اندازه: 13/5</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سم[ف: 93]</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قم؛ مركز احياء؛ شماره نسخه: ٣/ 1780</w:t>
      </w:r>
    </w:p>
    <w:p>
      <w:pPr>
        <w:pStyle w:val="BookText"/>
      </w:pPr>
      <w:r>
        <w:rPr>
          <w:rFonts w:ascii="IRNazanin" w:hAnsi="IRNazanin" w:eastAsia="IRNazanin" w:cs="IRNazanin"/>
          <w:lang w:bidi="fa-IR"/>
          <w:color w:val="111111"/>
          <w:sz w:val="28"/>
          <w:szCs w:val="28"/>
          <w:rtl/>
        </w:rPr>
        <w:t xml:space="preserve">نسخه اصل: همان نسخه بالا [ عكسی ف: ٥- 238]</w:t>
      </w:r>
    </w:p>
    <w:p>
      <w:pPr>
        <w:pStyle w:val="BookText"/>
      </w:pPr>
      <w:r>
        <w:rPr>
          <w:rFonts w:ascii="IRNazanin" w:hAnsi="IRNazanin" w:eastAsia="IRNazanin" w:cs="IRNazanin"/>
          <w:lang w:bidi="fa-IR"/>
          <w:color w:val="111111"/>
          <w:sz w:val="28"/>
          <w:szCs w:val="28"/>
          <w:rtl/>
        </w:rPr>
        <w:t xml:space="preserve">٥٣ . تهران؛ دانشگاه؛ شماره نسخه: ۵۱/ 7535</w:t>
      </w:r>
    </w:p>
    <w:p>
      <w:pPr>
        <w:pStyle w:val="BookText"/>
      </w:pPr>
      <w:r>
        <w:rPr>
          <w:rFonts w:ascii="IRNazanin" w:hAnsi="IRNazanin" w:eastAsia="IRNazanin" w:cs="IRNazanin"/>
          <w:lang w:bidi="fa-IR"/>
          <w:color w:val="111111"/>
          <w:sz w:val="28"/>
          <w:szCs w:val="28"/>
          <w:rtl/>
        </w:rPr>
        <w:t xml:space="preserve">خط: نستعليق چليپا، بی كا، تا: قرن ۱۴ ؛ كاغذ: فرنگی، جلد: مخمل آبی روی مقوا، 14سطر(7</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 قطع: ربعی، اندازه: 13</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 [ف: ۱۶ -616]</w:t>
      </w:r>
    </w:p>
    <w:p>
      <w:pPr>
        <w:pStyle w:val="BookText"/>
      </w:pPr>
      <w:r>
        <w:rPr>
          <w:rFonts w:ascii="IRNazanin" w:hAnsi="IRNazanin" w:eastAsia="IRNazanin" w:cs="IRNazanin"/>
          <w:lang w:bidi="fa-IR"/>
          <w:color w:val="111111"/>
          <w:sz w:val="28"/>
          <w:szCs w:val="28"/>
          <w:rtl/>
        </w:rPr>
        <w:t xml:space="preserve">٥٤ . قم؛ مرکز احیاء؛ شماره نسخه: ۳۴۳۹/۳</w:t>
      </w:r>
    </w:p>
    <w:p>
      <w:pPr>
        <w:pStyle w:val="BookText"/>
      </w:pPr>
      <w:r>
        <w:rPr>
          <w:rFonts w:ascii="IRNazanin" w:hAnsi="IRNazanin" w:eastAsia="IRNazanin" w:cs="IRNazanin"/>
          <w:lang w:bidi="fa-IR"/>
          <w:color w:val="111111"/>
          <w:sz w:val="28"/>
          <w:szCs w:val="28"/>
          <w:rtl/>
        </w:rPr>
        <w:t xml:space="preserve">آغاز: الحمد لله رب العالمين... بعد در شهور سنه خمس وعشرون و ثمانمائه اسکندر بن عمر از اصفهان کسی فرستاد به شیراز؛ انجام: برابر ۱</w:t>
      </w:r>
    </w:p>
    <w:p>
      <w:pPr>
        <w:pStyle w:val="BookText"/>
      </w:pPr>
      <w:r>
        <w:rPr>
          <w:rFonts w:ascii="IRNazanin" w:hAnsi="IRNazanin" w:eastAsia="IRNazanin" w:cs="IRNazanin"/>
          <w:lang w:bidi="fa-IR"/>
          <w:color w:val="111111"/>
          <w:sz w:val="28"/>
          <w:szCs w:val="28"/>
          <w:rtl/>
        </w:rPr>
        <w:t xml:space="preserve">خط: نستعليق كا: شيخ محمد واعظ تهرانی، تا: دوشنبه ۲۲ربیع الثانی ۱۳۰۷ق؛ ۱۲گ (۲۳ ر - ۳۴پ)، ۱۸ 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[محدث ارموی مخ: ۱ - ۱۳۳]</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تهران؛ مجلس؛ شماره نسخه: ۳۲۶۰/۱۲</w:t>
      </w:r>
    </w:p>
    <w:p>
      <w:pPr>
        <w:pStyle w:val="BookText"/>
      </w:pPr>
      <w:r>
        <w:rPr>
          <w:rFonts w:ascii="IRNazanin" w:hAnsi="IRNazanin" w:eastAsia="IRNazanin" w:cs="IRNazanin"/>
          <w:lang w:bidi="fa-IR"/>
          <w:color w:val="111111"/>
          <w:sz w:val="28"/>
          <w:szCs w:val="28"/>
          <w:rtl/>
        </w:rPr>
        <w:t xml:space="preserve">آغاز: برابر ۱؛ انجام: و هر کس متوجه شود که توکید اثبات آن کند اثبات خود کرده باشد در توحید کردن و از آنجا تعداد لازم آید پس محض توحید نباشد چنانکه مشهور است و چند سخن در   توحید حقیقی میسر نشد و الله اعلم بالصواب. تم بعون الله و حسن توفيقه و الحمد لله رب العالمين.</w:t>
      </w:r>
    </w:p>
    <w:p>
      <w:pPr>
        <w:pStyle w:val="BookText"/>
      </w:pPr>
      <w:r>
        <w:rPr>
          <w:rFonts w:ascii="IRNazanin" w:hAnsi="IRNazanin" w:eastAsia="IRNazanin" w:cs="IRNazanin"/>
          <w:lang w:bidi="fa-IR"/>
          <w:color w:val="111111"/>
          <w:sz w:val="28"/>
          <w:szCs w:val="28"/>
          <w:rtl/>
        </w:rPr>
        <w:t xml:space="preserve">خط: نستعلیق بی کا، تا: ۱۳۰۷ق؛ کاغذ: فرنگی، جلد: تیماج  بی مقوا، ۱۱ص (۱۶۹-۱۵۹)، ۱۹ سطر، قطع: خشتی،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۲۸سم [ف : ۱۰ - ۸۶۳]</w:t>
      </w:r>
    </w:p>
    <w:p>
      <w:pPr>
        <w:pStyle w:val="BookText"/>
      </w:pPr>
      <w:r>
        <w:rPr>
          <w:rFonts w:ascii="IRNazanin" w:hAnsi="IRNazanin" w:eastAsia="IRNazanin" w:cs="IRNazanin"/>
          <w:lang w:bidi="fa-IR"/>
          <w:color w:val="111111"/>
          <w:sz w:val="28"/>
          <w:szCs w:val="28"/>
          <w:rtl/>
        </w:rPr>
        <w:t xml:space="preserve">٥٦. تهران؛ سپهسالار؛ شماره نسخه: ۷۵۱۸/۱۲</w:t>
      </w:r>
    </w:p>
    <w:p>
      <w:pPr>
        <w:pStyle w:val="BookText"/>
      </w:pPr>
      <w:r>
        <w:rPr>
          <w:rFonts w:ascii="IRNazanin" w:hAnsi="IRNazanin" w:eastAsia="IRNazanin" w:cs="IRNazanin"/>
          <w:lang w:bidi="fa-IR"/>
          <w:color w:val="111111"/>
          <w:sz w:val="28"/>
          <w:szCs w:val="28"/>
          <w:rtl/>
        </w:rPr>
        <w:t xml:space="preserve">آغاز: برابر ۱؛ انجام: برابر ۱</w:t>
      </w:r>
    </w:p>
    <w:p>
      <w:pPr>
        <w:pStyle w:val="BookText"/>
      </w:pPr>
      <w:r>
        <w:rPr>
          <w:rFonts w:ascii="IRNazanin" w:hAnsi="IRNazanin" w:eastAsia="IRNazanin" w:cs="IRNazanin"/>
          <w:lang w:bidi="fa-IR"/>
          <w:color w:val="111111"/>
          <w:sz w:val="28"/>
          <w:szCs w:val="28"/>
          <w:rtl/>
        </w:rPr>
        <w:t xml:space="preserve">خط: نسخ، کا: محمد علی کرمانشاهی، تا: ۱۳۰۸ق؛ گویا از روی نسخه ۱۰۸۳ق نوشته است؛ کاغذ: فرنگی، جلد: تیماج حنایی یک لا، 8گ (۷۷پ-۸۴پ)، ۱۴ سطر، اندازه: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۳ - ۲۸۵]</w:t>
      </w:r>
    </w:p>
    <w:p>
      <w:pPr>
        <w:pStyle w:val="BookText"/>
      </w:pPr>
      <w:r>
        <w:rPr>
          <w:rFonts w:ascii="IRNazanin" w:hAnsi="IRNazanin" w:eastAsia="IRNazanin" w:cs="IRNazanin"/>
          <w:lang w:bidi="fa-IR"/>
          <w:color w:val="111111"/>
          <w:sz w:val="28"/>
          <w:szCs w:val="28"/>
          <w:rtl/>
        </w:rPr>
        <w:t xml:space="preserve">٥٧. مشهد؛ رضوی؛ شماره نسخه: ۱۲۲۹۷/۲۳</w:t>
      </w:r>
    </w:p>
    <w:p>
      <w:pPr>
        <w:pStyle w:val="BookText"/>
      </w:pPr>
      <w:r>
        <w:rPr>
          <w:rFonts w:ascii="IRNazanin" w:hAnsi="IRNazanin" w:eastAsia="IRNazanin" w:cs="IRNazanin"/>
          <w:lang w:bidi="fa-IR"/>
          <w:color w:val="111111"/>
          <w:sz w:val="28"/>
          <w:szCs w:val="28"/>
          <w:rtl/>
        </w:rPr>
        <w:t xml:space="preserve">آغاز: برابر ۲؛ انجام: و از شق دیگر که نقصان لازم می آید غافل نماند و چون قصد او اثبات وحدانیت بوده باشد از او عفو کرده باشند قدتم بالخير والسعادة</w:t>
      </w:r>
    </w:p>
    <w:p>
      <w:pPr>
        <w:pStyle w:val="BookText"/>
      </w:pPr>
      <w:r>
        <w:rPr>
          <w:rFonts w:ascii="IRNazanin" w:hAnsi="IRNazanin" w:eastAsia="IRNazanin" w:cs="IRNazanin"/>
          <w:lang w:bidi="fa-IR"/>
          <w:color w:val="111111"/>
          <w:sz w:val="28"/>
          <w:szCs w:val="28"/>
          <w:rtl/>
        </w:rPr>
        <w:t xml:space="preserve">در فهرست با عنوان «المعقول والمنقول» و ناشناس آمده؛ خط: نسخ خوش، کا: محمد طاهر ،مشهدی، تا: ۱۳۰۹ق، جا: مشهد؛ کاغذ: حنایی آهار مهره :جلد: تیماج ضربی، زرکوب ترنج دار، ۸ ص ۲۷۳ (۲۸۰- 372) 31سطر، اندازه: 20/2</w:t>
      </w:r>
      <w:r>
        <w:rPr>
          <w:rFonts w:ascii="Times New Roman" w:hAnsi="Times New Roman" w:eastAsia="Times New Roman" w:cs="Times New Roman"/>
          <w:lang w:val="en-US" w:bidi="en-US"/>
          <w:color w:val="111111"/>
          <w:sz w:val="28"/>
          <w:szCs w:val="28"/>
          <w:rtl/>
        </w:rPr>
        <w:t xml:space="preserve">×33/1</w:t>
      </w:r>
      <w:r>
        <w:rPr>
          <w:rFonts w:ascii="IRNazanin" w:hAnsi="IRNazanin" w:eastAsia="IRNazanin" w:cs="IRNazanin"/>
          <w:lang w:bidi="fa-IR"/>
          <w:color w:val="111111"/>
          <w:sz w:val="28"/>
          <w:szCs w:val="28"/>
          <w:rtl/>
        </w:rPr>
        <w:t xml:space="preserve">سم [ف: ۱۰- ۲۵۰]</w:t>
      </w:r>
    </w:p>
    <w:p>
      <w:pPr>
        <w:pStyle w:val="BookText"/>
      </w:pPr>
      <w:r>
        <w:rPr>
          <w:rFonts w:ascii="IRNazanin" w:hAnsi="IRNazanin" w:eastAsia="IRNazanin" w:cs="IRNazanin"/>
          <w:lang w:bidi="fa-IR"/>
          <w:color w:val="111111"/>
          <w:sz w:val="28"/>
          <w:szCs w:val="28"/>
          <w:rtl/>
        </w:rPr>
        <w:t xml:space="preserve">تهران؛ دائرة المعارف؛ شماره نسخه: ۴۸۶/۲۴- عکسی</w:t>
      </w:r>
    </w:p>
    <w:p>
      <w:pPr>
        <w:pStyle w:val="BookText"/>
      </w:pPr>
      <w:r>
        <w:rPr>
          <w:rFonts w:ascii="IRNazanin" w:hAnsi="IRNazanin" w:eastAsia="IRNazanin" w:cs="IRNazanin"/>
          <w:lang w:bidi="fa-IR"/>
          <w:color w:val="111111"/>
          <w:sz w:val="28"/>
          <w:szCs w:val="28"/>
          <w:rtl/>
        </w:rPr>
        <w:t xml:space="preserve">اصل نسخه: همان نسخه بالا ابتدا از آن سید جلال الدین تهرانی بوده [ف: ۲ - ۲۶۰]</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قم؛ گلپایگانی؛ شماره نسخه: ۴۷۸۱-۲۴/۸۱</w:t>
      </w:r>
    </w:p>
    <w:p>
      <w:pPr>
        <w:pStyle w:val="BookText"/>
      </w:pPr>
      <w:r>
        <w:rPr>
          <w:rFonts w:ascii="IRNazanin" w:hAnsi="IRNazanin" w:eastAsia="IRNazanin" w:cs="IRNazanin"/>
          <w:lang w:bidi="fa-IR"/>
          <w:color w:val="111111"/>
          <w:sz w:val="28"/>
          <w:szCs w:val="28"/>
          <w:rtl/>
        </w:rPr>
        <w:t xml:space="preserve">آغاز: برابر ۱؛ انجام: برابر ۱</w:t>
      </w:r>
    </w:p>
    <w:p>
      <w:pPr>
        <w:pStyle w:val="BookText"/>
      </w:pPr>
      <w:r>
        <w:rPr>
          <w:rFonts w:ascii="IRNazanin" w:hAnsi="IRNazanin" w:eastAsia="IRNazanin" w:cs="IRNazanin"/>
          <w:lang w:bidi="fa-IR"/>
          <w:color w:val="111111"/>
          <w:sz w:val="28"/>
          <w:szCs w:val="28"/>
          <w:rtl/>
        </w:rPr>
        <w:t xml:space="preserve">خط: نستعلیق، کا: محمد علی، تا: ۱۳۱۲ق؛ جلد: گالینگور ،قهوه ای،۱۵گ، ۱۱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۲۳سم [ف: ۱ - ۳۵۹]</w:t>
      </w:r>
    </w:p>
    <w:p>
      <w:pPr>
        <w:pStyle w:val="BookText"/>
      </w:pPr>
      <w:r>
        <w:rPr>
          <w:rFonts w:ascii="IRNazanin" w:hAnsi="IRNazanin" w:eastAsia="IRNazanin" w:cs="IRNazanin"/>
          <w:lang w:bidi="fa-IR"/>
          <w:color w:val="111111"/>
          <w:sz w:val="28"/>
          <w:szCs w:val="28"/>
          <w:rtl/>
        </w:rPr>
        <w:t xml:space="preserve">٥٩. تهران؛ مجلس؛ شماره نسخه: ۱۰۲۴۱/۱</w:t>
      </w:r>
    </w:p>
    <w:p>
      <w:pPr>
        <w:pStyle w:val="BookText"/>
      </w:pPr>
      <w:r>
        <w:rPr>
          <w:rFonts w:ascii="IRNazanin" w:hAnsi="IRNazanin" w:eastAsia="IRNazanin" w:cs="IRNazanin"/>
          <w:lang w:bidi="fa-IR"/>
          <w:color w:val="111111"/>
          <w:sz w:val="28"/>
          <w:szCs w:val="28"/>
          <w:rtl/>
        </w:rPr>
        <w:t xml:space="preserve">آغاز: برابر ۱؛ انجام: برابر ۱</w:t>
      </w:r>
    </w:p>
    <w:p>
      <w:pPr>
        <w:pStyle w:val="BookText"/>
      </w:pPr>
      <w:r>
        <w:rPr>
          <w:rFonts w:ascii="IRNazanin" w:hAnsi="IRNazanin" w:eastAsia="IRNazanin" w:cs="IRNazanin"/>
          <w:lang w:bidi="fa-IR"/>
          <w:color w:val="111111"/>
          <w:sz w:val="28"/>
          <w:szCs w:val="28"/>
          <w:rtl/>
        </w:rPr>
        <w:t xml:space="preserve">خط: نستعلیق، کا: میرزا محمدخان  کاشانی، تا: ۱۳۲۰ق؛ کاتب خواهرزاده میرزا محمد خان کاشانی خواهر زاده میرزا محمد علی خان مجیرالدوله کاشانی، منشی مخصوص وزارتتألیفات است؛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جلد :مقوایی ۲۷گ (۱پ - ۲۷پ)، ۱۷ سطر، اندازه: 21</w:t>
      </w:r>
      <w:r>
        <w:rPr>
          <w:rFonts w:ascii="Times New Roman" w:hAnsi="Times New Roman" w:eastAsia="Times New Roman" w:cs="Times New Roman"/>
          <w:lang w:val="en-US" w:bidi="en-US"/>
          <w:color w:val="111111"/>
          <w:sz w:val="28"/>
          <w:szCs w:val="28"/>
          <w:rtl/>
        </w:rPr>
        <w:t xml:space="preserve">×32</w:t>
      </w:r>
      <w:r>
        <w:rPr>
          <w:rFonts w:ascii="IRNazanin" w:hAnsi="IRNazanin" w:eastAsia="IRNazanin" w:cs="IRNazanin"/>
          <w:lang w:bidi="fa-IR"/>
          <w:color w:val="111111"/>
          <w:sz w:val="28"/>
          <w:szCs w:val="28"/>
          <w:rtl/>
        </w:rPr>
        <w:t xml:space="preserve">سم[ ف: ۳۲ - ۲۷۵]</w:t>
      </w:r>
    </w:p>
    <w:p>
      <w:pPr>
        <w:pStyle w:val="BookText"/>
      </w:pPr>
      <w:r>
        <w:rPr>
          <w:rFonts w:ascii="IRNazanin" w:hAnsi="IRNazanin" w:eastAsia="IRNazanin" w:cs="IRNazanin"/>
          <w:lang w:bidi="fa-IR"/>
          <w:color w:val="111111"/>
          <w:sz w:val="28"/>
          <w:szCs w:val="28"/>
          <w:rtl/>
        </w:rPr>
        <w:t xml:space="preserve">٦۰ . تهران؛ مجلس؛ شماره نسخه: ۱۰۴۸۱/۱</w:t>
      </w:r>
    </w:p>
    <w:p>
      <w:pPr>
        <w:pStyle w:val="BookText"/>
      </w:pPr>
      <w:r>
        <w:rPr>
          <w:rFonts w:ascii="IRNazanin" w:hAnsi="IRNazanin" w:eastAsia="IRNazanin" w:cs="IRNazanin"/>
          <w:lang w:bidi="fa-IR"/>
          <w:color w:val="111111"/>
          <w:sz w:val="28"/>
          <w:szCs w:val="28"/>
          <w:rtl/>
        </w:rPr>
        <w:t xml:space="preserve">آغاز: برابر ۲؛ انجام: برابر ۱</w:t>
      </w:r>
    </w:p>
    <w:p>
      <w:pPr>
        <w:pStyle w:val="BookText"/>
      </w:pPr>
      <w:r>
        <w:rPr>
          <w:rFonts w:ascii="IRNazanin" w:hAnsi="IRNazanin" w:eastAsia="IRNazanin" w:cs="IRNazanin"/>
          <w:lang w:bidi="fa-IR"/>
          <w:color w:val="111111"/>
          <w:sz w:val="28"/>
          <w:szCs w:val="28"/>
          <w:rtl/>
        </w:rPr>
        <w:t xml:space="preserve">در فهرست با عنوان «کلمات مشایخ» و ناشناس آمده ولی فصول و عناوین آن با این رساله هماهنگ است؛ خط: نستعلیق بی کا، بی تا ،جلد: تیماج سرخ با عطف و گوشه تیماج قهوه ای، ۴گ (۳۵پ-۳۸ر)،اندازه: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۲۴سم [ف: ۳۳/۱ - ۴۸]</w:t>
      </w:r>
    </w:p>
    <w:p>
      <w:pPr>
        <w:pStyle w:val="BookText"/>
      </w:pPr>
      <w:r>
        <w:rPr>
          <w:rFonts w:ascii="IRNazanin" w:hAnsi="IRNazanin" w:eastAsia="IRNazanin" w:cs="IRNazanin"/>
          <w:lang w:bidi="fa-IR"/>
          <w:color w:val="111111"/>
          <w:sz w:val="28"/>
          <w:szCs w:val="28"/>
          <w:rtl/>
        </w:rPr>
        <w:t xml:space="preserve">٦١ . تهران؛ مجلس؛ شماره نسخه: ۱۶۹۲۷/۳</w:t>
      </w:r>
    </w:p>
    <w:p>
      <w:pPr>
        <w:pStyle w:val="BookText"/>
      </w:pPr>
      <w:r>
        <w:rPr>
          <w:rFonts w:ascii="IRNazanin" w:hAnsi="IRNazanin" w:eastAsia="IRNazanin" w:cs="IRNazanin"/>
          <w:lang w:bidi="fa-IR"/>
          <w:color w:val="111111"/>
          <w:sz w:val="28"/>
          <w:szCs w:val="28"/>
          <w:rtl/>
        </w:rPr>
        <w:t xml:space="preserve">آغاز: سؤالاتی که سلطان سعید مغفور امیرزاده اعظم اسکندر استاد البشر از سلطان العلماء سند الحكماء زين الاشراف المشهـور بسید شریف جرجانی قدس سره نموده این است ؛انجام: و ارواحی که از فضایل و رذایل خالی اند، ایشان را نه لذت بهشت و نه عقوبت دوزخ باشد، پس آن ارواح در در مرتبه باشد مـیان دوزخ و بهشت.</w:t>
      </w:r>
    </w:p>
    <w:p>
      <w:pPr>
        <w:pStyle w:val="BookText"/>
      </w:pPr>
      <w:r>
        <w:rPr>
          <w:rFonts w:ascii="IRNazanin" w:hAnsi="IRNazanin" w:eastAsia="IRNazanin" w:cs="IRNazanin"/>
          <w:lang w:bidi="fa-IR"/>
          <w:color w:val="111111"/>
          <w:sz w:val="28"/>
          <w:szCs w:val="28"/>
          <w:rtl/>
        </w:rPr>
        <w:t xml:space="preserve">خط: نستعلیق تحریری، بی کا، بی تا، پس از آن پاسخ شیخ بهایی به این سؤال که «کلام صفت فعل است یا صفت ذات؟ (فارسـی) (ص ۱۲۱) تعریف چند اصطلاح منطقى الفرق بین الضد و النقض، الفرق بين المكان و الجهه الفرق بين اجزاء القضيه واجزاء التصديق (عربی) (ص ۱۲۱) دو فایده در نحو و حکمت چند سؤال و پاسخ آنها در عقاید (ص (۱۲۲) (عربی و فارسی)؛ جلد: چرم قهوه ای روشن روی مقوا، ۱۵ ص (۱۰۷-۱۲۱)، ۱۵ سـطر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۴-]</w:t>
      </w:r>
    </w:p>
    <w:p>
      <w:pPr>
        <w:pStyle w:val="BookText"/>
      </w:pPr>
      <w:r>
        <w:rPr>
          <w:rFonts w:ascii="IRNazanin" w:hAnsi="IRNazanin" w:eastAsia="IRNazanin" w:cs="IRNazanin"/>
          <w:lang w:bidi="fa-IR"/>
          <w:color w:val="111111"/>
          <w:sz w:val="28"/>
          <w:szCs w:val="28"/>
          <w:rtl/>
        </w:rPr>
        <w:t xml:space="preserve">٦٢ . تهران؛ مجلس؛ شماره نسخه: ۴۹۵۴/۱۸</w:t>
      </w:r>
    </w:p>
    <w:p>
      <w:pPr>
        <w:pStyle w:val="BookText"/>
      </w:pPr>
      <w:r>
        <w:rPr>
          <w:rFonts w:ascii="IRNazanin" w:hAnsi="IRNazanin" w:eastAsia="IRNazanin" w:cs="IRNazanin"/>
          <w:lang w:bidi="fa-IR"/>
          <w:color w:val="111111"/>
          <w:sz w:val="28"/>
          <w:szCs w:val="28"/>
          <w:rtl/>
        </w:rPr>
        <w:t xml:space="preserve">آغاز: برابر ۱؛ انجام: برابر ۱</w:t>
      </w:r>
    </w:p>
    <w:p>
      <w:pPr>
        <w:pStyle w:val="BookText"/>
      </w:pPr>
      <w:r>
        <w:rPr>
          <w:rFonts w:ascii="IRNazanin" w:hAnsi="IRNazanin" w:eastAsia="IRNazanin" w:cs="IRNazanin"/>
          <w:lang w:bidi="fa-IR"/>
          <w:color w:val="111111"/>
          <w:sz w:val="28"/>
          <w:szCs w:val="28"/>
          <w:rtl/>
        </w:rPr>
        <w:t xml:space="preserve">در هشت سؤال و هشت جواب؛ خط: نسخ، کا: میر جعفر عبدالله الحسینی، بی تا، کاغذ ،سپاهانی، جلد: روغنی حاشیه گل وبوته میان ترنج ۱۴گ (۲۴۵ پ-۲۵۸ر)، ۱۴ سطر (7/5</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۱۴ - ۲۳۹]</w:t>
      </w:r>
    </w:p>
    <w:p>
      <w:pPr>
        <w:pStyle w:val="BookText"/>
      </w:pPr>
      <w:r>
        <w:rPr>
          <w:rFonts w:ascii="IRNazanin" w:hAnsi="IRNazanin" w:eastAsia="IRNazanin" w:cs="IRNazanin"/>
          <w:lang w:bidi="fa-IR"/>
          <w:color w:val="111111"/>
          <w:sz w:val="28"/>
          <w:szCs w:val="28"/>
          <w:rtl/>
        </w:rPr>
        <w:t xml:space="preserve">٦٣. تهران؛ مجلس؛ شماره نسخه: ۱۹۸۸/۳</w:t>
      </w:r>
    </w:p>
    <w:p>
      <w:pPr>
        <w:pStyle w:val="BookText"/>
      </w:pPr>
      <w:r>
        <w:rPr>
          <w:rFonts w:ascii="IRNazanin" w:hAnsi="IRNazanin" w:eastAsia="IRNazanin" w:cs="IRNazanin"/>
          <w:lang w:bidi="fa-IR"/>
          <w:color w:val="111111"/>
          <w:sz w:val="28"/>
          <w:szCs w:val="28"/>
          <w:rtl/>
        </w:rPr>
        <w:t xml:space="preserve">آغاز: برابر ۱؛ انجام: برابر ۱</w:t>
      </w:r>
    </w:p>
    <w:p>
      <w:pPr>
        <w:pStyle w:val="BookText"/>
      </w:pPr>
      <w:r>
        <w:rPr>
          <w:rFonts w:ascii="IRNazanin" w:hAnsi="IRNazanin" w:eastAsia="IRNazanin" w:cs="IRNazanin"/>
          <w:lang w:bidi="fa-IR"/>
          <w:color w:val="111111"/>
          <w:sz w:val="28"/>
          <w:szCs w:val="28"/>
          <w:rtl/>
        </w:rPr>
        <w:t xml:space="preserve">خط: نسخ، بی کا، بی تا، کاغذ: فرنگی سفید، جلد: تیماج مشـکی بدون مقوا، ۲۴ ص (۵۵-۷۸) قطع : خشتی،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  سم [ف: ۹ - ۶۹۷]</w:t>
      </w:r>
    </w:p>
    <w:p>
      <w:pPr>
        <w:pStyle w:val="BookText"/>
      </w:pPr>
      <w:r>
        <w:rPr>
          <w:rFonts w:ascii="IRNazanin" w:hAnsi="IRNazanin" w:eastAsia="IRNazanin" w:cs="IRNazanin"/>
          <w:lang w:bidi="fa-IR"/>
          <w:color w:val="111111"/>
          <w:sz w:val="28"/>
          <w:szCs w:val="28"/>
          <w:rtl/>
        </w:rPr>
        <w:t xml:space="preserve">٦٤. تهران؛ مجلس؛ شماره نسخه: ۹۰۷۵/۸</w:t>
      </w:r>
    </w:p>
    <w:p>
      <w:pPr>
        <w:pStyle w:val="BookText"/>
      </w:pPr>
      <w:r>
        <w:rPr>
          <w:rFonts w:ascii="IRNazanin" w:hAnsi="IRNazanin" w:eastAsia="IRNazanin" w:cs="IRNazanin"/>
          <w:lang w:bidi="fa-IR"/>
          <w:color w:val="111111"/>
          <w:sz w:val="28"/>
          <w:szCs w:val="28"/>
          <w:rtl/>
        </w:rPr>
        <w:t xml:space="preserve">آغاز: ابتدای آن برابر ۲ و بعد برابر ۱؛ انجام: برابر ۱</w:t>
      </w:r>
    </w:p>
    <w:p>
      <w:pPr>
        <w:pStyle w:val="BookText"/>
      </w:pPr>
      <w:r>
        <w:rPr>
          <w:rFonts w:ascii="IRNazanin" w:hAnsi="IRNazanin" w:eastAsia="IRNazanin" w:cs="IRNazanin"/>
          <w:lang w:bidi="fa-IR"/>
          <w:color w:val="111111"/>
          <w:sz w:val="28"/>
          <w:szCs w:val="28"/>
          <w:rtl/>
        </w:rPr>
        <w:t xml:space="preserve">کامل. در نسخه با نام «از افادات میرسید شریف قس در اقـوال اصحاب ظاهر و ارباب تأویل» خوانده شده؛ خط:نستعلیق، کا،مهر علی، بی تا، جا: مراغه کاغذ فرنگی شکری آهار مهره، جـلد: میشن مشکی، مجدول، ۳گ (۲۲۳-۲۲۵ر) چلیپا (۱۵</w:t>
      </w:r>
      <w:r>
        <w:rPr>
          <w:rFonts w:ascii="Times New Roman" w:hAnsi="Times New Roman" w:eastAsia="Times New Roman" w:cs="Times New Roman"/>
          <w:lang w:val="en-US" w:bidi="en-US"/>
          <w:color w:val="111111"/>
          <w:sz w:val="28"/>
          <w:szCs w:val="28"/>
          <w:rtl/>
        </w:rPr>
        <w:t xml:space="preserve">× 22/5)  </w:t>
      </w:r>
      <w:r>
        <w:rPr>
          <w:rFonts w:ascii="IRNazanin" w:hAnsi="IRNazanin" w:eastAsia="IRNazanin" w:cs="IRNazanin"/>
          <w:lang w:bidi="fa-IR"/>
          <w:color w:val="111111"/>
          <w:sz w:val="28"/>
          <w:szCs w:val="28"/>
          <w:rtl/>
        </w:rPr>
        <w:t xml:space="preserve">، اندازه: ۲۰/۶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۳۱/۳سم [ف: ۲۹/۲ - ۷۰۵]</w:t>
      </w:r>
    </w:p>
    <w:p>
      <w:pPr>
        <w:pStyle w:val="BookText"/>
      </w:pPr>
      <w:r>
        <w:rPr>
          <w:rFonts w:ascii="IRNazanin" w:hAnsi="IRNazanin" w:eastAsia="IRNazanin" w:cs="IRNazanin"/>
          <w:lang w:bidi="fa-IR"/>
          <w:color w:val="111111"/>
          <w:sz w:val="28"/>
          <w:szCs w:val="28"/>
          <w:rtl/>
        </w:rPr>
        <w:t xml:space="preserve">٦٥. تهران؛ حقوق؛ شماره نسخه: ۴۶/۱۲ - ج</w:t>
      </w:r>
    </w:p>
    <w:p>
      <w:pPr>
        <w:pStyle w:val="BookText"/>
      </w:pPr>
      <w:r>
        <w:rPr>
          <w:rFonts w:ascii="IRNazanin" w:hAnsi="IRNazanin" w:eastAsia="IRNazanin" w:cs="IRNazanin"/>
          <w:lang w:bidi="fa-IR"/>
          <w:color w:val="111111"/>
          <w:sz w:val="28"/>
          <w:szCs w:val="28"/>
          <w:rtl/>
        </w:rPr>
        <w:t xml:space="preserve">آغاز: بسمله سؤالاتی که امیر زاده اسکندر از... میرسید شریف  در ایام حکومت در شیراز نموده: اول در باب آفرینش اول چیزی که آفریده شد جمعی عقل را می گویند و جمعی عشق را انجام: برابر ۱</w:t>
      </w:r>
    </w:p>
    <w:p>
      <w:pPr>
        <w:pStyle w:val="BookText"/>
      </w:pPr>
      <w:r>
        <w:rPr>
          <w:rFonts w:ascii="IRNazanin" w:hAnsi="IRNazanin" w:eastAsia="IRNazanin" w:cs="IRNazanin"/>
          <w:lang w:bidi="fa-IR"/>
          <w:color w:val="111111"/>
          <w:sz w:val="28"/>
          <w:szCs w:val="28"/>
          <w:rtl/>
        </w:rPr>
        <w:t xml:space="preserve">ترتیب پرسش ها و پاسخ ها متفاوت با ترتیب نسخه های دیگر است؛ بی کا، بی تا؛ ۳گ (۲۵۴ر-۲۵۶پ) [ف: ۲۳]</w:t>
      </w:r>
    </w:p>
    <w:p>
      <w:pPr>
        <w:pStyle w:val="BookText"/>
      </w:pPr>
      <w:r>
        <w:rPr>
          <w:rFonts w:ascii="IRNazanin" w:hAnsi="IRNazanin" w:eastAsia="IRNazanin" w:cs="IRNazanin"/>
          <w:lang w:bidi="fa-IR"/>
          <w:color w:val="111111"/>
          <w:sz w:val="28"/>
          <w:szCs w:val="28"/>
          <w:rtl/>
        </w:rPr>
        <w:t xml:space="preserve">٦٦ . اصفهان؛ مدرسه صدر بازار؛ شماره نسخه: ۶۳۱/۳</w:t>
      </w:r>
    </w:p>
    <w:p>
      <w:pPr>
        <w:pStyle w:val="BookText"/>
      </w:pPr>
      <w:r>
        <w:rPr>
          <w:rFonts w:ascii="IRNazanin" w:hAnsi="IRNazanin" w:eastAsia="IRNazanin" w:cs="IRNazanin"/>
          <w:lang w:bidi="fa-IR"/>
          <w:color w:val="111111"/>
          <w:sz w:val="28"/>
          <w:szCs w:val="28"/>
          <w:rtl/>
        </w:rPr>
        <w:t xml:space="preserve">خط: نسخ، بی کا، بی تا، جلد: تیماج زرشکی بدون مقوا، ۱۷گ (۶۴ پ - ۸۰ پ)، 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۱۴/۵سم [ف: ۲ - ۴۶۲]</w:t>
      </w:r>
    </w:p>
    <w:p>
      <w:pPr>
        <w:pStyle w:val="BookText"/>
      </w:pPr>
      <w:r>
        <w:rPr>
          <w:rFonts w:ascii="IRNazanin" w:hAnsi="IRNazanin" w:eastAsia="IRNazanin" w:cs="IRNazanin"/>
          <w:lang w:bidi="fa-IR"/>
          <w:color w:val="111111"/>
          <w:sz w:val="28"/>
          <w:szCs w:val="28"/>
          <w:rtl/>
        </w:rPr>
        <w:t xml:space="preserve">٦٧ . مشهد؛ نواب؛ شماره نسخه: ۹/۲</w:t>
      </w:r>
    </w:p>
    <w:p>
      <w:pPr>
        <w:pStyle w:val="BookText"/>
      </w:pPr>
      <w:r>
        <w:rPr>
          <w:rFonts w:ascii="IRNazanin" w:hAnsi="IRNazanin" w:eastAsia="IRNazanin" w:cs="IRNazanin"/>
          <w:lang w:bidi="fa-IR"/>
          <w:color w:val="111111"/>
          <w:sz w:val="28"/>
          <w:szCs w:val="28"/>
          <w:rtl/>
        </w:rPr>
        <w:t xml:space="preserve">آغاز: برابر ۱؛ انجام: برابر ۱</w:t>
      </w:r>
    </w:p>
    <w:p>
      <w:pPr>
        <w:pStyle w:val="BookText"/>
      </w:pPr>
      <w:r>
        <w:rPr>
          <w:rFonts w:ascii="IRNazanin" w:hAnsi="IRNazanin" w:eastAsia="IRNazanin" w:cs="IRNazanin"/>
          <w:lang w:bidi="fa-IR"/>
          <w:color w:val="111111"/>
          <w:sz w:val="28"/>
          <w:szCs w:val="28"/>
          <w:rtl/>
        </w:rPr>
        <w:t xml:space="preserve">خط: نستعلیق خوش، بی کا، بی تا؛ جلد : تیماج عنابی لایه ای، ۹گ (۳۷-۲۹)، ۱۷) سطر (7</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 اندازه: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۲۳]</w:t>
      </w:r>
    </w:p>
    <w:p>
      <w:pPr>
        <w:pStyle w:val="BookText"/>
      </w:pPr>
      <w:r>
        <w:rPr>
          <w:rFonts w:ascii="IRNazanin" w:hAnsi="IRNazanin" w:eastAsia="IRNazanin" w:cs="IRNazanin"/>
          <w:lang w:bidi="fa-IR"/>
          <w:color w:val="111111"/>
          <w:sz w:val="28"/>
          <w:szCs w:val="28"/>
          <w:rtl/>
        </w:rPr>
        <w:t xml:space="preserve">۶۸ . قم؛ مرکز احیاء؛ شماره نسخه: ۱۸۶۱/۱۹</w:t>
      </w:r>
    </w:p>
    <w:p>
      <w:pPr>
        <w:pStyle w:val="BookText"/>
      </w:pPr>
      <w:r>
        <w:rPr>
          <w:rFonts w:ascii="IRNazanin" w:hAnsi="IRNazanin" w:eastAsia="IRNazanin" w:cs="IRNazanin"/>
          <w:lang w:bidi="fa-IR"/>
          <w:color w:val="111111"/>
          <w:sz w:val="28"/>
          <w:szCs w:val="28"/>
          <w:rtl/>
        </w:rPr>
        <w:t xml:space="preserve">آغاز: برابر ۱؛ انجام: برابر ۲</w:t>
      </w:r>
    </w:p>
    <w:p>
      <w:pPr>
        <w:pStyle w:val="BookText"/>
      </w:pPr>
      <w:r>
        <w:rPr>
          <w:rFonts w:ascii="IRNazanin" w:hAnsi="IRNazanin" w:eastAsia="IRNazanin" w:cs="IRNazanin"/>
          <w:lang w:bidi="fa-IR"/>
          <w:color w:val="111111"/>
          <w:sz w:val="28"/>
          <w:szCs w:val="28"/>
          <w:rtl/>
        </w:rPr>
        <w:t xml:space="preserve">خط: نستعلیق، کا: رفیع الدین محمد بن غیاث الدین محمد،بی تا؛ در این نسخه خاتمه ای است کوتاه در چگونگی بیان احکام شریعت و طریقت و حقیقت نگارش یافته برای علوم؛ مصحح؛ جلد: تیماج قرمز بدون مقوا، ۴گ (۱۰۶ر-۱۰۹ر)،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۲۵/۵سم :[ف ۵ - ۲۸۶]</w:t>
      </w:r>
    </w:p>
    <w:p>
      <w:pPr>
        <w:pStyle w:val="BookText"/>
      </w:pPr>
      <w:r>
        <w:rPr>
          <w:rFonts w:ascii="IRNazanin" w:hAnsi="IRNazanin" w:eastAsia="IRNazanin" w:cs="IRNazanin"/>
          <w:lang w:bidi="fa-IR"/>
          <w:color w:val="111111"/>
          <w:sz w:val="28"/>
          <w:szCs w:val="28"/>
          <w:rtl/>
        </w:rPr>
        <w:t xml:space="preserve">٦٩ . تهران؛ مجلس؛ شماره نسخه: ۱۲۰۷/۱۴</w:t>
      </w:r>
    </w:p>
    <w:p>
      <w:pPr>
        <w:pStyle w:val="BookText"/>
      </w:pPr>
      <w:r>
        <w:rPr>
          <w:rFonts w:ascii="IRNazanin" w:hAnsi="IRNazanin" w:eastAsia="IRNazanin" w:cs="IRNazanin"/>
          <w:lang w:bidi="fa-IR"/>
          <w:color w:val="111111"/>
          <w:sz w:val="28"/>
          <w:szCs w:val="28"/>
          <w:rtl/>
        </w:rPr>
        <w:t xml:space="preserve">آغاز: برابر ۲؛ انجام: برابر ۱</w:t>
      </w:r>
    </w:p>
    <w:p>
      <w:pPr>
        <w:pStyle w:val="BookText"/>
      </w:pPr>
      <w:r>
        <w:rPr>
          <w:rFonts w:ascii="IRNazanin" w:hAnsi="IRNazanin" w:eastAsia="IRNazanin" w:cs="IRNazanin"/>
          <w:lang w:bidi="fa-IR"/>
          <w:color w:val="111111"/>
          <w:sz w:val="28"/>
          <w:szCs w:val="28"/>
          <w:rtl/>
        </w:rPr>
        <w:t xml:space="preserve">بی کا، بی تا، ۱۴ ص (۹۱-۱۰۴) [ف: ۵ - ۴۹۷]</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تهران؛ مجلس؛ شماره نسخه: ۵۶/۱-فیروز</w:t>
      </w:r>
    </w:p>
    <w:p>
      <w:pPr>
        <w:pStyle w:val="BookText"/>
      </w:pPr>
      <w:r>
        <w:rPr>
          <w:rFonts w:ascii="IRNazanin" w:hAnsi="IRNazanin" w:eastAsia="IRNazanin" w:cs="IRNazanin"/>
          <w:lang w:bidi="fa-IR"/>
          <w:color w:val="111111"/>
          <w:sz w:val="28"/>
          <w:szCs w:val="28"/>
          <w:rtl/>
        </w:rPr>
        <w:t xml:space="preserve">آغاز: برابر ۱؛ انجام: برابر ۱</w:t>
      </w:r>
    </w:p>
    <w:p>
      <w:pPr>
        <w:pStyle w:val="BookText"/>
      </w:pPr>
      <w:r>
        <w:rPr>
          <w:rFonts w:ascii="IRNazanin" w:hAnsi="IRNazanin" w:eastAsia="IRNazanin" w:cs="IRNazanin"/>
          <w:lang w:bidi="fa-IR"/>
          <w:color w:val="111111"/>
          <w:sz w:val="28"/>
          <w:szCs w:val="28"/>
          <w:rtl/>
        </w:rPr>
        <w:t xml:space="preserve">این نسخه ۹ سؤال است و ۹ فصل در جواب به سؤال ها؛ بی کا، بی تا، جلد: تیماج قرمز یک لا، ۳۱ ص (۲-۳۲)، قطع: نیم خشتی،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۲۱ - ۱۹۸]</w:t>
      </w:r>
    </w:p>
    <w:p>
      <w:pPr>
        <w:pStyle w:val="BookText"/>
      </w:pPr>
      <w:r>
        <w:rPr>
          <w:rFonts w:ascii="IRNazanin" w:hAnsi="IRNazanin" w:eastAsia="IRNazanin" w:cs="IRNazanin"/>
          <w:lang w:bidi="fa-IR"/>
          <w:color w:val="111111"/>
          <w:sz w:val="28"/>
          <w:szCs w:val="28"/>
          <w:rtl/>
        </w:rPr>
        <w:t xml:space="preserve">۷۱. تهران؛ مجلس؛ شماره نسخه: ۱۴۲۸۰/۳۷</w:t>
      </w:r>
    </w:p>
    <w:p>
      <w:pPr>
        <w:pStyle w:val="BookText"/>
      </w:pPr>
      <w:r>
        <w:rPr>
          <w:rFonts w:ascii="IRNazanin" w:hAnsi="IRNazanin" w:eastAsia="IRNazanin" w:cs="IRNazanin"/>
          <w:lang w:bidi="fa-IR"/>
          <w:color w:val="111111"/>
          <w:sz w:val="28"/>
          <w:szCs w:val="28"/>
          <w:rtl/>
        </w:rPr>
        <w:t xml:space="preserve">آغاز: برابر ۱؛ انجام: برابر ۱</w:t>
      </w:r>
    </w:p>
    <w:p>
      <w:pPr>
        <w:pStyle w:val="BookText"/>
      </w:pPr>
      <w:r>
        <w:rPr>
          <w:rFonts w:ascii="IRNazanin" w:hAnsi="IRNazanin" w:eastAsia="IRNazanin" w:cs="IRNazanin"/>
          <w:lang w:bidi="fa-IR"/>
          <w:color w:val="111111"/>
          <w:sz w:val="28"/>
          <w:szCs w:val="28"/>
          <w:rtl/>
        </w:rPr>
        <w:t xml:space="preserve">خط: نستعلیق، بی کا، بی تا، بی کا، بی تا ،جلد: تیماج قهوه ای ،ضربی ترنج با زمینه مذهب با نقش  گل، مجدول، ۶گ (۹۷ر-  ۱۰۲ر)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۳۸ - ۳۹۹]</w:t>
      </w:r>
    </w:p>
    <w:p>
      <w:pPr>
        <w:pStyle w:val="BookText"/>
      </w:pPr>
      <w:r>
        <w:rPr>
          <w:rFonts w:ascii="IRNazanin" w:hAnsi="IRNazanin" w:eastAsia="IRNazanin" w:cs="IRNazanin"/>
          <w:lang w:bidi="fa-IR"/>
          <w:color w:val="111111"/>
          <w:sz w:val="28"/>
          <w:szCs w:val="28"/>
          <w:rtl/>
        </w:rPr>
        <w:t xml:space="preserve">۷۲. تهران؛ دانشگاه؛ شماره نسخه: ۱۱۴۲/۱۴-ف</w:t>
      </w:r>
    </w:p>
    <w:p>
      <w:pPr>
        <w:pStyle w:val="BookText"/>
      </w:pPr>
      <w:r>
        <w:rPr>
          <w:rFonts w:ascii="IRNazanin" w:hAnsi="IRNazanin" w:eastAsia="IRNazanin" w:cs="IRNazanin"/>
          <w:lang w:bidi="fa-IR"/>
          <w:color w:val="111111"/>
          <w:sz w:val="28"/>
          <w:szCs w:val="28"/>
          <w:rtl/>
        </w:rPr>
        <w:t xml:space="preserve">نسخه اصل: بادلیان اکسفورد ۹۴ والکر </w:t>
      </w:r>
      <w:r>
        <w:rPr>
          <w:rFonts w:ascii="Times New Roman" w:hAnsi="Times New Roman" w:eastAsia="Times New Roman" w:cs="Times New Roman"/>
          <w:lang w:val="en-US" w:bidi="en-US"/>
          <w:color w:val="111111"/>
          <w:sz w:val="28"/>
          <w:szCs w:val="28"/>
          <w:rtl/>
        </w:rPr>
        <w:t xml:space="preserve">walkar ( </w:t>
      </w:r>
      <w:r>
        <w:rPr>
          <w:rFonts w:ascii="IRNazanin" w:hAnsi="IRNazanin" w:eastAsia="IRNazanin" w:cs="IRNazanin"/>
          <w:lang w:bidi="fa-IR"/>
          <w:color w:val="111111"/>
          <w:sz w:val="28"/>
          <w:szCs w:val="28"/>
          <w:rtl/>
        </w:rPr>
        <w:t xml:space="preserve">۱۲۹۸) بی کا، بی تا [فیلم ها-ف: ۱ - ۵۶۸]</w:t>
      </w:r>
    </w:p>
    <w:p>
      <w:pPr>
        <w:pStyle w:val="BookText"/>
      </w:pPr>
      <w:r>
        <w:rPr>
          <w:rFonts w:ascii="IRNazanin" w:hAnsi="IRNazanin" w:eastAsia="IRNazanin" w:cs="IRNazanin"/>
          <w:lang w:bidi="fa-IR"/>
          <w:color w:val="111111"/>
          <w:sz w:val="28"/>
          <w:szCs w:val="28"/>
          <w:rtl/>
        </w:rPr>
        <w:t xml:space="preserve">۷۳. تهران؛ دانشگاه؛ شماره نسخه: ۱۰۳۷/۴</w:t>
      </w:r>
    </w:p>
    <w:p>
      <w:pPr>
        <w:pStyle w:val="BookText"/>
      </w:pPr>
      <w:r>
        <w:rPr>
          <w:rFonts w:ascii="IRNazanin" w:hAnsi="IRNazanin" w:eastAsia="IRNazanin" w:cs="IRNazanin"/>
          <w:lang w:bidi="fa-IR"/>
          <w:color w:val="111111"/>
          <w:sz w:val="28"/>
          <w:szCs w:val="28"/>
          <w:rtl/>
        </w:rPr>
        <w:t xml:space="preserve">آغاز: سید المحققین میرسید قدس سره در رساله ای که در اجوبه اسوله میرزا اسکندر بن عمر شیخ نوشته فرموده «تاويل عدد طبقات دوزخ و بهشت چنین کرده اند که عناصر بسیط ۴ است و كبات عناصر ۳ و عدد افلاک نه؛ انجام: و اعراف اشاره بآن مرتبه است و در تأویل معراج روحانی رسول الله سخنان بسیار بزرگ فرموده</w:t>
      </w:r>
    </w:p>
    <w:p>
      <w:pPr>
        <w:pStyle w:val="BookText"/>
      </w:pPr>
      <w:r>
        <w:rPr>
          <w:rFonts w:ascii="IRNazanin" w:hAnsi="IRNazanin" w:eastAsia="IRNazanin" w:cs="IRNazanin"/>
          <w:lang w:bidi="fa-IR"/>
          <w:color w:val="111111"/>
          <w:sz w:val="28"/>
          <w:szCs w:val="28"/>
          <w:rtl/>
        </w:rPr>
        <w:t xml:space="preserve">برگرفته از پرسش و پاسخ های سید شریف است؛ خط: تعلیق،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326" w:name="pg20365_260456"/>
    <w:bookmarkEnd w:id="326"/>
    <w:p>
      <w:pPr>
        <w:pStyle w:val="BookText"/>
      </w:pPr>
      <w:r>
        <w:rPr>
          <w:rFonts w:ascii="IRNazanin" w:hAnsi="IRNazanin" w:eastAsia="IRNazanin" w:cs="IRNazanin"/>
          <w:lang w:bidi="fa-IR"/>
          <w:color w:val="111111"/>
          <w:sz w:val="28"/>
          <w:szCs w:val="28"/>
          <w:rtl/>
        </w:rPr>
        <w:t xml:space="preserve">بی کا، بی تا؛ ۲گ (۲۰۷ ر - ۲۰۸ ر) [ف: ۳ - ۱۹۳]</w:t>
      </w:r>
    </w:p>
    <w:p>
      <w:pPr>
        <w:pStyle w:val="BookText"/>
      </w:pPr>
      <w:r>
        <w:rPr>
          <w:rFonts w:ascii="IRNazanin" w:hAnsi="IRNazanin" w:eastAsia="IRNazanin" w:cs="IRNazanin"/>
          <w:lang w:bidi="fa-IR"/>
          <w:color w:val="111111"/>
          <w:sz w:val="28"/>
          <w:szCs w:val="28"/>
          <w:rtl/>
        </w:rPr>
        <w:t xml:space="preserve">٧٤. تهران؛ مینوی؛ شماره نسخه: ۱۱۳/۹ بخش ۳</w:t>
      </w:r>
    </w:p>
    <w:p>
      <w:pPr>
        <w:pStyle w:val="BookText"/>
      </w:pPr>
      <w:r>
        <w:rPr>
          <w:rFonts w:ascii="IRNazanin" w:hAnsi="IRNazanin" w:eastAsia="IRNazanin" w:cs="IRNazanin"/>
          <w:lang w:bidi="fa-IR"/>
          <w:color w:val="111111"/>
          <w:sz w:val="28"/>
          <w:szCs w:val="28"/>
          <w:rtl/>
        </w:rPr>
        <w:t xml:space="preserve">نسخه اصل: مجموعه کرامت رعنا حسینی؛ بی کا، بی تا[ مینوی  - ف: ۱۰۷]</w:t>
      </w:r>
    </w:p>
    <w:p>
      <w:pPr>
        <w:pStyle w:val="BookText"/>
      </w:pPr>
      <w:r>
        <w:rPr>
          <w:rFonts w:ascii="IRNazanin" w:hAnsi="IRNazanin" w:eastAsia="IRNazanin" w:cs="IRNazanin"/>
          <w:lang w:bidi="fa-IR"/>
          <w:color w:val="111111"/>
          <w:sz w:val="28"/>
          <w:szCs w:val="28"/>
          <w:rtl/>
        </w:rPr>
        <w:t xml:space="preserve">٧٥. یزد؛ مدرسی؛ شماره نسخه: بدون شماره/۵</w:t>
      </w:r>
    </w:p>
    <w:p>
      <w:pPr>
        <w:pStyle w:val="BookText"/>
      </w:pPr>
      <w:r>
        <w:rPr>
          <w:rFonts w:ascii="IRNazanin" w:hAnsi="IRNazanin" w:eastAsia="IRNazanin" w:cs="IRNazanin"/>
          <w:lang w:bidi="fa-IR"/>
          <w:color w:val="111111"/>
          <w:sz w:val="28"/>
          <w:szCs w:val="28"/>
          <w:rtl/>
        </w:rPr>
        <w:t xml:space="preserve">آغاز: سوالاتی که امیرزاده اسکندر از حضرت سید المحققين سند المدققين سيد شریف ؛انجام: به نوعی آن را بیان فرمایند که  دل آن را قبول کند و حقیقت آن معلوم شود.</w:t>
      </w:r>
    </w:p>
    <w:p>
      <w:pPr>
        <w:pStyle w:val="BookText"/>
      </w:pPr>
      <w:r>
        <w:rPr>
          <w:rFonts w:ascii="IRNazanin" w:hAnsi="IRNazanin" w:eastAsia="IRNazanin" w:cs="IRNazanin"/>
          <w:lang w:bidi="fa-IR"/>
          <w:color w:val="111111"/>
          <w:sz w:val="28"/>
          <w:szCs w:val="28"/>
          <w:rtl/>
        </w:rPr>
        <w:t xml:space="preserve">خط: نستعليق  تحریری، بی کا، بی تا؛ جلد: تیماج تریاکی، 2گ (۱۴۸- ۱۴۹)، ۱۱سطر (۵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 اندازه: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[میراث اسلامی: 8- 457]</w:t>
      </w:r>
    </w:p>
    <w:p>
      <w:pPr>
        <w:pStyle w:val="BookText"/>
      </w:pPr>
      <w:r>
        <w:rPr>
          <w:rFonts w:ascii="IRNazanin" w:hAnsi="IRNazanin" w:eastAsia="IRNazanin" w:cs="IRNazanin"/>
          <w:lang w:bidi="fa-IR"/>
          <w:color w:val="111111"/>
          <w:sz w:val="28"/>
          <w:szCs w:val="28"/>
          <w:rtl/>
        </w:rPr>
        <w:t xml:space="preserve">٧٦ . مشهد؛ رضوی؛ شماره نسخه: ض ۸۳۰۵</w:t>
      </w:r>
    </w:p>
    <w:p>
      <w:pPr>
        <w:pStyle w:val="BookText"/>
      </w:pPr>
      <w:r>
        <w:rPr>
          <w:rFonts w:ascii="IRNazanin" w:hAnsi="IRNazanin" w:eastAsia="IRNazanin" w:cs="IRNazanin"/>
          <w:lang w:bidi="fa-IR"/>
          <w:color w:val="111111"/>
          <w:sz w:val="28"/>
          <w:szCs w:val="28"/>
          <w:rtl/>
        </w:rPr>
        <w:t xml:space="preserve">آغاز: بسمله الحمد لله رب العالمين وصلى الله علی سید ؛انجام: و الله الموفق للصواب و اليه المربع و الماب تمت الرساله...محمد مفيد اللاهجاني عفى عنه</w:t>
      </w:r>
    </w:p>
    <w:p>
      <w:pPr>
        <w:pStyle w:val="BookText"/>
      </w:pPr>
      <w:r>
        <w:rPr>
          <w:rFonts w:ascii="IRNazanin" w:hAnsi="IRNazanin" w:eastAsia="IRNazanin" w:cs="IRNazanin"/>
          <w:lang w:bidi="fa-IR"/>
          <w:color w:val="111111"/>
          <w:sz w:val="28"/>
          <w:szCs w:val="28"/>
          <w:rtl/>
        </w:rPr>
        <w:t xml:space="preserve">خط: نستعلیق، بی کا، بی تا [الفبائی: ۲۱]</w:t>
      </w:r>
    </w:p>
    <w:p>
      <w:pPr>
        <w:pStyle w:val="BookText"/>
      </w:pPr>
      <w:r>
        <w:rPr>
          <w:rFonts w:ascii="IRNazanin" w:hAnsi="IRNazanin" w:eastAsia="IRNazanin" w:cs="IRNazanin"/>
          <w:lang w:bidi="fa-IR"/>
          <w:color w:val="111111"/>
          <w:sz w:val="28"/>
          <w:szCs w:val="28"/>
          <w:rtl/>
        </w:rPr>
        <w:t xml:space="preserve">۷۷. تهران؛ سپهسالار؛ شماره نسخه: ۶۵۵۵/۹</w:t>
      </w:r>
    </w:p>
    <w:p>
      <w:pPr>
        <w:pStyle w:val="BookText"/>
      </w:pPr>
      <w:r>
        <w:rPr>
          <w:rFonts w:ascii="IRNazanin" w:hAnsi="IRNazanin" w:eastAsia="IRNazanin" w:cs="IRNazanin"/>
          <w:lang w:bidi="fa-IR"/>
          <w:color w:val="111111"/>
          <w:sz w:val="28"/>
          <w:szCs w:val="28"/>
          <w:rtl/>
        </w:rPr>
        <w:t xml:space="preserve">آغاز: برابر ۲؛ انجام: برابر ۱</w:t>
      </w:r>
    </w:p>
    <w:p>
      <w:pPr>
        <w:pStyle w:val="BookText"/>
      </w:pPr>
      <w:r>
        <w:rPr>
          <w:rFonts w:ascii="IRNazanin" w:hAnsi="IRNazanin" w:eastAsia="IRNazanin" w:cs="IRNazanin"/>
          <w:lang w:bidi="fa-IR"/>
          <w:color w:val="111111"/>
          <w:sz w:val="28"/>
          <w:szCs w:val="28"/>
          <w:rtl/>
        </w:rPr>
        <w:t xml:space="preserve">در فهرست با عنوان «رساله عرفانی» و ناشناس آمده بی کا، بی تا، 8گ (۱۹۷ پ-۲۰۴ر) [ف ۵ - ۱۸]</w:t>
      </w:r>
    </w:p>
    <w:p>
      <w:pPr>
        <w:pStyle w:val="BookText"/>
      </w:pPr>
      <w:r>
        <w:rPr>
          <w:rFonts w:ascii="IRNazanin" w:hAnsi="IRNazanin" w:eastAsia="IRNazanin" w:cs="IRNazanin"/>
          <w:lang w:bidi="fa-IR"/>
          <w:color w:val="111111"/>
          <w:sz w:val="28"/>
          <w:szCs w:val="28"/>
          <w:rtl/>
        </w:rPr>
        <w:t xml:space="preserve">۷۸. تهران؛ ملک؛ شماره نسخه: ۱۳۹۶/۲</w:t>
      </w:r>
    </w:p>
    <w:p>
      <w:pPr>
        <w:pStyle w:val="BookText"/>
      </w:pPr>
      <w:r>
        <w:rPr>
          <w:rFonts w:ascii="IRNazanin" w:hAnsi="IRNazanin" w:eastAsia="IRNazanin" w:cs="IRNazanin"/>
          <w:lang w:bidi="fa-IR"/>
          <w:color w:val="111111"/>
          <w:sz w:val="28"/>
          <w:szCs w:val="28"/>
          <w:rtl/>
        </w:rPr>
        <w:t xml:space="preserve">خط: شکسته نستعلیق، بی کا، بی تا ؛کاغذ: پسته ای ،جلد: میمشن  سرخ [ف: ۵ - ۲۶۲]</w:t>
      </w:r>
    </w:p>
    <w:p>
      <w:pPr>
        <w:pStyle w:val="BookText"/>
      </w:pPr>
      <w:r>
        <w:rPr>
          <w:rFonts w:ascii="IRNazanin" w:hAnsi="IRNazanin" w:eastAsia="IRNazanin" w:cs="IRNazanin"/>
          <w:lang w:bidi="fa-IR"/>
          <w:color w:val="111111"/>
          <w:sz w:val="28"/>
          <w:szCs w:val="28"/>
          <w:rtl/>
        </w:rPr>
        <w:t xml:space="preserve">۷۹. تهران؛ ملک شماره نسخه: ۶۴۰۳/۱</w:t>
      </w:r>
    </w:p>
    <w:p>
      <w:pPr>
        <w:pStyle w:val="BookText"/>
      </w:pPr>
      <w:r>
        <w:rPr>
          <w:rFonts w:ascii="IRNazanin" w:hAnsi="IRNazanin" w:eastAsia="IRNazanin" w:cs="IRNazanin"/>
          <w:lang w:bidi="fa-IR"/>
          <w:color w:val="111111"/>
          <w:sz w:val="28"/>
          <w:szCs w:val="28"/>
          <w:rtl/>
        </w:rPr>
        <w:t xml:space="preserve">آغاز: برابر ۲؛ انجام: برابر ۱</w:t>
      </w:r>
    </w:p>
    <w:p>
      <w:pPr>
        <w:pStyle w:val="BookText"/>
      </w:pPr>
      <w:r>
        <w:rPr>
          <w:rFonts w:ascii="IRNazanin" w:hAnsi="IRNazanin" w:eastAsia="IRNazanin" w:cs="IRNazanin"/>
          <w:lang w:bidi="fa-IR"/>
          <w:color w:val="111111"/>
          <w:sz w:val="28"/>
          <w:szCs w:val="28"/>
          <w:rtl/>
        </w:rPr>
        <w:t xml:space="preserve">خط: شکسته نستعلیق، کا: محمد جواد بن محمد حسین طهرانی متطبب، بی تا؛کاغذ ،فرنگی ،جلد: مقوایی رویه ابری، ۴۰گ  (1پ -۴۰ر) ۳۳ سطر، اندازه: ۱۵/۴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۲۴/۵سم [ف: ۹ - ۳۶۹]</w:t>
      </w:r>
    </w:p>
    <w:p>
      <w:pPr>
        <w:pStyle w:val="BookText"/>
      </w:pPr>
      <w:r>
        <w:rPr>
          <w:rFonts w:ascii="IRNazanin" w:hAnsi="IRNazanin" w:eastAsia="IRNazanin" w:cs="IRNazanin"/>
          <w:lang w:bidi="fa-IR"/>
          <w:color w:val="111111"/>
          <w:sz w:val="28"/>
          <w:szCs w:val="28"/>
          <w:rtl/>
        </w:rPr>
        <w:t xml:space="preserve">80.مشهد؛ رضوی؛ شماره نسخه: ۶۳۸۳</w:t>
      </w:r>
    </w:p>
    <w:p>
      <w:pPr>
        <w:pStyle w:val="BookText"/>
      </w:pPr>
      <w:r>
        <w:rPr>
          <w:rFonts w:ascii="IRNazanin" w:hAnsi="IRNazanin" w:eastAsia="IRNazanin" w:cs="IRNazanin"/>
          <w:lang w:bidi="fa-IR"/>
          <w:color w:val="111111"/>
          <w:sz w:val="28"/>
          <w:szCs w:val="28"/>
          <w:rtl/>
        </w:rPr>
        <w:t xml:space="preserve">آغاز: برابر ۱؛ انجام: اثبات وحدانیت بوده باشد از و عفو کرده باشند</w:t>
      </w:r>
    </w:p>
    <w:p>
      <w:pPr>
        <w:pStyle w:val="BookText"/>
      </w:pPr>
      <w:r>
        <w:rPr>
          <w:rFonts w:ascii="IRNazanin" w:hAnsi="IRNazanin" w:eastAsia="IRNazanin" w:cs="IRNazanin"/>
          <w:lang w:bidi="fa-IR"/>
          <w:color w:val="111111"/>
          <w:sz w:val="28"/>
          <w:szCs w:val="28"/>
          <w:rtl/>
        </w:rPr>
        <w:t xml:space="preserve">خط: نستعلیق، بی کا، بی تا؛ به طور چلیپا؛ ۵گ،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  سم [ف: ۴ - ۲۲]</w:t>
      </w:r>
    </w:p>
    <w:p>
      <w:pPr>
        <w:pStyle w:val="BookText"/>
      </w:pPr>
      <w:r>
        <w:rPr>
          <w:rFonts w:ascii="IRNazanin" w:hAnsi="IRNazanin" w:eastAsia="IRNazanin" w:cs="IRNazanin"/>
          <w:lang w:bidi="fa-IR"/>
          <w:color w:val="111111"/>
          <w:sz w:val="28"/>
          <w:szCs w:val="28"/>
          <w:rtl/>
        </w:rPr>
        <w:t xml:space="preserve">81.مشهد؛ رضوی؛ شماره نسخه:۶۰۰۰</w:t>
      </w:r>
    </w:p>
    <w:p>
      <w:pPr>
        <w:pStyle w:val="BookText"/>
      </w:pPr>
      <w:r>
        <w:rPr>
          <w:rFonts w:ascii="Amiri" w:hAnsi="Amiri" w:eastAsia="Amiri" w:cs="Amiri"/>
          <w:lang w:bidi="ar-SA"/>
          <w:color w:val="111111"/>
          <w:sz w:val="28"/>
          <w:szCs w:val="28"/>
          <w:rtl/>
        </w:rPr>
        <w:t xml:space="preserve">آغاز: الحمد لله رب العالمين و العاقبة للمتقين؛ انجام: برابر ۲</w:t>
      </w:r>
    </w:p>
    <w:p>
      <w:pPr>
        <w:pStyle w:val="BookText"/>
      </w:pPr>
      <w:r>
        <w:rPr>
          <w:rFonts w:ascii="IRNazanin" w:hAnsi="IRNazanin" w:eastAsia="IRNazanin" w:cs="IRNazanin"/>
          <w:lang w:bidi="fa-IR"/>
          <w:color w:val="111111"/>
          <w:sz w:val="28"/>
          <w:szCs w:val="28"/>
          <w:rtl/>
        </w:rPr>
        <w:t xml:space="preserve">خط: نسخ، بی کا، بی تا؛ 7گ، ۲۶ سطر [ف: ۴ - ۲۲]</w:t>
      </w:r>
    </w:p>
    <w:p>
      <w:pPr>
        <w:pStyle w:val="BookText"/>
      </w:pPr>
      <w:r>
        <w:rPr>
          <w:rFonts w:ascii="IRNazanin" w:hAnsi="IRNazanin" w:eastAsia="IRNazanin" w:cs="IRNazanin"/>
          <w:lang w:bidi="fa-IR"/>
          <w:color w:val="111111"/>
          <w:sz w:val="28"/>
          <w:szCs w:val="28"/>
          <w:rtl/>
        </w:rPr>
        <w:t xml:space="preserve">۸۲. مشهد؛ رضوی؛ شماره نسخه:۵۹۷۶</w:t>
      </w:r>
    </w:p>
    <w:p>
      <w:pPr>
        <w:pStyle w:val="BookText"/>
      </w:pPr>
      <w:r>
        <w:rPr>
          <w:rFonts w:ascii="IRNazanin" w:hAnsi="IRNazanin" w:eastAsia="IRNazanin" w:cs="IRNazanin"/>
          <w:lang w:bidi="fa-IR"/>
          <w:color w:val="111111"/>
          <w:sz w:val="28"/>
          <w:szCs w:val="28"/>
          <w:rtl/>
        </w:rPr>
        <w:t xml:space="preserve">آغاز: الحمد لله رب العالمین؛ انجام: برابر ۱</w:t>
      </w:r>
    </w:p>
    <w:p>
      <w:pPr>
        <w:pStyle w:val="BookText"/>
      </w:pPr>
      <w:r>
        <w:rPr>
          <w:rFonts w:ascii="IRNazanin" w:hAnsi="IRNazanin" w:eastAsia="IRNazanin" w:cs="IRNazanin"/>
          <w:lang w:bidi="fa-IR"/>
          <w:color w:val="111111"/>
          <w:sz w:val="28"/>
          <w:szCs w:val="28"/>
          <w:rtl/>
        </w:rPr>
        <w:t xml:space="preserve">خط: نستعلیق، بی کا، بی تا؛ بعد از این مقاله ای است در روح  [ف: 4- 22]</w:t>
      </w:r>
    </w:p>
    <w:p>
      <w:pPr>
        <w:pStyle w:val="Heading3"/>
      </w:pPr>
      <w:bookmarkStart w:id="1585" w:name="_Toc1107"/>
      <w:r>
        <w:t>اسکندریه / تاریخ / فارسی</w:t>
      </w:r>
      <w:bookmarkEnd w:id="1585"/>
    </w:p>
    <w:p>
      <w:pPr>
        <w:pStyle w:val="BookText"/>
      </w:pPr>
      <w:r>
        <w:rPr>
          <w:rFonts w:ascii="Times New Roman" w:hAnsi="Times New Roman" w:eastAsia="Times New Roman" w:cs="Times New Roman"/>
          <w:lang w:val="en-US" w:bidi="en-US"/>
          <w:color w:val="111111"/>
          <w:sz w:val="28"/>
          <w:szCs w:val="28"/>
          <w:rtl/>
        </w:rPr>
        <w:t xml:space="preserve">eskandarīye</w:t>
      </w:r>
    </w:p>
    <w:p>
      <w:pPr>
        <w:pStyle w:val="BookText"/>
      </w:pPr>
      <w:r>
        <w:rPr>
          <w:rFonts w:ascii="IRNazanin" w:hAnsi="IRNazanin" w:eastAsia="IRNazanin" w:cs="IRNazanin"/>
          <w:lang w:bidi="fa-IR"/>
          <w:color w:val="111111"/>
          <w:sz w:val="28"/>
          <w:szCs w:val="28"/>
          <w:rtl/>
        </w:rPr>
        <w:t xml:space="preserve">کاشانی، محمد تقی بن حسین، ۱۲۳۶ – ۱۳۲۱ قمری</w:t>
      </w:r>
    </w:p>
    <w:p>
      <w:pPr>
        <w:pStyle w:val="BookText"/>
      </w:pPr>
      <w:r>
        <w:rPr>
          <w:rFonts w:ascii="Times New Roman" w:hAnsi="Times New Roman" w:eastAsia="Times New Roman" w:cs="Times New Roman"/>
          <w:lang w:val="en-US" w:bidi="en-US"/>
          <w:color w:val="111111"/>
          <w:sz w:val="28"/>
          <w:szCs w:val="28"/>
          <w:rtl/>
        </w:rPr>
        <w:t xml:space="preserve">(kāšānī, mohammad taqi ebn-e hoseyn (1821-1903)</w:t>
      </w:r>
    </w:p>
    <w:p>
      <w:pPr>
        <w:pStyle w:val="BookText"/>
      </w:pPr>
      <w:r>
        <w:rPr>
          <w:rFonts w:ascii="IRNazanin" w:hAnsi="IRNazanin" w:eastAsia="IRNazanin" w:cs="IRNazanin"/>
          <w:lang w:bidi="fa-IR"/>
          <w:color w:val="111111"/>
          <w:sz w:val="28"/>
          <w:szCs w:val="28"/>
          <w:rtl/>
        </w:rPr>
        <w:t xml:space="preserve">درباره اسکندر ذوالقرنین از روی اخبار شیعی و تاریخ در این باره ابوالکلام آزاد وزیر فرهنگ پیشین هند رساله ای دارد که آن در تهران به چاپ رسیده است و او می گوید که افسانه اسکندر از داستان کوروش گرفته شده و ذوالقرنین قرآن همان کوروش شاهنشاه ایران  است. در «تنویر المقياس من تفسير ابن عباس» و «تفسیر ابوالفتوح رازی» نیز چنین آمده است (مجله سخن گفتار محجوب درباره اسکندرنامه)</w:t>
      </w:r>
    </w:p>
    <w:p>
      <w:pPr>
        <w:pStyle w:val="BookText"/>
      </w:pPr>
      <w:r>
        <w:rPr>
          <w:rFonts w:ascii="IRNazanin" w:hAnsi="IRNazanin" w:eastAsia="IRNazanin" w:cs="IRNazanin"/>
          <w:lang w:bidi="fa-IR"/>
          <w:color w:val="111111"/>
          <w:sz w:val="28"/>
          <w:szCs w:val="28"/>
          <w:rtl/>
        </w:rPr>
        <w:t xml:space="preserve">آغاز: بسمله حمدله... چنین گوید بنده  ... محمد تقی بن محمد حسین کاشانی.</w:t>
      </w:r>
    </w:p>
    <w:p>
      <w:pPr>
        <w:pStyle w:val="BookText"/>
      </w:pPr>
      <w:r>
        <w:rPr>
          <w:rFonts w:ascii="IRNazanin" w:hAnsi="IRNazanin" w:eastAsia="IRNazanin" w:cs="IRNazanin"/>
          <w:lang w:bidi="fa-IR"/>
          <w:color w:val="111111"/>
          <w:sz w:val="28"/>
          <w:szCs w:val="28"/>
          <w:rtl/>
        </w:rPr>
        <w:t xml:space="preserve">انجام: ببلاد مصر تمام شد.</w:t>
      </w:r>
    </w:p>
    <w:p>
      <w:pPr>
        <w:pStyle w:val="BookText"/>
      </w:pPr>
      <w:r>
        <w:rPr>
          <w:rFonts w:ascii="IRNazanin" w:hAnsi="IRNazanin" w:eastAsia="IRNazanin" w:cs="IRNazanin"/>
          <w:lang w:bidi="fa-IR"/>
          <w:color w:val="111111"/>
          <w:sz w:val="28"/>
          <w:szCs w:val="28"/>
          <w:rtl/>
        </w:rPr>
        <w:t xml:space="preserve">[دنا ۸۱۶/۱؛ فهرستواره منزوی ۲۷۷/۱]</w:t>
      </w:r>
    </w:p>
    <w:p>
      <w:pPr>
        <w:pStyle w:val="BookText"/>
      </w:pPr>
      <w:r>
        <w:rPr>
          <w:rFonts w:ascii="IRNazanin" w:hAnsi="IRNazanin" w:eastAsia="IRNazanin" w:cs="IRNazanin"/>
          <w:lang w:bidi="fa-IR"/>
          <w:color w:val="111111"/>
          <w:sz w:val="28"/>
          <w:szCs w:val="28"/>
          <w:rtl/>
        </w:rPr>
        <w:t xml:space="preserve">تهران؛ دانشگاه؛ شماره نسخه: ۳۹۱۱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 كاتب - مؤلف (گویا)، تا: ۱۲۹۹ق؛ کاغذ ،فرنگی  ، جلد: کالینگور سرخ و سبز، ۱۵گ، ۱۵ سطر (۶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 ۱۲ - ۲۹۰۰]</w:t>
      </w:r>
    </w:p>
    <w:p>
      <w:pPr>
        <w:pStyle w:val="Heading3"/>
      </w:pPr>
      <w:bookmarkStart w:id="1586" w:name="_Toc1108"/>
      <w:r>
        <w:t>اسکندریه / طب / فارسی</w:t>
      </w:r>
      <w:bookmarkEnd w:id="1586"/>
    </w:p>
    <w:p>
      <w:pPr>
        <w:pStyle w:val="BookText"/>
      </w:pPr>
      <w:r>
        <w:rPr>
          <w:rFonts w:ascii="Times New Roman" w:hAnsi="Times New Roman" w:eastAsia="Times New Roman" w:cs="Times New Roman"/>
          <w:lang w:val="en-US" w:bidi="en-US"/>
          <w:color w:val="111111"/>
          <w:sz w:val="28"/>
          <w:szCs w:val="28"/>
          <w:rtl/>
        </w:rPr>
        <w:t xml:space="preserve">eskandariye</w:t>
      </w:r>
    </w:p>
    <w:p>
      <w:pPr>
        <w:pStyle w:val="BookText"/>
      </w:pPr>
      <w:r>
        <w:rPr>
          <w:rFonts w:ascii="IRNazanin" w:hAnsi="IRNazanin" w:eastAsia="IRNazanin" w:cs="IRNazanin"/>
          <w:lang w:bidi="fa-IR"/>
          <w:color w:val="111111"/>
          <w:sz w:val="28"/>
          <w:szCs w:val="28"/>
          <w:rtl/>
        </w:rPr>
        <w:t xml:space="preserve">رساله متوسطی در خواص اشیاء و برخی دستورات پزشکی.</w:t>
      </w:r>
    </w:p>
    <w:p>
      <w:pPr>
        <w:pStyle w:val="BookText"/>
      </w:pPr>
      <w:r>
        <w:rPr>
          <w:rFonts w:ascii="IRNazanin" w:hAnsi="IRNazanin" w:eastAsia="IRNazanin" w:cs="IRNazanin"/>
          <w:lang w:bidi="fa-IR"/>
          <w:color w:val="111111"/>
          <w:sz w:val="28"/>
          <w:szCs w:val="28"/>
          <w:rtl/>
        </w:rPr>
        <w:t xml:space="preserve">قم؛ گلپایگانی؛ شماره نسخه: ۸۹۵۲/۳-۵۹/۱۷۲</w:t>
      </w:r>
    </w:p>
    <w:p>
      <w:pPr>
        <w:pStyle w:val="BookText"/>
      </w:pPr>
      <w:r>
        <w:rPr>
          <w:rFonts w:ascii="IRNazanin" w:hAnsi="IRNazanin" w:eastAsia="IRNazanin" w:cs="IRNazanin"/>
          <w:lang w:bidi="fa-IR"/>
          <w:color w:val="111111"/>
          <w:sz w:val="28"/>
          <w:szCs w:val="28"/>
          <w:rtl/>
        </w:rPr>
        <w:t xml:space="preserve">آغاز: بسمله حمد له بدانکه ایزد تعالی هر جانوری را آفرید بجفت محتاج گردانید و از جمله مخلوقات و موجودات انسان را برگزید</w:t>
      </w:r>
    </w:p>
    <w:p>
      <w:pPr>
        <w:pStyle w:val="BookText"/>
      </w:pPr>
      <w:r>
        <w:rPr>
          <w:rFonts w:ascii="IRNazanin" w:hAnsi="IRNazanin" w:eastAsia="IRNazanin" w:cs="IRNazanin"/>
          <w:lang w:bidi="fa-IR"/>
          <w:color w:val="111111"/>
          <w:sz w:val="28"/>
          <w:szCs w:val="28"/>
          <w:rtl/>
        </w:rPr>
        <w:t xml:space="preserve">عنوان فصول و باب ها در نسخه حاضر نانویس مانده و نام آن در آخر رساله «اسکندریه» ذکر شده است؛ خط: نستعلیق، کا: عبدالله مشهور به محروم، تا: دوشنبه ۲ رمضان ۱۲۱۵ق؛ ۳۷گ (۴۵-۸۱)، ۱۱-۹ سطر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۱ - ۳۶۰]</w:t>
      </w:r>
    </w:p>
    <w:p>
      <w:pPr>
        <w:pStyle w:val="Heading3"/>
      </w:pPr>
      <w:bookmarkStart w:id="1587" w:name="_Toc1109"/>
      <w:r>
        <w:t>اسلام آوردن سلمان فارسی / تاریخ / فارسی</w:t>
      </w:r>
      <w:bookmarkEnd w:id="1587"/>
    </w:p>
    <w:p>
      <w:pPr>
        <w:pStyle w:val="BookText"/>
      </w:pPr>
      <w:r>
        <w:rPr>
          <w:rFonts w:ascii="Times New Roman" w:hAnsi="Times New Roman" w:eastAsia="Times New Roman" w:cs="Times New Roman"/>
          <w:lang w:val="en-US" w:bidi="en-US"/>
          <w:color w:val="111111"/>
          <w:sz w:val="28"/>
          <w:szCs w:val="28"/>
          <w:rtl/>
        </w:rPr>
        <w:t xml:space="preserve">eslam avardan-e salman-e farsi</w:t>
      </w:r>
    </w:p>
    <w:p>
      <w:pPr>
        <w:pStyle w:val="BookText"/>
      </w:pPr>
      <w:r>
        <w:rPr>
          <w:rFonts w:ascii="IRNazanin" w:hAnsi="IRNazanin" w:eastAsia="IRNazanin" w:cs="IRNazanin"/>
          <w:lang w:bidi="fa-IR"/>
          <w:color w:val="111111"/>
          <w:sz w:val="28"/>
          <w:szCs w:val="28"/>
          <w:rtl/>
        </w:rPr>
        <w:t xml:space="preserve">حدیثی را که شیخ صدوق درباره کیفیت اسلام آوردن حضرت سلمان نقل کرده به فارسی ترجمه نموده است. احتمال دارد قسمتی از کتاب «جلاء العیون» علامه مجلسی باشد.</w:t>
      </w:r>
    </w:p>
    <w:p>
      <w:pPr>
        <w:pStyle w:val="BookText"/>
      </w:pPr>
      <w:r>
        <w:rPr>
          <w:rFonts w:ascii="IRNazanin" w:hAnsi="IRNazanin" w:eastAsia="IRNazanin" w:cs="IRNazanin"/>
          <w:lang w:bidi="fa-IR"/>
          <w:color w:val="111111"/>
          <w:sz w:val="28"/>
          <w:szCs w:val="28"/>
          <w:rtl/>
        </w:rPr>
        <w:t xml:space="preserve">تهران مجلس شماره نسخه: ۷۲۹۶</w:t>
      </w:r>
    </w:p>
    <w:p>
      <w:pPr>
        <w:pStyle w:val="BookText"/>
      </w:pPr>
      <w:r>
        <w:rPr>
          <w:rFonts w:ascii="IRNazanin" w:hAnsi="IRNazanin" w:eastAsia="IRNazanin" w:cs="IRNazanin"/>
          <w:lang w:bidi="fa-IR"/>
          <w:color w:val="111111"/>
          <w:sz w:val="28"/>
          <w:szCs w:val="28"/>
          <w:rtl/>
        </w:rPr>
        <w:t xml:space="preserve">آغاز: باسمه سبحانه ابن بابويه عليه الرحمة بسند معتبر از حضرت موسی بن جعر روایت نموده که شخصی از آن حضرت سؤال نمود از سبب اسلام سلمان؛ انجام: من گفتم که یک خدمت آن سرور نزد من بهتر است از تو و آنچه داری پس حضرت مرا آزاد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327" w:name="pg20365_260457"/>
    <w:bookmarkEnd w:id="327"/>
    <w:p>
      <w:pPr>
        <w:pStyle w:val="BookText"/>
      </w:pPr>
      <w:r>
        <w:rPr>
          <w:rFonts w:ascii="IRNazanin" w:hAnsi="IRNazanin" w:eastAsia="IRNazanin" w:cs="IRNazanin"/>
          <w:lang w:bidi="fa-IR"/>
          <w:color w:val="111111"/>
          <w:sz w:val="28"/>
          <w:szCs w:val="28"/>
          <w:rtl/>
        </w:rPr>
        <w:t xml:space="preserve">فرمود سلمان نام نهاد.</w:t>
      </w:r>
    </w:p>
    <w:p>
      <w:pPr>
        <w:pStyle w:val="BookText"/>
      </w:pPr>
      <w:r>
        <w:rPr>
          <w:rFonts w:ascii="IRNazanin" w:hAnsi="IRNazanin" w:eastAsia="IRNazanin" w:cs="IRNazanin"/>
          <w:lang w:bidi="fa-IR"/>
          <w:color w:val="111111"/>
          <w:sz w:val="28"/>
          <w:szCs w:val="28"/>
          <w:rtl/>
        </w:rPr>
        <w:t xml:space="preserve">خط: نستعلیق، کا: محمد حسینی ملقب به شمس الكتاب،تا: ۱۳۰۳ق؛ با سرلوح مزدوج مذهب مرصع، مجدول محرر، مذهـب ،جلد: تیماج زیتونی مجدول، ۱۱گ ۷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۲۱سم[ف: ۲۵ - ۲۸۷]</w:t>
      </w:r>
    </w:p>
    <w:p>
      <w:pPr>
        <w:pStyle w:val="Heading3"/>
      </w:pPr>
      <w:bookmarkStart w:id="1588" w:name="_Toc1110"/>
      <w:r>
        <w:t>اسلام ابی طالب / کلام و اعتقادات / عربی</w:t>
      </w:r>
      <w:bookmarkEnd w:id="1588"/>
    </w:p>
    <w:p>
      <w:pPr>
        <w:pStyle w:val="BookText"/>
      </w:pPr>
      <w:r>
        <w:rPr>
          <w:rFonts w:ascii="Times New Roman" w:hAnsi="Times New Roman" w:eastAsia="Times New Roman" w:cs="Times New Roman"/>
          <w:lang w:val="en-US" w:bidi="en-US"/>
          <w:color w:val="111111"/>
          <w:sz w:val="28"/>
          <w:szCs w:val="28"/>
          <w:rtl/>
        </w:rPr>
        <w:t xml:space="preserve">eslām-e abī tāleb</w:t>
      </w:r>
    </w:p>
    <w:p>
      <w:pPr>
        <w:pStyle w:val="BookText"/>
      </w:pPr>
      <w:r>
        <w:rPr>
          <w:rFonts w:ascii="IRNazanin" w:hAnsi="IRNazanin" w:eastAsia="IRNazanin" w:cs="IRNazanin"/>
          <w:lang w:bidi="fa-IR"/>
          <w:color w:val="111111"/>
          <w:sz w:val="28"/>
          <w:szCs w:val="28"/>
          <w:rtl/>
        </w:rPr>
        <w:t xml:space="preserve">مسئله اسلام آوردن ابی طالب از مباحث مورد اختلاف گفتگوی اهل سنت و شیعیان بوده و این رساله در این باره اسـت و در آن حدیث «ان اباطالب اسلم بحساب الجمل» و سخنانی که کلینی و صدوق درباره آن گفته اند آمده است.</w:t>
      </w:r>
    </w:p>
    <w:p>
      <w:pPr>
        <w:pStyle w:val="BookText"/>
      </w:pPr>
      <w:r>
        <w:rPr>
          <w:rFonts w:ascii="IRNazanin" w:hAnsi="IRNazanin" w:eastAsia="IRNazanin" w:cs="IRNazanin"/>
          <w:lang w:bidi="fa-IR"/>
          <w:color w:val="111111"/>
          <w:sz w:val="28"/>
          <w:szCs w:val="28"/>
          <w:rtl/>
        </w:rPr>
        <w:t xml:space="preserve">تهران؛ دانشگاه؛ شماره نسخه: ۹۴۴/۴</w:t>
      </w:r>
    </w:p>
    <w:p>
      <w:pPr>
        <w:pStyle w:val="BookText"/>
      </w:pPr>
      <w:r>
        <w:rPr>
          <w:rFonts w:ascii="IRNazanin" w:hAnsi="IRNazanin" w:eastAsia="IRNazanin" w:cs="IRNazanin"/>
          <w:lang w:bidi="fa-IR"/>
          <w:color w:val="111111"/>
          <w:sz w:val="28"/>
          <w:szCs w:val="28"/>
          <w:rtl/>
        </w:rPr>
        <w:t xml:space="preserve">آغاز: بسمله على بن محمد ... عن ابی عبدالله ... قال ان اباطالب اسلم بحساب الجمل. قال بكل لسان؛ انجام: و حجج بحقایق كلامهم صلوات الله عليهم اجمعين.</w:t>
      </w:r>
    </w:p>
    <w:p>
      <w:pPr>
        <w:pStyle w:val="BookText"/>
      </w:pPr>
      <w:r>
        <w:rPr>
          <w:rFonts w:ascii="IRNazanin" w:hAnsi="IRNazanin" w:eastAsia="IRNazanin" w:cs="IRNazanin"/>
          <w:lang w:bidi="fa-IR"/>
          <w:color w:val="111111"/>
          <w:sz w:val="28"/>
          <w:szCs w:val="28"/>
          <w:rtl/>
        </w:rPr>
        <w:t xml:space="preserve">خط: تعلیق، کا: محمد شریف پسر ابوتراب  داود، تا: با تاریخ ۱۰۹۴ق؛ این نسخه دارای ۱۲ رساله کلامی و ریاضی و تفسیر قفه است؛ کاغذ: سمرقندی، :جلد: تیماج سرخ ضربی مقوایی، ۲گ (۷۲ر - ۱۷۳ر) ۱۷ سطر (8</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[ف:3- 524]</w:t>
      </w:r>
    </w:p>
    <w:p>
      <w:pPr>
        <w:pStyle w:val="Heading3"/>
      </w:pPr>
      <w:bookmarkStart w:id="1589" w:name="_Toc1111"/>
      <w:r>
        <w:t>اسلام العوام / کلام و اعتقادات / فارسی</w:t>
      </w:r>
      <w:bookmarkEnd w:id="1589"/>
    </w:p>
    <w:p>
      <w:pPr>
        <w:pStyle w:val="BookText"/>
      </w:pPr>
      <w:r>
        <w:rPr>
          <w:rFonts w:ascii="Times New Roman" w:hAnsi="Times New Roman" w:eastAsia="Times New Roman" w:cs="Times New Roman"/>
          <w:lang w:val="en-US" w:bidi="en-US"/>
          <w:color w:val="111111"/>
          <w:sz w:val="28"/>
          <w:szCs w:val="28"/>
          <w:rtl/>
        </w:rPr>
        <w:t xml:space="preserve">eslām-ol-‘avām</w:t>
      </w:r>
    </w:p>
    <w:p>
      <w:pPr>
        <w:pStyle w:val="BookText"/>
      </w:pPr>
      <w:r>
        <w:rPr>
          <w:rFonts w:ascii="IRNazanin" w:hAnsi="IRNazanin" w:eastAsia="IRNazanin" w:cs="IRNazanin"/>
          <w:lang w:bidi="fa-IR"/>
          <w:color w:val="111111"/>
          <w:sz w:val="28"/>
          <w:szCs w:val="28"/>
          <w:rtl/>
        </w:rPr>
        <w:t xml:space="preserve">مدرس  یزدی، محمد بن مرتضی، - ۱۳۲۳ قمری</w:t>
      </w:r>
    </w:p>
    <w:p>
      <w:pPr>
        <w:pStyle w:val="BookText"/>
      </w:pPr>
      <w:r>
        <w:rPr>
          <w:rFonts w:ascii="Times New Roman" w:hAnsi="Times New Roman" w:eastAsia="Times New Roman" w:cs="Times New Roman"/>
          <w:lang w:val="en-US" w:bidi="en-US"/>
          <w:color w:val="111111"/>
          <w:sz w:val="28"/>
          <w:szCs w:val="28"/>
          <w:rtl/>
        </w:rPr>
        <w:t xml:space="preserve">(modarres-e yazdī, mohammad ebn-e mortazā (- 1905)</w:t>
      </w:r>
    </w:p>
    <w:p>
      <w:pPr>
        <w:pStyle w:val="BookText"/>
      </w:pPr>
      <w:r>
        <w:rPr>
          <w:rFonts w:ascii="IRNazanin" w:hAnsi="IRNazanin" w:eastAsia="IRNazanin" w:cs="IRNazanin"/>
          <w:lang w:bidi="fa-IR"/>
          <w:color w:val="111111"/>
          <w:sz w:val="28"/>
          <w:szCs w:val="28"/>
          <w:rtl/>
        </w:rPr>
        <w:t xml:space="preserve">در اصول پنجگانه دین با استفاده از ادله عقلیه و نقلیه به روشی ساده و به دور ازگفتگوهای دانشمندان علم کلام که از فـهم عوام به دور است در چهار «مقدام» و پنج «مرام» و یک «ختـام» که مجموعاً ده بخش می شود.</w:t>
      </w:r>
    </w:p>
    <w:p>
      <w:pPr>
        <w:pStyle w:val="BookText"/>
      </w:pPr>
      <w:r>
        <w:rPr>
          <w:rFonts w:ascii="IRNazanin" w:hAnsi="IRNazanin" w:eastAsia="IRNazanin" w:cs="IRNazanin"/>
          <w:lang w:bidi="fa-IR"/>
          <w:color w:val="111111"/>
          <w:sz w:val="28"/>
          <w:szCs w:val="28"/>
          <w:rtl/>
        </w:rPr>
        <w:t xml:space="preserve">قم؛ مرکز احیاء؛ شماره نسخه: ۱۹۲۲/۲</w:t>
      </w:r>
    </w:p>
    <w:p>
      <w:pPr>
        <w:pStyle w:val="BookText"/>
      </w:pPr>
      <w:r>
        <w:rPr>
          <w:rFonts w:ascii="IRNazanin" w:hAnsi="IRNazanin" w:eastAsia="IRNazanin" w:cs="IRNazanin"/>
          <w:lang w:bidi="fa-IR"/>
          <w:color w:val="111111"/>
          <w:sz w:val="28"/>
          <w:szCs w:val="28"/>
          <w:rtl/>
        </w:rPr>
        <w:t xml:space="preserve">آغاز: الحمد لله و الصلاة على رسول الله ...و بعد این ترجمه است مسمی باسلام العوام مشتمل بر چهار مقدام؛ انجام: و همه خلق آن را در مقام انصاف تسلیم نماید چون در غیر این نظم ترجیح بلا مرجح</w:t>
      </w:r>
    </w:p>
    <w:p>
      <w:pPr>
        <w:pStyle w:val="BookText"/>
      </w:pPr>
      <w:r>
        <w:rPr>
          <w:rFonts w:ascii="IRNazanin" w:hAnsi="IRNazanin" w:eastAsia="IRNazanin" w:cs="IRNazanin"/>
          <w:lang w:bidi="fa-IR"/>
          <w:color w:val="111111"/>
          <w:sz w:val="28"/>
          <w:szCs w:val="28"/>
          <w:rtl/>
        </w:rPr>
        <w:t xml:space="preserve">خط: نسخ، كا: عباس علی بن ملا محمد بی تا؛ افتادگی: انجام ؛جلد: تیماج  قرمز، ۲۸گ (۱۹پ-۴۶پ)، ۱۴ سطر، 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۵ - ۳۵۳]</w:t>
      </w:r>
    </w:p>
    <w:p>
      <w:pPr>
        <w:pStyle w:val="Heading3"/>
      </w:pPr>
      <w:bookmarkStart w:id="1590" w:name="_Toc1112"/>
      <w:r>
        <w:t>اسلام خالد بن ولید / تاریخ / عربی</w:t>
      </w:r>
      <w:bookmarkEnd w:id="1590"/>
    </w:p>
    <w:p>
      <w:pPr>
        <w:pStyle w:val="BookText"/>
      </w:pPr>
      <w:r>
        <w:rPr>
          <w:rFonts w:ascii="Times New Roman" w:hAnsi="Times New Roman" w:eastAsia="Times New Roman" w:cs="Times New Roman"/>
          <w:lang w:val="en-US" w:bidi="en-US"/>
          <w:color w:val="111111"/>
          <w:sz w:val="28"/>
          <w:szCs w:val="28"/>
          <w:rtl/>
        </w:rPr>
        <w:t xml:space="preserve">eslām-e xāled ebn-e valīd</w:t>
      </w:r>
    </w:p>
    <w:p>
      <w:pPr>
        <w:pStyle w:val="BookText"/>
      </w:pPr>
      <w:r>
        <w:rPr>
          <w:rFonts w:ascii="IRNazanin" w:hAnsi="IRNazanin" w:eastAsia="IRNazanin" w:cs="IRNazanin"/>
          <w:lang w:bidi="fa-IR"/>
          <w:color w:val="111111"/>
          <w:sz w:val="28"/>
          <w:szCs w:val="28"/>
          <w:rtl/>
        </w:rPr>
        <w:t xml:space="preserve">قم؛ مرعشی؛ شماره نسخه: ۱۱۷۹/۱۰</w:t>
      </w:r>
    </w:p>
    <w:p>
      <w:pPr>
        <w:pStyle w:val="BookText"/>
      </w:pPr>
      <w:r>
        <w:rPr>
          <w:rFonts w:ascii="IRNazanin" w:hAnsi="IRNazanin" w:eastAsia="IRNazanin" w:cs="IRNazanin"/>
          <w:lang w:bidi="fa-IR"/>
          <w:color w:val="111111"/>
          <w:sz w:val="28"/>
          <w:szCs w:val="28"/>
          <w:rtl/>
        </w:rPr>
        <w:t xml:space="preserve">آغاز: بسمله ... الحمد لله نحمده و نستعينه و نستغفره ... كتاب اسلام خالد ابن الوليد و مایری له رضى الله عنه من الغرايب و العجايب على التمام و الكمال بعد بسم الله الرحمن الرحيم و عن ابن عباس رضی الله عنه قال لما رجع النبى صلى الله عليه و سلم من غزوة احد مؤيدا منصورا</w:t>
      </w:r>
    </w:p>
    <w:p>
      <w:pPr>
        <w:pStyle w:val="BookText"/>
      </w:pPr>
      <w:r>
        <w:rPr>
          <w:rFonts w:ascii="IRNazanin" w:hAnsi="IRNazanin" w:eastAsia="IRNazanin" w:cs="IRNazanin"/>
          <w:lang w:bidi="fa-IR"/>
          <w:color w:val="111111"/>
          <w:sz w:val="28"/>
          <w:szCs w:val="28"/>
          <w:rtl/>
        </w:rPr>
        <w:t xml:space="preserve">نسخه اصل: کتابخانه  اسکوریال، مادریدش ۱۶۵۶؛ خط: مغربی، کا: عبيدالله محمد بن محمد بن على بكری، تا با تاریخ ۱۰۰۶ق؛ ۴ ص (۷۸-۷۵) [عکسی ف ۳ - ۴۰۴]</w:t>
      </w:r>
    </w:p>
    <w:p>
      <w:pPr>
        <w:pStyle w:val="Heading3"/>
      </w:pPr>
      <w:bookmarkStart w:id="1591" w:name="_Toc1113"/>
      <w:r>
        <w:t>الاسلام كلية الشيعة / كلام و اعتقادات / عربی</w:t>
      </w:r>
      <w:bookmarkEnd w:id="1591"/>
    </w:p>
    <w:p>
      <w:pPr>
        <w:pStyle w:val="BookText"/>
      </w:pPr>
      <w:r>
        <w:rPr>
          <w:rFonts w:ascii="Times New Roman" w:hAnsi="Times New Roman" w:eastAsia="Times New Roman" w:cs="Times New Roman"/>
          <w:lang w:val="en-US" w:bidi="en-US"/>
          <w:color w:val="111111"/>
          <w:sz w:val="28"/>
          <w:szCs w:val="28"/>
          <w:rtl/>
        </w:rPr>
        <w:t xml:space="preserve">al-islām kullīyat-uš šī a</w:t>
      </w:r>
    </w:p>
    <w:p>
      <w:pPr>
        <w:pStyle w:val="BookText"/>
      </w:pPr>
      <w:r>
        <w:rPr>
          <w:rFonts w:ascii="IRNazanin" w:hAnsi="IRNazanin" w:eastAsia="IRNazanin" w:cs="IRNazanin"/>
          <w:lang w:bidi="fa-IR"/>
          <w:color w:val="111111"/>
          <w:sz w:val="28"/>
          <w:szCs w:val="28"/>
          <w:rtl/>
        </w:rPr>
        <w:t xml:space="preserve">شهابی ،محمود ۱۲۸۲ - ۱۳۶۵ شمسی</w:t>
      </w:r>
    </w:p>
    <w:p>
      <w:pPr>
        <w:pStyle w:val="BookText"/>
      </w:pPr>
      <w:r>
        <w:rPr>
          <w:rFonts w:ascii="Times New Roman" w:hAnsi="Times New Roman" w:eastAsia="Times New Roman" w:cs="Times New Roman"/>
          <w:lang w:val="en-US" w:bidi="en-US"/>
          <w:color w:val="111111"/>
          <w:sz w:val="28"/>
          <w:szCs w:val="28"/>
          <w:rtl/>
        </w:rPr>
        <w:t xml:space="preserve">(sahabi, mahmud (1903 - 1986)</w:t>
      </w:r>
    </w:p>
    <w:p>
      <w:pPr>
        <w:pStyle w:val="BookText"/>
      </w:pPr>
      <w:r>
        <w:rPr>
          <w:rFonts w:ascii="IRNazanin" w:hAnsi="IRNazanin" w:eastAsia="IRNazanin" w:cs="IRNazanin"/>
          <w:lang w:bidi="fa-IR"/>
          <w:color w:val="111111"/>
          <w:sz w:val="28"/>
          <w:szCs w:val="28"/>
          <w:rtl/>
        </w:rPr>
        <w:t xml:space="preserve">تهران؛ ملی؛ شماره نسخه: ۳۵۴۳۲</w:t>
      </w:r>
    </w:p>
    <w:p>
      <w:pPr>
        <w:pStyle w:val="BookText"/>
      </w:pPr>
      <w:r>
        <w:rPr>
          <w:rFonts w:ascii="IRNazanin" w:hAnsi="IRNazanin" w:eastAsia="IRNazanin" w:cs="IRNazanin"/>
          <w:lang w:bidi="fa-IR"/>
          <w:color w:val="111111"/>
          <w:sz w:val="28"/>
          <w:szCs w:val="28"/>
          <w:rtl/>
        </w:rPr>
        <w:t xml:space="preserve">کاتب = مؤلف، بی تا، خریداری از کیومرث محمودی [رایانه]</w:t>
      </w:r>
    </w:p>
    <w:p>
      <w:pPr>
        <w:pStyle w:val="BookText"/>
      </w:pPr>
      <w:r>
        <w:rPr>
          <w:rFonts w:ascii="Amiri" w:hAnsi="Amiri" w:eastAsia="Amiri" w:cs="Amiri"/>
          <w:lang w:bidi="ar-SA"/>
          <w:color w:val="111111"/>
          <w:sz w:val="28"/>
          <w:szCs w:val="28"/>
          <w:rtl/>
        </w:rPr>
        <w:t xml:space="preserve">«الاسلام والايمان » حقائق الايمان</w:t>
      </w:r>
    </w:p>
    <w:p>
      <w:pPr>
        <w:pStyle w:val="BookText"/>
      </w:pPr>
      <w:r>
        <w:rPr>
          <w:rFonts w:ascii="Amiri" w:hAnsi="Amiri" w:eastAsia="Amiri" w:cs="Amiri"/>
          <w:lang w:bidi="ar-SA"/>
          <w:color w:val="111111"/>
          <w:sz w:val="28"/>
          <w:szCs w:val="28"/>
          <w:rtl/>
        </w:rPr>
        <w:t xml:space="preserve">«الاسلام والايمان » ايضاح البيان في تحقيق الايمان</w:t>
      </w:r>
    </w:p>
    <w:p>
      <w:pPr>
        <w:pStyle w:val="Heading3"/>
      </w:pPr>
      <w:bookmarkStart w:id="1592" w:name="_Toc1114"/>
      <w:r>
        <w:t>الاسلام و الایمان / کلام و اعتقادات / عربی</w:t>
      </w:r>
      <w:bookmarkEnd w:id="1592"/>
    </w:p>
    <w:p>
      <w:pPr>
        <w:pStyle w:val="BookText"/>
      </w:pPr>
      <w:r>
        <w:rPr>
          <w:rFonts w:ascii="Times New Roman" w:hAnsi="Times New Roman" w:eastAsia="Times New Roman" w:cs="Times New Roman"/>
          <w:lang w:val="en-US" w:bidi="en-US"/>
          <w:color w:val="111111"/>
          <w:sz w:val="28"/>
          <w:szCs w:val="28"/>
          <w:rtl/>
        </w:rPr>
        <w:t xml:space="preserve">al-islām wa-l-īmān</w:t>
      </w:r>
    </w:p>
    <w:p>
      <w:pPr>
        <w:pStyle w:val="BookText"/>
      </w:pPr>
      <w:r>
        <w:rPr>
          <w:rFonts w:ascii="IRNazanin" w:hAnsi="IRNazanin" w:eastAsia="IRNazanin" w:cs="IRNazanin"/>
          <w:lang w:bidi="fa-IR"/>
          <w:color w:val="111111"/>
          <w:sz w:val="28"/>
          <w:szCs w:val="28"/>
          <w:rtl/>
        </w:rPr>
        <w:t xml:space="preserve">شیروانی، حیدر علی بن محمد، ق ۱۲ قمری</w:t>
      </w:r>
    </w:p>
    <w:p>
      <w:pPr>
        <w:pStyle w:val="BookText"/>
      </w:pPr>
      <w:r>
        <w:rPr>
          <w:rFonts w:ascii="Times New Roman" w:hAnsi="Times New Roman" w:eastAsia="Times New Roman" w:cs="Times New Roman"/>
          <w:lang w:val="en-US" w:bidi="en-US"/>
          <w:color w:val="111111"/>
          <w:sz w:val="28"/>
          <w:szCs w:val="28"/>
          <w:rtl/>
        </w:rPr>
        <w:t xml:space="preserve">(šīrvānī, heydar ‘alī ebn-e mohammad (- 18c)</w:t>
      </w:r>
    </w:p>
    <w:p>
      <w:pPr>
        <w:pStyle w:val="BookText"/>
      </w:pPr>
      <w:r>
        <w:rPr>
          <w:rFonts w:ascii="IRNazanin" w:hAnsi="IRNazanin" w:eastAsia="IRNazanin" w:cs="IRNazanin"/>
          <w:lang w:bidi="fa-IR"/>
          <w:color w:val="111111"/>
          <w:sz w:val="28"/>
          <w:szCs w:val="28"/>
          <w:rtl/>
        </w:rPr>
        <w:t xml:space="preserve">در معنی اسلام و ایمان و این که هر دو به یک معنی است، و منكر ولايت ائمه (علیهم السّلام) در حقیقت منکر توحید و نبوت است و از اسلام بیرون؛ مشتمل بر سه «فصل» و یک «خاتمه»: ۱. فی ان منكر الولاية كمنكر التوحيد و النبوة؛ ۲. معنى الناصب و انه ناصب غير المنصوب؛ ۳. اتحاد مصداق المسلم و المؤمن  ؛ الخاتمه فى الفرق بين العارف و المنكر و الجاحد و الناصب.</w:t>
      </w:r>
    </w:p>
    <w:p>
      <w:pPr>
        <w:pStyle w:val="BookText"/>
      </w:pPr>
      <w:r>
        <w:rPr>
          <w:rFonts w:ascii="Amiri" w:hAnsi="Amiri" w:eastAsia="Amiri" w:cs="Amiri"/>
          <w:lang w:bidi="ar-SA"/>
          <w:color w:val="111111"/>
          <w:sz w:val="28"/>
          <w:szCs w:val="28"/>
          <w:rtl/>
        </w:rPr>
        <w:t xml:space="preserve">آغاز: الحمد لله الذى اختصنا بالاسلام والايمان و غمرنا بالمن و الاحسان و هدانا لخير الاديان</w:t>
      </w:r>
    </w:p>
    <w:p>
      <w:pPr>
        <w:pStyle w:val="BookText"/>
      </w:pPr>
      <w:r>
        <w:rPr>
          <w:rFonts w:ascii="Amiri" w:hAnsi="Amiri" w:eastAsia="Amiri" w:cs="Amiri"/>
          <w:lang w:bidi="ar-SA"/>
          <w:color w:val="111111"/>
          <w:sz w:val="28"/>
          <w:szCs w:val="28"/>
          <w:rtl/>
        </w:rPr>
        <w:t xml:space="preserve">انجام: و مصلين على محمد سيد المرسلين و أهل بيته سادات الاولين والآخرين الطيبين</w:t>
      </w:r>
    </w:p>
    <w:p>
      <w:pPr>
        <w:pStyle w:val="BookText"/>
      </w:pPr>
      <w:r>
        <w:rPr>
          <w:rFonts w:ascii="IRNazanin" w:hAnsi="IRNazanin" w:eastAsia="IRNazanin" w:cs="IRNazanin"/>
          <w:lang w:bidi="fa-IR"/>
          <w:color w:val="111111"/>
          <w:sz w:val="28"/>
          <w:szCs w:val="28"/>
          <w:rtl/>
        </w:rPr>
        <w:t xml:space="preserve">[دنا ۸۱۶/۱؛ الكواكب المنتثرة ص ۲۳۲؛ الذریعة ۶۲/۲-۶۳]</w:t>
      </w:r>
    </w:p>
    <w:p>
      <w:pPr>
        <w:pStyle w:val="BookText"/>
      </w:pPr>
      <w:r>
        <w:rPr>
          <w:rFonts w:ascii="IRNazanin" w:hAnsi="IRNazanin" w:eastAsia="IRNazanin" w:cs="IRNazanin"/>
          <w:lang w:bidi="fa-IR"/>
          <w:color w:val="111111"/>
          <w:sz w:val="28"/>
          <w:szCs w:val="28"/>
          <w:rtl/>
        </w:rPr>
        <w:t xml:space="preserve">۱. قم؛ فیضیه؛ شماره نسخه: ۱۸۶۱/۱</w:t>
      </w:r>
    </w:p>
    <w:p>
      <w:pPr>
        <w:pStyle w:val="BookText"/>
      </w:pPr>
      <w:r>
        <w:rPr>
          <w:rFonts w:ascii="IRNazanin" w:hAnsi="IRNazanin" w:eastAsia="IRNazanin" w:cs="IRNazanin"/>
          <w:lang w:bidi="fa-IR"/>
          <w:color w:val="111111"/>
          <w:sz w:val="28"/>
          <w:szCs w:val="28"/>
          <w:rtl/>
        </w:rPr>
        <w:t xml:space="preserve">خط: نسخ، بی کا، تا: قرن ۱۲، ۹۴گ اندازه: 8</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سم [ف:۳-۱۴۰]</w:t>
      </w:r>
    </w:p>
    <w:p>
      <w:pPr>
        <w:pStyle w:val="BookText"/>
      </w:pPr>
      <w:r>
        <w:rPr>
          <w:rFonts w:ascii="IRNazanin" w:hAnsi="IRNazanin" w:eastAsia="IRNazanin" w:cs="IRNazanin"/>
          <w:lang w:bidi="fa-IR"/>
          <w:color w:val="111111"/>
          <w:sz w:val="28"/>
          <w:szCs w:val="28"/>
          <w:rtl/>
        </w:rPr>
        <w:t xml:space="preserve">۲. خوی؛ نمازی؛ شماره نسخه: ۳۴۷/۱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محشی از مؤلف با لفظ «منه غفر عنه»؛  تملک: سید شریف بن فلاح الكاظمي؛ واقف: فتح الله شريف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328" w:name="pg20365_260458"/>
    <w:bookmarkEnd w:id="328"/>
    <w:p>
      <w:pPr>
        <w:pStyle w:val="BookText"/>
      </w:pPr>
      <w:r>
        <w:rPr>
          <w:rFonts w:ascii="IRNazanin" w:hAnsi="IRNazanin" w:eastAsia="IRNazanin" w:cs="IRNazanin"/>
          <w:lang w:bidi="fa-IR"/>
          <w:color w:val="111111"/>
          <w:sz w:val="28"/>
          <w:szCs w:val="28"/>
          <w:rtl/>
        </w:rPr>
        <w:t xml:space="preserve">حسینی، رمضان ۱۲۲۷ با مهر «الواثق بالله فتح الله شريف حسینی خویی» (مربع)؛ جلد: مقوایی ۶۶ ص، ۱۹ سطر،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  سم[ف: ۱۷۳]</w:t>
      </w:r>
    </w:p>
    <w:p>
      <w:pPr>
        <w:pStyle w:val="BookText"/>
      </w:pPr>
      <w:r>
        <w:rPr>
          <w:rFonts w:ascii="IRNazanin" w:hAnsi="IRNazanin" w:eastAsia="IRNazanin" w:cs="IRNazanin"/>
          <w:lang w:bidi="fa-IR"/>
          <w:color w:val="111111"/>
          <w:sz w:val="28"/>
          <w:szCs w:val="28"/>
          <w:rtl/>
        </w:rPr>
        <w:t xml:space="preserve">قم؛ مرکز احیاء؛ شماره نسخه: ۸۵۱/۱</w:t>
      </w:r>
    </w:p>
    <w:p>
      <w:pPr>
        <w:pStyle w:val="BookText"/>
      </w:pPr>
      <w:r>
        <w:rPr>
          <w:rFonts w:ascii="IRNazanin" w:hAnsi="IRNazanin" w:eastAsia="IRNazanin" w:cs="IRNazanin"/>
          <w:lang w:bidi="fa-IR"/>
          <w:color w:val="111111"/>
          <w:sz w:val="28"/>
          <w:szCs w:val="28"/>
          <w:rtl/>
        </w:rPr>
        <w:t xml:space="preserve">نسخه اصل: همان نسخه بالا [عکسی ف ۳ - ۴۰]</w:t>
      </w:r>
    </w:p>
    <w:p>
      <w:pPr>
        <w:pStyle w:val="BookText"/>
      </w:pPr>
      <w:r>
        <w:rPr>
          <w:rFonts w:ascii="IRNazanin" w:hAnsi="IRNazanin" w:eastAsia="IRNazanin" w:cs="IRNazanin"/>
          <w:lang w:bidi="fa-IR"/>
          <w:color w:val="111111"/>
          <w:sz w:val="28"/>
          <w:szCs w:val="28"/>
          <w:rtl/>
        </w:rPr>
        <w:t xml:space="preserve">3.خوانسار؛ فاضل؛ شماره نسخه: ۱۱۱/۱</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بی کا، تا: جمعه ۱۱۳۱ق؛ در زمان مؤلف با حواشی «منه مد ظله»، دارای علامت بلاغ؛ جلد: تیماج مشکی ضربی ترنج سر ترنج، ۵۸گ (۲-۵۹)، ۱۷ سطر ،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۱۷/۵سم [ف: ۱ - 80]</w:t>
      </w:r>
    </w:p>
    <w:p>
      <w:pPr>
        <w:pStyle w:val="BookText"/>
      </w:pPr>
      <w:r>
        <w:rPr>
          <w:rFonts w:ascii="IRNazanin" w:hAnsi="IRNazanin" w:eastAsia="IRNazanin" w:cs="IRNazanin"/>
          <w:lang w:bidi="fa-IR"/>
          <w:color w:val="111111"/>
          <w:sz w:val="28"/>
          <w:szCs w:val="28"/>
          <w:rtl/>
        </w:rPr>
        <w:t xml:space="preserve">قم؛ مرکز احیاء؛ شماره نسخه: ۵۴۸/۱</w:t>
      </w:r>
    </w:p>
    <w:p>
      <w:pPr>
        <w:pStyle w:val="BookText"/>
      </w:pPr>
      <w:r>
        <w:rPr>
          <w:rFonts w:ascii="IRNazanin" w:hAnsi="IRNazanin" w:eastAsia="IRNazanin" w:cs="IRNazanin"/>
          <w:lang w:bidi="fa-IR"/>
          <w:color w:val="111111"/>
          <w:sz w:val="28"/>
          <w:szCs w:val="28"/>
          <w:rtl/>
        </w:rPr>
        <w:t xml:space="preserve">نسخه اصل: همان نسخه بالا [ عکسی ف: ۲ - ۱۳۵]</w:t>
      </w:r>
    </w:p>
    <w:p>
      <w:pPr>
        <w:pStyle w:val="BookText"/>
      </w:pPr>
      <w:r>
        <w:rPr>
          <w:rFonts w:ascii="IRNazanin" w:hAnsi="IRNazanin" w:eastAsia="IRNazanin" w:cs="IRNazanin"/>
          <w:lang w:bidi="fa-IR"/>
          <w:color w:val="111111"/>
          <w:sz w:val="28"/>
          <w:szCs w:val="28"/>
          <w:rtl/>
        </w:rPr>
        <w:t xml:space="preserve">4.قم؛ مرعشی؛ شماره نسخه: ۴۹۵۰/۱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محمد باقر بن محمد قاسم خونساری، تا: سه شنبه ۲۹ شوال ۱۱۳۲ق :جا ،اصفهان، مسجد جوجير؛ جـلد: تیماج مشکی بدون مقوا، ۲۵گ (۱پ -۲۵پ)، ۱۹ سطر،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۱۸/۵سم [ف : ۱۳ - ۱۴۸]</w:t>
      </w:r>
    </w:p>
    <w:p>
      <w:pPr>
        <w:pStyle w:val="BookText"/>
      </w:pPr>
      <w:r>
        <w:rPr>
          <w:rFonts w:ascii="IRNazanin" w:hAnsi="IRNazanin" w:eastAsia="IRNazanin" w:cs="IRNazanin"/>
          <w:lang w:bidi="fa-IR"/>
          <w:color w:val="111111"/>
          <w:sz w:val="28"/>
          <w:szCs w:val="28"/>
          <w:rtl/>
        </w:rPr>
        <w:t xml:space="preserve">۵. مشهد؛ شیخ علی حیدر؛ شماره نسخه: ۶۶۴/۵</w:t>
      </w:r>
    </w:p>
    <w:p>
      <w:pPr>
        <w:pStyle w:val="BookText"/>
      </w:pPr>
      <w:r>
        <w:rPr>
          <w:rFonts w:ascii="IRNazanin" w:hAnsi="IRNazanin" w:eastAsia="IRNazanin" w:cs="IRNazanin"/>
          <w:lang w:bidi="fa-IR"/>
          <w:color w:val="111111"/>
          <w:sz w:val="28"/>
          <w:szCs w:val="28"/>
          <w:rtl/>
        </w:rPr>
        <w:t xml:space="preserve">آغاز: من العارف والمنكر و الجامد والناصب وغير العارف و توضیح معانيها؛ انجام: و قوله صلوات الله عليه الامام علم ما بين الله  و بین خلقه فمن عرفه كان.</w:t>
      </w:r>
    </w:p>
    <w:p>
      <w:pPr>
        <w:pStyle w:val="BookText"/>
      </w:pPr>
      <w:r>
        <w:rPr>
          <w:rFonts w:ascii="IRNazanin" w:hAnsi="IRNazanin" w:eastAsia="IRNazanin" w:cs="IRNazanin"/>
          <w:lang w:bidi="fa-IR"/>
          <w:color w:val="111111"/>
          <w:sz w:val="28"/>
          <w:szCs w:val="28"/>
          <w:rtl/>
        </w:rPr>
        <w:t xml:space="preserve">خط: نسخ، بی کا، بی تا؛ افتادگی: آغاز و وسط و انجام؛ ۳۲ گ(۲۳ ر - ۵۴پ)، ۱۶ سطر، اندازه: ۱۲/۵</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۱۸/۵سم [مؤيد: ۲ - ۱۷۱]</w:t>
      </w:r>
    </w:p>
    <w:p>
      <w:pPr>
        <w:pStyle w:val="Heading3"/>
      </w:pPr>
      <w:bookmarkStart w:id="1593" w:name="_Toc1115"/>
      <w:r>
        <w:t>اسلام و ایران / فارسی</w:t>
      </w:r>
      <w:bookmarkEnd w:id="1593"/>
    </w:p>
    <w:p>
      <w:pPr>
        <w:pStyle w:val="BookText"/>
      </w:pPr>
      <w:r>
        <w:rPr>
          <w:rFonts w:ascii="Times New Roman" w:hAnsi="Times New Roman" w:eastAsia="Times New Roman" w:cs="Times New Roman"/>
          <w:lang w:val="en-US" w:bidi="en-US"/>
          <w:color w:val="111111"/>
          <w:sz w:val="28"/>
          <w:szCs w:val="28"/>
          <w:rtl/>
        </w:rPr>
        <w:t xml:space="preserve">eslām va īrān</w:t>
      </w:r>
    </w:p>
    <w:p>
      <w:pPr>
        <w:pStyle w:val="BookText"/>
      </w:pPr>
      <w:r>
        <w:rPr>
          <w:rFonts w:ascii="IRNazanin" w:hAnsi="IRNazanin" w:eastAsia="IRNazanin" w:cs="IRNazanin"/>
          <w:lang w:bidi="fa-IR"/>
          <w:color w:val="111111"/>
          <w:sz w:val="28"/>
          <w:szCs w:val="28"/>
          <w:rtl/>
        </w:rPr>
        <w:t xml:space="preserve">کسروی ،احمد، ۱۲۶۹ - ۱۳۲۴ شمسی</w:t>
      </w:r>
    </w:p>
    <w:p>
      <w:pPr>
        <w:pStyle w:val="BookText"/>
      </w:pPr>
      <w:r>
        <w:rPr>
          <w:rFonts w:ascii="Times New Roman" w:hAnsi="Times New Roman" w:eastAsia="Times New Roman" w:cs="Times New Roman"/>
          <w:lang w:val="en-US" w:bidi="en-US"/>
          <w:color w:val="111111"/>
          <w:sz w:val="28"/>
          <w:szCs w:val="28"/>
          <w:rtl/>
        </w:rPr>
        <w:t xml:space="preserve">(kasravī, ahmad (1890 - 1945)</w:t>
      </w:r>
    </w:p>
    <w:p>
      <w:pPr>
        <w:pStyle w:val="BookText"/>
      </w:pPr>
      <w:r>
        <w:rPr>
          <w:rFonts w:ascii="IRNazanin" w:hAnsi="IRNazanin" w:eastAsia="IRNazanin" w:cs="IRNazanin"/>
          <w:lang w:bidi="fa-IR"/>
          <w:color w:val="111111"/>
          <w:sz w:val="28"/>
          <w:szCs w:val="28"/>
          <w:rtl/>
        </w:rPr>
        <w:t xml:space="preserve">تهران؛ دانشگاه؛ شماره نسخه: 4/ 4752- 4754-ف</w:t>
      </w:r>
    </w:p>
    <w:p>
      <w:pPr>
        <w:pStyle w:val="BookText"/>
      </w:pPr>
      <w:r>
        <w:rPr>
          <w:rFonts w:ascii="IRNazanin" w:hAnsi="IRNazanin" w:eastAsia="IRNazanin" w:cs="IRNazanin"/>
          <w:lang w:bidi="fa-IR"/>
          <w:color w:val="111111"/>
          <w:sz w:val="28"/>
          <w:szCs w:val="28"/>
          <w:rtl/>
        </w:rPr>
        <w:t xml:space="preserve">بی کا، بی تا [ فیلم ها-ف: ۳ - ۹۹]</w:t>
      </w:r>
    </w:p>
    <w:p>
      <w:pPr>
        <w:pStyle w:val="BookText"/>
      </w:pPr>
      <w:r>
        <w:rPr>
          <w:rFonts w:ascii="IRNazanin" w:hAnsi="IRNazanin" w:eastAsia="IRNazanin" w:cs="IRNazanin"/>
          <w:lang w:bidi="fa-IR"/>
          <w:color w:val="111111"/>
          <w:sz w:val="28"/>
          <w:szCs w:val="28"/>
          <w:rtl/>
        </w:rPr>
        <w:t xml:space="preserve">«اسلام و ایمان و اعتقاد و مذاهب» تحقيق مذاهب</w:t>
      </w:r>
    </w:p>
    <w:p>
      <w:pPr>
        <w:pStyle w:val="Heading3"/>
      </w:pPr>
      <w:bookmarkStart w:id="1594" w:name="_Toc1116"/>
      <w:r>
        <w:t>اسلام و موسیقی / موسیقی / فارسی</w:t>
      </w:r>
      <w:bookmarkEnd w:id="1594"/>
    </w:p>
    <w:p>
      <w:pPr>
        <w:pStyle w:val="BookText"/>
      </w:pPr>
      <w:r>
        <w:rPr>
          <w:rFonts w:ascii="Times New Roman" w:hAnsi="Times New Roman" w:eastAsia="Times New Roman" w:cs="Times New Roman"/>
          <w:lang w:val="en-US" w:bidi="en-US"/>
          <w:color w:val="111111"/>
          <w:sz w:val="28"/>
          <w:szCs w:val="28"/>
          <w:rtl/>
        </w:rPr>
        <w:t xml:space="preserve">eslām va mūsīqī</w:t>
      </w:r>
    </w:p>
    <w:p>
      <w:pPr>
        <w:pStyle w:val="BookText"/>
      </w:pPr>
      <w:r>
        <w:rPr>
          <w:rFonts w:ascii="IRNazanin" w:hAnsi="IRNazanin" w:eastAsia="IRNazanin" w:cs="IRNazanin"/>
          <w:lang w:bidi="fa-IR"/>
          <w:color w:val="111111"/>
          <w:sz w:val="28"/>
          <w:szCs w:val="28"/>
          <w:rtl/>
        </w:rPr>
        <w:t xml:space="preserve">فردوسی ،خراسانی ،عبدالله ،ق ۱۴ قمری</w:t>
      </w:r>
    </w:p>
    <w:p>
      <w:pPr>
        <w:pStyle w:val="BookText"/>
      </w:pPr>
      <w:r>
        <w:rPr>
          <w:rFonts w:ascii="Times New Roman" w:hAnsi="Times New Roman" w:eastAsia="Times New Roman" w:cs="Times New Roman"/>
          <w:lang w:val="en-US" w:bidi="en-US"/>
          <w:color w:val="111111"/>
          <w:sz w:val="28"/>
          <w:szCs w:val="28"/>
          <w:rtl/>
        </w:rPr>
        <w:t xml:space="preserve">(ferdowsī xorāsānī, ‘abd-ol-lāh (- 20c)</w:t>
      </w:r>
    </w:p>
    <w:p>
      <w:pPr>
        <w:pStyle w:val="BookText"/>
      </w:pPr>
      <w:r>
        <w:rPr>
          <w:rFonts w:ascii="IRNazanin" w:hAnsi="IRNazanin" w:eastAsia="IRNazanin" w:cs="IRNazanin"/>
          <w:lang w:bidi="fa-IR"/>
          <w:color w:val="111111"/>
          <w:sz w:val="28"/>
          <w:szCs w:val="28"/>
          <w:rtl/>
        </w:rPr>
        <w:t xml:space="preserve">رساله در پنج «مطلب» و یک «مؤخره» و یک «خاتمه» و یـک «تذییل» است. پس از گسترش رادیو در ایران در روا بودن موسیقی نگاشته شده است.</w:t>
      </w:r>
    </w:p>
    <w:p>
      <w:pPr>
        <w:pStyle w:val="BookText"/>
      </w:pPr>
      <w:r>
        <w:rPr>
          <w:rFonts w:ascii="Amiri" w:hAnsi="Amiri" w:eastAsia="Amiri" w:cs="Amiri"/>
          <w:lang w:bidi="ar-SA"/>
          <w:color w:val="111111"/>
          <w:sz w:val="28"/>
          <w:szCs w:val="28"/>
          <w:rtl/>
        </w:rPr>
        <w:t xml:space="preserve">تهران؛ دائرة المعارف شماره نسخه: ۵۸۶</w:t>
      </w:r>
    </w:p>
    <w:p>
      <w:pPr>
        <w:pStyle w:val="BookText"/>
      </w:pPr>
      <w:r>
        <w:rPr>
          <w:rFonts w:ascii="IRNazanin" w:hAnsi="IRNazanin" w:eastAsia="IRNazanin" w:cs="IRNazanin"/>
          <w:lang w:bidi="fa-IR"/>
          <w:color w:val="111111"/>
          <w:sz w:val="28"/>
          <w:szCs w:val="28"/>
          <w:rtl/>
        </w:rPr>
        <w:t xml:space="preserve">آغاز: بسمله، حمد و سپاس سامع الاصواتی را سزاست که ساکنان افلاک به تقدیسش؛ انجام: که مرا سخت ایام به هم بر زده است.</w:t>
      </w:r>
    </w:p>
    <w:p>
      <w:pPr>
        <w:pStyle w:val="BookText"/>
      </w:pPr>
      <w:r>
        <w:rPr>
          <w:rFonts w:ascii="IRNazanin" w:hAnsi="IRNazanin" w:eastAsia="IRNazanin" w:cs="IRNazanin"/>
          <w:lang w:bidi="fa-IR"/>
          <w:color w:val="111111"/>
          <w:sz w:val="28"/>
          <w:szCs w:val="28"/>
          <w:rtl/>
        </w:rPr>
        <w:t xml:space="preserve">خط: نستعلیق  تحریری، بی کا، تا: ۲۲ تیر  1323خ/ 21رجب 1363؛فاقد جلد، ۴۳ ص ۱۵ سطر (۶/۵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۲ - ۱۵]</w:t>
      </w:r>
    </w:p>
    <w:p>
      <w:pPr>
        <w:pStyle w:val="Heading3"/>
      </w:pPr>
      <w:bookmarkStart w:id="1595" w:name="_Toc1117"/>
      <w:r>
        <w:t>اسلام و هیئت / هیئت / فارسی</w:t>
      </w:r>
      <w:bookmarkEnd w:id="1595"/>
    </w:p>
    <w:p>
      <w:pPr>
        <w:pStyle w:val="BookText"/>
      </w:pPr>
      <w:r>
        <w:rPr>
          <w:rFonts w:ascii="Times New Roman" w:hAnsi="Times New Roman" w:eastAsia="Times New Roman" w:cs="Times New Roman"/>
          <w:lang w:val="en-US" w:bidi="en-US"/>
          <w:color w:val="111111"/>
          <w:sz w:val="28"/>
          <w:szCs w:val="28"/>
          <w:rtl/>
        </w:rPr>
        <w:t xml:space="preserve">eslām va hey❜at</w:t>
      </w:r>
    </w:p>
    <w:p>
      <w:pPr>
        <w:pStyle w:val="BookText"/>
      </w:pPr>
      <w:r>
        <w:rPr>
          <w:rFonts w:ascii="IRNazanin" w:hAnsi="IRNazanin" w:eastAsia="IRNazanin" w:cs="IRNazanin"/>
          <w:lang w:bidi="fa-IR"/>
          <w:color w:val="111111"/>
          <w:sz w:val="28"/>
          <w:szCs w:val="28"/>
          <w:rtl/>
        </w:rPr>
        <w:t xml:space="preserve">فردوسی فراهانی، میرزا  اسماعیل، ق ۱۴ قمری</w:t>
      </w:r>
    </w:p>
    <w:p>
      <w:pPr>
        <w:pStyle w:val="BookText"/>
      </w:pPr>
      <w:r>
        <w:rPr>
          <w:rFonts w:ascii="Times New Roman" w:hAnsi="Times New Roman" w:eastAsia="Times New Roman" w:cs="Times New Roman"/>
          <w:lang w:val="en-US" w:bidi="en-US"/>
          <w:color w:val="111111"/>
          <w:sz w:val="28"/>
          <w:szCs w:val="28"/>
          <w:rtl/>
        </w:rPr>
        <w:t xml:space="preserve">(ferdowsī farāhānī, mirzā esmā īl (- 20c)</w:t>
      </w:r>
    </w:p>
    <w:p>
      <w:pPr>
        <w:pStyle w:val="BookText"/>
      </w:pPr>
      <w:r>
        <w:rPr>
          <w:rFonts w:ascii="IRNazanin" w:hAnsi="IRNazanin" w:eastAsia="IRNazanin" w:cs="IRNazanin"/>
          <w:lang w:bidi="fa-IR"/>
          <w:color w:val="111111"/>
          <w:sz w:val="28"/>
          <w:szCs w:val="28"/>
          <w:rtl/>
        </w:rPr>
        <w:t xml:space="preserve">ترجمه كتاب «الهيئة و الاسلام» سيد هبة الدین شهرستانی می باشد.</w:t>
      </w:r>
    </w:p>
    <w:p>
      <w:pPr>
        <w:pStyle w:val="BookText"/>
      </w:pPr>
      <w:r>
        <w:rPr>
          <w:rFonts w:ascii="IRNazanin" w:hAnsi="IRNazanin" w:eastAsia="IRNazanin" w:cs="IRNazanin"/>
          <w:lang w:bidi="fa-IR"/>
          <w:color w:val="111111"/>
          <w:sz w:val="28"/>
          <w:szCs w:val="28"/>
          <w:rtl/>
        </w:rPr>
        <w:t xml:space="preserve">قم؛ امام صادق؛ شماره نسخه: ۱۰۴</w:t>
      </w:r>
    </w:p>
    <w:p>
      <w:pPr>
        <w:pStyle w:val="BookText"/>
      </w:pPr>
      <w:r>
        <w:rPr>
          <w:rFonts w:ascii="IRNazanin" w:hAnsi="IRNazanin" w:eastAsia="IRNazanin" w:cs="IRNazanin"/>
          <w:lang w:bidi="fa-IR"/>
          <w:color w:val="111111"/>
          <w:sz w:val="28"/>
          <w:szCs w:val="28"/>
          <w:rtl/>
        </w:rPr>
        <w:t xml:space="preserve">خط: نستعلیق، کا: سید اسماعیل رسولزاده خوی، بی تا، از روی نسخه چاپی استنساخ شده و به تاریخ ۱۵ شعبان ۱۳۸۴ آن را به کتابخانه مکتب اسلام - قم اهداء کرده است؛ جلد: مقوایی عطف و گوشه ها تیماج قهوه ای، ۱۴۱گ، ۱۸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۲۰سم[ف: ۸۱]</w:t>
      </w:r>
    </w:p>
    <w:p>
      <w:pPr>
        <w:pStyle w:val="Heading3"/>
      </w:pPr>
      <w:bookmarkStart w:id="1596" w:name="_Toc1118"/>
      <w:r>
        <w:t>اسلامیه / شعر / فارسی</w:t>
      </w:r>
      <w:bookmarkEnd w:id="1596"/>
    </w:p>
    <w:p>
      <w:pPr>
        <w:pStyle w:val="BookText"/>
      </w:pPr>
      <w:r>
        <w:rPr>
          <w:rFonts w:ascii="Times New Roman" w:hAnsi="Times New Roman" w:eastAsia="Times New Roman" w:cs="Times New Roman"/>
          <w:lang w:val="en-US" w:bidi="en-US"/>
          <w:color w:val="111111"/>
          <w:sz w:val="28"/>
          <w:szCs w:val="28"/>
          <w:rtl/>
        </w:rPr>
        <w:t xml:space="preserve">eslāmīye</w:t>
      </w:r>
    </w:p>
    <w:p>
      <w:pPr>
        <w:pStyle w:val="BookText"/>
      </w:pPr>
      <w:r>
        <w:rPr>
          <w:rFonts w:ascii="IRNazanin" w:hAnsi="IRNazanin" w:eastAsia="IRNazanin" w:cs="IRNazanin"/>
          <w:lang w:bidi="fa-IR"/>
          <w:color w:val="111111"/>
          <w:sz w:val="28"/>
          <w:szCs w:val="28"/>
          <w:rtl/>
        </w:rPr>
        <w:t xml:space="preserve">؟ نجم الدین کبری، احمد بن عمر، ۵۴۰-۶۱۸؟ قمری</w:t>
      </w:r>
    </w:p>
    <w:p>
      <w:pPr>
        <w:pStyle w:val="BookText"/>
      </w:pPr>
      <w:r>
        <w:rPr>
          <w:rFonts w:ascii="Times New Roman" w:hAnsi="Times New Roman" w:eastAsia="Times New Roman" w:cs="Times New Roman"/>
          <w:lang w:val="en-US" w:bidi="en-US"/>
          <w:color w:val="111111"/>
          <w:sz w:val="28"/>
          <w:szCs w:val="28"/>
          <w:rtl/>
        </w:rPr>
        <w:t xml:space="preserve">(1222-najm-od-dīn-e kobra, ahmad ebn-e 'omar (1146</w:t>
      </w:r>
    </w:p>
    <w:p>
      <w:pPr>
        <w:pStyle w:val="BookText"/>
      </w:pPr>
      <w:r>
        <w:rPr>
          <w:rFonts w:ascii="IRNazanin" w:hAnsi="IRNazanin" w:eastAsia="IRNazanin" w:cs="IRNazanin"/>
          <w:lang w:bidi="fa-IR"/>
          <w:color w:val="111111"/>
          <w:sz w:val="28"/>
          <w:szCs w:val="28"/>
          <w:rtl/>
        </w:rPr>
        <w:t xml:space="preserve">منسوب به شیخ نجم الدین کبری و یا عطار نیشابوری. رساله ای منظوم در فروع دین دارای داستان های کوتاه با مضمون های اخلاقی و عرفانی.</w:t>
      </w:r>
    </w:p>
    <w:p>
      <w:pPr>
        <w:pStyle w:val="BookText"/>
      </w:pPr>
      <w:r>
        <w:rPr>
          <w:rFonts w:ascii="IRNazanin" w:hAnsi="IRNazanin" w:eastAsia="IRNazanin" w:cs="IRNazanin"/>
          <w:lang w:bidi="fa-IR"/>
          <w:color w:val="111111"/>
          <w:sz w:val="28"/>
          <w:szCs w:val="28"/>
          <w:rtl/>
        </w:rPr>
        <w:t xml:space="preserve">آغاز: حمد نامعدود آن معبود را *** آنکه ما را میدهد بهبود را</w:t>
      </w:r>
    </w:p>
    <w:p>
      <w:pPr>
        <w:pStyle w:val="BookText"/>
      </w:pPr>
      <w:r>
        <w:rPr>
          <w:rFonts w:ascii="IRNazanin" w:hAnsi="IRNazanin" w:eastAsia="IRNazanin" w:cs="IRNazanin"/>
          <w:lang w:bidi="fa-IR"/>
          <w:color w:val="111111"/>
          <w:sz w:val="28"/>
          <w:szCs w:val="28"/>
          <w:rtl/>
        </w:rPr>
        <w:t xml:space="preserve">انجام: چون بدو شد کار اسلامت تمام *** کردم اسلامیه نامش و  السلام</w:t>
      </w:r>
    </w:p>
    <w:p>
      <w:pPr>
        <w:pStyle w:val="BookText"/>
      </w:pPr>
      <w:r>
        <w:rPr>
          <w:rFonts w:ascii="IRNazanin" w:hAnsi="IRNazanin" w:eastAsia="IRNazanin" w:cs="IRNazanin"/>
          <w:lang w:bidi="fa-IR"/>
          <w:color w:val="111111"/>
          <w:sz w:val="28"/>
          <w:szCs w:val="28"/>
          <w:rtl/>
        </w:rPr>
        <w:t xml:space="preserve">[دنا ۸۱۷/۱۰؛ فهرستواره منزوی ۱۹۵/۱۰]</w:t>
      </w:r>
    </w:p>
    <w:p>
      <w:pPr>
        <w:pStyle w:val="BookText"/>
      </w:pPr>
      <w:r>
        <w:rPr>
          <w:rFonts w:ascii="IRNazanin" w:hAnsi="IRNazanin" w:eastAsia="IRNazanin" w:cs="IRNazanin"/>
          <w:lang w:bidi="fa-IR"/>
          <w:color w:val="111111"/>
          <w:sz w:val="28"/>
          <w:szCs w:val="28"/>
          <w:rtl/>
        </w:rPr>
        <w:t xml:space="preserve">۱. تهران؛ مینوی؛ شماره نسخه: ۸۴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قرن ۱۰ :تملک: مصطفی بن محمد فرزدق در ۱ محرم ۱۰۵۰ [ نشریه: ۶ - ۶۴۷]</w:t>
      </w:r>
    </w:p>
    <w:p>
      <w:pPr>
        <w:pStyle w:val="BookText"/>
      </w:pPr>
      <w:r>
        <w:rPr>
          <w:rFonts w:ascii="IRNazanin" w:hAnsi="IRNazanin" w:eastAsia="IRNazanin" w:cs="IRNazanin"/>
          <w:lang w:bidi="fa-IR"/>
          <w:color w:val="111111"/>
          <w:sz w:val="28"/>
          <w:szCs w:val="28"/>
          <w:rtl/>
        </w:rPr>
        <w:t xml:space="preserve">۲. یزد؛ وزیری؛ شماره نسخه: ۳۸۰۴/۳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در فهرست از عطار دانسته شده؛ خط: نسخ مایل به نستعلیق، بی کا، بی تا ؛کاغذ ،فرنگی ،جلد ،مقوایی، ۱۴ص (۳۱-۴۴)، ابعاد متن: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۵ – ۱۸۰۲]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329" w:name="pg20365_260459"/>
    <w:bookmarkEnd w:id="329"/>
    <w:p>
      <w:pPr>
        <w:pStyle w:val="Heading3"/>
      </w:pPr>
      <w:bookmarkStart w:id="1597" w:name="_Toc1119"/>
      <w:r>
        <w:t>اسلحه آتشین / کلام و اعتقادات / فارسی</w:t>
      </w:r>
      <w:bookmarkEnd w:id="1597"/>
    </w:p>
    <w:p>
      <w:pPr>
        <w:pStyle w:val="BookText"/>
      </w:pPr>
      <w:r>
        <w:rPr>
          <w:rFonts w:ascii="Times New Roman" w:hAnsi="Times New Roman" w:eastAsia="Times New Roman" w:cs="Times New Roman"/>
          <w:lang w:val="en-US" w:bidi="en-US"/>
          <w:color w:val="111111"/>
          <w:sz w:val="28"/>
          <w:szCs w:val="28"/>
          <w:rtl/>
        </w:rPr>
        <w:t xml:space="preserve">aslahe-ye ātašīn</w:t>
      </w:r>
    </w:p>
    <w:p>
      <w:pPr>
        <w:pStyle w:val="BookText"/>
      </w:pPr>
      <w:r>
        <w:rPr>
          <w:rFonts w:ascii="IRNazanin" w:hAnsi="IRNazanin" w:eastAsia="IRNazanin" w:cs="IRNazanin"/>
          <w:lang w:bidi="fa-IR"/>
          <w:color w:val="111111"/>
          <w:sz w:val="28"/>
          <w:szCs w:val="28"/>
          <w:rtl/>
        </w:rPr>
        <w:t xml:space="preserve">محسنی کبیر، ذبیح الله، ق۱۴ قمری</w:t>
      </w:r>
    </w:p>
    <w:p>
      <w:pPr>
        <w:pStyle w:val="BookText"/>
      </w:pPr>
      <w:r>
        <w:rPr>
          <w:rFonts w:ascii="Times New Roman" w:hAnsi="Times New Roman" w:eastAsia="Times New Roman" w:cs="Times New Roman"/>
          <w:lang w:val="en-US" w:bidi="en-US"/>
          <w:color w:val="111111"/>
          <w:sz w:val="28"/>
          <w:szCs w:val="28"/>
          <w:rtl/>
        </w:rPr>
        <w:t xml:space="preserve">(mohsenī kabīr, zabīh-ol-lāh (- 20c)</w:t>
      </w:r>
    </w:p>
    <w:p>
      <w:pPr>
        <w:pStyle w:val="BookText"/>
      </w:pPr>
      <w:r>
        <w:rPr>
          <w:rFonts w:ascii="IRNazanin" w:hAnsi="IRNazanin" w:eastAsia="IRNazanin" w:cs="IRNazanin"/>
          <w:lang w:bidi="fa-IR"/>
          <w:color w:val="111111"/>
          <w:sz w:val="28"/>
          <w:szCs w:val="28"/>
          <w:rtl/>
        </w:rPr>
        <w:t xml:space="preserve">۱. مشهد؛ رضوی؛ شماره نسخه: ۲۳۶۹۲</w:t>
      </w:r>
    </w:p>
    <w:p>
      <w:pPr>
        <w:pStyle w:val="BookText"/>
      </w:pPr>
      <w:r>
        <w:rPr>
          <w:rFonts w:ascii="IRNazanin" w:hAnsi="IRNazanin" w:eastAsia="IRNazanin" w:cs="IRNazanin"/>
          <w:lang w:bidi="fa-IR"/>
          <w:color w:val="111111"/>
          <w:sz w:val="28"/>
          <w:szCs w:val="28"/>
          <w:rtl/>
        </w:rPr>
        <w:t xml:space="preserve">آغاز: بسمله الحمد لله الذي هدانا لهذا وكنا لنهتدى؛ انجام: را امید و انتظار داشته و مسئلت می نمایم</w:t>
      </w:r>
    </w:p>
    <w:p>
      <w:pPr>
        <w:pStyle w:val="BookText"/>
      </w:pPr>
      <w:r>
        <w:rPr>
          <w:rFonts w:ascii="IRNazanin" w:hAnsi="IRNazanin" w:eastAsia="IRNazanin" w:cs="IRNazanin"/>
          <w:lang w:bidi="fa-IR"/>
          <w:color w:val="111111"/>
          <w:sz w:val="28"/>
          <w:szCs w:val="28"/>
          <w:rtl/>
        </w:rPr>
        <w:t xml:space="preserve">بی کا، بی تا [ رایانه ]</w:t>
      </w:r>
    </w:p>
    <w:p>
      <w:pPr>
        <w:pStyle w:val="BookText"/>
      </w:pPr>
      <w:r>
        <w:rPr>
          <w:rFonts w:ascii="IRNazanin" w:hAnsi="IRNazanin" w:eastAsia="IRNazanin" w:cs="IRNazanin"/>
          <w:lang w:bidi="fa-IR"/>
          <w:color w:val="111111"/>
          <w:sz w:val="28"/>
          <w:szCs w:val="28"/>
          <w:rtl/>
        </w:rPr>
        <w:t xml:space="preserve">۱. مشهد؛ رضوی؛ شماره نسخه: ۲۳۶۸۵</w:t>
      </w:r>
    </w:p>
    <w:p>
      <w:pPr>
        <w:pStyle w:val="BookText"/>
      </w:pPr>
      <w:r>
        <w:rPr>
          <w:rFonts w:ascii="Amiri" w:hAnsi="Amiri" w:eastAsia="Amiri" w:cs="Amiri"/>
          <w:lang w:bidi="ar-SA"/>
          <w:color w:val="111111"/>
          <w:sz w:val="28"/>
          <w:szCs w:val="28"/>
          <w:rtl/>
        </w:rPr>
        <w:t xml:space="preserve">آغاز: بسم  الله الرحمن الرحيم الحمد لله الذي خلق الانسان علمه؛</w:t>
      </w:r>
    </w:p>
    <w:p>
      <w:pPr>
        <w:pStyle w:val="BookText"/>
      </w:pPr>
      <w:r>
        <w:rPr>
          <w:rFonts w:ascii="IRNazanin" w:hAnsi="IRNazanin" w:eastAsia="IRNazanin" w:cs="IRNazanin"/>
          <w:lang w:bidi="fa-IR"/>
          <w:color w:val="111111"/>
          <w:sz w:val="28"/>
          <w:szCs w:val="28"/>
          <w:rtl/>
        </w:rPr>
        <w:t xml:space="preserve">انجام: و هر آنی در فکر دامی قویتر می باشند</w:t>
      </w:r>
    </w:p>
    <w:p>
      <w:pPr>
        <w:pStyle w:val="BookText"/>
      </w:pPr>
      <w:r>
        <w:rPr>
          <w:rFonts w:ascii="IRNazanin" w:hAnsi="IRNazanin" w:eastAsia="IRNazanin" w:cs="IRNazanin"/>
          <w:lang w:bidi="fa-IR"/>
          <w:color w:val="111111"/>
          <w:sz w:val="28"/>
          <w:szCs w:val="28"/>
          <w:rtl/>
        </w:rPr>
        <w:t xml:space="preserve">خط: نستعلیق  تحریری، بی کا، بی تا [ رایانه ]</w:t>
      </w:r>
    </w:p>
    <w:p>
      <w:pPr>
        <w:pStyle w:val="Heading3"/>
      </w:pPr>
      <w:bookmarkStart w:id="1598" w:name="_Toc1120"/>
      <w:r>
        <w:t>اسلحه شناسی / صنعت / فارسی</w:t>
      </w:r>
      <w:bookmarkEnd w:id="1598"/>
    </w:p>
    <w:p>
      <w:pPr>
        <w:pStyle w:val="BookText"/>
      </w:pPr>
      <w:r>
        <w:rPr>
          <w:rFonts w:ascii="Times New Roman" w:hAnsi="Times New Roman" w:eastAsia="Times New Roman" w:cs="Times New Roman"/>
          <w:lang w:val="en-US" w:bidi="en-US"/>
          <w:color w:val="111111"/>
          <w:sz w:val="28"/>
          <w:szCs w:val="28"/>
          <w:rtl/>
        </w:rPr>
        <w:t xml:space="preserve">aslahe-šenāsī</w:t>
      </w:r>
    </w:p>
    <w:p>
      <w:pPr>
        <w:pStyle w:val="BookText"/>
      </w:pPr>
      <w:r>
        <w:rPr>
          <w:rFonts w:ascii="IRNazanin" w:hAnsi="IRNazanin" w:eastAsia="IRNazanin" w:cs="IRNazanin"/>
          <w:lang w:bidi="fa-IR"/>
          <w:color w:val="111111"/>
          <w:sz w:val="28"/>
          <w:szCs w:val="28"/>
          <w:rtl/>
        </w:rPr>
        <w:t xml:space="preserve">این کتاب دارای مقدمه ای است بسیار مختصر در تاریخ اسلحه و پس از آن کاوش هایی در کیفیت اسلحه سازی و به خصوص سلاح های باروتی وچگونگی به کار بردن آنها.</w:t>
      </w:r>
    </w:p>
    <w:p>
      <w:pPr>
        <w:pStyle w:val="BookText"/>
      </w:pPr>
      <w:r>
        <w:rPr>
          <w:rFonts w:ascii="IRNazanin" w:hAnsi="IRNazanin" w:eastAsia="IRNazanin" w:cs="IRNazanin"/>
          <w:lang w:bidi="fa-IR"/>
          <w:color w:val="111111"/>
          <w:sz w:val="28"/>
          <w:szCs w:val="28"/>
          <w:rtl/>
        </w:rPr>
        <w:t xml:space="preserve">آغاز: بسمله، تاریخ وضع اسلحه: محققاً نمی توان معلوم کرد  که اول دفعه کی و در چه سنه سلاح مخترع شده است</w:t>
      </w:r>
    </w:p>
    <w:p>
      <w:pPr>
        <w:pStyle w:val="BookText"/>
      </w:pPr>
      <w:r>
        <w:rPr>
          <w:rFonts w:ascii="IRNazanin" w:hAnsi="IRNazanin" w:eastAsia="IRNazanin" w:cs="IRNazanin"/>
          <w:lang w:bidi="fa-IR"/>
          <w:color w:val="111111"/>
          <w:sz w:val="28"/>
          <w:szCs w:val="28"/>
          <w:rtl/>
        </w:rPr>
        <w:t xml:space="preserve">انجام: بطور کلی ترتیب ساختن توپ... و درهمان هنگام  نیز باید وزن توپ را رعایت نمود.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گلپایگانی؛ شماره نسخه: ۳۶۶۶-۱۸/۱۸۶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نستعليق، كاتب - مؤلف، تا: قرن ۱۴؛ جلد ،مقوایی، عطف حاشیه تیماج قهوه ای، ۹۰گ، مختلف السطر،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[ف: ۱ - ۳۶۰]</w:t>
      </w:r>
    </w:p>
    <w:p>
      <w:pPr>
        <w:pStyle w:val="BookText"/>
      </w:pPr>
      <w:r>
        <w:rPr>
          <w:rFonts w:ascii="IRNazanin" w:hAnsi="IRNazanin" w:eastAsia="IRNazanin" w:cs="IRNazanin"/>
          <w:lang w:bidi="fa-IR"/>
          <w:color w:val="111111"/>
          <w:sz w:val="28"/>
          <w:szCs w:val="28"/>
          <w:rtl/>
        </w:rPr>
        <w:t xml:space="preserve">۲. تهران؛ ملی؛ شماره نسخه: ۱۰۱۳</w:t>
      </w:r>
    </w:p>
    <w:p>
      <w:pPr>
        <w:pStyle w:val="BookText"/>
      </w:pPr>
      <w:r>
        <w:rPr>
          <w:rFonts w:ascii="IRNazanin" w:hAnsi="IRNazanin" w:eastAsia="IRNazanin" w:cs="IRNazanin"/>
          <w:lang w:bidi="fa-IR"/>
          <w:color w:val="111111"/>
          <w:sz w:val="28"/>
          <w:szCs w:val="28"/>
          <w:rtl/>
        </w:rPr>
        <w:t xml:space="preserve">آغاز: برابر؛ انجام: و علاوه بر آن در تمام مدت سیر خود در حول محور طولا خواسته و آن محور تغییر ناپذیر باشد ترکیب  خانها در توپ.</w:t>
      </w:r>
    </w:p>
    <w:p>
      <w:pPr>
        <w:pStyle w:val="BookText"/>
      </w:pPr>
      <w:r>
        <w:rPr>
          <w:rFonts w:ascii="IRNazanin" w:hAnsi="IRNazanin" w:eastAsia="IRNazanin" w:cs="IRNazanin"/>
          <w:lang w:bidi="fa-IR"/>
          <w:color w:val="111111"/>
          <w:sz w:val="28"/>
          <w:szCs w:val="28"/>
          <w:rtl/>
        </w:rPr>
        <w:t xml:space="preserve">خط: شکسته نستعلیق، کا: محتملا نویسنده، تا: محتملاً قرن 13،جا: محتملاً تهران؛ حاوی تعدادی صورت از قسمت های مختلـف توپ؛ کاغذ: فرنگی ،جلد :مقوایی ۱۴۵گ، ۱۵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۵) ،اندازه: ۱۷/۵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۳ - ۱۴]</w:t>
      </w:r>
    </w:p>
    <w:p>
      <w:pPr>
        <w:pStyle w:val="Heading3"/>
      </w:pPr>
      <w:bookmarkStart w:id="1599" w:name="_Toc1121"/>
      <w:r>
        <w:t>اسلحه شناسی (توپ) / فنون نظامی / فارسی</w:t>
      </w:r>
      <w:bookmarkEnd w:id="1599"/>
    </w:p>
    <w:p>
      <w:pPr>
        <w:pStyle w:val="BookText"/>
      </w:pPr>
      <w:r>
        <w:rPr>
          <w:rFonts w:ascii="Times New Roman" w:hAnsi="Times New Roman" w:eastAsia="Times New Roman" w:cs="Times New Roman"/>
          <w:lang w:val="en-US" w:bidi="en-US"/>
          <w:color w:val="111111"/>
          <w:sz w:val="28"/>
          <w:szCs w:val="28"/>
          <w:rtl/>
        </w:rPr>
        <w:t xml:space="preserve">aslahe-šenāsī (tūp)</w:t>
      </w:r>
    </w:p>
    <w:p>
      <w:pPr>
        <w:pStyle w:val="BookText"/>
      </w:pPr>
      <w:r>
        <w:rPr>
          <w:rFonts w:ascii="IRNazanin" w:hAnsi="IRNazanin" w:eastAsia="IRNazanin" w:cs="IRNazanin"/>
          <w:lang w:bidi="fa-IR"/>
          <w:color w:val="111111"/>
          <w:sz w:val="28"/>
          <w:szCs w:val="28"/>
          <w:rtl/>
        </w:rPr>
        <w:t xml:space="preserve">نیکولای فرانسوی</w:t>
      </w:r>
    </w:p>
    <w:p>
      <w:pPr>
        <w:pStyle w:val="BookText"/>
      </w:pPr>
      <w:r>
        <w:rPr>
          <w:rFonts w:ascii="Times New Roman" w:hAnsi="Times New Roman" w:eastAsia="Times New Roman" w:cs="Times New Roman"/>
          <w:lang w:val="en-US" w:bidi="en-US"/>
          <w:color w:val="111111"/>
          <w:sz w:val="28"/>
          <w:szCs w:val="28"/>
          <w:rtl/>
        </w:rPr>
        <w:t xml:space="preserve">nīkolāy-e farānsavī</w:t>
      </w:r>
    </w:p>
    <w:p>
      <w:pPr>
        <w:pStyle w:val="BookText"/>
      </w:pPr>
      <w:r>
        <w:rPr>
          <w:rFonts w:ascii="IRNazanin" w:hAnsi="IRNazanin" w:eastAsia="IRNazanin" w:cs="IRNazanin"/>
          <w:lang w:bidi="fa-IR"/>
          <w:color w:val="111111"/>
          <w:sz w:val="28"/>
          <w:szCs w:val="28"/>
          <w:rtl/>
        </w:rPr>
        <w:t xml:space="preserve">کتاب از مسیو نیکولای فرانسوی معلم توپخانه ارتش ایران در عهد ناصر الدین شاه است. پس از یک مقدمه کوتاه ترتیب پر کردن و باز کردن و دوباره بستن اجزاء توپ و طریق عمل با آن را ضمن چند «باب» و «اجزاء» و «فصول» متعدد شرح نموده است.</w:t>
      </w:r>
    </w:p>
    <w:p>
      <w:pPr>
        <w:pStyle w:val="BookText"/>
      </w:pPr>
      <w:r>
        <w:rPr>
          <w:rFonts w:ascii="IRNazanin" w:hAnsi="IRNazanin" w:eastAsia="IRNazanin" w:cs="IRNazanin"/>
          <w:lang w:bidi="fa-IR"/>
          <w:color w:val="111111"/>
          <w:sz w:val="28"/>
          <w:szCs w:val="28"/>
          <w:rtl/>
        </w:rPr>
        <w:t xml:space="preserve">آغاز: بسم الله الرحمن الرحيم و به نستعين. الحمدلله رب العالمين و الصلوه على محمد و آله الطاهرين اما بعد چون بروزگار دولت ابد مدت شاهنشاه ظفرمند و شهریار عدو بند خدیوکامکار... همه روزه در تشیید قواعد ملت رواجی تازه و درتقویت بنیان دولت رونقی بی اندازه ظاهر و باهر شد</w:t>
      </w:r>
    </w:p>
    <w:p>
      <w:pPr>
        <w:pStyle w:val="BookText"/>
      </w:pPr>
      <w:r>
        <w:rPr>
          <w:rFonts w:ascii="IRNazanin" w:hAnsi="IRNazanin" w:eastAsia="IRNazanin" w:cs="IRNazanin"/>
          <w:lang w:bidi="fa-IR"/>
          <w:color w:val="111111"/>
          <w:sz w:val="28"/>
          <w:szCs w:val="28"/>
          <w:rtl/>
        </w:rPr>
        <w:t xml:space="preserve">انجام: وقتیکه توپ در جای تنگی بزمین بیفتد آنوقت باید جميع اجزایش را علیحدہ علیحده بلند نموده و این بسیار نادر است</w:t>
      </w:r>
    </w:p>
    <w:p>
      <w:pPr>
        <w:pStyle w:val="BookText"/>
      </w:pPr>
      <w:r>
        <w:rPr>
          <w:rFonts w:ascii="IRNazanin" w:hAnsi="IRNazanin" w:eastAsia="IRNazanin" w:cs="IRNazanin"/>
          <w:lang w:bidi="fa-IR"/>
          <w:color w:val="111111"/>
          <w:sz w:val="28"/>
          <w:szCs w:val="28"/>
          <w:rtl/>
        </w:rPr>
        <w:t xml:space="preserve">[دنا ۸۱۷/۱۰؛ فهرستواره منزوی ۳۷۸۱/۵  ]</w:t>
      </w:r>
    </w:p>
    <w:p>
      <w:pPr>
        <w:pStyle w:val="BookText"/>
      </w:pPr>
      <w:r>
        <w:rPr>
          <w:rFonts w:ascii="IRNazanin" w:hAnsi="IRNazanin" w:eastAsia="IRNazanin" w:cs="IRNazanin"/>
          <w:lang w:bidi="fa-IR"/>
          <w:color w:val="111111"/>
          <w:sz w:val="28"/>
          <w:szCs w:val="28"/>
          <w:rtl/>
        </w:rPr>
        <w:t xml:space="preserve">تبریز ؛ملی؛ شماره نسخه: ۳۴۵۳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شکسته  زیبا، بی کا، تا: ۱۲۷۷ق؛ مجدول و مذهب؛ کاغذ: آهار مهره فرنگی، جلد: چرمی ۱۱۰گ، ۱۱ سطر، اندازه:  6۱۴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۳ - ۱۰۹۵]</w:t>
      </w:r>
    </w:p>
    <w:p>
      <w:pPr>
        <w:pStyle w:val="Heading3"/>
      </w:pPr>
      <w:bookmarkStart w:id="1600" w:name="_Toc1122"/>
      <w:r>
        <w:t>الاسلوب الحكيم / بلاغت / عربي</w:t>
      </w:r>
      <w:bookmarkEnd w:id="1600"/>
    </w:p>
    <w:p>
      <w:pPr>
        <w:pStyle w:val="BookText"/>
      </w:pPr>
      <w:r>
        <w:rPr>
          <w:rFonts w:ascii="Times New Roman" w:hAnsi="Times New Roman" w:eastAsia="Times New Roman" w:cs="Times New Roman"/>
          <w:lang w:val="en-US" w:bidi="en-US"/>
          <w:color w:val="111111"/>
          <w:sz w:val="28"/>
          <w:szCs w:val="28"/>
          <w:rtl/>
        </w:rPr>
        <w:t xml:space="preserve">al-uslab-ul-hakim</w:t>
      </w:r>
    </w:p>
    <w:p>
      <w:pPr>
        <w:pStyle w:val="BookText"/>
      </w:pPr>
      <w:r>
        <w:rPr>
          <w:rFonts w:ascii="IRNazanin" w:hAnsi="IRNazanin" w:eastAsia="IRNazanin" w:cs="IRNazanin"/>
          <w:lang w:bidi="fa-IR"/>
          <w:color w:val="111111"/>
          <w:sz w:val="28"/>
          <w:szCs w:val="28"/>
          <w:rtl/>
        </w:rPr>
        <w:t xml:space="preserve">بكرى ،صدیقی، ابوالحسن محمد بن محمد، ۸۹۸؟  - ۹۵۲ قمری</w:t>
      </w:r>
    </w:p>
    <w:p>
      <w:pPr>
        <w:pStyle w:val="BookText"/>
      </w:pPr>
      <w:r>
        <w:rPr>
          <w:rFonts w:ascii="Times New Roman" w:hAnsi="Times New Roman" w:eastAsia="Times New Roman" w:cs="Times New Roman"/>
          <w:lang w:val="en-US" w:bidi="en-US"/>
          <w:color w:val="111111"/>
          <w:sz w:val="28"/>
          <w:szCs w:val="28"/>
          <w:rtl/>
        </w:rPr>
        <w:t xml:space="preserve">bakrī sadīqī, ab-ol-hasan mohammad ebn-e</w:t>
      </w:r>
    </w:p>
    <w:p>
      <w:pPr>
        <w:pStyle w:val="BookText"/>
      </w:pPr>
      <w:r>
        <w:rPr>
          <w:rFonts w:ascii="Times New Roman" w:hAnsi="Times New Roman" w:eastAsia="Times New Roman" w:cs="Times New Roman"/>
          <w:lang w:val="en-US" w:bidi="en-US"/>
          <w:color w:val="111111"/>
          <w:sz w:val="28"/>
          <w:szCs w:val="28"/>
          <w:rtl/>
        </w:rPr>
        <w:t xml:space="preserve">(mohammad (1493 - 1546)</w:t>
      </w:r>
    </w:p>
    <w:p>
      <w:pPr>
        <w:pStyle w:val="BookText"/>
      </w:pPr>
      <w:r>
        <w:rPr>
          <w:rFonts w:ascii="Times New Roman" w:hAnsi="Times New Roman" w:eastAsia="Times New Roman" w:cs="Times New Roman"/>
          <w:lang w:val="en-US" w:bidi="en-US"/>
          <w:color w:val="111111"/>
          <w:sz w:val="28"/>
          <w:szCs w:val="28"/>
          <w:rtl/>
        </w:rPr>
        <w:t xml:space="preserve">mohammad (1493 - 1546)</w:t>
      </w:r>
    </w:p>
    <w:p>
      <w:pPr>
        <w:pStyle w:val="BookText"/>
      </w:pPr>
      <w:r>
        <w:rPr>
          <w:rFonts w:ascii="IRNazanin" w:hAnsi="IRNazanin" w:eastAsia="IRNazanin" w:cs="IRNazanin"/>
          <w:lang w:bidi="fa-IR"/>
          <w:color w:val="111111"/>
          <w:sz w:val="28"/>
          <w:szCs w:val="28"/>
          <w:rtl/>
        </w:rPr>
        <w:t xml:space="preserve">تهران؛ ملک؛ شماره نسخه: ۴۲۰۵/۱۴</w:t>
      </w:r>
    </w:p>
    <w:p>
      <w:pPr>
        <w:pStyle w:val="BookText"/>
      </w:pPr>
      <w:r>
        <w:rPr>
          <w:rFonts w:ascii="Amiri" w:hAnsi="Amiri" w:eastAsia="Amiri" w:cs="Amiri"/>
          <w:lang w:bidi="ar-SA"/>
          <w:color w:val="111111"/>
          <w:sz w:val="28"/>
          <w:szCs w:val="28"/>
          <w:rtl/>
        </w:rPr>
        <w:t xml:space="preserve">آغاز: بسمله الحمد لله العليم الحكيم، والصلاة على ... و بعد فهذه رسالة رتبناها فى بيان الاسلوب  الحكيم، وتمييزه عن ساير الاساليب المعتبرة عند ارباب البلاغة منقول؛ انجام: من لطايف المعاني، كما عد فى الاسلوب الحكيم منها بل عد من المحسنات البديعية. و الله الموفق بمنه وكرمه، و غفر لكاتبها و لقاريها</w:t>
      </w:r>
    </w:p>
    <w:p>
      <w:pPr>
        <w:pStyle w:val="BookText"/>
      </w:pPr>
      <w:r>
        <w:rPr>
          <w:rFonts w:ascii="IRNazanin" w:hAnsi="IRNazanin" w:eastAsia="IRNazanin" w:cs="IRNazanin"/>
          <w:lang w:bidi="fa-IR"/>
          <w:color w:val="111111"/>
          <w:sz w:val="28"/>
          <w:szCs w:val="28"/>
          <w:rtl/>
        </w:rPr>
        <w:t xml:space="preserve">خط:نسخ، كا: محمد بن ابى المكارم سیوطی  شافعی، تا: با تاریخ ۱۰۵۸ق؛ کاغذ: فستقی ،جلد: رویه میشن ،قرمز، ۳گ (۵۳ر- ۵۵پ)، اندازه: ۱۵/۲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۷ - ۲۶۶]</w:t>
      </w:r>
    </w:p>
    <w:p>
      <w:pPr>
        <w:pStyle w:val="Heading3"/>
      </w:pPr>
      <w:bookmarkStart w:id="1601" w:name="_Toc1123"/>
      <w:r>
        <w:t>اسلوب السلوک و مطلوب الملوك / فقه / فارسی</w:t>
      </w:r>
      <w:bookmarkEnd w:id="1601"/>
    </w:p>
    <w:p>
      <w:pPr>
        <w:pStyle w:val="BookText"/>
      </w:pPr>
      <w:r>
        <w:rPr>
          <w:rFonts w:ascii="Times New Roman" w:hAnsi="Times New Roman" w:eastAsia="Times New Roman" w:cs="Times New Roman"/>
          <w:lang w:val="en-US" w:bidi="en-US"/>
          <w:color w:val="111111"/>
          <w:sz w:val="28"/>
          <w:szCs w:val="28"/>
          <w:rtl/>
        </w:rPr>
        <w:t xml:space="preserve">oslūb-os-solūk va matlub-ol-molūk</w:t>
      </w:r>
    </w:p>
    <w:p>
      <w:pPr>
        <w:pStyle w:val="BookText"/>
      </w:pPr>
      <w:r>
        <w:rPr>
          <w:rFonts w:ascii="IRNazanin" w:hAnsi="IRNazanin" w:eastAsia="IRNazanin" w:cs="IRNazanin"/>
          <w:lang w:bidi="fa-IR"/>
          <w:color w:val="111111"/>
          <w:sz w:val="28"/>
          <w:szCs w:val="28"/>
          <w:rtl/>
        </w:rPr>
        <w:t xml:space="preserve">مرعشی شوشتری، فتح الله بن محمدرضا،-۱۲۹۳ قمری</w:t>
      </w:r>
    </w:p>
    <w:p>
      <w:pPr>
        <w:pStyle w:val="BookText"/>
      </w:pPr>
      <w:r>
        <w:rPr>
          <w:rFonts w:ascii="Times New Roman" w:hAnsi="Times New Roman" w:eastAsia="Times New Roman" w:cs="Times New Roman"/>
          <w:lang w:val="en-US" w:bidi="en-US"/>
          <w:color w:val="111111"/>
          <w:sz w:val="28"/>
          <w:szCs w:val="28"/>
          <w:rtl/>
        </w:rPr>
        <w:t xml:space="preserve">(marεašī šūštarī, fath-ol-lah ebn-e mohammad-rezā (-1876)</w:t>
      </w:r>
    </w:p>
    <w:p>
      <w:pPr>
        <w:pStyle w:val="BookText"/>
      </w:pPr>
      <w:r>
        <w:rPr>
          <w:rFonts w:ascii="IRNazanin" w:hAnsi="IRNazanin" w:eastAsia="IRNazanin" w:cs="IRNazanin"/>
          <w:lang w:bidi="fa-IR"/>
          <w:color w:val="111111"/>
          <w:sz w:val="28"/>
          <w:szCs w:val="28"/>
          <w:rtl/>
        </w:rPr>
        <w:t xml:space="preserve">اهدا به: برای سید محمد باقر و به نام شاه قاجار</w:t>
      </w:r>
    </w:p>
    <w:p>
      <w:pPr>
        <w:pStyle w:val="BookText"/>
      </w:pPr>
      <w:r>
        <w:rPr>
          <w:rFonts w:ascii="IRNazanin" w:hAnsi="IRNazanin" w:eastAsia="IRNazanin" w:cs="IRNazanin"/>
          <w:lang w:bidi="fa-IR"/>
          <w:color w:val="111111"/>
          <w:sz w:val="28"/>
          <w:szCs w:val="28"/>
          <w:rtl/>
        </w:rPr>
        <w:t xml:space="preserve">تاریخ تألیف: ۱۲۴۱ق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330" w:name="pg20365_260460"/>
    <w:bookmarkEnd w:id="330"/>
    <w:p>
      <w:pPr>
        <w:pStyle w:val="BookText"/>
      </w:pPr>
      <w:r>
        <w:rPr>
          <w:rFonts w:ascii="IRNazanin" w:hAnsi="IRNazanin" w:eastAsia="IRNazanin" w:cs="IRNazanin"/>
          <w:lang w:bidi="fa-IR"/>
          <w:color w:val="111111"/>
          <w:sz w:val="28"/>
          <w:szCs w:val="28"/>
          <w:rtl/>
        </w:rPr>
        <w:t xml:space="preserve">رساله ای در آداب نماز شب در دو «باب» و هر باب دارای «مقدمه» و چهار «فصل» و «خاتمه» است. در پایان نسخه آن را به  لقب های «شمع مجلس» و «ليلة القدر» ملقب ساخته است.</w:t>
      </w:r>
    </w:p>
    <w:p>
      <w:pPr>
        <w:pStyle w:val="BookText"/>
      </w:pPr>
      <w:r>
        <w:rPr>
          <w:rFonts w:ascii="IRNazanin" w:hAnsi="IRNazanin" w:eastAsia="IRNazanin" w:cs="IRNazanin"/>
          <w:lang w:bidi="fa-IR"/>
          <w:color w:val="111111"/>
          <w:sz w:val="28"/>
          <w:szCs w:val="28"/>
          <w:rtl/>
        </w:rPr>
        <w:t xml:space="preserve">تهران؛ سپهسالار؛ شماره نسخه: ۵۶۲۶</w:t>
      </w:r>
    </w:p>
    <w:p>
      <w:pPr>
        <w:pStyle w:val="BookText"/>
      </w:pPr>
      <w:r>
        <w:rPr>
          <w:rFonts w:ascii="IRNazanin" w:hAnsi="IRNazanin" w:eastAsia="IRNazanin" w:cs="IRNazanin"/>
          <w:lang w:bidi="fa-IR"/>
          <w:color w:val="111111"/>
          <w:sz w:val="28"/>
          <w:szCs w:val="28"/>
          <w:rtl/>
        </w:rPr>
        <w:t xml:space="preserve">آغاز: ابوالفتح و الفتوح یعنی نماز شب با روح و روح را حـمد سرمدی شمع و چراغ است و صلوات ناصیات احمدی؛ انجام: و چون خاتمه بليلة القدر اتفاق شد«ليلة القدر» نيز نام این کتـاب نهادیم و آن را «شمع مجلس» لقب دادیم ... و (ختم نافع - 1241) تاریخ سالش.</w:t>
      </w:r>
    </w:p>
    <w:p>
      <w:pPr>
        <w:pStyle w:val="BookText"/>
      </w:pPr>
      <w:r>
        <w:rPr>
          <w:rFonts w:ascii="IRNazanin" w:hAnsi="IRNazanin" w:eastAsia="IRNazanin" w:cs="IRNazanin"/>
          <w:lang w:bidi="fa-IR"/>
          <w:color w:val="111111"/>
          <w:sz w:val="28"/>
          <w:szCs w:val="28"/>
          <w:rtl/>
        </w:rPr>
        <w:t xml:space="preserve">خط: نسخ، کا: محمد رضا بن عبدالرضا، تا: ۱ربیع الاول ۱۳۱۰ ق؛کاغذ: فرنگی سفید، جلد: تیماج سبز تیره ضربی یک لا، ۱۹۲گ، ۱۴  سطر،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۳ - ۱۳۳]</w:t>
      </w:r>
    </w:p>
    <w:p>
      <w:pPr>
        <w:pStyle w:val="Heading3"/>
      </w:pPr>
      <w:bookmarkStart w:id="1602" w:name="_Toc1124"/>
      <w:r>
        <w:t>الاسماء / لغت / عربی به فارسی</w:t>
      </w:r>
      <w:bookmarkEnd w:id="1602"/>
    </w:p>
    <w:p>
      <w:pPr>
        <w:pStyle w:val="BookText"/>
      </w:pPr>
      <w:r>
        <w:rPr>
          <w:rFonts w:ascii="Times New Roman" w:hAnsi="Times New Roman" w:eastAsia="Times New Roman" w:cs="Times New Roman"/>
          <w:lang w:val="en-US" w:bidi="en-US"/>
          <w:color w:val="111111"/>
          <w:sz w:val="28"/>
          <w:szCs w:val="28"/>
          <w:rtl/>
        </w:rPr>
        <w:t xml:space="preserve">al-asmā</w:t>
      </w:r>
    </w:p>
    <w:p>
      <w:pPr>
        <w:pStyle w:val="BookText"/>
      </w:pPr>
      <w:r>
        <w:rPr>
          <w:rFonts w:ascii="IRNazanin" w:hAnsi="IRNazanin" w:eastAsia="IRNazanin" w:cs="IRNazanin"/>
          <w:lang w:bidi="fa-IR"/>
          <w:color w:val="111111"/>
          <w:sz w:val="28"/>
          <w:szCs w:val="28"/>
          <w:rtl/>
        </w:rPr>
        <w:t xml:space="preserve">کتابی است در لغت عربی به فارسی که على الظاهر اصلاً منقسم بر سه «قسم» بوده است به این شرح: ١. اسماء (مبتنی بر ذکر لغات به حسب موضوع مثلاً باب الاطعمه، باب الطيور، باب البـغل و الحمار، باب الوحوش، باب الحشرات، باب  الابل، باب البـقر، باب المقادير، باب الملبوس و الحلى و الفراش، باب الكنى و غیره) ۲. افعال (مبتنی بر ذکر افعال به حسب ابواب معروف فـعل يفعل ...)؛ ٣. حروف. مؤيد الدين بن محمود حاتمی صوفی (در گذشته حدود ۷۰۰ق) کتابی به نام «کتاب الاسماء» دارد که محتمل است همین باشد.</w:t>
      </w:r>
    </w:p>
    <w:p>
      <w:pPr>
        <w:pStyle w:val="BookText"/>
      </w:pPr>
      <w:r>
        <w:rPr>
          <w:rFonts w:ascii="IRNazanin" w:hAnsi="IRNazanin" w:eastAsia="IRNazanin" w:cs="IRNazanin"/>
          <w:lang w:bidi="fa-IR"/>
          <w:color w:val="111111"/>
          <w:sz w:val="28"/>
          <w:szCs w:val="28"/>
          <w:rtl/>
        </w:rPr>
        <w:t xml:space="preserve">[دنا ۸۱۷/۱؛ نسخه های منزوی ۱۴۶۱]</w:t>
      </w:r>
    </w:p>
    <w:p>
      <w:pPr>
        <w:pStyle w:val="BookText"/>
      </w:pPr>
      <w:r>
        <w:rPr>
          <w:rFonts w:ascii="IRNazanin" w:hAnsi="IRNazanin" w:eastAsia="IRNazanin" w:cs="IRNazanin"/>
          <w:lang w:bidi="fa-IR"/>
          <w:color w:val="111111"/>
          <w:sz w:val="28"/>
          <w:szCs w:val="28"/>
          <w:rtl/>
        </w:rPr>
        <w:t xml:space="preserve">۱. مشهد؛ رضوی؛ شماره نسخه: ۱۵۵۳۱</w:t>
      </w:r>
    </w:p>
    <w:p>
      <w:pPr>
        <w:pStyle w:val="BookText"/>
      </w:pPr>
      <w:r>
        <w:rPr>
          <w:rFonts w:ascii="IRNazanin" w:hAnsi="IRNazanin" w:eastAsia="IRNazanin" w:cs="IRNazanin"/>
          <w:lang w:bidi="fa-IR"/>
          <w:color w:val="111111"/>
          <w:sz w:val="28"/>
          <w:szCs w:val="28"/>
          <w:rtl/>
        </w:rPr>
        <w:t xml:space="preserve">آغاز: وقد يقال ثوره للانثى بكر قرهب عجل كاو جوانه كاوسیر گوساله؛ انجام: ختمت- ختمنا. تمام کردم من - تمام کردیم بتوفيق ذي امر اذا شاء ممكنا ** يقول لذالك الشيء كن فيكون/ و تفسیره امرا تصعد ضبطه ** وكل عسر لو اراد يهون / ففى عام خمس بعد عشرين حجة ** و سبعمائة منها استتب قرون / الی الاتمام الكتاب تتابعت من الفض **ل من فضل الاله فنون / و  من بحره نحو المسير حفظه ** عليهم جوار انهر و عيون</w:t>
      </w:r>
    </w:p>
    <w:p>
      <w:pPr>
        <w:pStyle w:val="BookText"/>
      </w:pPr>
      <w:r>
        <w:rPr>
          <w:rFonts w:ascii="IRNazanin" w:hAnsi="IRNazanin" w:eastAsia="IRNazanin" w:cs="IRNazanin"/>
          <w:lang w:bidi="fa-IR"/>
          <w:color w:val="111111"/>
          <w:sz w:val="28"/>
          <w:szCs w:val="28"/>
          <w:rtl/>
        </w:rPr>
        <w:t xml:space="preserve">خط:نسخ، کا: عماد الدین مؤید بن احمد بن تجيب زعفرانی اخسیکتی، تا: پنج شنبه اواخر ذیقعده ۷۷۴ق، جا: سمرقند ،افتادگی: آغاز و انجام؛ به لحاظ این که اوراق آن  هیچ کدام  در جای خود نیست سقطات اواسط آن را فعلا نمی توان معین کرد، به دنبال آن كتاب «السامي في الاسامی» مشهور از تألیف ابو الفضل احمد بن محمد میدانی نیشابوری صاحب کتاب معروف «مجمع الامثال» است که ایضاً صدر و ذیل آن ساقط است ومشتمل است بر اواسط باب ۲۱ تا اواخر باب ۲۵ فى الاتباع و المزاوجة اوراق این نسخه هم مقدم و مؤخر است (در آخر قسم اسماء سه شنبه ۲۷ رمضان ۷۷۴)؛ واقف: ابن خاتون، ۱۰۶۷؛ جلد: تیماج قهوه ای تیره، ۷۰گ، ۱۲ سطر (بدون منظور داشتن ترجمه)،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 ۱۳ - ۱۸۵]</w:t>
      </w:r>
    </w:p>
    <w:p>
      <w:pPr>
        <w:pStyle w:val="Heading3"/>
      </w:pPr>
      <w:bookmarkStart w:id="1603" w:name="_Toc1125"/>
      <w:r>
        <w:t>اسماء ائمه / تاریخ معصومین / فارسی</w:t>
      </w:r>
      <w:bookmarkEnd w:id="1603"/>
    </w:p>
    <w:p>
      <w:pPr>
        <w:pStyle w:val="BookText"/>
      </w:pPr>
      <w:r>
        <w:rPr>
          <w:rFonts w:ascii="Times New Roman" w:hAnsi="Times New Roman" w:eastAsia="Times New Roman" w:cs="Times New Roman"/>
          <w:lang w:val="en-US" w:bidi="en-US"/>
          <w:color w:val="111111"/>
          <w:sz w:val="28"/>
          <w:szCs w:val="28"/>
          <w:rtl/>
        </w:rPr>
        <w:t xml:space="preserve">asmā’-e a’emme</w:t>
      </w:r>
    </w:p>
    <w:p>
      <w:pPr>
        <w:pStyle w:val="BookText"/>
      </w:pPr>
      <w:r>
        <w:rPr>
          <w:rFonts w:ascii="IRNazanin" w:hAnsi="IRNazanin" w:eastAsia="IRNazanin" w:cs="IRNazanin"/>
          <w:lang w:bidi="fa-IR"/>
          <w:color w:val="111111"/>
          <w:sz w:val="28"/>
          <w:szCs w:val="28"/>
          <w:rtl/>
        </w:rPr>
        <w:t xml:space="preserve">تهران؛ ملک؛ شماره نسخه: ۴۲۷۵/۴۲</w:t>
      </w:r>
    </w:p>
    <w:p>
      <w:pPr>
        <w:pStyle w:val="BookText"/>
      </w:pPr>
      <w:r>
        <w:rPr>
          <w:rFonts w:ascii="IRNazanin" w:hAnsi="IRNazanin" w:eastAsia="IRNazanin" w:cs="IRNazanin"/>
          <w:lang w:bidi="fa-IR"/>
          <w:color w:val="111111"/>
          <w:sz w:val="28"/>
          <w:szCs w:val="28"/>
          <w:rtl/>
        </w:rPr>
        <w:t xml:space="preserve">آغاز: از برای شناختن اسماء ائمه (علیهم السّلام)، بدانکه محمد مصطفى (صلّی اللَّهِ علیه وَ آلِهِ وَ سَلَّمَ ) برای آن گفتندی که برگزیده حق بود؛ انجام: فرمود که وی روز در همین موضع نشسته</w:t>
      </w:r>
    </w:p>
    <w:p>
      <w:pPr>
        <w:pStyle w:val="BookText"/>
      </w:pPr>
      <w:r>
        <w:rPr>
          <w:rFonts w:ascii="IRNazanin" w:hAnsi="IRNazanin" w:eastAsia="IRNazanin" w:cs="IRNazanin"/>
          <w:lang w:bidi="fa-IR"/>
          <w:color w:val="111111"/>
          <w:sz w:val="28"/>
          <w:szCs w:val="28"/>
          <w:rtl/>
        </w:rPr>
        <w:t xml:space="preserve">خط: نستعلیق، کا: گویا محمد سعید بن محمد تقی خاتون آبادی، تا: ۱۰۸۱ق؛ افتادگی: انجام [ف: ۷ - ۳۳۰]</w:t>
      </w:r>
    </w:p>
    <w:p>
      <w:pPr>
        <w:pStyle w:val="Heading3"/>
      </w:pPr>
      <w:bookmarkStart w:id="1604" w:name="_Toc1126"/>
      <w:r>
        <w:t>اسماء ائمة القراء العشر ورواتهم وطرقهم / قرائت /  عربی</w:t>
      </w:r>
      <w:bookmarkEnd w:id="1604"/>
    </w:p>
    <w:p>
      <w:pPr>
        <w:pStyle w:val="BookText"/>
      </w:pPr>
      <w:r>
        <w:rPr>
          <w:rFonts w:ascii="Times New Roman" w:hAnsi="Times New Roman" w:eastAsia="Times New Roman" w:cs="Times New Roman"/>
          <w:lang w:val="en-US" w:bidi="en-US"/>
          <w:color w:val="111111"/>
          <w:sz w:val="28"/>
          <w:szCs w:val="28"/>
          <w:rtl/>
        </w:rPr>
        <w:t xml:space="preserve">asmā'-u a'immat-il qurra'-il ašar w ruwat-i-him wa</w:t>
      </w:r>
    </w:p>
    <w:p>
      <w:pPr>
        <w:pStyle w:val="BookText"/>
      </w:pPr>
      <w:r>
        <w:rPr>
          <w:rFonts w:ascii="Times New Roman" w:hAnsi="Times New Roman" w:eastAsia="Times New Roman" w:cs="Times New Roman"/>
          <w:lang w:val="en-US" w:bidi="en-US"/>
          <w:color w:val="111111"/>
          <w:sz w:val="28"/>
          <w:szCs w:val="28"/>
          <w:rtl/>
        </w:rPr>
        <w:t xml:space="preserve">ṭuruq-i-him</w:t>
      </w:r>
    </w:p>
    <w:p>
      <w:pPr>
        <w:pStyle w:val="BookText"/>
      </w:pPr>
      <w:r>
        <w:rPr>
          <w:rFonts w:ascii="IRNazanin" w:hAnsi="IRNazanin" w:eastAsia="IRNazanin" w:cs="IRNazanin"/>
          <w:lang w:bidi="fa-IR"/>
          <w:color w:val="111111"/>
          <w:sz w:val="28"/>
          <w:szCs w:val="28"/>
          <w:rtl/>
        </w:rPr>
        <w:t xml:space="preserve">تهران؛ دانشگاه؛ شماره نسخه: ۲۴۷۵/۳-ف</w:t>
      </w:r>
    </w:p>
    <w:p>
      <w:pPr>
        <w:pStyle w:val="BookText"/>
      </w:pPr>
      <w:r>
        <w:rPr>
          <w:rFonts w:ascii="IRNazanin" w:hAnsi="IRNazanin" w:eastAsia="IRNazanin" w:cs="IRNazanin"/>
          <w:lang w:bidi="fa-IR"/>
          <w:color w:val="111111"/>
          <w:sz w:val="28"/>
          <w:szCs w:val="28"/>
          <w:rtl/>
        </w:rPr>
        <w:t xml:space="preserve">نسخه اصل: نسخه آقای حاج سید ابوالفضل سعید ریحان یزدی؛بی کا، بی تا؛ ۱ص [فیلم ها-ف: ۱ - ۷۰۰]</w:t>
      </w:r>
    </w:p>
    <w:p>
      <w:pPr>
        <w:pStyle w:val="Heading3"/>
      </w:pPr>
      <w:bookmarkStart w:id="1605" w:name="_Toc1127"/>
      <w:r>
        <w:t>اسماء الائمة المعصومين بالحروف الابجد = استخراج اسماء ائمة / علوم غريبه / عربي</w:t>
      </w:r>
      <w:bookmarkEnd w:id="1605"/>
    </w:p>
    <w:p>
      <w:pPr>
        <w:pStyle w:val="BookText"/>
      </w:pPr>
      <w:r>
        <w:rPr>
          <w:rFonts w:ascii="Times New Roman" w:hAnsi="Times New Roman" w:eastAsia="Times New Roman" w:cs="Times New Roman"/>
          <w:lang w:val="en-US" w:bidi="en-US"/>
          <w:color w:val="111111"/>
          <w:sz w:val="28"/>
          <w:szCs w:val="28"/>
          <w:rtl/>
        </w:rPr>
        <w:t xml:space="preserve">asma-ul-a'immat-il-maşümin bi-l-huruf-il-abjad</w:t>
      </w:r>
    </w:p>
    <w:p>
      <w:pPr>
        <w:pStyle w:val="BookText"/>
      </w:pPr>
      <w:r>
        <w:rPr>
          <w:rFonts w:ascii="IRNazanin" w:hAnsi="IRNazanin" w:eastAsia="IRNazanin" w:cs="IRNazanin"/>
          <w:lang w:bidi="fa-IR"/>
          <w:color w:val="111111"/>
          <w:sz w:val="28"/>
          <w:szCs w:val="28"/>
          <w:rtl/>
        </w:rPr>
        <w:t xml:space="preserve">حسنی حسینی محمد بن منصور، ق ۱۱ قمری</w:t>
      </w:r>
    </w:p>
    <w:p>
      <w:pPr>
        <w:pStyle w:val="BookText"/>
      </w:pPr>
      <w:r>
        <w:rPr>
          <w:rFonts w:ascii="Times New Roman" w:hAnsi="Times New Roman" w:eastAsia="Times New Roman" w:cs="Times New Roman"/>
          <w:lang w:val="en-US" w:bidi="en-US"/>
          <w:color w:val="111111"/>
          <w:sz w:val="28"/>
          <w:szCs w:val="28"/>
          <w:rtl/>
        </w:rPr>
        <w:t xml:space="preserve">(sadr-ol-hoseynī, mohammad ebn-e mansur (- 17c)</w:t>
      </w:r>
    </w:p>
    <w:p>
      <w:pPr>
        <w:pStyle w:val="BookText"/>
      </w:pPr>
      <w:r>
        <w:rPr>
          <w:rFonts w:ascii="IRNazanin" w:hAnsi="IRNazanin" w:eastAsia="IRNazanin" w:cs="IRNazanin"/>
          <w:lang w:bidi="fa-IR"/>
          <w:color w:val="111111"/>
          <w:sz w:val="28"/>
          <w:szCs w:val="28"/>
          <w:rtl/>
        </w:rPr>
        <w:t xml:space="preserve">اسماء امامان شیعه را با اعداد ابجدی استخراج کرده است و با القاب آنها و نیز با اسماء آنها که در تورات و صحف انبياء پیشین آمده تطبیق نموده است. رساله ای به فارسی با نام «الاثنی عشریه» است که شباهت تام از جهت آغاز و موضوع با این رساله دارد.</w:t>
      </w:r>
    </w:p>
    <w:p>
      <w:pPr>
        <w:pStyle w:val="BookText"/>
      </w:pPr>
      <w:r>
        <w:rPr>
          <w:rFonts w:ascii="IRNazanin" w:hAnsi="IRNazanin" w:eastAsia="IRNazanin" w:cs="IRNazanin"/>
          <w:lang w:bidi="fa-IR"/>
          <w:color w:val="111111"/>
          <w:sz w:val="28"/>
          <w:szCs w:val="28"/>
          <w:rtl/>
        </w:rPr>
        <w:t xml:space="preserve">آغاز: بسمله و به نستعين الله الحمد و صلواته على محمد و آله ..  يقول...  محمد بن منصور بن صدر الحسيني انی هدیت بخاطر غیبی...الى سر عجیب غريب ما سبقني احمد بها قبل ...  وتفردت باستخراجه ان اسماء الائمة المعصومين على هذا الترتيب</w:t>
      </w:r>
    </w:p>
    <w:p>
      <w:pPr>
        <w:pStyle w:val="BookText"/>
      </w:pPr>
      <w:r>
        <w:rPr>
          <w:rFonts w:ascii="Amiri" w:hAnsi="Amiri" w:eastAsia="Amiri" w:cs="Amiri"/>
          <w:lang w:bidi="ar-SA"/>
          <w:color w:val="111111"/>
          <w:sz w:val="28"/>
          <w:szCs w:val="28"/>
          <w:rtl/>
        </w:rPr>
        <w:t xml:space="preserve">انجام: اقول كفى بهذا الحال عبرة و تذكرة لاولى الالباب و اوضح الدلائل و اظهر المعجزات و اتم العلامات على صحة ولايتهم و استحقاقهم للامامة و ما يتذكر الا اولوا الالباب و ما يعقلها الا العالمون</w:t>
      </w:r>
    </w:p>
    <w:p>
      <w:pPr>
        <w:pStyle w:val="BookText"/>
      </w:pPr>
      <w:r>
        <w:rPr>
          <w:rFonts w:ascii="IRNazanin" w:hAnsi="IRNazanin" w:eastAsia="IRNazanin" w:cs="IRNazanin"/>
          <w:lang w:bidi="fa-IR"/>
          <w:color w:val="111111"/>
          <w:sz w:val="28"/>
          <w:szCs w:val="28"/>
          <w:rtl/>
        </w:rPr>
        <w:t xml:space="preserve">[دنا 1/ 817(2 نسخه]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331" w:name="pg20365_260461"/>
    <w:bookmarkEnd w:id="331"/>
    <w:p>
      <w:pPr>
        <w:pStyle w:val="BookText"/>
      </w:pPr>
      <w:r>
        <w:rPr>
          <w:rFonts w:ascii="IRNazanin" w:hAnsi="IRNazanin" w:eastAsia="IRNazanin" w:cs="IRNazanin"/>
          <w:lang w:bidi="fa-IR"/>
          <w:color w:val="111111"/>
          <w:sz w:val="28"/>
          <w:szCs w:val="28"/>
          <w:rtl/>
        </w:rPr>
        <w:t xml:space="preserve">۱. قم؛ مرعشی؛ شماره نسخه: ۱۳۴۰۰/۴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۱۱؛ افزوگی هایی در ادعیه منسوب به انبیاء و توسل بر ائمه طاهرین در چهار برگ بعد از انجام آمده است؛ کاغذ: فرنگی، جلد: تیماج قهوه ای  ضربی، ۲گ (۱۰۶پ- ۱۰۷ ر) ، ۱۳ 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 اندازه: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۱۵/۵سم [ف: ۳۳ - ۶۸۵]</w:t>
      </w:r>
    </w:p>
    <w:p>
      <w:pPr>
        <w:pStyle w:val="BookText"/>
      </w:pPr>
      <w:r>
        <w:rPr>
          <w:rFonts w:ascii="IRNazanin" w:hAnsi="IRNazanin" w:eastAsia="IRNazanin" w:cs="IRNazanin"/>
          <w:lang w:bidi="fa-IR"/>
          <w:color w:val="111111"/>
          <w:sz w:val="28"/>
          <w:szCs w:val="28"/>
          <w:rtl/>
        </w:rPr>
        <w:t xml:space="preserve">۲. مشهد؛ الهیات؛ شماره نسخه: ۱۴۸۲۶/۸</w:t>
      </w:r>
    </w:p>
    <w:p>
      <w:pPr>
        <w:pStyle w:val="BookText"/>
      </w:pPr>
      <w:r>
        <w:rPr>
          <w:rFonts w:ascii="IRNazanin" w:hAnsi="IRNazanin" w:eastAsia="IRNazanin" w:cs="IRNazanin"/>
          <w:lang w:bidi="fa-IR"/>
          <w:color w:val="111111"/>
          <w:sz w:val="28"/>
          <w:szCs w:val="28"/>
          <w:rtl/>
        </w:rPr>
        <w:t xml:space="preserve">خط: نستعلیق، بی کا، تا: با تاریخ ۱۱۷۹ق [ف: ۲ - ۱۲۹]</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مجلس؛ شماره نسخه: ۱۲۳۱/۷۳ طباطیائی</w:t>
      </w:r>
    </w:p>
    <w:p>
      <w:pPr>
        <w:pStyle w:val="BookText"/>
      </w:pPr>
      <w:r>
        <w:rPr>
          <w:rFonts w:ascii="IRNazanin" w:hAnsi="IRNazanin" w:eastAsia="IRNazanin" w:cs="IRNazanin"/>
          <w:lang w:bidi="fa-IR"/>
          <w:color w:val="111111"/>
          <w:sz w:val="28"/>
          <w:szCs w:val="28"/>
          <w:rtl/>
        </w:rPr>
        <w:t xml:space="preserve">بی کا، بی تا؛در ضمن «ویرانه» به شماره ۱۲۳۱/۷۳ آمده اسـت؛ 1ص ( ۳۸۰) [ ف : ۲۳ - ۸۴۶]</w:t>
      </w:r>
    </w:p>
    <w:p>
      <w:pPr>
        <w:pStyle w:val="BookText"/>
      </w:pPr>
      <w:r>
        <w:rPr>
          <w:rFonts w:ascii="IRNazanin" w:hAnsi="IRNazanin" w:eastAsia="IRNazanin" w:cs="IRNazanin"/>
          <w:lang w:bidi="fa-IR"/>
          <w:color w:val="111111"/>
          <w:sz w:val="28"/>
          <w:szCs w:val="28"/>
          <w:rtl/>
        </w:rPr>
        <w:t xml:space="preserve">۴. تهران؛ دانشگاه؛ شماره نسخه: ۱۰۸۶۶/۵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بی کا، بی تا؛ جلد: تیماج قهوه ای ۲گ (۱۰۳ پ- ۱۰۴ر)، اندازه:۲۰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۲۹سم [ف : ۲۰ - ۴۳۵]</w:t>
      </w:r>
    </w:p>
    <w:p>
      <w:pPr>
        <w:pStyle w:val="BookText"/>
      </w:pPr>
      <w:r>
        <w:rPr>
          <w:rFonts w:ascii="IRNazanin" w:hAnsi="IRNazanin" w:eastAsia="IRNazanin" w:cs="IRNazanin"/>
          <w:lang w:bidi="fa-IR"/>
          <w:color w:val="111111"/>
          <w:sz w:val="28"/>
          <w:szCs w:val="28"/>
          <w:rtl/>
        </w:rPr>
        <w:t xml:space="preserve">۵. تهران؛ دانشگاه؛ شماره نسخه: ۲۱۴۵/۲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بی کا، بی تا ؛کاغذ: سپاهانی  زرد ،جلد: پارچه زری روزگار صفویان با پیکره های پرندگان و اژدها و گل و بوته در زمینه آبی با رنگ های دیگر درون با پیکره های جانوران مانند آهو و پلنـگ با گل و بوته آراسته بزر در روی میشن  سرخ، اص (۶۴)،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۲۴سم [ف: ۹ - ۸۳۷]</w:t>
      </w:r>
    </w:p>
    <w:p>
      <w:pPr>
        <w:pStyle w:val="BookText"/>
      </w:pPr>
      <w:r>
        <w:rPr>
          <w:rFonts w:ascii="IRNazanin" w:hAnsi="IRNazanin" w:eastAsia="IRNazanin" w:cs="IRNazanin"/>
          <w:lang w:bidi="fa-IR"/>
          <w:color w:val="111111"/>
          <w:sz w:val="28"/>
          <w:szCs w:val="28"/>
          <w:rtl/>
        </w:rPr>
        <w:t xml:space="preserve">۶. مشهد؛ گوهر شاد؛ شماره نسخه: ۱۰۱۳/۳</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کا: تقى الدين محمد تقی بن نظام الدین محمود شیرازی انصاری، بی تا؛ مهر: حاج سید سعید؛ کاغذ: اصفهانی، جلد: تیماج عنـابی ضربی  لولایی، ۲گ (۱۰۶-۱۰۷)، ۱۱-۱۵ سطر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۱۱/۵) ،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۳ - ۱۳۸۳]</w:t>
      </w:r>
    </w:p>
    <w:p>
      <w:pPr>
        <w:pStyle w:val="Heading3"/>
      </w:pPr>
      <w:bookmarkStart w:id="1606" w:name="_Toc1128"/>
      <w:r>
        <w:t>اسماء الائمة عليهم السلام / تاریخ پیامبراکرم (صلّی اللَّهِ علیه وَ آلِهِ وَ سَلَّمَ ) / عربی</w:t>
      </w:r>
      <w:bookmarkEnd w:id="1606"/>
    </w:p>
    <w:p>
      <w:pPr>
        <w:pStyle w:val="BookText"/>
      </w:pPr>
      <w:r>
        <w:rPr>
          <w:rFonts w:ascii="Times New Roman" w:hAnsi="Times New Roman" w:eastAsia="Times New Roman" w:cs="Times New Roman"/>
          <w:lang w:val="en-US" w:bidi="en-US"/>
          <w:color w:val="111111"/>
          <w:sz w:val="28"/>
          <w:szCs w:val="28"/>
          <w:rtl/>
        </w:rPr>
        <w:t xml:space="preserve">asmā’-ul-a’imma ‘alay-him-us-salām</w:t>
      </w:r>
    </w:p>
    <w:p>
      <w:pPr>
        <w:pStyle w:val="BookText"/>
      </w:pPr>
      <w:r>
        <w:rPr>
          <w:rFonts w:ascii="IRNazanin" w:hAnsi="IRNazanin" w:eastAsia="IRNazanin" w:cs="IRNazanin"/>
          <w:lang w:bidi="fa-IR"/>
          <w:color w:val="111111"/>
          <w:sz w:val="28"/>
          <w:szCs w:val="28"/>
          <w:rtl/>
        </w:rPr>
        <w:t xml:space="preserve">رساله کوتاهی است در بیان اسماء ائمه اثنی عشر که در روایات فریقین و دیگر کتابهای آسمانی به آن اشاره شده است. مؤلـف در این رساله از کتاب «الدمعة الساكبة» چنین نقل کرده اسـت «قال اخونا المعاصررحمه الله تعالى فى كتاب الدمعة الساكبة...» و در جای دیگر گوید «قال صاحب الكتاب اخونا رحمه الله...» همچنین از کتاب «بحار الانوار» علامه مجلسی نیز نقل نموده است.</w:t>
      </w:r>
    </w:p>
    <w:p>
      <w:pPr>
        <w:pStyle w:val="BookText"/>
      </w:pPr>
      <w:r>
        <w:rPr>
          <w:rFonts w:ascii="IRNazanin" w:hAnsi="IRNazanin" w:eastAsia="IRNazanin" w:cs="IRNazanin"/>
          <w:lang w:bidi="fa-IR"/>
          <w:color w:val="111111"/>
          <w:sz w:val="28"/>
          <w:szCs w:val="28"/>
          <w:rtl/>
        </w:rPr>
        <w:t xml:space="preserve">قم؛ مرعشی؛ شماره نسخه: ۱۳۸۹۱/۱</w:t>
      </w:r>
    </w:p>
    <w:p>
      <w:pPr>
        <w:pStyle w:val="BookText"/>
      </w:pPr>
      <w:r>
        <w:rPr>
          <w:rFonts w:ascii="IRNazanin" w:hAnsi="IRNazanin" w:eastAsia="IRNazanin" w:cs="IRNazanin"/>
          <w:lang w:bidi="fa-IR"/>
          <w:color w:val="111111"/>
          <w:sz w:val="28"/>
          <w:szCs w:val="28"/>
          <w:rtl/>
        </w:rPr>
        <w:t xml:space="preserve">آغاز: و فى المناقب لابن شهر آشوب رحمه الله تعالى ذكر و فی كتاب مولد فاطمة عليها فسلم و اظن انه؛ انجام: ها انا باركته اثمرته وكثرته بعظيم عظيم او بمحمد اثنا عشر شريفا يولدون منه و اعطيته لقوم عظيم كبير انتهى ما اردت ايراده من كلماتهم...عليه و عليهم اجمعين.</w:t>
      </w:r>
    </w:p>
    <w:p>
      <w:pPr>
        <w:pStyle w:val="BookText"/>
      </w:pPr>
      <w:r>
        <w:rPr>
          <w:rFonts w:ascii="IRNazanin" w:hAnsi="IRNazanin" w:eastAsia="IRNazanin" w:cs="IRNazanin"/>
          <w:lang w:bidi="fa-IR"/>
          <w:color w:val="111111"/>
          <w:sz w:val="28"/>
          <w:szCs w:val="28"/>
          <w:rtl/>
        </w:rPr>
        <w:t xml:space="preserve">خط: نستعلیق، بی کا، تا: قرن ۱۴ ،محشی، مصحح کاغذ: فرنگی 2گ (۱پ -2پ) ۲۳ ،سطر، اندازه: 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۳۵ - ۲۷۵]</w:t>
      </w:r>
    </w:p>
    <w:p>
      <w:pPr>
        <w:pStyle w:val="Heading3"/>
      </w:pPr>
      <w:bookmarkStart w:id="1607" w:name="_Toc1129"/>
      <w:r>
        <w:t>اسماء اباها به اصطلاح صوفیان / عرفان و تصوف / فارسی</w:t>
      </w:r>
      <w:bookmarkEnd w:id="1607"/>
    </w:p>
    <w:p>
      <w:pPr>
        <w:pStyle w:val="BookText"/>
      </w:pPr>
      <w:r>
        <w:rPr>
          <w:rFonts w:ascii="Times New Roman" w:hAnsi="Times New Roman" w:eastAsia="Times New Roman" w:cs="Times New Roman"/>
          <w:lang w:val="en-US" w:bidi="en-US"/>
          <w:color w:val="111111"/>
          <w:sz w:val="28"/>
          <w:szCs w:val="28"/>
          <w:rtl/>
        </w:rPr>
        <w:t xml:space="preserve">asmā’-e abā-hā be estelāh-e sūfīyān</w:t>
      </w:r>
    </w:p>
    <w:p>
      <w:pPr>
        <w:pStyle w:val="BookText"/>
      </w:pPr>
      <w:r>
        <w:rPr>
          <w:rFonts w:ascii="IRNazanin" w:hAnsi="IRNazanin" w:eastAsia="IRNazanin" w:cs="IRNazanin"/>
          <w:lang w:bidi="fa-IR"/>
          <w:color w:val="111111"/>
          <w:sz w:val="28"/>
          <w:szCs w:val="28"/>
          <w:rtl/>
        </w:rPr>
        <w:t xml:space="preserve">تهران؛ مجلس؛ شماره نسخه: ۱۴۵۹۰/۴۴</w:t>
      </w:r>
    </w:p>
    <w:p>
      <w:pPr>
        <w:pStyle w:val="BookText"/>
      </w:pPr>
      <w:r>
        <w:rPr>
          <w:rFonts w:ascii="IRNazanin" w:hAnsi="IRNazanin" w:eastAsia="IRNazanin" w:cs="IRNazanin"/>
          <w:lang w:bidi="fa-IR"/>
          <w:color w:val="111111"/>
          <w:sz w:val="28"/>
          <w:szCs w:val="28"/>
          <w:rtl/>
        </w:rPr>
        <w:t xml:space="preserve">آغاز: قوت الایمان نان ابو جامع خوان</w:t>
      </w:r>
    </w:p>
    <w:p>
      <w:pPr>
        <w:pStyle w:val="BookText"/>
      </w:pPr>
      <w:r>
        <w:rPr>
          <w:rFonts w:ascii="IRNazanin" w:hAnsi="IRNazanin" w:eastAsia="IRNazanin" w:cs="IRNazanin"/>
          <w:lang w:bidi="fa-IR"/>
          <w:color w:val="111111"/>
          <w:sz w:val="28"/>
          <w:szCs w:val="28"/>
          <w:rtl/>
        </w:rPr>
        <w:t xml:space="preserve">بی کا، تا: سه شنبه ۳ [احتمالا محرم] ۷۲۲ق؛ جلد: تیماج كرم قهوه ای، ۱ص (۲۳۳)، ۴۱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۳۲سم [ف: ۴۱ – ۸۰]</w:t>
      </w:r>
    </w:p>
    <w:p>
      <w:pPr>
        <w:pStyle w:val="BookText"/>
      </w:pPr>
      <w:r>
        <w:rPr>
          <w:rFonts w:ascii="IRNazanin" w:hAnsi="IRNazanin" w:eastAsia="IRNazanin" w:cs="IRNazanin"/>
          <w:lang w:bidi="fa-IR"/>
          <w:color w:val="111111"/>
          <w:sz w:val="28"/>
          <w:szCs w:val="28"/>
          <w:rtl/>
        </w:rPr>
        <w:t xml:space="preserve">«اسماء اجناس » فرهنگ یوسفی</w:t>
      </w:r>
    </w:p>
    <w:p>
      <w:pPr>
        <w:pStyle w:val="BookText"/>
      </w:pPr>
      <w:r>
        <w:rPr>
          <w:rFonts w:ascii="Amiri" w:hAnsi="Amiri" w:eastAsia="Amiri" w:cs="Amiri"/>
          <w:lang w:bidi="ar-SA"/>
          <w:color w:val="111111"/>
          <w:sz w:val="28"/>
          <w:szCs w:val="28"/>
          <w:rtl/>
        </w:rPr>
        <w:t xml:space="preserve">«اسماء الادريسية » دعوات الاسماء (دعوات صغير)</w:t>
      </w:r>
    </w:p>
    <w:p>
      <w:pPr>
        <w:pStyle w:val="Heading3"/>
      </w:pPr>
      <w:bookmarkStart w:id="1608" w:name="_Toc1130"/>
      <w:r>
        <w:t>اسماء ادريسية و قاموس قدرت و  .. / اسماء الله / فارسی</w:t>
      </w:r>
      <w:bookmarkEnd w:id="1608"/>
    </w:p>
    <w:p>
      <w:pPr>
        <w:pStyle w:val="BookText"/>
      </w:pPr>
      <w:r>
        <w:rPr>
          <w:rFonts w:ascii="Times New Roman" w:hAnsi="Times New Roman" w:eastAsia="Times New Roman" w:cs="Times New Roman"/>
          <w:lang w:val="en-US" w:bidi="en-US"/>
          <w:color w:val="111111"/>
          <w:sz w:val="28"/>
          <w:szCs w:val="28"/>
          <w:rtl/>
        </w:rPr>
        <w:t xml:space="preserve">asmā’-e edrīsīye va qāmūs-e qodrat va ...</w:t>
      </w:r>
    </w:p>
    <w:p>
      <w:pPr>
        <w:pStyle w:val="BookText"/>
      </w:pPr>
      <w:r>
        <w:rPr>
          <w:rFonts w:ascii="IRNazanin" w:hAnsi="IRNazanin" w:eastAsia="IRNazanin" w:cs="IRNazanin"/>
          <w:lang w:bidi="fa-IR"/>
          <w:color w:val="111111"/>
          <w:sz w:val="28"/>
          <w:szCs w:val="28"/>
          <w:rtl/>
        </w:rPr>
        <w:t xml:space="preserve">مجدالدین</w:t>
      </w:r>
    </w:p>
    <w:p>
      <w:pPr>
        <w:pStyle w:val="BookText"/>
      </w:pPr>
      <w:r>
        <w:rPr>
          <w:rFonts w:ascii="Times New Roman" w:hAnsi="Times New Roman" w:eastAsia="Times New Roman" w:cs="Times New Roman"/>
          <w:lang w:val="en-US" w:bidi="en-US"/>
          <w:color w:val="111111"/>
          <w:sz w:val="28"/>
          <w:szCs w:val="28"/>
          <w:rtl/>
        </w:rPr>
        <w:t xml:space="preserve">majd-od-dīn</w:t>
      </w:r>
    </w:p>
    <w:p>
      <w:pPr>
        <w:pStyle w:val="BookText"/>
      </w:pPr>
      <w:r>
        <w:rPr>
          <w:rFonts w:ascii="IRNazanin" w:hAnsi="IRNazanin" w:eastAsia="IRNazanin" w:cs="IRNazanin"/>
          <w:lang w:bidi="fa-IR"/>
          <w:color w:val="111111"/>
          <w:sz w:val="28"/>
          <w:szCs w:val="28"/>
          <w:rtl/>
        </w:rPr>
        <w:t xml:space="preserve">دارای دعاهای چهل اسم اعظم، اسماء الحسنى، دعاى قاموس دعای قریثا، دعای بشمخ دعای کمیل، دعاى استكشاف الهموم.</w:t>
      </w:r>
    </w:p>
    <w:p>
      <w:pPr>
        <w:pStyle w:val="BookText"/>
      </w:pPr>
      <w:r>
        <w:rPr>
          <w:rFonts w:ascii="IRNazanin" w:hAnsi="IRNazanin" w:eastAsia="IRNazanin" w:cs="IRNazanin"/>
          <w:lang w:bidi="fa-IR"/>
          <w:color w:val="111111"/>
          <w:sz w:val="28"/>
          <w:szCs w:val="28"/>
          <w:rtl/>
        </w:rPr>
        <w:t xml:space="preserve">قم؛ گلپایگانی؛ شماره نسخه: ۳۷۹۱-۲۱۹/۱۱</w:t>
      </w:r>
    </w:p>
    <w:p>
      <w:pPr>
        <w:pStyle w:val="BookText"/>
      </w:pPr>
      <w:r>
        <w:rPr>
          <w:rFonts w:ascii="IRNazanin" w:hAnsi="IRNazanin" w:eastAsia="IRNazanin" w:cs="IRNazanin"/>
          <w:lang w:bidi="fa-IR"/>
          <w:color w:val="111111"/>
          <w:sz w:val="28"/>
          <w:szCs w:val="28"/>
          <w:rtl/>
        </w:rPr>
        <w:t xml:space="preserve">آغاز: بسمله الحمد لله رب العاليمن... و بعد از حضرت امير المؤمنين عليه السلام روایت است که حضرت پیغمبر فرمودند که اول وحی که برادرم جبرئیل به من آورد چهل اسم اعظم بود؛ انجام: نجنی من مضلات الفتن برحمتک یا ارحم الراحمين وصلى الله على سيدنا محمد رسول الله المصطفى وآله الطاهرين</w:t>
      </w:r>
    </w:p>
    <w:p>
      <w:pPr>
        <w:pStyle w:val="BookText"/>
      </w:pPr>
      <w:r>
        <w:rPr>
          <w:rFonts w:ascii="IRNazanin" w:hAnsi="IRNazanin" w:eastAsia="IRNazanin" w:cs="IRNazanin"/>
          <w:lang w:bidi="fa-IR"/>
          <w:color w:val="111111"/>
          <w:sz w:val="28"/>
          <w:szCs w:val="28"/>
          <w:rtl/>
        </w:rPr>
        <w:t xml:space="preserve">خط: نسخ، کا: مجد الدین، تا: ۱۳۳۳ق، به دستور آقای مشیر الممالک؛ مجدول ،زر، مصحح، دارای یادداشتی به تاریخ صفر ۱۳۳۴ در طهران؛ جلد: مخمل ،نیلی، ۳۲گ، ۸ 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۶ - ۳۳۰۲]</w:t>
      </w:r>
    </w:p>
    <w:p>
      <w:pPr>
        <w:pStyle w:val="BookText"/>
      </w:pPr>
      <w:r>
        <w:rPr>
          <w:rFonts w:ascii="IRNazanin" w:hAnsi="IRNazanin" w:eastAsia="IRNazanin" w:cs="IRNazanin"/>
          <w:lang w:bidi="fa-IR"/>
          <w:color w:val="111111"/>
          <w:sz w:val="28"/>
          <w:szCs w:val="28"/>
          <w:rtl/>
        </w:rPr>
        <w:t xml:space="preserve">«اسماء ادویه » فرهنگ یوسفی</w:t>
      </w:r>
    </w:p>
    <w:p>
      <w:pPr>
        <w:pStyle w:val="Heading3"/>
      </w:pPr>
      <w:bookmarkStart w:id="1609" w:name="_Toc1131"/>
      <w:r>
        <w:t>اسماء الادوية / طب / عربي</w:t>
      </w:r>
      <w:bookmarkEnd w:id="1609"/>
    </w:p>
    <w:p>
      <w:pPr>
        <w:pStyle w:val="BookText"/>
      </w:pPr>
      <w:r>
        <w:rPr>
          <w:rFonts w:ascii="Times New Roman" w:hAnsi="Times New Roman" w:eastAsia="Times New Roman" w:cs="Times New Roman"/>
          <w:lang w:val="en-US" w:bidi="en-US"/>
          <w:color w:val="111111"/>
          <w:sz w:val="28"/>
          <w:szCs w:val="28"/>
          <w:rtl/>
        </w:rPr>
        <w:t xml:space="preserve">asmā’-ul adwīya</w:t>
      </w:r>
    </w:p>
    <w:p>
      <w:pPr>
        <w:pStyle w:val="BookText"/>
      </w:pPr>
      <w:r>
        <w:rPr>
          <w:rFonts w:ascii="IRNazanin" w:hAnsi="IRNazanin" w:eastAsia="IRNazanin" w:cs="IRNazanin"/>
          <w:lang w:bidi="fa-IR"/>
          <w:color w:val="111111"/>
          <w:sz w:val="28"/>
          <w:szCs w:val="28"/>
          <w:rtl/>
        </w:rPr>
        <w:t xml:space="preserve">غیر همانند:</w:t>
      </w:r>
    </w:p>
    <w:p>
      <w:pPr>
        <w:pStyle w:val="BookText"/>
      </w:pPr>
      <w:r>
        <w:rPr>
          <w:rFonts w:ascii="IRNazanin" w:hAnsi="IRNazanin" w:eastAsia="IRNazanin" w:cs="IRNazanin"/>
          <w:lang w:bidi="fa-IR"/>
          <w:color w:val="111111"/>
          <w:sz w:val="28"/>
          <w:szCs w:val="28"/>
          <w:rtl/>
        </w:rPr>
        <w:t xml:space="preserve">تهران سپهسالار؛ شماره نسخه: ۷۲۲/۲</w:t>
      </w:r>
    </w:p>
    <w:p>
      <w:pPr>
        <w:pStyle w:val="BookText"/>
      </w:pPr>
      <w:r>
        <w:rPr>
          <w:rFonts w:ascii="Amiri" w:hAnsi="Amiri" w:eastAsia="Amiri" w:cs="Amiri"/>
          <w:lang w:bidi="ar-SA"/>
          <w:color w:val="111111"/>
          <w:sz w:val="28"/>
          <w:szCs w:val="28"/>
          <w:rtl/>
        </w:rPr>
        <w:t xml:space="preserve">آغاز: بسمله رب سهل و تمم هذا شرح ما وقع من اسماء الادوية باليونانية. باب الالف (ا) و هو نمر السرح آبانس هو الابنوس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332" w:name="pg20365_260462"/>
    <w:bookmarkEnd w:id="332"/>
    <w:p>
      <w:pPr>
        <w:pStyle w:val="BookText"/>
      </w:pPr>
      <w:r>
        <w:rPr>
          <w:rFonts w:ascii="IRNazanin" w:hAnsi="IRNazanin" w:eastAsia="IRNazanin" w:cs="IRNazanin"/>
          <w:lang w:bidi="fa-IR"/>
          <w:color w:val="111111"/>
          <w:sz w:val="28"/>
          <w:szCs w:val="28"/>
          <w:rtl/>
        </w:rPr>
        <w:t xml:space="preserve">باليونانية ؛انجام: ظرام: هي عشبة و الله ولى ذلك، و هو الموفق و المعين. تم تفسير ما وقع في هذه الابواب بحمد الله و حسن توفیقه، و الصلاة على رسوله محمد و آله اجمعین.</w:t>
      </w:r>
    </w:p>
    <w:p>
      <w:pPr>
        <w:pStyle w:val="BookText"/>
      </w:pPr>
      <w:r>
        <w:rPr>
          <w:rFonts w:ascii="IRNazanin" w:hAnsi="IRNazanin" w:eastAsia="IRNazanin" w:cs="IRNazanin"/>
          <w:lang w:bidi="fa-IR"/>
          <w:color w:val="111111"/>
          <w:sz w:val="28"/>
          <w:szCs w:val="28"/>
          <w:rtl/>
        </w:rPr>
        <w:t xml:space="preserve">نام داروها در این کتاب به ترتیب «ابجد هوز» آمده و تفسیر شـده است؛ خط: نسخ، کا: محمد ابراهيم بن جعفر تكاور،تا: چهارشنبه ۴ ذیحجه ۱۰۸۶ق؛ کاغذ: سپاهانی، جلد: تیماج مقوایی درون ،زرد ۴۲گ (۳۱۵ پ- ۳۵۶پ)، ۲۴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۳ - ۱۳۴]</w:t>
      </w:r>
    </w:p>
    <w:p>
      <w:pPr>
        <w:pStyle w:val="BookText"/>
      </w:pPr>
      <w:r>
        <w:rPr>
          <w:rFonts w:ascii="IRNazanin" w:hAnsi="IRNazanin" w:eastAsia="IRNazanin" w:cs="IRNazanin"/>
          <w:lang w:bidi="fa-IR"/>
          <w:color w:val="111111"/>
          <w:sz w:val="28"/>
          <w:szCs w:val="28"/>
          <w:rtl/>
        </w:rPr>
        <w:t xml:space="preserve">مشهد؛ رضوی؛ شماره نسخه: ۲۴۲۴۵</w:t>
      </w:r>
    </w:p>
    <w:p>
      <w:pPr>
        <w:pStyle w:val="BookText"/>
      </w:pPr>
      <w:r>
        <w:rPr>
          <w:rFonts w:ascii="IRNazanin" w:hAnsi="IRNazanin" w:eastAsia="IRNazanin" w:cs="IRNazanin"/>
          <w:lang w:bidi="fa-IR"/>
          <w:color w:val="111111"/>
          <w:sz w:val="28"/>
          <w:szCs w:val="28"/>
          <w:rtl/>
        </w:rPr>
        <w:t xml:space="preserve">آغاز: بسمله حرف الالف ابریشم ... اذان الفيل هو؛ انجام: ولا  حول و لا قوه الا بالله العلى العظيم</w:t>
      </w:r>
    </w:p>
    <w:p>
      <w:pPr>
        <w:pStyle w:val="BookText"/>
      </w:pPr>
      <w:r>
        <w:rPr>
          <w:rFonts w:ascii="IRNazanin" w:hAnsi="IRNazanin" w:eastAsia="IRNazanin" w:cs="IRNazanin"/>
          <w:lang w:bidi="fa-IR"/>
          <w:color w:val="111111"/>
          <w:sz w:val="28"/>
          <w:szCs w:val="28"/>
          <w:rtl/>
        </w:rPr>
        <w:t xml:space="preserve">خط: نسخ، بی کا، تا: ۱۰۶۹ق؛ ضمیمه نسخه ش ۹۲۱۲ [رایانه]</w:t>
      </w:r>
    </w:p>
    <w:p>
      <w:pPr>
        <w:pStyle w:val="Heading3"/>
      </w:pPr>
      <w:bookmarkStart w:id="1610" w:name="_Toc1132"/>
      <w:r>
        <w:t>اسماء الادوية بالالسنة المختلفة / طب</w:t>
      </w:r>
      <w:bookmarkEnd w:id="1610"/>
    </w:p>
    <w:p>
      <w:pPr>
        <w:pStyle w:val="BookText"/>
      </w:pPr>
      <w:r>
        <w:rPr>
          <w:rFonts w:ascii="Times New Roman" w:hAnsi="Times New Roman" w:eastAsia="Times New Roman" w:cs="Times New Roman"/>
          <w:lang w:val="en-US" w:bidi="en-US"/>
          <w:color w:val="111111"/>
          <w:sz w:val="28"/>
          <w:szCs w:val="28"/>
          <w:rtl/>
        </w:rPr>
        <w:t xml:space="preserve">asmā’-ul adwīya bi-l-alsinat-il muxtalifa</w:t>
      </w:r>
    </w:p>
    <w:p>
      <w:pPr>
        <w:pStyle w:val="BookText"/>
      </w:pPr>
      <w:r>
        <w:rPr>
          <w:rFonts w:ascii="IRNazanin" w:hAnsi="IRNazanin" w:eastAsia="IRNazanin" w:cs="IRNazanin"/>
          <w:lang w:bidi="fa-IR"/>
          <w:color w:val="111111"/>
          <w:sz w:val="28"/>
          <w:szCs w:val="28"/>
          <w:rtl/>
        </w:rPr>
        <w:t xml:space="preserve">تهران؛ ملک؛ شماره نسخه ۴۳۸۹/۲</w:t>
      </w:r>
    </w:p>
    <w:p>
      <w:pPr>
        <w:pStyle w:val="BookText"/>
      </w:pPr>
      <w:r>
        <w:rPr>
          <w:rFonts w:ascii="IRNazanin" w:hAnsi="IRNazanin" w:eastAsia="IRNazanin" w:cs="IRNazanin"/>
          <w:lang w:bidi="fa-IR"/>
          <w:color w:val="111111"/>
          <w:sz w:val="28"/>
          <w:szCs w:val="28"/>
          <w:rtl/>
        </w:rPr>
        <w:t xml:space="preserve">به صورت جدول به فارسی و سریانی و عربی و رومی و یونانی و نزدیک است به «چارنام»؛ بی کا، تا: قرن ۱۲؛ جدول شنگرف؛ کاغذ: پسته ای ،جلد: میشن سیاه ،لایی، ۱۴ سطر، اندازه: 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۱۴/۴سم [ف: ۷ - ۳۸۱]</w:t>
      </w:r>
    </w:p>
    <w:p>
      <w:pPr>
        <w:pStyle w:val="Heading3"/>
      </w:pPr>
      <w:bookmarkStart w:id="1611" w:name="_Toc1133"/>
      <w:r>
        <w:t>اسماء الأدويه (مختصر) / طب / عربی</w:t>
      </w:r>
      <w:bookmarkEnd w:id="1611"/>
    </w:p>
    <w:p>
      <w:pPr>
        <w:pStyle w:val="BookText"/>
      </w:pPr>
      <w:r>
        <w:rPr>
          <w:rFonts w:ascii="Times New Roman" w:hAnsi="Times New Roman" w:eastAsia="Times New Roman" w:cs="Times New Roman"/>
          <w:lang w:val="en-US" w:bidi="en-US"/>
          <w:color w:val="111111"/>
          <w:sz w:val="28"/>
          <w:szCs w:val="28"/>
          <w:rtl/>
        </w:rPr>
        <w:t xml:space="preserve">(asmā’-ul adwīya (muxtaṣar)</w:t>
      </w:r>
    </w:p>
    <w:p>
      <w:pPr>
        <w:pStyle w:val="BookText"/>
      </w:pPr>
      <w:r>
        <w:rPr>
          <w:rFonts w:ascii="IRNazanin" w:hAnsi="IRNazanin" w:eastAsia="IRNazanin" w:cs="IRNazanin"/>
          <w:lang w:bidi="fa-IR"/>
          <w:color w:val="111111"/>
          <w:sz w:val="28"/>
          <w:szCs w:val="28"/>
          <w:rtl/>
        </w:rPr>
        <w:t xml:space="preserve">در بیان اسامی داروها و گیاهان شفابخش بر اساس طب قدیم.</w:t>
      </w:r>
    </w:p>
    <w:p>
      <w:pPr>
        <w:pStyle w:val="BookText"/>
      </w:pPr>
      <w:r>
        <w:rPr>
          <w:rFonts w:ascii="IRNazanin" w:hAnsi="IRNazanin" w:eastAsia="IRNazanin" w:cs="IRNazanin"/>
          <w:lang w:bidi="fa-IR"/>
          <w:color w:val="111111"/>
          <w:sz w:val="28"/>
          <w:szCs w:val="28"/>
          <w:rtl/>
        </w:rPr>
        <w:t xml:space="preserve">مؤلف اسامی داروها را به ترتیب حروف معجم مرتب نمود وپس از ذکر نام هر دارو در جای مناسب خود کار برد و نحوه مصرف آن را بیان می کند.</w:t>
      </w:r>
    </w:p>
    <w:p>
      <w:pPr>
        <w:pStyle w:val="BookText"/>
      </w:pPr>
      <w:r>
        <w:rPr>
          <w:rFonts w:ascii="IRNazanin" w:hAnsi="IRNazanin" w:eastAsia="IRNazanin" w:cs="IRNazanin"/>
          <w:lang w:bidi="fa-IR"/>
          <w:color w:val="111111"/>
          <w:sz w:val="28"/>
          <w:szCs w:val="28"/>
          <w:rtl/>
        </w:rPr>
        <w:t xml:space="preserve">قم؛ مرعشی؛ شماره نسخه: ۹۷۱ عکسی</w:t>
      </w:r>
    </w:p>
    <w:p>
      <w:pPr>
        <w:pStyle w:val="BookText"/>
      </w:pPr>
      <w:r>
        <w:rPr>
          <w:rFonts w:ascii="Amiri" w:hAnsi="Amiri" w:eastAsia="Amiri" w:cs="Amiri"/>
          <w:lang w:bidi="ar-SA"/>
          <w:color w:val="111111"/>
          <w:sz w:val="28"/>
          <w:szCs w:val="28"/>
          <w:rtl/>
        </w:rPr>
        <w:t xml:space="preserve">آغاز: الا ترج يطيب النكحة ... و يكتحل به لبياض العين و الطرفا واليرقان و دهنه للرعشة؛ انجام: و اذ خلط منها شي في الشراب  اسكر. تم الكتاب بحمد الله و عونه ... و سلم تسليماً.</w:t>
      </w:r>
    </w:p>
    <w:p>
      <w:pPr>
        <w:pStyle w:val="BookText"/>
      </w:pPr>
      <w:r>
        <w:rPr>
          <w:rFonts w:ascii="IRNazanin" w:hAnsi="IRNazanin" w:eastAsia="IRNazanin" w:cs="IRNazanin"/>
          <w:lang w:bidi="fa-IR"/>
          <w:color w:val="111111"/>
          <w:sz w:val="28"/>
          <w:szCs w:val="28"/>
          <w:rtl/>
        </w:rPr>
        <w:t xml:space="preserve">نسخه اصل: چستربیتی شماره ۴۹۵۰( اربری فهرست خطی عربی ۱۵۲/۶)؛ خط: نسخ ،بی کا، تا: قرن ۱۰؛ افتادگی: آغاز؛ نسخه از نظر تسلسل حروف معجم مشوش است؛ ۱۱۶گ، ۲۸ سطر [عکـسی  ف: ۲ - ۴۵۴]</w:t>
      </w:r>
    </w:p>
    <w:p>
      <w:pPr>
        <w:pStyle w:val="Heading3"/>
      </w:pPr>
      <w:bookmarkStart w:id="1612" w:name="_Toc1134"/>
      <w:r>
        <w:t>اسماء الاسد / لغت / عربي</w:t>
      </w:r>
      <w:bookmarkEnd w:id="1612"/>
    </w:p>
    <w:p>
      <w:pPr>
        <w:pStyle w:val="BookText"/>
      </w:pPr>
      <w:r>
        <w:rPr>
          <w:rFonts w:ascii="Times New Roman" w:hAnsi="Times New Roman" w:eastAsia="Times New Roman" w:cs="Times New Roman"/>
          <w:lang w:val="en-US" w:bidi="en-US"/>
          <w:color w:val="111111"/>
          <w:sz w:val="28"/>
          <w:szCs w:val="28"/>
          <w:rtl/>
        </w:rPr>
        <w:t xml:space="preserve">asmā’-ul-asad</w:t>
      </w:r>
    </w:p>
    <w:p>
      <w:pPr>
        <w:pStyle w:val="BookText"/>
      </w:pPr>
      <w:r>
        <w:rPr>
          <w:rFonts w:ascii="IRNazanin" w:hAnsi="IRNazanin" w:eastAsia="IRNazanin" w:cs="IRNazanin"/>
          <w:lang w:bidi="fa-IR"/>
          <w:color w:val="111111"/>
          <w:sz w:val="28"/>
          <w:szCs w:val="28"/>
          <w:rtl/>
        </w:rPr>
        <w:t xml:space="preserve">گردآوری از عبدالله بن محمد شریف. شامل: اسماء الاسد (شـیر) به نقل از «قاموس» به عربی به ترتیب حروف الفباء از همزه تا یاء، فائده در معانی ماه های قمری به نقل از «مصباح»، «اسـماءسماعات الليل و ساعات النهار»، فایده در لفظ آیة.</w:t>
      </w:r>
    </w:p>
    <w:p>
      <w:pPr>
        <w:pStyle w:val="BookText"/>
      </w:pPr>
      <w:r>
        <w:rPr>
          <w:rFonts w:ascii="Amiri" w:hAnsi="Amiri" w:eastAsia="Amiri" w:cs="Amiri"/>
          <w:lang w:bidi="ar-SA"/>
          <w:color w:val="111111"/>
          <w:sz w:val="28"/>
          <w:szCs w:val="28"/>
          <w:rtl/>
        </w:rPr>
        <w:t xml:space="preserve">آغاز: من اسماء الاسد مما في القاموس جمعه كاتبه الهمزه: الجرىء، المجترى، المفاجىء، اللبأة</w:t>
      </w:r>
    </w:p>
    <w:p>
      <w:pPr>
        <w:pStyle w:val="BookText"/>
      </w:pPr>
      <w:r>
        <w:rPr>
          <w:rFonts w:ascii="IRNazanin" w:hAnsi="IRNazanin" w:eastAsia="IRNazanin" w:cs="IRNazanin"/>
          <w:lang w:bidi="fa-IR"/>
          <w:color w:val="111111"/>
          <w:sz w:val="28"/>
          <w:szCs w:val="28"/>
          <w:rtl/>
        </w:rPr>
        <w:t xml:space="preserve">۱. تهران؛ مجلس؛ شماره نسخه: ۹۸۳/۴-ط</w:t>
      </w:r>
    </w:p>
    <w:p>
      <w:pPr>
        <w:pStyle w:val="BookText"/>
      </w:pPr>
      <w:r>
        <w:rPr>
          <w:rFonts w:ascii="Amiri" w:hAnsi="Amiri" w:eastAsia="Amiri" w:cs="Amiri"/>
          <w:lang w:bidi="ar-SA"/>
          <w:color w:val="111111"/>
          <w:sz w:val="28"/>
          <w:szCs w:val="28"/>
          <w:rtl/>
        </w:rPr>
        <w:t xml:space="preserve">آغاز: برابر؛ انجام: الوا و والياء المبتغى الحامى... الغادي... اللبوه، اللبأة ... المؤدى، الهادى</w:t>
      </w:r>
    </w:p>
    <w:p>
      <w:pPr>
        <w:pStyle w:val="BookText"/>
      </w:pPr>
      <w:r>
        <w:rPr>
          <w:rFonts w:ascii="IRNazanin" w:hAnsi="IRNazanin" w:eastAsia="IRNazanin" w:cs="IRNazanin"/>
          <w:lang w:bidi="fa-IR"/>
          <w:color w:val="111111"/>
          <w:sz w:val="28"/>
          <w:szCs w:val="28"/>
          <w:rtl/>
        </w:rPr>
        <w:t xml:space="preserve">بی کا، تا: قرن ۱۳؛ کاغذ: فرنگی آهار مهره، جلد: تیماج مشکی یک لا ، ۲ ص ( ۹۰-۹۱) ، قطع : وزیری،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۲۳-۲۶۲]</w:t>
      </w:r>
    </w:p>
    <w:p>
      <w:pPr>
        <w:pStyle w:val="BookText"/>
      </w:pPr>
      <w:r>
        <w:rPr>
          <w:rFonts w:ascii="IRNazanin" w:hAnsi="IRNazanin" w:eastAsia="IRNazanin" w:cs="IRNazanin"/>
          <w:lang w:bidi="fa-IR"/>
          <w:color w:val="111111"/>
          <w:sz w:val="28"/>
          <w:szCs w:val="28"/>
          <w:rtl/>
        </w:rPr>
        <w:t xml:space="preserve">۲. تهران؛ مجلس؛ شماره نسخه: ۱۰۳۱۷/۲</w:t>
      </w:r>
    </w:p>
    <w:p>
      <w:pPr>
        <w:pStyle w:val="BookText"/>
      </w:pPr>
      <w:r>
        <w:rPr>
          <w:rFonts w:ascii="Amiri" w:hAnsi="Amiri" w:eastAsia="Amiri" w:cs="Amiri"/>
          <w:lang w:bidi="ar-SA"/>
          <w:color w:val="111111"/>
          <w:sz w:val="28"/>
          <w:szCs w:val="28"/>
          <w:rtl/>
        </w:rPr>
        <w:t xml:space="preserve">آغاز: برابر؛ انجام: رسسويه وهة و الله اعلم.</w:t>
      </w:r>
    </w:p>
    <w:p>
      <w:pPr>
        <w:pStyle w:val="BookText"/>
      </w:pPr>
      <w:r>
        <w:rPr>
          <w:rFonts w:ascii="IRNazanin" w:hAnsi="IRNazanin" w:eastAsia="IRNazanin" w:cs="IRNazanin"/>
          <w:lang w:bidi="fa-IR"/>
          <w:color w:val="111111"/>
          <w:sz w:val="28"/>
          <w:szCs w:val="28"/>
          <w:rtl/>
        </w:rPr>
        <w:t xml:space="preserve">خط: نسخ و نستعلیق، بی کا،  بی تا ؛جلد: تيماج قرمز، ۷ص (۹۷ -۱۰۳)، ۲۰-۱۸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۳۲ - ۳۱۸]</w:t>
      </w:r>
    </w:p>
    <w:p>
      <w:pPr>
        <w:pStyle w:val="Heading3"/>
      </w:pPr>
      <w:bookmarkStart w:id="1613" w:name="_Toc1135"/>
      <w:r>
        <w:t>اسماء اصحاب بدر = اسماء اهل البدر / تاریخ اسلام /  عربی</w:t>
      </w:r>
      <w:bookmarkEnd w:id="1613"/>
    </w:p>
    <w:p>
      <w:pPr>
        <w:pStyle w:val="BookText"/>
      </w:pPr>
      <w:r>
        <w:rPr>
          <w:rFonts w:ascii="Times New Roman" w:hAnsi="Times New Roman" w:eastAsia="Times New Roman" w:cs="Times New Roman"/>
          <w:lang w:val="en-US" w:bidi="en-US"/>
          <w:color w:val="111111"/>
          <w:sz w:val="28"/>
          <w:szCs w:val="28"/>
          <w:rtl/>
        </w:rPr>
        <w:t xml:space="preserve">asma-e ashab-e badr</w:t>
      </w:r>
    </w:p>
    <w:p>
      <w:pPr>
        <w:pStyle w:val="BookText"/>
      </w:pPr>
      <w:r>
        <w:rPr>
          <w:rFonts w:ascii="IRNazanin" w:hAnsi="IRNazanin" w:eastAsia="IRNazanin" w:cs="IRNazanin"/>
          <w:lang w:bidi="fa-IR"/>
          <w:color w:val="111111"/>
          <w:sz w:val="28"/>
          <w:szCs w:val="28"/>
          <w:rtl/>
        </w:rPr>
        <w:t xml:space="preserve">؟ رومی ابراهیم بن حنيف بن مصطفى- ۱۱۹۹ق</w:t>
      </w:r>
    </w:p>
    <w:p>
      <w:pPr>
        <w:pStyle w:val="BookText"/>
      </w:pPr>
      <w:r>
        <w:rPr>
          <w:rFonts w:ascii="Times New Roman" w:hAnsi="Times New Roman" w:eastAsia="Times New Roman" w:cs="Times New Roman"/>
          <w:lang w:val="en-US" w:bidi="en-US"/>
          <w:color w:val="111111"/>
          <w:sz w:val="28"/>
          <w:szCs w:val="28"/>
          <w:rtl/>
        </w:rPr>
        <w:t xml:space="preserve">(rūmī, ebrāhīm ebn-e hanīf ebn-e mostafă (-1789)</w:t>
      </w:r>
    </w:p>
    <w:p>
      <w:pPr>
        <w:pStyle w:val="BookText"/>
      </w:pPr>
      <w:r>
        <w:rPr>
          <w:rFonts w:ascii="IRNazanin" w:hAnsi="IRNazanin" w:eastAsia="IRNazanin" w:cs="IRNazanin"/>
          <w:lang w:bidi="fa-IR"/>
          <w:color w:val="111111"/>
          <w:sz w:val="28"/>
          <w:szCs w:val="28"/>
          <w:rtl/>
        </w:rPr>
        <w:t xml:space="preserve">نام ۳۱۳ نفر از اصحاب پیامبر است که پیامبر است که در جنگ بدر شرکت  داشتند، نوشته یکی از علمای عامه. وی همه این صحابه را واسطه پیشگاه خداوند قرار می دهد تا در پایان دعاها و حوائج خود را درخواست  کند. نمونه های متعدد دیگری از کتاب هایی که در یاد کرد و توسل به اصحاب جنگ بدر نوشته شده اند می شناسیم که مشخصات بعضی از آنها چنین است:</w:t>
      </w:r>
    </w:p>
    <w:p>
      <w:pPr>
        <w:pStyle w:val="BookText"/>
      </w:pPr>
      <w:r>
        <w:rPr>
          <w:rFonts w:ascii="IRNazanin" w:hAnsi="IRNazanin" w:eastAsia="IRNazanin" w:cs="IRNazanin"/>
          <w:lang w:bidi="fa-IR"/>
          <w:color w:val="111111"/>
          <w:sz w:val="28"/>
          <w:szCs w:val="28"/>
          <w:rtl/>
        </w:rPr>
        <w:t xml:space="preserve">1.اشراق البدر فى عدد اهل البدر، مجهول المؤلف، شامل اسامى اصحاب جنگ بدر به نقل از استیعاب ابن عبدالبر (رک: فهرست المخطوطات المصورة، قاهرة، جزء ۲، قسم ۴، ص ۳۴)</w:t>
      </w:r>
    </w:p>
    <w:p>
      <w:pPr>
        <w:pStyle w:val="BookText"/>
      </w:pPr>
      <w:r>
        <w:rPr>
          <w:rFonts w:ascii="IRNazanin" w:hAnsi="IRNazanin" w:eastAsia="IRNazanin" w:cs="IRNazanin"/>
          <w:lang w:bidi="fa-IR"/>
          <w:color w:val="111111"/>
          <w:sz w:val="28"/>
          <w:szCs w:val="28"/>
          <w:rtl/>
        </w:rPr>
        <w:t xml:space="preserve">٢. الثمرة البهية فى شرح اسماء الصحابة البدرية، از محمد بن سالم بن احمد حنفی (۱۱۸۱ق) (رک فهرست المخطوطات المصورة، قاهره، جزء ۲، قسم ۴، ص۲۴۸.)</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الاوار ،الظاهرة، مصطفى بن محمد بن عبدالباقی حلبی (زنده در ۱۱۸۵ق) (رک: فهرست مجلس، ج ۱۰، ص ۱۲۳۳)</w:t>
      </w:r>
    </w:p>
    <w:p>
      <w:pPr>
        <w:pStyle w:val="BookText"/>
      </w:pPr>
      <w:r>
        <w:rPr>
          <w:rFonts w:ascii="IRNazanin" w:hAnsi="IRNazanin" w:eastAsia="IRNazanin" w:cs="IRNazanin"/>
          <w:lang w:bidi="fa-IR"/>
          <w:color w:val="111111"/>
          <w:sz w:val="28"/>
          <w:szCs w:val="28"/>
          <w:rtl/>
        </w:rPr>
        <w:t xml:space="preserve">۴.منظومه در ترتیب اسامی اصحاب بدر و مناجات، سروده شده  (در ۱۰۸۶ق. (رک: فهرست مجلس، ج ۱۰، ص ۱۲۳۳)</w:t>
      </w:r>
    </w:p>
    <w:p>
      <w:pPr>
        <w:pStyle w:val="BookText"/>
      </w:pPr>
      <w:r>
        <w:rPr>
          <w:rFonts w:ascii="IRNazanin" w:hAnsi="IRNazanin" w:eastAsia="IRNazanin" w:cs="IRNazanin"/>
          <w:lang w:bidi="fa-IR"/>
          <w:color w:val="111111"/>
          <w:sz w:val="28"/>
          <w:szCs w:val="28"/>
          <w:rtl/>
        </w:rPr>
        <w:t xml:space="preserve">۵. اسماء اهل البدر، ابراهیم منيف بن مصطفی رومی (-۱۱۹۹ق)، رک مخطوطات التاريخ والسير و التراجم في المتحف العراقى، ص ۳۴ و كشف الظنون، ج ۱، ص ۸۰)</w:t>
      </w:r>
    </w:p>
    <w:p>
      <w:pPr>
        <w:pStyle w:val="BookText"/>
      </w:pPr>
      <w:r>
        <w:rPr>
          <w:rFonts w:ascii="IRNazanin" w:hAnsi="IRNazanin" w:eastAsia="IRNazanin" w:cs="IRNazanin"/>
          <w:lang w:bidi="fa-IR"/>
          <w:color w:val="111111"/>
          <w:sz w:val="28"/>
          <w:szCs w:val="28"/>
          <w:rtl/>
        </w:rPr>
        <w:t xml:space="preserve">6.العرين لاسماء الصحابة البدريين، جعفر بن حسن بن عبدالکریم برزنجی (-۱۱۸۷ق) (رک نشریه نسخه های خطی، ج ۱۱، ص ۵۹۹؛ مخطوطات التاريخ و السير و التراجم في المتحف العراقي، ص۲۷۸)</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استنزال النصر بالتوسل باهل البدر ابو العباس احمد بن على بن</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333" w:name="pg20365_260463"/>
    <w:bookmarkEnd w:id="333"/>
    <w:p>
      <w:pPr>
        <w:pStyle w:val="BookText"/>
      </w:pPr>
      <w:r>
        <w:rPr>
          <w:rFonts w:ascii="IRNazanin" w:hAnsi="IRNazanin" w:eastAsia="IRNazanin" w:cs="IRNazanin"/>
          <w:lang w:bidi="fa-IR"/>
          <w:color w:val="111111"/>
          <w:sz w:val="28"/>
          <w:szCs w:val="28"/>
          <w:rtl/>
        </w:rPr>
        <w:t xml:space="preserve">عمر طرابلسی (-۱۲۷۴ق) :(رک فهرست ظاهریه ،تاریخ، ج2، ص ۴۲-۴۴ و ۵۹)</w:t>
      </w:r>
    </w:p>
    <w:p>
      <w:pPr>
        <w:pStyle w:val="BookText"/>
      </w:pPr>
      <w:r>
        <w:rPr>
          <w:rFonts w:ascii="IRNazanin" w:hAnsi="IRNazanin" w:eastAsia="IRNazanin" w:cs="IRNazanin"/>
          <w:lang w:bidi="fa-IR"/>
          <w:color w:val="111111"/>
          <w:sz w:val="28"/>
          <w:szCs w:val="28"/>
          <w:rtl/>
        </w:rPr>
        <w:t xml:space="preserve">8.الشافية من الاسقام فى اسماء اهل البدر الكرام، حسين بن سـ بن سلیم بن دجانی حنفی (-۱۲۷۴ق)، (رک فهرست ظاهریه ،تاریخ، ج ۲، ص۳۱۳-۳۱۴  ]</w:t>
      </w:r>
    </w:p>
    <w:p>
      <w:pPr>
        <w:pStyle w:val="BookText"/>
      </w:pPr>
      <w:r>
        <w:rPr>
          <w:rFonts w:ascii="IRNazanin" w:hAnsi="IRNazanin" w:eastAsia="IRNazanin" w:cs="IRNazanin"/>
          <w:lang w:bidi="fa-IR"/>
          <w:color w:val="111111"/>
          <w:sz w:val="28"/>
          <w:szCs w:val="28"/>
          <w:rtl/>
        </w:rPr>
        <w:t xml:space="preserve">٩. رسالة فى التوسل باسماء اهل البدر و بیان مناقبهم و کراماتهم ناشناخته (رک: فهرس مخطوطات بلدية الاسكندرية، ج3، ص ۱۴۵-۱۴۶.)</w:t>
      </w:r>
    </w:p>
    <w:p>
      <w:pPr>
        <w:pStyle w:val="BookText"/>
      </w:pPr>
      <w:r>
        <w:rPr>
          <w:rFonts w:ascii="IRNazanin" w:hAnsi="IRNazanin" w:eastAsia="IRNazanin" w:cs="IRNazanin"/>
          <w:lang w:bidi="fa-IR"/>
          <w:color w:val="111111"/>
          <w:sz w:val="28"/>
          <w:szCs w:val="28"/>
          <w:rtl/>
        </w:rPr>
        <w:t xml:space="preserve">و چند رساله ناشناخته در فهرست مرعشی، ج۲۰، ص۱۴۹ و مخطوطات التاريخ والسير والتراجم فى المتحف العراقی، ص ۲۰۵ و نشریه نسخه های خطی، ج۱۱، ص ۳۹۲ و فهرست ،ظاهریه ،تاریخ، ج ۲، ص ۵۳-۵۴.</w:t>
      </w:r>
    </w:p>
    <w:p>
      <w:pPr>
        <w:pStyle w:val="BookText"/>
      </w:pPr>
      <w:r>
        <w:rPr>
          <w:rFonts w:ascii="IRNazanin" w:hAnsi="IRNazanin" w:eastAsia="IRNazanin" w:cs="IRNazanin"/>
          <w:lang w:bidi="fa-IR"/>
          <w:color w:val="111111"/>
          <w:sz w:val="28"/>
          <w:szCs w:val="28"/>
          <w:rtl/>
        </w:rPr>
        <w:t xml:space="preserve">مشهد رضوی؛ شماره نسخه: ۲۸۱۱۴</w:t>
      </w:r>
    </w:p>
    <w:p>
      <w:pPr>
        <w:pStyle w:val="BookText"/>
      </w:pPr>
      <w:r>
        <w:rPr>
          <w:rFonts w:ascii="IRNazanin" w:hAnsi="IRNazanin" w:eastAsia="IRNazanin" w:cs="IRNazanin"/>
          <w:lang w:bidi="fa-IR"/>
          <w:color w:val="111111"/>
          <w:sz w:val="28"/>
          <w:szCs w:val="28"/>
          <w:rtl/>
        </w:rPr>
        <w:t xml:space="preserve">آغاز: اللهم انی اسئلک بسیدنا محمد صلى الله عليه و سلم و بسیـدنا ابى بكر الصديق (رض) و بسیدنا ؛انجام: و ابو ملیل (رضی عنه الله) و ابو الهيثم (رضى عنه الله) وابو اليسر (رضى عنه الله). اللهم لا تـدع لنا ذنبا غفرته و لا هما الا فرجته و لا دينا الا قفيته و لا حاجة  من حوائج الدنيا و الآخرة الا قضيتها يا ارحم الراحمين.</w:t>
      </w:r>
    </w:p>
    <w:p>
      <w:pPr>
        <w:pStyle w:val="BookText"/>
      </w:pPr>
      <w:r>
        <w:rPr>
          <w:rFonts w:ascii="IRNazanin" w:hAnsi="IRNazanin" w:eastAsia="IRNazanin" w:cs="IRNazanin"/>
          <w:lang w:bidi="fa-IR"/>
          <w:color w:val="111111"/>
          <w:sz w:val="28"/>
          <w:szCs w:val="28"/>
          <w:rtl/>
        </w:rPr>
        <w:t xml:space="preserve">خط: نسخ معرب، درشت، بی کا، تا: قرن ۱۳؛ دو صفحه اول مجدول؛ اهدایی : رهبری، دی ۱۳۸۱؛ کاغذ: فرنگی  آبی، جـلد: مقوا، رویه کاغذ ابر و باد، ۱۱گ، ۹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  [اهدائی :رهبر ۸ - ۱۴۳]</w:t>
      </w:r>
    </w:p>
    <w:p>
      <w:pPr>
        <w:pStyle w:val="Heading3"/>
      </w:pPr>
      <w:bookmarkStart w:id="1614" w:name="_Toc1136"/>
      <w:r>
        <w:t>اسماء اصحاب بدر / رجال / عربی</w:t>
      </w:r>
      <w:bookmarkEnd w:id="1614"/>
    </w:p>
    <w:p>
      <w:pPr>
        <w:pStyle w:val="BookText"/>
      </w:pPr>
      <w:r>
        <w:rPr>
          <w:rFonts w:ascii="Times New Roman" w:hAnsi="Times New Roman" w:eastAsia="Times New Roman" w:cs="Times New Roman"/>
          <w:lang w:val="en-US" w:bidi="en-US"/>
          <w:color w:val="111111"/>
          <w:sz w:val="28"/>
          <w:szCs w:val="28"/>
          <w:rtl/>
        </w:rPr>
        <w:t xml:space="preserve">asmā’-e ashāb-e badr</w:t>
      </w:r>
    </w:p>
    <w:p>
      <w:pPr>
        <w:pStyle w:val="BookText"/>
      </w:pPr>
      <w:r>
        <w:rPr>
          <w:rFonts w:ascii="IRNazanin" w:hAnsi="IRNazanin" w:eastAsia="IRNazanin" w:cs="IRNazanin"/>
          <w:lang w:bidi="fa-IR"/>
          <w:color w:val="111111"/>
          <w:sz w:val="28"/>
          <w:szCs w:val="28"/>
          <w:rtl/>
        </w:rPr>
        <w:t xml:space="preserve">غیر همانند: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مرعشی؛ شماره نسخه: ۷۷۹۰</w:t>
      </w:r>
    </w:p>
    <w:p>
      <w:pPr>
        <w:pStyle w:val="BookText"/>
      </w:pPr>
      <w:r>
        <w:rPr>
          <w:rFonts w:ascii="Amiri" w:hAnsi="Amiri" w:eastAsia="Amiri" w:cs="Amiri"/>
          <w:lang w:bidi="ar-SA"/>
          <w:color w:val="111111"/>
          <w:sz w:val="28"/>
          <w:szCs w:val="28"/>
          <w:rtl/>
        </w:rPr>
        <w:t xml:space="preserve">آغاز: الحمد لله الذى أعز الاسلام بغزوة بدر و الصلاة و السـلام على من انشق له بدر و على آله و أصحابه الذين لهم الشرف و القدر؛ انجام: و خذلت الأعداء فى الأطراف أن ترزقنا بقضـاء أوطارنا و دفع مضارنا أونحو ذلك.</w:t>
      </w:r>
    </w:p>
    <w:p>
      <w:pPr>
        <w:pStyle w:val="BookText"/>
      </w:pPr>
      <w:r>
        <w:rPr>
          <w:rFonts w:ascii="IRNazanin" w:hAnsi="IRNazanin" w:eastAsia="IRNazanin" w:cs="IRNazanin"/>
          <w:lang w:bidi="fa-IR"/>
          <w:color w:val="111111"/>
          <w:sz w:val="28"/>
          <w:szCs w:val="28"/>
          <w:rtl/>
        </w:rPr>
        <w:t xml:space="preserve">نام سیصد و سیزده نفر از اصحاب حضرت پیامبر اکرم (صلّی اللَّهِ علیه وَ آلِهِ وَ سَلَّمَ )  که  درجنگ  در بدر خدمت آن حضرت  بودند به ترتیب حروف آغاز نامها تنظیم شده با رمزهایی برای مشخص شدن بعضی از خصوصیت های آنها؛ خط: نسخ  معرب، کا: حاج عبد الله الصوفی، تا: ۲۵ رجب ،۱۲۰۲ق ؛جا: اسلامبول؛مهر: «عبد الله شریف» (بیضی)؛ جلد: گالینگور  سبز، ۱۴گ ، ۱۷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سم [ف: ۲۰ - ۱۴۹]</w:t>
      </w:r>
    </w:p>
    <w:p>
      <w:pPr>
        <w:pStyle w:val="BookText"/>
      </w:pPr>
      <w:r>
        <w:rPr>
          <w:rFonts w:ascii="IRNazanin" w:hAnsi="IRNazanin" w:eastAsia="IRNazanin" w:cs="IRNazanin"/>
          <w:lang w:bidi="fa-IR"/>
          <w:color w:val="111111"/>
          <w:sz w:val="28"/>
          <w:szCs w:val="28"/>
          <w:rtl/>
        </w:rPr>
        <w:t xml:space="preserve">۲. مشهد؛ شیخ علی حیدر؛ شماره نسخه: ۴۷۶/۵</w:t>
      </w:r>
    </w:p>
    <w:p>
      <w:pPr>
        <w:pStyle w:val="BookText"/>
      </w:pPr>
      <w:r>
        <w:rPr>
          <w:rFonts w:ascii="IRNazanin" w:hAnsi="IRNazanin" w:eastAsia="IRNazanin" w:cs="IRNazanin"/>
          <w:lang w:bidi="fa-IR"/>
          <w:color w:val="111111"/>
          <w:sz w:val="28"/>
          <w:szCs w:val="28"/>
          <w:rtl/>
        </w:rPr>
        <w:t xml:space="preserve">آغاز: اللهم اني أسالك و أتوسل الیک بسیدنا؛ انجام: و قراری و علانيتي و أسرارى و احشرنا معهم آمین یا رب العالمين  دعاء مفصل استشفع فيه بأصحاب بدر ؛ خط: نسخ، بی کا، تا: ۱۳۰۱ق، جلد: عادی ۴۲گ (۱۱۰ پ - ۱۵۱ر) اندازه: ۱۳</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۲۱سم  [مؤيد: ۱ - ۳۸۴]</w:t>
      </w:r>
    </w:p>
    <w:p>
      <w:pPr>
        <w:pStyle w:val="Heading3"/>
      </w:pPr>
      <w:bookmarkStart w:id="1615" w:name="_Toc1137"/>
      <w:r>
        <w:t>اسماء اصحاب بدر / شعر، رجال / عربی</w:t>
      </w:r>
      <w:bookmarkEnd w:id="1615"/>
    </w:p>
    <w:p>
      <w:pPr>
        <w:pStyle w:val="BookText"/>
      </w:pPr>
      <w:r>
        <w:rPr>
          <w:rFonts w:ascii="Times New Roman" w:hAnsi="Times New Roman" w:eastAsia="Times New Roman" w:cs="Times New Roman"/>
          <w:lang w:val="en-US" w:bidi="en-US"/>
          <w:color w:val="111111"/>
          <w:sz w:val="28"/>
          <w:szCs w:val="28"/>
          <w:rtl/>
        </w:rPr>
        <w:t xml:space="preserve">asmā’-e ashāb-e badr</w:t>
      </w:r>
    </w:p>
    <w:p>
      <w:pPr>
        <w:pStyle w:val="BookText"/>
      </w:pPr>
      <w:r>
        <w:rPr>
          <w:rFonts w:ascii="IRNazanin" w:hAnsi="IRNazanin" w:eastAsia="IRNazanin" w:cs="IRNazanin"/>
          <w:lang w:bidi="fa-IR"/>
          <w:color w:val="111111"/>
          <w:sz w:val="28"/>
          <w:szCs w:val="28"/>
          <w:rtl/>
        </w:rPr>
        <w:t xml:space="preserve">تاریخ تألیف: ۱۰۸۶ق</w:t>
      </w:r>
    </w:p>
    <w:p>
      <w:pPr>
        <w:pStyle w:val="BookText"/>
      </w:pPr>
      <w:r>
        <w:rPr>
          <w:rFonts w:ascii="Times New Roman" w:hAnsi="Times New Roman" w:eastAsia="Times New Roman" w:cs="Times New Roman"/>
          <w:lang w:val="en-US" w:bidi="en-US"/>
          <w:color w:val="111111"/>
          <w:sz w:val="28"/>
          <w:szCs w:val="28"/>
          <w:rtl/>
        </w:rPr>
        <w:t xml:space="preserve">asma-e ashab-e badr</w:t>
      </w:r>
    </w:p>
    <w:p>
      <w:pPr>
        <w:pStyle w:val="BookText"/>
      </w:pPr>
      <w:r>
        <w:rPr>
          <w:rFonts w:ascii="IRNazanin" w:hAnsi="IRNazanin" w:eastAsia="IRNazanin" w:cs="IRNazanin"/>
          <w:lang w:bidi="fa-IR"/>
          <w:color w:val="111111"/>
          <w:sz w:val="28"/>
          <w:szCs w:val="28"/>
          <w:rtl/>
        </w:rPr>
        <w:t xml:space="preserve">منظومه ای است در مناجات که در آن که اسامی صحابه با ترتیب الفبایی و در پایان آن از معروفان به کنیه یاد شده است.</w:t>
      </w:r>
    </w:p>
    <w:p>
      <w:pPr>
        <w:pStyle w:val="BookText"/>
      </w:pPr>
      <w:r>
        <w:rPr>
          <w:rFonts w:ascii="IRNazanin" w:hAnsi="IRNazanin" w:eastAsia="IRNazanin" w:cs="IRNazanin"/>
          <w:lang w:bidi="fa-IR"/>
          <w:color w:val="111111"/>
          <w:sz w:val="28"/>
          <w:szCs w:val="28"/>
          <w:rtl/>
        </w:rPr>
        <w:t xml:space="preserve">۱. تهران؛ مجلس؛ شماره نسخه: ۳۳۸۱/۲</w:t>
      </w:r>
    </w:p>
    <w:p>
      <w:pPr>
        <w:pStyle w:val="BookText"/>
      </w:pPr>
      <w:r>
        <w:rPr>
          <w:rFonts w:ascii="IRNazanin" w:hAnsi="IRNazanin" w:eastAsia="IRNazanin" w:cs="IRNazanin"/>
          <w:lang w:bidi="fa-IR"/>
          <w:color w:val="111111"/>
          <w:sz w:val="28"/>
          <w:szCs w:val="28"/>
          <w:rtl/>
        </w:rPr>
        <w:t xml:space="preserve">آغاز: يا ربنا اللهم ذا الالاء *** و دافع الاعداء و البلاء / بحق من حقق بالمعراج *** محمد احمد بدر الداجي... / بحق جبريل و اسرافیل *** و حق میکائیل و عزرائیل؛ انجام: ربی اقلنی بابی مخشى *** في كل بكرة و بالعشى / فاضت شابيب رضى الاله *** عليهم بغير ماتناهى تمت الاسماء  یومالثلا فى...</w:t>
      </w:r>
    </w:p>
    <w:p>
      <w:pPr>
        <w:pStyle w:val="BookText"/>
      </w:pPr>
      <w:r>
        <w:rPr>
          <w:rFonts w:ascii="IRNazanin" w:hAnsi="IRNazanin" w:eastAsia="IRNazanin" w:cs="IRNazanin"/>
          <w:lang w:bidi="fa-IR"/>
          <w:color w:val="111111"/>
          <w:sz w:val="28"/>
          <w:szCs w:val="28"/>
          <w:rtl/>
        </w:rPr>
        <w:t xml:space="preserve">خط: نسخ، بی کا، تا: ۱۳۱۶ق؛ کاغذ: فرنگی سفید، جلد: تیماج  قهوه ای، ۲۵ سطر، قطع: خشتی، اندازه۲۳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(۱۰ - ۱۲۳۳]</w:t>
      </w:r>
    </w:p>
    <w:p>
      <w:pPr>
        <w:pStyle w:val="BookText"/>
      </w:pPr>
      <w:r>
        <w:rPr>
          <w:rFonts w:ascii="IRNazanin" w:hAnsi="IRNazanin" w:eastAsia="IRNazanin" w:cs="IRNazanin"/>
          <w:lang w:bidi="fa-IR"/>
          <w:color w:val="111111"/>
          <w:sz w:val="28"/>
          <w:szCs w:val="28"/>
          <w:rtl/>
        </w:rPr>
        <w:t xml:space="preserve">۲. تهران؛ مجلس؛ شماره نسخه: ۱۲۴۵۴/۵</w:t>
      </w:r>
    </w:p>
    <w:p>
      <w:pPr>
        <w:pStyle w:val="BookText"/>
      </w:pPr>
      <w:r>
        <w:rPr>
          <w:rFonts w:ascii="IRNazanin" w:hAnsi="IRNazanin" w:eastAsia="IRNazanin" w:cs="IRNazanin"/>
          <w:lang w:bidi="fa-IR"/>
          <w:color w:val="111111"/>
          <w:sz w:val="28"/>
          <w:szCs w:val="28"/>
          <w:rtl/>
        </w:rPr>
        <w:t xml:space="preserve">خط: ثلث  زیبا، بی کا، بی تا، مجدول مذهب مرصع؛ جلد: تيماج دورو، سوخت، ترنج با سر با نقش گل وبوته، ۹گ (۴۳-۵۱)، ۱۳ سطر، اندازه: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۳۵ - ۴۰۸]</w:t>
      </w:r>
    </w:p>
    <w:p>
      <w:pPr>
        <w:pStyle w:val="Heading3"/>
      </w:pPr>
      <w:bookmarkStart w:id="1616" w:name="_Toc1138"/>
      <w:r>
        <w:t>اسماء اصحاب البدرية - شجرة صحابة بدر / رجال /  عربی</w:t>
      </w:r>
      <w:bookmarkEnd w:id="1616"/>
    </w:p>
    <w:p>
      <w:pPr>
        <w:pStyle w:val="BookText"/>
      </w:pPr>
      <w:r>
        <w:rPr>
          <w:rFonts w:ascii="Times New Roman" w:hAnsi="Times New Roman" w:eastAsia="Times New Roman" w:cs="Times New Roman"/>
          <w:lang w:val="en-US" w:bidi="en-US"/>
          <w:color w:val="111111"/>
          <w:sz w:val="28"/>
          <w:szCs w:val="28"/>
          <w:rtl/>
        </w:rPr>
        <w:t xml:space="preserve">asma ashab-il badriya = sajarat-u Sahabat-u badr</w:t>
      </w:r>
    </w:p>
    <w:p>
      <w:pPr>
        <w:pStyle w:val="BookText"/>
      </w:pPr>
      <w:r>
        <w:rPr>
          <w:rFonts w:ascii="IRNazanin" w:hAnsi="IRNazanin" w:eastAsia="IRNazanin" w:cs="IRNazanin"/>
          <w:lang w:bidi="fa-IR"/>
          <w:color w:val="111111"/>
          <w:sz w:val="28"/>
          <w:szCs w:val="28"/>
          <w:rtl/>
        </w:rPr>
        <w:t xml:space="preserve">اسماء اصحاب بدر به ترتیب الفبا است که مؤلف با واسطه قرار دادن آنها حوائج و دعاهای خود را درخواست می کند.</w:t>
      </w:r>
    </w:p>
    <w:p>
      <w:pPr>
        <w:pStyle w:val="BookText"/>
      </w:pPr>
      <w:r>
        <w:rPr>
          <w:rFonts w:ascii="IRNazanin" w:hAnsi="IRNazanin" w:eastAsia="IRNazanin" w:cs="IRNazanin"/>
          <w:lang w:bidi="fa-IR"/>
          <w:color w:val="111111"/>
          <w:sz w:val="28"/>
          <w:szCs w:val="28"/>
          <w:rtl/>
        </w:rPr>
        <w:t xml:space="preserve">[فهرست اوقاف بغداد ج ۴ ص ۲۰۶]</w:t>
      </w:r>
    </w:p>
    <w:p>
      <w:pPr>
        <w:pStyle w:val="BookText"/>
      </w:pPr>
      <w:r>
        <w:rPr>
          <w:rFonts w:ascii="IRNazanin" w:hAnsi="IRNazanin" w:eastAsia="IRNazanin" w:cs="IRNazanin"/>
          <w:lang w:bidi="fa-IR"/>
          <w:color w:val="111111"/>
          <w:sz w:val="28"/>
          <w:szCs w:val="28"/>
          <w:rtl/>
        </w:rPr>
        <w:t xml:space="preserve">مشهد؛ رضوی؛ شماره نسخه: ۲۷۷۱۱</w:t>
      </w:r>
    </w:p>
    <w:p>
      <w:pPr>
        <w:pStyle w:val="BookText"/>
      </w:pPr>
      <w:r>
        <w:rPr>
          <w:rFonts w:ascii="IRNazanin" w:hAnsi="IRNazanin" w:eastAsia="IRNazanin" w:cs="IRNazanin"/>
          <w:lang w:bidi="fa-IR"/>
          <w:color w:val="111111"/>
          <w:sz w:val="28"/>
          <w:szCs w:val="28"/>
          <w:rtl/>
        </w:rPr>
        <w:t xml:space="preserve">آغاز: اللهم انی اسئلک بسیدنا و مولینا محمد ن المهاجرى (صلّی اللَّهِ علیه وَ آلِهِ وَ سَلَّمَ ) الذي انزلت عليه هذه الآيات العظام والقرآن العظيم؛ انجام: و لا دينا الاقضيته و لا حاجة من حوائج الدنيا و الآخرة الا قضيتها يا ارحم الراحمين.</w:t>
      </w:r>
    </w:p>
    <w:p>
      <w:pPr>
        <w:pStyle w:val="BookText"/>
      </w:pPr>
      <w:r>
        <w:rPr>
          <w:rFonts w:ascii="IRNazanin" w:hAnsi="IRNazanin" w:eastAsia="IRNazanin" w:cs="IRNazanin"/>
          <w:lang w:bidi="fa-IR"/>
          <w:color w:val="111111"/>
          <w:sz w:val="28"/>
          <w:szCs w:val="28"/>
          <w:rtl/>
        </w:rPr>
        <w:t xml:space="preserve">خط: نسخ معرب درشت، بی کا، تا: ۲۷ ربیع الثانی ۱۲۶۵ق؛ انتهای نسخه (ص106-۱۱۱) فضائل اسماء اصحاب البدريه به اردو و روایت جعفر بن عبدالله، عبارت و بسیدنا همه جا شنگرف، مجدول، ص ۹-۲ سوره فاتحه و برگزیده ای از آیات قرآن (به نوشته کاتب اوراد حرزیه) با ترجمه زیرنویس به اردو، دو صفحه اول اسماء اصحاب بدر هم بین سطور به اردو ترجمه شده است؛ اهدایی: رهبری، دی ۱۳۸۰؛ کاغذ: فرنگی نخودی، جلد: تیماج فرنگی سرمه ای ،زرکوب ۴۶گ ۷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۲۵/۵سم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334" w:name="pg20365_260464"/>
    <w:bookmarkEnd w:id="334"/>
    <w:p>
      <w:pPr>
        <w:pStyle w:val="BookText"/>
      </w:pPr>
      <w:r>
        <w:rPr>
          <w:rFonts w:ascii="IRNazanin" w:hAnsi="IRNazanin" w:eastAsia="IRNazanin" w:cs="IRNazanin"/>
          <w:lang w:bidi="fa-IR"/>
          <w:color w:val="111111"/>
          <w:sz w:val="28"/>
          <w:szCs w:val="28"/>
          <w:rtl/>
        </w:rPr>
        <w:t xml:space="preserve">[اهدائی :رهبر ۸ - ۱۴۵]</w:t>
      </w:r>
    </w:p>
    <w:p>
      <w:pPr>
        <w:pStyle w:val="Heading3"/>
      </w:pPr>
      <w:bookmarkStart w:id="1617" w:name="_Toc1139"/>
      <w:r>
        <w:t>اسماء اصحاب الكهف / تاریخ / عربی</w:t>
      </w:r>
      <w:bookmarkEnd w:id="1617"/>
    </w:p>
    <w:p>
      <w:pPr>
        <w:pStyle w:val="BookText"/>
      </w:pPr>
      <w:r>
        <w:rPr>
          <w:rFonts w:ascii="Times New Roman" w:hAnsi="Times New Roman" w:eastAsia="Times New Roman" w:cs="Times New Roman"/>
          <w:lang w:val="en-US" w:bidi="en-US"/>
          <w:color w:val="111111"/>
          <w:sz w:val="28"/>
          <w:szCs w:val="28"/>
          <w:rtl/>
        </w:rPr>
        <w:t xml:space="preserve">asmā’-u aṣḥāb-il-kahf</w:t>
      </w:r>
    </w:p>
    <w:p>
      <w:pPr>
        <w:pStyle w:val="BookText"/>
      </w:pPr>
      <w:r>
        <w:rPr>
          <w:rFonts w:ascii="IRNazanin" w:hAnsi="IRNazanin" w:eastAsia="IRNazanin" w:cs="IRNazanin"/>
          <w:lang w:bidi="fa-IR"/>
          <w:color w:val="111111"/>
          <w:sz w:val="28"/>
          <w:szCs w:val="28"/>
          <w:rtl/>
        </w:rPr>
        <w:t xml:space="preserve">تهران؛ ملک؛ شماره نسخه: ۱۵۱۱/۱۰</w:t>
      </w:r>
    </w:p>
    <w:p>
      <w:pPr>
        <w:pStyle w:val="BookText"/>
      </w:pPr>
      <w:r>
        <w:rPr>
          <w:rFonts w:ascii="IRNazanin" w:hAnsi="IRNazanin" w:eastAsia="IRNazanin" w:cs="IRNazanin"/>
          <w:lang w:bidi="fa-IR"/>
          <w:color w:val="111111"/>
          <w:sz w:val="28"/>
          <w:szCs w:val="28"/>
          <w:rtl/>
        </w:rPr>
        <w:t xml:space="preserve">خط: نسخ، بی کا، تا: قرن ۶ ۱ص [ف: ۵ - ۲۸۱]</w:t>
      </w:r>
    </w:p>
    <w:p>
      <w:pPr>
        <w:pStyle w:val="Heading3"/>
      </w:pPr>
      <w:bookmarkStart w:id="1618" w:name="_Toc1140"/>
      <w:r>
        <w:t>اسماء الاطفال المقتولين ظلما / تاريخ / فارسی</w:t>
      </w:r>
      <w:bookmarkEnd w:id="1618"/>
    </w:p>
    <w:p>
      <w:pPr>
        <w:pStyle w:val="BookText"/>
      </w:pPr>
      <w:r>
        <w:rPr>
          <w:rFonts w:ascii="Times New Roman" w:hAnsi="Times New Roman" w:eastAsia="Times New Roman" w:cs="Times New Roman"/>
          <w:lang w:val="en-US" w:bidi="en-US"/>
          <w:color w:val="111111"/>
          <w:sz w:val="28"/>
          <w:szCs w:val="28"/>
          <w:rtl/>
        </w:rPr>
        <w:t xml:space="preserve">asmā’-ol-atfāl al-maqtūlīn-a zolm-an</w:t>
      </w:r>
    </w:p>
    <w:p>
      <w:pPr>
        <w:pStyle w:val="BookText"/>
      </w:pPr>
      <w:r>
        <w:rPr>
          <w:rFonts w:ascii="IRNazanin" w:hAnsi="IRNazanin" w:eastAsia="IRNazanin" w:cs="IRNazanin"/>
          <w:lang w:bidi="fa-IR"/>
          <w:color w:val="111111"/>
          <w:sz w:val="28"/>
          <w:szCs w:val="28"/>
          <w:rtl/>
        </w:rPr>
        <w:t xml:space="preserve">رساله ای حاوی اسامی اطفال غیر بالغی که به ظلم کشته شده اند.</w:t>
      </w:r>
    </w:p>
    <w:p>
      <w:pPr>
        <w:pStyle w:val="BookText"/>
      </w:pPr>
      <w:r>
        <w:rPr>
          <w:rFonts w:ascii="IRNazanin" w:hAnsi="IRNazanin" w:eastAsia="IRNazanin" w:cs="IRNazanin"/>
          <w:lang w:bidi="fa-IR"/>
          <w:color w:val="111111"/>
          <w:sz w:val="28"/>
          <w:szCs w:val="28"/>
          <w:rtl/>
        </w:rPr>
        <w:t xml:space="preserve">مشهد؛ شیخ علی حیدر؛ شماره نسخه: ۵۱۶/۳</w:t>
      </w:r>
    </w:p>
    <w:p>
      <w:pPr>
        <w:pStyle w:val="BookText"/>
      </w:pPr>
      <w:r>
        <w:rPr>
          <w:rFonts w:ascii="IRNazanin" w:hAnsi="IRNazanin" w:eastAsia="IRNazanin" w:cs="IRNazanin"/>
          <w:lang w:bidi="fa-IR"/>
          <w:color w:val="111111"/>
          <w:sz w:val="28"/>
          <w:szCs w:val="28"/>
          <w:rtl/>
        </w:rPr>
        <w:t xml:space="preserve">آغاز: الحمد لله ربالعالمين و العاقبة للمتقين والصلاة والسـلام على خير خلقه محمد و آله اجمعین؛ انجام: و معصوم دوازدهم جعفر بن محمد تقی است علیه السلام و بچهار سالگی</w:t>
      </w:r>
    </w:p>
    <w:p>
      <w:pPr>
        <w:pStyle w:val="BookText"/>
      </w:pPr>
      <w:r>
        <w:rPr>
          <w:rFonts w:ascii="IRNazanin" w:hAnsi="IRNazanin" w:eastAsia="IRNazanin" w:cs="IRNazanin"/>
          <w:lang w:bidi="fa-IR"/>
          <w:color w:val="111111"/>
          <w:sz w:val="28"/>
          <w:szCs w:val="28"/>
          <w:rtl/>
        </w:rPr>
        <w:t xml:space="preserve">خط: نستعليق، كا: امة فاطمة شهربانو دخت ملاخدابخش،تا: ۱۰۳۰ق؛ افتادگی: انجام ؛جلد: چرم زرد، ۲گ (۴۴پ-۴۵پ)، اندازه ۱۰</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۱۷/۵ سم [مؤيد: ۲ - ۱۸]</w:t>
      </w:r>
    </w:p>
    <w:p>
      <w:pPr>
        <w:pStyle w:val="BookText"/>
      </w:pPr>
      <w:r>
        <w:rPr>
          <w:rFonts w:ascii="IRNazanin" w:hAnsi="IRNazanin" w:eastAsia="IRNazanin" w:cs="IRNazanin"/>
          <w:lang w:bidi="fa-IR"/>
          <w:color w:val="111111"/>
          <w:sz w:val="28"/>
          <w:szCs w:val="28"/>
          <w:rtl/>
        </w:rPr>
        <w:t xml:space="preserve">«اسماء اعضاء الانسان » خلق الانسان</w:t>
      </w:r>
    </w:p>
    <w:p>
      <w:pPr>
        <w:pStyle w:val="BookText"/>
      </w:pPr>
      <w:r>
        <w:rPr>
          <w:rFonts w:ascii="IRNazanin" w:hAnsi="IRNazanin" w:eastAsia="IRNazanin" w:cs="IRNazanin"/>
          <w:lang w:bidi="fa-IR"/>
          <w:color w:val="111111"/>
          <w:sz w:val="28"/>
          <w:szCs w:val="28"/>
          <w:rtl/>
        </w:rPr>
        <w:t xml:space="preserve">«اسماء الله » معانی و خواص اسماء الله (رساله در بیان)</w:t>
      </w:r>
    </w:p>
    <w:p>
      <w:pPr>
        <w:pStyle w:val="BookText"/>
      </w:pPr>
      <w:r>
        <w:rPr>
          <w:rFonts w:ascii="Amiri" w:hAnsi="Amiri" w:eastAsia="Amiri" w:cs="Amiri"/>
          <w:lang w:bidi="ar-SA"/>
          <w:color w:val="111111"/>
          <w:sz w:val="28"/>
          <w:szCs w:val="28"/>
          <w:rtl/>
        </w:rPr>
        <w:t xml:space="preserve">«اسماء الله » لغز في اسم  الله</w:t>
      </w:r>
    </w:p>
    <w:p>
      <w:pPr>
        <w:pStyle w:val="BookText"/>
      </w:pPr>
      <w:r>
        <w:rPr>
          <w:rFonts w:ascii="IRNazanin" w:hAnsi="IRNazanin" w:eastAsia="IRNazanin" w:cs="IRNazanin"/>
          <w:lang w:bidi="fa-IR"/>
          <w:color w:val="111111"/>
          <w:sz w:val="28"/>
          <w:szCs w:val="28"/>
          <w:rtl/>
        </w:rPr>
        <w:t xml:space="preserve">« اسماء الله » الاسماء الحسنى</w:t>
      </w:r>
    </w:p>
    <w:p>
      <w:pPr>
        <w:pStyle w:val="BookText"/>
      </w:pPr>
      <w:r>
        <w:rPr>
          <w:rFonts w:ascii="IRNazanin" w:hAnsi="IRNazanin" w:eastAsia="IRNazanin" w:cs="IRNazanin"/>
          <w:lang w:bidi="fa-IR"/>
          <w:color w:val="111111"/>
          <w:sz w:val="28"/>
          <w:szCs w:val="28"/>
          <w:rtl/>
        </w:rPr>
        <w:t xml:space="preserve">«اسماء الله » خواص اسماء</w:t>
      </w:r>
    </w:p>
    <w:p>
      <w:pPr>
        <w:pStyle w:val="Heading3"/>
      </w:pPr>
      <w:bookmarkStart w:id="1619" w:name="_Toc1141"/>
      <w:r>
        <w:t>اسماء الله / اسماء الله / عربی</w:t>
      </w:r>
      <w:bookmarkEnd w:id="1619"/>
    </w:p>
    <w:p>
      <w:pPr>
        <w:pStyle w:val="BookText"/>
      </w:pPr>
      <w:r>
        <w:rPr>
          <w:rFonts w:ascii="Times New Roman" w:hAnsi="Times New Roman" w:eastAsia="Times New Roman" w:cs="Times New Roman"/>
          <w:lang w:val="en-US" w:bidi="en-US"/>
          <w:color w:val="111111"/>
          <w:sz w:val="28"/>
          <w:szCs w:val="28"/>
          <w:rtl/>
        </w:rPr>
        <w:t xml:space="preserve">asmā’-u lāh</w:t>
      </w:r>
    </w:p>
    <w:p>
      <w:pPr>
        <w:pStyle w:val="BookText"/>
      </w:pPr>
      <w:r>
        <w:rPr>
          <w:rFonts w:ascii="IRNazanin" w:hAnsi="IRNazanin" w:eastAsia="IRNazanin" w:cs="IRNazanin"/>
          <w:lang w:bidi="fa-IR"/>
          <w:color w:val="111111"/>
          <w:sz w:val="28"/>
          <w:szCs w:val="28"/>
          <w:rtl/>
        </w:rPr>
        <w:t xml:space="preserve">تهران؛ دانشگاه؛ شماره نسخه: ۲۵۴۱/۱-ف</w:t>
      </w:r>
    </w:p>
    <w:p>
      <w:pPr>
        <w:pStyle w:val="BookText"/>
      </w:pPr>
      <w:r>
        <w:rPr>
          <w:rFonts w:ascii="IRNazanin" w:hAnsi="IRNazanin" w:eastAsia="IRNazanin" w:cs="IRNazanin"/>
          <w:lang w:bidi="fa-IR"/>
          <w:color w:val="111111"/>
          <w:sz w:val="28"/>
          <w:szCs w:val="28"/>
          <w:rtl/>
        </w:rPr>
        <w:t xml:space="preserve">نسخه اصل: برلین 8066 </w:t>
      </w:r>
      <w:r>
        <w:rPr>
          <w:rFonts w:ascii="Times New Roman" w:hAnsi="Times New Roman" w:eastAsia="Times New Roman" w:cs="Times New Roman"/>
          <w:lang w:val="en-US" w:bidi="en-US"/>
          <w:color w:val="111111"/>
          <w:sz w:val="28"/>
          <w:szCs w:val="28"/>
          <w:rtl/>
        </w:rPr>
        <w:t xml:space="preserve">Or (</w:t>
      </w:r>
      <w:r>
        <w:rPr>
          <w:rFonts w:ascii="IRNazanin" w:hAnsi="IRNazanin" w:eastAsia="IRNazanin" w:cs="IRNazanin"/>
          <w:lang w:bidi="fa-IR"/>
          <w:color w:val="111111"/>
          <w:sz w:val="28"/>
          <w:szCs w:val="28"/>
          <w:rtl/>
        </w:rPr>
        <w:t xml:space="preserve">پرج ش ۳۰۳ ص ۳۲۶) فایده در اسماء الله؛ خط: نستعلیق، بی کا، تا: ۱۰۶۳ق [ فیلم ها-ف: ۱ - ۷۱۴]</w:t>
      </w:r>
    </w:p>
    <w:p>
      <w:pPr>
        <w:pStyle w:val="Heading3"/>
      </w:pPr>
      <w:bookmarkStart w:id="1620" w:name="_Toc1142"/>
      <w:r>
        <w:t>اسماء الله الحسنى وصفاته العلى / اسماء الله /عربی، فارسی</w:t>
      </w:r>
      <w:bookmarkEnd w:id="1620"/>
    </w:p>
    <w:p>
      <w:pPr>
        <w:pStyle w:val="BookText"/>
      </w:pPr>
      <w:r>
        <w:rPr>
          <w:rFonts w:ascii="Times New Roman" w:hAnsi="Times New Roman" w:eastAsia="Times New Roman" w:cs="Times New Roman"/>
          <w:lang w:val="en-US" w:bidi="en-US"/>
          <w:color w:val="111111"/>
          <w:sz w:val="28"/>
          <w:szCs w:val="28"/>
          <w:rtl/>
        </w:rPr>
        <w:t xml:space="preserve">asmā’-ul lāh al-ḥusnā wa ṣifāt-u-hu-l ‘ulā</w:t>
      </w:r>
    </w:p>
    <w:p>
      <w:pPr>
        <w:pStyle w:val="BookText"/>
      </w:pPr>
      <w:r>
        <w:rPr>
          <w:rFonts w:ascii="IRNazanin" w:hAnsi="IRNazanin" w:eastAsia="IRNazanin" w:cs="IRNazanin"/>
          <w:lang w:bidi="fa-IR"/>
          <w:color w:val="111111"/>
          <w:sz w:val="28"/>
          <w:szCs w:val="28"/>
          <w:rtl/>
        </w:rPr>
        <w:t xml:space="preserve">تهران؛ مفتاح؛ شماره نسخه: ۱۴۲۴/۹</w:t>
      </w:r>
    </w:p>
    <w:p>
      <w:pPr>
        <w:pStyle w:val="BookText"/>
      </w:pPr>
      <w:r>
        <w:rPr>
          <w:rFonts w:ascii="IRNazanin" w:hAnsi="IRNazanin" w:eastAsia="IRNazanin" w:cs="IRNazanin"/>
          <w:lang w:bidi="fa-IR"/>
          <w:color w:val="111111"/>
          <w:sz w:val="28"/>
          <w:szCs w:val="28"/>
          <w:rtl/>
        </w:rPr>
        <w:t xml:space="preserve">فى المهذب باب فى اسماء الله الحسنى وصفاته العلى. با ترجمه فارسی آنها؛ خط: نستعلیق ،معرب، بی کا، بی تا؛ ۳/۵ ص [ نشریه: ۷- 279]</w:t>
      </w:r>
    </w:p>
    <w:p>
      <w:pPr>
        <w:pStyle w:val="BookText"/>
      </w:pPr>
      <w:r>
        <w:rPr>
          <w:rFonts w:ascii="IRNazanin" w:hAnsi="IRNazanin" w:eastAsia="IRNazanin" w:cs="IRNazanin"/>
          <w:lang w:bidi="fa-IR"/>
          <w:color w:val="111111"/>
          <w:sz w:val="28"/>
          <w:szCs w:val="28"/>
          <w:rtl/>
        </w:rPr>
        <w:t xml:space="preserve">«اسماء الله تعالى» اسماء الحسنى</w:t>
      </w:r>
    </w:p>
    <w:p>
      <w:pPr>
        <w:pStyle w:val="Heading3"/>
      </w:pPr>
      <w:bookmarkStart w:id="1621" w:name="_Toc1143"/>
      <w:r>
        <w:t>اسماء الله تعالی / اسماء الله / فارسی</w:t>
      </w:r>
      <w:bookmarkEnd w:id="1621"/>
    </w:p>
    <w:p>
      <w:pPr>
        <w:pStyle w:val="BookText"/>
      </w:pPr>
      <w:r>
        <w:rPr>
          <w:rFonts w:ascii="Times New Roman" w:hAnsi="Times New Roman" w:eastAsia="Times New Roman" w:cs="Times New Roman"/>
          <w:lang w:val="en-US" w:bidi="en-US"/>
          <w:color w:val="111111"/>
          <w:sz w:val="28"/>
          <w:szCs w:val="28"/>
          <w:rtl/>
        </w:rPr>
        <w:t xml:space="preserve">asmā'-ol-lāh ta'ālā</w:t>
      </w:r>
    </w:p>
    <w:p>
      <w:pPr>
        <w:pStyle w:val="BookText"/>
      </w:pPr>
      <w:r>
        <w:rPr>
          <w:rFonts w:ascii="IRNazanin" w:hAnsi="IRNazanin" w:eastAsia="IRNazanin" w:cs="IRNazanin"/>
          <w:lang w:bidi="fa-IR"/>
          <w:color w:val="111111"/>
          <w:sz w:val="28"/>
          <w:szCs w:val="28"/>
          <w:rtl/>
        </w:rPr>
        <w:t xml:space="preserve">اسماء الله و کلمات به ترتیب حروف ابجد چیده شده اند. به همراه معادل عددی آنها بدین ترتیب ما في العشرات ما في المات فى الالوف.</w:t>
      </w:r>
    </w:p>
    <w:p>
      <w:pPr>
        <w:pStyle w:val="BookText"/>
      </w:pPr>
      <w:r>
        <w:rPr>
          <w:rFonts w:ascii="IRNazanin" w:hAnsi="IRNazanin" w:eastAsia="IRNazanin" w:cs="IRNazanin"/>
          <w:lang w:bidi="fa-IR"/>
          <w:color w:val="111111"/>
          <w:sz w:val="28"/>
          <w:szCs w:val="28"/>
          <w:rtl/>
        </w:rPr>
        <w:t xml:space="preserve">تهران؛ مجلس؛ شماره نسخه: ۸۹۱۴/۵</w:t>
      </w:r>
    </w:p>
    <w:p>
      <w:pPr>
        <w:pStyle w:val="BookText"/>
      </w:pPr>
      <w:r>
        <w:rPr>
          <w:rFonts w:ascii="IRNazanin" w:hAnsi="IRNazanin" w:eastAsia="IRNazanin" w:cs="IRNazanin"/>
          <w:lang w:bidi="fa-IR"/>
          <w:color w:val="111111"/>
          <w:sz w:val="28"/>
          <w:szCs w:val="28"/>
          <w:rtl/>
        </w:rPr>
        <w:t xml:space="preserve">خط: نسخ و نستعلیق، بی کا، تا: قرن ۱۱؛ کاغذ: فرنگی نخودی، آهار مهره، جلد: میشن زیتونی ضربی با ترنج و سرترنج، ۳ص (۱۹-۲۱)، ابعاد متن: ۷/۵۸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اندازه: ۱۲/۳۰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۲۳/۶سم [ف: ۲۹/۱ - ۳۱۱]</w:t>
      </w:r>
    </w:p>
    <w:p>
      <w:pPr>
        <w:pStyle w:val="Heading3"/>
      </w:pPr>
      <w:bookmarkStart w:id="1622" w:name="_Toc1144"/>
      <w:r>
        <w:t>اسماء الله (جدول) / اسماء الله / عربي</w:t>
      </w:r>
      <w:bookmarkEnd w:id="1622"/>
    </w:p>
    <w:p>
      <w:pPr>
        <w:pStyle w:val="BookText"/>
      </w:pPr>
      <w:r>
        <w:rPr>
          <w:rFonts w:ascii="Times New Roman" w:hAnsi="Times New Roman" w:eastAsia="Times New Roman" w:cs="Times New Roman"/>
          <w:lang w:val="en-US" w:bidi="en-US"/>
          <w:color w:val="111111"/>
          <w:sz w:val="28"/>
          <w:szCs w:val="28"/>
          <w:rtl/>
        </w:rPr>
        <w:t xml:space="preserve">(asmā'-ul-lāh (jadwal)</w:t>
      </w:r>
    </w:p>
    <w:p>
      <w:pPr>
        <w:pStyle w:val="BookText"/>
      </w:pPr>
      <w:r>
        <w:rPr>
          <w:rFonts w:ascii="IRNazanin" w:hAnsi="IRNazanin" w:eastAsia="IRNazanin" w:cs="IRNazanin"/>
          <w:lang w:bidi="fa-IR"/>
          <w:color w:val="111111"/>
          <w:sz w:val="28"/>
          <w:szCs w:val="28"/>
          <w:rtl/>
        </w:rPr>
        <w:t xml:space="preserve">تهران؛ دانشگاه؛ شماره نسخه: ۳۵۲۵/۱۸-ف</w:t>
      </w:r>
    </w:p>
    <w:p>
      <w:pPr>
        <w:pStyle w:val="BookText"/>
      </w:pPr>
      <w:r>
        <w:rPr>
          <w:rFonts w:ascii="IRNazanin" w:hAnsi="IRNazanin" w:eastAsia="IRNazanin" w:cs="IRNazanin"/>
          <w:lang w:bidi="fa-IR"/>
          <w:color w:val="111111"/>
          <w:sz w:val="28"/>
          <w:szCs w:val="28"/>
          <w:rtl/>
        </w:rPr>
        <w:t xml:space="preserve">نسخه اصل: نسخه آقای بنی آدم، خط: نستعلیق، بی کا، تا: قرن ۱۱؛  قطع: رحلی [ فیلم ها-ف: ۲ - ۱۶۲] فیلم ها-ف:2- 162]</w:t>
      </w:r>
    </w:p>
    <w:p>
      <w:pPr>
        <w:pStyle w:val="Heading3"/>
      </w:pPr>
      <w:bookmarkStart w:id="1623" w:name="_Toc1145"/>
      <w:r>
        <w:t>اسماء الله (جدول) / اسماء الله / عربی</w:t>
      </w:r>
      <w:bookmarkEnd w:id="1623"/>
    </w:p>
    <w:p>
      <w:pPr>
        <w:pStyle w:val="BookText"/>
      </w:pPr>
      <w:r>
        <w:rPr>
          <w:rFonts w:ascii="Times New Roman" w:hAnsi="Times New Roman" w:eastAsia="Times New Roman" w:cs="Times New Roman"/>
          <w:lang w:val="en-US" w:bidi="en-US"/>
          <w:color w:val="111111"/>
          <w:sz w:val="28"/>
          <w:szCs w:val="28"/>
          <w:rtl/>
        </w:rPr>
        <w:t xml:space="preserve">(asmā'-ul lāh (jadwal)</w:t>
      </w:r>
    </w:p>
    <w:p>
      <w:pPr>
        <w:pStyle w:val="BookText"/>
      </w:pPr>
      <w:r>
        <w:rPr>
          <w:rFonts w:ascii="IRNazanin" w:hAnsi="IRNazanin" w:eastAsia="IRNazanin" w:cs="IRNazanin"/>
          <w:lang w:bidi="fa-IR"/>
          <w:color w:val="111111"/>
          <w:sz w:val="28"/>
          <w:szCs w:val="28"/>
          <w:rtl/>
        </w:rPr>
        <w:t xml:space="preserve">جدولی است که در جهت افقی ۸ خانه و در جهت عمودی ۱۳ خانه دارد و در هر خانه اسمی از اسماء الهی درج شده (مجموعاً ۱۰۴ اسم) و ذیل هر اسم عدد ابجدی آن ذکر گردیده است.</w:t>
      </w:r>
    </w:p>
    <w:p>
      <w:pPr>
        <w:pStyle w:val="BookText"/>
      </w:pPr>
      <w:r>
        <w:rPr>
          <w:rFonts w:ascii="IRNazanin" w:hAnsi="IRNazanin" w:eastAsia="IRNazanin" w:cs="IRNazanin"/>
          <w:lang w:bidi="fa-IR"/>
          <w:color w:val="111111"/>
          <w:sz w:val="28"/>
          <w:szCs w:val="28"/>
          <w:rtl/>
        </w:rPr>
        <w:t xml:space="preserve">قم ؛مرعشی؛ شماره نسخه: ۱۱۸۲/۶</w:t>
      </w:r>
    </w:p>
    <w:p>
      <w:pPr>
        <w:pStyle w:val="BookText"/>
      </w:pPr>
      <w:r>
        <w:rPr>
          <w:rFonts w:ascii="IRNazanin" w:hAnsi="IRNazanin" w:eastAsia="IRNazanin" w:cs="IRNazanin"/>
          <w:lang w:bidi="fa-IR"/>
          <w:color w:val="111111"/>
          <w:sz w:val="28"/>
          <w:szCs w:val="28"/>
          <w:rtl/>
        </w:rPr>
        <w:t xml:space="preserve">نسخه اصل: فرهنگستان علوم آذربایجان، باكوش 140 (</w:t>
      </w:r>
      <w:r>
        <w:rPr>
          <w:rFonts w:ascii="Times New Roman" w:hAnsi="Times New Roman" w:eastAsia="Times New Roman" w:cs="Times New Roman"/>
          <w:lang w:val="en-US" w:bidi="en-US"/>
          <w:color w:val="111111"/>
          <w:sz w:val="28"/>
          <w:szCs w:val="28"/>
          <w:rtl/>
        </w:rPr>
        <w:t xml:space="preserve">M (</w:t>
      </w:r>
      <w:r>
        <w:rPr>
          <w:rFonts w:ascii="IRNazanin" w:hAnsi="IRNazanin" w:eastAsia="IRNazanin" w:cs="IRNazanin"/>
          <w:lang w:bidi="fa-IR"/>
          <w:color w:val="111111"/>
          <w:sz w:val="28"/>
          <w:szCs w:val="28"/>
          <w:rtl/>
        </w:rPr>
        <w:t xml:space="preserve">۸۲۰۱)؛ خط: نسخ خوانا، بی کا، تا: با تاریخ قرن ۱۳ ۱ص (۴۱) [عکسی ف: ۳ - ۴۱۱]</w:t>
      </w:r>
    </w:p>
    <w:p>
      <w:pPr>
        <w:pStyle w:val="Heading3"/>
      </w:pPr>
      <w:bookmarkStart w:id="1624" w:name="_Toc1146"/>
      <w:r>
        <w:t>اسماء امير المؤمنين / حدیث / عربی</w:t>
      </w:r>
      <w:bookmarkEnd w:id="1624"/>
    </w:p>
    <w:p>
      <w:pPr>
        <w:pStyle w:val="BookText"/>
      </w:pPr>
      <w:r>
        <w:rPr>
          <w:rFonts w:ascii="Times New Roman" w:hAnsi="Times New Roman" w:eastAsia="Times New Roman" w:cs="Times New Roman"/>
          <w:lang w:val="en-US" w:bidi="en-US"/>
          <w:color w:val="111111"/>
          <w:sz w:val="28"/>
          <w:szCs w:val="28"/>
          <w:rtl/>
        </w:rPr>
        <w:t xml:space="preserve">asmā'-u amīr-il-mu'minīn</w:t>
      </w:r>
    </w:p>
    <w:p>
      <w:pPr>
        <w:pStyle w:val="BookText"/>
      </w:pPr>
      <w:r>
        <w:rPr>
          <w:rFonts w:ascii="IRNazanin" w:hAnsi="IRNazanin" w:eastAsia="IRNazanin" w:cs="IRNazanin"/>
          <w:lang w:bidi="fa-IR"/>
          <w:color w:val="111111"/>
          <w:sz w:val="28"/>
          <w:szCs w:val="28"/>
          <w:rtl/>
        </w:rPr>
        <w:t xml:space="preserve">حدیث مفصلی خطاب به سلمان و جندب  است.</w:t>
      </w:r>
    </w:p>
    <w:p>
      <w:pPr>
        <w:pStyle w:val="BookText"/>
      </w:pPr>
      <w:r>
        <w:rPr>
          <w:rFonts w:ascii="IRNazanin" w:hAnsi="IRNazanin" w:eastAsia="IRNazanin" w:cs="IRNazanin"/>
          <w:lang w:bidi="fa-IR"/>
          <w:color w:val="111111"/>
          <w:sz w:val="28"/>
          <w:szCs w:val="28"/>
          <w:rtl/>
        </w:rPr>
        <w:t xml:space="preserve">تهران؛ مجلس؛ شماره نسخه: ۸۸۸۰/۵۰</w:t>
      </w:r>
    </w:p>
    <w:p>
      <w:pPr>
        <w:pStyle w:val="BookText"/>
      </w:pPr>
      <w:r>
        <w:rPr>
          <w:rFonts w:ascii="IRNazanin" w:hAnsi="IRNazanin" w:eastAsia="IRNazanin" w:cs="IRNazanin"/>
          <w:lang w:bidi="fa-IR"/>
          <w:color w:val="111111"/>
          <w:sz w:val="28"/>
          <w:szCs w:val="28"/>
          <w:rtl/>
        </w:rPr>
        <w:t xml:space="preserve">آغاز: روی بن صدقه انه قال سأل ابو عبد الله سلمان الفارسی رضی الله عنه و ابوذر رضی الله عنه كل منهما سأل صاحبه ما معرفه امیرالمؤمنین؛ انجام: من جهل هذا كان بالعكس بالمفهوم من  صریح کلام مولانا امیرالمؤمنین صلوات الله عليهم اجمعين.</w:t>
      </w:r>
    </w:p>
    <w:p>
      <w:pPr>
        <w:pStyle w:val="BookText"/>
      </w:pPr>
      <w:r>
        <w:rPr>
          <w:rFonts w:ascii="IRNazanin" w:hAnsi="IRNazanin" w:eastAsia="IRNazanin" w:cs="IRNazanin"/>
          <w:lang w:bidi="fa-IR"/>
          <w:color w:val="111111"/>
          <w:sz w:val="28"/>
          <w:szCs w:val="28"/>
          <w:rtl/>
        </w:rPr>
        <w:t xml:space="preserve">خط: نسخ و نستعلیق و شکسته، کا: محمد مهدی بن محمدصالح رضوی، تا: با تاریخ ۱۰۹۶ق؛ کاغذ: الوان آهار مهره نازک، جلد: میشن تریاکی ضربی با ترنج و سر ترنج منقش، ۶ص (۲۷۲-۲۷۷)، اندازه: ۲۳/۷۱۳/۹سم [ف: ۲۹/۱ - ۲۲۱]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335" w:name="pg20365_260465"/>
    <w:bookmarkEnd w:id="335"/>
    <w:p>
      <w:pPr>
        <w:pStyle w:val="Heading3"/>
      </w:pPr>
      <w:bookmarkStart w:id="1625" w:name="_Toc1147"/>
      <w:r>
        <w:t>اسماء الانبياء في القرآن / شعر / عربی</w:t>
      </w:r>
      <w:bookmarkEnd w:id="1625"/>
    </w:p>
    <w:p>
      <w:pPr>
        <w:pStyle w:val="BookText"/>
      </w:pPr>
      <w:r>
        <w:rPr>
          <w:rFonts w:ascii="Times New Roman" w:hAnsi="Times New Roman" w:eastAsia="Times New Roman" w:cs="Times New Roman"/>
          <w:lang w:val="en-US" w:bidi="en-US"/>
          <w:color w:val="111111"/>
          <w:sz w:val="28"/>
          <w:szCs w:val="28"/>
          <w:rtl/>
        </w:rPr>
        <w:t xml:space="preserve">asmā’-ul anbīyā’ fi-l qur‘ān</w:t>
      </w:r>
    </w:p>
    <w:p>
      <w:pPr>
        <w:pStyle w:val="BookText"/>
      </w:pPr>
      <w:r>
        <w:rPr>
          <w:rFonts w:ascii="IRNazanin" w:hAnsi="IRNazanin" w:eastAsia="IRNazanin" w:cs="IRNazanin"/>
          <w:lang w:bidi="fa-IR"/>
          <w:color w:val="111111"/>
          <w:sz w:val="28"/>
          <w:szCs w:val="28"/>
          <w:rtl/>
        </w:rPr>
        <w:t xml:space="preserve">تهران؛ مجلس؛ شماره نسخه: ۱۵۹۴۸/۱</w:t>
      </w:r>
    </w:p>
    <w:p>
      <w:pPr>
        <w:pStyle w:val="BookText"/>
      </w:pPr>
      <w:r>
        <w:rPr>
          <w:rFonts w:ascii="IRNazanin" w:hAnsi="IRNazanin" w:eastAsia="IRNazanin" w:cs="IRNazanin"/>
          <w:lang w:bidi="fa-IR"/>
          <w:color w:val="111111"/>
          <w:sz w:val="28"/>
          <w:szCs w:val="28"/>
          <w:rtl/>
        </w:rPr>
        <w:t xml:space="preserve">خط: نسخ، كا: عمر بن  حسین، تا: قرن ۱۲ و ۱۳ با حواشی و  ركابه ،جلد: مقوا عطف  پارچه، اص (ار)، ۱۴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۴۴ - ۱۵۱]</w:t>
      </w:r>
    </w:p>
    <w:p>
      <w:pPr>
        <w:pStyle w:val="Heading3"/>
      </w:pPr>
      <w:bookmarkStart w:id="1626" w:name="_Toc1148"/>
      <w:r>
        <w:t>اسماء انبياء المرسلین / تاریخ پیامبران</w:t>
      </w:r>
      <w:bookmarkEnd w:id="1626"/>
    </w:p>
    <w:p>
      <w:pPr>
        <w:pStyle w:val="BookText"/>
      </w:pPr>
      <w:r>
        <w:rPr>
          <w:rFonts w:ascii="Times New Roman" w:hAnsi="Times New Roman" w:eastAsia="Times New Roman" w:cs="Times New Roman"/>
          <w:lang w:val="en-US" w:bidi="en-US"/>
          <w:color w:val="111111"/>
          <w:sz w:val="28"/>
          <w:szCs w:val="28"/>
          <w:rtl/>
        </w:rPr>
        <w:t xml:space="preserve">asmā’-o anbīyā’-el morsalīn</w:t>
      </w:r>
    </w:p>
    <w:p>
      <w:pPr>
        <w:pStyle w:val="BookText"/>
      </w:pPr>
      <w:r>
        <w:rPr>
          <w:rFonts w:ascii="IRNazanin" w:hAnsi="IRNazanin" w:eastAsia="IRNazanin" w:cs="IRNazanin"/>
          <w:lang w:bidi="fa-IR"/>
          <w:color w:val="111111"/>
          <w:sz w:val="28"/>
          <w:szCs w:val="28"/>
          <w:rtl/>
        </w:rPr>
        <w:t xml:space="preserve">تهران؛ مجلس؛ شماره نسخه: ۱۲۴۵۴/۴</w:t>
      </w:r>
    </w:p>
    <w:p>
      <w:pPr>
        <w:pStyle w:val="BookText"/>
      </w:pPr>
      <w:r>
        <w:rPr>
          <w:rFonts w:ascii="IRNazanin" w:hAnsi="IRNazanin" w:eastAsia="IRNazanin" w:cs="IRNazanin"/>
          <w:lang w:bidi="fa-IR"/>
          <w:color w:val="111111"/>
          <w:sz w:val="28"/>
          <w:szCs w:val="28"/>
          <w:rtl/>
        </w:rPr>
        <w:t xml:space="preserve">خط: ثلث  زیبا، بی کا، بی تا، مجدول مذهب مرصع، جلد: تیماج دورو، سوخت، ترنج با سر با نقش گل و بوته، ۵ص (۳۸-۴۲)،13 سطر، اندازه: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۳۵ - ۴۰۸]</w:t>
      </w:r>
    </w:p>
    <w:p>
      <w:pPr>
        <w:pStyle w:val="Heading3"/>
      </w:pPr>
      <w:bookmarkStart w:id="1627" w:name="_Toc1149"/>
      <w:r>
        <w:t>اسماء البونى و النزهة و الحمى / عربي</w:t>
      </w:r>
      <w:bookmarkEnd w:id="1627"/>
    </w:p>
    <w:p>
      <w:pPr>
        <w:pStyle w:val="BookText"/>
      </w:pPr>
      <w:r>
        <w:rPr>
          <w:rFonts w:ascii="Times New Roman" w:hAnsi="Times New Roman" w:eastAsia="Times New Roman" w:cs="Times New Roman"/>
          <w:lang w:val="en-US" w:bidi="en-US"/>
          <w:color w:val="111111"/>
          <w:sz w:val="28"/>
          <w:szCs w:val="28"/>
          <w:rtl/>
        </w:rPr>
        <w:t xml:space="preserve">asmā’-ul-būnī wa-n-nuzha wa-l-ḥimā</w:t>
      </w:r>
    </w:p>
    <w:p>
      <w:pPr>
        <w:pStyle w:val="BookText"/>
      </w:pPr>
      <w:r>
        <w:rPr>
          <w:rFonts w:ascii="IRNazanin" w:hAnsi="IRNazanin" w:eastAsia="IRNazanin" w:cs="IRNazanin"/>
          <w:lang w:bidi="fa-IR"/>
          <w:color w:val="111111"/>
          <w:sz w:val="28"/>
          <w:szCs w:val="28"/>
          <w:rtl/>
        </w:rPr>
        <w:t xml:space="preserve">سیوطی، عبدالرحمن بن ابی بکر، ۸۴۹ - ۹۱۱ قمری</w:t>
      </w:r>
    </w:p>
    <w:p>
      <w:pPr>
        <w:pStyle w:val="BookText"/>
      </w:pPr>
      <w:r>
        <w:rPr>
          <w:rFonts w:ascii="Times New Roman" w:hAnsi="Times New Roman" w:eastAsia="Times New Roman" w:cs="Times New Roman"/>
          <w:lang w:val="en-US" w:bidi="en-US"/>
          <w:color w:val="111111"/>
          <w:sz w:val="28"/>
          <w:szCs w:val="28"/>
          <w:rtl/>
        </w:rPr>
        <w:t xml:space="preserve">(soyūtī, ‘abd-or-rahmān ebn-e abī-bakr (1446 - 1506)</w:t>
      </w:r>
    </w:p>
    <w:p>
      <w:pPr>
        <w:pStyle w:val="BookText"/>
      </w:pPr>
      <w:r>
        <w:rPr>
          <w:rFonts w:ascii="IRNazanin" w:hAnsi="IRNazanin" w:eastAsia="IRNazanin" w:cs="IRNazanin"/>
          <w:lang w:bidi="fa-IR"/>
          <w:color w:val="111111"/>
          <w:sz w:val="28"/>
          <w:szCs w:val="28"/>
          <w:rtl/>
        </w:rPr>
        <w:t xml:space="preserve">روایاتی که از پیامبر (صلّی اللَّهِ علیه وَ آلِهِ وَ سَلَّمَ ) درباره جلای چشم و رهایی از تب وارد شده، گرد آورده و سپس به نقل اسماء بونی که اسماء حسنی الهی هستندپرداخته و گفته است من خود برای آن سند مدرکی نیافتم ولی ابن ابی الدنیا در کتاب دعای خود از حسن بصری نقل می کند هنگامی که حضرت ادریس (علیه السّلام) به پیامبری مبعوث گردید سحر و جادو در میان قومش رواج داشت خداوند اسماء مزبور را به آن حضرت و پس از او به موسی بن عمران و بعد به خاتم النبيين (صلّی اللَّهِ علیه وَ آلِهِ وَ سَلَّمَ ) آموخته است.</w:t>
      </w:r>
    </w:p>
    <w:p>
      <w:pPr>
        <w:pStyle w:val="BookText"/>
      </w:pPr>
      <w:r>
        <w:rPr>
          <w:rFonts w:ascii="IRNazanin" w:hAnsi="IRNazanin" w:eastAsia="IRNazanin" w:cs="IRNazanin"/>
          <w:lang w:bidi="fa-IR"/>
          <w:color w:val="111111"/>
          <w:sz w:val="28"/>
          <w:szCs w:val="28"/>
          <w:rtl/>
        </w:rPr>
        <w:t xml:space="preserve">مشهد؛ رضوی؛ شماره نسخه: ۲۲۱۸۷</w:t>
      </w:r>
    </w:p>
    <w:p>
      <w:pPr>
        <w:pStyle w:val="BookText"/>
      </w:pPr>
      <w:r>
        <w:rPr>
          <w:rFonts w:ascii="IRNazanin" w:hAnsi="IRNazanin" w:eastAsia="IRNazanin" w:cs="IRNazanin"/>
          <w:lang w:bidi="fa-IR"/>
          <w:color w:val="111111"/>
          <w:sz w:val="28"/>
          <w:szCs w:val="28"/>
          <w:rtl/>
        </w:rPr>
        <w:t xml:space="preserve">آغاز: اخرج الديلمي في مسند الفردوس عن عايشه قالت قال رسول الله صلى الله عليه [و آله] و سلم ثلاث يجلين البصر النظر فی الماء الجارى و النظر الى الخضرة والنظر الى الوجه الحسـن ؛انجام: اللهم هذا الدعاء منى و منك الاجابة بهذا الجهد و عليـک التكلان</w:t>
      </w:r>
    </w:p>
    <w:p>
      <w:pPr>
        <w:pStyle w:val="BookText"/>
      </w:pPr>
      <w:r>
        <w:rPr>
          <w:rFonts w:ascii="IRNazanin" w:hAnsi="IRNazanin" w:eastAsia="IRNazanin" w:cs="IRNazanin"/>
          <w:lang w:bidi="fa-IR"/>
          <w:color w:val="111111"/>
          <w:sz w:val="28"/>
          <w:szCs w:val="28"/>
          <w:rtl/>
        </w:rPr>
        <w:t xml:space="preserve">خط: نسخ، کا: زكريا بن محمد علی  شافعی، تا: ۱۰۶۰ق؛ مجدول؛اهدایی ،رهبری، فروردین ۱۳۷۴؛ کاغذ: نخودی آهار مهره، جـلد: مقوا، عطف و گوشه گالینگور ، 3ص ۲۳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  سم[ف: ۲۶ - ۸۸]</w:t>
      </w:r>
    </w:p>
    <w:p>
      <w:pPr>
        <w:pStyle w:val="Heading3"/>
      </w:pPr>
      <w:bookmarkStart w:id="1628" w:name="_Toc1150"/>
      <w:r>
        <w:t>اسماء تاریخ فارسیان و نوروز و مهرجان از کتاب  پهلوی / ادبیات / فارسی</w:t>
      </w:r>
      <w:bookmarkEnd w:id="1628"/>
    </w:p>
    <w:p>
      <w:pPr>
        <w:pStyle w:val="BookText"/>
      </w:pPr>
      <w:r>
        <w:rPr>
          <w:rFonts w:ascii="Times New Roman" w:hAnsi="Times New Roman" w:eastAsia="Times New Roman" w:cs="Times New Roman"/>
          <w:lang w:val="en-US" w:bidi="en-US"/>
          <w:color w:val="111111"/>
          <w:sz w:val="28"/>
          <w:szCs w:val="28"/>
          <w:rtl/>
        </w:rPr>
        <w:t xml:space="preserve">asmā’-e tārīx-e fārsīyān va nowrūz va mehrejān az k.-e</w:t>
      </w:r>
    </w:p>
    <w:p>
      <w:pPr>
        <w:pStyle w:val="BookText"/>
      </w:pPr>
      <w:r>
        <w:rPr>
          <w:rFonts w:ascii="Times New Roman" w:hAnsi="Times New Roman" w:eastAsia="Times New Roman" w:cs="Times New Roman"/>
          <w:lang w:val="en-US" w:bidi="en-US"/>
          <w:color w:val="111111"/>
          <w:sz w:val="28"/>
          <w:szCs w:val="28"/>
          <w:rtl/>
        </w:rPr>
        <w:t xml:space="preserve">pahlavī</w:t>
      </w:r>
    </w:p>
    <w:p>
      <w:pPr>
        <w:pStyle w:val="BookText"/>
      </w:pPr>
      <w:r>
        <w:rPr>
          <w:rFonts w:ascii="IRNazanin" w:hAnsi="IRNazanin" w:eastAsia="IRNazanin" w:cs="IRNazanin"/>
          <w:lang w:bidi="fa-IR"/>
          <w:color w:val="111111"/>
          <w:sz w:val="28"/>
          <w:szCs w:val="28"/>
          <w:rtl/>
        </w:rPr>
        <w:t xml:space="preserve">بیدل بن داراب پسر رستم</w:t>
      </w:r>
    </w:p>
    <w:p>
      <w:pPr>
        <w:pStyle w:val="BookText"/>
      </w:pPr>
      <w:r>
        <w:rPr>
          <w:rFonts w:ascii="Times New Roman" w:hAnsi="Times New Roman" w:eastAsia="Times New Roman" w:cs="Times New Roman"/>
          <w:lang w:val="en-US" w:bidi="en-US"/>
          <w:color w:val="111111"/>
          <w:sz w:val="28"/>
          <w:szCs w:val="28"/>
          <w:rtl/>
        </w:rPr>
        <w:t xml:space="preserve">bīdel ebn-e dārāb pesar-e rostam</w:t>
      </w:r>
    </w:p>
    <w:p>
      <w:pPr>
        <w:pStyle w:val="BookText"/>
      </w:pPr>
      <w:r>
        <w:rPr>
          <w:rFonts w:ascii="IRNazanin" w:hAnsi="IRNazanin" w:eastAsia="IRNazanin" w:cs="IRNazanin"/>
          <w:lang w:bidi="fa-IR"/>
          <w:color w:val="111111"/>
          <w:sz w:val="28"/>
          <w:szCs w:val="28"/>
          <w:rtl/>
        </w:rPr>
        <w:t xml:space="preserve">تهران؛ دانشگاه؛ شماره نسخه ۱۳۹۳/۷-ف</w:t>
      </w:r>
    </w:p>
    <w:p>
      <w:pPr>
        <w:pStyle w:val="BookText"/>
      </w:pPr>
      <w:r>
        <w:rPr>
          <w:rFonts w:ascii="IRNazanin" w:hAnsi="IRNazanin" w:eastAsia="IRNazanin" w:cs="IRNazanin"/>
          <w:lang w:bidi="fa-IR"/>
          <w:color w:val="111111"/>
          <w:sz w:val="28"/>
          <w:szCs w:val="28"/>
          <w:rtl/>
        </w:rPr>
        <w:t xml:space="preserve">نسخه اصل: موزه بریتانیا 24413 </w:t>
      </w:r>
      <w:r>
        <w:rPr>
          <w:rFonts w:ascii="Times New Roman" w:hAnsi="Times New Roman" w:eastAsia="Times New Roman" w:cs="Times New Roman"/>
          <w:lang w:val="en-US" w:bidi="en-US"/>
          <w:color w:val="111111"/>
          <w:sz w:val="28"/>
          <w:szCs w:val="28"/>
          <w:rtl/>
        </w:rPr>
        <w:t xml:space="preserve">add (</w:t>
      </w:r>
      <w:r>
        <w:rPr>
          <w:rFonts w:ascii="IRNazanin" w:hAnsi="IRNazanin" w:eastAsia="IRNazanin" w:cs="IRNazanin"/>
          <w:lang w:bidi="fa-IR"/>
          <w:color w:val="111111"/>
          <w:sz w:val="28"/>
          <w:szCs w:val="28"/>
          <w:rtl/>
        </w:rPr>
        <w:t xml:space="preserve">ریو ۵۰) خط: نستعلیق، بی کا، تا: ۱۱۷۹ق، ۷۱گ، ۱۳ سطر [ فیلم ها -ف: ۱ - ۵۹۹]</w:t>
      </w:r>
    </w:p>
    <w:p>
      <w:pPr>
        <w:pStyle w:val="Heading3"/>
      </w:pPr>
      <w:bookmarkStart w:id="1629" w:name="_Toc1151"/>
      <w:r>
        <w:t>الاسماء التي لا تدخلها الالف و اللام / لغت / عربی</w:t>
      </w:r>
      <w:bookmarkEnd w:id="1629"/>
    </w:p>
    <w:p>
      <w:pPr>
        <w:pStyle w:val="BookText"/>
      </w:pPr>
      <w:r>
        <w:rPr>
          <w:rFonts w:ascii="Times New Roman" w:hAnsi="Times New Roman" w:eastAsia="Times New Roman" w:cs="Times New Roman"/>
          <w:lang w:val="en-US" w:bidi="en-US"/>
          <w:color w:val="111111"/>
          <w:sz w:val="28"/>
          <w:szCs w:val="28"/>
          <w:rtl/>
        </w:rPr>
        <w:t xml:space="preserve">al-asma-ul-lati la tudxal-u-ha al-alif wa-l-lam</w:t>
      </w:r>
    </w:p>
    <w:p>
      <w:pPr>
        <w:pStyle w:val="BookText"/>
      </w:pPr>
      <w:r>
        <w:rPr>
          <w:rFonts w:ascii="IRNazanin" w:hAnsi="IRNazanin" w:eastAsia="IRNazanin" w:cs="IRNazanin"/>
          <w:lang w:bidi="fa-IR"/>
          <w:color w:val="111111"/>
          <w:sz w:val="28"/>
          <w:szCs w:val="28"/>
          <w:rtl/>
        </w:rPr>
        <w:t xml:space="preserve">ادیب نطنزی، حسین بن ابراهیم - ۴۹۹؟ قمری</w:t>
      </w:r>
    </w:p>
    <w:p>
      <w:pPr>
        <w:pStyle w:val="BookText"/>
      </w:pPr>
      <w:r>
        <w:rPr>
          <w:rFonts w:ascii="Times New Roman" w:hAnsi="Times New Roman" w:eastAsia="Times New Roman" w:cs="Times New Roman"/>
          <w:lang w:val="en-US" w:bidi="en-US"/>
          <w:color w:val="111111"/>
          <w:sz w:val="28"/>
          <w:szCs w:val="28"/>
          <w:rtl/>
        </w:rPr>
        <w:t xml:space="preserve">(adīb-e natanzī, hoseyn ebn-e ebrāhīm (- 1106)</w:t>
      </w:r>
    </w:p>
    <w:p>
      <w:pPr>
        <w:pStyle w:val="BookText"/>
      </w:pPr>
      <w:r>
        <w:rPr>
          <w:rFonts w:ascii="IRNazanin" w:hAnsi="IRNazanin" w:eastAsia="IRNazanin" w:cs="IRNazanin"/>
          <w:lang w:bidi="fa-IR"/>
          <w:color w:val="111111"/>
          <w:sz w:val="28"/>
          <w:szCs w:val="28"/>
          <w:rtl/>
        </w:rPr>
        <w:t xml:space="preserve">تهران؛ سپهسالار؛ شماره نسخه: ۷۵۵۲/۲</w:t>
      </w:r>
    </w:p>
    <w:p>
      <w:pPr>
        <w:pStyle w:val="BookText"/>
      </w:pPr>
      <w:r>
        <w:rPr>
          <w:rFonts w:ascii="Amiri" w:hAnsi="Amiri" w:eastAsia="Amiri" w:cs="Amiri"/>
          <w:lang w:bidi="ar-SA"/>
          <w:color w:val="111111"/>
          <w:sz w:val="28"/>
          <w:szCs w:val="28"/>
          <w:rtl/>
        </w:rPr>
        <w:t xml:space="preserve">آغاز: الحمد لله و الصلاة على محمد و آله اما بعد؛ فيقول الامام العلامة ذوالبيانين النطنزى ره ...: العربية المبنية و المعربة و اسماء الاعلام التي لا تدخلها الالف واللام هذه على ترتيب حروف الهجاء: آدم. احمد ابان. رجل. بحبل اروند. جبل اخا جبل. اعوج .فرس .اسامه اوس؛ انجام: غرابة الاسم. رجل له شرف.  عسرة: اسم امرئة.</w:t>
      </w:r>
    </w:p>
    <w:p>
      <w:pPr>
        <w:pStyle w:val="BookText"/>
      </w:pPr>
      <w:r>
        <w:rPr>
          <w:rFonts w:ascii="IRNazanin" w:hAnsi="IRNazanin" w:eastAsia="IRNazanin" w:cs="IRNazanin"/>
          <w:lang w:bidi="fa-IR"/>
          <w:color w:val="111111"/>
          <w:sz w:val="28"/>
          <w:szCs w:val="28"/>
          <w:rtl/>
        </w:rPr>
        <w:t xml:space="preserve">بی کا، بی تا؛ افتادگی: انجام؛ کاغذ: فرنگی سفید، جلد: سرخ حنایی یک  لا، ۲گ (۴۹پ - ۵۰ پ) ، اندازه: ۱۷/۵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۳ - ۱۳۵]</w:t>
      </w:r>
    </w:p>
    <w:p>
      <w:pPr>
        <w:pStyle w:val="Heading3"/>
      </w:pPr>
      <w:bookmarkStart w:id="1630" w:name="_Toc1152"/>
      <w:r>
        <w:t>الاسماء التي لا تدخلها الالف و اللام / نحو / عربی</w:t>
      </w:r>
      <w:bookmarkEnd w:id="1630"/>
    </w:p>
    <w:p>
      <w:pPr>
        <w:pStyle w:val="BookText"/>
      </w:pPr>
      <w:r>
        <w:rPr>
          <w:rFonts w:ascii="Times New Roman" w:hAnsi="Times New Roman" w:eastAsia="Times New Roman" w:cs="Times New Roman"/>
          <w:lang w:val="en-US" w:bidi="en-US"/>
          <w:color w:val="111111"/>
          <w:sz w:val="28"/>
          <w:szCs w:val="28"/>
          <w:rtl/>
        </w:rPr>
        <w:t xml:space="preserve">al-asma-ul-lati la tudxal-u-ha al-alif wa-l-lam</w:t>
      </w:r>
    </w:p>
    <w:p>
      <w:pPr>
        <w:pStyle w:val="BookText"/>
      </w:pPr>
      <w:r>
        <w:rPr>
          <w:rFonts w:ascii="IRNazanin" w:hAnsi="IRNazanin" w:eastAsia="IRNazanin" w:cs="IRNazanin"/>
          <w:lang w:bidi="fa-IR"/>
          <w:color w:val="111111"/>
          <w:sz w:val="28"/>
          <w:szCs w:val="28"/>
          <w:rtl/>
        </w:rPr>
        <w:t xml:space="preserve">تهران؛ دانشگاه؛ شماره نسخه: ۳۰۲۱/۵عربی</w:t>
      </w:r>
    </w:p>
    <w:p>
      <w:pPr>
        <w:pStyle w:val="BookText"/>
      </w:pPr>
      <w:r>
        <w:rPr>
          <w:rFonts w:ascii="IRNazanin" w:hAnsi="IRNazanin" w:eastAsia="IRNazanin" w:cs="IRNazanin"/>
          <w:lang w:bidi="fa-IR"/>
          <w:color w:val="111111"/>
          <w:sz w:val="28"/>
          <w:szCs w:val="28"/>
          <w:rtl/>
        </w:rPr>
        <w:t xml:space="preserve">محتملا از همان ادیب نطنزی باشد؛ خط: نستعليق، كا: عبدالغفار ،بی تا، کاغذ: فرنگی، جلد: تیماج تریاکی ضربی مقوایی، ۴گ (۲۵۹-۲۵۶)، ۲۰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 اندازه: ۱۶/۵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۱۰-۱۹۶۵]</w:t>
      </w:r>
    </w:p>
    <w:p>
      <w:pPr>
        <w:pStyle w:val="Heading3"/>
      </w:pPr>
      <w:bookmarkStart w:id="1631" w:name="_Toc1153"/>
      <w:r>
        <w:t>اسماء الجبال والمياه و الادوية و الاماكن / جغرافيا /  عربی</w:t>
      </w:r>
      <w:bookmarkEnd w:id="1631"/>
    </w:p>
    <w:p>
      <w:pPr>
        <w:pStyle w:val="BookText"/>
      </w:pPr>
      <w:r>
        <w:rPr>
          <w:rFonts w:ascii="Times New Roman" w:hAnsi="Times New Roman" w:eastAsia="Times New Roman" w:cs="Times New Roman"/>
          <w:lang w:val="en-US" w:bidi="en-US"/>
          <w:color w:val="111111"/>
          <w:sz w:val="28"/>
          <w:szCs w:val="28"/>
          <w:rtl/>
        </w:rPr>
        <w:t xml:space="preserve">asmā'-ul jībāl wa-l mīyah wa-l adwīya wa-l amākin</w:t>
      </w:r>
    </w:p>
    <w:p>
      <w:pPr>
        <w:pStyle w:val="BookText"/>
      </w:pPr>
      <w:r>
        <w:rPr>
          <w:rFonts w:ascii="IRNazanin" w:hAnsi="IRNazanin" w:eastAsia="IRNazanin" w:cs="IRNazanin"/>
          <w:lang w:bidi="fa-IR"/>
          <w:color w:val="111111"/>
          <w:sz w:val="28"/>
          <w:szCs w:val="28"/>
          <w:rtl/>
        </w:rPr>
        <w:t xml:space="preserve">زمخشری، محمود بن  عمر، ۴۶۷ - ۵۳۸ قمری</w:t>
      </w:r>
    </w:p>
    <w:p>
      <w:pPr>
        <w:pStyle w:val="BookText"/>
      </w:pPr>
      <w:r>
        <w:rPr>
          <w:rFonts w:ascii="Times New Roman" w:hAnsi="Times New Roman" w:eastAsia="Times New Roman" w:cs="Times New Roman"/>
          <w:lang w:val="en-US" w:bidi="en-US"/>
          <w:color w:val="111111"/>
          <w:sz w:val="28"/>
          <w:szCs w:val="28"/>
          <w:rtl/>
        </w:rPr>
        <w:t xml:space="preserve">(zamaxšarī, mahmūd ebn-e ‘omar (1075 - 1144)</w:t>
      </w:r>
    </w:p>
    <w:p>
      <w:pPr>
        <w:pStyle w:val="BookText"/>
      </w:pPr>
      <w:r>
        <w:rPr>
          <w:rFonts w:ascii="IRNazanin" w:hAnsi="IRNazanin" w:eastAsia="IRNazanin" w:cs="IRNazanin"/>
          <w:lang w:bidi="fa-IR"/>
          <w:color w:val="111111"/>
          <w:sz w:val="28"/>
          <w:szCs w:val="28"/>
          <w:rtl/>
        </w:rPr>
        <w:t xml:space="preserve">[دنا 819/ (1نسخه]</w:t>
      </w:r>
    </w:p>
    <w:p>
      <w:pPr>
        <w:pStyle w:val="BookText"/>
      </w:pPr>
      <w:r>
        <w:rPr>
          <w:rFonts w:ascii="IRNazanin" w:hAnsi="IRNazanin" w:eastAsia="IRNazanin" w:cs="IRNazanin"/>
          <w:lang w:bidi="fa-IR"/>
          <w:color w:val="111111"/>
          <w:sz w:val="28"/>
          <w:szCs w:val="28"/>
          <w:rtl/>
        </w:rPr>
        <w:t xml:space="preserve">1.تهران؛ مجلس؛ شماره نسخه: ۶۷۱۹</w:t>
      </w:r>
    </w:p>
    <w:p>
      <w:pPr>
        <w:pStyle w:val="BookText"/>
      </w:pPr>
      <w:r>
        <w:rPr>
          <w:rFonts w:ascii="IRNazanin" w:hAnsi="IRNazanin" w:eastAsia="IRNazanin" w:cs="IRNazanin"/>
          <w:lang w:bidi="fa-IR"/>
          <w:color w:val="111111"/>
          <w:sz w:val="28"/>
          <w:szCs w:val="28"/>
          <w:rtl/>
        </w:rPr>
        <w:t xml:space="preserve">خط: نسخ، کا: احمد بن عبدالقادر بن احمد بن كلثوم بن احمد بن محمد قیسی، تا: دوشنبه ۸ شوال ۷۳۹ق؛ مصحح، روی برگ اول نام کتاب و مؤلف و نام برخی از رساله های دیگری که در مجموعه حاضر بوده و اکنون رساله مذکور از آن باقی مانده و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336" w:name="pg20365_260466"/>
    <w:bookmarkEnd w:id="336"/>
    <w:p>
      <w:pPr>
        <w:pStyle w:val="BookText"/>
      </w:pPr>
      <w:r>
        <w:rPr>
          <w:rFonts w:ascii="IRNazanin" w:hAnsi="IRNazanin" w:eastAsia="IRNazanin" w:cs="IRNazanin"/>
          <w:lang w:bidi="fa-IR"/>
          <w:color w:val="111111"/>
          <w:sz w:val="28"/>
          <w:szCs w:val="28"/>
          <w:rtl/>
        </w:rPr>
        <w:t xml:space="preserve">یادداشت نظر کردن در کتاب از احمد بن علی (؟) به سال ؟؟7 دیده می شود، در برگ پایانی چند یادداشت پراکنده و یادداشتی که کتاب حاضر را به همراه مرصع ابن اثیر به مبلغ ۶۱۰ قروش خریده؛ تملک: محمد بن محمد بن محمد بن الجذرى (الجزري) ؛مهر: کتابخانه «باقر ترقی»؛ جلد: تیماج دورو، رو مشکی ضربی ترنج دار، اندرون  سبز، ۵۰ برگ،مختلف سطر،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۱۶/۵سم [ف : ۲۰ - ۲۱۹]</w:t>
      </w:r>
    </w:p>
    <w:p>
      <w:pPr>
        <w:pStyle w:val="BookText"/>
      </w:pPr>
      <w:r>
        <w:rPr>
          <w:rFonts w:ascii="IRNazanin" w:hAnsi="IRNazanin" w:eastAsia="IRNazanin" w:cs="IRNazanin"/>
          <w:lang w:bidi="fa-IR"/>
          <w:color w:val="111111"/>
          <w:sz w:val="28"/>
          <w:szCs w:val="28"/>
          <w:rtl/>
        </w:rPr>
        <w:t xml:space="preserve">شیراز؛ علامه طباطبائی؛ شماره نسخه: ۹۱۸/۲</w:t>
      </w:r>
    </w:p>
    <w:p>
      <w:pPr>
        <w:pStyle w:val="BookText"/>
      </w:pPr>
      <w:r>
        <w:rPr>
          <w:rFonts w:ascii="Amiri" w:hAnsi="Amiri" w:eastAsia="Amiri" w:cs="Amiri"/>
          <w:lang w:bidi="ar-SA"/>
          <w:color w:val="111111"/>
          <w:sz w:val="28"/>
          <w:szCs w:val="28"/>
          <w:rtl/>
        </w:rPr>
        <w:t xml:space="preserve">آغاز: ما فى اوله الهمزة، ابوقبيس: الجبل المشرف على الصفا</w:t>
      </w:r>
    </w:p>
    <w:p>
      <w:pPr>
        <w:pStyle w:val="BookText"/>
      </w:pPr>
      <w:r>
        <w:rPr>
          <w:rFonts w:ascii="IRNazanin" w:hAnsi="IRNazanin" w:eastAsia="IRNazanin" w:cs="IRNazanin"/>
          <w:lang w:bidi="fa-IR"/>
          <w:color w:val="111111"/>
          <w:sz w:val="28"/>
          <w:szCs w:val="28"/>
          <w:rtl/>
        </w:rPr>
        <w:t xml:space="preserve">خط: نسخ، بی کا، تا: ۱۰۸۹ق؛ مصحح،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[نسخه پژوهی: ۳ - ۱۲۵]</w:t>
      </w:r>
    </w:p>
    <w:p>
      <w:pPr>
        <w:pStyle w:val="Heading3"/>
      </w:pPr>
      <w:bookmarkStart w:id="1632" w:name="_Toc1154"/>
      <w:r>
        <w:t>اسماء جلاله الهی / اسماء الله /عربی</w:t>
      </w:r>
      <w:bookmarkEnd w:id="1632"/>
    </w:p>
    <w:p>
      <w:pPr>
        <w:pStyle w:val="BookText"/>
      </w:pPr>
      <w:r>
        <w:rPr>
          <w:rFonts w:ascii="Times New Roman" w:hAnsi="Times New Roman" w:eastAsia="Times New Roman" w:cs="Times New Roman"/>
          <w:lang w:val="en-US" w:bidi="en-US"/>
          <w:color w:val="111111"/>
          <w:sz w:val="28"/>
          <w:szCs w:val="28"/>
          <w:rtl/>
        </w:rPr>
        <w:t xml:space="preserve">asmā’-e jalāle-ye elāhī</w:t>
      </w:r>
    </w:p>
    <w:p>
      <w:pPr>
        <w:pStyle w:val="BookText"/>
      </w:pPr>
      <w:r>
        <w:rPr>
          <w:rFonts w:ascii="IRNazanin" w:hAnsi="IRNazanin" w:eastAsia="IRNazanin" w:cs="IRNazanin"/>
          <w:lang w:bidi="fa-IR"/>
          <w:color w:val="111111"/>
          <w:sz w:val="28"/>
          <w:szCs w:val="28"/>
          <w:rtl/>
        </w:rPr>
        <w:t xml:space="preserve">رضوی  قمی، محمد بن محمد باقر، ۱۱۰۰ - ۱۱۶۰  قمری</w:t>
      </w:r>
    </w:p>
    <w:p>
      <w:pPr>
        <w:pStyle w:val="BookText"/>
      </w:pPr>
      <w:r>
        <w:rPr>
          <w:rFonts w:ascii="Times New Roman" w:hAnsi="Times New Roman" w:eastAsia="Times New Roman" w:cs="Times New Roman"/>
          <w:lang w:val="en-US" w:bidi="en-US"/>
          <w:color w:val="111111"/>
          <w:sz w:val="28"/>
          <w:szCs w:val="28"/>
          <w:rtl/>
        </w:rPr>
        <w:t xml:space="preserve">(1689 - 1747)razavī qomī, mohammad ebn-e mohammad bāqer</w:t>
      </w:r>
    </w:p>
    <w:p>
      <w:pPr>
        <w:pStyle w:val="BookText"/>
      </w:pPr>
      <w:r>
        <w:rPr>
          <w:rFonts w:ascii="IRNazanin" w:hAnsi="IRNazanin" w:eastAsia="IRNazanin" w:cs="IRNazanin"/>
          <w:lang w:bidi="fa-IR"/>
          <w:color w:val="111111"/>
          <w:sz w:val="28"/>
          <w:szCs w:val="28"/>
          <w:rtl/>
        </w:rPr>
        <w:t xml:space="preserve">خوانسار؛ فاضل؛ شماره نسخه: ۲۶۷/۱۵</w:t>
      </w:r>
    </w:p>
    <w:p>
      <w:pPr>
        <w:pStyle w:val="BookText"/>
      </w:pPr>
      <w:r>
        <w:rPr>
          <w:rFonts w:ascii="IRNazanin" w:hAnsi="IRNazanin" w:eastAsia="IRNazanin" w:cs="IRNazanin"/>
          <w:lang w:bidi="fa-IR"/>
          <w:color w:val="111111"/>
          <w:sz w:val="28"/>
          <w:szCs w:val="28"/>
          <w:rtl/>
        </w:rPr>
        <w:t xml:space="preserve">خط ،مختلف، بی کا، بی تا ؛جا: نجف ،جلد: تیماج مشـکی مجدول، اندازه: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۱ - ۲۴۷]</w:t>
      </w:r>
    </w:p>
    <w:p>
      <w:pPr>
        <w:pStyle w:val="Heading3"/>
      </w:pPr>
      <w:bookmarkStart w:id="1633" w:name="_Toc1155"/>
      <w:r>
        <w:t>اسماء جملة من علماء الامامية / رجال / عربي</w:t>
      </w:r>
      <w:bookmarkEnd w:id="1633"/>
    </w:p>
    <w:p>
      <w:pPr>
        <w:pStyle w:val="BookText"/>
      </w:pPr>
      <w:r>
        <w:rPr>
          <w:rFonts w:ascii="Times New Roman" w:hAnsi="Times New Roman" w:eastAsia="Times New Roman" w:cs="Times New Roman"/>
          <w:lang w:val="en-US" w:bidi="en-US"/>
          <w:color w:val="111111"/>
          <w:sz w:val="28"/>
          <w:szCs w:val="28"/>
          <w:rtl/>
        </w:rPr>
        <w:t xml:space="preserve">asmā’-u jumlat-in min ‘ulamā-il’ imāmīya</w:t>
      </w:r>
    </w:p>
    <w:p>
      <w:pPr>
        <w:pStyle w:val="BookText"/>
      </w:pPr>
      <w:r>
        <w:rPr>
          <w:rFonts w:ascii="IRNazanin" w:hAnsi="IRNazanin" w:eastAsia="IRNazanin" w:cs="IRNazanin"/>
          <w:lang w:bidi="fa-IR"/>
          <w:color w:val="111111"/>
          <w:sz w:val="28"/>
          <w:szCs w:val="28"/>
          <w:rtl/>
        </w:rPr>
        <w:t xml:space="preserve">حر عاملی، محمد بن حسن، ۱۰۳۳ - ۱۱۰۴ قمری</w:t>
      </w:r>
    </w:p>
    <w:p>
      <w:pPr>
        <w:pStyle w:val="BookText"/>
      </w:pPr>
      <w:r>
        <w:rPr>
          <w:rFonts w:ascii="Times New Roman" w:hAnsi="Times New Roman" w:eastAsia="Times New Roman" w:cs="Times New Roman"/>
          <w:lang w:val="en-US" w:bidi="en-US"/>
          <w:color w:val="111111"/>
          <w:sz w:val="28"/>
          <w:szCs w:val="28"/>
          <w:rtl/>
        </w:rPr>
        <w:t xml:space="preserve">(horr-e ‘āmelī, mohammad ebn-e hasan (1624 - 1693)</w:t>
      </w:r>
    </w:p>
    <w:p>
      <w:pPr>
        <w:pStyle w:val="BookText"/>
      </w:pPr>
      <w:r>
        <w:rPr>
          <w:rFonts w:ascii="IRNazanin" w:hAnsi="IRNazanin" w:eastAsia="IRNazanin" w:cs="IRNazanin"/>
          <w:lang w:bidi="fa-IR"/>
          <w:color w:val="111111"/>
          <w:sz w:val="28"/>
          <w:szCs w:val="28"/>
          <w:rtl/>
        </w:rPr>
        <w:t xml:space="preserve">رساله ای شامل سامی جمعی از علمای امامیه از متأخرین از شـیخ طوسی و معاصرین او به جز علمای جبل عامل، از شیخ طوسی تا محمد بن عبدالعلی نجده.</w:t>
      </w:r>
    </w:p>
    <w:p>
      <w:pPr>
        <w:pStyle w:val="BookText"/>
      </w:pPr>
      <w:r>
        <w:rPr>
          <w:rFonts w:ascii="IRNazanin" w:hAnsi="IRNazanin" w:eastAsia="IRNazanin" w:cs="IRNazanin"/>
          <w:lang w:bidi="fa-IR"/>
          <w:color w:val="111111"/>
          <w:sz w:val="28"/>
          <w:szCs w:val="28"/>
          <w:rtl/>
        </w:rPr>
        <w:t xml:space="preserve">تهران؛ مجلس؛ شماره نسخه: ۴۱۱/۲</w:t>
      </w:r>
    </w:p>
    <w:p>
      <w:pPr>
        <w:pStyle w:val="BookText"/>
      </w:pPr>
      <w:r>
        <w:rPr>
          <w:rFonts w:ascii="IRNazanin" w:hAnsi="IRNazanin" w:eastAsia="IRNazanin" w:cs="IRNazanin"/>
          <w:lang w:bidi="fa-IR"/>
          <w:color w:val="111111"/>
          <w:sz w:val="28"/>
          <w:szCs w:val="28"/>
          <w:rtl/>
        </w:rPr>
        <w:t xml:space="preserve">خط: نسخ و نستعلیق کاتب - مؤلف، بی تا؛ در متن و هامش ؛کاغذ:سفید، جلد: مقوایی ۵ ص ،(9-13) ابعاد متن ۱۰</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[سنا - ف: ۱ - ۲۴۷]</w:t>
      </w:r>
    </w:p>
    <w:p>
      <w:pPr>
        <w:pStyle w:val="Heading3"/>
      </w:pPr>
      <w:bookmarkStart w:id="1634" w:name="_Toc1156"/>
      <w:r>
        <w:t>اسماء چهارده معصوم / تاریخ معصومین / فارسی</w:t>
      </w:r>
      <w:bookmarkEnd w:id="1634"/>
    </w:p>
    <w:p>
      <w:pPr>
        <w:pStyle w:val="BookText"/>
      </w:pPr>
      <w:r>
        <w:rPr>
          <w:rFonts w:ascii="Times New Roman" w:hAnsi="Times New Roman" w:eastAsia="Times New Roman" w:cs="Times New Roman"/>
          <w:lang w:val="en-US" w:bidi="en-US"/>
          <w:color w:val="111111"/>
          <w:sz w:val="28"/>
          <w:szCs w:val="28"/>
          <w:rtl/>
        </w:rPr>
        <w:t xml:space="preserve">asmā’-e čahārdah ma‘sūm</w:t>
      </w:r>
    </w:p>
    <w:p>
      <w:pPr>
        <w:pStyle w:val="BookText"/>
      </w:pPr>
      <w:r>
        <w:rPr>
          <w:rFonts w:ascii="IRNazanin" w:hAnsi="IRNazanin" w:eastAsia="IRNazanin" w:cs="IRNazanin"/>
          <w:lang w:bidi="fa-IR"/>
          <w:color w:val="111111"/>
          <w:sz w:val="28"/>
          <w:szCs w:val="28"/>
          <w:rtl/>
        </w:rPr>
        <w:t xml:space="preserve">تهران؛ دانشگاه؛ شماره نسخه: ۲۹۵۰/۸۳</w:t>
      </w:r>
    </w:p>
    <w:p>
      <w:pPr>
        <w:pStyle w:val="BookText"/>
      </w:pPr>
      <w:r>
        <w:rPr>
          <w:rFonts w:ascii="IRNazanin" w:hAnsi="IRNazanin" w:eastAsia="IRNazanin" w:cs="IRNazanin"/>
          <w:lang w:bidi="fa-IR"/>
          <w:color w:val="111111"/>
          <w:sz w:val="28"/>
          <w:szCs w:val="28"/>
          <w:rtl/>
        </w:rPr>
        <w:t xml:space="preserve">جدول اسماء و کنیت و لقب و باقی حالات ایشان؛ خط: نستعلیق، بی کا، تا: قرن ۱۱ و ۱۲؛ ۲ ص (۴۸۲ - ۴۸۳) [ ف : ۱۰ - ۱۸۴۴]</w:t>
      </w:r>
    </w:p>
    <w:p>
      <w:pPr>
        <w:pStyle w:val="BookText"/>
      </w:pPr>
      <w:r>
        <w:rPr>
          <w:rFonts w:ascii="IRNazanin" w:hAnsi="IRNazanin" w:eastAsia="IRNazanin" w:cs="IRNazanin"/>
          <w:lang w:bidi="fa-IR"/>
          <w:color w:val="111111"/>
          <w:sz w:val="28"/>
          <w:szCs w:val="28"/>
          <w:rtl/>
        </w:rPr>
        <w:t xml:space="preserve">«اسماء حسنى » الاسماء الحسنى</w:t>
      </w:r>
    </w:p>
    <w:p>
      <w:pPr>
        <w:pStyle w:val="BookText"/>
      </w:pPr>
      <w:r>
        <w:rPr>
          <w:rFonts w:ascii="IRNazanin" w:hAnsi="IRNazanin" w:eastAsia="IRNazanin" w:cs="IRNazanin"/>
          <w:lang w:bidi="fa-IR"/>
          <w:color w:val="111111"/>
          <w:sz w:val="28"/>
          <w:szCs w:val="28"/>
          <w:rtl/>
        </w:rPr>
        <w:t xml:space="preserve">«اسماء الحسنى » اعجاز اسماء الله</w:t>
      </w:r>
    </w:p>
    <w:p>
      <w:pPr>
        <w:pStyle w:val="BookText"/>
      </w:pPr>
      <w:r>
        <w:rPr>
          <w:rFonts w:ascii="Amiri" w:hAnsi="Amiri" w:eastAsia="Amiri" w:cs="Amiri"/>
          <w:lang w:bidi="ar-SA"/>
          <w:color w:val="111111"/>
          <w:sz w:val="28"/>
          <w:szCs w:val="28"/>
          <w:rtl/>
        </w:rPr>
        <w:t xml:space="preserve">«اسماء الحسنى » جنة الاسماء و اسماء الحسنى</w:t>
      </w:r>
    </w:p>
    <w:p>
      <w:pPr>
        <w:pStyle w:val="BookText"/>
      </w:pPr>
      <w:r>
        <w:rPr>
          <w:rFonts w:ascii="IRNazanin" w:hAnsi="IRNazanin" w:eastAsia="IRNazanin" w:cs="IRNazanin"/>
          <w:lang w:bidi="fa-IR"/>
          <w:color w:val="111111"/>
          <w:sz w:val="28"/>
          <w:szCs w:val="28"/>
          <w:rtl/>
        </w:rPr>
        <w:t xml:space="preserve">«اسماء الحسنى » هزار و یک نام خدا</w:t>
      </w:r>
    </w:p>
    <w:p>
      <w:pPr>
        <w:pStyle w:val="BookText"/>
      </w:pPr>
      <w:r>
        <w:rPr>
          <w:rFonts w:ascii="Amiri" w:hAnsi="Amiri" w:eastAsia="Amiri" w:cs="Amiri"/>
          <w:lang w:bidi="ar-SA"/>
          <w:color w:val="111111"/>
          <w:sz w:val="28"/>
          <w:szCs w:val="28"/>
          <w:rtl/>
        </w:rPr>
        <w:t xml:space="preserve">« اسماء الحسنى » كيفيت تلاوت أسماء الحسنى</w:t>
      </w:r>
    </w:p>
    <w:p>
      <w:pPr>
        <w:pStyle w:val="BookText"/>
      </w:pPr>
      <w:r>
        <w:rPr>
          <w:rFonts w:ascii="Amiri" w:hAnsi="Amiri" w:eastAsia="Amiri" w:cs="Amiri"/>
          <w:lang w:bidi="ar-SA"/>
          <w:color w:val="111111"/>
          <w:sz w:val="28"/>
          <w:szCs w:val="28"/>
          <w:rtl/>
        </w:rPr>
        <w:t xml:space="preserve">«اسماء الحسنى » المقام الاسنى في شرح اسماء الحسنى</w:t>
      </w:r>
    </w:p>
    <w:p>
      <w:pPr>
        <w:pStyle w:val="BookText"/>
      </w:pPr>
      <w:r>
        <w:rPr>
          <w:rFonts w:ascii="IRNazanin" w:hAnsi="IRNazanin" w:eastAsia="IRNazanin" w:cs="IRNazanin"/>
          <w:lang w:bidi="fa-IR"/>
          <w:color w:val="111111"/>
          <w:sz w:val="28"/>
          <w:szCs w:val="28"/>
          <w:rtl/>
        </w:rPr>
        <w:t xml:space="preserve">«اسماء الحسنى » حقائق الاسماء</w:t>
      </w:r>
    </w:p>
    <w:p>
      <w:pPr>
        <w:pStyle w:val="BookText"/>
      </w:pPr>
      <w:r>
        <w:rPr>
          <w:rFonts w:ascii="IRNazanin" w:hAnsi="IRNazanin" w:eastAsia="IRNazanin" w:cs="IRNazanin"/>
          <w:lang w:bidi="fa-IR"/>
          <w:color w:val="111111"/>
          <w:sz w:val="28"/>
          <w:szCs w:val="28"/>
          <w:rtl/>
        </w:rPr>
        <w:t xml:space="preserve">« الاسماء الحسنى » خواص اسماء الحسنى</w:t>
      </w:r>
    </w:p>
    <w:p>
      <w:pPr>
        <w:pStyle w:val="Heading3"/>
      </w:pPr>
      <w:bookmarkStart w:id="1635" w:name="_Toc1157"/>
      <w:r>
        <w:t>اسماء الحسنی = اسماء الله تعالی = خواص اسماء  الحسنى / اسماء الله / فارسی</w:t>
      </w:r>
      <w:bookmarkEnd w:id="1635"/>
    </w:p>
    <w:p>
      <w:pPr>
        <w:pStyle w:val="BookText"/>
      </w:pPr>
      <w:r>
        <w:rPr>
          <w:rFonts w:ascii="Times New Roman" w:hAnsi="Times New Roman" w:eastAsia="Times New Roman" w:cs="Times New Roman"/>
          <w:lang w:val="en-US" w:bidi="en-US"/>
          <w:color w:val="111111"/>
          <w:sz w:val="28"/>
          <w:szCs w:val="28"/>
          <w:rtl/>
        </w:rPr>
        <w:t xml:space="preserve">asmā’-ol hosnā = asmā’-ol lāh ta‘ālā = xavass-e asmā’-</w:t>
      </w:r>
    </w:p>
    <w:p>
      <w:pPr>
        <w:pStyle w:val="BookText"/>
      </w:pPr>
      <w:r>
        <w:rPr>
          <w:rFonts w:ascii="Times New Roman" w:hAnsi="Times New Roman" w:eastAsia="Times New Roman" w:cs="Times New Roman"/>
          <w:lang w:val="en-US" w:bidi="en-US"/>
          <w:color w:val="111111"/>
          <w:sz w:val="28"/>
          <w:szCs w:val="28"/>
          <w:rtl/>
        </w:rPr>
        <w:t xml:space="preserve">ol hosnā</w:t>
      </w:r>
    </w:p>
    <w:p>
      <w:pPr>
        <w:pStyle w:val="BookText"/>
      </w:pPr>
      <w:r>
        <w:rPr>
          <w:rFonts w:ascii="IRNazanin" w:hAnsi="IRNazanin" w:eastAsia="IRNazanin" w:cs="IRNazanin"/>
          <w:lang w:bidi="fa-IR"/>
          <w:color w:val="111111"/>
          <w:sz w:val="28"/>
          <w:szCs w:val="28"/>
          <w:rtl/>
        </w:rPr>
        <w:t xml:space="preserve">علی بن موسی (علیه السّلام) امام هشتم، ۱۵۳ - ۲۰۳ قمری</w:t>
      </w:r>
    </w:p>
    <w:p>
      <w:pPr>
        <w:pStyle w:val="BookText"/>
      </w:pPr>
      <w:r>
        <w:rPr>
          <w:rFonts w:ascii="Times New Roman" w:hAnsi="Times New Roman" w:eastAsia="Times New Roman" w:cs="Times New Roman"/>
          <w:lang w:val="en-US" w:bidi="en-US"/>
          <w:color w:val="111111"/>
          <w:sz w:val="28"/>
          <w:szCs w:val="28"/>
          <w:rtl/>
        </w:rPr>
        <w:t xml:space="preserve">('alī ebn-e mūsā, emām-e haštom (771 - 819)</w:t>
      </w:r>
    </w:p>
    <w:p>
      <w:pPr>
        <w:pStyle w:val="BookText"/>
      </w:pPr>
      <w:r>
        <w:rPr>
          <w:rFonts w:ascii="IRNazanin" w:hAnsi="IRNazanin" w:eastAsia="IRNazanin" w:cs="IRNazanin"/>
          <w:lang w:bidi="fa-IR"/>
          <w:color w:val="111111"/>
          <w:sz w:val="28"/>
          <w:szCs w:val="28"/>
          <w:rtl/>
        </w:rPr>
        <w:t xml:space="preserve">شرح و خواص اسماء الله الحسنى است که از سوی وجود مبارک حضرت امام رضا (علیه السّلام) برای مأمون عباسی نگاشته شده است و در مقدمه رساله عنوان شده است که این رساله را حضرت علی بن موسی الرضا (علیه السّلام) به همراه رساله طب برای مأمون فرستاده است. اصل این رساله حدیثی است که شیخ صدوق در «التوحید» باب اسماء الله تعالى (ص 95-۲۱۸) به نقل از امام رضا (علیه السّلام) نقل نموده است و توسط مترجمان به فارسی ترجمه شده است. این اسامی عبارتند :از الخالق البارى، المصور الغفار القهار الوهابف الرزاق، الفتاح، العليم، القابض. نمونه: الفتاح هر که بعد از نماز صبح هر دو دست بر سینه نهد و هفتاد بار یا فتاح گوید دل او روشن و نورانی شود و روی به هر کاری و مهمی که آرد بر وی آسان گردد و همه بستگی بر وی گشاده شود و چون بسیار گوید و بدل همراه باشد از علم و معرفت بهره تمام یابد و هر که خواهد که از امری پنهان آگاه شود سه شب جمعه بعد از دو رکعت نماز صد و پنجاه بار در سجده بگوید کما هی آن امر بر وی ظاهر شود و نیک بداند.</w:t>
      </w:r>
    </w:p>
    <w:p>
      <w:pPr>
        <w:pStyle w:val="BookText"/>
      </w:pPr>
      <w:r>
        <w:rPr>
          <w:rFonts w:ascii="IRNazanin" w:hAnsi="IRNazanin" w:eastAsia="IRNazanin" w:cs="IRNazanin"/>
          <w:lang w:bidi="fa-IR"/>
          <w:color w:val="111111"/>
          <w:sz w:val="28"/>
          <w:szCs w:val="28"/>
          <w:rtl/>
        </w:rPr>
        <w:t xml:space="preserve">آغاز: بسمله منقول است از حضرت رضا علیه السلام که در نزد من از اسماء الله چیزی چند است که تجربه کرده ام و صحت آن بر من ظاهر شد و از خواندن آنها ابا عن جد بمن رسیده و نزد من محقق شده</w:t>
      </w:r>
    </w:p>
    <w:p>
      <w:pPr>
        <w:pStyle w:val="BookText"/>
      </w:pPr>
      <w:r>
        <w:rPr>
          <w:rFonts w:ascii="IRNazanin" w:hAnsi="IRNazanin" w:eastAsia="IRNazanin" w:cs="IRNazanin"/>
          <w:lang w:bidi="fa-IR"/>
          <w:color w:val="111111"/>
          <w:sz w:val="28"/>
          <w:szCs w:val="28"/>
          <w:rtl/>
        </w:rPr>
        <w:t xml:space="preserve">انجام: و چون بمشک و زعفران بنویسد و بخورد بزرگ خلایق و نزد ایشان عزیز و سرافراز شود انشاء الله.</w:t>
      </w:r>
    </w:p>
    <w:p>
      <w:pPr>
        <w:pStyle w:val="BookText"/>
      </w:pPr>
      <w:r>
        <w:rPr>
          <w:rFonts w:ascii="IRNazanin" w:hAnsi="IRNazanin" w:eastAsia="IRNazanin" w:cs="IRNazanin"/>
          <w:lang w:bidi="fa-IR"/>
          <w:color w:val="111111"/>
          <w:sz w:val="28"/>
          <w:szCs w:val="28"/>
          <w:rtl/>
        </w:rPr>
        <w:t xml:space="preserve">[دنا ۸۱۹/۱(۱۱ نسخه)؛ فهرستواره ۵۲۷/۷]</w:t>
      </w:r>
    </w:p>
    <w:p>
      <w:pPr>
        <w:pStyle w:val="BookText"/>
      </w:pPr>
      <w:r>
        <w:rPr>
          <w:rFonts w:ascii="IRNazanin" w:hAnsi="IRNazanin" w:eastAsia="IRNazanin" w:cs="IRNazanin"/>
          <w:lang w:bidi="fa-IR"/>
          <w:color w:val="111111"/>
          <w:sz w:val="28"/>
          <w:szCs w:val="28"/>
          <w:rtl/>
        </w:rPr>
        <w:t xml:space="preserve">۱. فردوس؛ مدرسه حبیبیه؛ شماره نسخه: ۲۰/۱۵ در حاشیه</w:t>
      </w:r>
    </w:p>
    <w:p>
      <w:pPr>
        <w:pStyle w:val="BookText"/>
      </w:pPr>
      <w:r>
        <w:rPr>
          <w:rFonts w:ascii="IRNazanin" w:hAnsi="IRNazanin" w:eastAsia="IRNazanin" w:cs="IRNazanin"/>
          <w:lang w:bidi="fa-IR"/>
          <w:color w:val="111111"/>
          <w:sz w:val="28"/>
          <w:szCs w:val="28"/>
          <w:rtl/>
        </w:rPr>
        <w:t xml:space="preserve">آغاز: بسمله روایت می کند شیخ حسن بن الحسین بابویه از شیخ جعفر بن محمد و او از محمد بن عبدالله بن وهبان ... که که در سنه  ثمان و ثمانين و ثلثمائه که مرا در مسجد جامع کوفه شیخ محمد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احمد</w:t>
      </w:r>
    </w:p>
    <w:p>
      <w:pPr>
        <w:pStyle w:val="BookText"/>
      </w:pPr>
      <w:r>
        <w:rPr>
          <w:rFonts w:ascii="IRNazanin" w:hAnsi="IRNazanin" w:eastAsia="IRNazanin" w:cs="IRNazanin"/>
          <w:lang w:bidi="fa-IR"/>
          <w:color w:val="111111"/>
          <w:sz w:val="28"/>
          <w:szCs w:val="28"/>
          <w:rtl/>
        </w:rPr>
        <w:t xml:space="preserve">خط: نستعلیق، کا: معین شیرازی، تا: ۹۰۹ق ؛جا: تبریز ؛جلد: تیماج مشکی مجدول گرهی ، ۸گ (4ر-11پ)،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 سم [ف مخ]</w:t>
      </w:r>
    </w:p>
    <w:p>
      <w:pPr>
        <w:pStyle w:val="BookText"/>
      </w:pPr>
      <w:r>
        <w:rPr>
          <w:rFonts w:ascii="IRNazanin" w:hAnsi="IRNazanin" w:eastAsia="IRNazanin" w:cs="IRNazanin"/>
          <w:lang w:bidi="fa-IR"/>
          <w:color w:val="111111"/>
          <w:sz w:val="28"/>
          <w:szCs w:val="28"/>
          <w:rtl/>
        </w:rPr>
        <w:t xml:space="preserve">۲. مشهد؛ رضوی؛ شماره نسخه: ۳۳۲۵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خوب، کا: عبدالجبار  اصفهانی، تا: ۱۰۶۱ق؛ صفـحه اول دارای یک سرلوح  مرصع،مجدول مذهب؛ واقف: نائينی ؛جلد: مقوای روغنی ۱۰ سطر،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۶ - ۲۰۹]</w:t>
      </w:r>
    </w:p>
    <w:p>
      <w:pPr>
        <w:pStyle w:val="BookText"/>
      </w:pPr>
      <w:r>
        <w:rPr>
          <w:rFonts w:ascii="IRNazanin" w:hAnsi="IRNazanin" w:eastAsia="IRNazanin" w:cs="IRNazanin"/>
          <w:lang w:bidi="fa-IR"/>
          <w:color w:val="111111"/>
          <w:sz w:val="28"/>
          <w:szCs w:val="28"/>
          <w:rtl/>
        </w:rPr>
        <w:t xml:space="preserve">۳. تهران؛ ملک؛ شماره نسخه: ۴۲۷۵/۳</w:t>
      </w:r>
    </w:p>
    <w:p>
      <w:pPr>
        <w:pStyle w:val="BookText"/>
      </w:pPr>
      <w:r>
        <w:rPr>
          <w:rFonts w:ascii="IRNazanin" w:hAnsi="IRNazanin" w:eastAsia="IRNazanin" w:cs="IRNazanin"/>
          <w:lang w:bidi="fa-IR"/>
          <w:color w:val="111111"/>
          <w:sz w:val="28"/>
          <w:szCs w:val="28"/>
          <w:rtl/>
        </w:rPr>
        <w:t xml:space="preserve">آغاز: بسمله روایت می کند شیخ حسن بن الحسین بابویه از شـیخ جعفر ... از ... علی بن موسی الرضا (علیه السّلام) و او همیشه در خدمت حضرت امام میبودند ؛ انجام: الصبور ... علی محمد و آله و سلـم از الله است تا صبور؛ خط: نستعلیق، کا: محمد سعید بن محمد تـقی خاتون آبادی، تا: ۱۰۸۱ق؛ با یک سرلوح و دو پیشانی، مجدول و کمند به زر؛ کاغذ: نوعی  ترمه ،جلد: رویه روغنی گل و بـوته زمینه  قهوه ای، ۷گ (۲ پ-8 پ هامش)، ۱۹ سطر، اندازه: ۱۶/۸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۲۴/۷سم [ف: ۷ - ۳۲۱]</w:t>
      </w:r>
    </w:p>
    <w:p>
      <w:pPr>
        <w:pStyle w:val="BookText"/>
      </w:pPr>
      <w:r>
        <w:rPr>
          <w:rFonts w:ascii="IRNazanin" w:hAnsi="IRNazanin" w:eastAsia="IRNazanin" w:cs="IRNazanin"/>
          <w:lang w:bidi="fa-IR"/>
          <w:color w:val="111111"/>
          <w:sz w:val="28"/>
          <w:szCs w:val="28"/>
          <w:rtl/>
        </w:rPr>
        <w:t xml:space="preserve">۴. قم؛ دار الحدیث؛ شماره نسخه: ۹۶</w:t>
      </w:r>
    </w:p>
    <w:p>
      <w:pPr>
        <w:pStyle w:val="BookText"/>
      </w:pPr>
      <w:r>
        <w:rPr>
          <w:rFonts w:ascii="IRNazanin" w:hAnsi="IRNazanin" w:eastAsia="IRNazanin" w:cs="IRNazanin"/>
          <w:lang w:bidi="fa-IR"/>
          <w:color w:val="111111"/>
          <w:sz w:val="28"/>
          <w:szCs w:val="28"/>
          <w:rtl/>
        </w:rPr>
        <w:t xml:space="preserve">آغاز: بسمله روایت می کند شیخ حسن بن حسن بابویه ازشـیخ جعفر بن محمد و او از عبدالله بن محمد بن رهبان بن محمد جـمال الدين البصرى المعروف؛ انجام: رضيت بالله ربناً قائماً على من عادانی و استعنت بالله على من ناوانى إلهي أنت أملى و كيـف أخشى و عليه متكلى</w:t>
      </w:r>
    </w:p>
    <w:p>
      <w:pPr>
        <w:pStyle w:val="BookText"/>
      </w:pPr>
      <w:r>
        <w:rPr>
          <w:rFonts w:ascii="IRNazanin" w:hAnsi="IRNazanin" w:eastAsia="IRNazanin" w:cs="IRNazanin"/>
          <w:lang w:bidi="fa-IR"/>
          <w:color w:val="111111"/>
          <w:sz w:val="28"/>
          <w:szCs w:val="28"/>
          <w:rtl/>
        </w:rPr>
        <w:t xml:space="preserve">خط: نسخ، بی کا، تا: ۱۰۹۹ق؛ افتادگی: انجام ؛جلد: تیماج قهوه ای، ۴۲گ، اندازه: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۲۶]</w:t>
      </w:r>
    </w:p>
    <w:p>
      <w:pPr>
        <w:pStyle w:val="BookText"/>
      </w:pPr>
      <w:r>
        <w:rPr>
          <w:rFonts w:ascii="IRNazanin" w:hAnsi="IRNazanin" w:eastAsia="IRNazanin" w:cs="IRNazanin"/>
          <w:lang w:bidi="fa-IR"/>
          <w:color w:val="111111"/>
          <w:sz w:val="28"/>
          <w:szCs w:val="28"/>
          <w:rtl/>
        </w:rPr>
        <w:t xml:space="preserve">۵. قم؛ مرعشی؛ شماره نسخه: ۱۵۰۷۸/۵</w:t>
      </w:r>
    </w:p>
    <w:p>
      <w:pPr>
        <w:pStyle w:val="BookText"/>
      </w:pPr>
      <w:r>
        <w:rPr>
          <w:rFonts w:ascii="IRNazanin" w:hAnsi="IRNazanin" w:eastAsia="IRNazanin" w:cs="IRNazanin"/>
          <w:lang w:bidi="fa-IR"/>
          <w:color w:val="111111"/>
          <w:sz w:val="28"/>
          <w:szCs w:val="28"/>
          <w:rtl/>
        </w:rPr>
        <w:t xml:space="preserve">آغاز: روایت می کند شیخ حسن بن الحسین بابویه از شیخ جـعفر بن محمد و او از محمد بن عبدالله ... روایت می کنند که مأمـون خلیفه در مرو بود و امام (علیه السّلام) در مجلس او حاضر بودند ... هوالله الذى لا اله الا هو، هر که روزی هزار بار بگوید حق تعالی او را از ارباب یقین گرداند؛ انجام: و آن بلا و مشقت بر وی سهل باشد و بخیر مبدل گردد و الحمد لله رب العالمين</w:t>
      </w:r>
    </w:p>
    <w:p>
      <w:pPr>
        <w:pStyle w:val="BookText"/>
      </w:pPr>
      <w:r>
        <w:rPr>
          <w:rFonts w:ascii="IRNazanin" w:hAnsi="IRNazanin" w:eastAsia="IRNazanin" w:cs="IRNazanin"/>
          <w:lang w:bidi="fa-IR"/>
          <w:color w:val="111111"/>
          <w:sz w:val="28"/>
          <w:szCs w:val="28"/>
          <w:rtl/>
        </w:rPr>
        <w:t xml:space="preserve">خط: نستعلیق، بی کا، تا: قرن ۱۳؛ کاغذ: فرنگی، ۷گ (44-50)، ۱۹ سطر، اندازه: 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۳۸ - ۱۹۴]</w:t>
      </w:r>
    </w:p>
    <w:p>
      <w:pPr>
        <w:pStyle w:val="BookText"/>
      </w:pPr>
      <w:r>
        <w:rPr>
          <w:rFonts w:ascii="IRNazanin" w:hAnsi="IRNazanin" w:eastAsia="IRNazanin" w:cs="IRNazanin"/>
          <w:lang w:bidi="fa-IR"/>
          <w:color w:val="111111"/>
          <w:sz w:val="28"/>
          <w:szCs w:val="28"/>
          <w:rtl/>
        </w:rPr>
        <w:t xml:space="preserve">۶. تهران؛ ملک؛ شماره نسخه: ۶۱۲۹</w:t>
      </w:r>
    </w:p>
    <w:p>
      <w:pPr>
        <w:pStyle w:val="BookText"/>
      </w:pPr>
      <w:r>
        <w:rPr>
          <w:rFonts w:ascii="IRNazanin" w:hAnsi="IRNazanin" w:eastAsia="IRNazanin" w:cs="IRNazanin"/>
          <w:lang w:bidi="fa-IR"/>
          <w:color w:val="111111"/>
          <w:sz w:val="28"/>
          <w:szCs w:val="28"/>
          <w:rtl/>
        </w:rPr>
        <w:t xml:space="preserve">آغاز: برابر؛ انجام: بنویسد و بخورد بزرگ خلایق شود ونزد ایشان عزیز و مکرم شود.</w:t>
      </w:r>
    </w:p>
    <w:p>
      <w:pPr>
        <w:pStyle w:val="BookText"/>
      </w:pPr>
      <w:r>
        <w:rPr>
          <w:rFonts w:ascii="IRNazanin" w:hAnsi="IRNazanin" w:eastAsia="IRNazanin" w:cs="IRNazanin"/>
          <w:lang w:bidi="fa-IR"/>
          <w:color w:val="111111"/>
          <w:sz w:val="28"/>
          <w:szCs w:val="28"/>
          <w:rtl/>
        </w:rPr>
        <w:t xml:space="preserve">در فهرست ناشناس؛ خط: نستعلیق  خوش، بی کا، تا: قرن ۱۳،دو صفحه اول دارای تشعیر با یک سرلوح، مجدول؛ کاغذ: کاغذ ترمه، ۲۷گ، ۹ سطر ،اندازه: ۱۱/۴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۱۸/۱سم [ف: ۲ - ۲۶]</w:t>
      </w:r>
    </w:p>
    <w:p>
      <w:pPr>
        <w:pStyle w:val="BookText"/>
      </w:pPr>
      <w:r>
        <w:rPr>
          <w:rFonts w:ascii="IRNazanin" w:hAnsi="IRNazanin" w:eastAsia="IRNazanin" w:cs="IRNazanin"/>
          <w:lang w:bidi="fa-IR"/>
          <w:color w:val="111111"/>
          <w:sz w:val="28"/>
          <w:szCs w:val="28"/>
          <w:rtl/>
        </w:rPr>
        <w:t xml:space="preserve">7.تهران؛ ملی؛ شماره نسخه: ۸۶۷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محمد بن حسن خوانساری، تا: شوال ۱۲۴۷ق؛</w:t>
      </w:r>
    </w:p>
    <w:p>
      <w:pPr>
        <w:pStyle w:val="BookText"/>
      </w:pPr>
      <w:r>
        <w:rPr>
          <w:rFonts w:ascii="IRNazanin" w:hAnsi="IRNazanin" w:eastAsia="IRNazanin" w:cs="IRNazanin"/>
          <w:lang w:bidi="fa-IR"/>
          <w:color w:val="111111"/>
          <w:sz w:val="28"/>
          <w:szCs w:val="28"/>
          <w:rtl/>
        </w:rPr>
        <w:t xml:space="preserve">جا: محتملاً تهران؛ با سرلوح گل و بوته سبز، مجدول؛ کاغذ: فرنگی، جلد: تیماج مشکی یک لا ،۲۲گ، ۹ سطر (7</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۱۲/۵۰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۲ - ۴۰۱]</w:t>
      </w:r>
    </w:p>
    <w:p>
      <w:pPr>
        <w:pStyle w:val="BookText"/>
      </w:pPr>
      <w:r>
        <w:rPr>
          <w:rFonts w:ascii="IRNazanin" w:hAnsi="IRNazanin" w:eastAsia="IRNazanin" w:cs="IRNazanin"/>
          <w:lang w:bidi="fa-IR"/>
          <w:color w:val="111111"/>
          <w:sz w:val="28"/>
          <w:szCs w:val="28"/>
          <w:rtl/>
        </w:rPr>
        <w:t xml:space="preserve">۸. تهران؛ مجلس؛ شماره نسخه: ۱۲۴۵۷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محمد خوانساری بن احسن الخطاطين ملاحسن مشهور به خوشنویس ،تا: رجب ۱۲۶۹ق؛ صفحات مجدول؛ جلد: تیماج قهوه ای ،۲۶گ، ۸ سطر ،اندازه: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۳۵ - ۴۱۰]</w:t>
      </w:r>
    </w:p>
    <w:p>
      <w:pPr>
        <w:pStyle w:val="BookText"/>
      </w:pPr>
      <w:r>
        <w:rPr>
          <w:rFonts w:ascii="IRNazanin" w:hAnsi="IRNazanin" w:eastAsia="IRNazanin" w:cs="IRNazanin"/>
          <w:lang w:bidi="fa-IR"/>
          <w:color w:val="111111"/>
          <w:sz w:val="28"/>
          <w:szCs w:val="28"/>
          <w:rtl/>
        </w:rPr>
        <w:t xml:space="preserve">۹ .تهران؛ سلطنتی؛ شماره نسخه: ۱۸۶۷</w:t>
      </w:r>
    </w:p>
    <w:p>
      <w:pPr>
        <w:pStyle w:val="BookText"/>
      </w:pPr>
      <w:r>
        <w:rPr>
          <w:rFonts w:ascii="IRNazanin" w:hAnsi="IRNazanin" w:eastAsia="IRNazanin" w:cs="IRNazanin"/>
          <w:lang w:bidi="fa-IR"/>
          <w:color w:val="111111"/>
          <w:sz w:val="28"/>
          <w:szCs w:val="28"/>
          <w:rtl/>
        </w:rPr>
        <w:t xml:space="preserve">آغاز: برابر؛ انجام: بدار السلطنه تبریز ماه مبارک رمضان سنه مسوده شد کاتبه خانه زاد حضرت اقدس والا وليعهد ابد مهد مظفرالدین میرزا روحی فداه ابن ملک ایرج میرزا ملقب  به رئيس الاطباء حقیر غلام حسین قاجار ملقب به صدرالشعرا</w:t>
      </w:r>
    </w:p>
    <w:p>
      <w:pPr>
        <w:pStyle w:val="BookText"/>
      </w:pPr>
      <w:r>
        <w:rPr>
          <w:rFonts w:ascii="IRNazanin" w:hAnsi="IRNazanin" w:eastAsia="IRNazanin" w:cs="IRNazanin"/>
          <w:lang w:bidi="fa-IR"/>
          <w:color w:val="111111"/>
          <w:sz w:val="28"/>
          <w:szCs w:val="28"/>
          <w:rtl/>
        </w:rPr>
        <w:t xml:space="preserve">خط: نستعلیق  خوش، کا: غلامحسین قاجار ملقب به صدرالشعراء ابن ملک ایرج میرزا ملقب به رئیس الاطباء، تا: رمضان ۱۲۹۴ق، جا: دارالسلطنه تبریز؛ مهر: کتابخانه دولت علیه ایران ۱۳۲۹؛ کاغذ ،فرنگی ،جلد: چرم یک لایی لاکی  رنگ، ۱۴ص، ۷ سطر و ۱۲/۵ سطر در حواشی، قطع: ربعی، اندازه: ۱۱</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۱۷سم [ف: ۱ - ۳۱۵]</w:t>
      </w:r>
    </w:p>
    <w:p>
      <w:pPr>
        <w:pStyle w:val="BookText"/>
      </w:pPr>
      <w:r>
        <w:rPr>
          <w:rFonts w:ascii="IRNazanin" w:hAnsi="IRNazanin" w:eastAsia="IRNazanin" w:cs="IRNazanin"/>
          <w:lang w:bidi="fa-IR"/>
          <w:color w:val="111111"/>
          <w:sz w:val="28"/>
          <w:szCs w:val="28"/>
          <w:rtl/>
        </w:rPr>
        <w:t xml:space="preserve">۱۰. تهران؛ سلطنتی؛ شماره نسخه: ۲۰۲۸</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،ممتاز، بی کا، بی تا ،مجدول ،مذهب، با سرلوح تزئینی، مهر: مشیر  السلطنه، حسین بن هدایت الله، رضا الحسيني، ناصرالدین شاه، کاغذ: فرنگی ضخیم، جلد: چرم دولایی بوم نخودی رنگ منقش به منظره یک قلعه و عمارت قدیمی و چندین درخت و چند  تصویر، ۴۲ ص، ۸ سطر، قطع: ربعی،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۱ - ۶۶۰]</w:t>
      </w:r>
    </w:p>
    <w:p>
      <w:pPr>
        <w:pStyle w:val="BookText"/>
      </w:pPr>
      <w:r>
        <w:rPr>
          <w:rFonts w:ascii="IRNazanin" w:hAnsi="IRNazanin" w:eastAsia="IRNazanin" w:cs="IRNazanin"/>
          <w:lang w:bidi="fa-IR"/>
          <w:color w:val="111111"/>
          <w:sz w:val="28"/>
          <w:szCs w:val="28"/>
          <w:rtl/>
        </w:rPr>
        <w:t xml:space="preserve">۱۱. تهران؛ ملک؛ شماره نسخه: ۴۳۷۹/۳</w:t>
      </w:r>
    </w:p>
    <w:p>
      <w:pPr>
        <w:pStyle w:val="BookText"/>
      </w:pPr>
      <w:r>
        <w:rPr>
          <w:rFonts w:ascii="IRNazanin" w:hAnsi="IRNazanin" w:eastAsia="IRNazanin" w:cs="IRNazanin"/>
          <w:lang w:bidi="fa-IR"/>
          <w:color w:val="111111"/>
          <w:sz w:val="28"/>
          <w:szCs w:val="28"/>
          <w:rtl/>
        </w:rPr>
        <w:t xml:space="preserve">آغاز: بسمله روایت می کند شیخ حسن بن الحسین بابویه از شیخ جعفر بن محمد و از محمد؛ انجام: و بخیر مبدل گردد .و الحمدلله رب العالمين وصلى الله على محمد و آله و سلم.</w:t>
      </w:r>
    </w:p>
    <w:p>
      <w:pPr>
        <w:pStyle w:val="BookText"/>
      </w:pPr>
      <w:r>
        <w:rPr>
          <w:rFonts w:ascii="IRNazanin" w:hAnsi="IRNazanin" w:eastAsia="IRNazanin" w:cs="IRNazanin"/>
          <w:lang w:bidi="fa-IR"/>
          <w:color w:val="111111"/>
          <w:sz w:val="28"/>
          <w:szCs w:val="28"/>
          <w:rtl/>
        </w:rPr>
        <w:t xml:space="preserve">کا: محمد تقی بن حسین خاتون آبادی اصفهانی، بی تا؛ کاغذ: ترمه، جلد: ساغری سیاه ،ضربی، ۷گ( ۳پ-۹ر)، هامش، اندازه: ۲۱/۱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۳۵/۲سم [ف: ۷ - ۳۶۵]</w:t>
      </w:r>
    </w:p>
    <w:p>
      <w:pPr>
        <w:pStyle w:val="BookText"/>
      </w:pPr>
      <w:r>
        <w:rPr>
          <w:rFonts w:ascii="IRNazanin" w:hAnsi="IRNazanin" w:eastAsia="IRNazanin" w:cs="IRNazanin"/>
          <w:lang w:bidi="fa-IR"/>
          <w:color w:val="111111"/>
          <w:sz w:val="28"/>
          <w:szCs w:val="28"/>
          <w:rtl/>
        </w:rPr>
        <w:t xml:space="preserve">۱۲. تهران؛ ملک؛ شماره نسخه: ۶۱۴۷</w:t>
      </w:r>
    </w:p>
    <w:p>
      <w:pPr>
        <w:pStyle w:val="BookText"/>
      </w:pPr>
      <w:r>
        <w:rPr>
          <w:rFonts w:ascii="IRNazanin" w:hAnsi="IRNazanin" w:eastAsia="IRNazanin" w:cs="IRNazanin"/>
          <w:lang w:bidi="fa-IR"/>
          <w:color w:val="111111"/>
          <w:sz w:val="28"/>
          <w:szCs w:val="28"/>
          <w:rtl/>
        </w:rPr>
        <w:t xml:space="preserve">خط: نسخ، بی کا،  بی تا؛ به صورت جدول در یکهزار و سی و سه  خانه است، اسماء در جداول  نقره دارای کمند، کاغذ: ترمه، جلد: مخمل  قرمز، ۱۸گ، ۱۶ سطر، اندازه: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۲ - ۲۶]</w:t>
      </w:r>
    </w:p>
    <w:p>
      <w:pPr>
        <w:pStyle w:val="BookText"/>
      </w:pPr>
      <w:r>
        <w:rPr>
          <w:rFonts w:ascii="IRNazanin" w:hAnsi="IRNazanin" w:eastAsia="IRNazanin" w:cs="IRNazanin"/>
          <w:lang w:bidi="fa-IR"/>
          <w:color w:val="111111"/>
          <w:sz w:val="28"/>
          <w:szCs w:val="28"/>
          <w:rtl/>
        </w:rPr>
        <w:t xml:space="preserve">۱۳. تهران؛ مجلس؛ شماره نسخه: ۷۶۶۲/۱۷</w:t>
      </w:r>
    </w:p>
    <w:p>
      <w:pPr>
        <w:pStyle w:val="BookText"/>
      </w:pPr>
      <w:r>
        <w:rPr>
          <w:rFonts w:ascii="IRNazanin" w:hAnsi="IRNazanin" w:eastAsia="IRNazanin" w:cs="IRNazanin"/>
          <w:lang w:bidi="fa-IR"/>
          <w:color w:val="111111"/>
          <w:sz w:val="28"/>
          <w:szCs w:val="28"/>
          <w:rtl/>
        </w:rPr>
        <w:t xml:space="preserve">آغاز: محمد بن جمهور روایت می کند که مأمون خلیفه در مرو بود(آغاز از فهرستواره نقل شد)</w:t>
      </w:r>
    </w:p>
    <w:p>
      <w:pPr>
        <w:pStyle w:val="BookText"/>
      </w:pPr>
      <w:r>
        <w:rPr>
          <w:rFonts w:ascii="IRNazanin" w:hAnsi="IRNazanin" w:eastAsia="IRNazanin" w:cs="IRNazanin"/>
          <w:lang w:bidi="fa-IR"/>
          <w:color w:val="111111"/>
          <w:sz w:val="28"/>
          <w:szCs w:val="28"/>
          <w:rtl/>
        </w:rPr>
        <w:t xml:space="preserve">بی کا، بی تا؛ در حاشیه، جلد: تیماج قهوه ای،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۲۶ - ۱۶۲]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337" w:name="pg20365_260468"/>
    <w:bookmarkEnd w:id="337"/>
    <w:p>
      <w:pPr>
        <w:pStyle w:val="Heading3"/>
      </w:pPr>
      <w:bookmarkStart w:id="1636" w:name="_Toc1158"/>
      <w:r>
        <w:t>الاسماء الحسنى = اسماء الله / اسماء الله / عربی - فارسی</w:t>
      </w:r>
      <w:bookmarkEnd w:id="1636"/>
    </w:p>
    <w:p>
      <w:pPr>
        <w:pStyle w:val="BookText"/>
      </w:pPr>
      <w:r>
        <w:rPr>
          <w:rFonts w:ascii="Times New Roman" w:hAnsi="Times New Roman" w:eastAsia="Times New Roman" w:cs="Times New Roman"/>
          <w:lang w:val="en-US" w:bidi="en-US"/>
          <w:color w:val="111111"/>
          <w:sz w:val="28"/>
          <w:szCs w:val="28"/>
          <w:rtl/>
        </w:rPr>
        <w:t xml:space="preserve">al-asmā’-ul ḥusnā = asmā’-ul lāh</w:t>
      </w:r>
    </w:p>
    <w:p>
      <w:pPr>
        <w:pStyle w:val="BookText"/>
      </w:pPr>
      <w:r>
        <w:rPr>
          <w:rFonts w:ascii="IRNazanin" w:hAnsi="IRNazanin" w:eastAsia="IRNazanin" w:cs="IRNazanin"/>
          <w:lang w:bidi="fa-IR"/>
          <w:color w:val="111111"/>
          <w:sz w:val="28"/>
          <w:szCs w:val="28"/>
          <w:rtl/>
        </w:rPr>
        <w:t xml:space="preserve">عبد القادر جیلانی، عبد القادر بن موسی، ۴۷۱- 561 قمری</w:t>
      </w:r>
    </w:p>
    <w:p>
      <w:pPr>
        <w:pStyle w:val="BookText"/>
      </w:pPr>
      <w:r>
        <w:rPr>
          <w:rFonts w:ascii="Times New Roman" w:hAnsi="Times New Roman" w:eastAsia="Times New Roman" w:cs="Times New Roman"/>
          <w:lang w:val="en-US" w:bidi="en-US"/>
          <w:color w:val="111111"/>
          <w:sz w:val="28"/>
          <w:szCs w:val="28"/>
          <w:rtl/>
        </w:rPr>
        <w:t xml:space="preserve">(1166-abd-ol-qāder-e jīlānī, ‘abd-ol-qāder ebn-e mūsā (1079</w:t>
      </w:r>
    </w:p>
    <w:p>
      <w:pPr>
        <w:pStyle w:val="BookText"/>
      </w:pPr>
      <w:r>
        <w:rPr>
          <w:rFonts w:ascii="IRNazanin" w:hAnsi="IRNazanin" w:eastAsia="IRNazanin" w:cs="IRNazanin"/>
          <w:lang w:bidi="fa-IR"/>
          <w:color w:val="111111"/>
          <w:sz w:val="28"/>
          <w:szCs w:val="28"/>
          <w:rtl/>
        </w:rPr>
        <w:t xml:space="preserve">رساله در انتخاب هزار و یک نام مشهور پروردگار متعال اسـت که بر طبق توافق معنی و ترتیب اعداد و ترسیم جداولی برای هر اسم و ترجمه آن تنظیم شده است. این اسامی به دستور سلطان مسعود غزنوی توسط سید عبدالقادر نامی از آراء مجمع نیشابور (قشیری و قاضی صاعد و خواجه سهل صعلوکی ابوجعفر نحوی و دیگران) گزینش شده است؛ نام این افراد در دیباچه آمده است. در مقدمه نام ابوالمحامد قطب الدين محـمد بزغش آمده است که برخی به احتمال او را مؤلف کتاب دانسته اند که چنین نیست. در دیباچه نام سید عبدالقادر تصریح شده است. اینک بخشی از متن دیباچه رساله:« از آن جـمله سلطان سعيد سلطان محمود غزنوی در کرت ثانی که تسخیر  نیشابور نمود از علما و ائمه آنجا التماس کرد که هزار و یکـنام باری تعالی را جمع نمایند که تا خلایق از آن مستفیض گردند ایشان در جواب گفتند که این امر را معظم زمان باید و دیـگر علماء از هر جانب جمع باید کرد تا باتفاق آن اسمای عظام را جمع نماییم پس سلطان فرمود تا از اطراف عما جمع کنند مثال ابو القاسم قشیری و قاضی محمد ناصحی و قاضی صاعد و ابونصر قوصانی و خواجه سهل صعلوکی و ابوجعفر نحوی و ابو منصور هروی و ابوسلیمان خطایی و ابو فضل سرخسی ابوعبید شیرازی و ابو اسحق جمشید و دیگر علماء ائمه دین  در خطه محروسه نیشابور جمع و سلطان فرمود تا ایشان عطای وافر دادند و هر یک را وظیفه لایق تعیین نمودند و ایشـان بجمع آن اسماء مشغول گشتند و مدت یکسال و کتب اسلامیه زاد الله شرفا و تعظیما بر توافق الفاظ آن اسما را مرتب ساختند بعرض سلطان رسانیدند سلطان از این جهة بسيار مبتهج و مسرورگشت پس این نسخ را به رسم تحفه نزد خلیفه عباسی فرستاد و این فقیر که خادم فقرا ام سید عبدالقادر جیلانی از جمع ایشان و از جمع های دیگر هزار و یکنام عظام که اعرف و اشهر بود انتخاب نمود» در شمار مؤلفات سید عبدالقادر جیلانی کتابی در اسماء خداوند به نام «اسماء عظیمه» (به عربی) یاد شده (بروکلمان ذیل یکم۷۰۶) و شاید کتاب حاضر ترجمه فارسی همان کتاب «الاسماء العظيمه» اوست.</w:t>
      </w:r>
    </w:p>
    <w:p>
      <w:pPr>
        <w:pStyle w:val="BookText"/>
      </w:pPr>
      <w:r>
        <w:rPr>
          <w:rFonts w:ascii="IRNazanin" w:hAnsi="IRNazanin" w:eastAsia="IRNazanin" w:cs="IRNazanin"/>
          <w:lang w:bidi="fa-IR"/>
          <w:color w:val="111111"/>
          <w:sz w:val="28"/>
          <w:szCs w:val="28"/>
          <w:rtl/>
        </w:rPr>
        <w:t xml:space="preserve">آغاز: بسمله الحمد الله الذى تخصص به الاسماء الحسنى الصفات العليا ... بدان وفقك الله تعالی که اسماء حسنی الهی... هزار و یکنام عظام است است ... که روایت می کند شیخ حسن بصری  و او از ابی درد و او از پیغمبر (صلّی اللَّهِ علیه وَ آلِهِ وَ سَلَّمَ )</w:t>
      </w:r>
    </w:p>
    <w:p>
      <w:pPr>
        <w:pStyle w:val="BookText"/>
      </w:pPr>
      <w:r>
        <w:rPr>
          <w:rFonts w:ascii="IRNazanin" w:hAnsi="IRNazanin" w:eastAsia="IRNazanin" w:cs="IRNazanin"/>
          <w:lang w:bidi="fa-IR"/>
          <w:color w:val="111111"/>
          <w:sz w:val="28"/>
          <w:szCs w:val="28"/>
          <w:rtl/>
        </w:rPr>
        <w:t xml:space="preserve">انجام: فریادرس آن که نیست فریادرسی او را غلبه کننده نه  غلبه کرده شده، غیاث المستغيثين فريادرس فریاد کنندگان تمت بعون الله وتوفيقه</w:t>
      </w:r>
    </w:p>
    <w:p>
      <w:pPr>
        <w:pStyle w:val="BookText"/>
      </w:pPr>
      <w:r>
        <w:rPr>
          <w:rFonts w:ascii="IRNazanin" w:hAnsi="IRNazanin" w:eastAsia="IRNazanin" w:cs="IRNazanin"/>
          <w:lang w:bidi="fa-IR"/>
          <w:color w:val="111111"/>
          <w:sz w:val="28"/>
          <w:szCs w:val="28"/>
          <w:rtl/>
        </w:rPr>
        <w:t xml:space="preserve">[دنا ۸۱۹/۱ (۱۲ نسخه)]</w:t>
      </w:r>
    </w:p>
    <w:p>
      <w:pPr>
        <w:pStyle w:val="BookText"/>
      </w:pPr>
      <w:r>
        <w:rPr>
          <w:rFonts w:ascii="IRNazanin" w:hAnsi="IRNazanin" w:eastAsia="IRNazanin" w:cs="IRNazanin"/>
          <w:lang w:bidi="fa-IR"/>
          <w:color w:val="111111"/>
          <w:sz w:val="28"/>
          <w:szCs w:val="28"/>
          <w:rtl/>
        </w:rPr>
        <w:t xml:space="preserve">١. تهران؛ دانشگاه؛ شماره نسخه: ۴۲۳۲/۳</w:t>
      </w:r>
    </w:p>
    <w:p>
      <w:pPr>
        <w:pStyle w:val="BookText"/>
      </w:pPr>
      <w:r>
        <w:rPr>
          <w:rFonts w:ascii="IRNazanin" w:hAnsi="IRNazanin" w:eastAsia="IRNazanin" w:cs="IRNazanin"/>
          <w:lang w:bidi="fa-IR"/>
          <w:color w:val="111111"/>
          <w:sz w:val="28"/>
          <w:szCs w:val="28"/>
          <w:rtl/>
        </w:rPr>
        <w:t xml:space="preserve">آغاز: برابر؛ انجام: راضی ۱۰۱۱ خشنود کننده.</w:t>
      </w:r>
    </w:p>
    <w:p>
      <w:pPr>
        <w:pStyle w:val="BookText"/>
      </w:pPr>
      <w:r>
        <w:rPr>
          <w:rFonts w:ascii="IRNazanin" w:hAnsi="IRNazanin" w:eastAsia="IRNazanin" w:cs="IRNazanin"/>
          <w:lang w:bidi="fa-IR"/>
          <w:color w:val="111111"/>
          <w:sz w:val="28"/>
          <w:szCs w:val="28"/>
          <w:rtl/>
        </w:rPr>
        <w:t xml:space="preserve">خط: نستعلیق، کا: نورالدین محمد  گیلانی، تا: یکشنبه ۱ رمضان ۱۰۰۲ق ؛جا: کربلا؛ کاغذ: سپاهانی  نخودی، جلد: تیماج حنایی، ۲۲گ (۷۰پ-۹۱ر)، ۱۷ سطر (۵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۱۳  - 3206]</w:t>
      </w:r>
    </w:p>
    <w:p>
      <w:pPr>
        <w:pStyle w:val="BookText"/>
      </w:pPr>
      <w:r>
        <w:rPr>
          <w:rFonts w:ascii="IRNazanin" w:hAnsi="IRNazanin" w:eastAsia="IRNazanin" w:cs="IRNazanin"/>
          <w:lang w:bidi="fa-IR"/>
          <w:color w:val="111111"/>
          <w:sz w:val="28"/>
          <w:szCs w:val="28"/>
          <w:rtl/>
        </w:rPr>
        <w:t xml:space="preserve">۲. تهران؛ مجلس؛ شماره نسخه: ۱۲۶۰۵/۶</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در فهرست مؤلف ناشناخته مانده است که به قرینه آغاز نسخه تعیین شد ؛خط: نستعلیق، بی کا،تا: چهارشنبه ۸ ذیقعده ۱۰۵۵ق؛ جلد: تیماج قهوه ای مجدول، ۱گ (۱۸۱پ) [ف: ۳۶ - ۱۵۹]</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مشهد؛ رضوی؛ شماره نسخه: ۱۴۱۵۰/۱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نام مؤلف به قرینه آغاز نسخه و احتمالی که فهرست نگار در پی نوشت فهرست آورده معین گردید؛ خط: نسخ و نستعلیق، بی کا، تا: ۱۵ شوال ۱۰۶۸ق؛ افتادگی: آغاز (برگ اول؛ کاغذ نباتی و نخودی، جلد: مقوا عطف و گوشه ها تیماج تریاکی،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۱۵ - ۴۳۶]</w:t>
      </w:r>
    </w:p>
    <w:p>
      <w:pPr>
        <w:pStyle w:val="BookText"/>
      </w:pPr>
      <w:r>
        <w:rPr>
          <w:rFonts w:ascii="IRNazanin" w:hAnsi="IRNazanin" w:eastAsia="IRNazanin" w:cs="IRNazanin"/>
          <w:lang w:bidi="fa-IR"/>
          <w:color w:val="111111"/>
          <w:sz w:val="28"/>
          <w:szCs w:val="28"/>
          <w:rtl/>
        </w:rPr>
        <w:t xml:space="preserve">۴ .تهران؛ الهیات؛ شماره نسخه: ۵۰۹/۱۲</w:t>
      </w:r>
    </w:p>
    <w:p>
      <w:pPr>
        <w:pStyle w:val="BookText"/>
      </w:pPr>
      <w:r>
        <w:rPr>
          <w:rFonts w:ascii="IRNazanin" w:hAnsi="IRNazanin" w:eastAsia="IRNazanin" w:cs="IRNazanin"/>
          <w:lang w:bidi="fa-IR"/>
          <w:color w:val="111111"/>
          <w:sz w:val="28"/>
          <w:szCs w:val="28"/>
          <w:rtl/>
        </w:rPr>
        <w:t xml:space="preserve">آغاز: برابر؛ انجام: کاشفی عند بلیتی: بردارنده اندوه من نزد بلای  من تم</w:t>
      </w:r>
    </w:p>
    <w:p>
      <w:pPr>
        <w:pStyle w:val="BookText"/>
      </w:pPr>
      <w:r>
        <w:rPr>
          <w:rFonts w:ascii="IRNazanin" w:hAnsi="IRNazanin" w:eastAsia="IRNazanin" w:cs="IRNazanin"/>
          <w:lang w:bidi="fa-IR"/>
          <w:color w:val="111111"/>
          <w:sz w:val="28"/>
          <w:szCs w:val="28"/>
          <w:rtl/>
        </w:rPr>
        <w:t xml:space="preserve">مؤلف در فهرست شناسایی نشده است که به قرینه آغاز نسخه تعیین شد ؛خط: نستعلیق، بی کا، تا: قرن ۱۲ ؛کاغذ: اصفهانی، جلد: تیماج سرخ مقوایی، ۹گ (۲۵۹ر-۲۶۷ر)،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۱۹/۵سم  [ف: ۳۱۶]</w:t>
      </w:r>
    </w:p>
    <w:p>
      <w:pPr>
        <w:pStyle w:val="BookText"/>
      </w:pPr>
      <w:r>
        <w:rPr>
          <w:rFonts w:ascii="Amiri" w:hAnsi="Amiri" w:eastAsia="Amiri" w:cs="Amiri"/>
          <w:lang w:bidi="ar-SA"/>
          <w:color w:val="111111"/>
          <w:sz w:val="28"/>
          <w:szCs w:val="28"/>
          <w:rtl/>
        </w:rPr>
        <w:t xml:space="preserve">۵. تهران؛ دائرة المعارف؛ شماره نسخه: ۱۵۵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مؤلف در فهرست ناشناخته مانده است که به قرینه آغاز نسخه تعیین شد؛ خط: نسخ و نستعلیق، بی کا، تا: قرن ۱۳؛ سپس «فایده» در بیان هزار و یک نام از علی جفری (۱ برگ)؛ جلد: تیماج قهوه ای روشن مجدول، ۳۷گ، ۱۳ سطر (8</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۱ - ۱۹]</w:t>
      </w:r>
    </w:p>
    <w:p>
      <w:pPr>
        <w:pStyle w:val="BookText"/>
      </w:pPr>
      <w:r>
        <w:rPr>
          <w:rFonts w:ascii="IRNazanin" w:hAnsi="IRNazanin" w:eastAsia="IRNazanin" w:cs="IRNazanin"/>
          <w:lang w:bidi="fa-IR"/>
          <w:color w:val="111111"/>
          <w:sz w:val="28"/>
          <w:szCs w:val="28"/>
          <w:rtl/>
        </w:rPr>
        <w:t xml:space="preserve">6.تهران؛ مجلس؛ شماره نسخه: ۳۵۱۲/۲</w:t>
      </w:r>
    </w:p>
    <w:p>
      <w:pPr>
        <w:pStyle w:val="BookText"/>
      </w:pPr>
      <w:r>
        <w:rPr>
          <w:rFonts w:ascii="Amiri" w:hAnsi="Amiri" w:eastAsia="Amiri" w:cs="Amiri"/>
          <w:lang w:bidi="ar-SA"/>
          <w:color w:val="111111"/>
          <w:sz w:val="28"/>
          <w:szCs w:val="28"/>
          <w:rtl/>
        </w:rPr>
        <w:t xml:space="preserve">آغاز:برابر؛ انجام: ناصر  مقرب، من هو في حكمه حكيم.</w:t>
      </w:r>
    </w:p>
    <w:p>
      <w:pPr>
        <w:pStyle w:val="BookText"/>
      </w:pPr>
      <w:r>
        <w:rPr>
          <w:rFonts w:ascii="IRNazanin" w:hAnsi="IRNazanin" w:eastAsia="IRNazanin" w:cs="IRNazanin"/>
          <w:lang w:bidi="fa-IR"/>
          <w:color w:val="111111"/>
          <w:sz w:val="28"/>
          <w:szCs w:val="28"/>
          <w:rtl/>
        </w:rPr>
        <w:t xml:space="preserve">کا: سید محمد رضوی ،قمی، تا: قرن ۱۳ ؛کاغذ: فرنگی، جلد: تیماج يشمى، ١٠ص (۱۰-۱۹)، قطع: خشتی،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۱۰ - ۱۴۶۳]</w:t>
      </w:r>
    </w:p>
    <w:p>
      <w:pPr>
        <w:pStyle w:val="BookText"/>
      </w:pPr>
      <w:r>
        <w:rPr>
          <w:rFonts w:ascii="IRNazanin" w:hAnsi="IRNazanin" w:eastAsia="IRNazanin" w:cs="IRNazanin"/>
          <w:lang w:bidi="fa-IR"/>
          <w:color w:val="111111"/>
          <w:sz w:val="28"/>
          <w:szCs w:val="28"/>
          <w:rtl/>
        </w:rPr>
        <w:t xml:space="preserve">7.تهران؛ مجلس؛ شماره نسخه: ۴۰۴۲/۴</w:t>
      </w:r>
    </w:p>
    <w:p>
      <w:pPr>
        <w:pStyle w:val="BookText"/>
      </w:pPr>
      <w:r>
        <w:rPr>
          <w:rFonts w:ascii="IRNazanin" w:hAnsi="IRNazanin" w:eastAsia="IRNazanin" w:cs="IRNazanin"/>
          <w:lang w:bidi="fa-IR"/>
          <w:color w:val="111111"/>
          <w:sz w:val="28"/>
          <w:szCs w:val="28"/>
          <w:rtl/>
        </w:rPr>
        <w:t xml:space="preserve">آغاز: نقل است از امیرالمؤمنین و امام المتقين و يعسوب الدين؛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338" w:name="pg20365_260469"/>
    <w:bookmarkEnd w:id="338"/>
    <w:p>
      <w:pPr>
        <w:pStyle w:val="BookText"/>
      </w:pPr>
      <w:r>
        <w:rPr>
          <w:rFonts w:ascii="IRNazanin" w:hAnsi="IRNazanin" w:eastAsia="IRNazanin" w:cs="IRNazanin"/>
          <w:lang w:bidi="fa-IR"/>
          <w:color w:val="111111"/>
          <w:sz w:val="28"/>
          <w:szCs w:val="28"/>
          <w:rtl/>
        </w:rPr>
        <w:t xml:space="preserve">انجام: فيه حصول المراد والعزة و الدوله (گویا ناتمام باشد) در سه صفحه جداول اسماء نقل شده است</w:t>
      </w:r>
    </w:p>
    <w:p>
      <w:pPr>
        <w:pStyle w:val="BookText"/>
      </w:pPr>
      <w:r>
        <w:rPr>
          <w:rFonts w:ascii="IRNazanin" w:hAnsi="IRNazanin" w:eastAsia="IRNazanin" w:cs="IRNazanin"/>
          <w:lang w:bidi="fa-IR"/>
          <w:color w:val="111111"/>
          <w:sz w:val="28"/>
          <w:szCs w:val="28"/>
          <w:rtl/>
        </w:rPr>
        <w:t xml:space="preserve">در فهرست از قطب الدین محمد عطارد دانسته شده ؛خط: نسخ  زیبا ،کا: احمد بن رجبعلی  فریدنی ،تا: ۱۲۰۸ق؛ مجدول شنگرف و لاجورد و کمند شنگرف؛ کاغذ: اصفهانی، ۲۱گ، (111ر - ۱۳۱پ)، ۱۷ سطر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 [ف: ۱۱ – ۴۵]</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قم؛ مرعشی؛ شماره نسخه: ۱۳۹۵۵/۴</w:t>
      </w:r>
    </w:p>
    <w:p>
      <w:pPr>
        <w:pStyle w:val="BookText"/>
      </w:pPr>
      <w:r>
        <w:rPr>
          <w:rFonts w:ascii="IRNazanin" w:hAnsi="IRNazanin" w:eastAsia="IRNazanin" w:cs="IRNazanin"/>
          <w:lang w:bidi="fa-IR"/>
          <w:color w:val="111111"/>
          <w:sz w:val="28"/>
          <w:szCs w:val="28"/>
          <w:rtl/>
        </w:rPr>
        <w:t xml:space="preserve">آغاز: برابر؛ انجام: یا غیاث المستغيثين تمت اسما الأعظم بعـون الملك الكريم الاكرم والله اعلم</w:t>
      </w:r>
    </w:p>
    <w:p>
      <w:pPr>
        <w:pStyle w:val="BookText"/>
      </w:pPr>
      <w:r>
        <w:rPr>
          <w:rFonts w:ascii="IRNazanin" w:hAnsi="IRNazanin" w:eastAsia="IRNazanin" w:cs="IRNazanin"/>
          <w:lang w:bidi="fa-IR"/>
          <w:color w:val="111111"/>
          <w:sz w:val="28"/>
          <w:szCs w:val="28"/>
          <w:rtl/>
        </w:rPr>
        <w:t xml:space="preserve">خط: نسخ زیبا، بی کا، تا: ۱۲۵۵ق؛ یک مورد حاشیه نویسی دارد، تمام اسامی در جدول هایی با خطوط قرمز، مجدول دوخطی؛کاغذ: فرنگی، ۳۷گ (۳۹پ-۷۵پ)، ۱۹ سطر،اندازه: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۱۷/۵سم [ف: ۳۵ - ۴۰۲]</w:t>
      </w:r>
    </w:p>
    <w:p>
      <w:pPr>
        <w:pStyle w:val="BookText"/>
      </w:pPr>
      <w:r>
        <w:rPr>
          <w:rFonts w:ascii="IRNazanin" w:hAnsi="IRNazanin" w:eastAsia="IRNazanin" w:cs="IRNazanin"/>
          <w:lang w:bidi="fa-IR"/>
          <w:color w:val="111111"/>
          <w:sz w:val="28"/>
          <w:szCs w:val="28"/>
          <w:rtl/>
        </w:rPr>
        <w:t xml:space="preserve">۹. قم؛ گلپایگانی؛ شماره نسخه: ۲۹۵۸/۵-۱۵/۱۹۸</w:t>
      </w:r>
    </w:p>
    <w:p>
      <w:pPr>
        <w:pStyle w:val="BookText"/>
      </w:pPr>
      <w:r>
        <w:rPr>
          <w:rFonts w:ascii="IRNazanin" w:hAnsi="IRNazanin" w:eastAsia="IRNazanin" w:cs="IRNazanin"/>
          <w:lang w:bidi="fa-IR"/>
          <w:color w:val="111111"/>
          <w:sz w:val="28"/>
          <w:szCs w:val="28"/>
          <w:rtl/>
        </w:rPr>
        <w:t xml:space="preserve">آغاز: برابر؛ انجام: جداول</w:t>
      </w:r>
    </w:p>
    <w:p>
      <w:pPr>
        <w:pStyle w:val="BookText"/>
      </w:pPr>
      <w:r>
        <w:rPr>
          <w:rFonts w:ascii="IRNazanin" w:hAnsi="IRNazanin" w:eastAsia="IRNazanin" w:cs="IRNazanin"/>
          <w:lang w:bidi="fa-IR"/>
          <w:color w:val="111111"/>
          <w:sz w:val="28"/>
          <w:szCs w:val="28"/>
          <w:rtl/>
        </w:rPr>
        <w:t xml:space="preserve">در فهرست مؤلف به احتمال قطب الدین محمد عطارد معرفی شده است؛ خط: شکسته، نستعلیق، بی کا، تا: ۱۲۹۷ق؛ جلد: تیمـاج قهوه ای مجدول ضربی، ۲۴گ،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 ف: ۱ - ۳۶۴  ]</w:t>
      </w:r>
    </w:p>
    <w:p>
      <w:pPr>
        <w:pStyle w:val="BookText"/>
      </w:pPr>
      <w:r>
        <w:rPr>
          <w:rFonts w:ascii="IRNazanin" w:hAnsi="IRNazanin" w:eastAsia="IRNazanin" w:cs="IRNazanin"/>
          <w:lang w:bidi="fa-IR"/>
          <w:color w:val="111111"/>
          <w:sz w:val="28"/>
          <w:szCs w:val="28"/>
          <w:rtl/>
        </w:rPr>
        <w:t xml:space="preserve">۱۰. تهران؛ دانشگاه؛ شماره نسخه: ۲۸۴۸/۲</w:t>
      </w:r>
    </w:p>
    <w:p>
      <w:pPr>
        <w:pStyle w:val="BookText"/>
      </w:pPr>
      <w:r>
        <w:rPr>
          <w:rFonts w:ascii="IRNazanin" w:hAnsi="IRNazanin" w:eastAsia="IRNazanin" w:cs="IRNazanin"/>
          <w:lang w:bidi="fa-IR"/>
          <w:color w:val="111111"/>
          <w:sz w:val="28"/>
          <w:szCs w:val="28"/>
          <w:rtl/>
        </w:rPr>
        <w:t xml:space="preserve">آغاز: برابر؛ انجام: راحم الضعفاء ۱۲۳۲</w:t>
      </w:r>
    </w:p>
    <w:p>
      <w:pPr>
        <w:pStyle w:val="BookText"/>
      </w:pPr>
      <w:r>
        <w:rPr>
          <w:rFonts w:ascii="IRNazanin" w:hAnsi="IRNazanin" w:eastAsia="IRNazanin" w:cs="IRNazanin"/>
          <w:lang w:bidi="fa-IR"/>
          <w:color w:val="111111"/>
          <w:sz w:val="28"/>
          <w:szCs w:val="28"/>
          <w:rtl/>
        </w:rPr>
        <w:t xml:space="preserve">نام مؤلف به قرینه آغاز نسخه تعیین شد؛ خط: نستعلیق، کا: محـمد اسمعیل، بی تا، کاغذ ،فرنگی،جل: تیماج حنایی ضربی  ، 8گ (۱۰پ- 17پ)</w:t>
      </w:r>
    </w:p>
    <w:p>
      <w:pPr>
        <w:pStyle w:val="BookText"/>
      </w:pPr>
      <w:r>
        <w:rPr>
          <w:rFonts w:ascii="IRNazanin" w:hAnsi="IRNazanin" w:eastAsia="IRNazanin" w:cs="IRNazanin"/>
          <w:lang w:bidi="fa-IR"/>
          <w:color w:val="111111"/>
          <w:sz w:val="28"/>
          <w:szCs w:val="28"/>
          <w:rtl/>
        </w:rPr>
        <w:t xml:space="preserve">[ف: ۱۰-۱۶۹۱]</w:t>
      </w:r>
    </w:p>
    <w:p>
      <w:pPr>
        <w:pStyle w:val="BookText"/>
      </w:pPr>
      <w:r>
        <w:rPr>
          <w:rFonts w:ascii="IRNazanin" w:hAnsi="IRNazanin" w:eastAsia="IRNazanin" w:cs="IRNazanin"/>
          <w:lang w:bidi="fa-IR"/>
          <w:color w:val="111111"/>
          <w:sz w:val="28"/>
          <w:szCs w:val="28"/>
          <w:rtl/>
        </w:rPr>
        <w:t xml:space="preserve">۱۱. تهران؛ دانشگاه؛ شماره نسخه: ۳۴۱۷/۲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بی کا، بی تا ،کاغذ ،فرنگی ،جلد: تیماج مشکی مقوایی، ۶۰گ (۱۲۸-۷۰)، ۲۲ سطر (9</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 ۱۱ - ۴۲۱  ]</w:t>
      </w:r>
    </w:p>
    <w:p>
      <w:pPr>
        <w:pStyle w:val="BookText"/>
      </w:pPr>
      <w:r>
        <w:rPr>
          <w:rFonts w:ascii="IRNazanin" w:hAnsi="IRNazanin" w:eastAsia="IRNazanin" w:cs="IRNazanin"/>
          <w:lang w:bidi="fa-IR"/>
          <w:color w:val="111111"/>
          <w:sz w:val="28"/>
          <w:szCs w:val="28"/>
          <w:rtl/>
        </w:rPr>
        <w:t xml:space="preserve">۱۲. تهران؛ مجلس؛ شماره نسخه: ۱۲۵۵۵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در فهرست مؤلف شناسایی نشده است که به قرینه آغاز نسـخه تعیین گردید؛ خط: نستعلیق، کا: لطف الله حسنی، تا: ربیع الاول؛ در حاشیه صفحه آخر فایده ای در خواص اسماء الهی به فارسی از سید علی جفری صوفی حکیم؛ جلد: تیماج دورو آبی، ۳۵گ، ،12سطر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۱۹/۵سم [ف: ۳۶ - ۸۶]</w:t>
      </w:r>
    </w:p>
    <w:p>
      <w:pPr>
        <w:pStyle w:val="BookText"/>
      </w:pPr>
      <w:r>
        <w:rPr>
          <w:rFonts w:ascii="IRNazanin" w:hAnsi="IRNazanin" w:eastAsia="IRNazanin" w:cs="IRNazanin"/>
          <w:lang w:bidi="fa-IR"/>
          <w:color w:val="111111"/>
          <w:sz w:val="28"/>
          <w:szCs w:val="28"/>
          <w:rtl/>
        </w:rPr>
        <w:t xml:space="preserve">۱۳. تهران؛ مجلس؛ شماره نسخه: ۱۲۶۱۲/۶</w:t>
      </w:r>
    </w:p>
    <w:p>
      <w:pPr>
        <w:pStyle w:val="BookText"/>
      </w:pPr>
      <w:r>
        <w:rPr>
          <w:rFonts w:ascii="IRNazanin" w:hAnsi="IRNazanin" w:eastAsia="IRNazanin" w:cs="IRNazanin"/>
          <w:lang w:bidi="fa-IR"/>
          <w:color w:val="111111"/>
          <w:sz w:val="28"/>
          <w:szCs w:val="28"/>
          <w:rtl/>
        </w:rPr>
        <w:t xml:space="preserve">آغاز: برابر؛ انجام: انیس الضعفاء، ادام دهنده ناتوانان ۶، 110 ظاهر، پیدا و هویدا ۱۱۶، ۸۲۶ تم.</w:t>
      </w:r>
    </w:p>
    <w:p>
      <w:pPr>
        <w:pStyle w:val="BookText"/>
      </w:pPr>
      <w:r>
        <w:rPr>
          <w:rFonts w:ascii="IRNazanin" w:hAnsi="IRNazanin" w:eastAsia="IRNazanin" w:cs="IRNazanin"/>
          <w:lang w:bidi="fa-IR"/>
          <w:color w:val="111111"/>
          <w:sz w:val="28"/>
          <w:szCs w:val="28"/>
          <w:rtl/>
        </w:rPr>
        <w:t xml:space="preserve">مؤلف در فهرست  شناسایی نشده است که به قرینه آغاز نسـخه تعیین شد؛ بی کا، بی تا؛ جلد: مقوا، عطف و گوشه تیماج قهوه ا ی ، ۲۷ص (۵۸-۸۴) [ف: ۳۶ – ۱۶۹]</w:t>
      </w:r>
    </w:p>
    <w:p>
      <w:pPr>
        <w:pStyle w:val="BookText"/>
      </w:pPr>
      <w:r>
        <w:rPr>
          <w:rFonts w:ascii="IRNazanin" w:hAnsi="IRNazanin" w:eastAsia="IRNazanin" w:cs="IRNazanin"/>
          <w:lang w:bidi="fa-IR"/>
          <w:color w:val="111111"/>
          <w:sz w:val="28"/>
          <w:szCs w:val="28"/>
          <w:rtl/>
        </w:rPr>
        <w:t xml:space="preserve">۱۴. قم؛ گلپایگانی؛ شماره نسخه: ۱۰۷/۲-۱/۱۰۷</w:t>
      </w:r>
    </w:p>
    <w:p>
      <w:pPr>
        <w:pStyle w:val="BookText"/>
      </w:pPr>
      <w:r>
        <w:rPr>
          <w:rFonts w:ascii="Amiri" w:hAnsi="Amiri" w:eastAsia="Amiri" w:cs="Amiri"/>
          <w:lang w:bidi="ar-SA"/>
          <w:color w:val="111111"/>
          <w:sz w:val="28"/>
          <w:szCs w:val="28"/>
          <w:rtl/>
        </w:rPr>
        <w:t xml:space="preserve">آغاز: برابر؛ انجام: بحق هذه الاسماء الاعظم أن تقضى لنا حاجاتنا كلها بصفاته احفظنا من كل آفات الدنيا والاخرة برحمتك يا أرحم الراحمين</w:t>
      </w:r>
    </w:p>
    <w:p>
      <w:pPr>
        <w:pStyle w:val="BookText"/>
      </w:pPr>
      <w:r>
        <w:rPr>
          <w:rFonts w:ascii="IRNazanin" w:hAnsi="IRNazanin" w:eastAsia="IRNazanin" w:cs="IRNazanin"/>
          <w:lang w:bidi="fa-IR"/>
          <w:color w:val="111111"/>
          <w:sz w:val="28"/>
          <w:szCs w:val="28"/>
          <w:rtl/>
        </w:rPr>
        <w:t xml:space="preserve">بی کا، بی تا؛ ۲۵گ، ۱۸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۱ - ۳۶۴]</w:t>
      </w:r>
    </w:p>
    <w:p>
      <w:pPr>
        <w:pStyle w:val="BookText"/>
      </w:pPr>
      <w:r>
        <w:rPr>
          <w:rFonts w:ascii="IRNazanin" w:hAnsi="IRNazanin" w:eastAsia="IRNazanin" w:cs="IRNazanin"/>
          <w:lang w:bidi="fa-IR"/>
          <w:color w:val="111111"/>
          <w:sz w:val="28"/>
          <w:szCs w:val="28"/>
          <w:rtl/>
        </w:rPr>
        <w:t xml:space="preserve">۱۵. تهران؛ ملی؛ شماره نسخه: ۷۰۰۹</w:t>
      </w:r>
    </w:p>
    <w:p>
      <w:pPr>
        <w:pStyle w:val="BookText"/>
      </w:pPr>
      <w:r>
        <w:rPr>
          <w:rFonts w:ascii="IRNazanin" w:hAnsi="IRNazanin" w:eastAsia="IRNazanin" w:cs="IRNazanin"/>
          <w:lang w:bidi="fa-IR"/>
          <w:color w:val="111111"/>
          <w:sz w:val="28"/>
          <w:szCs w:val="28"/>
          <w:rtl/>
        </w:rPr>
        <w:t xml:space="preserve">آغاز: بسمله الحمد لله رب الذى تحصص به الاسماء لحسنى و الصفات ... بدان وفقك الله تعالی که اسماء حسنی الهی غرشانه و تقدست اسماء هزار یک نامست باتفاق علماء؛ انجام: سرور العارفين، احسن الخالقين</w:t>
      </w:r>
    </w:p>
    <w:p>
      <w:pPr>
        <w:pStyle w:val="BookText"/>
      </w:pPr>
      <w:r>
        <w:rPr>
          <w:rFonts w:ascii="IRNazanin" w:hAnsi="IRNazanin" w:eastAsia="IRNazanin" w:cs="IRNazanin"/>
          <w:lang w:bidi="fa-IR"/>
          <w:color w:val="111111"/>
          <w:sz w:val="28"/>
          <w:szCs w:val="28"/>
          <w:rtl/>
        </w:rPr>
        <w:t xml:space="preserve">در فهرست بدون نام مؤلف؛ خط: نستعلیق تحریری، بی کا، بی تا؛ دارای جداول و اشکال جفریه، نسخه بسیار مغشوش و در هم؛ کاغذ: فرنگی ،جلد: تیماج یک لا مشکی، ۶گ (۳۷-42پ)، ۱۵ سطر ،(8</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[رایانه ]</w:t>
      </w:r>
    </w:p>
    <w:p>
      <w:pPr>
        <w:pStyle w:val="Heading3"/>
      </w:pPr>
      <w:bookmarkStart w:id="1637" w:name="_Toc1159"/>
      <w:r>
        <w:t>الاسماء الحسنی / اسماء الله / فارسی</w:t>
      </w:r>
      <w:bookmarkEnd w:id="1637"/>
    </w:p>
    <w:p>
      <w:pPr>
        <w:pStyle w:val="BookText"/>
      </w:pPr>
      <w:r>
        <w:rPr>
          <w:rFonts w:ascii="Times New Roman" w:hAnsi="Times New Roman" w:eastAsia="Times New Roman" w:cs="Times New Roman"/>
          <w:lang w:val="en-US" w:bidi="en-US"/>
          <w:color w:val="111111"/>
          <w:sz w:val="28"/>
          <w:szCs w:val="28"/>
          <w:rtl/>
        </w:rPr>
        <w:t xml:space="preserve">al-asmā'-ol hosnā</w:t>
      </w:r>
    </w:p>
    <w:p>
      <w:pPr>
        <w:pStyle w:val="BookText"/>
      </w:pPr>
      <w:r>
        <w:rPr>
          <w:rFonts w:ascii="IRNazanin" w:hAnsi="IRNazanin" w:eastAsia="IRNazanin" w:cs="IRNazanin"/>
          <w:lang w:bidi="fa-IR"/>
          <w:color w:val="111111"/>
          <w:sz w:val="28"/>
          <w:szCs w:val="28"/>
          <w:rtl/>
        </w:rPr>
        <w:t xml:space="preserve">رفيعا، محمد بن حيدر، ۹۹۷ - ۱۰۸۰ ؟ قمری</w:t>
      </w:r>
    </w:p>
    <w:p>
      <w:pPr>
        <w:pStyle w:val="BookText"/>
      </w:pPr>
      <w:r>
        <w:rPr>
          <w:rFonts w:ascii="Times New Roman" w:hAnsi="Times New Roman" w:eastAsia="Times New Roman" w:cs="Times New Roman"/>
          <w:lang w:val="en-US" w:bidi="en-US"/>
          <w:color w:val="111111"/>
          <w:sz w:val="28"/>
          <w:szCs w:val="28"/>
          <w:rtl/>
        </w:rPr>
        <w:t xml:space="preserve">(rafi'ā, mohammad ebn-e heydar (1589 - 1670)</w:t>
      </w:r>
    </w:p>
    <w:p>
      <w:pPr>
        <w:pStyle w:val="BookText"/>
      </w:pPr>
      <w:r>
        <w:rPr>
          <w:rFonts w:ascii="IRNazanin" w:hAnsi="IRNazanin" w:eastAsia="IRNazanin" w:cs="IRNazanin"/>
          <w:lang w:bidi="fa-IR"/>
          <w:color w:val="111111"/>
          <w:sz w:val="28"/>
          <w:szCs w:val="28"/>
          <w:rtl/>
        </w:rPr>
        <w:t xml:space="preserve">در این رساله، نام های خدا یاد و تفسیر شده است.</w:t>
      </w:r>
    </w:p>
    <w:p>
      <w:pPr>
        <w:pStyle w:val="BookText"/>
      </w:pPr>
      <w:r>
        <w:rPr>
          <w:rFonts w:ascii="IRNazanin" w:hAnsi="IRNazanin" w:eastAsia="IRNazanin" w:cs="IRNazanin"/>
          <w:lang w:bidi="fa-IR"/>
          <w:color w:val="111111"/>
          <w:sz w:val="28"/>
          <w:szCs w:val="28"/>
          <w:rtl/>
        </w:rPr>
        <w:t xml:space="preserve">آغاز: بسمله بدانکه اسماء الله تعالی که در شرایع واقع شده بسیار است و از جمله اسماء وارده در شریعت مقدسه کامله که بطریق اسم مشهور الورود است نود و نه نام است</w:t>
      </w:r>
    </w:p>
    <w:p>
      <w:pPr>
        <w:pStyle w:val="BookText"/>
      </w:pPr>
      <w:r>
        <w:rPr>
          <w:rFonts w:ascii="IRNazanin" w:hAnsi="IRNazanin" w:eastAsia="IRNazanin" w:cs="IRNazanin"/>
          <w:lang w:bidi="fa-IR"/>
          <w:color w:val="111111"/>
          <w:sz w:val="28"/>
          <w:szCs w:val="28"/>
          <w:rtl/>
        </w:rPr>
        <w:t xml:space="preserve">انجام: الصبور بمعنى تعجیل نکننده بعقاب است ... و در بعضی روایات بجای بعضی از این اسماء اسماء دیگر وارد شده</w:t>
      </w:r>
    </w:p>
    <w:p>
      <w:pPr>
        <w:pStyle w:val="BookText"/>
      </w:pPr>
      <w:r>
        <w:rPr>
          <w:rFonts w:ascii="IRNazanin" w:hAnsi="IRNazanin" w:eastAsia="IRNazanin" w:cs="IRNazanin"/>
          <w:lang w:bidi="fa-IR"/>
          <w:color w:val="111111"/>
          <w:sz w:val="28"/>
          <w:szCs w:val="28"/>
          <w:rtl/>
        </w:rPr>
        <w:t xml:space="preserve">[دنا ۲۸۱۹/۱ نسخه)]</w:t>
      </w:r>
    </w:p>
    <w:p>
      <w:pPr>
        <w:pStyle w:val="BookText"/>
      </w:pPr>
      <w:r>
        <w:rPr>
          <w:rFonts w:ascii="IRNazanin" w:hAnsi="IRNazanin" w:eastAsia="IRNazanin" w:cs="IRNazanin"/>
          <w:lang w:bidi="fa-IR"/>
          <w:color w:val="111111"/>
          <w:sz w:val="28"/>
          <w:szCs w:val="28"/>
          <w:rtl/>
        </w:rPr>
        <w:t xml:space="preserve">۱. تهران؛ حقوق؛ شماره نسخه: ۷۰/۱۱ - ج</w:t>
      </w:r>
    </w:p>
    <w:p>
      <w:pPr>
        <w:pStyle w:val="BookText"/>
      </w:pPr>
      <w:r>
        <w:rPr>
          <w:rFonts w:ascii="IRNazanin" w:hAnsi="IRNazanin" w:eastAsia="IRNazanin" w:cs="IRNazanin"/>
          <w:lang w:bidi="fa-IR"/>
          <w:color w:val="111111"/>
          <w:sz w:val="28"/>
          <w:szCs w:val="28"/>
          <w:rtl/>
        </w:rPr>
        <w:t xml:space="preserve">آغاز و انجام: برابر (من تألیفات رفیعای نائینی سلمه الله تعالی)</w:t>
      </w:r>
    </w:p>
    <w:p>
      <w:pPr>
        <w:pStyle w:val="BookText"/>
      </w:pPr>
      <w:r>
        <w:rPr>
          <w:rFonts w:ascii="IRNazanin" w:hAnsi="IRNazanin" w:eastAsia="IRNazanin" w:cs="IRNazanin"/>
          <w:lang w:bidi="fa-IR"/>
          <w:color w:val="111111"/>
          <w:sz w:val="28"/>
          <w:szCs w:val="28"/>
          <w:rtl/>
        </w:rPr>
        <w:t xml:space="preserve">بی  کا،  بی تا؛ در زمان حیات نائینی نوشته  شده، پس از این مدت  عمر پیامبران آمده است؛ ۵گ (۵۶ر - ۶۰ر) [ف: ۱۳]</w:t>
      </w:r>
    </w:p>
    <w:p>
      <w:pPr>
        <w:pStyle w:val="BookText"/>
      </w:pPr>
      <w:r>
        <w:rPr>
          <w:rFonts w:ascii="IRNazanin" w:hAnsi="IRNazanin" w:eastAsia="IRNazanin" w:cs="IRNazanin"/>
          <w:lang w:bidi="fa-IR"/>
          <w:color w:val="111111"/>
          <w:sz w:val="28"/>
          <w:szCs w:val="28"/>
          <w:rtl/>
        </w:rPr>
        <w:t xml:space="preserve">۲. یزد؛ وزیری؛ شماره نسخه: ۱۳۱۸/۴</w:t>
      </w:r>
    </w:p>
    <w:p>
      <w:pPr>
        <w:pStyle w:val="BookText"/>
      </w:pPr>
      <w:r>
        <w:rPr>
          <w:rFonts w:ascii="IRNazanin" w:hAnsi="IRNazanin" w:eastAsia="IRNazanin" w:cs="IRNazanin"/>
          <w:lang w:bidi="fa-IR"/>
          <w:color w:val="111111"/>
          <w:sz w:val="28"/>
          <w:szCs w:val="28"/>
          <w:rtl/>
        </w:rPr>
        <w:t xml:space="preserve">بی کا، بی تا ؛کاغذ: سمرقندی ،جلد: تیماج تریاکی، ۱۱ص (۵۴- ۶۴)، اندازه: ۱۱</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۱۷سم [ف : ۱۳ - ۹۲۷]</w:t>
      </w:r>
    </w:p>
    <w:p>
      <w:pPr>
        <w:pStyle w:val="Heading3"/>
      </w:pPr>
      <w:bookmarkStart w:id="1638" w:name="_Toc1160"/>
      <w:r>
        <w:t>الاسماء الحسنی / اسماء الله / فارسی</w:t>
      </w:r>
      <w:bookmarkEnd w:id="1638"/>
    </w:p>
    <w:p>
      <w:pPr>
        <w:pStyle w:val="BookText"/>
      </w:pPr>
      <w:r>
        <w:rPr>
          <w:rFonts w:ascii="Times New Roman" w:hAnsi="Times New Roman" w:eastAsia="Times New Roman" w:cs="Times New Roman"/>
          <w:lang w:val="en-US" w:bidi="en-US"/>
          <w:color w:val="111111"/>
          <w:sz w:val="28"/>
          <w:szCs w:val="28"/>
          <w:rtl/>
        </w:rPr>
        <w:t xml:space="preserve">al-asma'-ol-hosnā</w:t>
      </w:r>
    </w:p>
    <w:p>
      <w:pPr>
        <w:pStyle w:val="BookText"/>
      </w:pPr>
      <w:r>
        <w:rPr>
          <w:rFonts w:ascii="IRNazanin" w:hAnsi="IRNazanin" w:eastAsia="IRNazanin" w:cs="IRNazanin"/>
          <w:lang w:bidi="fa-IR"/>
          <w:color w:val="111111"/>
          <w:sz w:val="28"/>
          <w:szCs w:val="28"/>
          <w:rtl/>
        </w:rPr>
        <w:t xml:space="preserve">حسینی سیفی، محمد بن محمد مهدی، ۱۱۵۰ ؟  قمری</w:t>
      </w:r>
    </w:p>
    <w:p>
      <w:pPr>
        <w:pStyle w:val="BookText"/>
      </w:pPr>
      <w:r>
        <w:rPr>
          <w:rFonts w:ascii="Times New Roman" w:hAnsi="Times New Roman" w:eastAsia="Times New Roman" w:cs="Times New Roman"/>
          <w:lang w:val="en-US" w:bidi="en-US"/>
          <w:color w:val="111111"/>
          <w:sz w:val="28"/>
          <w:szCs w:val="28"/>
          <w:rtl/>
        </w:rPr>
        <w:t xml:space="preserve">(hoseyni seyfi, mohammad ebn-e mohammad mahdī (-1738)</w:t>
      </w:r>
    </w:p>
    <w:p>
      <w:pPr>
        <w:pStyle w:val="BookText"/>
      </w:pPr>
      <w:r>
        <w:rPr>
          <w:rFonts w:ascii="IRNazanin" w:hAnsi="IRNazanin" w:eastAsia="IRNazanin" w:cs="IRNazanin"/>
          <w:lang w:bidi="fa-IR"/>
          <w:color w:val="111111"/>
          <w:sz w:val="28"/>
          <w:szCs w:val="28"/>
          <w:rtl/>
        </w:rPr>
        <w:t xml:space="preserve">رساله در استخراج اسماء حسنی است.</w:t>
      </w:r>
    </w:p>
    <w:p>
      <w:pPr>
        <w:pStyle w:val="BookText"/>
      </w:pPr>
      <w:r>
        <w:rPr>
          <w:rFonts w:ascii="IRNazanin" w:hAnsi="IRNazanin" w:eastAsia="IRNazanin" w:cs="IRNazanin"/>
          <w:lang w:bidi="fa-IR"/>
          <w:color w:val="111111"/>
          <w:sz w:val="28"/>
          <w:szCs w:val="28"/>
          <w:rtl/>
        </w:rPr>
        <w:t xml:space="preserve">[دنا ٨٢٠/١]</w:t>
      </w:r>
    </w:p>
    <w:p>
      <w:pPr>
        <w:pStyle w:val="BookText"/>
      </w:pPr>
      <w:r>
        <w:rPr>
          <w:rFonts w:ascii="IRNazanin" w:hAnsi="IRNazanin" w:eastAsia="IRNazanin" w:cs="IRNazanin"/>
          <w:lang w:bidi="fa-IR"/>
          <w:color w:val="111111"/>
          <w:sz w:val="28"/>
          <w:szCs w:val="28"/>
          <w:rtl/>
        </w:rPr>
        <w:t xml:space="preserve">تهران؛ مجلس؛ شماره نسخه: ۶۴۰۱/۲</w:t>
      </w:r>
    </w:p>
    <w:p>
      <w:pPr>
        <w:pStyle w:val="BookText"/>
      </w:pPr>
      <w:r>
        <w:rPr>
          <w:rFonts w:ascii="IRNazanin" w:hAnsi="IRNazanin" w:eastAsia="IRNazanin" w:cs="IRNazanin"/>
          <w:lang w:bidi="fa-IR"/>
          <w:color w:val="111111"/>
          <w:sz w:val="28"/>
          <w:szCs w:val="28"/>
          <w:rtl/>
        </w:rPr>
        <w:t xml:space="preserve">انجام: و به این دستور باید ضابطه را مضبوط به دستور مزبور قوام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339" w:name="pg20365_260470"/>
    <w:bookmarkEnd w:id="339"/>
    <w:p>
      <w:pPr>
        <w:pStyle w:val="BookText"/>
      </w:pPr>
      <w:r>
        <w:rPr>
          <w:rFonts w:ascii="IRNazanin" w:hAnsi="IRNazanin" w:eastAsia="IRNazanin" w:cs="IRNazanin"/>
          <w:lang w:bidi="fa-IR"/>
          <w:color w:val="111111"/>
          <w:sz w:val="28"/>
          <w:szCs w:val="28"/>
          <w:rtl/>
        </w:rPr>
        <w:t xml:space="preserve">الدين محمد... بعد از آن ورد نمایند به عنایات الهی و السـلام راقمه قوام الحسینی و السلام لكاتبه عماد الحسيني.</w:t>
      </w:r>
    </w:p>
    <w:p>
      <w:pPr>
        <w:pStyle w:val="BookText"/>
      </w:pPr>
      <w:r>
        <w:rPr>
          <w:rFonts w:ascii="IRNazanin" w:hAnsi="IRNazanin" w:eastAsia="IRNazanin" w:cs="IRNazanin"/>
          <w:lang w:bidi="fa-IR"/>
          <w:color w:val="111111"/>
          <w:sz w:val="28"/>
          <w:szCs w:val="28"/>
          <w:rtl/>
        </w:rPr>
        <w:t xml:space="preserve">خط: نستعلیق، کا: عماد الدین حسینی زنجانی، تا: ۱۲۵۵ق؛ این رساله را از خط مؤلف رونویس کرده است؛ کاغذ: فرنگی آهار مهره و اصفهانی ضخیم، جلد: مقوای سفید عطف و گوشه تیماج  سیاه ،۷۴ص، قطع: رقعی [ف ۱۹ - ۵۵۵]</w:t>
      </w:r>
    </w:p>
    <w:p>
      <w:pPr>
        <w:pStyle w:val="Heading3"/>
      </w:pPr>
      <w:bookmarkStart w:id="1639" w:name="_Toc1161"/>
      <w:r>
        <w:t>الاسماء الحسنی / اسماء الله / فارسی</w:t>
      </w:r>
      <w:bookmarkEnd w:id="1639"/>
    </w:p>
    <w:p>
      <w:pPr>
        <w:pStyle w:val="BookText"/>
      </w:pPr>
      <w:r>
        <w:rPr>
          <w:rFonts w:ascii="Times New Roman" w:hAnsi="Times New Roman" w:eastAsia="Times New Roman" w:cs="Times New Roman"/>
          <w:lang w:val="en-US" w:bidi="en-US"/>
          <w:color w:val="111111"/>
          <w:sz w:val="28"/>
          <w:szCs w:val="28"/>
          <w:rtl/>
        </w:rPr>
        <w:t xml:space="preserve">al-asmā’-ol-hosnā</w:t>
      </w:r>
    </w:p>
    <w:p>
      <w:pPr>
        <w:pStyle w:val="BookText"/>
      </w:pPr>
      <w:r>
        <w:rPr>
          <w:rFonts w:ascii="IRNazanin" w:hAnsi="IRNazanin" w:eastAsia="IRNazanin" w:cs="IRNazanin"/>
          <w:lang w:bidi="fa-IR"/>
          <w:color w:val="111111"/>
          <w:sz w:val="28"/>
          <w:szCs w:val="28"/>
          <w:rtl/>
        </w:rPr>
        <w:t xml:space="preserve">حسینی ،جعفر، ق ۱۳ قمری</w:t>
      </w:r>
    </w:p>
    <w:p>
      <w:pPr>
        <w:pStyle w:val="BookText"/>
      </w:pPr>
      <w:r>
        <w:rPr>
          <w:rFonts w:ascii="Times New Roman" w:hAnsi="Times New Roman" w:eastAsia="Times New Roman" w:cs="Times New Roman"/>
          <w:lang w:val="en-US" w:bidi="en-US"/>
          <w:color w:val="111111"/>
          <w:sz w:val="28"/>
          <w:szCs w:val="28"/>
          <w:rtl/>
        </w:rPr>
        <w:t xml:space="preserve">(hoseynī, ja‘far (- 19c)</w:t>
      </w:r>
    </w:p>
    <w:p>
      <w:pPr>
        <w:pStyle w:val="BookText"/>
      </w:pPr>
      <w:r>
        <w:rPr>
          <w:rFonts w:ascii="IRNazanin" w:hAnsi="IRNazanin" w:eastAsia="IRNazanin" w:cs="IRNazanin"/>
          <w:lang w:bidi="fa-IR"/>
          <w:color w:val="111111"/>
          <w:sz w:val="28"/>
          <w:szCs w:val="28"/>
          <w:rtl/>
        </w:rPr>
        <w:t xml:space="preserve">فایده کوتاهی است درباره اسماء الهی و کیفیت استخراج اسـماء الهی از اصول ثلاثه که کنیه و لقب و اسم است. از میرزا محمد باقر ملقب به صفی الدین و مکنی به ابوالمکارم با عظمت یاد کند و این رساله را برای او نوشته تا با مواظبت بر اسماء الـهی به حوائج خود برسد.</w:t>
      </w:r>
    </w:p>
    <w:p>
      <w:pPr>
        <w:pStyle w:val="BookText"/>
      </w:pPr>
      <w:r>
        <w:rPr>
          <w:rFonts w:ascii="IRNazanin" w:hAnsi="IRNazanin" w:eastAsia="IRNazanin" w:cs="IRNazanin"/>
          <w:lang w:bidi="fa-IR"/>
          <w:color w:val="111111"/>
          <w:sz w:val="28"/>
          <w:szCs w:val="28"/>
          <w:rtl/>
        </w:rPr>
        <w:t xml:space="preserve">آغاز: بسمله ای نام تو دیباچه نیکو نامی *** حیوان و نبات ازغم نامت نامی ... استفتاح مقدمات عوارف فيض مآثر اسماء الخـفی که حضرت حی ... و بعد چون بر ضمائر عقلا روشن و بر خواطر از کیا مبرهن است.</w:t>
      </w:r>
    </w:p>
    <w:p>
      <w:pPr>
        <w:pStyle w:val="BookText"/>
      </w:pPr>
      <w:r>
        <w:rPr>
          <w:rFonts w:ascii="IRNazanin" w:hAnsi="IRNazanin" w:eastAsia="IRNazanin" w:cs="IRNazanin"/>
          <w:lang w:bidi="fa-IR"/>
          <w:color w:val="111111"/>
          <w:sz w:val="28"/>
          <w:szCs w:val="28"/>
          <w:rtl/>
        </w:rPr>
        <w:t xml:space="preserve">انجام: اللهم استجب دعایی وحصل مرادی و اقض حوایجی العبد الضعيف الراجى الى الله ... محمد باقر بحق ابوالقاسم محمد رسول رب العالمين و آله الطاهرين المعصومين</w:t>
      </w:r>
    </w:p>
    <w:p>
      <w:pPr>
        <w:pStyle w:val="BookText"/>
      </w:pPr>
      <w:r>
        <w:rPr>
          <w:rFonts w:ascii="IRNazanin" w:hAnsi="IRNazanin" w:eastAsia="IRNazanin" w:cs="IRNazanin"/>
          <w:lang w:bidi="fa-IR"/>
          <w:color w:val="111111"/>
          <w:sz w:val="28"/>
          <w:szCs w:val="28"/>
          <w:rtl/>
        </w:rPr>
        <w:t xml:space="preserve">قم؛ گلپایگانی؛ شماره نسخه: ۷۶۱۳/۱-۳۸/۲۳۳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قرن ۱۳ ؛جلد: تیماج قهوه ای مجدول، 3گ، ۲۱ 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۱ - ۳۶۱]</w:t>
      </w:r>
    </w:p>
    <w:p>
      <w:pPr>
        <w:pStyle w:val="Heading3"/>
      </w:pPr>
      <w:bookmarkStart w:id="1640" w:name="_Toc1162"/>
      <w:r>
        <w:t>الاسماء الحسنى = اسماء الله / اسماء الله / فارسی</w:t>
      </w:r>
      <w:bookmarkEnd w:id="1640"/>
    </w:p>
    <w:p>
      <w:pPr>
        <w:pStyle w:val="BookText"/>
      </w:pPr>
      <w:r>
        <w:rPr>
          <w:rFonts w:ascii="Times New Roman" w:hAnsi="Times New Roman" w:eastAsia="Times New Roman" w:cs="Times New Roman"/>
          <w:lang w:val="en-US" w:bidi="en-US"/>
          <w:color w:val="111111"/>
          <w:sz w:val="28"/>
          <w:szCs w:val="28"/>
          <w:rtl/>
        </w:rPr>
        <w:t xml:space="preserve">asmā’-ol hosnā = asmā’-ol-lāh</w:t>
      </w:r>
    </w:p>
    <w:p>
      <w:pPr>
        <w:pStyle w:val="BookText"/>
      </w:pPr>
      <w:r>
        <w:rPr>
          <w:rFonts w:ascii="IRNazanin" w:hAnsi="IRNazanin" w:eastAsia="IRNazanin" w:cs="IRNazanin"/>
          <w:lang w:bidi="fa-IR"/>
          <w:color w:val="111111"/>
          <w:sz w:val="28"/>
          <w:szCs w:val="28"/>
          <w:rtl/>
        </w:rPr>
        <w:t xml:space="preserve">بغدادی، محمد مؤمن</w:t>
      </w:r>
    </w:p>
    <w:p>
      <w:pPr>
        <w:pStyle w:val="BookText"/>
      </w:pPr>
      <w:r>
        <w:rPr>
          <w:rFonts w:ascii="Times New Roman" w:hAnsi="Times New Roman" w:eastAsia="Times New Roman" w:cs="Times New Roman"/>
          <w:lang w:val="en-US" w:bidi="en-US"/>
          <w:color w:val="111111"/>
          <w:sz w:val="28"/>
          <w:szCs w:val="28"/>
          <w:rtl/>
        </w:rPr>
        <w:t xml:space="preserve">baqdādī, mohammad mo’men</w:t>
      </w:r>
    </w:p>
    <w:p>
      <w:pPr>
        <w:pStyle w:val="BookText"/>
      </w:pPr>
      <w:r>
        <w:rPr>
          <w:rFonts w:ascii="IRNazanin" w:hAnsi="IRNazanin" w:eastAsia="IRNazanin" w:cs="IRNazanin"/>
          <w:lang w:bidi="fa-IR"/>
          <w:color w:val="111111"/>
          <w:sz w:val="28"/>
          <w:szCs w:val="28"/>
          <w:rtl/>
        </w:rPr>
        <w:t xml:space="preserve">رساله ای است در شرح نام های خدا.</w:t>
      </w:r>
    </w:p>
    <w:p>
      <w:pPr>
        <w:pStyle w:val="BookText"/>
      </w:pPr>
      <w:r>
        <w:rPr>
          <w:rFonts w:ascii="IRNazanin" w:hAnsi="IRNazanin" w:eastAsia="IRNazanin" w:cs="IRNazanin"/>
          <w:lang w:bidi="fa-IR"/>
          <w:color w:val="111111"/>
          <w:sz w:val="28"/>
          <w:szCs w:val="28"/>
          <w:rtl/>
        </w:rPr>
        <w:t xml:space="preserve">آغاز: الحمد لله الذي احاط بكل شيىء علمه و نفذ في كل شيـیء حكمه  ... اما ،بعد چون این حقیر ... محمد مؤمن بغدادى خادم فقراء . ... سه رساله در جمع اسماء الله ... مسما به «كشف الحقايق» و «كنز المسلمين» و «اسرار المؤمنین» قلمی نموده بودم و جـویا نداشت. الله الحمد درین وقت که اسلام قوی شده در دارالسلطنه اصفهان</w:t>
      </w:r>
    </w:p>
    <w:p>
      <w:pPr>
        <w:pStyle w:val="BookText"/>
      </w:pPr>
      <w:r>
        <w:rPr>
          <w:rFonts w:ascii="IRNazanin" w:hAnsi="IRNazanin" w:eastAsia="IRNazanin" w:cs="IRNazanin"/>
          <w:lang w:bidi="fa-IR"/>
          <w:color w:val="111111"/>
          <w:sz w:val="28"/>
          <w:szCs w:val="28"/>
          <w:rtl/>
        </w:rPr>
        <w:t xml:space="preserve">[دنا ٨٢٠/١]</w:t>
      </w:r>
    </w:p>
    <w:p>
      <w:pPr>
        <w:pStyle w:val="BookText"/>
      </w:pPr>
      <w:r>
        <w:rPr>
          <w:rFonts w:ascii="IRNazanin" w:hAnsi="IRNazanin" w:eastAsia="IRNazanin" w:cs="IRNazanin"/>
          <w:lang w:bidi="fa-IR"/>
          <w:color w:val="111111"/>
          <w:sz w:val="28"/>
          <w:szCs w:val="28"/>
          <w:rtl/>
        </w:rPr>
        <w:t xml:space="preserve">تهران؛ سپهسالار؛ شماره نسخه: ۵۶۲۴/۵</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بی کا، تا: ۱۲۴۲ق؛ از این کتاب در این دفتر تنها برگ نخستین بجای مانده و باقی افتاده است ؛کاغذ: فرنگی [ف: ۳- 134]</w:t>
      </w:r>
    </w:p>
    <w:p>
      <w:pPr>
        <w:pStyle w:val="Heading3"/>
      </w:pPr>
      <w:bookmarkStart w:id="1641" w:name="_Toc1163"/>
      <w:r>
        <w:t>الاسماء الحسنى / علوم غریبه، اسماء الله / عربی</w:t>
      </w:r>
      <w:bookmarkEnd w:id="1641"/>
    </w:p>
    <w:p>
      <w:pPr>
        <w:pStyle w:val="BookText"/>
      </w:pPr>
      <w:r>
        <w:rPr>
          <w:rFonts w:ascii="Times New Roman" w:hAnsi="Times New Roman" w:eastAsia="Times New Roman" w:cs="Times New Roman"/>
          <w:lang w:val="en-US" w:bidi="en-US"/>
          <w:color w:val="111111"/>
          <w:sz w:val="28"/>
          <w:szCs w:val="28"/>
          <w:rtl/>
        </w:rPr>
        <w:t xml:space="preserve">al-asmā’-ul ḥusnā</w:t>
      </w:r>
    </w:p>
    <w:p>
      <w:pPr>
        <w:pStyle w:val="BookText"/>
      </w:pPr>
      <w:r>
        <w:rPr>
          <w:rFonts w:ascii="IRNazanin" w:hAnsi="IRNazanin" w:eastAsia="IRNazanin" w:cs="IRNazanin"/>
          <w:lang w:bidi="fa-IR"/>
          <w:color w:val="111111"/>
          <w:sz w:val="28"/>
          <w:szCs w:val="28"/>
          <w:rtl/>
        </w:rPr>
        <w:t xml:space="preserve">غیر همانند:</w:t>
      </w:r>
    </w:p>
    <w:p>
      <w:pPr>
        <w:pStyle w:val="BookText"/>
      </w:pPr>
      <w:r>
        <w:rPr>
          <w:rFonts w:ascii="IRNazanin" w:hAnsi="IRNazanin" w:eastAsia="IRNazanin" w:cs="IRNazanin"/>
          <w:lang w:bidi="fa-IR"/>
          <w:color w:val="111111"/>
          <w:sz w:val="28"/>
          <w:szCs w:val="28"/>
          <w:rtl/>
        </w:rPr>
        <w:t xml:space="preserve">۱. قم؛ مرعشی؛ شماره نسخه: ۱۲۷۱۰/۷</w:t>
      </w:r>
    </w:p>
    <w:p>
      <w:pPr>
        <w:pStyle w:val="BookText"/>
      </w:pPr>
      <w:r>
        <w:rPr>
          <w:rFonts w:ascii="IRNazanin" w:hAnsi="IRNazanin" w:eastAsia="IRNazanin" w:cs="IRNazanin"/>
          <w:lang w:bidi="fa-IR"/>
          <w:color w:val="111111"/>
          <w:sz w:val="28"/>
          <w:szCs w:val="28"/>
          <w:rtl/>
        </w:rPr>
        <w:t xml:space="preserve">آغاز: عدل ،۱۰۴؛ جاعل  ۱۰۴، مسبب  ۱۰۴، عادل ۱۰۵، باطن ۶۲، دیان  ۶۵، الله  ۶۶، وکیل  ۶۶، ناهی ۶۶؛انجام: اللهم اسئلك بحق هذه الاسماء ان تصلى على محمد و آل محمد و ان تقضى حوائجی یا ارحم الراحمين.</w:t>
      </w:r>
    </w:p>
    <w:p>
      <w:pPr>
        <w:pStyle w:val="BookText"/>
      </w:pPr>
      <w:r>
        <w:rPr>
          <w:rFonts w:ascii="IRNazanin" w:hAnsi="IRNazanin" w:eastAsia="IRNazanin" w:cs="IRNazanin"/>
          <w:lang w:bidi="fa-IR"/>
          <w:color w:val="111111"/>
          <w:sz w:val="28"/>
          <w:szCs w:val="28"/>
          <w:rtl/>
        </w:rPr>
        <w:t xml:space="preserve">رساله ای کوتاه در اسماء الله تعالی و استخراج مطالب از آنها، در این رساله اسماء الله تعالی با معادل عددی هر یک آورده شده است ؛خط: نستعلیق، بی کا، تا: قرن ۱۱؛ محشی، مصحح، رکابه  دار، مطالبی در اعداد و حروف در انجام آمده؛ کاغذ: فرنگی، ۶گ (۳۲-۳۷)، ۱۵ 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۳۲-۳۰۲  ]</w:t>
      </w:r>
    </w:p>
    <w:p>
      <w:pPr>
        <w:pStyle w:val="BookText"/>
      </w:pPr>
      <w:r>
        <w:rPr>
          <w:rFonts w:ascii="IRNazanin" w:hAnsi="IRNazanin" w:eastAsia="IRNazanin" w:cs="IRNazanin"/>
          <w:lang w:bidi="fa-IR"/>
          <w:color w:val="111111"/>
          <w:sz w:val="28"/>
          <w:szCs w:val="28"/>
          <w:rtl/>
        </w:rPr>
        <w:t xml:space="preserve">۲. تهران؛ ملک؛ شماره نسخه: ۳۱۶۳/۱</w:t>
      </w:r>
    </w:p>
    <w:p>
      <w:pPr>
        <w:pStyle w:val="BookText"/>
      </w:pPr>
      <w:r>
        <w:rPr>
          <w:rFonts w:ascii="IRNazanin" w:hAnsi="IRNazanin" w:eastAsia="IRNazanin" w:cs="IRNazanin"/>
          <w:lang w:bidi="fa-IR"/>
          <w:color w:val="111111"/>
          <w:sz w:val="28"/>
          <w:szCs w:val="28"/>
          <w:rtl/>
        </w:rPr>
        <w:t xml:space="preserve">آغاز: الفصل الحادي والثلاثون، فيما روى في ذكر الاسم الاعظم، اعلم ان الاقوال في ذلك لاتكاد تنحصر فی کتاب مصنف؛ انجام :كتبه على بن ابى طالب فى آخر نهار الخميس (۱۱ ذيحجة ۲۵ هـ) ... انا العبد ... حاجى البلكانى مولداً و الدكانى موطناً (۱۲۳۵)</w:t>
      </w:r>
    </w:p>
    <w:p>
      <w:pPr>
        <w:pStyle w:val="BookText"/>
      </w:pPr>
      <w:r>
        <w:rPr>
          <w:rFonts w:ascii="IRNazanin" w:hAnsi="IRNazanin" w:eastAsia="IRNazanin" w:cs="IRNazanin"/>
          <w:lang w:bidi="fa-IR"/>
          <w:color w:val="111111"/>
          <w:sz w:val="28"/>
          <w:szCs w:val="28"/>
          <w:rtl/>
        </w:rPr>
        <w:t xml:space="preserve">از فصل ۳۱ «فیما روى فى ذكر الاسم الاعظم» و ۳۲ «فى الاسماء الحسنی و شروحها» سپس باب الالف تا فی الیاء سپس باب الهادى و الاربعون، سپس دعاها و زیارت نامه ها به نقل از «الجنة الواقية»؛ خط: نسخ و  ثلث، بی کا، تا: قرن ۱۲؛ افتادگی: آغاز؛ کاغذ: پسته ای، جلد: رویه میشن مشکی لایی، ۶۷گ( اپ-۶۷ر)  [ف: ۶ - ۲۵۱]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ملک؛ شماره نسخه: ۳۱۱۶/۱۱</w:t>
      </w:r>
    </w:p>
    <w:p>
      <w:pPr>
        <w:pStyle w:val="BookText"/>
      </w:pPr>
      <w:r>
        <w:rPr>
          <w:rFonts w:ascii="IRNazanin" w:hAnsi="IRNazanin" w:eastAsia="IRNazanin" w:cs="IRNazanin"/>
          <w:lang w:bidi="fa-IR"/>
          <w:color w:val="111111"/>
          <w:sz w:val="28"/>
          <w:szCs w:val="28"/>
          <w:rtl/>
        </w:rPr>
        <w:t xml:space="preserve">آغاز: بسمله، الحمد لله الذي ابدع المبتدعات لامن مثال قبلها ابتداعاً و اخترع المخترعات؛ انجام: و منتهی عمل و رضائی [رضاى] لاخوف لي الا منك لان غيرك</w:t>
      </w:r>
    </w:p>
    <w:p>
      <w:pPr>
        <w:pStyle w:val="BookText"/>
      </w:pPr>
      <w:r>
        <w:rPr>
          <w:rFonts w:ascii="IRNazanin" w:hAnsi="IRNazanin" w:eastAsia="IRNazanin" w:cs="IRNazanin"/>
          <w:lang w:bidi="fa-IR"/>
          <w:color w:val="111111"/>
          <w:sz w:val="28"/>
          <w:szCs w:val="28"/>
          <w:rtl/>
        </w:rPr>
        <w:t xml:space="preserve">خط: شکسته نستعلیق، بی کا، تا: قرن ۱۲؛ افتادگی: انجام؛ کاغذ: پسته ای فرنگی، جلد: میشن قرمز، ۲گ (۱۲۳ر-۱۲۴پ)، ۱۸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۲۱/۷سم [ف: ۶ - ۲۲۸]</w:t>
      </w:r>
    </w:p>
    <w:p>
      <w:pPr>
        <w:pStyle w:val="BookText"/>
      </w:pPr>
      <w:r>
        <w:rPr>
          <w:rFonts w:ascii="IRNazanin" w:hAnsi="IRNazanin" w:eastAsia="IRNazanin" w:cs="IRNazanin"/>
          <w:lang w:bidi="fa-IR"/>
          <w:color w:val="111111"/>
          <w:sz w:val="28"/>
          <w:szCs w:val="28"/>
          <w:rtl/>
        </w:rPr>
        <w:t xml:space="preserve">۴ .تهران؛ مجلس؛ شماره نسخه: ۹۱۷۸</w:t>
      </w:r>
    </w:p>
    <w:p>
      <w:pPr>
        <w:pStyle w:val="BookText"/>
      </w:pPr>
      <w:r>
        <w:rPr>
          <w:rFonts w:ascii="IRNazanin" w:hAnsi="IRNazanin" w:eastAsia="IRNazanin" w:cs="IRNazanin"/>
          <w:lang w:bidi="fa-IR"/>
          <w:color w:val="111111"/>
          <w:sz w:val="28"/>
          <w:szCs w:val="28"/>
          <w:rtl/>
        </w:rPr>
        <w:t xml:space="preserve">آغاز: بسمله و باسمه تبارک و تعالى الاسماء الاعظم و الاوراد الاکرم که در یکهزار و سی و سه خانه تمام وصف وصفات حق است و حقاین است که احدى ... ابد (۷)، هو (۱۱)، احد (۱۳)، وهاب (۱۴) اجود (۱۴)، جواد (۱۴)؛ انجام: منتهى رغبة الراغبين (۳۴۰۱)، غالب غیر مغلوب (۳۳۲۱)، غاذى الصغير و الكبير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340" w:name="pg20365_260471"/>
    <w:bookmarkEnd w:id="340"/>
    <w:p>
      <w:pPr>
        <w:pStyle w:val="BookText"/>
      </w:pPr>
      <w:r>
        <w:rPr>
          <w:rFonts w:ascii="Amiri" w:hAnsi="Amiri" w:eastAsia="Amiri" w:cs="Amiri"/>
          <w:lang w:bidi="ar-SA"/>
          <w:color w:val="111111"/>
          <w:sz w:val="28"/>
          <w:szCs w:val="28"/>
          <w:rtl/>
        </w:rPr>
        <w:t xml:space="preserve">(۳۳۱۱)، غياث المستغيثين (۳۶۱۲).</w:t>
      </w:r>
    </w:p>
    <w:p>
      <w:pPr>
        <w:pStyle w:val="BookText"/>
      </w:pPr>
      <w:r>
        <w:rPr>
          <w:rFonts w:ascii="IRNazanin" w:hAnsi="IRNazanin" w:eastAsia="IRNazanin" w:cs="IRNazanin"/>
          <w:lang w:bidi="fa-IR"/>
          <w:color w:val="111111"/>
          <w:sz w:val="28"/>
          <w:szCs w:val="28"/>
          <w:rtl/>
        </w:rPr>
        <w:t xml:space="preserve">روش ختم اسماء حسنی و خواص آنهاست با مقدمه کوتاهی در آغاز که همه آن چنین است:« حق این است که احدی ندانسته و نتوانسته شرح و وصف آن کند. ما نتوانیم وصف ذاتش **گفتن با همه کروبیان عالم بالا واضح است که ظابطش در هر قـبیله محفوظ و واردیش در حفظ هر که را مهمی پیش آید اسمی به عدد اسم خود پیدا کند. مثلاً على نام (١١٠) لا الا اله هو (110). موافق است به اسم او ورد سازد و هر روز به همان عدد بخواند تا رفع مهمش شود و هر گاه اسمی به عدد اسم خود نیافت دو اسم جمع عدد هر دو با عدد اسم او موافق شود به همان عدد هردو اسم را همه روزه بخواند؛ خط: نسخ خوش، بی کا، تا: قرن13؛ مقدمه شکسته نستعلیق ،مجدول ،کمنددار اسامی الهی نوشته (درون خانه های  درون جدول های نقره ای هر صفحه ۳۶ اسم دارد (درون خانه هـای 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 که زیر هر یک معادل ابجدی آنها با شنگرف نوشته شـده، دارای دو کتیبه ساده نقره ای جزوها ۶ برگی ؛مهر: کتاب جعفر سلطان القرایی؛ خریداری از جعفر سلطان القرایی؛ کاغذ: نخودی آهار مهره.، جلد: مخمل سرخ، درون کاغذ ابر وباد ۱۸گ  ۸ سطر (6/3</w:t>
      </w:r>
      <w:r>
        <w:rPr>
          <w:rFonts w:ascii="Times New Roman" w:hAnsi="Times New Roman" w:eastAsia="Times New Roman" w:cs="Times New Roman"/>
          <w:lang w:val="en-US" w:bidi="en-US"/>
          <w:color w:val="111111"/>
          <w:sz w:val="28"/>
          <w:szCs w:val="28"/>
          <w:rtl/>
        </w:rPr>
        <w:t xml:space="preserve">×12/1)</w:t>
      </w:r>
      <w:r>
        <w:rPr>
          <w:rFonts w:ascii="IRNazanin" w:hAnsi="IRNazanin" w:eastAsia="IRNazanin" w:cs="IRNazanin"/>
          <w:lang w:bidi="fa-IR"/>
          <w:color w:val="111111"/>
          <w:sz w:val="28"/>
          <w:szCs w:val="28"/>
          <w:rtl/>
        </w:rPr>
        <w:t xml:space="preserve">، اندازه: ۸/۸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۱۵/۴سم [ ف: ۲۹/۲۲ - 840]</w:t>
      </w:r>
    </w:p>
    <w:p>
      <w:pPr>
        <w:pStyle w:val="BookText"/>
      </w:pPr>
      <w:r>
        <w:rPr>
          <w:rFonts w:ascii="IRNazanin" w:hAnsi="IRNazanin" w:eastAsia="IRNazanin" w:cs="IRNazanin"/>
          <w:lang w:bidi="fa-IR"/>
          <w:color w:val="111111"/>
          <w:sz w:val="28"/>
          <w:szCs w:val="28"/>
          <w:rtl/>
        </w:rPr>
        <w:t xml:space="preserve">۵. تهران؛ سپهسالار؛ شماره نسخه: ۶۴۶۷/۳</w:t>
      </w:r>
    </w:p>
    <w:p>
      <w:pPr>
        <w:pStyle w:val="BookText"/>
      </w:pPr>
      <w:r>
        <w:rPr>
          <w:rFonts w:ascii="IRNazanin" w:hAnsi="IRNazanin" w:eastAsia="IRNazanin" w:cs="IRNazanin"/>
          <w:lang w:bidi="fa-IR"/>
          <w:color w:val="111111"/>
          <w:sz w:val="28"/>
          <w:szCs w:val="28"/>
          <w:rtl/>
        </w:rPr>
        <w:t xml:space="preserve">آغاز: اسم الشيىء ما يعرف به فاسماء الله تعالى هى الصور النوعیة؛</w:t>
      </w:r>
    </w:p>
    <w:p>
      <w:pPr>
        <w:pStyle w:val="BookText"/>
      </w:pPr>
      <w:r>
        <w:rPr>
          <w:rFonts w:ascii="Amiri" w:hAnsi="Amiri" w:eastAsia="Amiri" w:cs="Amiri"/>
          <w:lang w:bidi="ar-SA"/>
          <w:color w:val="111111"/>
          <w:sz w:val="28"/>
          <w:szCs w:val="28"/>
          <w:rtl/>
        </w:rPr>
        <w:t xml:space="preserve">انجام: اينما تولوا فثم وجه الله الذين احسنو الحسنى.</w:t>
      </w:r>
    </w:p>
    <w:p>
      <w:pPr>
        <w:pStyle w:val="BookText"/>
      </w:pPr>
      <w:r>
        <w:rPr>
          <w:rFonts w:ascii="IRNazanin" w:hAnsi="IRNazanin" w:eastAsia="IRNazanin" w:cs="IRNazanin"/>
          <w:lang w:bidi="fa-IR"/>
          <w:color w:val="111111"/>
          <w:sz w:val="28"/>
          <w:szCs w:val="28"/>
          <w:rtl/>
        </w:rPr>
        <w:t xml:space="preserve">شرح و تفسیر نام های خدا است؛ بی کا، تا: ۱۲۲۳ق؛ کاغذ: فرنگی سفید و قرمز ،جلد: ختایی تیماج مقوایی ضربی، ۴گ (۳۲پ-۳۵ ر) ۱۵ سطر،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۳ - ۱۳۵]</w:t>
      </w:r>
    </w:p>
    <w:p>
      <w:pPr>
        <w:pStyle w:val="BookText"/>
      </w:pPr>
      <w:r>
        <w:rPr>
          <w:rFonts w:ascii="IRNazanin" w:hAnsi="IRNazanin" w:eastAsia="IRNazanin" w:cs="IRNazanin"/>
          <w:lang w:bidi="fa-IR"/>
          <w:color w:val="111111"/>
          <w:sz w:val="28"/>
          <w:szCs w:val="28"/>
          <w:rtl/>
        </w:rPr>
        <w:t xml:space="preserve">6.تهران؛ مهدوی؛ شماره نسخه: ۸۴۶</w:t>
      </w:r>
    </w:p>
    <w:p>
      <w:pPr>
        <w:pStyle w:val="BookText"/>
      </w:pPr>
      <w:r>
        <w:rPr>
          <w:rFonts w:ascii="IRNazanin" w:hAnsi="IRNazanin" w:eastAsia="IRNazanin" w:cs="IRNazanin"/>
          <w:lang w:bidi="fa-IR"/>
          <w:color w:val="111111"/>
          <w:sz w:val="28"/>
          <w:szCs w:val="28"/>
          <w:rtl/>
        </w:rPr>
        <w:t xml:space="preserve">آغاز: الفصل الحادى والعشرون فى الاسماء تعالى الحسنى</w:t>
      </w:r>
    </w:p>
    <w:p>
      <w:pPr>
        <w:pStyle w:val="BookText"/>
      </w:pPr>
      <w:r>
        <w:rPr>
          <w:rFonts w:ascii="IRNazanin" w:hAnsi="IRNazanin" w:eastAsia="IRNazanin" w:cs="IRNazanin"/>
          <w:lang w:bidi="fa-IR"/>
          <w:color w:val="111111"/>
          <w:sz w:val="28"/>
          <w:szCs w:val="28"/>
          <w:rtl/>
        </w:rPr>
        <w:t xml:space="preserve">پاره ای از کتابی است؛ خط: نسخ، کا: مصطفى بن ملا زین العابدین  منجم،تا: ۱۶ شعبان ۱۲۶۹ق، جا: تبریز[ نشریه: ۲ - ۱۳۷]</w:t>
      </w:r>
    </w:p>
    <w:p>
      <w:pPr>
        <w:pStyle w:val="BookText"/>
      </w:pPr>
      <w:r>
        <w:rPr>
          <w:rFonts w:ascii="IRNazanin" w:hAnsi="IRNazanin" w:eastAsia="IRNazanin" w:cs="IRNazanin"/>
          <w:lang w:bidi="fa-IR"/>
          <w:color w:val="111111"/>
          <w:sz w:val="28"/>
          <w:szCs w:val="28"/>
          <w:rtl/>
        </w:rPr>
        <w:t xml:space="preserve">٧. مشهد؛ شیخ علی حیدر؛ شماره نسخه: ۴۷۶/۴</w:t>
      </w:r>
    </w:p>
    <w:p>
      <w:pPr>
        <w:pStyle w:val="BookText"/>
      </w:pPr>
      <w:r>
        <w:rPr>
          <w:rFonts w:ascii="IRNazanin" w:hAnsi="IRNazanin" w:eastAsia="IRNazanin" w:cs="IRNazanin"/>
          <w:lang w:bidi="fa-IR"/>
          <w:color w:val="111111"/>
          <w:sz w:val="28"/>
          <w:szCs w:val="28"/>
          <w:rtl/>
        </w:rPr>
        <w:t xml:space="preserve">آغاز: هو الله الذى لا اله الا هو الرحمان جل جلاله؛ انجام: لیس  كمثله شيء و هو السميع البصير</w:t>
      </w:r>
    </w:p>
    <w:p>
      <w:pPr>
        <w:pStyle w:val="BookText"/>
      </w:pPr>
      <w:r>
        <w:rPr>
          <w:rFonts w:ascii="IRNazanin" w:hAnsi="IRNazanin" w:eastAsia="IRNazanin" w:cs="IRNazanin"/>
          <w:lang w:bidi="fa-IR"/>
          <w:color w:val="111111"/>
          <w:sz w:val="28"/>
          <w:szCs w:val="28"/>
          <w:rtl/>
        </w:rPr>
        <w:t xml:space="preserve">دعاء مختصر جاء فيها أسماء الله بصورة التمجيد و التعظيم الجلاله تعالی؛ خط: نسخ، بی کا، تا: ۱۳۰۱ق؛ جلد: عادی ٣گ (۱۰۷- ۱۰۹ر) ،اندازه: ۱۳</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۲۱سم [مؤيد: ۱ - ۳۸۴]</w:t>
      </w:r>
    </w:p>
    <w:p>
      <w:pPr>
        <w:pStyle w:val="BookText"/>
      </w:pPr>
      <w:r>
        <w:rPr>
          <w:rFonts w:ascii="IRNazanin" w:hAnsi="IRNazanin" w:eastAsia="IRNazanin" w:cs="IRNazanin"/>
          <w:lang w:bidi="fa-IR"/>
          <w:color w:val="111111"/>
          <w:sz w:val="28"/>
          <w:szCs w:val="28"/>
          <w:rtl/>
        </w:rPr>
        <w:t xml:space="preserve">8.قم؛ گلپایگانی؛ شماره نسخه: ۸۸۶۴/۳-۵۹/۸۴</w:t>
      </w:r>
    </w:p>
    <w:p>
      <w:pPr>
        <w:pStyle w:val="BookText"/>
      </w:pPr>
      <w:r>
        <w:rPr>
          <w:rFonts w:ascii="IRNazanin" w:hAnsi="IRNazanin" w:eastAsia="IRNazanin" w:cs="IRNazanin"/>
          <w:lang w:bidi="fa-IR"/>
          <w:color w:val="111111"/>
          <w:sz w:val="28"/>
          <w:szCs w:val="28"/>
          <w:rtl/>
        </w:rPr>
        <w:t xml:space="preserve">آغاز: بسمله باب اسماء الله تعالى من الصحاح قال رسول الله صـلی الله عليه و سلم ان الله تسعة وتسعين اسما</w:t>
      </w:r>
    </w:p>
    <w:p>
      <w:pPr>
        <w:pStyle w:val="BookText"/>
      </w:pPr>
      <w:r>
        <w:rPr>
          <w:rFonts w:ascii="IRNazanin" w:hAnsi="IRNazanin" w:eastAsia="IRNazanin" w:cs="IRNazanin"/>
          <w:lang w:bidi="fa-IR"/>
          <w:color w:val="111111"/>
          <w:sz w:val="28"/>
          <w:szCs w:val="28"/>
          <w:rtl/>
        </w:rPr>
        <w:t xml:space="preserve">مؤلف در این رساله ۹۹ نام باری تعالی را که در احادیث نبـوی وارد شده ذکر و در مورد هر کدام توضیحات کوتاهی داده است. از اول کتاب تا نام الصبور؛ خط: نسخ، بی کا، بی تا؛ افتادگی: انجام؛ ۱۵گ (۳۹-۵۳)، ۱۳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۱- 362]</w:t>
      </w:r>
    </w:p>
    <w:p>
      <w:pPr>
        <w:pStyle w:val="BookText"/>
      </w:pPr>
      <w:r>
        <w:rPr>
          <w:rFonts w:ascii="IRNazanin" w:hAnsi="IRNazanin" w:eastAsia="IRNazanin" w:cs="IRNazanin"/>
          <w:lang w:bidi="fa-IR"/>
          <w:color w:val="111111"/>
          <w:sz w:val="28"/>
          <w:szCs w:val="28"/>
          <w:rtl/>
        </w:rPr>
        <w:t xml:space="preserve">۹. تهران؛ مجلس؛ شماره نسخه: ۱۲۵۹۰/۱</w:t>
      </w:r>
    </w:p>
    <w:p>
      <w:pPr>
        <w:pStyle w:val="BookText"/>
      </w:pPr>
      <w:r>
        <w:rPr>
          <w:rFonts w:ascii="IRNazanin" w:hAnsi="IRNazanin" w:eastAsia="IRNazanin" w:cs="IRNazanin"/>
          <w:lang w:bidi="fa-IR"/>
          <w:color w:val="111111"/>
          <w:sz w:val="28"/>
          <w:szCs w:val="28"/>
          <w:rtl/>
        </w:rPr>
        <w:t xml:space="preserve">آغاز: فنبدأ الآن بصاحب الحكم الاعظم و الامام الاشرف الاکرم  و انعم به عليه و ما وضعه للاقربين اليه و ما اختصر له من الافعال الموصلة الى السعادة بالاقتداء؛ انجام: و كذلك الحرف الثاني الى آخر الكلمه لكل حرف اصبع و كذلك تعمل حمعسق و الله اعلم بالصواب.</w:t>
      </w:r>
    </w:p>
    <w:p>
      <w:pPr>
        <w:pStyle w:val="BookText"/>
      </w:pPr>
      <w:r>
        <w:rPr>
          <w:rFonts w:ascii="IRNazanin" w:hAnsi="IRNazanin" w:eastAsia="IRNazanin" w:cs="IRNazanin"/>
          <w:lang w:bidi="fa-IR"/>
          <w:color w:val="111111"/>
          <w:sz w:val="28"/>
          <w:szCs w:val="28"/>
          <w:rtl/>
        </w:rPr>
        <w:t xml:space="preserve">توضیحاتی است درباره خواص اسماء الهی و استفاده های عرفانی  آنها، در آن از کتاب «اعمال القلوب فى اسرار المحبوب» و «فتح الرجال» و از ابوالحسن عمر بن موسی مغربی نقل قول شده است. گویا این قسمت بخشی از«شمس المعارف» بونی است؛ خط: نسخ، بی کا، بی تا؛ جلد: تیماج مشکی دارای ترنج باسر، ۱۰گ ( ار -۱۰پ) [ف: ۳۶ - ۱۴۲]</w:t>
      </w:r>
    </w:p>
    <w:p>
      <w:pPr>
        <w:pStyle w:val="BookText"/>
      </w:pPr>
      <w:r>
        <w:rPr>
          <w:rFonts w:ascii="IRNazanin" w:hAnsi="IRNazanin" w:eastAsia="IRNazanin" w:cs="IRNazanin"/>
          <w:lang w:bidi="fa-IR"/>
          <w:color w:val="111111"/>
          <w:sz w:val="28"/>
          <w:szCs w:val="28"/>
          <w:rtl/>
        </w:rPr>
        <w:t xml:space="preserve">۱۰. تهران؛ مجلس؛ شماره نسخه: ۱۹۳/۳-ط</w:t>
      </w:r>
    </w:p>
    <w:p>
      <w:pPr>
        <w:pStyle w:val="BookText"/>
      </w:pPr>
      <w:r>
        <w:rPr>
          <w:rFonts w:ascii="IRNazanin" w:hAnsi="IRNazanin" w:eastAsia="IRNazanin" w:cs="IRNazanin"/>
          <w:lang w:bidi="fa-IR"/>
          <w:color w:val="111111"/>
          <w:sz w:val="28"/>
          <w:szCs w:val="28"/>
          <w:rtl/>
        </w:rPr>
        <w:t xml:space="preserve">آغاز: بسمله هو الله الذى لا اله الا هو (بالای کلمه الله نوشته): من قرا هذا الاسم كل يوم الف مره جعله الله تعالى من اهل اليقين) عالم الغيب و الشهاده هو الرحمان الرحيم (بالای نام الرحمان به چلپیا چنین آمده): من قرء هذا الاسم بعد كل صلوة ماية ازال الله عنه الغفله؛ انجام: الصبور الستار (در زیر نام الصبور آمده:) من كان له مرض او وجع فىجسده يقرء هذا الاسم ثلاثه وثلاثين مره فان الله تعالى يصبره و يعافيه و يشفيه.</w:t>
      </w:r>
    </w:p>
    <w:p>
      <w:pPr>
        <w:pStyle w:val="BookText"/>
      </w:pPr>
      <w:r>
        <w:rPr>
          <w:rFonts w:ascii="IRNazanin" w:hAnsi="IRNazanin" w:eastAsia="IRNazanin" w:cs="IRNazanin"/>
          <w:lang w:bidi="fa-IR"/>
          <w:color w:val="111111"/>
          <w:sz w:val="28"/>
          <w:szCs w:val="28"/>
          <w:rtl/>
        </w:rPr>
        <w:t xml:space="preserve">یکصد و یک نام از اسماء الحسنی در متن نوشته است با خواص هر یک در بین سطور به چلیپا؛ بی کا، بی تا، کاغذ: فرنگی  نخودی، جلد: مقوای مندرس شکری  رنگ، 3گ (۲۰-۲۲)، قطع: رقعی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 ۲۲ - ۴۲]</w:t>
      </w:r>
    </w:p>
    <w:p>
      <w:pPr>
        <w:pStyle w:val="BookText"/>
      </w:pPr>
      <w:r>
        <w:rPr>
          <w:rFonts w:ascii="IRNazanin" w:hAnsi="IRNazanin" w:eastAsia="IRNazanin" w:cs="IRNazanin"/>
          <w:lang w:bidi="fa-IR"/>
          <w:color w:val="111111"/>
          <w:sz w:val="28"/>
          <w:szCs w:val="28"/>
          <w:rtl/>
        </w:rPr>
        <w:t xml:space="preserve">۱۱. تهران؛ دانشگاه؛ شماره نسخه: ۷۶۹/۶-ف</w:t>
      </w:r>
    </w:p>
    <w:p>
      <w:pPr>
        <w:pStyle w:val="BookText"/>
      </w:pPr>
      <w:r>
        <w:rPr>
          <w:rFonts w:ascii="IRNazanin" w:hAnsi="IRNazanin" w:eastAsia="IRNazanin" w:cs="IRNazanin"/>
          <w:lang w:bidi="fa-IR"/>
          <w:color w:val="111111"/>
          <w:sz w:val="28"/>
          <w:szCs w:val="28"/>
          <w:rtl/>
        </w:rPr>
        <w:t xml:space="preserve">نسخه اصل: پاریس 80 . . (بلوشه (۱۵۷)  بی کا، بی تا؛ ۲۳ سطر [ فیلم ها-ف: ۱ - ۵۳۷]</w:t>
      </w:r>
    </w:p>
    <w:p>
      <w:pPr>
        <w:pStyle w:val="BookText"/>
      </w:pPr>
      <w:r>
        <w:rPr>
          <w:rFonts w:ascii="IRNazanin" w:hAnsi="IRNazanin" w:eastAsia="IRNazanin" w:cs="IRNazanin"/>
          <w:lang w:bidi="fa-IR"/>
          <w:color w:val="111111"/>
          <w:sz w:val="28"/>
          <w:szCs w:val="28"/>
          <w:rtl/>
        </w:rPr>
        <w:t xml:space="preserve">۱۲. اصفهان؛ روضاتی سید محمد علی؛ شماره نسخه: ۱/۶</w:t>
      </w:r>
    </w:p>
    <w:p>
      <w:pPr>
        <w:pStyle w:val="BookText"/>
      </w:pPr>
      <w:r>
        <w:rPr>
          <w:rFonts w:ascii="IRNazanin" w:hAnsi="IRNazanin" w:eastAsia="IRNazanin" w:cs="IRNazanin"/>
          <w:lang w:bidi="fa-IR"/>
          <w:color w:val="111111"/>
          <w:sz w:val="28"/>
          <w:szCs w:val="28"/>
          <w:rtl/>
        </w:rPr>
        <w:t xml:space="preserve">عن بعض الائمة رضوان الله عليهم ؛خط: نسخ جلی، بی کا، بی تا  ؛  کاغذ:چهار بغل، ۲ ص (۴۰پ - ۴۱)،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[نشریه: ۵- ۱۳۲]</w:t>
      </w:r>
    </w:p>
    <w:p>
      <w:pPr>
        <w:pStyle w:val="BookText"/>
      </w:pPr>
      <w:r>
        <w:rPr>
          <w:rFonts w:ascii="IRNazanin" w:hAnsi="IRNazanin" w:eastAsia="IRNazanin" w:cs="IRNazanin"/>
          <w:lang w:bidi="fa-IR"/>
          <w:color w:val="111111"/>
          <w:sz w:val="28"/>
          <w:szCs w:val="28"/>
          <w:rtl/>
        </w:rPr>
        <w:t xml:space="preserve">۱۳. تهران؛ مجلس؛ شماره نسخه: ۱۸۲۵۲ ض</w:t>
      </w:r>
    </w:p>
    <w:p>
      <w:pPr>
        <w:pStyle w:val="BookText"/>
      </w:pPr>
      <w:r>
        <w:rPr>
          <w:rFonts w:ascii="IRNazanin" w:hAnsi="IRNazanin" w:eastAsia="IRNazanin" w:cs="IRNazanin"/>
          <w:lang w:bidi="fa-IR"/>
          <w:color w:val="111111"/>
          <w:sz w:val="28"/>
          <w:szCs w:val="28"/>
          <w:rtl/>
        </w:rPr>
        <w:t xml:space="preserve">بی کا بی تا [د.ث. مجلس ]</w:t>
      </w:r>
    </w:p>
    <w:p>
      <w:pPr>
        <w:pStyle w:val="BookText"/>
      </w:pPr>
      <w:r>
        <w:rPr>
          <w:rFonts w:ascii="IRNazanin" w:hAnsi="IRNazanin" w:eastAsia="IRNazanin" w:cs="IRNazanin"/>
          <w:lang w:bidi="fa-IR"/>
          <w:color w:val="111111"/>
          <w:sz w:val="28"/>
          <w:szCs w:val="28"/>
          <w:rtl/>
        </w:rPr>
        <w:t xml:space="preserve">۱۴. مشهد؛ گوهر شاد؛ شماره نسخه: ۲۶۰/۴</w:t>
      </w:r>
    </w:p>
    <w:p>
      <w:pPr>
        <w:pStyle w:val="BookText"/>
      </w:pPr>
      <w:r>
        <w:rPr>
          <w:rFonts w:ascii="IRNazanin" w:hAnsi="IRNazanin" w:eastAsia="IRNazanin" w:cs="IRNazanin"/>
          <w:lang w:bidi="fa-IR"/>
          <w:color w:val="111111"/>
          <w:sz w:val="28"/>
          <w:szCs w:val="28"/>
          <w:rtl/>
        </w:rPr>
        <w:t xml:space="preserve">فخرالدین شرح چهل نام خداست منقول از «شهاب الدین سهروردی مقتول»؛ خط: نسخ، بی کا، بی تا؛ ۱۷ سطر، قطع: وزیری [چهار کتابخانه مشهد --ف: - ۶۴]</w:t>
      </w:r>
    </w:p>
    <w:p>
      <w:pPr>
        <w:pStyle w:val="BookText"/>
      </w:pPr>
      <w:r>
        <w:rPr>
          <w:rFonts w:ascii="IRNazanin" w:hAnsi="IRNazanin" w:eastAsia="IRNazanin" w:cs="IRNazanin"/>
          <w:lang w:bidi="fa-IR"/>
          <w:color w:val="111111"/>
          <w:sz w:val="28"/>
          <w:szCs w:val="28"/>
          <w:rtl/>
        </w:rPr>
        <w:t xml:space="preserve">۱۵. تهران؛ سپهسالار؛ شماره نسخه: ۵۲۴۳</w:t>
      </w:r>
    </w:p>
    <w:p>
      <w:pPr>
        <w:pStyle w:val="BookText"/>
      </w:pPr>
      <w:r>
        <w:rPr>
          <w:rFonts w:ascii="Amiri" w:hAnsi="Amiri" w:eastAsia="Amiri" w:cs="Amiri"/>
          <w:lang w:bidi="ar-SA"/>
          <w:color w:val="111111"/>
          <w:sz w:val="28"/>
          <w:szCs w:val="28"/>
          <w:rtl/>
        </w:rPr>
        <w:t xml:space="preserve">آغاز: يا طيب الاسماء يا من هو الله ** و من لا يسمى و من لا يسمى ذلك الاسم  الا هو؛ انجام: وجد بالحيا المحيى على كل بقعة *** و عم به اقصى البلاد و ادناه</w:t>
      </w:r>
    </w:p>
    <w:p>
      <w:pPr>
        <w:pStyle w:val="BookText"/>
      </w:pPr>
      <w:r>
        <w:rPr>
          <w:rFonts w:ascii="IRNazanin" w:hAnsi="IRNazanin" w:eastAsia="IRNazanin" w:cs="IRNazanin"/>
          <w:lang w:bidi="fa-IR"/>
          <w:color w:val="111111"/>
          <w:sz w:val="28"/>
          <w:szCs w:val="28"/>
          <w:rtl/>
        </w:rPr>
        <w:t xml:space="preserve">منظوم؛ خط: نسخ، بی کا، بی تا؛ کاغذ: فرنگی، نخودی، جلد: تیماج قهوه ای ضربی ،مقوایی ۳گ (۵۷پ - ۵۹ ،ر)، ۱۶، ۱۳، ۱۹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۳ - ۱۳۵]</w:t>
      </w:r>
    </w:p>
    <w:p>
      <w:pPr>
        <w:pStyle w:val="Heading3"/>
      </w:pPr>
      <w:bookmarkStart w:id="1642" w:name="_Toc1164"/>
      <w:r>
        <w:t>الاسماء الحسنى / اسماء الله / عربی و فارسی</w:t>
      </w:r>
      <w:bookmarkEnd w:id="1642"/>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al-asmā’-ul ḥusnā</w:t>
      </w:r>
    </w:p>
    <w:p>
      <w:pPr>
        <w:pStyle w:val="BookText"/>
      </w:pPr>
      <w:r>
        <w:rPr>
          <w:rFonts w:ascii="IRNazanin" w:hAnsi="IRNazanin" w:eastAsia="IRNazanin" w:cs="IRNazanin"/>
          <w:lang w:bidi="fa-IR"/>
          <w:color w:val="111111"/>
          <w:sz w:val="28"/>
          <w:szCs w:val="28"/>
          <w:rtl/>
        </w:rPr>
        <w:t xml:space="preserve">غیر همانند:</w:t>
      </w:r>
    </w:p>
    <w:p>
      <w:pPr>
        <w:pStyle w:val="BookText"/>
      </w:pPr>
      <w:r>
        <w:rPr>
          <w:rFonts w:ascii="IRNazanin" w:hAnsi="IRNazanin" w:eastAsia="IRNazanin" w:cs="IRNazanin"/>
          <w:lang w:bidi="fa-IR"/>
          <w:color w:val="111111"/>
          <w:sz w:val="28"/>
          <w:szCs w:val="28"/>
          <w:rtl/>
        </w:rPr>
        <w:t xml:space="preserve">۱. تهران؛ دانشگاه؛ شماره نسخه: ۱۲۹/۱۸-ف</w:t>
      </w:r>
    </w:p>
    <w:p>
      <w:pPr>
        <w:pStyle w:val="BookText"/>
      </w:pPr>
      <w:r>
        <w:rPr>
          <w:rFonts w:ascii="IRNazanin" w:hAnsi="IRNazanin" w:eastAsia="IRNazanin" w:cs="IRNazanin"/>
          <w:lang w:bidi="fa-IR"/>
          <w:color w:val="111111"/>
          <w:sz w:val="28"/>
          <w:szCs w:val="28"/>
          <w:rtl/>
        </w:rPr>
        <w:t xml:space="preserve">نسخه اصل: ایاصوفیا ش  ۴۷۹۵؛ خط: نسخ، بی کا، تا: ۸۵۵ق، ۴گ (۲۰۲-۱۹۹)، ۱۴ سطر [ فیلم ها -ف: ۱ - ۴۱۳]</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ملی؛ شماره نسخه: ۲۴۶۳/۱</w:t>
      </w:r>
    </w:p>
    <w:p>
      <w:pPr>
        <w:pStyle w:val="BookText"/>
      </w:pPr>
      <w:r>
        <w:rPr>
          <w:rFonts w:ascii="IRNazanin" w:hAnsi="IRNazanin" w:eastAsia="IRNazanin" w:cs="IRNazanin"/>
          <w:lang w:bidi="fa-IR"/>
          <w:color w:val="111111"/>
          <w:sz w:val="28"/>
          <w:szCs w:val="28"/>
          <w:rtl/>
        </w:rPr>
        <w:t xml:space="preserve">آغاز: نیست حد نامه از نام اله*** دم زدن باید زبان دارد نگـاه؛</w:t>
      </w:r>
    </w:p>
    <w:p>
      <w:pPr>
        <w:pStyle w:val="BookText"/>
      </w:pPr>
      <w:r>
        <w:rPr>
          <w:rFonts w:ascii="IRNazanin" w:hAnsi="IRNazanin" w:eastAsia="IRNazanin" w:cs="IRNazanin"/>
          <w:lang w:bidi="fa-IR"/>
          <w:color w:val="111111"/>
          <w:sz w:val="28"/>
          <w:szCs w:val="28"/>
          <w:rtl/>
        </w:rPr>
        <w:t xml:space="preserve">انجام: از دل او آنچه باید دور دار *** چشم جانش با نشان نور دار این رساله حاوی صد بیت است و در این ابیات نود و نه نام الـهی آمده بدین شرح: هر بیت واجد یک نام می باشد باضافه یک بـیت که آن کلمه «الله» را واجد است و اما نامها: الله، الرحمن، الرحـیم، الملك ،القدوس، السلام ،المومن الميهمن، العزيز الجـبار، المتكبر ، الخالق، البارى،المصور، الغفار، القهار، الوهاب، الرزاق، الفتاح، العليم، القابض، الباسط، الخافض، الرافع، المعز المذل، السميع، البصير، الحكم، العدل، اللطيف، الخبير، الحليم، العظیم، الغفور، الشكور ، العلى، الكبير، الحفيظ، المقيت، الحسيب، الجلـیل، الكريم، الرقيب، المجيب، الواسع، الحكيم، الودود، المجـید ،الباعث ،الشهيد الحق، الوكيل، القوى، المتين ،الولى، الحمـید ،المحصى، المبدى، المعيد، المحى، المميت، الحى، القيوم، الواجد،الماجد، الواحد، الاحد، الصمد، القادر، المقتدر ، الموخر ، الاول، الاخر، الباطن، الظاهر ،الوالى، المتعالى، البر، التواب، المنتـقم، العفو، الرؤوف، مالک الملک، ذوالجلال و الاكرام، المقسط، الجامع، الغنى، المغنى، الضار، النافع، النور، الهادى، الباقی، الوارث، الرشيد، الصبور ، المقدم ، المانع، البديع؛ خط: نستعليق، حيدر بن حسين، تا: ۹۶۸ق؛ کاغذ: اصفهانی، جلد: تیماج تریاکی دولا، ٣ ص (۳-۱) ۱۷ سطر ،(۶/۵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  ف: 5- 621]</w:t>
      </w:r>
    </w:p>
    <w:p>
      <w:pPr>
        <w:pStyle w:val="BookText"/>
      </w:pPr>
      <w:r>
        <w:rPr>
          <w:rFonts w:ascii="IRNazanin" w:hAnsi="IRNazanin" w:eastAsia="IRNazanin" w:cs="IRNazanin"/>
          <w:lang w:bidi="fa-IR"/>
          <w:color w:val="111111"/>
          <w:sz w:val="28"/>
          <w:szCs w:val="28"/>
          <w:rtl/>
        </w:rPr>
        <w:t xml:space="preserve">3.تهران؛ ملک؛ شماره نسخه: ۳۴۶۶/۶</w:t>
      </w:r>
    </w:p>
    <w:p>
      <w:pPr>
        <w:pStyle w:val="BookText"/>
      </w:pPr>
      <w:r>
        <w:rPr>
          <w:rFonts w:ascii="IRNazanin" w:hAnsi="IRNazanin" w:eastAsia="IRNazanin" w:cs="IRNazanin"/>
          <w:lang w:bidi="fa-IR"/>
          <w:color w:val="111111"/>
          <w:sz w:val="28"/>
          <w:szCs w:val="28"/>
          <w:rtl/>
        </w:rPr>
        <w:t xml:space="preserve">خط: نسخ و نستعلیق، کا: شریف محمد بن احمد مهدی حسینی، تا: گویا قرن ۱۰ و ۱۱؛ ۱۳ ص(۲۱۸ -۲۳۰) [ف: ۶ - ۴۳۸]</w:t>
      </w:r>
    </w:p>
    <w:p>
      <w:pPr>
        <w:pStyle w:val="BookText"/>
      </w:pPr>
      <w:r>
        <w:rPr>
          <w:rFonts w:ascii="IRNazanin" w:hAnsi="IRNazanin" w:eastAsia="IRNazanin" w:cs="IRNazanin"/>
          <w:lang w:bidi="fa-IR"/>
          <w:color w:val="111111"/>
          <w:sz w:val="28"/>
          <w:szCs w:val="28"/>
          <w:rtl/>
        </w:rPr>
        <w:t xml:space="preserve">4.تهران؛ نوربخش؛ شماره نسخه: ۸۶۷/۱۱</w:t>
      </w:r>
    </w:p>
    <w:p>
      <w:pPr>
        <w:pStyle w:val="BookText"/>
      </w:pPr>
      <w:r>
        <w:rPr>
          <w:rFonts w:ascii="IRNazanin" w:hAnsi="IRNazanin" w:eastAsia="IRNazanin" w:cs="IRNazanin"/>
          <w:lang w:bidi="fa-IR"/>
          <w:color w:val="111111"/>
          <w:sz w:val="28"/>
          <w:szCs w:val="28"/>
          <w:rtl/>
        </w:rPr>
        <w:t xml:space="preserve">اسماء حسنی است با ذکر اعداد جفری و ترجمه فارسی صفـحه نخست اسامی بسیطه است که دنبال آن از دفتر افتاده است و پـس از آن اسامی مرکب است در دو صفحه آخر ترجمه فارسی و اعداد جفری نوشته نشده است؛ خط: نستعلیق، بی کا، تا: قرن11؛ کاغذ: اصفهانی ،جلد: مقوای کرم رنگ، ۷گ (48-۵۴ر)، قـطع: جیبی، اندازه: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۱۹/۵سم [ نشریه: ۱۳ - ۲۴۰]</w:t>
      </w:r>
    </w:p>
    <w:p>
      <w:pPr>
        <w:pStyle w:val="BookText"/>
      </w:pPr>
      <w:r>
        <w:rPr>
          <w:rFonts w:ascii="IRNazanin" w:hAnsi="IRNazanin" w:eastAsia="IRNazanin" w:cs="IRNazanin"/>
          <w:lang w:bidi="fa-IR"/>
          <w:color w:val="111111"/>
          <w:sz w:val="28"/>
          <w:szCs w:val="28"/>
          <w:rtl/>
        </w:rPr>
        <w:t xml:space="preserve">۵. تهران ،ملک؛ شماره نسخه: ۶۳۷۸/۱</w:t>
      </w:r>
    </w:p>
    <w:p>
      <w:pPr>
        <w:pStyle w:val="BookText"/>
      </w:pPr>
      <w:r>
        <w:rPr>
          <w:rFonts w:ascii="IRNazanin" w:hAnsi="IRNazanin" w:eastAsia="IRNazanin" w:cs="IRNazanin"/>
          <w:lang w:bidi="fa-IR"/>
          <w:color w:val="111111"/>
          <w:sz w:val="28"/>
          <w:szCs w:val="28"/>
          <w:rtl/>
        </w:rPr>
        <w:t xml:space="preserve">آغاز: بآخر باز گردد، آن تکسیر را جمله موخر خوانند؛ انجـام: من اتبع الهدى ... بید عبدالضعیف میر برخورد از رضوی، باجازت حاجى الحرمين .... حاجی عبدالرحمان در شاهجهان آباد</w:t>
      </w:r>
    </w:p>
    <w:p>
      <w:pPr>
        <w:pStyle w:val="BookText"/>
      </w:pPr>
      <w:r>
        <w:rPr>
          <w:rFonts w:ascii="IRNazanin" w:hAnsi="IRNazanin" w:eastAsia="IRNazanin" w:cs="IRNazanin"/>
          <w:lang w:bidi="fa-IR"/>
          <w:color w:val="111111"/>
          <w:sz w:val="28"/>
          <w:szCs w:val="28"/>
          <w:rtl/>
        </w:rPr>
        <w:t xml:space="preserve">با عنوان های فصل: فصل بدان که از این کتاب نامهای خدای تعالی بیرون می آید، فصل در شرح عمل، فصل: بدان که شبانه روز ۲۴ ساعت است، فصل: اکنون شرحی دیگر در موامره، فصل: اکنون معرفت بابهای کلام بکلام غافيطوس گفته؛ خط: نسخ، بی کا، تا: جمادی الاول ۱۰۸۰ق؛ افتادگی: آغاز؛ کاغذ: ترمه هندی، جلد: میشن سرخ ،تازه ۱۶گ (۱ر-۱۶پ)، ۲۱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۲۵/۵سم [ف: ۹ - ۳۶۳]</w:t>
      </w:r>
    </w:p>
    <w:p>
      <w:pPr>
        <w:pStyle w:val="BookText"/>
      </w:pPr>
      <w:r>
        <w:rPr>
          <w:rFonts w:ascii="IRNazanin" w:hAnsi="IRNazanin" w:eastAsia="IRNazanin" w:cs="IRNazanin"/>
          <w:lang w:bidi="fa-IR"/>
          <w:color w:val="111111"/>
          <w:sz w:val="28"/>
          <w:szCs w:val="28"/>
          <w:rtl/>
        </w:rPr>
        <w:t xml:space="preserve">6.خوی؛ نمازی؛ شماره نسخه: ۸۴۷/۲۵</w:t>
      </w:r>
    </w:p>
    <w:p>
      <w:pPr>
        <w:pStyle w:val="BookText"/>
      </w:pPr>
      <w:r>
        <w:rPr>
          <w:rFonts w:ascii="IRNazanin" w:hAnsi="IRNazanin" w:eastAsia="IRNazanin" w:cs="IRNazanin"/>
          <w:lang w:bidi="fa-IR"/>
          <w:color w:val="111111"/>
          <w:sz w:val="28"/>
          <w:szCs w:val="28"/>
          <w:rtl/>
        </w:rPr>
        <w:t xml:space="preserve">آغاز: بدان ایدک الله که چون مخازن اسرار الهى و فيوضات نامتناهی اسماء الله است تعالی نشانه و عز سلطانه؛ انجام: و توجه تام باید نمود تا مقصودهای حسب المرام میسر گردد. انشاءالله  تعالى</w:t>
      </w:r>
    </w:p>
    <w:p>
      <w:pPr>
        <w:pStyle w:val="BookText"/>
      </w:pPr>
      <w:r>
        <w:rPr>
          <w:rFonts w:ascii="IRNazanin" w:hAnsi="IRNazanin" w:eastAsia="IRNazanin" w:cs="IRNazanin"/>
          <w:lang w:bidi="fa-IR"/>
          <w:color w:val="111111"/>
          <w:sz w:val="28"/>
          <w:szCs w:val="28"/>
          <w:rtl/>
        </w:rPr>
        <w:t xml:space="preserve">رساله کوتاهی است در اسماء الهی و اینکه هر فرد که اسمش مطابق عدد كبير یا وسیط یا صغیر از اسم الهی باشد آن اسم مربی وی است؛ خط: نسخ، کا: علی اکبر، تا: ۱۰۹۱ تا ۱۰۹۲ق؛ مجدول؛ جلد: تیماج قهوه ای، ۲گ (۱۳۴ر - ۱۳۵پ)، اندازه:  ۱۰</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۱۷سم [ میراث اسلامی: دفتر نهم - ١٠٠]</w:t>
      </w:r>
    </w:p>
    <w:p>
      <w:pPr>
        <w:pStyle w:val="BookText"/>
      </w:pPr>
      <w:r>
        <w:rPr>
          <w:rFonts w:ascii="IRNazanin" w:hAnsi="IRNazanin" w:eastAsia="IRNazanin" w:cs="IRNazanin"/>
          <w:lang w:bidi="fa-IR"/>
          <w:color w:val="111111"/>
          <w:sz w:val="28"/>
          <w:szCs w:val="28"/>
          <w:rtl/>
        </w:rPr>
        <w:t xml:space="preserve">۷. تهران؛ ملک؛ شماره نسخه: ۴۱۳۷/۱۷</w:t>
      </w:r>
    </w:p>
    <w:p>
      <w:pPr>
        <w:pStyle w:val="BookText"/>
      </w:pPr>
      <w:r>
        <w:rPr>
          <w:rFonts w:ascii="IRNazanin" w:hAnsi="IRNazanin" w:eastAsia="IRNazanin" w:cs="IRNazanin"/>
          <w:lang w:bidi="fa-IR"/>
          <w:color w:val="111111"/>
          <w:sz w:val="28"/>
          <w:szCs w:val="28"/>
          <w:rtl/>
        </w:rPr>
        <w:t xml:space="preserve">خط: نستعلیق، کا: محمد شریف، تا: قرن ۱۱ و ۱۲؛ 1گ (۱۰۶ پ) [ف: ۷ - ۲۱۳]</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قم؛ مرعشی؛ شماره نسخه: ۱۱۳۵۰/۲</w:t>
      </w:r>
    </w:p>
    <w:p>
      <w:pPr>
        <w:pStyle w:val="BookText"/>
      </w:pPr>
      <w:r>
        <w:rPr>
          <w:rFonts w:ascii="IRNazanin" w:hAnsi="IRNazanin" w:eastAsia="IRNazanin" w:cs="IRNazanin"/>
          <w:lang w:bidi="fa-IR"/>
          <w:color w:val="111111"/>
          <w:sz w:val="28"/>
          <w:szCs w:val="28"/>
          <w:rtl/>
        </w:rPr>
        <w:t xml:space="preserve">آغاز: ابد (باقی و همیشه) هو (یعنی او) احد (يكی) وهاب (بسیار بخش) واهب (بخشنده) واجد (توانگر و توانکر کننده)؛ انجام: رب الاخيار و الاشرار (پروردگار نیکان و بدان) من عنده مفاتيح الغیب (انکه نزد اوست کلیدهای غیب) ذو العزة و الانتقام (خداوند قهر و غلبه)</w:t>
      </w:r>
    </w:p>
    <w:p>
      <w:pPr>
        <w:pStyle w:val="BookText"/>
      </w:pPr>
      <w:r>
        <w:rPr>
          <w:rFonts w:ascii="IRNazanin" w:hAnsi="IRNazanin" w:eastAsia="IRNazanin" w:cs="IRNazanin"/>
          <w:lang w:bidi="fa-IR"/>
          <w:color w:val="111111"/>
          <w:sz w:val="28"/>
          <w:szCs w:val="28"/>
          <w:rtl/>
        </w:rPr>
        <w:t xml:space="preserve">رساله ترتیب اسماء الله الحسنى و غیر آن است به روش رتبه عددی آنان از کلمه مبارک احد که ۷ باشد تا«دو العزة و الانتقام» که ۱۸۲۳ است و در بعضی از اسامی تکرار مرتبت هست که مجموعاً بیش از ۱۰۰۰ اسم است؛ خط: نسخ و ترجمه نستعلیق، بی کا، تا: قرن ۱۳؛ هر صفحه دارای ۲۷ خانه هر خانه دارای سه  بخش، بخش نخست ذکر  اسم، بخش دوم ترجمه، بخش سوم مرتبت عددی است ؛کاغذ ،فرنگی، آهار مهره ، 20گ(57-۷۶)، ۲۷ سطر، اندازه: 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۱۵/۵سم [ف: ۲۸-۵۸۸]</w:t>
      </w:r>
    </w:p>
    <w:p>
      <w:pPr>
        <w:pStyle w:val="BookText"/>
      </w:pPr>
      <w:r>
        <w:rPr>
          <w:rFonts w:ascii="IRNazanin" w:hAnsi="IRNazanin" w:eastAsia="IRNazanin" w:cs="IRNazanin"/>
          <w:lang w:bidi="fa-IR"/>
          <w:color w:val="111111"/>
          <w:sz w:val="28"/>
          <w:szCs w:val="28"/>
          <w:rtl/>
        </w:rPr>
        <w:t xml:space="preserve">9.تهران؛ دائرة المعارف؛ شماره نسخه: ۱۹۵۰- عکسی</w:t>
      </w:r>
    </w:p>
    <w:p>
      <w:pPr>
        <w:pStyle w:val="BookText"/>
      </w:pPr>
      <w:r>
        <w:rPr>
          <w:rFonts w:ascii="IRNazanin" w:hAnsi="IRNazanin" w:eastAsia="IRNazanin" w:cs="IRNazanin"/>
          <w:lang w:bidi="fa-IR"/>
          <w:color w:val="111111"/>
          <w:sz w:val="28"/>
          <w:szCs w:val="28"/>
          <w:rtl/>
        </w:rPr>
        <w:t xml:space="preserve">آغاز: بسمله ما في الاحاد ابد ((۷۰) باقی و همیشه ما في العشرات هو ٢٠، ۱۱، ۲، یعنی به یگانگی رسیدن  نام های پروردگار است و شماره هایی در جدول ها، نام ها و ترجمه آنها و خاصیت آنها است در بر آوردن نیازها؛ خط: ثلث خوش و شکسته و نسخ خوش، بی کا، تا:قرن ۱۳؛ وقف نامه بر گروه شیخیان کرمان با امضای محمد بن کریم؛ ۱۲۷ص، ۱۶ سطر (8</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۳۰سم [ف: ۱ - ۲۵]</w:t>
      </w:r>
    </w:p>
    <w:p>
      <w:pPr>
        <w:pStyle w:val="BookText"/>
      </w:pPr>
      <w:r>
        <w:rPr>
          <w:rFonts w:ascii="IRNazanin" w:hAnsi="IRNazanin" w:eastAsia="IRNazanin" w:cs="IRNazanin"/>
          <w:lang w:bidi="fa-IR"/>
          <w:color w:val="111111"/>
          <w:sz w:val="28"/>
          <w:szCs w:val="28"/>
          <w:rtl/>
        </w:rPr>
        <w:t xml:space="preserve">۱۰. تهران؛ ملی؛ شماره نسخه: ۲۱۵۸</w:t>
      </w:r>
    </w:p>
    <w:p>
      <w:pPr>
        <w:pStyle w:val="BookText"/>
      </w:pPr>
      <w:r>
        <w:rPr>
          <w:rFonts w:ascii="IRNazanin" w:hAnsi="IRNazanin" w:eastAsia="IRNazanin" w:cs="IRNazanin"/>
          <w:lang w:bidi="fa-IR"/>
          <w:color w:val="111111"/>
          <w:sz w:val="28"/>
          <w:szCs w:val="28"/>
          <w:rtl/>
        </w:rPr>
        <w:t xml:space="preserve">آغاز: در ذکر اسماء الله تعالی و بعضی از اسرار  ازلی فصل در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اسماء اعظم؛ انجام: استغفر الله و لا حول و لا قوة الا بالله</w:t>
      </w:r>
    </w:p>
    <w:p>
      <w:pPr>
        <w:pStyle w:val="BookText"/>
      </w:pPr>
      <w:r>
        <w:rPr>
          <w:rFonts w:ascii="IRNazanin" w:hAnsi="IRNazanin" w:eastAsia="IRNazanin" w:cs="IRNazanin"/>
          <w:lang w:bidi="fa-IR"/>
          <w:color w:val="111111"/>
          <w:sz w:val="28"/>
          <w:szCs w:val="28"/>
          <w:rtl/>
        </w:rPr>
        <w:t xml:space="preserve">این کتاب در اسماء الهی است و سپس در فصل دیگر این اسـماء ترجمه می شود به آخر کتاب نیز خواص سور قرآن و این که این سور در صورت رعایت قواعد آنها واجد چه منافع و در رفع الام کا،بشر چه نقشی دارند بحث مشبعی دارد؛ خط: نستعلیق، بی کا،تا: محتملاً قرن ۱۳؛ کاغذ: فرنگی، جلد: تیماج، قرمز ،مقوایی، ۲۹گ، ۲۴ سطر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 سم [ف: ۵ - ۲۱۷]</w:t>
      </w:r>
    </w:p>
    <w:p>
      <w:pPr>
        <w:pStyle w:val="BookText"/>
      </w:pPr>
      <w:r>
        <w:rPr>
          <w:rFonts w:ascii="IRNazanin" w:hAnsi="IRNazanin" w:eastAsia="IRNazanin" w:cs="IRNazanin"/>
          <w:lang w:bidi="fa-IR"/>
          <w:color w:val="111111"/>
          <w:sz w:val="28"/>
          <w:szCs w:val="28"/>
          <w:rtl/>
        </w:rPr>
        <w:t xml:space="preserve">۱۱. قم؛ گلپایگانی؛ شماره نسخه: ۱۶۳۳/۴-۹/۱۸۳</w:t>
      </w:r>
    </w:p>
    <w:p>
      <w:pPr>
        <w:pStyle w:val="BookText"/>
      </w:pPr>
      <w:r>
        <w:rPr>
          <w:rFonts w:ascii="IRNazanin" w:hAnsi="IRNazanin" w:eastAsia="IRNazanin" w:cs="IRNazanin"/>
          <w:lang w:bidi="fa-IR"/>
          <w:color w:val="111111"/>
          <w:sz w:val="28"/>
          <w:szCs w:val="28"/>
          <w:rtl/>
        </w:rPr>
        <w:t xml:space="preserve">آغاز: بسمله فصل دوم در اختیارات شهور اثنی عشری ذکر وی الله اكبر و اسم وى يا خير المنزلين و عمل وی شجاعت و ثبـات عزم و تقویت قلب و ظفر جستن بر خصم؛ انجام: و شیخ شرف الدین ابوعباس یونی رحمة الله فرموده که این معانی بر تکراراین اسماء بسیار مشاهده افتاد. والله اعلم</w:t>
      </w:r>
    </w:p>
    <w:p>
      <w:pPr>
        <w:pStyle w:val="BookText"/>
      </w:pPr>
      <w:r>
        <w:rPr>
          <w:rFonts w:ascii="IRNazanin" w:hAnsi="IRNazanin" w:eastAsia="IRNazanin" w:cs="IRNazanin"/>
          <w:lang w:bidi="fa-IR"/>
          <w:color w:val="111111"/>
          <w:sz w:val="28"/>
          <w:szCs w:val="28"/>
          <w:rtl/>
        </w:rPr>
        <w:t xml:space="preserve">خط: نستعلیق، بی کا، بی تا ؛افتادگی: آغاز؛ مصحح؛ جلد: مقوا عطف وگوشه تیماج قهوه ای، ۴۱گ، ۱۰ سطر، اندازه:۱۰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۱۵سم [ف: ۱ - ۳۶۲]</w:t>
      </w:r>
    </w:p>
    <w:p>
      <w:pPr>
        <w:pStyle w:val="BookText"/>
      </w:pPr>
      <w:r>
        <w:rPr>
          <w:rFonts w:ascii="IRNazanin" w:hAnsi="IRNazanin" w:eastAsia="IRNazanin" w:cs="IRNazanin"/>
          <w:lang w:bidi="fa-IR"/>
          <w:color w:val="111111"/>
          <w:sz w:val="28"/>
          <w:szCs w:val="28"/>
          <w:rtl/>
        </w:rPr>
        <w:t xml:space="preserve">۱۲. قم؛ گلپایگانی؛ شماره نسخه: ۲۷۹۴/۴-۱۵/۳۴</w:t>
      </w:r>
    </w:p>
    <w:p>
      <w:pPr>
        <w:pStyle w:val="BookText"/>
      </w:pPr>
      <w:r>
        <w:rPr>
          <w:rFonts w:ascii="IRNazanin" w:hAnsi="IRNazanin" w:eastAsia="IRNazanin" w:cs="IRNazanin"/>
          <w:lang w:bidi="fa-IR"/>
          <w:color w:val="111111"/>
          <w:sz w:val="28"/>
          <w:szCs w:val="28"/>
          <w:rtl/>
        </w:rPr>
        <w:t xml:space="preserve">آغاز: بسمله باب باید معلوم کرد که اسم ذات کدام است و دعوت آن چون است نابرده رنج گنج میسر نمی شود مزد...  شـیخ حسن یونی اختیار کرده است و شرح این بسیار است قسم اول  اسم ذات است؛ انجام: الصبور ۳۳ هزار بار به جهت تسکین قلب در مشاق و مصایب و آلام بخواند باطن او رمیده گردد والله اعلـم.</w:t>
      </w:r>
    </w:p>
    <w:p>
      <w:pPr>
        <w:pStyle w:val="BookText"/>
      </w:pPr>
      <w:r>
        <w:rPr>
          <w:rFonts w:ascii="IRNazanin" w:hAnsi="IRNazanin" w:eastAsia="IRNazanin" w:cs="IRNazanin"/>
          <w:lang w:bidi="fa-IR"/>
          <w:color w:val="111111"/>
          <w:sz w:val="28"/>
          <w:szCs w:val="28"/>
          <w:rtl/>
        </w:rPr>
        <w:t xml:space="preserve">در این رساله کوتاه ابتدا بحثی درباره اسم ذات و صفت و فعل از شیخ حسن بونی نقل شده و سپس اسماء متعلق به هر قسم ذكـر و خواصی برای آنها درج شده پس از آن خواص نود و نه نام الـهی ذکر گردیده است؛ خط: نسخ، بی کا، بی تا ؛جلد: گالینگور نارنجی، ۹گ، ۱۵ سطر،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۲۳سم [ف: ۱ - ۳۶۳]</w:t>
      </w:r>
    </w:p>
    <w:p>
      <w:pPr>
        <w:pStyle w:val="BookText"/>
      </w:pPr>
      <w:r>
        <w:rPr>
          <w:rFonts w:ascii="IRNazanin" w:hAnsi="IRNazanin" w:eastAsia="IRNazanin" w:cs="IRNazanin"/>
          <w:lang w:bidi="fa-IR"/>
          <w:color w:val="111111"/>
          <w:sz w:val="28"/>
          <w:szCs w:val="28"/>
          <w:rtl/>
        </w:rPr>
        <w:t xml:space="preserve">۱۳. تهران؛ ملک؛ شماره نسخه: ۶۰۷۵/۲</w:t>
      </w:r>
    </w:p>
    <w:p>
      <w:pPr>
        <w:pStyle w:val="BookText"/>
      </w:pPr>
      <w:r>
        <w:rPr>
          <w:rFonts w:ascii="IRNazanin" w:hAnsi="IRNazanin" w:eastAsia="IRNazanin" w:cs="IRNazanin"/>
          <w:lang w:bidi="fa-IR"/>
          <w:color w:val="111111"/>
          <w:sz w:val="28"/>
          <w:szCs w:val="28"/>
          <w:rtl/>
        </w:rPr>
        <w:t xml:space="preserve">آغاز: قاعده بدان ایدک الله که طریقه دعوت اسماء الحسـنی آنست که چون خواهی که بتحصیل مهمی از مهمات قیام نمایی</w:t>
      </w:r>
    </w:p>
    <w:p>
      <w:pPr>
        <w:pStyle w:val="BookText"/>
      </w:pPr>
      <w:r>
        <w:rPr>
          <w:rFonts w:ascii="IRNazanin" w:hAnsi="IRNazanin" w:eastAsia="IRNazanin" w:cs="IRNazanin"/>
          <w:lang w:bidi="fa-IR"/>
          <w:color w:val="111111"/>
          <w:sz w:val="28"/>
          <w:szCs w:val="28"/>
          <w:rtl/>
        </w:rPr>
        <w:t xml:space="preserve">بی کا، بی تا؛ کاغذ: رنگارنگ  سپاهانی، جلد: میشن لایی قهوه ای  مغزیدار، ۲گ (۳ر-۴پ) ، اندازه:۱۲/۸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۲۲/۶سم [ف: ۹ - 133]</w:t>
      </w:r>
    </w:p>
    <w:p>
      <w:pPr>
        <w:pStyle w:val="BookText"/>
      </w:pPr>
      <w:r>
        <w:rPr>
          <w:rFonts w:ascii="IRNazanin" w:hAnsi="IRNazanin" w:eastAsia="IRNazanin" w:cs="IRNazanin"/>
          <w:lang w:bidi="fa-IR"/>
          <w:color w:val="111111"/>
          <w:sz w:val="28"/>
          <w:szCs w:val="28"/>
          <w:rtl/>
        </w:rPr>
        <w:t xml:space="preserve">۱۴. تهران؛ مجلس؛ شماره نسخه: ۱۹۳/۴-ط</w:t>
      </w:r>
    </w:p>
    <w:p>
      <w:pPr>
        <w:pStyle w:val="BookText"/>
      </w:pPr>
      <w:r>
        <w:rPr>
          <w:rFonts w:ascii="IRNazanin" w:hAnsi="IRNazanin" w:eastAsia="IRNazanin" w:cs="IRNazanin"/>
          <w:lang w:bidi="fa-IR"/>
          <w:color w:val="111111"/>
          <w:sz w:val="28"/>
          <w:szCs w:val="28"/>
          <w:rtl/>
        </w:rPr>
        <w:t xml:space="preserve">آغاز: هو الله الذى لا اله الا هو (بالاى نام الله آمده). هر کس همه روزه هزار بار این اسم را بخواند خدای تعالی او را از اهل یقین پارسایان می گرداند؛ انجام: الصبور الستار (در ذیل نام صـبور ترجمه همان مطلب آمده که در نسخه پیش به عربی نوشته بود) همان ۱۰۱ نام الهی نسخه ۱۹۳/۳ مجلس است با ذکر هـمان خواص و عدد با همان خط در بین سطور و به چلیپا اما به فارسـی؛ بی کا، بی تا؛ کاغذ: فرنگی ،نخودی، جلد: مقوای  شکری، ۴گ (۲۷-۲۴)، قطع: رقعی،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 ۲۲ - ۴۲]</w:t>
      </w:r>
    </w:p>
    <w:p>
      <w:pPr>
        <w:pStyle w:val="BookText"/>
      </w:pPr>
      <w:r>
        <w:rPr>
          <w:rFonts w:ascii="IRNazanin" w:hAnsi="IRNazanin" w:eastAsia="IRNazanin" w:cs="IRNazanin"/>
          <w:lang w:bidi="fa-IR"/>
          <w:color w:val="111111"/>
          <w:sz w:val="28"/>
          <w:szCs w:val="28"/>
          <w:rtl/>
        </w:rPr>
        <w:t xml:space="preserve">۱۵. تهران؛ ملی؛ شماره نسخه: ۲۷۳۶۷</w:t>
      </w:r>
    </w:p>
    <w:p>
      <w:pPr>
        <w:pStyle w:val="BookText"/>
      </w:pPr>
      <w:r>
        <w:rPr>
          <w:rFonts w:ascii="IRNazanin" w:hAnsi="IRNazanin" w:eastAsia="IRNazanin" w:cs="IRNazanin"/>
          <w:lang w:bidi="fa-IR"/>
          <w:color w:val="111111"/>
          <w:sz w:val="28"/>
          <w:szCs w:val="28"/>
          <w:rtl/>
        </w:rPr>
        <w:t xml:space="preserve">بی کا، بی تا؛ خریداری از رضا غیبی [رایانه]</w:t>
      </w:r>
    </w:p>
    <w:p>
      <w:pPr>
        <w:pStyle w:val="BookText"/>
      </w:pPr>
      <w:r>
        <w:rPr>
          <w:rFonts w:ascii="IRNazanin" w:hAnsi="IRNazanin" w:eastAsia="IRNazanin" w:cs="IRNazanin"/>
          <w:lang w:bidi="fa-IR"/>
          <w:color w:val="111111"/>
          <w:sz w:val="28"/>
          <w:szCs w:val="28"/>
          <w:rtl/>
        </w:rPr>
        <w:t xml:space="preserve">۱۶. تهران؛ مجلس؛ شماره نسخه: ۱۴۳۷۴/۱۶</w:t>
      </w:r>
    </w:p>
    <w:p>
      <w:pPr>
        <w:pStyle w:val="BookText"/>
      </w:pPr>
      <w:r>
        <w:rPr>
          <w:rFonts w:ascii="Amiri" w:hAnsi="Amiri" w:eastAsia="Amiri" w:cs="Amiri"/>
          <w:lang w:bidi="ar-SA"/>
          <w:color w:val="111111"/>
          <w:sz w:val="28"/>
          <w:szCs w:val="28"/>
          <w:rtl/>
        </w:rPr>
        <w:t xml:space="preserve">آغاز: و هو دعاء ادريس عليه السلام و بهار رفعه الله مكانا عليا... الاول سبحانك لا اله الا انت ؛انجام : نسخه الاربعون يا عجيب فلا تنطق الالسن بكل الائه وثنائه.</w:t>
      </w:r>
    </w:p>
    <w:p>
      <w:pPr>
        <w:pStyle w:val="BookText"/>
      </w:pPr>
      <w:r>
        <w:rPr>
          <w:rFonts w:ascii="IRNazanin" w:hAnsi="IRNazanin" w:eastAsia="IRNazanin" w:cs="IRNazanin"/>
          <w:lang w:bidi="fa-IR"/>
          <w:color w:val="111111"/>
          <w:sz w:val="28"/>
          <w:szCs w:val="28"/>
          <w:rtl/>
        </w:rPr>
        <w:t xml:space="preserve">رساله کوتاهی است در بیان چهل اسم از اسماء الهی و ذکر خواص هر یک؛ خط: نسخ، بی کا، بی تا ؛جلد: مقوایی، قهوه ای، عطف تیماج، ۳گ (۷۴پ-۷۶ر)، ۱۷ 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۳۸ - ۵۰۵]</w:t>
      </w:r>
    </w:p>
    <w:p>
      <w:pPr>
        <w:pStyle w:val="BookText"/>
      </w:pPr>
      <w:r>
        <w:rPr>
          <w:rFonts w:ascii="IRNazanin" w:hAnsi="IRNazanin" w:eastAsia="IRNazanin" w:cs="IRNazanin"/>
          <w:lang w:bidi="fa-IR"/>
          <w:color w:val="111111"/>
          <w:sz w:val="28"/>
          <w:szCs w:val="28"/>
          <w:rtl/>
        </w:rPr>
        <w:t xml:space="preserve">۱۷. تهران؛ دانشگاه؛ شماره نسخه: ۷۵۶۶/۱۷</w:t>
      </w:r>
    </w:p>
    <w:p>
      <w:pPr>
        <w:pStyle w:val="BookText"/>
      </w:pPr>
      <w:r>
        <w:rPr>
          <w:rFonts w:ascii="IRNazanin" w:hAnsi="IRNazanin" w:eastAsia="IRNazanin" w:cs="IRNazanin"/>
          <w:lang w:bidi="fa-IR"/>
          <w:color w:val="111111"/>
          <w:sz w:val="28"/>
          <w:szCs w:val="28"/>
          <w:rtl/>
        </w:rPr>
        <w:t xml:space="preserve">خط: نستعلیق، بی کا، بی تا؛ کاغذ: سپاهانی، جلد: تیماج قهوه ای  مقوایی، ۲۴گ (۲۲۶-۲۴۹)، ۱۵ سطر (۸/۵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قطع: بغلی،اندازه: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 ۱۶ - ۶۳۱]</w:t>
      </w:r>
    </w:p>
    <w:p>
      <w:pPr>
        <w:pStyle w:val="BookText"/>
      </w:pPr>
      <w:r>
        <w:rPr>
          <w:rFonts w:ascii="IRNazanin" w:hAnsi="IRNazanin" w:eastAsia="IRNazanin" w:cs="IRNazanin"/>
          <w:lang w:bidi="fa-IR"/>
          <w:color w:val="111111"/>
          <w:sz w:val="28"/>
          <w:szCs w:val="28"/>
          <w:rtl/>
        </w:rPr>
        <w:t xml:space="preserve">۱۸. تهران؛ ملی؛ شماره نسخه: ۷۰۱۸</w:t>
      </w:r>
    </w:p>
    <w:p>
      <w:pPr>
        <w:pStyle w:val="BookText"/>
      </w:pPr>
      <w:r>
        <w:rPr>
          <w:rFonts w:ascii="IRNazanin" w:hAnsi="IRNazanin" w:eastAsia="IRNazanin" w:cs="IRNazanin"/>
          <w:lang w:bidi="fa-IR"/>
          <w:color w:val="111111"/>
          <w:sz w:val="28"/>
          <w:szCs w:val="28"/>
          <w:rtl/>
        </w:rPr>
        <w:t xml:space="preserve">آغاز: بسمله اما بعد چنین گوید سید حسین جعفری رومی که در خدمت اولیا و اتقیا بوده؛ انجام: و آثار حروف نامعلوم باشد از علم و فواید اسماء و علم آدم الاسماء الحسنى</w:t>
      </w:r>
    </w:p>
    <w:p>
      <w:pPr>
        <w:pStyle w:val="BookText"/>
      </w:pPr>
      <w:r>
        <w:rPr>
          <w:rFonts w:ascii="IRNazanin" w:hAnsi="IRNazanin" w:eastAsia="IRNazanin" w:cs="IRNazanin"/>
          <w:lang w:bidi="fa-IR"/>
          <w:color w:val="111111"/>
          <w:sz w:val="28"/>
          <w:szCs w:val="28"/>
          <w:rtl/>
        </w:rPr>
        <w:t xml:space="preserve">رساله ای است در اسماء الهی و علائمی که بالای اسماء نوشته می شود و معاتی که از آنها استیفاد می گردد؛ خط: نسخ، بی کا، بی تا؛ دارای جداول و اشکال نجومی؛ کاغذ: فرنگی، جلد: تیماج یک لا قهوه ای  روشن، ۲گ (۷۱ پ-۷۲ر)، ۱۵ سطر (6</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۱۹/۵سم [رایانه ]</w:t>
      </w:r>
    </w:p>
    <w:p>
      <w:pPr>
        <w:pStyle w:val="BookText"/>
      </w:pPr>
      <w:r>
        <w:rPr>
          <w:rFonts w:ascii="IRNazanin" w:hAnsi="IRNazanin" w:eastAsia="IRNazanin" w:cs="IRNazanin"/>
          <w:lang w:bidi="fa-IR"/>
          <w:color w:val="111111"/>
          <w:sz w:val="28"/>
          <w:szCs w:val="28"/>
          <w:rtl/>
        </w:rPr>
        <w:t xml:space="preserve">۱۹. تهران؛ ملک؛ شماره نسخه: ۶۱۳۰/۱</w:t>
      </w:r>
    </w:p>
    <w:p>
      <w:pPr>
        <w:pStyle w:val="BookText"/>
      </w:pPr>
      <w:r>
        <w:rPr>
          <w:rFonts w:ascii="IRNazanin" w:hAnsi="IRNazanin" w:eastAsia="IRNazanin" w:cs="IRNazanin"/>
          <w:lang w:bidi="fa-IR"/>
          <w:color w:val="111111"/>
          <w:sz w:val="28"/>
          <w:szCs w:val="28"/>
          <w:rtl/>
        </w:rPr>
        <w:t xml:space="preserve">آغاز: بسمله. الحمد لله الذى جعل كل معين للدين في المعارك منصورا ... بر رای غرای و اطنان مواطن حقایق ... واضح باشد از افعال الهی اگر چه معطل با غراض و عمل نیست؛ انجام: این آیه را همراه اسم بخواند فاخذناهم اخذ عزيز مقتدر.</w:t>
      </w:r>
    </w:p>
    <w:p>
      <w:pPr>
        <w:pStyle w:val="BookText"/>
      </w:pPr>
      <w:r>
        <w:rPr>
          <w:rFonts w:ascii="IRNazanin" w:hAnsi="IRNazanin" w:eastAsia="IRNazanin" w:cs="IRNazanin"/>
          <w:lang w:bidi="fa-IR"/>
          <w:color w:val="111111"/>
          <w:sz w:val="28"/>
          <w:szCs w:val="28"/>
          <w:rtl/>
        </w:rPr>
        <w:t xml:space="preserve">یک «مقدمه» و سه «فصل» و یک«خاتمه»: ۱. ذكر اسماء حسنی، ۲. عقد السنه و اعين، ۳. قمع و قلع اعادی، خاتمه در اسم شریف؛ خط: نسخ خوش، بی کا، بی تا؛ ۴۸گ (۱پ-۴۸پ) [ف: ۹ - ۱۸۶]</w:t>
      </w:r>
    </w:p>
    <w:p>
      <w:pPr>
        <w:pStyle w:val="BookText"/>
      </w:pPr>
      <w:r>
        <w:rPr>
          <w:rFonts w:ascii="IRNazanin" w:hAnsi="IRNazanin" w:eastAsia="IRNazanin" w:cs="IRNazanin"/>
          <w:lang w:bidi="fa-IR"/>
          <w:color w:val="111111"/>
          <w:sz w:val="28"/>
          <w:szCs w:val="28"/>
          <w:rtl/>
        </w:rPr>
        <w:t xml:space="preserve">۲۰ . تهران؛ ملک؛ شماره نسخه: ۶۱۳۰/۲</w:t>
      </w:r>
    </w:p>
    <w:p>
      <w:pPr>
        <w:pStyle w:val="BookText"/>
      </w:pPr>
      <w:r>
        <w:rPr>
          <w:rFonts w:ascii="IRNazanin" w:hAnsi="IRNazanin" w:eastAsia="IRNazanin" w:cs="IRNazanin"/>
          <w:lang w:bidi="fa-IR"/>
          <w:color w:val="111111"/>
          <w:sz w:val="28"/>
          <w:szCs w:val="28"/>
          <w:rtl/>
        </w:rPr>
        <w:t xml:space="preserve">خط: نستعلیق، بی کا، بی تا؛ ۳۵گ (۴۹ر-۷۳پ) [ف: ۹ - ۱۸۷]</w:t>
      </w:r>
    </w:p>
    <w:p>
      <w:pPr>
        <w:pStyle w:val="BookText"/>
      </w:pPr>
      <w:r>
        <w:rPr>
          <w:rFonts w:ascii="IRNazanin" w:hAnsi="IRNazanin" w:eastAsia="IRNazanin" w:cs="IRNazanin"/>
          <w:lang w:bidi="fa-IR"/>
          <w:color w:val="111111"/>
          <w:sz w:val="28"/>
          <w:szCs w:val="28"/>
          <w:rtl/>
        </w:rPr>
        <w:t xml:space="preserve">۲۱ . تهران؛ مجلس؛ شماره نسخه: ۱۲۶۲۰/۴</w:t>
      </w:r>
    </w:p>
    <w:p>
      <w:pPr>
        <w:pStyle w:val="BookText"/>
      </w:pPr>
      <w:r>
        <w:rPr>
          <w:rFonts w:ascii="IRNazanin" w:hAnsi="IRNazanin" w:eastAsia="IRNazanin" w:cs="IRNazanin"/>
          <w:lang w:bidi="fa-IR"/>
          <w:color w:val="111111"/>
          <w:sz w:val="28"/>
          <w:szCs w:val="28"/>
          <w:rtl/>
        </w:rPr>
        <w:t xml:space="preserve">آغاز: بسمله الغفور هر که ذکر این اسم بسیار کند وسواس اگر داشته باشد تمام شود؛ انجام: الخالق هر که این اسم را بسیار بگوید خدای عزوجل دل او را منور سازد، الباری، هر که این اسم  را بسیار</w:t>
      </w:r>
    </w:p>
    <w:p>
      <w:pPr>
        <w:pStyle w:val="BookText"/>
      </w:pPr>
      <w:r>
        <w:rPr>
          <w:rFonts w:ascii="IRNazanin" w:hAnsi="IRNazanin" w:eastAsia="IRNazanin" w:cs="IRNazanin"/>
          <w:lang w:bidi="fa-IR"/>
          <w:color w:val="111111"/>
          <w:sz w:val="28"/>
          <w:szCs w:val="28"/>
          <w:rtl/>
        </w:rPr>
        <w:t xml:space="preserve">بخشی از رساله ای است در بیان خواص بعضی از اسماء باری تعالی؛ خط: نستعلیق خوانا، بی کا، بی تا،جلد: تیماج قهوه ای  مجدول، ۲گ( ۳۷ر - ۳۸پ) [ف: ۳۶ - ۱۷۹]</w:t>
      </w:r>
    </w:p>
    <w:p>
      <w:pPr>
        <w:pStyle w:val="BookText"/>
      </w:pPr>
      <w:r>
        <w:rPr>
          <w:rFonts w:ascii="IRNazanin" w:hAnsi="IRNazanin" w:eastAsia="IRNazanin" w:cs="IRNazanin"/>
          <w:lang w:bidi="fa-IR"/>
          <w:color w:val="111111"/>
          <w:sz w:val="28"/>
          <w:szCs w:val="28"/>
          <w:rtl/>
        </w:rPr>
        <w:t xml:space="preserve">۲۲. تهران؛ مجلس؛ شماره نسخه: ۲۹۳۰/۸</w:t>
      </w:r>
    </w:p>
    <w:p>
      <w:pPr>
        <w:pStyle w:val="BookText"/>
      </w:pPr>
      <w:r>
        <w:rPr>
          <w:rFonts w:ascii="IRNazanin" w:hAnsi="IRNazanin" w:eastAsia="IRNazanin" w:cs="IRNazanin"/>
          <w:lang w:bidi="fa-IR"/>
          <w:color w:val="111111"/>
          <w:sz w:val="28"/>
          <w:szCs w:val="28"/>
          <w:rtl/>
        </w:rPr>
        <w:t xml:space="preserve">آغاز: بسمله حمدله در حدیث مرویست از حضرت امیرالمؤمنین که آن حضرت فرمودند که شنیدم از حضرت خاتم النبيين؛</w:t>
      </w:r>
    </w:p>
    <w:p>
      <w:pPr>
        <w:pStyle w:val="BookText"/>
      </w:pPr>
      <w:r>
        <w:rPr>
          <w:rFonts w:ascii="IRNazanin" w:hAnsi="IRNazanin" w:eastAsia="IRNazanin" w:cs="IRNazanin"/>
          <w:lang w:bidi="fa-IR"/>
          <w:color w:val="111111"/>
          <w:sz w:val="28"/>
          <w:szCs w:val="28"/>
          <w:rtl/>
        </w:rPr>
        <w:t xml:space="preserve">انجام: و در حدیث دیگر وارد شده که ایشان اند مؤمنان حقیقی.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341" w:name="pg20365_260474"/>
    <w:bookmarkEnd w:id="341"/>
    <w:p>
      <w:pPr>
        <w:pStyle w:val="BookText"/>
      </w:pPr>
      <w:r>
        <w:rPr>
          <w:rFonts w:ascii="IRNazanin" w:hAnsi="IRNazanin" w:eastAsia="IRNazanin" w:cs="IRNazanin"/>
          <w:lang w:bidi="fa-IR"/>
          <w:color w:val="111111"/>
          <w:sz w:val="28"/>
          <w:szCs w:val="28"/>
          <w:rtl/>
        </w:rPr>
        <w:t xml:space="preserve">آغاز کتابی است که در آن نام های خدا از تازی به فارسی ترجمه شده است؛ بی کا، تا: قرن ۱۳ ؛کاغذ: سفید و آبی و زرد، جـلد: تیماج  مشکی، ۲۴ ص (۲۱۴-۲۳۷) ،۱۹، ۱۶، ۱۵، ۱۴ سطر، قـطع ،خشتی،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۱٠ - ۳۳۹]</w:t>
      </w:r>
    </w:p>
    <w:p>
      <w:pPr>
        <w:pStyle w:val="Heading3"/>
      </w:pPr>
      <w:bookmarkStart w:id="1643" w:name="_Toc1165"/>
      <w:r>
        <w:t>اسماء خلفاء عباسی / تاریخ / عربی</w:t>
      </w:r>
      <w:bookmarkEnd w:id="1643"/>
    </w:p>
    <w:p>
      <w:pPr>
        <w:pStyle w:val="BookText"/>
      </w:pPr>
      <w:r>
        <w:rPr>
          <w:rFonts w:ascii="Times New Roman" w:hAnsi="Times New Roman" w:eastAsia="Times New Roman" w:cs="Times New Roman"/>
          <w:lang w:val="en-US" w:bidi="en-US"/>
          <w:color w:val="111111"/>
          <w:sz w:val="28"/>
          <w:szCs w:val="28"/>
          <w:rtl/>
        </w:rPr>
        <w:t xml:space="preserve">asmā’-e xolafā’-e ‘abbāsī</w:t>
      </w:r>
    </w:p>
    <w:p>
      <w:pPr>
        <w:pStyle w:val="BookText"/>
      </w:pPr>
      <w:r>
        <w:rPr>
          <w:rFonts w:ascii="IRNazanin" w:hAnsi="IRNazanin" w:eastAsia="IRNazanin" w:cs="IRNazanin"/>
          <w:lang w:bidi="fa-IR"/>
          <w:color w:val="111111"/>
          <w:sz w:val="28"/>
          <w:szCs w:val="28"/>
          <w:rtl/>
        </w:rPr>
        <w:t xml:space="preserve">تهران؛ ملک؛ شماره نسخه: ۶۰۴/۷۴</w:t>
      </w:r>
    </w:p>
    <w:p>
      <w:pPr>
        <w:pStyle w:val="BookText"/>
      </w:pPr>
      <w:r>
        <w:rPr>
          <w:rFonts w:ascii="IRNazanin" w:hAnsi="IRNazanin" w:eastAsia="IRNazanin" w:cs="IRNazanin"/>
          <w:lang w:bidi="fa-IR"/>
          <w:color w:val="111111"/>
          <w:sz w:val="28"/>
          <w:szCs w:val="28"/>
          <w:rtl/>
        </w:rPr>
        <w:t xml:space="preserve">خط: نسخ، کا: شمس الدین محمد بن علی بن حسن جباعی، تا: قرن ۹، ۱ص (۳۰۹) [ف ۵ - ۱۱۰]</w:t>
      </w:r>
    </w:p>
    <w:p>
      <w:pPr>
        <w:pStyle w:val="Heading3"/>
      </w:pPr>
      <w:bookmarkStart w:id="1644" w:name="_Toc1166"/>
      <w:r>
        <w:t>اسماء الخمر / ادبیات / عربي</w:t>
      </w:r>
      <w:bookmarkEnd w:id="1644"/>
    </w:p>
    <w:p>
      <w:pPr>
        <w:pStyle w:val="BookText"/>
      </w:pPr>
      <w:r>
        <w:rPr>
          <w:rFonts w:ascii="Times New Roman" w:hAnsi="Times New Roman" w:eastAsia="Times New Roman" w:cs="Times New Roman"/>
          <w:lang w:val="en-US" w:bidi="en-US"/>
          <w:color w:val="111111"/>
          <w:sz w:val="28"/>
          <w:szCs w:val="28"/>
          <w:rtl/>
        </w:rPr>
        <w:t xml:space="preserve">asmā’-ul-xamr</w:t>
      </w:r>
    </w:p>
    <w:p>
      <w:pPr>
        <w:pStyle w:val="BookText"/>
      </w:pPr>
      <w:r>
        <w:rPr>
          <w:rFonts w:ascii="IRNazanin" w:hAnsi="IRNazanin" w:eastAsia="IRNazanin" w:cs="IRNazanin"/>
          <w:lang w:bidi="fa-IR"/>
          <w:color w:val="111111"/>
          <w:sz w:val="28"/>
          <w:szCs w:val="28"/>
          <w:rtl/>
        </w:rPr>
        <w:t xml:space="preserve">تهران؛ دانشگاه؛ شماره نسخه: ۱۴۶/۱۵-ف</w:t>
      </w:r>
    </w:p>
    <w:p>
      <w:pPr>
        <w:pStyle w:val="BookText"/>
      </w:pPr>
      <w:r>
        <w:rPr>
          <w:rFonts w:ascii="Times New Roman" w:hAnsi="Times New Roman" w:eastAsia="Times New Roman" w:cs="Times New Roman"/>
          <w:lang w:val="en-US" w:bidi="en-US"/>
          <w:color w:val="111111"/>
          <w:sz w:val="28"/>
          <w:szCs w:val="28"/>
          <w:rtl/>
        </w:rPr>
        <w:t xml:space="preserve">nā'-ul-xamr</w:t>
      </w:r>
      <w:r>
        <w:rPr>
          <w:rFonts w:ascii="IRNazanin" w:hAnsi="IRNazanin" w:eastAsia="IRNazanin" w:cs="IRNazanin"/>
          <w:lang w:bidi="fa-IR"/>
          <w:color w:val="111111"/>
          <w:sz w:val="28"/>
          <w:szCs w:val="28"/>
          <w:rtl/>
        </w:rPr>
        <w:t xml:space="preserve">بیکا کا، بی</w:t>
      </w:r>
    </w:p>
    <w:p>
      <w:pPr>
        <w:pStyle w:val="BookText"/>
      </w:pPr>
      <w:r>
        <w:rPr>
          <w:rFonts w:ascii="IRNazanin" w:hAnsi="IRNazanin" w:eastAsia="IRNazanin" w:cs="IRNazanin"/>
          <w:lang w:bidi="fa-IR"/>
          <w:color w:val="111111"/>
          <w:sz w:val="28"/>
          <w:szCs w:val="28"/>
          <w:rtl/>
        </w:rPr>
        <w:t xml:space="preserve">نسخه اصل: راغب پاشا ش .۱۴۶۴ بندی است به نثر عربی با چند بیت عربی با چند عنوان «قال ابن جمهور»؛ خط: نسخ، بی کا، بی تا؛ ۱گ (۹۰)، ۲۵ سطر [فیلم ها-ف: ۱ - ۴۱۹]</w:t>
      </w:r>
    </w:p>
    <w:p>
      <w:pPr>
        <w:pStyle w:val="Heading3"/>
      </w:pPr>
      <w:bookmarkStart w:id="1645" w:name="_Toc1167"/>
      <w:r>
        <w:t>اسماء الخيل و فوارسها من العرب / متفرقه / عربي</w:t>
      </w:r>
      <w:bookmarkEnd w:id="1645"/>
    </w:p>
    <w:p>
      <w:pPr>
        <w:pStyle w:val="BookText"/>
      </w:pPr>
      <w:r>
        <w:rPr>
          <w:rFonts w:ascii="Times New Roman" w:hAnsi="Times New Roman" w:eastAsia="Times New Roman" w:cs="Times New Roman"/>
          <w:lang w:val="en-US" w:bidi="en-US"/>
          <w:color w:val="111111"/>
          <w:sz w:val="28"/>
          <w:szCs w:val="28"/>
          <w:rtl/>
        </w:rPr>
        <w:t xml:space="preserve">asmā’-u xayl wa fawāris-i-hā min-al ‘arab</w:t>
      </w:r>
    </w:p>
    <w:p>
      <w:pPr>
        <w:pStyle w:val="BookText"/>
      </w:pPr>
      <w:r>
        <w:rPr>
          <w:rFonts w:ascii="IRNazanin" w:hAnsi="IRNazanin" w:eastAsia="IRNazanin" w:cs="IRNazanin"/>
          <w:lang w:bidi="fa-IR"/>
          <w:color w:val="111111"/>
          <w:sz w:val="28"/>
          <w:szCs w:val="28"/>
          <w:rtl/>
        </w:rPr>
        <w:t xml:space="preserve">ابن اعرابی، محمد بن  زیاد، ۱۵۰ - ۲۳۱ ؟ قمری</w:t>
      </w:r>
    </w:p>
    <w:p>
      <w:pPr>
        <w:pStyle w:val="BookText"/>
      </w:pPr>
      <w:r>
        <w:rPr>
          <w:rFonts w:ascii="Times New Roman" w:hAnsi="Times New Roman" w:eastAsia="Times New Roman" w:cs="Times New Roman"/>
          <w:lang w:val="en-US" w:bidi="en-US"/>
          <w:color w:val="111111"/>
          <w:sz w:val="28"/>
          <w:szCs w:val="28"/>
          <w:rtl/>
        </w:rPr>
        <w:t xml:space="preserve">(ebn-e a‘rābī, mohammad ebn-e zīyād (768 - 846)</w:t>
      </w:r>
    </w:p>
    <w:p>
      <w:pPr>
        <w:pStyle w:val="BookText"/>
      </w:pPr>
      <w:r>
        <w:rPr>
          <w:rFonts w:ascii="IRNazanin" w:hAnsi="IRNazanin" w:eastAsia="IRNazanin" w:cs="IRNazanin"/>
          <w:lang w:bidi="fa-IR"/>
          <w:color w:val="111111"/>
          <w:sz w:val="28"/>
          <w:szCs w:val="28"/>
          <w:rtl/>
        </w:rPr>
        <w:t xml:space="preserve">رساله مختصری است درباره اسامی اسب های ارزنده با ذکرنام صاحبان آنها. نسخه دیگری هم در قاهره هست.</w:t>
      </w:r>
    </w:p>
    <w:p>
      <w:pPr>
        <w:pStyle w:val="BookText"/>
      </w:pPr>
      <w:r>
        <w:rPr>
          <w:rFonts w:ascii="Amiri" w:hAnsi="Amiri" w:eastAsia="Amiri" w:cs="Amiri"/>
          <w:lang w:bidi="ar-SA"/>
          <w:color w:val="111111"/>
          <w:sz w:val="28"/>
          <w:szCs w:val="28"/>
          <w:rtl/>
        </w:rPr>
        <w:t xml:space="preserve">آغاز: قال محمد بن زياد الشهير بالاعرابي:هذا كتاب اسـماء الخيل و فوارسها من العرب</w:t>
      </w:r>
    </w:p>
    <w:p>
      <w:pPr>
        <w:pStyle w:val="BookText"/>
      </w:pPr>
      <w:r>
        <w:rPr>
          <w:rFonts w:ascii="IRNazanin" w:hAnsi="IRNazanin" w:eastAsia="IRNazanin" w:cs="IRNazanin"/>
          <w:lang w:bidi="fa-IR"/>
          <w:color w:val="111111"/>
          <w:sz w:val="28"/>
          <w:szCs w:val="28"/>
          <w:rtl/>
        </w:rPr>
        <w:t xml:space="preserve">چاپ: لیدن، مكتبة بريل، ۱۹۲۸م ،عراق، محقق: نوری حمودی القيسى وحاتم صالح الضامن، مجلة المجمع العلمى العراقی، مجلد ۳۵، جزء، ۱۹۸۴م.</w:t>
      </w:r>
    </w:p>
    <w:p>
      <w:pPr>
        <w:pStyle w:val="BookText"/>
      </w:pPr>
      <w:r>
        <w:rPr>
          <w:rFonts w:ascii="IRNazanin" w:hAnsi="IRNazanin" w:eastAsia="IRNazanin" w:cs="IRNazanin"/>
          <w:lang w:bidi="fa-IR"/>
          <w:color w:val="111111"/>
          <w:sz w:val="28"/>
          <w:szCs w:val="28"/>
          <w:rtl/>
        </w:rPr>
        <w:t xml:space="preserve">[روضات الجنات ۲۷۱/۷؛ ايضاح المكنون ۲۹۳/۲؛ بروکلمان ذیل 1/ 179؛ دنا ۸۲۲/۱]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مرعشی؛ شماره نسخه: ۱۵۲۷/۱ عکسی</w:t>
      </w:r>
    </w:p>
    <w:p>
      <w:pPr>
        <w:pStyle w:val="BookText"/>
      </w:pPr>
      <w:r>
        <w:rPr>
          <w:rFonts w:ascii="Amiri" w:hAnsi="Amiri" w:eastAsia="Amiri" w:cs="Amiri"/>
          <w:lang w:bidi="ar-SA"/>
          <w:color w:val="111111"/>
          <w:sz w:val="28"/>
          <w:szCs w:val="28"/>
          <w:rtl/>
        </w:rPr>
        <w:t xml:space="preserve">آغاز: بسمله قال أبو البخترى يرفعه قال قال رسول الله صلى  الله عليه و سلم ارتبطوا هذه الخيل فإنها دعوة أبيكم اسماعيل؛</w:t>
      </w:r>
    </w:p>
    <w:p>
      <w:pPr>
        <w:pStyle w:val="BookText"/>
      </w:pPr>
      <w:r>
        <w:rPr>
          <w:rFonts w:ascii="IRNazanin" w:hAnsi="IRNazanin" w:eastAsia="IRNazanin" w:cs="IRNazanin"/>
          <w:lang w:bidi="fa-IR"/>
          <w:color w:val="111111"/>
          <w:sz w:val="28"/>
          <w:szCs w:val="28"/>
          <w:rtl/>
        </w:rPr>
        <w:t xml:space="preserve">نسخه اصل: کتابخانه اسکوریال در مادرید  اسپانیا، شماره 1705؛ خط: نسخ معرب، کا: موهوب بن احمد بن محمد بن خـضر جوالیقی، تا: جمادی الاول ۴۹۹ق؛ دارای سماع وبلاغ های متعدد؛  ۱۰ص  (۱۰-۱)، ۲۰ سطر [عکسی ف ۴ - ۴۴۲]</w:t>
      </w:r>
    </w:p>
    <w:p>
      <w:pPr>
        <w:pStyle w:val="BookText"/>
      </w:pPr>
      <w:r>
        <w:rPr>
          <w:rFonts w:ascii="IRNazanin" w:hAnsi="IRNazanin" w:eastAsia="IRNazanin" w:cs="IRNazanin"/>
          <w:lang w:bidi="fa-IR"/>
          <w:color w:val="111111"/>
          <w:sz w:val="28"/>
          <w:szCs w:val="28"/>
          <w:rtl/>
        </w:rPr>
        <w:t xml:space="preserve">۲ . قم؛ مرعشی؛ شماره نسخه: ۸۱/۳عکسی</w:t>
      </w:r>
    </w:p>
    <w:p>
      <w:pPr>
        <w:pStyle w:val="BookText"/>
      </w:pPr>
      <w:r>
        <w:rPr>
          <w:rFonts w:ascii="IRNazanin" w:hAnsi="IRNazanin" w:eastAsia="IRNazanin" w:cs="IRNazanin"/>
          <w:lang w:bidi="fa-IR"/>
          <w:color w:val="111111"/>
          <w:sz w:val="28"/>
          <w:szCs w:val="28"/>
          <w:rtl/>
        </w:rPr>
        <w:t xml:space="preserve">آغاز: قال محمد بن زياد الشهير بالاعرابي: هذا كتاب اسماء الخیل و فوارسها من العرب؛ انجام: خيل همدان الاجدع بن مالک، اسم فرسه سكاب، قال فيه: تو نبنى فيمارات من صیانتی - سكاب و من  خير الجياد مصونها</w:t>
      </w:r>
    </w:p>
    <w:p>
      <w:pPr>
        <w:pStyle w:val="BookText"/>
      </w:pPr>
      <w:r>
        <w:rPr>
          <w:rFonts w:ascii="IRNazanin" w:hAnsi="IRNazanin" w:eastAsia="IRNazanin" w:cs="IRNazanin"/>
          <w:lang w:bidi="fa-IR"/>
          <w:color w:val="111111"/>
          <w:sz w:val="28"/>
          <w:szCs w:val="28"/>
          <w:rtl/>
        </w:rPr>
        <w:t xml:space="preserve">نسخه اصل: از شیخ محمد سماوی، نجف؛ خط: نستعلیق، کا: شیخ محمد سماوی، تا: ۲۲ ربیع الاول ۱۳۳۴ق، ۷گ (۲۶-۴۲) عکسی</w:t>
      </w:r>
    </w:p>
    <w:p>
      <w:pPr>
        <w:pStyle w:val="BookText"/>
      </w:pPr>
      <w:r>
        <w:rPr>
          <w:rFonts w:ascii="IRNazanin" w:hAnsi="IRNazanin" w:eastAsia="IRNazanin" w:cs="IRNazanin"/>
          <w:lang w:bidi="fa-IR"/>
          <w:color w:val="111111"/>
          <w:sz w:val="28"/>
          <w:szCs w:val="28"/>
          <w:rtl/>
        </w:rPr>
        <w:t xml:space="preserve">ف: ۱- ۸۴)</w:t>
      </w:r>
    </w:p>
    <w:p>
      <w:pPr>
        <w:pStyle w:val="Heading3"/>
      </w:pPr>
      <w:bookmarkStart w:id="1646" w:name="_Toc1168"/>
      <w:r>
        <w:t>اسماء الرجال = طبقات الشافعية / رجال / عربي</w:t>
      </w:r>
      <w:bookmarkEnd w:id="1646"/>
    </w:p>
    <w:p>
      <w:pPr>
        <w:pStyle w:val="BookText"/>
      </w:pPr>
      <w:r>
        <w:rPr>
          <w:rFonts w:ascii="Times New Roman" w:hAnsi="Times New Roman" w:eastAsia="Times New Roman" w:cs="Times New Roman"/>
          <w:lang w:val="en-US" w:bidi="en-US"/>
          <w:color w:val="111111"/>
          <w:sz w:val="28"/>
          <w:szCs w:val="28"/>
          <w:rtl/>
        </w:rPr>
        <w:t xml:space="preserve">asmā'-ur rijāl = ṭabaqat-uš šāfi īya</w:t>
      </w:r>
    </w:p>
    <w:p>
      <w:pPr>
        <w:pStyle w:val="BookText"/>
      </w:pPr>
      <w:r>
        <w:rPr>
          <w:rFonts w:ascii="IRNazanin" w:hAnsi="IRNazanin" w:eastAsia="IRNazanin" w:cs="IRNazanin"/>
          <w:lang w:bidi="fa-IR"/>
          <w:color w:val="111111"/>
          <w:sz w:val="28"/>
          <w:szCs w:val="28"/>
          <w:rtl/>
        </w:rPr>
        <w:t xml:space="preserve">مصنف، ابوبکر بن هدایت الله، – ۱۰۱۴ قمری</w:t>
      </w:r>
    </w:p>
    <w:p>
      <w:pPr>
        <w:pStyle w:val="BookText"/>
      </w:pPr>
      <w:r>
        <w:rPr>
          <w:rFonts w:ascii="Times New Roman" w:hAnsi="Times New Roman" w:eastAsia="Times New Roman" w:cs="Times New Roman"/>
          <w:lang w:val="en-US" w:bidi="en-US"/>
          <w:color w:val="111111"/>
          <w:sz w:val="28"/>
          <w:szCs w:val="28"/>
          <w:rtl/>
        </w:rPr>
        <w:t xml:space="preserve">(mosannef, abū-bakr ebn-e hedāyat-ol-lāh (- 1606)</w:t>
      </w:r>
    </w:p>
    <w:p>
      <w:pPr>
        <w:pStyle w:val="BookText"/>
      </w:pPr>
      <w:r>
        <w:rPr>
          <w:rFonts w:ascii="IRNazanin" w:hAnsi="IRNazanin" w:eastAsia="IRNazanin" w:cs="IRNazanin"/>
          <w:lang w:bidi="fa-IR"/>
          <w:color w:val="111111"/>
          <w:sz w:val="28"/>
          <w:szCs w:val="28"/>
          <w:rtl/>
        </w:rPr>
        <w:t xml:space="preserve">در این رساله شرح احوال یک صد و ده تن از راویان شافعی محمد بن ادریس را آورده و برای هر یک کمتر از ده سطر گفتگو دارد و اهم مؤلفات آنها را آورده و این کتاب را در چند«باب» مرتب ساخته است زرکلی در اعلام (۲: ۴۶) کتاب او را «طبقات الشافعیه» نامیده است.</w:t>
      </w:r>
    </w:p>
    <w:p>
      <w:pPr>
        <w:pStyle w:val="BookText"/>
      </w:pPr>
      <w:r>
        <w:rPr>
          <w:rFonts w:ascii="Amiri" w:hAnsi="Amiri" w:eastAsia="Amiri" w:cs="Amiri"/>
          <w:lang w:bidi="ar-SA"/>
          <w:color w:val="111111"/>
          <w:sz w:val="28"/>
          <w:szCs w:val="28"/>
          <w:rtl/>
        </w:rPr>
        <w:t xml:space="preserve">آغاز: الحمد لله الذى افاض علينا من احسانه ما ليس له منتهى و علم آدم الاسماء ... اما بعد يقول ... الملك الغنى ابوبكر بن هدايه الحسينى ... باب فى ذكر الشافعي .... هو محمد بن ادريس</w:t>
      </w:r>
    </w:p>
    <w:p>
      <w:pPr>
        <w:pStyle w:val="BookText"/>
      </w:pPr>
      <w:r>
        <w:rPr>
          <w:rFonts w:ascii="IRNazanin" w:hAnsi="IRNazanin" w:eastAsia="IRNazanin" w:cs="IRNazanin"/>
          <w:lang w:bidi="fa-IR"/>
          <w:color w:val="111111"/>
          <w:sz w:val="28"/>
          <w:szCs w:val="28"/>
          <w:rtl/>
        </w:rPr>
        <w:t xml:space="preserve">چاپ: محقق: عادل نويهض ،بیروت، دار الآفاق الجديدة، چاپ جدید، ۲۸۶ص، ۱۳۹۰ق.</w:t>
      </w:r>
    </w:p>
    <w:p>
      <w:pPr>
        <w:pStyle w:val="BookText"/>
      </w:pPr>
      <w:r>
        <w:rPr>
          <w:rFonts w:ascii="IRNazanin" w:hAnsi="IRNazanin" w:eastAsia="IRNazanin" w:cs="IRNazanin"/>
          <w:lang w:bidi="fa-IR"/>
          <w:color w:val="111111"/>
          <w:sz w:val="28"/>
          <w:szCs w:val="28"/>
          <w:rtl/>
        </w:rPr>
        <w:t xml:space="preserve">[دنا ۸۲۲/۱؛ التاريخ و التراجم ص ۲۶۷ ملی ۳۲۶/۱۷؛ الاوقاف العامة  الموصلى ۱۸۴/۳]</w:t>
      </w:r>
    </w:p>
    <w:p>
      <w:pPr>
        <w:pStyle w:val="BookText"/>
      </w:pPr>
      <w:r>
        <w:rPr>
          <w:rFonts w:ascii="IRNazanin" w:hAnsi="IRNazanin" w:eastAsia="IRNazanin" w:cs="IRNazanin"/>
          <w:lang w:bidi="fa-IR"/>
          <w:color w:val="111111"/>
          <w:sz w:val="28"/>
          <w:szCs w:val="28"/>
          <w:rtl/>
        </w:rPr>
        <w:t xml:space="preserve">تهران؛ ملی؛ شماره نسخه: ۴۰۳۱/۴</w:t>
      </w:r>
    </w:p>
    <w:p>
      <w:pPr>
        <w:pStyle w:val="BookText"/>
      </w:pPr>
      <w:r>
        <w:rPr>
          <w:rFonts w:ascii="IRNazanin" w:hAnsi="IRNazanin" w:eastAsia="IRNazanin" w:cs="IRNazanin"/>
          <w:lang w:bidi="fa-IR"/>
          <w:color w:val="111111"/>
          <w:sz w:val="28"/>
          <w:szCs w:val="28"/>
          <w:rtl/>
        </w:rPr>
        <w:t xml:space="preserve">آغاز: الحمد لله الذى (سياه شده) اما بعد يقول ... الملك الغنى ابوبكر بن هدايه الحسينى ... باب فى ذكر الشافعي ... هو محمد بن ادریس؛ انجام: اسنى المطالب كتبه محمد لاجل استادی امر ملا  ابوبكر اللهم اغفرلى بحرمه محمد صلى الله عليه و سلم</w:t>
      </w:r>
    </w:p>
    <w:p>
      <w:pPr>
        <w:pStyle w:val="BookText"/>
      </w:pPr>
      <w:r>
        <w:rPr>
          <w:rFonts w:ascii="IRNazanin" w:hAnsi="IRNazanin" w:eastAsia="IRNazanin" w:cs="IRNazanin"/>
          <w:lang w:bidi="fa-IR"/>
          <w:color w:val="111111"/>
          <w:sz w:val="28"/>
          <w:szCs w:val="28"/>
          <w:rtl/>
        </w:rPr>
        <w:t xml:space="preserve">خط: نسخ، کا: خلیل  سندسی، تا: ۱۲۷۴ق؛ نام های راویان از که در متن ترجمه شده اند در حاشیه با شنگرف نوشته  شافعی  شده؛ کاغذ: اصفهانی نخودی ،جلد: مقوا بی رویه ،ته چرم قرمز، ۲۸گ (۸۲ پ-۱۰۹ر)، ۱۹ سطر (11/5</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۱۷ - ۳۲۶]</w:t>
      </w:r>
    </w:p>
    <w:p>
      <w:pPr>
        <w:pStyle w:val="Heading3"/>
      </w:pPr>
      <w:bookmarkStart w:id="1647" w:name="_Toc1169"/>
      <w:r>
        <w:t>اسماء رجال الصحيحين / رجال / عربي</w:t>
      </w:r>
      <w:bookmarkEnd w:id="1647"/>
    </w:p>
    <w:p>
      <w:pPr>
        <w:pStyle w:val="BookText"/>
      </w:pPr>
      <w:r>
        <w:rPr>
          <w:rFonts w:ascii="Times New Roman" w:hAnsi="Times New Roman" w:eastAsia="Times New Roman" w:cs="Times New Roman"/>
          <w:lang w:val="en-US" w:bidi="en-US"/>
          <w:color w:val="111111"/>
          <w:sz w:val="28"/>
          <w:szCs w:val="28"/>
          <w:rtl/>
        </w:rPr>
        <w:t xml:space="preserve">asma-ur rijal-is Sahihayn</w:t>
      </w:r>
    </w:p>
    <w:p>
      <w:pPr>
        <w:pStyle w:val="BookText"/>
      </w:pPr>
      <w:r>
        <w:rPr>
          <w:rFonts w:ascii="IRNazanin" w:hAnsi="IRNazanin" w:eastAsia="IRNazanin" w:cs="IRNazanin"/>
          <w:lang w:bidi="fa-IR"/>
          <w:color w:val="111111"/>
          <w:sz w:val="28"/>
          <w:szCs w:val="28"/>
          <w:rtl/>
        </w:rPr>
        <w:t xml:space="preserve">ابن  قیسرانی، محمد بن طاهر، ۴۴۸ - ۵۰۷ قمری</w:t>
      </w:r>
    </w:p>
    <w:p>
      <w:pPr>
        <w:pStyle w:val="BookText"/>
      </w:pPr>
      <w:r>
        <w:rPr>
          <w:rFonts w:ascii="Times New Roman" w:hAnsi="Times New Roman" w:eastAsia="Times New Roman" w:cs="Times New Roman"/>
          <w:lang w:val="en-US" w:bidi="en-US"/>
          <w:color w:val="111111"/>
          <w:sz w:val="28"/>
          <w:szCs w:val="28"/>
          <w:rtl/>
        </w:rPr>
        <w:t xml:space="preserve">(ebn-e qaysarānī, mohammad ebn-e tāher (1057 - 1114)</w:t>
      </w:r>
    </w:p>
    <w:p>
      <w:pPr>
        <w:pStyle w:val="BookText"/>
      </w:pPr>
      <w:r>
        <w:rPr>
          <w:rFonts w:ascii="IRNazanin" w:hAnsi="IRNazanin" w:eastAsia="IRNazanin" w:cs="IRNazanin"/>
          <w:lang w:bidi="fa-IR"/>
          <w:color w:val="111111"/>
          <w:sz w:val="28"/>
          <w:szCs w:val="28"/>
          <w:rtl/>
        </w:rPr>
        <w:t xml:space="preserve">ابونصر احمد بن محمد کلاباذی بخاری حنفی (متوفی ۳۹۸ یا ۳۷۸ ق) كتاب «الهداية والارشاد فى معرفة اهل الثقة والسداد الذين اخرج لهم البخارى فى جامعه معروف به «اسماء رجال صحیح البخاری» را نوشته است و ابوبکر احمد بن علی بن محمد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342" w:name="pg20365_260475"/>
    <w:bookmarkEnd w:id="342"/>
    <w:p>
      <w:pPr>
        <w:pStyle w:val="BookText"/>
      </w:pPr>
      <w:r>
        <w:rPr>
          <w:rFonts w:ascii="IRNazanin" w:hAnsi="IRNazanin" w:eastAsia="IRNazanin" w:cs="IRNazanin"/>
          <w:lang w:bidi="fa-IR"/>
          <w:color w:val="111111"/>
          <w:sz w:val="28"/>
          <w:szCs w:val="28"/>
          <w:rtl/>
        </w:rPr>
        <w:t xml:space="preserve">بن ابراهیم معروف به ابن منجویه اصفهانی (-۴۲۸ ق) کتاب «اسماء رجال صحیح مسلم» را تألیف نموده است. مؤلف این دو کتاب را در موضوع خود نیکو یافته و هر دو را در یکجا کرده و آنچه آن دو از ذکر آن غافل شده اند استدراک نموده وآنچه موجب تطویل بوده حذف کرده و فوائدی بر آن افزود آن را شرح رجال الصحیحین نامیده است.</w:t>
      </w:r>
    </w:p>
    <w:p>
      <w:pPr>
        <w:pStyle w:val="BookText"/>
      </w:pPr>
      <w:r>
        <w:rPr>
          <w:rFonts w:ascii="Amiri" w:hAnsi="Amiri" w:eastAsia="Amiri" w:cs="Amiri"/>
          <w:lang w:bidi="ar-SA"/>
          <w:color w:val="111111"/>
          <w:sz w:val="28"/>
          <w:szCs w:val="28"/>
          <w:rtl/>
        </w:rPr>
        <w:t xml:space="preserve">آغاز: الحمد لله على كل حال ... وصلواته على خيرته من خـلقه محمد و اله</w:t>
      </w:r>
    </w:p>
    <w:p>
      <w:pPr>
        <w:pStyle w:val="BookText"/>
      </w:pPr>
      <w:r>
        <w:rPr>
          <w:rFonts w:ascii="Amiri" w:hAnsi="Amiri" w:eastAsia="Amiri" w:cs="Amiri"/>
          <w:lang w:bidi="ar-SA"/>
          <w:color w:val="111111"/>
          <w:sz w:val="28"/>
          <w:szCs w:val="28"/>
          <w:rtl/>
        </w:rPr>
        <w:t xml:space="preserve">انجام: معرفة المكاتبات ... اخر كتاب شرح الصحيحين، تأليف الحافظ محمد بن طاهر المقدسي</w:t>
      </w:r>
    </w:p>
    <w:p>
      <w:pPr>
        <w:pStyle w:val="BookText"/>
      </w:pPr>
      <w:r>
        <w:rPr>
          <w:rFonts w:ascii="IRNazanin" w:hAnsi="IRNazanin" w:eastAsia="IRNazanin" w:cs="IRNazanin"/>
          <w:lang w:bidi="fa-IR"/>
          <w:color w:val="111111"/>
          <w:sz w:val="28"/>
          <w:szCs w:val="28"/>
          <w:rtl/>
        </w:rPr>
        <w:t xml:space="preserve">چاپ: حیدر آباد، با نام کتاب الجمع بين رجال الصحيحين؛ ۶۳۸ ص ، ۱۳۲۳ ق</w:t>
      </w:r>
    </w:p>
    <w:p>
      <w:pPr>
        <w:pStyle w:val="BookText"/>
      </w:pPr>
      <w:r>
        <w:rPr>
          <w:rFonts w:ascii="IRNazanin" w:hAnsi="IRNazanin" w:eastAsia="IRNazanin" w:cs="IRNazanin"/>
          <w:lang w:bidi="fa-IR"/>
          <w:color w:val="111111"/>
          <w:sz w:val="28"/>
          <w:szCs w:val="28"/>
          <w:rtl/>
        </w:rPr>
        <w:t xml:space="preserve">قم ؛مرعشی؛ شماره نسخه: ۴۰۲ عکسی</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نسخه اصل: فیض الله افندی، استانبول ش ۴۹۹؛ خط: نسخ، بی کا، تا: قرن ۸؛ مصحح، محشی؛ تملک: فیض الله افندى مفتى عثمانی، تملکی به تاریخ رجب ۸۹۶؛ ۲۲۴گ، ۲۱ سطر[ عکسی ف: 1- 353]</w:t>
      </w:r>
    </w:p>
    <w:p>
      <w:pPr>
        <w:pStyle w:val="BookText"/>
      </w:pPr>
      <w:r>
        <w:rPr>
          <w:rFonts w:ascii="IRNazanin" w:hAnsi="IRNazanin" w:eastAsia="IRNazanin" w:cs="IRNazanin"/>
          <w:lang w:bidi="fa-IR"/>
          <w:color w:val="111111"/>
          <w:sz w:val="28"/>
          <w:szCs w:val="28"/>
          <w:rtl/>
        </w:rPr>
        <w:t xml:space="preserve">قم؛ مرعشی؛ شماره نسخه: ۴۰۳ عکسی</w:t>
      </w:r>
    </w:p>
    <w:p>
      <w:pPr>
        <w:pStyle w:val="BookText"/>
      </w:pPr>
      <w:r>
        <w:rPr>
          <w:rFonts w:ascii="IRNazanin" w:hAnsi="IRNazanin" w:eastAsia="IRNazanin" w:cs="IRNazanin"/>
          <w:lang w:bidi="fa-IR"/>
          <w:color w:val="111111"/>
          <w:sz w:val="28"/>
          <w:szCs w:val="28"/>
          <w:rtl/>
        </w:rPr>
        <w:t xml:space="preserve">نسخه اصل: همان نسخه اصل بالا [ عکسی ف: ۱ - ۳۵۴]</w:t>
      </w:r>
    </w:p>
    <w:p>
      <w:pPr>
        <w:pStyle w:val="Heading3"/>
      </w:pPr>
      <w:bookmarkStart w:id="1648" w:name="_Toc1170"/>
      <w:r>
        <w:t>اسماء رجال المشكاة = اسماء الرجال فى مشكاة المصابیح / رجال / عربی</w:t>
      </w:r>
      <w:bookmarkEnd w:id="1648"/>
    </w:p>
    <w:p>
      <w:pPr>
        <w:pStyle w:val="BookText"/>
      </w:pPr>
      <w:r>
        <w:rPr>
          <w:rFonts w:ascii="Times New Roman" w:hAnsi="Times New Roman" w:eastAsia="Times New Roman" w:cs="Times New Roman"/>
          <w:lang w:val="en-US" w:bidi="en-US"/>
          <w:color w:val="111111"/>
          <w:sz w:val="28"/>
          <w:szCs w:val="28"/>
          <w:rtl/>
        </w:rPr>
        <w:t xml:space="preserve">asmā’-u rijāl-il miškāt = asmā’-ur-rijāl fī miškāt-ilmaṣābīḥ</w:t>
      </w:r>
    </w:p>
    <w:p>
      <w:pPr>
        <w:pStyle w:val="BookText"/>
      </w:pPr>
      <w:r>
        <w:rPr>
          <w:rFonts w:ascii="IRNazanin" w:hAnsi="IRNazanin" w:eastAsia="IRNazanin" w:cs="IRNazanin"/>
          <w:lang w:bidi="fa-IR"/>
          <w:color w:val="111111"/>
          <w:sz w:val="28"/>
          <w:szCs w:val="28"/>
          <w:rtl/>
        </w:rPr>
        <w:t xml:space="preserve">خطيب عمری، محمد بن عبدالله - ۷۴۹؟ قمری</w:t>
      </w:r>
    </w:p>
    <w:p>
      <w:pPr>
        <w:pStyle w:val="BookText"/>
      </w:pPr>
      <w:r>
        <w:rPr>
          <w:rFonts w:ascii="Times New Roman" w:hAnsi="Times New Roman" w:eastAsia="Times New Roman" w:cs="Times New Roman"/>
          <w:lang w:val="en-US" w:bidi="en-US"/>
          <w:color w:val="111111"/>
          <w:sz w:val="28"/>
          <w:szCs w:val="28"/>
          <w:rtl/>
        </w:rPr>
        <w:t xml:space="preserve">(xatīb ‘omarī, mohammad ebn-e ‘abd-ol-lāh (- 1349)</w:t>
      </w:r>
    </w:p>
    <w:p>
      <w:pPr>
        <w:pStyle w:val="BookText"/>
      </w:pPr>
      <w:r>
        <w:rPr>
          <w:rFonts w:ascii="IRNazanin" w:hAnsi="IRNazanin" w:eastAsia="IRNazanin" w:cs="IRNazanin"/>
          <w:lang w:bidi="fa-IR"/>
          <w:color w:val="111111"/>
          <w:sz w:val="28"/>
          <w:szCs w:val="28"/>
          <w:rtl/>
        </w:rPr>
        <w:t xml:space="preserve">وابسته به: مشكاة المصابيح؛ خطيب عمری، محمد بن عبدالله  (- ۷۴۹)</w:t>
      </w:r>
    </w:p>
    <w:p>
      <w:pPr>
        <w:pStyle w:val="BookText"/>
      </w:pPr>
      <w:r>
        <w:rPr>
          <w:rFonts w:ascii="IRNazanin" w:hAnsi="IRNazanin" w:eastAsia="IRNazanin" w:cs="IRNazanin"/>
          <w:lang w:bidi="fa-IR"/>
          <w:color w:val="111111"/>
          <w:sz w:val="28"/>
          <w:szCs w:val="28"/>
          <w:rtl/>
        </w:rPr>
        <w:t xml:space="preserve">مولف کتابی در تکمیل «مصابیح السنة» بغوی به نام «مشکاة المصابيح» تألیف نموده است و در رساله حاضر به بیان اسماء رجال کتاب خود پرداخته و آن را در دو «باب» به ترتیـب حروف تهجی تنظیم نموده است :۱. ذكر الصحابة ذكرهم و انثاهم و التابعين من بعدهم و غيرهم من له ذكر او رواية فی كتاب المشكوة؛ ۲. ذكر من لهم الاصول من المذكورين في اول الكتاب. به عنوان نمونه در باب اول این گونه است: حاوی چـهار «فصل» در باب صحابه،تابعین صحابیات و تابعیات حرف الهمزة و فيه فصول: فصل : فى الصحابة (كذا) انس بن مالك  بن العـمر النضر كنيته أبو حمزه الخزرجي خادم النبي (صلّی اللَّهِ علیه وَ آلِهِ وَ سَلَّمَ )، و له من مائة و ثلاث سنين و قیل تسع و تسعون سنة ... فصل: في التابعين: اويس القرني هو اویس بن عامر کنیته ابوعمر القرنى ... فصل : فی الصحابيات: اسماء بنت ابى بكر الصديق، اسماء بنت عميس.در باب دوم از ابوزكريا يحيى بن شرف نووی (- ۶۷۶) و ابن اثیرجزری - (۶۰۶ یاد کرده  است. در «کشف الظنون» در باب الف، كتاب «اسماء رجال المشكواة» را یاد می کند و می گوید تأليف صاحب مشکواة است و سپس به حرف میم احالت کرده است و در حرف«م» از این کتاب یاد نکرده است.</w:t>
      </w:r>
    </w:p>
    <w:p>
      <w:pPr>
        <w:pStyle w:val="BookText"/>
      </w:pPr>
      <w:r>
        <w:rPr>
          <w:rFonts w:ascii="IRNazanin" w:hAnsi="IRNazanin" w:eastAsia="IRNazanin" w:cs="IRNazanin"/>
          <w:lang w:bidi="fa-IR"/>
          <w:color w:val="111111"/>
          <w:sz w:val="28"/>
          <w:szCs w:val="28"/>
          <w:rtl/>
        </w:rPr>
        <w:t xml:space="preserve">در انجام کتاب چنین آمده «ثم اني ما اعتمدت في نقل ما اوردته الا على كتب الائمة الثقات ... مثل الاستيعاب لابن عبدالبر و حلية الاولياء لابي نعيم الاصفهانی و جامع الاصول و مناقب الاخبار لابى السعادات الجزرى و الكاشف لابي عبدالله الذهبي الدمشقى، قال المصنف الدمشقى، قال المصنف شكر الله سعيه؛ و فرغت الجمعه من عشرين رجب سنة اربعين وسبعمائة من جمعه و تهذيبه و تشذيبه و انا اضعف العباد الراجي ... محمد بن عبدالله الخطيب بمهاويه و معاضدة شیخی و مولایی سلطان المفسرين... الحسين بن عبدالله بن محمد الطيبي متعهم الله بطول بقائه ثم عرضت المشكوة كما استحسنها و استجادها ....». در برخی از فهارس همچون فهرست مجلس (۱۴ :۶۹)و فهرست آستان قدس (27: 54)بدون توجه به این که صاحب مشكاة كيست و افرادی که در کتاب نام برده می شود در چه زمانی هستند، این کتاب به  غزالی، محمد بن محمد (۴۵۰-505ق) نسبت داده شده که بدون تردید خطای فاحش است.</w:t>
      </w:r>
    </w:p>
    <w:p>
      <w:pPr>
        <w:pStyle w:val="BookText"/>
      </w:pPr>
      <w:r>
        <w:rPr>
          <w:rFonts w:ascii="IRNazanin" w:hAnsi="IRNazanin" w:eastAsia="IRNazanin" w:cs="IRNazanin"/>
          <w:lang w:bidi="fa-IR"/>
          <w:color w:val="111111"/>
          <w:sz w:val="28"/>
          <w:szCs w:val="28"/>
          <w:rtl/>
        </w:rPr>
        <w:t xml:space="preserve">آغاز: بسمله، اللهم بك نستعين و علیک نتوكل سبحانك اللهم نحمدک علی نعمک بجمیع محامدک ... و بعد فهذا فى اسماء الرجال مشتمل على بابين الباب الأول في ذكر الصحابة ذكرهم و انثاهم و من بعدهم من التابعين من له ذكر او رواية في كتاب المشكوة مرتب على حروف التهجى و اذكر بالكنية من اشهر بها في حرف الكنيه دون اسمه في حرف الاسم.</w:t>
      </w:r>
    </w:p>
    <w:p>
      <w:pPr>
        <w:pStyle w:val="BookText"/>
      </w:pPr>
      <w:r>
        <w:rPr>
          <w:rFonts w:ascii="Amiri" w:hAnsi="Amiri" w:eastAsia="Amiri" w:cs="Amiri"/>
          <w:lang w:bidi="ar-SA"/>
          <w:color w:val="111111"/>
          <w:sz w:val="28"/>
          <w:szCs w:val="28"/>
          <w:rtl/>
        </w:rPr>
        <w:t xml:space="preserve">انجام: ثم عرضته عليه كما عرفت المشكاة فاستحسنه كما  استحسنها و استجاده كما استجادها و الحمد لله رب العالمين.</w:t>
      </w:r>
    </w:p>
    <w:p>
      <w:pPr>
        <w:pStyle w:val="BookText"/>
      </w:pPr>
      <w:r>
        <w:rPr>
          <w:rFonts w:ascii="IRNazanin" w:hAnsi="IRNazanin" w:eastAsia="IRNazanin" w:cs="IRNazanin"/>
          <w:lang w:bidi="fa-IR"/>
          <w:color w:val="111111"/>
          <w:sz w:val="28"/>
          <w:szCs w:val="28"/>
          <w:rtl/>
        </w:rPr>
        <w:t xml:space="preserve">چاپ: به همراه مشكاة المصابيح، مكتبه رشیدیه ،دهلی، ۱۹۵۵م</w:t>
      </w:r>
    </w:p>
    <w:p>
      <w:pPr>
        <w:pStyle w:val="BookText"/>
      </w:pPr>
      <w:r>
        <w:rPr>
          <w:rFonts w:ascii="IRNazanin" w:hAnsi="IRNazanin" w:eastAsia="IRNazanin" w:cs="IRNazanin"/>
          <w:lang w:bidi="fa-IR"/>
          <w:color w:val="111111"/>
          <w:sz w:val="28"/>
          <w:szCs w:val="28"/>
          <w:rtl/>
        </w:rPr>
        <w:t xml:space="preserve">[دنا ۲۲/۱ (با نسبت به غزالی و خطیب عمری)؛ کشف الظنون ۹۴/۱ و ۱۶۹۹/۲؛ هديه العارفین  2/ 156؛ فهرست مخطوطات العربية المصورة (احمد</w:t>
      </w:r>
    </w:p>
    <w:p>
      <w:pPr>
        <w:pStyle w:val="BookText"/>
      </w:pPr>
      <w:r>
        <w:rPr>
          <w:rFonts w:ascii="IRNazanin" w:hAnsi="IRNazanin" w:eastAsia="IRNazanin" w:cs="IRNazanin"/>
          <w:lang w:bidi="fa-IR"/>
          <w:color w:val="111111"/>
          <w:sz w:val="28"/>
          <w:szCs w:val="28"/>
          <w:rtl/>
        </w:rPr>
        <w:t xml:space="preserve">سعید خازندار): ۱۱۱/۱؛ فهرست مخطوطات دار الكتب الظاهرية (المنتخب من مخطوطات الحدیث): ۴۶۶]</w:t>
      </w:r>
    </w:p>
    <w:p>
      <w:pPr>
        <w:pStyle w:val="BookText"/>
      </w:pPr>
      <w:r>
        <w:rPr>
          <w:rFonts w:ascii="IRNazanin" w:hAnsi="IRNazanin" w:eastAsia="IRNazanin" w:cs="IRNazanin"/>
          <w:lang w:bidi="fa-IR"/>
          <w:color w:val="111111"/>
          <w:sz w:val="28"/>
          <w:szCs w:val="28"/>
          <w:rtl/>
        </w:rPr>
        <w:t xml:space="preserve">۱. قم؛ مرعشی؛ شماره نسخه: ۱۴۱۰۹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۱۰؛ در آغاز نسخه دست خطی در مورد کتاب و مؤلف از ولی الله اشراقی تبریزی به سال ۱۳۹۰ق دیده می شود؛ کاغذ: شرقی؛ نوع جلد: تیماج قهوه ای با ترنج، ۱۷۷گ،  ۱۳ سطر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۱۰/۵)،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۱۷/۵سم [ف: ۳۵ - ۶۴۶]</w:t>
      </w:r>
    </w:p>
    <w:p>
      <w:pPr>
        <w:pStyle w:val="BookText"/>
      </w:pPr>
      <w:r>
        <w:rPr>
          <w:rFonts w:ascii="IRNazanin" w:hAnsi="IRNazanin" w:eastAsia="IRNazanin" w:cs="IRNazanin"/>
          <w:lang w:bidi="fa-IR"/>
          <w:color w:val="111111"/>
          <w:sz w:val="28"/>
          <w:szCs w:val="28"/>
          <w:rtl/>
        </w:rPr>
        <w:t xml:space="preserve">۲. قم؛ مرعشی؛ شماره نسخه: ۱۰۷۱۰</w:t>
      </w:r>
    </w:p>
    <w:p>
      <w:pPr>
        <w:pStyle w:val="BookText"/>
      </w:pPr>
      <w:r>
        <w:rPr>
          <w:rFonts w:ascii="IRNazanin" w:hAnsi="IRNazanin" w:eastAsia="IRNazanin" w:cs="IRNazanin"/>
          <w:lang w:bidi="fa-IR"/>
          <w:color w:val="111111"/>
          <w:sz w:val="28"/>
          <w:szCs w:val="28"/>
          <w:rtl/>
        </w:rPr>
        <w:t xml:space="preserve">خط: نسخ و ثلث، بی کا، تا: قرن ۱۰؛ قطع: رقعی [ میراث شهاب: س ۹ش ۲ - ۴]</w:t>
      </w:r>
    </w:p>
    <w:p>
      <w:pPr>
        <w:pStyle w:val="BookText"/>
      </w:pPr>
      <w:r>
        <w:rPr>
          <w:rFonts w:ascii="IRNazanin" w:hAnsi="IRNazanin" w:eastAsia="IRNazanin" w:cs="IRNazanin"/>
          <w:lang w:bidi="fa-IR"/>
          <w:color w:val="111111"/>
          <w:sz w:val="28"/>
          <w:szCs w:val="28"/>
          <w:rtl/>
        </w:rPr>
        <w:t xml:space="preserve">3.قم؛ مرکز احیاء؛ شماره نسخه: ۴۲۹۲/۱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343" w:name="pg20365_260476"/>
    <w:bookmarkEnd w:id="343"/>
    <w:p>
      <w:pPr>
        <w:pStyle w:val="BookText"/>
      </w:pPr>
      <w:r>
        <w:rPr>
          <w:rFonts w:ascii="IRNazanin" w:hAnsi="IRNazanin" w:eastAsia="IRNazanin" w:cs="IRNazanin"/>
          <w:lang w:bidi="fa-IR"/>
          <w:color w:val="111111"/>
          <w:sz w:val="28"/>
          <w:szCs w:val="28"/>
          <w:rtl/>
        </w:rPr>
        <w:t xml:space="preserve">آغاز: في ذكر من لهم الاصول من المذكورين في اول المشكوة و غير هم و ان لم يذكر هم فى اولها رضوان الله عليهم اجمـعین ابتعین؛ انجام: برابر</w:t>
      </w:r>
    </w:p>
    <w:p>
      <w:pPr>
        <w:pStyle w:val="BookText"/>
      </w:pPr>
      <w:r>
        <w:rPr>
          <w:rFonts w:ascii="IRNazanin" w:hAnsi="IRNazanin" w:eastAsia="IRNazanin" w:cs="IRNazanin"/>
          <w:lang w:bidi="fa-IR"/>
          <w:color w:val="111111"/>
          <w:sz w:val="28"/>
          <w:szCs w:val="28"/>
          <w:rtl/>
        </w:rPr>
        <w:t xml:space="preserve">خط: نسخ، بی کا، تا: قرن ۱۱؛ افتادگی: آغاز؛ مصحح، برخی اوراق بازنویسی شده، محشی با عنوان «عبد العظیم بخاری» جـلد: تیماج زرد ضربی، ۱۰۰گ (۱پ -۱۰۰ر)، ۲۱ سطر، اندازه: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[محدث ارموی مخ: ۱ – ۱۷۴]</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تهران؛ مجلس؛ شماره نسخه: ۱۸۰۵/۲۴</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در فهرست ناشناس آمده؛ خط: نسخ، بی کا، تا: با تاریخ ۱۰۷۸ق، کاغذ: فرنگی  سفید،جلد: تیماج قرمز ضربی، ۱۸ص (203--186)، ۲۵ سطر، قطع: خشتی،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۳۴سم [ف: ۹ - ۳۴۹]</w:t>
      </w:r>
    </w:p>
    <w:p>
      <w:pPr>
        <w:pStyle w:val="BookText"/>
      </w:pPr>
      <w:r>
        <w:rPr>
          <w:rFonts w:ascii="IRNazanin" w:hAnsi="IRNazanin" w:eastAsia="IRNazanin" w:cs="IRNazanin"/>
          <w:lang w:bidi="fa-IR"/>
          <w:color w:val="111111"/>
          <w:sz w:val="28"/>
          <w:szCs w:val="28"/>
          <w:rtl/>
        </w:rPr>
        <w:t xml:space="preserve">قم؛ مرکز احیاء؛ شماره نسخه: ۲۳۳۷/۱۹</w:t>
      </w:r>
    </w:p>
    <w:p>
      <w:pPr>
        <w:pStyle w:val="BookText"/>
      </w:pPr>
      <w:r>
        <w:rPr>
          <w:rFonts w:ascii="IRNazanin" w:hAnsi="IRNazanin" w:eastAsia="IRNazanin" w:cs="IRNazanin"/>
          <w:lang w:bidi="fa-IR"/>
          <w:color w:val="111111"/>
          <w:sz w:val="28"/>
          <w:szCs w:val="28"/>
          <w:rtl/>
        </w:rPr>
        <w:t xml:space="preserve">نسخه اصل: همان نسخه بالا [ عکسی ف: ۶ - ۴۰۴]</w:t>
      </w:r>
    </w:p>
    <w:p>
      <w:pPr>
        <w:pStyle w:val="BookText"/>
      </w:pPr>
      <w:r>
        <w:rPr>
          <w:rFonts w:ascii="IRNazanin" w:hAnsi="IRNazanin" w:eastAsia="IRNazanin" w:cs="IRNazanin"/>
          <w:lang w:bidi="fa-IR"/>
          <w:color w:val="111111"/>
          <w:sz w:val="28"/>
          <w:szCs w:val="28"/>
          <w:rtl/>
        </w:rPr>
        <w:t xml:space="preserve">۵. مشهد؛ رضوی؛ شماره نسخه: ۱۸۵۶۶</w:t>
      </w:r>
    </w:p>
    <w:p>
      <w:pPr>
        <w:pStyle w:val="BookText"/>
      </w:pPr>
      <w:r>
        <w:rPr>
          <w:rFonts w:ascii="Amiri" w:hAnsi="Amiri" w:eastAsia="Amiri" w:cs="Amiri"/>
          <w:lang w:bidi="ar-SA"/>
          <w:color w:val="111111"/>
          <w:sz w:val="28"/>
          <w:szCs w:val="28"/>
          <w:rtl/>
        </w:rPr>
        <w:t xml:space="preserve">آغاز: برابر؛ انجام: و كان كثيرا السهر مكبا على القلم و العـمل عاش خمساً واربعين سنة.</w:t>
      </w:r>
    </w:p>
    <w:p>
      <w:pPr>
        <w:pStyle w:val="BookText"/>
      </w:pPr>
      <w:r>
        <w:rPr>
          <w:rFonts w:ascii="IRNazanin" w:hAnsi="IRNazanin" w:eastAsia="IRNazanin" w:cs="IRNazanin"/>
          <w:lang w:bidi="fa-IR"/>
          <w:color w:val="111111"/>
          <w:sz w:val="28"/>
          <w:szCs w:val="28"/>
          <w:rtl/>
        </w:rPr>
        <w:t xml:space="preserve">در فهرست به غزالی نسبت داده شده که خطاست؛ خط نسـخ، بی کا، تا: جمعه سلخ ربیع الاول ۱۰۷۹ق؛ واقف: میرزا رضاخـان ،نائینی مرداد ۱۳۱۱؛ کاغذ: حنایی آهار مهره ،بیاضی ،جلد: میشن عنابی سجافدار با آستر میشن  ماشی،۵گ، ۵۱ سطر،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۲۶سم [ف: ۲۷ - ۵۴]</w:t>
      </w:r>
    </w:p>
    <w:p>
      <w:pPr>
        <w:pStyle w:val="BookText"/>
      </w:pPr>
      <w:r>
        <w:rPr>
          <w:rFonts w:ascii="IRNazanin" w:hAnsi="IRNazanin" w:eastAsia="IRNazanin" w:cs="IRNazanin"/>
          <w:lang w:bidi="fa-IR"/>
          <w:color w:val="111111"/>
          <w:sz w:val="28"/>
          <w:szCs w:val="28"/>
          <w:rtl/>
        </w:rPr>
        <w:t xml:space="preserve">۶ .مشهد؛ رضوی؛ شماره نسخه: ض۴۴۸۴</w:t>
      </w:r>
    </w:p>
    <w:p>
      <w:pPr>
        <w:pStyle w:val="BookText"/>
      </w:pPr>
      <w:r>
        <w:rPr>
          <w:rFonts w:ascii="IRNazanin" w:hAnsi="IRNazanin" w:eastAsia="IRNazanin" w:cs="IRNazanin"/>
          <w:lang w:bidi="fa-IR"/>
          <w:color w:val="111111"/>
          <w:sz w:val="28"/>
          <w:szCs w:val="28"/>
          <w:rtl/>
        </w:rPr>
        <w:t xml:space="preserve">با احتمال از غزالی دانسته شده؛ خط: نسخ، بی کا، بی تا [الفبائی: 50]</w:t>
      </w:r>
    </w:p>
    <w:p>
      <w:pPr>
        <w:pStyle w:val="BookText"/>
      </w:pPr>
      <w:r>
        <w:rPr>
          <w:rFonts w:ascii="IRNazanin" w:hAnsi="IRNazanin" w:eastAsia="IRNazanin" w:cs="IRNazanin"/>
          <w:lang w:bidi="fa-IR"/>
          <w:color w:val="111111"/>
          <w:sz w:val="28"/>
          <w:szCs w:val="28"/>
          <w:rtl/>
        </w:rPr>
        <w:t xml:space="preserve">7.تهران؛ مجلس؛ شماره نسخه: ۴۹۰۰/۳۶</w:t>
      </w:r>
    </w:p>
    <w:p>
      <w:pPr>
        <w:pStyle w:val="BookText"/>
      </w:pPr>
      <w:r>
        <w:rPr>
          <w:rFonts w:ascii="IRNazanin" w:hAnsi="IRNazanin" w:eastAsia="IRNazanin" w:cs="IRNazanin"/>
          <w:lang w:bidi="fa-IR"/>
          <w:color w:val="111111"/>
          <w:sz w:val="28"/>
          <w:szCs w:val="28"/>
          <w:rtl/>
        </w:rPr>
        <w:t xml:space="preserve">آغاز: برابر؛ انجام: الى ان سافر القدس ثم عاد اليها فمرض عند ابويه و توفى ليلةالأربعاء رابع عشر شهر رجب ۶۷۶ و دفن بیلـده كذا وجدت في حاشية الكتاب</w:t>
      </w:r>
    </w:p>
    <w:p>
      <w:pPr>
        <w:pStyle w:val="BookText"/>
      </w:pPr>
      <w:r>
        <w:rPr>
          <w:rFonts w:ascii="IRNazanin" w:hAnsi="IRNazanin" w:eastAsia="IRNazanin" w:cs="IRNazanin"/>
          <w:lang w:bidi="fa-IR"/>
          <w:color w:val="111111"/>
          <w:sz w:val="28"/>
          <w:szCs w:val="28"/>
          <w:rtl/>
        </w:rPr>
        <w:t xml:space="preserve">در فهرست ظاهراً به استناد آنچه در ابتدای نسخه آمده از غزالی دانسته شده؛ خط: نسخ، بی کا، بی تا؛ کاغذ ،سپاهانی، جلد: تیماج قهوه ای مغزی  دار ۱۰ گ (۹۵ ر -۱۰۴ر)، ۲۵ سطر (15</w:t>
      </w:r>
      <w:r>
        <w:rPr>
          <w:rFonts w:ascii="Times New Roman" w:hAnsi="Times New Roman" w:eastAsia="Times New Roman" w:cs="Times New Roman"/>
          <w:lang w:val="en-US" w:bidi="en-US"/>
          <w:color w:val="111111"/>
          <w:sz w:val="28"/>
          <w:szCs w:val="28"/>
          <w:rtl/>
        </w:rPr>
        <w:t xml:space="preserve">×29)</w:t>
      </w:r>
      <w:r>
        <w:rPr>
          <w:rFonts w:ascii="IRNazanin" w:hAnsi="IRNazanin" w:eastAsia="IRNazanin" w:cs="IRNazanin"/>
          <w:lang w:bidi="fa-IR"/>
          <w:color w:val="111111"/>
          <w:sz w:val="28"/>
          <w:szCs w:val="28"/>
          <w:rtl/>
        </w:rPr>
        <w:t xml:space="preserve">،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۳۵سم [ف: ۱۴ – ۶۹]</w:t>
      </w:r>
    </w:p>
    <w:p>
      <w:pPr>
        <w:pStyle w:val="BookText"/>
      </w:pPr>
      <w:r>
        <w:rPr>
          <w:rFonts w:ascii="IRNazanin" w:hAnsi="IRNazanin" w:eastAsia="IRNazanin" w:cs="IRNazanin"/>
          <w:lang w:bidi="fa-IR"/>
          <w:color w:val="111111"/>
          <w:sz w:val="28"/>
          <w:szCs w:val="28"/>
          <w:rtl/>
        </w:rPr>
        <w:t xml:space="preserve">۸. تهران؛ ملی؛ شماره نسخه: ۱۹۸۲۵</w:t>
      </w:r>
    </w:p>
    <w:p>
      <w:pPr>
        <w:pStyle w:val="BookText"/>
      </w:pPr>
      <w:r>
        <w:rPr>
          <w:rFonts w:ascii="IRNazanin" w:hAnsi="IRNazanin" w:eastAsia="IRNazanin" w:cs="IRNazanin"/>
          <w:lang w:bidi="fa-IR"/>
          <w:color w:val="111111"/>
          <w:sz w:val="28"/>
          <w:szCs w:val="28"/>
          <w:rtl/>
        </w:rPr>
        <w:t xml:space="preserve">بی کا، بی تا؛ خریداری از مصطفی حسینی [رایانه ]</w:t>
      </w:r>
    </w:p>
    <w:p>
      <w:pPr>
        <w:pStyle w:val="Heading3"/>
      </w:pPr>
      <w:bookmarkStart w:id="1649" w:name="_Toc1171"/>
      <w:r>
        <w:t>اسماء الرسل / دعا / عربي</w:t>
      </w:r>
      <w:bookmarkEnd w:id="1649"/>
    </w:p>
    <w:p>
      <w:pPr>
        <w:pStyle w:val="BookText"/>
      </w:pPr>
      <w:r>
        <w:rPr>
          <w:rFonts w:ascii="Times New Roman" w:hAnsi="Times New Roman" w:eastAsia="Times New Roman" w:cs="Times New Roman"/>
          <w:lang w:val="en-US" w:bidi="en-US"/>
          <w:color w:val="111111"/>
          <w:sz w:val="28"/>
          <w:szCs w:val="28"/>
          <w:rtl/>
        </w:rPr>
        <w:t xml:space="preserve">asmā’-ur-rusul</w:t>
      </w:r>
    </w:p>
    <w:p>
      <w:pPr>
        <w:pStyle w:val="BookText"/>
      </w:pPr>
      <w:r>
        <w:rPr>
          <w:rFonts w:ascii="IRNazanin" w:hAnsi="IRNazanin" w:eastAsia="IRNazanin" w:cs="IRNazanin"/>
          <w:lang w:bidi="fa-IR"/>
          <w:color w:val="111111"/>
          <w:sz w:val="28"/>
          <w:szCs w:val="28"/>
          <w:rtl/>
        </w:rPr>
        <w:t xml:space="preserve">بلخی، محمد بن احمد</w:t>
      </w:r>
    </w:p>
    <w:p>
      <w:pPr>
        <w:pStyle w:val="BookText"/>
      </w:pPr>
      <w:r>
        <w:rPr>
          <w:rFonts w:ascii="Times New Roman" w:hAnsi="Times New Roman" w:eastAsia="Times New Roman" w:cs="Times New Roman"/>
          <w:lang w:val="en-US" w:bidi="en-US"/>
          <w:color w:val="111111"/>
          <w:sz w:val="28"/>
          <w:szCs w:val="28"/>
          <w:rtl/>
        </w:rPr>
        <w:t xml:space="preserve">balxī, mohammad ebn-e ahmad</w:t>
      </w:r>
    </w:p>
    <w:p>
      <w:pPr>
        <w:pStyle w:val="BookText"/>
      </w:pPr>
      <w:r>
        <w:rPr>
          <w:rFonts w:ascii="IRNazanin" w:hAnsi="IRNazanin" w:eastAsia="IRNazanin" w:cs="IRNazanin"/>
          <w:lang w:bidi="fa-IR"/>
          <w:color w:val="111111"/>
          <w:sz w:val="28"/>
          <w:szCs w:val="28"/>
          <w:rtl/>
        </w:rPr>
        <w:t xml:space="preserve">مشهد؛ رضوی؛ شماره نسخه: ض۱۳۴۰۸</w:t>
      </w:r>
    </w:p>
    <w:p>
      <w:pPr>
        <w:pStyle w:val="BookText"/>
      </w:pPr>
      <w:r>
        <w:rPr>
          <w:rFonts w:ascii="IRNazanin" w:hAnsi="IRNazanin" w:eastAsia="IRNazanin" w:cs="IRNazanin"/>
          <w:lang w:bidi="fa-IR"/>
          <w:color w:val="111111"/>
          <w:sz w:val="28"/>
          <w:szCs w:val="28"/>
          <w:rtl/>
        </w:rPr>
        <w:t xml:space="preserve">آغاز: بسمله الحمد لله رب العالمین؛ انجام: فى كل وقت وحين</w:t>
      </w:r>
    </w:p>
    <w:p>
      <w:pPr>
        <w:pStyle w:val="BookText"/>
      </w:pPr>
      <w:r>
        <w:rPr>
          <w:rFonts w:ascii="IRNazanin" w:hAnsi="IRNazanin" w:eastAsia="IRNazanin" w:cs="IRNazanin"/>
          <w:lang w:bidi="fa-IR"/>
          <w:color w:val="111111"/>
          <w:sz w:val="28"/>
          <w:szCs w:val="28"/>
          <w:rtl/>
        </w:rPr>
        <w:t xml:space="preserve">خط: نسخ ،کا: عبدالغفور هروی، تا: ۱۲۳۵ق [الفبائی: ۵۰]</w:t>
      </w:r>
    </w:p>
    <w:p>
      <w:pPr>
        <w:pStyle w:val="Heading3"/>
      </w:pPr>
      <w:bookmarkStart w:id="1650" w:name="_Toc1172"/>
      <w:r>
        <w:t>اسماء الرسوم المرسومة على الالة المسماة  بالاسطرلاب / اسطرلاب / عربی</w:t>
      </w:r>
      <w:bookmarkEnd w:id="1650"/>
    </w:p>
    <w:p>
      <w:pPr>
        <w:pStyle w:val="BookText"/>
      </w:pPr>
      <w:r>
        <w:rPr>
          <w:rFonts w:ascii="Times New Roman" w:hAnsi="Times New Roman" w:eastAsia="Times New Roman" w:cs="Times New Roman"/>
          <w:lang w:val="en-US" w:bidi="en-US"/>
          <w:color w:val="111111"/>
          <w:sz w:val="28"/>
          <w:szCs w:val="28"/>
          <w:rtl/>
        </w:rPr>
        <w:t xml:space="preserve">asmā’-ur-rusūm al-marsūma ‘al-al-ālat-il-musammā bil-</w:t>
      </w:r>
    </w:p>
    <w:p>
      <w:pPr>
        <w:pStyle w:val="BookText"/>
      </w:pPr>
      <w:r>
        <w:rPr>
          <w:rFonts w:ascii="Times New Roman" w:hAnsi="Times New Roman" w:eastAsia="Times New Roman" w:cs="Times New Roman"/>
          <w:lang w:val="en-US" w:bidi="en-US"/>
          <w:color w:val="111111"/>
          <w:sz w:val="28"/>
          <w:szCs w:val="28"/>
          <w:rtl/>
        </w:rPr>
        <w:t xml:space="preserve">i-usturlab</w:t>
      </w:r>
    </w:p>
    <w:p>
      <w:pPr>
        <w:pStyle w:val="BookText"/>
      </w:pPr>
      <w:r>
        <w:rPr>
          <w:rFonts w:ascii="IRNazanin" w:hAnsi="IRNazanin" w:eastAsia="IRNazanin" w:cs="IRNazanin"/>
          <w:lang w:bidi="fa-IR"/>
          <w:color w:val="111111"/>
          <w:sz w:val="28"/>
          <w:szCs w:val="28"/>
          <w:rtl/>
        </w:rPr>
        <w:t xml:space="preserve">اسماء الرسوم المرسومة على الآلة المسماة بالاسطرلاب الشمالي ذات صفائح و بعض اعمالها، در یک «مقدمه» و پانزده «باب».</w:t>
      </w:r>
    </w:p>
    <w:p>
      <w:pPr>
        <w:pStyle w:val="BookText"/>
      </w:pPr>
      <w:r>
        <w:rPr>
          <w:rFonts w:ascii="IRNazanin" w:hAnsi="IRNazanin" w:eastAsia="IRNazanin" w:cs="IRNazanin"/>
          <w:lang w:bidi="fa-IR"/>
          <w:color w:val="111111"/>
          <w:sz w:val="28"/>
          <w:szCs w:val="28"/>
          <w:rtl/>
        </w:rPr>
        <w:t xml:space="preserve">تهران؛ ملک؛ شماره نسخه: ۱۵۷۷/۵</w:t>
      </w:r>
    </w:p>
    <w:p>
      <w:pPr>
        <w:pStyle w:val="BookText"/>
      </w:pPr>
      <w:r>
        <w:rPr>
          <w:rFonts w:ascii="IRNazanin" w:hAnsi="IRNazanin" w:eastAsia="IRNazanin" w:cs="IRNazanin"/>
          <w:lang w:bidi="fa-IR"/>
          <w:color w:val="111111"/>
          <w:sz w:val="28"/>
          <w:szCs w:val="28"/>
          <w:rtl/>
        </w:rPr>
        <w:t xml:space="preserve">خط: نستعليق، كا: عبد الله بن ابی الخیر، تا: ۸ ربیع الثانی ۱۱۷۸ق؛</w:t>
      </w:r>
    </w:p>
    <w:p>
      <w:pPr>
        <w:pStyle w:val="BookText"/>
      </w:pPr>
      <w:r>
        <w:rPr>
          <w:rFonts w:ascii="IRNazanin" w:hAnsi="IRNazanin" w:eastAsia="IRNazanin" w:cs="IRNazanin"/>
          <w:lang w:bidi="fa-IR"/>
          <w:color w:val="111111"/>
          <w:sz w:val="28"/>
          <w:szCs w:val="28"/>
          <w:rtl/>
        </w:rPr>
        <w:t xml:space="preserve">کاغذ:پسته ای ،جلد: میشن سیاه ،لایی ۱۹ سطر :[ف ۵ - ۲۹۸]</w:t>
      </w:r>
    </w:p>
    <w:p>
      <w:pPr>
        <w:pStyle w:val="Heading3"/>
      </w:pPr>
      <w:bookmarkStart w:id="1651" w:name="_Toc1173"/>
      <w:r>
        <w:t>اسماء السبعة الأقطاب / تراجم / عربي</w:t>
      </w:r>
      <w:bookmarkEnd w:id="1651"/>
    </w:p>
    <w:p>
      <w:pPr>
        <w:pStyle w:val="BookText"/>
      </w:pPr>
      <w:r>
        <w:rPr>
          <w:rFonts w:ascii="Times New Roman" w:hAnsi="Times New Roman" w:eastAsia="Times New Roman" w:cs="Times New Roman"/>
          <w:lang w:val="en-US" w:bidi="en-US"/>
          <w:color w:val="111111"/>
          <w:sz w:val="28"/>
          <w:szCs w:val="28"/>
          <w:rtl/>
        </w:rPr>
        <w:t xml:space="preserve">asma-us-sabat-il-'aqtab</w:t>
      </w:r>
    </w:p>
    <w:p>
      <w:pPr>
        <w:pStyle w:val="BookText"/>
      </w:pPr>
      <w:r>
        <w:rPr>
          <w:rFonts w:ascii="IRNazanin" w:hAnsi="IRNazanin" w:eastAsia="IRNazanin" w:cs="IRNazanin"/>
          <w:lang w:bidi="fa-IR"/>
          <w:color w:val="111111"/>
          <w:sz w:val="28"/>
          <w:szCs w:val="28"/>
          <w:rtl/>
        </w:rPr>
        <w:t xml:space="preserve">اسامی هفت تن از عرفاء که عبارتند از: .۱ عبدالقادرجیلانی، ۲.  احمد رفاعی 3. ابراهیم  دسوقی، ۴. احمد بدوی، ۵.  محیی الدین ابن عربی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حسن شاذلی ،۷. عمر ابن فارض؛ همراه با تاریخ  ولادت و وفات آنها. با چند فایده پراکنده دیگر.</w:t>
      </w:r>
    </w:p>
    <w:p>
      <w:pPr>
        <w:pStyle w:val="BookText"/>
      </w:pPr>
      <w:r>
        <w:rPr>
          <w:rFonts w:ascii="IRNazanin" w:hAnsi="IRNazanin" w:eastAsia="IRNazanin" w:cs="IRNazanin"/>
          <w:lang w:bidi="fa-IR"/>
          <w:color w:val="111111"/>
          <w:sz w:val="28"/>
          <w:szCs w:val="28"/>
          <w:rtl/>
        </w:rPr>
        <w:t xml:space="preserve">قم؛ مرعشی؛ شماره نسخه: ۱۰۲۴/۲</w:t>
      </w:r>
    </w:p>
    <w:p>
      <w:pPr>
        <w:pStyle w:val="BookText"/>
      </w:pPr>
      <w:r>
        <w:rPr>
          <w:rFonts w:ascii="IRNazanin" w:hAnsi="IRNazanin" w:eastAsia="IRNazanin" w:cs="IRNazanin"/>
          <w:lang w:bidi="fa-IR"/>
          <w:color w:val="111111"/>
          <w:sz w:val="28"/>
          <w:szCs w:val="28"/>
          <w:rtl/>
        </w:rPr>
        <w:t xml:space="preserve">نسخه اصل: کتابخانه ،چستربیتی، ش ۴۲۴۵؛ خط: نسخ ،معرب، بی کا، تا: احتمالاً قرن ۹، اگ (۳۸ر) [عکسی ف: ۳ - ۶۱]</w:t>
      </w:r>
    </w:p>
    <w:p>
      <w:pPr>
        <w:pStyle w:val="Heading3"/>
      </w:pPr>
      <w:bookmarkStart w:id="1652" w:name="_Toc1174"/>
      <w:r>
        <w:t>اسماء سورة الفاتحة / علوم قرآن / عربی</w:t>
      </w:r>
      <w:bookmarkEnd w:id="1652"/>
    </w:p>
    <w:p>
      <w:pPr>
        <w:pStyle w:val="BookText"/>
      </w:pPr>
      <w:r>
        <w:rPr>
          <w:rFonts w:ascii="Times New Roman" w:hAnsi="Times New Roman" w:eastAsia="Times New Roman" w:cs="Times New Roman"/>
          <w:lang w:val="en-US" w:bidi="en-US"/>
          <w:color w:val="111111"/>
          <w:sz w:val="28"/>
          <w:szCs w:val="28"/>
          <w:rtl/>
        </w:rPr>
        <w:t xml:space="preserve">asmā'-u sūrat-il fatiha</w:t>
      </w:r>
    </w:p>
    <w:p>
      <w:pPr>
        <w:pStyle w:val="BookText"/>
      </w:pPr>
      <w:r>
        <w:rPr>
          <w:rFonts w:ascii="IRNazanin" w:hAnsi="IRNazanin" w:eastAsia="IRNazanin" w:cs="IRNazanin"/>
          <w:lang w:bidi="fa-IR"/>
          <w:color w:val="111111"/>
          <w:sz w:val="28"/>
          <w:szCs w:val="28"/>
          <w:rtl/>
        </w:rPr>
        <w:t xml:space="preserve">درباره اسماء سوره فاتحه و فضیلت آن است.</w:t>
      </w:r>
    </w:p>
    <w:p>
      <w:pPr>
        <w:pStyle w:val="BookText"/>
      </w:pPr>
      <w:r>
        <w:rPr>
          <w:rFonts w:ascii="IRNazanin" w:hAnsi="IRNazanin" w:eastAsia="IRNazanin" w:cs="IRNazanin"/>
          <w:lang w:bidi="fa-IR"/>
          <w:color w:val="111111"/>
          <w:sz w:val="28"/>
          <w:szCs w:val="28"/>
          <w:rtl/>
        </w:rPr>
        <w:t xml:space="preserve">مشهد؛ الهیات؛ شماره نسخه: ۲۱۷۲۱/۳</w:t>
      </w:r>
    </w:p>
    <w:p>
      <w:pPr>
        <w:pStyle w:val="BookText"/>
      </w:pPr>
      <w:r>
        <w:rPr>
          <w:rFonts w:ascii="IRNazanin" w:hAnsi="IRNazanin" w:eastAsia="IRNazanin" w:cs="IRNazanin"/>
          <w:lang w:bidi="fa-IR"/>
          <w:color w:val="111111"/>
          <w:sz w:val="28"/>
          <w:szCs w:val="28"/>
          <w:rtl/>
        </w:rPr>
        <w:t xml:space="preserve">خط: نسخ، کا: قوام الدین بن حبيب الله، تا: ۱۲ ذیقعده ۱۰۷۰ق؛ محشی از محمد تقی شریف و محمد تقی تبریزی ممقانی؛ کاغذ: نخودی رنگ، جلد: تیماج عنابی ضربی  دار، عطف میشن ،مشکی  ، ۱۰ سطر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۲۹/۵سم [ف: ۲ – ۵۹۰]</w:t>
      </w:r>
    </w:p>
    <w:p>
      <w:pPr>
        <w:pStyle w:val="Heading3"/>
      </w:pPr>
      <w:bookmarkStart w:id="1653" w:name="_Toc1175"/>
      <w:r>
        <w:t>الاسماء الشمخوثية / علوم غريبه / عربي</w:t>
      </w:r>
      <w:bookmarkEnd w:id="1653"/>
    </w:p>
    <w:p>
      <w:pPr>
        <w:pStyle w:val="BookText"/>
      </w:pPr>
      <w:r>
        <w:rPr>
          <w:rFonts w:ascii="Times New Roman" w:hAnsi="Times New Roman" w:eastAsia="Times New Roman" w:cs="Times New Roman"/>
          <w:lang w:val="en-US" w:bidi="en-US"/>
          <w:color w:val="111111"/>
          <w:sz w:val="28"/>
          <w:szCs w:val="28"/>
          <w:rtl/>
        </w:rPr>
        <w:t xml:space="preserve">al-asmā❜-uš-šamxūtīуy a</w:t>
      </w:r>
    </w:p>
    <w:p>
      <w:pPr>
        <w:pStyle w:val="BookText"/>
      </w:pPr>
      <w:r>
        <w:rPr>
          <w:rFonts w:ascii="IRNazanin" w:hAnsi="IRNazanin" w:eastAsia="IRNazanin" w:cs="IRNazanin"/>
          <w:lang w:bidi="fa-IR"/>
          <w:color w:val="111111"/>
          <w:sz w:val="28"/>
          <w:szCs w:val="28"/>
          <w:rtl/>
        </w:rPr>
        <w:t xml:space="preserve">فصل و سی و ششم از کتابی است گویا در دعا و طلسم و علوم غریبه، و این فصل در نام های الهی است به سریانی و جز آن و فائده هر نام از آنها در پایان قاعده ای است به فارسی در اختیارات انتخاب شده از مفتاح المغالق.</w:t>
      </w:r>
    </w:p>
    <w:p>
      <w:pPr>
        <w:pStyle w:val="BookText"/>
      </w:pPr>
      <w:r>
        <w:rPr>
          <w:rFonts w:ascii="IRNazanin" w:hAnsi="IRNazanin" w:eastAsia="IRNazanin" w:cs="IRNazanin"/>
          <w:lang w:bidi="fa-IR"/>
          <w:color w:val="111111"/>
          <w:sz w:val="28"/>
          <w:szCs w:val="28"/>
          <w:rtl/>
        </w:rPr>
        <w:t xml:space="preserve">قم؛ مرعشی؛ شماره نسخه: ۴۱۷۵</w:t>
      </w:r>
    </w:p>
    <w:p>
      <w:pPr>
        <w:pStyle w:val="BookText"/>
      </w:pPr>
      <w:r>
        <w:rPr>
          <w:rFonts w:ascii="IRNazanin" w:hAnsi="IRNazanin" w:eastAsia="IRNazanin" w:cs="IRNazanin"/>
          <w:lang w:bidi="fa-IR"/>
          <w:color w:val="111111"/>
          <w:sz w:val="28"/>
          <w:szCs w:val="28"/>
          <w:rtl/>
        </w:rPr>
        <w:t xml:space="preserve">آغاز: الفصل السادس و الثلاثون ... يا شمخيثا وتمشيئا و شخيثا ... تفسيرها بالعربية أنا الحى الباقى؛ انجام: و تحصیل مطلب حمد و معاون باشد بأمر الله تعالی و قدرته و توفیقه.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344" w:name="pg20365_260477"/>
    <w:bookmarkEnd w:id="344"/>
    <w:p>
      <w:pPr>
        <w:pStyle w:val="BookText"/>
      </w:pPr>
      <w:r>
        <w:rPr>
          <w:rFonts w:ascii="IRNazanin" w:hAnsi="IRNazanin" w:eastAsia="IRNazanin" w:cs="IRNazanin"/>
          <w:lang w:bidi="fa-IR"/>
          <w:color w:val="111111"/>
          <w:sz w:val="28"/>
          <w:szCs w:val="28"/>
          <w:rtl/>
        </w:rPr>
        <w:t xml:space="preserve">خط: نستعلیق، بی کا، بی تا ؛جلد: تیماج سبز بدون مقوا، ۸گ،  22سطر،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۱۱ - ۱۸۵]</w:t>
      </w:r>
    </w:p>
    <w:p>
      <w:pPr>
        <w:pStyle w:val="Heading3"/>
      </w:pPr>
      <w:bookmarkStart w:id="1654" w:name="_Toc1176"/>
      <w:r>
        <w:t>اسماء شهور رومیه موافق فصول / متفرقه / فارسی</w:t>
      </w:r>
      <w:bookmarkEnd w:id="1654"/>
    </w:p>
    <w:p>
      <w:pPr>
        <w:pStyle w:val="BookText"/>
      </w:pPr>
      <w:r>
        <w:rPr>
          <w:rFonts w:ascii="Times New Roman" w:hAnsi="Times New Roman" w:eastAsia="Times New Roman" w:cs="Times New Roman"/>
          <w:lang w:val="en-US" w:bidi="en-US"/>
          <w:color w:val="111111"/>
          <w:sz w:val="28"/>
          <w:szCs w:val="28"/>
          <w:rtl/>
        </w:rPr>
        <w:t xml:space="preserve">nā'-e šohūr rūmīye movāfeq-e fosul</w:t>
      </w:r>
    </w:p>
    <w:p>
      <w:pPr>
        <w:pStyle w:val="BookText"/>
      </w:pPr>
      <w:r>
        <w:rPr>
          <w:rFonts w:ascii="IRNazanin" w:hAnsi="IRNazanin" w:eastAsia="IRNazanin" w:cs="IRNazanin"/>
          <w:lang w:bidi="fa-IR"/>
          <w:color w:val="111111"/>
          <w:sz w:val="28"/>
          <w:szCs w:val="28"/>
          <w:rtl/>
        </w:rPr>
        <w:t xml:space="preserve">تهران؛ مجلس؛ شماره نسخه: ۸۹۰۴/۷۵</w:t>
      </w:r>
    </w:p>
    <w:p>
      <w:pPr>
        <w:pStyle w:val="BookText"/>
      </w:pPr>
      <w:r>
        <w:rPr>
          <w:rFonts w:ascii="IRNazanin" w:hAnsi="IRNazanin" w:eastAsia="IRNazanin" w:cs="IRNazanin"/>
          <w:lang w:bidi="fa-IR"/>
          <w:color w:val="111111"/>
          <w:sz w:val="28"/>
          <w:szCs w:val="28"/>
          <w:rtl/>
        </w:rPr>
        <w:t xml:space="preserve">به نظم و نثر؛ خط: نسخ و نستعلیق و تحریری، کا: علی بن ابراء مازندرانی، تا: با تاریخ ۱۰۷۵ق؛ کاغذ: نخودی نازک آهار مهـره ،جلد: تیماج قهوه ای ،مجدول اص (۵۵پ)، اندازه: ۱۴/۹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۲۸/۳سم [ف: ۲۹/۱ - ۲۸۵]</w:t>
      </w:r>
    </w:p>
    <w:p>
      <w:pPr>
        <w:pStyle w:val="Heading3"/>
      </w:pPr>
      <w:bookmarkStart w:id="1655" w:name="_Toc1177"/>
      <w:r>
        <w:t>اسماء الشياطين في سورة الفاتحة / قرائت / عربي</w:t>
      </w:r>
      <w:bookmarkEnd w:id="1655"/>
    </w:p>
    <w:p>
      <w:pPr>
        <w:pStyle w:val="BookText"/>
      </w:pPr>
      <w:r>
        <w:rPr>
          <w:rFonts w:ascii="Times New Roman" w:hAnsi="Times New Roman" w:eastAsia="Times New Roman" w:cs="Times New Roman"/>
          <w:lang w:val="en-US" w:bidi="en-US"/>
          <w:color w:val="111111"/>
          <w:sz w:val="28"/>
          <w:szCs w:val="28"/>
          <w:rtl/>
        </w:rPr>
        <w:t xml:space="preserve">asmā’-uš-šayāṭīn fī sūrat-il-fātiḥa</w:t>
      </w:r>
    </w:p>
    <w:p>
      <w:pPr>
        <w:pStyle w:val="BookText"/>
      </w:pPr>
      <w:r>
        <w:rPr>
          <w:rFonts w:ascii="IRNazanin" w:hAnsi="IRNazanin" w:eastAsia="IRNazanin" w:cs="IRNazanin"/>
          <w:lang w:bidi="fa-IR"/>
          <w:color w:val="111111"/>
          <w:sz w:val="28"/>
          <w:szCs w:val="28"/>
          <w:rtl/>
        </w:rPr>
        <w:t xml:space="preserve">جمال القرشي، محمد بن عمر ، ق ۷ قمری</w:t>
      </w:r>
    </w:p>
    <w:p>
      <w:pPr>
        <w:pStyle w:val="BookText"/>
      </w:pPr>
      <w:r>
        <w:rPr>
          <w:rFonts w:ascii="Times New Roman" w:hAnsi="Times New Roman" w:eastAsia="Times New Roman" w:cs="Times New Roman"/>
          <w:lang w:val="en-US" w:bidi="en-US"/>
          <w:color w:val="111111"/>
          <w:sz w:val="28"/>
          <w:szCs w:val="28"/>
          <w:rtl/>
        </w:rPr>
        <w:t xml:space="preserve">(jamāl al-qorašī, mohammad ebn-e ‘omar (- 13c)</w:t>
      </w:r>
    </w:p>
    <w:p>
      <w:pPr>
        <w:pStyle w:val="BookText"/>
      </w:pPr>
      <w:r>
        <w:rPr>
          <w:rFonts w:ascii="IRNazanin" w:hAnsi="IRNazanin" w:eastAsia="IRNazanin" w:cs="IRNazanin"/>
          <w:lang w:bidi="fa-IR"/>
          <w:color w:val="111111"/>
          <w:sz w:val="28"/>
          <w:szCs w:val="28"/>
          <w:rtl/>
        </w:rPr>
        <w:t xml:space="preserve">مؤلف گوید بعضی اعتقاد دارند که در سوره فاتحه نه نام از شیطان آمده است که عبارت است از «تلک ،دلل هرب .  مما کیو ،کنع ،مصر ،تعلی بعلی» و هر کس بدین الفاظ در نماز تلفظ کند نماز وی باطل  است، پس باید در هر کلمه یا جـمله وقف نمود تا به این نام ها تلفظ نشود. مؤلف در پاسخ این سخن انواع وقف را بیان می کند و نتیجه می گیرد که این سخن اساس  صحیح ندارد.</w:t>
      </w:r>
    </w:p>
    <w:p>
      <w:pPr>
        <w:pStyle w:val="BookText"/>
      </w:pPr>
      <w:r>
        <w:rPr>
          <w:rFonts w:ascii="IRNazanin" w:hAnsi="IRNazanin" w:eastAsia="IRNazanin" w:cs="IRNazanin"/>
          <w:lang w:bidi="fa-IR"/>
          <w:color w:val="111111"/>
          <w:sz w:val="28"/>
          <w:szCs w:val="28"/>
          <w:rtl/>
        </w:rPr>
        <w:t xml:space="preserve">آغاز: أحمد الله من فاتحة الأمر إلى خاتمة العمر وصلى الله عـلی نبيه المبعوث إلى السود و الحمر</w:t>
      </w:r>
    </w:p>
    <w:p>
      <w:pPr>
        <w:pStyle w:val="BookText"/>
      </w:pPr>
      <w:r>
        <w:rPr>
          <w:rFonts w:ascii="IRNazanin" w:hAnsi="IRNazanin" w:eastAsia="IRNazanin" w:cs="IRNazanin"/>
          <w:lang w:bidi="fa-IR"/>
          <w:color w:val="111111"/>
          <w:sz w:val="28"/>
          <w:szCs w:val="28"/>
          <w:rtl/>
        </w:rPr>
        <w:t xml:space="preserve">چاپ ،كلكتا، مطبعة مولای شیخ علار و مولوی مبروك  ، ۱۳۷۱ ص ۱۸۱۲م.</w:t>
      </w:r>
    </w:p>
    <w:p>
      <w:pPr>
        <w:pStyle w:val="BookText"/>
      </w:pPr>
      <w:r>
        <w:rPr>
          <w:rFonts w:ascii="IRNazanin" w:hAnsi="IRNazanin" w:eastAsia="IRNazanin" w:cs="IRNazanin"/>
          <w:lang w:bidi="fa-IR"/>
          <w:color w:val="111111"/>
          <w:sz w:val="28"/>
          <w:szCs w:val="28"/>
          <w:rtl/>
        </w:rPr>
        <w:t xml:space="preserve">قم؛ مرعشی؛ شماره نسخه: ۷۸۷/۱</w:t>
      </w:r>
    </w:p>
    <w:p>
      <w:pPr>
        <w:pStyle w:val="BookText"/>
      </w:pPr>
      <w:r>
        <w:rPr>
          <w:rFonts w:ascii="IRNazanin" w:hAnsi="IRNazanin" w:eastAsia="IRNazanin" w:cs="IRNazanin"/>
          <w:lang w:bidi="fa-IR"/>
          <w:color w:val="111111"/>
          <w:sz w:val="28"/>
          <w:szCs w:val="28"/>
          <w:rtl/>
        </w:rPr>
        <w:t xml:space="preserve">خط: نسخ ،نازیبا ،کا: حسام الدين بن  احمد ، بی تا ،جلد: مقوایی   عطف تیماج قهوه ای، ۱۴ سطر، اندازه: ۱۶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۲۴سم [ف ۲ - ۳۹۴ ]</w:t>
      </w:r>
    </w:p>
    <w:p>
      <w:pPr>
        <w:pStyle w:val="Heading3"/>
      </w:pPr>
      <w:bookmarkStart w:id="1656" w:name="_Toc1178"/>
      <w:r>
        <w:t>اسماء الضعفاء و الواضعين / رجال / عربی</w:t>
      </w:r>
      <w:bookmarkEnd w:id="1656"/>
    </w:p>
    <w:p>
      <w:pPr>
        <w:pStyle w:val="BookText"/>
      </w:pPr>
      <w:r>
        <w:rPr>
          <w:rFonts w:ascii="Times New Roman" w:hAnsi="Times New Roman" w:eastAsia="Times New Roman" w:cs="Times New Roman"/>
          <w:lang w:val="en-US" w:bidi="en-US"/>
          <w:color w:val="111111"/>
          <w:sz w:val="28"/>
          <w:szCs w:val="28"/>
          <w:rtl/>
        </w:rPr>
        <w:t xml:space="preserve">asmā’-uz-zu‘afā’ wa-l-wāḍi‘īn</w:t>
      </w:r>
    </w:p>
    <w:p>
      <w:pPr>
        <w:pStyle w:val="BookText"/>
      </w:pPr>
      <w:r>
        <w:rPr>
          <w:rFonts w:ascii="IRNazanin" w:hAnsi="IRNazanin" w:eastAsia="IRNazanin" w:cs="IRNazanin"/>
          <w:lang w:bidi="fa-IR"/>
          <w:color w:val="111111"/>
          <w:sz w:val="28"/>
          <w:szCs w:val="28"/>
          <w:rtl/>
        </w:rPr>
        <w:t xml:space="preserve">ابن جوزی، عبدالرحمن بن علی، ۲۵۰۸ – ۵۹۷ قمری</w:t>
      </w:r>
    </w:p>
    <w:p>
      <w:pPr>
        <w:pStyle w:val="BookText"/>
      </w:pPr>
      <w:r>
        <w:rPr>
          <w:rFonts w:ascii="Times New Roman" w:hAnsi="Times New Roman" w:eastAsia="Times New Roman" w:cs="Times New Roman"/>
          <w:lang w:val="en-US" w:bidi="en-US"/>
          <w:color w:val="111111"/>
          <w:sz w:val="28"/>
          <w:szCs w:val="28"/>
          <w:rtl/>
        </w:rPr>
        <w:t xml:space="preserve">(ebn-e jawzī, ‘abd-or-rahmān ebn-e ‘alī (1115 - 1201)</w:t>
      </w:r>
    </w:p>
    <w:p>
      <w:pPr>
        <w:pStyle w:val="BookText"/>
      </w:pPr>
      <w:r>
        <w:rPr>
          <w:rFonts w:ascii="IRNazanin" w:hAnsi="IRNazanin" w:eastAsia="IRNazanin" w:cs="IRNazanin"/>
          <w:lang w:bidi="fa-IR"/>
          <w:color w:val="111111"/>
          <w:sz w:val="28"/>
          <w:szCs w:val="28"/>
          <w:rtl/>
        </w:rPr>
        <w:t xml:space="preserve">مؤلف، بعد از تألیف «کتاب الموضوعات من الأحاديث» این کتاب را در بیان اسماء ضعفاء و آنها که حدیث جـعل می کرده اند نوشته و آن را به ترتیب حروف معجم مرتب نموده است. کشف الظنون ،از  آن تحت عنوان «الضعفاء و المتروكين» نام برده است. بروکلمان کتاب را با عنوان «الجرح و التعديـل» ذکر نموده و آن را با «الضعفاء والمتروکین» یکی دانسته اسـت (ذیل ۹۱۷/۱)؛ زرکلی آن را با عنوان «أسماء الضعفاءو الواضعین ثبت کرده است.</w:t>
      </w:r>
    </w:p>
    <w:p>
      <w:pPr>
        <w:pStyle w:val="BookText"/>
      </w:pPr>
      <w:r>
        <w:rPr>
          <w:rFonts w:ascii="Amiri" w:hAnsi="Amiri" w:eastAsia="Amiri" w:cs="Amiri"/>
          <w:lang w:bidi="ar-SA"/>
          <w:color w:val="111111"/>
          <w:sz w:val="28"/>
          <w:szCs w:val="28"/>
          <w:rtl/>
        </w:rPr>
        <w:t xml:space="preserve">آغاز: الحمد لله الذى ... و هذا كتاب اسماء الضعفاءالواضعين.</w:t>
      </w:r>
    </w:p>
    <w:p>
      <w:pPr>
        <w:pStyle w:val="BookText"/>
      </w:pPr>
      <w:r>
        <w:rPr>
          <w:rFonts w:ascii="Amiri" w:hAnsi="Amiri" w:eastAsia="Amiri" w:cs="Amiri"/>
          <w:lang w:bidi="ar-SA"/>
          <w:color w:val="111111"/>
          <w:sz w:val="28"/>
          <w:szCs w:val="28"/>
          <w:rtl/>
        </w:rPr>
        <w:t xml:space="preserve">انجام: ذكر من لا يعرف اسمه و لا كنية كنية ... الحديث، آخر  الكتاب.</w:t>
      </w:r>
    </w:p>
    <w:p>
      <w:pPr>
        <w:pStyle w:val="BookText"/>
      </w:pPr>
      <w:r>
        <w:rPr>
          <w:rFonts w:ascii="IRNazanin" w:hAnsi="IRNazanin" w:eastAsia="IRNazanin" w:cs="IRNazanin"/>
          <w:lang w:bidi="fa-IR"/>
          <w:color w:val="111111"/>
          <w:sz w:val="28"/>
          <w:szCs w:val="28"/>
          <w:rtl/>
        </w:rPr>
        <w:t xml:space="preserve">[كشف الظنون ۱۰۸۷/۲ ،اربری فهرست خطی عربی ۲/۸۸]</w:t>
      </w:r>
    </w:p>
    <w:p>
      <w:pPr>
        <w:pStyle w:val="BookText"/>
      </w:pPr>
      <w:r>
        <w:rPr>
          <w:rFonts w:ascii="IRNazanin" w:hAnsi="IRNazanin" w:eastAsia="IRNazanin" w:cs="IRNazanin"/>
          <w:lang w:bidi="fa-IR"/>
          <w:color w:val="111111"/>
          <w:sz w:val="28"/>
          <w:szCs w:val="28"/>
          <w:rtl/>
        </w:rPr>
        <w:t xml:space="preserve">قم؛ مرعشی؛ شماره نسخه: ۵۰۸ عکسی</w:t>
      </w:r>
    </w:p>
    <w:p>
      <w:pPr>
        <w:pStyle w:val="BookText"/>
      </w:pPr>
      <w:r>
        <w:rPr>
          <w:rFonts w:ascii="IRNazanin" w:hAnsi="IRNazanin" w:eastAsia="IRNazanin" w:cs="IRNazanin"/>
          <w:lang w:bidi="fa-IR"/>
          <w:color w:val="111111"/>
          <w:sz w:val="28"/>
          <w:szCs w:val="28"/>
          <w:rtl/>
        </w:rPr>
        <w:t xml:space="preserve">آغاز: الحمد لله الذى ... و هذا كتاب اسماء الضعفاء الواضعين؛ انجام: ذكر من لا يعرف اسمه و لا كنية ... الحديث آخر الكتاب. نسخه اصل: چستر بیتی دبلین، ش ۳۴۵۴؛ خط: نسخ، کا: عبد القادر بن محمد بن محمد بن نصر الله حنفی قادری، تا: قرن ۷ در روز شنبه ۷ صفر ۷۱۷ق نسخه را تکمیل نموده؛ محشی  ؛ ۱۳۷گ [عکسی ف: ۲ - ۹]</w:t>
      </w:r>
    </w:p>
    <w:p>
      <w:pPr>
        <w:pStyle w:val="Heading3"/>
      </w:pPr>
      <w:bookmarkStart w:id="1657" w:name="_Toc1179"/>
      <w:r>
        <w:t>اسماء عالم / فلسفه / فارسی</w:t>
      </w:r>
      <w:bookmarkEnd w:id="1657"/>
    </w:p>
    <w:p>
      <w:pPr>
        <w:pStyle w:val="BookText"/>
      </w:pPr>
      <w:r>
        <w:rPr>
          <w:rFonts w:ascii="Times New Roman" w:hAnsi="Times New Roman" w:eastAsia="Times New Roman" w:cs="Times New Roman"/>
          <w:lang w:val="en-US" w:bidi="en-US"/>
          <w:color w:val="111111"/>
          <w:sz w:val="28"/>
          <w:szCs w:val="28"/>
          <w:rtl/>
        </w:rPr>
        <w:t xml:space="preserve">asmā’-e ‘ālam</w:t>
      </w:r>
    </w:p>
    <w:p>
      <w:pPr>
        <w:pStyle w:val="BookText"/>
      </w:pPr>
      <w:r>
        <w:rPr>
          <w:rFonts w:ascii="IRNazanin" w:hAnsi="IRNazanin" w:eastAsia="IRNazanin" w:cs="IRNazanin"/>
          <w:lang w:bidi="fa-IR"/>
          <w:color w:val="111111"/>
          <w:sz w:val="28"/>
          <w:szCs w:val="28"/>
          <w:rtl/>
        </w:rPr>
        <w:t xml:space="preserve">رمال  شیرازی، ناصر بن  حیدر، ق ۷ قمری</w:t>
      </w:r>
    </w:p>
    <w:p>
      <w:pPr>
        <w:pStyle w:val="BookText"/>
      </w:pPr>
      <w:r>
        <w:rPr>
          <w:rFonts w:ascii="Times New Roman" w:hAnsi="Times New Roman" w:eastAsia="Times New Roman" w:cs="Times New Roman"/>
          <w:lang w:val="en-US" w:bidi="en-US"/>
          <w:color w:val="111111"/>
          <w:sz w:val="28"/>
          <w:szCs w:val="28"/>
          <w:rtl/>
        </w:rPr>
        <w:t xml:space="preserve">(rammāl-e šīrāzī, nāser ebn-e heydar (- 13c)</w:t>
      </w:r>
    </w:p>
    <w:p>
      <w:pPr>
        <w:pStyle w:val="BookText"/>
      </w:pPr>
      <w:r>
        <w:rPr>
          <w:rFonts w:ascii="IRNazanin" w:hAnsi="IRNazanin" w:eastAsia="IRNazanin" w:cs="IRNazanin"/>
          <w:lang w:bidi="fa-IR"/>
          <w:color w:val="111111"/>
          <w:sz w:val="28"/>
          <w:szCs w:val="28"/>
          <w:rtl/>
        </w:rPr>
        <w:t xml:space="preserve">تاریخ تألیف: ۶۸۰ق</w:t>
      </w:r>
    </w:p>
    <w:p>
      <w:pPr>
        <w:pStyle w:val="BookText"/>
      </w:pPr>
      <w:r>
        <w:rPr>
          <w:rFonts w:ascii="IRNazanin" w:hAnsi="IRNazanin" w:eastAsia="IRNazanin" w:cs="IRNazanin"/>
          <w:lang w:bidi="fa-IR"/>
          <w:color w:val="111111"/>
          <w:sz w:val="28"/>
          <w:szCs w:val="28"/>
          <w:rtl/>
        </w:rPr>
        <w:t xml:space="preserve">مشهد؛ رضوی؛ شماره نسخه: ۵۶۳۲/۱۱</w:t>
      </w:r>
    </w:p>
    <w:p>
      <w:pPr>
        <w:pStyle w:val="BookText"/>
      </w:pPr>
      <w:r>
        <w:rPr>
          <w:rFonts w:ascii="IRNazanin" w:hAnsi="IRNazanin" w:eastAsia="IRNazanin" w:cs="IRNazanin"/>
          <w:lang w:bidi="fa-IR"/>
          <w:color w:val="111111"/>
          <w:sz w:val="28"/>
          <w:szCs w:val="28"/>
          <w:rtl/>
        </w:rPr>
        <w:t xml:space="preserve">آغاز: رساله در اسماء عالم مقصود آن است که ذکر اجسام کلی و بسیط کند ،بسمله بدان که عالم زمین است با حیوان و معادن و نبات و آتش و باد و آب و افلاک و کواکب و جسم مطلق و نفسهایی که این جمله قایم می دارند؛ انجام: از حیوانات و نبات بحيوة حيواني و نباتی اند</w:t>
      </w:r>
    </w:p>
    <w:p>
      <w:pPr>
        <w:pStyle w:val="BookText"/>
      </w:pPr>
      <w:r>
        <w:rPr>
          <w:rFonts w:ascii="IRNazanin" w:hAnsi="IRNazanin" w:eastAsia="IRNazanin" w:cs="IRNazanin"/>
          <w:lang w:bidi="fa-IR"/>
          <w:color w:val="111111"/>
          <w:sz w:val="28"/>
          <w:szCs w:val="28"/>
          <w:rtl/>
        </w:rPr>
        <w:t xml:space="preserve">خط: نسخ، كاتب - مؤلف، تا: ۶۸۰ق؛ کاغذ: حنایی آب دیده، :جلد: چرمی عنابی ضربی، ۴ ص (۱۴۳-۱۴۶)،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۲۱/۸سم [ف: ۸ - ۴۴۱]</w:t>
      </w:r>
    </w:p>
    <w:p>
      <w:pPr>
        <w:pStyle w:val="Heading3"/>
      </w:pPr>
      <w:bookmarkStart w:id="1658" w:name="_Toc1180"/>
      <w:r>
        <w:t>اسماء غير معرف بالف و لام / صرف / فارسی</w:t>
      </w:r>
      <w:bookmarkEnd w:id="1658"/>
    </w:p>
    <w:p>
      <w:pPr>
        <w:pStyle w:val="BookText"/>
      </w:pPr>
      <w:r>
        <w:rPr>
          <w:rFonts w:ascii="Times New Roman" w:hAnsi="Times New Roman" w:eastAsia="Times New Roman" w:cs="Times New Roman"/>
          <w:lang w:val="en-US" w:bidi="en-US"/>
          <w:color w:val="111111"/>
          <w:sz w:val="28"/>
          <w:szCs w:val="28"/>
          <w:rtl/>
        </w:rPr>
        <w:t xml:space="preserve">asmā'-e qeyr-e mo‘arraf be-alef va lām</w:t>
      </w:r>
    </w:p>
    <w:p>
      <w:pPr>
        <w:pStyle w:val="BookText"/>
      </w:pPr>
      <w:r>
        <w:rPr>
          <w:rFonts w:ascii="IRNazanin" w:hAnsi="IRNazanin" w:eastAsia="IRNazanin" w:cs="IRNazanin"/>
          <w:lang w:bidi="fa-IR"/>
          <w:color w:val="111111"/>
          <w:sz w:val="28"/>
          <w:szCs w:val="28"/>
          <w:rtl/>
        </w:rPr>
        <w:t xml:space="preserve">تاریخ تألیف: شاید ۱۲۸۹ق</w:t>
      </w:r>
    </w:p>
    <w:p>
      <w:pPr>
        <w:pStyle w:val="BookText"/>
      </w:pPr>
      <w:r>
        <w:rPr>
          <w:rFonts w:ascii="IRNazanin" w:hAnsi="IRNazanin" w:eastAsia="IRNazanin" w:cs="IRNazanin"/>
          <w:lang w:bidi="fa-IR"/>
          <w:color w:val="111111"/>
          <w:sz w:val="28"/>
          <w:szCs w:val="28"/>
          <w:rtl/>
        </w:rPr>
        <w:t xml:space="preserve">در این رساله اسمائی از زبان عربی آمده که حرف تعریف یعنی الف و لام بر سر آنها در نمی آید این کلمات بر حسب ترتیب حرف اول آن از الف تا یاء مرتب شده است.</w:t>
      </w:r>
    </w:p>
    <w:p>
      <w:pPr>
        <w:pStyle w:val="BookText"/>
      </w:pPr>
      <w:r>
        <w:rPr>
          <w:rFonts w:ascii="IRNazanin" w:hAnsi="IRNazanin" w:eastAsia="IRNazanin" w:cs="IRNazanin"/>
          <w:lang w:bidi="fa-IR"/>
          <w:color w:val="111111"/>
          <w:sz w:val="28"/>
          <w:szCs w:val="28"/>
          <w:rtl/>
        </w:rPr>
        <w:t xml:space="preserve">تهران ملی؛ شماره نسخه: ۲۸۱۹/۶</w:t>
      </w:r>
    </w:p>
    <w:p>
      <w:pPr>
        <w:pStyle w:val="BookText"/>
      </w:pPr>
      <w:r>
        <w:rPr>
          <w:rFonts w:ascii="IRNazanin" w:hAnsi="IRNazanin" w:eastAsia="IRNazanin" w:cs="IRNazanin"/>
          <w:lang w:bidi="fa-IR"/>
          <w:color w:val="111111"/>
          <w:sz w:val="28"/>
          <w:szCs w:val="28"/>
          <w:rtl/>
        </w:rPr>
        <w:t xml:space="preserve">آغاز: بسمله، در بیان آنکه اسمائیکه بآنها الف تعريف داخل نمی شود؛ انجام: یعقوب على نبينا عليه السلام تمام شد في يوم چهارشنبه ۱۲۸۹</w:t>
      </w:r>
    </w:p>
    <w:p>
      <w:pPr>
        <w:pStyle w:val="BookText"/>
      </w:pPr>
      <w:r>
        <w:rPr>
          <w:rFonts w:ascii="IRNazanin" w:hAnsi="IRNazanin" w:eastAsia="IRNazanin" w:cs="IRNazanin"/>
          <w:lang w:bidi="fa-IR"/>
          <w:color w:val="111111"/>
          <w:sz w:val="28"/>
          <w:szCs w:val="28"/>
          <w:rtl/>
        </w:rPr>
        <w:t xml:space="preserve">خط: نستعلیق، بی کا ،تا: ۱۲۸۹ق؛ کاغذ: فرنگی، جلد:تیماج ،ماشی یک لا، داخل تیماج ،قرمز ۵ص (۱۷۰-۱۷۴)، ۱۱ سطر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345" w:name="pg20365_260478"/>
    <w:bookmarkEnd w:id="345"/>
    <w:p>
      <w:pPr>
        <w:pStyle w:val="BookText"/>
      </w:pPr>
      <w:r>
        <w:rPr>
          <w:rFonts w:ascii="IRNazanin" w:hAnsi="IRNazanin" w:eastAsia="IRNazanin" w:cs="IRNazanin"/>
          <w:lang w:bidi="fa-IR"/>
          <w:color w:val="111111"/>
          <w:sz w:val="28"/>
          <w:szCs w:val="28"/>
          <w:rtl/>
        </w:rPr>
        <w:t xml:space="preserve">(۱۰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۱۴/۵سم [ف: ۶ - ۴۵۲]</w:t>
      </w:r>
    </w:p>
    <w:p>
      <w:pPr>
        <w:pStyle w:val="BookText"/>
      </w:pPr>
      <w:r>
        <w:rPr>
          <w:rFonts w:ascii="Amiri" w:hAnsi="Amiri" w:eastAsia="Amiri" w:cs="Amiri"/>
          <w:lang w:bidi="ar-SA"/>
          <w:color w:val="111111"/>
          <w:sz w:val="28"/>
          <w:szCs w:val="28"/>
          <w:rtl/>
        </w:rPr>
        <w:t xml:space="preserve">«اسماء الفلاسفه » سمر  الفلاسفة</w:t>
      </w:r>
    </w:p>
    <w:p>
      <w:pPr>
        <w:pStyle w:val="Heading3"/>
      </w:pPr>
      <w:bookmarkStart w:id="1659" w:name="_Toc1181"/>
      <w:r>
        <w:t>اسماء القراء / قرائت / عربی</w:t>
      </w:r>
      <w:bookmarkEnd w:id="1659"/>
    </w:p>
    <w:p>
      <w:pPr>
        <w:pStyle w:val="BookText"/>
      </w:pPr>
      <w:r>
        <w:rPr>
          <w:rFonts w:ascii="Times New Roman" w:hAnsi="Times New Roman" w:eastAsia="Times New Roman" w:cs="Times New Roman"/>
          <w:lang w:val="en-US" w:bidi="en-US"/>
          <w:color w:val="111111"/>
          <w:sz w:val="28"/>
          <w:szCs w:val="28"/>
          <w:rtl/>
        </w:rPr>
        <w:t xml:space="preserve">asmā’-ul qurrā’</w:t>
      </w:r>
    </w:p>
    <w:p>
      <w:pPr>
        <w:pStyle w:val="BookText"/>
      </w:pPr>
      <w:r>
        <w:rPr>
          <w:rFonts w:ascii="IRNazanin" w:hAnsi="IRNazanin" w:eastAsia="IRNazanin" w:cs="IRNazanin"/>
          <w:lang w:bidi="fa-IR"/>
          <w:color w:val="111111"/>
          <w:sz w:val="28"/>
          <w:szCs w:val="28"/>
          <w:rtl/>
        </w:rPr>
        <w:t xml:space="preserve">تهران؛ مجلس؛ شماره نسخه ۱۱۹۸۴/۱</w:t>
      </w:r>
    </w:p>
    <w:p>
      <w:pPr>
        <w:pStyle w:val="BookText"/>
      </w:pPr>
      <w:r>
        <w:rPr>
          <w:rFonts w:ascii="IRNazanin" w:hAnsi="IRNazanin" w:eastAsia="IRNazanin" w:cs="IRNazanin"/>
          <w:lang w:bidi="fa-IR"/>
          <w:color w:val="111111"/>
          <w:sz w:val="28"/>
          <w:szCs w:val="28"/>
          <w:rtl/>
        </w:rPr>
        <w:t xml:space="preserve">جداول اسماء قراء؛ خط: ثلث، بی کا، تا: قرن ۸[ مختصر - ف: 224]</w:t>
      </w:r>
    </w:p>
    <w:p>
      <w:pPr>
        <w:pStyle w:val="Heading3"/>
      </w:pPr>
      <w:bookmarkStart w:id="1660" w:name="_Toc1182"/>
      <w:r>
        <w:t>اسماء القراء العشرة (جدول) / قرائت / عربی</w:t>
      </w:r>
      <w:bookmarkEnd w:id="1660"/>
    </w:p>
    <w:p>
      <w:pPr>
        <w:pStyle w:val="BookText"/>
      </w:pPr>
      <w:r>
        <w:rPr>
          <w:rFonts w:ascii="Times New Roman" w:hAnsi="Times New Roman" w:eastAsia="Times New Roman" w:cs="Times New Roman"/>
          <w:lang w:val="en-US" w:bidi="en-US"/>
          <w:color w:val="111111"/>
          <w:sz w:val="28"/>
          <w:szCs w:val="28"/>
          <w:rtl/>
        </w:rPr>
        <w:t xml:space="preserve">(asmā’-ul qurrā’-il ‘ašara (jadwal)</w:t>
      </w:r>
    </w:p>
    <w:p>
      <w:pPr>
        <w:pStyle w:val="BookText"/>
      </w:pPr>
      <w:r>
        <w:rPr>
          <w:rFonts w:ascii="IRNazanin" w:hAnsi="IRNazanin" w:eastAsia="IRNazanin" w:cs="IRNazanin"/>
          <w:lang w:bidi="fa-IR"/>
          <w:color w:val="111111"/>
          <w:sz w:val="28"/>
          <w:szCs w:val="28"/>
          <w:rtl/>
        </w:rPr>
        <w:t xml:space="preserve">تهران؛ مجلس؛ شماره نسخه: ۵۲۹/۱۰</w:t>
      </w:r>
    </w:p>
    <w:p>
      <w:pPr>
        <w:pStyle w:val="BookText"/>
      </w:pPr>
      <w:r>
        <w:rPr>
          <w:rFonts w:ascii="IRNazanin" w:hAnsi="IRNazanin" w:eastAsia="IRNazanin" w:cs="IRNazanin"/>
          <w:lang w:bidi="fa-IR"/>
          <w:color w:val="111111"/>
          <w:sz w:val="28"/>
          <w:szCs w:val="28"/>
          <w:rtl/>
        </w:rPr>
        <w:t xml:space="preserve">اسماء القراء العشرة بطريق الطيبة و النشر للجرزی؛ بی کا، تا: قرن۱۰؛ کاغذ: سفید، جلد: تیماج آلبالویی ضربی مقوایی با ترنج، ۳ ص(۲۲۷-۲۲۶)، ابعاد متن: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اندازه: ۱۵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۲۳سم [سنا - ف: ۱ - 328]</w:t>
      </w:r>
    </w:p>
    <w:p>
      <w:pPr>
        <w:pStyle w:val="Heading3"/>
      </w:pPr>
      <w:bookmarkStart w:id="1661" w:name="_Toc1183"/>
      <w:r>
        <w:t>اسماء الكتب الموجودة فى الازهر/ فهرست / عربی</w:t>
      </w:r>
      <w:bookmarkEnd w:id="1661"/>
    </w:p>
    <w:p>
      <w:pPr>
        <w:pStyle w:val="BookText"/>
      </w:pPr>
      <w:r>
        <w:rPr>
          <w:rFonts w:ascii="Times New Roman" w:hAnsi="Times New Roman" w:eastAsia="Times New Roman" w:cs="Times New Roman"/>
          <w:lang w:val="en-US" w:bidi="en-US"/>
          <w:color w:val="111111"/>
          <w:sz w:val="28"/>
          <w:szCs w:val="28"/>
          <w:rtl/>
        </w:rPr>
        <w:t xml:space="preserve">asmā’-ul kutub-il mawjūda fī al-azhar</w:t>
      </w:r>
    </w:p>
    <w:p>
      <w:pPr>
        <w:pStyle w:val="BookText"/>
      </w:pPr>
      <w:r>
        <w:rPr>
          <w:rFonts w:ascii="IRNazanin" w:hAnsi="IRNazanin" w:eastAsia="IRNazanin" w:cs="IRNazanin"/>
          <w:lang w:bidi="fa-IR"/>
          <w:color w:val="111111"/>
          <w:sz w:val="28"/>
          <w:szCs w:val="28"/>
          <w:rtl/>
        </w:rPr>
        <w:t xml:space="preserve">فهرست مختصر و موضوعی چند کتابخانه در الازهر مصر اسـت: «فهذا مجموع يشتمل على اسماء الكتب الكانة (كذا) فى الازهر و غيره من المدارس البرائية (كذا) كمدرسة محمد بيك ابی الذهب و مدرسة شيخون و خلافها من تفسیر و تجوید و قراءات و ما يتعلف (كذا ): يتعلق بالقرآن ويشتمل على اسماء كتب الحديث و شروح الحديث و اصطلاح الحديث و سائر ما يتعلف (كذا: يتعلق) بالاحاديث النبوية و يشتمل ايضاً على ما يتعلق بالاصول و ما يشتمل عليها على الفقه و متون الفقه و شراح الـفقه على المذاهب و يشتمل على علم التصوف والمواعظ و التواریخ وعلم الطب و علم النحو و شراح الجميع و على رسايل فارسیة و رسائل في المعانى و البيان و كامل ما يتعلف (كذا) بالعلوم من كل فن من فنونه».</w:t>
      </w:r>
    </w:p>
    <w:p>
      <w:pPr>
        <w:pStyle w:val="BookText"/>
      </w:pPr>
      <w:r>
        <w:rPr>
          <w:rFonts w:ascii="IRNazanin" w:hAnsi="IRNazanin" w:eastAsia="IRNazanin" w:cs="IRNazanin"/>
          <w:lang w:bidi="fa-IR"/>
          <w:color w:val="111111"/>
          <w:sz w:val="28"/>
          <w:szCs w:val="28"/>
          <w:rtl/>
        </w:rPr>
        <w:t xml:space="preserve">مشهد؛ رضوی؛ شماره نسخه: ض ۲۱۸۳۱</w:t>
      </w:r>
    </w:p>
    <w:p>
      <w:pPr>
        <w:pStyle w:val="BookText"/>
      </w:pPr>
      <w:r>
        <w:rPr>
          <w:rFonts w:ascii="IRNazanin" w:hAnsi="IRNazanin" w:eastAsia="IRNazanin" w:cs="IRNazanin"/>
          <w:lang w:bidi="fa-IR"/>
          <w:color w:val="111111"/>
          <w:sz w:val="28"/>
          <w:szCs w:val="28"/>
          <w:rtl/>
        </w:rPr>
        <w:t xml:space="preserve">آغاز: الحمد لله رب العالمين و العاقبة للمتقين و لا عدوان الا علی الظالمين والصلوة والسلام على... و بعد فهذا مجموع؛ انجـام: ۱۰۹۸ حاشية الامير على شذور الذهب. ۱۰۹۹. سيبويه المشهـور صاحب الكتاب.</w:t>
      </w:r>
    </w:p>
    <w:p>
      <w:pPr>
        <w:pStyle w:val="BookText"/>
      </w:pPr>
      <w:r>
        <w:rPr>
          <w:rFonts w:ascii="IRNazanin" w:hAnsi="IRNazanin" w:eastAsia="IRNazanin" w:cs="IRNazanin"/>
          <w:lang w:bidi="fa-IR"/>
          <w:color w:val="111111"/>
          <w:sz w:val="28"/>
          <w:szCs w:val="28"/>
          <w:rtl/>
        </w:rPr>
        <w:t xml:space="preserve">خط: نستعلیق، بی کا، تا: قرن ۱۳؛ برگ های ۱۳۸ ر - ۱۴۱ر تکـرار چند صفحه ابتدایی کتاب است؛ اهدایی  رهبری، خرداد 1272؛کاغذ:فرنگی ،حنایی ،جلد: مقوا رویه مشمع مشکی، ۴۶ (۸۷ر - ۱۳۲ر)، ۱۵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۳۱/۵سم [اهدائی رهبر: 8- 508]</w:t>
      </w:r>
    </w:p>
    <w:p>
      <w:pPr>
        <w:pStyle w:val="Heading3"/>
      </w:pPr>
      <w:bookmarkStart w:id="1662" w:name="_Toc1184"/>
      <w:r>
        <w:t>اسماء کلمه توحيد / اسماء الله / فارسی</w:t>
      </w:r>
      <w:bookmarkEnd w:id="1662"/>
    </w:p>
    <w:p>
      <w:pPr>
        <w:pStyle w:val="BookText"/>
      </w:pPr>
      <w:r>
        <w:rPr>
          <w:rFonts w:ascii="Times New Roman" w:hAnsi="Times New Roman" w:eastAsia="Times New Roman" w:cs="Times New Roman"/>
          <w:lang w:val="en-US" w:bidi="en-US"/>
          <w:color w:val="111111"/>
          <w:sz w:val="28"/>
          <w:szCs w:val="28"/>
          <w:rtl/>
        </w:rPr>
        <w:t xml:space="preserve">asmā’-e kalame-ye towhīd</w:t>
      </w:r>
    </w:p>
    <w:p>
      <w:pPr>
        <w:pStyle w:val="BookText"/>
      </w:pPr>
      <w:r>
        <w:rPr>
          <w:rFonts w:ascii="Amiri" w:hAnsi="Amiri" w:eastAsia="Amiri" w:cs="Amiri"/>
          <w:lang w:bidi="ar-SA"/>
          <w:color w:val="111111"/>
          <w:sz w:val="28"/>
          <w:szCs w:val="28"/>
          <w:rtl/>
        </w:rPr>
        <w:t xml:space="preserve">احمد بن حسين</w:t>
      </w:r>
    </w:p>
    <w:p>
      <w:pPr>
        <w:pStyle w:val="BookText"/>
      </w:pPr>
      <w:r>
        <w:rPr>
          <w:rFonts w:ascii="Times New Roman" w:hAnsi="Times New Roman" w:eastAsia="Times New Roman" w:cs="Times New Roman"/>
          <w:lang w:val="en-US" w:bidi="en-US"/>
          <w:color w:val="111111"/>
          <w:sz w:val="28"/>
          <w:szCs w:val="28"/>
          <w:rtl/>
        </w:rPr>
        <w:t xml:space="preserve">ahmad ebn-e hoseyn</w:t>
      </w:r>
    </w:p>
    <w:p>
      <w:pPr>
        <w:pStyle w:val="BookText"/>
      </w:pPr>
      <w:r>
        <w:rPr>
          <w:rFonts w:ascii="IRNazanin" w:hAnsi="IRNazanin" w:eastAsia="IRNazanin" w:cs="IRNazanin"/>
          <w:lang w:bidi="fa-IR"/>
          <w:color w:val="111111"/>
          <w:sz w:val="28"/>
          <w:szCs w:val="28"/>
          <w:rtl/>
        </w:rPr>
        <w:t xml:space="preserve">در این رساله اسماء كلمه توحید و خواص و آثار هر کدام را بیان نموده است. او این کتاب را در پاسخ آصفی از کلمة التقوی نگاشته و در آن از «اسرار التنزيل» فخر رازی نقل نموده است.</w:t>
      </w:r>
    </w:p>
    <w:p>
      <w:pPr>
        <w:pStyle w:val="BookText"/>
      </w:pPr>
      <w:r>
        <w:rPr>
          <w:rFonts w:ascii="IRNazanin" w:hAnsi="IRNazanin" w:eastAsia="IRNazanin" w:cs="IRNazanin"/>
          <w:lang w:bidi="fa-IR"/>
          <w:color w:val="111111"/>
          <w:sz w:val="28"/>
          <w:szCs w:val="28"/>
          <w:rtl/>
        </w:rPr>
        <w:t xml:space="preserve">تهران؛ مجلس؛ شماره نسخه: ۱۴۳۷۴/۸</w:t>
      </w:r>
    </w:p>
    <w:p>
      <w:pPr>
        <w:pStyle w:val="BookText"/>
      </w:pPr>
      <w:r>
        <w:rPr>
          <w:rFonts w:ascii="IRNazanin" w:hAnsi="IRNazanin" w:eastAsia="IRNazanin" w:cs="IRNazanin"/>
          <w:lang w:bidi="fa-IR"/>
          <w:color w:val="111111"/>
          <w:sz w:val="28"/>
          <w:szCs w:val="28"/>
          <w:rtl/>
        </w:rPr>
        <w:t xml:space="preserve">آغاز:لا هم نصير باسمك المرغوب *** في الدين مظفر بن المطلوب / بلغ من عبدك السلم الاوفى *** احمد يا رب الى رسولك المحبوب. و بعد يقول محدث الاخبار احمد... جواب سؤالی که حضرت آصفی از کلمة التقوى؛ انجام: موجب سعادت دارین است بعد از ایقان نظر معلوم شود. مرد باید که بر تواند برد *** ورنه عالم پر از نسیم صباست</w:t>
      </w:r>
    </w:p>
    <w:p>
      <w:pPr>
        <w:pStyle w:val="BookText"/>
      </w:pPr>
      <w:r>
        <w:rPr>
          <w:rFonts w:ascii="IRNazanin" w:hAnsi="IRNazanin" w:eastAsia="IRNazanin" w:cs="IRNazanin"/>
          <w:lang w:bidi="fa-IR"/>
          <w:color w:val="111111"/>
          <w:sz w:val="28"/>
          <w:szCs w:val="28"/>
          <w:rtl/>
        </w:rPr>
        <w:t xml:space="preserve">خط: نسخ، بی کا، بی تا، بی کا، بی تا :جلد" مقوایی قهوه ای عطف تیماج، ۲۲گ (۳۴ پ -۵۵پ)، ۱۷ 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۳۸  - 503]</w:t>
      </w:r>
    </w:p>
    <w:p>
      <w:pPr>
        <w:pStyle w:val="Heading3"/>
      </w:pPr>
      <w:bookmarkStart w:id="1663" w:name="_Toc1185"/>
      <w:r>
        <w:t>اسماء اللغة در شرح غزوات حضرت امیر / تاریخ  معصومین / فارسی</w:t>
      </w:r>
      <w:bookmarkEnd w:id="1663"/>
    </w:p>
    <w:p>
      <w:pPr>
        <w:pStyle w:val="BookText"/>
      </w:pPr>
      <w:r>
        <w:rPr>
          <w:rFonts w:ascii="Times New Roman" w:hAnsi="Times New Roman" w:eastAsia="Times New Roman" w:cs="Times New Roman"/>
          <w:lang w:val="en-US" w:bidi="en-US"/>
          <w:color w:val="111111"/>
          <w:sz w:val="28"/>
          <w:szCs w:val="28"/>
          <w:rtl/>
        </w:rPr>
        <w:t xml:space="preserve">asmā❜-ol-loqat dar s.-e qazavat-e hazrat-e amīr</w:t>
      </w:r>
    </w:p>
    <w:p>
      <w:pPr>
        <w:pStyle w:val="BookText"/>
      </w:pPr>
      <w:r>
        <w:rPr>
          <w:rFonts w:ascii="IRNazanin" w:hAnsi="IRNazanin" w:eastAsia="IRNazanin" w:cs="IRNazanin"/>
          <w:lang w:bidi="fa-IR"/>
          <w:color w:val="111111"/>
          <w:sz w:val="28"/>
          <w:szCs w:val="28"/>
          <w:rtl/>
        </w:rPr>
        <w:t xml:space="preserve">تهران؛ ملی؛ شماره نسخه: ۲۵۹۸۹</w:t>
      </w:r>
    </w:p>
    <w:p>
      <w:pPr>
        <w:pStyle w:val="BookText"/>
      </w:pPr>
      <w:r>
        <w:rPr>
          <w:rFonts w:ascii="IRNazanin" w:hAnsi="IRNazanin" w:eastAsia="IRNazanin" w:cs="IRNazanin"/>
          <w:lang w:bidi="fa-IR"/>
          <w:color w:val="111111"/>
          <w:sz w:val="28"/>
          <w:szCs w:val="28"/>
          <w:rtl/>
        </w:rPr>
        <w:t xml:space="preserve">بی کا، بی تا، خریداری از حوزه علمیه ولی عصر کرمان [رایانه]</w:t>
      </w:r>
    </w:p>
    <w:p>
      <w:pPr>
        <w:pStyle w:val="Heading3"/>
      </w:pPr>
      <w:bookmarkStart w:id="1664" w:name="_Toc1186"/>
      <w:r>
        <w:t>الأسماء المبهمة فى الأنباء المحكمة / رجال / عربي</w:t>
      </w:r>
      <w:bookmarkEnd w:id="1664"/>
    </w:p>
    <w:p>
      <w:pPr>
        <w:pStyle w:val="BookText"/>
      </w:pPr>
      <w:r>
        <w:rPr>
          <w:rFonts w:ascii="Times New Roman" w:hAnsi="Times New Roman" w:eastAsia="Times New Roman" w:cs="Times New Roman"/>
          <w:lang w:val="en-US" w:bidi="en-US"/>
          <w:color w:val="111111"/>
          <w:sz w:val="28"/>
          <w:szCs w:val="28"/>
          <w:rtl/>
        </w:rPr>
        <w:t xml:space="preserve">al-a'smā'-ul mubhama fi-l 'anbā'-il muḥkama</w:t>
      </w:r>
    </w:p>
    <w:p>
      <w:pPr>
        <w:pStyle w:val="BookText"/>
      </w:pPr>
      <w:r>
        <w:rPr>
          <w:rFonts w:ascii="IRNazanin" w:hAnsi="IRNazanin" w:eastAsia="IRNazanin" w:cs="IRNazanin"/>
          <w:lang w:bidi="fa-IR"/>
          <w:color w:val="111111"/>
          <w:sz w:val="28"/>
          <w:szCs w:val="28"/>
          <w:rtl/>
        </w:rPr>
        <w:t xml:space="preserve">خطیب بغدادی، احمد بن علی ۳۹۲؟ - ۴۶۳ قمری</w:t>
      </w:r>
    </w:p>
    <w:p>
      <w:pPr>
        <w:pStyle w:val="BookText"/>
      </w:pPr>
      <w:r>
        <w:rPr>
          <w:rFonts w:ascii="Times New Roman" w:hAnsi="Times New Roman" w:eastAsia="Times New Roman" w:cs="Times New Roman"/>
          <w:lang w:val="en-US" w:bidi="en-US"/>
          <w:color w:val="111111"/>
          <w:sz w:val="28"/>
          <w:szCs w:val="28"/>
          <w:rtl/>
        </w:rPr>
        <w:t xml:space="preserve">(xatīb-e baqdādī, ahmad ebn-e ‘alī (1003 - 1071)</w:t>
      </w:r>
    </w:p>
    <w:p>
      <w:pPr>
        <w:pStyle w:val="BookText"/>
      </w:pPr>
      <w:r>
        <w:rPr>
          <w:rFonts w:ascii="IRNazanin" w:hAnsi="IRNazanin" w:eastAsia="IRNazanin" w:cs="IRNazanin"/>
          <w:lang w:bidi="fa-IR"/>
          <w:color w:val="111111"/>
          <w:sz w:val="28"/>
          <w:szCs w:val="28"/>
          <w:rtl/>
        </w:rPr>
        <w:t xml:space="preserve">کتابی در هشت جزء به ترتیب حروف معجم در بیان اسماء مردان و زنانی که نام آنان در متن بسیاری از احادیث مبهم مانده است.</w:t>
      </w:r>
    </w:p>
    <w:p>
      <w:pPr>
        <w:pStyle w:val="BookText"/>
      </w:pPr>
      <w:r>
        <w:rPr>
          <w:rFonts w:ascii="Amiri" w:hAnsi="Amiri" w:eastAsia="Amiri" w:cs="Amiri"/>
          <w:lang w:bidi="ar-SA"/>
          <w:color w:val="111111"/>
          <w:sz w:val="28"/>
          <w:szCs w:val="28"/>
          <w:rtl/>
        </w:rPr>
        <w:t xml:space="preserve">آغاز: اخبرنا الشيخ الامام ابوبكر احمد بن على بن ثابت الخطيب قرائة بلفظه من اصله.</w:t>
      </w:r>
    </w:p>
    <w:p>
      <w:pPr>
        <w:pStyle w:val="BookText"/>
      </w:pPr>
      <w:r>
        <w:rPr>
          <w:rFonts w:ascii="Amiri" w:hAnsi="Amiri" w:eastAsia="Amiri" w:cs="Amiri"/>
          <w:lang w:bidi="ar-SA"/>
          <w:color w:val="111111"/>
          <w:sz w:val="28"/>
          <w:szCs w:val="28"/>
          <w:rtl/>
        </w:rPr>
        <w:t xml:space="preserve">انجام: آخر الجزء الثامن من كتاب الأسماء المبهمة و الأنباء المحكمة و هو آخر الكتاب.</w:t>
      </w:r>
    </w:p>
    <w:p>
      <w:pPr>
        <w:pStyle w:val="BookText"/>
      </w:pPr>
      <w:r>
        <w:rPr>
          <w:rFonts w:ascii="IRNazanin" w:hAnsi="IRNazanin" w:eastAsia="IRNazanin" w:cs="IRNazanin"/>
          <w:lang w:bidi="fa-IR"/>
          <w:color w:val="111111"/>
          <w:sz w:val="28"/>
          <w:szCs w:val="28"/>
          <w:rtl/>
        </w:rPr>
        <w:t xml:space="preserve">چاپ: با تحقیق عز الدين على السيد، قاهرة، مطبعة المدني، ۱۴۰۵ق</w:t>
      </w:r>
    </w:p>
    <w:p>
      <w:pPr>
        <w:pStyle w:val="BookText"/>
      </w:pPr>
      <w:r>
        <w:rPr>
          <w:rFonts w:ascii="IRNazanin" w:hAnsi="IRNazanin" w:eastAsia="IRNazanin" w:cs="IRNazanin"/>
          <w:lang w:bidi="fa-IR"/>
          <w:color w:val="111111"/>
          <w:sz w:val="28"/>
          <w:szCs w:val="28"/>
          <w:rtl/>
        </w:rPr>
        <w:t xml:space="preserve">١. قم؛ مرعشی؛ شماره نسخه: ۵۰۳ عکسی</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نسخه اصل: فیض الله افندی کتابخانه  ملت، استانبول، ش ۴۹۷ ؛خط: نسخ، بی کا، تا: اوایل قرن ۶ ،مصحح، دارای نشان  بلاغ، در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346" w:name="pg20365_260479"/>
    <w:bookmarkEnd w:id="346"/>
    <w:p>
      <w:pPr>
        <w:pStyle w:val="BookText"/>
      </w:pPr>
      <w:r>
        <w:rPr>
          <w:rFonts w:ascii="IRNazanin" w:hAnsi="IRNazanin" w:eastAsia="IRNazanin" w:cs="IRNazanin"/>
          <w:lang w:bidi="fa-IR"/>
          <w:color w:val="111111"/>
          <w:sz w:val="28"/>
          <w:szCs w:val="28"/>
          <w:rtl/>
        </w:rPr>
        <w:t xml:space="preserve">آخر جزء سوم آمده که آن را با اصلی که به خط ابن نحاس بوده و در آخر آن نوشته است تمام این جزء را بر خطیب بغدادی به لـفظ خودش در شوال ۴۶۰ق سماع نموده است، همچنین در پایان تـمام اجزاء سماع به تاریخ ۶۲۷ق دیده می شود؛ ۲۰۳گ، ۱۷ سـطر [عکسی ف ۲ - ۵]</w:t>
      </w:r>
    </w:p>
    <w:p>
      <w:pPr>
        <w:pStyle w:val="BookText"/>
      </w:pPr>
      <w:r>
        <w:rPr>
          <w:rFonts w:ascii="IRNazanin" w:hAnsi="IRNazanin" w:eastAsia="IRNazanin" w:cs="IRNazanin"/>
          <w:lang w:bidi="fa-IR"/>
          <w:color w:val="111111"/>
          <w:sz w:val="28"/>
          <w:szCs w:val="28"/>
          <w:rtl/>
        </w:rPr>
        <w:t xml:space="preserve">2.تهران؛ دانشگاه؛ شماره نسخه: ۱۱۹۵-ف</w:t>
      </w:r>
    </w:p>
    <w:p>
      <w:pPr>
        <w:pStyle w:val="BookText"/>
      </w:pPr>
      <w:r>
        <w:rPr>
          <w:rFonts w:ascii="IRNazanin" w:hAnsi="IRNazanin" w:eastAsia="IRNazanin" w:cs="IRNazanin"/>
          <w:lang w:bidi="fa-IR"/>
          <w:color w:val="111111"/>
          <w:sz w:val="28"/>
          <w:szCs w:val="28"/>
          <w:rtl/>
        </w:rPr>
        <w:t xml:space="preserve">نسخه  اصل: برلین 3575 .</w:t>
      </w:r>
      <w:r>
        <w:rPr>
          <w:rFonts w:ascii="Times New Roman" w:hAnsi="Times New Roman" w:eastAsia="Times New Roman" w:cs="Times New Roman"/>
          <w:lang w:val="en-US" w:bidi="en-US"/>
          <w:color w:val="111111"/>
          <w:sz w:val="28"/>
          <w:szCs w:val="28"/>
          <w:rtl/>
        </w:rPr>
        <w:t xml:space="preserve">oct </w:t>
      </w:r>
      <w:r>
        <w:rPr>
          <w:rFonts w:ascii="IRNazanin" w:hAnsi="IRNazanin" w:eastAsia="IRNazanin" w:cs="IRNazanin"/>
          <w:lang w:bidi="fa-IR"/>
          <w:color w:val="111111"/>
          <w:sz w:val="28"/>
          <w:szCs w:val="28"/>
          <w:rtl/>
        </w:rPr>
        <w:t xml:space="preserve">هشت جزو؛ خط: نسخ، بی کا : قرن ۶؛ در ص ع سماع مورخ ۵۸۰ و در آغاز و پایان سماع 578 آمده و در پایان بلاغ سماع ذیحجه ۴۶۵ نقل شده است، به جزو پنجم دهه جزوها در ۵۷۹ تعلیق شده است؛ ۱۷۸گ، ۱۹ سـطر [ فیلم ها -ف: ۱ - ۲۸۲]</w:t>
      </w:r>
    </w:p>
    <w:p>
      <w:pPr>
        <w:pStyle w:val="BookText"/>
      </w:pPr>
      <w:r>
        <w:rPr>
          <w:rFonts w:ascii="Amiri" w:hAnsi="Amiri" w:eastAsia="Amiri" w:cs="Amiri"/>
          <w:lang w:bidi="ar-SA"/>
          <w:color w:val="111111"/>
          <w:sz w:val="28"/>
          <w:szCs w:val="28"/>
          <w:rtl/>
        </w:rPr>
        <w:t xml:space="preserve">« اسماء متفق كتابته و مختلف معناه » الاسماء المتفقة الكتـابة المختلفة المعنى</w:t>
      </w:r>
    </w:p>
    <w:p>
      <w:pPr>
        <w:pStyle w:val="Heading3"/>
      </w:pPr>
      <w:bookmarkStart w:id="1665" w:name="_Toc1187"/>
      <w:r>
        <w:t>الاسماء المتفقة الكتابة المختلفة المعنى / لغت / عربي  /فارسی</w:t>
      </w:r>
      <w:bookmarkEnd w:id="1665"/>
    </w:p>
    <w:p>
      <w:pPr>
        <w:pStyle w:val="BookText"/>
      </w:pPr>
      <w:r>
        <w:rPr>
          <w:rFonts w:ascii="Times New Roman" w:hAnsi="Times New Roman" w:eastAsia="Times New Roman" w:cs="Times New Roman"/>
          <w:lang w:val="en-US" w:bidi="en-US"/>
          <w:color w:val="111111"/>
          <w:sz w:val="28"/>
          <w:szCs w:val="28"/>
          <w:rtl/>
        </w:rPr>
        <w:t xml:space="preserve">al-asmā’-ul muttafiqat-ul kitāba al-muxtalifat-ul ma‘nī</w:t>
      </w:r>
    </w:p>
    <w:p>
      <w:pPr>
        <w:pStyle w:val="BookText"/>
      </w:pPr>
      <w:r>
        <w:rPr>
          <w:rFonts w:ascii="IRNazanin" w:hAnsi="IRNazanin" w:eastAsia="IRNazanin" w:cs="IRNazanin"/>
          <w:lang w:bidi="fa-IR"/>
          <w:color w:val="111111"/>
          <w:sz w:val="28"/>
          <w:szCs w:val="28"/>
          <w:rtl/>
        </w:rPr>
        <w:t xml:space="preserve">فرهنگی است به ترتیب حروف برای نام های عربی که هر که یک گونه نوشته می شوند و چند گونه خوانده می شوند و هر کدام معنایی جداگانه دارد.</w:t>
      </w:r>
    </w:p>
    <w:p>
      <w:pPr>
        <w:pStyle w:val="BookText"/>
      </w:pPr>
      <w:r>
        <w:rPr>
          <w:rFonts w:ascii="IRNazanin" w:hAnsi="IRNazanin" w:eastAsia="IRNazanin" w:cs="IRNazanin"/>
          <w:lang w:bidi="fa-IR"/>
          <w:color w:val="111111"/>
          <w:sz w:val="28"/>
          <w:szCs w:val="28"/>
          <w:rtl/>
        </w:rPr>
        <w:t xml:space="preserve">١ . مشهد؛ الهیات؛ شماره نسخه: ۲۱۷۳۰/۲</w:t>
      </w:r>
    </w:p>
    <w:p>
      <w:pPr>
        <w:pStyle w:val="BookText"/>
      </w:pPr>
      <w:r>
        <w:rPr>
          <w:rFonts w:ascii="IRNazanin" w:hAnsi="IRNazanin" w:eastAsia="IRNazanin" w:cs="IRNazanin"/>
          <w:lang w:bidi="fa-IR"/>
          <w:color w:val="111111"/>
          <w:sz w:val="28"/>
          <w:szCs w:val="28"/>
          <w:rtl/>
        </w:rPr>
        <w:t xml:space="preserve">آغاز: بسمله الحمدلله رب العالمين والصلوة والسلام على سيـدنا محمد و  آله اجمعین اما بعد هذا كتاب مؤلف على اسماء متـفقة كتابته و مختلفة معناه على الوجوه الثلاث من الفتح و والكسرو الضم و بالله التوفيق -١- الأل - الال الال -</w:t>
      </w:r>
    </w:p>
    <w:p>
      <w:pPr>
        <w:pStyle w:val="BookText"/>
      </w:pPr>
      <w:r>
        <w:rPr>
          <w:rFonts w:ascii="IRNazanin" w:hAnsi="IRNazanin" w:eastAsia="IRNazanin" w:cs="IRNazanin"/>
          <w:lang w:bidi="fa-IR"/>
          <w:color w:val="111111"/>
          <w:sz w:val="28"/>
          <w:szCs w:val="28"/>
          <w:rtl/>
        </w:rPr>
        <w:t xml:space="preserve">خط:نسخ،  كا: عبدالوهاب بن حاجی محمد صادق ،کاشانی  ، تا: صفر ۱۱۱۷ق؛ جلد: تیماج لایه ای مشکی، ۱۵ سطر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  ،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۱۸/۵سم [ف: ۲ - ۵۹۸]</w:t>
      </w:r>
    </w:p>
    <w:p>
      <w:pPr>
        <w:pStyle w:val="BookText"/>
      </w:pPr>
      <w:r>
        <w:rPr>
          <w:rFonts w:ascii="IRNazanin" w:hAnsi="IRNazanin" w:eastAsia="IRNazanin" w:cs="IRNazanin"/>
          <w:lang w:bidi="fa-IR"/>
          <w:color w:val="111111"/>
          <w:sz w:val="28"/>
          <w:szCs w:val="28"/>
          <w:rtl/>
        </w:rPr>
        <w:t xml:space="preserve">۲. قم؛ مرعشی؛ شماره نسخه: ۲۵۲۱/۳</w:t>
      </w:r>
    </w:p>
    <w:p>
      <w:pPr>
        <w:pStyle w:val="BookText"/>
      </w:pPr>
      <w:r>
        <w:rPr>
          <w:rFonts w:ascii="IRNazanin" w:hAnsi="IRNazanin" w:eastAsia="IRNazanin" w:cs="IRNazanin"/>
          <w:lang w:bidi="fa-IR"/>
          <w:color w:val="111111"/>
          <w:sz w:val="28"/>
          <w:szCs w:val="28"/>
          <w:rtl/>
        </w:rPr>
        <w:t xml:space="preserve">آغاز: الال (آواز چنگ و نیزه کوتاه) الال (پیچیدن چشم) الال (خویشاوندان)؛ انجام: الورد (كل) الورد (نمازدى) الورد (شتر سرخ).</w:t>
      </w:r>
    </w:p>
    <w:p>
      <w:pPr>
        <w:pStyle w:val="BookText"/>
      </w:pPr>
      <w:r>
        <w:rPr>
          <w:rFonts w:ascii="IRNazanin" w:hAnsi="IRNazanin" w:eastAsia="IRNazanin" w:cs="IRNazanin"/>
          <w:lang w:bidi="fa-IR"/>
          <w:color w:val="111111"/>
          <w:sz w:val="28"/>
          <w:szCs w:val="28"/>
          <w:rtl/>
        </w:rPr>
        <w:t xml:space="preserve">خط: نسخ  معرب، بی کا، تا: ۱۲۶۷ق؛ ترجمه های فارسی نستعلیق؛ جلد: دورو تیماج بدون مقوا رو قرمز پشت سبز، ۶گ (۳۴پ- ۳۹ر)،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۷ - ۱۰۸]</w:t>
      </w:r>
    </w:p>
    <w:p>
      <w:pPr>
        <w:pStyle w:val="Heading3"/>
      </w:pPr>
      <w:bookmarkStart w:id="1666" w:name="_Toc1188"/>
      <w:r>
        <w:t>اسماء متوافقة العدد / رياضيات</w:t>
      </w:r>
      <w:bookmarkEnd w:id="1666"/>
    </w:p>
    <w:p>
      <w:pPr>
        <w:pStyle w:val="BookText"/>
      </w:pPr>
      <w:r>
        <w:rPr>
          <w:rFonts w:ascii="Times New Roman" w:hAnsi="Times New Roman" w:eastAsia="Times New Roman" w:cs="Times New Roman"/>
          <w:lang w:val="en-US" w:bidi="en-US"/>
          <w:color w:val="111111"/>
          <w:sz w:val="28"/>
          <w:szCs w:val="28"/>
          <w:rtl/>
        </w:rPr>
        <w:t xml:space="preserve">asmā’-e motavāfeqat-ol ‘adad</w:t>
      </w:r>
    </w:p>
    <w:p>
      <w:pPr>
        <w:pStyle w:val="BookText"/>
      </w:pPr>
      <w:r>
        <w:rPr>
          <w:rFonts w:ascii="IRNazanin" w:hAnsi="IRNazanin" w:eastAsia="IRNazanin" w:cs="IRNazanin"/>
          <w:lang w:bidi="fa-IR"/>
          <w:color w:val="111111"/>
          <w:sz w:val="28"/>
          <w:szCs w:val="28"/>
          <w:rtl/>
        </w:rPr>
        <w:t xml:space="preserve">تهران؛ ملک؛ شماره نسخه ۲۸۴۲/۶۰</w:t>
      </w:r>
    </w:p>
    <w:p>
      <w:pPr>
        <w:pStyle w:val="BookText"/>
      </w:pPr>
      <w:r>
        <w:rPr>
          <w:rFonts w:ascii="IRNazanin" w:hAnsi="IRNazanin" w:eastAsia="IRNazanin" w:cs="IRNazanin"/>
          <w:lang w:bidi="fa-IR"/>
          <w:color w:val="111111"/>
          <w:sz w:val="28"/>
          <w:szCs w:val="28"/>
          <w:rtl/>
        </w:rPr>
        <w:t xml:space="preserve">خط: نسخ، کا: ابوالقاسم وفا، تا: قرن ۱۳؛ در هامش [ف: ۶ - 135]</w:t>
      </w:r>
    </w:p>
    <w:p>
      <w:pPr>
        <w:pStyle w:val="Heading3"/>
      </w:pPr>
      <w:bookmarkStart w:id="1667" w:name="_Toc1189"/>
      <w:r>
        <w:t>اسماء المدن والبلدان المعروفة / جغرافيا / عربي</w:t>
      </w:r>
      <w:bookmarkEnd w:id="1667"/>
    </w:p>
    <w:p>
      <w:pPr>
        <w:pStyle w:val="BookText"/>
      </w:pPr>
      <w:r>
        <w:rPr>
          <w:rFonts w:ascii="Times New Roman" w:hAnsi="Times New Roman" w:eastAsia="Times New Roman" w:cs="Times New Roman"/>
          <w:lang w:val="en-US" w:bidi="en-US"/>
          <w:color w:val="111111"/>
          <w:sz w:val="28"/>
          <w:szCs w:val="28"/>
          <w:rtl/>
        </w:rPr>
        <w:t xml:space="preserve">asmā'-ul mudun wa-l buldān-il ma'rufa</w:t>
      </w:r>
    </w:p>
    <w:p>
      <w:pPr>
        <w:pStyle w:val="BookText"/>
      </w:pPr>
      <w:r>
        <w:rPr>
          <w:rFonts w:ascii="IRNazanin" w:hAnsi="IRNazanin" w:eastAsia="IRNazanin" w:cs="IRNazanin"/>
          <w:lang w:bidi="fa-IR"/>
          <w:color w:val="111111"/>
          <w:sz w:val="28"/>
          <w:szCs w:val="28"/>
          <w:rtl/>
        </w:rPr>
        <w:t xml:space="preserve">فلکی، احمد بن حسن، - ۳۸۴ قمری</w:t>
      </w:r>
    </w:p>
    <w:p>
      <w:pPr>
        <w:pStyle w:val="BookText"/>
      </w:pPr>
      <w:r>
        <w:rPr>
          <w:rFonts w:ascii="Times New Roman" w:hAnsi="Times New Roman" w:eastAsia="Times New Roman" w:cs="Times New Roman"/>
          <w:lang w:val="en-US" w:bidi="en-US"/>
          <w:color w:val="111111"/>
          <w:sz w:val="28"/>
          <w:szCs w:val="28"/>
          <w:rtl/>
        </w:rPr>
        <w:t xml:space="preserve">(falakī, ahmad ebn-e hasan (- 995)</w:t>
      </w:r>
    </w:p>
    <w:p>
      <w:pPr>
        <w:pStyle w:val="BookText"/>
      </w:pPr>
      <w:r>
        <w:rPr>
          <w:rFonts w:ascii="IRNazanin" w:hAnsi="IRNazanin" w:eastAsia="IRNazanin" w:cs="IRNazanin"/>
          <w:lang w:bidi="fa-IR"/>
          <w:color w:val="111111"/>
          <w:sz w:val="28"/>
          <w:szCs w:val="28"/>
          <w:rtl/>
        </w:rPr>
        <w:t xml:space="preserve">از احمد بن کثیر حاسب درباره هفت اقلیم.</w:t>
      </w:r>
    </w:p>
    <w:p>
      <w:pPr>
        <w:pStyle w:val="BookText"/>
      </w:pPr>
      <w:r>
        <w:rPr>
          <w:rFonts w:ascii="IRNazanin" w:hAnsi="IRNazanin" w:eastAsia="IRNazanin" w:cs="IRNazanin"/>
          <w:lang w:bidi="fa-IR"/>
          <w:color w:val="111111"/>
          <w:sz w:val="28"/>
          <w:szCs w:val="28"/>
          <w:rtl/>
        </w:rPr>
        <w:t xml:space="preserve">تهران؛ دانشگاه؛ شماره نسخه: ۲۰۳۱/۷</w:t>
      </w:r>
    </w:p>
    <w:p>
      <w:pPr>
        <w:pStyle w:val="BookText"/>
      </w:pPr>
      <w:r>
        <w:rPr>
          <w:rFonts w:ascii="Amiri" w:hAnsi="Amiri" w:eastAsia="Amiri" w:cs="Amiri"/>
          <w:lang w:bidi="ar-SA"/>
          <w:color w:val="111111"/>
          <w:sz w:val="28"/>
          <w:szCs w:val="28"/>
          <w:rtl/>
        </w:rPr>
        <w:t xml:space="preserve">آغاز: الفصل التاسع من كتاب احمد بن كثير الحاسب الصغرى في اسماء المدن والبلدان المعروفة فى كل اقليم و يبتدى بها من جهة المشرق؛ انجام: على الصقالبة و ينتهى الى بحر المغرب (و الحمد لله وحده نفع الله به صاحبه و يرحم كاتبه).</w:t>
      </w:r>
    </w:p>
    <w:p>
      <w:pPr>
        <w:pStyle w:val="BookText"/>
      </w:pPr>
      <w:r>
        <w:rPr>
          <w:rFonts w:ascii="IRNazanin" w:hAnsi="IRNazanin" w:eastAsia="IRNazanin" w:cs="IRNazanin"/>
          <w:lang w:bidi="fa-IR"/>
          <w:color w:val="111111"/>
          <w:sz w:val="28"/>
          <w:szCs w:val="28"/>
          <w:rtl/>
        </w:rPr>
        <w:t xml:space="preserve">خط: نسخ، کا:اسفندیار مازندرانی، تا: ۱۶ ربیع الاول ۱۰۳۱ق؛ کاغذ: سپاهانی، جلد: تیماج حنایی ضربی مقوایی، ۲۷۷گ (۴۷۱پ- ۷۴۷ر)، ۱۴ سطر (۶/۵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۸ - ۶۵۳]</w:t>
      </w:r>
    </w:p>
    <w:p>
      <w:pPr>
        <w:pStyle w:val="Heading3"/>
      </w:pPr>
      <w:bookmarkStart w:id="1668" w:name="_Toc1190"/>
      <w:r>
        <w:t>اسماء المشهورين من العلماء / تراجم / عربي</w:t>
      </w:r>
      <w:bookmarkEnd w:id="1668"/>
    </w:p>
    <w:p>
      <w:pPr>
        <w:pStyle w:val="BookText"/>
      </w:pPr>
      <w:r>
        <w:rPr>
          <w:rFonts w:ascii="Times New Roman" w:hAnsi="Times New Roman" w:eastAsia="Times New Roman" w:cs="Times New Roman"/>
          <w:lang w:val="en-US" w:bidi="en-US"/>
          <w:color w:val="111111"/>
          <w:sz w:val="28"/>
          <w:szCs w:val="28"/>
          <w:rtl/>
        </w:rPr>
        <w:t xml:space="preserve">asmā'-ul-mašhūrīn min-al-'ulama'</w:t>
      </w:r>
    </w:p>
    <w:p>
      <w:pPr>
        <w:pStyle w:val="BookText"/>
      </w:pPr>
      <w:r>
        <w:rPr>
          <w:rFonts w:ascii="IRNazanin" w:hAnsi="IRNazanin" w:eastAsia="IRNazanin" w:cs="IRNazanin"/>
          <w:lang w:bidi="fa-IR"/>
          <w:color w:val="111111"/>
          <w:sz w:val="28"/>
          <w:szCs w:val="28"/>
          <w:rtl/>
        </w:rPr>
        <w:t xml:space="preserve">چاپ: به اهتمام محمد تقی دانش  پژوه، نشریه دانشکده ادبیات  تبریز، شماره ۱۹، ۱۳۴۶ش، ۴۰۹-۴۲۲</w:t>
      </w:r>
    </w:p>
    <w:p>
      <w:pPr>
        <w:pStyle w:val="BookText"/>
      </w:pPr>
      <w:r>
        <w:rPr>
          <w:rFonts w:ascii="IRNazanin" w:hAnsi="IRNazanin" w:eastAsia="IRNazanin" w:cs="IRNazanin"/>
          <w:lang w:bidi="fa-IR"/>
          <w:color w:val="111111"/>
          <w:sz w:val="28"/>
          <w:szCs w:val="28"/>
          <w:rtl/>
        </w:rPr>
        <w:t xml:space="preserve">تهران؛ دانشگاه؛ شماره نسخه: ۶۳۴۰/۱</w:t>
      </w:r>
    </w:p>
    <w:p>
      <w:pPr>
        <w:pStyle w:val="BookText"/>
      </w:pPr>
      <w:r>
        <w:rPr>
          <w:rFonts w:ascii="Amiri" w:hAnsi="Amiri" w:eastAsia="Amiri" w:cs="Amiri"/>
          <w:lang w:bidi="ar-SA"/>
          <w:color w:val="111111"/>
          <w:sz w:val="28"/>
          <w:szCs w:val="28"/>
          <w:rtl/>
        </w:rPr>
        <w:t xml:space="preserve">آغاز: بسمله و به ثقتى المطلوب من هذا الانشاء ذكر ما وجدت  من اسماء المشهورين من العلماء من جملة هذه الزمرة العالية ...</w:t>
      </w:r>
    </w:p>
    <w:p>
      <w:pPr>
        <w:pStyle w:val="BookText"/>
      </w:pPr>
      <w:r>
        <w:rPr>
          <w:rFonts w:ascii="IRNazanin" w:hAnsi="IRNazanin" w:eastAsia="IRNazanin" w:cs="IRNazanin"/>
          <w:lang w:bidi="fa-IR"/>
          <w:color w:val="111111"/>
          <w:sz w:val="28"/>
          <w:szCs w:val="28"/>
          <w:rtl/>
        </w:rPr>
        <w:t xml:space="preserve">على بن الحسين بن موسی بن بابویه؛ انجام: و سلار بن عبدالعزیز بن البراج و الباقى مما علم من هذا الانشاء لا يفتقر الى الاعادة ولا يحتاج و له الحمد اولا و آخرا كما هو اهله وصلى الله على محمد و آله الطاهرين.</w:t>
      </w:r>
    </w:p>
    <w:p>
      <w:pPr>
        <w:pStyle w:val="BookText"/>
      </w:pPr>
      <w:r>
        <w:rPr>
          <w:rFonts w:ascii="IRNazanin" w:hAnsi="IRNazanin" w:eastAsia="IRNazanin" w:cs="IRNazanin"/>
          <w:lang w:bidi="fa-IR"/>
          <w:color w:val="111111"/>
          <w:sz w:val="28"/>
          <w:szCs w:val="28"/>
          <w:rtl/>
        </w:rPr>
        <w:t xml:space="preserve">خط: نستعلیق، ریز، بی کا، تا: قرن ۱۱؛ کاغذ ،سپاهانی، جلد: تیماج قهوه ای ترنجی ضربی مقوایی درون  زرد ، 3ص، ۳۵ سطر و ۹ سطر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قطع: رحلی،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۲۹سم [ف: ۱۶ - ۲۴۵]</w:t>
      </w:r>
    </w:p>
    <w:p>
      <w:pPr>
        <w:pStyle w:val="BookText"/>
      </w:pPr>
      <w:r>
        <w:rPr>
          <w:rFonts w:ascii="Amiri" w:hAnsi="Amiri" w:eastAsia="Amiri" w:cs="Amiri"/>
          <w:lang w:bidi="ar-SA"/>
          <w:color w:val="111111"/>
          <w:sz w:val="28"/>
          <w:szCs w:val="28"/>
          <w:rtl/>
        </w:rPr>
        <w:t xml:space="preserve">«الاسماء المفردة » الطبقات فى الاسماء المفردة من اسماء  العلماء و اصحاب الحديث</w:t>
      </w:r>
    </w:p>
    <w:p>
      <w:pPr>
        <w:pStyle w:val="Heading3"/>
      </w:pPr>
      <w:bookmarkStart w:id="1669" w:name="_Toc1191"/>
      <w:r>
        <w:t>اسماء من استبصر من العلماء / رجال / عربي</w:t>
      </w:r>
      <w:bookmarkEnd w:id="1669"/>
    </w:p>
    <w:p>
      <w:pPr>
        <w:pStyle w:val="BookText"/>
      </w:pPr>
      <w:r>
        <w:rPr>
          <w:rFonts w:ascii="Times New Roman" w:hAnsi="Times New Roman" w:eastAsia="Times New Roman" w:cs="Times New Roman"/>
          <w:lang w:val="en-US" w:bidi="en-US"/>
          <w:color w:val="111111"/>
          <w:sz w:val="28"/>
          <w:szCs w:val="28"/>
          <w:rtl/>
        </w:rPr>
        <w:t xml:space="preserve">asmā'-u man-i-stabṣar-a min-al-'ulama'</w:t>
      </w:r>
    </w:p>
    <w:p>
      <w:pPr>
        <w:pStyle w:val="BookText"/>
      </w:pPr>
      <w:r>
        <w:rPr>
          <w:rFonts w:ascii="IRNazanin" w:hAnsi="IRNazanin" w:eastAsia="IRNazanin" w:cs="IRNazanin"/>
          <w:lang w:bidi="fa-IR"/>
          <w:color w:val="111111"/>
          <w:sz w:val="28"/>
          <w:szCs w:val="28"/>
          <w:rtl/>
        </w:rPr>
        <w:t xml:space="preserve">خاتون آبادی محمد حسین بن صالح - ۱۱۵۱قمری</w:t>
      </w:r>
    </w:p>
    <w:p>
      <w:pPr>
        <w:pStyle w:val="BookText"/>
      </w:pPr>
      <w:r>
        <w:rPr>
          <w:rFonts w:ascii="Times New Roman" w:hAnsi="Times New Roman" w:eastAsia="Times New Roman" w:cs="Times New Roman"/>
          <w:lang w:val="en-US" w:bidi="en-US"/>
          <w:color w:val="111111"/>
          <w:sz w:val="28"/>
          <w:szCs w:val="28"/>
          <w:rtl/>
        </w:rPr>
        <w:t xml:space="preserve">(xātūn ābādī, mohammad hoseyn ebn-e saleh (- 1739)</w:t>
      </w:r>
    </w:p>
    <w:p>
      <w:pPr>
        <w:pStyle w:val="BookText"/>
      </w:pPr>
      <w:r>
        <w:rPr>
          <w:rFonts w:ascii="IRNazanin" w:hAnsi="IRNazanin" w:eastAsia="IRNazanin" w:cs="IRNazanin"/>
          <w:lang w:bidi="fa-IR"/>
          <w:color w:val="111111"/>
          <w:sz w:val="28"/>
          <w:szCs w:val="28"/>
          <w:rtl/>
        </w:rPr>
        <w:t xml:space="preserve">رساله ای بدین عنوان در الذریعه ( ج ۲ ش ۲۷۶ و ج ۲۱ ش ۵۶۴۵) و قرن دوازدهم طبقات (ص (۱۹۹) به میر محمد حسين خاتون آبادی نسبت داده شده است. در آن در مورد تشیع ابونعیم اصفهانی (۳۳۶-۴۳۰) و عبدالرحمن جامی بحث شده است.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347" w:name="pg20365_260480"/>
    <w:bookmarkEnd w:id="347"/>
    <w:p>
      <w:pPr>
        <w:pStyle w:val="BookText"/>
      </w:pPr>
      <w:r>
        <w:rPr>
          <w:rFonts w:ascii="IRNazanin" w:hAnsi="IRNazanin" w:eastAsia="IRNazanin" w:cs="IRNazanin"/>
          <w:lang w:bidi="fa-IR"/>
          <w:color w:val="111111"/>
          <w:sz w:val="28"/>
          <w:szCs w:val="28"/>
          <w:rtl/>
        </w:rPr>
        <w:t xml:space="preserve">تهران؛ ملی؛ شماره نسخه: ۲۰۴۷/۴</w:t>
      </w:r>
    </w:p>
    <w:p>
      <w:pPr>
        <w:pStyle w:val="BookText"/>
      </w:pPr>
      <w:r>
        <w:rPr>
          <w:rFonts w:ascii="IRNazanin" w:hAnsi="IRNazanin" w:eastAsia="IRNazanin" w:cs="IRNazanin"/>
          <w:lang w:bidi="fa-IR"/>
          <w:color w:val="111111"/>
          <w:sz w:val="28"/>
          <w:szCs w:val="28"/>
          <w:rtl/>
        </w:rPr>
        <w:t xml:space="preserve">آغاز: فائدة و لنذكر بعضاً ممن اطلعت على تشيعه من مشاهیر علماء العامة فنقول منهم: الحافظ ابونعيم ... و منهم التحرير المحـقق عبدالرحمان الجامى خط: نستعليق، كا: علی بن عبدالكريم طباطبائی، تا: پنج شنبه دهه دوم جمادى الاول ۱۲۷۳ق، جا: اصفهان؛ کاتب به نام سید علی  بروجردی در «مآثر و آثار» ص ۱۵۹ و رجال اصفهان ص60 قرن ۱۳ ص ۱۴۷۰ طبقات اعلام الشیعه از عمو زادگان بحرالعلوم معرفی شده است؛ کاغذ: فرنگی نخودی، جلد: مقوایی، رویه کاغذ، ۱گ (۶۳)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 ۱۱ - ۱۸۳]</w:t>
      </w:r>
    </w:p>
    <w:p>
      <w:pPr>
        <w:pStyle w:val="Heading3"/>
      </w:pPr>
      <w:bookmarkStart w:id="1670" w:name="_Toc1192"/>
      <w:r>
        <w:t>الاسماء المؤنثة / عربي</w:t>
      </w:r>
      <w:bookmarkEnd w:id="1670"/>
    </w:p>
    <w:p>
      <w:pPr>
        <w:pStyle w:val="BookText"/>
      </w:pPr>
      <w:r>
        <w:rPr>
          <w:rFonts w:ascii="Times New Roman" w:hAnsi="Times New Roman" w:eastAsia="Times New Roman" w:cs="Times New Roman"/>
          <w:lang w:val="en-US" w:bidi="en-US"/>
          <w:color w:val="111111"/>
          <w:sz w:val="28"/>
          <w:szCs w:val="28"/>
          <w:rtl/>
        </w:rPr>
        <w:t xml:space="preserve">al-asmā’-ul mu’annaṯa</w:t>
      </w:r>
    </w:p>
    <w:p>
      <w:pPr>
        <w:pStyle w:val="BookText"/>
      </w:pPr>
      <w:r>
        <w:rPr>
          <w:rFonts w:ascii="IRNazanin" w:hAnsi="IRNazanin" w:eastAsia="IRNazanin" w:cs="IRNazanin"/>
          <w:lang w:bidi="fa-IR"/>
          <w:color w:val="111111"/>
          <w:sz w:val="28"/>
          <w:szCs w:val="28"/>
          <w:rtl/>
        </w:rPr>
        <w:t xml:space="preserve">در اسامی مؤنث که علامت تأنيث ندارند به نقل از رساله فـخر الاسلام.</w:t>
      </w:r>
    </w:p>
    <w:p>
      <w:pPr>
        <w:pStyle w:val="BookText"/>
      </w:pPr>
      <w:r>
        <w:rPr>
          <w:rFonts w:ascii="IRNazanin" w:hAnsi="IRNazanin" w:eastAsia="IRNazanin" w:cs="IRNazanin"/>
          <w:lang w:bidi="fa-IR"/>
          <w:color w:val="111111"/>
          <w:sz w:val="28"/>
          <w:szCs w:val="28"/>
          <w:rtl/>
        </w:rPr>
        <w:t xml:space="preserve">تهران؛ مجلس؛ شماره نسخه: ۱۰۰۲۹/۱۸</w:t>
      </w:r>
    </w:p>
    <w:p>
      <w:pPr>
        <w:pStyle w:val="BookText"/>
      </w:pPr>
      <w:r>
        <w:rPr>
          <w:rFonts w:ascii="IRNazanin" w:hAnsi="IRNazanin" w:eastAsia="IRNazanin" w:cs="IRNazanin"/>
          <w:lang w:bidi="fa-IR"/>
          <w:color w:val="111111"/>
          <w:sz w:val="28"/>
          <w:szCs w:val="28"/>
          <w:rtl/>
        </w:rPr>
        <w:t xml:space="preserve">خط: نسخ و نستعلیق، بی کا، تا: قرن ۱۱؛ مصحح؛ جلد: تیماج جگری، ترنج و سرترنج  طلایی، ۱ص (۷۵)،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[ف: ۳۲ - ۳۸]</w:t>
      </w:r>
    </w:p>
    <w:p>
      <w:pPr>
        <w:pStyle w:val="Heading3"/>
      </w:pPr>
      <w:bookmarkStart w:id="1671" w:name="_Toc1193"/>
      <w:r>
        <w:t>اسماء مونث سماعی (منظوم) / صرف، شعر / عربی</w:t>
      </w:r>
      <w:bookmarkEnd w:id="1671"/>
    </w:p>
    <w:p>
      <w:pPr>
        <w:pStyle w:val="BookText"/>
      </w:pPr>
      <w:r>
        <w:rPr>
          <w:rFonts w:ascii="Times New Roman" w:hAnsi="Times New Roman" w:eastAsia="Times New Roman" w:cs="Times New Roman"/>
          <w:lang w:val="en-US" w:bidi="en-US"/>
          <w:color w:val="111111"/>
          <w:sz w:val="28"/>
          <w:szCs w:val="28"/>
          <w:rtl/>
        </w:rPr>
        <w:t xml:space="preserve">(asmā’-e moannas-e samā‘ī (manzūm)</w:t>
      </w:r>
    </w:p>
    <w:p>
      <w:pPr>
        <w:pStyle w:val="BookText"/>
      </w:pPr>
      <w:r>
        <w:rPr>
          <w:rFonts w:ascii="IRNazanin" w:hAnsi="IRNazanin" w:eastAsia="IRNazanin" w:cs="IRNazanin"/>
          <w:lang w:bidi="fa-IR"/>
          <w:color w:val="111111"/>
          <w:sz w:val="28"/>
          <w:szCs w:val="28"/>
          <w:rtl/>
        </w:rPr>
        <w:t xml:space="preserve">از ملا قاسم زاده (؟)</w:t>
      </w:r>
    </w:p>
    <w:p>
      <w:pPr>
        <w:pStyle w:val="BookText"/>
      </w:pPr>
      <w:r>
        <w:rPr>
          <w:rFonts w:ascii="IRNazanin" w:hAnsi="IRNazanin" w:eastAsia="IRNazanin" w:cs="IRNazanin"/>
          <w:lang w:bidi="fa-IR"/>
          <w:color w:val="111111"/>
          <w:sz w:val="28"/>
          <w:szCs w:val="28"/>
          <w:rtl/>
        </w:rPr>
        <w:t xml:space="preserve">قم؛ مرکز مطالعات؛ شماره نسخه: ۷۸۴/۴</w:t>
      </w:r>
    </w:p>
    <w:p>
      <w:pPr>
        <w:pStyle w:val="BookText"/>
      </w:pPr>
      <w:r>
        <w:rPr>
          <w:rFonts w:ascii="IRNazanin" w:hAnsi="IRNazanin" w:eastAsia="IRNazanin" w:cs="IRNazanin"/>
          <w:lang w:bidi="fa-IR"/>
          <w:color w:val="111111"/>
          <w:sz w:val="28"/>
          <w:szCs w:val="28"/>
          <w:rtl/>
        </w:rPr>
        <w:t xml:space="preserve">آغاز: اسماء مونث سماعي كما** نظمتها لائقة ان تعلما / نفـس  سری نار اناب ارنب ** افعا لظى ابهامام ثعلب</w:t>
      </w:r>
    </w:p>
    <w:p>
      <w:pPr>
        <w:pStyle w:val="BookText"/>
      </w:pPr>
      <w:r>
        <w:rPr>
          <w:rFonts w:ascii="IRNazanin" w:hAnsi="IRNazanin" w:eastAsia="IRNazanin" w:cs="IRNazanin"/>
          <w:lang w:bidi="fa-IR"/>
          <w:color w:val="111111"/>
          <w:sz w:val="28"/>
          <w:szCs w:val="28"/>
          <w:rtl/>
        </w:rPr>
        <w:t xml:space="preserve">خط: نسخ، بی کا، بی تا؛ جلد: تیماج مشکی عطف قهوه ای، ۱گ، (۳۸ ر-۳۸پ) ،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۲ - ۶۲]</w:t>
      </w:r>
    </w:p>
    <w:p>
      <w:pPr>
        <w:pStyle w:val="Heading3"/>
      </w:pPr>
      <w:bookmarkStart w:id="1672" w:name="_Toc1194"/>
      <w:r>
        <w:t>الاسماء المؤنثة السماعية / صرف / عربي</w:t>
      </w:r>
      <w:bookmarkEnd w:id="1672"/>
    </w:p>
    <w:p>
      <w:pPr>
        <w:pStyle w:val="BookText"/>
      </w:pPr>
      <w:r>
        <w:rPr>
          <w:rFonts w:ascii="Times New Roman" w:hAnsi="Times New Roman" w:eastAsia="Times New Roman" w:cs="Times New Roman"/>
          <w:lang w:val="en-US" w:bidi="en-US"/>
          <w:color w:val="111111"/>
          <w:sz w:val="28"/>
          <w:szCs w:val="28"/>
          <w:rtl/>
        </w:rPr>
        <w:t xml:space="preserve">al-asmā’-ul mu’annaṯat-is samā‘īya</w:t>
      </w:r>
    </w:p>
    <w:p>
      <w:pPr>
        <w:pStyle w:val="BookText"/>
      </w:pPr>
      <w:r>
        <w:rPr>
          <w:rFonts w:ascii="IRNazanin" w:hAnsi="IRNazanin" w:eastAsia="IRNazanin" w:cs="IRNazanin"/>
          <w:lang w:bidi="fa-IR"/>
          <w:color w:val="111111"/>
          <w:sz w:val="28"/>
          <w:szCs w:val="28"/>
          <w:rtl/>
        </w:rPr>
        <w:t xml:space="preserve">تهران؛ مجلس؛ شماره نسخه: ۲۷۸/۱۱</w:t>
      </w:r>
    </w:p>
    <w:p>
      <w:pPr>
        <w:pStyle w:val="BookText"/>
      </w:pPr>
      <w:r>
        <w:rPr>
          <w:rFonts w:ascii="IRNazanin" w:hAnsi="IRNazanin" w:eastAsia="IRNazanin" w:cs="IRNazanin"/>
          <w:lang w:bidi="fa-IR"/>
          <w:color w:val="111111"/>
          <w:sz w:val="28"/>
          <w:szCs w:val="28"/>
          <w:rtl/>
        </w:rPr>
        <w:t xml:space="preserve">الاسماء المؤنثة السماعية على ترتيب الحروف المعجمة؛ خـط: نستعلیق چلیپا، بی کا، تا: قرن ۱۱ ؛کاغذ: سفید ،جلد: تیماج دولای مشکی گرد تریاکی، درون تیماج حنایی، ابعاد متن: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 قطع: بیاضی، اندازه: 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۲۳سم [سنا - ف: ۱ - ۱۳۵]</w:t>
      </w:r>
    </w:p>
    <w:p>
      <w:pPr>
        <w:pStyle w:val="Heading3"/>
      </w:pPr>
      <w:bookmarkStart w:id="1673" w:name="_Toc1195"/>
      <w:r>
        <w:t>الاسماء المونثة السماعية (قصيدة في) / صرف، شعر  / عربی</w:t>
      </w:r>
      <w:bookmarkEnd w:id="1673"/>
    </w:p>
    <w:p>
      <w:pPr>
        <w:pStyle w:val="BookText"/>
      </w:pPr>
      <w:r>
        <w:rPr>
          <w:rFonts w:ascii="Times New Roman" w:hAnsi="Times New Roman" w:eastAsia="Times New Roman" w:cs="Times New Roman"/>
          <w:lang w:val="en-US" w:bidi="en-US"/>
          <w:color w:val="111111"/>
          <w:sz w:val="28"/>
          <w:szCs w:val="28"/>
          <w:rtl/>
        </w:rPr>
        <w:t xml:space="preserve">(al-asmā’-ul mu‘annaṯat-is samā‘īya (qaṣīdat-un fī)</w:t>
      </w:r>
    </w:p>
    <w:p>
      <w:pPr>
        <w:pStyle w:val="BookText"/>
      </w:pPr>
      <w:r>
        <w:rPr>
          <w:rFonts w:ascii="IRNazanin" w:hAnsi="IRNazanin" w:eastAsia="IRNazanin" w:cs="IRNazanin"/>
          <w:lang w:bidi="fa-IR"/>
          <w:color w:val="111111"/>
          <w:sz w:val="28"/>
          <w:szCs w:val="28"/>
          <w:rtl/>
        </w:rPr>
        <w:t xml:space="preserve">قصیده ای است در ۲۳ بیت مشتمل بر اسم های مونث سماعی مطابق با ذکر آن در کتاب «الشافيه» ابن حاجب.</w:t>
      </w:r>
    </w:p>
    <w:p>
      <w:pPr>
        <w:pStyle w:val="BookText"/>
      </w:pPr>
      <w:r>
        <w:rPr>
          <w:rFonts w:ascii="IRNazanin" w:hAnsi="IRNazanin" w:eastAsia="IRNazanin" w:cs="IRNazanin"/>
          <w:lang w:bidi="fa-IR"/>
          <w:color w:val="111111"/>
          <w:sz w:val="28"/>
          <w:szCs w:val="28"/>
          <w:rtl/>
        </w:rPr>
        <w:t xml:space="preserve">تهران؛ ملی؛ شماره نسخه: ۳۷۰۳/۶</w:t>
      </w:r>
    </w:p>
    <w:p>
      <w:pPr>
        <w:pStyle w:val="BookText"/>
      </w:pPr>
      <w:r>
        <w:rPr>
          <w:rFonts w:ascii="IRNazanin" w:hAnsi="IRNazanin" w:eastAsia="IRNazanin" w:cs="IRNazanin"/>
          <w:lang w:bidi="fa-IR"/>
          <w:color w:val="111111"/>
          <w:sz w:val="28"/>
          <w:szCs w:val="28"/>
          <w:rtl/>
        </w:rPr>
        <w:t xml:space="preserve">آغاز: بسمله نفسی الفداء لسائل وافانی مسائل فاحت كغصن البان؛ انجام: قصیدتی تبعی و انی اکتسی ثوب العتاد كل شيء فان ؛خط: نستعليق ،كا: محمد باقر جرفادقانی، تا: قرن ۱۱؛ محشی؛ در برگ ۵۹ مطالب حاشیه ای در صرف و ممهور به مهر «بنده آل محمد تقی» و یادداشت محمد باقر جرفادقانی کاتب نسخه مبنی بر عزیمت ایشان به کاشان به سال ۱۰۱۸ و عزیمت به شیراز به سال ۱۰۲۴ق؛ کاغذ: اصفهانی ،نخودی، جلد: تیماج سیاه مقوایی، ۲گ (58پ- 59)، ۱۸ سطر (۵/۵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۱۱/۵) ، اندازه: 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۱۶/۵سم  [ف ۱۶ - ۳۰۶  ]</w:t>
      </w:r>
    </w:p>
    <w:p>
      <w:pPr>
        <w:pStyle w:val="Heading3"/>
      </w:pPr>
      <w:bookmarkStart w:id="1674" w:name="_Toc1196"/>
      <w:r>
        <w:t>اسماء النبی و اهل بیته (علیه السّلام) / متفرقه / عربی</w:t>
      </w:r>
      <w:bookmarkEnd w:id="1674"/>
    </w:p>
    <w:p>
      <w:pPr>
        <w:pStyle w:val="BookText"/>
      </w:pPr>
      <w:r>
        <w:rPr>
          <w:rFonts w:ascii="Times New Roman" w:hAnsi="Times New Roman" w:eastAsia="Times New Roman" w:cs="Times New Roman"/>
          <w:lang w:val="en-US" w:bidi="en-US"/>
          <w:color w:val="111111"/>
          <w:sz w:val="28"/>
          <w:szCs w:val="28"/>
          <w:rtl/>
        </w:rPr>
        <w:t xml:space="preserve">asma-un nabi wa ahl-i bayt-i-h</w:t>
      </w:r>
    </w:p>
    <w:p>
      <w:pPr>
        <w:pStyle w:val="BookText"/>
      </w:pPr>
      <w:r>
        <w:rPr>
          <w:rFonts w:ascii="IRNazanin" w:hAnsi="IRNazanin" w:eastAsia="IRNazanin" w:cs="IRNazanin"/>
          <w:lang w:bidi="fa-IR"/>
          <w:color w:val="111111"/>
          <w:sz w:val="28"/>
          <w:szCs w:val="28"/>
          <w:rtl/>
        </w:rPr>
        <w:t xml:space="preserve">قم؛ مرکز احیاء؛ شماره نسخه: ۷۶۸</w:t>
      </w:r>
    </w:p>
    <w:p>
      <w:pPr>
        <w:pStyle w:val="BookText"/>
      </w:pPr>
      <w:r>
        <w:rPr>
          <w:rFonts w:ascii="IRNazanin" w:hAnsi="IRNazanin" w:eastAsia="IRNazanin" w:cs="IRNazanin"/>
          <w:lang w:bidi="fa-IR"/>
          <w:color w:val="111111"/>
          <w:sz w:val="28"/>
          <w:szCs w:val="28"/>
          <w:rtl/>
        </w:rPr>
        <w:t xml:space="preserve">نسخه اصل: کتابخانه واتیکان- رم ۸۸۲ طوماری است که اسماء ائمه (علیهم السّلام) را به صورت درشت و تحریری و به الفاظ دعا «اللهم صل علی» آورده و در وسط این اسماء به خط ریز آیاتی از قرآن کریم را نگاشته اند که کاری زیبا و هنری به وجود آورده است؛</w:t>
      </w:r>
    </w:p>
    <w:p>
      <w:pPr>
        <w:pStyle w:val="BookText"/>
      </w:pPr>
      <w:r>
        <w:rPr>
          <w:rFonts w:ascii="IRNazanin" w:hAnsi="IRNazanin" w:eastAsia="IRNazanin" w:cs="IRNazanin"/>
          <w:lang w:bidi="fa-IR"/>
          <w:color w:val="111111"/>
          <w:sz w:val="28"/>
          <w:szCs w:val="28"/>
          <w:rtl/>
        </w:rPr>
        <w:t xml:space="preserve">خط: نسخ و ،ثلث، بی کا، تا: قرن  ۱۲، متن به خط ثلث توخالی و آیات درون آن به خط نسخ، ابتدای آن و ما بین فصول اشکالی از گل و غیره آمده که در وسط آنها نیز آیاتی مکتوب است، در برگ اول و آخر مطالبی به حروف لاتین نوشته شده است؛ ۴۶ص[ عکسی ف ۲ - ۴۴۳]</w:t>
      </w:r>
    </w:p>
    <w:p>
      <w:pPr>
        <w:pStyle w:val="BookText"/>
      </w:pPr>
      <w:r>
        <w:rPr>
          <w:rFonts w:ascii="Amiri" w:hAnsi="Amiri" w:eastAsia="Amiri" w:cs="Amiri"/>
          <w:lang w:bidi="ar-SA"/>
          <w:color w:val="111111"/>
          <w:sz w:val="28"/>
          <w:szCs w:val="28"/>
          <w:rtl/>
        </w:rPr>
        <w:t xml:space="preserve">« الاسماء الواجبة التأنيث » المؤنثات السماعية</w:t>
      </w:r>
    </w:p>
    <w:p>
      <w:pPr>
        <w:pStyle w:val="Heading3"/>
      </w:pPr>
      <w:bookmarkStart w:id="1675" w:name="_Toc1197"/>
      <w:r>
        <w:t>الاسماء و الصفات / کلام و اعتقادات / عربی</w:t>
      </w:r>
      <w:bookmarkEnd w:id="1675"/>
    </w:p>
    <w:p>
      <w:pPr>
        <w:pStyle w:val="BookText"/>
      </w:pPr>
      <w:r>
        <w:rPr>
          <w:rFonts w:ascii="Times New Roman" w:hAnsi="Times New Roman" w:eastAsia="Times New Roman" w:cs="Times New Roman"/>
          <w:lang w:val="en-US" w:bidi="en-US"/>
          <w:color w:val="111111"/>
          <w:sz w:val="28"/>
          <w:szCs w:val="28"/>
          <w:rtl/>
        </w:rPr>
        <w:t xml:space="preserve">al-asma wa-s-sifat</w:t>
      </w:r>
    </w:p>
    <w:p>
      <w:pPr>
        <w:pStyle w:val="BookText"/>
      </w:pPr>
      <w:r>
        <w:rPr>
          <w:rFonts w:ascii="IRNazanin" w:hAnsi="IRNazanin" w:eastAsia="IRNazanin" w:cs="IRNazanin"/>
          <w:lang w:bidi="fa-IR"/>
          <w:color w:val="111111"/>
          <w:sz w:val="28"/>
          <w:szCs w:val="28"/>
          <w:rtl/>
        </w:rPr>
        <w:t xml:space="preserve">علم الهدى، على بن حسین، ۳۵۵ - ۴۳۶ قمری</w:t>
      </w:r>
    </w:p>
    <w:p>
      <w:pPr>
        <w:pStyle w:val="BookText"/>
      </w:pPr>
      <w:r>
        <w:rPr>
          <w:rFonts w:ascii="Times New Roman" w:hAnsi="Times New Roman" w:eastAsia="Times New Roman" w:cs="Times New Roman"/>
          <w:lang w:val="en-US" w:bidi="en-US"/>
          <w:color w:val="111111"/>
          <w:sz w:val="28"/>
          <w:szCs w:val="28"/>
          <w:rtl/>
        </w:rPr>
        <w:t xml:space="preserve">(alam-ol-hodā, ‘alī ebn-e hoseyn (967 - 1045)</w:t>
      </w:r>
    </w:p>
    <w:p>
      <w:pPr>
        <w:pStyle w:val="BookText"/>
      </w:pPr>
      <w:r>
        <w:rPr>
          <w:rFonts w:ascii="IRNazanin" w:hAnsi="IRNazanin" w:eastAsia="IRNazanin" w:cs="IRNazanin"/>
          <w:lang w:bidi="fa-IR"/>
          <w:color w:val="111111"/>
          <w:sz w:val="28"/>
          <w:szCs w:val="28"/>
          <w:rtl/>
        </w:rPr>
        <w:t xml:space="preserve">بخشی است از یکی از رسائل سید مرتضی علم الهدی درباره صفات حق تعالى.</w:t>
      </w:r>
    </w:p>
    <w:p>
      <w:pPr>
        <w:pStyle w:val="BookText"/>
      </w:pPr>
      <w:r>
        <w:rPr>
          <w:rFonts w:ascii="IRNazanin" w:hAnsi="IRNazanin" w:eastAsia="IRNazanin" w:cs="IRNazanin"/>
          <w:lang w:bidi="fa-IR"/>
          <w:color w:val="111111"/>
          <w:sz w:val="28"/>
          <w:szCs w:val="28"/>
          <w:rtl/>
        </w:rPr>
        <w:t xml:space="preserve">تهران؛ مجلس؛ شماره نسخه: ۳۷۵۸/۴</w:t>
      </w:r>
    </w:p>
    <w:p>
      <w:pPr>
        <w:pStyle w:val="BookText"/>
      </w:pPr>
      <w:r>
        <w:rPr>
          <w:rFonts w:ascii="Amiri" w:hAnsi="Amiri" w:eastAsia="Amiri" w:cs="Amiri"/>
          <w:lang w:bidi="ar-SA"/>
          <w:color w:val="111111"/>
          <w:sz w:val="28"/>
          <w:szCs w:val="28"/>
          <w:rtl/>
        </w:rPr>
        <w:t xml:space="preserve">آغاز: بسمله، قال السيد المرتضى علم الهدى رضى الله تعالى عنه ان الاسماء في اللغة على ضربين احدهما يفيد فى المسمى فايدة</w:t>
      </w:r>
    </w:p>
    <w:p>
      <w:pPr>
        <w:pStyle w:val="BookText"/>
      </w:pPr>
      <w:r>
        <w:rPr>
          <w:rFonts w:ascii="IRNazanin" w:hAnsi="IRNazanin" w:eastAsia="IRNazanin" w:cs="IRNazanin"/>
          <w:lang w:bidi="fa-IR"/>
          <w:color w:val="111111"/>
          <w:sz w:val="28"/>
          <w:szCs w:val="28"/>
          <w:rtl/>
        </w:rPr>
        <w:t xml:space="preserve">خط: نسخ، بی کا، تا: قرن ۱۲؛ یا اوایل قرن ۱۳ق؛ افتادگی: انجام؛ کاغذ: فرنگی ،جلد: تیماج  مشکی، ۱۱گ (۱۶۴-۱۷۴)، ۱۵ سطر، قطع: رقعی،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 ۱۰ - ۱۷۴۲]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348" w:name="pg20365_260481"/>
    <w:bookmarkEnd w:id="348"/>
    <w:p>
      <w:pPr>
        <w:pStyle w:val="Heading3"/>
      </w:pPr>
      <w:bookmarkStart w:id="1676" w:name="_Toc1198"/>
      <w:r>
        <w:t>الاسماء و الصفات الالهية / كلام و اعتقادات / عربی</w:t>
      </w:r>
      <w:bookmarkEnd w:id="1676"/>
    </w:p>
    <w:p>
      <w:pPr>
        <w:pStyle w:val="BookText"/>
      </w:pPr>
      <w:r>
        <w:rPr>
          <w:rFonts w:ascii="Times New Roman" w:hAnsi="Times New Roman" w:eastAsia="Times New Roman" w:cs="Times New Roman"/>
          <w:lang w:val="en-US" w:bidi="en-US"/>
          <w:color w:val="111111"/>
          <w:sz w:val="28"/>
          <w:szCs w:val="28"/>
          <w:rtl/>
        </w:rPr>
        <w:t xml:space="preserve">al-asmā’ wa-ṣ-ṣifāt-il-ilāhīyya</w:t>
      </w:r>
    </w:p>
    <w:p>
      <w:pPr>
        <w:pStyle w:val="BookText"/>
      </w:pPr>
      <w:r>
        <w:rPr>
          <w:rFonts w:ascii="IRNazanin" w:hAnsi="IRNazanin" w:eastAsia="IRNazanin" w:cs="IRNazanin"/>
          <w:lang w:bidi="fa-IR"/>
          <w:color w:val="111111"/>
          <w:sz w:val="28"/>
          <w:szCs w:val="28"/>
          <w:rtl/>
        </w:rPr>
        <w:t xml:space="preserve">رشتی، کاظم بن قاسم، ۱۲۱۲ - ۱۲۵۹قمری</w:t>
      </w:r>
    </w:p>
    <w:p>
      <w:pPr>
        <w:pStyle w:val="BookText"/>
      </w:pPr>
      <w:r>
        <w:rPr>
          <w:rFonts w:ascii="Times New Roman" w:hAnsi="Times New Roman" w:eastAsia="Times New Roman" w:cs="Times New Roman"/>
          <w:lang w:val="en-US" w:bidi="en-US"/>
          <w:color w:val="111111"/>
          <w:sz w:val="28"/>
          <w:szCs w:val="28"/>
          <w:rtl/>
        </w:rPr>
        <w:t xml:space="preserve">(raštī, kāzem ebn-e qāsem (1798 - 1843)</w:t>
      </w:r>
    </w:p>
    <w:p>
      <w:pPr>
        <w:pStyle w:val="BookText"/>
      </w:pPr>
      <w:r>
        <w:rPr>
          <w:rFonts w:ascii="IRNazanin" w:hAnsi="IRNazanin" w:eastAsia="IRNazanin" w:cs="IRNazanin"/>
          <w:lang w:bidi="fa-IR"/>
          <w:color w:val="111111"/>
          <w:sz w:val="28"/>
          <w:szCs w:val="28"/>
          <w:rtl/>
        </w:rPr>
        <w:t xml:space="preserve">رساله ای است مشتمل بر شش «مقدمه» درصفات واسماء الهـی، بدون خطبه و مطلبی غیر از مقدمات شش گانه و ظاهراً بخشی از یک کتاب است.</w:t>
      </w:r>
    </w:p>
    <w:p>
      <w:pPr>
        <w:pStyle w:val="BookText"/>
      </w:pPr>
      <w:r>
        <w:rPr>
          <w:rFonts w:ascii="IRNazanin" w:hAnsi="IRNazanin" w:eastAsia="IRNazanin" w:cs="IRNazanin"/>
          <w:lang w:bidi="fa-IR"/>
          <w:color w:val="111111"/>
          <w:sz w:val="28"/>
          <w:szCs w:val="28"/>
          <w:rtl/>
        </w:rPr>
        <w:t xml:space="preserve">آغاز: بسمله المقدمة الاولى فى أن الصفات الالهية على قسمین اتفق الامامية بل وجماعة من غير هم على أن الصفات عـلی قسمين ذاتيه و فعلية</w:t>
      </w:r>
    </w:p>
    <w:p>
      <w:pPr>
        <w:pStyle w:val="BookText"/>
      </w:pPr>
      <w:r>
        <w:rPr>
          <w:rFonts w:ascii="IRNazanin" w:hAnsi="IRNazanin" w:eastAsia="IRNazanin" w:cs="IRNazanin"/>
          <w:lang w:bidi="fa-IR"/>
          <w:color w:val="111111"/>
          <w:sz w:val="28"/>
          <w:szCs w:val="28"/>
          <w:rtl/>
        </w:rPr>
        <w:t xml:space="preserve">انجام: المقدمة السادسة في معنى الاسم اعلم أن الاسم مشتق من الوسم... لا يطلق عليه السلام فاختلف الاشياء لهذه الجهة  فی اطلاق الاسم وعدم اطلاقه عليها فافهم.</w:t>
      </w:r>
    </w:p>
    <w:p>
      <w:pPr>
        <w:pStyle w:val="BookText"/>
      </w:pPr>
      <w:r>
        <w:rPr>
          <w:rFonts w:ascii="IRNazanin" w:hAnsi="IRNazanin" w:eastAsia="IRNazanin" w:cs="IRNazanin"/>
          <w:lang w:bidi="fa-IR"/>
          <w:color w:val="111111"/>
          <w:sz w:val="28"/>
          <w:szCs w:val="28"/>
          <w:rtl/>
        </w:rPr>
        <w:t xml:space="preserve">۱. تهران؛ سپهسالار؛ شماره نسخه: ۱۲۱۴/۴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نام کتاب در فهرست «اثبات العلة» آمده است که به قرینه آغاز نسخه تغییر یافت، بی کا، تا: ۱۲۵۲ق، ۲۷گ (۳۸ر-۶۴ر) [ف: ۵ - 37]</w:t>
      </w:r>
    </w:p>
    <w:p>
      <w:pPr>
        <w:pStyle w:val="BookText"/>
      </w:pPr>
      <w:r>
        <w:rPr>
          <w:rFonts w:ascii="IRNazanin" w:hAnsi="IRNazanin" w:eastAsia="IRNazanin" w:cs="IRNazanin"/>
          <w:lang w:bidi="fa-IR"/>
          <w:color w:val="111111"/>
          <w:sz w:val="28"/>
          <w:szCs w:val="28"/>
          <w:rtl/>
        </w:rPr>
        <w:t xml:space="preserve">۲ . قم؛ گلپایگانی؛ شماره نسخه: ۸۸۲/۴-۵/۱۷۲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جلد: تیماج، زیتونی، عطف ،قهوه ای ، 6گ، ۱۵ سطر، اندازه: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۱ - ۳۶۴]</w:t>
      </w:r>
    </w:p>
    <w:p>
      <w:pPr>
        <w:pStyle w:val="Heading3"/>
      </w:pPr>
      <w:bookmarkStart w:id="1677" w:name="_Toc1199"/>
      <w:r>
        <w:t>الاسماء و الصفات (مختصر) / حدیث / عربی</w:t>
      </w:r>
      <w:bookmarkEnd w:id="1677"/>
    </w:p>
    <w:p>
      <w:pPr>
        <w:pStyle w:val="BookText"/>
      </w:pPr>
      <w:r>
        <w:rPr>
          <w:rFonts w:ascii="Times New Roman" w:hAnsi="Times New Roman" w:eastAsia="Times New Roman" w:cs="Times New Roman"/>
          <w:lang w:val="en-US" w:bidi="en-US"/>
          <w:color w:val="111111"/>
          <w:sz w:val="28"/>
          <w:szCs w:val="28"/>
          <w:rtl/>
        </w:rPr>
        <w:t xml:space="preserve">(al-asmā’ wa-ṣ ṣifāt (muxtaṣar)</w:t>
      </w:r>
    </w:p>
    <w:p>
      <w:pPr>
        <w:pStyle w:val="BookText"/>
      </w:pPr>
      <w:r>
        <w:rPr>
          <w:rFonts w:ascii="IRNazanin" w:hAnsi="IRNazanin" w:eastAsia="IRNazanin" w:cs="IRNazanin"/>
          <w:lang w:bidi="fa-IR"/>
          <w:color w:val="111111"/>
          <w:sz w:val="28"/>
          <w:szCs w:val="28"/>
          <w:rtl/>
        </w:rPr>
        <w:t xml:space="preserve">بیهقی، احمد بن حسین، ۳۸۴ - ۴۵۸ قمری</w:t>
      </w:r>
    </w:p>
    <w:p>
      <w:pPr>
        <w:pStyle w:val="BookText"/>
      </w:pPr>
      <w:r>
        <w:rPr>
          <w:rFonts w:ascii="Times New Roman" w:hAnsi="Times New Roman" w:eastAsia="Times New Roman" w:cs="Times New Roman"/>
          <w:lang w:val="en-US" w:bidi="en-US"/>
          <w:color w:val="111111"/>
          <w:sz w:val="28"/>
          <w:szCs w:val="28"/>
          <w:rtl/>
        </w:rPr>
        <w:t xml:space="preserve">(beyhaqī, ahmad ebn-e hoseyn (995 - 1067)</w:t>
      </w:r>
    </w:p>
    <w:p>
      <w:pPr>
        <w:pStyle w:val="BookText"/>
      </w:pPr>
      <w:r>
        <w:rPr>
          <w:rFonts w:ascii="IRNazanin" w:hAnsi="IRNazanin" w:eastAsia="IRNazanin" w:cs="IRNazanin"/>
          <w:lang w:bidi="fa-IR"/>
          <w:color w:val="111111"/>
          <w:sz w:val="28"/>
          <w:szCs w:val="28"/>
          <w:rtl/>
        </w:rPr>
        <w:t xml:space="preserve">چاپ: هند الله  آباد، چاپ سنگی، ۱۳۱۳ق ،قاهره مطبعة السعادة ، ۵۲۸ ص ، ۱۳۵۸ق؛ ،بیروت، دار احياء التراث العربی ، ۱۹۷۰م.</w:t>
      </w:r>
    </w:p>
    <w:p>
      <w:pPr>
        <w:pStyle w:val="BookText"/>
      </w:pPr>
      <w:r>
        <w:rPr>
          <w:rFonts w:ascii="IRNazanin" w:hAnsi="IRNazanin" w:eastAsia="IRNazanin" w:cs="IRNazanin"/>
          <w:lang w:bidi="fa-IR"/>
          <w:color w:val="111111"/>
          <w:sz w:val="28"/>
          <w:szCs w:val="28"/>
          <w:rtl/>
        </w:rPr>
        <w:t xml:space="preserve">تهران؛ دانشگاه؛ شماره نسخه: ۱۹۵/۱۳۳-ف</w:t>
      </w:r>
    </w:p>
    <w:p>
      <w:pPr>
        <w:pStyle w:val="BookText"/>
      </w:pPr>
      <w:r>
        <w:rPr>
          <w:rFonts w:ascii="IRNazanin" w:hAnsi="IRNazanin" w:eastAsia="IRNazanin" w:cs="IRNazanin"/>
          <w:lang w:bidi="fa-IR"/>
          <w:color w:val="111111"/>
          <w:sz w:val="28"/>
          <w:szCs w:val="28"/>
          <w:rtl/>
        </w:rPr>
        <w:t xml:space="preserve">نسخه اصل: حمدیه ش .۱۴۴۷ با حذف اسانید و مکررات؛ بی کا، تا: با تاریخ ۷۵۵ق؛ در هامش است [فیلم ها-ف: ۱ - ۴۳۰]</w:t>
      </w:r>
    </w:p>
    <w:p>
      <w:pPr>
        <w:pStyle w:val="Heading3"/>
      </w:pPr>
      <w:bookmarkStart w:id="1678" w:name="_Toc1200"/>
      <w:r>
        <w:t>اسماء و القاب معصومین / تاریخ / فارسی</w:t>
      </w:r>
      <w:bookmarkEnd w:id="1678"/>
    </w:p>
    <w:p>
      <w:pPr>
        <w:pStyle w:val="BookText"/>
      </w:pPr>
      <w:r>
        <w:rPr>
          <w:rFonts w:ascii="Times New Roman" w:hAnsi="Times New Roman" w:eastAsia="Times New Roman" w:cs="Times New Roman"/>
          <w:lang w:val="en-US" w:bidi="en-US"/>
          <w:color w:val="111111"/>
          <w:sz w:val="28"/>
          <w:szCs w:val="28"/>
          <w:rtl/>
        </w:rPr>
        <w:t xml:space="preserve">asmā’ va alqāb-e ma‘sūmīn</w:t>
      </w:r>
    </w:p>
    <w:p>
      <w:pPr>
        <w:pStyle w:val="BookText"/>
      </w:pPr>
      <w:r>
        <w:rPr>
          <w:rFonts w:ascii="IRNazanin" w:hAnsi="IRNazanin" w:eastAsia="IRNazanin" w:cs="IRNazanin"/>
          <w:lang w:bidi="fa-IR"/>
          <w:color w:val="111111"/>
          <w:sz w:val="28"/>
          <w:szCs w:val="28"/>
          <w:rtl/>
        </w:rPr>
        <w:t xml:space="preserve">اسم ها و کنیه ها و لقب های امامان را با فرازهائی از زندگی  آن بزرگواران به گونه فشرده نگاشته است.</w:t>
      </w:r>
    </w:p>
    <w:p>
      <w:pPr>
        <w:pStyle w:val="BookText"/>
      </w:pPr>
      <w:r>
        <w:rPr>
          <w:rFonts w:ascii="IRNazanin" w:hAnsi="IRNazanin" w:eastAsia="IRNazanin" w:cs="IRNazanin"/>
          <w:lang w:bidi="fa-IR"/>
          <w:color w:val="111111"/>
          <w:sz w:val="28"/>
          <w:szCs w:val="28"/>
          <w:rtl/>
        </w:rPr>
        <w:t xml:space="preserve">قم؛ معصومیه؛ شماره نسخه: ۲۹۲/۳</w:t>
      </w:r>
    </w:p>
    <w:p>
      <w:pPr>
        <w:pStyle w:val="BookText"/>
      </w:pPr>
      <w:r>
        <w:rPr>
          <w:rFonts w:ascii="IRNazanin" w:hAnsi="IRNazanin" w:eastAsia="IRNazanin" w:cs="IRNazanin"/>
          <w:lang w:bidi="fa-IR"/>
          <w:color w:val="111111"/>
          <w:sz w:val="28"/>
          <w:szCs w:val="28"/>
          <w:rtl/>
        </w:rPr>
        <w:t xml:space="preserve">آغاز: در ذکر بعضی از احوال و فضائل و اسماء و کنی و القـاب  ائمه معصومین (علیهم السّلام) امام اول؛ انجام: چنانکه گفته اند: پدر نور و  پسر نوری است مشهور *** از اینجا فهم كن نور على نور</w:t>
      </w:r>
    </w:p>
    <w:p>
      <w:pPr>
        <w:pStyle w:val="BookText"/>
      </w:pPr>
      <w:r>
        <w:rPr>
          <w:rFonts w:ascii="IRNazanin" w:hAnsi="IRNazanin" w:eastAsia="IRNazanin" w:cs="IRNazanin"/>
          <w:lang w:bidi="fa-IR"/>
          <w:color w:val="111111"/>
          <w:sz w:val="28"/>
          <w:szCs w:val="28"/>
          <w:rtl/>
        </w:rPr>
        <w:t xml:space="preserve">خط: نستعلیق، بی کا، بی تا؛ عربی نسخ معرب؛ جلد: تیماج سرخ،۱۴گ (۱۲۶پ -۱۳۹ر)،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۱-۲۸۵]</w:t>
      </w:r>
    </w:p>
    <w:p>
      <w:pPr>
        <w:pStyle w:val="Heading3"/>
      </w:pPr>
      <w:bookmarkStart w:id="1679" w:name="_Toc1201"/>
      <w:r>
        <w:t>اسماء و عزائم و طلسمات / علوم غریبه / عربی</w:t>
      </w:r>
      <w:bookmarkEnd w:id="1679"/>
    </w:p>
    <w:p>
      <w:pPr>
        <w:pStyle w:val="BookText"/>
      </w:pPr>
      <w:r>
        <w:rPr>
          <w:rFonts w:ascii="Times New Roman" w:hAnsi="Times New Roman" w:eastAsia="Times New Roman" w:cs="Times New Roman"/>
          <w:lang w:val="en-US" w:bidi="en-US"/>
          <w:color w:val="111111"/>
          <w:sz w:val="28"/>
          <w:szCs w:val="28"/>
          <w:rtl/>
        </w:rPr>
        <w:t xml:space="preserve">asmā' va ‘azā'em va telesmāt</w:t>
      </w:r>
    </w:p>
    <w:p>
      <w:pPr>
        <w:pStyle w:val="BookText"/>
      </w:pPr>
      <w:r>
        <w:rPr>
          <w:rFonts w:ascii="IRNazanin" w:hAnsi="IRNazanin" w:eastAsia="IRNazanin" w:cs="IRNazanin"/>
          <w:lang w:bidi="fa-IR"/>
          <w:color w:val="111111"/>
          <w:sz w:val="28"/>
          <w:szCs w:val="28"/>
          <w:rtl/>
        </w:rPr>
        <w:t xml:space="preserve">رساله ای است در علوم غریبه شامل اسماء و عزائم و طلسمات و خواص آنها و فوایدی به نقل از بونی و دیگران</w:t>
      </w:r>
    </w:p>
    <w:p>
      <w:pPr>
        <w:pStyle w:val="BookText"/>
      </w:pPr>
      <w:r>
        <w:rPr>
          <w:rFonts w:ascii="IRNazanin" w:hAnsi="IRNazanin" w:eastAsia="IRNazanin" w:cs="IRNazanin"/>
          <w:lang w:bidi="fa-IR"/>
          <w:color w:val="111111"/>
          <w:sz w:val="28"/>
          <w:szCs w:val="28"/>
          <w:rtl/>
        </w:rPr>
        <w:t xml:space="preserve">قم؛ طبسی؛ شماره نسخه: ۱۱۷/۴</w:t>
      </w:r>
    </w:p>
    <w:p>
      <w:pPr>
        <w:pStyle w:val="BookText"/>
      </w:pPr>
      <w:r>
        <w:rPr>
          <w:rFonts w:ascii="IRNazanin" w:hAnsi="IRNazanin" w:eastAsia="IRNazanin" w:cs="IRNazanin"/>
          <w:lang w:bidi="fa-IR"/>
          <w:color w:val="111111"/>
          <w:sz w:val="28"/>
          <w:szCs w:val="28"/>
          <w:rtl/>
        </w:rPr>
        <w:t xml:space="preserve">آغاز: بسمله و به نستعين حمدله صلاة اما بعد فان الغرض و المقصود من جمع هذا الكتاب الاطلاع على خواص الروحانية الملكية المنفعلية بفعل ارادی و علم صناعی؛ انجام: فخذها في  کنز الذباب مجربا *** ذخيرة اهل الفضل من خيرة الملا</w:t>
      </w:r>
    </w:p>
    <w:p>
      <w:pPr>
        <w:pStyle w:val="BookText"/>
      </w:pPr>
      <w:r>
        <w:rPr>
          <w:rFonts w:ascii="IRNazanin" w:hAnsi="IRNazanin" w:eastAsia="IRNazanin" w:cs="IRNazanin"/>
          <w:lang w:bidi="fa-IR"/>
          <w:color w:val="111111"/>
          <w:sz w:val="28"/>
          <w:szCs w:val="28"/>
          <w:rtl/>
        </w:rPr>
        <w:t xml:space="preserve">خط: نسخ، بی کا، بی تا؛ ۱۶گ ۲۰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۲۳سم [طبسی مخ: ۱ - ۴۲]</w:t>
      </w:r>
    </w:p>
    <w:p>
      <w:pPr>
        <w:pStyle w:val="Heading3"/>
      </w:pPr>
      <w:bookmarkStart w:id="1680" w:name="_Toc1202"/>
      <w:r>
        <w:t>أسمار الأنوار - أسمار الأسرار / عرفان و تصوف / فارسی</w:t>
      </w:r>
      <w:bookmarkEnd w:id="1680"/>
    </w:p>
    <w:p>
      <w:pPr>
        <w:pStyle w:val="BookText"/>
      </w:pPr>
      <w:r>
        <w:rPr>
          <w:rFonts w:ascii="Times New Roman" w:hAnsi="Times New Roman" w:eastAsia="Times New Roman" w:cs="Times New Roman"/>
          <w:lang w:val="en-US" w:bidi="en-US"/>
          <w:color w:val="111111"/>
          <w:sz w:val="28"/>
          <w:szCs w:val="28"/>
          <w:rtl/>
        </w:rPr>
        <w:t xml:space="preserve">asmār-ol anvār = asmār-ol asrār</w:t>
      </w:r>
    </w:p>
    <w:p>
      <w:pPr>
        <w:pStyle w:val="BookText"/>
      </w:pPr>
      <w:r>
        <w:rPr>
          <w:rFonts w:ascii="IRNazanin" w:hAnsi="IRNazanin" w:eastAsia="IRNazanin" w:cs="IRNazanin"/>
          <w:lang w:bidi="fa-IR"/>
          <w:color w:val="111111"/>
          <w:sz w:val="28"/>
          <w:szCs w:val="28"/>
          <w:rtl/>
        </w:rPr>
        <w:t xml:space="preserve">گیسو دراز، محمد بن یوسف، ۷۲۱ - ۸۲۶؟ قمری</w:t>
      </w:r>
    </w:p>
    <w:p>
      <w:pPr>
        <w:pStyle w:val="BookText"/>
      </w:pPr>
      <w:r>
        <w:rPr>
          <w:rFonts w:ascii="Times New Roman" w:hAnsi="Times New Roman" w:eastAsia="Times New Roman" w:cs="Times New Roman"/>
          <w:lang w:val="en-US" w:bidi="en-US"/>
          <w:color w:val="111111"/>
          <w:sz w:val="28"/>
          <w:szCs w:val="28"/>
          <w:rtl/>
        </w:rPr>
        <w:t xml:space="preserve">(gīsūderāz, mohammad ebn-e yusof (1322 - 1423)</w:t>
      </w:r>
    </w:p>
    <w:p>
      <w:pPr>
        <w:pStyle w:val="BookText"/>
      </w:pPr>
      <w:r>
        <w:rPr>
          <w:rFonts w:ascii="IRNazanin" w:hAnsi="IRNazanin" w:eastAsia="IRNazanin" w:cs="IRNazanin"/>
          <w:lang w:bidi="fa-IR"/>
          <w:color w:val="111111"/>
          <w:sz w:val="28"/>
          <w:szCs w:val="28"/>
          <w:rtl/>
        </w:rPr>
        <w:t xml:space="preserve">مطالب عرفانی است به صورت «سمر» «سمر» نسخه چاپی از این کتاب موجود است که گویا نسخه کاملی نباشد.</w:t>
      </w:r>
    </w:p>
    <w:p>
      <w:pPr>
        <w:pStyle w:val="BookText"/>
      </w:pPr>
      <w:r>
        <w:rPr>
          <w:rFonts w:ascii="IRNazanin" w:hAnsi="IRNazanin" w:eastAsia="IRNazanin" w:cs="IRNazanin"/>
          <w:lang w:bidi="fa-IR"/>
          <w:color w:val="111111"/>
          <w:sz w:val="28"/>
          <w:szCs w:val="28"/>
          <w:rtl/>
        </w:rPr>
        <w:t xml:space="preserve">[نسخه های منزوی ۱۲۶۴/۳]</w:t>
      </w:r>
    </w:p>
    <w:p>
      <w:pPr>
        <w:pStyle w:val="BookText"/>
      </w:pPr>
      <w:r>
        <w:rPr>
          <w:rFonts w:ascii="IRNazanin" w:hAnsi="IRNazanin" w:eastAsia="IRNazanin" w:cs="IRNazanin"/>
          <w:lang w:bidi="fa-IR"/>
          <w:color w:val="111111"/>
          <w:sz w:val="28"/>
          <w:szCs w:val="28"/>
          <w:rtl/>
        </w:rPr>
        <w:t xml:space="preserve">قم؛ مرعشی؛ شماره نسخه: ۱۴۴۸۷</w:t>
      </w:r>
    </w:p>
    <w:p>
      <w:pPr>
        <w:pStyle w:val="BookText"/>
      </w:pPr>
      <w:r>
        <w:rPr>
          <w:rFonts w:ascii="IRNazanin" w:hAnsi="IRNazanin" w:eastAsia="IRNazanin" w:cs="IRNazanin"/>
          <w:lang w:bidi="fa-IR"/>
          <w:color w:val="111111"/>
          <w:sz w:val="28"/>
          <w:szCs w:val="28"/>
          <w:rtl/>
        </w:rPr>
        <w:t xml:space="preserve">آغاز: در بریا غرق شدست در آن غرقاب قابلیت ندارد فریاد کند مگر اینکه سر از و بیرون کند؛ انجام: و تجلی و آنکه بین النوم و البقطه باشد چندان عبرتی ندارد</w:t>
      </w:r>
    </w:p>
    <w:p>
      <w:pPr>
        <w:pStyle w:val="BookText"/>
      </w:pPr>
      <w:r>
        <w:rPr>
          <w:rFonts w:ascii="IRNazanin" w:hAnsi="IRNazanin" w:eastAsia="IRNazanin" w:cs="IRNazanin"/>
          <w:lang w:bidi="fa-IR"/>
          <w:color w:val="111111"/>
          <w:sz w:val="28"/>
          <w:szCs w:val="28"/>
          <w:rtl/>
        </w:rPr>
        <w:t xml:space="preserve">این نسخه از «سمر ۲ تا ۱۲۰ را در خود دارد؛ خط: نسخ، بی کا، تا: قرن ۱۱؛ افتادگی: آغاز؛ مصحح؛ کاغذ: شرقی، جلد:چرم ضربی با ترنج، ۳۲۱گ، ۱۳ سطر (9</w:t>
      </w:r>
      <w:r>
        <w:rPr>
          <w:rFonts w:ascii="Times New Roman" w:hAnsi="Times New Roman" w:eastAsia="Times New Roman" w:cs="Times New Roman"/>
          <w:lang w:val="en-US" w:bidi="en-US"/>
          <w:color w:val="111111"/>
          <w:sz w:val="28"/>
          <w:szCs w:val="28"/>
          <w:rtl/>
        </w:rPr>
        <w:t xml:space="preserve">×17/5)</w:t>
      </w:r>
      <w:r>
        <w:rPr>
          <w:rFonts w:ascii="IRNazanin" w:hAnsi="IRNazanin" w:eastAsia="IRNazanin" w:cs="IRNazanin"/>
          <w:lang w:bidi="fa-IR"/>
          <w:color w:val="111111"/>
          <w:sz w:val="28"/>
          <w:szCs w:val="28"/>
          <w:rtl/>
        </w:rPr>
        <w:t xml:space="preserve">،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۲۶سم  [ف: ۳۶ - ۴۷۷]</w:t>
      </w:r>
    </w:p>
    <w:p>
      <w:pPr>
        <w:pStyle w:val="BookText"/>
      </w:pPr>
      <w:r>
        <w:rPr>
          <w:rFonts w:ascii="IRNazanin" w:hAnsi="IRNazanin" w:eastAsia="IRNazanin" w:cs="IRNazanin"/>
          <w:lang w:bidi="fa-IR"/>
          <w:color w:val="111111"/>
          <w:sz w:val="28"/>
          <w:szCs w:val="28"/>
          <w:rtl/>
        </w:rPr>
        <w:t xml:space="preserve">«اسمار حمزه » حمزه نامه</w:t>
      </w:r>
    </w:p>
    <w:p>
      <w:pPr>
        <w:pStyle w:val="Heading3"/>
      </w:pPr>
      <w:bookmarkStart w:id="1681" w:name="_Toc1203"/>
      <w:r>
        <w:t>اسماع الصم فى اثبات الشرف من قبل الأم / متفرقه /  عربی</w:t>
      </w:r>
      <w:bookmarkEnd w:id="1681"/>
    </w:p>
    <w:p>
      <w:pPr>
        <w:pStyle w:val="BookText"/>
      </w:pPr>
      <w:r>
        <w:rPr>
          <w:rFonts w:ascii="Times New Roman" w:hAnsi="Times New Roman" w:eastAsia="Times New Roman" w:cs="Times New Roman"/>
          <w:lang w:val="en-US" w:bidi="en-US"/>
          <w:color w:val="111111"/>
          <w:sz w:val="28"/>
          <w:szCs w:val="28"/>
          <w:rtl/>
        </w:rPr>
        <w:t xml:space="preserve">ismā‘-uṣ-ṣumm fī iṯbāt-iš-šaraf min qibal-il-’umm</w:t>
      </w:r>
    </w:p>
    <w:p>
      <w:pPr>
        <w:pStyle w:val="BookText"/>
      </w:pPr>
      <w:r>
        <w:rPr>
          <w:rFonts w:ascii="IRNazanin" w:hAnsi="IRNazanin" w:eastAsia="IRNazanin" w:cs="IRNazanin"/>
          <w:lang w:bidi="fa-IR"/>
          <w:color w:val="111111"/>
          <w:sz w:val="28"/>
          <w:szCs w:val="28"/>
          <w:rtl/>
        </w:rPr>
        <w:t xml:space="preserve">ابن ابی  زید، محمد بن عبدالرحمن، - ۷۳۹ قمری</w:t>
      </w:r>
    </w:p>
    <w:p>
      <w:pPr>
        <w:pStyle w:val="BookText"/>
      </w:pPr>
      <w:r>
        <w:rPr>
          <w:rFonts w:ascii="Times New Roman" w:hAnsi="Times New Roman" w:eastAsia="Times New Roman" w:cs="Times New Roman"/>
          <w:lang w:val="en-US" w:bidi="en-US"/>
          <w:color w:val="111111"/>
          <w:sz w:val="28"/>
          <w:szCs w:val="28"/>
          <w:rtl/>
        </w:rPr>
        <w:t xml:space="preserve">(1339-)ebn-e abī-zeyd, mohammad ebn-e 'abd-or-rahman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349" w:name="pg20365_260482"/>
    <w:bookmarkEnd w:id="349"/>
    <w:p>
      <w:pPr>
        <w:pStyle w:val="BookText"/>
      </w:pPr>
      <w:r>
        <w:rPr>
          <w:rFonts w:ascii="IRNazanin" w:hAnsi="IRNazanin" w:eastAsia="IRNazanin" w:cs="IRNazanin"/>
          <w:lang w:bidi="fa-IR"/>
          <w:color w:val="111111"/>
          <w:sz w:val="28"/>
          <w:szCs w:val="28"/>
          <w:rtl/>
        </w:rPr>
        <w:t xml:space="preserve">در اثبات سیادت و شرافت آنان که نسب مادرشان به پیا مبرگرامی اسلام (صلّی اللَّهِ علیه وَ آلِهِ وَ سَلَّمَ ) می رسد با بیان بعضی از خصائص و احکام مربوط به  آنان، که به درخواست شخصی که دارای چنین نسـبی  نگاشته شده تا رفع اختلاف در این موضوع که در تونس و بجایه مطرح بود بشود. در یک مقدمه و شش «باب»: المقدمة في آراء الفقهاء فى الموضوع؛ باب ١. الاستدلال من القرآن عـلی اثبات الشرف؛ ۲. الاستدلال من السنة على ذلك .3. الاستدل من الاجماع على ذلك .۴. الاستدلال من النظر على ذلك؛ 5.فيما يحتج به نفاته و الجواب عنه؛ ۶. مسائل من حقوق الشرفاء.</w:t>
      </w:r>
    </w:p>
    <w:p>
      <w:pPr>
        <w:pStyle w:val="BookText"/>
      </w:pPr>
      <w:r>
        <w:rPr>
          <w:rFonts w:ascii="IRNazanin" w:hAnsi="IRNazanin" w:eastAsia="IRNazanin" w:cs="IRNazanin"/>
          <w:lang w:bidi="fa-IR"/>
          <w:color w:val="111111"/>
          <w:sz w:val="28"/>
          <w:szCs w:val="28"/>
          <w:rtl/>
        </w:rPr>
        <w:t xml:space="preserve">قم؛ مرعشی؛ شماره نسخه: ۸۶۶۴/۱</w:t>
      </w:r>
    </w:p>
    <w:p>
      <w:pPr>
        <w:pStyle w:val="BookText"/>
      </w:pPr>
      <w:r>
        <w:rPr>
          <w:rFonts w:ascii="IRNazanin" w:hAnsi="IRNazanin" w:eastAsia="IRNazanin" w:cs="IRNazanin"/>
          <w:lang w:bidi="fa-IR"/>
          <w:color w:val="111111"/>
          <w:sz w:val="28"/>
          <w:szCs w:val="28"/>
          <w:rtl/>
        </w:rPr>
        <w:t xml:space="preserve">آغاز: الحمد لله الذى جعل لسيدنا و مولانا محمد كل الكمال جملة الجمال فسماه بالحمد و بعثه بالدين القيم و أثنى عليه بالخلق العظيم؛ انجام: و صلى الله على سيدنا و مولانا محمد و علی آلـه و صحبه و سلم تسليما كثيرا أثيرا، آمين.</w:t>
      </w:r>
    </w:p>
    <w:p>
      <w:pPr>
        <w:pStyle w:val="BookText"/>
      </w:pPr>
      <w:r>
        <w:rPr>
          <w:rFonts w:ascii="IRNazanin" w:hAnsi="IRNazanin" w:eastAsia="IRNazanin" w:cs="IRNazanin"/>
          <w:lang w:bidi="fa-IR"/>
          <w:color w:val="111111"/>
          <w:sz w:val="28"/>
          <w:szCs w:val="28"/>
          <w:rtl/>
        </w:rPr>
        <w:t xml:space="preserve">خط: نسخ، کا: محمود حمدی، تا: ۱۳۳۹ق؛ مصحح؛ جلد: تیماج ،نیلی ۳۵گ (1پ -۳۵ ر)، ۲۱ سطر، اندازه: ۲۶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22- 216]</w:t>
      </w:r>
    </w:p>
    <w:p>
      <w:pPr>
        <w:pStyle w:val="Heading3"/>
      </w:pPr>
      <w:bookmarkStart w:id="1682" w:name="_Toc1204"/>
      <w:r>
        <w:t>اسماعیل ذبیح الله / شعر / فارسی</w:t>
      </w:r>
      <w:bookmarkEnd w:id="1682"/>
    </w:p>
    <w:p>
      <w:pPr>
        <w:pStyle w:val="BookText"/>
      </w:pPr>
      <w:r>
        <w:rPr>
          <w:rFonts w:ascii="Times New Roman" w:hAnsi="Times New Roman" w:eastAsia="Times New Roman" w:cs="Times New Roman"/>
          <w:lang w:val="en-US" w:bidi="en-US"/>
          <w:color w:val="111111"/>
          <w:sz w:val="28"/>
          <w:szCs w:val="28"/>
          <w:rtl/>
        </w:rPr>
        <w:t xml:space="preserve">esmā‘īl zabīh-ol-lāh</w:t>
      </w:r>
    </w:p>
    <w:p>
      <w:pPr>
        <w:pStyle w:val="BookText"/>
      </w:pPr>
      <w:r>
        <w:rPr>
          <w:rFonts w:ascii="IRNazanin" w:hAnsi="IRNazanin" w:eastAsia="IRNazanin" w:cs="IRNazanin"/>
          <w:lang w:bidi="fa-IR"/>
          <w:color w:val="111111"/>
          <w:sz w:val="28"/>
          <w:szCs w:val="28"/>
          <w:rtl/>
        </w:rPr>
        <w:t xml:space="preserve">مجموعه اشعار و قصاید از شعرا و ادیبان نغزگو که در یک دفتر جمع آوری شده اند عناوین عبارتند از: حکایت ابراهیم(علیه السّلام) و قربانی اسماعیل (علیه السّلام) در کوه  منی، در مدح امیرالمؤمنین (علیه السّلام) بهاریات در مدح مولا، مجموعه قصیده جناب علی، قصیده جـابر انصاری، مخمس در شأن انبیاء دوازده امام من كلام سعد [ی]، غزل من كلام میرزا  حسرت، غزل من كلام  برقى، من کلام محتشم (هشت بند) بهاريات من كلام مروى، غزل  من کلام نظری</w:t>
      </w:r>
    </w:p>
    <w:p>
      <w:pPr>
        <w:pStyle w:val="BookText"/>
      </w:pPr>
      <w:r>
        <w:rPr>
          <w:rFonts w:ascii="IRNazanin" w:hAnsi="IRNazanin" w:eastAsia="IRNazanin" w:cs="IRNazanin"/>
          <w:lang w:bidi="fa-IR"/>
          <w:color w:val="111111"/>
          <w:sz w:val="28"/>
          <w:szCs w:val="28"/>
          <w:rtl/>
        </w:rPr>
        <w:t xml:space="preserve">کاشان؛ مدرسه سلطانی؛ شماره نسخه: ۳۰۶/۱</w:t>
      </w:r>
    </w:p>
    <w:p>
      <w:pPr>
        <w:pStyle w:val="BookText"/>
      </w:pPr>
      <w:r>
        <w:rPr>
          <w:rFonts w:ascii="IRNazanin" w:hAnsi="IRNazanin" w:eastAsia="IRNazanin" w:cs="IRNazanin"/>
          <w:lang w:bidi="fa-IR"/>
          <w:color w:val="111111"/>
          <w:sz w:val="28"/>
          <w:szCs w:val="28"/>
          <w:rtl/>
        </w:rPr>
        <w:t xml:space="preserve">آغاز: حکایت ابراهیم خلیل الله عليه السلام قربان اسماعيل علیه السلام بسمله؛ بنام پادشاه فرد اعظم *** كريم وخالق ودانا واعـلم؛ انجام: جای ترحم است نمی کز جنون عشق *** می خواهم از تو آنچه در آب گل تو نیست / خون تو را نظری چه قدر خموش باش *** زین که دعوی از طرف قاتل تو نیست</w:t>
      </w:r>
    </w:p>
    <w:p>
      <w:pPr>
        <w:pStyle w:val="BookText"/>
      </w:pPr>
      <w:r>
        <w:rPr>
          <w:rFonts w:ascii="IRNazanin" w:hAnsi="IRNazanin" w:eastAsia="IRNazanin" w:cs="IRNazanin"/>
          <w:lang w:bidi="fa-IR"/>
          <w:color w:val="111111"/>
          <w:sz w:val="28"/>
          <w:szCs w:val="28"/>
          <w:rtl/>
        </w:rPr>
        <w:t xml:space="preserve">کا ،عباسقلی، تا: یک شنبه ۱۸ رمضان۱۲۴۵ق؛ جلد: تیماج مشکی مجدول ضربی، ۳۲گ، ۹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w:t>
      </w:r>
    </w:p>
    <w:p>
      <w:pPr>
        <w:pStyle w:val="Heading3"/>
      </w:pPr>
      <w:bookmarkStart w:id="1683" w:name="_Toc1205"/>
      <w:r>
        <w:t>اسماعیلی / فارسی</w:t>
      </w:r>
      <w:bookmarkEnd w:id="1683"/>
    </w:p>
    <w:p>
      <w:pPr>
        <w:pStyle w:val="BookText"/>
      </w:pPr>
      <w:r>
        <w:rPr>
          <w:rFonts w:ascii="Times New Roman" w:hAnsi="Times New Roman" w:eastAsia="Times New Roman" w:cs="Times New Roman"/>
          <w:lang w:val="en-US" w:bidi="en-US"/>
          <w:color w:val="111111"/>
          <w:sz w:val="28"/>
          <w:szCs w:val="28"/>
          <w:rtl/>
        </w:rPr>
        <w:t xml:space="preserve">esmā‘īlī</w:t>
      </w:r>
    </w:p>
    <w:p>
      <w:pPr>
        <w:pStyle w:val="BookText"/>
      </w:pPr>
      <w:r>
        <w:rPr>
          <w:rFonts w:ascii="IRNazanin" w:hAnsi="IRNazanin" w:eastAsia="IRNazanin" w:cs="IRNazanin"/>
          <w:lang w:bidi="fa-IR"/>
          <w:color w:val="111111"/>
          <w:sz w:val="28"/>
          <w:szCs w:val="28"/>
          <w:rtl/>
        </w:rPr>
        <w:t xml:space="preserve">سه بند به فارسی به روش اسماعيل: ١. دنیا و حالات دنیا هـمه خیالات است؛ ۲. هفت ارکان شریعت؛ ۳. در فصول مقدس می فرماید (پند است).</w:t>
      </w:r>
    </w:p>
    <w:p>
      <w:pPr>
        <w:pStyle w:val="BookText"/>
      </w:pPr>
      <w:r>
        <w:rPr>
          <w:rFonts w:ascii="IRNazanin" w:hAnsi="IRNazanin" w:eastAsia="IRNazanin" w:cs="IRNazanin"/>
          <w:lang w:bidi="fa-IR"/>
          <w:color w:val="111111"/>
          <w:sz w:val="28"/>
          <w:szCs w:val="28"/>
          <w:rtl/>
        </w:rPr>
        <w:t xml:space="preserve">تهران؛ دانشگاه؛ شماره نسخه: ۸۲۱۱/۱۲</w:t>
      </w:r>
    </w:p>
    <w:p>
      <w:pPr>
        <w:pStyle w:val="BookText"/>
      </w:pPr>
      <w:r>
        <w:rPr>
          <w:rFonts w:ascii="IRNazanin" w:hAnsi="IRNazanin" w:eastAsia="IRNazanin" w:cs="IRNazanin"/>
          <w:lang w:bidi="fa-IR"/>
          <w:color w:val="111111"/>
          <w:sz w:val="28"/>
          <w:szCs w:val="28"/>
          <w:rtl/>
        </w:rPr>
        <w:t xml:space="preserve">خط: نستعلیق ،چلیپا، بی کا، تا: قرن ۱۱؛ کاغذ: سپاهانی کبود و  نخودی، جلد: تیماج مشکی ضربی  مقوایی، ۵ص (۲-۶) ، ۱۷ سطر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قطع: ربعی، اندازه: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۲۳سم [ف : ۱۷ - ۵۷]</w:t>
      </w:r>
    </w:p>
    <w:p>
      <w:pPr>
        <w:pStyle w:val="BookText"/>
      </w:pPr>
      <w:r>
        <w:rPr>
          <w:rFonts w:ascii="Amiri" w:hAnsi="Amiri" w:eastAsia="Amiri" w:cs="Amiri"/>
          <w:lang w:bidi="ar-SA"/>
          <w:color w:val="111111"/>
          <w:sz w:val="28"/>
          <w:szCs w:val="28"/>
          <w:rtl/>
        </w:rPr>
        <w:t xml:space="preserve">«الاسماعيلية » اللمعة الجلية في تحقيق المسائل الاسماعيلية</w:t>
      </w:r>
    </w:p>
    <w:p>
      <w:pPr>
        <w:pStyle w:val="Heading3"/>
      </w:pPr>
      <w:bookmarkStart w:id="1684" w:name="_Toc1206"/>
      <w:r>
        <w:t>اسماعیلی (منظومه) / شعر / فارسی</w:t>
      </w:r>
      <w:bookmarkEnd w:id="1684"/>
    </w:p>
    <w:p>
      <w:pPr>
        <w:pStyle w:val="BookText"/>
      </w:pPr>
      <w:r>
        <w:rPr>
          <w:rFonts w:ascii="Times New Roman" w:hAnsi="Times New Roman" w:eastAsia="Times New Roman" w:cs="Times New Roman"/>
          <w:lang w:val="en-US" w:bidi="en-US"/>
          <w:color w:val="111111"/>
          <w:sz w:val="28"/>
          <w:szCs w:val="28"/>
          <w:rtl/>
        </w:rPr>
        <w:t xml:space="preserve">(esmā īlī (manzūme)</w:t>
      </w:r>
    </w:p>
    <w:p>
      <w:pPr>
        <w:pStyle w:val="BookText"/>
      </w:pPr>
      <w:r>
        <w:rPr>
          <w:rFonts w:ascii="IRNazanin" w:hAnsi="IRNazanin" w:eastAsia="IRNazanin" w:cs="IRNazanin"/>
          <w:lang w:bidi="fa-IR"/>
          <w:color w:val="111111"/>
          <w:sz w:val="28"/>
          <w:szCs w:val="28"/>
          <w:rtl/>
        </w:rPr>
        <w:t xml:space="preserve">تهران؛ دانشگاه؛ شماره نسخه: ۲۸۳۵/۳-ف</w:t>
      </w:r>
    </w:p>
    <w:p>
      <w:pPr>
        <w:pStyle w:val="BookText"/>
      </w:pPr>
      <w:r>
        <w:rPr>
          <w:rFonts w:ascii="IRNazanin" w:hAnsi="IRNazanin" w:eastAsia="IRNazanin" w:cs="IRNazanin"/>
          <w:lang w:bidi="fa-IR"/>
          <w:color w:val="111111"/>
          <w:sz w:val="28"/>
          <w:szCs w:val="28"/>
          <w:rtl/>
        </w:rPr>
        <w:t xml:space="preserve">بی کا، تا: ۷۷۷ق، قطع: وزیری [ فیلم ها-ف: ۱- ۷۳۵]</w:t>
      </w:r>
    </w:p>
    <w:p>
      <w:pPr>
        <w:pStyle w:val="Heading3"/>
      </w:pPr>
      <w:bookmarkStart w:id="1685" w:name="_Toc1207"/>
      <w:r>
        <w:t>اسماعیلی (منظومه) / پاسخ پرسش ها / فارسی</w:t>
      </w:r>
      <w:bookmarkEnd w:id="1685"/>
    </w:p>
    <w:p>
      <w:pPr>
        <w:pStyle w:val="BookText"/>
      </w:pPr>
      <w:r>
        <w:rPr>
          <w:rFonts w:ascii="Times New Roman" w:hAnsi="Times New Roman" w:eastAsia="Times New Roman" w:cs="Times New Roman"/>
          <w:lang w:val="en-US" w:bidi="en-US"/>
          <w:color w:val="111111"/>
          <w:sz w:val="28"/>
          <w:szCs w:val="28"/>
          <w:rtl/>
        </w:rPr>
        <w:t xml:space="preserve">(esmā‘īlī (manzūme)</w:t>
      </w:r>
    </w:p>
    <w:p>
      <w:pPr>
        <w:pStyle w:val="BookText"/>
      </w:pPr>
      <w:r>
        <w:rPr>
          <w:rFonts w:ascii="IRNazanin" w:hAnsi="IRNazanin" w:eastAsia="IRNazanin" w:cs="IRNazanin"/>
          <w:lang w:bidi="fa-IR"/>
          <w:color w:val="111111"/>
          <w:sz w:val="28"/>
          <w:szCs w:val="28"/>
          <w:rtl/>
        </w:rPr>
        <w:t xml:space="preserve">پاسخ بیست پرسش است.</w:t>
      </w:r>
    </w:p>
    <w:p>
      <w:pPr>
        <w:pStyle w:val="BookText"/>
      </w:pPr>
      <w:r>
        <w:rPr>
          <w:rFonts w:ascii="IRNazanin" w:hAnsi="IRNazanin" w:eastAsia="IRNazanin" w:cs="IRNazanin"/>
          <w:lang w:bidi="fa-IR"/>
          <w:color w:val="111111"/>
          <w:sz w:val="28"/>
          <w:szCs w:val="28"/>
          <w:rtl/>
        </w:rPr>
        <w:t xml:space="preserve">تهران؛ دانشگاه؛ شماره نسخه: ۱۰۸۸ف</w:t>
      </w:r>
    </w:p>
    <w:p>
      <w:pPr>
        <w:pStyle w:val="BookText"/>
      </w:pPr>
      <w:r>
        <w:rPr>
          <w:rFonts w:ascii="IRNazanin" w:hAnsi="IRNazanin" w:eastAsia="IRNazanin" w:cs="IRNazanin"/>
          <w:lang w:bidi="fa-IR"/>
          <w:color w:val="111111"/>
          <w:sz w:val="28"/>
          <w:szCs w:val="28"/>
          <w:rtl/>
        </w:rPr>
        <w:t xml:space="preserve">آغاز: آغاز: هران سالک که پیشم راه یابد *** بعالم او دل آگاه  یابد؛ انجام: پس آنگه ناله و فریاد کردند *** همه اسرار پیشش یاد کردند</w:t>
      </w:r>
    </w:p>
    <w:p>
      <w:pPr>
        <w:pStyle w:val="BookText"/>
      </w:pPr>
      <w:r>
        <w:rPr>
          <w:rFonts w:ascii="Amiri" w:hAnsi="Amiri" w:eastAsia="Amiri" w:cs="Amiri"/>
          <w:lang w:bidi="ar-SA"/>
          <w:color w:val="111111"/>
          <w:sz w:val="28"/>
          <w:szCs w:val="28"/>
          <w:rtl/>
        </w:rPr>
        <w:t xml:space="preserve">نسخه اصل: موزه بريتانيا 16714 .</w:t>
      </w:r>
      <w:r>
        <w:rPr>
          <w:rFonts w:ascii="Times New Roman" w:hAnsi="Times New Roman" w:eastAsia="Times New Roman" w:cs="Times New Roman"/>
          <w:lang w:val="en-US" w:bidi="en-US"/>
          <w:color w:val="111111"/>
          <w:sz w:val="28"/>
          <w:szCs w:val="28"/>
          <w:rtl/>
        </w:rPr>
        <w:t xml:space="preserve">Or </w:t>
      </w:r>
      <w:r>
        <w:rPr>
          <w:rFonts w:ascii="IRNazanin" w:hAnsi="IRNazanin" w:eastAsia="IRNazanin" w:cs="IRNazanin"/>
          <w:lang w:bidi="fa-IR"/>
          <w:color w:val="111111"/>
          <w:sz w:val="28"/>
          <w:szCs w:val="28"/>
          <w:rtl/>
        </w:rPr>
        <w:t xml:space="preserve">نسخه هندی؛ بی  کا، بی تا  ، ١٣٠ص [ فیلم ها-ف: ۱ - ۲۶۰]</w:t>
      </w:r>
    </w:p>
    <w:p>
      <w:pPr>
        <w:pStyle w:val="Heading3"/>
      </w:pPr>
      <w:bookmarkStart w:id="1686" w:name="_Toc1208"/>
      <w:r>
        <w:t>اسماعیلیه / ادیان و مذاهب / فارسی</w:t>
      </w:r>
      <w:bookmarkEnd w:id="1686"/>
    </w:p>
    <w:p>
      <w:pPr>
        <w:pStyle w:val="BookText"/>
      </w:pPr>
      <w:r>
        <w:rPr>
          <w:rFonts w:ascii="Times New Roman" w:hAnsi="Times New Roman" w:eastAsia="Times New Roman" w:cs="Times New Roman"/>
          <w:lang w:val="en-US" w:bidi="en-US"/>
          <w:color w:val="111111"/>
          <w:sz w:val="28"/>
          <w:szCs w:val="28"/>
          <w:rtl/>
        </w:rPr>
        <w:t xml:space="preserve">esmā īlīye</w:t>
      </w:r>
    </w:p>
    <w:p>
      <w:pPr>
        <w:pStyle w:val="BookText"/>
      </w:pPr>
      <w:r>
        <w:rPr>
          <w:rFonts w:ascii="IRNazanin" w:hAnsi="IRNazanin" w:eastAsia="IRNazanin" w:cs="IRNazanin"/>
          <w:lang w:bidi="fa-IR"/>
          <w:color w:val="111111"/>
          <w:sz w:val="28"/>
          <w:szCs w:val="28"/>
          <w:rtl/>
        </w:rPr>
        <w:t xml:space="preserve">نصیرالدین طوسی، محمد بن محمد، ۵۹۷ – ۶۷۲ قمری ،</w:t>
      </w:r>
    </w:p>
    <w:p>
      <w:pPr>
        <w:pStyle w:val="BookText"/>
      </w:pPr>
      <w:r>
        <w:rPr>
          <w:rFonts w:ascii="Times New Roman" w:hAnsi="Times New Roman" w:eastAsia="Times New Roman" w:cs="Times New Roman"/>
          <w:lang w:val="en-US" w:bidi="en-US"/>
          <w:color w:val="111111"/>
          <w:sz w:val="28"/>
          <w:szCs w:val="28"/>
          <w:rtl/>
        </w:rPr>
        <w:t xml:space="preserve">nasir-od-din-e tusi, mohammad ebn-e mohammad</w:t>
      </w:r>
    </w:p>
    <w:p>
      <w:pPr>
        <w:pStyle w:val="BookText"/>
      </w:pPr>
      <w:r>
        <w:rPr>
          <w:rFonts w:ascii="Times New Roman" w:hAnsi="Times New Roman" w:eastAsia="Times New Roman" w:cs="Times New Roman"/>
          <w:lang w:val="en-US" w:bidi="en-US"/>
          <w:color w:val="111111"/>
          <w:sz w:val="28"/>
          <w:szCs w:val="28"/>
          <w:rtl/>
        </w:rPr>
        <w:t xml:space="preserve">(1201 - 1274)</w:t>
      </w:r>
    </w:p>
    <w:p>
      <w:pPr>
        <w:pStyle w:val="BookText"/>
      </w:pPr>
      <w:r>
        <w:rPr>
          <w:rFonts w:ascii="IRNazanin" w:hAnsi="IRNazanin" w:eastAsia="IRNazanin" w:cs="IRNazanin"/>
          <w:lang w:bidi="fa-IR"/>
          <w:color w:val="111111"/>
          <w:sz w:val="28"/>
          <w:szCs w:val="28"/>
          <w:rtl/>
        </w:rPr>
        <w:t xml:space="preserve">این رساله فقط چند خط است که از یکی از رساله های او نقل کرده و تألیف خواجه نیست.</w:t>
      </w:r>
    </w:p>
    <w:p>
      <w:pPr>
        <w:pStyle w:val="BookText"/>
      </w:pPr>
      <w:r>
        <w:rPr>
          <w:rFonts w:ascii="IRNazanin" w:hAnsi="IRNazanin" w:eastAsia="IRNazanin" w:cs="IRNazanin"/>
          <w:lang w:bidi="fa-IR"/>
          <w:color w:val="111111"/>
          <w:sz w:val="28"/>
          <w:szCs w:val="28"/>
          <w:rtl/>
        </w:rPr>
        <w:t xml:space="preserve">تهران؛ مجلس؛ شماره نسخه: ۲۰۶/۲۴ طباطبائی</w:t>
      </w:r>
    </w:p>
    <w:p>
      <w:pPr>
        <w:pStyle w:val="BookText"/>
      </w:pPr>
      <w:r>
        <w:rPr>
          <w:rFonts w:ascii="IRNazanin" w:hAnsi="IRNazanin" w:eastAsia="IRNazanin" w:cs="IRNazanin"/>
          <w:lang w:bidi="fa-IR"/>
          <w:color w:val="111111"/>
          <w:sz w:val="28"/>
          <w:szCs w:val="28"/>
          <w:rtl/>
        </w:rPr>
        <w:t xml:space="preserve">آغاز: خواجه نصیر الدین محقق طوسى عليه الرحمه و الغفران فرموده این طایفه یعنی اسماعیلیه میگویند امام مظهر امر است و  حجت مظهر عقل اولست که آن را عقل کل نیز می گویند</w:t>
      </w:r>
    </w:p>
    <w:p>
      <w:pPr>
        <w:pStyle w:val="BookText"/>
      </w:pPr>
      <w:r>
        <w:rPr>
          <w:rFonts w:ascii="IRNazanin" w:hAnsi="IRNazanin" w:eastAsia="IRNazanin" w:cs="IRNazanin"/>
          <w:lang w:bidi="fa-IR"/>
          <w:color w:val="111111"/>
          <w:sz w:val="28"/>
          <w:szCs w:val="28"/>
          <w:rtl/>
        </w:rPr>
        <w:t xml:space="preserve">بی کا، تا: قرن ۱۱؛ ۱ص (۲۴۲ پ) [ف: ۲۲ - ۷۸]</w:t>
      </w:r>
    </w:p>
    <w:p>
      <w:pPr>
        <w:pStyle w:val="Heading3"/>
      </w:pPr>
      <w:bookmarkStart w:id="1687" w:name="_Toc1209"/>
      <w:r>
        <w:t>الاسم الاعظم / اسماء الله /عربي</w:t>
      </w:r>
      <w:bookmarkEnd w:id="1687"/>
    </w:p>
    <w:p>
      <w:pPr>
        <w:pStyle w:val="BookText"/>
      </w:pPr>
      <w:r>
        <w:rPr>
          <w:rFonts w:ascii="Times New Roman" w:hAnsi="Times New Roman" w:eastAsia="Times New Roman" w:cs="Times New Roman"/>
          <w:lang w:val="en-US" w:bidi="en-US"/>
          <w:color w:val="111111"/>
          <w:sz w:val="28"/>
          <w:szCs w:val="28"/>
          <w:rtl/>
        </w:rPr>
        <w:t xml:space="preserve">al-ism-ul-a zam</w:t>
      </w:r>
    </w:p>
    <w:p>
      <w:pPr>
        <w:pStyle w:val="BookText"/>
      </w:pPr>
      <w:r>
        <w:rPr>
          <w:rFonts w:ascii="IRNazanin" w:hAnsi="IRNazanin" w:eastAsia="IRNazanin" w:cs="IRNazanin"/>
          <w:lang w:bidi="fa-IR"/>
          <w:color w:val="111111"/>
          <w:sz w:val="28"/>
          <w:szCs w:val="28"/>
          <w:rtl/>
        </w:rPr>
        <w:t xml:space="preserve">بونی، احمد بن علی، - ۶۲۲ قمری</w:t>
      </w:r>
    </w:p>
    <w:p>
      <w:pPr>
        <w:pStyle w:val="BookText"/>
      </w:pPr>
      <w:r>
        <w:rPr>
          <w:rFonts w:ascii="Times New Roman" w:hAnsi="Times New Roman" w:eastAsia="Times New Roman" w:cs="Times New Roman"/>
          <w:lang w:val="en-US" w:bidi="en-US"/>
          <w:color w:val="111111"/>
          <w:sz w:val="28"/>
          <w:szCs w:val="28"/>
          <w:rtl/>
        </w:rPr>
        <w:t xml:space="preserve">(būnī, ahmad ebn-e ‘alī (- 1226)</w:t>
      </w:r>
    </w:p>
    <w:p>
      <w:pPr>
        <w:pStyle w:val="BookText"/>
      </w:pPr>
      <w:r>
        <w:rPr>
          <w:rFonts w:ascii="Amiri" w:hAnsi="Amiri" w:eastAsia="Amiri" w:cs="Amiri"/>
          <w:lang w:bidi="ar-SA"/>
          <w:color w:val="111111"/>
          <w:sz w:val="28"/>
          <w:szCs w:val="28"/>
          <w:rtl/>
        </w:rPr>
        <w:t xml:space="preserve">آغاز: بسمله قال الشيخ الامام ... شرف الدين ابوالعباس احمد بن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350" w:name="pg20365_260483"/>
    <w:bookmarkEnd w:id="350"/>
    <w:p>
      <w:pPr>
        <w:pStyle w:val="BookText"/>
      </w:pPr>
      <w:r>
        <w:rPr>
          <w:rFonts w:ascii="IRNazanin" w:hAnsi="IRNazanin" w:eastAsia="IRNazanin" w:cs="IRNazanin"/>
          <w:lang w:bidi="fa-IR"/>
          <w:color w:val="111111"/>
          <w:sz w:val="28"/>
          <w:szCs w:val="28"/>
          <w:rtl/>
        </w:rPr>
        <w:t xml:space="preserve">على القرشى البونى احمد الله علی حسن توفیقه و اساله هدایة لطريقه و الهام الحق بتحقيقه... و بعد فانی استخرت لله بعد فی اجابة دعوة اخ لى صادق سالني عن الاسم الاعظم وكيفیته الانفعالات به.</w:t>
      </w:r>
    </w:p>
    <w:p>
      <w:pPr>
        <w:pStyle w:val="BookText"/>
      </w:pPr>
      <w:r>
        <w:rPr>
          <w:rFonts w:ascii="IRNazanin" w:hAnsi="IRNazanin" w:eastAsia="IRNazanin" w:cs="IRNazanin"/>
          <w:lang w:bidi="fa-IR"/>
          <w:color w:val="111111"/>
          <w:sz w:val="28"/>
          <w:szCs w:val="28"/>
          <w:rtl/>
        </w:rPr>
        <w:t xml:space="preserve">١ . مشهد؛ رضوی؛ شماره نسخه: ض ۵۷۸۰</w:t>
      </w:r>
    </w:p>
    <w:p>
      <w:pPr>
        <w:pStyle w:val="BookText"/>
      </w:pPr>
      <w:r>
        <w:rPr>
          <w:rFonts w:ascii="IRNazanin" w:hAnsi="IRNazanin" w:eastAsia="IRNazanin" w:cs="IRNazanin"/>
          <w:lang w:bidi="fa-IR"/>
          <w:color w:val="111111"/>
          <w:sz w:val="28"/>
          <w:szCs w:val="28"/>
          <w:rtl/>
        </w:rPr>
        <w:t xml:space="preserve">خط: نستعلیق، بی کا، تا: ۱۰۷۴ق [الفبائی: ۵۰]</w:t>
      </w:r>
    </w:p>
    <w:p>
      <w:pPr>
        <w:pStyle w:val="BookText"/>
      </w:pPr>
      <w:r>
        <w:rPr>
          <w:rFonts w:ascii="IRNazanin" w:hAnsi="IRNazanin" w:eastAsia="IRNazanin" w:cs="IRNazanin"/>
          <w:lang w:bidi="fa-IR"/>
          <w:color w:val="111111"/>
          <w:sz w:val="28"/>
          <w:szCs w:val="28"/>
          <w:rtl/>
        </w:rPr>
        <w:t xml:space="preserve">۲ . تهران؛ دانشگاه؛ شماره نسخه: ۳۶۱۱/۳</w:t>
      </w:r>
    </w:p>
    <w:p>
      <w:pPr>
        <w:pStyle w:val="BookText"/>
      </w:pPr>
      <w:r>
        <w:rPr>
          <w:rFonts w:ascii="IRNazanin" w:hAnsi="IRNazanin" w:eastAsia="IRNazanin" w:cs="IRNazanin"/>
          <w:lang w:bidi="fa-IR"/>
          <w:color w:val="111111"/>
          <w:sz w:val="28"/>
          <w:szCs w:val="28"/>
          <w:rtl/>
        </w:rPr>
        <w:t xml:space="preserve">آغاز: برابر؛ انجام: و هذا مثال وضعه در الطرف (شکلی است)</w:t>
      </w:r>
    </w:p>
    <w:p>
      <w:pPr>
        <w:pStyle w:val="BookText"/>
      </w:pPr>
      <w:r>
        <w:rPr>
          <w:rFonts w:ascii="IRNazanin" w:hAnsi="IRNazanin" w:eastAsia="IRNazanin" w:cs="IRNazanin"/>
          <w:lang w:bidi="fa-IR"/>
          <w:color w:val="111111"/>
          <w:sz w:val="28"/>
          <w:szCs w:val="28"/>
          <w:rtl/>
        </w:rPr>
        <w:t xml:space="preserve">خط: نستعليق ،کا: نستعليق بهاء الدين بن جمال الدین محـمد خطیب واعظ امامی  کاشانی، بی تا ؛کاغذ ،سپاهانی ،جلد: تیماج تریاکی  ضربی، ۱۶گ (۲۳-۳۹ هامش) ۲۲ سطر (12</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۱۲ - ۲۶۱۵]</w:t>
      </w:r>
    </w:p>
    <w:p>
      <w:pPr>
        <w:pStyle w:val="Heading3"/>
      </w:pPr>
      <w:bookmarkStart w:id="1688" w:name="_Toc1210"/>
      <w:r>
        <w:t>الاسم الاعظم / اسماء الله /عربي</w:t>
      </w:r>
      <w:bookmarkEnd w:id="1688"/>
    </w:p>
    <w:p>
      <w:pPr>
        <w:pStyle w:val="BookText"/>
      </w:pPr>
      <w:r>
        <w:rPr>
          <w:rFonts w:ascii="IRNazanin" w:hAnsi="IRNazanin" w:eastAsia="IRNazanin" w:cs="IRNazanin"/>
          <w:lang w:bidi="fa-IR"/>
          <w:color w:val="111111"/>
          <w:sz w:val="28"/>
          <w:szCs w:val="28"/>
          <w:rtl/>
        </w:rPr>
        <w:t xml:space="preserve">غیر همانند:</w:t>
      </w:r>
    </w:p>
    <w:p>
      <w:pPr>
        <w:pStyle w:val="BookText"/>
      </w:pPr>
      <w:r>
        <w:rPr>
          <w:rFonts w:ascii="Times New Roman" w:hAnsi="Times New Roman" w:eastAsia="Times New Roman" w:cs="Times New Roman"/>
          <w:lang w:val="en-US" w:bidi="en-US"/>
          <w:color w:val="111111"/>
          <w:sz w:val="28"/>
          <w:szCs w:val="28"/>
          <w:rtl/>
        </w:rPr>
        <w:t xml:space="preserve">al-ism-ul-a‘ẓam</w:t>
      </w:r>
    </w:p>
    <w:p>
      <w:pPr>
        <w:pStyle w:val="BookText"/>
      </w:pPr>
      <w:r>
        <w:rPr>
          <w:rFonts w:ascii="IRNazanin" w:hAnsi="IRNazanin" w:eastAsia="IRNazanin" w:cs="IRNazanin"/>
          <w:lang w:bidi="fa-IR"/>
          <w:color w:val="111111"/>
          <w:sz w:val="28"/>
          <w:szCs w:val="28"/>
          <w:rtl/>
        </w:rPr>
        <w:t xml:space="preserve">۱. قم؛ مرعشی؛ شماره نسخه: ۱۴۶۳۶/۳</w:t>
      </w:r>
    </w:p>
    <w:p>
      <w:pPr>
        <w:pStyle w:val="BookText"/>
      </w:pPr>
      <w:r>
        <w:rPr>
          <w:rFonts w:ascii="IRNazanin" w:hAnsi="IRNazanin" w:eastAsia="IRNazanin" w:cs="IRNazanin"/>
          <w:lang w:bidi="fa-IR"/>
          <w:color w:val="111111"/>
          <w:sz w:val="28"/>
          <w:szCs w:val="28"/>
          <w:rtl/>
        </w:rPr>
        <w:t xml:space="preserve">آغاز: بسمله قال رسول الله (صلّی اللَّهِ علیه وَ آلِهِ وَ سَلَّمَ ) اسم الاعظم فى ثلاث سورة؛ البقرة و ال عمران و طه و قال ذوالنون المصرى اسم الله الاعظم، هو السريع الذي اذا دعى به اجاب؛ انجام: انفع علاج دفع الوسوسة، الاقبال على ذكر الله و الاكثار منه فقل من كتاب الميـزان لجابر بن حيان</w:t>
      </w:r>
    </w:p>
    <w:p>
      <w:pPr>
        <w:pStyle w:val="BookText"/>
      </w:pPr>
      <w:r>
        <w:rPr>
          <w:rFonts w:ascii="IRNazanin" w:hAnsi="IRNazanin" w:eastAsia="IRNazanin" w:cs="IRNazanin"/>
          <w:lang w:bidi="fa-IR"/>
          <w:color w:val="111111"/>
          <w:sz w:val="28"/>
          <w:szCs w:val="28"/>
          <w:rtl/>
        </w:rPr>
        <w:t xml:space="preserve">رساله ای است در خصوص اسماء الله اعظم که از منابع گوناگون گردآوری شده است، در بین عبارات از کتاب «شمس المعارف» بونی و ابوالحسن شاذلی و جابر بن حیان نام برده شده، مؤلف مطالب خود را در ده «نمط» و «نه «لطیفه»، مرتب نموده است؛ خـط: نسخ، بی کا، تا: حدود قرن ۱۳؛ مصحح، کاغذ: فرنگی آهار مهـره،۲۲گ (۱۸۶ر-۲۰۷ ر)، ۱۵ سطر، اندازه: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۳۷ - ۶۹  ]</w:t>
      </w:r>
    </w:p>
    <w:p>
      <w:pPr>
        <w:pStyle w:val="BookText"/>
      </w:pPr>
      <w:r>
        <w:rPr>
          <w:rFonts w:ascii="IRNazanin" w:hAnsi="IRNazanin" w:eastAsia="IRNazanin" w:cs="IRNazanin"/>
          <w:lang w:bidi="fa-IR"/>
          <w:color w:val="111111"/>
          <w:sz w:val="28"/>
          <w:szCs w:val="28"/>
          <w:rtl/>
        </w:rPr>
        <w:t xml:space="preserve">۲. تهران؛ ملک؛ شماره نسخه: ۳۰۲۹/۱۷</w:t>
      </w:r>
    </w:p>
    <w:p>
      <w:pPr>
        <w:pStyle w:val="BookText"/>
      </w:pPr>
      <w:r>
        <w:rPr>
          <w:rFonts w:ascii="IRNazanin" w:hAnsi="IRNazanin" w:eastAsia="IRNazanin" w:cs="IRNazanin"/>
          <w:lang w:bidi="fa-IR"/>
          <w:color w:val="111111"/>
          <w:sz w:val="28"/>
          <w:szCs w:val="28"/>
          <w:rtl/>
        </w:rPr>
        <w:t xml:space="preserve">خط: نسخ، بی کا، بی تا [ف: ۶ - ۱۹۲]</w:t>
      </w:r>
    </w:p>
    <w:p>
      <w:pPr>
        <w:pStyle w:val="BookText"/>
      </w:pPr>
      <w:r>
        <w:rPr>
          <w:rFonts w:ascii="IRNazanin" w:hAnsi="IRNazanin" w:eastAsia="IRNazanin" w:cs="IRNazanin"/>
          <w:lang w:bidi="fa-IR"/>
          <w:color w:val="111111"/>
          <w:sz w:val="28"/>
          <w:szCs w:val="28"/>
          <w:rtl/>
        </w:rPr>
        <w:t xml:space="preserve">3.قم؛ مرعشی؛ شماره نسخه: ۶۶۲۲/۵</w:t>
      </w:r>
    </w:p>
    <w:p>
      <w:pPr>
        <w:pStyle w:val="BookText"/>
      </w:pPr>
      <w:r>
        <w:rPr>
          <w:rFonts w:ascii="Amiri" w:hAnsi="Amiri" w:eastAsia="Amiri" w:cs="Amiri"/>
          <w:lang w:bidi="ar-SA"/>
          <w:color w:val="111111"/>
          <w:sz w:val="28"/>
          <w:szCs w:val="28"/>
          <w:rtl/>
        </w:rPr>
        <w:t xml:space="preserve">آغاز: اعلم ان الاقوال فى ذلك لا تكاد تنحصر في كتاب مصنف؛</w:t>
      </w:r>
    </w:p>
    <w:p>
      <w:pPr>
        <w:pStyle w:val="BookText"/>
      </w:pPr>
      <w:r>
        <w:rPr>
          <w:rFonts w:ascii="Amiri" w:hAnsi="Amiri" w:eastAsia="Amiri" w:cs="Amiri"/>
          <w:lang w:bidi="ar-SA"/>
          <w:color w:val="111111"/>
          <w:sz w:val="28"/>
          <w:szCs w:val="28"/>
          <w:rtl/>
        </w:rPr>
        <w:t xml:space="preserve">انجام: كدعاء الجوشن و دعاء المشلول و دعاء المجير و دعاء الصحيفة و غير ذلك</w:t>
      </w:r>
    </w:p>
    <w:p>
      <w:pPr>
        <w:pStyle w:val="BookText"/>
      </w:pPr>
      <w:r>
        <w:rPr>
          <w:rFonts w:ascii="IRNazanin" w:hAnsi="IRNazanin" w:eastAsia="IRNazanin" w:cs="IRNazanin"/>
          <w:lang w:bidi="fa-IR"/>
          <w:color w:val="111111"/>
          <w:sz w:val="28"/>
          <w:szCs w:val="28"/>
          <w:rtl/>
        </w:rPr>
        <w:t xml:space="preserve">شصت و یک قول مربوط به تعیین اسم اعظم را که علمای حدیث گفته اند در این رساله برشمرده و دعاهایی که ادعا کرده اند در آنها اسم اعظم می باشد به مناسبت هر یک از نام ها می آورد؛ خـط: نستعلیق، کا: سید احمد حسینی، بی تا، جلد: تیماج زرد بدون مقـوا،3 گ (۷۵پ-۷۸ر)، اندازه: ۱۱</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۱۷سم [ف : ۱۷ - ۱۹۱]</w:t>
      </w:r>
    </w:p>
    <w:p>
      <w:pPr>
        <w:pStyle w:val="Heading3"/>
      </w:pPr>
      <w:bookmarkStart w:id="1689" w:name="_Toc1211"/>
      <w:r>
        <w:t>الاسم الاعظم / اسماء الله /عربی و فارسی</w:t>
      </w:r>
      <w:bookmarkEnd w:id="1689"/>
    </w:p>
    <w:p>
      <w:pPr>
        <w:pStyle w:val="BookText"/>
      </w:pPr>
      <w:r>
        <w:rPr>
          <w:rFonts w:ascii="Times New Roman" w:hAnsi="Times New Roman" w:eastAsia="Times New Roman" w:cs="Times New Roman"/>
          <w:lang w:val="en-US" w:bidi="en-US"/>
          <w:color w:val="111111"/>
          <w:sz w:val="28"/>
          <w:szCs w:val="28"/>
          <w:rtl/>
        </w:rPr>
        <w:t xml:space="preserve">al-ism-ul-a‘ẓam</w:t>
      </w:r>
    </w:p>
    <w:p>
      <w:pPr>
        <w:pStyle w:val="BookText"/>
      </w:pPr>
      <w:r>
        <w:rPr>
          <w:rFonts w:ascii="IRNazanin" w:hAnsi="IRNazanin" w:eastAsia="IRNazanin" w:cs="IRNazanin"/>
          <w:lang w:bidi="fa-IR"/>
          <w:color w:val="111111"/>
          <w:sz w:val="28"/>
          <w:szCs w:val="28"/>
          <w:rtl/>
        </w:rPr>
        <w:t xml:space="preserve">غیر همانند: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گلپایگانی؛ شماره نسخه: ۱۳۷/۶-۱/۱۳۷</w:t>
      </w:r>
    </w:p>
    <w:p>
      <w:pPr>
        <w:pStyle w:val="BookText"/>
      </w:pPr>
      <w:r>
        <w:rPr>
          <w:rFonts w:ascii="IRNazanin" w:hAnsi="IRNazanin" w:eastAsia="IRNazanin" w:cs="IRNazanin"/>
          <w:lang w:bidi="fa-IR"/>
          <w:color w:val="111111"/>
          <w:sz w:val="28"/>
          <w:szCs w:val="28"/>
          <w:rtl/>
        </w:rPr>
        <w:t xml:space="preserve">آغاز: بسمله قد اشتهر وقوع الاختلاف في الاسم الاعظم جل جلاله فقال بعض المفسرين انه هو الاسم الجليل الله؛ انجام: بزودی صاحب دل و یقین شود و از تکوین گذشته مالک تمکین گردد تم</w:t>
      </w:r>
    </w:p>
    <w:p>
      <w:pPr>
        <w:pStyle w:val="BookText"/>
      </w:pPr>
      <w:r>
        <w:rPr>
          <w:rFonts w:ascii="IRNazanin" w:hAnsi="IRNazanin" w:eastAsia="IRNazanin" w:cs="IRNazanin"/>
          <w:lang w:bidi="fa-IR"/>
          <w:color w:val="111111"/>
          <w:sz w:val="28"/>
          <w:szCs w:val="28"/>
          <w:rtl/>
        </w:rPr>
        <w:t xml:space="preserve">رساله کوتاهی است درباره اسم اعظم خداوند متعال؛ خط: نستعليق ،كا: يحيى بن شاه قلی  قزوینی ،تا :۷ ذیحجه ۱۱۲۸ق؛ ۴گ، ۱۴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۱ - ۳۶۱]</w:t>
      </w:r>
    </w:p>
    <w:p>
      <w:pPr>
        <w:pStyle w:val="BookText"/>
      </w:pPr>
      <w:r>
        <w:rPr>
          <w:rFonts w:ascii="IRNazanin" w:hAnsi="IRNazanin" w:eastAsia="IRNazanin" w:cs="IRNazanin"/>
          <w:lang w:bidi="fa-IR"/>
          <w:color w:val="111111"/>
          <w:sz w:val="28"/>
          <w:szCs w:val="28"/>
          <w:rtl/>
        </w:rPr>
        <w:t xml:space="preserve">۲. رشت؛ جمعیت نشر فرهنگ؛ شماره نسخه: ۶۵۸/۲ج</w:t>
      </w:r>
    </w:p>
    <w:p>
      <w:pPr>
        <w:pStyle w:val="BookText"/>
      </w:pPr>
      <w:r>
        <w:rPr>
          <w:rFonts w:ascii="IRNazanin" w:hAnsi="IRNazanin" w:eastAsia="IRNazanin" w:cs="IRNazanin"/>
          <w:lang w:bidi="fa-IR"/>
          <w:color w:val="111111"/>
          <w:sz w:val="28"/>
          <w:szCs w:val="28"/>
          <w:rtl/>
        </w:rPr>
        <w:t xml:space="preserve">آغاز: بسم الله. این اسم الله این اسم اعظمی است هر که با خود دارد تمام عالم جمع شوند و با وی دشمنی کنند؛ انجام: باشد این اسماء عظام را بسیار خواند که خواصیت عظیم دارد و الله العالم.</w:t>
      </w:r>
    </w:p>
    <w:p>
      <w:pPr>
        <w:pStyle w:val="BookText"/>
      </w:pPr>
      <w:r>
        <w:rPr>
          <w:rFonts w:ascii="IRNazanin" w:hAnsi="IRNazanin" w:eastAsia="IRNazanin" w:cs="IRNazanin"/>
          <w:lang w:bidi="fa-IR"/>
          <w:color w:val="111111"/>
          <w:sz w:val="28"/>
          <w:szCs w:val="28"/>
          <w:rtl/>
        </w:rPr>
        <w:t xml:space="preserve">خط: نسخ، کا: محمد علی بروجردی، تا: ۱۳۲۹ق؛ جلد: چرمی، ۲۰ سطر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 اندازه: ۱۷/۵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[رشت و همدان - ف:  - 1224]</w:t>
      </w:r>
    </w:p>
    <w:p>
      <w:pPr>
        <w:pStyle w:val="BookText"/>
      </w:pPr>
      <w:r>
        <w:rPr>
          <w:rFonts w:ascii="IRNazanin" w:hAnsi="IRNazanin" w:eastAsia="IRNazanin" w:cs="IRNazanin"/>
          <w:lang w:bidi="fa-IR"/>
          <w:color w:val="111111"/>
          <w:sz w:val="28"/>
          <w:szCs w:val="28"/>
          <w:rtl/>
        </w:rPr>
        <w:t xml:space="preserve">3.قم؛ گلپایگانی؛ شماره نسخه: ۱۶۴۵/۵-۹/۱۹۵</w:t>
      </w:r>
    </w:p>
    <w:p>
      <w:pPr>
        <w:pStyle w:val="BookText"/>
      </w:pPr>
      <w:r>
        <w:rPr>
          <w:rFonts w:ascii="IRNazanin" w:hAnsi="IRNazanin" w:eastAsia="IRNazanin" w:cs="IRNazanin"/>
          <w:lang w:bidi="fa-IR"/>
          <w:color w:val="111111"/>
          <w:sz w:val="28"/>
          <w:szCs w:val="28"/>
          <w:rtl/>
        </w:rPr>
        <w:t xml:space="preserve">آغاز: در جامعابن وهب آورده که اسم اعظم الله است و دلیل بر آن است که جمیع اسماء را به وی اضافه کنند مثلاً گویند عزیز  اسمی است از اسماء الله؛ انجام: چون اربعین تو بدین دستور تمام شود و ترا کرامات عالیه و مقامات رفعیه حاصل گردد و ترا در مملکت وجود قوت تصرف دهند</w:t>
      </w:r>
    </w:p>
    <w:p>
      <w:pPr>
        <w:pStyle w:val="BookText"/>
      </w:pPr>
      <w:r>
        <w:rPr>
          <w:rFonts w:ascii="IRNazanin" w:hAnsi="IRNazanin" w:eastAsia="IRNazanin" w:cs="IRNazanin"/>
          <w:lang w:bidi="fa-IR"/>
          <w:color w:val="111111"/>
          <w:sz w:val="28"/>
          <w:szCs w:val="28"/>
          <w:rtl/>
        </w:rPr>
        <w:t xml:space="preserve">فایده ای است در تشریح اسم جلاله «الله» و نیز دستور یکی از عرفا به شاگردش در مورد مداومت بر ذکر «الله» و اثرات آن؛ خط: نستعلیق، کا: محمد تقی، بی تا :جلد: تیماج قهوه ای، ۲گ، ۱۷ سطر ،اندازه: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۶ - ۳۰۰۲]</w:t>
      </w:r>
    </w:p>
    <w:p>
      <w:pPr>
        <w:pStyle w:val="BookText"/>
      </w:pPr>
      <w:r>
        <w:rPr>
          <w:rFonts w:ascii="IRNazanin" w:hAnsi="IRNazanin" w:eastAsia="IRNazanin" w:cs="IRNazanin"/>
          <w:lang w:bidi="fa-IR"/>
          <w:color w:val="111111"/>
          <w:sz w:val="28"/>
          <w:szCs w:val="28"/>
          <w:rtl/>
        </w:rPr>
        <w:t xml:space="preserve">۴. تهران؛ ملی؛ شماره نسخه: ۲۶۹۷/۲</w:t>
      </w:r>
    </w:p>
    <w:p>
      <w:pPr>
        <w:pStyle w:val="BookText"/>
      </w:pPr>
      <w:r>
        <w:rPr>
          <w:rFonts w:ascii="IRNazanin" w:hAnsi="IRNazanin" w:eastAsia="IRNazanin" w:cs="IRNazanin"/>
          <w:lang w:bidi="fa-IR"/>
          <w:color w:val="111111"/>
          <w:sz w:val="28"/>
          <w:szCs w:val="28"/>
          <w:rtl/>
        </w:rPr>
        <w:t xml:space="preserve">آغاز: بدان ای عزیز که در باب اسم اعظم روایات بسیار واقع شده در کتب علمای فن حدیث نبوی (صلّی اللَّهِ علیه وَ آلِهِ وَ سَلَّمَ ) و غیره که هر کدام از حضرت رسول الله و از ائمه هدی علیهم السلام نقل نموده اند ... و آنچه بنظر قاصر ناقص این کمینه خار رسیده این است که مذکور میسازد؛ انجام: و یا ذالعزة التى كل خلقك لها ذلیل برحمتک یاارحم الراحمين وصلى الله على سيدنا محمد و آله اجمعین</w:t>
      </w:r>
    </w:p>
    <w:p>
      <w:pPr>
        <w:pStyle w:val="BookText"/>
      </w:pPr>
      <w:r>
        <w:rPr>
          <w:rFonts w:ascii="IRNazanin" w:hAnsi="IRNazanin" w:eastAsia="IRNazanin" w:cs="IRNazanin"/>
          <w:lang w:bidi="fa-IR"/>
          <w:color w:val="111111"/>
          <w:sz w:val="28"/>
          <w:szCs w:val="28"/>
          <w:rtl/>
        </w:rPr>
        <w:t xml:space="preserve">رساله مختصری است در بررسی اسم عظم با بیان برخی از احادیث و روایات معصومین (علیهم السّلام) در تعيين اسم اعظم و نقل نظرات علما در این خصوص همچون نظرات: ابن فهد در «عدة الداعى» محمد بن حسن صفار در «فضل الدعا»، ابن طاووس در «اغاثة الداعى»، شيخ طوسی در ادعیه رزق، طبرانی در کتاب دعا، ابن ابی الدنیا در کتاب دعا و نظر صاحب کتاب «قرب الاسناد»؛</w:t>
      </w:r>
    </w:p>
    <w:p>
      <w:pPr>
        <w:pStyle w:val="BookText"/>
      </w:pPr>
      <w:r>
        <w:rPr>
          <w:rFonts w:ascii="IRNazanin" w:hAnsi="IRNazanin" w:eastAsia="IRNazanin" w:cs="IRNazanin"/>
          <w:lang w:bidi="fa-IR"/>
          <w:color w:val="111111"/>
          <w:sz w:val="28"/>
          <w:szCs w:val="28"/>
          <w:rtl/>
        </w:rPr>
        <w:t xml:space="preserve">خط: نسخ و نستعلیق، بی کا،بی تا؛ کاغذ: اصفهانی نخودی ،جلد:  تیماج حنایی ضربی، ۶گ (۶۷پ -۷۲)، اندازه: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۱۵/۵سم [ف: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351" w:name="pg20365_260484"/>
    <w:bookmarkEnd w:id="351"/>
    <w:p>
      <w:pPr>
        <w:pStyle w:val="BookText"/>
      </w:pPr>
      <w:r>
        <w:rPr>
          <w:rFonts w:ascii="IRNazanin" w:hAnsi="IRNazanin" w:eastAsia="IRNazanin" w:cs="IRNazanin"/>
          <w:lang w:bidi="fa-IR"/>
          <w:color w:val="111111"/>
          <w:sz w:val="28"/>
          <w:szCs w:val="28"/>
          <w:rtl/>
        </w:rPr>
        <w:t xml:space="preserve">13- ١٣٢  ]</w:t>
      </w:r>
    </w:p>
    <w:p>
      <w:pPr>
        <w:pStyle w:val="Heading3"/>
      </w:pPr>
      <w:bookmarkStart w:id="1690" w:name="_Toc1212"/>
      <w:r>
        <w:t>الاسم الاعظم و تحقيقات ما يتعلق به / اسماء الله / عربی</w:t>
      </w:r>
      <w:bookmarkEnd w:id="1690"/>
    </w:p>
    <w:p>
      <w:pPr>
        <w:pStyle w:val="BookText"/>
      </w:pPr>
      <w:r>
        <w:rPr>
          <w:rFonts w:ascii="Times New Roman" w:hAnsi="Times New Roman" w:eastAsia="Times New Roman" w:cs="Times New Roman"/>
          <w:lang w:val="en-US" w:bidi="en-US"/>
          <w:color w:val="111111"/>
          <w:sz w:val="28"/>
          <w:szCs w:val="28"/>
          <w:rtl/>
        </w:rPr>
        <w:t xml:space="preserve">al-ism-ul a‘ẓam wa taḥqīqāt-u mā yata‘allaq-u bi-h</w:t>
      </w:r>
    </w:p>
    <w:p>
      <w:pPr>
        <w:pStyle w:val="BookText"/>
      </w:pPr>
      <w:r>
        <w:rPr>
          <w:rFonts w:ascii="IRNazanin" w:hAnsi="IRNazanin" w:eastAsia="IRNazanin" w:cs="IRNazanin"/>
          <w:lang w:bidi="fa-IR"/>
          <w:color w:val="111111"/>
          <w:sz w:val="28"/>
          <w:szCs w:val="28"/>
          <w:rtl/>
        </w:rPr>
        <w:t xml:space="preserve">رشتی، کاظم بن قاسم، ۱۲۱۲ - ۱۲۵۹ قمری</w:t>
      </w:r>
    </w:p>
    <w:p>
      <w:pPr>
        <w:pStyle w:val="BookText"/>
      </w:pPr>
      <w:r>
        <w:rPr>
          <w:rFonts w:ascii="Times New Roman" w:hAnsi="Times New Roman" w:eastAsia="Times New Roman" w:cs="Times New Roman"/>
          <w:lang w:val="en-US" w:bidi="en-US"/>
          <w:color w:val="111111"/>
          <w:sz w:val="28"/>
          <w:szCs w:val="28"/>
          <w:rtl/>
        </w:rPr>
        <w:t xml:space="preserve">(raštī, kāzem ebn-e qāsem (1798 - 1843)</w:t>
      </w:r>
    </w:p>
    <w:p>
      <w:pPr>
        <w:pStyle w:val="BookText"/>
      </w:pPr>
      <w:r>
        <w:rPr>
          <w:rFonts w:ascii="IRNazanin" w:hAnsi="IRNazanin" w:eastAsia="IRNazanin" w:cs="IRNazanin"/>
          <w:lang w:bidi="fa-IR"/>
          <w:color w:val="111111"/>
          <w:sz w:val="28"/>
          <w:szCs w:val="28"/>
          <w:rtl/>
        </w:rPr>
        <w:t xml:space="preserve">آغاز: بسمله و حمدله حمدله ... اما بعد فيقول ... انه قد امرنى المولی الممجد طالب الحق و الرشد و الصواب جناب الحاج محمد</w:t>
      </w:r>
    </w:p>
    <w:p>
      <w:pPr>
        <w:pStyle w:val="BookText"/>
      </w:pPr>
      <w:r>
        <w:rPr>
          <w:rFonts w:ascii="IRNazanin" w:hAnsi="IRNazanin" w:eastAsia="IRNazanin" w:cs="IRNazanin"/>
          <w:lang w:bidi="fa-IR"/>
          <w:color w:val="111111"/>
          <w:sz w:val="28"/>
          <w:szCs w:val="28"/>
          <w:rtl/>
        </w:rPr>
        <w:t xml:space="preserve">[الذریعه ۶۳/۲]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خوانسار؛ فاضل؛ شماره نسخه: ۲۳۱/۸</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نستعليق هندی، کا: حسن بن امان الله دهلوی عظیم آبادی ،تا: چهارشنبه ۲۵ شعبان ۱۲۴۳ق، جا: کربلا؛ جلد: تیماج دو رو قرمز مجدول به اکلیل،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 - ۱۹۰]</w:t>
      </w:r>
    </w:p>
    <w:p>
      <w:pPr>
        <w:pStyle w:val="BookText"/>
      </w:pPr>
      <w:r>
        <w:rPr>
          <w:rFonts w:ascii="IRNazanin" w:hAnsi="IRNazanin" w:eastAsia="IRNazanin" w:cs="IRNazanin"/>
          <w:lang w:bidi="fa-IR"/>
          <w:color w:val="111111"/>
          <w:sz w:val="28"/>
          <w:szCs w:val="28"/>
          <w:rtl/>
        </w:rPr>
        <w:t xml:space="preserve">۲. شیراز؛ امام عصر؛ شماره نسخه: ۳۰۲/۴</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بی  کا، تا: ۱۲۶۵ق؛ ۲۴گ (۱۱۸-۱۴۱)،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۱ - ۱۱۶]</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مشهد؛ رضوی؛ شماره نسخه: ۲۳۰۷۲</w:t>
      </w:r>
    </w:p>
    <w:p>
      <w:pPr>
        <w:pStyle w:val="BookText"/>
      </w:pPr>
      <w:r>
        <w:rPr>
          <w:rFonts w:ascii="Amiri" w:hAnsi="Amiri" w:eastAsia="Amiri" w:cs="Amiri"/>
          <w:lang w:bidi="ar-SA"/>
          <w:color w:val="111111"/>
          <w:sz w:val="28"/>
          <w:szCs w:val="28"/>
          <w:rtl/>
        </w:rPr>
        <w:t xml:space="preserve">آغاز: بسمله الحمد لله رب العالمين والصلوه على خير خلقه؛</w:t>
      </w:r>
    </w:p>
    <w:p>
      <w:pPr>
        <w:pStyle w:val="BookText"/>
      </w:pPr>
      <w:r>
        <w:rPr>
          <w:rFonts w:ascii="Amiri" w:hAnsi="Amiri" w:eastAsia="Amiri" w:cs="Amiri"/>
          <w:lang w:bidi="ar-SA"/>
          <w:color w:val="111111"/>
          <w:sz w:val="28"/>
          <w:szCs w:val="28"/>
          <w:rtl/>
        </w:rPr>
        <w:t xml:space="preserve">انجام: و لا حول و لا قوه الا بالله العلى العظيم</w:t>
      </w:r>
    </w:p>
    <w:p>
      <w:pPr>
        <w:pStyle w:val="BookText"/>
      </w:pPr>
      <w:r>
        <w:rPr>
          <w:rFonts w:ascii="IRNazanin" w:hAnsi="IRNazanin" w:eastAsia="IRNazanin" w:cs="IRNazanin"/>
          <w:lang w:bidi="fa-IR"/>
          <w:color w:val="111111"/>
          <w:sz w:val="28"/>
          <w:szCs w:val="28"/>
          <w:rtl/>
        </w:rPr>
        <w:t xml:space="preserve">خط: نسخ، بی کا، بی تا [رایانه]</w:t>
      </w:r>
    </w:p>
    <w:p>
      <w:pPr>
        <w:pStyle w:val="Heading3"/>
      </w:pPr>
      <w:bookmarkStart w:id="1691" w:name="_Toc1213"/>
      <w:r>
        <w:t>اسم الجنس و علم الجنس / نحو / عربي</w:t>
      </w:r>
      <w:bookmarkEnd w:id="1691"/>
    </w:p>
    <w:p>
      <w:pPr>
        <w:pStyle w:val="BookText"/>
      </w:pPr>
      <w:r>
        <w:rPr>
          <w:rFonts w:ascii="Times New Roman" w:hAnsi="Times New Roman" w:eastAsia="Times New Roman" w:cs="Times New Roman"/>
          <w:lang w:val="en-US" w:bidi="en-US"/>
          <w:color w:val="111111"/>
          <w:sz w:val="28"/>
          <w:szCs w:val="28"/>
          <w:rtl/>
        </w:rPr>
        <w:t xml:space="preserve">ism-ul-jins wa ‘ilm-ul-jins</w:t>
      </w:r>
    </w:p>
    <w:p>
      <w:pPr>
        <w:pStyle w:val="BookText"/>
      </w:pPr>
      <w:r>
        <w:rPr>
          <w:rFonts w:ascii="IRNazanin" w:hAnsi="IRNazanin" w:eastAsia="IRNazanin" w:cs="IRNazanin"/>
          <w:lang w:bidi="fa-IR"/>
          <w:color w:val="111111"/>
          <w:sz w:val="28"/>
          <w:szCs w:val="28"/>
          <w:rtl/>
        </w:rPr>
        <w:t xml:space="preserve">در پنج «باب»</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مجلس؛ شماره نسخه: ۱۰۱۱۵/۳۲</w:t>
      </w:r>
    </w:p>
    <w:p>
      <w:pPr>
        <w:pStyle w:val="BookText"/>
      </w:pPr>
      <w:r>
        <w:rPr>
          <w:rFonts w:ascii="Amiri" w:hAnsi="Amiri" w:eastAsia="Amiri" w:cs="Amiri"/>
          <w:lang w:bidi="ar-SA"/>
          <w:color w:val="111111"/>
          <w:sz w:val="28"/>
          <w:szCs w:val="28"/>
          <w:rtl/>
        </w:rPr>
        <w:t xml:space="preserve">آغاز: بسمله الحمد لله الذي هدانا لهذا وما كنا لنهتدى ... اما بعد اعلم ان بعض الالفاظ المفردة فى كلام العرب يدل على اكثرمن متشخص واحد بالشخص؛ انجام: فاعلم ان الالقاب و الكنى لا يطلقان على الله تعالى و لا القاب النساء. تم الرسالة</w:t>
      </w:r>
    </w:p>
    <w:p>
      <w:pPr>
        <w:pStyle w:val="BookText"/>
      </w:pPr>
      <w:r>
        <w:rPr>
          <w:rFonts w:ascii="IRNazanin" w:hAnsi="IRNazanin" w:eastAsia="IRNazanin" w:cs="IRNazanin"/>
          <w:lang w:bidi="fa-IR"/>
          <w:color w:val="111111"/>
          <w:sz w:val="28"/>
          <w:szCs w:val="28"/>
          <w:rtl/>
        </w:rPr>
        <w:t xml:space="preserve">خط:نستعلیق،کا: تاج الدین حسین مشور به صاعد، تا: قرن10؛ ۵ ص (۷۴۳ - ۷۴۷)، ۱۹ سطر، 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۳۲  - 140]</w:t>
      </w:r>
    </w:p>
    <w:p>
      <w:pPr>
        <w:pStyle w:val="BookText"/>
      </w:pPr>
      <w:r>
        <w:rPr>
          <w:rFonts w:ascii="IRNazanin" w:hAnsi="IRNazanin" w:eastAsia="IRNazanin" w:cs="IRNazanin"/>
          <w:lang w:bidi="fa-IR"/>
          <w:color w:val="111111"/>
          <w:sz w:val="28"/>
          <w:szCs w:val="28"/>
          <w:rtl/>
        </w:rPr>
        <w:t xml:space="preserve">۲. یزد؛ وزیری؛ شماره نسخه: ۳۱۳۵/۱</w:t>
      </w:r>
    </w:p>
    <w:p>
      <w:pPr>
        <w:pStyle w:val="BookText"/>
      </w:pPr>
      <w:r>
        <w:rPr>
          <w:rFonts w:ascii="IRNazanin" w:hAnsi="IRNazanin" w:eastAsia="IRNazanin" w:cs="IRNazanin"/>
          <w:lang w:bidi="fa-IR"/>
          <w:color w:val="111111"/>
          <w:sz w:val="28"/>
          <w:szCs w:val="28"/>
          <w:rtl/>
        </w:rPr>
        <w:t xml:space="preserve">خط: نسخ، کا: علی اکبر بن عبد القادر  تونی، تا: ذیحجه ۱۰۵۱ق؛ کاغذ: سمرقندی ،جلد: تیماج  مشکی، ۴ ص (۴-۱)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۵ - ۱۵۴۵]</w:t>
      </w:r>
    </w:p>
    <w:p>
      <w:pPr>
        <w:pStyle w:val="Heading3"/>
      </w:pPr>
      <w:bookmarkStart w:id="1692" w:name="_Toc1214"/>
      <w:r>
        <w:t>الاسم الحقيقى عين المسمى / کلام و اعتقادات / فارسی</w:t>
      </w:r>
      <w:bookmarkEnd w:id="1692"/>
    </w:p>
    <w:p>
      <w:pPr>
        <w:pStyle w:val="BookText"/>
      </w:pPr>
      <w:r>
        <w:rPr>
          <w:rFonts w:ascii="Times New Roman" w:hAnsi="Times New Roman" w:eastAsia="Times New Roman" w:cs="Times New Roman"/>
          <w:lang w:val="en-US" w:bidi="en-US"/>
          <w:color w:val="111111"/>
          <w:sz w:val="28"/>
          <w:szCs w:val="28"/>
          <w:rtl/>
        </w:rPr>
        <w:t xml:space="preserve">al-esm-ol-haqīqī ‘eyn-ol-mosammā</w:t>
      </w:r>
    </w:p>
    <w:p>
      <w:pPr>
        <w:pStyle w:val="BookText"/>
      </w:pPr>
      <w:r>
        <w:rPr>
          <w:rFonts w:ascii="IRNazanin" w:hAnsi="IRNazanin" w:eastAsia="IRNazanin" w:cs="IRNazanin"/>
          <w:lang w:bidi="fa-IR"/>
          <w:color w:val="111111"/>
          <w:sz w:val="28"/>
          <w:szCs w:val="28"/>
          <w:rtl/>
        </w:rPr>
        <w:t xml:space="preserve">صدرالدین شیرازی، محمد بن ابراهيم، ۹۷۹- 1050قمرى</w:t>
      </w:r>
    </w:p>
    <w:p>
      <w:pPr>
        <w:pStyle w:val="BookText"/>
      </w:pPr>
      <w:r>
        <w:rPr>
          <w:rFonts w:ascii="Times New Roman" w:hAnsi="Times New Roman" w:eastAsia="Times New Roman" w:cs="Times New Roman"/>
          <w:lang w:val="en-US" w:bidi="en-US"/>
          <w:color w:val="111111"/>
          <w:sz w:val="28"/>
          <w:szCs w:val="28"/>
          <w:rtl/>
        </w:rPr>
        <w:t xml:space="preserve">(1641-sadr-od-dīn-e šīrāzī, mohammad ebn-e ebrāhīm (1572 -</w:t>
      </w:r>
    </w:p>
    <w:p>
      <w:pPr>
        <w:pStyle w:val="BookText"/>
      </w:pPr>
      <w:r>
        <w:rPr>
          <w:rFonts w:ascii="IRNazanin" w:hAnsi="IRNazanin" w:eastAsia="IRNazanin" w:cs="IRNazanin"/>
          <w:lang w:bidi="fa-IR"/>
          <w:color w:val="111111"/>
          <w:sz w:val="28"/>
          <w:szCs w:val="28"/>
          <w:rtl/>
        </w:rPr>
        <w:t xml:space="preserve">شرح فارسی بر جمله ای از کتاب «مجموع السائرين».</w:t>
      </w:r>
    </w:p>
    <w:p>
      <w:pPr>
        <w:pStyle w:val="BookText"/>
      </w:pPr>
      <w:r>
        <w:rPr>
          <w:rFonts w:ascii="IRNazanin" w:hAnsi="IRNazanin" w:eastAsia="IRNazanin" w:cs="IRNazanin"/>
          <w:lang w:bidi="fa-IR"/>
          <w:color w:val="111111"/>
          <w:sz w:val="28"/>
          <w:szCs w:val="28"/>
          <w:rtl/>
        </w:rPr>
        <w:t xml:space="preserve">مشهد؛ شیخ علی حیدر؛ شماره نسخه:۴۶۹/۶</w:t>
      </w:r>
    </w:p>
    <w:p>
      <w:pPr>
        <w:pStyle w:val="BookText"/>
      </w:pPr>
      <w:r>
        <w:rPr>
          <w:rFonts w:ascii="IRNazanin" w:hAnsi="IRNazanin" w:eastAsia="IRNazanin" w:cs="IRNazanin"/>
          <w:lang w:bidi="fa-IR"/>
          <w:color w:val="111111"/>
          <w:sz w:val="28"/>
          <w:szCs w:val="28"/>
          <w:rtl/>
        </w:rPr>
        <w:t xml:space="preserve">آغاز: معلوم خدمت برادر گردد که آنچه در شرح آداب خدمت شیخ؛ انجام: اسماء حقیقی را فهم کنی و السلام على من اتبع  الهدى</w:t>
      </w:r>
    </w:p>
    <w:p>
      <w:pPr>
        <w:pStyle w:val="BookText"/>
      </w:pPr>
      <w:r>
        <w:rPr>
          <w:rFonts w:ascii="IRNazanin" w:hAnsi="IRNazanin" w:eastAsia="IRNazanin" w:cs="IRNazanin"/>
          <w:lang w:bidi="fa-IR"/>
          <w:color w:val="111111"/>
          <w:sz w:val="28"/>
          <w:szCs w:val="28"/>
          <w:rtl/>
        </w:rPr>
        <w:t xml:space="preserve">خط: نسخ، بی کا، تا: ۱۲۸۳ق؛ جلد: چرم زرد، ۲گ(۱۰۱ر- 102ر)  ، ۱۷ سطر، اندازه: ۱۶</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۲۱/۵سم [مؤيد: ۱ - ۳۸۰]</w:t>
      </w:r>
    </w:p>
    <w:p>
      <w:pPr>
        <w:pStyle w:val="Heading3"/>
      </w:pPr>
      <w:bookmarkStart w:id="1693" w:name="_Toc1215"/>
      <w:r>
        <w:t>اسم النبي في التوراة و الانجيل و الزبور / متفرقه /  عربی</w:t>
      </w:r>
      <w:bookmarkEnd w:id="1693"/>
    </w:p>
    <w:p>
      <w:pPr>
        <w:pStyle w:val="BookText"/>
      </w:pPr>
      <w:r>
        <w:rPr>
          <w:rFonts w:ascii="Times New Roman" w:hAnsi="Times New Roman" w:eastAsia="Times New Roman" w:cs="Times New Roman"/>
          <w:lang w:val="en-US" w:bidi="en-US"/>
          <w:color w:val="111111"/>
          <w:sz w:val="28"/>
          <w:szCs w:val="28"/>
          <w:rtl/>
        </w:rPr>
        <w:t xml:space="preserve">ism-un-nabī fi-t-tuwrāt wa-l-injīl wa-z-zabūr</w:t>
      </w:r>
    </w:p>
    <w:p>
      <w:pPr>
        <w:pStyle w:val="BookText"/>
      </w:pPr>
      <w:r>
        <w:rPr>
          <w:rFonts w:ascii="IRNazanin" w:hAnsi="IRNazanin" w:eastAsia="IRNazanin" w:cs="IRNazanin"/>
          <w:lang w:bidi="fa-IR"/>
          <w:color w:val="111111"/>
          <w:sz w:val="28"/>
          <w:szCs w:val="28"/>
          <w:rtl/>
        </w:rPr>
        <w:t xml:space="preserve">اسکندرانی، سعید بن حسن، ق۸ قمری</w:t>
      </w:r>
    </w:p>
    <w:p>
      <w:pPr>
        <w:pStyle w:val="BookText"/>
      </w:pPr>
      <w:r>
        <w:rPr>
          <w:rFonts w:ascii="Times New Roman" w:hAnsi="Times New Roman" w:eastAsia="Times New Roman" w:cs="Times New Roman"/>
          <w:lang w:val="en-US" w:bidi="en-US"/>
          <w:color w:val="111111"/>
          <w:sz w:val="28"/>
          <w:szCs w:val="28"/>
          <w:rtl/>
        </w:rPr>
        <w:t xml:space="preserve">(eskandarānī, sa'īd ebn-e hasan (- 14c)</w:t>
      </w:r>
    </w:p>
    <w:p>
      <w:pPr>
        <w:pStyle w:val="BookText"/>
      </w:pPr>
      <w:r>
        <w:rPr>
          <w:rFonts w:ascii="IRNazanin" w:hAnsi="IRNazanin" w:eastAsia="IRNazanin" w:cs="IRNazanin"/>
          <w:lang w:bidi="fa-IR"/>
          <w:color w:val="111111"/>
          <w:sz w:val="28"/>
          <w:szCs w:val="28"/>
          <w:rtl/>
        </w:rPr>
        <w:t xml:space="preserve">تاریخ تألیف: اول محرم ۷۳۲، محل تأليف: دمشق</w:t>
      </w:r>
    </w:p>
    <w:p>
      <w:pPr>
        <w:pStyle w:val="BookText"/>
      </w:pPr>
      <w:r>
        <w:rPr>
          <w:rFonts w:ascii="IRNazanin" w:hAnsi="IRNazanin" w:eastAsia="IRNazanin" w:cs="IRNazanin"/>
          <w:lang w:bidi="fa-IR"/>
          <w:color w:val="111111"/>
          <w:sz w:val="28"/>
          <w:szCs w:val="28"/>
          <w:rtl/>
        </w:rPr>
        <w:t xml:space="preserve">رساله در اثبات این که نام پیامبر اکرم (صلّی اللَّهِ علیه وَ آلِهِ وَ سَلَّمَ ) و بشارت به نبوت آن حضرت در تورات و انجیل و زبور و صحف دیگر انبیا (علیهم السّلام) آمده با عبارت های عبری و سریانی آنها که به عربی ترجمه شده  است.</w:t>
      </w:r>
    </w:p>
    <w:p>
      <w:pPr>
        <w:pStyle w:val="BookText"/>
      </w:pPr>
      <w:r>
        <w:rPr>
          <w:rFonts w:ascii="IRNazanin" w:hAnsi="IRNazanin" w:eastAsia="IRNazanin" w:cs="IRNazanin"/>
          <w:lang w:bidi="fa-IR"/>
          <w:color w:val="111111"/>
          <w:sz w:val="28"/>
          <w:szCs w:val="28"/>
          <w:rtl/>
        </w:rPr>
        <w:t xml:space="preserve">قم؛ مرعشی؛ شماره نسخه: ۴۰۷۷/۵</w:t>
      </w:r>
    </w:p>
    <w:p>
      <w:pPr>
        <w:pStyle w:val="BookText"/>
      </w:pPr>
      <w:r>
        <w:rPr>
          <w:rFonts w:ascii="IRNazanin" w:hAnsi="IRNazanin" w:eastAsia="IRNazanin" w:cs="IRNazanin"/>
          <w:lang w:bidi="fa-IR"/>
          <w:color w:val="111111"/>
          <w:sz w:val="28"/>
          <w:szCs w:val="28"/>
          <w:rtl/>
        </w:rPr>
        <w:t xml:space="preserve">آغاز: انا فتحنا لک فتحاً مبيناً ... سألنى من له في قلبي أعز مكانة عن اسم النبى الذى هو مكتوب عندهم في التوراة؛ انجام: و جعلته نزهة للناظرين بفضل سيد الاولين و الآخرين محمد خاتم النبيين صلى الله عليه و آله وصحبه أجمعين</w:t>
      </w:r>
    </w:p>
    <w:p>
      <w:pPr>
        <w:pStyle w:val="BookText"/>
      </w:pPr>
      <w:r>
        <w:rPr>
          <w:rFonts w:ascii="IRNazanin" w:hAnsi="IRNazanin" w:eastAsia="IRNazanin" w:cs="IRNazanin"/>
          <w:lang w:bidi="fa-IR"/>
          <w:color w:val="111111"/>
          <w:sz w:val="28"/>
          <w:szCs w:val="28"/>
          <w:rtl/>
        </w:rPr>
        <w:t xml:space="preserve">خط: نسخ، بی کا، تا: قرن ۱۱؛ جلد: مقوایی عطف تیماج قهوه ای،  ۲۶گ (۱۱۸پ -۱۴۳ر) ،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۱۸/۵سم [ف : ۱۱ - ۸۷]</w:t>
      </w:r>
    </w:p>
    <w:p>
      <w:pPr>
        <w:pStyle w:val="Heading3"/>
      </w:pPr>
      <w:bookmarkStart w:id="1694" w:name="_Toc1216"/>
      <w:r>
        <w:t>اسما و القاب چهارده معصوم / تاریخ معصومین / فارسی</w:t>
      </w:r>
      <w:bookmarkEnd w:id="1694"/>
    </w:p>
    <w:p>
      <w:pPr>
        <w:pStyle w:val="BookText"/>
      </w:pPr>
      <w:r>
        <w:rPr>
          <w:rFonts w:ascii="Times New Roman" w:hAnsi="Times New Roman" w:eastAsia="Times New Roman" w:cs="Times New Roman"/>
          <w:lang w:val="en-US" w:bidi="en-US"/>
          <w:color w:val="111111"/>
          <w:sz w:val="28"/>
          <w:szCs w:val="28"/>
          <w:rtl/>
        </w:rPr>
        <w:t xml:space="preserve">asmā va alqāb-e čahārdah ma'sūm</w:t>
      </w:r>
    </w:p>
    <w:p>
      <w:pPr>
        <w:pStyle w:val="BookText"/>
      </w:pPr>
      <w:r>
        <w:rPr>
          <w:rFonts w:ascii="IRNazanin" w:hAnsi="IRNazanin" w:eastAsia="IRNazanin" w:cs="IRNazanin"/>
          <w:lang w:bidi="fa-IR"/>
          <w:color w:val="111111"/>
          <w:sz w:val="28"/>
          <w:szCs w:val="28"/>
          <w:rtl/>
        </w:rPr>
        <w:t xml:space="preserve">رساله کوتاهی است که در آن نام ها و القاب چهارده معصوم (علیه السّلام) ذکر شده است.</w:t>
      </w:r>
    </w:p>
    <w:p>
      <w:pPr>
        <w:pStyle w:val="BookText"/>
      </w:pPr>
      <w:r>
        <w:rPr>
          <w:rFonts w:ascii="IRNazanin" w:hAnsi="IRNazanin" w:eastAsia="IRNazanin" w:cs="IRNazanin"/>
          <w:lang w:bidi="fa-IR"/>
          <w:color w:val="111111"/>
          <w:sz w:val="28"/>
          <w:szCs w:val="28"/>
          <w:rtl/>
        </w:rPr>
        <w:t xml:space="preserve">قم؛ گلپایگانی؛ شماره نسخه: ۴۸۸۴/۴-۲۴/۱۹۴</w:t>
      </w:r>
    </w:p>
    <w:p>
      <w:pPr>
        <w:pStyle w:val="BookText"/>
      </w:pPr>
      <w:r>
        <w:rPr>
          <w:rFonts w:ascii="IRNazanin" w:hAnsi="IRNazanin" w:eastAsia="IRNazanin" w:cs="IRNazanin"/>
          <w:lang w:bidi="fa-IR"/>
          <w:color w:val="111111"/>
          <w:sz w:val="28"/>
          <w:szCs w:val="28"/>
          <w:rtl/>
        </w:rPr>
        <w:t xml:space="preserve">آغاز: بسمله بدانکه پیغمبر ما صلى الله عليه آله و ختم پیغمبران  است اسم مبارک او محمد صلی الله علیه و آله و لقب او؛ انجام: و دنیا را پرخواهد کردن از عدل و داد بعد از آنکه پر شود از جور و ظلم و اواست صلوات الله عليه آخر امامان عليه صلوات الله الملك المنان اللهم عجل فرجه و فرجنا بحق محمد و آله</w:t>
      </w:r>
    </w:p>
    <w:p>
      <w:pPr>
        <w:pStyle w:val="BookText"/>
      </w:pPr>
      <w:r>
        <w:rPr>
          <w:rFonts w:ascii="IRNazanin" w:hAnsi="IRNazanin" w:eastAsia="IRNazanin" w:cs="IRNazanin"/>
          <w:lang w:bidi="fa-IR"/>
          <w:color w:val="111111"/>
          <w:sz w:val="28"/>
          <w:szCs w:val="28"/>
          <w:rtl/>
        </w:rPr>
        <w:t xml:space="preserve">خط: تحریری، بی کا، بی تا؛ جلد: مقوا، عطف، تیماج، ۶گ، ۱۳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352" w:name="pg20365_260485"/>
    <w:bookmarkEnd w:id="352"/>
    <w:p>
      <w:pPr>
        <w:pStyle w:val="BookText"/>
      </w:pPr>
      <w:r>
        <w:rPr>
          <w:rFonts w:ascii="IRNazanin" w:hAnsi="IRNazanin" w:eastAsia="IRNazanin" w:cs="IRNazanin"/>
          <w:lang w:bidi="fa-IR"/>
          <w:color w:val="111111"/>
          <w:sz w:val="28"/>
          <w:szCs w:val="28"/>
          <w:rtl/>
        </w:rPr>
        <w:t xml:space="preserve">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 ۳۶۱]</w:t>
      </w:r>
    </w:p>
    <w:p>
      <w:pPr>
        <w:pStyle w:val="Heading3"/>
      </w:pPr>
      <w:bookmarkStart w:id="1695" w:name="_Toc1217"/>
      <w:r>
        <w:t>اسم اولاد ناصرالدین شاه / تاریخ ایران / فارسی</w:t>
      </w:r>
      <w:bookmarkEnd w:id="1695"/>
    </w:p>
    <w:p>
      <w:pPr>
        <w:pStyle w:val="BookText"/>
      </w:pPr>
      <w:r>
        <w:rPr>
          <w:rFonts w:ascii="Times New Roman" w:hAnsi="Times New Roman" w:eastAsia="Times New Roman" w:cs="Times New Roman"/>
          <w:lang w:val="en-US" w:bidi="en-US"/>
          <w:color w:val="111111"/>
          <w:sz w:val="28"/>
          <w:szCs w:val="28"/>
          <w:rtl/>
        </w:rPr>
        <w:t xml:space="preserve">esm-e owlād-e nāser-ed-dīn šāh</w:t>
      </w:r>
    </w:p>
    <w:p>
      <w:pPr>
        <w:pStyle w:val="BookText"/>
      </w:pPr>
      <w:r>
        <w:rPr>
          <w:rFonts w:ascii="IRNazanin" w:hAnsi="IRNazanin" w:eastAsia="IRNazanin" w:cs="IRNazanin"/>
          <w:lang w:bidi="fa-IR"/>
          <w:color w:val="111111"/>
          <w:sz w:val="28"/>
          <w:szCs w:val="28"/>
          <w:rtl/>
        </w:rPr>
        <w:t xml:space="preserve">بخش دیگری از تاریخ قاجاریه است.</w:t>
      </w:r>
    </w:p>
    <w:p>
      <w:pPr>
        <w:pStyle w:val="BookText"/>
      </w:pPr>
      <w:r>
        <w:rPr>
          <w:rFonts w:ascii="IRNazanin" w:hAnsi="IRNazanin" w:eastAsia="IRNazanin" w:cs="IRNazanin"/>
          <w:lang w:bidi="fa-IR"/>
          <w:color w:val="111111"/>
          <w:sz w:val="28"/>
          <w:szCs w:val="28"/>
          <w:rtl/>
        </w:rPr>
        <w:t xml:space="preserve">تهران؛ مجلس؛ شماره نسخه: ۸۹۶۸/۱۵</w:t>
      </w:r>
    </w:p>
    <w:p>
      <w:pPr>
        <w:pStyle w:val="BookText"/>
      </w:pPr>
      <w:r>
        <w:rPr>
          <w:rFonts w:ascii="IRNazanin" w:hAnsi="IRNazanin" w:eastAsia="IRNazanin" w:cs="IRNazanin"/>
          <w:lang w:bidi="fa-IR"/>
          <w:color w:val="111111"/>
          <w:sz w:val="28"/>
          <w:szCs w:val="28"/>
          <w:rtl/>
        </w:rPr>
        <w:t xml:space="preserve">خط: نستعلیق و  شکسته، بی کا، تا: اوایل قرن ۱۴؛ کاغذ: فرنگی نخودی و فستقی، جلد: چرم قهوه ای ضربی با ترنج، ۸۱ص (80-۱۶۰) اندازه: ۱۲/۶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۲۱/۸سم [ف: ۲۹/۱۸ - (۴۹۴]</w:t>
      </w:r>
    </w:p>
    <w:p>
      <w:pPr>
        <w:pStyle w:val="Heading3"/>
      </w:pPr>
      <w:bookmarkStart w:id="1696" w:name="_Toc1218"/>
      <w:r>
        <w:t>اسمای کاسه در عربی / ادبیات / فارسی</w:t>
      </w:r>
      <w:bookmarkEnd w:id="1696"/>
    </w:p>
    <w:p>
      <w:pPr>
        <w:pStyle w:val="BookText"/>
      </w:pPr>
      <w:r>
        <w:rPr>
          <w:rFonts w:ascii="Times New Roman" w:hAnsi="Times New Roman" w:eastAsia="Times New Roman" w:cs="Times New Roman"/>
          <w:lang w:val="en-US" w:bidi="en-US"/>
          <w:color w:val="111111"/>
          <w:sz w:val="28"/>
          <w:szCs w:val="28"/>
          <w:rtl/>
        </w:rPr>
        <w:t xml:space="preserve">asmā-ye kāse dar ‘arabī</w:t>
      </w:r>
    </w:p>
    <w:p>
      <w:pPr>
        <w:pStyle w:val="BookText"/>
      </w:pPr>
      <w:r>
        <w:rPr>
          <w:rFonts w:ascii="IRNazanin" w:hAnsi="IRNazanin" w:eastAsia="IRNazanin" w:cs="IRNazanin"/>
          <w:lang w:bidi="fa-IR"/>
          <w:color w:val="111111"/>
          <w:sz w:val="28"/>
          <w:szCs w:val="28"/>
          <w:rtl/>
        </w:rPr>
        <w:t xml:space="preserve">اعتضادالسلطنه، علیقلی بن فتحعلی، ۱۲۳۴؟- 1298قمری</w:t>
      </w:r>
    </w:p>
    <w:p>
      <w:pPr>
        <w:pStyle w:val="BookText"/>
      </w:pPr>
      <w:r>
        <w:rPr>
          <w:rFonts w:ascii="Times New Roman" w:hAnsi="Times New Roman" w:eastAsia="Times New Roman" w:cs="Times New Roman"/>
          <w:lang w:val="en-US" w:bidi="en-US"/>
          <w:color w:val="111111"/>
          <w:sz w:val="28"/>
          <w:szCs w:val="28"/>
          <w:rtl/>
        </w:rPr>
        <w:t xml:space="preserve">(1881-ezād-os-saltane, 'ali-qoli ebn-e fath- alī (1819</w:t>
      </w:r>
    </w:p>
    <w:p>
      <w:pPr>
        <w:pStyle w:val="BookText"/>
      </w:pPr>
      <w:r>
        <w:rPr>
          <w:rFonts w:ascii="IRNazanin" w:hAnsi="IRNazanin" w:eastAsia="IRNazanin" w:cs="IRNazanin"/>
          <w:lang w:bidi="fa-IR"/>
          <w:color w:val="111111"/>
          <w:sz w:val="28"/>
          <w:szCs w:val="28"/>
          <w:rtl/>
        </w:rPr>
        <w:t xml:space="preserve">تهران؛ ملک؛ شماره نسخه: ۶۱۵۱/۸۲</w:t>
      </w:r>
    </w:p>
    <w:p>
      <w:pPr>
        <w:pStyle w:val="BookText"/>
      </w:pPr>
      <w:r>
        <w:rPr>
          <w:rFonts w:ascii="IRNazanin" w:hAnsi="IRNazanin" w:eastAsia="IRNazanin" w:cs="IRNazanin"/>
          <w:lang w:bidi="fa-IR"/>
          <w:color w:val="111111"/>
          <w:sz w:val="28"/>
          <w:szCs w:val="28"/>
          <w:rtl/>
        </w:rPr>
        <w:t xml:space="preserve">خط: نسخ، بی کا، تا: قرن ۱۳ [ف: ۹ - ۱۹۸]</w:t>
      </w:r>
    </w:p>
    <w:p>
      <w:pPr>
        <w:pStyle w:val="Heading3"/>
      </w:pPr>
      <w:bookmarkStart w:id="1697" w:name="_Toc1219"/>
      <w:r>
        <w:t>اسمع البديع / حدیث / فارسی</w:t>
      </w:r>
      <w:bookmarkEnd w:id="1697"/>
    </w:p>
    <w:p>
      <w:pPr>
        <w:pStyle w:val="BookText"/>
      </w:pPr>
      <w:r>
        <w:rPr>
          <w:rFonts w:ascii="Times New Roman" w:hAnsi="Times New Roman" w:eastAsia="Times New Roman" w:cs="Times New Roman"/>
          <w:lang w:val="en-US" w:bidi="en-US"/>
          <w:color w:val="111111"/>
          <w:sz w:val="28"/>
          <w:szCs w:val="28"/>
          <w:rtl/>
        </w:rPr>
        <w:t xml:space="preserve">asma‘-ol-badī‘</w:t>
      </w:r>
    </w:p>
    <w:p>
      <w:pPr>
        <w:pStyle w:val="BookText"/>
      </w:pPr>
      <w:r>
        <w:rPr>
          <w:rFonts w:ascii="IRNazanin" w:hAnsi="IRNazanin" w:eastAsia="IRNazanin" w:cs="IRNazanin"/>
          <w:lang w:bidi="fa-IR"/>
          <w:color w:val="111111"/>
          <w:sz w:val="28"/>
          <w:szCs w:val="28"/>
          <w:rtl/>
        </w:rPr>
        <w:t xml:space="preserve">بابا کرک، محمد رفیع</w:t>
      </w:r>
    </w:p>
    <w:p>
      <w:pPr>
        <w:pStyle w:val="BookText"/>
      </w:pPr>
      <w:r>
        <w:rPr>
          <w:rFonts w:ascii="Times New Roman" w:hAnsi="Times New Roman" w:eastAsia="Times New Roman" w:cs="Times New Roman"/>
          <w:lang w:val="en-US" w:bidi="en-US"/>
          <w:color w:val="111111"/>
          <w:sz w:val="28"/>
          <w:szCs w:val="28"/>
          <w:rtl/>
        </w:rPr>
        <w:t xml:space="preserve">bābā karak, mohammad rafī‘</w:t>
      </w:r>
    </w:p>
    <w:p>
      <w:pPr>
        <w:pStyle w:val="BookText"/>
      </w:pPr>
      <w:r>
        <w:rPr>
          <w:rFonts w:ascii="IRNazanin" w:hAnsi="IRNazanin" w:eastAsia="IRNazanin" w:cs="IRNazanin"/>
          <w:lang w:bidi="fa-IR"/>
          <w:color w:val="111111"/>
          <w:sz w:val="28"/>
          <w:szCs w:val="28"/>
          <w:rtl/>
        </w:rPr>
        <w:t xml:space="preserve">مشهد؛ رضوی؛ شماره نسخه: ۱۲۸۴۹</w:t>
      </w:r>
    </w:p>
    <w:p>
      <w:pPr>
        <w:pStyle w:val="BookText"/>
      </w:pPr>
      <w:r>
        <w:rPr>
          <w:rFonts w:ascii="IRNazanin" w:hAnsi="IRNazanin" w:eastAsia="IRNazanin" w:cs="IRNazanin"/>
          <w:lang w:bidi="fa-IR"/>
          <w:color w:val="111111"/>
          <w:sz w:val="28"/>
          <w:szCs w:val="28"/>
          <w:rtl/>
        </w:rPr>
        <w:t xml:space="preserve">آغاز: که یا ایها الذین آمنوا؛ انجام: اگر عورت نمایان نشود</w:t>
      </w:r>
    </w:p>
    <w:p>
      <w:pPr>
        <w:pStyle w:val="BookText"/>
      </w:pPr>
      <w:r>
        <w:rPr>
          <w:rFonts w:ascii="IRNazanin" w:hAnsi="IRNazanin" w:eastAsia="IRNazanin" w:cs="IRNazanin"/>
          <w:lang w:bidi="fa-IR"/>
          <w:color w:val="111111"/>
          <w:sz w:val="28"/>
          <w:szCs w:val="28"/>
          <w:rtl/>
        </w:rPr>
        <w:t xml:space="preserve">خط: نستعلیق، بی کا، بی تا؛ افتادگی: آغاز [الفبائی: ۵۰]</w:t>
      </w:r>
    </w:p>
    <w:p>
      <w:pPr>
        <w:pStyle w:val="Heading3"/>
      </w:pPr>
      <w:bookmarkStart w:id="1698" w:name="_Toc1220"/>
      <w:r>
        <w:t>الاسم و المسمى / ادبیات / عربی</w:t>
      </w:r>
      <w:bookmarkEnd w:id="1698"/>
    </w:p>
    <w:p>
      <w:pPr>
        <w:pStyle w:val="BookText"/>
      </w:pPr>
      <w:r>
        <w:rPr>
          <w:rFonts w:ascii="Times New Roman" w:hAnsi="Times New Roman" w:eastAsia="Times New Roman" w:cs="Times New Roman"/>
          <w:lang w:val="en-US" w:bidi="en-US"/>
          <w:color w:val="111111"/>
          <w:sz w:val="28"/>
          <w:szCs w:val="28"/>
          <w:rtl/>
        </w:rPr>
        <w:t xml:space="preserve">al-ism wa-l-musammā</w:t>
      </w:r>
    </w:p>
    <w:p>
      <w:pPr>
        <w:pStyle w:val="BookText"/>
      </w:pPr>
      <w:r>
        <w:rPr>
          <w:rFonts w:ascii="IRNazanin" w:hAnsi="IRNazanin" w:eastAsia="IRNazanin" w:cs="IRNazanin"/>
          <w:lang w:bidi="fa-IR"/>
          <w:color w:val="111111"/>
          <w:sz w:val="28"/>
          <w:szCs w:val="28"/>
          <w:rtl/>
        </w:rPr>
        <w:t xml:space="preserve">بطلیوسی، عبدالله بن  محمد، ۴۴۴ - ۵۲۱ قمری</w:t>
      </w:r>
    </w:p>
    <w:p>
      <w:pPr>
        <w:pStyle w:val="BookText"/>
      </w:pPr>
      <w:r>
        <w:rPr>
          <w:rFonts w:ascii="Times New Roman" w:hAnsi="Times New Roman" w:eastAsia="Times New Roman" w:cs="Times New Roman"/>
          <w:lang w:val="en-US" w:bidi="en-US"/>
          <w:color w:val="111111"/>
          <w:sz w:val="28"/>
          <w:szCs w:val="28"/>
          <w:rtl/>
        </w:rPr>
        <w:t xml:space="preserve">(batalyūsī, ‘abd-ol-lāh ebn-e mohammad (1053 - 1128)</w:t>
      </w:r>
    </w:p>
    <w:p>
      <w:pPr>
        <w:pStyle w:val="BookText"/>
      </w:pPr>
      <w:r>
        <w:rPr>
          <w:rFonts w:ascii="IRNazanin" w:hAnsi="IRNazanin" w:eastAsia="IRNazanin" w:cs="IRNazanin"/>
          <w:lang w:bidi="fa-IR"/>
          <w:color w:val="111111"/>
          <w:sz w:val="28"/>
          <w:szCs w:val="28"/>
          <w:rtl/>
        </w:rPr>
        <w:t xml:space="preserve">به نوشته بروکلمن، نسخه ای از آن در فیض الله استانبول (2161، برگ ۹۳ر- ۹۵ر هست .</w:t>
      </w:r>
    </w:p>
    <w:p>
      <w:pPr>
        <w:pStyle w:val="BookText"/>
      </w:pPr>
      <w:r>
        <w:rPr>
          <w:rFonts w:ascii="IRNazanin" w:hAnsi="IRNazanin" w:eastAsia="IRNazanin" w:cs="IRNazanin"/>
          <w:lang w:bidi="fa-IR"/>
          <w:color w:val="111111"/>
          <w:sz w:val="28"/>
          <w:szCs w:val="28"/>
          <w:rtl/>
        </w:rPr>
        <w:t xml:space="preserve">چاپ: محقق: احمد فاروق، دمشق، مجلة مجمع اللغة العربیة،  مجلد ۴۷، ج ۲، ۱۹ص، ۱۳۹۲ق.</w:t>
      </w:r>
    </w:p>
    <w:p>
      <w:pPr>
        <w:pStyle w:val="BookText"/>
      </w:pPr>
      <w:r>
        <w:rPr>
          <w:rFonts w:ascii="IRNazanin" w:hAnsi="IRNazanin" w:eastAsia="IRNazanin" w:cs="IRNazanin"/>
          <w:lang w:bidi="fa-IR"/>
          <w:color w:val="111111"/>
          <w:sz w:val="28"/>
          <w:szCs w:val="28"/>
          <w:rtl/>
        </w:rPr>
        <w:t xml:space="preserve">تهران؛ ملک؛ شماره نسخه: ۱۸۳۸/۱۳</w:t>
      </w:r>
    </w:p>
    <w:p>
      <w:pPr>
        <w:pStyle w:val="BookText"/>
      </w:pPr>
      <w:r>
        <w:rPr>
          <w:rFonts w:ascii="IRNazanin" w:hAnsi="IRNazanin" w:eastAsia="IRNazanin" w:cs="IRNazanin"/>
          <w:lang w:bidi="fa-IR"/>
          <w:color w:val="111111"/>
          <w:sz w:val="28"/>
          <w:szCs w:val="28"/>
          <w:rtl/>
        </w:rPr>
        <w:t xml:space="preserve">آغاز: الحمد لله الذي من علينا بالهدى و علمنا مالم نكن نعلم... سالتني اعرفك الله بالتقوى... من امر الاسم و المسمى و قـلت کیف یصح ان يقال؛ انجام: و ان كل واحد من القولين صحيح و نحمد الله على نعمه فانه الموفق بمنه وكرمه للصواب انتهى وصـلی  الله ... العالمين</w:t>
      </w:r>
    </w:p>
    <w:p>
      <w:pPr>
        <w:pStyle w:val="BookText"/>
      </w:pPr>
      <w:r>
        <w:rPr>
          <w:rFonts w:ascii="IRNazanin" w:hAnsi="IRNazanin" w:eastAsia="IRNazanin" w:cs="IRNazanin"/>
          <w:lang w:bidi="fa-IR"/>
          <w:color w:val="111111"/>
          <w:sz w:val="28"/>
          <w:szCs w:val="28"/>
          <w:rtl/>
        </w:rPr>
        <w:t xml:space="preserve">خط: نستعلیق، بی کا، تا: با تاریخ ۱۰۳۰ق؛ کاغذ: ترمه، جلد: میشن قهوه ای، ۴گ (۷۹پ-۸۲پ) ،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۵ - ۳۷۹]</w:t>
      </w:r>
    </w:p>
    <w:p>
      <w:pPr>
        <w:pStyle w:val="Heading3"/>
      </w:pPr>
      <w:bookmarkStart w:id="1699" w:name="_Toc1221"/>
      <w:r>
        <w:t>الاسمى فى الاسماء / لغت / عربي</w:t>
      </w:r>
      <w:bookmarkEnd w:id="1699"/>
    </w:p>
    <w:p>
      <w:pPr>
        <w:pStyle w:val="BookText"/>
      </w:pPr>
      <w:r>
        <w:rPr>
          <w:rFonts w:ascii="Times New Roman" w:hAnsi="Times New Roman" w:eastAsia="Times New Roman" w:cs="Times New Roman"/>
          <w:lang w:val="en-US" w:bidi="en-US"/>
          <w:color w:val="111111"/>
          <w:sz w:val="28"/>
          <w:szCs w:val="28"/>
          <w:rtl/>
        </w:rPr>
        <w:t xml:space="preserve">al-asmā fi-l-asma'</w:t>
      </w:r>
    </w:p>
    <w:p>
      <w:pPr>
        <w:pStyle w:val="BookText"/>
      </w:pPr>
      <w:r>
        <w:rPr>
          <w:rFonts w:ascii="IRNazanin" w:hAnsi="IRNazanin" w:eastAsia="IRNazanin" w:cs="IRNazanin"/>
          <w:lang w:bidi="fa-IR"/>
          <w:color w:val="111111"/>
          <w:sz w:val="28"/>
          <w:szCs w:val="28"/>
          <w:rtl/>
        </w:rPr>
        <w:t xml:space="preserve">ابن  میدانی، سعید بن احمد، - ۵۳۹ قمری</w:t>
      </w:r>
    </w:p>
    <w:p>
      <w:pPr>
        <w:pStyle w:val="BookText"/>
      </w:pPr>
      <w:r>
        <w:rPr>
          <w:rFonts w:ascii="Times New Roman" w:hAnsi="Times New Roman" w:eastAsia="Times New Roman" w:cs="Times New Roman"/>
          <w:lang w:val="en-US" w:bidi="en-US"/>
          <w:color w:val="111111"/>
          <w:sz w:val="28"/>
          <w:szCs w:val="28"/>
          <w:rtl/>
        </w:rPr>
        <w:t xml:space="preserve">(ebn-e meydānī, sa'īd ebn-e ahmad (- 1145)</w:t>
      </w:r>
    </w:p>
    <w:p>
      <w:pPr>
        <w:pStyle w:val="BookText"/>
      </w:pPr>
      <w:r>
        <w:rPr>
          <w:rFonts w:ascii="IRNazanin" w:hAnsi="IRNazanin" w:eastAsia="IRNazanin" w:cs="IRNazanin"/>
          <w:lang w:bidi="fa-IR"/>
          <w:color w:val="111111"/>
          <w:sz w:val="28"/>
          <w:szCs w:val="28"/>
          <w:rtl/>
        </w:rPr>
        <w:t xml:space="preserve">کتابی است به روش کتاب «السامى فى الاسامی» با همان ابواب و فصول که در حقیقت مکمل آن می باشد. مؤلف در مقدمه آورده «عده ای از خالی بودن «السامى فى الاسامی» از صیغه های جمع را آوردم و سه [فصل] از دو باب آخر آن را حذف  نمودم. در آغاز رموز کتاب را چنین تشریح نموده که م علامت  معروف  وج  علامت  و ج جمع و اعجمی بودن و دو جیم  علامت جمع جمع و سه جیم علامت جمع جمع جمع و غین علامت غریب یا غیر قیاسی بودن و ط علامت جمع شاید بر طبق قیاس و ثا علامت جمع های مونث بدون علامت تانیث و ثذ علامت مذکر و مونث می باشد</w:t>
      </w:r>
    </w:p>
    <w:p>
      <w:pPr>
        <w:pStyle w:val="BookText"/>
      </w:pPr>
      <w:r>
        <w:rPr>
          <w:rFonts w:ascii="IRNazanin" w:hAnsi="IRNazanin" w:eastAsia="IRNazanin" w:cs="IRNazanin"/>
          <w:lang w:bidi="fa-IR"/>
          <w:color w:val="111111"/>
          <w:sz w:val="28"/>
          <w:szCs w:val="28"/>
          <w:rtl/>
        </w:rPr>
        <w:t xml:space="preserve">چاپ: با تحقیق دکتر جعفر علی  امیدی، انتشارات اسوه، ۱۳۸۲ش</w:t>
      </w:r>
    </w:p>
    <w:p>
      <w:pPr>
        <w:pStyle w:val="BookText"/>
      </w:pPr>
      <w:r>
        <w:rPr>
          <w:rFonts w:ascii="IRNazanin" w:hAnsi="IRNazanin" w:eastAsia="IRNazanin" w:cs="IRNazanin"/>
          <w:lang w:bidi="fa-IR"/>
          <w:color w:val="111111"/>
          <w:sz w:val="28"/>
          <w:szCs w:val="28"/>
          <w:rtl/>
        </w:rPr>
        <w:t xml:space="preserve">[كشف الظنون ٩٠/١ هدية العارفين ۳۹۱/۱؛ معجم المولفین ۲۱۹/۴]</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مرعشی؛ شماره نسخه: ۱۳۹۸۲</w:t>
      </w:r>
    </w:p>
    <w:p>
      <w:pPr>
        <w:pStyle w:val="BookText"/>
      </w:pPr>
      <w:r>
        <w:rPr>
          <w:rFonts w:ascii="IRNazanin" w:hAnsi="IRNazanin" w:eastAsia="IRNazanin" w:cs="IRNazanin"/>
          <w:lang w:bidi="fa-IR"/>
          <w:color w:val="111111"/>
          <w:sz w:val="28"/>
          <w:szCs w:val="28"/>
          <w:rtl/>
        </w:rPr>
        <w:t xml:space="preserve">آغاز: احمد الله تعالی و ایاه استعين فانه نعم المولى ونعم النصير و اصلى على المبعوث ... و بعد فقد شكا الى قوم خلو كتاب السامي من المجموع؛ انجام: و الحسن و الحسنة ضد السوى و السيى و السيئة الحسن</w:t>
      </w:r>
    </w:p>
    <w:p>
      <w:pPr>
        <w:pStyle w:val="BookText"/>
      </w:pPr>
      <w:r>
        <w:rPr>
          <w:rFonts w:ascii="IRNazanin" w:hAnsi="IRNazanin" w:eastAsia="IRNazanin" w:cs="IRNazanin"/>
          <w:lang w:bidi="fa-IR"/>
          <w:color w:val="111111"/>
          <w:sz w:val="28"/>
          <w:szCs w:val="28"/>
          <w:rtl/>
        </w:rPr>
        <w:t xml:space="preserve">خط: نسخ کهن، بی کا، تا: قرن7؛ افتادگی: انجام؛ محشی با نشان «ه»، مصحح؛ تملک: محمد بن شیخ محمد صوفی شروانی، سید محمد باقر بن عبدالله بن محدصالح بن اسدالله شيخ الاسلام تبریزی به سال ۱۲۶۷ق؛ کاغذ: شرقی؛ نوع جلد: تیماج زرشکی مجدول با ترنج و سرترنج  طلایی، ۱۳۳ص، ۱۶ سطر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۲۴سم [ف ۳۵ - ۴۳۸]</w:t>
      </w:r>
    </w:p>
    <w:p>
      <w:pPr>
        <w:pStyle w:val="BookText"/>
      </w:pPr>
      <w:r>
        <w:rPr>
          <w:rFonts w:ascii="IRNazanin" w:hAnsi="IRNazanin" w:eastAsia="IRNazanin" w:cs="IRNazanin"/>
          <w:lang w:bidi="fa-IR"/>
          <w:color w:val="111111"/>
          <w:sz w:val="28"/>
          <w:szCs w:val="28"/>
          <w:rtl/>
        </w:rPr>
        <w:t xml:space="preserve">۲. تهران؛ دانشگاه؛ شماره نسخه: ۶۷۲۹/۳</w:t>
      </w:r>
    </w:p>
    <w:p>
      <w:pPr>
        <w:pStyle w:val="BookText"/>
      </w:pPr>
      <w:r>
        <w:rPr>
          <w:rFonts w:ascii="IRNazanin" w:hAnsi="IRNazanin" w:eastAsia="IRNazanin" w:cs="IRNazanin"/>
          <w:lang w:bidi="fa-IR"/>
          <w:color w:val="111111"/>
          <w:sz w:val="28"/>
          <w:szCs w:val="28"/>
          <w:rtl/>
        </w:rPr>
        <w:t xml:space="preserve">تذکر: در فهرست به نام احمد بن محمد میدانی استناد داده شده است؛ خط: نسخ ترکی، بی کا، بی تا؛ در پایان نسخه دو صفحه ای است با عنوان باب الافتعال و از عربی به فارسی و ناقص (۲۰۶ ر و پ) کاغذ ،استانبولی ،جلد: مقوا ،گردعطف تریاکی، ۵۳گ  (۲۰۶ر-۱۵۴پ) ۳۰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 قطع: وزیری،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۲۷سم [ف: ۱۶ - ۳۴۶]</w:t>
      </w:r>
    </w:p>
    <w:p>
      <w:pPr>
        <w:pStyle w:val="Heading3"/>
      </w:pPr>
      <w:bookmarkStart w:id="1700" w:name="_Toc1222"/>
      <w:r>
        <w:t>الاسناد / اسناد / عربی</w:t>
      </w:r>
      <w:bookmarkEnd w:id="1700"/>
    </w:p>
    <w:p>
      <w:pPr>
        <w:pStyle w:val="BookText"/>
      </w:pPr>
      <w:r>
        <w:rPr>
          <w:rFonts w:ascii="Times New Roman" w:hAnsi="Times New Roman" w:eastAsia="Times New Roman" w:cs="Times New Roman"/>
          <w:lang w:val="en-US" w:bidi="en-US"/>
          <w:color w:val="111111"/>
          <w:sz w:val="28"/>
          <w:szCs w:val="28"/>
          <w:rtl/>
        </w:rPr>
        <w:t xml:space="preserve">al-asnad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353" w:name="pg20365_260486"/>
    <w:bookmarkEnd w:id="353"/>
    <w:p>
      <w:pPr>
        <w:pStyle w:val="BookText"/>
      </w:pPr>
      <w:r>
        <w:rPr>
          <w:rFonts w:ascii="IRNazanin" w:hAnsi="IRNazanin" w:eastAsia="IRNazanin" w:cs="IRNazanin"/>
          <w:lang w:bidi="fa-IR"/>
          <w:color w:val="111111"/>
          <w:sz w:val="28"/>
          <w:szCs w:val="28"/>
          <w:rtl/>
        </w:rPr>
        <w:t xml:space="preserve">تهران؛ مجلس؛ شماره نسخه: ۸۱۸۷/۸</w:t>
      </w:r>
    </w:p>
    <w:p>
      <w:pPr>
        <w:pStyle w:val="BookText"/>
      </w:pPr>
      <w:r>
        <w:rPr>
          <w:rFonts w:ascii="IRNazanin" w:hAnsi="IRNazanin" w:eastAsia="IRNazanin" w:cs="IRNazanin"/>
          <w:lang w:bidi="fa-IR"/>
          <w:color w:val="111111"/>
          <w:sz w:val="28"/>
          <w:szCs w:val="28"/>
          <w:rtl/>
        </w:rPr>
        <w:t xml:space="preserve">آغاز: خبر و بالاسناد عن الكلبى انه قال كان حممه بن رابع الدوسى من اجمل العرب و كان له جمه يقال لها الرطبه وکان يغسلها بالماء ويعقصها فيحتقن فيها؛ انجام: فقل لبنى امية حـیث حلوا ** و ان خفت المهند و القطيعا/ اجاع الله من اشبعتموه **و اشبع من بجوركم اجيعا. ثم الاسناد بعون رب العباد و نسال التوفيق والسداد بمحمد و آله الامجاد</w:t>
      </w:r>
    </w:p>
    <w:p>
      <w:pPr>
        <w:pStyle w:val="BookText"/>
      </w:pPr>
      <w:r>
        <w:rPr>
          <w:rFonts w:ascii="IRNazanin" w:hAnsi="IRNazanin" w:eastAsia="IRNazanin" w:cs="IRNazanin"/>
          <w:lang w:bidi="fa-IR"/>
          <w:color w:val="111111"/>
          <w:sz w:val="28"/>
          <w:szCs w:val="28"/>
          <w:rtl/>
        </w:rPr>
        <w:t xml:space="preserve">آغاز: ویژه ای  ندارد. در پایان آن که اخبار و حکایاتی  آمده، عبارات «تم الاسناد» دیده می شود که عجالتاً برای عنوان آن در نظر گرفته شد؛ خط: نسخ خوش، بی کا، تا: نیمه دوم قرن ۸، جـلد:مقوایی، ۶گ (۱۸۲ر - ۱۸۷ر)، ۱۵ سطر، اندازه: 14/7</w:t>
      </w:r>
      <w:r>
        <w:rPr>
          <w:rFonts w:ascii="Times New Roman" w:hAnsi="Times New Roman" w:eastAsia="Times New Roman" w:cs="Times New Roman"/>
          <w:lang w:val="en-US" w:bidi="en-US"/>
          <w:color w:val="111111"/>
          <w:sz w:val="28"/>
          <w:szCs w:val="28"/>
          <w:rtl/>
        </w:rPr>
        <w:t xml:space="preserve">×22/3</w:t>
      </w:r>
      <w:r>
        <w:rPr>
          <w:rFonts w:ascii="IRNazanin" w:hAnsi="IRNazanin" w:eastAsia="IRNazanin" w:cs="IRNazanin"/>
          <w:lang w:bidi="fa-IR"/>
          <w:color w:val="111111"/>
          <w:sz w:val="28"/>
          <w:szCs w:val="28"/>
          <w:rtl/>
        </w:rPr>
        <w:t xml:space="preserve">سم [ ف: ۲۷/۱ – ۴۵۰]</w:t>
      </w:r>
    </w:p>
    <w:p>
      <w:pPr>
        <w:pStyle w:val="Heading3"/>
      </w:pPr>
      <w:bookmarkStart w:id="1701" w:name="_Toc1223"/>
      <w:r>
        <w:t>اسناد / دعا / عربی</w:t>
      </w:r>
      <w:bookmarkEnd w:id="1701"/>
    </w:p>
    <w:p>
      <w:pPr>
        <w:pStyle w:val="BookText"/>
      </w:pPr>
      <w:r>
        <w:rPr>
          <w:rFonts w:ascii="Times New Roman" w:hAnsi="Times New Roman" w:eastAsia="Times New Roman" w:cs="Times New Roman"/>
          <w:lang w:val="en-US" w:bidi="en-US"/>
          <w:color w:val="111111"/>
          <w:sz w:val="28"/>
          <w:szCs w:val="28"/>
          <w:rtl/>
        </w:rPr>
        <w:t xml:space="preserve">asnad</w:t>
      </w:r>
    </w:p>
    <w:p>
      <w:pPr>
        <w:pStyle w:val="BookText"/>
      </w:pPr>
      <w:r>
        <w:rPr>
          <w:rFonts w:ascii="IRNazanin" w:hAnsi="IRNazanin" w:eastAsia="IRNazanin" w:cs="IRNazanin"/>
          <w:lang w:bidi="fa-IR"/>
          <w:color w:val="111111"/>
          <w:sz w:val="28"/>
          <w:szCs w:val="28"/>
          <w:rtl/>
        </w:rPr>
        <w:t xml:space="preserve">اصفهان ،روضاتی</w:t>
      </w:r>
      <w:r>
        <w:rPr>
          <w:rFonts w:ascii="Times New Roman" w:hAnsi="Times New Roman" w:eastAsia="Times New Roman" w:cs="Times New Roman"/>
          <w:lang w:val="en-US" w:bidi="en-US"/>
          <w:color w:val="111111"/>
          <w:sz w:val="28"/>
          <w:szCs w:val="28"/>
          <w:rtl/>
        </w:rPr>
        <w:t xml:space="preserve">Y </w:t>
      </w:r>
      <w:r>
        <w:rPr>
          <w:rFonts w:ascii="IRNazanin" w:hAnsi="IRNazanin" w:eastAsia="IRNazanin" w:cs="IRNazanin"/>
          <w:lang w:bidi="fa-IR"/>
          <w:color w:val="111111"/>
          <w:sz w:val="28"/>
          <w:szCs w:val="28"/>
          <w:rtl/>
        </w:rPr>
        <w:t xml:space="preserve">سید محمد علی؛ شماره نسخه ۱/۲۰</w:t>
      </w:r>
    </w:p>
    <w:p>
      <w:pPr>
        <w:pStyle w:val="BookText"/>
      </w:pPr>
      <w:r>
        <w:rPr>
          <w:rFonts w:ascii="IRNazanin" w:hAnsi="IRNazanin" w:eastAsia="IRNazanin" w:cs="IRNazanin"/>
          <w:lang w:bidi="fa-IR"/>
          <w:color w:val="111111"/>
          <w:sz w:val="28"/>
          <w:szCs w:val="28"/>
          <w:rtl/>
        </w:rPr>
        <w:t xml:space="preserve">اسناد دعاء استفتاح المشهور به دعاء ام داود و اصل دعاء؛ خـط: نسخ جلی، بی کا، تا: قرن ۹؛ کاغذ: چهار بغل ۷گ(88پ-94) ،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 نشریه: ۵ - ۱۳۳]</w:t>
      </w:r>
    </w:p>
    <w:p>
      <w:pPr>
        <w:pStyle w:val="Heading3"/>
      </w:pPr>
      <w:bookmarkStart w:id="1702" w:name="_Toc1224"/>
      <w:r>
        <w:t>اسناد / اسناد / فارسی</w:t>
      </w:r>
      <w:bookmarkEnd w:id="1702"/>
    </w:p>
    <w:p>
      <w:pPr>
        <w:pStyle w:val="BookText"/>
      </w:pPr>
      <w:r>
        <w:rPr>
          <w:rFonts w:ascii="Times New Roman" w:hAnsi="Times New Roman" w:eastAsia="Times New Roman" w:cs="Times New Roman"/>
          <w:lang w:val="en-US" w:bidi="en-US"/>
          <w:color w:val="111111"/>
          <w:sz w:val="28"/>
          <w:szCs w:val="28"/>
          <w:rtl/>
        </w:rPr>
        <w:t xml:space="preserve">asnad</w:t>
      </w:r>
    </w:p>
    <w:p>
      <w:pPr>
        <w:pStyle w:val="BookText"/>
      </w:pPr>
      <w:r>
        <w:rPr>
          <w:rFonts w:ascii="IRNazanin" w:hAnsi="IRNazanin" w:eastAsia="IRNazanin" w:cs="IRNazanin"/>
          <w:lang w:bidi="fa-IR"/>
          <w:color w:val="111111"/>
          <w:sz w:val="28"/>
          <w:szCs w:val="28"/>
          <w:rtl/>
        </w:rPr>
        <w:t xml:space="preserve">1.تهران؛ ملی؛ شماره نسخه:۶۷۴۰</w:t>
      </w:r>
    </w:p>
    <w:p>
      <w:pPr>
        <w:pStyle w:val="BookText"/>
      </w:pPr>
      <w:r>
        <w:rPr>
          <w:rFonts w:ascii="IRNazanin" w:hAnsi="IRNazanin" w:eastAsia="IRNazanin" w:cs="IRNazanin"/>
          <w:lang w:bidi="fa-IR"/>
          <w:color w:val="111111"/>
          <w:sz w:val="28"/>
          <w:szCs w:val="28"/>
          <w:rtl/>
        </w:rPr>
        <w:t xml:space="preserve">مجموعه اسناد دولتی است مربوط به دوره قاجاریه که به عنوان نمونه ای برای نامه نگاری در سه باب به شرح ذیل گردآوری شـده است: ۱. سواد ارقام مطاعه؛ ۲. طریق نوشتن عرایضات که اعاظم نویسند؛3 . طریق نوشتن مستندات شرعیه و اجاره نامجه. در این اثرعلاوه بر موارد فوق حساب دخل و خرج هایی به شیوه سیاق نوشته شده است؛ خط: شکسته نستعلیق بی نقطه  ناخوانا، بی کا،تا: قرن ۱۳؛ افتادگی: آغاز ،مصحح، در برگ ۳۲ یادداشتی از صاحب نسخه مبنی بر اینکه این کتاب را در دارالعلم شیـراز خریداری کرده است؛ کاغذ: فرنگی آبی، جلد: تیماج قهوه ای سوخته یک لا مجدول ضربی، ۴۷گ ۹ سطر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۵/۵) ،اندازه: ۱۶/۷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۲۱/۷سم [رایانه ]</w:t>
      </w:r>
    </w:p>
    <w:p>
      <w:pPr>
        <w:pStyle w:val="BookText"/>
      </w:pPr>
      <w:r>
        <w:rPr>
          <w:rFonts w:ascii="IRNazanin" w:hAnsi="IRNazanin" w:eastAsia="IRNazanin" w:cs="IRNazanin"/>
          <w:lang w:bidi="fa-IR"/>
          <w:color w:val="111111"/>
          <w:sz w:val="28"/>
          <w:szCs w:val="28"/>
          <w:rtl/>
        </w:rPr>
        <w:t xml:space="preserve">۲. تهران؛ ملی؛ شماره نسخه: ۱۸۰۰۴</w:t>
      </w:r>
    </w:p>
    <w:p>
      <w:pPr>
        <w:pStyle w:val="BookText"/>
      </w:pPr>
      <w:r>
        <w:rPr>
          <w:rFonts w:ascii="IRNazanin" w:hAnsi="IRNazanin" w:eastAsia="IRNazanin" w:cs="IRNazanin"/>
          <w:lang w:bidi="fa-IR"/>
          <w:color w:val="111111"/>
          <w:sz w:val="28"/>
          <w:szCs w:val="28"/>
          <w:rtl/>
        </w:rPr>
        <w:t xml:space="preserve">سند خرج نیشابور؛ بی کا، تا: ۱۲۵۱ق؛ انتقالی از کتابخانه پهلوی- مجموعه نوازی؛ ۱۱گ ؛اندازه: ۱۵/۱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۲۱/۱سم [رایانه]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ملک؛ شماره نسخه: ۳۹۶۲</w:t>
      </w:r>
    </w:p>
    <w:p>
      <w:pPr>
        <w:pStyle w:val="BookText"/>
      </w:pPr>
      <w:r>
        <w:rPr>
          <w:rFonts w:ascii="IRNazanin" w:hAnsi="IRNazanin" w:eastAsia="IRNazanin" w:cs="IRNazanin"/>
          <w:lang w:bidi="fa-IR"/>
          <w:color w:val="111111"/>
          <w:sz w:val="28"/>
          <w:szCs w:val="28"/>
          <w:rtl/>
        </w:rPr>
        <w:t xml:space="preserve">شامل: ۱. عهدنامه با دولت  انگلیس، ۲. عهدنامه با دولت انگلیس، 3.  عهدنامه با دولت انگلیس در زمان فتحعلیشاه قاجار توسط میرزا محمد شفیع و محمد حسن خان در طهران در نه فصل و تاریخ  25نوابر ۱۸۱۲م و ۱۲ ذیحجه ۱۲۲۹ق دنباله عهدنامه ش ۲ است (ص ۱۳-۱۰)، ۴. احتجاج با مستر آلس ایلچی دولت انگلیس در طهران در زمان فتحعلیشاه قاجار در سه حجت (ص ۱۳-۱۵)، ۵. عهدنامه تجارتى فيما بين دولت ایران و انگلیس در زمان محمد شاه قاجار در طهران توسط میرزا ابوالحسن خان در تاریخ ۱۲۵۷ در دو فصل (ص ،۱۶-۱۸ ) ۶. قرار نامه میان دولت ایران و انگلیس در باب و غلام و کنیز در زمان ناصرالدین شاه قاجار تا مدت یازده سال از تاریخ تحریر عهدنامه (غره ربیع الاول ۱۲۶۷) در طهران (ص ۱۸- ۱۹) .۷ دستورالعمل میرزا محمود خان آجودان وزارت امور خارجه در باب غلام و کنیز شاه در زمان ناصرالدین شاه توسط صدراعظم در تاریخ (ص ،۱۹-۲۱) ، 8.قرار نامه دولت ایران با شیل صاحب وزیر مختار انگلیس درباره هرات در زمان ناصرالدین شاه در تاریخ ۱۲۶۹ ص (۲۱-۲۲ )، ۹. صلح نامه میان پادشاه ایران و انگلیس در زمان ناصرالدین شاه قاجار در پاریس به وسیله فرخ خان امین الملک سفیر ایران و بارون کاولی از امناء دولت انگلیس در ۱۵ فصل و تصدیق میرزا آقاخان و ناصرالدین شاه قاجار در چهار نسخه در ۷ رجب ۱۲۷۳ مطابق ۴ مارس ۱۸۵۷ (ص۲۲-۲۷)، ۱۰. عهدنامه صلح میان پادشاه ایران (ناصرالدین شاه و ملکه ویکتور[یا] پادشاه انگلیس در سال ۲۰ سلطنت ملکه ویکتوریا ۱۸۵۷م و ۱۲۷۱ق در طهران (ص ۲۷-۲۸) ۱۱. قرارنامه میان دولت ایران و دولت انگلیس در زمان ناصرالدین شاه و ملکه ویکتوریا توسط میرزا سعید خان در باب غلام و کنیز در ۵ فصل در طهران، در تاریخ ۱۱ ربیع الثانی ۱۲۹۹ مطابق مارس ۱۸۸۲م در چهار نسخه (هامش ص ۲۰-۱۸)، ۱۲. عهدنامه دولت ایران با دولت فرانسه در زمان ناصرالدین شاه قاجار و ناپلئون در طهران توسط میرزا آقاخان صدراعظم و نیکلا وزیر مختار فرانسه در ۸ فصل در تاریخ ۲۸ شوال ۱۲۷۱ق مطابق ژوئیه ۱۸۵۵م در دو نسخه فارسی (ص ۲۸-۳۱)؛ ۱۳. عهدنامه تجارتی و دولتی میان دولت ایران و آلمان در زبان ناصرالدین شاه در پطرزبورغ به توسط میرزا عبدالرحیم خان ساعد الملک وزیر مختار دولت ایران و مقیم در پطرزبورغ و پرنس هانری وزیر مختار دولت آلمان مقیم در پطرزبورغ در ۲۱ فصل تاریخ ۱۱ ژوئن فرانسه-۱۸۷۳م و روز چهارشنبه ۱۵ ربيع الثاني ۱۲۹۰ق (۳۲-۴۰)، ۱۴. عهدنامه تجارتی و دوستی میان دولت ایران و آمریک شمالی (دولت اتازونی) در پاریس در زمان ناصرالدین شاه قاجار توسط امین الملک فرخ خان (۴۰-۴۵) در زمان ناصرالدین شاه در تاریخ ۱۵ ربیع الثانی ۱۲۷۳ق مطابق ۱۸۵۶م در اسلامبول در دو نسخه فارسی و انگلیسی و در ۸ فصل؛ ۱۵. عهدنامه میان دولت ایران و بلجیک (بلژیک) در زمان محمدشاه قاجار توسط حاجی میرزا آقاسی در ۷ ماده در تاریخ روز چهارشنبه ۲۵ جمادی الثانی ۱۲۵۷ مطابق ۱۴ جولای ۱۸۴۱م در اسلامبول ( ص ۴۶-۴۸)، ۱۶. شرطنامه میان دولت ایران و بلژیک با تاریخ ۱۵ ذیحجه ۱۲۵۷ق و ملحق به عهدنامه فوق (ص ۴۸) ،۱۷. عهدنامه میان دولت ایران و بلژیک در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زمان ناصرالدین شاه و لئوپلد پادشاه بلژیک در بروکسل در نه فصل توسط امین الملک فرخ خان در نهم ذیحجه ۱۲۷۳ق (ص ۵۱-۴۹ )؛ ۱۸. توضیح نامه میان دولت ایران و هلند در زمان ناصرالدین شاه و وزارت مختاری میرزا سعید خان در طهران، عهدنامه مورخ ۱۲۵۰ که به وسیله فرخ خان امین الملک منعقد گشت و در بوشهر به وکالت شارل کن جنرال قونسول هـلند توشیح گشت با تاریخ ۱۲ ماه مه ۱۸۸۳م مطابق ۵ رجب ۳۰۰ق( ص ۵۲ -۵۳)؛ ۱۹. عهدنامه تجارتی و دوستی میان دولت ایران و اطریش در زمان ناصرالدین شاه و لئوپلد در پاریس توسط امین  الملک  فرخ خان در  ۱۴ فصل با تاريخ ١٨ ذيحجة ١٢٧٣ق سال نهم سلطنت ناصرالدین شاه (ص ۵۴-۶۰)؛ ۲۰. قرارنامه ارسال ومرسول  دولت ایران و اطریش در تهران در زمان ناصرالدین شاه در ۷ فصل در تاریخ ۱۱ شوال ۱۲۹۴ ص (۶۰-۶۳) با تصدیق ناصرالدین شاه در ذیحجه ۱۲۹۳ سال  سیم سلطنت او، 21.عهدنامه میان دولت روس و ایران و کرورات و تخلیه سرحدت در زمان فتحعلی شاه قاجار توسط عباس میرزا نایب السلطنه و میرزا ابوالحسن خان در ترکمان چای در تاریخ ۱۰ فورال 1828م و پنجم شعبان ۱۲۴۲ق (ص ۶۴-۸۱)، ۲۲. فرمان محمد شاه قاجار درباره روسیه به بهمن میرزا ص (۸۱-۸۲)، ۲۳. قرار نامه افلاس جعلی میان دولت ایران و روسیه در زمان محمدشاه قاجار توسط حاجی میرزا آقاسی در طهران در ۱۸ فقره در تاریخ ۲۷ شوال ۱۲۵۹ (ص ۸۶-۸۲)، ۲۴. مهاجرت نامه میان دولت روس و ایـران در طهران در زمان محمدشاه قاجار توسط حاجی میرزا آقاسی و وزیر مختار روس در چهار فصل (ص ۸۶ )۲۵. عهد نامه سرحدات میان دولت ایران و روسیه در زمان ناصرالدین شاه  توسط میرزا سعیدخان وزیر امورخارجه ایران و اینوان زیناویف وزیر مختار روس در طهران در ۹ فصل در تاریخ ۲۹ محـرم ۱۲۹۹ق مطابق ۹ دکامبر (دسامبر) ۱۸۸۱م (ص ۸۷-۹۰) ، 26.عهدنامه معاوضه فیروزه با قلعه عباس آباد و حصار در زمان ناصرالدین شاه توسط میرزا علی اصغرخان صدر اعظم ويوكيس يوتسف وزیر مختار و ایلچی روسیه در طهران در تاریخ 1884مطابق ۱۳۰۱ (ص ۹۰-۹۴) ،۲۷. ترجمه عهدنامه میان دولت روس و عثمانی در زمینه الکساندر در ۱۲ ماه در تاریخ کانون ثانی رو ۱۲۹۴ و هشتم فوریه ۱۸۷۹ در در سعادت [باب السعادة ] با تصدیق ناصرالدین شاه در تاریخ ۱۳۱۱ق مطابق ۱۸۹۳م در سلطنت آباد (ص ۹۴-۹۷)، ۲۸. صورت عهدنامه میان دولت ایران و دولت  روم در زمان شاه صفی و سلطان مراد چهارم در تاریخ اوایل شوال  ۱۰۴۹ ص (۹۸-۱۰۱)، ۲۹. عهدنامه میان دولت ایران و عثمانی در زمان نادرشاه و سلطان محمودخان در صحرای مغان در سه ماده در محرم ۱۱۶۵ (ص ۱۰۱-۱۰۴) ، ۳۰. عهدنامه میان دولت ایران وروم (عثمانی) در عهد سلطان محمودخان و فتحعلیشاه به وسـیله نایب السلطنه (عباس میرزا) در هشت ماده مورخ ۱۲۳۸ (هامـش ۱۰۴ر - ۱۱۰ر)، ۳۱. عهدنامه میان دولت ایران و روم (عثمانی)  در زمان محمدشاه قاجار در شهر اسلامبول به وسیله میرزا محمد تقی خان در نه فقره مورخ ششم جمادی الثانیه ۱۲۶۳ (۱۰۴ر -۱۰۸ر)، ۳۲. ترجمه عهدنامه میان دولت ایران و عثمانی در مورد تنباکو و توتون و نمک به وسیله میرزا محسن خان وزیر مختار ایران و محمد راشد وزیر امور خارجه دولت عثمانی در عهد ناصرالدین شاه در هشت فقره مورخ ۱۲ ذیقعده ۱۲۹۳ و ۸ کانون اول ۱۲۹۱. در اسلامبول (۱۰۸ر-۱۱۱پ)، ۳۳. مقاوله نامه میان دولت ایران و عثمانی در زمان ناصرالدین شاه به وسیله میرزا محسن خان در سیزده فقره و خاتمه در اسلامبول مورخ ۲۱ ذیقده ۱۲۹۳ «متهم عهدنامه های قبلی است (۱۱۱ پ -۱۱۴ر)، ۳۴ .اصلاحات مقاوله نامه میان دولت ایران و عثمانی در پنج فقره در زمان ناصرالدین شاه بوسیله میرزا محسن خان در اسلامبول مورخ ۲۴محرم ۱۲۹۴ (۱۱۵پ) .۳۵ قرار داد گمرک تبعه و تجار خارجه  میان دولت ایران و عثمانی در ۵ فقره به همان تاریخ (۱۱۵پ- ۱۱۸ر)، ۳۶. تأكيد قاعده اسطاطکو در مورد محلهای متنازع فيه  میان دولت ایران و عثمانی توسط علی اصغرخان صدراعظم در زمان ناصرالدین شاه در هفت فقره و سواد رقیمه وزارت خارجه ایران به جهت تأكيد قواعد اساطاطكو و رفع برخی مشاجرات سرحدی مورخ ۸ جمادی الثانی ۱۲۸۶ با قراردادی دیگر میان دولت ایران و عثمانی به ترکی (۱۲۰ر-۱۲۵ر) نوشته داود بن محمد حسین بن علی مازندرانی در در روز دوشنبه ۱۶ جمادی الاول ۱۳۲۱. ۳۷. دستورالعمل میرزا یوسف خان کارگزار امور خارجه آذربایجان در طهران مورخ ۱۲۸۹ در ۲۷ماه (ص ۱۳۳ - ۱۴۷)؛ خط: شکسته نستعلیق، کا: داود بن محمد بن علی مازندرانی، تا: ۱۶ جمادی الاول ۱۳۲۱ق؛ ش ۳۶ تا برگ ۷۵ نوشته شده و از برگ ۷۶ تا ۱۲۴ سفید است: از زمان شاه صفی و  نادرشاه و از زمان فتحعلیشاه تا ناصرالدین شاه [ف ۷ - ۱۱۳]</w:t>
      </w:r>
    </w:p>
    <w:p>
      <w:pPr>
        <w:pStyle w:val="BookText"/>
      </w:pPr>
      <w:r>
        <w:rPr>
          <w:rFonts w:ascii="IRNazanin" w:hAnsi="IRNazanin" w:eastAsia="IRNazanin" w:cs="IRNazanin"/>
          <w:lang w:bidi="fa-IR"/>
          <w:color w:val="111111"/>
          <w:sz w:val="28"/>
          <w:szCs w:val="28"/>
          <w:rtl/>
        </w:rPr>
        <w:t xml:space="preserve">۴. تهران؛ ملی؛ شماره نسخه: ۱۸۰۰۱</w:t>
      </w:r>
    </w:p>
    <w:p>
      <w:pPr>
        <w:pStyle w:val="BookText"/>
      </w:pPr>
      <w:r>
        <w:rPr>
          <w:rFonts w:ascii="IRNazanin" w:hAnsi="IRNazanin" w:eastAsia="IRNazanin" w:cs="IRNazanin"/>
          <w:lang w:bidi="fa-IR"/>
          <w:color w:val="111111"/>
          <w:sz w:val="28"/>
          <w:szCs w:val="28"/>
          <w:rtl/>
        </w:rPr>
        <w:t xml:space="preserve">سند خرج  (معامله)؛  بی کا، تا: ۱۳۲۴ق؛ انتقالی از کتابخانه پهلوی  - مجموعه نوازی؛ ۴۲گ اندازه: ۱۶/۵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۲۱/۳سم [رایانه ]</w:t>
      </w:r>
    </w:p>
    <w:p>
      <w:pPr>
        <w:pStyle w:val="BookText"/>
      </w:pPr>
      <w:r>
        <w:rPr>
          <w:rFonts w:ascii="IRNazanin" w:hAnsi="IRNazanin" w:eastAsia="IRNazanin" w:cs="IRNazanin"/>
          <w:lang w:bidi="fa-IR"/>
          <w:color w:val="111111"/>
          <w:sz w:val="28"/>
          <w:szCs w:val="28"/>
          <w:rtl/>
        </w:rPr>
        <w:t xml:space="preserve">۵. تهران؛ دانشگاه؛ شماره نسخه: ۹۹۰۴</w:t>
      </w:r>
    </w:p>
    <w:p>
      <w:pPr>
        <w:pStyle w:val="BookText"/>
      </w:pPr>
      <w:r>
        <w:rPr>
          <w:rFonts w:ascii="IRNazanin" w:hAnsi="IRNazanin" w:eastAsia="IRNazanin" w:cs="IRNazanin"/>
          <w:lang w:bidi="fa-IR"/>
          <w:color w:val="111111"/>
          <w:sz w:val="28"/>
          <w:szCs w:val="28"/>
          <w:rtl/>
        </w:rPr>
        <w:t xml:space="preserve">اسناد  پراکنده و قبالجات شرعی و مکاتبات نزدیک به ۱۷ برگ با کتابچه خلاصه جمع و خرج نوزده ماه و چهار روزحساب چهاپارخانه مرکز تهران تا خراسان در ۱۳ صفر ۱ برج ۱۳۳۱؛ بی کا ، تا: ۱۳۳۱ ق :[ف: ۱۷ - ۵۰۴ ]</w:t>
      </w:r>
    </w:p>
    <w:p>
      <w:pPr>
        <w:pStyle w:val="BookText"/>
      </w:pPr>
      <w:r>
        <w:rPr>
          <w:rFonts w:ascii="IRNazanin" w:hAnsi="IRNazanin" w:eastAsia="IRNazanin" w:cs="IRNazanin"/>
          <w:lang w:bidi="fa-IR"/>
          <w:color w:val="111111"/>
          <w:sz w:val="28"/>
          <w:szCs w:val="28"/>
          <w:rtl/>
        </w:rPr>
        <w:t xml:space="preserve">۶. تهران؛ دانشگاه؛ شماره نسخه: ۵۰۷۶-ف</w:t>
      </w:r>
    </w:p>
    <w:p>
      <w:pPr>
        <w:pStyle w:val="BookText"/>
      </w:pPr>
      <w:r>
        <w:rPr>
          <w:rFonts w:ascii="IRNazanin" w:hAnsi="IRNazanin" w:eastAsia="IRNazanin" w:cs="IRNazanin"/>
          <w:lang w:bidi="fa-IR"/>
          <w:color w:val="111111"/>
          <w:sz w:val="28"/>
          <w:szCs w:val="28"/>
          <w:rtl/>
        </w:rPr>
        <w:t xml:space="preserve">درباره بخش ساردونیه کرمان درباره مالیات و عایدات و نکاح و خرید و فروش برده و واگذاری املاک دارای تاریخ های ۱۲۷۱ و ۱۲۸۰ و ۱۲۹۹ و ۱۳۰۴ و ۱۳۱۸ و ۱۳۴۵ و ۱۳۰۶، ۲۵ طغرا؛ بی کا، بی تا [فیلم ها-ف: ۳ - ۱۳۱]</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تهران؛ دانشگاه؛ شماره نسخه: ۷۰۱۱-عکس</w:t>
      </w:r>
    </w:p>
    <w:p>
      <w:pPr>
        <w:pStyle w:val="BookText"/>
      </w:pPr>
      <w:r>
        <w:rPr>
          <w:rFonts w:ascii="IRNazanin" w:hAnsi="IRNazanin" w:eastAsia="IRNazanin" w:cs="IRNazanin"/>
          <w:lang w:bidi="fa-IR"/>
          <w:color w:val="111111"/>
          <w:sz w:val="28"/>
          <w:szCs w:val="28"/>
          <w:rtl/>
        </w:rPr>
        <w:t xml:space="preserve">خاندان میرزا رضا على ديوان بیکی کردستانی شانزده برگه یا طغرا با تاریخ ۱۲۷۵  با تاریخ 1275و 1280و 1296و 1287و 1291و 1294و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1297و 1298؛ بی کا، بی تا [فیلم ها-ف ۳ - ۲۷۱]</w:t>
      </w:r>
    </w:p>
    <w:p>
      <w:pPr>
        <w:pStyle w:val="BookText"/>
      </w:pPr>
      <w:r>
        <w:rPr>
          <w:rFonts w:ascii="IRNazanin" w:hAnsi="IRNazanin" w:eastAsia="IRNazanin" w:cs="IRNazanin"/>
          <w:lang w:bidi="fa-IR"/>
          <w:color w:val="111111"/>
          <w:sz w:val="28"/>
          <w:szCs w:val="28"/>
          <w:rtl/>
        </w:rPr>
        <w:t xml:space="preserve">۸. تهران؛ دانشگاه؛ شماره نسخه: ۳۵۶۸-ف</w:t>
      </w:r>
    </w:p>
    <w:p>
      <w:pPr>
        <w:pStyle w:val="BookText"/>
      </w:pPr>
      <w:r>
        <w:rPr>
          <w:rFonts w:ascii="IRNazanin" w:hAnsi="IRNazanin" w:eastAsia="IRNazanin" w:cs="IRNazanin"/>
          <w:lang w:bidi="fa-IR"/>
          <w:color w:val="111111"/>
          <w:sz w:val="28"/>
          <w:szCs w:val="28"/>
          <w:rtl/>
        </w:rPr>
        <w:t xml:space="preserve">شامل: ۱. گواهی  بر اینکه کشتزارهای: سوم ،آهنگران بالمـان، زمینهای نزدیک کج و کره  رود، ساوانج، از ناو ،شیخ در کراز کره رود وقف خانقاه شیخ نجم الدین محمود کرجی که در کنار رودخانه کرج به خاک سپرده شده است می باشد، با نه سجل و مورخ ۹۳۴، با مهرهای: قاضی عکسر، مسافر بن حسین عبدالغـفار نورالله، محمد بن مسافر  قاضی، محمد بن احمد ،کاشی ،سید يعقوب بن احمد  کاشی، فرج الله، سيد هبة الله بن محمد رضا. این گواهی نامه در گزارش نامه یا فقه اللغة اسامی امکنه در مطلع کرج نامه یا تاریخ آستانه ابرهیم دهگان چاپ ۱۳۴۲ اراک ص ۳۴ آمده است .۲. فروش نامه بنفشه خاتون دختر عبدالله صفوی به خواجه شیخ پسر خواجه میرک پسر صدر خواجه خواند امیر اردبیلی روستای فراهیه گرم رود میانج آذربایجان را به صد پنجاه هزار دینار در ۹۱۴ ؛۳. فرمان سیورغال فرزندان میرزا عـلی خان مورخ ۱۰۸۰ ، ۴. حکیم بیگلربیگی لرستان مورخ ۱۰۸۴ ،</w:t>
      </w:r>
    </w:p>
    <w:p>
      <w:pPr>
        <w:pStyle w:val="BookText"/>
      </w:pPr>
      <w:r>
        <w:rPr>
          <w:rFonts w:ascii="IRNazanin" w:hAnsi="IRNazanin" w:eastAsia="IRNazanin" w:cs="IRNazanin"/>
          <w:lang w:bidi="fa-IR"/>
          <w:color w:val="111111"/>
          <w:sz w:val="28"/>
          <w:szCs w:val="28"/>
          <w:rtl/>
        </w:rPr>
        <w:t xml:space="preserve">5.فروش نامه مورخ ۱۰۲۹ مربوط به مزار شیخ صفی اردبیلی،6. فرمان سیورغال فرزندان میرزا علی خان و امیر عبدالمطلب حسینی بروجردی مورخ ۱۰۹۴، ۷. فرمان دیگر در همین باره به همین تاریخ، ۸. حكم مورخ ۱۱۰۹ ، ۹. دو صفحه از کتابی طبی به عربی؛ بی کا، بی تا؛ از روی اصل که روی هم ۲۱ برگ است و  از آن آقای دهگان در اراک. [فیلم ها-ف: ۲ - ۱۸۸]</w:t>
      </w:r>
    </w:p>
    <w:p>
      <w:pPr>
        <w:pStyle w:val="BookText"/>
      </w:pPr>
      <w:r>
        <w:rPr>
          <w:rFonts w:ascii="IRNazanin" w:hAnsi="IRNazanin" w:eastAsia="IRNazanin" w:cs="IRNazanin"/>
          <w:lang w:bidi="fa-IR"/>
          <w:color w:val="111111"/>
          <w:sz w:val="28"/>
          <w:szCs w:val="28"/>
          <w:rtl/>
        </w:rPr>
        <w:t xml:space="preserve">۹. تهران؛ دانشگاه؛ شماره نسخه: ۹۵۴۰</w:t>
      </w:r>
    </w:p>
    <w:p>
      <w:pPr>
        <w:pStyle w:val="BookText"/>
      </w:pPr>
      <w:r>
        <w:rPr>
          <w:rFonts w:ascii="IRNazanin" w:hAnsi="IRNazanin" w:eastAsia="IRNazanin" w:cs="IRNazanin"/>
          <w:lang w:bidi="fa-IR"/>
          <w:color w:val="111111"/>
          <w:sz w:val="28"/>
          <w:szCs w:val="28"/>
          <w:rtl/>
        </w:rPr>
        <w:t xml:space="preserve">نه دسته فرد ،بسته  الف بدین گونه: ۱. ۵۷ فرد مربوط به جمع خرج بارس ئیل دارالخلافه ابواب جمعی عین الدوله، یک بسـته، ۲. دستورالعمل مواجب قشون ظفر نمودن تخاقوئیل ۱۳۲۷ عـهده معاون السلطان وثقه السلطنه ۷۶ فرد، یک بسته، ۳. ۶۰  ورقه، شامل  فرد چند ورق یاد داشت و نامه مربوط به مالیات و خالصجـات طهران، اسامی ایلات اطراف طهران و مالیات آنها در این فر ثبت شده (عنوان مختلف) یک بسته .۴. هفت فقره صورت و دستور  وزارتی، ۵ .سی و هشت فرد از پنجاه فرد مربوط به جمـع خروج مفاصا حساب بارس ئیل اربابی طهران یک بسته، ۶. بیست و هشت فرد جمع و خرج مفاصا حساب پیچی ئیل خالصجات  بلوک ساوجبلاغ و غار طهران ابواب جمعی مستشار الممالك،7.  سی پنج فرد و سه ورقه یادداشت مربوط به جزو جمع مالیات دیوانی سیچقان ئیل ۱۲۹۳ بختیاری و سرلک و مالیات حشمة الدوله  ۱۲۹۲، ۸. یازده فرد مربوط به جمع و خرج اودئیل اربـابی ، دارالخلافه ابواب جمعی عین الدوله که مجموعا در اصل پنجاه و هفت فرد بوده .۹. نه فرد متفرقه به صورت یادداشت مربوط  به سنوات مختلف ۱۳۱۰ و ۱۳۱۷ و ۱۳۲۳ با ۵ فرد مربوط به قبوضـات تخاقوی ئیل از بابت اربابی طهران؛ بی کا، بی تا [ف: ۱۷-۳۹۵]</w:t>
      </w:r>
    </w:p>
    <w:p>
      <w:pPr>
        <w:pStyle w:val="BookText"/>
      </w:pPr>
      <w:r>
        <w:rPr>
          <w:rFonts w:ascii="IRNazanin" w:hAnsi="IRNazanin" w:eastAsia="IRNazanin" w:cs="IRNazanin"/>
          <w:lang w:bidi="fa-IR"/>
          <w:color w:val="111111"/>
          <w:sz w:val="28"/>
          <w:szCs w:val="28"/>
          <w:rtl/>
        </w:rPr>
        <w:t xml:space="preserve">۱۰. تهران؛ دانشگاه؛ شماره نسخه: ۹۵۴۱</w:t>
      </w:r>
    </w:p>
    <w:p>
      <w:pPr>
        <w:pStyle w:val="BookText"/>
      </w:pPr>
      <w:r>
        <w:rPr>
          <w:rFonts w:ascii="IRNazanin" w:hAnsi="IRNazanin" w:eastAsia="IRNazanin" w:cs="IRNazanin"/>
          <w:lang w:bidi="fa-IR"/>
          <w:color w:val="111111"/>
          <w:sz w:val="28"/>
          <w:szCs w:val="28"/>
          <w:rtl/>
        </w:rPr>
        <w:t xml:space="preserve">شصت و  هشت دسته  فرد، بسته ب، دنباله همان بسته پیش،  بدین گونه: ۱. تفاوت اربابی ،دارالخلافة، ۱۳۰۷، ۵ فرد، ۲.  دستورالعمل مواجب سیورسات بارس ئیل قشون به خرج ولایات  می آید، ۱۰ فرد، ۴. صورت مستمرات بارس ایل ممالک محروسه  ۳۶فرد، ۵. صورت دستورالعمل ۱۳۰۸ توشقان ئیل ابواب جمعی نایب السلطنه ۱۴۰ فرد با یک فرد صورت کل، با ۴ فرد مربطو به تغییر و تفاوت همین ،سال یک سواد ،فرمان، ۶. مستمریات توشقان مالک محروسه، ۴۰ فرد فقط مربوط به طهران است جمعاً، ۷ مواجب و سیورسات توشقان ئیل قشون به خرج و دریافت آمده ۱۰ فرد و یک نامه، ۱۱ فرد دیگر مربوط به عراق، ۸. مستمریات لوی ،ئیل ۳۸  فرد ،۹. اختلاف دستورالعمل ئیلان ایل ۱۳۱۰ دار الخلافه تا سنه لوی  ئیل، ۴ فرد، ۱۰. تشخیص اختلاف دستورالعمل ئیلان ایل بالوی ئیل اربابی دارالخلافه و یک نامه از نظام الملک وزیر لشکر، ۱۱. صورت دستورالعمل ئیلان ایل ۱۳۱۰ دارالخلافه ابواب جمعی نایب السلطنه ۱۱۹ فرد با ۴ فرد مربوط به اصلاحات و توضیحات .۱۲. صورت مستمریات ئیلان ئیل ممالک  محروسه در صفحه فرد اول مهر صدرالملک، ۳۶ فرد، ۱۳. دستورالعمل مواجب و سیورسات ئیلان ئیل قشون که به خرج ولایت می آید ،عراق، فرد با دو فرد دیگر مربوط به لوی ئیل ۱۳۱۰ ، ۱۴. صورت اختلاف دستورالعمل یونت ئیل ۱۳۱۱ با ۱۳۱۰ دار الخلافه، ۷ ،فرد .۱۵. صورت دستورالعمل يونت ئیل، ۱۳۱۱ اربابی دارالخلافه ابواب جمعی نایب السلطنه، ۱۳۷ فرد، ۱۶. دستورالعمل مواجب و سیورسات یونت ئیل قشون به خرج ولایات می آید عراق ۱۲  فرد، ۱۷. صورت مستمريات ممالک محروسه یونت ئیل (۱۳۱۱) ۴۴ ،فرد به مهر مجد الملک و محمود بن مصطفى الموسوى، ۱۸. صورت دستور العمل فوى ئيل ۱۳۱۲ اربابی دارالخلافه ۱۳۰ ،فرد با یک نامه با ۷ فرد واد فرمان مربوط به همین  سند ،۱۹.دستورالعمل مواجب سیورسات قوی ئیل (۱۲۱۲) قشون به خرج ولایات  آمده، ۱۲ فرد، ۲۰. صورت اضافات دستورالعمل اربابی دارالخلافه سنه ئیلان ایل ۱۳۱۰ تا پیچی ایل ۱۳۱۴ یک فرد با یک فرد ،سفید، ۲۱. دستورالعمل پیچی ایل ۱۳۱۳ دارالخلافه اربابی ابواب جمعى نصرة السلطنه، ۱۲۲  فرد، ۲۲. صورت مستمریات پیچی ایل [۱۳۱۳] ممالک محروسه عراق ۴۱  فرد، صفحه اول ندراد و از صفحه ۲ از صفحه ۲ شروع میشود هر صفحه به مهر مجد الملک، ۲۳. دستورالعمل مواجب و سیورسات پیچی ایل (۱۲۱۳) قشون به خرج ولایات میآید عراق ۱۲ فرد، ۲۴. دستورالعمل تخاقوئیل ارباب دار الخلافه ۱۳۱ فرد، .۲۵. صورت مستمریات تخاقوئیل [۱۳۱۳] ممالک محروسه عراق ۳۸ فرد همه به مهر مجد الملک، ۲۶. دستورالعمل مواجب و سیورسات تخاقوئیل (۱۲۱۳) قشون به خرج ولایات می آید ۱۳</w:t>
      </w:r>
    </w:p>
    <w:p>
      <w:pPr>
        <w:pStyle w:val="BookText"/>
      </w:pPr>
      <w:r>
        <w:rPr>
          <w:rFonts w:ascii="IRNazanin" w:hAnsi="IRNazanin" w:eastAsia="IRNazanin" w:cs="IRNazanin"/>
          <w:lang w:bidi="fa-IR"/>
          <w:color w:val="111111"/>
          <w:sz w:val="28"/>
          <w:szCs w:val="28"/>
          <w:rtl/>
        </w:rPr>
        <w:t xml:space="preserve">فرد و یک نامه به مهر معاون السلطان (در میان فرد ششم و هفتم)، ۲۷. دستر والعمل ایتئیل ۲۳۱۶ اربابی دارالخلافه ابواب جمعی ناظم الدوله، ۱۴۱ فرد و یک ورقه خلاصه فرمان با یک فرد صورت مستمریات ممالک محروسه عراق به مهر تقی بن محمد،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۲۸. دستورالعمل مواجب سیورسات ایت ئیل قشون که به خـرج ولایات می آید با یک فرد مربوط به بالا، عراق ۹ فرد، ۲۹. تفاوت دستورالعمل تنگورئیل اربابی طهران با سندایت ئیل (۱۳۱۶) 6فرد، ۳۰. دارالخلافه ابواب جمعی ناظم الدوله تنگوزئیل ۱۲۶ فـرد، ۳۱. دستورالعمل مواجب و سیورسات تنگوزئیل قشون به خـرج ولایات می آید، عراق ۱۱ فرد، با صورت مواجب نسه تنگوزئیل ساعد لشکر از باببت مالیات املاک که به خرج دارالخلافه میآید ۱۳۱۷، به مهر معاون السلطان، با سه فرد مربوط به جیره و علیق و کاه صدر اعظم و دستگاههای دیگر به مهر وزیر دفتر، ۳۳. خلاصه مستمريات تنگورئیل اربابی دارالخلافه به مهر وثوق الملك ،سه ملک، ۳ فرد، ۳۳. ۱۱ فرد با عنوان سر رشته سنه تنگورئیل شامل سواد فرامین و ملفوفه  فرمان، ۳۴. یک فرد تفاوت دستورالعـمل سیچقان ئیل اربابی طهران با سنه تنگورئیل، ۳۵. ۵ فرد مربوط به اختلاف دستورالعمل بارس ۱۳۰۷ خالصجات دارالخلافه با سدتور العمل سنه اودئیل با ۴ فرددیگر مربوط به سنه بارس ،ئیل، ۳۶.2 فرد مربطو به فرمان و ۳ فرد مربطو به تفاوت دستورالعمل توشـقان ئیل ۱۳۰۸ خالصجات دار الخلافه با دستورالعمل سنه ماضیه پارس ئیل ۳۷. ۵۳. فرد صورت دستورالعمل سنه توشقان ئیل 1308 دارالخلافه طهران با یکی سواد حکم و دیگری تحویل، ۳۸. ۴ فرد به مربوط صورت تفاوت دستور العمل لوی ئیل ۱۳۰۹ خالصجـات دارالخلافه با دستور العمل سنه ماضيه توشقان ئیل ۱۳۰۸، ۳۹. 4فرد مربوط به صورت جیره و علیق آغایان سرکاری و مالیات و تيول ظهير السلطنه و جيره و علیق دواب همایونی ابواب جمـعی امین السلطان ۱۳۰۸ به خرج خالصجات طهران، ۴۰. صورت دستور العمل لوى ئیل ۱۳۰۹ خالصجات طهران ابواب جمـعی صديق الدوله ۵۵  فرد ،۴۱. صورت اختلاف دستورالعمل ئيـلان ۱۳۱۰ خالصجات طهران با دستور العمل لوى ئيل ۱۳۰۹، ۲فرد (یک فرد پشت دارد) و یک فرد مربوط جیره عمله و علیق وکاه یونجه ابواب جمعی امین السلطان لوى ئيل ۱۳۰۹ رویهم سه فرد، ۴۲. صورت دستورالعمل ئيلان ئيل خالصجات دار الخلافه ابواب جمعى صديق الدوله ۵۶ فرد که فرد آخری آن سفید است ، 43.صورت دستور العمل یونت ئیل ۱۳۱۱ خالصجات دارالخلافه ابواب جمعی اقبال الدوله ۶۴ فرد و دو فرد دیگر سواد فرمان فرد اختلاف دستورالعمل قوی ئیل ۱۳۱۲ با دستورالعمل یونت ۱۳۱۱ ،۴۴. صورت دستورالعمل قوی ئیل ۱۳۱۲ خالصجـات طهران ابواب جمعی اقبال  الدوله، ۴۷ فرد، ۴۵.دستورالعمل پیـچی ئیل ۱۳۱۳ خالصجات دار الخلافه طهران ابواب جمعی محمد قاسم خان صاحب ۴۶. 11فرد، جمعاً، ۴۷. فرد فرد ۴۶ مکرر شده با 2 فرد یکی سواد فرمان و یکی دیگر مربوط به باقی و زیادی کتابچه دستورالعمل ۴۶. ۱۱ فرد مربوط به اختلاف دستورالعمل تخاقوی ئیل ۱۳۱۴ خالصجات با سنه ماضیه پیچی ئیل ۱۳۱۳،47. دستورالعمل تخاقوی ئیل ۱۳۱۵ خالصجات دارالخلافه ابواب جمعی اقبال الدوله، ۵۰ فرد، ۴۸. ۵ فرد مربوط به عليق الدواب  و کالسکه  خانه، ۱ صورت میرابی و اجارات رودخانه ها ۱ رقه سواد قبض و حکم، ۵ فرد متفرقه دیگر جمعاً ۱۴ ورقه، ۴۹. دستورالعمل ایت ئیل ۱۳۱۶ خالصجات طهران ابواب جمعی ناصر السلطنه ۵۶ فرد با ۴ فرد مربوط به عليق الدواب و غیره، ۵۰. صورت مستمریات پیچی ایل ۱۳۱۳ ،عراق ،طهران ۳ فرد، ۵۱. تفاوت دستورالعمل تنگوزئیل ۱۳۱۷ خالصجات طهران با نسه ایت ئیل ۱۳۱۶، ۴ فرد، ۵۲. خالصجات طهران ابواب جمعی ناصر السلطنه تنگوزئیل خالصجات طهران به مهر وثوق الملک و یک فرد دیگر مربوط به مقرری ابوالقاسم، ۵۳. فردهای مربوط به بارس ایل ۱۳۰۷ مستمریات، ۳۰ فرد با یک فرد مربوط به مقرری رحیم خان قاجار، ۵۴. فردهای سررشته توشقان ئیل ،۱۳۰۸ ، ۱۲ فرد (خانواری و مستمريات) جمعاً یازده فرد است با یک سواد فرمان مربوط به ایت ئیل ۱۳۰۳ و دو فرد صورت جمع و خرج رسوم بروات توشقان ،ئیل ۵۵. سررشته سنه لوی ئیل (۱۳۰۹) مربوط به مستمریات و مواجب و غیره ۱۲ طغرا  فرد،۵۶. سررشته ئیلان ئیل ۹ فرد مربوط به مواجب وغیره و ۵ فرد سواد فرمان ۱۳۱۱ مربوط به سمتمری اشخاص، ۵۷. ۱۱ فرد مربوط به یونت ئیل ۱۳۱۱، دو سر ورقه اضافی دارد رویهم ۱۴ ورقه، ۵۸. سررشته قوی ئیل ۱۳۱۲، ۹ فرد مربوط به مواجب و مقرری، ۵۹. دوازده فرد مربوط به جیره علیق و مواجب پیچی ئیل ۱۳۱۳ و ۱۳۱۴ جمعاً ۱۶ ورقه، ۶۰. ۱۱ فرد با ۴ فرد دیگر مربوط به مواجب و جیره و غیره پیچی ئيل، ۶۱. ۳ فرد سواد فرمان مربوط به قوی ئیل ۱۲۱۳، ۶۲. ۱۰ فرد پیچی ایل بابت مواجب با ۸ ورقه راجع به همین موضوع روی هم ۱۸  ورقه، ۶۴. ۳ فرد مربوط به جیره و مواجب تخاقوی ئیل با ۱۵ فرد و یک فرد دیگر مربوط به سیورسات با یک نامه به مهر نظام الملک وزیر مالیه ،۶۵. ۸ فرد مربوط به سند تخاقوی ئیل و یک  سواد فرمان و یک نامه و ۴ و فرد دیگر با ۱۰ فرد دیگر مربوط سهمی  سنه، ۶۶. ۱۲ فرد مربوط به سنه تخاقوی ئیل ۱۳۱۵ با ۷ فرد مربوط به همین سنه، یک فرد مکرر است روی هم ۱۸ ورقه، ۶۷. ۳ فرد مربوط به سنه ایت ئیل ۱۲۱۶ مربوط به خانواری و انعام با ۱۱ فرد صورت برواتی که در اداره معاون الملک صادر می شود انعام و غیر مستمری، ۶۸. صورت برواتی که در دستگاه معاون الملک صادر شده از قرار سنه ماضیه ایت ،ئیل، ۱۸ فرد با ۱۷ فرد دیگر راجع به همین مضوع ۱۳۱۷؛ بی کا، بی تا [ف: ۱۷ – ۳۹۵]</w:t>
      </w:r>
    </w:p>
    <w:p>
      <w:pPr>
        <w:pStyle w:val="BookText"/>
      </w:pPr>
      <w:r>
        <w:rPr>
          <w:rFonts w:ascii="IRNazanin" w:hAnsi="IRNazanin" w:eastAsia="IRNazanin" w:cs="IRNazanin"/>
          <w:lang w:bidi="fa-IR"/>
          <w:color w:val="111111"/>
          <w:sz w:val="28"/>
          <w:szCs w:val="28"/>
          <w:rtl/>
        </w:rPr>
        <w:t xml:space="preserve">۱۱. تهران؛ دانشگاه؛ شماره نسخه: ۹۵۴۲</w:t>
      </w:r>
    </w:p>
    <w:p>
      <w:pPr>
        <w:pStyle w:val="BookText"/>
      </w:pPr>
      <w:r>
        <w:rPr>
          <w:rFonts w:ascii="IRNazanin" w:hAnsi="IRNazanin" w:eastAsia="IRNazanin" w:cs="IRNazanin"/>
          <w:lang w:bidi="fa-IR"/>
          <w:color w:val="111111"/>
          <w:sz w:val="28"/>
          <w:szCs w:val="28"/>
          <w:rtl/>
        </w:rPr>
        <w:t xml:space="preserve">چهل و هشت دسته  فرد بسته ج ،دنباله بسته پیش، بدین گونه: ۱. ۵ فرد تفاوت دستورالعمل سیچقان ئیل اربابی دارالخلافه با سنه ماضيه ،تنگوزئیل ۲. ۱۲۸ فرد دارالخلافه طهران ابواب جمعی حاج آصف الدوله سنه سیچقان ئیل (گویا مالیات طهران و ...)، ۳. ۵ فرد تفاوت دستورالعمل اودئیل با سنه ماضیه سیچقان ئیل ۱۳۱۸، اربابی  طهران، ۴. ۱۳۵ فرد اودئیل ۱۳۱۹ دارالخلافه طهران ابواب جمعی عین الدوله - با سواد خلاصه یک فرمان مواجب، ۵. ۱۲ فرد دستور العمل مواجب سیورسات سال اودئیل قشون که به خرج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ولایات می آید - عراق، ۶. ۴ فرد خلاصه مستمریات اودئیل اربابی  طهران، ۷. دستورالعمل مواجب و سیورسات غـلام   پیشخدمتان و غلامان کشیک خانه اودئیل ۱۳۰۸، یک فرد دستورالعمل محلی اودئیل امراء و خوانین  قاجار، صورت مواجـب و سیورسات اطباء دارالخلافه از بابت همین سال اودئیل ۱۳۱۸ ، دوفرد، ۸. ۹ فرد تفاوت دستور العلم بارس ئیل ۱۳۲۰ اربـابی درالخلافه با اودئیل [318] ؛۹. ۱۵۱ فرد بارس ئیل (11230) دارالخلافه ابواب جمعی عین الدوله با سواد یک فرمان و یک یادداشت و یک فرد سفید و یک رد صورت مواجب و جیره علیق اصطبل خاصه یک فرد مربوط به مالیات قراء بلوک ساوجبلاغ طهران، ۱۰. ۱۰. فرد دستورالعمل مواجب و سیورسات پارس ئیل قشون به خرج ولایات می آید ،عراق، ۱۱. ۴ صورت موابج اطباء ۱۳۲۰ و مستمریات عراق و یک فرد مربوط به جیره و علیق بارس ئیل [۱۳۲۰] و یک فرد مربوط به تبدیل مستمری و تیول میرزا شفیع خان مقتدر الملک، روی هم ۶ فـرد، ۱۲. ۴ فرد مربوطبه تفاوت دستورالعمل توشقان ئیل با بارش ئیل [ ۱۳٢٠]، ۱۳. ۲ فرد سواد ملفوفه و فرمان مربوط به ۱۳۲۱، ۱۵۱فرد صورت دارالخلافه ابواب جمعی یمین الدوله، ۱۳۲۱، ۱۴. ۴۲ صورت مستمریات ممالک محروسه سنه توشقان ئیل ،عراق، ۱۵.9 فرد صورت دستورالعمل مواجب و سیورسات توشقان ئیل قشـون به خرج ولایات می آید، عراق با ۳ فرد مربوط به مواجب و ۲ فرد دیگر متعلق به کشیکخانه و دیگر امراء قاجار ۱۶. ۱ فرد سررشته بارس ئیل مربوط به مواجب شیخ محمد علی مازندرانی ۱۳۱۹؛1 فرد مقرری و تیول سلطان العلماء،1فرد تیولات زمان قاجار ۱۳۲۲ ، ۱جمع و خرج مواجب مطیع السلطنه 1322 1 جمع و خـرج مواجب قوام الدوله، رویهم ۵  فرد، ۱۷. صورت جنس مستمری  در دستورالعمل اربابی خالصه طهران در توشقان ئیل ۲ فرد،18. تفاوت دستور العمل لوی ئیل ۱۳۲۳ اربابی طهران با سال توشـقان ئیل گذشته با یک فرد یادداشت و یک فرد سررشته در باب تحويل معتصم الملک، ۲۰. ۱۴۲ فرد مربوط به دستورالعمل دارالخلافه ابواب جمعى يمين الدوله سال لوی ئیل [۱۳۲۳] با 10فرد سواد فرمان و دو ورقه یادداشت و  نامه، ۲۱. ۲ فرد خلاصه مستمريات ممالک محروسه لوی ئیل عراق [۱۳۲۳]،فرد سیورسات غلام و پیش خدمتان کشیکخانه، ۱- اسراء قاجار، وسه فرد - مواجب اطباء باب لوی ئیل ۱۳۲۲ یا ۱۳۲۳، ۲۲. ۱۰ دستور العمل مواجب و سیورسات لوی ئیل قشون به خرج ولایـات  می آید، عراق با دو فرد یادداشت، ۲۳. ۱۰ فرد صورت قبوضـات دستورالعمل ئیلان ایل اربابی طهران با یک فرد مربوط به تشخیـص اقساط تنخواه تحویلی صندوق که باید با قسط مقرره از حکومت و مدیر کل صندوق رکاب دریافت داشته به ارباب حقوق برساند [مقصود از رکاب پای تخت است] با ۴ فرد مربوط به تفاوت دستورالعمل ئیلان ایل اربابی طهران با سنه لوی ئیل ۱۳۲۳، 24. 145دستورالعمل طهران ئیلان ،۱۳۲۴، ۲۵. سواد یک فرمان  و صورت مستمريات ممالک محروسه عراق و تفاوت مخارج  قشونی ئیلان ایل ۱۳۲۳ با لوی  ئیل، جمعاً سه فرد، ۲۶. ۷فرد دستورالعمل مواجب و سیورسات ئیلان ئیل [۱۳۲۳] قشون که به خرج ولایات می آید ،عراق با دو فرد دیگر و یک فرد سفید، ۲۷. ۱۲ فرد دستورالعمل مواجب و سیورسات یونت ئیل قشون که به خرج ولايات منظور است، عراق با ۱۳ فرد متفرقه مربوط به همین سال یونت ئیل [۱۳۲۴] از قبیل علیق دواب و مستمری غلامان و غیره ماننده فردهای مربوط به سنوات  قبل، ۲۸. ۴۵ فرد صورت مستمریات کل ممالک محروسه یونت ایل ۱۳۲۴، عراق، ۴۵ فرد، .۲۹. ۱۰ فرد مربوط به تفاوت دستورالعمل يونت ۱۳۲۴ بائیلان ئیل ۱۳۲۳ با ۳ فرد متفرقه دیگر، ۳۰. ۱۵۴ فرد مربوط به دستورالعمل سنه یونت ئیل دارالخلافه طهران ابواب جمعی نیرالدوله یونت ئیل ۱۳۲۴، در حاشیه نوشته است در شش ماه آخر سال حکومت با جناب وزیر مخصوص  شد، ۳۱. ۳۰ فرد متفرقه مربوط بهمین سال  یونت ئیل از قبیل سواد فرامین و قبوض اشخاص و ۳ فرد مربوط به تفاوت عمل رویهم ۳۰  فرد، ۳۲. ۵۵ فرد مربوط به خالصجات دار الخلافه سیچقان ئیل ابواب جمعی حاجی آصف الدوله سال سیچقان ئیل با یک فرد مربوط به حقوق اشخاص و ۴ فرد مربوط به تفاوت دستورالعمل، ٣٣ .خالصجات طهران سال اودئیل ۱۳۱۹ ابواب جمعی عین الدوله، ۶۰  فرد، با ۲ صورت جمع و خرج مواجب و سیورسات قوام الدوله اودئیل ۱۳۱۹ واقع میان فرد ۱۷ و ۱۸ با ۲ فرد دیگر میان فرد ۲۵ و ۲۶ راجع به عدم وقفیت و مالیات قریه محمود آباد غار با ۲ فرد مربوط به جیره و علیق و عمله جات آبدارخانه عین الدوله با ۱۱ فرد دیگر مربوط صورت  عليق الدواب و غیره و چند فرد مربوط به تفاوت دستورالعمل، ۳۴. ۶۳ فرد مربوط به دستورالعمل خالصجات طهران ابواب جمعی عین الدوله با ۱۸ فرد و یک ورقه بزرگ تا زده مربوط به سند بارس ئیل ۱۳۲۰، ۳۵. ۵ فرد مربوط به تفاوت دستورالعمل سنه تشوقان ئیل ۱۳۲۱ با بارسئیل ۱۳۲۰ با ۲۶ فرد خالصجات طهران ابواب جمعی عین الدوله توشقان ئیل ۱۳۲۱ و ۹ فرد متفرقه همه ساله، ۳۶. یک فرد مربوط به سر رشته لوی ئیل تحویل منتخب السلطنه فاضل کتابچه دستور العمل وی ئیل و ۳ فرد مربوط به تفاوت عمل سال لوی ئیل ۱۳۲۲ با توشقان ئیل ۱۳۲۱، ۳۷. لوی ئیل ۱۳۲۲ سر رشته خالصجات طهران ابواب جمعی  علی الله شامل ۷۰ فرد با سه فرد مربوط به تفاوت دستورالعمل ئیلان ایل ۱۳۲۳ با لوی ئیل ۱۳۲۲ و دو  رددیگر ۳۸ ۷۰ فرد سر رشته خالصجات طهران ئیلان ئیل ۱۳۲۳ ابواب جمعی عین الدوله با ۵ فرد صورت قبوضات ۱۳۲۳ خالصجات طهران، ۳۹. ۲ فرد سواد احکام وزارت مالیه ۱۳۲۴ و یک فرد دیگر مربوط به ئیلان ئیل ۱۲۹۸ و صورت قبوضات یونت ئیل (۱فرد) و صورت دهاتی که به ملکیت مرحمت شده (۱فرد) وصورت کسر و اضافات یونت ئیل خالصه طهران در ذیقعده ۱۳۲۴ (۱فرد) و ۴ فرد مربوط به دهاتی که به ملکیت مرحمت شده صورت کسر و اضافات یونت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ئیل، صورت ثبت ضبطی رقبات و اضافه خرج مستمریات خالصجات طهران ۱۳۱۶ الی ۱۳۲۴ (۱فرد) صورت حقـوق قراسوران که به خرج دستورالعمل طهران و رکاب منظور شده فرد صورت ثبت ضبطی متوفیات و اضافه خرج مستمریات اربـابی طهران ۱۳۱۶ تا ۱۳۲۴، صورت دهات خالصه که از قرار فرامین به ملکیت مرحمت شده که در زمان ناصر الملک از دفتر گذشت 2فرد صورت جنس مستمری دستورالعمل اربابی طهران، ۲فرد، صورت ثبت ضبطی متوفیات و اضافه جمع و خرج دستور العـمل خالصجات طهران از ایت ئیل ۱۳۱۶ تا یونت ئیل ۱۳۲۴، ۴ فـرد، ۱۰ فرد صورت اضافه جمع و ضبطی متوفیات و اضافه مخارج دستورالعمل اربابی طهران از آیت ئیل ۱۳۱۶ تا یونت ئیل 1324،  ۱۰ فرد صورت اضافه جمع و اضافه مخارج و ضبطی متوفیـات  دستورالعمل اربابی طهران از ایت ئیل [ ۱۳۱۶] تا یونت ئیل [1324] ۳ نامه حقوق میرزا تقی خان عنوان نگار، ۱ فرد، تفاوت دستورالعمل ۱۳۲۴ خالصجات ۵  فرد، ۴۰. فردهای مربوط به سه  یونت ئیل ۱۳۲۴ ابواب جمعی اقبال الدوله و فردهای ضمیمه آن، ۴۱. صورت برواتی که در دستگاه معاون الملک صادر شده محـرم ۱۳۱۹ اودئیل، ۱۶ فرد با ۵ فرد دیگر مربوط به همین سند، ۴۲.17فرد صورت بروات صادره دستگاه معاون الملك بارس ئیل ۱۳۲۰ با فردهای مربوط بهمین سال و  قبوض، ۴۳. صورت بروات صادره توشقان ئیل ۱۳۲۱ دستگاه معاون الملک با فرد قبوض الحاقی، ۴۴. صورت بروات صادره لوی ئیل ۱۳۲۲ دستگاه معاون الملک با فرد و قبوض  الحاقی، ۴۵. ۵ فرد مربوط به مخارج ختم چند نفر از معاریف در مسجد شاه ئیلان ئیل  ۱۳۲۴ ، ۲ فرد مربوط به یونت ئیل ۱۳۲۴، ۲ فرد مربوط به مخارج ختم شاه زاده عمیدالدوله در شعبان ۱۳۲۳ در مسجد شاه ئیلان ئیل ۵ فرد مربوط به اخراجات ورود شاه از سفر انگلستان ۱۳۲۳، ۴۶. صورت بروات و قبوض اشخاص در یونت ئیل [۱۳۲۴] ۸ فرد با ۲ فرد منضمات. ۴۷. صورت مواجب و مقرری و مستمری و غیره رکابی ئیلان ئیل ۱۳۲۳ با منضمات ۲۳  فرد، ۴۸. صورت دهاتی که به ملکیت مرحمت شده یک فرد و ملحقات با فردهای مربوط به مواجب مستمری یونت ایل که مشوش است و فردهای مربوط به سـال ائیلان ئیل همه این بسته ها از آقای میرزا حسین خان قریب  پسر همین سررشته دار که این فردها را به نگارش در آورده اسـت خریداری شده است. استاد دکتر اصغر مهدوی آنها را خوانده و سر و سامانی بدانها داده است. این فهرست دقیق برای این سه شماره نوشته ایشان است و به عبارات خود ایشان و با اندکی دگرگونی در اینجا آورده شده است. این بسته ها درباره «مستمریات و خالصجات و مالیات املاک اربابی تهران از حاجی معين دفتر ابوالقاسم قریب سر رشته دار تهران است؛ بی کا، بی تا[ف: ۱۷ - ۳۹۹]</w:t>
      </w:r>
    </w:p>
    <w:p>
      <w:pPr>
        <w:pStyle w:val="BookText"/>
      </w:pPr>
      <w:r>
        <w:rPr>
          <w:rFonts w:ascii="IRNazanin" w:hAnsi="IRNazanin" w:eastAsia="IRNazanin" w:cs="IRNazanin"/>
          <w:lang w:bidi="fa-IR"/>
          <w:color w:val="111111"/>
          <w:sz w:val="28"/>
          <w:szCs w:val="28"/>
          <w:rtl/>
        </w:rPr>
        <w:t xml:space="preserve">۱۲. تهران؛ دانشگاه؛ شماره نسخه: ۹۵۴۳</w:t>
      </w:r>
    </w:p>
    <w:p>
      <w:pPr>
        <w:pStyle w:val="BookText"/>
      </w:pPr>
      <w:r>
        <w:rPr>
          <w:rFonts w:ascii="IRNazanin" w:hAnsi="IRNazanin" w:eastAsia="IRNazanin" w:cs="IRNazanin"/>
          <w:lang w:bidi="fa-IR"/>
          <w:color w:val="111111"/>
          <w:sz w:val="28"/>
          <w:szCs w:val="28"/>
          <w:rtl/>
        </w:rPr>
        <w:t xml:space="preserve">دو سند هر یک برگ رحلی به نستعلیق با طغرای زرین و با مهر شاهانه؛ ۱. فرمان ناصرالدین شاه درباره میرزا جعفرخان، ۲. فرمان ناصرالدین شاه درباره محمد رحیم میرزا؛ بی کا، بی تا[ف:۱۷-۴۰۲]</w:t>
      </w:r>
    </w:p>
    <w:p>
      <w:pPr>
        <w:pStyle w:val="BookText"/>
      </w:pPr>
      <w:r>
        <w:rPr>
          <w:rFonts w:ascii="IRNazanin" w:hAnsi="IRNazanin" w:eastAsia="IRNazanin" w:cs="IRNazanin"/>
          <w:lang w:bidi="fa-IR"/>
          <w:color w:val="111111"/>
          <w:sz w:val="28"/>
          <w:szCs w:val="28"/>
          <w:rtl/>
        </w:rPr>
        <w:t xml:space="preserve">۱۳. تهران؛ دانشگاه شماره نسخه: ۹۵۸۹</w:t>
      </w:r>
    </w:p>
    <w:p>
      <w:pPr>
        <w:pStyle w:val="BookText"/>
      </w:pPr>
      <w:r>
        <w:rPr>
          <w:rFonts w:ascii="IRNazanin" w:hAnsi="IRNazanin" w:eastAsia="IRNazanin" w:cs="IRNazanin"/>
          <w:lang w:bidi="fa-IR"/>
          <w:color w:val="111111"/>
          <w:sz w:val="28"/>
          <w:szCs w:val="28"/>
          <w:rtl/>
        </w:rPr>
        <w:t xml:space="preserve">پنج طغرا ۱ سند است: ۱. طومار وقف نامه میر حسین خان پسر میر زین العابدین حسینی دهنوی در ۱۱۶۸، ۲. طومار خرج قنات طاقيه آباد زرند .3. طومار دیگر در چهار تکه گویا دنبال هم،4. طومار صورت جمع و خرج مزرعه وقفی مؤیدی در ۱۲۶۳، ۵. نامه عبدالله قوچانی؛ بی کا، بی تا [ف: ۱۷- – ۴۱۴]</w:t>
      </w:r>
    </w:p>
    <w:p>
      <w:pPr>
        <w:pStyle w:val="BookText"/>
      </w:pPr>
      <w:r>
        <w:rPr>
          <w:rFonts w:ascii="IRNazanin" w:hAnsi="IRNazanin" w:eastAsia="IRNazanin" w:cs="IRNazanin"/>
          <w:lang w:bidi="fa-IR"/>
          <w:color w:val="111111"/>
          <w:sz w:val="28"/>
          <w:szCs w:val="28"/>
          <w:rtl/>
        </w:rPr>
        <w:t xml:space="preserve">۱۴. تهران؛ دانشگاه؛ شماره نسخه: ۹۵۹۰</w:t>
      </w:r>
    </w:p>
    <w:p>
      <w:pPr>
        <w:pStyle w:val="BookText"/>
      </w:pPr>
      <w:r>
        <w:rPr>
          <w:rFonts w:ascii="IRNazanin" w:hAnsi="IRNazanin" w:eastAsia="IRNazanin" w:cs="IRNazanin"/>
          <w:lang w:bidi="fa-IR"/>
          <w:color w:val="111111"/>
          <w:sz w:val="28"/>
          <w:szCs w:val="28"/>
          <w:rtl/>
        </w:rPr>
        <w:t xml:space="preserve">پنج دسته سند: ۱. اسناد مرتضی قلی خان نایینی در ۱۶ برگ، ۲. فرمان ناصرالدین شاه درباره صاین قلعه پرته رود که به فتح الله خان و اسدالله خان زرین آبادی بخشیده است در شعبان ۱۳۰۲، ۳. نامه قمر دولت آبادی درباره باب و صبح ازل به جمال زاده در ۵۰/۳/۷ ،۴. نامه علی اکبر فیاض به آقای فرهاد درباره چشمه سرخان دره  گلیان، ۵. دو طغرا سند شرعی درباره یزد مورخ  ۱۲۹۷ و ۱۲۸۹؛ بی کا، بی تا [ف: ۱۷ - ۴۱۵]</w:t>
      </w:r>
    </w:p>
    <w:p>
      <w:pPr>
        <w:pStyle w:val="BookText"/>
      </w:pPr>
      <w:r>
        <w:rPr>
          <w:rFonts w:ascii="IRNazanin" w:hAnsi="IRNazanin" w:eastAsia="IRNazanin" w:cs="IRNazanin"/>
          <w:lang w:bidi="fa-IR"/>
          <w:color w:val="111111"/>
          <w:sz w:val="28"/>
          <w:szCs w:val="28"/>
          <w:rtl/>
        </w:rPr>
        <w:t xml:space="preserve">۱۵. تهران؛ دانشگاه؛ شماره نسخه: ۹۶۷۰</w:t>
      </w:r>
    </w:p>
    <w:p>
      <w:pPr>
        <w:pStyle w:val="BookText"/>
      </w:pPr>
      <w:r>
        <w:rPr>
          <w:rFonts w:ascii="IRNazanin" w:hAnsi="IRNazanin" w:eastAsia="IRNazanin" w:cs="IRNazanin"/>
          <w:lang w:bidi="fa-IR"/>
          <w:color w:val="111111"/>
          <w:sz w:val="28"/>
          <w:szCs w:val="28"/>
          <w:rtl/>
        </w:rPr>
        <w:t xml:space="preserve">از قباله خرید و فروش و صلح و بنچاق سیزده طغرا دارای  تاریخ های: ۱۲۵۶  و۱۳۰۶و ۱۳۱۶و ۱۳۱۸ و ۱۳۲۰ و ۱۳۲۴ و  ۱۳۲۵ و ۱۳۳۳؛ بی کا،  بی تا؛ نسخه اصل [ف: ۱۷ - ۴۴۸]</w:t>
      </w:r>
    </w:p>
    <w:p>
      <w:pPr>
        <w:pStyle w:val="BookText"/>
      </w:pPr>
      <w:r>
        <w:rPr>
          <w:rFonts w:ascii="IRNazanin" w:hAnsi="IRNazanin" w:eastAsia="IRNazanin" w:cs="IRNazanin"/>
          <w:lang w:bidi="fa-IR"/>
          <w:color w:val="111111"/>
          <w:sz w:val="28"/>
          <w:szCs w:val="28"/>
          <w:rtl/>
        </w:rPr>
        <w:t xml:space="preserve">۱۶. تهران؛ دانشگاه؛ شماره نسخه: ۹۶۷۱</w:t>
      </w:r>
    </w:p>
    <w:p>
      <w:pPr>
        <w:pStyle w:val="BookText"/>
      </w:pPr>
      <w:r>
        <w:rPr>
          <w:rFonts w:ascii="IRNazanin" w:hAnsi="IRNazanin" w:eastAsia="IRNazanin" w:cs="IRNazanin"/>
          <w:lang w:bidi="fa-IR"/>
          <w:color w:val="111111"/>
          <w:sz w:val="28"/>
          <w:szCs w:val="28"/>
          <w:rtl/>
        </w:rPr>
        <w:t xml:space="preserve">حواله و صلح نامه و قبض رسید در بیست و چهار طغرا دارای تاریخ های: ۱۲۸۰ و ۱۲۸۳ و ۱۲۸۹ و ۱۲۹۳ و ۱۲۹۷ و ۱۲۹۹ و ۱۳۰۰ و ۱۳۰۳ و ۱۳۰۵ و ۱۳۱۳ و ۱۳۱۷ و ۱۳۶۰ نسخه اصل؛ بی کا؛ بی تا [ف ۱۷ - ۴۴۸]</w:t>
      </w:r>
    </w:p>
    <w:p>
      <w:pPr>
        <w:pStyle w:val="BookText"/>
      </w:pPr>
      <w:r>
        <w:rPr>
          <w:rFonts w:ascii="IRNazanin" w:hAnsi="IRNazanin" w:eastAsia="IRNazanin" w:cs="IRNazanin"/>
          <w:lang w:bidi="fa-IR"/>
          <w:color w:val="111111"/>
          <w:sz w:val="28"/>
          <w:szCs w:val="28"/>
          <w:rtl/>
        </w:rPr>
        <w:t xml:space="preserve">۱۷. تهران؛ دانشگاه؛ شماره نسخه: ۹۷۰۳</w:t>
      </w:r>
    </w:p>
    <w:p>
      <w:pPr>
        <w:pStyle w:val="BookText"/>
      </w:pPr>
      <w:r>
        <w:rPr>
          <w:rFonts w:ascii="IRNazanin" w:hAnsi="IRNazanin" w:eastAsia="IRNazanin" w:cs="IRNazanin"/>
          <w:lang w:bidi="fa-IR"/>
          <w:color w:val="111111"/>
          <w:sz w:val="28"/>
          <w:szCs w:val="28"/>
          <w:rtl/>
        </w:rPr>
        <w:t xml:space="preserve">شامل: ۱. پاسخ نامه غلام محمد خان فرمانروای غوربند در ۲۴ صفری لوی ئیل، ۲. پاسخ نامه سید گل میردین محمد از کنه ده قول غوربند در ع ،۱۳۳۲/۱، ۳ تا ۵. پاسخ نامه همان غلام محمد خان در ۶ رمضان ۱۳۲۰ و ۲۱ و ۲۷ ربیع الاول ۱۳۲۲؛ خط: نستعلیق، بی کا، بی تا [ف ۱۷ - ۴۵۶]</w:t>
      </w:r>
    </w:p>
    <w:p>
      <w:pPr>
        <w:pStyle w:val="BookText"/>
      </w:pPr>
      <w:r>
        <w:rPr>
          <w:rFonts w:ascii="IRNazanin" w:hAnsi="IRNazanin" w:eastAsia="IRNazanin" w:cs="IRNazanin"/>
          <w:lang w:bidi="fa-IR"/>
          <w:color w:val="111111"/>
          <w:sz w:val="28"/>
          <w:szCs w:val="28"/>
          <w:rtl/>
        </w:rPr>
        <w:t xml:space="preserve">۱۸. تهران؛ ملی؛ شماره نسخه: ۱۸۸۶۳</w:t>
      </w:r>
    </w:p>
    <w:p>
      <w:pPr>
        <w:pStyle w:val="BookText"/>
      </w:pPr>
      <w:r>
        <w:rPr>
          <w:rFonts w:ascii="IRNazanin" w:hAnsi="IRNazanin" w:eastAsia="IRNazanin" w:cs="IRNazanin"/>
          <w:lang w:bidi="fa-IR"/>
          <w:color w:val="111111"/>
          <w:sz w:val="28"/>
          <w:szCs w:val="28"/>
          <w:rtl/>
        </w:rPr>
        <w:t xml:space="preserve">بی کا، بی تا؛ انتقالی از کتابخانه پهلوی - مجموعه نوازی؛ ۲۶گ،  اندازه: ۱۳/۳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۲۰/۸سم [ رایانه ]</w:t>
      </w:r>
    </w:p>
    <w:p>
      <w:pPr>
        <w:pStyle w:val="BookText"/>
      </w:pPr>
      <w:r>
        <w:rPr>
          <w:rFonts w:ascii="IRNazanin" w:hAnsi="IRNazanin" w:eastAsia="IRNazanin" w:cs="IRNazanin"/>
          <w:lang w:bidi="fa-IR"/>
          <w:color w:val="111111"/>
          <w:sz w:val="28"/>
          <w:szCs w:val="28"/>
          <w:rtl/>
        </w:rPr>
        <w:t xml:space="preserve">۱۹. تهران؛ ملی؛ شماره نسخه: ۱۷۹۹۹</w:t>
      </w:r>
    </w:p>
    <w:p>
      <w:pPr>
        <w:pStyle w:val="BookText"/>
      </w:pPr>
      <w:r>
        <w:rPr>
          <w:rFonts w:ascii="IRNazanin" w:hAnsi="IRNazanin" w:eastAsia="IRNazanin" w:cs="IRNazanin"/>
          <w:lang w:bidi="fa-IR"/>
          <w:color w:val="111111"/>
          <w:sz w:val="28"/>
          <w:szCs w:val="28"/>
          <w:rtl/>
        </w:rPr>
        <w:t xml:space="preserve">اساسنامه و صورتجلسات؛ بی کا، بی تا؛ انتقالی از کتابخانه پهلوی- مجموعه نوازی؛ اندازه: ۱۵/۴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۱۹/۸سم [ رایانه ]</w:t>
      </w:r>
    </w:p>
    <w:p>
      <w:pPr>
        <w:pStyle w:val="BookText"/>
      </w:pPr>
      <w:r>
        <w:rPr>
          <w:rFonts w:ascii="IRNazanin" w:hAnsi="IRNazanin" w:eastAsia="IRNazanin" w:cs="IRNazanin"/>
          <w:lang w:bidi="fa-IR"/>
          <w:color w:val="111111"/>
          <w:sz w:val="28"/>
          <w:szCs w:val="28"/>
          <w:rtl/>
        </w:rPr>
        <w:t xml:space="preserve">۲۰. تهران؛ ملی؛ شماره نسخه: ۱۸۰۰۰</w:t>
      </w:r>
    </w:p>
    <w:p>
      <w:pPr>
        <w:pStyle w:val="BookText"/>
      </w:pPr>
      <w:r>
        <w:rPr>
          <w:rFonts w:ascii="IRNazanin" w:hAnsi="IRNazanin" w:eastAsia="IRNazanin" w:cs="IRNazanin"/>
          <w:lang w:bidi="fa-IR"/>
          <w:color w:val="111111"/>
          <w:sz w:val="28"/>
          <w:szCs w:val="28"/>
          <w:rtl/>
        </w:rPr>
        <w:t xml:space="preserve">پیمان نامه ای دولتی؛ بی کا، بی تا؛ انتقالی از کتابخانه پهلوی مجموعه نوازی؛ ۴گ، اندازه: ۱۷/۱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۲۰/۸سم [رایانه]</w:t>
      </w:r>
    </w:p>
    <w:p>
      <w:pPr>
        <w:pStyle w:val="BookText"/>
      </w:pPr>
      <w:r>
        <w:rPr>
          <w:rFonts w:ascii="IRNazanin" w:hAnsi="IRNazanin" w:eastAsia="IRNazanin" w:cs="IRNazanin"/>
          <w:lang w:bidi="fa-IR"/>
          <w:color w:val="111111"/>
          <w:sz w:val="28"/>
          <w:szCs w:val="28"/>
          <w:rtl/>
        </w:rPr>
        <w:t xml:space="preserve">۲۱. تهران؛ دانشگاه؛ شماره نسخه: ۸۴۳۳</w:t>
      </w:r>
    </w:p>
    <w:p>
      <w:pPr>
        <w:pStyle w:val="BookText"/>
      </w:pPr>
      <w:r>
        <w:rPr>
          <w:rFonts w:ascii="IRNazanin" w:hAnsi="IRNazanin" w:eastAsia="IRNazanin" w:cs="IRNazanin"/>
          <w:lang w:bidi="fa-IR"/>
          <w:color w:val="111111"/>
          <w:sz w:val="28"/>
          <w:szCs w:val="28"/>
          <w:rtl/>
        </w:rPr>
        <w:t xml:space="preserve">مورخ ۱۲۷۳ و ۱۲۷۴ درباره روسیه و انگلستان و فرانسه و عثمانی و ایرانی و جز اینها را دانشگاه چاپ کرده است (نمایشگاه ۲۴۵)؛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 کا، بی تا؛ اصل در ۵۹ برگ؛ ۵۹گ [ف: ۱۷ - ۱۳۴]</w:t>
      </w:r>
    </w:p>
    <w:p>
      <w:pPr>
        <w:pStyle w:val="BookText"/>
      </w:pPr>
      <w:r>
        <w:rPr>
          <w:rFonts w:ascii="IRNazanin" w:hAnsi="IRNazanin" w:eastAsia="IRNazanin" w:cs="IRNazanin"/>
          <w:lang w:bidi="fa-IR"/>
          <w:color w:val="111111"/>
          <w:sz w:val="28"/>
          <w:szCs w:val="28"/>
          <w:rtl/>
        </w:rPr>
        <w:t xml:space="preserve">۲۲. تهران؛ ملی؛ شماره نسخه: ۱۸۶۷۵</w:t>
      </w:r>
    </w:p>
    <w:p>
      <w:pPr>
        <w:pStyle w:val="BookText"/>
      </w:pPr>
      <w:r>
        <w:rPr>
          <w:rFonts w:ascii="IRNazanin" w:hAnsi="IRNazanin" w:eastAsia="IRNazanin" w:cs="IRNazanin"/>
          <w:lang w:bidi="fa-IR"/>
          <w:color w:val="111111"/>
          <w:sz w:val="28"/>
          <w:szCs w:val="28"/>
          <w:rtl/>
        </w:rPr>
        <w:t xml:space="preserve">معاهدات، اتحادیه های بین المللی و ...؛ بی کا، بی تا؛ انتقالی از کتابخانه پهلوی - مجموعه نوازی؛ ۱۶۱گ،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  [رایانه ]</w:t>
      </w:r>
    </w:p>
    <w:p>
      <w:pPr>
        <w:pStyle w:val="BookText"/>
      </w:pPr>
      <w:r>
        <w:rPr>
          <w:rFonts w:ascii="IRNazanin" w:hAnsi="IRNazanin" w:eastAsia="IRNazanin" w:cs="IRNazanin"/>
          <w:lang w:bidi="fa-IR"/>
          <w:color w:val="111111"/>
          <w:sz w:val="28"/>
          <w:szCs w:val="28"/>
          <w:rtl/>
        </w:rPr>
        <w:t xml:space="preserve">۲۳. تهران؛ مجلس؛ شماره نسخه: ۹۹۴۲</w:t>
      </w:r>
    </w:p>
    <w:p>
      <w:pPr>
        <w:pStyle w:val="BookText"/>
      </w:pPr>
      <w:r>
        <w:rPr>
          <w:rFonts w:ascii="IRNazanin" w:hAnsi="IRNazanin" w:eastAsia="IRNazanin" w:cs="IRNazanin"/>
          <w:lang w:bidi="fa-IR"/>
          <w:color w:val="111111"/>
          <w:sz w:val="28"/>
          <w:szCs w:val="28"/>
          <w:rtl/>
        </w:rPr>
        <w:t xml:space="preserve">۱۳۴ برگ سند است در چهار پاکت شامل: ۱. اسنادی درباره ارتباط با دولتهای خارجی و  قراردادها، ۴۰  برگ، ۲. نامه هـای ناصرالدین شاه و مظفرالدین شاه  قاجار ،۳۹ برگ، ۳. نامه هـای مختلف، ۴۵ برگ، ۴. اسنادی درباره مجلس شورای ملی ،۱۱ برگ؛ بی کا، بی تا [ف: ۳۱ - ۱۴۲]</w:t>
      </w:r>
    </w:p>
    <w:p>
      <w:pPr>
        <w:pStyle w:val="BookText"/>
      </w:pPr>
      <w:r>
        <w:rPr>
          <w:rFonts w:ascii="IRNazanin" w:hAnsi="IRNazanin" w:eastAsia="IRNazanin" w:cs="IRNazanin"/>
          <w:lang w:bidi="fa-IR"/>
          <w:color w:val="111111"/>
          <w:sz w:val="28"/>
          <w:szCs w:val="28"/>
          <w:rtl/>
        </w:rPr>
        <w:t xml:space="preserve">۲۴. تهران؛ مجلس؛ شماره نسخه: ۱۰۷۳۲</w:t>
      </w:r>
    </w:p>
    <w:p>
      <w:pPr>
        <w:pStyle w:val="BookText"/>
      </w:pPr>
      <w:r>
        <w:rPr>
          <w:rFonts w:ascii="IRNazanin" w:hAnsi="IRNazanin" w:eastAsia="IRNazanin" w:cs="IRNazanin"/>
          <w:lang w:bidi="fa-IR"/>
          <w:color w:val="111111"/>
          <w:sz w:val="28"/>
          <w:szCs w:val="28"/>
          <w:rtl/>
        </w:rPr>
        <w:t xml:space="preserve">تعدادی قطعات اسناد، حاوی صورت جمع و خرج و مواجب گمرک مناطق  تبریز ،ارومی، طالش و آستارا از مملک آذربایجان در سال ۱۳۲۷ق است که به خط سیاق نگاشته شده  است؛ بی کا، بی تا [ف: ۳۳/۱ - ۲۰۷]</w:t>
      </w:r>
    </w:p>
    <w:p>
      <w:pPr>
        <w:pStyle w:val="BookText"/>
      </w:pPr>
      <w:r>
        <w:rPr>
          <w:rFonts w:ascii="IRNazanin" w:hAnsi="IRNazanin" w:eastAsia="IRNazanin" w:cs="IRNazanin"/>
          <w:lang w:bidi="fa-IR"/>
          <w:color w:val="111111"/>
          <w:sz w:val="28"/>
          <w:szCs w:val="28"/>
          <w:rtl/>
        </w:rPr>
        <w:t xml:space="preserve">۲۵. تهران؛ مجلس؛ شماره نسخه: ۱۰۷۳۳</w:t>
      </w:r>
    </w:p>
    <w:p>
      <w:pPr>
        <w:pStyle w:val="BookText"/>
      </w:pPr>
      <w:r>
        <w:rPr>
          <w:rFonts w:ascii="IRNazanin" w:hAnsi="IRNazanin" w:eastAsia="IRNazanin" w:cs="IRNazanin"/>
          <w:lang w:bidi="fa-IR"/>
          <w:color w:val="111111"/>
          <w:sz w:val="28"/>
          <w:szCs w:val="28"/>
          <w:rtl/>
        </w:rPr>
        <w:t xml:space="preserve">تعدادی قطعات اسناد حاوی صورت جمع و خرج و مواجب و گمرک مناطق تبریز ارونق و انزاب از مملکت آذربایجان در سال ۱۳۲۷ق است که به خط سیاق نگاشته شده است؛ بی کا، بی تا[ف: ۳۳/۱۸ - ۲۰۷]</w:t>
      </w:r>
    </w:p>
    <w:p>
      <w:pPr>
        <w:pStyle w:val="BookText"/>
      </w:pPr>
      <w:r>
        <w:rPr>
          <w:rFonts w:ascii="IRNazanin" w:hAnsi="IRNazanin" w:eastAsia="IRNazanin" w:cs="IRNazanin"/>
          <w:lang w:bidi="fa-IR"/>
          <w:color w:val="111111"/>
          <w:sz w:val="28"/>
          <w:szCs w:val="28"/>
          <w:rtl/>
        </w:rPr>
        <w:t xml:space="preserve">۲۶. تهران؛ مجلس؛ شماره نسخه: ۱۰۷۳۴</w:t>
      </w:r>
    </w:p>
    <w:p>
      <w:pPr>
        <w:pStyle w:val="BookText"/>
      </w:pPr>
      <w:r>
        <w:rPr>
          <w:rFonts w:ascii="IRNazanin" w:hAnsi="IRNazanin" w:eastAsia="IRNazanin" w:cs="IRNazanin"/>
          <w:lang w:bidi="fa-IR"/>
          <w:color w:val="111111"/>
          <w:sz w:val="28"/>
          <w:szCs w:val="28"/>
          <w:rtl/>
        </w:rPr>
        <w:t xml:space="preserve">تعدادی قطعات اسناد حاوی صورت جمع و خرج و مواجب و گمرک مناطق توابع دارالسلطنه تبریز از جمله خاتمرودو دهخوارقان از مملکت آذربایجان در سال ۱۳۲۷ق است که به خط سیاق نگاشته شده است؛ بی کا، بی تا [ف: ۳۳/۱ - ۲۰۷]</w:t>
      </w:r>
    </w:p>
    <w:p>
      <w:pPr>
        <w:pStyle w:val="BookText"/>
      </w:pPr>
      <w:r>
        <w:rPr>
          <w:rFonts w:ascii="IRNazanin" w:hAnsi="IRNazanin" w:eastAsia="IRNazanin" w:cs="IRNazanin"/>
          <w:lang w:bidi="fa-IR"/>
          <w:color w:val="111111"/>
          <w:sz w:val="28"/>
          <w:szCs w:val="28"/>
          <w:rtl/>
        </w:rPr>
        <w:t xml:space="preserve">۲۷. تهران؛ مجلس؛ شماره نسخه: ۱۰۷۳۵</w:t>
      </w:r>
    </w:p>
    <w:p>
      <w:pPr>
        <w:pStyle w:val="BookText"/>
      </w:pPr>
      <w:r>
        <w:rPr>
          <w:rFonts w:ascii="IRNazanin" w:hAnsi="IRNazanin" w:eastAsia="IRNazanin" w:cs="IRNazanin"/>
          <w:lang w:bidi="fa-IR"/>
          <w:color w:val="111111"/>
          <w:sz w:val="28"/>
          <w:szCs w:val="28"/>
          <w:rtl/>
        </w:rPr>
        <w:t xml:space="preserve">تعدادی قطعات اسناد، حاوی صورت جمع و خرج و مواجب و گمرک مناطق توابع دارالسلطنه تبریز: مرند و اسکو از مملک آذربایجان در سال ۱۳۲۷ق است که به خط سیاق نگاشته شده است بی کا، بی تا [ف: ۳۳/۱ - ۲۰۷]</w:t>
      </w:r>
    </w:p>
    <w:p>
      <w:pPr>
        <w:pStyle w:val="BookText"/>
      </w:pPr>
      <w:r>
        <w:rPr>
          <w:rFonts w:ascii="IRNazanin" w:hAnsi="IRNazanin" w:eastAsia="IRNazanin" w:cs="IRNazanin"/>
          <w:lang w:bidi="fa-IR"/>
          <w:color w:val="111111"/>
          <w:sz w:val="28"/>
          <w:szCs w:val="28"/>
          <w:rtl/>
        </w:rPr>
        <w:t xml:space="preserve">۲۸. تهران؛ مجلس؛ شماره نسخه: ۱۰۷۳۶</w:t>
      </w:r>
    </w:p>
    <w:p>
      <w:pPr>
        <w:pStyle w:val="BookText"/>
      </w:pPr>
      <w:r>
        <w:rPr>
          <w:rFonts w:ascii="IRNazanin" w:hAnsi="IRNazanin" w:eastAsia="IRNazanin" w:cs="IRNazanin"/>
          <w:lang w:bidi="fa-IR"/>
          <w:color w:val="111111"/>
          <w:sz w:val="28"/>
          <w:szCs w:val="28"/>
          <w:rtl/>
        </w:rPr>
        <w:t xml:space="preserve">تعدادی قطعات اسناد حاوی صورت جمع و خرج و مواجب و گمرک مناطق  هشترود ،گرگر، مرند وزنوز از مملک آذربایجان در ۱۳۲۷ق است که به خط سیاق نگاشته شده اسـت؛ بی کا، بی تا[ ف: ۳۳/۱ - ۲۰۷]</w:t>
      </w:r>
    </w:p>
    <w:p>
      <w:pPr>
        <w:pStyle w:val="BookText"/>
      </w:pPr>
      <w:r>
        <w:rPr>
          <w:rFonts w:ascii="IRNazanin" w:hAnsi="IRNazanin" w:eastAsia="IRNazanin" w:cs="IRNazanin"/>
          <w:lang w:bidi="fa-IR"/>
          <w:color w:val="111111"/>
          <w:sz w:val="28"/>
          <w:szCs w:val="28"/>
          <w:rtl/>
        </w:rPr>
        <w:t xml:space="preserve">۲۹. تهران؛ مجلس؛ شماره نسخه: ۱۰۷۳۷</w:t>
      </w:r>
    </w:p>
    <w:p>
      <w:pPr>
        <w:pStyle w:val="BookText"/>
      </w:pPr>
      <w:r>
        <w:rPr>
          <w:rFonts w:ascii="IRNazanin" w:hAnsi="IRNazanin" w:eastAsia="IRNazanin" w:cs="IRNazanin"/>
          <w:lang w:bidi="fa-IR"/>
          <w:color w:val="111111"/>
          <w:sz w:val="28"/>
          <w:szCs w:val="28"/>
          <w:rtl/>
        </w:rPr>
        <w:t xml:space="preserve">تعدادی قطعات اسناد، حاوی صورت جمع و خرج و مواجب و گمرک مناطق هشترود، خلخال، سلماس و خوی از مملک آذربایجان در سال ۱۳۲۷ق است که به خط سیاق نگاشته شـده است؛ بی کا، بی تا [ف :۳۳/۱-۲۰۷]</w:t>
      </w:r>
    </w:p>
    <w:p>
      <w:pPr>
        <w:pStyle w:val="BookText"/>
      </w:pPr>
      <w:r>
        <w:rPr>
          <w:rFonts w:ascii="IRNazanin" w:hAnsi="IRNazanin" w:eastAsia="IRNazanin" w:cs="IRNazanin"/>
          <w:lang w:bidi="fa-IR"/>
          <w:color w:val="111111"/>
          <w:sz w:val="28"/>
          <w:szCs w:val="28"/>
          <w:rtl/>
        </w:rPr>
        <w:t xml:space="preserve">۳۰. تهران؛ مجلس؛ شماره نسخه: ۱۰۷۳۸</w:t>
      </w:r>
    </w:p>
    <w:p>
      <w:pPr>
        <w:pStyle w:val="BookText"/>
      </w:pPr>
      <w:r>
        <w:rPr>
          <w:rFonts w:ascii="IRNazanin" w:hAnsi="IRNazanin" w:eastAsia="IRNazanin" w:cs="IRNazanin"/>
          <w:lang w:bidi="fa-IR"/>
          <w:color w:val="111111"/>
          <w:sz w:val="28"/>
          <w:szCs w:val="28"/>
          <w:rtl/>
        </w:rPr>
        <w:t xml:space="preserve">تعدادی قطعات اسناد حاوی صورت جمع و خرج و مواجب  وگمرک مناطق سراب ،گرمرود خوی و سلماس ازمملکت آذربایجان در سال ۱۳۲۷ق است که به خط سیاق نگاشته شده  است؛ بی کا، بی تا [ف: ۳۳/۱ - ۲۰۸]</w:t>
      </w:r>
    </w:p>
    <w:p>
      <w:pPr>
        <w:pStyle w:val="BookText"/>
      </w:pPr>
      <w:r>
        <w:rPr>
          <w:rFonts w:ascii="IRNazanin" w:hAnsi="IRNazanin" w:eastAsia="IRNazanin" w:cs="IRNazanin"/>
          <w:lang w:bidi="fa-IR"/>
          <w:color w:val="111111"/>
          <w:sz w:val="28"/>
          <w:szCs w:val="28"/>
          <w:rtl/>
        </w:rPr>
        <w:t xml:space="preserve">۳۱. تهران؛ مجلس؛ شماره نسخه: ۱۰۷۳۹</w:t>
      </w:r>
    </w:p>
    <w:p>
      <w:pPr>
        <w:pStyle w:val="BookText"/>
      </w:pPr>
      <w:r>
        <w:rPr>
          <w:rFonts w:ascii="IRNazanin" w:hAnsi="IRNazanin" w:eastAsia="IRNazanin" w:cs="IRNazanin"/>
          <w:lang w:bidi="fa-IR"/>
          <w:color w:val="111111"/>
          <w:sz w:val="28"/>
          <w:szCs w:val="28"/>
          <w:rtl/>
        </w:rPr>
        <w:t xml:space="preserve">تعدادی قطعات  اسناد، حاوی صورت جمع و خرج و مواجب و گمرک مناطق سراب و گرمرود از مملکت آذربایحان در ۱۲۳۷ق است که به خط سیاق نگاشته شده است؛ بی کا، بی تا [ف:  1/ 33- 208]</w:t>
      </w:r>
    </w:p>
    <w:p>
      <w:pPr>
        <w:pStyle w:val="BookText"/>
      </w:pPr>
      <w:r>
        <w:rPr>
          <w:rFonts w:ascii="IRNazanin" w:hAnsi="IRNazanin" w:eastAsia="IRNazanin" w:cs="IRNazanin"/>
          <w:lang w:bidi="fa-IR"/>
          <w:color w:val="111111"/>
          <w:sz w:val="28"/>
          <w:szCs w:val="28"/>
          <w:rtl/>
        </w:rPr>
        <w:t xml:space="preserve">۳۲. تهران؛ مجلس؛ شماره نسخه: ۱۰۷۴۰</w:t>
      </w:r>
    </w:p>
    <w:p>
      <w:pPr>
        <w:pStyle w:val="BookText"/>
      </w:pPr>
      <w:r>
        <w:rPr>
          <w:rFonts w:ascii="IRNazanin" w:hAnsi="IRNazanin" w:eastAsia="IRNazanin" w:cs="IRNazanin"/>
          <w:lang w:bidi="fa-IR"/>
          <w:color w:val="111111"/>
          <w:sz w:val="28"/>
          <w:szCs w:val="28"/>
          <w:rtl/>
        </w:rPr>
        <w:t xml:space="preserve">تعداد ۴۰ قطعه اسناد حاوی جمع و خرج مملکت آذربایجان در تخافوی ئیل سال 28- 1327ق شامل گزارشات دولتی از درآمدها و مالیات های اشخاص در مناطق مختلف آذربایجان همانند: صائینقلعه، چاراویماق، سراب، گرمرود و ساوجبلاغ (مهاباد کنونی) است که به خط سیاق نگاشته شده است؛ بی کا، بی تا؛ [ف:[٣٣/١ - ٢٠٨  ]</w:t>
      </w:r>
    </w:p>
    <w:p>
      <w:pPr>
        <w:pStyle w:val="BookText"/>
      </w:pPr>
      <w:r>
        <w:rPr>
          <w:rFonts w:ascii="IRNazanin" w:hAnsi="IRNazanin" w:eastAsia="IRNazanin" w:cs="IRNazanin"/>
          <w:lang w:bidi="fa-IR"/>
          <w:color w:val="111111"/>
          <w:sz w:val="28"/>
          <w:szCs w:val="28"/>
          <w:rtl/>
        </w:rPr>
        <w:t xml:space="preserve">33.تهران؛ مجلس؛ شماره نسخه: ۱۰۷۴۱</w:t>
      </w:r>
    </w:p>
    <w:p>
      <w:pPr>
        <w:pStyle w:val="BookText"/>
      </w:pPr>
      <w:r>
        <w:rPr>
          <w:rFonts w:ascii="IRNazanin" w:hAnsi="IRNazanin" w:eastAsia="IRNazanin" w:cs="IRNazanin"/>
          <w:lang w:bidi="fa-IR"/>
          <w:color w:val="111111"/>
          <w:sz w:val="28"/>
          <w:szCs w:val="28"/>
          <w:rtl/>
        </w:rPr>
        <w:t xml:space="preserve">تعدادی قطعات  اسناد، حاوی صورت جمع و خرج و مواجب و گمرک مناطق قراجه داغ و صائین قلعه از مملکت آذربایجان در سال ۱۳۲۸ هـ است که به خط سیاق نگاشته شده است؛ بی کا، بی  تا[ف: ۳۳/۱۸ - ۲۰۸]</w:t>
      </w:r>
    </w:p>
    <w:p>
      <w:pPr>
        <w:pStyle w:val="BookText"/>
      </w:pPr>
      <w:r>
        <w:rPr>
          <w:rFonts w:ascii="IRNazanin" w:hAnsi="IRNazanin" w:eastAsia="IRNazanin" w:cs="IRNazanin"/>
          <w:lang w:bidi="fa-IR"/>
          <w:color w:val="111111"/>
          <w:sz w:val="28"/>
          <w:szCs w:val="28"/>
          <w:rtl/>
        </w:rPr>
        <w:t xml:space="preserve">۳۴. تهران؛ مجلس؛ شماره نسخه: ۱۰۷۴۲</w:t>
      </w:r>
    </w:p>
    <w:p>
      <w:pPr>
        <w:pStyle w:val="BookText"/>
      </w:pPr>
      <w:r>
        <w:rPr>
          <w:rFonts w:ascii="IRNazanin" w:hAnsi="IRNazanin" w:eastAsia="IRNazanin" w:cs="IRNazanin"/>
          <w:lang w:bidi="fa-IR"/>
          <w:color w:val="111111"/>
          <w:sz w:val="28"/>
          <w:szCs w:val="28"/>
          <w:rtl/>
        </w:rPr>
        <w:t xml:space="preserve">تعداد ۲۸ قطعه اسناد، حاوی صورت جمع و خرج و مواجب و گمرک منطقه مراغه از مملکت آذربایجان در ۱۳۲۷ق است که  به خط سیاق نگاشته شده است؛ بی کا، بی تا [ف: ۳۳/۱ -۲۰۸]</w:t>
      </w:r>
    </w:p>
    <w:p>
      <w:pPr>
        <w:pStyle w:val="BookText"/>
      </w:pPr>
      <w:r>
        <w:rPr>
          <w:rFonts w:ascii="IRNazanin" w:hAnsi="IRNazanin" w:eastAsia="IRNazanin" w:cs="IRNazanin"/>
          <w:lang w:bidi="fa-IR"/>
          <w:color w:val="111111"/>
          <w:sz w:val="28"/>
          <w:szCs w:val="28"/>
          <w:rtl/>
        </w:rPr>
        <w:t xml:space="preserve">۳۵. تهران؛ مجلس؛ شماره نسخه: ۱۰۷۴۳</w:t>
      </w:r>
    </w:p>
    <w:p>
      <w:pPr>
        <w:pStyle w:val="BookText"/>
      </w:pPr>
      <w:r>
        <w:rPr>
          <w:rFonts w:ascii="IRNazanin" w:hAnsi="IRNazanin" w:eastAsia="IRNazanin" w:cs="IRNazanin"/>
          <w:lang w:bidi="fa-IR"/>
          <w:color w:val="111111"/>
          <w:sz w:val="28"/>
          <w:szCs w:val="28"/>
          <w:rtl/>
        </w:rPr>
        <w:t xml:space="preserve">تعدادی قطعات اسناد، حاوی صورت جمع و خرج و مواجب و گمرک مناطق مراغه و هشترود از مملکت آذربایجان در ۱۳۲۸ق است که به خط سیاق نگاشته شده است؛ بی کا، بی تا [ف: ۳۳/۱ -  208]</w:t>
      </w:r>
    </w:p>
    <w:p>
      <w:pPr>
        <w:pStyle w:val="BookText"/>
      </w:pPr>
      <w:r>
        <w:rPr>
          <w:rFonts w:ascii="IRNazanin" w:hAnsi="IRNazanin" w:eastAsia="IRNazanin" w:cs="IRNazanin"/>
          <w:lang w:bidi="fa-IR"/>
          <w:color w:val="111111"/>
          <w:sz w:val="28"/>
          <w:szCs w:val="28"/>
          <w:rtl/>
        </w:rPr>
        <w:t xml:space="preserve">۳۶ .تهران؛ مجلس؛ شماره نسخه: ۱۰۷۴۴</w:t>
      </w:r>
    </w:p>
    <w:p>
      <w:pPr>
        <w:pStyle w:val="BookText"/>
      </w:pPr>
      <w:r>
        <w:rPr>
          <w:rFonts w:ascii="IRNazanin" w:hAnsi="IRNazanin" w:eastAsia="IRNazanin" w:cs="IRNazanin"/>
          <w:lang w:bidi="fa-IR"/>
          <w:color w:val="111111"/>
          <w:sz w:val="28"/>
          <w:szCs w:val="28"/>
          <w:rtl/>
        </w:rPr>
        <w:t xml:space="preserve">تعدادی قطعات  اسناد، حاوی صورت جمع و خرج مالیات و خالصجات مناطق مختلف آذربایجان از جمله خالصجات مرحوم مظفرالدین  شاه، اعلیحضرت محمد علی میرزا در میاندوآب و حق مرتع کوه سهند، در سال ۱۳۲۷ق است که به خط سیاق نگاشته شده است بی کا، بی تا [ف: ۳۳/۱ - ۲۰۸]</w:t>
      </w:r>
    </w:p>
    <w:p>
      <w:pPr>
        <w:pStyle w:val="BookText"/>
      </w:pPr>
      <w:r>
        <w:rPr>
          <w:rFonts w:ascii="IRNazanin" w:hAnsi="IRNazanin" w:eastAsia="IRNazanin" w:cs="IRNazanin"/>
          <w:lang w:bidi="fa-IR"/>
          <w:color w:val="111111"/>
          <w:sz w:val="28"/>
          <w:szCs w:val="28"/>
          <w:rtl/>
        </w:rPr>
        <w:t xml:space="preserve">۳۷. تهران؛ مجلس؛ شماره نسخه: ۱۰۷۴۵</w:t>
      </w:r>
    </w:p>
    <w:p>
      <w:pPr>
        <w:pStyle w:val="BookText"/>
      </w:pPr>
      <w:r>
        <w:rPr>
          <w:rFonts w:ascii="IRNazanin" w:hAnsi="IRNazanin" w:eastAsia="IRNazanin" w:cs="IRNazanin"/>
          <w:lang w:bidi="fa-IR"/>
          <w:color w:val="111111"/>
          <w:sz w:val="28"/>
          <w:szCs w:val="28"/>
          <w:rtl/>
        </w:rPr>
        <w:t xml:space="preserve">تعدادی قطعات  اسناد، حاوی صورت جمع و خرج مستمریات و مواجب جمعی از فرماندهان و سربازان و نیز تجار مناطق مختلف از مملکت آذربایجان در سال ۱۳۲۷ق است که به خط سیاق نگاشته شده است؛ بی کا، بی تا [ف: ۳۳/۱ - ۲۰۸]</w:t>
      </w:r>
    </w:p>
    <w:p>
      <w:pPr>
        <w:pStyle w:val="BookText"/>
      </w:pPr>
      <w:r>
        <w:rPr>
          <w:rFonts w:ascii="IRNazanin" w:hAnsi="IRNazanin" w:eastAsia="IRNazanin" w:cs="IRNazanin"/>
          <w:lang w:bidi="fa-IR"/>
          <w:color w:val="111111"/>
          <w:sz w:val="28"/>
          <w:szCs w:val="28"/>
          <w:rtl/>
        </w:rPr>
        <w:t xml:space="preserve">۳۸. تهران؛ مجلس؛ شماره نسخه: ۱۰۷۴۶</w:t>
      </w:r>
    </w:p>
    <w:p>
      <w:pPr>
        <w:pStyle w:val="BookText"/>
      </w:pPr>
      <w:r>
        <w:rPr>
          <w:rFonts w:ascii="IRNazanin" w:hAnsi="IRNazanin" w:eastAsia="IRNazanin" w:cs="IRNazanin"/>
          <w:lang w:bidi="fa-IR"/>
          <w:color w:val="111111"/>
          <w:sz w:val="28"/>
          <w:szCs w:val="28"/>
          <w:rtl/>
        </w:rPr>
        <w:t xml:space="preserve">تعدادی قطعات  اسناد، حاوی صورت مصارف و مخارج تعدادی از تجار و بازرگانان مناطق مختلف مملکت آذربایجان در ۱۳۲۷هـ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به خط سیاق نگاشته شده است؛ بی کا، بی تا [ف : 1/ 33- 208]</w:t>
      </w:r>
    </w:p>
    <w:p>
      <w:pPr>
        <w:pStyle w:val="BookText"/>
      </w:pPr>
      <w:r>
        <w:rPr>
          <w:rFonts w:ascii="IRNazanin" w:hAnsi="IRNazanin" w:eastAsia="IRNazanin" w:cs="IRNazanin"/>
          <w:lang w:bidi="fa-IR"/>
          <w:color w:val="111111"/>
          <w:sz w:val="28"/>
          <w:szCs w:val="28"/>
          <w:rtl/>
        </w:rPr>
        <w:t xml:space="preserve">۳۹. تهران؛ مجلس؛ شماره نسخه: ۱۰۷۴۷</w:t>
      </w:r>
    </w:p>
    <w:p>
      <w:pPr>
        <w:pStyle w:val="BookText"/>
      </w:pPr>
      <w:r>
        <w:rPr>
          <w:rFonts w:ascii="IRNazanin" w:hAnsi="IRNazanin" w:eastAsia="IRNazanin" w:cs="IRNazanin"/>
          <w:lang w:bidi="fa-IR"/>
          <w:color w:val="111111"/>
          <w:sz w:val="28"/>
          <w:szCs w:val="28"/>
          <w:rtl/>
        </w:rPr>
        <w:t xml:space="preserve">تعداد ۳۰ قطعه اسناد حاوی «دستورالعمل در سال ئیلان ایل وسنه ماضیه آن در مملکت آذربایجان» از گزارشات دولتی شامل در آمد و مالیات های اشخاص در مناطق مختلف آذربایجان و مربوط به تاریخ سال ۱۳۱۰ق است که به خط سیاق نگاشته شده اسـت؛ بی کا، بی تا [ف: ۳۳/۱ - ۲۰۸]</w:t>
      </w:r>
    </w:p>
    <w:p>
      <w:pPr>
        <w:pStyle w:val="BookText"/>
      </w:pPr>
      <w:r>
        <w:rPr>
          <w:rFonts w:ascii="IRNazanin" w:hAnsi="IRNazanin" w:eastAsia="IRNazanin" w:cs="IRNazanin"/>
          <w:lang w:bidi="fa-IR"/>
          <w:color w:val="111111"/>
          <w:sz w:val="28"/>
          <w:szCs w:val="28"/>
          <w:rtl/>
        </w:rPr>
        <w:t xml:space="preserve">۴۰. تهران؛ مجلس؛ شماره نسخه: ۱۰۷۴۸</w:t>
      </w:r>
    </w:p>
    <w:p>
      <w:pPr>
        <w:pStyle w:val="BookText"/>
      </w:pPr>
      <w:r>
        <w:rPr>
          <w:rFonts w:ascii="IRNazanin" w:hAnsi="IRNazanin" w:eastAsia="IRNazanin" w:cs="IRNazanin"/>
          <w:lang w:bidi="fa-IR"/>
          <w:color w:val="111111"/>
          <w:sz w:val="28"/>
          <w:szCs w:val="28"/>
          <w:rtl/>
        </w:rPr>
        <w:t xml:space="preserve">تعدادی قطعات اسناد، حاوی صورت جمع و خرج و مواجب و مستمری خوانین و امراء عظام مناطق مختلف مملکت آذربایجان (بدون ذکر تاریخ) است که به خط سیاق نگاشته شده اسـت؛  بی کا، بی تا [ف: ۳۳/۱ - ۲۰۹]</w:t>
      </w:r>
    </w:p>
    <w:p>
      <w:pPr>
        <w:pStyle w:val="BookText"/>
      </w:pPr>
      <w:r>
        <w:rPr>
          <w:rFonts w:ascii="IRNazanin" w:hAnsi="IRNazanin" w:eastAsia="IRNazanin" w:cs="IRNazanin"/>
          <w:lang w:bidi="fa-IR"/>
          <w:color w:val="111111"/>
          <w:sz w:val="28"/>
          <w:szCs w:val="28"/>
          <w:rtl/>
        </w:rPr>
        <w:t xml:space="preserve">۴۱. تهران؛ مجلس؛ شماره نسخه: ۱۰۷۴۹</w:t>
      </w:r>
    </w:p>
    <w:p>
      <w:pPr>
        <w:pStyle w:val="BookText"/>
      </w:pPr>
      <w:r>
        <w:rPr>
          <w:rFonts w:ascii="IRNazanin" w:hAnsi="IRNazanin" w:eastAsia="IRNazanin" w:cs="IRNazanin"/>
          <w:lang w:bidi="fa-IR"/>
          <w:color w:val="111111"/>
          <w:sz w:val="28"/>
          <w:szCs w:val="28"/>
          <w:rtl/>
        </w:rPr>
        <w:t xml:space="preserve">تعدادی قطعات  اسناد، حاوی صورت مقرری و مواجب تعدادی از امرا و خوانین و شخصیت های مهم مملکت آذربایجان (بدون ذکر تاریخ) است که به خط سیاق نگاشته شده است؛ بی کا، بی  تا[ ف: ۳۳/۱۸ - ۲۰۹]</w:t>
      </w:r>
    </w:p>
    <w:p>
      <w:pPr>
        <w:pStyle w:val="BookText"/>
      </w:pPr>
      <w:r>
        <w:rPr>
          <w:rFonts w:ascii="IRNazanin" w:hAnsi="IRNazanin" w:eastAsia="IRNazanin" w:cs="IRNazanin"/>
          <w:lang w:bidi="fa-IR"/>
          <w:color w:val="111111"/>
          <w:sz w:val="28"/>
          <w:szCs w:val="28"/>
          <w:rtl/>
        </w:rPr>
        <w:t xml:space="preserve">۴۲.تهران؛ مجلس؛ شماره نسخه: ۱۰۷۵۰</w:t>
      </w:r>
    </w:p>
    <w:p>
      <w:pPr>
        <w:pStyle w:val="BookText"/>
      </w:pPr>
      <w:r>
        <w:rPr>
          <w:rFonts w:ascii="IRNazanin" w:hAnsi="IRNazanin" w:eastAsia="IRNazanin" w:cs="IRNazanin"/>
          <w:lang w:bidi="fa-IR"/>
          <w:color w:val="111111"/>
          <w:sz w:val="28"/>
          <w:szCs w:val="28"/>
          <w:rtl/>
        </w:rPr>
        <w:t xml:space="preserve">تعدادی قطعات اسناد، حاوی صورت جمع و خرج و مواجب افواج و نیروهای نظامی ابواب جمعی مناطق مختلف از مملکـت آذربایجان (بدون ذکر تاریخ) است که به خط سیاق نگاشته است بی کا، بی تا [ف: ۳۳/۱ - ۲۰۹]</w:t>
      </w:r>
    </w:p>
    <w:p>
      <w:pPr>
        <w:pStyle w:val="BookText"/>
      </w:pPr>
      <w:r>
        <w:rPr>
          <w:rFonts w:ascii="IRNazanin" w:hAnsi="IRNazanin" w:eastAsia="IRNazanin" w:cs="IRNazanin"/>
          <w:lang w:bidi="fa-IR"/>
          <w:color w:val="111111"/>
          <w:sz w:val="28"/>
          <w:szCs w:val="28"/>
          <w:rtl/>
        </w:rPr>
        <w:t xml:space="preserve">۴۳. تهران؛ مجلس؛ شماره نسخه: ۱۰۷۵۱</w:t>
      </w:r>
    </w:p>
    <w:p>
      <w:pPr>
        <w:pStyle w:val="BookText"/>
      </w:pPr>
      <w:r>
        <w:rPr>
          <w:rFonts w:ascii="IRNazanin" w:hAnsi="IRNazanin" w:eastAsia="IRNazanin" w:cs="IRNazanin"/>
          <w:lang w:bidi="fa-IR"/>
          <w:color w:val="111111"/>
          <w:sz w:val="28"/>
          <w:szCs w:val="28"/>
          <w:rtl/>
        </w:rPr>
        <w:t xml:space="preserve">سری دوم از اسناد حاوی صورت جمع و خرج و مواجب افواح و نیروهای نظامی ابواب جمعی مناطق مختلف از مملکت آذربایجان (بدون ذكر تاریخ) است که به خط سیاق نگاشته شده اسـت  ؛ بی کا، بی تا [ف: ۳۳/۱ - ۲۰۹]</w:t>
      </w:r>
    </w:p>
    <w:p>
      <w:pPr>
        <w:pStyle w:val="BookText"/>
      </w:pPr>
      <w:r>
        <w:rPr>
          <w:rFonts w:ascii="IRNazanin" w:hAnsi="IRNazanin" w:eastAsia="IRNazanin" w:cs="IRNazanin"/>
          <w:lang w:bidi="fa-IR"/>
          <w:color w:val="111111"/>
          <w:sz w:val="28"/>
          <w:szCs w:val="28"/>
          <w:rtl/>
        </w:rPr>
        <w:t xml:space="preserve">۴۴. تهران؛ مجلس؛ شماره نسخه: ۱۰۷۵۲</w:t>
      </w:r>
    </w:p>
    <w:p>
      <w:pPr>
        <w:pStyle w:val="BookText"/>
      </w:pPr>
      <w:r>
        <w:rPr>
          <w:rFonts w:ascii="IRNazanin" w:hAnsi="IRNazanin" w:eastAsia="IRNazanin" w:cs="IRNazanin"/>
          <w:lang w:bidi="fa-IR"/>
          <w:color w:val="111111"/>
          <w:sz w:val="28"/>
          <w:szCs w:val="28"/>
          <w:rtl/>
        </w:rPr>
        <w:t xml:space="preserve">تعدادی قطعات اسناد، حاوی صور تجمع و خرج ومواجب مالیاتهای اخذ شده از روستاها و قریه های مناطق مختلف مملکت آذربایجان در سال ۱۳۲۷ق است که به خط س نگاشته شده است؛ بی کا، بی تا[ ف :۳۳/۱ - ۲۰۹]</w:t>
      </w:r>
    </w:p>
    <w:p>
      <w:pPr>
        <w:pStyle w:val="BookText"/>
      </w:pPr>
      <w:r>
        <w:rPr>
          <w:rFonts w:ascii="IRNazanin" w:hAnsi="IRNazanin" w:eastAsia="IRNazanin" w:cs="IRNazanin"/>
          <w:lang w:bidi="fa-IR"/>
          <w:color w:val="111111"/>
          <w:sz w:val="28"/>
          <w:szCs w:val="28"/>
          <w:rtl/>
        </w:rPr>
        <w:t xml:space="preserve">۴۵ .تهران؛ مجلس؛ شماره نسخه: ۱۰۷۵۳</w:t>
      </w:r>
    </w:p>
    <w:p>
      <w:pPr>
        <w:pStyle w:val="BookText"/>
      </w:pPr>
      <w:r>
        <w:rPr>
          <w:rFonts w:ascii="IRNazanin" w:hAnsi="IRNazanin" w:eastAsia="IRNazanin" w:cs="IRNazanin"/>
          <w:lang w:bidi="fa-IR"/>
          <w:color w:val="111111"/>
          <w:sz w:val="28"/>
          <w:szCs w:val="28"/>
          <w:rtl/>
        </w:rPr>
        <w:t xml:space="preserve">تعدادی قطعات اسناد ،حاوی صورت جمع و خرج و مواجب و گمرک مناطق اردبیل ،مشکین ،ارومیه خوی و سلماس از مملکت آذربایجان (بدون ذکر تاریخ) است که به خط سـیاق نگاشته شده است؛ بی کا، بی تا [ف: ۳۳/۱ - ۲۰۹]</w:t>
      </w:r>
    </w:p>
    <w:p>
      <w:pPr>
        <w:pStyle w:val="BookText"/>
      </w:pPr>
      <w:r>
        <w:rPr>
          <w:rFonts w:ascii="IRNazanin" w:hAnsi="IRNazanin" w:eastAsia="IRNazanin" w:cs="IRNazanin"/>
          <w:lang w:bidi="fa-IR"/>
          <w:color w:val="111111"/>
          <w:sz w:val="28"/>
          <w:szCs w:val="28"/>
          <w:rtl/>
        </w:rPr>
        <w:t xml:space="preserve">۴۶. تهران؛ مجلس؛ شماره نسخه: ۱۰۷۵۴</w:t>
      </w:r>
    </w:p>
    <w:p>
      <w:pPr>
        <w:pStyle w:val="BookText"/>
      </w:pPr>
      <w:r>
        <w:rPr>
          <w:rFonts w:ascii="IRNazanin" w:hAnsi="IRNazanin" w:eastAsia="IRNazanin" w:cs="IRNazanin"/>
          <w:lang w:bidi="fa-IR"/>
          <w:color w:val="111111"/>
          <w:sz w:val="28"/>
          <w:szCs w:val="28"/>
          <w:rtl/>
        </w:rPr>
        <w:t xml:space="preserve">تعدادی قطعات اسناد، حاوی صورت جمع و خرج و مواجب مناطق سراب ،گرمرود ،چاراویماق، قراجه داغ ،اردبیل، مشكـین؛ تبریز و توابع آن از مملکت آذربایجان (بدون ذکر تاریخ )اسـت که به خط سیاق نگاشته شده است؛ بی کا، بی تا [ف: ۳۳/۱ - 209]</w:t>
      </w:r>
    </w:p>
    <w:p>
      <w:pPr>
        <w:pStyle w:val="BookText"/>
      </w:pPr>
      <w:r>
        <w:rPr>
          <w:rFonts w:ascii="IRNazanin" w:hAnsi="IRNazanin" w:eastAsia="IRNazanin" w:cs="IRNazanin"/>
          <w:lang w:bidi="fa-IR"/>
          <w:color w:val="111111"/>
          <w:sz w:val="28"/>
          <w:szCs w:val="28"/>
          <w:rtl/>
        </w:rPr>
        <w:t xml:space="preserve">47.تهران؛مجلس؛ شماره نسخه: ۱۰۷۵۵</w:t>
      </w:r>
    </w:p>
    <w:p>
      <w:pPr>
        <w:pStyle w:val="BookText"/>
      </w:pPr>
      <w:r>
        <w:rPr>
          <w:rFonts w:ascii="IRNazanin" w:hAnsi="IRNazanin" w:eastAsia="IRNazanin" w:cs="IRNazanin"/>
          <w:lang w:bidi="fa-IR"/>
          <w:color w:val="111111"/>
          <w:sz w:val="28"/>
          <w:szCs w:val="28"/>
          <w:rtl/>
        </w:rPr>
        <w:t xml:space="preserve">تعدادی قطعات  اسناد، حاوی صورت جمع و خرج و مواجب و گمرک مناطق تابعه تبریز و خوی و سلماس در مملکت آذربایجان (بدون ذکر تاریخ ) است که به خط سیاق نگاشته شده  است؛بی کا، بی تا [ف: ۳۳/۱ - ۲۰۹]</w:t>
      </w:r>
    </w:p>
    <w:p>
      <w:pPr>
        <w:pStyle w:val="BookText"/>
      </w:pPr>
      <w:r>
        <w:rPr>
          <w:rFonts w:ascii="IRNazanin" w:hAnsi="IRNazanin" w:eastAsia="IRNazanin" w:cs="IRNazanin"/>
          <w:lang w:bidi="fa-IR"/>
          <w:color w:val="111111"/>
          <w:sz w:val="28"/>
          <w:szCs w:val="28"/>
          <w:rtl/>
        </w:rPr>
        <w:t xml:space="preserve">۴۸. تهران؛ مجلس؛ شماره نسخه: ۱۰۷۵۶</w:t>
      </w:r>
    </w:p>
    <w:p>
      <w:pPr>
        <w:pStyle w:val="BookText"/>
      </w:pPr>
      <w:r>
        <w:rPr>
          <w:rFonts w:ascii="IRNazanin" w:hAnsi="IRNazanin" w:eastAsia="IRNazanin" w:cs="IRNazanin"/>
          <w:lang w:bidi="fa-IR"/>
          <w:color w:val="111111"/>
          <w:sz w:val="28"/>
          <w:szCs w:val="28"/>
          <w:rtl/>
        </w:rPr>
        <w:t xml:space="preserve">تعدادی قطعات اسناد، حاوی صورت جمع و خرج و مواجب و گمرک شخصیت ها ،علما کارگزاران حکومتی مناطق مختلف مملکت آذربایجان (بدون ذکر تاریخ است) است که به خط سیاق نگاشته شده است؛ بی کا، بی تا [ف: ۳۳/۱ - ۲۰۹]</w:t>
      </w:r>
    </w:p>
    <w:p>
      <w:pPr>
        <w:pStyle w:val="BookText"/>
      </w:pPr>
      <w:r>
        <w:rPr>
          <w:rFonts w:ascii="IRNazanin" w:hAnsi="IRNazanin" w:eastAsia="IRNazanin" w:cs="IRNazanin"/>
          <w:lang w:bidi="fa-IR"/>
          <w:color w:val="111111"/>
          <w:sz w:val="28"/>
          <w:szCs w:val="28"/>
          <w:rtl/>
        </w:rPr>
        <w:t xml:space="preserve">۴۹. تهران؛ مجلس؛ شماره نسخه: ۱۰۷۵۷</w:t>
      </w:r>
    </w:p>
    <w:p>
      <w:pPr>
        <w:pStyle w:val="BookText"/>
      </w:pPr>
      <w:r>
        <w:rPr>
          <w:rFonts w:ascii="IRNazanin" w:hAnsi="IRNazanin" w:eastAsia="IRNazanin" w:cs="IRNazanin"/>
          <w:lang w:bidi="fa-IR"/>
          <w:color w:val="111111"/>
          <w:sz w:val="28"/>
          <w:szCs w:val="28"/>
          <w:rtl/>
        </w:rPr>
        <w:t xml:space="preserve">تعدادی قطعات  اسناد، حاوی برگ های ۱-۴۰ از مواجب و مقرری های مأموران و صاحب منصبان دولتی ابواب جمعی سرکار حضرت اشرف ارفع اسعد والا وليعهد دولت خاور مهد صاحب اختیار کل مملکت آذربایجان در قوی ئیل سال۱۳۱۲ق است که به خط سیاق نگاشته شده است؛ بی کا، بی تا [ف: ۳۳/۱ - ۲۰۹]</w:t>
      </w:r>
    </w:p>
    <w:p>
      <w:pPr>
        <w:pStyle w:val="BookText"/>
      </w:pPr>
      <w:r>
        <w:rPr>
          <w:rFonts w:ascii="IRNazanin" w:hAnsi="IRNazanin" w:eastAsia="IRNazanin" w:cs="IRNazanin"/>
          <w:lang w:bidi="fa-IR"/>
          <w:color w:val="111111"/>
          <w:sz w:val="28"/>
          <w:szCs w:val="28"/>
          <w:rtl/>
        </w:rPr>
        <w:t xml:space="preserve">۵۰. تهران؛ مجلس؛ شماره نسخه: ۱۰۷۵۸</w:t>
      </w:r>
    </w:p>
    <w:p>
      <w:pPr>
        <w:pStyle w:val="BookText"/>
      </w:pPr>
      <w:r>
        <w:rPr>
          <w:rFonts w:ascii="IRNazanin" w:hAnsi="IRNazanin" w:eastAsia="IRNazanin" w:cs="IRNazanin"/>
          <w:lang w:bidi="fa-IR"/>
          <w:color w:val="111111"/>
          <w:sz w:val="28"/>
          <w:szCs w:val="28"/>
          <w:rtl/>
        </w:rPr>
        <w:t xml:space="preserve">تعدادی قطعات اسناد، حاوی برگ های ۴۱-۸۰ از مواجب و  مقرری های ماموران و صاحب منصبان دولتی ابواب جمعی سر  کار حضرت اشرف ارفع اسعد والا وليعهد دولت خاور مهد صاحب اختیار کل مملکت آذربایجان در قوی ئیل سال ۱۳۱۲ق است که  به خط سیاق نگاشته شده است؛ بی کا؛ بی تا [ف ۳۳/۱ - ۲۱۰]</w:t>
      </w:r>
    </w:p>
    <w:p>
      <w:pPr>
        <w:pStyle w:val="BookText"/>
      </w:pPr>
      <w:r>
        <w:rPr>
          <w:rFonts w:ascii="IRNazanin" w:hAnsi="IRNazanin" w:eastAsia="IRNazanin" w:cs="IRNazanin"/>
          <w:lang w:bidi="fa-IR"/>
          <w:color w:val="111111"/>
          <w:sz w:val="28"/>
          <w:szCs w:val="28"/>
          <w:rtl/>
        </w:rPr>
        <w:t xml:space="preserve">۵۱. تهران؛ مجلس؛ شماره نسخه: ۱۰۷۵۹</w:t>
      </w:r>
    </w:p>
    <w:p>
      <w:pPr>
        <w:pStyle w:val="BookText"/>
      </w:pPr>
      <w:r>
        <w:rPr>
          <w:rFonts w:ascii="IRNazanin" w:hAnsi="IRNazanin" w:eastAsia="IRNazanin" w:cs="IRNazanin"/>
          <w:lang w:bidi="fa-IR"/>
          <w:color w:val="111111"/>
          <w:sz w:val="28"/>
          <w:szCs w:val="28"/>
          <w:rtl/>
        </w:rPr>
        <w:t xml:space="preserve">تعدادی قطعات  اسناد، حاوی برگ های ۸۱-۱۲۰ از مواجب و مقرری های مأموران و صاحب منصبان دولتی ابواب جمعی سرکار حضرت اشرف ارفع اسعد والا وليعهد دولت خاور مهد صاحب اختیار کل مملکت آذربایجان در قوی ئیل سال ۱۳۱۲ق است که به خط سیاق نگاشته شده است؛ بی کا، بی تا [ف: ۳۳/۱ - ۲۱۰]</w:t>
      </w:r>
    </w:p>
    <w:p>
      <w:pPr>
        <w:pStyle w:val="BookText"/>
      </w:pPr>
      <w:r>
        <w:rPr>
          <w:rFonts w:ascii="IRNazanin" w:hAnsi="IRNazanin" w:eastAsia="IRNazanin" w:cs="IRNazanin"/>
          <w:lang w:bidi="fa-IR"/>
          <w:color w:val="111111"/>
          <w:sz w:val="28"/>
          <w:szCs w:val="28"/>
          <w:rtl/>
        </w:rPr>
        <w:t xml:space="preserve">۵۲. تهران؛ مجلس؛ شماره نسخه: ۱۰۷۶۰</w:t>
      </w:r>
    </w:p>
    <w:p>
      <w:pPr>
        <w:pStyle w:val="BookText"/>
      </w:pPr>
      <w:r>
        <w:rPr>
          <w:rFonts w:ascii="IRNazanin" w:hAnsi="IRNazanin" w:eastAsia="IRNazanin" w:cs="IRNazanin"/>
          <w:lang w:bidi="fa-IR"/>
          <w:color w:val="111111"/>
          <w:sz w:val="28"/>
          <w:szCs w:val="28"/>
          <w:rtl/>
        </w:rPr>
        <w:t xml:space="preserve">تعدادی قطعات  اسناد، حاوی برگ های ۱۲۱-۱۶۰ از مواجب و مقرری های مأموران و صاحب منصبان دولتی ابواب جمعی سرکار حضرت اشرف ارفع اسعد والا وليعهد دولت خاور مهد صاحب اختیار کل مملکت آذربایجان در قوی ئیل سال ۱۳۱۲ق است که به خط سیاق نگاشته شده است؛ بی کا، بی تا؛ [ف: ۳۳/۱ - ۲۱۰]</w:t>
      </w:r>
    </w:p>
    <w:p>
      <w:pPr>
        <w:pStyle w:val="BookText"/>
      </w:pPr>
      <w:r>
        <w:rPr>
          <w:rFonts w:ascii="IRNazanin" w:hAnsi="IRNazanin" w:eastAsia="IRNazanin" w:cs="IRNazanin"/>
          <w:lang w:bidi="fa-IR"/>
          <w:color w:val="111111"/>
          <w:sz w:val="28"/>
          <w:szCs w:val="28"/>
          <w:rtl/>
        </w:rPr>
        <w:t xml:space="preserve">۵۳. تهران؛ مجلس؛ شماره نسخه: ۱۰۷۶۱</w:t>
      </w:r>
    </w:p>
    <w:p>
      <w:pPr>
        <w:pStyle w:val="BookText"/>
      </w:pPr>
      <w:r>
        <w:rPr>
          <w:rFonts w:ascii="IRNazanin" w:hAnsi="IRNazanin" w:eastAsia="IRNazanin" w:cs="IRNazanin"/>
          <w:lang w:bidi="fa-IR"/>
          <w:color w:val="111111"/>
          <w:sz w:val="28"/>
          <w:szCs w:val="28"/>
          <w:rtl/>
        </w:rPr>
        <w:t xml:space="preserve">تعدادی قطعات  اسناد، حاوی برگ های ۱۶۱-۲۰۰ از مواجب و مقرری های مأموران و صاحب منصبان دولتی ابواب جمعی سرکار حضرت اشرف ارفع اسعد والا وليعهد دولت خاور مهد صاحب اختیار کل مملکت آذربایجان در قوی ئیل سال ۱۳۱۲ق است که به خط سیاق نگاشته شده است؛بی کا، بی تا [ف: ۳۳/۱۸ - ۲۱۰]</w:t>
      </w:r>
    </w:p>
    <w:p>
      <w:pPr>
        <w:pStyle w:val="BookText"/>
      </w:pPr>
      <w:r>
        <w:rPr>
          <w:rFonts w:ascii="IRNazanin" w:hAnsi="IRNazanin" w:eastAsia="IRNazanin" w:cs="IRNazanin"/>
          <w:lang w:bidi="fa-IR"/>
          <w:color w:val="111111"/>
          <w:sz w:val="28"/>
          <w:szCs w:val="28"/>
          <w:rtl/>
        </w:rPr>
        <w:t xml:space="preserve">۵۴. تهران؛ مجلس؛ شماره نسخه: ۱۰۷۶۳</w:t>
      </w:r>
    </w:p>
    <w:p>
      <w:pPr>
        <w:pStyle w:val="BookText"/>
      </w:pPr>
      <w:r>
        <w:rPr>
          <w:rFonts w:ascii="IRNazanin" w:hAnsi="IRNazanin" w:eastAsia="IRNazanin" w:cs="IRNazanin"/>
          <w:lang w:bidi="fa-IR"/>
          <w:color w:val="111111"/>
          <w:sz w:val="28"/>
          <w:szCs w:val="28"/>
          <w:rtl/>
        </w:rPr>
        <w:t xml:space="preserve">تعدادی قطعات اسناد، حاوی برگ های ۲۴۱-۲۸۰ از مواجب و مقرری های مأموران و صاحب منصبان دولتی ابواب جمعی سر  کار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اشرف ارفع اسعد والا وليعهد دولت خاور مهد صاحب اختیار کل مملکت آذربایجان در قوی ئیل سال ۱۳۱۲ق است به خط سیاق نگاشته شده است؛ بی کا، بی تا [ف: ۳۳/۱ - ۲۱۰]</w:t>
      </w:r>
    </w:p>
    <w:p>
      <w:pPr>
        <w:pStyle w:val="BookText"/>
      </w:pPr>
      <w:r>
        <w:rPr>
          <w:rFonts w:ascii="IRNazanin" w:hAnsi="IRNazanin" w:eastAsia="IRNazanin" w:cs="IRNazanin"/>
          <w:lang w:bidi="fa-IR"/>
          <w:color w:val="111111"/>
          <w:sz w:val="28"/>
          <w:szCs w:val="28"/>
          <w:rtl/>
        </w:rPr>
        <w:t xml:space="preserve">۵۵. تهران؛ مجلس؛ شماره نسخه: ۱۰۷۶۴</w:t>
      </w:r>
    </w:p>
    <w:p>
      <w:pPr>
        <w:pStyle w:val="BookText"/>
      </w:pPr>
      <w:r>
        <w:rPr>
          <w:rFonts w:ascii="IRNazanin" w:hAnsi="IRNazanin" w:eastAsia="IRNazanin" w:cs="IRNazanin"/>
          <w:lang w:bidi="fa-IR"/>
          <w:color w:val="111111"/>
          <w:sz w:val="28"/>
          <w:szCs w:val="28"/>
          <w:rtl/>
        </w:rPr>
        <w:t xml:space="preserve">تعدادی قطعات  اسناد، حاوی برگ های ۲۸۱-۳۲۰ از مواجب و مقرری های مأموران و صاحب منصبان دولتی ابواب جمعی سرکار حضرت اشرف ارفع اسعد والا وليعهد دولت خاور مهد صاحب اختیار کل مملکت آذربایجان در قوی ئیل سال ۱۳۱۲ق است که به خط سیاق نگاشته شده است؛ بی کا، بی تا [ف: ۳۳/۱ - ۲۱۰]</w:t>
      </w:r>
    </w:p>
    <w:p>
      <w:pPr>
        <w:pStyle w:val="BookText"/>
      </w:pPr>
      <w:r>
        <w:rPr>
          <w:rFonts w:ascii="IRNazanin" w:hAnsi="IRNazanin" w:eastAsia="IRNazanin" w:cs="IRNazanin"/>
          <w:lang w:bidi="fa-IR"/>
          <w:color w:val="111111"/>
          <w:sz w:val="28"/>
          <w:szCs w:val="28"/>
          <w:rtl/>
        </w:rPr>
        <w:t xml:space="preserve">۵۶. تهران؛ مجلس؛ شماره نسخه: ۱۰۷۶۵</w:t>
      </w:r>
    </w:p>
    <w:p>
      <w:pPr>
        <w:pStyle w:val="BookText"/>
      </w:pPr>
      <w:r>
        <w:rPr>
          <w:rFonts w:ascii="IRNazanin" w:hAnsi="IRNazanin" w:eastAsia="IRNazanin" w:cs="IRNazanin"/>
          <w:lang w:bidi="fa-IR"/>
          <w:color w:val="111111"/>
          <w:sz w:val="28"/>
          <w:szCs w:val="28"/>
          <w:rtl/>
        </w:rPr>
        <w:t xml:space="preserve">تعدادی قطعات اسناد، حاوی برگ های ۳۲۱- ۳۶۰ از مواجب مقرری های ماموران و صاحب منصبان دولتی ابواب جمعی سرکار حضرت اشرف ارفع اسعد والا وليعهد دولت خاور مهد صاحب اختیار کل مملکت آذربایجان در قوی ئیل سال ۱۳۱۲ق است که به خط سیاق نگاشته شده است؛ بی کا، بی تا [ف: ۳۳/۱ - ۲۱۰]</w:t>
      </w:r>
    </w:p>
    <w:p>
      <w:pPr>
        <w:pStyle w:val="BookText"/>
      </w:pPr>
      <w:r>
        <w:rPr>
          <w:rFonts w:ascii="IRNazanin" w:hAnsi="IRNazanin" w:eastAsia="IRNazanin" w:cs="IRNazanin"/>
          <w:lang w:bidi="fa-IR"/>
          <w:color w:val="111111"/>
          <w:sz w:val="28"/>
          <w:szCs w:val="28"/>
          <w:rtl/>
        </w:rPr>
        <w:t xml:space="preserve">۵۷. تهران؛ مجلس؛ شماره نسخه: ۱۰۷۶۶</w:t>
      </w:r>
    </w:p>
    <w:p>
      <w:pPr>
        <w:pStyle w:val="BookText"/>
      </w:pPr>
      <w:r>
        <w:rPr>
          <w:rFonts w:ascii="IRNazanin" w:hAnsi="IRNazanin" w:eastAsia="IRNazanin" w:cs="IRNazanin"/>
          <w:lang w:bidi="fa-IR"/>
          <w:color w:val="111111"/>
          <w:sz w:val="28"/>
          <w:szCs w:val="28"/>
          <w:rtl/>
        </w:rPr>
        <w:t xml:space="preserve">تعدادی قطعات اسناد، حاوی برگ های ۲۶۱-۳۷۴ از مواجب مقرری های ماموران و صاحب منصبان دولتی ابواب جعی سرکار حضرت اشرف ارفع اسعد والا وليعهد دولت خاور مهد صاحب اختیار کل مملکت آذربایجان در قوی ئیل ۱۳۱۲ق است که  به خط سياق نگاشته شده است؛بی کا، بی تا [ف: ۳۳/۱۸ -۲۱۰]</w:t>
      </w:r>
    </w:p>
    <w:p>
      <w:pPr>
        <w:pStyle w:val="BookText"/>
      </w:pPr>
      <w:r>
        <w:rPr>
          <w:rFonts w:ascii="IRNazanin" w:hAnsi="IRNazanin" w:eastAsia="IRNazanin" w:cs="IRNazanin"/>
          <w:lang w:bidi="fa-IR"/>
          <w:color w:val="111111"/>
          <w:sz w:val="28"/>
          <w:szCs w:val="28"/>
          <w:rtl/>
        </w:rPr>
        <w:t xml:space="preserve">۵۸. تهران؛ مجلس؛ شماره نسخه: ۱۰۷۶۷</w:t>
      </w:r>
    </w:p>
    <w:p>
      <w:pPr>
        <w:pStyle w:val="BookText"/>
      </w:pPr>
      <w:r>
        <w:rPr>
          <w:rFonts w:ascii="IRNazanin" w:hAnsi="IRNazanin" w:eastAsia="IRNazanin" w:cs="IRNazanin"/>
          <w:lang w:bidi="fa-IR"/>
          <w:color w:val="111111"/>
          <w:sz w:val="28"/>
          <w:szCs w:val="28"/>
          <w:rtl/>
        </w:rPr>
        <w:t xml:space="preserve">تعدادی قطعات اسناد، حاوی جمع و خرج های مستوفی مملک آذربایجان در قوی ئیل سال ۱۳۱۲ق است که به خط سیاق نگاشته  شده است؛ بی کا، بی تا [ف: ۳۳/۱ - ۲۱۱]</w:t>
      </w:r>
    </w:p>
    <w:p>
      <w:pPr>
        <w:pStyle w:val="BookText"/>
      </w:pPr>
      <w:r>
        <w:rPr>
          <w:rFonts w:ascii="IRNazanin" w:hAnsi="IRNazanin" w:eastAsia="IRNazanin" w:cs="IRNazanin"/>
          <w:lang w:bidi="fa-IR"/>
          <w:color w:val="111111"/>
          <w:sz w:val="28"/>
          <w:szCs w:val="28"/>
          <w:rtl/>
        </w:rPr>
        <w:t xml:space="preserve">۵۹. تهران؛ مجلس؛ شماره نسخه: ۱۰۷۶۸</w:t>
      </w:r>
    </w:p>
    <w:p>
      <w:pPr>
        <w:pStyle w:val="BookText"/>
      </w:pPr>
      <w:r>
        <w:rPr>
          <w:rFonts w:ascii="IRNazanin" w:hAnsi="IRNazanin" w:eastAsia="IRNazanin" w:cs="IRNazanin"/>
          <w:lang w:bidi="fa-IR"/>
          <w:color w:val="111111"/>
          <w:sz w:val="28"/>
          <w:szCs w:val="28"/>
          <w:rtl/>
        </w:rPr>
        <w:t xml:space="preserve">تعداد ۴۰ قطعه (۱-۴۰) اسناد از گزارشات دولتی درآمد و مالیات های اشخاص در مناطق مختلف آذربایجان و مربوط به تاریخ سال ۱۳۱۱ق است که به خط سیاق نگاشته شده اسـت.</w:t>
      </w:r>
    </w:p>
    <w:p>
      <w:pPr>
        <w:pStyle w:val="BookText"/>
      </w:pPr>
      <w:r>
        <w:rPr>
          <w:rFonts w:ascii="IRNazanin" w:hAnsi="IRNazanin" w:eastAsia="IRNazanin" w:cs="IRNazanin"/>
          <w:lang w:bidi="fa-IR"/>
          <w:color w:val="111111"/>
          <w:sz w:val="28"/>
          <w:szCs w:val="28"/>
          <w:rtl/>
        </w:rPr>
        <w:t xml:space="preserve">(بخش اول) بی کا، بی تا [ف: ۳۳/۱ - ۲۱۱]</w:t>
      </w:r>
    </w:p>
    <w:p>
      <w:pPr>
        <w:pStyle w:val="BookText"/>
      </w:pPr>
      <w:r>
        <w:rPr>
          <w:rFonts w:ascii="IRNazanin" w:hAnsi="IRNazanin" w:eastAsia="IRNazanin" w:cs="IRNazanin"/>
          <w:lang w:bidi="fa-IR"/>
          <w:color w:val="111111"/>
          <w:sz w:val="28"/>
          <w:szCs w:val="28"/>
          <w:rtl/>
        </w:rPr>
        <w:t xml:space="preserve">۶۰. تهران؛ مجلس؛ شماره نسخه: ۱۰۷۶۹</w:t>
      </w:r>
    </w:p>
    <w:p>
      <w:pPr>
        <w:pStyle w:val="BookText"/>
      </w:pPr>
      <w:r>
        <w:rPr>
          <w:rFonts w:ascii="IRNazanin" w:hAnsi="IRNazanin" w:eastAsia="IRNazanin" w:cs="IRNazanin"/>
          <w:lang w:bidi="fa-IR"/>
          <w:color w:val="111111"/>
          <w:sz w:val="28"/>
          <w:szCs w:val="28"/>
          <w:rtl/>
        </w:rPr>
        <w:t xml:space="preserve">تعداد ۴۰ قطعه اسناد (۴۱-۸۰) از گزارشات دولتی از درآمد و مالیات های اشخاص در مناطق مختلف آذربایجان و مربوط به تاریخ سال ۱۳۱۱ق است که به خط سیاق نگاشته شده اسـت. (بخش دوم)؛ بی کا، بی تا [ف: ۳۳/۱ - ۲۱۱]</w:t>
      </w:r>
    </w:p>
    <w:p>
      <w:pPr>
        <w:pStyle w:val="BookText"/>
      </w:pPr>
      <w:r>
        <w:rPr>
          <w:rFonts w:ascii="IRNazanin" w:hAnsi="IRNazanin" w:eastAsia="IRNazanin" w:cs="IRNazanin"/>
          <w:lang w:bidi="fa-IR"/>
          <w:color w:val="111111"/>
          <w:sz w:val="28"/>
          <w:szCs w:val="28"/>
          <w:rtl/>
        </w:rPr>
        <w:t xml:space="preserve">۶۱. تهران؛ مجلس؛ شماره نسخه: ۱۰۷۷۰</w:t>
      </w:r>
    </w:p>
    <w:p>
      <w:pPr>
        <w:pStyle w:val="BookText"/>
      </w:pPr>
      <w:r>
        <w:rPr>
          <w:rFonts w:ascii="IRNazanin" w:hAnsi="IRNazanin" w:eastAsia="IRNazanin" w:cs="IRNazanin"/>
          <w:lang w:bidi="fa-IR"/>
          <w:color w:val="111111"/>
          <w:sz w:val="28"/>
          <w:szCs w:val="28"/>
          <w:rtl/>
        </w:rPr>
        <w:t xml:space="preserve">تعدادی قطعات اسناد حاوی صورت جمع و خرج مواجب و مستمری امراء ،خوانی، قشون دولت و ماموران حکومت در مملکت آذربایجان (بدون ذکر تاریخ) است که به خط  سیاق نگاشته شده است؛ بی کا، بی تا[ ف: ۳۳/۱ - ۲۱۱]</w:t>
      </w:r>
    </w:p>
    <w:p>
      <w:pPr>
        <w:pStyle w:val="BookText"/>
      </w:pPr>
      <w:r>
        <w:rPr>
          <w:rFonts w:ascii="IRNazanin" w:hAnsi="IRNazanin" w:eastAsia="IRNazanin" w:cs="IRNazanin"/>
          <w:lang w:bidi="fa-IR"/>
          <w:color w:val="111111"/>
          <w:sz w:val="28"/>
          <w:szCs w:val="28"/>
          <w:rtl/>
        </w:rPr>
        <w:t xml:space="preserve">۶۲. تهران؛ مجلس؛ شماره نسخه: ۱۰۷۷۱</w:t>
      </w:r>
    </w:p>
    <w:p>
      <w:pPr>
        <w:pStyle w:val="BookText"/>
      </w:pPr>
      <w:r>
        <w:rPr>
          <w:rFonts w:ascii="IRNazanin" w:hAnsi="IRNazanin" w:eastAsia="IRNazanin" w:cs="IRNazanin"/>
          <w:lang w:bidi="fa-IR"/>
          <w:color w:val="111111"/>
          <w:sz w:val="28"/>
          <w:szCs w:val="28"/>
          <w:rtl/>
        </w:rPr>
        <w:t xml:space="preserve">سری اول تعدادی قطعات  اسناد، حاوی صورت جمع و خرج مواجب و مستمری قشون دولت و ماموران حکومت در مملکـت  آذربایجان (بدون ذکر تاریخ) است که به خط سیاق نگاشته شده  است؛ بی کا، بی تا [ف: ۳۳/۱ - ۲۱۱]</w:t>
      </w:r>
    </w:p>
    <w:p>
      <w:pPr>
        <w:pStyle w:val="BookText"/>
      </w:pPr>
      <w:r>
        <w:rPr>
          <w:rFonts w:ascii="IRNazanin" w:hAnsi="IRNazanin" w:eastAsia="IRNazanin" w:cs="IRNazanin"/>
          <w:lang w:bidi="fa-IR"/>
          <w:color w:val="111111"/>
          <w:sz w:val="28"/>
          <w:szCs w:val="28"/>
          <w:rtl/>
        </w:rPr>
        <w:t xml:space="preserve">۶۳. تهران؛ مجلس؛ شماره نسخه: ۱۰۷۷۲</w:t>
      </w:r>
    </w:p>
    <w:p>
      <w:pPr>
        <w:pStyle w:val="BookText"/>
      </w:pPr>
      <w:r>
        <w:rPr>
          <w:rFonts w:ascii="IRNazanin" w:hAnsi="IRNazanin" w:eastAsia="IRNazanin" w:cs="IRNazanin"/>
          <w:lang w:bidi="fa-IR"/>
          <w:color w:val="111111"/>
          <w:sz w:val="28"/>
          <w:szCs w:val="28"/>
          <w:rtl/>
        </w:rPr>
        <w:t xml:space="preserve">سری دوم از نسخه پیشین؛ بی کا، بی تا [ف: ۳۳/۱ - ۲۱۱]</w:t>
      </w:r>
    </w:p>
    <w:p>
      <w:pPr>
        <w:pStyle w:val="BookText"/>
      </w:pPr>
      <w:r>
        <w:rPr>
          <w:rFonts w:ascii="IRNazanin" w:hAnsi="IRNazanin" w:eastAsia="IRNazanin" w:cs="IRNazanin"/>
          <w:lang w:bidi="fa-IR"/>
          <w:color w:val="111111"/>
          <w:sz w:val="28"/>
          <w:szCs w:val="28"/>
          <w:rtl/>
        </w:rPr>
        <w:t xml:space="preserve">۶۴. تهران؛ مجلس؛ شماره نسخه: ۱۰۷۷۳</w:t>
      </w:r>
    </w:p>
    <w:p>
      <w:pPr>
        <w:pStyle w:val="BookText"/>
      </w:pPr>
      <w:r>
        <w:rPr>
          <w:rFonts w:ascii="IRNazanin" w:hAnsi="IRNazanin" w:eastAsia="IRNazanin" w:cs="IRNazanin"/>
          <w:lang w:bidi="fa-IR"/>
          <w:color w:val="111111"/>
          <w:sz w:val="28"/>
          <w:szCs w:val="28"/>
          <w:rtl/>
        </w:rPr>
        <w:t xml:space="preserve">سری سوم از نسخه پیشین؛ بی کا، بی تا [ف: ۳۳/۱-۲۱۱]</w:t>
      </w:r>
    </w:p>
    <w:p>
      <w:pPr>
        <w:pStyle w:val="BookText"/>
      </w:pPr>
      <w:r>
        <w:rPr>
          <w:rFonts w:ascii="IRNazanin" w:hAnsi="IRNazanin" w:eastAsia="IRNazanin" w:cs="IRNazanin"/>
          <w:lang w:bidi="fa-IR"/>
          <w:color w:val="111111"/>
          <w:sz w:val="28"/>
          <w:szCs w:val="28"/>
          <w:rtl/>
        </w:rPr>
        <w:t xml:space="preserve">۶۵. تهران؛ مجلس؛ شماره نسخه: ۱۰۷۷۴</w:t>
      </w:r>
    </w:p>
    <w:p>
      <w:pPr>
        <w:pStyle w:val="BookText"/>
      </w:pPr>
      <w:r>
        <w:rPr>
          <w:rFonts w:ascii="IRNazanin" w:hAnsi="IRNazanin" w:eastAsia="IRNazanin" w:cs="IRNazanin"/>
          <w:lang w:bidi="fa-IR"/>
          <w:color w:val="111111"/>
          <w:sz w:val="28"/>
          <w:szCs w:val="28"/>
          <w:rtl/>
        </w:rPr>
        <w:t xml:space="preserve">تعداد ۴۰ قطعه اسناد (گ ۲۴۱-۲۸۰) از گزارشات دولتی از در آمد و مالیات های اشخاص در مناطق مختلف آذربایجان و مربوط به تاریخ ۱۳۱۱ق است که به خط سیاق نگاشته شده است؛  بی کا، بی تا [ف: ۳۳/۱ - ۲۱۱]</w:t>
      </w:r>
    </w:p>
    <w:p>
      <w:pPr>
        <w:pStyle w:val="BookText"/>
      </w:pPr>
      <w:r>
        <w:rPr>
          <w:rFonts w:ascii="IRNazanin" w:hAnsi="IRNazanin" w:eastAsia="IRNazanin" w:cs="IRNazanin"/>
          <w:lang w:bidi="fa-IR"/>
          <w:color w:val="111111"/>
          <w:sz w:val="28"/>
          <w:szCs w:val="28"/>
          <w:rtl/>
        </w:rPr>
        <w:t xml:space="preserve">۶۶ .تهران؛ مجلس؛ شماره نسخه: ۱۰۷۷۵</w:t>
      </w:r>
    </w:p>
    <w:p>
      <w:pPr>
        <w:pStyle w:val="BookText"/>
      </w:pPr>
      <w:r>
        <w:rPr>
          <w:rFonts w:ascii="IRNazanin" w:hAnsi="IRNazanin" w:eastAsia="IRNazanin" w:cs="IRNazanin"/>
          <w:lang w:bidi="fa-IR"/>
          <w:color w:val="111111"/>
          <w:sz w:val="28"/>
          <w:szCs w:val="28"/>
          <w:rtl/>
        </w:rPr>
        <w:t xml:space="preserve">تعداد ۴۰ قطعه اسناد (گ ۲۸۱ - ۳۲۰ از گزارشات دولتی از  درآمد و مالیات های اشخاص در مناطق مختلف آذربایجان و مربوط به تاریخ سال ۱۳۱۱ق است که به خط سیاق نگاشته شده  است؛ بی کا، بی تا ؛مهر: «وزیر دفتر» (بیضی)، «صدر اعظم» (بيضى) [ف: ۳۳/۱ - ۲۱۱]</w:t>
      </w:r>
    </w:p>
    <w:p>
      <w:pPr>
        <w:pStyle w:val="BookText"/>
      </w:pPr>
      <w:r>
        <w:rPr>
          <w:rFonts w:ascii="IRNazanin" w:hAnsi="IRNazanin" w:eastAsia="IRNazanin" w:cs="IRNazanin"/>
          <w:lang w:bidi="fa-IR"/>
          <w:color w:val="111111"/>
          <w:sz w:val="28"/>
          <w:szCs w:val="28"/>
          <w:rtl/>
        </w:rPr>
        <w:t xml:space="preserve">۶۷. تهران؛ مجلس؛ شماره نسخه: ۱۰۷۷۶</w:t>
      </w:r>
    </w:p>
    <w:p>
      <w:pPr>
        <w:pStyle w:val="BookText"/>
      </w:pPr>
      <w:r>
        <w:rPr>
          <w:rFonts w:ascii="IRNazanin" w:hAnsi="IRNazanin" w:eastAsia="IRNazanin" w:cs="IRNazanin"/>
          <w:lang w:bidi="fa-IR"/>
          <w:color w:val="111111"/>
          <w:sz w:val="28"/>
          <w:szCs w:val="28"/>
          <w:rtl/>
        </w:rPr>
        <w:t xml:space="preserve">تعدادی قطعات  اسناد، حاوی صورت جمع و خرج مالیات مناطق تبریز و توابع آن در مملکت آذربایجان (بدون ذکر تاریخ) است که خط سیاق نگاشته شده است؛ بی کا، بی تا [ف ۳۳/۱ - ۲۱۱]</w:t>
      </w:r>
    </w:p>
    <w:p>
      <w:pPr>
        <w:pStyle w:val="BookText"/>
      </w:pPr>
      <w:r>
        <w:rPr>
          <w:rFonts w:ascii="IRNazanin" w:hAnsi="IRNazanin" w:eastAsia="IRNazanin" w:cs="IRNazanin"/>
          <w:lang w:bidi="fa-IR"/>
          <w:color w:val="111111"/>
          <w:sz w:val="28"/>
          <w:szCs w:val="28"/>
          <w:rtl/>
        </w:rPr>
        <w:t xml:space="preserve">۶۸. تهران؛ مجلس؛ شماره نسخه: ۱۰۷۷۷</w:t>
      </w:r>
    </w:p>
    <w:p>
      <w:pPr>
        <w:pStyle w:val="BookText"/>
      </w:pPr>
      <w:r>
        <w:rPr>
          <w:rFonts w:ascii="IRNazanin" w:hAnsi="IRNazanin" w:eastAsia="IRNazanin" w:cs="IRNazanin"/>
          <w:lang w:bidi="fa-IR"/>
          <w:color w:val="111111"/>
          <w:sz w:val="28"/>
          <w:szCs w:val="28"/>
          <w:rtl/>
        </w:rPr>
        <w:t xml:space="preserve">تعداد ۴۰ قطعه اسناد، (گ ۳۴۱-۳۸۰ )از گزارشات دولتی از درآمد و مالیات های اشخاص در مناطق مختلف آذربایجان و مربوط به تاریخ سال ۱۳۱۱ق است که به خط سیاق نگاشته شده است؛ بی کا، بی تا [ف: ۳۳/۱ - ۲۱۲]</w:t>
      </w:r>
    </w:p>
    <w:p>
      <w:pPr>
        <w:pStyle w:val="BookText"/>
      </w:pPr>
      <w:r>
        <w:rPr>
          <w:rFonts w:ascii="IRNazanin" w:hAnsi="IRNazanin" w:eastAsia="IRNazanin" w:cs="IRNazanin"/>
          <w:lang w:bidi="fa-IR"/>
          <w:color w:val="111111"/>
          <w:sz w:val="28"/>
          <w:szCs w:val="28"/>
          <w:rtl/>
        </w:rPr>
        <w:t xml:space="preserve">۶۹. تهران؛ مجلس؛ شماره نسخه: ۱۰۷۷۸</w:t>
      </w:r>
    </w:p>
    <w:p>
      <w:pPr>
        <w:pStyle w:val="BookText"/>
      </w:pPr>
      <w:r>
        <w:rPr>
          <w:rFonts w:ascii="IRNazanin" w:hAnsi="IRNazanin" w:eastAsia="IRNazanin" w:cs="IRNazanin"/>
          <w:lang w:bidi="fa-IR"/>
          <w:color w:val="111111"/>
          <w:sz w:val="28"/>
          <w:szCs w:val="28"/>
          <w:rtl/>
        </w:rPr>
        <w:t xml:space="preserve">تعدادی چند برگ حاوی جمع و خرج متوفى سنه لوب ئیل ۱۳۱۱ مملکت آذربایجان است که به خط سیاق نگاشته شده است؛ بی کا، بی تا [ف: ۳۳/۱ - ۲۱۲]</w:t>
      </w:r>
    </w:p>
    <w:p>
      <w:pPr>
        <w:pStyle w:val="BookText"/>
      </w:pPr>
      <w:r>
        <w:rPr>
          <w:rFonts w:ascii="IRNazanin" w:hAnsi="IRNazanin" w:eastAsia="IRNazanin" w:cs="IRNazanin"/>
          <w:lang w:bidi="fa-IR"/>
          <w:color w:val="111111"/>
          <w:sz w:val="28"/>
          <w:szCs w:val="28"/>
          <w:rtl/>
        </w:rPr>
        <w:t xml:space="preserve">۷۰. تهران؛ مجلس؛ شماره نسخه: ۱۰۷۷۹</w:t>
      </w:r>
    </w:p>
    <w:p>
      <w:pPr>
        <w:pStyle w:val="BookText"/>
      </w:pPr>
      <w:r>
        <w:rPr>
          <w:rFonts w:ascii="IRNazanin" w:hAnsi="IRNazanin" w:eastAsia="IRNazanin" w:cs="IRNazanin"/>
          <w:lang w:bidi="fa-IR"/>
          <w:color w:val="111111"/>
          <w:sz w:val="28"/>
          <w:szCs w:val="28"/>
          <w:rtl/>
        </w:rPr>
        <w:t xml:space="preserve">تعدادی قطعات  اسناد، حاوی صورت قبض و اقباض مواجب دولتی شخصیت ها در تاریخ های مختلف در منطقه آذربایجان است که به خط سیاق نگاشته شده است؛ بی کا، بی تا [ف: ۳۳/۱ -  212]</w:t>
      </w:r>
    </w:p>
    <w:p>
      <w:pPr>
        <w:pStyle w:val="BookText"/>
      </w:pPr>
      <w:r>
        <w:rPr>
          <w:rFonts w:ascii="IRNazanin" w:hAnsi="IRNazanin" w:eastAsia="IRNazanin" w:cs="IRNazanin"/>
          <w:lang w:bidi="fa-IR"/>
          <w:color w:val="111111"/>
          <w:sz w:val="28"/>
          <w:szCs w:val="28"/>
          <w:rtl/>
        </w:rPr>
        <w:t xml:space="preserve">۷۱. تهران؛ مجلس؛ شماره نسخه: ۱۰۷۸۰</w:t>
      </w:r>
    </w:p>
    <w:p>
      <w:pPr>
        <w:pStyle w:val="BookText"/>
      </w:pPr>
      <w:r>
        <w:rPr>
          <w:rFonts w:ascii="IRNazanin" w:hAnsi="IRNazanin" w:eastAsia="IRNazanin" w:cs="IRNazanin"/>
          <w:lang w:bidi="fa-IR"/>
          <w:color w:val="111111"/>
          <w:sz w:val="28"/>
          <w:szCs w:val="28"/>
          <w:rtl/>
        </w:rPr>
        <w:t xml:space="preserve">کتابچه حقوق محلی قشون مطابق دستور العمل سنواتی است که در ۲۴۵ ص (با سربرگ وزارت جنگ) و بر اساس عناوین ولایات (از آذربایجان تا فارس و بنادر ) متعلق به سال ۱۳۳۷هـ است که به خط سیاق نگاشته شده است؛ بی کا، بی تا [ف: ۳۳/۱ -۲۱۲]</w:t>
      </w:r>
    </w:p>
    <w:p>
      <w:pPr>
        <w:pStyle w:val="BookText"/>
      </w:pPr>
      <w:r>
        <w:rPr>
          <w:rFonts w:ascii="IRNazanin" w:hAnsi="IRNazanin" w:eastAsia="IRNazanin" w:cs="IRNazanin"/>
          <w:lang w:bidi="fa-IR"/>
          <w:color w:val="111111"/>
          <w:sz w:val="28"/>
          <w:szCs w:val="28"/>
          <w:rtl/>
        </w:rPr>
        <w:t xml:space="preserve">۷۲. تهران؛ مجلس؛ شماره نسخه: ۱۰۷۸۱</w:t>
      </w:r>
    </w:p>
    <w:p>
      <w:pPr>
        <w:pStyle w:val="BookText"/>
      </w:pPr>
      <w:r>
        <w:rPr>
          <w:rFonts w:ascii="IRNazanin" w:hAnsi="IRNazanin" w:eastAsia="IRNazanin" w:cs="IRNazanin"/>
          <w:lang w:bidi="fa-IR"/>
          <w:color w:val="111111"/>
          <w:sz w:val="28"/>
          <w:szCs w:val="28"/>
          <w:rtl/>
        </w:rPr>
        <w:t xml:space="preserve">تعدادی قطعات اسناد حاوی مستمری شخصیت های مهم دولتی و محلی همراه با رسید دریافت و مهر و امضای آنها در سال ۱۳۲۹ق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به خط سیاق نگاشته شده است؛ بی کا، بی تا [ف: 1/ 33- 212]</w:t>
      </w:r>
    </w:p>
    <w:p>
      <w:pPr>
        <w:pStyle w:val="BookText"/>
      </w:pPr>
      <w:r>
        <w:rPr>
          <w:rFonts w:ascii="IRNazanin" w:hAnsi="IRNazanin" w:eastAsia="IRNazanin" w:cs="IRNazanin"/>
          <w:lang w:bidi="fa-IR"/>
          <w:color w:val="111111"/>
          <w:sz w:val="28"/>
          <w:szCs w:val="28"/>
          <w:rtl/>
        </w:rPr>
        <w:t xml:space="preserve">۷۳. تهران؛ مجلس؛ شماره نسخه: ۱۰۷۸۲</w:t>
      </w:r>
    </w:p>
    <w:p>
      <w:pPr>
        <w:pStyle w:val="BookText"/>
      </w:pPr>
      <w:r>
        <w:rPr>
          <w:rFonts w:ascii="IRNazanin" w:hAnsi="IRNazanin" w:eastAsia="IRNazanin" w:cs="IRNazanin"/>
          <w:lang w:bidi="fa-IR"/>
          <w:color w:val="111111"/>
          <w:sz w:val="28"/>
          <w:szCs w:val="28"/>
          <w:rtl/>
        </w:rPr>
        <w:t xml:space="preserve">تعدادی قطعات  اسناد، حاوی مستمری دیوانی برخی شخصیتهای مهم دولتی و محلی و نیز صورت مصارف مخارج مفصله در تاریخ های متعدد است که به خط سیاق نگار شده است؛ بی کا بیتا[ ف: ۳۳/۱ - ۲۱۲]</w:t>
      </w:r>
    </w:p>
    <w:p>
      <w:pPr>
        <w:pStyle w:val="BookText"/>
      </w:pPr>
      <w:r>
        <w:rPr>
          <w:rFonts w:ascii="IRNazanin" w:hAnsi="IRNazanin" w:eastAsia="IRNazanin" w:cs="IRNazanin"/>
          <w:lang w:bidi="fa-IR"/>
          <w:color w:val="111111"/>
          <w:sz w:val="28"/>
          <w:szCs w:val="28"/>
          <w:rtl/>
        </w:rPr>
        <w:t xml:space="preserve">۷۴. تهران؛ مجلس؛ شماره نسخه: ۱۰۷۸۳</w:t>
      </w:r>
    </w:p>
    <w:p>
      <w:pPr>
        <w:pStyle w:val="BookText"/>
      </w:pPr>
      <w:r>
        <w:rPr>
          <w:rFonts w:ascii="IRNazanin" w:hAnsi="IRNazanin" w:eastAsia="IRNazanin" w:cs="IRNazanin"/>
          <w:lang w:bidi="fa-IR"/>
          <w:color w:val="111111"/>
          <w:sz w:val="28"/>
          <w:szCs w:val="28"/>
          <w:rtl/>
        </w:rPr>
        <w:t xml:space="preserve">تعدادی قطعات  اسناد، حاوی مستمری ورثه شخصیت های مـهم دولتی و محلی مرحوم شده همراه با رسید دریافت و مهر و امضا آنها در سال ۱۳۲۲ق است که به خط سیاق نگاشته شده اسـت بی کا، بی تا [ف: ۳۳/۱ - ۲۱۲]</w:t>
      </w:r>
    </w:p>
    <w:p>
      <w:pPr>
        <w:pStyle w:val="BookText"/>
      </w:pPr>
      <w:r>
        <w:rPr>
          <w:rFonts w:ascii="IRNazanin" w:hAnsi="IRNazanin" w:eastAsia="IRNazanin" w:cs="IRNazanin"/>
          <w:lang w:bidi="fa-IR"/>
          <w:color w:val="111111"/>
          <w:sz w:val="28"/>
          <w:szCs w:val="28"/>
          <w:rtl/>
        </w:rPr>
        <w:t xml:space="preserve">۷۵. تهران؛ مجلس؛ شماره نسخه: ۱۰۷۸۴</w:t>
      </w:r>
    </w:p>
    <w:p>
      <w:pPr>
        <w:pStyle w:val="BookText"/>
      </w:pPr>
      <w:r>
        <w:rPr>
          <w:rFonts w:ascii="IRNazanin" w:hAnsi="IRNazanin" w:eastAsia="IRNazanin" w:cs="IRNazanin"/>
          <w:lang w:bidi="fa-IR"/>
          <w:color w:val="111111"/>
          <w:sz w:val="28"/>
          <w:szCs w:val="28"/>
          <w:rtl/>
        </w:rPr>
        <w:t xml:space="preserve">تعدادی قطعات اسناد حاوی مستمری شخصیتهای مهم دینی مذهبی و محلی همراه با رسید دریافت و مهر و امضای آنها (مانند اعتماد الاسلام، شیخ الاسلام، حجة الاسلام و شریعتمدار) در سال ۱۳۲۲هـ است که به خط سیاق نگاشته شده است؛ بی کا بی تا [1/ 33- 212]</w:t>
      </w:r>
    </w:p>
    <w:p>
      <w:pPr>
        <w:pStyle w:val="BookText"/>
      </w:pPr>
      <w:r>
        <w:rPr>
          <w:rFonts w:ascii="IRNazanin" w:hAnsi="IRNazanin" w:eastAsia="IRNazanin" w:cs="IRNazanin"/>
          <w:lang w:bidi="fa-IR"/>
          <w:color w:val="111111"/>
          <w:sz w:val="28"/>
          <w:szCs w:val="28"/>
          <w:rtl/>
        </w:rPr>
        <w:t xml:space="preserve">۷۶. تهران؛ مجلس؛ شماره نسخه: ۱۰۷۸۵</w:t>
      </w:r>
    </w:p>
    <w:p>
      <w:pPr>
        <w:pStyle w:val="BookText"/>
      </w:pPr>
      <w:r>
        <w:rPr>
          <w:rFonts w:ascii="IRNazanin" w:hAnsi="IRNazanin" w:eastAsia="IRNazanin" w:cs="IRNazanin"/>
          <w:lang w:bidi="fa-IR"/>
          <w:color w:val="111111"/>
          <w:sz w:val="28"/>
          <w:szCs w:val="28"/>
          <w:rtl/>
        </w:rPr>
        <w:t xml:space="preserve">تعدادی قطعات  اسناد، حاوی مستمری ورثه شخصیتهای مـهم دولتی و محلی مرحوم شده همراه با رسید دریافت و مهر و امضای آنها در سال ۱۳۲۲ق است که به خط سیاق نگاشته شده اسـت؛ بی کا، بی تا [ف: ۳۳/۱ - ۲۱۲]</w:t>
      </w:r>
    </w:p>
    <w:p>
      <w:pPr>
        <w:pStyle w:val="BookText"/>
      </w:pPr>
      <w:r>
        <w:rPr>
          <w:rFonts w:ascii="IRNazanin" w:hAnsi="IRNazanin" w:eastAsia="IRNazanin" w:cs="IRNazanin"/>
          <w:lang w:bidi="fa-IR"/>
          <w:color w:val="111111"/>
          <w:sz w:val="28"/>
          <w:szCs w:val="28"/>
          <w:rtl/>
        </w:rPr>
        <w:t xml:space="preserve">۷۷. تهران؛ مجلس؛ شماره نسخه: ۱۰۷۸۶</w:t>
      </w:r>
    </w:p>
    <w:p>
      <w:pPr>
        <w:pStyle w:val="BookText"/>
      </w:pPr>
      <w:r>
        <w:rPr>
          <w:rFonts w:ascii="IRNazanin" w:hAnsi="IRNazanin" w:eastAsia="IRNazanin" w:cs="IRNazanin"/>
          <w:lang w:bidi="fa-IR"/>
          <w:color w:val="111111"/>
          <w:sz w:val="28"/>
          <w:szCs w:val="28"/>
          <w:rtl/>
        </w:rPr>
        <w:t xml:space="preserve">تعدادی قطعات اسناد، حاوی صورت جمع و خرج و مواجب وگمرک منطقه قوچان در سال ۱۳۲۳ق است که  به خط سیاق نگاشته شده است؛ بی کا، بی تا[ف: ۳۳/۱ - ۲۱۲]</w:t>
      </w:r>
    </w:p>
    <w:p>
      <w:pPr>
        <w:pStyle w:val="BookText"/>
      </w:pPr>
      <w:r>
        <w:rPr>
          <w:rFonts w:ascii="IRNazanin" w:hAnsi="IRNazanin" w:eastAsia="IRNazanin" w:cs="IRNazanin"/>
          <w:lang w:bidi="fa-IR"/>
          <w:color w:val="111111"/>
          <w:sz w:val="28"/>
          <w:szCs w:val="28"/>
          <w:rtl/>
        </w:rPr>
        <w:t xml:space="preserve">۷۸. تهران؛ مجلس؛ شماره نسخه: ۱۰۷۸۷</w:t>
      </w:r>
    </w:p>
    <w:p>
      <w:pPr>
        <w:pStyle w:val="BookText"/>
      </w:pPr>
      <w:r>
        <w:rPr>
          <w:rFonts w:ascii="IRNazanin" w:hAnsi="IRNazanin" w:eastAsia="IRNazanin" w:cs="IRNazanin"/>
          <w:lang w:bidi="fa-IR"/>
          <w:color w:val="111111"/>
          <w:sz w:val="28"/>
          <w:szCs w:val="28"/>
          <w:rtl/>
        </w:rPr>
        <w:t xml:space="preserve">تعدادی قطعات اسناد، حاوی صورت جمع و خرج مالیات اربـابی و خالصه مناطق کلات و نیشابور درسال ۱۳۰۳ق است که از به خط سیاق نگاشته شده است؛ بی کا، بی تا [ف: ۳۳/۱ - ۲۱۲]</w:t>
      </w:r>
    </w:p>
    <w:p>
      <w:pPr>
        <w:pStyle w:val="BookText"/>
      </w:pPr>
      <w:r>
        <w:rPr>
          <w:rFonts w:ascii="IRNazanin" w:hAnsi="IRNazanin" w:eastAsia="IRNazanin" w:cs="IRNazanin"/>
          <w:lang w:bidi="fa-IR"/>
          <w:color w:val="111111"/>
          <w:sz w:val="28"/>
          <w:szCs w:val="28"/>
          <w:rtl/>
        </w:rPr>
        <w:t xml:space="preserve">۷۹. تهران؛ مجلس؛ شماره نسخه: ۱۰۷۸۸</w:t>
      </w:r>
    </w:p>
    <w:p>
      <w:pPr>
        <w:pStyle w:val="BookText"/>
      </w:pPr>
      <w:r>
        <w:rPr>
          <w:rFonts w:ascii="IRNazanin" w:hAnsi="IRNazanin" w:eastAsia="IRNazanin" w:cs="IRNazanin"/>
          <w:lang w:bidi="fa-IR"/>
          <w:color w:val="111111"/>
          <w:sz w:val="28"/>
          <w:szCs w:val="28"/>
          <w:rtl/>
        </w:rPr>
        <w:t xml:space="preserve">تعداد ۱۴۶ قطعه اسناد حاوی حساب مخارج و مواجب افراد و نیروها و شخصیت های محلی مملکت آذربایجان در لوی ئیل شـال سال ۱۲۹۷ هـ است که به خط سیاق نگاشته شده است؛ بی کا،بی تا [ف: 1/ 33- 213]</w:t>
      </w:r>
    </w:p>
    <w:p>
      <w:pPr>
        <w:pStyle w:val="BookText"/>
      </w:pPr>
      <w:r>
        <w:rPr>
          <w:rFonts w:ascii="IRNazanin" w:hAnsi="IRNazanin" w:eastAsia="IRNazanin" w:cs="IRNazanin"/>
          <w:lang w:bidi="fa-IR"/>
          <w:color w:val="111111"/>
          <w:sz w:val="28"/>
          <w:szCs w:val="28"/>
          <w:rtl/>
        </w:rPr>
        <w:t xml:space="preserve">۸۰. تهران؛ مجلس؛ شماره نسخه: ۱۰۷۸۹</w:t>
      </w:r>
    </w:p>
    <w:p>
      <w:pPr>
        <w:pStyle w:val="BookText"/>
      </w:pPr>
      <w:r>
        <w:rPr>
          <w:rFonts w:ascii="IRNazanin" w:hAnsi="IRNazanin" w:eastAsia="IRNazanin" w:cs="IRNazanin"/>
          <w:lang w:bidi="fa-IR"/>
          <w:color w:val="111111"/>
          <w:sz w:val="28"/>
          <w:szCs w:val="28"/>
          <w:rtl/>
        </w:rPr>
        <w:t xml:space="preserve">تعدادی قطعات اسناد حاوی صورت جمع و خرج مملكـت آذربایجان به تاریخ ۱۲۹۸ق است که به خط سیاق نگاشته شـده است؛ بی کا، بی تا [ف: ۳۳/۱ - ۲۱۳]</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تهران؛ مجلس؛ شماره نسخه ۱۰۷۹۰</w:t>
      </w:r>
    </w:p>
    <w:p>
      <w:pPr>
        <w:pStyle w:val="BookText"/>
      </w:pPr>
      <w:r>
        <w:rPr>
          <w:rFonts w:ascii="IRNazanin" w:hAnsi="IRNazanin" w:eastAsia="IRNazanin" w:cs="IRNazanin"/>
          <w:lang w:bidi="fa-IR"/>
          <w:color w:val="111111"/>
          <w:sz w:val="28"/>
          <w:szCs w:val="28"/>
          <w:rtl/>
        </w:rPr>
        <w:t xml:space="preserve">تعداد ۳۹۴ قطعه اسناد، حاوی صورت جمع و خرج مواجب مستمریات، مالیات و گمرکات مناطق مختلف مملکت آذربایجان در سال ۱۲۹۸ق است که به خط سیاق نگاشته شده است. اسناد در  دو  قطعه آلبوم جاسازی شده اند؛ بی کا،بی تا [ف: ۳۳/۱ - ۲۱۳]</w:t>
      </w:r>
    </w:p>
    <w:p>
      <w:pPr>
        <w:pStyle w:val="BookText"/>
      </w:pPr>
      <w:r>
        <w:rPr>
          <w:rFonts w:ascii="IRNazanin" w:hAnsi="IRNazanin" w:eastAsia="IRNazanin" w:cs="IRNazanin"/>
          <w:lang w:bidi="fa-IR"/>
          <w:color w:val="111111"/>
          <w:sz w:val="28"/>
          <w:szCs w:val="28"/>
          <w:rtl/>
        </w:rPr>
        <w:t xml:space="preserve">۸۲. تهران؛ مجلس؛ شماره نسخه: ۱۰۷۹۲</w:t>
      </w:r>
    </w:p>
    <w:p>
      <w:pPr>
        <w:pStyle w:val="BookText"/>
      </w:pPr>
      <w:r>
        <w:rPr>
          <w:rFonts w:ascii="IRNazanin" w:hAnsi="IRNazanin" w:eastAsia="IRNazanin" w:cs="IRNazanin"/>
          <w:lang w:bidi="fa-IR"/>
          <w:color w:val="111111"/>
          <w:sz w:val="28"/>
          <w:szCs w:val="28"/>
          <w:rtl/>
        </w:rPr>
        <w:t xml:space="preserve">تعداد ۵۱ قطعه اسناد، حاوی صورت جمع و خرج مواجب و مستمریات، مالیات و گمرکات مناطق مختلف مملکت آذربایجان از جمله خالصجات مظفرالدین شاه قاجار در سال 1326-30هـ است که به خط سیاق نگاشته شده است؛  بی کا،بی تا[ ف: ۳۳/۱ - 213]</w:t>
      </w:r>
    </w:p>
    <w:p>
      <w:pPr>
        <w:pStyle w:val="BookText"/>
      </w:pPr>
      <w:r>
        <w:rPr>
          <w:rFonts w:ascii="IRNazanin" w:hAnsi="IRNazanin" w:eastAsia="IRNazanin" w:cs="IRNazanin"/>
          <w:lang w:bidi="fa-IR"/>
          <w:color w:val="111111"/>
          <w:sz w:val="28"/>
          <w:szCs w:val="28"/>
          <w:rtl/>
        </w:rPr>
        <w:t xml:space="preserve">83.تهران؛ مجلس؛ شماره نسخه: ۱۰۷۹۳</w:t>
      </w:r>
    </w:p>
    <w:p>
      <w:pPr>
        <w:pStyle w:val="BookText"/>
      </w:pPr>
      <w:r>
        <w:rPr>
          <w:rFonts w:ascii="IRNazanin" w:hAnsi="IRNazanin" w:eastAsia="IRNazanin" w:cs="IRNazanin"/>
          <w:lang w:bidi="fa-IR"/>
          <w:color w:val="111111"/>
          <w:sz w:val="28"/>
          <w:szCs w:val="28"/>
          <w:rtl/>
        </w:rPr>
        <w:t xml:space="preserve">تعداد ۳۶ قطعه اسناد، حاوی صورت جمع و خرج باقی دستورالعمل سنه ماضيه قوی ئیل مملکت ،آذربایجان در۱۳۲۵ق است که به خط سیاق نگاشته شده است؛ بی کا، بی تا [ف: ۳۳/۱-  ٢١٣  ]</w:t>
      </w:r>
    </w:p>
    <w:p>
      <w:pPr>
        <w:pStyle w:val="BookText"/>
      </w:pPr>
      <w:r>
        <w:rPr>
          <w:rFonts w:ascii="IRNazanin" w:hAnsi="IRNazanin" w:eastAsia="IRNazanin" w:cs="IRNazanin"/>
          <w:lang w:bidi="fa-IR"/>
          <w:color w:val="111111"/>
          <w:sz w:val="28"/>
          <w:szCs w:val="28"/>
          <w:rtl/>
        </w:rPr>
        <w:t xml:space="preserve">۸۴. تهران؛ مجلس؛ شماره نسخه: ۱۰۷۹۴</w:t>
      </w:r>
    </w:p>
    <w:p>
      <w:pPr>
        <w:pStyle w:val="BookText"/>
      </w:pPr>
      <w:r>
        <w:rPr>
          <w:rFonts w:ascii="IRNazanin" w:hAnsi="IRNazanin" w:eastAsia="IRNazanin" w:cs="IRNazanin"/>
          <w:lang w:bidi="fa-IR"/>
          <w:color w:val="111111"/>
          <w:sz w:val="28"/>
          <w:szCs w:val="28"/>
          <w:rtl/>
        </w:rPr>
        <w:t xml:space="preserve">تعداد ۹ قطعه اسناد ،حاوی صورت جمع مالیات دیوانی قراء مفصله واقعه در قراجه داغ در ۱۳۲۸هـ است که به خط سیاق نگاشته شده است؛ بی کا، بی تا [ف: ۳۳/۱ - ۲۱۳]</w:t>
      </w:r>
    </w:p>
    <w:p>
      <w:pPr>
        <w:pStyle w:val="BookText"/>
      </w:pPr>
      <w:r>
        <w:rPr>
          <w:rFonts w:ascii="IRNazanin" w:hAnsi="IRNazanin" w:eastAsia="IRNazanin" w:cs="IRNazanin"/>
          <w:lang w:bidi="fa-IR"/>
          <w:color w:val="111111"/>
          <w:sz w:val="28"/>
          <w:szCs w:val="28"/>
          <w:rtl/>
        </w:rPr>
        <w:t xml:space="preserve">۸۵. تهران؛ مجلس؛ شماره نسخه: ۱۰۷۹۶</w:t>
      </w:r>
    </w:p>
    <w:p>
      <w:pPr>
        <w:pStyle w:val="BookText"/>
      </w:pPr>
      <w:r>
        <w:rPr>
          <w:rFonts w:ascii="IRNazanin" w:hAnsi="IRNazanin" w:eastAsia="IRNazanin" w:cs="IRNazanin"/>
          <w:lang w:bidi="fa-IR"/>
          <w:color w:val="111111"/>
          <w:sz w:val="28"/>
          <w:szCs w:val="28"/>
          <w:rtl/>
        </w:rPr>
        <w:t xml:space="preserve">تعداد ۱۲۵ قطعه اسناد، حاوی جمع و خرج مزارع جديد النسق در هذه السنه يونت ئيل ۱۳۲۴ ممیزی شده و جمع و خرج طبس و مضافات سنه لوی ئیل و نیز جمع و خرج ممیزی جدید قائنات در هذه السنه يونت ئیل ۱۳۲۴هـ تشخیص داده شده توسط مستنصر الملک است که به خط سیاق نگاشته شده است؛ بی کا، بی تا [ف: 1/ 33- 212]</w:t>
      </w:r>
    </w:p>
    <w:p>
      <w:pPr>
        <w:pStyle w:val="BookText"/>
      </w:pPr>
      <w:r>
        <w:rPr>
          <w:rFonts w:ascii="IRNazanin" w:hAnsi="IRNazanin" w:eastAsia="IRNazanin" w:cs="IRNazanin"/>
          <w:lang w:bidi="fa-IR"/>
          <w:color w:val="111111"/>
          <w:sz w:val="28"/>
          <w:szCs w:val="28"/>
          <w:rtl/>
        </w:rPr>
        <w:t xml:space="preserve">۸۶. تهران؛ مجلس؛ شماره نسخه: ۱۰۷۹۷</w:t>
      </w:r>
    </w:p>
    <w:p>
      <w:pPr>
        <w:pStyle w:val="BookText"/>
      </w:pPr>
      <w:r>
        <w:rPr>
          <w:rFonts w:ascii="IRNazanin" w:hAnsi="IRNazanin" w:eastAsia="IRNazanin" w:cs="IRNazanin"/>
          <w:lang w:bidi="fa-IR"/>
          <w:color w:val="111111"/>
          <w:sz w:val="28"/>
          <w:szCs w:val="28"/>
          <w:rtl/>
        </w:rPr>
        <w:t xml:space="preserve">تعداد ۲۰ قطعه اسناد، حاوی جمع و خرج ولایت سیستان مطابق ئیلان ئیل ۱۳۲۴ از قرار تعدیل جناب مستنصر الملك مستوفی و نیز جمع و خرج ولایات محروسه سنه ئیلان ئیل ۱۳۲۳ق است که به خط سیاق نگاشته شده است؛ بی کا ،بی تا [ف: ۳۳/۱ - ۲۱۳]</w:t>
      </w:r>
    </w:p>
    <w:p>
      <w:pPr>
        <w:pStyle w:val="BookText"/>
      </w:pPr>
      <w:r>
        <w:rPr>
          <w:rFonts w:ascii="IRNazanin" w:hAnsi="IRNazanin" w:eastAsia="IRNazanin" w:cs="IRNazanin"/>
          <w:lang w:bidi="fa-IR"/>
          <w:color w:val="111111"/>
          <w:sz w:val="28"/>
          <w:szCs w:val="28"/>
          <w:rtl/>
        </w:rPr>
        <w:t xml:space="preserve">۸۷. تهران؛ مجلس؛ شماره نسخه: ۱۰۷۹۸</w:t>
      </w:r>
    </w:p>
    <w:p>
      <w:pPr>
        <w:pStyle w:val="BookText"/>
      </w:pPr>
      <w:r>
        <w:rPr>
          <w:rFonts w:ascii="IRNazanin" w:hAnsi="IRNazanin" w:eastAsia="IRNazanin" w:cs="IRNazanin"/>
          <w:lang w:bidi="fa-IR"/>
          <w:color w:val="111111"/>
          <w:sz w:val="28"/>
          <w:szCs w:val="28"/>
          <w:rtl/>
        </w:rPr>
        <w:t xml:space="preserve">تعداد ۳۲ قطعه اسناد، حاوی دستورالعمل هذه السنه پیچی ئیل (۱۳۲۶هـ) مملکت آذربایجان با سنه ماضیه قوی ئیل ۱۳۲۵ق است که به خط سیاق نگاشته شده است؛ بی کا، بی تا [ف: ۳۳/۱ - ۲۱۴]</w:t>
      </w:r>
    </w:p>
    <w:p>
      <w:pPr>
        <w:pStyle w:val="BookText"/>
      </w:pPr>
      <w:r>
        <w:rPr>
          <w:rFonts w:ascii="IRNazanin" w:hAnsi="IRNazanin" w:eastAsia="IRNazanin" w:cs="IRNazanin"/>
          <w:lang w:bidi="fa-IR"/>
          <w:color w:val="111111"/>
          <w:sz w:val="28"/>
          <w:szCs w:val="28"/>
          <w:rtl/>
        </w:rPr>
        <w:t xml:space="preserve">۸۸. تهران؛ مجلس؛ شماره نسخه: ۱۰۷۹۹</w:t>
      </w:r>
    </w:p>
    <w:p>
      <w:pPr>
        <w:pStyle w:val="BookText"/>
      </w:pPr>
      <w:r>
        <w:rPr>
          <w:rFonts w:ascii="IRNazanin" w:hAnsi="IRNazanin" w:eastAsia="IRNazanin" w:cs="IRNazanin"/>
          <w:lang w:bidi="fa-IR"/>
          <w:color w:val="111111"/>
          <w:sz w:val="28"/>
          <w:szCs w:val="28"/>
          <w:rtl/>
        </w:rPr>
        <w:t xml:space="preserve">تعداد ۲۴ قطعه  اسناد، حاوی دستورالعمل خرج هذه السنه تنکوزئیل ۱۳۲۹ق مملکت آذربایجان با سنه ماضیه ایت ئیل است  که به خط سیاق نگاشته شده است؛ بی کا، بی تا [ف: ۳۳/۱ - ۲۱۴]</w:t>
      </w:r>
    </w:p>
    <w:p>
      <w:pPr>
        <w:pStyle w:val="BookText"/>
      </w:pPr>
      <w:r>
        <w:rPr>
          <w:rFonts w:ascii="IRNazanin" w:hAnsi="IRNazanin" w:eastAsia="IRNazanin" w:cs="IRNazanin"/>
          <w:lang w:bidi="fa-IR"/>
          <w:color w:val="111111"/>
          <w:sz w:val="28"/>
          <w:szCs w:val="28"/>
          <w:rtl/>
        </w:rPr>
        <w:t xml:space="preserve">۸۹. تهران؛ مجلس؛ شماره نسخه: ۱۰۸۰۰</w:t>
      </w:r>
    </w:p>
    <w:p>
      <w:pPr>
        <w:pStyle w:val="BookText"/>
      </w:pPr>
      <w:r>
        <w:rPr>
          <w:rFonts w:ascii="IRNazanin" w:hAnsi="IRNazanin" w:eastAsia="IRNazanin" w:cs="IRNazanin"/>
          <w:lang w:bidi="fa-IR"/>
          <w:color w:val="111111"/>
          <w:sz w:val="28"/>
          <w:szCs w:val="28"/>
          <w:rtl/>
        </w:rPr>
        <w:t xml:space="preserve">تعدادی قطعات اسناد، حاوى دستور العمل هذه السنه تخاقوى ئيل ۱۳۲۷ق مملکت آذربایجان با سنه ماضیه پیچی ئیل است که به  خط سیاق نگاشته شده است؛ بی کا، بی تا [ف: ۳۳/۱ - ۲۱۴]</w:t>
      </w:r>
    </w:p>
    <w:p>
      <w:pPr>
        <w:pStyle w:val="BookText"/>
      </w:pPr>
      <w:r>
        <w:rPr>
          <w:rFonts w:ascii="IRNazanin" w:hAnsi="IRNazanin" w:eastAsia="IRNazanin" w:cs="IRNazanin"/>
          <w:lang w:bidi="fa-IR"/>
          <w:color w:val="111111"/>
          <w:sz w:val="28"/>
          <w:szCs w:val="28"/>
          <w:rtl/>
        </w:rPr>
        <w:t xml:space="preserve">۹۰. تهران؛ مجلس؛ شماره نسخه: ۱۰۷۳۱</w:t>
      </w:r>
    </w:p>
    <w:p>
      <w:pPr>
        <w:pStyle w:val="BookText"/>
      </w:pPr>
      <w:r>
        <w:rPr>
          <w:rFonts w:ascii="IRNazanin" w:hAnsi="IRNazanin" w:eastAsia="IRNazanin" w:cs="IRNazanin"/>
          <w:lang w:bidi="fa-IR"/>
          <w:color w:val="111111"/>
          <w:sz w:val="28"/>
          <w:szCs w:val="28"/>
          <w:rtl/>
        </w:rPr>
        <w:t xml:space="preserve">تعداد ۴۵ قطعه اسناد حاوی جمع و خرج مملکت آذربایجان در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354" w:name="pg20365_260496"/>
    <w:bookmarkEnd w:id="354"/>
    <w:p>
      <w:pPr>
        <w:pStyle w:val="BookText"/>
      </w:pPr>
      <w:r>
        <w:rPr>
          <w:rFonts w:ascii="IRNazanin" w:hAnsi="IRNazanin" w:eastAsia="IRNazanin" w:cs="IRNazanin"/>
          <w:lang w:bidi="fa-IR"/>
          <w:color w:val="111111"/>
          <w:sz w:val="28"/>
          <w:szCs w:val="28"/>
          <w:rtl/>
        </w:rPr>
        <w:t xml:space="preserve">تخافوی ئیل سال ۲۸ - ۱۳۲۷هـ شامل گزارشات دولتی از درآمد و مالیات اشخاص در مناطق مختلف آذربایجان است که به خط سیاق نگاشته شده است؛ بی کا، بی تا؛ [ف: ۳۳/۱ - ۲۰۷]</w:t>
      </w:r>
    </w:p>
    <w:p>
      <w:pPr>
        <w:pStyle w:val="BookText"/>
      </w:pPr>
      <w:r>
        <w:rPr>
          <w:rFonts w:ascii="IRNazanin" w:hAnsi="IRNazanin" w:eastAsia="IRNazanin" w:cs="IRNazanin"/>
          <w:lang w:bidi="fa-IR"/>
          <w:color w:val="111111"/>
          <w:sz w:val="28"/>
          <w:szCs w:val="28"/>
          <w:rtl/>
        </w:rPr>
        <w:t xml:space="preserve">۹۱. تهران؛ مجلس؛ شماره نسخه: ۱۰۷۹۱</w:t>
      </w:r>
    </w:p>
    <w:p>
      <w:pPr>
        <w:pStyle w:val="BookText"/>
      </w:pPr>
      <w:r>
        <w:rPr>
          <w:rFonts w:ascii="IRNazanin" w:hAnsi="IRNazanin" w:eastAsia="IRNazanin" w:cs="IRNazanin"/>
          <w:lang w:bidi="fa-IR"/>
          <w:color w:val="111111"/>
          <w:sz w:val="28"/>
          <w:szCs w:val="28"/>
          <w:rtl/>
        </w:rPr>
        <w:t xml:space="preserve">تعداد ۷۱ قطعه اسناد حاوی افراد جمع دستور العمل پیچی ئیل ۱۳۲۶ق و افراد دستور العمل ١٣١٠هـ مملکت آذربایجان به انضمام سایر خالصجات مظفرالدین شاه و محمدعلی شاه و عین الدوله و خالصجات رحیم خانی است که به خط سیاق نگاشته شده است؛ بی کا، بی تا [ف: ۳۳/۱ - ۲۱۳]</w:t>
      </w:r>
    </w:p>
    <w:p>
      <w:pPr>
        <w:pStyle w:val="BookText"/>
      </w:pPr>
      <w:r>
        <w:rPr>
          <w:rFonts w:ascii="IRNazanin" w:hAnsi="IRNazanin" w:eastAsia="IRNazanin" w:cs="IRNazanin"/>
          <w:lang w:bidi="fa-IR"/>
          <w:color w:val="111111"/>
          <w:sz w:val="28"/>
          <w:szCs w:val="28"/>
          <w:rtl/>
        </w:rPr>
        <w:t xml:space="preserve">۹۲. تهران؛ مجلس؛ شماره نسخه: ۱۱۸۸۰</w:t>
      </w:r>
    </w:p>
    <w:p>
      <w:pPr>
        <w:pStyle w:val="BookText"/>
      </w:pPr>
      <w:r>
        <w:rPr>
          <w:rFonts w:ascii="IRNazanin" w:hAnsi="IRNazanin" w:eastAsia="IRNazanin" w:cs="IRNazanin"/>
          <w:lang w:bidi="fa-IR"/>
          <w:color w:val="111111"/>
          <w:sz w:val="28"/>
          <w:szCs w:val="28"/>
          <w:rtl/>
        </w:rPr>
        <w:t xml:space="preserve">اسناد وزارت مالیه، مراسلات دوره قاجاریه و کتابچه جمع و خـرج ولایت خواف، صورت مالیات و فروعات و منافع و ... .. آذربایجان و سوابق پزشکی معتمد السلطنه در پاریس، ورقه حساب کل اداره تحدید تریاک؛ خط: شکسته نستعلیق و سیاق، بی کا، تا: 1334و ۱۳۲۶ و ۱۳۲۹ ؛کاغذ ،فرنگی ،جلد: کلاسور، ۸۱گ [ف: ۳۴-  81]</w:t>
      </w:r>
    </w:p>
    <w:p>
      <w:pPr>
        <w:pStyle w:val="BookText"/>
      </w:pPr>
      <w:r>
        <w:rPr>
          <w:rFonts w:ascii="IRNazanin" w:hAnsi="IRNazanin" w:eastAsia="IRNazanin" w:cs="IRNazanin"/>
          <w:lang w:bidi="fa-IR"/>
          <w:color w:val="111111"/>
          <w:sz w:val="28"/>
          <w:szCs w:val="28"/>
          <w:rtl/>
        </w:rPr>
        <w:t xml:space="preserve">۹۳ .تهران؛ مجلس؛ شماره نسخه: ۱۱۵۷۸</w:t>
      </w:r>
    </w:p>
    <w:p>
      <w:pPr>
        <w:pStyle w:val="BookText"/>
      </w:pPr>
      <w:r>
        <w:rPr>
          <w:rFonts w:ascii="IRNazanin" w:hAnsi="IRNazanin" w:eastAsia="IRNazanin" w:cs="IRNazanin"/>
          <w:lang w:bidi="fa-IR"/>
          <w:color w:val="111111"/>
          <w:sz w:val="28"/>
          <w:szCs w:val="28"/>
          <w:rtl/>
        </w:rPr>
        <w:t xml:space="preserve">مجموعه اسناد  مهم و معتبر و ارزشمند تاریخی عهد قاجار متعـلق به خاندان ناصرالدین شاه (حدود تاریخ ۱۳۰۶ق)همچون نامه ملکم به صدر اعظم، رساله اساطیر الاولین (۶ برگ) نامه هـای  میرزا حسین سپهسالار، میرزا آقاخان کرمانی، کمال الملک و... همچنین چند قطعه هنری کارت پستال که منوی غذا  در رستوران های فرنگ بوده اند، به علاوه شش قطعه خط ممتاز از احمد شاملو و غیره که جمعا ۱۲۰ سند( در ۱۲۸ برگ) را تشکـیل می دهند؛ بی کا، بی تا [ف: ۳۳/۲ - ۱۸۴]</w:t>
      </w:r>
    </w:p>
    <w:p>
      <w:pPr>
        <w:pStyle w:val="Heading3"/>
      </w:pPr>
      <w:bookmarkStart w:id="1703" w:name="_Toc1225"/>
      <w:r>
        <w:t>اسناد آستانه امامزاده عبدالعظیم در شهرری / اسـناد / فارسی</w:t>
      </w:r>
      <w:bookmarkEnd w:id="1703"/>
    </w:p>
    <w:p>
      <w:pPr>
        <w:pStyle w:val="BookText"/>
      </w:pPr>
      <w:r>
        <w:rPr>
          <w:rFonts w:ascii="Times New Roman" w:hAnsi="Times New Roman" w:eastAsia="Times New Roman" w:cs="Times New Roman"/>
          <w:lang w:val="en-US" w:bidi="en-US"/>
          <w:color w:val="111111"/>
          <w:sz w:val="28"/>
          <w:szCs w:val="28"/>
          <w:rtl/>
        </w:rPr>
        <w:t xml:space="preserve">asnād-e āstāne-ye emāmzāde ‘abd-ol-‘azīm dar šahr-e</w:t>
      </w:r>
    </w:p>
    <w:p>
      <w:pPr>
        <w:pStyle w:val="BookText"/>
      </w:pPr>
      <w:r>
        <w:rPr>
          <w:rFonts w:ascii="Times New Roman" w:hAnsi="Times New Roman" w:eastAsia="Times New Roman" w:cs="Times New Roman"/>
          <w:lang w:val="en-US" w:bidi="en-US"/>
          <w:color w:val="111111"/>
          <w:sz w:val="28"/>
          <w:szCs w:val="28"/>
          <w:rtl/>
        </w:rPr>
        <w:t xml:space="preserve">rey</w:t>
      </w:r>
    </w:p>
    <w:p>
      <w:pPr>
        <w:pStyle w:val="BookText"/>
      </w:pPr>
      <w:r>
        <w:rPr>
          <w:rFonts w:ascii="IRNazanin" w:hAnsi="IRNazanin" w:eastAsia="IRNazanin" w:cs="IRNazanin"/>
          <w:lang w:bidi="fa-IR"/>
          <w:color w:val="111111"/>
          <w:sz w:val="28"/>
          <w:szCs w:val="28"/>
          <w:rtl/>
        </w:rPr>
        <w:t xml:space="preserve">اصل در شانزده طغرا نزد آقای دکتر محمد هدایتی متولی کنونی آستانه است که سیزده طغرای آن در نشریه (۶۲/۳) وصف شـده است. چهاردهم آنها حکم تولیت میرزا سید احمد است از اداره اوقاف مورخ ۳۰ حمل ۱۳۳۷ شماره ۵۶۴۹. پانزدهم فرمان تولیت دکتر محمد علی هدایتی از پادشاه وقت مورخ ۲۵تیر ۱۳۳۵ ،خ شانزدهم فرمان نشان درجه اول همایون است که ۱۴ آبان ۱۳۳۸ به ایشان داده شده است؛ اصل یازده طغرای دیـگر ازین سندها نیز آقای دکتر عنایت الله هدایتی است: ۱. وقـف زینب بيكم دختر طهماسب صفوی حسنی موسوی  کشت زارخوارازیل غار ری را بر مشهد امازاده عبدالعظیم با تولیت امیر مجدالدین بن امیر ابراهیم حسینی در ذیقعده ۹۹۷ که در مجلـس سيد المحققين و سند المدققين خاتم المجتهدین در ۹۹۸ وقـف شده با سجل سلطان ابراهيم بن حيدر شریف شریفی حسنی در ۹۹۷ با سجل اداره کل اوقاف مورخ ۱۳۲۹ش با سجل واقفه و  با مهر او و با سجل سعدالدین محمد بن افضل و لطف الله شريف موسوی (راهنمای کتاب س ۱۷ ش ۱ ص ۱۷ ش ۱ ص ۱۴۰)؛ ۲. عرضه داشت ابو الحسن الحسينى متولی و محمد علی درباره کشت زار علا زمین از موقوفات سرکار استانه امام زاده شاه عبدالعظیم با حکم والا در بالای آن خطاب به حاجی محمد خان حاکم بلوكات طهران. پس از خاقان مغفور نوشته شده است؛ ۳. وقف باغ کربلایی صغری با شش ساعت آب قنات اکبر آباد در زاویه شاه زاده عبدالعظیم از مهدیخان نایب برای عزاداری سیدالشهدا در حسينيه صحن عبدالعظیم با تولیت آقاسید نظام الدین متولى باشی آستانه و نظارت آقا گل در شعبان ۱۳۴۶؛ ۴. وقف حاج  سید هدایت الله متولی باشی آستانه حضرت عبدالعظیم پسر آقا میرزا ابوالحسن متولی باشی پنج در دکان در راسته بازار حضرت عبدالعظیم بر تعزیه سید الشهدا با تولیت خود او و فرزندان او و تولیت آقا نظام الدین و میرزا سید احمد و آقا سید محمود و نظارت فرزندان خود آنها و آقا میرزا ابوالقاسم و آقا میرزا  ابوالفضل و آقا سید عبدالخالق در تاریخ روز ۱۲ ربیع الاول ۱۳۳۴ با دو سجل ۱۳۳۴ یکی از مسیح طالقانی؛ ۵. وقف حاجی ميرزا على محمد تاجر اصفهانی تهرانی سه دانگ قشلاقین و علی آباد آقا اسمعیل را با تولیت متولی آستانه و زاویه حضرت عبدالعظیم با نظارت عباس قلیخان ناظم التوليه و آقا سید عبدالحسین خادم آستانه در تاریخ ۸ ربیع الثانى ۱۳۲۳ ئيلان ئيل با چند سجل تاریخ ۱۳۲۳ از فضل الله نوری و حسین رضوی قمی و دیگران؛ ۶. فرمان شاهانه درباره تفویض تولیت سرکار فیض آثار امامزاده شاهزاده عبدالعظیم به میرزا سید علی طهرانی در ذیقعده ۱۲۵۲ با مهر شاهانه در بالای سند؛ ۷. وقف ميرزا حاجی آقای علاف بارفروش طهرانی پسر علی آقا چهار در دکان در زاویه حضرت عبدالعظیم با چهار بالاخانه روی آنها با تولیت خود و فرزندان خود و نظارت متولی باشی آستانه در ۱رجب ۱۳۴۲ تنگوزئیل با سجل رجب ۱۳۴۲ از حسین موسوی تستری؛ ۸. حکم و فرمان با سیاهه موقوفات آستانه امامزاده مورخ ۱۱۶۸؛ ۹. فرمان مورخ ربیع الاول ۹۴۳ درباره تولیت زاویه شیخ ابراهیم خواص برای سید سراج الدین ابوالقاسم موسوی و كمال الدين عبدالخالق (راهنمای کتاب همانجا)؛ ۱۰. فرمانی درباره زرگنده با تولیت میرزا سید علی مورخ محرم 1239؛11.فرمان تولیت میرزا هدایت الله مورخ ذیقعده ۱۲۹۳</w:t>
      </w:r>
    </w:p>
    <w:p>
      <w:pPr>
        <w:pStyle w:val="BookText"/>
      </w:pPr>
      <w:r>
        <w:rPr>
          <w:rFonts w:ascii="IRNazanin" w:hAnsi="IRNazanin" w:eastAsia="IRNazanin" w:cs="IRNazanin"/>
          <w:lang w:bidi="fa-IR"/>
          <w:color w:val="111111"/>
          <w:sz w:val="28"/>
          <w:szCs w:val="28"/>
          <w:rtl/>
        </w:rPr>
        <w:t xml:space="preserve">تهران؛ دانشگاه؛ شماره نسخه: ۲۸۴۶-ف</w:t>
      </w:r>
    </w:p>
    <w:p>
      <w:pPr>
        <w:pStyle w:val="BookText"/>
      </w:pPr>
      <w:r>
        <w:rPr>
          <w:rFonts w:ascii="IRNazanin" w:hAnsi="IRNazanin" w:eastAsia="IRNazanin" w:cs="IRNazanin"/>
          <w:lang w:bidi="fa-IR"/>
          <w:color w:val="111111"/>
          <w:sz w:val="28"/>
          <w:szCs w:val="28"/>
          <w:rtl/>
        </w:rPr>
        <w:t xml:space="preserve">بی کا، بی تا [ فیلم هاف: ۱ - ۱۰]</w:t>
      </w:r>
    </w:p>
    <w:p>
      <w:pPr>
        <w:pStyle w:val="Heading3"/>
      </w:pPr>
      <w:bookmarkStart w:id="1704" w:name="_Toc1226"/>
      <w:r>
        <w:t>اسناد آستانه درویش تاج الدین حسن ابی الحسین  ولی / اسناد / فارسی</w:t>
      </w:r>
      <w:bookmarkEnd w:id="1704"/>
    </w:p>
    <w:p>
      <w:pPr>
        <w:pStyle w:val="BookText"/>
      </w:pPr>
      <w:r>
        <w:rPr>
          <w:rFonts w:ascii="Times New Roman" w:hAnsi="Times New Roman" w:eastAsia="Times New Roman" w:cs="Times New Roman"/>
          <w:lang w:val="en-US" w:bidi="en-US"/>
          <w:color w:val="111111"/>
          <w:sz w:val="28"/>
          <w:szCs w:val="28"/>
          <w:rtl/>
        </w:rPr>
        <w:t xml:space="preserve">asnad-e astane-e darvis taj-ed-din hasan abi-l-hoseyn-e</w:t>
      </w:r>
    </w:p>
    <w:p>
      <w:pPr>
        <w:pStyle w:val="BookText"/>
      </w:pPr>
      <w:r>
        <w:rPr>
          <w:rFonts w:ascii="Times New Roman" w:hAnsi="Times New Roman" w:eastAsia="Times New Roman" w:cs="Times New Roman"/>
          <w:lang w:val="en-US" w:bidi="en-US"/>
          <w:color w:val="111111"/>
          <w:sz w:val="28"/>
          <w:szCs w:val="28"/>
          <w:rtl/>
        </w:rPr>
        <w:t xml:space="preserve">valī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355" w:name="pg20365_260497"/>
    <w:bookmarkEnd w:id="355"/>
    <w:p>
      <w:pPr>
        <w:pStyle w:val="BookText"/>
      </w:pPr>
      <w:r>
        <w:rPr>
          <w:rFonts w:ascii="IRNazanin" w:hAnsi="IRNazanin" w:eastAsia="IRNazanin" w:cs="IRNazanin"/>
          <w:lang w:bidi="fa-IR"/>
          <w:color w:val="111111"/>
          <w:sz w:val="28"/>
          <w:szCs w:val="28"/>
          <w:rtl/>
        </w:rPr>
        <w:t xml:space="preserve">تهران؛ دانشگاه؛ شماره نسخه: ۱۷۴۹-ف</w:t>
      </w:r>
    </w:p>
    <w:p>
      <w:pPr>
        <w:pStyle w:val="BookText"/>
      </w:pPr>
      <w:r>
        <w:rPr>
          <w:rFonts w:ascii="IRNazanin" w:hAnsi="IRNazanin" w:eastAsia="IRNazanin" w:cs="IRNazanin"/>
          <w:lang w:bidi="fa-IR"/>
          <w:color w:val="111111"/>
          <w:sz w:val="28"/>
          <w:szCs w:val="28"/>
          <w:rtl/>
        </w:rPr>
        <w:t xml:space="preserve">در نیاک  لاریجان، قباله های خرید املاک و چند فرمان اسـت؛ بی کا، بی تا؛ از روی نسخه های اصل همین آستانه[ فیلم ها-ف: ۱-  10]</w:t>
      </w:r>
    </w:p>
    <w:p>
      <w:pPr>
        <w:pStyle w:val="Heading3"/>
      </w:pPr>
      <w:bookmarkStart w:id="1705" w:name="_Toc1227"/>
      <w:r>
        <w:t>اسناد آیات بزرگوار / اسناد / عربی – فارسی</w:t>
      </w:r>
      <w:bookmarkEnd w:id="1705"/>
    </w:p>
    <w:p>
      <w:pPr>
        <w:pStyle w:val="BookText"/>
      </w:pPr>
      <w:r>
        <w:rPr>
          <w:rFonts w:ascii="Times New Roman" w:hAnsi="Times New Roman" w:eastAsia="Times New Roman" w:cs="Times New Roman"/>
          <w:lang w:val="en-US" w:bidi="en-US"/>
          <w:color w:val="111111"/>
          <w:sz w:val="28"/>
          <w:szCs w:val="28"/>
          <w:rtl/>
        </w:rPr>
        <w:t xml:space="preserve">asnād-e āyāt-e bozorgvār</w:t>
      </w:r>
    </w:p>
    <w:p>
      <w:pPr>
        <w:pStyle w:val="BookText"/>
      </w:pPr>
      <w:r>
        <w:rPr>
          <w:rFonts w:ascii="IRNazanin" w:hAnsi="IRNazanin" w:eastAsia="IRNazanin" w:cs="IRNazanin"/>
          <w:lang w:bidi="fa-IR"/>
          <w:color w:val="111111"/>
          <w:sz w:val="28"/>
          <w:szCs w:val="28"/>
          <w:rtl/>
        </w:rPr>
        <w:t xml:space="preserve">آیاتی که اول آنها الله است.</w:t>
      </w:r>
    </w:p>
    <w:p>
      <w:pPr>
        <w:pStyle w:val="BookText"/>
      </w:pPr>
      <w:r>
        <w:rPr>
          <w:rFonts w:ascii="IRNazanin" w:hAnsi="IRNazanin" w:eastAsia="IRNazanin" w:cs="IRNazanin"/>
          <w:lang w:bidi="fa-IR"/>
          <w:color w:val="111111"/>
          <w:sz w:val="28"/>
          <w:szCs w:val="28"/>
          <w:rtl/>
        </w:rPr>
        <w:t xml:space="preserve">شیراز؛ شاهچراغ؛ شماره نسخه: ۵۳۴/۱</w:t>
      </w:r>
    </w:p>
    <w:p>
      <w:pPr>
        <w:pStyle w:val="BookText"/>
      </w:pPr>
      <w:r>
        <w:rPr>
          <w:rFonts w:ascii="IRNazanin" w:hAnsi="IRNazanin" w:eastAsia="IRNazanin" w:cs="IRNazanin"/>
          <w:lang w:bidi="fa-IR"/>
          <w:color w:val="111111"/>
          <w:sz w:val="28"/>
          <w:szCs w:val="28"/>
          <w:rtl/>
        </w:rPr>
        <w:t xml:space="preserve">خط: نسخ و نستعلیق، بی کا، بی تا؛ کاغذ: سفید، جلد: مقوا باکاغذ سبز  ، ۱۲ سطر (7</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۱ - ۲۳۲]</w:t>
      </w:r>
    </w:p>
    <w:p>
      <w:pPr>
        <w:pStyle w:val="Heading3"/>
      </w:pPr>
      <w:bookmarkStart w:id="1706" w:name="_Toc1228"/>
      <w:r>
        <w:t>اسناد احتشام الدوله / اسناد / فارسی</w:t>
      </w:r>
      <w:bookmarkEnd w:id="1706"/>
    </w:p>
    <w:p>
      <w:pPr>
        <w:pStyle w:val="BookText"/>
      </w:pPr>
      <w:r>
        <w:rPr>
          <w:rFonts w:ascii="Times New Roman" w:hAnsi="Times New Roman" w:eastAsia="Times New Roman" w:cs="Times New Roman"/>
          <w:lang w:val="en-US" w:bidi="en-US"/>
          <w:color w:val="111111"/>
          <w:sz w:val="28"/>
          <w:szCs w:val="28"/>
          <w:rtl/>
        </w:rPr>
        <w:t xml:space="preserve">asnād-e ehtešām-od-dole</w:t>
      </w:r>
    </w:p>
    <w:p>
      <w:pPr>
        <w:pStyle w:val="BookText"/>
      </w:pPr>
      <w:r>
        <w:rPr>
          <w:rFonts w:ascii="IRNazanin" w:hAnsi="IRNazanin" w:eastAsia="IRNazanin" w:cs="IRNazanin"/>
          <w:lang w:bidi="fa-IR"/>
          <w:color w:val="111111"/>
          <w:sz w:val="28"/>
          <w:szCs w:val="28"/>
          <w:rtl/>
        </w:rPr>
        <w:t xml:space="preserve">احتشام الدوله، - ۱۲۷۸ قمرى</w:t>
      </w:r>
    </w:p>
    <w:p>
      <w:pPr>
        <w:pStyle w:val="BookText"/>
      </w:pPr>
      <w:r>
        <w:rPr>
          <w:rFonts w:ascii="Times New Roman" w:hAnsi="Times New Roman" w:eastAsia="Times New Roman" w:cs="Times New Roman"/>
          <w:lang w:val="en-US" w:bidi="en-US"/>
          <w:color w:val="111111"/>
          <w:sz w:val="28"/>
          <w:szCs w:val="28"/>
          <w:rtl/>
        </w:rPr>
        <w:t xml:space="preserve">(ehtešām-od-dole (- 1862)</w:t>
      </w:r>
    </w:p>
    <w:p>
      <w:pPr>
        <w:pStyle w:val="BookText"/>
      </w:pPr>
      <w:r>
        <w:rPr>
          <w:rFonts w:ascii="IRNazanin" w:hAnsi="IRNazanin" w:eastAsia="IRNazanin" w:cs="IRNazanin"/>
          <w:lang w:bidi="fa-IR"/>
          <w:color w:val="111111"/>
          <w:sz w:val="28"/>
          <w:szCs w:val="28"/>
          <w:rtl/>
        </w:rPr>
        <w:t xml:space="preserve">تنظيم خانم نوشین انصاری.</w:t>
      </w:r>
    </w:p>
    <w:p>
      <w:pPr>
        <w:pStyle w:val="BookText"/>
      </w:pPr>
      <w:r>
        <w:rPr>
          <w:rFonts w:ascii="IRNazanin" w:hAnsi="IRNazanin" w:eastAsia="IRNazanin" w:cs="IRNazanin"/>
          <w:lang w:bidi="fa-IR"/>
          <w:color w:val="111111"/>
          <w:sz w:val="28"/>
          <w:szCs w:val="28"/>
          <w:rtl/>
        </w:rPr>
        <w:t xml:space="preserve">تهران؛ دانشگاه؛ شماره نسخه: ۷۰۳۲-عکس</w:t>
      </w:r>
    </w:p>
    <w:p>
      <w:pPr>
        <w:pStyle w:val="BookText"/>
      </w:pPr>
      <w:r>
        <w:rPr>
          <w:rFonts w:ascii="IRNazanin" w:hAnsi="IRNazanin" w:eastAsia="IRNazanin" w:cs="IRNazanin"/>
          <w:lang w:bidi="fa-IR"/>
          <w:color w:val="111111"/>
          <w:sz w:val="28"/>
          <w:szCs w:val="28"/>
          <w:rtl/>
        </w:rPr>
        <w:t xml:space="preserve">نسخه اصل: نسخه حقوق دو مجلد؛ بی کا، بی تا[ فیلم ها-ف ۳-273]</w:t>
      </w:r>
    </w:p>
    <w:p>
      <w:pPr>
        <w:pStyle w:val="Heading3"/>
      </w:pPr>
      <w:bookmarkStart w:id="1707" w:name="_Toc1229"/>
      <w:r>
        <w:t>اسناد احزاب سیاسی ایران / اسناد / فارسی</w:t>
      </w:r>
      <w:bookmarkEnd w:id="1707"/>
    </w:p>
    <w:p>
      <w:pPr>
        <w:pStyle w:val="BookText"/>
      </w:pPr>
      <w:r>
        <w:rPr>
          <w:rFonts w:ascii="Times New Roman" w:hAnsi="Times New Roman" w:eastAsia="Times New Roman" w:cs="Times New Roman"/>
          <w:lang w:val="en-US" w:bidi="en-US"/>
          <w:color w:val="111111"/>
          <w:sz w:val="28"/>
          <w:szCs w:val="28"/>
          <w:rtl/>
        </w:rPr>
        <w:t xml:space="preserve">asnād-e ahzāb-e sīyāsī-ye īrān</w:t>
      </w:r>
    </w:p>
    <w:p>
      <w:pPr>
        <w:pStyle w:val="BookText"/>
      </w:pPr>
      <w:r>
        <w:rPr>
          <w:rFonts w:ascii="IRNazanin" w:hAnsi="IRNazanin" w:eastAsia="IRNazanin" w:cs="IRNazanin"/>
          <w:lang w:bidi="fa-IR"/>
          <w:color w:val="111111"/>
          <w:sz w:val="28"/>
          <w:szCs w:val="28"/>
          <w:rtl/>
        </w:rPr>
        <w:t xml:space="preserve">تهران؛ دانشگاه؛ شماره نسخه: ۴۱۱۶-ف</w:t>
      </w:r>
    </w:p>
    <w:p>
      <w:pPr>
        <w:pStyle w:val="BookText"/>
      </w:pPr>
      <w:r>
        <w:rPr>
          <w:rFonts w:ascii="IRNazanin" w:hAnsi="IRNazanin" w:eastAsia="IRNazanin" w:cs="IRNazanin"/>
          <w:lang w:bidi="fa-IR"/>
          <w:color w:val="111111"/>
          <w:sz w:val="28"/>
          <w:szCs w:val="28"/>
          <w:rtl/>
        </w:rPr>
        <w:t xml:space="preserve">نسخه اصل: از روی اصل چاپی در ۸۰۰ قطعه. اعتدالیون، میهن پرستان، اراده ملی، جمعیت  تعاون، فرقه سوسیالیست ایران، اجتماعیون  اعتدالیون، با سالنامه  میهن، چاپ شده به افرسی و اروپایی؛ بی کا، بی تا [ فیلم ها-ف: ۳ - ۱۷]</w:t>
      </w:r>
    </w:p>
    <w:p>
      <w:pPr>
        <w:pStyle w:val="Heading3"/>
      </w:pPr>
      <w:bookmarkStart w:id="1708" w:name="_Toc1230"/>
      <w:r>
        <w:t>اسناد اداری دانشگاه / اسناد / فارسی</w:t>
      </w:r>
      <w:bookmarkEnd w:id="1708"/>
    </w:p>
    <w:p>
      <w:pPr>
        <w:pStyle w:val="BookText"/>
      </w:pPr>
      <w:r>
        <w:rPr>
          <w:rFonts w:ascii="Times New Roman" w:hAnsi="Times New Roman" w:eastAsia="Times New Roman" w:cs="Times New Roman"/>
          <w:lang w:val="en-US" w:bidi="en-US"/>
          <w:color w:val="111111"/>
          <w:sz w:val="28"/>
          <w:szCs w:val="28"/>
          <w:rtl/>
        </w:rPr>
        <w:t xml:space="preserve">asnād-e edārī-ye dānešgāh</w:t>
      </w:r>
    </w:p>
    <w:p>
      <w:pPr>
        <w:pStyle w:val="BookText"/>
      </w:pPr>
      <w:r>
        <w:rPr>
          <w:rFonts w:ascii="IRNazanin" w:hAnsi="IRNazanin" w:eastAsia="IRNazanin" w:cs="IRNazanin"/>
          <w:lang w:bidi="fa-IR"/>
          <w:color w:val="111111"/>
          <w:sz w:val="28"/>
          <w:szCs w:val="28"/>
          <w:rtl/>
        </w:rPr>
        <w:t xml:space="preserve">تهران؛ دانشگاه؛ شماره نسخه: ۹۶۰۴</w:t>
      </w:r>
    </w:p>
    <w:p>
      <w:pPr>
        <w:pStyle w:val="BookText"/>
      </w:pPr>
      <w:r>
        <w:rPr>
          <w:rFonts w:ascii="IRNazanin" w:hAnsi="IRNazanin" w:eastAsia="IRNazanin" w:cs="IRNazanin"/>
          <w:lang w:bidi="fa-IR"/>
          <w:color w:val="111111"/>
          <w:sz w:val="28"/>
          <w:szCs w:val="28"/>
          <w:rtl/>
        </w:rPr>
        <w:t xml:space="preserve">درباره سازمان آن، بی کا، بی تا [ف ۱۷ - ۴۳۳]</w:t>
      </w:r>
    </w:p>
    <w:p>
      <w:pPr>
        <w:pStyle w:val="Heading3"/>
      </w:pPr>
      <w:bookmarkStart w:id="1709" w:name="_Toc1231"/>
      <w:r>
        <w:t>اسناد ادعية السر / اجازات / عربي</w:t>
      </w:r>
      <w:bookmarkEnd w:id="1709"/>
    </w:p>
    <w:p>
      <w:pPr>
        <w:pStyle w:val="BookText"/>
      </w:pPr>
      <w:r>
        <w:rPr>
          <w:rFonts w:ascii="Times New Roman" w:hAnsi="Times New Roman" w:eastAsia="Times New Roman" w:cs="Times New Roman"/>
          <w:lang w:val="en-US" w:bidi="en-US"/>
          <w:color w:val="111111"/>
          <w:sz w:val="28"/>
          <w:szCs w:val="28"/>
          <w:rtl/>
        </w:rPr>
        <w:t xml:space="preserve">asnād-e ad‘īyat-os serr</w:t>
      </w:r>
    </w:p>
    <w:p>
      <w:pPr>
        <w:pStyle w:val="BookText"/>
      </w:pPr>
      <w:r>
        <w:rPr>
          <w:rFonts w:ascii="IRNazanin" w:hAnsi="IRNazanin" w:eastAsia="IRNazanin" w:cs="IRNazanin"/>
          <w:lang w:bidi="fa-IR"/>
          <w:color w:val="111111"/>
          <w:sz w:val="28"/>
          <w:szCs w:val="28"/>
          <w:rtl/>
        </w:rPr>
        <w:t xml:space="preserve">نظام الدین دشتکی، احمد بن محمد معصوم، - 1086قمری</w:t>
      </w:r>
    </w:p>
    <w:p>
      <w:pPr>
        <w:pStyle w:val="BookText"/>
      </w:pPr>
      <w:r>
        <w:rPr>
          <w:rFonts w:ascii="Times New Roman" w:hAnsi="Times New Roman" w:eastAsia="Times New Roman" w:cs="Times New Roman"/>
          <w:lang w:val="en-US" w:bidi="en-US"/>
          <w:color w:val="111111"/>
          <w:sz w:val="28"/>
          <w:szCs w:val="28"/>
          <w:rtl/>
        </w:rPr>
        <w:t xml:space="preserve">nezām-od-dīn-e daštakī, ahmad ebn-e mohammad</w:t>
      </w:r>
    </w:p>
    <w:p>
      <w:pPr>
        <w:pStyle w:val="BookText"/>
      </w:pPr>
      <w:r>
        <w:rPr>
          <w:rFonts w:ascii="Times New Roman" w:hAnsi="Times New Roman" w:eastAsia="Times New Roman" w:cs="Times New Roman"/>
          <w:lang w:val="en-US" w:bidi="en-US"/>
          <w:color w:val="111111"/>
          <w:sz w:val="28"/>
          <w:szCs w:val="28"/>
          <w:rtl/>
        </w:rPr>
        <w:t xml:space="preserve">(ma‘sūm (- 1676)</w:t>
      </w:r>
    </w:p>
    <w:p>
      <w:pPr>
        <w:pStyle w:val="BookText"/>
      </w:pPr>
      <w:r>
        <w:rPr>
          <w:rFonts w:ascii="IRNazanin" w:hAnsi="IRNazanin" w:eastAsia="IRNazanin" w:cs="IRNazanin"/>
          <w:lang w:bidi="fa-IR"/>
          <w:color w:val="111111"/>
          <w:sz w:val="28"/>
          <w:szCs w:val="28"/>
          <w:rtl/>
        </w:rPr>
        <w:t xml:space="preserve">تهران؛ مجلس؛ شماره نسخه: ۸۹۷۵/۲۷</w:t>
      </w:r>
    </w:p>
    <w:p>
      <w:pPr>
        <w:pStyle w:val="BookText"/>
      </w:pPr>
      <w:r>
        <w:rPr>
          <w:rFonts w:ascii="Amiri" w:hAnsi="Amiri" w:eastAsia="Amiri" w:cs="Amiri"/>
          <w:lang w:bidi="ar-SA"/>
          <w:color w:val="111111"/>
          <w:sz w:val="28"/>
          <w:szCs w:val="28"/>
          <w:rtl/>
        </w:rPr>
        <w:t xml:space="preserve">آغاز: اسناد ادعية السر من خط السيد نظام الدين احمد الشيرازى. الفقير الى الله الغنى المغنى احمد بن الحسن بن ابرهيم الحسنى الحسينى يروى عمه و مخدومه مجدالملة والدين اسمعيل عن والده؛ انجام: قال كان لرسول الله صلى الله عليه و اله سر فلما عشر عليه الى اخر ادعية السر</w:t>
      </w:r>
    </w:p>
    <w:p>
      <w:pPr>
        <w:pStyle w:val="BookText"/>
      </w:pPr>
      <w:r>
        <w:rPr>
          <w:rFonts w:ascii="IRNazanin" w:hAnsi="IRNazanin" w:eastAsia="IRNazanin" w:cs="IRNazanin"/>
          <w:lang w:bidi="fa-IR"/>
          <w:color w:val="111111"/>
          <w:sz w:val="28"/>
          <w:szCs w:val="28"/>
          <w:rtl/>
        </w:rPr>
        <w:t xml:space="preserve">كا: ابراهيم بن محمد حرفوشی کرکی عاملی، تا با تاریخ ۱۰۰۲ق؛ کاغذ: نخودی آهار  مهره ،جلد: میشن عنابی ضربی با ترنج و سرترنج، 1گ (۱۳۶ر-۱۳۶پ)، ۸-۱۷ سطر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اندازه: 12/3</w:t>
      </w:r>
      <w:r>
        <w:rPr>
          <w:rFonts w:ascii="Times New Roman" w:hAnsi="Times New Roman" w:eastAsia="Times New Roman" w:cs="Times New Roman"/>
          <w:lang w:val="en-US" w:bidi="en-US"/>
          <w:color w:val="111111"/>
          <w:sz w:val="28"/>
          <w:szCs w:val="28"/>
          <w:rtl/>
        </w:rPr>
        <w:t xml:space="preserve">×20/1</w:t>
      </w:r>
      <w:r>
        <w:rPr>
          <w:rFonts w:ascii="IRNazanin" w:hAnsi="IRNazanin" w:eastAsia="IRNazanin" w:cs="IRNazanin"/>
          <w:lang w:bidi="fa-IR"/>
          <w:color w:val="111111"/>
          <w:sz w:val="28"/>
          <w:szCs w:val="28"/>
          <w:rtl/>
        </w:rPr>
        <w:t xml:space="preserve">سم [ف: ۲۹/۱ - ۵۲۲]</w:t>
      </w:r>
    </w:p>
    <w:p>
      <w:pPr>
        <w:pStyle w:val="Heading3"/>
      </w:pPr>
      <w:bookmarkStart w:id="1710" w:name="_Toc1232"/>
      <w:r>
        <w:t>اسناد استرآباد / اسناد / فارسی</w:t>
      </w:r>
      <w:bookmarkEnd w:id="1710"/>
    </w:p>
    <w:p>
      <w:pPr>
        <w:pStyle w:val="BookText"/>
      </w:pPr>
      <w:r>
        <w:rPr>
          <w:rFonts w:ascii="Times New Roman" w:hAnsi="Times New Roman" w:eastAsia="Times New Roman" w:cs="Times New Roman"/>
          <w:lang w:val="en-US" w:bidi="en-US"/>
          <w:color w:val="111111"/>
          <w:sz w:val="28"/>
          <w:szCs w:val="28"/>
          <w:rtl/>
        </w:rPr>
        <w:t xml:space="preserve">asnād-e estarābād</w:t>
      </w:r>
    </w:p>
    <w:p>
      <w:pPr>
        <w:pStyle w:val="BookText"/>
      </w:pPr>
      <w:r>
        <w:rPr>
          <w:rFonts w:ascii="IRNazanin" w:hAnsi="IRNazanin" w:eastAsia="IRNazanin" w:cs="IRNazanin"/>
          <w:lang w:bidi="fa-IR"/>
          <w:color w:val="111111"/>
          <w:sz w:val="28"/>
          <w:szCs w:val="28"/>
          <w:rtl/>
        </w:rPr>
        <w:t xml:space="preserve">با عنوان های نامه دوستانه، رقم سید میرک، اوراجه نویس، ناظر، طبيب، مهتر و مهردار سفره  چی ،اشراف، صاحب جمعی، امیر آخور باشی، امیر شکار باشی، قورچی تیر و کمان، قورچی تفنگ ،قورچی  نیزه،قورچی یساول باشی، صحبت یساول، ایشک آقاسی  باشی، کتابت شوق و آرزومندی، مکاتبه محبت، فرمان برای محمد تقی تیرگر، حکم برای میرزین العابدین وارس بیگ، ... با یک حکم در پایان. در متن از صفی قلی بیگ وارلغ خان بیگ و دیگران یاد شده است. در فهرست (ش ۱۳۵) از این رساله به نام اسناد استراباد زمان شاه سلیمان (۱۱۰۵- ۱۰۷۷) یاد شده است</w:t>
      </w:r>
    </w:p>
    <w:p>
      <w:pPr>
        <w:pStyle w:val="BookText"/>
      </w:pPr>
      <w:r>
        <w:rPr>
          <w:rFonts w:ascii="IRNazanin" w:hAnsi="IRNazanin" w:eastAsia="IRNazanin" w:cs="IRNazanin"/>
          <w:lang w:bidi="fa-IR"/>
          <w:color w:val="111111"/>
          <w:sz w:val="28"/>
          <w:szCs w:val="28"/>
          <w:rtl/>
        </w:rPr>
        <w:t xml:space="preserve">تهران؛ دانشگاه؛ شماره نسخه: ۳۹۲۴-ف</w:t>
      </w:r>
    </w:p>
    <w:p>
      <w:pPr>
        <w:pStyle w:val="BookText"/>
      </w:pPr>
      <w:r>
        <w:rPr>
          <w:rFonts w:ascii="IRNazanin" w:hAnsi="IRNazanin" w:eastAsia="IRNazanin" w:cs="IRNazanin"/>
          <w:lang w:bidi="fa-IR"/>
          <w:color w:val="111111"/>
          <w:sz w:val="28"/>
          <w:szCs w:val="28"/>
          <w:rtl/>
        </w:rPr>
        <w:t xml:space="preserve">نسخه اصل: بنیاد خاورشناسی فرهنگستان لنینگراد ۲۲۸۰</w:t>
      </w:r>
      <w:r>
        <w:rPr>
          <w:rFonts w:ascii="Times New Roman" w:hAnsi="Times New Roman" w:eastAsia="Times New Roman" w:cs="Times New Roman"/>
          <w:lang w:val="en-US" w:bidi="en-US"/>
          <w:color w:val="111111"/>
          <w:sz w:val="28"/>
          <w:szCs w:val="28"/>
          <w:rtl/>
        </w:rPr>
        <w:t xml:space="preserve">B</w:t>
      </w:r>
      <w:r>
        <w:rPr>
          <w:rFonts w:ascii="IRNazanin" w:hAnsi="IRNazanin" w:eastAsia="IRNazanin" w:cs="IRNazanin"/>
          <w:lang w:bidi="fa-IR"/>
          <w:color w:val="111111"/>
          <w:sz w:val="28"/>
          <w:szCs w:val="28"/>
          <w:rtl/>
        </w:rPr>
        <w:t xml:space="preserve">؛ خط: نستعلیق، بی کا، بی تا؛ ۳۵گ (۱پ-۳۵پ) [فیلمها -ف: ۲ – ۲۸۲]</w:t>
      </w:r>
    </w:p>
    <w:p>
      <w:pPr>
        <w:pStyle w:val="Heading3"/>
      </w:pPr>
      <w:bookmarkStart w:id="1711" w:name="_Toc1233"/>
      <w:r>
        <w:t>اسناد الاحادیث / رجال / عربی</w:t>
      </w:r>
      <w:bookmarkEnd w:id="1711"/>
    </w:p>
    <w:p>
      <w:pPr>
        <w:pStyle w:val="BookText"/>
      </w:pPr>
      <w:r>
        <w:rPr>
          <w:rFonts w:ascii="Times New Roman" w:hAnsi="Times New Roman" w:eastAsia="Times New Roman" w:cs="Times New Roman"/>
          <w:lang w:val="en-US" w:bidi="en-US"/>
          <w:color w:val="111111"/>
          <w:sz w:val="28"/>
          <w:szCs w:val="28"/>
          <w:rtl/>
        </w:rPr>
        <w:t xml:space="preserve">asnad-ul-ahadit</w:t>
      </w:r>
    </w:p>
    <w:p>
      <w:pPr>
        <w:pStyle w:val="BookText"/>
      </w:pPr>
      <w:r>
        <w:rPr>
          <w:rFonts w:ascii="IRNazanin" w:hAnsi="IRNazanin" w:eastAsia="IRNazanin" w:cs="IRNazanin"/>
          <w:lang w:bidi="fa-IR"/>
          <w:color w:val="111111"/>
          <w:sz w:val="28"/>
          <w:szCs w:val="28"/>
          <w:rtl/>
        </w:rPr>
        <w:t xml:space="preserve">سند احادیث را بررسی می کند و مطالبی را به عنوان «نوادر کتاب المعيشة»، «نوادر الصیام» آورد و سند آنها را مورد بررسی قرار می دهد و از کتب اربعه و کتب رجالی شیعه و «شارح الاستبصار» یاد می کند.</w:t>
      </w:r>
    </w:p>
    <w:p>
      <w:pPr>
        <w:pStyle w:val="BookText"/>
      </w:pPr>
      <w:r>
        <w:rPr>
          <w:rFonts w:ascii="IRNazanin" w:hAnsi="IRNazanin" w:eastAsia="IRNazanin" w:cs="IRNazanin"/>
          <w:lang w:bidi="fa-IR"/>
          <w:color w:val="111111"/>
          <w:sz w:val="28"/>
          <w:szCs w:val="28"/>
          <w:rtl/>
        </w:rPr>
        <w:t xml:space="preserve">قم؛ مسجد اعظم؛ شماره نسخه: ۶۹۲/۱</w:t>
      </w:r>
    </w:p>
    <w:p>
      <w:pPr>
        <w:pStyle w:val="BookText"/>
      </w:pPr>
      <w:r>
        <w:rPr>
          <w:rFonts w:ascii="IRNazanin" w:hAnsi="IRNazanin" w:eastAsia="IRNazanin" w:cs="IRNazanin"/>
          <w:lang w:bidi="fa-IR"/>
          <w:color w:val="111111"/>
          <w:sz w:val="28"/>
          <w:szCs w:val="28"/>
          <w:rtl/>
        </w:rPr>
        <w:t xml:space="preserve">آغاز: اسماعيل النيشابورى لان الشيخ ذكر في الدروس في ترجمة احمد بن داود المذكور و ذکر محمد بن اسماعيل النيشابورى انه هجم عليه محمد بن طاهر وذكر القصه و اذا عرفت؛ انجام: فی باب الحمام محمد بن على بن محبوب عن على بن الريان بن الصلت عن الحسن بن راشد عن بعض اصحابه عن مسمع و في باب آداب الاحداث</w:t>
      </w:r>
    </w:p>
    <w:p>
      <w:pPr>
        <w:pStyle w:val="BookText"/>
      </w:pPr>
      <w:r>
        <w:rPr>
          <w:rFonts w:ascii="IRNazanin" w:hAnsi="IRNazanin" w:eastAsia="IRNazanin" w:cs="IRNazanin"/>
          <w:lang w:bidi="fa-IR"/>
          <w:color w:val="111111"/>
          <w:sz w:val="28"/>
          <w:szCs w:val="28"/>
          <w:rtl/>
        </w:rPr>
        <w:t xml:space="preserve">خط: نستعلیق، بی کا، بی تا؛افتادگی: آغاز و انجام؛ مصحح، چند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356" w:name="pg20365_260498"/>
    <w:bookmarkEnd w:id="356"/>
    <w:p>
      <w:pPr>
        <w:pStyle w:val="BookText"/>
      </w:pPr>
      <w:r>
        <w:rPr>
          <w:rFonts w:ascii="IRNazanin" w:hAnsi="IRNazanin" w:eastAsia="IRNazanin" w:cs="IRNazanin"/>
          <w:lang w:bidi="fa-IR"/>
          <w:color w:val="111111"/>
          <w:sz w:val="28"/>
          <w:szCs w:val="28"/>
          <w:rtl/>
        </w:rPr>
        <w:t xml:space="preserve">فائده در شعر و علوم غریبه در اول کتاب آمده؛ تملک : «ملا ابراهيم بن محمد احسائی دالوی»؛ جلد: تیماج قهوه ای دارای ترنج  و سر،مجدول گرهی، ۹گ، ۲۳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مخ:1- 153]</w:t>
      </w:r>
    </w:p>
    <w:p>
      <w:pPr>
        <w:pStyle w:val="Heading3"/>
      </w:pPr>
      <w:bookmarkStart w:id="1712" w:name="_Toc1234"/>
      <w:r>
        <w:t>اسناد املاک نیشابور و طوس و سبزوار / اسناد / فارس</w:t>
      </w:r>
      <w:bookmarkEnd w:id="1712"/>
    </w:p>
    <w:p>
      <w:pPr>
        <w:pStyle w:val="BookText"/>
      </w:pPr>
      <w:r>
        <w:rPr>
          <w:rFonts w:ascii="Times New Roman" w:hAnsi="Times New Roman" w:eastAsia="Times New Roman" w:cs="Times New Roman"/>
          <w:lang w:val="en-US" w:bidi="en-US"/>
          <w:color w:val="111111"/>
          <w:sz w:val="28"/>
          <w:szCs w:val="28"/>
          <w:rtl/>
        </w:rPr>
        <w:t xml:space="preserve">asnād-e amlāk-e neyšābūr va tūs va sabzevār</w:t>
      </w:r>
    </w:p>
    <w:p>
      <w:pPr>
        <w:pStyle w:val="BookText"/>
      </w:pPr>
      <w:r>
        <w:rPr>
          <w:rFonts w:ascii="IRNazanin" w:hAnsi="IRNazanin" w:eastAsia="IRNazanin" w:cs="IRNazanin"/>
          <w:lang w:bidi="fa-IR"/>
          <w:color w:val="111111"/>
          <w:sz w:val="28"/>
          <w:szCs w:val="28"/>
          <w:rtl/>
        </w:rPr>
        <w:t xml:space="preserve">تهران؛ دانشگاه؛ شماره نسخه: ۵۰۳۱</w:t>
      </w:r>
    </w:p>
    <w:p>
      <w:pPr>
        <w:pStyle w:val="BookText"/>
      </w:pPr>
      <w:r>
        <w:rPr>
          <w:rFonts w:ascii="IRNazanin" w:hAnsi="IRNazanin" w:eastAsia="IRNazanin" w:cs="IRNazanin"/>
          <w:lang w:bidi="fa-IR"/>
          <w:color w:val="111111"/>
          <w:sz w:val="28"/>
          <w:szCs w:val="28"/>
          <w:rtl/>
        </w:rPr>
        <w:t xml:space="preserve">عنوان در آغاز نسخه «فهرست نوشتجات و قباله جات املاک ابتياعيه ارض خراسان» و در پایان «کتابچه در شرح قباله جات و بنچاقات املاک نیشابور و ارض اقدس و سبزوار است» و تاریخ آنها از ۱۲۸۶ و شوال ۱۲۸۷ است تا سال ۱۲۹۰: نخستین آنها سواد قباله و انتقال نامه دو دانگ محمد آباد و آبگینه و نیمه احمد آ باد است به حاجی مستشار الملک مورخ ۱۲۸۷-۱۲۸۶ و بازپسین  آنها سواد قسمت نامه امان آباد است مورخ ۱۲۹۰؛ خط: شکـسته نستعلیق ،كا: مؤيد  الدوله ،تا: ۱۷ شوال ۱۳۰۵ق، در آن آمده  که «در پنجاه و هشت ورق ثبت شده خدمت حاجی محمد حسن امين دارالضرب داده شده»؛ کاغذ ،فرنگی ،جلد: تیماج سرخ، ۹۰گ، ۱۳ سطر (9</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،قطع: وزیری،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15- 4092]</w:t>
      </w:r>
    </w:p>
    <w:p>
      <w:pPr>
        <w:pStyle w:val="Heading3"/>
      </w:pPr>
      <w:bookmarkStart w:id="1713" w:name="_Toc1235"/>
      <w:r>
        <w:t>اسناد امین الدوله فرخ خان / اسناد / فارسی</w:t>
      </w:r>
      <w:bookmarkEnd w:id="1713"/>
    </w:p>
    <w:p>
      <w:pPr>
        <w:pStyle w:val="BookText"/>
      </w:pPr>
      <w:r>
        <w:rPr>
          <w:rFonts w:ascii="Times New Roman" w:hAnsi="Times New Roman" w:eastAsia="Times New Roman" w:cs="Times New Roman"/>
          <w:lang w:val="en-US" w:bidi="en-US"/>
          <w:color w:val="111111"/>
          <w:sz w:val="28"/>
          <w:szCs w:val="28"/>
          <w:rtl/>
        </w:rPr>
        <w:t xml:space="preserve">asnād-e amīn-od-dole farrox xān</w:t>
      </w:r>
    </w:p>
    <w:p>
      <w:pPr>
        <w:pStyle w:val="BookText"/>
      </w:pPr>
      <w:r>
        <w:rPr>
          <w:rFonts w:ascii="IRNazanin" w:hAnsi="IRNazanin" w:eastAsia="IRNazanin" w:cs="IRNazanin"/>
          <w:lang w:bidi="fa-IR"/>
          <w:color w:val="111111"/>
          <w:sz w:val="28"/>
          <w:szCs w:val="28"/>
          <w:rtl/>
        </w:rPr>
        <w:t xml:space="preserve">تهران؛ دانشگاه؛ شماره نسخه: ۶۹۷۶-عکس</w:t>
      </w:r>
    </w:p>
    <w:p>
      <w:pPr>
        <w:pStyle w:val="BookText"/>
      </w:pPr>
      <w:r>
        <w:rPr>
          <w:rFonts w:ascii="IRNazanin" w:hAnsi="IRNazanin" w:eastAsia="IRNazanin" w:cs="IRNazanin"/>
          <w:lang w:bidi="fa-IR"/>
          <w:color w:val="111111"/>
          <w:sz w:val="28"/>
          <w:szCs w:val="28"/>
          <w:rtl/>
        </w:rPr>
        <w:t xml:space="preserve">بی کا، بی تا؛ ۸۷گ [ فیلمها -ف: ۳ - ۲۷۰]</w:t>
      </w:r>
    </w:p>
    <w:p>
      <w:pPr>
        <w:pStyle w:val="Heading3"/>
      </w:pPr>
      <w:bookmarkStart w:id="1714" w:name="_Toc1236"/>
      <w:r>
        <w:t>اسناد انجمن ایالتی آذر بایجان / اسناد / فارسی</w:t>
      </w:r>
      <w:bookmarkEnd w:id="1714"/>
    </w:p>
    <w:p>
      <w:pPr>
        <w:pStyle w:val="BookText"/>
      </w:pPr>
      <w:r>
        <w:rPr>
          <w:rFonts w:ascii="Times New Roman" w:hAnsi="Times New Roman" w:eastAsia="Times New Roman" w:cs="Times New Roman"/>
          <w:lang w:val="en-US" w:bidi="en-US"/>
          <w:color w:val="111111"/>
          <w:sz w:val="28"/>
          <w:szCs w:val="28"/>
          <w:rtl/>
        </w:rPr>
        <w:t xml:space="preserve">asnād-e anjoman-e eyālatī-ye āzarbāyjān</w:t>
      </w:r>
    </w:p>
    <w:p>
      <w:pPr>
        <w:pStyle w:val="BookText"/>
      </w:pPr>
      <w:r>
        <w:rPr>
          <w:rFonts w:ascii="IRNazanin" w:hAnsi="IRNazanin" w:eastAsia="IRNazanin" w:cs="IRNazanin"/>
          <w:lang w:bidi="fa-IR"/>
          <w:color w:val="111111"/>
          <w:sz w:val="28"/>
          <w:szCs w:val="28"/>
          <w:rtl/>
        </w:rPr>
        <w:t xml:space="preserve">١. تهران؛ مجلس؛ شماره نسخه: ۸۰۶۸</w:t>
      </w:r>
    </w:p>
    <w:p>
      <w:pPr>
        <w:pStyle w:val="BookText"/>
      </w:pPr>
      <w:r>
        <w:rPr>
          <w:rFonts w:ascii="IRNazanin" w:hAnsi="IRNazanin" w:eastAsia="IRNazanin" w:cs="IRNazanin"/>
          <w:lang w:bidi="fa-IR"/>
          <w:color w:val="111111"/>
          <w:sz w:val="28"/>
          <w:szCs w:val="28"/>
          <w:rtl/>
        </w:rPr>
        <w:t xml:space="preserve">آغاز: ۲۴ رجب -[ شماره ۲۴۹۲] انجمن محترم ولايتى دام بقـائه. جناب آقای انتخاب الملک که از طرف ریاست مالیه آذربایجان بمباشرت مالیه آن صوب معین شده اند، عن الضروره از طرف انجمن محترم ولایتی لازمه مساعدت قانونی را درباره ایشان مرعی دارید که مشغول تمشیت امور مالیه آنجا بوده  باشند.( امـضا: محمد تقى الطباطبائی)؛انجام: بالاخره میزانی برای وجه مخارج کلیه انجمن های ... آذربایجان تصویب شده همین چند رو ابلاغ آن به جنابان عالی خواهد رسید که مباشر عالیه آنجام ماه عاید دارد. ازین بابت آسوده خاطر باشید. (امضا: امین التجا) از (گردآوری): ناصر الكتاب (دفتر دار انجمن) (قرن ۱۴ق) دفتر حاضر و دفتر شماره بعدی، رونوشت اسناد ایالتی آذربایجان در سال های ۱۳۲۸ و ۱۳۲۹ق( سالیان تجاوز روس ها به ایران) اسـت.</w:t>
      </w:r>
    </w:p>
    <w:p>
      <w:pPr>
        <w:pStyle w:val="BookText"/>
      </w:pPr>
      <w:r>
        <w:rPr>
          <w:rFonts w:ascii="IRNazanin" w:hAnsi="IRNazanin" w:eastAsia="IRNazanin" w:cs="IRNazanin"/>
          <w:lang w:bidi="fa-IR"/>
          <w:color w:val="111111"/>
          <w:sz w:val="28"/>
          <w:szCs w:val="28"/>
          <w:rtl/>
        </w:rPr>
        <w:t xml:space="preserve">این دو مجلد که شامل برگ های نازک پوست پیازی است، رونوشت نامه ها و تلگراف های ارسالی و بعضا اسناد و نامه های مهم دریافتی انجمن را در خود ثبت کرده است. به نظر می رسد دفتر حاضر جلد نخستی داشته باشد که به شماره ۲۴۹۱ ختم می شده و شامل نامه های سال ۱۳۲۸ق بوده است. این مجموعه اسناد که یک جا و به این شکل هیچ قرینی ندارد و منحصر به فرد به شمار می رود در کنار روزنامه  انجمن، مهمترین منابع مطالعه انجمن ایالتی آذربایجان در عصر مشروطه به شمار می رود. در این مجموعه اسناد رسیده از طهران و فرستاده شده به پایتخت، رونوشت تلگراف ها و نامه های انجمن به اداره های مالیه و غیره و انجمن های شهرهایی که صاحب انجمن ایالتی بوده اند دیده می شود. تاریخ نخستین رونوشت  نامه، ۲۴ رجب، خطاب به انجمن محترم ولایتی - دام بقائه» و تاریخ آخرین رونوشت، ۷ ربیع الاول، خطاب به «انجمن محترم ولایتی اردبیل» است. بررسی جزء به جزء این حجم از اسناد از وظیفه فهرست حاضر خارج است و خود فهرست مفصلی می طلبد که در دستور کتابخانه، بخش اسناد قرار می گیرد ؛خط: شکسته نستعلیق، بی کا، تا ،۱۳۲۸ق، رونوشت ها شاید به خط «ناصر الكتاب»، دفتر دار انجمن در آن سالیان باشد که در پایان هر نامه به امضای «امین التجار» یا «محمد تقی طباطبائی» (رئیس انجمن در سالهای پس از واقعه مجلس شورای ملی) و یا مهر انجمن رسیده است. دو گونه مهر در این مجموعه استفاده شده است:- مهر بیضی کوچک به سبک قدیم به به خط نستعلیق - مهر بیضی بزرگ به سبک جدید به خط نستعلیق. صفحات این مجلد از ۲۴۹۲ تا ۲۶۵۵ نمره خورده است. کاغذهای دفتر پوست پیازی خارجی و گوشه بالای پشت برگه ها. از سمت چپ به راست به لاتین شماره صفحه خورده است. در هر صفحه معمولا دو یا بعضا یک رونوشت نامه یا تلگراف نوشته و در سمت راست هر رونوشت، تاریخ آن ثبت شده است. به دلیل نازک بودن ،اوراق فقط در یک روی صفحات نوشته داریم که اغلب از پشت نیز جوهر آنها خواناست. روی لت سمت  راست جلد دفتر، کاغذی چسبانده شده به خط ناصر الكتاب، این محتوا: «نمره ۵- دفتر کوپیه متفرقه شهر و خارج و داخل در تاریخ ۲۴ رجب در نمره ۲۴۹۲ شروع شده. ۱۳۲۸ ناصر الكتاب دفتر دار؛ جلد: مقوایی با روکش کاغذی مشکی دارای طرح موجی، ۵۰۰گ مختلف السطر، اندازه: 21/1</w:t>
      </w:r>
      <w:r>
        <w:rPr>
          <w:rFonts w:ascii="Times New Roman" w:hAnsi="Times New Roman" w:eastAsia="Times New Roman" w:cs="Times New Roman"/>
          <w:lang w:val="en-US" w:bidi="en-US"/>
          <w:color w:val="111111"/>
          <w:sz w:val="28"/>
          <w:szCs w:val="28"/>
          <w:rtl/>
        </w:rPr>
        <w:t xml:space="preserve">×26/7</w:t>
      </w:r>
      <w:r>
        <w:rPr>
          <w:rFonts w:ascii="IRNazanin" w:hAnsi="IRNazanin" w:eastAsia="IRNazanin" w:cs="IRNazanin"/>
          <w:lang w:bidi="fa-IR"/>
          <w:color w:val="111111"/>
          <w:sz w:val="28"/>
          <w:szCs w:val="28"/>
          <w:rtl/>
        </w:rPr>
        <w:t xml:space="preserve">سم [ف: ۲۷/۱۸ - ۱۲۱]  ۲. تهران؛ مجلس؛ شماره نسخه: ۸۰۶۹</w:t>
      </w:r>
    </w:p>
    <w:p>
      <w:pPr>
        <w:pStyle w:val="BookText"/>
      </w:pPr>
      <w:r>
        <w:rPr>
          <w:rFonts w:ascii="IRNazanin" w:hAnsi="IRNazanin" w:eastAsia="IRNazanin" w:cs="IRNazanin"/>
          <w:lang w:bidi="fa-IR"/>
          <w:color w:val="111111"/>
          <w:sz w:val="28"/>
          <w:szCs w:val="28"/>
          <w:rtl/>
        </w:rPr>
        <w:t xml:space="preserve">آغاز: ۱۰ شعبان - توسط آقا متعهد التجار خدمت.... محترم دامت تائیداتهم - [ رمزی است ] ب غ ع ت ط. د  م.چ ل د م. د ث ق د م. ص ج د ر ب ب ق م ف ع د ر ع د ر ع س . .؛ انجام.. ... مشار اليه   وجه مزبور را کارسازی دارد در موقع محاسبه ایشان هرگاه فاضل حسابی داشته باشند مسئولیت آن با حضرتعالی نبوده و قرار پرداخت اضافه حسابایشان همه خواهد شد. (مهر و امضا)</w:t>
      </w:r>
    </w:p>
    <w:p>
      <w:pPr>
        <w:pStyle w:val="BookText"/>
      </w:pPr>
      <w:r>
        <w:rPr>
          <w:rFonts w:ascii="IRNazanin" w:hAnsi="IRNazanin" w:eastAsia="IRNazanin" w:cs="IRNazanin"/>
          <w:lang w:bidi="fa-IR"/>
          <w:color w:val="111111"/>
          <w:sz w:val="28"/>
          <w:szCs w:val="28"/>
          <w:rtl/>
        </w:rPr>
        <w:t xml:space="preserve">گردآوری: ناصر الكتاب (دفتر دار انجمن) (قرن ۱۴ق) دفتر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357" w:name="pg20365_260499"/>
    <w:bookmarkEnd w:id="357"/>
    <w:p>
      <w:pPr>
        <w:pStyle w:val="BookText"/>
      </w:pPr>
      <w:r>
        <w:rPr>
          <w:rFonts w:ascii="IRNazanin" w:hAnsi="IRNazanin" w:eastAsia="IRNazanin" w:cs="IRNazanin"/>
          <w:lang w:bidi="fa-IR"/>
          <w:color w:val="111111"/>
          <w:sz w:val="28"/>
          <w:szCs w:val="28"/>
          <w:rtl/>
        </w:rPr>
        <w:t xml:space="preserve">دیگری از مجموعه ای است که در شماره قبلی توصیف شد.این دفتر نیز جلد نخستی داشته که آن  جلد نیز، مخصوص نامه ها سال ۱۳۲۹ق بوده است. در این دفتر رونوشت اسناد و تلگرافهای سال ۱۳۲۹ق انجمن ایالتی آذربایجان ثبت شده است و از 2022تا 3969 نمره خورده است. تاریخ نخستین نامه ۱۰ شعبان با عنوان «توسط آقای معتمد التجار خدمت ...» (نامه ای است که با رمز نوشته شده است) و تاریخ آخرین نامه این دفتر، ۲۸ ذیحجه و با خطاب «ریاست اداره جلیله مالیه» می باشد. در این  دفتر، امضاهـای پایانی نامه ها متفاوت از دفتر پیشین است که البته عجالتا خوانده نشد؛ خط: شکسته نستعلیق، بی کا، تا: ۱۳۲۹ق، رونوشت ها شـاید خط «ناصر الكتاب» دفتر دار انجمن باشد که در پایان به مهر انجمن (دو نوع مهری که عینا در مشخصات نسخه شناسی دفتر قبلی وصف شده) و امضای مسئول آن رسیده است. امضاهای این دفتر متفاوت از دفتر قبلی  است. مشخصات اوراق و شمـاره صفحاتش مانند نسخه قبلی در این دفتر اسناد نمره ۲۰۲۲ تا 3969 ثبت شده است. صفحات ۴۷۸ تا ۴۹۷) (برگ پایانی) نانوشته مانده است روی لت سمت راست جلد  دفتر، کاغذی چسبانده شده به  خط ناصر الكتاب به این مضمون «نمره -۷ دفتر اندیکاتر از دفتر نمره ۶ از نمره ۲۰۲۲ از دهم شهر شعبان شروع ده ۱۳۲۹. دفتر ناصر الكتاب»؛ جلد: مقوایی با روکش کاغذی  مشکی، ۴۷۷گ، مختلف السطر، اندازه:۲۱/۱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۲۶/۷سم [ف: ۲۷/۱ - ۱۲۲]</w:t>
      </w:r>
    </w:p>
    <w:p>
      <w:pPr>
        <w:pStyle w:val="Heading3"/>
      </w:pPr>
      <w:bookmarkStart w:id="1715" w:name="_Toc1237"/>
      <w:r>
        <w:t>اسناد اوراد فتحیه / عرفان و تصوف / فارسی</w:t>
      </w:r>
      <w:bookmarkEnd w:id="1715"/>
    </w:p>
    <w:p>
      <w:pPr>
        <w:pStyle w:val="BookText"/>
      </w:pPr>
      <w:r>
        <w:rPr>
          <w:rFonts w:ascii="Times New Roman" w:hAnsi="Times New Roman" w:eastAsia="Times New Roman" w:cs="Times New Roman"/>
          <w:lang w:val="en-US" w:bidi="en-US"/>
          <w:color w:val="111111"/>
          <w:sz w:val="28"/>
          <w:szCs w:val="28"/>
          <w:rtl/>
        </w:rPr>
        <w:t xml:space="preserve">asnād-e owrād-e fathīye</w:t>
      </w:r>
    </w:p>
    <w:p>
      <w:pPr>
        <w:pStyle w:val="BookText"/>
      </w:pPr>
      <w:r>
        <w:rPr>
          <w:rFonts w:ascii="IRNazanin" w:hAnsi="IRNazanin" w:eastAsia="IRNazanin" w:cs="IRNazanin"/>
          <w:lang w:bidi="fa-IR"/>
          <w:color w:val="111111"/>
          <w:sz w:val="28"/>
          <w:szCs w:val="28"/>
          <w:rtl/>
        </w:rPr>
        <w:t xml:space="preserve">همدانی، علی بن  محمد، ۷۱۴ - ۷۸۶ قمری</w:t>
      </w:r>
    </w:p>
    <w:p>
      <w:pPr>
        <w:pStyle w:val="BookText"/>
      </w:pPr>
      <w:r>
        <w:rPr>
          <w:rFonts w:ascii="Times New Roman" w:hAnsi="Times New Roman" w:eastAsia="Times New Roman" w:cs="Times New Roman"/>
          <w:lang w:val="en-US" w:bidi="en-US"/>
          <w:color w:val="111111"/>
          <w:sz w:val="28"/>
          <w:szCs w:val="28"/>
          <w:rtl/>
        </w:rPr>
        <w:t xml:space="preserve">(hamadānī, ‘alī ebn-e mohammad (1315 - 1385)</w:t>
      </w:r>
    </w:p>
    <w:p>
      <w:pPr>
        <w:pStyle w:val="BookText"/>
      </w:pPr>
      <w:r>
        <w:rPr>
          <w:rFonts w:ascii="IRNazanin" w:hAnsi="IRNazanin" w:eastAsia="IRNazanin" w:cs="IRNazanin"/>
          <w:lang w:bidi="fa-IR"/>
          <w:color w:val="111111"/>
          <w:sz w:val="28"/>
          <w:szCs w:val="28"/>
          <w:rtl/>
        </w:rPr>
        <w:t xml:space="preserve">تهران؛ دانشگاه؛ شماره نسخه: ۷۷۴/۶-ف</w:t>
      </w:r>
    </w:p>
    <w:p>
      <w:pPr>
        <w:pStyle w:val="BookText"/>
      </w:pPr>
      <w:r>
        <w:rPr>
          <w:rFonts w:ascii="IRNazanin" w:hAnsi="IRNazanin" w:eastAsia="IRNazanin" w:cs="IRNazanin"/>
          <w:lang w:bidi="fa-IR"/>
          <w:color w:val="111111"/>
          <w:sz w:val="28"/>
          <w:szCs w:val="28"/>
          <w:rtl/>
        </w:rPr>
        <w:t xml:space="preserve">نسخه اصل: پاریس 39 .(بلوشه ۱۵۶)؛ خط: نسخ، بی کا، ۲۳ سطر [ فیلم ها -ف: ۱ - ۵۳۷]</w:t>
      </w:r>
    </w:p>
    <w:p>
      <w:pPr>
        <w:pStyle w:val="Heading3"/>
      </w:pPr>
      <w:bookmarkStart w:id="1716" w:name="_Toc1238"/>
      <w:r>
        <w:t>اسناد ایرانی گاردان / اسناد / فارسی</w:t>
      </w:r>
      <w:bookmarkEnd w:id="1716"/>
    </w:p>
    <w:p>
      <w:pPr>
        <w:pStyle w:val="BookText"/>
      </w:pPr>
      <w:r>
        <w:rPr>
          <w:rFonts w:ascii="Times New Roman" w:hAnsi="Times New Roman" w:eastAsia="Times New Roman" w:cs="Times New Roman"/>
          <w:lang w:val="en-US" w:bidi="en-US"/>
          <w:color w:val="111111"/>
          <w:sz w:val="28"/>
          <w:szCs w:val="28"/>
          <w:rtl/>
        </w:rPr>
        <w:t xml:space="preserve">asnād-e īrānī-ye gārdān</w:t>
      </w:r>
    </w:p>
    <w:p>
      <w:pPr>
        <w:pStyle w:val="BookText"/>
      </w:pPr>
      <w:r>
        <w:rPr>
          <w:rFonts w:ascii="IRNazanin" w:hAnsi="IRNazanin" w:eastAsia="IRNazanin" w:cs="IRNazanin"/>
          <w:lang w:bidi="fa-IR"/>
          <w:color w:val="111111"/>
          <w:sz w:val="28"/>
          <w:szCs w:val="28"/>
          <w:rtl/>
        </w:rPr>
        <w:t xml:space="preserve">در هنگام مأموریت او در ایران (۱۸۰۸-۱۸۰۷م).</w:t>
      </w:r>
    </w:p>
    <w:p>
      <w:pPr>
        <w:pStyle w:val="BookText"/>
      </w:pPr>
      <w:r>
        <w:rPr>
          <w:rFonts w:ascii="IRNazanin" w:hAnsi="IRNazanin" w:eastAsia="IRNazanin" w:cs="IRNazanin"/>
          <w:lang w:bidi="fa-IR"/>
          <w:color w:val="111111"/>
          <w:sz w:val="28"/>
          <w:szCs w:val="28"/>
          <w:rtl/>
        </w:rPr>
        <w:t xml:space="preserve">تهران؛ دانشگاه؛ شماره نسخه: ۳۷۸۸-ف</w:t>
      </w:r>
    </w:p>
    <w:p>
      <w:pPr>
        <w:pStyle w:val="BookText"/>
      </w:pPr>
      <w:r>
        <w:rPr>
          <w:rFonts w:ascii="IRNazanin" w:hAnsi="IRNazanin" w:eastAsia="IRNazanin" w:cs="IRNazanin"/>
          <w:lang w:bidi="fa-IR"/>
          <w:color w:val="111111"/>
          <w:sz w:val="28"/>
          <w:szCs w:val="28"/>
          <w:rtl/>
        </w:rPr>
        <w:t xml:space="preserve">بی کا، بی تا؛ اطاق بازرگانی بندر مارسیل. [ فیلم ها-ف: ۲ - ۲۴۹]</w:t>
      </w:r>
    </w:p>
    <w:p>
      <w:pPr>
        <w:pStyle w:val="Heading3"/>
      </w:pPr>
      <w:bookmarkStart w:id="1717" w:name="_Toc1239"/>
      <w:r>
        <w:t>اسناد پلتیکی مملکت مصر = امور مملکت مصر  = امور دولت مصر / اسناد / فارسی</w:t>
      </w:r>
      <w:bookmarkEnd w:id="1717"/>
    </w:p>
    <w:p>
      <w:pPr>
        <w:pStyle w:val="BookText"/>
      </w:pPr>
      <w:r>
        <w:rPr>
          <w:rFonts w:ascii="Times New Roman" w:hAnsi="Times New Roman" w:eastAsia="Times New Roman" w:cs="Times New Roman"/>
          <w:lang w:val="en-US" w:bidi="en-US"/>
          <w:color w:val="111111"/>
          <w:sz w:val="28"/>
          <w:szCs w:val="28"/>
          <w:rtl/>
        </w:rPr>
        <w:t xml:space="preserve">asnād-e poletīkī-ye mamlekat-e mesr = omūr-e</w:t>
      </w:r>
    </w:p>
    <w:p>
      <w:pPr>
        <w:pStyle w:val="BookText"/>
      </w:pPr>
      <w:r>
        <w:rPr>
          <w:rFonts w:ascii="Times New Roman" w:hAnsi="Times New Roman" w:eastAsia="Times New Roman" w:cs="Times New Roman"/>
          <w:lang w:val="en-US" w:bidi="en-US"/>
          <w:color w:val="111111"/>
          <w:sz w:val="28"/>
          <w:szCs w:val="28"/>
          <w:rtl/>
        </w:rPr>
        <w:t xml:space="preserve">mlekat-e mesr = omur-e dowlat-e mesr</w:t>
      </w:r>
    </w:p>
    <w:p>
      <w:pPr>
        <w:pStyle w:val="BookText"/>
      </w:pPr>
      <w:r>
        <w:rPr>
          <w:rFonts w:ascii="IRNazanin" w:hAnsi="IRNazanin" w:eastAsia="IRNazanin" w:cs="IRNazanin"/>
          <w:lang w:bidi="fa-IR"/>
          <w:color w:val="111111"/>
          <w:sz w:val="28"/>
          <w:szCs w:val="28"/>
          <w:rtl/>
        </w:rPr>
        <w:t xml:space="preserve">نورمان، ق۱۴ قمری</w:t>
      </w:r>
    </w:p>
    <w:p>
      <w:pPr>
        <w:pStyle w:val="BookText"/>
      </w:pPr>
      <w:r>
        <w:rPr>
          <w:rFonts w:ascii="Times New Roman" w:hAnsi="Times New Roman" w:eastAsia="Times New Roman" w:cs="Times New Roman"/>
          <w:lang w:val="en-US" w:bidi="en-US"/>
          <w:color w:val="111111"/>
          <w:sz w:val="28"/>
          <w:szCs w:val="28"/>
          <w:rtl/>
        </w:rPr>
        <w:t xml:space="preserve">(morman (-20c)</w:t>
      </w:r>
    </w:p>
    <w:p>
      <w:pPr>
        <w:pStyle w:val="BookText"/>
      </w:pPr>
      <w:r>
        <w:rPr>
          <w:rFonts w:ascii="IRNazanin" w:hAnsi="IRNazanin" w:eastAsia="IRNazanin" w:cs="IRNazanin"/>
          <w:lang w:bidi="fa-IR"/>
          <w:color w:val="111111"/>
          <w:sz w:val="28"/>
          <w:szCs w:val="28"/>
          <w:rtl/>
        </w:rPr>
        <w:t xml:space="preserve">شامل اسناد رسمی پلتیکی (سیاسی) است که بین دول خارجه در رابطه با کشور مصر رد و بدل شده و از جهت شناخت تاریخ سیاسی اواخر قرن نوزدهم میلادی حایز اهمیت می باشد. به وسیله مسیو نورمان  سرتیپ، منشی اول وزارت امور خارجه در ۲۵  جمادى الاول ۱۳۰۰ به فارسی ترجمه شده است.</w:t>
      </w:r>
    </w:p>
    <w:p>
      <w:pPr>
        <w:pStyle w:val="BookText"/>
      </w:pPr>
      <w:r>
        <w:rPr>
          <w:rFonts w:ascii="IRNazanin" w:hAnsi="IRNazanin" w:eastAsia="IRNazanin" w:cs="IRNazanin"/>
          <w:lang w:bidi="fa-IR"/>
          <w:color w:val="111111"/>
          <w:sz w:val="28"/>
          <w:szCs w:val="28"/>
          <w:rtl/>
        </w:rPr>
        <w:t xml:space="preserve">۱ .تهران مفتاح؛ شماره نسخه: ۱۱۴۳</w:t>
      </w:r>
    </w:p>
    <w:p>
      <w:pPr>
        <w:pStyle w:val="BookText"/>
      </w:pPr>
      <w:r>
        <w:rPr>
          <w:rFonts w:ascii="IRNazanin" w:hAnsi="IRNazanin" w:eastAsia="IRNazanin" w:cs="IRNazanin"/>
          <w:lang w:bidi="fa-IR"/>
          <w:color w:val="111111"/>
          <w:sz w:val="28"/>
          <w:szCs w:val="28"/>
          <w:rtl/>
        </w:rPr>
        <w:t xml:space="preserve">خط: نستعلیق، بی کا، تا: قرن ۱۳؛ مجدول؛ قطع: رحلی [نشریه: ۷ - ۱۰۵]</w:t>
      </w:r>
    </w:p>
    <w:p>
      <w:pPr>
        <w:pStyle w:val="BookText"/>
      </w:pPr>
      <w:r>
        <w:rPr>
          <w:rFonts w:ascii="IRNazanin" w:hAnsi="IRNazanin" w:eastAsia="IRNazanin" w:cs="IRNazanin"/>
          <w:lang w:bidi="fa-IR"/>
          <w:color w:val="111111"/>
          <w:sz w:val="28"/>
          <w:szCs w:val="28"/>
          <w:rtl/>
        </w:rPr>
        <w:t xml:space="preserve">۲. قم؛ مرکز احیاء؛ شماره نسخه: ۱۲۷۹</w:t>
      </w:r>
    </w:p>
    <w:p>
      <w:pPr>
        <w:pStyle w:val="BookText"/>
      </w:pPr>
      <w:r>
        <w:rPr>
          <w:rFonts w:ascii="IRNazanin" w:hAnsi="IRNazanin" w:eastAsia="IRNazanin" w:cs="IRNazanin"/>
          <w:lang w:bidi="fa-IR"/>
          <w:color w:val="111111"/>
          <w:sz w:val="28"/>
          <w:szCs w:val="28"/>
          <w:rtl/>
        </w:rPr>
        <w:t xml:space="preserve">آغاز: ترجمه کتابی است که راجع به امور مملکت مصر و اسناد پلتیکی است که ما بین نماینده های دول خارجه رسما ارسال و مرسول شده و تعلق به سال ۱۸۸۱ مسیحی دارد؛ انجام: و قانون آن که به اعتقاد ماموافق احکام داخله خدیو مصر به قاعده منظم و مرتب است تغییری حاصل گردد</w:t>
      </w:r>
    </w:p>
    <w:p>
      <w:pPr>
        <w:pStyle w:val="BookText"/>
      </w:pPr>
      <w:r>
        <w:rPr>
          <w:rFonts w:ascii="IRNazanin" w:hAnsi="IRNazanin" w:eastAsia="IRNazanin" w:cs="IRNazanin"/>
          <w:lang w:bidi="fa-IR"/>
          <w:color w:val="111111"/>
          <w:sz w:val="28"/>
          <w:szCs w:val="28"/>
          <w:rtl/>
        </w:rPr>
        <w:t xml:space="preserve">خط: نستعلیق  خوش، بی کا، تا: ۲۵ جمادی الاول ۱۳۰۰ق؛ مجدول، دارای سرلوح رنگین؛ جلد: مخمل آبی، ۱۳۶گ، ۱۳سطر،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۳۳/۵سم [ف ۴ - ۹۲]</w:t>
      </w:r>
    </w:p>
    <w:p>
      <w:pPr>
        <w:pStyle w:val="BookText"/>
      </w:pPr>
      <w:r>
        <w:rPr>
          <w:rFonts w:ascii="IRNazanin" w:hAnsi="IRNazanin" w:eastAsia="IRNazanin" w:cs="IRNazanin"/>
          <w:lang w:bidi="fa-IR"/>
          <w:color w:val="111111"/>
          <w:sz w:val="28"/>
          <w:szCs w:val="28"/>
          <w:rtl/>
        </w:rPr>
        <w:t xml:space="preserve">3.اصفهان؛ صارم الدوله (کتابخانه فرهنگ اصفهان)؛ شماره نسخه: ۸۸۴</w:t>
      </w:r>
    </w:p>
    <w:p>
      <w:pPr>
        <w:pStyle w:val="BookText"/>
      </w:pPr>
      <w:r>
        <w:rPr>
          <w:rFonts w:ascii="IRNazanin" w:hAnsi="IRNazanin" w:eastAsia="IRNazanin" w:cs="IRNazanin"/>
          <w:lang w:bidi="fa-IR"/>
          <w:color w:val="111111"/>
          <w:sz w:val="28"/>
          <w:szCs w:val="28"/>
          <w:rtl/>
        </w:rPr>
        <w:t xml:space="preserve">آغاز: در باب احوال و وقایع مملکت مصر و ارسال و مرسولیکه در باب آن شده است. تفصیل ذیل در باب عرابی پاشا می باشد؛ انجام: عارابی پاشا با همراهانش به جزیره سیلن نفی شدند و جزیره سیلن از متصرفات انگلیس است</w:t>
      </w:r>
    </w:p>
    <w:p>
      <w:pPr>
        <w:pStyle w:val="BookText"/>
      </w:pPr>
      <w:r>
        <w:rPr>
          <w:rFonts w:ascii="IRNazanin" w:hAnsi="IRNazanin" w:eastAsia="IRNazanin" w:cs="IRNazanin"/>
          <w:lang w:bidi="fa-IR"/>
          <w:color w:val="111111"/>
          <w:sz w:val="28"/>
          <w:szCs w:val="28"/>
          <w:rtl/>
        </w:rPr>
        <w:t xml:space="preserve">خط: نستعلیق  عالی، بی کا، تا: ۲۵ جمادی الاول ۱۳۰۰ق؛ دارای سرلوح مذهب دارای جداول، مصور به تصاویر چاپی الصاقی؛ کاغذ ،فرنگی ،جلد: مقوایی با روکش مخمل سرمه ای ضربی ریسه ای، ۱۹۵ ص ۱۳ سطر،(۱۳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 اندازه : 21</w:t>
      </w:r>
      <w:r>
        <w:rPr>
          <w:rFonts w:ascii="Times New Roman" w:hAnsi="Times New Roman" w:eastAsia="Times New Roman" w:cs="Times New Roman"/>
          <w:lang w:val="en-US" w:bidi="en-US"/>
          <w:color w:val="111111"/>
          <w:sz w:val="28"/>
          <w:szCs w:val="28"/>
          <w:rtl/>
        </w:rPr>
        <w:t xml:space="preserve">×23</w:t>
      </w:r>
      <w:r>
        <w:rPr>
          <w:rFonts w:ascii="IRNazanin" w:hAnsi="IRNazanin" w:eastAsia="IRNazanin" w:cs="IRNazanin"/>
          <w:lang w:bidi="fa-IR"/>
          <w:color w:val="111111"/>
          <w:sz w:val="28"/>
          <w:szCs w:val="28"/>
          <w:rtl/>
        </w:rPr>
        <w:t xml:space="preserve">سم [ف:۲۶]</w:t>
      </w:r>
    </w:p>
    <w:p>
      <w:pPr>
        <w:pStyle w:val="Heading3"/>
      </w:pPr>
      <w:bookmarkStart w:id="1718" w:name="_Toc1240"/>
      <w:r>
        <w:t>اسناد پلتیکی مملکت مصر = امور مملکت مصر =  امور دولت مصر / اسناد / فارسی</w:t>
      </w:r>
      <w:bookmarkEnd w:id="1718"/>
    </w:p>
    <w:p>
      <w:pPr>
        <w:pStyle w:val="BookText"/>
      </w:pPr>
      <w:r>
        <w:rPr>
          <w:rFonts w:ascii="Times New Roman" w:hAnsi="Times New Roman" w:eastAsia="Times New Roman" w:cs="Times New Roman"/>
          <w:lang w:val="en-US" w:bidi="en-US"/>
          <w:color w:val="111111"/>
          <w:sz w:val="28"/>
          <w:szCs w:val="28"/>
          <w:rtl/>
        </w:rPr>
        <w:t xml:space="preserve">asnād-e poletīkī-ye mamlekat-e mesr = omūr-e</w:t>
      </w:r>
    </w:p>
    <w:p>
      <w:pPr>
        <w:pStyle w:val="BookText"/>
      </w:pPr>
      <w:r>
        <w:rPr>
          <w:rFonts w:ascii="Times New Roman" w:hAnsi="Times New Roman" w:eastAsia="Times New Roman" w:cs="Times New Roman"/>
          <w:lang w:val="en-US" w:bidi="en-US"/>
          <w:color w:val="111111"/>
          <w:sz w:val="28"/>
          <w:szCs w:val="28"/>
          <w:rtl/>
        </w:rPr>
        <w:t xml:space="preserve">mamlekat-e mesr = omur-e dowlat-e mesr</w:t>
      </w:r>
    </w:p>
    <w:p>
      <w:pPr>
        <w:pStyle w:val="BookText"/>
      </w:pPr>
      <w:r>
        <w:rPr>
          <w:rFonts w:ascii="IRNazanin" w:hAnsi="IRNazanin" w:eastAsia="IRNazanin" w:cs="IRNazanin"/>
          <w:lang w:bidi="fa-IR"/>
          <w:color w:val="111111"/>
          <w:sz w:val="28"/>
          <w:szCs w:val="28"/>
          <w:rtl/>
        </w:rPr>
        <w:t xml:space="preserve">مترجم: علی، ق ۱۴ قمری</w:t>
      </w:r>
    </w:p>
    <w:p>
      <w:pPr>
        <w:pStyle w:val="BookText"/>
      </w:pPr>
      <w:r>
        <w:rPr>
          <w:rFonts w:ascii="IRNazanin" w:hAnsi="IRNazanin" w:eastAsia="IRNazanin" w:cs="IRNazanin"/>
          <w:lang w:bidi="fa-IR"/>
          <w:color w:val="111111"/>
          <w:sz w:val="28"/>
          <w:szCs w:val="28"/>
          <w:rtl/>
        </w:rPr>
        <w:t xml:space="preserve">۱۲۱ نامه از موسیو فری  دوسینه، وزیر امور خارجه فرانسه، راجع به مصر و مردان سیاسی انگلیس، و بحث درباره قانونی راجع به پرداخت وام های دولتی مصر.</w:t>
      </w:r>
    </w:p>
    <w:p>
      <w:pPr>
        <w:pStyle w:val="BookText"/>
      </w:pPr>
      <w:r>
        <w:rPr>
          <w:rFonts w:ascii="IRNazanin" w:hAnsi="IRNazanin" w:eastAsia="IRNazanin" w:cs="IRNazanin"/>
          <w:lang w:bidi="fa-IR"/>
          <w:color w:val="111111"/>
          <w:sz w:val="28"/>
          <w:szCs w:val="28"/>
          <w:rtl/>
        </w:rPr>
        <w:t xml:space="preserve">تهران؛ ملی؛ شماره نسخه: ۳</w:t>
      </w:r>
    </w:p>
    <w:p>
      <w:pPr>
        <w:pStyle w:val="BookText"/>
      </w:pPr>
      <w:r>
        <w:rPr>
          <w:rFonts w:ascii="IRNazanin" w:hAnsi="IRNazanin" w:eastAsia="IRNazanin" w:cs="IRNazanin"/>
          <w:lang w:bidi="fa-IR"/>
          <w:color w:val="111111"/>
          <w:sz w:val="28"/>
          <w:szCs w:val="28"/>
          <w:rtl/>
        </w:rPr>
        <w:t xml:space="preserve">آغاز: ترجمه کتابی است که راجع به امور دولت مصر است، نمره اول مراسله ای است که موسیو دوفری سینه وزیر امور خارجه دولت فرانسه از پاریس به تاریخ ششم ماه ژانویه ۱۸۸۰ میلادی؛ انجام: و علی ابراهیم وزیر علوم و محمود سامی وزیر موقوفات امضاء کرده اند. تمت ۱۲۹۹ بتاريخ غره محرم سنه ۱۳۰۰ ترجمه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358" w:name="pg20365_260500"/>
    <w:bookmarkEnd w:id="358"/>
    <w:p>
      <w:pPr>
        <w:pStyle w:val="BookText"/>
      </w:pPr>
      <w:r>
        <w:rPr>
          <w:rFonts w:ascii="IRNazanin" w:hAnsi="IRNazanin" w:eastAsia="IRNazanin" w:cs="IRNazanin"/>
          <w:lang w:bidi="fa-IR"/>
          <w:color w:val="111111"/>
          <w:sz w:val="28"/>
          <w:szCs w:val="28"/>
          <w:rtl/>
        </w:rPr>
        <w:t xml:space="preserve">شد، علی مترجم</w:t>
      </w:r>
    </w:p>
    <w:p>
      <w:pPr>
        <w:pStyle w:val="BookText"/>
      </w:pPr>
      <w:r>
        <w:rPr>
          <w:rFonts w:ascii="IRNazanin" w:hAnsi="IRNazanin" w:eastAsia="IRNazanin" w:cs="IRNazanin"/>
          <w:lang w:bidi="fa-IR"/>
          <w:color w:val="111111"/>
          <w:sz w:val="28"/>
          <w:szCs w:val="28"/>
          <w:rtl/>
        </w:rPr>
        <w:t xml:space="preserve">خط: نستعلیق  خوش، بی کا، بی تا؛ جا: تهران؛ کاغذ: فرنگی کبود ،جلد: تیماج سرخ مقوایی ضربی مجدول  مشکی، ۲۴۴گ  ، 11 سطر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۲۸/۵سم [ف: ۱ - ۲ ]</w:t>
      </w:r>
    </w:p>
    <w:p>
      <w:pPr>
        <w:pStyle w:val="Heading3"/>
      </w:pPr>
      <w:bookmarkStart w:id="1719" w:name="_Toc1241"/>
      <w:r>
        <w:t>اسناد پنجاه و پنج آیه / علوم قرآن / فارسی</w:t>
      </w:r>
      <w:bookmarkEnd w:id="1719"/>
    </w:p>
    <w:p>
      <w:pPr>
        <w:pStyle w:val="BookText"/>
      </w:pPr>
      <w:r>
        <w:rPr>
          <w:rFonts w:ascii="Times New Roman" w:hAnsi="Times New Roman" w:eastAsia="Times New Roman" w:cs="Times New Roman"/>
          <w:lang w:val="en-US" w:bidi="en-US"/>
          <w:color w:val="111111"/>
          <w:sz w:val="28"/>
          <w:szCs w:val="28"/>
          <w:rtl/>
        </w:rPr>
        <w:t xml:space="preserve">asnād-e panjāh va panj āye</w:t>
      </w:r>
    </w:p>
    <w:p>
      <w:pPr>
        <w:pStyle w:val="BookText"/>
      </w:pPr>
      <w:r>
        <w:rPr>
          <w:rFonts w:ascii="IRNazanin" w:hAnsi="IRNazanin" w:eastAsia="IRNazanin" w:cs="IRNazanin"/>
          <w:lang w:bidi="fa-IR"/>
          <w:color w:val="111111"/>
          <w:sz w:val="28"/>
          <w:szCs w:val="28"/>
          <w:rtl/>
        </w:rPr>
        <w:t xml:space="preserve">ذکر ۵۵ آیه از قوارع آیات قرآنی که از مهم ترین آیات توحیدی و از اذکار مورد استفاده رسول اکرم (صلّی اللَّهِ علیه وَ آلِهِ وَ سَلَّمَ ) بوده، همـراه با اسناد رجالی و حدیثی آن (بر اساس مذهب اهل سنت) است.</w:t>
      </w:r>
    </w:p>
    <w:p>
      <w:pPr>
        <w:pStyle w:val="BookText"/>
      </w:pPr>
      <w:r>
        <w:rPr>
          <w:rFonts w:ascii="IRNazanin" w:hAnsi="IRNazanin" w:eastAsia="IRNazanin" w:cs="IRNazanin"/>
          <w:lang w:bidi="fa-IR"/>
          <w:color w:val="111111"/>
          <w:sz w:val="28"/>
          <w:szCs w:val="28"/>
          <w:rtl/>
        </w:rPr>
        <w:t xml:space="preserve">تهران؛ مجلس؛ شماره نسخه: ۱۰۷۱۹/۲</w:t>
      </w:r>
    </w:p>
    <w:p>
      <w:pPr>
        <w:pStyle w:val="BookText"/>
      </w:pPr>
      <w:r>
        <w:rPr>
          <w:rFonts w:ascii="IRNazanin" w:hAnsi="IRNazanin" w:eastAsia="IRNazanin" w:cs="IRNazanin"/>
          <w:lang w:bidi="fa-IR"/>
          <w:color w:val="111111"/>
          <w:sz w:val="28"/>
          <w:szCs w:val="28"/>
          <w:rtl/>
        </w:rPr>
        <w:t xml:space="preserve">آغاز: اسناد آیات قوارع از قرآن مجید و فرقان حمید که در توحید است ... روایت می کند ابن عباس رضی الله عنه از پیغـمبر عليه السلام</w:t>
      </w:r>
    </w:p>
    <w:p>
      <w:pPr>
        <w:pStyle w:val="BookText"/>
      </w:pPr>
      <w:r>
        <w:rPr>
          <w:rFonts w:ascii="IRNazanin" w:hAnsi="IRNazanin" w:eastAsia="IRNazanin" w:cs="IRNazanin"/>
          <w:lang w:bidi="fa-IR"/>
          <w:color w:val="111111"/>
          <w:sz w:val="28"/>
          <w:szCs w:val="28"/>
          <w:rtl/>
        </w:rPr>
        <w:t xml:space="preserve">بی کا، بی تا؛ تمام صفحات ترمیم شده است؛ جلد: تیماج  سبز يشمى، ۸ ص (۱۸-۲۵)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۳۳/۱ - ۱۹۴]</w:t>
      </w:r>
    </w:p>
    <w:p>
      <w:pPr>
        <w:pStyle w:val="Heading3"/>
      </w:pPr>
      <w:bookmarkStart w:id="1720" w:name="_Toc1242"/>
      <w:r>
        <w:t>اسناد تاریخی / اسناد / فارسی</w:t>
      </w:r>
      <w:bookmarkEnd w:id="1720"/>
    </w:p>
    <w:p>
      <w:pPr>
        <w:pStyle w:val="BookText"/>
      </w:pPr>
      <w:r>
        <w:rPr>
          <w:rFonts w:ascii="Times New Roman" w:hAnsi="Times New Roman" w:eastAsia="Times New Roman" w:cs="Times New Roman"/>
          <w:lang w:val="en-US" w:bidi="en-US"/>
          <w:color w:val="111111"/>
          <w:sz w:val="28"/>
          <w:szCs w:val="28"/>
          <w:rtl/>
        </w:rPr>
        <w:t xml:space="preserve">asnād-e tārīxī</w:t>
      </w:r>
    </w:p>
    <w:p>
      <w:pPr>
        <w:pStyle w:val="BookText"/>
      </w:pPr>
      <w:r>
        <w:rPr>
          <w:rFonts w:ascii="IRNazanin" w:hAnsi="IRNazanin" w:eastAsia="IRNazanin" w:cs="IRNazanin"/>
          <w:lang w:bidi="fa-IR"/>
          <w:color w:val="111111"/>
          <w:sz w:val="28"/>
          <w:szCs w:val="28"/>
          <w:rtl/>
        </w:rPr>
        <w:t xml:space="preserve">تهران دانشگاه؛ شماره نسخه: ۴۸۰۷-ف</w:t>
      </w:r>
    </w:p>
    <w:p>
      <w:pPr>
        <w:pStyle w:val="BookText"/>
      </w:pPr>
      <w:r>
        <w:rPr>
          <w:rFonts w:ascii="IRNazanin" w:hAnsi="IRNazanin" w:eastAsia="IRNazanin" w:cs="IRNazanin"/>
          <w:lang w:bidi="fa-IR"/>
          <w:color w:val="111111"/>
          <w:sz w:val="28"/>
          <w:szCs w:val="28"/>
          <w:rtl/>
        </w:rPr>
        <w:t xml:space="preserve">نسخه اصل: از خانه آقای جلیلوند به وسیله آقای مسعود مسعود گلزاری در ۲۲۴ قطعه فیلم؛ بی کا، بی تا [ فیلم ها-ف: ۳ - ۱۰۸]</w:t>
      </w:r>
    </w:p>
    <w:p>
      <w:pPr>
        <w:pStyle w:val="Heading3"/>
      </w:pPr>
      <w:bookmarkStart w:id="1721" w:name="_Toc1243"/>
      <w:r>
        <w:t>اسناد تاریخی ایران و دولتهای دیگر / اسناد / فارسی</w:t>
      </w:r>
      <w:bookmarkEnd w:id="1721"/>
    </w:p>
    <w:p>
      <w:pPr>
        <w:pStyle w:val="BookText"/>
      </w:pPr>
      <w:r>
        <w:rPr>
          <w:rFonts w:ascii="Times New Roman" w:hAnsi="Times New Roman" w:eastAsia="Times New Roman" w:cs="Times New Roman"/>
          <w:lang w:val="en-US" w:bidi="en-US"/>
          <w:color w:val="111111"/>
          <w:sz w:val="28"/>
          <w:szCs w:val="28"/>
          <w:rtl/>
        </w:rPr>
        <w:t xml:space="preserve">asnād-e tārīxī-ye īrān va dolat-hā-ye dīgar</w:t>
      </w:r>
    </w:p>
    <w:p>
      <w:pPr>
        <w:pStyle w:val="BookText"/>
      </w:pPr>
      <w:r>
        <w:rPr>
          <w:rFonts w:ascii="IRNazanin" w:hAnsi="IRNazanin" w:eastAsia="IRNazanin" w:cs="IRNazanin"/>
          <w:lang w:bidi="fa-IR"/>
          <w:color w:val="111111"/>
          <w:sz w:val="28"/>
          <w:szCs w:val="28"/>
          <w:rtl/>
        </w:rPr>
        <w:t xml:space="preserve">صورت چند عهدنامه و قراردادهایی است تجارتی و مرزی وجزاينها كه بين  دولت ایران و دولت های دیگر شرقی و اروپایی  در عصر صفویه و قاجاریه رد و بدل شده بدين تفصيل: ۱. عهدنـامه با دولت انگلیس توسط مستر حالس؛ ۲. عهدنامه ایران با سرکور اوزلی نماینده انگلیس،3 . عهدنامه دولت انگلیس توسط مستر الس؛ ۴. احتجاج با مستر الس نماینده انگلیس؛ ۵. عهدنـامه تجارتی ایران و انگلیس؛ ۶ .قرار نامه ایران و انگلیس در باب غلام و کنیز سیاه؛ ۷. دستورالعمل ميرزا محمود خان آجودان باب غلام و کنیز؛ ۸. قرار نامه ایران با وزیر مختار انگلیس در باب هرات؛ ۹. عهدنامه صلح ایران و انگلیس؛ ۱۰. عهدنامه شاه صـفی و سلطان مراد عثمانی؛ ۱۱. عهدنامه نادرشاه و سلطان محمود عثمانی؛ ۱۲. سوادنامه پادشاه ایران به دولت عثمانی؛ 13. سواد نامه نایب السلطنه ایران به سلطان محمود عثمانی؛14. سوادنامه دولت عثمانی به نایب السلطنه ایران؛ ۱۵. قرارنامه دولت ایران و روم؛ ۱۶. سوادنامه ملکه انگلیس ویکتوریا؛ ۱۷. مقاوله نامه بین ایران و عثمانی ؛۱۸. عهدنامه فتحعلی شاه قاجار و سلطان محمود عثمانی؛ ۱۹. قرار نامه سردار کهندل خان و فرزندش سلطان على خان مظفر الدوله در باب قندهار؛ ۲۰. قرار نامه بندر عباسی .۲۱. قانون نامه تابعیت دولت ایران؛ ۲۲. عهدنامه ایران و روس؛ ۲۳ .وصیت نامه پطر کبیر امپراطور روس؛ ۲۴. در باب كرورات و تخلیه سرحدات؛ ۲۵. عهدنامه روس در باب تجارت؛ ۲۶. در باب تشریفات روس و دولت ایران؛ ۲۷. قرارنامه تجارتی ایران و روس؛ ۲۸. عهدنامه دولت ایران و فرانسه؛ ۲۹. عهدنامه گلستان ؛۳۰. عهدنامه میرزا رضا با دولت فرانسه؛ ۳۱. عهدنامه دولت بلجیک و ایران؛ ۳۲. عهدنامه دولت ایران و اسپانیول؛ ۳۳. عهدنامه دولت ایران و سوید درپاریس؛ ۳۴. عهدنامه دولت ایران و دانمارک؛ ۳۵. عهدنامه هلند و ایران؛ ۳۶. عهدنامه ایتالیا و ایران ؛۳۷. قرار نامه بندر عباسی؛ ۳۸. عهدنامه یونان و ایران؛ .۳۹. قرارنامه دولت ایران با سردار محمد علمخان در باب قندهار .۴۰. قرارنامه سردار محمد علمخان که به دولت ایران سپرده؛ ۴۱. عهدنامه ایران و اوستریا .۴۲. اعلام نامه میرزا حسین خان به ایلچی دولت اوستریا .۴۳. عهدنامه دولت بلجیک با میرزا جعفر خان؛ ۴۴. عهدنامه آمریک شمالی با دولت ایران؛ ۴۵. عهدنامه بین جنرال كوفمان وخان خيوق</w:t>
      </w:r>
    </w:p>
    <w:p>
      <w:pPr>
        <w:pStyle w:val="BookText"/>
      </w:pPr>
      <w:r>
        <w:rPr>
          <w:rFonts w:ascii="IRNazanin" w:hAnsi="IRNazanin" w:eastAsia="IRNazanin" w:cs="IRNazanin"/>
          <w:lang w:bidi="fa-IR"/>
          <w:color w:val="111111"/>
          <w:sz w:val="28"/>
          <w:szCs w:val="28"/>
          <w:rtl/>
        </w:rPr>
        <w:t xml:space="preserve">کاشان؛ فرهنگ و ارشاد؛ شماره نسخه: ۶۲</w:t>
      </w:r>
    </w:p>
    <w:p>
      <w:pPr>
        <w:pStyle w:val="BookText"/>
      </w:pPr>
      <w:r>
        <w:rPr>
          <w:rFonts w:ascii="IRNazanin" w:hAnsi="IRNazanin" w:eastAsia="IRNazanin" w:cs="IRNazanin"/>
          <w:lang w:bidi="fa-IR"/>
          <w:color w:val="111111"/>
          <w:sz w:val="28"/>
          <w:szCs w:val="28"/>
          <w:rtl/>
        </w:rPr>
        <w:t xml:space="preserve">خط: نستعلیق  خوب ،کا: محمدمهدی بن علی حسینی، تا: اوایل قرن ۱۴؛ جلد: تیماج قهوه ای بدون مقوا، ۸۱گ، مختلف السطر، اندازه: ۱۶/۵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 ۶۸]</w:t>
      </w:r>
    </w:p>
    <w:p>
      <w:pPr>
        <w:pStyle w:val="Heading3"/>
      </w:pPr>
      <w:bookmarkStart w:id="1722" w:name="_Toc1244"/>
      <w:r>
        <w:t>اسناد تاریخی و سیاسی / اسناد / فارسی</w:t>
      </w:r>
      <w:bookmarkEnd w:id="1722"/>
    </w:p>
    <w:p>
      <w:pPr>
        <w:pStyle w:val="BookText"/>
      </w:pPr>
      <w:r>
        <w:rPr>
          <w:rFonts w:ascii="Times New Roman" w:hAnsi="Times New Roman" w:eastAsia="Times New Roman" w:cs="Times New Roman"/>
          <w:lang w:val="en-US" w:bidi="en-US"/>
          <w:color w:val="111111"/>
          <w:sz w:val="28"/>
          <w:szCs w:val="28"/>
          <w:rtl/>
        </w:rPr>
        <w:t xml:space="preserve">asnād-e tārīxi va siyāsī</w:t>
      </w:r>
    </w:p>
    <w:p>
      <w:pPr>
        <w:pStyle w:val="BookText"/>
      </w:pPr>
      <w:r>
        <w:rPr>
          <w:rFonts w:ascii="IRNazanin" w:hAnsi="IRNazanin" w:eastAsia="IRNazanin" w:cs="IRNazanin"/>
          <w:lang w:bidi="fa-IR"/>
          <w:color w:val="111111"/>
          <w:sz w:val="28"/>
          <w:szCs w:val="28"/>
          <w:rtl/>
        </w:rPr>
        <w:t xml:space="preserve">ظهير الدوله، علی بن محمد  ناصر، ۱۲۸۱ - ۱۳۴۲ قمری</w:t>
      </w:r>
    </w:p>
    <w:p>
      <w:pPr>
        <w:pStyle w:val="BookText"/>
      </w:pPr>
      <w:r>
        <w:rPr>
          <w:rFonts w:ascii="Times New Roman" w:hAnsi="Times New Roman" w:eastAsia="Times New Roman" w:cs="Times New Roman"/>
          <w:lang w:val="en-US" w:bidi="en-US"/>
          <w:color w:val="111111"/>
          <w:sz w:val="28"/>
          <w:szCs w:val="28"/>
          <w:rtl/>
        </w:rPr>
        <w:t xml:space="preserve">(1924-zahir-od-dowle, ali ebn-e mohammad naser (1865</w:t>
      </w:r>
    </w:p>
    <w:p>
      <w:pPr>
        <w:pStyle w:val="BookText"/>
      </w:pPr>
      <w:r>
        <w:rPr>
          <w:rFonts w:ascii="IRNazanin" w:hAnsi="IRNazanin" w:eastAsia="IRNazanin" w:cs="IRNazanin"/>
          <w:lang w:bidi="fa-IR"/>
          <w:color w:val="111111"/>
          <w:sz w:val="28"/>
          <w:szCs w:val="28"/>
          <w:rtl/>
        </w:rPr>
        <w:t xml:space="preserve">تهران؛ مجلس؛ شماره نسخه: ۱۸۴۰۸</w:t>
      </w:r>
    </w:p>
    <w:p>
      <w:pPr>
        <w:pStyle w:val="BookText"/>
      </w:pPr>
      <w:r>
        <w:rPr>
          <w:rFonts w:ascii="IRNazanin" w:hAnsi="IRNazanin" w:eastAsia="IRNazanin" w:cs="IRNazanin"/>
          <w:lang w:bidi="fa-IR"/>
          <w:color w:val="111111"/>
          <w:sz w:val="28"/>
          <w:szCs w:val="28"/>
          <w:rtl/>
        </w:rPr>
        <w:t xml:space="preserve">نسخه بسیار نادر؛ کاتب = مؤلف، تا: قرن ۱۴ [د.ث. مجلس ]</w:t>
      </w:r>
    </w:p>
    <w:p>
      <w:pPr>
        <w:pStyle w:val="Heading3"/>
      </w:pPr>
      <w:bookmarkStart w:id="1723" w:name="_Toc1245"/>
      <w:r>
        <w:t>اسناد تقی زاده / اسناد / فارسی</w:t>
      </w:r>
      <w:bookmarkEnd w:id="1723"/>
    </w:p>
    <w:p>
      <w:pPr>
        <w:pStyle w:val="BookText"/>
      </w:pPr>
      <w:r>
        <w:rPr>
          <w:rFonts w:ascii="Times New Roman" w:hAnsi="Times New Roman" w:eastAsia="Times New Roman" w:cs="Times New Roman"/>
          <w:lang w:val="en-US" w:bidi="en-US"/>
          <w:color w:val="111111"/>
          <w:sz w:val="28"/>
          <w:szCs w:val="28"/>
          <w:rtl/>
        </w:rPr>
        <w:t xml:space="preserve">asnād-e taqīzāde</w:t>
      </w:r>
    </w:p>
    <w:p>
      <w:pPr>
        <w:pStyle w:val="BookText"/>
      </w:pPr>
      <w:r>
        <w:rPr>
          <w:rFonts w:ascii="IRNazanin" w:hAnsi="IRNazanin" w:eastAsia="IRNazanin" w:cs="IRNazanin"/>
          <w:lang w:bidi="fa-IR"/>
          <w:color w:val="111111"/>
          <w:sz w:val="28"/>
          <w:szCs w:val="28"/>
          <w:rtl/>
        </w:rPr>
        <w:t xml:space="preserve">تهران؛ دانشگاه؛ شماره نسخه: ۵۷۱۲-ف</w:t>
      </w:r>
    </w:p>
    <w:p>
      <w:pPr>
        <w:pStyle w:val="BookText"/>
      </w:pPr>
      <w:r>
        <w:rPr>
          <w:rFonts w:ascii="IRNazanin" w:hAnsi="IRNazanin" w:eastAsia="IRNazanin" w:cs="IRNazanin"/>
          <w:lang w:bidi="fa-IR"/>
          <w:color w:val="111111"/>
          <w:sz w:val="28"/>
          <w:szCs w:val="28"/>
          <w:rtl/>
        </w:rPr>
        <w:t xml:space="preserve">درباره وزارت دارایی هنگام وزارت او در آنجا و نامه های اداری  است، اصل آنها در خانه اوست؛ بی کا، بی تا [ فیلم ها-ف: ۳ - ۱۷۷]</w:t>
      </w:r>
    </w:p>
    <w:p>
      <w:pPr>
        <w:pStyle w:val="Heading3"/>
      </w:pPr>
      <w:bookmarkStart w:id="1724" w:name="_Toc1246"/>
      <w:r>
        <w:t>اسناد ثبت شده در محضر شرعی / اسناد / فارسی</w:t>
      </w:r>
      <w:bookmarkEnd w:id="1724"/>
    </w:p>
    <w:p>
      <w:pPr>
        <w:pStyle w:val="BookText"/>
      </w:pPr>
      <w:r>
        <w:rPr>
          <w:rFonts w:ascii="Times New Roman" w:hAnsi="Times New Roman" w:eastAsia="Times New Roman" w:cs="Times New Roman"/>
          <w:lang w:val="en-US" w:bidi="en-US"/>
          <w:color w:val="111111"/>
          <w:sz w:val="28"/>
          <w:szCs w:val="28"/>
          <w:rtl/>
        </w:rPr>
        <w:t xml:space="preserve">asnād-e sabt šode dar mahzar-e šarī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359" w:name="pg20365_260501"/>
    <w:bookmarkEnd w:id="359"/>
    <w:p>
      <w:pPr>
        <w:pStyle w:val="BookText"/>
      </w:pPr>
      <w:r>
        <w:rPr>
          <w:rFonts w:ascii="IRNazanin" w:hAnsi="IRNazanin" w:eastAsia="IRNazanin" w:cs="IRNazanin"/>
          <w:lang w:bidi="fa-IR"/>
          <w:color w:val="111111"/>
          <w:sz w:val="28"/>
          <w:szCs w:val="28"/>
          <w:rtl/>
        </w:rPr>
        <w:t xml:space="preserve">قم؛ مرعشی؛ شماره نسخه: ۱۰۵۹۴</w:t>
      </w:r>
    </w:p>
    <w:p>
      <w:pPr>
        <w:pStyle w:val="BookText"/>
      </w:pPr>
      <w:r>
        <w:rPr>
          <w:rFonts w:ascii="IRNazanin" w:hAnsi="IRNazanin" w:eastAsia="IRNazanin" w:cs="IRNazanin"/>
          <w:lang w:bidi="fa-IR"/>
          <w:color w:val="111111"/>
          <w:sz w:val="28"/>
          <w:szCs w:val="28"/>
          <w:rtl/>
        </w:rPr>
        <w:t xml:space="preserve">صورت اسناد ثبت شده در یکی از محاضر شرعی است که از غره ماه شعبان ۱۳۳۴ تا غره ماه محرم ۱۳۳۵ به ثبت رسیده است؛خط: نستعلیق، بی کا، بی تا ؛جلد: تیماج  قرمز، ۲۱۳گ، مختلف السطر،اندازه: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۲۷ - ۶۹]</w:t>
      </w:r>
    </w:p>
    <w:p>
      <w:pPr>
        <w:pStyle w:val="Heading3"/>
      </w:pPr>
      <w:bookmarkStart w:id="1725" w:name="_Toc1247"/>
      <w:r>
        <w:t>اسناد جمع و خرج / اسناد / فارسی</w:t>
      </w:r>
      <w:bookmarkEnd w:id="1725"/>
    </w:p>
    <w:p>
      <w:pPr>
        <w:pStyle w:val="BookText"/>
      </w:pPr>
      <w:r>
        <w:rPr>
          <w:rFonts w:ascii="Times New Roman" w:hAnsi="Times New Roman" w:eastAsia="Times New Roman" w:cs="Times New Roman"/>
          <w:lang w:val="en-US" w:bidi="en-US"/>
          <w:color w:val="111111"/>
          <w:sz w:val="28"/>
          <w:szCs w:val="28"/>
          <w:rtl/>
        </w:rPr>
        <w:t xml:space="preserve">asnād-e jam‘ va xarj</w:t>
      </w:r>
    </w:p>
    <w:p>
      <w:pPr>
        <w:pStyle w:val="BookText"/>
      </w:pPr>
      <w:r>
        <w:rPr>
          <w:rFonts w:ascii="IRNazanin" w:hAnsi="IRNazanin" w:eastAsia="IRNazanin" w:cs="IRNazanin"/>
          <w:lang w:bidi="fa-IR"/>
          <w:color w:val="111111"/>
          <w:sz w:val="28"/>
          <w:szCs w:val="28"/>
          <w:rtl/>
        </w:rPr>
        <w:t xml:space="preserve">تهران؛ مجلس؛ شماره نسخه: ۱۰۰۰۰</w:t>
      </w:r>
    </w:p>
    <w:p>
      <w:pPr>
        <w:pStyle w:val="BookText"/>
      </w:pPr>
      <w:r>
        <w:rPr>
          <w:rFonts w:ascii="IRNazanin" w:hAnsi="IRNazanin" w:eastAsia="IRNazanin" w:cs="IRNazanin"/>
          <w:lang w:bidi="fa-IR"/>
          <w:color w:val="111111"/>
          <w:sz w:val="28"/>
          <w:szCs w:val="28"/>
          <w:rtl/>
        </w:rPr>
        <w:t xml:space="preserve">هفتاد قطعه سند مربوط به مواجب و مستمری و جمع و خرج افراد مختلف است مربوط به سال ۱۳۲۲. در برخی از این اسناد نام امیر انتظام دیده می شود؛ خط: نستعلیق شکسته و سیاق،بی کا، تا:1322ق،برگ ها  در آلبوم جاسازی شده است؛ ۷۰گ، مختلـف السطر، اندازه: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۱۹/۵سم [ف: ۳۱</w:t>
      </w:r>
    </w:p>
    <w:p>
      <w:pPr>
        <w:pStyle w:val="Heading3"/>
      </w:pPr>
      <w:bookmarkStart w:id="1726" w:name="_Toc1248"/>
      <w:r>
        <w:t>اسناد جمع و خرج و تلگرافات شوكت الدوله /  اسناد / فارسی</w:t>
      </w:r>
      <w:bookmarkEnd w:id="1726"/>
    </w:p>
    <w:p>
      <w:pPr>
        <w:pStyle w:val="BookText"/>
      </w:pPr>
      <w:r>
        <w:rPr>
          <w:rFonts w:ascii="Times New Roman" w:hAnsi="Times New Roman" w:eastAsia="Times New Roman" w:cs="Times New Roman"/>
          <w:lang w:val="en-US" w:bidi="en-US"/>
          <w:color w:val="111111"/>
          <w:sz w:val="28"/>
          <w:szCs w:val="28"/>
          <w:rtl/>
        </w:rPr>
        <w:t xml:space="preserve">asnād-e jam‘ va xarj va telegrāfāt-e šaokat-od-dowle</w:t>
      </w:r>
    </w:p>
    <w:p>
      <w:pPr>
        <w:pStyle w:val="BookText"/>
      </w:pPr>
      <w:r>
        <w:rPr>
          <w:rFonts w:ascii="IRNazanin" w:hAnsi="IRNazanin" w:eastAsia="IRNazanin" w:cs="IRNazanin"/>
          <w:lang w:bidi="fa-IR"/>
          <w:color w:val="111111"/>
          <w:sz w:val="28"/>
          <w:szCs w:val="28"/>
          <w:rtl/>
        </w:rPr>
        <w:t xml:space="preserve">تهران؛ مجلس؛ شماره نسخه: ۱۱۷۵۷</w:t>
      </w:r>
    </w:p>
    <w:p>
      <w:pPr>
        <w:pStyle w:val="BookText"/>
      </w:pPr>
      <w:r>
        <w:rPr>
          <w:rFonts w:ascii="IRNazanin" w:hAnsi="IRNazanin" w:eastAsia="IRNazanin" w:cs="IRNazanin"/>
          <w:lang w:bidi="fa-IR"/>
          <w:color w:val="111111"/>
          <w:sz w:val="28"/>
          <w:szCs w:val="28"/>
          <w:rtl/>
        </w:rPr>
        <w:t xml:space="preserve">خط: شکسته نستعلیق و سیاق، بی کا، تا: ۱۳۴۴ق؛ ۶۱ گ [ف:34- 61]</w:t>
      </w:r>
    </w:p>
    <w:p>
      <w:pPr>
        <w:pStyle w:val="Heading3"/>
      </w:pPr>
      <w:bookmarkStart w:id="1727" w:name="_Toc1249"/>
      <w:r>
        <w:t>اسناد جمع و خرج و مواجب و مستمری اشخاص و صاحب منصبان نظامی و  ...  / اسناد / فارسی</w:t>
      </w:r>
      <w:bookmarkEnd w:id="1727"/>
    </w:p>
    <w:p>
      <w:pPr>
        <w:pStyle w:val="BookText"/>
      </w:pPr>
      <w:r>
        <w:rPr>
          <w:rFonts w:ascii="Times New Roman" w:hAnsi="Times New Roman" w:eastAsia="Times New Roman" w:cs="Times New Roman"/>
          <w:lang w:val="en-US" w:bidi="en-US"/>
          <w:color w:val="111111"/>
          <w:sz w:val="28"/>
          <w:szCs w:val="28"/>
          <w:rtl/>
        </w:rPr>
        <w:t xml:space="preserve">asnād-e jam‘ va xarj va mavājeb va mostamarrī-ye</w:t>
      </w:r>
    </w:p>
    <w:p>
      <w:pPr>
        <w:pStyle w:val="BookText"/>
      </w:pPr>
      <w:r>
        <w:rPr>
          <w:rFonts w:ascii="Times New Roman" w:hAnsi="Times New Roman" w:eastAsia="Times New Roman" w:cs="Times New Roman"/>
          <w:lang w:val="en-US" w:bidi="en-US"/>
          <w:color w:val="111111"/>
          <w:sz w:val="28"/>
          <w:szCs w:val="28"/>
          <w:rtl/>
        </w:rPr>
        <w:t xml:space="preserve">ašxās va sāheb-mansabān-e nezāmī va ...</w:t>
      </w:r>
    </w:p>
    <w:p>
      <w:pPr>
        <w:pStyle w:val="BookText"/>
      </w:pPr>
      <w:r>
        <w:rPr>
          <w:rFonts w:ascii="IRNazanin" w:hAnsi="IRNazanin" w:eastAsia="IRNazanin" w:cs="IRNazanin"/>
          <w:lang w:bidi="fa-IR"/>
          <w:color w:val="111111"/>
          <w:sz w:val="28"/>
          <w:szCs w:val="28"/>
          <w:rtl/>
        </w:rPr>
        <w:t xml:space="preserve">تهران؛ مجلس؛ شماره نسخه: ۱۱۸۰۹</w:t>
      </w:r>
    </w:p>
    <w:p>
      <w:pPr>
        <w:pStyle w:val="BookText"/>
      </w:pPr>
      <w:r>
        <w:rPr>
          <w:rFonts w:ascii="IRNazanin" w:hAnsi="IRNazanin" w:eastAsia="IRNazanin" w:cs="IRNazanin"/>
          <w:lang w:bidi="fa-IR"/>
          <w:color w:val="111111"/>
          <w:sz w:val="28"/>
          <w:szCs w:val="28"/>
          <w:rtl/>
        </w:rPr>
        <w:t xml:space="preserve">خط: شکسته نستعلیق و سیاق، بی کا، تا: ۱۳۲۲ق؛ کاغذ: فرنگـی، ۱۴۷گ [ف: ۳۴ - ۷۱]</w:t>
      </w:r>
    </w:p>
    <w:p>
      <w:pPr>
        <w:pStyle w:val="Heading3"/>
      </w:pPr>
      <w:bookmarkStart w:id="1728" w:name="_Toc1250"/>
      <w:r>
        <w:t>اسناد جمع و خرج یزد / اسناد / فارسی</w:t>
      </w:r>
      <w:bookmarkEnd w:id="1728"/>
    </w:p>
    <w:p>
      <w:pPr>
        <w:pStyle w:val="BookText"/>
      </w:pPr>
      <w:r>
        <w:rPr>
          <w:rFonts w:ascii="Times New Roman" w:hAnsi="Times New Roman" w:eastAsia="Times New Roman" w:cs="Times New Roman"/>
          <w:lang w:val="en-US" w:bidi="en-US"/>
          <w:color w:val="111111"/>
          <w:sz w:val="28"/>
          <w:szCs w:val="28"/>
          <w:rtl/>
        </w:rPr>
        <w:t xml:space="preserve">asnād-e jam‘ va xarj-e yazd</w:t>
      </w:r>
    </w:p>
    <w:p>
      <w:pPr>
        <w:pStyle w:val="BookText"/>
      </w:pPr>
      <w:r>
        <w:rPr>
          <w:rFonts w:ascii="IRNazanin" w:hAnsi="IRNazanin" w:eastAsia="IRNazanin" w:cs="IRNazanin"/>
          <w:lang w:bidi="fa-IR"/>
          <w:color w:val="111111"/>
          <w:sz w:val="28"/>
          <w:szCs w:val="28"/>
          <w:rtl/>
        </w:rPr>
        <w:t xml:space="preserve">۱. تهران؛ مجلس؛ شماره نسخه: ۱۰۳۹</w:t>
      </w:r>
    </w:p>
    <w:p>
      <w:pPr>
        <w:pStyle w:val="BookText"/>
      </w:pPr>
      <w:r>
        <w:rPr>
          <w:rFonts w:ascii="IRNazanin" w:hAnsi="IRNazanin" w:eastAsia="IRNazanin" w:cs="IRNazanin"/>
          <w:lang w:bidi="fa-IR"/>
          <w:color w:val="111111"/>
          <w:sz w:val="28"/>
          <w:szCs w:val="28"/>
          <w:rtl/>
        </w:rPr>
        <w:t xml:space="preserve">کتابچه اسناد جمع و خرج یزد در سال ۱۳۰۳. اعداد به سیاق است ؛خط: نستعلیق، بی کا، تا: قرن ۱۴؛ با مهر و یادداشت علی الاعلی، در ۷ جمادی ۱۳۰۵؛ کاغذ ،آبی ،جلد: گالینگور، ۲۱گ، ابعاد متن: 7</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اندازه: ۱۸</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۲۳سم [سنا - ف: ۲ - ۱۰۸]</w:t>
      </w:r>
    </w:p>
    <w:p>
      <w:pPr>
        <w:pStyle w:val="BookText"/>
      </w:pPr>
      <w:r>
        <w:rPr>
          <w:rFonts w:ascii="IRNazanin" w:hAnsi="IRNazanin" w:eastAsia="IRNazanin" w:cs="IRNazanin"/>
          <w:lang w:bidi="fa-IR"/>
          <w:color w:val="111111"/>
          <w:sz w:val="28"/>
          <w:szCs w:val="28"/>
          <w:rtl/>
        </w:rPr>
        <w:t xml:space="preserve">۲. تهران؛ مجلس؛ شماره نسخه: ۹۷۹</w:t>
      </w:r>
    </w:p>
    <w:p>
      <w:pPr>
        <w:pStyle w:val="BookText"/>
      </w:pPr>
      <w:r>
        <w:rPr>
          <w:rFonts w:ascii="IRNazanin" w:hAnsi="IRNazanin" w:eastAsia="IRNazanin" w:cs="IRNazanin"/>
          <w:lang w:bidi="fa-IR"/>
          <w:color w:val="111111"/>
          <w:sz w:val="28"/>
          <w:szCs w:val="28"/>
          <w:rtl/>
        </w:rPr>
        <w:t xml:space="preserve">کتابچه اسناد جمع و خرج یزد در سال ۱۳۰۸. اعداد به سـیاق است ؛خط: نستعلیق، بی کا، تا: قرن ۱۴؛ مهر سلیمان ؛کاغذ: آبی،  جلد: گالینگور، ۱۸گ، ابعاد متن: 6</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[سنا - ف ۲ - ۱۰۱]</w:t>
      </w:r>
    </w:p>
    <w:p>
      <w:pPr>
        <w:pStyle w:val="Heading3"/>
      </w:pPr>
      <w:bookmarkStart w:id="1729" w:name="_Toc1251"/>
      <w:r>
        <w:t>اسناد چاپی و خطی / اسناد / فارسی</w:t>
      </w:r>
      <w:bookmarkEnd w:id="1729"/>
    </w:p>
    <w:p>
      <w:pPr>
        <w:pStyle w:val="BookText"/>
      </w:pPr>
      <w:r>
        <w:rPr>
          <w:rFonts w:ascii="Times New Roman" w:hAnsi="Times New Roman" w:eastAsia="Times New Roman" w:cs="Times New Roman"/>
          <w:lang w:val="en-US" w:bidi="en-US"/>
          <w:color w:val="111111"/>
          <w:sz w:val="28"/>
          <w:szCs w:val="28"/>
          <w:rtl/>
        </w:rPr>
        <w:t xml:space="preserve">asnād-e čāpī va xattī</w:t>
      </w:r>
    </w:p>
    <w:p>
      <w:pPr>
        <w:pStyle w:val="BookText"/>
      </w:pPr>
      <w:r>
        <w:rPr>
          <w:rFonts w:ascii="IRNazanin" w:hAnsi="IRNazanin" w:eastAsia="IRNazanin" w:cs="IRNazanin"/>
          <w:lang w:bidi="fa-IR"/>
          <w:color w:val="111111"/>
          <w:sz w:val="28"/>
          <w:szCs w:val="28"/>
          <w:rtl/>
        </w:rPr>
        <w:t xml:space="preserve">تهران؛ دانشگاه؛ شماره نسخه: ۴۰۴۸-ف</w:t>
      </w:r>
    </w:p>
    <w:p>
      <w:pPr>
        <w:pStyle w:val="BookText"/>
      </w:pPr>
      <w:r>
        <w:rPr>
          <w:rFonts w:ascii="IRNazanin" w:hAnsi="IRNazanin" w:eastAsia="IRNazanin" w:cs="IRNazanin"/>
          <w:lang w:bidi="fa-IR"/>
          <w:color w:val="111111"/>
          <w:sz w:val="28"/>
          <w:szCs w:val="28"/>
          <w:rtl/>
        </w:rPr>
        <w:t xml:space="preserve">نسخه اصل: از سید حسن تقی زاده؛ اسناد چاپی و خطی که نخستین آن تقریر مدیر چهره نما حاجی میرزا عبدالمحمد است سپس سرود ملی و اخطار و نظام نامه شرکت اسلامیه اصفهان تا می رسد به آیینه حقایق سال ۱۳۰۳، برخی هم به زبان اروپایی است؛ بی کا، تا: ۱۳۰۳ق [ فیلم ها-ف: ۳ - ۸]</w:t>
      </w:r>
    </w:p>
    <w:p>
      <w:pPr>
        <w:pStyle w:val="Heading3"/>
      </w:pPr>
      <w:bookmarkStart w:id="1730" w:name="_Toc1252"/>
      <w:r>
        <w:t>اسناد حروفات کلام الله ربانی سبحانی و مناجات  حروفات کلام الله / عرفان و تصوف</w:t>
      </w:r>
      <w:bookmarkEnd w:id="1730"/>
    </w:p>
    <w:p>
      <w:pPr>
        <w:pStyle w:val="BookText"/>
      </w:pPr>
      <w:r>
        <w:rPr>
          <w:rFonts w:ascii="Times New Roman" w:hAnsi="Times New Roman" w:eastAsia="Times New Roman" w:cs="Times New Roman"/>
          <w:lang w:val="en-US" w:bidi="en-US"/>
          <w:color w:val="111111"/>
          <w:sz w:val="28"/>
          <w:szCs w:val="28"/>
          <w:rtl/>
        </w:rPr>
        <w:t xml:space="preserve">asnad-e horafat-e kalam-ol-lah-e rabbani-ye sobhani va monajat-e horufat-e kalam-ol-lah</w:t>
      </w:r>
    </w:p>
    <w:p>
      <w:pPr>
        <w:pStyle w:val="BookText"/>
      </w:pPr>
      <w:r>
        <w:rPr>
          <w:rFonts w:ascii="IRNazanin" w:hAnsi="IRNazanin" w:eastAsia="IRNazanin" w:cs="IRNazanin"/>
          <w:lang w:bidi="fa-IR"/>
          <w:color w:val="111111"/>
          <w:sz w:val="28"/>
          <w:szCs w:val="28"/>
          <w:rtl/>
        </w:rPr>
        <w:t xml:space="preserve">تهران؛ مینوی؛ شماره نسخه: ۴/۱۰</w:t>
      </w:r>
    </w:p>
    <w:p>
      <w:pPr>
        <w:pStyle w:val="BookText"/>
      </w:pPr>
      <w:r>
        <w:rPr>
          <w:rFonts w:ascii="IRNazanin" w:hAnsi="IRNazanin" w:eastAsia="IRNazanin" w:cs="IRNazanin"/>
          <w:lang w:bidi="fa-IR"/>
          <w:color w:val="111111"/>
          <w:sz w:val="28"/>
          <w:szCs w:val="28"/>
          <w:rtl/>
        </w:rPr>
        <w:t xml:space="preserve">خط: نسخ، بی کا، بی تا؛ قطع: ربعی [نشریه: ۶ – ۶۷۱]</w:t>
      </w:r>
    </w:p>
    <w:p>
      <w:pPr>
        <w:pStyle w:val="Heading3"/>
      </w:pPr>
      <w:bookmarkStart w:id="1731" w:name="_Toc1253"/>
      <w:r>
        <w:t>اسناد حزب عامیون / اسناد / فارسی</w:t>
      </w:r>
      <w:bookmarkEnd w:id="1731"/>
    </w:p>
    <w:p>
      <w:pPr>
        <w:pStyle w:val="BookText"/>
      </w:pPr>
      <w:r>
        <w:rPr>
          <w:rFonts w:ascii="Times New Roman" w:hAnsi="Times New Roman" w:eastAsia="Times New Roman" w:cs="Times New Roman"/>
          <w:lang w:val="en-US" w:bidi="en-US"/>
          <w:color w:val="111111"/>
          <w:sz w:val="28"/>
          <w:szCs w:val="28"/>
          <w:rtl/>
        </w:rPr>
        <w:t xml:space="preserve">asnād-e hezb-e ‘āmmīyūn</w:t>
      </w:r>
    </w:p>
    <w:p>
      <w:pPr>
        <w:pStyle w:val="BookText"/>
      </w:pPr>
      <w:r>
        <w:rPr>
          <w:rFonts w:ascii="IRNazanin" w:hAnsi="IRNazanin" w:eastAsia="IRNazanin" w:cs="IRNazanin"/>
          <w:lang w:bidi="fa-IR"/>
          <w:color w:val="111111"/>
          <w:sz w:val="28"/>
          <w:szCs w:val="28"/>
          <w:rtl/>
        </w:rPr>
        <w:t xml:space="preserve">تهران؛ دانشگاه؛ شماره نسخه: ۹۹۰۷</w:t>
      </w:r>
    </w:p>
    <w:p>
      <w:pPr>
        <w:pStyle w:val="BookText"/>
      </w:pPr>
      <w:r>
        <w:rPr>
          <w:rFonts w:ascii="IRNazanin" w:hAnsi="IRNazanin" w:eastAsia="IRNazanin" w:cs="IRNazanin"/>
          <w:lang w:bidi="fa-IR"/>
          <w:color w:val="111111"/>
          <w:sz w:val="28"/>
          <w:szCs w:val="28"/>
          <w:rtl/>
        </w:rPr>
        <w:t xml:space="preserve">بی کا بی تا؛ ۳۰۰گ [ف : ۱۷ - ۵۰۴]</w:t>
      </w:r>
    </w:p>
    <w:p>
      <w:pPr>
        <w:pStyle w:val="Heading3"/>
      </w:pPr>
      <w:bookmarkStart w:id="1732" w:name="_Toc1254"/>
      <w:r>
        <w:t>اسناد حسین میرزا جلال الدوله / اسناد / فارسی</w:t>
      </w:r>
      <w:bookmarkEnd w:id="1732"/>
    </w:p>
    <w:p>
      <w:pPr>
        <w:pStyle w:val="BookText"/>
      </w:pPr>
      <w:r>
        <w:rPr>
          <w:rFonts w:ascii="Times New Roman" w:hAnsi="Times New Roman" w:eastAsia="Times New Roman" w:cs="Times New Roman"/>
          <w:lang w:val="en-US" w:bidi="en-US"/>
          <w:color w:val="111111"/>
          <w:sz w:val="28"/>
          <w:szCs w:val="28"/>
          <w:rtl/>
        </w:rPr>
        <w:t xml:space="preserve">asnad-e hoseyn mirza jalal-od-dole</w:t>
      </w:r>
    </w:p>
    <w:p>
      <w:pPr>
        <w:pStyle w:val="BookText"/>
      </w:pPr>
      <w:r>
        <w:rPr>
          <w:rFonts w:ascii="IRNazanin" w:hAnsi="IRNazanin" w:eastAsia="IRNazanin" w:cs="IRNazanin"/>
          <w:lang w:bidi="fa-IR"/>
          <w:color w:val="111111"/>
          <w:sz w:val="28"/>
          <w:szCs w:val="28"/>
          <w:rtl/>
        </w:rPr>
        <w:t xml:space="preserve">تهران؛ دانشگاه؛ شماره نسخه: ۸۳۵۸/۵</w:t>
      </w:r>
    </w:p>
    <w:p>
      <w:pPr>
        <w:pStyle w:val="BookText"/>
      </w:pPr>
      <w:r>
        <w:rPr>
          <w:rFonts w:ascii="IRNazanin" w:hAnsi="IRNazanin" w:eastAsia="IRNazanin" w:cs="IRNazanin"/>
          <w:lang w:bidi="fa-IR"/>
          <w:color w:val="111111"/>
          <w:sz w:val="28"/>
          <w:szCs w:val="28"/>
          <w:rtl/>
        </w:rPr>
        <w:t xml:space="preserve">اسناد حسین میرزا جلال الدوله فرمانروای یزد مورخ (یکی) و ۱۳۲۰ (روی هم هفت طغرا)؛ بی کا، بی تا [ف: ۱۷ - ۱۲۲]</w:t>
      </w:r>
    </w:p>
    <w:p>
      <w:pPr>
        <w:pStyle w:val="Heading3"/>
      </w:pPr>
      <w:bookmarkStart w:id="1733" w:name="_Toc1255"/>
      <w:r>
        <w:t>اسناد حلية رسول الله / تاریخ پیامبراکرم (صلّی اللَّهِ علیه وَ آلِهِ وَ سَلَّمَ ) / فارسی</w:t>
      </w:r>
      <w:bookmarkEnd w:id="1733"/>
    </w:p>
    <w:p>
      <w:pPr>
        <w:pStyle w:val="BookText"/>
      </w:pPr>
      <w:r>
        <w:rPr>
          <w:rFonts w:ascii="Times New Roman" w:hAnsi="Times New Roman" w:eastAsia="Times New Roman" w:cs="Times New Roman"/>
          <w:lang w:val="en-US" w:bidi="en-US"/>
          <w:color w:val="111111"/>
          <w:sz w:val="28"/>
          <w:szCs w:val="28"/>
          <w:rtl/>
        </w:rPr>
        <w:t xml:space="preserve">asnad-e helyat-e rasul-ol-lah</w:t>
      </w:r>
    </w:p>
    <w:p>
      <w:pPr>
        <w:pStyle w:val="BookText"/>
      </w:pPr>
      <w:r>
        <w:rPr>
          <w:rFonts w:ascii="IRNazanin" w:hAnsi="IRNazanin" w:eastAsia="IRNazanin" w:cs="IRNazanin"/>
          <w:lang w:bidi="fa-IR"/>
          <w:color w:val="111111"/>
          <w:sz w:val="28"/>
          <w:szCs w:val="28"/>
          <w:rtl/>
        </w:rPr>
        <w:t xml:space="preserve">تهران؛ دانشگاه؛ شماره نسخه: ۶۱۲/۱۶-ف</w:t>
      </w:r>
    </w:p>
    <w:p>
      <w:pPr>
        <w:pStyle w:val="BookText"/>
      </w:pPr>
      <w:r>
        <w:rPr>
          <w:rFonts w:ascii="IRNazanin" w:hAnsi="IRNazanin" w:eastAsia="IRNazanin" w:cs="IRNazanin"/>
          <w:lang w:bidi="fa-IR"/>
          <w:color w:val="111111"/>
          <w:sz w:val="28"/>
          <w:szCs w:val="28"/>
          <w:rtl/>
        </w:rPr>
        <w:t xml:space="preserve">نسخه اصل: سلیمانیه ش ۱۲۰۸؛ خط: نسخ، بی کا، تا: ۸۳۹ق؛ ۱گ (۲۴۲ر)، ۱۹ سطر [ فیلم ها -ف: ۱ - ۵۱۱]</w:t>
      </w:r>
    </w:p>
    <w:p>
      <w:pPr>
        <w:pStyle w:val="Heading3"/>
      </w:pPr>
      <w:bookmarkStart w:id="1734" w:name="_Toc1256"/>
      <w:r>
        <w:t>اسناد حلیه پیامبر اکرم (صلّی اللَّهِ علیه وَ آلِهِ وَ سَلَّمَ ) / عرفان وتصوف / فارسی</w:t>
      </w:r>
      <w:bookmarkEnd w:id="1734"/>
    </w:p>
    <w:p>
      <w:pPr>
        <w:pStyle w:val="BookText"/>
      </w:pPr>
      <w:r>
        <w:rPr>
          <w:rFonts w:ascii="Times New Roman" w:hAnsi="Times New Roman" w:eastAsia="Times New Roman" w:cs="Times New Roman"/>
          <w:lang w:val="en-US" w:bidi="en-US"/>
          <w:color w:val="111111"/>
          <w:sz w:val="28"/>
          <w:szCs w:val="28"/>
          <w:rtl/>
        </w:rPr>
        <w:t xml:space="preserve">(asnad-e helye-ye payambar-e akram (s)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360" w:name="pg20365_260502"/>
    <w:bookmarkEnd w:id="360"/>
    <w:p>
      <w:pPr>
        <w:pStyle w:val="BookText"/>
      </w:pPr>
      <w:r>
        <w:rPr>
          <w:rFonts w:ascii="IRNazanin" w:hAnsi="IRNazanin" w:eastAsia="IRNazanin" w:cs="IRNazanin"/>
          <w:lang w:bidi="fa-IR"/>
          <w:color w:val="111111"/>
          <w:sz w:val="28"/>
          <w:szCs w:val="28"/>
          <w:rtl/>
        </w:rPr>
        <w:t xml:space="preserve">همدانی، علی بن محمد، ۷۱۴ – ۷۸۶ قمری</w:t>
      </w:r>
    </w:p>
    <w:p>
      <w:pPr>
        <w:pStyle w:val="BookText"/>
      </w:pPr>
      <w:r>
        <w:rPr>
          <w:rFonts w:ascii="Times New Roman" w:hAnsi="Times New Roman" w:eastAsia="Times New Roman" w:cs="Times New Roman"/>
          <w:lang w:val="en-US" w:bidi="en-US"/>
          <w:color w:val="111111"/>
          <w:sz w:val="28"/>
          <w:szCs w:val="28"/>
          <w:rtl/>
        </w:rPr>
        <w:t xml:space="preserve">(hamadānī, ‘alī ebn-e mohammad (1315 - 1385)</w:t>
      </w:r>
    </w:p>
    <w:p>
      <w:pPr>
        <w:pStyle w:val="BookText"/>
      </w:pPr>
      <w:r>
        <w:rPr>
          <w:rFonts w:ascii="IRNazanin" w:hAnsi="IRNazanin" w:eastAsia="IRNazanin" w:cs="IRNazanin"/>
          <w:lang w:bidi="fa-IR"/>
          <w:color w:val="111111"/>
          <w:sz w:val="28"/>
          <w:szCs w:val="28"/>
          <w:rtl/>
        </w:rPr>
        <w:t xml:space="preserve">رساله ای است بسیار مختصر در بیان خصوصیات اسم شريـف رسول اکرم (صلّی اللَّهِ علیه وَ آلِهِ وَ سَلَّمَ ) و احادیثی درباره نظر کردن به حلیه آن حضرت و فوائد نظر کردن به آن.</w:t>
      </w:r>
    </w:p>
    <w:p>
      <w:pPr>
        <w:pStyle w:val="BookText"/>
      </w:pPr>
      <w:r>
        <w:rPr>
          <w:rFonts w:ascii="IRNazanin" w:hAnsi="IRNazanin" w:eastAsia="IRNazanin" w:cs="IRNazanin"/>
          <w:lang w:bidi="fa-IR"/>
          <w:color w:val="111111"/>
          <w:sz w:val="28"/>
          <w:szCs w:val="28"/>
          <w:rtl/>
        </w:rPr>
        <w:t xml:space="preserve">[احوال میر سید علی همدانی ص ۱۶۹ - ۱۷۰؛ نشریه ۲۰۷/۸]</w:t>
      </w:r>
    </w:p>
    <w:p>
      <w:pPr>
        <w:pStyle w:val="BookText"/>
      </w:pPr>
      <w:r>
        <w:rPr>
          <w:rFonts w:ascii="IRNazanin" w:hAnsi="IRNazanin" w:eastAsia="IRNazanin" w:cs="IRNazanin"/>
          <w:lang w:bidi="fa-IR"/>
          <w:color w:val="111111"/>
          <w:sz w:val="28"/>
          <w:szCs w:val="28"/>
          <w:rtl/>
        </w:rPr>
        <w:t xml:space="preserve">قم؛ مرکز احیاء؛ شماره نسخه: ۹۶۴/۳۲</w:t>
      </w:r>
    </w:p>
    <w:p>
      <w:pPr>
        <w:pStyle w:val="BookText"/>
      </w:pPr>
      <w:r>
        <w:rPr>
          <w:rFonts w:ascii="IRNazanin" w:hAnsi="IRNazanin" w:eastAsia="IRNazanin" w:cs="IRNazanin"/>
          <w:lang w:bidi="fa-IR"/>
          <w:color w:val="111111"/>
          <w:sz w:val="28"/>
          <w:szCs w:val="28"/>
          <w:rtl/>
        </w:rPr>
        <w:t xml:space="preserve">آغاز: اسناد حليه حضرت محمدرسول الله (صلّی اللَّهِ علیه وَ آلِهِ وَ سَلَّمَ ) در اخبار آمده است که خواجه عالم از دارفنا بدار بقا رحلت میفرمودند حضرت فاطمه زهرا</w:t>
      </w:r>
    </w:p>
    <w:p>
      <w:pPr>
        <w:pStyle w:val="BookText"/>
      </w:pPr>
      <w:r>
        <w:rPr>
          <w:rFonts w:ascii="IRNazanin" w:hAnsi="IRNazanin" w:eastAsia="IRNazanin" w:cs="IRNazanin"/>
          <w:lang w:bidi="fa-IR"/>
          <w:color w:val="111111"/>
          <w:sz w:val="28"/>
          <w:szCs w:val="28"/>
          <w:rtl/>
        </w:rPr>
        <w:t xml:space="preserve">خط: نستعلیق، بی کا، بی تا؛ ۲ ص( ۵۷۹-۵۷۸) [ عکسی ف: ۳ - 202]</w:t>
      </w:r>
    </w:p>
    <w:p>
      <w:pPr>
        <w:pStyle w:val="Heading3"/>
      </w:pPr>
      <w:bookmarkStart w:id="1735" w:name="_Toc1257"/>
      <w:r>
        <w:t>اسناد خاتم / علوم غریبه / فارسی</w:t>
      </w:r>
      <w:bookmarkEnd w:id="1735"/>
    </w:p>
    <w:p>
      <w:pPr>
        <w:pStyle w:val="BookText"/>
      </w:pPr>
      <w:r>
        <w:rPr>
          <w:rFonts w:ascii="Times New Roman" w:hAnsi="Times New Roman" w:eastAsia="Times New Roman" w:cs="Times New Roman"/>
          <w:lang w:val="en-US" w:bidi="en-US"/>
          <w:color w:val="111111"/>
          <w:sz w:val="28"/>
          <w:szCs w:val="28"/>
          <w:rtl/>
        </w:rPr>
        <w:t xml:space="preserve">asnād-e xātam</w:t>
      </w:r>
    </w:p>
    <w:p>
      <w:pPr>
        <w:pStyle w:val="BookText"/>
      </w:pPr>
      <w:r>
        <w:rPr>
          <w:rFonts w:ascii="IRNazanin" w:hAnsi="IRNazanin" w:eastAsia="IRNazanin" w:cs="IRNazanin"/>
          <w:lang w:bidi="fa-IR"/>
          <w:color w:val="111111"/>
          <w:sz w:val="28"/>
          <w:szCs w:val="28"/>
          <w:rtl/>
        </w:rPr>
        <w:t xml:space="preserve">ابن سينا، حسین بن عبدالله، ۳۷۰ - ۴۲۸ قمری</w:t>
      </w:r>
    </w:p>
    <w:p>
      <w:pPr>
        <w:pStyle w:val="BookText"/>
      </w:pPr>
      <w:r>
        <w:rPr>
          <w:rFonts w:ascii="Times New Roman" w:hAnsi="Times New Roman" w:eastAsia="Times New Roman" w:cs="Times New Roman"/>
          <w:lang w:val="en-US" w:bidi="en-US"/>
          <w:color w:val="111111"/>
          <w:sz w:val="28"/>
          <w:szCs w:val="28"/>
          <w:rtl/>
        </w:rPr>
        <w:t xml:space="preserve">(ebn-e sīnā, hoseyn ebn-e ‘abd-ol-lāh (981 - 1038)</w:t>
      </w:r>
    </w:p>
    <w:p>
      <w:pPr>
        <w:pStyle w:val="BookText"/>
      </w:pPr>
      <w:r>
        <w:rPr>
          <w:rFonts w:ascii="IRNazanin" w:hAnsi="IRNazanin" w:eastAsia="IRNazanin" w:cs="IRNazanin"/>
          <w:lang w:bidi="fa-IR"/>
          <w:color w:val="111111"/>
          <w:sz w:val="28"/>
          <w:szCs w:val="28"/>
          <w:rtl/>
        </w:rPr>
        <w:t xml:space="preserve">منظومه ای در ۴۳ بیت که در آن دستوراتی درباره پیشگیری اتفاقات و حوادث که بر انسان ها وارد می شود داده شده است.</w:t>
      </w:r>
    </w:p>
    <w:p>
      <w:pPr>
        <w:pStyle w:val="BookText"/>
      </w:pPr>
      <w:r>
        <w:rPr>
          <w:rFonts w:ascii="IRNazanin" w:hAnsi="IRNazanin" w:eastAsia="IRNazanin" w:cs="IRNazanin"/>
          <w:lang w:bidi="fa-IR"/>
          <w:color w:val="111111"/>
          <w:sz w:val="28"/>
          <w:szCs w:val="28"/>
          <w:rtl/>
        </w:rPr>
        <w:t xml:space="preserve">قم؛ مسجد اعظم؛ شماره نسخه: ۳۴۵۶/۲</w:t>
      </w:r>
    </w:p>
    <w:p>
      <w:pPr>
        <w:pStyle w:val="BookText"/>
      </w:pPr>
      <w:r>
        <w:rPr>
          <w:rFonts w:ascii="IRNazanin" w:hAnsi="IRNazanin" w:eastAsia="IRNazanin" w:cs="IRNazanin"/>
          <w:lang w:bidi="fa-IR"/>
          <w:color w:val="111111"/>
          <w:sz w:val="28"/>
          <w:szCs w:val="28"/>
          <w:rtl/>
        </w:rPr>
        <w:t xml:space="preserve">آغاز: گر تو رادشمنی بود خونخوار  ***که ترا روز شد بدل آزار/ نتوانی که چاره اش سازی *** یا از آن حالیش بیندازی؛ انجـام:تاشوی شادمان ز روی قضا *** بشنو از ابوعلی سینا / شرح  این چون بنظم گشت تمام *** ختم کردیم بر صلاة وسلام.</w:t>
      </w:r>
    </w:p>
    <w:p>
      <w:pPr>
        <w:pStyle w:val="BookText"/>
      </w:pPr>
      <w:r>
        <w:rPr>
          <w:rFonts w:ascii="IRNazanin" w:hAnsi="IRNazanin" w:eastAsia="IRNazanin" w:cs="IRNazanin"/>
          <w:lang w:bidi="fa-IR"/>
          <w:color w:val="111111"/>
          <w:sz w:val="28"/>
          <w:szCs w:val="28"/>
          <w:rtl/>
        </w:rPr>
        <w:t xml:space="preserve">خط: نستعلیق، بی کا، تا: قرن ۱۱؛ پیش از این رساله ادعیه و اذکار و ختومات و اوراد آمده است؛ ۲گ ۱۲ سطر،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 [ف مخ: ۱ - ۱۵۳]</w:t>
      </w:r>
    </w:p>
    <w:p>
      <w:pPr>
        <w:pStyle w:val="Heading3"/>
      </w:pPr>
      <w:bookmarkStart w:id="1736" w:name="_Toc1258"/>
      <w:r>
        <w:t>اسناد خاندان افشار آذربایجان / اسناد / فارسی</w:t>
      </w:r>
      <w:bookmarkEnd w:id="1736"/>
    </w:p>
    <w:p>
      <w:pPr>
        <w:pStyle w:val="BookText"/>
      </w:pPr>
      <w:r>
        <w:rPr>
          <w:rFonts w:ascii="Times New Roman" w:hAnsi="Times New Roman" w:eastAsia="Times New Roman" w:cs="Times New Roman"/>
          <w:lang w:val="en-US" w:bidi="en-US"/>
          <w:color w:val="111111"/>
          <w:sz w:val="28"/>
          <w:szCs w:val="28"/>
          <w:rtl/>
        </w:rPr>
        <w:t xml:space="preserve">asnād-e xāndān-e afšār-e āzarbāyjān</w:t>
      </w:r>
    </w:p>
    <w:p>
      <w:pPr>
        <w:pStyle w:val="BookText"/>
      </w:pPr>
      <w:r>
        <w:rPr>
          <w:rFonts w:ascii="IRNazanin" w:hAnsi="IRNazanin" w:eastAsia="IRNazanin" w:cs="IRNazanin"/>
          <w:lang w:bidi="fa-IR"/>
          <w:color w:val="111111"/>
          <w:sz w:val="28"/>
          <w:szCs w:val="28"/>
          <w:rtl/>
        </w:rPr>
        <w:t xml:space="preserve">تهران؛ دانشگاه؛ شماره نسخه: ۵۰۱۷-ف</w:t>
      </w:r>
    </w:p>
    <w:p>
      <w:pPr>
        <w:pStyle w:val="BookText"/>
      </w:pPr>
      <w:r>
        <w:rPr>
          <w:rFonts w:ascii="IRNazanin" w:hAnsi="IRNazanin" w:eastAsia="IRNazanin" w:cs="IRNazanin"/>
          <w:lang w:bidi="fa-IR"/>
          <w:color w:val="111111"/>
          <w:sz w:val="28"/>
          <w:szCs w:val="28"/>
          <w:rtl/>
        </w:rPr>
        <w:t xml:space="preserve">نسخه اصل: نسخه حسن قراخانی، بی کا، بی تا[ فیلم ها-ف: ۳- 123]</w:t>
      </w:r>
    </w:p>
    <w:p>
      <w:pPr>
        <w:pStyle w:val="Heading3"/>
      </w:pPr>
      <w:bookmarkStart w:id="1737" w:name="_Toc1259"/>
      <w:r>
        <w:t>اسناد خاندان میرزا بزرگ / اسناد / فارسی</w:t>
      </w:r>
      <w:bookmarkEnd w:id="1737"/>
    </w:p>
    <w:p>
      <w:pPr>
        <w:pStyle w:val="BookText"/>
      </w:pPr>
      <w:r>
        <w:rPr>
          <w:rFonts w:ascii="Times New Roman" w:hAnsi="Times New Roman" w:eastAsia="Times New Roman" w:cs="Times New Roman"/>
          <w:lang w:val="en-US" w:bidi="en-US"/>
          <w:color w:val="111111"/>
          <w:sz w:val="28"/>
          <w:szCs w:val="28"/>
          <w:rtl/>
        </w:rPr>
        <w:t xml:space="preserve">asnād-e xāndān-e mīrzā bozorg</w:t>
      </w:r>
    </w:p>
    <w:p>
      <w:pPr>
        <w:pStyle w:val="BookText"/>
      </w:pPr>
      <w:r>
        <w:rPr>
          <w:rFonts w:ascii="IRNazanin" w:hAnsi="IRNazanin" w:eastAsia="IRNazanin" w:cs="IRNazanin"/>
          <w:lang w:bidi="fa-IR"/>
          <w:color w:val="111111"/>
          <w:sz w:val="28"/>
          <w:szCs w:val="28"/>
          <w:rtl/>
        </w:rPr>
        <w:t xml:space="preserve">تهران؛ دانشگاه؛ شماره نسخه: ۳۷۹۷-ف</w:t>
      </w:r>
    </w:p>
    <w:p>
      <w:pPr>
        <w:pStyle w:val="BookText"/>
      </w:pPr>
      <w:r>
        <w:rPr>
          <w:rFonts w:ascii="IRNazanin" w:hAnsi="IRNazanin" w:eastAsia="IRNazanin" w:cs="IRNazanin"/>
          <w:lang w:bidi="fa-IR"/>
          <w:color w:val="111111"/>
          <w:sz w:val="28"/>
          <w:szCs w:val="28"/>
          <w:rtl/>
        </w:rPr>
        <w:t xml:space="preserve">مشرف و مباشر فوج لاریجان و میرزا عبدالرحیم مشرف و میـرزا حسن مشرف همان فوج در تاریخ های ۱۳۰۱ و ۱۳۲۷ در هـفت طغرا که در آن خطایی به اعتضاد الملک و به اعظام السلطنه اسـت با یادی از اعظام الدولة و دران از روستای رشکلا و جونه کلا  یاد شده است؛ بی کا، بی تا [فیلم ها-ف: ۲ - ۲۵۰]</w:t>
      </w:r>
    </w:p>
    <w:p>
      <w:pPr>
        <w:pStyle w:val="Heading3"/>
      </w:pPr>
      <w:bookmarkStart w:id="1738" w:name="_Toc1260"/>
      <w:r>
        <w:t>اسناد خاندان نصر الله سلطان لاریجانی و ... / اسناد /  فارسی</w:t>
      </w:r>
      <w:bookmarkEnd w:id="1738"/>
    </w:p>
    <w:p>
      <w:pPr>
        <w:pStyle w:val="BookText"/>
      </w:pPr>
      <w:r>
        <w:rPr>
          <w:rFonts w:ascii="Times New Roman" w:hAnsi="Times New Roman" w:eastAsia="Times New Roman" w:cs="Times New Roman"/>
          <w:lang w:val="en-US" w:bidi="en-US"/>
          <w:color w:val="111111"/>
          <w:sz w:val="28"/>
          <w:szCs w:val="28"/>
          <w:rtl/>
        </w:rPr>
        <w:t xml:space="preserve">asnad-e xandan-e nasr-ol-lah soltan-e larijani va ...</w:t>
      </w:r>
    </w:p>
    <w:p>
      <w:pPr>
        <w:pStyle w:val="BookText"/>
      </w:pPr>
      <w:r>
        <w:rPr>
          <w:rFonts w:ascii="IRNazanin" w:hAnsi="IRNazanin" w:eastAsia="IRNazanin" w:cs="IRNazanin"/>
          <w:lang w:bidi="fa-IR"/>
          <w:color w:val="111111"/>
          <w:sz w:val="28"/>
          <w:szCs w:val="28"/>
          <w:rtl/>
        </w:rPr>
        <w:t xml:space="preserve">تهران؛ دانشگاه؛ شماره نسخه: ۳۲۱۱ف</w:t>
      </w:r>
    </w:p>
    <w:p>
      <w:pPr>
        <w:pStyle w:val="BookText"/>
      </w:pPr>
      <w:r>
        <w:rPr>
          <w:rFonts w:ascii="IRNazanin" w:hAnsi="IRNazanin" w:eastAsia="IRNazanin" w:cs="IRNazanin"/>
          <w:lang w:bidi="fa-IR"/>
          <w:color w:val="111111"/>
          <w:sz w:val="28"/>
          <w:szCs w:val="28"/>
          <w:rtl/>
        </w:rPr>
        <w:t xml:space="preserve">از روی اصل: اسناد خاندان نصر الله سلطان لاریجانی و اسدالله سلطان صاحب منصب دسته پنجم فوج لاریجانی در تاریخ های ۱۲۵۶ و ۱۲۸۳ و ۱۲۸۵ در چهار طغرا که در آن حکمی است از اردشیر میرزا فرمان روای مازندران و خطاب است به او و خطایی به عباس قلی خان سرتیپ فوج لاریجانی و در آن از روستای تیربجان که تیول آنان بوده است یاد شده است؛ بی کا، بی تا [ فیلم ها-ف: ۲ - ۱۰۰]</w:t>
      </w:r>
    </w:p>
    <w:p>
      <w:pPr>
        <w:pStyle w:val="Heading3"/>
      </w:pPr>
      <w:bookmarkStart w:id="1739" w:name="_Toc1261"/>
      <w:r>
        <w:t>اسناد خراسان و مشهد / اسناد / فارسی</w:t>
      </w:r>
      <w:bookmarkEnd w:id="1739"/>
    </w:p>
    <w:p>
      <w:pPr>
        <w:pStyle w:val="BookText"/>
      </w:pPr>
      <w:r>
        <w:rPr>
          <w:rFonts w:ascii="Times New Roman" w:hAnsi="Times New Roman" w:eastAsia="Times New Roman" w:cs="Times New Roman"/>
          <w:lang w:val="en-US" w:bidi="en-US"/>
          <w:color w:val="111111"/>
          <w:sz w:val="28"/>
          <w:szCs w:val="28"/>
          <w:rtl/>
        </w:rPr>
        <w:t xml:space="preserve">asnād-e xorāsān va mašhad</w:t>
      </w:r>
    </w:p>
    <w:p>
      <w:pPr>
        <w:pStyle w:val="BookText"/>
      </w:pPr>
      <w:r>
        <w:rPr>
          <w:rFonts w:ascii="IRNazanin" w:hAnsi="IRNazanin" w:eastAsia="IRNazanin" w:cs="IRNazanin"/>
          <w:lang w:bidi="fa-IR"/>
          <w:color w:val="111111"/>
          <w:sz w:val="28"/>
          <w:szCs w:val="28"/>
          <w:rtl/>
        </w:rPr>
        <w:t xml:space="preserve">تهران؛ دانشگاه؛ شماره نسخه ۶۶۴۰-عکس</w:t>
      </w:r>
    </w:p>
    <w:p>
      <w:pPr>
        <w:pStyle w:val="BookText"/>
      </w:pPr>
      <w:r>
        <w:rPr>
          <w:rFonts w:ascii="IRNazanin" w:hAnsi="IRNazanin" w:eastAsia="IRNazanin" w:cs="IRNazanin"/>
          <w:lang w:bidi="fa-IR"/>
          <w:color w:val="111111"/>
          <w:sz w:val="28"/>
          <w:szCs w:val="28"/>
          <w:rtl/>
        </w:rPr>
        <w:t xml:space="preserve">چاپ شده در بررسی های تاریخی در ۱۳۴۹ اصل از آن سید علی خان کبیر به وسیله الله یا صالح عکس برداری شده و به کتابخانه مرکزی آمده و ایرج افشار آن را در بررسی های تاریخی چاپ  کرده است؛ بی کا، بی تا [ فیلم ها-ف: ۳ - ۲۵۹]</w:t>
      </w:r>
    </w:p>
    <w:p>
      <w:pPr>
        <w:pStyle w:val="Heading3"/>
      </w:pPr>
      <w:bookmarkStart w:id="1740" w:name="_Toc1262"/>
      <w:r>
        <w:t>اسناد خرج اصفهان / اسناد / فارسی</w:t>
      </w:r>
      <w:bookmarkEnd w:id="1740"/>
    </w:p>
    <w:p>
      <w:pPr>
        <w:pStyle w:val="BookText"/>
      </w:pPr>
      <w:r>
        <w:rPr>
          <w:rFonts w:ascii="Times New Roman" w:hAnsi="Times New Roman" w:eastAsia="Times New Roman" w:cs="Times New Roman"/>
          <w:lang w:val="en-US" w:bidi="en-US"/>
          <w:color w:val="111111"/>
          <w:sz w:val="28"/>
          <w:szCs w:val="28"/>
          <w:rtl/>
        </w:rPr>
        <w:t xml:space="preserve">asnād-e xarj-e esfahān</w:t>
      </w:r>
    </w:p>
    <w:p>
      <w:pPr>
        <w:pStyle w:val="BookText"/>
      </w:pPr>
      <w:r>
        <w:rPr>
          <w:rFonts w:ascii="IRNazanin" w:hAnsi="IRNazanin" w:eastAsia="IRNazanin" w:cs="IRNazanin"/>
          <w:lang w:bidi="fa-IR"/>
          <w:color w:val="111111"/>
          <w:sz w:val="28"/>
          <w:szCs w:val="28"/>
          <w:rtl/>
        </w:rPr>
        <w:t xml:space="preserve">تهران؛ مجلس؛ شماره نسخه: ۱۰۵۲</w:t>
      </w:r>
    </w:p>
    <w:p>
      <w:pPr>
        <w:pStyle w:val="BookText"/>
      </w:pPr>
      <w:r>
        <w:rPr>
          <w:rFonts w:ascii="IRNazanin" w:hAnsi="IRNazanin" w:eastAsia="IRNazanin" w:cs="IRNazanin"/>
          <w:lang w:bidi="fa-IR"/>
          <w:color w:val="111111"/>
          <w:sz w:val="28"/>
          <w:szCs w:val="28"/>
          <w:rtl/>
        </w:rPr>
        <w:t xml:space="preserve">کتابچه اسناد خرج اصفهان در سال ۱۳۰۲ اعداد به سیاق است؛ خط: نستعلیق، بی کا، تا: قرن ۱۴؛ با مهر و یادداشت على الاعلى در ۵ جمادی الثانی ۱۳۰۵؛ کاغذ: سفید، جلد: گالینگور، ابعاد متن: 7</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اندازه: ۱۸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۲۳سم [سنا - ف: ۲ - ۱۰۹] ،</w:t>
      </w:r>
    </w:p>
    <w:p>
      <w:pPr>
        <w:pStyle w:val="Heading3"/>
      </w:pPr>
      <w:bookmarkStart w:id="1741" w:name="_Toc1263"/>
      <w:r>
        <w:t>اسناد خرج بروجرد و / اسناد / فارسی</w:t>
      </w:r>
      <w:bookmarkEnd w:id="1741"/>
    </w:p>
    <w:p>
      <w:pPr>
        <w:pStyle w:val="BookText"/>
      </w:pPr>
      <w:r>
        <w:rPr>
          <w:rFonts w:ascii="Times New Roman" w:hAnsi="Times New Roman" w:eastAsia="Times New Roman" w:cs="Times New Roman"/>
          <w:lang w:val="en-US" w:bidi="en-US"/>
          <w:color w:val="111111"/>
          <w:sz w:val="28"/>
          <w:szCs w:val="28"/>
          <w:rtl/>
        </w:rPr>
        <w:t xml:space="preserve">asnād-e xarj-e borūjerd va ...</w:t>
      </w:r>
    </w:p>
    <w:p>
      <w:pPr>
        <w:pStyle w:val="BookText"/>
      </w:pPr>
      <w:r>
        <w:rPr>
          <w:rFonts w:ascii="IRNazanin" w:hAnsi="IRNazanin" w:eastAsia="IRNazanin" w:cs="IRNazanin"/>
          <w:lang w:bidi="fa-IR"/>
          <w:color w:val="111111"/>
          <w:sz w:val="28"/>
          <w:szCs w:val="28"/>
          <w:rtl/>
        </w:rPr>
        <w:t xml:space="preserve">تهران؛ مجلس؛ شماره نسخه: ۱۰۴۱</w:t>
      </w:r>
    </w:p>
    <w:p>
      <w:pPr>
        <w:pStyle w:val="BookText"/>
      </w:pPr>
      <w:r>
        <w:rPr>
          <w:rFonts w:ascii="IRNazanin" w:hAnsi="IRNazanin" w:eastAsia="IRNazanin" w:cs="IRNazanin"/>
          <w:lang w:bidi="fa-IR"/>
          <w:color w:val="111111"/>
          <w:sz w:val="28"/>
          <w:szCs w:val="28"/>
          <w:rtl/>
        </w:rPr>
        <w:t xml:space="preserve">کتابچه اسناد خرج بروجرد و داد و ستد کارگزاران ظل السلطان در سال ۱۳۰۳؛ خط: نستعلیق، بی کا، تا: قرن ۱۴؛ با مهر و یادداشت على الاعلى در ۶ جمادی الثانی ۱۳۰۵؛ مهر: محمد رضا کاغذ ،آبی ،جلد: گالینگور ۳۸گ، ابعاد متن: 7</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[سنا - ف: ۲ - ۱۰۸]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361" w:name="pg20365_260503"/>
    <w:bookmarkEnd w:id="361"/>
    <w:p>
      <w:pPr>
        <w:pStyle w:val="Heading3"/>
      </w:pPr>
      <w:bookmarkStart w:id="1742" w:name="_Toc1264"/>
      <w:r>
        <w:t>اسناد خرج دیوانی کردستان / اسناد / فارسی</w:t>
      </w:r>
      <w:bookmarkEnd w:id="1742"/>
    </w:p>
    <w:p>
      <w:pPr>
        <w:pStyle w:val="BookText"/>
      </w:pPr>
      <w:r>
        <w:rPr>
          <w:rFonts w:ascii="Times New Roman" w:hAnsi="Times New Roman" w:eastAsia="Times New Roman" w:cs="Times New Roman"/>
          <w:lang w:val="en-US" w:bidi="en-US"/>
          <w:color w:val="111111"/>
          <w:sz w:val="28"/>
          <w:szCs w:val="28"/>
          <w:rtl/>
        </w:rPr>
        <w:t xml:space="preserve">asnād-e xarj-e dīvānī-ye kordestān</w:t>
      </w:r>
    </w:p>
    <w:p>
      <w:pPr>
        <w:pStyle w:val="BookText"/>
      </w:pPr>
      <w:r>
        <w:rPr>
          <w:rFonts w:ascii="IRNazanin" w:hAnsi="IRNazanin" w:eastAsia="IRNazanin" w:cs="IRNazanin"/>
          <w:lang w:bidi="fa-IR"/>
          <w:color w:val="111111"/>
          <w:sz w:val="28"/>
          <w:szCs w:val="28"/>
          <w:rtl/>
        </w:rPr>
        <w:t xml:space="preserve">تهران؛ مجلس؛ شماره نسخه: ۱۰۴۰</w:t>
      </w:r>
    </w:p>
    <w:p>
      <w:pPr>
        <w:pStyle w:val="BookText"/>
      </w:pPr>
      <w:r>
        <w:rPr>
          <w:rFonts w:ascii="IRNazanin" w:hAnsi="IRNazanin" w:eastAsia="IRNazanin" w:cs="IRNazanin"/>
          <w:lang w:bidi="fa-IR"/>
          <w:color w:val="111111"/>
          <w:sz w:val="28"/>
          <w:szCs w:val="28"/>
          <w:rtl/>
        </w:rPr>
        <w:t xml:space="preserve">کتابچه اسناد خرج دیوانی کردستان در سال ۱۳۰۳.اعداد به سیـاق است ؛خط: نستعلیق، بی کا، تا: قرن ۱۴؛ با مهر و یادداشت علی الاعلى در ۷ جمادی الثانی ۱۳۰۵ ؛مهر: محمد رضا ؛کاغذ: آبی ،جلد: گالینگور ،۳۸گ، ابعاد متن: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اندازه: ۱۸</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۲۳سم[ سـنا -ف: ۲ - ۱۰۸]</w:t>
      </w:r>
    </w:p>
    <w:p>
      <w:pPr>
        <w:pStyle w:val="Heading3"/>
      </w:pPr>
      <w:bookmarkStart w:id="1743" w:name="_Toc1265"/>
      <w:r>
        <w:t>اسناد خرج دیوانی کرمانشاهان / اسناد / فارسی</w:t>
      </w:r>
      <w:bookmarkEnd w:id="1743"/>
    </w:p>
    <w:p>
      <w:pPr>
        <w:pStyle w:val="BookText"/>
      </w:pPr>
      <w:r>
        <w:rPr>
          <w:rFonts w:ascii="Times New Roman" w:hAnsi="Times New Roman" w:eastAsia="Times New Roman" w:cs="Times New Roman"/>
          <w:lang w:val="en-US" w:bidi="en-US"/>
          <w:color w:val="111111"/>
          <w:sz w:val="28"/>
          <w:szCs w:val="28"/>
          <w:rtl/>
        </w:rPr>
        <w:t xml:space="preserve">asnād-e xarj-e dīvānī-ye kermānšāhān</w:t>
      </w:r>
    </w:p>
    <w:p>
      <w:pPr>
        <w:pStyle w:val="BookText"/>
      </w:pPr>
      <w:r>
        <w:rPr>
          <w:rFonts w:ascii="IRNazanin" w:hAnsi="IRNazanin" w:eastAsia="IRNazanin" w:cs="IRNazanin"/>
          <w:lang w:bidi="fa-IR"/>
          <w:color w:val="111111"/>
          <w:sz w:val="28"/>
          <w:szCs w:val="28"/>
          <w:rtl/>
        </w:rPr>
        <w:t xml:space="preserve">تهران؛ مجلس؛ شماره نسخه: ۱۰۲۱</w:t>
      </w:r>
    </w:p>
    <w:p>
      <w:pPr>
        <w:pStyle w:val="BookText"/>
      </w:pPr>
      <w:r>
        <w:rPr>
          <w:rFonts w:ascii="IRNazanin" w:hAnsi="IRNazanin" w:eastAsia="IRNazanin" w:cs="IRNazanin"/>
          <w:lang w:bidi="fa-IR"/>
          <w:color w:val="111111"/>
          <w:sz w:val="28"/>
          <w:szCs w:val="28"/>
          <w:rtl/>
        </w:rPr>
        <w:t xml:space="preserve">کتابچه اسناد خرج دیوانی کرمانشاهان در سال ۱۳۰۳ اعداد به سیاق است ؛خط: نستعلیق، بی کا، تا: قرن ۱۴؛  با مهر و یادداشـت على الاعلى در جمادی الثانی ۱۳۰۵؛ کاغذ ،آبی ،جلد: گالینگور ،۷۸گ، ابعاد متن: 8</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۱۸</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۲۳سم[سنا - ف: ۲ - ۱۰۵]</w:t>
      </w:r>
    </w:p>
    <w:p>
      <w:pPr>
        <w:pStyle w:val="Heading3"/>
      </w:pPr>
      <w:bookmarkStart w:id="1744" w:name="_Toc1266"/>
      <w:r>
        <w:t>اسناد خرج عراق و محلات و ... / اسناد / فارسی</w:t>
      </w:r>
      <w:bookmarkEnd w:id="1744"/>
    </w:p>
    <w:p>
      <w:pPr>
        <w:pStyle w:val="BookText"/>
      </w:pPr>
      <w:r>
        <w:rPr>
          <w:rFonts w:ascii="Times New Roman" w:hAnsi="Times New Roman" w:eastAsia="Times New Roman" w:cs="Times New Roman"/>
          <w:lang w:val="en-US" w:bidi="en-US"/>
          <w:color w:val="111111"/>
          <w:sz w:val="28"/>
          <w:szCs w:val="28"/>
          <w:rtl/>
        </w:rPr>
        <w:t xml:space="preserve">asnād-e xarj-e ‘arāq va mahallāt va ...</w:t>
      </w:r>
    </w:p>
    <w:p>
      <w:pPr>
        <w:pStyle w:val="BookText"/>
      </w:pPr>
      <w:r>
        <w:rPr>
          <w:rFonts w:ascii="IRNazanin" w:hAnsi="IRNazanin" w:eastAsia="IRNazanin" w:cs="IRNazanin"/>
          <w:lang w:bidi="fa-IR"/>
          <w:color w:val="111111"/>
          <w:sz w:val="28"/>
          <w:szCs w:val="28"/>
          <w:rtl/>
        </w:rPr>
        <w:t xml:space="preserve">۱. تهران؛ مجلس؛ شماره نسخه: ۹۷۸</w:t>
      </w:r>
    </w:p>
    <w:p>
      <w:pPr>
        <w:pStyle w:val="BookText"/>
      </w:pPr>
      <w:r>
        <w:rPr>
          <w:rFonts w:ascii="IRNazanin" w:hAnsi="IRNazanin" w:eastAsia="IRNazanin" w:cs="IRNazanin"/>
          <w:lang w:bidi="fa-IR"/>
          <w:color w:val="111111"/>
          <w:sz w:val="28"/>
          <w:szCs w:val="28"/>
          <w:rtl/>
        </w:rPr>
        <w:t xml:space="preserve">کتابچه اسناد خرج عراق و محلات و درجزین از سال ۳۰۲ تا ۱۳۰۵ ؛اعداد به سیاق است ؛خط: نستعلیق، بی کا، تا: قرن ۱۴؛ مهر و یادداشت علی الاعلی در ۱۰ جمادی الثانی ۱۳۰۵؛ کاغذ:آبی ،جلد: گالینگور ،۲۹گ، ابعاد متن: 6</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  سم [سنا - ف: ٢ - ١٠٠]</w:t>
      </w:r>
    </w:p>
    <w:p>
      <w:pPr>
        <w:pStyle w:val="BookText"/>
      </w:pPr>
      <w:r>
        <w:rPr>
          <w:rFonts w:ascii="IRNazanin" w:hAnsi="IRNazanin" w:eastAsia="IRNazanin" w:cs="IRNazanin"/>
          <w:lang w:bidi="fa-IR"/>
          <w:color w:val="111111"/>
          <w:sz w:val="28"/>
          <w:szCs w:val="28"/>
          <w:rtl/>
        </w:rPr>
        <w:t xml:space="preserve">۲. تهران؛ مجلس؛ شماره نسخه: ۱۰۴۳</w:t>
      </w:r>
    </w:p>
    <w:p>
      <w:pPr>
        <w:pStyle w:val="BookText"/>
      </w:pPr>
      <w:r>
        <w:rPr>
          <w:rFonts w:ascii="IRNazanin" w:hAnsi="IRNazanin" w:eastAsia="IRNazanin" w:cs="IRNazanin"/>
          <w:lang w:bidi="fa-IR"/>
          <w:color w:val="111111"/>
          <w:sz w:val="28"/>
          <w:szCs w:val="28"/>
          <w:rtl/>
        </w:rPr>
        <w:t xml:space="preserve">کتابچه اسناد خرج عراق و محلات و در جزین و سایر بلوک در سال ۱۳۰۳. اعداد به سیاق است؛ خط: نستعلیق، بی کا، تا: قرن  14؛ با مهر و یادداشت علی الاعلى در جمادى الاول ۱۳۰۵؛ كاغذ: آبی، جلد: گالینگور ،۴۶گ، ابعاد متن: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  سم [سنا - ف: ۲ - ۱۰۸]</w:t>
      </w:r>
    </w:p>
    <w:p>
      <w:pPr>
        <w:pStyle w:val="Heading3"/>
      </w:pPr>
      <w:bookmarkStart w:id="1745" w:name="_Toc1267"/>
      <w:r>
        <w:t>اسناد خرج عربستان در سال ۱۳۰۲ / اسناد / فارسی</w:t>
      </w:r>
      <w:bookmarkEnd w:id="1745"/>
    </w:p>
    <w:p>
      <w:pPr>
        <w:pStyle w:val="BookText"/>
      </w:pPr>
      <w:r>
        <w:rPr>
          <w:rFonts w:ascii="Times New Roman" w:hAnsi="Times New Roman" w:eastAsia="Times New Roman" w:cs="Times New Roman"/>
          <w:lang w:val="en-US" w:bidi="en-US"/>
          <w:color w:val="111111"/>
          <w:sz w:val="28"/>
          <w:szCs w:val="28"/>
          <w:rtl/>
        </w:rPr>
        <w:t xml:space="preserve">asnād-e xarj-e ‘arabestān dar sāl-e 1302</w:t>
      </w:r>
    </w:p>
    <w:p>
      <w:pPr>
        <w:pStyle w:val="BookText"/>
      </w:pPr>
      <w:r>
        <w:rPr>
          <w:rFonts w:ascii="IRNazanin" w:hAnsi="IRNazanin" w:eastAsia="IRNazanin" w:cs="IRNazanin"/>
          <w:lang w:bidi="fa-IR"/>
          <w:color w:val="111111"/>
          <w:sz w:val="28"/>
          <w:szCs w:val="28"/>
          <w:rtl/>
        </w:rPr>
        <w:t xml:space="preserve">تهران؛ مجلس؛ شماره نسخه: ۹۷۰</w:t>
      </w:r>
    </w:p>
    <w:p>
      <w:pPr>
        <w:pStyle w:val="BookText"/>
      </w:pPr>
      <w:r>
        <w:rPr>
          <w:rFonts w:ascii="IRNazanin" w:hAnsi="IRNazanin" w:eastAsia="IRNazanin" w:cs="IRNazanin"/>
          <w:lang w:bidi="fa-IR"/>
          <w:color w:val="111111"/>
          <w:sz w:val="28"/>
          <w:szCs w:val="28"/>
          <w:rtl/>
        </w:rPr>
        <w:t xml:space="preserve">کتابچه اسناد خرج عربستان در سال ۱۳۰۲؛ اعداد به سیاق اسـت؛ خط: نستعلیق، بی کا، تا: قرن ۱۴؛ با مهر و یادداشت علی الاعلی در 1 جمادی الثانی ۱۳۰۵؛ مهر: محمد رضا؛ کاغذ ،آبی ،جلد: گالینگور، ۴۵گ، ابعاد متن: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۲۳سم [سنا - ف: ٢ - ٩٩]</w:t>
      </w:r>
    </w:p>
    <w:p>
      <w:pPr>
        <w:pStyle w:val="Heading3"/>
      </w:pPr>
      <w:bookmarkStart w:id="1746" w:name="_Toc1268"/>
      <w:r>
        <w:t>اسناد خرج فارس / اسناد / فارسی</w:t>
      </w:r>
      <w:bookmarkEnd w:id="1746"/>
    </w:p>
    <w:p>
      <w:pPr>
        <w:pStyle w:val="BookText"/>
      </w:pPr>
      <w:r>
        <w:rPr>
          <w:rFonts w:ascii="Times New Roman" w:hAnsi="Times New Roman" w:eastAsia="Times New Roman" w:cs="Times New Roman"/>
          <w:lang w:val="en-US" w:bidi="en-US"/>
          <w:color w:val="111111"/>
          <w:sz w:val="28"/>
          <w:szCs w:val="28"/>
          <w:rtl/>
        </w:rPr>
        <w:t xml:space="preserve">asnād-e xarj-e fārs</w:t>
      </w:r>
    </w:p>
    <w:p>
      <w:pPr>
        <w:pStyle w:val="BookText"/>
      </w:pPr>
      <w:r>
        <w:rPr>
          <w:rFonts w:ascii="IRNazanin" w:hAnsi="IRNazanin" w:eastAsia="IRNazanin" w:cs="IRNazanin"/>
          <w:lang w:bidi="fa-IR"/>
          <w:color w:val="111111"/>
          <w:sz w:val="28"/>
          <w:szCs w:val="28"/>
          <w:rtl/>
        </w:rPr>
        <w:t xml:space="preserve">۱. تهران؛ مجلس؛ شماره نسخه: ۱۰۰۰</w:t>
      </w:r>
    </w:p>
    <w:p>
      <w:pPr>
        <w:pStyle w:val="BookText"/>
      </w:pPr>
      <w:r>
        <w:rPr>
          <w:rFonts w:ascii="IRNazanin" w:hAnsi="IRNazanin" w:eastAsia="IRNazanin" w:cs="IRNazanin"/>
          <w:lang w:bidi="fa-IR"/>
          <w:color w:val="111111"/>
          <w:sz w:val="28"/>
          <w:szCs w:val="28"/>
          <w:rtl/>
        </w:rPr>
        <w:t xml:space="preserve">کتابچه اسناد خرج فارس در سال ۱۳۰۲؛ اعداد به سیاق است؛ خط: نستعلیق، بی کا، تا: قرن ۱۴؛ با مهر و یادداشت علی الاعلى در ۲ جمادی الثانی ۱۳۰۵؛ کاغذ ،آبی، جلد: گالینگور ،۶۸گ  ، ابعاد متن: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،اندازه: ۱۸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۲۳سم [سنا - ف: ۲ - ۱۰۳]</w:t>
      </w:r>
    </w:p>
    <w:p>
      <w:pPr>
        <w:pStyle w:val="BookText"/>
      </w:pPr>
      <w:r>
        <w:rPr>
          <w:rFonts w:ascii="IRNazanin" w:hAnsi="IRNazanin" w:eastAsia="IRNazanin" w:cs="IRNazanin"/>
          <w:lang w:bidi="fa-IR"/>
          <w:color w:val="111111"/>
          <w:sz w:val="28"/>
          <w:szCs w:val="28"/>
          <w:rtl/>
        </w:rPr>
        <w:t xml:space="preserve">۲. تهران؛ مجلس؛ شماره نسخه: ۹۵۶</w:t>
      </w:r>
    </w:p>
    <w:p>
      <w:pPr>
        <w:pStyle w:val="BookText"/>
      </w:pPr>
      <w:r>
        <w:rPr>
          <w:rFonts w:ascii="IRNazanin" w:hAnsi="IRNazanin" w:eastAsia="IRNazanin" w:cs="IRNazanin"/>
          <w:lang w:bidi="fa-IR"/>
          <w:color w:val="111111"/>
          <w:sz w:val="28"/>
          <w:szCs w:val="28"/>
          <w:rtl/>
        </w:rPr>
        <w:t xml:space="preserve">در سال ۱۳۰۵ اعداد به سیاق است؛ خط: نستعلیق، بی کا، تا: قرن ۱۴؛ با مهر و یادداشت علی الاعلی؛کاغذ: آبی، جلد: گالینگور، ۸۲گ، ابعاد متن: 7</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[سنا - ف: ۲ - ۹۸]</w:t>
      </w:r>
    </w:p>
    <w:p>
      <w:pPr>
        <w:pStyle w:val="Heading3"/>
      </w:pPr>
      <w:bookmarkStart w:id="1747" w:name="_Toc1269"/>
      <w:r>
        <w:t>اسناد خرج کمره / اسناد / فارسی</w:t>
      </w:r>
      <w:bookmarkEnd w:id="1747"/>
    </w:p>
    <w:p>
      <w:pPr>
        <w:pStyle w:val="BookText"/>
      </w:pPr>
      <w:r>
        <w:rPr>
          <w:rFonts w:ascii="Times New Roman" w:hAnsi="Times New Roman" w:eastAsia="Times New Roman" w:cs="Times New Roman"/>
          <w:lang w:val="en-US" w:bidi="en-US"/>
          <w:color w:val="111111"/>
          <w:sz w:val="28"/>
          <w:szCs w:val="28"/>
          <w:rtl/>
        </w:rPr>
        <w:t xml:space="preserve">asnād-e xarj-e kamareh</w:t>
      </w:r>
    </w:p>
    <w:p>
      <w:pPr>
        <w:pStyle w:val="BookText"/>
      </w:pPr>
      <w:r>
        <w:rPr>
          <w:rFonts w:ascii="IRNazanin" w:hAnsi="IRNazanin" w:eastAsia="IRNazanin" w:cs="IRNazanin"/>
          <w:lang w:bidi="fa-IR"/>
          <w:color w:val="111111"/>
          <w:sz w:val="28"/>
          <w:szCs w:val="28"/>
          <w:rtl/>
        </w:rPr>
        <w:t xml:space="preserve">تهران؛ مجلس؛ شماره نسخه: ۹۸۱</w:t>
      </w:r>
    </w:p>
    <w:p>
      <w:pPr>
        <w:pStyle w:val="BookText"/>
      </w:pPr>
      <w:r>
        <w:rPr>
          <w:rFonts w:ascii="IRNazanin" w:hAnsi="IRNazanin" w:eastAsia="IRNazanin" w:cs="IRNazanin"/>
          <w:lang w:bidi="fa-IR"/>
          <w:color w:val="111111"/>
          <w:sz w:val="28"/>
          <w:szCs w:val="28"/>
          <w:rtl/>
        </w:rPr>
        <w:t xml:space="preserve">کتابچه اسناد خرج کمره در سال ۱۳۰۲ اعداد به سیاق؛ خط: نستعلیق، بی کا، تا: قرن ۱۴؛ مهر: محمد رضا على الاعلى؛ كاغذ ،آبی، جلد: گالینگور ۱۴گ، ابعاد متن: 6</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۲۲سم[سنا - ف: ۲ - ۱۰۱]</w:t>
      </w:r>
    </w:p>
    <w:p>
      <w:pPr>
        <w:pStyle w:val="Heading3"/>
      </w:pPr>
      <w:bookmarkStart w:id="1748" w:name="_Toc1270"/>
      <w:r>
        <w:t>اسناد خرج گلپایگان / اسناد / فارسی</w:t>
      </w:r>
      <w:bookmarkEnd w:id="1748"/>
    </w:p>
    <w:p>
      <w:pPr>
        <w:pStyle w:val="BookText"/>
      </w:pPr>
      <w:r>
        <w:rPr>
          <w:rFonts w:ascii="Times New Roman" w:hAnsi="Times New Roman" w:eastAsia="Times New Roman" w:cs="Times New Roman"/>
          <w:lang w:val="en-US" w:bidi="en-US"/>
          <w:color w:val="111111"/>
          <w:sz w:val="28"/>
          <w:szCs w:val="28"/>
          <w:rtl/>
        </w:rPr>
        <w:t xml:space="preserve">asnād-e xarj-e golpāygān</w:t>
      </w:r>
    </w:p>
    <w:p>
      <w:pPr>
        <w:pStyle w:val="BookText"/>
      </w:pPr>
      <w:r>
        <w:rPr>
          <w:rFonts w:ascii="IRNazanin" w:hAnsi="IRNazanin" w:eastAsia="IRNazanin" w:cs="IRNazanin"/>
          <w:lang w:bidi="fa-IR"/>
          <w:color w:val="111111"/>
          <w:sz w:val="28"/>
          <w:szCs w:val="28"/>
          <w:rtl/>
        </w:rPr>
        <w:t xml:space="preserve">تهران مجلس شماره نسخه: ۱۰۲۴</w:t>
      </w:r>
    </w:p>
    <w:p>
      <w:pPr>
        <w:pStyle w:val="BookText"/>
      </w:pPr>
      <w:r>
        <w:rPr>
          <w:rFonts w:ascii="IRNazanin" w:hAnsi="IRNazanin" w:eastAsia="IRNazanin" w:cs="IRNazanin"/>
          <w:lang w:bidi="fa-IR"/>
          <w:color w:val="111111"/>
          <w:sz w:val="28"/>
          <w:szCs w:val="28"/>
          <w:rtl/>
        </w:rPr>
        <w:t xml:space="preserve">کتابچه اسناد خرج گلپایگان در سال ۱۳۰۲، اعداد به سیاق است؛ خط: نستعلیق، بی کا، تا: قرن ۱۴؛ با مهر و یادداشت علی الاعلى در جمادی الاول ۱۳۰۵ ؛کاغذ: آبی ،جلد: گالینگور، ۱۰گ، ابعاد :متن 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۱۷،اندازه: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[سنا - ف: ۲ - ۱۰۶]</w:t>
      </w:r>
    </w:p>
    <w:p>
      <w:pPr>
        <w:pStyle w:val="Heading3"/>
      </w:pPr>
      <w:bookmarkStart w:id="1749" w:name="_Toc1271"/>
      <w:r>
        <w:t>اسناد خرج گلپایگان و خوانسار / اسناد / فارسی</w:t>
      </w:r>
      <w:bookmarkEnd w:id="1749"/>
    </w:p>
    <w:p>
      <w:pPr>
        <w:pStyle w:val="BookText"/>
      </w:pPr>
      <w:r>
        <w:rPr>
          <w:rFonts w:ascii="Times New Roman" w:hAnsi="Times New Roman" w:eastAsia="Times New Roman" w:cs="Times New Roman"/>
          <w:lang w:val="en-US" w:bidi="en-US"/>
          <w:color w:val="111111"/>
          <w:sz w:val="28"/>
          <w:szCs w:val="28"/>
          <w:rtl/>
        </w:rPr>
        <w:t xml:space="preserve">asnād-e xarj-e golpay gan va xānsār</w:t>
      </w:r>
    </w:p>
    <w:p>
      <w:pPr>
        <w:pStyle w:val="BookText"/>
      </w:pPr>
      <w:r>
        <w:rPr>
          <w:rFonts w:ascii="IRNazanin" w:hAnsi="IRNazanin" w:eastAsia="IRNazanin" w:cs="IRNazanin"/>
          <w:lang w:bidi="fa-IR"/>
          <w:color w:val="111111"/>
          <w:sz w:val="28"/>
          <w:szCs w:val="28"/>
          <w:rtl/>
        </w:rPr>
        <w:t xml:space="preserve">تهران؛ مجلس؛ شماره نسخه: ۱۰۲۹</w:t>
      </w:r>
    </w:p>
    <w:p>
      <w:pPr>
        <w:pStyle w:val="BookText"/>
      </w:pPr>
      <w:r>
        <w:rPr>
          <w:rFonts w:ascii="IRNazanin" w:hAnsi="IRNazanin" w:eastAsia="IRNazanin" w:cs="IRNazanin"/>
          <w:lang w:bidi="fa-IR"/>
          <w:color w:val="111111"/>
          <w:sz w:val="28"/>
          <w:szCs w:val="28"/>
          <w:rtl/>
        </w:rPr>
        <w:t xml:space="preserve">کتابچه اسناد گلپایگان و خوانسار در سال ۱۳۰۴. اعداد به سیاق است، خط: نستعلیق، بی کا، تا: قرن ۱۴؛ با مهر و یادداشت علی الاعلی در ۶ جمادی الثانی ۱۳۰۵؛ مهر: محمد رضا؛ کاغذ: آبی ،جلد: گالینگور ،۲۴ ابعاد متن: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۲۳سم [سنا - ف: ۲ - ۱۰۶]</w:t>
      </w:r>
    </w:p>
    <w:p>
      <w:pPr>
        <w:pStyle w:val="Heading3"/>
      </w:pPr>
      <w:bookmarkStart w:id="1750" w:name="_Toc1272"/>
      <w:r>
        <w:t>اسناد خرج لرستان / اسناد / فارسی</w:t>
      </w:r>
      <w:bookmarkEnd w:id="1750"/>
    </w:p>
    <w:p>
      <w:pPr>
        <w:pStyle w:val="BookText"/>
      </w:pPr>
      <w:r>
        <w:rPr>
          <w:rFonts w:ascii="Times New Roman" w:hAnsi="Times New Roman" w:eastAsia="Times New Roman" w:cs="Times New Roman"/>
          <w:lang w:val="en-US" w:bidi="en-US"/>
          <w:color w:val="111111"/>
          <w:sz w:val="28"/>
          <w:szCs w:val="28"/>
          <w:rtl/>
        </w:rPr>
        <w:t xml:space="preserve">asnad-e xarj-e lorestan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362" w:name="pg20365_260504"/>
    <w:bookmarkEnd w:id="362"/>
    <w:p>
      <w:pPr>
        <w:pStyle w:val="BookText"/>
      </w:pPr>
      <w:r>
        <w:rPr>
          <w:rFonts w:ascii="IRNazanin" w:hAnsi="IRNazanin" w:eastAsia="IRNazanin" w:cs="IRNazanin"/>
          <w:lang w:bidi="fa-IR"/>
          <w:color w:val="111111"/>
          <w:sz w:val="28"/>
          <w:szCs w:val="28"/>
          <w:rtl/>
        </w:rPr>
        <w:t xml:space="preserve">تهران؛ مجلس؛ شماره نسخه: ۹۹۴</w:t>
      </w:r>
    </w:p>
    <w:p>
      <w:pPr>
        <w:pStyle w:val="BookText"/>
      </w:pPr>
      <w:r>
        <w:rPr>
          <w:rFonts w:ascii="IRNazanin" w:hAnsi="IRNazanin" w:eastAsia="IRNazanin" w:cs="IRNazanin"/>
          <w:lang w:bidi="fa-IR"/>
          <w:color w:val="111111"/>
          <w:sz w:val="28"/>
          <w:szCs w:val="28"/>
          <w:rtl/>
        </w:rPr>
        <w:t xml:space="preserve">کتابچه اسناد خرج لرستان در سال ،۱۳۰۲؛ اعداد به سیاق اسـت ؛خط: نستعلیق، بی کا ،تا: قرن ۱۴؛ با مهرهای و یادداشت علی الاعلى در جمادی الثانی ۱۳۰۵ و محمد رضا؛ کاغذ ،آبی، جـلد: گالینگور، ۴۰ گ، ابعاد متن: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اندازه: ۱۸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۲۳سم [سنا - ف: 2- 102]</w:t>
      </w:r>
    </w:p>
    <w:p>
      <w:pPr>
        <w:pStyle w:val="Heading3"/>
      </w:pPr>
      <w:bookmarkStart w:id="1751" w:name="_Toc1273"/>
      <w:r>
        <w:t>اسناد خرج لوی ئیل املاک موضوعه حاجی ذکاءالدوله و بهاء الممالک / اسناد / فارسی</w:t>
      </w:r>
      <w:bookmarkEnd w:id="1751"/>
    </w:p>
    <w:p>
      <w:pPr>
        <w:pStyle w:val="BookText"/>
      </w:pPr>
      <w:r>
        <w:rPr>
          <w:rFonts w:ascii="Times New Roman" w:hAnsi="Times New Roman" w:eastAsia="Times New Roman" w:cs="Times New Roman"/>
          <w:lang w:val="en-US" w:bidi="en-US"/>
          <w:color w:val="111111"/>
          <w:sz w:val="28"/>
          <w:szCs w:val="28"/>
          <w:rtl/>
        </w:rPr>
        <w:t xml:space="preserve">asnād-e xarj-e levī ’īl-e amlāk-e mowzū‘e-ye hājī</w:t>
      </w:r>
    </w:p>
    <w:p>
      <w:pPr>
        <w:pStyle w:val="BookText"/>
      </w:pPr>
      <w:r>
        <w:rPr>
          <w:rFonts w:ascii="Times New Roman" w:hAnsi="Times New Roman" w:eastAsia="Times New Roman" w:cs="Times New Roman"/>
          <w:lang w:val="en-US" w:bidi="en-US"/>
          <w:color w:val="111111"/>
          <w:sz w:val="28"/>
          <w:szCs w:val="28"/>
          <w:rtl/>
        </w:rPr>
        <w:t xml:space="preserve">zokā’-od-dowle va bahā’-ol-mamālek</w:t>
      </w:r>
    </w:p>
    <w:p>
      <w:pPr>
        <w:pStyle w:val="BookText"/>
      </w:pPr>
      <w:r>
        <w:rPr>
          <w:rFonts w:ascii="IRNazanin" w:hAnsi="IRNazanin" w:eastAsia="IRNazanin" w:cs="IRNazanin"/>
          <w:lang w:bidi="fa-IR"/>
          <w:color w:val="111111"/>
          <w:sz w:val="28"/>
          <w:szCs w:val="28"/>
          <w:rtl/>
        </w:rPr>
        <w:t xml:space="preserve">تهران؛ مجلس؛ شماره نسخه: ۱۱۹۲۶</w:t>
      </w:r>
    </w:p>
    <w:p>
      <w:pPr>
        <w:pStyle w:val="BookText"/>
      </w:pPr>
      <w:r>
        <w:rPr>
          <w:rFonts w:ascii="IRNazanin" w:hAnsi="IRNazanin" w:eastAsia="IRNazanin" w:cs="IRNazanin"/>
          <w:lang w:bidi="fa-IR"/>
          <w:color w:val="111111"/>
          <w:sz w:val="28"/>
          <w:szCs w:val="28"/>
          <w:rtl/>
        </w:rPr>
        <w:t xml:space="preserve">خط: سیاق، بی کا، تا: ۱۳۲۲ق؛ کاغذ: فرنگی [ف: ۳۴ - ۸۶]</w:t>
      </w:r>
    </w:p>
    <w:p>
      <w:pPr>
        <w:pStyle w:val="Heading3"/>
      </w:pPr>
      <w:bookmarkStart w:id="1752" w:name="_Toc1274"/>
      <w:r>
        <w:t>اسناد خرج مستمریات عراق در سال ۱۳۰۳ / اسناد / فارسی</w:t>
      </w:r>
      <w:bookmarkEnd w:id="1752"/>
    </w:p>
    <w:p>
      <w:pPr>
        <w:pStyle w:val="BookText"/>
      </w:pPr>
      <w:r>
        <w:rPr>
          <w:rFonts w:ascii="Times New Roman" w:hAnsi="Times New Roman" w:eastAsia="Times New Roman" w:cs="Times New Roman"/>
          <w:lang w:val="en-US" w:bidi="en-US"/>
          <w:color w:val="111111"/>
          <w:sz w:val="28"/>
          <w:szCs w:val="28"/>
          <w:rtl/>
        </w:rPr>
        <w:t xml:space="preserve">asnād-e xarj-e mostamarrīyāt-e ‘arāq dar sāl-e 1303</w:t>
      </w:r>
    </w:p>
    <w:p>
      <w:pPr>
        <w:pStyle w:val="BookText"/>
      </w:pPr>
      <w:r>
        <w:rPr>
          <w:rFonts w:ascii="IRNazanin" w:hAnsi="IRNazanin" w:eastAsia="IRNazanin" w:cs="IRNazanin"/>
          <w:lang w:bidi="fa-IR"/>
          <w:color w:val="111111"/>
          <w:sz w:val="28"/>
          <w:szCs w:val="28"/>
          <w:rtl/>
        </w:rPr>
        <w:t xml:space="preserve">تهران؛ مجلس؛ شماره نسخه: ۹۷۱</w:t>
      </w:r>
    </w:p>
    <w:p>
      <w:pPr>
        <w:pStyle w:val="BookText"/>
      </w:pPr>
      <w:r>
        <w:rPr>
          <w:rFonts w:ascii="IRNazanin" w:hAnsi="IRNazanin" w:eastAsia="IRNazanin" w:cs="IRNazanin"/>
          <w:lang w:bidi="fa-IR"/>
          <w:color w:val="111111"/>
          <w:sz w:val="28"/>
          <w:szCs w:val="28"/>
          <w:rtl/>
        </w:rPr>
        <w:t xml:space="preserve">کتابچه اسناد خرج مستمریات عراق در سال ۱۳۰۳. اعداد به سـیاق است ؛خط: نستعلیق، بی کا، تا: قرن ۱۴؛ مهر: محمد رضا؛ کاغذ: آبی ،جلد: گالینگور، ۱۶گ، ابعاد متن: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  سم[سنا - ف: ۲ - ۱۰۰]</w:t>
      </w:r>
    </w:p>
    <w:p>
      <w:pPr>
        <w:pStyle w:val="Heading3"/>
      </w:pPr>
      <w:bookmarkStart w:id="1753" w:name="_Toc1275"/>
      <w:r>
        <w:t>اسناد خرج موضوعه اشخاص / اسناد / فارسی</w:t>
      </w:r>
      <w:bookmarkEnd w:id="1753"/>
    </w:p>
    <w:p>
      <w:pPr>
        <w:pStyle w:val="BookText"/>
      </w:pPr>
      <w:r>
        <w:rPr>
          <w:rFonts w:ascii="Times New Roman" w:hAnsi="Times New Roman" w:eastAsia="Times New Roman" w:cs="Times New Roman"/>
          <w:lang w:val="en-US" w:bidi="en-US"/>
          <w:color w:val="111111"/>
          <w:sz w:val="28"/>
          <w:szCs w:val="28"/>
          <w:rtl/>
        </w:rPr>
        <w:t xml:space="preserve">asnād-e xarj-e mowzū‘e-ye ašxās</w:t>
      </w:r>
    </w:p>
    <w:p>
      <w:pPr>
        <w:pStyle w:val="BookText"/>
      </w:pPr>
      <w:r>
        <w:rPr>
          <w:rFonts w:ascii="IRNazanin" w:hAnsi="IRNazanin" w:eastAsia="IRNazanin" w:cs="IRNazanin"/>
          <w:lang w:bidi="fa-IR"/>
          <w:color w:val="111111"/>
          <w:sz w:val="28"/>
          <w:szCs w:val="28"/>
          <w:rtl/>
        </w:rPr>
        <w:t xml:space="preserve">تهران؛ مجلس؛ شماره نسخه: ۱۱۸۲۵</w:t>
      </w:r>
    </w:p>
    <w:p>
      <w:pPr>
        <w:pStyle w:val="BookText"/>
      </w:pPr>
      <w:r>
        <w:rPr>
          <w:rFonts w:ascii="IRNazanin" w:hAnsi="IRNazanin" w:eastAsia="IRNazanin" w:cs="IRNazanin"/>
          <w:lang w:bidi="fa-IR"/>
          <w:color w:val="111111"/>
          <w:sz w:val="28"/>
          <w:szCs w:val="28"/>
          <w:rtl/>
        </w:rPr>
        <w:t xml:space="preserve">خط: شکسته نستعلیق و سیاق، بی کا، تا: ۱۳۲۲ق؛ کاغذ: فرنگی ،جلد ،کلاسور، ۳۰گ [ف: ۳۴ - ۷۳]</w:t>
      </w:r>
    </w:p>
    <w:p>
      <w:pPr>
        <w:pStyle w:val="Heading3"/>
      </w:pPr>
      <w:bookmarkStart w:id="1754" w:name="_Toc1276"/>
      <w:r>
        <w:t>اسناد خرج و مالیات و فروعات بروجرد و ... / اسناد / فارسی</w:t>
      </w:r>
      <w:bookmarkEnd w:id="1754"/>
    </w:p>
    <w:p>
      <w:pPr>
        <w:pStyle w:val="BookText"/>
      </w:pPr>
      <w:r>
        <w:rPr>
          <w:rFonts w:ascii="Times New Roman" w:hAnsi="Times New Roman" w:eastAsia="Times New Roman" w:cs="Times New Roman"/>
          <w:lang w:val="en-US" w:bidi="en-US"/>
          <w:color w:val="111111"/>
          <w:sz w:val="28"/>
          <w:szCs w:val="28"/>
          <w:rtl/>
        </w:rPr>
        <w:t xml:space="preserve">asnād-e xarj va mālīyāt va forū‘āt-e borūjerd va ...</w:t>
      </w:r>
    </w:p>
    <w:p>
      <w:pPr>
        <w:pStyle w:val="BookText"/>
      </w:pPr>
      <w:r>
        <w:rPr>
          <w:rFonts w:ascii="IRNazanin" w:hAnsi="IRNazanin" w:eastAsia="IRNazanin" w:cs="IRNazanin"/>
          <w:lang w:bidi="fa-IR"/>
          <w:color w:val="111111"/>
          <w:sz w:val="28"/>
          <w:szCs w:val="28"/>
          <w:rtl/>
        </w:rPr>
        <w:t xml:space="preserve">تهران؛ مجلس؛ شماره نسخه: ۹۷۴</w:t>
      </w:r>
    </w:p>
    <w:p>
      <w:pPr>
        <w:pStyle w:val="BookText"/>
      </w:pPr>
      <w:r>
        <w:rPr>
          <w:rFonts w:ascii="IRNazanin" w:hAnsi="IRNazanin" w:eastAsia="IRNazanin" w:cs="IRNazanin"/>
          <w:lang w:bidi="fa-IR"/>
          <w:color w:val="111111"/>
          <w:sz w:val="28"/>
          <w:szCs w:val="28"/>
          <w:rtl/>
        </w:rPr>
        <w:t xml:space="preserve">کتابچه اسناد خرج و مالیات و فروعات بروجرد و لرستان و عربستان. اعداد به سیاق است ،خط: نستعلیق، بی کا، تا: قرن14؛ کاغذ: سفید، جلد:  گالینگور، ۴۰گ، ابعاد متن: 6</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[سنا - ف: ٢ - ١٠٠]</w:t>
      </w:r>
    </w:p>
    <w:p>
      <w:pPr>
        <w:pStyle w:val="Heading3"/>
      </w:pPr>
      <w:bookmarkStart w:id="1755" w:name="_Toc1277"/>
      <w:r>
        <w:t>اسناد خرج و مستمریات دارالسلطنه اصفهان / اسناد / فارسی</w:t>
      </w:r>
      <w:bookmarkEnd w:id="1755"/>
    </w:p>
    <w:p>
      <w:pPr>
        <w:pStyle w:val="BookText"/>
      </w:pPr>
      <w:r>
        <w:rPr>
          <w:rFonts w:ascii="Times New Roman" w:hAnsi="Times New Roman" w:eastAsia="Times New Roman" w:cs="Times New Roman"/>
          <w:lang w:val="en-US" w:bidi="en-US"/>
          <w:color w:val="111111"/>
          <w:sz w:val="28"/>
          <w:szCs w:val="28"/>
          <w:rtl/>
        </w:rPr>
        <w:t xml:space="preserve">asnad-e xarj va mostamarriyat-e dar-os-saltane-ye</w:t>
      </w:r>
    </w:p>
    <w:p>
      <w:pPr>
        <w:pStyle w:val="BookText"/>
      </w:pPr>
      <w:r>
        <w:rPr>
          <w:rFonts w:ascii="Times New Roman" w:hAnsi="Times New Roman" w:eastAsia="Times New Roman" w:cs="Times New Roman"/>
          <w:lang w:val="en-US" w:bidi="en-US"/>
          <w:color w:val="111111"/>
          <w:sz w:val="28"/>
          <w:szCs w:val="28"/>
          <w:rtl/>
        </w:rPr>
        <w:t xml:space="preserve">esfahan</w:t>
      </w:r>
    </w:p>
    <w:p>
      <w:pPr>
        <w:pStyle w:val="BookText"/>
      </w:pPr>
      <w:r>
        <w:rPr>
          <w:rFonts w:ascii="IRNazanin" w:hAnsi="IRNazanin" w:eastAsia="IRNazanin" w:cs="IRNazanin"/>
          <w:lang w:bidi="fa-IR"/>
          <w:color w:val="111111"/>
          <w:sz w:val="28"/>
          <w:szCs w:val="28"/>
          <w:rtl/>
        </w:rPr>
        <w:t xml:space="preserve">تهران؛ مجلس؛ شماره نسخه: ۹۵۲</w:t>
      </w:r>
    </w:p>
    <w:p>
      <w:pPr>
        <w:pStyle w:val="BookText"/>
      </w:pPr>
      <w:r>
        <w:rPr>
          <w:rFonts w:ascii="IRNazanin" w:hAnsi="IRNazanin" w:eastAsia="IRNazanin" w:cs="IRNazanin"/>
          <w:lang w:bidi="fa-IR"/>
          <w:color w:val="111111"/>
          <w:sz w:val="28"/>
          <w:szCs w:val="28"/>
          <w:rtl/>
        </w:rPr>
        <w:t xml:space="preserve">کتابچه اسناد خرج و مستمریات دارالسلطنه اصفهان در سال ۱۳۰۲. اعداد به سیاق است ؛خط: نستعلیق، بی کا، تا:قرن ۱۴؛ مهر: محمد  رضا، مهر محمد علی در ۲۳ جمادی الثانی ۱۳۰۴؛ کاغذ ،آبی ،جلد: گالینگور ،۷۷گ، ابعاد متن: 7</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[سنا - ف: ۲ - ۹۷]</w:t>
      </w:r>
    </w:p>
    <w:p>
      <w:pPr>
        <w:pStyle w:val="Heading3"/>
      </w:pPr>
      <w:bookmarkStart w:id="1756" w:name="_Toc1278"/>
      <w:r>
        <w:t>اسناد خرج و مستمریات گلپایگان و خوانسار / اسناد  / فارسی</w:t>
      </w:r>
      <w:bookmarkEnd w:id="1756"/>
    </w:p>
    <w:p>
      <w:pPr>
        <w:pStyle w:val="BookText"/>
      </w:pPr>
      <w:r>
        <w:rPr>
          <w:rFonts w:ascii="Times New Roman" w:hAnsi="Times New Roman" w:eastAsia="Times New Roman" w:cs="Times New Roman"/>
          <w:lang w:val="en-US" w:bidi="en-US"/>
          <w:color w:val="111111"/>
          <w:sz w:val="28"/>
          <w:szCs w:val="28"/>
          <w:rtl/>
        </w:rPr>
        <w:t xml:space="preserve">asnād-e xarj va mostamarrīyāt-e golpāygān va xānsār</w:t>
      </w:r>
    </w:p>
    <w:p>
      <w:pPr>
        <w:pStyle w:val="BookText"/>
      </w:pPr>
      <w:r>
        <w:rPr>
          <w:rFonts w:ascii="IRNazanin" w:hAnsi="IRNazanin" w:eastAsia="IRNazanin" w:cs="IRNazanin"/>
          <w:lang w:bidi="fa-IR"/>
          <w:color w:val="111111"/>
          <w:sz w:val="28"/>
          <w:szCs w:val="28"/>
          <w:rtl/>
        </w:rPr>
        <w:t xml:space="preserve">تهران؛ مجلس؛ شماره نسخه: ۹۹۶</w:t>
      </w:r>
    </w:p>
    <w:p>
      <w:pPr>
        <w:pStyle w:val="BookText"/>
      </w:pPr>
      <w:r>
        <w:rPr>
          <w:rFonts w:ascii="IRNazanin" w:hAnsi="IRNazanin" w:eastAsia="IRNazanin" w:cs="IRNazanin"/>
          <w:lang w:bidi="fa-IR"/>
          <w:color w:val="111111"/>
          <w:sz w:val="28"/>
          <w:szCs w:val="28"/>
          <w:rtl/>
        </w:rPr>
        <w:t xml:space="preserve">کتابچه اسناد خرج و مستمریات گلپایگان و خوانسار در سال  ۱۳۰۲. اعداد به سیاق است؛ خط: نستعلیق، بی کا، تا: قرن ۱۴؛ مهر: محمد رضا؛ کاغذ: آبی ،جلد: گالینگور، ۱۰گ، ابعاد متن: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۲۳سم [سنا - ف: ٢ - ١٠٢]</w:t>
      </w:r>
    </w:p>
    <w:p>
      <w:pPr>
        <w:pStyle w:val="Heading3"/>
      </w:pPr>
      <w:bookmarkStart w:id="1757" w:name="_Toc1279"/>
      <w:r>
        <w:t>اسناد خرج و وجوه تقدیمی...  / اسناد / فارسی</w:t>
      </w:r>
      <w:bookmarkEnd w:id="1757"/>
    </w:p>
    <w:p>
      <w:pPr>
        <w:pStyle w:val="BookText"/>
      </w:pPr>
      <w:r>
        <w:rPr>
          <w:rFonts w:ascii="Times New Roman" w:hAnsi="Times New Roman" w:eastAsia="Times New Roman" w:cs="Times New Roman"/>
          <w:lang w:val="en-US" w:bidi="en-US"/>
          <w:color w:val="111111"/>
          <w:sz w:val="28"/>
          <w:szCs w:val="28"/>
          <w:rtl/>
        </w:rPr>
        <w:t xml:space="preserve">asnād-e xarj va vojūh-e taqdīmī...</w:t>
      </w:r>
    </w:p>
    <w:p>
      <w:pPr>
        <w:pStyle w:val="BookText"/>
      </w:pPr>
      <w:r>
        <w:rPr>
          <w:rFonts w:ascii="IRNazanin" w:hAnsi="IRNazanin" w:eastAsia="IRNazanin" w:cs="IRNazanin"/>
          <w:lang w:bidi="fa-IR"/>
          <w:color w:val="111111"/>
          <w:sz w:val="28"/>
          <w:szCs w:val="28"/>
          <w:rtl/>
        </w:rPr>
        <w:t xml:space="preserve">تهران؛ مجلس؛ شماره نسخه ۱۰۳۸</w:t>
      </w:r>
    </w:p>
    <w:p>
      <w:pPr>
        <w:pStyle w:val="BookText"/>
      </w:pPr>
      <w:r>
        <w:rPr>
          <w:rFonts w:ascii="IRNazanin" w:hAnsi="IRNazanin" w:eastAsia="IRNazanin" w:cs="IRNazanin"/>
          <w:lang w:bidi="fa-IR"/>
          <w:color w:val="111111"/>
          <w:sz w:val="28"/>
          <w:szCs w:val="28"/>
          <w:rtl/>
        </w:rPr>
        <w:t xml:space="preserve">کتابچه اسناد خرج و وجوه تقدیمی مرتضی قلی میرزا از باب مخارج اردوی سرحد ذهاب کرمانشاهان در سال ۱۳۰۴. اعداد به سیاق است ؛خط: نستعلیق، بی کا، تا: قرن ۱۴؛ با مهر و یادداشت علی الاعلی در جمادی الثانی۱۳۰۶؛ کاغذ ،آبی، جلد: گالینگور، ۱۰گ، ابعاد متن: 7</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اندازه: ۱۸</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۲۳سم [سنا - ف: ۲ - ۱۰۷]</w:t>
      </w:r>
    </w:p>
    <w:p>
      <w:pPr>
        <w:pStyle w:val="Heading3"/>
      </w:pPr>
      <w:bookmarkStart w:id="1758" w:name="_Toc1280"/>
      <w:r>
        <w:t>اسناد خرج ها / اسناد / فارسی</w:t>
      </w:r>
      <w:bookmarkEnd w:id="1758"/>
    </w:p>
    <w:p>
      <w:pPr>
        <w:pStyle w:val="BookText"/>
      </w:pPr>
      <w:r>
        <w:rPr>
          <w:rFonts w:ascii="IRNazanin" w:hAnsi="IRNazanin" w:eastAsia="IRNazanin" w:cs="IRNazanin"/>
          <w:lang w:bidi="fa-IR"/>
          <w:color w:val="111111"/>
          <w:sz w:val="28"/>
          <w:szCs w:val="28"/>
          <w:rtl/>
        </w:rPr>
        <w:t xml:space="preserve">تهران مجلس شماره نسخه: ۹۹۸۸</w:t>
      </w:r>
    </w:p>
    <w:p>
      <w:pPr>
        <w:pStyle w:val="BookText"/>
      </w:pPr>
      <w:r>
        <w:rPr>
          <w:rFonts w:ascii="Times New Roman" w:hAnsi="Times New Roman" w:eastAsia="Times New Roman" w:cs="Times New Roman"/>
          <w:lang w:val="en-US" w:bidi="en-US"/>
          <w:color w:val="111111"/>
          <w:sz w:val="28"/>
          <w:szCs w:val="28"/>
          <w:rtl/>
        </w:rPr>
        <w:t xml:space="preserve">asnad-e xarj-ha</w:t>
      </w:r>
    </w:p>
    <w:p>
      <w:pPr>
        <w:pStyle w:val="BookText"/>
      </w:pPr>
      <w:r>
        <w:rPr>
          <w:rFonts w:ascii="IRNazanin" w:hAnsi="IRNazanin" w:eastAsia="IRNazanin" w:cs="IRNazanin"/>
          <w:lang w:bidi="fa-IR"/>
          <w:color w:val="111111"/>
          <w:sz w:val="28"/>
          <w:szCs w:val="28"/>
          <w:rtl/>
        </w:rPr>
        <w:t xml:space="preserve">اسنادی است به خط سیاق عناوین برخی از آنها چنین است: ۱. اسناد خرج موضوعه مشکوة الممالک، ۲.صورت حساب موضوعه محمود مستوفی پسر مرحوم حاجی صادق، ۳. اسناد خرج حساب موضوعه جمعی معاون نظام، ۴. اسناد خرج موضوعه جمعی حبیب الله خان برادر صارم الممالک، ۵. اسناد خرج رضاخان محتشم خلوت منجم باشی (که بخشی از آن را موریانه خورده است)، ۶. اسناد خرج موضوعه علیخان نصیر ،همایون، ۷. اسناد خرج سنه ۱۳۲۲ حاجى عطاء الممالک .مهرهای متعددی بر این اسناد زده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363" w:name="pg20365_260505"/>
    <w:bookmarkEnd w:id="363"/>
    <w:p>
      <w:pPr>
        <w:pStyle w:val="BookText"/>
      </w:pPr>
      <w:r>
        <w:rPr>
          <w:rFonts w:ascii="IRNazanin" w:hAnsi="IRNazanin" w:eastAsia="IRNazanin" w:cs="IRNazanin"/>
          <w:lang w:bidi="fa-IR"/>
          <w:color w:val="111111"/>
          <w:sz w:val="28"/>
          <w:szCs w:val="28"/>
          <w:rtl/>
        </w:rPr>
        <w:t xml:space="preserve">شده از جمله مهر معتمدالدوله؛ بی کا، بی تا [ف: ۳۱ - ۱۶۳]</w:t>
      </w:r>
    </w:p>
    <w:p>
      <w:pPr>
        <w:pStyle w:val="Heading3"/>
      </w:pPr>
      <w:bookmarkStart w:id="1759" w:name="_Toc1281"/>
      <w:r>
        <w:t>اسناد خرج یزد / اسناد / فارسی</w:t>
      </w:r>
      <w:bookmarkEnd w:id="1759"/>
    </w:p>
    <w:p>
      <w:pPr>
        <w:pStyle w:val="BookText"/>
      </w:pPr>
      <w:r>
        <w:rPr>
          <w:rFonts w:ascii="Times New Roman" w:hAnsi="Times New Roman" w:eastAsia="Times New Roman" w:cs="Times New Roman"/>
          <w:lang w:val="en-US" w:bidi="en-US"/>
          <w:color w:val="111111"/>
          <w:sz w:val="28"/>
          <w:szCs w:val="28"/>
          <w:rtl/>
        </w:rPr>
        <w:t xml:space="preserve">asnād-e xarj-e yazd</w:t>
      </w:r>
    </w:p>
    <w:p>
      <w:pPr>
        <w:pStyle w:val="BookText"/>
      </w:pPr>
      <w:r>
        <w:rPr>
          <w:rFonts w:ascii="IRNazanin" w:hAnsi="IRNazanin" w:eastAsia="IRNazanin" w:cs="IRNazanin"/>
          <w:lang w:bidi="fa-IR"/>
          <w:color w:val="111111"/>
          <w:sz w:val="28"/>
          <w:szCs w:val="28"/>
          <w:rtl/>
        </w:rPr>
        <w:t xml:space="preserve">تهران؛ مجلس؛ شماره نسخه: ۹۷۷</w:t>
      </w:r>
    </w:p>
    <w:p>
      <w:pPr>
        <w:pStyle w:val="BookText"/>
      </w:pPr>
      <w:r>
        <w:rPr>
          <w:rFonts w:ascii="IRNazanin" w:hAnsi="IRNazanin" w:eastAsia="IRNazanin" w:cs="IRNazanin"/>
          <w:lang w:bidi="fa-IR"/>
          <w:color w:val="111111"/>
          <w:sz w:val="28"/>
          <w:szCs w:val="28"/>
          <w:rtl/>
        </w:rPr>
        <w:t xml:space="preserve">کتابچه اسناد خرج یزد در سال ۱۳۰۲ اعداد به سیاق است؛ خـط: نستعلیق، بی کا، تا: قرن ۱۴؛ مهر: علی الاعلی؛ کاغذ: آبی ،گالینگور ،۲۴گ، ابعاد متن: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[سنا - ف: 2- 100]</w:t>
      </w:r>
    </w:p>
    <w:p>
      <w:pPr>
        <w:pStyle w:val="Heading3"/>
      </w:pPr>
      <w:bookmarkStart w:id="1760" w:name="_Toc1282"/>
      <w:r>
        <w:t>اسناد درباره سید جمال الدین اسد آبادی / تاریخ  / فارسی</w:t>
      </w:r>
      <w:bookmarkEnd w:id="1760"/>
    </w:p>
    <w:p>
      <w:pPr>
        <w:pStyle w:val="BookText"/>
      </w:pPr>
      <w:r>
        <w:rPr>
          <w:rFonts w:ascii="Times New Roman" w:hAnsi="Times New Roman" w:eastAsia="Times New Roman" w:cs="Times New Roman"/>
          <w:lang w:val="en-US" w:bidi="en-US"/>
          <w:color w:val="111111"/>
          <w:sz w:val="28"/>
          <w:szCs w:val="28"/>
          <w:rtl/>
        </w:rPr>
        <w:t xml:space="preserve">asnād darbāre-ye seyyed jamāl-ed-dīn-e asad ābādī</w:t>
      </w:r>
    </w:p>
    <w:p>
      <w:pPr>
        <w:pStyle w:val="BookText"/>
      </w:pPr>
      <w:r>
        <w:rPr>
          <w:rFonts w:ascii="IRNazanin" w:hAnsi="IRNazanin" w:eastAsia="IRNazanin" w:cs="IRNazanin"/>
          <w:lang w:bidi="fa-IR"/>
          <w:color w:val="111111"/>
          <w:sz w:val="28"/>
          <w:szCs w:val="28"/>
          <w:rtl/>
        </w:rPr>
        <w:t xml:space="preserve">جمالی، صفات الله، ۱۲۶۷ شمسی</w:t>
      </w:r>
    </w:p>
    <w:p>
      <w:pPr>
        <w:pStyle w:val="BookText"/>
      </w:pPr>
      <w:r>
        <w:rPr>
          <w:rFonts w:ascii="Times New Roman" w:hAnsi="Times New Roman" w:eastAsia="Times New Roman" w:cs="Times New Roman"/>
          <w:lang w:val="en-US" w:bidi="en-US"/>
          <w:color w:val="111111"/>
          <w:sz w:val="28"/>
          <w:szCs w:val="28"/>
          <w:rtl/>
        </w:rPr>
        <w:t xml:space="preserve">(-jamālī, sefāt-ol-lāh (1888 -)</w:t>
      </w:r>
    </w:p>
    <w:p>
      <w:pPr>
        <w:pStyle w:val="BookText"/>
      </w:pPr>
      <w:r>
        <w:rPr>
          <w:rFonts w:ascii="IRNazanin" w:hAnsi="IRNazanin" w:eastAsia="IRNazanin" w:cs="IRNazanin"/>
          <w:lang w:bidi="fa-IR"/>
          <w:color w:val="111111"/>
          <w:sz w:val="28"/>
          <w:szCs w:val="28"/>
          <w:rtl/>
        </w:rPr>
        <w:t xml:space="preserve">چند نامه از سید جمال الدین اسدآبادی و قطعه هایی از اشـعار ميرزا لطف الله درباره وی و فرازهایی از شرح حال وی و نوشته ها بعضی از روزنامه ها و جراید آن  عصر، در این مجموعه گرد آورده شده و بعضی از آنها به تاریخ جمادی الثانی 1343  می باشد.</w:t>
      </w:r>
    </w:p>
    <w:p>
      <w:pPr>
        <w:pStyle w:val="BookText"/>
      </w:pPr>
      <w:r>
        <w:rPr>
          <w:rFonts w:ascii="IRNazanin" w:hAnsi="IRNazanin" w:eastAsia="IRNazanin" w:cs="IRNazanin"/>
          <w:lang w:bidi="fa-IR"/>
          <w:color w:val="111111"/>
          <w:sz w:val="28"/>
          <w:szCs w:val="28"/>
          <w:rtl/>
        </w:rPr>
        <w:t xml:space="preserve">قم؛ مرعشی؛ شماره نسخه: ۷۸۳۲</w:t>
      </w:r>
    </w:p>
    <w:p>
      <w:pPr>
        <w:pStyle w:val="BookText"/>
      </w:pPr>
      <w:r>
        <w:rPr>
          <w:rFonts w:ascii="IRNazanin" w:hAnsi="IRNazanin" w:eastAsia="IRNazanin" w:cs="IRNazanin"/>
          <w:lang w:bidi="fa-IR"/>
          <w:color w:val="111111"/>
          <w:sz w:val="28"/>
          <w:szCs w:val="28"/>
          <w:rtl/>
        </w:rPr>
        <w:t xml:space="preserve">آغاز: مطالعه حیات بزرگان دنیا که ارباب عزم و همت عـالی بودند و تأثیری از خود در هیئت اجتماعیه انسانی گذاشته اند</w:t>
      </w:r>
    </w:p>
    <w:p>
      <w:pPr>
        <w:pStyle w:val="BookText"/>
      </w:pPr>
      <w:r>
        <w:rPr>
          <w:rFonts w:ascii="IRNazanin" w:hAnsi="IRNazanin" w:eastAsia="IRNazanin" w:cs="IRNazanin"/>
          <w:lang w:bidi="fa-IR"/>
          <w:color w:val="111111"/>
          <w:sz w:val="28"/>
          <w:szCs w:val="28"/>
          <w:rtl/>
        </w:rPr>
        <w:t xml:space="preserve">خط: نستعليق، كاتب= مؤلف، تا:ربيع الاول ۱۳۴۳ق؛ جـلد: مقوایی عطف  پارچه، ۶۸گ، مختلف السطر، اندازه: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 ۲۰ - ۱۸۱]</w:t>
      </w:r>
    </w:p>
    <w:p>
      <w:pPr>
        <w:pStyle w:val="Heading3"/>
      </w:pPr>
      <w:bookmarkStart w:id="1761" w:name="_Toc1283"/>
      <w:r>
        <w:t>اسناد درباره سید جمال الدین افغانی / اسناد / فارسـی</w:t>
      </w:r>
      <w:bookmarkEnd w:id="1761"/>
    </w:p>
    <w:p>
      <w:pPr>
        <w:pStyle w:val="BookText"/>
      </w:pPr>
      <w:r>
        <w:rPr>
          <w:rFonts w:ascii="Times New Roman" w:hAnsi="Times New Roman" w:eastAsia="Times New Roman" w:cs="Times New Roman"/>
          <w:lang w:val="en-US" w:bidi="en-US"/>
          <w:color w:val="111111"/>
          <w:sz w:val="28"/>
          <w:szCs w:val="28"/>
          <w:rtl/>
        </w:rPr>
        <w:t xml:space="preserve">asnād darbāre-ye seyyed jamāl-ed-dīn-e asad ābādī</w:t>
      </w:r>
    </w:p>
    <w:p>
      <w:pPr>
        <w:pStyle w:val="BookText"/>
      </w:pPr>
      <w:r>
        <w:rPr>
          <w:rFonts w:ascii="IRNazanin" w:hAnsi="IRNazanin" w:eastAsia="IRNazanin" w:cs="IRNazanin"/>
          <w:lang w:bidi="fa-IR"/>
          <w:color w:val="111111"/>
          <w:sz w:val="28"/>
          <w:szCs w:val="28"/>
          <w:rtl/>
        </w:rPr>
        <w:t xml:space="preserve">1.تهران؛ دانشگاه؛ شماره نسخه: ۱۹۶۵ -ف</w:t>
      </w:r>
    </w:p>
    <w:p>
      <w:pPr>
        <w:pStyle w:val="BookText"/>
      </w:pPr>
      <w:r>
        <w:rPr>
          <w:rFonts w:ascii="IRNazanin" w:hAnsi="IRNazanin" w:eastAsia="IRNazanin" w:cs="IRNazanin"/>
          <w:lang w:bidi="fa-IR"/>
          <w:color w:val="111111"/>
          <w:sz w:val="28"/>
          <w:szCs w:val="28"/>
          <w:rtl/>
        </w:rPr>
        <w:t xml:space="preserve">نسخه اصل: از ارشیو دولتی لندن595/ 60.</w:t>
      </w:r>
      <w:r>
        <w:rPr>
          <w:rFonts w:ascii="Times New Roman" w:hAnsi="Times New Roman" w:eastAsia="Times New Roman" w:cs="Times New Roman"/>
          <w:lang w:val="en-US" w:bidi="en-US"/>
          <w:color w:val="111111"/>
          <w:sz w:val="28"/>
          <w:szCs w:val="28"/>
          <w:rtl/>
        </w:rPr>
        <w:t xml:space="preserve">fo. 60 .fr.</w:t>
      </w:r>
      <w:r>
        <w:rPr>
          <w:rFonts w:ascii="IRNazanin" w:hAnsi="IRNazanin" w:eastAsia="IRNazanin" w:cs="IRNazanin"/>
          <w:lang w:bidi="fa-IR"/>
          <w:color w:val="111111"/>
          <w:sz w:val="28"/>
          <w:szCs w:val="28"/>
          <w:rtl/>
        </w:rPr>
        <w:t xml:space="preserve">بی کا، بی تا: 8گ، [فیلمها- ف: 1- 12]</w:t>
      </w:r>
    </w:p>
    <w:p>
      <w:pPr>
        <w:pStyle w:val="BookText"/>
      </w:pPr>
      <w:r>
        <w:rPr>
          <w:rFonts w:ascii="IRNazanin" w:hAnsi="IRNazanin" w:eastAsia="IRNazanin" w:cs="IRNazanin"/>
          <w:lang w:bidi="fa-IR"/>
          <w:color w:val="111111"/>
          <w:sz w:val="28"/>
          <w:szCs w:val="28"/>
          <w:rtl/>
        </w:rPr>
        <w:t xml:space="preserve">2.تهران؛ دانشگاه؛ شماره نسخه: 2600-ف</w:t>
      </w:r>
    </w:p>
    <w:p>
      <w:pPr>
        <w:pStyle w:val="BookText"/>
      </w:pPr>
      <w:r>
        <w:rPr>
          <w:rFonts w:ascii="IRNazanin" w:hAnsi="IRNazanin" w:eastAsia="IRNazanin" w:cs="IRNazanin"/>
          <w:lang w:bidi="fa-IR"/>
          <w:color w:val="111111"/>
          <w:sz w:val="28"/>
          <w:szCs w:val="28"/>
          <w:rtl/>
        </w:rPr>
        <w:t xml:space="preserve">نسخه اصل: از آرشیو دولتی لندن 594/ 60. </w:t>
      </w:r>
      <w:r>
        <w:rPr>
          <w:rFonts w:ascii="Times New Roman" w:hAnsi="Times New Roman" w:eastAsia="Times New Roman" w:cs="Times New Roman"/>
          <w:lang w:val="en-US" w:bidi="en-US"/>
          <w:color w:val="111111"/>
          <w:sz w:val="28"/>
          <w:szCs w:val="28"/>
          <w:rtl/>
        </w:rPr>
        <w:t xml:space="preserve">fo. c. 603</w:t>
      </w:r>
      <w:r>
        <w:rPr>
          <w:rFonts w:ascii="IRNazanin" w:hAnsi="IRNazanin" w:eastAsia="IRNazanin" w:cs="IRNazanin"/>
          <w:lang w:bidi="fa-IR"/>
          <w:color w:val="111111"/>
          <w:sz w:val="28"/>
          <w:szCs w:val="28"/>
          <w:rtl/>
        </w:rPr>
        <w:t xml:space="preserve">بی کا، 8گ[فیلمها- ف: 1- 12]</w:t>
      </w:r>
    </w:p>
    <w:p>
      <w:pPr>
        <w:pStyle w:val="Heading3"/>
      </w:pPr>
      <w:bookmarkStart w:id="1762" w:name="_Toc1284"/>
      <w:r>
        <w:t>اسناد در بیان نود و نه نام باریتعالی جل جلاله /  اسماء الله / فارسی</w:t>
      </w:r>
      <w:bookmarkEnd w:id="1762"/>
    </w:p>
    <w:p>
      <w:pPr>
        <w:pStyle w:val="BookText"/>
      </w:pPr>
      <w:r>
        <w:rPr>
          <w:rFonts w:ascii="Times New Roman" w:hAnsi="Times New Roman" w:eastAsia="Times New Roman" w:cs="Times New Roman"/>
          <w:lang w:val="en-US" w:bidi="en-US"/>
          <w:color w:val="111111"/>
          <w:sz w:val="28"/>
          <w:szCs w:val="28"/>
          <w:rtl/>
        </w:rPr>
        <w:t xml:space="preserve">asnād dar bayān-e navad o noh nām-e bārīta‘ālā jall-a</w:t>
      </w:r>
    </w:p>
    <w:p>
      <w:pPr>
        <w:pStyle w:val="BookText"/>
      </w:pPr>
      <w:r>
        <w:rPr>
          <w:rFonts w:ascii="Times New Roman" w:hAnsi="Times New Roman" w:eastAsia="Times New Roman" w:cs="Times New Roman"/>
          <w:lang w:val="en-US" w:bidi="en-US"/>
          <w:color w:val="111111"/>
          <w:sz w:val="28"/>
          <w:szCs w:val="28"/>
          <w:rtl/>
        </w:rPr>
        <w:t xml:space="preserve">jalāl-oh</w:t>
      </w:r>
    </w:p>
    <w:p>
      <w:pPr>
        <w:pStyle w:val="BookText"/>
      </w:pPr>
      <w:r>
        <w:rPr>
          <w:rFonts w:ascii="IRNazanin" w:hAnsi="IRNazanin" w:eastAsia="IRNazanin" w:cs="IRNazanin"/>
          <w:lang w:bidi="fa-IR"/>
          <w:color w:val="111111"/>
          <w:sz w:val="28"/>
          <w:szCs w:val="28"/>
          <w:rtl/>
        </w:rPr>
        <w:t xml:space="preserve">شرح ۹۹ نام از اسماء حسنی خداوند متعال می باشد. برخی سرفصل های این رساله عبارتند از: فصل در بیان دعوت حروف تهجی و بیان موکلات ایشان و طریق استخراج موکلات اسماء، قاعده دعوت حروف به اعتبارمدار، فصل در دعوت  خفی، فصل در بیان دعوت مقطعات، فصل در بیان دعوت حرفی و ....</w:t>
      </w:r>
    </w:p>
    <w:p>
      <w:pPr>
        <w:pStyle w:val="BookText"/>
      </w:pPr>
      <w:r>
        <w:rPr>
          <w:rFonts w:ascii="IRNazanin" w:hAnsi="IRNazanin" w:eastAsia="IRNazanin" w:cs="IRNazanin"/>
          <w:lang w:bidi="fa-IR"/>
          <w:color w:val="111111"/>
          <w:sz w:val="28"/>
          <w:szCs w:val="28"/>
          <w:rtl/>
        </w:rPr>
        <w:t xml:space="preserve">قم؛ مرعشی؛ شماره نسخه: ۱۱۹۶۵/۳</w:t>
      </w:r>
    </w:p>
    <w:p>
      <w:pPr>
        <w:pStyle w:val="BookText"/>
      </w:pPr>
      <w:r>
        <w:rPr>
          <w:rFonts w:ascii="IRNazanin" w:hAnsi="IRNazanin" w:eastAsia="IRNazanin" w:cs="IRNazanin"/>
          <w:lang w:bidi="fa-IR"/>
          <w:color w:val="111111"/>
          <w:sz w:val="28"/>
          <w:szCs w:val="28"/>
          <w:rtl/>
        </w:rPr>
        <w:t xml:space="preserve">آغاز: اسناد در بیان نود و نه نام باریتعالی جل جلاله بطريق دعوت أسماء الحسنی و دعوت کلام مجید در بيان أسماء الحسنى و دعوت کلام مجید در بيان أسماء الحسنی روز یکشنبه شروع کند مثلاً يا رحمن چهار حروف است؛ انجام: بر طرف زرین نوشته بگلاب شسته آن را در شیشه کرده نگاه دارد، هرگاه که پیش</w:t>
      </w:r>
    </w:p>
    <w:p>
      <w:pPr>
        <w:pStyle w:val="BookText"/>
      </w:pPr>
      <w:r>
        <w:rPr>
          <w:rFonts w:ascii="IRNazanin" w:hAnsi="IRNazanin" w:eastAsia="IRNazanin" w:cs="IRNazanin"/>
          <w:lang w:bidi="fa-IR"/>
          <w:color w:val="111111"/>
          <w:sz w:val="28"/>
          <w:szCs w:val="28"/>
          <w:rtl/>
        </w:rPr>
        <w:t xml:space="preserve">خط: نستعلیق تحریری، کا: تاج الدین احمد فرزند مسیح،  تا: ۱۳۲۸ق؛ افتادگی: انجام؛ مصحح ،محشی، بین برگ های ۱۹۴- ۲۰۳ افزودگی هایی در ادعیه و طلسمات با عناوین تسخیر جن، روانی  دم، برای مقهوری اعداء جفر ،شمسیه، عزیمت و ... آمده؛ کاغذ ،فرنگی، ۱۹گ (۱۷۵-۱۹۳)، ۱۷ سطر، اندازه: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۳۰ - ۲۸۲]</w:t>
      </w:r>
    </w:p>
    <w:p>
      <w:pPr>
        <w:pStyle w:val="Heading3"/>
      </w:pPr>
      <w:bookmarkStart w:id="1763" w:name="_Toc1285"/>
      <w:r>
        <w:t>اسناد دعاء السمات / دعا / عربي</w:t>
      </w:r>
      <w:bookmarkEnd w:id="1763"/>
    </w:p>
    <w:p>
      <w:pPr>
        <w:pStyle w:val="BookText"/>
      </w:pPr>
      <w:r>
        <w:rPr>
          <w:rFonts w:ascii="Times New Roman" w:hAnsi="Times New Roman" w:eastAsia="Times New Roman" w:cs="Times New Roman"/>
          <w:lang w:val="en-US" w:bidi="en-US"/>
          <w:color w:val="111111"/>
          <w:sz w:val="28"/>
          <w:szCs w:val="28"/>
          <w:rtl/>
        </w:rPr>
        <w:t xml:space="preserve">asnād-u du'a'-is samāt</w:t>
      </w:r>
    </w:p>
    <w:p>
      <w:pPr>
        <w:pStyle w:val="BookText"/>
      </w:pPr>
      <w:r>
        <w:rPr>
          <w:rFonts w:ascii="IRNazanin" w:hAnsi="IRNazanin" w:eastAsia="IRNazanin" w:cs="IRNazanin"/>
          <w:lang w:bidi="fa-IR"/>
          <w:color w:val="111111"/>
          <w:sz w:val="28"/>
          <w:szCs w:val="28"/>
          <w:rtl/>
        </w:rPr>
        <w:t xml:space="preserve">تهران؛ مجلس؛ شماره نسخه: ۱۰۱۸۰/۶</w:t>
      </w:r>
    </w:p>
    <w:p>
      <w:pPr>
        <w:pStyle w:val="BookText"/>
      </w:pPr>
      <w:r>
        <w:rPr>
          <w:rFonts w:ascii="IRNazanin" w:hAnsi="IRNazanin" w:eastAsia="IRNazanin" w:cs="IRNazanin"/>
          <w:lang w:bidi="fa-IR"/>
          <w:color w:val="111111"/>
          <w:sz w:val="28"/>
          <w:szCs w:val="28"/>
          <w:rtl/>
        </w:rPr>
        <w:t xml:space="preserve">آغاز: فایده السمات  جمع سمه و السمة العلامة ماخوذ من الوسم ...  مروى عن الصادق عليه السلام ان يوشع عليه السلام</w:t>
      </w:r>
    </w:p>
    <w:p>
      <w:pPr>
        <w:pStyle w:val="BookText"/>
      </w:pPr>
      <w:r>
        <w:rPr>
          <w:rFonts w:ascii="IRNazanin" w:hAnsi="IRNazanin" w:eastAsia="IRNazanin" w:cs="IRNazanin"/>
          <w:lang w:bidi="fa-IR"/>
          <w:color w:val="111111"/>
          <w:sz w:val="28"/>
          <w:szCs w:val="28"/>
          <w:rtl/>
        </w:rPr>
        <w:t xml:space="preserve">بی کا، بی تا؛ جلد: تیماج ،مشکی، ۴ص (۶۶-۶۹)،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۲۴سم [ف: ۳۲ - ۲۱۱]</w:t>
      </w:r>
    </w:p>
    <w:p>
      <w:pPr>
        <w:pStyle w:val="Heading3"/>
      </w:pPr>
      <w:bookmarkStart w:id="1764" w:name="_Toc1286"/>
      <w:r>
        <w:t>اسناد دعاء صنمی قریش / دعا / عربی</w:t>
      </w:r>
      <w:bookmarkEnd w:id="1764"/>
    </w:p>
    <w:p>
      <w:pPr>
        <w:pStyle w:val="BookText"/>
      </w:pPr>
      <w:r>
        <w:rPr>
          <w:rFonts w:ascii="Times New Roman" w:hAnsi="Times New Roman" w:eastAsia="Times New Roman" w:cs="Times New Roman"/>
          <w:lang w:val="en-US" w:bidi="en-US"/>
          <w:color w:val="111111"/>
          <w:sz w:val="28"/>
          <w:szCs w:val="28"/>
          <w:rtl/>
        </w:rPr>
        <w:t xml:space="preserve">asnād-e do'a'-e sanami qorayš</w:t>
      </w:r>
    </w:p>
    <w:p>
      <w:pPr>
        <w:pStyle w:val="BookText"/>
      </w:pPr>
      <w:r>
        <w:rPr>
          <w:rFonts w:ascii="IRNazanin" w:hAnsi="IRNazanin" w:eastAsia="IRNazanin" w:cs="IRNazanin"/>
          <w:lang w:bidi="fa-IR"/>
          <w:color w:val="111111"/>
          <w:sz w:val="28"/>
          <w:szCs w:val="28"/>
          <w:rtl/>
        </w:rPr>
        <w:t xml:space="preserve">وابسته به: دعاء صنمی قریش = دعاء الصنمین؛ منسوب به علی  بن ابی طالب (علیه السّلام)، امام اول (-۴۰)</w:t>
      </w:r>
    </w:p>
    <w:p>
      <w:pPr>
        <w:pStyle w:val="BookText"/>
      </w:pPr>
      <w:r>
        <w:rPr>
          <w:rFonts w:ascii="IRNazanin" w:hAnsi="IRNazanin" w:eastAsia="IRNazanin" w:cs="IRNazanin"/>
          <w:lang w:bidi="fa-IR"/>
          <w:color w:val="111111"/>
          <w:sz w:val="28"/>
          <w:szCs w:val="28"/>
          <w:rtl/>
        </w:rPr>
        <w:t xml:space="preserve">تهران؛ ملک؛ شماره نسخه: ۲۱۸۲/۱</w:t>
      </w:r>
    </w:p>
    <w:p>
      <w:pPr>
        <w:pStyle w:val="BookText"/>
      </w:pPr>
      <w:r>
        <w:rPr>
          <w:rFonts w:ascii="IRNazanin" w:hAnsi="IRNazanin" w:eastAsia="IRNazanin" w:cs="IRNazanin"/>
          <w:lang w:bidi="fa-IR"/>
          <w:color w:val="111111"/>
          <w:sz w:val="28"/>
          <w:szCs w:val="28"/>
          <w:rtl/>
        </w:rPr>
        <w:t xml:space="preserve">خط: نسخ، کا: شیخ عبداللطیف  نجفی، تا: قرن ۱۱؛ ۳گ (۱۱پ - ۱۳ ر) [ف: ۵ - ۴۴۳]</w:t>
      </w:r>
    </w:p>
    <w:p>
      <w:pPr>
        <w:pStyle w:val="Heading3"/>
      </w:pPr>
      <w:bookmarkStart w:id="1765" w:name="_Toc1287"/>
      <w:r>
        <w:t>اسناد دعای سریانی / دعا / عربی</w:t>
      </w:r>
      <w:bookmarkEnd w:id="1765"/>
    </w:p>
    <w:p>
      <w:pPr>
        <w:pStyle w:val="BookText"/>
      </w:pPr>
      <w:r>
        <w:rPr>
          <w:rFonts w:ascii="Times New Roman" w:hAnsi="Times New Roman" w:eastAsia="Times New Roman" w:cs="Times New Roman"/>
          <w:lang w:val="en-US" w:bidi="en-US"/>
          <w:color w:val="111111"/>
          <w:sz w:val="28"/>
          <w:szCs w:val="28"/>
          <w:rtl/>
        </w:rPr>
        <w:t xml:space="preserve">asnād-e do‘ā-ye soryānī</w:t>
      </w:r>
    </w:p>
    <w:p>
      <w:pPr>
        <w:pStyle w:val="BookText"/>
      </w:pPr>
      <w:r>
        <w:rPr>
          <w:rFonts w:ascii="IRNazanin" w:hAnsi="IRNazanin" w:eastAsia="IRNazanin" w:cs="IRNazanin"/>
          <w:lang w:bidi="fa-IR"/>
          <w:color w:val="111111"/>
          <w:sz w:val="28"/>
          <w:szCs w:val="28"/>
          <w:rtl/>
        </w:rPr>
        <w:t xml:space="preserve">تهران؛ مروی؛ شماره نسخه: ۲۹۵/۳</w:t>
      </w:r>
    </w:p>
    <w:p>
      <w:pPr>
        <w:pStyle w:val="BookText"/>
      </w:pPr>
      <w:r>
        <w:rPr>
          <w:rFonts w:ascii="IRNazanin" w:hAnsi="IRNazanin" w:eastAsia="IRNazanin" w:cs="IRNazanin"/>
          <w:lang w:bidi="fa-IR"/>
          <w:color w:val="111111"/>
          <w:sz w:val="28"/>
          <w:szCs w:val="28"/>
          <w:rtl/>
        </w:rPr>
        <w:t xml:space="preserve">به نظم و نثر؛ بی کا، بی تا؛ قطع: رحلی [ف: ۲۷۸]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364" w:name="pg20365_260506"/>
    <w:bookmarkEnd w:id="364"/>
    <w:p>
      <w:pPr>
        <w:pStyle w:val="Heading3"/>
      </w:pPr>
      <w:bookmarkStart w:id="1766" w:name="_Toc1288"/>
      <w:r>
        <w:t>اسناد دعای صیفی و دعای اعتصام / دعا / فارسی</w:t>
      </w:r>
      <w:bookmarkEnd w:id="1766"/>
    </w:p>
    <w:p>
      <w:pPr>
        <w:pStyle w:val="BookText"/>
      </w:pPr>
      <w:r>
        <w:rPr>
          <w:rFonts w:ascii="Times New Roman" w:hAnsi="Times New Roman" w:eastAsia="Times New Roman" w:cs="Times New Roman"/>
          <w:lang w:val="en-US" w:bidi="en-US"/>
          <w:color w:val="111111"/>
          <w:sz w:val="28"/>
          <w:szCs w:val="28"/>
          <w:rtl/>
        </w:rPr>
        <w:t xml:space="preserve">asnād-e do‘ā-ye seyfī va do‘ā-ye e‘tesām</w:t>
      </w:r>
    </w:p>
    <w:p>
      <w:pPr>
        <w:pStyle w:val="BookText"/>
      </w:pPr>
      <w:r>
        <w:rPr>
          <w:rFonts w:ascii="IRNazanin" w:hAnsi="IRNazanin" w:eastAsia="IRNazanin" w:cs="IRNazanin"/>
          <w:lang w:bidi="fa-IR"/>
          <w:color w:val="111111"/>
          <w:sz w:val="28"/>
          <w:szCs w:val="28"/>
          <w:rtl/>
        </w:rPr>
        <w:t xml:space="preserve">مشهد؛ الهیات؛ شماره نسخه: ۶۹۴/۴۴</w:t>
      </w:r>
    </w:p>
    <w:p>
      <w:pPr>
        <w:pStyle w:val="BookText"/>
      </w:pPr>
      <w:r>
        <w:rPr>
          <w:rFonts w:ascii="IRNazanin" w:hAnsi="IRNazanin" w:eastAsia="IRNazanin" w:cs="IRNazanin"/>
          <w:lang w:bidi="fa-IR"/>
          <w:color w:val="111111"/>
          <w:sz w:val="28"/>
          <w:szCs w:val="28"/>
          <w:rtl/>
        </w:rPr>
        <w:t xml:space="preserve">خط:  نسخ و نستعلیق، بی کا، بی تا؛ کاغذ: فرنگی و فستقی؛ جـلد: تیماج ،عنابی ،۷ص، اندازه: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۲۲/۵سم [ف: ۱ - ۵۴۱  ]</w:t>
      </w:r>
    </w:p>
    <w:p>
      <w:pPr>
        <w:pStyle w:val="Heading3"/>
      </w:pPr>
      <w:bookmarkStart w:id="1767" w:name="_Toc1289"/>
      <w:r>
        <w:t>اسناد دعای عشرات / دعا / فارسی و عربی</w:t>
      </w:r>
      <w:bookmarkEnd w:id="1767"/>
    </w:p>
    <w:p>
      <w:pPr>
        <w:pStyle w:val="BookText"/>
      </w:pPr>
      <w:r>
        <w:rPr>
          <w:rFonts w:ascii="Times New Roman" w:hAnsi="Times New Roman" w:eastAsia="Times New Roman" w:cs="Times New Roman"/>
          <w:lang w:val="en-US" w:bidi="en-US"/>
          <w:color w:val="111111"/>
          <w:sz w:val="28"/>
          <w:szCs w:val="28"/>
          <w:rtl/>
        </w:rPr>
        <w:t xml:space="preserve">asnād-e do‘ā-ye ‘ašarāt</w:t>
      </w:r>
    </w:p>
    <w:p>
      <w:pPr>
        <w:pStyle w:val="BookText"/>
      </w:pPr>
      <w:r>
        <w:rPr>
          <w:rFonts w:ascii="IRNazanin" w:hAnsi="IRNazanin" w:eastAsia="IRNazanin" w:cs="IRNazanin"/>
          <w:lang w:bidi="fa-IR"/>
          <w:color w:val="111111"/>
          <w:sz w:val="28"/>
          <w:szCs w:val="28"/>
          <w:rtl/>
        </w:rPr>
        <w:t xml:space="preserve">ابن طاوس، على بن موسى ، ۵۸۹ - ۶۶۴ قمری</w:t>
      </w:r>
    </w:p>
    <w:p>
      <w:pPr>
        <w:pStyle w:val="BookText"/>
      </w:pPr>
      <w:r>
        <w:rPr>
          <w:rFonts w:ascii="Times New Roman" w:hAnsi="Times New Roman" w:eastAsia="Times New Roman" w:cs="Times New Roman"/>
          <w:lang w:val="en-US" w:bidi="en-US"/>
          <w:color w:val="111111"/>
          <w:sz w:val="28"/>
          <w:szCs w:val="28"/>
          <w:rtl/>
        </w:rPr>
        <w:t xml:space="preserve">(ebn-e tāvūs, ‘alī ebn-e mūsā (1194 - 1266)</w:t>
      </w:r>
    </w:p>
    <w:p>
      <w:pPr>
        <w:pStyle w:val="BookText"/>
      </w:pPr>
      <w:r>
        <w:rPr>
          <w:rFonts w:ascii="IRNazanin" w:hAnsi="IRNazanin" w:eastAsia="IRNazanin" w:cs="IRNazanin"/>
          <w:lang w:bidi="fa-IR"/>
          <w:color w:val="111111"/>
          <w:sz w:val="28"/>
          <w:szCs w:val="28"/>
          <w:rtl/>
        </w:rPr>
        <w:t xml:space="preserve">سند و فضیلت دعای عشرات را به نقل از امام محمد باقر (علیه السّلام) روایت می کند. سخن ابن طاووس به فارسی ترجمه شده است.</w:t>
      </w:r>
    </w:p>
    <w:p>
      <w:pPr>
        <w:pStyle w:val="BookText"/>
      </w:pPr>
      <w:r>
        <w:rPr>
          <w:rFonts w:ascii="IRNazanin" w:hAnsi="IRNazanin" w:eastAsia="IRNazanin" w:cs="IRNazanin"/>
          <w:lang w:bidi="fa-IR"/>
          <w:color w:val="111111"/>
          <w:sz w:val="28"/>
          <w:szCs w:val="28"/>
          <w:rtl/>
        </w:rPr>
        <w:t xml:space="preserve">تهران؛ مجلس؛ شماره نسخه: ۱۱۹۴۳-ط</w:t>
      </w:r>
    </w:p>
    <w:p>
      <w:pPr>
        <w:pStyle w:val="BookText"/>
      </w:pPr>
      <w:r>
        <w:rPr>
          <w:rFonts w:ascii="IRNazanin" w:hAnsi="IRNazanin" w:eastAsia="IRNazanin" w:cs="IRNazanin"/>
          <w:lang w:bidi="fa-IR"/>
          <w:color w:val="111111"/>
          <w:sz w:val="28"/>
          <w:szCs w:val="28"/>
          <w:rtl/>
        </w:rPr>
        <w:t xml:space="preserve">آغاز: سید ابن طاووس و دیگران به سندهای خود..... روایت کرده اند</w:t>
      </w:r>
    </w:p>
    <w:p>
      <w:pPr>
        <w:pStyle w:val="BookText"/>
      </w:pPr>
      <w:r>
        <w:rPr>
          <w:rFonts w:ascii="IRNazanin" w:hAnsi="IRNazanin" w:eastAsia="IRNazanin" w:cs="IRNazanin"/>
          <w:lang w:bidi="fa-IR"/>
          <w:color w:val="111111"/>
          <w:sz w:val="28"/>
          <w:szCs w:val="28"/>
          <w:rtl/>
        </w:rPr>
        <w:t xml:space="preserve">كاتب = مؤلف، بی تا؛ نام مؤلف ومترجم از فهرست رایانه ای ذکر شد؛ ۳گ (۵۲-۵۴) [ف: ۲۳ - ۶۹۲]</w:t>
      </w:r>
    </w:p>
    <w:p>
      <w:pPr>
        <w:pStyle w:val="Heading3"/>
      </w:pPr>
      <w:bookmarkStart w:id="1768" w:name="_Toc1290"/>
      <w:r>
        <w:t>اسناد دوازده نام باری تعالی / عرفان و تصوف / فارسی</w:t>
      </w:r>
      <w:bookmarkEnd w:id="1768"/>
    </w:p>
    <w:p>
      <w:pPr>
        <w:pStyle w:val="BookText"/>
      </w:pPr>
      <w:r>
        <w:rPr>
          <w:rFonts w:ascii="Times New Roman" w:hAnsi="Times New Roman" w:eastAsia="Times New Roman" w:cs="Times New Roman"/>
          <w:lang w:val="en-US" w:bidi="en-US"/>
          <w:color w:val="111111"/>
          <w:sz w:val="28"/>
          <w:szCs w:val="28"/>
          <w:rtl/>
        </w:rPr>
        <w:t xml:space="preserve">asnād-e davāzdah nām-e bārī ta‘ālā</w:t>
      </w:r>
    </w:p>
    <w:p>
      <w:pPr>
        <w:pStyle w:val="BookText"/>
      </w:pPr>
      <w:r>
        <w:rPr>
          <w:rFonts w:ascii="IRNazanin" w:hAnsi="IRNazanin" w:eastAsia="IRNazanin" w:cs="IRNazanin"/>
          <w:lang w:bidi="fa-IR"/>
          <w:color w:val="111111"/>
          <w:sz w:val="28"/>
          <w:szCs w:val="28"/>
          <w:rtl/>
        </w:rPr>
        <w:t xml:space="preserve">یزد؛ کاظمینی؛ شماره نسخه: ۵۳۸/۱۴</w:t>
      </w:r>
    </w:p>
    <w:p>
      <w:pPr>
        <w:pStyle w:val="BookText"/>
      </w:pPr>
      <w:r>
        <w:rPr>
          <w:rFonts w:ascii="IRNazanin" w:hAnsi="IRNazanin" w:eastAsia="IRNazanin" w:cs="IRNazanin"/>
          <w:lang w:bidi="fa-IR"/>
          <w:color w:val="111111"/>
          <w:sz w:val="28"/>
          <w:szCs w:val="28"/>
          <w:rtl/>
        </w:rPr>
        <w:t xml:space="preserve">آغاز: هر که این دعای معظم و مکرم بخواند و یا بر خود نگاهدارد هرگز بیمار نگردد و هر چه از خدای تعالی بخواهد بیابد بی  کا،  بی تا؛ جلد: تیماج قهوه ای مجدول، ۲گ (82پ-۸۳  پ) ،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۲۲/۵سم [ف: ۲ - ۲۲۲]</w:t>
      </w:r>
    </w:p>
    <w:p>
      <w:pPr>
        <w:pStyle w:val="Heading3"/>
      </w:pPr>
      <w:bookmarkStart w:id="1769" w:name="_Toc1291"/>
      <w:r>
        <w:t>اسناد دوران قاجار / اسناد / فارسی</w:t>
      </w:r>
      <w:bookmarkEnd w:id="1769"/>
    </w:p>
    <w:p>
      <w:pPr>
        <w:pStyle w:val="BookText"/>
      </w:pPr>
      <w:r>
        <w:rPr>
          <w:rFonts w:ascii="Times New Roman" w:hAnsi="Times New Roman" w:eastAsia="Times New Roman" w:cs="Times New Roman"/>
          <w:lang w:val="en-US" w:bidi="en-US"/>
          <w:color w:val="111111"/>
          <w:sz w:val="28"/>
          <w:szCs w:val="28"/>
          <w:rtl/>
        </w:rPr>
        <w:t xml:space="preserve">asnād-e dowrān-e qājār</w:t>
      </w:r>
    </w:p>
    <w:p>
      <w:pPr>
        <w:pStyle w:val="BookText"/>
      </w:pPr>
      <w:r>
        <w:rPr>
          <w:rFonts w:ascii="IRNazanin" w:hAnsi="IRNazanin" w:eastAsia="IRNazanin" w:cs="IRNazanin"/>
          <w:lang w:bidi="fa-IR"/>
          <w:color w:val="111111"/>
          <w:sz w:val="28"/>
          <w:szCs w:val="28"/>
          <w:rtl/>
        </w:rPr>
        <w:t xml:space="preserve">تهران؛ دانشگاه؛ شماره نسخه: ۳۰۱۸-ف</w:t>
      </w:r>
    </w:p>
    <w:p>
      <w:pPr>
        <w:pStyle w:val="BookText"/>
      </w:pPr>
      <w:r>
        <w:rPr>
          <w:rFonts w:ascii="IRNazanin" w:hAnsi="IRNazanin" w:eastAsia="IRNazanin" w:cs="IRNazanin"/>
          <w:lang w:bidi="fa-IR"/>
          <w:color w:val="111111"/>
          <w:sz w:val="28"/>
          <w:szCs w:val="28"/>
          <w:rtl/>
        </w:rPr>
        <w:t xml:space="preserve">از روی اصل، ۹۰ قطعه، خطاب به معتمد السلطان تاج الشعراء  یا تاج الادباء با تاریخ 1300و 1314تا 1316و 1324و 1335و 1338، 76  برگ با چهارده تصویر و عکس؛ بی کا، بی تا[ فیلم ها - ف: ۲ - ۲۸]</w:t>
      </w:r>
    </w:p>
    <w:p>
      <w:pPr>
        <w:pStyle w:val="BookText"/>
      </w:pPr>
      <w:r>
        <w:rPr>
          <w:rFonts w:ascii="IRNazanin" w:hAnsi="IRNazanin" w:eastAsia="IRNazanin" w:cs="IRNazanin"/>
          <w:lang w:bidi="fa-IR"/>
          <w:color w:val="111111"/>
          <w:sz w:val="28"/>
          <w:szCs w:val="28"/>
          <w:rtl/>
        </w:rPr>
        <w:t xml:space="preserve">«اسناد دولتی » گزارشات مراغه</w:t>
      </w:r>
    </w:p>
    <w:p>
      <w:pPr>
        <w:pStyle w:val="Heading3"/>
      </w:pPr>
      <w:bookmarkStart w:id="1770" w:name="_Toc1292"/>
      <w:r>
        <w:t>اسناد دولتی / اسناد / فارسی</w:t>
      </w:r>
      <w:bookmarkEnd w:id="1770"/>
    </w:p>
    <w:p>
      <w:pPr>
        <w:pStyle w:val="BookText"/>
      </w:pPr>
      <w:r>
        <w:rPr>
          <w:rFonts w:ascii="Times New Roman" w:hAnsi="Times New Roman" w:eastAsia="Times New Roman" w:cs="Times New Roman"/>
          <w:lang w:val="en-US" w:bidi="en-US"/>
          <w:color w:val="111111"/>
          <w:sz w:val="28"/>
          <w:szCs w:val="28"/>
          <w:rtl/>
        </w:rPr>
        <w:t xml:space="preserve">asnād-e dowlatī</w:t>
      </w:r>
    </w:p>
    <w:p>
      <w:pPr>
        <w:pStyle w:val="BookText"/>
      </w:pPr>
      <w:r>
        <w:rPr>
          <w:rFonts w:ascii="IRNazanin" w:hAnsi="IRNazanin" w:eastAsia="IRNazanin" w:cs="IRNazanin"/>
          <w:lang w:bidi="fa-IR"/>
          <w:color w:val="111111"/>
          <w:sz w:val="28"/>
          <w:szCs w:val="28"/>
          <w:rtl/>
        </w:rPr>
        <w:t xml:space="preserve">تهران؛ دانشگاه؛ شماره نسخه: ۱۶۲۲-ف</w:t>
      </w:r>
    </w:p>
    <w:p>
      <w:pPr>
        <w:pStyle w:val="BookText"/>
      </w:pPr>
      <w:r>
        <w:rPr>
          <w:rFonts w:ascii="IRNazanin" w:hAnsi="IRNazanin" w:eastAsia="IRNazanin" w:cs="IRNazanin"/>
          <w:lang w:bidi="fa-IR"/>
          <w:color w:val="111111"/>
          <w:sz w:val="28"/>
          <w:szCs w:val="28"/>
          <w:rtl/>
        </w:rPr>
        <w:t xml:space="preserve">نسخه اصل: وزارت امور خارجه ش ۶۲۴۴ (۴۸۳۰) در ۱۳۳۰ از کتابخانه اندرون به دفتر اسناد دولتی رفته است. دست خط های ناصرالدین شاه است و نقاشی های او است با دستخط او درباره مجلس تحقیق نظامی با یک نامه مورخ ۱۲۶۱ با صورت حساب و با عرایض و نوشتجات مورخ ۲۴ رجب ۱۳۰۱ پیچی ئیل و روزنامچه وقایع دار العلم شیراز؛ بی کا، بی تا؛ ۱۳۲گ[فیلم ها-ف:  2- 8]</w:t>
      </w:r>
    </w:p>
    <w:p>
      <w:pPr>
        <w:pStyle w:val="Heading3"/>
      </w:pPr>
      <w:bookmarkStart w:id="1771" w:name="_Toc1293"/>
      <w:r>
        <w:t>اسناد دولتی / اسناد / فارسی</w:t>
      </w:r>
      <w:bookmarkEnd w:id="1771"/>
    </w:p>
    <w:p>
      <w:pPr>
        <w:pStyle w:val="BookText"/>
      </w:pPr>
      <w:r>
        <w:rPr>
          <w:rFonts w:ascii="Times New Roman" w:hAnsi="Times New Roman" w:eastAsia="Times New Roman" w:cs="Times New Roman"/>
          <w:lang w:val="en-US" w:bidi="en-US"/>
          <w:color w:val="111111"/>
          <w:sz w:val="28"/>
          <w:szCs w:val="28"/>
          <w:rtl/>
        </w:rPr>
        <w:t xml:space="preserve">asnad-e dowlati</w:t>
      </w:r>
    </w:p>
    <w:p>
      <w:pPr>
        <w:pStyle w:val="BookText"/>
      </w:pPr>
      <w:r>
        <w:rPr>
          <w:rFonts w:ascii="IRNazanin" w:hAnsi="IRNazanin" w:eastAsia="IRNazanin" w:cs="IRNazanin"/>
          <w:lang w:bidi="fa-IR"/>
          <w:color w:val="111111"/>
          <w:sz w:val="28"/>
          <w:szCs w:val="28"/>
          <w:rtl/>
        </w:rPr>
        <w:t xml:space="preserve">نقاشی های ناصرالدین شاه است یکی مورخ ۲۰ ربیع الثانی ۱۲۶۶ و یکی مورخ ۲۶ شعبان در امامه، سپس چند عکس از فرنگی ها، سپس عرایض مشیرالدوله که جواب آنها بایستی به استانبول فرستاده شود و روزنامه شخصی وزرای مختار مورخ یکشنبه ربيع الاول ۱۲۹۱ و روزنامه مجلس دربار اعظم به صواب دید وزرای مختار مورخ یک شنبه ۱۶ ربیع الاول ۱۲۹۱ تا روز شنبه ۱۳ جمادى الاول ،۱۲۹۱ ، سپس عرایض که بی واسطه از لحاظ شاه باید بگذرد و گزارشی رساله مانند در لزوم قانون و نظم از کسی که بیست و دو سال خدمت کرده و در آن هنگام متولی آستان قدس رضوی بوده در بیست و سومین سال پادشاهی شاه در ۱۲۷۶ در چهار رکن مالیات و تطبیق مداخل ومخارج  دولت ،قشون، ترفیه ،رعیت، پولتیک دولت، سپس نامه های دولتی است و محاسبات دولتی.</w:t>
      </w:r>
    </w:p>
    <w:p>
      <w:pPr>
        <w:pStyle w:val="BookText"/>
      </w:pPr>
      <w:r>
        <w:rPr>
          <w:rFonts w:ascii="IRNazanin" w:hAnsi="IRNazanin" w:eastAsia="IRNazanin" w:cs="IRNazanin"/>
          <w:lang w:bidi="fa-IR"/>
          <w:color w:val="111111"/>
          <w:sz w:val="28"/>
          <w:szCs w:val="28"/>
          <w:rtl/>
        </w:rPr>
        <w:t xml:space="preserve">تهران؛ دانشگاه؛ شماره نسخه: ۳۶۸۹-ف</w:t>
      </w:r>
    </w:p>
    <w:p>
      <w:pPr>
        <w:pStyle w:val="BookText"/>
      </w:pPr>
      <w:r>
        <w:rPr>
          <w:rFonts w:ascii="IRNazanin" w:hAnsi="IRNazanin" w:eastAsia="IRNazanin" w:cs="IRNazanin"/>
          <w:lang w:bidi="fa-IR"/>
          <w:color w:val="111111"/>
          <w:sz w:val="28"/>
          <w:szCs w:val="28"/>
          <w:rtl/>
        </w:rPr>
        <w:t xml:space="preserve">به گواهی مرآة الممالک در ۱۳۳۰ به اطاق اسناد رفته بود؛  ۳۹۶گ [فیلمها -ف: ۲ - ۲۲۶]</w:t>
      </w:r>
    </w:p>
    <w:p>
      <w:pPr>
        <w:pStyle w:val="Heading3"/>
      </w:pPr>
      <w:bookmarkStart w:id="1772" w:name="_Toc1294"/>
      <w:r>
        <w:t>اسناد دولتی / اسناد / فارسی</w:t>
      </w:r>
      <w:bookmarkEnd w:id="1772"/>
    </w:p>
    <w:p>
      <w:pPr>
        <w:pStyle w:val="BookText"/>
      </w:pPr>
      <w:r>
        <w:rPr>
          <w:rFonts w:ascii="Times New Roman" w:hAnsi="Times New Roman" w:eastAsia="Times New Roman" w:cs="Times New Roman"/>
          <w:lang w:val="en-US" w:bidi="en-US"/>
          <w:color w:val="111111"/>
          <w:sz w:val="28"/>
          <w:szCs w:val="28"/>
          <w:rtl/>
        </w:rPr>
        <w:t xml:space="preserve">asnād-e dowlatī</w:t>
      </w:r>
    </w:p>
    <w:p>
      <w:pPr>
        <w:pStyle w:val="BookText"/>
      </w:pPr>
      <w:r>
        <w:rPr>
          <w:rFonts w:ascii="IRNazanin" w:hAnsi="IRNazanin" w:eastAsia="IRNazanin" w:cs="IRNazanin"/>
          <w:lang w:bidi="fa-IR"/>
          <w:color w:val="111111"/>
          <w:sz w:val="28"/>
          <w:szCs w:val="28"/>
          <w:rtl/>
        </w:rPr>
        <w:t xml:space="preserve">غیر همانند:</w:t>
      </w:r>
    </w:p>
    <w:p>
      <w:pPr>
        <w:pStyle w:val="BookText"/>
      </w:pPr>
      <w:r>
        <w:rPr>
          <w:rFonts w:ascii="IRNazanin" w:hAnsi="IRNazanin" w:eastAsia="IRNazanin" w:cs="IRNazanin"/>
          <w:lang w:bidi="fa-IR"/>
          <w:color w:val="111111"/>
          <w:sz w:val="28"/>
          <w:szCs w:val="28"/>
          <w:rtl/>
        </w:rPr>
        <w:t xml:space="preserve">۱. تهران؛ دانشگاه؛ شماره نسخه: ۳۶۹۰-ف</w:t>
      </w:r>
    </w:p>
    <w:p>
      <w:pPr>
        <w:pStyle w:val="BookText"/>
      </w:pPr>
      <w:r>
        <w:rPr>
          <w:rFonts w:ascii="IRNazanin" w:hAnsi="IRNazanin" w:eastAsia="IRNazanin" w:cs="IRNazanin"/>
          <w:lang w:bidi="fa-IR"/>
          <w:color w:val="111111"/>
          <w:sz w:val="28"/>
          <w:szCs w:val="28"/>
          <w:rtl/>
        </w:rPr>
        <w:t xml:space="preserve">نسخه اصل: خارجه ۶۲۷۳ عرایض است به شاه و نامه های دولت و دربار، بی کا، بی تا؛ ۴۹۴گ [فیلمها -ف: ۲ -۲۲۶]</w:t>
      </w:r>
    </w:p>
    <w:p>
      <w:pPr>
        <w:pStyle w:val="BookText"/>
      </w:pPr>
      <w:r>
        <w:rPr>
          <w:rFonts w:ascii="IRNazanin" w:hAnsi="IRNazanin" w:eastAsia="IRNazanin" w:cs="IRNazanin"/>
          <w:lang w:bidi="fa-IR"/>
          <w:color w:val="111111"/>
          <w:sz w:val="28"/>
          <w:szCs w:val="28"/>
          <w:rtl/>
        </w:rPr>
        <w:t xml:space="preserve">۲. تهران؛ دانشگاه؛ شماره نسخه: ۳۶۹۱-ف</w:t>
      </w:r>
    </w:p>
    <w:p>
      <w:pPr>
        <w:pStyle w:val="BookText"/>
      </w:pPr>
      <w:r>
        <w:rPr>
          <w:rFonts w:ascii="IRNazanin" w:hAnsi="IRNazanin" w:eastAsia="IRNazanin" w:cs="IRNazanin"/>
          <w:lang w:bidi="fa-IR"/>
          <w:color w:val="111111"/>
          <w:sz w:val="28"/>
          <w:szCs w:val="28"/>
          <w:rtl/>
        </w:rPr>
        <w:t xml:space="preserve">نسخه اصل: خارجه ،۶۲۹۵؛ نامه های داخلی و خارجی است از ش ۱ تا ۱۸۹؛ بی کا، بی تا؛ ۳۱۱گ [ فیلمها -ف: ۲ - ۲۲۶]</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دانشگاه؛ شماره نسخه: ۳۶۹۲-ف</w:t>
      </w:r>
    </w:p>
    <w:p>
      <w:pPr>
        <w:pStyle w:val="BookText"/>
      </w:pPr>
      <w:r>
        <w:rPr>
          <w:rFonts w:ascii="IRNazanin" w:hAnsi="IRNazanin" w:eastAsia="IRNazanin" w:cs="IRNazanin"/>
          <w:lang w:bidi="fa-IR"/>
          <w:color w:val="111111"/>
          <w:sz w:val="28"/>
          <w:szCs w:val="28"/>
          <w:rtl/>
        </w:rPr>
        <w:t xml:space="preserve">نسخه اصل: خارجه ۶۳۱۸ (۱۵۳)؛ نامه های مورخ ۱۲۵۸ و ۱۲۸۹ است و برخی بی تاریخ؛ بی کا؛ بی تا: به گواهی مرآة الممالک در ۹ جمادی الثانی ۱۳۳۰ به اطاق اسناد رفته بود؛ مهر: علی اکبر بن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حسین حسینی؛ اعتماد حضور ۸۳گ [ فیلمها -ف: ۲ - ۲۲۶]</w:t>
      </w:r>
    </w:p>
    <w:p>
      <w:pPr>
        <w:pStyle w:val="BookText"/>
      </w:pPr>
      <w:r>
        <w:rPr>
          <w:rFonts w:ascii="IRNazanin" w:hAnsi="IRNazanin" w:eastAsia="IRNazanin" w:cs="IRNazanin"/>
          <w:lang w:bidi="fa-IR"/>
          <w:color w:val="111111"/>
          <w:sz w:val="28"/>
          <w:szCs w:val="28"/>
          <w:rtl/>
        </w:rPr>
        <w:t xml:space="preserve">۴. تهران؛ دانشگاه؛ شماره نسخه: ۳۶۹۳-ف</w:t>
      </w:r>
    </w:p>
    <w:p>
      <w:pPr>
        <w:pStyle w:val="BookText"/>
      </w:pPr>
      <w:r>
        <w:rPr>
          <w:rFonts w:ascii="IRNazanin" w:hAnsi="IRNazanin" w:eastAsia="IRNazanin" w:cs="IRNazanin"/>
          <w:lang w:bidi="fa-IR"/>
          <w:color w:val="111111"/>
          <w:sz w:val="28"/>
          <w:szCs w:val="28"/>
          <w:rtl/>
        </w:rPr>
        <w:t xml:space="preserve">نسخه اصل: خارجه ۶۳۲۱ .(۲۰۲) نامه های درباری و دو قاجاری است؛ بی کا، بی تا؛ به گواهی مرآة الممالک در ربیع الاول ۱۳۳۰ از کتابخانه اندرون به دفتر اسناد دولتی رفته بود؛ مـهر: علی اکبر بن حسین حسینی؛ ۷۲گ [ فیلمها -ف: ۲ - ۲۲۶]</w:t>
      </w:r>
    </w:p>
    <w:p>
      <w:pPr>
        <w:pStyle w:val="BookText"/>
      </w:pPr>
      <w:r>
        <w:rPr>
          <w:rFonts w:ascii="IRNazanin" w:hAnsi="IRNazanin" w:eastAsia="IRNazanin" w:cs="IRNazanin"/>
          <w:lang w:bidi="fa-IR"/>
          <w:color w:val="111111"/>
          <w:sz w:val="28"/>
          <w:szCs w:val="28"/>
          <w:rtl/>
        </w:rPr>
        <w:t xml:space="preserve">۵ .تهران؛ دانشگاه ؛شماره نسخه: ۳۶۹۴-ف</w:t>
      </w:r>
    </w:p>
    <w:p>
      <w:pPr>
        <w:pStyle w:val="BookText"/>
      </w:pPr>
      <w:r>
        <w:rPr>
          <w:rFonts w:ascii="IRNazanin" w:hAnsi="IRNazanin" w:eastAsia="IRNazanin" w:cs="IRNazanin"/>
          <w:lang w:bidi="fa-IR"/>
          <w:color w:val="111111"/>
          <w:sz w:val="28"/>
          <w:szCs w:val="28"/>
          <w:rtl/>
        </w:rPr>
        <w:t xml:space="preserve">نسخه اصل: خارجه ۶۳۲۲ (۹۳) مجموعه رسائل و مکاتبات نوشتجات متعلق به مهام سفارت کبری و وزارت خارجه مشتـمل شصت و شش طغرا» که در ۱۵ صفر ۱۲۹۳ تنگوزئيل تدوین شده بود؛ بی کا، بی تا؛ به گواهی مرآة الممالک در ۱۳۳۰ به اطلاق اسناد رفته بود؛ ۱۰۰گ [ فیلمها -ف: ۲ - ۲۲۷]</w:t>
      </w:r>
    </w:p>
    <w:p>
      <w:pPr>
        <w:pStyle w:val="BookText"/>
      </w:pPr>
      <w:r>
        <w:rPr>
          <w:rFonts w:ascii="IRNazanin" w:hAnsi="IRNazanin" w:eastAsia="IRNazanin" w:cs="IRNazanin"/>
          <w:lang w:bidi="fa-IR"/>
          <w:color w:val="111111"/>
          <w:sz w:val="28"/>
          <w:szCs w:val="28"/>
          <w:rtl/>
        </w:rPr>
        <w:t xml:space="preserve">۶. تهران؛ دانشگاه؛ شماره نسخه: ۳۶۹۵-ف</w:t>
      </w:r>
    </w:p>
    <w:p>
      <w:pPr>
        <w:pStyle w:val="BookText"/>
      </w:pPr>
      <w:r>
        <w:rPr>
          <w:rFonts w:ascii="IRNazanin" w:hAnsi="IRNazanin" w:eastAsia="IRNazanin" w:cs="IRNazanin"/>
          <w:lang w:bidi="fa-IR"/>
          <w:color w:val="111111"/>
          <w:sz w:val="28"/>
          <w:szCs w:val="28"/>
          <w:rtl/>
        </w:rPr>
        <w:t xml:space="preserve">نسخه اصل: خارجه ۶۳۴۱ (۸۸) نامه هایی است به قائم مقام معتمد السلطان حاجی و دیگران با نوشته های  دیگر، در آن ترجـمه نامه ای است از پادشاه انگلیس به فتح علی شاه در تسلیت مرگ نایب السلطنه، نامه ها تاریخ ۱۲۵۲ و ۱۲۶۱ و ۱۲۸۱ دارد؛ بی کا، بی تا؛ به گواهی مرآة الممالک در ۱۳۳۰ از کتابخانه اندرون دفتر اسناد رفته بود؛ ۱۴۷گ [ فیلمها -ف: ۲ - ۲۲۷]</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تهران؛ دانشگاه؛ شماره نسخه: ۳۶۹۶-ف</w:t>
      </w:r>
    </w:p>
    <w:p>
      <w:pPr>
        <w:pStyle w:val="BookText"/>
      </w:pPr>
      <w:r>
        <w:rPr>
          <w:rFonts w:ascii="IRNazanin" w:hAnsi="IRNazanin" w:eastAsia="IRNazanin" w:cs="IRNazanin"/>
          <w:lang w:bidi="fa-IR"/>
          <w:color w:val="111111"/>
          <w:sz w:val="28"/>
          <w:szCs w:val="28"/>
          <w:rtl/>
        </w:rPr>
        <w:t xml:space="preserve">نسخه اصل: خارجه ۲۴۳۰. روزنامه ها و نوشته ها و نامه هایی اسـت که از کارگزاران داخل و خارج به وزارت خارجه ایران و وزیر خارجه وقت میرزا سعیدخان موتمن الملک از کثرت مشاغل و فراموشی و تفرق خیال آنها را نتوانست بخواند و در پاکتهای سربسته مانده بود و پس بود و پس از مرگ او به دستور ناصرالدین شاه شوال سال ۱۳۰۴ تگوزئیل آنها از پاکتها بیرون آورده مدون کرده اند،بی کا، بی تا؛ به گواهی مرآة الممالک در ۱۳۳۰ از کتابخانه اندرون به اطاق اسناد دولتی رفته بود؛ ۱۹۳گ[ فیلم ها-ف: 2- 227 [</w:t>
      </w:r>
    </w:p>
    <w:p>
      <w:pPr>
        <w:pStyle w:val="BookText"/>
      </w:pPr>
      <w:r>
        <w:rPr>
          <w:rFonts w:ascii="IRNazanin" w:hAnsi="IRNazanin" w:eastAsia="IRNazanin" w:cs="IRNazanin"/>
          <w:lang w:bidi="fa-IR"/>
          <w:color w:val="111111"/>
          <w:sz w:val="28"/>
          <w:szCs w:val="28"/>
          <w:rtl/>
        </w:rPr>
        <w:t xml:space="preserve">۸. تهران؛ دانشگاه؛ شماره نسخه: ۳۶۹۷-ف</w:t>
      </w:r>
    </w:p>
    <w:p>
      <w:pPr>
        <w:pStyle w:val="BookText"/>
      </w:pPr>
      <w:r>
        <w:rPr>
          <w:rFonts w:ascii="IRNazanin" w:hAnsi="IRNazanin" w:eastAsia="IRNazanin" w:cs="IRNazanin"/>
          <w:lang w:bidi="fa-IR"/>
          <w:color w:val="111111"/>
          <w:sz w:val="28"/>
          <w:szCs w:val="28"/>
          <w:rtl/>
        </w:rPr>
        <w:t xml:space="preserve">نسخه اصل: خارجه ۶۲۷۲ (۲۴۳۵) روزنامه ها و نوشته ها و نامه هایی است که از کارگزاران داخل و خارج به وزارت خارجه ایران و وزیر خارجه وقت میرزا سعیدخان موتمن الملک، از محرم 1288 تا ۲۹ ربیع الاول ۱۲۸۸؛ بی کا، بی تا؛ ۱۳۲گ [ فیلمها -ف: ۲ - 227]</w:t>
      </w:r>
    </w:p>
    <w:p>
      <w:pPr>
        <w:pStyle w:val="BookText"/>
      </w:pPr>
      <w:r>
        <w:rPr>
          <w:rFonts w:ascii="IRNazanin" w:hAnsi="IRNazanin" w:eastAsia="IRNazanin" w:cs="IRNazanin"/>
          <w:lang w:bidi="fa-IR"/>
          <w:color w:val="111111"/>
          <w:sz w:val="28"/>
          <w:szCs w:val="28"/>
          <w:rtl/>
        </w:rPr>
        <w:t xml:space="preserve">۹. تهران؛ دانشگاه؛ شماره نسخه: ۳۶۹۸-ف</w:t>
      </w:r>
    </w:p>
    <w:p>
      <w:pPr>
        <w:pStyle w:val="BookText"/>
      </w:pPr>
      <w:r>
        <w:rPr>
          <w:rFonts w:ascii="IRNazanin" w:hAnsi="IRNazanin" w:eastAsia="IRNazanin" w:cs="IRNazanin"/>
          <w:lang w:bidi="fa-IR"/>
          <w:color w:val="111111"/>
          <w:sz w:val="28"/>
          <w:szCs w:val="28"/>
          <w:rtl/>
        </w:rPr>
        <w:t xml:space="preserve">نسخه اصل: خارجه ۶۲۹۸ (۲۴۲۳). روزنامه ها و نوشته ها و نامه هایی است که از کارگزاران داخل و خارج به وزارت خارجه ایران و وزیر خارجه وقت میرزا سعیدخان موتمن الملک؛از ۱۲۸۰ تا ۱۲۸۶؛ بی کا، بی تا؛ ۱۷۵گ [ فیلمها -ف: ۲ - ۲۲۷]</w:t>
      </w:r>
    </w:p>
    <w:p>
      <w:pPr>
        <w:pStyle w:val="BookText"/>
      </w:pPr>
      <w:r>
        <w:rPr>
          <w:rFonts w:ascii="IRNazanin" w:hAnsi="IRNazanin" w:eastAsia="IRNazanin" w:cs="IRNazanin"/>
          <w:lang w:bidi="fa-IR"/>
          <w:color w:val="111111"/>
          <w:sz w:val="28"/>
          <w:szCs w:val="28"/>
          <w:rtl/>
        </w:rPr>
        <w:t xml:space="preserve">۱۰. تهران؛ دانشگاه؛ شماره نسخه: ۳۶۹۹-ف</w:t>
      </w:r>
    </w:p>
    <w:p>
      <w:pPr>
        <w:pStyle w:val="BookText"/>
      </w:pPr>
      <w:r>
        <w:rPr>
          <w:rFonts w:ascii="IRNazanin" w:hAnsi="IRNazanin" w:eastAsia="IRNazanin" w:cs="IRNazanin"/>
          <w:lang w:bidi="fa-IR"/>
          <w:color w:val="111111"/>
          <w:sz w:val="28"/>
          <w:szCs w:val="28"/>
          <w:rtl/>
        </w:rPr>
        <w:t xml:space="preserve">نسخه اصل: خارجه ۶۳۲۵ (۲۴۲۱) روزنامه ها و نوشته ها و نامه هایی است که از کارگزاران داخل و خارج به وزارت خارجه ایران و وزیر خارجه وقت میرزا سعیدخان موتمن الملك  ؛ بی کا،  بی تا؛ سندها در شوال سال ۱۲۸۲ به وزارت رسیده بود؛ ۲۳۱گ[فيلم ها -ف: ۲ - ۲۲۷]</w:t>
      </w:r>
    </w:p>
    <w:p>
      <w:pPr>
        <w:pStyle w:val="BookText"/>
      </w:pPr>
      <w:r>
        <w:rPr>
          <w:rFonts w:ascii="IRNazanin" w:hAnsi="IRNazanin" w:eastAsia="IRNazanin" w:cs="IRNazanin"/>
          <w:lang w:bidi="fa-IR"/>
          <w:color w:val="111111"/>
          <w:sz w:val="28"/>
          <w:szCs w:val="28"/>
          <w:rtl/>
        </w:rPr>
        <w:t xml:space="preserve">۱۱. تهران؛ دانشگاه؛ شماره نسخه ۳۷۰۰-ف</w:t>
      </w:r>
    </w:p>
    <w:p>
      <w:pPr>
        <w:pStyle w:val="BookText"/>
      </w:pPr>
      <w:r>
        <w:rPr>
          <w:rFonts w:ascii="IRNazanin" w:hAnsi="IRNazanin" w:eastAsia="IRNazanin" w:cs="IRNazanin"/>
          <w:lang w:bidi="fa-IR"/>
          <w:color w:val="111111"/>
          <w:sz w:val="28"/>
          <w:szCs w:val="28"/>
          <w:rtl/>
        </w:rPr>
        <w:t xml:space="preserve">نسخه اصل: خارجه ۶۳۲۶ .(۲۴۳۱) روزنامه ها و نوشته ها و نامه هایی است که از کارگزاران داخل و خارج به وزارت خارجه ایران و وزیر خارجه وقت میرزا سعیدخان موتمن الملک از محرم ۱۲۸۵ تا ۲۸ شعبان ۱۲۸۵؛ بی کا، بی تا؛ با مهر ضبط اسناد دولتی مورخ ۱۳۲۸ از وزارت مالیه؛ ۲۱۹گ [فیلمها -ف: ۲ - ۲۲۷]</w:t>
      </w:r>
    </w:p>
    <w:p>
      <w:pPr>
        <w:pStyle w:val="BookText"/>
      </w:pPr>
      <w:r>
        <w:rPr>
          <w:rFonts w:ascii="IRNazanin" w:hAnsi="IRNazanin" w:eastAsia="IRNazanin" w:cs="IRNazanin"/>
          <w:lang w:bidi="fa-IR"/>
          <w:color w:val="111111"/>
          <w:sz w:val="28"/>
          <w:szCs w:val="28"/>
          <w:rtl/>
        </w:rPr>
        <w:t xml:space="preserve">۱۲. تهران؛ دانشگاه؛ شماره نسخه: ۳۷۰۱-ف</w:t>
      </w:r>
    </w:p>
    <w:p>
      <w:pPr>
        <w:pStyle w:val="BookText"/>
      </w:pPr>
      <w:r>
        <w:rPr>
          <w:rFonts w:ascii="IRNazanin" w:hAnsi="IRNazanin" w:eastAsia="IRNazanin" w:cs="IRNazanin"/>
          <w:lang w:bidi="fa-IR"/>
          <w:color w:val="111111"/>
          <w:sz w:val="28"/>
          <w:szCs w:val="28"/>
          <w:rtl/>
        </w:rPr>
        <w:t xml:space="preserve">نسخه اصل: خارجه ۶۳۲۸ .(۲۴۳۷) روزنامه ها و نوشته ها و نامه هایی است که از کارگزاران داخل و خارج به وزارت خارجه ایران و وزیرخارجه وقت میرزا سعیدخان موتمن الملک در دو بخش از ش ۱ تا ۱۲۰ و از ۱۲۰ تا ۲۶۱، مورخ ۱۲۸۰؛ بی کا، بی تا؛ ۲۶۲گ [فیلمها -ف: ۲ - ۲۲۸]</w:t>
      </w:r>
    </w:p>
    <w:p>
      <w:pPr>
        <w:pStyle w:val="BookText"/>
      </w:pPr>
      <w:r>
        <w:rPr>
          <w:rFonts w:ascii="IRNazanin" w:hAnsi="IRNazanin" w:eastAsia="IRNazanin" w:cs="IRNazanin"/>
          <w:lang w:bidi="fa-IR"/>
          <w:color w:val="111111"/>
          <w:sz w:val="28"/>
          <w:szCs w:val="28"/>
          <w:rtl/>
        </w:rPr>
        <w:t xml:space="preserve">۱۳. تهران؛ دانشگاه؛ شماره نسخه: ۳۷۰۲-ف</w:t>
      </w:r>
    </w:p>
    <w:p>
      <w:pPr>
        <w:pStyle w:val="BookText"/>
      </w:pPr>
      <w:r>
        <w:rPr>
          <w:rFonts w:ascii="IRNazanin" w:hAnsi="IRNazanin" w:eastAsia="IRNazanin" w:cs="IRNazanin"/>
          <w:lang w:bidi="fa-IR"/>
          <w:color w:val="111111"/>
          <w:sz w:val="28"/>
          <w:szCs w:val="28"/>
          <w:rtl/>
        </w:rPr>
        <w:t xml:space="preserve">نسخه اصل: خارجه ۶۳۳۰ (۲۴۲۸) روزنامه ها و نوشته ها و نامه هایی است که از کارگزاران داخل و خارج به وزارت خارجه ایران و وزیر خارجه وقت میرزا سعیدخان موتمن الملک؛ بی کا، بی تا؛ ۲۹۹ برگ بوده و ۴۲ برگ را بریده اند؛ از کارگزاران داخل و خارج در محرم ۱۲۸۳ رسیده است. [ فیلم ها-ف: ۲ - ۲۲۸]</w:t>
      </w:r>
    </w:p>
    <w:p>
      <w:pPr>
        <w:pStyle w:val="BookText"/>
      </w:pPr>
      <w:r>
        <w:rPr>
          <w:rFonts w:ascii="IRNazanin" w:hAnsi="IRNazanin" w:eastAsia="IRNazanin" w:cs="IRNazanin"/>
          <w:lang w:bidi="fa-IR"/>
          <w:color w:val="111111"/>
          <w:sz w:val="28"/>
          <w:szCs w:val="28"/>
          <w:rtl/>
        </w:rPr>
        <w:t xml:space="preserve">۱۴. تهران؛ دانشگاه؛ شماره نسخه: ۳۷۰۳-ف</w:t>
      </w:r>
    </w:p>
    <w:p>
      <w:pPr>
        <w:pStyle w:val="BookText"/>
      </w:pPr>
      <w:r>
        <w:rPr>
          <w:rFonts w:ascii="IRNazanin" w:hAnsi="IRNazanin" w:eastAsia="IRNazanin" w:cs="IRNazanin"/>
          <w:lang w:bidi="fa-IR"/>
          <w:color w:val="111111"/>
          <w:sz w:val="28"/>
          <w:szCs w:val="28"/>
          <w:rtl/>
        </w:rPr>
        <w:t xml:space="preserve">نسخه اصل: خارجه ۶۳۳۱ .(۲۴۳۲) روزنامه ها و نوشته ها و نامه هایی است که از کارگزاران داخل و خارج به وزارت خارجه ایران و وزیر خارجه وقت میرزا سعیدخان موتمن الملک. از سال ۱۲۸۶؛ بی کا، بی تا؛ ۲۰۲ گ[فیلمها -ف: ۲ - ۲۲۸]</w:t>
      </w:r>
    </w:p>
    <w:p>
      <w:pPr>
        <w:pStyle w:val="BookText"/>
      </w:pPr>
      <w:r>
        <w:rPr>
          <w:rFonts w:ascii="IRNazanin" w:hAnsi="IRNazanin" w:eastAsia="IRNazanin" w:cs="IRNazanin"/>
          <w:lang w:bidi="fa-IR"/>
          <w:color w:val="111111"/>
          <w:sz w:val="28"/>
          <w:szCs w:val="28"/>
          <w:rtl/>
        </w:rPr>
        <w:t xml:space="preserve">۱۵. تهران؛ دانشگاه؛ شماره نسخه: ۳۷۰۴-ف</w:t>
      </w:r>
    </w:p>
    <w:p>
      <w:pPr>
        <w:pStyle w:val="BookText"/>
      </w:pPr>
      <w:r>
        <w:rPr>
          <w:rFonts w:ascii="IRNazanin" w:hAnsi="IRNazanin" w:eastAsia="IRNazanin" w:cs="IRNazanin"/>
          <w:lang w:bidi="fa-IR"/>
          <w:color w:val="111111"/>
          <w:sz w:val="28"/>
          <w:szCs w:val="28"/>
          <w:rtl/>
        </w:rPr>
        <w:t xml:space="preserve">نسخه اصل: خارجه ۶۳۳۲ .(۲۴۳۲) روزنامه ها و نوشته ها و نامه هایی است که از کارگزاران داخل و خارج به وزارت خارجه ایران و وزیر خارجه وقت میرزا سعیدخان موتمن الملک. از ربیع الثانی ۱۲۸۸ تا جمادی الاول ۱۲۸۸؛ بی کا، بی تا؛ ۱۹۷گ [فیلمها -  ف: ۲ - ۲۲۸]</w:t>
      </w:r>
    </w:p>
    <w:p>
      <w:pPr>
        <w:pStyle w:val="BookText"/>
      </w:pPr>
      <w:r>
        <w:rPr>
          <w:rFonts w:ascii="IRNazanin" w:hAnsi="IRNazanin" w:eastAsia="IRNazanin" w:cs="IRNazanin"/>
          <w:lang w:bidi="fa-IR"/>
          <w:color w:val="111111"/>
          <w:sz w:val="28"/>
          <w:szCs w:val="28"/>
          <w:rtl/>
        </w:rPr>
        <w:t xml:space="preserve">۱۶. تهران؛ دانشگاه؛ شماره نسخه: ۳۷۰۵-ف</w:t>
      </w:r>
    </w:p>
    <w:p>
      <w:pPr>
        <w:pStyle w:val="BookText"/>
      </w:pPr>
      <w:r>
        <w:rPr>
          <w:rFonts w:ascii="IRNazanin" w:hAnsi="IRNazanin" w:eastAsia="IRNazanin" w:cs="IRNazanin"/>
          <w:lang w:bidi="fa-IR"/>
          <w:color w:val="111111"/>
          <w:sz w:val="28"/>
          <w:szCs w:val="28"/>
          <w:rtl/>
        </w:rPr>
        <w:t xml:space="preserve">نسخه اصل: خارجه ۶۳۳۳ (۲۴۲۹) روزنامه ها و نوشته ها و نامه هایی است که از کارگزاران داخل و خارج به وزارت خارجه ایران و وزیر خارجه وقت میرزا سعیدخان موتمن الملک. از جمادی الثانی ۱۲۸۴؛ بی کا، بی تا؛ ۲۱۵ گ، در ثبت ۲۱۱ گ. [ فیلم ها-ف: ۲ - ۲۲۸]</w:t>
      </w:r>
    </w:p>
    <w:p>
      <w:pPr>
        <w:pStyle w:val="BookText"/>
      </w:pPr>
      <w:r>
        <w:rPr>
          <w:rFonts w:ascii="IRNazanin" w:hAnsi="IRNazanin" w:eastAsia="IRNazanin" w:cs="IRNazanin"/>
          <w:lang w:bidi="fa-IR"/>
          <w:color w:val="111111"/>
          <w:sz w:val="28"/>
          <w:szCs w:val="28"/>
          <w:rtl/>
        </w:rPr>
        <w:t xml:space="preserve">۱۷. تهران؛ دانشگاه؛ شماره نسخه: ۳۷۰۶-ف</w:t>
      </w:r>
    </w:p>
    <w:p>
      <w:pPr>
        <w:pStyle w:val="BookText"/>
      </w:pPr>
      <w:r>
        <w:rPr>
          <w:rFonts w:ascii="IRNazanin" w:hAnsi="IRNazanin" w:eastAsia="IRNazanin" w:cs="IRNazanin"/>
          <w:lang w:bidi="fa-IR"/>
          <w:color w:val="111111"/>
          <w:sz w:val="28"/>
          <w:szCs w:val="28"/>
          <w:rtl/>
        </w:rPr>
        <w:t xml:space="preserve">نسخه اصل: خارجه ۶۳۳۴ (۲۴۳۶) اروزنامه ها و نوشته ها و نامه هایی است که از کارگزاران داخل و خارج به وزارت خارجه ایران و وزیر خارجه وقت میرزا سعیدخان موتمن الملک. از محرم ۱۲۸۲ تا سال ۱۲۸۸؛ بی کا، بی تا؛ ۲۲۰گ [ فیلمها -ف: ۲ - ۲۲۸]</w:t>
      </w:r>
    </w:p>
    <w:p>
      <w:pPr>
        <w:pStyle w:val="BookText"/>
      </w:pPr>
      <w:r>
        <w:rPr>
          <w:rFonts w:ascii="IRNazanin" w:hAnsi="IRNazanin" w:eastAsia="IRNazanin" w:cs="IRNazanin"/>
          <w:lang w:bidi="fa-IR"/>
          <w:color w:val="111111"/>
          <w:sz w:val="28"/>
          <w:szCs w:val="28"/>
          <w:rtl/>
        </w:rPr>
        <w:t xml:space="preserve">۱۸. تهران؛ دانشگاه؛ شماره نسخه: ۳۷۰۷-ف</w:t>
      </w:r>
    </w:p>
    <w:p>
      <w:pPr>
        <w:pStyle w:val="BookText"/>
      </w:pPr>
      <w:r>
        <w:rPr>
          <w:rFonts w:ascii="IRNazanin" w:hAnsi="IRNazanin" w:eastAsia="IRNazanin" w:cs="IRNazanin"/>
          <w:lang w:bidi="fa-IR"/>
          <w:color w:val="111111"/>
          <w:sz w:val="28"/>
          <w:szCs w:val="28"/>
          <w:rtl/>
        </w:rPr>
        <w:t xml:space="preserve">نسخه اصل: خارجه ۶۳۳۵۶ (۲۴۳۳)؛ روزنامه ها و نوشته ها و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365" w:name="pg20365_260508"/>
    <w:bookmarkEnd w:id="365"/>
    <w:p>
      <w:pPr>
        <w:pStyle w:val="BookText"/>
      </w:pPr>
      <w:r>
        <w:rPr>
          <w:rFonts w:ascii="IRNazanin" w:hAnsi="IRNazanin" w:eastAsia="IRNazanin" w:cs="IRNazanin"/>
          <w:lang w:bidi="fa-IR"/>
          <w:color w:val="111111"/>
          <w:sz w:val="28"/>
          <w:szCs w:val="28"/>
          <w:rtl/>
        </w:rPr>
        <w:t xml:space="preserve">نامه هایی است که از کارگزاران داخل و خارجبه وزارت خارجه ایران و وزیر خارجه وقت میرزا سعیدخان موتمن الملک. از سـال ۱۲۸۶؛ بی کا، بی تا؛ ۲۰۱گ [ فیلمها -ف: ۲ - ۲۲۸]</w:t>
      </w:r>
    </w:p>
    <w:p>
      <w:pPr>
        <w:pStyle w:val="BookText"/>
      </w:pPr>
      <w:r>
        <w:rPr>
          <w:rFonts w:ascii="IRNazanin" w:hAnsi="IRNazanin" w:eastAsia="IRNazanin" w:cs="IRNazanin"/>
          <w:lang w:bidi="fa-IR"/>
          <w:color w:val="111111"/>
          <w:sz w:val="28"/>
          <w:szCs w:val="28"/>
          <w:rtl/>
        </w:rPr>
        <w:t xml:space="preserve">۱۹. تهران؛ دانشگاه؛ شماره نسخه: ۳۷۲۵-ف</w:t>
      </w:r>
    </w:p>
    <w:p>
      <w:pPr>
        <w:pStyle w:val="BookText"/>
      </w:pPr>
      <w:r>
        <w:rPr>
          <w:rFonts w:ascii="IRNazanin" w:hAnsi="IRNazanin" w:eastAsia="IRNazanin" w:cs="IRNazanin"/>
          <w:lang w:bidi="fa-IR"/>
          <w:color w:val="111111"/>
          <w:sz w:val="28"/>
          <w:szCs w:val="28"/>
          <w:rtl/>
        </w:rPr>
        <w:t xml:space="preserve">نسخه اصل: خارجه ۶۲۳۳ (۴۸۳۴) با رقم و دستخط ناصرالدین شاه هنگامی که ولیعهد بوده است و حاجی میرزا آقاسی ، خط: نواب والا نصر الدوله و میرزا حسین خان مشیرالدوله و میرزا جـعفر خان مشیرالدوله هم در آنها هست، نیز خط تقی خان امیر نظام و نایب السلطنه کامران میرزا و دیگران؛ بی کا، بی تا؛ به گواهی موسى مرآة الممالک در ربیع الاول ۱۳۳۰ از کتابخانه اندرون به اطاق  دفتر اسناد و اموال دولتی رفته بود با مهر «وزارت مالیه دفتر ضبط اسناد دولتی ۱۳۲۸ » در ص ع آمده«دستخط شاه مرحوم ثراه و حاجی میرزا آقاسی مرحوم است» [فیلمها-ف: ۲ - ۲۳۳]</w:t>
      </w:r>
    </w:p>
    <w:p>
      <w:pPr>
        <w:pStyle w:val="Heading3"/>
      </w:pPr>
      <w:bookmarkStart w:id="1773" w:name="_Toc1295"/>
      <w:r>
        <w:t>اسناد روابط ایران و اسپانیا / اسناد / انگلیسی</w:t>
      </w:r>
      <w:bookmarkEnd w:id="1773"/>
    </w:p>
    <w:p>
      <w:pPr>
        <w:pStyle w:val="BookText"/>
      </w:pPr>
      <w:r>
        <w:rPr>
          <w:rFonts w:ascii="Times New Roman" w:hAnsi="Times New Roman" w:eastAsia="Times New Roman" w:cs="Times New Roman"/>
          <w:lang w:val="en-US" w:bidi="en-US"/>
          <w:color w:val="111111"/>
          <w:sz w:val="28"/>
          <w:szCs w:val="28"/>
          <w:rtl/>
        </w:rPr>
        <w:t xml:space="preserve">asnād-e ravābet-e īrān va espānīyā</w:t>
      </w:r>
    </w:p>
    <w:p>
      <w:pPr>
        <w:pStyle w:val="BookText"/>
      </w:pPr>
      <w:r>
        <w:rPr>
          <w:rFonts w:ascii="IRNazanin" w:hAnsi="IRNazanin" w:eastAsia="IRNazanin" w:cs="IRNazanin"/>
          <w:lang w:bidi="fa-IR"/>
          <w:color w:val="111111"/>
          <w:sz w:val="28"/>
          <w:szCs w:val="28"/>
          <w:rtl/>
        </w:rPr>
        <w:t xml:space="preserve">چاپ: ۱۳۴۰ش</w:t>
      </w:r>
    </w:p>
    <w:p>
      <w:pPr>
        <w:pStyle w:val="BookText"/>
      </w:pPr>
      <w:r>
        <w:rPr>
          <w:rFonts w:ascii="IRNazanin" w:hAnsi="IRNazanin" w:eastAsia="IRNazanin" w:cs="IRNazanin"/>
          <w:lang w:bidi="fa-IR"/>
          <w:color w:val="111111"/>
          <w:sz w:val="28"/>
          <w:szCs w:val="28"/>
          <w:rtl/>
        </w:rPr>
        <w:t xml:space="preserve">تهران؛ دانشگاه؛ شماره نسخه: ۱۵۷۵-ف</w:t>
      </w:r>
    </w:p>
    <w:p>
      <w:pPr>
        <w:pStyle w:val="BookText"/>
      </w:pPr>
      <w:r>
        <w:rPr>
          <w:rFonts w:ascii="IRNazanin" w:hAnsi="IRNazanin" w:eastAsia="IRNazanin" w:cs="IRNazanin"/>
          <w:lang w:bidi="fa-IR"/>
          <w:color w:val="111111"/>
          <w:sz w:val="28"/>
          <w:szCs w:val="28"/>
          <w:rtl/>
        </w:rPr>
        <w:t xml:space="preserve">نسخه اصل: کتابخانه ملی مادرید ش ۱۲۶۹( چاپ شده در1340 خ)؛ بی کا، بی تا [ فیلم ها-ف: ۱ - ۱۲]</w:t>
      </w:r>
    </w:p>
    <w:p>
      <w:pPr>
        <w:pStyle w:val="Heading3"/>
      </w:pPr>
      <w:bookmarkStart w:id="1774" w:name="_Toc1296"/>
      <w:r>
        <w:t>اسناد روایتی محمد باقر بیرجندی / رجال / عربی</w:t>
      </w:r>
      <w:bookmarkEnd w:id="1774"/>
    </w:p>
    <w:p>
      <w:pPr>
        <w:pStyle w:val="BookText"/>
      </w:pPr>
      <w:r>
        <w:rPr>
          <w:rFonts w:ascii="Times New Roman" w:hAnsi="Times New Roman" w:eastAsia="Times New Roman" w:cs="Times New Roman"/>
          <w:lang w:val="en-US" w:bidi="en-US"/>
          <w:color w:val="111111"/>
          <w:sz w:val="28"/>
          <w:szCs w:val="28"/>
          <w:rtl/>
        </w:rPr>
        <w:t xml:space="preserve">asnād-e revāyatī-ye mohammad bāqer-e bīrjandī</w:t>
      </w:r>
    </w:p>
    <w:p>
      <w:pPr>
        <w:pStyle w:val="BookText"/>
      </w:pPr>
      <w:r>
        <w:rPr>
          <w:rFonts w:ascii="IRNazanin" w:hAnsi="IRNazanin" w:eastAsia="IRNazanin" w:cs="IRNazanin"/>
          <w:lang w:bidi="fa-IR"/>
          <w:color w:val="111111"/>
          <w:sz w:val="28"/>
          <w:szCs w:val="28"/>
          <w:rtl/>
        </w:rPr>
        <w:t xml:space="preserve">بیرجندی، محمد باقر بن محمد حسن، ۱۲۷۶ - ۵۲ قمری</w:t>
      </w:r>
    </w:p>
    <w:p>
      <w:pPr>
        <w:pStyle w:val="BookText"/>
      </w:pPr>
      <w:r>
        <w:rPr>
          <w:rFonts w:ascii="Times New Roman" w:hAnsi="Times New Roman" w:eastAsia="Times New Roman" w:cs="Times New Roman"/>
          <w:lang w:val="en-US" w:bidi="en-US"/>
          <w:color w:val="111111"/>
          <w:sz w:val="28"/>
          <w:szCs w:val="28"/>
          <w:rtl/>
        </w:rPr>
        <w:t xml:space="preserve">bīrjandī, mohammad bāqer ebn-e mohammad hasan</w:t>
      </w:r>
    </w:p>
    <w:p>
      <w:pPr>
        <w:pStyle w:val="BookText"/>
      </w:pPr>
      <w:r>
        <w:rPr>
          <w:rFonts w:ascii="Times New Roman" w:hAnsi="Times New Roman" w:eastAsia="Times New Roman" w:cs="Times New Roman"/>
          <w:lang w:val="en-US" w:bidi="en-US"/>
          <w:color w:val="111111"/>
          <w:sz w:val="28"/>
          <w:szCs w:val="28"/>
          <w:rtl/>
        </w:rPr>
        <w:t xml:space="preserve">(360 - 1934)</w:t>
      </w:r>
    </w:p>
    <w:p>
      <w:pPr>
        <w:pStyle w:val="BookText"/>
      </w:pPr>
      <w:r>
        <w:rPr>
          <w:rFonts w:ascii="IRNazanin" w:hAnsi="IRNazanin" w:eastAsia="IRNazanin" w:cs="IRNazanin"/>
          <w:lang w:bidi="fa-IR"/>
          <w:color w:val="111111"/>
          <w:sz w:val="28"/>
          <w:szCs w:val="28"/>
          <w:rtl/>
        </w:rPr>
        <w:t xml:space="preserve">رساله کوتاهی است در بیان سلسله سندهای حدیثی مؤلف از مشایخ روایتی خویش که به ترتیب بیان نموده است.</w:t>
      </w:r>
    </w:p>
    <w:p>
      <w:pPr>
        <w:pStyle w:val="BookText"/>
      </w:pPr>
      <w:r>
        <w:rPr>
          <w:rFonts w:ascii="IRNazanin" w:hAnsi="IRNazanin" w:eastAsia="IRNazanin" w:cs="IRNazanin"/>
          <w:lang w:bidi="fa-IR"/>
          <w:color w:val="111111"/>
          <w:sz w:val="28"/>
          <w:szCs w:val="28"/>
          <w:rtl/>
        </w:rPr>
        <w:t xml:space="preserve">قم؛ مرعشی؛ شماره نسخه: ۱۴۵۷۱/۳</w:t>
      </w:r>
    </w:p>
    <w:p>
      <w:pPr>
        <w:pStyle w:val="BookText"/>
      </w:pPr>
      <w:r>
        <w:rPr>
          <w:rFonts w:ascii="IRNazanin" w:hAnsi="IRNazanin" w:eastAsia="IRNazanin" w:cs="IRNazanin"/>
          <w:lang w:bidi="fa-IR"/>
          <w:color w:val="111111"/>
          <w:sz w:val="28"/>
          <w:szCs w:val="28"/>
          <w:rtl/>
        </w:rPr>
        <w:t xml:space="preserve">آغاز: بسملة الحمد لله رب العالمين ... فهذا اسناد هذا الضعيف فی نقل روايات الأئمهالميامين الغرر الشيخ العالم الفاضل الكامل محقق الحقايق الشريعية و مفتى القوانين الدينيه ... الحاج الميـرزا حسين النورى الطبرسى أدام الله مجده السامي و جعلنی فداه؛ انجام: عن الشيخ يوسف البحراني بسنده عن المحقق صاحب الشرايع عن الحسن بن الدربي عن محمد بن شهر آشوب صاحب المناقب عن سعيد هبة الله الراوندى  بی کا، تا: قرن ۱۳؛ مصحح؛ اجازه علامه کاظمی به شیخ محمد باقر بیرجندی به خط وی همراه افزودگی هایی نگارش یافته، تاریخ ارتحال برخی از علمای امامیه در بین رساله آمـده، افزودگی هایی دیگر شامل بخشی از قصیده ای در مدح حضرت امير المؤمنين على (علیه السّلام) با مطلع: «من لى بعاصف شملاليبلغنی *** الى الذى فرض الرحمن طاعته»؛ کاغذ: فرنگی نخودی، ۶گ (۴۰ پ-۴۵پ)، ۱۶ سطر، اندازه: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۳۶ - ۶۰۲]</w:t>
      </w:r>
    </w:p>
    <w:p>
      <w:pPr>
        <w:pStyle w:val="Heading3"/>
      </w:pPr>
      <w:bookmarkStart w:id="1775" w:name="_Toc1297"/>
      <w:r>
        <w:t>اسناد روزگار قاجار / اسناد / فارسی</w:t>
      </w:r>
      <w:bookmarkEnd w:id="1775"/>
    </w:p>
    <w:p>
      <w:pPr>
        <w:pStyle w:val="BookText"/>
      </w:pPr>
      <w:r>
        <w:rPr>
          <w:rFonts w:ascii="Times New Roman" w:hAnsi="Times New Roman" w:eastAsia="Times New Roman" w:cs="Times New Roman"/>
          <w:lang w:val="en-US" w:bidi="en-US"/>
          <w:color w:val="111111"/>
          <w:sz w:val="28"/>
          <w:szCs w:val="28"/>
          <w:rtl/>
        </w:rPr>
        <w:t xml:space="preserve">asnād-e rūzegār-e qājār</w:t>
      </w:r>
    </w:p>
    <w:p>
      <w:pPr>
        <w:pStyle w:val="BookText"/>
      </w:pPr>
      <w:r>
        <w:rPr>
          <w:rFonts w:ascii="IRNazanin" w:hAnsi="IRNazanin" w:eastAsia="IRNazanin" w:cs="IRNazanin"/>
          <w:lang w:bidi="fa-IR"/>
          <w:color w:val="111111"/>
          <w:sz w:val="28"/>
          <w:szCs w:val="28"/>
          <w:rtl/>
        </w:rPr>
        <w:t xml:space="preserve">تهران؛ دانشگاه؛ شماره نسخه: ۹۵۷۴</w:t>
      </w:r>
    </w:p>
    <w:p>
      <w:pPr>
        <w:pStyle w:val="BookText"/>
      </w:pPr>
      <w:r>
        <w:rPr>
          <w:rFonts w:ascii="IRNazanin" w:hAnsi="IRNazanin" w:eastAsia="IRNazanin" w:cs="IRNazanin"/>
          <w:lang w:bidi="fa-IR"/>
          <w:color w:val="111111"/>
          <w:sz w:val="28"/>
          <w:szCs w:val="28"/>
          <w:rtl/>
        </w:rPr>
        <w:t xml:space="preserve">درباره میرزا حسین خان سپهسالار در یک پوشه؛ بی کا، بی تا [ف:  ۴۰۹ - ۱۷]</w:t>
      </w:r>
    </w:p>
    <w:p>
      <w:pPr>
        <w:pStyle w:val="Heading3"/>
      </w:pPr>
      <w:bookmarkStart w:id="1776" w:name="_Toc1298"/>
      <w:r>
        <w:t>اسناد سامع الدعاء / اسناد / عربي</w:t>
      </w:r>
      <w:bookmarkEnd w:id="1776"/>
    </w:p>
    <w:p>
      <w:pPr>
        <w:pStyle w:val="BookText"/>
      </w:pPr>
      <w:r>
        <w:rPr>
          <w:rFonts w:ascii="Times New Roman" w:hAnsi="Times New Roman" w:eastAsia="Times New Roman" w:cs="Times New Roman"/>
          <w:lang w:val="en-US" w:bidi="en-US"/>
          <w:color w:val="111111"/>
          <w:sz w:val="28"/>
          <w:szCs w:val="28"/>
          <w:rtl/>
        </w:rPr>
        <w:t xml:space="preserve">asnād-u sāmi'-id-du'a'</w:t>
      </w:r>
    </w:p>
    <w:p>
      <w:pPr>
        <w:pStyle w:val="BookText"/>
      </w:pPr>
      <w:r>
        <w:rPr>
          <w:rFonts w:ascii="IRNazanin" w:hAnsi="IRNazanin" w:eastAsia="IRNazanin" w:cs="IRNazanin"/>
          <w:lang w:bidi="fa-IR"/>
          <w:color w:val="111111"/>
          <w:sz w:val="28"/>
          <w:szCs w:val="28"/>
          <w:rtl/>
        </w:rPr>
        <w:t xml:space="preserve">اسناد مناجات معروف به «سامع الدعاء» منسوب به علی (علیه السّلام)  به  نقل از شرح الوظائف.</w:t>
      </w:r>
    </w:p>
    <w:p>
      <w:pPr>
        <w:pStyle w:val="BookText"/>
      </w:pPr>
      <w:r>
        <w:rPr>
          <w:rFonts w:ascii="IRNazanin" w:hAnsi="IRNazanin" w:eastAsia="IRNazanin" w:cs="IRNazanin"/>
          <w:lang w:bidi="fa-IR"/>
          <w:color w:val="111111"/>
          <w:sz w:val="28"/>
          <w:szCs w:val="28"/>
          <w:rtl/>
        </w:rPr>
        <w:t xml:space="preserve">تهران؛ مجلس؛ شماره نسخه: ۳۵۶۷/۳</w:t>
      </w:r>
    </w:p>
    <w:p>
      <w:pPr>
        <w:pStyle w:val="BookText"/>
      </w:pPr>
      <w:r>
        <w:rPr>
          <w:rFonts w:ascii="Amiri" w:hAnsi="Amiri" w:eastAsia="Amiri" w:cs="Amiri"/>
          <w:lang w:bidi="ar-SA"/>
          <w:color w:val="111111"/>
          <w:sz w:val="28"/>
          <w:szCs w:val="28"/>
          <w:rtl/>
        </w:rPr>
        <w:t xml:space="preserve">آغاز: هذه اسناد سامع الدعاء ... نزل هذه الدعا بالتماس على رضى الله عنه وقت ذهابه لفتح خيبر</w:t>
      </w:r>
    </w:p>
    <w:p>
      <w:pPr>
        <w:pStyle w:val="BookText"/>
      </w:pPr>
      <w:r>
        <w:rPr>
          <w:rFonts w:ascii="IRNazanin" w:hAnsi="IRNazanin" w:eastAsia="IRNazanin" w:cs="IRNazanin"/>
          <w:lang w:bidi="fa-IR"/>
          <w:color w:val="111111"/>
          <w:sz w:val="28"/>
          <w:szCs w:val="28"/>
          <w:rtl/>
        </w:rPr>
        <w:t xml:space="preserve">خط:نسخ، كا: محمد، بی تا؛ جلد: تیماج خرمایی، ۱ص (۱۰۷)،  قطع: وزیری ،باریک اندازه: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۲۳/۵سم [ف: ۱۰ – ۱۵۳۵]</w:t>
      </w:r>
    </w:p>
    <w:p>
      <w:pPr>
        <w:pStyle w:val="Heading3"/>
      </w:pPr>
      <w:bookmarkStart w:id="1777" w:name="_Toc1299"/>
      <w:r>
        <w:t>اسناد سلسله ذهبیه / عرفان و تصوف / فارسی</w:t>
      </w:r>
      <w:bookmarkEnd w:id="1777"/>
    </w:p>
    <w:p>
      <w:pPr>
        <w:pStyle w:val="BookText"/>
      </w:pPr>
      <w:r>
        <w:rPr>
          <w:rFonts w:ascii="Times New Roman" w:hAnsi="Times New Roman" w:eastAsia="Times New Roman" w:cs="Times New Roman"/>
          <w:lang w:val="en-US" w:bidi="en-US"/>
          <w:color w:val="111111"/>
          <w:sz w:val="28"/>
          <w:szCs w:val="28"/>
          <w:rtl/>
        </w:rPr>
        <w:t xml:space="preserve">asnad-e selsele-ye zahabiye</w:t>
      </w:r>
    </w:p>
    <w:p>
      <w:pPr>
        <w:pStyle w:val="BookText"/>
      </w:pPr>
      <w:r>
        <w:rPr>
          <w:rFonts w:ascii="IRNazanin" w:hAnsi="IRNazanin" w:eastAsia="IRNazanin" w:cs="IRNazanin"/>
          <w:lang w:bidi="fa-IR"/>
          <w:color w:val="111111"/>
          <w:sz w:val="28"/>
          <w:szCs w:val="28"/>
          <w:rtl/>
        </w:rPr>
        <w:t xml:space="preserve">این گونه آغاز می شود جناب آقا میرزا عبدالنبی، جناب آقا میرزا بابا، آقا محمد هاشم سید قطب الدين محمد، شيخ على نقی اصطهباناتی ... و به معروف کرخی و امام رضا ختم می شود.</w:t>
      </w:r>
    </w:p>
    <w:p>
      <w:pPr>
        <w:pStyle w:val="BookText"/>
      </w:pPr>
      <w:r>
        <w:rPr>
          <w:rFonts w:ascii="IRNazanin" w:hAnsi="IRNazanin" w:eastAsia="IRNazanin" w:cs="IRNazanin"/>
          <w:lang w:bidi="fa-IR"/>
          <w:color w:val="111111"/>
          <w:sz w:val="28"/>
          <w:szCs w:val="28"/>
          <w:rtl/>
        </w:rPr>
        <w:t xml:space="preserve">تهران؛ دانشگاه؛ شماره نسخه: ۱۰۶۷۹/۸</w:t>
      </w:r>
    </w:p>
    <w:p>
      <w:pPr>
        <w:pStyle w:val="BookText"/>
      </w:pPr>
      <w:r>
        <w:rPr>
          <w:rFonts w:ascii="IRNazanin" w:hAnsi="IRNazanin" w:eastAsia="IRNazanin" w:cs="IRNazanin"/>
          <w:lang w:bidi="fa-IR"/>
          <w:color w:val="111111"/>
          <w:sz w:val="28"/>
          <w:szCs w:val="28"/>
          <w:rtl/>
        </w:rPr>
        <w:t xml:space="preserve">خط: نستعلیق، بی کا، تا :قرن ۱۳ و ۱۴؛ آخر نسخه هم شعری از او نوشته شده در غره رمضان ۱۳۴۹ق به همراه اسناد سلسله ذهبیه؛ جلد: تیماج زیتونی ،مجدول درون کاغذ ابر و باد، اص (۲۲۹ پ)، ۱۶ سطر (۸/۵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۲۰- ۱۷۴]</w:t>
      </w:r>
    </w:p>
    <w:p>
      <w:pPr>
        <w:pStyle w:val="Heading3"/>
      </w:pPr>
      <w:bookmarkStart w:id="1778" w:name="_Toc1300"/>
      <w:r>
        <w:t>اسناد سیاسی و اداری / اسناد / فارسی</w:t>
      </w:r>
      <w:bookmarkEnd w:id="1778"/>
    </w:p>
    <w:p>
      <w:pPr>
        <w:pStyle w:val="BookText"/>
      </w:pPr>
      <w:r>
        <w:rPr>
          <w:rFonts w:ascii="Times New Roman" w:hAnsi="Times New Roman" w:eastAsia="Times New Roman" w:cs="Times New Roman"/>
          <w:lang w:val="en-US" w:bidi="en-US"/>
          <w:color w:val="111111"/>
          <w:sz w:val="28"/>
          <w:szCs w:val="28"/>
          <w:rtl/>
        </w:rPr>
        <w:t xml:space="preserve">asnād-e sīyāsī va edārī</w:t>
      </w:r>
    </w:p>
    <w:p>
      <w:pPr>
        <w:pStyle w:val="BookText"/>
      </w:pPr>
      <w:r>
        <w:rPr>
          <w:rFonts w:ascii="IRNazanin" w:hAnsi="IRNazanin" w:eastAsia="IRNazanin" w:cs="IRNazanin"/>
          <w:lang w:bidi="fa-IR"/>
          <w:color w:val="111111"/>
          <w:sz w:val="28"/>
          <w:szCs w:val="28"/>
          <w:rtl/>
        </w:rPr>
        <w:t xml:space="preserve">تهران؛ دانشگاه؛ شماره نسخه: ۴۰۸۹-ف</w:t>
      </w:r>
    </w:p>
    <w:p>
      <w:pPr>
        <w:pStyle w:val="BookText"/>
      </w:pPr>
      <w:r>
        <w:rPr>
          <w:rFonts w:ascii="IRNazanin" w:hAnsi="IRNazanin" w:eastAsia="IRNazanin" w:cs="IRNazanin"/>
          <w:lang w:bidi="fa-IR"/>
          <w:color w:val="111111"/>
          <w:sz w:val="28"/>
          <w:szCs w:val="28"/>
          <w:rtl/>
        </w:rPr>
        <w:t xml:space="preserve">نسخه اصل: از اصل آن در وزارت خارجه؛ بی کا، بی تا[ فیلمها- ف: ۳ - ۱۳]</w:t>
      </w:r>
    </w:p>
    <w:p>
      <w:pPr>
        <w:pStyle w:val="Heading3"/>
      </w:pPr>
      <w:bookmarkStart w:id="1779" w:name="_Toc1301"/>
      <w:r>
        <w:t>اسناد سید جمال الدین افغانی / اسناد / فارسی</w:t>
      </w:r>
      <w:bookmarkEnd w:id="1779"/>
    </w:p>
    <w:p>
      <w:pPr>
        <w:pStyle w:val="BookText"/>
      </w:pPr>
      <w:r>
        <w:rPr>
          <w:rFonts w:ascii="Times New Roman" w:hAnsi="Times New Roman" w:eastAsia="Times New Roman" w:cs="Times New Roman"/>
          <w:lang w:val="en-US" w:bidi="en-US"/>
          <w:color w:val="111111"/>
          <w:sz w:val="28"/>
          <w:szCs w:val="28"/>
          <w:rtl/>
        </w:rPr>
        <w:t xml:space="preserve">asnad-e seyyed jamal-ed-din-e afqani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366" w:name="pg20365_260509"/>
    <w:bookmarkEnd w:id="366"/>
    <w:p>
      <w:pPr>
        <w:pStyle w:val="BookText"/>
      </w:pPr>
      <w:r>
        <w:rPr>
          <w:rFonts w:ascii="IRNazanin" w:hAnsi="IRNazanin" w:eastAsia="IRNazanin" w:cs="IRNazanin"/>
          <w:lang w:bidi="fa-IR"/>
          <w:color w:val="111111"/>
          <w:sz w:val="28"/>
          <w:szCs w:val="28"/>
          <w:rtl/>
        </w:rPr>
        <w:t xml:space="preserve">چاپ: دانشگاه، ۱۳۴۲ش</w:t>
      </w:r>
    </w:p>
    <w:p>
      <w:pPr>
        <w:pStyle w:val="BookText"/>
      </w:pPr>
      <w:r>
        <w:rPr>
          <w:rFonts w:ascii="IRNazanin" w:hAnsi="IRNazanin" w:eastAsia="IRNazanin" w:cs="IRNazanin"/>
          <w:lang w:bidi="fa-IR"/>
          <w:color w:val="111111"/>
          <w:sz w:val="28"/>
          <w:szCs w:val="28"/>
          <w:rtl/>
        </w:rPr>
        <w:t xml:space="preserve">تهران؛ دانشگاه؛ شماره نسخه: ۳۲۳۶-ف</w:t>
      </w:r>
    </w:p>
    <w:p>
      <w:pPr>
        <w:pStyle w:val="BookText"/>
      </w:pPr>
      <w:r>
        <w:rPr>
          <w:rFonts w:ascii="IRNazanin" w:hAnsi="IRNazanin" w:eastAsia="IRNazanin" w:cs="IRNazanin"/>
          <w:lang w:bidi="fa-IR"/>
          <w:color w:val="111111"/>
          <w:sz w:val="28"/>
          <w:szCs w:val="28"/>
          <w:rtl/>
        </w:rPr>
        <w:t xml:space="preserve">از روی اصل که اکنون در کتابخانه مجلس نگاهداری می شود؛</w:t>
      </w:r>
    </w:p>
    <w:p>
      <w:pPr>
        <w:pStyle w:val="BookText"/>
      </w:pPr>
      <w:r>
        <w:rPr>
          <w:rFonts w:ascii="IRNazanin" w:hAnsi="IRNazanin" w:eastAsia="IRNazanin" w:cs="IRNazanin"/>
          <w:lang w:bidi="fa-IR"/>
          <w:color w:val="111111"/>
          <w:sz w:val="28"/>
          <w:szCs w:val="28"/>
          <w:rtl/>
        </w:rPr>
        <w:t xml:space="preserve">بی کا، بی تا [ فیلم ها-ف: ۲ - ۱۰۵]</w:t>
      </w:r>
    </w:p>
    <w:p>
      <w:pPr>
        <w:pStyle w:val="Heading3"/>
      </w:pPr>
      <w:bookmarkStart w:id="1780" w:name="_Toc1302"/>
      <w:r>
        <w:t>اسناد ظهیرالدوله / اسناد / فارسی</w:t>
      </w:r>
      <w:bookmarkEnd w:id="1780"/>
    </w:p>
    <w:p>
      <w:pPr>
        <w:pStyle w:val="BookText"/>
      </w:pPr>
      <w:r>
        <w:rPr>
          <w:rFonts w:ascii="Times New Roman" w:hAnsi="Times New Roman" w:eastAsia="Times New Roman" w:cs="Times New Roman"/>
          <w:lang w:val="en-US" w:bidi="en-US"/>
          <w:color w:val="111111"/>
          <w:sz w:val="28"/>
          <w:szCs w:val="28"/>
          <w:rtl/>
        </w:rPr>
        <w:t xml:space="preserve">asnād-e zahīr-od-dowle</w:t>
      </w:r>
    </w:p>
    <w:p>
      <w:pPr>
        <w:pStyle w:val="BookText"/>
      </w:pPr>
      <w:r>
        <w:rPr>
          <w:rFonts w:ascii="IRNazanin" w:hAnsi="IRNazanin" w:eastAsia="IRNazanin" w:cs="IRNazanin"/>
          <w:lang w:bidi="fa-IR"/>
          <w:color w:val="111111"/>
          <w:sz w:val="28"/>
          <w:szCs w:val="28"/>
          <w:rtl/>
        </w:rPr>
        <w:t xml:space="preserve">ظهير الدوله، علی بن محمد ناصر، ۱۲۸۱ - ۱۳۴۲ قمری</w:t>
      </w:r>
    </w:p>
    <w:p>
      <w:pPr>
        <w:pStyle w:val="BookText"/>
      </w:pPr>
      <w:r>
        <w:rPr>
          <w:rFonts w:ascii="Times New Roman" w:hAnsi="Times New Roman" w:eastAsia="Times New Roman" w:cs="Times New Roman"/>
          <w:lang w:val="en-US" w:bidi="en-US"/>
          <w:color w:val="111111"/>
          <w:sz w:val="28"/>
          <w:szCs w:val="28"/>
          <w:rtl/>
        </w:rPr>
        <w:t xml:space="preserve">(1924-zahīr-od-dowle, ‘alī ebn-e mohammad nāser (1865 -</w:t>
      </w:r>
    </w:p>
    <w:p>
      <w:pPr>
        <w:pStyle w:val="BookText"/>
      </w:pPr>
      <w:r>
        <w:rPr>
          <w:rFonts w:ascii="IRNazanin" w:hAnsi="IRNazanin" w:eastAsia="IRNazanin" w:cs="IRNazanin"/>
          <w:lang w:bidi="fa-IR"/>
          <w:color w:val="111111"/>
          <w:sz w:val="28"/>
          <w:szCs w:val="28"/>
          <w:rtl/>
        </w:rPr>
        <w:t xml:space="preserve">چاپ: آقای ایرج افشار آن را از روی نسخه آقای عبدالله انتظاء چاپ کرده است.</w:t>
      </w:r>
    </w:p>
    <w:p>
      <w:pPr>
        <w:pStyle w:val="BookText"/>
      </w:pPr>
      <w:r>
        <w:rPr>
          <w:rFonts w:ascii="IRNazanin" w:hAnsi="IRNazanin" w:eastAsia="IRNazanin" w:cs="IRNazanin"/>
          <w:lang w:bidi="fa-IR"/>
          <w:color w:val="111111"/>
          <w:sz w:val="28"/>
          <w:szCs w:val="28"/>
          <w:rtl/>
        </w:rPr>
        <w:t xml:space="preserve">تهران؛ دانشگاه؛ شماره نسخه: ۴۶۰۸-ف</w:t>
      </w:r>
    </w:p>
    <w:p>
      <w:pPr>
        <w:pStyle w:val="BookText"/>
      </w:pPr>
      <w:r>
        <w:rPr>
          <w:rFonts w:ascii="IRNazanin" w:hAnsi="IRNazanin" w:eastAsia="IRNazanin" w:cs="IRNazanin"/>
          <w:lang w:bidi="fa-IR"/>
          <w:color w:val="111111"/>
          <w:sz w:val="28"/>
          <w:szCs w:val="28"/>
          <w:rtl/>
        </w:rPr>
        <w:t xml:space="preserve">نسخه اصل: نسخه فخرالدین نصیری امینی ۵۵۴؛ خط: نستعلیق، بی کا،  بی تا [ فیلم ها-ف: ۳ - ۷۸]</w:t>
      </w:r>
    </w:p>
    <w:p>
      <w:pPr>
        <w:pStyle w:val="Heading3"/>
      </w:pPr>
      <w:bookmarkStart w:id="1781" w:name="_Toc1303"/>
      <w:r>
        <w:t>اسناد عهدنامه حضرت رسول (صلّی اللَّهِ علیه وَ آلِهِ وَ سَلَّمَ ) / عربی، فارسی</w:t>
      </w:r>
      <w:bookmarkEnd w:id="1781"/>
    </w:p>
    <w:p>
      <w:pPr>
        <w:pStyle w:val="BookText"/>
      </w:pPr>
      <w:r>
        <w:rPr>
          <w:rFonts w:ascii="Times New Roman" w:hAnsi="Times New Roman" w:eastAsia="Times New Roman" w:cs="Times New Roman"/>
          <w:lang w:val="en-US" w:bidi="en-US"/>
          <w:color w:val="111111"/>
          <w:sz w:val="28"/>
          <w:szCs w:val="28"/>
          <w:rtl/>
        </w:rPr>
        <w:t xml:space="preserve">nad-e ahd-name hazrat-e rasul (s</w:t>
      </w:r>
    </w:p>
    <w:p>
      <w:pPr>
        <w:pStyle w:val="BookText"/>
      </w:pPr>
      <w:r>
        <w:rPr>
          <w:rFonts w:ascii="IRNazanin" w:hAnsi="IRNazanin" w:eastAsia="IRNazanin" w:cs="IRNazanin"/>
          <w:lang w:bidi="fa-IR"/>
          <w:color w:val="111111"/>
          <w:sz w:val="28"/>
          <w:szCs w:val="28"/>
          <w:rtl/>
        </w:rPr>
        <w:t xml:space="preserve">تهران؛ مجلس؛ شماره نسخه: ۸۸۸۰/۳۶</w:t>
      </w:r>
    </w:p>
    <w:p>
      <w:pPr>
        <w:pStyle w:val="BookText"/>
      </w:pPr>
      <w:r>
        <w:rPr>
          <w:rFonts w:ascii="IRNazanin" w:hAnsi="IRNazanin" w:eastAsia="IRNazanin" w:cs="IRNazanin"/>
          <w:lang w:bidi="fa-IR"/>
          <w:color w:val="111111"/>
          <w:sz w:val="28"/>
          <w:szCs w:val="28"/>
          <w:rtl/>
        </w:rPr>
        <w:t xml:space="preserve">به همراه خواص و متن آن؛ خط: نسخ و نستعلیق و شکسته، کا: محمد مهدی بن محمد صالح  رضوی، تا: با تاریخ ۱۰۹۶ق؛ کاغذ: الوان آهار مهره نازک، جلد: میشن تریاکی ضربی با ترنج سرترنج  منقش، ۵ ص ،(۱۸۹-۱۹۳) اندازه: ۱۳/۹</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۲۳/۷سم [1/ 29- 219]</w:t>
      </w:r>
    </w:p>
    <w:p>
      <w:pPr>
        <w:pStyle w:val="Heading3"/>
      </w:pPr>
      <w:bookmarkStart w:id="1782" w:name="_Toc1304"/>
      <w:r>
        <w:t>اسناد فرخ خان امین الدوله / اسناد / فارسی</w:t>
      </w:r>
      <w:bookmarkEnd w:id="1782"/>
    </w:p>
    <w:p>
      <w:pPr>
        <w:pStyle w:val="BookText"/>
      </w:pPr>
      <w:r>
        <w:rPr>
          <w:rFonts w:ascii="Times New Roman" w:hAnsi="Times New Roman" w:eastAsia="Times New Roman" w:cs="Times New Roman"/>
          <w:lang w:val="en-US" w:bidi="en-US"/>
          <w:color w:val="111111"/>
          <w:sz w:val="28"/>
          <w:szCs w:val="28"/>
          <w:rtl/>
        </w:rPr>
        <w:t xml:space="preserve">asnād-e farrox xān-e amīn-od-dowle</w:t>
      </w:r>
    </w:p>
    <w:p>
      <w:pPr>
        <w:pStyle w:val="BookText"/>
      </w:pPr>
      <w:r>
        <w:rPr>
          <w:rFonts w:ascii="IRNazanin" w:hAnsi="IRNazanin" w:eastAsia="IRNazanin" w:cs="IRNazanin"/>
          <w:lang w:bidi="fa-IR"/>
          <w:color w:val="111111"/>
          <w:sz w:val="28"/>
          <w:szCs w:val="28"/>
          <w:rtl/>
        </w:rPr>
        <w:t xml:space="preserve">تهران؛ دانشگاه؛ شماره نسخه: ۳۷۵۳-ف</w:t>
      </w:r>
    </w:p>
    <w:p>
      <w:pPr>
        <w:pStyle w:val="BookText"/>
      </w:pPr>
      <w:r>
        <w:rPr>
          <w:rFonts w:ascii="IRNazanin" w:hAnsi="IRNazanin" w:eastAsia="IRNazanin" w:cs="IRNazanin"/>
          <w:lang w:bidi="fa-IR"/>
          <w:color w:val="111111"/>
          <w:sz w:val="28"/>
          <w:szCs w:val="28"/>
          <w:rtl/>
        </w:rPr>
        <w:t xml:space="preserve">نسخه اصل: نسخه آقای معاون الدوله. با شرح و فهرست آنها از معاون الدوله غفاری؛ بی کا، بی تا؛ ۶۲قطعه در ۱۶ طغرا [فیلم ها- ف: ۲ - ۲۴۳]</w:t>
      </w:r>
    </w:p>
    <w:p>
      <w:pPr>
        <w:pStyle w:val="BookText"/>
      </w:pPr>
      <w:r>
        <w:rPr>
          <w:rFonts w:ascii="IRNazanin" w:hAnsi="IRNazanin" w:eastAsia="IRNazanin" w:cs="IRNazanin"/>
          <w:lang w:bidi="fa-IR"/>
          <w:color w:val="111111"/>
          <w:sz w:val="28"/>
          <w:szCs w:val="28"/>
          <w:rtl/>
        </w:rPr>
        <w:t xml:space="preserve">تهران؛ دانشگاه؛ شماره نسخه: ۹۲۸۴</w:t>
      </w:r>
    </w:p>
    <w:p>
      <w:pPr>
        <w:pStyle w:val="BookText"/>
      </w:pPr>
      <w:r>
        <w:rPr>
          <w:rFonts w:ascii="IRNazanin" w:hAnsi="IRNazanin" w:eastAsia="IRNazanin" w:cs="IRNazanin"/>
          <w:lang w:bidi="fa-IR"/>
          <w:color w:val="111111"/>
          <w:sz w:val="28"/>
          <w:szCs w:val="28"/>
          <w:rtl/>
        </w:rPr>
        <w:t xml:space="preserve">که به ۲۲۱ طغرا می رسد (مجلد چهارم) در مجموعه اسناد چـاپ شده و اهداء معاون الدوله غفاری است؛ بی کا، بی تا [ف: 17- 339]</w:t>
      </w:r>
    </w:p>
    <w:p>
      <w:pPr>
        <w:pStyle w:val="Heading3"/>
      </w:pPr>
      <w:bookmarkStart w:id="1783" w:name="_Toc1305"/>
      <w:r>
        <w:t>اسناد فرقه خاکسار / اسناد / فارسی</w:t>
      </w:r>
      <w:bookmarkEnd w:id="1783"/>
    </w:p>
    <w:p>
      <w:pPr>
        <w:pStyle w:val="BookText"/>
      </w:pPr>
      <w:r>
        <w:rPr>
          <w:rFonts w:ascii="Times New Roman" w:hAnsi="Times New Roman" w:eastAsia="Times New Roman" w:cs="Times New Roman"/>
          <w:lang w:val="en-US" w:bidi="en-US"/>
          <w:color w:val="111111"/>
          <w:sz w:val="28"/>
          <w:szCs w:val="28"/>
          <w:rtl/>
        </w:rPr>
        <w:t xml:space="preserve">asnād-e ferqe-ye xāksār</w:t>
      </w:r>
    </w:p>
    <w:p>
      <w:pPr>
        <w:pStyle w:val="BookText"/>
      </w:pPr>
      <w:r>
        <w:rPr>
          <w:rFonts w:ascii="IRNazanin" w:hAnsi="IRNazanin" w:eastAsia="IRNazanin" w:cs="IRNazanin"/>
          <w:lang w:bidi="fa-IR"/>
          <w:color w:val="111111"/>
          <w:sz w:val="28"/>
          <w:szCs w:val="28"/>
          <w:rtl/>
        </w:rPr>
        <w:t xml:space="preserve">تهران؛ مجلس؛ شماره نسخه: ۱۶۳۷۵</w:t>
      </w:r>
    </w:p>
    <w:p>
      <w:pPr>
        <w:pStyle w:val="BookText"/>
      </w:pPr>
      <w:r>
        <w:rPr>
          <w:rFonts w:ascii="IRNazanin" w:hAnsi="IRNazanin" w:eastAsia="IRNazanin" w:cs="IRNazanin"/>
          <w:lang w:bidi="fa-IR"/>
          <w:color w:val="111111"/>
          <w:sz w:val="28"/>
          <w:szCs w:val="28"/>
          <w:rtl/>
        </w:rPr>
        <w:t xml:space="preserve">کا: قطار  علیشاه، تا: در تاریخ های ۱۳۲۱ و ۱۳۲۲ق، نسخه پاکیزه؛قطع: بیاضی [د.ث. مجلس]</w:t>
      </w:r>
    </w:p>
    <w:p>
      <w:pPr>
        <w:pStyle w:val="Heading3"/>
      </w:pPr>
      <w:bookmarkStart w:id="1784" w:name="_Toc1306"/>
      <w:r>
        <w:t>اسناد قاجاری / اسناد / فارسی</w:t>
      </w:r>
      <w:bookmarkEnd w:id="1784"/>
    </w:p>
    <w:p>
      <w:pPr>
        <w:pStyle w:val="BookText"/>
      </w:pPr>
      <w:r>
        <w:rPr>
          <w:rFonts w:ascii="Times New Roman" w:hAnsi="Times New Roman" w:eastAsia="Times New Roman" w:cs="Times New Roman"/>
          <w:lang w:val="en-US" w:bidi="en-US"/>
          <w:color w:val="111111"/>
          <w:sz w:val="28"/>
          <w:szCs w:val="28"/>
          <w:rtl/>
        </w:rPr>
        <w:t xml:space="preserve">asnād-e qājārī</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دانشگاه؛ شماره نسخه: ۶۹۳۷-عکس</w:t>
      </w:r>
    </w:p>
    <w:p>
      <w:pPr>
        <w:pStyle w:val="BookText"/>
      </w:pPr>
      <w:r>
        <w:rPr>
          <w:rFonts w:ascii="IRNazanin" w:hAnsi="IRNazanin" w:eastAsia="IRNazanin" w:cs="IRNazanin"/>
          <w:lang w:bidi="fa-IR"/>
          <w:color w:val="111111"/>
          <w:sz w:val="28"/>
          <w:szCs w:val="28"/>
          <w:rtl/>
        </w:rPr>
        <w:t xml:space="preserve">نامه های به عماد الدوله است تا شماره ۹ با تاریخ ۱۲۸۰ سپس بی شماره، بی کا، بی تا ؛۴۲گ [ فیلمها -ف: ۳ - ۲۶۶]</w:t>
      </w:r>
    </w:p>
    <w:p>
      <w:pPr>
        <w:pStyle w:val="BookText"/>
      </w:pPr>
      <w:r>
        <w:rPr>
          <w:rFonts w:ascii="IRNazanin" w:hAnsi="IRNazanin" w:eastAsia="IRNazanin" w:cs="IRNazanin"/>
          <w:lang w:bidi="fa-IR"/>
          <w:color w:val="111111"/>
          <w:sz w:val="28"/>
          <w:szCs w:val="28"/>
          <w:rtl/>
        </w:rPr>
        <w:t xml:space="preserve">۲. تهران؛ دانشگاه؛ شماره نسخه: ۳۶۱۲-ف</w:t>
      </w:r>
    </w:p>
    <w:p>
      <w:pPr>
        <w:pStyle w:val="BookText"/>
      </w:pPr>
      <w:r>
        <w:rPr>
          <w:rFonts w:ascii="IRNazanin" w:hAnsi="IRNazanin" w:eastAsia="IRNazanin" w:cs="IRNazanin"/>
          <w:lang w:bidi="fa-IR"/>
          <w:color w:val="111111"/>
          <w:sz w:val="28"/>
          <w:szCs w:val="28"/>
          <w:rtl/>
        </w:rPr>
        <w:t xml:space="preserve">نسخه اصل: از روی اصل آقای معاون الدوله غفاری. برخی مورخ ۲۴ شعبان ۱۳۱۶ شماره ۵۲ و ۶ جمادی الثانی ۱۳۱۶ شماره ۲۹ و تاریخ های دیگر با مراسله ویس قونسول گری و سواد تلگراف؛ بی کا، بی تا [ فیلم هاف: ۲ - ۱۹۷]</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دانشگاه؛ شماره نسخه: ۹۲۱۷/۴</w:t>
      </w:r>
    </w:p>
    <w:p>
      <w:pPr>
        <w:pStyle w:val="BookText"/>
      </w:pPr>
      <w:r>
        <w:rPr>
          <w:rFonts w:ascii="IRNazanin" w:hAnsi="IRNazanin" w:eastAsia="IRNazanin" w:cs="IRNazanin"/>
          <w:lang w:bidi="fa-IR"/>
          <w:color w:val="111111"/>
          <w:sz w:val="28"/>
          <w:szCs w:val="28"/>
          <w:rtl/>
        </w:rPr>
        <w:t xml:space="preserve">اسناد قاجاری در چهارده طغرا از عماد الدوله و سهام السلطنه و قهرمان میرزا و ظل السلطان و معتمد الملک و میرزا آقاجان و عباس میرزا و مرتضی روضی، بی کا، بی تا [ف: ۱۷ - ۳۲۳]</w:t>
      </w:r>
    </w:p>
    <w:p>
      <w:pPr>
        <w:pStyle w:val="Heading3"/>
      </w:pPr>
      <w:bookmarkStart w:id="1785" w:name="_Toc1307"/>
      <w:r>
        <w:t>اسناد قرائت آخوند ملا محمد صادق قاری / قرائت / عربی</w:t>
      </w:r>
      <w:bookmarkEnd w:id="1785"/>
    </w:p>
    <w:p>
      <w:pPr>
        <w:pStyle w:val="BookText"/>
      </w:pPr>
      <w:r>
        <w:rPr>
          <w:rFonts w:ascii="Times New Roman" w:hAnsi="Times New Roman" w:eastAsia="Times New Roman" w:cs="Times New Roman"/>
          <w:lang w:val="en-US" w:bidi="en-US"/>
          <w:color w:val="111111"/>
          <w:sz w:val="28"/>
          <w:szCs w:val="28"/>
          <w:rtl/>
        </w:rPr>
        <w:t xml:space="preserve">asnād-e qerā❜at-e āxūnd mollā mohammad sadeq-e qārī</w:t>
      </w:r>
    </w:p>
    <w:p>
      <w:pPr>
        <w:pStyle w:val="BookText"/>
      </w:pPr>
      <w:r>
        <w:rPr>
          <w:rFonts w:ascii="IRNazanin" w:hAnsi="IRNazanin" w:eastAsia="IRNazanin" w:cs="IRNazanin"/>
          <w:lang w:bidi="fa-IR"/>
          <w:color w:val="111111"/>
          <w:sz w:val="28"/>
          <w:szCs w:val="28"/>
          <w:rtl/>
        </w:rPr>
        <w:t xml:space="preserve">قاری، محمد صادق بن محمد قاسم، ق ۱۲ قمری</w:t>
      </w:r>
    </w:p>
    <w:p>
      <w:pPr>
        <w:pStyle w:val="BookText"/>
      </w:pPr>
      <w:r>
        <w:rPr>
          <w:rFonts w:ascii="Times New Roman" w:hAnsi="Times New Roman" w:eastAsia="Times New Roman" w:cs="Times New Roman"/>
          <w:lang w:val="en-US" w:bidi="en-US"/>
          <w:color w:val="111111"/>
          <w:sz w:val="28"/>
          <w:szCs w:val="28"/>
          <w:rtl/>
        </w:rPr>
        <w:t xml:space="preserve">qārī, mohammad sādeq ebn-e mohammad qāsem (-</w:t>
      </w:r>
    </w:p>
    <w:p>
      <w:pPr>
        <w:pStyle w:val="BookText"/>
      </w:pPr>
      <w:r>
        <w:rPr>
          <w:rFonts w:ascii="Times New Roman" w:hAnsi="Times New Roman" w:eastAsia="Times New Roman" w:cs="Times New Roman"/>
          <w:lang w:val="en-US" w:bidi="en-US"/>
          <w:color w:val="111111"/>
          <w:sz w:val="28"/>
          <w:szCs w:val="28"/>
          <w:rtl/>
        </w:rPr>
        <w:t xml:space="preserve">18c)</w:t>
      </w:r>
    </w:p>
    <w:p>
      <w:pPr>
        <w:pStyle w:val="BookText"/>
      </w:pPr>
      <w:r>
        <w:rPr>
          <w:rFonts w:ascii="IRNazanin" w:hAnsi="IRNazanin" w:eastAsia="IRNazanin" w:cs="IRNazanin"/>
          <w:lang w:bidi="fa-IR"/>
          <w:color w:val="111111"/>
          <w:sz w:val="28"/>
          <w:szCs w:val="28"/>
          <w:rtl/>
        </w:rPr>
        <w:t xml:space="preserve">تاریخ تأليف: محرم ۱۱۳۱ق</w:t>
      </w:r>
    </w:p>
    <w:p>
      <w:pPr>
        <w:pStyle w:val="BookText"/>
      </w:pPr>
      <w:r>
        <w:rPr>
          <w:rFonts w:ascii="IRNazanin" w:hAnsi="IRNazanin" w:eastAsia="IRNazanin" w:cs="IRNazanin"/>
          <w:lang w:bidi="fa-IR"/>
          <w:color w:val="111111"/>
          <w:sz w:val="28"/>
          <w:szCs w:val="28"/>
          <w:rtl/>
        </w:rPr>
        <w:t xml:space="preserve">در این رساله ملا محمد صادق قاری عاملی کرکی سلسله سند  قرائت خود را آورده است.</w:t>
      </w:r>
    </w:p>
    <w:p>
      <w:pPr>
        <w:pStyle w:val="BookText"/>
      </w:pPr>
      <w:r>
        <w:rPr>
          <w:rFonts w:ascii="IRNazanin" w:hAnsi="IRNazanin" w:eastAsia="IRNazanin" w:cs="IRNazanin"/>
          <w:lang w:bidi="fa-IR"/>
          <w:color w:val="111111"/>
          <w:sz w:val="28"/>
          <w:szCs w:val="28"/>
          <w:rtl/>
        </w:rPr>
        <w:t xml:space="preserve">مشهد؛ الهیات؛ شماره نسخه: ۲۰۹۳۸/۱۳</w:t>
      </w:r>
    </w:p>
    <w:p>
      <w:pPr>
        <w:pStyle w:val="BookText"/>
      </w:pPr>
      <w:r>
        <w:rPr>
          <w:rFonts w:ascii="IRNazanin" w:hAnsi="IRNazanin" w:eastAsia="IRNazanin" w:cs="IRNazanin"/>
          <w:lang w:bidi="fa-IR"/>
          <w:color w:val="111111"/>
          <w:sz w:val="28"/>
          <w:szCs w:val="28"/>
          <w:rtl/>
        </w:rPr>
        <w:t xml:space="preserve">خط: نسخ، بی کا، بی تا، کاغذ فرنگی؛ جلد: تیماج مشکی لایه ای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۲ - ۵۱۸]</w:t>
      </w:r>
    </w:p>
    <w:p>
      <w:pPr>
        <w:pStyle w:val="Heading3"/>
      </w:pPr>
      <w:bookmarkStart w:id="1786" w:name="_Toc1308"/>
      <w:r>
        <w:t>اسناد قرائت ابن جزری / اجازات / عربی</w:t>
      </w:r>
      <w:bookmarkEnd w:id="1786"/>
    </w:p>
    <w:p>
      <w:pPr>
        <w:pStyle w:val="BookText"/>
      </w:pPr>
      <w:r>
        <w:rPr>
          <w:rFonts w:ascii="Times New Roman" w:hAnsi="Times New Roman" w:eastAsia="Times New Roman" w:cs="Times New Roman"/>
          <w:lang w:val="en-US" w:bidi="en-US"/>
          <w:color w:val="111111"/>
          <w:sz w:val="28"/>
          <w:szCs w:val="28"/>
          <w:rtl/>
        </w:rPr>
        <w:t xml:space="preserve">asnād-e qerā'at-e ebn-e jazarī</w:t>
      </w:r>
    </w:p>
    <w:p>
      <w:pPr>
        <w:pStyle w:val="BookText"/>
      </w:pPr>
      <w:r>
        <w:rPr>
          <w:rFonts w:ascii="IRNazanin" w:hAnsi="IRNazanin" w:eastAsia="IRNazanin" w:cs="IRNazanin"/>
          <w:lang w:bidi="fa-IR"/>
          <w:color w:val="111111"/>
          <w:sz w:val="28"/>
          <w:szCs w:val="28"/>
          <w:rtl/>
        </w:rPr>
        <w:t xml:space="preserve">تهران؛ مجلس؛ شماره نسخه: ۸۹۷۵/۳۹</w:t>
      </w:r>
    </w:p>
    <w:p>
      <w:pPr>
        <w:pStyle w:val="BookText"/>
      </w:pPr>
      <w:r>
        <w:rPr>
          <w:rFonts w:ascii="Amiri" w:hAnsi="Amiri" w:eastAsia="Amiri" w:cs="Amiri"/>
          <w:lang w:bidi="ar-SA"/>
          <w:color w:val="111111"/>
          <w:sz w:val="28"/>
          <w:szCs w:val="28"/>
          <w:rtl/>
        </w:rPr>
        <w:t xml:space="preserve">آغاز: قال محمد بن الجزرى فى اربعينه و اما قراة القرآن العظيم فانى قراته على جماعة كثير من الشيوخ منهم الشيخ الامام العلامة شمس الدين ابوعبدالله محمد بن عبدالرحمن بن على الحنفى؛ انجام: كما انزل على الروح الامين رسول رب العالمين و امينه على وجيه جبرييل عليه السلام</w:t>
      </w:r>
    </w:p>
    <w:p>
      <w:pPr>
        <w:pStyle w:val="BookText"/>
      </w:pPr>
      <w:r>
        <w:rPr>
          <w:rFonts w:ascii="IRNazanin" w:hAnsi="IRNazanin" w:eastAsia="IRNazanin" w:cs="IRNazanin"/>
          <w:lang w:bidi="fa-IR"/>
          <w:color w:val="111111"/>
          <w:sz w:val="28"/>
          <w:szCs w:val="28"/>
          <w:rtl/>
        </w:rPr>
        <w:t xml:space="preserve">كا: ابراهيم بن محمد حرفوشی کرکی عاملی، تا: با تاریخ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367" w:name="pg20365_260510"/>
    <w:bookmarkEnd w:id="367"/>
    <w:p>
      <w:pPr>
        <w:pStyle w:val="BookText"/>
      </w:pPr>
      <w:r>
        <w:rPr>
          <w:rFonts w:ascii="IRNazanin" w:hAnsi="IRNazanin" w:eastAsia="IRNazanin" w:cs="IRNazanin"/>
          <w:lang w:bidi="fa-IR"/>
          <w:color w:val="111111"/>
          <w:sz w:val="28"/>
          <w:szCs w:val="28"/>
          <w:rtl/>
        </w:rPr>
        <w:t xml:space="preserve">۱۰۰۲ق؛ کاغذ: نخودی آهار مهره، جلد: میشن عنابی ضربی با ترنج و سرترنج و چهار لچکی کوچک و جدول، ۲گ (۱۹۵ر-۱۹۶ر) ۱۷-۱۸ سطر(۸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اندازه: ۱۲/۳۰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۲۰/۱سم [ف: ۲۹/۱۸ - 525]</w:t>
      </w:r>
    </w:p>
    <w:p>
      <w:pPr>
        <w:pStyle w:val="Heading3"/>
      </w:pPr>
      <w:bookmarkStart w:id="1787" w:name="_Toc1309"/>
      <w:r>
        <w:t>اسناد قرارداد ۱۹۱۹ / اسناد / فارسی</w:t>
      </w:r>
      <w:bookmarkEnd w:id="1787"/>
    </w:p>
    <w:p>
      <w:pPr>
        <w:pStyle w:val="BookText"/>
      </w:pPr>
      <w:r>
        <w:rPr>
          <w:rFonts w:ascii="Times New Roman" w:hAnsi="Times New Roman" w:eastAsia="Times New Roman" w:cs="Times New Roman"/>
          <w:lang w:val="en-US" w:bidi="en-US"/>
          <w:color w:val="111111"/>
          <w:sz w:val="28"/>
          <w:szCs w:val="28"/>
          <w:rtl/>
        </w:rPr>
        <w:t xml:space="preserve">asnād-e qarārdād-e 1919</w:t>
      </w:r>
    </w:p>
    <w:p>
      <w:pPr>
        <w:pStyle w:val="BookText"/>
      </w:pPr>
      <w:r>
        <w:rPr>
          <w:rFonts w:ascii="IRNazanin" w:hAnsi="IRNazanin" w:eastAsia="IRNazanin" w:cs="IRNazanin"/>
          <w:lang w:bidi="fa-IR"/>
          <w:color w:val="111111"/>
          <w:sz w:val="28"/>
          <w:szCs w:val="28"/>
          <w:rtl/>
        </w:rPr>
        <w:t xml:space="preserve">تهران؛ دانشگاه شماره نسخه ۵۶۸۰-ف</w:t>
      </w:r>
    </w:p>
    <w:p>
      <w:pPr>
        <w:pStyle w:val="BookText"/>
      </w:pPr>
      <w:r>
        <w:rPr>
          <w:rFonts w:ascii="IRNazanin" w:hAnsi="IRNazanin" w:eastAsia="IRNazanin" w:cs="IRNazanin"/>
          <w:lang w:bidi="fa-IR"/>
          <w:color w:val="111111"/>
          <w:sz w:val="28"/>
          <w:szCs w:val="28"/>
          <w:rtl/>
        </w:rPr>
        <w:t xml:space="preserve">نامه های تقی زاده وثوق الدوله ارسالی دکتر محمود افشار که در کتاب سیاست اروپا و ایران چاپ می شود؛ بی کا، بی تا[ فیلم ها- 3- 176]</w:t>
      </w:r>
    </w:p>
    <w:p>
      <w:pPr>
        <w:pStyle w:val="Heading3"/>
      </w:pPr>
      <w:bookmarkStart w:id="1788" w:name="_Toc1310"/>
      <w:r>
        <w:t>اسناد قصیده برده / شعر / فارسی</w:t>
      </w:r>
      <w:bookmarkEnd w:id="1788"/>
    </w:p>
    <w:p>
      <w:pPr>
        <w:pStyle w:val="BookText"/>
      </w:pPr>
      <w:r>
        <w:rPr>
          <w:rFonts w:ascii="Times New Roman" w:hAnsi="Times New Roman" w:eastAsia="Times New Roman" w:cs="Times New Roman"/>
          <w:lang w:val="en-US" w:bidi="en-US"/>
          <w:color w:val="111111"/>
          <w:sz w:val="28"/>
          <w:szCs w:val="28"/>
          <w:rtl/>
        </w:rPr>
        <w:t xml:space="preserve">asnād-e qasīde-ye borde</w:t>
      </w:r>
    </w:p>
    <w:p>
      <w:pPr>
        <w:pStyle w:val="BookText"/>
      </w:pPr>
      <w:r>
        <w:rPr>
          <w:rFonts w:ascii="IRNazanin" w:hAnsi="IRNazanin" w:eastAsia="IRNazanin" w:cs="IRNazanin"/>
          <w:lang w:bidi="fa-IR"/>
          <w:color w:val="111111"/>
          <w:sz w:val="28"/>
          <w:szCs w:val="28"/>
          <w:rtl/>
        </w:rPr>
        <w:t xml:space="preserve">لاهورى، لطف الله بن احمد، ق ۱۱ قمری</w:t>
      </w:r>
    </w:p>
    <w:p>
      <w:pPr>
        <w:pStyle w:val="BookText"/>
      </w:pPr>
      <w:r>
        <w:rPr>
          <w:rFonts w:ascii="Times New Roman" w:hAnsi="Times New Roman" w:eastAsia="Times New Roman" w:cs="Times New Roman"/>
          <w:lang w:val="en-US" w:bidi="en-US"/>
          <w:color w:val="111111"/>
          <w:sz w:val="28"/>
          <w:szCs w:val="28"/>
          <w:rtl/>
        </w:rPr>
        <w:t xml:space="preserve">(lāhūrī, lotf-ol-lāh ebn-e ahmad (- 17c)</w:t>
      </w:r>
    </w:p>
    <w:p>
      <w:pPr>
        <w:pStyle w:val="BookText"/>
      </w:pPr>
      <w:r>
        <w:rPr>
          <w:rFonts w:ascii="IRNazanin" w:hAnsi="IRNazanin" w:eastAsia="IRNazanin" w:cs="IRNazanin"/>
          <w:lang w:bidi="fa-IR"/>
          <w:color w:val="111111"/>
          <w:sz w:val="28"/>
          <w:szCs w:val="28"/>
          <w:rtl/>
        </w:rPr>
        <w:t xml:space="preserve">تهران؛ مجلس؛ شماره نسخه: ۱۱۹۷۰/۳</w:t>
      </w:r>
    </w:p>
    <w:p>
      <w:pPr>
        <w:pStyle w:val="BookText"/>
      </w:pPr>
      <w:r>
        <w:rPr>
          <w:rFonts w:ascii="IRNazanin" w:hAnsi="IRNazanin" w:eastAsia="IRNazanin" w:cs="IRNazanin"/>
          <w:lang w:bidi="fa-IR"/>
          <w:color w:val="111111"/>
          <w:sz w:val="28"/>
          <w:szCs w:val="28"/>
          <w:rtl/>
        </w:rPr>
        <w:t xml:space="preserve">آغاز: بسمله این کواکب دریه در مناقب اشرف بریه است  محمد مصطفى صلى الله عليه و آله و سلم تصنيف شيخ امام صالح ابوعبدالله محمد بن سعيد بن حسن بوسيری ولازي رحمة الله عليه... آن سبب تصنيف اين قصيده آن بود كه چون شيخ را مرض فالج لاحق شد اخبار ايشان كرده بودند كاهنان آنكه دينشان كج شده است نيست خواهد گشت هم</w:t>
      </w:r>
    </w:p>
    <w:p>
      <w:pPr>
        <w:pStyle w:val="BookText"/>
      </w:pPr>
      <w:r>
        <w:rPr>
          <w:rFonts w:ascii="IRNazanin" w:hAnsi="IRNazanin" w:eastAsia="IRNazanin" w:cs="IRNazanin"/>
          <w:lang w:bidi="fa-IR"/>
          <w:color w:val="111111"/>
          <w:sz w:val="28"/>
          <w:szCs w:val="28"/>
          <w:rtl/>
        </w:rPr>
        <w:t xml:space="preserve">خط: نستعليق، بی كا، بی تا؛ ركابه دار، متن قصيده برده بوصيری است با ترجمه منظوم فارسی در ۱۰۷۹ ق؛ كاغذ: فرنگی ،جلد:تیماج عنابی نیم سوخت با ترنج و سرترنج، ۹گ (۱۸۸پ- ۱۹۶پ)، ۱۱ و ۱۳ سطر (۵/۵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 اندازه: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۳۴ - 104[</w:t>
      </w:r>
    </w:p>
    <w:p>
      <w:pPr>
        <w:pStyle w:val="Heading3"/>
      </w:pPr>
      <w:bookmarkStart w:id="1789" w:name="_Toc1311"/>
      <w:r>
        <w:t>اسناد کتاب سیری در تصوف / عرفان و تصوف / فارسی</w:t>
      </w:r>
      <w:bookmarkEnd w:id="1789"/>
    </w:p>
    <w:p>
      <w:pPr>
        <w:pStyle w:val="BookText"/>
      </w:pPr>
      <w:r>
        <w:rPr>
          <w:rFonts w:ascii="Times New Roman" w:hAnsi="Times New Roman" w:eastAsia="Times New Roman" w:cs="Times New Roman"/>
          <w:lang w:val="en-US" w:bidi="en-US"/>
          <w:color w:val="111111"/>
          <w:sz w:val="28"/>
          <w:szCs w:val="28"/>
          <w:rtl/>
        </w:rPr>
        <w:t xml:space="preserve">asnād-e k.-e seyrī dar tasavvof</w:t>
      </w:r>
    </w:p>
    <w:p>
      <w:pPr>
        <w:pStyle w:val="BookText"/>
      </w:pPr>
      <w:r>
        <w:rPr>
          <w:rFonts w:ascii="IRNazanin" w:hAnsi="IRNazanin" w:eastAsia="IRNazanin" w:cs="IRNazanin"/>
          <w:lang w:bidi="fa-IR"/>
          <w:color w:val="111111"/>
          <w:sz w:val="28"/>
          <w:szCs w:val="28"/>
          <w:rtl/>
        </w:rPr>
        <w:t xml:space="preserve">چهاردهی ،نورالدین، ۱۲۹۷ق ۱۴ شمسی</w:t>
      </w:r>
    </w:p>
    <w:p>
      <w:pPr>
        <w:pStyle w:val="BookText"/>
      </w:pPr>
      <w:r>
        <w:rPr>
          <w:rFonts w:ascii="Times New Roman" w:hAnsi="Times New Roman" w:eastAsia="Times New Roman" w:cs="Times New Roman"/>
          <w:lang w:val="en-US" w:bidi="en-US"/>
          <w:color w:val="111111"/>
          <w:sz w:val="28"/>
          <w:szCs w:val="28"/>
          <w:rtl/>
        </w:rPr>
        <w:t xml:space="preserve">(čahārdehī, nūr-od-dīn (1918 - 20c)</w:t>
      </w:r>
    </w:p>
    <w:p>
      <w:pPr>
        <w:pStyle w:val="BookText"/>
      </w:pPr>
      <w:r>
        <w:rPr>
          <w:rFonts w:ascii="IRNazanin" w:hAnsi="IRNazanin" w:eastAsia="IRNazanin" w:cs="IRNazanin"/>
          <w:lang w:bidi="fa-IR"/>
          <w:color w:val="111111"/>
          <w:sz w:val="28"/>
          <w:szCs w:val="28"/>
          <w:rtl/>
        </w:rPr>
        <w:t xml:space="preserve">۱. تهران؛ مجلس؛ شماره نسخه: ۱۰۷۲۹</w:t>
      </w:r>
    </w:p>
    <w:p>
      <w:pPr>
        <w:pStyle w:val="BookText"/>
      </w:pPr>
      <w:r>
        <w:rPr>
          <w:rFonts w:ascii="IRNazanin" w:hAnsi="IRNazanin" w:eastAsia="IRNazanin" w:cs="IRNazanin"/>
          <w:lang w:bidi="fa-IR"/>
          <w:color w:val="111111"/>
          <w:sz w:val="28"/>
          <w:szCs w:val="28"/>
          <w:rtl/>
        </w:rPr>
        <w:t xml:space="preserve">دفتر اول؛ بی کا، تا: قرن ۱۴؛ خطوط مختلف، کاتبان مختلف، نامه ها به خطوط و اشکال و رنگ های مختلف بوده و ترتیب خاصی در تنظیم اسناد رعایت نشده است؛ جلد: گالینگور سیاه وقرمز، ۱۱۵گ، مختلف السطر، اندازه: ۲۹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۴۰سم [ف: ۳۳/۱ - 206]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مجلس؛ شماره نسخه: ۱۰۷۳۰</w:t>
      </w:r>
    </w:p>
    <w:p>
      <w:pPr>
        <w:pStyle w:val="BookText"/>
      </w:pPr>
      <w:r>
        <w:rPr>
          <w:rFonts w:ascii="IRNazanin" w:hAnsi="IRNazanin" w:eastAsia="IRNazanin" w:cs="IRNazanin"/>
          <w:lang w:bidi="fa-IR"/>
          <w:color w:val="111111"/>
          <w:sz w:val="28"/>
          <w:szCs w:val="28"/>
          <w:rtl/>
        </w:rPr>
        <w:t xml:space="preserve">دفتر دوم؛ بی کا، تا: قرن ۱۴؛ خطوط مختلف کاتبان  مختلف، نامـه ها به خطوط و اشکال و رنگ های مختلف بوده و ترتیب خاصی در تنظیم اسناد رعایت نشده است. فهرست کامل اشخاص صاحب نامه (۷۳ نفر) در ابتدای نسخه آمده ؛جلد: گالینگور سیاه و قرمز  ، ۳۰۲ص، مختلف السطر ،اندازه: ۱۶</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۲۳سم [ف: ۳۳/۱-۲۰۷]</w:t>
      </w:r>
    </w:p>
    <w:p>
      <w:pPr>
        <w:pStyle w:val="Heading3"/>
      </w:pPr>
      <w:bookmarkStart w:id="1790" w:name="_Toc1312"/>
      <w:r>
        <w:t>اسناد الكتب الاربعة / رجال / عربي</w:t>
      </w:r>
      <w:bookmarkEnd w:id="1790"/>
    </w:p>
    <w:p>
      <w:pPr>
        <w:pStyle w:val="BookText"/>
      </w:pPr>
      <w:r>
        <w:rPr>
          <w:rFonts w:ascii="Times New Roman" w:hAnsi="Times New Roman" w:eastAsia="Times New Roman" w:cs="Times New Roman"/>
          <w:lang w:val="en-US" w:bidi="en-US"/>
          <w:color w:val="111111"/>
          <w:sz w:val="28"/>
          <w:szCs w:val="28"/>
          <w:rtl/>
        </w:rPr>
        <w:t xml:space="preserve">asnād-ul-kutub-il-arba'a</w:t>
      </w:r>
    </w:p>
    <w:p>
      <w:pPr>
        <w:pStyle w:val="BookText"/>
      </w:pPr>
      <w:r>
        <w:rPr>
          <w:rFonts w:ascii="IRNazanin" w:hAnsi="IRNazanin" w:eastAsia="IRNazanin" w:cs="IRNazanin"/>
          <w:lang w:bidi="fa-IR"/>
          <w:color w:val="111111"/>
          <w:sz w:val="28"/>
          <w:szCs w:val="28"/>
          <w:rtl/>
        </w:rPr>
        <w:t xml:space="preserve">مظفری، محمد بن ابراهیم، - ۱۳۸۰ قمری</w:t>
      </w:r>
    </w:p>
    <w:p>
      <w:pPr>
        <w:pStyle w:val="BookText"/>
      </w:pPr>
      <w:r>
        <w:rPr>
          <w:rFonts w:ascii="Times New Roman" w:hAnsi="Times New Roman" w:eastAsia="Times New Roman" w:cs="Times New Roman"/>
          <w:lang w:val="en-US" w:bidi="en-US"/>
          <w:color w:val="111111"/>
          <w:sz w:val="28"/>
          <w:szCs w:val="28"/>
          <w:rtl/>
        </w:rPr>
        <w:t xml:space="preserve">(mozaffarī, mohammad ebn-e ebrāhīm (- 1961)</w:t>
      </w:r>
    </w:p>
    <w:p>
      <w:pPr>
        <w:pStyle w:val="BookText"/>
      </w:pPr>
      <w:r>
        <w:rPr>
          <w:rFonts w:ascii="IRNazanin" w:hAnsi="IRNazanin" w:eastAsia="IRNazanin" w:cs="IRNazanin"/>
          <w:lang w:bidi="fa-IR"/>
          <w:color w:val="111111"/>
          <w:sz w:val="28"/>
          <w:szCs w:val="28"/>
          <w:rtl/>
        </w:rPr>
        <w:t xml:space="preserve">مؤلف در محضر اساتید بزرگ و مجتهدین عالیقدر زمان چون آیات عظام حکیم ،خویی ،شاهرودی، مرعشی نجفی، رفیعی قزوینی علوم متداول اسلامی را فرا گرفت و به مرتبه عالی اجتهاد نائل آمد. از آثار به یادماندنی او تقریرات فقهی استادش مرحوم آية الله خوئی می باشد. مظفری علاوه بر تألیفات مزبور به فرمان استاد اسناد و رجال حدیث کتب اربعه و شیوه استخراج آنها را از کتب مذکور با رمزهای «کا=کافی»، «یب=تهذیب»،یه = فقيه»، «صبا = استبصار» در هفت جدول چنین نمایش داده است ،الكتاب ،الصفحه، الباب ،الحديث الراوى، المعنون المروى عنه. نویسنده با نهایت دقت احادیث مختلف و با هم مغایر را هر چند بسیار اندک یادآور شده و به جرح و تعدیل راوی نیز پرداخته و اختلافات نسخ های چاپی را هم متذکر شده و معنون را که راوی بلافصل می باشد در همه جا به ترتیب حروف هجا آورده است.</w:t>
      </w:r>
    </w:p>
    <w:p>
      <w:pPr>
        <w:pStyle w:val="BookText"/>
      </w:pPr>
      <w:r>
        <w:rPr>
          <w:rFonts w:ascii="IRNazanin" w:hAnsi="IRNazanin" w:eastAsia="IRNazanin" w:cs="IRNazanin"/>
          <w:lang w:bidi="fa-IR"/>
          <w:color w:val="111111"/>
          <w:sz w:val="28"/>
          <w:szCs w:val="28"/>
          <w:rtl/>
        </w:rPr>
        <w:t xml:space="preserve">۱. مشهد؛ رضوی؛ شماره نسخه: ۲۸۸۶۴</w:t>
      </w:r>
    </w:p>
    <w:p>
      <w:pPr>
        <w:pStyle w:val="BookText"/>
      </w:pPr>
      <w:r>
        <w:rPr>
          <w:rFonts w:ascii="IRNazanin" w:hAnsi="IRNazanin" w:eastAsia="IRNazanin" w:cs="IRNazanin"/>
          <w:lang w:bidi="fa-IR"/>
          <w:color w:val="111111"/>
          <w:sz w:val="28"/>
          <w:szCs w:val="28"/>
          <w:rtl/>
        </w:rPr>
        <w:t xml:space="preserve">آغاز: الكتاب الصفحه ،الباب، الحديث الراوي، المعنون، المروى عنه کا ،۲ ،۲۳۵، ۹۹، ۱۸، منذر بن جعفر، آدم ابوالحسين اللؤلؤى، ابو عبدالله عليه السلام؛ انجام: و فی الکافی ج۶ ص ۱۲۲ احمد بن محمد عن محسن و حميد بن زیاد بدل ابو علی الاشعرى كما ياتي في محله ان شاء الله تعالى و الحمد لله رب العالمين وصلى الله على سیدنا محمد و آله طاهرين ... الى قيام يوم الدين.</w:t>
      </w:r>
    </w:p>
    <w:p>
      <w:pPr>
        <w:pStyle w:val="BookText"/>
      </w:pPr>
      <w:r>
        <w:rPr>
          <w:rFonts w:ascii="IRNazanin" w:hAnsi="IRNazanin" w:eastAsia="IRNazanin" w:cs="IRNazanin"/>
          <w:lang w:bidi="fa-IR"/>
          <w:color w:val="111111"/>
          <w:sz w:val="28"/>
          <w:szCs w:val="28"/>
          <w:rtl/>
        </w:rPr>
        <w:t xml:space="preserve">جلد ۱. معنون این نسخه از «آدم» تا «احمد بن محمد» است؛ خط: نسخ  تحریری، کاتب = مؤلف، تا: قرن ۱۴؛ واقف: آية الله محمد مظفری، دی ۱۳۸۱؛ کاغذ: خط دار  مشقی، جلد: مقوا، رویه گالینگور، زرشکی  روشن، ۲۸۹گ، ۱۹- ۲۱ سطر، اندازه:  ۲۰/۳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۱۵/۵سم [ف: ۲۷ - ۵۵]</w:t>
      </w:r>
    </w:p>
    <w:p>
      <w:pPr>
        <w:pStyle w:val="BookText"/>
      </w:pPr>
      <w:r>
        <w:rPr>
          <w:rFonts w:ascii="IRNazanin" w:hAnsi="IRNazanin" w:eastAsia="IRNazanin" w:cs="IRNazanin"/>
          <w:lang w:bidi="fa-IR"/>
          <w:color w:val="111111"/>
          <w:sz w:val="28"/>
          <w:szCs w:val="28"/>
          <w:rtl/>
        </w:rPr>
        <w:t xml:space="preserve">۲. مشهد؛ رضوی؛ شماره نسخه: ۲۸۸۶۵</w:t>
      </w:r>
    </w:p>
    <w:p>
      <w:pPr>
        <w:pStyle w:val="BookText"/>
      </w:pPr>
      <w:r>
        <w:rPr>
          <w:rFonts w:ascii="IRNazanin" w:hAnsi="IRNazanin" w:eastAsia="IRNazanin" w:cs="IRNazanin"/>
          <w:lang w:bidi="fa-IR"/>
          <w:color w:val="111111"/>
          <w:sz w:val="28"/>
          <w:szCs w:val="28"/>
          <w:rtl/>
        </w:rPr>
        <w:t xml:space="preserve">آغاز: الكتاب الصفحة ،الباب الحديث الراوي، المعنون المروى عنه كا ،۱، ۵۱۰، ۱۲۳، ۱۶، محمد بن الحسن بن الشمون احمد بن  محمد ابو محمد علیه السلام؛ انجام: الظاهر فيه تحريف و الصحيح احمد بن محمد عن على بن الحكم و الحمدلله رب العالمين ... من الآن الى قيام يوم الدين.</w:t>
      </w:r>
    </w:p>
    <w:p>
      <w:pPr>
        <w:pStyle w:val="BookText"/>
      </w:pPr>
      <w:r>
        <w:rPr>
          <w:rFonts w:ascii="IRNazanin" w:hAnsi="IRNazanin" w:eastAsia="IRNazanin" w:cs="IRNazanin"/>
          <w:lang w:bidi="fa-IR"/>
          <w:color w:val="111111"/>
          <w:sz w:val="28"/>
          <w:szCs w:val="28"/>
          <w:rtl/>
        </w:rPr>
        <w:t xml:space="preserve">جلد ۲. معنون این نسخه از «احمد بن محمد» تا «احمد بن محمد» بن عیسی است؛ خط: نسخ ،تحریری کاتب = مؤلف، بی تا؛ واقف: آية الله محمد مظفری، دی ۱۳۸۱؛ جلد: مقوا، رویه گالینگور،زرشکی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روشن ،۲۳۴گ، ۲۰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۶۰/۲سم [ف: ۲۷ - ۵۶]</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مشهد؛ رضوی؛ شماره نسخه: ۲۸۸۶۶</w:t>
      </w:r>
    </w:p>
    <w:p>
      <w:pPr>
        <w:pStyle w:val="BookText"/>
      </w:pPr>
      <w:r>
        <w:rPr>
          <w:rFonts w:ascii="IRNazanin" w:hAnsi="IRNazanin" w:eastAsia="IRNazanin" w:cs="IRNazanin"/>
          <w:lang w:bidi="fa-IR"/>
          <w:color w:val="111111"/>
          <w:sz w:val="28"/>
          <w:szCs w:val="28"/>
          <w:rtl/>
        </w:rPr>
        <w:t xml:space="preserve">آغاز: الكتاب، الصفحة، الباب، الحديث الراوى، المعنون، المروی عنه یه ،۳ ،۲۱۲، ۹۶، ۹۸۶، معد بن عبدالله، احمد بن محمد بن عیسی، علی بن محمد علیه السلام؛ انجام: هذا آخر حرف الجيـم و يقع حرف الحاء فى الجزء الرابع ان شاء الله تعالى محمد بن ابراهیم المظفرى القزويني عفى عنهما. جلد 3. معنون این نسخه از «احمد بن محمد بن عیسی» تا «جهم حميد الرواسی» است؛ خط: نسخ تحریری، کاتب = مؤلف،تا: قرن ۱۴؛واقف: آية الله محمد مظفری، دی ۱۳۸۱ ؛جلد: مقوا، رویه  گالینگور، زرشکی ،روشن ۳۰۰گ، ۱۹ و۲۰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۲۷ - ۵۶]</w:t>
      </w:r>
    </w:p>
    <w:p>
      <w:pPr>
        <w:pStyle w:val="BookText"/>
      </w:pPr>
      <w:r>
        <w:rPr>
          <w:rFonts w:ascii="IRNazanin" w:hAnsi="IRNazanin" w:eastAsia="IRNazanin" w:cs="IRNazanin"/>
          <w:lang w:bidi="fa-IR"/>
          <w:color w:val="111111"/>
          <w:sz w:val="28"/>
          <w:szCs w:val="28"/>
          <w:rtl/>
        </w:rPr>
        <w:t xml:space="preserve">۴. مشهد؛ رضوی شماره نسخه: ۲۸۸۶۷</w:t>
      </w:r>
    </w:p>
    <w:p>
      <w:pPr>
        <w:pStyle w:val="BookText"/>
      </w:pPr>
      <w:r>
        <w:rPr>
          <w:rFonts w:ascii="IRNazanin" w:hAnsi="IRNazanin" w:eastAsia="IRNazanin" w:cs="IRNazanin"/>
          <w:lang w:bidi="fa-IR"/>
          <w:color w:val="111111"/>
          <w:sz w:val="28"/>
          <w:szCs w:val="28"/>
          <w:rtl/>
        </w:rPr>
        <w:t xml:space="preserve">آغاز: الكتاب، الصفحة، الباب الحديث الراوى، المعنون، المروی عنه کا ،۴، ۳۰، ۲۵، ۱ ،سعدان حاتم ابو عبدالله عليه السلام؛ انجـام: و يشرع من الحسين بن سعيد في الجزء الخامس ان شاء الله تعالى  و انا الاحقر ... في ۲۷ الثاني سنة ١٣٩٠هـ ربیع</w:t>
      </w:r>
    </w:p>
    <w:p>
      <w:pPr>
        <w:pStyle w:val="BookText"/>
      </w:pPr>
      <w:r>
        <w:rPr>
          <w:rFonts w:ascii="IRNazanin" w:hAnsi="IRNazanin" w:eastAsia="IRNazanin" w:cs="IRNazanin"/>
          <w:lang w:bidi="fa-IR"/>
          <w:color w:val="111111"/>
          <w:sz w:val="28"/>
          <w:szCs w:val="28"/>
          <w:rtl/>
        </w:rPr>
        <w:t xml:space="preserve">جلد ۴. معنون این نسخه از «حاتم» تا «الحسين بن سدیر» اسـت؛بی کا، بی تا؛ واقف: آية الله محمد  مظفری، دی ۱۳۸۱ ؛جلد: مقوا، رویه ،گالینگور ،زرکشی، روشن [ف: ۲۷ - ۵۷]</w:t>
      </w:r>
    </w:p>
    <w:p>
      <w:pPr>
        <w:pStyle w:val="BookText"/>
      </w:pPr>
      <w:r>
        <w:rPr>
          <w:rFonts w:ascii="IRNazanin" w:hAnsi="IRNazanin" w:eastAsia="IRNazanin" w:cs="IRNazanin"/>
          <w:lang w:bidi="fa-IR"/>
          <w:color w:val="111111"/>
          <w:sz w:val="28"/>
          <w:szCs w:val="28"/>
          <w:rtl/>
        </w:rPr>
        <w:t xml:space="preserve">۵. مشهد؛ رضوی؛ شماره نسخه: ۲۸۸۶۸</w:t>
      </w:r>
    </w:p>
    <w:p>
      <w:pPr>
        <w:pStyle w:val="BookText"/>
      </w:pPr>
      <w:r>
        <w:rPr>
          <w:rFonts w:ascii="IRNazanin" w:hAnsi="IRNazanin" w:eastAsia="IRNazanin" w:cs="IRNazanin"/>
          <w:lang w:bidi="fa-IR"/>
          <w:color w:val="111111"/>
          <w:sz w:val="28"/>
          <w:szCs w:val="28"/>
          <w:rtl/>
        </w:rPr>
        <w:t xml:space="preserve">آغاز: يوم الشروع ۲۸ ربیع الثانی ۱۳۹۰ هـ الكتاب، الصفـحة الباب ،الحديث ،الراوي، المعنون المروى عنه يب ۶، ۵۳، 17،۱۲۷، احمد بن قتيبة، الحسين بن سعيد، جعفر بن محمد عليها السلام؛ انجام: تم حرف الحاء بحمد الله و المنة.</w:t>
      </w:r>
    </w:p>
    <w:p>
      <w:pPr>
        <w:pStyle w:val="BookText"/>
      </w:pPr>
      <w:r>
        <w:rPr>
          <w:rFonts w:ascii="IRNazanin" w:hAnsi="IRNazanin" w:eastAsia="IRNazanin" w:cs="IRNazanin"/>
          <w:lang w:bidi="fa-IR"/>
          <w:color w:val="111111"/>
          <w:sz w:val="28"/>
          <w:szCs w:val="28"/>
          <w:rtl/>
        </w:rPr>
        <w:t xml:space="preserve">جلد ۵. معنون این نسخه از «الحسین بن سعيد» تا «حيدرة» و پایان حرف الحاء است؛ خط: نسخ ،تحریری، کاتب = مؤلف، تا : قرن ۱۴؛ واقف: آية الله محمد مظفری، دی ۱۳۸۱؛ جلد: مقوا، رویه گالینگور، زرشکی ،روشن، ۳۵۰گ،اندازه: ۱۶/۵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۱۹/۵سم [  ف: 27- 57]</w:t>
      </w:r>
    </w:p>
    <w:p>
      <w:pPr>
        <w:pStyle w:val="BookText"/>
      </w:pPr>
      <w:r>
        <w:rPr>
          <w:rFonts w:ascii="IRNazanin" w:hAnsi="IRNazanin" w:eastAsia="IRNazanin" w:cs="IRNazanin"/>
          <w:lang w:bidi="fa-IR"/>
          <w:color w:val="111111"/>
          <w:sz w:val="28"/>
          <w:szCs w:val="28"/>
          <w:rtl/>
        </w:rPr>
        <w:t xml:space="preserve">۶. مشهد؛ رضوی؛ شماره نسخه: ۲۸۸۶۹</w:t>
      </w:r>
    </w:p>
    <w:p>
      <w:pPr>
        <w:pStyle w:val="BookText"/>
      </w:pPr>
      <w:r>
        <w:rPr>
          <w:rFonts w:ascii="IRNazanin" w:hAnsi="IRNazanin" w:eastAsia="IRNazanin" w:cs="IRNazanin"/>
          <w:lang w:bidi="fa-IR"/>
          <w:color w:val="111111"/>
          <w:sz w:val="28"/>
          <w:szCs w:val="28"/>
          <w:rtl/>
        </w:rPr>
        <w:t xml:space="preserve">آغاز: الكتاب الصفحة، الباب الحديث، الراوى، المعنون، المروی عنه ۴ کا ،۳، ۳۹۱ ،۵۸، ۱۹، ابن مسکات ،خالد، ابو اسماعیل ؛انجام: جعفر بن محمد عليهما السلام الحمد لله رب العالمين وقد تم الاستنساخ فى ۱۸ شهر رمضان المارك ۱۳۹۱ من الهجرة  و انا الأحقر محمد المظفرى عفى عنه.</w:t>
      </w:r>
    </w:p>
    <w:p>
      <w:pPr>
        <w:pStyle w:val="BookText"/>
      </w:pPr>
      <w:r>
        <w:rPr>
          <w:rFonts w:ascii="IRNazanin" w:hAnsi="IRNazanin" w:eastAsia="IRNazanin" w:cs="IRNazanin"/>
          <w:lang w:bidi="fa-IR"/>
          <w:color w:val="111111"/>
          <w:sz w:val="28"/>
          <w:szCs w:val="28"/>
          <w:rtl/>
        </w:rPr>
        <w:t xml:space="preserve">جلد ۶. معنون این نسخه از «خالد» تا «شهر بن حوشب» اسـت ؛خط: نسخ تحریری،کاتب = مؤلف، تا: ۱۸ رمضان ۱۳۹۱ق؛ واقف: آية الله محمد  مظفری، دی ۱۳۸۱؛ جلد: مقوا رویه گالینگور، زرشکی ،روشن، ۳۵۰گ، مختلف السطر،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۲۷ - ۵۷]</w:t>
      </w:r>
    </w:p>
    <w:p>
      <w:pPr>
        <w:pStyle w:val="BookText"/>
      </w:pPr>
      <w:r>
        <w:rPr>
          <w:rFonts w:ascii="IRNazanin" w:hAnsi="IRNazanin" w:eastAsia="IRNazanin" w:cs="IRNazanin"/>
          <w:lang w:bidi="fa-IR"/>
          <w:color w:val="111111"/>
          <w:sz w:val="28"/>
          <w:szCs w:val="28"/>
          <w:rtl/>
        </w:rPr>
        <w:t xml:space="preserve">۷. مشهد؛ رضوی؛ شماره نسخه: ۲۸۸۷۰</w:t>
      </w:r>
    </w:p>
    <w:p>
      <w:pPr>
        <w:pStyle w:val="BookText"/>
      </w:pPr>
      <w:r>
        <w:rPr>
          <w:rFonts w:ascii="IRNazanin" w:hAnsi="IRNazanin" w:eastAsia="IRNazanin" w:cs="IRNazanin"/>
          <w:lang w:bidi="fa-IR"/>
          <w:color w:val="111111"/>
          <w:sz w:val="28"/>
          <w:szCs w:val="28"/>
          <w:rtl/>
        </w:rPr>
        <w:t xml:space="preserve">آغاز: الكتاب، الصفحة ،الباب، الحديث، الراوى، المعنون، المروی  عنه يب ،۷، ۱۳۴، ۹، ۵۹۳، عبدالمؤمن، صابر ابوعبدالله عليه السلام؛ انجام: ابو جعفر عليه السلام و الحمد لله رب العالمين... المظفرى القزويني على الله عنهم.</w:t>
      </w:r>
    </w:p>
    <w:p>
      <w:pPr>
        <w:pStyle w:val="BookText"/>
      </w:pPr>
      <w:r>
        <w:rPr>
          <w:rFonts w:ascii="IRNazanin" w:hAnsi="IRNazanin" w:eastAsia="IRNazanin" w:cs="IRNazanin"/>
          <w:lang w:bidi="fa-IR"/>
          <w:color w:val="111111"/>
          <w:sz w:val="28"/>
          <w:szCs w:val="28"/>
          <w:rtl/>
        </w:rPr>
        <w:t xml:space="preserve">جلد ۷. معنون این نسخه از «صابر» تا «عتيبة بن عبدالله بن عجلان السکونی» است؛ خط: نسخ  تحریری، کاتب = مؤلف، تا: قرن ۱۴؛ واقف: آية الله محمد مظفری، دی ۱۳۸۱؛ جلد: مقوا، رویه ،گالینگور زرشکی ،روشن، ۳۴۴گ، مختلف السطر، اندازه:  ۱۶/۲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۲۷ - ۵۸]</w:t>
      </w:r>
    </w:p>
    <w:p>
      <w:pPr>
        <w:pStyle w:val="BookText"/>
      </w:pPr>
      <w:r>
        <w:rPr>
          <w:rFonts w:ascii="IRNazanin" w:hAnsi="IRNazanin" w:eastAsia="IRNazanin" w:cs="IRNazanin"/>
          <w:lang w:bidi="fa-IR"/>
          <w:color w:val="111111"/>
          <w:sz w:val="28"/>
          <w:szCs w:val="28"/>
          <w:rtl/>
        </w:rPr>
        <w:t xml:space="preserve">۸. مشهد؛ رضوی؛ شماره نسخه: ۲۸۸۷۱</w:t>
      </w:r>
    </w:p>
    <w:p>
      <w:pPr>
        <w:pStyle w:val="BookText"/>
      </w:pPr>
      <w:r>
        <w:rPr>
          <w:rFonts w:ascii="Amiri" w:hAnsi="Amiri" w:eastAsia="Amiri" w:cs="Amiri"/>
          <w:lang w:bidi="ar-SA"/>
          <w:color w:val="111111"/>
          <w:sz w:val="28"/>
          <w:szCs w:val="28"/>
          <w:rtl/>
        </w:rPr>
        <w:t xml:space="preserve">آغاز: الكتاب، الصفحة، الباب الحديث الراوى، المعنون المروى عنه كا ،۲ ،۶۵۶ ،۱۵، ۱۷، جعفر بن  يشير ،عثمان، ابو اسامة؛ انجام:عمار نكتبه ان شاء الله فى جزء آخر و الحمد لله رب العالمين...  محمد بن ابراهيم المظفرى القزويني عفى عنه.</w:t>
      </w:r>
    </w:p>
    <w:p>
      <w:pPr>
        <w:pStyle w:val="BookText"/>
      </w:pPr>
      <w:r>
        <w:rPr>
          <w:rFonts w:ascii="IRNazanin" w:hAnsi="IRNazanin" w:eastAsia="IRNazanin" w:cs="IRNazanin"/>
          <w:lang w:bidi="fa-IR"/>
          <w:color w:val="111111"/>
          <w:sz w:val="28"/>
          <w:szCs w:val="28"/>
          <w:rtl/>
        </w:rPr>
        <w:t xml:space="preserve">جلد ۸. معنون این نسخه از «عثمان» تا «عمار» است؛ خط: نسخ تحریری، کاتب = مؤلف، تا: قرن ۱۴؛ واقف: آية الله محمد مظفری، دی ۱۳۸۱؛ کاغذ: خط دار  مشقی، جلد: مقوا، رویه گالینگور، زرشکی ،روشن، ۳۲۰گ، مختلف السطر،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۲۷ - ۵۸]</w:t>
      </w:r>
    </w:p>
    <w:p>
      <w:pPr>
        <w:pStyle w:val="BookText"/>
      </w:pPr>
      <w:r>
        <w:rPr>
          <w:rFonts w:ascii="IRNazanin" w:hAnsi="IRNazanin" w:eastAsia="IRNazanin" w:cs="IRNazanin"/>
          <w:lang w:bidi="fa-IR"/>
          <w:color w:val="111111"/>
          <w:sz w:val="28"/>
          <w:szCs w:val="28"/>
          <w:rtl/>
        </w:rPr>
        <w:t xml:space="preserve">۹. مشهد؛ رضوی؛ شماره نسخه: ۲۸۸۷۲</w:t>
      </w:r>
    </w:p>
    <w:p>
      <w:pPr>
        <w:pStyle w:val="BookText"/>
      </w:pPr>
      <w:r>
        <w:rPr>
          <w:rFonts w:ascii="IRNazanin" w:hAnsi="IRNazanin" w:eastAsia="IRNazanin" w:cs="IRNazanin"/>
          <w:lang w:bidi="fa-IR"/>
          <w:color w:val="111111"/>
          <w:sz w:val="28"/>
          <w:szCs w:val="28"/>
          <w:rtl/>
        </w:rPr>
        <w:t xml:space="preserve">آغاز: الكتاب، الصفحة ،الباب، الحديث الراوي، المعنون، المروى عنه ۱ کا ۲، ۲۲۴، ۹۸، ۹، مروان بن مسلم، عمار، ابو عبدالله عليه السلام؛ انجام: و ياتى بقية رواية محمد عن عبدالله بن المغيرة في الجزوة الآتية و انا الاحقر محمد بن ابراهيم. . عفى عنه.</w:t>
      </w:r>
    </w:p>
    <w:p>
      <w:pPr>
        <w:pStyle w:val="BookText"/>
      </w:pPr>
      <w:r>
        <w:rPr>
          <w:rFonts w:ascii="IRNazanin" w:hAnsi="IRNazanin" w:eastAsia="IRNazanin" w:cs="IRNazanin"/>
          <w:lang w:bidi="fa-IR"/>
          <w:color w:val="111111"/>
          <w:sz w:val="28"/>
          <w:szCs w:val="28"/>
          <w:rtl/>
        </w:rPr>
        <w:t xml:space="preserve">جلد ۹. معنون این نسخه از «عمار» تا «محمد» است؛ خط: نسخ تحریری، کاتب = مؤلف، بی تا؛ واقف: آية الله محمد مظفری  قزوینی، دی ۱۳۸۱، جلد: مقوا، رویه گالینگور سرمه ای، ۱۹۸گ، مختلف السطر، اندازه:17</w:t>
      </w:r>
      <w:r>
        <w:rPr>
          <w:rFonts w:ascii="Times New Roman" w:hAnsi="Times New Roman" w:eastAsia="Times New Roman" w:cs="Times New Roman"/>
          <w:lang w:val="en-US" w:bidi="en-US"/>
          <w:color w:val="111111"/>
          <w:sz w:val="28"/>
          <w:szCs w:val="28"/>
          <w:rtl/>
        </w:rPr>
        <w:t xml:space="preserve">×23/3</w:t>
      </w:r>
      <w:r>
        <w:rPr>
          <w:rFonts w:ascii="IRNazanin" w:hAnsi="IRNazanin" w:eastAsia="IRNazanin" w:cs="IRNazanin"/>
          <w:lang w:bidi="fa-IR"/>
          <w:color w:val="111111"/>
          <w:sz w:val="28"/>
          <w:szCs w:val="28"/>
          <w:rtl/>
        </w:rPr>
        <w:t xml:space="preserve">سم [ف: ۲۷ - ۵۹]</w:t>
      </w:r>
    </w:p>
    <w:p>
      <w:pPr>
        <w:pStyle w:val="BookText"/>
      </w:pPr>
      <w:r>
        <w:rPr>
          <w:rFonts w:ascii="IRNazanin" w:hAnsi="IRNazanin" w:eastAsia="IRNazanin" w:cs="IRNazanin"/>
          <w:lang w:bidi="fa-IR"/>
          <w:color w:val="111111"/>
          <w:sz w:val="28"/>
          <w:szCs w:val="28"/>
          <w:rtl/>
        </w:rPr>
        <w:t xml:space="preserve">۱۰ . مشهد؛ رضوی؛ شماره نسخه: ۲۸۸۷۳</w:t>
      </w:r>
    </w:p>
    <w:p>
      <w:pPr>
        <w:pStyle w:val="BookText"/>
      </w:pPr>
      <w:r>
        <w:rPr>
          <w:rFonts w:ascii="IRNazanin" w:hAnsi="IRNazanin" w:eastAsia="IRNazanin" w:cs="IRNazanin"/>
          <w:lang w:bidi="fa-IR"/>
          <w:color w:val="111111"/>
          <w:sz w:val="28"/>
          <w:szCs w:val="28"/>
          <w:rtl/>
        </w:rPr>
        <w:t xml:space="preserve">آغاز: الكتاب، الصفحة ،الباب، الحديث، المعنون  المروى عنه يب ،۹، ۱۶۱ ،۵ ،۶۶۳ ،محمد عبد الله بن المغيرة؛ انجام: محمد بن سلیمان و الحمد لله رب العالمين ... نكتب محمد بن سليمان في الجزء الحادى عشر و انا الاحقر محمد المظفرى القزويني عفى  عنه.</w:t>
      </w:r>
    </w:p>
    <w:p>
      <w:pPr>
        <w:pStyle w:val="BookText"/>
      </w:pPr>
      <w:r>
        <w:rPr>
          <w:rFonts w:ascii="IRNazanin" w:hAnsi="IRNazanin" w:eastAsia="IRNazanin" w:cs="IRNazanin"/>
          <w:lang w:bidi="fa-IR"/>
          <w:color w:val="111111"/>
          <w:sz w:val="28"/>
          <w:szCs w:val="28"/>
          <w:rtl/>
        </w:rPr>
        <w:t xml:space="preserve">جلد ۱۰. معنون این نسخه از «محمد» تا «محمد بن سلیمان» است؛ خط: نسخ  تحریری، کاتب = مؤلف، تا: قرن ۱۴؛ واقف: آية الله محمد مظفری، دی ۱۳۸۱ ؛کاغذ: خط دار مشقی، جلد: مقوا رویه ،گالینگور، سرمه ای، ۱۹۸گ، مختلف السطر،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۲۳/۵سم [ف: ۲۷ - ۵۹]</w:t>
      </w:r>
    </w:p>
    <w:p>
      <w:pPr>
        <w:pStyle w:val="BookText"/>
      </w:pPr>
      <w:r>
        <w:rPr>
          <w:rFonts w:ascii="IRNazanin" w:hAnsi="IRNazanin" w:eastAsia="IRNazanin" w:cs="IRNazanin"/>
          <w:lang w:bidi="fa-IR"/>
          <w:color w:val="111111"/>
          <w:sz w:val="28"/>
          <w:szCs w:val="28"/>
          <w:rtl/>
        </w:rPr>
        <w:t xml:space="preserve">۱۱. مشهد؛ رضوی؛ شماره نسخه: ۲۸۸۷۴</w:t>
      </w:r>
    </w:p>
    <w:p>
      <w:pPr>
        <w:pStyle w:val="BookText"/>
      </w:pPr>
      <w:r>
        <w:rPr>
          <w:rFonts w:ascii="IRNazanin" w:hAnsi="IRNazanin" w:eastAsia="IRNazanin" w:cs="IRNazanin"/>
          <w:lang w:bidi="fa-IR"/>
          <w:color w:val="111111"/>
          <w:sz w:val="28"/>
          <w:szCs w:val="28"/>
          <w:rtl/>
        </w:rPr>
        <w:t xml:space="preserve">آغاز: الكتاب، الصفحة ،الباب الحديث، الراوي، المعنون، المروى عنه ۴ کا ،۷ ،۳۶۷ ،۵۶، ۱، الحسين بن يوسف و محمد بن اسلم، محمدبن سلیمان ابوالحسن الثانى الرضا عليه السلام؛ انجام: محمد بن مسلم احدها عليهم السلام.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368" w:name="pg20365_260512"/>
    <w:bookmarkEnd w:id="368"/>
    <w:p>
      <w:pPr>
        <w:pStyle w:val="BookText"/>
      </w:pPr>
      <w:r>
        <w:rPr>
          <w:rFonts w:ascii="IRNazanin" w:hAnsi="IRNazanin" w:eastAsia="IRNazanin" w:cs="IRNazanin"/>
          <w:lang w:bidi="fa-IR"/>
          <w:color w:val="111111"/>
          <w:sz w:val="28"/>
          <w:szCs w:val="28"/>
          <w:rtl/>
        </w:rPr>
        <w:t xml:space="preserve">جلد ۱۱. معنون این نسخه از «محمد بن سلیمان» تا «محمد بن مسلم» است؛ خط: نسخ  تحریری، کاتب = مؤلف، تا: قرن14؛ واقف: آية الله محمد  مظفری، دی ۱۳۸۱، جلد: مقوا رویه گالینگور، زرشکی ،روشن ۱۹۸گ اندازه: ۱۶/۵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۲۳/۵سم [ ف: 27- 60]</w:t>
      </w:r>
    </w:p>
    <w:p>
      <w:pPr>
        <w:pStyle w:val="BookText"/>
      </w:pPr>
      <w:r>
        <w:rPr>
          <w:rFonts w:ascii="IRNazanin" w:hAnsi="IRNazanin" w:eastAsia="IRNazanin" w:cs="IRNazanin"/>
          <w:lang w:bidi="fa-IR"/>
          <w:color w:val="111111"/>
          <w:sz w:val="28"/>
          <w:szCs w:val="28"/>
          <w:rtl/>
        </w:rPr>
        <w:t xml:space="preserve">۱۲. مشهد؛ رضوی؛ شماره نسخه: ۲۸۸۷۵</w:t>
      </w:r>
    </w:p>
    <w:p>
      <w:pPr>
        <w:pStyle w:val="BookText"/>
      </w:pPr>
      <w:r>
        <w:rPr>
          <w:rFonts w:ascii="IRNazanin" w:hAnsi="IRNazanin" w:eastAsia="IRNazanin" w:cs="IRNazanin"/>
          <w:lang w:bidi="fa-IR"/>
          <w:color w:val="111111"/>
          <w:sz w:val="28"/>
          <w:szCs w:val="28"/>
          <w:rtl/>
        </w:rPr>
        <w:t xml:space="preserve">آغاز: الكتاب، الصفحة، الباب الحديث الراوى، المعنون، المروی. عنه يه ۳، ۲۲۸، ۹۸، ۱۰۷۷. محمد بن مسلم احدهما عليها السلام؛ انجام: و ياتى الباقى فى الجزء الثالث عشر ان شاء الله تعـالی و انا الاحقر محمد بن ابراهيم ... عفى عنه.</w:t>
      </w:r>
    </w:p>
    <w:p>
      <w:pPr>
        <w:pStyle w:val="BookText"/>
      </w:pPr>
      <w:r>
        <w:rPr>
          <w:rFonts w:ascii="IRNazanin" w:hAnsi="IRNazanin" w:eastAsia="IRNazanin" w:cs="IRNazanin"/>
          <w:lang w:bidi="fa-IR"/>
          <w:color w:val="111111"/>
          <w:sz w:val="28"/>
          <w:szCs w:val="28"/>
          <w:rtl/>
        </w:rPr>
        <w:t xml:space="preserve">جلد ۱۲. معنون این نسخه از «محمد بن مسلم» تا «محمد بن سهـل» است؛ خط: نسخ ،تحریری،کاتب = مؤلف، تا: قرن ۱۴؛ واقف: الله محمد  مظفری، دی ۱۳۸۱؛ جلد: مقوا رویه ،گالینگور ،زرشکی ،روشن، ۱۹۸گ، اندازه: ۱۷/۲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۲۳/۵سم [ف: ۲۷ - ۶۰]</w:t>
      </w:r>
    </w:p>
    <w:p>
      <w:pPr>
        <w:pStyle w:val="BookText"/>
      </w:pPr>
      <w:r>
        <w:rPr>
          <w:rFonts w:ascii="IRNazanin" w:hAnsi="IRNazanin" w:eastAsia="IRNazanin" w:cs="IRNazanin"/>
          <w:lang w:bidi="fa-IR"/>
          <w:color w:val="111111"/>
          <w:sz w:val="28"/>
          <w:szCs w:val="28"/>
          <w:rtl/>
        </w:rPr>
        <w:t xml:space="preserve">۱۳. مشهد؛ رضوی؛ شماره نسخه: ۲۸۸۷۵</w:t>
      </w:r>
    </w:p>
    <w:p>
      <w:pPr>
        <w:pStyle w:val="BookText"/>
      </w:pPr>
      <w:r>
        <w:rPr>
          <w:rFonts w:ascii="IRNazanin" w:hAnsi="IRNazanin" w:eastAsia="IRNazanin" w:cs="IRNazanin"/>
          <w:lang w:bidi="fa-IR"/>
          <w:color w:val="111111"/>
          <w:sz w:val="28"/>
          <w:szCs w:val="28"/>
          <w:rtl/>
        </w:rPr>
        <w:t xml:space="preserve">آغاز: الكتاب، الصفحة ،الباب، الحديث الراوى، المعنون، المروی عنه صا ،۲، ۲۵۹، ۱۷۵ ،۹۱۵ ،موسى بن القاسم، محمد بن سهل؛</w:t>
      </w:r>
    </w:p>
    <w:p>
      <w:pPr>
        <w:pStyle w:val="BookText"/>
      </w:pPr>
      <w:r>
        <w:rPr>
          <w:rFonts w:ascii="IRNazanin" w:hAnsi="IRNazanin" w:eastAsia="IRNazanin" w:cs="IRNazanin"/>
          <w:lang w:bidi="fa-IR"/>
          <w:color w:val="111111"/>
          <w:sz w:val="28"/>
          <w:szCs w:val="28"/>
          <w:rtl/>
        </w:rPr>
        <w:t xml:space="preserve">انجام: تقدم فى ص ۲۸۸ من ج ۲. و الحمد لله رب العالمين وصلی الله على سيدنا محمد و آله الطاهرین محمد المظفرى نكتب التـتمة فى الجز الرابعة عشر ان شاء الله تعالى.</w:t>
      </w:r>
    </w:p>
    <w:p>
      <w:pPr>
        <w:pStyle w:val="BookText"/>
      </w:pPr>
      <w:r>
        <w:rPr>
          <w:rFonts w:ascii="IRNazanin" w:hAnsi="IRNazanin" w:eastAsia="IRNazanin" w:cs="IRNazanin"/>
          <w:lang w:bidi="fa-IR"/>
          <w:color w:val="111111"/>
          <w:sz w:val="28"/>
          <w:szCs w:val="28"/>
          <w:rtl/>
        </w:rPr>
        <w:t xml:space="preserve">جلد ۱۳. معنون این نسخه از «موسی بن القاسم» تا «ابوبصير» اسـت؛خط: نسخ ،تحریری کاتب = مؤلف ،تا: قرن۱۴؛ واقف: آية الله محمد مظفری، دی ۱۳۸۱؛ جلد: مقوا، رویه ،گالینگور زرشکی   روشن ، ۱۹۶گ،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۲۳/۵سم [ف: ۲۷ - ۶۰]</w:t>
      </w:r>
    </w:p>
    <w:p>
      <w:pPr>
        <w:pStyle w:val="BookText"/>
      </w:pPr>
      <w:r>
        <w:rPr>
          <w:rFonts w:ascii="IRNazanin" w:hAnsi="IRNazanin" w:eastAsia="IRNazanin" w:cs="IRNazanin"/>
          <w:lang w:bidi="fa-IR"/>
          <w:color w:val="111111"/>
          <w:sz w:val="28"/>
          <w:szCs w:val="28"/>
          <w:rtl/>
        </w:rPr>
        <w:t xml:space="preserve">۱۴. مشهد؛ رضوی؛ شماره نسخه: ۲۸۸۷۷</w:t>
      </w:r>
    </w:p>
    <w:p>
      <w:pPr>
        <w:pStyle w:val="BookText"/>
      </w:pPr>
      <w:r>
        <w:rPr>
          <w:rFonts w:ascii="IRNazanin" w:hAnsi="IRNazanin" w:eastAsia="IRNazanin" w:cs="IRNazanin"/>
          <w:lang w:bidi="fa-IR"/>
          <w:color w:val="111111"/>
          <w:sz w:val="28"/>
          <w:szCs w:val="28"/>
          <w:rtl/>
        </w:rPr>
        <w:t xml:space="preserve">آغاز: الكتاب، الصفحة، الباب الحديث، الراوى، المعنون، المروی عنه الروضة ،۳۰۸ ،۴۸۱، زرعة بن محمد، ابوبصیر، ابو عبد الله علیه السلام؛ انجام: (۳) تقدم برقم (۲۲۶ (۴) فيه حماد بن عثمان.</w:t>
      </w:r>
    </w:p>
    <w:p>
      <w:pPr>
        <w:pStyle w:val="BookText"/>
      </w:pPr>
      <w:r>
        <w:rPr>
          <w:rFonts w:ascii="IRNazanin" w:hAnsi="IRNazanin" w:eastAsia="IRNazanin" w:cs="IRNazanin"/>
          <w:lang w:bidi="fa-IR"/>
          <w:color w:val="111111"/>
          <w:sz w:val="28"/>
          <w:szCs w:val="28"/>
          <w:rtl/>
        </w:rPr>
        <w:t xml:space="preserve">جلد ۱۴. معنون این نسخه از «ابوبصیر» تا «ابن ابی عمیر»؛خـط: نسخ،كاتب = مؤلف، تا: قرن ۱۴؛ واقف: آية الله محمد مظفری، دی ۱۳۸۱؛ جلد: مقوا، رویه گالینگور، زرشکی ،روشن، اندازه: ۱۷/۲۲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۲۳/۵سم [ف: ۲۷ - ۶۱]</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مشهد؛ رضوی؛ شماره نسخه: ۲۸۸۷۶</w:t>
      </w:r>
    </w:p>
    <w:p>
      <w:pPr>
        <w:pStyle w:val="BookText"/>
      </w:pPr>
      <w:r>
        <w:rPr>
          <w:rFonts w:ascii="IRNazanin" w:hAnsi="IRNazanin" w:eastAsia="IRNazanin" w:cs="IRNazanin"/>
          <w:lang w:bidi="fa-IR"/>
          <w:color w:val="111111"/>
          <w:sz w:val="28"/>
          <w:szCs w:val="28"/>
          <w:rtl/>
        </w:rPr>
        <w:t xml:space="preserve">آغاز: الكتاب (صا (۲) الصحفة (۲۵۹) الباب (۱۷۵) الحدیث (195) الراوى المعنون موسى بن القاسم المروى عنه (محمد بن سرمـد)؛ انجام: و الحمد لله رب العالمين وصلى الله على سيدنا محمد واله الطاهرين محمد المظفرى ... الجزء الرابع عشر انشاء الله تعالى.</w:t>
      </w:r>
    </w:p>
    <w:p>
      <w:pPr>
        <w:pStyle w:val="BookText"/>
      </w:pPr>
      <w:r>
        <w:rPr>
          <w:rFonts w:ascii="IRNazanin" w:hAnsi="IRNazanin" w:eastAsia="IRNazanin" w:cs="IRNazanin"/>
          <w:lang w:bidi="fa-IR"/>
          <w:color w:val="111111"/>
          <w:sz w:val="28"/>
          <w:szCs w:val="28"/>
          <w:rtl/>
        </w:rPr>
        <w:t xml:space="preserve">جلد ۱۴. خط: مختلف كاتب = مؤلف، تا: قرن ۱۴ [رایانه]</w:t>
      </w:r>
    </w:p>
    <w:p>
      <w:pPr>
        <w:pStyle w:val="BookText"/>
      </w:pPr>
      <w:r>
        <w:rPr>
          <w:rFonts w:ascii="IRNazanin" w:hAnsi="IRNazanin" w:eastAsia="IRNazanin" w:cs="IRNazanin"/>
          <w:lang w:bidi="fa-IR"/>
          <w:color w:val="111111"/>
          <w:sz w:val="28"/>
          <w:szCs w:val="28"/>
          <w:rtl/>
        </w:rPr>
        <w:t xml:space="preserve">۱۶. مشهد؛ رضوی؛ شماره نسخه: ۲۸۸۷۸</w:t>
      </w:r>
    </w:p>
    <w:p>
      <w:pPr>
        <w:pStyle w:val="BookText"/>
      </w:pPr>
      <w:r>
        <w:rPr>
          <w:rFonts w:ascii="IRNazanin" w:hAnsi="IRNazanin" w:eastAsia="IRNazanin" w:cs="IRNazanin"/>
          <w:lang w:bidi="fa-IR"/>
          <w:color w:val="111111"/>
          <w:sz w:val="28"/>
          <w:szCs w:val="28"/>
          <w:rtl/>
        </w:rPr>
        <w:t xml:space="preserve">آغاز: الكتاب، الصفحة ،الباب الحديث، الراوى، المعنون، المروی، عنه يب ۱، ۴۴، ۲۳، ۱۴۲۳، عبدالله بن الصلت، ابن ابى عمـیر، حماد؛ انجام: ابن الحجاج الكرخى ابن زرارة ابان بن تغلب.</w:t>
      </w:r>
    </w:p>
    <w:p>
      <w:pPr>
        <w:pStyle w:val="BookText"/>
      </w:pPr>
      <w:r>
        <w:rPr>
          <w:rFonts w:ascii="IRNazanin" w:hAnsi="IRNazanin" w:eastAsia="IRNazanin" w:cs="IRNazanin"/>
          <w:lang w:bidi="fa-IR"/>
          <w:color w:val="111111"/>
          <w:sz w:val="28"/>
          <w:szCs w:val="28"/>
          <w:rtl/>
        </w:rPr>
        <w:t xml:space="preserve">جلد ۱۵. معنون این نسخه از «ابن ابی عمیر» تا «ابن مسکان» اسـت؛</w:t>
      </w:r>
    </w:p>
    <w:p>
      <w:pPr>
        <w:pStyle w:val="BookText"/>
      </w:pPr>
      <w:r>
        <w:rPr>
          <w:rFonts w:ascii="IRNazanin" w:hAnsi="IRNazanin" w:eastAsia="IRNazanin" w:cs="IRNazanin"/>
          <w:lang w:bidi="fa-IR"/>
          <w:color w:val="111111"/>
          <w:sz w:val="28"/>
          <w:szCs w:val="28"/>
          <w:rtl/>
        </w:rPr>
        <w:t xml:space="preserve">خط: نسخ ،تحریری کاتب = مؤلف، تا: ۱۳۹۳ق؛ واقف: آية الله مظفری ،قزوینی دی ۱۳۸۱، جلد: مقوا، رویه گالینگور نیلی، ۱۹۶گ، اندازه: ۱۶/۵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۲۳/۷سم [ف: ۲۷ - ۶۱]</w:t>
      </w:r>
    </w:p>
    <w:p>
      <w:pPr>
        <w:pStyle w:val="BookText"/>
      </w:pPr>
      <w:r>
        <w:rPr>
          <w:rFonts w:ascii="IRNazanin" w:hAnsi="IRNazanin" w:eastAsia="IRNazanin" w:cs="IRNazanin"/>
          <w:lang w:bidi="fa-IR"/>
          <w:color w:val="111111"/>
          <w:sz w:val="28"/>
          <w:szCs w:val="28"/>
          <w:rtl/>
        </w:rPr>
        <w:t xml:space="preserve">۱۷. مشهد؛ رضوی؛ شماره نسخه: ۲۸۸۷۹</w:t>
      </w:r>
    </w:p>
    <w:p>
      <w:pPr>
        <w:pStyle w:val="BookText"/>
      </w:pPr>
      <w:r>
        <w:rPr>
          <w:rFonts w:ascii="IRNazanin" w:hAnsi="IRNazanin" w:eastAsia="IRNazanin" w:cs="IRNazanin"/>
          <w:lang w:bidi="fa-IR"/>
          <w:color w:val="111111"/>
          <w:sz w:val="28"/>
          <w:szCs w:val="28"/>
          <w:rtl/>
        </w:rPr>
        <w:t xml:space="preserve">آغاز: الكتاب الصفحة، الباب الحديث، الراوي، المعنون، المروى عنه يب ،۵، ۳۹۳، ۲۶، ۱۳۷۱، محمد بن سنان، ابن مسکان، ابراهیم بن ابی اسحاق؛ انجام: و انا الأحر المسكين محمد بن ملا ابراهیم القزويني على الله عنهما في ۱۵ ربیع الثانی ۱۳۹۴</w:t>
      </w:r>
    </w:p>
    <w:p>
      <w:pPr>
        <w:pStyle w:val="BookText"/>
      </w:pPr>
      <w:r>
        <w:rPr>
          <w:rFonts w:ascii="IRNazanin" w:hAnsi="IRNazanin" w:eastAsia="IRNazanin" w:cs="IRNazanin"/>
          <w:lang w:bidi="fa-IR"/>
          <w:color w:val="111111"/>
          <w:sz w:val="28"/>
          <w:szCs w:val="28"/>
          <w:rtl/>
        </w:rPr>
        <w:t xml:space="preserve">جلد ۱۶. معنون این نسخه از «ابن مسکان» تا «منه اخت محمد بن ابی عمیر» است؛ خط: نسخ ،تحریری کاتب = مؤلف، تا: ۱۵ربیع الثانى، ۱۳۹۴ق؛ واقف: آیة الله محمد  مظفری، دی ۱۳۸۱؛ جلد ،مقوا ،رویه گالینگور، زرشکی ،روشن، ۱۰۶گ، اندازه:  ۱۶/۲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۲۳/۶سم [ف: ۲۷ - ۶۲]</w:t>
      </w:r>
    </w:p>
    <w:p>
      <w:pPr>
        <w:pStyle w:val="Heading3"/>
      </w:pPr>
      <w:bookmarkStart w:id="1791" w:name="_Toc1313"/>
      <w:r>
        <w:t>اسناد گرگان / اسناد / فارسی</w:t>
      </w:r>
      <w:bookmarkEnd w:id="1791"/>
    </w:p>
    <w:p>
      <w:pPr>
        <w:pStyle w:val="BookText"/>
      </w:pPr>
      <w:r>
        <w:rPr>
          <w:rFonts w:ascii="Times New Roman" w:hAnsi="Times New Roman" w:eastAsia="Times New Roman" w:cs="Times New Roman"/>
          <w:lang w:val="en-US" w:bidi="en-US"/>
          <w:color w:val="111111"/>
          <w:sz w:val="28"/>
          <w:szCs w:val="28"/>
          <w:rtl/>
        </w:rPr>
        <w:t xml:space="preserve">asnad-e gorgān</w:t>
      </w:r>
    </w:p>
    <w:p>
      <w:pPr>
        <w:pStyle w:val="BookText"/>
      </w:pPr>
      <w:r>
        <w:rPr>
          <w:rFonts w:ascii="IRNazanin" w:hAnsi="IRNazanin" w:eastAsia="IRNazanin" w:cs="IRNazanin"/>
          <w:lang w:bidi="fa-IR"/>
          <w:color w:val="111111"/>
          <w:sz w:val="28"/>
          <w:szCs w:val="28"/>
          <w:rtl/>
        </w:rPr>
        <w:t xml:space="preserve">تهران؛ دانشگاه؛ شماره نسخه: ۴۸۱۱-ف</w:t>
      </w:r>
    </w:p>
    <w:p>
      <w:pPr>
        <w:pStyle w:val="BookText"/>
      </w:pPr>
      <w:r>
        <w:rPr>
          <w:rFonts w:ascii="IRNazanin" w:hAnsi="IRNazanin" w:eastAsia="IRNazanin" w:cs="IRNazanin"/>
          <w:lang w:bidi="fa-IR"/>
          <w:color w:val="111111"/>
          <w:sz w:val="28"/>
          <w:szCs w:val="28"/>
          <w:rtl/>
        </w:rPr>
        <w:t xml:space="preserve">نسخه اصل: نسخه آقای مسیح ذبیحی ۳۳ قطعه. که در میان آنها هفت فرمان میرزا علی اکبر خان نقاشی باشی مزین الدوله است؛ کاتب = مؤلف، بی تا [فیلم ها-ف: ۳ - ۱۰۹]</w:t>
      </w:r>
    </w:p>
    <w:p>
      <w:pPr>
        <w:pStyle w:val="BookText"/>
      </w:pPr>
      <w:r>
        <w:rPr>
          <w:rFonts w:ascii="IRNazanin" w:hAnsi="IRNazanin" w:eastAsia="IRNazanin" w:cs="IRNazanin"/>
          <w:lang w:bidi="fa-IR"/>
          <w:color w:val="111111"/>
          <w:sz w:val="28"/>
          <w:szCs w:val="28"/>
          <w:rtl/>
        </w:rPr>
        <w:t xml:space="preserve">تهران؛ دانشگاه؛ شماره نسخه: ۴۲۲۵-ف</w:t>
      </w:r>
    </w:p>
    <w:p>
      <w:pPr>
        <w:pStyle w:val="BookText"/>
      </w:pPr>
      <w:r>
        <w:rPr>
          <w:rFonts w:ascii="IRNazanin" w:hAnsi="IRNazanin" w:eastAsia="IRNazanin" w:cs="IRNazanin"/>
          <w:lang w:bidi="fa-IR"/>
          <w:color w:val="111111"/>
          <w:sz w:val="28"/>
          <w:szCs w:val="28"/>
          <w:rtl/>
        </w:rPr>
        <w:t xml:space="preserve">نسخه اصل: نسخه آقای مسیح ذبیحی؛ بی کا، بی تا [فیلم ها-ف: ۳ -  33]</w:t>
      </w:r>
    </w:p>
    <w:p>
      <w:pPr>
        <w:pStyle w:val="BookText"/>
      </w:pPr>
      <w:r>
        <w:rPr>
          <w:rFonts w:ascii="IRNazanin" w:hAnsi="IRNazanin" w:eastAsia="IRNazanin" w:cs="IRNazanin"/>
          <w:lang w:bidi="fa-IR"/>
          <w:color w:val="111111"/>
          <w:sz w:val="28"/>
          <w:szCs w:val="28"/>
          <w:rtl/>
        </w:rPr>
        <w:t xml:space="preserve">تهران؛ دانشگاه؛ شماره نسخه: ۴۹۹۶-ف</w:t>
      </w:r>
    </w:p>
    <w:p>
      <w:pPr>
        <w:pStyle w:val="BookText"/>
      </w:pPr>
      <w:r>
        <w:rPr>
          <w:rFonts w:ascii="IRNazanin" w:hAnsi="IRNazanin" w:eastAsia="IRNazanin" w:cs="IRNazanin"/>
          <w:lang w:bidi="fa-IR"/>
          <w:color w:val="111111"/>
          <w:sz w:val="28"/>
          <w:szCs w:val="28"/>
          <w:rtl/>
        </w:rPr>
        <w:t xml:space="preserve">نسخه اصل: نسخه آقای مسیح ذبیحی؛ بی کا، بی تا [فیلم ها -ف ۳ -121]</w:t>
      </w:r>
    </w:p>
    <w:p>
      <w:pPr>
        <w:pStyle w:val="BookText"/>
      </w:pPr>
      <w:r>
        <w:rPr>
          <w:rFonts w:ascii="IRNazanin" w:hAnsi="IRNazanin" w:eastAsia="IRNazanin" w:cs="IRNazanin"/>
          <w:lang w:bidi="fa-IR"/>
          <w:color w:val="111111"/>
          <w:sz w:val="28"/>
          <w:szCs w:val="28"/>
          <w:rtl/>
        </w:rPr>
        <w:t xml:space="preserve">تهران؛ دانشگاه؛ شماره نسخه: ۳۳۱۹-ف</w:t>
      </w:r>
    </w:p>
    <w:p>
      <w:pPr>
        <w:pStyle w:val="BookText"/>
      </w:pPr>
      <w:r>
        <w:rPr>
          <w:rFonts w:ascii="IRNazanin" w:hAnsi="IRNazanin" w:eastAsia="IRNazanin" w:cs="IRNazanin"/>
          <w:lang w:bidi="fa-IR"/>
          <w:color w:val="111111"/>
          <w:sz w:val="28"/>
          <w:szCs w:val="28"/>
          <w:rtl/>
        </w:rPr>
        <w:t xml:space="preserve">نسخه اصل: نسخه آقای مسیح ذبیحی؛ بی کا، بی تا [فیلم ها-ف: ۲ -121]</w:t>
      </w:r>
    </w:p>
    <w:p>
      <w:pPr>
        <w:pStyle w:val="Heading3"/>
      </w:pPr>
      <w:bookmarkStart w:id="1792" w:name="_Toc1314"/>
      <w:r>
        <w:t>اسناد مأموریت فرخ خان امین الدوله / اسناد / فارسی</w:t>
      </w:r>
      <w:bookmarkEnd w:id="1792"/>
    </w:p>
    <w:p>
      <w:pPr>
        <w:pStyle w:val="BookText"/>
      </w:pPr>
      <w:r>
        <w:rPr>
          <w:rFonts w:ascii="Times New Roman" w:hAnsi="Times New Roman" w:eastAsia="Times New Roman" w:cs="Times New Roman"/>
          <w:lang w:val="en-US" w:bidi="en-US"/>
          <w:color w:val="111111"/>
          <w:sz w:val="28"/>
          <w:szCs w:val="28"/>
          <w:rtl/>
        </w:rPr>
        <w:t xml:space="preserve">asnād-e ma'mūrīyat-e farrox xan-e amīn-od-dowle</w:t>
      </w:r>
    </w:p>
    <w:p>
      <w:pPr>
        <w:pStyle w:val="BookText"/>
      </w:pPr>
      <w:r>
        <w:rPr>
          <w:rFonts w:ascii="IRNazanin" w:hAnsi="IRNazanin" w:eastAsia="IRNazanin" w:cs="IRNazanin"/>
          <w:lang w:bidi="fa-IR"/>
          <w:color w:val="111111"/>
          <w:sz w:val="28"/>
          <w:szCs w:val="28"/>
          <w:rtl/>
        </w:rPr>
        <w:t xml:space="preserve">تهران؛ دانشگاه؛ شماره نسخه: ۳۰۵۰/۱-ف</w:t>
      </w:r>
    </w:p>
    <w:p>
      <w:pPr>
        <w:pStyle w:val="BookText"/>
      </w:pPr>
      <w:r>
        <w:rPr>
          <w:rFonts w:ascii="IRNazanin" w:hAnsi="IRNazanin" w:eastAsia="IRNazanin" w:cs="IRNazanin"/>
          <w:lang w:bidi="fa-IR"/>
          <w:color w:val="111111"/>
          <w:sz w:val="28"/>
          <w:szCs w:val="28"/>
          <w:rtl/>
        </w:rPr>
        <w:t xml:space="preserve">فهرست مطالب در ص ع ش ۲ از ۲ تا ۹ (رویهم ۱۶ گ). به اروپا درباره هرات با تاریخ ۱۲۷۲؛ بی کا بی تا [فیلم ها-ف: ۲ - ۴۴]</w:t>
      </w:r>
    </w:p>
    <w:p>
      <w:pPr>
        <w:pStyle w:val="Heading3"/>
      </w:pPr>
      <w:bookmarkStart w:id="1793" w:name="_Toc1315"/>
      <w:r>
        <w:t>اسناد محضری / اسناد / فارسی</w:t>
      </w:r>
      <w:bookmarkEnd w:id="1793"/>
    </w:p>
    <w:p>
      <w:pPr>
        <w:pStyle w:val="BookText"/>
      </w:pPr>
      <w:r>
        <w:rPr>
          <w:rFonts w:ascii="Times New Roman" w:hAnsi="Times New Roman" w:eastAsia="Times New Roman" w:cs="Times New Roman"/>
          <w:lang w:val="en-US" w:bidi="en-US"/>
          <w:color w:val="111111"/>
          <w:sz w:val="28"/>
          <w:szCs w:val="28"/>
          <w:rtl/>
        </w:rPr>
        <w:t xml:space="preserve">asnād-e mahzarī</w:t>
      </w:r>
    </w:p>
    <w:p>
      <w:pPr>
        <w:pStyle w:val="BookText"/>
      </w:pPr>
      <w:r>
        <w:rPr>
          <w:rFonts w:ascii="IRNazanin" w:hAnsi="IRNazanin" w:eastAsia="IRNazanin" w:cs="IRNazanin"/>
          <w:lang w:bidi="fa-IR"/>
          <w:color w:val="111111"/>
          <w:sz w:val="28"/>
          <w:szCs w:val="28"/>
          <w:rtl/>
        </w:rPr>
        <w:t xml:space="preserve">قم؛ مرعشی؛ شماره نسخه: ۹۴۴۳</w:t>
      </w:r>
    </w:p>
    <w:p>
      <w:pPr>
        <w:pStyle w:val="BookText"/>
      </w:pPr>
      <w:r>
        <w:rPr>
          <w:rFonts w:ascii="Times New Roman" w:hAnsi="Times New Roman" w:eastAsia="Times New Roman" w:cs="Times New Roman"/>
          <w:lang w:val="en-US" w:bidi="en-US"/>
          <w:color w:val="111111"/>
          <w:sz w:val="28"/>
          <w:szCs w:val="28"/>
          <w:rtl/>
        </w:rPr>
        <w:t xml:space="preserve">asnād-e mahzarī</w:t>
      </w:r>
    </w:p>
    <w:p>
      <w:pPr>
        <w:pStyle w:val="BookText"/>
      </w:pPr>
      <w:r>
        <w:rPr>
          <w:rFonts w:ascii="IRNazanin" w:hAnsi="IRNazanin" w:eastAsia="IRNazanin" w:cs="IRNazanin"/>
          <w:lang w:bidi="fa-IR"/>
          <w:color w:val="111111"/>
          <w:sz w:val="28"/>
          <w:szCs w:val="28"/>
          <w:rtl/>
        </w:rPr>
        <w:t xml:space="preserve">صورت قبالجاتی است که در یکی محضرهای شرعی عقد شده و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369" w:name="pg20365_260513"/>
    <w:bookmarkEnd w:id="369"/>
    <w:p>
      <w:pPr>
        <w:pStyle w:val="BookText"/>
      </w:pPr>
      <w:r>
        <w:rPr>
          <w:rFonts w:ascii="IRNazanin" w:hAnsi="IRNazanin" w:eastAsia="IRNazanin" w:cs="IRNazanin"/>
          <w:lang w:bidi="fa-IR"/>
          <w:color w:val="111111"/>
          <w:sz w:val="28"/>
          <w:szCs w:val="28"/>
          <w:rtl/>
        </w:rPr>
        <w:t xml:space="preserve">در تاریخ های ۱۲۶۵-۱۲۷۵ ثبت شده و در پاره ای از آنها خطوط شهود و مهرهای آنها نیز آمده است؛ خط: نستعلیق، بی کا، بی تا؛جلد: تیماج قهوه ای، ۲۶گ، مختلف السطر ، قطع: بياضی،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۲۴سم [ف: ۲۴ - ۲۰۵]</w:t>
      </w:r>
    </w:p>
    <w:p>
      <w:pPr>
        <w:pStyle w:val="Heading3"/>
      </w:pPr>
      <w:bookmarkStart w:id="1794" w:name="_Toc1316"/>
      <w:r>
        <w:t>اسناد مشيخة التهذيب و الفقيه / رجال / عربی</w:t>
      </w:r>
      <w:bookmarkEnd w:id="1794"/>
    </w:p>
    <w:p>
      <w:pPr>
        <w:pStyle w:val="BookText"/>
      </w:pPr>
      <w:r>
        <w:rPr>
          <w:rFonts w:ascii="Times New Roman" w:hAnsi="Times New Roman" w:eastAsia="Times New Roman" w:cs="Times New Roman"/>
          <w:lang w:val="en-US" w:bidi="en-US"/>
          <w:color w:val="111111"/>
          <w:sz w:val="28"/>
          <w:szCs w:val="28"/>
          <w:rtl/>
        </w:rPr>
        <w:t xml:space="preserve">asnād-u mašīxat-it-tahḏīb wa-l-faqīh</w:t>
      </w:r>
    </w:p>
    <w:p>
      <w:pPr>
        <w:pStyle w:val="BookText"/>
      </w:pPr>
      <w:r>
        <w:rPr>
          <w:rFonts w:ascii="IRNazanin" w:hAnsi="IRNazanin" w:eastAsia="IRNazanin" w:cs="IRNazanin"/>
          <w:lang w:bidi="fa-IR"/>
          <w:color w:val="111111"/>
          <w:sz w:val="28"/>
          <w:szCs w:val="28"/>
          <w:rtl/>
        </w:rPr>
        <w:t xml:space="preserve">مظفری، محمد بن ابراهیم - ۱۳۸۰ قمری</w:t>
      </w:r>
    </w:p>
    <w:p>
      <w:pPr>
        <w:pStyle w:val="BookText"/>
      </w:pPr>
      <w:r>
        <w:rPr>
          <w:rFonts w:ascii="IRNazanin" w:hAnsi="IRNazanin" w:eastAsia="IRNazanin" w:cs="IRNazanin"/>
          <w:lang w:bidi="fa-IR"/>
          <w:color w:val="111111"/>
          <w:sz w:val="28"/>
          <w:szCs w:val="28"/>
          <w:rtl/>
        </w:rPr>
        <w:t xml:space="preserve">به دستور استادش حضرت آية الله العظمی سید ابوالقاسم خویی اسناد مشیخه کتاب تهذیب و فقیه و شیوه استخراج آنها را از این دو کتاب در پنج و هفت جدول آورده است: جدول اسـناد مشیخه تهذيب: الصفحه ،موضع الذكر، الراوى عنه، المعنون المروى عنه ؛ جدول اسناد مشيخه فقیه : المجلد، الصفحة، الباب الحديث، الراوى، المعنون، المروى عنه.</w:t>
      </w:r>
    </w:p>
    <w:p>
      <w:pPr>
        <w:pStyle w:val="BookText"/>
      </w:pPr>
      <w:r>
        <w:rPr>
          <w:rFonts w:ascii="IRNazanin" w:hAnsi="IRNazanin" w:eastAsia="IRNazanin" w:cs="IRNazanin"/>
          <w:lang w:bidi="fa-IR"/>
          <w:color w:val="111111"/>
          <w:sz w:val="28"/>
          <w:szCs w:val="28"/>
          <w:rtl/>
        </w:rPr>
        <w:t xml:space="preserve">مشهد؛ رضوی؛ شماره نسخه: ۲۸۸۶۳</w:t>
      </w:r>
    </w:p>
    <w:p>
      <w:pPr>
        <w:pStyle w:val="BookText"/>
      </w:pPr>
      <w:r>
        <w:rPr>
          <w:rFonts w:ascii="Amiri" w:hAnsi="Amiri" w:eastAsia="Amiri" w:cs="Amiri"/>
          <w:lang w:bidi="ar-SA"/>
          <w:color w:val="111111"/>
          <w:sz w:val="28"/>
          <w:szCs w:val="28"/>
          <w:rtl/>
        </w:rPr>
        <w:t xml:space="preserve">آغاز: (اسناد تهذيب :)الصفحة، موضع الذكر، الراوى ،المعنون، المروى عنه ابوالقاسم</w:t>
      </w:r>
    </w:p>
    <w:p>
      <w:pPr>
        <w:pStyle w:val="BookText"/>
      </w:pPr>
      <w:r>
        <w:rPr>
          <w:rFonts w:ascii="IRNazanin" w:hAnsi="IRNazanin" w:eastAsia="IRNazanin" w:cs="IRNazanin"/>
          <w:lang w:bidi="fa-IR"/>
          <w:color w:val="111111"/>
          <w:sz w:val="28"/>
          <w:szCs w:val="28"/>
          <w:rtl/>
        </w:rPr>
        <w:t xml:space="preserve">(اسناد الفقيه:) المجلد، الصفحة، الباب، الحديث، الراوى، المعنون،  المروى عنه؛ انجام: (اسناد تذهیب): و قد تم اسناد مشیخة التهذيب و قد كتب ذلك بامر سيدنا الاستاذ السيد الخوئى مدظله العالى ۸ شهر صيام ۱۳۸۶ من الهجرة النبوية على هاجرها آلاف السلام و التحية و انا الاحقر محمد المظفرى القزويني عفى عنه.</w:t>
      </w:r>
    </w:p>
    <w:p>
      <w:pPr>
        <w:pStyle w:val="BookText"/>
      </w:pPr>
      <w:r>
        <w:rPr>
          <w:rFonts w:ascii="Amiri" w:hAnsi="Amiri" w:eastAsia="Amiri" w:cs="Amiri"/>
          <w:lang w:bidi="ar-SA"/>
          <w:color w:val="111111"/>
          <w:sz w:val="28"/>
          <w:szCs w:val="28"/>
          <w:rtl/>
        </w:rPr>
        <w:t xml:space="preserve">( اسناد الفقيه:) و قد تم اسناد من لا يحضره الفقيه و كتبته بامر استاذنا الاعظم آية الله السيد ابو القاسم... هذه نسخة ثالثة نسـخة و عنده مد ظله و نسخة نسخت منها و هذه ثالث النسخ و انا الا محمد المظفرى و التحية.</w:t>
      </w:r>
    </w:p>
    <w:p>
      <w:pPr>
        <w:pStyle w:val="BookText"/>
      </w:pPr>
      <w:r>
        <w:rPr>
          <w:rFonts w:ascii="IRNazanin" w:hAnsi="IRNazanin" w:eastAsia="IRNazanin" w:cs="IRNazanin"/>
          <w:lang w:bidi="fa-IR"/>
          <w:color w:val="111111"/>
          <w:sz w:val="28"/>
          <w:szCs w:val="28"/>
          <w:rtl/>
        </w:rPr>
        <w:t xml:space="preserve">خط: نسخ  تحریری، کاتب = مؤلف، بی تا ؛واقف: آیة الله محـمد مظفری ،قزوینی، دی ۱۳۸۱؛ جلد: میشن زرشکی  روشن، ۲۵۰ گ، ۱۸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۲۷ - ۶۲]</w:t>
      </w:r>
    </w:p>
    <w:p>
      <w:pPr>
        <w:pStyle w:val="BookText"/>
      </w:pPr>
      <w:r>
        <w:rPr>
          <w:rFonts w:ascii="Amiri" w:hAnsi="Amiri" w:eastAsia="Amiri" w:cs="Amiri"/>
          <w:lang w:bidi="ar-SA"/>
          <w:color w:val="111111"/>
          <w:sz w:val="28"/>
          <w:szCs w:val="28"/>
          <w:rtl/>
        </w:rPr>
        <w:t xml:space="preserve">« الاسناد المصفى الى آل المصطفى » المشيخة</w:t>
      </w:r>
    </w:p>
    <w:p>
      <w:pPr>
        <w:pStyle w:val="Heading3"/>
      </w:pPr>
      <w:bookmarkStart w:id="1795" w:name="_Toc1317"/>
      <w:r>
        <w:t>اسناد معاون الدوله / اسناد / فارسی</w:t>
      </w:r>
      <w:bookmarkEnd w:id="1795"/>
    </w:p>
    <w:p>
      <w:pPr>
        <w:pStyle w:val="BookText"/>
      </w:pPr>
      <w:r>
        <w:rPr>
          <w:rFonts w:ascii="Times New Roman" w:hAnsi="Times New Roman" w:eastAsia="Times New Roman" w:cs="Times New Roman"/>
          <w:lang w:val="en-US" w:bidi="en-US"/>
          <w:color w:val="111111"/>
          <w:sz w:val="28"/>
          <w:szCs w:val="28"/>
          <w:rtl/>
        </w:rPr>
        <w:t xml:space="preserve">asnād-e mo‘āven-od-dowle</w:t>
      </w:r>
    </w:p>
    <w:p>
      <w:pPr>
        <w:pStyle w:val="BookText"/>
      </w:pPr>
      <w:r>
        <w:rPr>
          <w:rFonts w:ascii="IRNazanin" w:hAnsi="IRNazanin" w:eastAsia="IRNazanin" w:cs="IRNazanin"/>
          <w:lang w:bidi="fa-IR"/>
          <w:color w:val="111111"/>
          <w:sz w:val="28"/>
          <w:szCs w:val="28"/>
          <w:rtl/>
        </w:rPr>
        <w:t xml:space="preserve">تهران؛ دانشگاه؛ شماره نسخه: ۷۱۸۰-عکس</w:t>
      </w:r>
    </w:p>
    <w:p>
      <w:pPr>
        <w:pStyle w:val="BookText"/>
      </w:pPr>
      <w:r>
        <w:rPr>
          <w:rFonts w:ascii="IRNazanin" w:hAnsi="IRNazanin" w:eastAsia="IRNazanin" w:cs="IRNazanin"/>
          <w:lang w:bidi="fa-IR"/>
          <w:color w:val="111111"/>
          <w:sz w:val="28"/>
          <w:szCs w:val="28"/>
          <w:rtl/>
        </w:rPr>
        <w:t xml:space="preserve">از شماره ۵۲ تاریخ ۲۴ شعبان ۱۳۱۶ تا سواد تلگراف؛ بی کا، بی تا؛۶۲گ [فيلم ها- ف: ۳ - ۲۷۹]</w:t>
      </w:r>
    </w:p>
    <w:p>
      <w:pPr>
        <w:pStyle w:val="Heading3"/>
      </w:pPr>
      <w:bookmarkStart w:id="1796" w:name="_Toc1318"/>
      <w:r>
        <w:t>اسناد مفصله راجع به دستورالعمل قوی ئیل آذربایجان و مراسلات و اسناد مالی دوره قاجار / اسناد / فارسی</w:t>
      </w:r>
      <w:bookmarkEnd w:id="1796"/>
    </w:p>
    <w:p>
      <w:pPr>
        <w:pStyle w:val="BookText"/>
      </w:pPr>
      <w:r>
        <w:rPr>
          <w:rFonts w:ascii="Times New Roman" w:hAnsi="Times New Roman" w:eastAsia="Times New Roman" w:cs="Times New Roman"/>
          <w:lang w:val="en-US" w:bidi="en-US"/>
          <w:color w:val="111111"/>
          <w:sz w:val="28"/>
          <w:szCs w:val="28"/>
          <w:rtl/>
        </w:rPr>
        <w:t xml:space="preserve">asnād-e mofassale raje' be dastür-ol-'amal-e qovi 'îl-e āzarbāyjān va morāselāt va asnād-e mālī-yedowre-ye</w:t>
      </w:r>
    </w:p>
    <w:p>
      <w:pPr>
        <w:pStyle w:val="BookText"/>
      </w:pPr>
      <w:r>
        <w:rPr>
          <w:rFonts w:ascii="Times New Roman" w:hAnsi="Times New Roman" w:eastAsia="Times New Roman" w:cs="Times New Roman"/>
          <w:lang w:val="en-US" w:bidi="en-US"/>
          <w:color w:val="111111"/>
          <w:sz w:val="28"/>
          <w:szCs w:val="28"/>
          <w:rtl/>
        </w:rPr>
        <w:t xml:space="preserve">qājār</w:t>
      </w:r>
    </w:p>
    <w:p>
      <w:pPr>
        <w:pStyle w:val="BookText"/>
      </w:pPr>
      <w:r>
        <w:rPr>
          <w:rFonts w:ascii="IRNazanin" w:hAnsi="IRNazanin" w:eastAsia="IRNazanin" w:cs="IRNazanin"/>
          <w:lang w:bidi="fa-IR"/>
          <w:color w:val="111111"/>
          <w:sz w:val="28"/>
          <w:szCs w:val="28"/>
          <w:rtl/>
        </w:rPr>
        <w:t xml:space="preserve">تهران؛ مجلس؛ شماره نسخه: ۱۱۸۷۸</w:t>
      </w:r>
    </w:p>
    <w:p>
      <w:pPr>
        <w:pStyle w:val="BookText"/>
      </w:pPr>
      <w:r>
        <w:rPr>
          <w:rFonts w:ascii="IRNazanin" w:hAnsi="IRNazanin" w:eastAsia="IRNazanin" w:cs="IRNazanin"/>
          <w:lang w:bidi="fa-IR"/>
          <w:color w:val="111111"/>
          <w:sz w:val="28"/>
          <w:szCs w:val="28"/>
          <w:rtl/>
        </w:rPr>
        <w:t xml:space="preserve">خط: شکسته نستعلیق و سیاق، بی کا، تا: ۱۳۲۱ و ۱۳۲۵ و ۱۳۲۷ و ۱۳۲۴؛ کاغذ ،فرنگی ،جلد ،کلاسور، ۱۷۶گ [ف: ۳۴ - ۸۰]</w:t>
      </w:r>
    </w:p>
    <w:p>
      <w:pPr>
        <w:pStyle w:val="Heading3"/>
      </w:pPr>
      <w:bookmarkStart w:id="1797" w:name="_Toc1319"/>
      <w:r>
        <w:t>اسناد مهر سلیمان / اسناد / فارسی</w:t>
      </w:r>
      <w:bookmarkEnd w:id="1797"/>
    </w:p>
    <w:p>
      <w:pPr>
        <w:pStyle w:val="BookText"/>
      </w:pPr>
      <w:r>
        <w:rPr>
          <w:rFonts w:ascii="Times New Roman" w:hAnsi="Times New Roman" w:eastAsia="Times New Roman" w:cs="Times New Roman"/>
          <w:lang w:val="en-US" w:bidi="en-US"/>
          <w:color w:val="111111"/>
          <w:sz w:val="28"/>
          <w:szCs w:val="28"/>
          <w:rtl/>
        </w:rPr>
        <w:t xml:space="preserve">asnād-e mohr-e soleymān</w:t>
      </w:r>
    </w:p>
    <w:p>
      <w:pPr>
        <w:pStyle w:val="BookText"/>
      </w:pPr>
      <w:r>
        <w:rPr>
          <w:rFonts w:ascii="IRNazanin" w:hAnsi="IRNazanin" w:eastAsia="IRNazanin" w:cs="IRNazanin"/>
          <w:lang w:bidi="fa-IR"/>
          <w:color w:val="111111"/>
          <w:sz w:val="28"/>
          <w:szCs w:val="28"/>
          <w:rtl/>
        </w:rPr>
        <w:t xml:space="preserve">تهران ؛مجلس؛ شماره نسخه: ۵۳۱/۲۰</w:t>
      </w:r>
    </w:p>
    <w:p>
      <w:pPr>
        <w:pStyle w:val="BookText"/>
      </w:pPr>
      <w:r>
        <w:rPr>
          <w:rFonts w:ascii="IRNazanin" w:hAnsi="IRNazanin" w:eastAsia="IRNazanin" w:cs="IRNazanin"/>
          <w:lang w:bidi="fa-IR"/>
          <w:color w:val="111111"/>
          <w:sz w:val="28"/>
          <w:szCs w:val="28"/>
          <w:rtl/>
        </w:rPr>
        <w:t xml:space="preserve">خط: نستعلیق، بی کا، تا: قرن ۱۰ ؛کاغذ: سفید ترمه، جلد: مشکی مقوایی عطف تیماج قهوه ای، ۲گ (۲۶۷پ-۲۶۸ر)، ۲۳ سطر  (۶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۲۶/۵سم [سنا – ف: ۱ – ۳۳۷]</w:t>
      </w:r>
    </w:p>
    <w:p>
      <w:pPr>
        <w:pStyle w:val="BookText"/>
      </w:pPr>
      <w:r>
        <w:rPr>
          <w:rFonts w:ascii="IRNazanin" w:hAnsi="IRNazanin" w:eastAsia="IRNazanin" w:cs="IRNazanin"/>
          <w:lang w:bidi="fa-IR"/>
          <w:color w:val="111111"/>
          <w:sz w:val="28"/>
          <w:szCs w:val="28"/>
          <w:rtl/>
        </w:rPr>
        <w:t xml:space="preserve">تهران؛ دانشگاه؛ شماره نسخه: ۳۴۹۷/۲۰-ف</w:t>
      </w:r>
    </w:p>
    <w:p>
      <w:pPr>
        <w:pStyle w:val="BookText"/>
      </w:pPr>
      <w:r>
        <w:rPr>
          <w:rFonts w:ascii="IRNazanin" w:hAnsi="IRNazanin" w:eastAsia="IRNazanin" w:cs="IRNazanin"/>
          <w:lang w:bidi="fa-IR"/>
          <w:color w:val="111111"/>
          <w:sz w:val="28"/>
          <w:szCs w:val="28"/>
          <w:rtl/>
        </w:rPr>
        <w:t xml:space="preserve">نسخه اصل: همان نسخه بالا [فیلم ها-ف: ۲ - ۱۵۴]</w:t>
      </w:r>
    </w:p>
    <w:p>
      <w:pPr>
        <w:pStyle w:val="Heading3"/>
      </w:pPr>
      <w:bookmarkStart w:id="1798" w:name="_Toc1320"/>
      <w:r>
        <w:t>اسناد میرزا عیسی خان وزیر / اسناد / فارسی</w:t>
      </w:r>
      <w:bookmarkEnd w:id="1798"/>
    </w:p>
    <w:p>
      <w:pPr>
        <w:pStyle w:val="BookText"/>
      </w:pPr>
      <w:r>
        <w:rPr>
          <w:rFonts w:ascii="Times New Roman" w:hAnsi="Times New Roman" w:eastAsia="Times New Roman" w:cs="Times New Roman"/>
          <w:lang w:val="en-US" w:bidi="en-US"/>
          <w:color w:val="111111"/>
          <w:sz w:val="28"/>
          <w:szCs w:val="28"/>
          <w:rtl/>
        </w:rPr>
        <w:t xml:space="preserve">asnād-e mīrzā īsā xan-e vazīr</w:t>
      </w:r>
    </w:p>
    <w:p>
      <w:pPr>
        <w:pStyle w:val="BookText"/>
      </w:pPr>
      <w:r>
        <w:rPr>
          <w:rFonts w:ascii="IRNazanin" w:hAnsi="IRNazanin" w:eastAsia="IRNazanin" w:cs="IRNazanin"/>
          <w:lang w:bidi="fa-IR"/>
          <w:color w:val="111111"/>
          <w:sz w:val="28"/>
          <w:szCs w:val="28"/>
          <w:rtl/>
        </w:rPr>
        <w:t xml:space="preserve">تهران؛ دانشگاه؛ شماره نسخه ۵۶۸۲-ف</w:t>
      </w:r>
    </w:p>
    <w:p>
      <w:pPr>
        <w:pStyle w:val="BookText"/>
      </w:pPr>
      <w:r>
        <w:rPr>
          <w:rFonts w:ascii="IRNazanin" w:hAnsi="IRNazanin" w:eastAsia="IRNazanin" w:cs="IRNazanin"/>
          <w:lang w:bidi="fa-IR"/>
          <w:color w:val="111111"/>
          <w:sz w:val="28"/>
          <w:szCs w:val="28"/>
          <w:rtl/>
        </w:rPr>
        <w:t xml:space="preserve">در راهنمای کتاب (۶۹۴/۲۰-۶۹۹) شناسانده و چاپ شده است؛</w:t>
      </w:r>
    </w:p>
    <w:p>
      <w:pPr>
        <w:pStyle w:val="BookText"/>
      </w:pPr>
      <w:r>
        <w:rPr>
          <w:rFonts w:ascii="IRNazanin" w:hAnsi="IRNazanin" w:eastAsia="IRNazanin" w:cs="IRNazanin"/>
          <w:lang w:bidi="fa-IR"/>
          <w:color w:val="111111"/>
          <w:sz w:val="28"/>
          <w:szCs w:val="28"/>
          <w:rtl/>
        </w:rPr>
        <w:t xml:space="preserve">بی کا، بی تا [ فیلم ها-ف: ۳ - ۱۷۶]</w:t>
      </w:r>
    </w:p>
    <w:p>
      <w:pPr>
        <w:pStyle w:val="Heading3"/>
      </w:pPr>
      <w:bookmarkStart w:id="1799" w:name="_Toc1321"/>
      <w:r>
        <w:t>اسناد میرزا مصطفی خان معینی / اسناد / فارسی</w:t>
      </w:r>
      <w:bookmarkEnd w:id="1799"/>
    </w:p>
    <w:p>
      <w:pPr>
        <w:pStyle w:val="BookText"/>
      </w:pPr>
      <w:r>
        <w:rPr>
          <w:rFonts w:ascii="Times New Roman" w:hAnsi="Times New Roman" w:eastAsia="Times New Roman" w:cs="Times New Roman"/>
          <w:lang w:val="en-US" w:bidi="en-US"/>
          <w:color w:val="111111"/>
          <w:sz w:val="28"/>
          <w:szCs w:val="28"/>
          <w:rtl/>
        </w:rPr>
        <w:t xml:space="preserve">asnad-e mirza mostafa xān-e mo ini</w:t>
      </w:r>
    </w:p>
    <w:p>
      <w:pPr>
        <w:pStyle w:val="BookText"/>
      </w:pPr>
      <w:r>
        <w:rPr>
          <w:rFonts w:ascii="IRNazanin" w:hAnsi="IRNazanin" w:eastAsia="IRNazanin" w:cs="IRNazanin"/>
          <w:lang w:bidi="fa-IR"/>
          <w:color w:val="111111"/>
          <w:sz w:val="28"/>
          <w:szCs w:val="28"/>
          <w:rtl/>
        </w:rPr>
        <w:t xml:space="preserve">در کرمانشاه دارای فرمان ها و حکم ها و نکاح نامه بدین گونه: يكم - اسناد میرزا مصطفی خان معینی دارای فرمان و مصالعه  نامه  و حکم و نکاح نامه در ۴۸ طغرا (ش ۱-۴۸)</w:t>
      </w:r>
    </w:p>
    <w:p>
      <w:pPr>
        <w:pStyle w:val="BookText"/>
      </w:pPr>
      <w:r>
        <w:rPr>
          <w:rFonts w:ascii="IRNazanin" w:hAnsi="IRNazanin" w:eastAsia="IRNazanin" w:cs="IRNazanin"/>
          <w:lang w:bidi="fa-IR"/>
          <w:color w:val="111111"/>
          <w:sz w:val="28"/>
          <w:szCs w:val="28"/>
          <w:rtl/>
        </w:rPr>
        <w:t xml:space="preserve">۱- فرمان شاهانه برای کلب علی خازن حسام الملک درباره قاطر خانه دولتی که ابواب جمعی اوست در شعبان ۱۲۶۱</w:t>
      </w:r>
    </w:p>
    <w:p>
      <w:pPr>
        <w:pStyle w:val="BookText"/>
      </w:pPr>
      <w:r>
        <w:rPr>
          <w:rFonts w:ascii="IRNazanin" w:hAnsi="IRNazanin" w:eastAsia="IRNazanin" w:cs="IRNazanin"/>
          <w:lang w:bidi="fa-IR"/>
          <w:color w:val="111111"/>
          <w:sz w:val="28"/>
          <w:szCs w:val="28"/>
          <w:rtl/>
        </w:rPr>
        <w:t xml:space="preserve">۲- فرمان برای خانلرخان سرهنگ (۱۲۷۵)</w:t>
      </w:r>
    </w:p>
    <w:p>
      <w:pPr>
        <w:pStyle w:val="BookText"/>
      </w:pPr>
      <w:r>
        <w:rPr>
          <w:rFonts w:ascii="IRNazanin" w:hAnsi="IRNazanin" w:eastAsia="IRNazanin" w:cs="IRNazanin"/>
          <w:lang w:bidi="fa-IR"/>
          <w:color w:val="111111"/>
          <w:sz w:val="28"/>
          <w:szCs w:val="28"/>
          <w:rtl/>
        </w:rPr>
        <w:t xml:space="preserve">۳- استشهاد نامه صادق منشی (۱۳۰۱)</w:t>
      </w:r>
    </w:p>
    <w:p>
      <w:pPr>
        <w:pStyle w:val="BookText"/>
      </w:pPr>
      <w:r>
        <w:rPr>
          <w:rFonts w:ascii="IRNazanin" w:hAnsi="IRNazanin" w:eastAsia="IRNazanin" w:cs="IRNazanin"/>
          <w:lang w:bidi="fa-IR"/>
          <w:color w:val="111111"/>
          <w:sz w:val="28"/>
          <w:szCs w:val="28"/>
          <w:rtl/>
        </w:rPr>
        <w:t xml:space="preserve">۴- وقف نامه فاطمه خانم همسر حاجی میرزا عبدالرحیم  مازندرانی در ۱۲۸۳</w:t>
      </w:r>
    </w:p>
    <w:p>
      <w:pPr>
        <w:pStyle w:val="BookText"/>
      </w:pPr>
      <w:r>
        <w:rPr>
          <w:rFonts w:ascii="IRNazanin" w:hAnsi="IRNazanin" w:eastAsia="IRNazanin" w:cs="IRNazanin"/>
          <w:lang w:bidi="fa-IR"/>
          <w:color w:val="111111"/>
          <w:sz w:val="28"/>
          <w:szCs w:val="28"/>
          <w:rtl/>
        </w:rPr>
        <w:t xml:space="preserve">۵- وصیت نامه محمد رحیم پسر میرزا سلیم مازندرانی در ۱۲۸۰</w:t>
      </w:r>
    </w:p>
    <w:p>
      <w:pPr>
        <w:pStyle w:val="BookText"/>
      </w:pPr>
      <w:r>
        <w:rPr>
          <w:rFonts w:ascii="IRNazanin" w:hAnsi="IRNazanin" w:eastAsia="IRNazanin" w:cs="IRNazanin"/>
          <w:lang w:bidi="fa-IR"/>
          <w:color w:val="111111"/>
          <w:sz w:val="28"/>
          <w:szCs w:val="28"/>
          <w:rtl/>
        </w:rPr>
        <w:t xml:space="preserve">۶- نامه ای درباره فوج اخلاص افشار</w:t>
      </w:r>
    </w:p>
    <w:p>
      <w:pPr>
        <w:pStyle w:val="BookText"/>
      </w:pPr>
      <w:r>
        <w:rPr>
          <w:rFonts w:ascii="IRNazanin" w:hAnsi="IRNazanin" w:eastAsia="IRNazanin" w:cs="IRNazanin"/>
          <w:lang w:bidi="fa-IR"/>
          <w:color w:val="111111"/>
          <w:sz w:val="28"/>
          <w:szCs w:val="28"/>
          <w:rtl/>
        </w:rPr>
        <w:t xml:space="preserve">۷- نامه خانوادگی در ۱۳۳۸</w:t>
      </w:r>
    </w:p>
    <w:p>
      <w:pPr>
        <w:pStyle w:val="BookText"/>
      </w:pPr>
      <w:r>
        <w:rPr>
          <w:rFonts w:ascii="IRNazanin" w:hAnsi="IRNazanin" w:eastAsia="IRNazanin" w:cs="IRNazanin"/>
          <w:lang w:bidi="fa-IR"/>
          <w:color w:val="111111"/>
          <w:sz w:val="28"/>
          <w:szCs w:val="28"/>
          <w:rtl/>
        </w:rPr>
        <w:t xml:space="preserve">8-نامه دولتی خطاب به میرزا لطف الله در ۱۲۰۵ با دستور اقبال  الملک</w:t>
      </w:r>
    </w:p>
    <w:p>
      <w:pPr>
        <w:pStyle w:val="BookText"/>
      </w:pPr>
      <w:r>
        <w:rPr>
          <w:rFonts w:ascii="IRNazanin" w:hAnsi="IRNazanin" w:eastAsia="IRNazanin" w:cs="IRNazanin"/>
          <w:lang w:bidi="fa-IR"/>
          <w:color w:val="111111"/>
          <w:sz w:val="28"/>
          <w:szCs w:val="28"/>
          <w:rtl/>
        </w:rPr>
        <w:t xml:space="preserve">۹- نامه خطاب به مقرب الخاقان با یاد از محمد رضاخان و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کامران میرزا در ۱۳۰۹</w:t>
      </w:r>
    </w:p>
    <w:p>
      <w:pPr>
        <w:pStyle w:val="BookText"/>
      </w:pPr>
      <w:r>
        <w:rPr>
          <w:rFonts w:ascii="IRNazanin" w:hAnsi="IRNazanin" w:eastAsia="IRNazanin" w:cs="IRNazanin"/>
          <w:lang w:bidi="fa-IR"/>
          <w:color w:val="111111"/>
          <w:sz w:val="28"/>
          <w:szCs w:val="28"/>
          <w:rtl/>
        </w:rPr>
        <w:t xml:space="preserve">۱۰- قباله میرزا عزیز پسر ملا محمد صادق کندوله و خاوری دختر کربلایی شرر کند وله با پنجاه تومان کلبین در شب29 رمضان ۱۳۳۸</w:t>
      </w:r>
    </w:p>
    <w:p>
      <w:pPr>
        <w:pStyle w:val="BookText"/>
      </w:pPr>
      <w:r>
        <w:rPr>
          <w:rFonts w:ascii="IRNazanin" w:hAnsi="IRNazanin" w:eastAsia="IRNazanin" w:cs="IRNazanin"/>
          <w:lang w:bidi="fa-IR"/>
          <w:color w:val="111111"/>
          <w:sz w:val="28"/>
          <w:szCs w:val="28"/>
          <w:rtl/>
        </w:rPr>
        <w:t xml:space="preserve">۱۱- مصالحه نامه میرزا عبدالله پسر احمد زودویی با رستم پـسر سلمه در ۱۳۲۵</w:t>
      </w:r>
    </w:p>
    <w:p>
      <w:pPr>
        <w:pStyle w:val="BookText"/>
      </w:pPr>
      <w:r>
        <w:rPr>
          <w:rFonts w:ascii="IRNazanin" w:hAnsi="IRNazanin" w:eastAsia="IRNazanin" w:cs="IRNazanin"/>
          <w:lang w:bidi="fa-IR"/>
          <w:color w:val="111111"/>
          <w:sz w:val="28"/>
          <w:szCs w:val="28"/>
          <w:rtl/>
        </w:rPr>
        <w:t xml:space="preserve">۱۲ - مصالحه نامه فرج نویجی پسر کربلایی نصرالله با همسر خـود کربلایی خاور در ۱۳۳۶</w:t>
      </w:r>
    </w:p>
    <w:p>
      <w:pPr>
        <w:pStyle w:val="BookText"/>
      </w:pPr>
      <w:r>
        <w:rPr>
          <w:rFonts w:ascii="IRNazanin" w:hAnsi="IRNazanin" w:eastAsia="IRNazanin" w:cs="IRNazanin"/>
          <w:lang w:bidi="fa-IR"/>
          <w:color w:val="111111"/>
          <w:sz w:val="28"/>
          <w:szCs w:val="28"/>
          <w:rtl/>
        </w:rPr>
        <w:t xml:space="preserve">۱۳- حکمیت درباره دعاوی حشمت الله خان و سلیمان خان پسران میرزا آقاخان در ۱۳۴۲</w:t>
      </w:r>
    </w:p>
    <w:p>
      <w:pPr>
        <w:pStyle w:val="BookText"/>
      </w:pPr>
      <w:r>
        <w:rPr>
          <w:rFonts w:ascii="IRNazanin" w:hAnsi="IRNazanin" w:eastAsia="IRNazanin" w:cs="IRNazanin"/>
          <w:lang w:bidi="fa-IR"/>
          <w:color w:val="111111"/>
          <w:sz w:val="28"/>
          <w:szCs w:val="28"/>
          <w:rtl/>
        </w:rPr>
        <w:t xml:space="preserve">۱۴ - سندی درباره ادعای ورثه جمشید در ۱۲۱۴</w:t>
      </w:r>
    </w:p>
    <w:p>
      <w:pPr>
        <w:pStyle w:val="BookText"/>
      </w:pPr>
      <w:r>
        <w:rPr>
          <w:rFonts w:ascii="IRNazanin" w:hAnsi="IRNazanin" w:eastAsia="IRNazanin" w:cs="IRNazanin"/>
          <w:lang w:bidi="fa-IR"/>
          <w:color w:val="111111"/>
          <w:sz w:val="28"/>
          <w:szCs w:val="28"/>
          <w:rtl/>
        </w:rPr>
        <w:t xml:space="preserve">۱۵- صورت تنخواه دریافتی سربازان صالح آباد</w:t>
      </w:r>
    </w:p>
    <w:p>
      <w:pPr>
        <w:pStyle w:val="BookText"/>
      </w:pPr>
      <w:r>
        <w:rPr>
          <w:rFonts w:ascii="IRNazanin" w:hAnsi="IRNazanin" w:eastAsia="IRNazanin" w:cs="IRNazanin"/>
          <w:lang w:bidi="fa-IR"/>
          <w:color w:val="111111"/>
          <w:sz w:val="28"/>
          <w:szCs w:val="28"/>
          <w:rtl/>
        </w:rPr>
        <w:t xml:space="preserve">۱۶- تلگراف از کاشان به قصر درباره میرزا لطف الله تابع عثمانی که به ایران آمده بود</w:t>
      </w:r>
    </w:p>
    <w:p>
      <w:pPr>
        <w:pStyle w:val="BookText"/>
      </w:pPr>
      <w:r>
        <w:rPr>
          <w:rFonts w:ascii="IRNazanin" w:hAnsi="IRNazanin" w:eastAsia="IRNazanin" w:cs="IRNazanin"/>
          <w:lang w:bidi="fa-IR"/>
          <w:color w:val="111111"/>
          <w:sz w:val="28"/>
          <w:szCs w:val="28"/>
          <w:rtl/>
        </w:rPr>
        <w:t xml:space="preserve">۱۷- جمع و خرج ئیلان ئیل ابواب جمعی سلیمان خان افشار</w:t>
      </w:r>
    </w:p>
    <w:p>
      <w:pPr>
        <w:pStyle w:val="BookText"/>
      </w:pPr>
      <w:r>
        <w:rPr>
          <w:rFonts w:ascii="IRNazanin" w:hAnsi="IRNazanin" w:eastAsia="IRNazanin" w:cs="IRNazanin"/>
          <w:lang w:bidi="fa-IR"/>
          <w:color w:val="111111"/>
          <w:sz w:val="28"/>
          <w:szCs w:val="28"/>
          <w:rtl/>
        </w:rPr>
        <w:t xml:space="preserve">۱۸- در باب ملکی جماعت افشار موضوعی سیچقان ئیل</w:t>
      </w:r>
    </w:p>
    <w:p>
      <w:pPr>
        <w:pStyle w:val="BookText"/>
      </w:pPr>
      <w:r>
        <w:rPr>
          <w:rFonts w:ascii="IRNazanin" w:hAnsi="IRNazanin" w:eastAsia="IRNazanin" w:cs="IRNazanin"/>
          <w:lang w:bidi="fa-IR"/>
          <w:color w:val="111111"/>
          <w:sz w:val="28"/>
          <w:szCs w:val="28"/>
          <w:rtl/>
        </w:rPr>
        <w:t xml:space="preserve">۱۹ - مقاطعه حمام با استاد علی اکبر و استاد کرم علی همدانی در ۱۵ محرم  ۱۲۵۳</w:t>
      </w:r>
    </w:p>
    <w:p>
      <w:pPr>
        <w:pStyle w:val="BookText"/>
      </w:pPr>
      <w:r>
        <w:rPr>
          <w:rFonts w:ascii="IRNazanin" w:hAnsi="IRNazanin" w:eastAsia="IRNazanin" w:cs="IRNazanin"/>
          <w:lang w:bidi="fa-IR"/>
          <w:color w:val="111111"/>
          <w:sz w:val="28"/>
          <w:szCs w:val="28"/>
          <w:rtl/>
        </w:rPr>
        <w:t xml:space="preserve">۲۰- دستور العمل تنگوزئیل استراباد</w:t>
      </w:r>
    </w:p>
    <w:p>
      <w:pPr>
        <w:pStyle w:val="BookText"/>
      </w:pPr>
      <w:r>
        <w:rPr>
          <w:rFonts w:ascii="IRNazanin" w:hAnsi="IRNazanin" w:eastAsia="IRNazanin" w:cs="IRNazanin"/>
          <w:lang w:bidi="fa-IR"/>
          <w:color w:val="111111"/>
          <w:sz w:val="28"/>
          <w:szCs w:val="28"/>
          <w:rtl/>
        </w:rPr>
        <w:t xml:space="preserve">۲۱- صورت مواجب و خانواری قشون جمعی سرکار حسـام الملک در اودئیل تائیلان ئیل</w:t>
      </w:r>
    </w:p>
    <w:p>
      <w:pPr>
        <w:pStyle w:val="BookText"/>
      </w:pPr>
      <w:r>
        <w:rPr>
          <w:rFonts w:ascii="IRNazanin" w:hAnsi="IRNazanin" w:eastAsia="IRNazanin" w:cs="IRNazanin"/>
          <w:lang w:bidi="fa-IR"/>
          <w:color w:val="111111"/>
          <w:sz w:val="28"/>
          <w:szCs w:val="28"/>
          <w:rtl/>
        </w:rPr>
        <w:t xml:space="preserve">۲۲- صورت محاسبه مرادخان کاشانی از قوی ئیل تا اودئیل  در ۱ جمادی الثانی ۱۲۶۰ با حسام الملک</w:t>
      </w:r>
    </w:p>
    <w:p>
      <w:pPr>
        <w:pStyle w:val="BookText"/>
      </w:pPr>
      <w:r>
        <w:rPr>
          <w:rFonts w:ascii="IRNazanin" w:hAnsi="IRNazanin" w:eastAsia="IRNazanin" w:cs="IRNazanin"/>
          <w:lang w:bidi="fa-IR"/>
          <w:color w:val="111111"/>
          <w:sz w:val="28"/>
          <w:szCs w:val="28"/>
          <w:rtl/>
        </w:rPr>
        <w:t xml:space="preserve">23 - حکم درباره میرزا خداداد جراح باشی در ۱۲۴۸</w:t>
      </w:r>
    </w:p>
    <w:p>
      <w:pPr>
        <w:pStyle w:val="BookText"/>
      </w:pPr>
      <w:r>
        <w:rPr>
          <w:rFonts w:ascii="IRNazanin" w:hAnsi="IRNazanin" w:eastAsia="IRNazanin" w:cs="IRNazanin"/>
          <w:lang w:bidi="fa-IR"/>
          <w:color w:val="111111"/>
          <w:sz w:val="28"/>
          <w:szCs w:val="28"/>
          <w:rtl/>
        </w:rPr>
        <w:t xml:space="preserve">۲۴- حکم درباره میرزا محمد صادق جراح باشی او در ۱۲۵۶</w:t>
      </w:r>
    </w:p>
    <w:p>
      <w:pPr>
        <w:pStyle w:val="BookText"/>
      </w:pPr>
      <w:r>
        <w:rPr>
          <w:rFonts w:ascii="IRNazanin" w:hAnsi="IRNazanin" w:eastAsia="IRNazanin" w:cs="IRNazanin"/>
          <w:lang w:bidi="fa-IR"/>
          <w:color w:val="111111"/>
          <w:sz w:val="28"/>
          <w:szCs w:val="28"/>
          <w:rtl/>
        </w:rPr>
        <w:t xml:space="preserve">۲۵- حکم درباره همودر کرمان شاهان در ۱۲۵۷</w:t>
      </w:r>
    </w:p>
    <w:p>
      <w:pPr>
        <w:pStyle w:val="BookText"/>
      </w:pPr>
      <w:r>
        <w:rPr>
          <w:rFonts w:ascii="IRNazanin" w:hAnsi="IRNazanin" w:eastAsia="IRNazanin" w:cs="IRNazanin"/>
          <w:lang w:bidi="fa-IR"/>
          <w:color w:val="111111"/>
          <w:sz w:val="28"/>
          <w:szCs w:val="28"/>
          <w:rtl/>
        </w:rPr>
        <w:t xml:space="preserve">۲۶ تا ۳۳- حکم درباره همو در ۱۲۶۷، ۱۲۶۵ برای افواج، 1252، 1291، 1293، 1298، 1320</w:t>
      </w:r>
    </w:p>
    <w:p>
      <w:pPr>
        <w:pStyle w:val="BookText"/>
      </w:pPr>
      <w:r>
        <w:rPr>
          <w:rFonts w:ascii="IRNazanin" w:hAnsi="IRNazanin" w:eastAsia="IRNazanin" w:cs="IRNazanin"/>
          <w:lang w:bidi="fa-IR"/>
          <w:color w:val="111111"/>
          <w:sz w:val="28"/>
          <w:szCs w:val="28"/>
          <w:rtl/>
        </w:rPr>
        <w:t xml:space="preserve">۳۴- درباره مالیات احشامی خانوار رعیت محمد هادی در 1313</w:t>
      </w:r>
    </w:p>
    <w:p>
      <w:pPr>
        <w:pStyle w:val="BookText"/>
      </w:pPr>
      <w:r>
        <w:rPr>
          <w:rFonts w:ascii="IRNazanin" w:hAnsi="IRNazanin" w:eastAsia="IRNazanin" w:cs="IRNazanin"/>
          <w:lang w:bidi="fa-IR"/>
          <w:color w:val="111111"/>
          <w:sz w:val="28"/>
          <w:szCs w:val="28"/>
          <w:rtl/>
        </w:rPr>
        <w:t xml:space="preserve">۳۵ - مصالحه سكينه خانم دختر محمد هادی بیک زنگنه همـسر عباسقلی بیک با محمد صادق جراح باشی در ۱۲۸۱</w:t>
      </w:r>
    </w:p>
    <w:p>
      <w:pPr>
        <w:pStyle w:val="BookText"/>
      </w:pPr>
      <w:r>
        <w:rPr>
          <w:rFonts w:ascii="IRNazanin" w:hAnsi="IRNazanin" w:eastAsia="IRNazanin" w:cs="IRNazanin"/>
          <w:lang w:bidi="fa-IR"/>
          <w:color w:val="111111"/>
          <w:sz w:val="28"/>
          <w:szCs w:val="28"/>
          <w:rtl/>
        </w:rPr>
        <w:t xml:space="preserve">۳۶- مصالحه محمد تقی بیک پسر محمد هادی زنگنه با همان  محمد صادق</w:t>
      </w:r>
    </w:p>
    <w:p>
      <w:pPr>
        <w:pStyle w:val="BookText"/>
      </w:pPr>
      <w:r>
        <w:rPr>
          <w:rFonts w:ascii="IRNazanin" w:hAnsi="IRNazanin" w:eastAsia="IRNazanin" w:cs="IRNazanin"/>
          <w:lang w:bidi="fa-IR"/>
          <w:color w:val="111111"/>
          <w:sz w:val="28"/>
          <w:szCs w:val="28"/>
          <w:rtl/>
        </w:rPr>
        <w:t xml:space="preserve">۳۷- مصالحه گوهر خانم دختر میرزا سلیم خان زنگنه با همان محمد صادق در ۱۲۸۹</w:t>
      </w:r>
    </w:p>
    <w:p>
      <w:pPr>
        <w:pStyle w:val="BookText"/>
      </w:pPr>
      <w:r>
        <w:rPr>
          <w:rFonts w:ascii="IRNazanin" w:hAnsi="IRNazanin" w:eastAsia="IRNazanin" w:cs="IRNazanin"/>
          <w:lang w:bidi="fa-IR"/>
          <w:color w:val="111111"/>
          <w:sz w:val="28"/>
          <w:szCs w:val="28"/>
          <w:rtl/>
        </w:rPr>
        <w:t xml:space="preserve">۳۸- مصالحه حیات قلی بیک و عباس قلی بیک پسران محـمد هادی بیک زنگنه با همو در ۱۲۹ (۱۲۹۰)</w:t>
      </w:r>
    </w:p>
    <w:p>
      <w:pPr>
        <w:pStyle w:val="BookText"/>
      </w:pPr>
      <w:r>
        <w:rPr>
          <w:rFonts w:ascii="IRNazanin" w:hAnsi="IRNazanin" w:eastAsia="IRNazanin" w:cs="IRNazanin"/>
          <w:lang w:bidi="fa-IR"/>
          <w:color w:val="111111"/>
          <w:sz w:val="28"/>
          <w:szCs w:val="28"/>
          <w:rtl/>
        </w:rPr>
        <w:t xml:space="preserve">۳۹- مصالحه حاجی آقا پسر محمد هادی با همو ۱۲۸۸</w:t>
      </w:r>
    </w:p>
    <w:p>
      <w:pPr>
        <w:pStyle w:val="BookText"/>
      </w:pPr>
      <w:r>
        <w:rPr>
          <w:rFonts w:ascii="IRNazanin" w:hAnsi="IRNazanin" w:eastAsia="IRNazanin" w:cs="IRNazanin"/>
          <w:lang w:bidi="fa-IR"/>
          <w:color w:val="111111"/>
          <w:sz w:val="28"/>
          <w:szCs w:val="28"/>
          <w:rtl/>
        </w:rPr>
        <w:t xml:space="preserve">۴۰ -مصالحه  محمد قلی خان با همو در ۱۳۰۰</w:t>
      </w:r>
    </w:p>
    <w:p>
      <w:pPr>
        <w:pStyle w:val="BookText"/>
      </w:pPr>
      <w:r>
        <w:rPr>
          <w:rFonts w:ascii="IRNazanin" w:hAnsi="IRNazanin" w:eastAsia="IRNazanin" w:cs="IRNazanin"/>
          <w:lang w:bidi="fa-IR"/>
          <w:color w:val="111111"/>
          <w:sz w:val="28"/>
          <w:szCs w:val="28"/>
          <w:rtl/>
        </w:rPr>
        <w:t xml:space="preserve">۴۱- مصالحه باراز و گوهر دختران همان حیات قلی با محـمد  قلی  خان  پسر محمد علی خان در زنگنه ۱۳۰۰</w:t>
      </w:r>
    </w:p>
    <w:p>
      <w:pPr>
        <w:pStyle w:val="BookText"/>
      </w:pPr>
      <w:r>
        <w:rPr>
          <w:rFonts w:ascii="IRNazanin" w:hAnsi="IRNazanin" w:eastAsia="IRNazanin" w:cs="IRNazanin"/>
          <w:lang w:bidi="fa-IR"/>
          <w:color w:val="111111"/>
          <w:sz w:val="28"/>
          <w:szCs w:val="28"/>
          <w:rtl/>
        </w:rPr>
        <w:t xml:space="preserve">۴۲- فرمان به علی مرادخان نایب ماهی ندشت درباره همان صادق در ۱۳۰۰</w:t>
      </w:r>
    </w:p>
    <w:p>
      <w:pPr>
        <w:pStyle w:val="BookText"/>
      </w:pPr>
      <w:r>
        <w:rPr>
          <w:rFonts w:ascii="IRNazanin" w:hAnsi="IRNazanin" w:eastAsia="IRNazanin" w:cs="IRNazanin"/>
          <w:lang w:bidi="fa-IR"/>
          <w:color w:val="111111"/>
          <w:sz w:val="28"/>
          <w:szCs w:val="28"/>
          <w:rtl/>
        </w:rPr>
        <w:t xml:space="preserve">۴۳- نامه میرزا جعفر فلاح به دیوان یا دستور آقا میرزا عبدالرحیم رئیس دفتر در ۴ رمضان ۱۲۱۳</w:t>
      </w:r>
    </w:p>
    <w:p>
      <w:pPr>
        <w:pStyle w:val="BookText"/>
      </w:pPr>
      <w:r>
        <w:rPr>
          <w:rFonts w:ascii="IRNazanin" w:hAnsi="IRNazanin" w:eastAsia="IRNazanin" w:cs="IRNazanin"/>
          <w:lang w:bidi="fa-IR"/>
          <w:color w:val="111111"/>
          <w:sz w:val="28"/>
          <w:szCs w:val="28"/>
          <w:rtl/>
        </w:rPr>
        <w:t xml:space="preserve">۴۴- نامه و دستور درباره حاجی سید حسن و میرزا باقر و میرزا جعفر جراح باشی در حدود مزرعه در ۱۳۱۴</w:t>
      </w:r>
    </w:p>
    <w:p>
      <w:pPr>
        <w:pStyle w:val="BookText"/>
      </w:pPr>
      <w:r>
        <w:rPr>
          <w:rFonts w:ascii="IRNazanin" w:hAnsi="IRNazanin" w:eastAsia="IRNazanin" w:cs="IRNazanin"/>
          <w:lang w:bidi="fa-IR"/>
          <w:color w:val="111111"/>
          <w:sz w:val="28"/>
          <w:szCs w:val="28"/>
          <w:rtl/>
        </w:rPr>
        <w:t xml:space="preserve">۴۵- حکم به رحیم خان درباره رئیس میرزا جعفر باشی و میرزا  باقر در ۱۳۱۴</w:t>
      </w:r>
    </w:p>
    <w:p>
      <w:pPr>
        <w:pStyle w:val="BookText"/>
      </w:pPr>
      <w:r>
        <w:rPr>
          <w:rFonts w:ascii="IRNazanin" w:hAnsi="IRNazanin" w:eastAsia="IRNazanin" w:cs="IRNazanin"/>
          <w:lang w:bidi="fa-IR"/>
          <w:color w:val="111111"/>
          <w:sz w:val="28"/>
          <w:szCs w:val="28"/>
          <w:rtl/>
        </w:rPr>
        <w:t xml:space="preserve">۴۶- صورت حساب</w:t>
      </w:r>
    </w:p>
    <w:p>
      <w:pPr>
        <w:pStyle w:val="BookText"/>
      </w:pPr>
      <w:r>
        <w:rPr>
          <w:rFonts w:ascii="IRNazanin" w:hAnsi="IRNazanin" w:eastAsia="IRNazanin" w:cs="IRNazanin"/>
          <w:lang w:bidi="fa-IR"/>
          <w:color w:val="111111"/>
          <w:sz w:val="28"/>
          <w:szCs w:val="28"/>
          <w:rtl/>
        </w:rPr>
        <w:t xml:space="preserve">۴۷- قباله نکاح میرزا محمد جعفر جراح باشی پسر میرزا صادق جراح باشی و سلطان خانم در ۱۳۱۲</w:t>
      </w:r>
    </w:p>
    <w:p>
      <w:pPr>
        <w:pStyle w:val="BookText"/>
      </w:pPr>
      <w:r>
        <w:rPr>
          <w:rFonts w:ascii="IRNazanin" w:hAnsi="IRNazanin" w:eastAsia="IRNazanin" w:cs="IRNazanin"/>
          <w:lang w:bidi="fa-IR"/>
          <w:color w:val="111111"/>
          <w:sz w:val="28"/>
          <w:szCs w:val="28"/>
          <w:rtl/>
        </w:rPr>
        <w:t xml:space="preserve">۴۸- صورت اسباب جهازیه گویا مربوط به همین نکاح نامه  دوم- اسناد آستانه قم در ۴۵ طغرا (ش ۴۹-۹۳  )</w:t>
      </w:r>
    </w:p>
    <w:p>
      <w:pPr>
        <w:pStyle w:val="BookText"/>
      </w:pPr>
      <w:r>
        <w:rPr>
          <w:rFonts w:ascii="IRNazanin" w:hAnsi="IRNazanin" w:eastAsia="IRNazanin" w:cs="IRNazanin"/>
          <w:lang w:bidi="fa-IR"/>
          <w:color w:val="111111"/>
          <w:sz w:val="28"/>
          <w:szCs w:val="28"/>
          <w:rtl/>
        </w:rPr>
        <w:t xml:space="preserve">۴۹- فروش نامه خانم بزرگ «مریم خانم» به میرزا محمد مهدی متولی سرکار فیض آثار در ۱۱۹۰</w:t>
      </w:r>
    </w:p>
    <w:p>
      <w:pPr>
        <w:pStyle w:val="BookText"/>
      </w:pPr>
      <w:r>
        <w:rPr>
          <w:rFonts w:ascii="IRNazanin" w:hAnsi="IRNazanin" w:eastAsia="IRNazanin" w:cs="IRNazanin"/>
          <w:lang w:bidi="fa-IR"/>
          <w:color w:val="111111"/>
          <w:sz w:val="28"/>
          <w:szCs w:val="28"/>
          <w:rtl/>
        </w:rPr>
        <w:t xml:space="preserve">۵۰- فروش نامه همین متولی به میر عبدالکریم خادم پسر محمد تقی در ۱۱۹۱</w:t>
      </w:r>
    </w:p>
    <w:p>
      <w:pPr>
        <w:pStyle w:val="BookText"/>
      </w:pPr>
      <w:r>
        <w:rPr>
          <w:rFonts w:ascii="IRNazanin" w:hAnsi="IRNazanin" w:eastAsia="IRNazanin" w:cs="IRNazanin"/>
          <w:lang w:bidi="fa-IR"/>
          <w:color w:val="111111"/>
          <w:sz w:val="28"/>
          <w:szCs w:val="28"/>
          <w:rtl/>
        </w:rPr>
        <w:t xml:space="preserve">۵۱- دادن نیابت به سید آقا یزدی در زیارت بقعه معصومه</w:t>
      </w:r>
    </w:p>
    <w:p>
      <w:pPr>
        <w:pStyle w:val="BookText"/>
      </w:pPr>
      <w:r>
        <w:rPr>
          <w:rFonts w:ascii="IRNazanin" w:hAnsi="IRNazanin" w:eastAsia="IRNazanin" w:cs="IRNazanin"/>
          <w:lang w:bidi="fa-IR"/>
          <w:color w:val="111111"/>
          <w:sz w:val="28"/>
          <w:szCs w:val="28"/>
          <w:rtl/>
        </w:rPr>
        <w:t xml:space="preserve">۵۲ -حکم به على نقى ميرزا حكم ران قم و ساوه که صد تومان مخارج و روشنایی و قاری و غلیان و قهوه در مقبره معتمد الدوله خرج کند درایت ایل ۱۳۰۴</w:t>
      </w:r>
    </w:p>
    <w:p>
      <w:pPr>
        <w:pStyle w:val="BookText"/>
      </w:pPr>
      <w:r>
        <w:rPr>
          <w:rFonts w:ascii="IRNazanin" w:hAnsi="IRNazanin" w:eastAsia="IRNazanin" w:cs="IRNazanin"/>
          <w:lang w:bidi="fa-IR"/>
          <w:color w:val="111111"/>
          <w:sz w:val="28"/>
          <w:szCs w:val="28"/>
          <w:rtl/>
        </w:rPr>
        <w:t xml:space="preserve">۵۳- حکم به آقا محمد کریم مباشر و رئیس مقبره شاهنشاه در اینکه مرتضی تفرشی خادم مرده و این منصب به آقا سید حسین  رضوی سرکشیک آستانه کشیک آستانه معصومه داده می شود در ۱۲۹۷</w:t>
      </w:r>
    </w:p>
    <w:p>
      <w:pPr>
        <w:pStyle w:val="BookText"/>
      </w:pPr>
      <w:r>
        <w:rPr>
          <w:rFonts w:ascii="IRNazanin" w:hAnsi="IRNazanin" w:eastAsia="IRNazanin" w:cs="IRNazanin"/>
          <w:lang w:bidi="fa-IR"/>
          <w:color w:val="111111"/>
          <w:sz w:val="28"/>
          <w:szCs w:val="28"/>
          <w:rtl/>
        </w:rPr>
        <w:t xml:space="preserve">۵۴- حکم از سرکار معصومه و گفتگوی رعایای قم رود و شریف آباد در ۱۳۰۲</w:t>
      </w:r>
    </w:p>
    <w:p>
      <w:pPr>
        <w:pStyle w:val="BookText"/>
      </w:pPr>
      <w:r>
        <w:rPr>
          <w:rFonts w:ascii="IRNazanin" w:hAnsi="IRNazanin" w:eastAsia="IRNazanin" w:cs="IRNazanin"/>
          <w:lang w:bidi="fa-IR"/>
          <w:color w:val="111111"/>
          <w:sz w:val="28"/>
          <w:szCs w:val="28"/>
          <w:rtl/>
        </w:rPr>
        <w:t xml:space="preserve">۵۵- حكم حسن علی میرزا در دادن نیابت زیارت برای آخوند ملاعلی قمی و خطاب به میرزا اسدالله متولی سرکار در تفویض آن در ۱۲۲۷</w:t>
      </w:r>
    </w:p>
    <w:p>
      <w:pPr>
        <w:pStyle w:val="BookText"/>
      </w:pPr>
      <w:r>
        <w:rPr>
          <w:rFonts w:ascii="IRNazanin" w:hAnsi="IRNazanin" w:eastAsia="IRNazanin" w:cs="IRNazanin"/>
          <w:lang w:bidi="fa-IR"/>
          <w:color w:val="111111"/>
          <w:sz w:val="28"/>
          <w:szCs w:val="28"/>
          <w:rtl/>
        </w:rPr>
        <w:t xml:space="preserve">۵۶- نام سید حسین سرکشیک سرکار فیض آثار در باب حق نظارت مضجع شاه که به او داده می شود</w:t>
      </w:r>
    </w:p>
    <w:p>
      <w:pPr>
        <w:pStyle w:val="BookText"/>
      </w:pPr>
      <w:r>
        <w:rPr>
          <w:rFonts w:ascii="IRNazanin" w:hAnsi="IRNazanin" w:eastAsia="IRNazanin" w:cs="IRNazanin"/>
          <w:lang w:bidi="fa-IR"/>
          <w:color w:val="111111"/>
          <w:sz w:val="28"/>
          <w:szCs w:val="28"/>
          <w:rtl/>
        </w:rPr>
        <w:t xml:space="preserve">۵۷- حکم برای آقا سید حسین سرکشیک سرکار فیض آثار که  نايب الزيارة سرکار شوکت مدار باشد با تنخواه پنج تومان</w:t>
      </w:r>
    </w:p>
    <w:p>
      <w:pPr>
        <w:pStyle w:val="BookText"/>
      </w:pPr>
      <w:r>
        <w:rPr>
          <w:rFonts w:ascii="IRNazanin" w:hAnsi="IRNazanin" w:eastAsia="IRNazanin" w:cs="IRNazanin"/>
          <w:lang w:bidi="fa-IR"/>
          <w:color w:val="111111"/>
          <w:sz w:val="28"/>
          <w:szCs w:val="28"/>
          <w:rtl/>
        </w:rPr>
        <w:t xml:space="preserve">۵۸- صورت فرش های سرکاری در فراش خانه در ۱۰ رجب ۱۲۹۵ با یک نام درباری</w:t>
      </w:r>
    </w:p>
    <w:p>
      <w:pPr>
        <w:pStyle w:val="BookText"/>
      </w:pPr>
      <w:r>
        <w:rPr>
          <w:rFonts w:ascii="IRNazanin" w:hAnsi="IRNazanin" w:eastAsia="IRNazanin" w:cs="IRNazanin"/>
          <w:lang w:bidi="fa-IR"/>
          <w:color w:val="111111"/>
          <w:sz w:val="28"/>
          <w:szCs w:val="28"/>
          <w:rtl/>
        </w:rPr>
        <w:t xml:space="preserve">۵۹- نامه دربار به میرزا اسدالله متولی روضه بضعه احمدی که فراهان وقف سرکار فیض آثار فرمودیم و آقا سید حسن سرکشیک چی باشی می تواند در آن دخالت کند با اذن حاکم شرع قم که متولی آنجا است در ۱۲۴۴</w:t>
      </w:r>
    </w:p>
    <w:p>
      <w:pPr>
        <w:pStyle w:val="BookText"/>
      </w:pPr>
      <w:r>
        <w:rPr>
          <w:rFonts w:ascii="IRNazanin" w:hAnsi="IRNazanin" w:eastAsia="IRNazanin" w:cs="IRNazanin"/>
          <w:lang w:bidi="fa-IR"/>
          <w:color w:val="111111"/>
          <w:sz w:val="28"/>
          <w:szCs w:val="28"/>
          <w:rtl/>
        </w:rPr>
        <w:t xml:space="preserve">۶۰- صلح میرزا ابوالقاسم پسر آقا میرزا حسین اصفهانی قنات قاسم آبادی را به خان (؟) بابا پسر آقا علی قمی در ۱۸ شوال  ۱۲۴۷</w:t>
      </w:r>
    </w:p>
    <w:p>
      <w:pPr>
        <w:pStyle w:val="BookText"/>
      </w:pPr>
      <w:r>
        <w:rPr>
          <w:rFonts w:ascii="IRNazanin" w:hAnsi="IRNazanin" w:eastAsia="IRNazanin" w:cs="IRNazanin"/>
          <w:lang w:bidi="fa-IR"/>
          <w:color w:val="111111"/>
          <w:sz w:val="28"/>
          <w:szCs w:val="28"/>
          <w:rtl/>
        </w:rPr>
        <w:t xml:space="preserve">۶۱- نامه میرزا ابراهیم مستوفی در ۱۲۳۵</w:t>
      </w:r>
    </w:p>
    <w:p>
      <w:pPr>
        <w:pStyle w:val="BookText"/>
      </w:pPr>
      <w:r>
        <w:rPr>
          <w:rFonts w:ascii="IRNazanin" w:hAnsi="IRNazanin" w:eastAsia="IRNazanin" w:cs="IRNazanin"/>
          <w:lang w:bidi="fa-IR"/>
          <w:color w:val="111111"/>
          <w:sz w:val="28"/>
          <w:szCs w:val="28"/>
          <w:rtl/>
        </w:rPr>
        <w:t xml:space="preserve">۶۲- نامه به سپهدار حکمران قم درباره مقبره معتمد الدوله رفتن  شاه به زیارت معصومه در ۱۳۰۷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370" w:name="pg20365_260515"/>
    <w:bookmarkEnd w:id="370"/>
    <w:p>
      <w:pPr>
        <w:pStyle w:val="BookText"/>
      </w:pPr>
      <w:r>
        <w:rPr>
          <w:rFonts w:ascii="IRNazanin" w:hAnsi="IRNazanin" w:eastAsia="IRNazanin" w:cs="IRNazanin"/>
          <w:lang w:bidi="fa-IR"/>
          <w:color w:val="111111"/>
          <w:sz w:val="28"/>
          <w:szCs w:val="28"/>
          <w:rtl/>
        </w:rPr>
        <w:t xml:space="preserve">۶۳ -سندی در اینکه آقا سید حسین سرکشیک خادم آستانه سرکار فیض آثار متولى مقبره معتمد الدوله مرده و تولیت به پسرش داده می شود از طرف شاه در ۱۳۰۹</w:t>
      </w:r>
    </w:p>
    <w:p>
      <w:pPr>
        <w:pStyle w:val="BookText"/>
      </w:pPr>
      <w:r>
        <w:rPr>
          <w:rFonts w:ascii="IRNazanin" w:hAnsi="IRNazanin" w:eastAsia="IRNazanin" w:cs="IRNazanin"/>
          <w:lang w:bidi="fa-IR"/>
          <w:color w:val="111111"/>
          <w:sz w:val="28"/>
          <w:szCs w:val="28"/>
          <w:rtl/>
        </w:rPr>
        <w:t xml:space="preserve">۶۴- نامه به عباس ميرزا اعتضاد الدوله حکمران قم درباره میـرزا على محمد متولى مقبره شعاع السلطنه در 1314</w:t>
      </w:r>
    </w:p>
    <w:p>
      <w:pPr>
        <w:pStyle w:val="BookText"/>
      </w:pPr>
      <w:r>
        <w:rPr>
          <w:rFonts w:ascii="IRNazanin" w:hAnsi="IRNazanin" w:eastAsia="IRNazanin" w:cs="IRNazanin"/>
          <w:lang w:bidi="fa-IR"/>
          <w:color w:val="111111"/>
          <w:sz w:val="28"/>
          <w:szCs w:val="28"/>
          <w:rtl/>
        </w:rPr>
        <w:t xml:space="preserve">۶۵- اعلام به محمد تقی بیک نایب و عمال و کدخدایان و کشاورزان قم درباره تیول حاجی میر عبدالکریم</w:t>
      </w:r>
    </w:p>
    <w:p>
      <w:pPr>
        <w:pStyle w:val="BookText"/>
      </w:pPr>
      <w:r>
        <w:rPr>
          <w:rFonts w:ascii="IRNazanin" w:hAnsi="IRNazanin" w:eastAsia="IRNazanin" w:cs="IRNazanin"/>
          <w:lang w:bidi="fa-IR"/>
          <w:color w:val="111111"/>
          <w:sz w:val="28"/>
          <w:szCs w:val="28"/>
          <w:rtl/>
        </w:rPr>
        <w:t xml:space="preserve">۶۶- فرمان مستمری ورثه سید فتح الله (آقا سید حسین منزوی) آستانه قم در ۱۲۶۸</w:t>
      </w:r>
    </w:p>
    <w:p>
      <w:pPr>
        <w:pStyle w:val="BookText"/>
      </w:pPr>
      <w:r>
        <w:rPr>
          <w:rFonts w:ascii="IRNazanin" w:hAnsi="IRNazanin" w:eastAsia="IRNazanin" w:cs="IRNazanin"/>
          <w:lang w:bidi="fa-IR"/>
          <w:color w:val="111111"/>
          <w:sz w:val="28"/>
          <w:szCs w:val="28"/>
          <w:rtl/>
        </w:rPr>
        <w:t xml:space="preserve">۶۷- نايب الزيادة بودن آقا سید حسین سرکشیک باشی از سوی محمد تقی خان محمد علی خان در ۱۲۳۹</w:t>
      </w:r>
    </w:p>
    <w:p>
      <w:pPr>
        <w:pStyle w:val="BookText"/>
      </w:pPr>
      <w:r>
        <w:rPr>
          <w:rFonts w:ascii="IRNazanin" w:hAnsi="IRNazanin" w:eastAsia="IRNazanin" w:cs="IRNazanin"/>
          <w:lang w:bidi="fa-IR"/>
          <w:color w:val="111111"/>
          <w:sz w:val="28"/>
          <w:szCs w:val="28"/>
          <w:rtl/>
        </w:rPr>
        <w:t xml:space="preserve">۶۸- عرضه داشت ابوالقاسم پسر ملاطاهر قمی و ورثه ملاصالح  درباره وظیفه خود با دستور فتح علی شاه در ۱۲۳۱</w:t>
      </w:r>
    </w:p>
    <w:p>
      <w:pPr>
        <w:pStyle w:val="BookText"/>
      </w:pPr>
      <w:r>
        <w:rPr>
          <w:rFonts w:ascii="IRNazanin" w:hAnsi="IRNazanin" w:eastAsia="IRNazanin" w:cs="IRNazanin"/>
          <w:lang w:bidi="fa-IR"/>
          <w:color w:val="111111"/>
          <w:sz w:val="28"/>
          <w:szCs w:val="28"/>
          <w:rtl/>
        </w:rPr>
        <w:t xml:space="preserve">۶۹- عرضه داشت حسین رضوی خادم سرکار فیض آثار درقم درباره کشت زار خود با دستور و خطاب به امین الدوله  در 1223</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عرضه داشت ورثه سید عبدالله پسر میرزا ابراهیم خـادم سرکار فیض درباره وظیفه خود با دستور فتح علی شاه در 1262</w:t>
      </w:r>
    </w:p>
    <w:p>
      <w:pPr>
        <w:pStyle w:val="BookText"/>
      </w:pPr>
      <w:r>
        <w:rPr>
          <w:rFonts w:ascii="IRNazanin" w:hAnsi="IRNazanin" w:eastAsia="IRNazanin" w:cs="IRNazanin"/>
          <w:lang w:bidi="fa-IR"/>
          <w:color w:val="111111"/>
          <w:sz w:val="28"/>
          <w:szCs w:val="28"/>
          <w:rtl/>
        </w:rPr>
        <w:t xml:space="preserve">۷۱- فرمان فتح علی شاه درباره سید حسین سرکشیک خادم پسر حاجی عبدالکریم در ۱۲۱۹</w:t>
      </w:r>
    </w:p>
    <w:p>
      <w:pPr>
        <w:pStyle w:val="BookText"/>
      </w:pPr>
      <w:r>
        <w:rPr>
          <w:rFonts w:ascii="IRNazanin" w:hAnsi="IRNazanin" w:eastAsia="IRNazanin" w:cs="IRNazanin"/>
          <w:lang w:bidi="fa-IR"/>
          <w:color w:val="111111"/>
          <w:sz w:val="28"/>
          <w:szCs w:val="28"/>
          <w:rtl/>
        </w:rPr>
        <w:t xml:space="preserve">۷۲- فرمان برای همان سید در ۱۲۵۰</w:t>
      </w:r>
    </w:p>
    <w:p>
      <w:pPr>
        <w:pStyle w:val="BookText"/>
      </w:pPr>
      <w:r>
        <w:rPr>
          <w:rFonts w:ascii="IRNazanin" w:hAnsi="IRNazanin" w:eastAsia="IRNazanin" w:cs="IRNazanin"/>
          <w:lang w:bidi="fa-IR"/>
          <w:color w:val="111111"/>
          <w:sz w:val="28"/>
          <w:szCs w:val="28"/>
          <w:rtl/>
        </w:rPr>
        <w:t xml:space="preserve">۷۳- عريضه سید حسن پسر میر عبدالکریم قمی درباره وظیفه خود با دستور فتح علی شاه</w:t>
      </w:r>
    </w:p>
    <w:p>
      <w:pPr>
        <w:pStyle w:val="BookText"/>
      </w:pPr>
      <w:r>
        <w:rPr>
          <w:rFonts w:ascii="IRNazanin" w:hAnsi="IRNazanin" w:eastAsia="IRNazanin" w:cs="IRNazanin"/>
          <w:lang w:bidi="fa-IR"/>
          <w:color w:val="111111"/>
          <w:sz w:val="28"/>
          <w:szCs w:val="28"/>
          <w:rtl/>
        </w:rPr>
        <w:t xml:space="preserve">۷۴- فرمان شاهانه برای همو در ۱۲۵۹</w:t>
      </w:r>
    </w:p>
    <w:p>
      <w:pPr>
        <w:pStyle w:val="BookText"/>
      </w:pPr>
      <w:r>
        <w:rPr>
          <w:rFonts w:ascii="IRNazanin" w:hAnsi="IRNazanin" w:eastAsia="IRNazanin" w:cs="IRNazanin"/>
          <w:lang w:bidi="fa-IR"/>
          <w:color w:val="111111"/>
          <w:sz w:val="28"/>
          <w:szCs w:val="28"/>
          <w:rtl/>
        </w:rPr>
        <w:t xml:space="preserve">۷۵- فرمان برای مستمری حاجی سید عبدالكريم ضابط و سـید محمد و سید حسن خادم سرکار فیض آثار معصومه در ۱۲۱۲</w:t>
      </w:r>
    </w:p>
    <w:p>
      <w:pPr>
        <w:pStyle w:val="BookText"/>
      </w:pPr>
      <w:r>
        <w:rPr>
          <w:rFonts w:ascii="IRNazanin" w:hAnsi="IRNazanin" w:eastAsia="IRNazanin" w:cs="IRNazanin"/>
          <w:lang w:bidi="fa-IR"/>
          <w:color w:val="111111"/>
          <w:sz w:val="28"/>
          <w:szCs w:val="28"/>
          <w:rtl/>
        </w:rPr>
        <w:t xml:space="preserve">۷۶- عرضه داشت سید محمد رضوی خادم آستان معصومه درباره تیول خود با دستور ۱۱۹۵</w:t>
      </w:r>
    </w:p>
    <w:p>
      <w:pPr>
        <w:pStyle w:val="BookText"/>
      </w:pPr>
      <w:r>
        <w:rPr>
          <w:rFonts w:ascii="IRNazanin" w:hAnsi="IRNazanin" w:eastAsia="IRNazanin" w:cs="IRNazanin"/>
          <w:lang w:bidi="fa-IR"/>
          <w:color w:val="111111"/>
          <w:sz w:val="28"/>
          <w:szCs w:val="28"/>
          <w:rtl/>
        </w:rPr>
        <w:t xml:space="preserve">۷۷- عرضه داشت میرزا عبدالکریم موسوی قمی درباره خدمت در درب طلای آستانه معصومه با دستور فتح علی شاه در 1217</w:t>
      </w:r>
    </w:p>
    <w:p>
      <w:pPr>
        <w:pStyle w:val="BookText"/>
      </w:pPr>
      <w:r>
        <w:rPr>
          <w:rFonts w:ascii="IRNazanin" w:hAnsi="IRNazanin" w:eastAsia="IRNazanin" w:cs="IRNazanin"/>
          <w:lang w:bidi="fa-IR"/>
          <w:color w:val="111111"/>
          <w:sz w:val="28"/>
          <w:szCs w:val="28"/>
          <w:rtl/>
        </w:rPr>
        <w:t xml:space="preserve">۷۸- فرمان مورخ شوال ۱۲۴۴ خطاب به میرزا اسدالله متولی آستانه قم که سید حسن سر کشیک متولی قریه برته (؟) باشد</w:t>
      </w:r>
    </w:p>
    <w:p>
      <w:pPr>
        <w:pStyle w:val="BookText"/>
      </w:pPr>
      <w:r>
        <w:rPr>
          <w:rFonts w:ascii="IRNazanin" w:hAnsi="IRNazanin" w:eastAsia="IRNazanin" w:cs="IRNazanin"/>
          <w:lang w:bidi="fa-IR"/>
          <w:color w:val="111111"/>
          <w:sz w:val="28"/>
          <w:szCs w:val="28"/>
          <w:rtl/>
        </w:rPr>
        <w:t xml:space="preserve">۷۹- فرمان درباره وظیفه همان سید حسن در شعبان ۱۲۶۰با حاشیه نویسی</w:t>
      </w:r>
    </w:p>
    <w:p>
      <w:pPr>
        <w:pStyle w:val="BookText"/>
      </w:pPr>
      <w:r>
        <w:rPr>
          <w:rFonts w:ascii="IRNazanin" w:hAnsi="IRNazanin" w:eastAsia="IRNazanin" w:cs="IRNazanin"/>
          <w:lang w:bidi="fa-IR"/>
          <w:color w:val="111111"/>
          <w:sz w:val="28"/>
          <w:szCs w:val="28"/>
          <w:rtl/>
        </w:rPr>
        <w:t xml:space="preserve">۸۰- حکم درباره مرگ آن سید و دادن کارش به میر عبدالکریم در ۱۲۵۸</w:t>
      </w:r>
    </w:p>
    <w:p>
      <w:pPr>
        <w:pStyle w:val="BookText"/>
      </w:pPr>
      <w:r>
        <w:rPr>
          <w:rFonts w:ascii="IRNazanin" w:hAnsi="IRNazanin" w:eastAsia="IRNazanin" w:cs="IRNazanin"/>
          <w:lang w:bidi="fa-IR"/>
          <w:color w:val="111111"/>
          <w:sz w:val="28"/>
          <w:szCs w:val="28"/>
          <w:rtl/>
        </w:rPr>
        <w:t xml:space="preserve">81- حکم برای آقا سید حسن و سرکشیک سرکار فیض آثار بودن او در ۱۲۲۵</w:t>
      </w:r>
    </w:p>
    <w:p>
      <w:pPr>
        <w:pStyle w:val="BookText"/>
      </w:pPr>
      <w:r>
        <w:rPr>
          <w:rFonts w:ascii="IRNazanin" w:hAnsi="IRNazanin" w:eastAsia="IRNazanin" w:cs="IRNazanin"/>
          <w:lang w:bidi="fa-IR"/>
          <w:color w:val="111111"/>
          <w:sz w:val="28"/>
          <w:szCs w:val="28"/>
          <w:rtl/>
        </w:rPr>
        <w:t xml:space="preserve">۸۲  -حکم برای آقا محمد باقر پسر آقا محمد آقا محمد علی خادم آستانه قم در ۱۲۲۷</w:t>
      </w:r>
    </w:p>
    <w:p>
      <w:pPr>
        <w:pStyle w:val="BookText"/>
      </w:pPr>
      <w:r>
        <w:rPr>
          <w:rFonts w:ascii="IRNazanin" w:hAnsi="IRNazanin" w:eastAsia="IRNazanin" w:cs="IRNazanin"/>
          <w:lang w:bidi="fa-IR"/>
          <w:color w:val="111111"/>
          <w:sz w:val="28"/>
          <w:szCs w:val="28"/>
          <w:rtl/>
        </w:rPr>
        <w:t xml:space="preserve">۸۳- حکم به آقا میر عبدالکریم سرکشیک درباره میرزا حسـن سرکشیک و کشیکچیان آستانه در جمادی الثانی ۱۲۶۷</w:t>
      </w:r>
    </w:p>
    <w:p>
      <w:pPr>
        <w:pStyle w:val="BookText"/>
      </w:pPr>
      <w:r>
        <w:rPr>
          <w:rFonts w:ascii="IRNazanin" w:hAnsi="IRNazanin" w:eastAsia="IRNazanin" w:cs="IRNazanin"/>
          <w:lang w:bidi="fa-IR"/>
          <w:color w:val="111111"/>
          <w:sz w:val="28"/>
          <w:szCs w:val="28"/>
          <w:rtl/>
        </w:rPr>
        <w:t xml:space="preserve">۸۴- حکم درباره میرزا عبدالرحیم خادم آستانه قم در ۱۲۶۲</w:t>
      </w:r>
    </w:p>
    <w:p>
      <w:pPr>
        <w:pStyle w:val="BookText"/>
      </w:pPr>
      <w:r>
        <w:rPr>
          <w:rFonts w:ascii="IRNazanin" w:hAnsi="IRNazanin" w:eastAsia="IRNazanin" w:cs="IRNazanin"/>
          <w:lang w:bidi="fa-IR"/>
          <w:color w:val="111111"/>
          <w:sz w:val="28"/>
          <w:szCs w:val="28"/>
          <w:rtl/>
        </w:rPr>
        <w:t xml:space="preserve">۸۵- حکم درباره میر عبدالکریم سرکشیک که خادم آستانه باشد در  ۱۲۶۴</w:t>
      </w:r>
    </w:p>
    <w:p>
      <w:pPr>
        <w:pStyle w:val="BookText"/>
      </w:pPr>
      <w:r>
        <w:rPr>
          <w:rFonts w:ascii="IRNazanin" w:hAnsi="IRNazanin" w:eastAsia="IRNazanin" w:cs="IRNazanin"/>
          <w:lang w:bidi="fa-IR"/>
          <w:color w:val="111111"/>
          <w:sz w:val="28"/>
          <w:szCs w:val="28"/>
          <w:rtl/>
        </w:rPr>
        <w:t xml:space="preserve">۸۶- نامه ای در اینکه آقا سید حسن سرکشک مرده و باید کار سرکشیکی به آقا میر عبدالکریم داده شود</w:t>
      </w:r>
    </w:p>
    <w:p>
      <w:pPr>
        <w:pStyle w:val="BookText"/>
      </w:pPr>
      <w:r>
        <w:rPr>
          <w:rFonts w:ascii="IRNazanin" w:hAnsi="IRNazanin" w:eastAsia="IRNazanin" w:cs="IRNazanin"/>
          <w:lang w:bidi="fa-IR"/>
          <w:color w:val="111111"/>
          <w:sz w:val="28"/>
          <w:szCs w:val="28"/>
          <w:rtl/>
        </w:rPr>
        <w:t xml:space="preserve">۸۷- عرضه داشت میر محمدرضا مشهور به شیخ محمد رضا به وسیله آقا سید حسین سر  سرکشیک سرکار آستانه</w:t>
      </w:r>
    </w:p>
    <w:p>
      <w:pPr>
        <w:pStyle w:val="BookText"/>
      </w:pPr>
      <w:r>
        <w:rPr>
          <w:rFonts w:ascii="IRNazanin" w:hAnsi="IRNazanin" w:eastAsia="IRNazanin" w:cs="IRNazanin"/>
          <w:lang w:bidi="fa-IR"/>
          <w:color w:val="111111"/>
          <w:sz w:val="28"/>
          <w:szCs w:val="28"/>
          <w:rtl/>
        </w:rPr>
        <w:t xml:space="preserve">۸۸- فرمان پادشاه ناصرالدین قاجار در ۱۲۹۱ به اعتضاد الدوله حاکم قم و ساوه درباره چند خادم اخراجی که برگردند به کار  در ۱۲۹۱</w:t>
      </w:r>
    </w:p>
    <w:p>
      <w:pPr>
        <w:pStyle w:val="BookText"/>
      </w:pPr>
      <w:r>
        <w:rPr>
          <w:rFonts w:ascii="IRNazanin" w:hAnsi="IRNazanin" w:eastAsia="IRNazanin" w:cs="IRNazanin"/>
          <w:lang w:bidi="fa-IR"/>
          <w:color w:val="111111"/>
          <w:sz w:val="28"/>
          <w:szCs w:val="28"/>
          <w:rtl/>
        </w:rPr>
        <w:t xml:space="preserve">89-عرضه داشت یکی از خادمان آستانه قم، با دستور ۱۲۶۲</w:t>
      </w:r>
    </w:p>
    <w:p>
      <w:pPr>
        <w:pStyle w:val="BookText"/>
      </w:pPr>
      <w:r>
        <w:rPr>
          <w:rFonts w:ascii="IRNazanin" w:hAnsi="IRNazanin" w:eastAsia="IRNazanin" w:cs="IRNazanin"/>
          <w:lang w:bidi="fa-IR"/>
          <w:color w:val="111111"/>
          <w:sz w:val="28"/>
          <w:szCs w:val="28"/>
          <w:rtl/>
        </w:rPr>
        <w:t xml:space="preserve">۹۰- عرضه داشت حسن رضوی که سید حسین مرده و کارش به او داده می شود در ۱۱۹۳ عبدالکریم و آمیرزا حسین مورخ ذیحجه ۱۲۷۳ با دستور خطاب به آن دو تن در همین تاریخ (۵ ص)</w:t>
      </w:r>
    </w:p>
    <w:p>
      <w:pPr>
        <w:pStyle w:val="BookText"/>
      </w:pPr>
      <w:r>
        <w:rPr>
          <w:rFonts w:ascii="IRNazanin" w:hAnsi="IRNazanin" w:eastAsia="IRNazanin" w:cs="IRNazanin"/>
          <w:lang w:bidi="fa-IR"/>
          <w:color w:val="111111"/>
          <w:sz w:val="28"/>
          <w:szCs w:val="28"/>
          <w:rtl/>
        </w:rPr>
        <w:t xml:space="preserve">۹۲. وقف نامه (طوماری) با سجلی به نسخ خود واقف فخر المجتهدين رئيس المحدثين ميرزا ابوطالب حسین طاهری قمی که من ثلث رقبات یاد شده در ورقه را برای مصارف معین و نیز کتابهایم را بر فرزندانم وقف کردم اگر علمای دین باشند و اگر نه طبق آنچه که در ذیل وقف نامه کتابها آمده است عمل شود با یک خطبه به عربی به نسخ سپس متن وقف نامه (به نستعلیق) درباره کشتزار زنبیل آباد علی آباد پیوسته به فرح آباد برای تعزیه امام حسین و چیزهایی دیگر با تولیت خود واقف سپس به پسران او میرزا سید محمد و میرزا محمد طاهر</w:t>
      </w:r>
    </w:p>
    <w:p>
      <w:pPr>
        <w:pStyle w:val="BookText"/>
      </w:pPr>
      <w:r>
        <w:rPr>
          <w:rFonts w:ascii="IRNazanin" w:hAnsi="IRNazanin" w:eastAsia="IRNazanin" w:cs="IRNazanin"/>
          <w:lang w:bidi="fa-IR"/>
          <w:color w:val="111111"/>
          <w:sz w:val="28"/>
          <w:szCs w:val="28"/>
          <w:rtl/>
        </w:rPr>
        <w:t xml:space="preserve">۹۳- حکم به محمد قلی خان سعدلو که اکنون محمد علی بیک برادرش به درگاه آمده و صوفی گری شما را رسانیده و به وکیل الدوله قورچی باشی دستور دادیم که به شما بنویسد  که چه باید بکنید در جمادی الثانی ۱۱۴۲.</w:t>
      </w:r>
    </w:p>
    <w:p>
      <w:pPr>
        <w:pStyle w:val="BookText"/>
      </w:pPr>
      <w:r>
        <w:rPr>
          <w:rFonts w:ascii="IRNazanin" w:hAnsi="IRNazanin" w:eastAsia="IRNazanin" w:cs="IRNazanin"/>
          <w:lang w:bidi="fa-IR"/>
          <w:color w:val="111111"/>
          <w:sz w:val="28"/>
          <w:szCs w:val="28"/>
          <w:rtl/>
        </w:rPr>
        <w:t xml:space="preserve">تهران؛ دانشگاه؛ شماره نسخه: ۴۷۱۷-ف</w:t>
      </w:r>
    </w:p>
    <w:p>
      <w:pPr>
        <w:pStyle w:val="BookText"/>
      </w:pPr>
      <w:r>
        <w:rPr>
          <w:rFonts w:ascii="IRNazanin" w:hAnsi="IRNazanin" w:eastAsia="IRNazanin" w:cs="IRNazanin"/>
          <w:lang w:bidi="fa-IR"/>
          <w:color w:val="111111"/>
          <w:sz w:val="28"/>
          <w:szCs w:val="28"/>
          <w:rtl/>
        </w:rPr>
        <w:t xml:space="preserve">بی کا، بی تا [ فیلم ها-ف: ۳ - ۹۱]</w:t>
      </w:r>
    </w:p>
    <w:p>
      <w:pPr>
        <w:pStyle w:val="BookText"/>
      </w:pPr>
      <w:r>
        <w:rPr>
          <w:rFonts w:ascii="IRNazanin" w:hAnsi="IRNazanin" w:eastAsia="IRNazanin" w:cs="IRNazanin"/>
          <w:lang w:bidi="fa-IR"/>
          <w:color w:val="111111"/>
          <w:sz w:val="28"/>
          <w:szCs w:val="28"/>
          <w:rtl/>
        </w:rPr>
        <w:t xml:space="preserve">«اسناد میرزا ملکم خان» نامه های سیاسی زمان قاجار</w:t>
      </w:r>
    </w:p>
    <w:p>
      <w:pPr>
        <w:pStyle w:val="Heading3"/>
      </w:pPr>
      <w:bookmarkStart w:id="1800" w:name="_Toc1322"/>
      <w:r>
        <w:t>اسناد و اوراق / اسناد / فارسی</w:t>
      </w:r>
      <w:bookmarkEnd w:id="1800"/>
    </w:p>
    <w:p>
      <w:pPr>
        <w:pStyle w:val="BookText"/>
      </w:pPr>
      <w:r>
        <w:rPr>
          <w:rFonts w:ascii="Times New Roman" w:hAnsi="Times New Roman" w:eastAsia="Times New Roman" w:cs="Times New Roman"/>
          <w:lang w:val="en-US" w:bidi="en-US"/>
          <w:color w:val="111111"/>
          <w:sz w:val="28"/>
          <w:szCs w:val="28"/>
          <w:rtl/>
        </w:rPr>
        <w:t xml:space="preserve">asnad va owrāq.</w:t>
      </w:r>
    </w:p>
    <w:p>
      <w:pPr>
        <w:pStyle w:val="BookText"/>
      </w:pPr>
      <w:r>
        <w:rPr>
          <w:rFonts w:ascii="IRNazanin" w:hAnsi="IRNazanin" w:eastAsia="IRNazanin" w:cs="IRNazanin"/>
          <w:lang w:bidi="fa-IR"/>
          <w:color w:val="111111"/>
          <w:sz w:val="28"/>
          <w:szCs w:val="28"/>
          <w:rtl/>
        </w:rPr>
        <w:t xml:space="preserve">١. تهران؛ دانشگاه؛ شماره نسخه: ۸۹۷۴</w:t>
      </w:r>
    </w:p>
    <w:p>
      <w:pPr>
        <w:pStyle w:val="BookText"/>
      </w:pPr>
      <w:r>
        <w:rPr>
          <w:rFonts w:ascii="IRNazanin" w:hAnsi="IRNazanin" w:eastAsia="IRNazanin" w:cs="IRNazanin"/>
          <w:lang w:bidi="fa-IR"/>
          <w:color w:val="111111"/>
          <w:sz w:val="28"/>
          <w:szCs w:val="28"/>
          <w:rtl/>
        </w:rPr>
        <w:t xml:space="preserve">مدارک زندگانی رضاشاه پهلوی؛ بی کا، بی تا؛ نسخه اصل. [ف: 17- 267]</w:t>
      </w:r>
    </w:p>
    <w:p>
      <w:pPr>
        <w:pStyle w:val="BookText"/>
      </w:pPr>
      <w:r>
        <w:rPr>
          <w:rFonts w:ascii="IRNazanin" w:hAnsi="IRNazanin" w:eastAsia="IRNazanin" w:cs="IRNazanin"/>
          <w:lang w:bidi="fa-IR"/>
          <w:color w:val="111111"/>
          <w:sz w:val="28"/>
          <w:szCs w:val="28"/>
          <w:rtl/>
        </w:rPr>
        <w:t xml:space="preserve">تهران؛ دانشگاه؛ شماره نسخه: ۹۸۹۷</w:t>
      </w:r>
    </w:p>
    <w:p>
      <w:pPr>
        <w:pStyle w:val="BookText"/>
      </w:pPr>
      <w:r>
        <w:rPr>
          <w:rFonts w:ascii="IRNazanin" w:hAnsi="IRNazanin" w:eastAsia="IRNazanin" w:cs="IRNazanin"/>
          <w:lang w:bidi="fa-IR"/>
          <w:color w:val="111111"/>
          <w:sz w:val="28"/>
          <w:szCs w:val="28"/>
          <w:rtl/>
        </w:rPr>
        <w:t xml:space="preserve">میرزا ابراهیم قمی درباره قانون و مجلس با نامه های دارای تاریخ ۱۳۱۶ و ۱۳۲۴ و وصیت نامه پطر کبیر گویا برخی از اینها هم خط او نباشد؛ بی کا، بی تا [ف: ۱۷ - ۵۰۳]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371" w:name="pg20365_260516"/>
    <w:bookmarkEnd w:id="371"/>
    <w:p>
      <w:pPr>
        <w:pStyle w:val="Heading3"/>
      </w:pPr>
      <w:bookmarkStart w:id="1801" w:name="_Toc1323"/>
      <w:r>
        <w:t>اسناد و تلگرافهای زمان قاجار / اسناد / فارسی</w:t>
      </w:r>
      <w:bookmarkEnd w:id="1801"/>
    </w:p>
    <w:p>
      <w:pPr>
        <w:pStyle w:val="BookText"/>
      </w:pPr>
      <w:r>
        <w:rPr>
          <w:rFonts w:ascii="Times New Roman" w:hAnsi="Times New Roman" w:eastAsia="Times New Roman" w:cs="Times New Roman"/>
          <w:lang w:val="en-US" w:bidi="en-US"/>
          <w:color w:val="111111"/>
          <w:sz w:val="28"/>
          <w:szCs w:val="28"/>
          <w:rtl/>
        </w:rPr>
        <w:t xml:space="preserve">asnād va telegrāf-hā-ye zamān-e qājār</w:t>
      </w:r>
    </w:p>
    <w:p>
      <w:pPr>
        <w:pStyle w:val="BookText"/>
      </w:pPr>
      <w:r>
        <w:rPr>
          <w:rFonts w:ascii="IRNazanin" w:hAnsi="IRNazanin" w:eastAsia="IRNazanin" w:cs="IRNazanin"/>
          <w:lang w:bidi="fa-IR"/>
          <w:color w:val="111111"/>
          <w:sz w:val="28"/>
          <w:szCs w:val="28"/>
          <w:rtl/>
        </w:rPr>
        <w:t xml:space="preserve">تهران؛ دانشگاه؛ شماره نسخه: ۳۳۰۷-ف</w:t>
      </w:r>
    </w:p>
    <w:p>
      <w:pPr>
        <w:pStyle w:val="BookText"/>
      </w:pPr>
      <w:r>
        <w:rPr>
          <w:rFonts w:ascii="IRNazanin" w:hAnsi="IRNazanin" w:eastAsia="IRNazanin" w:cs="IRNazanin"/>
          <w:lang w:bidi="fa-IR"/>
          <w:color w:val="111111"/>
          <w:sz w:val="28"/>
          <w:szCs w:val="28"/>
          <w:rtl/>
        </w:rPr>
        <w:t xml:space="preserve">از روی اصل. سندها مورخ  ۱۲۹۸ و ۱۳۳۸، تلگراف ها مورخ  1337؛</w:t>
      </w:r>
    </w:p>
    <w:p>
      <w:pPr>
        <w:pStyle w:val="BookText"/>
      </w:pPr>
      <w:r>
        <w:rPr>
          <w:rFonts w:ascii="IRNazanin" w:hAnsi="IRNazanin" w:eastAsia="IRNazanin" w:cs="IRNazanin"/>
          <w:lang w:bidi="fa-IR"/>
          <w:color w:val="111111"/>
          <w:sz w:val="28"/>
          <w:szCs w:val="28"/>
          <w:rtl/>
        </w:rPr>
        <w:t xml:space="preserve">بی  کا، بی تا [ فیلم ها-ف: ۲ - ۱۱۹]</w:t>
      </w:r>
    </w:p>
    <w:p>
      <w:pPr>
        <w:pStyle w:val="BookText"/>
      </w:pPr>
      <w:r>
        <w:rPr>
          <w:rFonts w:ascii="IRNazanin" w:hAnsi="IRNazanin" w:eastAsia="IRNazanin" w:cs="IRNazanin"/>
          <w:lang w:bidi="fa-IR"/>
          <w:color w:val="111111"/>
          <w:sz w:val="28"/>
          <w:szCs w:val="28"/>
          <w:rtl/>
        </w:rPr>
        <w:t xml:space="preserve">تهران؛ دانشگاه؛ شماره نسخه: ۳۳۱۰-ف</w:t>
      </w:r>
    </w:p>
    <w:p>
      <w:pPr>
        <w:pStyle w:val="BookText"/>
      </w:pPr>
      <w:r>
        <w:rPr>
          <w:rFonts w:ascii="IRNazanin" w:hAnsi="IRNazanin" w:eastAsia="IRNazanin" w:cs="IRNazanin"/>
          <w:lang w:bidi="fa-IR"/>
          <w:color w:val="111111"/>
          <w:sz w:val="28"/>
          <w:szCs w:val="28"/>
          <w:rtl/>
        </w:rPr>
        <w:t xml:space="preserve">از روی  اصل، مانند فیلم ۳۳۰۷. سندهای مورخ 1298و 1338و تلگرافهای مورخ ۱۳۳۷؛ بی کا، بی تا [فیلم ها-ف: ۲ - ۱۱۹]</w:t>
      </w:r>
    </w:p>
    <w:p>
      <w:pPr>
        <w:pStyle w:val="Heading3"/>
      </w:pPr>
      <w:bookmarkStart w:id="1802" w:name="_Toc1324"/>
      <w:r>
        <w:t>اسناد و جزوه های حزب ملیون / اسناد / فارسی</w:t>
      </w:r>
      <w:bookmarkEnd w:id="1802"/>
    </w:p>
    <w:p>
      <w:pPr>
        <w:pStyle w:val="BookText"/>
      </w:pPr>
      <w:r>
        <w:rPr>
          <w:rFonts w:ascii="Times New Roman" w:hAnsi="Times New Roman" w:eastAsia="Times New Roman" w:cs="Times New Roman"/>
          <w:lang w:val="en-US" w:bidi="en-US"/>
          <w:color w:val="111111"/>
          <w:sz w:val="28"/>
          <w:szCs w:val="28"/>
          <w:rtl/>
        </w:rPr>
        <w:t xml:space="preserve">asnād va jozve-hā-ye hezb-e mellīyūn</w:t>
      </w:r>
    </w:p>
    <w:p>
      <w:pPr>
        <w:pStyle w:val="BookText"/>
      </w:pPr>
      <w:r>
        <w:rPr>
          <w:rFonts w:ascii="IRNazanin" w:hAnsi="IRNazanin" w:eastAsia="IRNazanin" w:cs="IRNazanin"/>
          <w:lang w:bidi="fa-IR"/>
          <w:color w:val="111111"/>
          <w:sz w:val="28"/>
          <w:szCs w:val="28"/>
          <w:rtl/>
        </w:rPr>
        <w:t xml:space="preserve">تهران؛ دانشگاه؛ شماره نسخه: ۵۷۶۸-ف</w:t>
      </w:r>
    </w:p>
    <w:p>
      <w:pPr>
        <w:pStyle w:val="BookText"/>
      </w:pPr>
      <w:r>
        <w:rPr>
          <w:rFonts w:ascii="IRNazanin" w:hAnsi="IRNazanin" w:eastAsia="IRNazanin" w:cs="IRNazanin"/>
          <w:lang w:bidi="fa-IR"/>
          <w:color w:val="111111"/>
          <w:sz w:val="28"/>
          <w:szCs w:val="28"/>
          <w:rtl/>
        </w:rPr>
        <w:t xml:space="preserve">بی کا، بی تا [ فیلم هاف ۳ - ۱۸۰]</w:t>
      </w:r>
    </w:p>
    <w:p>
      <w:pPr>
        <w:pStyle w:val="Heading3"/>
      </w:pPr>
      <w:bookmarkStart w:id="1803" w:name="_Toc1325"/>
      <w:r>
        <w:t>اسناد و خرج بروجرد / اسناد / فارسی</w:t>
      </w:r>
      <w:bookmarkEnd w:id="1803"/>
    </w:p>
    <w:p>
      <w:pPr>
        <w:pStyle w:val="BookText"/>
      </w:pPr>
      <w:r>
        <w:rPr>
          <w:rFonts w:ascii="Times New Roman" w:hAnsi="Times New Roman" w:eastAsia="Times New Roman" w:cs="Times New Roman"/>
          <w:lang w:val="en-US" w:bidi="en-US"/>
          <w:color w:val="111111"/>
          <w:sz w:val="28"/>
          <w:szCs w:val="28"/>
          <w:rtl/>
        </w:rPr>
        <w:t xml:space="preserve">asnād va xarj-e borūjerd</w:t>
      </w:r>
    </w:p>
    <w:p>
      <w:pPr>
        <w:pStyle w:val="BookText"/>
      </w:pPr>
      <w:r>
        <w:rPr>
          <w:rFonts w:ascii="IRNazanin" w:hAnsi="IRNazanin" w:eastAsia="IRNazanin" w:cs="IRNazanin"/>
          <w:lang w:bidi="fa-IR"/>
          <w:color w:val="111111"/>
          <w:sz w:val="28"/>
          <w:szCs w:val="28"/>
          <w:rtl/>
        </w:rPr>
        <w:t xml:space="preserve">تهران؛ مجلس؛ شماره نسخه: ۹۶۸</w:t>
      </w:r>
    </w:p>
    <w:p>
      <w:pPr>
        <w:pStyle w:val="BookText"/>
      </w:pPr>
      <w:r>
        <w:rPr>
          <w:rFonts w:ascii="IRNazanin" w:hAnsi="IRNazanin" w:eastAsia="IRNazanin" w:cs="IRNazanin"/>
          <w:lang w:bidi="fa-IR"/>
          <w:color w:val="111111"/>
          <w:sz w:val="28"/>
          <w:szCs w:val="28"/>
          <w:rtl/>
        </w:rPr>
        <w:t xml:space="preserve">کتابچه اسناد و خرج بروجرد در سال ۱۳۰۲ اعداد به سیاق اسـت ؛خط: نستعلیق، بی کا، تا: قرن ۱۴؛ با مهر و یادداشت علی الاعلی در ۱۶ جمادی الثانی ۱۳۰۵. (۱۷۰۳۳) ؛کاغذ ،آبی ،جلد: گالینگور، ۳۸گ، ابعادمتن: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[سنا - ف: ٢ - ٩٩]</w:t>
      </w:r>
    </w:p>
    <w:p>
      <w:pPr>
        <w:pStyle w:val="Heading3"/>
      </w:pPr>
      <w:bookmarkStart w:id="1804" w:name="_Toc1326"/>
      <w:r>
        <w:t>اسناد و خرج کرمانشاهان / اسناد / فارسی</w:t>
      </w:r>
      <w:bookmarkEnd w:id="1804"/>
    </w:p>
    <w:p>
      <w:pPr>
        <w:pStyle w:val="BookText"/>
      </w:pPr>
      <w:r>
        <w:rPr>
          <w:rFonts w:ascii="Times New Roman" w:hAnsi="Times New Roman" w:eastAsia="Times New Roman" w:cs="Times New Roman"/>
          <w:lang w:val="en-US" w:bidi="en-US"/>
          <w:color w:val="111111"/>
          <w:sz w:val="28"/>
          <w:szCs w:val="28"/>
          <w:rtl/>
        </w:rPr>
        <w:t xml:space="preserve">asnād va xarj-e kermānšāhān</w:t>
      </w:r>
    </w:p>
    <w:p>
      <w:pPr>
        <w:pStyle w:val="BookText"/>
      </w:pPr>
      <w:r>
        <w:rPr>
          <w:rFonts w:ascii="IRNazanin" w:hAnsi="IRNazanin" w:eastAsia="IRNazanin" w:cs="IRNazanin"/>
          <w:lang w:bidi="fa-IR"/>
          <w:color w:val="111111"/>
          <w:sz w:val="28"/>
          <w:szCs w:val="28"/>
          <w:rtl/>
        </w:rPr>
        <w:t xml:space="preserve">تهران؛ مجلس؛ شماره نسخه: ۱۰۴۹</w:t>
      </w:r>
    </w:p>
    <w:p>
      <w:pPr>
        <w:pStyle w:val="BookText"/>
      </w:pPr>
      <w:r>
        <w:rPr>
          <w:rFonts w:ascii="IRNazanin" w:hAnsi="IRNazanin" w:eastAsia="IRNazanin" w:cs="IRNazanin"/>
          <w:lang w:bidi="fa-IR"/>
          <w:color w:val="111111"/>
          <w:sz w:val="28"/>
          <w:szCs w:val="28"/>
          <w:rtl/>
        </w:rPr>
        <w:t xml:space="preserve">کتابچه اسناد و خرج کرمانشاهان در سال ۱۳۰۲ اعداد به سیاق است ؛خط: نستعلیق، بی کا ،تا: قرن ۱۴؛ با مهر و یادداشت الاعلى در جمادی الثانی ۱۳۰۵ ؛مهر: محمدرضا ،کاغذ: آبی، جلد: گالینگور ،۱۰۳گ، ابعاد متن: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  - ف: ۲ - ۱۰۹]</w:t>
      </w:r>
    </w:p>
    <w:p>
      <w:pPr>
        <w:pStyle w:val="Heading3"/>
      </w:pPr>
      <w:bookmarkStart w:id="1805" w:name="_Toc1327"/>
      <w:r>
        <w:t>اسناد و خرج مستمریات اصفهان / اسناد / فارسی</w:t>
      </w:r>
      <w:bookmarkEnd w:id="1805"/>
    </w:p>
    <w:p>
      <w:pPr>
        <w:pStyle w:val="BookText"/>
      </w:pPr>
      <w:r>
        <w:rPr>
          <w:rFonts w:ascii="Times New Roman" w:hAnsi="Times New Roman" w:eastAsia="Times New Roman" w:cs="Times New Roman"/>
          <w:lang w:val="en-US" w:bidi="en-US"/>
          <w:color w:val="111111"/>
          <w:sz w:val="28"/>
          <w:szCs w:val="28"/>
          <w:rtl/>
        </w:rPr>
        <w:t xml:space="preserve">asnād va xarj-e mostamarrīyāt-e esfahān</w:t>
      </w:r>
    </w:p>
    <w:p>
      <w:pPr>
        <w:pStyle w:val="BookText"/>
      </w:pPr>
      <w:r>
        <w:rPr>
          <w:rFonts w:ascii="IRNazanin" w:hAnsi="IRNazanin" w:eastAsia="IRNazanin" w:cs="IRNazanin"/>
          <w:lang w:bidi="fa-IR"/>
          <w:color w:val="111111"/>
          <w:sz w:val="28"/>
          <w:szCs w:val="28"/>
          <w:rtl/>
        </w:rPr>
        <w:t xml:space="preserve">تهران؛ مجلس؛ شماره نسخه: ۱۰۴۸</w:t>
      </w:r>
    </w:p>
    <w:p>
      <w:pPr>
        <w:pStyle w:val="BookText"/>
      </w:pPr>
      <w:r>
        <w:rPr>
          <w:rFonts w:ascii="IRNazanin" w:hAnsi="IRNazanin" w:eastAsia="IRNazanin" w:cs="IRNazanin"/>
          <w:lang w:bidi="fa-IR"/>
          <w:color w:val="111111"/>
          <w:sz w:val="28"/>
          <w:szCs w:val="28"/>
          <w:rtl/>
        </w:rPr>
        <w:t xml:space="preserve">کتابچه اسناد و خرج مستمریات اصفهان در سال ۱۳۰۴ اعداد به سیاق است ؛خط: نستعلیق، بی کا، تا: قرن ۱۴؛ مهر: محمد علی، محمد رضا، نصر الله در ذیحجه ۱۳۰۳؛ کاغذ ،آبی ،جلد: گالینگور، ۷۵گ، ابعاد متن: 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[سنا - ف: ٢ - ١٠٩]</w:t>
      </w:r>
    </w:p>
    <w:p>
      <w:pPr>
        <w:pStyle w:val="Heading3"/>
      </w:pPr>
      <w:bookmarkStart w:id="1806" w:name="_Toc1328"/>
      <w:r>
        <w:t>اسناد وزارت امور خارجه آلمان به زبان و خط اروپایی / اسناد / انگلیسی</w:t>
      </w:r>
      <w:bookmarkEnd w:id="1806"/>
    </w:p>
    <w:p>
      <w:pPr>
        <w:pStyle w:val="BookText"/>
      </w:pPr>
      <w:r>
        <w:rPr>
          <w:rFonts w:ascii="Times New Roman" w:hAnsi="Times New Roman" w:eastAsia="Times New Roman" w:cs="Times New Roman"/>
          <w:lang w:val="en-US" w:bidi="en-US"/>
          <w:color w:val="111111"/>
          <w:sz w:val="28"/>
          <w:szCs w:val="28"/>
          <w:rtl/>
        </w:rPr>
        <w:t xml:space="preserve">asnād-e vezārat-e omūr-e xāreje-ye ālmān be zabān va</w:t>
      </w:r>
    </w:p>
    <w:p>
      <w:pPr>
        <w:pStyle w:val="BookText"/>
      </w:pPr>
      <w:r>
        <w:rPr>
          <w:rFonts w:ascii="Times New Roman" w:hAnsi="Times New Roman" w:eastAsia="Times New Roman" w:cs="Times New Roman"/>
          <w:lang w:val="en-US" w:bidi="en-US"/>
          <w:color w:val="111111"/>
          <w:sz w:val="28"/>
          <w:szCs w:val="28"/>
          <w:rtl/>
        </w:rPr>
        <w:t xml:space="preserve">xatt-e orūpā-yī</w:t>
      </w:r>
    </w:p>
    <w:p>
      <w:pPr>
        <w:pStyle w:val="BookText"/>
      </w:pPr>
      <w:r>
        <w:rPr>
          <w:rFonts w:ascii="IRNazanin" w:hAnsi="IRNazanin" w:eastAsia="IRNazanin" w:cs="IRNazanin"/>
          <w:lang w:bidi="fa-IR"/>
          <w:color w:val="111111"/>
          <w:sz w:val="28"/>
          <w:szCs w:val="28"/>
          <w:rtl/>
        </w:rPr>
        <w:t xml:space="preserve">تهران؛ دانشگاه؛ شماره نسخه: ۴۲۸۰-ف</w:t>
      </w:r>
    </w:p>
    <w:p>
      <w:pPr>
        <w:pStyle w:val="BookText"/>
      </w:pPr>
      <w:r>
        <w:rPr>
          <w:rFonts w:ascii="IRNazanin" w:hAnsi="IRNazanin" w:eastAsia="IRNazanin" w:cs="IRNazanin"/>
          <w:lang w:bidi="fa-IR"/>
          <w:color w:val="111111"/>
          <w:sz w:val="28"/>
          <w:szCs w:val="28"/>
          <w:rtl/>
        </w:rPr>
        <w:t xml:space="preserve">بی  کا،بی تا [ فیلم ها-ف: ۳ - ۴۱]</w:t>
      </w:r>
    </w:p>
    <w:p>
      <w:pPr>
        <w:pStyle w:val="Heading3"/>
      </w:pPr>
      <w:bookmarkStart w:id="1807" w:name="_Toc1329"/>
      <w:r>
        <w:t>اسناد وزارت خارجه / اسناد / فارسی</w:t>
      </w:r>
      <w:bookmarkEnd w:id="1807"/>
    </w:p>
    <w:p>
      <w:pPr>
        <w:pStyle w:val="BookText"/>
      </w:pPr>
      <w:r>
        <w:rPr>
          <w:rFonts w:ascii="Times New Roman" w:hAnsi="Times New Roman" w:eastAsia="Times New Roman" w:cs="Times New Roman"/>
          <w:lang w:val="en-US" w:bidi="en-US"/>
          <w:color w:val="111111"/>
          <w:sz w:val="28"/>
          <w:szCs w:val="28"/>
          <w:rtl/>
        </w:rPr>
        <w:t xml:space="preserve">asnād-e vezārat-e xāreje</w:t>
      </w:r>
    </w:p>
    <w:p>
      <w:pPr>
        <w:pStyle w:val="BookText"/>
      </w:pPr>
      <w:r>
        <w:rPr>
          <w:rFonts w:ascii="IRNazanin" w:hAnsi="IRNazanin" w:eastAsia="IRNazanin" w:cs="IRNazanin"/>
          <w:lang w:bidi="fa-IR"/>
          <w:color w:val="111111"/>
          <w:sz w:val="28"/>
          <w:szCs w:val="28"/>
          <w:rtl/>
        </w:rPr>
        <w:t xml:space="preserve">تهران؛ دانشگاه؛ شماره نسخه: ۳۷۰۹-ف</w:t>
      </w:r>
    </w:p>
    <w:p>
      <w:pPr>
        <w:pStyle w:val="BookText"/>
      </w:pPr>
      <w:r>
        <w:rPr>
          <w:rFonts w:ascii="IRNazanin" w:hAnsi="IRNazanin" w:eastAsia="IRNazanin" w:cs="IRNazanin"/>
          <w:lang w:bidi="fa-IR"/>
          <w:color w:val="111111"/>
          <w:sz w:val="28"/>
          <w:szCs w:val="28"/>
          <w:rtl/>
        </w:rPr>
        <w:t xml:space="preserve">نسخه اصل: خارجه ۶۳۲۹ (۲۴۲۶). که در پاکت های مفصل رسیده بی ضبط تاریخ روز و ماه و سال و از زمان ناصرالدین شاه و وزارت میرزا سعید خان انصاری است و بیشتر مربوط به کارگزاران امور تذکره و کارهای مرزی است؛ بی كاء بی تا، با گواهی مرآة الممالک که از کتابخانه به اطاق اسناد آمده است؛  ۱۶۲گ و نخست ۱۸۳ گ. [فیلم ها-ف: ۲ - ۲۲۸]</w:t>
      </w:r>
    </w:p>
    <w:p>
      <w:pPr>
        <w:pStyle w:val="Heading3"/>
      </w:pPr>
      <w:bookmarkStart w:id="1808" w:name="_Toc1330"/>
      <w:r>
        <w:t>اسناد و شرح سرخ باد / متفرقه / فارسی</w:t>
      </w:r>
      <w:bookmarkEnd w:id="1808"/>
    </w:p>
    <w:p>
      <w:pPr>
        <w:pStyle w:val="BookText"/>
      </w:pPr>
      <w:r>
        <w:rPr>
          <w:rFonts w:ascii="Times New Roman" w:hAnsi="Times New Roman" w:eastAsia="Times New Roman" w:cs="Times New Roman"/>
          <w:lang w:val="en-US" w:bidi="en-US"/>
          <w:color w:val="111111"/>
          <w:sz w:val="28"/>
          <w:szCs w:val="28"/>
          <w:rtl/>
        </w:rPr>
        <w:t xml:space="preserve">asnād va s.-e sorx bād</w:t>
      </w:r>
    </w:p>
    <w:p>
      <w:pPr>
        <w:pStyle w:val="BookText"/>
      </w:pPr>
      <w:r>
        <w:rPr>
          <w:rFonts w:ascii="IRNazanin" w:hAnsi="IRNazanin" w:eastAsia="IRNazanin" w:cs="IRNazanin"/>
          <w:lang w:bidi="fa-IR"/>
          <w:color w:val="111111"/>
          <w:sz w:val="28"/>
          <w:szCs w:val="28"/>
          <w:rtl/>
        </w:rPr>
        <w:t xml:space="preserve">اصفهان؛ روضاتی، سید محمد علی؛ شماره نسخه: ۱/۱۱</w:t>
      </w:r>
    </w:p>
    <w:p>
      <w:pPr>
        <w:pStyle w:val="BookText"/>
      </w:pPr>
      <w:r>
        <w:rPr>
          <w:rFonts w:ascii="IRNazanin" w:hAnsi="IRNazanin" w:eastAsia="IRNazanin" w:cs="IRNazanin"/>
          <w:lang w:bidi="fa-IR"/>
          <w:color w:val="111111"/>
          <w:sz w:val="28"/>
          <w:szCs w:val="28"/>
          <w:rtl/>
        </w:rPr>
        <w:t xml:space="preserve">خط: نسخ، بی کا، تا: قرن ۹؛ کاغذ: چهار بغل، ۵گ (۵۳ پ -۵۷)،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 نشریه: ۵ - ۱۳۳]</w:t>
      </w:r>
    </w:p>
    <w:p>
      <w:pPr>
        <w:pStyle w:val="Heading3"/>
      </w:pPr>
      <w:bookmarkStart w:id="1809" w:name="_Toc1331"/>
      <w:r>
        <w:t>اسناد و شرح کلام قرثيا / متفرقه / فارسی</w:t>
      </w:r>
      <w:bookmarkEnd w:id="1809"/>
    </w:p>
    <w:p>
      <w:pPr>
        <w:pStyle w:val="BookText"/>
      </w:pPr>
      <w:r>
        <w:rPr>
          <w:rFonts w:ascii="Times New Roman" w:hAnsi="Times New Roman" w:eastAsia="Times New Roman" w:cs="Times New Roman"/>
          <w:lang w:val="en-US" w:bidi="en-US"/>
          <w:color w:val="111111"/>
          <w:sz w:val="28"/>
          <w:szCs w:val="28"/>
          <w:rtl/>
        </w:rPr>
        <w:t xml:space="preserve">asnad va š.-e kalām-e qarsīyā</w:t>
      </w:r>
    </w:p>
    <w:p>
      <w:pPr>
        <w:pStyle w:val="BookText"/>
      </w:pPr>
      <w:r>
        <w:rPr>
          <w:rFonts w:ascii="IRNazanin" w:hAnsi="IRNazanin" w:eastAsia="IRNazanin" w:cs="IRNazanin"/>
          <w:lang w:bidi="fa-IR"/>
          <w:color w:val="111111"/>
          <w:sz w:val="28"/>
          <w:szCs w:val="28"/>
          <w:rtl/>
        </w:rPr>
        <w:t xml:space="preserve">اصفهان ،روضاتی، سید محمد علی، شماره نسخه: ۱/۲۳</w:t>
      </w:r>
    </w:p>
    <w:p>
      <w:pPr>
        <w:pStyle w:val="BookText"/>
      </w:pPr>
      <w:r>
        <w:rPr>
          <w:rFonts w:ascii="IRNazanin" w:hAnsi="IRNazanin" w:eastAsia="IRNazanin" w:cs="IRNazanin"/>
          <w:lang w:bidi="fa-IR"/>
          <w:color w:val="111111"/>
          <w:sz w:val="28"/>
          <w:szCs w:val="28"/>
          <w:rtl/>
        </w:rPr>
        <w:t xml:space="preserve">آغاز: هر که خواهد که در میان خلایق عزیز و گرامی باشد و  خلقان مطیع و مسخر او گردند</w:t>
      </w:r>
    </w:p>
    <w:p>
      <w:pPr>
        <w:pStyle w:val="BookText"/>
      </w:pPr>
      <w:r>
        <w:rPr>
          <w:rFonts w:ascii="IRNazanin" w:hAnsi="IRNazanin" w:eastAsia="IRNazanin" w:cs="IRNazanin"/>
          <w:lang w:bidi="fa-IR"/>
          <w:color w:val="111111"/>
          <w:sz w:val="28"/>
          <w:szCs w:val="28"/>
          <w:rtl/>
        </w:rPr>
        <w:t xml:space="preserve">خط: نسخ ،جلی، بی کا، تا: قرن ۹؛ اصل دعا مفقود شده. برگ های ۱۰۰ تا ۱۰۲ بیاض است؛ کاغذ: چهار بغل،۴گ (۹۶پ-۹۹)،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 نشریه: ۵ - ۱۳۳]</w:t>
      </w:r>
    </w:p>
    <w:p>
      <w:pPr>
        <w:pStyle w:val="Heading3"/>
      </w:pPr>
      <w:bookmarkStart w:id="1810" w:name="_Toc1332"/>
      <w:r>
        <w:t>اسناد و عکسهای ایل خواجه وند / اسناد / فارسی</w:t>
      </w:r>
      <w:bookmarkEnd w:id="1810"/>
    </w:p>
    <w:p>
      <w:pPr>
        <w:pStyle w:val="BookText"/>
      </w:pPr>
      <w:r>
        <w:rPr>
          <w:rFonts w:ascii="Times New Roman" w:hAnsi="Times New Roman" w:eastAsia="Times New Roman" w:cs="Times New Roman"/>
          <w:lang w:val="en-US" w:bidi="en-US"/>
          <w:color w:val="111111"/>
          <w:sz w:val="28"/>
          <w:szCs w:val="28"/>
          <w:rtl/>
        </w:rPr>
        <w:t xml:space="preserve">asnād va ‘aks-ha-ye īl-e xāje vand</w:t>
      </w:r>
    </w:p>
    <w:p>
      <w:pPr>
        <w:pStyle w:val="BookText"/>
      </w:pPr>
      <w:r>
        <w:rPr>
          <w:rFonts w:ascii="IRNazanin" w:hAnsi="IRNazanin" w:eastAsia="IRNazanin" w:cs="IRNazanin"/>
          <w:lang w:bidi="fa-IR"/>
          <w:color w:val="111111"/>
          <w:sz w:val="28"/>
          <w:szCs w:val="28"/>
          <w:rtl/>
        </w:rPr>
        <w:t xml:space="preserve">تهران؛ دانشگاه؛ شماره نسخه: ۵۶۸۱-ف</w:t>
      </w:r>
    </w:p>
    <w:p>
      <w:pPr>
        <w:pStyle w:val="BookText"/>
      </w:pPr>
      <w:r>
        <w:rPr>
          <w:rFonts w:ascii="IRNazanin" w:hAnsi="IRNazanin" w:eastAsia="IRNazanin" w:cs="IRNazanin"/>
          <w:lang w:bidi="fa-IR"/>
          <w:color w:val="111111"/>
          <w:sz w:val="28"/>
          <w:szCs w:val="28"/>
          <w:rtl/>
        </w:rPr>
        <w:t xml:space="preserve">در کجور با تاریخ ۱۳۰۶ و ۱۳۰۹ و ۱۳۳۱؛ بی کا، بی تا [فیلم ها-  ف: ۳ - ۱۷۶]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372" w:name="pg20365_260517"/>
    <w:bookmarkEnd w:id="372"/>
    <w:p>
      <w:pPr>
        <w:pStyle w:val="Heading3"/>
      </w:pPr>
      <w:bookmarkStart w:id="1811" w:name="_Toc1333"/>
      <w:r>
        <w:t>اسناد و فرامین ولایت اندیجان در ازبکستان / اسناد - فارسی</w:t>
      </w:r>
      <w:bookmarkEnd w:id="1811"/>
    </w:p>
    <w:p>
      <w:pPr>
        <w:pStyle w:val="BookText"/>
      </w:pPr>
      <w:r>
        <w:rPr>
          <w:rFonts w:ascii="Times New Roman" w:hAnsi="Times New Roman" w:eastAsia="Times New Roman" w:cs="Times New Roman"/>
          <w:lang w:val="en-US" w:bidi="en-US"/>
          <w:color w:val="111111"/>
          <w:sz w:val="28"/>
          <w:szCs w:val="28"/>
          <w:rtl/>
        </w:rPr>
        <w:t xml:space="preserve">asnād va farāmīn-e velāyat-e andyjān dar ozbakestān</w:t>
      </w:r>
    </w:p>
    <w:p>
      <w:pPr>
        <w:pStyle w:val="BookText"/>
      </w:pPr>
      <w:r>
        <w:rPr>
          <w:rFonts w:ascii="IRNazanin" w:hAnsi="IRNazanin" w:eastAsia="IRNazanin" w:cs="IRNazanin"/>
          <w:lang w:bidi="fa-IR"/>
          <w:color w:val="111111"/>
          <w:sz w:val="28"/>
          <w:szCs w:val="28"/>
          <w:rtl/>
        </w:rPr>
        <w:t xml:space="preserve">اسناد و فرامین فارسی مربوط به ولایت انیدجان است. اندیجان یا اندکان یکی از ولایات ماوراء النهر است که اینک درکشور ازبکستان قرار دارد. اسناد حاضر مربوط به سال های ۱۰۰۹ تا۱۰۸۰ق است و بیشتر آنها احکام و فرامینی است که از سوی ابوالغازی محمد بهادر خان برای ابوالعمار لى كمال الدين قاضـی صادر شده و به جهت انجام مسائل دیوان قضا و ملحقات قـضا، سیور غالی برای وی تعیین شده است. گردآورنده ایرانی این اسناد در مقدمه کوتاهی که به صورت تایپ شده در ابتدای تصویر حاضر آورده می نویسد: «مجموعه این اسناد  به هنگام  مأموریت از ولایت اندیجان تهیه شده و مبین اوضاع اجتماعی روابط داخلی امرای ماوراء النهر می باشد»</w:t>
      </w:r>
    </w:p>
    <w:p>
      <w:pPr>
        <w:pStyle w:val="BookText"/>
      </w:pPr>
      <w:r>
        <w:rPr>
          <w:rFonts w:ascii="IRNazanin" w:hAnsi="IRNazanin" w:eastAsia="IRNazanin" w:cs="IRNazanin"/>
          <w:lang w:bidi="fa-IR"/>
          <w:color w:val="111111"/>
          <w:sz w:val="28"/>
          <w:szCs w:val="28"/>
          <w:rtl/>
        </w:rPr>
        <w:t xml:space="preserve">قم ؛مرعشی؛ شماره نسخه: ۱۶۱۳</w:t>
      </w:r>
    </w:p>
    <w:p>
      <w:pPr>
        <w:pStyle w:val="BookText"/>
      </w:pPr>
      <w:r>
        <w:rPr>
          <w:rFonts w:ascii="IRNazanin" w:hAnsi="IRNazanin" w:eastAsia="IRNazanin" w:cs="IRNazanin"/>
          <w:lang w:bidi="fa-IR"/>
          <w:color w:val="111111"/>
          <w:sz w:val="28"/>
          <w:szCs w:val="28"/>
          <w:rtl/>
        </w:rPr>
        <w:t xml:space="preserve">آغاز: بسمه تعالی احکام قضاوت ابوالمعالی کمال الدین قاضـ اندیجان قرن ۱۱ هجری. یکی از ولایات ماورالنهر اندیجان با اندکان می باشد. این محدوده که اینک در کشور ازبکستان قـرار دارد و در میان راه اسیکت به قبا بوده؛ انجام: بتقدیم رسانند تحريرا في شهر شعبان المعظم سنه ۱۰۰۹.</w:t>
      </w:r>
    </w:p>
    <w:p>
      <w:pPr>
        <w:pStyle w:val="BookText"/>
      </w:pPr>
      <w:r>
        <w:rPr>
          <w:rFonts w:ascii="IRNazanin" w:hAnsi="IRNazanin" w:eastAsia="IRNazanin" w:cs="IRNazanin"/>
          <w:lang w:bidi="fa-IR"/>
          <w:color w:val="111111"/>
          <w:sz w:val="28"/>
          <w:szCs w:val="28"/>
          <w:rtl/>
        </w:rPr>
        <w:t xml:space="preserve">خط: نستعلیق، بی کا، بی تا؛ فرمان های مختلف است با تاریخ های متعدد از ۱۰۰۹ تا ۱۰۸۰ق در برخی از آنها مهر صاحب فرمان نیز دیده می شود و در بالای صفحات برخی فرمانها شماره سند و مشخصات آن به خط لاتین درج شده، در صفحه اول توضیحی تایپ شده راجع به این اسناد دیده می شود؛ ۳۶ص، مختلف السـطر  [عکسی ف: ۵ - ۲۱]</w:t>
      </w:r>
    </w:p>
    <w:p>
      <w:pPr>
        <w:pStyle w:val="Heading3"/>
      </w:pPr>
      <w:bookmarkStart w:id="1812" w:name="_Toc1334"/>
      <w:r>
        <w:t>اسناد و قراردادها و عهدنامه های سیاسی مربوط  به ایران با دول خارجه / اسناد / فارسی</w:t>
      </w:r>
      <w:bookmarkEnd w:id="1812"/>
    </w:p>
    <w:p>
      <w:pPr>
        <w:pStyle w:val="BookText"/>
      </w:pPr>
      <w:r>
        <w:rPr>
          <w:rFonts w:ascii="Times New Roman" w:hAnsi="Times New Roman" w:eastAsia="Times New Roman" w:cs="Times New Roman"/>
          <w:lang w:val="en-US" w:bidi="en-US"/>
          <w:color w:val="111111"/>
          <w:sz w:val="28"/>
          <w:szCs w:val="28"/>
          <w:rtl/>
        </w:rPr>
        <w:t xml:space="preserve">asnād va qarārdād-hā va ahdnāme-hā-ye sīyāsī marbūt</w:t>
      </w:r>
    </w:p>
    <w:p>
      <w:pPr>
        <w:pStyle w:val="BookText"/>
      </w:pPr>
      <w:r>
        <w:rPr>
          <w:rFonts w:ascii="Times New Roman" w:hAnsi="Times New Roman" w:eastAsia="Times New Roman" w:cs="Times New Roman"/>
          <w:lang w:val="en-US" w:bidi="en-US"/>
          <w:color w:val="111111"/>
          <w:sz w:val="28"/>
          <w:szCs w:val="28"/>
          <w:rtl/>
        </w:rPr>
        <w:t xml:space="preserve">be īrān bā doval-e xāreje</w:t>
      </w:r>
    </w:p>
    <w:p>
      <w:pPr>
        <w:pStyle w:val="BookText"/>
      </w:pPr>
      <w:r>
        <w:rPr>
          <w:rFonts w:ascii="IRNazanin" w:hAnsi="IRNazanin" w:eastAsia="IRNazanin" w:cs="IRNazanin"/>
          <w:lang w:bidi="fa-IR"/>
          <w:color w:val="111111"/>
          <w:sz w:val="28"/>
          <w:szCs w:val="28"/>
          <w:rtl/>
        </w:rPr>
        <w:t xml:space="preserve">شامل:</w:t>
      </w:r>
    </w:p>
    <w:p>
      <w:pPr>
        <w:pStyle w:val="BookText"/>
      </w:pPr>
      <w:r>
        <w:rPr>
          <w:rFonts w:ascii="IRNazanin" w:hAnsi="IRNazanin" w:eastAsia="IRNazanin" w:cs="IRNazanin"/>
          <w:lang w:bidi="fa-IR"/>
          <w:color w:val="111111"/>
          <w:sz w:val="28"/>
          <w:szCs w:val="28"/>
          <w:rtl/>
        </w:rPr>
        <w:t xml:space="preserve">۱- ترجمه فصولی از قرارداد تبعه ساکن روسیه که در روزنـامه بطرز بوغ نمره ۷۰ مارس ۹/۱۸۶۴ شوال ۱۲۸۲ق نوشته شده</w:t>
      </w:r>
    </w:p>
    <w:p>
      <w:pPr>
        <w:pStyle w:val="BookText"/>
      </w:pPr>
      <w:r>
        <w:rPr>
          <w:rFonts w:ascii="IRNazanin" w:hAnsi="IRNazanin" w:eastAsia="IRNazanin" w:cs="IRNazanin"/>
          <w:lang w:bidi="fa-IR"/>
          <w:color w:val="111111"/>
          <w:sz w:val="28"/>
          <w:szCs w:val="28"/>
          <w:rtl/>
        </w:rPr>
        <w:t xml:space="preserve">۲ - دستورات على نقی خان سرتیب مهماندار از ایلچی فرانسه مورخ ۱ ربیع الثانی ۱۲۷۴ق</w:t>
      </w:r>
    </w:p>
    <w:p>
      <w:pPr>
        <w:pStyle w:val="BookText"/>
      </w:pPr>
      <w:r>
        <w:rPr>
          <w:rFonts w:ascii="IRNazanin" w:hAnsi="IRNazanin" w:eastAsia="IRNazanin" w:cs="IRNazanin"/>
          <w:lang w:bidi="fa-IR"/>
          <w:color w:val="111111"/>
          <w:sz w:val="28"/>
          <w:szCs w:val="28"/>
          <w:rtl/>
        </w:rPr>
        <w:t xml:space="preserve">3.صورت عهدنامه تجاری بین دولتین ایران و روس  در ترکمانچای، در ۹ فصل مورخ شعبان ۱۲۴۳ق</w:t>
      </w:r>
    </w:p>
    <w:p>
      <w:pPr>
        <w:pStyle w:val="BookText"/>
      </w:pPr>
      <w:r>
        <w:rPr>
          <w:rFonts w:ascii="IRNazanin" w:hAnsi="IRNazanin" w:eastAsia="IRNazanin" w:cs="IRNazanin"/>
          <w:lang w:bidi="fa-IR"/>
          <w:color w:val="111111"/>
          <w:sz w:val="28"/>
          <w:szCs w:val="28"/>
          <w:rtl/>
        </w:rPr>
        <w:t xml:space="preserve">۴-دستورالعمل درباره اتباع و سفرای خارجه.</w:t>
      </w:r>
    </w:p>
    <w:p>
      <w:pPr>
        <w:pStyle w:val="BookText"/>
      </w:pPr>
      <w:r>
        <w:rPr>
          <w:rFonts w:ascii="IRNazanin" w:hAnsi="IRNazanin" w:eastAsia="IRNazanin" w:cs="IRNazanin"/>
          <w:lang w:bidi="fa-IR"/>
          <w:color w:val="111111"/>
          <w:sz w:val="28"/>
          <w:szCs w:val="28"/>
          <w:rtl/>
        </w:rPr>
        <w:t xml:space="preserve">۵- قرارداد ترکمانچای، مورخ ۵ شعبان ۱۲۴۳ق</w:t>
      </w:r>
    </w:p>
    <w:p>
      <w:pPr>
        <w:pStyle w:val="BookText"/>
      </w:pPr>
      <w:r>
        <w:rPr>
          <w:rFonts w:ascii="IRNazanin" w:hAnsi="IRNazanin" w:eastAsia="IRNazanin" w:cs="IRNazanin"/>
          <w:lang w:bidi="fa-IR"/>
          <w:color w:val="111111"/>
          <w:sz w:val="28"/>
          <w:szCs w:val="28"/>
          <w:rtl/>
        </w:rPr>
        <w:t xml:space="preserve">۶- عهدنامه ایران و روس ناظر به فصل چهارم از معاهده ترکمانچای درباره حصه طالش مورخ ۵ شعبان ۱۲۴۳ق</w:t>
      </w:r>
    </w:p>
    <w:p>
      <w:pPr>
        <w:pStyle w:val="BookText"/>
      </w:pPr>
      <w:r>
        <w:rPr>
          <w:rFonts w:ascii="IRNazanin" w:hAnsi="IRNazanin" w:eastAsia="IRNazanin" w:cs="IRNazanin"/>
          <w:lang w:bidi="fa-IR"/>
          <w:color w:val="111111"/>
          <w:sz w:val="28"/>
          <w:szCs w:val="28"/>
          <w:rtl/>
        </w:rPr>
        <w:t xml:space="preserve">۷- قرارداد تجاری بین ایران و روس.</w:t>
      </w:r>
    </w:p>
    <w:p>
      <w:pPr>
        <w:pStyle w:val="BookText"/>
      </w:pPr>
      <w:r>
        <w:rPr>
          <w:rFonts w:ascii="IRNazanin" w:hAnsi="IRNazanin" w:eastAsia="IRNazanin" w:cs="IRNazanin"/>
          <w:lang w:bidi="fa-IR"/>
          <w:color w:val="111111"/>
          <w:sz w:val="28"/>
          <w:szCs w:val="28"/>
          <w:rtl/>
        </w:rPr>
        <w:t xml:space="preserve">8- ترجمه عهدنامه دولت هند (از طرف دولت هند امیر انگلیس) با دولت چین (بنمایندگی گنگ) در ۲۶ اکتبر ۱۸۶۰۰</w:t>
      </w:r>
    </w:p>
    <w:p>
      <w:pPr>
        <w:pStyle w:val="BookText"/>
      </w:pPr>
      <w:r>
        <w:rPr>
          <w:rFonts w:ascii="IRNazanin" w:hAnsi="IRNazanin" w:eastAsia="IRNazanin" w:cs="IRNazanin"/>
          <w:lang w:bidi="fa-IR"/>
          <w:color w:val="111111"/>
          <w:sz w:val="28"/>
          <w:szCs w:val="28"/>
          <w:rtl/>
        </w:rPr>
        <w:t xml:space="preserve">۹ - قرارداد دولتین ایران و انگلیس در باب هرات</w:t>
      </w:r>
    </w:p>
    <w:p>
      <w:pPr>
        <w:pStyle w:val="BookText"/>
      </w:pPr>
      <w:r>
        <w:rPr>
          <w:rFonts w:ascii="IRNazanin" w:hAnsi="IRNazanin" w:eastAsia="IRNazanin" w:cs="IRNazanin"/>
          <w:lang w:bidi="fa-IR"/>
          <w:color w:val="111111"/>
          <w:sz w:val="28"/>
          <w:szCs w:val="28"/>
          <w:rtl/>
        </w:rPr>
        <w:t xml:space="preserve">۱۰-عهدنامه یا صلح نامه بین پادشاهان ایران و انگلیس در پاریس به امضاء سفیران آنها</w:t>
      </w:r>
    </w:p>
    <w:p>
      <w:pPr>
        <w:pStyle w:val="BookText"/>
      </w:pPr>
      <w:r>
        <w:rPr>
          <w:rFonts w:ascii="IRNazanin" w:hAnsi="IRNazanin" w:eastAsia="IRNazanin" w:cs="IRNazanin"/>
          <w:lang w:bidi="fa-IR"/>
          <w:color w:val="111111"/>
          <w:sz w:val="28"/>
          <w:szCs w:val="28"/>
          <w:rtl/>
        </w:rPr>
        <w:t xml:space="preserve">١١-عهدنامه تجاری فیما بین ایران و انگلیس ناظر به عهدنامه  ۱۲۲۹ق ،تهران مورخ ۱۲ رمضان ۱۲۵۷ق</w:t>
      </w:r>
    </w:p>
    <w:p>
      <w:pPr>
        <w:pStyle w:val="BookText"/>
      </w:pPr>
      <w:r>
        <w:rPr>
          <w:rFonts w:ascii="IRNazanin" w:hAnsi="IRNazanin" w:eastAsia="IRNazanin" w:cs="IRNazanin"/>
          <w:lang w:bidi="fa-IR"/>
          <w:color w:val="111111"/>
          <w:sz w:val="28"/>
          <w:szCs w:val="28"/>
          <w:rtl/>
        </w:rPr>
        <w:t xml:space="preserve">۱۲ - دستورالعمل به مباشرین گمرک درباره استیفای وجه گمرک از مال التجاره تبعه خارجه.</w:t>
      </w:r>
    </w:p>
    <w:p>
      <w:pPr>
        <w:pStyle w:val="BookText"/>
      </w:pPr>
      <w:r>
        <w:rPr>
          <w:rFonts w:ascii="IRNazanin" w:hAnsi="IRNazanin" w:eastAsia="IRNazanin" w:cs="IRNazanin"/>
          <w:lang w:bidi="fa-IR"/>
          <w:color w:val="111111"/>
          <w:sz w:val="28"/>
          <w:szCs w:val="28"/>
          <w:rtl/>
        </w:rPr>
        <w:t xml:space="preserve">۱۳- دستور پذیرایی قلی خان وزیر خارجه مهماندار از وزیر مختار از فرانسه که از گیلان و قزوین به تهران می آید.</w:t>
      </w:r>
    </w:p>
    <w:p>
      <w:pPr>
        <w:pStyle w:val="BookText"/>
      </w:pPr>
      <w:r>
        <w:rPr>
          <w:rFonts w:ascii="IRNazanin" w:hAnsi="IRNazanin" w:eastAsia="IRNazanin" w:cs="IRNazanin"/>
          <w:lang w:bidi="fa-IR"/>
          <w:color w:val="111111"/>
          <w:sz w:val="28"/>
          <w:szCs w:val="28"/>
          <w:rtl/>
        </w:rPr>
        <w:t xml:space="preserve">تهران؛ مجلس؛ شماره نسخه: ۱۴۰۵</w:t>
      </w:r>
    </w:p>
    <w:p>
      <w:pPr>
        <w:pStyle w:val="BookText"/>
      </w:pPr>
      <w:r>
        <w:rPr>
          <w:rFonts w:ascii="IRNazanin" w:hAnsi="IRNazanin" w:eastAsia="IRNazanin" w:cs="IRNazanin"/>
          <w:lang w:bidi="fa-IR"/>
          <w:color w:val="111111"/>
          <w:sz w:val="28"/>
          <w:szCs w:val="28"/>
          <w:rtl/>
        </w:rPr>
        <w:t xml:space="preserve">خط: نستعلیق و شکسته نستعلیق، بی کا، تا: قرن ۱۴ ؛کاغذ سفید ،جلد: تیماج قرمز ضربی ،یک  لا، ۴۷گ، ۱۰-۲۰ سطر  (۱۲و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[سنا - ف: ۲ - ۲۴۶]</w:t>
      </w:r>
    </w:p>
    <w:p>
      <w:pPr>
        <w:pStyle w:val="Heading3"/>
      </w:pPr>
      <w:bookmarkStart w:id="1813" w:name="_Toc1335"/>
      <w:r>
        <w:t>اسناد وقف / اسناد / فارسی</w:t>
      </w:r>
      <w:bookmarkEnd w:id="1813"/>
    </w:p>
    <w:p>
      <w:pPr>
        <w:pStyle w:val="BookText"/>
      </w:pPr>
      <w:r>
        <w:rPr>
          <w:rFonts w:ascii="Times New Roman" w:hAnsi="Times New Roman" w:eastAsia="Times New Roman" w:cs="Times New Roman"/>
          <w:lang w:val="en-US" w:bidi="en-US"/>
          <w:color w:val="111111"/>
          <w:sz w:val="28"/>
          <w:szCs w:val="28"/>
          <w:rtl/>
        </w:rPr>
        <w:t xml:space="preserve">asnad-e vaqf</w:t>
      </w:r>
    </w:p>
    <w:p>
      <w:pPr>
        <w:pStyle w:val="BookText"/>
      </w:pPr>
      <w:r>
        <w:rPr>
          <w:rFonts w:ascii="IRNazanin" w:hAnsi="IRNazanin" w:eastAsia="IRNazanin" w:cs="IRNazanin"/>
          <w:lang w:bidi="fa-IR"/>
          <w:color w:val="111111"/>
          <w:sz w:val="28"/>
          <w:szCs w:val="28"/>
          <w:rtl/>
        </w:rPr>
        <w:t xml:space="preserve">تهران؛ دانشگاه؛ شماره نسخه: ۵۶۲۷-ف</w:t>
      </w:r>
    </w:p>
    <w:p>
      <w:pPr>
        <w:pStyle w:val="BookText"/>
      </w:pPr>
      <w:r>
        <w:rPr>
          <w:rFonts w:ascii="IRNazanin" w:hAnsi="IRNazanin" w:eastAsia="IRNazanin" w:cs="IRNazanin"/>
          <w:lang w:bidi="fa-IR"/>
          <w:color w:val="111111"/>
          <w:sz w:val="28"/>
          <w:szCs w:val="28"/>
          <w:rtl/>
        </w:rPr>
        <w:t xml:space="preserve">نسخه اصل: سازمان اوقاف؛ بی کا، بی تا [ فیلم ها-ف: ۳ - ۱۷۱]</w:t>
      </w:r>
    </w:p>
    <w:p>
      <w:pPr>
        <w:pStyle w:val="Heading3"/>
      </w:pPr>
      <w:bookmarkStart w:id="1814" w:name="_Toc1336"/>
      <w:r>
        <w:t>اسناد وقف امام زاده ابراهیم / اسناد / فارسی</w:t>
      </w:r>
      <w:bookmarkEnd w:id="1814"/>
    </w:p>
    <w:p>
      <w:pPr>
        <w:pStyle w:val="BookText"/>
      </w:pPr>
      <w:r>
        <w:rPr>
          <w:rFonts w:ascii="Times New Roman" w:hAnsi="Times New Roman" w:eastAsia="Times New Roman" w:cs="Times New Roman"/>
          <w:lang w:val="en-US" w:bidi="en-US"/>
          <w:color w:val="111111"/>
          <w:sz w:val="28"/>
          <w:szCs w:val="28"/>
          <w:rtl/>
        </w:rPr>
        <w:t xml:space="preserve">asnād-e vaqf-e emām zāde ebrāhīm</w:t>
      </w:r>
    </w:p>
    <w:p>
      <w:pPr>
        <w:pStyle w:val="BookText"/>
      </w:pPr>
      <w:r>
        <w:rPr>
          <w:rFonts w:ascii="IRNazanin" w:hAnsi="IRNazanin" w:eastAsia="IRNazanin" w:cs="IRNazanin"/>
          <w:lang w:bidi="fa-IR"/>
          <w:color w:val="111111"/>
          <w:sz w:val="28"/>
          <w:szCs w:val="28"/>
          <w:rtl/>
        </w:rPr>
        <w:t xml:space="preserve">تهران؛ دانشگاه؛ شماره نسخه: ۶۳۲۶-عکس</w:t>
      </w:r>
    </w:p>
    <w:p>
      <w:pPr>
        <w:pStyle w:val="BookText"/>
      </w:pPr>
      <w:r>
        <w:rPr>
          <w:rFonts w:ascii="IRNazanin" w:hAnsi="IRNazanin" w:eastAsia="IRNazanin" w:cs="IRNazanin"/>
          <w:lang w:bidi="fa-IR"/>
          <w:color w:val="111111"/>
          <w:sz w:val="28"/>
          <w:szCs w:val="28"/>
          <w:rtl/>
        </w:rPr>
        <w:t xml:space="preserve">اسناد وقف امام زاده ابراهیم لله پرچین آمل در نشریه (۶۴۴/۴  - 648)در دنبال اسناد نیاک چاپ شده است؛ بی کا، بی تا[ فیلم ها -  ف: ۳ - ۲۵۰]</w:t>
      </w:r>
    </w:p>
    <w:p>
      <w:pPr>
        <w:pStyle w:val="Heading3"/>
      </w:pPr>
      <w:bookmarkStart w:id="1815" w:name="_Toc1337"/>
      <w:r>
        <w:t>اسناد وقف بی بی هیبت / اسناد / فارسی</w:t>
      </w:r>
      <w:bookmarkEnd w:id="1815"/>
    </w:p>
    <w:p>
      <w:pPr>
        <w:pStyle w:val="BookText"/>
      </w:pPr>
      <w:r>
        <w:rPr>
          <w:rFonts w:ascii="Times New Roman" w:hAnsi="Times New Roman" w:eastAsia="Times New Roman" w:cs="Times New Roman"/>
          <w:lang w:val="en-US" w:bidi="en-US"/>
          <w:color w:val="111111"/>
          <w:sz w:val="28"/>
          <w:szCs w:val="28"/>
          <w:rtl/>
        </w:rPr>
        <w:t xml:space="preserve">asnād-e vaqf-e bī bī heybat</w:t>
      </w:r>
    </w:p>
    <w:p>
      <w:pPr>
        <w:pStyle w:val="BookText"/>
      </w:pPr>
      <w:r>
        <w:rPr>
          <w:rFonts w:ascii="IRNazanin" w:hAnsi="IRNazanin" w:eastAsia="IRNazanin" w:cs="IRNazanin"/>
          <w:lang w:bidi="fa-IR"/>
          <w:color w:val="111111"/>
          <w:sz w:val="28"/>
          <w:szCs w:val="28"/>
          <w:rtl/>
        </w:rPr>
        <w:t xml:space="preserve">تهران؛ دانشگاه؛ شماره نسخه: ۳۲۴۸-ف</w:t>
      </w:r>
    </w:p>
    <w:p>
      <w:pPr>
        <w:pStyle w:val="BookText"/>
      </w:pPr>
      <w:r>
        <w:rPr>
          <w:rFonts w:ascii="IRNazanin" w:hAnsi="IRNazanin" w:eastAsia="IRNazanin" w:cs="IRNazanin"/>
          <w:lang w:bidi="fa-IR"/>
          <w:color w:val="111111"/>
          <w:sz w:val="28"/>
          <w:szCs w:val="28"/>
          <w:rtl/>
        </w:rPr>
        <w:t xml:space="preserve">از روی چاپی. چاپ ۱۹۴۷ باکو؛ بی کا، بی تا [ فیلم هاف: ۲ - ۱۰۷]</w:t>
      </w:r>
    </w:p>
    <w:p>
      <w:pPr>
        <w:pStyle w:val="Heading3"/>
      </w:pPr>
      <w:bookmarkStart w:id="1816" w:name="_Toc1338"/>
      <w:r>
        <w:t>اسناد وقف نامه های شاهرود و دامغان و گرگان /  اسناد / فارسی</w:t>
      </w:r>
      <w:bookmarkEnd w:id="1816"/>
    </w:p>
    <w:p>
      <w:pPr>
        <w:pStyle w:val="BookText"/>
      </w:pPr>
      <w:r>
        <w:rPr>
          <w:rFonts w:ascii="Times New Roman" w:hAnsi="Times New Roman" w:eastAsia="Times New Roman" w:cs="Times New Roman"/>
          <w:lang w:val="en-US" w:bidi="en-US"/>
          <w:color w:val="111111"/>
          <w:sz w:val="28"/>
          <w:szCs w:val="28"/>
          <w:rtl/>
        </w:rPr>
        <w:t xml:space="preserve">asnād-e vaqfnāme-ha-ye šahrud va dāmqan va gorgān</w:t>
      </w:r>
    </w:p>
    <w:p>
      <w:pPr>
        <w:pStyle w:val="BookText"/>
      </w:pPr>
      <w:r>
        <w:rPr>
          <w:rFonts w:ascii="IRNazanin" w:hAnsi="IRNazanin" w:eastAsia="IRNazanin" w:cs="IRNazanin"/>
          <w:lang w:bidi="fa-IR"/>
          <w:color w:val="111111"/>
          <w:sz w:val="28"/>
          <w:szCs w:val="28"/>
          <w:rtl/>
        </w:rPr>
        <w:t xml:space="preserve">تهران؛ دانشگاه؛ شماره نسخه: ۴۶۵۸-ف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373" w:name="pg20365_260518"/>
    <w:bookmarkEnd w:id="373"/>
    <w:p>
      <w:pPr>
        <w:pStyle w:val="BookText"/>
      </w:pPr>
      <w:r>
        <w:rPr>
          <w:rFonts w:ascii="IRNazanin" w:hAnsi="IRNazanin" w:eastAsia="IRNazanin" w:cs="IRNazanin"/>
          <w:lang w:bidi="fa-IR"/>
          <w:color w:val="111111"/>
          <w:sz w:val="28"/>
          <w:szCs w:val="28"/>
          <w:rtl/>
        </w:rPr>
        <w:t xml:space="preserve">از اداره اوقاف شاهرود که شادروان مسیح ذبیحی گرگانی در دسترس گذارده است؛ بی کا، بی تا [ فیلم ها-ف: ۳ - ۸۵]</w:t>
      </w:r>
    </w:p>
    <w:p>
      <w:pPr>
        <w:pStyle w:val="Heading3"/>
      </w:pPr>
      <w:bookmarkStart w:id="1817" w:name="_Toc1339"/>
      <w:r>
        <w:t>اسناد و مدارک / اسناد / فارسی</w:t>
      </w:r>
      <w:bookmarkEnd w:id="1817"/>
    </w:p>
    <w:p>
      <w:pPr>
        <w:pStyle w:val="BookText"/>
      </w:pPr>
      <w:r>
        <w:rPr>
          <w:rFonts w:ascii="Times New Roman" w:hAnsi="Times New Roman" w:eastAsia="Times New Roman" w:cs="Times New Roman"/>
          <w:lang w:val="en-US" w:bidi="en-US"/>
          <w:color w:val="111111"/>
          <w:sz w:val="28"/>
          <w:szCs w:val="28"/>
          <w:rtl/>
        </w:rPr>
        <w:t xml:space="preserve">asnād va madārek</w:t>
      </w:r>
    </w:p>
    <w:p>
      <w:pPr>
        <w:pStyle w:val="BookText"/>
      </w:pPr>
      <w:r>
        <w:rPr>
          <w:rFonts w:ascii="IRNazanin" w:hAnsi="IRNazanin" w:eastAsia="IRNazanin" w:cs="IRNazanin"/>
          <w:lang w:bidi="fa-IR"/>
          <w:color w:val="111111"/>
          <w:sz w:val="28"/>
          <w:szCs w:val="28"/>
          <w:rtl/>
        </w:rPr>
        <w:t xml:space="preserve">تهران؛ دانشگاه؛ شماره نسخه: ۹۹۱۹-۹۹۳۳</w:t>
      </w:r>
    </w:p>
    <w:p>
      <w:pPr>
        <w:pStyle w:val="BookText"/>
      </w:pPr>
      <w:r>
        <w:rPr>
          <w:rFonts w:ascii="IRNazanin" w:hAnsi="IRNazanin" w:eastAsia="IRNazanin" w:cs="IRNazanin"/>
          <w:lang w:bidi="fa-IR"/>
          <w:color w:val="111111"/>
          <w:sz w:val="28"/>
          <w:szCs w:val="28"/>
          <w:rtl/>
        </w:rPr>
        <w:t xml:space="preserve">حاج سید محمد طرف علوی؛ بی کا، بی تا؛ شماره ۱ در دو جعبه و شماره های دیگر هر یک در یک بسته. [ف: ۱۷ - ۵۰۷]</w:t>
      </w:r>
    </w:p>
    <w:p>
      <w:pPr>
        <w:pStyle w:val="Heading3"/>
      </w:pPr>
      <w:bookmarkStart w:id="1818" w:name="_Toc1340"/>
      <w:r>
        <w:t>اسناد و مدارک تاریخی / اسناد / فارسی</w:t>
      </w:r>
      <w:bookmarkEnd w:id="1818"/>
    </w:p>
    <w:p>
      <w:pPr>
        <w:pStyle w:val="BookText"/>
      </w:pPr>
      <w:r>
        <w:rPr>
          <w:rFonts w:ascii="Times New Roman" w:hAnsi="Times New Roman" w:eastAsia="Times New Roman" w:cs="Times New Roman"/>
          <w:lang w:val="en-US" w:bidi="en-US"/>
          <w:color w:val="111111"/>
          <w:sz w:val="28"/>
          <w:szCs w:val="28"/>
          <w:rtl/>
        </w:rPr>
        <w:t xml:space="preserve">asnād va madārek-e tārīxī</w:t>
      </w:r>
    </w:p>
    <w:p>
      <w:pPr>
        <w:pStyle w:val="BookText"/>
      </w:pPr>
      <w:r>
        <w:rPr>
          <w:rFonts w:ascii="IRNazanin" w:hAnsi="IRNazanin" w:eastAsia="IRNazanin" w:cs="IRNazanin"/>
          <w:lang w:bidi="fa-IR"/>
          <w:color w:val="111111"/>
          <w:sz w:val="28"/>
          <w:szCs w:val="28"/>
          <w:rtl/>
        </w:rPr>
        <w:t xml:space="preserve">صورت دستورات و چند عهد نامه دولتی  ایران، در این جنگ گرد آورده شده بدین تفصیل:</w:t>
      </w:r>
    </w:p>
    <w:p>
      <w:pPr>
        <w:pStyle w:val="BookText"/>
      </w:pPr>
      <w:r>
        <w:rPr>
          <w:rFonts w:ascii="IRNazanin" w:hAnsi="IRNazanin" w:eastAsia="IRNazanin" w:cs="IRNazanin"/>
          <w:lang w:bidi="fa-IR"/>
          <w:color w:val="111111"/>
          <w:sz w:val="28"/>
          <w:szCs w:val="28"/>
          <w:rtl/>
        </w:rPr>
        <w:t xml:space="preserve">١- سواد تلگراف میرزا عباس خان قوام الدوله و زیرا امور خارجه به امیر نظام به تاریخ غره جمادى الاخر ۱۳۰۶.</w:t>
      </w:r>
    </w:p>
    <w:p>
      <w:pPr>
        <w:pStyle w:val="BookText"/>
      </w:pPr>
      <w:r>
        <w:rPr>
          <w:rFonts w:ascii="IRNazanin" w:hAnsi="IRNazanin" w:eastAsia="IRNazanin" w:cs="IRNazanin"/>
          <w:lang w:bidi="fa-IR"/>
          <w:color w:val="111111"/>
          <w:sz w:val="28"/>
          <w:szCs w:val="28"/>
          <w:rtl/>
        </w:rPr>
        <w:t xml:space="preserve">2-عهد نامه تشریفات و کلای مختار روس و ایران بتاریخ  شعبان ۱۲۴۲.</w:t>
      </w:r>
    </w:p>
    <w:p>
      <w:pPr>
        <w:pStyle w:val="BookText"/>
      </w:pPr>
      <w:r>
        <w:rPr>
          <w:rFonts w:ascii="IRNazanin" w:hAnsi="IRNazanin" w:eastAsia="IRNazanin" w:cs="IRNazanin"/>
          <w:lang w:bidi="fa-IR"/>
          <w:color w:val="111111"/>
          <w:sz w:val="28"/>
          <w:szCs w:val="28"/>
          <w:rtl/>
        </w:rPr>
        <w:t xml:space="preserve">۳-  - تداربیر بجهت دفع افلاس جعلی.</w:t>
      </w:r>
    </w:p>
    <w:p>
      <w:pPr>
        <w:pStyle w:val="BookText"/>
      </w:pPr>
      <w:r>
        <w:rPr>
          <w:rFonts w:ascii="IRNazanin" w:hAnsi="IRNazanin" w:eastAsia="IRNazanin" w:cs="IRNazanin"/>
          <w:lang w:bidi="fa-IR"/>
          <w:color w:val="111111"/>
          <w:sz w:val="28"/>
          <w:szCs w:val="28"/>
          <w:rtl/>
        </w:rPr>
        <w:t xml:space="preserve">۴- مهاجرت نامه بین ایران و روس در ۱۸ جمادی الثانی ۱۲۶۰.</w:t>
      </w:r>
    </w:p>
    <w:p>
      <w:pPr>
        <w:pStyle w:val="BookText"/>
      </w:pPr>
      <w:r>
        <w:rPr>
          <w:rFonts w:ascii="IRNazanin" w:hAnsi="IRNazanin" w:eastAsia="IRNazanin" w:cs="IRNazanin"/>
          <w:lang w:bidi="fa-IR"/>
          <w:color w:val="111111"/>
          <w:sz w:val="28"/>
          <w:szCs w:val="28"/>
          <w:rtl/>
        </w:rPr>
        <w:t xml:space="preserve">۵- ترجمه پرو تو کول حق تملک خارجه در اسلامبول.</w:t>
      </w:r>
    </w:p>
    <w:p>
      <w:pPr>
        <w:pStyle w:val="BookText"/>
      </w:pPr>
      <w:r>
        <w:rPr>
          <w:rFonts w:ascii="IRNazanin" w:hAnsi="IRNazanin" w:eastAsia="IRNazanin" w:cs="IRNazanin"/>
          <w:lang w:bidi="fa-IR"/>
          <w:color w:val="111111"/>
          <w:sz w:val="28"/>
          <w:szCs w:val="28"/>
          <w:rtl/>
        </w:rPr>
        <w:t xml:space="preserve">۶- عهد نامه تجارتی بین ایران و عثمانی.</w:t>
      </w:r>
    </w:p>
    <w:p>
      <w:pPr>
        <w:pStyle w:val="BookText"/>
      </w:pPr>
      <w:r>
        <w:rPr>
          <w:rFonts w:ascii="IRNazanin" w:hAnsi="IRNazanin" w:eastAsia="IRNazanin" w:cs="IRNazanin"/>
          <w:lang w:bidi="fa-IR"/>
          <w:color w:val="111111"/>
          <w:sz w:val="28"/>
          <w:szCs w:val="28"/>
          <w:rtl/>
        </w:rPr>
        <w:t xml:space="preserve">7-صورت مقاوله نامه بین سفارت ایران و نظارت خارجه عثمانی به تاریخ ۱۳۰۸.</w:t>
      </w:r>
    </w:p>
    <w:p>
      <w:pPr>
        <w:pStyle w:val="BookText"/>
      </w:pPr>
      <w:r>
        <w:rPr>
          <w:rFonts w:ascii="IRNazanin" w:hAnsi="IRNazanin" w:eastAsia="IRNazanin" w:cs="IRNazanin"/>
          <w:lang w:bidi="fa-IR"/>
          <w:color w:val="111111"/>
          <w:sz w:val="28"/>
          <w:szCs w:val="28"/>
          <w:rtl/>
        </w:rPr>
        <w:t xml:space="preserve">٨-  عهد نامه سر حدیه روس ترکمانچای به تاریخ ۵ شعبان 1242.</w:t>
      </w:r>
    </w:p>
    <w:p>
      <w:pPr>
        <w:pStyle w:val="BookText"/>
      </w:pPr>
      <w:r>
        <w:rPr>
          <w:rFonts w:ascii="IRNazanin" w:hAnsi="IRNazanin" w:eastAsia="IRNazanin" w:cs="IRNazanin"/>
          <w:lang w:bidi="fa-IR"/>
          <w:color w:val="111111"/>
          <w:sz w:val="28"/>
          <w:szCs w:val="28"/>
          <w:rtl/>
        </w:rPr>
        <w:t xml:space="preserve">۹ -عهد نامه تجارتی ترکمانچای.</w:t>
      </w:r>
    </w:p>
    <w:p>
      <w:pPr>
        <w:pStyle w:val="BookText"/>
      </w:pPr>
      <w:r>
        <w:rPr>
          <w:rFonts w:ascii="Amiri" w:hAnsi="Amiri" w:eastAsia="Amiri" w:cs="Amiri"/>
          <w:lang w:bidi="ar-SA"/>
          <w:color w:val="111111"/>
          <w:sz w:val="28"/>
          <w:szCs w:val="28"/>
          <w:rtl/>
        </w:rPr>
        <w:t xml:space="preserve">١٠ - عهد نامه تشريفات.</w:t>
      </w:r>
    </w:p>
    <w:p>
      <w:pPr>
        <w:pStyle w:val="BookText"/>
      </w:pPr>
      <w:r>
        <w:rPr>
          <w:rFonts w:ascii="IRNazanin" w:hAnsi="IRNazanin" w:eastAsia="IRNazanin" w:cs="IRNazanin"/>
          <w:lang w:bidi="fa-IR"/>
          <w:color w:val="111111"/>
          <w:sz w:val="28"/>
          <w:szCs w:val="28"/>
          <w:rtl/>
        </w:rPr>
        <w:t xml:space="preserve">۱۱- عهد نامه خسارت جنگ روس.</w:t>
      </w:r>
    </w:p>
    <w:p>
      <w:pPr>
        <w:pStyle w:val="BookText"/>
      </w:pPr>
      <w:r>
        <w:rPr>
          <w:rFonts w:ascii="IRNazanin" w:hAnsi="IRNazanin" w:eastAsia="IRNazanin" w:cs="IRNazanin"/>
          <w:lang w:bidi="fa-IR"/>
          <w:color w:val="111111"/>
          <w:sz w:val="28"/>
          <w:szCs w:val="28"/>
          <w:rtl/>
        </w:rPr>
        <w:t xml:space="preserve">۱۲- مهاجرت نامه.</w:t>
      </w:r>
    </w:p>
    <w:p>
      <w:pPr>
        <w:pStyle w:val="BookText"/>
      </w:pPr>
      <w:r>
        <w:rPr>
          <w:rFonts w:ascii="IRNazanin" w:hAnsi="IRNazanin" w:eastAsia="IRNazanin" w:cs="IRNazanin"/>
          <w:lang w:bidi="fa-IR"/>
          <w:color w:val="111111"/>
          <w:sz w:val="28"/>
          <w:szCs w:val="28"/>
          <w:rtl/>
        </w:rPr>
        <w:t xml:space="preserve">۱۳ - حق تملک خارجه اسلامبول</w:t>
      </w:r>
    </w:p>
    <w:p>
      <w:pPr>
        <w:pStyle w:val="BookText"/>
      </w:pPr>
      <w:r>
        <w:rPr>
          <w:rFonts w:ascii="IRNazanin" w:hAnsi="IRNazanin" w:eastAsia="IRNazanin" w:cs="IRNazanin"/>
          <w:lang w:bidi="fa-IR"/>
          <w:color w:val="111111"/>
          <w:sz w:val="28"/>
          <w:szCs w:val="28"/>
          <w:rtl/>
        </w:rPr>
        <w:t xml:space="preserve">۱۴ - عهد نامه تجارتی بین ایران و عثمانی.</w:t>
      </w:r>
    </w:p>
    <w:p>
      <w:pPr>
        <w:pStyle w:val="BookText"/>
      </w:pPr>
      <w:r>
        <w:rPr>
          <w:rFonts w:ascii="IRNazanin" w:hAnsi="IRNazanin" w:eastAsia="IRNazanin" w:cs="IRNazanin"/>
          <w:lang w:bidi="fa-IR"/>
          <w:color w:val="111111"/>
          <w:sz w:val="28"/>
          <w:szCs w:val="28"/>
          <w:rtl/>
        </w:rPr>
        <w:t xml:space="preserve">۱۵- قطعه ای از سفر نامه عراق ناصر الدین شاه با صورت ذخـایر خزینه آستانه علوی که در روزنامه تبریز به تاریخ ۱۳۲۹ چاپ شده است.</w:t>
      </w:r>
    </w:p>
    <w:p>
      <w:pPr>
        <w:pStyle w:val="BookText"/>
      </w:pPr>
      <w:r>
        <w:rPr>
          <w:rFonts w:ascii="IRNazanin" w:hAnsi="IRNazanin" w:eastAsia="IRNazanin" w:cs="IRNazanin"/>
          <w:lang w:bidi="fa-IR"/>
          <w:color w:val="111111"/>
          <w:sz w:val="28"/>
          <w:szCs w:val="28"/>
          <w:rtl/>
        </w:rPr>
        <w:t xml:space="preserve">۱۶- صورت عهدنامه بین دولت ایران و روس در ۹ شوال 1228.</w:t>
      </w:r>
    </w:p>
    <w:p>
      <w:pPr>
        <w:pStyle w:val="BookText"/>
      </w:pPr>
      <w:r>
        <w:rPr>
          <w:rFonts w:ascii="IRNazanin" w:hAnsi="IRNazanin" w:eastAsia="IRNazanin" w:cs="IRNazanin"/>
          <w:lang w:bidi="fa-IR"/>
          <w:color w:val="111111"/>
          <w:sz w:val="28"/>
          <w:szCs w:val="28"/>
          <w:rtl/>
        </w:rPr>
        <w:t xml:space="preserve">قم؛ مرعشی؛ شماره نسخه: ۷۸۷۷</w:t>
      </w:r>
    </w:p>
    <w:p>
      <w:pPr>
        <w:pStyle w:val="BookText"/>
      </w:pPr>
      <w:r>
        <w:rPr>
          <w:rFonts w:ascii="IRNazanin" w:hAnsi="IRNazanin" w:eastAsia="IRNazanin" w:cs="IRNazanin"/>
          <w:lang w:bidi="fa-IR"/>
          <w:color w:val="111111"/>
          <w:sz w:val="28"/>
          <w:szCs w:val="28"/>
          <w:rtl/>
        </w:rPr>
        <w:t xml:space="preserve">خط: نستعلیق، بی کا، بی تا؛ جلد: تیماج قهوه ای،۵۵گ، مختلـف السطر،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۲۰ - ۲۱۱]</w:t>
      </w:r>
    </w:p>
    <w:p>
      <w:pPr>
        <w:pStyle w:val="Heading3"/>
      </w:pPr>
      <w:bookmarkStart w:id="1819" w:name="_Toc1341"/>
      <w:r>
        <w:t>اسناد و مکاتبات و یادداشتها / اسناد / فارسی</w:t>
      </w:r>
      <w:bookmarkEnd w:id="1819"/>
    </w:p>
    <w:p>
      <w:pPr>
        <w:pStyle w:val="BookText"/>
      </w:pPr>
      <w:r>
        <w:rPr>
          <w:rFonts w:ascii="Times New Roman" w:hAnsi="Times New Roman" w:eastAsia="Times New Roman" w:cs="Times New Roman"/>
          <w:lang w:val="en-US" w:bidi="en-US"/>
          <w:color w:val="111111"/>
          <w:sz w:val="28"/>
          <w:szCs w:val="28"/>
          <w:rtl/>
        </w:rPr>
        <w:t xml:space="preserve">asnād va mokātebāt va yāddāšt-hā</w:t>
      </w:r>
    </w:p>
    <w:p>
      <w:pPr>
        <w:pStyle w:val="BookText"/>
      </w:pPr>
      <w:r>
        <w:rPr>
          <w:rFonts w:ascii="IRNazanin" w:hAnsi="IRNazanin" w:eastAsia="IRNazanin" w:cs="IRNazanin"/>
          <w:lang w:bidi="fa-IR"/>
          <w:color w:val="111111"/>
          <w:sz w:val="28"/>
          <w:szCs w:val="28"/>
          <w:rtl/>
        </w:rPr>
        <w:t xml:space="preserve">افضل الملک، غلامحسین بن مهدی، ۱۲۷۹  - 1348قمری</w:t>
      </w:r>
    </w:p>
    <w:p>
      <w:pPr>
        <w:pStyle w:val="BookText"/>
      </w:pPr>
      <w:r>
        <w:rPr>
          <w:rFonts w:ascii="Times New Roman" w:hAnsi="Times New Roman" w:eastAsia="Times New Roman" w:cs="Times New Roman"/>
          <w:lang w:val="en-US" w:bidi="en-US"/>
          <w:color w:val="111111"/>
          <w:sz w:val="28"/>
          <w:szCs w:val="28"/>
          <w:rtl/>
        </w:rPr>
        <w:t xml:space="preserve">(1930-afzal-ol-molk, qolām-hoseyn ebn-e mahdī (1863 -</w:t>
      </w:r>
    </w:p>
    <w:p>
      <w:pPr>
        <w:pStyle w:val="BookText"/>
      </w:pPr>
      <w:r>
        <w:rPr>
          <w:rFonts w:ascii="IRNazanin" w:hAnsi="IRNazanin" w:eastAsia="IRNazanin" w:cs="IRNazanin"/>
          <w:lang w:bidi="fa-IR"/>
          <w:color w:val="111111"/>
          <w:sz w:val="28"/>
          <w:szCs w:val="28"/>
          <w:rtl/>
        </w:rPr>
        <w:t xml:space="preserve">مجموعه ای است از یادداشتهای افضل الملک شیرازی</w:t>
      </w:r>
    </w:p>
    <w:p>
      <w:pPr>
        <w:pStyle w:val="BookText"/>
      </w:pPr>
      <w:r>
        <w:rPr>
          <w:rFonts w:ascii="IRNazanin" w:hAnsi="IRNazanin" w:eastAsia="IRNazanin" w:cs="IRNazanin"/>
          <w:lang w:bidi="fa-IR"/>
          <w:color w:val="111111"/>
          <w:sz w:val="28"/>
          <w:szCs w:val="28"/>
          <w:rtl/>
        </w:rPr>
        <w:t xml:space="preserve">۱. تهران؛ ملک؛ شماره نسخه: ۸۱۲</w:t>
      </w:r>
    </w:p>
    <w:p>
      <w:pPr>
        <w:pStyle w:val="BookText"/>
      </w:pPr>
      <w:r>
        <w:rPr>
          <w:rFonts w:ascii="IRNazanin" w:hAnsi="IRNazanin" w:eastAsia="IRNazanin" w:cs="IRNazanin"/>
          <w:lang w:bidi="fa-IR"/>
          <w:color w:val="111111"/>
          <w:sz w:val="28"/>
          <w:szCs w:val="28"/>
          <w:rtl/>
        </w:rPr>
        <w:t xml:space="preserve">سواد مکاتبات و ثبت احکام توسط افضل الملک شیرازی؛ خط: شکسته، نستعلیق، کاتب = مؤلف، تا: ۱۳۰۶ و ۱۳۰۷؛ کاغذ: کاغذ ،فرنگی ،جلد: میشن لایی ،قرمز ،۱۲۷گ، مختلف السطر، اندازه:  ۱۷/۳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۲۰/۸سم [ف: ۲ - ۲۷]</w:t>
      </w:r>
    </w:p>
    <w:p>
      <w:pPr>
        <w:pStyle w:val="BookText"/>
      </w:pPr>
      <w:r>
        <w:rPr>
          <w:rFonts w:ascii="IRNazanin" w:hAnsi="IRNazanin" w:eastAsia="IRNazanin" w:cs="IRNazanin"/>
          <w:lang w:bidi="fa-IR"/>
          <w:color w:val="111111"/>
          <w:sz w:val="28"/>
          <w:szCs w:val="28"/>
          <w:rtl/>
        </w:rPr>
        <w:t xml:space="preserve">۲. تهران؛ ملک؛ شماره نسخه: ۶۲۴</w:t>
      </w:r>
    </w:p>
    <w:p>
      <w:pPr>
        <w:pStyle w:val="BookText"/>
      </w:pPr>
      <w:r>
        <w:rPr>
          <w:rFonts w:ascii="IRNazanin" w:hAnsi="IRNazanin" w:eastAsia="IRNazanin" w:cs="IRNazanin"/>
          <w:lang w:bidi="fa-IR"/>
          <w:color w:val="111111"/>
          <w:sz w:val="28"/>
          <w:szCs w:val="28"/>
          <w:rtl/>
        </w:rPr>
        <w:t xml:space="preserve">به انضمام عين مکاتبات اتابک و دیگران که در آن چسبانیده شده است. آغاز نگارش اصل یادداشت ها سال ۱۳۳۵ می باشد و می گوید که در ۲۵ محرم این سال سنش به ۵۶ رسیده است؛ خط ،شکسته، نستعلیق، كاتب= مؤلف، تا: ۱۳۴۸ق؛ كاغذ: كاغذ ،فرنگی ،جلد: میشن قهوه ای ۲۴۲گ، ۱۶ سطر، اندازه: ۱۷/۸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۲۲/۱سم [ف: ۲ - ۲۷]</w:t>
      </w:r>
    </w:p>
    <w:p>
      <w:pPr>
        <w:pStyle w:val="Heading3"/>
      </w:pPr>
      <w:bookmarkStart w:id="1820" w:name="_Toc1342"/>
      <w:r>
        <w:t>اسناد و مکاتبات و یادداشتها / اسناد / فارسی</w:t>
      </w:r>
      <w:bookmarkEnd w:id="1820"/>
    </w:p>
    <w:p>
      <w:pPr>
        <w:pStyle w:val="BookText"/>
      </w:pPr>
      <w:r>
        <w:rPr>
          <w:rFonts w:ascii="Times New Roman" w:hAnsi="Times New Roman" w:eastAsia="Times New Roman" w:cs="Times New Roman"/>
          <w:lang w:val="en-US" w:bidi="en-US"/>
          <w:color w:val="111111"/>
          <w:sz w:val="28"/>
          <w:szCs w:val="28"/>
          <w:rtl/>
        </w:rPr>
        <w:t xml:space="preserve">asnād va mokātebāt va yāddāšt-hā</w:t>
      </w:r>
    </w:p>
    <w:p>
      <w:pPr>
        <w:pStyle w:val="BookText"/>
      </w:pPr>
      <w:r>
        <w:rPr>
          <w:rFonts w:ascii="IRNazanin" w:hAnsi="IRNazanin" w:eastAsia="IRNazanin" w:cs="IRNazanin"/>
          <w:lang w:bidi="fa-IR"/>
          <w:color w:val="111111"/>
          <w:sz w:val="28"/>
          <w:szCs w:val="28"/>
          <w:rtl/>
        </w:rPr>
        <w:t xml:space="preserve">غیر همانند:</w:t>
      </w:r>
    </w:p>
    <w:p>
      <w:pPr>
        <w:pStyle w:val="BookText"/>
      </w:pPr>
      <w:r>
        <w:rPr>
          <w:rFonts w:ascii="IRNazanin" w:hAnsi="IRNazanin" w:eastAsia="IRNazanin" w:cs="IRNazanin"/>
          <w:lang w:bidi="fa-IR"/>
          <w:color w:val="111111"/>
          <w:sz w:val="28"/>
          <w:szCs w:val="28"/>
          <w:rtl/>
        </w:rPr>
        <w:t xml:space="preserve">١. تهران؛ دانشگاه؛ شماره نسخه: ۹۴۶۲</w:t>
      </w:r>
    </w:p>
    <w:p>
      <w:pPr>
        <w:pStyle w:val="BookText"/>
      </w:pPr>
      <w:r>
        <w:rPr>
          <w:rFonts w:ascii="IRNazanin" w:hAnsi="IRNazanin" w:eastAsia="IRNazanin" w:cs="IRNazanin"/>
          <w:lang w:bidi="fa-IR"/>
          <w:color w:val="111111"/>
          <w:sz w:val="28"/>
          <w:szCs w:val="28"/>
          <w:rtl/>
        </w:rPr>
        <w:t xml:space="preserve">بی کا، تا: قرن ۱۳ و ۱۴؛ به چند اندازه؛ ۱۱۲گ [ف: ۱۷ - ۳۷۴]</w:t>
      </w:r>
    </w:p>
    <w:p>
      <w:pPr>
        <w:pStyle w:val="BookText"/>
      </w:pPr>
      <w:r>
        <w:rPr>
          <w:rFonts w:ascii="IRNazanin" w:hAnsi="IRNazanin" w:eastAsia="IRNazanin" w:cs="IRNazanin"/>
          <w:lang w:bidi="fa-IR"/>
          <w:color w:val="111111"/>
          <w:sz w:val="28"/>
          <w:szCs w:val="28"/>
          <w:rtl/>
        </w:rPr>
        <w:t xml:space="preserve">۲. تهران؛ ملک؛ شماره نسخه: ۴۸۱۰</w:t>
      </w:r>
    </w:p>
    <w:p>
      <w:pPr>
        <w:pStyle w:val="BookText"/>
      </w:pPr>
      <w:r>
        <w:rPr>
          <w:rFonts w:ascii="IRNazanin" w:hAnsi="IRNazanin" w:eastAsia="IRNazanin" w:cs="IRNazanin"/>
          <w:lang w:bidi="fa-IR"/>
          <w:color w:val="111111"/>
          <w:sz w:val="28"/>
          <w:szCs w:val="28"/>
          <w:rtl/>
        </w:rPr>
        <w:t xml:space="preserve">خلاصه عرایض متظلمین ولایات به دیوان تظلمات مورخ ۱۳۰۴؛ بی کا، تا: ۱۳۰۴ق ،کاغذ: کاغذ ،فرنگی، جلد: رویه کاغذ ابری ،فرنگی ،۶۷گ مختلف السطر، اندازه: ۲۱/۶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۳۴سم [ف: ۲ - ۲۷]</w:t>
      </w:r>
    </w:p>
    <w:p>
      <w:pPr>
        <w:pStyle w:val="BookText"/>
      </w:pPr>
      <w:r>
        <w:rPr>
          <w:rFonts w:ascii="IRNazanin" w:hAnsi="IRNazanin" w:eastAsia="IRNazanin" w:cs="IRNazanin"/>
          <w:lang w:bidi="fa-IR"/>
          <w:color w:val="111111"/>
          <w:sz w:val="28"/>
          <w:szCs w:val="28"/>
          <w:rtl/>
        </w:rPr>
        <w:t xml:space="preserve">3.تهران؛ ملک؛ شماره نسخه: ۴۱۳۰</w:t>
      </w:r>
    </w:p>
    <w:p>
      <w:pPr>
        <w:pStyle w:val="BookText"/>
      </w:pPr>
      <w:r>
        <w:rPr>
          <w:rFonts w:ascii="IRNazanin" w:hAnsi="IRNazanin" w:eastAsia="IRNazanin" w:cs="IRNazanin"/>
          <w:lang w:bidi="fa-IR"/>
          <w:color w:val="111111"/>
          <w:sz w:val="28"/>
          <w:szCs w:val="28"/>
          <w:rtl/>
        </w:rPr>
        <w:t xml:space="preserve">مجموعه  ۱۷۲ نامه از ۲۱ ربیع الاول ۱۲۹۸ تا ۱۰ صفر۱۳۰۰ خطاب به وزیر امور خارجه و میرزا یوسف مستشار و میرزا جواد  سرتیپ و معین الملک و مؤتمن الملک و صديق الملک و امین  الملک که از سفارت ایران در عثمانی صادر شده است؛ بی کا، بی تا؛ کاغذ: کاغذ فرنگی خط دار، جلد: رویه ابری فرنگی، ۶۲گ، ۲۷سطر، اندازه: ۲۰/۲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۲۸/۶سم [ف: ۲ - ۲۷]</w:t>
      </w:r>
    </w:p>
    <w:p>
      <w:pPr>
        <w:pStyle w:val="BookText"/>
      </w:pPr>
      <w:r>
        <w:rPr>
          <w:rFonts w:ascii="IRNazanin" w:hAnsi="IRNazanin" w:eastAsia="IRNazanin" w:cs="IRNazanin"/>
          <w:lang w:bidi="fa-IR"/>
          <w:color w:val="111111"/>
          <w:sz w:val="28"/>
          <w:szCs w:val="28"/>
          <w:rtl/>
        </w:rPr>
        <w:t xml:space="preserve">۴. تهران؛ ملک؛ شماره نسخه: ۴۸۱۲</w:t>
      </w:r>
    </w:p>
    <w:p>
      <w:pPr>
        <w:pStyle w:val="BookText"/>
      </w:pPr>
      <w:r>
        <w:rPr>
          <w:rFonts w:ascii="IRNazanin" w:hAnsi="IRNazanin" w:eastAsia="IRNazanin" w:cs="IRNazanin"/>
          <w:lang w:bidi="fa-IR"/>
          <w:color w:val="111111"/>
          <w:sz w:val="28"/>
          <w:szCs w:val="28"/>
          <w:rtl/>
        </w:rPr>
        <w:t xml:space="preserve">حاوى ثبت خلاصه عرایض به دیوان تظلمات در محرم 1300؛بی کا،  بی تا ؛کاغذ: کاغذ  فرنگی، جلد: میشن لائی سبز،  ۴۸گ،  مختلف السطر ، اندازه: ۲۲/۶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۳۵/۵سم [ف : ۲ - ۲۷]</w:t>
      </w:r>
    </w:p>
    <w:p>
      <w:pPr>
        <w:pStyle w:val="BookText"/>
      </w:pPr>
      <w:r>
        <w:rPr>
          <w:rFonts w:ascii="IRNazanin" w:hAnsi="IRNazanin" w:eastAsia="IRNazanin" w:cs="IRNazanin"/>
          <w:lang w:bidi="fa-IR"/>
          <w:color w:val="111111"/>
          <w:sz w:val="28"/>
          <w:szCs w:val="28"/>
          <w:rtl/>
        </w:rPr>
        <w:t xml:space="preserve">۵. تهران؛ ملک؛ شماره نسخه: ۵۶۶۳</w:t>
      </w:r>
    </w:p>
    <w:p>
      <w:pPr>
        <w:pStyle w:val="BookText"/>
      </w:pPr>
      <w:r>
        <w:rPr>
          <w:rFonts w:ascii="IRNazanin" w:hAnsi="IRNazanin" w:eastAsia="IRNazanin" w:cs="IRNazanin"/>
          <w:lang w:bidi="fa-IR"/>
          <w:color w:val="111111"/>
          <w:sz w:val="28"/>
          <w:szCs w:val="28"/>
          <w:rtl/>
        </w:rPr>
        <w:t xml:space="preserve">حاوی خلاصه و ثبت نامه ها و تلگراف های دولتی در سال های ۱۲۹۵ تا ۱۲۹۷؛ بی کا، بی تا ؛کاغذ: کاغذ فرنگی، جلد: میشن لایی ،بنفش ۲۲۲گ، مختلف السطر، اندازه: ۱۸/۶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۲۹/۳سم [ف: ۲-۲۷]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374" w:name="pg20365_260519"/>
    <w:bookmarkEnd w:id="374"/>
    <w:p>
      <w:pPr>
        <w:pStyle w:val="BookText"/>
      </w:pPr>
      <w:r>
        <w:rPr>
          <w:rFonts w:ascii="IRNazanin" w:hAnsi="IRNazanin" w:eastAsia="IRNazanin" w:cs="IRNazanin"/>
          <w:lang w:bidi="fa-IR"/>
          <w:color w:val="111111"/>
          <w:sz w:val="28"/>
          <w:szCs w:val="28"/>
          <w:rtl/>
        </w:rPr>
        <w:t xml:space="preserve">۶. تهران؛ ملک؛ شماره نسخه: ۵۶۶۴</w:t>
      </w:r>
    </w:p>
    <w:p>
      <w:pPr>
        <w:pStyle w:val="BookText"/>
      </w:pPr>
      <w:r>
        <w:rPr>
          <w:rFonts w:ascii="IRNazanin" w:hAnsi="IRNazanin" w:eastAsia="IRNazanin" w:cs="IRNazanin"/>
          <w:lang w:bidi="fa-IR"/>
          <w:color w:val="111111"/>
          <w:sz w:val="28"/>
          <w:szCs w:val="28"/>
          <w:rtl/>
        </w:rPr>
        <w:t xml:space="preserve">حاوی نامه هایی از میرزا آقا خان  نوری، معیرالممالک و مکاتباتی مربوط به تنخواه گیلان و واگذاری شیلات. تاریخ نامه ها از 1252 تا ۱۲۷۵ است؛ بی کا، بی تا؛ کاغذ: کاغذ آهار مهره  فرنگی، جـلد: میشن  قهوه ای، ۲۳۸گ، مختلف السطر، اندازه: ۲۱/۵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۳۵/۵  سم[ف: ۲ - ۲۷]</w:t>
      </w:r>
    </w:p>
    <w:p>
      <w:pPr>
        <w:pStyle w:val="BookText"/>
      </w:pPr>
      <w:r>
        <w:rPr>
          <w:rFonts w:ascii="IRNazanin" w:hAnsi="IRNazanin" w:eastAsia="IRNazanin" w:cs="IRNazanin"/>
          <w:lang w:bidi="fa-IR"/>
          <w:color w:val="111111"/>
          <w:sz w:val="28"/>
          <w:szCs w:val="28"/>
          <w:rtl/>
        </w:rPr>
        <w:t xml:space="preserve">۷. تهران؛ ملک؛ شماره نسخه:۵۶۶۵</w:t>
      </w:r>
    </w:p>
    <w:p>
      <w:pPr>
        <w:pStyle w:val="BookText"/>
      </w:pPr>
      <w:r>
        <w:rPr>
          <w:rFonts w:ascii="IRNazanin" w:hAnsi="IRNazanin" w:eastAsia="IRNazanin" w:cs="IRNazanin"/>
          <w:lang w:bidi="fa-IR"/>
          <w:color w:val="111111"/>
          <w:sz w:val="28"/>
          <w:szCs w:val="28"/>
          <w:rtl/>
        </w:rPr>
        <w:t xml:space="preserve">دفتر ثبت خلاصه نامه ها و تلگراف های دولتی در سالهای 1293 تا ۱۲۹۶ که اکثراً مربوط به حسام السلطنه و مستوفی الممالـک است؛ بی کا، بی تا، کاغذ: کاغذ  فرنگی ،جلد: میشن سبز لایی، ۸۹گ، مختلف السطر ، اندازه: ۱۸/۸</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۲۹/۳سم [ف: ۲ - ۲۷]</w:t>
      </w:r>
    </w:p>
    <w:p>
      <w:pPr>
        <w:pStyle w:val="BookText"/>
      </w:pPr>
      <w:r>
        <w:rPr>
          <w:rFonts w:ascii="IRNazanin" w:hAnsi="IRNazanin" w:eastAsia="IRNazanin" w:cs="IRNazanin"/>
          <w:lang w:bidi="fa-IR"/>
          <w:color w:val="111111"/>
          <w:sz w:val="28"/>
          <w:szCs w:val="28"/>
          <w:rtl/>
        </w:rPr>
        <w:t xml:space="preserve">۸ .تهران؛ ملک؛ شماره نسخه: ۵۶۶۶</w:t>
      </w:r>
    </w:p>
    <w:p>
      <w:pPr>
        <w:pStyle w:val="BookText"/>
      </w:pPr>
      <w:r>
        <w:rPr>
          <w:rFonts w:ascii="IRNazanin" w:hAnsi="IRNazanin" w:eastAsia="IRNazanin" w:cs="IRNazanin"/>
          <w:lang w:bidi="fa-IR"/>
          <w:color w:val="111111"/>
          <w:sz w:val="28"/>
          <w:szCs w:val="28"/>
          <w:rtl/>
        </w:rPr>
        <w:t xml:space="preserve">مجموعه ای از عرایض و نامه های اشخاص به ناصرالدین شاه با یادداشت ها و اوامر او خطاب به اتابک در سال های ۱۳۰۱تا 1303؛بی کا، بی تا؛ کاغذ: کاغذ متن سفید حاشیه آبی فرنگـی،جلد: مختمل  قرمز، ۲۷۴گ، مختلف السطر ، اندازه:20/5</w:t>
      </w:r>
      <w:r>
        <w:rPr>
          <w:rFonts w:ascii="Times New Roman" w:hAnsi="Times New Roman" w:eastAsia="Times New Roman" w:cs="Times New Roman"/>
          <w:lang w:val="en-US" w:bidi="en-US"/>
          <w:color w:val="111111"/>
          <w:sz w:val="28"/>
          <w:szCs w:val="28"/>
          <w:rtl/>
        </w:rPr>
        <w:t xml:space="preserve">×33 </w:t>
      </w:r>
      <w:r>
        <w:rPr>
          <w:rFonts w:ascii="IRNazanin" w:hAnsi="IRNazanin" w:eastAsia="IRNazanin" w:cs="IRNazanin"/>
          <w:lang w:bidi="fa-IR"/>
          <w:color w:val="111111"/>
          <w:sz w:val="28"/>
          <w:szCs w:val="28"/>
          <w:rtl/>
        </w:rPr>
        <w:t xml:space="preserve">سم[ف ۲ - ۲۸]</w:t>
      </w:r>
    </w:p>
    <w:p>
      <w:pPr>
        <w:pStyle w:val="BookText"/>
      </w:pPr>
      <w:r>
        <w:rPr>
          <w:rFonts w:ascii="IRNazanin" w:hAnsi="IRNazanin" w:eastAsia="IRNazanin" w:cs="IRNazanin"/>
          <w:lang w:bidi="fa-IR"/>
          <w:color w:val="111111"/>
          <w:sz w:val="28"/>
          <w:szCs w:val="28"/>
          <w:rtl/>
        </w:rPr>
        <w:t xml:space="preserve">۹. تهران؛ ملک؛ شماره نسخه: ۵۶۶۷</w:t>
      </w:r>
    </w:p>
    <w:p>
      <w:pPr>
        <w:pStyle w:val="BookText"/>
      </w:pPr>
      <w:r>
        <w:rPr>
          <w:rFonts w:ascii="IRNazanin" w:hAnsi="IRNazanin" w:eastAsia="IRNazanin" w:cs="IRNazanin"/>
          <w:lang w:bidi="fa-IR"/>
          <w:color w:val="111111"/>
          <w:sz w:val="28"/>
          <w:szCs w:val="28"/>
          <w:rtl/>
        </w:rPr>
        <w:t xml:space="preserve">دستخط های ناصرالدین شاه خطاب به امین السلطان و عرايـض مردم با دستورهای شاه مربوط به سال های ۱۲۹۳ تا ۱۲۹۵ ونیز نامه هایی از امین  الدوله، حكيم الممالک، معاون الملک، نظام الدوله؛ خط ،شکسته، نستعلیق، بی کا، بی تا؛ به انضمام  عکس ناصرالدین شاه و اتابک در اول این مجموعه، تمام اوراق مذهـب، کاغذ: کاغذ فرنگی  مختلف ،جلد: میشن  قهوه ای، ۱۷۲  گ، مختلف السطر،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۳۶/۶سم [ف: ۲ - ۲۸]</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تهران؛ ملک؛ شماره نسخه: ۵۸۹۶</w:t>
      </w:r>
    </w:p>
    <w:p>
      <w:pPr>
        <w:pStyle w:val="BookText"/>
      </w:pPr>
      <w:r>
        <w:rPr>
          <w:rFonts w:ascii="IRNazanin" w:hAnsi="IRNazanin" w:eastAsia="IRNazanin" w:cs="IRNazanin"/>
          <w:lang w:bidi="fa-IR"/>
          <w:color w:val="111111"/>
          <w:sz w:val="28"/>
          <w:szCs w:val="28"/>
          <w:rtl/>
        </w:rPr>
        <w:t xml:space="preserve">مجموعه ای از نامه های مجد الملک به اشخاص و به رجـال مملکت و نامه هایی از دیگران؛ خط: مختلف، بی کا،  بی تا؛ کاغذ: کاغذ ،فرنگی ،جلد: میشن قهوه ای، ۳۵گ، مختلف السطر، اندازه: ۲۲/۱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۳۵/۶سم [ف: ۲ - ۲۸]</w:t>
      </w:r>
    </w:p>
    <w:p>
      <w:pPr>
        <w:pStyle w:val="BookText"/>
      </w:pPr>
      <w:r>
        <w:rPr>
          <w:rFonts w:ascii="IRNazanin" w:hAnsi="IRNazanin" w:eastAsia="IRNazanin" w:cs="IRNazanin"/>
          <w:lang w:bidi="fa-IR"/>
          <w:color w:val="111111"/>
          <w:sz w:val="28"/>
          <w:szCs w:val="28"/>
          <w:rtl/>
        </w:rPr>
        <w:t xml:space="preserve">۱۱. تهران؛ ملک؛ شماره نسخه: ۶۲۰۱</w:t>
      </w:r>
    </w:p>
    <w:p>
      <w:pPr>
        <w:pStyle w:val="BookText"/>
      </w:pPr>
      <w:r>
        <w:rPr>
          <w:rFonts w:ascii="IRNazanin" w:hAnsi="IRNazanin" w:eastAsia="IRNazanin" w:cs="IRNazanin"/>
          <w:lang w:bidi="fa-IR"/>
          <w:color w:val="111111"/>
          <w:sz w:val="28"/>
          <w:szCs w:val="28"/>
          <w:rtl/>
        </w:rPr>
        <w:t xml:space="preserve">مجموعه ای از نامه و گزارش ها که غالباً از پاریس و لندن اسـت مربوط به سال های ۱۲۷۶ تا ۱۲۸۸ و بسیاری به امضای حسنعلی خان امیر نظام؛ بی كا، بی تا؛ کاغذ: کاغذ  فرنگی ،جلد: پارچه ۱۲۳گ، مختلف السطر، اندازه: ۱۴/۳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۲۱/۶سم [ف: ۲ - ۲۸]</w:t>
      </w:r>
    </w:p>
    <w:p>
      <w:pPr>
        <w:pStyle w:val="Heading3"/>
      </w:pPr>
      <w:bookmarkStart w:id="1821" w:name="_Toc1343"/>
      <w:r>
        <w:t>اسناد هرات / اسناد / فارسی</w:t>
      </w:r>
      <w:bookmarkEnd w:id="1821"/>
    </w:p>
    <w:p>
      <w:pPr>
        <w:pStyle w:val="BookText"/>
      </w:pPr>
      <w:r>
        <w:rPr>
          <w:rFonts w:ascii="Times New Roman" w:hAnsi="Times New Roman" w:eastAsia="Times New Roman" w:cs="Times New Roman"/>
          <w:lang w:val="en-US" w:bidi="en-US"/>
          <w:color w:val="111111"/>
          <w:sz w:val="28"/>
          <w:szCs w:val="28"/>
          <w:rtl/>
        </w:rPr>
        <w:t xml:space="preserve">asnād-e harāt</w:t>
      </w:r>
    </w:p>
    <w:p>
      <w:pPr>
        <w:pStyle w:val="BookText"/>
      </w:pPr>
      <w:r>
        <w:rPr>
          <w:rFonts w:ascii="IRNazanin" w:hAnsi="IRNazanin" w:eastAsia="IRNazanin" w:cs="IRNazanin"/>
          <w:lang w:bidi="fa-IR"/>
          <w:color w:val="111111"/>
          <w:sz w:val="28"/>
          <w:szCs w:val="28"/>
          <w:rtl/>
        </w:rPr>
        <w:t xml:space="preserve">تهران؛ دانشگاه؛ شماره نسخه: ۲۷۷۴-ف</w:t>
      </w:r>
    </w:p>
    <w:p>
      <w:pPr>
        <w:pStyle w:val="BookText"/>
      </w:pPr>
      <w:r>
        <w:rPr>
          <w:rFonts w:ascii="IRNazanin" w:hAnsi="IRNazanin" w:eastAsia="IRNazanin" w:cs="IRNazanin"/>
          <w:lang w:bidi="fa-IR"/>
          <w:color w:val="111111"/>
          <w:sz w:val="28"/>
          <w:szCs w:val="28"/>
          <w:rtl/>
        </w:rPr>
        <w:t xml:space="preserve">نسخه اصل: نسخه های آقای سید علی کبیر. از زمان قاجار در نخستین آنها خطاب به عضدالملک شده و آخرین آنها مورخ ۱۲۷۷ است، تاریخ ۱۲۶۸ و ۱۲۷۳ هم در آنها دیده می شود؛</w:t>
      </w:r>
    </w:p>
    <w:p>
      <w:pPr>
        <w:pStyle w:val="BookText"/>
      </w:pPr>
      <w:r>
        <w:rPr>
          <w:rFonts w:ascii="IRNazanin" w:hAnsi="IRNazanin" w:eastAsia="IRNazanin" w:cs="IRNazanin"/>
          <w:lang w:bidi="fa-IR"/>
          <w:color w:val="111111"/>
          <w:sz w:val="28"/>
          <w:szCs w:val="28"/>
          <w:rtl/>
        </w:rPr>
        <w:t xml:space="preserve">بی کا، بی تا؛ فیلم ها[ف: ۱ - ۱۳]</w:t>
      </w:r>
    </w:p>
    <w:p>
      <w:pPr>
        <w:pStyle w:val="Heading3"/>
      </w:pPr>
      <w:bookmarkStart w:id="1822" w:name="_Toc1344"/>
      <w:r>
        <w:t>اسناد هزار و یک نام حضرت حق سبحانه و تعالی  / / اسماء الله</w:t>
      </w:r>
      <w:bookmarkEnd w:id="1822"/>
    </w:p>
    <w:p>
      <w:pPr>
        <w:pStyle w:val="BookText"/>
      </w:pPr>
      <w:r>
        <w:rPr>
          <w:rFonts w:ascii="Times New Roman" w:hAnsi="Times New Roman" w:eastAsia="Times New Roman" w:cs="Times New Roman"/>
          <w:lang w:val="en-US" w:bidi="en-US"/>
          <w:color w:val="111111"/>
          <w:sz w:val="28"/>
          <w:szCs w:val="28"/>
          <w:rtl/>
        </w:rPr>
        <w:t xml:space="preserve">asnād-e hezār o yek nām-e hazrat-e haqq sobhān-a-hū</w:t>
      </w:r>
    </w:p>
    <w:p>
      <w:pPr>
        <w:pStyle w:val="BookText"/>
      </w:pPr>
      <w:r>
        <w:rPr>
          <w:rFonts w:ascii="Times New Roman" w:hAnsi="Times New Roman" w:eastAsia="Times New Roman" w:cs="Times New Roman"/>
          <w:lang w:val="en-US" w:bidi="en-US"/>
          <w:color w:val="111111"/>
          <w:sz w:val="28"/>
          <w:szCs w:val="28"/>
          <w:rtl/>
        </w:rPr>
        <w:t xml:space="preserve">va ta'ālā</w:t>
      </w:r>
    </w:p>
    <w:p>
      <w:pPr>
        <w:pStyle w:val="BookText"/>
      </w:pPr>
      <w:r>
        <w:rPr>
          <w:rFonts w:ascii="IRNazanin" w:hAnsi="IRNazanin" w:eastAsia="IRNazanin" w:cs="IRNazanin"/>
          <w:lang w:bidi="fa-IR"/>
          <w:color w:val="111111"/>
          <w:sz w:val="28"/>
          <w:szCs w:val="28"/>
          <w:rtl/>
        </w:rPr>
        <w:t xml:space="preserve">در این رساله کوتاه دعای جوشن کبیر که شامل هزار و یک نام باری تعالی است به دسته های ده تایی ده تایی تقسیم و برای هر دسته خواصی ذکر شده است.</w:t>
      </w:r>
    </w:p>
    <w:p>
      <w:pPr>
        <w:pStyle w:val="BookText"/>
      </w:pPr>
      <w:r>
        <w:rPr>
          <w:rFonts w:ascii="IRNazanin" w:hAnsi="IRNazanin" w:eastAsia="IRNazanin" w:cs="IRNazanin"/>
          <w:lang w:bidi="fa-IR"/>
          <w:color w:val="111111"/>
          <w:sz w:val="28"/>
          <w:szCs w:val="28"/>
          <w:rtl/>
        </w:rPr>
        <w:t xml:space="preserve">۱. اصفهان؛ روضاتی سید محمد علی؛ شماره نسخه: ۱/۵</w:t>
      </w:r>
    </w:p>
    <w:p>
      <w:pPr>
        <w:pStyle w:val="BookText"/>
      </w:pPr>
      <w:r>
        <w:rPr>
          <w:rFonts w:ascii="IRNazanin" w:hAnsi="IRNazanin" w:eastAsia="IRNazanin" w:cs="IRNazanin"/>
          <w:lang w:bidi="fa-IR"/>
          <w:color w:val="111111"/>
          <w:sz w:val="28"/>
          <w:szCs w:val="28"/>
          <w:rtl/>
        </w:rPr>
        <w:t xml:space="preserve">خط: نسخ جلی، بی کا، تا: قرن ۹؛ کاغذ: چهار بغل، ۶ص (۳۴پ  - ۳۹)، اندازه: ۱۳</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۱۵سم [ نشریه: ۵ - ۱۳۲]</w:t>
      </w:r>
    </w:p>
    <w:p>
      <w:pPr>
        <w:pStyle w:val="BookText"/>
      </w:pPr>
      <w:r>
        <w:rPr>
          <w:rFonts w:ascii="IRNazanin" w:hAnsi="IRNazanin" w:eastAsia="IRNazanin" w:cs="IRNazanin"/>
          <w:lang w:bidi="fa-IR"/>
          <w:color w:val="111111"/>
          <w:sz w:val="28"/>
          <w:szCs w:val="28"/>
          <w:rtl/>
        </w:rPr>
        <w:t xml:space="preserve">۲. خوی؛ نمازی؛ شماره نسخه: ۸۹۳/۴</w:t>
      </w:r>
    </w:p>
    <w:p>
      <w:pPr>
        <w:pStyle w:val="BookText"/>
      </w:pPr>
      <w:r>
        <w:rPr>
          <w:rFonts w:ascii="IRNazanin" w:hAnsi="IRNazanin" w:eastAsia="IRNazanin" w:cs="IRNazanin"/>
          <w:lang w:bidi="fa-IR"/>
          <w:color w:val="111111"/>
          <w:sz w:val="28"/>
          <w:szCs w:val="28"/>
          <w:rtl/>
        </w:rPr>
        <w:t xml:space="preserve">آغاز: اسناد هزار و یک نام باری تعالی جل جلاله و عم نوراله روایت است از امیرالمؤمنين حسن بن اسد الله الغالب على بن ابيطالب عليه الصلوة و السلام از پیغمبر (صلّی اللَّهِ علیه وَ آلِهِ وَ سَلَّمَ ) که چنین فرمود: بسم الله الرحمن الرحيم باسمائك يا الله يا رحمن... ده نام جهت نصرت کارها بعد از نماز صبح ده مرتبه بخواند يامن له العز و الجلال</w:t>
      </w:r>
    </w:p>
    <w:p>
      <w:pPr>
        <w:pStyle w:val="BookText"/>
      </w:pPr>
      <w:r>
        <w:rPr>
          <w:rFonts w:ascii="IRNazanin" w:hAnsi="IRNazanin" w:eastAsia="IRNazanin" w:cs="IRNazanin"/>
          <w:lang w:bidi="fa-IR"/>
          <w:color w:val="111111"/>
          <w:sz w:val="28"/>
          <w:szCs w:val="28"/>
          <w:rtl/>
        </w:rPr>
        <w:t xml:space="preserve">خط: نسخ، بی کا، بی تا؛ جلد: تیماج مشکی ضربی با ترنج، ۱برگ  ( ۱۴۵پ متن و  ۱۴۶  ر  تا ۱۵۲ر حاشیه) ۱۷ سطر،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۲۴/۵سم [ میراث اسلامی: دفتر دهم – ۷۷۰]</w:t>
      </w:r>
    </w:p>
    <w:p>
      <w:pPr>
        <w:pStyle w:val="Heading3"/>
      </w:pPr>
      <w:bookmarkStart w:id="1823" w:name="_Toc1345"/>
      <w:r>
        <w:t>اسناد همدم السلطنه / اسناد/ فارسی</w:t>
      </w:r>
      <w:bookmarkEnd w:id="1823"/>
    </w:p>
    <w:p>
      <w:pPr>
        <w:pStyle w:val="BookText"/>
      </w:pPr>
      <w:r>
        <w:rPr>
          <w:rFonts w:ascii="Times New Roman" w:hAnsi="Times New Roman" w:eastAsia="Times New Roman" w:cs="Times New Roman"/>
          <w:lang w:val="en-US" w:bidi="en-US"/>
          <w:color w:val="111111"/>
          <w:sz w:val="28"/>
          <w:szCs w:val="28"/>
          <w:rtl/>
        </w:rPr>
        <w:t xml:space="preserve">asnad-e hamdam-os-saltane</w:t>
      </w:r>
    </w:p>
    <w:p>
      <w:pPr>
        <w:pStyle w:val="BookText"/>
      </w:pPr>
      <w:r>
        <w:rPr>
          <w:rFonts w:ascii="IRNazanin" w:hAnsi="IRNazanin" w:eastAsia="IRNazanin" w:cs="IRNazanin"/>
          <w:lang w:bidi="fa-IR"/>
          <w:color w:val="111111"/>
          <w:sz w:val="28"/>
          <w:szCs w:val="28"/>
          <w:rtl/>
        </w:rPr>
        <w:t xml:space="preserve">تهران؛ دانشگاه؛ شماره نسخه: ۸۳۵۸/۴</w:t>
      </w:r>
    </w:p>
    <w:p>
      <w:pPr>
        <w:pStyle w:val="BookText"/>
      </w:pPr>
      <w:r>
        <w:rPr>
          <w:rFonts w:ascii="IRNazanin" w:hAnsi="IRNazanin" w:eastAsia="IRNazanin" w:cs="IRNazanin"/>
          <w:lang w:bidi="fa-IR"/>
          <w:color w:val="111111"/>
          <w:sz w:val="28"/>
          <w:szCs w:val="28"/>
          <w:rtl/>
        </w:rPr>
        <w:t xml:space="preserve">اسناد  همدم  السلطنه مورخ  1312و 1315و 1324و 1326و 1335شانزده طفرا؛ خط: نستعلیق، بی کا، بی تا [ف: ۱۷ - ۱۲۲]</w:t>
      </w:r>
    </w:p>
    <w:p>
      <w:pPr>
        <w:pStyle w:val="Heading3"/>
      </w:pPr>
      <w:bookmarkStart w:id="1824" w:name="_Toc1346"/>
      <w:r>
        <w:t>الاسنان الاربعة (ارجوزة) / طب، شعر / عربي</w:t>
      </w:r>
      <w:bookmarkEnd w:id="1824"/>
    </w:p>
    <w:p>
      <w:pPr>
        <w:pStyle w:val="BookText"/>
      </w:pPr>
      <w:r>
        <w:rPr>
          <w:rFonts w:ascii="Times New Roman" w:hAnsi="Times New Roman" w:eastAsia="Times New Roman" w:cs="Times New Roman"/>
          <w:lang w:val="en-US" w:bidi="en-US"/>
          <w:color w:val="111111"/>
          <w:sz w:val="28"/>
          <w:szCs w:val="28"/>
          <w:rtl/>
        </w:rPr>
        <w:t xml:space="preserve">(al-asnān-ul-arba‘a (urjūza)</w:t>
      </w:r>
    </w:p>
    <w:p>
      <w:pPr>
        <w:pStyle w:val="BookText"/>
      </w:pPr>
      <w:r>
        <w:rPr>
          <w:rFonts w:ascii="IRNazanin" w:hAnsi="IRNazanin" w:eastAsia="IRNazanin" w:cs="IRNazanin"/>
          <w:lang w:bidi="fa-IR"/>
          <w:color w:val="111111"/>
          <w:sz w:val="28"/>
          <w:szCs w:val="28"/>
          <w:rtl/>
        </w:rPr>
        <w:t xml:space="preserve">راشد بن عميره بن ثانی</w:t>
      </w:r>
    </w:p>
    <w:p>
      <w:pPr>
        <w:pStyle w:val="BookText"/>
      </w:pPr>
      <w:r>
        <w:rPr>
          <w:rFonts w:ascii="Times New Roman" w:hAnsi="Times New Roman" w:eastAsia="Times New Roman" w:cs="Times New Roman"/>
          <w:lang w:val="en-US" w:bidi="en-US"/>
          <w:color w:val="111111"/>
          <w:sz w:val="28"/>
          <w:szCs w:val="28"/>
          <w:rtl/>
        </w:rPr>
        <w:t xml:space="preserve">rāšed ebn-e ‘omayre ebn-e sānī</w:t>
      </w:r>
    </w:p>
    <w:p>
      <w:pPr>
        <w:pStyle w:val="BookText"/>
      </w:pPr>
      <w:r>
        <w:rPr>
          <w:rFonts w:ascii="IRNazanin" w:hAnsi="IRNazanin" w:eastAsia="IRNazanin" w:cs="IRNazanin"/>
          <w:lang w:bidi="fa-IR"/>
          <w:color w:val="111111"/>
          <w:sz w:val="28"/>
          <w:szCs w:val="28"/>
          <w:rtl/>
        </w:rPr>
        <w:t xml:space="preserve">منظومه ای است درباره دندان های آدمی از طفولیت تا شباب و سپس کهولت و بر حسب فصول اربعه سال در چهار فصل نگاشته شده  است. این ارجوزه با بیت زیر آغاز می شود: «قال  الفقير راشد بن هاشم *** مقالة تروق كل عالم»</w:t>
      </w:r>
    </w:p>
    <w:p>
      <w:pPr>
        <w:pStyle w:val="BookText"/>
      </w:pPr>
      <w:r>
        <w:rPr>
          <w:rFonts w:ascii="Amiri" w:hAnsi="Amiri" w:eastAsia="Amiri" w:cs="Amiri"/>
          <w:lang w:bidi="ar-SA"/>
          <w:color w:val="111111"/>
          <w:sz w:val="28"/>
          <w:szCs w:val="28"/>
          <w:rtl/>
        </w:rPr>
        <w:t xml:space="preserve">آغاز: بسمله، الحمد لله الذي جعل بدر القضاء يجرى في فلك  القدر</w:t>
      </w:r>
    </w:p>
    <w:p>
      <w:pPr>
        <w:pStyle w:val="BookText"/>
      </w:pPr>
      <w:r>
        <w:rPr>
          <w:rFonts w:ascii="Amiri" w:hAnsi="Amiri" w:eastAsia="Amiri" w:cs="Amiri"/>
          <w:lang w:bidi="ar-SA"/>
          <w:color w:val="111111"/>
          <w:sz w:val="28"/>
          <w:szCs w:val="28"/>
          <w:rtl/>
        </w:rPr>
        <w:t xml:space="preserve">انجام: و يكتحل به نافع مثل آلاخر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375" w:name="pg20365_260520"/>
    <w:bookmarkEnd w:id="375"/>
    <w:p>
      <w:pPr>
        <w:pStyle w:val="BookText"/>
      </w:pPr>
      <w:r>
        <w:rPr>
          <w:rFonts w:ascii="IRNazanin" w:hAnsi="IRNazanin" w:eastAsia="IRNazanin" w:cs="IRNazanin"/>
          <w:lang w:bidi="fa-IR"/>
          <w:color w:val="111111"/>
          <w:sz w:val="28"/>
          <w:szCs w:val="28"/>
          <w:rtl/>
        </w:rPr>
        <w:t xml:space="preserve">تهران؛ ملی؛ شماره نسخه: ۸۵۱/۲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محتملاً قرن ۹؛ کاغذ: کشمیری؛ جلد: تیماج ماشی دارای ترنج و نیم ترنج ،کوبیده، ۱۴ص(۱۴۴-۱۵۷)،  20 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۸ - ۳۵۴]</w:t>
      </w:r>
    </w:p>
    <w:p>
      <w:pPr>
        <w:pStyle w:val="Heading3"/>
      </w:pPr>
      <w:bookmarkStart w:id="1825" w:name="_Toc1347"/>
      <w:r>
        <w:t>اسنی العقائد فى اشرف المطالب و ازلف المقاصد  / كلام و اعتقادات / عربی</w:t>
      </w:r>
      <w:bookmarkEnd w:id="1825"/>
    </w:p>
    <w:p>
      <w:pPr>
        <w:pStyle w:val="BookText"/>
      </w:pPr>
      <w:r>
        <w:rPr>
          <w:rFonts w:ascii="Times New Roman" w:hAnsi="Times New Roman" w:eastAsia="Times New Roman" w:cs="Times New Roman"/>
          <w:lang w:val="en-US" w:bidi="en-US"/>
          <w:color w:val="111111"/>
          <w:sz w:val="28"/>
          <w:szCs w:val="28"/>
          <w:rtl/>
        </w:rPr>
        <w:t xml:space="preserve">asna-l-‘aqā’id fī ašraf-il-maṭālib wa azlaf-il-maqāṣid</w:t>
      </w:r>
    </w:p>
    <w:p>
      <w:pPr>
        <w:pStyle w:val="BookText"/>
      </w:pPr>
      <w:r>
        <w:rPr>
          <w:rFonts w:ascii="IRNazanin" w:hAnsi="IRNazanin" w:eastAsia="IRNazanin" w:cs="IRNazanin"/>
          <w:lang w:bidi="fa-IR"/>
          <w:color w:val="111111"/>
          <w:sz w:val="28"/>
          <w:szCs w:val="28"/>
          <w:rtl/>
        </w:rPr>
        <w:t xml:space="preserve">مؤیدی، حسن بن علی، - ۱۰۲۴ قمری</w:t>
      </w:r>
    </w:p>
    <w:p>
      <w:pPr>
        <w:pStyle w:val="BookText"/>
      </w:pPr>
      <w:r>
        <w:rPr>
          <w:rFonts w:ascii="Times New Roman" w:hAnsi="Times New Roman" w:eastAsia="Times New Roman" w:cs="Times New Roman"/>
          <w:lang w:val="en-US" w:bidi="en-US"/>
          <w:color w:val="111111"/>
          <w:sz w:val="28"/>
          <w:szCs w:val="28"/>
          <w:rtl/>
        </w:rPr>
        <w:t xml:space="preserve">(mo’ayyedī, hasan ebn-e ‘alī (- 1615)</w:t>
      </w:r>
    </w:p>
    <w:p>
      <w:pPr>
        <w:pStyle w:val="BookText"/>
      </w:pPr>
      <w:r>
        <w:rPr>
          <w:rFonts w:ascii="IRNazanin" w:hAnsi="IRNazanin" w:eastAsia="IRNazanin" w:cs="IRNazanin"/>
          <w:lang w:bidi="fa-IR"/>
          <w:color w:val="111111"/>
          <w:sz w:val="28"/>
          <w:szCs w:val="28"/>
          <w:rtl/>
        </w:rPr>
        <w:t xml:space="preserve">پاسخ شش پرسش اعتقادی است که بعضی از شیعیان اهل یـمن پرسیده و مؤلف بدانها مطابق مذهب زیدیه جواب می گوید. عناوین سؤالها چنین است: ۱. قضية الاشباح ؛۲. الخمسة الاشباح اهل الكساء؛ ٣. اهل الكساء فى الجملة هم اهل البيت (علیهم السّلام) ؛4. اهل البيت طوائفهم و فرقهم غير خارجين من الفرقة الزيدية ؛5. الفرقة الزيدية هى الفرقة الناجية؛ ۶. طلب تصحيح الخبر و احكامه و معرفة كيفيته و احكامه.  [مؤلفات الزيدية ۱۲۲/۱؛ معجم المؤلفين ۲۵۴/۳]</w:t>
      </w:r>
    </w:p>
    <w:p>
      <w:pPr>
        <w:pStyle w:val="BookText"/>
      </w:pPr>
      <w:r>
        <w:rPr>
          <w:rFonts w:ascii="IRNazanin" w:hAnsi="IRNazanin" w:eastAsia="IRNazanin" w:cs="IRNazanin"/>
          <w:lang w:bidi="fa-IR"/>
          <w:color w:val="111111"/>
          <w:sz w:val="28"/>
          <w:szCs w:val="28"/>
          <w:rtl/>
        </w:rPr>
        <w:t xml:space="preserve">قم؛ مرکز احیاء؛ شماره نسخه: ۴۷۱/۵</w:t>
      </w:r>
    </w:p>
    <w:p>
      <w:pPr>
        <w:pStyle w:val="BookText"/>
      </w:pPr>
      <w:r>
        <w:rPr>
          <w:rFonts w:ascii="IRNazanin" w:hAnsi="IRNazanin" w:eastAsia="IRNazanin" w:cs="IRNazanin"/>
          <w:lang w:bidi="fa-IR"/>
          <w:color w:val="111111"/>
          <w:sz w:val="28"/>
          <w:szCs w:val="28"/>
          <w:rtl/>
        </w:rPr>
        <w:t xml:space="preserve">آغاز: الحمد لله رب العالمين ... اما بعد فان معانى هذه الاسئلة الاتی ذكرها و ان لم يصرح بذلك السائل</w:t>
      </w:r>
    </w:p>
    <w:p>
      <w:pPr>
        <w:pStyle w:val="BookText"/>
      </w:pPr>
      <w:r>
        <w:rPr>
          <w:rFonts w:ascii="IRNazanin" w:hAnsi="IRNazanin" w:eastAsia="IRNazanin" w:cs="IRNazanin"/>
          <w:lang w:bidi="fa-IR"/>
          <w:color w:val="111111"/>
          <w:sz w:val="28"/>
          <w:szCs w:val="28"/>
          <w:rtl/>
        </w:rPr>
        <w:t xml:space="preserve">کتابخانه آکادمی لینچی رم ۳۴ روسی ۳۳۵ ؛ بی کا، تا: چهارشنبه  25 ربیع الثانی ۱۰۵۲ق؛ قبل از کتاب در صفحات ۲۷۹-۲۸۵ شـرح حال امام ناصر به قلم شمس الدین احمد بن سعدالدين بن حسـین بن محمد بن علی بن محمد مسوری آمده است، و سپس از همان مسوری قصیده ای در مدح اهل بیت دارای ۳۷ بیت آمده ( ص۳۳۱)، در صفحه ۳۳۴ مواعظی از شرح نهج البلاغه ابن ابى الحدید و سپس در صفحات ۳۳۵-۳۳۸ اشعاری از وی نقل شده،در صفحه ۳۳۹ چهار بیت از وزیر مغربی و سه بیت از امیر ابوالفضـل میکالی منقول است؛ ۴۳گ (۲۸۷-۳۲۹) [ عکسی ف: ۲-۶۷]</w:t>
      </w:r>
    </w:p>
    <w:p>
      <w:pPr>
        <w:pStyle w:val="Heading3"/>
      </w:pPr>
      <w:bookmarkStart w:id="1826" w:name="_Toc1348"/>
      <w:r>
        <w:t>اسنى المطالب فى شرح الروض الطالب / فقه / عرب</w:t>
      </w:r>
      <w:bookmarkEnd w:id="1826"/>
    </w:p>
    <w:p>
      <w:pPr>
        <w:pStyle w:val="BookText"/>
      </w:pPr>
      <w:r>
        <w:rPr>
          <w:rFonts w:ascii="Times New Roman" w:hAnsi="Times New Roman" w:eastAsia="Times New Roman" w:cs="Times New Roman"/>
          <w:lang w:val="en-US" w:bidi="en-US"/>
          <w:color w:val="111111"/>
          <w:sz w:val="28"/>
          <w:szCs w:val="28"/>
          <w:rtl/>
        </w:rPr>
        <w:t xml:space="preserve">asna-l maṭālib fī š.-i rawḍ-iṭ ṭālib</w:t>
      </w:r>
    </w:p>
    <w:p>
      <w:pPr>
        <w:pStyle w:val="BookText"/>
      </w:pPr>
      <w:r>
        <w:rPr>
          <w:rFonts w:ascii="IRNazanin" w:hAnsi="IRNazanin" w:eastAsia="IRNazanin" w:cs="IRNazanin"/>
          <w:lang w:bidi="fa-IR"/>
          <w:color w:val="111111"/>
          <w:sz w:val="28"/>
          <w:szCs w:val="28"/>
          <w:rtl/>
        </w:rPr>
        <w:t xml:space="preserve">انصاری، زکریا بن  محمد، ۸۲۶؟ - ۹۲۶ ؟ قمری</w:t>
      </w:r>
    </w:p>
    <w:p>
      <w:pPr>
        <w:pStyle w:val="BookText"/>
      </w:pPr>
      <w:r>
        <w:rPr>
          <w:rFonts w:ascii="Times New Roman" w:hAnsi="Times New Roman" w:eastAsia="Times New Roman" w:cs="Times New Roman"/>
          <w:lang w:val="en-US" w:bidi="en-US"/>
          <w:color w:val="111111"/>
          <w:sz w:val="28"/>
          <w:szCs w:val="28"/>
          <w:rtl/>
        </w:rPr>
        <w:t xml:space="preserve">(ansārī, zakaryīā ebn-e mohammad (1423 - 1520)</w:t>
      </w:r>
    </w:p>
    <w:p>
      <w:pPr>
        <w:pStyle w:val="BookText"/>
      </w:pPr>
      <w:r>
        <w:rPr>
          <w:rFonts w:ascii="IRNazanin" w:hAnsi="IRNazanin" w:eastAsia="IRNazanin" w:cs="IRNazanin"/>
          <w:lang w:bidi="fa-IR"/>
          <w:color w:val="111111"/>
          <w:sz w:val="28"/>
          <w:szCs w:val="28"/>
          <w:rtl/>
        </w:rPr>
        <w:t xml:space="preserve">وابسته به: روضة الطالبين وعمدة المفتين = الروضة فى الفروع نووی یحیی بن شرف (۶۳۱-676ق)</w:t>
      </w:r>
    </w:p>
    <w:p>
      <w:pPr>
        <w:pStyle w:val="BookText"/>
      </w:pPr>
      <w:r>
        <w:rPr>
          <w:rFonts w:ascii="IRNazanin" w:hAnsi="IRNazanin" w:eastAsia="IRNazanin" w:cs="IRNazanin"/>
          <w:lang w:bidi="fa-IR"/>
          <w:color w:val="111111"/>
          <w:sz w:val="28"/>
          <w:szCs w:val="28"/>
          <w:rtl/>
        </w:rPr>
        <w:t xml:space="preserve">الروض = مختصر الروضة للنووى؛ ابن مقری، اسماعیل بن ابی بکر (۷۵۵-۸۳۷)</w:t>
      </w:r>
    </w:p>
    <w:p>
      <w:pPr>
        <w:pStyle w:val="BookText"/>
      </w:pPr>
      <w:r>
        <w:rPr>
          <w:rFonts w:ascii="IRNazanin" w:hAnsi="IRNazanin" w:eastAsia="IRNazanin" w:cs="IRNazanin"/>
          <w:lang w:bidi="fa-IR"/>
          <w:color w:val="111111"/>
          <w:sz w:val="28"/>
          <w:szCs w:val="28"/>
          <w:rtl/>
        </w:rPr>
        <w:t xml:space="preserve">این کتاب شرح مزجی استدلالی بر کتاب «الروض» شرف الدین اسماعيل بن مقرى یمنی است که او مختصر کتاب «روضة الطالبين وعمدة المفتين» يحيى بن شرف نووی است و این نیز مختصر «فتح العزيز» رافعی  قزوینی، عبدالکريم بن محمد (۵۵۷ -۶۲۳ق) و این نیز شرح كتاب «الوجيزة فى فقه الشافعي» غزالی، محمد بن محمد ( ۴۵۰-۵۰۵ق) است.</w:t>
      </w:r>
    </w:p>
    <w:p>
      <w:pPr>
        <w:pStyle w:val="BookText"/>
      </w:pPr>
      <w:r>
        <w:rPr>
          <w:rFonts w:ascii="Amiri" w:hAnsi="Amiri" w:eastAsia="Amiri" w:cs="Amiri"/>
          <w:lang w:bidi="ar-SA"/>
          <w:color w:val="111111"/>
          <w:sz w:val="28"/>
          <w:szCs w:val="28"/>
          <w:rtl/>
        </w:rPr>
        <w:t xml:space="preserve">آغاز: قال الشيخ ابو يحيى الانصاري ... كتاب الفرائض هي جمع فريضة بمعنى مفروضة اى مقدرة لما فيها</w:t>
      </w:r>
    </w:p>
    <w:p>
      <w:pPr>
        <w:pStyle w:val="BookText"/>
      </w:pPr>
      <w:r>
        <w:rPr>
          <w:rFonts w:ascii="IRNazanin" w:hAnsi="IRNazanin" w:eastAsia="IRNazanin" w:cs="IRNazanin"/>
          <w:lang w:bidi="fa-IR"/>
          <w:color w:val="111111"/>
          <w:sz w:val="28"/>
          <w:szCs w:val="28"/>
          <w:rtl/>
        </w:rPr>
        <w:t xml:space="preserve">چاپ: طبع، انظر المعجم ص /۳۸۴؛ مصر بهامشه حاشية الشيخ احمد الرملي الكبير ( فقه شافعی) ۱۳۱۳ق.</w:t>
      </w:r>
    </w:p>
    <w:p>
      <w:pPr>
        <w:pStyle w:val="BookText"/>
      </w:pPr>
      <w:r>
        <w:rPr>
          <w:rFonts w:ascii="IRNazanin" w:hAnsi="IRNazanin" w:eastAsia="IRNazanin" w:cs="IRNazanin"/>
          <w:lang w:bidi="fa-IR"/>
          <w:color w:val="111111"/>
          <w:sz w:val="28"/>
          <w:szCs w:val="28"/>
          <w:rtl/>
        </w:rPr>
        <w:t xml:space="preserve">[دنا ۸۳۵/۱ (۳ نسخه)؛ معجم المؤلفين ۱۸۲/۴؛ كشف الظنون ۹۱۹/۱ (نمونه چاپی مصر در ۴ مجلد)؛ الاوقاف العامة موصل ۴۱؛ الاوقاف العامة بغداد  ۵۸۲/۱  ]</w:t>
      </w:r>
    </w:p>
    <w:p>
      <w:pPr>
        <w:pStyle w:val="BookText"/>
      </w:pPr>
      <w:r>
        <w:rPr>
          <w:rFonts w:ascii="IRNazanin" w:hAnsi="IRNazanin" w:eastAsia="IRNazanin" w:cs="IRNazanin"/>
          <w:lang w:bidi="fa-IR"/>
          <w:color w:val="111111"/>
          <w:sz w:val="28"/>
          <w:szCs w:val="28"/>
          <w:rtl/>
        </w:rPr>
        <w:t xml:space="preserve">۱. قم؛ مرعشی؛ شماره نسخه: ۱۲۵۳۱</w:t>
      </w:r>
    </w:p>
    <w:p>
      <w:pPr>
        <w:pStyle w:val="BookText"/>
      </w:pPr>
      <w:r>
        <w:rPr>
          <w:rFonts w:ascii="Amiri" w:hAnsi="Amiri" w:eastAsia="Amiri" w:cs="Amiri"/>
          <w:lang w:bidi="ar-SA"/>
          <w:color w:val="111111"/>
          <w:sz w:val="28"/>
          <w:szCs w:val="28"/>
          <w:rtl/>
        </w:rPr>
        <w:t xml:space="preserve">آغاز: أو الرقيق تخصص بها تنزيلاً لتخصيصه منزلة المهاياة فتكون؛ انجام: لتضمنها تزكية نفسه لتوقف حكمه على العدالة</w:t>
      </w:r>
    </w:p>
    <w:p>
      <w:pPr>
        <w:pStyle w:val="BookText"/>
      </w:pPr>
      <w:r>
        <w:rPr>
          <w:rFonts w:ascii="IRNazanin" w:hAnsi="IRNazanin" w:eastAsia="IRNazanin" w:cs="IRNazanin"/>
          <w:lang w:bidi="fa-IR"/>
          <w:color w:val="111111"/>
          <w:sz w:val="28"/>
          <w:szCs w:val="28"/>
          <w:rtl/>
        </w:rPr>
        <w:t xml:space="preserve">خط: نسخ، بی کا، تا: قرن ۱۰؛ افتادگی: کا، تا: قرن ۱۰؛ افتادگی: آغاز و انجام؛ مصحح؛ کاغذ: شرقی، جلد: مشمع مشکی با مقوا، عطف میشن، ۲۳۰گ،33 سطر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۳۱ - ۵۸۳]</w:t>
      </w:r>
    </w:p>
    <w:p>
      <w:pPr>
        <w:pStyle w:val="BookText"/>
      </w:pPr>
      <w:r>
        <w:rPr>
          <w:rFonts w:ascii="IRNazanin" w:hAnsi="IRNazanin" w:eastAsia="IRNazanin" w:cs="IRNazanin"/>
          <w:lang w:bidi="fa-IR"/>
          <w:color w:val="111111"/>
          <w:sz w:val="28"/>
          <w:szCs w:val="28"/>
          <w:rtl/>
        </w:rPr>
        <w:t xml:space="preserve">۲ .تهران؛ ملی؛ شماره نسخه: ۹۶۷</w:t>
      </w:r>
    </w:p>
    <w:p>
      <w:pPr>
        <w:pStyle w:val="BookText"/>
      </w:pPr>
      <w:r>
        <w:rPr>
          <w:rFonts w:ascii="Amiri" w:hAnsi="Amiri" w:eastAsia="Amiri" w:cs="Amiri"/>
          <w:lang w:bidi="ar-SA"/>
          <w:color w:val="111111"/>
          <w:sz w:val="28"/>
          <w:szCs w:val="28"/>
          <w:rtl/>
        </w:rPr>
        <w:t xml:space="preserve">آغاز: بسمله و به الاستعانه والتوفيق و التكلان؛ انجام: لعل الباب  ما يتعلق به و الله اعلم</w:t>
      </w:r>
    </w:p>
    <w:p>
      <w:pPr>
        <w:pStyle w:val="BookText"/>
      </w:pPr>
      <w:r>
        <w:rPr>
          <w:rFonts w:ascii="IRNazanin" w:hAnsi="IRNazanin" w:eastAsia="IRNazanin" w:cs="IRNazanin"/>
          <w:lang w:bidi="fa-IR"/>
          <w:color w:val="111111"/>
          <w:sz w:val="28"/>
          <w:szCs w:val="28"/>
          <w:rtl/>
        </w:rPr>
        <w:t xml:space="preserve">خط: نسخ، کا: تاج الدین عبدالوهاب بن موسی شافعی، تا: ۹۹۱ق؛ در پشت صفحه اول خط فرهاد معتمدالدوله؛ کاغذ: کشمیری ،شکری ،جلد: تیماج ،مقوایی ،زنگاری، ۲۰۷گ، ۲۹ سطر  ،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 اندازه: ۱۷/۵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۲۶/۵سم [ف: ۸ - ۴۶۰]</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ملی؛ شماره نسخه: ۱۸۲۹</w:t>
      </w:r>
    </w:p>
    <w:p>
      <w:pPr>
        <w:pStyle w:val="BookText"/>
      </w:pPr>
      <w:r>
        <w:rPr>
          <w:rFonts w:ascii="Amiri" w:hAnsi="Amiri" w:eastAsia="Amiri" w:cs="Amiri"/>
          <w:lang w:bidi="ar-SA"/>
          <w:color w:val="111111"/>
          <w:sz w:val="28"/>
          <w:szCs w:val="28"/>
          <w:rtl/>
        </w:rPr>
        <w:t xml:space="preserve">آغاز: برابر؛ انجام: فى خبر الصحيحين كمامر اول الباب مع ما تعلق به و الله اعلم.</w:t>
      </w:r>
    </w:p>
    <w:p>
      <w:pPr>
        <w:pStyle w:val="BookText"/>
      </w:pPr>
      <w:r>
        <w:rPr>
          <w:rFonts w:ascii="IRNazanin" w:hAnsi="IRNazanin" w:eastAsia="IRNazanin" w:cs="IRNazanin"/>
          <w:lang w:bidi="fa-IR"/>
          <w:color w:val="111111"/>
          <w:sz w:val="28"/>
          <w:szCs w:val="28"/>
          <w:rtl/>
        </w:rPr>
        <w:t xml:space="preserve">در فهرست با عنوان «شرح الروض» .آمده. این شرح از باب طهارة آغاز تا آخر باب نذر که آخر ربع اول است می باشد؛ خط: نسخ، بی کا، تا: قرن ۱۲؛ کاغذ: سمرقندی، جلد: مقوایی تیماج تریاکی روشن با ترنج و نیم ترنج عطف تیماج الحاقی، ۳۱۶گ، ۳۳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۲۷سم [ف : ۱۰ - ۴۱۲]</w:t>
      </w:r>
    </w:p>
    <w:p>
      <w:pPr>
        <w:pStyle w:val="Heading3"/>
      </w:pPr>
      <w:bookmarkStart w:id="1827" w:name="_Toc1349"/>
      <w:r>
        <w:t>اسنى المطالب فى فضائل علی بن ابی طالب /  تاریخ/ عربی</w:t>
      </w:r>
      <w:bookmarkEnd w:id="1827"/>
    </w:p>
    <w:p>
      <w:pPr>
        <w:pStyle w:val="BookText"/>
      </w:pPr>
      <w:r>
        <w:rPr>
          <w:rFonts w:ascii="Times New Roman" w:hAnsi="Times New Roman" w:eastAsia="Times New Roman" w:cs="Times New Roman"/>
          <w:lang w:val="en-US" w:bidi="en-US"/>
          <w:color w:val="111111"/>
          <w:sz w:val="28"/>
          <w:szCs w:val="28"/>
          <w:rtl/>
        </w:rPr>
        <w:t xml:space="preserve">asna-l-matalib fi fada'il-i aliyy-i-bn-i abi talib</w:t>
      </w:r>
    </w:p>
    <w:p>
      <w:pPr>
        <w:pStyle w:val="BookText"/>
      </w:pPr>
      <w:r>
        <w:rPr>
          <w:rFonts w:ascii="IRNazanin" w:hAnsi="IRNazanin" w:eastAsia="IRNazanin" w:cs="IRNazanin"/>
          <w:lang w:bidi="fa-IR"/>
          <w:color w:val="111111"/>
          <w:sz w:val="28"/>
          <w:szCs w:val="28"/>
          <w:rtl/>
        </w:rPr>
        <w:t xml:space="preserve">ابن جزری، محمد بن محمد، ۷۵۱- ۸۳۳ ؟ قمری</w:t>
      </w:r>
    </w:p>
    <w:p>
      <w:pPr>
        <w:pStyle w:val="BookText"/>
      </w:pPr>
      <w:r>
        <w:rPr>
          <w:rFonts w:ascii="Times New Roman" w:hAnsi="Times New Roman" w:eastAsia="Times New Roman" w:cs="Times New Roman"/>
          <w:lang w:val="en-US" w:bidi="en-US"/>
          <w:color w:val="111111"/>
          <w:sz w:val="28"/>
          <w:szCs w:val="28"/>
          <w:rtl/>
        </w:rPr>
        <w:t xml:space="preserve">(1430-ebn-e jazarī, mohammad ebn-e mohammad (1351</w:t>
      </w:r>
    </w:p>
    <w:p>
      <w:pPr>
        <w:pStyle w:val="BookText"/>
      </w:pPr>
      <w:r>
        <w:rPr>
          <w:rFonts w:ascii="IRNazanin" w:hAnsi="IRNazanin" w:eastAsia="IRNazanin" w:cs="IRNazanin"/>
          <w:lang w:bidi="fa-IR"/>
          <w:color w:val="111111"/>
          <w:sz w:val="28"/>
          <w:szCs w:val="28"/>
          <w:rtl/>
        </w:rPr>
        <w:t xml:space="preserve">کتابی در فضایل و مناقب و تاریخ زندگانی حضرت امير المؤمنين على بن ابی طالب (علیه السّلام)، با حذف اسانید جز راوی آخر هر حديث، مشتمل بر بیست «باب» که ضمن آنها سیزده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376" w:name="pg20365_260521"/>
    <w:bookmarkEnd w:id="376"/>
    <w:p>
      <w:pPr>
        <w:pStyle w:val="BookText"/>
      </w:pPr>
      <w:r>
        <w:rPr>
          <w:rFonts w:ascii="IRNazanin" w:hAnsi="IRNazanin" w:eastAsia="IRNazanin" w:cs="IRNazanin"/>
          <w:lang w:bidi="fa-IR"/>
          <w:color w:val="111111"/>
          <w:sz w:val="28"/>
          <w:szCs w:val="28"/>
          <w:rtl/>
        </w:rPr>
        <w:t xml:space="preserve">«فصل» می باشد: ۱. اسمه و نسبه و کنیته و صفته؛ ۲. فيما جاء فی سبقه الى الاسلام ؛3. فيما جاء فى انه اخو النبی «(صلّی اللَّهِ علیه وَ آلِهِ وَ سَلَّمَ )»؛ ۴. ذکر خصال اختص بها ؛۵. قول النبى انه كنفسه؛ ۶. حديث المنزلة ؛7. فضل محبيه و الحث على محبته؛ ۸. الزجر عن الغلو في محبته ؛9. فضل علمه؛ ۱۰. فى أنه ولى كل مؤمن بعد النبي (صلّی اللَّهِ علیه وَ آلِهِ وَ سَلَّمَ )؛11. اعطاء الراية له يوم خيبر ؛ ۱۲. ذكر زواجه بفاطمة؛ ۱۳. اختصاص بسكناه في المسجد ؛ ۱۴. فضائل متفرقة تدل على فضله؛ ۱۵. ذکر ورعه و تواضعه .۱۶. افضليته بعد عثمان؛ ۱۷ . استحقاقه الخلافةو ذكر بيعته؛ ۱۸. قتاله الخوارج؛ ۱۹. قصته مع طلحة و زبير؛20. عهد النبى أنه مقتول و كيفية قتله.</w:t>
      </w:r>
    </w:p>
    <w:p>
      <w:pPr>
        <w:pStyle w:val="BookText"/>
      </w:pPr>
      <w:r>
        <w:rPr>
          <w:rFonts w:ascii="IRNazanin" w:hAnsi="IRNazanin" w:eastAsia="IRNazanin" w:cs="IRNazanin"/>
          <w:lang w:bidi="fa-IR"/>
          <w:color w:val="111111"/>
          <w:sz w:val="28"/>
          <w:szCs w:val="28"/>
          <w:rtl/>
        </w:rPr>
        <w:t xml:space="preserve">آغاز: الحمد لله رب العالمین کتاب اسنى المطالب فى فضـل امير المؤمنين ابى الحسن على بن ابى طالب رضي الله عنه</w:t>
      </w:r>
    </w:p>
    <w:p>
      <w:pPr>
        <w:pStyle w:val="BookText"/>
      </w:pPr>
      <w:r>
        <w:rPr>
          <w:rFonts w:ascii="IRNazanin" w:hAnsi="IRNazanin" w:eastAsia="IRNazanin" w:cs="IRNazanin"/>
          <w:lang w:bidi="fa-IR"/>
          <w:color w:val="111111"/>
          <w:sz w:val="28"/>
          <w:szCs w:val="28"/>
          <w:rtl/>
        </w:rPr>
        <w:t xml:space="preserve">چاپ: مکه، ۱۳۲۴ق ،اصفهان، مكتبة امير المؤمنين، تحقیق امینی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مرعشی؛ شماره نسخه: ۳۷۰۰</w:t>
      </w:r>
    </w:p>
    <w:p>
      <w:pPr>
        <w:pStyle w:val="BookText"/>
      </w:pPr>
      <w:r>
        <w:rPr>
          <w:rFonts w:ascii="Amiri" w:hAnsi="Amiri" w:eastAsia="Amiri" w:cs="Amiri"/>
          <w:lang w:bidi="ar-SA"/>
          <w:color w:val="111111"/>
          <w:sz w:val="28"/>
          <w:szCs w:val="28"/>
          <w:rtl/>
        </w:rPr>
        <w:t xml:space="preserve">آغاز: برابر؛ انجام: و عن الاصبغ بن نباتة قال: قال لى على بن طالب رضى الله عنه ان خليلى صلى الله عليه و سلم حدثني اني</w:t>
      </w:r>
    </w:p>
    <w:p>
      <w:pPr>
        <w:pStyle w:val="BookText"/>
      </w:pPr>
      <w:r>
        <w:rPr>
          <w:rFonts w:ascii="IRNazanin" w:hAnsi="IRNazanin" w:eastAsia="IRNazanin" w:cs="IRNazanin"/>
          <w:lang w:bidi="fa-IR"/>
          <w:color w:val="111111"/>
          <w:sz w:val="28"/>
          <w:szCs w:val="28"/>
          <w:rtl/>
        </w:rPr>
        <w:t xml:space="preserve">خط: نسخ، بی کا، بی تا؛ افتادگی: انجام؛ مصحح، قبل از کتاب سه برگ است در معرفی آن؛ تملک: حسین بن حاج جواد كبه؛ جـلد: مقوایی عطف تیماج  مشکی، ۹۹گ، ۲۰ سطر،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۱۰ - ۱۰۱]  ۲. قم؛ مرعشی؛ شماره نسخه: ۷۲۱۴/۵</w:t>
      </w:r>
    </w:p>
    <w:p>
      <w:pPr>
        <w:pStyle w:val="BookText"/>
      </w:pPr>
      <w:r>
        <w:rPr>
          <w:rFonts w:ascii="IRNazanin" w:hAnsi="IRNazanin" w:eastAsia="IRNazanin" w:cs="IRNazanin"/>
          <w:lang w:bidi="fa-IR"/>
          <w:color w:val="111111"/>
          <w:sz w:val="28"/>
          <w:szCs w:val="28"/>
          <w:rtl/>
        </w:rPr>
        <w:t xml:space="preserve">خط: نستعلیق، نازیبا، بی کا، بی تا ؛جلد: تیماج قهوه ای ۳۰  گ، (۱۱۰ ر - ۱۳۹پ)،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۲۳/۵سم [ف : ۱۹ - ۲۴]</w:t>
      </w:r>
    </w:p>
    <w:p>
      <w:pPr>
        <w:pStyle w:val="Heading3"/>
      </w:pPr>
      <w:bookmarkStart w:id="1828" w:name="_Toc1350"/>
      <w:r>
        <w:t>اسنى المقاصد و اعذب الموارد = المشيخة الفخریة / / رجال / عربی</w:t>
      </w:r>
      <w:bookmarkEnd w:id="1828"/>
    </w:p>
    <w:p>
      <w:pPr>
        <w:pStyle w:val="BookText"/>
      </w:pPr>
      <w:r>
        <w:rPr>
          <w:rFonts w:ascii="Times New Roman" w:hAnsi="Times New Roman" w:eastAsia="Times New Roman" w:cs="Times New Roman"/>
          <w:lang w:val="en-US" w:bidi="en-US"/>
          <w:color w:val="111111"/>
          <w:sz w:val="28"/>
          <w:szCs w:val="28"/>
          <w:rtl/>
        </w:rPr>
        <w:t xml:space="preserve">asna-l-maqāṣid wa a‘ḏab-ul-mawārid = al-mašīxat-ulfaxrīyya</w:t>
      </w:r>
    </w:p>
    <w:p>
      <w:pPr>
        <w:pStyle w:val="BookText"/>
      </w:pPr>
      <w:r>
        <w:rPr>
          <w:rFonts w:ascii="IRNazanin" w:hAnsi="IRNazanin" w:eastAsia="IRNazanin" w:cs="IRNazanin"/>
          <w:lang w:bidi="fa-IR"/>
          <w:color w:val="111111"/>
          <w:sz w:val="28"/>
          <w:szCs w:val="28"/>
          <w:rtl/>
        </w:rPr>
        <w:t xml:space="preserve">ابن  بخاری، علی بن  عبدالواحد، ۵۹۵ - ۶۹۰ قمری</w:t>
      </w:r>
    </w:p>
    <w:p>
      <w:pPr>
        <w:pStyle w:val="BookText"/>
      </w:pPr>
      <w:r>
        <w:rPr>
          <w:rFonts w:ascii="Times New Roman" w:hAnsi="Times New Roman" w:eastAsia="Times New Roman" w:cs="Times New Roman"/>
          <w:lang w:val="en-US" w:bidi="en-US"/>
          <w:color w:val="111111"/>
          <w:sz w:val="28"/>
          <w:szCs w:val="28"/>
          <w:rtl/>
        </w:rPr>
        <w:t xml:space="preserve">(ebn-e boxārī, ‘alī ebn-e ‘abd-ol-vāhed (1199 - 1292)</w:t>
      </w:r>
    </w:p>
    <w:p>
      <w:pPr>
        <w:pStyle w:val="BookText"/>
      </w:pPr>
      <w:r>
        <w:rPr>
          <w:rFonts w:ascii="IRNazanin" w:hAnsi="IRNazanin" w:eastAsia="IRNazanin" w:cs="IRNazanin"/>
          <w:lang w:bidi="fa-IR"/>
          <w:color w:val="111111"/>
          <w:sz w:val="28"/>
          <w:szCs w:val="28"/>
          <w:rtl/>
        </w:rPr>
        <w:t xml:space="preserve">مشیخه ابن بخاری است به تخریج «الحافظ جمال الدین أبى العباس احمد بن محمد بن عبدالله الظاهرى الحنفى». ظاهری مشایخ ابن بخاری را به ترتیب سال در گذشت آنان آورده، سپـس آنچه از آنها از احادیث و کتب، و علوم روایتاً و درایتاً گرفت ذکر ترجمه آنان ثبت نموده است.</w:t>
      </w:r>
    </w:p>
    <w:p>
      <w:pPr>
        <w:pStyle w:val="BookText"/>
      </w:pPr>
      <w:r>
        <w:rPr>
          <w:rFonts w:ascii="IRNazanin" w:hAnsi="IRNazanin" w:eastAsia="IRNazanin" w:cs="IRNazanin"/>
          <w:lang w:bidi="fa-IR"/>
          <w:color w:val="111111"/>
          <w:sz w:val="28"/>
          <w:szCs w:val="28"/>
          <w:rtl/>
        </w:rPr>
        <w:t xml:space="preserve">[كشف الظنون ٩٠/١ فهرس الفهارس ۶۳۳/۲ ؛بروکلمان ۱/(۱۳۶۶  )451؛ ،اربری فهرست خطی عربی ۹۰۳]</w:t>
      </w:r>
    </w:p>
    <w:p>
      <w:pPr>
        <w:pStyle w:val="BookText"/>
      </w:pPr>
      <w:r>
        <w:rPr>
          <w:rFonts w:ascii="IRNazanin" w:hAnsi="IRNazanin" w:eastAsia="IRNazanin" w:cs="IRNazanin"/>
          <w:lang w:bidi="fa-IR"/>
          <w:color w:val="111111"/>
          <w:sz w:val="28"/>
          <w:szCs w:val="28"/>
          <w:rtl/>
        </w:rPr>
        <w:t xml:space="preserve">قم؛ مرعشی؛ شماره نسخه: ۹۶۲عکسی</w:t>
      </w:r>
    </w:p>
    <w:p>
      <w:pPr>
        <w:pStyle w:val="BookText"/>
      </w:pPr>
      <w:r>
        <w:rPr>
          <w:rFonts w:ascii="IRNazanin" w:hAnsi="IRNazanin" w:eastAsia="IRNazanin" w:cs="IRNazanin"/>
          <w:lang w:bidi="fa-IR"/>
          <w:color w:val="111111"/>
          <w:sz w:val="28"/>
          <w:szCs w:val="28"/>
          <w:rtl/>
        </w:rPr>
        <w:t xml:space="preserve">آغاز: الشيخ السادس عشر: اخبرنا الشيخ الامام العلامة ابو اليـمن زيد بن الحسن بن زيد ... الكندى البغدادى النحوى اللغوی؛انجام: سئل شيخنا العلامة ابو محمد ابن قدامة عن مولده ..  و توفى رضى الله عنه يوم السبت يوم عيد الفطر من سنة عشرين و ستمايه و دفن من الغد بسفح جبل قاسيون ... آخر التاسع من تجرية  المخرج.</w:t>
      </w:r>
    </w:p>
    <w:p>
      <w:pPr>
        <w:pStyle w:val="BookText"/>
      </w:pPr>
      <w:r>
        <w:rPr>
          <w:rFonts w:ascii="IRNazanin" w:hAnsi="IRNazanin" w:eastAsia="IRNazanin" w:cs="IRNazanin"/>
          <w:lang w:bidi="fa-IR"/>
          <w:color w:val="111111"/>
          <w:sz w:val="28"/>
          <w:szCs w:val="28"/>
          <w:rtl/>
        </w:rPr>
        <w:t xml:space="preserve">نسخه  اصل ،چستربیتی ش ۳۷۰۵. این نسخه قطعه ای از کتاب، و مشتمل است بر اسامی پانزده نفر از مشایخ ابن بخاری؛ خط: نسخ، بی کا، تا: قرن ۹؛ مصحح، دارای نشانه مقابله با نسخه منقول منها؛ ۴۴گ، ۲۷ و ۲۹ سطر [عکسی ف ۲ -۴۴۳]</w:t>
      </w:r>
    </w:p>
    <w:p>
      <w:pPr>
        <w:pStyle w:val="Heading3"/>
      </w:pPr>
      <w:bookmarkStart w:id="1829" w:name="_Toc1351"/>
      <w:r>
        <w:t>اسنى المناقب و رياض الفضائل فی مناقب اقدم  الامة / فضایل و مناقب / عربی</w:t>
      </w:r>
      <w:bookmarkEnd w:id="1829"/>
    </w:p>
    <w:p>
      <w:pPr>
        <w:pStyle w:val="BookText"/>
      </w:pPr>
      <w:r>
        <w:rPr>
          <w:rFonts w:ascii="Times New Roman" w:hAnsi="Times New Roman" w:eastAsia="Times New Roman" w:cs="Times New Roman"/>
          <w:lang w:val="en-US" w:bidi="en-US"/>
          <w:color w:val="111111"/>
          <w:sz w:val="28"/>
          <w:szCs w:val="28"/>
          <w:rtl/>
        </w:rPr>
        <w:t xml:space="preserve">asna-l-manaqib wa riyad-ul-fadail fi manaqib-i</w:t>
      </w:r>
    </w:p>
    <w:p>
      <w:pPr>
        <w:pStyle w:val="BookText"/>
      </w:pPr>
      <w:r>
        <w:rPr>
          <w:rFonts w:ascii="Times New Roman" w:hAnsi="Times New Roman" w:eastAsia="Times New Roman" w:cs="Times New Roman"/>
          <w:lang w:val="en-US" w:bidi="en-US"/>
          <w:color w:val="111111"/>
          <w:sz w:val="28"/>
          <w:szCs w:val="28"/>
          <w:rtl/>
        </w:rPr>
        <w:t xml:space="preserve">aqdam-il-umma</w:t>
      </w:r>
    </w:p>
    <w:p>
      <w:pPr>
        <w:pStyle w:val="BookText"/>
      </w:pPr>
      <w:r>
        <w:rPr>
          <w:rFonts w:ascii="IRNazanin" w:hAnsi="IRNazanin" w:eastAsia="IRNazanin" w:cs="IRNazanin"/>
          <w:lang w:bidi="fa-IR"/>
          <w:color w:val="111111"/>
          <w:sz w:val="28"/>
          <w:szCs w:val="28"/>
          <w:rtl/>
        </w:rPr>
        <w:t xml:space="preserve">قشمیری، اشرف بن طبیب</w:t>
      </w:r>
    </w:p>
    <w:p>
      <w:pPr>
        <w:pStyle w:val="BookText"/>
      </w:pPr>
      <w:r>
        <w:rPr>
          <w:rFonts w:ascii="Times New Roman" w:hAnsi="Times New Roman" w:eastAsia="Times New Roman" w:cs="Times New Roman"/>
          <w:lang w:val="en-US" w:bidi="en-US"/>
          <w:color w:val="111111"/>
          <w:sz w:val="28"/>
          <w:szCs w:val="28"/>
          <w:rtl/>
        </w:rPr>
        <w:t xml:space="preserve">qešmīrī, ašraf ebn-e tabīb</w:t>
      </w:r>
    </w:p>
    <w:p>
      <w:pPr>
        <w:pStyle w:val="BookText"/>
      </w:pPr>
      <w:r>
        <w:rPr>
          <w:rFonts w:ascii="IRNazanin" w:hAnsi="IRNazanin" w:eastAsia="IRNazanin" w:cs="IRNazanin"/>
          <w:lang w:bidi="fa-IR"/>
          <w:color w:val="111111"/>
          <w:sz w:val="28"/>
          <w:szCs w:val="28"/>
          <w:rtl/>
        </w:rPr>
        <w:t xml:space="preserve">تهران؛ ملک؛ شماره نسخه: ۱۶۱۸/۱</w:t>
      </w:r>
    </w:p>
    <w:p>
      <w:pPr>
        <w:pStyle w:val="BookText"/>
      </w:pPr>
      <w:r>
        <w:rPr>
          <w:rFonts w:ascii="IRNazanin" w:hAnsi="IRNazanin" w:eastAsia="IRNazanin" w:cs="IRNazanin"/>
          <w:lang w:bidi="fa-IR"/>
          <w:color w:val="111111"/>
          <w:sz w:val="28"/>
          <w:szCs w:val="28"/>
          <w:rtl/>
        </w:rPr>
        <w:t xml:space="preserve">اللباب التاسع من كتاب كنوز المقاصد المسمى اسنى المناقب و رياض الفضائل فى مناقب اقدم الامة؛ خط: نستعلیق،بی کا، تا:جمادی الثانى ۱۱۵۳ق؛ کاغذ: ترمه ،جلد:میشن ۱۶ سطر [ف: ۵ - ۳۰۸]</w:t>
      </w:r>
    </w:p>
    <w:p>
      <w:pPr>
        <w:pStyle w:val="Heading3"/>
      </w:pPr>
      <w:bookmarkStart w:id="1830" w:name="_Toc1352"/>
      <w:r>
        <w:t>اسنى الوسائل / فقه / فارسی و عربی</w:t>
      </w:r>
      <w:bookmarkEnd w:id="1830"/>
    </w:p>
    <w:p>
      <w:pPr>
        <w:pStyle w:val="BookText"/>
      </w:pPr>
      <w:r>
        <w:rPr>
          <w:rFonts w:ascii="Times New Roman" w:hAnsi="Times New Roman" w:eastAsia="Times New Roman" w:cs="Times New Roman"/>
          <w:lang w:val="en-US" w:bidi="en-US"/>
          <w:color w:val="111111"/>
          <w:sz w:val="28"/>
          <w:szCs w:val="28"/>
          <w:rtl/>
        </w:rPr>
        <w:t xml:space="preserve">asna-l wasā'il</w:t>
      </w:r>
    </w:p>
    <w:p>
      <w:pPr>
        <w:pStyle w:val="BookText"/>
      </w:pPr>
      <w:r>
        <w:rPr>
          <w:rFonts w:ascii="IRNazanin" w:hAnsi="IRNazanin" w:eastAsia="IRNazanin" w:cs="IRNazanin"/>
          <w:lang w:bidi="fa-IR"/>
          <w:color w:val="111111"/>
          <w:sz w:val="28"/>
          <w:szCs w:val="28"/>
          <w:rtl/>
        </w:rPr>
        <w:t xml:space="preserve">کنتوری، حامد حسین بن محمد قلی، ۱۲۴۶ - ۱۳۰۶  قمری</w:t>
      </w:r>
    </w:p>
    <w:p>
      <w:pPr>
        <w:pStyle w:val="BookText"/>
      </w:pPr>
      <w:r>
        <w:rPr>
          <w:rFonts w:ascii="Times New Roman" w:hAnsi="Times New Roman" w:eastAsia="Times New Roman" w:cs="Times New Roman"/>
          <w:lang w:val="en-US" w:bidi="en-US"/>
          <w:color w:val="111111"/>
          <w:sz w:val="28"/>
          <w:szCs w:val="28"/>
          <w:rtl/>
        </w:rPr>
        <w:t xml:space="preserve">(1889-kantūrī, hāmed hoseyn ebn-e mohammad qolī (1831-</w:t>
      </w:r>
    </w:p>
    <w:p>
      <w:pPr>
        <w:pStyle w:val="BookText"/>
      </w:pPr>
      <w:r>
        <w:rPr>
          <w:rFonts w:ascii="IRNazanin" w:hAnsi="IRNazanin" w:eastAsia="IRNazanin" w:cs="IRNazanin"/>
          <w:lang w:bidi="fa-IR"/>
          <w:color w:val="111111"/>
          <w:sz w:val="28"/>
          <w:szCs w:val="28"/>
          <w:rtl/>
        </w:rPr>
        <w:t xml:space="preserve">۱. مشهد؛ رضوی؛ شماره نسخه: ۲۴۹۳۷</w:t>
      </w:r>
    </w:p>
    <w:p>
      <w:pPr>
        <w:pStyle w:val="BookText"/>
      </w:pPr>
      <w:r>
        <w:rPr>
          <w:rFonts w:ascii="IRNazanin" w:hAnsi="IRNazanin" w:eastAsia="IRNazanin" w:cs="IRNazanin"/>
          <w:lang w:bidi="fa-IR"/>
          <w:color w:val="111111"/>
          <w:sz w:val="28"/>
          <w:szCs w:val="28"/>
          <w:rtl/>
        </w:rPr>
        <w:t xml:space="preserve">آغاز: سؤال: ما قولكم مد ظلكم در ایم که هر شبی موقوف؛</w:t>
      </w:r>
    </w:p>
    <w:p>
      <w:pPr>
        <w:pStyle w:val="BookText"/>
      </w:pPr>
      <w:r>
        <w:rPr>
          <w:rFonts w:ascii="IRNazanin" w:hAnsi="IRNazanin" w:eastAsia="IRNazanin" w:cs="IRNazanin"/>
          <w:lang w:bidi="fa-IR"/>
          <w:color w:val="111111"/>
          <w:sz w:val="28"/>
          <w:szCs w:val="28"/>
          <w:rtl/>
        </w:rPr>
        <w:t xml:space="preserve">انجام: یعنی ان كانت الشهوة فيها.</w:t>
      </w:r>
    </w:p>
    <w:p>
      <w:pPr>
        <w:pStyle w:val="BookText"/>
      </w:pPr>
      <w:r>
        <w:rPr>
          <w:rFonts w:ascii="IRNazanin" w:hAnsi="IRNazanin" w:eastAsia="IRNazanin" w:cs="IRNazanin"/>
          <w:lang w:bidi="fa-IR"/>
          <w:color w:val="111111"/>
          <w:sz w:val="28"/>
          <w:szCs w:val="28"/>
          <w:rtl/>
        </w:rPr>
        <w:t xml:space="preserve">خط: نستعلیق تحریری، کاتب = مؤلف، تا :قرن ۱۳ [رایانه]</w:t>
      </w:r>
    </w:p>
    <w:p>
      <w:pPr>
        <w:pStyle w:val="BookText"/>
      </w:pPr>
      <w:r>
        <w:rPr>
          <w:rFonts w:ascii="IRNazanin" w:hAnsi="IRNazanin" w:eastAsia="IRNazanin" w:cs="IRNazanin"/>
          <w:lang w:bidi="fa-IR"/>
          <w:color w:val="111111"/>
          <w:sz w:val="28"/>
          <w:szCs w:val="28"/>
          <w:rtl/>
        </w:rPr>
        <w:t xml:space="preserve">۲. مشهد؛ رضوی؛ شماره نسخه: ۲۴۹۳۱</w:t>
      </w:r>
    </w:p>
    <w:p>
      <w:pPr>
        <w:pStyle w:val="BookText"/>
      </w:pPr>
      <w:r>
        <w:rPr>
          <w:rFonts w:ascii="IRNazanin" w:hAnsi="IRNazanin" w:eastAsia="IRNazanin" w:cs="IRNazanin"/>
          <w:lang w:bidi="fa-IR"/>
          <w:color w:val="111111"/>
          <w:sz w:val="28"/>
          <w:szCs w:val="28"/>
          <w:rtl/>
        </w:rPr>
        <w:t xml:space="preserve">آغاز : بن عبدالعزیز و عبدالله بن جعفر؛ انجام: الا لعنة الله على  الظالمين</w:t>
      </w:r>
    </w:p>
    <w:p>
      <w:pPr>
        <w:pStyle w:val="BookText"/>
      </w:pPr>
      <w:r>
        <w:rPr>
          <w:rFonts w:ascii="IRNazanin" w:hAnsi="IRNazanin" w:eastAsia="IRNazanin" w:cs="IRNazanin"/>
          <w:lang w:bidi="fa-IR"/>
          <w:color w:val="111111"/>
          <w:sz w:val="28"/>
          <w:szCs w:val="28"/>
          <w:rtl/>
        </w:rPr>
        <w:t xml:space="preserve">خط: نستعلیق تحریری، بی کا، تا: قرن ۱۳؛ افتادگی: آغاز [رایانه ]</w:t>
      </w:r>
    </w:p>
    <w:p>
      <w:pPr>
        <w:pStyle w:val="Heading3"/>
      </w:pPr>
      <w:bookmarkStart w:id="1831" w:name="_Toc1353"/>
      <w:r>
        <w:t>اسهال / طب / فارسی</w:t>
      </w:r>
      <w:bookmarkEnd w:id="1831"/>
    </w:p>
    <w:p>
      <w:pPr>
        <w:pStyle w:val="BookText"/>
      </w:pPr>
      <w:r>
        <w:rPr>
          <w:rFonts w:ascii="Times New Roman" w:hAnsi="Times New Roman" w:eastAsia="Times New Roman" w:cs="Times New Roman"/>
          <w:lang w:val="en-US" w:bidi="en-US"/>
          <w:color w:val="111111"/>
          <w:sz w:val="28"/>
          <w:szCs w:val="28"/>
          <w:rtl/>
        </w:rPr>
        <w:t xml:space="preserve">eshai</w:t>
      </w:r>
    </w:p>
    <w:p>
      <w:pPr>
        <w:pStyle w:val="BookText"/>
      </w:pPr>
      <w:r>
        <w:rPr>
          <w:rFonts w:ascii="IRNazanin" w:hAnsi="IRNazanin" w:eastAsia="IRNazanin" w:cs="IRNazanin"/>
          <w:lang w:bidi="fa-IR"/>
          <w:color w:val="111111"/>
          <w:sz w:val="28"/>
          <w:szCs w:val="28"/>
          <w:rtl/>
        </w:rPr>
        <w:t xml:space="preserve">حکیم،  محمد سعيد</w:t>
      </w:r>
    </w:p>
    <w:p>
      <w:pPr>
        <w:pStyle w:val="BookText"/>
      </w:pPr>
      <w:r>
        <w:rPr>
          <w:rFonts w:ascii="Times New Roman" w:hAnsi="Times New Roman" w:eastAsia="Times New Roman" w:cs="Times New Roman"/>
          <w:lang w:val="en-US" w:bidi="en-US"/>
          <w:color w:val="111111"/>
          <w:sz w:val="28"/>
          <w:szCs w:val="28"/>
          <w:rtl/>
        </w:rPr>
        <w:t xml:space="preserve">hakīm, mohammad sa‘īd</w:t>
      </w:r>
    </w:p>
    <w:p>
      <w:pPr>
        <w:pStyle w:val="BookText"/>
      </w:pPr>
      <w:r>
        <w:rPr>
          <w:rFonts w:ascii="IRNazanin" w:hAnsi="IRNazanin" w:eastAsia="IRNazanin" w:cs="IRNazanin"/>
          <w:lang w:bidi="fa-IR"/>
          <w:color w:val="111111"/>
          <w:sz w:val="28"/>
          <w:szCs w:val="28"/>
          <w:rtl/>
        </w:rPr>
        <w:t xml:space="preserve">رساله مفصلی است در علامات و علاج اسهال مشتمل بر سه «مطلب»: ۱. دارای یک مقدمه و چهارده «فصل» در کلیات؛ ۲.  ادویه مفرده مربوط به اسهال دارای سه «فصل»؛ ۳. تراکیب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377" w:name="pg20365_260522"/>
    <w:bookmarkEnd w:id="377"/>
    <w:p>
      <w:pPr>
        <w:pStyle w:val="BookText"/>
      </w:pPr>
      <w:r>
        <w:rPr>
          <w:rFonts w:ascii="IRNazanin" w:hAnsi="IRNazanin" w:eastAsia="IRNazanin" w:cs="IRNazanin"/>
          <w:lang w:bidi="fa-IR"/>
          <w:color w:val="111111"/>
          <w:sz w:val="28"/>
          <w:szCs w:val="28"/>
          <w:rtl/>
        </w:rPr>
        <w:t xml:space="preserve">نافعه دارای سه «فصل» آن را به دستور شاه (گویا شاه عباس) تحریر کرده است.</w:t>
      </w:r>
    </w:p>
    <w:p>
      <w:pPr>
        <w:pStyle w:val="BookText"/>
      </w:pPr>
      <w:r>
        <w:rPr>
          <w:rFonts w:ascii="IRNazanin" w:hAnsi="IRNazanin" w:eastAsia="IRNazanin" w:cs="IRNazanin"/>
          <w:lang w:bidi="fa-IR"/>
          <w:color w:val="111111"/>
          <w:sz w:val="28"/>
          <w:szCs w:val="28"/>
          <w:rtl/>
        </w:rPr>
        <w:t xml:space="preserve">آغاز: بسمله یا مسهل الصعاب سهل لنا سلوك طريق الصواب... و بعد چون اکثر آشنایان حقیقی... می خواستند و می خواهند که مقالات وافيه ... در معالجه امراض ... به لغت فارسی که در این جزء زمان نفع رساننده تر است... حسب الفرمان قضا صاحـب قرآن زمان در معالجه بعضی امراض... سیما مرض اسهال علتی است شایع به واسطه حرص و شوره که در طبایع مرکوزاست...چه اطباء زمان بس که طبابت را وسیله تحصیل حطام دنیوی ساخته اند فرصت تدرب و مهارت ... ندارند</w:t>
      </w:r>
    </w:p>
    <w:p>
      <w:pPr>
        <w:pStyle w:val="BookText"/>
      </w:pPr>
      <w:r>
        <w:rPr>
          <w:rFonts w:ascii="IRNazanin" w:hAnsi="IRNazanin" w:eastAsia="IRNazanin" w:cs="IRNazanin"/>
          <w:lang w:bidi="fa-IR"/>
          <w:color w:val="111111"/>
          <w:sz w:val="28"/>
          <w:szCs w:val="28"/>
          <w:rtl/>
        </w:rPr>
        <w:t xml:space="preserve">انجام: یک نسخه که معتمد اکابر و سهل الحصول ترین نسخ است اکتفا می نماید ... از غایت شهرت احتیاج به تعیین کردن ندارد. چه همه کس درین جزء زمان می داند که این معجون چه قدر باید خورد. هذا آخر ما اردنا بيانه فى المقاله و الحمدلله وحده ولا حول و لا قوة الابه. کاتب می افزاید:</w:t>
      </w:r>
    </w:p>
    <w:p>
      <w:pPr>
        <w:pStyle w:val="BookText"/>
      </w:pPr>
      <w:r>
        <w:rPr>
          <w:rFonts w:ascii="Amiri" w:hAnsi="Amiri" w:eastAsia="Amiri" w:cs="Amiri"/>
          <w:lang w:bidi="ar-SA"/>
          <w:color w:val="111111"/>
          <w:sz w:val="28"/>
          <w:szCs w:val="28"/>
          <w:rtl/>
        </w:rPr>
        <w:t xml:space="preserve">« نقل عن خطه الشريف مولفه مقرب الحضرت الخاقان جالينوس الزمان ... ميرزا محمد سعيدا حفظه الله تعالى و ايده  ...بحرمة الائمة المعصومين</w:t>
      </w:r>
    </w:p>
    <w:p>
      <w:pPr>
        <w:pStyle w:val="BookText"/>
      </w:pPr>
      <w:r>
        <w:rPr>
          <w:rFonts w:ascii="IRNazanin" w:hAnsi="IRNazanin" w:eastAsia="IRNazanin" w:cs="IRNazanin"/>
          <w:lang w:bidi="fa-IR"/>
          <w:color w:val="111111"/>
          <w:sz w:val="28"/>
          <w:szCs w:val="28"/>
          <w:rtl/>
        </w:rPr>
        <w:t xml:space="preserve">[فهرستواره منزوی ۳۲۸۲/۵؛ نسخه های منزوی ۴۷۲/۱؛ مخطوطات قاهره ۲۲۵/۱؛ دنا ۸۳۵/۱ (۶ نسخه)]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مرعشی؛ شماره نسخه: ۶۳۴۸</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،زیبا، بی کا، تا: قرن ۱۱؛ مجدول ؛جلد: مقوایی عطف تيماج قهوه ای، ۷۲گ، ۱۴ سطر، اندازه: 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  ف: 16- 311]</w:t>
      </w:r>
    </w:p>
    <w:p>
      <w:pPr>
        <w:pStyle w:val="BookText"/>
      </w:pPr>
      <w:r>
        <w:rPr>
          <w:rFonts w:ascii="IRNazanin" w:hAnsi="IRNazanin" w:eastAsia="IRNazanin" w:cs="IRNazanin"/>
          <w:lang w:bidi="fa-IR"/>
          <w:color w:val="111111"/>
          <w:sz w:val="28"/>
          <w:szCs w:val="28"/>
          <w:rtl/>
        </w:rPr>
        <w:t xml:space="preserve">۲. قم؛ گلپایگانی؛ شماره نسخه: ۳۱۶۵/۵-۱۶/۱۷۵</w:t>
      </w:r>
    </w:p>
    <w:p>
      <w:pPr>
        <w:pStyle w:val="BookText"/>
      </w:pPr>
      <w:r>
        <w:rPr>
          <w:rFonts w:ascii="IRNazanin" w:hAnsi="IRNazanin" w:eastAsia="IRNazanin" w:cs="IRNazanin"/>
          <w:lang w:bidi="fa-IR"/>
          <w:color w:val="111111"/>
          <w:sz w:val="28"/>
          <w:szCs w:val="28"/>
          <w:rtl/>
        </w:rPr>
        <w:t xml:space="preserve">آغاز: برابر؛ انجام: معجونی که نافع است از جهت زحیر و اسهال کهنه که چرک بسیار</w:t>
      </w:r>
    </w:p>
    <w:p>
      <w:pPr>
        <w:pStyle w:val="BookText"/>
      </w:pPr>
      <w:r>
        <w:rPr>
          <w:rFonts w:ascii="IRNazanin" w:hAnsi="IRNazanin" w:eastAsia="IRNazanin" w:cs="IRNazanin"/>
          <w:lang w:bidi="fa-IR"/>
          <w:color w:val="111111"/>
          <w:sz w:val="28"/>
          <w:szCs w:val="28"/>
          <w:rtl/>
        </w:rPr>
        <w:t xml:space="preserve">تذکر: نام مؤلف به قرینه آغاز نسخه تعیین شد؛ خط: نستعـلیق شکسته، بی کا، تا: قرن ۱۱ ؛افتادگی: انجام ؛جلد: مقوا عطف  پارچه مشکی، ۶۹گ، ۱۳  سطر،اندازه: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 - ۳۶۴  ]</w:t>
      </w:r>
    </w:p>
    <w:p>
      <w:pPr>
        <w:pStyle w:val="BookText"/>
      </w:pPr>
      <w:r>
        <w:rPr>
          <w:rFonts w:ascii="IRNazanin" w:hAnsi="IRNazanin" w:eastAsia="IRNazanin" w:cs="IRNazanin"/>
          <w:lang w:bidi="fa-IR"/>
          <w:color w:val="111111"/>
          <w:sz w:val="28"/>
          <w:szCs w:val="28"/>
          <w:rtl/>
        </w:rPr>
        <w:t xml:space="preserve">3.قم؛ مرکز احیاء؛ شماره نسخه: ۲۴۷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قرن ۱۲؛ با نسخه های پزشکی فراوانی که غير مرتب نوشته شده و گویا کتاب ناتمام است؛ جلد: تیماج سبز بدون مقوا، ۱۰۸گ ، مختلف السطر،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۱ -344]</w:t>
      </w:r>
    </w:p>
    <w:p>
      <w:pPr>
        <w:pStyle w:val="BookText"/>
      </w:pPr>
      <w:r>
        <w:rPr>
          <w:rFonts w:ascii="IRNazanin" w:hAnsi="IRNazanin" w:eastAsia="IRNazanin" w:cs="IRNazanin"/>
          <w:lang w:bidi="fa-IR"/>
          <w:color w:val="111111"/>
          <w:sz w:val="28"/>
          <w:szCs w:val="28"/>
          <w:rtl/>
        </w:rPr>
        <w:t xml:space="preserve">قم؛ مرعشی؛ شماره نسخه: ۱۹۵۵</w:t>
      </w:r>
    </w:p>
    <w:p>
      <w:pPr>
        <w:pStyle w:val="BookText"/>
      </w:pPr>
      <w:r>
        <w:rPr>
          <w:rFonts w:ascii="IRNazanin" w:hAnsi="IRNazanin" w:eastAsia="IRNazanin" w:cs="IRNazanin"/>
          <w:lang w:bidi="fa-IR"/>
          <w:color w:val="111111"/>
          <w:sz w:val="28"/>
          <w:szCs w:val="28"/>
          <w:rtl/>
        </w:rPr>
        <w:t xml:space="preserve">نسخه اصل: همان نسخه بالا [عکسی ف: ۵ - ۳۷۸]</w:t>
      </w:r>
    </w:p>
    <w:p>
      <w:pPr>
        <w:pStyle w:val="BookText"/>
      </w:pPr>
      <w:r>
        <w:rPr>
          <w:rFonts w:ascii="IRNazanin" w:hAnsi="IRNazanin" w:eastAsia="IRNazanin" w:cs="IRNazanin"/>
          <w:lang w:bidi="fa-IR"/>
          <w:color w:val="111111"/>
          <w:sz w:val="28"/>
          <w:szCs w:val="28"/>
          <w:rtl/>
        </w:rPr>
        <w:t xml:space="preserve">قم؛ مرکز احیاء؛ شماره نسخه: ۲۲۷۹</w:t>
      </w:r>
    </w:p>
    <w:p>
      <w:pPr>
        <w:pStyle w:val="BookText"/>
      </w:pPr>
      <w:r>
        <w:rPr>
          <w:rFonts w:ascii="IRNazanin" w:hAnsi="IRNazanin" w:eastAsia="IRNazanin" w:cs="IRNazanin"/>
          <w:lang w:bidi="fa-IR"/>
          <w:color w:val="111111"/>
          <w:sz w:val="28"/>
          <w:szCs w:val="28"/>
          <w:rtl/>
        </w:rPr>
        <w:t xml:space="preserve">نسخه اصل: همان نسخه بالا [عکسی ف: ۶ - ۳۲۰]</w:t>
      </w:r>
    </w:p>
    <w:p>
      <w:pPr>
        <w:pStyle w:val="BookText"/>
      </w:pPr>
      <w:r>
        <w:rPr>
          <w:rFonts w:ascii="IRNazanin" w:hAnsi="IRNazanin" w:eastAsia="IRNazanin" w:cs="IRNazanin"/>
          <w:lang w:bidi="fa-IR"/>
          <w:color w:val="111111"/>
          <w:sz w:val="28"/>
          <w:szCs w:val="28"/>
          <w:rtl/>
        </w:rPr>
        <w:t xml:space="preserve">۴. تهران؛ مجلس؛ شماره نسخه: ۱۰۷۲/۲-ط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۱۳؛ کاغذ: اصفهانی شکری رنگ، ۱۰۳گ (27پ-۱۲۹پ)، ۱۲ سطر، قطع: رقعی،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 ف: ۲۳ - ۵۲۶]</w:t>
      </w:r>
    </w:p>
    <w:p>
      <w:pPr>
        <w:pStyle w:val="BookText"/>
      </w:pPr>
      <w:r>
        <w:rPr>
          <w:rFonts w:ascii="IRNazanin" w:hAnsi="IRNazanin" w:eastAsia="IRNazanin" w:cs="IRNazanin"/>
          <w:lang w:bidi="fa-IR"/>
          <w:color w:val="111111"/>
          <w:sz w:val="28"/>
          <w:szCs w:val="28"/>
          <w:rtl/>
        </w:rPr>
        <w:t xml:space="preserve">۵. قم؛ مرکز احیاء؛ شماره نسخه: ۲۶۰/۲</w:t>
      </w:r>
    </w:p>
    <w:p>
      <w:pPr>
        <w:pStyle w:val="BookText"/>
      </w:pPr>
      <w:r>
        <w:rPr>
          <w:rFonts w:ascii="IRNazanin" w:hAnsi="IRNazanin" w:eastAsia="IRNazanin" w:cs="IRNazanin"/>
          <w:lang w:bidi="fa-IR"/>
          <w:color w:val="111111"/>
          <w:sz w:val="28"/>
          <w:szCs w:val="28"/>
          <w:rtl/>
        </w:rPr>
        <w:t xml:space="preserve">خط: نستعلیق، کا: مرتضی بن محمد یوسف حسینی طبیب فروشانی، تا: ۸ محرم ۱۳۲۰ق؛ جلد: تیماج قرمز بدون مقوا، ۱۶گ (۵۶ر-۷۱پ) ۲۳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۱ - ۳۵۹]</w:t>
      </w:r>
    </w:p>
    <w:p>
      <w:pPr>
        <w:pStyle w:val="Heading3"/>
      </w:pPr>
      <w:bookmarkStart w:id="1832" w:name="_Toc1354"/>
      <w:r>
        <w:t>اسهال / طب / فارسی</w:t>
      </w:r>
      <w:bookmarkEnd w:id="1832"/>
    </w:p>
    <w:p>
      <w:pPr>
        <w:pStyle w:val="BookText"/>
      </w:pPr>
      <w:r>
        <w:rPr>
          <w:rFonts w:ascii="Times New Roman" w:hAnsi="Times New Roman" w:eastAsia="Times New Roman" w:cs="Times New Roman"/>
          <w:lang w:val="en-US" w:bidi="en-US"/>
          <w:color w:val="111111"/>
          <w:sz w:val="28"/>
          <w:szCs w:val="28"/>
          <w:rtl/>
        </w:rPr>
        <w:t xml:space="preserve">eshāl</w:t>
      </w:r>
    </w:p>
    <w:p>
      <w:pPr>
        <w:pStyle w:val="BookText"/>
      </w:pPr>
      <w:r>
        <w:rPr>
          <w:rFonts w:ascii="IRNazanin" w:hAnsi="IRNazanin" w:eastAsia="IRNazanin" w:cs="IRNazanin"/>
          <w:lang w:bidi="fa-IR"/>
          <w:color w:val="111111"/>
          <w:sz w:val="28"/>
          <w:szCs w:val="28"/>
          <w:rtl/>
        </w:rPr>
        <w:t xml:space="preserve">تهران؛ مجلس؛ شماره نسخه: ۶۹۶۵/۳</w:t>
      </w:r>
    </w:p>
    <w:p>
      <w:pPr>
        <w:pStyle w:val="BookText"/>
      </w:pPr>
      <w:r>
        <w:rPr>
          <w:rFonts w:ascii="IRNazanin" w:hAnsi="IRNazanin" w:eastAsia="IRNazanin" w:cs="IRNazanin"/>
          <w:lang w:bidi="fa-IR"/>
          <w:color w:val="111111"/>
          <w:sz w:val="28"/>
          <w:szCs w:val="28"/>
          <w:rtl/>
        </w:rPr>
        <w:t xml:space="preserve">خط: نسخ، بی تا، بی تا،جلد: تیماج مشکی بدون مقوا، ۴۰گ  ،  (۱۵۳ پ -۱۹۲پ) ،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۲۰ - ۳۷۱]</w:t>
      </w:r>
    </w:p>
    <w:p>
      <w:pPr>
        <w:pStyle w:val="Heading3"/>
      </w:pPr>
      <w:bookmarkStart w:id="1833" w:name="_Toc1355"/>
      <w:r>
        <w:t>اسهالیه / طب / فارسی</w:t>
      </w:r>
      <w:bookmarkEnd w:id="1833"/>
    </w:p>
    <w:p>
      <w:pPr>
        <w:pStyle w:val="BookText"/>
      </w:pPr>
      <w:r>
        <w:rPr>
          <w:rFonts w:ascii="Times New Roman" w:hAnsi="Times New Roman" w:eastAsia="Times New Roman" w:cs="Times New Roman"/>
          <w:lang w:val="en-US" w:bidi="en-US"/>
          <w:color w:val="111111"/>
          <w:sz w:val="28"/>
          <w:szCs w:val="28"/>
          <w:rtl/>
        </w:rPr>
        <w:t xml:space="preserve">eshālīye</w:t>
      </w:r>
    </w:p>
    <w:p>
      <w:pPr>
        <w:pStyle w:val="BookText"/>
      </w:pPr>
      <w:r>
        <w:rPr>
          <w:rFonts w:ascii="IRNazanin" w:hAnsi="IRNazanin" w:eastAsia="IRNazanin" w:cs="IRNazanin"/>
          <w:lang w:bidi="fa-IR"/>
          <w:color w:val="111111"/>
          <w:sz w:val="28"/>
          <w:szCs w:val="28"/>
          <w:rtl/>
        </w:rPr>
        <w:t xml:space="preserve">تنکابنی احمد بن محمد حسین، ق۱۳ قمری</w:t>
      </w:r>
    </w:p>
    <w:p>
      <w:pPr>
        <w:pStyle w:val="BookText"/>
      </w:pPr>
      <w:r>
        <w:rPr>
          <w:rFonts w:ascii="Times New Roman" w:hAnsi="Times New Roman" w:eastAsia="Times New Roman" w:cs="Times New Roman"/>
          <w:lang w:val="en-US" w:bidi="en-US"/>
          <w:color w:val="111111"/>
          <w:sz w:val="28"/>
          <w:szCs w:val="28"/>
          <w:rtl/>
        </w:rPr>
        <w:t xml:space="preserve">(tonekābonī, ahmad ebn-e mohammad hoseyn (- 19c)</w:t>
      </w:r>
    </w:p>
    <w:p>
      <w:pPr>
        <w:pStyle w:val="BookText"/>
      </w:pPr>
      <w:r>
        <w:rPr>
          <w:rFonts w:ascii="IRNazanin" w:hAnsi="IRNazanin" w:eastAsia="IRNazanin" w:cs="IRNazanin"/>
          <w:lang w:bidi="fa-IR"/>
          <w:color w:val="111111"/>
          <w:sz w:val="28"/>
          <w:szCs w:val="28"/>
          <w:rtl/>
        </w:rPr>
        <w:t xml:space="preserve">اهدا به: فتحعلی شاه قاجار</w:t>
      </w:r>
    </w:p>
    <w:p>
      <w:pPr>
        <w:pStyle w:val="BookText"/>
      </w:pPr>
      <w:r>
        <w:rPr>
          <w:rFonts w:ascii="IRNazanin" w:hAnsi="IRNazanin" w:eastAsia="IRNazanin" w:cs="IRNazanin"/>
          <w:lang w:bidi="fa-IR"/>
          <w:color w:val="111111"/>
          <w:sz w:val="28"/>
          <w:szCs w:val="28"/>
          <w:rtl/>
        </w:rPr>
        <w:t xml:space="preserve">رساله ای در یک «مقدمه» و شش «باب» و هر باب مشتمل بر چند «فصل»: مقدمه در ذکر ادویه مفرده و تعریف اسهال و بيان اسباب مطلقه و معالجات مشترکه در سه «فصل»؛ باب ۱. اسهال معدی؛ ۲. اسهال معوی؛ 3. اسهال دماغی؛ ۴. اسهال طحالی؛ ۵. اسهال کبدی .۶. اسهالی که به سبب او معده و امعاء و طحال و کبد نباشد؛ خاتمه در ادویه مرکبه نافعه. در دیباچه به اثر دیگری به نام «شرح جوامع» اشاره می کند.</w:t>
      </w:r>
    </w:p>
    <w:p>
      <w:pPr>
        <w:pStyle w:val="BookText"/>
      </w:pPr>
      <w:r>
        <w:rPr>
          <w:rFonts w:ascii="IRNazanin" w:hAnsi="IRNazanin" w:eastAsia="IRNazanin" w:cs="IRNazanin"/>
          <w:lang w:bidi="fa-IR"/>
          <w:color w:val="111111"/>
          <w:sz w:val="28"/>
          <w:szCs w:val="28"/>
          <w:rtl/>
        </w:rPr>
        <w:t xml:space="preserve">آغاز: احمد لله محامده حمداً كثيراً...  چون جمعی از اصدقاء کرام و احباء ذوى العز والاحترام از این غریق در بحر جرم و آثام خواهش نمودند</w:t>
      </w:r>
    </w:p>
    <w:p>
      <w:pPr>
        <w:pStyle w:val="BookText"/>
      </w:pPr>
      <w:r>
        <w:rPr>
          <w:rFonts w:ascii="IRNazanin" w:hAnsi="IRNazanin" w:eastAsia="IRNazanin" w:cs="IRNazanin"/>
          <w:lang w:bidi="fa-IR"/>
          <w:color w:val="111111"/>
          <w:sz w:val="28"/>
          <w:szCs w:val="28"/>
          <w:rtl/>
        </w:rPr>
        <w:t xml:space="preserve">انجام: و او را بدستور گلاب بگیرند چنانچه اطباء عرب می گرفتند</w:t>
      </w:r>
    </w:p>
    <w:p>
      <w:pPr>
        <w:pStyle w:val="BookText"/>
      </w:pPr>
      <w:r>
        <w:rPr>
          <w:rFonts w:ascii="IRNazanin" w:hAnsi="IRNazanin" w:eastAsia="IRNazanin" w:cs="IRNazanin"/>
          <w:lang w:bidi="fa-IR"/>
          <w:color w:val="111111"/>
          <w:sz w:val="28"/>
          <w:szCs w:val="28"/>
          <w:rtl/>
        </w:rPr>
        <w:t xml:space="preserve">چاپ: به کوشش سید محمد طبیب فرزند مؤلف، تهران ۱۲۹۷ق، ۲۳۱ص؛ تصحیح محمد رضا رستم  بخش، تهران المعى، ۱۳۸۸</w:t>
      </w:r>
    </w:p>
    <w:p>
      <w:pPr>
        <w:pStyle w:val="BookText"/>
      </w:pPr>
      <w:r>
        <w:rPr>
          <w:rFonts w:ascii="IRNazanin" w:hAnsi="IRNazanin" w:eastAsia="IRNazanin" w:cs="IRNazanin"/>
          <w:lang w:bidi="fa-IR"/>
          <w:color w:val="111111"/>
          <w:sz w:val="28"/>
          <w:szCs w:val="28"/>
          <w:rtl/>
        </w:rPr>
        <w:t xml:space="preserve">[دنا ۸۸۳۵/۱ نسخه؛ الذريعه ۷۱/۲؛ نسخه های منزوی ۴۷۲/۱-۴۷۳؛ مكتبة  امير المؤمنين ۴۰/۱؛ فهرستواره منزوی ۳۲۸۲/۵]</w:t>
      </w:r>
    </w:p>
    <w:p>
      <w:pPr>
        <w:pStyle w:val="BookText"/>
      </w:pPr>
      <w:r>
        <w:rPr>
          <w:rFonts w:ascii="IRNazanin" w:hAnsi="IRNazanin" w:eastAsia="IRNazanin" w:cs="IRNazanin"/>
          <w:lang w:bidi="fa-IR"/>
          <w:color w:val="111111"/>
          <w:sz w:val="28"/>
          <w:szCs w:val="28"/>
          <w:rtl/>
        </w:rPr>
        <w:t xml:space="preserve">۱. قم؛ مرکز احیاء؛ شماره نسخه: ۱۷۰۰/۲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محرم ۱۲۱۹ق؛ جلد: مقوایی عطف تیماج قهوه ای، ۹۰ ص (۱۰۶-۱۹۵) اندازه: ۱۸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۲۳سم [ف: ۵ - ۱۱۰]</w:t>
      </w:r>
    </w:p>
    <w:p>
      <w:pPr>
        <w:pStyle w:val="BookText"/>
      </w:pPr>
      <w:r>
        <w:rPr>
          <w:rFonts w:ascii="IRNazanin" w:hAnsi="IRNazanin" w:eastAsia="IRNazanin" w:cs="IRNazanin"/>
          <w:lang w:bidi="fa-IR"/>
          <w:color w:val="111111"/>
          <w:sz w:val="28"/>
          <w:szCs w:val="28"/>
          <w:rtl/>
        </w:rPr>
        <w:t xml:space="preserve">2.مشهد؛ گوهر شاد؛ شماره نسخه: ۹۸۶/۲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378" w:name="pg20365_260523"/>
    <w:bookmarkEnd w:id="378"/>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سه شنبه ۱۰ رمضان ۱۲۵۲ق؛ با مهر حـاج سيد سعيد؛ کاغذ: کاهی، جلد: تیماج قهوه ای، ۵۶گ (52-107)،۱۶سطر (۷/۵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اندازه: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۳ - ۱۳۵۳]</w:t>
      </w:r>
    </w:p>
    <w:p>
      <w:pPr>
        <w:pStyle w:val="BookText"/>
      </w:pPr>
      <w:r>
        <w:rPr>
          <w:rFonts w:ascii="IRNazanin" w:hAnsi="IRNazanin" w:eastAsia="IRNazanin" w:cs="IRNazanin"/>
          <w:lang w:bidi="fa-IR"/>
          <w:color w:val="111111"/>
          <w:sz w:val="28"/>
          <w:szCs w:val="28"/>
          <w:rtl/>
        </w:rPr>
        <w:t xml:space="preserve">3.مشهد؛ گوهر شاد؛ شماره نسخه: ۲۰۵۵/۲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نستعليق، كا: حبیب  الله، تا: ۱۲۸۸ق؛ واقف: آقای غیاثی، بهمن۱۳۳۷ ؛جلد: میشن  قهوه ای، ۱۵ سطر، اندازه: 10/5</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 ف: ۵ - ۴۳۹]</w:t>
      </w:r>
    </w:p>
    <w:p>
      <w:pPr>
        <w:pStyle w:val="BookText"/>
      </w:pPr>
      <w:r>
        <w:rPr>
          <w:rFonts w:ascii="IRNazanin" w:hAnsi="IRNazanin" w:eastAsia="IRNazanin" w:cs="IRNazanin"/>
          <w:lang w:bidi="fa-IR"/>
          <w:color w:val="111111"/>
          <w:sz w:val="28"/>
          <w:szCs w:val="28"/>
          <w:rtl/>
        </w:rPr>
        <w:t xml:space="preserve">۴. تهران؛ علوم پزشکی؛ شماره نسخه: ۱۱۶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یک شنبه ۲ رمضان ۱۲۹۵ق؛ نواده مؤلف (احمد بن حسين بن احمد شريف حکیم تنکابنی) نسخه را داده در این سال نوشته اند و او دارنده نسخه بوده و خط و امضاء و مهر او در آغاز و انجام نسخه هست؛ این نسخه از روی نسخه ای به تاریخ ۱۲۹۵ استنساخ شده و الفیه چاپی در آغاز نسخه صحافی شده است، در خاتمه پنج صفحه نسخه طبی دارد، در پشت صفـحه اول نوشته شده : «مالک این کتاب داکتر اردشیر ایرج شاه حکیم ایرج شاه بلدنگ کوب بمبی»؛ ۱۱۸ ص، ۱۸ سطر (۶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۶/۵) ، 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 نشریه: ۳ - ۳۱۳]</w:t>
      </w:r>
    </w:p>
    <w:p>
      <w:pPr>
        <w:pStyle w:val="BookText"/>
      </w:pPr>
      <w:r>
        <w:rPr>
          <w:rFonts w:ascii="IRNazanin" w:hAnsi="IRNazanin" w:eastAsia="IRNazanin" w:cs="IRNazanin"/>
          <w:lang w:bidi="fa-IR"/>
          <w:color w:val="111111"/>
          <w:sz w:val="28"/>
          <w:szCs w:val="28"/>
          <w:rtl/>
        </w:rPr>
        <w:t xml:space="preserve">۵. مشهد؛ امام هادی؛ شماره نسخه: ۱۹/۱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و نستعلیق ،کا: میرزا حسن بن عبدالله میقانی،تا: چهارشنبه ۲۴ ربيع الثانی ۱۲۹۹ق؛ جلد: تیماج قرمز بدون مقـوا، ۳۳ گ(۳۸ ر-۷۰ر) [ف: ۱۷]</w:t>
      </w:r>
    </w:p>
    <w:p>
      <w:pPr>
        <w:pStyle w:val="BookText"/>
      </w:pPr>
      <w:r>
        <w:rPr>
          <w:rFonts w:ascii="IRNazanin" w:hAnsi="IRNazanin" w:eastAsia="IRNazanin" w:cs="IRNazanin"/>
          <w:lang w:bidi="fa-IR"/>
          <w:color w:val="111111"/>
          <w:sz w:val="28"/>
          <w:szCs w:val="28"/>
          <w:rtl/>
        </w:rPr>
        <w:t xml:space="preserve">قم ؛مرکز احیاء؛ شماره نسخه: ۱۱۹۷/۱</w:t>
      </w:r>
    </w:p>
    <w:p>
      <w:pPr>
        <w:pStyle w:val="BookText"/>
      </w:pPr>
      <w:r>
        <w:rPr>
          <w:rFonts w:ascii="IRNazanin" w:hAnsi="IRNazanin" w:eastAsia="IRNazanin" w:cs="IRNazanin"/>
          <w:lang w:bidi="fa-IR"/>
          <w:color w:val="111111"/>
          <w:sz w:val="28"/>
          <w:szCs w:val="28"/>
          <w:rtl/>
        </w:rPr>
        <w:t xml:space="preserve">نسخه اصل: همان نسخه بالا [ عکسی ف: ۳ - ۴۸۴]</w:t>
      </w:r>
    </w:p>
    <w:p>
      <w:pPr>
        <w:pStyle w:val="BookText"/>
      </w:pPr>
      <w:r>
        <w:rPr>
          <w:rFonts w:ascii="IRNazanin" w:hAnsi="IRNazanin" w:eastAsia="IRNazanin" w:cs="IRNazanin"/>
          <w:lang w:bidi="fa-IR"/>
          <w:color w:val="111111"/>
          <w:sz w:val="28"/>
          <w:szCs w:val="28"/>
          <w:rtl/>
        </w:rPr>
        <w:t xml:space="preserve">۶. تهران؛ انجمن آثار و مفاخر فرهنگی؛ شماره نسخه: ۲۸/۳</w:t>
      </w:r>
    </w:p>
    <w:p>
      <w:pPr>
        <w:pStyle w:val="BookText"/>
      </w:pPr>
      <w:r>
        <w:rPr>
          <w:rFonts w:ascii="IRNazanin" w:hAnsi="IRNazanin" w:eastAsia="IRNazanin" w:cs="IRNazanin"/>
          <w:lang w:bidi="fa-IR"/>
          <w:color w:val="111111"/>
          <w:sz w:val="28"/>
          <w:szCs w:val="28"/>
          <w:rtl/>
        </w:rPr>
        <w:t xml:space="preserve">آغاز: بسمله - هذا رساله اسهالیه مرحوم ميرزا احمد رحمة الله فصل اول در بیان ادیه مفرده؛ انجام: برابر</w:t>
      </w:r>
    </w:p>
    <w:p>
      <w:pPr>
        <w:pStyle w:val="BookText"/>
      </w:pPr>
      <w:r>
        <w:rPr>
          <w:rFonts w:ascii="IRNazanin" w:hAnsi="IRNazanin" w:eastAsia="IRNazanin" w:cs="IRNazanin"/>
          <w:lang w:bidi="fa-IR"/>
          <w:color w:val="111111"/>
          <w:sz w:val="28"/>
          <w:szCs w:val="28"/>
          <w:rtl/>
        </w:rPr>
        <w:t xml:space="preserve">کا: محمد حسین بروجردی، بی تا؛ محشی؛ کاغذ ،فرنگی، تیماج یک لا  كوبيده، ۸۹ ص( 132-220)۲۰ سطر (6/5</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 انجمن آثار - ف - (۵۹]</w:t>
      </w:r>
    </w:p>
    <w:p>
      <w:pPr>
        <w:pStyle w:val="BookText"/>
      </w:pPr>
      <w:r>
        <w:rPr>
          <w:rFonts w:ascii="IRNazanin" w:hAnsi="IRNazanin" w:eastAsia="IRNazanin" w:cs="IRNazanin"/>
          <w:lang w:bidi="fa-IR"/>
          <w:color w:val="111111"/>
          <w:sz w:val="28"/>
          <w:szCs w:val="28"/>
          <w:rtl/>
        </w:rPr>
        <w:t xml:space="preserve">۷. تهران؛ انجمن آثار و مفاخر فرهنگی؛ شماره نسخه: ۲۹/۴</w:t>
      </w:r>
    </w:p>
    <w:p>
      <w:pPr>
        <w:pStyle w:val="BookText"/>
      </w:pPr>
      <w:r>
        <w:rPr>
          <w:rFonts w:ascii="IRNazanin" w:hAnsi="IRNazanin" w:eastAsia="IRNazanin" w:cs="IRNazanin"/>
          <w:lang w:bidi="fa-IR"/>
          <w:color w:val="111111"/>
          <w:sz w:val="28"/>
          <w:szCs w:val="28"/>
          <w:rtl/>
        </w:rPr>
        <w:t xml:space="preserve">بی کا، بی تا[ نشریه: ۷ - ۴]</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قم؛ مرعشی؛ شماره نسخه: ۵۱۰۸</w:t>
      </w:r>
    </w:p>
    <w:p>
      <w:pPr>
        <w:pStyle w:val="BookText"/>
      </w:pPr>
      <w:r>
        <w:rPr>
          <w:rFonts w:ascii="IRNazanin" w:hAnsi="IRNazanin" w:eastAsia="IRNazanin" w:cs="IRNazanin"/>
          <w:lang w:bidi="fa-IR"/>
          <w:color w:val="111111"/>
          <w:sz w:val="28"/>
          <w:szCs w:val="28"/>
          <w:rtl/>
        </w:rPr>
        <w:t xml:space="preserve">آغاز: برابر؛ انجام: گلنار حب الاس از هر یک دو مثقال بلوط</w:t>
      </w:r>
    </w:p>
    <w:p>
      <w:pPr>
        <w:pStyle w:val="BookText"/>
      </w:pPr>
      <w:r>
        <w:rPr>
          <w:rFonts w:ascii="IRNazanin" w:hAnsi="IRNazanin" w:eastAsia="IRNazanin" w:cs="IRNazanin"/>
          <w:lang w:bidi="fa-IR"/>
          <w:color w:val="111111"/>
          <w:sz w:val="28"/>
          <w:szCs w:val="28"/>
          <w:rtl/>
        </w:rPr>
        <w:t xml:space="preserve">خط: نستعلیق، بی کا، بی تا؛ افتادگی: انجام؛ برگ دوم رساله افتاده است؛ تاریخ دهم محرم ۱۳۲۹ در آخرین یاداشت این مجموعه دیده می شود؛ جلد: مقوایی عطف تیماج  قرمز ،۱۸۱گ، مختلـف  السطر،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۱۶/۵سم [ف : ۱۳ - ۳۱۳]</w:t>
      </w:r>
    </w:p>
    <w:p>
      <w:pPr>
        <w:pStyle w:val="BookText"/>
      </w:pPr>
      <w:r>
        <w:rPr>
          <w:rFonts w:ascii="IRNazanin" w:hAnsi="IRNazanin" w:eastAsia="IRNazanin" w:cs="IRNazanin"/>
          <w:lang w:bidi="fa-IR"/>
          <w:color w:val="111111"/>
          <w:sz w:val="28"/>
          <w:szCs w:val="28"/>
          <w:rtl/>
        </w:rPr>
        <w:t xml:space="preserve">۹ . قم؛ فیضیه ؛شماره نسخه: ۱۷۹۳/۲</w:t>
      </w:r>
    </w:p>
    <w:p>
      <w:pPr>
        <w:pStyle w:val="BookText"/>
      </w:pPr>
      <w:r>
        <w:rPr>
          <w:rFonts w:ascii="IRNazanin" w:hAnsi="IRNazanin" w:eastAsia="IRNazanin" w:cs="IRNazanin"/>
          <w:lang w:bidi="fa-IR"/>
          <w:color w:val="111111"/>
          <w:sz w:val="28"/>
          <w:szCs w:val="28"/>
          <w:rtl/>
        </w:rPr>
        <w:t xml:space="preserve">خط: نستعلیق، بی کا، بی تا؛ ۵۶گ (۷۵-۱۳۰)، ۱۵ سطر، اندازه:۱۱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۳ - ۱۳۵]</w:t>
      </w:r>
    </w:p>
    <w:p>
      <w:pPr>
        <w:pStyle w:val="Heading3"/>
      </w:pPr>
      <w:bookmarkStart w:id="1834" w:name="_Toc1356"/>
      <w:r>
        <w:t>اشاراة الرموز المعدودة الى عدة المدة التي هي  الغاية / جفر / عربي</w:t>
      </w:r>
      <w:bookmarkEnd w:id="1834"/>
    </w:p>
    <w:p>
      <w:pPr>
        <w:pStyle w:val="BookText"/>
      </w:pPr>
      <w:r>
        <w:rPr>
          <w:rFonts w:ascii="Times New Roman" w:hAnsi="Times New Roman" w:eastAsia="Times New Roman" w:cs="Times New Roman"/>
          <w:lang w:val="en-US" w:bidi="en-US"/>
          <w:color w:val="111111"/>
          <w:sz w:val="28"/>
          <w:szCs w:val="28"/>
          <w:rtl/>
        </w:rPr>
        <w:t xml:space="preserve">išārāt-ur rumūz-il ma‘dūda ila 'iddat-il muddat-il latī</w:t>
      </w:r>
    </w:p>
    <w:p>
      <w:pPr>
        <w:pStyle w:val="BookText"/>
      </w:pPr>
      <w:r>
        <w:rPr>
          <w:rFonts w:ascii="Times New Roman" w:hAnsi="Times New Roman" w:eastAsia="Times New Roman" w:cs="Times New Roman"/>
          <w:lang w:val="en-US" w:bidi="en-US"/>
          <w:color w:val="111111"/>
          <w:sz w:val="28"/>
          <w:szCs w:val="28"/>
          <w:rtl/>
        </w:rPr>
        <w:t xml:space="preserve">hīya-l ġāya</w:t>
      </w:r>
    </w:p>
    <w:p>
      <w:pPr>
        <w:pStyle w:val="BookText"/>
      </w:pPr>
      <w:r>
        <w:rPr>
          <w:rFonts w:ascii="IRNazanin" w:hAnsi="IRNazanin" w:eastAsia="IRNazanin" w:cs="IRNazanin"/>
          <w:lang w:bidi="fa-IR"/>
          <w:color w:val="111111"/>
          <w:sz w:val="28"/>
          <w:szCs w:val="28"/>
          <w:rtl/>
        </w:rPr>
        <w:t xml:space="preserve">تهران؛ ملک؛ شماره نسخه: ۳۱۰۱/۷</w:t>
      </w:r>
    </w:p>
    <w:p>
      <w:pPr>
        <w:pStyle w:val="BookText"/>
      </w:pPr>
      <w:r>
        <w:rPr>
          <w:rFonts w:ascii="IRNazanin" w:hAnsi="IRNazanin" w:eastAsia="IRNazanin" w:cs="IRNazanin"/>
          <w:lang w:bidi="fa-IR"/>
          <w:color w:val="111111"/>
          <w:sz w:val="28"/>
          <w:szCs w:val="28"/>
          <w:rtl/>
        </w:rPr>
        <w:t xml:space="preserve">آغاز: هذا اشارات الرموز المعدودة الى عدة المدة التي هي الغاية و الغاية على ما سبق ذكره و هی عشر دلالات؛ انجام: و هذا آخر ايام العالم وليس بعده مدة لهذا العالم، والله اعلم بالحق و اليقين حال الذائرة المذكورة فى سنة ۸۲۲غفر الله لكاتبه و لقاريه و لجميع المسلمين و حسبنا الله و نعم الوكيل وصلى الله الوكيل وصلى الله ... ابداً الى يوم الدین</w:t>
      </w:r>
    </w:p>
    <w:p>
      <w:pPr>
        <w:pStyle w:val="BookText"/>
      </w:pPr>
      <w:r>
        <w:rPr>
          <w:rFonts w:ascii="IRNazanin" w:hAnsi="IRNazanin" w:eastAsia="IRNazanin" w:cs="IRNazanin"/>
          <w:lang w:bidi="fa-IR"/>
          <w:color w:val="111111"/>
          <w:sz w:val="28"/>
          <w:szCs w:val="28"/>
          <w:rtl/>
        </w:rPr>
        <w:t xml:space="preserve">در حروف و جفر؛ خط: نسخ، کا: عبدالرحمن بن احمد بسطامی، تا: ۸۲۲ق؛ کاغذ: پسته ای، جلد: میشن لایی سیاه، ۲گ (۴۴پ- ۴۵ پ) ۲۱ سطر، اندازه: ۱۵/۲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۲۲/۲سم [ف: ۶ - ۲۱۷]</w:t>
      </w:r>
    </w:p>
    <w:p>
      <w:pPr>
        <w:pStyle w:val="Heading3"/>
      </w:pPr>
      <w:bookmarkStart w:id="1835" w:name="_Toc1357"/>
      <w:r>
        <w:t>الاشارات / كلام و اعتقادات / عربی</w:t>
      </w:r>
      <w:bookmarkEnd w:id="1835"/>
    </w:p>
    <w:p>
      <w:pPr>
        <w:pStyle w:val="BookText"/>
      </w:pPr>
      <w:r>
        <w:rPr>
          <w:rFonts w:ascii="Times New Roman" w:hAnsi="Times New Roman" w:eastAsia="Times New Roman" w:cs="Times New Roman"/>
          <w:lang w:val="en-US" w:bidi="en-US"/>
          <w:color w:val="111111"/>
          <w:sz w:val="28"/>
          <w:szCs w:val="28"/>
          <w:rtl/>
        </w:rPr>
        <w:t xml:space="preserve">al-išārāt</w:t>
      </w:r>
    </w:p>
    <w:p>
      <w:pPr>
        <w:pStyle w:val="BookText"/>
      </w:pPr>
      <w:r>
        <w:rPr>
          <w:rFonts w:ascii="IRNazanin" w:hAnsi="IRNazanin" w:eastAsia="IRNazanin" w:cs="IRNazanin"/>
          <w:lang w:bidi="fa-IR"/>
          <w:color w:val="111111"/>
          <w:sz w:val="28"/>
          <w:szCs w:val="28"/>
          <w:rtl/>
        </w:rPr>
        <w:t xml:space="preserve">؟ بحرانی، علی بن سلیمان، - ۶۷۲ ؟ قمری</w:t>
      </w:r>
    </w:p>
    <w:p>
      <w:pPr>
        <w:pStyle w:val="BookText"/>
      </w:pPr>
      <w:r>
        <w:rPr>
          <w:rFonts w:ascii="Times New Roman" w:hAnsi="Times New Roman" w:eastAsia="Times New Roman" w:cs="Times New Roman"/>
          <w:lang w:val="en-US" w:bidi="en-US"/>
          <w:color w:val="111111"/>
          <w:sz w:val="28"/>
          <w:szCs w:val="28"/>
          <w:rtl/>
        </w:rPr>
        <w:t xml:space="preserve">(bahrānī, ‘alī ebn-e soleyman (- 1274)((</w:t>
      </w:r>
    </w:p>
    <w:p>
      <w:pPr>
        <w:pStyle w:val="BookText"/>
      </w:pPr>
      <w:r>
        <w:rPr>
          <w:rFonts w:ascii="IRNazanin" w:hAnsi="IRNazanin" w:eastAsia="IRNazanin" w:cs="IRNazanin"/>
          <w:lang w:bidi="fa-IR"/>
          <w:color w:val="111111"/>
          <w:sz w:val="28"/>
          <w:szCs w:val="28"/>
          <w:rtl/>
        </w:rPr>
        <w:t xml:space="preserve">رساله مختصری است در کلام و حکمت شامل ۱۴ «اشاره» و یک «تنبیه» و یک «لطیفه» و یک «خاتمه» و «ختم» و «نصیحت». اشاره اول: فى الوجود و انه من حيث هو هو عين الوجود الذهني. شیوه آغاز رساله در «اشاره ها» و «تنبیهات» شبیه شیوه اشارات ابن سینا است خاصه در مقامات العارفین با این تفاوت که رساله حاضر تصوف خالص است. در خاتمه در ذیل عنوان «ختم و نصيحة» چنین آمده: «قد اشير بالاشارات الى كنوز الحقائق و نبه بالتنبيهات على حقائق الدقائق» و شاید این سخن قرینه آن است که نام رساله «اشارات و تنبیهات» است. در آغاز رساله (پس از خطبه) نیز چنین  آمده: «فهذه زبدة من الاسرار الربانية و نوادر الحكمة الالهيه تنبه راقد الطبيعه». مؤلف دیباچه رساله را به نام سید اجل غیاث المله والدین ساخته است.</w:t>
      </w:r>
    </w:p>
    <w:p>
      <w:pPr>
        <w:pStyle w:val="BookText"/>
      </w:pPr>
      <w:r>
        <w:rPr>
          <w:rFonts w:ascii="IRNazanin" w:hAnsi="IRNazanin" w:eastAsia="IRNazanin" w:cs="IRNazanin"/>
          <w:lang w:bidi="fa-IR"/>
          <w:color w:val="111111"/>
          <w:sz w:val="28"/>
          <w:szCs w:val="28"/>
          <w:rtl/>
        </w:rPr>
        <w:t xml:space="preserve">آغاز: بسمله بعز قدسك اللهم و طهارة مجدك و قديم منک و عزیز سلطانک... و بعد فهذه نبذة من الاسرارالربانية ونوادر من  الحكم الالهيه... فيكون تحفه لذوى الطبع السليم و النظر المستقيم جامع اسباب الكمالات ... غياث الملة و الدنيا و الدين السيد الاجل لازال جنابه المعالى محفوظا و بعين العناية الربانية ملحوظا</w:t>
      </w:r>
    </w:p>
    <w:p>
      <w:pPr>
        <w:pStyle w:val="BookText"/>
      </w:pPr>
      <w:r>
        <w:rPr>
          <w:rFonts w:ascii="IRNazanin" w:hAnsi="IRNazanin" w:eastAsia="IRNazanin" w:cs="IRNazanin"/>
          <w:lang w:bidi="fa-IR"/>
          <w:color w:val="111111"/>
          <w:sz w:val="28"/>
          <w:szCs w:val="28"/>
          <w:rtl/>
        </w:rPr>
        <w:t xml:space="preserve">انجام: فان اضعت فیما اوصی به الیک فالله بینی و بینک و کفی به شهیدا و لیكن هذا آخر ما اردناابرازه ... و سلم تسليما كثيرا قد وقع الفراغ و التمام من مشق هذه المقدمه المعقود في علم الكلام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379" w:name="pg20365_260524"/>
    <w:bookmarkEnd w:id="379"/>
    <w:p>
      <w:pPr>
        <w:pStyle w:val="BookText"/>
      </w:pPr>
      <w:r>
        <w:rPr>
          <w:rFonts w:ascii="Amiri" w:hAnsi="Amiri" w:eastAsia="Amiri" w:cs="Amiri"/>
          <w:lang w:bidi="ar-SA"/>
          <w:color w:val="111111"/>
          <w:sz w:val="28"/>
          <w:szCs w:val="28"/>
          <w:rtl/>
        </w:rPr>
        <w:t xml:space="preserve">اصيل يوم  الثلثا العاشر من ذى القعده سنة الخامسه و السبعين بعد الألف  .</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IRNazanin" w:hAnsi="IRNazanin" w:eastAsia="IRNazanin" w:cs="IRNazanin"/>
          <w:lang w:bidi="fa-IR"/>
          <w:color w:val="111111"/>
          <w:sz w:val="28"/>
          <w:szCs w:val="28"/>
          <w:rtl/>
        </w:rPr>
        <w:t xml:space="preserve">١- شرح الاشارات ابن میثم، میثم بن علی (۶۸۹-۶۳۶)</w:t>
      </w:r>
    </w:p>
    <w:p>
      <w:pPr>
        <w:pStyle w:val="BookText"/>
      </w:pPr>
      <w:r>
        <w:rPr>
          <w:rFonts w:ascii="IRNazanin" w:hAnsi="IRNazanin" w:eastAsia="IRNazanin" w:cs="IRNazanin"/>
          <w:lang w:bidi="fa-IR"/>
          <w:color w:val="111111"/>
          <w:sz w:val="28"/>
          <w:szCs w:val="28"/>
          <w:rtl/>
        </w:rPr>
        <w:t xml:space="preserve">۱ . مشهد؛ الهیات؛ شماره نسخه: ۱۴۷۸۷/۱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سه شنبه ۱۰ ذیقعده ۱۰۷۵ق؛ در هفتم محـرم ۱۱۸۲ق وسیله صالح بن عبدالكريم تصحیح و مقابله شده است؛ کاغذ نخودی رنگ؛ جلد: تیماج قهوه ای لولایی، 9گ، ۱۸  - 21سطر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۲۴/۵سم [ف: ۲ - ۸۷]</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مجلس؛ شماره نسخه: ۵۵۹۶/۲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تذکر: نام مؤلف در فهرست نیامده است که به قرینه آغاز نسخـه و همخوانی آن با نسخه بالا تعیین شد؛ خط: نستعليق، كا: حبيب الله آشتیانی قمی، تا: ۱۰۸۳ق؛ کاغذ: اصفهانی، جلد: تیماج مشکـی ،۱۹ ص (۳۲۲-۳۰۴)، ۱۶-۱۷ سطر، قطع: نیم خشتی،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۱۲/۵سم [ف : ۱۷ - ۵۴]</w:t>
      </w:r>
    </w:p>
    <w:p>
      <w:pPr>
        <w:pStyle w:val="BookText"/>
      </w:pPr>
      <w:r>
        <w:rPr>
          <w:rFonts w:ascii="IRNazanin" w:hAnsi="IRNazanin" w:eastAsia="IRNazanin" w:cs="IRNazanin"/>
          <w:lang w:bidi="fa-IR"/>
          <w:color w:val="111111"/>
          <w:sz w:val="28"/>
          <w:szCs w:val="28"/>
          <w:rtl/>
        </w:rPr>
        <w:t xml:space="preserve">۳. قم؛ مؤسسه حضرت آیة الله بروجردی؛ شماره نسخه: ۳۹۹/۳</w:t>
      </w:r>
    </w:p>
    <w:p>
      <w:pPr>
        <w:pStyle w:val="BookText"/>
      </w:pPr>
      <w:r>
        <w:rPr>
          <w:rFonts w:ascii="IRNazanin" w:hAnsi="IRNazanin" w:eastAsia="IRNazanin" w:cs="IRNazanin"/>
          <w:lang w:bidi="fa-IR"/>
          <w:color w:val="111111"/>
          <w:sz w:val="28"/>
          <w:szCs w:val="28"/>
          <w:rtl/>
        </w:rPr>
        <w:t xml:space="preserve">آغاز: برابر؛ انجام: و ليكن هذا آخر ما اردنا ایراده و نهاية  ما قصدنا  الغازه، و الحمد الله رب العالمين.</w:t>
      </w:r>
    </w:p>
    <w:p>
      <w:pPr>
        <w:pStyle w:val="BookText"/>
      </w:pPr>
      <w:r>
        <w:rPr>
          <w:rFonts w:ascii="IRNazanin" w:hAnsi="IRNazanin" w:eastAsia="IRNazanin" w:cs="IRNazanin"/>
          <w:lang w:bidi="fa-IR"/>
          <w:color w:val="111111"/>
          <w:sz w:val="28"/>
          <w:szCs w:val="28"/>
          <w:rtl/>
        </w:rPr>
        <w:t xml:space="preserve">تذکر: این رساله در فهرست با عنوان اثبات الواجب و بدون نام مؤلف آمده است که به قرینه همخوانی آغاز آن با نسخه الهیات مشهد ش ۱۴۷۸۷ تصحیح شد؛ خط: نسخ، بی کا، بی تا؛ تملک: احمد بن سالم ماحوزی بحرانی ؛جلد: تیماج قرمز بدون مقـوا، ۱۰گ (۳۰پ - ۳۹ پ) ،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 - ۲۴۶]</w:t>
      </w:r>
    </w:p>
    <w:p>
      <w:pPr>
        <w:pStyle w:val="BookText"/>
      </w:pPr>
      <w:r>
        <w:rPr>
          <w:rFonts w:ascii="IRNazanin" w:hAnsi="IRNazanin" w:eastAsia="IRNazanin" w:cs="IRNazanin"/>
          <w:lang w:bidi="fa-IR"/>
          <w:color w:val="111111"/>
          <w:sz w:val="28"/>
          <w:szCs w:val="28"/>
          <w:rtl/>
        </w:rPr>
        <w:t xml:space="preserve">4.تهران؛ دانشگاه؛ شماره نسخه: ۵۳۹۸/۱۰</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تذکر: این رساله در فهرست با عنوان اثبات الواجب و بدون  نام مؤلف آمده است که به قرینه همخوانی آغاز آن با نسخه الهیات مشهد ۱۴۷۸۷ تصحیح شد؛ خط: نستعلیق، کا: محمد حسن محمد حسین خاتون  آبادی، بی تا ؛کاغذ ،سپاهانی ،جلد: تیماج، ۱۱گ (۳۰۳پ - ۳۱۳ر)، ۱۵ سطر (۶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15- 4241]</w:t>
      </w:r>
    </w:p>
    <w:p>
      <w:pPr>
        <w:pStyle w:val="Heading3"/>
      </w:pPr>
      <w:bookmarkStart w:id="1836" w:name="_Toc1358"/>
      <w:r>
        <w:t>اشارات / ریاضیات / فارسی</w:t>
      </w:r>
      <w:bookmarkEnd w:id="1836"/>
    </w:p>
    <w:p>
      <w:pPr>
        <w:pStyle w:val="BookText"/>
      </w:pPr>
      <w:r>
        <w:rPr>
          <w:rFonts w:ascii="Times New Roman" w:hAnsi="Times New Roman" w:eastAsia="Times New Roman" w:cs="Times New Roman"/>
          <w:lang w:val="en-US" w:bidi="en-US"/>
          <w:color w:val="111111"/>
          <w:sz w:val="28"/>
          <w:szCs w:val="28"/>
          <w:rtl/>
        </w:rPr>
        <w:t xml:space="preserve">esarat</w:t>
      </w:r>
    </w:p>
    <w:p>
      <w:pPr>
        <w:pStyle w:val="BookText"/>
      </w:pPr>
      <w:r>
        <w:rPr>
          <w:rFonts w:ascii="IRNazanin" w:hAnsi="IRNazanin" w:eastAsia="IRNazanin" w:cs="IRNazanin"/>
          <w:lang w:bidi="fa-IR"/>
          <w:color w:val="111111"/>
          <w:sz w:val="28"/>
          <w:szCs w:val="28"/>
          <w:rtl/>
        </w:rPr>
        <w:t xml:space="preserve">شیخ بهائی</w:t>
      </w:r>
      <w:r>
        <w:rPr>
          <w:rFonts w:ascii="Times New Roman" w:hAnsi="Times New Roman" w:eastAsia="Times New Roman" w:cs="Times New Roman"/>
          <w:lang w:val="en-US" w:bidi="en-US"/>
          <w:color w:val="111111"/>
          <w:sz w:val="28"/>
          <w:szCs w:val="28"/>
          <w:rtl/>
        </w:rPr>
        <w:t xml:space="preserve">T </w:t>
      </w:r>
      <w:r>
        <w:rPr>
          <w:rFonts w:ascii="IRNazanin" w:hAnsi="IRNazanin" w:eastAsia="IRNazanin" w:cs="IRNazanin"/>
          <w:lang w:bidi="fa-IR"/>
          <w:color w:val="111111"/>
          <w:sz w:val="28"/>
          <w:szCs w:val="28"/>
          <w:rtl/>
        </w:rPr>
        <w:t xml:space="preserve">محمد بن حسین، ۹۵۳ - ۱۰۳۰ قمری</w:t>
      </w:r>
    </w:p>
    <w:p>
      <w:pPr>
        <w:pStyle w:val="BookText"/>
      </w:pPr>
      <w:r>
        <w:rPr>
          <w:rFonts w:ascii="Times New Roman" w:hAnsi="Times New Roman" w:eastAsia="Times New Roman" w:cs="Times New Roman"/>
          <w:lang w:val="en-US" w:bidi="en-US"/>
          <w:color w:val="111111"/>
          <w:sz w:val="28"/>
          <w:szCs w:val="28"/>
          <w:rtl/>
        </w:rPr>
        <w:t xml:space="preserve">)šeyx-e bahā’ī, mohammad ebn-e hoseyn (1547 - 1621)</w:t>
      </w:r>
    </w:p>
    <w:p>
      <w:pPr>
        <w:pStyle w:val="BookText"/>
      </w:pPr>
      <w:r>
        <w:rPr>
          <w:rFonts w:ascii="IRNazanin" w:hAnsi="IRNazanin" w:eastAsia="IRNazanin" w:cs="IRNazanin"/>
          <w:lang w:bidi="fa-IR"/>
          <w:color w:val="111111"/>
          <w:sz w:val="28"/>
          <w:szCs w:val="28"/>
          <w:rtl/>
        </w:rPr>
        <w:t xml:space="preserve">مشهد؛ رضوی؛ شماره نسخه: ض ۱۱۹۸۱</w:t>
      </w:r>
    </w:p>
    <w:p>
      <w:pPr>
        <w:pStyle w:val="BookText"/>
      </w:pPr>
      <w:r>
        <w:rPr>
          <w:rFonts w:ascii="IRNazanin" w:hAnsi="IRNazanin" w:eastAsia="IRNazanin" w:cs="IRNazanin"/>
          <w:lang w:bidi="fa-IR"/>
          <w:color w:val="111111"/>
          <w:sz w:val="28"/>
          <w:szCs w:val="28"/>
          <w:rtl/>
        </w:rPr>
        <w:t xml:space="preserve">خط: نسخ، بی کا، بی تا [الفبائی: ۵۰]</w:t>
      </w:r>
    </w:p>
    <w:p>
      <w:pPr>
        <w:pStyle w:val="Heading3"/>
      </w:pPr>
      <w:bookmarkStart w:id="1837" w:name="_Toc1359"/>
      <w:r>
        <w:t>الاشارات = تحقیق علم توحید و تطابق آفاق و  انفس / عرفان و تصوف / عربی و فارسی</w:t>
      </w:r>
      <w:bookmarkEnd w:id="1837"/>
    </w:p>
    <w:p>
      <w:pPr>
        <w:pStyle w:val="BookText"/>
      </w:pPr>
      <w:r>
        <w:rPr>
          <w:rFonts w:ascii="Times New Roman" w:hAnsi="Times New Roman" w:eastAsia="Times New Roman" w:cs="Times New Roman"/>
          <w:lang w:val="en-US" w:bidi="en-US"/>
          <w:color w:val="111111"/>
          <w:sz w:val="28"/>
          <w:szCs w:val="28"/>
          <w:rtl/>
        </w:rPr>
        <w:t xml:space="preserve">al-išārāt = tahqiq-e 'elm-e towhīd va tataboq-e āfāq va</w:t>
      </w:r>
    </w:p>
    <w:p>
      <w:pPr>
        <w:pStyle w:val="BookText"/>
      </w:pPr>
      <w:r>
        <w:rPr>
          <w:rFonts w:ascii="Times New Roman" w:hAnsi="Times New Roman" w:eastAsia="Times New Roman" w:cs="Times New Roman"/>
          <w:lang w:val="en-US" w:bidi="en-US"/>
          <w:color w:val="111111"/>
          <w:sz w:val="28"/>
          <w:szCs w:val="28"/>
          <w:rtl/>
        </w:rPr>
        <w:t xml:space="preserve">anfos</w:t>
      </w:r>
    </w:p>
    <w:p>
      <w:pPr>
        <w:pStyle w:val="BookText"/>
      </w:pPr>
      <w:r>
        <w:rPr>
          <w:rFonts w:ascii="IRNazanin" w:hAnsi="IRNazanin" w:eastAsia="IRNazanin" w:cs="IRNazanin"/>
          <w:lang w:bidi="fa-IR"/>
          <w:color w:val="111111"/>
          <w:sz w:val="28"/>
          <w:szCs w:val="28"/>
          <w:rtl/>
        </w:rPr>
        <w:t xml:space="preserve">سعدالدین، مسعود بن  احمد</w:t>
      </w:r>
    </w:p>
    <w:p>
      <w:pPr>
        <w:pStyle w:val="BookText"/>
      </w:pPr>
      <w:r>
        <w:rPr>
          <w:rFonts w:ascii="Times New Roman" w:hAnsi="Times New Roman" w:eastAsia="Times New Roman" w:cs="Times New Roman"/>
          <w:lang w:val="en-US" w:bidi="en-US"/>
          <w:color w:val="111111"/>
          <w:sz w:val="28"/>
          <w:szCs w:val="28"/>
          <w:rtl/>
        </w:rPr>
        <w:t xml:space="preserve">sa'd-od-dīn, mas'ud ebn-e ahmad</w:t>
      </w:r>
    </w:p>
    <w:p>
      <w:pPr>
        <w:pStyle w:val="BookText"/>
      </w:pPr>
      <w:r>
        <w:rPr>
          <w:rFonts w:ascii="IRNazanin" w:hAnsi="IRNazanin" w:eastAsia="IRNazanin" w:cs="IRNazanin"/>
          <w:lang w:bidi="fa-IR"/>
          <w:color w:val="111111"/>
          <w:sz w:val="28"/>
          <w:szCs w:val="28"/>
          <w:rtl/>
        </w:rPr>
        <w:t xml:space="preserve">رساله کوتاه صوفیانه ای است در توحید در ۱۲ «اشاره»: ۱. الوجود ؛ ۲. مراتب التوحيد؛3 . الاسماء و الصفات؛ ۴. العلم والعقل؛  ۵. المقامات؛ ۶ .الاحوال؛ 7. الحروف؛ ۸. مایجب الاتصاف به؛ ۹. الصوم والصلاة والزكات؛ ١٠. المطابقة عالم السفلى و العلوى؛ ۱۱ . الكشف؛ ۱۲ . القيامة.</w:t>
      </w:r>
    </w:p>
    <w:p>
      <w:pPr>
        <w:pStyle w:val="BookText"/>
      </w:pPr>
      <w:r>
        <w:rPr>
          <w:rFonts w:ascii="Amiri" w:hAnsi="Amiri" w:eastAsia="Amiri" w:cs="Amiri"/>
          <w:lang w:bidi="ar-SA"/>
          <w:color w:val="111111"/>
          <w:sz w:val="28"/>
          <w:szCs w:val="28"/>
          <w:rtl/>
        </w:rPr>
        <w:t xml:space="preserve">آغاز: الحمد لله الذي هدانا لهذا ... اعلم ايها الطالب لسر اخفى من العنقاء واشرف من الكيمياء ان اشرف العلوم علم التوحيد المتجلى على الأولياء فلهذا اشرت الى القواعد الكلية التوحيدية  الاجمالية.</w:t>
      </w:r>
    </w:p>
    <w:p>
      <w:pPr>
        <w:pStyle w:val="BookText"/>
      </w:pPr>
      <w:r>
        <w:rPr>
          <w:rFonts w:ascii="IRNazanin" w:hAnsi="IRNazanin" w:eastAsia="IRNazanin" w:cs="IRNazanin"/>
          <w:lang w:bidi="fa-IR"/>
          <w:color w:val="111111"/>
          <w:sz w:val="28"/>
          <w:szCs w:val="28"/>
          <w:rtl/>
        </w:rPr>
        <w:t xml:space="preserve">انجام: و یکی دیگر قیامتی است که اولیا را اصل می شود بانكشاف حقيقت كلیه و ظهور وحدت تامه و استسهلاک کثرت در وحدت و این را قیامت کبری خوانند، تمت.</w:t>
      </w:r>
    </w:p>
    <w:p>
      <w:pPr>
        <w:pStyle w:val="BookText"/>
      </w:pPr>
      <w:r>
        <w:rPr>
          <w:rFonts w:ascii="IRNazanin" w:hAnsi="IRNazanin" w:eastAsia="IRNazanin" w:cs="IRNazanin"/>
          <w:lang w:bidi="fa-IR"/>
          <w:color w:val="111111"/>
          <w:sz w:val="28"/>
          <w:szCs w:val="28"/>
          <w:rtl/>
        </w:rPr>
        <w:t xml:space="preserve">[دنا ۸۳۶/۱؛ کشف الظنون: ۹۷/۱]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مرعشی؛ شماره نسخه: ۱۳۲۱۲/۱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۹۴۱ق؛ تملک: فخر الاطبا، به تاریخ ۱۲۸۵ق با مهر «فخر الاطباء» (بیضی)؛ مهر آیت الله مرعشی نجفی (بیضی)؛ کاغذ: شرقی ۱۱گ (۱پ-۱۱ر)، ۱۵ سطر،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۱۵سم[ف: ۳۳ - ۳۸۷]</w:t>
      </w:r>
    </w:p>
    <w:p>
      <w:pPr>
        <w:pStyle w:val="BookText"/>
      </w:pPr>
      <w:r>
        <w:rPr>
          <w:rFonts w:ascii="IRNazanin" w:hAnsi="IRNazanin" w:eastAsia="IRNazanin" w:cs="IRNazanin"/>
          <w:lang w:bidi="fa-IR"/>
          <w:color w:val="111111"/>
          <w:sz w:val="28"/>
          <w:szCs w:val="28"/>
          <w:rtl/>
        </w:rPr>
        <w:t xml:space="preserve">۲. تهران؛ ملی؛ شماره نسخه: ۲۲۳۴/۱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و نستعلیق، بی کا، تا: قرن ۱۲؛ کاغذ: ترمه اصفهانی، جلد: تیماج  قرمز، مقوایی، ۱۰ص (۱۰۱)، ۲۴ سطر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۳۸سم [ف: ۵ - ۳۴۶]</w:t>
      </w:r>
    </w:p>
    <w:p>
      <w:pPr>
        <w:pStyle w:val="Heading3"/>
      </w:pPr>
      <w:bookmarkStart w:id="1838" w:name="_Toc1360"/>
      <w:r>
        <w:t>اشارات اسرار الحكما / کیمیا / عربی و فارسی</w:t>
      </w:r>
      <w:bookmarkEnd w:id="1838"/>
    </w:p>
    <w:p>
      <w:pPr>
        <w:pStyle w:val="BookText"/>
      </w:pPr>
      <w:r>
        <w:rPr>
          <w:rFonts w:ascii="Times New Roman" w:hAnsi="Times New Roman" w:eastAsia="Times New Roman" w:cs="Times New Roman"/>
          <w:lang w:val="en-US" w:bidi="en-US"/>
          <w:color w:val="111111"/>
          <w:sz w:val="28"/>
          <w:szCs w:val="28"/>
          <w:rtl/>
        </w:rPr>
        <w:t xml:space="preserve">ešārāt-e asrar-ol-hokamā</w:t>
      </w:r>
    </w:p>
    <w:p>
      <w:pPr>
        <w:pStyle w:val="BookText"/>
      </w:pPr>
      <w:r>
        <w:rPr>
          <w:rFonts w:ascii="IRNazanin" w:hAnsi="IRNazanin" w:eastAsia="IRNazanin" w:cs="IRNazanin"/>
          <w:lang w:bidi="fa-IR"/>
          <w:color w:val="111111"/>
          <w:sz w:val="28"/>
          <w:szCs w:val="28"/>
          <w:rtl/>
        </w:rPr>
        <w:t xml:space="preserve">حسینی، حسن بن احمد، ق ۱۳ قمری</w:t>
      </w:r>
    </w:p>
    <w:p>
      <w:pPr>
        <w:pStyle w:val="BookText"/>
      </w:pPr>
      <w:r>
        <w:rPr>
          <w:rFonts w:ascii="Times New Roman" w:hAnsi="Times New Roman" w:eastAsia="Times New Roman" w:cs="Times New Roman"/>
          <w:lang w:val="en-US" w:bidi="en-US"/>
          <w:color w:val="111111"/>
          <w:sz w:val="28"/>
          <w:szCs w:val="28"/>
          <w:rtl/>
        </w:rPr>
        <w:t xml:space="preserve">(hoseynī, hasan ebn-e ahmad (- 19c)</w:t>
      </w:r>
    </w:p>
    <w:p>
      <w:pPr>
        <w:pStyle w:val="BookText"/>
      </w:pPr>
      <w:r>
        <w:rPr>
          <w:rFonts w:ascii="IRNazanin" w:hAnsi="IRNazanin" w:eastAsia="IRNazanin" w:cs="IRNazanin"/>
          <w:lang w:bidi="fa-IR"/>
          <w:color w:val="111111"/>
          <w:sz w:val="28"/>
          <w:szCs w:val="28"/>
          <w:rtl/>
        </w:rPr>
        <w:t xml:space="preserve">مشهد؛ رضوی؛ شماره نسخه: ض ۱۰۸۵۱</w:t>
      </w:r>
    </w:p>
    <w:p>
      <w:pPr>
        <w:pStyle w:val="BookText"/>
      </w:pPr>
      <w:r>
        <w:rPr>
          <w:rFonts w:ascii="IRNazanin" w:hAnsi="IRNazanin" w:eastAsia="IRNazanin" w:cs="IRNazanin"/>
          <w:lang w:bidi="fa-IR"/>
          <w:color w:val="111111"/>
          <w:sz w:val="28"/>
          <w:szCs w:val="28"/>
          <w:rtl/>
        </w:rPr>
        <w:t xml:space="preserve">آغاز: بسمله الحمد لله الذى فصل بحكمه صنعته كل شيء تفصيلا و ركب الارواح؛ انجام: و الحمد لله رب العالمين... اتمامه في شهر ذیقعده سنه ۱۲۰۷</w:t>
      </w:r>
    </w:p>
    <w:p>
      <w:pPr>
        <w:pStyle w:val="BookText"/>
      </w:pPr>
      <w:r>
        <w:rPr>
          <w:rFonts w:ascii="IRNazanin" w:hAnsi="IRNazanin" w:eastAsia="IRNazanin" w:cs="IRNazanin"/>
          <w:lang w:bidi="fa-IR"/>
          <w:color w:val="111111"/>
          <w:sz w:val="28"/>
          <w:szCs w:val="28"/>
          <w:rtl/>
        </w:rPr>
        <w:t xml:space="preserve">خط: نسخ، بی کا، تا: ۱۲۰۷ق؛ واقف: محمدایرانی [الفبائی: ۵۰]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380" w:name="pg20365_260525"/>
    <w:bookmarkEnd w:id="380"/>
    <w:p>
      <w:pPr>
        <w:pStyle w:val="Heading3"/>
      </w:pPr>
      <w:bookmarkStart w:id="1839" w:name="_Toc1361"/>
      <w:r>
        <w:t>اشارات اسرار الحكماء فى امارات حكم الكيميا  (مختصر) = آراء المذاهب / كيميا / عربي</w:t>
      </w:r>
      <w:bookmarkEnd w:id="1839"/>
    </w:p>
    <w:p>
      <w:pPr>
        <w:pStyle w:val="BookText"/>
      </w:pPr>
      <w:r>
        <w:rPr>
          <w:rFonts w:ascii="Times New Roman" w:hAnsi="Times New Roman" w:eastAsia="Times New Roman" w:cs="Times New Roman"/>
          <w:lang w:val="en-US" w:bidi="en-US"/>
          <w:color w:val="111111"/>
          <w:sz w:val="28"/>
          <w:szCs w:val="28"/>
          <w:rtl/>
        </w:rPr>
        <w:t xml:space="preserve">išārāt-u asrār-il ḥukamā’ fī imārāt-i ḥukm-il kīmyā</w:t>
      </w:r>
    </w:p>
    <w:p>
      <w:pPr>
        <w:pStyle w:val="BookText"/>
      </w:pPr>
      <w:r>
        <w:rPr>
          <w:rFonts w:ascii="Times New Roman" w:hAnsi="Times New Roman" w:eastAsia="Times New Roman" w:cs="Times New Roman"/>
          <w:lang w:val="en-US" w:bidi="en-US"/>
          <w:color w:val="111111"/>
          <w:sz w:val="28"/>
          <w:szCs w:val="28"/>
          <w:rtl/>
        </w:rPr>
        <w:t xml:space="preserve">(muxtaṣar) = ārā’-ul maḏāhib)</w:t>
      </w:r>
    </w:p>
    <w:p>
      <w:pPr>
        <w:pStyle w:val="BookText"/>
      </w:pPr>
      <w:r>
        <w:rPr>
          <w:rFonts w:ascii="IRNazanin" w:hAnsi="IRNazanin" w:eastAsia="IRNazanin" w:cs="IRNazanin"/>
          <w:lang w:bidi="fa-IR"/>
          <w:color w:val="111111"/>
          <w:sz w:val="28"/>
          <w:szCs w:val="28"/>
          <w:rtl/>
        </w:rPr>
        <w:t xml:space="preserve">حسینی، حسن بن احمد، ق۱۳ قمری</w:t>
      </w:r>
    </w:p>
    <w:p>
      <w:pPr>
        <w:pStyle w:val="BookText"/>
      </w:pPr>
      <w:r>
        <w:rPr>
          <w:rFonts w:ascii="Amiri" w:hAnsi="Amiri" w:eastAsia="Amiri" w:cs="Amiri"/>
          <w:lang w:bidi="ar-SA"/>
          <w:color w:val="111111"/>
          <w:sz w:val="28"/>
          <w:szCs w:val="28"/>
          <w:rtl/>
        </w:rPr>
        <w:t xml:space="preserve">تاريخ تأليف: محرم ۱۲۳۹ق</w:t>
      </w:r>
    </w:p>
    <w:p>
      <w:pPr>
        <w:pStyle w:val="BookText"/>
      </w:pPr>
      <w:r>
        <w:rPr>
          <w:rFonts w:ascii="IRNazanin" w:hAnsi="IRNazanin" w:eastAsia="IRNazanin" w:cs="IRNazanin"/>
          <w:lang w:bidi="fa-IR"/>
          <w:color w:val="111111"/>
          <w:sz w:val="28"/>
          <w:szCs w:val="28"/>
          <w:rtl/>
        </w:rPr>
        <w:t xml:space="preserve">رساله ای در علم کیمیا در یک «مقدمه» و ده «باب» و یک «خاتمه» که آن را از کتاب دیگر خود به نام «اشارات اسـرار  الحكماء فى امارات علم الكيميا» تلخیص نموده است.</w:t>
      </w:r>
    </w:p>
    <w:p>
      <w:pPr>
        <w:pStyle w:val="BookText"/>
      </w:pPr>
      <w:r>
        <w:rPr>
          <w:rFonts w:ascii="IRNazanin" w:hAnsi="IRNazanin" w:eastAsia="IRNazanin" w:cs="IRNazanin"/>
          <w:lang w:bidi="fa-IR"/>
          <w:color w:val="111111"/>
          <w:sz w:val="28"/>
          <w:szCs w:val="28"/>
          <w:rtl/>
        </w:rPr>
        <w:t xml:space="preserve">آغاز: بسمله فيقول الفقير الى رحمة ربه الغنى حسن بن ... اني  لما الفت كتابى الموسوم باشارات اسرار الحكماء فى امارات حکم الكيميا احببت ان اختصره عن تلك الزيادة والتطويل</w:t>
      </w:r>
    </w:p>
    <w:p>
      <w:pPr>
        <w:pStyle w:val="BookText"/>
      </w:pPr>
      <w:r>
        <w:rPr>
          <w:rFonts w:ascii="Amiri" w:hAnsi="Amiri" w:eastAsia="Amiri" w:cs="Amiri"/>
          <w:lang w:bidi="ar-SA"/>
          <w:color w:val="111111"/>
          <w:sz w:val="28"/>
          <w:szCs w:val="28"/>
          <w:rtl/>
        </w:rPr>
        <w:t xml:space="preserve">انجام: فتكون ممن قال الله فيهم يريدون ليطفئوا نور الله بافواهـهم والله متم نوره و لوكره الكافرون و الحمد لله رب العالمين.</w:t>
      </w:r>
    </w:p>
    <w:p>
      <w:pPr>
        <w:pStyle w:val="BookText"/>
      </w:pPr>
      <w:r>
        <w:rPr>
          <w:rFonts w:ascii="IRNazanin" w:hAnsi="IRNazanin" w:eastAsia="IRNazanin" w:cs="IRNazanin"/>
          <w:lang w:bidi="fa-IR"/>
          <w:color w:val="111111"/>
          <w:sz w:val="28"/>
          <w:szCs w:val="28"/>
          <w:rtl/>
        </w:rPr>
        <w:t xml:space="preserve">[دنا 1/ 836 (4نسخه]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مرکز مطالعات؛ شماره نسخه: ۴۷۸/۴</w:t>
      </w:r>
    </w:p>
    <w:p>
      <w:pPr>
        <w:pStyle w:val="BookText"/>
      </w:pPr>
      <w:r>
        <w:rPr>
          <w:rFonts w:ascii="IRNazanin" w:hAnsi="IRNazanin" w:eastAsia="IRNazanin" w:cs="IRNazanin"/>
          <w:lang w:bidi="fa-IR"/>
          <w:color w:val="111111"/>
          <w:sz w:val="28"/>
          <w:szCs w:val="28"/>
          <w:rtl/>
        </w:rPr>
        <w:t xml:space="preserve">آغاز: بسمله الحمد لله الذى فضل بحكمة صنعه كل شيء تفضـلا .. فيقول الفقير الى رحمة الله و به الغنى حسن بن احمد بن مهیا الحسینی؛ انجام: برابر</w:t>
      </w:r>
    </w:p>
    <w:p>
      <w:pPr>
        <w:pStyle w:val="BookText"/>
      </w:pPr>
      <w:r>
        <w:rPr>
          <w:rFonts w:ascii="IRNazanin" w:hAnsi="IRNazanin" w:eastAsia="IRNazanin" w:cs="IRNazanin"/>
          <w:lang w:bidi="fa-IR"/>
          <w:color w:val="111111"/>
          <w:sz w:val="28"/>
          <w:szCs w:val="28"/>
          <w:rtl/>
        </w:rPr>
        <w:t xml:space="preserve">خط: نسخ زیبا، کا: آقا بابا شاه  میرزائی، تا: پنج شنبه ۱۵ جمادی الثاني ۱۲۸۳ق؛ جلد: تیماج قهوه ای، ۴۹گ (98پ-۱۴۶پ)، 15سطر، اندازه: ۱۵</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۲۳سم [ف: ۱ - ۴۰۳]</w:t>
      </w:r>
    </w:p>
    <w:p>
      <w:pPr>
        <w:pStyle w:val="BookText"/>
      </w:pPr>
      <w:r>
        <w:rPr>
          <w:rFonts w:ascii="IRNazanin" w:hAnsi="IRNazanin" w:eastAsia="IRNazanin" w:cs="IRNazanin"/>
          <w:lang w:bidi="fa-IR"/>
          <w:color w:val="111111"/>
          <w:sz w:val="28"/>
          <w:szCs w:val="28"/>
          <w:rtl/>
        </w:rPr>
        <w:t xml:space="preserve">2.تهران؛ ملک؛ شماره نسخه: ۶۲۳۱/۹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شکسته نستعلیق، کا: محمد تقى طبيب نوری مازندرانی ابن محمد نبی، تا: ۷ شعبان ،۱۲۹۳ق، جا: کرمانشاهان ؛کاغذ: فرنگـی ،جلد: میشن قهوه ای، ۲۶گ (۸۹پ -۱۱۴ر)، ۱۷ 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۱۸/۱سم [ف: ۹ - ۲۸۳]</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قم؛ گلپایگانی؛ شماره نسخه: ۵۸۲۵/۲-۲۹/۱۶۵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تحریری، كا: على بن حاج ملا محمد مهر آبادی کاشانی،تا: شنبه ۲۱ ربیع الثانی ۱۳۳۹ق؛ جلد: مقوایی لایی عطف تیماج  مشکی، ۶۴گ، ۱۴ سطر، اندازه: ۱۰</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۱۷سم [ف: ۷ - ۴۱۹۹]</w:t>
      </w:r>
    </w:p>
    <w:p>
      <w:pPr>
        <w:pStyle w:val="BookText"/>
      </w:pPr>
      <w:r>
        <w:rPr>
          <w:rFonts w:ascii="IRNazanin" w:hAnsi="IRNazanin" w:eastAsia="IRNazanin" w:cs="IRNazanin"/>
          <w:lang w:bidi="fa-IR"/>
          <w:color w:val="111111"/>
          <w:sz w:val="28"/>
          <w:szCs w:val="28"/>
          <w:rtl/>
        </w:rPr>
        <w:t xml:space="preserve">۴. تهران؛ مجلس؛ شماره نسخه: ۱۷۲۸۸</w:t>
      </w:r>
    </w:p>
    <w:p>
      <w:pPr>
        <w:pStyle w:val="BookText"/>
      </w:pPr>
      <w:r>
        <w:rPr>
          <w:rFonts w:ascii="IRNazanin" w:hAnsi="IRNazanin" w:eastAsia="IRNazanin" w:cs="IRNazanin"/>
          <w:lang w:bidi="fa-IR"/>
          <w:color w:val="111111"/>
          <w:sz w:val="28"/>
          <w:szCs w:val="28"/>
          <w:rtl/>
        </w:rPr>
        <w:t xml:space="preserve">بی کا، بی تا [دث مجلس]</w:t>
      </w:r>
    </w:p>
    <w:p>
      <w:pPr>
        <w:pStyle w:val="Heading3"/>
      </w:pPr>
      <w:bookmarkStart w:id="1840" w:name="_Toc1362"/>
      <w:r>
        <w:t>الاشارات الاثنى عشرية العلویه / کلام و اعتقادات / فارسی</w:t>
      </w:r>
      <w:bookmarkEnd w:id="1840"/>
    </w:p>
    <w:p>
      <w:pPr>
        <w:pStyle w:val="BookText"/>
      </w:pPr>
      <w:r>
        <w:rPr>
          <w:rFonts w:ascii="Times New Roman" w:hAnsi="Times New Roman" w:eastAsia="Times New Roman" w:cs="Times New Roman"/>
          <w:lang w:val="en-US" w:bidi="en-US"/>
          <w:color w:val="111111"/>
          <w:sz w:val="28"/>
          <w:szCs w:val="28"/>
          <w:rtl/>
        </w:rPr>
        <w:t xml:space="preserve">al-ešārāt-ol esnā ‘ašarīyyat-el ‘alavīyya</w:t>
      </w:r>
    </w:p>
    <w:p>
      <w:pPr>
        <w:pStyle w:val="BookText"/>
      </w:pPr>
      <w:r>
        <w:rPr>
          <w:rFonts w:ascii="IRNazanin" w:hAnsi="IRNazanin" w:eastAsia="IRNazanin" w:cs="IRNazanin"/>
          <w:lang w:bidi="fa-IR"/>
          <w:color w:val="111111"/>
          <w:sz w:val="28"/>
          <w:szCs w:val="28"/>
          <w:rtl/>
        </w:rPr>
        <w:t xml:space="preserve">اردبیلی، ابراهیم بن حسین</w:t>
      </w:r>
    </w:p>
    <w:p>
      <w:pPr>
        <w:pStyle w:val="BookText"/>
      </w:pPr>
      <w:r>
        <w:rPr>
          <w:rFonts w:ascii="Times New Roman" w:hAnsi="Times New Roman" w:eastAsia="Times New Roman" w:cs="Times New Roman"/>
          <w:lang w:val="en-US" w:bidi="en-US"/>
          <w:color w:val="111111"/>
          <w:sz w:val="28"/>
          <w:szCs w:val="28"/>
          <w:rtl/>
        </w:rPr>
        <w:t xml:space="preserve">ardabīlī, ebrāhīm ebn-e hoseyn</w:t>
      </w:r>
    </w:p>
    <w:p>
      <w:pPr>
        <w:pStyle w:val="BookText"/>
      </w:pPr>
      <w:r>
        <w:rPr>
          <w:rFonts w:ascii="IRNazanin" w:hAnsi="IRNazanin" w:eastAsia="IRNazanin" w:cs="IRNazanin"/>
          <w:lang w:bidi="fa-IR"/>
          <w:color w:val="111111"/>
          <w:sz w:val="28"/>
          <w:szCs w:val="28"/>
          <w:rtl/>
        </w:rPr>
        <w:t xml:space="preserve">تهران؛ مجلس؛ شماره نسخه: ۱۷۰۰۰ ض</w:t>
      </w:r>
    </w:p>
    <w:p>
      <w:pPr>
        <w:pStyle w:val="BookText"/>
      </w:pPr>
      <w:r>
        <w:rPr>
          <w:rFonts w:ascii="IRNazanin" w:hAnsi="IRNazanin" w:eastAsia="IRNazanin" w:cs="IRNazanin"/>
          <w:lang w:bidi="fa-IR"/>
          <w:color w:val="111111"/>
          <w:sz w:val="28"/>
          <w:szCs w:val="28"/>
          <w:rtl/>
        </w:rPr>
        <w:t xml:space="preserve">آغاز: صورت یا حاجب عین اسم مبارک علی است كما ترا [بالای نام علی با ظرافت تصویر دو چشم و دو ابرو با همان مرکب کشیده شده است]؛ انجام: عین به شکل چشم اشاره است باینکه اطوار سبعه قلبیه در سبع المثانى عين على است، چنانچه طبقات سبعه در چشم ودیعه است. حرره ابراهیم.</w:t>
      </w:r>
    </w:p>
    <w:p>
      <w:pPr>
        <w:pStyle w:val="BookText"/>
      </w:pPr>
      <w:r>
        <w:rPr>
          <w:rFonts w:ascii="IRNazanin" w:hAnsi="IRNazanin" w:eastAsia="IRNazanin" w:cs="IRNazanin"/>
          <w:lang w:bidi="fa-IR"/>
          <w:color w:val="111111"/>
          <w:sz w:val="28"/>
          <w:szCs w:val="28"/>
          <w:rtl/>
        </w:rPr>
        <w:t xml:space="preserve">خط: نسخ و نستعلیق، كاتب = مؤلف ،تا: ۱۳۱۵-۱۳۲۲ق، جلد: چرم قهوه ای ۳ ص ،(۲۲-۲۴)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۴۷ -]</w:t>
      </w:r>
    </w:p>
    <w:p>
      <w:pPr>
        <w:pStyle w:val="Heading3"/>
      </w:pPr>
      <w:bookmarkStart w:id="1841" w:name="_Toc1363"/>
      <w:r>
        <w:t>اشارات الاصول / اصول فقه / عربی</w:t>
      </w:r>
      <w:bookmarkEnd w:id="1841"/>
    </w:p>
    <w:p>
      <w:pPr>
        <w:pStyle w:val="BookText"/>
      </w:pPr>
      <w:r>
        <w:rPr>
          <w:rFonts w:ascii="Times New Roman" w:hAnsi="Times New Roman" w:eastAsia="Times New Roman" w:cs="Times New Roman"/>
          <w:lang w:val="en-US" w:bidi="en-US"/>
          <w:color w:val="111111"/>
          <w:sz w:val="28"/>
          <w:szCs w:val="28"/>
          <w:rtl/>
        </w:rPr>
        <w:t xml:space="preserve">išārāt-ul-uṣūl</w:t>
      </w:r>
    </w:p>
    <w:p>
      <w:pPr>
        <w:pStyle w:val="BookText"/>
      </w:pPr>
      <w:r>
        <w:rPr>
          <w:rFonts w:ascii="IRNazanin" w:hAnsi="IRNazanin" w:eastAsia="IRNazanin" w:cs="IRNazanin"/>
          <w:lang w:bidi="fa-IR"/>
          <w:color w:val="111111"/>
          <w:sz w:val="28"/>
          <w:szCs w:val="28"/>
          <w:rtl/>
        </w:rPr>
        <w:t xml:space="preserve">کرباسی، محمد ابراهيم بن  محمد حسن  1780؟- 1262؟ قمری</w:t>
      </w:r>
    </w:p>
    <w:p>
      <w:pPr>
        <w:pStyle w:val="BookText"/>
      </w:pPr>
      <w:r>
        <w:rPr>
          <w:rFonts w:ascii="Times New Roman" w:hAnsi="Times New Roman" w:eastAsia="Times New Roman" w:cs="Times New Roman"/>
          <w:lang w:val="en-US" w:bidi="en-US"/>
          <w:color w:val="111111"/>
          <w:sz w:val="28"/>
          <w:szCs w:val="28"/>
          <w:rtl/>
        </w:rPr>
        <w:t xml:space="preserve">karbāsī, mohammad ebrāhīm ebn-e mohammad hasan</w:t>
      </w:r>
    </w:p>
    <w:p>
      <w:pPr>
        <w:pStyle w:val="BookText"/>
      </w:pPr>
      <w:r>
        <w:rPr>
          <w:rFonts w:ascii="Times New Roman" w:hAnsi="Times New Roman" w:eastAsia="Times New Roman" w:cs="Times New Roman"/>
          <w:lang w:val="en-US" w:bidi="en-US"/>
          <w:color w:val="111111"/>
          <w:sz w:val="28"/>
          <w:szCs w:val="28"/>
          <w:rtl/>
        </w:rPr>
        <w:t xml:space="preserve">(1767 - 1846)</w:t>
      </w:r>
    </w:p>
    <w:p>
      <w:pPr>
        <w:pStyle w:val="BookText"/>
      </w:pPr>
      <w:r>
        <w:rPr>
          <w:rFonts w:ascii="IRNazanin" w:hAnsi="IRNazanin" w:eastAsia="IRNazanin" w:cs="IRNazanin"/>
          <w:lang w:bidi="fa-IR"/>
          <w:color w:val="111111"/>
          <w:sz w:val="28"/>
          <w:szCs w:val="28"/>
          <w:rtl/>
        </w:rPr>
        <w:t xml:space="preserve">تاریخ تأليف:محرم ۱۲۵۳ق</w:t>
      </w:r>
    </w:p>
    <w:p>
      <w:pPr>
        <w:pStyle w:val="BookText"/>
      </w:pPr>
      <w:r>
        <w:rPr>
          <w:rFonts w:ascii="IRNazanin" w:hAnsi="IRNazanin" w:eastAsia="IRNazanin" w:cs="IRNazanin"/>
          <w:lang w:bidi="fa-IR"/>
          <w:color w:val="111111"/>
          <w:sz w:val="28"/>
          <w:szCs w:val="28"/>
          <w:rtl/>
        </w:rPr>
        <w:t xml:space="preserve">از جمله کتب مفصله و کامل این فن است که تألیف آن بیش از ۲۰ سال به طول انجامیده است، در دو جلد و کلاً دارای یک«مقدمه» ۱۰ «منهج» و «خاتمه» است :المقدمه فى حد العلم و موضوعه و غایته و الحكم و ما يتعلق به (شامل دو اشارة)؛ منهج  ١. مهمات مباحث الالفاظ و فيه مطالب: ۱) الحقيقة و المجار، ۲) المشترك ،3) المشتق؛ ۴) ما به يثبت اللغات؛ منهج ١. الامر (شامل ۲۰ اشاره) منهج 3. النهى (در پنج اشاره) ۴. العام و الخاص و فيه مطالب .۵. المطلق والمقيد وفيه مقدمه و اشاراة؛ ۶. المجمل و المبين وفيه مطلبان؛ ۷. الظاهر و الماول ؛ ۸. المفهوم و المنطوق؛ ٩. النسخ ؛ ۱۰ . الادلة الشريعة (كذا) [و العقليه] و فيه . مطالب؛ ۱۱. التعارض و التعادل و الترجيح و فيه مطالب؛ ١٢. الاجتهاد والتقليد وفيه مطلبان؛ خاتمة فى الوصايا النافعه». آن را در خاتمه چنین توصیف نموده است: «و عليكم بكثرة النظر و الفحص و البحث عن مبانيه و التعمق و التدبر في ماخذه فانه كنز اودع فيه نقود الحقائق و فرآئد درر الدقائق و معادن جواهر اللطائف مما لا يوجد فى غيره من السوالف» تا آنجا که گفته: «و قد اشتمل على ما لا يشتمل عليه الكتب و الاسفار من دون حشو و لانقصان و لا ايجاز مخل و لا اطناب ممل» و در آنجا آورده که در سن پنجاه سالگی شروع به تألیف این کتاب نموده و در سن متجاوز بر هفتاد سالگی از تألیف این کتاب فراغت یافته است. مؤلف سلسله اجازات و مشایخ خویش را در آخر بحث حجیت اخبار در جلد دوم در ذیل بحث «انحاء تحمل الحديث» آورده که عبارتند از: ۱. میرزای قمی صاحب قوانین؛ ۲. شیخ جعفر کاشف الغطاء، ٣ .سید علی طباطبائی صاحب ریاض، ۴. شیخ عبدعلی بن محمد بن عبدالله بن حسين البحرانی، ۵. شیخ احمد  احسائی</w:t>
      </w:r>
    </w:p>
    <w:p>
      <w:pPr>
        <w:pStyle w:val="BookText"/>
      </w:pPr>
      <w:r>
        <w:rPr>
          <w:rFonts w:ascii="Amiri" w:hAnsi="Amiri" w:eastAsia="Amiri" w:cs="Amiri"/>
          <w:lang w:bidi="ar-SA"/>
          <w:color w:val="111111"/>
          <w:sz w:val="28"/>
          <w:szCs w:val="28"/>
          <w:rtl/>
        </w:rPr>
        <w:t xml:space="preserve">آغاز: الحمد لله الذي مهد لنا قواعد الدين وجعلها ذريعة لمعارج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الحق المبين</w:t>
      </w:r>
    </w:p>
    <w:p>
      <w:pPr>
        <w:pStyle w:val="BookText"/>
      </w:pPr>
      <w:r>
        <w:rPr>
          <w:rFonts w:ascii="Amiri" w:hAnsi="Amiri" w:eastAsia="Amiri" w:cs="Amiri"/>
          <w:lang w:bidi="ar-SA"/>
          <w:color w:val="111111"/>
          <w:sz w:val="28"/>
          <w:szCs w:val="28"/>
          <w:rtl/>
        </w:rPr>
        <w:t xml:space="preserve">انجام: و لا سيما اذا انقطع يدى عن اسباب وصلات الدنيا بل  عن التوبة و ابتلى بعملى ... و الصلوة على صادع الشريعة البيضاء صـلوة لا انقطاع لها الى يوم القيام و آله الطاهرين من الابد الابدين تمـت</w:t>
      </w:r>
    </w:p>
    <w:p>
      <w:pPr>
        <w:pStyle w:val="BookText"/>
      </w:pPr>
      <w:r>
        <w:rPr>
          <w:rFonts w:ascii="IRNazanin" w:hAnsi="IRNazanin" w:eastAsia="IRNazanin" w:cs="IRNazanin"/>
          <w:lang w:bidi="fa-IR"/>
          <w:color w:val="111111"/>
          <w:sz w:val="28"/>
          <w:szCs w:val="28"/>
          <w:rtl/>
        </w:rPr>
        <w:t xml:space="preserve">چاپ ،تهران، ۱۲۴۵ق</w:t>
      </w:r>
    </w:p>
    <w:p>
      <w:pPr>
        <w:pStyle w:val="BookText"/>
      </w:pPr>
      <w:r>
        <w:rPr>
          <w:rFonts w:ascii="Amiri" w:hAnsi="Amiri" w:eastAsia="Amiri" w:cs="Amiri"/>
          <w:lang w:bidi="ar-SA"/>
          <w:color w:val="111111"/>
          <w:sz w:val="28"/>
          <w:szCs w:val="28"/>
          <w:rtl/>
        </w:rPr>
        <w:t xml:space="preserve">[دنا ۸۳۶/۱ (۶۱) نسخه)؛ الذريعة ۹۷/۲ و ۹۸ مكتبة امير المومنين (۱۱۳/۱]</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IRNazanin" w:hAnsi="IRNazanin" w:eastAsia="IRNazanin" w:cs="IRNazanin"/>
          <w:lang w:bidi="fa-IR"/>
          <w:color w:val="111111"/>
          <w:sz w:val="28"/>
          <w:szCs w:val="28"/>
          <w:rtl/>
        </w:rPr>
        <w:t xml:space="preserve">۱- البشارات فى شرح الاشارات؛ کلباسی ابوالمعالی بن محمد ابراهـیم (۱۳۱۵-۱۲۴۷)</w:t>
      </w:r>
    </w:p>
    <w:p>
      <w:pPr>
        <w:pStyle w:val="BookText"/>
      </w:pPr>
      <w:r>
        <w:rPr>
          <w:rFonts w:ascii="IRNazanin" w:hAnsi="IRNazanin" w:eastAsia="IRNazanin" w:cs="IRNazanin"/>
          <w:lang w:bidi="fa-IR"/>
          <w:color w:val="111111"/>
          <w:sz w:val="28"/>
          <w:szCs w:val="28"/>
          <w:rtl/>
        </w:rPr>
        <w:t xml:space="preserve">۱. تهران؛ مجلس؛ شماره نسخه: ۸۴۴۱</w:t>
      </w:r>
    </w:p>
    <w:p>
      <w:pPr>
        <w:pStyle w:val="BookText"/>
      </w:pPr>
      <w:r>
        <w:rPr>
          <w:rFonts w:ascii="IRNazanin" w:hAnsi="IRNazanin" w:eastAsia="IRNazanin" w:cs="IRNazanin"/>
          <w:lang w:bidi="fa-IR"/>
          <w:color w:val="111111"/>
          <w:sz w:val="28"/>
          <w:szCs w:val="28"/>
          <w:rtl/>
        </w:rPr>
        <w:t xml:space="preserve">جلد دوم؛ خط: نستعليق، كاتب = مؤلف، تا:  محرم  1253؛مصحح توسط مؤلف؛ جلد: تیماج  مشکی، دورو وعطف ترمیم شده، ۱۹۳گ، مختلف السطر،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۲۲سم[ف: ۲۸ - ۴۳]</w:t>
      </w:r>
    </w:p>
    <w:p>
      <w:pPr>
        <w:pStyle w:val="BookText"/>
      </w:pPr>
      <w:r>
        <w:rPr>
          <w:rFonts w:ascii="IRNazanin" w:hAnsi="IRNazanin" w:eastAsia="IRNazanin" w:cs="IRNazanin"/>
          <w:lang w:bidi="fa-IR"/>
          <w:color w:val="111111"/>
          <w:sz w:val="28"/>
          <w:szCs w:val="28"/>
          <w:rtl/>
        </w:rPr>
        <w:t xml:space="preserve">۲ . اصفهان؛ مدرسه صدر بازار؛ شماره نسخه: ۲۶۸</w:t>
      </w:r>
    </w:p>
    <w:p>
      <w:pPr>
        <w:pStyle w:val="BookText"/>
      </w:pPr>
      <w:r>
        <w:rPr>
          <w:rFonts w:ascii="Amiri" w:hAnsi="Amiri" w:eastAsia="Amiri" w:cs="Amiri"/>
          <w:lang w:bidi="ar-SA"/>
          <w:color w:val="111111"/>
          <w:sz w:val="28"/>
          <w:szCs w:val="28"/>
          <w:rtl/>
        </w:rPr>
        <w:t xml:space="preserve">انجام: و الاعتذار عن الثانى استحالة الكذب في الكلام النفسى مع ظهور تطرق المنع فيه لاستلزام جوازه في اللفظى جوازه فيه و الا لم يكن احدهما مرآتا للآخر.</w:t>
      </w:r>
    </w:p>
    <w:p>
      <w:pPr>
        <w:pStyle w:val="BookText"/>
      </w:pPr>
      <w:r>
        <w:rPr>
          <w:rFonts w:ascii="IRNazanin" w:hAnsi="IRNazanin" w:eastAsia="IRNazanin" w:cs="IRNazanin"/>
          <w:lang w:bidi="fa-IR"/>
          <w:color w:val="111111"/>
          <w:sz w:val="28"/>
          <w:szCs w:val="28"/>
          <w:rtl/>
        </w:rPr>
        <w:t xml:space="preserve">جلد دوم؛ خط: نسخ، بی کا، تا: قرن ۱۱ [در فهرست چنین که نادرست است و درست آن ۱۳ است] (در عصر مؤلف)؛ افتادگـی: انجام؛ مصحح با اضافات در حاشیه، جلد: تیماج  قرمز، ۲۰۵  گ، ۲۰ سطر،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 – ۱۸۹]</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اصفهان؛ دانشگاه اصفهان؛ شماره نسخه: ۵۱۹</w:t>
      </w:r>
    </w:p>
    <w:p>
      <w:pPr>
        <w:pStyle w:val="BookText"/>
      </w:pPr>
      <w:r>
        <w:rPr>
          <w:rFonts w:ascii="IRNazanin" w:hAnsi="IRNazanin" w:eastAsia="IRNazanin" w:cs="IRNazanin"/>
          <w:lang w:bidi="fa-IR"/>
          <w:color w:val="111111"/>
          <w:sz w:val="28"/>
          <w:szCs w:val="28"/>
          <w:rtl/>
        </w:rPr>
        <w:t xml:space="preserve">جلد دوم؛ خط: نسخ، کا: محمد صادق بن محمد تقی ورنوسفادرانی، تا: ۱۸ جمادی الثانی ۱۰۹۵ق [ تاریخ نادرست است ] ؛کاغذ: فرنگی [نشریه: ۱۱ - ۸۸۲]</w:t>
      </w:r>
    </w:p>
    <w:p>
      <w:pPr>
        <w:pStyle w:val="BookText"/>
      </w:pPr>
      <w:r>
        <w:rPr>
          <w:rFonts w:ascii="IRNazanin" w:hAnsi="IRNazanin" w:eastAsia="IRNazanin" w:cs="IRNazanin"/>
          <w:lang w:bidi="fa-IR"/>
          <w:color w:val="111111"/>
          <w:sz w:val="28"/>
          <w:szCs w:val="28"/>
          <w:rtl/>
        </w:rPr>
        <w:t xml:space="preserve">۴. قم؛ گلپایگانی؛ شماره نسخه: ۳۰۰۰-۱۶/۱۰</w:t>
      </w:r>
    </w:p>
    <w:p>
      <w:pPr>
        <w:pStyle w:val="BookText"/>
      </w:pPr>
      <w:r>
        <w:rPr>
          <w:rFonts w:ascii="IRNazanin" w:hAnsi="IRNazanin" w:eastAsia="IRNazanin" w:cs="IRNazanin"/>
          <w:lang w:bidi="fa-IR"/>
          <w:color w:val="111111"/>
          <w:sz w:val="28"/>
          <w:szCs w:val="28"/>
          <w:rtl/>
        </w:rPr>
        <w:t xml:space="preserve">آغاز: المنهج العاشر فى الادلة الشرعية وفيه مطالب مقدمة تشتـمل على امور الاول الدليل لغة بمعنى الفاعل وعند الفقهاء كما  فی النهاية و فيه نظر؛ انجام: خاتمة فى الوصايا النافعة للمتعلمين و غيرهم ... وان الملائكة لتضع اجنحتها لطالب العلم رضى به وانه استغفر لطالب العلم من فى السموات و من في الارض  الحوت.</w:t>
      </w:r>
    </w:p>
    <w:p>
      <w:pPr>
        <w:pStyle w:val="BookText"/>
      </w:pPr>
      <w:r>
        <w:rPr>
          <w:rFonts w:ascii="IRNazanin" w:hAnsi="IRNazanin" w:eastAsia="IRNazanin" w:cs="IRNazanin"/>
          <w:lang w:bidi="fa-IR"/>
          <w:color w:val="111111"/>
          <w:sz w:val="28"/>
          <w:szCs w:val="28"/>
          <w:rtl/>
        </w:rPr>
        <w:t xml:space="preserve">از المنهج العاشر تا پایان کتاب (جلد دوم)؛ خط: نسخ، بی کا،تا: قرن ۱۳؛ افتادگی: انجام ؛جلد: مقوا، عطف و گوشه بالاتیماج ،مشکی، ۱۷۱گ، ۳۱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۳۵سم [ف: ۱ - ۳۶۶]</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قم؛ گلپایگانی؛ شماره نسخه: ۴۵۶۶-۲۳/۸۶</w:t>
      </w:r>
    </w:p>
    <w:p>
      <w:pPr>
        <w:pStyle w:val="BookText"/>
      </w:pPr>
      <w:r>
        <w:rPr>
          <w:rFonts w:ascii="IRNazanin" w:hAnsi="IRNazanin" w:eastAsia="IRNazanin" w:cs="IRNazanin"/>
          <w:lang w:bidi="fa-IR"/>
          <w:color w:val="111111"/>
          <w:sz w:val="28"/>
          <w:szCs w:val="28"/>
          <w:rtl/>
        </w:rPr>
        <w:t xml:space="preserve">آغاز: لاریبولا اشكال فى ان المقصود بالذات من خلقة العباد هو حصول القرب الى الله تعالى باتيانهم مرضيات الشارع وكفهم عن مبغوضاته وهو موقوف؛ انجام: المقام الخامس فى الظن من حـیث الكيفية من انه فيما ثبت... و بعضها محل الشك خلاف  فیه  ولكن الحق لزوم الفحص حتى يثبت الدليل على العدم وذلـک للاصل. تم الكلام في حجية المظنة تمت.</w:t>
      </w:r>
    </w:p>
    <w:p>
      <w:pPr>
        <w:pStyle w:val="BookText"/>
      </w:pPr>
      <w:r>
        <w:rPr>
          <w:rFonts w:ascii="IRNazanin" w:hAnsi="IRNazanin" w:eastAsia="IRNazanin" w:cs="IRNazanin"/>
          <w:lang w:bidi="fa-IR"/>
          <w:color w:val="111111"/>
          <w:sz w:val="28"/>
          <w:szCs w:val="28"/>
          <w:rtl/>
        </w:rPr>
        <w:t xml:space="preserve">جلد دوم؛ خط: نسخ، بی کا، تا: قرن ۱۳؛ جلد: تیماج مشکی ضربی مجدول گرهی با ترنج و سرترنج، ۱۷۲گ، ۲۲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 - ۳۶۵]</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مشهد؛ رضوی؛ شماره نسخه: ۹۰۳۳</w:t>
      </w:r>
    </w:p>
    <w:p>
      <w:pPr>
        <w:pStyle w:val="BookText"/>
      </w:pPr>
      <w:r>
        <w:rPr>
          <w:rFonts w:ascii="Amiri" w:hAnsi="Amiri" w:eastAsia="Amiri" w:cs="Amiri"/>
          <w:lang w:bidi="ar-SA"/>
          <w:color w:val="111111"/>
          <w:sz w:val="28"/>
          <w:szCs w:val="28"/>
          <w:rtl/>
        </w:rPr>
        <w:t xml:space="preserve">آغاز: برابر؛ انجام: ينبغي ان يكون النزاع في الامر الوضعي اللغوى كما يبين من الامدى.</w:t>
      </w:r>
    </w:p>
    <w:p>
      <w:pPr>
        <w:pStyle w:val="BookText"/>
      </w:pPr>
      <w:r>
        <w:rPr>
          <w:rFonts w:ascii="IRNazanin" w:hAnsi="IRNazanin" w:eastAsia="IRNazanin" w:cs="IRNazanin"/>
          <w:lang w:bidi="fa-IR"/>
          <w:color w:val="111111"/>
          <w:sz w:val="28"/>
          <w:szCs w:val="28"/>
          <w:rtl/>
        </w:rPr>
        <w:t xml:space="preserve">جلد ۱، تا آخر منهج هشتم (مفهوم منطوق)؛ خط: نسخ، بی کا، تا: قرن ۱۳؛ افتادگی: انجام (چند برگ آخر نسخه)؛ واقف: حاج شیخ مرتضی امامی تلارمی تیر ۱۳۴۱؛ کاغذ: فرنگی آهاری شکری، جلد: مقوا عطف و گوشه ها تیماج دارچینی، 232گ، 23سطر،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۲۹سم [ف: ۱۶ - ۱۸]</w:t>
      </w:r>
    </w:p>
    <w:p>
      <w:pPr>
        <w:pStyle w:val="BookText"/>
      </w:pPr>
      <w:r>
        <w:rPr>
          <w:rFonts w:ascii="IRNazanin" w:hAnsi="IRNazanin" w:eastAsia="IRNazanin" w:cs="IRNazanin"/>
          <w:lang w:bidi="fa-IR"/>
          <w:color w:val="111111"/>
          <w:sz w:val="28"/>
          <w:szCs w:val="28"/>
          <w:rtl/>
        </w:rPr>
        <w:t xml:space="preserve">۷. مشهد؛ رضوی؛ شماره نسخه: ۲۶۸۶۹</w:t>
      </w:r>
    </w:p>
    <w:p>
      <w:pPr>
        <w:pStyle w:val="BookText"/>
      </w:pPr>
      <w:r>
        <w:rPr>
          <w:rFonts w:ascii="IRNazanin" w:hAnsi="IRNazanin" w:eastAsia="IRNazanin" w:cs="IRNazanin"/>
          <w:lang w:bidi="fa-IR"/>
          <w:color w:val="111111"/>
          <w:sz w:val="28"/>
          <w:szCs w:val="28"/>
          <w:rtl/>
        </w:rPr>
        <w:t xml:space="preserve">آغاز:المستفى مع ما فيه ايض تمالا؛ انجام: و اريد المشبه به اعنی اسبع فا الاستتعادة</w:t>
      </w:r>
    </w:p>
    <w:p>
      <w:pPr>
        <w:pStyle w:val="BookText"/>
      </w:pPr>
      <w:r>
        <w:rPr>
          <w:rFonts w:ascii="IRNazanin" w:hAnsi="IRNazanin" w:eastAsia="IRNazanin" w:cs="IRNazanin"/>
          <w:lang w:bidi="fa-IR"/>
          <w:color w:val="111111"/>
          <w:sz w:val="28"/>
          <w:szCs w:val="28"/>
          <w:rtl/>
        </w:rPr>
        <w:t xml:space="preserve">خط: نسخ، بی کا، تا: قرن ۱۳؛ افتادگی: آغاز و انجام[رایانه]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تهران؛ مجلس؛ شماره نسخه: ۱۶۰۲۸</w:t>
      </w:r>
    </w:p>
    <w:p>
      <w:pPr>
        <w:pStyle w:val="BookText"/>
      </w:pPr>
      <w:r>
        <w:rPr>
          <w:rFonts w:ascii="Amiri" w:hAnsi="Amiri" w:eastAsia="Amiri" w:cs="Amiri"/>
          <w:lang w:bidi="ar-SA"/>
          <w:color w:val="111111"/>
          <w:sz w:val="28"/>
          <w:szCs w:val="28"/>
          <w:rtl/>
        </w:rPr>
        <w:t xml:space="preserve">آغاز: بسمله المنهج العاشر فى الأدلة الشرعية و فيه مطالب مقدمة تشمل على أمور الأول الدليل لغة فعيل بمعنى الفاعل؛ انجام: برابر</w:t>
      </w:r>
    </w:p>
    <w:p>
      <w:pPr>
        <w:pStyle w:val="BookText"/>
      </w:pPr>
      <w:r>
        <w:rPr>
          <w:rFonts w:ascii="IRNazanin" w:hAnsi="IRNazanin" w:eastAsia="IRNazanin" w:cs="IRNazanin"/>
          <w:lang w:bidi="fa-IR"/>
          <w:color w:val="111111"/>
          <w:sz w:val="28"/>
          <w:szCs w:val="28"/>
          <w:rtl/>
        </w:rPr>
        <w:t xml:space="preserve">جلد دوم؛ خط: نسخ، بی کا، تا: قرن ۱۳؛ رکابه دار؛ در اول نسخه یادداشتی از محمود بن اسدالله که نسخه را از آن برادرش آقا میرزا ابوالحسن دانسته؛ مهر: «ابن حسین الحسینی رضا»؛ جلد: تیماج روغنی مشکی با ترنج و سرترنج زرین، ۲۳۲گ، ۲۷ سطر، اندازه: ۲۰/۵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۳۰سم [ف ۴۴ - ۲۰۶]</w:t>
      </w:r>
    </w:p>
    <w:p>
      <w:pPr>
        <w:pStyle w:val="BookText"/>
      </w:pPr>
      <w:r>
        <w:rPr>
          <w:rFonts w:ascii="IRNazanin" w:hAnsi="IRNazanin" w:eastAsia="IRNazanin" w:cs="IRNazanin"/>
          <w:lang w:bidi="fa-IR"/>
          <w:color w:val="111111"/>
          <w:sz w:val="28"/>
          <w:szCs w:val="28"/>
          <w:rtl/>
        </w:rPr>
        <w:t xml:space="preserve">9.تهران؛ مجلس؛ شماره نسخه: ۱۶۳۲۸</w:t>
      </w:r>
    </w:p>
    <w:p>
      <w:pPr>
        <w:pStyle w:val="BookText"/>
      </w:pPr>
      <w:r>
        <w:rPr>
          <w:rFonts w:ascii="IRNazanin" w:hAnsi="IRNazanin" w:eastAsia="IRNazanin" w:cs="IRNazanin"/>
          <w:lang w:bidi="fa-IR"/>
          <w:color w:val="111111"/>
          <w:sz w:val="28"/>
          <w:szCs w:val="28"/>
          <w:rtl/>
        </w:rPr>
        <w:t xml:space="preserve">بی کا، تا: قرن ۱۳؛ قطع: وزیری کوچک [د.ث. مجلس]</w:t>
      </w:r>
    </w:p>
    <w:p>
      <w:pPr>
        <w:pStyle w:val="BookText"/>
      </w:pPr>
      <w:r>
        <w:rPr>
          <w:rFonts w:ascii="IRNazanin" w:hAnsi="IRNazanin" w:eastAsia="IRNazanin" w:cs="IRNazanin"/>
          <w:lang w:bidi="fa-IR"/>
          <w:color w:val="111111"/>
          <w:sz w:val="28"/>
          <w:szCs w:val="28"/>
          <w:rtl/>
        </w:rPr>
        <w:t xml:space="preserve">۱۰. قم؛ مرکز احیاء؛ شماره نسخه: ۲۱۶۱</w:t>
      </w:r>
    </w:p>
    <w:p>
      <w:pPr>
        <w:pStyle w:val="BookText"/>
      </w:pPr>
      <w:r>
        <w:rPr>
          <w:rFonts w:ascii="IRNazanin" w:hAnsi="IRNazanin" w:eastAsia="IRNazanin" w:cs="IRNazanin"/>
          <w:lang w:bidi="fa-IR"/>
          <w:color w:val="111111"/>
          <w:sz w:val="28"/>
          <w:szCs w:val="28"/>
          <w:rtl/>
        </w:rPr>
        <w:t xml:space="preserve">آغاز: برابر؛ انجام: فقد انکره سیبویه و اثبته صحيح زرارة عن الباقر عليه السلام حيث سأله</w:t>
      </w:r>
    </w:p>
    <w:p>
      <w:pPr>
        <w:pStyle w:val="BookText"/>
      </w:pPr>
      <w:r>
        <w:rPr>
          <w:rFonts w:ascii="IRNazanin" w:hAnsi="IRNazanin" w:eastAsia="IRNazanin" w:cs="IRNazanin"/>
          <w:lang w:bidi="fa-IR"/>
          <w:color w:val="111111"/>
          <w:sz w:val="28"/>
          <w:szCs w:val="28"/>
          <w:rtl/>
        </w:rPr>
        <w:t xml:space="preserve">جلد اول؛ خط: نستعلیق،بی کا، تا: قرن ۱۳؛ افتادگی: انجام؛ مصحح، محشی با نشان «منه دام ظله»؛ جلد: تیماج دورو، رو قرمز، پشت  مشکی، ۱۵۲گ، ۱۱ سطر ،اندازه: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۱۵/۵سم [محدث ارموی مخ: ۱ - ۱۳۴]  ۱۱. اصفهان؛ مدرسه صدر بازار؛ شماره نسخه: ۶۰۸</w:t>
      </w:r>
    </w:p>
    <w:p>
      <w:pPr>
        <w:pStyle w:val="BookText"/>
      </w:pPr>
      <w:r>
        <w:rPr>
          <w:rFonts w:ascii="IRNazanin" w:hAnsi="IRNazanin" w:eastAsia="IRNazanin" w:cs="IRNazanin"/>
          <w:lang w:bidi="fa-IR"/>
          <w:color w:val="111111"/>
          <w:sz w:val="28"/>
          <w:szCs w:val="28"/>
          <w:rtl/>
        </w:rPr>
        <w:t xml:space="preserve">جلد اول؛ خط: نسخ، بی کا، تا: قرن ۱۳؛ مجدول، مصحح، دارای علامت  بلاغ ،روی برگ اول وقفنامه کتاب از حاج محمد ابراهیم مؤلف کتاب به سال ۱۲۴۴؛ جلد: تیماج دو رو قهوه ای، ضربی، ۲۸۵گ، ۲۵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۳۰سم [ف: ۲ - ۴۴۳]</w:t>
      </w:r>
    </w:p>
    <w:p>
      <w:pPr>
        <w:pStyle w:val="BookText"/>
      </w:pPr>
      <w:r>
        <w:rPr>
          <w:rFonts w:ascii="IRNazanin" w:hAnsi="IRNazanin" w:eastAsia="IRNazanin" w:cs="IRNazanin"/>
          <w:lang w:bidi="fa-IR"/>
          <w:color w:val="111111"/>
          <w:sz w:val="28"/>
          <w:szCs w:val="28"/>
          <w:rtl/>
        </w:rPr>
        <w:t xml:space="preserve">۱۲. تهران؛ مدرسه معمار باشی؛ شماره نسخه: ۵۸</w:t>
      </w:r>
    </w:p>
    <w:p>
      <w:pPr>
        <w:pStyle w:val="BookText"/>
      </w:pPr>
      <w:r>
        <w:rPr>
          <w:rFonts w:ascii="Amiri" w:hAnsi="Amiri" w:eastAsia="Amiri" w:cs="Amiri"/>
          <w:lang w:bidi="ar-SA"/>
          <w:color w:val="111111"/>
          <w:sz w:val="28"/>
          <w:szCs w:val="28"/>
          <w:rtl/>
        </w:rPr>
        <w:t xml:space="preserve">آغاز: اشارة اذا لم يدرك العقل حسن فعل او قبحه لكن يدرك فيه منفعة خالية عن امارة المفسدة؛ انجام: عدم الضبط و المعرفة فى راوى المعنى كما شرطه الشيخ و هو منه عجيب.</w:t>
      </w:r>
    </w:p>
    <w:p>
      <w:pPr>
        <w:pStyle w:val="BookText"/>
      </w:pPr>
      <w:r>
        <w:rPr>
          <w:rFonts w:ascii="IRNazanin" w:hAnsi="IRNazanin" w:eastAsia="IRNazanin" w:cs="IRNazanin"/>
          <w:lang w:bidi="fa-IR"/>
          <w:color w:val="111111"/>
          <w:sz w:val="28"/>
          <w:szCs w:val="28"/>
          <w:rtl/>
        </w:rPr>
        <w:t xml:space="preserve">خط: نستعلیق، بی کا، تا: قرن ۱۳؛ افتادگی: آغاز و انجام؛ مصحح ،دارای بلاغ ؛جلد: تیماج قهوه ای، جدول دار، ۱۲۲گ، ۱۵ سطر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 ۶۳]</w:t>
      </w:r>
    </w:p>
    <w:p>
      <w:pPr>
        <w:pStyle w:val="BookText"/>
      </w:pPr>
      <w:r>
        <w:rPr>
          <w:rFonts w:ascii="IRNazanin" w:hAnsi="IRNazanin" w:eastAsia="IRNazanin" w:cs="IRNazanin"/>
          <w:lang w:bidi="fa-IR"/>
          <w:color w:val="111111"/>
          <w:sz w:val="28"/>
          <w:szCs w:val="28"/>
          <w:rtl/>
        </w:rPr>
        <w:t xml:space="preserve">۱۳. مشهد؛ حیدری؛ شماره نسخه: ۱۶</w:t>
      </w:r>
    </w:p>
    <w:p>
      <w:pPr>
        <w:pStyle w:val="BookText"/>
      </w:pPr>
      <w:r>
        <w:rPr>
          <w:rFonts w:ascii="IRNazanin" w:hAnsi="IRNazanin" w:eastAsia="IRNazanin" w:cs="IRNazanin"/>
          <w:lang w:bidi="fa-IR"/>
          <w:color w:val="111111"/>
          <w:sz w:val="28"/>
          <w:szCs w:val="28"/>
          <w:rtl/>
        </w:rPr>
        <w:t xml:space="preserve">جلد ۲؛ بی کا، تا: قرن ۱۳؛ افتادگی: انجام [اندیشه حوزه س ۲ ، ش ۷ - 212]</w:t>
      </w:r>
    </w:p>
    <w:p>
      <w:pPr>
        <w:pStyle w:val="BookText"/>
      </w:pPr>
      <w:r>
        <w:rPr>
          <w:rFonts w:ascii="IRNazanin" w:hAnsi="IRNazanin" w:eastAsia="IRNazanin" w:cs="IRNazanin"/>
          <w:lang w:bidi="fa-IR"/>
          <w:color w:val="111111"/>
          <w:sz w:val="28"/>
          <w:szCs w:val="28"/>
          <w:rtl/>
        </w:rPr>
        <w:t xml:space="preserve">۱۴. اصفهان؛ دانشگاه اصفهان؛ شماره نسخه: ۱۴۴</w:t>
      </w:r>
    </w:p>
    <w:p>
      <w:pPr>
        <w:pStyle w:val="BookText"/>
      </w:pPr>
      <w:r>
        <w:rPr>
          <w:rFonts w:ascii="IRNazanin" w:hAnsi="IRNazanin" w:eastAsia="IRNazanin" w:cs="IRNazanin"/>
          <w:lang w:bidi="fa-IR"/>
          <w:color w:val="111111"/>
          <w:sz w:val="28"/>
          <w:szCs w:val="28"/>
          <w:rtl/>
        </w:rPr>
        <w:t xml:space="preserve">خط: نسخ، بی کا، تا: قرن ۱۳؛ دارای سرلوح رنگین، مجدول؛جلد: تیماج دورو، رو قرمز جگری، اندرون مشکی، ۲۵۰گ،  25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۲۹سم [ف: ۱ - ۱۰۴]</w:t>
      </w:r>
    </w:p>
    <w:p>
      <w:pPr>
        <w:pStyle w:val="BookText"/>
      </w:pPr>
      <w:r>
        <w:rPr>
          <w:rFonts w:ascii="IRNazanin" w:hAnsi="IRNazanin" w:eastAsia="IRNazanin" w:cs="IRNazanin"/>
          <w:lang w:bidi="fa-IR"/>
          <w:color w:val="111111"/>
          <w:sz w:val="28"/>
          <w:szCs w:val="28"/>
          <w:rtl/>
        </w:rPr>
        <w:t xml:space="preserve">۱۵ . اصفهان؛ دانشگاه اصفهان؛ شماره نسخه: ۳۸</w:t>
      </w:r>
    </w:p>
    <w:p>
      <w:pPr>
        <w:pStyle w:val="BookText"/>
      </w:pPr>
      <w:r>
        <w:rPr>
          <w:rFonts w:ascii="IRNazanin" w:hAnsi="IRNazanin" w:eastAsia="IRNazanin" w:cs="IRNazanin"/>
          <w:lang w:bidi="fa-IR"/>
          <w:color w:val="111111"/>
          <w:sz w:val="28"/>
          <w:szCs w:val="28"/>
          <w:rtl/>
        </w:rPr>
        <w:t xml:space="preserve">جزو يكم؛ خط: نسخ، بی کا، تا: قرن ۱۳؛ با جدول و سرلوح زرین؛ کاغذ: فرنگی آهار مهره [نشریه ۱۱ - ۸۸۲]</w:t>
      </w:r>
    </w:p>
    <w:p>
      <w:pPr>
        <w:pStyle w:val="BookText"/>
      </w:pPr>
      <w:r>
        <w:rPr>
          <w:rFonts w:ascii="IRNazanin" w:hAnsi="IRNazanin" w:eastAsia="IRNazanin" w:cs="IRNazanin"/>
          <w:lang w:bidi="fa-IR"/>
          <w:color w:val="111111"/>
          <w:sz w:val="28"/>
          <w:szCs w:val="28"/>
          <w:rtl/>
        </w:rPr>
        <w:t xml:space="preserve">۱۶. قم؛ مرکز احیاء؛ شماره نسخه: ۳۴۷۰</w:t>
      </w:r>
    </w:p>
    <w:p>
      <w:pPr>
        <w:pStyle w:val="BookText"/>
      </w:pPr>
      <w:r>
        <w:rPr>
          <w:rFonts w:ascii="Amiri" w:hAnsi="Amiri" w:eastAsia="Amiri" w:cs="Amiri"/>
          <w:lang w:bidi="ar-SA"/>
          <w:color w:val="111111"/>
          <w:sz w:val="28"/>
          <w:szCs w:val="28"/>
          <w:rtl/>
        </w:rPr>
        <w:t xml:space="preserve">آغاز: الافراد الشائعة و اما لو قلنا بحمله عليه من باب تيقن الارادة او كان عاماً لغة؛ انجام: على أن مذهب مخالفينا في كون الاجمـاع حجة يقتضى انه فى الاحوال كلها مستقرة</w:t>
      </w:r>
    </w:p>
    <w:p>
      <w:pPr>
        <w:pStyle w:val="BookText"/>
      </w:pPr>
      <w:r>
        <w:rPr>
          <w:rFonts w:ascii="IRNazanin" w:hAnsi="IRNazanin" w:eastAsia="IRNazanin" w:cs="IRNazanin"/>
          <w:lang w:bidi="fa-IR"/>
          <w:color w:val="111111"/>
          <w:sz w:val="28"/>
          <w:szCs w:val="28"/>
          <w:rtl/>
        </w:rPr>
        <w:t xml:space="preserve">خط: نستعلیق، بی کا، تا: قرن ۱۳؛ افتادگی: آغاز و انجام: مصحح ؛جلد: تيماج قهوه ای بدون مقوا، ۱۶۶گ، ۱۲ سطر، اندازه:۱۰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[محدث ارموی مخ: ۱ - ۱۳۴]</w:t>
      </w:r>
    </w:p>
    <w:p>
      <w:pPr>
        <w:pStyle w:val="BookText"/>
      </w:pPr>
      <w:r>
        <w:rPr>
          <w:rFonts w:ascii="IRNazanin" w:hAnsi="IRNazanin" w:eastAsia="IRNazanin" w:cs="IRNazanin"/>
          <w:lang w:bidi="fa-IR"/>
          <w:color w:val="111111"/>
          <w:sz w:val="28"/>
          <w:szCs w:val="28"/>
          <w:rtl/>
        </w:rPr>
        <w:t xml:space="preserve">۱۷. تهران؛ عبد العظیم؛ شماره نسخه: ۱۱۰</w:t>
      </w:r>
    </w:p>
    <w:p>
      <w:pPr>
        <w:pStyle w:val="BookText"/>
      </w:pPr>
      <w:r>
        <w:rPr>
          <w:rFonts w:ascii="IRNazanin" w:hAnsi="IRNazanin" w:eastAsia="IRNazanin" w:cs="IRNazanin"/>
          <w:lang w:bidi="fa-IR"/>
          <w:color w:val="111111"/>
          <w:sz w:val="28"/>
          <w:szCs w:val="28"/>
          <w:rtl/>
        </w:rPr>
        <w:t xml:space="preserve">آغاز: المنهج العاشر فى الأدلة الشرعية و فيه مطالب مقدمة تشتـمل على أمور الاول الدليل لغة فعيل بمعنى الفاعل و عند الفقهاء کما فى النهاية و فيه نظر؛ انجام: غاية ما ثبت جوازه بالاجماع و العـسر و الحرج و التكليف بما لايطايق و الأمر بالسؤال من أهل الذكر ان شمله و التقرير.</w:t>
      </w:r>
    </w:p>
    <w:p>
      <w:pPr>
        <w:pStyle w:val="BookText"/>
      </w:pPr>
      <w:r>
        <w:rPr>
          <w:rFonts w:ascii="IRNazanin" w:hAnsi="IRNazanin" w:eastAsia="IRNazanin" w:cs="IRNazanin"/>
          <w:lang w:bidi="fa-IR"/>
          <w:color w:val="111111"/>
          <w:sz w:val="28"/>
          <w:szCs w:val="28"/>
          <w:rtl/>
        </w:rPr>
        <w:t xml:space="preserve">خط: نسخ، بی کا، تا: قرن ۱۳؛ افتادگی: انجام؛ مصحح، دارای بلاغ مقابله؛ تملکی با مهر «ابن محمد تقی اسمعيل الموسوی 1274» (بیضی)؛ واقف: آیت الله مرعشی نجفی، ۱۳۳۸/۵/۲۰؛ جلد: تیماج روغنی مجدول با ترنج و سرترنج سوخت زرین، ۱۸۳گ،24 سطر، اندازه: ۲۱/۵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۳۰/۵سم [ف: ۱ - ۴۸]</w:t>
      </w:r>
    </w:p>
    <w:p>
      <w:pPr>
        <w:pStyle w:val="BookText"/>
      </w:pPr>
      <w:r>
        <w:rPr>
          <w:rFonts w:ascii="IRNazanin" w:hAnsi="IRNazanin" w:eastAsia="IRNazanin" w:cs="IRNazanin"/>
          <w:lang w:bidi="fa-IR"/>
          <w:color w:val="111111"/>
          <w:sz w:val="28"/>
          <w:szCs w:val="28"/>
          <w:rtl/>
        </w:rPr>
        <w:t xml:space="preserve">۱۸. قم؛ مرکز احیاء؛ شماره نسخه: ۲۲۳۵/۱۳</w:t>
      </w:r>
    </w:p>
    <w:p>
      <w:pPr>
        <w:pStyle w:val="BookText"/>
      </w:pPr>
      <w:r>
        <w:rPr>
          <w:rFonts w:ascii="IRNazanin" w:hAnsi="IRNazanin" w:eastAsia="IRNazanin" w:cs="IRNazanin"/>
          <w:lang w:bidi="fa-IR"/>
          <w:color w:val="111111"/>
          <w:sz w:val="28"/>
          <w:szCs w:val="28"/>
          <w:rtl/>
        </w:rPr>
        <w:t xml:space="preserve">آغاز: المطلب الثالث في الادلة الشرعية و فيه مطالب مقدمة تشتمل على امور الاول الدليل لغة فعيل بمعنى الفاعل»؛ انجام: و ابتـلی بعملى و ايدى الاحبة عنى منقطعه اعوذ بالله سبحانه منه و من امثاله  و قد فرغت...  جزء دوم؛ خط: نسخ، بی کا، تا: قرن  ۱۳ ؛جلد: تیماج قهوه ای بدون مقوا، ۷۲گ (۲۰۶پ- ۲۷۷ ر)، ۲۵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۲۸سم [محدث ارموی مخ: ۱ - ۱۳۴]</w:t>
      </w:r>
    </w:p>
    <w:p>
      <w:pPr>
        <w:pStyle w:val="BookText"/>
      </w:pPr>
      <w:r>
        <w:rPr>
          <w:rFonts w:ascii="IRNazanin" w:hAnsi="IRNazanin" w:eastAsia="IRNazanin" w:cs="IRNazanin"/>
          <w:lang w:bidi="fa-IR"/>
          <w:color w:val="111111"/>
          <w:sz w:val="28"/>
          <w:szCs w:val="28"/>
          <w:rtl/>
        </w:rPr>
        <w:t xml:space="preserve">۱۹. مشهد؛ رضوی؛ شماره نسخه: ۱۳۶۳۴/۲</w:t>
      </w:r>
    </w:p>
    <w:p>
      <w:pPr>
        <w:pStyle w:val="BookText"/>
      </w:pPr>
      <w:r>
        <w:rPr>
          <w:rFonts w:ascii="IRNazanin" w:hAnsi="IRNazanin" w:eastAsia="IRNazanin" w:cs="IRNazanin"/>
          <w:lang w:bidi="fa-IR"/>
          <w:color w:val="111111"/>
          <w:sz w:val="28"/>
          <w:szCs w:val="28"/>
          <w:rtl/>
        </w:rPr>
        <w:t xml:space="preserve">جلد دوم و تا اوایل مبحث احتیاط؛ خط : نسخ،  حسین محمد ، تا: ربیع الاول ۱۲۲۰ق؛ کاغذ: فرنگی آهار مهره  نخودی، جـلد: تیماج  مشکی، عطف  پارچه، ۱۲۳گ، ۲۷ سطر، اندازه: ۱۹/۳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۲۸سم [ف: ۱۶ - ۳۶۳]</w:t>
      </w:r>
    </w:p>
    <w:p>
      <w:pPr>
        <w:pStyle w:val="BookText"/>
      </w:pPr>
      <w:r>
        <w:rPr>
          <w:rFonts w:ascii="IRNazanin" w:hAnsi="IRNazanin" w:eastAsia="IRNazanin" w:cs="IRNazanin"/>
          <w:lang w:bidi="fa-IR"/>
          <w:color w:val="111111"/>
          <w:sz w:val="28"/>
          <w:szCs w:val="28"/>
          <w:rtl/>
        </w:rPr>
        <w:t xml:space="preserve">۲۰ . قم؛ گلپایگانی؛ شماره نسخه: ۹۸۹-۶/۷۹</w:t>
      </w:r>
    </w:p>
    <w:p>
      <w:pPr>
        <w:pStyle w:val="BookText"/>
      </w:pPr>
      <w:r>
        <w:rPr>
          <w:rFonts w:ascii="IRNazanin" w:hAnsi="IRNazanin" w:eastAsia="IRNazanin" w:cs="IRNazanin"/>
          <w:lang w:bidi="fa-IR"/>
          <w:color w:val="111111"/>
          <w:sz w:val="28"/>
          <w:szCs w:val="28"/>
          <w:rtl/>
        </w:rPr>
        <w:t xml:space="preserve">آغاز: برابر؛ انجام: فما فى المنتهى من الجزم بالنسبة الكراهة  الیه مما ينبغى وليكن هذا جزء الاول من الاشارات.</w:t>
      </w:r>
    </w:p>
    <w:p>
      <w:pPr>
        <w:pStyle w:val="BookText"/>
      </w:pPr>
      <w:r>
        <w:rPr>
          <w:rFonts w:ascii="IRNazanin" w:hAnsi="IRNazanin" w:eastAsia="IRNazanin" w:cs="IRNazanin"/>
          <w:lang w:bidi="fa-IR"/>
          <w:color w:val="111111"/>
          <w:sz w:val="28"/>
          <w:szCs w:val="28"/>
          <w:rtl/>
        </w:rPr>
        <w:t xml:space="preserve">از اول اصول تا آخر بحث اجتماع امر و نهی؛ خط: نسخ، بی کا، تا: ۱۲۳۵ق؛ مصحح؛ جلد: تیماج قهوه ای، ۱۶۶گ، ۱۸ سطر، اندازه:۱۵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۱- ۳۶۵]</w:t>
      </w:r>
    </w:p>
    <w:p>
      <w:pPr>
        <w:pStyle w:val="BookText"/>
      </w:pPr>
      <w:r>
        <w:rPr>
          <w:rFonts w:ascii="IRNazanin" w:hAnsi="IRNazanin" w:eastAsia="IRNazanin" w:cs="IRNazanin"/>
          <w:lang w:bidi="fa-IR"/>
          <w:color w:val="111111"/>
          <w:sz w:val="28"/>
          <w:szCs w:val="28"/>
          <w:rtl/>
        </w:rPr>
        <w:t xml:space="preserve">۲۱. مشهد؛ رضوی؛ شماره نسخه: ۱۳۱۵۴</w:t>
      </w:r>
    </w:p>
    <w:p>
      <w:pPr>
        <w:pStyle w:val="BookText"/>
      </w:pPr>
      <w:r>
        <w:rPr>
          <w:rFonts w:ascii="Amiri" w:hAnsi="Amiri" w:eastAsia="Amiri" w:cs="Amiri"/>
          <w:lang w:bidi="ar-SA"/>
          <w:color w:val="111111"/>
          <w:sz w:val="28"/>
          <w:szCs w:val="28"/>
          <w:rtl/>
        </w:rPr>
        <w:t xml:space="preserve">آغاز: و غيرها مما يتوقف عليه الفقه؛ انجام: نعم لوقوى العام بالخارج من الخاص يمنع التخصيص</w:t>
      </w:r>
    </w:p>
    <w:p>
      <w:pPr>
        <w:pStyle w:val="BookText"/>
      </w:pPr>
      <w:r>
        <w:rPr>
          <w:rFonts w:ascii="IRNazanin" w:hAnsi="IRNazanin" w:eastAsia="IRNazanin" w:cs="IRNazanin"/>
          <w:lang w:bidi="fa-IR"/>
          <w:color w:val="111111"/>
          <w:sz w:val="28"/>
          <w:szCs w:val="28"/>
          <w:rtl/>
        </w:rPr>
        <w:t xml:space="preserve">جلد۱، تا آخر منهج چهارم (عام و خاص)؛ خط: نستعلیق ،تحریری، کا: محمد حسن بن محمد كاظم ورنو سفادرانی، تا: دوشنبه ۱۸ ذیحجه ۱۲۳۶ق؛ افتادگی: آغاز (صفحه اول)؛ معلق به حواشی مؤلف کاغذ: فرنگی ،شکری، جلد: روغنی دو رو، رو زمینه سبز تیره دارای یک ترنج و دو سرترنج و چهار گوشه منقش به گل و برگ ۳۴۶گ، ۲۱  سطر،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۱۶ - ۱۸]</w:t>
      </w:r>
    </w:p>
    <w:p>
      <w:pPr>
        <w:pStyle w:val="BookText"/>
      </w:pPr>
      <w:r>
        <w:rPr>
          <w:rFonts w:ascii="IRNazanin" w:hAnsi="IRNazanin" w:eastAsia="IRNazanin" w:cs="IRNazanin"/>
          <w:lang w:bidi="fa-IR"/>
          <w:color w:val="111111"/>
          <w:sz w:val="28"/>
          <w:szCs w:val="28"/>
          <w:rtl/>
        </w:rPr>
        <w:t xml:space="preserve">22 .زنجان؛ امام جمعه؛ شماره نسخه: بدون شماره</w:t>
      </w:r>
    </w:p>
    <w:p>
      <w:pPr>
        <w:pStyle w:val="BookText"/>
      </w:pPr>
      <w:r>
        <w:rPr>
          <w:rFonts w:ascii="IRNazanin" w:hAnsi="IRNazanin" w:eastAsia="IRNazanin" w:cs="IRNazanin"/>
          <w:lang w:bidi="fa-IR"/>
          <w:color w:val="111111"/>
          <w:sz w:val="28"/>
          <w:szCs w:val="28"/>
          <w:rtl/>
        </w:rPr>
        <w:t xml:space="preserve">جلد اول؛ کا: محمد علی تبریزی خامنه ای ،تا: چهارشنبه ۲۹ربیع الاول ۱۲۳۷ق [ دليل المخطوطات ۱ - ۹۱]</w:t>
      </w:r>
    </w:p>
    <w:p>
      <w:pPr>
        <w:pStyle w:val="BookText"/>
      </w:pPr>
      <w:r>
        <w:rPr>
          <w:rFonts w:ascii="IRNazanin" w:hAnsi="IRNazanin" w:eastAsia="IRNazanin" w:cs="IRNazanin"/>
          <w:lang w:bidi="fa-IR"/>
          <w:color w:val="111111"/>
          <w:sz w:val="28"/>
          <w:szCs w:val="28"/>
          <w:rtl/>
        </w:rPr>
        <w:t xml:space="preserve">۲۳. قم؛ مرکز احیاء؛ شماره نسخه: ۴۰۳</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جلد اول؛ خط: نسخ ،کا: محمد علی تبریزی خامنه ای، تا: سه شنبه ۱۴ رمضان ۱۲۳۷ق؛ مجدول، دارای سرلوح؛ جلد: دو رو روغنی گل و بوته دار ۲۲۷گ، ۲۱ سطر،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۲ - ۶]</w:t>
      </w:r>
    </w:p>
    <w:p>
      <w:pPr>
        <w:pStyle w:val="BookText"/>
      </w:pPr>
      <w:r>
        <w:rPr>
          <w:rFonts w:ascii="IRNazanin" w:hAnsi="IRNazanin" w:eastAsia="IRNazanin" w:cs="IRNazanin"/>
          <w:lang w:bidi="fa-IR"/>
          <w:color w:val="111111"/>
          <w:sz w:val="28"/>
          <w:szCs w:val="28"/>
          <w:rtl/>
        </w:rPr>
        <w:t xml:space="preserve">۲۴. قم؛ گلپایگانی؛ شماره نسخه: ۲۷۷۰-۱۵/۱۰</w:t>
      </w:r>
    </w:p>
    <w:p>
      <w:pPr>
        <w:pStyle w:val="BookText"/>
      </w:pPr>
      <w:r>
        <w:rPr>
          <w:rFonts w:ascii="Amiri" w:hAnsi="Amiri" w:eastAsia="Amiri" w:cs="Amiri"/>
          <w:lang w:bidi="ar-SA"/>
          <w:color w:val="111111"/>
          <w:sz w:val="28"/>
          <w:szCs w:val="28"/>
          <w:rtl/>
        </w:rPr>
        <w:t xml:space="preserve">آغاز: برابر؛ انجام: و الاول فيما ذكره فلا تناقض وقد غفل فجعلها فى ذلك و يكشف عنه كلمات الاصوليين كالعلامة و الامدى و الشيرازي و غيرهم فى المقامين. وليكن هذا آخر الجزء الاول ... و يتلوه الجزء الثانى فى الادلة الشرعية والتعارض و الترجيح و الاجتهاد والتقليد.</w:t>
      </w:r>
    </w:p>
    <w:p>
      <w:pPr>
        <w:pStyle w:val="BookText"/>
      </w:pPr>
      <w:r>
        <w:rPr>
          <w:rFonts w:ascii="IRNazanin" w:hAnsi="IRNazanin" w:eastAsia="IRNazanin" w:cs="IRNazanin"/>
          <w:lang w:bidi="fa-IR"/>
          <w:color w:val="111111"/>
          <w:sz w:val="28"/>
          <w:szCs w:val="28"/>
          <w:rtl/>
        </w:rPr>
        <w:t xml:space="preserve">جلد اول؛ خط: نسخ، کا: ملایی، تا: ۱۲۴۰ق؛ جلد: تیماج سرخ مجدول گرهی ضربی، ۴۲۴گ، ۲۵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۳۰سم [ف:  1- 365]</w:t>
      </w:r>
    </w:p>
    <w:p>
      <w:pPr>
        <w:pStyle w:val="BookText"/>
      </w:pPr>
      <w:r>
        <w:rPr>
          <w:rFonts w:ascii="IRNazanin" w:hAnsi="IRNazanin" w:eastAsia="IRNazanin" w:cs="IRNazanin"/>
          <w:lang w:bidi="fa-IR"/>
          <w:color w:val="111111"/>
          <w:sz w:val="28"/>
          <w:szCs w:val="28"/>
          <w:rtl/>
        </w:rPr>
        <w:t xml:space="preserve">۲۵. مشهد؛ گوهر شاد؛ شماره نسخه: ۱۲۳۷</w:t>
      </w:r>
    </w:p>
    <w:p>
      <w:pPr>
        <w:pStyle w:val="BookText"/>
      </w:pPr>
      <w:r>
        <w:rPr>
          <w:rFonts w:ascii="Amiri" w:hAnsi="Amiri" w:eastAsia="Amiri" w:cs="Amiri"/>
          <w:lang w:bidi="ar-SA"/>
          <w:color w:val="111111"/>
          <w:sz w:val="28"/>
          <w:szCs w:val="28"/>
          <w:rtl/>
        </w:rPr>
        <w:t xml:space="preserve">آغاز: برابر؛ انجام: كالعلامة و الآمدي و الشيرازي و غيرهم في المقامين و ليكن هذا آخر الجزء الاول ... و يتلوه الجزء الثانى فى الادلة الشرعية و التعارض و الترجيح والاجتهاد والتقليد.</w:t>
      </w:r>
    </w:p>
    <w:p>
      <w:pPr>
        <w:pStyle w:val="BookText"/>
      </w:pPr>
      <w:r>
        <w:rPr>
          <w:rFonts w:ascii="IRNazanin" w:hAnsi="IRNazanin" w:eastAsia="IRNazanin" w:cs="IRNazanin"/>
          <w:lang w:bidi="fa-IR"/>
          <w:color w:val="111111"/>
          <w:sz w:val="28"/>
          <w:szCs w:val="28"/>
          <w:rtl/>
        </w:rPr>
        <w:t xml:space="preserve">جلد ۱؛ خط: نسخ ،زیبا، بی کا، تا: ۱۲۴۲ق؛ دارای بلاغ، سرلوح زمینه طلا ، مجدول؛ کاغذ: آهار مهره،جلد: تیماج ضربی دار سرخ، ۲۷ 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 اندازه: ۱۹/۵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۳۰سم [ف: ۴ - ۱۸۶۷]</w:t>
      </w:r>
    </w:p>
    <w:p>
      <w:pPr>
        <w:pStyle w:val="BookText"/>
      </w:pPr>
      <w:r>
        <w:rPr>
          <w:rFonts w:ascii="IRNazanin" w:hAnsi="IRNazanin" w:eastAsia="IRNazanin" w:cs="IRNazanin"/>
          <w:lang w:bidi="fa-IR"/>
          <w:color w:val="111111"/>
          <w:sz w:val="28"/>
          <w:szCs w:val="28"/>
          <w:rtl/>
        </w:rPr>
        <w:t xml:space="preserve">۲۶. قم؛ مرعشی؛ شماره نسخه: ۱۶۳۱</w:t>
      </w:r>
    </w:p>
    <w:p>
      <w:pPr>
        <w:pStyle w:val="BookText"/>
      </w:pPr>
      <w:r>
        <w:rPr>
          <w:rFonts w:ascii="Amiri" w:hAnsi="Amiri" w:eastAsia="Amiri" w:cs="Amiri"/>
          <w:lang w:bidi="ar-SA"/>
          <w:color w:val="111111"/>
          <w:sz w:val="28"/>
          <w:szCs w:val="28"/>
          <w:rtl/>
        </w:rPr>
        <w:t xml:space="preserve">آغاز: برابر؛ انجام: و يكشف عنه كلمات الاصوليين كالعلامة و الامدى و الشيرازى و غيرهم في المقامين</w:t>
      </w:r>
    </w:p>
    <w:p>
      <w:pPr>
        <w:pStyle w:val="BookText"/>
      </w:pPr>
      <w:r>
        <w:rPr>
          <w:rFonts w:ascii="IRNazanin" w:hAnsi="IRNazanin" w:eastAsia="IRNazanin" w:cs="IRNazanin"/>
          <w:lang w:bidi="fa-IR"/>
          <w:color w:val="111111"/>
          <w:sz w:val="28"/>
          <w:szCs w:val="28"/>
          <w:rtl/>
        </w:rPr>
        <w:t xml:space="preserve">جلد اول؛ خط: نسخ، کا: جعفر بن محمد، تا: ۱۲۴۲ق؛ مجدول با سرلوح رنگین زیبا، روی برگ اول تقریضی است که به سال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۱۲۴۵ نوشته شده؛ جلد: دو رو تیماج رو قرمز پشت مشکـی  ، ۲۲۸گ، ۲۸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۲۹سم [ف: ۵ - ۳۴]</w:t>
      </w:r>
    </w:p>
    <w:p>
      <w:pPr>
        <w:pStyle w:val="BookText"/>
      </w:pPr>
      <w:r>
        <w:rPr>
          <w:rFonts w:ascii="IRNazanin" w:hAnsi="IRNazanin" w:eastAsia="IRNazanin" w:cs="IRNazanin"/>
          <w:lang w:bidi="fa-IR"/>
          <w:color w:val="111111"/>
          <w:sz w:val="28"/>
          <w:szCs w:val="28"/>
          <w:rtl/>
        </w:rPr>
        <w:t xml:space="preserve">۲۷. یزد؛ وزیری؛ شماره نسخه: ۵۷۳</w:t>
      </w:r>
    </w:p>
    <w:p>
      <w:pPr>
        <w:pStyle w:val="BookText"/>
      </w:pPr>
      <w:r>
        <w:rPr>
          <w:rFonts w:ascii="IRNazanin" w:hAnsi="IRNazanin" w:eastAsia="IRNazanin" w:cs="IRNazanin"/>
          <w:lang w:bidi="fa-IR"/>
          <w:color w:val="111111"/>
          <w:sz w:val="28"/>
          <w:szCs w:val="28"/>
          <w:rtl/>
        </w:rPr>
        <w:t xml:space="preserve">آغاز: برابر؛ انجام: وليكن هذا آخر الجزء الاول من الاشارات  فی المباحث المتعلقة بالادلة ... و يتلوه الجزء الثانى فى الادلة الشرعیة و التعارض و الترجيح و الاجتهاد و التقليد.</w:t>
      </w:r>
    </w:p>
    <w:p>
      <w:pPr>
        <w:pStyle w:val="BookText"/>
      </w:pPr>
      <w:r>
        <w:rPr>
          <w:rFonts w:ascii="IRNazanin" w:hAnsi="IRNazanin" w:eastAsia="IRNazanin" w:cs="IRNazanin"/>
          <w:lang w:bidi="fa-IR"/>
          <w:color w:val="111111"/>
          <w:sz w:val="28"/>
          <w:szCs w:val="28"/>
          <w:rtl/>
        </w:rPr>
        <w:t xml:space="preserve">خط: نسخ، بی کا، تا: ۱۲۴۳ق؛ مجدول؛ تملك: «عبده الراجی محمود بن علی اصغر» «علی اصغر۱۲۹۱»؛ اهدایی: وزیری؛ جـلد: مقوایی با تیماج آلبالویی عطف تیماج تریاکی، ۳۳۲گ، ۲۴ سـطر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۳۰/۵سم [ف: ۲ - ۴۸۵]</w:t>
      </w:r>
    </w:p>
    <w:p>
      <w:pPr>
        <w:pStyle w:val="BookText"/>
      </w:pPr>
      <w:r>
        <w:rPr>
          <w:rFonts w:ascii="IRNazanin" w:hAnsi="IRNazanin" w:eastAsia="IRNazanin" w:cs="IRNazanin"/>
          <w:lang w:bidi="fa-IR"/>
          <w:color w:val="111111"/>
          <w:sz w:val="28"/>
          <w:szCs w:val="28"/>
          <w:rtl/>
        </w:rPr>
        <w:t xml:space="preserve">۲۸. تهران؛ دانشگاه؛ شماره نسخه: ۷۹۳</w:t>
      </w:r>
    </w:p>
    <w:p>
      <w:pPr>
        <w:pStyle w:val="BookText"/>
      </w:pPr>
      <w:r>
        <w:rPr>
          <w:rFonts w:ascii="Amiri" w:hAnsi="Amiri" w:eastAsia="Amiri" w:cs="Amiri"/>
          <w:lang w:bidi="ar-SA"/>
          <w:color w:val="111111"/>
          <w:sz w:val="28"/>
          <w:szCs w:val="28"/>
          <w:rtl/>
        </w:rPr>
        <w:t xml:space="preserve">آغاز: برابر؛ انجام: وليكن هذا آخر الجزء الاول من الاشارات و يتلوه الجزء الثانى فى الادلة الشرعية و التعارض و الترجيح و الاجتهاد والتقليد</w:t>
      </w:r>
    </w:p>
    <w:p>
      <w:pPr>
        <w:pStyle w:val="BookText"/>
      </w:pPr>
      <w:r>
        <w:rPr>
          <w:rFonts w:ascii="IRNazanin" w:hAnsi="IRNazanin" w:eastAsia="IRNazanin" w:cs="IRNazanin"/>
          <w:lang w:bidi="fa-IR"/>
          <w:color w:val="111111"/>
          <w:sz w:val="28"/>
          <w:szCs w:val="28"/>
          <w:rtl/>
        </w:rPr>
        <w:t xml:space="preserve">جلد اول؛ خط: نسخ و نستعلیق، بی کا، تا: ۱۲۴۳ق؛ مجدول، سرلوحی  زیبا، محشی با نشان «منه مدظله العالی» دارای نشان «بلغ  قبالا»، در برگ ۳۲۰ پ ستایشی است ازکلباسی و همین کتاب؛ نسخه را سید حسن خراسانی تونی از پسر کلباسی  بها در ۱۲۴۴ به 48 ریال هر ریالی یک مثقال و نیم نقره خریده و خود کلباسی به به او  بخشید، این عبارت را او در مدرسه صدر سپاهان نوشته اسـت (۱ر)؛ كاغذ ،فرنگی ،جلد: تیماج سبز تازه، ۳۲۰گ، ۲۴ سـطر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 اندازه: ۱۸/۵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۳۰سم [ف: ۵ - ۱۶۵۹]</w:t>
      </w:r>
    </w:p>
    <w:p>
      <w:pPr>
        <w:pStyle w:val="BookText"/>
      </w:pPr>
      <w:r>
        <w:rPr>
          <w:rFonts w:ascii="IRNazanin" w:hAnsi="IRNazanin" w:eastAsia="IRNazanin" w:cs="IRNazanin"/>
          <w:lang w:bidi="fa-IR"/>
          <w:color w:val="111111"/>
          <w:sz w:val="28"/>
          <w:szCs w:val="28"/>
          <w:rtl/>
        </w:rPr>
        <w:t xml:space="preserve">۲۹. مشهد؛ رضوی؛ شماره نسخه: ۱۴۱۰۱</w:t>
      </w:r>
    </w:p>
    <w:p>
      <w:pPr>
        <w:pStyle w:val="BookText"/>
      </w:pPr>
      <w:r>
        <w:rPr>
          <w:rFonts w:ascii="Amiri" w:hAnsi="Amiri" w:eastAsia="Amiri" w:cs="Amiri"/>
          <w:lang w:bidi="ar-SA"/>
          <w:color w:val="111111"/>
          <w:sz w:val="28"/>
          <w:szCs w:val="28"/>
          <w:rtl/>
        </w:rPr>
        <w:t xml:space="preserve">آغاز: برابر؛ انجام: و يكشفه عنه كلمات الاصوليين كالعلامه و الاسدى و الشيرازي و غيرهم في المقامين و ليكن هذا اخر الـجزء الاول من الاشارات.</w:t>
      </w:r>
    </w:p>
    <w:p>
      <w:pPr>
        <w:pStyle w:val="BookText"/>
      </w:pPr>
      <w:r>
        <w:rPr>
          <w:rFonts w:ascii="IRNazanin" w:hAnsi="IRNazanin" w:eastAsia="IRNazanin" w:cs="IRNazanin"/>
          <w:lang w:bidi="fa-IR"/>
          <w:color w:val="111111"/>
          <w:sz w:val="28"/>
          <w:szCs w:val="28"/>
          <w:rtl/>
        </w:rPr>
        <w:t xml:space="preserve">جلد اول؛ خط: نسخ، کا: محمد علی جهت آقا میرزا محمد،تا: ۱۲۴۴ق؛ واقف: فاضلخان؛ کاغذ: فرنگی فستقی، ۱۹۳گ،  28سطر،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۳۲سم [ف: ۱۶ - ۱۷]:</w:t>
      </w:r>
    </w:p>
    <w:p>
      <w:pPr>
        <w:pStyle w:val="BookText"/>
      </w:pPr>
      <w:r>
        <w:rPr>
          <w:rFonts w:ascii="IRNazanin" w:hAnsi="IRNazanin" w:eastAsia="IRNazanin" w:cs="IRNazanin"/>
          <w:lang w:bidi="fa-IR"/>
          <w:color w:val="111111"/>
          <w:sz w:val="28"/>
          <w:szCs w:val="28"/>
          <w:rtl/>
        </w:rPr>
        <w:t xml:space="preserve">۳۰. تهران؛ عبدالعظیم؛ شماره نسخه: ۹۷</w:t>
      </w:r>
    </w:p>
    <w:p>
      <w:pPr>
        <w:pStyle w:val="BookText"/>
      </w:pPr>
      <w:r>
        <w:rPr>
          <w:rFonts w:ascii="IRNazanin" w:hAnsi="IRNazanin" w:eastAsia="IRNazanin" w:cs="IRNazanin"/>
          <w:lang w:bidi="fa-IR"/>
          <w:color w:val="111111"/>
          <w:sz w:val="28"/>
          <w:szCs w:val="28"/>
          <w:rtl/>
        </w:rPr>
        <w:t xml:space="preserve">آغاز: برابر؛ انجام: و الآمدي و الشيرازي و غير هم فی المقامین ولیکن  هذا آخر الجزء الأول من الاشارات فى المباحث المتعـلقة بالأدلة من المبادى اللغوية و يتلوه الجزء الثانى فى الأدلة الشرعية</w:t>
      </w:r>
    </w:p>
    <w:p>
      <w:pPr>
        <w:pStyle w:val="BookText"/>
      </w:pPr>
      <w:r>
        <w:rPr>
          <w:rFonts w:ascii="IRNazanin" w:hAnsi="IRNazanin" w:eastAsia="IRNazanin" w:cs="IRNazanin"/>
          <w:lang w:bidi="fa-IR"/>
          <w:color w:val="111111"/>
          <w:sz w:val="28"/>
          <w:szCs w:val="28"/>
          <w:rtl/>
        </w:rPr>
        <w:t xml:space="preserve">جلد اول؛ خط: نسخ، کا: محمد جعفر بن محمد کاظم، تا: رجـب ۱۲۴۵ق؛ مجدول مذهب محرر، با سرلوح مزدوج مذهـب ،مصحح، دارای بلاغ مقابله با نسخه اصل، محشی به لفظ: «منه دام ظله»؛ تملک: حسین موسوی؛ واقف: آیت الله مرعشی نجفی ، ۱۳۳۸/۵/۲۰؛ جلد: تیماج سرخ با ترنج و سرترنج، ۳۰۰گ،  24سطر، اندازه: ۱۹/۵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۳۰سم [ف: ۱ - ۴۷]</w:t>
      </w:r>
    </w:p>
    <w:p>
      <w:pPr>
        <w:pStyle w:val="BookText"/>
      </w:pPr>
      <w:r>
        <w:rPr>
          <w:rFonts w:ascii="IRNazanin" w:hAnsi="IRNazanin" w:eastAsia="IRNazanin" w:cs="IRNazanin"/>
          <w:lang w:bidi="fa-IR"/>
          <w:color w:val="111111"/>
          <w:sz w:val="28"/>
          <w:szCs w:val="28"/>
          <w:rtl/>
        </w:rPr>
        <w:t xml:space="preserve">۳۱. تهران؛ ملک؛ شماره نسخه: ۱۲۹۸</w:t>
      </w:r>
    </w:p>
    <w:p>
      <w:pPr>
        <w:pStyle w:val="BookText"/>
      </w:pPr>
      <w:r>
        <w:rPr>
          <w:rFonts w:ascii="IRNazanin" w:hAnsi="IRNazanin" w:eastAsia="IRNazanin" w:cs="IRNazanin"/>
          <w:lang w:bidi="fa-IR"/>
          <w:color w:val="111111"/>
          <w:sz w:val="28"/>
          <w:szCs w:val="28"/>
          <w:rtl/>
        </w:rPr>
        <w:t xml:space="preserve">جلد اول؛ خط: نسخ، بی کا، تا: ۱۲۴۷ق؛ کاغذ: فستقی،جلد: میشن سرخ، ۲۵۸گ، ۲۴ سطر، اندازه: ۱۸/۵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۲۹سم [ف: ۱ - 35]</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مشهد؛ گوهر شاد؛ شماره نسخه: ۷۳۸</w:t>
      </w:r>
    </w:p>
    <w:p>
      <w:pPr>
        <w:pStyle w:val="BookText"/>
      </w:pPr>
      <w:r>
        <w:rPr>
          <w:rFonts w:ascii="Amiri" w:hAnsi="Amiri" w:eastAsia="Amiri" w:cs="Amiri"/>
          <w:lang w:bidi="ar-SA"/>
          <w:color w:val="111111"/>
          <w:sz w:val="28"/>
          <w:szCs w:val="28"/>
          <w:rtl/>
        </w:rPr>
        <w:t xml:space="preserve">آغاز: بسمله المطلب الرابع فى ادلة العقلية مقدمة الدليل العقلى هنا حكم عقلى ينتقل منه الى حكم؛ انجام: برابر</w:t>
      </w:r>
    </w:p>
    <w:p>
      <w:pPr>
        <w:pStyle w:val="BookText"/>
      </w:pPr>
      <w:r>
        <w:rPr>
          <w:rFonts w:ascii="IRNazanin" w:hAnsi="IRNazanin" w:eastAsia="IRNazanin" w:cs="IRNazanin"/>
          <w:lang w:bidi="fa-IR"/>
          <w:color w:val="111111"/>
          <w:sz w:val="28"/>
          <w:szCs w:val="28"/>
          <w:rtl/>
        </w:rPr>
        <w:t xml:space="preserve">جلددوم، از اول ادله عقلیه تا آخر اجتهاد و تقلید؛ خط: نسخ  خوش، کا: محمد بن محمد ابراهیم خوانساری، تا: جمادی الاول ۱۲۵۲ق؛ کاغذ: آهار مهره، جلد: تیماج مشکی، ۲۳ سطر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۲ - ۸۵۱]</w:t>
      </w:r>
    </w:p>
    <w:p>
      <w:pPr>
        <w:pStyle w:val="BookText"/>
      </w:pPr>
      <w:r>
        <w:rPr>
          <w:rFonts w:ascii="IRNazanin" w:hAnsi="IRNazanin" w:eastAsia="IRNazanin" w:cs="IRNazanin"/>
          <w:lang w:bidi="fa-IR"/>
          <w:color w:val="111111"/>
          <w:sz w:val="28"/>
          <w:szCs w:val="28"/>
          <w:rtl/>
        </w:rPr>
        <w:t xml:space="preserve">۳۳. شیراز؛ علامه طباطبائی؛ شماره نسخه: ۸۹۶/۲</w:t>
      </w:r>
    </w:p>
    <w:p>
      <w:pPr>
        <w:pStyle w:val="BookText"/>
      </w:pPr>
      <w:r>
        <w:rPr>
          <w:rFonts w:ascii="IRNazanin" w:hAnsi="IRNazanin" w:eastAsia="IRNazanin" w:cs="IRNazanin"/>
          <w:lang w:bidi="fa-IR"/>
          <w:color w:val="111111"/>
          <w:sz w:val="28"/>
          <w:szCs w:val="28"/>
          <w:rtl/>
        </w:rPr>
        <w:t xml:space="preserve">خط: نسخ، بی کا، تا: ۱۲۵۴ق؛ ۲۵۷گ (۷-۲۶۳)،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[نسخه پژوهی: ۳ - ۱۲۴]</w:t>
      </w:r>
    </w:p>
    <w:p>
      <w:pPr>
        <w:pStyle w:val="BookText"/>
      </w:pPr>
      <w:r>
        <w:rPr>
          <w:rFonts w:ascii="IRNazanin" w:hAnsi="IRNazanin" w:eastAsia="IRNazanin" w:cs="IRNazanin"/>
          <w:lang w:bidi="fa-IR"/>
          <w:color w:val="111111"/>
          <w:sz w:val="28"/>
          <w:szCs w:val="28"/>
          <w:rtl/>
        </w:rPr>
        <w:t xml:space="preserve">۳۴. قم؛ مرکز احیاء؛ شماره نسخه: ۲۲۲۸</w:t>
      </w:r>
    </w:p>
    <w:p>
      <w:pPr>
        <w:pStyle w:val="BookText"/>
      </w:pPr>
      <w:r>
        <w:rPr>
          <w:rFonts w:ascii="IRNazanin" w:hAnsi="IRNazanin" w:eastAsia="IRNazanin" w:cs="IRNazanin"/>
          <w:lang w:bidi="fa-IR"/>
          <w:color w:val="111111"/>
          <w:sz w:val="28"/>
          <w:szCs w:val="28"/>
          <w:rtl/>
        </w:rPr>
        <w:t xml:space="preserve">آغاز: المنهج العاشر فى الادلة الشرعيه و فيه مطالب مقدمة تشتمل على امور الاول الدليل لغة؛ انجام: و ابتلى بعملى و ايدى الاحبة عنی منقطعة اعوذ بالله سبحانه منه و من امثاله.</w:t>
      </w:r>
    </w:p>
    <w:p>
      <w:pPr>
        <w:pStyle w:val="BookText"/>
      </w:pPr>
      <w:r>
        <w:rPr>
          <w:rFonts w:ascii="IRNazanin" w:hAnsi="IRNazanin" w:eastAsia="IRNazanin" w:cs="IRNazanin"/>
          <w:lang w:bidi="fa-IR"/>
          <w:color w:val="111111"/>
          <w:sz w:val="28"/>
          <w:szCs w:val="28"/>
          <w:rtl/>
        </w:rPr>
        <w:t xml:space="preserve">جلد دوم؛ خط: نسخ، کا: محمد حسین بن على النجاني (لنجانی) ، تا: ۷ صفر ۱۲۵۴ق؛ مصحح با علامت تصحیحی از «محمد علی حسینی گلپایگانی» در سال ۱۲۵۶، محشی با نشان «منه دام ظله»، با سرلوح زرین مجدول؛ در برگاول وقفنامه کتاب به سال ۱۲۵۶؛ جلد: تیماج قهوه ای ضربی ۱۷۶گ، ۳۱ سطر، اندازه: ۱۹/۵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۳۰سم [محدث ارموی مخ: ۱ - ۱۳۴]</w:t>
      </w:r>
    </w:p>
    <w:p>
      <w:pPr>
        <w:pStyle w:val="BookText"/>
      </w:pPr>
      <w:r>
        <w:rPr>
          <w:rFonts w:ascii="IRNazanin" w:hAnsi="IRNazanin" w:eastAsia="IRNazanin" w:cs="IRNazanin"/>
          <w:lang w:bidi="fa-IR"/>
          <w:color w:val="111111"/>
          <w:sz w:val="28"/>
          <w:szCs w:val="28"/>
          <w:rtl/>
        </w:rPr>
        <w:t xml:space="preserve">۳۵ . قم؛ مرکز مطالعات؛ شماره نسخه: ۲۳۱</w:t>
      </w:r>
    </w:p>
    <w:p>
      <w:pPr>
        <w:pStyle w:val="BookText"/>
      </w:pPr>
      <w:r>
        <w:rPr>
          <w:rFonts w:ascii="Amiri" w:hAnsi="Amiri" w:eastAsia="Amiri" w:cs="Amiri"/>
          <w:lang w:bidi="ar-SA"/>
          <w:color w:val="111111"/>
          <w:sz w:val="28"/>
          <w:szCs w:val="28"/>
          <w:rtl/>
        </w:rPr>
        <w:t xml:space="preserve">آغاز: بسمله المطلب الثالث فى الادلة الشرعيه و فيه مطالب مقدمة تشتمل على امور الاول الدليل لغة فعيل بمعنى الفاعل؛ انجام: برابر</w:t>
      </w:r>
    </w:p>
    <w:p>
      <w:pPr>
        <w:pStyle w:val="BookText"/>
      </w:pPr>
      <w:r>
        <w:rPr>
          <w:rFonts w:ascii="IRNazanin" w:hAnsi="IRNazanin" w:eastAsia="IRNazanin" w:cs="IRNazanin"/>
          <w:lang w:bidi="fa-IR"/>
          <w:color w:val="111111"/>
          <w:sz w:val="28"/>
          <w:szCs w:val="28"/>
          <w:rtl/>
        </w:rPr>
        <w:t xml:space="preserve">جلد دوم؛ خط: نسخ، بی کا، تا: ۱۲۵۵ق؛ مصحح؛ در صفحه اول اشعاری به عربی از مجنون و یک رباعی به عربی از شافعی و مكاتبه منظوم ملا مهدی نراقی و سید مهدی بحرالعلوم بدين عبارت «سمعت عن شيخنا الاجل يقول كتب المولى الورع الملا محمد مهدى النراقى طاب ثراه الى سيدنا السند و الركن الاجل المعتمد السيد محمد مهدى الطباطبايي النجفى في النجف الاشرف على مشرفه و آله الصلوة والسلام: الاقل لسكان دار الحمى *** هنيئاً لكم فى الجنان الخلود / افيضوا علينا من الماء فيض *** فتحن عطاش و انتم ورود. فكتب السيد فى الجواب ما انشده هو الاقل: لمولى يرى من بعيد *** ديار الحبيب بعين الشهود / لك الفضل من غایب شاهد *** على شاهد غایب بالصدود / فنحن على الماء نشكو الظماء*** و فزتم على بعدكم بالورود»، در صفحه دوم سه بیت شعر به فارسی از ناصر خسرو، در صفحه یادداشتی از یکی از علما که در آن تاریخ تولد فرزند خود بهاء الدین را در</w:t>
      </w:r>
    </w:p>
    <w:p>
      <w:pPr>
        <w:pStyle w:val="BookText"/>
      </w:pPr>
      <w:r>
        <w:rPr>
          <w:rFonts w:ascii="IRNazanin" w:hAnsi="IRNazanin" w:eastAsia="IRNazanin" w:cs="IRNazanin"/>
          <w:lang w:bidi="fa-IR"/>
          <w:color w:val="111111"/>
          <w:sz w:val="28"/>
          <w:szCs w:val="28"/>
          <w:rtl/>
        </w:rPr>
        <w:t xml:space="preserve">شب دوشنبه ۲۶ جمادی الاول (بدون ذكر سال) ثبت کرده است، یادداشت دیگری از یکی از شاگردان محمد ابراهیم کرباسی (که گویا همان صاحب یادداشت اول (باشد که در آن عنوان نموده این نسخه را برای خود استکتابنموده و در اصفهان حدود دو سال در محضر کرباسی تحصیل نموده و از وی به بزرگی یاد می کند و آرزوی حضور دوباره در محضر وی را می کند تاریخ این یادداشت ۲۶ ذیقعده ۱۲۵۵ با دو مهر بیضوی ناخوانا؛ اهدایی: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جواد کمالیان در سال ۱۳۵۴ش؛ جلد: تیماج ،مشکی، مجدول گرهی، ۲۱۴گ، ۳۱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۱ - ۲۰۵]</w:t>
      </w:r>
    </w:p>
    <w:p>
      <w:pPr>
        <w:pStyle w:val="BookText"/>
      </w:pPr>
      <w:r>
        <w:rPr>
          <w:rFonts w:ascii="IRNazanin" w:hAnsi="IRNazanin" w:eastAsia="IRNazanin" w:cs="IRNazanin"/>
          <w:lang w:bidi="fa-IR"/>
          <w:color w:val="111111"/>
          <w:sz w:val="28"/>
          <w:szCs w:val="28"/>
          <w:rtl/>
        </w:rPr>
        <w:t xml:space="preserve">۳۶. تهران؛ ملی؛ شماره نسخه: ۵۴۰</w:t>
      </w:r>
    </w:p>
    <w:p>
      <w:pPr>
        <w:pStyle w:val="BookText"/>
      </w:pPr>
      <w:r>
        <w:rPr>
          <w:rFonts w:ascii="Amiri" w:hAnsi="Amiri" w:eastAsia="Amiri" w:cs="Amiri"/>
          <w:lang w:bidi="ar-SA"/>
          <w:color w:val="111111"/>
          <w:sz w:val="28"/>
          <w:szCs w:val="28"/>
          <w:rtl/>
        </w:rPr>
        <w:t xml:space="preserve">آغاز: بسمله المنهج العاشر فى الادله الشرعيه و فيه مطالـب: مقدمه؛ انجام: و ابتلى بعملى و ايدى الاحبه عنى منقطعه اعوذ بالله منه و من امثله</w:t>
      </w:r>
    </w:p>
    <w:p>
      <w:pPr>
        <w:pStyle w:val="BookText"/>
      </w:pPr>
      <w:r>
        <w:rPr>
          <w:rFonts w:ascii="IRNazanin" w:hAnsi="IRNazanin" w:eastAsia="IRNazanin" w:cs="IRNazanin"/>
          <w:lang w:bidi="fa-IR"/>
          <w:color w:val="111111"/>
          <w:sz w:val="28"/>
          <w:szCs w:val="28"/>
          <w:rtl/>
        </w:rPr>
        <w:t xml:space="preserve">خط: نسخ، کا: محمد حسن بن کربلائی هاشم بروجنی،تا: ۱۲۵۵ق؛ مجدول؛ کاغذ: فرنگی فستقی، جلد: تیماج  مشکی، ترنج و نیم ترنج و لچکی، ۱۷۳گ، ۲۷ سطر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 سم [ف: ۸ - ۳۵]</w:t>
      </w:r>
    </w:p>
    <w:p>
      <w:pPr>
        <w:pStyle w:val="BookText"/>
      </w:pPr>
      <w:r>
        <w:rPr>
          <w:rFonts w:ascii="IRNazanin" w:hAnsi="IRNazanin" w:eastAsia="IRNazanin" w:cs="IRNazanin"/>
          <w:lang w:bidi="fa-IR"/>
          <w:color w:val="111111"/>
          <w:sz w:val="28"/>
          <w:szCs w:val="28"/>
          <w:rtl/>
        </w:rPr>
        <w:t xml:space="preserve">۳۷. قم؛ گلپایگانی؛ شماره نسخه: ۶۵۳۸-۳۳/۸۸</w:t>
      </w:r>
    </w:p>
    <w:p>
      <w:pPr>
        <w:pStyle w:val="BookText"/>
      </w:pPr>
      <w:r>
        <w:rPr>
          <w:rFonts w:ascii="Amiri" w:hAnsi="Amiri" w:eastAsia="Amiri" w:cs="Amiri"/>
          <w:lang w:bidi="ar-SA"/>
          <w:color w:val="111111"/>
          <w:sz w:val="28"/>
          <w:szCs w:val="28"/>
          <w:rtl/>
        </w:rPr>
        <w:t xml:space="preserve">آغاز: بسمله المنهج العاشر فى الادلة الشرعية و فيه مطالب مقدمة  تشتمل على امور الاول الدليل لغة فعيل بمعنى الفاعل وعند الفقـهاء كما في النهاية وفيه نظر ما يمكن ان يتوصل ؛ انجام: برابر</w:t>
      </w:r>
    </w:p>
    <w:p>
      <w:pPr>
        <w:pStyle w:val="BookText"/>
      </w:pPr>
      <w:r>
        <w:rPr>
          <w:rFonts w:ascii="IRNazanin" w:hAnsi="IRNazanin" w:eastAsia="IRNazanin" w:cs="IRNazanin"/>
          <w:lang w:bidi="fa-IR"/>
          <w:color w:val="111111"/>
          <w:sz w:val="28"/>
          <w:szCs w:val="28"/>
          <w:rtl/>
        </w:rPr>
        <w:t xml:space="preserve">جلد دوم؛ خط: نسخ، كا: علی بن حسن  خاکسار تا یک شنبه 17جمادی الثانی ،۱۲۵۶ق ،جا: قریه نجف آباد؛ تملک: محمد علی بن محمد حسن قزوینی در۱۲۵۷ با مهر وی؛ جلد: تیماج مشـکی مجدول، ۲۵۷گ، ۲۵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 - ۳۶۶]</w:t>
      </w:r>
    </w:p>
    <w:p>
      <w:pPr>
        <w:pStyle w:val="BookText"/>
      </w:pPr>
      <w:r>
        <w:rPr>
          <w:rFonts w:ascii="IRNazanin" w:hAnsi="IRNazanin" w:eastAsia="IRNazanin" w:cs="IRNazanin"/>
          <w:lang w:bidi="fa-IR"/>
          <w:color w:val="111111"/>
          <w:sz w:val="28"/>
          <w:szCs w:val="28"/>
          <w:rtl/>
        </w:rPr>
        <w:t xml:space="preserve">۳۸. مشهد؛ رضوی؛ شماره نسخه: ۲۰۳۹۰</w:t>
      </w:r>
    </w:p>
    <w:p>
      <w:pPr>
        <w:pStyle w:val="BookText"/>
      </w:pPr>
      <w:r>
        <w:rPr>
          <w:rFonts w:ascii="Amiri" w:hAnsi="Amiri" w:eastAsia="Amiri" w:cs="Amiri"/>
          <w:lang w:bidi="ar-SA"/>
          <w:color w:val="111111"/>
          <w:sz w:val="28"/>
          <w:szCs w:val="28"/>
          <w:rtl/>
        </w:rPr>
        <w:t xml:space="preserve">آغاز: فى الادلة الشرعيه و فيه مطالب؛ انجام: برابر</w:t>
      </w:r>
    </w:p>
    <w:p>
      <w:pPr>
        <w:pStyle w:val="BookText"/>
      </w:pPr>
      <w:r>
        <w:rPr>
          <w:rFonts w:ascii="IRNazanin" w:hAnsi="IRNazanin" w:eastAsia="IRNazanin" w:cs="IRNazanin"/>
          <w:lang w:bidi="fa-IR"/>
          <w:color w:val="111111"/>
          <w:sz w:val="28"/>
          <w:szCs w:val="28"/>
          <w:rtl/>
        </w:rPr>
        <w:t xml:space="preserve">جلد دوم؛ خط: نسخ، بی کا، تا: ۱۲۵۶ق؛ اهدایی: رهبری، خرداد ۱۳۷۳؛ کاغذ: فرنگی آهار مهره شکری، جلد: تیماج ضربی عطف گالینگور، ۱۲۹گ، ۳۳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۳۰/۵سم [ ف : ۱۶ - ۱۹  ]</w:t>
      </w:r>
    </w:p>
    <w:p>
      <w:pPr>
        <w:pStyle w:val="BookText"/>
      </w:pPr>
      <w:r>
        <w:rPr>
          <w:rFonts w:ascii="IRNazanin" w:hAnsi="IRNazanin" w:eastAsia="IRNazanin" w:cs="IRNazanin"/>
          <w:lang w:bidi="fa-IR"/>
          <w:color w:val="111111"/>
          <w:sz w:val="28"/>
          <w:szCs w:val="28"/>
          <w:rtl/>
        </w:rPr>
        <w:t xml:space="preserve">۳۹. قم؛ مرعشی؛ شماره نسخه: ۳۰۱۸</w:t>
      </w:r>
    </w:p>
    <w:p>
      <w:pPr>
        <w:pStyle w:val="BookText"/>
      </w:pPr>
      <w:r>
        <w:rPr>
          <w:rFonts w:ascii="IRNazanin" w:hAnsi="IRNazanin" w:eastAsia="IRNazanin" w:cs="IRNazanin"/>
          <w:lang w:bidi="fa-IR"/>
          <w:color w:val="111111"/>
          <w:sz w:val="28"/>
          <w:szCs w:val="28"/>
          <w:rtl/>
        </w:rPr>
        <w:t xml:space="preserve">جلد دوم؛ خط: نسخ، کا: حسن بن عبدالقادر، تا: ۱۲۵۶ق؛ از روی نسخه مؤلف مقابله شده؛ جلد: تیماج  مشکی، ۱۸۷گ ، ۲۹ سطر،اندازه: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۳۰/۵سم [ف: ۸ - ۲۰۶]</w:t>
      </w:r>
    </w:p>
    <w:p>
      <w:pPr>
        <w:pStyle w:val="BookText"/>
      </w:pPr>
      <w:r>
        <w:rPr>
          <w:rFonts w:ascii="IRNazanin" w:hAnsi="IRNazanin" w:eastAsia="IRNazanin" w:cs="IRNazanin"/>
          <w:lang w:bidi="fa-IR"/>
          <w:color w:val="111111"/>
          <w:sz w:val="28"/>
          <w:szCs w:val="28"/>
          <w:rtl/>
        </w:rPr>
        <w:t xml:space="preserve">۴۰. قم؛ استادی رضا؛ شماره نسخه: نامعلوم/ ۱</w:t>
      </w:r>
    </w:p>
    <w:p>
      <w:pPr>
        <w:pStyle w:val="BookText"/>
      </w:pPr>
      <w:r>
        <w:rPr>
          <w:rFonts w:ascii="IRNazanin" w:hAnsi="IRNazanin" w:eastAsia="IRNazanin" w:cs="IRNazanin"/>
          <w:lang w:bidi="fa-IR"/>
          <w:color w:val="111111"/>
          <w:sz w:val="28"/>
          <w:szCs w:val="28"/>
          <w:rtl/>
        </w:rPr>
        <w:t xml:space="preserve">نیمه دوم از جلد دوم ( ادله عقلیه تا پایان)؛ خط: نسخ، کا: محـمد بن حسین حسینی، تا: از شعبان ۱۲۵۵ تا ربيع الاول ۱۲۵۶؛ ۱۴۴گ  (۱۴۴-۱)، ۲۲ سطر، اندازه: ۱۵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۲۰سم [صد و شصت :نسخه - 67]</w:t>
      </w:r>
    </w:p>
    <w:p>
      <w:pPr>
        <w:pStyle w:val="BookText"/>
      </w:pPr>
      <w:r>
        <w:rPr>
          <w:rFonts w:ascii="IRNazanin" w:hAnsi="IRNazanin" w:eastAsia="IRNazanin" w:cs="IRNazanin"/>
          <w:lang w:bidi="fa-IR"/>
          <w:color w:val="111111"/>
          <w:sz w:val="28"/>
          <w:szCs w:val="28"/>
          <w:rtl/>
        </w:rPr>
        <w:t xml:space="preserve">41.قم؛ مؤسسه حضرت آیة الله بروجردی؛ شماره نسخه: ۳۱۱</w:t>
      </w:r>
    </w:p>
    <w:p>
      <w:pPr>
        <w:pStyle w:val="BookText"/>
      </w:pPr>
      <w:r>
        <w:rPr>
          <w:rFonts w:ascii="IRNazanin" w:hAnsi="IRNazanin" w:eastAsia="IRNazanin" w:cs="IRNazanin"/>
          <w:lang w:bidi="fa-IR"/>
          <w:color w:val="111111"/>
          <w:sz w:val="28"/>
          <w:szCs w:val="28"/>
          <w:rtl/>
        </w:rPr>
        <w:t xml:space="preserve">جلد دوم؛ خط: نسخ، کا: عبدالکریم بن ملا رحیم بحرینی نقنه ای از محرم سمیرم،تا: دوشنبه ۲۶ صفر :۱۲۵۷ق؛ افتادگی: انجـام؛  تملک:حاج آقا حسین طباطبائی؛ جلد: تیماج قرمز ضربی، ۳۰۷گ، ۲۰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 - ۱۸۳]</w:t>
      </w:r>
    </w:p>
    <w:p>
      <w:pPr>
        <w:pStyle w:val="BookText"/>
      </w:pPr>
      <w:r>
        <w:rPr>
          <w:rFonts w:ascii="IRNazanin" w:hAnsi="IRNazanin" w:eastAsia="IRNazanin" w:cs="IRNazanin"/>
          <w:lang w:bidi="fa-IR"/>
          <w:color w:val="111111"/>
          <w:sz w:val="28"/>
          <w:szCs w:val="28"/>
          <w:rtl/>
        </w:rPr>
        <w:t xml:space="preserve">42.تهران؛ ملک؛ شماره نسخه: ۱۳۰۳</w:t>
      </w:r>
    </w:p>
    <w:p>
      <w:pPr>
        <w:pStyle w:val="BookText"/>
      </w:pPr>
      <w:r>
        <w:rPr>
          <w:rFonts w:ascii="IRNazanin" w:hAnsi="IRNazanin" w:eastAsia="IRNazanin" w:cs="IRNazanin"/>
          <w:lang w:bidi="fa-IR"/>
          <w:color w:val="111111"/>
          <w:sz w:val="28"/>
          <w:szCs w:val="28"/>
          <w:rtl/>
        </w:rPr>
        <w:t xml:space="preserve">از منهج دهم در ادله شرعیه آغاز می شود؛ خط: نسخ، کا: محـمد تقی  گلپایگانی، تا: ۱۲۵۸ق؛ کاغذ: فرنگی آهار مهره ،جلد: میشن یشمی  ضربی، ۲۱۴گ، ۲۵  سطر، اندازه: ۲۷/۳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۱۷/۸سم [ ف : ۲۱ -  35]</w:t>
      </w:r>
    </w:p>
    <w:p>
      <w:pPr>
        <w:pStyle w:val="BookText"/>
      </w:pPr>
      <w:r>
        <w:rPr>
          <w:rFonts w:ascii="IRNazanin" w:hAnsi="IRNazanin" w:eastAsia="IRNazanin" w:cs="IRNazanin"/>
          <w:lang w:bidi="fa-IR"/>
          <w:color w:val="111111"/>
          <w:sz w:val="28"/>
          <w:szCs w:val="28"/>
          <w:rtl/>
        </w:rPr>
        <w:t xml:space="preserve">43.اصفهان؛ دانشگاه اصفهان؛ شماره نسخه: ۲۴۰</w:t>
      </w:r>
    </w:p>
    <w:p>
      <w:pPr>
        <w:pStyle w:val="BookText"/>
      </w:pPr>
      <w:r>
        <w:rPr>
          <w:rFonts w:ascii="IRNazanin" w:hAnsi="IRNazanin" w:eastAsia="IRNazanin" w:cs="IRNazanin"/>
          <w:lang w:bidi="fa-IR"/>
          <w:color w:val="111111"/>
          <w:sz w:val="28"/>
          <w:szCs w:val="28"/>
          <w:rtl/>
        </w:rPr>
        <w:t xml:space="preserve">جلد دوم؛  خط: نسخ، کا: محمد صادق بن حاج محمد تـقی ورنوسفادرانی، تا: ۱۸ جمادی الثانی ۱۲۵۹ق؛ تصحیح شده توسط کاتب، محشی با عناوین «منه دام ظله»؛ جلد: روغنی ترنج و سر ترنج با لچکی، ۲۰۶گ، ۲۹ سطر ،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۳۰/۵سم [ف: ۱- ۱۸۵]</w:t>
      </w:r>
    </w:p>
    <w:p>
      <w:pPr>
        <w:pStyle w:val="BookText"/>
      </w:pPr>
      <w:r>
        <w:rPr>
          <w:rFonts w:ascii="IRNazanin" w:hAnsi="IRNazanin" w:eastAsia="IRNazanin" w:cs="IRNazanin"/>
          <w:lang w:bidi="fa-IR"/>
          <w:color w:val="111111"/>
          <w:sz w:val="28"/>
          <w:szCs w:val="28"/>
          <w:rtl/>
        </w:rPr>
        <w:t xml:space="preserve">۴۴. مشهد؛ رضوی؛ شماره نسخه: ۲۹۵۸</w:t>
      </w:r>
    </w:p>
    <w:p>
      <w:pPr>
        <w:pStyle w:val="BookText"/>
      </w:pPr>
      <w:r>
        <w:rPr>
          <w:rFonts w:ascii="Amiri" w:hAnsi="Amiri" w:eastAsia="Amiri" w:cs="Amiri"/>
          <w:lang w:bidi="ar-SA"/>
          <w:color w:val="111111"/>
          <w:sz w:val="28"/>
          <w:szCs w:val="28"/>
          <w:rtl/>
        </w:rPr>
        <w:t xml:space="preserve">آغاز: المنهج العاشر فى الادله الشرعيه؛ انجام: برابر</w:t>
      </w:r>
    </w:p>
    <w:p>
      <w:pPr>
        <w:pStyle w:val="BookText"/>
      </w:pPr>
      <w:r>
        <w:rPr>
          <w:rFonts w:ascii="IRNazanin" w:hAnsi="IRNazanin" w:eastAsia="IRNazanin" w:cs="IRNazanin"/>
          <w:lang w:bidi="fa-IR"/>
          <w:color w:val="111111"/>
          <w:sz w:val="28"/>
          <w:szCs w:val="28"/>
          <w:rtl/>
        </w:rPr>
        <w:t xml:space="preserve">خط ،نسخ، بی کا، تا: رجب ۱۲۵۹ق؛ نسخه را محمد علی حسینی گلپایگانی در ۱۲۵۵ مقابله نموده؛ وقفی مؤلف در رجب ۱۲۵۹ به وسیله منتجب الدین رحیمی در اسفند ۱۳۰۹ تسلیم کتابخانه شده؛ واقف: محمد ابراهیم کرباسی، رجب ۱۲۵۹؛ ۲۲۰گ، ۲۹سطر،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۳۰سم [ف: ۶ - ۳]</w:t>
      </w:r>
    </w:p>
    <w:p>
      <w:pPr>
        <w:pStyle w:val="BookText"/>
      </w:pPr>
      <w:r>
        <w:rPr>
          <w:rFonts w:ascii="IRNazanin" w:hAnsi="IRNazanin" w:eastAsia="IRNazanin" w:cs="IRNazanin"/>
          <w:lang w:bidi="fa-IR"/>
          <w:color w:val="111111"/>
          <w:sz w:val="28"/>
          <w:szCs w:val="28"/>
          <w:rtl/>
        </w:rPr>
        <w:t xml:space="preserve">۴۵. تهران؛ مجلس؛ شماره نسخه: ۱۷ خوئی</w:t>
      </w:r>
    </w:p>
    <w:p>
      <w:pPr>
        <w:pStyle w:val="BookText"/>
      </w:pPr>
      <w:r>
        <w:rPr>
          <w:rFonts w:ascii="Amiri" w:hAnsi="Amiri" w:eastAsia="Amiri" w:cs="Amiri"/>
          <w:lang w:bidi="ar-SA"/>
          <w:color w:val="111111"/>
          <w:sz w:val="28"/>
          <w:szCs w:val="28"/>
          <w:rtl/>
        </w:rPr>
        <w:t xml:space="preserve">آغاز: بسمله المنهج العاشر فى الادلة الشرعيه و فيه مطالب. مقدمة تشتمل على امور ... الدليل لغة فعيل بمعنى الفاعل و عند الفقهاء كما في النهايه؛ انجام: برابر</w:t>
      </w:r>
    </w:p>
    <w:p>
      <w:pPr>
        <w:pStyle w:val="BookText"/>
      </w:pPr>
      <w:r>
        <w:rPr>
          <w:rFonts w:ascii="IRNazanin" w:hAnsi="IRNazanin" w:eastAsia="IRNazanin" w:cs="IRNazanin"/>
          <w:lang w:bidi="fa-IR"/>
          <w:color w:val="111111"/>
          <w:sz w:val="28"/>
          <w:szCs w:val="28"/>
          <w:rtl/>
        </w:rPr>
        <w:t xml:space="preserve">خط: نسخ، کا: عبدالجواد خراسانی طبسی پسر آخوند عبد المحسن ،تا: شعبان ۱۲۶۲ق؛ عبدالجواد خراسانی طبسی پسر آخوند عبدالمحسن آن را در دو سال تصحیح و با نسخه ای  مصحح،مقابله کرده و در ۱۲۶۴ از تصحیح آن فراغت یافته و در کنار آخرین صفحه گواهی کرده ؛کاغذ: آهار مهره ،شکری ،جلد: تیماج سوخت که در وسط آن ترنجی نقاشی شده، ۲۵ سطر، قطع:  رحلی ،  اندازه: ۳۰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۴۰/۵سم [ف: ۷ - ۱۳]</w:t>
      </w:r>
    </w:p>
    <w:p>
      <w:pPr>
        <w:pStyle w:val="BookText"/>
      </w:pPr>
      <w:r>
        <w:rPr>
          <w:rFonts w:ascii="IRNazanin" w:hAnsi="IRNazanin" w:eastAsia="IRNazanin" w:cs="IRNazanin"/>
          <w:lang w:bidi="fa-IR"/>
          <w:color w:val="111111"/>
          <w:sz w:val="28"/>
          <w:szCs w:val="28"/>
          <w:rtl/>
        </w:rPr>
        <w:t xml:space="preserve">۴۶. قم؛ فیضیه؛ شماره نسخه: ۱۷۴</w:t>
      </w:r>
    </w:p>
    <w:p>
      <w:pPr>
        <w:pStyle w:val="BookText"/>
      </w:pPr>
      <w:r>
        <w:rPr>
          <w:rFonts w:ascii="Amiri" w:hAnsi="Amiri" w:eastAsia="Amiri" w:cs="Amiri"/>
          <w:lang w:bidi="ar-SA"/>
          <w:color w:val="111111"/>
          <w:sz w:val="28"/>
          <w:szCs w:val="28"/>
          <w:rtl/>
        </w:rPr>
        <w:t xml:space="preserve">آغاز: الثانى ان المقصود مماعنون به هنا وفي كلامهم الادلة الشرعية؛ انجام: برابر</w:t>
      </w:r>
    </w:p>
    <w:p>
      <w:pPr>
        <w:pStyle w:val="BookText"/>
      </w:pPr>
      <w:r>
        <w:rPr>
          <w:rFonts w:ascii="IRNazanin" w:hAnsi="IRNazanin" w:eastAsia="IRNazanin" w:cs="IRNazanin"/>
          <w:lang w:bidi="fa-IR"/>
          <w:color w:val="111111"/>
          <w:sz w:val="28"/>
          <w:szCs w:val="28"/>
          <w:rtl/>
        </w:rPr>
        <w:t xml:space="preserve">جلد دوم؛ خط: نسخ، کا: حسنعلی بن براتعلی سدهی لنجانی  اصفهانی، تا: ۱۲۶۶ق؛ افتادگی: آغاز ؛ ۱۷۵گ، ۳۱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۳۰سم [ف: ۱- ۱۴]</w:t>
      </w:r>
    </w:p>
    <w:p>
      <w:pPr>
        <w:pStyle w:val="BookText"/>
      </w:pPr>
      <w:r>
        <w:rPr>
          <w:rFonts w:ascii="IRNazanin" w:hAnsi="IRNazanin" w:eastAsia="IRNazanin" w:cs="IRNazanin"/>
          <w:lang w:bidi="fa-IR"/>
          <w:color w:val="111111"/>
          <w:sz w:val="28"/>
          <w:szCs w:val="28"/>
          <w:rtl/>
        </w:rPr>
        <w:t xml:space="preserve">۴۷. قم؛ مرکز احیاء؛ شماره نسخه: ۲۰۹۰</w:t>
      </w:r>
    </w:p>
    <w:p>
      <w:pPr>
        <w:pStyle w:val="BookText"/>
      </w:pPr>
      <w:r>
        <w:rPr>
          <w:rFonts w:ascii="Amiri" w:hAnsi="Amiri" w:eastAsia="Amiri" w:cs="Amiri"/>
          <w:lang w:bidi="ar-SA"/>
          <w:color w:val="111111"/>
          <w:sz w:val="28"/>
          <w:szCs w:val="28"/>
          <w:rtl/>
        </w:rPr>
        <w:t xml:space="preserve">آغاز: المطلب الثالث فى الادلة الشرعية و فيه مطالب مقدمة تشتمل على امور الاول الدليل لغة فعيل بمعنى الفاعل؛ انجام: برابر</w:t>
      </w:r>
    </w:p>
    <w:p>
      <w:pPr>
        <w:pStyle w:val="BookText"/>
      </w:pPr>
      <w:r>
        <w:rPr>
          <w:rFonts w:ascii="IRNazanin" w:hAnsi="IRNazanin" w:eastAsia="IRNazanin" w:cs="IRNazanin"/>
          <w:lang w:bidi="fa-IR"/>
          <w:color w:val="111111"/>
          <w:sz w:val="28"/>
          <w:szCs w:val="28"/>
          <w:rtl/>
        </w:rPr>
        <w:t xml:space="preserve">جلد دوم؛  خط: نسخ، کا: محمد کدکنی، تا: ۱۲۶۶ق؛ مصحح،  دارای علامت مقابله؛ دارای تملکی به سال ۱۲۹۷؛جلد: تیماج قهوه ای  ضربی، ۲۱۸گ، ۲۹سطر،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۳۱/۵سم [محدث  ارموی مخ: ۱ - ۱۳۴]</w:t>
      </w:r>
    </w:p>
    <w:p>
      <w:pPr>
        <w:pStyle w:val="BookText"/>
      </w:pPr>
      <w:r>
        <w:rPr>
          <w:rFonts w:ascii="IRNazanin" w:hAnsi="IRNazanin" w:eastAsia="IRNazanin" w:cs="IRNazanin"/>
          <w:lang w:bidi="fa-IR"/>
          <w:color w:val="111111"/>
          <w:sz w:val="28"/>
          <w:szCs w:val="28"/>
          <w:rtl/>
        </w:rPr>
        <w:t xml:space="preserve">۴۸. تهران؛ دانشگاه؛ شماره نسخه: ۷۹۴</w:t>
      </w:r>
    </w:p>
    <w:p>
      <w:pPr>
        <w:pStyle w:val="BookText"/>
      </w:pPr>
      <w:r>
        <w:rPr>
          <w:rFonts w:ascii="Amiri" w:hAnsi="Amiri" w:eastAsia="Amiri" w:cs="Amiri"/>
          <w:lang w:bidi="ar-SA"/>
          <w:color w:val="111111"/>
          <w:sz w:val="28"/>
          <w:szCs w:val="28"/>
          <w:rtl/>
        </w:rPr>
        <w:t xml:space="preserve">آغاز: بسمله. الحمد لله رب العالمين ... المطلب الاول في الادلة الشرعيه؛ انجام: برابر</w:t>
      </w:r>
    </w:p>
    <w:p>
      <w:pPr>
        <w:pStyle w:val="BookText"/>
      </w:pPr>
      <w:r>
        <w:rPr>
          <w:rFonts w:ascii="IRNazanin" w:hAnsi="IRNazanin" w:eastAsia="IRNazanin" w:cs="IRNazanin"/>
          <w:lang w:bidi="fa-IR"/>
          <w:color w:val="111111"/>
          <w:sz w:val="28"/>
          <w:szCs w:val="28"/>
          <w:rtl/>
        </w:rPr>
        <w:t xml:space="preserve">جلد دوم؛ خط: نسخ، بی کا، تا: ۱۲۶۶ق؛ ابی طالب محمد موسوی در شعبان ۱۳۱۸ در تهران دارنده نسخه بوده با مهر او «ابوطالب محمد موسوی»؛ کاغذ: فرنگی آهار مهره، جلد: تیماج سبز تازه، ۱۶۹گ، ۳۱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 اندازه: ۲۰/۵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۳۰/۵سم [ف: ۵ - ۱۶۶۰]</w:t>
      </w:r>
    </w:p>
    <w:p>
      <w:pPr>
        <w:pStyle w:val="BookText"/>
      </w:pPr>
      <w:r>
        <w:rPr>
          <w:rFonts w:ascii="IRNazanin" w:hAnsi="IRNazanin" w:eastAsia="IRNazanin" w:cs="IRNazanin"/>
          <w:lang w:bidi="fa-IR"/>
          <w:color w:val="111111"/>
          <w:sz w:val="28"/>
          <w:szCs w:val="28"/>
          <w:rtl/>
        </w:rPr>
        <w:t xml:space="preserve">۴۹. مشهد؛ رضوی؛ شماره نسخه: ۹۰۳۴</w:t>
      </w:r>
    </w:p>
    <w:p>
      <w:pPr>
        <w:pStyle w:val="BookText"/>
      </w:pPr>
      <w:r>
        <w:rPr>
          <w:rFonts w:ascii="IRNazanin" w:hAnsi="IRNazanin" w:eastAsia="IRNazanin" w:cs="IRNazanin"/>
          <w:lang w:bidi="fa-IR"/>
          <w:color w:val="111111"/>
          <w:sz w:val="28"/>
          <w:szCs w:val="28"/>
          <w:rtl/>
        </w:rPr>
        <w:t xml:space="preserve">آغاز: فی الادلة الشرعيه و فيه مطالب؛ انجام: برابر</w:t>
      </w:r>
    </w:p>
    <w:p>
      <w:pPr>
        <w:pStyle w:val="BookText"/>
      </w:pPr>
      <w:r>
        <w:rPr>
          <w:rFonts w:ascii="IRNazanin" w:hAnsi="IRNazanin" w:eastAsia="IRNazanin" w:cs="IRNazanin"/>
          <w:lang w:bidi="fa-IR"/>
          <w:color w:val="111111"/>
          <w:sz w:val="28"/>
          <w:szCs w:val="28"/>
          <w:rtl/>
        </w:rPr>
        <w:t xml:space="preserve">جلد ۲؛ خط: نسخ، کا: حسنعلی بن براتعلی سدهی لنجانی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381" w:name="pg20365_260530"/>
    <w:bookmarkEnd w:id="381"/>
    <w:p>
      <w:pPr>
        <w:pStyle w:val="BookText"/>
      </w:pPr>
      <w:r>
        <w:rPr>
          <w:rFonts w:ascii="IRNazanin" w:hAnsi="IRNazanin" w:eastAsia="IRNazanin" w:cs="IRNazanin"/>
          <w:lang w:bidi="fa-IR"/>
          <w:color w:val="111111"/>
          <w:sz w:val="28"/>
          <w:szCs w:val="28"/>
          <w:rtl/>
        </w:rPr>
        <w:t xml:space="preserve">اصفهانی، تا: ۲۴ ربیع الاول ۱۲۶۶ق؛ واقف: شیخ مرتضی امامی تلارمی، تیر ۱۳۴۱ ؛کاغذ: فرنگی شکری آهار مهره ،جلد: تیماج مشکی، ۱۶۱گ، ۳۱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۳۰سم [ف: ۱۶ - ۱۹]</w:t>
      </w:r>
    </w:p>
    <w:p>
      <w:pPr>
        <w:pStyle w:val="BookText"/>
      </w:pPr>
      <w:r>
        <w:rPr>
          <w:rFonts w:ascii="IRNazanin" w:hAnsi="IRNazanin" w:eastAsia="IRNazanin" w:cs="IRNazanin"/>
          <w:lang w:bidi="fa-IR"/>
          <w:color w:val="111111"/>
          <w:sz w:val="28"/>
          <w:szCs w:val="28"/>
          <w:rtl/>
        </w:rPr>
        <w:t xml:space="preserve">۵۰. قم؛ مسجد اعظم؛ شماره نسخه: ۱۹۳۸/۱</w:t>
      </w:r>
    </w:p>
    <w:p>
      <w:pPr>
        <w:pStyle w:val="BookText"/>
      </w:pPr>
      <w:r>
        <w:rPr>
          <w:rFonts w:ascii="Amiri" w:hAnsi="Amiri" w:eastAsia="Amiri" w:cs="Amiri"/>
          <w:lang w:bidi="ar-SA"/>
          <w:color w:val="111111"/>
          <w:sz w:val="28"/>
          <w:szCs w:val="28"/>
          <w:rtl/>
        </w:rPr>
        <w:t xml:space="preserve">آغاز: المطلب الرابع فى الادلة العقلية مقدمة. الدليل العقلي هنا حكم عقلى ينتقل منه الى حكم شرعى ولو بالنظر وهو لا يتوقف على خطاب شرعى كما لوثبت الملزوم شرعا فحكم العقل ؛ انجـام: و لا ينافيه عدم الحجية كالشهرة و فى الوافية فى تعارض الخبر و الاستصحاب فان كان اصل الاستصحاب ثابتا بخبر الواحد فالظاهر تقديم الخبر والا فمحل تأمل و فيه نظر.</w:t>
      </w:r>
    </w:p>
    <w:p>
      <w:pPr>
        <w:pStyle w:val="BookText"/>
      </w:pPr>
      <w:r>
        <w:rPr>
          <w:rFonts w:ascii="IRNazanin" w:hAnsi="IRNazanin" w:eastAsia="IRNazanin" w:cs="IRNazanin"/>
          <w:lang w:bidi="fa-IR"/>
          <w:color w:val="111111"/>
          <w:sz w:val="28"/>
          <w:szCs w:val="28"/>
          <w:rtl/>
        </w:rPr>
        <w:t xml:space="preserve">نام مؤلف به استناد همخوانی آغاز با نسخه ش ۷۳۸ گوهرشاد ذکر شد؛ خط: نستعلیق، بی کا، تا: سه شنبه صفر ۱۲۷۱ق، اصفهان، مدرسه جدید فاضل کلباسی؛ جلد: تیماج مشکی ترنج و سر مجدول گرهی، ۸۰گ، ۱۸سطر،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مخ: 1- 483]</w:t>
      </w:r>
    </w:p>
    <w:p>
      <w:pPr>
        <w:pStyle w:val="BookText"/>
      </w:pPr>
      <w:r>
        <w:rPr>
          <w:rFonts w:ascii="IRNazanin" w:hAnsi="IRNazanin" w:eastAsia="IRNazanin" w:cs="IRNazanin"/>
          <w:lang w:bidi="fa-IR"/>
          <w:color w:val="111111"/>
          <w:sz w:val="28"/>
          <w:szCs w:val="28"/>
          <w:rtl/>
        </w:rPr>
        <w:t xml:space="preserve">۵۱. اصفهان؛ مدرسه صدر بازار؛ شماره نسخه: ۶۸۲</w:t>
      </w:r>
    </w:p>
    <w:p>
      <w:pPr>
        <w:pStyle w:val="BookText"/>
      </w:pPr>
      <w:r>
        <w:rPr>
          <w:rFonts w:ascii="IRNazanin" w:hAnsi="IRNazanin" w:eastAsia="IRNazanin" w:cs="IRNazanin"/>
          <w:lang w:bidi="fa-IR"/>
          <w:color w:val="111111"/>
          <w:sz w:val="28"/>
          <w:szCs w:val="28"/>
          <w:rtl/>
        </w:rPr>
        <w:t xml:space="preserve">جلد دوم؛ خط: نسخ، کا: محمد رضا نجف آبادی  اصفهانی، تا:5 محرم ۱۲۷۲ق؛ روی برگ اول یادداشتی آمده که کتاب بشارات  فی الاصول از میرزا محمد مهدی فرزند مرحوم کلباسی معرفی نموده ؛جلد: تیماج قهوه ای سوخته ضربی، ۱۸۸گ، ۲۸ سـطر، اندازه: ۲۰/۵۰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۳۰/۵سم [ف: ۲ - ۵۰۱]</w:t>
      </w:r>
    </w:p>
    <w:p>
      <w:pPr>
        <w:pStyle w:val="BookText"/>
      </w:pPr>
      <w:r>
        <w:rPr>
          <w:rFonts w:ascii="IRNazanin" w:hAnsi="IRNazanin" w:eastAsia="IRNazanin" w:cs="IRNazanin"/>
          <w:lang w:bidi="fa-IR"/>
          <w:color w:val="111111"/>
          <w:sz w:val="28"/>
          <w:szCs w:val="28"/>
          <w:rtl/>
        </w:rPr>
        <w:t xml:space="preserve">۵۲. قم؛ مرکز احیاء؛ شماره نسخه: ۳۷۳۳</w:t>
      </w:r>
    </w:p>
    <w:p>
      <w:pPr>
        <w:pStyle w:val="BookText"/>
      </w:pPr>
      <w:r>
        <w:rPr>
          <w:rFonts w:ascii="IRNazanin" w:hAnsi="IRNazanin" w:eastAsia="IRNazanin" w:cs="IRNazanin"/>
          <w:lang w:bidi="fa-IR"/>
          <w:color w:val="111111"/>
          <w:sz w:val="28"/>
          <w:szCs w:val="28"/>
          <w:rtl/>
        </w:rPr>
        <w:t xml:space="preserve">جلد دوم؛ خط: نسخ، کا: محمد بديع بن سيد مصطفى بن میر عبدالحمید موسوی رضا توفیقی اصفهانی درب امامی، پنج شنبه ۱۳ ذیحجه ۱۲۷۵ق، تا: از شنبه ۲۰ شوال ۱۲۷۳ تا پنج شـنبه ۱۳ ذیحجه ۱۲۷۵؛ جلد: تیماج قرمز  ضربی،۲۴۰گ، ۲۷ سـطر، اندازه: ۱۷/۵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۲۸سم [محدث ارموی مخ: ۱- ۱۳۴]</w:t>
      </w:r>
    </w:p>
    <w:p>
      <w:pPr>
        <w:pStyle w:val="BookText"/>
      </w:pPr>
      <w:r>
        <w:rPr>
          <w:rFonts w:ascii="IRNazanin" w:hAnsi="IRNazanin" w:eastAsia="IRNazanin" w:cs="IRNazanin"/>
          <w:lang w:bidi="fa-IR"/>
          <w:color w:val="111111"/>
          <w:sz w:val="28"/>
          <w:szCs w:val="28"/>
          <w:rtl/>
        </w:rPr>
        <w:t xml:space="preserve">۵۳. اصفهان؛ مهدوی مصلح الدین؛ شماره نسخه:۸۶</w:t>
      </w:r>
    </w:p>
    <w:p>
      <w:pPr>
        <w:pStyle w:val="BookText"/>
      </w:pPr>
      <w:r>
        <w:rPr>
          <w:rFonts w:ascii="Amiri" w:hAnsi="Amiri" w:eastAsia="Amiri" w:cs="Amiri"/>
          <w:lang w:bidi="ar-SA"/>
          <w:color w:val="111111"/>
          <w:sz w:val="28"/>
          <w:szCs w:val="28"/>
          <w:rtl/>
        </w:rPr>
        <w:t xml:space="preserve">آغاز: المنهج العاشر فى الادلة الشرعية و فيه مطالب</w:t>
      </w:r>
    </w:p>
    <w:p>
      <w:pPr>
        <w:pStyle w:val="BookText"/>
      </w:pPr>
      <w:r>
        <w:rPr>
          <w:rFonts w:ascii="IRNazanin" w:hAnsi="IRNazanin" w:eastAsia="IRNazanin" w:cs="IRNazanin"/>
          <w:lang w:bidi="fa-IR"/>
          <w:color w:val="111111"/>
          <w:sz w:val="28"/>
          <w:szCs w:val="28"/>
          <w:rtl/>
        </w:rPr>
        <w:t xml:space="preserve">خط: نسخ، بی کا، تا: ۱۲۸۶ق؛ جلد: تیماج  مشکی، ۲۰۷گ ،29سطر، اندازه: ۲۰/۵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۳۰/۵سم [ف: ۶۹۰]</w:t>
      </w:r>
    </w:p>
    <w:p>
      <w:pPr>
        <w:pStyle w:val="BookText"/>
      </w:pPr>
      <w:r>
        <w:rPr>
          <w:rFonts w:ascii="IRNazanin" w:hAnsi="IRNazanin" w:eastAsia="IRNazanin" w:cs="IRNazanin"/>
          <w:lang w:bidi="fa-IR"/>
          <w:color w:val="111111"/>
          <w:sz w:val="28"/>
          <w:szCs w:val="28"/>
          <w:rtl/>
        </w:rPr>
        <w:t xml:space="preserve">۵۴. مشهد؛ رضوی؛ شماره نسخه: ۲۵۳۶۷</w:t>
      </w:r>
    </w:p>
    <w:p>
      <w:pPr>
        <w:pStyle w:val="BookText"/>
      </w:pPr>
      <w:r>
        <w:rPr>
          <w:rFonts w:ascii="IRNazanin" w:hAnsi="IRNazanin" w:eastAsia="IRNazanin" w:cs="IRNazanin"/>
          <w:lang w:bidi="fa-IR"/>
          <w:color w:val="111111"/>
          <w:sz w:val="28"/>
          <w:szCs w:val="28"/>
          <w:rtl/>
        </w:rPr>
        <w:t xml:space="preserve">آغاز: بسمله حمد له اختلفت انظار اهل التحقيق؛ انجام: من  حیث الكمال لا من حيث الاجزاء ... سنه ۱۳۱۴</w:t>
      </w:r>
    </w:p>
    <w:p>
      <w:pPr>
        <w:pStyle w:val="BookText"/>
      </w:pPr>
      <w:r>
        <w:rPr>
          <w:rFonts w:ascii="IRNazanin" w:hAnsi="IRNazanin" w:eastAsia="IRNazanin" w:cs="IRNazanin"/>
          <w:lang w:bidi="fa-IR"/>
          <w:color w:val="111111"/>
          <w:sz w:val="28"/>
          <w:szCs w:val="28"/>
          <w:rtl/>
        </w:rPr>
        <w:t xml:space="preserve">خط: نسخ،  كا: على اكبر بن حسین  خراسانی، تا: ۱۳۱۴ق [رایانه]</w:t>
      </w:r>
    </w:p>
    <w:p>
      <w:pPr>
        <w:pStyle w:val="BookText"/>
      </w:pPr>
      <w:r>
        <w:rPr>
          <w:rFonts w:ascii="IRNazanin" w:hAnsi="IRNazanin" w:eastAsia="IRNazanin" w:cs="IRNazanin"/>
          <w:lang w:bidi="fa-IR"/>
          <w:color w:val="111111"/>
          <w:sz w:val="28"/>
          <w:szCs w:val="28"/>
          <w:rtl/>
        </w:rPr>
        <w:t xml:space="preserve">۵۵. قم؛ مرعشی؛ شماره نسخه: ۱۰۶۵۷</w:t>
      </w:r>
    </w:p>
    <w:p>
      <w:pPr>
        <w:pStyle w:val="BookText"/>
      </w:pPr>
      <w:r>
        <w:rPr>
          <w:rFonts w:ascii="IRNazanin" w:hAnsi="IRNazanin" w:eastAsia="IRNazanin" w:cs="IRNazanin"/>
          <w:lang w:bidi="fa-IR"/>
          <w:color w:val="111111"/>
          <w:sz w:val="28"/>
          <w:szCs w:val="28"/>
          <w:rtl/>
        </w:rPr>
        <w:t xml:space="preserve">جلد دوم؛ خط: نسخ، بی کا، بی تا؛ مصحح؛ جلد: تیماج قرمز، ۲۴۴گ، ۲۷ سطر، اندازه: ۱۶/۵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۲۷ - ۱۱۲]</w:t>
      </w:r>
    </w:p>
    <w:p>
      <w:pPr>
        <w:pStyle w:val="BookText"/>
      </w:pPr>
      <w:r>
        <w:rPr>
          <w:rFonts w:ascii="IRNazanin" w:hAnsi="IRNazanin" w:eastAsia="IRNazanin" w:cs="IRNazanin"/>
          <w:lang w:bidi="fa-IR"/>
          <w:color w:val="111111"/>
          <w:sz w:val="28"/>
          <w:szCs w:val="28"/>
          <w:rtl/>
        </w:rPr>
        <w:t xml:space="preserve">۵۶. قم؛ مرعشی؛ شماره نسخه: ۲۲۲۰</w:t>
      </w:r>
    </w:p>
    <w:p>
      <w:pPr>
        <w:pStyle w:val="BookText"/>
      </w:pPr>
      <w:r>
        <w:rPr>
          <w:rFonts w:ascii="IRNazanin" w:hAnsi="IRNazanin" w:eastAsia="IRNazanin" w:cs="IRNazanin"/>
          <w:lang w:bidi="fa-IR"/>
          <w:color w:val="111111"/>
          <w:sz w:val="28"/>
          <w:szCs w:val="28"/>
          <w:rtl/>
        </w:rPr>
        <w:t xml:space="preserve">جلد اول؛ خط: نسخ زیبا، بی کا، بی تا؛ مصحح، دارای علامت  بلاغ، مجدول، دارای سرلوح رنگین زیبا؛ جلد: تیماج قرمز ضربی عطف تیماج قهوه ای، ۲۸۲گ ۲۵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۲۹/۵سم [  ف: 6- 211]</w:t>
      </w:r>
    </w:p>
    <w:p>
      <w:pPr>
        <w:pStyle w:val="BookText"/>
      </w:pPr>
      <w:r>
        <w:rPr>
          <w:rFonts w:ascii="IRNazanin" w:hAnsi="IRNazanin" w:eastAsia="IRNazanin" w:cs="IRNazanin"/>
          <w:lang w:bidi="fa-IR"/>
          <w:color w:val="111111"/>
          <w:sz w:val="28"/>
          <w:szCs w:val="28"/>
          <w:rtl/>
        </w:rPr>
        <w:t xml:space="preserve">۵۷. تهران؛ ملی؛ شماره نسخه: ۲۵۹۰۹</w:t>
      </w:r>
    </w:p>
    <w:p>
      <w:pPr>
        <w:pStyle w:val="BookText"/>
      </w:pPr>
      <w:r>
        <w:rPr>
          <w:rFonts w:ascii="IRNazanin" w:hAnsi="IRNazanin" w:eastAsia="IRNazanin" w:cs="IRNazanin"/>
          <w:lang w:bidi="fa-IR"/>
          <w:color w:val="111111"/>
          <w:sz w:val="28"/>
          <w:szCs w:val="28"/>
          <w:rtl/>
        </w:rPr>
        <w:t xml:space="preserve">بی کا، بی تا، خریداری از حوزه علمیه ولی عصر کرمان [رایانه]</w:t>
      </w:r>
    </w:p>
    <w:p>
      <w:pPr>
        <w:pStyle w:val="BookText"/>
      </w:pPr>
      <w:r>
        <w:rPr>
          <w:rFonts w:ascii="IRNazanin" w:hAnsi="IRNazanin" w:eastAsia="IRNazanin" w:cs="IRNazanin"/>
          <w:lang w:bidi="fa-IR"/>
          <w:color w:val="111111"/>
          <w:sz w:val="28"/>
          <w:szCs w:val="28"/>
          <w:rtl/>
        </w:rPr>
        <w:t xml:space="preserve">۵۸. مشهد؛ ادبیات؛ شماره نسخه: ۴۶ فرخ</w:t>
      </w:r>
    </w:p>
    <w:p>
      <w:pPr>
        <w:pStyle w:val="BookText"/>
      </w:pPr>
      <w:r>
        <w:rPr>
          <w:rFonts w:ascii="IRNazanin" w:hAnsi="IRNazanin" w:eastAsia="IRNazanin" w:cs="IRNazanin"/>
          <w:lang w:bidi="fa-IR"/>
          <w:color w:val="111111"/>
          <w:sz w:val="28"/>
          <w:szCs w:val="28"/>
          <w:rtl/>
        </w:rPr>
        <w:t xml:space="preserve">جلد اول؛ خط: نسخ، بی کا، بی تا؛ محشى با امضاء لمحرره علینقی، مجدول به طلا و  تحریر، دارای یک سرلوح مرصع زمینه طلا ؛جلد: روغنی سه حاشیه ای و  سه ترنج ، ۲۳۳گ، ۲۵ سطر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۱۱/۵)، قطع: رحلی،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۲۹سم [ف: ۸]</w:t>
      </w:r>
    </w:p>
    <w:p>
      <w:pPr>
        <w:pStyle w:val="BookText"/>
      </w:pPr>
      <w:r>
        <w:rPr>
          <w:rFonts w:ascii="IRNazanin" w:hAnsi="IRNazanin" w:eastAsia="IRNazanin" w:cs="IRNazanin"/>
          <w:lang w:bidi="fa-IR"/>
          <w:color w:val="111111"/>
          <w:sz w:val="28"/>
          <w:szCs w:val="28"/>
          <w:rtl/>
        </w:rPr>
        <w:t xml:space="preserve">۵۹. تهران؛ دانشگاه؛ شماره نسخه: ۷۷۰۴/۱</w:t>
      </w:r>
    </w:p>
    <w:p>
      <w:pPr>
        <w:pStyle w:val="BookText"/>
      </w:pPr>
      <w:r>
        <w:rPr>
          <w:rFonts w:ascii="IRNazanin" w:hAnsi="IRNazanin" w:eastAsia="IRNazanin" w:cs="IRNazanin"/>
          <w:lang w:bidi="fa-IR"/>
          <w:color w:val="111111"/>
          <w:sz w:val="28"/>
          <w:szCs w:val="28"/>
          <w:rtl/>
        </w:rPr>
        <w:t xml:space="preserve">در «الثلث الاول من العشر الثالث من العشر السادس من الالف الثاني»؛ خط: نسخ، بی کا، بی تا؛ کاغذ: فرنگی، جلد: تیماج مشکی ضربی ترنجی عطف تریاکی اص ،(۴) ابعاد متن: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 ،اندازه: ۲۱/۵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۳۳سم [ف : ۱۶ - ۶۷۸]</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مشهد؛ رضوی؛ شماره نسخه: ۷۳۶۰</w:t>
      </w:r>
    </w:p>
    <w:p>
      <w:pPr>
        <w:pStyle w:val="BookText"/>
      </w:pPr>
      <w:r>
        <w:rPr>
          <w:rFonts w:ascii="Amiri" w:hAnsi="Amiri" w:eastAsia="Amiri" w:cs="Amiri"/>
          <w:lang w:bidi="ar-SA"/>
          <w:color w:val="111111"/>
          <w:sz w:val="28"/>
          <w:szCs w:val="28"/>
          <w:rtl/>
        </w:rPr>
        <w:t xml:space="preserve">آغاز: المنهج العاشر في الادلة الشرعية وفيه مطالب الاول الدليل لغة فعيل بمعنى الفاعل و عند الفقهاء؛ انجام: برابر</w:t>
      </w:r>
    </w:p>
    <w:p>
      <w:pPr>
        <w:pStyle w:val="BookText"/>
      </w:pPr>
      <w:r>
        <w:rPr>
          <w:rFonts w:ascii="IRNazanin" w:hAnsi="IRNazanin" w:eastAsia="IRNazanin" w:cs="IRNazanin"/>
          <w:lang w:bidi="fa-IR"/>
          <w:color w:val="111111"/>
          <w:sz w:val="28"/>
          <w:szCs w:val="28"/>
          <w:rtl/>
        </w:rPr>
        <w:t xml:space="preserve">جلد دوم؛ خط: نسخ، بی کا، بی تا؛ دارای یک سرلوح زیبا،  مجدول؛ ۲۲۰گ، ۲۷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۳۰سم [ف ۶ - ۳]</w:t>
      </w:r>
    </w:p>
    <w:p>
      <w:pPr>
        <w:pStyle w:val="BookText"/>
      </w:pPr>
      <w:r>
        <w:rPr>
          <w:rFonts w:ascii="IRNazanin" w:hAnsi="IRNazanin" w:eastAsia="IRNazanin" w:cs="IRNazanin"/>
          <w:lang w:bidi="fa-IR"/>
          <w:color w:val="111111"/>
          <w:sz w:val="28"/>
          <w:szCs w:val="28"/>
          <w:rtl/>
        </w:rPr>
        <w:t xml:space="preserve">۶۱ . قم؛ گلپایگانی؛ شماره نسخه: ۲۷۴-۲/۹۴</w:t>
      </w:r>
    </w:p>
    <w:p>
      <w:pPr>
        <w:pStyle w:val="BookText"/>
      </w:pPr>
      <w:r>
        <w:rPr>
          <w:rFonts w:ascii="Amiri" w:hAnsi="Amiri" w:eastAsia="Amiri" w:cs="Amiri"/>
          <w:lang w:bidi="ar-SA"/>
          <w:color w:val="111111"/>
          <w:sz w:val="28"/>
          <w:szCs w:val="28"/>
          <w:rtl/>
        </w:rPr>
        <w:t xml:space="preserve">آغاز: بسمله. فى الادلة الشرعية وفيه مطالب مقدمة تشتمل على امور. الاول الدليل لغة. فعيل بمعنى الفاعل وعند الفقهاء كما في النهاية وفيه نظر ما يمكن ان يتوصل بصحيح النظر؛ انجام: ونحن قد اقتصرنا من الطرق الى ما انتهت الى اللؤلؤة وغيرها و ان وفقنى الله اكتب اجازة مفصلة. ان شاء الله سبحانه تمت و الحمد لمن آلاوه عمت.</w:t>
      </w:r>
    </w:p>
    <w:p>
      <w:pPr>
        <w:pStyle w:val="BookText"/>
      </w:pPr>
      <w:r>
        <w:rPr>
          <w:rFonts w:ascii="IRNazanin" w:hAnsi="IRNazanin" w:eastAsia="IRNazanin" w:cs="IRNazanin"/>
          <w:lang w:bidi="fa-IR"/>
          <w:color w:val="111111"/>
          <w:sz w:val="28"/>
          <w:szCs w:val="28"/>
          <w:rtl/>
        </w:rPr>
        <w:t xml:space="preserve">جلد دوم؛ خط: نسخ، بی كا، بی تا؛ در برگ اول مهری به تاریخ ۱۲۱۰ دیده می شود ،مصحح حواشی با امضای «منه مدظله العالی»؛ جلد: تیماج قهوه ای،ضربی، با ترنج با سر لچگی مجدول  گرهی، ۱۷۵گ، ۲۲ سطر،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۱ - ۳۶۶]</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زنجان؛ امام جمعه؛ شماره نسخه: بدون شماره</w:t>
      </w:r>
    </w:p>
    <w:p>
      <w:pPr>
        <w:pStyle w:val="BookText"/>
      </w:pPr>
      <w:r>
        <w:rPr>
          <w:rFonts w:ascii="IRNazanin" w:hAnsi="IRNazanin" w:eastAsia="IRNazanin" w:cs="IRNazanin"/>
          <w:lang w:bidi="fa-IR"/>
          <w:color w:val="111111"/>
          <w:sz w:val="28"/>
          <w:szCs w:val="28"/>
          <w:rtl/>
        </w:rPr>
        <w:t xml:space="preserve">مباحث المطلق و المقيد؛ بی کا، بی تا؛ مجدول مذهبه [دليل  المخطوطات: ۱ - ۹۱]</w:t>
      </w:r>
    </w:p>
    <w:p>
      <w:pPr>
        <w:pStyle w:val="BookText"/>
      </w:pPr>
      <w:r>
        <w:rPr>
          <w:rFonts w:ascii="IRNazanin" w:hAnsi="IRNazanin" w:eastAsia="IRNazanin" w:cs="IRNazanin"/>
          <w:lang w:bidi="fa-IR"/>
          <w:color w:val="111111"/>
          <w:sz w:val="28"/>
          <w:szCs w:val="28"/>
          <w:rtl/>
        </w:rPr>
        <w:t xml:space="preserve">63.،زنجان؛ امام جمعه؛ شماره نسخه: بدون شماره</w:t>
      </w:r>
    </w:p>
    <w:p>
      <w:pPr>
        <w:pStyle w:val="BookText"/>
      </w:pPr>
      <w:r>
        <w:rPr>
          <w:rFonts w:ascii="IRNazanin" w:hAnsi="IRNazanin" w:eastAsia="IRNazanin" w:cs="IRNazanin"/>
          <w:lang w:bidi="fa-IR"/>
          <w:color w:val="111111"/>
          <w:sz w:val="28"/>
          <w:szCs w:val="28"/>
          <w:rtl/>
        </w:rPr>
        <w:t xml:space="preserve">الادلة الشرعیة؛ بی کا بی تا ؛افتادگی: انجام؛ مجدول [دلیل المخطوطات ۱ - ۹۱]</w:t>
      </w:r>
    </w:p>
    <w:p>
      <w:pPr>
        <w:pStyle w:val="Heading3"/>
      </w:pPr>
      <w:bookmarkStart w:id="1842" w:name="_Toc1364"/>
      <w:r>
        <w:t>اشارات الاصول (ارجوزة) / كلام و اعتقادات، شعر / عربی</w:t>
      </w:r>
      <w:bookmarkEnd w:id="1842"/>
    </w:p>
    <w:p>
      <w:pPr>
        <w:pStyle w:val="BookText"/>
      </w:pPr>
      <w:r>
        <w:rPr>
          <w:rFonts w:ascii="Times New Roman" w:hAnsi="Times New Roman" w:eastAsia="Times New Roman" w:cs="Times New Roman"/>
          <w:lang w:val="en-US" w:bidi="en-US"/>
          <w:color w:val="111111"/>
          <w:sz w:val="28"/>
          <w:szCs w:val="28"/>
          <w:rtl/>
        </w:rPr>
        <w:t xml:space="preserve">(išārāt-ul-uṣūl (urjūza)</w:t>
      </w:r>
    </w:p>
    <w:p>
      <w:pPr>
        <w:pStyle w:val="BookText"/>
      </w:pPr>
      <w:r>
        <w:rPr>
          <w:rFonts w:ascii="IRNazanin" w:hAnsi="IRNazanin" w:eastAsia="IRNazanin" w:cs="IRNazanin"/>
          <w:lang w:bidi="fa-IR"/>
          <w:color w:val="111111"/>
          <w:sz w:val="28"/>
          <w:szCs w:val="28"/>
          <w:rtl/>
        </w:rPr>
        <w:t xml:space="preserve">قم؛ مرعشی؛ شماره نسخه: ۲۳۰۲/۱</w:t>
      </w:r>
    </w:p>
    <w:p>
      <w:pPr>
        <w:pStyle w:val="BookText"/>
      </w:pPr>
      <w:r>
        <w:rPr>
          <w:rFonts w:ascii="IRNazanin" w:hAnsi="IRNazanin" w:eastAsia="IRNazanin" w:cs="IRNazanin"/>
          <w:lang w:bidi="fa-IR"/>
          <w:color w:val="111111"/>
          <w:sz w:val="28"/>
          <w:szCs w:val="28"/>
          <w:rtl/>
        </w:rPr>
        <w:t xml:space="preserve">آغاز: هاک الاشارات الى الاصول مع *** ما هي في اكتسابها بها اتبع / يستبصر البصير فيهن و لا *** تنفع للفظ و لو تفضلا؛ انجام: ناتمام و هو عن العارض و المانع مع *** ما يحمل الصورة اذبها  اتبع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382" w:name="pg20365_260531"/>
    <w:bookmarkEnd w:id="382"/>
    <w:p>
      <w:pPr>
        <w:pStyle w:val="BookText"/>
      </w:pPr>
      <w:r>
        <w:rPr>
          <w:rFonts w:ascii="IRNazanin" w:hAnsi="IRNazanin" w:eastAsia="IRNazanin" w:cs="IRNazanin"/>
          <w:lang w:bidi="fa-IR"/>
          <w:color w:val="111111"/>
          <w:sz w:val="28"/>
          <w:szCs w:val="28"/>
          <w:rtl/>
        </w:rPr>
        <w:t xml:space="preserve">ارجوزه ای است در اصول اعتقادی گویا از سید قوام الدین حلی ولی چون خطبه نیامده و تمام ارجوزه در نسخه نوشته نشده مولف و نام منظومه معلوم نگشت. در این نسخه نمط اول در تجوهر جسم آمده است؛ خط: نسخ، بی کا، تا: دوشنبه ۳ رمضان ۱۲۲۳ ق؛جلد: تیماج مشکی، بدون مقوا، ۴گ (۱پ-۴پ)، ۱۹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۶ - ۲۸۵]</w:t>
      </w:r>
    </w:p>
    <w:p>
      <w:pPr>
        <w:pStyle w:val="Heading3"/>
      </w:pPr>
      <w:bookmarkStart w:id="1843" w:name="_Toc1365"/>
      <w:r>
        <w:t>الاشارات الى معرفة الزيارات = الزيارات في  صحيح الروایات / زیارات / عربی</w:t>
      </w:r>
      <w:bookmarkEnd w:id="1843"/>
    </w:p>
    <w:p>
      <w:pPr>
        <w:pStyle w:val="BookText"/>
      </w:pPr>
      <w:r>
        <w:rPr>
          <w:rFonts w:ascii="Times New Roman" w:hAnsi="Times New Roman" w:eastAsia="Times New Roman" w:cs="Times New Roman"/>
          <w:lang w:val="en-US" w:bidi="en-US"/>
          <w:color w:val="111111"/>
          <w:sz w:val="28"/>
          <w:szCs w:val="28"/>
          <w:rtl/>
        </w:rPr>
        <w:t xml:space="preserve">al-išārāt ilā ma‘rifat-iz-zīyārāt = az-zīyārāt fī ṣaḥīḥ-irriwāyāt</w:t>
      </w:r>
    </w:p>
    <w:p>
      <w:pPr>
        <w:pStyle w:val="BookText"/>
      </w:pPr>
      <w:r>
        <w:rPr>
          <w:rFonts w:ascii="IRNazanin" w:hAnsi="IRNazanin" w:eastAsia="IRNazanin" w:cs="IRNazanin"/>
          <w:lang w:bidi="fa-IR"/>
          <w:color w:val="111111"/>
          <w:sz w:val="28"/>
          <w:szCs w:val="28"/>
          <w:rtl/>
        </w:rPr>
        <w:t xml:space="preserve">هروی، علی بن ابی بکر، - ۶۱۱ قمری</w:t>
      </w:r>
    </w:p>
    <w:p>
      <w:pPr>
        <w:pStyle w:val="BookText"/>
      </w:pPr>
      <w:r>
        <w:rPr>
          <w:rFonts w:ascii="Times New Roman" w:hAnsi="Times New Roman" w:eastAsia="Times New Roman" w:cs="Times New Roman"/>
          <w:lang w:val="en-US" w:bidi="en-US"/>
          <w:color w:val="111111"/>
          <w:sz w:val="28"/>
          <w:szCs w:val="28"/>
          <w:rtl/>
        </w:rPr>
        <w:t xml:space="preserve">(heravī, ‘alī ebn-e abī-bakr (- 1215)</w:t>
      </w:r>
    </w:p>
    <w:p>
      <w:pPr>
        <w:pStyle w:val="BookText"/>
      </w:pPr>
      <w:r>
        <w:rPr>
          <w:rFonts w:ascii="Amiri" w:hAnsi="Amiri" w:eastAsia="Amiri" w:cs="Amiri"/>
          <w:lang w:bidi="ar-SA"/>
          <w:color w:val="111111"/>
          <w:sz w:val="28"/>
          <w:szCs w:val="28"/>
          <w:rtl/>
        </w:rPr>
        <w:t xml:space="preserve">آغاز: بسمله، قال العبد الفقير الى رحمة الله المستغفر خطيئته و ذنبه على بن ابى بكر الهرى ... اما بعد فانه سالنى بعض الاخوان الصالحين ... ان اذكر له ما زرته من الزيارات و ما شهدته من العجائب و الابنية و العمارات</w:t>
      </w:r>
    </w:p>
    <w:p>
      <w:pPr>
        <w:pStyle w:val="BookText"/>
      </w:pPr>
      <w:r>
        <w:rPr>
          <w:rFonts w:ascii="IRNazanin" w:hAnsi="IRNazanin" w:eastAsia="IRNazanin" w:cs="IRNazanin"/>
          <w:lang w:bidi="fa-IR"/>
          <w:color w:val="111111"/>
          <w:sz w:val="28"/>
          <w:szCs w:val="28"/>
          <w:rtl/>
        </w:rPr>
        <w:t xml:space="preserve">انجام: و على البئر التي ظهرت فى هذه التربة و نسبت الى ابراهـیم الخليل ... وليكن هذا آخر الكتاب و الحمدلله وحده...و سلم تسليماً كثيرا.</w:t>
      </w:r>
    </w:p>
    <w:p>
      <w:pPr>
        <w:pStyle w:val="BookText"/>
      </w:pPr>
      <w:r>
        <w:rPr>
          <w:rFonts w:ascii="IRNazanin" w:hAnsi="IRNazanin" w:eastAsia="IRNazanin" w:cs="IRNazanin"/>
          <w:lang w:bidi="fa-IR"/>
          <w:color w:val="111111"/>
          <w:sz w:val="28"/>
          <w:szCs w:val="28"/>
          <w:rtl/>
        </w:rPr>
        <w:t xml:space="preserve">چاپ: دمشق ،محقق: جانین  سوردیل، مجلة المعهد الفرنسی للدراسات العربية، ۱۹۵۳م؛ بيروت ، مطبعة كاثوليكية، ۱۳۵۴ق.</w:t>
      </w:r>
    </w:p>
    <w:p>
      <w:pPr>
        <w:pStyle w:val="BookText"/>
      </w:pPr>
      <w:r>
        <w:rPr>
          <w:rFonts w:ascii="IRNazanin" w:hAnsi="IRNazanin" w:eastAsia="IRNazanin" w:cs="IRNazanin"/>
          <w:lang w:bidi="fa-IR"/>
          <w:color w:val="111111"/>
          <w:sz w:val="28"/>
          <w:szCs w:val="28"/>
          <w:rtl/>
        </w:rPr>
        <w:t xml:space="preserve">[فهرس المخطوطات المصورة ۵۵۸/۱؛ یادنامه گیب ص ۶۰۹؛ بروکلمن ۱: ۴۷۸ و ذیل ۸۷۹]</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مجلس؛ شماره نسخه: ۱۵۰۰</w:t>
      </w:r>
    </w:p>
    <w:p>
      <w:pPr>
        <w:pStyle w:val="BookText"/>
      </w:pPr>
      <w:r>
        <w:rPr>
          <w:rFonts w:ascii="IRNazanin" w:hAnsi="IRNazanin" w:eastAsia="IRNazanin" w:cs="IRNazanin"/>
          <w:lang w:bidi="fa-IR"/>
          <w:color w:val="111111"/>
          <w:sz w:val="28"/>
          <w:szCs w:val="28"/>
          <w:rtl/>
        </w:rPr>
        <w:t xml:space="preserve">خط: نسخ  ترکی، بی کا، تا: دهه سوم صفر ۹۰۰ق؛ كاغذ: سفـید، جلد: مقوایی عطف و دور تیماج  مشکی، ۶۹گ، ۱۵ سـطر (8</w:t>
      </w:r>
      <w:r>
        <w:rPr>
          <w:rFonts w:ascii="Times New Roman" w:hAnsi="Times New Roman" w:eastAsia="Times New Roman" w:cs="Times New Roman"/>
          <w:lang w:val="en-US" w:bidi="en-US"/>
          <w:color w:val="111111"/>
          <w:sz w:val="28"/>
          <w:szCs w:val="28"/>
          <w:rtl/>
        </w:rPr>
        <w:t xml:space="preserve">×10) </w:t>
      </w:r>
      <w:r>
        <w:rPr>
          <w:rFonts w:ascii="IRNazanin" w:hAnsi="IRNazanin" w:eastAsia="IRNazanin" w:cs="IRNazanin"/>
          <w:lang w:bidi="fa-IR"/>
          <w:color w:val="111111"/>
          <w:sz w:val="28"/>
          <w:szCs w:val="28"/>
          <w:rtl/>
        </w:rPr>
        <w:t xml:space="preserve">،اندازه: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[سنا - ف: ۲ - ۳۰۲]</w:t>
      </w:r>
    </w:p>
    <w:p>
      <w:pPr>
        <w:pStyle w:val="BookText"/>
      </w:pPr>
      <w:r>
        <w:rPr>
          <w:rFonts w:ascii="IRNazanin" w:hAnsi="IRNazanin" w:eastAsia="IRNazanin" w:cs="IRNazanin"/>
          <w:lang w:bidi="fa-IR"/>
          <w:color w:val="111111"/>
          <w:sz w:val="28"/>
          <w:szCs w:val="28"/>
          <w:rtl/>
        </w:rPr>
        <w:t xml:space="preserve">۲. تهران؛ ملک؛ شماره نسخه: ۶۱۵۵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 نسخ، کا: ابراهیم بن محمد  عثمان، تا: ۱۲ ذیحجه ۱۱۳۲ق؛  مقابله در 24محرم  ۱۱۳۳ در پایان؛ تملک: محمد عباس حسیـنی در ۱۲۱۸ ؛کاغذ: فستقی ،جلد: میشن آلبالویی، ۳۰گ، ۳۱ سطر، اندازه: ۲۸/۷۱۴/۲سم [ف: ۱ - ۲۶۳]</w:t>
      </w:r>
    </w:p>
    <w:p>
      <w:pPr>
        <w:pStyle w:val="Heading3"/>
      </w:pPr>
      <w:bookmarkStart w:id="1844" w:name="_Toc1366"/>
      <w:r>
        <w:t>اشارات التفسير فى بشارات التذكير المستخرج من  تفسير العتيق / تفسیر / عربي</w:t>
      </w:r>
      <w:bookmarkEnd w:id="1844"/>
    </w:p>
    <w:p>
      <w:pPr>
        <w:pStyle w:val="BookText"/>
      </w:pPr>
      <w:r>
        <w:rPr>
          <w:rFonts w:ascii="Times New Roman" w:hAnsi="Times New Roman" w:eastAsia="Times New Roman" w:cs="Times New Roman"/>
          <w:lang w:val="en-US" w:bidi="en-US"/>
          <w:color w:val="111111"/>
          <w:sz w:val="28"/>
          <w:szCs w:val="28"/>
          <w:rtl/>
        </w:rPr>
        <w:t xml:space="preserve">išārāt-ut-tafsīr fī bišārāt-ut-taḏkīr al-mustaxraj min</w:t>
      </w:r>
    </w:p>
    <w:p>
      <w:pPr>
        <w:pStyle w:val="BookText"/>
      </w:pPr>
      <w:r>
        <w:rPr>
          <w:rFonts w:ascii="Times New Roman" w:hAnsi="Times New Roman" w:eastAsia="Times New Roman" w:cs="Times New Roman"/>
          <w:lang w:val="en-US" w:bidi="en-US"/>
          <w:color w:val="111111"/>
          <w:sz w:val="28"/>
          <w:szCs w:val="28"/>
          <w:rtl/>
        </w:rPr>
        <w:t xml:space="preserve">tafsīr-il-‘atīq</w:t>
      </w:r>
    </w:p>
    <w:p>
      <w:pPr>
        <w:pStyle w:val="BookText"/>
      </w:pPr>
      <w:r>
        <w:rPr>
          <w:rFonts w:ascii="IRNazanin" w:hAnsi="IRNazanin" w:eastAsia="IRNazanin" w:cs="IRNazanin"/>
          <w:lang w:bidi="fa-IR"/>
          <w:color w:val="111111"/>
          <w:sz w:val="28"/>
          <w:szCs w:val="28"/>
          <w:rtl/>
        </w:rPr>
        <w:t xml:space="preserve">تهران؛ دانشگاه؛ شماره نسخه: ۱۱۸۸-ف</w:t>
      </w:r>
    </w:p>
    <w:p>
      <w:pPr>
        <w:pStyle w:val="BookText"/>
      </w:pPr>
      <w:r>
        <w:rPr>
          <w:rFonts w:ascii="IRNazanin" w:hAnsi="IRNazanin" w:eastAsia="IRNazanin" w:cs="IRNazanin"/>
          <w:lang w:bidi="fa-IR"/>
          <w:color w:val="111111"/>
          <w:sz w:val="28"/>
          <w:szCs w:val="28"/>
          <w:rtl/>
        </w:rPr>
        <w:t xml:space="preserve">نسخه اصل: در الکتب المصرية ؛ گزیده ای است از تفسیر ابوبـکر عتيق بن محمد سورآبادی  نیشابوری، سوره ۱۹-۱۱۴؛ خط: نسخ،بی کا، تا: محرم</w:t>
      </w:r>
    </w:p>
    <w:p>
      <w:pPr>
        <w:pStyle w:val="BookText"/>
      </w:pPr>
      <w:r>
        <w:rPr>
          <w:rFonts w:ascii="IRNazanin" w:hAnsi="IRNazanin" w:eastAsia="IRNazanin" w:cs="IRNazanin"/>
          <w:lang w:bidi="fa-IR"/>
          <w:color w:val="111111"/>
          <w:sz w:val="28"/>
          <w:szCs w:val="28"/>
          <w:rtl/>
        </w:rPr>
        <w:t xml:space="preserve">۶۶۴ق؛ ۲۰۹گ[ فیلمها -ف: ۱ - ۱۳]</w:t>
      </w:r>
    </w:p>
    <w:p>
      <w:pPr>
        <w:pStyle w:val="Heading3"/>
      </w:pPr>
      <w:bookmarkStart w:id="1845" w:name="_Toc1367"/>
      <w:r>
        <w:t>اشارات حامدی / عرفان و تصوف / فارسی</w:t>
      </w:r>
      <w:bookmarkEnd w:id="1845"/>
    </w:p>
    <w:p>
      <w:pPr>
        <w:pStyle w:val="BookText"/>
      </w:pPr>
      <w:r>
        <w:rPr>
          <w:rFonts w:ascii="Times New Roman" w:hAnsi="Times New Roman" w:eastAsia="Times New Roman" w:cs="Times New Roman"/>
          <w:lang w:val="en-US" w:bidi="en-US"/>
          <w:color w:val="111111"/>
          <w:sz w:val="28"/>
          <w:szCs w:val="28"/>
          <w:rtl/>
        </w:rPr>
        <w:t xml:space="preserve">ešārāt-e hāmedī</w:t>
      </w:r>
    </w:p>
    <w:p>
      <w:pPr>
        <w:pStyle w:val="BookText"/>
      </w:pPr>
      <w:r>
        <w:rPr>
          <w:rFonts w:ascii="IRNazanin" w:hAnsi="IRNazanin" w:eastAsia="IRNazanin" w:cs="IRNazanin"/>
          <w:lang w:bidi="fa-IR"/>
          <w:color w:val="111111"/>
          <w:sz w:val="28"/>
          <w:szCs w:val="28"/>
          <w:rtl/>
        </w:rPr>
        <w:t xml:space="preserve">حامد بن حامد، قرن ۱۱</w:t>
      </w:r>
    </w:p>
    <w:p>
      <w:pPr>
        <w:pStyle w:val="BookText"/>
      </w:pPr>
      <w:r>
        <w:rPr>
          <w:rFonts w:ascii="Times New Roman" w:hAnsi="Times New Roman" w:eastAsia="Times New Roman" w:cs="Times New Roman"/>
          <w:lang w:val="en-US" w:bidi="en-US"/>
          <w:color w:val="111111"/>
          <w:sz w:val="28"/>
          <w:szCs w:val="28"/>
          <w:rtl/>
        </w:rPr>
        <w:t xml:space="preserve">hāmed ebn-e hāmed</w:t>
      </w:r>
    </w:p>
    <w:p>
      <w:pPr>
        <w:pStyle w:val="BookText"/>
      </w:pPr>
      <w:r>
        <w:rPr>
          <w:rFonts w:ascii="IRNazanin" w:hAnsi="IRNazanin" w:eastAsia="IRNazanin" w:cs="IRNazanin"/>
          <w:lang w:bidi="fa-IR"/>
          <w:color w:val="111111"/>
          <w:sz w:val="28"/>
          <w:szCs w:val="28"/>
          <w:rtl/>
        </w:rPr>
        <w:t xml:space="preserve">تاریخ تأليف: ۲۵ جمادی الثانی ۱۰۳۹ق</w:t>
      </w:r>
    </w:p>
    <w:p>
      <w:pPr>
        <w:pStyle w:val="BookText"/>
      </w:pPr>
      <w:r>
        <w:rPr>
          <w:rFonts w:ascii="IRNazanin" w:hAnsi="IRNazanin" w:eastAsia="IRNazanin" w:cs="IRNazanin"/>
          <w:lang w:bidi="fa-IR"/>
          <w:color w:val="111111"/>
          <w:sz w:val="28"/>
          <w:szCs w:val="28"/>
          <w:rtl/>
        </w:rPr>
        <w:t xml:space="preserve">مجموعاً صد و پنجاه و هفت عدد «اشاره» است که خطاب به مریدان خود نگاشته است. او در هر اشاره یکی از مریدان خود را مخاطب قرار داده است، مانند: اشارة شيخ محمد را واضح باد، اشارة: مير سيد علی را معلوم  باد، اشارة: امير سيد علاء الدين را لایح  باد، اشارة: شيخ نظام را لایح  باد، اشارة: امير حسين را لايح باد، اشارة: شیخ شهباز را عرف گور که را واضح باد.</w:t>
      </w:r>
    </w:p>
    <w:p>
      <w:pPr>
        <w:pStyle w:val="BookText"/>
      </w:pPr>
      <w:r>
        <w:rPr>
          <w:rFonts w:ascii="IRNazanin" w:hAnsi="IRNazanin" w:eastAsia="IRNazanin" w:cs="IRNazanin"/>
          <w:lang w:bidi="fa-IR"/>
          <w:color w:val="111111"/>
          <w:sz w:val="28"/>
          <w:szCs w:val="28"/>
          <w:rtl/>
        </w:rPr>
        <w:t xml:space="preserve">مؤلف در پایان هر اشاره قطعه ای به فارسی در دو بیت می آورد.</w:t>
      </w:r>
    </w:p>
    <w:p>
      <w:pPr>
        <w:pStyle w:val="BookText"/>
      </w:pPr>
      <w:r>
        <w:rPr>
          <w:rFonts w:ascii="IRNazanin" w:hAnsi="IRNazanin" w:eastAsia="IRNazanin" w:cs="IRNazanin"/>
          <w:lang w:bidi="fa-IR"/>
          <w:color w:val="111111"/>
          <w:sz w:val="28"/>
          <w:szCs w:val="28"/>
          <w:rtl/>
        </w:rPr>
        <w:t xml:space="preserve">آغاز: بسمله، شکر خدای را که وجود واجب الوجود است و هر موجود انا الموجود. بیت: آنکه از فهم و خرد باشد بلند *** چند گویم وصف او تا چند چند</w:t>
      </w:r>
    </w:p>
    <w:p>
      <w:pPr>
        <w:pStyle w:val="BookText"/>
      </w:pPr>
      <w:r>
        <w:rPr>
          <w:rFonts w:ascii="IRNazanin" w:hAnsi="IRNazanin" w:eastAsia="IRNazanin" w:cs="IRNazanin"/>
          <w:lang w:bidi="fa-IR"/>
          <w:color w:val="111111"/>
          <w:sz w:val="28"/>
          <w:szCs w:val="28"/>
          <w:rtl/>
        </w:rPr>
        <w:t xml:space="preserve">١. تهران؛ دانشگاه؛ شماره نسخه: ۸۰۴۹</w:t>
      </w:r>
    </w:p>
    <w:p>
      <w:pPr>
        <w:pStyle w:val="BookText"/>
      </w:pPr>
      <w:r>
        <w:rPr>
          <w:rFonts w:ascii="IRNazanin" w:hAnsi="IRNazanin" w:eastAsia="IRNazanin" w:cs="IRNazanin"/>
          <w:lang w:bidi="fa-IR"/>
          <w:color w:val="111111"/>
          <w:sz w:val="28"/>
          <w:szCs w:val="28"/>
          <w:rtl/>
        </w:rPr>
        <w:t xml:space="preserve">آغاز: برابر؛ انجام: این چند اشارت را ذوق و شوقی و کمالی و جلالی ناصر باد بالنون والصاد بالنبي وآله الامجاد.</w:t>
      </w:r>
    </w:p>
    <w:p>
      <w:pPr>
        <w:pStyle w:val="BookText"/>
      </w:pPr>
      <w:r>
        <w:rPr>
          <w:rFonts w:ascii="IRNazanin" w:hAnsi="IRNazanin" w:eastAsia="IRNazanin" w:cs="IRNazanin"/>
          <w:lang w:bidi="fa-IR"/>
          <w:color w:val="111111"/>
          <w:sz w:val="28"/>
          <w:szCs w:val="28"/>
          <w:rtl/>
        </w:rPr>
        <w:t xml:space="preserve">خط: نستعلیق، بی کا، تا: قرن ۱۳ ؛کاغذ: هندی، جلد: مقوا، ۶۳گ، ۱۱ سطر (9/5</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،قطع: ربعی،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۲۳سم [ف: ۱۷ - ۱۶]</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قم؛ گلپایگانی؛ شماره نسخه: ۸۲۶۱/۱۰-۵۶/۱۱۱</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،کا: غلام محی الدین، بی تا؛ در پایان رساله در یک صفحه تفسیر برخی اصطلاحات عرفانی درج شده؛ ۵۵گ (۶۳- ۱۱۷)، ۱۲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۱ - ۳۶۷]</w:t>
      </w:r>
    </w:p>
    <w:p>
      <w:pPr>
        <w:pStyle w:val="BookText"/>
      </w:pPr>
      <w:r>
        <w:rPr>
          <w:rFonts w:ascii="IRNazanin" w:hAnsi="IRNazanin" w:eastAsia="IRNazanin" w:cs="IRNazanin"/>
          <w:lang w:bidi="fa-IR"/>
          <w:color w:val="111111"/>
          <w:sz w:val="28"/>
          <w:szCs w:val="28"/>
          <w:rtl/>
        </w:rPr>
        <w:t xml:space="preserve">«اشارات حسینی » اشارات حسینیه</w:t>
      </w:r>
    </w:p>
    <w:p>
      <w:pPr>
        <w:pStyle w:val="BookText"/>
      </w:pPr>
      <w:r>
        <w:rPr>
          <w:rFonts w:ascii="IRNazanin" w:hAnsi="IRNazanin" w:eastAsia="IRNazanin" w:cs="IRNazanin"/>
          <w:lang w:bidi="fa-IR"/>
          <w:color w:val="111111"/>
          <w:sz w:val="28"/>
          <w:szCs w:val="28"/>
          <w:rtl/>
        </w:rPr>
        <w:t xml:space="preserve">«اشارات حسينيه » اشارات حسینیه</w:t>
      </w:r>
    </w:p>
    <w:p>
      <w:pPr>
        <w:pStyle w:val="Heading3"/>
      </w:pPr>
      <w:bookmarkStart w:id="1846" w:name="_Toc1368"/>
      <w:r>
        <w:t>اشارات حسینیه = اشارات حسینی / شعر, تاریخ معصومین  / فارسی</w:t>
      </w:r>
      <w:bookmarkEnd w:id="1846"/>
    </w:p>
    <w:p>
      <w:pPr>
        <w:pStyle w:val="BookText"/>
      </w:pPr>
      <w:r>
        <w:rPr>
          <w:rFonts w:ascii="Times New Roman" w:hAnsi="Times New Roman" w:eastAsia="Times New Roman" w:cs="Times New Roman"/>
          <w:lang w:val="en-US" w:bidi="en-US"/>
          <w:color w:val="111111"/>
          <w:sz w:val="28"/>
          <w:szCs w:val="28"/>
          <w:rtl/>
        </w:rPr>
        <w:t xml:space="preserve">ešārāt-e hoseynīye = ešārāt-e hoseynī</w:t>
      </w:r>
    </w:p>
    <w:p>
      <w:pPr>
        <w:pStyle w:val="BookText"/>
      </w:pPr>
      <w:r>
        <w:rPr>
          <w:rFonts w:ascii="IRNazanin" w:hAnsi="IRNazanin" w:eastAsia="IRNazanin" w:cs="IRNazanin"/>
          <w:lang w:bidi="fa-IR"/>
          <w:color w:val="111111"/>
          <w:sz w:val="28"/>
          <w:szCs w:val="28"/>
          <w:rtl/>
        </w:rPr>
        <w:t xml:space="preserve">عنقا ،طالقانی ابوالفضل بن علی، ۱۲۶۶ -۱۳۳۳ قمری</w:t>
      </w:r>
    </w:p>
    <w:p>
      <w:pPr>
        <w:pStyle w:val="BookText"/>
      </w:pPr>
      <w:r>
        <w:rPr>
          <w:rFonts w:ascii="Times New Roman" w:hAnsi="Times New Roman" w:eastAsia="Times New Roman" w:cs="Times New Roman"/>
          <w:lang w:val="en-US" w:bidi="en-US"/>
          <w:color w:val="111111"/>
          <w:sz w:val="28"/>
          <w:szCs w:val="28"/>
          <w:rtl/>
        </w:rPr>
        <w:t xml:space="preserve">'(anqā tāleqānī, ab-ol-fazl ebn-e 'alī (1850-1915)</w:t>
      </w:r>
    </w:p>
    <w:p>
      <w:pPr>
        <w:pStyle w:val="BookText"/>
      </w:pPr>
      <w:r>
        <w:rPr>
          <w:rFonts w:ascii="IRNazanin" w:hAnsi="IRNazanin" w:eastAsia="IRNazanin" w:cs="IRNazanin"/>
          <w:lang w:bidi="fa-IR"/>
          <w:color w:val="111111"/>
          <w:sz w:val="28"/>
          <w:szCs w:val="28"/>
          <w:rtl/>
        </w:rPr>
        <w:t xml:space="preserve">اهدا به: ناصرالدین شاه</w:t>
      </w:r>
    </w:p>
    <w:p>
      <w:pPr>
        <w:pStyle w:val="BookText"/>
      </w:pPr>
      <w:r>
        <w:rPr>
          <w:rFonts w:ascii="IRNazanin" w:hAnsi="IRNazanin" w:eastAsia="IRNazanin" w:cs="IRNazanin"/>
          <w:lang w:bidi="fa-IR"/>
          <w:color w:val="111111"/>
          <w:sz w:val="28"/>
          <w:szCs w:val="28"/>
          <w:rtl/>
        </w:rPr>
        <w:t xml:space="preserve">تاریخ تألیف: ۱۳۱۴ق</w:t>
      </w:r>
    </w:p>
    <w:p>
      <w:pPr>
        <w:pStyle w:val="BookText"/>
      </w:pPr>
      <w:r>
        <w:rPr>
          <w:rFonts w:ascii="IRNazanin" w:hAnsi="IRNazanin" w:eastAsia="IRNazanin" w:cs="IRNazanin"/>
          <w:lang w:bidi="fa-IR"/>
          <w:color w:val="111111"/>
          <w:sz w:val="28"/>
          <w:szCs w:val="28"/>
          <w:rtl/>
        </w:rPr>
        <w:t xml:space="preserve">مثنوی و ترجیع و قصیده است در حوادث عاشورا با نگاهی عرفانی با عنوان های منثور و به فارسی از عنقا که در زمان ناصرالدین شاه و میرزا علی اصغرخان اتابک صدراعظم آغاز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383" w:name="pg20365_260532"/>
    <w:bookmarkEnd w:id="383"/>
    <w:p>
      <w:pPr>
        <w:pStyle w:val="BookText"/>
      </w:pPr>
      <w:r>
        <w:rPr>
          <w:rFonts w:ascii="IRNazanin" w:hAnsi="IRNazanin" w:eastAsia="IRNazanin" w:cs="IRNazanin"/>
          <w:lang w:bidi="fa-IR"/>
          <w:color w:val="111111"/>
          <w:sz w:val="28"/>
          <w:szCs w:val="28"/>
          <w:rtl/>
        </w:rPr>
        <w:t xml:space="preserve">کرده در زمان فتحعلی شاه در ۱۳۱۴ (= اشارات الحسنيه- اشارات حسینی) به پایان رسانده است. ستایش میرزا سها پسر میرزا همای شیرازی و مجد الادبا میرزا حیدر علی ثریای تهرانی از این کتاب با اشاره به تاریخ آن در پایان هست. در آن آمده است: «شد اشارات الحسينيه بنام».</w:t>
      </w:r>
    </w:p>
    <w:p>
      <w:pPr>
        <w:pStyle w:val="BookText"/>
      </w:pPr>
      <w:r>
        <w:rPr>
          <w:rFonts w:ascii="Amiri" w:hAnsi="Amiri" w:eastAsia="Amiri" w:cs="Amiri"/>
          <w:lang w:bidi="ar-SA"/>
          <w:color w:val="111111"/>
          <w:sz w:val="28"/>
          <w:szCs w:val="28"/>
          <w:rtl/>
        </w:rPr>
        <w:t xml:space="preserve">آغاز: يا قديم الذات تهدى من تشاء *** يا كثير الخير تؤتى من تشاء/ مالمن تهديه رب من مضل *** اهدنا بالحب فضلاً مشتمل</w:t>
      </w:r>
    </w:p>
    <w:p>
      <w:pPr>
        <w:pStyle w:val="BookText"/>
      </w:pPr>
      <w:r>
        <w:rPr>
          <w:rFonts w:ascii="IRNazanin" w:hAnsi="IRNazanin" w:eastAsia="IRNazanin" w:cs="IRNazanin"/>
          <w:lang w:bidi="fa-IR"/>
          <w:color w:val="111111"/>
          <w:sz w:val="28"/>
          <w:szCs w:val="28"/>
          <w:rtl/>
        </w:rPr>
        <w:t xml:space="preserve">[فهرستواره منزوی ۱۹۷/۱۰؛ الذریعه ۷۷۴/۹ و ۱۱۶/۱۹]</w:t>
      </w:r>
    </w:p>
    <w:p>
      <w:pPr>
        <w:pStyle w:val="BookText"/>
      </w:pPr>
      <w:r>
        <w:rPr>
          <w:rFonts w:ascii="IRNazanin" w:hAnsi="IRNazanin" w:eastAsia="IRNazanin" w:cs="IRNazanin"/>
          <w:lang w:bidi="fa-IR"/>
          <w:color w:val="111111"/>
          <w:sz w:val="28"/>
          <w:szCs w:val="28"/>
          <w:rtl/>
        </w:rPr>
        <w:t xml:space="preserve">1.تهران؛ دانشگاه؛ شماره نسخه: ۴۰۰۳</w:t>
      </w:r>
    </w:p>
    <w:p>
      <w:pPr>
        <w:pStyle w:val="BookText"/>
      </w:pPr>
      <w:r>
        <w:rPr>
          <w:rFonts w:ascii="IRNazanin" w:hAnsi="IRNazanin" w:eastAsia="IRNazanin" w:cs="IRNazanin"/>
          <w:lang w:bidi="fa-IR"/>
          <w:color w:val="111111"/>
          <w:sz w:val="28"/>
          <w:szCs w:val="28"/>
          <w:rtl/>
        </w:rPr>
        <w:t xml:space="preserve">آغاز: برابر؛ انجام: بنده عنقا چاکر درگاه تست *** خاکروب خاکروب راه تست ... آرزویش را بر آور از کرم ***جان بوالفضل عزیز محترم</w:t>
      </w:r>
    </w:p>
    <w:p>
      <w:pPr>
        <w:pStyle w:val="BookText"/>
      </w:pPr>
      <w:r>
        <w:rPr>
          <w:rFonts w:ascii="IRNazanin" w:hAnsi="IRNazanin" w:eastAsia="IRNazanin" w:cs="IRNazanin"/>
          <w:lang w:bidi="fa-IR"/>
          <w:color w:val="111111"/>
          <w:sz w:val="28"/>
          <w:szCs w:val="28"/>
          <w:rtl/>
        </w:rPr>
        <w:t xml:space="preserve">خط: نستعلیق،بی کا، تا: قرن ۱۴؛ کاغذ: فرنگی ،جلد: مقوا با پارچه، ۲۸ گ، ۲۸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۱۲-۲۹۹۱]</w:t>
      </w:r>
    </w:p>
    <w:p>
      <w:pPr>
        <w:pStyle w:val="BookText"/>
      </w:pPr>
      <w:r>
        <w:rPr>
          <w:rFonts w:ascii="IRNazanin" w:hAnsi="IRNazanin" w:eastAsia="IRNazanin" w:cs="IRNazanin"/>
          <w:lang w:bidi="fa-IR"/>
          <w:color w:val="111111"/>
          <w:sz w:val="28"/>
          <w:szCs w:val="28"/>
          <w:rtl/>
        </w:rPr>
        <w:t xml:space="preserve">۲. تهران؛ مجلس؛ شماره نسخه: ۸۲۴</w:t>
      </w:r>
    </w:p>
    <w:p>
      <w:pPr>
        <w:pStyle w:val="BookText"/>
      </w:pPr>
      <w:r>
        <w:rPr>
          <w:rFonts w:ascii="IRNazanin" w:hAnsi="IRNazanin" w:eastAsia="IRNazanin" w:cs="IRNazanin"/>
          <w:lang w:bidi="fa-IR"/>
          <w:color w:val="111111"/>
          <w:sz w:val="28"/>
          <w:szCs w:val="28"/>
          <w:rtl/>
        </w:rPr>
        <w:t xml:space="preserve">خط: نستعلیق، بی کا، تا:قرن ۱۴ ؛کاغذ: سفید ،جلد: سرخ تیماج ضربی و مقوایی  نو، ۲۰۰گ، ۱۵ سطر (8</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  سم[سنا - ف: ۲ - ۶۹]</w:t>
      </w:r>
    </w:p>
    <w:p>
      <w:pPr>
        <w:pStyle w:val="BookText"/>
      </w:pPr>
      <w:r>
        <w:rPr>
          <w:rFonts w:ascii="IRNazanin" w:hAnsi="IRNazanin" w:eastAsia="IRNazanin" w:cs="IRNazanin"/>
          <w:lang w:bidi="fa-IR"/>
          <w:color w:val="111111"/>
          <w:sz w:val="28"/>
          <w:szCs w:val="28"/>
          <w:rtl/>
        </w:rPr>
        <w:t xml:space="preserve">3.تهران؛ ملی؛ شماره نسخه: ۲۸۰</w:t>
      </w:r>
    </w:p>
    <w:p>
      <w:pPr>
        <w:pStyle w:val="BookText"/>
      </w:pPr>
      <w:r>
        <w:rPr>
          <w:rFonts w:ascii="IRNazanin" w:hAnsi="IRNazanin" w:eastAsia="IRNazanin" w:cs="IRNazanin"/>
          <w:lang w:bidi="fa-IR"/>
          <w:color w:val="111111"/>
          <w:sz w:val="28"/>
          <w:szCs w:val="28"/>
          <w:rtl/>
        </w:rPr>
        <w:t xml:space="preserve">انجام: اشارات الحسینی را چو بنوشتی سها جستى *** بتاريخش اشارات حسینی از دم عنقا</w:t>
      </w:r>
    </w:p>
    <w:p>
      <w:pPr>
        <w:pStyle w:val="BookText"/>
      </w:pPr>
      <w:r>
        <w:rPr>
          <w:rFonts w:ascii="IRNazanin" w:hAnsi="IRNazanin" w:eastAsia="IRNazanin" w:cs="IRNazanin"/>
          <w:lang w:bidi="fa-IR"/>
          <w:color w:val="111111"/>
          <w:sz w:val="28"/>
          <w:szCs w:val="28"/>
          <w:rtl/>
        </w:rPr>
        <w:t xml:space="preserve">خط: نستعلیق، بی کا، تا: ۱۳۱۴ق، جا: تهران؛ مجدول؛ کاغذ: فرنگی، جلد: تیماج قرمز مقوایی، ۱۵۰گ، ۱۴ سطر (12</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۲۶/۵سم [ف: ۱ - ۲۷۳]</w:t>
      </w:r>
    </w:p>
    <w:p>
      <w:pPr>
        <w:pStyle w:val="BookText"/>
      </w:pPr>
      <w:r>
        <w:rPr>
          <w:rFonts w:ascii="IRNazanin" w:hAnsi="IRNazanin" w:eastAsia="IRNazanin" w:cs="IRNazanin"/>
          <w:lang w:bidi="fa-IR"/>
          <w:color w:val="111111"/>
          <w:sz w:val="28"/>
          <w:szCs w:val="28"/>
          <w:rtl/>
        </w:rPr>
        <w:t xml:space="preserve">4.تهران؛ مجلس؛ شماره نسخه: ۱۵۵۹۹</w:t>
      </w:r>
    </w:p>
    <w:p>
      <w:pPr>
        <w:pStyle w:val="BookText"/>
      </w:pPr>
      <w:r>
        <w:rPr>
          <w:rFonts w:ascii="IRNazanin" w:hAnsi="IRNazanin" w:eastAsia="IRNazanin" w:cs="IRNazanin"/>
          <w:lang w:bidi="fa-IR"/>
          <w:color w:val="111111"/>
          <w:sz w:val="28"/>
          <w:szCs w:val="28"/>
          <w:rtl/>
        </w:rPr>
        <w:t xml:space="preserve">آغاز: برابر؛ انجام: در سنه یکهزار و سیصد و یازده از هجرت... دو امر عجیب از آیت قدرت و معجزه باهره حضرت خامس اصحاب کسا ... بمحمد و عترته عليهم السلام</w:t>
      </w:r>
    </w:p>
    <w:p>
      <w:pPr>
        <w:pStyle w:val="BookText"/>
      </w:pPr>
      <w:r>
        <w:rPr>
          <w:rFonts w:ascii="IRNazanin" w:hAnsi="IRNazanin" w:eastAsia="IRNazanin" w:cs="IRNazanin"/>
          <w:lang w:bidi="fa-IR"/>
          <w:color w:val="111111"/>
          <w:sz w:val="28"/>
          <w:szCs w:val="28"/>
          <w:rtl/>
        </w:rPr>
        <w:t xml:space="preserve">خط: شکسته نستعلیق، کا: احمد  عنقا، تا: حدود ،۱۳۸۷ق؛ افتادگی: انجام؛ در پایان تصریح کرده که «چند صفحه از کتاب نوشته نشده است اگر عمرم اجازه نداد شما بنویسید موضوع معـجزه سلطان عاشقان است چاکر عاشقان حسین، احمد عنقاپنجم محرم ۸۷ (آخر فروردین ۴۶)»، در پایان مثنوی است درباره صوفیان و معنای تصوف؛ کاغذ: خط دار؛ جلد: مقوایی با روکش کاغذی طرح دار عطف پارچه ای پسته ای ۹۸ گ، مختلف السطر، اندازه: ۱۷/۵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۲۲/۲سم [ف: ۴۳ - ۱۸۱]</w:t>
      </w:r>
    </w:p>
    <w:p>
      <w:pPr>
        <w:pStyle w:val="BookText"/>
      </w:pPr>
      <w:r>
        <w:rPr>
          <w:rFonts w:ascii="IRNazanin" w:hAnsi="IRNazanin" w:eastAsia="IRNazanin" w:cs="IRNazanin"/>
          <w:lang w:bidi="fa-IR"/>
          <w:color w:val="111111"/>
          <w:sz w:val="28"/>
          <w:szCs w:val="28"/>
          <w:rtl/>
        </w:rPr>
        <w:t xml:space="preserve">۵ .تهران؛ دانشگاه؛ شماره نسخه: ۵-عنقا</w:t>
      </w:r>
    </w:p>
    <w:p>
      <w:pPr>
        <w:pStyle w:val="BookText"/>
      </w:pPr>
      <w:r>
        <w:rPr>
          <w:rFonts w:ascii="IRNazanin" w:hAnsi="IRNazanin" w:eastAsia="IRNazanin" w:cs="IRNazanin"/>
          <w:lang w:bidi="fa-IR"/>
          <w:color w:val="111111"/>
          <w:sz w:val="28"/>
          <w:szCs w:val="28"/>
          <w:rtl/>
        </w:rPr>
        <w:t xml:space="preserve">آغاز: برابر؛ انجام: از شفاعتهای ایشان یا مجیب *** بخش ما را از کرامت بی حسیب</w:t>
      </w:r>
    </w:p>
    <w:p>
      <w:pPr>
        <w:pStyle w:val="BookText"/>
      </w:pPr>
      <w:r>
        <w:rPr>
          <w:rFonts w:ascii="IRNazanin" w:hAnsi="IRNazanin" w:eastAsia="IRNazanin" w:cs="IRNazanin"/>
          <w:lang w:bidi="fa-IR"/>
          <w:color w:val="111111"/>
          <w:sz w:val="28"/>
          <w:szCs w:val="28"/>
          <w:rtl/>
        </w:rPr>
        <w:t xml:space="preserve">خط: نستعلیق، بی کا،  بی تا، در انتهای کتاب قصیده ای اسـت طولانی از میرزا سها خلف مرحوم همای شیرازی که از زمره ارادتمندان آن عارف بزرگ بوده و چنین آغاز می شود «بعـهده دولت سلطان مظفر خسرو بازل ***شهنشاه جهانگیر جهان دار جهان آرا / شه جمجاه دربا دل خدیو کامل عادل *** که پیش اد او بود چون قطره ای دریا ... و می گوید «جهان حکمت و عرفان ابو الفضل فضائل خو *** اشارات الحسینی تا زنوک خامه کرد انشا / شفای بوعلی باشد ز قانونش اشاراتی که گردد از اشاراتش شفا چو بوعلی سینا / بود موسی وقت سینه سینا بود جانش *** دلا از چشم هارونی ببین این سینه سینا / بقاب قرب عنقا باز سازد چون ز هم شهپر *** بزیر سایه شهیر درآرد بیضه بیضا / گشاید چونکه دم اندر اشارات الحسينيه *** مسيح آسا بود شاهد به به قول  بنده سرتا پا/ اشارات الحسینی را چو بنوشتی سها جستی *** بتاریخش اشارات حسینی از دم  عنقا»، در انتهای همین کتاب ماده تاریخ دیگری از یکی ارادتمندانش ميرزا حيدر على مجد الادباء متخلص به ثریا که از معاریف آن عصر بوده دیده می شود:« ابوالفضل آن بقاف عشق حق عنقا *** که چون عنقاست در کیهان همال او / نگوید جز ثنای آل پیغمبر *** نگویدجز تو گوینده نیکو/ حقایق را کند کشف و دقایق را *** نماید حل چو از دل برکشد یاهو / بى نظم اشارات الحسينيه *** بوجه احسن آمد بطن او حق گو/ ثریا گفت در تاریخ اتمامش *** اشارات الحسينيه ز عنقا جو»؛ ۱۲۷ص، ۱۴ سطر، قطع: وزیری [نشریه: ۵ – ۷۴۷]</w:t>
      </w:r>
    </w:p>
    <w:p>
      <w:pPr>
        <w:pStyle w:val="Heading3"/>
      </w:pPr>
      <w:bookmarkStart w:id="1847" w:name="_Toc1369"/>
      <w:r>
        <w:t>اشارات الحسنيه فى معارف الحقة اليقينه = اشارت  عبدالله / کلام و اعتقادات / فارسی</w:t>
      </w:r>
      <w:bookmarkEnd w:id="1847"/>
    </w:p>
    <w:p>
      <w:pPr>
        <w:pStyle w:val="BookText"/>
      </w:pPr>
      <w:r>
        <w:rPr>
          <w:rFonts w:ascii="Times New Roman" w:hAnsi="Times New Roman" w:eastAsia="Times New Roman" w:cs="Times New Roman"/>
          <w:lang w:val="en-US" w:bidi="en-US"/>
          <w:color w:val="111111"/>
          <w:sz w:val="28"/>
          <w:szCs w:val="28"/>
          <w:rtl/>
        </w:rPr>
        <w:t xml:space="preserve">ešārāt-ol-hosnīye fi ma'aref-el-haqqat-el-yaqine</w:t>
      </w:r>
    </w:p>
    <w:p>
      <w:pPr>
        <w:pStyle w:val="BookText"/>
      </w:pPr>
      <w:r>
        <w:rPr>
          <w:rFonts w:ascii="Times New Roman" w:hAnsi="Times New Roman" w:eastAsia="Times New Roman" w:cs="Times New Roman"/>
          <w:lang w:val="en-US" w:bidi="en-US"/>
          <w:color w:val="111111"/>
          <w:sz w:val="28"/>
          <w:szCs w:val="28"/>
          <w:rtl/>
        </w:rPr>
        <w:t xml:space="preserve">ešārat-e ‘abd-ol-lāh</w:t>
      </w:r>
    </w:p>
    <w:p>
      <w:pPr>
        <w:pStyle w:val="BookText"/>
      </w:pPr>
      <w:r>
        <w:rPr>
          <w:rFonts w:ascii="IRNazanin" w:hAnsi="IRNazanin" w:eastAsia="IRNazanin" w:cs="IRNazanin"/>
          <w:lang w:bidi="fa-IR"/>
          <w:color w:val="111111"/>
          <w:sz w:val="28"/>
          <w:szCs w:val="28"/>
          <w:rtl/>
        </w:rPr>
        <w:t xml:space="preserve">برغانی، محمد علی بن محمد، - ۱۲۷۲ ؟ قمری</w:t>
      </w:r>
    </w:p>
    <w:p>
      <w:pPr>
        <w:pStyle w:val="BookText"/>
      </w:pPr>
      <w:r>
        <w:rPr>
          <w:rFonts w:ascii="Times New Roman" w:hAnsi="Times New Roman" w:eastAsia="Times New Roman" w:cs="Times New Roman"/>
          <w:lang w:val="en-US" w:bidi="en-US"/>
          <w:color w:val="111111"/>
          <w:sz w:val="28"/>
          <w:szCs w:val="28"/>
          <w:rtl/>
        </w:rPr>
        <w:t xml:space="preserve">(boraqānī, mohammad 'alī-ye-bn-e mohammad (- 1856)</w:t>
      </w:r>
    </w:p>
    <w:p>
      <w:pPr>
        <w:pStyle w:val="BookText"/>
      </w:pPr>
      <w:r>
        <w:rPr>
          <w:rFonts w:ascii="IRNazanin" w:hAnsi="IRNazanin" w:eastAsia="IRNazanin" w:cs="IRNazanin"/>
          <w:lang w:bidi="fa-IR"/>
          <w:color w:val="111111"/>
          <w:sz w:val="28"/>
          <w:szCs w:val="28"/>
          <w:rtl/>
        </w:rPr>
        <w:t xml:space="preserve">اهدا به: حاجی محمد حسن قزوینی معروف به باغبان باشی</w:t>
      </w:r>
    </w:p>
    <w:p>
      <w:pPr>
        <w:pStyle w:val="BookText"/>
      </w:pPr>
      <w:r>
        <w:rPr>
          <w:rFonts w:ascii="IRNazanin" w:hAnsi="IRNazanin" w:eastAsia="IRNazanin" w:cs="IRNazanin"/>
          <w:lang w:bidi="fa-IR"/>
          <w:color w:val="111111"/>
          <w:sz w:val="28"/>
          <w:szCs w:val="28"/>
          <w:rtl/>
        </w:rPr>
        <w:t xml:space="preserve">کتابی مختصر در اعتقادات دارای یک «مقدمه» و چهل «اشاره» و «خاتمه»: مقدمه: در بیان وجوب تحصیل معرفة الله و معرفة آیات  الله، اشاره اول: در بیان تقسیم وجودات، ... اشاره  چهلم: در بیان حقیقت ناراست، خاتمه: در بیان تطبیق عمر طبیعی به عمر دنيا.</w:t>
      </w:r>
    </w:p>
    <w:p>
      <w:pPr>
        <w:pStyle w:val="BookText"/>
      </w:pPr>
      <w:r>
        <w:rPr>
          <w:rFonts w:ascii="IRNazanin" w:hAnsi="IRNazanin" w:eastAsia="IRNazanin" w:cs="IRNazanin"/>
          <w:lang w:bidi="fa-IR"/>
          <w:color w:val="111111"/>
          <w:sz w:val="28"/>
          <w:szCs w:val="28"/>
          <w:rtl/>
        </w:rPr>
        <w:t xml:space="preserve">آغاز: الحمد لله الذى بكلماته قامت السموات الشداد و ثبتت الارضون المهاد ... اما بعد چنین گوید ... این رساله ایست که  مقصود از آن در تدوین ایراد مجملی از اعتقادات حقه است</w:t>
      </w:r>
    </w:p>
    <w:p>
      <w:pPr>
        <w:pStyle w:val="BookText"/>
      </w:pPr>
      <w:r>
        <w:rPr>
          <w:rFonts w:ascii="IRNazanin" w:hAnsi="IRNazanin" w:eastAsia="IRNazanin" w:cs="IRNazanin"/>
          <w:lang w:bidi="fa-IR"/>
          <w:color w:val="111111"/>
          <w:sz w:val="28"/>
          <w:szCs w:val="28"/>
          <w:rtl/>
        </w:rPr>
        <w:t xml:space="preserve">انجام: تطبيق عمر طبیعی به عمر دنیا و لیكن هذا آخر ما أردت ذكره ... و عجل فرج و عجل فرج مولاى صاحب الزمان و اشراق قلبی بنوره  بحقه و بحق آبائه الطاهرين؛ تم.</w:t>
      </w:r>
    </w:p>
    <w:p>
      <w:pPr>
        <w:pStyle w:val="BookText"/>
      </w:pPr>
      <w:r>
        <w:rPr>
          <w:rFonts w:ascii="IRNazanin" w:hAnsi="IRNazanin" w:eastAsia="IRNazanin" w:cs="IRNazanin"/>
          <w:lang w:bidi="fa-IR"/>
          <w:color w:val="111111"/>
          <w:sz w:val="28"/>
          <w:szCs w:val="28"/>
          <w:rtl/>
        </w:rPr>
        <w:t xml:space="preserve">[دنا 1/ 838(6 نسخه)؛ الذريعة ۷۷/۱۱؛ مستدركات أعيان الشيعة٢٩٩/٢؛  فهرستواره منزوی (۹۰/۹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مرعشی؛ شماره نسخه: ۱۱۹۸۷/۴</w:t>
      </w:r>
    </w:p>
    <w:p>
      <w:pPr>
        <w:pStyle w:val="BookText"/>
      </w:pPr>
      <w:r>
        <w:rPr>
          <w:rFonts w:ascii="IRNazanin" w:hAnsi="IRNazanin" w:eastAsia="IRNazanin" w:cs="IRNazanin"/>
          <w:lang w:bidi="fa-IR"/>
          <w:color w:val="111111"/>
          <w:sz w:val="28"/>
          <w:szCs w:val="28"/>
          <w:rtl/>
        </w:rPr>
        <w:t xml:space="preserve">آغاز و انجام: برابر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384" w:name="pg20365_260533"/>
    <w:bookmarkEnd w:id="384"/>
    <w:p>
      <w:pPr>
        <w:pStyle w:val="BookText"/>
      </w:pPr>
      <w:r>
        <w:rPr>
          <w:rFonts w:ascii="IRNazanin" w:hAnsi="IRNazanin" w:eastAsia="IRNazanin" w:cs="IRNazanin"/>
          <w:lang w:bidi="fa-IR"/>
          <w:color w:val="111111"/>
          <w:sz w:val="28"/>
          <w:szCs w:val="28"/>
          <w:rtl/>
        </w:rPr>
        <w:t xml:space="preserve">خط: نسخ و نستعلیق، کاتب = مؤلف، تا: سه شنبه ۹ جمادی الثـانی  ۱۲۳۹ق؛ مصحح؛ کاغذ ،فرنگی، ۵۹گ (۸۶-۱۴۴)، ۱۲ سـطر، اندازه: 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۳۰ - ۳۰۹]</w:t>
      </w:r>
    </w:p>
    <w:p>
      <w:pPr>
        <w:pStyle w:val="BookText"/>
      </w:pPr>
      <w:r>
        <w:rPr>
          <w:rFonts w:ascii="IRNazanin" w:hAnsi="IRNazanin" w:eastAsia="IRNazanin" w:cs="IRNazanin"/>
          <w:lang w:bidi="fa-IR"/>
          <w:color w:val="111111"/>
          <w:sz w:val="28"/>
          <w:szCs w:val="28"/>
          <w:rtl/>
        </w:rPr>
        <w:t xml:space="preserve">۲ .قم؛ مرکز احیاء؛ شماره نسخه: ۱۶۱۹/۲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۱۳؛ جلد: تيماج مشكى بدون مقوا، ۶۸گ (۸۱پ -۱۴۸ر)، ۱۵ سطر، 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۵  - 36]</w:t>
      </w:r>
    </w:p>
    <w:p>
      <w:pPr>
        <w:pStyle w:val="BookText"/>
      </w:pPr>
      <w:r>
        <w:rPr>
          <w:rFonts w:ascii="IRNazanin" w:hAnsi="IRNazanin" w:eastAsia="IRNazanin" w:cs="IRNazanin"/>
          <w:lang w:bidi="fa-IR"/>
          <w:color w:val="111111"/>
          <w:sz w:val="28"/>
          <w:szCs w:val="28"/>
          <w:rtl/>
        </w:rPr>
        <w:t xml:space="preserve">۳. تهران؛ ملی؛ شماره نسخه: ۱۹۰۱/۲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بی کا، تا: جمادى الثانى ۱۲۲۹ق؛ كاغذ ،فرنگی ،جلد: مقوایی تیماج مشکی با ترنج و نیم ترنج، ۴۰ ص (۲۷-۶۶)، ۱۷ سـطر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 ۱۰ - ۵۵۷]</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قم؛ گلپایگانی؛ شماره نسخه: ۵۳۱۶/۳-۲۶/۱۹۶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قنبر بن جعفر، تا: ۱۲۵۵ق؛ جلد: تیماج قهوه ای مجدول ضربی ۶۰گ، ۱۴ 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 - 366]</w:t>
      </w:r>
    </w:p>
    <w:p>
      <w:pPr>
        <w:pStyle w:val="BookText"/>
      </w:pPr>
      <w:r>
        <w:rPr>
          <w:rFonts w:ascii="IRNazanin" w:hAnsi="IRNazanin" w:eastAsia="IRNazanin" w:cs="IRNazanin"/>
          <w:lang w:bidi="fa-IR"/>
          <w:color w:val="111111"/>
          <w:sz w:val="28"/>
          <w:szCs w:val="28"/>
          <w:rtl/>
        </w:rPr>
        <w:t xml:space="preserve">۵. قم؛ مرعشی؛ شماره نسخه: ۱۱۴۴۰/۲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خوش، کا: محمد ابراهیم فرزند میرزا عبدالمجید،تا: چهارشنبه ۳ ذیقعده ۱۲۶۶ق؛ دارای کمند به خطوط زرین؛ کاغذ: فرنگی آهار مهره، ۱۹گ (۲۱۴-۲۳۲) ۲۶ سطر، اندازه: ۱۴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۲۳سم [ف: ۲۹ - ۶۵]</w:t>
      </w:r>
    </w:p>
    <w:p>
      <w:pPr>
        <w:pStyle w:val="BookText"/>
      </w:pPr>
      <w:r>
        <w:rPr>
          <w:rFonts w:ascii="IRNazanin" w:hAnsi="IRNazanin" w:eastAsia="IRNazanin" w:cs="IRNazanin"/>
          <w:lang w:bidi="fa-IR"/>
          <w:color w:val="111111"/>
          <w:sz w:val="28"/>
          <w:szCs w:val="28"/>
          <w:rtl/>
        </w:rPr>
        <w:t xml:space="preserve">۶. مشهد؛ رضوی؛ شماره نسخه: ض۱۱۴۲۳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۱۲۷۹ق [الفبائی: ۵۰]</w:t>
      </w:r>
    </w:p>
    <w:p>
      <w:pPr>
        <w:pStyle w:val="Heading3"/>
      </w:pPr>
      <w:bookmarkStart w:id="1848" w:name="_Toc1370"/>
      <w:r>
        <w:t>اشارات دیوان حافظ/ عرفان و تصوف / فارسی</w:t>
      </w:r>
      <w:bookmarkEnd w:id="1848"/>
    </w:p>
    <w:p>
      <w:pPr>
        <w:pStyle w:val="BookText"/>
      </w:pPr>
      <w:r>
        <w:rPr>
          <w:rFonts w:ascii="Times New Roman" w:hAnsi="Times New Roman" w:eastAsia="Times New Roman" w:cs="Times New Roman"/>
          <w:lang w:val="en-US" w:bidi="en-US"/>
          <w:color w:val="111111"/>
          <w:sz w:val="28"/>
          <w:szCs w:val="28"/>
          <w:rtl/>
        </w:rPr>
        <w:t xml:space="preserve">ešārāt-e dīvan-e hāfez</w:t>
      </w:r>
    </w:p>
    <w:p>
      <w:pPr>
        <w:pStyle w:val="BookText"/>
      </w:pPr>
      <w:r>
        <w:rPr>
          <w:rFonts w:ascii="IRNazanin" w:hAnsi="IRNazanin" w:eastAsia="IRNazanin" w:cs="IRNazanin"/>
          <w:lang w:bidi="fa-IR"/>
          <w:color w:val="111111"/>
          <w:sz w:val="28"/>
          <w:szCs w:val="28"/>
          <w:rtl/>
        </w:rPr>
        <w:t xml:space="preserve">تهران؛ مجلس؛ شماره نسخه: ۱۰۶۹۱/۲</w:t>
      </w:r>
    </w:p>
    <w:p>
      <w:pPr>
        <w:pStyle w:val="BookText"/>
      </w:pPr>
      <w:r>
        <w:rPr>
          <w:rFonts w:ascii="IRNazanin" w:hAnsi="IRNazanin" w:eastAsia="IRNazanin" w:cs="IRNazanin"/>
          <w:lang w:bidi="fa-IR"/>
          <w:color w:val="111111"/>
          <w:sz w:val="28"/>
          <w:szCs w:val="28"/>
          <w:rtl/>
        </w:rPr>
        <w:t xml:space="preserve">آغاز: حمد و سپاس خدای را جل جلاله که در معانی در صورت بیان عیان می کند و طراز حقایق را در پس پرده دقایق مجاز نهـان ؛</w:t>
      </w:r>
    </w:p>
    <w:p>
      <w:pPr>
        <w:pStyle w:val="BookText"/>
      </w:pPr>
      <w:r>
        <w:rPr>
          <w:rFonts w:ascii="IRNazanin" w:hAnsi="IRNazanin" w:eastAsia="IRNazanin" w:cs="IRNazanin"/>
          <w:lang w:bidi="fa-IR"/>
          <w:color w:val="111111"/>
          <w:sz w:val="28"/>
          <w:szCs w:val="28"/>
          <w:rtl/>
        </w:rPr>
        <w:t xml:space="preserve">انجام :آفتاب فنای مطلق و وصلت را گویند ماه تابان تجـلی جمال مهر و محبت را گویند و الله اعلم بالصواب.</w:t>
      </w:r>
    </w:p>
    <w:p>
      <w:pPr>
        <w:pStyle w:val="BookText"/>
      </w:pPr>
      <w:r>
        <w:rPr>
          <w:rFonts w:ascii="IRNazanin" w:hAnsi="IRNazanin" w:eastAsia="IRNazanin" w:cs="IRNazanin"/>
          <w:lang w:bidi="fa-IR"/>
          <w:color w:val="111111"/>
          <w:sz w:val="28"/>
          <w:szCs w:val="28"/>
          <w:rtl/>
        </w:rPr>
        <w:t xml:space="preserve">آغاز نسخه با «رشف االفاظ ...» خالدی، حسین بن احمد شباهت دارد. رساله ای کوتاه در بیان اصطلاحات عرفانی دیوان حافظ شیرازی است که به روش عرفانی قادریه تحریر شده است؛ خـط: نستعلیق، بی کا؛ بی تا ؛جلد: تیماج ۹ (۶۲ر -۷۰ر)،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۳۳/۱ - ۱۶۸]</w:t>
      </w:r>
    </w:p>
    <w:p>
      <w:pPr>
        <w:pStyle w:val="Heading3"/>
      </w:pPr>
      <w:bookmarkStart w:id="1849" w:name="_Toc1371"/>
      <w:r>
        <w:t>اشارات رموز فی آیات کلام رب العالمين / تفسیر/ فارسی</w:t>
      </w:r>
      <w:bookmarkEnd w:id="1849"/>
    </w:p>
    <w:p>
      <w:pPr>
        <w:pStyle w:val="BookText"/>
      </w:pPr>
      <w:r>
        <w:rPr>
          <w:rFonts w:ascii="Times New Roman" w:hAnsi="Times New Roman" w:eastAsia="Times New Roman" w:cs="Times New Roman"/>
          <w:lang w:val="en-US" w:bidi="en-US"/>
          <w:color w:val="111111"/>
          <w:sz w:val="28"/>
          <w:szCs w:val="28"/>
          <w:rtl/>
        </w:rPr>
        <w:t xml:space="preserve">ešārāt-e romūz fī āyāt-e kalām-e rabb-ol-‘ālamīn</w:t>
      </w:r>
    </w:p>
    <w:p>
      <w:pPr>
        <w:pStyle w:val="BookText"/>
      </w:pPr>
      <w:r>
        <w:rPr>
          <w:rFonts w:ascii="IRNazanin" w:hAnsi="IRNazanin" w:eastAsia="IRNazanin" w:cs="IRNazanin"/>
          <w:lang w:bidi="fa-IR"/>
          <w:color w:val="111111"/>
          <w:sz w:val="28"/>
          <w:szCs w:val="28"/>
          <w:rtl/>
        </w:rPr>
        <w:t xml:space="preserve">سلیمان ق ۱۲ قمری</w:t>
      </w:r>
    </w:p>
    <w:p>
      <w:pPr>
        <w:pStyle w:val="BookText"/>
      </w:pPr>
      <w:r>
        <w:rPr>
          <w:rFonts w:ascii="Times New Roman" w:hAnsi="Times New Roman" w:eastAsia="Times New Roman" w:cs="Times New Roman"/>
          <w:lang w:val="en-US" w:bidi="en-US"/>
          <w:color w:val="111111"/>
          <w:sz w:val="28"/>
          <w:szCs w:val="28"/>
          <w:rtl/>
        </w:rPr>
        <w:t xml:space="preserve">(soleymān (- 18c)</w:t>
      </w:r>
    </w:p>
    <w:p>
      <w:pPr>
        <w:pStyle w:val="BookText"/>
      </w:pPr>
      <w:r>
        <w:rPr>
          <w:rFonts w:ascii="IRNazanin" w:hAnsi="IRNazanin" w:eastAsia="IRNazanin" w:cs="IRNazanin"/>
          <w:lang w:bidi="fa-IR"/>
          <w:color w:val="111111"/>
          <w:sz w:val="28"/>
          <w:szCs w:val="28"/>
          <w:rtl/>
        </w:rPr>
        <w:t xml:space="preserve">اهداء به: سلطان محمود</w:t>
      </w:r>
    </w:p>
    <w:p>
      <w:pPr>
        <w:pStyle w:val="BookText"/>
      </w:pPr>
      <w:r>
        <w:rPr>
          <w:rFonts w:ascii="Amiri" w:hAnsi="Amiri" w:eastAsia="Amiri" w:cs="Amiri"/>
          <w:lang w:bidi="ar-SA"/>
          <w:color w:val="111111"/>
          <w:sz w:val="28"/>
          <w:szCs w:val="28"/>
          <w:rtl/>
        </w:rPr>
        <w:t xml:space="preserve">تأليف: ۱۱۰۷ هـ.ق.</w:t>
      </w:r>
    </w:p>
    <w:p>
      <w:pPr>
        <w:pStyle w:val="BookText"/>
      </w:pPr>
      <w:r>
        <w:rPr>
          <w:rFonts w:ascii="IRNazanin" w:hAnsi="IRNazanin" w:eastAsia="IRNazanin" w:cs="IRNazanin"/>
          <w:lang w:bidi="fa-IR"/>
          <w:color w:val="111111"/>
          <w:sz w:val="28"/>
          <w:szCs w:val="28"/>
          <w:rtl/>
        </w:rPr>
        <w:t xml:space="preserve">نویسنده می گوید بر آن شدم که آیاتی که به فهم ناقص کمترین در آمده در کلام ملک علام که دلالت بر استغفار با توبه دارد و آیاتی که به استغفار و توبه هر دو دلالت می کند و آیاتی که به آوردن ایمان و منافقان و وضو و غسل و تیمم و نماز و زکات و حج و جهاد و حشر و حساب و میزان و معاد و ذکر و نفی و اثبات و تقوی و غیره حکایت دارد بیرون نویسم.» دارای پانزده «باب» بدین ترتیب :۱. بیان آیاتی که دلالت بر اسنغفار  دارد؛ 2. آیاتی که دلالت بر توبه دارد؛3 . آیاتی که دلالت به آوردن ایمان دارد؛ ۴. آیاتی که دلالت کند به منافقان؛ ۵. آیاتی که دلالت بر وضو و غسل و تیمم دارد؛ ۶. آیاتی که دلالت به نماز و روزه و حج و زکات و جهاد دارد؛ ۷. آیاتی که دلالت به قیامت وحشر و حساب و میزان و معاد دارد؛ ۸. آیاتی که دلالت بر ذکر دارد؛ ۹. آیاتی که دلالت بر نفی و اثبات دارد؛ ۱۰. آیاتی که دلالت بر تقوی دارد؛ ۱۱. آیاتی که دلالت بر متفرقات چندی از قبیل شکر و حکومت و پادشاهی دارد؛ ۱۲. آیاتی که دلالت بوحدت وجود دارد .۱۳. آیاتی که دلالت به روح و نور دارد؛ ۱۴. آیاتی که دلالت به اراده خدا دارد؛ ۱۵. آیاتی که دلالت به احدیت دارد. در هر یک از این پانزده باب که نوشته می شود مراعات تقدم و تأخر بودن سوره های قرآنی شده ولی از آن آیات نشده است.  تهران؛ ملی؛ شماره نسخه: ۹۸۶</w:t>
      </w:r>
    </w:p>
    <w:p>
      <w:pPr>
        <w:pStyle w:val="BookText"/>
      </w:pPr>
      <w:r>
        <w:rPr>
          <w:rFonts w:ascii="IRNazanin" w:hAnsi="IRNazanin" w:eastAsia="IRNazanin" w:cs="IRNazanin"/>
          <w:lang w:bidi="fa-IR"/>
          <w:color w:val="111111"/>
          <w:sz w:val="28"/>
          <w:szCs w:val="28"/>
          <w:rtl/>
        </w:rPr>
        <w:t xml:space="preserve">آغاز: بسمله، الحمد لله الذى جعل الاستغفار مغفرة للمستغفرين و التوبه منجاة للتائبين؛ انجام: روشن زماهیان شده این معنی ام جواب هر مفلسی ز لطف تو صاحب خزانه ایست.</w:t>
      </w:r>
    </w:p>
    <w:p>
      <w:pPr>
        <w:pStyle w:val="BookText"/>
      </w:pPr>
      <w:r>
        <w:rPr>
          <w:rFonts w:ascii="IRNazanin" w:hAnsi="IRNazanin" w:eastAsia="IRNazanin" w:cs="IRNazanin"/>
          <w:lang w:bidi="fa-IR"/>
          <w:color w:val="111111"/>
          <w:sz w:val="28"/>
          <w:szCs w:val="28"/>
          <w:rtl/>
        </w:rPr>
        <w:t xml:space="preserve">خط: نسخ خوش، کا: احمد  نیریزی، تا: ربیع الثانی ۱۱۱۵ق، جا: دارالسلطنه اصفهان؛ با سرلوح مذهب، مجدول؛ کاغذ: دولت  آبادی، جلد: روغنی بوم تریاکی گل و بوته ،دار ۱۴۹گ، ۱۱ سطر (9</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۲ - ۵۴۱]</w:t>
      </w:r>
    </w:p>
    <w:p>
      <w:pPr>
        <w:pStyle w:val="Heading3"/>
      </w:pPr>
      <w:bookmarkStart w:id="1850" w:name="_Toc1372"/>
      <w:r>
        <w:t>اشارات شریفه و لطایف رموزات لطیفه = شیخ و  مرید / شعر / فارسی</w:t>
      </w:r>
      <w:bookmarkEnd w:id="1850"/>
    </w:p>
    <w:p>
      <w:pPr>
        <w:pStyle w:val="BookText"/>
      </w:pPr>
      <w:r>
        <w:rPr>
          <w:rFonts w:ascii="Times New Roman" w:hAnsi="Times New Roman" w:eastAsia="Times New Roman" w:cs="Times New Roman"/>
          <w:lang w:val="en-US" w:bidi="en-US"/>
          <w:color w:val="111111"/>
          <w:sz w:val="28"/>
          <w:szCs w:val="28"/>
          <w:rtl/>
        </w:rPr>
        <w:t xml:space="preserve">ešārāt-e šarīfe va latāyef-e romūzāt-e latīfe = šeyx va</w:t>
      </w:r>
    </w:p>
    <w:p>
      <w:pPr>
        <w:pStyle w:val="BookText"/>
      </w:pPr>
      <w:r>
        <w:rPr>
          <w:rFonts w:ascii="Times New Roman" w:hAnsi="Times New Roman" w:eastAsia="Times New Roman" w:cs="Times New Roman"/>
          <w:lang w:val="en-US" w:bidi="en-US"/>
          <w:color w:val="111111"/>
          <w:sz w:val="28"/>
          <w:szCs w:val="28"/>
          <w:rtl/>
        </w:rPr>
        <w:t xml:space="preserve">morīd</w:t>
      </w:r>
    </w:p>
    <w:p>
      <w:pPr>
        <w:pStyle w:val="BookText"/>
      </w:pPr>
      <w:r>
        <w:rPr>
          <w:rFonts w:ascii="IRNazanin" w:hAnsi="IRNazanin" w:eastAsia="IRNazanin" w:cs="IRNazanin"/>
          <w:lang w:bidi="fa-IR"/>
          <w:color w:val="111111"/>
          <w:sz w:val="28"/>
          <w:szCs w:val="28"/>
          <w:rtl/>
        </w:rPr>
        <w:t xml:space="preserve">حدود دویست و بیست بیت به مثنوی در نکوهش مشایخ صوفیه و این که کارهایشان همه دروغ و دغل می باشد و هیچ گونه حقیقت ندارد.ناظم گوید که این ابیات به صورت هزلیات ولی به واقع اشاره به حقیقت می باشد و از مسخره به دور است. نام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385" w:name="pg20365_260534"/>
    <w:bookmarkEnd w:id="385"/>
    <w:p>
      <w:pPr>
        <w:pStyle w:val="BookText"/>
      </w:pPr>
      <w:r>
        <w:rPr>
          <w:rFonts w:ascii="IRNazanin" w:hAnsi="IRNazanin" w:eastAsia="IRNazanin" w:cs="IRNazanin"/>
          <w:lang w:bidi="fa-IR"/>
          <w:color w:val="111111"/>
          <w:sz w:val="28"/>
          <w:szCs w:val="28"/>
          <w:rtl/>
        </w:rPr>
        <w:t xml:space="preserve">یکم در فهرست خضر نوشاهی است که از عبارات زیر از دیباچه بیرون کشیده است: «اما بعد این نسخه ای است متضمن بر معانی «اشارات شریفه و لطایف رموزات لطیفه» اگرچه بعضی ابياتش ...» نام دوم در فهرست اشکوری آمده است و می افزاید در نکوهش مشایخ دغل  است. با سربندهای در بیان آنکه بعضی مقلدان نه از طریق آگاه که به تقلید کورکورانه دم از توحید می زنند، محض ضلالت است در بیان مجلس شيخان متصوفه مبتدع ریاکار که در لباس مشایخ بزرگوار درآمده کوس مشیخیت نوازند و در مجالس و اعراس بدعت اختراع ساخته اغوا پردازند. رخصت دادن خامان به ارتکاب مناهی و از مـیان برداشتن اوامر و نواهی.</w:t>
      </w:r>
    </w:p>
    <w:p>
      <w:pPr>
        <w:pStyle w:val="BookText"/>
      </w:pPr>
      <w:r>
        <w:rPr>
          <w:rFonts w:ascii="IRNazanin" w:hAnsi="IRNazanin" w:eastAsia="IRNazanin" w:cs="IRNazanin"/>
          <w:lang w:bidi="fa-IR"/>
          <w:color w:val="111111"/>
          <w:sz w:val="28"/>
          <w:szCs w:val="28"/>
          <w:rtl/>
        </w:rPr>
        <w:t xml:space="preserve">آغاز: الحمد لله على جزيل آلائه ... اما بعد این نسخه ای اسـت متضمن بر اشارات شریفه. زین فقیران مضل با مکروفن *** برحذر می باش و میدان راهزن / گمره و گمره کنانند این فریق*** در لباس فقر قطاع الطريق</w:t>
      </w:r>
    </w:p>
    <w:p>
      <w:pPr>
        <w:pStyle w:val="BookText"/>
      </w:pPr>
      <w:r>
        <w:rPr>
          <w:rFonts w:ascii="IRNazanin" w:hAnsi="IRNazanin" w:eastAsia="IRNazanin" w:cs="IRNazanin"/>
          <w:lang w:bidi="fa-IR"/>
          <w:color w:val="111111"/>
          <w:sz w:val="28"/>
          <w:szCs w:val="28"/>
          <w:rtl/>
        </w:rPr>
        <w:t xml:space="preserve">[فهرستواره منزوی (۱۹۸/۱۰]</w:t>
      </w:r>
    </w:p>
    <w:p>
      <w:pPr>
        <w:pStyle w:val="BookText"/>
      </w:pPr>
      <w:r>
        <w:rPr>
          <w:rFonts w:ascii="IRNazanin" w:hAnsi="IRNazanin" w:eastAsia="IRNazanin" w:cs="IRNazanin"/>
          <w:lang w:bidi="fa-IR"/>
          <w:color w:val="111111"/>
          <w:sz w:val="28"/>
          <w:szCs w:val="28"/>
          <w:rtl/>
        </w:rPr>
        <w:t xml:space="preserve">قم؛ مرعشی؛ شماره نسخه: ۲۱۴۷/۱</w:t>
      </w:r>
    </w:p>
    <w:p>
      <w:pPr>
        <w:pStyle w:val="BookText"/>
      </w:pPr>
      <w:r>
        <w:rPr>
          <w:rFonts w:ascii="IRNazanin" w:hAnsi="IRNazanin" w:eastAsia="IRNazanin" w:cs="IRNazanin"/>
          <w:lang w:bidi="fa-IR"/>
          <w:color w:val="111111"/>
          <w:sz w:val="28"/>
          <w:szCs w:val="28"/>
          <w:rtl/>
        </w:rPr>
        <w:t xml:space="preserve">آغاز: برابر؛ انجام: این دغابازان که راه دین زنند ***داخل اندرمدح  درویشان نیند/ در شریعت دمشان کردن رواست *** شاهد قولم حدیث مصطفی است</w:t>
      </w:r>
    </w:p>
    <w:p>
      <w:pPr>
        <w:pStyle w:val="BookText"/>
      </w:pPr>
      <w:r>
        <w:rPr>
          <w:rFonts w:ascii="IRNazanin" w:hAnsi="IRNazanin" w:eastAsia="IRNazanin" w:cs="IRNazanin"/>
          <w:lang w:bidi="fa-IR"/>
          <w:color w:val="111111"/>
          <w:sz w:val="28"/>
          <w:szCs w:val="28"/>
          <w:rtl/>
        </w:rPr>
        <w:t xml:space="preserve">خط: نستعلیق، بی کا، تا: ۴ جمادی الثانی ۱۲۶۷ق؛ مجدول؛ جـلد: تیماج  مشکی، ۱۱گ (۱پ - ۱۱پ)، ۱۳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  سم[ ف: ۶ - ۱۵۵]</w:t>
      </w:r>
    </w:p>
    <w:p>
      <w:pPr>
        <w:pStyle w:val="Heading3"/>
      </w:pPr>
      <w:bookmarkStart w:id="1851" w:name="_Toc1373"/>
      <w:r>
        <w:t>اشارات الصوفية / عرفان و تصوف / عربی</w:t>
      </w:r>
      <w:bookmarkEnd w:id="1851"/>
    </w:p>
    <w:p>
      <w:pPr>
        <w:pStyle w:val="BookText"/>
      </w:pPr>
      <w:r>
        <w:rPr>
          <w:rFonts w:ascii="Times New Roman" w:hAnsi="Times New Roman" w:eastAsia="Times New Roman" w:cs="Times New Roman"/>
          <w:lang w:val="en-US" w:bidi="en-US"/>
          <w:color w:val="111111"/>
          <w:sz w:val="28"/>
          <w:szCs w:val="28"/>
          <w:rtl/>
        </w:rPr>
        <w:t xml:space="preserve">išārāt-uṣ ṣūfīya</w:t>
      </w:r>
    </w:p>
    <w:p>
      <w:pPr>
        <w:pStyle w:val="BookText"/>
      </w:pPr>
      <w:r>
        <w:rPr>
          <w:rFonts w:ascii="IRNazanin" w:hAnsi="IRNazanin" w:eastAsia="IRNazanin" w:cs="IRNazanin"/>
          <w:lang w:bidi="fa-IR"/>
          <w:color w:val="111111"/>
          <w:sz w:val="28"/>
          <w:szCs w:val="28"/>
          <w:rtl/>
        </w:rPr>
        <w:t xml:space="preserve">پاسخ پرسشی است درباره این که بعضی از عرفا در گفته هـای خود وجه و شعر محبوب را یاد کرده اند. مؤلف می گوید که مراد از وجه وجود و از شعر ظلمت و پنهانی وجود می باشد و  ظواهر الفاظ را اراده نکرده اند.</w:t>
      </w:r>
    </w:p>
    <w:p>
      <w:pPr>
        <w:pStyle w:val="BookText"/>
      </w:pPr>
      <w:r>
        <w:rPr>
          <w:rFonts w:ascii="IRNazanin" w:hAnsi="IRNazanin" w:eastAsia="IRNazanin" w:cs="IRNazanin"/>
          <w:lang w:bidi="fa-IR"/>
          <w:color w:val="111111"/>
          <w:sz w:val="28"/>
          <w:szCs w:val="28"/>
          <w:rtl/>
        </w:rPr>
        <w:t xml:space="preserve">قم؛ مرعشی؛ شماره نسخه: ۴۶۵۰/۳۰</w:t>
      </w:r>
    </w:p>
    <w:p>
      <w:pPr>
        <w:pStyle w:val="BookText"/>
      </w:pPr>
      <w:r>
        <w:rPr>
          <w:rFonts w:ascii="IRNazanin" w:hAnsi="IRNazanin" w:eastAsia="IRNazanin" w:cs="IRNazanin"/>
          <w:lang w:bidi="fa-IR"/>
          <w:color w:val="111111"/>
          <w:sz w:val="28"/>
          <w:szCs w:val="28"/>
          <w:rtl/>
        </w:rPr>
        <w:t xml:space="preserve">آغاز: الحمد لله على جزيل نواله ... و بعد فقد أجبتك أيها الـاخ شرح الله صدرک بنور اليقين؛ انجام: و أما وصف الوجه الجميل والشعر الحسن بالاضائة و السواد فظاهر والله الموافق للصواب.</w:t>
      </w:r>
    </w:p>
    <w:p>
      <w:pPr>
        <w:pStyle w:val="BookText"/>
      </w:pPr>
      <w:r>
        <w:rPr>
          <w:rFonts w:ascii="IRNazanin" w:hAnsi="IRNazanin" w:eastAsia="IRNazanin" w:cs="IRNazanin"/>
          <w:lang w:bidi="fa-IR"/>
          <w:color w:val="111111"/>
          <w:sz w:val="28"/>
          <w:szCs w:val="28"/>
          <w:rtl/>
        </w:rPr>
        <w:t xml:space="preserve">خط: نستعلیق، کا: احمد بن محمود متطبب تولمی  گیلانی، بی تا؛ جلد: مخمل قرمز، ۲گ (۲۲۵ پ -۲۲۶ر)،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ف: ۱۲ - ۲۳۳]</w:t>
      </w:r>
    </w:p>
    <w:p>
      <w:pPr>
        <w:pStyle w:val="Heading3"/>
      </w:pPr>
      <w:bookmarkStart w:id="1852" w:name="_Toc1374"/>
      <w:r>
        <w:t>الاشارات العرشية فى المصائب الحسينية / تاريخ  معصومین / فارسی</w:t>
      </w:r>
      <w:bookmarkEnd w:id="1852"/>
    </w:p>
    <w:p>
      <w:pPr>
        <w:pStyle w:val="BookText"/>
      </w:pPr>
      <w:r>
        <w:rPr>
          <w:rFonts w:ascii="Times New Roman" w:hAnsi="Times New Roman" w:eastAsia="Times New Roman" w:cs="Times New Roman"/>
          <w:lang w:val="en-US" w:bidi="en-US"/>
          <w:color w:val="111111"/>
          <w:sz w:val="28"/>
          <w:szCs w:val="28"/>
          <w:rtl/>
        </w:rPr>
        <w:t xml:space="preserve">ešārāt-ol-‘aršīye fi masā’eb-el-hoseynīye</w:t>
      </w:r>
    </w:p>
    <w:p>
      <w:pPr>
        <w:pStyle w:val="BookText"/>
      </w:pPr>
      <w:r>
        <w:rPr>
          <w:rFonts w:ascii="IRNazanin" w:hAnsi="IRNazanin" w:eastAsia="IRNazanin" w:cs="IRNazanin"/>
          <w:lang w:bidi="fa-IR"/>
          <w:color w:val="111111"/>
          <w:sz w:val="28"/>
          <w:szCs w:val="28"/>
          <w:rtl/>
        </w:rPr>
        <w:t xml:space="preserve">نوری، حسن بن عبد الله، ق ۱۴ قمری</w:t>
      </w:r>
    </w:p>
    <w:p>
      <w:pPr>
        <w:pStyle w:val="BookText"/>
      </w:pPr>
      <w:r>
        <w:rPr>
          <w:rFonts w:ascii="Times New Roman" w:hAnsi="Times New Roman" w:eastAsia="Times New Roman" w:cs="Times New Roman"/>
          <w:lang w:val="en-US" w:bidi="en-US"/>
          <w:color w:val="111111"/>
          <w:sz w:val="28"/>
          <w:szCs w:val="28"/>
          <w:rtl/>
        </w:rPr>
        <w:t xml:space="preserve">(nūrī, hasan ebn-e 'abd-ol-lah (- 20c)</w:t>
      </w:r>
    </w:p>
    <w:p>
      <w:pPr>
        <w:pStyle w:val="BookText"/>
      </w:pPr>
      <w:r>
        <w:rPr>
          <w:rFonts w:ascii="IRNazanin" w:hAnsi="IRNazanin" w:eastAsia="IRNazanin" w:cs="IRNazanin"/>
          <w:lang w:bidi="fa-IR"/>
          <w:color w:val="111111"/>
          <w:sz w:val="28"/>
          <w:szCs w:val="28"/>
          <w:rtl/>
        </w:rPr>
        <w:t xml:space="preserve">تاریخ تألیف: دوشنبه ۲۰ شوال ۱۳۱۰ق (جلد دوم)</w:t>
      </w:r>
    </w:p>
    <w:p>
      <w:pPr>
        <w:pStyle w:val="BookText"/>
      </w:pPr>
      <w:r>
        <w:rPr>
          <w:rFonts w:ascii="IRNazanin" w:hAnsi="IRNazanin" w:eastAsia="IRNazanin" w:cs="IRNazanin"/>
          <w:lang w:bidi="fa-IR"/>
          <w:color w:val="111111"/>
          <w:sz w:val="28"/>
          <w:szCs w:val="28"/>
          <w:rtl/>
        </w:rPr>
        <w:t xml:space="preserve">مجالسی است در احکام  فقهی ،روایات، داستانهایی مناسب موضوع و در آخر اشاه ای کوتاه به مصایب امام حسین همانند اهل منبر، مؤلف کتابش را در چند «اشاره» و هر اشاره در چند «مجلس» و هر مجلس در چند «فصل» قرار داده است.</w:t>
      </w:r>
    </w:p>
    <w:p>
      <w:pPr>
        <w:pStyle w:val="BookText"/>
      </w:pPr>
      <w:r>
        <w:rPr>
          <w:rFonts w:ascii="IRNazanin" w:hAnsi="IRNazanin" w:eastAsia="IRNazanin" w:cs="IRNazanin"/>
          <w:lang w:bidi="fa-IR"/>
          <w:color w:val="111111"/>
          <w:sz w:val="28"/>
          <w:szCs w:val="28"/>
          <w:rtl/>
        </w:rPr>
        <w:t xml:space="preserve">1.تهران؛ مجلس؛ شماره نسخه: ۱۴۲۷۵</w:t>
      </w:r>
    </w:p>
    <w:p>
      <w:pPr>
        <w:pStyle w:val="BookText"/>
      </w:pPr>
      <w:r>
        <w:rPr>
          <w:rFonts w:ascii="IRNazanin" w:hAnsi="IRNazanin" w:eastAsia="IRNazanin" w:cs="IRNazanin"/>
          <w:lang w:bidi="fa-IR"/>
          <w:color w:val="111111"/>
          <w:sz w:val="28"/>
          <w:szCs w:val="28"/>
          <w:rtl/>
        </w:rPr>
        <w:t xml:space="preserve">آغاز: چون رشته کلام در ذکر واجباتی بود که بر ترک آنها كبيره بود پس می گوییم که از واجباتی که بر ترک آنها کبیره است زکوة است؛ انجام: آنچه از تو سرزد و ظلم و ستمی که کردی در عذاب تو و خلود تو در آتش الا لعنة الله على القوم الظالمين من الأولين والآخرين.</w:t>
      </w:r>
    </w:p>
    <w:p>
      <w:pPr>
        <w:pStyle w:val="BookText"/>
      </w:pPr>
      <w:r>
        <w:rPr>
          <w:rFonts w:ascii="IRNazanin" w:hAnsi="IRNazanin" w:eastAsia="IRNazanin" w:cs="IRNazanin"/>
          <w:lang w:bidi="fa-IR"/>
          <w:color w:val="111111"/>
          <w:sz w:val="28"/>
          <w:szCs w:val="28"/>
          <w:rtl/>
        </w:rPr>
        <w:t xml:space="preserve">جلد دوم،سه مجلس(مجلس بیست و ششم: در مسائل زکات،مجلس  بیست و هفتم: در مسائل خمس مجلس بیست و هشتم: در مسائل حج) را شامل است؛ خط: نستعلیق و نسخ، کاتب = مؤلف، تا: دوشنبه ۲۰ شوال ۱۳۱۰ق؛ مصحح، محشی به امضاء«منه» و «نوری»، در اول نسخه یک صفحه شعر به خط مؤلف و در صفحه دیگر دعای باران تحریر شده در ۲۳ صفر ۱۳۱۷؛ جلد: تیماج قهوه ای، مجدول ۲۸۵گ، ۱۷ سطر،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۳۸ - ۳۸۴]</w:t>
      </w:r>
    </w:p>
    <w:p>
      <w:pPr>
        <w:pStyle w:val="BookText"/>
      </w:pPr>
      <w:r>
        <w:rPr>
          <w:rFonts w:ascii="IRNazanin" w:hAnsi="IRNazanin" w:eastAsia="IRNazanin" w:cs="IRNazanin"/>
          <w:lang w:bidi="fa-IR"/>
          <w:color w:val="111111"/>
          <w:sz w:val="28"/>
          <w:szCs w:val="28"/>
          <w:rtl/>
        </w:rPr>
        <w:t xml:space="preserve">۲. تهران؛ مجلس؛ شماره نسخه: ۱۴۲۷۴</w:t>
      </w:r>
    </w:p>
    <w:p>
      <w:pPr>
        <w:pStyle w:val="BookText"/>
      </w:pPr>
      <w:r>
        <w:rPr>
          <w:rFonts w:ascii="IRNazanin" w:hAnsi="IRNazanin" w:eastAsia="IRNazanin" w:cs="IRNazanin"/>
          <w:lang w:bidi="fa-IR"/>
          <w:color w:val="111111"/>
          <w:sz w:val="28"/>
          <w:szCs w:val="28"/>
          <w:rtl/>
        </w:rPr>
        <w:t xml:space="preserve">آغاز: مجلس اول در بیان تیرهایی که در روز عاشورا رها شده دو موضع را بهم دوخته ... اول تیر عمرو بن صبیح ملعون که به جانب عبدالله بن مسلم انداخت :انجام: نسخه فرقی نیست میان بودن ایشان قبل از ممات و شهادت و میان بودن ایشان بعد از ممات و  شهاذت -سیم وجهی است که به نظر قاصر رسیده و آن این عربی است.</w:t>
      </w:r>
    </w:p>
    <w:p>
      <w:pPr>
        <w:pStyle w:val="BookText"/>
      </w:pPr>
      <w:r>
        <w:rPr>
          <w:rFonts w:ascii="IRNazanin" w:hAnsi="IRNazanin" w:eastAsia="IRNazanin" w:cs="IRNazanin"/>
          <w:lang w:bidi="fa-IR"/>
          <w:color w:val="111111"/>
          <w:sz w:val="28"/>
          <w:szCs w:val="28"/>
          <w:rtl/>
        </w:rPr>
        <w:t xml:space="preserve">جلد اول، از آخر ناتمام است، شامل سه اشاره است و مؤلف در آن تاریخ و مصایب امام حسین (علیه السّلام) را به طور مفصل بیان نموده است؛ خط: نستعليق، كاتب= مؤلف، بی تا، افتادگی: انجام؛ مصحح؛ جلد: مقوایی آبی عطف پارچه سرخ، ۸۹گ، ۱۶ سطر،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۳۸ - ۳۸۲]</w:t>
      </w:r>
    </w:p>
    <w:p>
      <w:pPr>
        <w:pStyle w:val="Heading3"/>
      </w:pPr>
      <w:bookmarkStart w:id="1853" w:name="_Toc1375"/>
      <w:r>
        <w:t>الاشارات العمرية في حل ابيات الشاطبية / قرائت /  عربی</w:t>
      </w:r>
      <w:bookmarkEnd w:id="1853"/>
    </w:p>
    <w:p>
      <w:pPr>
        <w:pStyle w:val="BookText"/>
      </w:pPr>
      <w:r>
        <w:rPr>
          <w:rFonts w:ascii="Times New Roman" w:hAnsi="Times New Roman" w:eastAsia="Times New Roman" w:cs="Times New Roman"/>
          <w:lang w:val="en-US" w:bidi="en-US"/>
          <w:color w:val="111111"/>
          <w:sz w:val="28"/>
          <w:szCs w:val="28"/>
          <w:rtl/>
        </w:rPr>
        <w:t xml:space="preserve">al-išarat-ul-umariyya fi hall-i abyat-is-satibiyya</w:t>
      </w:r>
    </w:p>
    <w:p>
      <w:pPr>
        <w:pStyle w:val="BookText"/>
      </w:pPr>
      <w:r>
        <w:rPr>
          <w:rFonts w:ascii="IRNazanin" w:hAnsi="IRNazanin" w:eastAsia="IRNazanin" w:cs="IRNazanin"/>
          <w:lang w:bidi="fa-IR"/>
          <w:color w:val="111111"/>
          <w:sz w:val="28"/>
          <w:szCs w:val="28"/>
          <w:rtl/>
        </w:rPr>
        <w:t xml:space="preserve">شافعی ارمنازی ،عمر بن عبد القادر، - ۱۱۴۸ قمری</w:t>
      </w:r>
    </w:p>
    <w:p>
      <w:pPr>
        <w:pStyle w:val="BookText"/>
      </w:pPr>
      <w:r>
        <w:rPr>
          <w:rFonts w:ascii="Times New Roman" w:hAnsi="Times New Roman" w:eastAsia="Times New Roman" w:cs="Times New Roman"/>
          <w:lang w:val="en-US" w:bidi="en-US"/>
          <w:color w:val="111111"/>
          <w:sz w:val="28"/>
          <w:szCs w:val="28"/>
          <w:rtl/>
        </w:rPr>
        <w:t xml:space="preserve">(šāfe'ī armanāzī, ‘omar ebn-e 'abd-ol-qader (- 1736)</w:t>
      </w:r>
    </w:p>
    <w:p>
      <w:pPr>
        <w:pStyle w:val="BookText"/>
      </w:pPr>
      <w:r>
        <w:rPr>
          <w:rFonts w:ascii="IRNazanin" w:hAnsi="IRNazanin" w:eastAsia="IRNazanin" w:cs="IRNazanin"/>
          <w:lang w:bidi="fa-IR"/>
          <w:color w:val="111111"/>
          <w:sz w:val="28"/>
          <w:szCs w:val="28"/>
          <w:rtl/>
        </w:rPr>
        <w:t xml:space="preserve">وابسته به: حرز الامانی و وجه التهانی = قصيدة الشاطبية،شاطبى،  قاسم بن فيره (۵۳۸ -۵۹۰)</w:t>
      </w:r>
    </w:p>
    <w:p>
      <w:pPr>
        <w:pStyle w:val="BookText"/>
      </w:pPr>
      <w:r>
        <w:rPr>
          <w:rFonts w:ascii="Amiri" w:hAnsi="Amiri" w:eastAsia="Amiri" w:cs="Amiri"/>
          <w:lang w:bidi="ar-SA"/>
          <w:color w:val="111111"/>
          <w:sz w:val="28"/>
          <w:szCs w:val="28"/>
          <w:rtl/>
        </w:rPr>
        <w:t xml:space="preserve">[معجم المؤلفين ۲۹۲/٧؛ ايضاح المكنون (۸۴/۱]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386" w:name="pg20365_260535"/>
    <w:bookmarkEnd w:id="386"/>
    <w:p>
      <w:pPr>
        <w:pStyle w:val="BookText"/>
      </w:pPr>
      <w:r>
        <w:rPr>
          <w:rFonts w:ascii="IRNazanin" w:hAnsi="IRNazanin" w:eastAsia="IRNazanin" w:cs="IRNazanin"/>
          <w:lang w:bidi="fa-IR"/>
          <w:color w:val="111111"/>
          <w:sz w:val="28"/>
          <w:szCs w:val="28"/>
          <w:rtl/>
        </w:rPr>
        <w:t xml:space="preserve">قم؛ گلپایگانی؛ شماره نسخه: ۱۰۵-۱/۱۰۵</w:t>
      </w:r>
    </w:p>
    <w:p>
      <w:pPr>
        <w:pStyle w:val="BookText"/>
      </w:pPr>
      <w:r>
        <w:rPr>
          <w:rFonts w:ascii="IRNazanin" w:hAnsi="IRNazanin" w:eastAsia="IRNazanin" w:cs="IRNazanin"/>
          <w:lang w:bidi="fa-IR"/>
          <w:color w:val="111111"/>
          <w:sz w:val="28"/>
          <w:szCs w:val="28"/>
          <w:rtl/>
        </w:rPr>
        <w:t xml:space="preserve">آغاز: بسمله. الحمد لله الذى علم الانسان مالم يعلم و ... وبعد فيقـول الحقيرعمر بن عبد القادر غفر الله له ولوالديه ولجميع المسلمين لما من الله بتلاوة كتابه العزيز بقراءة ؛ انجام: ولهذا استعملوهما للصـلوة على الصحابة لانهم فى الصلوة تبعاً لرسول الله - صلى الله عليـه و سلم و شرف وعظم و کرم و علی و اصحابه ... كمل . الشرح المبارك نهار الثلاثا عشرين خلت من شهر ذى العـقده الحرام سنه ۱۱۴۰</w:t>
      </w:r>
    </w:p>
    <w:p>
      <w:pPr>
        <w:pStyle w:val="BookText"/>
      </w:pPr>
      <w:r>
        <w:rPr>
          <w:rFonts w:ascii="IRNazanin" w:hAnsi="IRNazanin" w:eastAsia="IRNazanin" w:cs="IRNazanin"/>
          <w:lang w:bidi="fa-IR"/>
          <w:color w:val="111111"/>
          <w:sz w:val="28"/>
          <w:szCs w:val="28"/>
          <w:rtl/>
        </w:rPr>
        <w:t xml:space="preserve">از اول تا آخر؛ خط: نسخ، بی کا، تا: سه شنبه ۲۰ ذیقعده ۱۱۵۰ق؛ در اول نسخه وقف از طرف شرف نساء الشهيرة بنته جان بـنت مرحوم کربلایی آقاجان و همسر مرحوم حاجى ملاحيدر علی پیشنماز در شعبان ۱۲۴۷؛ جلد: تیماج قهوه ای ضربی، ترنج دار، ۱۶۴گ، ۱۵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 - ۳۶۷]</w:t>
      </w:r>
    </w:p>
    <w:p>
      <w:pPr>
        <w:pStyle w:val="Heading3"/>
      </w:pPr>
      <w:bookmarkStart w:id="1854" w:name="_Toc1376"/>
      <w:r>
        <w:t>اشارات فاتحة الكتاب / عرفان و تصوف / فارسی</w:t>
      </w:r>
      <w:bookmarkEnd w:id="1854"/>
    </w:p>
    <w:p>
      <w:pPr>
        <w:pStyle w:val="BookText"/>
      </w:pPr>
      <w:r>
        <w:rPr>
          <w:rFonts w:ascii="Times New Roman" w:hAnsi="Times New Roman" w:eastAsia="Times New Roman" w:cs="Times New Roman"/>
          <w:lang w:val="en-US" w:bidi="en-US"/>
          <w:color w:val="111111"/>
          <w:sz w:val="28"/>
          <w:szCs w:val="28"/>
          <w:rtl/>
        </w:rPr>
        <w:t xml:space="preserve">ešārāt-e fātehat-ol ketab</w:t>
      </w:r>
    </w:p>
    <w:p>
      <w:pPr>
        <w:pStyle w:val="BookText"/>
      </w:pPr>
      <w:r>
        <w:rPr>
          <w:rFonts w:ascii="IRNazanin" w:hAnsi="IRNazanin" w:eastAsia="IRNazanin" w:cs="IRNazanin"/>
          <w:lang w:bidi="fa-IR"/>
          <w:color w:val="111111"/>
          <w:sz w:val="28"/>
          <w:szCs w:val="28"/>
          <w:rtl/>
        </w:rPr>
        <w:t xml:space="preserve">نعمة الله ولی، نعمة الله بن عبد الله، ۷۳۰ - ۸۳۴ قمری</w:t>
      </w:r>
    </w:p>
    <w:p>
      <w:pPr>
        <w:pStyle w:val="BookText"/>
      </w:pPr>
      <w:r>
        <w:rPr>
          <w:rFonts w:ascii="Times New Roman" w:hAnsi="Times New Roman" w:eastAsia="Times New Roman" w:cs="Times New Roman"/>
          <w:lang w:val="en-US" w:bidi="en-US"/>
          <w:color w:val="111111"/>
          <w:sz w:val="28"/>
          <w:szCs w:val="28"/>
          <w:rtl/>
        </w:rPr>
        <w:t xml:space="preserve">ne‘mat-ol-lāh-e valī, ne‘mat-ol-lāh ebn-e ‘abd-ol-lāh</w:t>
      </w:r>
    </w:p>
    <w:p>
      <w:pPr>
        <w:pStyle w:val="BookText"/>
      </w:pPr>
      <w:r>
        <w:rPr>
          <w:rFonts w:ascii="Times New Roman" w:hAnsi="Times New Roman" w:eastAsia="Times New Roman" w:cs="Times New Roman"/>
          <w:lang w:val="en-US" w:bidi="en-US"/>
          <w:color w:val="111111"/>
          <w:sz w:val="28"/>
          <w:szCs w:val="28"/>
          <w:rtl/>
        </w:rPr>
        <w:t xml:space="preserve">(330-1431)</w:t>
      </w:r>
    </w:p>
    <w:p>
      <w:pPr>
        <w:pStyle w:val="BookText"/>
      </w:pPr>
      <w:r>
        <w:rPr>
          <w:rFonts w:ascii="IRNazanin" w:hAnsi="IRNazanin" w:eastAsia="IRNazanin" w:cs="IRNazanin"/>
          <w:lang w:bidi="fa-IR"/>
          <w:color w:val="111111"/>
          <w:sz w:val="28"/>
          <w:szCs w:val="28"/>
          <w:rtl/>
        </w:rPr>
        <w:t xml:space="preserve">تهران؛ مجلس؛ شماره نسخه: ۱۰۱۱۹/۳۷</w:t>
      </w:r>
    </w:p>
    <w:p>
      <w:pPr>
        <w:pStyle w:val="BookText"/>
      </w:pPr>
      <w:r>
        <w:rPr>
          <w:rFonts w:ascii="IRNazanin" w:hAnsi="IRNazanin" w:eastAsia="IRNazanin" w:cs="IRNazanin"/>
          <w:lang w:bidi="fa-IR"/>
          <w:color w:val="111111"/>
          <w:sz w:val="28"/>
          <w:szCs w:val="28"/>
          <w:rtl/>
        </w:rPr>
        <w:t xml:space="preserve">خط: نسخ  ریز، کا: عباس بن محمد شیرازی الاصل همدانی المسكن، تا: ۱۲۶۴ق؛ ۲ ص( ۲۵۰-۲۵۱)، ۲۹ سطر، قطع: رحلی  ، اندازه: ۱۹/۵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۳۲سم [ف: ۳۲ - ۱۴۹]</w:t>
      </w:r>
    </w:p>
    <w:p>
      <w:pPr>
        <w:pStyle w:val="Heading3"/>
      </w:pPr>
      <w:bookmarkStart w:id="1855" w:name="_Toc1377"/>
      <w:r>
        <w:t>اشارات الفقه / فقه / عربی</w:t>
      </w:r>
      <w:bookmarkEnd w:id="1855"/>
    </w:p>
    <w:p>
      <w:pPr>
        <w:pStyle w:val="BookText"/>
      </w:pPr>
      <w:r>
        <w:rPr>
          <w:rFonts w:ascii="Times New Roman" w:hAnsi="Times New Roman" w:eastAsia="Times New Roman" w:cs="Times New Roman"/>
          <w:lang w:val="en-US" w:bidi="en-US"/>
          <w:color w:val="111111"/>
          <w:sz w:val="28"/>
          <w:szCs w:val="28"/>
          <w:rtl/>
        </w:rPr>
        <w:t xml:space="preserve">išārāt-ul-fiqh</w:t>
      </w:r>
    </w:p>
    <w:p>
      <w:pPr>
        <w:pStyle w:val="BookText"/>
      </w:pPr>
      <w:r>
        <w:rPr>
          <w:rFonts w:ascii="IRNazanin" w:hAnsi="IRNazanin" w:eastAsia="IRNazanin" w:cs="IRNazanin"/>
          <w:lang w:bidi="fa-IR"/>
          <w:color w:val="111111"/>
          <w:sz w:val="28"/>
          <w:szCs w:val="28"/>
          <w:rtl/>
        </w:rPr>
        <w:t xml:space="preserve">حسنی طباطبائی، صدرالدین محمد، - ۱۱۵۴ قمری</w:t>
      </w:r>
    </w:p>
    <w:p>
      <w:pPr>
        <w:pStyle w:val="BookText"/>
      </w:pPr>
      <w:r>
        <w:rPr>
          <w:rFonts w:ascii="Times New Roman" w:hAnsi="Times New Roman" w:eastAsia="Times New Roman" w:cs="Times New Roman"/>
          <w:lang w:val="en-US" w:bidi="en-US"/>
          <w:color w:val="111111"/>
          <w:sz w:val="28"/>
          <w:szCs w:val="28"/>
          <w:rtl/>
        </w:rPr>
        <w:t xml:space="preserve">(hasanī tabātabā’ī, sadr-od-dīn mohammad (- 1742)</w:t>
      </w:r>
    </w:p>
    <w:p>
      <w:pPr>
        <w:pStyle w:val="BookText"/>
      </w:pPr>
      <w:r>
        <w:rPr>
          <w:rFonts w:ascii="IRNazanin" w:hAnsi="IRNazanin" w:eastAsia="IRNazanin" w:cs="IRNazanin"/>
          <w:lang w:bidi="fa-IR"/>
          <w:color w:val="111111"/>
          <w:sz w:val="28"/>
          <w:szCs w:val="28"/>
          <w:rtl/>
        </w:rPr>
        <w:t xml:space="preserve">وابسته به: الروضة البهية فى شرح اللمعة الدمشقية = شرح لمـعه؛شهید ثانی زین الدین بن علی (۹۱۱-۹۶۵)</w:t>
      </w:r>
    </w:p>
    <w:p>
      <w:pPr>
        <w:pStyle w:val="BookText"/>
      </w:pPr>
      <w:r>
        <w:rPr>
          <w:rFonts w:ascii="IRNazanin" w:hAnsi="IRNazanin" w:eastAsia="IRNazanin" w:cs="IRNazanin"/>
          <w:lang w:bidi="fa-IR"/>
          <w:color w:val="111111"/>
          <w:sz w:val="28"/>
          <w:szCs w:val="28"/>
          <w:rtl/>
        </w:rPr>
        <w:t xml:space="preserve">تاریخ تأليف: ۱۱۲۷ق</w:t>
      </w:r>
    </w:p>
    <w:p>
      <w:pPr>
        <w:pStyle w:val="BookText"/>
      </w:pPr>
      <w:r>
        <w:rPr>
          <w:rFonts w:ascii="IRNazanin" w:hAnsi="IRNazanin" w:eastAsia="IRNazanin" w:cs="IRNazanin"/>
          <w:lang w:bidi="fa-IR"/>
          <w:color w:val="111111"/>
          <w:sz w:val="28"/>
          <w:szCs w:val="28"/>
          <w:rtl/>
        </w:rPr>
        <w:t xml:space="preserve">این رساله حاشیه بر مبحث ولاء از کتاب ارث شرح لمعه است.</w:t>
      </w:r>
    </w:p>
    <w:p>
      <w:pPr>
        <w:pStyle w:val="BookText"/>
      </w:pPr>
      <w:r>
        <w:rPr>
          <w:rFonts w:ascii="Amiri" w:hAnsi="Amiri" w:eastAsia="Amiri" w:cs="Amiri"/>
          <w:lang w:bidi="ar-SA"/>
          <w:color w:val="111111"/>
          <w:sz w:val="28"/>
          <w:szCs w:val="28"/>
          <w:rtl/>
        </w:rPr>
        <w:t xml:space="preserve">آغاز: بسمله ، الحمد لله الذي انعم على رقاب الامكان بايجابه</w:t>
      </w:r>
    </w:p>
    <w:p>
      <w:pPr>
        <w:pStyle w:val="BookText"/>
      </w:pPr>
      <w:r>
        <w:rPr>
          <w:rFonts w:ascii="IRNazanin" w:hAnsi="IRNazanin" w:eastAsia="IRNazanin" w:cs="IRNazanin"/>
          <w:lang w:bidi="fa-IR"/>
          <w:color w:val="111111"/>
          <w:sz w:val="28"/>
          <w:szCs w:val="28"/>
          <w:rtl/>
        </w:rPr>
        <w:t xml:space="preserve">۱. یزد؛ وزیری؛ شماره نسخه: ۳۲۰/۲</w:t>
      </w:r>
    </w:p>
    <w:p>
      <w:pPr>
        <w:pStyle w:val="BookText"/>
      </w:pPr>
      <w:r>
        <w:rPr>
          <w:rFonts w:ascii="IRNazanin" w:hAnsi="IRNazanin" w:eastAsia="IRNazanin" w:cs="IRNazanin"/>
          <w:lang w:bidi="fa-IR"/>
          <w:color w:val="111111"/>
          <w:sz w:val="28"/>
          <w:szCs w:val="28"/>
          <w:rtl/>
        </w:rPr>
        <w:t xml:space="preserve">آغاز: برابر؛ انجام: و اعتق المملوك مما اكتسب سوى الفريضة كما هو في حسنه عمر بن يزيد عن الصادق (علیه السّلام)</w:t>
      </w:r>
    </w:p>
    <w:p>
      <w:pPr>
        <w:pStyle w:val="BookText"/>
      </w:pPr>
      <w:r>
        <w:rPr>
          <w:rFonts w:ascii="IRNazanin" w:hAnsi="IRNazanin" w:eastAsia="IRNazanin" w:cs="IRNazanin"/>
          <w:lang w:bidi="fa-IR"/>
          <w:color w:val="111111"/>
          <w:sz w:val="28"/>
          <w:szCs w:val="28"/>
          <w:rtl/>
        </w:rPr>
        <w:t xml:space="preserve">خط: نستعلیق، کا: سید نقی مدرس مصدق (از احفاد مؤلف)،تا: ۱۳۸۰ق؛ مجدول ؛کاغذ: فرنگی خط دار ،جلد: مقوایی با پارچه قهوه ای، ۲۲ ص (۱۹-۴۰)، ابعاد متن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۲۳/۵ اندازه: ۲۱/۵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۲۷سم [ف: ۱ - ۳۰۳]</w:t>
      </w:r>
    </w:p>
    <w:p>
      <w:pPr>
        <w:pStyle w:val="BookText"/>
      </w:pPr>
      <w:r>
        <w:rPr>
          <w:rFonts w:ascii="IRNazanin" w:hAnsi="IRNazanin" w:eastAsia="IRNazanin" w:cs="IRNazanin"/>
          <w:lang w:bidi="fa-IR"/>
          <w:color w:val="111111"/>
          <w:sz w:val="28"/>
          <w:szCs w:val="28"/>
          <w:rtl/>
        </w:rPr>
        <w:t xml:space="preserve">٢. یزد؛ مدرسی؛ شماره نسخه: بدون شماره/۸</w:t>
      </w:r>
    </w:p>
    <w:p>
      <w:pPr>
        <w:pStyle w:val="BookText"/>
      </w:pPr>
      <w:r>
        <w:rPr>
          <w:rFonts w:ascii="Amiri" w:hAnsi="Amiri" w:eastAsia="Amiri" w:cs="Amiri"/>
          <w:lang w:bidi="ar-SA"/>
          <w:color w:val="111111"/>
          <w:sz w:val="28"/>
          <w:szCs w:val="28"/>
          <w:rtl/>
        </w:rPr>
        <w:t xml:space="preserve">آغاز: برابر؛ انجام: و ام و عم لاب انتهى و هو كلام جيد.</w:t>
      </w:r>
    </w:p>
    <w:p>
      <w:pPr>
        <w:pStyle w:val="BookText"/>
      </w:pPr>
      <w:r>
        <w:rPr>
          <w:rFonts w:ascii="IRNazanin" w:hAnsi="IRNazanin" w:eastAsia="IRNazanin" w:cs="IRNazanin"/>
          <w:lang w:bidi="fa-IR"/>
          <w:color w:val="111111"/>
          <w:sz w:val="28"/>
          <w:szCs w:val="28"/>
          <w:rtl/>
        </w:rPr>
        <w:t xml:space="preserve">خط: شکسته نستعلیق، کا: محمد سامع ابن محمد نصیر (یکی از شاگردان مؤلف)، تا: در حیات مؤلف؛ جلد: تیماج تریاکی، ۱۳گ (۸۴-۷۲) ۲۱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 قطع: بیاضی، اندازه: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[میراث اسلامی ۸ - ۴۵۹]</w:t>
      </w:r>
    </w:p>
    <w:p>
      <w:pPr>
        <w:pStyle w:val="Heading3"/>
      </w:pPr>
      <w:bookmarkStart w:id="1856" w:name="_Toc1378"/>
      <w:r>
        <w:t>اشارات الفقه / فقه / عربی</w:t>
      </w:r>
      <w:bookmarkEnd w:id="1856"/>
    </w:p>
    <w:p>
      <w:pPr>
        <w:pStyle w:val="BookText"/>
      </w:pPr>
      <w:r>
        <w:rPr>
          <w:rFonts w:ascii="Times New Roman" w:hAnsi="Times New Roman" w:eastAsia="Times New Roman" w:cs="Times New Roman"/>
          <w:lang w:val="en-US" w:bidi="en-US"/>
          <w:color w:val="111111"/>
          <w:sz w:val="28"/>
          <w:szCs w:val="28"/>
          <w:rtl/>
        </w:rPr>
        <w:t xml:space="preserve">išārāt-ul-fiqh</w:t>
      </w:r>
    </w:p>
    <w:p>
      <w:pPr>
        <w:pStyle w:val="BookText"/>
      </w:pPr>
      <w:r>
        <w:rPr>
          <w:rFonts w:ascii="IRNazanin" w:hAnsi="IRNazanin" w:eastAsia="IRNazanin" w:cs="IRNazanin"/>
          <w:lang w:bidi="fa-IR"/>
          <w:color w:val="111111"/>
          <w:sz w:val="28"/>
          <w:szCs w:val="28"/>
          <w:rtl/>
        </w:rPr>
        <w:t xml:space="preserve">استرآبادی، محمد جعفر بن سيف الدين، ۱۱۹۸ -  ۱۲۶۳ قمری</w:t>
      </w:r>
    </w:p>
    <w:p>
      <w:pPr>
        <w:pStyle w:val="BookText"/>
      </w:pPr>
      <w:r>
        <w:rPr>
          <w:rFonts w:ascii="Times New Roman" w:hAnsi="Times New Roman" w:eastAsia="Times New Roman" w:cs="Times New Roman"/>
          <w:lang w:val="en-US" w:bidi="en-US"/>
          <w:color w:val="111111"/>
          <w:sz w:val="28"/>
          <w:szCs w:val="28"/>
          <w:rtl/>
        </w:rPr>
        <w:t xml:space="preserve">(1747-estarabadi, mohammad jafar ebn-e sayf-od-din (1784 -</w:t>
      </w:r>
    </w:p>
    <w:p>
      <w:pPr>
        <w:pStyle w:val="BookText"/>
      </w:pPr>
      <w:r>
        <w:rPr>
          <w:rFonts w:ascii="IRNazanin" w:hAnsi="IRNazanin" w:eastAsia="IRNazanin" w:cs="IRNazanin"/>
          <w:lang w:bidi="fa-IR"/>
          <w:color w:val="111111"/>
          <w:sz w:val="28"/>
          <w:szCs w:val="28"/>
          <w:rtl/>
        </w:rPr>
        <w:t xml:space="preserve">تاریخ تألیف: ۱۲۵۶ق</w:t>
      </w:r>
    </w:p>
    <w:p>
      <w:pPr>
        <w:pStyle w:val="BookText"/>
      </w:pPr>
      <w:r>
        <w:rPr>
          <w:rFonts w:ascii="IRNazanin" w:hAnsi="IRNazanin" w:eastAsia="IRNazanin" w:cs="IRNazanin"/>
          <w:lang w:bidi="fa-IR"/>
          <w:color w:val="111111"/>
          <w:sz w:val="28"/>
          <w:szCs w:val="28"/>
          <w:rtl/>
        </w:rPr>
        <w:t xml:space="preserve">در بیان اموری که اشاره اند به مقدمات نماز و واجبات آن و خلل واقع در آن و واجبات روزه و زکات، با عنوان «اشارة».</w:t>
      </w:r>
    </w:p>
    <w:p>
      <w:pPr>
        <w:pStyle w:val="BookText"/>
      </w:pPr>
      <w:r>
        <w:rPr>
          <w:rFonts w:ascii="Amiri" w:hAnsi="Amiri" w:eastAsia="Amiri" w:cs="Amiri"/>
          <w:lang w:bidi="ar-SA"/>
          <w:color w:val="111111"/>
          <w:sz w:val="28"/>
          <w:szCs w:val="28"/>
          <w:rtl/>
        </w:rPr>
        <w:t xml:space="preserve">آغاز: الحمد لله رب العالمين... اشارة المقدمات يشير اليها ما يجمعها قولنا اضغطت قاموس فان الالف اشارة الى الاسلام</w:t>
      </w:r>
    </w:p>
    <w:p>
      <w:pPr>
        <w:pStyle w:val="BookText"/>
      </w:pPr>
      <w:r>
        <w:rPr>
          <w:rFonts w:ascii="Amiri" w:hAnsi="Amiri" w:eastAsia="Amiri" w:cs="Amiri"/>
          <w:lang w:bidi="ar-SA"/>
          <w:color w:val="111111"/>
          <w:sz w:val="28"/>
          <w:szCs w:val="28"/>
          <w:rtl/>
        </w:rPr>
        <w:t xml:space="preserve">انجام: و الحاء المهملة اشارة الى الحقنة بالمايع، و القاف اشارة الى القيء اختياراً، و الله العالم بأحكامه</w:t>
      </w:r>
    </w:p>
    <w:p>
      <w:pPr>
        <w:pStyle w:val="BookText"/>
      </w:pPr>
      <w:r>
        <w:rPr>
          <w:rFonts w:ascii="IRNazanin" w:hAnsi="IRNazanin" w:eastAsia="IRNazanin" w:cs="IRNazanin"/>
          <w:lang w:bidi="fa-IR"/>
          <w:color w:val="111111"/>
          <w:sz w:val="28"/>
          <w:szCs w:val="28"/>
          <w:rtl/>
        </w:rPr>
        <w:t xml:space="preserve">قم؛ مرعشی؛ شماره نسخه: ۳۰۸۱/۱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يوسف بن محمد علی کرمانشاهی هزارجریبی (شاگرد مؤلف)، تا: ۱۲۳۱ق؛ مصحح ،محشی از مؤلف؛ جلد: تیماج قهوه ای، ۶گ (۱ر- ۶ر) ، ۱۵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۸ - ۳۰۵]</w:t>
      </w:r>
    </w:p>
    <w:p>
      <w:pPr>
        <w:pStyle w:val="Heading3"/>
      </w:pPr>
      <w:bookmarkStart w:id="1857" w:name="_Toc1379"/>
      <w:r>
        <w:t>اشارات الفقه = رموز واجبات نماز و روزه / فقه / فارسی</w:t>
      </w:r>
      <w:bookmarkEnd w:id="1857"/>
    </w:p>
    <w:p>
      <w:pPr>
        <w:pStyle w:val="BookText"/>
      </w:pPr>
      <w:r>
        <w:rPr>
          <w:rFonts w:ascii="Times New Roman" w:hAnsi="Times New Roman" w:eastAsia="Times New Roman" w:cs="Times New Roman"/>
          <w:lang w:val="en-US" w:bidi="en-US"/>
          <w:color w:val="111111"/>
          <w:sz w:val="28"/>
          <w:szCs w:val="28"/>
          <w:rtl/>
        </w:rPr>
        <w:t xml:space="preserve">ešārāt-ol feqh = romūz-e vājebāt-e namaz va rūze</w:t>
      </w:r>
    </w:p>
    <w:p>
      <w:pPr>
        <w:pStyle w:val="BookText"/>
      </w:pPr>
      <w:r>
        <w:rPr>
          <w:rFonts w:ascii="IRNazanin" w:hAnsi="IRNazanin" w:eastAsia="IRNazanin" w:cs="IRNazanin"/>
          <w:lang w:bidi="fa-IR"/>
          <w:color w:val="111111"/>
          <w:sz w:val="28"/>
          <w:szCs w:val="28"/>
          <w:rtl/>
        </w:rPr>
        <w:t xml:space="preserve">استرآبادی، محمد جعفر بن سيف الدين، ۱۱۹۸  - ۱۲۶۳ قمری</w:t>
      </w:r>
    </w:p>
    <w:p>
      <w:pPr>
        <w:pStyle w:val="BookText"/>
      </w:pPr>
      <w:r>
        <w:rPr>
          <w:rFonts w:ascii="Times New Roman" w:hAnsi="Times New Roman" w:eastAsia="Times New Roman" w:cs="Times New Roman"/>
          <w:lang w:val="en-US" w:bidi="en-US"/>
          <w:color w:val="111111"/>
          <w:sz w:val="28"/>
          <w:szCs w:val="28"/>
          <w:rtl/>
        </w:rPr>
        <w:t xml:space="preserve">(1847-estarābādī, mohammad ja'far ebn-e sayf-od-din (1784 -</w:t>
      </w:r>
    </w:p>
    <w:p>
      <w:pPr>
        <w:pStyle w:val="BookText"/>
      </w:pPr>
      <w:r>
        <w:rPr>
          <w:rFonts w:ascii="IRNazanin" w:hAnsi="IRNazanin" w:eastAsia="IRNazanin" w:cs="IRNazanin"/>
          <w:lang w:bidi="fa-IR"/>
          <w:color w:val="111111"/>
          <w:sz w:val="28"/>
          <w:szCs w:val="28"/>
          <w:rtl/>
        </w:rPr>
        <w:t xml:space="preserve">شبیه به رساله عربی مؤلف «اشارات الفقه» با این فرق که کلمات در دو رساله از یکدیگر جدا می باشند.</w:t>
      </w:r>
    </w:p>
    <w:p>
      <w:pPr>
        <w:pStyle w:val="BookText"/>
      </w:pPr>
      <w:r>
        <w:rPr>
          <w:rFonts w:ascii="IRNazanin" w:hAnsi="IRNazanin" w:eastAsia="IRNazanin" w:cs="IRNazanin"/>
          <w:lang w:bidi="fa-IR"/>
          <w:color w:val="111111"/>
          <w:sz w:val="28"/>
          <w:szCs w:val="28"/>
          <w:rtl/>
        </w:rPr>
        <w:t xml:space="preserve">آغاز: بسمله الحمد لله على نواله والصلوة والسلام على رسوله و اله اما بعد پس می گوید مستهدی من الله الهادي</w:t>
      </w:r>
    </w:p>
    <w:p>
      <w:pPr>
        <w:pStyle w:val="BookText"/>
      </w:pPr>
      <w:r>
        <w:rPr>
          <w:rFonts w:ascii="IRNazanin" w:hAnsi="IRNazanin" w:eastAsia="IRNazanin" w:cs="IRNazanin"/>
          <w:lang w:bidi="fa-IR"/>
          <w:color w:val="111111"/>
          <w:sz w:val="28"/>
          <w:szCs w:val="28"/>
          <w:rtl/>
        </w:rPr>
        <w:t xml:space="preserve">انجام: بسیصد و شین بشاة یعنی گوسفند یعنی بعداز برای هر صد گوسفند یک گوسفند زكوة بايد داد و الله العالم</w:t>
      </w:r>
    </w:p>
    <w:p>
      <w:pPr>
        <w:pStyle w:val="BookText"/>
      </w:pPr>
      <w:r>
        <w:rPr>
          <w:rFonts w:ascii="Amiri" w:hAnsi="Amiri" w:eastAsia="Amiri" w:cs="Amiri"/>
          <w:lang w:bidi="ar-SA"/>
          <w:color w:val="111111"/>
          <w:sz w:val="28"/>
          <w:szCs w:val="28"/>
          <w:rtl/>
        </w:rPr>
        <w:t xml:space="preserve">[دنا (۸۳۹/۱ (۷) (نسخه)؛ الذريعة ۹۴/۲]</w:t>
      </w:r>
    </w:p>
    <w:p>
      <w:pPr>
        <w:pStyle w:val="BookText"/>
      </w:pPr>
      <w:r>
        <w:rPr>
          <w:rFonts w:ascii="IRNazanin" w:hAnsi="IRNazanin" w:eastAsia="IRNazanin" w:cs="IRNazanin"/>
          <w:lang w:bidi="fa-IR"/>
          <w:color w:val="111111"/>
          <w:sz w:val="28"/>
          <w:szCs w:val="28"/>
          <w:rtl/>
        </w:rPr>
        <w:t xml:space="preserve">١. دامغان؛ صادقیه؛ شماره نسخه: ۹۷/۸</w:t>
      </w:r>
    </w:p>
    <w:p>
      <w:pPr>
        <w:pStyle w:val="BookText"/>
      </w:pPr>
      <w:r>
        <w:rPr>
          <w:rFonts w:ascii="IRNazanin" w:hAnsi="IRNazanin" w:eastAsia="IRNazanin" w:cs="IRNazanin"/>
          <w:lang w:bidi="fa-IR"/>
          <w:color w:val="111111"/>
          <w:sz w:val="28"/>
          <w:szCs w:val="28"/>
          <w:rtl/>
        </w:rPr>
        <w:t xml:space="preserve">آغاز و انجام: برابر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387" w:name="pg20365_260536"/>
    <w:bookmarkEnd w:id="387"/>
    <w:p>
      <w:pPr>
        <w:pStyle w:val="BookText"/>
      </w:pPr>
      <w:r>
        <w:rPr>
          <w:rFonts w:ascii="IRNazanin" w:hAnsi="IRNazanin" w:eastAsia="IRNazanin" w:cs="IRNazanin"/>
          <w:lang w:bidi="fa-IR"/>
          <w:color w:val="111111"/>
          <w:sz w:val="28"/>
          <w:szCs w:val="28"/>
          <w:rtl/>
        </w:rPr>
        <w:t xml:space="preserve">خط: نسخ و نستعلیق، بی کا، تا: قرن ۱۳؛ جلد: تیماج قهوه ای ،ضربی ،۴گ،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۱۲]</w:t>
      </w:r>
    </w:p>
    <w:p>
      <w:pPr>
        <w:pStyle w:val="BookText"/>
      </w:pPr>
      <w:r>
        <w:rPr>
          <w:rFonts w:ascii="IRNazanin" w:hAnsi="IRNazanin" w:eastAsia="IRNazanin" w:cs="IRNazanin"/>
          <w:lang w:bidi="fa-IR"/>
          <w:color w:val="111111"/>
          <w:sz w:val="28"/>
          <w:szCs w:val="28"/>
          <w:rtl/>
        </w:rPr>
        <w:t xml:space="preserve">۲. مشهد؛ رضوی؛ شماره نسخه: ۲۷۳۷۲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ابو طالب آرانی کاشانی، تا: ۱۲۴۱ق [رایانه]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مینوی؛ شماره نسخه: ۷۹/۲</w:t>
      </w:r>
    </w:p>
    <w:p>
      <w:pPr>
        <w:pStyle w:val="BookText"/>
      </w:pPr>
      <w:r>
        <w:rPr>
          <w:rFonts w:ascii="IRNazanin" w:hAnsi="IRNazanin" w:eastAsia="IRNazanin" w:cs="IRNazanin"/>
          <w:lang w:bidi="fa-IR"/>
          <w:color w:val="111111"/>
          <w:sz w:val="28"/>
          <w:szCs w:val="28"/>
          <w:rtl/>
        </w:rPr>
        <w:t xml:space="preserve">خط: نسخ، بی کا، تا: ربیع الاول ۱۲۴۴ق [نشریه: ۶ – ۶۸۱]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تهران؛ ملی؛ شماره نسخه: ۷۰۳/۵</w:t>
      </w:r>
    </w:p>
    <w:p>
      <w:pPr>
        <w:pStyle w:val="BookText"/>
      </w:pPr>
      <w:r>
        <w:rPr>
          <w:rFonts w:ascii="IRNazanin" w:hAnsi="IRNazanin" w:eastAsia="IRNazanin" w:cs="IRNazanin"/>
          <w:lang w:bidi="fa-IR"/>
          <w:color w:val="111111"/>
          <w:sz w:val="28"/>
          <w:szCs w:val="28"/>
          <w:rtl/>
        </w:rPr>
        <w:t xml:space="preserve">آغاز: برابر؛ انجام: اصح عدم و جوب رعایت مد و وقف و ادغام در خلاف يرملون است.</w:t>
      </w:r>
    </w:p>
    <w:p>
      <w:pPr>
        <w:pStyle w:val="BookText"/>
      </w:pPr>
      <w:r>
        <w:rPr>
          <w:rFonts w:ascii="IRNazanin" w:hAnsi="IRNazanin" w:eastAsia="IRNazanin" w:cs="IRNazanin"/>
          <w:lang w:bidi="fa-IR"/>
          <w:color w:val="111111"/>
          <w:sz w:val="28"/>
          <w:szCs w:val="28"/>
          <w:rtl/>
        </w:rPr>
        <w:t xml:space="preserve">خط: شکسته نستعلیق، کا: عبد العظيم انجدانی، تا: ۱۲۵۶ق؛ کاغذ: فرنگی فستقی، جلد: تیماج سیاه یک لا، ۳۴ص (۱۲۰-۱۵۳)،  13سطر (6</w:t>
      </w:r>
      <w:r>
        <w:rPr>
          <w:rFonts w:ascii="Times New Roman" w:hAnsi="Times New Roman" w:eastAsia="Times New Roman" w:cs="Times New Roman"/>
          <w:lang w:val="en-US" w:bidi="en-US"/>
          <w:color w:val="111111"/>
          <w:sz w:val="28"/>
          <w:szCs w:val="28"/>
          <w:rtl/>
        </w:rPr>
        <w:t xml:space="preserve">×10)</w:t>
      </w:r>
      <w:r>
        <w:rPr>
          <w:rFonts w:ascii="IRNazanin" w:hAnsi="IRNazanin" w:eastAsia="IRNazanin" w:cs="IRNazanin"/>
          <w:lang w:bidi="fa-IR"/>
          <w:color w:val="111111"/>
          <w:sz w:val="28"/>
          <w:szCs w:val="28"/>
          <w:rtl/>
        </w:rPr>
        <w:t xml:space="preserve">،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۱۵/۵سم [ف: ۲ - ۲۱۲]</w:t>
      </w:r>
    </w:p>
    <w:p>
      <w:pPr>
        <w:pStyle w:val="BookText"/>
      </w:pPr>
      <w:r>
        <w:rPr>
          <w:rFonts w:ascii="IRNazanin" w:hAnsi="IRNazanin" w:eastAsia="IRNazanin" w:cs="IRNazanin"/>
          <w:lang w:bidi="fa-IR"/>
          <w:color w:val="111111"/>
          <w:sz w:val="28"/>
          <w:szCs w:val="28"/>
          <w:rtl/>
        </w:rPr>
        <w:t xml:space="preserve">۵.قم؛ مرکز احیاء؛ شماره نسخه: ۶۴۵/۵</w:t>
      </w:r>
    </w:p>
    <w:p>
      <w:pPr>
        <w:pStyle w:val="BookText"/>
      </w:pPr>
      <w:r>
        <w:rPr>
          <w:rFonts w:ascii="IRNazanin" w:hAnsi="IRNazanin" w:eastAsia="IRNazanin" w:cs="IRNazanin"/>
          <w:lang w:bidi="fa-IR"/>
          <w:color w:val="111111"/>
          <w:sz w:val="28"/>
          <w:szCs w:val="28"/>
          <w:rtl/>
        </w:rPr>
        <w:t xml:space="preserve">آغاز: برابر؛ انجام: چون سرکه و آب غوره و امثال اینها هر چند عادی نباشد و همچنین است بخار غلیظ</w:t>
      </w:r>
    </w:p>
    <w:p>
      <w:pPr>
        <w:pStyle w:val="BookText"/>
      </w:pPr>
      <w:r>
        <w:rPr>
          <w:rFonts w:ascii="IRNazanin" w:hAnsi="IRNazanin" w:eastAsia="IRNazanin" w:cs="IRNazanin"/>
          <w:lang w:bidi="fa-IR"/>
          <w:color w:val="111111"/>
          <w:sz w:val="28"/>
          <w:szCs w:val="28"/>
          <w:rtl/>
        </w:rPr>
        <w:t xml:space="preserve">خط: نستعلیق، کا: غلامحسین بن علی اصغر خان، تا: رمضـان ۱۲۶۰ق؛ جلد: تیماج قهوه ای بدون مقوا،۱۰گ (۱۶ر۲-۷۱ر)،  12 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۱۷/۵سم [ف: ۲ - ۳۰۶]</w:t>
      </w:r>
    </w:p>
    <w:p>
      <w:pPr>
        <w:pStyle w:val="BookText"/>
      </w:pPr>
      <w:r>
        <w:rPr>
          <w:rFonts w:ascii="IRNazanin" w:hAnsi="IRNazanin" w:eastAsia="IRNazanin" w:cs="IRNazanin"/>
          <w:lang w:bidi="fa-IR"/>
          <w:color w:val="111111"/>
          <w:sz w:val="28"/>
          <w:szCs w:val="28"/>
          <w:rtl/>
        </w:rPr>
        <w:t xml:space="preserve">۶ . قم؛ فیضیه؛ شماره نسخه: ۲۰۶۰/۷</w:t>
      </w:r>
    </w:p>
    <w:p>
      <w:pPr>
        <w:pStyle w:val="BookText"/>
      </w:pPr>
      <w:r>
        <w:rPr>
          <w:rFonts w:ascii="IRNazanin" w:hAnsi="IRNazanin" w:eastAsia="IRNazanin" w:cs="IRNazanin"/>
          <w:lang w:bidi="fa-IR"/>
          <w:color w:val="111111"/>
          <w:sz w:val="28"/>
          <w:szCs w:val="28"/>
          <w:rtl/>
        </w:rPr>
        <w:t xml:space="preserve">آغاز: طاق و سماً .که طا اشاره است به طهارت</w:t>
      </w:r>
    </w:p>
    <w:p>
      <w:pPr>
        <w:pStyle w:val="BookText"/>
      </w:pPr>
      <w:r>
        <w:rPr>
          <w:rFonts w:ascii="IRNazanin" w:hAnsi="IRNazanin" w:eastAsia="IRNazanin" w:cs="IRNazanin"/>
          <w:lang w:bidi="fa-IR"/>
          <w:color w:val="111111"/>
          <w:sz w:val="28"/>
          <w:szCs w:val="28"/>
          <w:rtl/>
        </w:rPr>
        <w:t xml:space="preserve">خط  : نسخ و نستعلیق، بی کا، بی تا؛ ۱۰گ،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  ف: 3- 175]</w:t>
      </w:r>
    </w:p>
    <w:p>
      <w:pPr>
        <w:pStyle w:val="BookText"/>
      </w:pPr>
      <w:r>
        <w:rPr>
          <w:rFonts w:ascii="IRNazanin" w:hAnsi="IRNazanin" w:eastAsia="IRNazanin" w:cs="IRNazanin"/>
          <w:lang w:bidi="fa-IR"/>
          <w:color w:val="111111"/>
          <w:sz w:val="28"/>
          <w:szCs w:val="28"/>
          <w:rtl/>
        </w:rPr>
        <w:t xml:space="preserve">۷. مشهد؛ رضوی؛ شماره نسخه: ۲۵۷۵۰</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بی تا [رایانه ]</w:t>
      </w:r>
    </w:p>
    <w:p>
      <w:pPr>
        <w:pStyle w:val="BookText"/>
      </w:pPr>
      <w:r>
        <w:rPr>
          <w:rFonts w:ascii="IRNazanin" w:hAnsi="IRNazanin" w:eastAsia="IRNazanin" w:cs="IRNazanin"/>
          <w:lang w:bidi="fa-IR"/>
          <w:color w:val="111111"/>
          <w:sz w:val="28"/>
          <w:szCs w:val="28"/>
          <w:rtl/>
        </w:rPr>
        <w:t xml:space="preserve">۸. تهران؛ مروی؛ شماره نسخه: ۹۳۴/۲</w:t>
      </w:r>
    </w:p>
    <w:p>
      <w:pPr>
        <w:pStyle w:val="BookText"/>
      </w:pPr>
      <w:r>
        <w:rPr>
          <w:rFonts w:ascii="IRNazanin" w:hAnsi="IRNazanin" w:eastAsia="IRNazanin" w:cs="IRNazanin"/>
          <w:lang w:bidi="fa-IR"/>
          <w:color w:val="111111"/>
          <w:sz w:val="28"/>
          <w:szCs w:val="28"/>
          <w:rtl/>
        </w:rPr>
        <w:t xml:space="preserve">بی کا، بی تا؛ ۷گ، قطع: رقعی [ف: ۳۲۸]</w:t>
      </w:r>
    </w:p>
    <w:p>
      <w:pPr>
        <w:pStyle w:val="BookText"/>
      </w:pPr>
      <w:r>
        <w:rPr>
          <w:rFonts w:ascii="IRNazanin" w:hAnsi="IRNazanin" w:eastAsia="IRNazanin" w:cs="IRNazanin"/>
          <w:lang w:bidi="fa-IR"/>
          <w:color w:val="111111"/>
          <w:sz w:val="28"/>
          <w:szCs w:val="28"/>
          <w:rtl/>
        </w:rPr>
        <w:t xml:space="preserve">۹. قم؛ مرعشی؛ شماره نسخه: ۳۸۴۹/۸</w:t>
      </w:r>
    </w:p>
    <w:p>
      <w:pPr>
        <w:pStyle w:val="BookText"/>
      </w:pPr>
      <w:r>
        <w:rPr>
          <w:rFonts w:ascii="IRNazanin" w:hAnsi="IRNazanin" w:eastAsia="IRNazanin" w:cs="IRNazanin"/>
          <w:lang w:bidi="fa-IR"/>
          <w:color w:val="111111"/>
          <w:sz w:val="28"/>
          <w:szCs w:val="28"/>
          <w:rtl/>
        </w:rPr>
        <w:t xml:space="preserve">انجام: ناتمام اشاره مشکفاب راج</w:t>
      </w:r>
    </w:p>
    <w:p>
      <w:pPr>
        <w:pStyle w:val="BookText"/>
      </w:pPr>
      <w:r>
        <w:rPr>
          <w:rFonts w:ascii="IRNazanin" w:hAnsi="IRNazanin" w:eastAsia="IRNazanin" w:cs="IRNazanin"/>
          <w:lang w:bidi="fa-IR"/>
          <w:color w:val="111111"/>
          <w:sz w:val="28"/>
          <w:szCs w:val="28"/>
          <w:rtl/>
        </w:rPr>
        <w:t xml:space="preserve">خط: نسخ و نستعلیق، بی کا، بی تا؛ جلد: تیماج قهوه ای بدون مقوا، 8گ (۱۳۸ پ -۱۴۵پ) ،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۱۰ - ۲۳۵]</w:t>
      </w:r>
    </w:p>
    <w:p>
      <w:pPr>
        <w:pStyle w:val="Heading3"/>
      </w:pPr>
      <w:bookmarkStart w:id="1858" w:name="_Toc1380"/>
      <w:r>
        <w:t>اشارات الفقه / فقه عربی</w:t>
      </w:r>
      <w:bookmarkEnd w:id="1858"/>
    </w:p>
    <w:p>
      <w:pPr>
        <w:pStyle w:val="BookText"/>
      </w:pPr>
      <w:r>
        <w:rPr>
          <w:rFonts w:ascii="Times New Roman" w:hAnsi="Times New Roman" w:eastAsia="Times New Roman" w:cs="Times New Roman"/>
          <w:lang w:val="en-US" w:bidi="en-US"/>
          <w:color w:val="111111"/>
          <w:sz w:val="28"/>
          <w:szCs w:val="28"/>
          <w:rtl/>
        </w:rPr>
        <w:t xml:space="preserve">išārāt-ul-fiqh</w:t>
      </w:r>
    </w:p>
    <w:p>
      <w:pPr>
        <w:pStyle w:val="BookText"/>
      </w:pPr>
      <w:r>
        <w:rPr>
          <w:rFonts w:ascii="IRNazanin" w:hAnsi="IRNazanin" w:eastAsia="IRNazanin" w:cs="IRNazanin"/>
          <w:lang w:bidi="fa-IR"/>
          <w:color w:val="111111"/>
          <w:sz w:val="28"/>
          <w:szCs w:val="28"/>
          <w:rtl/>
        </w:rPr>
        <w:t xml:space="preserve">فقه فتوایی مختصری است به ترتیب کتاب های فقهی از طهارت تا دیات و مقدمه ای در اصول دین و امور  اعتقادی با عناوین «اشارة – اشارة» و باید در نام کتاب و مؤلف تحقیق شود مؤلـف به کتابی از خود بنام «المشكاة» اشاره می کند. کتاب حاضر جز کتاب شریعتمدار استرآبادی است.</w:t>
      </w:r>
    </w:p>
    <w:p>
      <w:pPr>
        <w:pStyle w:val="BookText"/>
      </w:pPr>
      <w:r>
        <w:rPr>
          <w:rFonts w:ascii="IRNazanin" w:hAnsi="IRNazanin" w:eastAsia="IRNazanin" w:cs="IRNazanin"/>
          <w:lang w:bidi="fa-IR"/>
          <w:color w:val="111111"/>
          <w:sz w:val="28"/>
          <w:szCs w:val="28"/>
          <w:rtl/>
        </w:rPr>
        <w:t xml:space="preserve">قم؛ مرعشی؛ شماره نسخه: ۷۰۰۵</w:t>
      </w:r>
    </w:p>
    <w:p>
      <w:pPr>
        <w:pStyle w:val="BookText"/>
      </w:pPr>
      <w:r>
        <w:rPr>
          <w:rFonts w:ascii="IRNazanin" w:hAnsi="IRNazanin" w:eastAsia="IRNazanin" w:cs="IRNazanin"/>
          <w:lang w:bidi="fa-IR"/>
          <w:color w:val="111111"/>
          <w:sz w:val="28"/>
          <w:szCs w:val="28"/>
          <w:rtl/>
        </w:rPr>
        <w:t xml:space="preserve">آغاز: نفى المثل ويلزم ايجاد احداهما الآخر، و ان يعتقد عدله والا لفعل ما لا يليق بغیره؛ انجام: الثانى فكالنمر و الأسد و نحو هما و كذا الحيوانات المكروهة كالخيل و البغال</w:t>
      </w:r>
    </w:p>
    <w:p>
      <w:pPr>
        <w:pStyle w:val="BookText"/>
      </w:pPr>
      <w:r>
        <w:rPr>
          <w:rFonts w:ascii="IRNazanin" w:hAnsi="IRNazanin" w:eastAsia="IRNazanin" w:cs="IRNazanin"/>
          <w:lang w:bidi="fa-IR"/>
          <w:color w:val="111111"/>
          <w:sz w:val="28"/>
          <w:szCs w:val="28"/>
          <w:rtl/>
        </w:rPr>
        <w:t xml:space="preserve">خط: نسخ، بی کا، بی تا؛ افتادگی: آغاز و انجام؛ مصحح، محشی از مؤلف؛ جلد: مقوایی عطف تیماج  قرمز، ۱۰۳گ، ۱۷ سطر، اندازه: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۱۸ - ۱۷۸]</w:t>
      </w:r>
    </w:p>
    <w:p>
      <w:pPr>
        <w:pStyle w:val="Heading3"/>
      </w:pPr>
      <w:bookmarkStart w:id="1859" w:name="_Toc1381"/>
      <w:r>
        <w:t>الاشارات فى علم العبارات / خوابگزاری / عربی</w:t>
      </w:r>
      <w:bookmarkEnd w:id="1859"/>
    </w:p>
    <w:p>
      <w:pPr>
        <w:pStyle w:val="BookText"/>
      </w:pPr>
      <w:r>
        <w:rPr>
          <w:rFonts w:ascii="Times New Roman" w:hAnsi="Times New Roman" w:eastAsia="Times New Roman" w:cs="Times New Roman"/>
          <w:lang w:val="en-US" w:bidi="en-US"/>
          <w:color w:val="111111"/>
          <w:sz w:val="28"/>
          <w:szCs w:val="28"/>
          <w:rtl/>
        </w:rPr>
        <w:t xml:space="preserve">al-išārāt fī ‘ilm-il-‘ibārāt</w:t>
      </w:r>
    </w:p>
    <w:p>
      <w:pPr>
        <w:pStyle w:val="BookText"/>
      </w:pPr>
      <w:r>
        <w:rPr>
          <w:rFonts w:ascii="IRNazanin" w:hAnsi="IRNazanin" w:eastAsia="IRNazanin" w:cs="IRNazanin"/>
          <w:lang w:bidi="fa-IR"/>
          <w:color w:val="111111"/>
          <w:sz w:val="28"/>
          <w:szCs w:val="28"/>
          <w:rtl/>
        </w:rPr>
        <w:t xml:space="preserve">ابن  شاهین، خلیل بن شاهین، ۸۱۳ - ۸۷۲؟ قمری</w:t>
      </w:r>
    </w:p>
    <w:p>
      <w:pPr>
        <w:pStyle w:val="BookText"/>
      </w:pPr>
      <w:r>
        <w:rPr>
          <w:rFonts w:ascii="Times New Roman" w:hAnsi="Times New Roman" w:eastAsia="Times New Roman" w:cs="Times New Roman"/>
          <w:lang w:val="en-US" w:bidi="en-US"/>
          <w:color w:val="111111"/>
          <w:sz w:val="28"/>
          <w:szCs w:val="28"/>
          <w:rtl/>
        </w:rPr>
        <w:t xml:space="preserve">(ebn-e šāhīn, xalīl ebn-e šāhīn (1411 - 1468)</w:t>
      </w:r>
    </w:p>
    <w:p>
      <w:pPr>
        <w:pStyle w:val="BookText"/>
      </w:pPr>
      <w:r>
        <w:rPr>
          <w:rFonts w:ascii="IRNazanin" w:hAnsi="IRNazanin" w:eastAsia="IRNazanin" w:cs="IRNazanin"/>
          <w:lang w:bidi="fa-IR"/>
          <w:color w:val="111111"/>
          <w:sz w:val="28"/>
          <w:szCs w:val="28"/>
          <w:rtl/>
        </w:rPr>
        <w:t xml:space="preserve">هشتاد «باب» است در خواب گزاری مستند به گفته های دانشمندان این علم و آنچه به تجربه برای مؤلف ثابت شده است که با عنوان «قال بعض المعبرين» يا «قال بعضهم» آورده می شود، و در مقدمه چهار «فصل» آمده در حقانیت و حقیقت خواب دیدن.</w:t>
      </w:r>
    </w:p>
    <w:p>
      <w:pPr>
        <w:pStyle w:val="BookText"/>
      </w:pPr>
      <w:r>
        <w:rPr>
          <w:rFonts w:ascii="Amiri" w:hAnsi="Amiri" w:eastAsia="Amiri" w:cs="Amiri"/>
          <w:lang w:bidi="ar-SA"/>
          <w:color w:val="111111"/>
          <w:sz w:val="28"/>
          <w:szCs w:val="28"/>
          <w:rtl/>
        </w:rPr>
        <w:t xml:space="preserve">آغاز: الحمد لله الذي خلق آدم من طين ثم نفخ فيه روحاً و اصطفاه للرسالة كما اصطفى ادريس من بعده ونوحاً.</w:t>
      </w:r>
    </w:p>
    <w:p>
      <w:pPr>
        <w:pStyle w:val="BookText"/>
      </w:pPr>
      <w:r>
        <w:rPr>
          <w:rFonts w:ascii="Amiri" w:hAnsi="Amiri" w:eastAsia="Amiri" w:cs="Amiri"/>
          <w:lang w:bidi="ar-SA"/>
          <w:color w:val="111111"/>
          <w:sz w:val="28"/>
          <w:szCs w:val="28"/>
          <w:rtl/>
        </w:rPr>
        <w:t xml:space="preserve">انجام: فلما استيقضت وجدته مكتوباً في الكتاب و الله أعلم بالصواب و الحمد لله رب العالمين.</w:t>
      </w:r>
    </w:p>
    <w:p>
      <w:pPr>
        <w:pStyle w:val="BookText"/>
      </w:pPr>
      <w:r>
        <w:rPr>
          <w:rFonts w:ascii="IRNazanin" w:hAnsi="IRNazanin" w:eastAsia="IRNazanin" w:cs="IRNazanin"/>
          <w:lang w:bidi="fa-IR"/>
          <w:color w:val="111111"/>
          <w:sz w:val="28"/>
          <w:szCs w:val="28"/>
          <w:rtl/>
        </w:rPr>
        <w:t xml:space="preserve">چاپ: قاهره  بولاق، دار الطباعة الخديوية، ۳۶۷ص، ۱۲۸۴ق.</w:t>
      </w:r>
    </w:p>
    <w:p>
      <w:pPr>
        <w:pStyle w:val="BookText"/>
      </w:pPr>
      <w:r>
        <w:rPr>
          <w:rFonts w:ascii="IRNazanin" w:hAnsi="IRNazanin" w:eastAsia="IRNazanin" w:cs="IRNazanin"/>
          <w:lang w:bidi="fa-IR"/>
          <w:color w:val="111111"/>
          <w:sz w:val="28"/>
          <w:szCs w:val="28"/>
          <w:rtl/>
        </w:rPr>
        <w:t xml:space="preserve">[مرعشی ۵۷/۴؛ الاوقاف العامة موصل ۲۷۱/۲]</w:t>
      </w:r>
    </w:p>
    <w:p>
      <w:pPr>
        <w:pStyle w:val="BookText"/>
      </w:pPr>
      <w:r>
        <w:rPr>
          <w:rFonts w:ascii="IRNazanin" w:hAnsi="IRNazanin" w:eastAsia="IRNazanin" w:cs="IRNazanin"/>
          <w:lang w:bidi="fa-IR"/>
          <w:color w:val="111111"/>
          <w:sz w:val="28"/>
          <w:szCs w:val="28"/>
          <w:rtl/>
        </w:rPr>
        <w:t xml:space="preserve">قم ؛مرعشی؛ شماره نسخه: ۱۲۵۶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۱۱۰۶ق؛ مجدول به شنگرف؛ جلد: تیماج  قرمز ضربی، ۳۰۲گ، ۲۳سطر،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۱۹/۵سم [ف: ۴ - ۵۷]</w:t>
      </w:r>
    </w:p>
    <w:p>
      <w:pPr>
        <w:pStyle w:val="BookText"/>
      </w:pPr>
      <w:r>
        <w:rPr>
          <w:rFonts w:ascii="Amiri" w:hAnsi="Amiri" w:eastAsia="Amiri" w:cs="Amiri"/>
          <w:lang w:bidi="ar-SA"/>
          <w:color w:val="111111"/>
          <w:sz w:val="28"/>
          <w:szCs w:val="28"/>
          <w:rtl/>
        </w:rPr>
        <w:t xml:space="preserve">«اشارات القرآن » لطائف الاشارات في حقائق العبارات</w:t>
      </w:r>
    </w:p>
    <w:p>
      <w:pPr>
        <w:pStyle w:val="Heading3"/>
      </w:pPr>
      <w:bookmarkStart w:id="1860" w:name="_Toc1382"/>
      <w:r>
        <w:t>اشارات القرآن فی علم الانسان / عرفان و تصوف / عربی</w:t>
      </w:r>
      <w:bookmarkEnd w:id="1860"/>
    </w:p>
    <w:p>
      <w:pPr>
        <w:pStyle w:val="BookText"/>
      </w:pPr>
      <w:r>
        <w:rPr>
          <w:rFonts w:ascii="Times New Roman" w:hAnsi="Times New Roman" w:eastAsia="Times New Roman" w:cs="Times New Roman"/>
          <w:lang w:val="en-US" w:bidi="en-US"/>
          <w:color w:val="111111"/>
          <w:sz w:val="28"/>
          <w:szCs w:val="28"/>
          <w:rtl/>
        </w:rPr>
        <w:t xml:space="preserve">išārāt-ul-qur'an fi 'ilm-il-insan</w:t>
      </w:r>
    </w:p>
    <w:p>
      <w:pPr>
        <w:pStyle w:val="BookText"/>
      </w:pPr>
      <w:r>
        <w:rPr>
          <w:rFonts w:ascii="IRNazanin" w:hAnsi="IRNazanin" w:eastAsia="IRNazanin" w:cs="IRNazanin"/>
          <w:lang w:bidi="fa-IR"/>
          <w:color w:val="111111"/>
          <w:sz w:val="28"/>
          <w:szCs w:val="28"/>
          <w:rtl/>
        </w:rPr>
        <w:t xml:space="preserve">ابن عربی، محمد بن علی، ۵۶۰ - ۶۳۸ قمری</w:t>
      </w:r>
    </w:p>
    <w:p>
      <w:pPr>
        <w:pStyle w:val="BookText"/>
      </w:pPr>
      <w:r>
        <w:rPr>
          <w:rFonts w:ascii="Times New Roman" w:hAnsi="Times New Roman" w:eastAsia="Times New Roman" w:cs="Times New Roman"/>
          <w:lang w:val="en-US" w:bidi="en-US"/>
          <w:color w:val="111111"/>
          <w:sz w:val="28"/>
          <w:szCs w:val="28"/>
          <w:rtl/>
        </w:rPr>
        <w:t xml:space="preserve">( ebn-e ‘arabī, mohammad ebn-e ‘alī (1166 - 1241)</w:t>
      </w:r>
    </w:p>
    <w:p>
      <w:pPr>
        <w:pStyle w:val="BookText"/>
      </w:pPr>
      <w:r>
        <w:rPr>
          <w:rFonts w:ascii="IRNazanin" w:hAnsi="IRNazanin" w:eastAsia="IRNazanin" w:cs="IRNazanin"/>
          <w:lang w:bidi="fa-IR"/>
          <w:color w:val="111111"/>
          <w:sz w:val="28"/>
          <w:szCs w:val="28"/>
          <w:rtl/>
        </w:rPr>
        <w:t xml:space="preserve">رساله ای در اسرار عرفانی که در آیات قرآن با رمز و راز به آن اشاره شده است، در پایان وی تصریح کرده که رساله حاضر صله و تتمه «التنزلات فى اسرار الطهر و الصلاة» اثر غزالی  می باشد.</w:t>
      </w:r>
    </w:p>
    <w:p>
      <w:pPr>
        <w:pStyle w:val="BookText"/>
      </w:pPr>
      <w:r>
        <w:rPr>
          <w:rFonts w:ascii="Amiri" w:hAnsi="Amiri" w:eastAsia="Amiri" w:cs="Amiri"/>
          <w:lang w:bidi="ar-SA"/>
          <w:color w:val="111111"/>
          <w:sz w:val="28"/>
          <w:szCs w:val="28"/>
          <w:rtl/>
        </w:rPr>
        <w:t xml:space="preserve">آغاز: الحمد لله مرسل العوارف و منزل اللطايف و واهب المعارف و مظهر المواقف على العالم و الحكيم والعارف والواقف و الصلوة على فاتق اخترق الطرائق ومذهب العوائق و قاطع العلائق</w:t>
      </w:r>
    </w:p>
    <w:p>
      <w:pPr>
        <w:pStyle w:val="BookText"/>
      </w:pPr>
      <w:r>
        <w:rPr>
          <w:rFonts w:ascii="Amiri" w:hAnsi="Amiri" w:eastAsia="Amiri" w:cs="Amiri"/>
          <w:lang w:bidi="ar-SA"/>
          <w:color w:val="111111"/>
          <w:sz w:val="28"/>
          <w:szCs w:val="28"/>
          <w:rtl/>
        </w:rPr>
        <w:t xml:space="preserve">انجام: فانت المقرب المحبوب ان كنت بعيد الدار شاسعا عن المراجعة والتلقاء يقول المؤلف جعلت هذه الاشارات كالصلة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388" w:name="pg20365_260537"/>
    <w:bookmarkEnd w:id="388"/>
    <w:p>
      <w:pPr>
        <w:pStyle w:val="BookText"/>
      </w:pPr>
      <w:r>
        <w:rPr>
          <w:rFonts w:ascii="IRNazanin" w:hAnsi="IRNazanin" w:eastAsia="IRNazanin" w:cs="IRNazanin"/>
          <w:lang w:bidi="fa-IR"/>
          <w:color w:val="111111"/>
          <w:sz w:val="28"/>
          <w:szCs w:val="28"/>
          <w:rtl/>
        </w:rPr>
        <w:t xml:space="preserve">لكتاب التنزلات فى اسرار الطهر والصلوة وصلى الله على  سیدنا محمد و آله و الحمدلله اولا و آخرا.</w:t>
      </w:r>
    </w:p>
    <w:p>
      <w:pPr>
        <w:pStyle w:val="BookText"/>
      </w:pPr>
      <w:r>
        <w:rPr>
          <w:rFonts w:ascii="IRNazanin" w:hAnsi="IRNazanin" w:eastAsia="IRNazanin" w:cs="IRNazanin"/>
          <w:lang w:bidi="fa-IR"/>
          <w:color w:val="111111"/>
          <w:sz w:val="28"/>
          <w:szCs w:val="28"/>
          <w:rtl/>
        </w:rPr>
        <w:t xml:space="preserve">۱. کاشان؛ مدرسه سلطانی؛ شماره نسخه: ۲۰۱/۷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کامل؛ خط: نستعلیق، کا: محمد حسن بن محمد کاظم، تا: ۱۲۸۷ق، جلد: تیماج قرمز، ۲۵گ، ۱۳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۲۱سم[ف]</w:t>
      </w:r>
    </w:p>
    <w:p>
      <w:pPr>
        <w:pStyle w:val="BookText"/>
      </w:pPr>
      <w:r>
        <w:rPr>
          <w:rFonts w:ascii="IRNazanin" w:hAnsi="IRNazanin" w:eastAsia="IRNazanin" w:cs="IRNazanin"/>
          <w:lang w:bidi="fa-IR"/>
          <w:color w:val="111111"/>
          <w:sz w:val="28"/>
          <w:szCs w:val="28"/>
          <w:rtl/>
        </w:rPr>
        <w:t xml:space="preserve">۲. قم؛ مرعشی؛ شماره نسخه:۴۳۵۳/۲۹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کا: محمد مهدی بن علینقی حسینی قمی مشهور به  توحید، بی تا ،جلد: دو رو تیماج بدون مقوا، ٧گ (۹۴ پ- ۱۰۰پ)، اندازه: ۱۲/۵</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۲۳سم [ف: ۱۱ - ۳۴۵]</w:t>
      </w:r>
    </w:p>
    <w:p>
      <w:pPr>
        <w:pStyle w:val="Heading3"/>
      </w:pPr>
      <w:bookmarkStart w:id="1861" w:name="_Toc1383"/>
      <w:r>
        <w:t>اشارات الكليل فى كشف رموز منظومة فسوة الفصيل = لقلق الكليل فى كشف رموز فسوة الفصيل  / ادبیات / فارسی</w:t>
      </w:r>
      <w:bookmarkEnd w:id="1861"/>
    </w:p>
    <w:p>
      <w:pPr>
        <w:pStyle w:val="BookText"/>
      </w:pPr>
      <w:r>
        <w:rPr>
          <w:rFonts w:ascii="Times New Roman" w:hAnsi="Times New Roman" w:eastAsia="Times New Roman" w:cs="Times New Roman"/>
          <w:lang w:val="en-US" w:bidi="en-US"/>
          <w:color w:val="111111"/>
          <w:sz w:val="28"/>
          <w:szCs w:val="28"/>
          <w:rtl/>
        </w:rPr>
        <w:t xml:space="preserve">išārāt-ul kalīl fī kašf-i rumūz-i manẓūmat-i faswat-il</w:t>
      </w:r>
    </w:p>
    <w:p>
      <w:pPr>
        <w:pStyle w:val="BookText"/>
      </w:pPr>
      <w:r>
        <w:rPr>
          <w:rFonts w:ascii="Times New Roman" w:hAnsi="Times New Roman" w:eastAsia="Times New Roman" w:cs="Times New Roman"/>
          <w:lang w:val="en-US" w:bidi="en-US"/>
          <w:color w:val="111111"/>
          <w:sz w:val="28"/>
          <w:szCs w:val="28"/>
          <w:rtl/>
        </w:rPr>
        <w:t xml:space="preserve">faṣīl = laqlaq-ul kalīl fī kašf-i rumūz-i faswat-il faṣīl</w:t>
      </w:r>
    </w:p>
    <w:p>
      <w:pPr>
        <w:pStyle w:val="BookText"/>
      </w:pPr>
      <w:r>
        <w:rPr>
          <w:rFonts w:ascii="IRNazanin" w:hAnsi="IRNazanin" w:eastAsia="IRNazanin" w:cs="IRNazanin"/>
          <w:lang w:bidi="fa-IR"/>
          <w:color w:val="111111"/>
          <w:sz w:val="28"/>
          <w:szCs w:val="28"/>
          <w:rtl/>
        </w:rPr>
        <w:t xml:space="preserve">امام جمعه خوئی، محمد امین بن یحیی، -۱۳۶۷؟ قمری</w:t>
      </w:r>
    </w:p>
    <w:p>
      <w:pPr>
        <w:pStyle w:val="BookText"/>
      </w:pPr>
      <w:r>
        <w:rPr>
          <w:rFonts w:ascii="Times New Roman" w:hAnsi="Times New Roman" w:eastAsia="Times New Roman" w:cs="Times New Roman"/>
          <w:lang w:val="en-US" w:bidi="en-US"/>
          <w:color w:val="111111"/>
          <w:sz w:val="28"/>
          <w:szCs w:val="28"/>
          <w:rtl/>
        </w:rPr>
        <w:t xml:space="preserve">(emām jom‘e xū’ī, mohammad amīn ebn-e yahyā (-1948</w:t>
      </w:r>
    </w:p>
    <w:p>
      <w:pPr>
        <w:pStyle w:val="BookText"/>
      </w:pPr>
      <w:r>
        <w:rPr>
          <w:rFonts w:ascii="IRNazanin" w:hAnsi="IRNazanin" w:eastAsia="IRNazanin" w:cs="IRNazanin"/>
          <w:lang w:bidi="fa-IR"/>
          <w:color w:val="111111"/>
          <w:sz w:val="28"/>
          <w:szCs w:val="28"/>
          <w:rtl/>
        </w:rPr>
        <w:t xml:space="preserve">تاریخ تألیف: ۱۳۵۸ق / ۱۳۱۸ش، محل تألیف: تهران</w:t>
      </w:r>
    </w:p>
    <w:p>
      <w:pPr>
        <w:pStyle w:val="BookText"/>
      </w:pPr>
      <w:r>
        <w:rPr>
          <w:rFonts w:ascii="IRNazanin" w:hAnsi="IRNazanin" w:eastAsia="IRNazanin" w:cs="IRNazanin"/>
          <w:lang w:bidi="fa-IR"/>
          <w:color w:val="111111"/>
          <w:sz w:val="28"/>
          <w:szCs w:val="28"/>
          <w:rtl/>
        </w:rPr>
        <w:t xml:space="preserve">این کتاب شرح و توضیحی است بر منظومه «فسوة الفصيل» مرحوم «میرزا محمد تقی نیر تبریزی» که مؤلف دو دیباچه مکرر با اندکی اختلاف بر آن نوشته است و در دیباچه نخست آن را «لقلق الكليل» و در دیباچه دوم آن را «اشارات الکلیل» نامـیده است. مؤلف در مقدمه این کتاب چنین آورده است: «از آنجایی که استفاده و تمتع و حظ کامل از مزه و حلاوت و لطائف این منظومه، احاطه و اطلاع به عربیت و ادبیت و امثال جاریه عرب لازم دارد و ... از طرفی این منظومه تقریباً اختصاص دارد به ترک زبانان، زیرا کسی که اجنبی باشد از لغت اجنبی باشد از لغت مزبور آن طور که شاید و باید نمیتواند مغز مطالب و مقاصد ناظم و مزه شیرینی و تناسب و لطافت تعبیرات و تشبیهات و استعارات و کنایات ایشان را درک نماید و مزایا و نکات کلام را کماهو حقه واقف گردد، خصوصاً قسمت زیادی از اسامی اشخاص و مکنه و رتبه و مقامی را که اشخاص حائز بوده اند و امثال اینها را تا کسی خصوصاً سابقه نداشته باشد و نشناسد، به کلی اجنبی و دور از مطلب خواهد بود؛ بناءاً عليه منظومه مسطوره، شدیداً احتیاج دارد به توضیحات زیاد در جهات و قسمت های مختـصه که بدون آن به هیچ وجه نتوان غرض و مقصود متکلم را درک نمود و از مزایای  کلام، بهره مند گردید. این است حواشی که متكفل بيان مراتب منظوره و کشف رموز و اسرار و نکات بوده باشد به منظومه مسطوره معین می شود تا آنکه مبهمات آن  را مبین و مجملات آن را معین و تاریکی های آن را روشن نماید.»</w:t>
      </w:r>
    </w:p>
    <w:p>
      <w:pPr>
        <w:pStyle w:val="BookText"/>
      </w:pPr>
      <w:r>
        <w:rPr>
          <w:rFonts w:ascii="IRNazanin" w:hAnsi="IRNazanin" w:eastAsia="IRNazanin" w:cs="IRNazanin"/>
          <w:lang w:bidi="fa-IR"/>
          <w:color w:val="111111"/>
          <w:sz w:val="28"/>
          <w:szCs w:val="28"/>
          <w:rtl/>
        </w:rPr>
        <w:t xml:space="preserve">قم؛ مرعشی؛ شماره نسخه: ۱۲۲۷۵/۲</w:t>
      </w:r>
    </w:p>
    <w:p>
      <w:pPr>
        <w:pStyle w:val="BookText"/>
      </w:pPr>
      <w:r>
        <w:rPr>
          <w:rFonts w:ascii="IRNazanin" w:hAnsi="IRNazanin" w:eastAsia="IRNazanin" w:cs="IRNazanin"/>
          <w:lang w:bidi="fa-IR"/>
          <w:color w:val="111111"/>
          <w:sz w:val="28"/>
          <w:szCs w:val="28"/>
          <w:rtl/>
        </w:rPr>
        <w:t xml:space="preserve">آغاز: پوشیده و مستور نماناد، منظومه «فسوة الفصیل» چنانچه از آن پیداست منظومه ایست فکاهی؛ انجام: [شنشنة] از امثال ساريه است «إن بنوعار ملنى بالدم» شنشنة اعرفها من اخرم شنشنة</w:t>
      </w:r>
    </w:p>
    <w:p>
      <w:pPr>
        <w:pStyle w:val="BookText"/>
      </w:pPr>
      <w:r>
        <w:rPr>
          <w:rFonts w:ascii="IRNazanin" w:hAnsi="IRNazanin" w:eastAsia="IRNazanin" w:cs="IRNazanin"/>
          <w:lang w:bidi="fa-IR"/>
          <w:color w:val="111111"/>
          <w:sz w:val="28"/>
          <w:szCs w:val="28"/>
          <w:rtl/>
        </w:rPr>
        <w:t xml:space="preserve">خط: شکسته نستعلیق، کاتب= مؤلف، تا: ۱۳۵۸ق؛ دارای تصحیحات و تعلیقات که از خود شارح می باشد، مجدول؛ کاغذ: فرنگی خط دار، جلد: تیماج عسلی ضربی با ترنج گل و بوته، ۲۰گ (۱-۲۰)، ۱۹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 اندازه: ۱۸/۵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۲۳/۵سم [ف: 31- 123]</w:t>
      </w:r>
    </w:p>
    <w:p>
      <w:pPr>
        <w:pStyle w:val="Heading3"/>
      </w:pPr>
      <w:bookmarkStart w:id="1862" w:name="_Toc1384"/>
      <w:r>
        <w:t>اشارات لحماية المتصوفة / عرفان و تصوف / عربی</w:t>
      </w:r>
      <w:bookmarkEnd w:id="1862"/>
    </w:p>
    <w:p>
      <w:pPr>
        <w:pStyle w:val="BookText"/>
      </w:pPr>
      <w:r>
        <w:rPr>
          <w:rFonts w:ascii="Times New Roman" w:hAnsi="Times New Roman" w:eastAsia="Times New Roman" w:cs="Times New Roman"/>
          <w:lang w:val="en-US" w:bidi="en-US"/>
          <w:color w:val="111111"/>
          <w:sz w:val="28"/>
          <w:szCs w:val="28"/>
          <w:rtl/>
        </w:rPr>
        <w:t xml:space="preserve">išārāt-un li-ḥimāyat-il-mutiṣawwifa</w:t>
      </w:r>
    </w:p>
    <w:p>
      <w:pPr>
        <w:pStyle w:val="BookText"/>
      </w:pPr>
      <w:r>
        <w:rPr>
          <w:rFonts w:ascii="IRNazanin" w:hAnsi="IRNazanin" w:eastAsia="IRNazanin" w:cs="IRNazanin"/>
          <w:lang w:bidi="fa-IR"/>
          <w:color w:val="111111"/>
          <w:sz w:val="28"/>
          <w:szCs w:val="28"/>
          <w:rtl/>
        </w:rPr>
        <w:t xml:space="preserve">احمد بن عبدالله</w:t>
      </w:r>
    </w:p>
    <w:p>
      <w:pPr>
        <w:pStyle w:val="BookText"/>
      </w:pPr>
      <w:r>
        <w:rPr>
          <w:rFonts w:ascii="Times New Roman" w:hAnsi="Times New Roman" w:eastAsia="Times New Roman" w:cs="Times New Roman"/>
          <w:lang w:val="en-US" w:bidi="en-US"/>
          <w:color w:val="111111"/>
          <w:sz w:val="28"/>
          <w:szCs w:val="28"/>
          <w:rtl/>
        </w:rPr>
        <w:t xml:space="preserve">ahmad ebn-e ‘abd-ol-lāh</w:t>
      </w:r>
    </w:p>
    <w:p>
      <w:pPr>
        <w:pStyle w:val="BookText"/>
      </w:pPr>
      <w:r>
        <w:rPr>
          <w:rFonts w:ascii="IRNazanin" w:hAnsi="IRNazanin" w:eastAsia="IRNazanin" w:cs="IRNazanin"/>
          <w:lang w:bidi="fa-IR"/>
          <w:color w:val="111111"/>
          <w:sz w:val="28"/>
          <w:szCs w:val="28"/>
          <w:rtl/>
        </w:rPr>
        <w:t xml:space="preserve">درباره اعیان ثابته و عدم امکان و علم به ذات خدا، در آن از جنید و غزالی و شیخ محمد شیرازی هم زمان مؤلف یاد شده است.</w:t>
      </w:r>
    </w:p>
    <w:p>
      <w:pPr>
        <w:pStyle w:val="BookText"/>
      </w:pPr>
      <w:r>
        <w:rPr>
          <w:rFonts w:ascii="IRNazanin" w:hAnsi="IRNazanin" w:eastAsia="IRNazanin" w:cs="IRNazanin"/>
          <w:lang w:bidi="fa-IR"/>
          <w:color w:val="111111"/>
          <w:sz w:val="28"/>
          <w:szCs w:val="28"/>
          <w:rtl/>
        </w:rPr>
        <w:t xml:space="preserve">تهران؛ ملک؛ شماره نسخه: ۶۹۳/۳</w:t>
      </w:r>
    </w:p>
    <w:p>
      <w:pPr>
        <w:pStyle w:val="BookText"/>
      </w:pPr>
      <w:r>
        <w:rPr>
          <w:rFonts w:ascii="IRNazanin" w:hAnsi="IRNazanin" w:eastAsia="IRNazanin" w:cs="IRNazanin"/>
          <w:lang w:bidi="fa-IR"/>
          <w:color w:val="111111"/>
          <w:sz w:val="28"/>
          <w:szCs w:val="28"/>
          <w:rtl/>
        </w:rPr>
        <w:t xml:space="preserve">آغاز: بسمله وهو الهادى، الحمد لله الذي هدانا بهاء هويته والهمنا بادراک کاف کلامه ... فيقول ... احمد بن عبدالله ان ما ذكره الغزالى فى بيان ذكر اخص الخواص صحيح... و اما الاعتراض المذكور فى الرسالة بانه يلزم من اتحاد المستثنى و المستثنى منه؛ انجام: و فى المذكور اشارة الى ما قيل .... يكفيه الاشارة ... اكتيفنا باشارة الابرار .... والله تعالى اعلم بحقائق الامور نرجو منه العفو يوم الحشر والنشور و الحمد لله رب العالمين</w:t>
      </w:r>
    </w:p>
    <w:p>
      <w:pPr>
        <w:pStyle w:val="BookText"/>
      </w:pPr>
      <w:r>
        <w:rPr>
          <w:rFonts w:ascii="IRNazanin" w:hAnsi="IRNazanin" w:eastAsia="IRNazanin" w:cs="IRNazanin"/>
          <w:lang w:bidi="fa-IR"/>
          <w:color w:val="111111"/>
          <w:sz w:val="28"/>
          <w:szCs w:val="28"/>
          <w:rtl/>
        </w:rPr>
        <w:t xml:space="preserve">خط: نسخ، بی کا، تا: قرن ۹ ؛کاغذ: دولت آبادی، جلد: میشن آلبالویی ۶گ (۱۰۰ پ - ۱۰۵ر)، ۷ سطر، اندازه: ۱۳/۷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5- 155]</w:t>
      </w:r>
    </w:p>
    <w:p>
      <w:pPr>
        <w:pStyle w:val="Heading3"/>
      </w:pPr>
      <w:bookmarkStart w:id="1863" w:name="_Toc1385"/>
      <w:r>
        <w:t>اشارات لطائف الاشارات - حاشية الاشارات / فلسفه / عربی</w:t>
      </w:r>
      <w:bookmarkEnd w:id="1863"/>
    </w:p>
    <w:p>
      <w:pPr>
        <w:pStyle w:val="BookText"/>
      </w:pPr>
      <w:r>
        <w:rPr>
          <w:rFonts w:ascii="Times New Roman" w:hAnsi="Times New Roman" w:eastAsia="Times New Roman" w:cs="Times New Roman"/>
          <w:lang w:val="en-US" w:bidi="en-US"/>
          <w:color w:val="111111"/>
          <w:sz w:val="28"/>
          <w:szCs w:val="28"/>
          <w:rtl/>
        </w:rPr>
        <w:t xml:space="preserve">išārāt-u laṭā'if-il išārāt</w:t>
      </w:r>
    </w:p>
    <w:p>
      <w:pPr>
        <w:pStyle w:val="BookText"/>
      </w:pPr>
      <w:r>
        <w:rPr>
          <w:rFonts w:ascii="IRNazanin" w:hAnsi="IRNazanin" w:eastAsia="IRNazanin" w:cs="IRNazanin"/>
          <w:lang w:bidi="fa-IR"/>
          <w:color w:val="111111"/>
          <w:sz w:val="28"/>
          <w:szCs w:val="28"/>
          <w:rtl/>
        </w:rPr>
        <w:t xml:space="preserve">دشتکی شیرازی، منصور بن صدرالدین محمد، - ۹۴۸ قمری</w:t>
      </w:r>
    </w:p>
    <w:p>
      <w:pPr>
        <w:pStyle w:val="BookText"/>
      </w:pPr>
      <w:r>
        <w:rPr>
          <w:rFonts w:ascii="Times New Roman" w:hAnsi="Times New Roman" w:eastAsia="Times New Roman" w:cs="Times New Roman"/>
          <w:lang w:val="en-US" w:bidi="en-US"/>
          <w:color w:val="111111"/>
          <w:sz w:val="28"/>
          <w:szCs w:val="28"/>
          <w:rtl/>
        </w:rPr>
        <w:t xml:space="preserve">(daštakī šīrāzī, mansūr ebn-e sadr-od-dīn mohammad (-1542</w:t>
      </w:r>
    </w:p>
    <w:p>
      <w:pPr>
        <w:pStyle w:val="BookText"/>
      </w:pPr>
      <w:r>
        <w:rPr>
          <w:rFonts w:ascii="Amiri" w:hAnsi="Amiri" w:eastAsia="Amiri" w:cs="Amiri"/>
          <w:lang w:bidi="ar-SA"/>
          <w:color w:val="111111"/>
          <w:sz w:val="28"/>
          <w:szCs w:val="28"/>
          <w:rtl/>
        </w:rPr>
        <w:t xml:space="preserve">وابسته به: الاشارات و التنبيهات ابن سينا، حسين بن عبدالله (۴۲۸-۳۷۰ق)</w:t>
      </w:r>
    </w:p>
    <w:p>
      <w:pPr>
        <w:pStyle w:val="BookText"/>
      </w:pPr>
      <w:r>
        <w:rPr>
          <w:rFonts w:ascii="IRNazanin" w:hAnsi="IRNazanin" w:eastAsia="IRNazanin" w:cs="IRNazanin"/>
          <w:lang w:bidi="fa-IR"/>
          <w:color w:val="111111"/>
          <w:sz w:val="28"/>
          <w:szCs w:val="28"/>
          <w:rtl/>
        </w:rPr>
        <w:t xml:space="preserve">لطائف الاشارات =مقاصد الاشارات؛ دشتکی  شیرازی، منصور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389" w:name="pg20365_260538"/>
    <w:bookmarkEnd w:id="389"/>
    <w:p>
      <w:pPr>
        <w:pStyle w:val="BookText"/>
      </w:pPr>
      <w:r>
        <w:rPr>
          <w:rFonts w:ascii="IRNazanin" w:hAnsi="IRNazanin" w:eastAsia="IRNazanin" w:cs="IRNazanin"/>
          <w:lang w:bidi="fa-IR"/>
          <w:color w:val="111111"/>
          <w:sz w:val="28"/>
          <w:szCs w:val="28"/>
          <w:rtl/>
        </w:rPr>
        <w:t xml:space="preserve">بن صدر الدین محمد (-۹۴۸ق)</w:t>
      </w:r>
    </w:p>
    <w:p>
      <w:pPr>
        <w:pStyle w:val="BookText"/>
      </w:pPr>
      <w:r>
        <w:rPr>
          <w:rFonts w:ascii="IRNazanin" w:hAnsi="IRNazanin" w:eastAsia="IRNazanin" w:cs="IRNazanin"/>
          <w:lang w:bidi="fa-IR"/>
          <w:color w:val="111111"/>
          <w:sz w:val="28"/>
          <w:szCs w:val="28"/>
          <w:rtl/>
        </w:rPr>
        <w:t xml:space="preserve">دومین حاشیه اوست بر اشارات ابن سینا و رد بر رد دوانی نخستین حاشیه یا «لطائف الاشارات» او.</w:t>
      </w:r>
    </w:p>
    <w:p>
      <w:pPr>
        <w:pStyle w:val="BookText"/>
      </w:pPr>
      <w:r>
        <w:rPr>
          <w:rFonts w:ascii="IRNazanin" w:hAnsi="IRNazanin" w:eastAsia="IRNazanin" w:cs="IRNazanin"/>
          <w:lang w:bidi="fa-IR"/>
          <w:color w:val="111111"/>
          <w:sz w:val="28"/>
          <w:szCs w:val="28"/>
          <w:rtl/>
        </w:rPr>
        <w:t xml:space="preserve">آغاز: بعد حمد الله على آلائه، و الصلاة على أنبيائه ... يقول الفـقیر الحقير...   إني علقت قدماً، تعليقات اسمها كالمسمى، لطائـف الإشارات إلى لطائف الإشارات. ثم بعد مدة عثرت عـلی قراطيس سود وجهها بعض الدواني و القاصرين من أجله المعاصرين .... فدعانى بعض الدواعى إلى اختيار مقاله و النظر  فی حاله</w:t>
      </w:r>
    </w:p>
    <w:p>
      <w:pPr>
        <w:pStyle w:val="BookText"/>
      </w:pPr>
      <w:r>
        <w:rPr>
          <w:rFonts w:ascii="IRNazanin" w:hAnsi="IRNazanin" w:eastAsia="IRNazanin" w:cs="IRNazanin"/>
          <w:lang w:bidi="fa-IR"/>
          <w:color w:val="111111"/>
          <w:sz w:val="28"/>
          <w:szCs w:val="28"/>
          <w:rtl/>
        </w:rPr>
        <w:t xml:space="preserve">انجام: بل أقول: ظاهر أن مقصود الشيخ من هذا التنبيه على وجـود الجسم المتصل الذى لاتفصيل فيه بالفعل أصلا، و يظهر ذلـک بإيضاح امتناع حصول الأجزاء.</w:t>
      </w:r>
    </w:p>
    <w:p>
      <w:pPr>
        <w:pStyle w:val="BookText"/>
      </w:pPr>
      <w:r>
        <w:rPr>
          <w:rFonts w:ascii="IRNazanin" w:hAnsi="IRNazanin" w:eastAsia="IRNazanin" w:cs="IRNazanin"/>
          <w:lang w:bidi="fa-IR"/>
          <w:color w:val="111111"/>
          <w:sz w:val="28"/>
          <w:szCs w:val="28"/>
          <w:rtl/>
        </w:rPr>
        <w:t xml:space="preserve">چاپ: به کوشش عبدالله نورانی در مصنفات غياث الدين منصـور حسینی دشتکی  شیرازی، جلد ۲ (تهران،دانشگاه تهران، انجـمن  آثار و مفاخر فرهنگی :۱۳۸۶ )</w:t>
      </w:r>
    </w:p>
    <w:p>
      <w:pPr>
        <w:pStyle w:val="BookText"/>
      </w:pPr>
      <w:r>
        <w:rPr>
          <w:rFonts w:ascii="IRNazanin" w:hAnsi="IRNazanin" w:eastAsia="IRNazanin" w:cs="IRNazanin"/>
          <w:lang w:bidi="fa-IR"/>
          <w:color w:val="111111"/>
          <w:sz w:val="28"/>
          <w:szCs w:val="28"/>
          <w:rtl/>
        </w:rPr>
        <w:t xml:space="preserve">[دنا 1/ 840(3  نسخه]</w:t>
      </w:r>
    </w:p>
    <w:p>
      <w:pPr>
        <w:pStyle w:val="BookText"/>
      </w:pPr>
      <w:r>
        <w:rPr>
          <w:rFonts w:ascii="IRNazanin" w:hAnsi="IRNazanin" w:eastAsia="IRNazanin" w:cs="IRNazanin"/>
          <w:lang w:bidi="fa-IR"/>
          <w:color w:val="111111"/>
          <w:sz w:val="28"/>
          <w:szCs w:val="28"/>
          <w:rtl/>
        </w:rPr>
        <w:t xml:space="preserve">1.تهران؛ مجلس؛ شماره نسخه: ۱۰۱۲۰/۴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تحریری، کا: علی بن محمد بن حسن خوراسکانی، تا: با تاریخ ۱۰۳۵ق، ۶۶ ص (۱۰۶-۱۷۱)،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۳۲ - ۱۵۱  ]</w:t>
      </w:r>
    </w:p>
    <w:p>
      <w:pPr>
        <w:pStyle w:val="BookText"/>
      </w:pPr>
      <w:r>
        <w:rPr>
          <w:rFonts w:ascii="IRNazanin" w:hAnsi="IRNazanin" w:eastAsia="IRNazanin" w:cs="IRNazanin"/>
          <w:lang w:bidi="fa-IR"/>
          <w:color w:val="111111"/>
          <w:sz w:val="28"/>
          <w:szCs w:val="28"/>
          <w:rtl/>
        </w:rPr>
        <w:t xml:space="preserve">۲. تهران؛ دانشگاه؛ شماره نسخه: ۳۱۳۴/۱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شکسته نستعلیق، كا: سعد عناية الله؛ تا: قرن ۱۰ و ۱۱؛ کاغذ:سپاهانی، جلد: تیماج سرخ ضربی زرکوب، ۶۰گ (۱-۶۰)، 20سطر 5</w:t>
      </w:r>
      <w:r>
        <w:rPr>
          <w:rFonts w:ascii="Times New Roman" w:hAnsi="Times New Roman" w:eastAsia="Times New Roman" w:cs="Times New Roman"/>
          <w:lang w:val="en-US" w:bidi="en-US"/>
          <w:color w:val="111111"/>
          <w:sz w:val="28"/>
          <w:szCs w:val="28"/>
          <w:rtl/>
        </w:rPr>
        <w:t xml:space="preserve">×14/5</w:t>
      </w:r>
      <w:r>
        <w:rPr>
          <w:rFonts w:ascii="IRNazanin" w:hAnsi="IRNazanin" w:eastAsia="IRNazanin" w:cs="IRNazanin"/>
          <w:lang w:bidi="fa-IR"/>
          <w:color w:val="111111"/>
          <w:sz w:val="28"/>
          <w:szCs w:val="28"/>
          <w:rtl/>
        </w:rPr>
        <w:t xml:space="preserve">، اندازه: 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۱۹/۵سم [ف ۱۱ - ۲۰۸۲]</w:t>
      </w:r>
    </w:p>
    <w:p>
      <w:pPr>
        <w:pStyle w:val="BookText"/>
      </w:pPr>
      <w:r>
        <w:rPr>
          <w:rFonts w:ascii="IRNazanin" w:hAnsi="IRNazanin" w:eastAsia="IRNazanin" w:cs="IRNazanin"/>
          <w:lang w:bidi="fa-IR"/>
          <w:color w:val="111111"/>
          <w:sz w:val="28"/>
          <w:szCs w:val="28"/>
          <w:rtl/>
        </w:rPr>
        <w:t xml:space="preserve">۳. تهران؛ مؤسسه مطالعات اسلامی؛ شماره نسخه: ۴۲/۱</w:t>
      </w:r>
    </w:p>
    <w:p>
      <w:pPr>
        <w:pStyle w:val="BookText"/>
      </w:pPr>
      <w:r>
        <w:rPr>
          <w:rFonts w:ascii="Amiri" w:hAnsi="Amiri" w:eastAsia="Amiri" w:cs="Amiri"/>
          <w:lang w:bidi="ar-SA"/>
          <w:color w:val="111111"/>
          <w:sz w:val="28"/>
          <w:szCs w:val="28"/>
          <w:rtl/>
        </w:rPr>
        <w:t xml:space="preserve">آغاز: برابر؛ انجام: الباطل و زعمه الفاسد يمكن</w:t>
      </w:r>
    </w:p>
    <w:p>
      <w:pPr>
        <w:pStyle w:val="BookText"/>
      </w:pPr>
      <w:r>
        <w:rPr>
          <w:rFonts w:ascii="IRNazanin" w:hAnsi="IRNazanin" w:eastAsia="IRNazanin" w:cs="IRNazanin"/>
          <w:lang w:bidi="fa-IR"/>
          <w:color w:val="111111"/>
          <w:sz w:val="28"/>
          <w:szCs w:val="28"/>
          <w:rtl/>
        </w:rPr>
        <w:t xml:space="preserve">خط: نستعلیق، بی کا، تا: قرن ۱۳؛ افتادگی: انجام ؛کاغذ: نازک آهار زرد، جلد: تیماج قهوه یی ،۵۳ گ (۱-۵۳)، ۱۸ سـطر (4/7</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،اندازه: 9/5</w:t>
      </w:r>
      <w:r>
        <w:rPr>
          <w:rFonts w:ascii="Times New Roman" w:hAnsi="Times New Roman" w:eastAsia="Times New Roman" w:cs="Times New Roman"/>
          <w:lang w:val="en-US" w:bidi="en-US"/>
          <w:color w:val="111111"/>
          <w:sz w:val="28"/>
          <w:szCs w:val="28"/>
          <w:rtl/>
        </w:rPr>
        <w:t xml:space="preserve">×15/5</w:t>
      </w:r>
      <w:r>
        <w:rPr>
          <w:rFonts w:ascii="IRNazanin" w:hAnsi="IRNazanin" w:eastAsia="IRNazanin" w:cs="IRNazanin"/>
          <w:lang w:bidi="fa-IR"/>
          <w:color w:val="111111"/>
          <w:sz w:val="28"/>
          <w:szCs w:val="28"/>
          <w:rtl/>
        </w:rPr>
        <w:t xml:space="preserve">سم [ ف : - ۳۶]</w:t>
      </w:r>
    </w:p>
    <w:p>
      <w:pPr>
        <w:pStyle w:val="Heading3"/>
      </w:pPr>
      <w:bookmarkStart w:id="1864" w:name="_Toc1386"/>
      <w:r>
        <w:t>اشارات النباتات والحيوانات / اخلاق / عربی</w:t>
      </w:r>
      <w:bookmarkEnd w:id="1864"/>
    </w:p>
    <w:p>
      <w:pPr>
        <w:pStyle w:val="BookText"/>
      </w:pPr>
      <w:r>
        <w:rPr>
          <w:rFonts w:ascii="Times New Roman" w:hAnsi="Times New Roman" w:eastAsia="Times New Roman" w:cs="Times New Roman"/>
          <w:lang w:val="en-US" w:bidi="en-US"/>
          <w:color w:val="111111"/>
          <w:sz w:val="28"/>
          <w:szCs w:val="28"/>
          <w:rtl/>
        </w:rPr>
        <w:t xml:space="preserve">išārāt-un nabātāt wa-l ḥaywānāt</w:t>
      </w:r>
    </w:p>
    <w:p>
      <w:pPr>
        <w:pStyle w:val="BookText"/>
      </w:pPr>
      <w:r>
        <w:rPr>
          <w:rFonts w:ascii="IRNazanin" w:hAnsi="IRNazanin" w:eastAsia="IRNazanin" w:cs="IRNazanin"/>
          <w:lang w:bidi="fa-IR"/>
          <w:color w:val="111111"/>
          <w:sz w:val="28"/>
          <w:szCs w:val="28"/>
          <w:rtl/>
        </w:rPr>
        <w:t xml:space="preserve">ابن غانم، عبدالسلام بن احمد، - ۶۷۸ قمری</w:t>
      </w:r>
    </w:p>
    <w:p>
      <w:pPr>
        <w:pStyle w:val="BookText"/>
      </w:pPr>
      <w:r>
        <w:rPr>
          <w:rFonts w:ascii="Times New Roman" w:hAnsi="Times New Roman" w:eastAsia="Times New Roman" w:cs="Times New Roman"/>
          <w:lang w:val="en-US" w:bidi="en-US"/>
          <w:color w:val="111111"/>
          <w:sz w:val="28"/>
          <w:szCs w:val="28"/>
          <w:rtl/>
        </w:rPr>
        <w:t xml:space="preserve">(ebn-e qānem, ‘abd-os-salām ebn-e ahmad (- 1280)</w:t>
      </w:r>
    </w:p>
    <w:p>
      <w:pPr>
        <w:pStyle w:val="BookText"/>
      </w:pPr>
      <w:r>
        <w:rPr>
          <w:rFonts w:ascii="IRNazanin" w:hAnsi="IRNazanin" w:eastAsia="IRNazanin" w:cs="IRNazanin"/>
          <w:lang w:bidi="fa-IR"/>
          <w:color w:val="111111"/>
          <w:sz w:val="28"/>
          <w:szCs w:val="28"/>
          <w:rtl/>
        </w:rPr>
        <w:t xml:space="preserve">گویا «کشف الاسرار عن حكم الطيور و الانهار» از شیخ عزالدین عبد السلام بن احمد بن غانم واعظ (چلبی).</w:t>
      </w:r>
    </w:p>
    <w:p>
      <w:pPr>
        <w:pStyle w:val="BookText"/>
      </w:pPr>
      <w:r>
        <w:rPr>
          <w:rFonts w:ascii="IRNazanin" w:hAnsi="IRNazanin" w:eastAsia="IRNazanin" w:cs="IRNazanin"/>
          <w:lang w:bidi="fa-IR"/>
          <w:color w:val="111111"/>
          <w:sz w:val="28"/>
          <w:szCs w:val="28"/>
          <w:rtl/>
        </w:rPr>
        <w:t xml:space="preserve">تهران؛ مجلس؛ شماره نسخه: ۱۳۷۷</w:t>
      </w:r>
    </w:p>
    <w:p>
      <w:pPr>
        <w:pStyle w:val="BookText"/>
      </w:pPr>
      <w:r>
        <w:rPr>
          <w:rFonts w:ascii="IRNazanin" w:hAnsi="IRNazanin" w:eastAsia="IRNazanin" w:cs="IRNazanin"/>
          <w:lang w:bidi="fa-IR"/>
          <w:color w:val="111111"/>
          <w:sz w:val="28"/>
          <w:szCs w:val="28"/>
          <w:rtl/>
        </w:rPr>
        <w:t xml:space="preserve">نام مؤلف از فهرست رایانه ای مجلس ذکر شد. از اشارات اقجوان ،الخرام ،اسحاب، الباز ،الحمامه، الخطاف، البوم، الطاووس، الذرة، الخفاش، الديك، البط ،النحله، الفراش، الشمع، الغراب، الهدهد،  الكلب، الجمل، الفهد، دودة القز، العنكبوت، النمله؛ خط: نسخ، بی کا، تا: قرن ۹ و ۱۰؛ افتادگی: آغاز و انجام؛ در ص ع به خط تازه ای «لسان الحيوان» خوانده شده است؛ کاغذ: سفید، جلد: مشما و مقوایی ۵۳گ، ۹ سطر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[سنا -  ف: ۲ - ۲۳۹]</w:t>
      </w:r>
    </w:p>
    <w:p>
      <w:pPr>
        <w:pStyle w:val="Heading3"/>
      </w:pPr>
      <w:bookmarkStart w:id="1865" w:name="_Toc1387"/>
      <w:r>
        <w:t>الاشارات والتنبيهات / فلسفه / عربي</w:t>
      </w:r>
      <w:bookmarkEnd w:id="1865"/>
    </w:p>
    <w:p>
      <w:pPr>
        <w:pStyle w:val="BookText"/>
      </w:pPr>
      <w:r>
        <w:rPr>
          <w:rFonts w:ascii="Times New Roman" w:hAnsi="Times New Roman" w:eastAsia="Times New Roman" w:cs="Times New Roman"/>
          <w:lang w:val="en-US" w:bidi="en-US"/>
          <w:color w:val="111111"/>
          <w:sz w:val="28"/>
          <w:szCs w:val="28"/>
          <w:rtl/>
        </w:rPr>
        <w:t xml:space="preserve">al-išārāt wa-t-tanbīhāt</w:t>
      </w:r>
    </w:p>
    <w:p>
      <w:pPr>
        <w:pStyle w:val="BookText"/>
      </w:pPr>
      <w:r>
        <w:rPr>
          <w:rFonts w:ascii="IRNazanin" w:hAnsi="IRNazanin" w:eastAsia="IRNazanin" w:cs="IRNazanin"/>
          <w:lang w:bidi="fa-IR"/>
          <w:color w:val="111111"/>
          <w:sz w:val="28"/>
          <w:szCs w:val="28"/>
          <w:rtl/>
        </w:rPr>
        <w:t xml:space="preserve">ابن سينا، حسین بن عبد الله، ۲۳۷۰ - ۴۲۸ قمری</w:t>
      </w:r>
    </w:p>
    <w:p>
      <w:pPr>
        <w:pStyle w:val="BookText"/>
      </w:pPr>
      <w:r>
        <w:rPr>
          <w:rFonts w:ascii="Times New Roman" w:hAnsi="Times New Roman" w:eastAsia="Times New Roman" w:cs="Times New Roman"/>
          <w:lang w:val="en-US" w:bidi="en-US"/>
          <w:color w:val="111111"/>
          <w:sz w:val="28"/>
          <w:szCs w:val="28"/>
          <w:rtl/>
        </w:rPr>
        <w:t xml:space="preserve">(ebn-e sīnā, hoseyn ebn-e 'abd-ol-lah (981 - 1038)</w:t>
      </w:r>
    </w:p>
    <w:p>
      <w:pPr>
        <w:pStyle w:val="BookText"/>
      </w:pPr>
      <w:r>
        <w:rPr>
          <w:rFonts w:ascii="IRNazanin" w:hAnsi="IRNazanin" w:eastAsia="IRNazanin" w:cs="IRNazanin"/>
          <w:lang w:bidi="fa-IR"/>
          <w:color w:val="111111"/>
          <w:sz w:val="28"/>
          <w:szCs w:val="28"/>
          <w:rtl/>
        </w:rPr>
        <w:t xml:space="preserve">متن معروفی است در منطق و فلسفه طبیعی و الهی منطق در ده «منهج» و فلسفه در ده «نمط»: جسم ها، جهات، نفس، وجود و علل  آن، صنع و ابداع، غایات و مبادی آنها، تجرید، سعادت، مقامات  العارفين،اسرار الایات. این کتاب تلخیصی از آراء فلسفی ابن سیناست که دانشمندان بسیاری به آن توجه کرده اند.</w:t>
      </w:r>
    </w:p>
    <w:p>
      <w:pPr>
        <w:pStyle w:val="BookText"/>
      </w:pPr>
      <w:r>
        <w:rPr>
          <w:rFonts w:ascii="IRNazanin" w:hAnsi="IRNazanin" w:eastAsia="IRNazanin" w:cs="IRNazanin"/>
          <w:lang w:bidi="fa-IR"/>
          <w:color w:val="111111"/>
          <w:sz w:val="28"/>
          <w:szCs w:val="28"/>
          <w:rtl/>
        </w:rPr>
        <w:t xml:space="preserve">دكتر يحيى مهدوی در توضیح آن آورده است: «کتاب الاشارات و التنبيهات» (در منطق و طبیعیات و مابعدالطبیعه) بر حسب غالب فهرست های آثار شیخ آخرين تأليف شيخ الرئيس است. لااقل میتوان حدس زد که آخرین اثر مهم اوست. این کتاب نسبت به کتاب های شفا و نجات بسیار مختصر است لکن در عین ایجاز شامل رؤوس مسائل و مطالب مهم است و پیداست که شیخ در انشای آن مخصوصاً نظر به فصاحت و بلاغت به اعلی درجه داشته است؛ و سبک و روشی که شیخ در آن برای بیان مسائل انتخاب کرده است، و عنوان کتاب حاکی از آن است، به کلی این کتاب را از سایر مؤلفات شيخ ممتاز ساخته است. شاید به همین جهت و به علت ایجاز آن و این که مخصوصاً در سه نمط آخراین کتاب مطالبی در مقامات عارفان آوده شده است که برای عامه طلاب فلسفه غير مأنوس بوده است، شیخ نسبت به این کتاب چنانکه در اول طبیعیات و الهیات و در آخر آن تصریح کرده است و از المباحثات (مباحثه اول) هم به خوبی مستفاد می شود، ضنت می کرده است و آن را مخصوص خواص اهل علم می دانسته است. شرح ها و ردها و حاشیه ها و انتقادها که این کتاب نوشته شده و کتبی که در محاکمه بين شارحین ساخته شده است حکایت از اهمیت این  کتاب در نزد دانشمندان در دوره های بعد از شیخ می کند».</w:t>
      </w:r>
    </w:p>
    <w:p>
      <w:pPr>
        <w:pStyle w:val="BookText"/>
      </w:pPr>
      <w:r>
        <w:rPr>
          <w:rFonts w:ascii="IRNazanin" w:hAnsi="IRNazanin" w:eastAsia="IRNazanin" w:cs="IRNazanin"/>
          <w:lang w:bidi="fa-IR"/>
          <w:color w:val="111111"/>
          <w:sz w:val="28"/>
          <w:szCs w:val="28"/>
          <w:rtl/>
        </w:rPr>
        <w:t xml:space="preserve">ابن ابی اصبیعه (ج ۲: ۱۸) گوید که اشارات بهترین و آخرین نگارش فلسفی شیخ رئیس است و آن را به همه کس نشان نمی داد.در فهرست پایان سرگذشت (السیره) نیز چنین آمده است شیخ در دو نامه خود که گویا به بهمنیار یا دیگری نوشته باشد می رساند که نسخه ای از آن را نزد خود نگاه میدارد و جز ابن زیله و مانند او نباید بدان بنگرند از دیباچه و پایان اشارت نیز به دست می آید که شیخ بسیار بدان ارج می نهاد و سفارش می کرد که به دست هر کس نیافتد.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آغاز: بسمله الحمد لله على حسن توفيقه و اسأله هداية طريقه و الهام الحق بتحقيقه و ان يصلى على المصطفين من عباده الرسـالته ايها الحريص على تحقيقالحق انى ... هذه الاشارات و التنبيهات</w:t>
      </w:r>
    </w:p>
    <w:p>
      <w:pPr>
        <w:pStyle w:val="BookText"/>
      </w:pPr>
      <w:r>
        <w:rPr>
          <w:rFonts w:ascii="Amiri" w:hAnsi="Amiri" w:eastAsia="Amiri" w:cs="Amiri"/>
          <w:lang w:bidi="ar-SA"/>
          <w:color w:val="111111"/>
          <w:sz w:val="28"/>
          <w:szCs w:val="28"/>
          <w:rtl/>
        </w:rPr>
        <w:t xml:space="preserve">انجام: متأسياً فان اذعت هذا العلم واضعته فالله بيني و بينك كفى بالله وكيلاً تمت الكتاب</w:t>
      </w:r>
    </w:p>
    <w:p>
      <w:pPr>
        <w:pStyle w:val="BookText"/>
      </w:pPr>
      <w:r>
        <w:rPr>
          <w:rFonts w:ascii="IRNazanin" w:hAnsi="IRNazanin" w:eastAsia="IRNazanin" w:cs="IRNazanin"/>
          <w:lang w:bidi="fa-IR"/>
          <w:color w:val="111111"/>
          <w:sz w:val="28"/>
          <w:szCs w:val="28"/>
          <w:rtl/>
        </w:rPr>
        <w:t xml:space="preserve">چاپ: چندین بار چاپ شده از جمله :قاهرة، دار المعارف، ۱۹۶۸-۱۹۶۰م، ۴ جزء، تحقیق سلیمان دنیا</w:t>
      </w:r>
    </w:p>
    <w:p>
      <w:pPr>
        <w:pStyle w:val="BookText"/>
      </w:pPr>
      <w:r>
        <w:rPr>
          <w:rFonts w:ascii="IRNazanin" w:hAnsi="IRNazanin" w:eastAsia="IRNazanin" w:cs="IRNazanin"/>
          <w:lang w:bidi="fa-IR"/>
          <w:color w:val="111111"/>
          <w:sz w:val="28"/>
          <w:szCs w:val="28"/>
          <w:rtl/>
        </w:rPr>
        <w:t xml:space="preserve">[دنا ۸۴۰/۱ (۴۳ نسخه)؛ الذريعة ۲/۹۶ و ۹۶/۲ فهرست مهدوی ص  32؛ ريحانة الادب ۵۸۲/۷؛ الاوقاف العامة موصل ۱۳۳/۴]</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IRNazanin" w:hAnsi="IRNazanin" w:eastAsia="IRNazanin" w:cs="IRNazanin"/>
          <w:lang w:bidi="fa-IR"/>
          <w:color w:val="111111"/>
          <w:sz w:val="28"/>
          <w:szCs w:val="28"/>
          <w:rtl/>
        </w:rPr>
        <w:t xml:space="preserve">١- شرح الاشارات - بشارات الاشارات؛ سمرقندی، محمد بن اشرف  (۶۰۰ - )</w:t>
      </w:r>
    </w:p>
    <w:p>
      <w:pPr>
        <w:pStyle w:val="BookText"/>
      </w:pPr>
      <w:r>
        <w:rPr>
          <w:rFonts w:ascii="IRNazanin" w:hAnsi="IRNazanin" w:eastAsia="IRNazanin" w:cs="IRNazanin"/>
          <w:lang w:bidi="fa-IR"/>
          <w:color w:val="111111"/>
          <w:sz w:val="28"/>
          <w:szCs w:val="28"/>
          <w:rtl/>
        </w:rPr>
        <w:t xml:space="preserve">۲- شرح الاشارات و التنبيهات؛ فخر رازی، محمد بن عمر (۵۴۴  - 606)</w:t>
      </w:r>
    </w:p>
    <w:p>
      <w:pPr>
        <w:pStyle w:val="BookText"/>
      </w:pPr>
      <w:r>
        <w:rPr>
          <w:rFonts w:ascii="IRNazanin" w:hAnsi="IRNazanin" w:eastAsia="IRNazanin" w:cs="IRNazanin"/>
          <w:lang w:bidi="fa-IR"/>
          <w:color w:val="111111"/>
          <w:sz w:val="28"/>
          <w:szCs w:val="28"/>
          <w:rtl/>
        </w:rPr>
        <w:t xml:space="preserve">3- لباب الاشارات ؛فخر رازی، محمد بن عمر(544- 606)</w:t>
      </w:r>
    </w:p>
    <w:p>
      <w:pPr>
        <w:pStyle w:val="BookText"/>
      </w:pPr>
      <w:r>
        <w:rPr>
          <w:rFonts w:ascii="IRNazanin" w:hAnsi="IRNazanin" w:eastAsia="IRNazanin" w:cs="IRNazanin"/>
          <w:lang w:bidi="fa-IR"/>
          <w:color w:val="111111"/>
          <w:sz w:val="28"/>
          <w:szCs w:val="28"/>
          <w:rtl/>
        </w:rPr>
        <w:t xml:space="preserve">٤- الاشارات والتنبيهات (ترجمه) ،فارسی، عبدالسلام بن محمود (- 626)</w:t>
      </w:r>
    </w:p>
    <w:p>
      <w:pPr>
        <w:pStyle w:val="BookText"/>
      </w:pPr>
      <w:r>
        <w:rPr>
          <w:rFonts w:ascii="IRNazanin" w:hAnsi="IRNazanin" w:eastAsia="IRNazanin" w:cs="IRNazanin"/>
          <w:lang w:bidi="fa-IR"/>
          <w:color w:val="111111"/>
          <w:sz w:val="28"/>
          <w:szCs w:val="28"/>
          <w:rtl/>
        </w:rPr>
        <w:t xml:space="preserve">٥- حل مشكلات الاشارات و التنبيهات = شرح اشارات = شرح  الاشارات؛ نصیر الدین طوسی، محمد بن محمد (۵۹۷-۶۷۲)</w:t>
      </w:r>
    </w:p>
    <w:p>
      <w:pPr>
        <w:pStyle w:val="BookText"/>
      </w:pPr>
      <w:r>
        <w:rPr>
          <w:rFonts w:ascii="IRNazanin" w:hAnsi="IRNazanin" w:eastAsia="IRNazanin" w:cs="IRNazanin"/>
          <w:lang w:bidi="fa-IR"/>
          <w:color w:val="111111"/>
          <w:sz w:val="28"/>
          <w:szCs w:val="28"/>
          <w:rtl/>
        </w:rPr>
        <w:t xml:space="preserve">٦- شرح مقامات العارفین؛ نصیرالدین طوسی، محمد بن محمد (597- 672)</w:t>
      </w:r>
    </w:p>
    <w:p>
      <w:pPr>
        <w:pStyle w:val="BookText"/>
      </w:pPr>
      <w:r>
        <w:rPr>
          <w:rFonts w:ascii="IRNazanin" w:hAnsi="IRNazanin" w:eastAsia="IRNazanin" w:cs="IRNazanin"/>
          <w:lang w:bidi="fa-IR"/>
          <w:color w:val="111111"/>
          <w:sz w:val="28"/>
          <w:szCs w:val="28"/>
          <w:rtl/>
        </w:rPr>
        <w:t xml:space="preserve">٧ -شرح منطق الاشارات؛ نصیرالدین طوسی، محمد بن محمد (۵۹۷- 672)</w:t>
      </w:r>
    </w:p>
    <w:p>
      <w:pPr>
        <w:pStyle w:val="BookText"/>
      </w:pPr>
      <w:r>
        <w:rPr>
          <w:rFonts w:ascii="IRNazanin" w:hAnsi="IRNazanin" w:eastAsia="IRNazanin" w:cs="IRNazanin"/>
          <w:lang w:bidi="fa-IR"/>
          <w:color w:val="111111"/>
          <w:sz w:val="28"/>
          <w:szCs w:val="28"/>
          <w:rtl/>
        </w:rPr>
        <w:t xml:space="preserve">۸- شرح الاشارات و التنبيهات؛ سراج الدین ارموی، محمود بن ابی بکر (۵۹۴-۶۸۲)</w:t>
      </w:r>
    </w:p>
    <w:p>
      <w:pPr>
        <w:pStyle w:val="BookText"/>
      </w:pPr>
      <w:r>
        <w:rPr>
          <w:rFonts w:ascii="IRNazanin" w:hAnsi="IRNazanin" w:eastAsia="IRNazanin" w:cs="IRNazanin"/>
          <w:lang w:bidi="fa-IR"/>
          <w:color w:val="111111"/>
          <w:sz w:val="28"/>
          <w:szCs w:val="28"/>
          <w:rtl/>
        </w:rPr>
        <w:t xml:space="preserve">٩- المحاكمات بین شرحی الاشارات = شرح الشرح؛ قطب الدين  رازی، محمد بن محمد (۶۹۴-۷۶۶)</w:t>
      </w:r>
    </w:p>
    <w:p>
      <w:pPr>
        <w:pStyle w:val="BookText"/>
      </w:pPr>
      <w:r>
        <w:rPr>
          <w:rFonts w:ascii="IRNazanin" w:hAnsi="IRNazanin" w:eastAsia="IRNazanin" w:cs="IRNazanin"/>
          <w:lang w:bidi="fa-IR"/>
          <w:color w:val="111111"/>
          <w:sz w:val="28"/>
          <w:szCs w:val="28"/>
          <w:rtl/>
        </w:rPr>
        <w:t xml:space="preserve">١٠- حاشية شرح الاشارات قطب الدین رازی، محمد بن محمد  (۷۶۶-۶۹۴)</w:t>
      </w:r>
    </w:p>
    <w:p>
      <w:pPr>
        <w:pStyle w:val="BookText"/>
      </w:pPr>
      <w:r>
        <w:rPr>
          <w:rFonts w:ascii="IRNazanin" w:hAnsi="IRNazanin" w:eastAsia="IRNazanin" w:cs="IRNazanin"/>
          <w:lang w:bidi="fa-IR"/>
          <w:color w:val="111111"/>
          <w:sz w:val="28"/>
          <w:szCs w:val="28"/>
          <w:rtl/>
        </w:rPr>
        <w:t xml:space="preserve">۱۱- حاشية المحاکمات؛ دوانی، محمد بن اسعد ( ۸۳۰-۹۰۸)</w:t>
      </w:r>
    </w:p>
    <w:p>
      <w:pPr>
        <w:pStyle w:val="BookText"/>
      </w:pPr>
      <w:r>
        <w:rPr>
          <w:rFonts w:ascii="IRNazanin" w:hAnsi="IRNazanin" w:eastAsia="IRNazanin" w:cs="IRNazanin"/>
          <w:lang w:bidi="fa-IR"/>
          <w:color w:val="111111"/>
          <w:sz w:val="28"/>
          <w:szCs w:val="28"/>
          <w:rtl/>
        </w:rPr>
        <w:t xml:space="preserve">۱۲ - حاشية الاشارات والتنبيهات ؛لاری، رضی الدین عبدالغفور (-  912)</w:t>
      </w:r>
    </w:p>
    <w:p>
      <w:pPr>
        <w:pStyle w:val="BookText"/>
      </w:pPr>
      <w:r>
        <w:rPr>
          <w:rFonts w:ascii="IRNazanin" w:hAnsi="IRNazanin" w:eastAsia="IRNazanin" w:cs="IRNazanin"/>
          <w:lang w:bidi="fa-IR"/>
          <w:color w:val="111111"/>
          <w:sz w:val="28"/>
          <w:szCs w:val="28"/>
          <w:rtl/>
        </w:rPr>
        <w:t xml:space="preserve">١٣ - حاشية المحاكمات؛ ابن کمال پاشا، احمد بن سلیمان (-۹۴۰)</w:t>
      </w:r>
    </w:p>
    <w:p>
      <w:pPr>
        <w:pStyle w:val="BookText"/>
      </w:pPr>
      <w:r>
        <w:rPr>
          <w:rFonts w:ascii="IRNazanin" w:hAnsi="IRNazanin" w:eastAsia="IRNazanin" w:cs="IRNazanin"/>
          <w:lang w:bidi="fa-IR"/>
          <w:color w:val="111111"/>
          <w:sz w:val="28"/>
          <w:szCs w:val="28"/>
          <w:rtl/>
        </w:rPr>
        <w:t xml:space="preserve">١٤ - لطائف الاشارات = مقاصد الاشارات؛ دشتکی  شیرازی، منصور بن صدر الدین محمد (-۹۴۸)</w:t>
      </w:r>
    </w:p>
    <w:p>
      <w:pPr>
        <w:pStyle w:val="BookText"/>
      </w:pPr>
      <w:r>
        <w:rPr>
          <w:rFonts w:ascii="IRNazanin" w:hAnsi="IRNazanin" w:eastAsia="IRNazanin" w:cs="IRNazanin"/>
          <w:lang w:bidi="fa-IR"/>
          <w:color w:val="111111"/>
          <w:sz w:val="28"/>
          <w:szCs w:val="28"/>
          <w:rtl/>
        </w:rPr>
        <w:t xml:space="preserve">١٥- اشارات لطائف الاشارات = حاشية الاشارات؛ دشتکی شیرازی، منصور بن صدر الدین محمد (-۹۴۸)</w:t>
      </w:r>
    </w:p>
    <w:p>
      <w:pPr>
        <w:pStyle w:val="BookText"/>
      </w:pPr>
      <w:r>
        <w:rPr>
          <w:rFonts w:ascii="IRNazanin" w:hAnsi="IRNazanin" w:eastAsia="IRNazanin" w:cs="IRNazanin"/>
          <w:lang w:bidi="fa-IR"/>
          <w:color w:val="111111"/>
          <w:sz w:val="28"/>
          <w:szCs w:val="28"/>
          <w:rtl/>
        </w:rPr>
        <w:t xml:space="preserve">١٦ - مقامات العارفين؛ دشتکی  شیرازی، منصور بن صدر الدین محمد  (- 948)</w:t>
      </w:r>
    </w:p>
    <w:p>
      <w:pPr>
        <w:pStyle w:val="BookText"/>
      </w:pPr>
      <w:r>
        <w:rPr>
          <w:rFonts w:ascii="IRNazanin" w:hAnsi="IRNazanin" w:eastAsia="IRNazanin" w:cs="IRNazanin"/>
          <w:lang w:bidi="fa-IR"/>
          <w:color w:val="111111"/>
          <w:sz w:val="28"/>
          <w:szCs w:val="28"/>
          <w:rtl/>
        </w:rPr>
        <w:t xml:space="preserve">17- حاشية المحاكمات = حاشية شرح الاشارات؛ میرزا جان باغنوی، حبيب الله (-۹۹۴)</w:t>
      </w:r>
    </w:p>
    <w:p>
      <w:pPr>
        <w:pStyle w:val="BookText"/>
      </w:pPr>
      <w:r>
        <w:rPr>
          <w:rFonts w:ascii="IRNazanin" w:hAnsi="IRNazanin" w:eastAsia="IRNazanin" w:cs="IRNazanin"/>
          <w:lang w:bidi="fa-IR"/>
          <w:color w:val="111111"/>
          <w:sz w:val="28"/>
          <w:szCs w:val="28"/>
          <w:rtl/>
        </w:rPr>
        <w:t xml:space="preserve">۱۸ - شرح مقامات العارفين؛ مناوی، محمد عبدالرؤف بن على (952- 1031)</w:t>
      </w:r>
    </w:p>
    <w:p>
      <w:pPr>
        <w:pStyle w:val="BookText"/>
      </w:pPr>
      <w:r>
        <w:rPr>
          <w:rFonts w:ascii="IRNazanin" w:hAnsi="IRNazanin" w:eastAsia="IRNazanin" w:cs="IRNazanin"/>
          <w:lang w:bidi="fa-IR"/>
          <w:color w:val="111111"/>
          <w:sz w:val="28"/>
          <w:szCs w:val="28"/>
          <w:rtl/>
        </w:rPr>
        <w:t xml:space="preserve">١٩- حاشية شرح الاشارات؛ محقق  سبزواری، محمد باقر بن محمد مؤمن (۱۰۱۷-۱۰۹۰)</w:t>
      </w:r>
    </w:p>
    <w:p>
      <w:pPr>
        <w:pStyle w:val="BookText"/>
      </w:pPr>
      <w:r>
        <w:rPr>
          <w:rFonts w:ascii="IRNazanin" w:hAnsi="IRNazanin" w:eastAsia="IRNazanin" w:cs="IRNazanin"/>
          <w:lang w:bidi="fa-IR"/>
          <w:color w:val="111111"/>
          <w:sz w:val="28"/>
          <w:szCs w:val="28"/>
          <w:rtl/>
        </w:rPr>
        <w:t xml:space="preserve">۲۰- حاشية المحاكمات؛ محقق خوانساری حسین بن محمد (۱۰۱۶  - 1099)</w:t>
      </w:r>
    </w:p>
    <w:p>
      <w:pPr>
        <w:pStyle w:val="BookText"/>
      </w:pPr>
      <w:r>
        <w:rPr>
          <w:rFonts w:ascii="IRNazanin" w:hAnsi="IRNazanin" w:eastAsia="IRNazanin" w:cs="IRNazanin"/>
          <w:lang w:bidi="fa-IR"/>
          <w:color w:val="111111"/>
          <w:sz w:val="28"/>
          <w:szCs w:val="28"/>
          <w:rtl/>
        </w:rPr>
        <w:t xml:space="preserve">۲۱- تعلیقات بر شرح اشارات؛ قمی، علیقلی بن قره چغای (۱۰۲۰  - 11)</w:t>
      </w:r>
    </w:p>
    <w:p>
      <w:pPr>
        <w:pStyle w:val="BookText"/>
      </w:pPr>
      <w:r>
        <w:rPr>
          <w:rFonts w:ascii="IRNazanin" w:hAnsi="IRNazanin" w:eastAsia="IRNazanin" w:cs="IRNazanin"/>
          <w:lang w:bidi="fa-IR"/>
          <w:color w:val="111111"/>
          <w:sz w:val="28"/>
          <w:szCs w:val="28"/>
          <w:rtl/>
        </w:rPr>
        <w:t xml:space="preserve">22- حاشية شرح الاشارات؛ شیرازی، محمد هادی بن معین الدین (-  11)</w:t>
      </w:r>
    </w:p>
    <w:p>
      <w:pPr>
        <w:pStyle w:val="BookText"/>
      </w:pPr>
      <w:r>
        <w:rPr>
          <w:rFonts w:ascii="IRNazanin" w:hAnsi="IRNazanin" w:eastAsia="IRNazanin" w:cs="IRNazanin"/>
          <w:lang w:bidi="fa-IR"/>
          <w:color w:val="111111"/>
          <w:sz w:val="28"/>
          <w:szCs w:val="28"/>
          <w:rtl/>
        </w:rPr>
        <w:t xml:space="preserve">۲۳ - حاشية شرح الاشارات؛ شریف  رازی، محمد هادي بن محمد (-  11)</w:t>
      </w:r>
    </w:p>
    <w:p>
      <w:pPr>
        <w:pStyle w:val="BookText"/>
      </w:pPr>
      <w:r>
        <w:rPr>
          <w:rFonts w:ascii="IRNazanin" w:hAnsi="IRNazanin" w:eastAsia="IRNazanin" w:cs="IRNazanin"/>
          <w:lang w:bidi="fa-IR"/>
          <w:color w:val="111111"/>
          <w:sz w:val="28"/>
          <w:szCs w:val="28"/>
          <w:rtl/>
        </w:rPr>
        <w:t xml:space="preserve">٢٤- مرآة الحقایق؛ شیرازی، محمد هادی بن معين الدين (-١١)</w:t>
      </w:r>
    </w:p>
    <w:p>
      <w:pPr>
        <w:pStyle w:val="BookText"/>
      </w:pPr>
      <w:r>
        <w:rPr>
          <w:rFonts w:ascii="IRNazanin" w:hAnsi="IRNazanin" w:eastAsia="IRNazanin" w:cs="IRNazanin"/>
          <w:lang w:bidi="fa-IR"/>
          <w:color w:val="111111"/>
          <w:sz w:val="28"/>
          <w:szCs w:val="28"/>
          <w:rtl/>
        </w:rPr>
        <w:t xml:space="preserve">٢٥- شرح الاشارات؛ خاتون آبادی، اسماعیل بن محمد باقر (۱۰۳۱  - 1116)</w:t>
      </w:r>
    </w:p>
    <w:p>
      <w:pPr>
        <w:pStyle w:val="BookText"/>
      </w:pPr>
      <w:r>
        <w:rPr>
          <w:rFonts w:ascii="IRNazanin" w:hAnsi="IRNazanin" w:eastAsia="IRNazanin" w:cs="IRNazanin"/>
          <w:lang w:bidi="fa-IR"/>
          <w:color w:val="111111"/>
          <w:sz w:val="28"/>
          <w:szCs w:val="28"/>
          <w:rtl/>
        </w:rPr>
        <w:t xml:space="preserve">٢٦- شرح مقامات العارفین ،بحرینی حبیب بن محمد (-۱۳)</w:t>
      </w:r>
    </w:p>
    <w:p>
      <w:pPr>
        <w:pStyle w:val="BookText"/>
      </w:pPr>
      <w:r>
        <w:rPr>
          <w:rFonts w:ascii="Amiri" w:hAnsi="Amiri" w:eastAsia="Amiri" w:cs="Amiri"/>
          <w:lang w:bidi="ar-SA"/>
          <w:color w:val="111111"/>
          <w:sz w:val="28"/>
          <w:szCs w:val="28"/>
          <w:rtl/>
        </w:rPr>
        <w:t xml:space="preserve">۲۷ - الاشارات و التنبيهات (ترجمه)؛ ابوطيب</w:t>
      </w:r>
    </w:p>
    <w:p>
      <w:pPr>
        <w:pStyle w:val="BookText"/>
      </w:pPr>
      <w:r>
        <w:rPr>
          <w:rFonts w:ascii="IRNazanin" w:hAnsi="IRNazanin" w:eastAsia="IRNazanin" w:cs="IRNazanin"/>
          <w:lang w:bidi="fa-IR"/>
          <w:color w:val="111111"/>
          <w:sz w:val="28"/>
          <w:szCs w:val="28"/>
          <w:rtl/>
        </w:rPr>
        <w:t xml:space="preserve">۲۸- الاشارات و التنبيهات (ترجمه)؛ زاهدی، جعفر (-۱۴ش)</w:t>
      </w:r>
    </w:p>
    <w:p>
      <w:pPr>
        <w:pStyle w:val="BookText"/>
      </w:pPr>
      <w:r>
        <w:rPr>
          <w:rFonts w:ascii="IRNazanin" w:hAnsi="IRNazanin" w:eastAsia="IRNazanin" w:cs="IRNazanin"/>
          <w:lang w:bidi="fa-IR"/>
          <w:color w:val="111111"/>
          <w:sz w:val="28"/>
          <w:szCs w:val="28"/>
          <w:rtl/>
        </w:rPr>
        <w:t xml:space="preserve">۲۹- حاشية المحاكمات؛ احمد بن سلیمان</w:t>
      </w:r>
    </w:p>
    <w:p>
      <w:pPr>
        <w:pStyle w:val="BookText"/>
      </w:pPr>
      <w:r>
        <w:rPr>
          <w:rFonts w:ascii="Amiri" w:hAnsi="Amiri" w:eastAsia="Amiri" w:cs="Amiri"/>
          <w:lang w:bidi="ar-SA"/>
          <w:color w:val="111111"/>
          <w:sz w:val="28"/>
          <w:szCs w:val="28"/>
          <w:rtl/>
        </w:rPr>
        <w:t xml:space="preserve">۳۰- حاشية الاشارات؛ حبيب الله بن جمال الدين</w:t>
      </w:r>
    </w:p>
    <w:p>
      <w:pPr>
        <w:pStyle w:val="BookText"/>
      </w:pPr>
      <w:r>
        <w:rPr>
          <w:rFonts w:ascii="Amiri" w:hAnsi="Amiri" w:eastAsia="Amiri" w:cs="Amiri"/>
          <w:lang w:bidi="ar-SA"/>
          <w:color w:val="111111"/>
          <w:sz w:val="28"/>
          <w:szCs w:val="28"/>
          <w:rtl/>
        </w:rPr>
        <w:t xml:space="preserve">۳۱- شرح مقامات العارفين؛ ناشناس</w:t>
      </w:r>
    </w:p>
    <w:p>
      <w:pPr>
        <w:pStyle w:val="BookText"/>
      </w:pPr>
      <w:r>
        <w:rPr>
          <w:rFonts w:ascii="Amiri" w:hAnsi="Amiri" w:eastAsia="Amiri" w:cs="Amiri"/>
          <w:lang w:bidi="ar-SA"/>
          <w:color w:val="111111"/>
          <w:sz w:val="28"/>
          <w:szCs w:val="28"/>
          <w:rtl/>
        </w:rPr>
        <w:t xml:space="preserve">۳۲- شرح مقامات العارفين؛ ناشناس (۶ عنوان مختلف)</w:t>
      </w:r>
    </w:p>
    <w:p>
      <w:pPr>
        <w:pStyle w:val="BookText"/>
      </w:pPr>
      <w:r>
        <w:rPr>
          <w:rFonts w:ascii="IRNazanin" w:hAnsi="IRNazanin" w:eastAsia="IRNazanin" w:cs="IRNazanin"/>
          <w:lang w:bidi="fa-IR"/>
          <w:color w:val="111111"/>
          <w:sz w:val="28"/>
          <w:szCs w:val="28"/>
          <w:rtl/>
        </w:rPr>
        <w:t xml:space="preserve">۳۳- شرح  الاشارات؛ ناشناس (۴ عنوان مختلف)</w:t>
      </w:r>
    </w:p>
    <w:p>
      <w:pPr>
        <w:pStyle w:val="BookText"/>
      </w:pPr>
      <w:r>
        <w:rPr>
          <w:rFonts w:ascii="Amiri" w:hAnsi="Amiri" w:eastAsia="Amiri" w:cs="Amiri"/>
          <w:lang w:bidi="ar-SA"/>
          <w:color w:val="111111"/>
          <w:sz w:val="28"/>
          <w:szCs w:val="28"/>
          <w:rtl/>
        </w:rPr>
        <w:t xml:space="preserve">٣٤- حاشية الاشارات؛ ناشناس (۳ عنوان مختلف)</w:t>
      </w:r>
    </w:p>
    <w:p>
      <w:pPr>
        <w:pStyle w:val="BookText"/>
      </w:pPr>
      <w:r>
        <w:rPr>
          <w:rFonts w:ascii="Amiri" w:hAnsi="Amiri" w:eastAsia="Amiri" w:cs="Amiri"/>
          <w:lang w:bidi="ar-SA"/>
          <w:color w:val="111111"/>
          <w:sz w:val="28"/>
          <w:szCs w:val="28"/>
          <w:rtl/>
        </w:rPr>
        <w:t xml:space="preserve">٣٥- حاشية شرح الاشارات؛ ناشناس (۱۷ عنوان مختلف)</w:t>
      </w:r>
    </w:p>
    <w:p>
      <w:pPr>
        <w:pStyle w:val="BookText"/>
      </w:pPr>
      <w:r>
        <w:rPr>
          <w:rFonts w:ascii="Amiri" w:hAnsi="Amiri" w:eastAsia="Amiri" w:cs="Amiri"/>
          <w:lang w:bidi="ar-SA"/>
          <w:color w:val="111111"/>
          <w:sz w:val="28"/>
          <w:szCs w:val="28"/>
          <w:rtl/>
        </w:rPr>
        <w:t xml:space="preserve">٣٦ - شرح شرح الاشارات و التنبيهات؛ ناشناس</w:t>
      </w:r>
    </w:p>
    <w:p>
      <w:pPr>
        <w:pStyle w:val="BookText"/>
      </w:pPr>
      <w:r>
        <w:rPr>
          <w:rFonts w:ascii="Amiri" w:hAnsi="Amiri" w:eastAsia="Amiri" w:cs="Amiri"/>
          <w:lang w:bidi="ar-SA"/>
          <w:color w:val="111111"/>
          <w:sz w:val="28"/>
          <w:szCs w:val="28"/>
          <w:rtl/>
        </w:rPr>
        <w:t xml:space="preserve">۳۷- حاشية المحاكمات؛ ناشناس (۴ عنوان مختلف)</w:t>
      </w:r>
    </w:p>
    <w:p>
      <w:pPr>
        <w:pStyle w:val="BookText"/>
      </w:pPr>
      <w:r>
        <w:rPr>
          <w:rFonts w:ascii="Amiri" w:hAnsi="Amiri" w:eastAsia="Amiri" w:cs="Amiri"/>
          <w:lang w:bidi="ar-SA"/>
          <w:color w:val="111111"/>
          <w:sz w:val="28"/>
          <w:szCs w:val="28"/>
          <w:rtl/>
        </w:rPr>
        <w:t xml:space="preserve">۳۸-حواشى المحاكمات بين شرحى الاشارات؛ ناشناس (۶ عنوان  مختلف)</w:t>
      </w:r>
    </w:p>
    <w:p>
      <w:pPr>
        <w:pStyle w:val="BookText"/>
      </w:pPr>
      <w:r>
        <w:rPr>
          <w:rFonts w:ascii="Amiri" w:hAnsi="Amiri" w:eastAsia="Amiri" w:cs="Amiri"/>
          <w:lang w:bidi="ar-SA"/>
          <w:color w:val="111111"/>
          <w:sz w:val="28"/>
          <w:szCs w:val="28"/>
          <w:rtl/>
        </w:rPr>
        <w:t xml:space="preserve">۳۹- حاشية شرح الاشارات و المحاكمات؛ ناشناس (۲ عنوان مختلف)</w:t>
      </w:r>
    </w:p>
    <w:p>
      <w:pPr>
        <w:pStyle w:val="BookText"/>
      </w:pPr>
      <w:r>
        <w:rPr>
          <w:rFonts w:ascii="IRNazanin" w:hAnsi="IRNazanin" w:eastAsia="IRNazanin" w:cs="IRNazanin"/>
          <w:lang w:bidi="fa-IR"/>
          <w:color w:val="111111"/>
          <w:sz w:val="28"/>
          <w:szCs w:val="28"/>
          <w:rtl/>
        </w:rPr>
        <w:t xml:space="preserve">٤٠- بشارات الاشارات؛ ناشناس</w:t>
      </w:r>
    </w:p>
    <w:p>
      <w:pPr>
        <w:pStyle w:val="BookText"/>
      </w:pPr>
      <w:r>
        <w:rPr>
          <w:rFonts w:ascii="Amiri" w:hAnsi="Amiri" w:eastAsia="Amiri" w:cs="Amiri"/>
          <w:lang w:bidi="ar-SA"/>
          <w:color w:val="111111"/>
          <w:sz w:val="28"/>
          <w:szCs w:val="28"/>
          <w:rtl/>
        </w:rPr>
        <w:t xml:space="preserve">٤١ - حاشية الاشارات و شرح الاشارات و حاشية المحاكمات؛ ناشناس</w:t>
      </w:r>
    </w:p>
    <w:p>
      <w:pPr>
        <w:pStyle w:val="BookText"/>
      </w:pPr>
      <w:r>
        <w:rPr>
          <w:rFonts w:ascii="Amiri" w:hAnsi="Amiri" w:eastAsia="Amiri" w:cs="Amiri"/>
          <w:lang w:bidi="ar-SA"/>
          <w:color w:val="111111"/>
          <w:sz w:val="28"/>
          <w:szCs w:val="28"/>
          <w:rtl/>
        </w:rPr>
        <w:t xml:space="preserve">٤٢- الاشارات و التنبيهات (ترجمه)؛ ناشناس</w:t>
      </w:r>
    </w:p>
    <w:p>
      <w:pPr>
        <w:pStyle w:val="BookText"/>
      </w:pPr>
      <w:r>
        <w:rPr>
          <w:rFonts w:ascii="IRNazanin" w:hAnsi="IRNazanin" w:eastAsia="IRNazanin" w:cs="IRNazanin"/>
          <w:lang w:bidi="fa-IR"/>
          <w:color w:val="111111"/>
          <w:sz w:val="28"/>
          <w:szCs w:val="28"/>
          <w:rtl/>
        </w:rPr>
        <w:t xml:space="preserve">٤٣ - شرح عبارات عرفانی کتاب اشارات؛ ناشناس</w:t>
      </w:r>
    </w:p>
    <w:p>
      <w:pPr>
        <w:pStyle w:val="BookText"/>
      </w:pPr>
      <w:r>
        <w:rPr>
          <w:rFonts w:ascii="IRNazanin" w:hAnsi="IRNazanin" w:eastAsia="IRNazanin" w:cs="IRNazanin"/>
          <w:lang w:bidi="fa-IR"/>
          <w:color w:val="111111"/>
          <w:sz w:val="28"/>
          <w:szCs w:val="28"/>
          <w:rtl/>
        </w:rPr>
        <w:t xml:space="preserve">۱. تهران؛ ملک؛ شماره نسخه: ۷۱۳</w:t>
      </w:r>
    </w:p>
    <w:p>
      <w:pPr>
        <w:pStyle w:val="BookText"/>
      </w:pPr>
      <w:r>
        <w:rPr>
          <w:rFonts w:ascii="IRNazanin" w:hAnsi="IRNazanin" w:eastAsia="IRNazanin" w:cs="IRNazanin"/>
          <w:lang w:bidi="fa-IR"/>
          <w:color w:val="111111"/>
          <w:sz w:val="28"/>
          <w:szCs w:val="28"/>
          <w:rtl/>
        </w:rPr>
        <w:t xml:space="preserve">در منطق؛ خط: نسخ، بی کا، تا: محرم ۵۱۶ق، جا: قزوین؛ با نونویس ۱۰۷۹؛ کاغذ: دولت  آبادی، جلد: رویه ابری فرنگی، ۹۸گ، ۱۵ 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۱ - ۳۵]</w:t>
      </w:r>
    </w:p>
    <w:p>
      <w:pPr>
        <w:pStyle w:val="BookText"/>
      </w:pPr>
      <w:r>
        <w:rPr>
          <w:rFonts w:ascii="IRNazanin" w:hAnsi="IRNazanin" w:eastAsia="IRNazanin" w:cs="IRNazanin"/>
          <w:lang w:bidi="fa-IR"/>
          <w:color w:val="111111"/>
          <w:sz w:val="28"/>
          <w:szCs w:val="28"/>
          <w:rtl/>
        </w:rPr>
        <w:t xml:space="preserve">۲. تهران؛ مجلس؛ شماره نسخه: ۵۰۸۵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کهن بی کا،تا: ۵۵۵ق [در فهرست قرن ۷ و 8]؛ مصحح، محشی، چند برگ در میان نو نویس است که گویا به خط «عبرت ناینی»؛ در برگ اول یادداشتی درباره شعاع؛ تملک: «عبدالله التونی»، «محمد بن الموذن» در سال ۸۰۱ ،تملک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دیگری با نام ناخوانا به سال ۸۸۹؛ کاغذ: سمرقندی، جلد: تیماج، مشکی یک  لا، ۱۲۲گ، ۱۹ سطر (5</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  ف: 15- 50]</w:t>
      </w:r>
    </w:p>
    <w:p>
      <w:pPr>
        <w:pStyle w:val="BookText"/>
      </w:pPr>
      <w:r>
        <w:rPr>
          <w:rFonts w:ascii="IRNazanin" w:hAnsi="IRNazanin" w:eastAsia="IRNazanin" w:cs="IRNazanin"/>
          <w:lang w:bidi="fa-IR"/>
          <w:color w:val="111111"/>
          <w:sz w:val="28"/>
          <w:szCs w:val="28"/>
          <w:rtl/>
        </w:rPr>
        <w:t xml:space="preserve">قم؛ مرکز احیاء؛ شماره نسخه: ۱۲۳۰</w:t>
      </w:r>
    </w:p>
    <w:p>
      <w:pPr>
        <w:pStyle w:val="BookText"/>
      </w:pPr>
      <w:r>
        <w:rPr>
          <w:rFonts w:ascii="IRNazanin" w:hAnsi="IRNazanin" w:eastAsia="IRNazanin" w:cs="IRNazanin"/>
          <w:lang w:bidi="fa-IR"/>
          <w:color w:val="111111"/>
          <w:sz w:val="28"/>
          <w:szCs w:val="28"/>
          <w:rtl/>
        </w:rPr>
        <w:t xml:space="preserve">نسخه اصل: همان نسخه بالا [عکسی ف: ۴ - ۵۴]</w:t>
      </w:r>
    </w:p>
    <w:p>
      <w:pPr>
        <w:pStyle w:val="BookText"/>
      </w:pPr>
      <w:r>
        <w:rPr>
          <w:rFonts w:ascii="IRNazanin" w:hAnsi="IRNazanin" w:eastAsia="IRNazanin" w:cs="IRNazanin"/>
          <w:lang w:bidi="fa-IR"/>
          <w:color w:val="111111"/>
          <w:sz w:val="28"/>
          <w:szCs w:val="28"/>
          <w:rtl/>
        </w:rPr>
        <w:t xml:space="preserve">قم؛ گلپایگانی؛ شماره نسخه: ۷۶۶۵-۳۹/۴۵</w:t>
      </w:r>
    </w:p>
    <w:p>
      <w:pPr>
        <w:pStyle w:val="BookText"/>
      </w:pPr>
      <w:r>
        <w:rPr>
          <w:rFonts w:ascii="IRNazanin" w:hAnsi="IRNazanin" w:eastAsia="IRNazanin" w:cs="IRNazanin"/>
          <w:lang w:bidi="fa-IR"/>
          <w:color w:val="111111"/>
          <w:sz w:val="28"/>
          <w:szCs w:val="28"/>
          <w:rtl/>
        </w:rPr>
        <w:t xml:space="preserve">نسخه اصل: همان نسخه بالا [ف: ۱ - ۳۶۸]</w:t>
      </w:r>
    </w:p>
    <w:p>
      <w:pPr>
        <w:pStyle w:val="BookText"/>
      </w:pPr>
      <w:r>
        <w:rPr>
          <w:rFonts w:ascii="IRNazanin" w:hAnsi="IRNazanin" w:eastAsia="IRNazanin" w:cs="IRNazanin"/>
          <w:lang w:bidi="fa-IR"/>
          <w:color w:val="111111"/>
          <w:sz w:val="28"/>
          <w:szCs w:val="28"/>
          <w:rtl/>
        </w:rPr>
        <w:t xml:space="preserve">۳. تهران؛ ملی؛ شماره نسخه: ۲۴۱۲/۲۰</w:t>
      </w:r>
    </w:p>
    <w:p>
      <w:pPr>
        <w:pStyle w:val="BookText"/>
      </w:pPr>
      <w:r>
        <w:rPr>
          <w:rFonts w:ascii="Amiri" w:hAnsi="Amiri" w:eastAsia="Amiri" w:cs="Amiri"/>
          <w:lang w:bidi="ar-SA"/>
          <w:color w:val="111111"/>
          <w:sz w:val="28"/>
          <w:szCs w:val="28"/>
          <w:rtl/>
        </w:rPr>
        <w:t xml:space="preserve">آغاز: النمط التاسع فى مقامات العارفين هذا الباب اجل ما في هذا الكتاب؛ انجام: ما كتبناه حجة علينا .... و جميع طالبي الحق به انه ولى كل خير و القادر عليه تم الكتاب و الحمد لله واهب العقل  و المفيض.</w:t>
      </w:r>
    </w:p>
    <w:p>
      <w:pPr>
        <w:pStyle w:val="BookText"/>
      </w:pPr>
      <w:r>
        <w:rPr>
          <w:rFonts w:ascii="IRNazanin" w:hAnsi="IRNazanin" w:eastAsia="IRNazanin" w:cs="IRNazanin"/>
          <w:lang w:bidi="fa-IR"/>
          <w:color w:val="111111"/>
          <w:sz w:val="28"/>
          <w:szCs w:val="28"/>
          <w:rtl/>
        </w:rPr>
        <w:t xml:space="preserve">نمط نهم و دهم در این نسخه تا فصل بیست و نهم آمـده،چهار فصل دیگر باقی می ماند؛ بی کا، تا: قرن ۷ق؛ در این نسـخه تحت عنوان تفاسیری از مشکلات متن در مباحث الحان آمده: «قال السيد الجرجانی» این سید جرجانی مسلماً میرسید شریف نیست زیرا میرسید شریف از عالمان قرن هشتم است و تاریخ حیاتش با تاریخ کتابت نسخه که قرن هفتم است تطبیق نمی کـند، ظاهراً باید سید رکن الدین جرجانی صاحب ترجمه تذكرة نصيـریه باشد که از شاگردان خواجه نصیر طوسی است ؛کاغذ: اصفهانی، شکری، جلد: تیماج تریاکی ،یک  لا، ۱۰۸ص (۴۱۶-۵۲۳)، 19 سطر (۶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اندازه: 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۵ - ۵۵۴]</w:t>
      </w:r>
    </w:p>
    <w:p>
      <w:pPr>
        <w:pStyle w:val="BookText"/>
      </w:pPr>
      <w:r>
        <w:rPr>
          <w:rFonts w:ascii="IRNazanin" w:hAnsi="IRNazanin" w:eastAsia="IRNazanin" w:cs="IRNazanin"/>
          <w:lang w:bidi="fa-IR"/>
          <w:color w:val="111111"/>
          <w:sz w:val="28"/>
          <w:szCs w:val="28"/>
          <w:rtl/>
        </w:rPr>
        <w:t xml:space="preserve">۴. تهران؛ مجلس؛ شماره نسخه: ۱۱۰- بهار</w:t>
      </w:r>
    </w:p>
    <w:p>
      <w:pPr>
        <w:pStyle w:val="BookText"/>
      </w:pPr>
      <w:r>
        <w:rPr>
          <w:rFonts w:ascii="IRNazanin" w:hAnsi="IRNazanin" w:eastAsia="IRNazanin" w:cs="IRNazanin"/>
          <w:lang w:bidi="fa-IR"/>
          <w:color w:val="111111"/>
          <w:sz w:val="28"/>
          <w:szCs w:val="28"/>
          <w:rtl/>
        </w:rPr>
        <w:t xml:space="preserve">با شعر فارسی شیخ بهائی در ص ع که در جناب او نوشته شـده است؛ تملک: علی اشر بن محمد در ۱۱۴۲؛ خط: نسخ، بی کا،تا:قرن ۷؛ افتادگی: انجام؛ کامل شده در آغاز و میانه ؛قطع: ربعی [ نشریه: ۵ - ۶۵۹]</w:t>
      </w:r>
    </w:p>
    <w:p>
      <w:pPr>
        <w:pStyle w:val="BookText"/>
      </w:pPr>
      <w:r>
        <w:rPr>
          <w:rFonts w:ascii="IRNazanin" w:hAnsi="IRNazanin" w:eastAsia="IRNazanin" w:cs="IRNazanin"/>
          <w:lang w:bidi="fa-IR"/>
          <w:color w:val="111111"/>
          <w:sz w:val="28"/>
          <w:szCs w:val="28"/>
          <w:rtl/>
        </w:rPr>
        <w:t xml:space="preserve">۵. تهران؛ مهدوی؛ شماره نسخه: ۴۷۵/۱</w:t>
      </w:r>
    </w:p>
    <w:p>
      <w:pPr>
        <w:pStyle w:val="BookText"/>
      </w:pPr>
      <w:r>
        <w:rPr>
          <w:rFonts w:ascii="IRNazanin" w:hAnsi="IRNazanin" w:eastAsia="IRNazanin" w:cs="IRNazanin"/>
          <w:lang w:bidi="fa-IR"/>
          <w:color w:val="111111"/>
          <w:sz w:val="28"/>
          <w:szCs w:val="28"/>
          <w:rtl/>
        </w:rPr>
        <w:t xml:space="preserve">خط: نسخ، کا: محمد بن يوسف بن جزله متطبب  نخجوانی، تا: روز ۱۶ ذیقعده ۶۵۴ق [ نشریه: ۲ - ۱۱۹]</w:t>
      </w:r>
    </w:p>
    <w:p>
      <w:pPr>
        <w:pStyle w:val="BookText"/>
      </w:pPr>
      <w:r>
        <w:rPr>
          <w:rFonts w:ascii="IRNazanin" w:hAnsi="IRNazanin" w:eastAsia="IRNazanin" w:cs="IRNazanin"/>
          <w:lang w:bidi="fa-IR"/>
          <w:color w:val="111111"/>
          <w:sz w:val="28"/>
          <w:szCs w:val="28"/>
          <w:rtl/>
        </w:rPr>
        <w:t xml:space="preserve">تهران؛ دانشگاه؛ شماره نسخه: ۱۹۹۶/۱-ف</w:t>
      </w:r>
    </w:p>
    <w:p>
      <w:pPr>
        <w:pStyle w:val="BookText"/>
      </w:pPr>
      <w:r>
        <w:rPr>
          <w:rFonts w:ascii="IRNazanin" w:hAnsi="IRNazanin" w:eastAsia="IRNazanin" w:cs="IRNazanin"/>
          <w:lang w:bidi="fa-IR"/>
          <w:color w:val="111111"/>
          <w:sz w:val="28"/>
          <w:szCs w:val="28"/>
          <w:rtl/>
        </w:rPr>
        <w:t xml:space="preserve">نسخه اصل: همان نسخه بالا [فیلم ها-ف: ۱- ۶۳۳]</w:t>
      </w:r>
    </w:p>
    <w:p>
      <w:pPr>
        <w:pStyle w:val="BookText"/>
      </w:pPr>
      <w:r>
        <w:rPr>
          <w:rFonts w:ascii="IRNazanin" w:hAnsi="IRNazanin" w:eastAsia="IRNazanin" w:cs="IRNazanin"/>
          <w:lang w:bidi="fa-IR"/>
          <w:color w:val="111111"/>
          <w:sz w:val="28"/>
          <w:szCs w:val="28"/>
          <w:rtl/>
        </w:rPr>
        <w:t xml:space="preserve">6.تهران؛ مجلس؛ شماره نسخه : ۱۰۰۸۹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شامل بخشی از منهج اول و ده نمط است؛ خط: نسخ، کا: ابراهیم بن بروسكي بن بكر سلار بن  شعبان، تا: ۶۷۰ و اند( محل تامل است) یا ۶۷۲ق؛ مصحح؛ دربرگ آخر دستور دارویی به نام ترکیب نورالدین المدرس بسواس، جزو کتابخانه مجدالدین بوده است ؛جلد: تیماج قرمز با عطف قهوه ای، ۸۶ص، ۲۱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۲۳سم [ف: ۳۲ - ۱۱۴]</w:t>
      </w:r>
    </w:p>
    <w:p>
      <w:pPr>
        <w:pStyle w:val="BookText"/>
      </w:pPr>
      <w:r>
        <w:rPr>
          <w:rFonts w:ascii="IRNazanin" w:hAnsi="IRNazanin" w:eastAsia="IRNazanin" w:cs="IRNazanin"/>
          <w:lang w:bidi="fa-IR"/>
          <w:color w:val="111111"/>
          <w:sz w:val="28"/>
          <w:szCs w:val="28"/>
          <w:rtl/>
        </w:rPr>
        <w:t xml:space="preserve">۷. تهران؛ دانشگاه؛ شماره نسخه: ۲۸۸</w:t>
      </w:r>
    </w:p>
    <w:p>
      <w:pPr>
        <w:pStyle w:val="BookText"/>
      </w:pPr>
      <w:r>
        <w:rPr>
          <w:rFonts w:ascii="IRNazanin" w:hAnsi="IRNazanin" w:eastAsia="IRNazanin" w:cs="IRNazanin"/>
          <w:lang w:bidi="fa-IR"/>
          <w:color w:val="111111"/>
          <w:sz w:val="28"/>
          <w:szCs w:val="28"/>
          <w:rtl/>
        </w:rPr>
        <w:t xml:space="preserve">خط: نسخ، كا: محمود بن حسین بن محمد افحانی الرسری، تا: ۶۹۳ق؛ کاغذ: ترمه سمرقندی، جلد: تیماج سرخ، ۸۰گ، ۱۷ سـطر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،اندازه: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۱۹/۵سم [ف: ۳ - ۱۴۲]</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تهران؛ ملی؛ شماره نسخه: ۱۰۱۵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احمد بن اسعد متطبب ساروی، تا: ۶۹۸ق؛ از صفحه ۱۵۸ تا ۱۶۰ رساله گونه ای است که در آن بوعلی سینا تعاریف چند لفظ «ابداع» و «خلق» و «احداث» و «قدم» را بنا بر خواهش یکی از دوستان کرده است و به نام رساله در «حدود» موسوم  است؛ کاغذ: بخارائی، جلد: تیماج عنابی با ترنج کوبیده  ، حاشیه و عطف تیماج تریاکی سوخته، ۸۰گ، ۲۱ سطر (7/5</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۹ - ۱۲]</w:t>
      </w:r>
    </w:p>
    <w:p>
      <w:pPr>
        <w:pStyle w:val="BookText"/>
      </w:pPr>
      <w:r>
        <w:rPr>
          <w:rFonts w:ascii="IRNazanin" w:hAnsi="IRNazanin" w:eastAsia="IRNazanin" w:cs="IRNazanin"/>
          <w:lang w:bidi="fa-IR"/>
          <w:color w:val="111111"/>
          <w:sz w:val="28"/>
          <w:szCs w:val="28"/>
          <w:rtl/>
        </w:rPr>
        <w:t xml:space="preserve">۹. قم؛ مرعشی؛ شماره نسخه: ۱۳۱۰۹</w:t>
      </w:r>
    </w:p>
    <w:p>
      <w:pPr>
        <w:pStyle w:val="BookText"/>
      </w:pPr>
      <w:r>
        <w:rPr>
          <w:rFonts w:ascii="Amiri" w:hAnsi="Amiri" w:eastAsia="Amiri" w:cs="Amiri"/>
          <w:lang w:bidi="ar-SA"/>
          <w:color w:val="111111"/>
          <w:sz w:val="28"/>
          <w:szCs w:val="28"/>
          <w:rtl/>
        </w:rPr>
        <w:t xml:space="preserve">آغاز: ان يراعى جانب اللفظ المطلق من حيث ذلك غير معيد... اشارة، و لان المجهول بازاء المعلوم فكما ان الشيء قد يعلم تصوراًسازجاً؛ انجام: تنبيه ان الأمور الغربية تنبعث في عالم الطبيعة من مبادى ثلاثة، احدها الهئية النفاسانية...</w:t>
      </w:r>
    </w:p>
    <w:p>
      <w:pPr>
        <w:pStyle w:val="BookText"/>
      </w:pPr>
      <w:r>
        <w:rPr>
          <w:rFonts w:ascii="IRNazanin" w:hAnsi="IRNazanin" w:eastAsia="IRNazanin" w:cs="IRNazanin"/>
          <w:lang w:bidi="fa-IR"/>
          <w:color w:val="111111"/>
          <w:sz w:val="28"/>
          <w:szCs w:val="28"/>
          <w:rtl/>
        </w:rPr>
        <w:t xml:space="preserve">خط: نسخ درشت، بی کا، تا: قرن ۸؛ افتادگی: آغاز و انجام؛ مصحح ؛ کاغذ: شرقی، جلد: تیماج مشکی ضربی با ترنج گل و بوته، ۱۷۳گ، ۱۱ سطر (8</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اندازه: ۱۲</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۱۷سم [ف: ۳۳ - ۲۲۴]</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قم؛ مرعشی؛ شماره نسخه: بدون شماره</w:t>
      </w:r>
    </w:p>
    <w:p>
      <w:pPr>
        <w:pStyle w:val="BookText"/>
      </w:pPr>
      <w:r>
        <w:rPr>
          <w:rFonts w:ascii="IRNazanin" w:hAnsi="IRNazanin" w:eastAsia="IRNazanin" w:cs="IRNazanin"/>
          <w:lang w:bidi="fa-IR"/>
          <w:color w:val="111111"/>
          <w:sz w:val="28"/>
          <w:szCs w:val="28"/>
          <w:rtl/>
        </w:rPr>
        <w:t xml:space="preserve">خط: نسخ، بی کا، تا: قرن ۸ ؛قطع: رقعی کوچک [میراث شهاب: س ۵ش ۳ و ۴ - ۱۵۰]</w:t>
      </w:r>
    </w:p>
    <w:p>
      <w:pPr>
        <w:pStyle w:val="BookText"/>
      </w:pPr>
      <w:r>
        <w:rPr>
          <w:rFonts w:ascii="IRNazanin" w:hAnsi="IRNazanin" w:eastAsia="IRNazanin" w:cs="IRNazanin"/>
          <w:lang w:bidi="fa-IR"/>
          <w:color w:val="111111"/>
          <w:sz w:val="28"/>
          <w:szCs w:val="28"/>
          <w:rtl/>
        </w:rPr>
        <w:t xml:space="preserve">۱۱. تهران؛ دانشگاه؛ شماره نسخه: ۶۴۴-ف</w:t>
      </w:r>
    </w:p>
    <w:p>
      <w:pPr>
        <w:pStyle w:val="BookText"/>
      </w:pPr>
      <w:r>
        <w:rPr>
          <w:rFonts w:ascii="IRNazanin" w:hAnsi="IRNazanin" w:eastAsia="IRNazanin" w:cs="IRNazanin"/>
          <w:lang w:bidi="fa-IR"/>
          <w:color w:val="111111"/>
          <w:sz w:val="28"/>
          <w:szCs w:val="28"/>
          <w:rtl/>
        </w:rPr>
        <w:t xml:space="preserve">نسخه اصل: داماد ابراهیم ش ۸۰۹؛ خط: نسخ، کا: هندوشاه ابن سنجر بن عبدالله صاحبی گیرانی نخجوانی، تا: ۱۴ ربيع الاول  ۷۱۸ق، جا: سهرورد؛ ۲۶۵گ، ۱۱ سطر [ فیلم ها-ف: ۱ - ۲۸۳]</w:t>
      </w:r>
    </w:p>
    <w:p>
      <w:pPr>
        <w:pStyle w:val="BookText"/>
      </w:pPr>
      <w:r>
        <w:rPr>
          <w:rFonts w:ascii="IRNazanin" w:hAnsi="IRNazanin" w:eastAsia="IRNazanin" w:cs="IRNazanin"/>
          <w:lang w:bidi="fa-IR"/>
          <w:color w:val="111111"/>
          <w:sz w:val="28"/>
          <w:szCs w:val="28"/>
          <w:rtl/>
        </w:rPr>
        <w:t xml:space="preserve">۱۲. تهران؛ مجلس؛ شماره نسخه: ۱۴۵۹۰/۷۶</w:t>
      </w:r>
    </w:p>
    <w:p>
      <w:pPr>
        <w:pStyle w:val="BookText"/>
      </w:pPr>
      <w:r>
        <w:rPr>
          <w:rFonts w:ascii="IRNazanin" w:hAnsi="IRNazanin" w:eastAsia="IRNazanin" w:cs="IRNazanin"/>
          <w:lang w:bidi="fa-IR"/>
          <w:color w:val="111111"/>
          <w:sz w:val="28"/>
          <w:szCs w:val="28"/>
          <w:rtl/>
        </w:rPr>
        <w:t xml:space="preserve">آغاز و انجام:برابر</w:t>
      </w:r>
    </w:p>
    <w:p>
      <w:pPr>
        <w:pStyle w:val="BookText"/>
      </w:pPr>
      <w:r>
        <w:rPr>
          <w:rFonts w:ascii="IRNazanin" w:hAnsi="IRNazanin" w:eastAsia="IRNazanin" w:cs="IRNazanin"/>
          <w:lang w:bidi="fa-IR"/>
          <w:color w:val="111111"/>
          <w:sz w:val="28"/>
          <w:szCs w:val="28"/>
          <w:rtl/>
        </w:rPr>
        <w:t xml:space="preserve">در ده نمط ؛ خط: نسخ، بی کا، تا: چهارشنبه ۱ ربیع الاول ۷۲۳ق؛ جلد: تیماج کرم قهوه ای، ۱۹ ص (۳۲۵-۳۴۳)، ۴۱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۳۲سم [ف: ۴۱ - ۸۶]</w:t>
      </w:r>
    </w:p>
    <w:p>
      <w:pPr>
        <w:pStyle w:val="BookText"/>
      </w:pPr>
      <w:r>
        <w:rPr>
          <w:rFonts w:ascii="IRNazanin" w:hAnsi="IRNazanin" w:eastAsia="IRNazanin" w:cs="IRNazanin"/>
          <w:lang w:bidi="fa-IR"/>
          <w:color w:val="111111"/>
          <w:sz w:val="28"/>
          <w:szCs w:val="28"/>
          <w:rtl/>
        </w:rPr>
        <w:t xml:space="preserve">۱۳. تهران؛ دانشگاه؛ شماره نسخه: ۱۹۶/۳-ف</w:t>
      </w:r>
    </w:p>
    <w:p>
      <w:pPr>
        <w:pStyle w:val="BookText"/>
      </w:pPr>
      <w:r>
        <w:rPr>
          <w:rFonts w:ascii="IRNazanin" w:hAnsi="IRNazanin" w:eastAsia="IRNazanin" w:cs="IRNazanin"/>
          <w:lang w:bidi="fa-IR"/>
          <w:color w:val="111111"/>
          <w:sz w:val="28"/>
          <w:szCs w:val="28"/>
          <w:rtl/>
        </w:rPr>
        <w:t xml:space="preserve">نسخه اصل: حمیدیه ش ۱۴۴۸؛ خط: نستعلیق، بی کا، تا: با تاریخ ۷۵۵؛ ۷۸گ (۲۲۹-۳۰۶)، ۱۹ سطر [ فیلم ها-ف: ۱  - 433]</w:t>
      </w:r>
    </w:p>
    <w:p>
      <w:pPr>
        <w:pStyle w:val="BookText"/>
      </w:pPr>
      <w:r>
        <w:rPr>
          <w:rFonts w:ascii="IRNazanin" w:hAnsi="IRNazanin" w:eastAsia="IRNazanin" w:cs="IRNazanin"/>
          <w:lang w:bidi="fa-IR"/>
          <w:color w:val="111111"/>
          <w:sz w:val="28"/>
          <w:szCs w:val="28"/>
          <w:rtl/>
        </w:rPr>
        <w:t xml:space="preserve">۱۴. تهران؛ مجلس؛ شماره نسخه: ۹۲۵۶/۱</w:t>
      </w:r>
    </w:p>
    <w:p>
      <w:pPr>
        <w:pStyle w:val="BookText"/>
      </w:pPr>
      <w:r>
        <w:rPr>
          <w:rFonts w:ascii="IRNazanin" w:hAnsi="IRNazanin" w:eastAsia="IRNazanin" w:cs="IRNazanin"/>
          <w:lang w:bidi="fa-IR"/>
          <w:color w:val="111111"/>
          <w:sz w:val="28"/>
          <w:szCs w:val="28"/>
          <w:rtl/>
        </w:rPr>
        <w:t xml:space="preserve">آغاز: النمط التاسع فى مقامات العارفين ان للعارفين مقامات و درجات يخصون بها فى حيوتهم الدنيا دون غيرهم؛ انجام:فهذه خمس عشرة خصلة فطوبى لمن وفق بها انجامه: نقلته المولى الفاضل المحشى قدس سره و هو نقل من خط منقول من خط العالم الربانی اعنی خواجه محمد پارسا قدس الله تعالی سره نمط تاسع (مقامات العارفين)؛ خط: مقامات العارفين؛ خط نسخ کا قاضی بن حسین کوفینی تا ۹۸۳ق با حواشی از کمال الدین عبدالغفور و علی نوری و دیگران در صفحه عنوان آمده است: «نمط تاسع از اشارات شیخ ابوعلی محشى بتحشيه مولانا كمال الدين عبدالغفور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رحمة الله عليهما»، محشی به امضای «مغ» «ه» «فقیر نوری» «مقدمه» «م» «صحاح»«ع»، رکابه دار، در اول نسخه عبارت یا كبيكج يا حفیظ؛ تملک: علی بن محمد سرویری که رساله را نزد استادش خوانده، تملکی دیگربه خط جدید که نسخه را در اصفهان خریده؛ جلد: تیماج  عنابی، ۲۵گ، ۷ سطر، اندازه: ۱۸/۵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۲۴/۵سم [ف: ۳۰ - ۳۷]</w:t>
      </w:r>
    </w:p>
    <w:p>
      <w:pPr>
        <w:pStyle w:val="BookText"/>
      </w:pPr>
      <w:r>
        <w:rPr>
          <w:rFonts w:ascii="IRNazanin" w:hAnsi="IRNazanin" w:eastAsia="IRNazanin" w:cs="IRNazanin"/>
          <w:lang w:bidi="fa-IR"/>
          <w:color w:val="111111"/>
          <w:sz w:val="28"/>
          <w:szCs w:val="28"/>
          <w:rtl/>
        </w:rPr>
        <w:t xml:space="preserve">۱۵. قم؛ مرعشی؛ شماره نسخه: ۱۵۲۵۴/۶</w:t>
      </w:r>
    </w:p>
    <w:p>
      <w:pPr>
        <w:pStyle w:val="BookText"/>
      </w:pPr>
      <w:r>
        <w:rPr>
          <w:rFonts w:ascii="Amiri" w:hAnsi="Amiri" w:eastAsia="Amiri" w:cs="Amiri"/>
          <w:lang w:bidi="ar-SA"/>
          <w:color w:val="111111"/>
          <w:sz w:val="28"/>
          <w:szCs w:val="28"/>
          <w:rtl/>
        </w:rPr>
        <w:t xml:space="preserve">آغاز: تنبيه ان للعارفين مقامات و درجات يخصون بها في حيوة الدنيا دون غيرهم فكانهم و هم في جلابيب من ابدانهم قد نضـوها و تجردوا عنها الى عالم القدس؛ انجام: فمن سمعه فاشماز عنه فليتهم نفسه لعلها لا تناسبه و كل ميسر  لما خلق له،والحمدلله الواهب الميسر .</w:t>
      </w:r>
    </w:p>
    <w:p>
      <w:pPr>
        <w:pStyle w:val="BookText"/>
      </w:pPr>
      <w:r>
        <w:rPr>
          <w:rFonts w:ascii="IRNazanin" w:hAnsi="IRNazanin" w:eastAsia="IRNazanin" w:cs="IRNazanin"/>
          <w:lang w:bidi="fa-IR"/>
          <w:color w:val="111111"/>
          <w:sz w:val="28"/>
          <w:szCs w:val="28"/>
          <w:rtl/>
        </w:rPr>
        <w:t xml:space="preserve">نمط نهم در مقامات عارفان؛ خط: نسخ، بی کا، تا: قرن ۱۱؛ کاغذ: شرقی، ۷گ (۱۱۷-۱۲۳)، ۱۵ سطر، اندازه: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38- 735]</w:t>
      </w:r>
    </w:p>
    <w:p>
      <w:pPr>
        <w:pStyle w:val="BookText"/>
      </w:pPr>
      <w:r>
        <w:rPr>
          <w:rFonts w:ascii="IRNazanin" w:hAnsi="IRNazanin" w:eastAsia="IRNazanin" w:cs="IRNazanin"/>
          <w:lang w:bidi="fa-IR"/>
          <w:color w:val="111111"/>
          <w:sz w:val="28"/>
          <w:szCs w:val="28"/>
          <w:rtl/>
        </w:rPr>
        <w:t xml:space="preserve">۱۶. قم؛ مرعشی؛ شماره نسخه: ۱۳۴۲۶/۵</w:t>
      </w:r>
    </w:p>
    <w:p>
      <w:pPr>
        <w:pStyle w:val="BookText"/>
      </w:pPr>
      <w:r>
        <w:rPr>
          <w:rFonts w:ascii="IRNazanin" w:hAnsi="IRNazanin" w:eastAsia="IRNazanin" w:cs="IRNazanin"/>
          <w:lang w:bidi="fa-IR"/>
          <w:color w:val="111111"/>
          <w:sz w:val="28"/>
          <w:szCs w:val="28"/>
          <w:rtl/>
        </w:rPr>
        <w:t xml:space="preserve">آغاز: النمط التاسع في مقامات العارفين، ان للعارفين مقامات و درجات يخصون بها وهم في حياتهم الدنيا دون غيرهم؛ انجام: ما تشتمل عليه هذا الفن ضحكة للمغفل و عبرة للمحصل هذا آخر بیان مقامات العارفين</w:t>
      </w:r>
    </w:p>
    <w:p>
      <w:pPr>
        <w:pStyle w:val="BookText"/>
      </w:pPr>
      <w:r>
        <w:rPr>
          <w:rFonts w:ascii="IRNazanin" w:hAnsi="IRNazanin" w:eastAsia="IRNazanin" w:cs="IRNazanin"/>
          <w:lang w:bidi="fa-IR"/>
          <w:color w:val="111111"/>
          <w:sz w:val="28"/>
          <w:szCs w:val="28"/>
          <w:rtl/>
        </w:rPr>
        <w:t xml:space="preserve">مقامات العارفين؛ خط: نستعلیق، بی کا، تا: قرن ۱۱؛ مصحـح، اشعاری به فارسی از ملاصدرا شیرازی (که در حیات او کتابت شده) نیز اشعاری از جنید بغدادی و نیز اشعاری از شیخ محـمد  لاهیجی نوربخشی و غیر  آنان، همچنین مطالبی از کتاب اسـفار ملاصدرا و مطالب گوناگون دیگر در انجام نسخه؛ کاغذ: شرقی، ۵گ (۳۲-۳۶)، ۱۹ سطر، اندازه: 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۳۴ - ۶۶]</w:t>
      </w:r>
    </w:p>
    <w:p>
      <w:pPr>
        <w:pStyle w:val="BookText"/>
      </w:pPr>
      <w:r>
        <w:rPr>
          <w:rFonts w:ascii="IRNazanin" w:hAnsi="IRNazanin" w:eastAsia="IRNazanin" w:cs="IRNazanin"/>
          <w:lang w:bidi="fa-IR"/>
          <w:color w:val="111111"/>
          <w:sz w:val="28"/>
          <w:szCs w:val="28"/>
          <w:rtl/>
        </w:rPr>
        <w:t xml:space="preserve">۱۷. مشهد؛ گوهرشاد؛ شماره نسخه:۸۲۷/۱</w:t>
      </w:r>
    </w:p>
    <w:p>
      <w:pPr>
        <w:pStyle w:val="BookText"/>
      </w:pPr>
      <w:r>
        <w:rPr>
          <w:rFonts w:ascii="IRNazanin" w:hAnsi="IRNazanin" w:eastAsia="IRNazanin" w:cs="IRNazanin"/>
          <w:lang w:bidi="fa-IR"/>
          <w:color w:val="111111"/>
          <w:sz w:val="28"/>
          <w:szCs w:val="28"/>
          <w:rtl/>
        </w:rPr>
        <w:t xml:space="preserve">شامل نمط های چهار و پنج و شش و هفت؛ خط: شکسته نستعـلیق، و نسخ، بی کا، تا: قرن ۱۱؛ مهر: حاج سید سعید؛ کاغذ: اصفهانی،جلد: تیماج مشکی لایه ای، ۲۲گ (۱-۲۲)، ۱۹-۱۰ سطر (۵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اندازه: 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۱۹/۵سم [ف: ۳ - ۱۱۲۰]</w:t>
      </w:r>
    </w:p>
    <w:p>
      <w:pPr>
        <w:pStyle w:val="BookText"/>
      </w:pPr>
      <w:r>
        <w:rPr>
          <w:rFonts w:ascii="IRNazanin" w:hAnsi="IRNazanin" w:eastAsia="IRNazanin" w:cs="IRNazanin"/>
          <w:lang w:bidi="fa-IR"/>
          <w:color w:val="111111"/>
          <w:sz w:val="28"/>
          <w:szCs w:val="28"/>
          <w:rtl/>
        </w:rPr>
        <w:t xml:space="preserve">۱۸. تهران؛ دانشگاه؛ شماره نسخه: ۷۴۱۳/۴</w:t>
      </w:r>
    </w:p>
    <w:p>
      <w:pPr>
        <w:pStyle w:val="BookText"/>
      </w:pPr>
      <w:r>
        <w:rPr>
          <w:rFonts w:ascii="IRNazanin" w:hAnsi="IRNazanin" w:eastAsia="IRNazanin" w:cs="IRNazanin"/>
          <w:lang w:bidi="fa-IR"/>
          <w:color w:val="111111"/>
          <w:sz w:val="28"/>
          <w:szCs w:val="28"/>
          <w:rtl/>
        </w:rPr>
        <w:t xml:space="preserve">طبیعی آن؛ بی کا، تا: قرن ۱۱؛ کاغذ: سپاهانی، جلد: تیماج مشکی، لایی، ۱۵ سطر ،(۶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قطع: ربعی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۱۹/۵سم [ف: 16- 551]</w:t>
      </w:r>
    </w:p>
    <w:p>
      <w:pPr>
        <w:pStyle w:val="BookText"/>
      </w:pPr>
      <w:r>
        <w:rPr>
          <w:rFonts w:ascii="IRNazanin" w:hAnsi="IRNazanin" w:eastAsia="IRNazanin" w:cs="IRNazanin"/>
          <w:lang w:bidi="fa-IR"/>
          <w:color w:val="111111"/>
          <w:sz w:val="28"/>
          <w:szCs w:val="28"/>
          <w:rtl/>
        </w:rPr>
        <w:t xml:space="preserve">۱۹. تهران؛ مجلس؛ شماره نسخه: ۷۱۲/۱</w:t>
      </w:r>
    </w:p>
    <w:p>
      <w:pPr>
        <w:pStyle w:val="BookText"/>
      </w:pPr>
      <w:r>
        <w:rPr>
          <w:rFonts w:ascii="IRNazanin" w:hAnsi="IRNazanin" w:eastAsia="IRNazanin" w:cs="IRNazanin"/>
          <w:lang w:bidi="fa-IR"/>
          <w:color w:val="111111"/>
          <w:sz w:val="28"/>
          <w:szCs w:val="28"/>
          <w:rtl/>
        </w:rPr>
        <w:t xml:space="preserve">خط: نسخ، بی کا، تا: قرن ۱۱ ؛کاغذ: زرد  فام ،جلد: تیماج قرمز ضربی و مقوای زرکوب با لولا، ۲۲۲ ص (۳ -۲۲۴) ۱۷ سطر (5</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،اندازه: ۱۱</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۱۷سم [سنا - ف: ۲ - ۳۷]</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تهران؛ مجلس؛ شماره نسخه: ۱۲۲۰</w:t>
      </w:r>
    </w:p>
    <w:p>
      <w:pPr>
        <w:pStyle w:val="BookText"/>
      </w:pPr>
      <w:r>
        <w:rPr>
          <w:rFonts w:ascii="IRNazanin" w:hAnsi="IRNazanin" w:eastAsia="IRNazanin" w:cs="IRNazanin"/>
          <w:lang w:bidi="fa-IR"/>
          <w:color w:val="111111"/>
          <w:sz w:val="28"/>
          <w:szCs w:val="28"/>
          <w:rtl/>
        </w:rPr>
        <w:t xml:space="preserve">آغاز: ان للعارفين مقاماتاً و درجاتاً يخصون بها في حياتهم الدنیا؛</w:t>
      </w:r>
    </w:p>
    <w:p>
      <w:pPr>
        <w:pStyle w:val="BookText"/>
      </w:pPr>
      <w:r>
        <w:rPr>
          <w:rFonts w:ascii="Amiri" w:hAnsi="Amiri" w:eastAsia="Amiri" w:cs="Amiri"/>
          <w:lang w:bidi="ar-SA"/>
          <w:color w:val="111111"/>
          <w:sz w:val="28"/>
          <w:szCs w:val="28"/>
          <w:rtl/>
        </w:rPr>
        <w:t xml:space="preserve">انجام: قدبان لك ان الهيات السابقة الى النفس قد.</w:t>
      </w:r>
    </w:p>
    <w:p>
      <w:pPr>
        <w:pStyle w:val="BookText"/>
      </w:pPr>
      <w:r>
        <w:rPr>
          <w:rFonts w:ascii="IRNazanin" w:hAnsi="IRNazanin" w:eastAsia="IRNazanin" w:cs="IRNazanin"/>
          <w:lang w:bidi="fa-IR"/>
          <w:color w:val="111111"/>
          <w:sz w:val="28"/>
          <w:szCs w:val="28"/>
          <w:rtl/>
        </w:rPr>
        <w:t xml:space="preserve">نمط  تاسع و قسمتی از نمط عاشر؛ کا: حمزه بن احمد گیلانی، ۱۰۱۸ق؛ به ضمیمه حواشی که از یکی از شروح اشارات نقل شـده؛کاغذ: فرنگی، جلد: مقوا ته بندی: تیماج قهوه ای روشن، ۲۲ 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۴ - ۱۴۵]</w:t>
      </w:r>
    </w:p>
    <w:p>
      <w:pPr>
        <w:pStyle w:val="BookText"/>
      </w:pPr>
      <w:r>
        <w:rPr>
          <w:rFonts w:ascii="IRNazanin" w:hAnsi="IRNazanin" w:eastAsia="IRNazanin" w:cs="IRNazanin"/>
          <w:lang w:bidi="fa-IR"/>
          <w:color w:val="111111"/>
          <w:sz w:val="28"/>
          <w:szCs w:val="28"/>
          <w:rtl/>
        </w:rPr>
        <w:t xml:space="preserve">۲۱. قم؛ مرعشی؛ شماره نسخه: ۶۵۲۵/۸</w:t>
      </w:r>
    </w:p>
    <w:p>
      <w:pPr>
        <w:pStyle w:val="BookText"/>
      </w:pPr>
      <w:r>
        <w:rPr>
          <w:rFonts w:ascii="Amiri" w:hAnsi="Amiri" w:eastAsia="Amiri" w:cs="Amiri"/>
          <w:lang w:bidi="ar-SA"/>
          <w:color w:val="111111"/>
          <w:sz w:val="28"/>
          <w:szCs w:val="28"/>
          <w:rtl/>
        </w:rPr>
        <w:t xml:space="preserve">آغاز: بسمله هذه اشارات الى اصول و تنبيهات على جمل يستبصر  من  بها تيسر له ولا تنفع بالاصرح منها؛ انجام: برابر</w:t>
      </w:r>
    </w:p>
    <w:p>
      <w:pPr>
        <w:pStyle w:val="BookText"/>
      </w:pPr>
      <w:r>
        <w:rPr>
          <w:rFonts w:ascii="IRNazanin" w:hAnsi="IRNazanin" w:eastAsia="IRNazanin" w:cs="IRNazanin"/>
          <w:lang w:bidi="fa-IR"/>
          <w:color w:val="111111"/>
          <w:sz w:val="28"/>
          <w:szCs w:val="28"/>
          <w:rtl/>
        </w:rPr>
        <w:t xml:space="preserve">خط: نستعلیق ،کا: محمد تبریزی معروف به برهان المنجمین، تا: محرم ۱۰۴۲ق؛ جلد: تیماج سبز، ۶گ (۸۰پ-۸۵پ)،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 ۱۷ - ۱۰۷]</w:t>
      </w:r>
    </w:p>
    <w:p>
      <w:pPr>
        <w:pStyle w:val="BookText"/>
      </w:pPr>
      <w:r>
        <w:rPr>
          <w:rFonts w:ascii="IRNazanin" w:hAnsi="IRNazanin" w:eastAsia="IRNazanin" w:cs="IRNazanin"/>
          <w:lang w:bidi="fa-IR"/>
          <w:color w:val="111111"/>
          <w:sz w:val="28"/>
          <w:szCs w:val="28"/>
          <w:rtl/>
        </w:rPr>
        <w:t xml:space="preserve">قم؛ گلپایگانی؛ شماره نسخه: ۷۶۴۲-۳۹/۲۲</w:t>
      </w:r>
    </w:p>
    <w:p>
      <w:pPr>
        <w:pStyle w:val="BookText"/>
      </w:pPr>
      <w:r>
        <w:rPr>
          <w:rFonts w:ascii="IRNazanin" w:hAnsi="IRNazanin" w:eastAsia="IRNazanin" w:cs="IRNazanin"/>
          <w:lang w:bidi="fa-IR"/>
          <w:color w:val="111111"/>
          <w:sz w:val="28"/>
          <w:szCs w:val="28"/>
          <w:rtl/>
        </w:rPr>
        <w:t xml:space="preserve">نسخه اصل: همان نسخه بالا [ف: ۱ - ۳۶۸]</w:t>
      </w:r>
    </w:p>
    <w:p>
      <w:pPr>
        <w:pStyle w:val="BookText"/>
      </w:pPr>
      <w:r>
        <w:rPr>
          <w:rFonts w:ascii="IRNazanin" w:hAnsi="IRNazanin" w:eastAsia="IRNazanin" w:cs="IRNazanin"/>
          <w:lang w:bidi="fa-IR"/>
          <w:color w:val="111111"/>
          <w:sz w:val="28"/>
          <w:szCs w:val="28"/>
          <w:rtl/>
        </w:rPr>
        <w:t xml:space="preserve">۲۲. تهران؛ مجلس؛ شماره نسخه: ۱۳۰۷/۴ط</w:t>
      </w:r>
    </w:p>
    <w:p>
      <w:pPr>
        <w:pStyle w:val="BookText"/>
      </w:pPr>
      <w:r>
        <w:rPr>
          <w:rFonts w:ascii="IRNazanin" w:hAnsi="IRNazanin" w:eastAsia="IRNazanin" w:cs="IRNazanin"/>
          <w:lang w:bidi="fa-IR"/>
          <w:color w:val="111111"/>
          <w:sz w:val="28"/>
          <w:szCs w:val="28"/>
          <w:rtl/>
        </w:rPr>
        <w:t xml:space="preserve">آغاز: بسمله. هذه اشارات الى اصول و تنبیهات على جمل؛ انجام: ثم البحث يكون عن احوال هذا الجسم حيث يتكلم في الاجسام البسيطه لانها.</w:t>
      </w:r>
    </w:p>
    <w:p>
      <w:pPr>
        <w:pStyle w:val="BookText"/>
      </w:pPr>
      <w:r>
        <w:rPr>
          <w:rFonts w:ascii="IRNazanin" w:hAnsi="IRNazanin" w:eastAsia="IRNazanin" w:cs="IRNazanin"/>
          <w:lang w:bidi="fa-IR"/>
          <w:color w:val="111111"/>
          <w:sz w:val="28"/>
          <w:szCs w:val="28"/>
          <w:rtl/>
        </w:rPr>
        <w:t xml:space="preserve">خط: نسخ و نستعلیق، کا: رضی الدین، تا: ۱۰۵۱ق، جا: اصفهان؛ جلد: تیماج  عنابی، ۲۰ ص (۱۲۵-۱۴۴)،اندازه: 9</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24/3- 63]</w:t>
      </w:r>
    </w:p>
    <w:p>
      <w:pPr>
        <w:pStyle w:val="BookText"/>
      </w:pPr>
      <w:r>
        <w:rPr>
          <w:rFonts w:ascii="IRNazanin" w:hAnsi="IRNazanin" w:eastAsia="IRNazanin" w:cs="IRNazanin"/>
          <w:lang w:bidi="fa-IR"/>
          <w:color w:val="111111"/>
          <w:sz w:val="28"/>
          <w:szCs w:val="28"/>
          <w:rtl/>
        </w:rPr>
        <w:t xml:space="preserve">۲۳. تهران؛ سپهسالار؛ شماره نسخه: ۸۳۵۹/۲</w:t>
      </w:r>
    </w:p>
    <w:p>
      <w:pPr>
        <w:pStyle w:val="BookText"/>
      </w:pPr>
      <w:r>
        <w:rPr>
          <w:rFonts w:ascii="IRNazanin" w:hAnsi="IRNazanin" w:eastAsia="IRNazanin" w:cs="IRNazanin"/>
          <w:lang w:bidi="fa-IR"/>
          <w:color w:val="111111"/>
          <w:sz w:val="28"/>
          <w:szCs w:val="28"/>
          <w:rtl/>
        </w:rPr>
        <w:t xml:space="preserve">تنها بخش طبیعی؛ خط: نستعلیق، كا: محمد نقی مذهب (تخلص)، تا: ۲۲ رجب ۱۰۵۹ق؛ کاغذ: فرنگی، جلد: تیماج مشکی ضربی ،مقوایی، ۱۶گ، (۱۶ پ -۳۱ پ)، ۱۹ سطر،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3- 136]</w:t>
      </w:r>
    </w:p>
    <w:p>
      <w:pPr>
        <w:pStyle w:val="BookText"/>
      </w:pPr>
      <w:r>
        <w:rPr>
          <w:rFonts w:ascii="IRNazanin" w:hAnsi="IRNazanin" w:eastAsia="IRNazanin" w:cs="IRNazanin"/>
          <w:lang w:bidi="fa-IR"/>
          <w:color w:val="111111"/>
          <w:sz w:val="28"/>
          <w:szCs w:val="28"/>
          <w:rtl/>
        </w:rPr>
        <w:t xml:space="preserve">۲۴. مشهد؛ رضوی؛ شماره نسخه: ۲۵۷۴۲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۱۰۹۰ق [رایانه ]</w:t>
      </w:r>
    </w:p>
    <w:p>
      <w:pPr>
        <w:pStyle w:val="BookText"/>
      </w:pPr>
      <w:r>
        <w:rPr>
          <w:rFonts w:ascii="IRNazanin" w:hAnsi="IRNazanin" w:eastAsia="IRNazanin" w:cs="IRNazanin"/>
          <w:lang w:bidi="fa-IR"/>
          <w:color w:val="111111"/>
          <w:sz w:val="28"/>
          <w:szCs w:val="28"/>
          <w:rtl/>
        </w:rPr>
        <w:t xml:space="preserve">۲۵. تهران؛ دانشگاه؛ شماره نسخه: ۷۰۱۰/۲</w:t>
      </w:r>
    </w:p>
    <w:p>
      <w:pPr>
        <w:pStyle w:val="BookText"/>
      </w:pPr>
      <w:r>
        <w:rPr>
          <w:rFonts w:ascii="IRNazanin" w:hAnsi="IRNazanin" w:eastAsia="IRNazanin" w:cs="IRNazanin"/>
          <w:lang w:bidi="fa-IR"/>
          <w:color w:val="111111"/>
          <w:sz w:val="28"/>
          <w:szCs w:val="28"/>
          <w:rtl/>
        </w:rPr>
        <w:t xml:space="preserve">خط: نسخ، بی کا، تا: قرن ۱۲؛ محشی با نشان «س س»؛ کاغذ: سپاهانی، جلد: تیماج مشکی ،مقوایی، ۱۲ سطر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قطع:  ربعی،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۱۶ - ۴۲۷]</w:t>
      </w:r>
    </w:p>
    <w:p>
      <w:pPr>
        <w:pStyle w:val="BookText"/>
      </w:pPr>
      <w:r>
        <w:rPr>
          <w:rFonts w:ascii="IRNazanin" w:hAnsi="IRNazanin" w:eastAsia="IRNazanin" w:cs="IRNazanin"/>
          <w:lang w:bidi="fa-IR"/>
          <w:color w:val="111111"/>
          <w:sz w:val="28"/>
          <w:szCs w:val="28"/>
          <w:rtl/>
        </w:rPr>
        <w:t xml:space="preserve">۲۶. قم؛ مرعشی؛ شماره نسخه: ۵۵۴۸/۵</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زیبا، کا: محمد صادق بن محمد حسین اصفهانی، تا: ۱۱۴۰ق؛ جلد: تیماج زرد بدون مقوا، ۸۶گ (38پ-۱۲۳ر)، ۸  سطر، اندازه: 9</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۱۴ - ۳۱۲  ]</w:t>
      </w:r>
    </w:p>
    <w:p>
      <w:pPr>
        <w:pStyle w:val="BookText"/>
      </w:pPr>
      <w:r>
        <w:rPr>
          <w:rFonts w:ascii="Amiri" w:hAnsi="Amiri" w:eastAsia="Amiri" w:cs="Amiri"/>
          <w:lang w:bidi="ar-SA"/>
          <w:color w:val="111111"/>
          <w:sz w:val="28"/>
          <w:szCs w:val="28"/>
          <w:rtl/>
        </w:rPr>
        <w:t xml:space="preserve">۲۷. تبريز؛ ثقة الاسلام؛ شماره نسخه: بدون شماره/ ۲</w:t>
      </w:r>
    </w:p>
    <w:p>
      <w:pPr>
        <w:pStyle w:val="BookText"/>
      </w:pPr>
      <w:r>
        <w:rPr>
          <w:rFonts w:ascii="IRNazanin" w:hAnsi="IRNazanin" w:eastAsia="IRNazanin" w:cs="IRNazanin"/>
          <w:lang w:bidi="fa-IR"/>
          <w:color w:val="111111"/>
          <w:sz w:val="28"/>
          <w:szCs w:val="28"/>
          <w:rtl/>
        </w:rPr>
        <w:t xml:space="preserve">کا: محمد صادق پسر محمد حسین  اصفهانی، تا: ۱۱۴۰ق [نشریه:  7- 540]</w:t>
      </w:r>
    </w:p>
    <w:p>
      <w:pPr>
        <w:pStyle w:val="BookText"/>
      </w:pPr>
      <w:r>
        <w:rPr>
          <w:rFonts w:ascii="IRNazanin" w:hAnsi="IRNazanin" w:eastAsia="IRNazanin" w:cs="IRNazanin"/>
          <w:lang w:bidi="fa-IR"/>
          <w:color w:val="111111"/>
          <w:sz w:val="28"/>
          <w:szCs w:val="28"/>
          <w:rtl/>
        </w:rPr>
        <w:t xml:space="preserve">۲۸ .تهران؛ مجلس؛ شماره نسخه: ۲۹۱۵</w:t>
      </w:r>
    </w:p>
    <w:p>
      <w:pPr>
        <w:pStyle w:val="BookText"/>
      </w:pPr>
      <w:r>
        <w:rPr>
          <w:rFonts w:ascii="Amiri" w:hAnsi="Amiri" w:eastAsia="Amiri" w:cs="Amiri"/>
          <w:lang w:bidi="ar-SA"/>
          <w:color w:val="111111"/>
          <w:sz w:val="28"/>
          <w:szCs w:val="28"/>
          <w:rtl/>
        </w:rPr>
        <w:t xml:space="preserve">آغاز: برابر؛ انجام: و ربما اعان على ذلك الاسهاب في الكلام المخلط و الالهام لمسيس الجن و كلا ما فيه تحيير و تدهيش و اذا اشتد توكل الوهم بذلك الطلب لم يلبث.</w:t>
      </w:r>
    </w:p>
    <w:p>
      <w:pPr>
        <w:pStyle w:val="BookText"/>
      </w:pPr>
      <w:r>
        <w:rPr>
          <w:rFonts w:ascii="IRNazanin" w:hAnsi="IRNazanin" w:eastAsia="IRNazanin" w:cs="IRNazanin"/>
          <w:lang w:bidi="fa-IR"/>
          <w:color w:val="111111"/>
          <w:sz w:val="28"/>
          <w:szCs w:val="28"/>
          <w:rtl/>
        </w:rPr>
        <w:t xml:space="preserve">از آغاز منطق تا بخشی از نمط دهم؛ خط: نسخ کهن، بی کا،بی تا، افتادگی: انجام؛ صفحه های ۲-۴ و ۱۵۳ و ۱۵۴ و ۱۷۱-۲۲۶ و ۲۴۴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390" w:name="pg20365_260542"/>
    <w:bookmarkEnd w:id="390"/>
    <w:p>
      <w:pPr>
        <w:pStyle w:val="BookText"/>
      </w:pPr>
      <w:r>
        <w:rPr>
          <w:rFonts w:ascii="IRNazanin" w:hAnsi="IRNazanin" w:eastAsia="IRNazanin" w:cs="IRNazanin"/>
          <w:lang w:bidi="fa-IR"/>
          <w:color w:val="111111"/>
          <w:sz w:val="28"/>
          <w:szCs w:val="28"/>
          <w:rtl/>
        </w:rPr>
        <w:t xml:space="preserve">و۲۴۶ نونویس است، محشی با رمز «س و شرح»؛ تملک: ابوالمسعود بن ابوالمعصوم، علی بن محمد مدعو به اشرف مورخ ۱۱۴۲ با مهر «علی اشرف ۱۱۴۱» (بیضی) ؛کاغذ: سمرقندی  ضخیم، جلد: تیماج عنابی، ۲۶۲ ص ۱۳ سطر، قطع: رقعی،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۱۰ - ۳۱۶]</w:t>
      </w:r>
    </w:p>
    <w:p>
      <w:pPr>
        <w:pStyle w:val="BookText"/>
      </w:pPr>
      <w:r>
        <w:rPr>
          <w:rFonts w:ascii="IRNazanin" w:hAnsi="IRNazanin" w:eastAsia="IRNazanin" w:cs="IRNazanin"/>
          <w:lang w:bidi="fa-IR"/>
          <w:color w:val="111111"/>
          <w:sz w:val="28"/>
          <w:szCs w:val="28"/>
          <w:rtl/>
        </w:rPr>
        <w:t xml:space="preserve">۲۹. تهران؛ سپهسالار؛ شماره نسخه: ۶۳۳۴</w:t>
      </w:r>
    </w:p>
    <w:p>
      <w:pPr>
        <w:pStyle w:val="BookText"/>
      </w:pPr>
      <w:r>
        <w:rPr>
          <w:rFonts w:ascii="IRNazanin" w:hAnsi="IRNazanin" w:eastAsia="IRNazanin" w:cs="IRNazanin"/>
          <w:lang w:bidi="fa-IR"/>
          <w:color w:val="111111"/>
          <w:sz w:val="28"/>
          <w:szCs w:val="28"/>
          <w:rtl/>
        </w:rPr>
        <w:t xml:space="preserve">تنها بخش طبیعی؛ خط: نسخ و نستعليق، كا: مير على نقى بن حاجی میر هادی، تا: رمضان ۱۱۵۱ق؛ حاشیه از شرح طوسی ۱۰۰گ، ۱۷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۳ - ۱۳۶]</w:t>
      </w:r>
    </w:p>
    <w:p>
      <w:pPr>
        <w:pStyle w:val="BookText"/>
      </w:pPr>
      <w:r>
        <w:rPr>
          <w:rFonts w:ascii="IRNazanin" w:hAnsi="IRNazanin" w:eastAsia="IRNazanin" w:cs="IRNazanin"/>
          <w:lang w:bidi="fa-IR"/>
          <w:color w:val="111111"/>
          <w:sz w:val="28"/>
          <w:szCs w:val="28"/>
          <w:rtl/>
        </w:rPr>
        <w:t xml:space="preserve">۳۰. یزد؛ وزیری؛ شماره نسخه: ۳۱۶۹</w:t>
      </w:r>
    </w:p>
    <w:p>
      <w:pPr>
        <w:pStyle w:val="BookText"/>
      </w:pPr>
      <w:r>
        <w:rPr>
          <w:rFonts w:ascii="IRNazanin" w:hAnsi="IRNazanin" w:eastAsia="IRNazanin" w:cs="IRNazanin"/>
          <w:lang w:bidi="fa-IR"/>
          <w:color w:val="111111"/>
          <w:sz w:val="28"/>
          <w:szCs w:val="28"/>
          <w:rtl/>
        </w:rPr>
        <w:t xml:space="preserve">خط: نسخ، بی کا، بی تا؛ کاغذ: سمرقندی، جلد: مقوایی با تیماج ماشی  ضربی، ۵۵گ، ۱۶ سطر (8/5</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  سم[ ف: ۵ - ۱۵۵۷]</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تهران؛ دانشگاه؛ شماره نسخه: ۱۵۸۴/۴-ف</w:t>
      </w:r>
    </w:p>
    <w:p>
      <w:pPr>
        <w:pStyle w:val="BookText"/>
      </w:pPr>
      <w:r>
        <w:rPr>
          <w:rFonts w:ascii="IRNazanin" w:hAnsi="IRNazanin" w:eastAsia="IRNazanin" w:cs="IRNazanin"/>
          <w:lang w:bidi="fa-IR"/>
          <w:color w:val="111111"/>
          <w:sz w:val="28"/>
          <w:szCs w:val="28"/>
          <w:rtl/>
        </w:rPr>
        <w:t xml:space="preserve">نسخه اصل: لیدن (۲۴۷۹-۱۴۶۴) </w:t>
      </w:r>
      <w:r>
        <w:rPr>
          <w:rFonts w:ascii="Times New Roman" w:hAnsi="Times New Roman" w:eastAsia="Times New Roman" w:cs="Times New Roman"/>
          <w:lang w:val="en-US" w:bidi="en-US"/>
          <w:color w:val="111111"/>
          <w:sz w:val="28"/>
          <w:szCs w:val="28"/>
          <w:rtl/>
        </w:rPr>
        <w:t xml:space="preserve">Cod. 1020a War)</w:t>
      </w:r>
      <w:r>
        <w:rPr>
          <w:rFonts w:ascii="IRNazanin" w:hAnsi="IRNazanin" w:eastAsia="IRNazanin" w:cs="IRNazanin"/>
          <w:lang w:bidi="fa-IR"/>
          <w:color w:val="111111"/>
          <w:sz w:val="28"/>
          <w:szCs w:val="28"/>
          <w:rtl/>
        </w:rPr>
        <w:t xml:space="preserve">؛  بی کا، بی تا[ فیلم ها-ف: ۱ - ۶۱۳]</w:t>
      </w:r>
    </w:p>
    <w:p>
      <w:pPr>
        <w:pStyle w:val="BookText"/>
      </w:pPr>
      <w:r>
        <w:rPr>
          <w:rFonts w:ascii="IRNazanin" w:hAnsi="IRNazanin" w:eastAsia="IRNazanin" w:cs="IRNazanin"/>
          <w:lang w:bidi="fa-IR"/>
          <w:color w:val="111111"/>
          <w:sz w:val="28"/>
          <w:szCs w:val="28"/>
          <w:rtl/>
        </w:rPr>
        <w:t xml:space="preserve">۳۲ .تهران؛ ملی؛ شماره نسخه: ۲۵۴۳۷</w:t>
      </w:r>
    </w:p>
    <w:p>
      <w:pPr>
        <w:pStyle w:val="BookText"/>
      </w:pPr>
      <w:r>
        <w:rPr>
          <w:rFonts w:ascii="IRNazanin" w:hAnsi="IRNazanin" w:eastAsia="IRNazanin" w:cs="IRNazanin"/>
          <w:lang w:bidi="fa-IR"/>
          <w:color w:val="111111"/>
          <w:sz w:val="28"/>
          <w:szCs w:val="28"/>
          <w:rtl/>
        </w:rPr>
        <w:t xml:space="preserve">کا: محمود شهابی، بی تا؛ خریداری از کیومرث محمودی [رایانه]</w:t>
      </w:r>
    </w:p>
    <w:p>
      <w:pPr>
        <w:pStyle w:val="BookText"/>
      </w:pPr>
      <w:r>
        <w:rPr>
          <w:rFonts w:ascii="IRNazanin" w:hAnsi="IRNazanin" w:eastAsia="IRNazanin" w:cs="IRNazanin"/>
          <w:lang w:bidi="fa-IR"/>
          <w:color w:val="111111"/>
          <w:sz w:val="28"/>
          <w:szCs w:val="28"/>
          <w:rtl/>
        </w:rPr>
        <w:t xml:space="preserve">۳۳. یزد؛ صدوقی یزدی؛ شماره نسخه: ۶۱/۲</w:t>
      </w:r>
    </w:p>
    <w:p>
      <w:pPr>
        <w:pStyle w:val="BookText"/>
      </w:pPr>
      <w:r>
        <w:rPr>
          <w:rFonts w:ascii="IRNazanin" w:hAnsi="IRNazanin" w:eastAsia="IRNazanin" w:cs="IRNazanin"/>
          <w:lang w:bidi="fa-IR"/>
          <w:color w:val="111111"/>
          <w:sz w:val="28"/>
          <w:szCs w:val="28"/>
          <w:rtl/>
        </w:rPr>
        <w:t xml:space="preserve">بخشی از آغاز کتاب؛ خط: نسخ، بی کا، بی تا؛ جلد: دو رو تیماج بدون مقوا، رو مشکی اندرون قهوه ای، ۹۶گ(۲۸ر-۱۲۳پ)،  11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[کتابخانه های قائن – ف: – ۴۶]</w:t>
      </w:r>
    </w:p>
    <w:p>
      <w:pPr>
        <w:pStyle w:val="BookText"/>
      </w:pPr>
      <w:r>
        <w:rPr>
          <w:rFonts w:ascii="IRNazanin" w:hAnsi="IRNazanin" w:eastAsia="IRNazanin" w:cs="IRNazanin"/>
          <w:lang w:bidi="fa-IR"/>
          <w:color w:val="111111"/>
          <w:sz w:val="28"/>
          <w:szCs w:val="28"/>
          <w:rtl/>
        </w:rPr>
        <w:t xml:space="preserve">۳۴. تهران؛ مجلس؛ شماره نسخه: ۴۹۵۴/۷</w:t>
      </w:r>
    </w:p>
    <w:p>
      <w:pPr>
        <w:pStyle w:val="BookText"/>
      </w:pPr>
      <w:r>
        <w:rPr>
          <w:rFonts w:ascii="IRNazanin" w:hAnsi="IRNazanin" w:eastAsia="IRNazanin" w:cs="IRNazanin"/>
          <w:lang w:bidi="fa-IR"/>
          <w:color w:val="111111"/>
          <w:sz w:val="28"/>
          <w:szCs w:val="28"/>
          <w:rtl/>
        </w:rPr>
        <w:t xml:space="preserve">آغاز: برابر؛ انجام: خاتمة و وصية ايها الاخ اني مخضت لك فی هذا   الاشارات عن زبدة الحق ...  و عاهده بالله  و بایمان لا مخارج  لها ... و الحمد لله القهار القيوم ابداً</w:t>
      </w:r>
    </w:p>
    <w:p>
      <w:pPr>
        <w:pStyle w:val="BookText"/>
      </w:pPr>
      <w:r>
        <w:rPr>
          <w:rFonts w:ascii="IRNazanin" w:hAnsi="IRNazanin" w:eastAsia="IRNazanin" w:cs="IRNazanin"/>
          <w:lang w:bidi="fa-IR"/>
          <w:color w:val="111111"/>
          <w:sz w:val="28"/>
          <w:szCs w:val="28"/>
          <w:rtl/>
        </w:rPr>
        <w:t xml:space="preserve">از النمط الثامن فى البهجة و السعادة قسمت دوم كتاب الاشارات تا آخر النمط العاشر فى اسرار الايات، مطابقت دارد با (ص 190- ۲۲۲) چاپ لیدن ۱۸۹۲م؛ خط: نسخ، کا: میر جعفر بن عبدالله حسینی، بی تا؛ کاغذ: سپاهانی، جلد: روغنی حاشیه گل و بوته میان ترنج، ۱۶گ (۲۸پ-۴۳ر)، ۱۴ سطر (۷/۵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۱۴ - ۲۳۴]</w:t>
      </w:r>
    </w:p>
    <w:p>
      <w:pPr>
        <w:pStyle w:val="BookText"/>
      </w:pPr>
      <w:r>
        <w:rPr>
          <w:rFonts w:ascii="IRNazanin" w:hAnsi="IRNazanin" w:eastAsia="IRNazanin" w:cs="IRNazanin"/>
          <w:lang w:bidi="fa-IR"/>
          <w:color w:val="111111"/>
          <w:sz w:val="28"/>
          <w:szCs w:val="28"/>
          <w:rtl/>
        </w:rPr>
        <w:t xml:space="preserve">۳۵. تهران؛ مجلس؛ شماره نسخه: ۱۰۴۰۹/۲</w:t>
      </w:r>
    </w:p>
    <w:p>
      <w:pPr>
        <w:pStyle w:val="BookText"/>
      </w:pPr>
      <w:r>
        <w:rPr>
          <w:rFonts w:ascii="IRNazanin" w:hAnsi="IRNazanin" w:eastAsia="IRNazanin" w:cs="IRNazanin"/>
          <w:lang w:bidi="fa-IR"/>
          <w:color w:val="111111"/>
          <w:sz w:val="28"/>
          <w:szCs w:val="28"/>
          <w:rtl/>
        </w:rPr>
        <w:t xml:space="preserve">آغاز: هذا اشارات الى اصول و تنبيهات على جمل يستبصربها من تيسرله؛ انجام: اشارة: ادراك الشيء هو ان يكون حقيقة متخیلة عند المدرك</w:t>
      </w:r>
    </w:p>
    <w:p>
      <w:pPr>
        <w:pStyle w:val="BookText"/>
      </w:pPr>
      <w:r>
        <w:rPr>
          <w:rFonts w:ascii="IRNazanin" w:hAnsi="IRNazanin" w:eastAsia="IRNazanin" w:cs="IRNazanin"/>
          <w:lang w:bidi="fa-IR"/>
          <w:color w:val="111111"/>
          <w:sz w:val="28"/>
          <w:szCs w:val="28"/>
          <w:rtl/>
        </w:rPr>
        <w:t xml:space="preserve">خط: نسخ، بی کا، بی تا؛ جلد: تیماج سبز با گوشه و عطف سرخ، ۲۱گ (۲۷پ-۴۷ پ)، ۲۴ سطر [ف: ۳۳/۱ - ۱۳]</w:t>
      </w:r>
    </w:p>
    <w:p>
      <w:pPr>
        <w:pStyle w:val="BookText"/>
      </w:pPr>
      <w:r>
        <w:rPr>
          <w:rFonts w:ascii="IRNazanin" w:hAnsi="IRNazanin" w:eastAsia="IRNazanin" w:cs="IRNazanin"/>
          <w:lang w:bidi="fa-IR"/>
          <w:color w:val="111111"/>
          <w:sz w:val="28"/>
          <w:szCs w:val="28"/>
          <w:rtl/>
        </w:rPr>
        <w:t xml:space="preserve">۳۶. اراک؛ دهگان؛ شماره نسخه: ۱۴۱/۱</w:t>
      </w:r>
    </w:p>
    <w:p>
      <w:pPr>
        <w:pStyle w:val="BookText"/>
      </w:pPr>
      <w:r>
        <w:rPr>
          <w:rFonts w:ascii="IRNazanin" w:hAnsi="IRNazanin" w:eastAsia="IRNazanin" w:cs="IRNazanin"/>
          <w:lang w:bidi="fa-IR"/>
          <w:color w:val="111111"/>
          <w:sz w:val="28"/>
          <w:szCs w:val="28"/>
          <w:rtl/>
        </w:rPr>
        <w:t xml:space="preserve">فاقد منهج اول (فى غرض المنطق) است، از «منهج الثاني فی الالفاظ الخمسه المفرده» آغاز می شود؛ خط: نسخ، بی کا،بی تا؛ افتادگی: آغاز؛ کاغذ: لیمویی، جلد: تیماج قهوه ای با لایه مقـوا، ۸۲گ  (1ر-۸۲پ)، ۱۷ سطر، قطع: وزیری،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۲۲سم[ف: ۱ - ۱۸۲]</w:t>
      </w:r>
    </w:p>
    <w:p>
      <w:pPr>
        <w:pStyle w:val="BookText"/>
      </w:pPr>
      <w:r>
        <w:rPr>
          <w:rFonts w:ascii="IRNazanin" w:hAnsi="IRNazanin" w:eastAsia="IRNazanin" w:cs="IRNazanin"/>
          <w:lang w:bidi="fa-IR"/>
          <w:color w:val="111111"/>
          <w:sz w:val="28"/>
          <w:szCs w:val="28"/>
          <w:rtl/>
        </w:rPr>
        <w:t xml:space="preserve">۳۷ .اراک؛ دهگان؛ شماره نسخه: ۶۷/۱</w:t>
      </w:r>
    </w:p>
    <w:p>
      <w:pPr>
        <w:pStyle w:val="BookText"/>
      </w:pPr>
      <w:r>
        <w:rPr>
          <w:rFonts w:ascii="IRNazanin" w:hAnsi="IRNazanin" w:eastAsia="IRNazanin" w:cs="IRNazanin"/>
          <w:lang w:bidi="fa-IR"/>
          <w:color w:val="111111"/>
          <w:sz w:val="28"/>
          <w:szCs w:val="28"/>
          <w:rtl/>
        </w:rPr>
        <w:t xml:space="preserve">خط: نسخ، کا: محمد مومن بن حيدر الملکی، بی تا، جا: بلده حیدر آباد کلکنده؛ کاغذ: لیمویی، جلد: مقوای خاکستری، ۹۹گ (۲ پ- ۱۰۰ پ)، ۱۷ سطر، قطع: وزیری،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۱ -  85]</w:t>
      </w:r>
    </w:p>
    <w:p>
      <w:pPr>
        <w:pStyle w:val="BookText"/>
      </w:pPr>
      <w:r>
        <w:rPr>
          <w:rFonts w:ascii="IRNazanin" w:hAnsi="IRNazanin" w:eastAsia="IRNazanin" w:cs="IRNazanin"/>
          <w:lang w:bidi="fa-IR"/>
          <w:color w:val="111111"/>
          <w:sz w:val="28"/>
          <w:szCs w:val="28"/>
          <w:rtl/>
        </w:rPr>
        <w:t xml:space="preserve">۳۸. تبریز؛ ملی؛ شماره نسخه: ۳۵۲۴</w:t>
      </w:r>
    </w:p>
    <w:p>
      <w:pPr>
        <w:pStyle w:val="BookText"/>
      </w:pPr>
      <w:r>
        <w:rPr>
          <w:rFonts w:ascii="Amiri" w:hAnsi="Amiri" w:eastAsia="Amiri" w:cs="Amiri"/>
          <w:lang w:bidi="ar-SA"/>
          <w:color w:val="111111"/>
          <w:sz w:val="28"/>
          <w:szCs w:val="28"/>
          <w:rtl/>
        </w:rPr>
        <w:t xml:space="preserve">آغاز: بالفكر هيهنا ما يكون عند اجماع الانسان؛ انجام: مزكياً لنفسه و هوذ ومعجزة من الانبياء او كرامة من الأولياء</w:t>
      </w:r>
    </w:p>
    <w:p>
      <w:pPr>
        <w:pStyle w:val="BookText"/>
      </w:pPr>
      <w:r>
        <w:rPr>
          <w:rFonts w:ascii="IRNazanin" w:hAnsi="IRNazanin" w:eastAsia="IRNazanin" w:cs="IRNazanin"/>
          <w:lang w:bidi="fa-IR"/>
          <w:color w:val="111111"/>
          <w:sz w:val="28"/>
          <w:szCs w:val="28"/>
          <w:rtl/>
        </w:rPr>
        <w:t xml:space="preserve">خط: نسخ، بی کا، بی تا؛ افتادگی: آغاز (به قدر هفت سطر از نسخه چاپی و یک برگ نسخه خطی) و انجام (سی و نه سطر)؛ محشی با علامت «هـ ح» و گاهی مطالب را با «قال الشارح» آغاز می کند؛ جلد: چرمی  سیاه، ۱۹۷گ، ۱۰ سطر، اندازه: ۱۲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۲۰سم [ف: ۱-۶۰  ]</w:t>
      </w:r>
    </w:p>
    <w:p>
      <w:pPr>
        <w:pStyle w:val="BookText"/>
      </w:pPr>
      <w:r>
        <w:rPr>
          <w:rFonts w:ascii="IRNazanin" w:hAnsi="IRNazanin" w:eastAsia="IRNazanin" w:cs="IRNazanin"/>
          <w:lang w:bidi="fa-IR"/>
          <w:color w:val="111111"/>
          <w:sz w:val="28"/>
          <w:szCs w:val="28"/>
          <w:rtl/>
        </w:rPr>
        <w:t xml:space="preserve">۳۹. تهران؛ شهشهانی حسین؛ شماره نسخه: بدون شماره</w:t>
      </w:r>
    </w:p>
    <w:p>
      <w:pPr>
        <w:pStyle w:val="BookText"/>
      </w:pPr>
      <w:r>
        <w:rPr>
          <w:rFonts w:ascii="IRNazanin" w:hAnsi="IRNazanin" w:eastAsia="IRNazanin" w:cs="IRNazanin"/>
          <w:lang w:bidi="fa-IR"/>
          <w:color w:val="111111"/>
          <w:sz w:val="28"/>
          <w:szCs w:val="28"/>
          <w:rtl/>
        </w:rPr>
        <w:t xml:space="preserve">بخش منطق؛ بی کا، بی تا [میراث اسلامی ۵ - ۵۹۶]</w:t>
      </w:r>
    </w:p>
    <w:p>
      <w:pPr>
        <w:pStyle w:val="BookText"/>
      </w:pPr>
      <w:r>
        <w:rPr>
          <w:rFonts w:ascii="IRNazanin" w:hAnsi="IRNazanin" w:eastAsia="IRNazanin" w:cs="IRNazanin"/>
          <w:lang w:bidi="fa-IR"/>
          <w:color w:val="111111"/>
          <w:sz w:val="28"/>
          <w:szCs w:val="28"/>
          <w:rtl/>
        </w:rPr>
        <w:t xml:space="preserve">۴۰. تهران؛ مجلس؛ شماره نسخه: ۱۴۲۸۰/۲۰</w:t>
      </w:r>
    </w:p>
    <w:p>
      <w:pPr>
        <w:pStyle w:val="BookText"/>
      </w:pPr>
      <w:r>
        <w:rPr>
          <w:rFonts w:ascii="IRNazanin" w:hAnsi="IRNazanin" w:eastAsia="IRNazanin" w:cs="IRNazanin"/>
          <w:lang w:bidi="fa-IR"/>
          <w:color w:val="111111"/>
          <w:sz w:val="28"/>
          <w:szCs w:val="28"/>
          <w:rtl/>
        </w:rPr>
        <w:t xml:space="preserve">المقامات العارفين؛ خط: نستعلیق، بی کا، بی تا؛ بی کا، بی تا؛ جلد: تیماج قهوه ای ضربی با ترنج با زمینه مذهب با نقش گل  مجدول، ۲گ (۴۷ر-۴۶ر)، ۲۱-۳۹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۳۸ - ۳۹۵]</w:t>
      </w:r>
    </w:p>
    <w:p>
      <w:pPr>
        <w:pStyle w:val="BookText"/>
      </w:pPr>
      <w:r>
        <w:rPr>
          <w:rFonts w:ascii="IRNazanin" w:hAnsi="IRNazanin" w:eastAsia="IRNazanin" w:cs="IRNazanin"/>
          <w:lang w:bidi="fa-IR"/>
          <w:color w:val="111111"/>
          <w:sz w:val="28"/>
          <w:szCs w:val="28"/>
          <w:rtl/>
        </w:rPr>
        <w:t xml:space="preserve">۴۱. تهران؛ مروی؛ شماره نسخه: ۱۹/۵</w:t>
      </w:r>
    </w:p>
    <w:p>
      <w:pPr>
        <w:pStyle w:val="BookText"/>
      </w:pPr>
      <w:r>
        <w:rPr>
          <w:rFonts w:ascii="IRNazanin" w:hAnsi="IRNazanin" w:eastAsia="IRNazanin" w:cs="IRNazanin"/>
          <w:lang w:bidi="fa-IR"/>
          <w:color w:val="111111"/>
          <w:sz w:val="28"/>
          <w:szCs w:val="28"/>
          <w:rtl/>
        </w:rPr>
        <w:t xml:space="preserve">بی کا، بی تا؛ قطع: رحلی [ف: ۲۷۱]</w:t>
      </w:r>
    </w:p>
    <w:p>
      <w:pPr>
        <w:pStyle w:val="BookText"/>
      </w:pPr>
      <w:r>
        <w:rPr>
          <w:rFonts w:ascii="IRNazanin" w:hAnsi="IRNazanin" w:eastAsia="IRNazanin" w:cs="IRNazanin"/>
          <w:lang w:bidi="fa-IR"/>
          <w:color w:val="111111"/>
          <w:sz w:val="28"/>
          <w:szCs w:val="28"/>
          <w:rtl/>
        </w:rPr>
        <w:t xml:space="preserve">۴۲. تهران؛ ملک؛ شماره نسخه: ۵۸۷۶/۵</w:t>
      </w:r>
    </w:p>
    <w:p>
      <w:pPr>
        <w:pStyle w:val="BookText"/>
      </w:pPr>
      <w:r>
        <w:rPr>
          <w:rFonts w:ascii="IRNazanin" w:hAnsi="IRNazanin" w:eastAsia="IRNazanin" w:cs="IRNazanin"/>
          <w:lang w:bidi="fa-IR"/>
          <w:color w:val="111111"/>
          <w:sz w:val="28"/>
          <w:szCs w:val="28"/>
          <w:rtl/>
        </w:rPr>
        <w:t xml:space="preserve">خط: نسخ، بی کا، بی تا؛ افتادگی: انجام (در نمط  سوم افتاده)؛ کاغذ: ترمه، جلد: میشن سیاه  ضربی، ۷۶گ (۱۵۴پ-۲۲۹پ)، ۲۱  سطر ،اندازه: ۱۹/۵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۲۵/۷سم [ف: ۹ - ۸۷]</w:t>
      </w:r>
    </w:p>
    <w:p>
      <w:pPr>
        <w:pStyle w:val="Heading3"/>
      </w:pPr>
      <w:bookmarkStart w:id="1866" w:name="_Toc1388"/>
      <w:r>
        <w:t>الاشارات و التنبيهات (ترجمه) / فلسفه / فارسی</w:t>
      </w:r>
      <w:bookmarkEnd w:id="1866"/>
    </w:p>
    <w:p>
      <w:pPr>
        <w:pStyle w:val="BookText"/>
      </w:pPr>
      <w:r>
        <w:rPr>
          <w:rFonts w:ascii="Times New Roman" w:hAnsi="Times New Roman" w:eastAsia="Times New Roman" w:cs="Times New Roman"/>
          <w:lang w:val="en-US" w:bidi="en-US"/>
          <w:color w:val="111111"/>
          <w:sz w:val="28"/>
          <w:szCs w:val="28"/>
          <w:rtl/>
        </w:rPr>
        <w:t xml:space="preserve">(al-išārāt wa-t tanbīhāt (t.)</w:t>
      </w:r>
    </w:p>
    <w:p>
      <w:pPr>
        <w:pStyle w:val="BookText"/>
      </w:pPr>
      <w:r>
        <w:rPr>
          <w:rFonts w:ascii="IRNazanin" w:hAnsi="IRNazanin" w:eastAsia="IRNazanin" w:cs="IRNazanin"/>
          <w:lang w:bidi="fa-IR"/>
          <w:color w:val="111111"/>
          <w:sz w:val="28"/>
          <w:szCs w:val="28"/>
          <w:rtl/>
        </w:rPr>
        <w:t xml:space="preserve">فارسی، عبدالسلام بن محمود ،- ۶۲۶؟ قمری</w:t>
      </w:r>
    </w:p>
    <w:p>
      <w:pPr>
        <w:pStyle w:val="BookText"/>
      </w:pPr>
      <w:r>
        <w:rPr>
          <w:rFonts w:ascii="Times New Roman" w:hAnsi="Times New Roman" w:eastAsia="Times New Roman" w:cs="Times New Roman"/>
          <w:lang w:val="en-US" w:bidi="en-US"/>
          <w:color w:val="111111"/>
          <w:sz w:val="28"/>
          <w:szCs w:val="28"/>
          <w:rtl/>
        </w:rPr>
        <w:t xml:space="preserve">(fārsī, ‘abd-os-salām ebn-e mahmūd (- 1230)</w:t>
      </w:r>
    </w:p>
    <w:p>
      <w:pPr>
        <w:pStyle w:val="BookText"/>
      </w:pPr>
      <w:r>
        <w:rPr>
          <w:rFonts w:ascii="IRNazanin" w:hAnsi="IRNazanin" w:eastAsia="IRNazanin" w:cs="IRNazanin"/>
          <w:lang w:bidi="fa-IR"/>
          <w:color w:val="111111"/>
          <w:sz w:val="28"/>
          <w:szCs w:val="28"/>
          <w:rtl/>
        </w:rPr>
        <w:t xml:space="preserve">وابسته به: الاشارات والتنبيهات؛ ابن سینا، حسين بن عبدالله(۴۲۸ - ۳۷۰)</w:t>
      </w:r>
    </w:p>
    <w:p>
      <w:pPr>
        <w:pStyle w:val="BookText"/>
      </w:pPr>
      <w:r>
        <w:rPr>
          <w:rFonts w:ascii="IRNazanin" w:hAnsi="IRNazanin" w:eastAsia="IRNazanin" w:cs="IRNazanin"/>
          <w:lang w:bidi="fa-IR"/>
          <w:color w:val="111111"/>
          <w:sz w:val="28"/>
          <w:szCs w:val="28"/>
          <w:rtl/>
        </w:rPr>
        <w:t xml:space="preserve">متن از ابوعلی سینا و ترجمه گویا از عبدالسلام بن محمود بن احمد فارسی است. این ترجمه به انوری نیز نسبت داده شده است. دکتر مهدوی در مورد این ترجمه چنین می گوید: «نسخه های ترجمه ... به دو وجه است: ۱. شامل ترجمه منطق و طبيعيات و الهیات؛ ۲. که ترجمه منطق را ندارد ،در عوض قبل از شروع به ترجمه قسمت طبيعيات و الهیات مقدمه ای در علت ترجمه و بیان «چند قضیت از قضایاء اولی» که در اصل عربی نیست آورده شده است. اختلاف این دو وجه در ترجمه طبيعيات و الهیات جزئی است و شاید مربوط به اختلاف نسخه از حيث قدمت باشد والا در آنجا که از حيث ترتيب فصول، ترجمه با اصل تفاوت دارد این تفاوت در هر دو وجه هست،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مثلاً در هر دو وجه در اواخر نمط هفتم (صفحات ۱۵۰ تا 153 ترجمه چاپی) تنبیه راجع به جزئیاتی که علم به آن مانند علم کلی است بعد از تنبیه و اشاره ای است که راجع است «بوج تغیر صفات» و حال آنکه در اصل عربی به عکس است، و نیز در هیچ یک از دو وجه مقدمه ای که در ابتدای طبیعیات و الهيات اصل عربی قرار دارد موجود نیست. بنابراین شاید مترجم طبيعيات والهيات بعداً قسمت منطق را هم ترجمه کرده و آن  را بعد از حذف مقدمه ای که در ابتدای طبیعیات آورده بوده، بر آن افزوده است و یا اینکه اصلاً کس دیگری این کار را کرده است. ناگفته نماند که نسخ وجه اول هم با یکدیگر اختلاف دارند. نکته در اینکه در اکثر نسخه ها پیش از این ترجمه رسـاله «تبصره» ابن سهلان ساوی در منطق به فارسی آورده شده اسـت  که این موجب شده است که برخی فهرست نگاران به اشتباه آن رساله را جزء اول( جزء منطق) این ترجمه بدانند (ن.ک. مصنفات ابن سینا از مهدوی: ص ۳۷ و ۲۷۴)</w:t>
      </w:r>
    </w:p>
    <w:p>
      <w:pPr>
        <w:pStyle w:val="BookText"/>
      </w:pPr>
      <w:r>
        <w:rPr>
          <w:rFonts w:ascii="IRNazanin" w:hAnsi="IRNazanin" w:eastAsia="IRNazanin" w:cs="IRNazanin"/>
          <w:lang w:bidi="fa-IR"/>
          <w:color w:val="111111"/>
          <w:sz w:val="28"/>
          <w:szCs w:val="28"/>
          <w:rtl/>
        </w:rPr>
        <w:t xml:space="preserve">آغاز: (وجه اول:) سپاس آفریدکار دو جهانرا و بخشنده عقل و روان را و درود نیکان و پیغامبران را اتفاق جمله عقلانست کی شرف آدمی در دانش حقیقی است که خیال و کمان را درآن امکان نیست و در خوش خوی و نیک سیرتی است که طغیان و کفران را در آن راه نیست بس بهترین... کی بدوستان صف برادران وفا کنند ارشاد کردنست بعلم يقينی و تحریم کردنست بر اعمال دینی و جون اتفاق افتاذ کی دوستی عزیز را از دوستان صدق کی بر من حقوق بسیار داشت هوس معرفة کتاب اشارات و تنبیهات شیخ رئیس افتاذ بر وجهی کی ترجمه اش بزبان بارسی دری باشد... النهج الاول اشارة غرض المنطق، مراد از منطق آنست کی بیش آدمی آلتی قانونی کی مراعات آن او را نگاه دارد از آن کی در فکر وی خللی و زللی افتد</w:t>
      </w:r>
    </w:p>
    <w:p>
      <w:pPr>
        <w:pStyle w:val="BookText"/>
      </w:pPr>
      <w:r>
        <w:rPr>
          <w:rFonts w:ascii="IRNazanin" w:hAnsi="IRNazanin" w:eastAsia="IRNazanin" w:cs="IRNazanin"/>
          <w:lang w:bidi="fa-IR"/>
          <w:color w:val="111111"/>
          <w:sz w:val="28"/>
          <w:szCs w:val="28"/>
          <w:rtl/>
        </w:rPr>
        <w:t xml:space="preserve">(وجه دوم:) سپاس آن خدای را که آفریدگار جهانست و بخشنده عقل و جانست بهترین چیزی که عاقل اختیار کند و در آن رنج برد شناخت باری جل جلاله است و دانستن چیزها چنانکه هست و در علوم حقیقت معلوم شده است که سعادت مردم از آن روی که مردم است در دانستن راست است پس بهترین تقربی که دوستان حقیقت بیکدیگر کنند ارشادست بعلم و دانش راست و دوستی از دوستان حقیقت بیکدیگر کـنند ارشادست بعلم و دانش راست و دوستی از دوستان حقیقت من حقها بسیار داشت و قضاء حق او بمقتضى دوستی خواسـتم که بهترین چیزی کنم و در اثناء مفاوضات هر وقتی از و شنود می که گفتی ای کاشکی طبیعیات و الهیات اشارات از سخـنان شیخ رئیس به زبان فارسی بیان کرده بودندی پس من بیچاره قضاء حق دوستی و توسل جستن بتحصيل مراد دران شروع  نمودم بقدر وسع وطاقت</w:t>
      </w:r>
    </w:p>
    <w:p>
      <w:pPr>
        <w:pStyle w:val="BookText"/>
      </w:pPr>
      <w:r>
        <w:rPr>
          <w:rFonts w:ascii="IRNazanin" w:hAnsi="IRNazanin" w:eastAsia="IRNazanin" w:cs="IRNazanin"/>
          <w:lang w:bidi="fa-IR"/>
          <w:color w:val="111111"/>
          <w:sz w:val="28"/>
          <w:szCs w:val="28"/>
          <w:rtl/>
        </w:rPr>
        <w:t xml:space="preserve">انجام: (وجه اول:) و عهد کن باوی بخذای و بسو کندان مغلظه  کی از آن بیرون آمدن نتواند کی او نیز با دیگران همان  سیرت برزد، کی تو با وی برزیذی، بس اگر این علم را فاش کنی و ضایع  کردانی خدای میان [من] و تو و کفی بالله وكيلا.</w:t>
      </w:r>
    </w:p>
    <w:p>
      <w:pPr>
        <w:pStyle w:val="BookText"/>
      </w:pPr>
      <w:r>
        <w:rPr>
          <w:rFonts w:ascii="IRNazanin" w:hAnsi="IRNazanin" w:eastAsia="IRNazanin" w:cs="IRNazanin"/>
          <w:lang w:bidi="fa-IR"/>
          <w:color w:val="111111"/>
          <w:sz w:val="28"/>
          <w:szCs w:val="28"/>
          <w:rtl/>
        </w:rPr>
        <w:t xml:space="preserve">(وجه دوم:) با دیگران همان سیرت سپرد که تو با وی سپردی   پس اگر این علم فاش کنی و ضایع گردانی خدای میان من و تو  كفا بالله وكيلا</w:t>
      </w:r>
    </w:p>
    <w:p>
      <w:pPr>
        <w:pStyle w:val="BookText"/>
      </w:pPr>
      <w:r>
        <w:rPr>
          <w:rFonts w:ascii="IRNazanin" w:hAnsi="IRNazanin" w:eastAsia="IRNazanin" w:cs="IRNazanin"/>
          <w:lang w:bidi="fa-IR"/>
          <w:color w:val="111111"/>
          <w:sz w:val="28"/>
          <w:szCs w:val="28"/>
          <w:rtl/>
        </w:rPr>
        <w:t xml:space="preserve">چاپ: به اهتمام سید حسن مشگان طبسی، تهران ۱۳۱۶ش؛ به کوشش احسان یار شاطر ،تهران ،۱۳۳۲ ش: در این چاپ ترجمه به فارسی نسبت داده شده [ چاپ ها مربوط به وجه دوم است]</w:t>
      </w:r>
    </w:p>
    <w:p>
      <w:pPr>
        <w:pStyle w:val="BookText"/>
      </w:pPr>
      <w:r>
        <w:rPr>
          <w:rFonts w:ascii="IRNazanin" w:hAnsi="IRNazanin" w:eastAsia="IRNazanin" w:cs="IRNazanin"/>
          <w:lang w:bidi="fa-IR"/>
          <w:color w:val="111111"/>
          <w:sz w:val="28"/>
          <w:szCs w:val="28"/>
          <w:rtl/>
        </w:rPr>
        <w:t xml:space="preserve">[مصنفات ابن سینا مهدوی ۳۷ و ۲۷۴؛ الذريعة ۷۸/۴؛ فهرستواره منزوی ۷۱/۶؛ مشار فارسی ۱۲۷۶]</w:t>
      </w:r>
    </w:p>
    <w:p>
      <w:pPr>
        <w:pStyle w:val="BookText"/>
      </w:pPr>
      <w:r>
        <w:rPr>
          <w:rFonts w:ascii="IRNazanin" w:hAnsi="IRNazanin" w:eastAsia="IRNazanin" w:cs="IRNazanin"/>
          <w:lang w:bidi="fa-IR"/>
          <w:color w:val="111111"/>
          <w:sz w:val="28"/>
          <w:szCs w:val="28"/>
          <w:rtl/>
        </w:rPr>
        <w:t xml:space="preserve">۱. تهران؛ مینوی؛ شماره نسخه: ۹۹ بخش ۲</w:t>
      </w:r>
    </w:p>
    <w:p>
      <w:pPr>
        <w:pStyle w:val="BookText"/>
      </w:pPr>
      <w:r>
        <w:rPr>
          <w:rFonts w:ascii="IRNazanin" w:hAnsi="IRNazanin" w:eastAsia="IRNazanin" w:cs="IRNazanin"/>
          <w:lang w:bidi="fa-IR"/>
          <w:color w:val="111111"/>
          <w:sz w:val="28"/>
          <w:szCs w:val="28"/>
          <w:rtl/>
        </w:rPr>
        <w:t xml:space="preserve">آغاز و انجام: برابر وجه اول. انجامه: سبری شذ ترجمت کتاب اشارات و تنبیهات بقدر وسع فهم این نبیسنده، روز پنجشنبه چهاردهم ماه جمادی الاول سنه احدی و ثمانين وستماية. [آغاز و انجام نسخه از فهرست مصنفات ابن سینا از مهدوی ص ۳۷ وارد  شد ]</w:t>
      </w:r>
    </w:p>
    <w:p>
      <w:pPr>
        <w:pStyle w:val="BookText"/>
      </w:pPr>
      <w:r>
        <w:rPr>
          <w:rFonts w:ascii="IRNazanin" w:hAnsi="IRNazanin" w:eastAsia="IRNazanin" w:cs="IRNazanin"/>
          <w:lang w:bidi="fa-IR"/>
          <w:color w:val="111111"/>
          <w:sz w:val="28"/>
          <w:szCs w:val="28"/>
          <w:rtl/>
        </w:rPr>
        <w:t xml:space="preserve">نسخه اصل: ایاصوفيا ۲۳۸۶/۱. در فهرست مترجم ناشناس؛ بی کا، تا: پنج شنبه ۱۴ جمادی الاول ۶۸۱ق؛ واقف: سلطان محمود خان  [ف: ۸۸]</w:t>
      </w:r>
    </w:p>
    <w:p>
      <w:pPr>
        <w:pStyle w:val="BookText"/>
      </w:pPr>
      <w:r>
        <w:rPr>
          <w:rFonts w:ascii="IRNazanin" w:hAnsi="IRNazanin" w:eastAsia="IRNazanin" w:cs="IRNazanin"/>
          <w:lang w:bidi="fa-IR"/>
          <w:color w:val="111111"/>
          <w:sz w:val="28"/>
          <w:szCs w:val="28"/>
          <w:rtl/>
        </w:rPr>
        <w:t xml:space="preserve">2.تهران؛ ملک؛ شماره نسخه: ۱۰۵۱/۲</w:t>
      </w:r>
    </w:p>
    <w:p>
      <w:pPr>
        <w:pStyle w:val="BookText"/>
      </w:pPr>
      <w:r>
        <w:rPr>
          <w:rFonts w:ascii="IRNazanin" w:hAnsi="IRNazanin" w:eastAsia="IRNazanin" w:cs="IRNazanin"/>
          <w:lang w:bidi="fa-IR"/>
          <w:color w:val="111111"/>
          <w:sz w:val="28"/>
          <w:szCs w:val="28"/>
          <w:rtl/>
        </w:rPr>
        <w:t xml:space="preserve">نام مترجم در فهرست به استناد دیباچه چاپ انجمن آثار ملی ظهیرالدین شمس الاسلام حسام النظر ابوالمعالی عبدالسلام بن محمود بن احمد فارسی آمده است آمده است؛ خط: نستعلیق، کا: عبدالوهاب بن محمد مؤمن خادم مشهدی، تا: ۱ربیع الاول۱۰۸۲ق؛ در پایان  آمده: «یک دسته کاغذ به سیصد دینار، جلد سه بیستی، پنج هزار و پانصد بیت است. اجرت کتابت سی و سه شاهی که مجموع دو هزار دینار باشد؛ کاغذ: ترمه، جلد: میشن لایی ،مشکی، ۱۹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۲۳سم [ف: ۵- ۲۲۷]</w:t>
      </w:r>
    </w:p>
    <w:p>
      <w:pPr>
        <w:pStyle w:val="BookText"/>
      </w:pPr>
      <w:r>
        <w:rPr>
          <w:rFonts w:ascii="IRNazanin" w:hAnsi="IRNazanin" w:eastAsia="IRNazanin" w:cs="IRNazanin"/>
          <w:lang w:bidi="fa-IR"/>
          <w:color w:val="111111"/>
          <w:sz w:val="28"/>
          <w:szCs w:val="28"/>
          <w:rtl/>
        </w:rPr>
        <w:t xml:space="preserve">تهران؛ دانشگاه؛ شماره نسخه: ۹۱۸/۲-ف</w:t>
      </w:r>
    </w:p>
    <w:p>
      <w:pPr>
        <w:pStyle w:val="BookText"/>
      </w:pPr>
      <w:r>
        <w:rPr>
          <w:rFonts w:ascii="IRNazanin" w:hAnsi="IRNazanin" w:eastAsia="IRNazanin" w:cs="IRNazanin"/>
          <w:lang w:bidi="fa-IR"/>
          <w:color w:val="111111"/>
          <w:sz w:val="28"/>
          <w:szCs w:val="28"/>
          <w:rtl/>
        </w:rPr>
        <w:t xml:space="preserve">نسخه اصل: همان نسخه بالا [ فیلم ها-ف: ۱ - ۵۴۹]</w:t>
      </w:r>
    </w:p>
    <w:p>
      <w:pPr>
        <w:pStyle w:val="BookText"/>
      </w:pPr>
      <w:r>
        <w:rPr>
          <w:rFonts w:ascii="IRNazanin" w:hAnsi="IRNazanin" w:eastAsia="IRNazanin" w:cs="IRNazanin"/>
          <w:lang w:bidi="fa-IR"/>
          <w:color w:val="111111"/>
          <w:sz w:val="28"/>
          <w:szCs w:val="28"/>
          <w:rtl/>
        </w:rPr>
        <w:t xml:space="preserve">۳. تهران؛ مجلس؛ شماره نسخه: ۳۴۴۲/۲</w:t>
      </w:r>
    </w:p>
    <w:p>
      <w:pPr>
        <w:pStyle w:val="BookText"/>
      </w:pPr>
      <w:r>
        <w:rPr>
          <w:rFonts w:ascii="IRNazanin" w:hAnsi="IRNazanin" w:eastAsia="IRNazanin" w:cs="IRNazanin"/>
          <w:lang w:bidi="fa-IR"/>
          <w:color w:val="111111"/>
          <w:sz w:val="28"/>
          <w:szCs w:val="28"/>
          <w:rtl/>
        </w:rPr>
        <w:t xml:space="preserve">آغاز و انجام: برابر وجه دوم</w:t>
      </w:r>
    </w:p>
    <w:p>
      <w:pPr>
        <w:pStyle w:val="BookText"/>
      </w:pPr>
      <w:r>
        <w:rPr>
          <w:rFonts w:ascii="IRNazanin" w:hAnsi="IRNazanin" w:eastAsia="IRNazanin" w:cs="IRNazanin"/>
          <w:lang w:bidi="fa-IR"/>
          <w:color w:val="111111"/>
          <w:sz w:val="28"/>
          <w:szCs w:val="28"/>
          <w:rtl/>
        </w:rPr>
        <w:t xml:space="preserve">در فهرست مترجم ناشناس در فهرست رساله اول این مجموعه که تبصره ابن سهلان ساوی است بخش اول (منطق) این ترجمه دانسته شده است؛ خط: نستعلیق، بی کا، تا: قرن ۱۱؛ افتادگی: آغاز؛ کاغذ: اصفهانی شکری  رنگ، جلد: تیماج قرمز، ۲۳ سطر، قطع: خشتی،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[ف:10- 1301]</w:t>
      </w:r>
    </w:p>
    <w:p>
      <w:pPr>
        <w:pStyle w:val="BookText"/>
      </w:pPr>
      <w:r>
        <w:rPr>
          <w:rFonts w:ascii="IRNazanin" w:hAnsi="IRNazanin" w:eastAsia="IRNazanin" w:cs="IRNazanin"/>
          <w:lang w:bidi="fa-IR"/>
          <w:color w:val="111111"/>
          <w:sz w:val="28"/>
          <w:szCs w:val="28"/>
          <w:rtl/>
        </w:rPr>
        <w:t xml:space="preserve">۴. تهران؛ ملی؛ شماره نسخه: ۱۵۸۳۰</w:t>
      </w:r>
    </w:p>
    <w:p>
      <w:pPr>
        <w:pStyle w:val="BookText"/>
      </w:pPr>
      <w:r>
        <w:rPr>
          <w:rFonts w:ascii="IRNazanin" w:hAnsi="IRNazanin" w:eastAsia="IRNazanin" w:cs="IRNazanin"/>
          <w:lang w:bidi="fa-IR"/>
          <w:color w:val="111111"/>
          <w:sz w:val="28"/>
          <w:szCs w:val="28"/>
          <w:rtl/>
        </w:rPr>
        <w:t xml:space="preserve">آغاز و انجام: برابر وجه دوم</w:t>
      </w:r>
    </w:p>
    <w:p>
      <w:pPr>
        <w:pStyle w:val="BookText"/>
      </w:pPr>
      <w:r>
        <w:rPr>
          <w:rFonts w:ascii="IRNazanin" w:hAnsi="IRNazanin" w:eastAsia="IRNazanin" w:cs="IRNazanin"/>
          <w:lang w:bidi="fa-IR"/>
          <w:color w:val="111111"/>
          <w:sz w:val="28"/>
          <w:szCs w:val="28"/>
          <w:rtl/>
        </w:rPr>
        <w:t xml:space="preserve">خط: نستعلیق، بی کا، تا: محرم ۱۱۰۹ق ؛مصحح، متن عبارات «الاشارات» در حواشی برخی از اوراق نوشته شده، در برگ اول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391" w:name="pg20365_260544"/>
    <w:bookmarkEnd w:id="391"/>
    <w:p>
      <w:pPr>
        <w:pStyle w:val="BookText"/>
      </w:pPr>
      <w:r>
        <w:rPr>
          <w:rFonts w:ascii="IRNazanin" w:hAnsi="IRNazanin" w:eastAsia="IRNazanin" w:cs="IRNazanin"/>
          <w:lang w:bidi="fa-IR"/>
          <w:color w:val="111111"/>
          <w:sz w:val="28"/>
          <w:szCs w:val="28"/>
          <w:rtl/>
        </w:rPr>
        <w:t xml:space="preserve">از مکاتبات شیخ ابوسعید به ابوعلی سینا و یادداشت محمد طاهر بن محمد باقر الحسينی در سال ۱۱۵۲ق؛ کاغذ: دولت آبادی ،جلد: تیماج  عنابی، ۹۷گ (1پ-97پ)، ۱۵ سطر، اندازه: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۱۸/۵سم [رایانه ]</w:t>
      </w:r>
    </w:p>
    <w:p>
      <w:pPr>
        <w:pStyle w:val="BookText"/>
      </w:pPr>
      <w:r>
        <w:rPr>
          <w:rFonts w:ascii="IRNazanin" w:hAnsi="IRNazanin" w:eastAsia="IRNazanin" w:cs="IRNazanin"/>
          <w:lang w:bidi="fa-IR"/>
          <w:color w:val="111111"/>
          <w:sz w:val="28"/>
          <w:szCs w:val="28"/>
          <w:rtl/>
        </w:rPr>
        <w:t xml:space="preserve">۵. تهران؛ مجلس؛ شماره نسخه: ۴۲۵۱/۲</w:t>
      </w:r>
    </w:p>
    <w:p>
      <w:pPr>
        <w:pStyle w:val="BookText"/>
      </w:pPr>
      <w:r>
        <w:rPr>
          <w:rFonts w:ascii="IRNazanin" w:hAnsi="IRNazanin" w:eastAsia="IRNazanin" w:cs="IRNazanin"/>
          <w:lang w:bidi="fa-IR"/>
          <w:color w:val="111111"/>
          <w:sz w:val="28"/>
          <w:szCs w:val="28"/>
          <w:rtl/>
        </w:rPr>
        <w:t xml:space="preserve">انجام: برابر وجه دوم</w:t>
      </w:r>
    </w:p>
    <w:p>
      <w:pPr>
        <w:pStyle w:val="BookText"/>
      </w:pPr>
      <w:r>
        <w:rPr>
          <w:rFonts w:ascii="IRNazanin" w:hAnsi="IRNazanin" w:eastAsia="IRNazanin" w:cs="IRNazanin"/>
          <w:lang w:bidi="fa-IR"/>
          <w:color w:val="111111"/>
          <w:sz w:val="28"/>
          <w:szCs w:val="28"/>
          <w:rtl/>
        </w:rPr>
        <w:t xml:space="preserve">در فهرست مترجم ناشناس. رساله اول این مجموعه که تبصره این سهلان ساوی است را فهرست نگار بخش اول (منطق) این ترجـمه دانسته است ؛خط: نستعليق ،كا: شرف الدين بن زين الدين  بن نائینی، بی تا، تاریخ تصحیح کتاب ۱۲۹۸ است از میرزا عبدالله،6 برگ میان (بعد از ص ۱۷۷ ) نونویس است، ترجمه از «سید محـمد مشكاة» به تاریخ ۵ جمادی الاول ۱۳۵۳ به خواهش «حاج سید نصر الله تقوی» و به خط «عبرت نایینی» به تاریخ ۱۷ صفر 1354، تصحیحات به خط «میرزا عبدالله» مذکور، در کرانه، صفحه هـا و امضایش در پایان نسخه به تاریخ ۱۲۹۸ آمده؛ مهر: «محمد علی حسینی»، «حاج سید نصر الله تقوی»؛ کاغذ: اصفهانی، جـلد: مشکی، ۱۴۹گ، ۱۷ سطر (۶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۱۹/۵سم [ ف: 11- 265]</w:t>
      </w:r>
    </w:p>
    <w:p>
      <w:pPr>
        <w:pStyle w:val="BookText"/>
      </w:pPr>
      <w:r>
        <w:rPr>
          <w:rFonts w:ascii="IRNazanin" w:hAnsi="IRNazanin" w:eastAsia="IRNazanin" w:cs="IRNazanin"/>
          <w:lang w:bidi="fa-IR"/>
          <w:color w:val="111111"/>
          <w:sz w:val="28"/>
          <w:szCs w:val="28"/>
          <w:rtl/>
        </w:rPr>
        <w:t xml:space="preserve">تهران؛ مطالعات فرهنگی؛ شماره نسخه: ع ۲۴۰</w:t>
      </w:r>
    </w:p>
    <w:p>
      <w:pPr>
        <w:pStyle w:val="BookText"/>
      </w:pPr>
      <w:r>
        <w:rPr>
          <w:rFonts w:ascii="IRNazanin" w:hAnsi="IRNazanin" w:eastAsia="IRNazanin" w:cs="IRNazanin"/>
          <w:lang w:bidi="fa-IR"/>
          <w:color w:val="111111"/>
          <w:sz w:val="28"/>
          <w:szCs w:val="28"/>
          <w:rtl/>
        </w:rPr>
        <w:t xml:space="preserve">نسخه اصل: همان نسخه بالا [مینوی - ف: ۱۶۶]</w:t>
      </w:r>
    </w:p>
    <w:p>
      <w:pPr>
        <w:pStyle w:val="BookText"/>
      </w:pPr>
      <w:r>
        <w:rPr>
          <w:rFonts w:ascii="IRNazanin" w:hAnsi="IRNazanin" w:eastAsia="IRNazanin" w:cs="IRNazanin"/>
          <w:lang w:bidi="fa-IR"/>
          <w:color w:val="111111"/>
          <w:sz w:val="28"/>
          <w:szCs w:val="28"/>
          <w:rtl/>
        </w:rPr>
        <w:t xml:space="preserve">۶. تهران؛ ملک؛ شماره نسخه: ۶۲۱۲/۲</w:t>
      </w:r>
    </w:p>
    <w:p>
      <w:pPr>
        <w:pStyle w:val="BookText"/>
      </w:pPr>
      <w:r>
        <w:rPr>
          <w:rFonts w:ascii="IRNazanin" w:hAnsi="IRNazanin" w:eastAsia="IRNazanin" w:cs="IRNazanin"/>
          <w:lang w:bidi="fa-IR"/>
          <w:color w:val="111111"/>
          <w:sz w:val="28"/>
          <w:szCs w:val="28"/>
          <w:rtl/>
        </w:rPr>
        <w:t xml:space="preserve">آغاز و انجام: برابر وجه دوم</w:t>
      </w:r>
    </w:p>
    <w:p>
      <w:pPr>
        <w:pStyle w:val="BookText"/>
      </w:pPr>
      <w:r>
        <w:rPr>
          <w:rFonts w:ascii="IRNazanin" w:hAnsi="IRNazanin" w:eastAsia="IRNazanin" w:cs="IRNazanin"/>
          <w:lang w:bidi="fa-IR"/>
          <w:color w:val="111111"/>
          <w:sz w:val="28"/>
          <w:szCs w:val="28"/>
          <w:rtl/>
        </w:rPr>
        <w:t xml:space="preserve">در فهرست مترجم به احتمالا فارسی دانسته شده. از نمط یکم  تا پایان نمط دهم؛ خط:نسخ، کا: محمد علی متخلص به عبرت نائینی، تا: رمضان ۱۳۴۲ق؛ از روی نسخه بالا استنساخ شده است ؛جلد: ابری عطف گوشه میشن سیاه، ۶۲ ص (۱۰۶-۱۶۷ )، ۱۹ سـطر، اندازه: ۱۷/۵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۲۱/۸سم [ف: ۹ - ۲۷۰]</w:t>
      </w:r>
    </w:p>
    <w:p>
      <w:pPr>
        <w:pStyle w:val="BookText"/>
      </w:pPr>
      <w:r>
        <w:rPr>
          <w:rFonts w:ascii="IRNazanin" w:hAnsi="IRNazanin" w:eastAsia="IRNazanin" w:cs="IRNazanin"/>
          <w:lang w:bidi="fa-IR"/>
          <w:color w:val="111111"/>
          <w:sz w:val="28"/>
          <w:szCs w:val="28"/>
          <w:rtl/>
        </w:rPr>
        <w:t xml:space="preserve">۷. تهران؛ مجلس؛ شماره نسخه: ۱۰۸</w:t>
      </w:r>
    </w:p>
    <w:p>
      <w:pPr>
        <w:pStyle w:val="BookText"/>
      </w:pPr>
      <w:r>
        <w:rPr>
          <w:rFonts w:ascii="IRNazanin" w:hAnsi="IRNazanin" w:eastAsia="IRNazanin" w:cs="IRNazanin"/>
          <w:lang w:bidi="fa-IR"/>
          <w:color w:val="111111"/>
          <w:sz w:val="28"/>
          <w:szCs w:val="28"/>
          <w:rtl/>
        </w:rPr>
        <w:t xml:space="preserve">آغاز: برابر وجه دوم</w:t>
      </w:r>
    </w:p>
    <w:p>
      <w:pPr>
        <w:pStyle w:val="BookText"/>
      </w:pPr>
      <w:r>
        <w:rPr>
          <w:rFonts w:ascii="IRNazanin" w:hAnsi="IRNazanin" w:eastAsia="IRNazanin" w:cs="IRNazanin"/>
          <w:lang w:bidi="fa-IR"/>
          <w:color w:val="111111"/>
          <w:sz w:val="28"/>
          <w:szCs w:val="28"/>
          <w:rtl/>
        </w:rPr>
        <w:t xml:space="preserve">در فهرست آمده است که این ترجمه به انوری نسبت داده شـده است. همچنین در فهرست رساله پیشین این مجموعه که تبصره ابن سهلان ساوی است به اشتباه جزء نخست این ترجمه دانسته شده است؛ خط: نسخ  ریز، بی کا، تا: ۱۳۴۲ق؛ ۱۱۸گ، ۲۴ سطر،قطع: وزیری ،اندازه: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۲ - ۵۴]</w:t>
      </w:r>
    </w:p>
    <w:p>
      <w:pPr>
        <w:pStyle w:val="BookText"/>
      </w:pPr>
      <w:r>
        <w:rPr>
          <w:rFonts w:ascii="IRNazanin" w:hAnsi="IRNazanin" w:eastAsia="IRNazanin" w:cs="IRNazanin"/>
          <w:lang w:bidi="fa-IR"/>
          <w:color w:val="111111"/>
          <w:sz w:val="28"/>
          <w:szCs w:val="28"/>
          <w:rtl/>
        </w:rPr>
        <w:t xml:space="preserve">تهران؛ دانشگاه؛ شماره نسخه: ۹۲۳/۲-ف</w:t>
      </w:r>
    </w:p>
    <w:p>
      <w:pPr>
        <w:pStyle w:val="BookText"/>
      </w:pPr>
      <w:r>
        <w:rPr>
          <w:rFonts w:ascii="IRNazanin" w:hAnsi="IRNazanin" w:eastAsia="IRNazanin" w:cs="IRNazanin"/>
          <w:lang w:bidi="fa-IR"/>
          <w:color w:val="111111"/>
          <w:sz w:val="28"/>
          <w:szCs w:val="28"/>
          <w:rtl/>
        </w:rPr>
        <w:t xml:space="preserve">نسخه اصل: همان نسخه بالا ترجمه دو بخش طبیعی و الـهی اشارات؛ خط: نسخ، کا: میرزا عبدالخالق محمد على نايینی مصاحبی متخلص به عبرت، تا: دوشنبه ۱۱ محرم ۱۳۴۲ق، برای میرزا علی اکبر خان دهخدا؛ از روی همان نسخه شماره 5 استنساخ شده است [ فیلم ها-ف: ۱ - ۵۵۰]</w:t>
      </w:r>
    </w:p>
    <w:p>
      <w:pPr>
        <w:pStyle w:val="Heading3"/>
      </w:pPr>
      <w:bookmarkStart w:id="1867" w:name="_Toc1389"/>
      <w:r>
        <w:t>الاشارات و التنبيهات (ترجمه) / فلسفه / فارسی</w:t>
      </w:r>
      <w:bookmarkEnd w:id="1867"/>
    </w:p>
    <w:p>
      <w:pPr>
        <w:pStyle w:val="BookText"/>
      </w:pPr>
      <w:r>
        <w:rPr>
          <w:rFonts w:ascii="Times New Roman" w:hAnsi="Times New Roman" w:eastAsia="Times New Roman" w:cs="Times New Roman"/>
          <w:lang w:val="en-US" w:bidi="en-US"/>
          <w:color w:val="111111"/>
          <w:sz w:val="28"/>
          <w:szCs w:val="28"/>
          <w:rtl/>
        </w:rPr>
        <w:t xml:space="preserve">(al-išārāt wa-t tanbīhāt (t.)</w:t>
      </w:r>
    </w:p>
    <w:p>
      <w:pPr>
        <w:pStyle w:val="BookText"/>
      </w:pPr>
      <w:r>
        <w:rPr>
          <w:rFonts w:ascii="Amiri" w:hAnsi="Amiri" w:eastAsia="Amiri" w:cs="Amiri"/>
          <w:lang w:bidi="ar-SA"/>
          <w:color w:val="111111"/>
          <w:sz w:val="28"/>
          <w:szCs w:val="28"/>
          <w:rtl/>
        </w:rPr>
        <w:t xml:space="preserve">ترجم: ابوطيب</w:t>
      </w:r>
    </w:p>
    <w:p>
      <w:pPr>
        <w:pStyle w:val="BookText"/>
      </w:pPr>
      <w:r>
        <w:rPr>
          <w:rFonts w:ascii="Times New Roman" w:hAnsi="Times New Roman" w:eastAsia="Times New Roman" w:cs="Times New Roman"/>
          <w:lang w:val="en-US" w:bidi="en-US"/>
          <w:color w:val="111111"/>
          <w:sz w:val="28"/>
          <w:szCs w:val="28"/>
          <w:rtl/>
        </w:rPr>
        <w:t xml:space="preserve">abu-tayyeb</w:t>
      </w:r>
    </w:p>
    <w:p>
      <w:pPr>
        <w:pStyle w:val="BookText"/>
      </w:pPr>
      <w:r>
        <w:rPr>
          <w:rFonts w:ascii="IRNazanin" w:hAnsi="IRNazanin" w:eastAsia="IRNazanin" w:cs="IRNazanin"/>
          <w:lang w:bidi="fa-IR"/>
          <w:color w:val="111111"/>
          <w:sz w:val="28"/>
          <w:szCs w:val="28"/>
          <w:rtl/>
        </w:rPr>
        <w:t xml:space="preserve">مشهد؛ رضوی؛ شماره نسخه: ۲۴۷۸۵</w:t>
      </w:r>
    </w:p>
    <w:p>
      <w:pPr>
        <w:pStyle w:val="BookText"/>
      </w:pPr>
      <w:r>
        <w:rPr>
          <w:rFonts w:ascii="IRNazanin" w:hAnsi="IRNazanin" w:eastAsia="IRNazanin" w:cs="IRNazanin"/>
          <w:lang w:bidi="fa-IR"/>
          <w:color w:val="111111"/>
          <w:sz w:val="28"/>
          <w:szCs w:val="28"/>
          <w:rtl/>
        </w:rPr>
        <w:t xml:space="preserve">آغاز: بسمله، حمد و سپاس بی حد و نهایت و مدح و ستایش بی عد؛ انجام: اهل آن جمعیت به جملکی مشاهده کرده اند</w:t>
      </w:r>
    </w:p>
    <w:p>
      <w:pPr>
        <w:pStyle w:val="BookText"/>
      </w:pPr>
      <w:r>
        <w:rPr>
          <w:rFonts w:ascii="IRNazanin" w:hAnsi="IRNazanin" w:eastAsia="IRNazanin" w:cs="IRNazanin"/>
          <w:lang w:bidi="fa-IR"/>
          <w:color w:val="111111"/>
          <w:sz w:val="28"/>
          <w:szCs w:val="28"/>
          <w:rtl/>
        </w:rPr>
        <w:t xml:space="preserve">مترجم: ابوطيب. نمط نهم و دهم؛ بی کا، بی تا؛ تملک: حامد حسین محمد قلیخان بهادر؛ وقف نامه: «این کتاب وقف خاص اولاد نمودم محمد قلی»؛ کاغذ: نخودی، جلد: مقوا، قطع: وزیری، اندازه: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۲۳سم [رایانه]</w:t>
      </w:r>
    </w:p>
    <w:p>
      <w:pPr>
        <w:pStyle w:val="Heading3"/>
      </w:pPr>
      <w:bookmarkStart w:id="1868" w:name="_Toc1390"/>
      <w:r>
        <w:t>الاشارات و التنبيهات (ترجمه) / منطق، فلسفه / فارسی</w:t>
      </w:r>
      <w:bookmarkEnd w:id="1868"/>
    </w:p>
    <w:p>
      <w:pPr>
        <w:pStyle w:val="BookText"/>
      </w:pPr>
      <w:r>
        <w:rPr>
          <w:rFonts w:ascii="Times New Roman" w:hAnsi="Times New Roman" w:eastAsia="Times New Roman" w:cs="Times New Roman"/>
          <w:lang w:val="en-US" w:bidi="en-US"/>
          <w:color w:val="111111"/>
          <w:sz w:val="28"/>
          <w:szCs w:val="28"/>
          <w:rtl/>
        </w:rPr>
        <w:t xml:space="preserve">(al-išārāt wa-t tanbīhāt (t.)</w:t>
      </w:r>
    </w:p>
    <w:p>
      <w:pPr>
        <w:pStyle w:val="BookText"/>
      </w:pPr>
      <w:r>
        <w:rPr>
          <w:rFonts w:ascii="IRNazanin" w:hAnsi="IRNazanin" w:eastAsia="IRNazanin" w:cs="IRNazanin"/>
          <w:lang w:bidi="fa-IR"/>
          <w:color w:val="111111"/>
          <w:sz w:val="28"/>
          <w:szCs w:val="28"/>
          <w:rtl/>
        </w:rPr>
        <w:t xml:space="preserve">زاهدی، جعفر ۱۲۹۶ شمسی</w:t>
      </w:r>
    </w:p>
    <w:p>
      <w:pPr>
        <w:pStyle w:val="BookText"/>
      </w:pPr>
      <w:r>
        <w:rPr>
          <w:rFonts w:ascii="Times New Roman" w:hAnsi="Times New Roman" w:eastAsia="Times New Roman" w:cs="Times New Roman"/>
          <w:lang w:val="en-US" w:bidi="en-US"/>
          <w:color w:val="111111"/>
          <w:sz w:val="28"/>
          <w:szCs w:val="28"/>
          <w:rtl/>
        </w:rPr>
        <w:t xml:space="preserve">(-zahedi, jafar (1917 - )</w:t>
      </w:r>
    </w:p>
    <w:p>
      <w:pPr>
        <w:pStyle w:val="BookText"/>
      </w:pPr>
      <w:r>
        <w:rPr>
          <w:rFonts w:ascii="IRNazanin" w:hAnsi="IRNazanin" w:eastAsia="IRNazanin" w:cs="IRNazanin"/>
          <w:lang w:bidi="fa-IR"/>
          <w:color w:val="111111"/>
          <w:sz w:val="28"/>
          <w:szCs w:val="28"/>
          <w:rtl/>
        </w:rPr>
        <w:t xml:space="preserve">وابسته به: الاشارات و التنبيهات؛ ابن سینا، حسین بن عبدالله (۴۲۸-۳۷۰)</w:t>
      </w:r>
    </w:p>
    <w:p>
      <w:pPr>
        <w:pStyle w:val="BookText"/>
      </w:pPr>
      <w:r>
        <w:rPr>
          <w:rFonts w:ascii="IRNazanin" w:hAnsi="IRNazanin" w:eastAsia="IRNazanin" w:cs="IRNazanin"/>
          <w:lang w:bidi="fa-IR"/>
          <w:color w:val="111111"/>
          <w:sz w:val="28"/>
          <w:szCs w:val="28"/>
          <w:rtl/>
        </w:rPr>
        <w:t xml:space="preserve">مشهد؛ رضوی؛ شماره نسخه: ۲۶۱۶۸</w:t>
      </w:r>
    </w:p>
    <w:p>
      <w:pPr>
        <w:pStyle w:val="BookText"/>
      </w:pPr>
      <w:r>
        <w:rPr>
          <w:rFonts w:ascii="IRNazanin" w:hAnsi="IRNazanin" w:eastAsia="IRNazanin" w:cs="IRNazanin"/>
          <w:lang w:bidi="fa-IR"/>
          <w:color w:val="111111"/>
          <w:sz w:val="28"/>
          <w:szCs w:val="28"/>
          <w:rtl/>
        </w:rPr>
        <w:t xml:space="preserve">آغاز: بسمله سبحانک اللهم يا من دل على ذاته بذاته؛ انجام: جميع  معلومات بمبدء و احد اول تبارک و تعالی</w:t>
      </w:r>
    </w:p>
    <w:p>
      <w:pPr>
        <w:pStyle w:val="BookText"/>
      </w:pPr>
      <w:r>
        <w:rPr>
          <w:rFonts w:ascii="IRNazanin" w:hAnsi="IRNazanin" w:eastAsia="IRNazanin" w:cs="IRNazanin"/>
          <w:lang w:bidi="fa-IR"/>
          <w:color w:val="111111"/>
          <w:sz w:val="28"/>
          <w:szCs w:val="28"/>
          <w:rtl/>
        </w:rPr>
        <w:t xml:space="preserve">خط: نستعليق، كاتب - مؤلف، تا: قرن ۱۴؛ ضمیمه نسخه ش  ۲۶۱۶۷ [رایانه ]</w:t>
      </w:r>
    </w:p>
    <w:p>
      <w:pPr>
        <w:pStyle w:val="Heading3"/>
      </w:pPr>
      <w:bookmarkStart w:id="1869" w:name="_Toc1391"/>
      <w:r>
        <w:t>الاشارات و التنبيهات (ترجمه) / فلسفه / فارسی</w:t>
      </w:r>
      <w:bookmarkEnd w:id="1869"/>
    </w:p>
    <w:p>
      <w:pPr>
        <w:pStyle w:val="BookText"/>
      </w:pPr>
      <w:r>
        <w:rPr>
          <w:rFonts w:ascii="Times New Roman" w:hAnsi="Times New Roman" w:eastAsia="Times New Roman" w:cs="Times New Roman"/>
          <w:lang w:val="en-US" w:bidi="en-US"/>
          <w:color w:val="111111"/>
          <w:sz w:val="28"/>
          <w:szCs w:val="28"/>
          <w:rtl/>
        </w:rPr>
        <w:t xml:space="preserve">(al-išārāt wa-t tanbīhāt (t.)</w:t>
      </w:r>
    </w:p>
    <w:p>
      <w:pPr>
        <w:pStyle w:val="BookText"/>
      </w:pPr>
      <w:r>
        <w:rPr>
          <w:rFonts w:ascii="Amiri" w:hAnsi="Amiri" w:eastAsia="Amiri" w:cs="Amiri"/>
          <w:lang w:bidi="ar-SA"/>
          <w:color w:val="111111"/>
          <w:sz w:val="28"/>
          <w:szCs w:val="28"/>
          <w:rtl/>
        </w:rPr>
        <w:t xml:space="preserve">وابسته به: الاشارات والتنبيهات؛ ابن سينا، حسين بن عبدالله  (۴۲۸-۳۷۰)</w:t>
      </w:r>
    </w:p>
    <w:p>
      <w:pPr>
        <w:pStyle w:val="BookText"/>
      </w:pPr>
      <w:r>
        <w:rPr>
          <w:rFonts w:ascii="IRNazanin" w:hAnsi="IRNazanin" w:eastAsia="IRNazanin" w:cs="IRNazanin"/>
          <w:lang w:bidi="fa-IR"/>
          <w:color w:val="111111"/>
          <w:sz w:val="28"/>
          <w:szCs w:val="28"/>
          <w:rtl/>
        </w:rPr>
        <w:t xml:space="preserve">این ترجمه سه نمط پایان اشارت ابن سینا را شامل می شود و گاهی مترجم از خود سخنانی افزوده و در داستان سلامان و آبسال از رازی و طوسی افسانه ها را آورده است. در آن از خواجه طوسی یاد شده و ترجمه تا اندازه ای تازه است و از متاخرین در آن یاد شده است. این ترجمه در شیوایی به پایه ترجمه منسوب به فارسی نمی رسد.</w:t>
      </w:r>
    </w:p>
    <w:p>
      <w:pPr>
        <w:pStyle w:val="BookText"/>
      </w:pPr>
      <w:r>
        <w:rPr>
          <w:rFonts w:ascii="IRNazanin" w:hAnsi="IRNazanin" w:eastAsia="IRNazanin" w:cs="IRNazanin"/>
          <w:lang w:bidi="fa-IR"/>
          <w:color w:val="111111"/>
          <w:sz w:val="28"/>
          <w:szCs w:val="28"/>
          <w:rtl/>
        </w:rPr>
        <w:t xml:space="preserve">آغاز: بسمله. نمط ثامن در بهجت و سعادت بدانکه بهجت در لغت بمعنای سرور و نضرت است و سعادت مقابل شقاوت و مراد از سعادت حالتی است که باشد یا بسهم رسد از برای کسی که صاحب خیر و کمال است از جهت این خیر و كمال... و هم و تنبیه در وجود لذات باطنه</w:t>
      </w:r>
    </w:p>
    <w:p>
      <w:pPr>
        <w:pStyle w:val="BookText"/>
      </w:pPr>
      <w:r>
        <w:rPr>
          <w:rFonts w:ascii="IRNazanin" w:hAnsi="IRNazanin" w:eastAsia="IRNazanin" w:cs="IRNazanin"/>
          <w:lang w:bidi="fa-IR"/>
          <w:color w:val="111111"/>
          <w:sz w:val="28"/>
          <w:szCs w:val="28"/>
          <w:rtl/>
        </w:rPr>
        <w:t xml:space="preserve">انجام: و شیخ بعد از وجود شرایط مذکور امر کرده باحتیاط تمام عقلا و رسماً چنانچه گفته و کتاب بآن ختم کرده است.</w:t>
      </w:r>
    </w:p>
    <w:p>
      <w:pPr>
        <w:pStyle w:val="BookText"/>
      </w:pPr>
      <w:r>
        <w:rPr>
          <w:rFonts w:ascii="IRNazanin" w:hAnsi="IRNazanin" w:eastAsia="IRNazanin" w:cs="IRNazanin"/>
          <w:lang w:bidi="fa-IR"/>
          <w:color w:val="111111"/>
          <w:sz w:val="28"/>
          <w:szCs w:val="28"/>
          <w:rtl/>
        </w:rPr>
        <w:t xml:space="preserve">تهران؛ الهیات؛ شماره نسخه: ۲۵۲/۷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392" w:name="pg20365_260545"/>
    <w:bookmarkEnd w:id="392"/>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اواخر قرن ۱۱؛ کاغذ: فرنگی، جلد: تیماج مشکی  مقوایی، ۲۹گ (۲۴۱پ-۲۶۹ر)۲۴ سطر ،(10</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۲۵/۵سم [ف: ۱۹۱]</w:t>
      </w:r>
    </w:p>
    <w:p>
      <w:pPr>
        <w:pStyle w:val="BookText"/>
      </w:pPr>
      <w:r>
        <w:rPr>
          <w:rFonts w:ascii="IRNazanin" w:hAnsi="IRNazanin" w:eastAsia="IRNazanin" w:cs="IRNazanin"/>
          <w:lang w:bidi="fa-IR"/>
          <w:color w:val="111111"/>
          <w:sz w:val="28"/>
          <w:szCs w:val="28"/>
          <w:rtl/>
        </w:rPr>
        <w:t xml:space="preserve">تهران؛ دانشگاه؛ شماره نسخه: ۸۹۷/۷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بی کا، بی تا؛ ۲۴گ (۱۳۰پ-۱۵۳ر) [ف: ۳ - ۱۹۹]</w:t>
      </w:r>
    </w:p>
    <w:p>
      <w:pPr>
        <w:pStyle w:val="Heading3"/>
      </w:pPr>
      <w:bookmarkStart w:id="1870" w:name="_Toc1392"/>
      <w:r>
        <w:t>الاشارات و النصوص / کلام و اعتقادات / عربی</w:t>
      </w:r>
      <w:bookmarkEnd w:id="1870"/>
    </w:p>
    <w:p>
      <w:pPr>
        <w:pStyle w:val="BookText"/>
      </w:pPr>
      <w:r>
        <w:rPr>
          <w:rFonts w:ascii="Times New Roman" w:hAnsi="Times New Roman" w:eastAsia="Times New Roman" w:cs="Times New Roman"/>
          <w:lang w:val="en-US" w:bidi="en-US"/>
          <w:color w:val="111111"/>
          <w:sz w:val="28"/>
          <w:szCs w:val="28"/>
          <w:rtl/>
        </w:rPr>
        <w:t xml:space="preserve">al-išārāt wa-n-nuṣūṣ</w:t>
      </w:r>
    </w:p>
    <w:p>
      <w:pPr>
        <w:pStyle w:val="BookText"/>
      </w:pPr>
      <w:r>
        <w:rPr>
          <w:rFonts w:ascii="IRNazanin" w:hAnsi="IRNazanin" w:eastAsia="IRNazanin" w:cs="IRNazanin"/>
          <w:lang w:bidi="fa-IR"/>
          <w:color w:val="111111"/>
          <w:sz w:val="28"/>
          <w:szCs w:val="28"/>
          <w:rtl/>
        </w:rPr>
        <w:t xml:space="preserve">چون برخی از مؤمنین در ارتداد و نفاق ائمه کفره امر بر ایشان مشتبه شده بود، مؤلف برخی از نصوص وارده از خاندان عصمت و نبوت را در این رساله مختصر گرد آورد. رساله با عناوين «الاشارة والنص» برگزار شده و از کتاب هایی چـون «کافی»،«احتجاج»، «المحاسن والجوامع» و جز آن نقل کرده</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قم؛ مسجد اعظم؛ شماره نسخه: ۸۳۲/۱</w:t>
      </w:r>
    </w:p>
    <w:p>
      <w:pPr>
        <w:pStyle w:val="BookText"/>
      </w:pPr>
      <w:r>
        <w:rPr>
          <w:rFonts w:ascii="IRNazanin" w:hAnsi="IRNazanin" w:eastAsia="IRNazanin" w:cs="IRNazanin"/>
          <w:lang w:bidi="fa-IR"/>
          <w:color w:val="111111"/>
          <w:sz w:val="28"/>
          <w:szCs w:val="28"/>
          <w:rtl/>
        </w:rPr>
        <w:t xml:space="preserve">آغاز: الحمد لله الذى اصفطفانا من الامم من امة محمد المصطفی ومن المتمسكين بالتمسك بذرية وصيه على المرتضى و صلى الله عليهم صلاة دائمة لا تعد ولا تحصى وبعد فهذه نصوص مختصره فى ابطال ائمة الكفرة؛ انجام: فلما قضى الامر الى امير المؤمـنین عليه السلام سار اليه فكان معه حتى قدم العراق فلما اصیب امير المؤمنين عليه السلام صار الى خراسان منزلها و بث هناك الی ان مات رحمة الله قال حذيفة فالقائل الذى لو فقدنا محمداً لـکان قوله تحت اقدامنا عمر و المجيب ابوبكر</w:t>
      </w:r>
    </w:p>
    <w:p>
      <w:pPr>
        <w:pStyle w:val="BookText"/>
      </w:pPr>
      <w:r>
        <w:rPr>
          <w:rFonts w:ascii="IRNazanin" w:hAnsi="IRNazanin" w:eastAsia="IRNazanin" w:cs="IRNazanin"/>
          <w:lang w:bidi="fa-IR"/>
          <w:color w:val="111111"/>
          <w:sz w:val="28"/>
          <w:szCs w:val="28"/>
          <w:rtl/>
        </w:rPr>
        <w:t xml:space="preserve">خط: نسخ، بی کا، بی تا؛ جلد: گالینگور سبز عطف تیماج زرشکـی، ۲۷گ،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مخ: ۱ -۱۵۴]</w:t>
      </w:r>
    </w:p>
    <w:p>
      <w:pPr>
        <w:pStyle w:val="BookText"/>
      </w:pPr>
      <w:r>
        <w:rPr>
          <w:rFonts w:ascii="Amiri" w:hAnsi="Amiri" w:eastAsia="Amiri" w:cs="Amiri"/>
          <w:lang w:bidi="ar-SA"/>
          <w:color w:val="111111"/>
          <w:sz w:val="28"/>
          <w:szCs w:val="28"/>
          <w:rtl/>
        </w:rPr>
        <w:t xml:space="preserve">«اشاراتيه » اشارتيه</w:t>
      </w:r>
    </w:p>
    <w:p>
      <w:pPr>
        <w:pStyle w:val="Heading3"/>
      </w:pPr>
      <w:bookmarkStart w:id="1871" w:name="_Toc1393"/>
      <w:r>
        <w:t>الاشارة الى علم المنطق = الاشارة في المنطق  = تعاليق المنطق / منطق / عربي</w:t>
      </w:r>
      <w:bookmarkEnd w:id="1871"/>
    </w:p>
    <w:p>
      <w:pPr>
        <w:pStyle w:val="BookText"/>
      </w:pPr>
      <w:r>
        <w:rPr>
          <w:rFonts w:ascii="Times New Roman" w:hAnsi="Times New Roman" w:eastAsia="Times New Roman" w:cs="Times New Roman"/>
          <w:lang w:val="en-US" w:bidi="en-US"/>
          <w:color w:val="111111"/>
          <w:sz w:val="28"/>
          <w:szCs w:val="28"/>
          <w:rtl/>
        </w:rPr>
        <w:t xml:space="preserve">al-išāra ilā ‘ilm-il manṭiq = al-išāra fi-l manṭiq =</w:t>
      </w:r>
    </w:p>
    <w:p>
      <w:pPr>
        <w:pStyle w:val="BookText"/>
      </w:pPr>
      <w:r>
        <w:rPr>
          <w:rFonts w:ascii="Times New Roman" w:hAnsi="Times New Roman" w:eastAsia="Times New Roman" w:cs="Times New Roman"/>
          <w:lang w:val="en-US" w:bidi="en-US"/>
          <w:color w:val="111111"/>
          <w:sz w:val="28"/>
          <w:szCs w:val="28"/>
          <w:rtl/>
        </w:rPr>
        <w:t xml:space="preserve">ta‘ālīq-ul manṭiq</w:t>
      </w:r>
    </w:p>
    <w:p>
      <w:pPr>
        <w:pStyle w:val="BookText"/>
      </w:pPr>
      <w:r>
        <w:rPr>
          <w:rFonts w:ascii="IRNazanin" w:hAnsi="IRNazanin" w:eastAsia="IRNazanin" w:cs="IRNazanin"/>
          <w:lang w:bidi="fa-IR"/>
          <w:color w:val="111111"/>
          <w:sz w:val="28"/>
          <w:szCs w:val="28"/>
          <w:rtl/>
        </w:rPr>
        <w:t xml:space="preserve">ابن سینا، حسین بن عبد الله، ۳۷۰؟ - ۴۲۸ قمری</w:t>
      </w:r>
    </w:p>
    <w:p>
      <w:pPr>
        <w:pStyle w:val="BookText"/>
      </w:pPr>
      <w:r>
        <w:rPr>
          <w:rFonts w:ascii="Times New Roman" w:hAnsi="Times New Roman" w:eastAsia="Times New Roman" w:cs="Times New Roman"/>
          <w:lang w:val="en-US" w:bidi="en-US"/>
          <w:color w:val="111111"/>
          <w:sz w:val="28"/>
          <w:szCs w:val="28"/>
          <w:rtl/>
        </w:rPr>
        <w:t xml:space="preserve">(ebn-e sīnā, hoseyn ebn-e ‘abd-ol-lāh (981 - 1038)</w:t>
      </w:r>
    </w:p>
    <w:p>
      <w:pPr>
        <w:pStyle w:val="BookText"/>
      </w:pPr>
      <w:r>
        <w:rPr>
          <w:rFonts w:ascii="IRNazanin" w:hAnsi="IRNazanin" w:eastAsia="IRNazanin" w:cs="IRNazanin"/>
          <w:lang w:bidi="fa-IR"/>
          <w:color w:val="111111"/>
          <w:sz w:val="28"/>
          <w:szCs w:val="28"/>
          <w:rtl/>
        </w:rPr>
        <w:t xml:space="preserve">در تعریف منطق و فائده آن گرفته شده ازیکی از کتابهـای وى.</w:t>
      </w:r>
    </w:p>
    <w:p>
      <w:pPr>
        <w:pStyle w:val="BookText"/>
      </w:pPr>
      <w:r>
        <w:rPr>
          <w:rFonts w:ascii="Amiri" w:hAnsi="Amiri" w:eastAsia="Amiri" w:cs="Amiri"/>
          <w:lang w:bidi="ar-SA"/>
          <w:color w:val="111111"/>
          <w:sz w:val="28"/>
          <w:szCs w:val="28"/>
          <w:rtl/>
        </w:rPr>
        <w:t xml:space="preserve">آغاز: قال الشيخ صناعة المنطق تسدد الانسان نحو طريق الصواب في كل مطلوب و تعصمه الغلط</w:t>
      </w:r>
    </w:p>
    <w:p>
      <w:pPr>
        <w:pStyle w:val="BookText"/>
      </w:pPr>
      <w:r>
        <w:rPr>
          <w:rFonts w:ascii="Amiri" w:hAnsi="Amiri" w:eastAsia="Amiri" w:cs="Amiri"/>
          <w:lang w:bidi="ar-SA"/>
          <w:color w:val="111111"/>
          <w:sz w:val="28"/>
          <w:szCs w:val="28"/>
          <w:rtl/>
        </w:rPr>
        <w:t xml:space="preserve">انجام: و اذا كان بنوعه أو عروضة بالحقيقة لا يحسب الشهرة واغلب الظن فكل ميسر لما خلق له. تمت تعاليق المنطق لابى على</w:t>
      </w:r>
    </w:p>
    <w:p>
      <w:pPr>
        <w:pStyle w:val="BookText"/>
      </w:pPr>
      <w:r>
        <w:rPr>
          <w:rFonts w:ascii="IRNazanin" w:hAnsi="IRNazanin" w:eastAsia="IRNazanin" w:cs="IRNazanin"/>
          <w:lang w:bidi="fa-IR"/>
          <w:color w:val="111111"/>
          <w:sz w:val="28"/>
          <w:szCs w:val="28"/>
          <w:rtl/>
        </w:rPr>
        <w:t xml:space="preserve">[دنا ۸۴۲/۱؛ مجمع العلمی ۲۴۸/۳  ]</w:t>
      </w:r>
    </w:p>
    <w:p>
      <w:pPr>
        <w:pStyle w:val="BookText"/>
      </w:pPr>
      <w:r>
        <w:rPr>
          <w:rFonts w:ascii="IRNazanin" w:hAnsi="IRNazanin" w:eastAsia="IRNazanin" w:cs="IRNazanin"/>
          <w:lang w:bidi="fa-IR"/>
          <w:color w:val="111111"/>
          <w:sz w:val="28"/>
          <w:szCs w:val="28"/>
          <w:rtl/>
        </w:rPr>
        <w:t xml:space="preserve">۱. تهران؛ دانشگاه؛ شماره نسخه: ۱۱۹۰/۹-ف</w:t>
      </w:r>
    </w:p>
    <w:p>
      <w:pPr>
        <w:pStyle w:val="BookText"/>
      </w:pPr>
      <w:r>
        <w:rPr>
          <w:rFonts w:ascii="IRNazanin" w:hAnsi="IRNazanin" w:eastAsia="IRNazanin" w:cs="IRNazanin"/>
          <w:lang w:bidi="fa-IR"/>
          <w:color w:val="111111"/>
          <w:sz w:val="28"/>
          <w:szCs w:val="28"/>
          <w:rtl/>
        </w:rPr>
        <w:t xml:space="preserve">نسخه اصل: ایاصوفیا ۴۸۴۹؛ بی کا، تا: قرن ۷؛ مقابله شده در ۶۹۷ ق؛ ۳گ (۳۱ پ- ۳۳ ر) [ فیلم ها -ف: ۱ - ۵۷۶]</w:t>
      </w:r>
    </w:p>
    <w:p>
      <w:pPr>
        <w:pStyle w:val="BookText"/>
      </w:pPr>
      <w:r>
        <w:rPr>
          <w:rFonts w:ascii="IRNazanin" w:hAnsi="IRNazanin" w:eastAsia="IRNazanin" w:cs="IRNazanin"/>
          <w:lang w:bidi="fa-IR"/>
          <w:color w:val="111111"/>
          <w:sz w:val="28"/>
          <w:szCs w:val="28"/>
          <w:rtl/>
        </w:rPr>
        <w:t xml:space="preserve">تهران؛ دائرة المعارف؛ شماره نسخه: ۳۵۹/۷-عکسی</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نسخه اصل: همان نسخه اصل بالا :[ف ۲ - ۲۴  ]</w:t>
      </w:r>
    </w:p>
    <w:p>
      <w:pPr>
        <w:pStyle w:val="BookText"/>
      </w:pPr>
      <w:r>
        <w:rPr>
          <w:rFonts w:ascii="IRNazanin" w:hAnsi="IRNazanin" w:eastAsia="IRNazanin" w:cs="IRNazanin"/>
          <w:lang w:bidi="fa-IR"/>
          <w:color w:val="111111"/>
          <w:sz w:val="28"/>
          <w:szCs w:val="28"/>
          <w:rtl/>
        </w:rPr>
        <w:t xml:space="preserve">تهران؛ دائرة المعارف؛ شماره نسخه ۳۷۱/۷ عکسی و ۴۳۷/۷-عکسی</w:t>
      </w:r>
    </w:p>
    <w:p>
      <w:pPr>
        <w:pStyle w:val="BookText"/>
      </w:pPr>
      <w:r>
        <w:rPr>
          <w:rFonts w:ascii="IRNazanin" w:hAnsi="IRNazanin" w:eastAsia="IRNazanin" w:cs="IRNazanin"/>
          <w:lang w:bidi="fa-IR"/>
          <w:color w:val="111111"/>
          <w:sz w:val="28"/>
          <w:szCs w:val="28"/>
          <w:rtl/>
        </w:rPr>
        <w:t xml:space="preserve">نسخه اصل: همان نسخه اصل بالا [ف: ۲ - ۲۴]</w:t>
      </w:r>
    </w:p>
    <w:p>
      <w:pPr>
        <w:pStyle w:val="BookText"/>
      </w:pPr>
      <w:r>
        <w:rPr>
          <w:rFonts w:ascii="IRNazanin" w:hAnsi="IRNazanin" w:eastAsia="IRNazanin" w:cs="IRNazanin"/>
          <w:lang w:bidi="fa-IR"/>
          <w:color w:val="111111"/>
          <w:sz w:val="28"/>
          <w:szCs w:val="28"/>
          <w:rtl/>
        </w:rPr>
        <w:t xml:space="preserve">۲. قم؛ مرعشی؛ شماره نسخه: ۱۴۵۷۶/۲۴</w:t>
      </w:r>
    </w:p>
    <w:p>
      <w:pPr>
        <w:pStyle w:val="BookText"/>
      </w:pPr>
      <w:r>
        <w:rPr>
          <w:rFonts w:ascii="Amiri" w:hAnsi="Amiri" w:eastAsia="Amiri" w:cs="Amiri"/>
          <w:lang w:bidi="ar-SA"/>
          <w:color w:val="111111"/>
          <w:sz w:val="28"/>
          <w:szCs w:val="28"/>
          <w:rtl/>
        </w:rPr>
        <w:t xml:space="preserve">آغاز: برابر؛ انجام: ثم اذا لم يمش كأن يكون لا بالضرورة فكان الأمر الضروى يزول و هذا محال</w:t>
      </w:r>
    </w:p>
    <w:p>
      <w:pPr>
        <w:pStyle w:val="BookText"/>
      </w:pPr>
      <w:r>
        <w:rPr>
          <w:rFonts w:ascii="IRNazanin" w:hAnsi="IRNazanin" w:eastAsia="IRNazanin" w:cs="IRNazanin"/>
          <w:lang w:bidi="fa-IR"/>
          <w:color w:val="111111"/>
          <w:sz w:val="28"/>
          <w:szCs w:val="28"/>
          <w:rtl/>
        </w:rPr>
        <w:t xml:space="preserve">خط: نستعلیق، بی کا، تا: قرن ۱۰ ؛کاغذ: شرقی نخودی، ۳گ (۲۱۰ پ -۲۱۲ر)، سطور چلیپا ،اندازه: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۱۵/۵سم [ف: ۳۶ - ۶۳۰]</w:t>
      </w:r>
    </w:p>
    <w:p>
      <w:pPr>
        <w:pStyle w:val="BookText"/>
      </w:pPr>
      <w:r>
        <w:rPr>
          <w:rFonts w:ascii="IRNazanin" w:hAnsi="IRNazanin" w:eastAsia="IRNazanin" w:cs="IRNazanin"/>
          <w:lang w:bidi="fa-IR"/>
          <w:color w:val="111111"/>
          <w:sz w:val="28"/>
          <w:szCs w:val="28"/>
          <w:rtl/>
        </w:rPr>
        <w:t xml:space="preserve">3.قم؛ مرعشی؛ شماره نسخه: ۵۱۰۱/۴</w:t>
      </w:r>
    </w:p>
    <w:p>
      <w:pPr>
        <w:pStyle w:val="BookText"/>
      </w:pPr>
      <w:r>
        <w:rPr>
          <w:rFonts w:ascii="Amiri" w:hAnsi="Amiri" w:eastAsia="Amiri" w:cs="Amiri"/>
          <w:lang w:bidi="ar-SA"/>
          <w:color w:val="111111"/>
          <w:sz w:val="28"/>
          <w:szCs w:val="28"/>
          <w:rtl/>
        </w:rPr>
        <w:t xml:space="preserve">آغاز: برابر؛ انجام: ثم اذا لم يمش كأن يكون لا بالفرس .... و لا من الضرورى يزول و هذا محال</w:t>
      </w:r>
    </w:p>
    <w:p>
      <w:pPr>
        <w:pStyle w:val="BookText"/>
      </w:pPr>
      <w:r>
        <w:rPr>
          <w:rFonts w:ascii="IRNazanin" w:hAnsi="IRNazanin" w:eastAsia="IRNazanin" w:cs="IRNazanin"/>
          <w:lang w:bidi="fa-IR"/>
          <w:color w:val="111111"/>
          <w:sz w:val="28"/>
          <w:szCs w:val="28"/>
          <w:rtl/>
        </w:rPr>
        <w:t xml:space="preserve">خط: نستعلیق، کا: محمد باقر بن محمد تقی (علامه مجلسی)، تا: ۱۰۵۷ق؛ جلد: تیماج قهوه ای بدون مقوا، ۵گ (۱۷پ-۲۱ر)، اندازه: ۱۰</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۱۷سم [ف: ۱۳ - ۳۰۴]</w:t>
      </w:r>
    </w:p>
    <w:p>
      <w:pPr>
        <w:pStyle w:val="Heading3"/>
      </w:pPr>
      <w:bookmarkStart w:id="1872" w:name="_Toc1394"/>
      <w:r>
        <w:t>الاشارة الى ما فى شرح رسالة الدراية من الفوائد و  المطالب / عربي</w:t>
      </w:r>
      <w:bookmarkEnd w:id="1872"/>
    </w:p>
    <w:p>
      <w:pPr>
        <w:pStyle w:val="BookText"/>
      </w:pPr>
      <w:r>
        <w:rPr>
          <w:rFonts w:ascii="Times New Roman" w:hAnsi="Times New Roman" w:eastAsia="Times New Roman" w:cs="Times New Roman"/>
          <w:lang w:val="en-US" w:bidi="en-US"/>
          <w:color w:val="111111"/>
          <w:sz w:val="28"/>
          <w:szCs w:val="28"/>
          <w:rtl/>
        </w:rPr>
        <w:t xml:space="preserve">al-išāra ilā mā fi š.-i r.-id dirāya min-al fawa'id w-al</w:t>
      </w:r>
    </w:p>
    <w:p>
      <w:pPr>
        <w:pStyle w:val="BookText"/>
      </w:pPr>
      <w:r>
        <w:rPr>
          <w:rFonts w:ascii="Times New Roman" w:hAnsi="Times New Roman" w:eastAsia="Times New Roman" w:cs="Times New Roman"/>
          <w:lang w:val="en-US" w:bidi="en-US"/>
          <w:color w:val="111111"/>
          <w:sz w:val="28"/>
          <w:szCs w:val="28"/>
          <w:rtl/>
        </w:rPr>
        <w:t xml:space="preserve">maṭālib</w:t>
      </w:r>
    </w:p>
    <w:p>
      <w:pPr>
        <w:pStyle w:val="BookText"/>
      </w:pPr>
      <w:r>
        <w:rPr>
          <w:rFonts w:ascii="IRNazanin" w:hAnsi="IRNazanin" w:eastAsia="IRNazanin" w:cs="IRNazanin"/>
          <w:lang w:bidi="fa-IR"/>
          <w:color w:val="111111"/>
          <w:sz w:val="28"/>
          <w:szCs w:val="28"/>
          <w:rtl/>
        </w:rPr>
        <w:t xml:space="preserve">؟ دانش تبریزی، لطفعلی بن محمد کاظم، ۱۲۶۸ ۱۳۵۰ قمری</w:t>
      </w:r>
    </w:p>
    <w:p>
      <w:pPr>
        <w:pStyle w:val="BookText"/>
      </w:pPr>
      <w:r>
        <w:rPr>
          <w:rFonts w:ascii="Times New Roman" w:hAnsi="Times New Roman" w:eastAsia="Times New Roman" w:cs="Times New Roman"/>
          <w:lang w:val="en-US" w:bidi="en-US"/>
          <w:color w:val="111111"/>
          <w:sz w:val="28"/>
          <w:szCs w:val="28"/>
          <w:rtl/>
        </w:rPr>
        <w:t xml:space="preserve">dāneš-e tabrīzī, lotf-'alī ebn-e mohammad kāzem</w:t>
      </w:r>
    </w:p>
    <w:p>
      <w:pPr>
        <w:pStyle w:val="BookText"/>
      </w:pPr>
      <w:r>
        <w:rPr>
          <w:rFonts w:ascii="Times New Roman" w:hAnsi="Times New Roman" w:eastAsia="Times New Roman" w:cs="Times New Roman"/>
          <w:lang w:val="en-US" w:bidi="en-US"/>
          <w:color w:val="111111"/>
          <w:sz w:val="28"/>
          <w:szCs w:val="28"/>
          <w:rtl/>
        </w:rPr>
        <w:t xml:space="preserve">(1852 - 1932)</w:t>
      </w:r>
    </w:p>
    <w:p>
      <w:pPr>
        <w:pStyle w:val="BookText"/>
      </w:pPr>
      <w:r>
        <w:rPr>
          <w:rFonts w:ascii="IRNazanin" w:hAnsi="IRNazanin" w:eastAsia="IRNazanin" w:cs="IRNazanin"/>
          <w:lang w:bidi="fa-IR"/>
          <w:color w:val="111111"/>
          <w:sz w:val="28"/>
          <w:szCs w:val="28"/>
          <w:rtl/>
        </w:rPr>
        <w:t xml:space="preserve">قم؛ مرعشی؛ شماره نسخه: ۱۵۵۴/۱۱عکسی</w:t>
      </w:r>
    </w:p>
    <w:p>
      <w:pPr>
        <w:pStyle w:val="BookText"/>
      </w:pPr>
      <w:r>
        <w:rPr>
          <w:rFonts w:ascii="IRNazanin" w:hAnsi="IRNazanin" w:eastAsia="IRNazanin" w:cs="IRNazanin"/>
          <w:lang w:bidi="fa-IR"/>
          <w:color w:val="111111"/>
          <w:sz w:val="28"/>
          <w:szCs w:val="28"/>
          <w:rtl/>
        </w:rPr>
        <w:t xml:space="preserve">نسخه اصل: کتابخانه فخرالدین نصیری امینی در تهران؛ خط: نسخ و نستعلیق، بی کا، بی تا؛ ۳ص (۸۷-۸۹)، ۱۷ سطر [عکسی ف: ۴-۴۸۱]</w:t>
      </w:r>
    </w:p>
    <w:p>
      <w:pPr>
        <w:pStyle w:val="Heading3"/>
      </w:pPr>
      <w:bookmarkStart w:id="1873" w:name="_Toc1395"/>
      <w:r>
        <w:t>اشارة التدهين للتزيين على وجه اليقين / فقه / عربی</w:t>
      </w:r>
      <w:bookmarkEnd w:id="1873"/>
    </w:p>
    <w:p>
      <w:pPr>
        <w:pStyle w:val="BookText"/>
      </w:pPr>
      <w:r>
        <w:rPr>
          <w:rFonts w:ascii="Times New Roman" w:hAnsi="Times New Roman" w:eastAsia="Times New Roman" w:cs="Times New Roman"/>
          <w:lang w:val="en-US" w:bidi="en-US"/>
          <w:color w:val="111111"/>
          <w:sz w:val="28"/>
          <w:szCs w:val="28"/>
          <w:rtl/>
        </w:rPr>
        <w:t xml:space="preserve">išārat-ut tadhīn li-t-tazyīn ‘alā wajh-il yaqīn</w:t>
      </w:r>
    </w:p>
    <w:p>
      <w:pPr>
        <w:pStyle w:val="BookText"/>
      </w:pPr>
      <w:r>
        <w:rPr>
          <w:rFonts w:ascii="IRNazanin" w:hAnsi="IRNazanin" w:eastAsia="IRNazanin" w:cs="IRNazanin"/>
          <w:lang w:bidi="fa-IR"/>
          <w:color w:val="111111"/>
          <w:sz w:val="28"/>
          <w:szCs w:val="28"/>
          <w:rtl/>
        </w:rPr>
        <w:t xml:space="preserve">قاری  هروی، علی بن سلطان محمد ، – ۱۰۱۴ قمری</w:t>
      </w:r>
    </w:p>
    <w:p>
      <w:pPr>
        <w:pStyle w:val="BookText"/>
      </w:pPr>
      <w:r>
        <w:rPr>
          <w:rFonts w:ascii="IRNazanin" w:hAnsi="IRNazanin" w:eastAsia="IRNazanin" w:cs="IRNazanin"/>
          <w:lang w:bidi="fa-IR"/>
          <w:color w:val="111111"/>
          <w:sz w:val="28"/>
          <w:szCs w:val="28"/>
          <w:rtl/>
        </w:rPr>
        <w:t xml:space="preserve">رساله استدلالی مختصری است در بیان اثبات مسئله اشاره با انگشت سبابه در حالت تشهد نماز با استناد روايات مذهب اهل سنت ظاهراً مختصر «تزیین العبارة» وی می باشد.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393" w:name="pg20365_260546"/>
    <w:bookmarkEnd w:id="393"/>
    <w:p>
      <w:pPr>
        <w:pStyle w:val="BookText"/>
      </w:pPr>
      <w:r>
        <w:rPr>
          <w:rFonts w:ascii="IRNazanin" w:hAnsi="IRNazanin" w:eastAsia="IRNazanin" w:cs="IRNazanin"/>
          <w:lang w:bidi="fa-IR"/>
          <w:color w:val="111111"/>
          <w:sz w:val="28"/>
          <w:szCs w:val="28"/>
          <w:rtl/>
        </w:rPr>
        <w:t xml:space="preserve">مشهد؛رضوی؛ شماره نسخه: ۲۲۱۲۴</w:t>
      </w:r>
    </w:p>
    <w:p>
      <w:pPr>
        <w:pStyle w:val="BookText"/>
      </w:pPr>
      <w:r>
        <w:rPr>
          <w:rFonts w:ascii="IRNazanin" w:hAnsi="IRNazanin" w:eastAsia="IRNazanin" w:cs="IRNazanin"/>
          <w:lang w:bidi="fa-IR"/>
          <w:color w:val="111111"/>
          <w:sz w:val="28"/>
          <w:szCs w:val="28"/>
          <w:rtl/>
        </w:rPr>
        <w:t xml:space="preserve">آغاز: بسمله. الحمد لله الذي دل على الخير و هدى و امر بما فیه صلاح الامر و عن ضده قد نهى و الصلوة والسلام على؛ انجـام: فعليك بمتابعة السنة و الاقتداء برواية الائمة و ایاک و النظر خلف المخلف ... ختم لنا بالحسنى و بلغنا المقام الاسنى</w:t>
      </w:r>
    </w:p>
    <w:p>
      <w:pPr>
        <w:pStyle w:val="BookText"/>
      </w:pPr>
      <w:r>
        <w:rPr>
          <w:rFonts w:ascii="IRNazanin" w:hAnsi="IRNazanin" w:eastAsia="IRNazanin" w:cs="IRNazanin"/>
          <w:lang w:bidi="fa-IR"/>
          <w:color w:val="111111"/>
          <w:sz w:val="28"/>
          <w:szCs w:val="28"/>
          <w:rtl/>
        </w:rPr>
        <w:t xml:space="preserve">خط: نسخ، کا: شیخ محمد امین صدیقی، تا: ۱۰۱۲ق، جا: احـمد آباد؛ مصحح اهدایی: رهبری؛ فروردین ۱۳۷۴؛ کاغذ: نخودی آهار مهره، جلد: مقوا با روکش مشمع با عطف و گوشه میشن قهوه ای، ۴گ، ۱۹سطر،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۲۳/۵سم [اهدائی رهبری: 2اخبار ١ - ١٠٢]</w:t>
      </w:r>
    </w:p>
    <w:p>
      <w:pPr>
        <w:pStyle w:val="Heading3"/>
      </w:pPr>
      <w:bookmarkStart w:id="1874" w:name="_Toc1396"/>
      <w:r>
        <w:t>اشارة السبق الى معرفة الحق فی اصول الدین و فروعه العبادية / فقه / عربي</w:t>
      </w:r>
      <w:bookmarkEnd w:id="1874"/>
    </w:p>
    <w:p>
      <w:pPr>
        <w:pStyle w:val="BookText"/>
      </w:pPr>
      <w:r>
        <w:rPr>
          <w:rFonts w:ascii="Times New Roman" w:hAnsi="Times New Roman" w:eastAsia="Times New Roman" w:cs="Times New Roman"/>
          <w:lang w:val="en-US" w:bidi="en-US"/>
          <w:color w:val="111111"/>
          <w:sz w:val="28"/>
          <w:szCs w:val="28"/>
          <w:rtl/>
        </w:rPr>
        <w:t xml:space="preserve">išārat-us sabaq ilā ma‘rifat-il ḥaqq fī usūl-id dīn wa</w:t>
      </w:r>
    </w:p>
    <w:p>
      <w:pPr>
        <w:pStyle w:val="BookText"/>
      </w:pPr>
      <w:r>
        <w:rPr>
          <w:rFonts w:ascii="Times New Roman" w:hAnsi="Times New Roman" w:eastAsia="Times New Roman" w:cs="Times New Roman"/>
          <w:lang w:val="en-US" w:bidi="en-US"/>
          <w:color w:val="111111"/>
          <w:sz w:val="28"/>
          <w:szCs w:val="28"/>
          <w:rtl/>
        </w:rPr>
        <w:t xml:space="preserve">furū‘-i-hi-l ‘ibādīya</w:t>
      </w:r>
    </w:p>
    <w:p>
      <w:pPr>
        <w:pStyle w:val="BookText"/>
      </w:pPr>
      <w:r>
        <w:rPr>
          <w:rFonts w:ascii="IRNazanin" w:hAnsi="IRNazanin" w:eastAsia="IRNazanin" w:cs="IRNazanin"/>
          <w:lang w:bidi="fa-IR"/>
          <w:color w:val="111111"/>
          <w:sz w:val="28"/>
          <w:szCs w:val="28"/>
          <w:rtl/>
        </w:rPr>
        <w:t xml:space="preserve">حلبی، علی بن حسن، ق۵ قمری</w:t>
      </w:r>
    </w:p>
    <w:p>
      <w:pPr>
        <w:pStyle w:val="BookText"/>
      </w:pPr>
      <w:r>
        <w:rPr>
          <w:rFonts w:ascii="Times New Roman" w:hAnsi="Times New Roman" w:eastAsia="Times New Roman" w:cs="Times New Roman"/>
          <w:lang w:val="en-US" w:bidi="en-US"/>
          <w:color w:val="111111"/>
          <w:sz w:val="28"/>
          <w:szCs w:val="28"/>
          <w:rtl/>
        </w:rPr>
        <w:t xml:space="preserve">(halabī, ‘alī ebn-e hasan (- 11c)</w:t>
      </w:r>
    </w:p>
    <w:p>
      <w:pPr>
        <w:pStyle w:val="BookText"/>
      </w:pPr>
      <w:r>
        <w:rPr>
          <w:rFonts w:ascii="IRNazanin" w:hAnsi="IRNazanin" w:eastAsia="IRNazanin" w:cs="IRNazanin"/>
          <w:lang w:bidi="fa-IR"/>
          <w:color w:val="111111"/>
          <w:sz w:val="28"/>
          <w:szCs w:val="28"/>
          <w:rtl/>
        </w:rPr>
        <w:t xml:space="preserve">این کتاب، در دو بخش اصول و فروع، به عنوان ارکان تکلیف عقلی (توحید ،عدل نبوت و امامت) و ارکان تکلیف شرعی (صلات، زکات، صوم، حج و جهاد) تنظیم شده است. این کتاب در مباحث اصول استدلالی و در مسایل شرعی فتوایی می باشد. نسخه ای از آن نزد فاضل هندی (۱۰۶۲-۱۱۳۷ق) بوده که در «کشف اللثام» به عنوان «اشارة» فراوان از آن نقل کرده  است. شیخ اسدالله تستری (1186- 1237ق) در «مقابس الانوار» نقل کرده است. نسخه از این کتاب را که تاریخ کتابت آن ۷۰۸ق بوده دیده و داشته است.</w:t>
      </w:r>
    </w:p>
    <w:p>
      <w:pPr>
        <w:pStyle w:val="BookText"/>
      </w:pPr>
      <w:r>
        <w:rPr>
          <w:rFonts w:ascii="IRNazanin" w:hAnsi="IRNazanin" w:eastAsia="IRNazanin" w:cs="IRNazanin"/>
          <w:lang w:bidi="fa-IR"/>
          <w:color w:val="111111"/>
          <w:sz w:val="28"/>
          <w:szCs w:val="28"/>
          <w:rtl/>
        </w:rPr>
        <w:t xml:space="preserve">آغاز: بسمله. الحمد لله على ما عم من نعمه و خص من عوارف جوده و کرمه ... و بعد فقد اشرت الى تحرير ما يجب اعتقـاده عقلا و العمل به شرعا ... ان الذى يجـب اعتقاده  من  الارکان الاربعة التى هى التوحيد و العدل و النبوة والامامة هو ما یعم تكليفه و لايسع جهله مما جملته كافية اهل الجمل دون النظار  و اهل التفاصيل</w:t>
      </w:r>
    </w:p>
    <w:p>
      <w:pPr>
        <w:pStyle w:val="BookText"/>
      </w:pPr>
      <w:r>
        <w:rPr>
          <w:rFonts w:ascii="IRNazanin" w:hAnsi="IRNazanin" w:eastAsia="IRNazanin" w:cs="IRNazanin"/>
          <w:lang w:bidi="fa-IR"/>
          <w:color w:val="111111"/>
          <w:sz w:val="28"/>
          <w:szCs w:val="28"/>
          <w:rtl/>
        </w:rPr>
        <w:t xml:space="preserve">انجام: و هذا ما قصدنا تحريره و ضبطه من مهم الاركان ..  و نرجو من كرم الله سبحانه ان يجعل ما نحوناه و اثبتناه  من ذلک خالصا لمرضاته و سبيلا الى توفير المثوبة والاجر فى جناته و عونا لكل من استعان به على طاعاته انه ولى من اعتصم به ولـجأ الیه و کافی من توكل في جميع اموره علیه. به توفیق نیل المستنيل و هو حسبى و نعم الوكيل. تم الكتاب بعون الله وتوفيقه.</w:t>
      </w:r>
    </w:p>
    <w:p>
      <w:pPr>
        <w:pStyle w:val="BookText"/>
      </w:pPr>
      <w:r>
        <w:rPr>
          <w:rFonts w:ascii="IRNazanin" w:hAnsi="IRNazanin" w:eastAsia="IRNazanin" w:cs="IRNazanin"/>
          <w:lang w:bidi="fa-IR"/>
          <w:color w:val="111111"/>
          <w:sz w:val="28"/>
          <w:szCs w:val="28"/>
          <w:rtl/>
        </w:rPr>
        <w:t xml:space="preserve">چاپ: ضمن الجوامع الفقهية ،تهران  سنگی، ۱۲۷۶ق، رحلی، ۲۷ص؛ با تحقیق ابراهيم بهادری ،قم، انتشارات جامعه مدرسین حوزه علمیه ۱۴۱</w:t>
      </w:r>
    </w:p>
    <w:p>
      <w:pPr>
        <w:pStyle w:val="BookText"/>
      </w:pPr>
      <w:r>
        <w:rPr>
          <w:rFonts w:ascii="IRNazanin" w:hAnsi="IRNazanin" w:eastAsia="IRNazanin" w:cs="IRNazanin"/>
          <w:lang w:bidi="fa-IR"/>
          <w:color w:val="111111"/>
          <w:sz w:val="28"/>
          <w:szCs w:val="28"/>
          <w:rtl/>
        </w:rPr>
        <w:t xml:space="preserve">[الذریعه ٩٩:٢ روضات الجنات ۱۲۹ و ۵۱۶؛ دنا ۸۴۲/۱-۸۴۳؛ مشار عـربی ص   ۵۹]</w:t>
      </w:r>
    </w:p>
    <w:p>
      <w:pPr>
        <w:pStyle w:val="BookText"/>
      </w:pPr>
      <w:r>
        <w:rPr>
          <w:rFonts w:ascii="IRNazanin" w:hAnsi="IRNazanin" w:eastAsia="IRNazanin" w:cs="IRNazanin"/>
          <w:lang w:bidi="fa-IR"/>
          <w:color w:val="111111"/>
          <w:sz w:val="28"/>
          <w:szCs w:val="28"/>
          <w:rtl/>
        </w:rPr>
        <w:t xml:space="preserve">۱. قم؛ مرکز احیاء؛ شماره نسخه: ۲۴۳۵</w:t>
      </w:r>
    </w:p>
    <w:p>
      <w:pPr>
        <w:pStyle w:val="BookText"/>
      </w:pPr>
      <w:r>
        <w:rPr>
          <w:rFonts w:ascii="Amiri" w:hAnsi="Amiri" w:eastAsia="Amiri" w:cs="Amiri"/>
          <w:lang w:bidi="ar-SA"/>
          <w:color w:val="111111"/>
          <w:sz w:val="28"/>
          <w:szCs w:val="28"/>
          <w:rtl/>
        </w:rPr>
        <w:t xml:space="preserve">آغاز: و اذ تقدم الكلام فى اركان التكليف العقلى فنشير بعده الى اركان التكليف الشرعي و هي خمسة: الصلاة والزكاة والصوم و الحج و الجهاد</w:t>
      </w:r>
    </w:p>
    <w:p>
      <w:pPr>
        <w:pStyle w:val="BookText"/>
      </w:pPr>
      <w:r>
        <w:rPr>
          <w:rFonts w:ascii="IRNazanin" w:hAnsi="IRNazanin" w:eastAsia="IRNazanin" w:cs="IRNazanin"/>
          <w:lang w:bidi="fa-IR"/>
          <w:color w:val="111111"/>
          <w:sz w:val="28"/>
          <w:szCs w:val="28"/>
          <w:rtl/>
        </w:rPr>
        <w:t xml:space="preserve">نسخه اصل: کتابخانه ای در نجف اشرف. از آغاز کتاب الطهارة تا پایان کتاب الصوم؛ خط: نسخ، بی کا، تا: قرن ۱۳؛ ۸ص [عکسی  ف: ۷ - ۴۲]</w:t>
      </w:r>
    </w:p>
    <w:p>
      <w:pPr>
        <w:pStyle w:val="BookText"/>
      </w:pPr>
      <w:r>
        <w:rPr>
          <w:rFonts w:ascii="IRNazanin" w:hAnsi="IRNazanin" w:eastAsia="IRNazanin" w:cs="IRNazanin"/>
          <w:lang w:bidi="fa-IR"/>
          <w:color w:val="111111"/>
          <w:sz w:val="28"/>
          <w:szCs w:val="28"/>
          <w:rtl/>
        </w:rPr>
        <w:t xml:space="preserve">۲. مشهد؛ رضوی؛ شماره نسخه: ض ۹۸۱۱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ابوالحسن بن عبدالکافی، تا: قرن ۱۳؛ واقف: خان بابا مشار، اردیبهشت ۱۳۴۶؛ کاغذ: شکری آهار مهره، جلد: تیماج مشکی ضربی مزین به ترنج و سر ترنج، ۱۹گ، ۳۰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۳۰سم [ف: ۲۱/۱ - ۱۱۱]</w:t>
      </w:r>
    </w:p>
    <w:p>
      <w:pPr>
        <w:pStyle w:val="BookText"/>
      </w:pPr>
      <w:r>
        <w:rPr>
          <w:rFonts w:ascii="IRNazanin" w:hAnsi="IRNazanin" w:eastAsia="IRNazanin" w:cs="IRNazanin"/>
          <w:lang w:bidi="fa-IR"/>
          <w:color w:val="111111"/>
          <w:sz w:val="28"/>
          <w:szCs w:val="28"/>
          <w:rtl/>
        </w:rPr>
        <w:t xml:space="preserve">۳. مشهد؛ رضوی؛ شماره نسخه: ۳۴۴۰۱</w:t>
      </w:r>
    </w:p>
    <w:p>
      <w:pPr>
        <w:pStyle w:val="BookText"/>
      </w:pPr>
      <w:r>
        <w:rPr>
          <w:rFonts w:ascii="Amiri" w:hAnsi="Amiri" w:eastAsia="Amiri" w:cs="Amiri"/>
          <w:lang w:bidi="ar-SA"/>
          <w:color w:val="111111"/>
          <w:sz w:val="28"/>
          <w:szCs w:val="28"/>
          <w:rtl/>
        </w:rPr>
        <w:t xml:space="preserve">آغاز: بسمله. و اذ قد تقدم الكلام في اركان التكليف العقلى فنشير بعده الى اركان التكليف الشرعى و هى خمسة الصلاة والزكاة و الصوم و الحج و الجهاد؛ انجام: او حمل او رضاع يخشى معهما على الولد او تفويت النية الى بعد الزوال او استعمال</w:t>
      </w:r>
    </w:p>
    <w:p>
      <w:pPr>
        <w:pStyle w:val="BookText"/>
      </w:pPr>
      <w:r>
        <w:rPr>
          <w:rFonts w:ascii="IRNazanin" w:hAnsi="IRNazanin" w:eastAsia="IRNazanin" w:cs="IRNazanin"/>
          <w:lang w:bidi="fa-IR"/>
          <w:color w:val="111111"/>
          <w:sz w:val="28"/>
          <w:szCs w:val="28"/>
          <w:rtl/>
        </w:rPr>
        <w:t xml:space="preserve">از ابتدای تکلیف شرعی شروع شده و در اواسط «صوم» ناتمام مانده است؛ خط: نسخ، بی کا، تا: قرن ۱۳؛ ضمیمه نسخه ش :۱۹۸۰۳؛ اهدایی رهبری، خرداد ۱۳۷۳؛ کاغذ: شکری آهار مهره، جلد: تيماج مشکی ضربی مزین به ترنج و سرترنج، 11گ،۲۴ سطر، اندازه: ۱۴/۷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[اهدائی رهبر: ۳-۶۸] و [ف: ۲۱/۱ - ۱۱۱]</w:t>
      </w:r>
    </w:p>
    <w:p>
      <w:pPr>
        <w:pStyle w:val="BookText"/>
      </w:pPr>
      <w:r>
        <w:rPr>
          <w:rFonts w:ascii="IRNazanin" w:hAnsi="IRNazanin" w:eastAsia="IRNazanin" w:cs="IRNazanin"/>
          <w:lang w:bidi="fa-IR"/>
          <w:color w:val="111111"/>
          <w:sz w:val="28"/>
          <w:szCs w:val="28"/>
          <w:rtl/>
        </w:rPr>
        <w:t xml:space="preserve">۴. مشهد؛ رضوی؛ شماره نسخه: ۲۰۸۸۷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امیر خراسانی، تا: ۱۲۳۶ق؛ اهدایی: رهبری، خرداد ۱۳۷۳؛ کاغذ: شکری آهار مهره، جلد: تیماج مشکی یک لا، ۳۲گ، ۲۱ ،سطر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[اهدائی رهبر: ۳ - ۶۸]</w:t>
      </w:r>
    </w:p>
    <w:p>
      <w:pPr>
        <w:pStyle w:val="BookText"/>
      </w:pPr>
      <w:r>
        <w:rPr>
          <w:rFonts w:ascii="IRNazanin" w:hAnsi="IRNazanin" w:eastAsia="IRNazanin" w:cs="IRNazanin"/>
          <w:lang w:bidi="fa-IR"/>
          <w:color w:val="111111"/>
          <w:sz w:val="28"/>
          <w:szCs w:val="28"/>
          <w:rtl/>
        </w:rPr>
        <w:t xml:space="preserve">۵. تهران؛ مجلس؛ شماره نسخه ۱۲۷۲</w:t>
      </w:r>
    </w:p>
    <w:p>
      <w:pPr>
        <w:pStyle w:val="BookText"/>
      </w:pPr>
      <w:r>
        <w:rPr>
          <w:rFonts w:ascii="Amiri" w:hAnsi="Amiri" w:eastAsia="Amiri" w:cs="Amiri"/>
          <w:lang w:bidi="ar-SA"/>
          <w:color w:val="111111"/>
          <w:sz w:val="28"/>
          <w:szCs w:val="28"/>
          <w:rtl/>
        </w:rPr>
        <w:t xml:space="preserve">آغاز: و اذا تقدم الكلام فى اركان التكليف العقلى فنشير بعده؛ انجام: برابر</w:t>
      </w:r>
    </w:p>
    <w:p>
      <w:pPr>
        <w:pStyle w:val="BookText"/>
      </w:pPr>
      <w:r>
        <w:rPr>
          <w:rFonts w:ascii="IRNazanin" w:hAnsi="IRNazanin" w:eastAsia="IRNazanin" w:cs="IRNazanin"/>
          <w:lang w:bidi="fa-IR"/>
          <w:color w:val="111111"/>
          <w:sz w:val="28"/>
          <w:szCs w:val="28"/>
          <w:rtl/>
        </w:rPr>
        <w:t xml:space="preserve">خط: نسخ ،متوسط، کا: محمد بن  خضر، تا: ۱۲۴۶ق؛ کاغذ: آهار مهره، جلد: تیماج قرمز منگنه شده ترنج آب طلایی، ۲۹  سطر، قطع: رحلی،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۳۵سم [ف: ۴ - ۶۴]</w:t>
      </w:r>
    </w:p>
    <w:p>
      <w:pPr>
        <w:pStyle w:val="BookText"/>
      </w:pPr>
      <w:r>
        <w:rPr>
          <w:rFonts w:ascii="IRNazanin" w:hAnsi="IRNazanin" w:eastAsia="IRNazanin" w:cs="IRNazanin"/>
          <w:lang w:bidi="fa-IR"/>
          <w:color w:val="111111"/>
          <w:sz w:val="28"/>
          <w:szCs w:val="28"/>
          <w:rtl/>
        </w:rPr>
        <w:t xml:space="preserve">۶. تهران؛ مجلس؛ شماره نسخه: ۹۵۲۸/۲</w:t>
      </w:r>
    </w:p>
    <w:p>
      <w:pPr>
        <w:pStyle w:val="BookText"/>
      </w:pPr>
      <w:r>
        <w:rPr>
          <w:rFonts w:ascii="Amiri" w:hAnsi="Amiri" w:eastAsia="Amiri" w:cs="Amiri"/>
          <w:lang w:bidi="ar-SA"/>
          <w:color w:val="111111"/>
          <w:sz w:val="28"/>
          <w:szCs w:val="28"/>
          <w:rtl/>
        </w:rPr>
        <w:t xml:space="preserve">آغاز: بسمله. و اذ قد تقدم الكلام فى اركان التكليف العقلى فينشر بعده الى اركان التكليف الشرعى و هى خمسة الصلوة و الزكوة و الصوم والحج و الجهاد؛ انجام: معهما على الولد او تفويت النية الى بعد الزوال</w:t>
      </w:r>
    </w:p>
    <w:p>
      <w:pPr>
        <w:pStyle w:val="BookText"/>
      </w:pPr>
      <w:r>
        <w:rPr>
          <w:rFonts w:ascii="IRNazanin" w:hAnsi="IRNazanin" w:eastAsia="IRNazanin" w:cs="IRNazanin"/>
          <w:lang w:bidi="fa-IR"/>
          <w:color w:val="111111"/>
          <w:sz w:val="28"/>
          <w:szCs w:val="28"/>
          <w:rtl/>
        </w:rPr>
        <w:t xml:space="preserve">خط: نسخ، کا: احمد بن ملا محمد تقی ،تا: دوشنبه ۸ صفر ۱۲۷۶ق، جلد: تیماج  سرخ، ۱۸گ (۱۰۷پ-۱۲۴پ)، ۱۸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۳۰ - ۱۹۸]</w:t>
      </w:r>
    </w:p>
    <w:p>
      <w:pPr>
        <w:pStyle w:val="BookText"/>
      </w:pPr>
      <w:r>
        <w:rPr>
          <w:rFonts w:ascii="IRNazanin" w:hAnsi="IRNazanin" w:eastAsia="IRNazanin" w:cs="IRNazanin"/>
          <w:lang w:bidi="fa-IR"/>
          <w:color w:val="111111"/>
          <w:sz w:val="28"/>
          <w:szCs w:val="28"/>
          <w:rtl/>
        </w:rPr>
        <w:t xml:space="preserve">۷. تهران؛ مجلس؛ شماره نسخه: ۹۰۷۳/۲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394" w:name="pg20365_260547"/>
    <w:bookmarkEnd w:id="394"/>
    <w:p>
      <w:pPr>
        <w:pStyle w:val="BookText"/>
      </w:pPr>
      <w:r>
        <w:rPr>
          <w:rFonts w:ascii="IRNazanin" w:hAnsi="IRNazanin" w:eastAsia="IRNazanin" w:cs="IRNazanin"/>
          <w:lang w:bidi="fa-IR"/>
          <w:color w:val="111111"/>
          <w:sz w:val="28"/>
          <w:szCs w:val="28"/>
          <w:rtl/>
        </w:rPr>
        <w:t xml:space="preserve">آغاز: بسمله و به نستعين و اذ تقدم الكلام فى اركان التكليف العقلى فنشير بعده الى اركان التكليف و هى خمسة الصلوة و الزكوة و الصوم والحج و الجهاد؛ انجام: او عطش مفرط يرجی زواله او حمل او رضع يخشى معهما على الولد و تفويت النية  الی بعد الزوال.</w:t>
      </w:r>
    </w:p>
    <w:p>
      <w:pPr>
        <w:pStyle w:val="BookText"/>
      </w:pPr>
      <w:r>
        <w:rPr>
          <w:rFonts w:ascii="IRNazanin" w:hAnsi="IRNazanin" w:eastAsia="IRNazanin" w:cs="IRNazanin"/>
          <w:lang w:bidi="fa-IR"/>
          <w:color w:val="111111"/>
          <w:sz w:val="28"/>
          <w:szCs w:val="28"/>
          <w:rtl/>
        </w:rPr>
        <w:t xml:space="preserve">خط: نسخ، كا: احمد بن شیخ حسن قفطان، بی تا ؛کاغذ: فرنگی فستقی آهار مهره ،جلد: تیماج عنابی ضربی با ترنج و سر ترنج چهار لچکی، ۱۴گ (۸۲پ-۹۵ر)، ۱۸ سطر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 اندازه: ۱۳/۹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٢٠/٢سم [ف: ٢٩/٢ - ٧٠١]</w:t>
      </w:r>
    </w:p>
    <w:p>
      <w:pPr>
        <w:pStyle w:val="BookText"/>
      </w:pPr>
      <w:r>
        <w:rPr>
          <w:rFonts w:ascii="IRNazanin" w:hAnsi="IRNazanin" w:eastAsia="IRNazanin" w:cs="IRNazanin"/>
          <w:lang w:bidi="fa-IR"/>
          <w:color w:val="111111"/>
          <w:sz w:val="28"/>
          <w:szCs w:val="28"/>
          <w:rtl/>
        </w:rPr>
        <w:t xml:space="preserve">۸. تهران؛ مروی؛ شماره نسخه: ۶۵۹/۲</w:t>
      </w:r>
    </w:p>
    <w:p>
      <w:pPr>
        <w:pStyle w:val="BookText"/>
      </w:pPr>
      <w:r>
        <w:rPr>
          <w:rFonts w:ascii="IRNazanin" w:hAnsi="IRNazanin" w:eastAsia="IRNazanin" w:cs="IRNazanin"/>
          <w:lang w:bidi="fa-IR"/>
          <w:color w:val="111111"/>
          <w:sz w:val="28"/>
          <w:szCs w:val="28"/>
          <w:rtl/>
        </w:rPr>
        <w:t xml:space="preserve">بی کا، بی تا؛ قطع: خشتی [ف: ۲۹۱]</w:t>
      </w:r>
    </w:p>
    <w:p>
      <w:pPr>
        <w:pStyle w:val="BookText"/>
      </w:pPr>
      <w:r>
        <w:rPr>
          <w:rFonts w:ascii="IRNazanin" w:hAnsi="IRNazanin" w:eastAsia="IRNazanin" w:cs="IRNazanin"/>
          <w:lang w:bidi="fa-IR"/>
          <w:color w:val="111111"/>
          <w:sz w:val="28"/>
          <w:szCs w:val="28"/>
          <w:rtl/>
        </w:rPr>
        <w:t xml:space="preserve">9.تهران؛ دانشگاه؛ شماره نسخه: ۹۲۰/۹</w:t>
      </w:r>
    </w:p>
    <w:p>
      <w:pPr>
        <w:pStyle w:val="BookText"/>
      </w:pPr>
      <w:r>
        <w:rPr>
          <w:rFonts w:ascii="IRNazanin" w:hAnsi="IRNazanin" w:eastAsia="IRNazanin" w:cs="IRNazanin"/>
          <w:lang w:bidi="fa-IR"/>
          <w:color w:val="111111"/>
          <w:sz w:val="28"/>
          <w:szCs w:val="28"/>
          <w:rtl/>
        </w:rPr>
        <w:t xml:space="preserve">آغاز : بسمله و اذ قد تقدم الكلام فى اركان التكليف العقلی فنشير بعده الى اركان التكليف الشرعى و هى خمسة؛ انجام: واما الكلام فى ركن الصوم فانه اما واجب فمطلق ... او حمل او رضـاع يخشى معهما على الولدا وتفويت النية الى بعد الزوال او استعمال.</w:t>
      </w:r>
    </w:p>
    <w:p>
      <w:pPr>
        <w:pStyle w:val="BookText"/>
      </w:pPr>
      <w:r>
        <w:rPr>
          <w:rFonts w:ascii="IRNazanin" w:hAnsi="IRNazanin" w:eastAsia="IRNazanin" w:cs="IRNazanin"/>
          <w:lang w:bidi="fa-IR"/>
          <w:color w:val="111111"/>
          <w:sz w:val="28"/>
          <w:szCs w:val="28"/>
          <w:rtl/>
        </w:rPr>
        <w:t xml:space="preserve">در این نسخه بخش نخستین نیست و دنباله روزه و پس از آن  را ندارد ؛خط: نسخ ،بی کا، بی تا [ف: ۵ - ۱۷۷۶]</w:t>
      </w:r>
    </w:p>
    <w:p>
      <w:pPr>
        <w:pStyle w:val="BookText"/>
      </w:pPr>
      <w:r>
        <w:rPr>
          <w:rFonts w:ascii="Amiri" w:hAnsi="Amiri" w:eastAsia="Amiri" w:cs="Amiri"/>
          <w:lang w:bidi="ar-SA"/>
          <w:color w:val="111111"/>
          <w:sz w:val="28"/>
          <w:szCs w:val="28"/>
          <w:rtl/>
        </w:rPr>
        <w:t xml:space="preserve">«اشارت عبدالله » اشارات الحسنيه فى معارف الحقة اليقينه</w:t>
      </w:r>
    </w:p>
    <w:p>
      <w:pPr>
        <w:pStyle w:val="BookText"/>
      </w:pPr>
      <w:r>
        <w:rPr>
          <w:rFonts w:ascii="Amiri" w:hAnsi="Amiri" w:eastAsia="Amiri" w:cs="Amiri"/>
          <w:lang w:bidi="ar-SA"/>
          <w:color w:val="111111"/>
          <w:sz w:val="28"/>
          <w:szCs w:val="28"/>
          <w:rtl/>
        </w:rPr>
        <w:t xml:space="preserve">«الاشارة فى المنطق » الاشارة الى علم المنطق</w:t>
      </w:r>
    </w:p>
    <w:p>
      <w:pPr>
        <w:pStyle w:val="Heading3"/>
      </w:pPr>
      <w:bookmarkStart w:id="1875" w:name="_Toc1397"/>
      <w:r>
        <w:t>الاشارة الكاملة فى النية / فقه / عربي</w:t>
      </w:r>
      <w:bookmarkEnd w:id="1875"/>
    </w:p>
    <w:p>
      <w:pPr>
        <w:pStyle w:val="BookText"/>
      </w:pPr>
      <w:r>
        <w:rPr>
          <w:rFonts w:ascii="Times New Roman" w:hAnsi="Times New Roman" w:eastAsia="Times New Roman" w:cs="Times New Roman"/>
          <w:lang w:val="en-US" w:bidi="en-US"/>
          <w:color w:val="111111"/>
          <w:sz w:val="28"/>
          <w:szCs w:val="28"/>
          <w:rtl/>
        </w:rPr>
        <w:t xml:space="preserve">al-išārat-ul-kāmila fi-n-nīyya</w:t>
      </w:r>
    </w:p>
    <w:p>
      <w:pPr>
        <w:pStyle w:val="BookText"/>
      </w:pPr>
      <w:r>
        <w:rPr>
          <w:rFonts w:ascii="IRNazanin" w:hAnsi="IRNazanin" w:eastAsia="IRNazanin" w:cs="IRNazanin"/>
          <w:lang w:bidi="fa-IR"/>
          <w:color w:val="111111"/>
          <w:sz w:val="28"/>
          <w:szCs w:val="28"/>
          <w:rtl/>
        </w:rPr>
        <w:t xml:space="preserve">رساله ای است کوتاه در بیان وسواس در نیت افعال شرعی و عبادات، دارای «مقدمه» یک «مقصد» و «خاتمه»: مقدمه در بطلان این طریقه سقیمه؛ مقصد در بیان ماهیت نیت و شرایط آن خاتمه در علاج این درد نسخه ای از این کتاب در فهرسـت کتابخانه مدرسه سپهسالار آمده و با تردید به شیخ بهائی نسب داده شده است، لیکن در آثار شیخ بهائی چنین رساله ای یاقت نشد. مؤلف در این رساله از کتاب «ذکری» شهید اول محمد بن مكى عاملی (- ۷۸۶ ق) و کتاب شرح «ارشاد الاذهان» علامه حلی (-۷۲۶ق یاد کرده است.</w:t>
      </w:r>
    </w:p>
    <w:p>
      <w:pPr>
        <w:pStyle w:val="BookText"/>
      </w:pPr>
      <w:r>
        <w:rPr>
          <w:rFonts w:ascii="Amiri" w:hAnsi="Amiri" w:eastAsia="Amiri" w:cs="Amiri"/>
          <w:lang w:bidi="ar-SA"/>
          <w:color w:val="111111"/>
          <w:sz w:val="28"/>
          <w:szCs w:val="28"/>
          <w:rtl/>
        </w:rPr>
        <w:t xml:space="preserve">آغاز: سبحان من خص نوع الانسان بقوى الاذهان ... اما بعد فان بعض من يجب اجابته و ينسب الى مساعدته من خواص الاخوان و افاضل الاعيان</w:t>
      </w:r>
    </w:p>
    <w:p>
      <w:pPr>
        <w:pStyle w:val="BookText"/>
      </w:pPr>
      <w:r>
        <w:rPr>
          <w:rFonts w:ascii="IRNazanin" w:hAnsi="IRNazanin" w:eastAsia="IRNazanin" w:cs="IRNazanin"/>
          <w:lang w:bidi="fa-IR"/>
          <w:color w:val="111111"/>
          <w:sz w:val="28"/>
          <w:szCs w:val="28"/>
          <w:rtl/>
        </w:rPr>
        <w:t xml:space="preserve">انجام: و ایدنا بما ایدت به اولی الالباب انك اكرم الاكرمين و اجود الاجودین و صلواتک و سلامك على خاتم النبيين وآله الطاهرين تمت الاشارة و الحمد لله رب العالمين.</w:t>
      </w:r>
    </w:p>
    <w:p>
      <w:pPr>
        <w:pStyle w:val="BookText"/>
      </w:pPr>
      <w:r>
        <w:rPr>
          <w:rFonts w:ascii="IRNazanin" w:hAnsi="IRNazanin" w:eastAsia="IRNazanin" w:cs="IRNazanin"/>
          <w:lang w:bidi="fa-IR"/>
          <w:color w:val="111111"/>
          <w:sz w:val="28"/>
          <w:szCs w:val="28"/>
          <w:rtl/>
        </w:rPr>
        <w:t xml:space="preserve">1.قم؛ مرعشی؛ شماره نسخه: ۱۲۶۷۷/۱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قرن ۱۱؛ رکابه دار؛ ۶ برگ مطالبی منقـول از کتاب خصال علل الشرایع، کافی، تفسیر علی بن ابراهيم، روضة الواعظين و غیر آنها در آغاز، یک برگ شامل حدیثی در دفع ضرر جن در انجام؛ کاغذ: شرقی، 6گ (7- 12)، ۲۱ سطر،  اندازه: 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۳۲ - ۱۹۲]</w:t>
      </w:r>
    </w:p>
    <w:p>
      <w:pPr>
        <w:pStyle w:val="BookText"/>
      </w:pPr>
      <w:r>
        <w:rPr>
          <w:rFonts w:ascii="IRNazanin" w:hAnsi="IRNazanin" w:eastAsia="IRNazanin" w:cs="IRNazanin"/>
          <w:lang w:bidi="fa-IR"/>
          <w:color w:val="111111"/>
          <w:sz w:val="28"/>
          <w:szCs w:val="28"/>
          <w:rtl/>
        </w:rPr>
        <w:t xml:space="preserve">2.. تهران؛ سپهسالار؛ شماره نسخه: ۷۵۳۹/۷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در فهرست آمده: شاید از شیخ بهائی باشد؛ بی کا،بی تا؛ کاغذ: سپاهانی سفید، جلد:مقوایی، ۱۱گ( ۱۳۳ ر -۱۴۳ر)، ۴ سطر،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۱۸/۵سم [ف: ۳ - ۱۳۶]</w:t>
      </w:r>
    </w:p>
    <w:p>
      <w:pPr>
        <w:pStyle w:val="Heading3"/>
      </w:pPr>
      <w:bookmarkStart w:id="1876" w:name="_Toc1398"/>
      <w:r>
        <w:t>اشارة وبشارة = الكشف عن القراءات السبع = رسالة فى اختلاف القراآت و دفع شبهة التحريف / علوم قرآن / عربی</w:t>
      </w:r>
      <w:bookmarkEnd w:id="1876"/>
    </w:p>
    <w:p>
      <w:pPr>
        <w:pStyle w:val="BookText"/>
      </w:pPr>
      <w:r>
        <w:rPr>
          <w:rFonts w:ascii="Times New Roman" w:hAnsi="Times New Roman" w:eastAsia="Times New Roman" w:cs="Times New Roman"/>
          <w:lang w:val="en-US" w:bidi="en-US"/>
          <w:color w:val="111111"/>
          <w:sz w:val="28"/>
          <w:szCs w:val="28"/>
          <w:rtl/>
        </w:rPr>
        <w:t xml:space="preserve">išārat-un wa bišārat-un = al-kašf 'an-il qirā'āt-is sab r.-un fi ixtilaf-il qirā❜āt wa daf'-i šubhat-it taḥrīf</w:t>
      </w:r>
    </w:p>
    <w:p>
      <w:pPr>
        <w:pStyle w:val="BookText"/>
      </w:pPr>
      <w:r>
        <w:rPr>
          <w:rFonts w:ascii="IRNazanin" w:hAnsi="IRNazanin" w:eastAsia="IRNazanin" w:cs="IRNazanin"/>
          <w:lang w:bidi="fa-IR"/>
          <w:color w:val="111111"/>
          <w:sz w:val="28"/>
          <w:szCs w:val="28"/>
          <w:rtl/>
        </w:rPr>
        <w:t xml:space="preserve">قاضی سعید  قمی، محمد سعید بن محمد مفید، ۱۰۴۹ - ۱۱۰۳ ؟ قمری</w:t>
      </w:r>
    </w:p>
    <w:p>
      <w:pPr>
        <w:pStyle w:val="BookText"/>
      </w:pPr>
      <w:r>
        <w:rPr>
          <w:rFonts w:ascii="Times New Roman" w:hAnsi="Times New Roman" w:eastAsia="Times New Roman" w:cs="Times New Roman"/>
          <w:lang w:val="en-US" w:bidi="en-US"/>
          <w:color w:val="111111"/>
          <w:sz w:val="28"/>
          <w:szCs w:val="28"/>
          <w:rtl/>
        </w:rPr>
        <w:t xml:space="preserve">qāzī sa ́īd-e qomi, mohammad sa'īd ebn-e mohammad</w:t>
      </w:r>
    </w:p>
    <w:p>
      <w:pPr>
        <w:pStyle w:val="BookText"/>
      </w:pPr>
      <w:r>
        <w:rPr>
          <w:rFonts w:ascii="Times New Roman" w:hAnsi="Times New Roman" w:eastAsia="Times New Roman" w:cs="Times New Roman"/>
          <w:lang w:val="en-US" w:bidi="en-US"/>
          <w:color w:val="111111"/>
          <w:sz w:val="28"/>
          <w:szCs w:val="28"/>
          <w:rtl/>
        </w:rPr>
        <w:t xml:space="preserve">(mofid (1640 - 1692)</w:t>
      </w:r>
    </w:p>
    <w:p>
      <w:pPr>
        <w:pStyle w:val="BookText"/>
      </w:pPr>
      <w:r>
        <w:rPr>
          <w:rFonts w:ascii="IRNazanin" w:hAnsi="IRNazanin" w:eastAsia="IRNazanin" w:cs="IRNazanin"/>
          <w:lang w:bidi="fa-IR"/>
          <w:color w:val="111111"/>
          <w:sz w:val="28"/>
          <w:szCs w:val="28"/>
          <w:rtl/>
        </w:rPr>
        <w:t xml:space="preserve">تاریخ تأليف: شب جمعه ۲ جمادی الثانی ۱۰۸۹ق</w:t>
      </w:r>
    </w:p>
    <w:p>
      <w:pPr>
        <w:pStyle w:val="BookText"/>
      </w:pPr>
      <w:r>
        <w:rPr>
          <w:rFonts w:ascii="IRNazanin" w:hAnsi="IRNazanin" w:eastAsia="IRNazanin" w:cs="IRNazanin"/>
          <w:lang w:bidi="fa-IR"/>
          <w:color w:val="111111"/>
          <w:sz w:val="28"/>
          <w:szCs w:val="28"/>
          <w:rtl/>
        </w:rPr>
        <w:t xml:space="preserve">یکی از چند رساله ای است که مؤلف آنها را در یک مجموعه گرد آورده و در نظر داشته است تا چهل رساله تألیف کند و  مجموعه را «اربعینیات» بنامد ولی آنچه اکنون از این رسائل در دست است فقط ده رساله است. رساله مورد گفتگو در تأویل قرائات سبعه و دفع شبهه تحریف از قرآن کریم به زبان فلسفه عرفان است و مصنف نظریه دقیق و ابتکاری در آن باره مبتنی بر  چند مقدمه عرفانی ذیل عنوان «اشارة» و «بشاره» ذکر کرده است. در آن آمده است: «برایم این اندیشه حاصل گشت که اختلافات قراآت هفتگانه وهمچنین تفاوتی را که میان قرآن فعلی که در دسترس است و قرآنی که حضرت علی (علیه السّلام) آن را فراهم آورده از میان بردارم. شالوده آن را در میان نماز شام و خفتن شب جمعه دوشب گذشته در قم ریخته و در دو شب مانده از همان ماه به انجام رساند، سپس در یکم همان ماه سال ۱۰۹۸ در سپاهان آن را در این مجموعه گذارده است».</w:t>
      </w:r>
    </w:p>
    <w:p>
      <w:pPr>
        <w:pStyle w:val="BookText"/>
      </w:pPr>
      <w:r>
        <w:rPr>
          <w:rFonts w:ascii="Amiri" w:hAnsi="Amiri" w:eastAsia="Amiri" w:cs="Amiri"/>
          <w:lang w:bidi="ar-SA"/>
          <w:color w:val="111111"/>
          <w:sz w:val="28"/>
          <w:szCs w:val="28"/>
          <w:rtl/>
        </w:rPr>
        <w:t xml:space="preserve">آغاز: الحمد الله لذى نجم القرآن و سبع ذلك التبيان فشيعه سبعة  آلاف من ملائكة من الرحمن وصار ذا سبعة وجوه حسان... و بعد اعلموا يا اخوانى فى الدين و خلانى فى طلب اليقين اني كنت ليلة الجمعة المباركة ليلتين خلفا من شهر جمادى الآخرة بسنة تسع و ثمانين و الف من الهجرة بين صلاة المغرب و الاخرة بوطني قم المحروسة.</w:t>
      </w:r>
    </w:p>
    <w:p>
      <w:pPr>
        <w:pStyle w:val="BookText"/>
      </w:pPr>
      <w:r>
        <w:rPr>
          <w:rFonts w:ascii="IRNazanin" w:hAnsi="IRNazanin" w:eastAsia="IRNazanin" w:cs="IRNazanin"/>
          <w:lang w:bidi="fa-IR"/>
          <w:color w:val="111111"/>
          <w:sz w:val="28"/>
          <w:szCs w:val="28"/>
          <w:rtl/>
        </w:rPr>
        <w:t xml:space="preserve">انجام: ترجم جبرئیل تشريفا له من الله تعالى الحديث و في ذلك كفاية لمن تدبر و دراية لمن استبصر. هذا آخر ما اردنا ایراده في تلك المقالة و الله ولى الهداية و اتق ذلك على يد مؤلفها العبد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المذنب العاصي... ثم ادرجتها في هذه المجموعة المسـی بالاربعينيات</w:t>
      </w:r>
    </w:p>
    <w:p>
      <w:pPr>
        <w:pStyle w:val="BookText"/>
      </w:pPr>
      <w:r>
        <w:rPr>
          <w:rFonts w:ascii="IRNazanin" w:hAnsi="IRNazanin" w:eastAsia="IRNazanin" w:cs="IRNazanin"/>
          <w:lang w:bidi="fa-IR"/>
          <w:color w:val="111111"/>
          <w:sz w:val="28"/>
          <w:szCs w:val="28"/>
          <w:rtl/>
        </w:rPr>
        <w:t xml:space="preserve">چاپ: الاربعینیات به تصحیح دکتر نجفقلی حبیبی چاپ شد و این رساله دومین رساله آن است.</w:t>
      </w:r>
    </w:p>
    <w:p>
      <w:pPr>
        <w:pStyle w:val="BookText"/>
      </w:pPr>
      <w:r>
        <w:rPr>
          <w:rFonts w:ascii="IRNazanin" w:hAnsi="IRNazanin" w:eastAsia="IRNazanin" w:cs="IRNazanin"/>
          <w:lang w:bidi="fa-IR"/>
          <w:color w:val="111111"/>
          <w:sz w:val="28"/>
          <w:szCs w:val="28"/>
          <w:rtl/>
        </w:rPr>
        <w:t xml:space="preserve">[الذریعه ۱: ۴۳۶، ۳۴۱:۱۶، ۴۲/۱۱« رسالة في اختلاف القراء»؛ مقدمه اربعین چاپ تهران مصحح مرحوم علی آبادی؛ اعيان الشيعة ۵۹/۹؛ نقباء البشر 1/ 74؛ در «دنا» در دو جا آمده یکی تحت عنوان «اشارة و بشارة» ۸۴۳/۱ و دوم تحـت عنوان «الكشف عن القرءات السبع» در جلد ۶۳۶/۸ که باید یکی شود؛ طبقات ۳۰۹/۱۲ «الكشف عن القرآأت السبع» به تفصيل]</w:t>
      </w:r>
    </w:p>
    <w:p>
      <w:pPr>
        <w:pStyle w:val="BookText"/>
      </w:pPr>
      <w:r>
        <w:rPr>
          <w:rFonts w:ascii="IRNazanin" w:hAnsi="IRNazanin" w:eastAsia="IRNazanin" w:cs="IRNazanin"/>
          <w:lang w:bidi="fa-IR"/>
          <w:color w:val="111111"/>
          <w:sz w:val="28"/>
          <w:szCs w:val="28"/>
          <w:rtl/>
        </w:rPr>
        <w:t xml:space="preserve">۱. تهران؛ مجلس؛ شماره نسخه: ۴۳۴۴/۲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كاتب = مؤلف، تا: جمعه ۲ جمادی الثانی ۱۰۸۹ق؛ کاغذ: فرنگی ،جلد: تیماج یک لا قهوه ای، ۴گ (۷۰-۷۳)،  24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 ،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 ف : ۱۲ - ۵۲]</w:t>
      </w:r>
    </w:p>
    <w:p>
      <w:pPr>
        <w:pStyle w:val="BookText"/>
      </w:pPr>
      <w:r>
        <w:rPr>
          <w:rFonts w:ascii="IRNazanin" w:hAnsi="IRNazanin" w:eastAsia="IRNazanin" w:cs="IRNazanin"/>
          <w:lang w:bidi="fa-IR"/>
          <w:color w:val="111111"/>
          <w:sz w:val="28"/>
          <w:szCs w:val="28"/>
          <w:rtl/>
        </w:rPr>
        <w:t xml:space="preserve">۲ . مشهد؛ رضوی؛ شماره نسخه: ۲۱۶۱۸</w:t>
      </w:r>
    </w:p>
    <w:p>
      <w:pPr>
        <w:pStyle w:val="BookText"/>
      </w:pPr>
      <w:r>
        <w:rPr>
          <w:rFonts w:ascii="Amiri" w:hAnsi="Amiri" w:eastAsia="Amiri" w:cs="Amiri"/>
          <w:lang w:bidi="ar-SA"/>
          <w:color w:val="111111"/>
          <w:sz w:val="28"/>
          <w:szCs w:val="28"/>
          <w:rtl/>
        </w:rPr>
        <w:t xml:space="preserve">آغاز: برابر؛ انجام: المذكوره لافتتاح عام ثمان و تسعين و الف باصبهان</w:t>
      </w:r>
    </w:p>
    <w:p>
      <w:pPr>
        <w:pStyle w:val="BookText"/>
      </w:pPr>
      <w:r>
        <w:rPr>
          <w:rFonts w:ascii="IRNazanin" w:hAnsi="IRNazanin" w:eastAsia="IRNazanin" w:cs="IRNazanin"/>
          <w:lang w:bidi="fa-IR"/>
          <w:color w:val="111111"/>
          <w:sz w:val="28"/>
          <w:szCs w:val="28"/>
          <w:rtl/>
        </w:rPr>
        <w:t xml:space="preserve">خط: نستعلیق شکسته، کاتب = مؤلف، تا: ۱۰۹۸ق؛ اهدائی :رهبری، ۱۳۷۳؛ کاغذ: نخودی،جلد: تیماج ۲گ، ۴۳ سـطر [رایانه ]</w:t>
      </w:r>
    </w:p>
    <w:p>
      <w:pPr>
        <w:pStyle w:val="BookText"/>
      </w:pPr>
      <w:r>
        <w:rPr>
          <w:rFonts w:ascii="IRNazanin" w:hAnsi="IRNazanin" w:eastAsia="IRNazanin" w:cs="IRNazanin"/>
          <w:lang w:bidi="fa-IR"/>
          <w:color w:val="111111"/>
          <w:sz w:val="28"/>
          <w:szCs w:val="28"/>
          <w:rtl/>
        </w:rPr>
        <w:t xml:space="preserve">3.تهران؛ دانشگاه؛ شماره نسخه ۱۰۳۰</w:t>
      </w:r>
    </w:p>
    <w:p>
      <w:pPr>
        <w:pStyle w:val="BookText"/>
      </w:pPr>
      <w:r>
        <w:rPr>
          <w:rFonts w:ascii="IRNazanin" w:hAnsi="IRNazanin" w:eastAsia="IRNazanin" w:cs="IRNazanin"/>
          <w:lang w:bidi="fa-IR"/>
          <w:color w:val="111111"/>
          <w:sz w:val="28"/>
          <w:szCs w:val="28"/>
          <w:rtl/>
        </w:rPr>
        <w:t xml:space="preserve">آغاز: برابر؛ انجام: و لا يخاطب احد رسول الله بای لسان خاطبه الا وقع  لسامعه بالعربية كل ذلك ... هذا ما اردنا ايراده. و انا السـعید القمى و يويده ما ورد فى حسن صوت النبى انه لا يقدر عمـلی استماعه و يوصل جبرئيل الى سمع كل سامع بالطفه و ما ورد ان (ق) في اللوح اعظم من الجبال العظمية.</w:t>
      </w:r>
    </w:p>
    <w:p>
      <w:pPr>
        <w:pStyle w:val="BookText"/>
      </w:pPr>
      <w:r>
        <w:rPr>
          <w:rFonts w:ascii="IRNazanin" w:hAnsi="IRNazanin" w:eastAsia="IRNazanin" w:cs="IRNazanin"/>
          <w:lang w:bidi="fa-IR"/>
          <w:color w:val="111111"/>
          <w:sz w:val="28"/>
          <w:szCs w:val="28"/>
          <w:rtl/>
        </w:rPr>
        <w:t xml:space="preserve">خط: شکسته نستعلیق، کا: محمد مومن بن محمد امین تبریزی،تا: ۱۰۹۱ق؛ در مجموعه ای است که خط های گوناگون در آن هسـت و تاریخ یکی از آنها در برگ ۱۵۸ب، رجب ۱۰۹۴ است، و برگ ۲۰۰ نام نویسنده محمد مومن بن محمد امین تبریزی و تاریخ نوشتن ۱۰۹۱ تعیین شده؛ 3ص، سطرها چـلیپا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۱ - ۱۸۲]</w:t>
      </w:r>
    </w:p>
    <w:p>
      <w:pPr>
        <w:pStyle w:val="BookText"/>
      </w:pPr>
      <w:r>
        <w:rPr>
          <w:rFonts w:ascii="IRNazanin" w:hAnsi="IRNazanin" w:eastAsia="IRNazanin" w:cs="IRNazanin"/>
          <w:lang w:bidi="fa-IR"/>
          <w:color w:val="111111"/>
          <w:sz w:val="28"/>
          <w:szCs w:val="28"/>
          <w:rtl/>
        </w:rPr>
        <w:t xml:space="preserve">۴. تهران؛ ملک؛ شماره نسخه: ۵۷۶۱/۱</w:t>
      </w:r>
    </w:p>
    <w:p>
      <w:pPr>
        <w:pStyle w:val="BookText"/>
      </w:pPr>
      <w:r>
        <w:rPr>
          <w:rFonts w:ascii="IRNazanin" w:hAnsi="IRNazanin" w:eastAsia="IRNazanin" w:cs="IRNazanin"/>
          <w:lang w:bidi="fa-IR"/>
          <w:color w:val="111111"/>
          <w:sz w:val="28"/>
          <w:szCs w:val="28"/>
          <w:rtl/>
        </w:rPr>
        <w:t xml:space="preserve">خط: شکسته نستعلیق، کا: محمد علی بن مظفر حسین،تا: ۱۱۹۷ق، جا: اصفهان؛ کاغذ: ترمه، جلد: میشن سبز، ۳گ (۱ر- 3پ)،  ۲۵ سطر، اندازه: ۱۵/۶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۲۱/۴سم [ف: ۹ - ۲۵]</w:t>
      </w:r>
    </w:p>
    <w:p>
      <w:pPr>
        <w:pStyle w:val="BookText"/>
      </w:pPr>
      <w:r>
        <w:rPr>
          <w:rFonts w:ascii="IRNazanin" w:hAnsi="IRNazanin" w:eastAsia="IRNazanin" w:cs="IRNazanin"/>
          <w:lang w:bidi="fa-IR"/>
          <w:color w:val="111111"/>
          <w:sz w:val="28"/>
          <w:szCs w:val="28"/>
          <w:rtl/>
        </w:rPr>
        <w:t xml:space="preserve">۵. تهران؛ مجلس؛ شماره نسخه: ۳۷۴۰/۲</w:t>
      </w:r>
    </w:p>
    <w:p>
      <w:pPr>
        <w:pStyle w:val="BookText"/>
      </w:pPr>
      <w:r>
        <w:rPr>
          <w:rFonts w:ascii="IRNazanin" w:hAnsi="IRNazanin" w:eastAsia="IRNazanin" w:cs="IRNazanin"/>
          <w:lang w:bidi="fa-IR"/>
          <w:color w:val="111111"/>
          <w:sz w:val="28"/>
          <w:szCs w:val="28"/>
          <w:rtl/>
        </w:rPr>
        <w:t xml:space="preserve">خط: نسخ ،کا: علی اصغر نجف آبادی، تا: قرن ۱۳؛ کاغذ: فرنگی، جلد: تیماج عنابی سبز، ۱۳ص (۲۶-۳۸)، ۱۵ سطر، قطع:رقعی، اندازه: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 ۱۰ - ۱۷۲۳]</w:t>
      </w:r>
    </w:p>
    <w:p>
      <w:pPr>
        <w:pStyle w:val="BookText"/>
      </w:pPr>
      <w:r>
        <w:rPr>
          <w:rFonts w:ascii="IRNazanin" w:hAnsi="IRNazanin" w:eastAsia="IRNazanin" w:cs="IRNazanin"/>
          <w:lang w:bidi="fa-IR"/>
          <w:color w:val="111111"/>
          <w:sz w:val="28"/>
          <w:szCs w:val="28"/>
          <w:rtl/>
        </w:rPr>
        <w:t xml:space="preserve">۶. تهران؛ دانشگاه؛ شماره نسخه: ۹۷۱/۲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محمد حسن فانی پسر حاج عبدالرسول حسینی  زنوزی، تا: صفر ۱۲۰۶ق، جا: دار السلطنه اصفهان؛ با نسخه به خط مؤلف مقابله شده ؛کاغذ: فرنگی ،جلد: تیماج تریاکی ضربی، 6گ (۱۱پ- ۱۶پ)، ۱۸ سطر (7</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۱۵/۵سم [ف:  6- 2127]</w:t>
      </w:r>
    </w:p>
    <w:p>
      <w:pPr>
        <w:pStyle w:val="BookText"/>
      </w:pPr>
      <w:r>
        <w:rPr>
          <w:rFonts w:ascii="IRNazanin" w:hAnsi="IRNazanin" w:eastAsia="IRNazanin" w:cs="IRNazanin"/>
          <w:lang w:bidi="fa-IR"/>
          <w:color w:val="111111"/>
          <w:sz w:val="28"/>
          <w:szCs w:val="28"/>
          <w:rtl/>
        </w:rPr>
        <w:t xml:space="preserve">۷. تهران؛ دانشگاه؛ شماره نسخه: ۳۶۶۱/۱</w:t>
      </w:r>
    </w:p>
    <w:p>
      <w:pPr>
        <w:pStyle w:val="BookText"/>
      </w:pPr>
      <w:r>
        <w:rPr>
          <w:rFonts w:ascii="IRNazanin" w:hAnsi="IRNazanin" w:eastAsia="IRNazanin" w:cs="IRNazanin"/>
          <w:lang w:bidi="fa-IR"/>
          <w:color w:val="111111"/>
          <w:sz w:val="28"/>
          <w:szCs w:val="28"/>
          <w:rtl/>
        </w:rPr>
        <w:t xml:space="preserve">خط: شکسته نستعلیق، کا: کاظم بن عنایت الله، تا: پنج شنبه ۱۸ ربیع الثاني ۱۲۲۰ ق ؛کاغذ: فرنگی ،جلد: مقوا، ۳گ (۴ر-۶پ)، ۱۴ سطر (9</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ف: ۱۲ - ۲۶۷۲]</w:t>
      </w:r>
    </w:p>
    <w:p>
      <w:pPr>
        <w:pStyle w:val="BookText"/>
      </w:pPr>
      <w:r>
        <w:rPr>
          <w:rFonts w:ascii="IRNazanin" w:hAnsi="IRNazanin" w:eastAsia="IRNazanin" w:cs="IRNazanin"/>
          <w:lang w:bidi="fa-IR"/>
          <w:color w:val="111111"/>
          <w:sz w:val="28"/>
          <w:szCs w:val="28"/>
          <w:rtl/>
        </w:rPr>
        <w:t xml:space="preserve">۸. تهران؛ مجلس؛ شماره نسخه: ۱۲۰۷/۲۳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نستعليق متوسط ،كا: لطفعلی لواسانی، تا: ۱۲۳۴ق؛ کاغذ: ترمه نازک، جلد: تیماج ،مشکی، ۶ ص (۱۸۱ - ۱۸۶)، ۱۲ سطر،قطع: وزیری،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۲۲/۵سم [ف: ۴ - ۳]</w:t>
      </w:r>
    </w:p>
    <w:p>
      <w:pPr>
        <w:pStyle w:val="BookText"/>
      </w:pPr>
      <w:r>
        <w:rPr>
          <w:rFonts w:ascii="IRNazanin" w:hAnsi="IRNazanin" w:eastAsia="IRNazanin" w:cs="IRNazanin"/>
          <w:lang w:bidi="fa-IR"/>
          <w:color w:val="111111"/>
          <w:sz w:val="28"/>
          <w:szCs w:val="28"/>
          <w:rtl/>
        </w:rPr>
        <w:t xml:space="preserve">۹. قم؛ مرعشی؛ شماره نسخه: ۱۳۲۱۷/۳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نستعليق ،كا: محمد بن علی اصغر  قاینی، تا: ذیحجه ۱۲۵۴ق؛ مصحح،کاغذ: فرنگی آهار مهره، ۴گ (۵۲ر -۵۵ر)، ۲۳ سطر، اندازه: 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۳۳ - ۴۱۱]</w:t>
      </w:r>
    </w:p>
    <w:p>
      <w:pPr>
        <w:pStyle w:val="BookText"/>
      </w:pPr>
      <w:r>
        <w:rPr>
          <w:rFonts w:ascii="IRNazanin" w:hAnsi="IRNazanin" w:eastAsia="IRNazanin" w:cs="IRNazanin"/>
          <w:lang w:bidi="fa-IR"/>
          <w:color w:val="111111"/>
          <w:sz w:val="28"/>
          <w:szCs w:val="28"/>
          <w:rtl/>
        </w:rPr>
        <w:t xml:space="preserve">۱۰. قم؛ مرعشی؛ شماره نسخه: ۵۰۸۱/۷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۱۲۶۷ق، جا: اصفهان؛ جلد: تیماج قهوه ای بدون مقوا، ۵گ (۱۲۰ پ- ۱۲۴پ)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۱۳ - ۲۷۴]</w:t>
      </w:r>
    </w:p>
    <w:p>
      <w:pPr>
        <w:pStyle w:val="BookText"/>
      </w:pPr>
      <w:r>
        <w:rPr>
          <w:rFonts w:ascii="IRNazanin" w:hAnsi="IRNazanin" w:eastAsia="IRNazanin" w:cs="IRNazanin"/>
          <w:lang w:bidi="fa-IR"/>
          <w:color w:val="111111"/>
          <w:sz w:val="28"/>
          <w:szCs w:val="28"/>
          <w:rtl/>
        </w:rPr>
        <w:t xml:space="preserve">۱۱. مشهد؛ رضوی؛ شماره نسخه: ۲۱۲۵۸</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احمد حسینی، تا: ۱۳۱۴ق؛ اهدایی: رهبری، ۱۳۷۳؛ کاغذ: نخودی ،جلد: تیماج  ضربی، ۳ص، ۲۱ سطر [رایانه ]</w:t>
      </w:r>
    </w:p>
    <w:p>
      <w:pPr>
        <w:pStyle w:val="BookText"/>
      </w:pPr>
      <w:r>
        <w:rPr>
          <w:rFonts w:ascii="IRNazanin" w:hAnsi="IRNazanin" w:eastAsia="IRNazanin" w:cs="IRNazanin"/>
          <w:lang w:bidi="fa-IR"/>
          <w:color w:val="111111"/>
          <w:sz w:val="28"/>
          <w:szCs w:val="28"/>
          <w:rtl/>
        </w:rPr>
        <w:t xml:space="preserve">۱۲. تهران؛ الهیات؛ شماره نسخه: ۶۵۲/۲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محمد کاظم، تا: ۱۳۴۸ق؛ کاغذ: فرنگی سبز، جلد:  مقوایی عطف میشن، ٧گ (۴ ر - ۱۰ر)، ۱۸ سطر (۹/۵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۳۴۸]</w:t>
      </w:r>
    </w:p>
    <w:p>
      <w:pPr>
        <w:pStyle w:val="BookText"/>
      </w:pPr>
      <w:r>
        <w:rPr>
          <w:rFonts w:ascii="IRNazanin" w:hAnsi="IRNazanin" w:eastAsia="IRNazanin" w:cs="IRNazanin"/>
          <w:lang w:bidi="fa-IR"/>
          <w:color w:val="111111"/>
          <w:sz w:val="28"/>
          <w:szCs w:val="28"/>
          <w:rtl/>
        </w:rPr>
        <w:t xml:space="preserve">تهران؛ دائرة المعارف؛ شماره نسخه: ۴۳۸/۲- عکسی</w:t>
      </w:r>
    </w:p>
    <w:p>
      <w:pPr>
        <w:pStyle w:val="BookText"/>
      </w:pPr>
      <w:r>
        <w:rPr>
          <w:rFonts w:ascii="IRNazanin" w:hAnsi="IRNazanin" w:eastAsia="IRNazanin" w:cs="IRNazanin"/>
          <w:lang w:bidi="fa-IR"/>
          <w:color w:val="111111"/>
          <w:sz w:val="28"/>
          <w:szCs w:val="28"/>
          <w:rtl/>
        </w:rPr>
        <w:t xml:space="preserve">اصل نسخه: همان نسخه بالا[ف: ۲ - ۲۵]</w:t>
      </w:r>
    </w:p>
    <w:p>
      <w:pPr>
        <w:pStyle w:val="BookText"/>
      </w:pPr>
      <w:r>
        <w:rPr>
          <w:rFonts w:ascii="IRNazanin" w:hAnsi="IRNazanin" w:eastAsia="IRNazanin" w:cs="IRNazanin"/>
          <w:lang w:bidi="fa-IR"/>
          <w:color w:val="111111"/>
          <w:sz w:val="28"/>
          <w:szCs w:val="28"/>
          <w:rtl/>
        </w:rPr>
        <w:t xml:space="preserve">۱۳. قم؛ مرعشی؛ شماره نسخه: ۱۲۳۹۰/۵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ابوالقاسم حسینی  لواسانی، تا: ۱۳۴۹ق؛ کاتب نسب خود را چنین نوشته است «ابوالقاسم بن محمد بن ابراهيم بن صادق بن ابى طالب الحسينى الرازى اللواسانی» و تولد وی ۱۳۰۰ و وفات او ۱۳۶۶ هجری قمری می باشد و بنا به گزارش اعیان الشيعة او در همدان می زیسته است؛ کاغذ: فرنگی، جلد: تیماج  زرد، (۷گ (۷۹-۸۵)، ۱۸ 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اندازه:۱۵/۵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395" w:name="pg20365_260549"/>
    <w:bookmarkEnd w:id="395"/>
    <w:p>
      <w:pPr>
        <w:pStyle w:val="BookText"/>
      </w:pPr>
      <w:r>
        <w:rPr>
          <w:rFonts w:ascii="IRNazanin" w:hAnsi="IRNazanin" w:eastAsia="IRNazanin" w:cs="IRNazanin"/>
          <w:lang w:bidi="fa-IR"/>
          <w:color w:val="111111"/>
          <w:sz w:val="28"/>
          <w:szCs w:val="28"/>
          <w:rtl/>
        </w:rPr>
        <w:t xml:space="preserve">[ف: ۳۱ - ۳۲۷]</w:t>
      </w:r>
    </w:p>
    <w:p>
      <w:pPr>
        <w:pStyle w:val="BookText"/>
      </w:pPr>
      <w:r>
        <w:rPr>
          <w:rFonts w:ascii="IRNazanin" w:hAnsi="IRNazanin" w:eastAsia="IRNazanin" w:cs="IRNazanin"/>
          <w:lang w:bidi="fa-IR"/>
          <w:color w:val="111111"/>
          <w:sz w:val="28"/>
          <w:szCs w:val="28"/>
          <w:rtl/>
        </w:rPr>
        <w:t xml:space="preserve">۱۴. تهران؛ مجلس؛ شماره نسخه: ۱۰۰۳۱/۹</w:t>
      </w:r>
    </w:p>
    <w:p>
      <w:pPr>
        <w:pStyle w:val="BookText"/>
      </w:pPr>
      <w:r>
        <w:rPr>
          <w:rFonts w:ascii="Amiri" w:hAnsi="Amiri" w:eastAsia="Amiri" w:cs="Amiri"/>
          <w:lang w:bidi="ar-SA"/>
          <w:color w:val="111111"/>
          <w:sz w:val="28"/>
          <w:szCs w:val="28"/>
          <w:rtl/>
        </w:rPr>
        <w:t xml:space="preserve">آغاز: برابر انجام: فى كفايه لمن يدبر ... واهب العقل و لاحجى</w:t>
      </w:r>
    </w:p>
    <w:p>
      <w:pPr>
        <w:pStyle w:val="BookText"/>
      </w:pPr>
      <w:r>
        <w:rPr>
          <w:rFonts w:ascii="IRNazanin" w:hAnsi="IRNazanin" w:eastAsia="IRNazanin" w:cs="IRNazanin"/>
          <w:lang w:bidi="fa-IR"/>
          <w:color w:val="111111"/>
          <w:sz w:val="28"/>
          <w:szCs w:val="28"/>
          <w:rtl/>
        </w:rPr>
        <w:t xml:space="preserve">خط: نسخ و نستعلیق، بی کا، بی تا؛ مصحح، در برگ های آغازین نسخه یادداشت های پراکنده ای از جمله رباعیات خیام و باباطاهر، اشعار منسوب به حضرت علی (علیه السّلام) اشعاری از سعدی و دیگران و مطالبی عرفانی و فلسفی و در برگ آخر این شعر از آخوند ملا محمد طاهر آمده: «ای آنکه تو قصد کوی عرفان داری *** ازغیرخدا  مجو درین ره یاری / در منصب عشقسربلندت سازد*** آنکس که به منصور دهد سرداری»، برخی نوشته ها به شیوه چلیپا ،جلد: تیماج قهوه ای، ۸ ص ،(۱۳۵-۱۴۲)، 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سم [ف: ۳۲ - ۴۶]</w:t>
      </w:r>
    </w:p>
    <w:p>
      <w:pPr>
        <w:pStyle w:val="BookText"/>
      </w:pPr>
      <w:r>
        <w:rPr>
          <w:rFonts w:ascii="IRNazanin" w:hAnsi="IRNazanin" w:eastAsia="IRNazanin" w:cs="IRNazanin"/>
          <w:lang w:bidi="fa-IR"/>
          <w:color w:val="111111"/>
          <w:sz w:val="28"/>
          <w:szCs w:val="28"/>
          <w:rtl/>
        </w:rPr>
        <w:t xml:space="preserve">۱۵. تهران؛ مجلس؛ شماره نسخه: ۵۵۰۰/۷</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بی کا، بی تا؛ افتادگی: انجام؛ کاغذ: فرنگی، جـلد: تیماج مقوایی ضربی قهوه ای، ۴گ (۱۱۱ر-۱۱۴پ)، ۲۳ سـطر،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۱۶ - ۴۰۱]</w:t>
      </w:r>
    </w:p>
    <w:p>
      <w:pPr>
        <w:pStyle w:val="BookText"/>
      </w:pPr>
      <w:r>
        <w:rPr>
          <w:rFonts w:ascii="IRNazanin" w:hAnsi="IRNazanin" w:eastAsia="IRNazanin" w:cs="IRNazanin"/>
          <w:lang w:bidi="fa-IR"/>
          <w:color w:val="111111"/>
          <w:sz w:val="28"/>
          <w:szCs w:val="28"/>
          <w:rtl/>
        </w:rPr>
        <w:t xml:space="preserve">۱۶. تبریز؛ قاضی طباطبائی؛ شماره نسخه: بدون شماره/ ۲</w:t>
      </w:r>
    </w:p>
    <w:p>
      <w:pPr>
        <w:pStyle w:val="BookText"/>
      </w:pPr>
      <w:r>
        <w:rPr>
          <w:rFonts w:ascii="IRNazanin" w:hAnsi="IRNazanin" w:eastAsia="IRNazanin" w:cs="IRNazanin"/>
          <w:lang w:bidi="fa-IR"/>
          <w:color w:val="111111"/>
          <w:sz w:val="28"/>
          <w:szCs w:val="28"/>
          <w:rtl/>
        </w:rPr>
        <w:t xml:space="preserve">بی کا، بی تا [نشریه: ۷ - ۵۲۰]</w:t>
      </w:r>
    </w:p>
    <w:p>
      <w:pPr>
        <w:pStyle w:val="BookText"/>
      </w:pPr>
      <w:r>
        <w:rPr>
          <w:rFonts w:ascii="IRNazanin" w:hAnsi="IRNazanin" w:eastAsia="IRNazanin" w:cs="IRNazanin"/>
          <w:lang w:bidi="fa-IR"/>
          <w:color w:val="111111"/>
          <w:sz w:val="28"/>
          <w:szCs w:val="28"/>
          <w:rtl/>
        </w:rPr>
        <w:t xml:space="preserve">۱۷. تهران؛ مجلس؛ شماره نسخه: ۱/۹ خوئی</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تذکر: شماره فرعی نسخه با توجه به ص ۲۶۱ فهرست اصلاح شـد؛ بی کا، بی تا؛ جلد: تیماج بودن مقوا، ۷ ص (۱۶۸-۱۷۴)، قـطع: خشتی،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۷ - ۱۴]</w:t>
      </w:r>
    </w:p>
    <w:p>
      <w:pPr>
        <w:pStyle w:val="BookText"/>
      </w:pPr>
      <w:r>
        <w:rPr>
          <w:rFonts w:ascii="IRNazanin" w:hAnsi="IRNazanin" w:eastAsia="IRNazanin" w:cs="IRNazanin"/>
          <w:lang w:bidi="fa-IR"/>
          <w:color w:val="111111"/>
          <w:sz w:val="28"/>
          <w:szCs w:val="28"/>
          <w:rtl/>
        </w:rPr>
        <w:t xml:space="preserve">«اشارت نامه » رمز و ایماء</w:t>
      </w:r>
    </w:p>
    <w:p>
      <w:pPr>
        <w:pStyle w:val="Heading3"/>
      </w:pPr>
      <w:bookmarkStart w:id="1877" w:name="_Toc1399"/>
      <w:r>
        <w:t>اشارتیه / ادبیات / فارسی</w:t>
      </w:r>
      <w:bookmarkEnd w:id="1877"/>
    </w:p>
    <w:p>
      <w:pPr>
        <w:pStyle w:val="BookText"/>
      </w:pPr>
      <w:r>
        <w:rPr>
          <w:rFonts w:ascii="Times New Roman" w:hAnsi="Times New Roman" w:eastAsia="Times New Roman" w:cs="Times New Roman"/>
          <w:lang w:val="en-US" w:bidi="en-US"/>
          <w:color w:val="111111"/>
          <w:sz w:val="28"/>
          <w:szCs w:val="28"/>
          <w:rtl/>
        </w:rPr>
        <w:t xml:space="preserve">esararatiye</w:t>
      </w:r>
    </w:p>
    <w:p>
      <w:pPr>
        <w:pStyle w:val="BookText"/>
      </w:pPr>
      <w:r>
        <w:rPr>
          <w:rFonts w:ascii="IRNazanin" w:hAnsi="IRNazanin" w:eastAsia="IRNazanin" w:cs="IRNazanin"/>
          <w:lang w:bidi="fa-IR"/>
          <w:color w:val="111111"/>
          <w:sz w:val="28"/>
          <w:szCs w:val="28"/>
          <w:rtl/>
        </w:rPr>
        <w:t xml:space="preserve">طغرای مشهدى، - ۱۱۰۰ قمری</w:t>
      </w:r>
    </w:p>
    <w:p>
      <w:pPr>
        <w:pStyle w:val="BookText"/>
      </w:pPr>
      <w:r>
        <w:rPr>
          <w:rFonts w:ascii="Times New Roman" w:hAnsi="Times New Roman" w:eastAsia="Times New Roman" w:cs="Times New Roman"/>
          <w:lang w:val="en-US" w:bidi="en-US"/>
          <w:color w:val="111111"/>
          <w:sz w:val="28"/>
          <w:szCs w:val="28"/>
          <w:rtl/>
        </w:rPr>
        <w:t xml:space="preserve">)toqrā-ye mašhadī (- 1689)</w:t>
      </w:r>
    </w:p>
    <w:p>
      <w:pPr>
        <w:pStyle w:val="BookText"/>
      </w:pPr>
      <w:r>
        <w:rPr>
          <w:rFonts w:ascii="IRNazanin" w:hAnsi="IRNazanin" w:eastAsia="IRNazanin" w:cs="IRNazanin"/>
          <w:lang w:bidi="fa-IR"/>
          <w:color w:val="111111"/>
          <w:sz w:val="28"/>
          <w:szCs w:val="28"/>
          <w:rtl/>
        </w:rPr>
        <w:t xml:space="preserve">منشه ای است خطاب به سرلشکر سپاه قطب شاه «یولچیخان هزيمت دستگاه» و این جز خمسه ضروریه و «اعلامیه» اوسـت. که در هر دو جا از همین شخص بد گفته است.</w:t>
      </w:r>
    </w:p>
    <w:p>
      <w:pPr>
        <w:pStyle w:val="BookText"/>
      </w:pPr>
      <w:r>
        <w:rPr>
          <w:rFonts w:ascii="IRNazanin" w:hAnsi="IRNazanin" w:eastAsia="IRNazanin" w:cs="IRNazanin"/>
          <w:lang w:bidi="fa-IR"/>
          <w:color w:val="111111"/>
          <w:sz w:val="28"/>
          <w:szCs w:val="28"/>
          <w:rtl/>
        </w:rPr>
        <w:t xml:space="preserve">آغاز: خطاب بسر لشکر قطب شاه یولچیخان هزیمت دستگاه... (مجلس)</w:t>
      </w:r>
    </w:p>
    <w:p>
      <w:pPr>
        <w:pStyle w:val="BookText"/>
      </w:pPr>
      <w:r>
        <w:rPr>
          <w:rFonts w:ascii="IRNazanin" w:hAnsi="IRNazanin" w:eastAsia="IRNazanin" w:cs="IRNazanin"/>
          <w:lang w:bidi="fa-IR"/>
          <w:color w:val="111111"/>
          <w:sz w:val="28"/>
          <w:szCs w:val="28"/>
          <w:rtl/>
        </w:rPr>
        <w:t xml:space="preserve">[(در فهرستواره منزوی آغاز چنین آمده:) خطاب به سپهسالار عرصه خرمی کوز بهادر یولچی حان تبریزی چون رعایت مضمون تكلم الناس على قدر ]</w:t>
      </w:r>
    </w:p>
    <w:p>
      <w:pPr>
        <w:pStyle w:val="BookText"/>
      </w:pPr>
      <w:r>
        <w:rPr>
          <w:rFonts w:ascii="IRNazanin" w:hAnsi="IRNazanin" w:eastAsia="IRNazanin" w:cs="IRNazanin"/>
          <w:lang w:bidi="fa-IR"/>
          <w:color w:val="111111"/>
          <w:sz w:val="28"/>
          <w:szCs w:val="28"/>
          <w:rtl/>
        </w:rPr>
        <w:t xml:space="preserve">انجام: حیز ستانیست در کف نامردی *** شه حیز و حشم حيز و سپاهش حیز است</w:t>
      </w:r>
    </w:p>
    <w:p>
      <w:pPr>
        <w:pStyle w:val="BookText"/>
      </w:pPr>
      <w:r>
        <w:rPr>
          <w:rFonts w:ascii="IRNazanin" w:hAnsi="IRNazanin" w:eastAsia="IRNazanin" w:cs="IRNazanin"/>
          <w:lang w:bidi="fa-IR"/>
          <w:color w:val="111111"/>
          <w:sz w:val="28"/>
          <w:szCs w:val="28"/>
          <w:rtl/>
        </w:rPr>
        <w:t xml:space="preserve">[دنا ۸۴۳/۱؛ فهرستواره منزوی ۲۰۱۲/۳]</w:t>
      </w:r>
    </w:p>
    <w:p>
      <w:pPr>
        <w:pStyle w:val="BookText"/>
      </w:pPr>
      <w:r>
        <w:rPr>
          <w:rFonts w:ascii="IRNazanin" w:hAnsi="IRNazanin" w:eastAsia="IRNazanin" w:cs="IRNazanin"/>
          <w:lang w:bidi="fa-IR"/>
          <w:color w:val="111111"/>
          <w:sz w:val="28"/>
          <w:szCs w:val="28"/>
          <w:rtl/>
        </w:rPr>
        <w:t xml:space="preserve">تهران؛ مجلس؛ شماره نسخه: ۳۲۱۵/۲۸</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بی تا؛ با سرلوح مجدول؛ کاغذ: هندی، جلد: تیماج تریاکی یک لا، ۲ ص (۲۸۲-۲۸۳)، ۳۲ سطر (9</w:t>
      </w:r>
      <w:r>
        <w:rPr>
          <w:rFonts w:ascii="Times New Roman" w:hAnsi="Times New Roman" w:eastAsia="Times New Roman" w:cs="Times New Roman"/>
          <w:lang w:val="en-US" w:bidi="en-US"/>
          <w:color w:val="111111"/>
          <w:sz w:val="28"/>
          <w:szCs w:val="28"/>
          <w:rtl/>
        </w:rPr>
        <w:t xml:space="preserve">×27)</w:t>
      </w:r>
      <w:r>
        <w:rPr>
          <w:rFonts w:ascii="IRNazanin" w:hAnsi="IRNazanin" w:eastAsia="IRNazanin" w:cs="IRNazanin"/>
          <w:lang w:bidi="fa-IR"/>
          <w:color w:val="111111"/>
          <w:sz w:val="28"/>
          <w:szCs w:val="28"/>
          <w:rtl/>
        </w:rPr>
        <w:t xml:space="preserve">،اندازه: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۳۲/۵سم [ف : ۱۰ - ۷۹۵]</w:t>
      </w:r>
    </w:p>
    <w:p>
      <w:pPr>
        <w:pStyle w:val="Heading3"/>
      </w:pPr>
      <w:bookmarkStart w:id="1878" w:name="_Toc1400"/>
      <w:r>
        <w:t>الاشباه والنظائر / فقه / عربی</w:t>
      </w:r>
      <w:bookmarkEnd w:id="1878"/>
    </w:p>
    <w:p>
      <w:pPr>
        <w:pStyle w:val="BookText"/>
      </w:pPr>
      <w:r>
        <w:rPr>
          <w:rFonts w:ascii="Times New Roman" w:hAnsi="Times New Roman" w:eastAsia="Times New Roman" w:cs="Times New Roman"/>
          <w:lang w:val="en-US" w:bidi="en-US"/>
          <w:color w:val="111111"/>
          <w:sz w:val="28"/>
          <w:szCs w:val="28"/>
          <w:rtl/>
        </w:rPr>
        <w:t xml:space="preserve">al-ašbah wa-n-nazā ir</w:t>
      </w:r>
    </w:p>
    <w:p>
      <w:pPr>
        <w:pStyle w:val="BookText"/>
      </w:pPr>
      <w:r>
        <w:rPr>
          <w:rFonts w:ascii="IRNazanin" w:hAnsi="IRNazanin" w:eastAsia="IRNazanin" w:cs="IRNazanin"/>
          <w:lang w:bidi="fa-IR"/>
          <w:color w:val="111111"/>
          <w:sz w:val="28"/>
          <w:szCs w:val="28"/>
          <w:rtl/>
        </w:rPr>
        <w:t xml:space="preserve">ابن وکیل، محمد بن  عمر، ۶۶۵ - ۷۱۶ قمری</w:t>
      </w:r>
    </w:p>
    <w:p>
      <w:pPr>
        <w:pStyle w:val="BookText"/>
      </w:pPr>
      <w:r>
        <w:rPr>
          <w:rFonts w:ascii="Times New Roman" w:hAnsi="Times New Roman" w:eastAsia="Times New Roman" w:cs="Times New Roman"/>
          <w:lang w:val="en-US" w:bidi="en-US"/>
          <w:color w:val="111111"/>
          <w:sz w:val="28"/>
          <w:szCs w:val="28"/>
          <w:rtl/>
        </w:rPr>
        <w:t xml:space="preserve">(ebn-e vakīl, mohammad ebn-e ‘omar (1267 - 1317)</w:t>
      </w:r>
    </w:p>
    <w:p>
      <w:pPr>
        <w:pStyle w:val="BookText"/>
      </w:pPr>
      <w:r>
        <w:rPr>
          <w:rFonts w:ascii="IRNazanin" w:hAnsi="IRNazanin" w:eastAsia="IRNazanin" w:cs="IRNazanin"/>
          <w:lang w:bidi="fa-IR"/>
          <w:color w:val="111111"/>
          <w:sz w:val="28"/>
          <w:szCs w:val="28"/>
          <w:rtl/>
        </w:rPr>
        <w:t xml:space="preserve">مؤلف قواعد کلی فقهی را با عناوین «قاعده» و «فایده» در مذهب شافعی بیان کرده و از بهترین کتاب های شافعیان است. مؤلف درباره نماز جمعه چنین می نویسد:«فصل: الجمعة هل هي صلاة على حالها أو ظهر مقصورة؟ قولان: الاصح الاول و عليه صور و منها لو عرض ما يمنع وقوعها جمعة من زحام او غيره فهل يتمها ظهراً و كذا اذا فات بعض شروطها ان قلنا هى ظهر مقصورة اتمها ظهراً كالمسافر اذا شرط قصره و ان قلنا مستقلة فو جهان الصحيح الاتمام ايضاً لكن هل تنقلت بنفسها ام لابد من قصد قلبها و جهان في النهاية رجح النووى عدم الاشتراط و اذا قلنا لا يتمها ظهراً فهل يبطل لم يبق نهاراً فيه الخلاف فمن يرى الظهر قبل الزوال و نظایره... هل يقصر من حيث توافق الصلاتين في العدد بناه بعضهم على هذا الاصل ان قلنا انها ظهر مقصورة فله العصر و الا فلا و الصحيح عند الاكثرين المنع مطلقاً.</w:t>
      </w:r>
    </w:p>
    <w:p>
      <w:pPr>
        <w:pStyle w:val="BookText"/>
      </w:pPr>
      <w:r>
        <w:rPr>
          <w:rFonts w:ascii="IRNazanin" w:hAnsi="IRNazanin" w:eastAsia="IRNazanin" w:cs="IRNazanin"/>
          <w:lang w:bidi="fa-IR"/>
          <w:color w:val="111111"/>
          <w:sz w:val="28"/>
          <w:szCs w:val="28"/>
          <w:rtl/>
        </w:rPr>
        <w:t xml:space="preserve">مشهد؛ رضوی؛ شماره نسخه: ۷۴۳۴</w:t>
      </w:r>
    </w:p>
    <w:p>
      <w:pPr>
        <w:pStyle w:val="BookText"/>
      </w:pPr>
      <w:r>
        <w:rPr>
          <w:rFonts w:ascii="IRNazanin" w:hAnsi="IRNazanin" w:eastAsia="IRNazanin" w:cs="IRNazanin"/>
          <w:lang w:bidi="fa-IR"/>
          <w:color w:val="111111"/>
          <w:sz w:val="28"/>
          <w:szCs w:val="28"/>
          <w:rtl/>
        </w:rPr>
        <w:t xml:space="preserve">آغاز: بسمله قاعدة. اذا دار فعل النبي (صلّی اللَّهِ علیه وَ آلِهِ وَ سَلَّمَ ) بين أن يكون جبلياً و بين ان يكون شرعياً فهل تحمل على الجبلى لان الاصل عدم التشريع ؛ انجام: هو الاول و منها لو اعترفت العاقلة</w:t>
      </w:r>
    </w:p>
    <w:p>
      <w:pPr>
        <w:pStyle w:val="BookText"/>
      </w:pPr>
      <w:r>
        <w:rPr>
          <w:rFonts w:ascii="IRNazanin" w:hAnsi="IRNazanin" w:eastAsia="IRNazanin" w:cs="IRNazanin"/>
          <w:lang w:bidi="fa-IR"/>
          <w:color w:val="111111"/>
          <w:sz w:val="28"/>
          <w:szCs w:val="28"/>
          <w:rtl/>
        </w:rPr>
        <w:t xml:space="preserve">از طهارت تا دیات؛ خط: نسخ کهن، بی کا، تا: قرن ۸؛ افتادگی: انجام؛ کاغذ: نخودی ،آهاری ،جلد: تیماج مشکی، ۱۴۶گ، مختلف السطر،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۲۴سم [ف: ۲۱/۱ - ۱۱۳]</w:t>
      </w:r>
    </w:p>
    <w:p>
      <w:pPr>
        <w:pStyle w:val="Heading3"/>
      </w:pPr>
      <w:bookmarkStart w:id="1879" w:name="_Toc1401"/>
      <w:r>
        <w:t>الاشباه والنظائر / فقه / عربی</w:t>
      </w:r>
      <w:bookmarkEnd w:id="1879"/>
    </w:p>
    <w:p>
      <w:pPr>
        <w:pStyle w:val="BookText"/>
      </w:pPr>
      <w:r>
        <w:rPr>
          <w:rFonts w:ascii="Times New Roman" w:hAnsi="Times New Roman" w:eastAsia="Times New Roman" w:cs="Times New Roman"/>
          <w:lang w:val="en-US" w:bidi="en-US"/>
          <w:color w:val="111111"/>
          <w:sz w:val="28"/>
          <w:szCs w:val="28"/>
          <w:rtl/>
        </w:rPr>
        <w:t xml:space="preserve">al-ašbah wa-n-naṇā'ir</w:t>
      </w:r>
    </w:p>
    <w:p>
      <w:pPr>
        <w:pStyle w:val="BookText"/>
      </w:pPr>
      <w:r>
        <w:rPr>
          <w:rFonts w:ascii="IRNazanin" w:hAnsi="IRNazanin" w:eastAsia="IRNazanin" w:cs="IRNazanin"/>
          <w:lang w:bidi="fa-IR"/>
          <w:color w:val="111111"/>
          <w:sz w:val="28"/>
          <w:szCs w:val="28"/>
          <w:rtl/>
        </w:rPr>
        <w:t xml:space="preserve">سبكی، عبدالوهاب بن علی، ۷۲۷ - ۷۷۱؟ قمری</w:t>
      </w:r>
    </w:p>
    <w:p>
      <w:pPr>
        <w:pStyle w:val="BookText"/>
      </w:pPr>
      <w:r>
        <w:rPr>
          <w:rFonts w:ascii="Times New Roman" w:hAnsi="Times New Roman" w:eastAsia="Times New Roman" w:cs="Times New Roman"/>
          <w:lang w:val="en-US" w:bidi="en-US"/>
          <w:color w:val="111111"/>
          <w:sz w:val="28"/>
          <w:szCs w:val="28"/>
          <w:rtl/>
        </w:rPr>
        <w:t xml:space="preserve">(sobki, abd-ol-vahhab ebne ali (1327 - 1370)</w:t>
      </w:r>
    </w:p>
    <w:p>
      <w:pPr>
        <w:pStyle w:val="BookText"/>
      </w:pPr>
      <w:r>
        <w:rPr>
          <w:rFonts w:ascii="IRNazanin" w:hAnsi="IRNazanin" w:eastAsia="IRNazanin" w:cs="IRNazanin"/>
          <w:lang w:bidi="fa-IR"/>
          <w:color w:val="111111"/>
          <w:sz w:val="28"/>
          <w:szCs w:val="28"/>
          <w:rtl/>
        </w:rPr>
        <w:t xml:space="preserve">کتابی مفصل در فقه استدلالی که مطابق مذهب شافعیه نگاشته شده است.</w:t>
      </w:r>
    </w:p>
    <w:p>
      <w:pPr>
        <w:pStyle w:val="BookText"/>
      </w:pPr>
      <w:r>
        <w:rPr>
          <w:rFonts w:ascii="IRNazanin" w:hAnsi="IRNazanin" w:eastAsia="IRNazanin" w:cs="IRNazanin"/>
          <w:lang w:bidi="fa-IR"/>
          <w:color w:val="111111"/>
          <w:sz w:val="28"/>
          <w:szCs w:val="28"/>
          <w:rtl/>
        </w:rPr>
        <w:t xml:space="preserve">آغاز: بسمله رب زدنی علما الحمد لله الذى لا تطير له تعالى في ذاته ولا شبيه ولا ممائل فى صفاته، تعالى ان يشبه ذاته ذات او صفاته صفات، انفرد بذلك عن مخلوقاته واعجر البلغاء عن ادراك الاحاطة بجميل صفاته</w:t>
      </w:r>
    </w:p>
    <w:p>
      <w:pPr>
        <w:pStyle w:val="BookText"/>
      </w:pPr>
      <w:r>
        <w:rPr>
          <w:rFonts w:ascii="IRNazanin" w:hAnsi="IRNazanin" w:eastAsia="IRNazanin" w:cs="IRNazanin"/>
          <w:lang w:bidi="fa-IR"/>
          <w:color w:val="111111"/>
          <w:sz w:val="28"/>
          <w:szCs w:val="28"/>
          <w:rtl/>
        </w:rPr>
        <w:t xml:space="preserve">انجام: قاعدة، قال الجرجانى كل من وطى امة بغير  ملک  يمين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bookmarkStart w:id="396" w:name="pg20365_260550"/>
    <w:bookmarkEnd w:id="396"/>
    <w:p>
      <w:pPr>
        <w:pStyle w:val="BookText"/>
      </w:pPr>
      <w:r>
        <w:rPr>
          <w:rFonts w:ascii="Amiri" w:hAnsi="Amiri" w:eastAsia="Amiri" w:cs="Amiri"/>
          <w:lang w:bidi="ar-SA"/>
          <w:color w:val="111111"/>
          <w:sz w:val="28"/>
          <w:szCs w:val="28"/>
          <w:rtl/>
        </w:rPr>
        <w:t xml:space="preserve">عالما ... امه فولده منها رفيق الا فى مسئلة واحدة و ... على القول بان العرب لا يستر فنون قال مولفه على الله له... الله الحمد.</w:t>
      </w:r>
    </w:p>
    <w:p>
      <w:pPr>
        <w:pStyle w:val="BookText"/>
      </w:pPr>
      <w:r>
        <w:rPr>
          <w:rFonts w:ascii="IRNazanin" w:hAnsi="IRNazanin" w:eastAsia="IRNazanin" w:cs="IRNazanin"/>
          <w:lang w:bidi="fa-IR"/>
          <w:color w:val="111111"/>
          <w:sz w:val="28"/>
          <w:szCs w:val="28"/>
          <w:rtl/>
        </w:rPr>
        <w:t xml:space="preserve">قزوین؛ امام صادق؛ شماره نسخه:۴۲۰</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کامل؛ خط: نسخ عتيق، كا: محمد بن کا: محمد بن سلیمان بن محمد عثمـانی ،حنفی، تا: چهارشنبه ۴ محرم ۸۷۲ق، برای «اقضى القضاة شهـاب الدين شرف العلماء اوحد الفضلاء ابو العباس احمد الصوفی الشافعي خليفة الحاكم العزيز بالديار المصرية؛ واقف: حاجی محمد هاشم تاجر با تولیت حاجی عبدالوهاب قزوینی، ذیقعده ۱۲۳۱ق؛ تملک: قاسم بن عبدالرحيم العلوانی؛ جلد: گالینگور آبی، ۳۱۰گ، ۲۷ سطر [ف: ۱ - ۳۲]</w:t>
      </w:r>
    </w:p>
    <w:p>
      <w:pPr>
        <w:pStyle w:val="Heading3"/>
      </w:pPr>
      <w:bookmarkStart w:id="1880" w:name="_Toc1402"/>
      <w:r>
        <w:t>الاشباه والنظائر / فقه / عربی</w:t>
      </w:r>
      <w:bookmarkEnd w:id="1880"/>
    </w:p>
    <w:p>
      <w:pPr>
        <w:pStyle w:val="BookText"/>
      </w:pPr>
      <w:r>
        <w:rPr>
          <w:rFonts w:ascii="Times New Roman" w:hAnsi="Times New Roman" w:eastAsia="Times New Roman" w:cs="Times New Roman"/>
          <w:lang w:val="en-US" w:bidi="en-US"/>
          <w:color w:val="111111"/>
          <w:sz w:val="28"/>
          <w:szCs w:val="28"/>
          <w:rtl/>
        </w:rPr>
        <w:t xml:space="preserve">al-ašbāh wa-n-naẓā’ir</w:t>
      </w:r>
    </w:p>
    <w:p>
      <w:pPr>
        <w:pStyle w:val="BookText"/>
      </w:pPr>
      <w:r>
        <w:rPr>
          <w:rFonts w:ascii="IRNazanin" w:hAnsi="IRNazanin" w:eastAsia="IRNazanin" w:cs="IRNazanin"/>
          <w:lang w:bidi="fa-IR"/>
          <w:color w:val="111111"/>
          <w:sz w:val="28"/>
          <w:szCs w:val="28"/>
          <w:rtl/>
        </w:rPr>
        <w:t xml:space="preserve">مالکی، عبدی بن محمد</w:t>
      </w:r>
    </w:p>
    <w:p>
      <w:pPr>
        <w:pStyle w:val="BookText"/>
      </w:pPr>
      <w:r>
        <w:rPr>
          <w:rFonts w:ascii="Times New Roman" w:hAnsi="Times New Roman" w:eastAsia="Times New Roman" w:cs="Times New Roman"/>
          <w:lang w:val="en-US" w:bidi="en-US"/>
          <w:color w:val="111111"/>
          <w:sz w:val="28"/>
          <w:szCs w:val="28"/>
          <w:rtl/>
        </w:rPr>
        <w:t xml:space="preserve">mālekī, ‘abdī ebn-e mohammad</w:t>
      </w:r>
    </w:p>
    <w:p>
      <w:pPr>
        <w:pStyle w:val="BookText"/>
      </w:pPr>
      <w:r>
        <w:rPr>
          <w:rFonts w:ascii="IRNazanin" w:hAnsi="IRNazanin" w:eastAsia="IRNazanin" w:cs="IRNazanin"/>
          <w:lang w:bidi="fa-IR"/>
          <w:color w:val="111111"/>
          <w:sz w:val="28"/>
          <w:szCs w:val="28"/>
          <w:rtl/>
        </w:rPr>
        <w:t xml:space="preserve">در مسائلی که در جهتی با یکدیگر شباهت دارند، بر اساس فقه اهل سنت، با نقل بسیاری از اقوال با عنوان «قیل»، مختصر و بدون ذكر أدله آن مسائل.</w:t>
      </w:r>
    </w:p>
    <w:p>
      <w:pPr>
        <w:pStyle w:val="BookText"/>
      </w:pPr>
      <w:r>
        <w:rPr>
          <w:rFonts w:ascii="IRNazanin" w:hAnsi="IRNazanin" w:eastAsia="IRNazanin" w:cs="IRNazanin"/>
          <w:lang w:bidi="fa-IR"/>
          <w:color w:val="111111"/>
          <w:sz w:val="28"/>
          <w:szCs w:val="28"/>
          <w:rtl/>
        </w:rPr>
        <w:t xml:space="preserve">قم؛ مرعشی؛ شماره نسخه: ۴۲۶۷/۱</w:t>
      </w:r>
    </w:p>
    <w:p>
      <w:pPr>
        <w:pStyle w:val="BookText"/>
      </w:pPr>
      <w:r>
        <w:rPr>
          <w:rFonts w:ascii="IRNazanin" w:hAnsi="IRNazanin" w:eastAsia="IRNazanin" w:cs="IRNazanin"/>
          <w:lang w:bidi="fa-IR"/>
          <w:color w:val="111111"/>
          <w:sz w:val="28"/>
          <w:szCs w:val="28"/>
          <w:rtl/>
        </w:rPr>
        <w:t xml:space="preserve">آغاز: باب فی مسائل الغرر ، هبة الغرر جائزة ورهن الغرر جائز کله عند ابن القاسم؛ انجام: و كذلك التأجيل في الخصومة فى الدور و الارضين الخول من غير هاد.</w:t>
      </w:r>
    </w:p>
    <w:p>
      <w:pPr>
        <w:pStyle w:val="BookText"/>
      </w:pPr>
      <w:r>
        <w:rPr>
          <w:rFonts w:ascii="IRNazanin" w:hAnsi="IRNazanin" w:eastAsia="IRNazanin" w:cs="IRNazanin"/>
          <w:lang w:bidi="fa-IR"/>
          <w:color w:val="111111"/>
          <w:sz w:val="28"/>
          <w:szCs w:val="28"/>
          <w:rtl/>
        </w:rPr>
        <w:t xml:space="preserve">گویا قطعه ای از کتاب باشد که به مسائل غرر شروع شده و به احکام دین ختم می شود؛ خط: نسخ، بی کا، تا: ۸۸۸ق؛ جا: مدینه؛ مصحح، جلد: مقوایی عطف تیماج فرسوده، ۴۱گ (1پ-41ر)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۱۸سم[ف: ۱۱ - ۲۶۹]</w:t>
      </w:r>
    </w:p>
    <w:p>
      <w:pPr>
        <w:pStyle w:val="Heading3"/>
      </w:pPr>
      <w:bookmarkStart w:id="1881" w:name="_Toc1403"/>
      <w:r>
        <w:t>الاشباه والنظائر الفقهية على مذهب الحنفية  = الاشباه والنظائر فى الفروع / فقه / عربي</w:t>
      </w:r>
      <w:bookmarkEnd w:id="1881"/>
    </w:p>
    <w:p>
      <w:pPr>
        <w:pStyle w:val="BookText"/>
      </w:pPr>
      <w:r>
        <w:rPr>
          <w:rFonts w:ascii="Times New Roman" w:hAnsi="Times New Roman" w:eastAsia="Times New Roman" w:cs="Times New Roman"/>
          <w:lang w:val="en-US" w:bidi="en-US"/>
          <w:color w:val="111111"/>
          <w:sz w:val="28"/>
          <w:szCs w:val="28"/>
          <w:rtl/>
        </w:rPr>
        <w:t xml:space="preserve">al-ašbāh wa-n naẓā’ir-il fiqhīyya ‘alā maḏhab-il</w:t>
      </w:r>
    </w:p>
    <w:p>
      <w:pPr>
        <w:pStyle w:val="BookText"/>
      </w:pPr>
      <w:r>
        <w:rPr>
          <w:rFonts w:ascii="Times New Roman" w:hAnsi="Times New Roman" w:eastAsia="Times New Roman" w:cs="Times New Roman"/>
          <w:lang w:val="en-US" w:bidi="en-US"/>
          <w:color w:val="111111"/>
          <w:sz w:val="28"/>
          <w:szCs w:val="28"/>
          <w:rtl/>
        </w:rPr>
        <w:t xml:space="preserve">ḥanafīyya = al-ašbāh wa-n-naẓā’ir fi-l-furū‘</w:t>
      </w:r>
    </w:p>
    <w:p>
      <w:pPr>
        <w:pStyle w:val="BookText"/>
      </w:pPr>
      <w:r>
        <w:rPr>
          <w:rFonts w:ascii="IRNazanin" w:hAnsi="IRNazanin" w:eastAsia="IRNazanin" w:cs="IRNazanin"/>
          <w:lang w:bidi="fa-IR"/>
          <w:color w:val="111111"/>
          <w:sz w:val="28"/>
          <w:szCs w:val="28"/>
          <w:rtl/>
        </w:rPr>
        <w:t xml:space="preserve">ابن نجیم، زین الدین بن ابراهیم، - ۹۷۰ قمری</w:t>
      </w:r>
    </w:p>
    <w:p>
      <w:pPr>
        <w:pStyle w:val="BookText"/>
      </w:pPr>
      <w:r>
        <w:rPr>
          <w:rFonts w:ascii="Times New Roman" w:hAnsi="Times New Roman" w:eastAsia="Times New Roman" w:cs="Times New Roman"/>
          <w:lang w:val="en-US" w:bidi="en-US"/>
          <w:color w:val="111111"/>
          <w:sz w:val="28"/>
          <w:szCs w:val="28"/>
          <w:rtl/>
        </w:rPr>
        <w:t xml:space="preserve">(ebn-e nojaym, zeyn-od-dīn ebn-e ebrāhīm (- 1563)</w:t>
      </w:r>
    </w:p>
    <w:p>
      <w:pPr>
        <w:pStyle w:val="BookText"/>
      </w:pPr>
      <w:r>
        <w:rPr>
          <w:rFonts w:ascii="IRNazanin" w:hAnsi="IRNazanin" w:eastAsia="IRNazanin" w:cs="IRNazanin"/>
          <w:lang w:bidi="fa-IR"/>
          <w:color w:val="111111"/>
          <w:sz w:val="28"/>
          <w:szCs w:val="28"/>
          <w:rtl/>
        </w:rPr>
        <w:t xml:space="preserve">تاریخ تأليف: ۲۷ جمادی الثانی ۹۶۹ق (در مدت شش ماه)</w:t>
      </w:r>
    </w:p>
    <w:p>
      <w:pPr>
        <w:pStyle w:val="BookText"/>
      </w:pPr>
      <w:r>
        <w:rPr>
          <w:rFonts w:ascii="IRNazanin" w:hAnsi="IRNazanin" w:eastAsia="IRNazanin" w:cs="IRNazanin"/>
          <w:lang w:bidi="fa-IR"/>
          <w:color w:val="111111"/>
          <w:sz w:val="28"/>
          <w:szCs w:val="28"/>
          <w:rtl/>
        </w:rPr>
        <w:t xml:space="preserve">کتابی معروف نزد حنفیان در قواعد کلی فقهی در هفت «نوع»: ۱. قواعدی که برای مجتهد لازم است (قواعد اصول فقه)؛ ۲. ضوابط؛ ۳ .فن جمع و فرق؛ ۴. فن الغاز ؛ ۵. فن حيل؛ ۶. اشبا نظائر؛ 7. فن حکایات. آن را پس از «الفوائد الزينية في فقه الحنفية» نوشته است. نام منابع مورد استفاده مؤلف در مقدمه کتاب آمده است.</w:t>
      </w:r>
    </w:p>
    <w:p>
      <w:pPr>
        <w:pStyle w:val="BookText"/>
      </w:pPr>
      <w:r>
        <w:rPr>
          <w:rFonts w:ascii="Amiri" w:hAnsi="Amiri" w:eastAsia="Amiri" w:cs="Amiri"/>
          <w:lang w:bidi="ar-SA"/>
          <w:color w:val="111111"/>
          <w:sz w:val="28"/>
          <w:szCs w:val="28"/>
          <w:rtl/>
        </w:rPr>
        <w:t xml:space="preserve">آغاز: الحمد لله على ما انعم وصلى الله على سيدنا محمد وسلم  وبعد فان الفقه اشرف العلوم قدرا و أعظمها اجرا.</w:t>
      </w:r>
    </w:p>
    <w:p>
      <w:pPr>
        <w:pStyle w:val="BookText"/>
      </w:pPr>
      <w:r>
        <w:rPr>
          <w:rFonts w:ascii="Amiri" w:hAnsi="Amiri" w:eastAsia="Amiri" w:cs="Amiri"/>
          <w:lang w:bidi="ar-SA"/>
          <w:color w:val="111111"/>
          <w:sz w:val="28"/>
          <w:szCs w:val="28"/>
          <w:rtl/>
        </w:rPr>
        <w:t xml:space="preserve">انجام: حتى جعلوه على رأس شجرتين فتقطع نصفين رحمه الله وهذا آخر ما اردنا من كتاب الاشباه والنظاير في الفقه على مذهب ... ابي حنيفه النعمان بن ثابت الكوفى ... لم اطلع له على  نظير في كتب اصحابنا رحمهم الله تعالى تم.</w:t>
      </w:r>
    </w:p>
    <w:p>
      <w:pPr>
        <w:pStyle w:val="BookText"/>
      </w:pPr>
      <w:r>
        <w:rPr>
          <w:rFonts w:ascii="IRNazanin" w:hAnsi="IRNazanin" w:eastAsia="IRNazanin" w:cs="IRNazanin"/>
          <w:lang w:bidi="fa-IR"/>
          <w:color w:val="111111"/>
          <w:sz w:val="28"/>
          <w:szCs w:val="28"/>
          <w:rtl/>
        </w:rPr>
        <w:t xml:space="preserve">چاپ: به دفعات در هند، مصر و سوریه چاپ شده است که از آن جمله است چاپ محمد مطیع حافظ به سال ۱۴۰۳ق/۱۹۸۳م در دمشق؛ القاهرة ۱۹۶۸م، بعناية عبد العزيز الوكيل؛ نخستین بار در شهر کلکته - هند، سنگی، ۱۲۴۱ق</w:t>
      </w:r>
    </w:p>
    <w:p>
      <w:pPr>
        <w:pStyle w:val="BookText"/>
      </w:pPr>
      <w:r>
        <w:rPr>
          <w:rFonts w:ascii="IRNazanin" w:hAnsi="IRNazanin" w:eastAsia="IRNazanin" w:cs="IRNazanin"/>
          <w:lang w:bidi="fa-IR"/>
          <w:color w:val="111111"/>
          <w:sz w:val="28"/>
          <w:szCs w:val="28"/>
          <w:rtl/>
        </w:rPr>
        <w:t xml:space="preserve">[دنا ۸۴۳/۱ (۱۷ نسخه)؛ کشف الظنون ۹۸/۱؛ ريحانة الأدب ۹۸/۱؛ معجم المطبوعات ۲۶۵/۱؛ معجم المؤلفين ،۱۹۲/۴؛ ذخائر التراث العربي الاسلامي 1/ 260؛ برو کلمن ذیل 2: 425؛ الاوقاف العامة بغداد ۳۷۹/۱ و ۳۸۰/۱ و ۳۸۱/۱  و ۳۸۲/۱؛ الاوقاف العامة موصل ۶۷/۴ و ۶۸/۴؛ المعجم الشامل للتراث العربي  المطبوع: ۲۲۷/۵]</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IRNazanin" w:hAnsi="IRNazanin" w:eastAsia="IRNazanin" w:cs="IRNazanin"/>
          <w:lang w:bidi="fa-IR"/>
          <w:color w:val="111111"/>
          <w:sz w:val="28"/>
          <w:szCs w:val="28"/>
          <w:rtl/>
        </w:rPr>
        <w:t xml:space="preserve">١- غمز عيون البصائر على محاسن الأشباه والنظائر؛حموی، احمد بن محمد (-۱۰۹۸)</w:t>
      </w:r>
    </w:p>
    <w:p>
      <w:pPr>
        <w:pStyle w:val="BookText"/>
      </w:pPr>
      <w:r>
        <w:rPr>
          <w:rFonts w:ascii="Amiri" w:hAnsi="Amiri" w:eastAsia="Amiri" w:cs="Amiri"/>
          <w:lang w:bidi="ar-SA"/>
          <w:color w:val="111111"/>
          <w:sz w:val="28"/>
          <w:szCs w:val="28"/>
          <w:rtl/>
        </w:rPr>
        <w:t xml:space="preserve">۲- تنوير الاذهان و الضمائر فى شرح الاشباه والنظائر؛ جلب مصلح الدين، مصطفى بن خير الدين (-۱۲)</w:t>
      </w:r>
    </w:p>
    <w:p>
      <w:pPr>
        <w:pStyle w:val="BookText"/>
      </w:pPr>
      <w:r>
        <w:rPr>
          <w:rFonts w:ascii="IRNazanin" w:hAnsi="IRNazanin" w:eastAsia="IRNazanin" w:cs="IRNazanin"/>
          <w:lang w:bidi="fa-IR"/>
          <w:color w:val="111111"/>
          <w:sz w:val="28"/>
          <w:szCs w:val="28"/>
          <w:rtl/>
        </w:rPr>
        <w:t xml:space="preserve">۱ .قم؛ مرکز احیاء؛ شماره نسخه: ۷۰۴</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نسخه اصل: کتابخانه فاضل خوانساری-خوانسار ۳۷ [ در فهرست خوانسار ذیل این شماره «الفوائد الزينية فى فقه الحنفية» معرفی شده و معلوم نیست هر دو کتاب است یا یکی]؛ خط: نسخ، بی کا، تا: ۹ ذیحجه ،۹۸۱ ق ،مصحح، دارای نشان بلاغ، در برگ اول نام کتاب و شرحی درباره آن از محمد خوانساری آمده؛ ۵۴۶ص  [ عکسی ف: ۲ - ۳۴۱]</w:t>
      </w:r>
    </w:p>
    <w:p>
      <w:pPr>
        <w:pStyle w:val="BookText"/>
      </w:pPr>
      <w:r>
        <w:rPr>
          <w:rFonts w:ascii="IRNazanin" w:hAnsi="IRNazanin" w:eastAsia="IRNazanin" w:cs="IRNazanin"/>
          <w:lang w:bidi="fa-IR"/>
          <w:color w:val="111111"/>
          <w:sz w:val="28"/>
          <w:szCs w:val="28"/>
          <w:rtl/>
        </w:rPr>
        <w:t xml:space="preserve">۲. تهران؛ الهیات؛ شماره نسخه: ۲۰۱</w:t>
      </w:r>
    </w:p>
    <w:p>
      <w:pPr>
        <w:pStyle w:val="BookText"/>
      </w:pPr>
      <w:r>
        <w:rPr>
          <w:rFonts w:ascii="IRNazanin" w:hAnsi="IRNazanin" w:eastAsia="IRNazanin" w:cs="IRNazanin"/>
          <w:lang w:bidi="fa-IR"/>
          <w:color w:val="111111"/>
          <w:sz w:val="28"/>
          <w:szCs w:val="28"/>
          <w:rtl/>
        </w:rPr>
        <w:t xml:space="preserve">خط: نستعلیق، بی کا، تا: قرن ۱۱؛ افتادگی: انجام؛در برگ ۱۹۳ «المسئلة الخاصة فى الوكالة» از ابن نجیم و در ۱۹۴ شرحی در بیان «ما يسقط من الحقوق بالاسقاط و مالا يسقط» دیده می شود؛ کاغذ: فرنگی، جلد: تیماج سرخ ضربی مقوایی، ۱۹۷گ، ۲۳ سطر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۴۵۵]</w:t>
      </w:r>
    </w:p>
    <w:p>
      <w:pPr>
        <w:pStyle w:val="BookText"/>
      </w:pPr>
      <w:r>
        <w:rPr>
          <w:rFonts w:ascii="IRNazanin" w:hAnsi="IRNazanin" w:eastAsia="IRNazanin" w:cs="IRNazanin"/>
          <w:lang w:bidi="fa-IR"/>
          <w:color w:val="111111"/>
          <w:sz w:val="28"/>
          <w:szCs w:val="28"/>
          <w:rtl/>
        </w:rPr>
        <w:t xml:space="preserve">3.قم ؛مرعشی؛ شماره نسخه: ۶۴۳۰</w:t>
      </w:r>
    </w:p>
    <w:p>
      <w:pPr>
        <w:pStyle w:val="BookText"/>
      </w:pPr>
      <w:r>
        <w:rPr>
          <w:rFonts w:ascii="IRNazanin" w:hAnsi="IRNazanin" w:eastAsia="IRNazanin" w:cs="IRNazanin"/>
          <w:lang w:bidi="fa-IR"/>
          <w:color w:val="111111"/>
          <w:sz w:val="28"/>
          <w:szCs w:val="28"/>
          <w:rtl/>
        </w:rPr>
        <w:t xml:space="preserve">آغاز و انجام : برابر</w:t>
      </w:r>
    </w:p>
    <w:p>
      <w:pPr>
        <w:pStyle w:val="BookText"/>
      </w:pPr>
      <w:r>
        <w:rPr>
          <w:rFonts w:ascii="IRNazanin" w:hAnsi="IRNazanin" w:eastAsia="IRNazanin" w:cs="IRNazanin"/>
          <w:lang w:bidi="fa-IR"/>
          <w:color w:val="111111"/>
          <w:sz w:val="28"/>
          <w:szCs w:val="28"/>
          <w:rtl/>
        </w:rPr>
        <w:t xml:space="preserve">خط: نستعلیق، بی کا، تا: قرن ۱۱؛ مجدول؛ تملک: ریحان بن جعفر الموسوى، داود بن اسدالله؛ جلد: تیماج قهوه ای، ۱۵۴گ،  ۲۳ سطر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۱۹/۵سم [ف : ۱۷ - ۴۰]</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قم؛ گلپایگانی؛ شماره نسخه : ۱۸۰۷-۱۰/۱۱۷</w:t>
      </w:r>
    </w:p>
    <w:p>
      <w:pPr>
        <w:pStyle w:val="BookText"/>
      </w:pPr>
      <w:r>
        <w:rPr>
          <w:rFonts w:ascii="Amiri" w:hAnsi="Amiri" w:eastAsia="Amiri" w:cs="Amiri"/>
          <w:lang w:bidi="ar-SA"/>
          <w:color w:val="111111"/>
          <w:sz w:val="28"/>
          <w:szCs w:val="28"/>
          <w:rtl/>
        </w:rPr>
        <w:t xml:space="preserve">آغاز: بسمله الحمد الله اولاً وآخراً والصلوة والسلام على من كملت محاسنه ظاهراً وباطناً وبعد فهذا هو الفن الرابع  ومن الاشباه والنظاير وهو فن الالغاز جمع لغز قال في الصحاح الغز في كلامه اذا عمى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كتاب الطهارة ما افضل المياه فقل ما نبع من اصابعه عليه الصـلوة والسلام اى حوض صغیر؛ انجام: برابر</w:t>
      </w:r>
    </w:p>
    <w:p>
      <w:pPr>
        <w:pStyle w:val="BookText"/>
      </w:pPr>
      <w:r>
        <w:rPr>
          <w:rFonts w:ascii="IRNazanin" w:hAnsi="IRNazanin" w:eastAsia="IRNazanin" w:cs="IRNazanin"/>
          <w:lang w:bidi="fa-IR"/>
          <w:color w:val="111111"/>
          <w:sz w:val="28"/>
          <w:szCs w:val="28"/>
          <w:rtl/>
        </w:rPr>
        <w:t xml:space="preserve">نوع چهارم: الغاز تا آخر نوع هفتم: مکاتبات شيوخ؛ خط نسـخ، بی کا، تا: قرن ۱۱؛ مصحح؛ جلد: گالینگور ،مشکی، ۱۵گ، 21 سطر،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 - ۳۶۹]</w:t>
      </w:r>
    </w:p>
    <w:p>
      <w:pPr>
        <w:pStyle w:val="BookText"/>
      </w:pPr>
      <w:r>
        <w:rPr>
          <w:rFonts w:ascii="IRNazanin" w:hAnsi="IRNazanin" w:eastAsia="IRNazanin" w:cs="IRNazanin"/>
          <w:lang w:bidi="fa-IR"/>
          <w:color w:val="111111"/>
          <w:sz w:val="28"/>
          <w:szCs w:val="28"/>
          <w:rtl/>
        </w:rPr>
        <w:t xml:space="preserve">5.قم؛ گلپایگانی؛ شماره نسخه: ۱۷۰ - ۱/۱۷۰</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درویش بن یحیی بن شاهین، تا: ۲۸ شعـبان ۱۰۰۹ق؛ در برگ اول سرلوح مزدوج با کتیبه با زمینه مذهـب؛ مجدول مشکی ومذهب، دارای علامات بلاغ و تصحیح با عبارت: «بلغ مقابلة وتصحيحاً على نسخه نقلت من خط المصنف»؛ تملک: عثمان بن احمد مغنیسی مدرس در مدرسه احسانیه محله الياس صغير ۱۲۹۴؛ جلد: تیماج قهوه ای سوخت با ترنج سر با نقش گل و بوته، مجدول گرهی، ۲۳۶گ، ۲۱سطر،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۱ - ۳۶۸]</w:t>
      </w:r>
    </w:p>
    <w:p>
      <w:pPr>
        <w:pStyle w:val="BookText"/>
      </w:pPr>
      <w:r>
        <w:rPr>
          <w:rFonts w:ascii="IRNazanin" w:hAnsi="IRNazanin" w:eastAsia="IRNazanin" w:cs="IRNazanin"/>
          <w:lang w:bidi="fa-IR"/>
          <w:color w:val="111111"/>
          <w:sz w:val="28"/>
          <w:szCs w:val="28"/>
          <w:rtl/>
        </w:rPr>
        <w:t xml:space="preserve">۶. تهران؛ دانشگاه؛ شماره نسخه: ۸۸۵۹</w:t>
      </w:r>
    </w:p>
    <w:p>
      <w:pPr>
        <w:pStyle w:val="BookText"/>
      </w:pPr>
      <w:r>
        <w:rPr>
          <w:rFonts w:ascii="IRNazanin" w:hAnsi="IRNazanin" w:eastAsia="IRNazanin" w:cs="IRNazanin"/>
          <w:lang w:bidi="fa-IR"/>
          <w:color w:val="111111"/>
          <w:sz w:val="28"/>
          <w:szCs w:val="28"/>
          <w:rtl/>
        </w:rPr>
        <w:t xml:space="preserve">خط: نستعلیق، کا: عبد الله عمر، تا: محرم ۱۰۱۰ق؛ مجدول؛كاغذ:سپاهانی، جلد: تیماج تریاکی ضربی مقوایی، ۹گ، ۲۵  سطر(۶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قطع: ربعی،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۱۷ - ۲۳۷]</w:t>
      </w:r>
    </w:p>
    <w:p>
      <w:pPr>
        <w:pStyle w:val="BookText"/>
      </w:pPr>
      <w:r>
        <w:rPr>
          <w:rFonts w:ascii="IRNazanin" w:hAnsi="IRNazanin" w:eastAsia="IRNazanin" w:cs="IRNazanin"/>
          <w:lang w:bidi="fa-IR"/>
          <w:color w:val="111111"/>
          <w:sz w:val="28"/>
          <w:szCs w:val="28"/>
          <w:rtl/>
        </w:rPr>
        <w:t xml:space="preserve">۷. قم؛ مرعشی؛ شماره نسخه: ۱۳۸۲۵/۲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۲۷رجب ۱۰۴۰ق؛ مصحح ، محشی با نشان های «علی چلبی»، «زیرک زاده»؛ «طاش کبری زاده»، «سـنبل زاده»، «محمد رحمه الله»، «شرح»، «منه»( به نقل از خود مولف)، «تنویر الاذهان»، «حموی»، «البزازیه»، «قاموس»، «مغرب»، «الشـیخ على المقدسی» و ... دارد، در پشت برگ پایانی چند مسئله شرعی به ترکی (با گویش عثمانی) آمده که در زیر آن امضای «حرره الفقير حسن المفتى ب ...»مشهود می باشد ؛کاغذ: فرنگی، جـلد: مقوایی با روکش کاغذ بنفش، مغزی تیماج قهوه ای عطف پارچه، ۱۹۶گ( 7پ- 202ر)، ابعاد متن: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۷/۵  ، اندازه: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۱۹/۵سم [ف: ۳۵ - ۱۰۷]</w:t>
      </w:r>
    </w:p>
    <w:p>
      <w:pPr>
        <w:pStyle w:val="BookText"/>
      </w:pPr>
      <w:r>
        <w:rPr>
          <w:rFonts w:ascii="IRNazanin" w:hAnsi="IRNazanin" w:eastAsia="IRNazanin" w:cs="IRNazanin"/>
          <w:lang w:bidi="fa-IR"/>
          <w:color w:val="111111"/>
          <w:sz w:val="28"/>
          <w:szCs w:val="28"/>
          <w:rtl/>
        </w:rPr>
        <w:t xml:space="preserve">۸. مشهد؛ رضوی؛ شماره نسخه: ۲۲۳۶</w:t>
      </w:r>
    </w:p>
    <w:p>
      <w:pPr>
        <w:pStyle w:val="BookText"/>
      </w:pPr>
      <w:r>
        <w:rPr>
          <w:rFonts w:ascii="IRNazanin" w:hAnsi="IRNazanin" w:eastAsia="IRNazanin" w:cs="IRNazanin"/>
          <w:lang w:bidi="fa-IR"/>
          <w:color w:val="111111"/>
          <w:sz w:val="28"/>
          <w:szCs w:val="28"/>
          <w:rtl/>
        </w:rPr>
        <w:t xml:space="preserve">آغاز: برابر؛ انجام: الا اذا كان عبد بين مسلم و نصرانی فشهد نصرانیان علیهما (ادامه اش در نسخه بعد)</w:t>
      </w:r>
    </w:p>
    <w:p>
      <w:pPr>
        <w:pStyle w:val="BookText"/>
      </w:pPr>
      <w:r>
        <w:rPr>
          <w:rFonts w:ascii="IRNazanin" w:hAnsi="IRNazanin" w:eastAsia="IRNazanin" w:cs="IRNazanin"/>
          <w:lang w:bidi="fa-IR"/>
          <w:color w:val="111111"/>
          <w:sz w:val="28"/>
          <w:szCs w:val="28"/>
          <w:rtl/>
        </w:rPr>
        <w:t xml:space="preserve">جلد ۱؛ خط: نسخ، بی کا، تا: یک شنبه ۱۸ صفر ۱۰۶۰ق؛ واقف: مرتضـی قلی خان، سال ۱۳۴۰؛کاغذ: نخودی آهار مهره ،جلد: تیماج مشکی، ۱۸۰ گ، ۲۳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۲۱/۱ - ۱۱۲]</w:t>
      </w:r>
    </w:p>
    <w:p>
      <w:pPr>
        <w:pStyle w:val="BookText"/>
      </w:pPr>
      <w:r>
        <w:rPr>
          <w:rFonts w:ascii="IRNazanin" w:hAnsi="IRNazanin" w:eastAsia="IRNazanin" w:cs="IRNazanin"/>
          <w:lang w:bidi="fa-IR"/>
          <w:color w:val="111111"/>
          <w:sz w:val="28"/>
          <w:szCs w:val="28"/>
          <w:rtl/>
        </w:rPr>
        <w:t xml:space="preserve">۹. مشهد؛ رضوی؛ شماره نسخه: ۲۲۳۷</w:t>
      </w:r>
    </w:p>
    <w:p>
      <w:pPr>
        <w:pStyle w:val="BookText"/>
      </w:pPr>
      <w:r>
        <w:rPr>
          <w:rFonts w:ascii="Amiri" w:hAnsi="Amiri" w:eastAsia="Amiri" w:cs="Amiri"/>
          <w:lang w:bidi="ar-SA"/>
          <w:color w:val="111111"/>
          <w:sz w:val="28"/>
          <w:szCs w:val="28"/>
          <w:rtl/>
        </w:rPr>
        <w:t xml:space="preserve">آغاز: عليهما بالعتق فانها تقبل فى حق النصراني فقط كما العتاق منها؛ انجام:برابر</w:t>
      </w:r>
    </w:p>
    <w:p>
      <w:pPr>
        <w:pStyle w:val="BookText"/>
      </w:pPr>
      <w:r>
        <w:rPr>
          <w:rFonts w:ascii="IRNazanin" w:hAnsi="IRNazanin" w:eastAsia="IRNazanin" w:cs="IRNazanin"/>
          <w:lang w:bidi="fa-IR"/>
          <w:color w:val="111111"/>
          <w:sz w:val="28"/>
          <w:szCs w:val="28"/>
          <w:rtl/>
        </w:rPr>
        <w:t xml:space="preserve">جلد ۲، این نسخه که ادامه نسخه ۲۲۳۶ است از اواسط قضـاء شروع و به کتاب عتاق ختم شده و پس از آن حکایات و مراسلات و وصیت ابویوسف از علمای حنفی است؛ خط: نسـخ،  بی کا، تا: ۱۸ صفر ۱۰۶۰ق ؛واقف: مرتضی قلی خان، ۱۳۴۰؛ کاغذ: نخودی آهار مهره، جلد: تیماج مشکی، ۱۷۸گ، ۲۳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۲۱/۱ - ۱۱۲]</w:t>
      </w:r>
    </w:p>
    <w:p>
      <w:pPr>
        <w:pStyle w:val="BookText"/>
      </w:pPr>
      <w:r>
        <w:rPr>
          <w:rFonts w:ascii="IRNazanin" w:hAnsi="IRNazanin" w:eastAsia="IRNazanin" w:cs="IRNazanin"/>
          <w:lang w:bidi="fa-IR"/>
          <w:color w:val="111111"/>
          <w:sz w:val="28"/>
          <w:szCs w:val="28"/>
          <w:rtl/>
        </w:rPr>
        <w:t xml:space="preserve">۱۰. قم؛ مرعشی؛ شماره نسخه: ۱۵۰۹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۷ شوال ۱۰۷۵ق؛ مجدول به لاجورد  قبل ازکتاب فهرست قواعد و موضوعات؛ جلد: مقوایی عطف تیماج مشکی، ۲۰۷گ، ۲۳ 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۴ - ۳۱۲]</w:t>
      </w:r>
    </w:p>
    <w:p>
      <w:pPr>
        <w:pStyle w:val="BookText"/>
      </w:pPr>
      <w:r>
        <w:rPr>
          <w:rFonts w:ascii="IRNazanin" w:hAnsi="IRNazanin" w:eastAsia="IRNazanin" w:cs="IRNazanin"/>
          <w:lang w:bidi="fa-IR"/>
          <w:color w:val="111111"/>
          <w:sz w:val="28"/>
          <w:szCs w:val="28"/>
          <w:rtl/>
        </w:rPr>
        <w:t xml:space="preserve">۱۱. تهران؛ مجلس؛ شماره نسخه: ۸۰۱۴/۲</w:t>
      </w:r>
    </w:p>
    <w:p>
      <w:pPr>
        <w:pStyle w:val="BookText"/>
      </w:pPr>
      <w:r>
        <w:rPr>
          <w:rFonts w:ascii="IRNazanin" w:hAnsi="IRNazanin" w:eastAsia="IRNazanin" w:cs="IRNazanin"/>
          <w:lang w:bidi="fa-IR"/>
          <w:color w:val="111111"/>
          <w:sz w:val="28"/>
          <w:szCs w:val="28"/>
          <w:rtl/>
        </w:rPr>
        <w:t xml:space="preserve">انجام: وقع الفراغ من تحريره فى سنه ۱۱۱۲ فى شهر شوال المعظم نصف الأول في يد ابی بکر و نصفه الثاني في يد عثمان صانهما الله  شان شانهما و عن البلبال ما بالهما.</w:t>
      </w:r>
    </w:p>
    <w:p>
      <w:pPr>
        <w:pStyle w:val="BookText"/>
      </w:pPr>
      <w:r>
        <w:rPr>
          <w:rFonts w:ascii="IRNazanin" w:hAnsi="IRNazanin" w:eastAsia="IRNazanin" w:cs="IRNazanin"/>
          <w:lang w:bidi="fa-IR"/>
          <w:color w:val="111111"/>
          <w:sz w:val="28"/>
          <w:szCs w:val="28"/>
          <w:rtl/>
        </w:rPr>
        <w:t xml:space="preserve">خط: نسخ، کا: نیمی از کتاب به خط ابوبکر و نیم دیگر به خط عثمان، تا: نیمه اول شوال ۱۱۱۲ق؛ نسخه کمی مانده به رمضان ۱۱۱۴ هجری  مقابله، تصحیح و اصلاح شده است (احتمالا به دست یکی از دو کاتب قبلی)، رکابه دار، محشی بدین شرح است: «مقدسي / على المقدسی، علی چلبی، یحیی افندی، اسمعیل افندی (از رمز «ا س م» هم باید منظور همو باشد). برهانی، ابن ملک شرح منار، چوی زاده، مصطفی چلبی، زیرک زاده رحمة الله علیه و این کتاب ها:الصحيفه، ترجمان صحاح / صحاح، حيوة الحيوان، شرح تحفة الملوك، الكفاية،خزانة، بحر رائق، درر غرر، يتيمة الدهر، خانية و شرح الاشباه»، در صفحه بعد از عنوان یادداشت هایی فقهی به خطی شبیه خط حواشی دیده می شود، در یک مورد خود کاتب نوشته که در ۱۱۰۵ هجری آغاز به کتابت کرده است؛ جلد: لبه دار مقوایی با روکش تیماج به رنگ قرمز سوخته، ۲۳۹گ، ۲۱سطر،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۲۷/۱ - ۳۸]</w:t>
      </w:r>
    </w:p>
    <w:p>
      <w:pPr>
        <w:pStyle w:val="BookText"/>
      </w:pPr>
      <w:r>
        <w:rPr>
          <w:rFonts w:ascii="IRNazanin" w:hAnsi="IRNazanin" w:eastAsia="IRNazanin" w:cs="IRNazanin"/>
          <w:lang w:bidi="fa-IR"/>
          <w:color w:val="111111"/>
          <w:sz w:val="28"/>
          <w:szCs w:val="28"/>
          <w:rtl/>
        </w:rPr>
        <w:t xml:space="preserve">۱۲. تهران؛ مجلس؛ شماره نسخه: ۸۰۰۳/۲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ترکستانی، کا: عثمان بن احمد بن محمد المؤذن، تا: شنبه ۱۴ شعبان ۱۱۱۸ق؛ از روی نسخه ای به خط على بن عباس به تاریخ ۹۹۷ق، دارای رکابه، دارای سرلوح ساده، مجدول، ،مصحح، در صفحه عنوان یادداشتی فقهی درباره بیع به نقل از «كتاب التجارة الحسنية» از مرحوم آقا باقر بهبهانی و در پشت برگ پایانی ۱۰ بیت ترکی با عنوان نظم عجیب» آمده؛ ۲۱۰گ(6پ-215ر)، ۲۱سطر،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۲۷/۱ - ۱۲]</w:t>
      </w:r>
    </w:p>
    <w:p>
      <w:pPr>
        <w:pStyle w:val="BookText"/>
      </w:pPr>
      <w:r>
        <w:rPr>
          <w:rFonts w:ascii="IRNazanin" w:hAnsi="IRNazanin" w:eastAsia="IRNazanin" w:cs="IRNazanin"/>
          <w:lang w:bidi="fa-IR"/>
          <w:color w:val="111111"/>
          <w:sz w:val="28"/>
          <w:szCs w:val="28"/>
          <w:rtl/>
        </w:rPr>
        <w:t xml:space="preserve">۱۳. قم؛ مرعشی؛ شماره نسخه: ۷۹۱۱</w:t>
      </w:r>
    </w:p>
    <w:p>
      <w:pPr>
        <w:pStyle w:val="BookText"/>
      </w:pPr>
      <w:r>
        <w:rPr>
          <w:rFonts w:ascii="IRNazanin" w:hAnsi="IRNazanin" w:eastAsia="IRNazanin" w:cs="IRNazanin"/>
          <w:lang w:bidi="fa-IR"/>
          <w:color w:val="111111"/>
          <w:sz w:val="28"/>
          <w:szCs w:val="28"/>
          <w:rtl/>
        </w:rPr>
        <w:t xml:space="preserve">خط: نسخ، كا: عبد الله بن ایوب ،تا: دوشنبه ۲۶ جمادی الاول  ۱۱۲۸ق، جا: خر پرت؛ تملک: حاج ابراهیم آغا ابن بیوک محمد آغا مدعو به جوته لی زاده به تاریخ ۱۲۴۶ در خر پرت با مهر «صاحب الوقف الحاج ابراهيم آغا جوته لی زاده» (دایره)، «عبده ابراهیم»، حافظ احمد مدرس با مهر «عبده احمد حافظ» (دایره)؛ جلد: مقوایی عطف تیماج  مشکی، ۲۲۷گ، مختلف السطر، اندازه: ۱۶/۵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۲۰ – ۲۴۱]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397" w:name="pg20365_260552"/>
    <w:bookmarkEnd w:id="397"/>
    <w:p>
      <w:pPr>
        <w:pStyle w:val="BookText"/>
      </w:pPr>
      <w:r>
        <w:rPr>
          <w:rFonts w:ascii="IRNazanin" w:hAnsi="IRNazanin" w:eastAsia="IRNazanin" w:cs="IRNazanin"/>
          <w:lang w:bidi="fa-IR"/>
          <w:color w:val="111111"/>
          <w:sz w:val="28"/>
          <w:szCs w:val="28"/>
          <w:rtl/>
        </w:rPr>
        <w:t xml:space="preserve">۱۴. قم؛ مرعشی؛ شماره نسخه: ۱۱۹۳۳/۱</w:t>
      </w:r>
    </w:p>
    <w:p>
      <w:pPr>
        <w:pStyle w:val="BookText"/>
      </w:pPr>
      <w:r>
        <w:rPr>
          <w:rFonts w:ascii="IRNazanin" w:hAnsi="IRNazanin" w:eastAsia="IRNazanin" w:cs="IRNazanin"/>
          <w:lang w:bidi="fa-IR"/>
          <w:color w:val="111111"/>
          <w:sz w:val="28"/>
          <w:szCs w:val="28"/>
          <w:rtl/>
        </w:rPr>
        <w:t xml:space="preserve">آغاز: برابر؛ انجام: لأنك اذا واظب عليه و دمت لعلهم يتبعونک فيكون قمع للدين فاذا.</w:t>
      </w:r>
    </w:p>
    <w:p>
      <w:pPr>
        <w:pStyle w:val="BookText"/>
      </w:pPr>
      <w:r>
        <w:rPr>
          <w:rFonts w:ascii="IRNazanin" w:hAnsi="IRNazanin" w:eastAsia="IRNazanin" w:cs="IRNazanin"/>
          <w:lang w:bidi="fa-IR"/>
          <w:color w:val="111111"/>
          <w:sz w:val="28"/>
          <w:szCs w:val="28"/>
          <w:rtl/>
        </w:rPr>
        <w:t xml:space="preserve">خط: نستعلیق، بی کا، تا: قرن ۱۳؛ افتادگی: انجام؛ مصحح، محـشی با نشان «۱۲س»، «شرح» و ...، مجدول؛ کاغذ: فرنگی، ۳۲۷گ(۳۲۷-۱) ۱۷ سطر،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۳۰ - ۲۲۷]</w:t>
      </w:r>
    </w:p>
    <w:p>
      <w:pPr>
        <w:pStyle w:val="BookText"/>
      </w:pPr>
      <w:r>
        <w:rPr>
          <w:rFonts w:ascii="IRNazanin" w:hAnsi="IRNazanin" w:eastAsia="IRNazanin" w:cs="IRNazanin"/>
          <w:lang w:bidi="fa-IR"/>
          <w:color w:val="111111"/>
          <w:sz w:val="28"/>
          <w:szCs w:val="28"/>
          <w:rtl/>
        </w:rPr>
        <w:t xml:space="preserve">۱۵. تهران؛ مجلس؛ شماره نسخه: ۸۰۷۱/۲</w:t>
      </w:r>
    </w:p>
    <w:p>
      <w:pPr>
        <w:pStyle w:val="BookText"/>
      </w:pPr>
      <w:r>
        <w:rPr>
          <w:rFonts w:ascii="IRNazanin" w:hAnsi="IRNazanin" w:eastAsia="IRNazanin" w:cs="IRNazanin"/>
          <w:lang w:bidi="fa-IR"/>
          <w:color w:val="111111"/>
          <w:sz w:val="28"/>
          <w:szCs w:val="28"/>
          <w:rtl/>
        </w:rPr>
        <w:t xml:space="preserve">خط: نستعلیق تحریری، کا: خداداد ابوالحسینی، تا: احتمالاً قـرن ۱۳؛دارای رکابه، مصحح؛ روی برگ ۲، یادداشت تملک یکی از «محمود الطباطبائی» با تاریخ ۱۲۶۰ و اندی، یادداشت صفحه قـبلی (پشت برگ اول) کتاب نیز گویا از هموست که می نویسد: «این کتاب از جمله بیست و دو مجلدی است که به مبایعه شرعی از وکیل زوجه مرحوم ملا حسن... ایلاقی، در عصر پنج شـنبه نوزدهم ربیع الثانی ۱۲۶۵ تحویل گرفته است و فهرست آنها را می آورد .قبل از فهرست کتاب ها مطلبی درباره نحوه تقسیم آنها و قیمتشان آمده؛ جلد: مقوایی با روکش تیماج قهوه ای ساده، ۲۰۹گ (۱۷-۲۱۵ر)،۱۷سطر،اندازه: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[ف:1/ 27- 125]</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قم؛ معصومیه؛ شماره نسخه: ۴۸۶</w:t>
      </w:r>
    </w:p>
    <w:p>
      <w:pPr>
        <w:pStyle w:val="BookText"/>
      </w:pPr>
      <w:r>
        <w:rPr>
          <w:rFonts w:ascii="Amiri" w:hAnsi="Amiri" w:eastAsia="Amiri" w:cs="Amiri"/>
          <w:lang w:bidi="ar-SA"/>
          <w:color w:val="111111"/>
          <w:sz w:val="28"/>
          <w:szCs w:val="28"/>
          <w:rtl/>
        </w:rPr>
        <w:t xml:space="preserve">آغاز: برابر؛ انجام: عن نفسه و عن صاحبه ثم اوى الثاني عن و عن صاحبه فانه يضمن مطلقاً</w:t>
      </w:r>
    </w:p>
    <w:p>
      <w:pPr>
        <w:pStyle w:val="BookText"/>
      </w:pPr>
      <w:r>
        <w:rPr>
          <w:rFonts w:ascii="IRNazanin" w:hAnsi="IRNazanin" w:eastAsia="IRNazanin" w:cs="IRNazanin"/>
          <w:lang w:bidi="fa-IR"/>
          <w:color w:val="111111"/>
          <w:sz w:val="28"/>
          <w:szCs w:val="28"/>
          <w:rtl/>
        </w:rPr>
        <w:t xml:space="preserve">خط: نسخ، بی کا، تا: قرن ۱۳؛ جلد: تیماج لاجوردی، ۴۳۲ص،13 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۲۷سم [ف: ۲ - ۹۶]</w:t>
      </w:r>
    </w:p>
    <w:p>
      <w:pPr>
        <w:pStyle w:val="BookText"/>
      </w:pPr>
      <w:r>
        <w:rPr>
          <w:rFonts w:ascii="IRNazanin" w:hAnsi="IRNazanin" w:eastAsia="IRNazanin" w:cs="IRNazanin"/>
          <w:lang w:bidi="fa-IR"/>
          <w:color w:val="111111"/>
          <w:sz w:val="28"/>
          <w:szCs w:val="28"/>
          <w:rtl/>
        </w:rPr>
        <w:t xml:space="preserve">۱۷. اصفهان؛ مدرسه صدر بازار؛ شماره نسخه ۷۵۰</w:t>
      </w:r>
    </w:p>
    <w:p>
      <w:pPr>
        <w:pStyle w:val="BookText"/>
      </w:pPr>
      <w:r>
        <w:rPr>
          <w:rFonts w:ascii="IRNazanin" w:hAnsi="IRNazanin" w:eastAsia="IRNazanin" w:cs="IRNazanin"/>
          <w:lang w:bidi="fa-IR"/>
          <w:color w:val="111111"/>
          <w:sz w:val="28"/>
          <w:szCs w:val="28"/>
          <w:rtl/>
        </w:rPr>
        <w:t xml:space="preserve">خط: نستعلیق،  بی کا، تا: قرن ۱۳؛ در چهار برگ آغازین اشعاری عربی از مجنون عامری؛ مهر: «عبده الراجی محمد بن عبدالجواد» (بیضی) ،«یعقوب بن سعيدالموسوی» (دایره)؛ اهدایی: سید علی نجف آبادی؛ جلد: تیماج  قرمز، ۱۷۴گ، ۲۰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۳ - ۵۶۱]</w:t>
      </w:r>
    </w:p>
    <w:p>
      <w:pPr>
        <w:pStyle w:val="BookText"/>
      </w:pPr>
      <w:r>
        <w:rPr>
          <w:rFonts w:ascii="IRNazanin" w:hAnsi="IRNazanin" w:eastAsia="IRNazanin" w:cs="IRNazanin"/>
          <w:lang w:bidi="fa-IR"/>
          <w:color w:val="111111"/>
          <w:sz w:val="28"/>
          <w:szCs w:val="28"/>
          <w:rtl/>
        </w:rPr>
        <w:t xml:space="preserve">۱۸. قم؛ مرعشی؛ شماره نسخه: ۸۸۰۴</w:t>
      </w:r>
    </w:p>
    <w:p>
      <w:pPr>
        <w:pStyle w:val="BookText"/>
      </w:pPr>
      <w:r>
        <w:rPr>
          <w:rFonts w:ascii="IRNazanin" w:hAnsi="IRNazanin" w:eastAsia="IRNazanin" w:cs="IRNazanin"/>
          <w:lang w:bidi="fa-IR"/>
          <w:color w:val="111111"/>
          <w:sz w:val="28"/>
          <w:szCs w:val="28"/>
          <w:rtl/>
        </w:rPr>
        <w:t xml:space="preserve">خط: نسخ، کا: مصطفى بن حسن حدادزاده، تا: ۲۸ ذیقعـده ۱۲۱۵ق؛ جلد: تیماج مشکی ،ضربی ۲۲۶گ، ۲۱ سطر،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 ۲۳ - ۵]</w:t>
      </w:r>
    </w:p>
    <w:p>
      <w:pPr>
        <w:pStyle w:val="BookText"/>
      </w:pPr>
      <w:r>
        <w:rPr>
          <w:rFonts w:ascii="IRNazanin" w:hAnsi="IRNazanin" w:eastAsia="IRNazanin" w:cs="IRNazanin"/>
          <w:lang w:bidi="fa-IR"/>
          <w:color w:val="111111"/>
          <w:sz w:val="28"/>
          <w:szCs w:val="28"/>
          <w:rtl/>
        </w:rPr>
        <w:t xml:space="preserve">۱۹. مشهد؛ رضوی؛ شماره نسخه: ۲۵۱۱۴</w:t>
      </w:r>
    </w:p>
    <w:p>
      <w:pPr>
        <w:pStyle w:val="BookText"/>
      </w:pPr>
      <w:r>
        <w:rPr>
          <w:rFonts w:ascii="IRNazanin" w:hAnsi="IRNazanin" w:eastAsia="IRNazanin" w:cs="IRNazanin"/>
          <w:lang w:bidi="fa-IR"/>
          <w:color w:val="111111"/>
          <w:sz w:val="28"/>
          <w:szCs w:val="28"/>
          <w:rtl/>
        </w:rPr>
        <w:t xml:space="preserve">آغاز: قال بعض الافاضل تخصيص الشيء بالذكر؛ انجام: ادعی عليه نكاحا فانكر النكاح</w:t>
      </w:r>
    </w:p>
    <w:p>
      <w:pPr>
        <w:pStyle w:val="BookText"/>
      </w:pPr>
      <w:r>
        <w:rPr>
          <w:rFonts w:ascii="IRNazanin" w:hAnsi="IRNazanin" w:eastAsia="IRNazanin" w:cs="IRNazanin"/>
          <w:lang w:bidi="fa-IR"/>
          <w:color w:val="111111"/>
          <w:sz w:val="28"/>
          <w:szCs w:val="28"/>
          <w:rtl/>
        </w:rPr>
        <w:t xml:space="preserve">خط: نسخ، بی کا، بی تا؛ افتادگی: آغاز و انجام؛ تملک: محـمد رفيع الموسوى [رایانه]</w:t>
      </w:r>
    </w:p>
    <w:p>
      <w:pPr>
        <w:pStyle w:val="BookText"/>
      </w:pPr>
      <w:r>
        <w:rPr>
          <w:rFonts w:ascii="Amiri" w:hAnsi="Amiri" w:eastAsia="Amiri" w:cs="Amiri"/>
          <w:lang w:bidi="ar-SA"/>
          <w:color w:val="111111"/>
          <w:sz w:val="28"/>
          <w:szCs w:val="28"/>
          <w:rtl/>
        </w:rPr>
        <w:t xml:space="preserve">«الاشباه والنظائر فى الفروع » الاشباه والنظائر الفقهية عـمذهب الحنفية</w:t>
      </w:r>
    </w:p>
    <w:p>
      <w:pPr>
        <w:pStyle w:val="BookText"/>
      </w:pPr>
      <w:r>
        <w:rPr>
          <w:rFonts w:ascii="Amiri" w:hAnsi="Amiri" w:eastAsia="Amiri" w:cs="Amiri"/>
          <w:lang w:bidi="ar-SA"/>
          <w:color w:val="111111"/>
          <w:sz w:val="28"/>
          <w:szCs w:val="28"/>
          <w:rtl/>
        </w:rPr>
        <w:t xml:space="preserve">«الاشباه والنظائر في القرآن الكريم » الوجوه و النظائر</w:t>
      </w:r>
    </w:p>
    <w:p>
      <w:pPr>
        <w:pStyle w:val="Heading3"/>
      </w:pPr>
      <w:bookmarkStart w:id="1882" w:name="_Toc1404"/>
      <w:r>
        <w:t>الاشباه والنظائر فى النحو / نحو / عربي</w:t>
      </w:r>
      <w:bookmarkEnd w:id="1882"/>
    </w:p>
    <w:p>
      <w:pPr>
        <w:pStyle w:val="BookText"/>
      </w:pPr>
      <w:r>
        <w:rPr>
          <w:rFonts w:ascii="Times New Roman" w:hAnsi="Times New Roman" w:eastAsia="Times New Roman" w:cs="Times New Roman"/>
          <w:lang w:val="en-US" w:bidi="en-US"/>
          <w:color w:val="111111"/>
          <w:sz w:val="28"/>
          <w:szCs w:val="28"/>
          <w:rtl/>
        </w:rPr>
        <w:t xml:space="preserve">al-asbah wa-n-naza'ir fi-n-nahw</w:t>
      </w:r>
    </w:p>
    <w:p>
      <w:pPr>
        <w:pStyle w:val="BookText"/>
      </w:pPr>
      <w:r>
        <w:rPr>
          <w:rFonts w:ascii="IRNazanin" w:hAnsi="IRNazanin" w:eastAsia="IRNazanin" w:cs="IRNazanin"/>
          <w:lang w:bidi="fa-IR"/>
          <w:color w:val="111111"/>
          <w:sz w:val="28"/>
          <w:szCs w:val="28"/>
          <w:rtl/>
        </w:rPr>
        <w:t xml:space="preserve">سیوطی، عبدالرحمن بن ابی بکر، ۸۴۹ - ۹۱۱ قمری</w:t>
      </w:r>
    </w:p>
    <w:p>
      <w:pPr>
        <w:pStyle w:val="BookText"/>
      </w:pPr>
      <w:r>
        <w:rPr>
          <w:rFonts w:ascii="Times New Roman" w:hAnsi="Times New Roman" w:eastAsia="Times New Roman" w:cs="Times New Roman"/>
          <w:lang w:val="en-US" w:bidi="en-US"/>
          <w:color w:val="111111"/>
          <w:sz w:val="28"/>
          <w:szCs w:val="28"/>
          <w:rtl/>
        </w:rPr>
        <w:t xml:space="preserve">(soyūtī, 'abd-or-rahman ebn-e abī-bakr (1446 - 1506)</w:t>
      </w:r>
    </w:p>
    <w:p>
      <w:pPr>
        <w:pStyle w:val="BookText"/>
      </w:pPr>
      <w:r>
        <w:rPr>
          <w:rFonts w:ascii="IRNazanin" w:hAnsi="IRNazanin" w:eastAsia="IRNazanin" w:cs="IRNazanin"/>
          <w:lang w:bidi="fa-IR"/>
          <w:color w:val="111111"/>
          <w:sz w:val="28"/>
          <w:szCs w:val="28"/>
          <w:rtl/>
        </w:rPr>
        <w:t xml:space="preserve">کتاب جامع و مفصلی در ادب مشتمل بر هفت «فن» و هر فن مستقل و دارای خطبه و اسم که مجموعه آن «الاشباه والنظائر» نامیده شده  است. با این عناوین: ١. المصاعة العلية فى القواعد النحويه؛ ۲. تدريب اولى الطلب فى ضوابط كلام العرب؛ ٣. سلسلة الذهب فى البنا من كلام العرب .4. اللع و البرق في الجمع و الفرق ؛ ۵ .الطراز فى الالغاز؛ ۶. المناظرات و المطارحات؛ ۷. التبر الذائب فى الافراد و الغرائب مؤلف بیان می کند که این کتاب شبیه کتاب قاضی تاج الدین در فقه است و ابتدای آن نیز شبیه قواعد زرکشی است از این حیث که قواعد آن مرتب بر حروف معجم است.</w:t>
      </w:r>
    </w:p>
    <w:p>
      <w:pPr>
        <w:pStyle w:val="BookText"/>
      </w:pPr>
      <w:r>
        <w:rPr>
          <w:rFonts w:ascii="IRNazanin" w:hAnsi="IRNazanin" w:eastAsia="IRNazanin" w:cs="IRNazanin"/>
          <w:lang w:bidi="fa-IR"/>
          <w:color w:val="111111"/>
          <w:sz w:val="28"/>
          <w:szCs w:val="28"/>
          <w:rtl/>
        </w:rPr>
        <w:t xml:space="preserve">آغاز: سبحان المتنزه عن الأشباه والنظائر، و الحمد لله المتفضل بغفران الكبائر و الصغائر ... أما بعد: فان فنون العربية على اختلاف أنواعها هى أول فنونى، و مبتدأ الأخبار التي كان في أحاديثها سمری و شجونی، طالما سهرت في تتبع شواردها عيوني...و كان مما سودت من ذلك كتاب ظريف لم أسبق الى مثله،... ضمنته القواعد النحوية ذوات الأشباه والنظائر ... فحبسته بضعة عشر سنة و حرم منه الكاتبون و المطالعون ... ثم قدر الله انى أصبت بفقده ... فاستخرت الله في إعادة تأليفه ثانياً</w:t>
      </w:r>
    </w:p>
    <w:p>
      <w:pPr>
        <w:pStyle w:val="BookText"/>
      </w:pPr>
      <w:r>
        <w:rPr>
          <w:rFonts w:ascii="IRNazanin" w:hAnsi="IRNazanin" w:eastAsia="IRNazanin" w:cs="IRNazanin"/>
          <w:lang w:bidi="fa-IR"/>
          <w:color w:val="111111"/>
          <w:sz w:val="28"/>
          <w:szCs w:val="28"/>
          <w:rtl/>
        </w:rPr>
        <w:t xml:space="preserve">چاپ: حید آباد، ۱۳۱۶ و ۱۳۱۷ق؛ ،بیروت، محقق عبدالعال سالم، مؤسسة الرسالة، ۱۴۰۶ق.</w:t>
      </w:r>
    </w:p>
    <w:p>
      <w:pPr>
        <w:pStyle w:val="BookText"/>
      </w:pPr>
      <w:r>
        <w:rPr>
          <w:rFonts w:ascii="IRNazanin" w:hAnsi="IRNazanin" w:eastAsia="IRNazanin" w:cs="IRNazanin"/>
          <w:lang w:bidi="fa-IR"/>
          <w:color w:val="111111"/>
          <w:sz w:val="28"/>
          <w:szCs w:val="28"/>
          <w:rtl/>
        </w:rPr>
        <w:t xml:space="preserve">[دنا ۸۴۴/۱ (۱۲ نسخه)؛ کشف الظنون 1/ 100؛ مدرسه فیضیه ۱۴/۱؛مجمع  العلمى 1/ 129]</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IRNazanin" w:hAnsi="IRNazanin" w:eastAsia="IRNazanin" w:cs="IRNazanin"/>
          <w:lang w:bidi="fa-IR"/>
          <w:color w:val="111111"/>
          <w:sz w:val="28"/>
          <w:szCs w:val="28"/>
          <w:rtl/>
        </w:rPr>
        <w:t xml:space="preserve">١ - الاشباه والنظائر النحوية (مختصر) ؛ طبسی، محمود بن غلام علی (- 12)</w:t>
      </w:r>
    </w:p>
    <w:p>
      <w:pPr>
        <w:pStyle w:val="BookText"/>
      </w:pPr>
      <w:r>
        <w:rPr>
          <w:rFonts w:ascii="IRNazanin" w:hAnsi="IRNazanin" w:eastAsia="IRNazanin" w:cs="IRNazanin"/>
          <w:lang w:bidi="fa-IR"/>
          <w:color w:val="111111"/>
          <w:sz w:val="28"/>
          <w:szCs w:val="28"/>
          <w:rtl/>
        </w:rPr>
        <w:t xml:space="preserve">٢- الاشباه والنظائر (منتخب)</w:t>
      </w:r>
    </w:p>
    <w:p>
      <w:pPr>
        <w:pStyle w:val="BookText"/>
      </w:pPr>
      <w:r>
        <w:rPr>
          <w:rFonts w:ascii="IRNazanin" w:hAnsi="IRNazanin" w:eastAsia="IRNazanin" w:cs="IRNazanin"/>
          <w:lang w:bidi="fa-IR"/>
          <w:color w:val="111111"/>
          <w:sz w:val="28"/>
          <w:szCs w:val="28"/>
          <w:rtl/>
        </w:rPr>
        <w:t xml:space="preserve">1.تهران؛ ملی؛ شماره نسخه: ۱۱۲۳</w:t>
      </w:r>
    </w:p>
    <w:p>
      <w:pPr>
        <w:pStyle w:val="BookText"/>
      </w:pPr>
      <w:r>
        <w:rPr>
          <w:rFonts w:ascii="Amiri" w:hAnsi="Amiri" w:eastAsia="Amiri" w:cs="Amiri"/>
          <w:lang w:bidi="ar-SA"/>
          <w:color w:val="111111"/>
          <w:sz w:val="28"/>
          <w:szCs w:val="28"/>
          <w:rtl/>
        </w:rPr>
        <w:t xml:space="preserve">آغاز: برابر؛ انجام: حتى كملت الاشباه والنظاير النحويه.</w:t>
      </w:r>
    </w:p>
    <w:p>
      <w:pPr>
        <w:pStyle w:val="BookText"/>
      </w:pPr>
      <w:r>
        <w:rPr>
          <w:rFonts w:ascii="IRNazanin" w:hAnsi="IRNazanin" w:eastAsia="IRNazanin" w:cs="IRNazanin"/>
          <w:lang w:bidi="fa-IR"/>
          <w:color w:val="111111"/>
          <w:sz w:val="28"/>
          <w:szCs w:val="28"/>
          <w:rtl/>
        </w:rPr>
        <w:t xml:space="preserve">خط: نسخ، بی کا، تا: محتملاً قرن ۱۰؛ با دو سرلوح بنفش و زر، مجدول، در پایان نسخه آمده:« قال كاتب اصله نقلت هذه النسخة المباركة من نسخة بخط مؤلفها و هي نسخة الشيخ الامام العالم العلامة الحبر النحرير الفهامه فرید دهره و وحید عصره ابی الحسن على القدس الحنفى المقيم بالاشرفيه... الحمد لله وحده»؛ كاغذ: اصفهانی، جلد: تیماج حنایی ،مقوایی ،۲۷۸گ، ۳۳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 اندازه: ۱۷/۵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۲۷/۵سم [ف: ۹ - ۱۱۶]</w:t>
      </w:r>
    </w:p>
    <w:p>
      <w:pPr>
        <w:pStyle w:val="BookText"/>
      </w:pPr>
      <w:r>
        <w:rPr>
          <w:rFonts w:ascii="IRNazanin" w:hAnsi="IRNazanin" w:eastAsia="IRNazanin" w:cs="IRNazanin"/>
          <w:lang w:bidi="fa-IR"/>
          <w:color w:val="111111"/>
          <w:sz w:val="28"/>
          <w:szCs w:val="28"/>
          <w:rtl/>
        </w:rPr>
        <w:t xml:space="preserve">۲. مشهد؛ رضوی؛ شماره نسخه: ۲۴۸۳۴</w:t>
      </w:r>
    </w:p>
    <w:p>
      <w:pPr>
        <w:pStyle w:val="BookText"/>
      </w:pPr>
      <w:r>
        <w:rPr>
          <w:rFonts w:ascii="IRNazanin" w:hAnsi="IRNazanin" w:eastAsia="IRNazanin" w:cs="IRNazanin"/>
          <w:lang w:bidi="fa-IR"/>
          <w:color w:val="111111"/>
          <w:sz w:val="28"/>
          <w:szCs w:val="28"/>
          <w:rtl/>
        </w:rPr>
        <w:t xml:space="preserve">آغاز: بسمله حمدله الذيكملت محاسنه باطنا؛ انجام: زید مسافر يوم الخميس صخوة وسرت راكبا</w:t>
      </w:r>
    </w:p>
    <w:p>
      <w:pPr>
        <w:pStyle w:val="BookText"/>
      </w:pPr>
      <w:r>
        <w:rPr>
          <w:rFonts w:ascii="IRNazanin" w:hAnsi="IRNazanin" w:eastAsia="IRNazanin" w:cs="IRNazanin"/>
          <w:lang w:bidi="fa-IR"/>
          <w:color w:val="111111"/>
          <w:sz w:val="28"/>
          <w:szCs w:val="28"/>
          <w:rtl/>
        </w:rPr>
        <w:t xml:space="preserve">خط: مختلف، بی کا، تا: قرن ۱۰؛ افتادگی: انجام [رایانه]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قم؛ مرعشی؛ شماره نسخه: ۱۰۳۰۰</w:t>
      </w:r>
    </w:p>
    <w:p>
      <w:pPr>
        <w:pStyle w:val="BookText"/>
      </w:pPr>
      <w:r>
        <w:rPr>
          <w:rFonts w:ascii="Amiri" w:hAnsi="Amiri" w:eastAsia="Amiri" w:cs="Amiri"/>
          <w:lang w:bidi="ar-SA"/>
          <w:color w:val="111111"/>
          <w:sz w:val="28"/>
          <w:szCs w:val="28"/>
          <w:rtl/>
        </w:rPr>
        <w:t xml:space="preserve">آغاز: الشيخ، الرابع المطارحات و هي مسائل عويصة يقصد بها تفتيح الاذهان، الخامس المغالطات</w:t>
      </w:r>
    </w:p>
    <w:p>
      <w:pPr>
        <w:pStyle w:val="BookText"/>
      </w:pPr>
      <w:r>
        <w:rPr>
          <w:rFonts w:ascii="IRNazanin" w:hAnsi="IRNazanin" w:eastAsia="IRNazanin" w:cs="IRNazanin"/>
          <w:lang w:bidi="fa-IR"/>
          <w:color w:val="111111"/>
          <w:sz w:val="28"/>
          <w:szCs w:val="28"/>
          <w:rtl/>
        </w:rPr>
        <w:t xml:space="preserve">خط: نسخ، بی کا، تا: قرن ۱۱؛ افتادگی: آغاز؛ در پایان نسخه کرم  الله بن عطاء الله حسینی جزائری شیرازی می نویسدکه نسخه را در مدرسه منصوریه شیرازی نوشته و شخصی کاتب را در ادعـای نوشتن تکذیب کرده و گمان می رود که وی دستور نوشتن نسـخه را داده است؛ تملک: شرف الدین محمد مکی بن محمد بن شمس الدين بن حسن (نوه شهید اول) به تاریخ ۱۱۶۱ با مهر «محمد مكى العاملي من ولد الشريف ابی عبدالله الشهيد» (مربـع) ؛جلد: دو رو تیماج رو قرمز پشت و عطف قهوه ای، ۳۰۶گ، 25سطر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۲۶سم [ف: ۲۶ - ۲۴۰]</w:t>
      </w:r>
    </w:p>
    <w:p>
      <w:pPr>
        <w:pStyle w:val="BookText"/>
      </w:pPr>
      <w:r>
        <w:rPr>
          <w:rFonts w:ascii="IRNazanin" w:hAnsi="IRNazanin" w:eastAsia="IRNazanin" w:cs="IRNazanin"/>
          <w:lang w:bidi="fa-IR"/>
          <w:color w:val="111111"/>
          <w:sz w:val="28"/>
          <w:szCs w:val="28"/>
          <w:rtl/>
        </w:rPr>
        <w:t xml:space="preserve">4.تهران؛ مجلس؛ شماره نسخه: ۱۱۴۶۴</w:t>
      </w:r>
    </w:p>
    <w:p>
      <w:pPr>
        <w:pStyle w:val="BookText"/>
      </w:pPr>
      <w:r>
        <w:rPr>
          <w:rFonts w:ascii="Amiri" w:hAnsi="Amiri" w:eastAsia="Amiri" w:cs="Amiri"/>
          <w:lang w:bidi="ar-SA"/>
          <w:color w:val="111111"/>
          <w:sz w:val="28"/>
          <w:szCs w:val="28"/>
          <w:rtl/>
        </w:rPr>
        <w:t xml:space="preserve">آغاز: برابر؛ انجام: او موصوله او زائده فهى طارثه عليه لفظا و يوجب جر غير المنصرف حتما.</w:t>
      </w:r>
    </w:p>
    <w:p>
      <w:pPr>
        <w:pStyle w:val="BookText"/>
      </w:pPr>
      <w:r>
        <w:rPr>
          <w:rFonts w:ascii="IRNazanin" w:hAnsi="IRNazanin" w:eastAsia="IRNazanin" w:cs="IRNazanin"/>
          <w:lang w:bidi="fa-IR"/>
          <w:color w:val="111111"/>
          <w:sz w:val="28"/>
          <w:szCs w:val="28"/>
          <w:rtl/>
        </w:rPr>
        <w:t xml:space="preserve">خط: نسخ  مغربی، کا: عبدالله بن علی بن ابى الحسن على بديری بن علی شبریسی  صاوی، تا: قرن ۱۱؛ مجدول قرمز ؛جلد: تیماج قهوه ای، ۳۱۱گ، ۳۳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۳۰سم [ف: ۳۳/۲ - ۱۴۰]</w:t>
      </w:r>
    </w:p>
    <w:p>
      <w:pPr>
        <w:pStyle w:val="BookText"/>
      </w:pPr>
      <w:r>
        <w:rPr>
          <w:rFonts w:ascii="IRNazanin" w:hAnsi="IRNazanin" w:eastAsia="IRNazanin" w:cs="IRNazanin"/>
          <w:lang w:bidi="fa-IR"/>
          <w:color w:val="111111"/>
          <w:sz w:val="28"/>
          <w:szCs w:val="28"/>
          <w:rtl/>
        </w:rPr>
        <w:t xml:space="preserve">۵. تهران؛ مجلس؛ شماره نسخه: ۹۰۳ ط</w:t>
      </w:r>
    </w:p>
    <w:p>
      <w:pPr>
        <w:pStyle w:val="BookText"/>
      </w:pPr>
      <w:r>
        <w:rPr>
          <w:rFonts w:ascii="Amiri" w:hAnsi="Amiri" w:eastAsia="Amiri" w:cs="Amiri"/>
          <w:lang w:bidi="ar-SA"/>
          <w:color w:val="111111"/>
          <w:sz w:val="28"/>
          <w:szCs w:val="28"/>
          <w:rtl/>
        </w:rPr>
        <w:t xml:space="preserve">آغاز: برابر؛ انجام: لم يجعلوها منفردة فى الوزن تم الفن الرابع... و هو آخر النصف الأول ... يتلوه الفن الخامس الطراز فى الالغاز</w:t>
      </w:r>
    </w:p>
    <w:p>
      <w:pPr>
        <w:pStyle w:val="BookText"/>
      </w:pPr>
      <w:r>
        <w:rPr>
          <w:rFonts w:ascii="IRNazanin" w:hAnsi="IRNazanin" w:eastAsia="IRNazanin" w:cs="IRNazanin"/>
          <w:lang w:bidi="fa-IR"/>
          <w:color w:val="111111"/>
          <w:sz w:val="28"/>
          <w:szCs w:val="28"/>
          <w:rtl/>
        </w:rPr>
        <w:t xml:space="preserve">خط: نسخ ترکی، بی کا، تا: قرن ۱۲؛ مهر: «ارجوا حسن الختام من الجلى عبد السميع بن محمد على» (مربع)، «عبد فقیر عفی عنه بمبئی ۱۱۹۹»؛ کاغذ: ترکی  فرنگی ،جلد: تیماج  قرمز، ۳۰۱  گ، ۲۱ سطر [ف: ۲۴/۲ - ۶۴]</w:t>
      </w:r>
    </w:p>
    <w:p>
      <w:pPr>
        <w:pStyle w:val="BookText"/>
      </w:pPr>
      <w:r>
        <w:rPr>
          <w:rFonts w:ascii="IRNazanin" w:hAnsi="IRNazanin" w:eastAsia="IRNazanin" w:cs="IRNazanin"/>
          <w:lang w:bidi="fa-IR"/>
          <w:color w:val="111111"/>
          <w:sz w:val="28"/>
          <w:szCs w:val="28"/>
          <w:rtl/>
        </w:rPr>
        <w:t xml:space="preserve">۶. قم؛ طبسی؛ شماره نسخه: ۷۰۸</w:t>
      </w:r>
    </w:p>
    <w:p>
      <w:pPr>
        <w:pStyle w:val="BookText"/>
      </w:pPr>
      <w:r>
        <w:rPr>
          <w:rFonts w:ascii="Amiri" w:hAnsi="Amiri" w:eastAsia="Amiri" w:cs="Amiri"/>
          <w:lang w:bidi="ar-SA"/>
          <w:color w:val="111111"/>
          <w:sz w:val="28"/>
          <w:szCs w:val="28"/>
          <w:rtl/>
        </w:rPr>
        <w:t xml:space="preserve">آغاز: بسمله قال المصنف وهذا الكتاب مشتمل على سبعة فنون الاول فن القواعد و الاصول التي يرد اليها الجزئيات و الفروع و هو مرتب على حروف المعجم و هو معظهم الكتاب؛ انجام:ان الاعلام كثرة الاستعمال و يكثر فيها الاشتراك فرفعة الحكاية توهم ان</w:t>
      </w:r>
    </w:p>
    <w:p>
      <w:pPr>
        <w:pStyle w:val="BookText"/>
      </w:pPr>
      <w:r>
        <w:rPr>
          <w:rFonts w:ascii="IRNazanin" w:hAnsi="IRNazanin" w:eastAsia="IRNazanin" w:cs="IRNazanin"/>
          <w:lang w:bidi="fa-IR"/>
          <w:color w:val="111111"/>
          <w:sz w:val="28"/>
          <w:szCs w:val="28"/>
          <w:rtl/>
        </w:rPr>
        <w:t xml:space="preserve">خط: نستعلیق، بی کا، تا: قرن ۱۲؛ افتادگی: انجام؛مصحح؛ ۱۰۰گ، ۱۸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۲۶سم [طبسی مخ: ۱ - ۴۳]</w:t>
      </w:r>
    </w:p>
    <w:p>
      <w:pPr>
        <w:pStyle w:val="BookText"/>
      </w:pPr>
      <w:r>
        <w:rPr>
          <w:rFonts w:ascii="IRNazanin" w:hAnsi="IRNazanin" w:eastAsia="IRNazanin" w:cs="IRNazanin"/>
          <w:lang w:bidi="fa-IR"/>
          <w:color w:val="111111"/>
          <w:sz w:val="28"/>
          <w:szCs w:val="28"/>
          <w:rtl/>
        </w:rPr>
        <w:t xml:space="preserve">۷. مشهد؛ الهیات؛ شماره نسخه: ۲۳۷۰۴</w:t>
      </w:r>
    </w:p>
    <w:p>
      <w:pPr>
        <w:pStyle w:val="BookText"/>
      </w:pPr>
      <w:r>
        <w:rPr>
          <w:rFonts w:ascii="IRNazanin" w:hAnsi="IRNazanin" w:eastAsia="IRNazanin" w:cs="IRNazanin"/>
          <w:lang w:bidi="fa-IR"/>
          <w:color w:val="111111"/>
          <w:sz w:val="28"/>
          <w:szCs w:val="28"/>
          <w:rtl/>
        </w:rPr>
        <w:t xml:space="preserve">خط: نستعلیق، بی کا،  تا: غره ربیع الاول ۱۱۰۴ق، جا مکه؛ افتادگی: آغاز و انجام؛ کاغذ: فرنگی؛ ۳۰۰گ، ۱۷ سـطر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۳ - ۹۷۴]</w:t>
      </w:r>
    </w:p>
    <w:p>
      <w:pPr>
        <w:pStyle w:val="BookText"/>
      </w:pPr>
      <w:r>
        <w:rPr>
          <w:rFonts w:ascii="IRNazanin" w:hAnsi="IRNazanin" w:eastAsia="IRNazanin" w:cs="IRNazanin"/>
          <w:lang w:bidi="fa-IR"/>
          <w:color w:val="111111"/>
          <w:sz w:val="28"/>
          <w:szCs w:val="28"/>
          <w:rtl/>
        </w:rPr>
        <w:t xml:space="preserve">۸. مشهد؛ گوهر شاد؛ شماره نسخه: ۸۷۵</w:t>
      </w:r>
    </w:p>
    <w:p>
      <w:pPr>
        <w:pStyle w:val="BookText"/>
      </w:pPr>
      <w:r>
        <w:rPr>
          <w:rFonts w:ascii="IRNazanin" w:hAnsi="IRNazanin" w:eastAsia="IRNazanin" w:cs="IRNazanin"/>
          <w:lang w:bidi="fa-IR"/>
          <w:color w:val="111111"/>
          <w:sz w:val="28"/>
          <w:szCs w:val="28"/>
          <w:rtl/>
        </w:rPr>
        <w:t xml:space="preserve">آغاز: بسمله قال المصنف و هذا الكتاب مشتمل على سبعة فنون الاول فى القواعد و الاصول التى ؛ انجام: فى قوله تعالی یا ابت اراد یا ابتا فحذف الألف. تم منتخب الفن الأول المسمى بالمصاعد العلية فى القواعد النحوية من الفنون السبعة من كتاب الاشباه و النظائرالمصاعد العلية فى القواعد النحوية، جزء اول بلکه گزینه ای از جزء اول؛ خط: نسخ، کا: محمدهادی بن ملا محمد زمان گلپایگانی، تا: ذیقعده ۱۱۱۵ق؛ مهر: «محمد تقی بن علینقی» (بیضی)، «محمد باقر بن محمدتقى الموسوی» (بیضی) در زیر این مهر یادداشتی با خط مغایر آمده «خاتم مبارک حضرت حاج محمد باقر حجة الاسلام معروف در آفاق است اعلی الله مقامه»؛ جلد: تيماج سبز لایه ای، ۶۹گ، ۱۲ سطر (۶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۳ - ۱۱۸۰]</w:t>
      </w:r>
    </w:p>
    <w:p>
      <w:pPr>
        <w:pStyle w:val="BookText"/>
      </w:pPr>
      <w:r>
        <w:rPr>
          <w:rFonts w:ascii="IRNazanin" w:hAnsi="IRNazanin" w:eastAsia="IRNazanin" w:cs="IRNazanin"/>
          <w:lang w:bidi="fa-IR"/>
          <w:color w:val="111111"/>
          <w:sz w:val="28"/>
          <w:szCs w:val="28"/>
          <w:rtl/>
        </w:rPr>
        <w:t xml:space="preserve">9.تهران؛ مجلس؛ شماره نسخه: ۹۵۷۰</w:t>
      </w:r>
    </w:p>
    <w:p>
      <w:pPr>
        <w:pStyle w:val="BookText"/>
      </w:pPr>
      <w:r>
        <w:rPr>
          <w:rFonts w:ascii="IRNazanin" w:hAnsi="IRNazanin" w:eastAsia="IRNazanin" w:cs="IRNazanin"/>
          <w:lang w:bidi="fa-IR"/>
          <w:color w:val="111111"/>
          <w:sz w:val="28"/>
          <w:szCs w:val="28"/>
          <w:rtl/>
        </w:rPr>
        <w:t xml:space="preserve">آغاز: برابر؛ انجام: انما یراد به استمرار ما ذكر قبله من الحكم فلهذا قال صاحب الصحاح وهلم جرا</w:t>
      </w:r>
    </w:p>
    <w:p>
      <w:pPr>
        <w:pStyle w:val="BookText"/>
      </w:pPr>
      <w:r>
        <w:rPr>
          <w:rFonts w:ascii="IRNazanin" w:hAnsi="IRNazanin" w:eastAsia="IRNazanin" w:cs="IRNazanin"/>
          <w:lang w:bidi="fa-IR"/>
          <w:color w:val="111111"/>
          <w:sz w:val="28"/>
          <w:szCs w:val="28"/>
          <w:rtl/>
        </w:rPr>
        <w:t xml:space="preserve">خط: نسخ زیبا ،کا: محمد بن موسی رضا موذن صباغ تهرانی، تا: جمادی الثانی ۱۲۳۴ق؛ محشی به امضای«فتحعلی زنده»، رکابه دار؛ جلد: تیماج قهوه ای با ترنج و سرترنج و لچکی ها، ۱۶۱گ، ۳۱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۳۰سم [ف: ۳۰ - ۲۲۸]</w:t>
      </w:r>
    </w:p>
    <w:p>
      <w:pPr>
        <w:pStyle w:val="BookText"/>
      </w:pPr>
      <w:r>
        <w:rPr>
          <w:rFonts w:ascii="IRNazanin" w:hAnsi="IRNazanin" w:eastAsia="IRNazanin" w:cs="IRNazanin"/>
          <w:lang w:bidi="fa-IR"/>
          <w:color w:val="111111"/>
          <w:sz w:val="28"/>
          <w:szCs w:val="28"/>
          <w:rtl/>
        </w:rPr>
        <w:t xml:space="preserve">۱۰ . قم؛ فیضیه ؛شماره نسخه ۲۹۱</w:t>
      </w:r>
    </w:p>
    <w:p>
      <w:pPr>
        <w:pStyle w:val="BookText"/>
      </w:pPr>
      <w:r>
        <w:rPr>
          <w:rFonts w:ascii="IRNazanin" w:hAnsi="IRNazanin" w:eastAsia="IRNazanin" w:cs="IRNazanin"/>
          <w:lang w:bidi="fa-IR"/>
          <w:color w:val="111111"/>
          <w:sz w:val="28"/>
          <w:szCs w:val="28"/>
          <w:rtl/>
        </w:rPr>
        <w:t xml:space="preserve">خط: نسخ، بی کا، تا: ۱۲۸۲ق، ۲۲۵گ، ۲۶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۳۴سم [ف: ۱ - ۱۴]</w:t>
      </w:r>
    </w:p>
    <w:p>
      <w:pPr>
        <w:pStyle w:val="BookText"/>
      </w:pPr>
      <w:r>
        <w:rPr>
          <w:rFonts w:ascii="IRNazanin" w:hAnsi="IRNazanin" w:eastAsia="IRNazanin" w:cs="IRNazanin"/>
          <w:lang w:bidi="fa-IR"/>
          <w:color w:val="111111"/>
          <w:sz w:val="28"/>
          <w:szCs w:val="28"/>
          <w:rtl/>
        </w:rPr>
        <w:t xml:space="preserve">۱۱. تهران؛ مجلس؛ شماره نسخه: ۸۸۲ ط</w:t>
      </w:r>
    </w:p>
    <w:p>
      <w:pPr>
        <w:pStyle w:val="BookText"/>
      </w:pPr>
      <w:r>
        <w:rPr>
          <w:rFonts w:ascii="Amiri" w:hAnsi="Amiri" w:eastAsia="Amiri" w:cs="Amiri"/>
          <w:lang w:bidi="ar-SA"/>
          <w:color w:val="111111"/>
          <w:sz w:val="28"/>
          <w:szCs w:val="28"/>
          <w:rtl/>
        </w:rPr>
        <w:t xml:space="preserve">آغاز: برابر؛ انجام: و لو قلت هذا البسر اطيب منه عنب لاتضحت المسألة و انكشف معناها قال المؤلف و الله اعلم آخر (كذا) الجزء علقه مؤلفه عبدالرحمن بن ابى بكر السيوطي الشافعي.</w:t>
      </w:r>
    </w:p>
    <w:p>
      <w:pPr>
        <w:pStyle w:val="BookText"/>
      </w:pPr>
      <w:r>
        <w:rPr>
          <w:rFonts w:ascii="IRNazanin" w:hAnsi="IRNazanin" w:eastAsia="IRNazanin" w:cs="IRNazanin"/>
          <w:lang w:bidi="fa-IR"/>
          <w:color w:val="111111"/>
          <w:sz w:val="28"/>
          <w:szCs w:val="28"/>
          <w:rtl/>
        </w:rPr>
        <w:t xml:space="preserve">خط: نسخ، کا: محمد رحیم حسینی قزوینی، تا: ذیقعده ۱۲۸۶ق؛جلد: تیماج نیلی، ۲۰۸گ، ۲۷ سطر، قطع: رحلی،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۳۴/۵سم [ف: ۲۴/۲ - ۵۷]</w:t>
      </w:r>
    </w:p>
    <w:p>
      <w:pPr>
        <w:pStyle w:val="BookText"/>
      </w:pPr>
      <w:r>
        <w:rPr>
          <w:rFonts w:ascii="IRNazanin" w:hAnsi="IRNazanin" w:eastAsia="IRNazanin" w:cs="IRNazanin"/>
          <w:lang w:bidi="fa-IR"/>
          <w:color w:val="111111"/>
          <w:sz w:val="28"/>
          <w:szCs w:val="28"/>
          <w:rtl/>
        </w:rPr>
        <w:t xml:space="preserve">۱۲. مشهد؛ رضوی؛ شماره نسخه: ۳۹۲۱</w:t>
      </w:r>
    </w:p>
    <w:p>
      <w:pPr>
        <w:pStyle w:val="BookText"/>
      </w:pPr>
      <w:r>
        <w:rPr>
          <w:rFonts w:ascii="Amiri" w:hAnsi="Amiri" w:eastAsia="Amiri" w:cs="Amiri"/>
          <w:lang w:bidi="ar-SA"/>
          <w:color w:val="111111"/>
          <w:sz w:val="28"/>
          <w:szCs w:val="28"/>
          <w:rtl/>
        </w:rPr>
        <w:t xml:space="preserve">آغاز: فحذفوا احدها لثقل الجمع بين ثلاث ياءات و المحذوفة الاولى لان الثانية للتصغير فلا تحذف؛ انجام: ولو قلت هذا اليسر اطيب منه عنب لاتضحت المسئلة وانكشف معناها.</w:t>
      </w:r>
    </w:p>
    <w:p>
      <w:pPr>
        <w:pStyle w:val="BookText"/>
      </w:pPr>
      <w:r>
        <w:rPr>
          <w:rFonts w:ascii="IRNazanin" w:hAnsi="IRNazanin" w:eastAsia="IRNazanin" w:cs="IRNazanin"/>
          <w:lang w:bidi="fa-IR"/>
          <w:color w:val="111111"/>
          <w:sz w:val="28"/>
          <w:szCs w:val="28"/>
          <w:rtl/>
        </w:rPr>
        <w:t xml:space="preserve">آغاز نسخه از اوائل «مبحث اجتماع الامثال مکروه» از فن نخست است؛ خط: نسخ، بی کا، تا: قرن ۱۱ یا اوایل قرن ۱۲؛ افتادگی: آغاز( درست سی صفحه ابتدای جلد اول مطبوع)؛ واقف: حاج قائم  مقام، بهمن ۱۳۱۶؛ کاغذ: حنایی آهاردار، جلد: تیماج زرشکی ،۴۸۹گ، ۲۳ سطر (۱۰/۷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 اندازه: ۱۸/۵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۳۰سم [ف : ۱۲ - ۵]</w:t>
      </w:r>
    </w:p>
    <w:p>
      <w:pPr>
        <w:pStyle w:val="BookText"/>
      </w:pPr>
      <w:r>
        <w:rPr>
          <w:rFonts w:ascii="IRNazanin" w:hAnsi="IRNazanin" w:eastAsia="IRNazanin" w:cs="IRNazanin"/>
          <w:lang w:bidi="fa-IR"/>
          <w:color w:val="111111"/>
          <w:sz w:val="28"/>
          <w:szCs w:val="28"/>
          <w:rtl/>
        </w:rPr>
        <w:t xml:space="preserve">۱۳. مشهد؛ رضوی؛ شماره نسخه: ۲۴۸۳۳</w:t>
      </w:r>
    </w:p>
    <w:p>
      <w:pPr>
        <w:pStyle w:val="BookText"/>
      </w:pPr>
      <w:r>
        <w:rPr>
          <w:rFonts w:ascii="IRNazanin" w:hAnsi="IRNazanin" w:eastAsia="IRNazanin" w:cs="IRNazanin"/>
          <w:lang w:bidi="fa-IR"/>
          <w:color w:val="111111"/>
          <w:sz w:val="28"/>
          <w:szCs w:val="28"/>
          <w:rtl/>
        </w:rPr>
        <w:t xml:space="preserve">آغازک برابر؛ انجام: ناظمها ابابه الله الجنة ونعيمها امين. (كذا)</w:t>
      </w:r>
    </w:p>
    <w:p>
      <w:pPr>
        <w:pStyle w:val="BookText"/>
      </w:pPr>
      <w:r>
        <w:rPr>
          <w:rFonts w:ascii="IRNazanin" w:hAnsi="IRNazanin" w:eastAsia="IRNazanin" w:cs="IRNazanin"/>
          <w:lang w:bidi="fa-IR"/>
          <w:color w:val="111111"/>
          <w:sz w:val="28"/>
          <w:szCs w:val="28"/>
          <w:rtl/>
        </w:rPr>
        <w:t xml:space="preserve">خط: نسخ، بی کا، بی تا [رایانه]</w:t>
      </w:r>
    </w:p>
    <w:p>
      <w:pPr>
        <w:pStyle w:val="BookText"/>
      </w:pPr>
      <w:r>
        <w:rPr>
          <w:rFonts w:ascii="IRNazanin" w:hAnsi="IRNazanin" w:eastAsia="IRNazanin" w:cs="IRNazanin"/>
          <w:lang w:bidi="fa-IR"/>
          <w:color w:val="111111"/>
          <w:sz w:val="28"/>
          <w:szCs w:val="28"/>
          <w:rtl/>
        </w:rPr>
        <w:t xml:space="preserve">۱۴. بشرویه؛ امیرالمؤمنین؛ شماره نسخه: ۱۰۶/۳</w:t>
      </w:r>
    </w:p>
    <w:p>
      <w:pPr>
        <w:pStyle w:val="BookText"/>
      </w:pPr>
      <w:r>
        <w:rPr>
          <w:rFonts w:ascii="IRNazanin" w:hAnsi="IRNazanin" w:eastAsia="IRNazanin" w:cs="IRNazanin"/>
          <w:lang w:bidi="fa-IR"/>
          <w:color w:val="111111"/>
          <w:sz w:val="28"/>
          <w:szCs w:val="28"/>
          <w:rtl/>
        </w:rPr>
        <w:t xml:space="preserve">آغاز: زید اخبرني عن معرف في حكم التنكير و مونث في حكم التذكير الاول مثلك او برجل مثلک؛ انجام: والافعال كلها متعدية اليه سواء كان يتعدى الفاعل أو لم يتعد نحو ضربت زيدا ضربا و قام زید قیاما و لیس کذلک</w:t>
      </w:r>
    </w:p>
    <w:p>
      <w:pPr>
        <w:pStyle w:val="BookText"/>
      </w:pPr>
      <w:r>
        <w:rPr>
          <w:rFonts w:ascii="IRNazanin" w:hAnsi="IRNazanin" w:eastAsia="IRNazanin" w:cs="IRNazanin"/>
          <w:lang w:bidi="fa-IR"/>
          <w:color w:val="111111"/>
          <w:sz w:val="28"/>
          <w:szCs w:val="28"/>
          <w:rtl/>
        </w:rPr>
        <w:t xml:space="preserve">خط: نسخ، بی کا، بی تا؛ افتادگی: آغاز و انجام؛ جلد: تیماج ،مشکی،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398" w:name="pg20365_260554"/>
    <w:bookmarkEnd w:id="398"/>
    <w:p>
      <w:pPr>
        <w:pStyle w:val="BookText"/>
      </w:pPr>
      <w:r>
        <w:rPr>
          <w:rFonts w:ascii="IRNazanin" w:hAnsi="IRNazanin" w:eastAsia="IRNazanin" w:cs="IRNazanin"/>
          <w:lang w:bidi="fa-IR"/>
          <w:color w:val="111111"/>
          <w:sz w:val="28"/>
          <w:szCs w:val="28"/>
          <w:rtl/>
        </w:rPr>
        <w:t xml:space="preserve">۴۴گ (۱۰۶ر-۱۴۹پ)، ۱۷ 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مخ]</w:t>
      </w:r>
    </w:p>
    <w:p>
      <w:pPr>
        <w:pStyle w:val="Heading3"/>
      </w:pPr>
      <w:bookmarkStart w:id="1883" w:name="_Toc1405"/>
      <w:r>
        <w:t>الاشباه والنظائر (مختصر) / نحو / عربی</w:t>
      </w:r>
      <w:bookmarkEnd w:id="1883"/>
    </w:p>
    <w:p>
      <w:pPr>
        <w:pStyle w:val="BookText"/>
      </w:pPr>
      <w:r>
        <w:rPr>
          <w:rFonts w:ascii="Times New Roman" w:hAnsi="Times New Roman" w:eastAsia="Times New Roman" w:cs="Times New Roman"/>
          <w:lang w:val="en-US" w:bidi="en-US"/>
          <w:color w:val="111111"/>
          <w:sz w:val="28"/>
          <w:szCs w:val="28"/>
          <w:rtl/>
        </w:rPr>
        <w:t xml:space="preserve">(al-ašbāh wa-n naẓā’ir (muxtaṣar)</w:t>
      </w:r>
    </w:p>
    <w:p>
      <w:pPr>
        <w:pStyle w:val="BookText"/>
      </w:pPr>
      <w:r>
        <w:rPr>
          <w:rFonts w:ascii="IRNazanin" w:hAnsi="IRNazanin" w:eastAsia="IRNazanin" w:cs="IRNazanin"/>
          <w:lang w:bidi="fa-IR"/>
          <w:color w:val="111111"/>
          <w:sz w:val="28"/>
          <w:szCs w:val="28"/>
          <w:rtl/>
        </w:rPr>
        <w:t xml:space="preserve">طبسی، محمود بن غلام علی، ق ۱۲ قمری</w:t>
      </w:r>
    </w:p>
    <w:p>
      <w:pPr>
        <w:pStyle w:val="BookText"/>
      </w:pPr>
      <w:r>
        <w:rPr>
          <w:rFonts w:ascii="Times New Roman" w:hAnsi="Times New Roman" w:eastAsia="Times New Roman" w:cs="Times New Roman"/>
          <w:lang w:val="en-US" w:bidi="en-US"/>
          <w:color w:val="111111"/>
          <w:sz w:val="28"/>
          <w:szCs w:val="28"/>
          <w:rtl/>
        </w:rPr>
        <w:t xml:space="preserve">(tabasī, mahmūd ebn-e qolām ‘alī (- 18c)</w:t>
      </w:r>
    </w:p>
    <w:p>
      <w:pPr>
        <w:pStyle w:val="BookText"/>
      </w:pPr>
      <w:r>
        <w:rPr>
          <w:rFonts w:ascii="IRNazanin" w:hAnsi="IRNazanin" w:eastAsia="IRNazanin" w:cs="IRNazanin"/>
          <w:lang w:bidi="fa-IR"/>
          <w:color w:val="111111"/>
          <w:sz w:val="28"/>
          <w:szCs w:val="28"/>
          <w:rtl/>
        </w:rPr>
        <w:t xml:space="preserve">وابسته به: الاشباه والنظائر فى النحو ؛ سیوطی، عبدالرحمن بن ابی بكر (۸۴۹-۹۱۱)</w:t>
      </w:r>
    </w:p>
    <w:p>
      <w:pPr>
        <w:pStyle w:val="BookText"/>
      </w:pPr>
      <w:r>
        <w:rPr>
          <w:rFonts w:ascii="IRNazanin" w:hAnsi="IRNazanin" w:eastAsia="IRNazanin" w:cs="IRNazanin"/>
          <w:lang w:bidi="fa-IR"/>
          <w:color w:val="111111"/>
          <w:sz w:val="28"/>
          <w:szCs w:val="28"/>
          <w:rtl/>
        </w:rPr>
        <w:t xml:space="preserve">مختصر كتاب «الاشباه والنظائر النحوية» جلال الدين سيوطی است که مکررات و زواید حذف و بحث های مفید را انتخا کرده است.</w:t>
      </w:r>
    </w:p>
    <w:p>
      <w:pPr>
        <w:pStyle w:val="BookText"/>
      </w:pPr>
      <w:r>
        <w:rPr>
          <w:rFonts w:ascii="IRNazanin" w:hAnsi="IRNazanin" w:eastAsia="IRNazanin" w:cs="IRNazanin"/>
          <w:lang w:bidi="fa-IR"/>
          <w:color w:val="111111"/>
          <w:sz w:val="28"/>
          <w:szCs w:val="28"/>
          <w:rtl/>
        </w:rPr>
        <w:t xml:space="preserve">قم؛ مرعشی؛ شماره نسخه: ۷۱۱۵/۱</w:t>
      </w:r>
    </w:p>
    <w:p>
      <w:pPr>
        <w:pStyle w:val="BookText"/>
      </w:pPr>
      <w:r>
        <w:rPr>
          <w:rFonts w:ascii="Amiri" w:hAnsi="Amiri" w:eastAsia="Amiri" w:cs="Amiri"/>
          <w:lang w:bidi="ar-SA"/>
          <w:color w:val="111111"/>
          <w:sz w:val="28"/>
          <w:szCs w:val="28"/>
          <w:rtl/>
        </w:rPr>
        <w:t xml:space="preserve">آغاز: قال المصنف و هذا الكتاب مشتمل على سبعة فنون الآول فن القواعد ولاصول التى ترد اليها الجزئيات؛ انجام: قلت لا لأن علم الله فيهم خيراً محال فيجوز أن يستلزم شيئاً و نقيضه لأن المحال لا يستبعد أن يستلزم المحال، و الله أعلم</w:t>
      </w:r>
    </w:p>
    <w:p>
      <w:pPr>
        <w:pStyle w:val="BookText"/>
      </w:pPr>
      <w:r>
        <w:rPr>
          <w:rFonts w:ascii="IRNazanin" w:hAnsi="IRNazanin" w:eastAsia="IRNazanin" w:cs="IRNazanin"/>
          <w:lang w:bidi="fa-IR"/>
          <w:color w:val="111111"/>
          <w:sz w:val="28"/>
          <w:szCs w:val="28"/>
          <w:rtl/>
        </w:rPr>
        <w:t xml:space="preserve">خط: نستعليق كاتب = مؤلف، تا: اواسط ذیقعده ۱۰۶۸ق، برای میرزا نصیرالدین محمد؛جلد: تیماج مشکی، ۱۲۱گ (۳پ- ۱۲۳ پ)، ۱۸ سطر، اندازه:۱۴/۵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۱۹/۵سم [ف: ۱۸ - ۲۶۸]</w:t>
      </w:r>
    </w:p>
    <w:p>
      <w:pPr>
        <w:pStyle w:val="Heading3"/>
      </w:pPr>
      <w:bookmarkStart w:id="1884" w:name="_Toc1406"/>
      <w:r>
        <w:t>الاشباه والنظائر (منتخب) / نحو / عربی</w:t>
      </w:r>
      <w:bookmarkEnd w:id="1884"/>
    </w:p>
    <w:p>
      <w:pPr>
        <w:pStyle w:val="BookText"/>
      </w:pPr>
      <w:r>
        <w:rPr>
          <w:rFonts w:ascii="Times New Roman" w:hAnsi="Times New Roman" w:eastAsia="Times New Roman" w:cs="Times New Roman"/>
          <w:lang w:val="en-US" w:bidi="en-US"/>
          <w:color w:val="111111"/>
          <w:sz w:val="28"/>
          <w:szCs w:val="28"/>
          <w:rtl/>
        </w:rPr>
        <w:t xml:space="preserve">(al-ašbāh wa-n naẓā’ir (mn.)</w:t>
      </w:r>
    </w:p>
    <w:p>
      <w:pPr>
        <w:pStyle w:val="BookText"/>
      </w:pPr>
      <w:r>
        <w:rPr>
          <w:rFonts w:ascii="IRNazanin" w:hAnsi="IRNazanin" w:eastAsia="IRNazanin" w:cs="IRNazanin"/>
          <w:lang w:bidi="fa-IR"/>
          <w:color w:val="111111"/>
          <w:sz w:val="28"/>
          <w:szCs w:val="28"/>
          <w:rtl/>
        </w:rPr>
        <w:t xml:space="preserve">وابسته به: الاشباه والنظائر فى النحو ؛ سیوطی، عبدالرحمن بن ابی بكر (۸۴۹-۹۱۱)</w:t>
      </w:r>
    </w:p>
    <w:p>
      <w:pPr>
        <w:pStyle w:val="BookText"/>
      </w:pPr>
      <w:r>
        <w:rPr>
          <w:rFonts w:ascii="IRNazanin" w:hAnsi="IRNazanin" w:eastAsia="IRNazanin" w:cs="IRNazanin"/>
          <w:lang w:bidi="fa-IR"/>
          <w:color w:val="111111"/>
          <w:sz w:val="28"/>
          <w:szCs w:val="28"/>
          <w:rtl/>
        </w:rPr>
        <w:t xml:space="preserve">منتخبی است از کتاب «الاشباه والنظائر فى النحو» جلال الدین عبد الرحمن سیوطی. اصل کتاب در هفت مقصد بوده که در منتخب نیز همان ترتیب رعایت شده است. در نسخه شمـاره ۱۴۰۷۹ مجلس به بهاء الدين محمد بن محمد باقر اصفهانی (۱۰۸۰ - ۱۱۴۰ق) نسبت داده شده است ولی آقای بشری در ذیل نسخه ۸۰۸۶ مجلس مرقوم داشته اند: «در فهرست مجلس نسخه ای به شماره ۱۴۰۷۹ معرفی شده که نسخه دیگری از همـین انتخاب است. در فهرست مزبور، گزینشگر با قید تردید، بـهاء الدین محمد بن محمد باقر مختاری اصفهانی ( -حدود ۱۱۴۰ق) معرفی شده است. نسخه ۱۴۰۷۹ را با این نسخه مقایسه کردم.هر دو یک گزینش واحد هستند از کتاب مفصل «الاشباه والنظائر الفقهية فى النحو» اثر سیوطی. اما از آنجا که نسخه ما در 1088ق کتابت شده این گزینش نمیتواند از دانشمند مذکور – که ۱۰۸۰ ق تولد یافته -  باشد. اگر چه تراجم نگاران شیعه برای بـهاء الدين محمد بن محمد باقر حسینی مختاری نائینی حاشیه ای بر کتاب سیوطی ذکر کرده اند (الذریعه21/ 6) ولی کتاب پیـش روی ما به هیچ وجه حاشیه کتاب سیوطی نیست بلکه انتخابی از آن است چنانکه بارها در پایان فنون هفت گانه کتاب بدان  تصریح  شده است. پس از اتمام هفت فن کتاب، دو برگشت را شاهد هستیم که گزینشگر مجدداً از فن های قبلی مطالبی را آورده ست شامل این عناوین: مسئلة اعتراض الشرط على الشرط للشيخ جمال الدين ابن هشام ،(۹۵ر-۹۹ر)، من الفن الأول ايضا من كتاب الاشباه والنظائر للسيوطى. اذا اجتمع مثلان و حذف احدهما ... (99ر - ۱۱۳ر). گفتنی است نسخه ۱۴۰۷۹ به خط بهاء الدین محمد مختاری و دارای مهر وی در برگ عنوان است که از این نظر شایسته توجه بسیار است».</w:t>
      </w:r>
    </w:p>
    <w:p>
      <w:pPr>
        <w:pStyle w:val="BookText"/>
      </w:pPr>
      <w:r>
        <w:rPr>
          <w:rFonts w:ascii="Amiri" w:hAnsi="Amiri" w:eastAsia="Amiri" w:cs="Amiri"/>
          <w:lang w:bidi="ar-SA"/>
          <w:color w:val="111111"/>
          <w:sz w:val="28"/>
          <w:szCs w:val="28"/>
          <w:rtl/>
        </w:rPr>
        <w:t xml:space="preserve">آغاز: قال المصنف و هذا الكتاب مشتمل على سبعة فنون الأول فن القواعد و الاصول التى ترد اليها الجزئيات و الفروع و هو مرتب على حروف المعجم</w:t>
      </w:r>
    </w:p>
    <w:p>
      <w:pPr>
        <w:pStyle w:val="BookText"/>
      </w:pPr>
      <w:r>
        <w:rPr>
          <w:rFonts w:ascii="IRNazanin" w:hAnsi="IRNazanin" w:eastAsia="IRNazanin" w:cs="IRNazanin"/>
          <w:lang w:bidi="fa-IR"/>
          <w:color w:val="111111"/>
          <w:sz w:val="28"/>
          <w:szCs w:val="28"/>
          <w:rtl/>
        </w:rPr>
        <w:t xml:space="preserve">1.تهران؛ مجلس؛ شماره نسخه: ۸۰۸۶</w:t>
      </w:r>
    </w:p>
    <w:p>
      <w:pPr>
        <w:pStyle w:val="BookText"/>
      </w:pPr>
      <w:r>
        <w:rPr>
          <w:rFonts w:ascii="Amiri" w:hAnsi="Amiri" w:eastAsia="Amiri" w:cs="Amiri"/>
          <w:lang w:bidi="ar-SA"/>
          <w:color w:val="111111"/>
          <w:sz w:val="28"/>
          <w:szCs w:val="28"/>
          <w:rtl/>
        </w:rPr>
        <w:t xml:space="preserve">آغاز: برابر؛ انجام: قال ابن الجناز فان قلت فما بالهم اختلفوا في اعادة ياء المنقوص و اتفقوا على اعادة الف المقصور، قلت الفرق بينهما خفة الالف و ثقل الياء [رقم:] تم الكتاب بعون الملك الوهاب على يد اقل الخليفة بل اللاشى فى الحقيقة فى شهر صفر سنه ۱۰۸۸، ابن محمد مهدى المشهدى، محمد باقر عفى عنهما.تمت. م.</w:t>
      </w:r>
    </w:p>
    <w:p>
      <w:pPr>
        <w:pStyle w:val="BookText"/>
      </w:pPr>
      <w:r>
        <w:rPr>
          <w:rFonts w:ascii="IRNazanin" w:hAnsi="IRNazanin" w:eastAsia="IRNazanin" w:cs="IRNazanin"/>
          <w:lang w:bidi="fa-IR"/>
          <w:color w:val="111111"/>
          <w:sz w:val="28"/>
          <w:szCs w:val="28"/>
          <w:rtl/>
        </w:rPr>
        <w:t xml:space="preserve">خط: نسخ  خوش، كا: محمد باقر بن محمد مهدی مشهدی،تا: صفر ۱۰۸۸ق؛ ركابه دار؛ تملك: «هذا ما انعم الله تعالى على مالکه»، مدرس رضوی «متاعی چند دادم جان خریدم / بحمدالله عجب ارزان خریدم» با امضای مدرس رضوی (البته شاید یادداشت با نام وی ربطی نداشته باشد و از دیگری باشد)؛ جلد: مقوایی با روکش تیماج  یشمی، ۱۱۳گ، ۲۰ سطر، اندازه: ۱۱/۹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۲۳/۹سم [ف: ۲۷/۱۸ - ۱۵۹]</w:t>
      </w:r>
    </w:p>
    <w:p>
      <w:pPr>
        <w:pStyle w:val="BookText"/>
      </w:pPr>
      <w:r>
        <w:rPr>
          <w:rFonts w:ascii="IRNazanin" w:hAnsi="IRNazanin" w:eastAsia="IRNazanin" w:cs="IRNazanin"/>
          <w:lang w:bidi="fa-IR"/>
          <w:color w:val="111111"/>
          <w:sz w:val="28"/>
          <w:szCs w:val="28"/>
          <w:rtl/>
        </w:rPr>
        <w:t xml:space="preserve">۲. تهران؛ مجلس؛ شماره نسخه: ۱۴۰۷۹/۱</w:t>
      </w:r>
    </w:p>
    <w:p>
      <w:pPr>
        <w:pStyle w:val="BookText"/>
      </w:pPr>
      <w:r>
        <w:rPr>
          <w:rFonts w:ascii="IRNazanin" w:hAnsi="IRNazanin" w:eastAsia="IRNazanin" w:cs="IRNazanin"/>
          <w:lang w:bidi="fa-IR"/>
          <w:color w:val="111111"/>
          <w:sz w:val="28"/>
          <w:szCs w:val="28"/>
          <w:rtl/>
        </w:rPr>
        <w:t xml:space="preserve">آغاز: برابر؛ انجام: و عند ابن مالک ان المعنى ان اعطيتك واعدا لک سایلا ایای فعبدى حر فواعدا حال من فاعل اعطيتك ... و هذا مقتضى قوله فى الشرطين و هذا ايضا ضعيف.</w:t>
      </w:r>
    </w:p>
    <w:p>
      <w:pPr>
        <w:pStyle w:val="BookText"/>
      </w:pPr>
      <w:r>
        <w:rPr>
          <w:rFonts w:ascii="IRNazanin" w:hAnsi="IRNazanin" w:eastAsia="IRNazanin" w:cs="IRNazanin"/>
          <w:lang w:bidi="fa-IR"/>
          <w:color w:val="111111"/>
          <w:sz w:val="28"/>
          <w:szCs w:val="28"/>
          <w:rtl/>
        </w:rPr>
        <w:t xml:space="preserve">در فهرست با تردید به بهاء الدين محمد بن محمد باقر مختاری اصفهانی نسبت داده شده؛ خط: نسخ، کا: محمد بن محمد باقر مختاری  اصفهانی، تا: ۱۱۰۸ق؛ مهر: «بهاء الدين محمد الحسينى ۱۱۰۸»؛ جلد: تیماج قهوه ای، ۱۷۵گ (۲پ-۱۷۶پ)، ۱۷ 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۱۸/۵سم [ف: ۳۸ - ۱۰۱]</w:t>
      </w:r>
    </w:p>
    <w:p>
      <w:pPr>
        <w:pStyle w:val="BookText"/>
      </w:pPr>
      <w:r>
        <w:rPr>
          <w:rFonts w:ascii="IRNazanin" w:hAnsi="IRNazanin" w:eastAsia="IRNazanin" w:cs="IRNazanin"/>
          <w:lang w:bidi="fa-IR"/>
          <w:color w:val="111111"/>
          <w:sz w:val="28"/>
          <w:szCs w:val="28"/>
          <w:rtl/>
        </w:rPr>
        <w:t xml:space="preserve">«اشتباهات » لمپريز</w:t>
      </w:r>
    </w:p>
    <w:p>
      <w:pPr>
        <w:pStyle w:val="Heading3"/>
      </w:pPr>
      <w:bookmarkStart w:id="1885" w:name="_Toc1407"/>
      <w:r>
        <w:t>الاشتراط (رساله) / اصول فقه / عربی</w:t>
      </w:r>
      <w:bookmarkEnd w:id="1885"/>
    </w:p>
    <w:p>
      <w:pPr>
        <w:pStyle w:val="BookText"/>
      </w:pPr>
      <w:r>
        <w:rPr>
          <w:rFonts w:ascii="Times New Roman" w:hAnsi="Times New Roman" w:eastAsia="Times New Roman" w:cs="Times New Roman"/>
          <w:lang w:val="en-US" w:bidi="en-US"/>
          <w:color w:val="111111"/>
          <w:sz w:val="28"/>
          <w:szCs w:val="28"/>
          <w:rtl/>
        </w:rPr>
        <w:t xml:space="preserve">(al-ištirāṭ (r.)</w:t>
      </w:r>
    </w:p>
    <w:p>
      <w:pPr>
        <w:pStyle w:val="BookText"/>
      </w:pPr>
      <w:r>
        <w:rPr>
          <w:rFonts w:ascii="IRNazanin" w:hAnsi="IRNazanin" w:eastAsia="IRNazanin" w:cs="IRNazanin"/>
          <w:lang w:bidi="fa-IR"/>
          <w:color w:val="111111"/>
          <w:sz w:val="28"/>
          <w:szCs w:val="28"/>
          <w:rtl/>
        </w:rPr>
        <w:t xml:space="preserve">مشهد؛ مدرسه باقریه ؛شماره نسخه: ۳۱۷/۳</w:t>
      </w:r>
    </w:p>
    <w:p>
      <w:pPr>
        <w:pStyle w:val="BookText"/>
      </w:pPr>
      <w:r>
        <w:rPr>
          <w:rFonts w:ascii="Amiri" w:hAnsi="Amiri" w:eastAsia="Amiri" w:cs="Amiri"/>
          <w:lang w:bidi="ar-SA"/>
          <w:color w:val="111111"/>
          <w:sz w:val="28"/>
          <w:szCs w:val="28"/>
          <w:rtl/>
        </w:rPr>
        <w:t xml:space="preserve">فرغ منها الأربعاء ۲۶ ذى الحجة سنة ۱۲۵۹ق، جا: نجف؛ خط: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399" w:name="pg20365_260555"/>
    <w:bookmarkEnd w:id="399"/>
    <w:p>
      <w:pPr>
        <w:pStyle w:val="BookText"/>
      </w:pPr>
      <w:r>
        <w:rPr>
          <w:rFonts w:ascii="IRNazanin" w:hAnsi="IRNazanin" w:eastAsia="IRNazanin" w:cs="IRNazanin"/>
          <w:lang w:bidi="fa-IR"/>
          <w:color w:val="111111"/>
          <w:sz w:val="28"/>
          <w:szCs w:val="28"/>
          <w:rtl/>
        </w:rPr>
        <w:t xml:space="preserve">نسخ، بی کا، بی تا؛ کاغذ: فرنگی،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[ترثنا: س ۶ش ۴ - ۹۷]</w:t>
      </w:r>
    </w:p>
    <w:p>
      <w:pPr>
        <w:pStyle w:val="Heading3"/>
      </w:pPr>
      <w:bookmarkStart w:id="1886" w:name="_Toc1408"/>
      <w:r>
        <w:t>اشتراط صحة الصوم الواجب بالغسل من الجنابة  / فقه / عربی</w:t>
      </w:r>
      <w:bookmarkEnd w:id="1886"/>
    </w:p>
    <w:p>
      <w:pPr>
        <w:pStyle w:val="BookText"/>
      </w:pPr>
      <w:r>
        <w:rPr>
          <w:rFonts w:ascii="Times New Roman" w:hAnsi="Times New Roman" w:eastAsia="Times New Roman" w:cs="Times New Roman"/>
          <w:lang w:val="en-US" w:bidi="en-US"/>
          <w:color w:val="111111"/>
          <w:sz w:val="28"/>
          <w:szCs w:val="28"/>
          <w:rtl/>
        </w:rPr>
        <w:t xml:space="preserve">štirāṭ-u ṣiḥḥat-iṣ ṣawm-il wājib bi-l-ġusl min-al</w:t>
      </w:r>
    </w:p>
    <w:p>
      <w:pPr>
        <w:pStyle w:val="BookText"/>
      </w:pPr>
      <w:r>
        <w:rPr>
          <w:rFonts w:ascii="Times New Roman" w:hAnsi="Times New Roman" w:eastAsia="Times New Roman" w:cs="Times New Roman"/>
          <w:lang w:val="en-US" w:bidi="en-US"/>
          <w:color w:val="111111"/>
          <w:sz w:val="28"/>
          <w:szCs w:val="28"/>
          <w:rtl/>
        </w:rPr>
        <w:t xml:space="preserve">janāba</w:t>
      </w:r>
    </w:p>
    <w:p>
      <w:pPr>
        <w:pStyle w:val="BookText"/>
      </w:pPr>
      <w:r>
        <w:rPr>
          <w:rFonts w:ascii="IRNazanin" w:hAnsi="IRNazanin" w:eastAsia="IRNazanin" w:cs="IRNazanin"/>
          <w:lang w:bidi="fa-IR"/>
          <w:color w:val="111111"/>
          <w:sz w:val="28"/>
          <w:szCs w:val="28"/>
          <w:rtl/>
        </w:rPr>
        <w:t xml:space="preserve">حسینی ،کرکی حسین بن حیدر - ۱۰۴۱ قمری</w:t>
      </w:r>
    </w:p>
    <w:p>
      <w:pPr>
        <w:pStyle w:val="BookText"/>
      </w:pPr>
      <w:r>
        <w:rPr>
          <w:rFonts w:ascii="Times New Roman" w:hAnsi="Times New Roman" w:eastAsia="Times New Roman" w:cs="Times New Roman"/>
          <w:lang w:val="en-US" w:bidi="en-US"/>
          <w:color w:val="111111"/>
          <w:sz w:val="28"/>
          <w:szCs w:val="28"/>
          <w:rtl/>
        </w:rPr>
        <w:t xml:space="preserve">(hoseynī karakī, hoseyn ben heydar (- 1632)</w:t>
      </w:r>
    </w:p>
    <w:p>
      <w:pPr>
        <w:pStyle w:val="BookText"/>
      </w:pPr>
      <w:r>
        <w:rPr>
          <w:rFonts w:ascii="IRNazanin" w:hAnsi="IRNazanin" w:eastAsia="IRNazanin" w:cs="IRNazanin"/>
          <w:lang w:bidi="fa-IR"/>
          <w:color w:val="111111"/>
          <w:sz w:val="28"/>
          <w:szCs w:val="28"/>
          <w:rtl/>
        </w:rPr>
        <w:t xml:space="preserve">تاریخ تأليف: ۲۵ رمضان ۱۰۲۵.</w:t>
      </w:r>
    </w:p>
    <w:p>
      <w:pPr>
        <w:pStyle w:val="BookText"/>
      </w:pPr>
      <w:r>
        <w:rPr>
          <w:rFonts w:ascii="IRNazanin" w:hAnsi="IRNazanin" w:eastAsia="IRNazanin" w:cs="IRNazanin"/>
          <w:lang w:bidi="fa-IR"/>
          <w:color w:val="111111"/>
          <w:sz w:val="28"/>
          <w:szCs w:val="28"/>
          <w:rtl/>
        </w:rPr>
        <w:t xml:space="preserve">مؤلف می گوید چون برای بسیاری از مردم امروزه اشتباه و شـک و شبهه رخ می دهد که شرط صحت روزه ای که روزه گیرش غسل جنابت به گردن دارد چیست لذا بنا به فتوای خود به شرح این مسأله می پردازد.</w:t>
      </w:r>
    </w:p>
    <w:p>
      <w:pPr>
        <w:pStyle w:val="BookText"/>
      </w:pPr>
      <w:r>
        <w:rPr>
          <w:rFonts w:ascii="IRNazanin" w:hAnsi="IRNazanin" w:eastAsia="IRNazanin" w:cs="IRNazanin"/>
          <w:lang w:bidi="fa-IR"/>
          <w:color w:val="111111"/>
          <w:sz w:val="28"/>
          <w:szCs w:val="28"/>
          <w:rtl/>
        </w:rPr>
        <w:t xml:space="preserve">[دنا ۸۴۴/۱؛ ریحانة الادب ۴۴۹:۳]</w:t>
      </w:r>
    </w:p>
    <w:p>
      <w:pPr>
        <w:pStyle w:val="BookText"/>
      </w:pPr>
      <w:r>
        <w:rPr>
          <w:rFonts w:ascii="IRNazanin" w:hAnsi="IRNazanin" w:eastAsia="IRNazanin" w:cs="IRNazanin"/>
          <w:lang w:bidi="fa-IR"/>
          <w:color w:val="111111"/>
          <w:sz w:val="28"/>
          <w:szCs w:val="28"/>
          <w:rtl/>
        </w:rPr>
        <w:t xml:space="preserve">تهران؛ مجلس؛ شماره نسخه: ۴۸۶۵</w:t>
      </w:r>
    </w:p>
    <w:p>
      <w:pPr>
        <w:pStyle w:val="BookText"/>
      </w:pPr>
      <w:r>
        <w:rPr>
          <w:rFonts w:ascii="IRNazanin" w:hAnsi="IRNazanin" w:eastAsia="IRNazanin" w:cs="IRNazanin"/>
          <w:lang w:bidi="fa-IR"/>
          <w:color w:val="111111"/>
          <w:sz w:val="28"/>
          <w:szCs w:val="28"/>
          <w:rtl/>
        </w:rPr>
        <w:t xml:space="preserve">آغاز: بسمله. الحمد لله الذى فضل شهر رمضان على سائر الشهور... و بعد فلما حصل الاشتباه و التشكيك في هذه الايام لكثير من الناس في اشتراط صحة الصوم الواجب بالغسل من الجنابة؛ انجـام: و فرغ من تأليفه افقر عبدالله ... الحسين بن حيدر الحسيني الكرکی .. فى اول العشر الثانى من شهر رمضان من شهور سنة الف و خمس و عشرين هجرية.</w:t>
      </w:r>
    </w:p>
    <w:p>
      <w:pPr>
        <w:pStyle w:val="BookText"/>
      </w:pPr>
      <w:r>
        <w:rPr>
          <w:rFonts w:ascii="IRNazanin" w:hAnsi="IRNazanin" w:eastAsia="IRNazanin" w:cs="IRNazanin"/>
          <w:lang w:bidi="fa-IR"/>
          <w:color w:val="111111"/>
          <w:sz w:val="28"/>
          <w:szCs w:val="28"/>
          <w:rtl/>
        </w:rPr>
        <w:t xml:space="preserve">خط: نسخ، كاتب = مؤلف، تا: محتملاً قرن ۱۱؛ كاغذ:اصفهانی، جلد: مقوایی آبی عطف تیماج قهوه ای، ۱۴گ، ۱۴ سـطر (۷/۵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۱۳ - ۳۰۲]</w:t>
      </w:r>
    </w:p>
    <w:p>
      <w:pPr>
        <w:pStyle w:val="BookText"/>
      </w:pPr>
      <w:r>
        <w:rPr>
          <w:rFonts w:ascii="Amiri" w:hAnsi="Amiri" w:eastAsia="Amiri" w:cs="Amiri"/>
          <w:lang w:bidi="ar-SA"/>
          <w:color w:val="111111"/>
          <w:sz w:val="28"/>
          <w:szCs w:val="28"/>
          <w:rtl/>
        </w:rPr>
        <w:t xml:space="preserve">«الاشتراك » المشترك</w:t>
      </w:r>
    </w:p>
    <w:p>
      <w:pPr>
        <w:pStyle w:val="Heading3"/>
      </w:pPr>
      <w:bookmarkStart w:id="1887" w:name="_Toc1409"/>
      <w:r>
        <w:t>الاشتراک / اصول فقه / عربی</w:t>
      </w:r>
      <w:bookmarkEnd w:id="1887"/>
    </w:p>
    <w:p>
      <w:pPr>
        <w:pStyle w:val="BookText"/>
      </w:pPr>
      <w:r>
        <w:rPr>
          <w:rFonts w:ascii="Times New Roman" w:hAnsi="Times New Roman" w:eastAsia="Times New Roman" w:cs="Times New Roman"/>
          <w:lang w:val="en-US" w:bidi="en-US"/>
          <w:color w:val="111111"/>
          <w:sz w:val="28"/>
          <w:szCs w:val="28"/>
          <w:rtl/>
        </w:rPr>
        <w:t xml:space="preserve">al-ištirāk</w:t>
      </w:r>
    </w:p>
    <w:p>
      <w:pPr>
        <w:pStyle w:val="BookText"/>
      </w:pPr>
      <w:r>
        <w:rPr>
          <w:rFonts w:ascii="IRNazanin" w:hAnsi="IRNazanin" w:eastAsia="IRNazanin" w:cs="IRNazanin"/>
          <w:lang w:bidi="fa-IR"/>
          <w:color w:val="111111"/>
          <w:sz w:val="28"/>
          <w:szCs w:val="28"/>
          <w:rtl/>
        </w:rPr>
        <w:t xml:space="preserve">حجت کوه کمری، محمد بن علی، ۱۳۱۰  - 1372 قمری</w:t>
      </w:r>
    </w:p>
    <w:p>
      <w:pPr>
        <w:pStyle w:val="BookText"/>
      </w:pPr>
      <w:r>
        <w:rPr>
          <w:rFonts w:ascii="Times New Roman" w:hAnsi="Times New Roman" w:eastAsia="Times New Roman" w:cs="Times New Roman"/>
          <w:lang w:val="en-US" w:bidi="en-US"/>
          <w:color w:val="111111"/>
          <w:sz w:val="28"/>
          <w:szCs w:val="28"/>
          <w:rtl/>
        </w:rPr>
        <w:t xml:space="preserve">(1953-hojjat-e kūh-kamarī, mohammad ebn-e ‘alī (1893 -</w:t>
      </w:r>
    </w:p>
    <w:p>
      <w:pPr>
        <w:pStyle w:val="BookText"/>
      </w:pPr>
      <w:r>
        <w:rPr>
          <w:rFonts w:ascii="IRNazanin" w:hAnsi="IRNazanin" w:eastAsia="IRNazanin" w:cs="IRNazanin"/>
          <w:lang w:bidi="fa-IR"/>
          <w:color w:val="111111"/>
          <w:sz w:val="28"/>
          <w:szCs w:val="28"/>
          <w:rtl/>
        </w:rPr>
        <w:t xml:space="preserve">رساله ای استدلالی مشتمل بر چند «مقام)»، در اشتراک در لغت عربی و پاسخ به ادله آنان که وقوع آن را انکار کرده اند.</w:t>
      </w:r>
    </w:p>
    <w:p>
      <w:pPr>
        <w:pStyle w:val="BookText"/>
      </w:pPr>
      <w:r>
        <w:rPr>
          <w:rFonts w:ascii="Amiri" w:hAnsi="Amiri" w:eastAsia="Amiri" w:cs="Amiri"/>
          <w:lang w:bidi="ar-SA"/>
          <w:color w:val="111111"/>
          <w:sz w:val="28"/>
          <w:szCs w:val="28"/>
          <w:rtl/>
        </w:rPr>
        <w:t xml:space="preserve">آغاز: الحمد لله رب العالمين .... مبحث في تحقيق الاشتراك و الكلام فيه يقع في مقامات</w:t>
      </w:r>
    </w:p>
    <w:p>
      <w:pPr>
        <w:pStyle w:val="BookText"/>
      </w:pPr>
      <w:r>
        <w:rPr>
          <w:rFonts w:ascii="IRNazanin" w:hAnsi="IRNazanin" w:eastAsia="IRNazanin" w:cs="IRNazanin"/>
          <w:lang w:bidi="fa-IR"/>
          <w:color w:val="111111"/>
          <w:sz w:val="28"/>
          <w:szCs w:val="28"/>
          <w:rtl/>
        </w:rPr>
        <w:t xml:space="preserve">قم؛ مرعشی؛ شماره نسخه:۵۴۶۸/۵</w:t>
      </w:r>
    </w:p>
    <w:p>
      <w:pPr>
        <w:pStyle w:val="BookText"/>
      </w:pPr>
      <w:r>
        <w:rPr>
          <w:rFonts w:ascii="Amiri" w:hAnsi="Amiri" w:eastAsia="Amiri" w:cs="Amiri"/>
          <w:lang w:bidi="ar-SA"/>
          <w:color w:val="111111"/>
          <w:sz w:val="28"/>
          <w:szCs w:val="28"/>
          <w:rtl/>
        </w:rPr>
        <w:t xml:space="preserve">آغاز: الحمد لله رب العالمين ... مبحث فى تحقيق الاشتراك و الكلام فيه يقع فى مقامات؛ انجام: و أما قوله ألا ترى أنه لا يجوز</w:t>
      </w:r>
    </w:p>
    <w:p>
      <w:pPr>
        <w:pStyle w:val="BookText"/>
      </w:pPr>
      <w:r>
        <w:rPr>
          <w:rFonts w:ascii="IRNazanin" w:hAnsi="IRNazanin" w:eastAsia="IRNazanin" w:cs="IRNazanin"/>
          <w:lang w:bidi="fa-IR"/>
          <w:color w:val="111111"/>
          <w:sz w:val="28"/>
          <w:szCs w:val="28"/>
          <w:rtl/>
        </w:rPr>
        <w:t xml:space="preserve">خط: نستعلیق، کاتب = مؤلف، بی تا؛ افتادگی: انجام؛ جلد: مقوایی عطف تیماج قرمز، ۱۵گ (۱۰۰ پ- ۱۱۴پ)، اندازه: ۱۷/۵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۱۴ - ۲۵۳]</w:t>
      </w:r>
    </w:p>
    <w:p>
      <w:pPr>
        <w:pStyle w:val="Heading3"/>
      </w:pPr>
      <w:bookmarkStart w:id="1888" w:name="_Toc1410"/>
      <w:r>
        <w:t>اشتراک اسم العجوز منظومه) / شعر / عربی</w:t>
      </w:r>
      <w:bookmarkEnd w:id="1888"/>
    </w:p>
    <w:p>
      <w:pPr>
        <w:pStyle w:val="BookText"/>
      </w:pPr>
      <w:r>
        <w:rPr>
          <w:rFonts w:ascii="Times New Roman" w:hAnsi="Times New Roman" w:eastAsia="Times New Roman" w:cs="Times New Roman"/>
          <w:lang w:val="en-US" w:bidi="en-US"/>
          <w:color w:val="111111"/>
          <w:sz w:val="28"/>
          <w:szCs w:val="28"/>
          <w:rtl/>
        </w:rPr>
        <w:t xml:space="preserve">(ištirāk-u ism-il-'ajūz (mnz.)</w:t>
      </w:r>
    </w:p>
    <w:p>
      <w:pPr>
        <w:pStyle w:val="BookText"/>
      </w:pPr>
      <w:r>
        <w:rPr>
          <w:rFonts w:ascii="IRNazanin" w:hAnsi="IRNazanin" w:eastAsia="IRNazanin" w:cs="IRNazanin"/>
          <w:lang w:bidi="fa-IR"/>
          <w:color w:val="111111"/>
          <w:sz w:val="28"/>
          <w:szCs w:val="28"/>
          <w:rtl/>
        </w:rPr>
        <w:t xml:space="preserve">ابن مناصف، محمد بن عیسی، ۵۶۳ - ۶۲۰ قمری</w:t>
      </w:r>
    </w:p>
    <w:p>
      <w:pPr>
        <w:pStyle w:val="BookText"/>
      </w:pPr>
      <w:r>
        <w:rPr>
          <w:rFonts w:ascii="Times New Roman" w:hAnsi="Times New Roman" w:eastAsia="Times New Roman" w:cs="Times New Roman"/>
          <w:lang w:val="en-US" w:bidi="en-US"/>
          <w:color w:val="111111"/>
          <w:sz w:val="28"/>
          <w:szCs w:val="28"/>
          <w:rtl/>
        </w:rPr>
        <w:t xml:space="preserve">(ebn-e manāsef, mohammad ebn-e ‘īsā (1168 - 1224)</w:t>
      </w:r>
    </w:p>
    <w:p>
      <w:pPr>
        <w:pStyle w:val="BookText"/>
      </w:pPr>
      <w:r>
        <w:rPr>
          <w:rFonts w:ascii="IRNazanin" w:hAnsi="IRNazanin" w:eastAsia="IRNazanin" w:cs="IRNazanin"/>
          <w:lang w:bidi="fa-IR"/>
          <w:color w:val="111111"/>
          <w:sz w:val="28"/>
          <w:szCs w:val="28"/>
          <w:rtl/>
        </w:rPr>
        <w:t xml:space="preserve">قصیده ای است که در آن کلمه «عجوز» در ۶۶ معنی به اشتراک لفظی به کار رفته است. در بالای منظومه این یادداشت دیده می شود «للعلامه جمال الدين ... الازدى فقال في نظم اشتراک فى اسم العجوز ثمشرحه نحو عشرين اديبا بعده لبلاغتها و حسن الفاظها... و جعلها مشترکه ستة بین و ستين معنا ذكر معانيها الشيخ اثير الدين ابى حيان النحوی» معنی های عجوز در زیر آن به فارسی و عربی یاد شده است.</w:t>
      </w:r>
    </w:p>
    <w:p>
      <w:pPr>
        <w:pStyle w:val="BookText"/>
      </w:pPr>
      <w:r>
        <w:rPr>
          <w:rFonts w:ascii="IRNazanin" w:hAnsi="IRNazanin" w:eastAsia="IRNazanin" w:cs="IRNazanin"/>
          <w:lang w:bidi="fa-IR"/>
          <w:color w:val="111111"/>
          <w:sz w:val="28"/>
          <w:szCs w:val="28"/>
          <w:rtl/>
        </w:rPr>
        <w:t xml:space="preserve">آغاز: الاتب عن معاطاة العجوز (جمر )*** و نهنه عن مواطاة العجوز (مسنه - پیر )/ و لا تركب عجوزا في عجوز *** و لاروعا و لا تك بالعجوز</w:t>
      </w:r>
    </w:p>
    <w:p>
      <w:pPr>
        <w:pStyle w:val="BookText"/>
      </w:pPr>
      <w:r>
        <w:rPr>
          <w:rFonts w:ascii="IRNazanin" w:hAnsi="IRNazanin" w:eastAsia="IRNazanin" w:cs="IRNazanin"/>
          <w:lang w:bidi="fa-IR"/>
          <w:color w:val="111111"/>
          <w:sz w:val="28"/>
          <w:szCs w:val="28"/>
          <w:rtl/>
        </w:rPr>
        <w:t xml:space="preserve">۱. تهران؛ مجلس؛ شماره نسخه: ۱۰۴۵/۱۸-ط</w:t>
      </w:r>
    </w:p>
    <w:p>
      <w:pPr>
        <w:pStyle w:val="BookText"/>
      </w:pPr>
      <w:r>
        <w:rPr>
          <w:rFonts w:ascii="Amiri" w:hAnsi="Amiri" w:eastAsia="Amiri" w:cs="Amiri"/>
          <w:lang w:bidi="ar-SA"/>
          <w:color w:val="111111"/>
          <w:sz w:val="28"/>
          <w:szCs w:val="28"/>
          <w:rtl/>
        </w:rPr>
        <w:t xml:space="preserve">آغاز: برابر؛ انجام: سالت الله يبقى لى عجوزا *** و يكفينى بتاريخ العجوز</w:t>
      </w:r>
    </w:p>
    <w:p>
      <w:pPr>
        <w:pStyle w:val="BookText"/>
      </w:pPr>
      <w:r>
        <w:rPr>
          <w:rFonts w:ascii="IRNazanin" w:hAnsi="IRNazanin" w:eastAsia="IRNazanin" w:cs="IRNazanin"/>
          <w:lang w:bidi="fa-IR"/>
          <w:color w:val="111111"/>
          <w:sz w:val="28"/>
          <w:szCs w:val="28"/>
          <w:rtl/>
        </w:rPr>
        <w:t xml:space="preserve">کا: سید محمد بن صادق طباطبائی (سنگلجی)، تا: قرن ۱۳؛ کاغذ: فرنگی، جلد: تیماج قرمز، ۴ ص( ۴۳-۴۶)، قطع: رقعی،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۲۳ - ۳۴۶]</w:t>
      </w:r>
    </w:p>
    <w:p>
      <w:pPr>
        <w:pStyle w:val="BookText"/>
      </w:pPr>
      <w:r>
        <w:rPr>
          <w:rFonts w:ascii="IRNazanin" w:hAnsi="IRNazanin" w:eastAsia="IRNazanin" w:cs="IRNazanin"/>
          <w:lang w:bidi="fa-IR"/>
          <w:color w:val="111111"/>
          <w:sz w:val="28"/>
          <w:szCs w:val="28"/>
          <w:rtl/>
        </w:rPr>
        <w:t xml:space="preserve">۲. تهران؛ مجلس؛ شماره نسخه: ۲۷۹۱/۳</w:t>
      </w:r>
    </w:p>
    <w:p>
      <w:pPr>
        <w:pStyle w:val="BookText"/>
      </w:pPr>
      <w:r>
        <w:rPr>
          <w:rFonts w:ascii="IRNazanin" w:hAnsi="IRNazanin" w:eastAsia="IRNazanin" w:cs="IRNazanin"/>
          <w:lang w:bidi="fa-IR"/>
          <w:color w:val="111111"/>
          <w:sz w:val="28"/>
          <w:szCs w:val="28"/>
          <w:rtl/>
        </w:rPr>
        <w:t xml:space="preserve">آغاز: برابر؛ انجام: کتب لاين ... محمد حسین شهیر بصالح آبادی  اعنى آقا محمد علی ... و كاتبه رميم فى التراب.</w:t>
      </w:r>
    </w:p>
    <w:p>
      <w:pPr>
        <w:pStyle w:val="BookText"/>
      </w:pPr>
      <w:r>
        <w:rPr>
          <w:rFonts w:ascii="IRNazanin" w:hAnsi="IRNazanin" w:eastAsia="IRNazanin" w:cs="IRNazanin"/>
          <w:lang w:bidi="fa-IR"/>
          <w:color w:val="111111"/>
          <w:sz w:val="28"/>
          <w:szCs w:val="28"/>
          <w:rtl/>
        </w:rPr>
        <w:t xml:space="preserve">نام مؤلف به استناد نسخه ۱۰۴۵ مجلس شورا ذکر شد؛ بی کا، بی تا؛ کاغذ ،فرنگی ،جلد: تیماج ،یشمی، ۳ص (۲۱۰-۲۱۲)، ۲۰  سطر، قطع: خشتی،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 ۱۰ - ۴۶]</w:t>
      </w:r>
    </w:p>
    <w:p>
      <w:pPr>
        <w:pStyle w:val="Heading3"/>
      </w:pPr>
      <w:bookmarkStart w:id="1889" w:name="_Toc1411"/>
      <w:r>
        <w:t>اشتراک الالفاظ / اصول فقه / عربی</w:t>
      </w:r>
      <w:bookmarkEnd w:id="1889"/>
    </w:p>
    <w:p>
      <w:pPr>
        <w:pStyle w:val="BookText"/>
      </w:pPr>
      <w:r>
        <w:rPr>
          <w:rFonts w:ascii="Times New Roman" w:hAnsi="Times New Roman" w:eastAsia="Times New Roman" w:cs="Times New Roman"/>
          <w:lang w:val="en-US" w:bidi="en-US"/>
          <w:color w:val="111111"/>
          <w:sz w:val="28"/>
          <w:szCs w:val="28"/>
          <w:rtl/>
        </w:rPr>
        <w:t xml:space="preserve">ištirāk-ul-alfāẓ</w:t>
      </w:r>
    </w:p>
    <w:p>
      <w:pPr>
        <w:pStyle w:val="BookText"/>
      </w:pPr>
      <w:r>
        <w:rPr>
          <w:rFonts w:ascii="IRNazanin" w:hAnsi="IRNazanin" w:eastAsia="IRNazanin" w:cs="IRNazanin"/>
          <w:lang w:bidi="fa-IR"/>
          <w:color w:val="111111"/>
          <w:sz w:val="28"/>
          <w:szCs w:val="28"/>
          <w:rtl/>
        </w:rPr>
        <w:t xml:space="preserve">تهران ،مروی؛ شماره نسخه: ۶۸۵/۷</w:t>
      </w:r>
    </w:p>
    <w:p>
      <w:pPr>
        <w:pStyle w:val="BookText"/>
      </w:pPr>
      <w:r>
        <w:rPr>
          <w:rFonts w:ascii="IRNazanin" w:hAnsi="IRNazanin" w:eastAsia="IRNazanin" w:cs="IRNazanin"/>
          <w:lang w:bidi="fa-IR"/>
          <w:color w:val="111111"/>
          <w:sz w:val="28"/>
          <w:szCs w:val="28"/>
          <w:rtl/>
        </w:rPr>
        <w:t xml:space="preserve">بی  کا، تا: قرن ۱۳؛ قطع: خشتی [ف: ۲۹۴]</w:t>
      </w:r>
    </w:p>
    <w:p>
      <w:pPr>
        <w:pStyle w:val="Heading3"/>
      </w:pPr>
      <w:bookmarkStart w:id="1890" w:name="_Toc1412"/>
      <w:r>
        <w:t>اشتراک امرین / اصول فقه / عربی</w:t>
      </w:r>
      <w:bookmarkEnd w:id="1890"/>
    </w:p>
    <w:p>
      <w:pPr>
        <w:pStyle w:val="BookText"/>
      </w:pPr>
      <w:r>
        <w:rPr>
          <w:rFonts w:ascii="Times New Roman" w:hAnsi="Times New Roman" w:eastAsia="Times New Roman" w:cs="Times New Roman"/>
          <w:lang w:val="en-US" w:bidi="en-US"/>
          <w:color w:val="111111"/>
          <w:sz w:val="28"/>
          <w:szCs w:val="28"/>
          <w:rtl/>
        </w:rPr>
        <w:t xml:space="preserve">ištirāk-u amrayn</w:t>
      </w:r>
    </w:p>
    <w:p>
      <w:pPr>
        <w:pStyle w:val="BookText"/>
      </w:pPr>
      <w:r>
        <w:rPr>
          <w:rFonts w:ascii="IRNazanin" w:hAnsi="IRNazanin" w:eastAsia="IRNazanin" w:cs="IRNazanin"/>
          <w:lang w:bidi="fa-IR"/>
          <w:color w:val="111111"/>
          <w:sz w:val="28"/>
          <w:szCs w:val="28"/>
          <w:rtl/>
        </w:rPr>
        <w:t xml:space="preserve">روزدری ،علی - ۱۲۹۰ قمری</w:t>
      </w:r>
    </w:p>
    <w:p>
      <w:pPr>
        <w:pStyle w:val="BookText"/>
      </w:pPr>
      <w:r>
        <w:rPr>
          <w:rFonts w:ascii="Times New Roman" w:hAnsi="Times New Roman" w:eastAsia="Times New Roman" w:cs="Times New Roman"/>
          <w:lang w:val="en-US" w:bidi="en-US"/>
          <w:color w:val="111111"/>
          <w:sz w:val="28"/>
          <w:szCs w:val="28"/>
          <w:rtl/>
        </w:rPr>
        <w:t xml:space="preserve">(rūzdarī, ‘alī (- 1873)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400" w:name="pg20365_260556"/>
    <w:bookmarkEnd w:id="400"/>
    <w:p>
      <w:pPr>
        <w:pStyle w:val="BookText"/>
      </w:pPr>
      <w:r>
        <w:rPr>
          <w:rFonts w:ascii="IRNazanin" w:hAnsi="IRNazanin" w:eastAsia="IRNazanin" w:cs="IRNazanin"/>
          <w:lang w:bidi="fa-IR"/>
          <w:color w:val="111111"/>
          <w:sz w:val="28"/>
          <w:szCs w:val="28"/>
          <w:rtl/>
        </w:rPr>
        <w:t xml:space="preserve">اراک؛ دهگان؛ شماره نسخه: ۲۲/۳</w:t>
      </w:r>
    </w:p>
    <w:p>
      <w:pPr>
        <w:pStyle w:val="BookText"/>
      </w:pPr>
      <w:r>
        <w:rPr>
          <w:rFonts w:ascii="IRNazanin" w:hAnsi="IRNazanin" w:eastAsia="IRNazanin" w:cs="IRNazanin"/>
          <w:lang w:bidi="fa-IR"/>
          <w:color w:val="111111"/>
          <w:sz w:val="28"/>
          <w:szCs w:val="28"/>
          <w:rtl/>
        </w:rPr>
        <w:t xml:space="preserve">خط: تحریری، کا: ملا محمد علی گواری، تا: ۱۳۰۱ق؛ کاغذ: نخودی، جلد: مقوایی با رویه پارچه گل دار، ۵۸گ (۵۳ر-  ۱۱۰ پ) قطع ،وزیری،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 - ۳۶]</w:t>
      </w:r>
    </w:p>
    <w:p>
      <w:pPr>
        <w:pStyle w:val="Heading3"/>
      </w:pPr>
      <w:bookmarkStart w:id="1891" w:name="_Toc1413"/>
      <w:r>
        <w:t>الاشتراک فی الاصول / اصول فقه / عربی</w:t>
      </w:r>
      <w:bookmarkEnd w:id="1891"/>
    </w:p>
    <w:p>
      <w:pPr>
        <w:pStyle w:val="BookText"/>
      </w:pPr>
      <w:r>
        <w:rPr>
          <w:rFonts w:ascii="Times New Roman" w:hAnsi="Times New Roman" w:eastAsia="Times New Roman" w:cs="Times New Roman"/>
          <w:lang w:val="en-US" w:bidi="en-US"/>
          <w:color w:val="111111"/>
          <w:sz w:val="28"/>
          <w:szCs w:val="28"/>
          <w:rtl/>
        </w:rPr>
        <w:t xml:space="preserve">al-ištirāk fi-l-uṣūl</w:t>
      </w:r>
    </w:p>
    <w:p>
      <w:pPr>
        <w:pStyle w:val="BookText"/>
      </w:pPr>
      <w:r>
        <w:rPr>
          <w:rFonts w:ascii="IRNazanin" w:hAnsi="IRNazanin" w:eastAsia="IRNazanin" w:cs="IRNazanin"/>
          <w:lang w:bidi="fa-IR"/>
          <w:color w:val="111111"/>
          <w:sz w:val="28"/>
          <w:szCs w:val="28"/>
          <w:rtl/>
        </w:rPr>
        <w:t xml:space="preserve">؟ طباطبائی، محمد بن علی، ۱۱۸۰ - ۱۲۴۲ قمری</w:t>
      </w:r>
    </w:p>
    <w:p>
      <w:pPr>
        <w:pStyle w:val="BookText"/>
      </w:pPr>
      <w:r>
        <w:rPr>
          <w:rFonts w:ascii="Times New Roman" w:hAnsi="Times New Roman" w:eastAsia="Times New Roman" w:cs="Times New Roman"/>
          <w:lang w:val="en-US" w:bidi="en-US"/>
          <w:color w:val="111111"/>
          <w:sz w:val="28"/>
          <w:szCs w:val="28"/>
          <w:rtl/>
        </w:rPr>
        <w:t xml:space="preserve">(tabātabā’ī, mohammad ebn-e ‘alī (1767 - 1827)</w:t>
      </w:r>
    </w:p>
    <w:p>
      <w:pPr>
        <w:pStyle w:val="BookText"/>
      </w:pPr>
      <w:r>
        <w:rPr>
          <w:rFonts w:ascii="IRNazanin" w:hAnsi="IRNazanin" w:eastAsia="IRNazanin" w:cs="IRNazanin"/>
          <w:lang w:bidi="fa-IR"/>
          <w:color w:val="111111"/>
          <w:sz w:val="28"/>
          <w:szCs w:val="28"/>
          <w:rtl/>
        </w:rPr>
        <w:t xml:space="preserve">در قسمت بالای برگ آغازین نسخه این عبارت آمده است: «اجزای رسائل جناب آقای سید محمد طباطبایی در علم اصـول فقه»</w:t>
      </w:r>
    </w:p>
    <w:p>
      <w:pPr>
        <w:pStyle w:val="BookText"/>
      </w:pPr>
      <w:r>
        <w:rPr>
          <w:rFonts w:ascii="IRNazanin" w:hAnsi="IRNazanin" w:eastAsia="IRNazanin" w:cs="IRNazanin"/>
          <w:lang w:bidi="fa-IR"/>
          <w:color w:val="111111"/>
          <w:sz w:val="28"/>
          <w:szCs w:val="28"/>
          <w:rtl/>
        </w:rPr>
        <w:t xml:space="preserve">تهران؛ ملی؛ شماره نسخه: ۲۰۵۶/۲</w:t>
      </w:r>
    </w:p>
    <w:p>
      <w:pPr>
        <w:pStyle w:val="BookText"/>
      </w:pPr>
      <w:r>
        <w:rPr>
          <w:rFonts w:ascii="IRNazanin" w:hAnsi="IRNazanin" w:eastAsia="IRNazanin" w:cs="IRNazanin"/>
          <w:lang w:bidi="fa-IR"/>
          <w:color w:val="111111"/>
          <w:sz w:val="28"/>
          <w:szCs w:val="28"/>
          <w:rtl/>
        </w:rPr>
        <w:t xml:space="preserve">آغاز: بسملة. حمدلة. ذهب الاكثر الى وقوع الاشتراك فى اللغـةو حكى عن بعض القول بوجوب وقوعه؛ انجام: اما عدم الدلالة علی الزمان المستقبل فموضع وفاق على الظاهر المصرح به في كـلام  جماعة  من الاصوليين كالعضدي</w:t>
      </w:r>
    </w:p>
    <w:p>
      <w:pPr>
        <w:pStyle w:val="BookText"/>
      </w:pPr>
      <w:r>
        <w:rPr>
          <w:rFonts w:ascii="IRNazanin" w:hAnsi="IRNazanin" w:eastAsia="IRNazanin" w:cs="IRNazanin"/>
          <w:lang w:bidi="fa-IR"/>
          <w:color w:val="111111"/>
          <w:sz w:val="28"/>
          <w:szCs w:val="28"/>
          <w:rtl/>
        </w:rPr>
        <w:t xml:space="preserve">خط: نسخ و نستعلیق، بی کا، تا:قرن ۱۳؛ افتادگی: انجام؛ کاغذ : هندی ،نخودی ،جلد: چرمی تریاکی تیره یک لا، ۸ ص (126- ۱۳۳)، ابعاد متن: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 ،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۲۳سم [ف : ۱۱ - ۲۰۳]</w:t>
      </w:r>
    </w:p>
    <w:p>
      <w:pPr>
        <w:pStyle w:val="BookText"/>
      </w:pPr>
      <w:r>
        <w:rPr>
          <w:rFonts w:ascii="IRNazanin" w:hAnsi="IRNazanin" w:eastAsia="IRNazanin" w:cs="IRNazanin"/>
          <w:lang w:bidi="fa-IR"/>
          <w:color w:val="111111"/>
          <w:sz w:val="28"/>
          <w:szCs w:val="28"/>
          <w:rtl/>
        </w:rPr>
        <w:t xml:space="preserve">«اشتراک لفظی وجود (رساله) » اثبات الواجب</w:t>
      </w:r>
    </w:p>
    <w:p>
      <w:pPr>
        <w:pStyle w:val="Heading3"/>
      </w:pPr>
      <w:bookmarkStart w:id="1892" w:name="_Toc1414"/>
      <w:r>
        <w:t>اشتراک الوجود / فلسفه / عربي</w:t>
      </w:r>
      <w:bookmarkEnd w:id="1892"/>
    </w:p>
    <w:p>
      <w:pPr>
        <w:pStyle w:val="BookText"/>
      </w:pPr>
      <w:r>
        <w:rPr>
          <w:rFonts w:ascii="Times New Roman" w:hAnsi="Times New Roman" w:eastAsia="Times New Roman" w:cs="Times New Roman"/>
          <w:lang w:val="en-US" w:bidi="en-US"/>
          <w:color w:val="111111"/>
          <w:sz w:val="28"/>
          <w:szCs w:val="28"/>
          <w:rtl/>
        </w:rPr>
        <w:t xml:space="preserve">ištirāk-ul-wujūd</w:t>
      </w:r>
    </w:p>
    <w:p>
      <w:pPr>
        <w:pStyle w:val="BookText"/>
      </w:pPr>
      <w:r>
        <w:rPr>
          <w:rFonts w:ascii="IRNazanin" w:hAnsi="IRNazanin" w:eastAsia="IRNazanin" w:cs="IRNazanin"/>
          <w:lang w:bidi="fa-IR"/>
          <w:color w:val="111111"/>
          <w:sz w:val="28"/>
          <w:szCs w:val="28"/>
          <w:rtl/>
        </w:rPr>
        <w:t xml:space="preserve">احسائی، احمد بن زین الدین، ۱۱۶۶ - ۱۲۴۱ ؟ قمری</w:t>
      </w:r>
    </w:p>
    <w:p>
      <w:pPr>
        <w:pStyle w:val="BookText"/>
      </w:pPr>
      <w:r>
        <w:rPr>
          <w:rFonts w:ascii="Times New Roman" w:hAnsi="Times New Roman" w:eastAsia="Times New Roman" w:cs="Times New Roman"/>
          <w:lang w:val="en-US" w:bidi="en-US"/>
          <w:color w:val="111111"/>
          <w:sz w:val="28"/>
          <w:szCs w:val="28"/>
          <w:rtl/>
        </w:rPr>
        <w:t xml:space="preserve">(ahsā‘ī, ahmad ebn-e zayn-od-dīn (1753 - 1826)</w:t>
      </w:r>
    </w:p>
    <w:p>
      <w:pPr>
        <w:pStyle w:val="BookText"/>
      </w:pPr>
      <w:r>
        <w:rPr>
          <w:rFonts w:ascii="IRNazanin" w:hAnsi="IRNazanin" w:eastAsia="IRNazanin" w:cs="IRNazanin"/>
          <w:lang w:bidi="fa-IR"/>
          <w:color w:val="111111"/>
          <w:sz w:val="28"/>
          <w:szCs w:val="28"/>
          <w:rtl/>
        </w:rPr>
        <w:t xml:space="preserve">شیراز؛ شاهچراغ؛ شماره نسخه: ۷۷۱/۵</w:t>
      </w:r>
    </w:p>
    <w:p>
      <w:pPr>
        <w:pStyle w:val="BookText"/>
      </w:pPr>
      <w:r>
        <w:rPr>
          <w:rFonts w:ascii="IRNazanin" w:hAnsi="IRNazanin" w:eastAsia="IRNazanin" w:cs="IRNazanin"/>
          <w:lang w:bidi="fa-IR"/>
          <w:color w:val="111111"/>
          <w:sz w:val="28"/>
          <w:szCs w:val="28"/>
          <w:rtl/>
        </w:rPr>
        <w:t xml:space="preserve">خط: نستعلیق شکسته، بی کا، تا: قرن ۱۳؛ ۴گ( ۸۵ر-۸۸ر)،اندازه: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۳ - ۱۱۵]</w:t>
      </w:r>
    </w:p>
    <w:p>
      <w:pPr>
        <w:pStyle w:val="Heading3"/>
      </w:pPr>
      <w:bookmarkStart w:id="1893" w:name="_Toc1415"/>
      <w:r>
        <w:t>اشتراک الوجود و الموجود / فلسفه / عربی</w:t>
      </w:r>
      <w:bookmarkEnd w:id="1893"/>
    </w:p>
    <w:p>
      <w:pPr>
        <w:pStyle w:val="BookText"/>
      </w:pPr>
      <w:r>
        <w:rPr>
          <w:rFonts w:ascii="Times New Roman" w:hAnsi="Times New Roman" w:eastAsia="Times New Roman" w:cs="Times New Roman"/>
          <w:lang w:val="en-US" w:bidi="en-US"/>
          <w:color w:val="111111"/>
          <w:sz w:val="28"/>
          <w:szCs w:val="28"/>
          <w:rtl/>
        </w:rPr>
        <w:t xml:space="preserve">ištirāk-ul wujūd wa-l mawjūd</w:t>
      </w:r>
    </w:p>
    <w:p>
      <w:pPr>
        <w:pStyle w:val="BookText"/>
      </w:pPr>
      <w:r>
        <w:rPr>
          <w:rFonts w:ascii="IRNazanin" w:hAnsi="IRNazanin" w:eastAsia="IRNazanin" w:cs="IRNazanin"/>
          <w:lang w:bidi="fa-IR"/>
          <w:color w:val="111111"/>
          <w:sz w:val="28"/>
          <w:szCs w:val="28"/>
          <w:rtl/>
        </w:rPr>
        <w:t xml:space="preserve">فائده مختصری است درباره فرق بین وجود و موجود و کلیت جزئيت آن دو. این فائده به برهان الحکماء شاه ابوالولی نسبت داده شده است.</w:t>
      </w:r>
    </w:p>
    <w:p>
      <w:pPr>
        <w:pStyle w:val="BookText"/>
      </w:pPr>
      <w:r>
        <w:rPr>
          <w:rFonts w:ascii="IRNazanin" w:hAnsi="IRNazanin" w:eastAsia="IRNazanin" w:cs="IRNazanin"/>
          <w:lang w:bidi="fa-IR"/>
          <w:color w:val="111111"/>
          <w:sz w:val="28"/>
          <w:szCs w:val="28"/>
          <w:rtl/>
        </w:rPr>
        <w:t xml:space="preserve">تهران؛ مجلس؛ شماره نسخه: ۲۸۵۹/۲۲</w:t>
      </w:r>
    </w:p>
    <w:p>
      <w:pPr>
        <w:pStyle w:val="BookText"/>
      </w:pPr>
      <w:r>
        <w:rPr>
          <w:rFonts w:ascii="IRNazanin" w:hAnsi="IRNazanin" w:eastAsia="IRNazanin" w:cs="IRNazanin"/>
          <w:lang w:bidi="fa-IR"/>
          <w:color w:val="111111"/>
          <w:sz w:val="28"/>
          <w:szCs w:val="28"/>
          <w:rtl/>
        </w:rPr>
        <w:t xml:space="preserve">آغاز: اعلم ان الوجود و الموجود اما ان يكونا مشتركين اولاو علی الثانى فاما ان يكون شي منهما مشتركا و حينئذ فلا محاله لكونان جزئيتين حقيقيتين؛ انجام: فبعضهم ذهبوا الى ان فى الممكنات وراء الفرد حصة من الوجود المطلق و بعض آخر الى نفى ذلك فالمذاهب المشهورة فى تحقيق الوجود و الموجود منحصرة في  ستة. هذه الفائدة من افادات برهان الحكماء شاه ابوالولى.</w:t>
      </w:r>
    </w:p>
    <w:p>
      <w:pPr>
        <w:pStyle w:val="BookText"/>
      </w:pPr>
      <w:r>
        <w:rPr>
          <w:rFonts w:ascii="IRNazanin" w:hAnsi="IRNazanin" w:eastAsia="IRNazanin" w:cs="IRNazanin"/>
          <w:lang w:bidi="fa-IR"/>
          <w:color w:val="111111"/>
          <w:sz w:val="28"/>
          <w:szCs w:val="28"/>
          <w:rtl/>
        </w:rPr>
        <w:t xml:space="preserve">خط: نسخ و  نستعلیق، بی کا، بی تا ؛کاغذ: سفید و زرد، جلد: تیماج مشکی یک لا، ۲ ص( ۷۸-۷۹)، اندازه: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 ۱۰ - ۱۹۶]</w:t>
      </w:r>
    </w:p>
    <w:p>
      <w:pPr>
        <w:pStyle w:val="Heading3"/>
      </w:pPr>
      <w:bookmarkStart w:id="1894" w:name="_Toc1416"/>
      <w:r>
        <w:t>اشتراک و تداخل اعداد / ریاضیات / فارسی</w:t>
      </w:r>
      <w:bookmarkEnd w:id="1894"/>
    </w:p>
    <w:p>
      <w:pPr>
        <w:pStyle w:val="BookText"/>
      </w:pPr>
      <w:r>
        <w:rPr>
          <w:rFonts w:ascii="Times New Roman" w:hAnsi="Times New Roman" w:eastAsia="Times New Roman" w:cs="Times New Roman"/>
          <w:lang w:val="en-US" w:bidi="en-US"/>
          <w:color w:val="111111"/>
          <w:sz w:val="28"/>
          <w:szCs w:val="28"/>
          <w:rtl/>
        </w:rPr>
        <w:t xml:space="preserve">ešterāk va tadaxol-e a dād</w:t>
      </w:r>
    </w:p>
    <w:p>
      <w:pPr>
        <w:pStyle w:val="BookText"/>
      </w:pPr>
      <w:r>
        <w:rPr>
          <w:rFonts w:ascii="IRNazanin" w:hAnsi="IRNazanin" w:eastAsia="IRNazanin" w:cs="IRNazanin"/>
          <w:lang w:bidi="fa-IR"/>
          <w:color w:val="111111"/>
          <w:sz w:val="28"/>
          <w:szCs w:val="28"/>
          <w:rtl/>
        </w:rPr>
        <w:t xml:space="preserve">آغاز: در بیان اشتراک و بیان تداخل و در بیان تداخل و در بیان اعداد هر دو عدد که فرض کنند از واحدنیست خالی</w:t>
      </w:r>
    </w:p>
    <w:p>
      <w:pPr>
        <w:pStyle w:val="BookText"/>
      </w:pPr>
      <w:r>
        <w:rPr>
          <w:rFonts w:ascii="IRNazanin" w:hAnsi="IRNazanin" w:eastAsia="IRNazanin" w:cs="IRNazanin"/>
          <w:lang w:bidi="fa-IR"/>
          <w:color w:val="111111"/>
          <w:sz w:val="28"/>
          <w:szCs w:val="28"/>
          <w:rtl/>
        </w:rPr>
        <w:t xml:space="preserve">[فهرستواره منزوی ۲۵۹۷/۴]</w:t>
      </w:r>
    </w:p>
    <w:p>
      <w:pPr>
        <w:pStyle w:val="BookText"/>
      </w:pPr>
      <w:r>
        <w:rPr>
          <w:rFonts w:ascii="IRNazanin" w:hAnsi="IRNazanin" w:eastAsia="IRNazanin" w:cs="IRNazanin"/>
          <w:lang w:bidi="fa-IR"/>
          <w:color w:val="111111"/>
          <w:sz w:val="28"/>
          <w:szCs w:val="28"/>
          <w:rtl/>
        </w:rPr>
        <w:t xml:space="preserve">تهران؛ دانشگاه؛ شماره نسخه: ۷۷۵/۴ف و ۹۱۶/۴-ف</w:t>
      </w:r>
    </w:p>
    <w:p>
      <w:pPr>
        <w:pStyle w:val="BookText"/>
      </w:pPr>
      <w:r>
        <w:rPr>
          <w:rFonts w:ascii="IRNazanin" w:hAnsi="IRNazanin" w:eastAsia="IRNazanin" w:cs="IRNazanin"/>
          <w:lang w:bidi="fa-IR"/>
          <w:color w:val="111111"/>
          <w:sz w:val="28"/>
          <w:szCs w:val="28"/>
          <w:rtl/>
        </w:rPr>
        <w:t xml:space="preserve">نسخه اصل: پاریس 169. </w:t>
      </w:r>
      <w:r>
        <w:rPr>
          <w:rFonts w:ascii="Times New Roman" w:hAnsi="Times New Roman" w:eastAsia="Times New Roman" w:cs="Times New Roman"/>
          <w:lang w:val="en-US" w:bidi="en-US"/>
          <w:color w:val="111111"/>
          <w:sz w:val="28"/>
          <w:szCs w:val="28"/>
          <w:rtl/>
        </w:rPr>
        <w:t xml:space="preserve">p (</w:t>
      </w:r>
      <w:r>
        <w:rPr>
          <w:rFonts w:ascii="IRNazanin" w:hAnsi="IRNazanin" w:eastAsia="IRNazanin" w:cs="IRNazanin"/>
          <w:lang w:bidi="fa-IR"/>
          <w:color w:val="111111"/>
          <w:sz w:val="28"/>
          <w:szCs w:val="28"/>
          <w:rtl/>
        </w:rPr>
        <w:t xml:space="preserve">بلوشه ۷۲۲)؛ خط: نستعلیق، بی کا، بی تا؛ ۲۲ سطر [فیلم ها-ف: ۱ - ۵۳۸ و ۵۴۸]</w:t>
      </w:r>
    </w:p>
    <w:p>
      <w:pPr>
        <w:pStyle w:val="Heading3"/>
      </w:pPr>
      <w:bookmarkStart w:id="1895" w:name="_Toc1417"/>
      <w:r>
        <w:t>اشتر نامه / شعر / فارسی</w:t>
      </w:r>
      <w:bookmarkEnd w:id="1895"/>
    </w:p>
    <w:p>
      <w:pPr>
        <w:pStyle w:val="BookText"/>
      </w:pPr>
      <w:r>
        <w:rPr>
          <w:rFonts w:ascii="Times New Roman" w:hAnsi="Times New Roman" w:eastAsia="Times New Roman" w:cs="Times New Roman"/>
          <w:lang w:val="en-US" w:bidi="en-US"/>
          <w:color w:val="111111"/>
          <w:sz w:val="28"/>
          <w:szCs w:val="28"/>
          <w:rtl/>
        </w:rPr>
        <w:t xml:space="preserve">oštor-nāme</w:t>
      </w:r>
    </w:p>
    <w:p>
      <w:pPr>
        <w:pStyle w:val="BookText"/>
      </w:pPr>
      <w:r>
        <w:rPr>
          <w:rFonts w:ascii="IRNazanin" w:hAnsi="IRNazanin" w:eastAsia="IRNazanin" w:cs="IRNazanin"/>
          <w:lang w:bidi="fa-IR"/>
          <w:color w:val="111111"/>
          <w:sz w:val="28"/>
          <w:szCs w:val="28"/>
          <w:rtl/>
        </w:rPr>
        <w:t xml:space="preserve">عطار، محمد بن ابراهیم، ۵۳۷؟ – ۶۲۷ ؟ قمری</w:t>
      </w:r>
    </w:p>
    <w:p>
      <w:pPr>
        <w:pStyle w:val="BookText"/>
      </w:pPr>
      <w:r>
        <w:rPr>
          <w:rFonts w:ascii="Times New Roman" w:hAnsi="Times New Roman" w:eastAsia="Times New Roman" w:cs="Times New Roman"/>
          <w:lang w:val="en-US" w:bidi="en-US"/>
          <w:color w:val="111111"/>
          <w:sz w:val="28"/>
          <w:szCs w:val="28"/>
          <w:rtl/>
        </w:rPr>
        <w:t xml:space="preserve">‘(attār, mohammad ebn-e ebrāhīm (1143 - 1230)</w:t>
      </w:r>
    </w:p>
    <w:p>
      <w:pPr>
        <w:pStyle w:val="BookText"/>
      </w:pPr>
      <w:r>
        <w:rPr>
          <w:rFonts w:ascii="IRNazanin" w:hAnsi="IRNazanin" w:eastAsia="IRNazanin" w:cs="IRNazanin"/>
          <w:lang w:bidi="fa-IR"/>
          <w:color w:val="111111"/>
          <w:sz w:val="28"/>
          <w:szCs w:val="28"/>
          <w:rtl/>
        </w:rPr>
        <w:t xml:space="preserve">مثنوی عرفانی در بحر رمل است و درباره شتر مرکب روحانی عبور دهنده سالک از بیابان های معرفت و رساندن وی به کعبه دل می باشد نسخه های کهن آن حدود ۳۶۰۰ بیت دارد و شمار آنها در نسخه های تازه تر به ۹۰۰۰ رسیده است. در انتساب آن به عطار نیشابوری سخن است. نفیسی در آن تردید کرده و یک جا آن را از عطار تونی دانسته است. دکتر مهدی محقق در پیشگفتار چاپ مصحح آن دلایل مثبت و منفی را بررسی کرده و می گوید انتساب آن به عطار تونی درست نیست، چه سراینده از اهل سنت است و می تواند همان «عطار نیشابوری» باشد ولی می پذیرد که نسخه هایی از آن که شمار بیت ها به نه هزار می رسد از «عطار نیشابوری» نیست و تنها بخشی از آن شیوه کار نیشابوری را دارد با عناوین ستایش صانع، نعت سید عالم در ذات و صفات، برآمدن بر منبر وحدت از راه دل، حکایت اسناد ترک و برده بازی او در علو مرتبه ،انسان حکایت آدم (علیه السّلام)، جدا شدن آدم و حوا از یکدیگر در صفت کتاب گوید، آغاز کتاب اشتر نامه حکایت مرد کر و قافله، حکایت شهبازو صیاد، در تقریر راه و تفسیر آن، حکایت عیسی با جهودان جواب عیسی سبيحون را، حکایت استاد نقاش، رسیدن سالک با پرده اول، رسیده سالک با پرده دوم، پرده  پنجم، حكايت ابراهيم، سؤال سالک وصول از پیر، خاموش شدن سالک وصول از جواب، رسیدن سالک با پرده هفتم.  آغاز: ابتدا بر نام حی لایزال*** صانع اشیا بر ابداع جلال / آن خرد بخشی که آدم ذات اوست*** جمله اشیا مصحف آيات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اوست</w:t>
      </w:r>
    </w:p>
    <w:p>
      <w:pPr>
        <w:pStyle w:val="BookText"/>
      </w:pPr>
      <w:r>
        <w:rPr>
          <w:rFonts w:ascii="IRNazanin" w:hAnsi="IRNazanin" w:eastAsia="IRNazanin" w:cs="IRNazanin"/>
          <w:lang w:bidi="fa-IR"/>
          <w:color w:val="111111"/>
          <w:sz w:val="28"/>
          <w:szCs w:val="28"/>
          <w:rtl/>
        </w:rPr>
        <w:t xml:space="preserve">چاپ: با مقدمه و تصحیح مهدی محقق، ۱۳۴۰ش</w:t>
      </w:r>
    </w:p>
    <w:p>
      <w:pPr>
        <w:pStyle w:val="BookText"/>
      </w:pPr>
      <w:r>
        <w:rPr>
          <w:rFonts w:ascii="IRNazanin" w:hAnsi="IRNazanin" w:eastAsia="IRNazanin" w:cs="IRNazanin"/>
          <w:lang w:bidi="fa-IR"/>
          <w:color w:val="111111"/>
          <w:sz w:val="28"/>
          <w:szCs w:val="28"/>
          <w:rtl/>
        </w:rPr>
        <w:t xml:space="preserve">[دنا 1/ 845(13 نسخه)؛ فهرستواره منزوی ۱۹۹/۱۰؛ آثار و احوال عطار 105، همانجا ۱۶۷ از «عطار تونی؛ هدية العارفين ۱۱۲/۲؛ مشترک پاکستان 7/ 163و ۱۶۸ و ۶۰۸؛ نفیسی ۱۱۴/۱ و ۳۲۰ از «عطار تونی»؛ الذريعه ۷۳۰/۹ و 19/ 117؛ ريحانة الادب ۱۴۵/۴]</w:t>
      </w:r>
    </w:p>
    <w:p>
      <w:pPr>
        <w:pStyle w:val="BookText"/>
      </w:pPr>
      <w:r>
        <w:rPr>
          <w:rFonts w:ascii="IRNazanin" w:hAnsi="IRNazanin" w:eastAsia="IRNazanin" w:cs="IRNazanin"/>
          <w:lang w:bidi="fa-IR"/>
          <w:color w:val="111111"/>
          <w:sz w:val="28"/>
          <w:szCs w:val="28"/>
          <w:rtl/>
        </w:rPr>
        <w:t xml:space="preserve">۱. تهران؛ دانشگاه؛ شماره نسخه: ۱۰۴/۱۱-ف</w:t>
      </w:r>
    </w:p>
    <w:p>
      <w:pPr>
        <w:pStyle w:val="BookText"/>
      </w:pPr>
      <w:r>
        <w:rPr>
          <w:rFonts w:ascii="IRNazanin" w:hAnsi="IRNazanin" w:eastAsia="IRNazanin" w:cs="IRNazanin"/>
          <w:lang w:bidi="fa-IR"/>
          <w:color w:val="111111"/>
          <w:sz w:val="28"/>
          <w:szCs w:val="28"/>
          <w:rtl/>
        </w:rPr>
        <w:t xml:space="preserve">نسخه اصل: عاطف افندیش ۲۲۴۱؛ خط: نستعليق، كا: اسحق بن محمد، تا: ۷۲۸ق؛ (هامش 1- 249) [فیلم ها-ف: ۱ - ۴۰۹]</w:t>
      </w:r>
    </w:p>
    <w:p>
      <w:pPr>
        <w:pStyle w:val="BookText"/>
      </w:pPr>
      <w:r>
        <w:rPr>
          <w:rFonts w:ascii="IRNazanin" w:hAnsi="IRNazanin" w:eastAsia="IRNazanin" w:cs="IRNazanin"/>
          <w:lang w:bidi="fa-IR"/>
          <w:color w:val="111111"/>
          <w:sz w:val="28"/>
          <w:szCs w:val="28"/>
          <w:rtl/>
        </w:rPr>
        <w:t xml:space="preserve">2.تبریز؛ ملی؛ شماره نسخه: ۲۹۸۹</w:t>
      </w:r>
    </w:p>
    <w:p>
      <w:pPr>
        <w:pStyle w:val="BookText"/>
      </w:pPr>
      <w:r>
        <w:rPr>
          <w:rFonts w:ascii="IRNazanin" w:hAnsi="IRNazanin" w:eastAsia="IRNazanin" w:cs="IRNazanin"/>
          <w:lang w:bidi="fa-IR"/>
          <w:color w:val="111111"/>
          <w:sz w:val="28"/>
          <w:szCs w:val="28"/>
          <w:rtl/>
        </w:rPr>
        <w:t xml:space="preserve">آغاز: برابر؛ انجام: های و هوئی میزنم در پردهات *** لیک رازت می کنم کم کرده ات</w:t>
      </w:r>
    </w:p>
    <w:p>
      <w:pPr>
        <w:pStyle w:val="BookText"/>
      </w:pPr>
      <w:r>
        <w:rPr>
          <w:rFonts w:ascii="IRNazanin" w:hAnsi="IRNazanin" w:eastAsia="IRNazanin" w:cs="IRNazanin"/>
          <w:lang w:bidi="fa-IR"/>
          <w:color w:val="111111"/>
          <w:sz w:val="28"/>
          <w:szCs w:val="28"/>
          <w:rtl/>
        </w:rPr>
        <w:t xml:space="preserve">مثنویات عطار ؛خط: نستعلیق، بی کا، تا: پیش از قرن ۹؛ افتادگی: انجام (به قدر پنجاه صفحه نسخه چاپی انجمن آثار ملی)؛ کاغذ: سمرقندی، جلد: چرمی، ۷۷گ، ۲۴-۱۷ 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  [ف: ۳ - ۱۲۰۵]</w:t>
      </w:r>
    </w:p>
    <w:p>
      <w:pPr>
        <w:pStyle w:val="BookText"/>
      </w:pPr>
      <w:r>
        <w:rPr>
          <w:rFonts w:ascii="IRNazanin" w:hAnsi="IRNazanin" w:eastAsia="IRNazanin" w:cs="IRNazanin"/>
          <w:lang w:bidi="fa-IR"/>
          <w:color w:val="111111"/>
          <w:sz w:val="28"/>
          <w:szCs w:val="28"/>
          <w:rtl/>
        </w:rPr>
        <w:t xml:space="preserve">3.قم؛ مرعشی؛ شماره نسخه: ۱۳۹۴۷</w:t>
      </w:r>
    </w:p>
    <w:p>
      <w:pPr>
        <w:pStyle w:val="BookText"/>
      </w:pPr>
      <w:r>
        <w:rPr>
          <w:rFonts w:ascii="IRNazanin" w:hAnsi="IRNazanin" w:eastAsia="IRNazanin" w:cs="IRNazanin"/>
          <w:lang w:bidi="fa-IR"/>
          <w:color w:val="111111"/>
          <w:sz w:val="28"/>
          <w:szCs w:val="28"/>
          <w:rtl/>
        </w:rPr>
        <w:t xml:space="preserve">آغاز: برابر؛ انجام: هر که او دست سخاوت برکشاد *** همـچو مامون داد هر نیکی بداد.</w:t>
      </w:r>
    </w:p>
    <w:p>
      <w:pPr>
        <w:pStyle w:val="BookText"/>
      </w:pPr>
      <w:r>
        <w:rPr>
          <w:rFonts w:ascii="IRNazanin" w:hAnsi="IRNazanin" w:eastAsia="IRNazanin" w:cs="IRNazanin"/>
          <w:lang w:bidi="fa-IR"/>
          <w:color w:val="111111"/>
          <w:sz w:val="28"/>
          <w:szCs w:val="28"/>
          <w:rtl/>
        </w:rPr>
        <w:t xml:space="preserve">خط: نستعلیق، بی کا، تا: قرن ۹؛ مهر: ... (محمد) (دایره)؛ کاغذ: شرقی، جلد: تیماج قهوه ای عطف پارچه زرشکی، ۲۱۳گ، 20سطر،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 سم[ف ۳۵ - ۳۸۱]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تهران؛ مهدوی؛ شماره نسخه: ۸/۳</w:t>
      </w:r>
    </w:p>
    <w:p>
      <w:pPr>
        <w:pStyle w:val="BookText"/>
      </w:pPr>
      <w:r>
        <w:rPr>
          <w:rFonts w:ascii="IRNazanin" w:hAnsi="IRNazanin" w:eastAsia="IRNazanin" w:cs="IRNazanin"/>
          <w:lang w:bidi="fa-IR"/>
          <w:color w:val="111111"/>
          <w:sz w:val="28"/>
          <w:szCs w:val="28"/>
          <w:rtl/>
        </w:rPr>
        <w:t xml:space="preserve">خط: نسخ، بی کا، تا: ۲۷ شوال ۸۰۹ق؛ کاغذ: خانبالغ، جـلد: ساغری، ۴۰۳ ر هامش تا آخر [نشریه: ۲ - ۹۵]</w:t>
      </w:r>
    </w:p>
    <w:p>
      <w:pPr>
        <w:pStyle w:val="BookText"/>
      </w:pPr>
      <w:r>
        <w:rPr>
          <w:rFonts w:ascii="IRNazanin" w:hAnsi="IRNazanin" w:eastAsia="IRNazanin" w:cs="IRNazanin"/>
          <w:lang w:bidi="fa-IR"/>
          <w:color w:val="111111"/>
          <w:sz w:val="28"/>
          <w:szCs w:val="28"/>
          <w:rtl/>
        </w:rPr>
        <w:t xml:space="preserve">۵ .تهران؛ مفتاح شماره نسخه: ۵۴۰/۲</w:t>
      </w:r>
    </w:p>
    <w:p>
      <w:pPr>
        <w:pStyle w:val="BookText"/>
      </w:pPr>
      <w:r>
        <w:rPr>
          <w:rFonts w:ascii="IRNazanin" w:hAnsi="IRNazanin" w:eastAsia="IRNazanin" w:cs="IRNazanin"/>
          <w:lang w:bidi="fa-IR"/>
          <w:color w:val="111111"/>
          <w:sz w:val="28"/>
          <w:szCs w:val="28"/>
          <w:rtl/>
        </w:rPr>
        <w:t xml:space="preserve">خط: نستعلیق، ریز، بی کا، تا: ۱۹ شعبان ۸۶۲ق با سرلوح [ نشریه: 7- 247]</w:t>
      </w:r>
    </w:p>
    <w:p>
      <w:pPr>
        <w:pStyle w:val="BookText"/>
      </w:pPr>
      <w:r>
        <w:rPr>
          <w:rFonts w:ascii="IRNazanin" w:hAnsi="IRNazanin" w:eastAsia="IRNazanin" w:cs="IRNazanin"/>
          <w:lang w:bidi="fa-IR"/>
          <w:color w:val="111111"/>
          <w:sz w:val="28"/>
          <w:szCs w:val="28"/>
          <w:rtl/>
        </w:rPr>
        <w:t xml:space="preserve">۶. تهران؛ دانشگاه؛ شماره نسخه: ۲۲۸۶-ع</w:t>
      </w:r>
    </w:p>
    <w:p>
      <w:pPr>
        <w:pStyle w:val="BookText"/>
      </w:pPr>
      <w:r>
        <w:rPr>
          <w:rFonts w:ascii="IRNazanin" w:hAnsi="IRNazanin" w:eastAsia="IRNazanin" w:cs="IRNazanin"/>
          <w:lang w:bidi="fa-IR"/>
          <w:color w:val="111111"/>
          <w:sz w:val="28"/>
          <w:szCs w:val="28"/>
          <w:rtl/>
        </w:rPr>
        <w:t xml:space="preserve">نسخه اصل: از روی فیلم پروفسور مایر از روی نسخه آقـای رودلف چودی ؛خط: نستعلیق، کا: شیخ محمد بن احمد،تا: یک شنبه ۵ ذیقعده ۸۸۱ق، جا: سمرقند، ۹۸گ [ فیلمها :-ف: ۱-و ٣ - ٢٢٣]</w:t>
      </w:r>
    </w:p>
    <w:p>
      <w:pPr>
        <w:pStyle w:val="BookText"/>
      </w:pPr>
      <w:r>
        <w:rPr>
          <w:rFonts w:ascii="IRNazanin" w:hAnsi="IRNazanin" w:eastAsia="IRNazanin" w:cs="IRNazanin"/>
          <w:lang w:bidi="fa-IR"/>
          <w:color w:val="111111"/>
          <w:sz w:val="28"/>
          <w:szCs w:val="28"/>
          <w:rtl/>
        </w:rPr>
        <w:t xml:space="preserve">7.مشهد؛ رضوی؛ شماره نسخه: ۸۳۴۷/۶</w:t>
      </w:r>
    </w:p>
    <w:p>
      <w:pPr>
        <w:pStyle w:val="BookText"/>
      </w:pPr>
      <w:r>
        <w:rPr>
          <w:rFonts w:ascii="IRNazanin" w:hAnsi="IRNazanin" w:eastAsia="IRNazanin" w:cs="IRNazanin"/>
          <w:lang w:bidi="fa-IR"/>
          <w:color w:val="111111"/>
          <w:sz w:val="28"/>
          <w:szCs w:val="28"/>
          <w:rtl/>
        </w:rPr>
        <w:t xml:space="preserve">آغاز: برابر؛ انجام: جوهرش یکیست اما پیشها *** می کند هرنوع صد اندیشها</w:t>
      </w:r>
    </w:p>
    <w:p>
      <w:pPr>
        <w:pStyle w:val="BookText"/>
      </w:pPr>
      <w:r>
        <w:rPr>
          <w:rFonts w:ascii="IRNazanin" w:hAnsi="IRNazanin" w:eastAsia="IRNazanin" w:cs="IRNazanin"/>
          <w:lang w:bidi="fa-IR"/>
          <w:color w:val="111111"/>
          <w:sz w:val="28"/>
          <w:szCs w:val="28"/>
          <w:rtl/>
        </w:rPr>
        <w:t xml:space="preserve">خط: نستعلیق، بی کا، تا: نیمه اول قرن ۱۱؛ مجدول؛ کاغذ: نخودی متن و حاشیه، جلد: تیماج ،مشکی، ۱۵گ، ۲۵ سطر چهارستونی (۱۰/۷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 اندازه: ۳۲/۳۱۸/۵سم [ف: ۷ - ۶۸۷]</w:t>
      </w:r>
    </w:p>
    <w:p>
      <w:pPr>
        <w:pStyle w:val="BookText"/>
      </w:pPr>
      <w:r>
        <w:rPr>
          <w:rFonts w:ascii="IRNazanin" w:hAnsi="IRNazanin" w:eastAsia="IRNazanin" w:cs="IRNazanin"/>
          <w:lang w:bidi="fa-IR"/>
          <w:color w:val="111111"/>
          <w:sz w:val="28"/>
          <w:szCs w:val="28"/>
          <w:rtl/>
        </w:rPr>
        <w:t xml:space="preserve">۸. تهران؛ مجلس؛ شماره نسخه: ۲۶۰۶</w:t>
      </w:r>
    </w:p>
    <w:p>
      <w:pPr>
        <w:pStyle w:val="BookText"/>
      </w:pPr>
      <w:r>
        <w:rPr>
          <w:rFonts w:ascii="IRNazanin" w:hAnsi="IRNazanin" w:eastAsia="IRNazanin" w:cs="IRNazanin"/>
          <w:lang w:bidi="fa-IR"/>
          <w:color w:val="111111"/>
          <w:sz w:val="28"/>
          <w:szCs w:val="28"/>
          <w:rtl/>
        </w:rPr>
        <w:t xml:space="preserve">آغاز: زهی دیدار تو افلاک و انجم *** درونی و برون پیدا و هم گم؛ انجام: همه دید منسیت از بازدانی *** چرا چندین ز ما حیـران  بمانی</w:t>
      </w:r>
    </w:p>
    <w:p>
      <w:pPr>
        <w:pStyle w:val="BookText"/>
      </w:pPr>
      <w:r>
        <w:rPr>
          <w:rFonts w:ascii="IRNazanin" w:hAnsi="IRNazanin" w:eastAsia="IRNazanin" w:cs="IRNazanin"/>
          <w:lang w:bidi="fa-IR"/>
          <w:color w:val="111111"/>
          <w:sz w:val="28"/>
          <w:szCs w:val="28"/>
          <w:rtl/>
        </w:rPr>
        <w:t xml:space="preserve">مشتمل  بر  ۲۸۲۰ بیت ؛خط: نستعلیق، بی کا، تا: قرن ۱۱؛ افتادگی: آغاز؛ مجدول زر و سیاه ،کاغذ: سمرقندی، جلد: مقوایی، ۱۷۰ ص ، ۱۷ سطر (6</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۸ - ۳۴۳]</w:t>
      </w:r>
    </w:p>
    <w:p>
      <w:pPr>
        <w:pStyle w:val="BookText"/>
      </w:pPr>
      <w:r>
        <w:rPr>
          <w:rFonts w:ascii="IRNazanin" w:hAnsi="IRNazanin" w:eastAsia="IRNazanin" w:cs="IRNazanin"/>
          <w:lang w:bidi="fa-IR"/>
          <w:color w:val="111111"/>
          <w:sz w:val="28"/>
          <w:szCs w:val="28"/>
          <w:rtl/>
        </w:rPr>
        <w:t xml:space="preserve">۹. مشهد؛ رضوی؛ شماره نسخه: ۱۶۳۳۲</w:t>
      </w:r>
    </w:p>
    <w:p>
      <w:pPr>
        <w:pStyle w:val="BookText"/>
      </w:pPr>
      <w:r>
        <w:rPr>
          <w:rFonts w:ascii="IRNazanin" w:hAnsi="IRNazanin" w:eastAsia="IRNazanin" w:cs="IRNazanin"/>
          <w:lang w:bidi="fa-IR"/>
          <w:color w:val="111111"/>
          <w:sz w:val="28"/>
          <w:szCs w:val="28"/>
          <w:rtl/>
        </w:rPr>
        <w:t xml:space="preserve">آغاز: برابر؛ انجام: ذات تو آمد مرا اول نمود *** هم در آخر ذات تو اول نبود</w:t>
      </w:r>
    </w:p>
    <w:p>
      <w:pPr>
        <w:pStyle w:val="BookText"/>
      </w:pPr>
      <w:r>
        <w:rPr>
          <w:rFonts w:ascii="IRNazanin" w:hAnsi="IRNazanin" w:eastAsia="IRNazanin" w:cs="IRNazanin"/>
          <w:lang w:bidi="fa-IR"/>
          <w:color w:val="111111"/>
          <w:sz w:val="28"/>
          <w:szCs w:val="28"/>
          <w:rtl/>
        </w:rPr>
        <w:t xml:space="preserve">خط: نستعلیق  چهارستونی، بی کا، تا: ۱۰۰۵ق، جا: لاهور؛ کامل ۴ برگ از ابتدا و دو برگ از انتها نونویسی شده است، تاریخ تحریربازنویسی: محرم   ۱۲۸۰؛ واگذاری بنیاد مستضعفان در شهریور ۱۳۶۷؛ کاغذ ،حنایی، جلد: تیماج، ۱۱۰گ، ۱۹ سطر، اندازه:۱۲/۳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 ۱۷ - ۱۴]</w:t>
      </w:r>
    </w:p>
    <w:p>
      <w:pPr>
        <w:pStyle w:val="BookText"/>
      </w:pPr>
      <w:r>
        <w:rPr>
          <w:rFonts w:ascii="IRNazanin" w:hAnsi="IRNazanin" w:eastAsia="IRNazanin" w:cs="IRNazanin"/>
          <w:lang w:bidi="fa-IR"/>
          <w:color w:val="111111"/>
          <w:sz w:val="28"/>
          <w:szCs w:val="28"/>
          <w:rtl/>
        </w:rPr>
        <w:t xml:space="preserve">۱۰. تهران؛ مجلس؛ شماره نسخه: ۱۴۷۴۵/۱</w:t>
      </w:r>
    </w:p>
    <w:p>
      <w:pPr>
        <w:pStyle w:val="BookText"/>
      </w:pPr>
      <w:r>
        <w:rPr>
          <w:rFonts w:ascii="IRNazanin" w:hAnsi="IRNazanin" w:eastAsia="IRNazanin" w:cs="IRNazanin"/>
          <w:lang w:bidi="fa-IR"/>
          <w:color w:val="111111"/>
          <w:sz w:val="28"/>
          <w:szCs w:val="28"/>
          <w:rtl/>
        </w:rPr>
        <w:t xml:space="preserve">آغاز: گفت ای آدم کنون گندم مخور *** کز بهشت جاودان افتی  بدر ؛انجام: میم برداری از احمد شد احد *** فهم كن معنى الله  الصمد</w:t>
      </w:r>
    </w:p>
    <w:p>
      <w:pPr>
        <w:pStyle w:val="BookText"/>
      </w:pPr>
      <w:r>
        <w:rPr>
          <w:rFonts w:ascii="IRNazanin" w:hAnsi="IRNazanin" w:eastAsia="IRNazanin" w:cs="IRNazanin"/>
          <w:lang w:bidi="fa-IR"/>
          <w:color w:val="111111"/>
          <w:sz w:val="28"/>
          <w:szCs w:val="28"/>
          <w:rtl/>
        </w:rPr>
        <w:t xml:space="preserve">حدود ۳۶۰۰ بیت؛ خط: نستعلیق چهارستونی، بی کا، تا: احتمالاً قرن ۱۲؛ دورنویسی چلیپا؛ جلد: چرم قهوه ای ساده، ۹۷گ (۱ر-  ۹۷ر)، ۲۱ سطر، اندازه: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۱۸/۲سم [ف: ۴۱ – ۱۹۴]</w:t>
      </w:r>
    </w:p>
    <w:p>
      <w:pPr>
        <w:pStyle w:val="BookText"/>
      </w:pPr>
      <w:r>
        <w:rPr>
          <w:rFonts w:ascii="IRNazanin" w:hAnsi="IRNazanin" w:eastAsia="IRNazanin" w:cs="IRNazanin"/>
          <w:lang w:bidi="fa-IR"/>
          <w:color w:val="111111"/>
          <w:sz w:val="28"/>
          <w:szCs w:val="28"/>
          <w:rtl/>
        </w:rPr>
        <w:t xml:space="preserve">۱۱. تهران؛ ملک؛ شماره نسخه: ۵۰۸۷/۳</w:t>
      </w:r>
    </w:p>
    <w:p>
      <w:pPr>
        <w:pStyle w:val="BookText"/>
      </w:pPr>
      <w:r>
        <w:rPr>
          <w:rFonts w:ascii="IRNazanin" w:hAnsi="IRNazanin" w:eastAsia="IRNazanin" w:cs="IRNazanin"/>
          <w:lang w:bidi="fa-IR"/>
          <w:color w:val="111111"/>
          <w:sz w:val="28"/>
          <w:szCs w:val="28"/>
          <w:rtl/>
        </w:rPr>
        <w:t xml:space="preserve">خط: نستعلیق، بی کا، تا: قرن ۱۲ ؛کاغذ: سپاهانی، جلد: میشن سرمه ای، ۲۵ سطر [ف: ۴ - ۶۶۳]</w:t>
      </w:r>
    </w:p>
    <w:p>
      <w:pPr>
        <w:pStyle w:val="BookText"/>
      </w:pPr>
      <w:r>
        <w:rPr>
          <w:rFonts w:ascii="IRNazanin" w:hAnsi="IRNazanin" w:eastAsia="IRNazanin" w:cs="IRNazanin"/>
          <w:lang w:bidi="fa-IR"/>
          <w:color w:val="111111"/>
          <w:sz w:val="28"/>
          <w:szCs w:val="28"/>
          <w:rtl/>
        </w:rPr>
        <w:t xml:space="preserve">۱۲. تهران؛ ملک؛ شماره نسخه: ۴۹۳۷/۱</w:t>
      </w:r>
    </w:p>
    <w:p>
      <w:pPr>
        <w:pStyle w:val="BookText"/>
      </w:pPr>
      <w:r>
        <w:rPr>
          <w:rFonts w:ascii="IRNazanin" w:hAnsi="IRNazanin" w:eastAsia="IRNazanin" w:cs="IRNazanin"/>
          <w:lang w:bidi="fa-IR"/>
          <w:color w:val="111111"/>
          <w:sz w:val="28"/>
          <w:szCs w:val="28"/>
          <w:rtl/>
        </w:rPr>
        <w:t xml:space="preserve">آغاز: برابر؛ انجام: یکهزار و یکصد و عشرین و هفت *** از سنین هجرت سید چو رفت / صد هزاران رحمت از حق هر زمان***باد بر روح فریدالدین عیان</w:t>
      </w:r>
    </w:p>
    <w:p>
      <w:pPr>
        <w:pStyle w:val="BookText"/>
      </w:pPr>
      <w:r>
        <w:rPr>
          <w:rFonts w:ascii="IRNazanin" w:hAnsi="IRNazanin" w:eastAsia="IRNazanin" w:cs="IRNazanin"/>
          <w:lang w:bidi="fa-IR"/>
          <w:color w:val="111111"/>
          <w:sz w:val="28"/>
          <w:szCs w:val="28"/>
          <w:rtl/>
        </w:rPr>
        <w:t xml:space="preserve">حدود ۲۰۰۰ بیت؛ خط: نستعلیق ،خوش بی کا، تا: قرن ۱۲؛ در آخر آمده: مقاله انتخاب کننده این نسخه آنگاه مثنوی در ستایش از عطار و مثنوی او از کاتب یا گرد آورنده نسخه؛ کاغذ: نوعی  ترمه، جلد: روغنی گل و بوته زمینه سیاه، ۹۷گ (۱پ-۹۷پ)،  ۱۰ سطر، اندازه: ۱۳/۸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۲۴سم [ف: ۸ - ۱۳۸]</w:t>
      </w:r>
    </w:p>
    <w:p>
      <w:pPr>
        <w:pStyle w:val="BookText"/>
      </w:pPr>
      <w:r>
        <w:rPr>
          <w:rFonts w:ascii="IRNazanin" w:hAnsi="IRNazanin" w:eastAsia="IRNazanin" w:cs="IRNazanin"/>
          <w:lang w:bidi="fa-IR"/>
          <w:color w:val="111111"/>
          <w:sz w:val="28"/>
          <w:szCs w:val="28"/>
          <w:rtl/>
        </w:rPr>
        <w:t xml:space="preserve">۱۳. تهران؛ مجلس؛ شماره نسخه: ۱۱۴۹/۲</w:t>
      </w:r>
    </w:p>
    <w:p>
      <w:pPr>
        <w:pStyle w:val="BookText"/>
      </w:pPr>
      <w:r>
        <w:rPr>
          <w:rFonts w:ascii="IRNazanin" w:hAnsi="IRNazanin" w:eastAsia="IRNazanin" w:cs="IRNazanin"/>
          <w:lang w:bidi="fa-IR"/>
          <w:color w:val="111111"/>
          <w:sz w:val="28"/>
          <w:szCs w:val="28"/>
          <w:rtl/>
        </w:rPr>
        <w:t xml:space="preserve">بی کا، تا: ۱۱۲۶ق؛ ۴ ص( ۱۲۹-۲۰۲) [ف: ۳ - ۴۰۴]</w:t>
      </w:r>
    </w:p>
    <w:p>
      <w:pPr>
        <w:pStyle w:val="BookText"/>
      </w:pPr>
      <w:r>
        <w:rPr>
          <w:rFonts w:ascii="IRNazanin" w:hAnsi="IRNazanin" w:eastAsia="IRNazanin" w:cs="IRNazanin"/>
          <w:lang w:bidi="fa-IR"/>
          <w:color w:val="111111"/>
          <w:sz w:val="28"/>
          <w:szCs w:val="28"/>
          <w:rtl/>
        </w:rPr>
        <w:t xml:space="preserve">۱۴. مشهد؛ رضوی؛ شماره نسخه: ۲۶۹۶۲</w:t>
      </w:r>
    </w:p>
    <w:p>
      <w:pPr>
        <w:pStyle w:val="BookText"/>
      </w:pPr>
      <w:r>
        <w:rPr>
          <w:rFonts w:ascii="IRNazanin" w:hAnsi="IRNazanin" w:eastAsia="IRNazanin" w:cs="IRNazanin"/>
          <w:lang w:bidi="fa-IR"/>
          <w:color w:val="111111"/>
          <w:sz w:val="28"/>
          <w:szCs w:val="28"/>
          <w:rtl/>
        </w:rPr>
        <w:t xml:space="preserve">آغاز: کوه چه بود اندر این ره ماندناست *** صد کتاب هجر بر خود خواند نست؛ انجام: بسی رنج و ملامتها کشیدند *** خطا جز ز دید ما ندیدند</w:t>
      </w:r>
    </w:p>
    <w:p>
      <w:pPr>
        <w:pStyle w:val="BookText"/>
      </w:pPr>
      <w:r>
        <w:rPr>
          <w:rFonts w:ascii="IRNazanin" w:hAnsi="IRNazanin" w:eastAsia="IRNazanin" w:cs="IRNazanin"/>
          <w:lang w:bidi="fa-IR"/>
          <w:color w:val="111111"/>
          <w:sz w:val="28"/>
          <w:szCs w:val="28"/>
          <w:rtl/>
        </w:rPr>
        <w:t xml:space="preserve">خط: نستعلیق، بی کا، بی تا؛ افتادگی: آغاز و انجام [رایانه]</w:t>
      </w:r>
    </w:p>
    <w:p>
      <w:pPr>
        <w:pStyle w:val="BookText"/>
      </w:pPr>
      <w:r>
        <w:rPr>
          <w:rFonts w:ascii="IRNazanin" w:hAnsi="IRNazanin" w:eastAsia="IRNazanin" w:cs="IRNazanin"/>
          <w:lang w:bidi="fa-IR"/>
          <w:color w:val="111111"/>
          <w:sz w:val="28"/>
          <w:szCs w:val="28"/>
          <w:rtl/>
        </w:rPr>
        <w:t xml:space="preserve">۱۵. مشهد؛ رضوی؛ شماره نسخه: ۲۷۹۲۹</w:t>
      </w:r>
    </w:p>
    <w:p>
      <w:pPr>
        <w:pStyle w:val="BookText"/>
      </w:pPr>
      <w:r>
        <w:rPr>
          <w:rFonts w:ascii="IRNazanin" w:hAnsi="IRNazanin" w:eastAsia="IRNazanin" w:cs="IRNazanin"/>
          <w:lang w:bidi="fa-IR"/>
          <w:color w:val="111111"/>
          <w:sz w:val="28"/>
          <w:szCs w:val="28"/>
          <w:rtl/>
        </w:rPr>
        <w:t xml:space="preserve">آغاز: برابر؛ انجام: جوهرت یکیست اما پشها می کند هر نوع او اندیشها تم</w:t>
      </w:r>
    </w:p>
    <w:p>
      <w:pPr>
        <w:pStyle w:val="BookText"/>
      </w:pPr>
      <w:r>
        <w:rPr>
          <w:rFonts w:ascii="IRNazanin" w:hAnsi="IRNazanin" w:eastAsia="IRNazanin" w:cs="IRNazanin"/>
          <w:lang w:bidi="fa-IR"/>
          <w:color w:val="111111"/>
          <w:sz w:val="28"/>
          <w:szCs w:val="28"/>
          <w:rtl/>
        </w:rPr>
        <w:t xml:space="preserve">خط: نستعلیق، بی کا، بی تا [رایانه ]</w:t>
      </w:r>
    </w:p>
    <w:p>
      <w:pPr>
        <w:pStyle w:val="BookText"/>
      </w:pPr>
      <w:r>
        <w:rPr>
          <w:rFonts w:ascii="IRNazanin" w:hAnsi="IRNazanin" w:eastAsia="IRNazanin" w:cs="IRNazanin"/>
          <w:lang w:bidi="fa-IR"/>
          <w:color w:val="111111"/>
          <w:sz w:val="28"/>
          <w:szCs w:val="28"/>
          <w:rtl/>
        </w:rPr>
        <w:t xml:space="preserve">۱۶. تهران؛ دانشگاه؛ شماره نسخه: ۲۴۱/۲۰-ف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401" w:name="pg20365_260558"/>
    <w:bookmarkEnd w:id="401"/>
    <w:p>
      <w:pPr>
        <w:pStyle w:val="BookText"/>
      </w:pPr>
      <w:r>
        <w:rPr>
          <w:rFonts w:ascii="IRNazanin" w:hAnsi="IRNazanin" w:eastAsia="IRNazanin" w:cs="IRNazanin"/>
          <w:lang w:bidi="fa-IR"/>
          <w:color w:val="111111"/>
          <w:sz w:val="28"/>
          <w:szCs w:val="28"/>
          <w:rtl/>
        </w:rPr>
        <w:t xml:space="preserve">نسخه اصل: اونیورسیته ش ۵۳۸. گزیده شترنامه شیخ عطار.در ۱۲۹۸ بیت؛ خط: نستعلیق ریز و خوش، بی کا، بی تا؛ افتادگی: آغاز؛ ۱۵گ( هامش (۵۸۱ر - ۵۹۵پ)، ۲۵ سطر [ فیلم ها-ف: 1- 443]</w:t>
      </w:r>
    </w:p>
    <w:p>
      <w:pPr>
        <w:pStyle w:val="Heading3"/>
      </w:pPr>
      <w:bookmarkStart w:id="1896" w:name="_Toc1418"/>
      <w:r>
        <w:t>اشتر نامه / شعر / فارسی</w:t>
      </w:r>
      <w:bookmarkEnd w:id="1896"/>
    </w:p>
    <w:p>
      <w:pPr>
        <w:pStyle w:val="BookText"/>
      </w:pPr>
      <w:r>
        <w:rPr>
          <w:rFonts w:ascii="Times New Roman" w:hAnsi="Times New Roman" w:eastAsia="Times New Roman" w:cs="Times New Roman"/>
          <w:lang w:val="en-US" w:bidi="en-US"/>
          <w:color w:val="111111"/>
          <w:sz w:val="28"/>
          <w:szCs w:val="28"/>
          <w:rtl/>
        </w:rPr>
        <w:t xml:space="preserve">oštor-nāme</w:t>
      </w:r>
    </w:p>
    <w:p>
      <w:pPr>
        <w:pStyle w:val="BookText"/>
      </w:pPr>
      <w:r>
        <w:rPr>
          <w:rFonts w:ascii="IRNazanin" w:hAnsi="IRNazanin" w:eastAsia="IRNazanin" w:cs="IRNazanin"/>
          <w:lang w:bidi="fa-IR"/>
          <w:color w:val="111111"/>
          <w:sz w:val="28"/>
          <w:szCs w:val="28"/>
          <w:rtl/>
        </w:rPr>
        <w:t xml:space="preserve">حسینی قزوینی، حسین بن محمد حسن، ۱۱۸۴ - ۴۹ قمری</w:t>
      </w:r>
    </w:p>
    <w:p>
      <w:pPr>
        <w:pStyle w:val="BookText"/>
      </w:pPr>
      <w:r>
        <w:rPr>
          <w:rFonts w:ascii="Times New Roman" w:hAnsi="Times New Roman" w:eastAsia="Times New Roman" w:cs="Times New Roman"/>
          <w:lang w:val="en-US" w:bidi="en-US"/>
          <w:color w:val="111111"/>
          <w:sz w:val="28"/>
          <w:szCs w:val="28"/>
          <w:rtl/>
        </w:rPr>
        <w:t xml:space="preserve">(1834-hoseynī qazvīnī, hoseyn ebn-e mohammad hasan (1771</w:t>
      </w:r>
    </w:p>
    <w:p>
      <w:pPr>
        <w:pStyle w:val="BookText"/>
      </w:pPr>
      <w:r>
        <w:rPr>
          <w:rFonts w:ascii="IRNazanin" w:hAnsi="IRNazanin" w:eastAsia="IRNazanin" w:cs="IRNazanin"/>
          <w:lang w:bidi="fa-IR"/>
          <w:color w:val="111111"/>
          <w:sz w:val="28"/>
          <w:szCs w:val="28"/>
          <w:rtl/>
        </w:rPr>
        <w:t xml:space="preserve">مثنوی عرفانی است در چهل مقاله با بندهایی به نثر. دومین مثنوی از مثنوی های پنج گانه اوست با نام های: ۱. اشترنامه؛2. الهی نامه؛ ۳. مهر و ماه؛ ۴. وامق وعذراء؛ ۵ .وصف الحال. الله الرحمان الرحيم قادر و غفار و قدیر و قدیـ</w:t>
      </w:r>
    </w:p>
    <w:p>
      <w:pPr>
        <w:pStyle w:val="BookText"/>
      </w:pPr>
      <w:r>
        <w:rPr>
          <w:rFonts w:ascii="Amiri" w:hAnsi="Amiri" w:eastAsia="Amiri" w:cs="Amiri"/>
          <w:lang w:bidi="ar-SA"/>
          <w:color w:val="111111"/>
          <w:sz w:val="28"/>
          <w:szCs w:val="28"/>
          <w:rtl/>
        </w:rPr>
        <w:t xml:space="preserve">آغاز: بسم الله الرحمان الرحيم *** قادر و غفار و قدير و قديم / تا كه نشان از دل و از دلبراست *** نام خدا زينت هر دفتر است</w:t>
      </w:r>
    </w:p>
    <w:p>
      <w:pPr>
        <w:pStyle w:val="BookText"/>
      </w:pPr>
      <w:r>
        <w:rPr>
          <w:rFonts w:ascii="IRNazanin" w:hAnsi="IRNazanin" w:eastAsia="IRNazanin" w:cs="IRNazanin"/>
          <w:lang w:bidi="fa-IR"/>
          <w:color w:val="111111"/>
          <w:sz w:val="28"/>
          <w:szCs w:val="28"/>
          <w:rtl/>
        </w:rPr>
        <w:t xml:space="preserve">انجام: قصه پنهان نشود فاش گو *** در نفتد در كف اوباش گو/ راز نهان ز اهل جهان بهتر است *** ساز نهان آنچه نهان بهتر است</w:t>
      </w:r>
    </w:p>
    <w:p>
      <w:pPr>
        <w:pStyle w:val="BookText"/>
      </w:pPr>
      <w:r>
        <w:rPr>
          <w:rFonts w:ascii="IRNazanin" w:hAnsi="IRNazanin" w:eastAsia="IRNazanin" w:cs="IRNazanin"/>
          <w:lang w:bidi="fa-IR"/>
          <w:color w:val="111111"/>
          <w:sz w:val="28"/>
          <w:szCs w:val="28"/>
          <w:rtl/>
        </w:rPr>
        <w:t xml:space="preserve">چاپ: سنگی ،شیراز، ۱۳۲۴؛ سنگی، بمبئی</w:t>
      </w:r>
    </w:p>
    <w:p>
      <w:pPr>
        <w:pStyle w:val="BookText"/>
      </w:pPr>
      <w:r>
        <w:rPr>
          <w:rFonts w:ascii="IRNazanin" w:hAnsi="IRNazanin" w:eastAsia="IRNazanin" w:cs="IRNazanin"/>
          <w:lang w:bidi="fa-IR"/>
          <w:color w:val="111111"/>
          <w:sz w:val="28"/>
          <w:szCs w:val="28"/>
          <w:rtl/>
        </w:rPr>
        <w:t xml:space="preserve">[الذريعة ۱۰۰/۲ و ۲۵۷/۷؛ مشار فارسی ۱۰۲؛ نسخه های منزوی ۶۴۱/۴  و ،۲۶۷۸، فهرستواره منزوی ۱۹۸/۱۰]</w:t>
      </w:r>
    </w:p>
    <w:p>
      <w:pPr>
        <w:pStyle w:val="BookText"/>
      </w:pPr>
      <w:r>
        <w:rPr>
          <w:rFonts w:ascii="IRNazanin" w:hAnsi="IRNazanin" w:eastAsia="IRNazanin" w:cs="IRNazanin"/>
          <w:lang w:bidi="fa-IR"/>
          <w:color w:val="111111"/>
          <w:sz w:val="28"/>
          <w:szCs w:val="28"/>
          <w:rtl/>
        </w:rPr>
        <w:t xml:space="preserve">۱. تهران؛ ملک؛ شماره نسخه: ۵۲۹۵/۳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خوش، بی کا، تا: قرن ۱۳؛ جلد: رویه مرغش زمـینه ماشی، ۱۸ سطر، اندازه: ۱۴/۸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۲۱/۶سم [ف: ۸ - ۲۶۴ ]</w:t>
      </w:r>
    </w:p>
    <w:p>
      <w:pPr>
        <w:pStyle w:val="BookText"/>
      </w:pPr>
      <w:r>
        <w:rPr>
          <w:rFonts w:ascii="IRNazanin" w:hAnsi="IRNazanin" w:eastAsia="IRNazanin" w:cs="IRNazanin"/>
          <w:lang w:bidi="fa-IR"/>
          <w:color w:val="111111"/>
          <w:sz w:val="28"/>
          <w:szCs w:val="28"/>
          <w:rtl/>
        </w:rPr>
        <w:t xml:space="preserve">2.تهران؛ ملک؛ شماره نسخه: ۵۲۹۵/۳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خوش، بی کا، تا: قرن ۱۳؛ کاغذ: فرنگی، جلد:  رویه مرغش زمینه ماشی، ۱۸ سطر [ف: ۳ - ۶۴۲]</w:t>
      </w:r>
    </w:p>
    <w:p>
      <w:pPr>
        <w:pStyle w:val="BookText"/>
      </w:pPr>
      <w:r>
        <w:rPr>
          <w:rFonts w:ascii="IRNazanin" w:hAnsi="IRNazanin" w:eastAsia="IRNazanin" w:cs="IRNazanin"/>
          <w:lang w:bidi="fa-IR"/>
          <w:color w:val="111111"/>
          <w:sz w:val="28"/>
          <w:szCs w:val="28"/>
          <w:rtl/>
        </w:rPr>
        <w:t xml:space="preserve">3.تهران؛ ملک؛ شماره نسخه: ۵۲۹۳/۳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نستعليق، كا: محمد اسمعیل  شیرازی، تا: قرن ۱۳؛ کاغذ:  ترمه ،جلد: رویه ساغری ضربی نقاشی شده، ۱۸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۲۵/۶سم [ف: ۲ - ۲۳۳]</w:t>
      </w:r>
    </w:p>
    <w:p>
      <w:pPr>
        <w:pStyle w:val="BookText"/>
      </w:pPr>
      <w:r>
        <w:rPr>
          <w:rFonts w:ascii="IRNazanin" w:hAnsi="IRNazanin" w:eastAsia="IRNazanin" w:cs="IRNazanin"/>
          <w:lang w:bidi="fa-IR"/>
          <w:color w:val="111111"/>
          <w:sz w:val="28"/>
          <w:szCs w:val="28"/>
          <w:rtl/>
        </w:rPr>
        <w:t xml:space="preserve">۴. تهران؛ مجلس؛ شماره نسخه: ۸۸۹</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بی کا، تا: ۱۲۳۸ق؛ کاغذ: فرنگی ،جلد:تیماج، ۹۸گ، ۲۳ سطر، قطع: وزیری، اندازه: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۳ - ۱۳۱]</w:t>
      </w:r>
    </w:p>
    <w:p>
      <w:pPr>
        <w:pStyle w:val="BookText"/>
      </w:pPr>
      <w:r>
        <w:rPr>
          <w:rFonts w:ascii="IRNazanin" w:hAnsi="IRNazanin" w:eastAsia="IRNazanin" w:cs="IRNazanin"/>
          <w:lang w:bidi="fa-IR"/>
          <w:color w:val="111111"/>
          <w:sz w:val="28"/>
          <w:szCs w:val="28"/>
          <w:rtl/>
        </w:rPr>
        <w:t xml:space="preserve">۵. تهران؛ مجلس؛ شماره نسخه: ۵۸۷/۱-ط</w:t>
      </w:r>
    </w:p>
    <w:p>
      <w:pPr>
        <w:pStyle w:val="BookText"/>
      </w:pPr>
      <w:r>
        <w:rPr>
          <w:rFonts w:ascii="IRNazanin" w:hAnsi="IRNazanin" w:eastAsia="IRNazanin" w:cs="IRNazanin"/>
          <w:lang w:bidi="fa-IR"/>
          <w:color w:val="111111"/>
          <w:sz w:val="28"/>
          <w:szCs w:val="28"/>
          <w:rtl/>
        </w:rPr>
        <w:t xml:space="preserve">آغاز: برابر؛ انجام: یک دو سه حرف از دل زار خراب *** گفت خراب از چه بود ناصواب</w:t>
      </w:r>
    </w:p>
    <w:p>
      <w:pPr>
        <w:pStyle w:val="BookText"/>
      </w:pPr>
      <w:r>
        <w:rPr>
          <w:rFonts w:ascii="IRNazanin" w:hAnsi="IRNazanin" w:eastAsia="IRNazanin" w:cs="IRNazanin"/>
          <w:lang w:bidi="fa-IR"/>
          <w:color w:val="111111"/>
          <w:sz w:val="28"/>
          <w:szCs w:val="28"/>
          <w:rtl/>
        </w:rPr>
        <w:t xml:space="preserve">خط: شکسته نستعلیق، بی کا، تا: پنج شنبه ۱۷ شوال ۱۳۱۵ق؛ کاغذ: فرنگی، ۳۳گ (۱پ- ۳۳ر)، ۱۰ سطر، قطع: رقعی کوچک،اندازه: 7</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سم [ف: ۲۲ - ۲۸۱]</w:t>
      </w:r>
    </w:p>
    <w:p>
      <w:pPr>
        <w:pStyle w:val="BookText"/>
      </w:pPr>
      <w:r>
        <w:rPr>
          <w:rFonts w:ascii="IRNazanin" w:hAnsi="IRNazanin" w:eastAsia="IRNazanin" w:cs="IRNazanin"/>
          <w:lang w:bidi="fa-IR"/>
          <w:color w:val="111111"/>
          <w:sz w:val="28"/>
          <w:szCs w:val="28"/>
          <w:rtl/>
        </w:rPr>
        <w:t xml:space="preserve">۶. تهران؛ مجلس؛ شماره نسخه: ۱۰۵۱/۲-ط</w:t>
      </w:r>
    </w:p>
    <w:p>
      <w:pPr>
        <w:pStyle w:val="BookText"/>
      </w:pPr>
      <w:r>
        <w:rPr>
          <w:rFonts w:ascii="IRNazanin" w:hAnsi="IRNazanin" w:eastAsia="IRNazanin" w:cs="IRNazanin"/>
          <w:lang w:bidi="fa-IR"/>
          <w:color w:val="111111"/>
          <w:sz w:val="28"/>
          <w:szCs w:val="28"/>
          <w:rtl/>
        </w:rPr>
        <w:t xml:space="preserve">آغاز: باز دلم عاشقی از سر گرفت *** تا که دگر پرده ز رخ پر گرفت؛ انجام: صد ره اگر طی کند این مرحله *** باز نجویی پی این قافله</w:t>
      </w:r>
    </w:p>
    <w:p>
      <w:pPr>
        <w:pStyle w:val="BookText"/>
      </w:pPr>
      <w:r>
        <w:rPr>
          <w:rFonts w:ascii="IRNazanin" w:hAnsi="IRNazanin" w:eastAsia="IRNazanin" w:cs="IRNazanin"/>
          <w:lang w:bidi="fa-IR"/>
          <w:color w:val="111111"/>
          <w:sz w:val="28"/>
          <w:szCs w:val="28"/>
          <w:rtl/>
        </w:rPr>
        <w:t xml:space="preserve">خط: نستعلیق  شکسته، كا: محمد اسماعيل ولد حاج محمد باقر شیرازی، تا: ۱۳۳۱ق؛ افتادگی: آغاز و انجام؛ مجدول؛ کاغذ: فرنگی، جلد: تیماج مشکی، ۲۵ ص (۱۵۸-۱۸۲)، ۱۵ سطر، قطع: رقعی،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۲۳ - ۳۶۵]</w:t>
      </w:r>
    </w:p>
    <w:p>
      <w:pPr>
        <w:pStyle w:val="Heading3"/>
      </w:pPr>
      <w:bookmarkStart w:id="1897" w:name="_Toc1419"/>
      <w:r>
        <w:t>اشتر نامه / شعر / فارسی</w:t>
      </w:r>
      <w:bookmarkEnd w:id="1897"/>
    </w:p>
    <w:p>
      <w:pPr>
        <w:pStyle w:val="BookText"/>
      </w:pPr>
      <w:r>
        <w:rPr>
          <w:rFonts w:ascii="Times New Roman" w:hAnsi="Times New Roman" w:eastAsia="Times New Roman" w:cs="Times New Roman"/>
          <w:lang w:val="en-US" w:bidi="en-US"/>
          <w:color w:val="111111"/>
          <w:sz w:val="28"/>
          <w:szCs w:val="28"/>
          <w:rtl/>
        </w:rPr>
        <w:t xml:space="preserve">oštor-nāme</w:t>
      </w:r>
    </w:p>
    <w:p>
      <w:pPr>
        <w:pStyle w:val="BookText"/>
      </w:pPr>
      <w:r>
        <w:rPr>
          <w:rFonts w:ascii="IRNazanin" w:hAnsi="IRNazanin" w:eastAsia="IRNazanin" w:cs="IRNazanin"/>
          <w:lang w:bidi="fa-IR"/>
          <w:color w:val="111111"/>
          <w:sz w:val="28"/>
          <w:szCs w:val="28"/>
          <w:rtl/>
        </w:rPr>
        <w:t xml:space="preserve">عطار همدانی</w:t>
      </w:r>
    </w:p>
    <w:p>
      <w:pPr>
        <w:pStyle w:val="BookText"/>
      </w:pPr>
      <w:r>
        <w:rPr>
          <w:rFonts w:ascii="Times New Roman" w:hAnsi="Times New Roman" w:eastAsia="Times New Roman" w:cs="Times New Roman"/>
          <w:lang w:val="en-US" w:bidi="en-US"/>
          <w:color w:val="111111"/>
          <w:sz w:val="28"/>
          <w:szCs w:val="28"/>
          <w:rtl/>
        </w:rPr>
        <w:t xml:space="preserve">attār-e hamedānī</w:t>
      </w:r>
    </w:p>
    <w:p>
      <w:pPr>
        <w:pStyle w:val="BookText"/>
      </w:pPr>
      <w:r>
        <w:rPr>
          <w:rFonts w:ascii="IRNazanin" w:hAnsi="IRNazanin" w:eastAsia="IRNazanin" w:cs="IRNazanin"/>
          <w:lang w:bidi="fa-IR"/>
          <w:color w:val="111111"/>
          <w:sz w:val="28"/>
          <w:szCs w:val="28"/>
          <w:rtl/>
        </w:rPr>
        <w:t xml:space="preserve">آغاز: اول این نامه بنام ودود ... اولین جلوه حسن وجود/ کرده ز حسنش همه  نابود، بود *** عشق عطا کرده</w:t>
      </w:r>
    </w:p>
    <w:p>
      <w:pPr>
        <w:pStyle w:val="BookText"/>
      </w:pPr>
      <w:r>
        <w:rPr>
          <w:rFonts w:ascii="IRNazanin" w:hAnsi="IRNazanin" w:eastAsia="IRNazanin" w:cs="IRNazanin"/>
          <w:lang w:bidi="fa-IR"/>
          <w:color w:val="111111"/>
          <w:sz w:val="28"/>
          <w:szCs w:val="28"/>
          <w:rtl/>
        </w:rPr>
        <w:t xml:space="preserve">انجام: ختم چو شد از من افسرده حال*** بود هزار و سه صد و دو ز سال ... وهاب عطا بر دوام *** بنده او ساخت بعونش تمام</w:t>
      </w:r>
    </w:p>
    <w:p>
      <w:pPr>
        <w:pStyle w:val="BookText"/>
      </w:pPr>
      <w:r>
        <w:rPr>
          <w:rFonts w:ascii="IRNazanin" w:hAnsi="IRNazanin" w:eastAsia="IRNazanin" w:cs="IRNazanin"/>
          <w:lang w:bidi="fa-IR"/>
          <w:color w:val="111111"/>
          <w:sz w:val="28"/>
          <w:szCs w:val="28"/>
          <w:rtl/>
        </w:rPr>
        <w:t xml:space="preserve">تهران؛ ملک؛ شماره نسخه: ۴۹۲۷/۳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و نستعلیق، بی کا، تا: قرن ۱۴؛ کاغذ: فرنگی، جلد: رویه میشن سیاه، ۹۳ ص (۲۶۱-۳۵۳)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۱۷/۹سم [ف: ۸-۱۲۶]</w:t>
      </w:r>
    </w:p>
    <w:p>
      <w:pPr>
        <w:pStyle w:val="Heading3"/>
      </w:pPr>
      <w:bookmarkStart w:id="1898" w:name="_Toc1420"/>
      <w:r>
        <w:t>الاشتقاق / صرف / عربی</w:t>
      </w:r>
      <w:bookmarkEnd w:id="1898"/>
    </w:p>
    <w:p>
      <w:pPr>
        <w:pStyle w:val="BookText"/>
      </w:pPr>
      <w:r>
        <w:rPr>
          <w:rFonts w:ascii="Times New Roman" w:hAnsi="Times New Roman" w:eastAsia="Times New Roman" w:cs="Times New Roman"/>
          <w:lang w:val="en-US" w:bidi="en-US"/>
          <w:color w:val="111111"/>
          <w:sz w:val="28"/>
          <w:szCs w:val="28"/>
          <w:rtl/>
        </w:rPr>
        <w:t xml:space="preserve">al-ištiqāq</w:t>
      </w:r>
    </w:p>
    <w:p>
      <w:pPr>
        <w:pStyle w:val="BookText"/>
      </w:pPr>
      <w:r>
        <w:rPr>
          <w:rFonts w:ascii="IRNazanin" w:hAnsi="IRNazanin" w:eastAsia="IRNazanin" w:cs="IRNazanin"/>
          <w:lang w:bidi="fa-IR"/>
          <w:color w:val="111111"/>
          <w:sz w:val="28"/>
          <w:szCs w:val="28"/>
          <w:rtl/>
        </w:rPr>
        <w:t xml:space="preserve">اصمعی، عبدالملک بن  قریب، ۱۲۲ - ۲۱۶؟ قمری</w:t>
      </w:r>
    </w:p>
    <w:p>
      <w:pPr>
        <w:pStyle w:val="BookText"/>
      </w:pPr>
      <w:r>
        <w:rPr>
          <w:rFonts w:ascii="Times New Roman" w:hAnsi="Times New Roman" w:eastAsia="Times New Roman" w:cs="Times New Roman"/>
          <w:lang w:val="en-US" w:bidi="en-US"/>
          <w:color w:val="111111"/>
          <w:sz w:val="28"/>
          <w:szCs w:val="28"/>
          <w:rtl/>
        </w:rPr>
        <w:t xml:space="preserve">(asma‘ī, ‘abd-ol-malek ebn-e qarīb (741 - 832)</w:t>
      </w:r>
    </w:p>
    <w:p>
      <w:pPr>
        <w:pStyle w:val="BookText"/>
      </w:pPr>
      <w:r>
        <w:rPr>
          <w:rFonts w:ascii="IRNazanin" w:hAnsi="IRNazanin" w:eastAsia="IRNazanin" w:cs="IRNazanin"/>
          <w:lang w:bidi="fa-IR"/>
          <w:color w:val="111111"/>
          <w:sz w:val="28"/>
          <w:szCs w:val="28"/>
          <w:rtl/>
        </w:rPr>
        <w:t xml:space="preserve">رساله مختصری است با شواهد منظوم در اشتقاقات که کاتب متن (نسخه آستان قدس) در پشت صفحه اول چنین معرفی کرده: «کتاب الاشتقاق عن ابي سعيد عبدالملک بن قريب الاصمعى رواية ابى خليفة الفضل بن الحباب الجمحي عن ابي عثمن بكر بن محمد المازني و ابي الفضل الرياشي و ابی محمد  التوزى»  آغاز: البسملة ... رب يسر. قرأت على أبى خليفة، قال: قرأت على أبى محمد التوزى، و أبى عثمان المازني، و أبي الفضل الرياشي.</w:t>
      </w:r>
    </w:p>
    <w:p>
      <w:pPr>
        <w:pStyle w:val="BookText"/>
      </w:pPr>
      <w:r>
        <w:rPr>
          <w:rFonts w:ascii="IRNazanin" w:hAnsi="IRNazanin" w:eastAsia="IRNazanin" w:cs="IRNazanin"/>
          <w:lang w:bidi="fa-IR"/>
          <w:color w:val="111111"/>
          <w:sz w:val="28"/>
          <w:szCs w:val="28"/>
          <w:rtl/>
        </w:rPr>
        <w:t xml:space="preserve">قالوا: قال أبوسعيد عبدالملک بن قريب الاصمعي: الهيصم: الغليظ الشديد، قال بعض الرجاز</w:t>
      </w:r>
    </w:p>
    <w:p>
      <w:pPr>
        <w:pStyle w:val="BookText"/>
      </w:pPr>
      <w:r>
        <w:rPr>
          <w:rFonts w:ascii="Amiri" w:hAnsi="Amiri" w:eastAsia="Amiri" w:cs="Amiri"/>
          <w:lang w:bidi="ar-SA"/>
          <w:color w:val="111111"/>
          <w:sz w:val="28"/>
          <w:szCs w:val="28"/>
          <w:rtl/>
        </w:rPr>
        <w:t xml:space="preserve">انجام: تم الكتاب بحمد الله و عونه و منه و صلواته على محمد و آله و سلم تسليماً كثيراً.</w:t>
      </w:r>
    </w:p>
    <w:p>
      <w:pPr>
        <w:pStyle w:val="BookText"/>
      </w:pPr>
      <w:r>
        <w:rPr>
          <w:rFonts w:ascii="IRNazanin" w:hAnsi="IRNazanin" w:eastAsia="IRNazanin" w:cs="IRNazanin"/>
          <w:lang w:bidi="fa-IR"/>
          <w:color w:val="111111"/>
          <w:sz w:val="28"/>
          <w:szCs w:val="28"/>
          <w:rtl/>
        </w:rPr>
        <w:t xml:space="preserve">چاپ: تحقیق سليم النعيمي ،بغداد ،مطبوعات المجمع العلمى العراقي، الطبعة الأولى، ۱۳۸۶ق، ۲۱۶ص؛ تحقيق محمد حسن آل یاسین، بغداد، ۴۹ص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402" w:name="pg20365_260559"/>
    <w:bookmarkEnd w:id="402"/>
    <w:p>
      <w:pPr>
        <w:pStyle w:val="BookText"/>
      </w:pPr>
      <w:r>
        <w:rPr>
          <w:rFonts w:ascii="IRNazanin" w:hAnsi="IRNazanin" w:eastAsia="IRNazanin" w:cs="IRNazanin"/>
          <w:lang w:bidi="fa-IR"/>
          <w:color w:val="111111"/>
          <w:sz w:val="28"/>
          <w:szCs w:val="28"/>
          <w:rtl/>
        </w:rPr>
        <w:t xml:space="preserve">[مجمع العلمى (۱۳۱۱]</w:t>
      </w:r>
    </w:p>
    <w:p>
      <w:pPr>
        <w:pStyle w:val="BookText"/>
      </w:pPr>
      <w:r>
        <w:rPr>
          <w:rFonts w:ascii="IRNazanin" w:hAnsi="IRNazanin" w:eastAsia="IRNazanin" w:cs="IRNazanin"/>
          <w:lang w:bidi="fa-IR"/>
          <w:color w:val="111111"/>
          <w:sz w:val="28"/>
          <w:szCs w:val="28"/>
          <w:rtl/>
        </w:rPr>
        <w:t xml:space="preserve">مشهد؛ رضوی؛ شماره نسخه: ۳۶۴۴</w:t>
      </w:r>
    </w:p>
    <w:p>
      <w:pPr>
        <w:pStyle w:val="BookText"/>
      </w:pPr>
      <w:r>
        <w:rPr>
          <w:rFonts w:ascii="Amiri" w:hAnsi="Amiri" w:eastAsia="Amiri" w:cs="Amiri"/>
          <w:lang w:bidi="ar-SA"/>
          <w:color w:val="111111"/>
          <w:sz w:val="28"/>
          <w:szCs w:val="28"/>
          <w:rtl/>
        </w:rPr>
        <w:t xml:space="preserve">آغاز: برابر؛ انجام: العرم مثل الجبل يكون فى الوادى والنهر يـمنع الماء الانادر البيادر.</w:t>
      </w:r>
    </w:p>
    <w:p>
      <w:pPr>
        <w:pStyle w:val="BookText"/>
      </w:pPr>
      <w:r>
        <w:rPr>
          <w:rFonts w:ascii="IRNazanin" w:hAnsi="IRNazanin" w:eastAsia="IRNazanin" w:cs="IRNazanin"/>
          <w:lang w:bidi="fa-IR"/>
          <w:color w:val="111111"/>
          <w:sz w:val="28"/>
          <w:szCs w:val="28"/>
          <w:rtl/>
        </w:rPr>
        <w:t xml:space="preserve">خط: نسخ مشکول، بی کا، تا: حدود قرن ۱۱؛ واقف: ابن خاتون، ۱۰۶۷ق؛ جلد: پارچه ای، ۱۱گ، ۱۷ سطر (9</w:t>
      </w:r>
      <w:r>
        <w:rPr>
          <w:rFonts w:ascii="Times New Roman" w:hAnsi="Times New Roman" w:eastAsia="Times New Roman" w:cs="Times New Roman"/>
          <w:lang w:val="en-US" w:bidi="en-US"/>
          <w:color w:val="111111"/>
          <w:sz w:val="28"/>
          <w:szCs w:val="28"/>
          <w:rtl/>
        </w:rPr>
        <w:t xml:space="preserve">×16/4) </w:t>
      </w:r>
      <w:r>
        <w:rPr>
          <w:rFonts w:ascii="IRNazanin" w:hAnsi="IRNazanin" w:eastAsia="IRNazanin" w:cs="IRNazanin"/>
          <w:lang w:bidi="fa-IR"/>
          <w:color w:val="111111"/>
          <w:sz w:val="28"/>
          <w:szCs w:val="28"/>
          <w:rtl/>
        </w:rPr>
        <w:t xml:space="preserve">،اندازه: ۱۵/۹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۲۴سم [ف: ۱۳ - ۱۰]</w:t>
      </w:r>
    </w:p>
    <w:p>
      <w:pPr>
        <w:pStyle w:val="Heading3"/>
      </w:pPr>
      <w:bookmarkStart w:id="1899" w:name="_Toc1421"/>
      <w:r>
        <w:t>الاشتقاق / لغت / عربي</w:t>
      </w:r>
      <w:bookmarkEnd w:id="1899"/>
    </w:p>
    <w:p>
      <w:pPr>
        <w:pStyle w:val="BookText"/>
      </w:pPr>
      <w:r>
        <w:rPr>
          <w:rFonts w:ascii="Times New Roman" w:hAnsi="Times New Roman" w:eastAsia="Times New Roman" w:cs="Times New Roman"/>
          <w:lang w:val="en-US" w:bidi="en-US"/>
          <w:color w:val="111111"/>
          <w:sz w:val="28"/>
          <w:szCs w:val="28"/>
          <w:rtl/>
        </w:rPr>
        <w:t xml:space="preserve">al-ištiqāq</w:t>
      </w:r>
    </w:p>
    <w:p>
      <w:pPr>
        <w:pStyle w:val="BookText"/>
      </w:pPr>
      <w:r>
        <w:rPr>
          <w:rFonts w:ascii="IRNazanin" w:hAnsi="IRNazanin" w:eastAsia="IRNazanin" w:cs="IRNazanin"/>
          <w:lang w:bidi="fa-IR"/>
          <w:color w:val="111111"/>
          <w:sz w:val="28"/>
          <w:szCs w:val="28"/>
          <w:rtl/>
        </w:rPr>
        <w:t xml:space="preserve">رضی الدین جعفر</w:t>
      </w:r>
    </w:p>
    <w:p>
      <w:pPr>
        <w:pStyle w:val="BookText"/>
      </w:pPr>
      <w:r>
        <w:rPr>
          <w:rFonts w:ascii="Times New Roman" w:hAnsi="Times New Roman" w:eastAsia="Times New Roman" w:cs="Times New Roman"/>
          <w:lang w:val="en-US" w:bidi="en-US"/>
          <w:color w:val="111111"/>
          <w:sz w:val="28"/>
          <w:szCs w:val="28"/>
          <w:rtl/>
        </w:rPr>
        <w:t xml:space="preserve">razī-od-dīn ja‘far</w:t>
      </w:r>
    </w:p>
    <w:p>
      <w:pPr>
        <w:pStyle w:val="BookText"/>
      </w:pPr>
      <w:r>
        <w:rPr>
          <w:rFonts w:ascii="IRNazanin" w:hAnsi="IRNazanin" w:eastAsia="IRNazanin" w:cs="IRNazanin"/>
          <w:lang w:bidi="fa-IR"/>
          <w:color w:val="111111"/>
          <w:sz w:val="28"/>
          <w:szCs w:val="28"/>
          <w:rtl/>
        </w:rPr>
        <w:t xml:space="preserve">رساله کوتاهی است در بحث مشتق، مؤلف ضمن تعريف اشتقاق به گونه های آن پرداخته و در پنج «مقدمه»، مثال های آن را بیان داشته است. نام مؤلف در برگ نخست نسخه مرعشی آمده، لیکن در منابع موجود یافت نگردید.</w:t>
      </w:r>
    </w:p>
    <w:p>
      <w:pPr>
        <w:pStyle w:val="BookText"/>
      </w:pPr>
      <w:r>
        <w:rPr>
          <w:rFonts w:ascii="IRNazanin" w:hAnsi="IRNazanin" w:eastAsia="IRNazanin" w:cs="IRNazanin"/>
          <w:lang w:bidi="fa-IR"/>
          <w:color w:val="111111"/>
          <w:sz w:val="28"/>
          <w:szCs w:val="28"/>
          <w:rtl/>
        </w:rPr>
        <w:t xml:space="preserve">آغاز: بسمله، قال الشيخ الامام فخر الدين قدس الله روحه فی كتابه المحصول فى الحد الذي نقل عن الميدانى فى الاشتقاق؛ هو ان يجد بين اللفظين تناسبا في المعنى والتركيب فيرد احدهما الى الآخر</w:t>
      </w:r>
    </w:p>
    <w:p>
      <w:pPr>
        <w:pStyle w:val="BookText"/>
      </w:pPr>
      <w:r>
        <w:rPr>
          <w:rFonts w:ascii="Amiri" w:hAnsi="Amiri" w:eastAsia="Amiri" w:cs="Amiri"/>
          <w:lang w:bidi="ar-SA"/>
          <w:color w:val="111111"/>
          <w:sz w:val="28"/>
          <w:szCs w:val="28"/>
          <w:rtl/>
        </w:rPr>
        <w:t xml:space="preserve">انجام: فان الحركة لما تنوعت ثلاثة انواع، كان نقصانها فقط،او زيادتها معا متنوعة حسب تنوعها و اذا اعتبر ذلك، كثر الاقسـام جدا، والحمد لله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مجلس؛ شماره نسخه: ۱۵۶۷۶/۵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۱۱۲۴ق ؛جلد: تیماج قهوه ای، ۹ ص (104- -۱۱۲)، ۱۵ سطر، اندازه: ۱۰/۴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۴۳ - ۲۳۴]</w:t>
      </w:r>
    </w:p>
    <w:p>
      <w:pPr>
        <w:pStyle w:val="BookText"/>
      </w:pPr>
      <w:r>
        <w:rPr>
          <w:rFonts w:ascii="IRNazanin" w:hAnsi="IRNazanin" w:eastAsia="IRNazanin" w:cs="IRNazanin"/>
          <w:lang w:bidi="fa-IR"/>
          <w:color w:val="111111"/>
          <w:sz w:val="28"/>
          <w:szCs w:val="28"/>
          <w:rtl/>
        </w:rPr>
        <w:t xml:space="preserve">۲ . قم؛ مرعشی؛ شماره نسخه: ۱۴۷۲۴/۲۶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شکسته نستعلیق، بی کا، تا: حدود قرن ۱۳؛ کاغذ: فرنگی آهار مهره، ۲گ (۳۳۶ پ - ۳۳۷ (پ)، ۲۵ سطر، اندازه: 9</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سم[ف: ۳۷ - ۲۹۰]</w:t>
      </w:r>
    </w:p>
    <w:p>
      <w:pPr>
        <w:pStyle w:val="Heading3"/>
      </w:pPr>
      <w:bookmarkStart w:id="1900" w:name="_Toc1422"/>
      <w:r>
        <w:t>اشتقاق / ادبیات / عربی</w:t>
      </w:r>
      <w:bookmarkEnd w:id="1900"/>
    </w:p>
    <w:p>
      <w:pPr>
        <w:pStyle w:val="BookText"/>
      </w:pPr>
      <w:r>
        <w:rPr>
          <w:rFonts w:ascii="Times New Roman" w:hAnsi="Times New Roman" w:eastAsia="Times New Roman" w:cs="Times New Roman"/>
          <w:lang w:val="en-US" w:bidi="en-US"/>
          <w:color w:val="111111"/>
          <w:sz w:val="28"/>
          <w:szCs w:val="28"/>
          <w:rtl/>
        </w:rPr>
        <w:t xml:space="preserve">istiqaq</w:t>
      </w:r>
    </w:p>
    <w:p>
      <w:pPr>
        <w:pStyle w:val="BookText"/>
      </w:pPr>
      <w:r>
        <w:rPr>
          <w:rFonts w:ascii="IRNazanin" w:hAnsi="IRNazanin" w:eastAsia="IRNazanin" w:cs="IRNazanin"/>
          <w:lang w:bidi="fa-IR"/>
          <w:color w:val="111111"/>
          <w:sz w:val="28"/>
          <w:szCs w:val="28"/>
          <w:rtl/>
        </w:rPr>
        <w:t xml:space="preserve">مشهد؛ رضوی؛ شماره نسخه: ۶۱۲۳/۲۴</w:t>
      </w:r>
    </w:p>
    <w:p>
      <w:pPr>
        <w:pStyle w:val="BookText"/>
      </w:pPr>
      <w:r>
        <w:rPr>
          <w:rFonts w:ascii="IRNazanin" w:hAnsi="IRNazanin" w:eastAsia="IRNazanin" w:cs="IRNazanin"/>
          <w:lang w:bidi="fa-IR"/>
          <w:color w:val="111111"/>
          <w:sz w:val="28"/>
          <w:szCs w:val="28"/>
          <w:rtl/>
        </w:rPr>
        <w:t xml:space="preserve">مؤلف: میر صدرالدین؛ بی کا، بی تا [رایانه ]</w:t>
      </w:r>
    </w:p>
    <w:p>
      <w:pPr>
        <w:pStyle w:val="Heading3"/>
      </w:pPr>
      <w:bookmarkStart w:id="1901" w:name="_Toc1423"/>
      <w:r>
        <w:t>الاشتقاق / ادبیات / عربی</w:t>
      </w:r>
      <w:bookmarkEnd w:id="1901"/>
    </w:p>
    <w:p>
      <w:pPr>
        <w:pStyle w:val="BookText"/>
      </w:pPr>
      <w:r>
        <w:rPr>
          <w:rFonts w:ascii="Times New Roman" w:hAnsi="Times New Roman" w:eastAsia="Times New Roman" w:cs="Times New Roman"/>
          <w:lang w:val="en-US" w:bidi="en-US"/>
          <w:color w:val="111111"/>
          <w:sz w:val="28"/>
          <w:szCs w:val="28"/>
          <w:rtl/>
        </w:rPr>
        <w:t xml:space="preserve">al-ištiqāq</w:t>
      </w:r>
    </w:p>
    <w:p>
      <w:pPr>
        <w:pStyle w:val="BookText"/>
      </w:pPr>
      <w:r>
        <w:rPr>
          <w:rFonts w:ascii="IRNazanin" w:hAnsi="IRNazanin" w:eastAsia="IRNazanin" w:cs="IRNazanin"/>
          <w:lang w:bidi="fa-IR"/>
          <w:color w:val="111111"/>
          <w:sz w:val="28"/>
          <w:szCs w:val="28"/>
          <w:rtl/>
        </w:rPr>
        <w:t xml:space="preserve">قم؛ مرعشی؛ شماره نسخه: بدون شماره/ ۱۱</w:t>
      </w:r>
    </w:p>
    <w:p>
      <w:pPr>
        <w:pStyle w:val="BookText"/>
      </w:pPr>
      <w:r>
        <w:rPr>
          <w:rFonts w:ascii="IRNazanin" w:hAnsi="IRNazanin" w:eastAsia="IRNazanin" w:cs="IRNazanin"/>
          <w:lang w:bidi="fa-IR"/>
          <w:color w:val="111111"/>
          <w:sz w:val="28"/>
          <w:szCs w:val="28"/>
          <w:rtl/>
        </w:rPr>
        <w:t xml:space="preserve">شاید از تفسیر رازی؛ خط: نسخ، بی کا، بی تا [میراث شهاب:  س ۷ ش ۱-۲ - ۲۹]</w:t>
      </w:r>
    </w:p>
    <w:p>
      <w:pPr>
        <w:pStyle w:val="Heading3"/>
      </w:pPr>
      <w:bookmarkStart w:id="1902" w:name="_Toc1424"/>
      <w:r>
        <w:t>اشتقاق / صرف / فارسی</w:t>
      </w:r>
      <w:bookmarkEnd w:id="1902"/>
    </w:p>
    <w:p>
      <w:pPr>
        <w:pStyle w:val="BookText"/>
      </w:pPr>
      <w:r>
        <w:rPr>
          <w:rFonts w:ascii="Times New Roman" w:hAnsi="Times New Roman" w:eastAsia="Times New Roman" w:cs="Times New Roman"/>
          <w:lang w:val="en-US" w:bidi="en-US"/>
          <w:color w:val="111111"/>
          <w:sz w:val="28"/>
          <w:szCs w:val="28"/>
          <w:rtl/>
        </w:rPr>
        <w:t xml:space="preserve">ešteqāq'</w:t>
      </w:r>
    </w:p>
    <w:p>
      <w:pPr>
        <w:pStyle w:val="BookText"/>
      </w:pPr>
      <w:r>
        <w:rPr>
          <w:rFonts w:ascii="IRNazanin" w:hAnsi="IRNazanin" w:eastAsia="IRNazanin" w:cs="IRNazanin"/>
          <w:lang w:bidi="fa-IR"/>
          <w:color w:val="111111"/>
          <w:sz w:val="28"/>
          <w:szCs w:val="28"/>
          <w:rtl/>
        </w:rPr>
        <w:t xml:space="preserve">در این که مصدر است یا فعل و سخنان بصریان و کوفیان در این باره.</w:t>
      </w:r>
    </w:p>
    <w:p>
      <w:pPr>
        <w:pStyle w:val="BookText"/>
      </w:pPr>
      <w:r>
        <w:rPr>
          <w:rFonts w:ascii="IRNazanin" w:hAnsi="IRNazanin" w:eastAsia="IRNazanin" w:cs="IRNazanin"/>
          <w:lang w:bidi="fa-IR"/>
          <w:color w:val="111111"/>
          <w:sz w:val="28"/>
          <w:szCs w:val="28"/>
          <w:rtl/>
        </w:rPr>
        <w:t xml:space="preserve">تهران؛ ملک؛ شماره نسخه: ۱۷۶۵/۲</w:t>
      </w:r>
    </w:p>
    <w:p>
      <w:pPr>
        <w:pStyle w:val="BookText"/>
      </w:pPr>
      <w:r>
        <w:rPr>
          <w:rFonts w:ascii="IRNazanin" w:hAnsi="IRNazanin" w:eastAsia="IRNazanin" w:cs="IRNazanin"/>
          <w:lang w:bidi="fa-IR"/>
          <w:color w:val="111111"/>
          <w:sz w:val="28"/>
          <w:szCs w:val="28"/>
          <w:rtl/>
        </w:rPr>
        <w:t xml:space="preserve">خط: چاپی، بی کا، تا: ١ جمادى الاول ۱۳۰۷ق؛ با حاشیه منه؛ در ۱۰ر شعر فارسی احمد شریف حسینی است؛ ۴گ (۱۰پ- ۱۳پ)، چلیپا [ف: ۵ – ۳۵۹]</w:t>
      </w:r>
    </w:p>
    <w:p>
      <w:pPr>
        <w:pStyle w:val="Heading3"/>
      </w:pPr>
      <w:bookmarkStart w:id="1903" w:name="_Toc1425"/>
      <w:r>
        <w:t>اشتقاق (رساله) / ادبیات / عربی</w:t>
      </w:r>
      <w:bookmarkEnd w:id="1903"/>
    </w:p>
    <w:p>
      <w:pPr>
        <w:pStyle w:val="BookText"/>
      </w:pPr>
      <w:r>
        <w:rPr>
          <w:rFonts w:ascii="Times New Roman" w:hAnsi="Times New Roman" w:eastAsia="Times New Roman" w:cs="Times New Roman"/>
          <w:lang w:val="en-US" w:bidi="en-US"/>
          <w:color w:val="111111"/>
          <w:sz w:val="28"/>
          <w:szCs w:val="28"/>
          <w:rtl/>
        </w:rPr>
        <w:t xml:space="preserve">(ešteqāq (r.)</w:t>
      </w:r>
    </w:p>
    <w:p>
      <w:pPr>
        <w:pStyle w:val="BookText"/>
      </w:pPr>
      <w:r>
        <w:rPr>
          <w:rFonts w:ascii="IRNazanin" w:hAnsi="IRNazanin" w:eastAsia="IRNazanin" w:cs="IRNazanin"/>
          <w:lang w:bidi="fa-IR"/>
          <w:color w:val="111111"/>
          <w:sz w:val="28"/>
          <w:szCs w:val="28"/>
          <w:rtl/>
        </w:rPr>
        <w:t xml:space="preserve">همدان؛ مدرسه غرب؛ شماره نسخه: ۲۴۱/۴</w:t>
      </w:r>
    </w:p>
    <w:p>
      <w:pPr>
        <w:pStyle w:val="BookText"/>
      </w:pPr>
      <w:r>
        <w:rPr>
          <w:rFonts w:ascii="IRNazanin" w:hAnsi="IRNazanin" w:eastAsia="IRNazanin" w:cs="IRNazanin"/>
          <w:lang w:bidi="fa-IR"/>
          <w:color w:val="111111"/>
          <w:sz w:val="28"/>
          <w:szCs w:val="28"/>
          <w:rtl/>
        </w:rPr>
        <w:t xml:space="preserve">ساخته در ۴ جمادی الثانی ۱۲۷۵؛ خط: نسخ، بی کا، بی تا؛ قطع: بیاض رقعی [رشت و همدان - ف - ۱۴۰۶]</w:t>
      </w:r>
    </w:p>
    <w:p>
      <w:pPr>
        <w:pStyle w:val="Heading3"/>
      </w:pPr>
      <w:bookmarkStart w:id="1904" w:name="_Toc1426"/>
      <w:r>
        <w:t>الاشتقاقية = اجوبة مسائل السيد حسن رضا الأعرجى الهندى = رسالة الاشتقاق / پاسخ پرسش ها / عربی</w:t>
      </w:r>
      <w:bookmarkEnd w:id="1904"/>
    </w:p>
    <w:p>
      <w:pPr>
        <w:pStyle w:val="BookText"/>
      </w:pPr>
      <w:r>
        <w:rPr>
          <w:rFonts w:ascii="Times New Roman" w:hAnsi="Times New Roman" w:eastAsia="Times New Roman" w:cs="Times New Roman"/>
          <w:lang w:val="en-US" w:bidi="en-US"/>
          <w:color w:val="111111"/>
          <w:sz w:val="28"/>
          <w:szCs w:val="28"/>
          <w:rtl/>
        </w:rPr>
        <w:t xml:space="preserve">al-istiqaqiyya = ajwibat-u masail-is-sayyid hasan rida al-araji-y-il-hindi = r.t-ul-ištiqaq</w:t>
      </w:r>
    </w:p>
    <w:p>
      <w:pPr>
        <w:pStyle w:val="BookText"/>
      </w:pPr>
      <w:r>
        <w:rPr>
          <w:rFonts w:ascii="IRNazanin" w:hAnsi="IRNazanin" w:eastAsia="IRNazanin" w:cs="IRNazanin"/>
          <w:lang w:bidi="fa-IR"/>
          <w:color w:val="111111"/>
          <w:sz w:val="28"/>
          <w:szCs w:val="28"/>
          <w:rtl/>
        </w:rPr>
        <w:t xml:space="preserve">رشتی، کاظم بن قاسم، ۱۲۱۲ - ۱۲۵۹ قمری</w:t>
      </w:r>
    </w:p>
    <w:p>
      <w:pPr>
        <w:pStyle w:val="BookText"/>
      </w:pPr>
      <w:r>
        <w:rPr>
          <w:rFonts w:ascii="Times New Roman" w:hAnsi="Times New Roman" w:eastAsia="Times New Roman" w:cs="Times New Roman"/>
          <w:lang w:val="en-US" w:bidi="en-US"/>
          <w:color w:val="111111"/>
          <w:sz w:val="28"/>
          <w:szCs w:val="28"/>
          <w:rtl/>
        </w:rPr>
        <w:t xml:space="preserve">(raštī, kāzem ebn-e qasem (1798 - 1843)</w:t>
      </w:r>
    </w:p>
    <w:p>
      <w:pPr>
        <w:pStyle w:val="BookText"/>
      </w:pPr>
      <w:r>
        <w:rPr>
          <w:rFonts w:ascii="IRNazanin" w:hAnsi="IRNazanin" w:eastAsia="IRNazanin" w:cs="IRNazanin"/>
          <w:lang w:bidi="fa-IR"/>
          <w:color w:val="111111"/>
          <w:sz w:val="28"/>
          <w:szCs w:val="28"/>
          <w:rtl/>
        </w:rPr>
        <w:t xml:space="preserve">تاریخ تألیف: سه شنبه ۱۵ ذیحجه ۱۲۳۷ق</w:t>
      </w:r>
    </w:p>
    <w:p>
      <w:pPr>
        <w:pStyle w:val="BookText"/>
      </w:pPr>
      <w:r>
        <w:rPr>
          <w:rFonts w:ascii="IRNazanin" w:hAnsi="IRNazanin" w:eastAsia="IRNazanin" w:cs="IRNazanin"/>
          <w:lang w:bidi="fa-IR"/>
          <w:color w:val="111111"/>
          <w:sz w:val="28"/>
          <w:szCs w:val="28"/>
          <w:rtl/>
        </w:rPr>
        <w:t xml:space="preserve">سید حسن رضا بن قاسمعلی اعرجی حسینی ترمذی هندی سؤالاتی چند از سید کاظم رشتی پرسیده است و رشتی به آنها پاسخ داده است. سؤال نخست او درباره عبارتی است که ابن طاوس در «جمال الاسبوع» در دنباله نماز جعفر طیار با عبارت «و اسألك باسمك الذى شققته من عظمتک و اسألك بعظمتك الذي شققتها من كبریانک» آورده است. باقی سؤالات وی از این قرارند سؤال از معنی «اشتقاق» و اقسام آن، مراد از «عظمت» و «كبرياء» و «کینونت» و «جود» و «عز» و «کرم» و «رحمت» و «رأفت» و «لطف» و بیان مفاهیم و مصاديق آنها لغتاً و اصطلاحاً. این گفتار در «فهرست تصانيف السيد» کار محیط کرمانی با عنوان «الرسالة الخامسة عشر فى اجوبة مسائل میرزا حسن رضا الهندی» شناسانده شده است با نمایه کتاب در ۹ پرسش و پاسخ .</w:t>
      </w:r>
    </w:p>
    <w:p>
      <w:pPr>
        <w:pStyle w:val="BookText"/>
      </w:pPr>
      <w:r>
        <w:rPr>
          <w:rFonts w:ascii="IRNazanin" w:hAnsi="IRNazanin" w:eastAsia="IRNazanin" w:cs="IRNazanin"/>
          <w:lang w:bidi="fa-IR"/>
          <w:color w:val="111111"/>
          <w:sz w:val="28"/>
          <w:szCs w:val="28"/>
          <w:rtl/>
        </w:rPr>
        <w:t xml:space="preserve">آغاز: حمدله. صلاة .... فيقول العبد الجانى و الاسير الفاني، كاظم بن قاسم الحسينى الرشتی انه قد وردت سوالات غامضة و مسایل مشكلة معظلة للمولى الجليل ... السيد حسن رضا بن قاسم على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403" w:name="pg20365_260560"/>
    <w:bookmarkEnd w:id="403"/>
    <w:p>
      <w:pPr>
        <w:pStyle w:val="BookText"/>
      </w:pPr>
      <w:r>
        <w:rPr>
          <w:rFonts w:ascii="IRNazanin" w:hAnsi="IRNazanin" w:eastAsia="IRNazanin" w:cs="IRNazanin"/>
          <w:lang w:bidi="fa-IR"/>
          <w:color w:val="111111"/>
          <w:sz w:val="28"/>
          <w:szCs w:val="28"/>
          <w:rtl/>
        </w:rPr>
        <w:t xml:space="preserve">الاعرجى الحسینی اراد ... قال قد روى السيد الجليل والعـالم النبيل</w:t>
      </w:r>
    </w:p>
    <w:p>
      <w:pPr>
        <w:pStyle w:val="BookText"/>
      </w:pPr>
      <w:r>
        <w:rPr>
          <w:rFonts w:ascii="IRNazanin" w:hAnsi="IRNazanin" w:eastAsia="IRNazanin" w:cs="IRNazanin"/>
          <w:lang w:bidi="fa-IR"/>
          <w:color w:val="111111"/>
          <w:sz w:val="28"/>
          <w:szCs w:val="28"/>
          <w:rtl/>
        </w:rPr>
        <w:t xml:space="preserve">انجام: يقال ان وقته السرمدى الذى لا بداية له ولانهاية له ولو اثبت احد له مبداً لقال ان مبدأه حجاب الوحدانية تحت حضرت الاحدية و ليس وراءه مقام و دونه. انقطع الكلام و هكذا القـول بعينه في القسم الخامس. هذه اشارة الى كل ما تريد و تطلبه عـلی التفصيل بالاشارة و الله الهادى...یوم الثلاث خامس عشر شـهر ذيحجة الحرام ١٢٣٧</w:t>
      </w:r>
    </w:p>
    <w:p>
      <w:pPr>
        <w:pStyle w:val="BookText"/>
      </w:pPr>
      <w:r>
        <w:rPr>
          <w:rFonts w:ascii="IRNazanin" w:hAnsi="IRNazanin" w:eastAsia="IRNazanin" w:cs="IRNazanin"/>
          <w:lang w:bidi="fa-IR"/>
          <w:color w:val="111111"/>
          <w:sz w:val="28"/>
          <w:szCs w:val="28"/>
          <w:rtl/>
        </w:rPr>
        <w:t xml:space="preserve">[دنا 1/ 846(8 نسخه)؛ فهرست کتب مشایخ ش ۱۳۷؛ الذریعه ۵: ۱۸۱ با  نام «جواب سؤال السيد حسن رضا»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دائرة المعارف؛ شماره نسخه: ۲۱۱۶/۱۰- عکسی</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تحریری، کا: محمد حسین، تا: ۱۲۵۷ق؛ ۴۰ ص( 210- ۲۴۹) [ف: ۱ - ۱۱۴]</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دائرة المعارف؛ شماره نسخه: ۱۷۲۶/۶- عکسی</w:t>
      </w:r>
    </w:p>
    <w:p>
      <w:pPr>
        <w:pStyle w:val="BookText"/>
      </w:pPr>
      <w:r>
        <w:rPr>
          <w:rFonts w:ascii="IRNazanin" w:hAnsi="IRNazanin" w:eastAsia="IRNazanin" w:cs="IRNazanin"/>
          <w:lang w:bidi="fa-IR"/>
          <w:color w:val="111111"/>
          <w:sz w:val="28"/>
          <w:szCs w:val="28"/>
          <w:rtl/>
        </w:rPr>
        <w:t xml:space="preserve">آغاز و انجام: برابر؛ انجام: هذه اشارة الى كل ما تريد و تطلبه على التفصيل بالاشارة و الله الهادى ...یوم الثلاث خامس عشرشهر ذيحجة الحرام ١٢٣٧</w:t>
      </w:r>
    </w:p>
    <w:p>
      <w:pPr>
        <w:pStyle w:val="BookText"/>
      </w:pPr>
      <w:r>
        <w:rPr>
          <w:rFonts w:ascii="IRNazanin" w:hAnsi="IRNazanin" w:eastAsia="IRNazanin" w:cs="IRNazanin"/>
          <w:lang w:bidi="fa-IR"/>
          <w:color w:val="111111"/>
          <w:sz w:val="28"/>
          <w:szCs w:val="28"/>
          <w:rtl/>
        </w:rPr>
        <w:t xml:space="preserve">خط: نستعلیق شکسته تحریری، بی کا، تا: ۱۲۵۹ق؛ ۶۹ ص (239- ۳۰۷) [ف: ۱ - ۱۱۴]</w:t>
      </w:r>
    </w:p>
    <w:p>
      <w:pPr>
        <w:pStyle w:val="BookText"/>
      </w:pPr>
      <w:r>
        <w:rPr>
          <w:rFonts w:ascii="IRNazanin" w:hAnsi="IRNazanin" w:eastAsia="IRNazanin" w:cs="IRNazanin"/>
          <w:lang w:bidi="fa-IR"/>
          <w:color w:val="111111"/>
          <w:sz w:val="28"/>
          <w:szCs w:val="28"/>
          <w:rtl/>
        </w:rPr>
        <w:t xml:space="preserve">4.قم؛ مرکز احیاء؛ شماره نسخه: ۱۶۳۲/۴</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نسخه اصل: کتابخانه سید حسین  شیرازی، قم؛بی کا، تا: ۱۲۵۹ ق؛ ۳۶ ص (۱۹۷-۱۶۲) [ عکسی ف: ۵ - ۶۹]</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تهران؛ دائرة المعارف؛ شماره نسخه: ۲۱۰۰/۱۵- عکسی</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خوش، کا: محمد علی  اصفهانی، تا: ۱۲۷۳ق [ف: 1- 114]</w:t>
      </w:r>
    </w:p>
    <w:p>
      <w:pPr>
        <w:pStyle w:val="BookText"/>
      </w:pPr>
      <w:r>
        <w:rPr>
          <w:rFonts w:ascii="IRNazanin" w:hAnsi="IRNazanin" w:eastAsia="IRNazanin" w:cs="IRNazanin"/>
          <w:lang w:bidi="fa-IR"/>
          <w:color w:val="111111"/>
          <w:sz w:val="28"/>
          <w:szCs w:val="28"/>
          <w:rtl/>
        </w:rPr>
        <w:t xml:space="preserve">۵. مشهد؛ شیخ علی حیدر؛ شماره نسخه: ۱۶۴/۶</w:t>
      </w:r>
    </w:p>
    <w:p>
      <w:pPr>
        <w:pStyle w:val="BookText"/>
      </w:pPr>
      <w:r>
        <w:rPr>
          <w:rFonts w:ascii="IRNazanin" w:hAnsi="IRNazanin" w:eastAsia="IRNazanin" w:cs="IRNazanin"/>
          <w:lang w:bidi="fa-IR"/>
          <w:color w:val="111111"/>
          <w:sz w:val="28"/>
          <w:szCs w:val="28"/>
          <w:rtl/>
        </w:rPr>
        <w:t xml:space="preserve">خط: نستعلیق، کا: عبدالرحيم محمد رحيم بن ابوالحسن حسـنی علوی  همدانی، بی تا؛ در آخر نسخه یادداشتی به خط محمد حسن علوی رضوی در سه شنبه ۱۲ ربیع الاول ۱۳۱۸؛جلد: چرم زرد ۱۴گ (۸۳پ- ۹۶ پ) ، اندازه: ۱۵</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۲۱سم [مؤيد: ۱ - ۱۵۸]</w:t>
      </w:r>
    </w:p>
    <w:p>
      <w:pPr>
        <w:pStyle w:val="BookText"/>
      </w:pPr>
      <w:r>
        <w:rPr>
          <w:rFonts w:ascii="IRNazanin" w:hAnsi="IRNazanin" w:eastAsia="IRNazanin" w:cs="IRNazanin"/>
          <w:lang w:bidi="fa-IR"/>
          <w:color w:val="111111"/>
          <w:sz w:val="28"/>
          <w:szCs w:val="28"/>
          <w:rtl/>
        </w:rPr>
        <w:t xml:space="preserve">۶. تهران؛ نوربخش؛ شماره نسخه: ۵۶۴/۵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بی تا؛ کاغذ: فرنگی ،جلد: تیماج تریاکی، یک لا، ۵۸ص (۱۲۴-۱۸۱)،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 - ۲۱۵]</w:t>
      </w:r>
    </w:p>
    <w:p>
      <w:pPr>
        <w:pStyle w:val="BookText"/>
      </w:pPr>
      <w:r>
        <w:rPr>
          <w:rFonts w:ascii="IRNazanin" w:hAnsi="IRNazanin" w:eastAsia="IRNazanin" w:cs="IRNazanin"/>
          <w:lang w:bidi="fa-IR"/>
          <w:color w:val="111111"/>
          <w:sz w:val="28"/>
          <w:szCs w:val="28"/>
          <w:rtl/>
        </w:rPr>
        <w:t xml:space="preserve">۷ . قم؛ فیضیه؛ شماره نسخه: ۱۷۳۲/۱</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بی کا، بی تا؛ ۴۹گ (۱-۵۰)، ۱۴ سطر،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۳ - ۱۲۳]</w:t>
      </w:r>
    </w:p>
    <w:p>
      <w:pPr>
        <w:pStyle w:val="BookText"/>
      </w:pPr>
      <w:r>
        <w:rPr>
          <w:rFonts w:ascii="IRNazanin" w:hAnsi="IRNazanin" w:eastAsia="IRNazanin" w:cs="IRNazanin"/>
          <w:lang w:bidi="fa-IR"/>
          <w:color w:val="111111"/>
          <w:sz w:val="28"/>
          <w:szCs w:val="28"/>
          <w:rtl/>
        </w:rPr>
        <w:t xml:space="preserve">8.قم؛ معصومیه؛ شماره نسخه: ۴۳۱/۹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جلد: تیماج مشکی ضربی مجدول، ۱۰۱گ (۴۴۹-۳۴۹) ۲۱-۱۷ سطر (۶/۵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۲ - ۴۳]</w:t>
      </w:r>
    </w:p>
    <w:p>
      <w:pPr>
        <w:pStyle w:val="BookText"/>
      </w:pPr>
      <w:r>
        <w:rPr>
          <w:rFonts w:ascii="IRNazanin" w:hAnsi="IRNazanin" w:eastAsia="IRNazanin" w:cs="IRNazanin"/>
          <w:lang w:bidi="fa-IR"/>
          <w:color w:val="111111"/>
          <w:sz w:val="28"/>
          <w:szCs w:val="28"/>
          <w:rtl/>
        </w:rPr>
        <w:t xml:space="preserve">۹. تهران؛ سپهسالار؛ شماره نسخه: ۱۲۱۴/۵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بی کا، بی تا؛۳۸گ (۴۷ر-۸۴ر) [ف: ۵ - ۳۸]</w:t>
      </w:r>
    </w:p>
    <w:p>
      <w:pPr>
        <w:pStyle w:val="Heading3"/>
      </w:pPr>
      <w:bookmarkStart w:id="1905" w:name="_Toc1427"/>
      <w:r>
        <w:t>اشتهارنامه / عرفان و تصوف / فارسی</w:t>
      </w:r>
      <w:bookmarkEnd w:id="1905"/>
    </w:p>
    <w:p>
      <w:pPr>
        <w:pStyle w:val="BookText"/>
      </w:pPr>
      <w:r>
        <w:rPr>
          <w:rFonts w:ascii="Times New Roman" w:hAnsi="Times New Roman" w:eastAsia="Times New Roman" w:cs="Times New Roman"/>
          <w:lang w:val="en-US" w:bidi="en-US"/>
          <w:color w:val="111111"/>
          <w:sz w:val="28"/>
          <w:szCs w:val="28"/>
          <w:rtl/>
        </w:rPr>
        <w:t xml:space="preserve">eštehār-nāme</w:t>
      </w:r>
    </w:p>
    <w:p>
      <w:pPr>
        <w:pStyle w:val="BookText"/>
      </w:pPr>
      <w:r>
        <w:rPr>
          <w:rFonts w:ascii="IRNazanin" w:hAnsi="IRNazanin" w:eastAsia="IRNazanin" w:cs="IRNazanin"/>
          <w:lang w:bidi="fa-IR"/>
          <w:color w:val="111111"/>
          <w:sz w:val="28"/>
          <w:szCs w:val="28"/>
          <w:rtl/>
        </w:rPr>
        <w:t xml:space="preserve">دیباچه مانندی است بر منامیه.</w:t>
      </w:r>
    </w:p>
    <w:p>
      <w:pPr>
        <w:pStyle w:val="BookText"/>
      </w:pPr>
      <w:r>
        <w:rPr>
          <w:rFonts w:ascii="IRNazanin" w:hAnsi="IRNazanin" w:eastAsia="IRNazanin" w:cs="IRNazanin"/>
          <w:lang w:bidi="fa-IR"/>
          <w:color w:val="111111"/>
          <w:sz w:val="28"/>
          <w:szCs w:val="28"/>
          <w:rtl/>
        </w:rPr>
        <w:t xml:space="preserve">تهران ؛دانشگاه؛ شماره نسخه: ۳۵۷۶/۱</w:t>
      </w:r>
    </w:p>
    <w:p>
      <w:pPr>
        <w:pStyle w:val="BookText"/>
      </w:pPr>
      <w:r>
        <w:rPr>
          <w:rFonts w:ascii="IRNazanin" w:hAnsi="IRNazanin" w:eastAsia="IRNazanin" w:cs="IRNazanin"/>
          <w:lang w:bidi="fa-IR"/>
          <w:color w:val="111111"/>
          <w:sz w:val="28"/>
          <w:szCs w:val="28"/>
          <w:rtl/>
        </w:rPr>
        <w:t xml:space="preserve">آغاز: فسيكفيكهم الله و هو السميع العليم بر کل اصحاب دانش و جل ارباب بینش مخفی نماناد که این وجیز اشتهارنامه ایست در باب اضمحلال شیخ عبیدالله سنی؛ انجام: ان الله يجزى  المتصدقين.</w:t>
      </w:r>
    </w:p>
    <w:p>
      <w:pPr>
        <w:pStyle w:val="BookText"/>
      </w:pPr>
      <w:r>
        <w:rPr>
          <w:rFonts w:ascii="IRNazanin" w:hAnsi="IRNazanin" w:eastAsia="IRNazanin" w:cs="IRNazanin"/>
          <w:lang w:bidi="fa-IR"/>
          <w:color w:val="111111"/>
          <w:sz w:val="28"/>
          <w:szCs w:val="28"/>
          <w:rtl/>
        </w:rPr>
        <w:t xml:space="preserve">خط: نستعليق، كا: حاج سید محسن موسوی سپاهانی، بی تا، جا: تبریز؛ کاغذ: فرنگی ،جلد: تیماج سرخ ضربی مقوایی، ۲گ (۲پ-۳پ)، ۱۴ سطر (8</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 ۱۲ - ۲۵۹۲]</w:t>
      </w:r>
    </w:p>
    <w:p>
      <w:pPr>
        <w:pStyle w:val="Heading3"/>
      </w:pPr>
      <w:bookmarkStart w:id="1906" w:name="_Toc1428"/>
      <w:r>
        <w:t>اشتهارنامه آدمیت / حکومت و سیاست / فارسی</w:t>
      </w:r>
      <w:bookmarkEnd w:id="1906"/>
    </w:p>
    <w:p>
      <w:pPr>
        <w:pStyle w:val="BookText"/>
      </w:pPr>
      <w:r>
        <w:rPr>
          <w:rFonts w:ascii="Times New Roman" w:hAnsi="Times New Roman" w:eastAsia="Times New Roman" w:cs="Times New Roman"/>
          <w:lang w:val="en-US" w:bidi="en-US"/>
          <w:color w:val="111111"/>
          <w:sz w:val="28"/>
          <w:szCs w:val="28"/>
          <w:rtl/>
        </w:rPr>
        <w:t xml:space="preserve">eštehār-nāme-ye ādamīyat</w:t>
      </w:r>
    </w:p>
    <w:p>
      <w:pPr>
        <w:pStyle w:val="BookText"/>
      </w:pPr>
      <w:r>
        <w:rPr>
          <w:rFonts w:ascii="IRNazanin" w:hAnsi="IRNazanin" w:eastAsia="IRNazanin" w:cs="IRNazanin"/>
          <w:lang w:bidi="fa-IR"/>
          <w:color w:val="111111"/>
          <w:sz w:val="28"/>
          <w:szCs w:val="28"/>
          <w:rtl/>
        </w:rPr>
        <w:t xml:space="preserve">ملکم، ۱۲۴۹ – ۱۳۲۶ قمری</w:t>
      </w:r>
    </w:p>
    <w:p>
      <w:pPr>
        <w:pStyle w:val="BookText"/>
      </w:pPr>
      <w:r>
        <w:rPr>
          <w:rFonts w:ascii="Times New Roman" w:hAnsi="Times New Roman" w:eastAsia="Times New Roman" w:cs="Times New Roman"/>
          <w:lang w:val="en-US" w:bidi="en-US"/>
          <w:color w:val="111111"/>
          <w:sz w:val="28"/>
          <w:szCs w:val="28"/>
          <w:rtl/>
        </w:rPr>
        <w:t xml:space="preserve">(malkam (1834 - 1908)</w:t>
      </w:r>
    </w:p>
    <w:p>
      <w:pPr>
        <w:pStyle w:val="BookText"/>
      </w:pPr>
      <w:r>
        <w:rPr>
          <w:rFonts w:ascii="IRNazanin" w:hAnsi="IRNazanin" w:eastAsia="IRNazanin" w:cs="IRNazanin"/>
          <w:lang w:bidi="fa-IR"/>
          <w:color w:val="111111"/>
          <w:sz w:val="28"/>
          <w:szCs w:val="28"/>
          <w:rtl/>
        </w:rPr>
        <w:t xml:space="preserve">تهران؛ ملک؛ شماره نسخه: ۲۴۵۵/۲۳</w:t>
      </w:r>
    </w:p>
    <w:p>
      <w:pPr>
        <w:pStyle w:val="BookText"/>
      </w:pPr>
      <w:r>
        <w:rPr>
          <w:rFonts w:ascii="IRNazanin" w:hAnsi="IRNazanin" w:eastAsia="IRNazanin" w:cs="IRNazanin"/>
          <w:lang w:bidi="fa-IR"/>
          <w:color w:val="111111"/>
          <w:sz w:val="28"/>
          <w:szCs w:val="28"/>
          <w:rtl/>
        </w:rPr>
        <w:t xml:space="preserve">خط: نستعلیق، بی کا، تا: ۱۳۲۳ق [ف: ۶ - ۱۹]</w:t>
      </w:r>
    </w:p>
    <w:p>
      <w:pPr>
        <w:pStyle w:val="BookText"/>
      </w:pPr>
      <w:r>
        <w:rPr>
          <w:rFonts w:ascii="Amiri" w:hAnsi="Amiri" w:eastAsia="Amiri" w:cs="Amiri"/>
          <w:lang w:bidi="ar-SA"/>
          <w:color w:val="111111"/>
          <w:sz w:val="28"/>
          <w:szCs w:val="28"/>
          <w:rtl/>
        </w:rPr>
        <w:t xml:space="preserve">«اشتهار نامه در قواعد سفرا » قوانين السفرا (ترجمه)</w:t>
      </w:r>
    </w:p>
    <w:p>
      <w:pPr>
        <w:pStyle w:val="BookText"/>
      </w:pPr>
      <w:r>
        <w:rPr>
          <w:rFonts w:ascii="IRNazanin" w:hAnsi="IRNazanin" w:eastAsia="IRNazanin" w:cs="IRNazanin"/>
          <w:lang w:bidi="fa-IR"/>
          <w:color w:val="111111"/>
          <w:sz w:val="28"/>
          <w:szCs w:val="28"/>
          <w:rtl/>
        </w:rPr>
        <w:t xml:space="preserve">«اشجار » معرفت اشجار</w:t>
      </w:r>
    </w:p>
    <w:p>
      <w:pPr>
        <w:pStyle w:val="BookText"/>
      </w:pPr>
      <w:r>
        <w:rPr>
          <w:rFonts w:ascii="Amiri" w:hAnsi="Amiri" w:eastAsia="Amiri" w:cs="Amiri"/>
          <w:lang w:bidi="ar-SA"/>
          <w:color w:val="111111"/>
          <w:sz w:val="28"/>
          <w:szCs w:val="28"/>
          <w:rtl/>
        </w:rPr>
        <w:t xml:space="preserve">«اشجار » ثمرة الاشجار</w:t>
      </w:r>
    </w:p>
    <w:p>
      <w:pPr>
        <w:pStyle w:val="BookText"/>
      </w:pPr>
      <w:r>
        <w:rPr>
          <w:rFonts w:ascii="IRNazanin" w:hAnsi="IRNazanin" w:eastAsia="IRNazanin" w:cs="IRNazanin"/>
          <w:lang w:bidi="fa-IR"/>
          <w:color w:val="111111"/>
          <w:sz w:val="28"/>
          <w:szCs w:val="28"/>
          <w:rtl/>
        </w:rPr>
        <w:t xml:space="preserve">«اشجار » معرفت اشجار و خواص نباتات</w:t>
      </w:r>
    </w:p>
    <w:p>
      <w:pPr>
        <w:pStyle w:val="BookText"/>
      </w:pPr>
      <w:r>
        <w:rPr>
          <w:rFonts w:ascii="Amiri" w:hAnsi="Amiri" w:eastAsia="Amiri" w:cs="Amiri"/>
          <w:lang w:bidi="ar-SA"/>
          <w:color w:val="111111"/>
          <w:sz w:val="28"/>
          <w:szCs w:val="28"/>
          <w:rtl/>
        </w:rPr>
        <w:t xml:space="preserve">«الاشجار » كتاب الاشجار</w:t>
      </w:r>
    </w:p>
    <w:p>
      <w:pPr>
        <w:pStyle w:val="BookText"/>
      </w:pPr>
      <w:r>
        <w:rPr>
          <w:rFonts w:ascii="IRNazanin" w:hAnsi="IRNazanin" w:eastAsia="IRNazanin" w:cs="IRNazanin"/>
          <w:lang w:bidi="fa-IR"/>
          <w:color w:val="111111"/>
          <w:sz w:val="28"/>
          <w:szCs w:val="28"/>
          <w:rtl/>
        </w:rPr>
        <w:t xml:space="preserve">«اشجار » فضل الاشجار</w:t>
      </w:r>
    </w:p>
    <w:p>
      <w:pPr>
        <w:pStyle w:val="BookText"/>
      </w:pPr>
      <w:r>
        <w:rPr>
          <w:rFonts w:ascii="IRNazanin" w:hAnsi="IRNazanin" w:eastAsia="IRNazanin" w:cs="IRNazanin"/>
          <w:lang w:bidi="fa-IR"/>
          <w:color w:val="111111"/>
          <w:sz w:val="28"/>
          <w:szCs w:val="28"/>
          <w:rtl/>
        </w:rPr>
        <w:t xml:space="preserve">«اشجار » غرس اشجار</w:t>
      </w:r>
    </w:p>
    <w:p>
      <w:pPr>
        <w:pStyle w:val="BookText"/>
      </w:pPr>
      <w:r>
        <w:rPr>
          <w:rFonts w:ascii="IRNazanin" w:hAnsi="IRNazanin" w:eastAsia="IRNazanin" w:cs="IRNazanin"/>
          <w:lang w:bidi="fa-IR"/>
          <w:color w:val="111111"/>
          <w:sz w:val="28"/>
          <w:szCs w:val="28"/>
          <w:rtl/>
        </w:rPr>
        <w:t xml:space="preserve">«اشجار » ثمرات الاشجار</w:t>
      </w:r>
    </w:p>
    <w:p>
      <w:pPr>
        <w:pStyle w:val="Heading3"/>
      </w:pPr>
      <w:bookmarkStart w:id="1907" w:name="_Toc1429"/>
      <w:r>
        <w:t>اشجار خلد / عرفان و تصوف، ادبیات / فارسی</w:t>
      </w:r>
      <w:bookmarkEnd w:id="1907"/>
    </w:p>
    <w:p>
      <w:pPr>
        <w:pStyle w:val="BookText"/>
      </w:pPr>
      <w:r>
        <w:rPr>
          <w:rFonts w:ascii="Times New Roman" w:hAnsi="Times New Roman" w:eastAsia="Times New Roman" w:cs="Times New Roman"/>
          <w:lang w:val="en-US" w:bidi="en-US"/>
          <w:color w:val="111111"/>
          <w:sz w:val="28"/>
          <w:szCs w:val="28"/>
          <w:rtl/>
        </w:rPr>
        <w:t xml:space="preserve">ašjār-e xold</w:t>
      </w:r>
    </w:p>
    <w:p>
      <w:pPr>
        <w:pStyle w:val="BookText"/>
      </w:pPr>
      <w:r>
        <w:rPr>
          <w:rFonts w:ascii="IRNazanin" w:hAnsi="IRNazanin" w:eastAsia="IRNazanin" w:cs="IRNazanin"/>
          <w:lang w:bidi="fa-IR"/>
          <w:color w:val="111111"/>
          <w:sz w:val="28"/>
          <w:szCs w:val="28"/>
          <w:rtl/>
        </w:rPr>
        <w:t xml:space="preserve">تهران؛ مجلس؛ شماره نسخه: ۱۷۶۰۷</w:t>
      </w:r>
    </w:p>
    <w:p>
      <w:pPr>
        <w:pStyle w:val="BookText"/>
      </w:pPr>
      <w:r>
        <w:rPr>
          <w:rFonts w:ascii="IRNazanin" w:hAnsi="IRNazanin" w:eastAsia="IRNazanin" w:cs="IRNazanin"/>
          <w:lang w:bidi="fa-IR"/>
          <w:color w:val="111111"/>
          <w:sz w:val="28"/>
          <w:szCs w:val="28"/>
          <w:rtl/>
        </w:rPr>
        <w:t xml:space="preserve">شجره دوم، در معرفی سلسله صوفیان؛ بی کا، بی تا [د.ث. مجلس ]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404" w:name="pg20365_260561"/>
    <w:bookmarkEnd w:id="404"/>
    <w:p>
      <w:pPr>
        <w:pStyle w:val="Heading3"/>
      </w:pPr>
      <w:bookmarkStart w:id="1908" w:name="_Toc1430"/>
      <w:r>
        <w:t>اشجار و اثمار = اثمار و اشجار = ثمره و شجره /  هیئت / فارسی</w:t>
      </w:r>
      <w:bookmarkEnd w:id="1908"/>
    </w:p>
    <w:p>
      <w:pPr>
        <w:pStyle w:val="BookText"/>
      </w:pPr>
      <w:r>
        <w:rPr>
          <w:rFonts w:ascii="Times New Roman" w:hAnsi="Times New Roman" w:eastAsia="Times New Roman" w:cs="Times New Roman"/>
          <w:lang w:val="en-US" w:bidi="en-US"/>
          <w:color w:val="111111"/>
          <w:sz w:val="28"/>
          <w:szCs w:val="28"/>
          <w:rtl/>
        </w:rPr>
        <w:t xml:space="preserve">ašjār va asmār = asmār va ašjār = samare va šajare</w:t>
      </w:r>
    </w:p>
    <w:p>
      <w:pPr>
        <w:pStyle w:val="BookText"/>
      </w:pPr>
      <w:r>
        <w:rPr>
          <w:rFonts w:ascii="IRNazanin" w:hAnsi="IRNazanin" w:eastAsia="IRNazanin" w:cs="IRNazanin"/>
          <w:lang w:bidi="fa-IR"/>
          <w:color w:val="111111"/>
          <w:sz w:val="28"/>
          <w:szCs w:val="28"/>
          <w:rtl/>
        </w:rPr>
        <w:t xml:space="preserve">بخاری ،خوارزمی علیشاه بن محمد، ۶۲۴؟  قمری</w:t>
      </w:r>
    </w:p>
    <w:p>
      <w:pPr>
        <w:pStyle w:val="BookText"/>
      </w:pPr>
      <w:r>
        <w:rPr>
          <w:rFonts w:ascii="Times New Roman" w:hAnsi="Times New Roman" w:eastAsia="Times New Roman" w:cs="Times New Roman"/>
          <w:lang w:val="en-US" w:bidi="en-US"/>
          <w:color w:val="111111"/>
          <w:sz w:val="28"/>
          <w:szCs w:val="28"/>
          <w:rtl/>
        </w:rPr>
        <w:t xml:space="preserve">(1269-boxārī xārazmī, ‘alīšāh ebn-e mohammad (1228 -</w:t>
      </w:r>
    </w:p>
    <w:p>
      <w:pPr>
        <w:pStyle w:val="BookText"/>
      </w:pPr>
      <w:r>
        <w:rPr>
          <w:rFonts w:ascii="IRNazanin" w:hAnsi="IRNazanin" w:eastAsia="IRNazanin" w:cs="IRNazanin"/>
          <w:lang w:bidi="fa-IR"/>
          <w:color w:val="111111"/>
          <w:sz w:val="28"/>
          <w:szCs w:val="28"/>
          <w:rtl/>
        </w:rPr>
        <w:t xml:space="preserve">اهدا به: سیف الدین احمد شاه و برادرش محمد بن مبارکشاه تاریخ تألیف: ۶۹۰ق</w:t>
      </w:r>
    </w:p>
    <w:p>
      <w:pPr>
        <w:pStyle w:val="BookText"/>
      </w:pPr>
      <w:r>
        <w:rPr>
          <w:rFonts w:ascii="IRNazanin" w:hAnsi="IRNazanin" w:eastAsia="IRNazanin" w:cs="IRNazanin"/>
          <w:lang w:bidi="fa-IR"/>
          <w:color w:val="111111"/>
          <w:sz w:val="28"/>
          <w:szCs w:val="28"/>
          <w:rtl/>
        </w:rPr>
        <w:t xml:space="preserve">کتابی است مشهور و مفصل در بیان منسوبات بروج و كواكب و احکام قرانات و اتصالات و موالید، در دو «مقاله» اول. کلیات دارای ۹ «فصل؛ دوم. جزئیات در پنج «شجره» و هر شجره در چند «شعبه» و هر شعبه در چند :«ثمره»: شجره ۱. صفات و منسوبات بروج و کواکب، ۲. احکام قرانات و اتصالات دیـگر ،3. احكام عالم، ۴. احکام مواليد .۵. اعمال تسيرات. مؤلف خود در پایان شجره پنج که ختم کتاب است می نویسد که میخواسته دو «شجره» دیگر بر کتاب بیفزاید (ششم در طالع تحویل و هـفتم در طالع وقت و ضمیر)، اما این کار را به فرصتی دیگر نهـاده است. این مطلب در همه نسخه ها نیامده است ولی در نسـخه ۶۴۰۰/۳مجلس و چند نسخه دیگر موجود است.</w:t>
      </w:r>
    </w:p>
    <w:p>
      <w:pPr>
        <w:pStyle w:val="BookText"/>
      </w:pPr>
      <w:r>
        <w:rPr>
          <w:rFonts w:ascii="IRNazanin" w:hAnsi="IRNazanin" w:eastAsia="IRNazanin" w:cs="IRNazanin"/>
          <w:lang w:bidi="fa-IR"/>
          <w:color w:val="111111"/>
          <w:sz w:val="28"/>
          <w:szCs w:val="28"/>
          <w:rtl/>
        </w:rPr>
        <w:t xml:space="preserve">مؤلف از نزدیکان شمس الدين سيف الاسلام ممد بن صدر سعيد سيف الدين احمد شاه بن مبارک شاه بوده و در سر پیری این دفتر را برای دو فرزند او بدرالدین مبارکشاه و سیف الدین احمد شاه نوشته است. از آن بر می آید که این دو، شاگرد بوده و مقدمات و حساب هندی و زیج جدید و عمده ایلخانیه (گزیده همین بخاری) را فرا گرفته اند و به آموختن مجمل اصـول احکام کوشیار پرداختند و از او درخواستند که دفتری گسترده تر بسازد و او این را نگاشته است. بخاری از صفی الدین عبدالمؤمن و موسیقی او یاد می کند. بخاری در ثمره ۱ شعبه ۵ شجره سخنانی در مورد زندگانی خود می گوید که از آن نتیجه می شـود که او در ۶۳۵ دوازده ساله و در هنگام نگارش این اثر میان 56و ۶۸ سال داشته است پس او در ۶۲۳ زاده شده و میان ۶۷۹ و 691 «اشجار و اثمار» را تألیف کرده است. نسخ این کتاب چه از لحاظ دیباچه و چه متن تفاوت بسیار دارد.</w:t>
      </w:r>
    </w:p>
    <w:p>
      <w:pPr>
        <w:pStyle w:val="BookText"/>
      </w:pPr>
      <w:r>
        <w:rPr>
          <w:rFonts w:ascii="IRNazanin" w:hAnsi="IRNazanin" w:eastAsia="IRNazanin" w:cs="IRNazanin"/>
          <w:lang w:bidi="fa-IR"/>
          <w:color w:val="111111"/>
          <w:sz w:val="28"/>
          <w:szCs w:val="28"/>
          <w:rtl/>
        </w:rPr>
        <w:t xml:space="preserve">آغاز: حمد و ثنا آفریدگاری را که افلاک دوایر و نجوم و سوایر بیافرید و شکر و سپاس واجب الوجودی را که عناصر و ارکـان در وجود آورد... چنین گوید مؤلف این مسوده علیشاه بن محمد بن قاسم الخوارزمي المعروف بالبخارى.</w:t>
      </w:r>
    </w:p>
    <w:p>
      <w:pPr>
        <w:pStyle w:val="BookText"/>
      </w:pPr>
      <w:r>
        <w:rPr>
          <w:rFonts w:ascii="IRNazanin" w:hAnsi="IRNazanin" w:eastAsia="IRNazanin" w:cs="IRNazanin"/>
          <w:lang w:bidi="fa-IR"/>
          <w:color w:val="111111"/>
          <w:sz w:val="28"/>
          <w:szCs w:val="28"/>
          <w:rtl/>
        </w:rPr>
        <w:t xml:space="preserve">انجام: نشانه ساخت و از خدای تعالی توفیق خواست و اتمام  آن و هو الاجابة و التوفيق.</w:t>
      </w:r>
    </w:p>
    <w:p>
      <w:pPr>
        <w:pStyle w:val="BookText"/>
      </w:pPr>
      <w:r>
        <w:rPr>
          <w:rFonts w:ascii="IRNazanin" w:hAnsi="IRNazanin" w:eastAsia="IRNazanin" w:cs="IRNazanin"/>
          <w:lang w:bidi="fa-IR"/>
          <w:color w:val="111111"/>
          <w:sz w:val="28"/>
          <w:szCs w:val="28"/>
          <w:rtl/>
        </w:rPr>
        <w:t xml:space="preserve">چاپ: نخستین بار در لکهنو ، (نولکشور) ۱۳۲۰ از روی نسـخه تاریخ ۸۸۰ نوشته نعیمی به نام «ثمره شجره نجوم» در ۲۰۴ص</w:t>
      </w:r>
    </w:p>
    <w:p>
      <w:pPr>
        <w:pStyle w:val="BookText"/>
      </w:pPr>
      <w:r>
        <w:rPr>
          <w:rFonts w:ascii="IRNazanin" w:hAnsi="IRNazanin" w:eastAsia="IRNazanin" w:cs="IRNazanin"/>
          <w:lang w:bidi="fa-IR"/>
          <w:color w:val="111111"/>
          <w:sz w:val="28"/>
          <w:szCs w:val="28"/>
          <w:rtl/>
        </w:rPr>
        <w:t xml:space="preserve">[دنا ۸۴۶/۱۸۱( ۱۱۸ نسخه)؛ الذريعة ۲۹۳/۱ و ۱۲/۵؛ مشار فارسی 1/ 163؛كشف الظنون ۱۰۳/۱۸ و ۱۵۵۳/۲۲؛ فهرستواره منزوی ۲۸۱۵/۴؛ فهرست مشترک نسخه های خطی پاکستان و اسلام آباد ۲۴۱/۱؛ نسخه های منزوی ۲۳۶/۱۲ - ۲۳۸ و ۲۸۱۵/۴؛ دیباچه اوراد الاحباب از آقای افشار؛ اصغر مهدوی  ۶۲/۲؛ مكتبة امير المؤمنين ۴۱/۱]</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IRNazanin" w:hAnsi="IRNazanin" w:eastAsia="IRNazanin" w:cs="IRNazanin"/>
          <w:lang w:bidi="fa-IR"/>
          <w:color w:val="111111"/>
          <w:sz w:val="28"/>
          <w:szCs w:val="28"/>
          <w:rtl/>
        </w:rPr>
        <w:t xml:space="preserve">۱- اشجار و اثمار (ترجمه) ،افندی، عبد العزيز (-۱۲)</w:t>
      </w:r>
    </w:p>
    <w:p>
      <w:pPr>
        <w:pStyle w:val="BookText"/>
      </w:pPr>
      <w:r>
        <w:rPr>
          <w:rFonts w:ascii="IRNazanin" w:hAnsi="IRNazanin" w:eastAsia="IRNazanin" w:cs="IRNazanin"/>
          <w:lang w:bidi="fa-IR"/>
          <w:color w:val="111111"/>
          <w:sz w:val="28"/>
          <w:szCs w:val="28"/>
          <w:rtl/>
        </w:rPr>
        <w:t xml:space="preserve">۲- شرح كتاب شجره ،اصفهانی، زین العابدين بن قاسم (-۱۳)</w:t>
      </w:r>
    </w:p>
    <w:p>
      <w:pPr>
        <w:pStyle w:val="BookText"/>
      </w:pPr>
      <w:r>
        <w:rPr>
          <w:rFonts w:ascii="IRNazanin" w:hAnsi="IRNazanin" w:eastAsia="IRNazanin" w:cs="IRNazanin"/>
          <w:lang w:bidi="fa-IR"/>
          <w:color w:val="111111"/>
          <w:sz w:val="28"/>
          <w:szCs w:val="28"/>
          <w:rtl/>
        </w:rPr>
        <w:t xml:space="preserve">۱. تهران؛ ملی؛ شماره نسخه: ۲۵۶۳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محمود بن عمر بن محمود زنجانی، تا: ۶۸۸ق؛ جا: همدان؛ کاغذ: سمرقندی ،جلد: تیماج سیاه با ترنج و نیم ترنج کوبیده مقوایی، ۱۳۱گ، ۱۹ سطر (11/5</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 ف: ۶ - ۸۱]</w:t>
      </w:r>
    </w:p>
    <w:p>
      <w:pPr>
        <w:pStyle w:val="BookText"/>
      </w:pPr>
      <w:r>
        <w:rPr>
          <w:rFonts w:ascii="IRNazanin" w:hAnsi="IRNazanin" w:eastAsia="IRNazanin" w:cs="IRNazanin"/>
          <w:lang w:bidi="fa-IR"/>
          <w:color w:val="111111"/>
          <w:sz w:val="28"/>
          <w:szCs w:val="28"/>
          <w:rtl/>
        </w:rPr>
        <w:t xml:space="preserve">۲. قم؛ مرعشی؛ شماره نسخه: ۸۷۳۸</w:t>
      </w:r>
    </w:p>
    <w:p>
      <w:pPr>
        <w:pStyle w:val="BookText"/>
      </w:pPr>
      <w:r>
        <w:rPr>
          <w:rFonts w:ascii="IRNazanin" w:hAnsi="IRNazanin" w:eastAsia="IRNazanin" w:cs="IRNazanin"/>
          <w:lang w:bidi="fa-IR"/>
          <w:color w:val="111111"/>
          <w:sz w:val="28"/>
          <w:szCs w:val="28"/>
          <w:rtl/>
        </w:rPr>
        <w:t xml:space="preserve">خط: نسخ، بی کا، تا: قرن ۸، مصحح، محشی، قبل و بعد از کتاب چند صفحه است دارای یادداشت های نجومی که یکی از آنها به تاریخ ربیع الثانی ۷۷۹ در سمرقند و فائده ای از مولانا اشرف الدين حسين التونى مد الله ظله ؛جلد: تيماج قرمز، ۱۴۳گ، ۱۹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 ۲۲ - ۲۷۱]</w:t>
      </w:r>
    </w:p>
    <w:p>
      <w:pPr>
        <w:pStyle w:val="BookText"/>
      </w:pPr>
      <w:r>
        <w:rPr>
          <w:rFonts w:ascii="IRNazanin" w:hAnsi="IRNazanin" w:eastAsia="IRNazanin" w:cs="IRNazanin"/>
          <w:lang w:bidi="fa-IR"/>
          <w:color w:val="111111"/>
          <w:sz w:val="28"/>
          <w:szCs w:val="28"/>
          <w:rtl/>
        </w:rPr>
        <w:t xml:space="preserve">۲. قم؛ مرعشی؛ شماره نسخه: ۱۱۹۴</w:t>
      </w:r>
    </w:p>
    <w:p>
      <w:pPr>
        <w:pStyle w:val="BookText"/>
      </w:pPr>
      <w:r>
        <w:rPr>
          <w:rFonts w:ascii="IRNazanin" w:hAnsi="IRNazanin" w:eastAsia="IRNazanin" w:cs="IRNazanin"/>
          <w:lang w:bidi="fa-IR"/>
          <w:color w:val="111111"/>
          <w:sz w:val="28"/>
          <w:szCs w:val="28"/>
          <w:rtl/>
        </w:rPr>
        <w:t xml:space="preserve">خط: نسخ، کا: محمد بن احمد بن ابی رشید بن مظفر قریشی تمیمی، تا: سه شنبه ۱۸ ربیع الاول ۷۴۰ق؛ مصحح ، محشی به خطی جز خط اصل؛ تملک: عبدالواسع دامی به تاریخ رمضان ۱۱۷۳ در اصفهان، شرف الدين على المنجم، مهر: «افوض امرى الى الله عبده اسماعيل المنجم» (مربع)، «حسین منى و انا من حسين» (مربع)؛ جلد: تیماج مشکی ضربی عطف تیماج قهوه ای، ۱۱۱گ، ۲۳سطر،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۲۴/۵سم [ف: ۳ - ۳۶۲] -</w:t>
      </w:r>
    </w:p>
    <w:p>
      <w:pPr>
        <w:pStyle w:val="BookText"/>
      </w:pPr>
      <w:r>
        <w:rPr>
          <w:rFonts w:ascii="IRNazanin" w:hAnsi="IRNazanin" w:eastAsia="IRNazanin" w:cs="IRNazanin"/>
          <w:lang w:bidi="fa-IR"/>
          <w:color w:val="111111"/>
          <w:sz w:val="28"/>
          <w:szCs w:val="28"/>
          <w:rtl/>
        </w:rPr>
        <w:t xml:space="preserve">۴. تبریز؛ ثقة الاسلام؛ شماره نسخه: بدون شماره</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احتمالاً همان نسخه بالا؛ كا: محمد بن احمد بن ابی رشید بن مظفر قزوینی تمیمی، تا: سه شنبه ۱۸ ربیع الاول سال هفتصد و چهل و ..کسری. [ نشریه: 7- 531]</w:t>
      </w:r>
    </w:p>
    <w:p>
      <w:pPr>
        <w:pStyle w:val="BookText"/>
      </w:pPr>
      <w:r>
        <w:rPr>
          <w:rFonts w:ascii="IRNazanin" w:hAnsi="IRNazanin" w:eastAsia="IRNazanin" w:cs="IRNazanin"/>
          <w:lang w:bidi="fa-IR"/>
          <w:color w:val="111111"/>
          <w:sz w:val="28"/>
          <w:szCs w:val="28"/>
          <w:rtl/>
        </w:rPr>
        <w:t xml:space="preserve">۵. تهران؛ ملک؛ شماره نسخه: ۶۰۳6</w:t>
      </w:r>
    </w:p>
    <w:p>
      <w:pPr>
        <w:pStyle w:val="BookText"/>
      </w:pPr>
      <w:r>
        <w:rPr>
          <w:rFonts w:ascii="IRNazanin" w:hAnsi="IRNazanin" w:eastAsia="IRNazanin" w:cs="IRNazanin"/>
          <w:lang w:bidi="fa-IR"/>
          <w:color w:val="111111"/>
          <w:sz w:val="28"/>
          <w:szCs w:val="28"/>
          <w:rtl/>
        </w:rPr>
        <w:t xml:space="preserve">خط: نستعليق، كا: عبید زاکانی، تا: ۲۱ محرم زاکانی در ۷۶۷ق؛تملک: عبید زاکانی در 767؛ اسحق بن عبید زاکانی در ۷۷۲، اسماعیل بن عبدالعالی در ۱۰۶۰؛ کاغذ: کاغذ دولت آبادی، جلد: میشن مشکی مغزی دار، ۱۱۷گ ۲۱ سطر، اندازه: ۱۵/۹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۲۲/۷سم [ف: ۲ - ۲۸]</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مشهد؛ رضوی؛ شماره نسخه ۵۲۳۱</w:t>
      </w:r>
    </w:p>
    <w:p>
      <w:pPr>
        <w:pStyle w:val="BookText"/>
      </w:pPr>
      <w:r>
        <w:rPr>
          <w:rFonts w:ascii="IRNazanin" w:hAnsi="IRNazanin" w:eastAsia="IRNazanin" w:cs="IRNazanin"/>
          <w:lang w:bidi="fa-IR"/>
          <w:color w:val="111111"/>
          <w:sz w:val="28"/>
          <w:szCs w:val="28"/>
          <w:rtl/>
        </w:rPr>
        <w:t xml:space="preserve">آغاز: برابر؛ انجام: و بویهاء ناخوش را خوش کند و فعلها و شیوه هاء ناپسندیده را قبول کند و اگر زهره و مریخ</w:t>
      </w:r>
    </w:p>
    <w:p>
      <w:pPr>
        <w:pStyle w:val="BookText"/>
      </w:pPr>
      <w:r>
        <w:rPr>
          <w:rFonts w:ascii="IRNazanin" w:hAnsi="IRNazanin" w:eastAsia="IRNazanin" w:cs="IRNazanin"/>
          <w:lang w:bidi="fa-IR"/>
          <w:color w:val="111111"/>
          <w:sz w:val="28"/>
          <w:szCs w:val="28"/>
          <w:rtl/>
        </w:rPr>
        <w:t xml:space="preserve">تا اوایل ثمره سوم از شعبه دوم در دلایل جزوی بر اخلاق؛ خط: نستعلیق، بی کا، تا: قرن ۹؛ افتادگی: انجام؛ واقف ابن خاتون،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۱۰۶۷ق؛ کاغذ: سمرقندی، جلد: پارچه ای، ۷۲گ، ۱۷ سـطر(۱۲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۷/۵)، اندازه: ۱۳/۳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۸ - ۳۷]</w:t>
      </w:r>
    </w:p>
    <w:p>
      <w:pPr>
        <w:pStyle w:val="BookText"/>
      </w:pPr>
      <w:r>
        <w:rPr>
          <w:rFonts w:ascii="IRNazanin" w:hAnsi="IRNazanin" w:eastAsia="IRNazanin" w:cs="IRNazanin"/>
          <w:lang w:bidi="fa-IR"/>
          <w:color w:val="111111"/>
          <w:sz w:val="28"/>
          <w:szCs w:val="28"/>
          <w:rtl/>
        </w:rPr>
        <w:t xml:space="preserve">۷. مشهد؛ رضوی؛ شماره نسخه: ۱۲۱۰۵</w:t>
      </w:r>
    </w:p>
    <w:p>
      <w:pPr>
        <w:pStyle w:val="BookText"/>
      </w:pPr>
      <w:r>
        <w:rPr>
          <w:rFonts w:ascii="IRNazanin" w:hAnsi="IRNazanin" w:eastAsia="IRNazanin" w:cs="IRNazanin"/>
          <w:lang w:bidi="fa-IR"/>
          <w:color w:val="111111"/>
          <w:sz w:val="28"/>
          <w:szCs w:val="28"/>
          <w:rtl/>
        </w:rPr>
        <w:t xml:space="preserve">آغاز: زیر فلک قمر و اجرام علوی را مرتبه؛ انجام: مخدومان  در نظر بود</w:t>
      </w:r>
    </w:p>
    <w:p>
      <w:pPr>
        <w:pStyle w:val="BookText"/>
      </w:pPr>
      <w:r>
        <w:rPr>
          <w:rFonts w:ascii="IRNazanin" w:hAnsi="IRNazanin" w:eastAsia="IRNazanin" w:cs="IRNazanin"/>
          <w:lang w:bidi="fa-IR"/>
          <w:color w:val="111111"/>
          <w:sz w:val="28"/>
          <w:szCs w:val="28"/>
          <w:rtl/>
        </w:rPr>
        <w:t xml:space="preserve">خط: نسخ، بی کا، تا: قرن ۹ ؛افتادگی: آغاز( یک صفحه) و انـجام (چند سطر)؛ کاغذ: حنایی ،جلد: چرمی، ۹۴گ، ۲۱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۲۴سم [ف : ۱۰ - ۸]</w:t>
      </w:r>
    </w:p>
    <w:p>
      <w:pPr>
        <w:pStyle w:val="BookText"/>
      </w:pPr>
      <w:r>
        <w:rPr>
          <w:rFonts w:ascii="IRNazanin" w:hAnsi="IRNazanin" w:eastAsia="IRNazanin" w:cs="IRNazanin"/>
          <w:lang w:bidi="fa-IR"/>
          <w:color w:val="111111"/>
          <w:sz w:val="28"/>
          <w:szCs w:val="28"/>
          <w:rtl/>
        </w:rPr>
        <w:t xml:space="preserve">8.تهران؛ مجلس؛ شماره نسخه: ۶۰۸۳/۱</w:t>
      </w:r>
    </w:p>
    <w:p>
      <w:pPr>
        <w:pStyle w:val="BookText"/>
      </w:pPr>
      <w:r>
        <w:rPr>
          <w:rFonts w:ascii="IRNazanin" w:hAnsi="IRNazanin" w:eastAsia="IRNazanin" w:cs="IRNazanin"/>
          <w:lang w:bidi="fa-IR"/>
          <w:color w:val="111111"/>
          <w:sz w:val="28"/>
          <w:szCs w:val="28"/>
          <w:rtl/>
        </w:rPr>
        <w:t xml:space="preserve">آغاز: برابر؛ انجام: وجوه ساعات تمام شب را از بیست و چـهار کنند باقی ساعات روز ماند.</w:t>
      </w:r>
    </w:p>
    <w:p>
      <w:pPr>
        <w:pStyle w:val="BookText"/>
      </w:pPr>
      <w:r>
        <w:rPr>
          <w:rFonts w:ascii="IRNazanin" w:hAnsi="IRNazanin" w:eastAsia="IRNazanin" w:cs="IRNazanin"/>
          <w:lang w:bidi="fa-IR"/>
          <w:color w:val="111111"/>
          <w:sz w:val="28"/>
          <w:szCs w:val="28"/>
          <w:rtl/>
        </w:rPr>
        <w:t xml:space="preserve">خط: نستعلیق، بی کا، تا: قرن ۹؛کاغذ: سمرقندی برگ های تازه فرنگی ضخیم ،جلد: تیماج مشکی یک لا، ۲۲ سطر، قطع: خشتی  کوچک،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۱۷/۵سم [ف : ۱۹ - ۶۷]</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تهران؛ دانشگاه؛ شماره نسخه: ۸۱۸۷</w:t>
      </w:r>
    </w:p>
    <w:p>
      <w:pPr>
        <w:pStyle w:val="BookText"/>
      </w:pPr>
      <w:r>
        <w:rPr>
          <w:rFonts w:ascii="IRNazanin" w:hAnsi="IRNazanin" w:eastAsia="IRNazanin" w:cs="IRNazanin"/>
          <w:lang w:bidi="fa-IR"/>
          <w:color w:val="111111"/>
          <w:sz w:val="28"/>
          <w:szCs w:val="28"/>
          <w:rtl/>
        </w:rPr>
        <w:t xml:space="preserve">خط: نسخ، کا: محمود حاجی شعبان بن حاجی حسین سرامی،تا: سه شنبه 24 ربیع الاول ۸۳۴ق؛ تملک: علی اکبر بن آقا میرزا محمد «متولى، مضجع خاقان فتح علی شاه در ۱۲۷۲؛ کاغذ: سمرقندی، جلد: تیماج تریاکی مقوایی، ۱۳۱گ، ۲۴ سـطر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 قطع: وزیری،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 ۱۷ - ۴۸]</w:t>
      </w:r>
    </w:p>
    <w:p>
      <w:pPr>
        <w:pStyle w:val="BookText"/>
      </w:pPr>
      <w:r>
        <w:rPr>
          <w:rFonts w:ascii="IRNazanin" w:hAnsi="IRNazanin" w:eastAsia="IRNazanin" w:cs="IRNazanin"/>
          <w:lang w:bidi="fa-IR"/>
          <w:color w:val="111111"/>
          <w:sz w:val="28"/>
          <w:szCs w:val="28"/>
          <w:rtl/>
        </w:rPr>
        <w:t xml:space="preserve">10.تهران؛ ملک؛ شماره نسخه: ۳۲۲۷</w:t>
      </w:r>
    </w:p>
    <w:p>
      <w:pPr>
        <w:pStyle w:val="BookText"/>
      </w:pPr>
      <w:r>
        <w:rPr>
          <w:rFonts w:ascii="IRNazanin" w:hAnsi="IRNazanin" w:eastAsia="IRNazanin" w:cs="IRNazanin"/>
          <w:lang w:bidi="fa-IR"/>
          <w:color w:val="111111"/>
          <w:sz w:val="28"/>
          <w:szCs w:val="28"/>
          <w:rtl/>
        </w:rPr>
        <w:t xml:space="preserve">خط: نستعلیق، بی کا، تا: جمادی الثانی ۸۳۹ق؛ کاغذ: کاغذ ترمه، جلد: میشن قرمز بامغزی  سیاه، ۲۱۷گ، ۱۵ سطر، اندازه: ۱۲/۳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۲ - ۲۸]</w:t>
      </w:r>
    </w:p>
    <w:p>
      <w:pPr>
        <w:pStyle w:val="BookText"/>
      </w:pPr>
      <w:r>
        <w:rPr>
          <w:rFonts w:ascii="IRNazanin" w:hAnsi="IRNazanin" w:eastAsia="IRNazanin" w:cs="IRNazanin"/>
          <w:lang w:bidi="fa-IR"/>
          <w:color w:val="111111"/>
          <w:sz w:val="28"/>
          <w:szCs w:val="28"/>
          <w:rtl/>
        </w:rPr>
        <w:t xml:space="preserve">۱۱. تهران؛ مهدوی؛ شماره نسخه: ۴۲۱</w:t>
      </w:r>
    </w:p>
    <w:p>
      <w:pPr>
        <w:pStyle w:val="BookText"/>
      </w:pPr>
      <w:r>
        <w:rPr>
          <w:rFonts w:ascii="IRNazanin" w:hAnsi="IRNazanin" w:eastAsia="IRNazanin" w:cs="IRNazanin"/>
          <w:lang w:bidi="fa-IR"/>
          <w:color w:val="111111"/>
          <w:sz w:val="28"/>
          <w:szCs w:val="28"/>
          <w:rtl/>
        </w:rPr>
        <w:t xml:space="preserve">خط: نستعلیق، بی کا، تا: ۱ رمضان ۸۸۲ق، [ نشریه: ۲ - ۶۲]</w:t>
      </w:r>
    </w:p>
    <w:p>
      <w:pPr>
        <w:pStyle w:val="BookText"/>
      </w:pPr>
      <w:r>
        <w:rPr>
          <w:rFonts w:ascii="IRNazanin" w:hAnsi="IRNazanin" w:eastAsia="IRNazanin" w:cs="IRNazanin"/>
          <w:lang w:bidi="fa-IR"/>
          <w:color w:val="111111"/>
          <w:sz w:val="28"/>
          <w:szCs w:val="28"/>
          <w:rtl/>
        </w:rPr>
        <w:t xml:space="preserve">۱۲. تهران؛ مجلس؛ شماره نسخه: ۷۲۸</w:t>
      </w:r>
    </w:p>
    <w:p>
      <w:pPr>
        <w:pStyle w:val="BookText"/>
      </w:pPr>
      <w:r>
        <w:rPr>
          <w:rFonts w:ascii="IRNazanin" w:hAnsi="IRNazanin" w:eastAsia="IRNazanin" w:cs="IRNazanin"/>
          <w:lang w:bidi="fa-IR"/>
          <w:color w:val="111111"/>
          <w:sz w:val="28"/>
          <w:szCs w:val="28"/>
          <w:rtl/>
        </w:rPr>
        <w:t xml:space="preserve">خط: نستعليق، كا: محمد بن روح الله حسینی خوارزمی، تا: دهه دوم محرم ۸۸۴ق؛ با مهر کاتب؛ کاغذ: سفید، جلد: تیماج ترياکی ضربی و مقوایی نو، ۱۷۵گ، ۱۷ سطر (6</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۲۰سم[سنا - ف: ۲ - ۴۶]</w:t>
      </w:r>
    </w:p>
    <w:p>
      <w:pPr>
        <w:pStyle w:val="BookText"/>
      </w:pPr>
      <w:r>
        <w:rPr>
          <w:rFonts w:ascii="IRNazanin" w:hAnsi="IRNazanin" w:eastAsia="IRNazanin" w:cs="IRNazanin"/>
          <w:lang w:bidi="fa-IR"/>
          <w:color w:val="111111"/>
          <w:sz w:val="28"/>
          <w:szCs w:val="28"/>
          <w:rtl/>
        </w:rPr>
        <w:t xml:space="preserve">تهران؛ مفتاح ؛شماره نسخه: ۱۳۴۷</w:t>
      </w:r>
    </w:p>
    <w:p>
      <w:pPr>
        <w:pStyle w:val="BookText"/>
      </w:pPr>
      <w:r>
        <w:rPr>
          <w:rFonts w:ascii="IRNazanin" w:hAnsi="IRNazanin" w:eastAsia="IRNazanin" w:cs="IRNazanin"/>
          <w:lang w:bidi="fa-IR"/>
          <w:color w:val="111111"/>
          <w:sz w:val="28"/>
          <w:szCs w:val="28"/>
          <w:rtl/>
        </w:rPr>
        <w:t xml:space="preserve">همان نسخه بالا [نشریه: ۷ - ۱۰۱]</w:t>
      </w:r>
    </w:p>
    <w:p>
      <w:pPr>
        <w:pStyle w:val="BookText"/>
      </w:pPr>
      <w:r>
        <w:rPr>
          <w:rFonts w:ascii="IRNazanin" w:hAnsi="IRNazanin" w:eastAsia="IRNazanin" w:cs="IRNazanin"/>
          <w:lang w:bidi="fa-IR"/>
          <w:color w:val="111111"/>
          <w:sz w:val="28"/>
          <w:szCs w:val="28"/>
          <w:rtl/>
        </w:rPr>
        <w:t xml:space="preserve">۱۳. مشهد؛ الهیات؛ شماره نسخه: ۷</w:t>
      </w:r>
    </w:p>
    <w:p>
      <w:pPr>
        <w:pStyle w:val="BookText"/>
      </w:pPr>
      <w:r>
        <w:rPr>
          <w:rFonts w:ascii="IRNazanin" w:hAnsi="IRNazanin" w:eastAsia="IRNazanin" w:cs="IRNazanin"/>
          <w:lang w:bidi="fa-IR"/>
          <w:color w:val="111111"/>
          <w:sz w:val="28"/>
          <w:szCs w:val="28"/>
          <w:rtl/>
        </w:rPr>
        <w:t xml:space="preserve">خط: نسخ، بی کا؛ تا: دوشنبه ۱۸ ربیع الاول ۸۸۸ق، محشی؛ نسـخه در ۹۱۱ق در ملکیت عزالدين فضل الله یزدی منجم بوده ودر سوم صفر ۹۹۹ جمال الدین منجم یزدی از ورثه عزالدین فضل الله خریده، اثر خط و مهر جلال الدین در پشت صفحه ؛جلد: تیماج عنابی لایه ای، ۸۶گ، ۲۵ سطر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قطع: وزیری، اندازه: ۱۶/۵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۲۴/۵سم [ف: ۱- ۴]</w:t>
      </w:r>
    </w:p>
    <w:p>
      <w:pPr>
        <w:pStyle w:val="BookText"/>
      </w:pPr>
      <w:r>
        <w:rPr>
          <w:rFonts w:ascii="IRNazanin" w:hAnsi="IRNazanin" w:eastAsia="IRNazanin" w:cs="IRNazanin"/>
          <w:lang w:bidi="fa-IR"/>
          <w:color w:val="111111"/>
          <w:sz w:val="28"/>
          <w:szCs w:val="28"/>
          <w:rtl/>
        </w:rPr>
        <w:t xml:space="preserve">۱۴. تهران؛ مجلس؛ شماره نسخه: ۱۸۳/۲</w:t>
      </w:r>
    </w:p>
    <w:p>
      <w:pPr>
        <w:pStyle w:val="BookText"/>
      </w:pPr>
      <w:r>
        <w:rPr>
          <w:rFonts w:ascii="IRNazanin" w:hAnsi="IRNazanin" w:eastAsia="IRNazanin" w:cs="IRNazanin"/>
          <w:lang w:bidi="fa-IR"/>
          <w:color w:val="111111"/>
          <w:sz w:val="28"/>
          <w:szCs w:val="28"/>
          <w:rtl/>
        </w:rPr>
        <w:t xml:space="preserve">بی کا، تا: ۸۸۹ق :[ف: ۲ - ۱۰۰]</w:t>
      </w:r>
    </w:p>
    <w:p>
      <w:pPr>
        <w:pStyle w:val="BookText"/>
      </w:pPr>
      <w:r>
        <w:rPr>
          <w:rFonts w:ascii="IRNazanin" w:hAnsi="IRNazanin" w:eastAsia="IRNazanin" w:cs="IRNazanin"/>
          <w:lang w:bidi="fa-IR"/>
          <w:color w:val="111111"/>
          <w:sz w:val="28"/>
          <w:szCs w:val="28"/>
          <w:rtl/>
        </w:rPr>
        <w:t xml:space="preserve">۱۵. شیراز؛ علامه طباطبائی؛ شماره نسخه: ۱۲۶۹</w:t>
      </w:r>
    </w:p>
    <w:p>
      <w:pPr>
        <w:pStyle w:val="BookText"/>
      </w:pPr>
      <w:r>
        <w:rPr>
          <w:rFonts w:ascii="IRNazanin" w:hAnsi="IRNazanin" w:eastAsia="IRNazanin" w:cs="IRNazanin"/>
          <w:lang w:bidi="fa-IR"/>
          <w:color w:val="111111"/>
          <w:sz w:val="28"/>
          <w:szCs w:val="28"/>
          <w:rtl/>
        </w:rPr>
        <w:t xml:space="preserve">خط: نستعلیق، بی کا، تا: قرن ۱۰؛ محشی، مصحح؛ تملک: محمد تقى بن محمدرضا منجم؛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[نسخه پژوهی: ۲-۱۱۳]</w:t>
      </w:r>
    </w:p>
    <w:p>
      <w:pPr>
        <w:pStyle w:val="BookText"/>
      </w:pPr>
      <w:r>
        <w:rPr>
          <w:rFonts w:ascii="IRNazanin" w:hAnsi="IRNazanin" w:eastAsia="IRNazanin" w:cs="IRNazanin"/>
          <w:lang w:bidi="fa-IR"/>
          <w:color w:val="111111"/>
          <w:sz w:val="28"/>
          <w:szCs w:val="28"/>
          <w:rtl/>
        </w:rPr>
        <w:t xml:space="preserve">۱۶. تهران؛ مجلس؛ شماره نسخه: ۶۴۰۳/۱</w:t>
      </w:r>
    </w:p>
    <w:p>
      <w:pPr>
        <w:pStyle w:val="BookText"/>
      </w:pPr>
      <w:r>
        <w:rPr>
          <w:rFonts w:ascii="IRNazanin" w:hAnsi="IRNazanin" w:eastAsia="IRNazanin" w:cs="IRNazanin"/>
          <w:lang w:bidi="fa-IR"/>
          <w:color w:val="111111"/>
          <w:sz w:val="28"/>
          <w:szCs w:val="28"/>
          <w:rtl/>
        </w:rPr>
        <w:t xml:space="preserve">خط: نستعلیق، بی کا، تا: قرن ۱۰؛ جلد: مقوا باروکش مشمع قهوه ای وعطف و گوشه چرمی لیمویی و مشکی، ۲۳ سطر، قطع: نیم  خشتی،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۱۹ - ۵۶۴]</w:t>
      </w:r>
    </w:p>
    <w:p>
      <w:pPr>
        <w:pStyle w:val="BookText"/>
      </w:pPr>
      <w:r>
        <w:rPr>
          <w:rFonts w:ascii="IRNazanin" w:hAnsi="IRNazanin" w:eastAsia="IRNazanin" w:cs="IRNazanin"/>
          <w:lang w:bidi="fa-IR"/>
          <w:color w:val="111111"/>
          <w:sz w:val="28"/>
          <w:szCs w:val="28"/>
          <w:rtl/>
        </w:rPr>
        <w:t xml:space="preserve">۱۷. تهران؛ ملی؛ شماره نسخه: ۱۵۷۸۰</w:t>
      </w:r>
    </w:p>
    <w:p>
      <w:pPr>
        <w:pStyle w:val="BookText"/>
      </w:pPr>
      <w:r>
        <w:rPr>
          <w:rFonts w:ascii="IRNazanin" w:hAnsi="IRNazanin" w:eastAsia="IRNazanin" w:cs="IRNazanin"/>
          <w:lang w:bidi="fa-IR"/>
          <w:color w:val="111111"/>
          <w:sz w:val="28"/>
          <w:szCs w:val="28"/>
          <w:rtl/>
        </w:rPr>
        <w:t xml:space="preserve">خط: نسخ، کا: عبدالحميد بن محمد بن سالار عباسی، تا ۹۰۰ق؛  کاغذ: اصفهانی نخودی،جلد: میشن عنابی یک لا مجدول، اندرون جلد آستر کاغذی، ۸۲گ، ۲۷ سطر (11</w:t>
      </w:r>
      <w:r>
        <w:rPr>
          <w:rFonts w:ascii="Times New Roman" w:hAnsi="Times New Roman" w:eastAsia="Times New Roman" w:cs="Times New Roman"/>
          <w:lang w:val="en-US" w:bidi="en-US"/>
          <w:color w:val="111111"/>
          <w:sz w:val="28"/>
          <w:szCs w:val="28"/>
          <w:rtl/>
        </w:rPr>
        <w:t xml:space="preserve">×18/3)</w:t>
      </w:r>
      <w:r>
        <w:rPr>
          <w:rFonts w:ascii="IRNazanin" w:hAnsi="IRNazanin" w:eastAsia="IRNazanin" w:cs="IRNazanin"/>
          <w:lang w:bidi="fa-IR"/>
          <w:color w:val="111111"/>
          <w:sz w:val="28"/>
          <w:szCs w:val="28"/>
          <w:rtl/>
        </w:rPr>
        <w:t xml:space="preserve">، اندازه: ۱۵/۳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۲۲/۵سم [رایانه]</w:t>
      </w:r>
    </w:p>
    <w:p>
      <w:pPr>
        <w:pStyle w:val="BookText"/>
      </w:pPr>
      <w:r>
        <w:rPr>
          <w:rFonts w:ascii="IRNazanin" w:hAnsi="IRNazanin" w:eastAsia="IRNazanin" w:cs="IRNazanin"/>
          <w:lang w:bidi="fa-IR"/>
          <w:color w:val="111111"/>
          <w:sz w:val="28"/>
          <w:szCs w:val="28"/>
          <w:rtl/>
        </w:rPr>
        <w:t xml:space="preserve">۱۸. قم؛ مرعشی؛ شماره نسخه: ۷۱۰۴</w:t>
      </w:r>
    </w:p>
    <w:p>
      <w:pPr>
        <w:pStyle w:val="BookText"/>
      </w:pPr>
      <w:r>
        <w:rPr>
          <w:rFonts w:ascii="IRNazanin" w:hAnsi="IRNazanin" w:eastAsia="IRNazanin" w:cs="IRNazanin"/>
          <w:lang w:bidi="fa-IR"/>
          <w:color w:val="111111"/>
          <w:sz w:val="28"/>
          <w:szCs w:val="28"/>
          <w:rtl/>
        </w:rPr>
        <w:t xml:space="preserve">انجام: در خواطر بود این کتاب هفت شجره بود ششم او بطالع</w:t>
      </w:r>
    </w:p>
    <w:p>
      <w:pPr>
        <w:pStyle w:val="BookText"/>
      </w:pPr>
      <w:r>
        <w:rPr>
          <w:rFonts w:ascii="IRNazanin" w:hAnsi="IRNazanin" w:eastAsia="IRNazanin" w:cs="IRNazanin"/>
          <w:lang w:bidi="fa-IR"/>
          <w:color w:val="111111"/>
          <w:sz w:val="28"/>
          <w:szCs w:val="28"/>
          <w:rtl/>
        </w:rPr>
        <w:t xml:space="preserve">خط: نستعلیق، بی کا، تا: قرن ۱۰؛ افتادگی: انجام؛ مصحح؛ تملک: محمد تقی بن محمد رضا  رازی، محمد القمی به تاریخ ۱۱۳۶؛ جلد: تیماج مشکی ۱۹۵گ، ۱۴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۱۸  - 257]</w:t>
      </w:r>
    </w:p>
    <w:p>
      <w:pPr>
        <w:pStyle w:val="BookText"/>
      </w:pPr>
      <w:r>
        <w:rPr>
          <w:rFonts w:ascii="IRNazanin" w:hAnsi="IRNazanin" w:eastAsia="IRNazanin" w:cs="IRNazanin"/>
          <w:lang w:bidi="fa-IR"/>
          <w:color w:val="111111"/>
          <w:sz w:val="28"/>
          <w:szCs w:val="28"/>
          <w:rtl/>
        </w:rPr>
        <w:t xml:space="preserve">۱۹. قم؛ مرعشی؛ شماره نسخه: ۷۴۳۹/۱</w:t>
      </w:r>
    </w:p>
    <w:p>
      <w:pPr>
        <w:pStyle w:val="BookText"/>
      </w:pPr>
      <w:r>
        <w:rPr>
          <w:rFonts w:ascii="IRNazanin" w:hAnsi="IRNazanin" w:eastAsia="IRNazanin" w:cs="IRNazanin"/>
          <w:lang w:bidi="fa-IR"/>
          <w:color w:val="111111"/>
          <w:sz w:val="28"/>
          <w:szCs w:val="28"/>
          <w:rtl/>
        </w:rPr>
        <w:t xml:space="preserve">خط: نسخ، بی کا، تا: قرن ۱۰؛ مجدول به زر و مشکی؛ جلد: تیماج ،قهوه ای، ۲۰۳گ( ۱پ-۲۰۳ ر)، ۱۵سطر،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۲۶سم [ف:  19- 245]</w:t>
      </w:r>
    </w:p>
    <w:p>
      <w:pPr>
        <w:pStyle w:val="BookText"/>
      </w:pPr>
      <w:r>
        <w:rPr>
          <w:rFonts w:ascii="IRNazanin" w:hAnsi="IRNazanin" w:eastAsia="IRNazanin" w:cs="IRNazanin"/>
          <w:lang w:bidi="fa-IR"/>
          <w:color w:val="111111"/>
          <w:sz w:val="28"/>
          <w:szCs w:val="28"/>
          <w:rtl/>
        </w:rPr>
        <w:t xml:space="preserve">20.تهران؛ دانشگاه؛ شماره نسخه: ۵۱۳۱</w:t>
      </w:r>
    </w:p>
    <w:p>
      <w:pPr>
        <w:pStyle w:val="BookText"/>
      </w:pPr>
      <w:r>
        <w:rPr>
          <w:rFonts w:ascii="IRNazanin" w:hAnsi="IRNazanin" w:eastAsia="IRNazanin" w:cs="IRNazanin"/>
          <w:lang w:bidi="fa-IR"/>
          <w:color w:val="111111"/>
          <w:sz w:val="28"/>
          <w:szCs w:val="28"/>
          <w:rtl/>
        </w:rPr>
        <w:t xml:space="preserve">خط: نسخ، بی کا، تا: قرن ۹ ۱۰؛ افتادگی: انجام؛ کاغذ: سمرقندی، جلد: تیماج مشکی  مقوایی، ۷۶گ، ۲۸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 قطع: وزیری، اندازه: ۱۶/۵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۲۶/۵سم [ف: ۱۵ – ۴۱۲۱]</w:t>
      </w:r>
    </w:p>
    <w:p>
      <w:pPr>
        <w:pStyle w:val="BookText"/>
      </w:pPr>
      <w:r>
        <w:rPr>
          <w:rFonts w:ascii="IRNazanin" w:hAnsi="IRNazanin" w:eastAsia="IRNazanin" w:cs="IRNazanin"/>
          <w:lang w:bidi="fa-IR"/>
          <w:color w:val="111111"/>
          <w:sz w:val="28"/>
          <w:szCs w:val="28"/>
          <w:rtl/>
        </w:rPr>
        <w:t xml:space="preserve">۲۱. تهران؛ ملک؛ شماره نسخه: ۳۱۶۲</w:t>
      </w:r>
    </w:p>
    <w:p>
      <w:pPr>
        <w:pStyle w:val="BookText"/>
      </w:pPr>
      <w:r>
        <w:rPr>
          <w:rFonts w:ascii="IRNazanin" w:hAnsi="IRNazanin" w:eastAsia="IRNazanin" w:cs="IRNazanin"/>
          <w:lang w:bidi="fa-IR"/>
          <w:color w:val="111111"/>
          <w:sz w:val="28"/>
          <w:szCs w:val="28"/>
          <w:rtl/>
        </w:rPr>
        <w:t xml:space="preserve">خط: نستعلیق، بی کا، تا: قرن ۱۰؛ کاغذ: کاغذ ترمه، جلد: میشن يشمى ضربی لبه دار، ۱۳۲گ، ۲۱ سطر، اندازه: ۲۱/۳۱۳/۸سم [ ف: ۲ - ۲۸]</w:t>
      </w:r>
    </w:p>
    <w:p>
      <w:pPr>
        <w:pStyle w:val="BookText"/>
      </w:pPr>
      <w:r>
        <w:rPr>
          <w:rFonts w:ascii="IRNazanin" w:hAnsi="IRNazanin" w:eastAsia="IRNazanin" w:cs="IRNazanin"/>
          <w:lang w:bidi="fa-IR"/>
          <w:color w:val="111111"/>
          <w:sz w:val="28"/>
          <w:szCs w:val="28"/>
          <w:rtl/>
        </w:rPr>
        <w:t xml:space="preserve">۲۲. تهران؛ مجلس؛ شماره نسخه: ۴۹۸/۱</w:t>
      </w:r>
    </w:p>
    <w:p>
      <w:pPr>
        <w:pStyle w:val="BookText"/>
      </w:pPr>
      <w:r>
        <w:rPr>
          <w:rFonts w:ascii="IRNazanin" w:hAnsi="IRNazanin" w:eastAsia="IRNazanin" w:cs="IRNazanin"/>
          <w:lang w:bidi="fa-IR"/>
          <w:color w:val="111111"/>
          <w:sz w:val="28"/>
          <w:szCs w:val="28"/>
          <w:rtl/>
        </w:rPr>
        <w:t xml:space="preserve">خط: نسخ، بی کا، تا: قرن ۱۰؛ افتادگی: آغاز و انجام؛ کاغذ: سفید ،جلد: تیماج مشکی ضربی مقوایی، ۲۹۶ ص (۱-۲۹۶)، ۱۸ سطر (7</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اندازه:۱۲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[سنا - ف: ۱ - ۲۹۰]</w:t>
      </w:r>
    </w:p>
    <w:p>
      <w:pPr>
        <w:pStyle w:val="BookText"/>
      </w:pPr>
      <w:r>
        <w:rPr>
          <w:rFonts w:ascii="IRNazanin" w:hAnsi="IRNazanin" w:eastAsia="IRNazanin" w:cs="IRNazanin"/>
          <w:lang w:bidi="fa-IR"/>
          <w:color w:val="111111"/>
          <w:sz w:val="28"/>
          <w:szCs w:val="28"/>
          <w:rtl/>
        </w:rPr>
        <w:t xml:space="preserve">۲۳. قم؛ مرعشی؛ شماره نسخه: ۱۰۴۴۵</w:t>
      </w:r>
    </w:p>
    <w:p>
      <w:pPr>
        <w:pStyle w:val="BookText"/>
      </w:pPr>
      <w:r>
        <w:rPr>
          <w:rFonts w:ascii="IRNazanin" w:hAnsi="IRNazanin" w:eastAsia="IRNazanin" w:cs="IRNazanin"/>
          <w:lang w:bidi="fa-IR"/>
          <w:color w:val="111111"/>
          <w:sz w:val="28"/>
          <w:szCs w:val="28"/>
          <w:rtl/>
        </w:rPr>
        <w:t xml:space="preserve">خط: نسخ، بی کا، تا:نزدیک عصر مؤلف، چهار برگ اول از قرن ۱۳ و برگ هایی از اواسط و اواخر گویا از قرن ۱۰؛ جلد: تیماج مشکی بدون مقوا، ۷۸گ، مختلف السطر،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۲۶ - ۳۶۴]</w:t>
      </w:r>
    </w:p>
    <w:p>
      <w:pPr>
        <w:pStyle w:val="BookText"/>
      </w:pPr>
      <w:r>
        <w:rPr>
          <w:rFonts w:ascii="IRNazanin" w:hAnsi="IRNazanin" w:eastAsia="IRNazanin" w:cs="IRNazanin"/>
          <w:lang w:bidi="fa-IR"/>
          <w:color w:val="111111"/>
          <w:sz w:val="28"/>
          <w:szCs w:val="28"/>
          <w:rtl/>
        </w:rPr>
        <w:t xml:space="preserve">۲۴. قم؛ مرعشی؛ شماره نسخه: ۹۵۳۸</w:t>
      </w:r>
    </w:p>
    <w:p>
      <w:pPr>
        <w:pStyle w:val="BookText"/>
      </w:pPr>
      <w:r>
        <w:rPr>
          <w:rFonts w:ascii="IRNazanin" w:hAnsi="IRNazanin" w:eastAsia="IRNazanin" w:cs="IRNazanin"/>
          <w:lang w:bidi="fa-IR"/>
          <w:color w:val="111111"/>
          <w:sz w:val="28"/>
          <w:szCs w:val="28"/>
          <w:rtl/>
        </w:rPr>
        <w:t xml:space="preserve">خط: نستعلیق، کا: محمود، تا: یک شنبه ۱۱ محرم ۹۹۶ق؛ مهر: «محمد صادق بن محمد طاهر حسینی» (مربع)، «علی اکبر الحسینی» (بیضی) ؛جلد: تیماج  قرمز، ۸۶گ، مختلف السطر،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۲۴ - ۲۸۶]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25.مشهد؛ رضوی؛ شماره نسخه:5423</w:t>
      </w:r>
    </w:p>
    <w:p>
      <w:pPr>
        <w:pStyle w:val="BookText"/>
      </w:pPr>
      <w:r>
        <w:rPr>
          <w:rFonts w:ascii="IRNazanin" w:hAnsi="IRNazanin" w:eastAsia="IRNazanin" w:cs="IRNazanin"/>
          <w:lang w:bidi="fa-IR"/>
          <w:color w:val="111111"/>
          <w:sz w:val="28"/>
          <w:szCs w:val="28"/>
          <w:rtl/>
        </w:rPr>
        <w:t xml:space="preserve">آغاز: برابر؛ انجام: و از خدای تعالی توفیق خواست بساختن او</w:t>
      </w:r>
    </w:p>
    <w:p>
      <w:pPr>
        <w:pStyle w:val="BookText"/>
      </w:pPr>
      <w:r>
        <w:rPr>
          <w:rFonts w:ascii="IRNazanin" w:hAnsi="IRNazanin" w:eastAsia="IRNazanin" w:cs="IRNazanin"/>
          <w:lang w:bidi="fa-IR"/>
          <w:color w:val="111111"/>
          <w:sz w:val="28"/>
          <w:szCs w:val="28"/>
          <w:rtl/>
        </w:rPr>
        <w:t xml:space="preserve">خط: نستعلیق تحریری، بی کا، تا: قرن ۱۱؛ واقف: حاج عـماد فهرستی؛ کاغذ: نخودی، جلد: تیماج مشکی یک لا، ۱۶۲گ، 20سطر (۷/۵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۲۱/۷سم [ف: ۸ - ۳۶]</w:t>
      </w:r>
    </w:p>
    <w:p>
      <w:pPr>
        <w:pStyle w:val="BookText"/>
      </w:pPr>
      <w:r>
        <w:rPr>
          <w:rFonts w:ascii="IRNazanin" w:hAnsi="IRNazanin" w:eastAsia="IRNazanin" w:cs="IRNazanin"/>
          <w:lang w:bidi="fa-IR"/>
          <w:color w:val="111111"/>
          <w:sz w:val="28"/>
          <w:szCs w:val="28"/>
          <w:rtl/>
        </w:rPr>
        <w:t xml:space="preserve">۲۶. مشهد؛ رضوی؛ شماره نسخه: ۵۴۲۴</w:t>
      </w:r>
    </w:p>
    <w:p>
      <w:pPr>
        <w:pStyle w:val="BookText"/>
      </w:pPr>
      <w:r>
        <w:rPr>
          <w:rFonts w:ascii="IRNazanin" w:hAnsi="IRNazanin" w:eastAsia="IRNazanin" w:cs="IRNazanin"/>
          <w:lang w:bidi="fa-IR"/>
          <w:color w:val="111111"/>
          <w:sz w:val="28"/>
          <w:szCs w:val="28"/>
          <w:rtl/>
        </w:rPr>
        <w:t xml:space="preserve">آغاز : برابر؛ انجام: توفیق خواست در اتمام آن و الله ولي التوفيق</w:t>
      </w:r>
    </w:p>
    <w:p>
      <w:pPr>
        <w:pStyle w:val="BookText"/>
      </w:pPr>
      <w:r>
        <w:rPr>
          <w:rFonts w:ascii="IRNazanin" w:hAnsi="IRNazanin" w:eastAsia="IRNazanin" w:cs="IRNazanin"/>
          <w:lang w:bidi="fa-IR"/>
          <w:color w:val="111111"/>
          <w:sz w:val="28"/>
          <w:szCs w:val="28"/>
          <w:rtl/>
        </w:rPr>
        <w:t xml:space="preserve">خط: نستعلیق، بی کا، تا: قرن ۱۱؛ واقف: نایینی؛ کاغذ: حنایی آهار مهره، جلد: تیماج ،مشکی، ۱۳۰گ، ۲۱ سطر (7</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١٣/٣</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۲۲/۳سم [ف: ۸ - ۳۷]</w:t>
      </w:r>
    </w:p>
    <w:p>
      <w:pPr>
        <w:pStyle w:val="BookText"/>
      </w:pPr>
      <w:r>
        <w:rPr>
          <w:rFonts w:ascii="IRNazanin" w:hAnsi="IRNazanin" w:eastAsia="IRNazanin" w:cs="IRNazanin"/>
          <w:lang w:bidi="fa-IR"/>
          <w:color w:val="111111"/>
          <w:sz w:val="28"/>
          <w:szCs w:val="28"/>
          <w:rtl/>
        </w:rPr>
        <w:t xml:space="preserve">۲۷. مشهد؛ رضوی؛ شماره نسخه ۵۲۳۰</w:t>
      </w:r>
    </w:p>
    <w:p>
      <w:pPr>
        <w:pStyle w:val="BookText"/>
      </w:pPr>
      <w:r>
        <w:rPr>
          <w:rFonts w:ascii="IRNazanin" w:hAnsi="IRNazanin" w:eastAsia="IRNazanin" w:cs="IRNazanin"/>
          <w:lang w:bidi="fa-IR"/>
          <w:color w:val="111111"/>
          <w:sz w:val="28"/>
          <w:szCs w:val="28"/>
          <w:rtl/>
        </w:rPr>
        <w:t xml:space="preserve">خط: نستعلیق، بی کا، تا: قرن ۱۱؛ واقف: تاجماه  بیگم، شعـبان ۱۲۶۲؛ کاغذ: سمرقندی آهار مهره، جلد: تیماج  جگری،۱۹۹گ، ۱۹ سطر (۸/۷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اندازه: ۱۳</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۲۳سم [ف: ۸ - ۳۷]</w:t>
      </w:r>
    </w:p>
    <w:p>
      <w:pPr>
        <w:pStyle w:val="BookText"/>
      </w:pPr>
      <w:r>
        <w:rPr>
          <w:rFonts w:ascii="IRNazanin" w:hAnsi="IRNazanin" w:eastAsia="IRNazanin" w:cs="IRNazanin"/>
          <w:lang w:bidi="fa-IR"/>
          <w:color w:val="111111"/>
          <w:sz w:val="28"/>
          <w:szCs w:val="28"/>
          <w:rtl/>
        </w:rPr>
        <w:t xml:space="preserve">۲۸. مشهد؛ رضوی؛ شماره نسخه: ۱۱۴۴۸</w:t>
      </w:r>
    </w:p>
    <w:p>
      <w:pPr>
        <w:pStyle w:val="BookText"/>
      </w:pPr>
      <w:r>
        <w:rPr>
          <w:rFonts w:ascii="IRNazanin" w:hAnsi="IRNazanin" w:eastAsia="IRNazanin" w:cs="IRNazanin"/>
          <w:lang w:bidi="fa-IR"/>
          <w:color w:val="111111"/>
          <w:sz w:val="28"/>
          <w:szCs w:val="28"/>
          <w:rtl/>
        </w:rPr>
        <w:t xml:space="preserve">آغاز: شهادت پنج بود؛ انجام: تعدیل حاصل آید اگر فصل.</w:t>
      </w:r>
    </w:p>
    <w:p>
      <w:pPr>
        <w:pStyle w:val="BookText"/>
      </w:pPr>
      <w:r>
        <w:rPr>
          <w:rFonts w:ascii="IRNazanin" w:hAnsi="IRNazanin" w:eastAsia="IRNazanin" w:cs="IRNazanin"/>
          <w:lang w:bidi="fa-IR"/>
          <w:color w:val="111111"/>
          <w:sz w:val="28"/>
          <w:szCs w:val="28"/>
          <w:rtl/>
        </w:rPr>
        <w:t xml:space="preserve">خط: نستعلیق، بی کا، تا: قرن ۱۱؛ افتادگی: آغاز و انجام؛ واقف: شیخ محمد صالح علامه حایری؛ کاغذ: آهاری نخودی، ۲۱۵گ، ۱۴ سطر، اندازه: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۱۸ - ۱۵]</w:t>
      </w:r>
    </w:p>
    <w:p>
      <w:pPr>
        <w:pStyle w:val="BookText"/>
      </w:pPr>
      <w:r>
        <w:rPr>
          <w:rFonts w:ascii="Amiri" w:hAnsi="Amiri" w:eastAsia="Amiri" w:cs="Amiri"/>
          <w:lang w:bidi="ar-SA"/>
          <w:color w:val="111111"/>
          <w:sz w:val="28"/>
          <w:szCs w:val="28"/>
          <w:rtl/>
        </w:rPr>
        <w:t xml:space="preserve">۲۹ . تهران؛ دائرة المعارف؛ شماره نسخه: ۴۷۸</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تحریری، بی کا، تا: قرن ۱۱ ؛ در صفحه عنوان تاریخ زایش الله قلی میرزا (ایلخانی) رجب ۱۲۳۹ و نواب سیف الملوک میرزا (پسرفتحعلی شاه) ۱۹ رمضان ۱۲۴۳ آمده که نشان می دهد نسخه در خاندان آنان بوده است در پایان مقاله ای در بـنیاد رصدخانه مراغه در ۶۵۷ق آورده شده؛ کاغذ: نخودی، جـلد: تيماج مشكى ،مجدول، ۱۷۹گ، ۱۴ سطر (۹/۵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۱۹/۵سم [ف: ۱ - ۱۹]</w:t>
      </w:r>
    </w:p>
    <w:p>
      <w:pPr>
        <w:pStyle w:val="BookText"/>
      </w:pPr>
      <w:r>
        <w:rPr>
          <w:rFonts w:ascii="IRNazanin" w:hAnsi="IRNazanin" w:eastAsia="IRNazanin" w:cs="IRNazanin"/>
          <w:lang w:bidi="fa-IR"/>
          <w:color w:val="111111"/>
          <w:sz w:val="28"/>
          <w:szCs w:val="28"/>
          <w:rtl/>
        </w:rPr>
        <w:t xml:space="preserve">۳۰. تهران؛ مجلس؛ شماره نسخه: ۴۲۵ ط</w:t>
      </w:r>
    </w:p>
    <w:p>
      <w:pPr>
        <w:pStyle w:val="BookText"/>
      </w:pPr>
      <w:r>
        <w:rPr>
          <w:rFonts w:ascii="IRNazanin" w:hAnsi="IRNazanin" w:eastAsia="IRNazanin" w:cs="IRNazanin"/>
          <w:lang w:bidi="fa-IR"/>
          <w:color w:val="111111"/>
          <w:sz w:val="28"/>
          <w:szCs w:val="28"/>
          <w:rtl/>
        </w:rPr>
        <w:t xml:space="preserve">خط: نستعلیق، بی کا، تا: قرن ۱۱ [ مختصر - ف: - ۵۷]</w:t>
      </w:r>
    </w:p>
    <w:p>
      <w:pPr>
        <w:pStyle w:val="BookText"/>
      </w:pPr>
      <w:r>
        <w:rPr>
          <w:rFonts w:ascii="IRNazanin" w:hAnsi="IRNazanin" w:eastAsia="IRNazanin" w:cs="IRNazanin"/>
          <w:lang w:bidi="fa-IR"/>
          <w:color w:val="111111"/>
          <w:sz w:val="28"/>
          <w:szCs w:val="28"/>
          <w:rtl/>
        </w:rPr>
        <w:t xml:space="preserve">۳۱. تهران؛ ملک؛ شماره نسخه: ۳۴۱۴</w:t>
      </w:r>
    </w:p>
    <w:p>
      <w:pPr>
        <w:pStyle w:val="BookText"/>
      </w:pPr>
      <w:r>
        <w:rPr>
          <w:rFonts w:ascii="IRNazanin" w:hAnsi="IRNazanin" w:eastAsia="IRNazanin" w:cs="IRNazanin"/>
          <w:lang w:bidi="fa-IR"/>
          <w:color w:val="111111"/>
          <w:sz w:val="28"/>
          <w:szCs w:val="28"/>
          <w:rtl/>
        </w:rPr>
        <w:t xml:space="preserve">خط: نستعلیق، بی کا، تا: قرن ۱۱؛ سه ورق از اول و آخر نونویس و ۷۴ ورق هم مجدول؛ كاغذ: کاغذ ترمه، جلد: میشن سـیاه، ۱۶۷ گ، ۱۷ سطر، اندازه: ۱۵/۹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۲ - ۲۹]</w:t>
      </w:r>
    </w:p>
    <w:p>
      <w:pPr>
        <w:pStyle w:val="BookText"/>
      </w:pPr>
      <w:r>
        <w:rPr>
          <w:rFonts w:ascii="IRNazanin" w:hAnsi="IRNazanin" w:eastAsia="IRNazanin" w:cs="IRNazanin"/>
          <w:lang w:bidi="fa-IR"/>
          <w:color w:val="111111"/>
          <w:sz w:val="28"/>
          <w:szCs w:val="28"/>
          <w:rtl/>
        </w:rPr>
        <w:t xml:space="preserve">۳۲. تهران؛ سپهسالار؛ شماره نسخه: ۶۵۵</w:t>
      </w:r>
    </w:p>
    <w:p>
      <w:pPr>
        <w:pStyle w:val="BookText"/>
      </w:pPr>
      <w:r>
        <w:rPr>
          <w:rFonts w:ascii="IRNazanin" w:hAnsi="IRNazanin" w:eastAsia="IRNazanin" w:cs="IRNazanin"/>
          <w:lang w:bidi="fa-IR"/>
          <w:color w:val="111111"/>
          <w:sz w:val="28"/>
          <w:szCs w:val="28"/>
          <w:rtl/>
        </w:rPr>
        <w:t xml:space="preserve">خط: نسخ،بی کا، تا: قرن ۱۱؛ کاغذ: سپاهانی، جلد: تیماج مشکی ساده  مقوایی، ۱۴۰گ، ۲۲ سطر،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۳ - 137]</w:t>
      </w:r>
    </w:p>
    <w:p>
      <w:pPr>
        <w:pStyle w:val="BookText"/>
      </w:pPr>
      <w:r>
        <w:rPr>
          <w:rFonts w:ascii="IRNazanin" w:hAnsi="IRNazanin" w:eastAsia="IRNazanin" w:cs="IRNazanin"/>
          <w:lang w:bidi="fa-IR"/>
          <w:color w:val="111111"/>
          <w:sz w:val="28"/>
          <w:szCs w:val="28"/>
          <w:rtl/>
        </w:rPr>
        <w:t xml:space="preserve">۳۳. تهران؛ سپهسالار؛ شماره نسخه: ۶۵۶</w:t>
      </w:r>
    </w:p>
    <w:p>
      <w:pPr>
        <w:pStyle w:val="BookText"/>
      </w:pPr>
      <w:r>
        <w:rPr>
          <w:rFonts w:ascii="IRNazanin" w:hAnsi="IRNazanin" w:eastAsia="IRNazanin" w:cs="IRNazanin"/>
          <w:lang w:bidi="fa-IR"/>
          <w:color w:val="111111"/>
          <w:sz w:val="28"/>
          <w:szCs w:val="28"/>
          <w:rtl/>
        </w:rPr>
        <w:t xml:space="preserve">خط: نستعلیق درشت ،خط: بی کا، تا: قرن ۱۱؛ افتادگی: آغاز انجام؛ کاغذ: سپاهانی، جلد: تیماج سبز مقوایی، ۱۷۸گ،  17سطر،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۳ - ۱۳۷]</w:t>
      </w:r>
    </w:p>
    <w:p>
      <w:pPr>
        <w:pStyle w:val="BookText"/>
      </w:pPr>
      <w:r>
        <w:rPr>
          <w:rFonts w:ascii="IRNazanin" w:hAnsi="IRNazanin" w:eastAsia="IRNazanin" w:cs="IRNazanin"/>
          <w:lang w:bidi="fa-IR"/>
          <w:color w:val="111111"/>
          <w:sz w:val="28"/>
          <w:szCs w:val="28"/>
          <w:rtl/>
        </w:rPr>
        <w:t xml:space="preserve">۳۴. مشهد؛ الهیات شماره نسخه: ۳۸۴/۱</w:t>
      </w:r>
    </w:p>
    <w:p>
      <w:pPr>
        <w:pStyle w:val="BookText"/>
      </w:pPr>
      <w:r>
        <w:rPr>
          <w:rFonts w:ascii="IRNazanin" w:hAnsi="IRNazanin" w:eastAsia="IRNazanin" w:cs="IRNazanin"/>
          <w:lang w:bidi="fa-IR"/>
          <w:color w:val="111111"/>
          <w:sz w:val="28"/>
          <w:szCs w:val="28"/>
          <w:rtl/>
        </w:rPr>
        <w:t xml:space="preserve">خط: نستعلیق، بی کا، تا: قرن ۱۱؛ افتادگی: آغاز؛ جلد: تیماج  مشکی، ۱۸ سطر (7</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۱- ۳۷۱]</w:t>
      </w:r>
    </w:p>
    <w:p>
      <w:pPr>
        <w:pStyle w:val="BookText"/>
      </w:pPr>
      <w:r>
        <w:rPr>
          <w:rFonts w:ascii="IRNazanin" w:hAnsi="IRNazanin" w:eastAsia="IRNazanin" w:cs="IRNazanin"/>
          <w:lang w:bidi="fa-IR"/>
          <w:color w:val="111111"/>
          <w:sz w:val="28"/>
          <w:szCs w:val="28"/>
          <w:rtl/>
        </w:rPr>
        <w:t xml:space="preserve">۳۵. تهران؛ مجلس؛ شماره نسخه: ۴۲۵-ط</w:t>
      </w:r>
    </w:p>
    <w:p>
      <w:pPr>
        <w:pStyle w:val="BookText"/>
      </w:pPr>
      <w:r>
        <w:rPr>
          <w:rFonts w:ascii="IRNazanin" w:hAnsi="IRNazanin" w:eastAsia="IRNazanin" w:cs="IRNazanin"/>
          <w:lang w:bidi="fa-IR"/>
          <w:color w:val="111111"/>
          <w:sz w:val="28"/>
          <w:szCs w:val="28"/>
          <w:rtl/>
        </w:rPr>
        <w:t xml:space="preserve">آغاز: برابر؛ انجام: اگر چه خود را در حدود مصنفان نداشت نشانه ساخت و از حق تعالی توفیق خواست در اتمام این هذا آخر ما حررنا و تيسرنا و الحمدلله تعالى على افتتاحه اختتامه و الصلوة و السلام على محمد و آله</w:t>
      </w:r>
    </w:p>
    <w:p>
      <w:pPr>
        <w:pStyle w:val="BookText"/>
      </w:pPr>
      <w:r>
        <w:rPr>
          <w:rFonts w:ascii="IRNazanin" w:hAnsi="IRNazanin" w:eastAsia="IRNazanin" w:cs="IRNazanin"/>
          <w:lang w:bidi="fa-IR"/>
          <w:color w:val="111111"/>
          <w:sz w:val="28"/>
          <w:szCs w:val="28"/>
          <w:rtl/>
        </w:rPr>
        <w:t xml:space="preserve">خط: نستعلیق، بی کا، تا: قرن ۱۱؛ صفحه ۱ مشتمل بر جدول حدود مصریان، صفحه ۲ مشتمل بر جدول احوالات بروج دوازده گانه، صفحه ۳ و ۴ مشتمل بر جدول منسوبات بروج دوازده گانه و مزاج  صفحه، شماره ۵ مشتمل بر یک نقشه فلکی، صفحه ۳۵۳. طلسم هفتاندر هفت جهت ظفر بر دشمن [و] قلاع، مجرب، صفحات ۳۵۳ و ۳۵۵ مشتمل بر جداول طالع، وقایع مشهور و مشاهیر تاریخ قدیم چون نوح (علیه السّلام) و فریدون و ضحاک و قارون موسی (علیه السّلام)، صفحه شماره ۳۵۸ یک نسخه کیمیایی؛ کاغذ: اصفهانی، جلد: تیماج حنایی ۱۸۲گ (با الحاقات)، ۱۷ سطر،</w:t>
      </w:r>
    </w:p>
    <w:p>
      <w:pPr>
        <w:pStyle w:val="BookText"/>
      </w:pPr>
      <w:r>
        <w:rPr>
          <w:rFonts w:ascii="IRNazanin" w:hAnsi="IRNazanin" w:eastAsia="IRNazanin" w:cs="IRNazanin"/>
          <w:lang w:bidi="fa-IR"/>
          <w:color w:val="111111"/>
          <w:sz w:val="28"/>
          <w:szCs w:val="28"/>
          <w:rtl/>
        </w:rPr>
        <w:t xml:space="preserve">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۲۴ - ۲۸۲]</w:t>
      </w:r>
    </w:p>
    <w:p>
      <w:pPr>
        <w:pStyle w:val="BookText"/>
      </w:pPr>
      <w:r>
        <w:rPr>
          <w:rFonts w:ascii="IRNazanin" w:hAnsi="IRNazanin" w:eastAsia="IRNazanin" w:cs="IRNazanin"/>
          <w:lang w:bidi="fa-IR"/>
          <w:color w:val="111111"/>
          <w:sz w:val="28"/>
          <w:szCs w:val="28"/>
          <w:rtl/>
        </w:rPr>
        <w:t xml:space="preserve">۳۶. مشهد؛ رضوی؛ شماره نسخه: ۱۶۰۴۸</w:t>
      </w:r>
    </w:p>
    <w:p>
      <w:pPr>
        <w:pStyle w:val="BookText"/>
      </w:pPr>
      <w:r>
        <w:rPr>
          <w:rFonts w:ascii="IRNazanin" w:hAnsi="IRNazanin" w:eastAsia="IRNazanin" w:cs="IRNazanin"/>
          <w:lang w:bidi="fa-IR"/>
          <w:color w:val="111111"/>
          <w:sz w:val="28"/>
          <w:szCs w:val="28"/>
          <w:rtl/>
        </w:rPr>
        <w:t xml:space="preserve">آغاز: برابر؛ انجام: و اگرچه این بنده خود را در صدد مصنفا ندانست نشانه ساخت و از حق تعالی توفیق خواست و الله ولی التوفيق و هو حسبنا ونعم الوكيل (كذ).</w:t>
      </w:r>
    </w:p>
    <w:p>
      <w:pPr>
        <w:pStyle w:val="BookText"/>
      </w:pPr>
      <w:r>
        <w:rPr>
          <w:rFonts w:ascii="IRNazanin" w:hAnsi="IRNazanin" w:eastAsia="IRNazanin" w:cs="IRNazanin"/>
          <w:lang w:bidi="fa-IR"/>
          <w:color w:val="111111"/>
          <w:sz w:val="28"/>
          <w:szCs w:val="28"/>
          <w:rtl/>
        </w:rPr>
        <w:t xml:space="preserve">خط: نستعلیق، بی کا، بی تا؛ بخش آخر نسخه کسرنویسی شده در ماه شوال ۱۰۱۰ ؛ واگذاری بنیاد مستضعفان در شهریور ۱۳۶۷؛ کاغذ: حنایی و فستقی، جلد: تیماج سرخ، ۱۸۵گ، ۱۷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۲۴/۳سم [ف : ۱۸ - ۱۵]</w:t>
      </w:r>
    </w:p>
    <w:p>
      <w:pPr>
        <w:pStyle w:val="BookText"/>
      </w:pPr>
      <w:r>
        <w:rPr>
          <w:rFonts w:ascii="IRNazanin" w:hAnsi="IRNazanin" w:eastAsia="IRNazanin" w:cs="IRNazanin"/>
          <w:lang w:bidi="fa-IR"/>
          <w:color w:val="111111"/>
          <w:sz w:val="28"/>
          <w:szCs w:val="28"/>
          <w:rtl/>
        </w:rPr>
        <w:t xml:space="preserve">۳۷ . قم؛ مسجد اعظم؛ شماره نسخه: ۲۶۴۴</w:t>
      </w:r>
    </w:p>
    <w:p>
      <w:pPr>
        <w:pStyle w:val="BookText"/>
      </w:pPr>
      <w:r>
        <w:rPr>
          <w:rFonts w:ascii="IRNazanin" w:hAnsi="IRNazanin" w:eastAsia="IRNazanin" w:cs="IRNazanin"/>
          <w:lang w:bidi="fa-IR"/>
          <w:color w:val="111111"/>
          <w:sz w:val="28"/>
          <w:szCs w:val="28"/>
          <w:rtl/>
        </w:rPr>
        <w:t xml:space="preserve">آغاز: فصل هر شی نیست که هستی همه موجودات از واجب الوجود است لذاته تعالى و تقدس و وجود هر چیزی؛ انجام: و در عبارت سهل آورد و در شرح تطویل کرد و آنچه دورتر بود ترک آن واجب دید و اکرم خود را در سدد مصنفان ندانست نشانه ساخت و از حق تعالی توفیق خواست در اتمام آن و الله ولی  التوفيق</w:t>
      </w:r>
    </w:p>
    <w:p>
      <w:pPr>
        <w:pStyle w:val="BookText"/>
      </w:pPr>
      <w:r>
        <w:rPr>
          <w:rFonts w:ascii="IRNazanin" w:hAnsi="IRNazanin" w:eastAsia="IRNazanin" w:cs="IRNazanin"/>
          <w:lang w:bidi="fa-IR"/>
          <w:color w:val="111111"/>
          <w:sz w:val="28"/>
          <w:szCs w:val="28"/>
          <w:rtl/>
        </w:rPr>
        <w:t xml:space="preserve">خط: نسخ، كا: احمد بن على فتح الله، تا: ۱۶ صفر ۱۰۱۶ق؛  افتادگی: آغاز (یکی دو برگ) ؛جلد: تیماج قهوه ای روغنی، ۱۴۹گ، ۱۹ سطر،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مخ: ۱ - ۱۵۶]</w:t>
      </w:r>
    </w:p>
    <w:p>
      <w:pPr>
        <w:pStyle w:val="BookText"/>
      </w:pPr>
      <w:r>
        <w:rPr>
          <w:rFonts w:ascii="IRNazanin" w:hAnsi="IRNazanin" w:eastAsia="IRNazanin" w:cs="IRNazanin"/>
          <w:lang w:bidi="fa-IR"/>
          <w:color w:val="111111"/>
          <w:sz w:val="28"/>
          <w:szCs w:val="28"/>
          <w:rtl/>
        </w:rPr>
        <w:t xml:space="preserve">۳۸. قم؛ مرکز احیاء؛ شماره نسخه: ۳۹۷۲</w:t>
      </w:r>
    </w:p>
    <w:p>
      <w:pPr>
        <w:pStyle w:val="BookText"/>
      </w:pPr>
      <w:r>
        <w:rPr>
          <w:rFonts w:ascii="IRNazanin" w:hAnsi="IRNazanin" w:eastAsia="IRNazanin" w:cs="IRNazanin"/>
          <w:lang w:bidi="fa-IR"/>
          <w:color w:val="111111"/>
          <w:sz w:val="28"/>
          <w:szCs w:val="28"/>
          <w:rtl/>
        </w:rPr>
        <w:t xml:space="preserve">خط: نسخ، كا: عبدالخالق بن حافظ عبدالله برسروری، تا: پنج شنبه ۸جمادى الاول ۱۰۳۰ق، جا: بلده آگره؛ تملک: «میرزا غلامعلی تبریزی» به سال ۱۳۳۳ در تهران، تملکی با مهر «عبده محمد رفیع الحسینی» (بیضی) در اصفهان به سال ۱۱۶۹، تملکی با مهر «ابوالقاسم» (بیضی) در تهران، «فرهاد بن ولیعهد» به سال ۱۳۰۴ ؛جلد: تیماج دو رو لبه دار، رو قهوه ای، پشت  قرمز، ۱۴۹گ، ۱۷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۲۳/۵سم [محدث ارموی مخ: ۱ - ۱۳۶]</w:t>
      </w:r>
    </w:p>
    <w:p>
      <w:pPr>
        <w:pStyle w:val="BookText"/>
      </w:pPr>
      <w:r>
        <w:rPr>
          <w:rFonts w:ascii="IRNazanin" w:hAnsi="IRNazanin" w:eastAsia="IRNazanin" w:cs="IRNazanin"/>
          <w:lang w:bidi="fa-IR"/>
          <w:color w:val="111111"/>
          <w:sz w:val="28"/>
          <w:szCs w:val="28"/>
          <w:rtl/>
        </w:rPr>
        <w:t xml:space="preserve">۳۹. قم؛ مرعشی؛ شماره نسخه: ۷۱۱۹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 نستعلیق، بی کا، تا: رمضان ۱۰۳۵ق؛ مصحح؛ پس از کتـاب فصلی است در قوت و ضعف کواکب که گویا از کتابی جدا شده؛ تملک: میرزا محمد سلماسی با مهر «العبد المذنب ميـرزا محمد» (مربع) و «و مبشراً برسول يأتى من بعدى اسمه احد»؛ جـلد: تیماج قهوه ای، ۱۰۳گ، ۲۳سطر، اندازه: ۱۲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۲۰سم :[ف: 18- 274 ]</w:t>
      </w:r>
    </w:p>
    <w:p>
      <w:pPr>
        <w:pStyle w:val="BookText"/>
      </w:pPr>
      <w:r>
        <w:rPr>
          <w:rFonts w:ascii="IRNazanin" w:hAnsi="IRNazanin" w:eastAsia="IRNazanin" w:cs="IRNazanin"/>
          <w:lang w:bidi="fa-IR"/>
          <w:color w:val="111111"/>
          <w:sz w:val="28"/>
          <w:szCs w:val="28"/>
          <w:rtl/>
        </w:rPr>
        <w:t xml:space="preserve">۴. قم؛ مسجد اعظم؛ شماره نسخه: ۴۲۸/۵</w:t>
      </w:r>
    </w:p>
    <w:p>
      <w:pPr>
        <w:pStyle w:val="BookText"/>
      </w:pPr>
      <w:r>
        <w:rPr>
          <w:rFonts w:ascii="IRNazanin" w:hAnsi="IRNazanin" w:eastAsia="IRNazanin" w:cs="IRNazanin"/>
          <w:lang w:bidi="fa-IR"/>
          <w:color w:val="111111"/>
          <w:sz w:val="28"/>
          <w:szCs w:val="28"/>
          <w:rtl/>
        </w:rPr>
        <w:t xml:space="preserve">آغاز: برابر؛ انجام: و انواع ضمیرها اما بر این ختم کردی حالیا اگر بعد ازین عمر وفا کند آن باقی نیز ساخته گردد و اگر چه این بنده خود را در عدد مصنفان ندانست نشانه ساخت و از حق تعـالی توفیق خواست در اتمام آن</w:t>
      </w:r>
    </w:p>
    <w:p>
      <w:pPr>
        <w:pStyle w:val="BookText"/>
      </w:pPr>
      <w:r>
        <w:rPr>
          <w:rFonts w:ascii="IRNazanin" w:hAnsi="IRNazanin" w:eastAsia="IRNazanin" w:cs="IRNazanin"/>
          <w:lang w:bidi="fa-IR"/>
          <w:color w:val="111111"/>
          <w:sz w:val="28"/>
          <w:szCs w:val="28"/>
          <w:rtl/>
        </w:rPr>
        <w:t xml:space="preserve">خط: نستعليق، كا: محمدمقيم بن صفی الدین محمد شجاعی بن قاسم بن محمود بن شرف الدین سلیمان شریف شیرازی،تا: پنج شنبه ۱۵ ربیع الثانی ۱۰۳۸ق؛ جلد: گالینگور سبز، عطف تیماج زرشکی، ۱۰۲گ،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مخ: ۱ - ۱۵۵]</w:t>
      </w:r>
    </w:p>
    <w:p>
      <w:pPr>
        <w:pStyle w:val="BookText"/>
      </w:pPr>
      <w:r>
        <w:rPr>
          <w:rFonts w:ascii="IRNazanin" w:hAnsi="IRNazanin" w:eastAsia="IRNazanin" w:cs="IRNazanin"/>
          <w:lang w:bidi="fa-IR"/>
          <w:color w:val="111111"/>
          <w:sz w:val="28"/>
          <w:szCs w:val="28"/>
          <w:rtl/>
        </w:rPr>
        <w:t xml:space="preserve">۴۱. تهران؛ ملک؛ شماره نسخه: ۳۴۵۴/۵</w:t>
      </w:r>
    </w:p>
    <w:p>
      <w:pPr>
        <w:pStyle w:val="BookText"/>
      </w:pPr>
      <w:r>
        <w:rPr>
          <w:rFonts w:ascii="IRNazanin" w:hAnsi="IRNazanin" w:eastAsia="IRNazanin" w:cs="IRNazanin"/>
          <w:lang w:bidi="fa-IR"/>
          <w:color w:val="111111"/>
          <w:sz w:val="28"/>
          <w:szCs w:val="28"/>
          <w:rtl/>
        </w:rPr>
        <w:t xml:space="preserve">بندی است از آن با دیباچه آن؛ خط: نستعلیق، بی کا، تا: رجـب ۱۰۵۸ق؛ کاغذ: ترمه ،جلد: رویه میشن یک لا قهوه ای،3گ (۹۱ر - ۹۳ر)، ۱۴ 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۶ - ۴۲۸]</w:t>
      </w:r>
    </w:p>
    <w:p>
      <w:pPr>
        <w:pStyle w:val="BookText"/>
      </w:pPr>
      <w:r>
        <w:rPr>
          <w:rFonts w:ascii="IRNazanin" w:hAnsi="IRNazanin" w:eastAsia="IRNazanin" w:cs="IRNazanin"/>
          <w:lang w:bidi="fa-IR"/>
          <w:color w:val="111111"/>
          <w:sz w:val="28"/>
          <w:szCs w:val="28"/>
          <w:rtl/>
        </w:rPr>
        <w:t xml:space="preserve">42.تهران؛ ملی؛ شماره نسخه: ۱۵۵</w:t>
      </w:r>
    </w:p>
    <w:p>
      <w:pPr>
        <w:pStyle w:val="BookText"/>
      </w:pPr>
      <w:r>
        <w:rPr>
          <w:rFonts w:ascii="IRNazanin" w:hAnsi="IRNazanin" w:eastAsia="IRNazanin" w:cs="IRNazanin"/>
          <w:lang w:bidi="fa-IR"/>
          <w:color w:val="111111"/>
          <w:sz w:val="28"/>
          <w:szCs w:val="28"/>
          <w:rtl/>
        </w:rPr>
        <w:t xml:space="preserve">آغاز: برابر؛ انجام: و اگر چه این بنده خود را در عداد مصنـفان ندانست که نشانی ساخت و از حق تعالی توفیق خواست و الله  ولی التوفيق</w:t>
      </w:r>
    </w:p>
    <w:p>
      <w:pPr>
        <w:pStyle w:val="BookText"/>
      </w:pPr>
      <w:r>
        <w:rPr>
          <w:rFonts w:ascii="IRNazanin" w:hAnsi="IRNazanin" w:eastAsia="IRNazanin" w:cs="IRNazanin"/>
          <w:lang w:bidi="fa-IR"/>
          <w:color w:val="111111"/>
          <w:sz w:val="28"/>
          <w:szCs w:val="28"/>
          <w:rtl/>
        </w:rPr>
        <w:t xml:space="preserve">خط: شکسته نستعلیق، کا: محمد فصيح بن محمود حافظ علوی... سبزواری ،تا: چهارشنبه ۲۸ ذیقعده ۱۰۶۰ق؛ كاغذ: اصفهانی، جلد: تيماج قرمز با ترنج و نیم  ترنج، ۱۲۷ گ، ۲۰ سطر (8</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،اندازه: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۲۴/۵سم [ف: ۱ - ۱۶۰]</w:t>
      </w:r>
    </w:p>
    <w:p>
      <w:pPr>
        <w:pStyle w:val="BookText"/>
      </w:pPr>
      <w:r>
        <w:rPr>
          <w:rFonts w:ascii="IRNazanin" w:hAnsi="IRNazanin" w:eastAsia="IRNazanin" w:cs="IRNazanin"/>
          <w:lang w:bidi="fa-IR"/>
          <w:color w:val="111111"/>
          <w:sz w:val="28"/>
          <w:szCs w:val="28"/>
          <w:rtl/>
        </w:rPr>
        <w:t xml:space="preserve">43.تهران؛ مجلس؛ شماره نسخه: ۱۶۳۷۱</w:t>
      </w:r>
    </w:p>
    <w:p>
      <w:pPr>
        <w:pStyle w:val="BookText"/>
      </w:pPr>
      <w:r>
        <w:rPr>
          <w:rFonts w:ascii="IRNazanin" w:hAnsi="IRNazanin" w:eastAsia="IRNazanin" w:cs="IRNazanin"/>
          <w:lang w:bidi="fa-IR"/>
          <w:color w:val="111111"/>
          <w:sz w:val="28"/>
          <w:szCs w:val="28"/>
          <w:rtl/>
        </w:rPr>
        <w:t xml:space="preserve">بی کا، تا: ۱۰۶۴ق؛ قطع: خشتی [د.ث. مجلس ]</w:t>
      </w:r>
    </w:p>
    <w:p>
      <w:pPr>
        <w:pStyle w:val="BookText"/>
      </w:pPr>
      <w:r>
        <w:rPr>
          <w:rFonts w:ascii="IRNazanin" w:hAnsi="IRNazanin" w:eastAsia="IRNazanin" w:cs="IRNazanin"/>
          <w:lang w:bidi="fa-IR"/>
          <w:color w:val="111111"/>
          <w:sz w:val="28"/>
          <w:szCs w:val="28"/>
          <w:rtl/>
        </w:rPr>
        <w:t xml:space="preserve">44.تبریز؛ محقق (آقای)؛ شماره نسخه: ۱</w:t>
      </w:r>
    </w:p>
    <w:p>
      <w:pPr>
        <w:pStyle w:val="BookText"/>
      </w:pPr>
      <w:r>
        <w:rPr>
          <w:rFonts w:ascii="IRNazanin" w:hAnsi="IRNazanin" w:eastAsia="IRNazanin" w:cs="IRNazanin"/>
          <w:lang w:bidi="fa-IR"/>
          <w:color w:val="111111"/>
          <w:sz w:val="28"/>
          <w:szCs w:val="28"/>
          <w:rtl/>
        </w:rPr>
        <w:t xml:space="preserve">کا: محمد امین نیشابوری، تا: ۱ شوال ۱۰۷۸ق [نشریه: ۴ - ۳۲۹]</w:t>
      </w:r>
    </w:p>
    <w:p>
      <w:pPr>
        <w:pStyle w:val="BookText"/>
      </w:pPr>
      <w:r>
        <w:rPr>
          <w:rFonts w:ascii="IRNazanin" w:hAnsi="IRNazanin" w:eastAsia="IRNazanin" w:cs="IRNazanin"/>
          <w:lang w:bidi="fa-IR"/>
          <w:color w:val="111111"/>
          <w:sz w:val="28"/>
          <w:szCs w:val="28"/>
          <w:rtl/>
        </w:rPr>
        <w:t xml:space="preserve">۴۵. مشهد؛ رضوی؛ شماره نسخه: ۱۲۰۸۹</w:t>
      </w:r>
    </w:p>
    <w:p>
      <w:pPr>
        <w:pStyle w:val="BookText"/>
      </w:pPr>
      <w:r>
        <w:rPr>
          <w:rFonts w:ascii="IRNazanin" w:hAnsi="IRNazanin" w:eastAsia="IRNazanin" w:cs="IRNazanin"/>
          <w:lang w:bidi="fa-IR"/>
          <w:color w:val="111111"/>
          <w:sz w:val="28"/>
          <w:szCs w:val="28"/>
          <w:rtl/>
        </w:rPr>
        <w:t xml:space="preserve">آغاز: برابر؛ انجام: اگر چه این بنده خود را در عدد نمی داند</w:t>
      </w:r>
    </w:p>
    <w:p>
      <w:pPr>
        <w:pStyle w:val="BookText"/>
      </w:pPr>
      <w:r>
        <w:rPr>
          <w:rFonts w:ascii="IRNazanin" w:hAnsi="IRNazanin" w:eastAsia="IRNazanin" w:cs="IRNazanin"/>
          <w:lang w:bidi="fa-IR"/>
          <w:color w:val="111111"/>
          <w:sz w:val="28"/>
          <w:szCs w:val="28"/>
          <w:rtl/>
        </w:rPr>
        <w:t xml:space="preserve">خط: نستعلیق، بی کا، تا: رمضان ۱۰۸۸ق؛ مشوش و دارای سقطاتی است،پس ازآن  صفحه مطلب است منقول از کتاب فارسی  هیئت از ملاعلی قوشچی؛ کاغذ: نخودی ،جلد: تیماج یک لا، ۱۴۱گ، ۱۴ سطر،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 ۱۰ - ۸]</w:t>
      </w:r>
    </w:p>
    <w:p>
      <w:pPr>
        <w:pStyle w:val="BookText"/>
      </w:pPr>
      <w:r>
        <w:rPr>
          <w:rFonts w:ascii="IRNazanin" w:hAnsi="IRNazanin" w:eastAsia="IRNazanin" w:cs="IRNazanin"/>
          <w:lang w:bidi="fa-IR"/>
          <w:color w:val="111111"/>
          <w:sz w:val="28"/>
          <w:szCs w:val="28"/>
          <w:rtl/>
        </w:rPr>
        <w:t xml:space="preserve">۴۶. مشهد؛ رضوی؛ شماره نسخه: ۱۲۰۰۹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خوش، بی کا، تا: جمعه ۲۵ شوال ۱۰۸۸ق؛ کاغذ: نخودی آهار مهره ،جلد: تیماج یک لا، ۱۰۵گ، ۲۵سطر،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۲۴سم [ف : ۱۰ - ۷]</w:t>
      </w:r>
    </w:p>
    <w:p>
      <w:pPr>
        <w:pStyle w:val="BookText"/>
      </w:pPr>
      <w:r>
        <w:rPr>
          <w:rFonts w:ascii="IRNazanin" w:hAnsi="IRNazanin" w:eastAsia="IRNazanin" w:cs="IRNazanin"/>
          <w:lang w:bidi="fa-IR"/>
          <w:color w:val="111111"/>
          <w:sz w:val="28"/>
          <w:szCs w:val="28"/>
          <w:rtl/>
        </w:rPr>
        <w:t xml:space="preserve">۴۷. تهران؛ حقوق؛ شماره نسخه: ۲۸۵ - ج</w:t>
      </w:r>
    </w:p>
    <w:p>
      <w:pPr>
        <w:pStyle w:val="BookText"/>
      </w:pPr>
      <w:r>
        <w:rPr>
          <w:rFonts w:ascii="IRNazanin" w:hAnsi="IRNazanin" w:eastAsia="IRNazanin" w:cs="IRNazanin"/>
          <w:lang w:bidi="fa-IR"/>
          <w:color w:val="111111"/>
          <w:sz w:val="28"/>
          <w:szCs w:val="28"/>
          <w:rtl/>
        </w:rPr>
        <w:t xml:space="preserve">خط: نستعلیق، بی کا، تا: ۱۷ شوال ۹۸ (گویا ۹۰۸ یا1098)؛تملک: غیاث الدین محمد حسینی صاحبی خادم؛ مهر: «احمد» در ۱۳۰۳؛ واقف: مهد علیا در تهران، جمادی الاول ۱۲۷۷؛ كاغذ:سپاهانی، جلد: تیماج تریاکی ضربی مقوایی، ۱۰۰گ، ۲۱ سطر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 اندازه: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۳۰/۵سم [ف: ۷]</w:t>
      </w:r>
    </w:p>
    <w:p>
      <w:pPr>
        <w:pStyle w:val="BookText"/>
      </w:pPr>
      <w:r>
        <w:rPr>
          <w:rFonts w:ascii="IRNazanin" w:hAnsi="IRNazanin" w:eastAsia="IRNazanin" w:cs="IRNazanin"/>
          <w:lang w:bidi="fa-IR"/>
          <w:color w:val="111111"/>
          <w:sz w:val="28"/>
          <w:szCs w:val="28"/>
          <w:rtl/>
        </w:rPr>
        <w:t xml:space="preserve">۴۸. تهران؛ دانشگاه؛ شماره نسخه: ۱۵۲۵</w:t>
      </w:r>
    </w:p>
    <w:p>
      <w:pPr>
        <w:pStyle w:val="BookText"/>
      </w:pPr>
      <w:r>
        <w:rPr>
          <w:rFonts w:ascii="IRNazanin" w:hAnsi="IRNazanin" w:eastAsia="IRNazanin" w:cs="IRNazanin"/>
          <w:lang w:bidi="fa-IR"/>
          <w:color w:val="111111"/>
          <w:sz w:val="28"/>
          <w:szCs w:val="28"/>
          <w:rtl/>
        </w:rPr>
        <w:t xml:space="preserve">خط: نستعلیق، بی کا، تا: قرن ۱۱ و ۱۲؛ کاغذ: سپاهانی، جلد: تيماج مشکی، ۱۰۸گ، ۱۷ سطر ،(8</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8- 158]</w:t>
      </w:r>
    </w:p>
    <w:p>
      <w:pPr>
        <w:pStyle w:val="BookText"/>
      </w:pPr>
      <w:r>
        <w:rPr>
          <w:rFonts w:ascii="IRNazanin" w:hAnsi="IRNazanin" w:eastAsia="IRNazanin" w:cs="IRNazanin"/>
          <w:lang w:bidi="fa-IR"/>
          <w:color w:val="111111"/>
          <w:sz w:val="28"/>
          <w:szCs w:val="28"/>
          <w:rtl/>
        </w:rPr>
        <w:t xml:space="preserve">۴۹. تهران؛ مجلس؛ شماره نسخه: ۳۷۲ ط</w:t>
      </w:r>
    </w:p>
    <w:p>
      <w:pPr>
        <w:pStyle w:val="BookText"/>
      </w:pPr>
      <w:r>
        <w:rPr>
          <w:rFonts w:ascii="IRNazanin" w:hAnsi="IRNazanin" w:eastAsia="IRNazanin" w:cs="IRNazanin"/>
          <w:lang w:bidi="fa-IR"/>
          <w:color w:val="111111"/>
          <w:sz w:val="28"/>
          <w:szCs w:val="28"/>
          <w:rtl/>
        </w:rPr>
        <w:t xml:space="preserve">خط: نستعلیق، بی کا، تا: قرن ۱۲ [مختصر - ف: - ۵۷]</w:t>
      </w:r>
    </w:p>
    <w:p>
      <w:pPr>
        <w:pStyle w:val="BookText"/>
      </w:pPr>
      <w:r>
        <w:rPr>
          <w:rFonts w:ascii="IRNazanin" w:hAnsi="IRNazanin" w:eastAsia="IRNazanin" w:cs="IRNazanin"/>
          <w:lang w:bidi="fa-IR"/>
          <w:color w:val="111111"/>
          <w:sz w:val="28"/>
          <w:szCs w:val="28"/>
          <w:rtl/>
        </w:rPr>
        <w:t xml:space="preserve">۵۰ .تهران؛ الهیات؛ شماره نسخه: ۸/۱</w:t>
      </w:r>
    </w:p>
    <w:p>
      <w:pPr>
        <w:pStyle w:val="BookText"/>
      </w:pPr>
      <w:r>
        <w:rPr>
          <w:rFonts w:ascii="IRNazanin" w:hAnsi="IRNazanin" w:eastAsia="IRNazanin" w:cs="IRNazanin"/>
          <w:lang w:bidi="fa-IR"/>
          <w:color w:val="111111"/>
          <w:sz w:val="28"/>
          <w:szCs w:val="28"/>
          <w:rtl/>
        </w:rPr>
        <w:t xml:space="preserve">در دو مقالت: اول در بعضی از کلیات در نه فصل مقالت دوم در جزئیات؛ خط: نسخ، بی کا، تا: قرن ۱۲؛ کاغذ: سپاهانی، جلد: تیماج سبز ضربی مقوایی، ۱۸۰گ (۱پ-۱۸۰پ)، ۱۵ سطر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۲۵/۵سم [ف: ۱۵۰]</w:t>
      </w:r>
    </w:p>
    <w:p>
      <w:pPr>
        <w:pStyle w:val="BookText"/>
      </w:pPr>
      <w:r>
        <w:rPr>
          <w:rFonts w:ascii="IRNazanin" w:hAnsi="IRNazanin" w:eastAsia="IRNazanin" w:cs="IRNazanin"/>
          <w:lang w:bidi="fa-IR"/>
          <w:color w:val="111111"/>
          <w:sz w:val="28"/>
          <w:szCs w:val="28"/>
          <w:rtl/>
        </w:rPr>
        <w:t xml:space="preserve">۵۱. تهران؛ الهیات؛ شماره نسخه: ۱۲۸</w:t>
      </w:r>
    </w:p>
    <w:p>
      <w:pPr>
        <w:pStyle w:val="BookText"/>
      </w:pPr>
      <w:r>
        <w:rPr>
          <w:rFonts w:ascii="IRNazanin" w:hAnsi="IRNazanin" w:eastAsia="IRNazanin" w:cs="IRNazanin"/>
          <w:lang w:bidi="fa-IR"/>
          <w:color w:val="111111"/>
          <w:sz w:val="28"/>
          <w:szCs w:val="28"/>
          <w:rtl/>
        </w:rPr>
        <w:t xml:space="preserve">خط: نستعلیق، بی کا، تا: قرن ۱۲؛ افتادگی: انجام؛ کاغذ: فرنگی، جلد: تيماج سرخ ،مقوایی، ۱۲۱گ، ۱۷ سطر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قطع:  وزیری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(۱۰]</w:t>
      </w:r>
    </w:p>
    <w:p>
      <w:pPr>
        <w:pStyle w:val="BookText"/>
      </w:pPr>
      <w:r>
        <w:rPr>
          <w:rFonts w:ascii="IRNazanin" w:hAnsi="IRNazanin" w:eastAsia="IRNazanin" w:cs="IRNazanin"/>
          <w:lang w:bidi="fa-IR"/>
          <w:color w:val="111111"/>
          <w:sz w:val="28"/>
          <w:szCs w:val="28"/>
          <w:rtl/>
        </w:rPr>
        <w:t xml:space="preserve">۵۲. قم؛ مرکز احیاء؛ شماره نسخه: ۳۱۲۳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قرن ۱۲؛ مصحح؛ در دو برگ اول و برگ آخر چند یادداشت متفرقه؛ مهر: «محمد حسن بن احمد  احسن الله حاله»( بیضی)؛ جلد: روغنی مجدول زرافشان، ۲۳۴گ، مختلف السطر،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[محدث ارموی مخ: ۱ - ۱۳۶]</w:t>
      </w:r>
    </w:p>
    <w:p>
      <w:pPr>
        <w:pStyle w:val="BookText"/>
      </w:pPr>
      <w:r>
        <w:rPr>
          <w:rFonts w:ascii="IRNazanin" w:hAnsi="IRNazanin" w:eastAsia="IRNazanin" w:cs="IRNazanin"/>
          <w:lang w:bidi="fa-IR"/>
          <w:color w:val="111111"/>
          <w:sz w:val="28"/>
          <w:szCs w:val="28"/>
          <w:rtl/>
        </w:rPr>
        <w:t xml:space="preserve">۵۳. تهران؛ مجلس؛ شماره نسخه: ۳۷۲-ط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قرن ۱۲ ؛کاغذ: فرنگی، جلد: تیماج سبز، ۱۴۱گ، ۲۱ سطر، قطع: رحلی،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۲۴-۲۵۴]</w:t>
      </w:r>
    </w:p>
    <w:p>
      <w:pPr>
        <w:pStyle w:val="BookText"/>
      </w:pPr>
      <w:r>
        <w:rPr>
          <w:rFonts w:ascii="IRNazanin" w:hAnsi="IRNazanin" w:eastAsia="IRNazanin" w:cs="IRNazanin"/>
          <w:lang w:bidi="fa-IR"/>
          <w:color w:val="111111"/>
          <w:sz w:val="28"/>
          <w:szCs w:val="28"/>
          <w:rtl/>
        </w:rPr>
        <w:t xml:space="preserve">۵۴. تهران؛ دانشگاه شماره نسخه:۶۵۴۰</w:t>
      </w:r>
    </w:p>
    <w:p>
      <w:pPr>
        <w:pStyle w:val="BookText"/>
      </w:pPr>
      <w:r>
        <w:rPr>
          <w:rFonts w:ascii="IRNazanin" w:hAnsi="IRNazanin" w:eastAsia="IRNazanin" w:cs="IRNazanin"/>
          <w:lang w:bidi="fa-IR"/>
          <w:color w:val="111111"/>
          <w:sz w:val="28"/>
          <w:szCs w:val="28"/>
          <w:rtl/>
        </w:rPr>
        <w:t xml:space="preserve">خط: نستعلیق، بی کا، تا: یک شنبه ۱۱ صفر ۱۱۰۸ق؛ کاغذ: سپاهانی، جلد: تیماج تریاکی  لایی، ۱۶۰گ، ۲۱ سطر (9</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 قطع:ربعی، اندازه:۱۴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۲۳سم [ف : ۱۶ - ۲۹۲]</w:t>
      </w:r>
    </w:p>
    <w:p>
      <w:pPr>
        <w:pStyle w:val="BookText"/>
      </w:pPr>
      <w:r>
        <w:rPr>
          <w:rFonts w:ascii="IRNazanin" w:hAnsi="IRNazanin" w:eastAsia="IRNazanin" w:cs="IRNazanin"/>
          <w:lang w:bidi="fa-IR"/>
          <w:color w:val="111111"/>
          <w:sz w:val="28"/>
          <w:szCs w:val="28"/>
          <w:rtl/>
        </w:rPr>
        <w:t xml:space="preserve">۵۵. تهران؛ ملک؛ شماره نسخه: ۳۳۵۵</w:t>
      </w:r>
    </w:p>
    <w:p>
      <w:pPr>
        <w:pStyle w:val="BookText"/>
      </w:pPr>
      <w:r>
        <w:rPr>
          <w:rFonts w:ascii="IRNazanin" w:hAnsi="IRNazanin" w:eastAsia="IRNazanin" w:cs="IRNazanin"/>
          <w:lang w:bidi="fa-IR"/>
          <w:color w:val="111111"/>
          <w:sz w:val="28"/>
          <w:szCs w:val="28"/>
          <w:rtl/>
        </w:rPr>
        <w:t xml:space="preserve">خط: نستعلیق، کا: حاجی محمد بن محمد رضی، تا: ۱۲ ذیحجه ۱۱۱۴ق؛ کاغذ: کاغذ ترمه، جلد: میشن قهوه ای، ۱۶۶گ، ۱۶سطر [ف: ۲ - ۲۹]</w:t>
      </w:r>
    </w:p>
    <w:p>
      <w:pPr>
        <w:pStyle w:val="BookText"/>
      </w:pPr>
      <w:r>
        <w:rPr>
          <w:rFonts w:ascii="IRNazanin" w:hAnsi="IRNazanin" w:eastAsia="IRNazanin" w:cs="IRNazanin"/>
          <w:lang w:bidi="fa-IR"/>
          <w:color w:val="111111"/>
          <w:sz w:val="28"/>
          <w:szCs w:val="28"/>
          <w:rtl/>
        </w:rPr>
        <w:t xml:space="preserve">۵۶. تهران؛ مجلس؛ شماره نسخه: ۱۵۳</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بی کا، تا: ۱۱۲۴ق ،۱۴۹گ، ۲۱ سطر، قطع : وزیری، اندازه: 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۲ - ۸۳]</w:t>
      </w:r>
    </w:p>
    <w:p>
      <w:pPr>
        <w:pStyle w:val="BookText"/>
      </w:pPr>
      <w:r>
        <w:rPr>
          <w:rFonts w:ascii="IRNazanin" w:hAnsi="IRNazanin" w:eastAsia="IRNazanin" w:cs="IRNazanin"/>
          <w:lang w:bidi="fa-IR"/>
          <w:color w:val="111111"/>
          <w:sz w:val="28"/>
          <w:szCs w:val="28"/>
          <w:rtl/>
        </w:rPr>
        <w:t xml:space="preserve">۵۷. تهران؛ ملی؛ شماره نسخه: ۲۰۰۱</w:t>
      </w:r>
    </w:p>
    <w:p>
      <w:pPr>
        <w:pStyle w:val="BookText"/>
      </w:pPr>
      <w:r>
        <w:rPr>
          <w:rFonts w:ascii="IRNazanin" w:hAnsi="IRNazanin" w:eastAsia="IRNazanin" w:cs="IRNazanin"/>
          <w:lang w:bidi="fa-IR"/>
          <w:color w:val="111111"/>
          <w:sz w:val="28"/>
          <w:szCs w:val="28"/>
          <w:rtl/>
        </w:rPr>
        <w:t xml:space="preserve">آغاز: که فیض فضل الهی دروی غالب تر باشد و از ین سبب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احکام؛ انجام: و الله و الى التوفيق الحمد لله اولاً و آخرا و ظاهراً وباطناً وصلى الله على محمد و اله اجمعين.</w:t>
      </w:r>
    </w:p>
    <w:p>
      <w:pPr>
        <w:pStyle w:val="BookText"/>
      </w:pPr>
      <w:r>
        <w:rPr>
          <w:rFonts w:ascii="IRNazanin" w:hAnsi="IRNazanin" w:eastAsia="IRNazanin" w:cs="IRNazanin"/>
          <w:lang w:bidi="fa-IR"/>
          <w:color w:val="111111"/>
          <w:sz w:val="28"/>
          <w:szCs w:val="28"/>
          <w:rtl/>
        </w:rPr>
        <w:t xml:space="preserve">خط: نستعلیق، کا: مولانا محمد حسن اصفهانی ،تا: شنبه ۱۳ رجـب ۱۱۳۳ق؛ افتادگی: آغاز (قسمت اول افتاده است و مقدمه و خـطبه کتاب ناقص می باشد)؛ کاغذ: فرنگی ،جلد: تیماج ماشی یک لا، ۱۰۴گ، ۱۹ 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 اندازه: ۱۸/۵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۲۴/۵سم [ف: ۵ -  1]</w:t>
      </w:r>
    </w:p>
    <w:p>
      <w:pPr>
        <w:pStyle w:val="BookText"/>
      </w:pPr>
      <w:r>
        <w:rPr>
          <w:rFonts w:ascii="IRNazanin" w:hAnsi="IRNazanin" w:eastAsia="IRNazanin" w:cs="IRNazanin"/>
          <w:lang w:bidi="fa-IR"/>
          <w:color w:val="111111"/>
          <w:sz w:val="28"/>
          <w:szCs w:val="28"/>
          <w:rtl/>
        </w:rPr>
        <w:t xml:space="preserve">۵۸. تهران؛ مجلس؛ شماره نسخه: ۶۴۰۲/۱</w:t>
      </w:r>
    </w:p>
    <w:p>
      <w:pPr>
        <w:pStyle w:val="BookText"/>
      </w:pPr>
      <w:r>
        <w:rPr>
          <w:rFonts w:ascii="IRNazanin" w:hAnsi="IRNazanin" w:eastAsia="IRNazanin" w:cs="IRNazanin"/>
          <w:lang w:bidi="fa-IR"/>
          <w:color w:val="111111"/>
          <w:sz w:val="28"/>
          <w:szCs w:val="28"/>
          <w:rtl/>
        </w:rPr>
        <w:t xml:space="preserve">خط: نسخ، بی کا، تا: ۱۱۳۵ق؛ در پایان نسخه کاتب آورده: «تمت... في سنه خمسه و ثلثين ومائه بعد الالف... حسب الفرمايش حضرت فضیلت و کمالات دیتگاه جامع المعقول و المنقول... علامی فهامی و استادی ام آخوند ملا عبدالغفار حفظه الله»؛ کاغذ: فرنگی ،جلد: مقوایی  شکری، ۴۰۱ ص (۲-۴۰۲)، مختلف السطر،قطع: رقعی،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۱۹ - ۵۶۰]</w:t>
      </w:r>
    </w:p>
    <w:p>
      <w:pPr>
        <w:pStyle w:val="BookText"/>
      </w:pPr>
      <w:r>
        <w:rPr>
          <w:rFonts w:ascii="IRNazanin" w:hAnsi="IRNazanin" w:eastAsia="IRNazanin" w:cs="IRNazanin"/>
          <w:lang w:bidi="fa-IR"/>
          <w:color w:val="111111"/>
          <w:sz w:val="28"/>
          <w:szCs w:val="28"/>
          <w:rtl/>
        </w:rPr>
        <w:t xml:space="preserve">۵۹. قم؛ مرعشی؛ شماره نسخه: ۶۲۴۵/۱</w:t>
      </w:r>
    </w:p>
    <w:p>
      <w:pPr>
        <w:pStyle w:val="BookText"/>
      </w:pPr>
      <w:r>
        <w:rPr>
          <w:rFonts w:ascii="IRNazanin" w:hAnsi="IRNazanin" w:eastAsia="IRNazanin" w:cs="IRNazanin"/>
          <w:lang w:bidi="fa-IR"/>
          <w:color w:val="111111"/>
          <w:sz w:val="28"/>
          <w:szCs w:val="28"/>
          <w:rtl/>
        </w:rPr>
        <w:t xml:space="preserve">خط: نستعلیق، بی کا، تا: ۲ ذیحجه ۱۱۳۶ق؛ مصحح ،جلد: تیماج قهوه ای، ۱۱۶گ (۱پ-۱۱۶ر)، ۱۹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  سم[ف: ۱۶ - ۲۳۱]</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رشت؛ جمعیت نشر فرهنگ؛ شماره نسخه: ۷۷۸الف</w:t>
      </w:r>
    </w:p>
    <w:p>
      <w:pPr>
        <w:pStyle w:val="BookText"/>
      </w:pPr>
      <w:r>
        <w:rPr>
          <w:rFonts w:ascii="IRNazanin" w:hAnsi="IRNazanin" w:eastAsia="IRNazanin" w:cs="IRNazanin"/>
          <w:lang w:bidi="fa-IR"/>
          <w:color w:val="111111"/>
          <w:sz w:val="28"/>
          <w:szCs w:val="28"/>
          <w:rtl/>
        </w:rPr>
        <w:t xml:space="preserve">خط: نستعلیق، بی کا، تا: قرن ۱۳؛ افتادگی: آغاز و انجام: قطع:ربعی [رشت و همدان - ف - ۱۰۸۸]</w:t>
      </w:r>
    </w:p>
    <w:p>
      <w:pPr>
        <w:pStyle w:val="BookText"/>
      </w:pPr>
      <w:r>
        <w:rPr>
          <w:rFonts w:ascii="IRNazanin" w:hAnsi="IRNazanin" w:eastAsia="IRNazanin" w:cs="IRNazanin"/>
          <w:lang w:bidi="fa-IR"/>
          <w:color w:val="111111"/>
          <w:sz w:val="28"/>
          <w:szCs w:val="28"/>
          <w:rtl/>
        </w:rPr>
        <w:t xml:space="preserve">۶۱. تهران؛ مروی؛ شماره نسخه: ۸۱۴</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بی کا، تا: قرن ۱۲ و ۱۳؛ با سرلوح زرین، مجدول زر؛ ۹۰گ، قـطع: رقعی [ف: ۹۷]</w:t>
      </w:r>
    </w:p>
    <w:p>
      <w:pPr>
        <w:pStyle w:val="BookText"/>
      </w:pPr>
      <w:r>
        <w:rPr>
          <w:rFonts w:ascii="IRNazanin" w:hAnsi="IRNazanin" w:eastAsia="IRNazanin" w:cs="IRNazanin"/>
          <w:lang w:bidi="fa-IR"/>
          <w:color w:val="111111"/>
          <w:sz w:val="28"/>
          <w:szCs w:val="28"/>
          <w:rtl/>
        </w:rPr>
        <w:t xml:space="preserve">۶۲. تهران؛ ملک؛ شماره نسخه: ۳۱۱۳/۱</w:t>
      </w:r>
    </w:p>
    <w:p>
      <w:pPr>
        <w:pStyle w:val="BookText"/>
      </w:pPr>
      <w:r>
        <w:rPr>
          <w:rFonts w:ascii="IRNazanin" w:hAnsi="IRNazanin" w:eastAsia="IRNazanin" w:cs="IRNazanin"/>
          <w:lang w:bidi="fa-IR"/>
          <w:color w:val="111111"/>
          <w:sz w:val="28"/>
          <w:szCs w:val="28"/>
          <w:rtl/>
        </w:rPr>
        <w:t xml:space="preserve">خط: شکسته نستعلیق، بی کا، تا: قرن ۱۳ ؛کاغذ: پسته ای آبی وسفید ،جلد: میشن لایی سیاه، ۴۰ گ (۱پ-۴۰ پ)، ۱۷ سـطر، اندازه: ۱۵/۷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۶ - ۲۲۴]</w:t>
      </w:r>
    </w:p>
    <w:p>
      <w:pPr>
        <w:pStyle w:val="BookText"/>
      </w:pPr>
      <w:r>
        <w:rPr>
          <w:rFonts w:ascii="IRNazanin" w:hAnsi="IRNazanin" w:eastAsia="IRNazanin" w:cs="IRNazanin"/>
          <w:lang w:bidi="fa-IR"/>
          <w:color w:val="111111"/>
          <w:sz w:val="28"/>
          <w:szCs w:val="28"/>
          <w:rtl/>
        </w:rPr>
        <w:t xml:space="preserve">۶۳. قم؛ گلپایگانی؛ شماره نسخه: ۱۰۰۸-۶/۹۸</w:t>
      </w:r>
    </w:p>
    <w:p>
      <w:pPr>
        <w:pStyle w:val="BookText"/>
      </w:pPr>
      <w:r>
        <w:rPr>
          <w:rFonts w:ascii="IRNazanin" w:hAnsi="IRNazanin" w:eastAsia="IRNazanin" w:cs="IRNazanin"/>
          <w:lang w:bidi="fa-IR"/>
          <w:color w:val="111111"/>
          <w:sz w:val="28"/>
          <w:szCs w:val="28"/>
          <w:rtl/>
        </w:rPr>
        <w:t xml:space="preserve">آغاز: برابر؛ انجام: و دیگران را شریک او کند پس مدار احکام طالع بر مستولی باشد بعد از آن</w:t>
      </w:r>
    </w:p>
    <w:p>
      <w:pPr>
        <w:pStyle w:val="BookText"/>
      </w:pPr>
      <w:r>
        <w:rPr>
          <w:rFonts w:ascii="IRNazanin" w:hAnsi="IRNazanin" w:eastAsia="IRNazanin" w:cs="IRNazanin"/>
          <w:lang w:bidi="fa-IR"/>
          <w:color w:val="111111"/>
          <w:sz w:val="28"/>
          <w:szCs w:val="28"/>
          <w:rtl/>
        </w:rPr>
        <w:t xml:space="preserve">از اول کتاب تا شجره پنجم ؛خط: نسخ، بی کا، تا: قرن13؛ افتادگی: انجام؛ مصحح؛ جلد: مقوا ،آبی، ۱۱۳گ، ۲۱ سطر، اندازه: ۱۵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۲۰سم [ف: ۱ - ۳۷۰]</w:t>
      </w:r>
    </w:p>
    <w:p>
      <w:pPr>
        <w:pStyle w:val="BookText"/>
      </w:pPr>
      <w:r>
        <w:rPr>
          <w:rFonts w:ascii="IRNazanin" w:hAnsi="IRNazanin" w:eastAsia="IRNazanin" w:cs="IRNazanin"/>
          <w:lang w:bidi="fa-IR"/>
          <w:color w:val="111111"/>
          <w:sz w:val="28"/>
          <w:szCs w:val="28"/>
          <w:rtl/>
        </w:rPr>
        <w:t xml:space="preserve">۶۴. تهران؛ سپهسالار؛ شماره نسخه: ۶۵۷</w:t>
      </w:r>
    </w:p>
    <w:p>
      <w:pPr>
        <w:pStyle w:val="BookText"/>
      </w:pPr>
      <w:r>
        <w:rPr>
          <w:rFonts w:ascii="IRNazanin" w:hAnsi="IRNazanin" w:eastAsia="IRNazanin" w:cs="IRNazanin"/>
          <w:lang w:bidi="fa-IR"/>
          <w:color w:val="111111"/>
          <w:sz w:val="28"/>
          <w:szCs w:val="28"/>
          <w:rtl/>
        </w:rPr>
        <w:t xml:space="preserve">خط: نستعلیق، بی کا، تا: قرن ۱۳؛ کاغذ: فرنگی کبود خاکستری رنگ، جلد: تیماج سرخ ضربی مقوایی، ۱۸۲گ، ۱۴ سطر، اندازه: ۱۷</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۲۳سم [ف: ۳ - ۱۳۸]</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تهران؛ مجلس؛ شماره نسخه: ۶۲۴۶</w:t>
      </w:r>
    </w:p>
    <w:p>
      <w:pPr>
        <w:pStyle w:val="BookText"/>
      </w:pPr>
      <w:r>
        <w:rPr>
          <w:rFonts w:ascii="IRNazanin" w:hAnsi="IRNazanin" w:eastAsia="IRNazanin" w:cs="IRNazanin"/>
          <w:lang w:bidi="fa-IR"/>
          <w:color w:val="111111"/>
          <w:sz w:val="28"/>
          <w:szCs w:val="28"/>
          <w:rtl/>
        </w:rPr>
        <w:t xml:space="preserve">خط: نسخ، کا: عباسعلی، تا: قرن ۱۳؛ پس از پایان کتاب اشجار و اثمار جداول نام های اسلامی است با تعیین درجات طول و عرض( گ ۱۱۵ر - ۱۱۹ر) و پس از آن جداول درجات است با نشان هـای رقومی (تاگ ۱۲۳پ) از این پس تا پایان دفتر، زایچه ها و تواریخ تولد، جلوس و در گذشت و برخی از وقایع پادشاهان قاجاریه از آقا محمد خان تا ناصر الدین شاه (آخرین تاریخ یاد شده ۱۲۷۷ در چهارشنبه ۹ رمضان ساعت نخستین تحویل شمس به برج حمل)، در خلال این دفتر طالع ها و تاریخ ها، تقویم ها و قرانات و احکام نجومی بسیار یاد شده، در برگ آخر، تقویم ایام شهادت حسینی و روز عاشورا و صورت استخراج (سؤال و جواب) از ریاست و حکومت (بر اساس تنجیم)؛ کاغذ: فرنگی، آبی، جلد: تیماج قرمز روشن ،یک  لا، ۲۸۷ ص ۲۴ سطر، قطع: خشتی، اندازه: ۱۶/۵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۱۹ - ۲۱۶]</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تهران؛ مجلس؛ شماره نسخه: ۶۰۸۷</w:t>
      </w:r>
    </w:p>
    <w:p>
      <w:pPr>
        <w:pStyle w:val="BookText"/>
      </w:pPr>
      <w:r>
        <w:rPr>
          <w:rFonts w:ascii="IRNazanin" w:hAnsi="IRNazanin" w:eastAsia="IRNazanin" w:cs="IRNazanin"/>
          <w:lang w:bidi="fa-IR"/>
          <w:color w:val="111111"/>
          <w:sz w:val="28"/>
          <w:szCs w:val="28"/>
          <w:rtl/>
        </w:rPr>
        <w:t xml:space="preserve">خط: نستعلیق زیبا، بی کا، تا: قرن ۱۳؛ کاغذ: فرنگی شکری رنگ ،جلد: تیماج تریاکی عطف پارچه ای  سرخ، ۱۷۴ص، ۲۵ سطر، قطع: وزیری،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۱۹ - ۷۰]</w:t>
      </w:r>
    </w:p>
    <w:p>
      <w:pPr>
        <w:pStyle w:val="BookText"/>
      </w:pPr>
      <w:r>
        <w:rPr>
          <w:rFonts w:ascii="IRNazanin" w:hAnsi="IRNazanin" w:eastAsia="IRNazanin" w:cs="IRNazanin"/>
          <w:lang w:bidi="fa-IR"/>
          <w:color w:val="111111"/>
          <w:sz w:val="28"/>
          <w:szCs w:val="28"/>
          <w:rtl/>
        </w:rPr>
        <w:t xml:space="preserve">۶۷. تهران؛ مجلس؛ شماره نسخه ۱۱۷۱۰</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در دو مقاله: ۱ -کلیات در نه ،فصل، ۲- اختیارات جزئی دارای ۵ شعبه با عنوان های ثمره و شجره؛ خط: نستعلیق، کا: محمد ابراهیم بن میرزا  رضا، تا: ۱۲۱۹ق؛ مهر: کتب اهدایی شادروان یحیی معرفت در سال ۱۳۶۵ق (بیضی)؛ تملک: محمد على كلهر در ۱۲۳۶ق؛ محشی توضیحی؛ جلد: تیماج قهوه ای، ۱۰۶گ، ۲۱ سطر (8</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اندازه: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۳۴ - ۵۰]</w:t>
      </w:r>
    </w:p>
    <w:p>
      <w:pPr>
        <w:pStyle w:val="BookText"/>
      </w:pPr>
      <w:r>
        <w:rPr>
          <w:rFonts w:ascii="IRNazanin" w:hAnsi="IRNazanin" w:eastAsia="IRNazanin" w:cs="IRNazanin"/>
          <w:lang w:bidi="fa-IR"/>
          <w:color w:val="111111"/>
          <w:sz w:val="28"/>
          <w:szCs w:val="28"/>
          <w:rtl/>
        </w:rPr>
        <w:t xml:space="preserve">۶۸. قم؛ مرعشی؛ شماره نسخه: ۴۴۵</w:t>
      </w:r>
    </w:p>
    <w:p>
      <w:pPr>
        <w:pStyle w:val="BookText"/>
      </w:pPr>
      <w:r>
        <w:rPr>
          <w:rFonts w:ascii="IRNazanin" w:hAnsi="IRNazanin" w:eastAsia="IRNazanin" w:cs="IRNazanin"/>
          <w:lang w:bidi="fa-IR"/>
          <w:color w:val="111111"/>
          <w:sz w:val="28"/>
          <w:szCs w:val="28"/>
          <w:rtl/>
        </w:rPr>
        <w:t xml:space="preserve">آغاز: برابر؛ انجام: و مقارنه آن بود که دو کوکب در یک خانه  باشد</w:t>
      </w:r>
    </w:p>
    <w:p>
      <w:pPr>
        <w:pStyle w:val="BookText"/>
      </w:pPr>
      <w:r>
        <w:rPr>
          <w:rFonts w:ascii="IRNazanin" w:hAnsi="IRNazanin" w:eastAsia="IRNazanin" w:cs="IRNazanin"/>
          <w:lang w:bidi="fa-IR"/>
          <w:color w:val="111111"/>
          <w:sz w:val="28"/>
          <w:szCs w:val="28"/>
          <w:rtl/>
        </w:rPr>
        <w:t xml:space="preserve">خط: نسخ، بی کا، تا: دوشنبه ۱۸ جمادی الثانی ۱۲۲۲ق؛ مهر:«صراط على حق نمسکه» (بیضی)، «محمد رضا مهر آل بدل کنده» (بیضی)، «عبده الراجي محمد تقی» (بیضی)؛ جلد: تیماج مشکی، بدون مقوا، ۱۴۴گ، ۲۱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۲ - ۵۰]</w:t>
      </w:r>
    </w:p>
    <w:p>
      <w:pPr>
        <w:pStyle w:val="BookText"/>
      </w:pPr>
      <w:r>
        <w:rPr>
          <w:rFonts w:ascii="IRNazanin" w:hAnsi="IRNazanin" w:eastAsia="IRNazanin" w:cs="IRNazanin"/>
          <w:lang w:bidi="fa-IR"/>
          <w:color w:val="111111"/>
          <w:sz w:val="28"/>
          <w:szCs w:val="28"/>
          <w:rtl/>
        </w:rPr>
        <w:t xml:space="preserve">۶۹. تهران؛ الهیات؛ شماره نسخه: ۷۴۸</w:t>
      </w:r>
    </w:p>
    <w:p>
      <w:pPr>
        <w:pStyle w:val="BookText"/>
      </w:pPr>
      <w:r>
        <w:rPr>
          <w:rFonts w:ascii="IRNazanin" w:hAnsi="IRNazanin" w:eastAsia="IRNazanin" w:cs="IRNazanin"/>
          <w:lang w:bidi="fa-IR"/>
          <w:color w:val="111111"/>
          <w:sz w:val="28"/>
          <w:szCs w:val="28"/>
          <w:rtl/>
        </w:rPr>
        <w:t xml:space="preserve">خط: نسخ، کا: عبد الحسين بن ميرزا محمد مسیح، تا: ۱۴ جمادی الثانی ۱۲۲۵ق؛ کاغذ: فرنگی آبی، جلد: تیماج قهوه ای، ۱۵۲گ،  21 سطر (۷/۵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اندازه: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۱۸/۵سم [ف: ۱۱]</w:t>
      </w:r>
    </w:p>
    <w:p>
      <w:pPr>
        <w:pStyle w:val="BookText"/>
      </w:pPr>
      <w:r>
        <w:rPr>
          <w:rFonts w:ascii="IRNazanin" w:hAnsi="IRNazanin" w:eastAsia="IRNazanin" w:cs="IRNazanin"/>
          <w:lang w:bidi="fa-IR"/>
          <w:color w:val="111111"/>
          <w:sz w:val="28"/>
          <w:szCs w:val="28"/>
          <w:rtl/>
        </w:rPr>
        <w:t xml:space="preserve">۷۰. یزد؛ وزیری؛ شماره نسخه: ۴۷۸</w:t>
      </w:r>
    </w:p>
    <w:p>
      <w:pPr>
        <w:pStyle w:val="BookText"/>
      </w:pPr>
      <w:r>
        <w:rPr>
          <w:rFonts w:ascii="IRNazanin" w:hAnsi="IRNazanin" w:eastAsia="IRNazanin" w:cs="IRNazanin"/>
          <w:lang w:bidi="fa-IR"/>
          <w:color w:val="111111"/>
          <w:sz w:val="28"/>
          <w:szCs w:val="28"/>
          <w:rtl/>
        </w:rPr>
        <w:t xml:space="preserve">آغاز: برابر؛ انجام: بضمیمه (دعا) و خداوند طالع سلیم از نحوس و ماه متصل بود به  سعود، و هم آن وقت خوب و پسندیده باشد و الله اعلم.</w:t>
      </w:r>
    </w:p>
    <w:p>
      <w:pPr>
        <w:pStyle w:val="BookText"/>
      </w:pPr>
      <w:r>
        <w:rPr>
          <w:rFonts w:ascii="IRNazanin" w:hAnsi="IRNazanin" w:eastAsia="IRNazanin" w:cs="IRNazanin"/>
          <w:lang w:bidi="fa-IR"/>
          <w:color w:val="111111"/>
          <w:sz w:val="28"/>
          <w:szCs w:val="28"/>
          <w:rtl/>
        </w:rPr>
        <w:t xml:space="preserve">خط: نستعلیق تحریری، بی کا، تا: سه شنبه ۲۳ صفر ۱۲۲۶ق؛ برگ بیست و یکم جدول وجوه کواکب، محشی؛ کاغذ: کبود فرنگی، جلد: چرمی یک لامشکی، ۱۶۳گ، ۱۵ سطر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 - ۴۲۱]</w:t>
      </w:r>
    </w:p>
    <w:p>
      <w:pPr>
        <w:pStyle w:val="BookText"/>
      </w:pPr>
      <w:r>
        <w:rPr>
          <w:rFonts w:ascii="IRNazanin" w:hAnsi="IRNazanin" w:eastAsia="IRNazanin" w:cs="IRNazanin"/>
          <w:lang w:bidi="fa-IR"/>
          <w:color w:val="111111"/>
          <w:sz w:val="28"/>
          <w:szCs w:val="28"/>
          <w:rtl/>
        </w:rPr>
        <w:t xml:space="preserve">۷۱. تهران؛ فرهاد معتمد؛ شماره نسخه: ۷</w:t>
      </w:r>
    </w:p>
    <w:p>
      <w:pPr>
        <w:pStyle w:val="BookText"/>
      </w:pPr>
      <w:r>
        <w:rPr>
          <w:rFonts w:ascii="IRNazanin" w:hAnsi="IRNazanin" w:eastAsia="IRNazanin" w:cs="IRNazanin"/>
          <w:lang w:bidi="fa-IR"/>
          <w:color w:val="111111"/>
          <w:sz w:val="28"/>
          <w:szCs w:val="28"/>
          <w:rtl/>
        </w:rPr>
        <w:t xml:space="preserve">خط: نسخ، بی کا، تا: سه شنبه ۱۲ رجب ۱۲۲۷ق؛ برای میرزا محمد علی؛ کاغذ: فرنگی،جلد: تیماج زرد تیره، ۲۱ سطر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[نشریه: ۳ – ۱۴۹]</w:t>
      </w:r>
    </w:p>
    <w:p>
      <w:pPr>
        <w:pStyle w:val="BookText"/>
      </w:pPr>
      <w:r>
        <w:rPr>
          <w:rFonts w:ascii="IRNazanin" w:hAnsi="IRNazanin" w:eastAsia="IRNazanin" w:cs="IRNazanin"/>
          <w:lang w:bidi="fa-IR"/>
          <w:color w:val="111111"/>
          <w:sz w:val="28"/>
          <w:szCs w:val="28"/>
          <w:rtl/>
        </w:rPr>
        <w:t xml:space="preserve">۷۲. تهران؛ مفتاح؛ شماره نسخه: ۳۹۶</w:t>
      </w:r>
    </w:p>
    <w:p>
      <w:pPr>
        <w:pStyle w:val="BookText"/>
      </w:pPr>
      <w:r>
        <w:rPr>
          <w:rFonts w:ascii="IRNazanin" w:hAnsi="IRNazanin" w:eastAsia="IRNazanin" w:cs="IRNazanin"/>
          <w:lang w:bidi="fa-IR"/>
          <w:color w:val="111111"/>
          <w:sz w:val="28"/>
          <w:szCs w:val="28"/>
          <w:rtl/>
        </w:rPr>
        <w:t xml:space="preserve">خط: نسخ، بی کا، تا: پنج شنبه ۲ جمادی الاول ۱۲۲۷ق، برای میـرزا محمد کاظم [ نشریه: ۷ - ۱۰۱]</w:t>
      </w:r>
    </w:p>
    <w:p>
      <w:pPr>
        <w:pStyle w:val="BookText"/>
      </w:pPr>
      <w:r>
        <w:rPr>
          <w:rFonts w:ascii="IRNazanin" w:hAnsi="IRNazanin" w:eastAsia="IRNazanin" w:cs="IRNazanin"/>
          <w:lang w:bidi="fa-IR"/>
          <w:color w:val="111111"/>
          <w:sz w:val="28"/>
          <w:szCs w:val="28"/>
          <w:rtl/>
        </w:rPr>
        <w:t xml:space="preserve">۷۳. تهران؛ مجلس؛ شماره نسخه: ۶۳۳۸/۱</w:t>
      </w:r>
    </w:p>
    <w:p>
      <w:pPr>
        <w:pStyle w:val="BookText"/>
      </w:pPr>
      <w:r>
        <w:rPr>
          <w:rFonts w:ascii="IRNazanin" w:hAnsi="IRNazanin" w:eastAsia="IRNazanin" w:cs="IRNazanin"/>
          <w:lang w:bidi="fa-IR"/>
          <w:color w:val="111111"/>
          <w:sz w:val="28"/>
          <w:szCs w:val="28"/>
          <w:rtl/>
        </w:rPr>
        <w:t xml:space="preserve">خط: نستعلیق، کا: شاهرخ بن اسكندر منجم  کرمانی، تا:۱۲۲۹ق ؛جا: بمبئی؛ کاتب در پایان آورده:« انجام یافت این کتاب شجر و ثمره در بندر معمور بمبئی در کتب خانه ملا فیروز از روی دو نسخه خطی قدیم که سیصد سال قبل از این نوشته شده بود اما  درهر دو غلط و سهو بسیار داشت. بنابرین حقیر شاهرخ بن اسكندر منجم کرمانی هر کدام – از اغلاط کتابها... که معلوم نکردم رونویس نمودم و هر کدام که مفهوم شد به تصحیح کوشیدم»؛ کاغذ: فرنگی سفید، جلد: تیماج قرمز، ۲۹۳ص ( 1- 293)،11سطر، قطع: خشتی،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 ۱۹ - ۳۵۵]</w:t>
      </w:r>
    </w:p>
    <w:p>
      <w:pPr>
        <w:pStyle w:val="BookText"/>
      </w:pPr>
      <w:r>
        <w:rPr>
          <w:rFonts w:ascii="IRNazanin" w:hAnsi="IRNazanin" w:eastAsia="IRNazanin" w:cs="IRNazanin"/>
          <w:lang w:bidi="fa-IR"/>
          <w:color w:val="111111"/>
          <w:sz w:val="28"/>
          <w:szCs w:val="28"/>
          <w:rtl/>
        </w:rPr>
        <w:t xml:space="preserve">۷۴. اصفهان؛ دانشگاه اصفهان؛ شماره نسخه: ۲۹۲</w:t>
      </w:r>
    </w:p>
    <w:p>
      <w:pPr>
        <w:pStyle w:val="BookText"/>
      </w:pPr>
      <w:r>
        <w:rPr>
          <w:rFonts w:ascii="IRNazanin" w:hAnsi="IRNazanin" w:eastAsia="IRNazanin" w:cs="IRNazanin"/>
          <w:lang w:bidi="fa-IR"/>
          <w:color w:val="111111"/>
          <w:sz w:val="28"/>
          <w:szCs w:val="28"/>
          <w:rtl/>
        </w:rPr>
        <w:t xml:space="preserve">خط: نستعلیق، بی کا، تا: چهارشنبه ۲۲ شعبان ۱۲۳۴ق، در خدمت ميرزا على مستوفی و میرزا تنکابنی؛ مصحح، در برگ اول تاریخ تولدی به سال ۱۲۷۰ و در سه برگ پایانی یادداشتی در تاریخ تولد محمد بن محمد تقی محلاتی به سال ۱۲۲۸ و چندین جدول نجومی دیده می شود؛ جلد: تیماج مشکی ضربی، ۲۰۰گ، 14سطر،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۱ - ۲۱۵]</w:t>
      </w:r>
    </w:p>
    <w:p>
      <w:pPr>
        <w:pStyle w:val="BookText"/>
      </w:pPr>
      <w:r>
        <w:rPr>
          <w:rFonts w:ascii="IRNazanin" w:hAnsi="IRNazanin" w:eastAsia="IRNazanin" w:cs="IRNazanin"/>
          <w:lang w:bidi="fa-IR"/>
          <w:color w:val="111111"/>
          <w:sz w:val="28"/>
          <w:szCs w:val="28"/>
          <w:rtl/>
        </w:rPr>
        <w:t xml:space="preserve">۷۵. مشهد؛ الهیات؛ شماره نسخه: ۸</w:t>
      </w:r>
    </w:p>
    <w:p>
      <w:pPr>
        <w:pStyle w:val="BookText"/>
      </w:pPr>
      <w:r>
        <w:rPr>
          <w:rFonts w:ascii="IRNazanin" w:hAnsi="IRNazanin" w:eastAsia="IRNazanin" w:cs="IRNazanin"/>
          <w:lang w:bidi="fa-IR"/>
          <w:color w:val="111111"/>
          <w:sz w:val="28"/>
          <w:szCs w:val="28"/>
          <w:rtl/>
        </w:rPr>
        <w:t xml:space="preserve">خط: نستعلیق، بی کا، تا: ۱۲۳۶ق؛ جلد: تیماج سبز، ۱۲۰گ، 8/ 1سطر (۸/۵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۱ - ۵]</w:t>
      </w:r>
    </w:p>
    <w:p>
      <w:pPr>
        <w:pStyle w:val="BookText"/>
      </w:pPr>
      <w:r>
        <w:rPr>
          <w:rFonts w:ascii="IRNazanin" w:hAnsi="IRNazanin" w:eastAsia="IRNazanin" w:cs="IRNazanin"/>
          <w:lang w:bidi="fa-IR"/>
          <w:color w:val="111111"/>
          <w:sz w:val="28"/>
          <w:szCs w:val="28"/>
          <w:rtl/>
        </w:rPr>
        <w:t xml:space="preserve">۷۶. قم؛ مرکز مطالعات؛ شماره نسخه:۶۵۱/۲</w:t>
      </w:r>
    </w:p>
    <w:p>
      <w:pPr>
        <w:pStyle w:val="BookText"/>
      </w:pPr>
      <w:r>
        <w:rPr>
          <w:rFonts w:ascii="IRNazanin" w:hAnsi="IRNazanin" w:eastAsia="IRNazanin" w:cs="IRNazanin"/>
          <w:lang w:bidi="fa-IR"/>
          <w:color w:val="111111"/>
          <w:sz w:val="28"/>
          <w:szCs w:val="28"/>
          <w:rtl/>
        </w:rPr>
        <w:t xml:space="preserve">آغاز: برابر ؛ انجام: شعبه یازدهم در احکام ... ثمره دویم در احكام جزئيات .... درست باشند پیوسته دل عیب و اگر سعدان  در نظر مودت</w:t>
      </w:r>
    </w:p>
    <w:p>
      <w:pPr>
        <w:pStyle w:val="BookText"/>
      </w:pPr>
      <w:r>
        <w:rPr>
          <w:rFonts w:ascii="IRNazanin" w:hAnsi="IRNazanin" w:eastAsia="IRNazanin" w:cs="IRNazanin"/>
          <w:lang w:bidi="fa-IR"/>
          <w:color w:val="111111"/>
          <w:sz w:val="28"/>
          <w:szCs w:val="28"/>
          <w:rtl/>
        </w:rPr>
        <w:t xml:space="preserve">خط: نستعلیق خوب، بی کا، تا: ۱۲۴۵ق؛ جلد: تیماج مشکی ضربی ،مجدول ۱۲۱گ (۷۱پ-۱۹۱پ)، ۱۴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  سم[ف: ۱ - ۵۵۷]</w:t>
      </w:r>
    </w:p>
    <w:p>
      <w:pPr>
        <w:pStyle w:val="BookText"/>
      </w:pPr>
      <w:r>
        <w:rPr>
          <w:rFonts w:ascii="IRNazanin" w:hAnsi="IRNazanin" w:eastAsia="IRNazanin" w:cs="IRNazanin"/>
          <w:lang w:bidi="fa-IR"/>
          <w:color w:val="111111"/>
          <w:sz w:val="28"/>
          <w:szCs w:val="28"/>
          <w:rtl/>
        </w:rPr>
        <w:t xml:space="preserve">۷۷. مشهد؛ رضوی؛ شماره نسخه: ۵۴۲۵/۲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۱۲۴۵ق؛ کاغذ: نخودی فرنگی آهار مهره، جلد: تیماج مشکی یک لا، ۱۹ سطر (۸/۵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۸ - ۳۰۶]</w:t>
      </w:r>
    </w:p>
    <w:p>
      <w:pPr>
        <w:pStyle w:val="BookText"/>
      </w:pPr>
      <w:r>
        <w:rPr>
          <w:rFonts w:ascii="IRNazanin" w:hAnsi="IRNazanin" w:eastAsia="IRNazanin" w:cs="IRNazanin"/>
          <w:lang w:bidi="fa-IR"/>
          <w:color w:val="111111"/>
          <w:sz w:val="28"/>
          <w:szCs w:val="28"/>
          <w:rtl/>
        </w:rPr>
        <w:t xml:space="preserve">۷۸. تهران؛ مجلس؛ شماره نسخه: ۲۱۲۲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تحریری، بی کا، تا: ۱۰ ربیع الاول ۱۲۴۸ق؛ كاغذ: فرنگی کبود و آسمانی و زرد و سفید، جلد: میشن خرمائی، ۳۱۴ص، 16 سطر،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۶ - ۱۰۲]</w:t>
      </w:r>
    </w:p>
    <w:p>
      <w:pPr>
        <w:pStyle w:val="BookText"/>
      </w:pPr>
      <w:r>
        <w:rPr>
          <w:rFonts w:ascii="IRNazanin" w:hAnsi="IRNazanin" w:eastAsia="IRNazanin" w:cs="IRNazanin"/>
          <w:lang w:bidi="fa-IR"/>
          <w:color w:val="111111"/>
          <w:sz w:val="28"/>
          <w:szCs w:val="28"/>
          <w:rtl/>
        </w:rPr>
        <w:t xml:space="preserve">۷۹. تهران؛ ملی؛ شماره نسخه: ۷۰۲۶</w:t>
      </w:r>
    </w:p>
    <w:p>
      <w:pPr>
        <w:pStyle w:val="BookText"/>
      </w:pPr>
      <w:r>
        <w:rPr>
          <w:rFonts w:ascii="IRNazanin" w:hAnsi="IRNazanin" w:eastAsia="IRNazanin" w:cs="IRNazanin"/>
          <w:lang w:bidi="fa-IR"/>
          <w:color w:val="111111"/>
          <w:sz w:val="28"/>
          <w:szCs w:val="28"/>
          <w:rtl/>
        </w:rPr>
        <w:t xml:space="preserve">آغاز: برابر؛ انجام: و هفتم در طالع وقت و انواع ضمیرها اما بر این ختم کردیم حالیا اگر عمر وفا کد باقی نیز ساخته شود. اگر چه این بنده خود را در عدد نمیداند</w:t>
      </w:r>
    </w:p>
    <w:p>
      <w:pPr>
        <w:pStyle w:val="BookText"/>
      </w:pPr>
      <w:r>
        <w:rPr>
          <w:rFonts w:ascii="IRNazanin" w:hAnsi="IRNazanin" w:eastAsia="IRNazanin" w:cs="IRNazanin"/>
          <w:lang w:bidi="fa-IR"/>
          <w:color w:val="111111"/>
          <w:sz w:val="28"/>
          <w:szCs w:val="28"/>
          <w:rtl/>
        </w:rPr>
        <w:t xml:space="preserve">کا:عبدالله بروجردی، تا: ۱۲۵۴ق؛ در پایان نسخه آمده است: «حسب الخواهش عالیجناب مقدس القاب فضائل و کمالات اكتساب عمدة الاعاظم والاعيان آقا میرزا اسدالله ولد مرحمت و غفران پناه مرحوم حاجی اسحق بروجردی قلمی گردید»، مصحح، محشی؛ کاغذ: رنگی آهار و مهره، جلد: تیماج یک لا ،سیاه آستر کاغذی ،نخودی، ۱۴۳گ، ۱۵ سطر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[رایانه ]</w:t>
      </w:r>
    </w:p>
    <w:p>
      <w:pPr>
        <w:pStyle w:val="BookText"/>
      </w:pPr>
      <w:r>
        <w:rPr>
          <w:rFonts w:ascii="IRNazanin" w:hAnsi="IRNazanin" w:eastAsia="IRNazanin" w:cs="IRNazanin"/>
          <w:lang w:bidi="fa-IR"/>
          <w:color w:val="111111"/>
          <w:sz w:val="28"/>
          <w:szCs w:val="28"/>
          <w:rtl/>
        </w:rPr>
        <w:t xml:space="preserve">۸۰. اصفهان؛ دانشگاه اصفهان؛ شماره نسخه: ۲۲۳</w:t>
      </w:r>
    </w:p>
    <w:p>
      <w:pPr>
        <w:pStyle w:val="BookText"/>
      </w:pPr>
      <w:r>
        <w:rPr>
          <w:rFonts w:ascii="IRNazanin" w:hAnsi="IRNazanin" w:eastAsia="IRNazanin" w:cs="IRNazanin"/>
          <w:lang w:bidi="fa-IR"/>
          <w:color w:val="111111"/>
          <w:sz w:val="28"/>
          <w:szCs w:val="28"/>
          <w:rtl/>
        </w:rPr>
        <w:t xml:space="preserve">خط: نستعلیق، کا: آخوند جان بن عبدالواسع استروشنی، تا: ۱۲۵۷ق؛ مهر: «صدر الشريعة» (بيضى)،«المتوكل على الله قاضى محمداورار بن محمد یوزی بیگ» (دایره)؛ جلد: مقوایی عطف تیماج مشکی، ۱۵۱گ، ۱۸ سطر،اندازه: ۱۶/۵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۲۸سم [ف: ۱-۱۷۳]</w:t>
      </w:r>
    </w:p>
    <w:p>
      <w:pPr>
        <w:pStyle w:val="BookText"/>
      </w:pPr>
      <w:r>
        <w:rPr>
          <w:rFonts w:ascii="IRNazanin" w:hAnsi="IRNazanin" w:eastAsia="IRNazanin" w:cs="IRNazanin"/>
          <w:lang w:bidi="fa-IR"/>
          <w:color w:val="111111"/>
          <w:sz w:val="28"/>
          <w:szCs w:val="28"/>
          <w:rtl/>
        </w:rPr>
        <w:t xml:space="preserve">۸۱ .اصفهان؛ دانشگاه اصفهان؛ شماره نسخه: ۴۲۱</w:t>
      </w:r>
    </w:p>
    <w:p>
      <w:pPr>
        <w:pStyle w:val="BookText"/>
      </w:pPr>
      <w:r>
        <w:rPr>
          <w:rFonts w:ascii="IRNazanin" w:hAnsi="IRNazanin" w:eastAsia="IRNazanin" w:cs="IRNazanin"/>
          <w:lang w:bidi="fa-IR"/>
          <w:color w:val="111111"/>
          <w:sz w:val="28"/>
          <w:szCs w:val="28"/>
          <w:rtl/>
        </w:rPr>
        <w:t xml:space="preserve">خط: نستعلیق، کا: آخوند جان پسر عبدالسميع استروشنی، تا: ۱۲۵۷ق [ نشریه: ۱۱ - ۸۸۲]</w:t>
      </w:r>
    </w:p>
    <w:p>
      <w:pPr>
        <w:pStyle w:val="BookText"/>
      </w:pPr>
      <w:r>
        <w:rPr>
          <w:rFonts w:ascii="IRNazanin" w:hAnsi="IRNazanin" w:eastAsia="IRNazanin" w:cs="IRNazanin"/>
          <w:lang w:bidi="fa-IR"/>
          <w:color w:val="111111"/>
          <w:sz w:val="28"/>
          <w:szCs w:val="28"/>
          <w:rtl/>
        </w:rPr>
        <w:t xml:space="preserve">۸۲. تهران؛ دانشگاه؛ شماره نسخه: ۴۵۲۰</w:t>
      </w:r>
    </w:p>
    <w:p>
      <w:pPr>
        <w:pStyle w:val="BookText"/>
      </w:pPr>
      <w:r>
        <w:rPr>
          <w:rFonts w:ascii="IRNazanin" w:hAnsi="IRNazanin" w:eastAsia="IRNazanin" w:cs="IRNazanin"/>
          <w:lang w:bidi="fa-IR"/>
          <w:color w:val="111111"/>
          <w:sz w:val="28"/>
          <w:szCs w:val="28"/>
          <w:rtl/>
        </w:rPr>
        <w:t xml:space="preserve">خط: نسخ و نستعلیق، کا: اسدالله مافي سبزواری، تا: پنج شنبه ۱۸ ذیحجه ۱۲۶۶ق، جا: مدرسه میرزا  جعفر، برای حاجی قاسم منجم باشی؛ کاغذ: فرنگی، جلد: تیماج مشکی، ۱۶۵گ، ۱۵ سطر (8</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۱۳ - ۳۴۷۱]</w:t>
      </w:r>
    </w:p>
    <w:p>
      <w:pPr>
        <w:pStyle w:val="BookText"/>
      </w:pPr>
      <w:r>
        <w:rPr>
          <w:rFonts w:ascii="IRNazanin" w:hAnsi="IRNazanin" w:eastAsia="IRNazanin" w:cs="IRNazanin"/>
          <w:lang w:bidi="fa-IR"/>
          <w:color w:val="111111"/>
          <w:sz w:val="28"/>
          <w:szCs w:val="28"/>
          <w:rtl/>
        </w:rPr>
        <w:t xml:space="preserve">۸۳. کاشان؛ مدرسه سلطانی؛ شماره نسخه: ۲۰۴/۱</w:t>
      </w:r>
    </w:p>
    <w:p>
      <w:pPr>
        <w:pStyle w:val="BookText"/>
      </w:pPr>
      <w:r>
        <w:rPr>
          <w:rFonts w:ascii="IRNazanin" w:hAnsi="IRNazanin" w:eastAsia="IRNazanin" w:cs="IRNazanin"/>
          <w:lang w:bidi="fa-IR"/>
          <w:color w:val="111111"/>
          <w:sz w:val="28"/>
          <w:szCs w:val="28"/>
          <w:rtl/>
        </w:rPr>
        <w:t xml:space="preserve">آغاز: برابر؛انجام: تا در عبادت سهل رود و در شرح تطویل نگردد و آنچه دورتر بود ترک آن واجب کند و این فقیر هم ترک آن واجب دید و اگر چه خود را در زمره مصنفان ندانست نشانه ساخت و از حقتعالی توفیق خواست با تمام آن.</w:t>
      </w:r>
    </w:p>
    <w:p>
      <w:pPr>
        <w:pStyle w:val="BookText"/>
      </w:pPr>
      <w:r>
        <w:rPr>
          <w:rFonts w:ascii="IRNazanin" w:hAnsi="IRNazanin" w:eastAsia="IRNazanin" w:cs="IRNazanin"/>
          <w:lang w:bidi="fa-IR"/>
          <w:color w:val="111111"/>
          <w:sz w:val="28"/>
          <w:szCs w:val="28"/>
          <w:rtl/>
        </w:rPr>
        <w:t xml:space="preserve">کامل؛ خط: نستعلیق ،کا: محمد صادق بن عبدالباقیا، تا: ۱۸ رجب ۱۲۶۶ق؛ مجدول؛ مهر: كاتب «عبده محمد صادق بن عبدالباقی» (بیضی) ؛جلد: تیماج سیاه ،سوخته ۱۳۳گ، ۱۷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[سلطانی - ف]</w:t>
      </w:r>
    </w:p>
    <w:p>
      <w:pPr>
        <w:pStyle w:val="BookText"/>
      </w:pPr>
      <w:r>
        <w:rPr>
          <w:rFonts w:ascii="IRNazanin" w:hAnsi="IRNazanin" w:eastAsia="IRNazanin" w:cs="IRNazanin"/>
          <w:lang w:bidi="fa-IR"/>
          <w:color w:val="111111"/>
          <w:sz w:val="28"/>
          <w:szCs w:val="28"/>
          <w:rtl/>
        </w:rPr>
        <w:t xml:space="preserve">۸۴. قم ؛مرعشی؛ شماره نسخه: ۸۴۱۳/۱</w:t>
      </w:r>
    </w:p>
    <w:p>
      <w:pPr>
        <w:pStyle w:val="BookText"/>
      </w:pPr>
      <w:r>
        <w:rPr>
          <w:rFonts w:ascii="IRNazanin" w:hAnsi="IRNazanin" w:eastAsia="IRNazanin" w:cs="IRNazanin"/>
          <w:lang w:bidi="fa-IR"/>
          <w:color w:val="111111"/>
          <w:sz w:val="28"/>
          <w:szCs w:val="28"/>
          <w:rtl/>
        </w:rPr>
        <w:t xml:space="preserve">خط: نستعلیق، بی کا، تا: ۱۲۷۸ق؛ این کتاب روی برگ اول نسخه حاضر به خط مالک آن «روضة المنجمين» نامیده شده؛ دارای  تملکی  به تاریخ ۱۳۱۵ در طهران؛ جلد: مقوایی عطف تیماج  قهوه ای، ۱۳۴گ (۱پ - ۱۳۴ر)، اندازه: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۲۲ - ۱۳]</w:t>
      </w:r>
    </w:p>
    <w:p>
      <w:pPr>
        <w:pStyle w:val="BookText"/>
      </w:pPr>
      <w:r>
        <w:rPr>
          <w:rFonts w:ascii="IRNazanin" w:hAnsi="IRNazanin" w:eastAsia="IRNazanin" w:cs="IRNazanin"/>
          <w:lang w:bidi="fa-IR"/>
          <w:color w:val="111111"/>
          <w:sz w:val="28"/>
          <w:szCs w:val="28"/>
          <w:rtl/>
        </w:rPr>
        <w:t xml:space="preserve">۸۵. مشهد؛ رضوی؛ شماره نسخه: ۱۲۲۷۸/۴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شکسته، بی کا، تا: ۱۲۸۰ق، جلد: تیماج قهوه ای یک  لا ،اندازه: ۱۷/۲۲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۲۲/۵سم [ف : ۱۰ - ۲۵۶]</w:t>
      </w:r>
    </w:p>
    <w:p>
      <w:pPr>
        <w:pStyle w:val="BookText"/>
      </w:pPr>
      <w:r>
        <w:rPr>
          <w:rFonts w:ascii="IRNazanin" w:hAnsi="IRNazanin" w:eastAsia="IRNazanin" w:cs="IRNazanin"/>
          <w:lang w:bidi="fa-IR"/>
          <w:color w:val="111111"/>
          <w:sz w:val="28"/>
          <w:szCs w:val="28"/>
          <w:rtl/>
        </w:rPr>
        <w:t xml:space="preserve">۸۶. یزد؛ سریزدی؛ شماره نسخه: ۱۷۰</w:t>
      </w:r>
    </w:p>
    <w:p>
      <w:pPr>
        <w:pStyle w:val="BookText"/>
      </w:pPr>
      <w:r>
        <w:rPr>
          <w:rFonts w:ascii="IRNazanin" w:hAnsi="IRNazanin" w:eastAsia="IRNazanin" w:cs="IRNazanin"/>
          <w:lang w:bidi="fa-IR"/>
          <w:color w:val="111111"/>
          <w:sz w:val="28"/>
          <w:szCs w:val="28"/>
          <w:rtl/>
        </w:rPr>
        <w:t xml:space="preserve">خط: نستعلیق ،كا: محمد بن میرزا عبدالعلی نائینی، تا: ۱۲۸۵ق؛ در سه برگ پایانی چندین یادداشت متفرقه در ادعیه و نسب نامه سید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هاشم جد مادری کاتب دیده می شود؛ اهدائی: سید محمد دانش پژوه؛ جلد: مقوایی عطف و گوشه ها تیماج قرمز، ۱۰۸گ، 15 سطر، اندازه: ۲۳</w:t>
      </w:r>
      <w:r>
        <w:rPr>
          <w:rFonts w:ascii="Times New Roman" w:hAnsi="Times New Roman" w:eastAsia="Times New Roman" w:cs="Times New Roman"/>
          <w:lang w:val="en-US" w:bidi="en-US"/>
          <w:color w:val="111111"/>
          <w:sz w:val="28"/>
          <w:szCs w:val="28"/>
          <w:rtl/>
        </w:rPr>
        <w:t xml:space="preserve">x</w:t>
      </w:r>
      <w:r>
        <w:rPr>
          <w:rFonts w:ascii="IRNazanin" w:hAnsi="IRNazanin" w:eastAsia="IRNazanin" w:cs="IRNazanin"/>
          <w:lang w:bidi="fa-IR"/>
          <w:color w:val="111111"/>
          <w:sz w:val="28"/>
          <w:szCs w:val="28"/>
          <w:rtl/>
        </w:rPr>
        <w:t xml:space="preserve">۱۶سم [ف: ۱ - ۱۴۱]</w:t>
      </w:r>
    </w:p>
    <w:p>
      <w:pPr>
        <w:pStyle w:val="BookText"/>
      </w:pPr>
      <w:r>
        <w:rPr>
          <w:rFonts w:ascii="IRNazanin" w:hAnsi="IRNazanin" w:eastAsia="IRNazanin" w:cs="IRNazanin"/>
          <w:lang w:bidi="fa-IR"/>
          <w:color w:val="111111"/>
          <w:sz w:val="28"/>
          <w:szCs w:val="28"/>
          <w:rtl/>
        </w:rPr>
        <w:t xml:space="preserve">۸۷. تهران؛ دانشگاه؛ شماره نسخه: ۵۹۲۰/۱</w:t>
      </w:r>
    </w:p>
    <w:p>
      <w:pPr>
        <w:pStyle w:val="BookText"/>
      </w:pPr>
      <w:r>
        <w:rPr>
          <w:rFonts w:ascii="IRNazanin" w:hAnsi="IRNazanin" w:eastAsia="IRNazanin" w:cs="IRNazanin"/>
          <w:lang w:bidi="fa-IR"/>
          <w:color w:val="111111"/>
          <w:sz w:val="28"/>
          <w:szCs w:val="28"/>
          <w:rtl/>
        </w:rPr>
        <w:t xml:space="preserve">خط: نستعلیق، کا: شیخ محمود بن حاجی عباس علی خویی،تا: جمعه ۲۱ ذیقعده ۱۲۸۵ق؛ کاغذ: فرنگی، جلد: تیماج حنایی عطف مشكى مقوایی، ۱۵ سطر (۶/۵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قطع: ربعی ، اندازه:۱۰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 ۱۶ - ۱۵۳]</w:t>
      </w:r>
    </w:p>
    <w:p>
      <w:pPr>
        <w:pStyle w:val="BookText"/>
      </w:pPr>
      <w:r>
        <w:rPr>
          <w:rFonts w:ascii="IRNazanin" w:hAnsi="IRNazanin" w:eastAsia="IRNazanin" w:cs="IRNazanin"/>
          <w:lang w:bidi="fa-IR"/>
          <w:color w:val="111111"/>
          <w:sz w:val="28"/>
          <w:szCs w:val="28"/>
          <w:rtl/>
        </w:rPr>
        <w:t xml:space="preserve">۸۸. تهران؛ دانشگاه؛ شماره نسخه: ۵۵۱۶</w:t>
      </w:r>
    </w:p>
    <w:p>
      <w:pPr>
        <w:pStyle w:val="BookText"/>
      </w:pPr>
      <w:r>
        <w:rPr>
          <w:rFonts w:ascii="IRNazanin" w:hAnsi="IRNazanin" w:eastAsia="IRNazanin" w:cs="IRNazanin"/>
          <w:lang w:bidi="fa-IR"/>
          <w:color w:val="111111"/>
          <w:sz w:val="28"/>
          <w:szCs w:val="28"/>
          <w:rtl/>
        </w:rPr>
        <w:t xml:space="preserve">خط: نستعلیق، کا: محمد هاشم بن عبدالله بن رحيم کججانی،تا: یک شنبه ۲ شعبان ۱۲۸۶ق؛ کاغذ: فرنگی، جلد: تیماج حنایی ضربی ،۱۱۹گ، ۲۰ سطر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۱۶  - 26]</w:t>
      </w:r>
    </w:p>
    <w:p>
      <w:pPr>
        <w:pStyle w:val="BookText"/>
      </w:pPr>
      <w:r>
        <w:rPr>
          <w:rFonts w:ascii="IRNazanin" w:hAnsi="IRNazanin" w:eastAsia="IRNazanin" w:cs="IRNazanin"/>
          <w:lang w:bidi="fa-IR"/>
          <w:color w:val="111111"/>
          <w:sz w:val="28"/>
          <w:szCs w:val="28"/>
          <w:rtl/>
        </w:rPr>
        <w:t xml:space="preserve">تهران؛ دانشگاه؛ شماره نسخه: ۱۴۲۶-ف</w:t>
      </w:r>
    </w:p>
    <w:p>
      <w:pPr>
        <w:pStyle w:val="BookText"/>
      </w:pPr>
      <w:r>
        <w:rPr>
          <w:rFonts w:ascii="Amiri" w:hAnsi="Amiri" w:eastAsia="Amiri" w:cs="Amiri"/>
          <w:lang w:bidi="ar-SA"/>
          <w:color w:val="111111"/>
          <w:sz w:val="28"/>
          <w:szCs w:val="28"/>
          <w:rtl/>
        </w:rPr>
        <w:t xml:space="preserve">نسخه اصل: همان نسخه بالا [فيلمها -ف: ۱ - ۱۳]</w:t>
      </w:r>
    </w:p>
    <w:p>
      <w:pPr>
        <w:pStyle w:val="BookText"/>
      </w:pPr>
      <w:r>
        <w:rPr>
          <w:rFonts w:ascii="IRNazanin" w:hAnsi="IRNazanin" w:eastAsia="IRNazanin" w:cs="IRNazanin"/>
          <w:lang w:bidi="fa-IR"/>
          <w:color w:val="111111"/>
          <w:sz w:val="28"/>
          <w:szCs w:val="28"/>
          <w:rtl/>
        </w:rPr>
        <w:t xml:space="preserve">89.تهران؛ دائرة المعارف؛ شماره نسخه: ۱۶۲۴- عکسی</w:t>
      </w:r>
    </w:p>
    <w:p>
      <w:pPr>
        <w:pStyle w:val="BookText"/>
      </w:pPr>
      <w:r>
        <w:rPr>
          <w:rFonts w:ascii="IRNazanin" w:hAnsi="IRNazanin" w:eastAsia="IRNazanin" w:cs="IRNazanin"/>
          <w:lang w:bidi="fa-IR"/>
          <w:color w:val="111111"/>
          <w:sz w:val="28"/>
          <w:szCs w:val="28"/>
          <w:rtl/>
        </w:rPr>
        <w:t xml:space="preserve">آغاز: برابر؛ انجام : و اگر چه این بنده خود را در عداد مصنـفان نمی داند، و بالله التوفيق.</w:t>
      </w:r>
    </w:p>
    <w:p>
      <w:pPr>
        <w:pStyle w:val="BookText"/>
      </w:pPr>
      <w:r>
        <w:rPr>
          <w:rFonts w:ascii="IRNazanin" w:hAnsi="IRNazanin" w:eastAsia="IRNazanin" w:cs="IRNazanin"/>
          <w:lang w:bidi="fa-IR"/>
          <w:color w:val="111111"/>
          <w:sz w:val="28"/>
          <w:szCs w:val="28"/>
          <w:rtl/>
        </w:rPr>
        <w:t xml:space="preserve">خط: نستعلیق شکسته آمیخته به نسخ، بی کا، تا: ۱۶ ذیقعده ۱۲۹۰ق؛ با نشان مهر گرد تاجدار همیشگی؛۲۶۴ ص، ۱۴ سـطر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۳۰سم [ف: ۱ - ۲۵]</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تهران؛ ملی؛ شماره نسخه: ۷۰۱۹</w:t>
      </w:r>
    </w:p>
    <w:p>
      <w:pPr>
        <w:pStyle w:val="BookText"/>
      </w:pPr>
      <w:r>
        <w:rPr>
          <w:rFonts w:ascii="IRNazanin" w:hAnsi="IRNazanin" w:eastAsia="IRNazanin" w:cs="IRNazanin"/>
          <w:lang w:bidi="fa-IR"/>
          <w:color w:val="111111"/>
          <w:sz w:val="28"/>
          <w:szCs w:val="28"/>
          <w:rtl/>
        </w:rPr>
        <w:t xml:space="preserve">آغاز: بسمله قیاس بی حد و ستایش بی حد خدایرا که هفت طبقه آسمان را؛ انجام: ششم او به طالع تحویل و برج انتها و هفتم  درطالع وقف و انواع ضمیرها اما بر این ختم کردیم تمام شد در شـب ٧ رمضان المبارک ۱۳۵۱، ... در همان قبیله که دولت او قایم بود چنانکه او برادر به برادر و به عم و عم زاده.</w:t>
      </w:r>
    </w:p>
    <w:p>
      <w:pPr>
        <w:pStyle w:val="BookText"/>
      </w:pPr>
      <w:r>
        <w:rPr>
          <w:rFonts w:ascii="IRNazanin" w:hAnsi="IRNazanin" w:eastAsia="IRNazanin" w:cs="IRNazanin"/>
          <w:lang w:bidi="fa-IR"/>
          <w:color w:val="111111"/>
          <w:sz w:val="28"/>
          <w:szCs w:val="28"/>
          <w:rtl/>
        </w:rPr>
        <w:t xml:space="preserve">خط: نستعليق، كا: فضل الله ابن عبدالرحیم نبیری، تا: قرن ۱۴؛درانتهای نسخه دو صفحه مطلب راجع به تأثیر قرآن آمده؛ کاغذ: فرنگی و دفترچه ای، جلد: شومیز پسته ای، ۱۹۸گ، ۱۷ سـطر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[رایانه]</w:t>
      </w:r>
    </w:p>
    <w:p>
      <w:pPr>
        <w:pStyle w:val="BookText"/>
      </w:pPr>
      <w:r>
        <w:rPr>
          <w:rFonts w:ascii="IRNazanin" w:hAnsi="IRNazanin" w:eastAsia="IRNazanin" w:cs="IRNazanin"/>
          <w:lang w:bidi="fa-IR"/>
          <w:color w:val="111111"/>
          <w:sz w:val="28"/>
          <w:szCs w:val="28"/>
          <w:rtl/>
        </w:rPr>
        <w:t xml:space="preserve">۹۱. مشهد؛ رضوی؛ شماره نسخه:۲۳۰۳۱</w:t>
      </w:r>
    </w:p>
    <w:p>
      <w:pPr>
        <w:pStyle w:val="BookText"/>
      </w:pPr>
      <w:r>
        <w:rPr>
          <w:rFonts w:ascii="IRNazanin" w:hAnsi="IRNazanin" w:eastAsia="IRNazanin" w:cs="IRNazanin"/>
          <w:lang w:bidi="fa-IR"/>
          <w:color w:val="111111"/>
          <w:sz w:val="28"/>
          <w:szCs w:val="28"/>
          <w:rtl/>
        </w:rPr>
        <w:t xml:space="preserve">آغاز: برابر؛ انجام: از نحوست بدی و از سعادت نیک و الله اعـلم. بحقيقة الحال والاحكام والعواقب.</w:t>
      </w:r>
    </w:p>
    <w:p>
      <w:pPr>
        <w:pStyle w:val="BookText"/>
      </w:pPr>
      <w:r>
        <w:rPr>
          <w:rFonts w:ascii="IRNazanin" w:hAnsi="IRNazanin" w:eastAsia="IRNazanin" w:cs="IRNazanin"/>
          <w:lang w:bidi="fa-IR"/>
          <w:color w:val="111111"/>
          <w:sz w:val="28"/>
          <w:szCs w:val="28"/>
          <w:rtl/>
        </w:rPr>
        <w:t xml:space="preserve">خط: نستعلیق، بی کا، تا: قرن ۱۴؛ ضمیمه سه برگ «در مطالع  البروج»؛ واقف: حاج سید عبدالباقی آیت اللهی شیرازی، اسـفند ۱۳۷۴ ؛کاغذ: فرنگی، ۲۱۹گ، ۱۵ سطر،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۱۶/۲سم [ ف: 18- 16]</w:t>
      </w:r>
    </w:p>
    <w:p>
      <w:pPr>
        <w:pStyle w:val="BookText"/>
      </w:pPr>
      <w:r>
        <w:rPr>
          <w:rFonts w:ascii="IRNazanin" w:hAnsi="IRNazanin" w:eastAsia="IRNazanin" w:cs="IRNazanin"/>
          <w:lang w:bidi="fa-IR"/>
          <w:color w:val="111111"/>
          <w:sz w:val="28"/>
          <w:szCs w:val="28"/>
          <w:rtl/>
        </w:rPr>
        <w:t xml:space="preserve">۹۲. مشهد؛ رضوی؛ شماره نسخه: ۱۱۰۳۳</w:t>
      </w:r>
    </w:p>
    <w:p>
      <w:pPr>
        <w:pStyle w:val="BookText"/>
      </w:pPr>
      <w:r>
        <w:rPr>
          <w:rFonts w:ascii="IRNazanin" w:hAnsi="IRNazanin" w:eastAsia="IRNazanin" w:cs="IRNazanin"/>
          <w:lang w:bidi="fa-IR"/>
          <w:color w:val="111111"/>
          <w:sz w:val="28"/>
          <w:szCs w:val="28"/>
          <w:rtl/>
        </w:rPr>
        <w:t xml:space="preserve">آغاز: بسمله و الصلوه على افضل الموجودات و اله النجبات؛</w:t>
      </w:r>
    </w:p>
    <w:p>
      <w:pPr>
        <w:pStyle w:val="BookText"/>
      </w:pPr>
      <w:r>
        <w:rPr>
          <w:rFonts w:ascii="IRNazanin" w:hAnsi="IRNazanin" w:eastAsia="IRNazanin" w:cs="IRNazanin"/>
          <w:lang w:bidi="fa-IR"/>
          <w:color w:val="111111"/>
          <w:sz w:val="28"/>
          <w:szCs w:val="28"/>
          <w:rtl/>
        </w:rPr>
        <w:t xml:space="preserve">انجام: اتصال نظر تسدیس است و این نظر</w:t>
      </w:r>
    </w:p>
    <w:p>
      <w:pPr>
        <w:pStyle w:val="BookText"/>
      </w:pPr>
      <w:r>
        <w:rPr>
          <w:rFonts w:ascii="IRNazanin" w:hAnsi="IRNazanin" w:eastAsia="IRNazanin" w:cs="IRNazanin"/>
          <w:lang w:bidi="fa-IR"/>
          <w:color w:val="111111"/>
          <w:sz w:val="28"/>
          <w:szCs w:val="28"/>
          <w:rtl/>
        </w:rPr>
        <w:t xml:space="preserve">خط: مختلف، بی کا، بی تا [رایانه ]</w:t>
      </w:r>
    </w:p>
    <w:p>
      <w:pPr>
        <w:pStyle w:val="BookText"/>
      </w:pPr>
      <w:r>
        <w:rPr>
          <w:rFonts w:ascii="IRNazanin" w:hAnsi="IRNazanin" w:eastAsia="IRNazanin" w:cs="IRNazanin"/>
          <w:lang w:bidi="fa-IR"/>
          <w:color w:val="111111"/>
          <w:sz w:val="28"/>
          <w:szCs w:val="28"/>
          <w:rtl/>
        </w:rPr>
        <w:t xml:space="preserve">93.مشهد ؛رضوی؛ شماره نسخه: ۱۲۱۵۵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و شکسته، بی کا، بی تا ؛کاغذ: حنائی و نباتی آهار مهره، جلد: تیماج جگری یک  لا، ۱۴۹گ، مختلف السطر،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۱۷/۵سم [ف : ۱۰ - ۹]</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تبریز؛ ملی؛ شماره نسخه: ۳۳۹۲</w:t>
      </w:r>
    </w:p>
    <w:p>
      <w:pPr>
        <w:pStyle w:val="BookText"/>
      </w:pPr>
      <w:r>
        <w:rPr>
          <w:rFonts w:ascii="IRNazanin" w:hAnsi="IRNazanin" w:eastAsia="IRNazanin" w:cs="IRNazanin"/>
          <w:lang w:bidi="fa-IR"/>
          <w:color w:val="111111"/>
          <w:sz w:val="28"/>
          <w:szCs w:val="28"/>
          <w:rtl/>
        </w:rPr>
        <w:t xml:space="preserve">آغاز: برابر؛ انجام: و در حقیقت دو ضربیست تمام .... و از میانه او چند ضرب طرح کرده تا در وی حشو نبود مثال این آنست که اگر</w:t>
      </w:r>
    </w:p>
    <w:p>
      <w:pPr>
        <w:pStyle w:val="BookText"/>
      </w:pPr>
      <w:r>
        <w:rPr>
          <w:rFonts w:ascii="IRNazanin" w:hAnsi="IRNazanin" w:eastAsia="IRNazanin" w:cs="IRNazanin"/>
          <w:lang w:bidi="fa-IR"/>
          <w:color w:val="111111"/>
          <w:sz w:val="28"/>
          <w:szCs w:val="28"/>
          <w:rtl/>
        </w:rPr>
        <w:t xml:space="preserve">در مورد علم موسیقی ختم می شود، خاتمه کتاب تقریباً از نیمه شعبه سوم از شجره پنجم ناقص است؛ خط: نسخ ،تعلیق، بی کا، بی تا؛ پشت برگ اول یادداشتی به عبارت «مال طلق مقرب الخاقان آقا میرزا رضا محتشم خلوت و منجم باشی سرکاری در نزد حقیر بر سبیل امانت حرره عبدالعلی»؛ مهر: «افوض امرى الى الله عبده محمد مهدی  ۱۲۴۱»، «نجم الملک ۱۲۷۶»؛ ۱۲۶گ، ۱۹ سطر،اندازه: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۱- ۶۱]</w:t>
      </w:r>
    </w:p>
    <w:p>
      <w:pPr>
        <w:pStyle w:val="BookText"/>
      </w:pPr>
      <w:r>
        <w:rPr>
          <w:rFonts w:ascii="IRNazanin" w:hAnsi="IRNazanin" w:eastAsia="IRNazanin" w:cs="IRNazanin"/>
          <w:lang w:bidi="fa-IR"/>
          <w:color w:val="111111"/>
          <w:sz w:val="28"/>
          <w:szCs w:val="28"/>
          <w:rtl/>
        </w:rPr>
        <w:t xml:space="preserve">۹۵. تهران؛ ملی؛ شماره نسخه: ۲۵۶۸۲</w:t>
      </w:r>
    </w:p>
    <w:p>
      <w:pPr>
        <w:pStyle w:val="BookText"/>
      </w:pPr>
      <w:r>
        <w:rPr>
          <w:rFonts w:ascii="IRNazanin" w:hAnsi="IRNazanin" w:eastAsia="IRNazanin" w:cs="IRNazanin"/>
          <w:lang w:bidi="fa-IR"/>
          <w:color w:val="111111"/>
          <w:sz w:val="28"/>
          <w:szCs w:val="28"/>
          <w:rtl/>
        </w:rPr>
        <w:t xml:space="preserve">بی  کا،  بی تا؛ خریداری از رضا غیبی [ رایانه]</w:t>
      </w:r>
    </w:p>
    <w:p>
      <w:pPr>
        <w:pStyle w:val="BookText"/>
      </w:pPr>
      <w:r>
        <w:rPr>
          <w:rFonts w:ascii="IRNazanin" w:hAnsi="IRNazanin" w:eastAsia="IRNazanin" w:cs="IRNazanin"/>
          <w:lang w:bidi="fa-IR"/>
          <w:color w:val="111111"/>
          <w:sz w:val="28"/>
          <w:szCs w:val="28"/>
          <w:rtl/>
        </w:rPr>
        <w:t xml:space="preserve">۹۶. اصفهان؛ دانشگاه اصفهان؛ شماره نسخه: ۳۲۱/۶</w:t>
      </w:r>
    </w:p>
    <w:p>
      <w:pPr>
        <w:pStyle w:val="BookText"/>
      </w:pPr>
      <w:r>
        <w:rPr>
          <w:rFonts w:ascii="IRNazanin" w:hAnsi="IRNazanin" w:eastAsia="IRNazanin" w:cs="IRNazanin"/>
          <w:lang w:bidi="fa-IR"/>
          <w:color w:val="111111"/>
          <w:sz w:val="28"/>
          <w:szCs w:val="28"/>
          <w:rtl/>
        </w:rPr>
        <w:t xml:space="preserve">خط: نسخ، بی  کا، بی تا[ نشریه ۱۱ - ۹۴۰]</w:t>
      </w:r>
    </w:p>
    <w:p>
      <w:pPr>
        <w:pStyle w:val="BookText"/>
      </w:pPr>
      <w:r>
        <w:rPr>
          <w:rFonts w:ascii="IRNazanin" w:hAnsi="IRNazanin" w:eastAsia="IRNazanin" w:cs="IRNazanin"/>
          <w:lang w:bidi="fa-IR"/>
          <w:color w:val="111111"/>
          <w:sz w:val="28"/>
          <w:szCs w:val="28"/>
          <w:rtl/>
        </w:rPr>
        <w:t xml:space="preserve">۹۷. تهران؛ مجلس؛ شماره نسخه: ۶۵۵۱/۳</w:t>
      </w:r>
    </w:p>
    <w:p>
      <w:pPr>
        <w:pStyle w:val="BookText"/>
      </w:pPr>
      <w:r>
        <w:rPr>
          <w:rFonts w:ascii="IRNazanin" w:hAnsi="IRNazanin" w:eastAsia="IRNazanin" w:cs="IRNazanin"/>
          <w:lang w:bidi="fa-IR"/>
          <w:color w:val="111111"/>
          <w:sz w:val="28"/>
          <w:szCs w:val="28"/>
          <w:rtl/>
        </w:rPr>
        <w:t xml:space="preserve">فقط بخش مختصری از مقاله  دوم  کتاب؛ خط: نستعلیق، بی کا، بی تا؛ جلد: تیماج مشکی بدون مقوا، ۱۳گ (۱۲۵پ-۱۳۷ر)،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 ۲۰ - ۱۲۳]</w:t>
      </w:r>
    </w:p>
    <w:p>
      <w:pPr>
        <w:pStyle w:val="BookText"/>
      </w:pPr>
      <w:r>
        <w:rPr>
          <w:rFonts w:ascii="IRNazanin" w:hAnsi="IRNazanin" w:eastAsia="IRNazanin" w:cs="IRNazanin"/>
          <w:lang w:bidi="fa-IR"/>
          <w:color w:val="111111"/>
          <w:sz w:val="28"/>
          <w:szCs w:val="28"/>
          <w:rtl/>
        </w:rPr>
        <w:t xml:space="preserve">۹۸. رشت؛ جمعیت نشر فرهنگ؛ شماره نسخه: ۱۳۶۴/۱ الف</w:t>
      </w:r>
    </w:p>
    <w:p>
      <w:pPr>
        <w:pStyle w:val="BookText"/>
      </w:pPr>
      <w:r>
        <w:rPr>
          <w:rFonts w:ascii="IRNazanin" w:hAnsi="IRNazanin" w:eastAsia="IRNazanin" w:cs="IRNazanin"/>
          <w:lang w:bidi="fa-IR"/>
          <w:color w:val="111111"/>
          <w:sz w:val="28"/>
          <w:szCs w:val="28"/>
          <w:rtl/>
        </w:rPr>
        <w:t xml:space="preserve">بی کا، بی تا؛ جلد: چرمی، قطع: رحلی [رشت و همدان-ف: ۱۲۳۷]</w:t>
      </w:r>
    </w:p>
    <w:p>
      <w:pPr>
        <w:pStyle w:val="BookText"/>
      </w:pPr>
      <w:r>
        <w:rPr>
          <w:rFonts w:ascii="IRNazanin" w:hAnsi="IRNazanin" w:eastAsia="IRNazanin" w:cs="IRNazanin"/>
          <w:lang w:bidi="fa-IR"/>
          <w:color w:val="111111"/>
          <w:sz w:val="28"/>
          <w:szCs w:val="28"/>
          <w:rtl/>
        </w:rPr>
        <w:t xml:space="preserve">۹۹. اصفهان؛ دانشگاه اصفهان؛ شماره نسخه: ۲۲۵/۵</w:t>
      </w:r>
    </w:p>
    <w:p>
      <w:pPr>
        <w:pStyle w:val="BookText"/>
      </w:pPr>
      <w:r>
        <w:rPr>
          <w:rFonts w:ascii="IRNazanin" w:hAnsi="IRNazanin" w:eastAsia="IRNazanin" w:cs="IRNazanin"/>
          <w:lang w:bidi="fa-IR"/>
          <w:color w:val="111111"/>
          <w:sz w:val="28"/>
          <w:szCs w:val="28"/>
          <w:rtl/>
        </w:rPr>
        <w:t xml:space="preserve">خط: نسخ، کا: محمد شفیع  هروی، بی تا؛ جلد: تیماج دورو، ۷۰گ (304پ-307پ) ، اندازه: ۱۹/۵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۲۹سم [ف: ۱ - ۱۷۵]</w:t>
      </w:r>
    </w:p>
    <w:p>
      <w:pPr>
        <w:pStyle w:val="BookText"/>
      </w:pPr>
      <w:r>
        <w:rPr>
          <w:rFonts w:ascii="IRNazanin" w:hAnsi="IRNazanin" w:eastAsia="IRNazanin" w:cs="IRNazanin"/>
          <w:lang w:bidi="fa-IR"/>
          <w:color w:val="111111"/>
          <w:sz w:val="28"/>
          <w:szCs w:val="28"/>
          <w:rtl/>
        </w:rPr>
        <w:t xml:space="preserve">۱۰۰. گلپایگان؛ کتابخانه حجة الاسلام گلپایگانی؛ شماره نسخه: ۱۱۰/۱</w:t>
      </w:r>
    </w:p>
    <w:p>
      <w:pPr>
        <w:pStyle w:val="BookText"/>
      </w:pPr>
      <w:r>
        <w:rPr>
          <w:rFonts w:ascii="IRNazanin" w:hAnsi="IRNazanin" w:eastAsia="IRNazanin" w:cs="IRNazanin"/>
          <w:lang w:bidi="fa-IR"/>
          <w:color w:val="111111"/>
          <w:sz w:val="28"/>
          <w:szCs w:val="28"/>
          <w:rtl/>
        </w:rPr>
        <w:t xml:space="preserve">انجام: در کیفیت احوال مولود به وقت زادن قول بطلمیوس آن است که بنای آفرینش بر هفت</w:t>
      </w:r>
    </w:p>
    <w:p>
      <w:pPr>
        <w:pStyle w:val="BookText"/>
      </w:pPr>
      <w:r>
        <w:rPr>
          <w:rFonts w:ascii="IRNazanin" w:hAnsi="IRNazanin" w:eastAsia="IRNazanin" w:cs="IRNazanin"/>
          <w:lang w:bidi="fa-IR"/>
          <w:color w:val="111111"/>
          <w:sz w:val="28"/>
          <w:szCs w:val="28"/>
          <w:rtl/>
        </w:rPr>
        <w:t xml:space="preserve">خط: نستعلیق، بی کا، بی تا؛ افتادگی: انجام؛ جلد: تیماج دور رو ،قهوه ای ۳۸گ( ۳پ-۴۰ پ) ،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۱۹/۵سم [کتابخانه های گلپایگان - ف - ۸۶]</w:t>
      </w:r>
    </w:p>
    <w:p>
      <w:pPr>
        <w:pStyle w:val="BookText"/>
      </w:pPr>
      <w:r>
        <w:rPr>
          <w:rFonts w:ascii="IRNazanin" w:hAnsi="IRNazanin" w:eastAsia="IRNazanin" w:cs="IRNazanin"/>
          <w:lang w:bidi="fa-IR"/>
          <w:color w:val="111111"/>
          <w:sz w:val="28"/>
          <w:szCs w:val="28"/>
          <w:rtl/>
        </w:rPr>
        <w:t xml:space="preserve">۱۰۱ ،شیراز ،بغایری، عبدالرزاق؛ شماره نسخه: بدون شماره</w:t>
      </w:r>
    </w:p>
    <w:p>
      <w:pPr>
        <w:pStyle w:val="BookText"/>
      </w:pPr>
      <w:r>
        <w:rPr>
          <w:rFonts w:ascii="IRNazanin" w:hAnsi="IRNazanin" w:eastAsia="IRNazanin" w:cs="IRNazanin"/>
          <w:lang w:bidi="fa-IR"/>
          <w:color w:val="111111"/>
          <w:sz w:val="28"/>
          <w:szCs w:val="28"/>
          <w:rtl/>
        </w:rPr>
        <w:t xml:space="preserve">بی کا، بی تا؛ افتادگی: انجام [میراث اسلامی: ۵ – ۵۶۶]</w:t>
      </w:r>
    </w:p>
    <w:p>
      <w:pPr>
        <w:pStyle w:val="BookText"/>
      </w:pPr>
      <w:r>
        <w:rPr>
          <w:rFonts w:ascii="IRNazanin" w:hAnsi="IRNazanin" w:eastAsia="IRNazanin" w:cs="IRNazanin"/>
          <w:lang w:bidi="fa-IR"/>
          <w:color w:val="111111"/>
          <w:sz w:val="28"/>
          <w:szCs w:val="28"/>
          <w:rtl/>
        </w:rPr>
        <w:t xml:space="preserve">۱۰۲. کاشان؛ رضوی؛ شماره نسخه: ۷۷/۱</w:t>
      </w:r>
    </w:p>
    <w:p>
      <w:pPr>
        <w:pStyle w:val="BookText"/>
      </w:pPr>
      <w:r>
        <w:rPr>
          <w:rFonts w:ascii="IRNazanin" w:hAnsi="IRNazanin" w:eastAsia="IRNazanin" w:cs="IRNazanin"/>
          <w:lang w:bidi="fa-IR"/>
          <w:color w:val="111111"/>
          <w:sz w:val="28"/>
          <w:szCs w:val="28"/>
          <w:rtl/>
        </w:rPr>
        <w:t xml:space="preserve">خط: نستعلیق، بی کا، بی تا؛ قطع: ربعی[ نشریه: ۷ - ۴۰]</w:t>
      </w:r>
    </w:p>
    <w:p>
      <w:pPr>
        <w:pStyle w:val="BookText"/>
      </w:pPr>
      <w:r>
        <w:rPr>
          <w:rFonts w:ascii="IRNazanin" w:hAnsi="IRNazanin" w:eastAsia="IRNazanin" w:cs="IRNazanin"/>
          <w:lang w:bidi="fa-IR"/>
          <w:color w:val="111111"/>
          <w:sz w:val="28"/>
          <w:szCs w:val="28"/>
          <w:rtl/>
        </w:rPr>
        <w:t xml:space="preserve">۱۰۳ . قم؛ گلپایگانی؛ شماره نسخه: ۶۹۱۳-۳۵/۹۳</w:t>
      </w:r>
    </w:p>
    <w:p>
      <w:pPr>
        <w:pStyle w:val="BookText"/>
      </w:pPr>
      <w:r>
        <w:rPr>
          <w:rFonts w:ascii="IRNazanin" w:hAnsi="IRNazanin" w:eastAsia="IRNazanin" w:cs="IRNazanin"/>
          <w:lang w:bidi="fa-IR"/>
          <w:color w:val="111111"/>
          <w:sz w:val="28"/>
          <w:szCs w:val="28"/>
          <w:rtl/>
        </w:rPr>
        <w:t xml:space="preserve">آغاز: برابر؛ انجام: ثمره چهارم درختم پیشوای اصحاب احکام بطلمیسوس این علم را به لفظ صنعت خوانده است ... و اگر چه خود را در سلک مصنفان ندانست نشانه ساخت و از حق تعالی توفیق خواست در اتمام آن و هو ولي التوفيق</w:t>
      </w:r>
    </w:p>
    <w:p>
      <w:pPr>
        <w:pStyle w:val="BookText"/>
      </w:pPr>
      <w:r>
        <w:rPr>
          <w:rFonts w:ascii="IRNazanin" w:hAnsi="IRNazanin" w:eastAsia="IRNazanin" w:cs="IRNazanin"/>
          <w:lang w:bidi="fa-IR"/>
          <w:color w:val="111111"/>
          <w:sz w:val="28"/>
          <w:szCs w:val="28"/>
          <w:rtl/>
        </w:rPr>
        <w:t xml:space="preserve">خط: نستعلیق، بی کا، بی تا؛ جلد: تیماج سرخ مجدول با ترنج و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bookmarkStart w:id="405" w:name="pg20365_260568"/>
    <w:bookmarkEnd w:id="405"/>
    <w:p>
      <w:pPr>
        <w:pStyle w:val="BookText"/>
      </w:pPr>
      <w:r>
        <w:rPr>
          <w:rFonts w:ascii="IRNazanin" w:hAnsi="IRNazanin" w:eastAsia="IRNazanin" w:cs="IRNazanin"/>
          <w:lang w:bidi="fa-IR"/>
          <w:color w:val="111111"/>
          <w:sz w:val="28"/>
          <w:szCs w:val="28"/>
          <w:rtl/>
        </w:rPr>
        <w:t xml:space="preserve">سرترنج،  ۹۹گ، ۲۲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۱ - ۳۷۰]</w:t>
      </w:r>
    </w:p>
    <w:p>
      <w:pPr>
        <w:pStyle w:val="BookText"/>
      </w:pPr>
      <w:r>
        <w:rPr>
          <w:rFonts w:ascii="IRNazanin" w:hAnsi="IRNazanin" w:eastAsia="IRNazanin" w:cs="IRNazanin"/>
          <w:lang w:bidi="fa-IR"/>
          <w:color w:val="111111"/>
          <w:sz w:val="28"/>
          <w:szCs w:val="28"/>
          <w:rtl/>
        </w:rPr>
        <w:t xml:space="preserve">۱۰۴ . قم؛ گلپایگانی؛ شماره نسخه: ۷۰۶۹-۳۶/۶۹</w:t>
      </w:r>
    </w:p>
    <w:p>
      <w:pPr>
        <w:pStyle w:val="BookText"/>
      </w:pPr>
      <w:r>
        <w:rPr>
          <w:rFonts w:ascii="IRNazanin" w:hAnsi="IRNazanin" w:eastAsia="IRNazanin" w:cs="IRNazanin"/>
          <w:lang w:bidi="fa-IR"/>
          <w:color w:val="111111"/>
          <w:sz w:val="28"/>
          <w:szCs w:val="28"/>
          <w:rtl/>
        </w:rPr>
        <w:t xml:space="preserve">آغاز: قاسم خوانند سعبه چهاردهم در احکام مدبر وقاسم شـش اثمار، ثمره اول در احکام مدبر در پیش گفته ایم که ... کوکبی باشد که؛ انجام: ثمره نهم در تسیر دلیلی که میان دو ... اما جواب از روی قیاس است ... موضع تسیران دليل حاصل ليدو صاحـب حدان جزورا</w:t>
      </w:r>
    </w:p>
    <w:p>
      <w:pPr>
        <w:pStyle w:val="BookText"/>
      </w:pPr>
      <w:r>
        <w:rPr>
          <w:rFonts w:ascii="IRNazanin" w:hAnsi="IRNazanin" w:eastAsia="IRNazanin" w:cs="IRNazanin"/>
          <w:lang w:bidi="fa-IR"/>
          <w:color w:val="111111"/>
          <w:sz w:val="28"/>
          <w:szCs w:val="28"/>
          <w:rtl/>
        </w:rPr>
        <w:t xml:space="preserve">از «شعبه چهاردهم در احکام مدیر» تا «ثمره نهم از شعبه سیم شجره خامس»؛ خط: نسخ، بی کا، بی تا؛ افتادگی: آغاز و انجام ؛جلد: مقوای با عطف تیماج قهوه ای، ۱۹۷گ، ۱۷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۲۳سم [ف: ۱ - ۳۷۰]</w:t>
      </w:r>
    </w:p>
    <w:p>
      <w:pPr>
        <w:pStyle w:val="BookText"/>
      </w:pPr>
      <w:r>
        <w:rPr>
          <w:rFonts w:ascii="IRNazanin" w:hAnsi="IRNazanin" w:eastAsia="IRNazanin" w:cs="IRNazanin"/>
          <w:lang w:bidi="fa-IR"/>
          <w:color w:val="111111"/>
          <w:sz w:val="28"/>
          <w:szCs w:val="28"/>
          <w:rtl/>
        </w:rPr>
        <w:t xml:space="preserve">۱۰۵. تهران؛ دانشگاه؛ شماره نسخه: ۴۹۸</w:t>
      </w:r>
    </w:p>
    <w:p>
      <w:pPr>
        <w:pStyle w:val="BookText"/>
      </w:pPr>
      <w:r>
        <w:rPr>
          <w:rFonts w:ascii="IRNazanin" w:hAnsi="IRNazanin" w:eastAsia="IRNazanin" w:cs="IRNazanin"/>
          <w:lang w:bidi="fa-IR"/>
          <w:color w:val="111111"/>
          <w:sz w:val="28"/>
          <w:szCs w:val="28"/>
          <w:rtl/>
        </w:rPr>
        <w:t xml:space="preserve">آغاز: برابر؛ انجام: اگر چه این بنده خود را در صدد (صداد) مصنفان ندانست نشانه ساخت و از حق سبحانه (خدای) تعـالی  توفیق خواست بساختن او. و الله ولی التوفيق وهو حسبنا ونعم الوكيل (نعم المولى ونعم النصير و الحمدلله اولا و آخرا الحمد لله رب العالمين.</w:t>
      </w:r>
    </w:p>
    <w:p>
      <w:pPr>
        <w:pStyle w:val="BookText"/>
      </w:pPr>
      <w:r>
        <w:rPr>
          <w:rFonts w:ascii="IRNazanin" w:hAnsi="IRNazanin" w:eastAsia="IRNazanin" w:cs="IRNazanin"/>
          <w:lang w:bidi="fa-IR"/>
          <w:color w:val="111111"/>
          <w:sz w:val="28"/>
          <w:szCs w:val="28"/>
          <w:rtl/>
        </w:rPr>
        <w:t xml:space="preserve">خط: نستعلیق، بی کا، بی تا ؛کاغذ: فرنگی ،جلد: تیماج قهوه ای ضربی  مقوایی، ۱۴۸گ (۱پ - ۱۴۸)، ۱۵ سطر (7/5</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۲۴سم [ف: ۴ - ۸۳۱]</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تهران؛ دانشگاه؛ شماره نسخه: ۴۹۹/۱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بی تا، نام مخدوم زادگان (بدرالدین و سیـف  الدین)در دیباچه برده نشد، درگ ۱۶۰ و ۱۶۱ پ و 162ر  عباراتی هندی به خط فارسی هست و در ۱۶۲ر زایجه ای به سـال ۱۲۶۱ نوشته شد؛ مهر: صفی الدین محمد خان؛ کاغذ: سمرقندی، جلد: تیماج سرخ ضربی دو  لا، ۱۶۶گ، ۱۷ سطر (7</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۴ - ۸۳۳]</w:t>
      </w:r>
    </w:p>
    <w:p>
      <w:pPr>
        <w:pStyle w:val="BookText"/>
      </w:pPr>
      <w:r>
        <w:rPr>
          <w:rFonts w:ascii="IRNazanin" w:hAnsi="IRNazanin" w:eastAsia="IRNazanin" w:cs="IRNazanin"/>
          <w:lang w:bidi="fa-IR"/>
          <w:color w:val="111111"/>
          <w:sz w:val="28"/>
          <w:szCs w:val="28"/>
          <w:rtl/>
        </w:rPr>
        <w:t xml:space="preserve">۱۰۷. تهران؛ دانشگاه؛ شماره نسخه: ۳۵۴۲/۱-ف</w:t>
      </w:r>
    </w:p>
    <w:p>
      <w:pPr>
        <w:pStyle w:val="BookText"/>
      </w:pPr>
      <w:r>
        <w:rPr>
          <w:rFonts w:ascii="IRNazanin" w:hAnsi="IRNazanin" w:eastAsia="IRNazanin" w:cs="IRNazanin"/>
          <w:lang w:bidi="fa-IR"/>
          <w:color w:val="111111"/>
          <w:sz w:val="28"/>
          <w:szCs w:val="28"/>
          <w:rtl/>
        </w:rPr>
        <w:t xml:space="preserve">نسخه اصل: کتابخانه رضوی در کاشان ش ۳۷۴؛ بی کا ، بی تا[ فیلم ها-ف: ۲ - ۱۷۵]</w:t>
      </w:r>
    </w:p>
    <w:p>
      <w:pPr>
        <w:pStyle w:val="BookText"/>
      </w:pPr>
      <w:r>
        <w:rPr>
          <w:rFonts w:ascii="IRNazanin" w:hAnsi="IRNazanin" w:eastAsia="IRNazanin" w:cs="IRNazanin"/>
          <w:lang w:bidi="fa-IR"/>
          <w:color w:val="111111"/>
          <w:sz w:val="28"/>
          <w:szCs w:val="28"/>
          <w:rtl/>
        </w:rPr>
        <w:t xml:space="preserve">۱۰۸ . تهران؛ دانشگاه؛ شماره نسخه: ۸۸۴۰/۲</w:t>
      </w:r>
    </w:p>
    <w:p>
      <w:pPr>
        <w:pStyle w:val="BookText"/>
      </w:pPr>
      <w:r>
        <w:rPr>
          <w:rFonts w:ascii="IRNazanin" w:hAnsi="IRNazanin" w:eastAsia="IRNazanin" w:cs="IRNazanin"/>
          <w:lang w:bidi="fa-IR"/>
          <w:color w:val="111111"/>
          <w:sz w:val="28"/>
          <w:szCs w:val="28"/>
          <w:rtl/>
        </w:rPr>
        <w:t xml:space="preserve">خط: نسخ، کا: عبدعلی، بی تا؛  کاغذ: سپاهانی، جلد: تیماج مشکی مقوایی، ۱۳۳گ (۴۳پ -۱۷۵ر)، ۲۱ سطر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 قطع: ربـعی[ ف: ۱۷ - ۲۳۳]</w:t>
      </w:r>
    </w:p>
    <w:p>
      <w:pPr>
        <w:pStyle w:val="BookText"/>
      </w:pPr>
      <w:r>
        <w:rPr>
          <w:rFonts w:ascii="IRNazanin" w:hAnsi="IRNazanin" w:eastAsia="IRNazanin" w:cs="IRNazanin"/>
          <w:lang w:bidi="fa-IR"/>
          <w:color w:val="111111"/>
          <w:sz w:val="28"/>
          <w:szCs w:val="28"/>
          <w:rtl/>
        </w:rPr>
        <w:t xml:space="preserve">۱۰۹. تهران؛ ملک؛ شماره نسخه: ۳۱۵۲/۳</w:t>
      </w:r>
    </w:p>
    <w:p>
      <w:pPr>
        <w:pStyle w:val="BookText"/>
      </w:pPr>
      <w:r>
        <w:rPr>
          <w:rFonts w:ascii="IRNazanin" w:hAnsi="IRNazanin" w:eastAsia="IRNazanin" w:cs="IRNazanin"/>
          <w:lang w:bidi="fa-IR"/>
          <w:color w:val="111111"/>
          <w:sz w:val="28"/>
          <w:szCs w:val="28"/>
          <w:rtl/>
        </w:rPr>
        <w:t xml:space="preserve">خط: نستعلیق و شکسته نستعلیق، بی کا، بی تا؛ مجدول؛ کاغذ: پسته ای ،جلد: میشن لایی آلبالویی سیر، 1و 19 سطر، اندازه:۱۰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۶ - ۲۴۷]</w:t>
      </w:r>
    </w:p>
    <w:p>
      <w:pPr>
        <w:pStyle w:val="BookText"/>
      </w:pPr>
      <w:r>
        <w:rPr>
          <w:rFonts w:ascii="IRNazanin" w:hAnsi="IRNazanin" w:eastAsia="IRNazanin" w:cs="IRNazanin"/>
          <w:lang w:bidi="fa-IR"/>
          <w:color w:val="111111"/>
          <w:sz w:val="28"/>
          <w:szCs w:val="28"/>
          <w:rtl/>
        </w:rPr>
        <w:t xml:space="preserve">۱۱۰. تهران؛ ملک؛ شماره نسخه: ۳۶۳۷/۲</w:t>
      </w:r>
    </w:p>
    <w:p>
      <w:pPr>
        <w:pStyle w:val="BookText"/>
      </w:pPr>
      <w:r>
        <w:rPr>
          <w:rFonts w:ascii="IRNazanin" w:hAnsi="IRNazanin" w:eastAsia="IRNazanin" w:cs="IRNazanin"/>
          <w:lang w:bidi="fa-IR"/>
          <w:color w:val="111111"/>
          <w:sz w:val="28"/>
          <w:szCs w:val="28"/>
          <w:rtl/>
        </w:rPr>
        <w:t xml:space="preserve">خط:نسخ، کا: محمد علی بن علی اکبر نائینی  اصفهانی، بی تا؛ کاغذ: پسته ای  آبی ،جلد: میشن سیاه، ۲۲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  [ ف: ۷ - ۸]</w:t>
      </w:r>
    </w:p>
    <w:p>
      <w:pPr>
        <w:pStyle w:val="BookText"/>
      </w:pPr>
      <w:r>
        <w:rPr>
          <w:rFonts w:ascii="IRNazanin" w:hAnsi="IRNazanin" w:eastAsia="IRNazanin" w:cs="IRNazanin"/>
          <w:lang w:bidi="fa-IR"/>
          <w:color w:val="111111"/>
          <w:sz w:val="28"/>
          <w:szCs w:val="28"/>
          <w:rtl/>
        </w:rPr>
        <w:t xml:space="preserve">۱۱۱. تهران؛ سپهسالار؛ شماره نسخه: ۸۲۴۶/۲</w:t>
      </w:r>
    </w:p>
    <w:p>
      <w:pPr>
        <w:pStyle w:val="BookText"/>
      </w:pPr>
      <w:r>
        <w:rPr>
          <w:rFonts w:ascii="IRNazanin" w:hAnsi="IRNazanin" w:eastAsia="IRNazanin" w:cs="IRNazanin"/>
          <w:lang w:bidi="fa-IR"/>
          <w:color w:val="111111"/>
          <w:sz w:val="28"/>
          <w:szCs w:val="28"/>
          <w:rtl/>
        </w:rPr>
        <w:t xml:space="preserve">خط: نسخ، بی کا، بی تا؛ کاغذ: اصفهانی، جلد: تیماج قهوه ای فرسوده یک  لا، ۱۱۰گ (۱۲۷ پ- ۲۳۶ر) ۱۸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۳ - ۱۳۸]</w:t>
      </w:r>
    </w:p>
    <w:p>
      <w:pPr>
        <w:pStyle w:val="BookText"/>
      </w:pPr>
      <w:r>
        <w:rPr>
          <w:rFonts w:ascii="IRNazanin" w:hAnsi="IRNazanin" w:eastAsia="IRNazanin" w:cs="IRNazanin"/>
          <w:lang w:bidi="fa-IR"/>
          <w:color w:val="111111"/>
          <w:sz w:val="28"/>
          <w:szCs w:val="28"/>
          <w:rtl/>
        </w:rPr>
        <w:t xml:space="preserve">۱۱۲ . قم؛ گلپایگانی؛ شماره نسخه: ۱۲۸۶-۷/۱۸۶</w:t>
      </w:r>
    </w:p>
    <w:p>
      <w:pPr>
        <w:pStyle w:val="BookText"/>
      </w:pPr>
      <w:r>
        <w:rPr>
          <w:rFonts w:ascii="IRNazanin" w:hAnsi="IRNazanin" w:eastAsia="IRNazanin" w:cs="IRNazanin"/>
          <w:lang w:bidi="fa-IR"/>
          <w:color w:val="111111"/>
          <w:sz w:val="28"/>
          <w:szCs w:val="28"/>
          <w:rtl/>
        </w:rPr>
        <w:t xml:space="preserve">آغاز: برابر؛ انجام: ثمره :یازدهم حکم ارباب مثلثات در هر بیت رفته است پس هر کدام از این سه باب که قوی حال تر بود ... شجره پنجم: در اعمال تسییرات و احکام مدبر و قاسم و احکام هفت زیان بر مولود</w:t>
      </w:r>
    </w:p>
    <w:p>
      <w:pPr>
        <w:pStyle w:val="BookText"/>
      </w:pPr>
      <w:r>
        <w:rPr>
          <w:rFonts w:ascii="IRNazanin" w:hAnsi="IRNazanin" w:eastAsia="IRNazanin" w:cs="IRNazanin"/>
          <w:lang w:bidi="fa-IR"/>
          <w:color w:val="111111"/>
          <w:sz w:val="28"/>
          <w:szCs w:val="28"/>
          <w:rtl/>
        </w:rPr>
        <w:t xml:space="preserve">از اول کتاب تا اول «شجره پنجم در اعمال تسييرات»؛ خط: نسخ، بی کا، بی تا؛ افتادگی: انجام ؛جلد: مقوا، عطف ، پارچه، ۷۹گ، ۱۸ سطر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۱۸/۵سم [ف: ۱ - ۳۷۰]</w:t>
      </w:r>
    </w:p>
    <w:p>
      <w:pPr>
        <w:pStyle w:val="BookText"/>
      </w:pPr>
      <w:r>
        <w:rPr>
          <w:rFonts w:ascii="IRNazanin" w:hAnsi="IRNazanin" w:eastAsia="IRNazanin" w:cs="IRNazanin"/>
          <w:lang w:bidi="fa-IR"/>
          <w:color w:val="111111"/>
          <w:sz w:val="28"/>
          <w:szCs w:val="28"/>
          <w:rtl/>
        </w:rPr>
        <w:t xml:space="preserve">۱۱۳ . قم؛ مسجد اعظم؛ شماره نسخه: ۱۱۰۸</w:t>
      </w:r>
    </w:p>
    <w:p>
      <w:pPr>
        <w:pStyle w:val="BookText"/>
      </w:pPr>
      <w:r>
        <w:rPr>
          <w:rFonts w:ascii="IRNazanin" w:hAnsi="IRNazanin" w:eastAsia="IRNazanin" w:cs="IRNazanin"/>
          <w:lang w:bidi="fa-IR"/>
          <w:color w:val="111111"/>
          <w:sz w:val="28"/>
          <w:szCs w:val="28"/>
          <w:rtl/>
        </w:rPr>
        <w:t xml:space="preserve">آغاز: برابر؛ انجام: ششم او را در احکام طالع تحویل و برج انتها و هفتم در طالع وقت و انواع ضمیرها</w:t>
      </w:r>
    </w:p>
    <w:p>
      <w:pPr>
        <w:pStyle w:val="BookText"/>
      </w:pPr>
      <w:r>
        <w:rPr>
          <w:rFonts w:ascii="IRNazanin" w:hAnsi="IRNazanin" w:eastAsia="IRNazanin" w:cs="IRNazanin"/>
          <w:lang w:bidi="fa-IR"/>
          <w:color w:val="111111"/>
          <w:sz w:val="28"/>
          <w:szCs w:val="28"/>
          <w:rtl/>
        </w:rPr>
        <w:t xml:space="preserve">خط: نستعلیق، بی کا، بی تا ؛جلد: تیماج قهوه ای با ترنج و سر، ۷۱گ، مختلف السطر ،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۲۶سم [ف مخ: ۱- ۱۵۵]</w:t>
      </w:r>
    </w:p>
    <w:p>
      <w:pPr>
        <w:pStyle w:val="BookText"/>
      </w:pPr>
      <w:r>
        <w:rPr>
          <w:rFonts w:ascii="IRNazanin" w:hAnsi="IRNazanin" w:eastAsia="IRNazanin" w:cs="IRNazanin"/>
          <w:lang w:bidi="fa-IR"/>
          <w:color w:val="111111"/>
          <w:sz w:val="28"/>
          <w:szCs w:val="28"/>
          <w:rtl/>
        </w:rPr>
        <w:t xml:space="preserve">۱۱۴. تهران؛ مجلس؛ شماره نسخه: ۶۴۰۰/۳</w:t>
      </w:r>
    </w:p>
    <w:p>
      <w:pPr>
        <w:pStyle w:val="BookText"/>
      </w:pPr>
      <w:r>
        <w:rPr>
          <w:rFonts w:ascii="IRNazanin" w:hAnsi="IRNazanin" w:eastAsia="IRNazanin" w:cs="IRNazanin"/>
          <w:lang w:bidi="fa-IR"/>
          <w:color w:val="111111"/>
          <w:sz w:val="28"/>
          <w:szCs w:val="28"/>
          <w:rtl/>
        </w:rPr>
        <w:t xml:space="preserve">بی  کا، بی تا؛ کاغذ: سمرقندی ضخیم شکری، جلد: تیماج مشکی  رنگ، ۱۸۲ ص ،(۵-۱۸۶)، قطع: رقعی [ف: ۱۹ - ۵۳۶]</w:t>
      </w:r>
    </w:p>
    <w:p>
      <w:pPr>
        <w:pStyle w:val="Heading3"/>
      </w:pPr>
      <w:bookmarkStart w:id="1909" w:name="_Toc1431"/>
      <w:r>
        <w:t>اشجار و اثمار / هیئت / فارسی</w:t>
      </w:r>
      <w:bookmarkEnd w:id="1909"/>
    </w:p>
    <w:p>
      <w:pPr>
        <w:pStyle w:val="BookText"/>
      </w:pPr>
      <w:r>
        <w:rPr>
          <w:rFonts w:ascii="Times New Roman" w:hAnsi="Times New Roman" w:eastAsia="Times New Roman" w:cs="Times New Roman"/>
          <w:lang w:val="en-US" w:bidi="en-US"/>
          <w:color w:val="111111"/>
          <w:sz w:val="28"/>
          <w:szCs w:val="28"/>
          <w:rtl/>
        </w:rPr>
        <w:t xml:space="preserve">ašjār va asmār</w:t>
      </w:r>
    </w:p>
    <w:p>
      <w:pPr>
        <w:pStyle w:val="BookText"/>
      </w:pPr>
      <w:r>
        <w:rPr>
          <w:rFonts w:ascii="IRNazanin" w:hAnsi="IRNazanin" w:eastAsia="IRNazanin" w:cs="IRNazanin"/>
          <w:lang w:bidi="fa-IR"/>
          <w:color w:val="111111"/>
          <w:sz w:val="28"/>
          <w:szCs w:val="28"/>
          <w:rtl/>
        </w:rPr>
        <w:t xml:space="preserve">اختیار نجومی، احمد بن محمد، ق ۱۱ قمری</w:t>
      </w:r>
    </w:p>
    <w:p>
      <w:pPr>
        <w:pStyle w:val="BookText"/>
      </w:pPr>
      <w:r>
        <w:rPr>
          <w:rFonts w:ascii="Times New Roman" w:hAnsi="Times New Roman" w:eastAsia="Times New Roman" w:cs="Times New Roman"/>
          <w:lang w:val="en-US" w:bidi="en-US"/>
          <w:color w:val="111111"/>
          <w:sz w:val="28"/>
          <w:szCs w:val="28"/>
          <w:rtl/>
        </w:rPr>
        <w:t xml:space="preserve">(extīyār-e nojūmī, ahmad ebn-e mohammad (- 17c)</w:t>
      </w:r>
    </w:p>
    <w:p>
      <w:pPr>
        <w:pStyle w:val="BookText"/>
      </w:pPr>
      <w:r>
        <w:rPr>
          <w:rFonts w:ascii="IRNazanin" w:hAnsi="IRNazanin" w:eastAsia="IRNazanin" w:cs="IRNazanin"/>
          <w:lang w:bidi="fa-IR"/>
          <w:color w:val="111111"/>
          <w:sz w:val="28"/>
          <w:szCs w:val="28"/>
          <w:rtl/>
        </w:rPr>
        <w:t xml:space="preserve">احکام نجومی، ستاره شناسی ،تقویم، احکام، طالع و قرآن را در شش «باب» و چند «فصل» بیان کرده است: باب ۱. احکام قرانات كواكب حاوی شش «فصل»؛ ۲. احكام نظرات كواكب سبعه سیاره و احتراقات و اجتماعات و استقبالات و تأسیسات و مجاسدات، در هفت فصل؛ ۳. احکام تحویلات کواکب به بروج اثنى عشر، مشتمل بر نه فصل؛ ۴.احکام رجعت و استقامت و ظهور و خفا و تشریق و تغریب کواکب متحیره، شامل سه فصل؛ ۵. احکام شرف و هبوط و وبال و اوج و حضیض کواکب، در سه فصل؛ ۶. احکام اشیاء متفرقه در پنج فصل.</w:t>
      </w:r>
    </w:p>
    <w:p>
      <w:pPr>
        <w:pStyle w:val="BookText"/>
      </w:pPr>
      <w:r>
        <w:rPr>
          <w:rFonts w:ascii="IRNazanin" w:hAnsi="IRNazanin" w:eastAsia="IRNazanin" w:cs="IRNazanin"/>
          <w:lang w:bidi="fa-IR"/>
          <w:color w:val="111111"/>
          <w:sz w:val="28"/>
          <w:szCs w:val="28"/>
          <w:rtl/>
        </w:rPr>
        <w:t xml:space="preserve">مشهد؛ گوهر شاد؛ شماره نسخه: ۱۷۹۴</w:t>
      </w:r>
    </w:p>
    <w:p>
      <w:pPr>
        <w:pStyle w:val="BookText"/>
      </w:pPr>
      <w:r>
        <w:rPr>
          <w:rFonts w:ascii="IRNazanin" w:hAnsi="IRNazanin" w:eastAsia="IRNazanin" w:cs="IRNazanin"/>
          <w:lang w:bidi="fa-IR"/>
          <w:color w:val="111111"/>
          <w:sz w:val="28"/>
          <w:szCs w:val="28"/>
          <w:rtl/>
        </w:rPr>
        <w:t xml:space="preserve">آغاز: چنین گوید ذره احقر و بنده کمتر اعنى ابن (نام مؤلف افتاده) که چون همیشه خاطر فیض مآثر ضمیر منیر پادشاه (اسم او افتاده)... که از ارکان احکام است نیکو ملاحظه کند؛ انجام: و  اگر در وقت طلوع آفتاب شگ در میان آبادانی گریه کند... كتاب اشجار الاثمار ... احمد بن محمد ملقب به اختیار</w:t>
      </w:r>
    </w:p>
    <w:p>
      <w:pPr>
        <w:pStyle w:val="BookText"/>
      </w:pPr>
      <w:r>
        <w:rPr>
          <w:rFonts w:ascii="IRNazanin" w:hAnsi="IRNazanin" w:eastAsia="IRNazanin" w:cs="IRNazanin"/>
          <w:lang w:bidi="fa-IR"/>
          <w:color w:val="111111"/>
          <w:sz w:val="28"/>
          <w:szCs w:val="28"/>
          <w:rtl/>
        </w:rPr>
        <w:t xml:space="preserve">در «تنبیه» آن چنین آمده در سنه ۱۰۲۷ هجری چنان اتفاق افتاد که مریخ و شمس و عطارد در بیت عاشر طالع استقبال مقدم بر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bookmarkStart w:id="406" w:name="pg20365_260569"/>
    <w:bookmarkEnd w:id="406"/>
    <w:p>
      <w:pPr>
        <w:pStyle w:val="BookText"/>
      </w:pPr>
      <w:r>
        <w:rPr>
          <w:rFonts w:ascii="IRNazanin" w:hAnsi="IRNazanin" w:eastAsia="IRNazanin" w:cs="IRNazanin"/>
          <w:lang w:bidi="fa-IR"/>
          <w:color w:val="111111"/>
          <w:sz w:val="28"/>
          <w:szCs w:val="28"/>
          <w:rtl/>
        </w:rPr>
        <w:t xml:space="preserve">سال واقع شدند ... کمینه در احکام تقاویم ایراد نمود که در این سال یمکن یکی از ذوات الاذناب ظاهر گردد؛ خط: نستعلیق،کا: محمد بن صدر الدین، تا: نیمه اول قرن ۱۲؛ افتادگی: آغاز انجام؛ مصحح، مقابله شده در جمادی الثانی ۱۱۳۵ ؛واقف: سید سعید طباطبایی، ۱۳۳۲؛ کاغذ: نخودی آهار مهره  بیاضی، جـلد: تیماج ضربی عنابی یک لا، ۲۴۳گ، ۱۷ سطر، قطع: بیاضی، اندازه:۱۰/۵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۵ - ۲۱۵]</w:t>
      </w:r>
    </w:p>
    <w:p>
      <w:pPr>
        <w:pStyle w:val="Heading3"/>
      </w:pPr>
      <w:bookmarkStart w:id="1910" w:name="_Toc1432"/>
      <w:r>
        <w:t>اشجار و اثمار الرمل / علوم غریبه / فارسی</w:t>
      </w:r>
      <w:bookmarkEnd w:id="1910"/>
    </w:p>
    <w:p>
      <w:pPr>
        <w:pStyle w:val="BookText"/>
      </w:pPr>
      <w:r>
        <w:rPr>
          <w:rFonts w:ascii="Times New Roman" w:hAnsi="Times New Roman" w:eastAsia="Times New Roman" w:cs="Times New Roman"/>
          <w:lang w:val="en-US" w:bidi="en-US"/>
          <w:color w:val="111111"/>
          <w:sz w:val="28"/>
          <w:szCs w:val="28"/>
          <w:rtl/>
        </w:rPr>
        <w:t xml:space="preserve">ašjār va asmār-or raml</w:t>
      </w:r>
    </w:p>
    <w:p>
      <w:pPr>
        <w:pStyle w:val="BookText"/>
      </w:pPr>
      <w:r>
        <w:rPr>
          <w:rFonts w:ascii="IRNazanin" w:hAnsi="IRNazanin" w:eastAsia="IRNazanin" w:cs="IRNazanin"/>
          <w:lang w:bidi="fa-IR"/>
          <w:color w:val="111111"/>
          <w:sz w:val="28"/>
          <w:szCs w:val="28"/>
          <w:rtl/>
        </w:rPr>
        <w:t xml:space="preserve">مشهد؛ رضوی؛ شماره نسخه: ۲۵۵۱۵</w:t>
      </w:r>
    </w:p>
    <w:p>
      <w:pPr>
        <w:pStyle w:val="BookText"/>
      </w:pPr>
      <w:r>
        <w:rPr>
          <w:rFonts w:ascii="IRNazanin" w:hAnsi="IRNazanin" w:eastAsia="IRNazanin" w:cs="IRNazanin"/>
          <w:lang w:bidi="fa-IR"/>
          <w:color w:val="111111"/>
          <w:sz w:val="28"/>
          <w:szCs w:val="28"/>
          <w:rtl/>
        </w:rPr>
        <w:t xml:space="preserve">آغاز: بسمله سوف ترى اذا انجلى الغبار (كذا)؛ انجام: و اعتراض جتهل را اعتباری نباشد ... تحریر پذیرفت</w:t>
      </w:r>
    </w:p>
    <w:p>
      <w:pPr>
        <w:pStyle w:val="BookText"/>
      </w:pPr>
      <w:r>
        <w:rPr>
          <w:rFonts w:ascii="IRNazanin" w:hAnsi="IRNazanin" w:eastAsia="IRNazanin" w:cs="IRNazanin"/>
          <w:lang w:bidi="fa-IR"/>
          <w:color w:val="111111"/>
          <w:sz w:val="28"/>
          <w:szCs w:val="28"/>
          <w:rtl/>
        </w:rPr>
        <w:t xml:space="preserve">خط: نستعلیق، کا: حسین بن احمد  تبریزی، تا: ۱۳۰۳ق [رایانه]</w:t>
      </w:r>
    </w:p>
    <w:p>
      <w:pPr>
        <w:pStyle w:val="Heading3"/>
      </w:pPr>
      <w:bookmarkStart w:id="1911" w:name="_Toc1433"/>
      <w:r>
        <w:t>اشجار و اثمار (ترجمه) / هیئت / ترکی</w:t>
      </w:r>
      <w:bookmarkEnd w:id="1911"/>
    </w:p>
    <w:p>
      <w:pPr>
        <w:pStyle w:val="BookText"/>
      </w:pPr>
      <w:r>
        <w:rPr>
          <w:rFonts w:ascii="Times New Roman" w:hAnsi="Times New Roman" w:eastAsia="Times New Roman" w:cs="Times New Roman"/>
          <w:lang w:val="en-US" w:bidi="en-US"/>
          <w:color w:val="111111"/>
          <w:sz w:val="28"/>
          <w:szCs w:val="28"/>
          <w:rtl/>
        </w:rPr>
        <w:t xml:space="preserve">(ašjār va asmār (t.)</w:t>
      </w:r>
    </w:p>
    <w:p>
      <w:pPr>
        <w:pStyle w:val="BookText"/>
      </w:pPr>
      <w:r>
        <w:rPr>
          <w:rFonts w:ascii="Amiri" w:hAnsi="Amiri" w:eastAsia="Amiri" w:cs="Amiri"/>
          <w:lang w:bidi="ar-SA"/>
          <w:color w:val="111111"/>
          <w:sz w:val="28"/>
          <w:szCs w:val="28"/>
          <w:rtl/>
        </w:rPr>
        <w:t xml:space="preserve">افندى، عبد العزيز ، ق ۱۲ قمرى</w:t>
      </w:r>
    </w:p>
    <w:p>
      <w:pPr>
        <w:pStyle w:val="BookText"/>
      </w:pPr>
      <w:r>
        <w:rPr>
          <w:rFonts w:ascii="Times New Roman" w:hAnsi="Times New Roman" w:eastAsia="Times New Roman" w:cs="Times New Roman"/>
          <w:lang w:val="en-US" w:bidi="en-US"/>
          <w:color w:val="111111"/>
          <w:sz w:val="28"/>
          <w:szCs w:val="28"/>
          <w:rtl/>
        </w:rPr>
        <w:t xml:space="preserve">(afandī, ‘abd-ol-‘azīz (- 18c)</w:t>
      </w:r>
    </w:p>
    <w:p>
      <w:pPr>
        <w:pStyle w:val="BookText"/>
      </w:pPr>
      <w:r>
        <w:rPr>
          <w:rFonts w:ascii="IRNazanin" w:hAnsi="IRNazanin" w:eastAsia="IRNazanin" w:cs="IRNazanin"/>
          <w:lang w:bidi="fa-IR"/>
          <w:color w:val="111111"/>
          <w:sz w:val="28"/>
          <w:szCs w:val="28"/>
          <w:rtl/>
        </w:rPr>
        <w:t xml:space="preserve">وابسته به: اشجار و اثمار = اثمار و اشجار = ثمره و شجـره؛ بخاری خوارزمی، علیشاه بن محمد (۶۲۴-۶۹۵)</w:t>
      </w:r>
    </w:p>
    <w:p>
      <w:pPr>
        <w:pStyle w:val="BookText"/>
      </w:pPr>
      <w:r>
        <w:rPr>
          <w:rFonts w:ascii="IRNazanin" w:hAnsi="IRNazanin" w:eastAsia="IRNazanin" w:cs="IRNazanin"/>
          <w:lang w:bidi="fa-IR"/>
          <w:color w:val="111111"/>
          <w:sz w:val="28"/>
          <w:szCs w:val="28"/>
          <w:rtl/>
        </w:rPr>
        <w:t xml:space="preserve">تاریخ تألیف: شوال ۱۱۷۹ق</w:t>
      </w:r>
    </w:p>
    <w:p>
      <w:pPr>
        <w:pStyle w:val="BookText"/>
      </w:pPr>
      <w:r>
        <w:rPr>
          <w:rFonts w:ascii="IRNazanin" w:hAnsi="IRNazanin" w:eastAsia="IRNazanin" w:cs="IRNazanin"/>
          <w:lang w:bidi="fa-IR"/>
          <w:color w:val="111111"/>
          <w:sz w:val="28"/>
          <w:szCs w:val="28"/>
          <w:rtl/>
        </w:rPr>
        <w:t xml:space="preserve">اهدا به: سلطان مصطفى بن سلطان احمد خان عثمانی</w:t>
      </w:r>
    </w:p>
    <w:p>
      <w:pPr>
        <w:pStyle w:val="BookText"/>
      </w:pPr>
      <w:r>
        <w:rPr>
          <w:rFonts w:ascii="IRNazanin" w:hAnsi="IRNazanin" w:eastAsia="IRNazanin" w:cs="IRNazanin"/>
          <w:lang w:bidi="fa-IR"/>
          <w:color w:val="111111"/>
          <w:sz w:val="28"/>
          <w:szCs w:val="28"/>
          <w:rtl/>
        </w:rPr>
        <w:t xml:space="preserve">اصل از علی شاه خوارزمی است که عبدالعزیز افندی آن را  به ترکی ترجمه کرده است.</w:t>
      </w:r>
    </w:p>
    <w:p>
      <w:pPr>
        <w:pStyle w:val="BookText"/>
      </w:pPr>
      <w:r>
        <w:rPr>
          <w:rFonts w:ascii="IRNazanin" w:hAnsi="IRNazanin" w:eastAsia="IRNazanin" w:cs="IRNazanin"/>
          <w:lang w:bidi="fa-IR"/>
          <w:color w:val="111111"/>
          <w:sz w:val="28"/>
          <w:szCs w:val="28"/>
          <w:rtl/>
        </w:rPr>
        <w:t xml:space="preserve">[دنا ۸۴۹/۱]</w:t>
      </w:r>
    </w:p>
    <w:p>
      <w:pPr>
        <w:pStyle w:val="BookText"/>
      </w:pPr>
      <w:r>
        <w:rPr>
          <w:rFonts w:ascii="IRNazanin" w:hAnsi="IRNazanin" w:eastAsia="IRNazanin" w:cs="IRNazanin"/>
          <w:lang w:bidi="fa-IR"/>
          <w:color w:val="111111"/>
          <w:sz w:val="28"/>
          <w:szCs w:val="28"/>
          <w:rtl/>
        </w:rPr>
        <w:t xml:space="preserve">تهران؛ سپهسالار؛ شماره نسخه: ۴۶۳۲</w:t>
      </w:r>
    </w:p>
    <w:p>
      <w:pPr>
        <w:pStyle w:val="BookText"/>
      </w:pPr>
      <w:r>
        <w:rPr>
          <w:rFonts w:ascii="IRNazanin" w:hAnsi="IRNazanin" w:eastAsia="IRNazanin" w:cs="IRNazanin"/>
          <w:lang w:bidi="fa-IR"/>
          <w:color w:val="111111"/>
          <w:sz w:val="28"/>
          <w:szCs w:val="28"/>
          <w:rtl/>
        </w:rPr>
        <w:t xml:space="preserve">آغاز: بسمله. حمد و سپاس بیحد و قیاس اول مالک الملک علی الاطلاق و فیاض گلشن سرای انفس و آفاق؛ انجام: کلدی بـوی تاریخ تام ترجمه اولدی تمام ... (زايجه اتمام مؤلف و زایجه اتـمام مترجم) الكوكب السعد محيل طبعه ...و يدل على النقض و الزبـول و الضعف جامع شامی م م م</w:t>
      </w:r>
    </w:p>
    <w:p>
      <w:pPr>
        <w:pStyle w:val="BookText"/>
      </w:pPr>
      <w:r>
        <w:rPr>
          <w:rFonts w:ascii="IRNazanin" w:hAnsi="IRNazanin" w:eastAsia="IRNazanin" w:cs="IRNazanin"/>
          <w:lang w:bidi="fa-IR"/>
          <w:color w:val="111111"/>
          <w:sz w:val="28"/>
          <w:szCs w:val="28"/>
          <w:rtl/>
        </w:rPr>
        <w:t xml:space="preserve">خط: نستعلیق ترک، بی کا، تا: قرن ۱۱ ؛کاغذ: فرنگی رنگارنگ ،جلد: تیماج مشکی مقوایی یک  لا، ۲۰۳گ، ۲۳ سطر، اندازه: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۳ - ۳۹۸]</w:t>
      </w:r>
    </w:p>
    <w:p>
      <w:pPr>
        <w:pStyle w:val="BookText"/>
      </w:pPr>
      <w:r>
        <w:rPr>
          <w:rFonts w:ascii="IRNazanin" w:hAnsi="IRNazanin" w:eastAsia="IRNazanin" w:cs="IRNazanin"/>
          <w:lang w:bidi="fa-IR"/>
          <w:color w:val="111111"/>
          <w:sz w:val="28"/>
          <w:szCs w:val="28"/>
          <w:rtl/>
        </w:rPr>
        <w:t xml:space="preserve">«اشجار و اثمار (منتخب) » شجره و ثمره (منتخب)</w:t>
      </w:r>
    </w:p>
    <w:p>
      <w:pPr>
        <w:pStyle w:val="Heading3"/>
      </w:pPr>
      <w:bookmarkStart w:id="1912" w:name="_Toc1434"/>
      <w:r>
        <w:t>اشجار و احجار / طبیعیات / فارسی</w:t>
      </w:r>
      <w:bookmarkEnd w:id="1912"/>
    </w:p>
    <w:p>
      <w:pPr>
        <w:pStyle w:val="BookText"/>
      </w:pPr>
      <w:r>
        <w:rPr>
          <w:rFonts w:ascii="Times New Roman" w:hAnsi="Times New Roman" w:eastAsia="Times New Roman" w:cs="Times New Roman"/>
          <w:lang w:val="en-US" w:bidi="en-US"/>
          <w:color w:val="111111"/>
          <w:sz w:val="28"/>
          <w:szCs w:val="28"/>
          <w:rtl/>
        </w:rPr>
        <w:t xml:space="preserve">ašjār va ahjār</w:t>
      </w:r>
    </w:p>
    <w:p>
      <w:pPr>
        <w:pStyle w:val="BookText"/>
      </w:pPr>
      <w:r>
        <w:rPr>
          <w:rFonts w:ascii="IRNazanin" w:hAnsi="IRNazanin" w:eastAsia="IRNazanin" w:cs="IRNazanin"/>
          <w:lang w:bidi="fa-IR"/>
          <w:color w:val="111111"/>
          <w:sz w:val="28"/>
          <w:szCs w:val="28"/>
          <w:rtl/>
        </w:rPr>
        <w:t xml:space="preserve">در خواص پاره ای از گیاه ها و سنگ ها و چگونگی بهره یابی از آنها در ساخت داروهای پزشکی، تألیف شده برای مبتدیان که در شناخت آنها مشکل دارند. در آغاز گیاه یا سنگ یا معدن معرفی می شود پس از آن به خواص و کیفیت ساختن دارو می پردازند.</w:t>
      </w:r>
    </w:p>
    <w:p>
      <w:pPr>
        <w:pStyle w:val="BookText"/>
      </w:pPr>
      <w:r>
        <w:rPr>
          <w:rFonts w:ascii="IRNazanin" w:hAnsi="IRNazanin" w:eastAsia="IRNazanin" w:cs="IRNazanin"/>
          <w:lang w:bidi="fa-IR"/>
          <w:color w:val="111111"/>
          <w:sz w:val="28"/>
          <w:szCs w:val="28"/>
          <w:rtl/>
        </w:rPr>
        <w:t xml:space="preserve">قم؛ مؤسسه حضرت آیة الله بروجردی؛ شماره نسخه: ۱۳۶/۶</w:t>
      </w:r>
    </w:p>
    <w:p>
      <w:pPr>
        <w:pStyle w:val="BookText"/>
      </w:pPr>
      <w:r>
        <w:rPr>
          <w:rFonts w:ascii="IRNazanin" w:hAnsi="IRNazanin" w:eastAsia="IRNazanin" w:cs="IRNazanin"/>
          <w:lang w:bidi="fa-IR"/>
          <w:color w:val="111111"/>
          <w:sz w:val="28"/>
          <w:szCs w:val="28"/>
          <w:rtl/>
        </w:rPr>
        <w:t xml:space="preserve">آغاز: تيمنا بذكره القديم ونساله حق التوفيق انه هو البر الرحيم ... بدانکه این رساله ای است در تذکار معرفت بعضی اشجار و احجار؛ انجام: و در کوه همراز کم بهم میرسد و در کوه بابا حیدر بسیار است.</w:t>
      </w:r>
    </w:p>
    <w:p>
      <w:pPr>
        <w:pStyle w:val="BookText"/>
      </w:pPr>
      <w:r>
        <w:rPr>
          <w:rFonts w:ascii="IRNazanin" w:hAnsi="IRNazanin" w:eastAsia="IRNazanin" w:cs="IRNazanin"/>
          <w:lang w:bidi="fa-IR"/>
          <w:color w:val="111111"/>
          <w:sz w:val="28"/>
          <w:szCs w:val="28"/>
          <w:rtl/>
        </w:rPr>
        <w:t xml:space="preserve">خط: نستعلیق، بی کا، تا: قرن ۱۳؛ جلد: تیماج زرشکی بدون مقوا،  6گ( ۱۴۸ پ - ۱۵۳ر)،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۳۵سم [ف: ۱ - ۹۳]</w:t>
      </w:r>
    </w:p>
    <w:p>
      <w:pPr>
        <w:pStyle w:val="Heading3"/>
      </w:pPr>
      <w:bookmarkStart w:id="1913" w:name="_Toc1435"/>
      <w:r>
        <w:t>اشجار هداية المجيزين في طرق الرواية للمحدثين / رجال / عربی</w:t>
      </w:r>
      <w:bookmarkEnd w:id="1913"/>
    </w:p>
    <w:p>
      <w:pPr>
        <w:pStyle w:val="BookText"/>
      </w:pPr>
      <w:r>
        <w:rPr>
          <w:rFonts w:ascii="Times New Roman" w:hAnsi="Times New Roman" w:eastAsia="Times New Roman" w:cs="Times New Roman"/>
          <w:lang w:val="en-US" w:bidi="en-US"/>
          <w:color w:val="111111"/>
          <w:sz w:val="28"/>
          <w:szCs w:val="28"/>
          <w:rtl/>
        </w:rPr>
        <w:t xml:space="preserve">ašjār-u hidayat-il-majīzīn fi turuq-ir-riwayat-i li-l-</w:t>
      </w:r>
    </w:p>
    <w:p>
      <w:pPr>
        <w:pStyle w:val="BookText"/>
      </w:pPr>
      <w:r>
        <w:rPr>
          <w:rFonts w:ascii="Times New Roman" w:hAnsi="Times New Roman" w:eastAsia="Times New Roman" w:cs="Times New Roman"/>
          <w:lang w:val="en-US" w:bidi="en-US"/>
          <w:color w:val="111111"/>
          <w:sz w:val="28"/>
          <w:szCs w:val="28"/>
          <w:rtl/>
        </w:rPr>
        <w:t xml:space="preserve">muḥaddiṭīn</w:t>
      </w:r>
    </w:p>
    <w:p>
      <w:pPr>
        <w:pStyle w:val="BookText"/>
      </w:pPr>
      <w:r>
        <w:rPr>
          <w:rFonts w:ascii="IRNazanin" w:hAnsi="IRNazanin" w:eastAsia="IRNazanin" w:cs="IRNazanin"/>
          <w:lang w:bidi="fa-IR"/>
          <w:color w:val="111111"/>
          <w:sz w:val="28"/>
          <w:szCs w:val="28"/>
          <w:rtl/>
        </w:rPr>
        <w:t xml:space="preserve">عاملي التنبي، محمد بن علی</w:t>
      </w:r>
    </w:p>
    <w:p>
      <w:pPr>
        <w:pStyle w:val="BookText"/>
      </w:pPr>
      <w:r>
        <w:rPr>
          <w:rFonts w:ascii="Times New Roman" w:hAnsi="Times New Roman" w:eastAsia="Times New Roman" w:cs="Times New Roman"/>
          <w:lang w:val="en-US" w:bidi="en-US"/>
          <w:color w:val="111111"/>
          <w:sz w:val="28"/>
          <w:szCs w:val="28"/>
          <w:rtl/>
        </w:rPr>
        <w:t xml:space="preserve">'āmelī al-tanbi, mohammad ebn-e 'alī</w:t>
      </w:r>
    </w:p>
    <w:p>
      <w:pPr>
        <w:pStyle w:val="BookText"/>
      </w:pPr>
      <w:r>
        <w:rPr>
          <w:rFonts w:ascii="IRNazanin" w:hAnsi="IRNazanin" w:eastAsia="IRNazanin" w:cs="IRNazanin"/>
          <w:lang w:bidi="fa-IR"/>
          <w:color w:val="111111"/>
          <w:sz w:val="28"/>
          <w:szCs w:val="28"/>
          <w:rtl/>
        </w:rPr>
        <w:t xml:space="preserve">رساله ای است مشتمل بر ۵۸ «شجره» که طرق اجازه روایی را نقل کرده و در زیر نام هر یک از اعلام توضیحاتی داده است و در خاتمه به ذکر حدیث شهید ثانی در خصوص برخی از اجازات پرداخته است. این رساله در خور تحقیق بیشتری است.</w:t>
      </w:r>
    </w:p>
    <w:p>
      <w:pPr>
        <w:pStyle w:val="BookText"/>
      </w:pPr>
      <w:r>
        <w:rPr>
          <w:rFonts w:ascii="IRNazanin" w:hAnsi="IRNazanin" w:eastAsia="IRNazanin" w:cs="IRNazanin"/>
          <w:lang w:bidi="fa-IR"/>
          <w:color w:val="111111"/>
          <w:sz w:val="28"/>
          <w:szCs w:val="28"/>
          <w:rtl/>
        </w:rPr>
        <w:t xml:space="preserve">[دنا ۸۴۶/۱]</w:t>
      </w:r>
    </w:p>
    <w:p>
      <w:pPr>
        <w:pStyle w:val="BookText"/>
      </w:pPr>
      <w:r>
        <w:rPr>
          <w:rFonts w:ascii="IRNazanin" w:hAnsi="IRNazanin" w:eastAsia="IRNazanin" w:cs="IRNazanin"/>
          <w:lang w:bidi="fa-IR"/>
          <w:color w:val="111111"/>
          <w:sz w:val="28"/>
          <w:szCs w:val="28"/>
          <w:rtl/>
        </w:rPr>
        <w:t xml:space="preserve">١ . مشهد؛ ادبیات؛ شماره نسخه: ۴۴/۳ فیاض</w:t>
      </w:r>
    </w:p>
    <w:p>
      <w:pPr>
        <w:pStyle w:val="BookText"/>
      </w:pPr>
      <w:r>
        <w:rPr>
          <w:rFonts w:ascii="Amiri" w:hAnsi="Amiri" w:eastAsia="Amiri" w:cs="Amiri"/>
          <w:lang w:bidi="ar-SA"/>
          <w:color w:val="111111"/>
          <w:sz w:val="28"/>
          <w:szCs w:val="28"/>
          <w:rtl/>
        </w:rPr>
        <w:t xml:space="preserve">آغاز: بسمله الحمد لله الذى اجازنا فى طرق الناقلين للرواية و اجازنا على طريق الولاية ... و بعد فانه لا يخفى على الفضلاء</w:t>
      </w:r>
    </w:p>
    <w:p>
      <w:pPr>
        <w:pStyle w:val="BookText"/>
      </w:pPr>
      <w:r>
        <w:rPr>
          <w:rFonts w:ascii="IRNazanin" w:hAnsi="IRNazanin" w:eastAsia="IRNazanin" w:cs="IRNazanin"/>
          <w:lang w:bidi="fa-IR"/>
          <w:color w:val="111111"/>
          <w:sz w:val="28"/>
          <w:szCs w:val="28"/>
          <w:rtl/>
        </w:rPr>
        <w:t xml:space="preserve">خط: نستعليق، كا: محمد بن احمد بن عمران ملقب به شامی نسبا و نجفی مسکنا، تا: ۱۴ رمضان ۱۰۴۳ق؛ کاغذ: ترمه؛ جلد: تیماج لایه ای قهوه ای،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۱۷۱]</w:t>
      </w:r>
    </w:p>
    <w:p>
      <w:pPr>
        <w:pStyle w:val="BookText"/>
      </w:pPr>
      <w:r>
        <w:rPr>
          <w:rFonts w:ascii="IRNazanin" w:hAnsi="IRNazanin" w:eastAsia="IRNazanin" w:cs="IRNazanin"/>
          <w:lang w:bidi="fa-IR"/>
          <w:color w:val="111111"/>
          <w:sz w:val="28"/>
          <w:szCs w:val="28"/>
          <w:rtl/>
        </w:rPr>
        <w:t xml:space="preserve">۲. تهران؛ فیاض؛ شماره نسخه: بی شماره /۳</w:t>
      </w:r>
    </w:p>
    <w:p>
      <w:pPr>
        <w:pStyle w:val="BookText"/>
      </w:pPr>
      <w:r>
        <w:rPr>
          <w:rFonts w:ascii="IRNazanin" w:hAnsi="IRNazanin" w:eastAsia="IRNazanin" w:cs="IRNazanin"/>
          <w:lang w:bidi="fa-IR"/>
          <w:color w:val="111111"/>
          <w:sz w:val="28"/>
          <w:szCs w:val="28"/>
          <w:rtl/>
        </w:rPr>
        <w:t xml:space="preserve">خط: نسخ، بی کا، تا: ۱۰۴۴ق [نشریه: ۷ - ۷۰۰]</w:t>
      </w:r>
    </w:p>
    <w:p>
      <w:pPr>
        <w:pStyle w:val="Heading3"/>
      </w:pPr>
      <w:bookmarkStart w:id="1914" w:name="_Toc1436"/>
      <w:r>
        <w:t>اشراط الساعة / كلام و اعتقادات / عربی</w:t>
      </w:r>
      <w:bookmarkEnd w:id="1914"/>
    </w:p>
    <w:p>
      <w:pPr>
        <w:pStyle w:val="BookText"/>
      </w:pPr>
      <w:r>
        <w:rPr>
          <w:rFonts w:ascii="Times New Roman" w:hAnsi="Times New Roman" w:eastAsia="Times New Roman" w:cs="Times New Roman"/>
          <w:lang w:val="en-US" w:bidi="en-US"/>
          <w:color w:val="111111"/>
          <w:sz w:val="28"/>
          <w:szCs w:val="28"/>
          <w:rtl/>
        </w:rPr>
        <w:t xml:space="preserve">išrāṭ-us-sā‘a</w:t>
      </w:r>
    </w:p>
    <w:p>
      <w:pPr>
        <w:pStyle w:val="BookText"/>
      </w:pPr>
      <w:r>
        <w:rPr>
          <w:rFonts w:ascii="IRNazanin" w:hAnsi="IRNazanin" w:eastAsia="IRNazanin" w:cs="IRNazanin"/>
          <w:lang w:bidi="fa-IR"/>
          <w:color w:val="111111"/>
          <w:sz w:val="28"/>
          <w:szCs w:val="28"/>
          <w:rtl/>
        </w:rPr>
        <w:t xml:space="preserve">تهران؛ مجلس؛ شماره نسخه: ۱۶۳-ط</w:t>
      </w:r>
    </w:p>
    <w:p>
      <w:pPr>
        <w:pStyle w:val="BookText"/>
      </w:pPr>
      <w:r>
        <w:rPr>
          <w:rFonts w:ascii="IRNazanin" w:hAnsi="IRNazanin" w:eastAsia="IRNazanin" w:cs="IRNazanin"/>
          <w:lang w:bidi="fa-IR"/>
          <w:color w:val="111111"/>
          <w:sz w:val="28"/>
          <w:szCs w:val="28"/>
          <w:rtl/>
        </w:rPr>
        <w:t xml:space="preserve">بی کا، بی تا؛ در ضمن مجموعه آمده است؛ 1گ، ۷۳ [ ف : ۲۲ - ۵۷]</w:t>
      </w:r>
    </w:p>
    <w:p>
      <w:pPr>
        <w:pStyle w:val="Heading3"/>
      </w:pPr>
      <w:bookmarkStart w:id="1915" w:name="_Toc1437"/>
      <w:r>
        <w:t>اشراط الساعة / كلام و اعتقادات / فارسی</w:t>
      </w:r>
      <w:bookmarkEnd w:id="1915"/>
    </w:p>
    <w:p>
      <w:pPr>
        <w:pStyle w:val="BookText"/>
      </w:pPr>
      <w:r>
        <w:rPr>
          <w:rFonts w:ascii="Times New Roman" w:hAnsi="Times New Roman" w:eastAsia="Times New Roman" w:cs="Times New Roman"/>
          <w:lang w:val="en-US" w:bidi="en-US"/>
          <w:color w:val="111111"/>
          <w:sz w:val="28"/>
          <w:szCs w:val="28"/>
          <w:rtl/>
        </w:rPr>
        <w:t xml:space="preserve">esrat-os-sa at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bookmarkStart w:id="407" w:name="pg20365_260570"/>
    <w:bookmarkEnd w:id="407"/>
    <w:p>
      <w:pPr>
        <w:pStyle w:val="BookText"/>
      </w:pPr>
      <w:r>
        <w:rPr>
          <w:rFonts w:ascii="IRNazanin" w:hAnsi="IRNazanin" w:eastAsia="IRNazanin" w:cs="IRNazanin"/>
          <w:lang w:bidi="fa-IR"/>
          <w:color w:val="111111"/>
          <w:sz w:val="28"/>
          <w:szCs w:val="28"/>
          <w:rtl/>
        </w:rPr>
        <w:t xml:space="preserve">مشهد؛ شیخ علی حیدر؛ شماره نسخه: ۵۱۰/۲</w:t>
      </w:r>
    </w:p>
    <w:p>
      <w:pPr>
        <w:pStyle w:val="BookText"/>
      </w:pPr>
      <w:r>
        <w:rPr>
          <w:rFonts w:ascii="IRNazanin" w:hAnsi="IRNazanin" w:eastAsia="IRNazanin" w:cs="IRNazanin"/>
          <w:lang w:bidi="fa-IR"/>
          <w:color w:val="111111"/>
          <w:sz w:val="28"/>
          <w:szCs w:val="28"/>
          <w:rtl/>
        </w:rPr>
        <w:t xml:space="preserve">آغاز: الحمد لله رب العالمين والصلاة على سيد المرسلين محـمد و آله الاکرمین؛ انجام: و لا يفضحنا بذنوبنا يوم الدين بنبيه البينة(؟) و وليه الولية</w:t>
      </w:r>
    </w:p>
    <w:p>
      <w:pPr>
        <w:pStyle w:val="BookText"/>
      </w:pPr>
      <w:r>
        <w:rPr>
          <w:rFonts w:ascii="IRNazanin" w:hAnsi="IRNazanin" w:eastAsia="IRNazanin" w:cs="IRNazanin"/>
          <w:lang w:bidi="fa-IR"/>
          <w:color w:val="111111"/>
          <w:sz w:val="28"/>
          <w:szCs w:val="28"/>
          <w:rtl/>
        </w:rPr>
        <w:t xml:space="preserve">رسالة فارسية أورد فيها ۱۵ علامة سوف يكون قبل قيام القيامة. در فهرست با عنوان قیام قیامت آمده است ؛خط: نستعلیق، بی کا، تا: محرم ۱۰۹۳ق؛ مهر: «عبده الراجی محمد محسن بن محمد صادق» (مربع)؛ جلد: چرم مشکی ۵۴گ (۸۸ر-۱۴۱ر)، ۱۳ سـطر ،اندازه: ۱۲/۵</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۱۹سم [مؤيد: ۲ - ۱۳]</w:t>
      </w:r>
    </w:p>
    <w:p>
      <w:pPr>
        <w:pStyle w:val="Heading3"/>
      </w:pPr>
      <w:bookmarkStart w:id="1916" w:name="_Toc1438"/>
      <w:r>
        <w:t>الاشراف على اعلى الشرف في التعريف برجال  سند البخارى من طريق الشريف أبى على بن أبى  الشرف / علوم حدیث / عربی</w:t>
      </w:r>
      <w:bookmarkEnd w:id="1916"/>
    </w:p>
    <w:p>
      <w:pPr>
        <w:pStyle w:val="BookText"/>
      </w:pPr>
      <w:r>
        <w:rPr>
          <w:rFonts w:ascii="Times New Roman" w:hAnsi="Times New Roman" w:eastAsia="Times New Roman" w:cs="Times New Roman"/>
          <w:lang w:val="en-US" w:bidi="en-US"/>
          <w:color w:val="111111"/>
          <w:sz w:val="28"/>
          <w:szCs w:val="28"/>
          <w:rtl/>
        </w:rPr>
        <w:t xml:space="preserve">al-išrāf ‘alā a‘la-š šaraf fi-t ta‘rīf bi-rijāl-i sanad-il</w:t>
      </w:r>
    </w:p>
    <w:p>
      <w:pPr>
        <w:pStyle w:val="BookText"/>
      </w:pPr>
      <w:r>
        <w:rPr>
          <w:rFonts w:ascii="Times New Roman" w:hAnsi="Times New Roman" w:eastAsia="Times New Roman" w:cs="Times New Roman"/>
          <w:lang w:val="en-US" w:bidi="en-US"/>
          <w:color w:val="111111"/>
          <w:sz w:val="28"/>
          <w:szCs w:val="28"/>
          <w:rtl/>
        </w:rPr>
        <w:t xml:space="preserve">buxārī min ṭarīq-iš šarīf ’abī ‘alī ibn-i ’abi-š šaraf</w:t>
      </w:r>
    </w:p>
    <w:p>
      <w:pPr>
        <w:pStyle w:val="BookText"/>
      </w:pPr>
      <w:r>
        <w:rPr>
          <w:rFonts w:ascii="IRNazanin" w:hAnsi="IRNazanin" w:eastAsia="IRNazanin" w:cs="IRNazanin"/>
          <w:lang w:bidi="fa-IR"/>
          <w:color w:val="111111"/>
          <w:sz w:val="28"/>
          <w:szCs w:val="28"/>
          <w:rtl/>
        </w:rPr>
        <w:t xml:space="preserve">ابن شاط، قاسم بن عبدالله، ۶۴۳ – ۷۲۳ قمری</w:t>
      </w:r>
    </w:p>
    <w:p>
      <w:pPr>
        <w:pStyle w:val="BookText"/>
      </w:pPr>
      <w:r>
        <w:rPr>
          <w:rFonts w:ascii="Times New Roman" w:hAnsi="Times New Roman" w:eastAsia="Times New Roman" w:cs="Times New Roman"/>
          <w:lang w:val="en-US" w:bidi="en-US"/>
          <w:color w:val="111111"/>
          <w:sz w:val="28"/>
          <w:szCs w:val="28"/>
          <w:rtl/>
        </w:rPr>
        <w:t xml:space="preserve">(ebn-e šāt, qāsem ebn-e ‘abd-ol-lāh (1246 - 1324)</w:t>
      </w:r>
    </w:p>
    <w:p>
      <w:pPr>
        <w:pStyle w:val="BookText"/>
      </w:pPr>
      <w:r>
        <w:rPr>
          <w:rFonts w:ascii="Amiri" w:hAnsi="Amiri" w:eastAsia="Amiri" w:cs="Amiri"/>
          <w:lang w:bidi="ar-SA"/>
          <w:color w:val="111111"/>
          <w:sz w:val="28"/>
          <w:szCs w:val="28"/>
          <w:rtl/>
        </w:rPr>
        <w:t xml:space="preserve">[الفهرس الشامل للتراث العربي الاسلامى المخطوط الحديث النبوى و علـومه و رجاله ۱۴/۱؛ دنا ۸۴۹/۱  ]</w:t>
      </w:r>
    </w:p>
    <w:p>
      <w:pPr>
        <w:pStyle w:val="BookText"/>
      </w:pPr>
      <w:r>
        <w:rPr>
          <w:rFonts w:ascii="IRNazanin" w:hAnsi="IRNazanin" w:eastAsia="IRNazanin" w:cs="IRNazanin"/>
          <w:lang w:bidi="fa-IR"/>
          <w:color w:val="111111"/>
          <w:sz w:val="28"/>
          <w:szCs w:val="28"/>
          <w:rtl/>
        </w:rPr>
        <w:t xml:space="preserve">قم؛ مرعشی؛ شماره نسخه: ۱۱۵۲/۲</w:t>
      </w:r>
    </w:p>
    <w:p>
      <w:pPr>
        <w:pStyle w:val="BookText"/>
      </w:pPr>
      <w:r>
        <w:rPr>
          <w:rFonts w:ascii="Amiri" w:hAnsi="Amiri" w:eastAsia="Amiri" w:cs="Amiri"/>
          <w:lang w:bidi="ar-SA"/>
          <w:color w:val="111111"/>
          <w:sz w:val="28"/>
          <w:szCs w:val="28"/>
          <w:rtl/>
        </w:rPr>
        <w:t xml:space="preserve">آغاز: بسمله ... الحمد لله الذى شرف هذه الامة بخصيصة الاسناد وعرف لما أكمل النعمة وجوب الثبت عند اعتبار أخبار الآحاد ...و بعد فانه لما أعرض الناس عن العناية بطريق الرواية فى هذه البلا؛ انجام: و هنا انتهى ما أردناه من التعريف على وجه الاختصار.. .و سلم تسليماً كثيراً طيباً مباركاً وآخر دعوانا ان الحمد لله و رب العالمين، كمل الجزء و الحمد لله</w:t>
      </w:r>
    </w:p>
    <w:p>
      <w:pPr>
        <w:pStyle w:val="BookText"/>
      </w:pPr>
      <w:r>
        <w:rPr>
          <w:rFonts w:ascii="IRNazanin" w:hAnsi="IRNazanin" w:eastAsia="IRNazanin" w:cs="IRNazanin"/>
          <w:lang w:bidi="fa-IR"/>
          <w:color w:val="111111"/>
          <w:sz w:val="28"/>
          <w:szCs w:val="28"/>
          <w:rtl/>
        </w:rPr>
        <w:t xml:space="preserve">نسخه اصل: کتابخانه  اسکوریال، مادرید ش ۱۷۳۲؛ خط:مغربی، كا: على بن محمد بن علی بن هانی بن احمد بن محمد بن منتـصر بن هانی لخمی، تا: قرن ۷ یا قرن ۸؛ افتادگی: انجام؛ در ابتدای آن نام كتاب و مؤلف درج شده است شده است و یادداشت روایت کتاب از مشایخ در بالای صفحه دیده می شود و در ذیل صفحه یادداشـت سماع رساله به وسیله محمد بن علی بن هانی لخمی سبتی به خط مؤلف در ۷۰۱ق ثبت شده، و در آخر نسخه اجازه مؤلف به هـمو در ۶۹۱ آمده؛ ۱۱ص (۳۱-۴۱)، ۲۱ سطر [عکسی ف: ۳ - ۳۲۶]</w:t>
      </w:r>
    </w:p>
    <w:p>
      <w:pPr>
        <w:pStyle w:val="Heading3"/>
      </w:pPr>
      <w:bookmarkStart w:id="1917" w:name="_Toc1439"/>
      <w:r>
        <w:t>الاشراف على سيادة الاشراف = سيادة الاشراف= تحقيق معنى السيد و السيادة (رسالة فى) / كلام و اعتقادات / عربی</w:t>
      </w:r>
      <w:bookmarkEnd w:id="1917"/>
    </w:p>
    <w:p>
      <w:pPr>
        <w:pStyle w:val="BookText"/>
      </w:pPr>
      <w:r>
        <w:rPr>
          <w:rFonts w:ascii="Times New Roman" w:hAnsi="Times New Roman" w:eastAsia="Times New Roman" w:cs="Times New Roman"/>
          <w:lang w:val="en-US" w:bidi="en-US"/>
          <w:color w:val="111111"/>
          <w:sz w:val="28"/>
          <w:szCs w:val="28"/>
          <w:rtl/>
        </w:rPr>
        <w:t xml:space="preserve">al-išrāf ‘alā sīyādat-il-ašrāf = sīyādat-ul-ašrāf = taḥqīqu</w:t>
      </w:r>
    </w:p>
    <w:p>
      <w:pPr>
        <w:pStyle w:val="BookText"/>
      </w:pPr>
      <w:r>
        <w:rPr>
          <w:rFonts w:ascii="Times New Roman" w:hAnsi="Times New Roman" w:eastAsia="Times New Roman" w:cs="Times New Roman"/>
          <w:lang w:val="en-US" w:bidi="en-US"/>
          <w:color w:val="111111"/>
          <w:sz w:val="28"/>
          <w:szCs w:val="28"/>
          <w:rtl/>
        </w:rPr>
        <w:t xml:space="preserve">(ma‘na-s sayyid wa-s sīyāda (r.-un fī)</w:t>
      </w:r>
    </w:p>
    <w:p>
      <w:pPr>
        <w:pStyle w:val="BookText"/>
      </w:pPr>
      <w:r>
        <w:rPr>
          <w:rFonts w:ascii="IRNazanin" w:hAnsi="IRNazanin" w:eastAsia="IRNazanin" w:cs="IRNazanin"/>
          <w:lang w:bidi="fa-IR"/>
          <w:color w:val="111111"/>
          <w:sz w:val="28"/>
          <w:szCs w:val="28"/>
          <w:rtl/>
        </w:rPr>
        <w:t xml:space="preserve">کرکی ،عاملی حسین بن حسن، - ۱۰۰۱ قمری</w:t>
      </w:r>
    </w:p>
    <w:p>
      <w:pPr>
        <w:pStyle w:val="BookText"/>
      </w:pPr>
      <w:r>
        <w:rPr>
          <w:rFonts w:ascii="Times New Roman" w:hAnsi="Times New Roman" w:eastAsia="Times New Roman" w:cs="Times New Roman"/>
          <w:lang w:val="en-US" w:bidi="en-US"/>
          <w:color w:val="111111"/>
          <w:sz w:val="28"/>
          <w:szCs w:val="28"/>
          <w:rtl/>
        </w:rPr>
        <w:t xml:space="preserve">(karakī ‘āmelī, hoseyn ebn-e hasan (- 1593)</w:t>
      </w:r>
    </w:p>
    <w:p>
      <w:pPr>
        <w:pStyle w:val="BookText"/>
      </w:pPr>
      <w:r>
        <w:rPr>
          <w:rFonts w:ascii="IRNazanin" w:hAnsi="IRNazanin" w:eastAsia="IRNazanin" w:cs="IRNazanin"/>
          <w:lang w:bidi="fa-IR"/>
          <w:color w:val="111111"/>
          <w:sz w:val="28"/>
          <w:szCs w:val="28"/>
          <w:rtl/>
        </w:rPr>
        <w:t xml:space="preserve">اهدا به: امیر اعتماد الدولة الشاهية شجاع الدين شريف حيدرى  صفوی موسوی حسینی وزیر</w:t>
      </w:r>
    </w:p>
    <w:p>
      <w:pPr>
        <w:pStyle w:val="BookText"/>
      </w:pPr>
      <w:r>
        <w:rPr>
          <w:rFonts w:ascii="IRNazanin" w:hAnsi="IRNazanin" w:eastAsia="IRNazanin" w:cs="IRNazanin"/>
          <w:lang w:bidi="fa-IR"/>
          <w:color w:val="111111"/>
          <w:sz w:val="28"/>
          <w:szCs w:val="28"/>
          <w:rtl/>
        </w:rPr>
        <w:t xml:space="preserve">تاریخ تأليف: محرم ۹۷۰ق</w:t>
      </w:r>
    </w:p>
    <w:p>
      <w:pPr>
        <w:pStyle w:val="BookText"/>
      </w:pPr>
      <w:r>
        <w:rPr>
          <w:rFonts w:ascii="IRNazanin" w:hAnsi="IRNazanin" w:eastAsia="IRNazanin" w:cs="IRNazanin"/>
          <w:lang w:bidi="fa-IR"/>
          <w:color w:val="111111"/>
          <w:sz w:val="28"/>
          <w:szCs w:val="28"/>
          <w:rtl/>
        </w:rPr>
        <w:t xml:space="preserve">رساله ای است در اثبات سیادت اشخاصی که از طرف مادر از بنی هاشم هستند و در آغاز تحقیقی نموده است در معنای «سید» و «سیادت» و اثبات اینکه نجیب زادگانی که از طرف مادر به حضرت فاطمه (سلام الله علیها) منسوبند همگی سید هستند. این کتاب در یک مطلع و دو منهج و یک تذییل م یباشد.</w:t>
      </w:r>
    </w:p>
    <w:p>
      <w:pPr>
        <w:pStyle w:val="BookText"/>
      </w:pPr>
      <w:r>
        <w:rPr>
          <w:rFonts w:ascii="Amiri" w:hAnsi="Amiri" w:eastAsia="Amiri" w:cs="Amiri"/>
          <w:lang w:bidi="ar-SA"/>
          <w:color w:val="111111"/>
          <w:sz w:val="28"/>
          <w:szCs w:val="28"/>
          <w:rtl/>
        </w:rPr>
        <w:t xml:space="preserve">آغاز: الحمد لله الذي رفع آل هشام و آل عبد مناف على جميع الاعاظم و الاشراف... فهذه جمله افيه بالاشراف على سيادة الاشراف وضعتها لا لانتصاف عمن عدل عن جادة الانصاف بالتماس عضد السلطنه الباهره ركن الدوله القاهره...اعتماد الدوله الشاهيه... شجاع الدين الشريف الحيدرى الصفوى الموسوى الحسينى ... و فيه معالم.</w:t>
      </w:r>
    </w:p>
    <w:p>
      <w:pPr>
        <w:pStyle w:val="BookText"/>
      </w:pPr>
      <w:r>
        <w:rPr>
          <w:rFonts w:ascii="IRNazanin" w:hAnsi="IRNazanin" w:eastAsia="IRNazanin" w:cs="IRNazanin"/>
          <w:lang w:bidi="fa-IR"/>
          <w:color w:val="111111"/>
          <w:sz w:val="28"/>
          <w:szCs w:val="28"/>
          <w:rtl/>
        </w:rPr>
        <w:t xml:space="preserve">انجام: و جملة القول ان بنوة اولاد البنات امر مقرر عند العصابه المحقه و مازالت المنازعات و المناظرات – جارية في ذلك بين الناس - و انما اوردنا هذه النبذه كما جرى لائمتنا (علیه السّلام) و شيعتهم من الجدل - تنبيها على ذلك و قد انتقش على صفيحة صحيفه خاطرك من المدارك الدامغه - ما يغنى فيها البيان عن العيان افتتحت و اختتمت فى الشهر الاول من مفتتح سنه سبعين وتسعمايه</w:t>
      </w:r>
    </w:p>
    <w:p>
      <w:pPr>
        <w:pStyle w:val="BookText"/>
      </w:pPr>
      <w:r>
        <w:rPr>
          <w:rFonts w:ascii="IRNazanin" w:hAnsi="IRNazanin" w:eastAsia="IRNazanin" w:cs="IRNazanin"/>
          <w:lang w:bidi="fa-IR"/>
          <w:color w:val="111111"/>
          <w:sz w:val="28"/>
          <w:szCs w:val="28"/>
          <w:rtl/>
        </w:rPr>
        <w:t xml:space="preserve">[دنا 1/ 849(5 نسخه)؛ الذریعه ۲: ۱۰۲؛ اعیان الشیعه ۲۸۴:۲۵]</w:t>
      </w:r>
    </w:p>
    <w:p>
      <w:pPr>
        <w:pStyle w:val="BookText"/>
      </w:pPr>
      <w:r>
        <w:rPr>
          <w:rFonts w:ascii="IRNazanin" w:hAnsi="IRNazanin" w:eastAsia="IRNazanin" w:cs="IRNazanin"/>
          <w:lang w:bidi="fa-IR"/>
          <w:color w:val="111111"/>
          <w:sz w:val="28"/>
          <w:szCs w:val="28"/>
          <w:rtl/>
        </w:rPr>
        <w:t xml:space="preserve">١. تهران؛ دانشگاه؛ شماره نسخه: ۶۷۶۸</w:t>
      </w:r>
    </w:p>
    <w:p>
      <w:pPr>
        <w:pStyle w:val="BookText"/>
      </w:pPr>
      <w:r>
        <w:rPr>
          <w:rFonts w:ascii="IRNazanin" w:hAnsi="IRNazanin" w:eastAsia="IRNazanin" w:cs="IRNazanin"/>
          <w:lang w:bidi="fa-IR"/>
          <w:color w:val="111111"/>
          <w:sz w:val="28"/>
          <w:szCs w:val="28"/>
          <w:rtl/>
        </w:rPr>
        <w:t xml:space="preserve">خط: نسخ، بی کا، تا: قرن ۱۱؛ تملک: مکی بن محمد بن شمس الدین نواده شهید در ۱۱۵۸، محمد مومن بن شمس الدین محمد اصفهانی، شرف الدین علی حسینی؛ کاغذ: سپاهانی، جلد: تیماج آلبالویی مقوایی درون تریاکی ،۵۲گ، ۱۵ 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قطع:  ربعی،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 ۱۶ - ۳۵۷]</w:t>
      </w:r>
    </w:p>
    <w:p>
      <w:pPr>
        <w:pStyle w:val="BookText"/>
      </w:pPr>
      <w:r>
        <w:rPr>
          <w:rFonts w:ascii="IRNazanin" w:hAnsi="IRNazanin" w:eastAsia="IRNazanin" w:cs="IRNazanin"/>
          <w:lang w:bidi="fa-IR"/>
          <w:color w:val="111111"/>
          <w:sz w:val="28"/>
          <w:szCs w:val="28"/>
          <w:rtl/>
        </w:rPr>
        <w:t xml:space="preserve">یزد؛ علومی ،شیخ علی؛ شماره نسخه:۴</w:t>
      </w:r>
    </w:p>
    <w:p>
      <w:pPr>
        <w:pStyle w:val="BookText"/>
      </w:pPr>
      <w:r>
        <w:rPr>
          <w:rFonts w:ascii="IRNazanin" w:hAnsi="IRNazanin" w:eastAsia="IRNazanin" w:cs="IRNazanin"/>
          <w:lang w:bidi="fa-IR"/>
          <w:color w:val="111111"/>
          <w:sz w:val="28"/>
          <w:szCs w:val="28"/>
          <w:rtl/>
        </w:rPr>
        <w:t xml:space="preserve">همان نسخه بالا[ نشریه: ۴ - ۴۳۶]</w:t>
      </w:r>
    </w:p>
    <w:p>
      <w:pPr>
        <w:pStyle w:val="BookText"/>
      </w:pPr>
      <w:r>
        <w:rPr>
          <w:rFonts w:ascii="IRNazanin" w:hAnsi="IRNazanin" w:eastAsia="IRNazanin" w:cs="IRNazanin"/>
          <w:lang w:bidi="fa-IR"/>
          <w:color w:val="111111"/>
          <w:sz w:val="28"/>
          <w:szCs w:val="28"/>
          <w:rtl/>
        </w:rPr>
        <w:t xml:space="preserve">تهران؛ دانشگاه؛ شماره نسخه: ۲۴۶۸-ف</w:t>
      </w:r>
    </w:p>
    <w:p>
      <w:pPr>
        <w:pStyle w:val="BookText"/>
      </w:pPr>
      <w:r>
        <w:rPr>
          <w:rFonts w:ascii="Amiri" w:hAnsi="Amiri" w:eastAsia="Amiri" w:cs="Amiri"/>
          <w:lang w:bidi="ar-SA"/>
          <w:color w:val="111111"/>
          <w:sz w:val="28"/>
          <w:szCs w:val="28"/>
          <w:rtl/>
        </w:rPr>
        <w:t xml:space="preserve">نسخه اصل: همان نسخه بالا [ فيلمها -ف: ۱ - ۲۸۳]</w:t>
      </w:r>
    </w:p>
    <w:p>
      <w:pPr>
        <w:pStyle w:val="BookText"/>
      </w:pPr>
      <w:r>
        <w:rPr>
          <w:rFonts w:ascii="IRNazanin" w:hAnsi="IRNazanin" w:eastAsia="IRNazanin" w:cs="IRNazanin"/>
          <w:lang w:bidi="fa-IR"/>
          <w:color w:val="111111"/>
          <w:sz w:val="28"/>
          <w:szCs w:val="28"/>
          <w:rtl/>
        </w:rPr>
        <w:t xml:space="preserve">2.تهران؛ مجلس؛ شماره نسخه: ۳۹۸۸/۹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۱۱ ؛کاغذ: اصفهانی آهار مهره، جلد: تیماج قرمز با عطف  دامن، ۶ص (۶۳۴-۵۷۹)، ۳۱ سطر، قطع: ،وزیری اندازه: ۱۶/۵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۲۷سم[ ف: ۱۰ - ۲۱۶۵]</w:t>
      </w:r>
    </w:p>
    <w:p>
      <w:pPr>
        <w:pStyle w:val="BookText"/>
      </w:pPr>
      <w:r>
        <w:rPr>
          <w:rFonts w:ascii="IRNazanin" w:hAnsi="IRNazanin" w:eastAsia="IRNazanin" w:cs="IRNazanin"/>
          <w:lang w:bidi="fa-IR"/>
          <w:color w:val="111111"/>
          <w:sz w:val="28"/>
          <w:szCs w:val="28"/>
          <w:rtl/>
        </w:rPr>
        <w:t xml:space="preserve">3.مشهد؛ گوهر شاد؛ شماره نسخه: ۲۳۰/۳</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خط:نسخ، کا: محمد زمان حسینی  ارتیمانی، تا: ۱۰۶۹ق؛ مهر:حاج سید سعید؛ کاغذ: اصفهانی، جلد: تیماج عنابی،۳۶گ (۹۳-  ۱۲۸)، ۲۱ سطر ،(6</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۱ - ۱۹۸]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bookmarkStart w:id="408" w:name="pg20365_260571"/>
    <w:bookmarkEnd w:id="408"/>
    <w:p>
      <w:pPr>
        <w:pStyle w:val="Heading3"/>
      </w:pPr>
      <w:bookmarkStart w:id="1918" w:name="_Toc1440"/>
      <w:r>
        <w:t>الاشراف على فضل الأشراف / فضایل و مناقب / عربی</w:t>
      </w:r>
      <w:bookmarkEnd w:id="1918"/>
    </w:p>
    <w:p>
      <w:pPr>
        <w:pStyle w:val="BookText"/>
      </w:pPr>
      <w:r>
        <w:rPr>
          <w:rFonts w:ascii="Times New Roman" w:hAnsi="Times New Roman" w:eastAsia="Times New Roman" w:cs="Times New Roman"/>
          <w:lang w:val="en-US" w:bidi="en-US"/>
          <w:color w:val="111111"/>
          <w:sz w:val="28"/>
          <w:szCs w:val="28"/>
          <w:rtl/>
        </w:rPr>
        <w:t xml:space="preserve">al-išrāf ‘alā faḍl-il-’ašrāf</w:t>
      </w:r>
    </w:p>
    <w:p>
      <w:pPr>
        <w:pStyle w:val="BookText"/>
      </w:pPr>
      <w:r>
        <w:rPr>
          <w:rFonts w:ascii="IRNazanin" w:hAnsi="IRNazanin" w:eastAsia="IRNazanin" w:cs="IRNazanin"/>
          <w:lang w:bidi="fa-IR"/>
          <w:color w:val="111111"/>
          <w:sz w:val="28"/>
          <w:szCs w:val="28"/>
          <w:rtl/>
        </w:rPr>
        <w:t xml:space="preserve">سمهودی، ابراهیم، ق ۱۰ قمری</w:t>
      </w:r>
    </w:p>
    <w:p>
      <w:pPr>
        <w:pStyle w:val="BookText"/>
      </w:pPr>
      <w:r>
        <w:rPr>
          <w:rFonts w:ascii="Times New Roman" w:hAnsi="Times New Roman" w:eastAsia="Times New Roman" w:cs="Times New Roman"/>
          <w:lang w:val="en-US" w:bidi="en-US"/>
          <w:color w:val="111111"/>
          <w:sz w:val="28"/>
          <w:szCs w:val="28"/>
          <w:rtl/>
        </w:rPr>
        <w:t xml:space="preserve">(samahvodī, ebrāhīm (- 16c)</w:t>
      </w:r>
    </w:p>
    <w:p>
      <w:pPr>
        <w:pStyle w:val="BookText"/>
      </w:pPr>
      <w:r>
        <w:rPr>
          <w:rFonts w:ascii="IRNazanin" w:hAnsi="IRNazanin" w:eastAsia="IRNazanin" w:cs="IRNazanin"/>
          <w:lang w:bidi="fa-IR"/>
          <w:color w:val="111111"/>
          <w:sz w:val="28"/>
          <w:szCs w:val="28"/>
          <w:rtl/>
        </w:rPr>
        <w:t xml:space="preserve">وابسته به: جواهر العقدين فى فضل الشرفين شرف العلم الجلى و النسب العلى؛ سمهودی، علی بن عبدالله (۸۴۴-۹۱۱)</w:t>
      </w:r>
    </w:p>
    <w:p>
      <w:pPr>
        <w:pStyle w:val="BookText"/>
      </w:pPr>
      <w:r>
        <w:rPr>
          <w:rFonts w:ascii="IRNazanin" w:hAnsi="IRNazanin" w:eastAsia="IRNazanin" w:cs="IRNazanin"/>
          <w:lang w:bidi="fa-IR"/>
          <w:color w:val="111111"/>
          <w:sz w:val="28"/>
          <w:szCs w:val="28"/>
          <w:rtl/>
        </w:rPr>
        <w:t xml:space="preserve">تاریخ تألیف: ۹۶۳ق</w:t>
      </w:r>
    </w:p>
    <w:p>
      <w:pPr>
        <w:pStyle w:val="BookText"/>
      </w:pPr>
      <w:r>
        <w:rPr>
          <w:rFonts w:ascii="IRNazanin" w:hAnsi="IRNazanin" w:eastAsia="IRNazanin" w:cs="IRNazanin"/>
          <w:lang w:bidi="fa-IR"/>
          <w:color w:val="111111"/>
          <w:sz w:val="28"/>
          <w:szCs w:val="28"/>
          <w:rtl/>
        </w:rPr>
        <w:t xml:space="preserve">در فضایل و مناقب اهل بیت عصمت و طهارت (علیهم السّلام) با استدل به آیات قرآن کریم و احادیث رسیده از پیامبر اکرم (صلّی اللَّهِ علیه وَ آلِهِ وَ سَلَّمَ ) مؤلف این مطالب را از کتاب «جواهر العقدين فى فضل الشرفين شرف العلم الجلى و النسب العلى» تأليف عم بزرگوار خود (سید نور الدين ابو الحسن علی بن عبدالله سمهودی شافعی» (-۹۱۱ق) جمع و در هفت «ذکر» مرتب نموده است. نسخه ای از آن در کتابخانه وزیری یزد معرفی شده که آن را به خط مؤلف دانسـته و نام مؤلف را لطف الله بن المطهر ((؟) ذکر کرده و تاریخ آن ۹۷۸ق ذکر شده است که به نظر می رسد این نام از آن کاتب است و تاریخ نیز تاریخ کتابت است نه تألیف.</w:t>
      </w:r>
    </w:p>
    <w:p>
      <w:pPr>
        <w:pStyle w:val="BookText"/>
      </w:pPr>
      <w:r>
        <w:rPr>
          <w:rFonts w:ascii="Amiri" w:hAnsi="Amiri" w:eastAsia="Amiri" w:cs="Amiri"/>
          <w:lang w:bidi="ar-SA"/>
          <w:color w:val="111111"/>
          <w:sz w:val="28"/>
          <w:szCs w:val="28"/>
          <w:rtl/>
        </w:rPr>
        <w:t xml:space="preserve">آغاز: بسمله، حمدله، باب فى ذكر فضائل مولانا امير المومنين و قائد الغر المحجلين؛</w:t>
      </w:r>
    </w:p>
    <w:p>
      <w:pPr>
        <w:pStyle w:val="BookText"/>
      </w:pPr>
      <w:r>
        <w:rPr>
          <w:rFonts w:ascii="Amiri" w:hAnsi="Amiri" w:eastAsia="Amiri" w:cs="Amiri"/>
          <w:lang w:bidi="ar-SA"/>
          <w:color w:val="111111"/>
          <w:sz w:val="28"/>
          <w:szCs w:val="28"/>
          <w:rtl/>
        </w:rPr>
        <w:t xml:space="preserve">انجام: و هذا آخر ما بعث الله بجمعه... و اسأل الله ان يجـعله خالصاً لوجه الكريم و ان ينفعنا به و و ان ينفعنا به و المسلمين ..والعلماءالمقربين.</w:t>
      </w:r>
    </w:p>
    <w:p>
      <w:pPr>
        <w:pStyle w:val="BookText"/>
      </w:pPr>
      <w:r>
        <w:rPr>
          <w:rFonts w:ascii="IRNazanin" w:hAnsi="IRNazanin" w:eastAsia="IRNazanin" w:cs="IRNazanin"/>
          <w:lang w:bidi="fa-IR"/>
          <w:color w:val="111111"/>
          <w:sz w:val="28"/>
          <w:szCs w:val="28"/>
          <w:rtl/>
        </w:rPr>
        <w:t xml:space="preserve">۱. یزد؛ وزیری؛ شماره نسخه: ۲۶۴۶</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کامل؛ خط: نسخ  تحریری، کا: لطف الله بن المطهر، تا: ۹۷۸ق؛ کاغذ: اصفهانی، جلد: مقوایی روکش کاغذ ابری عطف تیماج عنابی، ۱۹۶گ، ۲۵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4- 1375]</w:t>
      </w:r>
    </w:p>
    <w:p>
      <w:pPr>
        <w:pStyle w:val="BookText"/>
      </w:pPr>
      <w:r>
        <w:rPr>
          <w:rFonts w:ascii="IRNazanin" w:hAnsi="IRNazanin" w:eastAsia="IRNazanin" w:cs="IRNazanin"/>
          <w:lang w:bidi="fa-IR"/>
          <w:color w:val="111111"/>
          <w:sz w:val="28"/>
          <w:szCs w:val="28"/>
          <w:rtl/>
        </w:rPr>
        <w:t xml:space="preserve">۲. قم؛ مرعشی؛ شماره نسخه: ۹۴۸ عکسی</w:t>
      </w:r>
    </w:p>
    <w:p>
      <w:pPr>
        <w:pStyle w:val="BookText"/>
      </w:pPr>
      <w:r>
        <w:rPr>
          <w:rFonts w:ascii="IRNazanin" w:hAnsi="IRNazanin" w:eastAsia="IRNazanin" w:cs="IRNazanin"/>
          <w:lang w:bidi="fa-IR"/>
          <w:color w:val="111111"/>
          <w:sz w:val="28"/>
          <w:szCs w:val="28"/>
          <w:rtl/>
        </w:rPr>
        <w:t xml:space="preserve">آغاز: انی تارک فیکم .... و بعد: فهذا مجموع لطيف الفه... الشريف ابراهيم الحسيني الشافعى السمهودى يشتمل على فضـل الأشراف و مالهم من الواجباب؛ انجام: برابر</w:t>
      </w:r>
    </w:p>
    <w:p>
      <w:pPr>
        <w:pStyle w:val="BookText"/>
      </w:pPr>
      <w:r>
        <w:rPr>
          <w:rFonts w:ascii="IRNazanin" w:hAnsi="IRNazanin" w:eastAsia="IRNazanin" w:cs="IRNazanin"/>
          <w:lang w:bidi="fa-IR"/>
          <w:color w:val="111111"/>
          <w:sz w:val="28"/>
          <w:szCs w:val="28"/>
          <w:rtl/>
        </w:rPr>
        <w:t xml:space="preserve">خط: نسخ، بی کا، تا:احتمالاً قرن ۱۳؛ افتادگی: آغاز؛ مصحح، دارای یک حاشیه از آیة الله مرعشی قدس سره، قبل از کتاب دو یاداشت درباره کتاب و سید نور الدین علی سمهودی یکی به خط آية الله مرعشی و دیگری به خط سید عبد اللطيف حسينى  کوه کمری؛ ۷۵گ ۱۹ سطر [عکسی ف: ۲ - ۴۲۸]</w:t>
      </w:r>
    </w:p>
    <w:p>
      <w:pPr>
        <w:pStyle w:val="Heading3"/>
      </w:pPr>
      <w:bookmarkStart w:id="1919" w:name="_Toc1441"/>
      <w:r>
        <w:t>الإشراف على مذاهب الأشراف / فقه / عربي</w:t>
      </w:r>
      <w:bookmarkEnd w:id="1919"/>
    </w:p>
    <w:p>
      <w:pPr>
        <w:pStyle w:val="BookText"/>
      </w:pPr>
      <w:r>
        <w:rPr>
          <w:rFonts w:ascii="Times New Roman" w:hAnsi="Times New Roman" w:eastAsia="Times New Roman" w:cs="Times New Roman"/>
          <w:lang w:val="en-US" w:bidi="en-US"/>
          <w:color w:val="111111"/>
          <w:sz w:val="28"/>
          <w:szCs w:val="28"/>
          <w:rtl/>
        </w:rPr>
        <w:t xml:space="preserve">al-’išrāf ‘alā maḏāhib-il-’ašrāf</w:t>
      </w:r>
    </w:p>
    <w:p>
      <w:pPr>
        <w:pStyle w:val="BookText"/>
      </w:pPr>
      <w:r>
        <w:rPr>
          <w:rFonts w:ascii="IRNazanin" w:hAnsi="IRNazanin" w:eastAsia="IRNazanin" w:cs="IRNazanin"/>
          <w:lang w:bidi="fa-IR"/>
          <w:color w:val="111111"/>
          <w:sz w:val="28"/>
          <w:szCs w:val="28"/>
          <w:rtl/>
        </w:rPr>
        <w:t xml:space="preserve">ابن منذر، محمد بن ابراهیم، ۲۴۲ - ۳۱۹ قمری</w:t>
      </w:r>
    </w:p>
    <w:p>
      <w:pPr>
        <w:pStyle w:val="BookText"/>
      </w:pPr>
      <w:r>
        <w:rPr>
          <w:rFonts w:ascii="Times New Roman" w:hAnsi="Times New Roman" w:eastAsia="Times New Roman" w:cs="Times New Roman"/>
          <w:lang w:val="en-US" w:bidi="en-US"/>
          <w:color w:val="111111"/>
          <w:sz w:val="28"/>
          <w:szCs w:val="28"/>
          <w:rtl/>
        </w:rPr>
        <w:t xml:space="preserve">(ebn-o monzer, mohammad ebn-e ebrāhīm (857 - 932)</w:t>
      </w:r>
    </w:p>
    <w:p>
      <w:pPr>
        <w:pStyle w:val="BookText"/>
      </w:pPr>
      <w:r>
        <w:rPr>
          <w:rFonts w:ascii="IRNazanin" w:hAnsi="IRNazanin" w:eastAsia="IRNazanin" w:cs="IRNazanin"/>
          <w:lang w:bidi="fa-IR"/>
          <w:color w:val="111111"/>
          <w:sz w:val="28"/>
          <w:szCs w:val="28"/>
          <w:rtl/>
        </w:rPr>
        <w:t xml:space="preserve">کتابی فقهی که به ترتیب کتب فقهی در ابواب مختلف با نـقل روایات و مذهب های مختلف اهل تسنن جمع آوری کرده است.</w:t>
      </w:r>
    </w:p>
    <w:p>
      <w:pPr>
        <w:pStyle w:val="BookText"/>
      </w:pPr>
      <w:r>
        <w:rPr>
          <w:rFonts w:ascii="IRNazanin" w:hAnsi="IRNazanin" w:eastAsia="IRNazanin" w:cs="IRNazanin"/>
          <w:lang w:bidi="fa-IR"/>
          <w:color w:val="111111"/>
          <w:sz w:val="28"/>
          <w:szCs w:val="28"/>
          <w:rtl/>
        </w:rPr>
        <w:t xml:space="preserve">قم؛ مرکز احیاء؛ شماره نسخه: ۴۶۹</w:t>
      </w:r>
    </w:p>
    <w:p>
      <w:pPr>
        <w:pStyle w:val="BookText"/>
      </w:pPr>
      <w:r>
        <w:rPr>
          <w:rFonts w:ascii="IRNazanin" w:hAnsi="IRNazanin" w:eastAsia="IRNazanin" w:cs="IRNazanin"/>
          <w:lang w:bidi="fa-IR"/>
          <w:color w:val="111111"/>
          <w:sz w:val="28"/>
          <w:szCs w:val="28"/>
          <w:rtl/>
        </w:rPr>
        <w:t xml:space="preserve">نسخه اصل: کتابخانه احمد ثالث - ترکیه ۱۱۰۰. جلد دوم، از کتاب النکاح تا پایان؛ خط: نسخ کوفی نما، بی کا، تا: قرن ۹؛ از کتاب الغصب تا آخر به خط دیگر، تصحیح شده است، در پایان کتاب الوكالة؛ تملک: محمد بن عبدالله بن ابراهيم العدى الازهرى الشافعی در ۱۸ شوال ۸۴۴؛ در برگ اول وقف نامه کتاب به سال ۸۷۸؛ تاریخ وقف: ۸۷۸؛ ۷۳۱ ص [ عکسی ف: ۲ - ۶۴]</w:t>
      </w:r>
    </w:p>
    <w:p>
      <w:pPr>
        <w:pStyle w:val="Heading3"/>
      </w:pPr>
      <w:bookmarkStart w:id="1920" w:name="_Toc1442"/>
      <w:r>
        <w:t>الاشراف على مذاهب الاشراف = اجماع الائمة  الاربعة واختلافهم / فقه / عربی</w:t>
      </w:r>
      <w:bookmarkEnd w:id="1920"/>
    </w:p>
    <w:p>
      <w:pPr>
        <w:pStyle w:val="BookText"/>
      </w:pPr>
      <w:r>
        <w:rPr>
          <w:rFonts w:ascii="Times New Roman" w:hAnsi="Times New Roman" w:eastAsia="Times New Roman" w:cs="Times New Roman"/>
          <w:lang w:val="en-US" w:bidi="en-US"/>
          <w:color w:val="111111"/>
          <w:sz w:val="28"/>
          <w:szCs w:val="28"/>
          <w:rtl/>
        </w:rPr>
        <w:t xml:space="preserve">al-išrāf ‘alā maḏāhib-il ašrāf = ijmā‘-ul a’immat-il</w:t>
      </w:r>
    </w:p>
    <w:p>
      <w:pPr>
        <w:pStyle w:val="BookText"/>
      </w:pPr>
      <w:r>
        <w:rPr>
          <w:rFonts w:ascii="Times New Roman" w:hAnsi="Times New Roman" w:eastAsia="Times New Roman" w:cs="Times New Roman"/>
          <w:lang w:val="en-US" w:bidi="en-US"/>
          <w:color w:val="111111"/>
          <w:sz w:val="28"/>
          <w:szCs w:val="28"/>
          <w:rtl/>
        </w:rPr>
        <w:t xml:space="preserve">arba'a wa ixtilaf-u-hum</w:t>
      </w:r>
    </w:p>
    <w:p>
      <w:pPr>
        <w:pStyle w:val="BookText"/>
      </w:pPr>
      <w:r>
        <w:rPr>
          <w:rFonts w:ascii="IRNazanin" w:hAnsi="IRNazanin" w:eastAsia="IRNazanin" w:cs="IRNazanin"/>
          <w:lang w:bidi="fa-IR"/>
          <w:color w:val="111111"/>
          <w:sz w:val="28"/>
          <w:szCs w:val="28"/>
          <w:rtl/>
        </w:rPr>
        <w:t xml:space="preserve">ابن هبيره، يحيى بن محمد، ۴۷۹ - ۵۶۰ قمری</w:t>
      </w:r>
    </w:p>
    <w:p>
      <w:pPr>
        <w:pStyle w:val="BookText"/>
      </w:pPr>
      <w:r>
        <w:rPr>
          <w:rFonts w:ascii="Times New Roman" w:hAnsi="Times New Roman" w:eastAsia="Times New Roman" w:cs="Times New Roman"/>
          <w:lang w:val="en-US" w:bidi="en-US"/>
          <w:color w:val="111111"/>
          <w:sz w:val="28"/>
          <w:szCs w:val="28"/>
          <w:rtl/>
        </w:rPr>
        <w:t xml:space="preserve">(ebn-o hobayra, yahya ebn-e mohammad (1087 - 1166)</w:t>
      </w:r>
    </w:p>
    <w:p>
      <w:pPr>
        <w:pStyle w:val="BookText"/>
      </w:pPr>
      <w:r>
        <w:rPr>
          <w:rFonts w:ascii="IRNazanin" w:hAnsi="IRNazanin" w:eastAsia="IRNazanin" w:cs="IRNazanin"/>
          <w:lang w:bidi="fa-IR"/>
          <w:color w:val="111111"/>
          <w:sz w:val="28"/>
          <w:szCs w:val="28"/>
          <w:rtl/>
        </w:rPr>
        <w:t xml:space="preserve">مؤلف که وزیر مقتفى لامر الله و مستنجد بالله بوده است، موارد اتفاق و اختلاف مذاهب ائمه چهارگانه اهل سنت را با افعال «واتفقوا، واختلفوا واجمعو» بیان نموده است به عنوان مثال  در مسأله وضو و ازاله نجاست چنین می نویسد: «واجمعوا على انه لا يجوز التوضى بالنبيذ على الاطلاق الا ابا حنيفة ... و اختلفوا فى جواز ازالة النجاسة بغير الماء من المايعات فقال ابوحنيفة يجوز بكل مايع طاهر مزيل للعين و قال مالك و الشافعي و احمد  لايجوز الا بالماء».</w:t>
      </w:r>
    </w:p>
    <w:p>
      <w:pPr>
        <w:pStyle w:val="BookText"/>
      </w:pPr>
      <w:r>
        <w:rPr>
          <w:rFonts w:ascii="Amiri" w:hAnsi="Amiri" w:eastAsia="Amiri" w:cs="Amiri"/>
          <w:lang w:bidi="ar-SA"/>
          <w:color w:val="111111"/>
          <w:sz w:val="28"/>
          <w:szCs w:val="28"/>
          <w:rtl/>
        </w:rPr>
        <w:t xml:space="preserve">آغاز: قال رسول الله صلى الله عليه و سلم من يرد الله به خيراً يفقهه في الدين أما قوله من يرد الله به خيراً فان هذا شرط.</w:t>
      </w:r>
    </w:p>
    <w:p>
      <w:pPr>
        <w:pStyle w:val="BookText"/>
      </w:pPr>
      <w:r>
        <w:rPr>
          <w:rFonts w:ascii="IRNazanin" w:hAnsi="IRNazanin" w:eastAsia="IRNazanin" w:cs="IRNazanin"/>
          <w:lang w:bidi="fa-IR"/>
          <w:color w:val="111111"/>
          <w:sz w:val="28"/>
          <w:szCs w:val="28"/>
          <w:rtl/>
        </w:rPr>
        <w:t xml:space="preserve">انجام: و الله سبحانه و تعالى المحمود على توفيقنا لذلك و نسأله جل اسمه نفعنا و المسلمین به آمین.</w:t>
      </w:r>
    </w:p>
    <w:p>
      <w:pPr>
        <w:pStyle w:val="BookText"/>
      </w:pPr>
      <w:r>
        <w:rPr>
          <w:rFonts w:ascii="IRNazanin" w:hAnsi="IRNazanin" w:eastAsia="IRNazanin" w:cs="IRNazanin"/>
          <w:lang w:bidi="fa-IR"/>
          <w:color w:val="111111"/>
          <w:sz w:val="28"/>
          <w:szCs w:val="28"/>
          <w:rtl/>
        </w:rPr>
        <w:t xml:space="preserve">[دنا ۸۵۰/۱ (۴) نسخه)]</w:t>
      </w:r>
    </w:p>
    <w:p>
      <w:pPr>
        <w:pStyle w:val="BookText"/>
      </w:pPr>
      <w:r>
        <w:rPr>
          <w:rFonts w:ascii="IRNazanin" w:hAnsi="IRNazanin" w:eastAsia="IRNazanin" w:cs="IRNazanin"/>
          <w:lang w:bidi="fa-IR"/>
          <w:color w:val="111111"/>
          <w:sz w:val="28"/>
          <w:szCs w:val="28"/>
          <w:rtl/>
        </w:rPr>
        <w:t xml:space="preserve">١. یزد ،علومی، شیخ علی؛ شماره نسخه: ۱</w:t>
      </w:r>
    </w:p>
    <w:p>
      <w:pPr>
        <w:pStyle w:val="BookText"/>
      </w:pPr>
      <w:r>
        <w:rPr>
          <w:rFonts w:ascii="IRNazanin" w:hAnsi="IRNazanin" w:eastAsia="IRNazanin" w:cs="IRNazanin"/>
          <w:lang w:bidi="fa-IR"/>
          <w:color w:val="111111"/>
          <w:sz w:val="28"/>
          <w:szCs w:val="28"/>
          <w:rtl/>
        </w:rPr>
        <w:t xml:space="preserve">خط: نسخ،  كا: علی بن هلال بن علی  کلری، تا: پنج شنبه ۸ جمادی الثانى ۸۸۷ق؛ ابراهيم بن احمد بن ابراهیم و برادرش شهاب الدین احمد آن را با نسخه اصل و نسخه دیگر در حمات در مسجد المرابط در روز شنبه ۱۰ جمادی ۸۸۷ مقابله کرده اند[ نشریه: ۴ - ۴۳۶]</w:t>
      </w:r>
    </w:p>
    <w:p>
      <w:pPr>
        <w:pStyle w:val="BookText"/>
      </w:pPr>
      <w:r>
        <w:rPr>
          <w:rFonts w:ascii="IRNazanin" w:hAnsi="IRNazanin" w:eastAsia="IRNazanin" w:cs="IRNazanin"/>
          <w:lang w:bidi="fa-IR"/>
          <w:color w:val="111111"/>
          <w:sz w:val="28"/>
          <w:szCs w:val="28"/>
          <w:rtl/>
        </w:rPr>
        <w:t xml:space="preserve">۲. قم؛ مرعشی؛ شماره نسخه: ۹۳۸</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در فهرست با عنوان «الافصاح عن معانى الصحاح» ثبت شده که غلط است؛ خط: نسخ، کا: عبدالباری بن سلیمان ازهری سفطی، تا: دوشنبه ۱۵ صفر ۱۰۲۶ق، به دستور ناظر احکام شرعیه در الغش حاج علی افندی رومی حنفی؛ مصحح؛ جلد: مشکی ضربی، ۳۰۸گ، ۲۱ سطر،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۳ - ۱۲۶]</w:t>
      </w:r>
    </w:p>
    <w:p>
      <w:pPr>
        <w:pStyle w:val="BookText"/>
      </w:pPr>
      <w:r>
        <w:rPr>
          <w:rFonts w:ascii="IRNazanin" w:hAnsi="IRNazanin" w:eastAsia="IRNazanin" w:cs="IRNazanin"/>
          <w:lang w:bidi="fa-IR"/>
          <w:color w:val="111111"/>
          <w:sz w:val="28"/>
          <w:szCs w:val="28"/>
          <w:rtl/>
        </w:rPr>
        <w:t xml:space="preserve">3.مشهد؛ رضوی؛ شماره نسخه: ۷۴۳۵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bookmarkStart w:id="409" w:name="pg20365_260572"/>
    <w:bookmarkEnd w:id="409"/>
    <w:p>
      <w:pPr>
        <w:pStyle w:val="BookText"/>
      </w:pPr>
      <w:r>
        <w:rPr>
          <w:rFonts w:ascii="IRNazanin" w:hAnsi="IRNazanin" w:eastAsia="IRNazanin" w:cs="IRNazanin"/>
          <w:lang w:bidi="fa-IR"/>
          <w:color w:val="111111"/>
          <w:sz w:val="28"/>
          <w:szCs w:val="28"/>
          <w:rtl/>
        </w:rPr>
        <w:t xml:space="preserve">آغاز: انه سمع و في رواية من يرد الله به خيراً يفقه في الدین؛</w:t>
      </w:r>
    </w:p>
    <w:p>
      <w:pPr>
        <w:pStyle w:val="BookText"/>
      </w:pPr>
      <w:r>
        <w:rPr>
          <w:rFonts w:ascii="IRNazanin" w:hAnsi="IRNazanin" w:eastAsia="IRNazanin" w:cs="IRNazanin"/>
          <w:lang w:bidi="fa-IR"/>
          <w:color w:val="111111"/>
          <w:sz w:val="28"/>
          <w:szCs w:val="28"/>
          <w:rtl/>
        </w:rPr>
        <w:t xml:space="preserve">انجام: برابر</w:t>
      </w:r>
    </w:p>
    <w:p>
      <w:pPr>
        <w:pStyle w:val="BookText"/>
      </w:pPr>
      <w:r>
        <w:rPr>
          <w:rFonts w:ascii="IRNazanin" w:hAnsi="IRNazanin" w:eastAsia="IRNazanin" w:cs="IRNazanin"/>
          <w:lang w:bidi="fa-IR"/>
          <w:color w:val="111111"/>
          <w:sz w:val="28"/>
          <w:szCs w:val="28"/>
          <w:rtl/>
        </w:rPr>
        <w:t xml:space="preserve">به جز نخستین برگ از مقدمه، کلیه ابواب فقهی را شامل اسـت ؛خط: نسخ، کا: علی بن صالح بن محمد خطیب  بصری، تا: سه شـنبه ۱۳ ربیع الثانی ۱۰۲۹ق؛ افتادگی: آغاز ؛ وی آن را از نسخه ابوبکربن عمر بن يوسف بن عبدالكريم، مكتوب در ۷۲۶، استنساخ نموده، تملک: شرف الدین محمد مکی بن محمد ضیاءالدین عاملی یـکی از نوادگان شهید اول؛ جلد: تیماج ضربی [ف: ۲۱/۱ - ۱۱۴]</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یزد؛ عجمین، محمد باقر؛ شماره نسخه: ۱</w:t>
      </w:r>
    </w:p>
    <w:p>
      <w:pPr>
        <w:pStyle w:val="BookText"/>
      </w:pPr>
      <w:r>
        <w:rPr>
          <w:rFonts w:ascii="IRNazanin" w:hAnsi="IRNazanin" w:eastAsia="IRNazanin" w:cs="IRNazanin"/>
          <w:lang w:bidi="fa-IR"/>
          <w:color w:val="111111"/>
          <w:sz w:val="28"/>
          <w:szCs w:val="28"/>
          <w:rtl/>
        </w:rPr>
        <w:t xml:space="preserve">مقدمه کتاب که در اصول فقه است در این نسخه نیست و از طهارت آغاز می شود؛ خط: نسخ، کا: زید بن اسماعيل بن ملا زید، تا: ذیقعده۱۰۷۲ق؛ تملك: يحيى بن شيخ جعفر افندی واعظ ۱۰۸۲؛ قطع: وزیری [ نشریه: ۴ - ۴۶۷]</w:t>
      </w:r>
    </w:p>
    <w:p>
      <w:pPr>
        <w:pStyle w:val="Heading3"/>
      </w:pPr>
      <w:bookmarkStart w:id="1921" w:name="_Toc1443"/>
      <w:r>
        <w:t>الاشراف على معرفة الاطراف / حدیث / عربی</w:t>
      </w:r>
      <w:bookmarkEnd w:id="1921"/>
    </w:p>
    <w:p>
      <w:pPr>
        <w:pStyle w:val="BookText"/>
      </w:pPr>
      <w:r>
        <w:rPr>
          <w:rFonts w:ascii="Times New Roman" w:hAnsi="Times New Roman" w:eastAsia="Times New Roman" w:cs="Times New Roman"/>
          <w:lang w:val="en-US" w:bidi="en-US"/>
          <w:color w:val="111111"/>
          <w:sz w:val="28"/>
          <w:szCs w:val="28"/>
          <w:rtl/>
        </w:rPr>
        <w:t xml:space="preserve">al-išrāf ‘alā ma‘rifat-il-aṭrāf</w:t>
      </w:r>
    </w:p>
    <w:p>
      <w:pPr>
        <w:pStyle w:val="BookText"/>
      </w:pPr>
      <w:r>
        <w:rPr>
          <w:rFonts w:ascii="IRNazanin" w:hAnsi="IRNazanin" w:eastAsia="IRNazanin" w:cs="IRNazanin"/>
          <w:lang w:bidi="fa-IR"/>
          <w:color w:val="111111"/>
          <w:sz w:val="28"/>
          <w:szCs w:val="28"/>
          <w:rtl/>
        </w:rPr>
        <w:t xml:space="preserve">ابن عساکر، علی بن حسن، ۴۹۹ - ۵۷۱ قمری</w:t>
      </w:r>
    </w:p>
    <w:p>
      <w:pPr>
        <w:pStyle w:val="BookText"/>
      </w:pPr>
      <w:r>
        <w:rPr>
          <w:rFonts w:ascii="Times New Roman" w:hAnsi="Times New Roman" w:eastAsia="Times New Roman" w:cs="Times New Roman"/>
          <w:lang w:val="en-US" w:bidi="en-US"/>
          <w:color w:val="111111"/>
          <w:sz w:val="28"/>
          <w:szCs w:val="28"/>
          <w:rtl/>
        </w:rPr>
        <w:t xml:space="preserve">(ebn-e ‘asāker, ‘alī ebn-e hasan (1106 - 1176)</w:t>
      </w:r>
    </w:p>
    <w:p>
      <w:pPr>
        <w:pStyle w:val="BookText"/>
      </w:pPr>
      <w:r>
        <w:rPr>
          <w:rFonts w:ascii="IRNazanin" w:hAnsi="IRNazanin" w:eastAsia="IRNazanin" w:cs="IRNazanin"/>
          <w:lang w:bidi="fa-IR"/>
          <w:color w:val="111111"/>
          <w:sz w:val="28"/>
          <w:szCs w:val="28"/>
          <w:rtl/>
        </w:rPr>
        <w:t xml:space="preserve">کتابی است در جمع اطراف و ترتیب «سنن ابی داود» و «جـامع الترمذى» و «سنن النسائى» و «سنن ابن ماجه» به ترتیب حروف معجم. ابن عساکر در پایان کتاب، اسانید خود را تا مؤلفین جوامع حديثی مذكور فوق ذکر نموده است. این ،کتاب ظاهراً در چـهار مجلد تألیف شده است (هدية العارفين 1/ 701) ليكن حاجی خلیفه آن را در دو مجلد دانسته است (کشف الظنون ۱۰۳/۱).</w:t>
      </w:r>
    </w:p>
    <w:p>
      <w:pPr>
        <w:pStyle w:val="BookText"/>
      </w:pPr>
      <w:r>
        <w:rPr>
          <w:rFonts w:ascii="IRNazanin" w:hAnsi="IRNazanin" w:eastAsia="IRNazanin" w:cs="IRNazanin"/>
          <w:lang w:bidi="fa-IR"/>
          <w:color w:val="111111"/>
          <w:sz w:val="28"/>
          <w:szCs w:val="28"/>
          <w:rtl/>
        </w:rPr>
        <w:t xml:space="preserve">چاپ: بیروت، المكتب الاسلامی، ۱۴ جلد</w:t>
      </w:r>
    </w:p>
    <w:p>
      <w:pPr>
        <w:pStyle w:val="BookText"/>
      </w:pPr>
      <w:r>
        <w:rPr>
          <w:rFonts w:ascii="IRNazanin" w:hAnsi="IRNazanin" w:eastAsia="IRNazanin" w:cs="IRNazanin"/>
          <w:lang w:bidi="fa-IR"/>
          <w:color w:val="111111"/>
          <w:sz w:val="28"/>
          <w:szCs w:val="28"/>
          <w:rtl/>
        </w:rPr>
        <w:t xml:space="preserve">[دنا ۸۵۰/۱؛ کشف الظنون ١٠٣/١؛ بروكلمان، ذیل 1/ 7- 566]</w:t>
      </w:r>
    </w:p>
    <w:p>
      <w:pPr>
        <w:pStyle w:val="BookText"/>
      </w:pPr>
      <w:r>
        <w:rPr>
          <w:rFonts w:ascii="IRNazanin" w:hAnsi="IRNazanin" w:eastAsia="IRNazanin" w:cs="IRNazanin"/>
          <w:lang w:bidi="fa-IR"/>
          <w:color w:val="111111"/>
          <w:sz w:val="28"/>
          <w:szCs w:val="28"/>
          <w:rtl/>
        </w:rPr>
        <w:t xml:space="preserve">قم؛ مرعشی؛ شماره نسخه: ۹۲۰ عکسی</w:t>
      </w:r>
    </w:p>
    <w:p>
      <w:pPr>
        <w:pStyle w:val="BookText"/>
      </w:pPr>
      <w:r>
        <w:rPr>
          <w:rFonts w:ascii="IRNazanin" w:hAnsi="IRNazanin" w:eastAsia="IRNazanin" w:cs="IRNazanin"/>
          <w:lang w:bidi="fa-IR"/>
          <w:color w:val="111111"/>
          <w:sz w:val="28"/>
          <w:szCs w:val="28"/>
          <w:rtl/>
        </w:rPr>
        <w:t xml:space="preserve">آغاز: عبيد الله عبد الله بن بن عمر بن الخطاب العدوى المدنى عن ابی هریره، حدیث فمن اصبح جنباً فى رمضان؛ انجام: ابو منصـور بن محمد الحسين المقدمى قراءة عليه و ان لم يكن فاجازة و ذکر لی انه سمع  منه الکتاب باسره ، غیر انه لم یکن له نسخة...و سلم تسليماً كثيراً.</w:t>
      </w:r>
    </w:p>
    <w:p>
      <w:pPr>
        <w:pStyle w:val="BookText"/>
      </w:pPr>
      <w:r>
        <w:rPr>
          <w:rFonts w:ascii="IRNazanin" w:hAnsi="IRNazanin" w:eastAsia="IRNazanin" w:cs="IRNazanin"/>
          <w:lang w:bidi="fa-IR"/>
          <w:color w:val="111111"/>
          <w:sz w:val="28"/>
          <w:szCs w:val="28"/>
          <w:rtl/>
        </w:rPr>
        <w:t xml:space="preserve">نسخه اصل: چستربیتی ش ۳۷۳۹ (اربری، فهرست خطی عربی ۱۰۰/۳). جلد چهارم، کتاب با آن پایان می یابد؛ خط: نسخ، بی کا، تا: قرن ۸ ؛تملک: ابراهيم بن ... ابن عبد الرحمن حلبى حنفى به  تاریخ اواخر محرم ۱۰۴۸ق؛ ۲۱۰گ، ۲۷ سطر [عکسی ف: 2- 401]</w:t>
      </w:r>
    </w:p>
    <w:p>
      <w:pPr>
        <w:pStyle w:val="Heading3"/>
      </w:pPr>
      <w:bookmarkStart w:id="1922" w:name="_Toc1444"/>
      <w:r>
        <w:t>الاشراف فى عامة فرايض اهل الاسلام / فقه / عربی</w:t>
      </w:r>
      <w:bookmarkEnd w:id="1922"/>
    </w:p>
    <w:p>
      <w:pPr>
        <w:pStyle w:val="BookText"/>
      </w:pPr>
      <w:r>
        <w:rPr>
          <w:rFonts w:ascii="Times New Roman" w:hAnsi="Times New Roman" w:eastAsia="Times New Roman" w:cs="Times New Roman"/>
          <w:lang w:val="en-US" w:bidi="en-US"/>
          <w:color w:val="111111"/>
          <w:sz w:val="28"/>
          <w:szCs w:val="28"/>
          <w:rtl/>
        </w:rPr>
        <w:t xml:space="preserve">al-išrāf fī ‘āmat-i farāyiḍ-i ahl-il-islām</w:t>
      </w:r>
    </w:p>
    <w:p>
      <w:pPr>
        <w:pStyle w:val="BookText"/>
      </w:pPr>
      <w:r>
        <w:rPr>
          <w:rFonts w:ascii="IRNazanin" w:hAnsi="IRNazanin" w:eastAsia="IRNazanin" w:cs="IRNazanin"/>
          <w:lang w:bidi="fa-IR"/>
          <w:color w:val="111111"/>
          <w:sz w:val="28"/>
          <w:szCs w:val="28"/>
          <w:rtl/>
        </w:rPr>
        <w:t xml:space="preserve">مفید، محمد بن محمد، ۳۳۶ - ۴۱۳ قمری</w:t>
      </w:r>
    </w:p>
    <w:p>
      <w:pPr>
        <w:pStyle w:val="BookText"/>
      </w:pPr>
      <w:r>
        <w:rPr>
          <w:rFonts w:ascii="IRNazanin" w:hAnsi="IRNazanin" w:eastAsia="IRNazanin" w:cs="IRNazanin"/>
          <w:lang w:bidi="fa-IR"/>
          <w:color w:val="111111"/>
          <w:sz w:val="28"/>
          <w:szCs w:val="28"/>
          <w:rtl/>
        </w:rPr>
        <w:t xml:space="preserve">رساله فتوایی مختصری است در احکام طهارت، صلات،زكات، صوم و حج.</w:t>
      </w:r>
    </w:p>
    <w:p>
      <w:pPr>
        <w:pStyle w:val="BookText"/>
      </w:pPr>
      <w:r>
        <w:rPr>
          <w:rFonts w:ascii="Amiri" w:hAnsi="Amiri" w:eastAsia="Amiri" w:cs="Amiri"/>
          <w:lang w:bidi="ar-SA"/>
          <w:color w:val="111111"/>
          <w:sz w:val="28"/>
          <w:szCs w:val="28"/>
          <w:rtl/>
        </w:rPr>
        <w:t xml:space="preserve">آغاز: الحمدلله رب العالمين ... باب فرض الوضوء وفرضه أربعة أشياء</w:t>
      </w:r>
    </w:p>
    <w:p>
      <w:pPr>
        <w:pStyle w:val="BookText"/>
      </w:pPr>
      <w:r>
        <w:rPr>
          <w:rFonts w:ascii="Amiri" w:hAnsi="Amiri" w:eastAsia="Amiri" w:cs="Amiri"/>
          <w:lang w:bidi="ar-SA"/>
          <w:color w:val="111111"/>
          <w:sz w:val="28"/>
          <w:szCs w:val="28"/>
          <w:rtl/>
        </w:rPr>
        <w:t xml:space="preserve">انجام: ثم هن و الرجال فيما عددناه مما سوى هذين الشيئين سواء.</w:t>
      </w:r>
    </w:p>
    <w:p>
      <w:pPr>
        <w:pStyle w:val="BookText"/>
      </w:pPr>
      <w:r>
        <w:rPr>
          <w:rFonts w:ascii="IRNazanin" w:hAnsi="IRNazanin" w:eastAsia="IRNazanin" w:cs="IRNazanin"/>
          <w:lang w:bidi="fa-IR"/>
          <w:color w:val="111111"/>
          <w:sz w:val="28"/>
          <w:szCs w:val="28"/>
          <w:rtl/>
        </w:rPr>
        <w:t xml:space="preserve">چاپ: نجف، مطبعة الحيدرية، بدون تاریخ؛ به مناسبت کنگره جهانی هزاره شیخ مفید، قم، ۱۴۱۳ق.</w:t>
      </w:r>
    </w:p>
    <w:p>
      <w:pPr>
        <w:pStyle w:val="BookText"/>
      </w:pPr>
      <w:r>
        <w:rPr>
          <w:rFonts w:ascii="IRNazanin" w:hAnsi="IRNazanin" w:eastAsia="IRNazanin" w:cs="IRNazanin"/>
          <w:lang w:bidi="fa-IR"/>
          <w:color w:val="111111"/>
          <w:sz w:val="28"/>
          <w:szCs w:val="28"/>
          <w:rtl/>
        </w:rPr>
        <w:t xml:space="preserve">[دنا 1/ 580 (8 نسخه)؛ ريحانة الادب ۳۶۱/۵؛ الذریعة ۱۰۲/۲ رجال نجاشی  ۲۸۳ ]</w:t>
      </w:r>
    </w:p>
    <w:p>
      <w:pPr>
        <w:pStyle w:val="BookText"/>
      </w:pPr>
      <w:r>
        <w:rPr>
          <w:rFonts w:ascii="IRNazanin" w:hAnsi="IRNazanin" w:eastAsia="IRNazanin" w:cs="IRNazanin"/>
          <w:lang w:bidi="fa-IR"/>
          <w:color w:val="111111"/>
          <w:sz w:val="28"/>
          <w:szCs w:val="28"/>
          <w:rtl/>
        </w:rPr>
        <w:t xml:space="preserve">۱. مشهد؛ رضوی؛ شماره نسخه: ۲۱۹۵۹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تا:قرن ۱۲؛ اهدایی: رهبری، فروردین ۱۳۷۸؛ کاغذ:نخودی، جلد: مقوای، ۱۸ گ، ۱۲ سطر، اندازه: 15/5</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[اهدائی رهبر: ۳ - ۶۹]</w:t>
      </w:r>
    </w:p>
    <w:p>
      <w:pPr>
        <w:pStyle w:val="BookText"/>
      </w:pPr>
      <w:r>
        <w:rPr>
          <w:rFonts w:ascii="IRNazanin" w:hAnsi="IRNazanin" w:eastAsia="IRNazanin" w:cs="IRNazanin"/>
          <w:lang w:bidi="fa-IR"/>
          <w:color w:val="111111"/>
          <w:sz w:val="28"/>
          <w:szCs w:val="28"/>
          <w:rtl/>
        </w:rPr>
        <w:t xml:space="preserve">۲. اصفهان ،شفتی، مهدی؛ شماره نسخه: ۱۱/۲</w:t>
      </w:r>
    </w:p>
    <w:p>
      <w:pPr>
        <w:pStyle w:val="BookText"/>
      </w:pPr>
      <w:r>
        <w:rPr>
          <w:rFonts w:ascii="IRNazanin" w:hAnsi="IRNazanin" w:eastAsia="IRNazanin" w:cs="IRNazanin"/>
          <w:lang w:bidi="fa-IR"/>
          <w:color w:val="111111"/>
          <w:sz w:val="28"/>
          <w:szCs w:val="28"/>
          <w:rtl/>
        </w:rPr>
        <w:t xml:space="preserve">خط: نسخ زیبا، بی کا، تا: ۱۱۲۱ق، جلد: تیماج مشکی، ۸گ (۱۷۹ پ -۱۸۶ر)، ۲۱ سطر [ سه کتابخانه اصفهان - ف: - ۱۶۶]</w:t>
      </w:r>
    </w:p>
    <w:p>
      <w:pPr>
        <w:pStyle w:val="BookText"/>
      </w:pPr>
      <w:r>
        <w:rPr>
          <w:rFonts w:ascii="IRNazanin" w:hAnsi="IRNazanin" w:eastAsia="IRNazanin" w:cs="IRNazanin"/>
          <w:lang w:bidi="fa-IR"/>
          <w:color w:val="111111"/>
          <w:sz w:val="28"/>
          <w:szCs w:val="28"/>
          <w:rtl/>
        </w:rPr>
        <w:t xml:space="preserve">3.تهران؛ مجلس؛ شماره نسخه: ۱۴۵۰۵/۲</w:t>
      </w:r>
    </w:p>
    <w:p>
      <w:pPr>
        <w:pStyle w:val="BookText"/>
      </w:pPr>
      <w:r>
        <w:rPr>
          <w:rFonts w:ascii="IRNazanin" w:hAnsi="IRNazanin" w:eastAsia="IRNazanin" w:cs="IRNazanin"/>
          <w:lang w:bidi="fa-IR"/>
          <w:color w:val="111111"/>
          <w:sz w:val="28"/>
          <w:szCs w:val="28"/>
          <w:rtl/>
        </w:rPr>
        <w:t xml:space="preserve">خط: نسخ، بی کا، تا: قرن ۱۳؛ جلد: تیماج زرشکی ضربی ترنج و سر ترنج دار، ۱۰گ (18پ-۲۷پ)، ۱۸-۲۳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۲۱/۷سم [ف: ۴۱ - ۲۱]</w:t>
      </w:r>
    </w:p>
    <w:p>
      <w:pPr>
        <w:pStyle w:val="BookText"/>
      </w:pPr>
      <w:r>
        <w:rPr>
          <w:rFonts w:ascii="IRNazanin" w:hAnsi="IRNazanin" w:eastAsia="IRNazanin" w:cs="IRNazanin"/>
          <w:lang w:bidi="fa-IR"/>
          <w:color w:val="111111"/>
          <w:sz w:val="28"/>
          <w:szCs w:val="28"/>
          <w:rtl/>
        </w:rPr>
        <w:t xml:space="preserve">4.قم؛ مرعشی؛ شماره نسخه: ۱۲۶۹۱/۲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محمد بن شیخ سلیمان سعدی، تا: اوایل قرن ۱۳؛  مصحح، رکابه دار، کاغذ: فرنگی، ۱۴گ (۲۴-۳۷)، ۱۴ سطر،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۳۲ - ۲۷۱]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قم؛ مرعشی؛ شماره نسخه: ۷۸/۴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کا،تا: قرن ۱۳ ؛جلد: تیماج سرخ عطف تيماج قهوه ای، ۱۱گ (۶۵پ-۷۵پ)، ۱۷ 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۱۸/۵سم[ف: ۱ - ۹۰]</w:t>
      </w:r>
    </w:p>
    <w:p>
      <w:pPr>
        <w:pStyle w:val="BookText"/>
      </w:pPr>
      <w:r>
        <w:rPr>
          <w:rFonts w:ascii="IRNazanin" w:hAnsi="IRNazanin" w:eastAsia="IRNazanin" w:cs="IRNazanin"/>
          <w:lang w:bidi="fa-IR"/>
          <w:color w:val="111111"/>
          <w:sz w:val="28"/>
          <w:szCs w:val="28"/>
          <w:rtl/>
        </w:rPr>
        <w:t xml:space="preserve">۶. تهران؛ مجلس؛ شماره نسخه: ۹۵۲۷/۶</w:t>
      </w:r>
    </w:p>
    <w:p>
      <w:pPr>
        <w:pStyle w:val="BookText"/>
      </w:pPr>
      <w:r>
        <w:rPr>
          <w:rFonts w:ascii="Amiri" w:hAnsi="Amiri" w:eastAsia="Amiri" w:cs="Amiri"/>
          <w:lang w:bidi="ar-SA"/>
          <w:color w:val="111111"/>
          <w:sz w:val="28"/>
          <w:szCs w:val="28"/>
          <w:rtl/>
        </w:rPr>
        <w:t xml:space="preserve">آغاز: برابر؛ انجام: موكدة على الرجال و ليس بمسنون للنساء</w:t>
      </w:r>
    </w:p>
    <w:p>
      <w:pPr>
        <w:pStyle w:val="BookText"/>
      </w:pPr>
      <w:r>
        <w:rPr>
          <w:rFonts w:ascii="IRNazanin" w:hAnsi="IRNazanin" w:eastAsia="IRNazanin" w:cs="IRNazanin"/>
          <w:lang w:bidi="fa-IR"/>
          <w:color w:val="111111"/>
          <w:sz w:val="28"/>
          <w:szCs w:val="28"/>
          <w:rtl/>
        </w:rPr>
        <w:t xml:space="preserve">بی کا، تا: ۱۲۵۱ق، ۴گ (۲۸ ر - ۳۱ر)، ۲۲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۳۰ - ۱۹۵]</w:t>
      </w:r>
    </w:p>
    <w:p>
      <w:pPr>
        <w:pStyle w:val="BookText"/>
      </w:pPr>
      <w:r>
        <w:rPr>
          <w:rFonts w:ascii="IRNazanin" w:hAnsi="IRNazanin" w:eastAsia="IRNazanin" w:cs="IRNazanin"/>
          <w:lang w:bidi="fa-IR"/>
          <w:color w:val="111111"/>
          <w:sz w:val="28"/>
          <w:szCs w:val="28"/>
          <w:rtl/>
        </w:rPr>
        <w:t xml:space="preserve">۷. تهران؛ مجلس؛ شماره نسخه: ۸/۱۳ خوئی</w:t>
      </w:r>
    </w:p>
    <w:p>
      <w:pPr>
        <w:pStyle w:val="BookText"/>
      </w:pPr>
      <w:r>
        <w:rPr>
          <w:rFonts w:ascii="Amiri" w:hAnsi="Amiri" w:eastAsia="Amiri" w:cs="Amiri"/>
          <w:lang w:bidi="ar-SA"/>
          <w:color w:val="111111"/>
          <w:sz w:val="28"/>
          <w:szCs w:val="28"/>
          <w:rtl/>
        </w:rPr>
        <w:t xml:space="preserve">آغاز: برابر؛ انجام: و قدر خص للنساء في تغطية الرؤس.</w:t>
      </w:r>
    </w:p>
    <w:p>
      <w:pPr>
        <w:pStyle w:val="BookText"/>
      </w:pPr>
      <w:r>
        <w:rPr>
          <w:rFonts w:ascii="IRNazanin" w:hAnsi="IRNazanin" w:eastAsia="IRNazanin" w:cs="IRNazanin"/>
          <w:lang w:bidi="fa-IR"/>
          <w:color w:val="111111"/>
          <w:sz w:val="28"/>
          <w:szCs w:val="28"/>
          <w:rtl/>
        </w:rPr>
        <w:t xml:space="preserve">خط: نسخ  تحریری، بی کا، بی تا، پس از پایان این رساله، روی ص ۱۷۰ تا ۱۷۲ خوابی که ابوالحسن علی بن محمد بن نبان از شیخ مفید .نقل کرده، نوشته شده؛ کاغذ: اصفهانی، جلد: تیماج زرد رنگ، ۱۷ص (۱۵۲-۱۶۸)، ۲۳ سطر، قطع: وزیری باریک، اندازه: ۱۳/۳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۲۶/۲سم [ف: ۷ - ۱۴]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bookmarkStart w:id="410" w:name="pg20365_260573"/>
    <w:bookmarkEnd w:id="410"/>
    <w:p>
      <w:pPr>
        <w:pStyle w:val="BookText"/>
      </w:pPr>
      <w:r>
        <w:rPr>
          <w:rFonts w:ascii="IRNazanin" w:hAnsi="IRNazanin" w:eastAsia="IRNazanin" w:cs="IRNazanin"/>
          <w:lang w:bidi="fa-IR"/>
          <w:color w:val="111111"/>
          <w:sz w:val="28"/>
          <w:szCs w:val="28"/>
          <w:rtl/>
        </w:rPr>
        <w:t xml:space="preserve">۸ .تهران؛ ملی؛ شماره نسخه: ۲۰۳۹/۲</w:t>
      </w:r>
    </w:p>
    <w:p>
      <w:pPr>
        <w:pStyle w:val="BookText"/>
      </w:pPr>
      <w:r>
        <w:rPr>
          <w:rFonts w:ascii="IRNazanin" w:hAnsi="IRNazanin" w:eastAsia="IRNazanin" w:cs="IRNazanin"/>
          <w:lang w:bidi="fa-IR"/>
          <w:color w:val="111111"/>
          <w:sz w:val="28"/>
          <w:szCs w:val="28"/>
          <w:rtl/>
        </w:rPr>
        <w:t xml:space="preserve">آغاز: برابر؛ انجام: باب ما يسقط فرضه و السنة فيه من مناسـک الحج عن النساء ... وهی ستة  ... سنة مؤكدة على الرجال و ليس   بمسنون للنساء. تم كتاب الاشراف في علم فرایض الاسلام</w:t>
      </w:r>
    </w:p>
    <w:p>
      <w:pPr>
        <w:pStyle w:val="BookText"/>
      </w:pPr>
      <w:r>
        <w:rPr>
          <w:rFonts w:ascii="IRNazanin" w:hAnsi="IRNazanin" w:eastAsia="IRNazanin" w:cs="IRNazanin"/>
          <w:lang w:bidi="fa-IR"/>
          <w:color w:val="111111"/>
          <w:sz w:val="28"/>
          <w:szCs w:val="28"/>
          <w:rtl/>
        </w:rPr>
        <w:t xml:space="preserve">از طهارت و صلات ،زکات، صیام، تا حج و عمره؛ خط: نستعلیق، بی کا،  بی تا ؛کاغذ: نخودی ،اصفهانی، جلد: تیماج  سرخ، مقوایی، آستر کاغذ گل و بوته  دار، ٩ ص( ۱۰۹ ر - ۱۱۷ر)، ۱۹ سـطر  (7</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۱۹/۵سم [ف : ۱۱ - ۱۳۷]</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قم؛ مرعشی؛ شماره نسخه: ۲۴۳/۴</w:t>
      </w:r>
    </w:p>
    <w:p>
      <w:pPr>
        <w:pStyle w:val="BookText"/>
      </w:pPr>
      <w:r>
        <w:rPr>
          <w:rFonts w:ascii="IRNazanin" w:hAnsi="IRNazanin" w:eastAsia="IRNazanin" w:cs="IRNazanin"/>
          <w:lang w:bidi="fa-IR"/>
          <w:color w:val="111111"/>
          <w:sz w:val="28"/>
          <w:szCs w:val="28"/>
          <w:rtl/>
        </w:rPr>
        <w:t xml:space="preserve">خط: نسخ، بی کا، بی تا؛ جلد: تیماج مشکی ضربی، ۱۴گ (۶۳پ- ۷۶ر)،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۲۴/۵سم [ف: ۱ - ۲۶۷]</w:t>
      </w:r>
    </w:p>
    <w:p>
      <w:pPr>
        <w:pStyle w:val="Heading3"/>
      </w:pPr>
      <w:bookmarkStart w:id="1923" w:name="_Toc1445"/>
      <w:r>
        <w:t>اشراقات / عرفان و تصوف / فارسی</w:t>
      </w:r>
      <w:bookmarkEnd w:id="1923"/>
    </w:p>
    <w:p>
      <w:pPr>
        <w:pStyle w:val="BookText"/>
      </w:pPr>
      <w:r>
        <w:rPr>
          <w:rFonts w:ascii="Times New Roman" w:hAnsi="Times New Roman" w:eastAsia="Times New Roman" w:cs="Times New Roman"/>
          <w:lang w:val="en-US" w:bidi="en-US"/>
          <w:color w:val="111111"/>
          <w:sz w:val="28"/>
          <w:szCs w:val="28"/>
          <w:rtl/>
        </w:rPr>
        <w:t xml:space="preserve">esraqat</w:t>
      </w:r>
    </w:p>
    <w:p>
      <w:pPr>
        <w:pStyle w:val="BookText"/>
      </w:pPr>
      <w:r>
        <w:rPr>
          <w:rFonts w:ascii="IRNazanin" w:hAnsi="IRNazanin" w:eastAsia="IRNazanin" w:cs="IRNazanin"/>
          <w:lang w:bidi="fa-IR"/>
          <w:color w:val="111111"/>
          <w:sz w:val="28"/>
          <w:szCs w:val="28"/>
          <w:rtl/>
        </w:rPr>
        <w:t xml:space="preserve">جواد بن علی، ق ۱۳ قمری</w:t>
      </w:r>
    </w:p>
    <w:p>
      <w:pPr>
        <w:pStyle w:val="BookText"/>
      </w:pPr>
      <w:r>
        <w:rPr>
          <w:rFonts w:ascii="Times New Roman" w:hAnsi="Times New Roman" w:eastAsia="Times New Roman" w:cs="Times New Roman"/>
          <w:lang w:val="en-US" w:bidi="en-US"/>
          <w:color w:val="111111"/>
          <w:sz w:val="28"/>
          <w:szCs w:val="28"/>
          <w:rtl/>
        </w:rPr>
        <w:t xml:space="preserve">(javād ebn-e ‘alī (- 19c)</w:t>
      </w:r>
    </w:p>
    <w:p>
      <w:pPr>
        <w:pStyle w:val="BookText"/>
      </w:pPr>
      <w:r>
        <w:rPr>
          <w:rFonts w:ascii="IRNazanin" w:hAnsi="IRNazanin" w:eastAsia="IRNazanin" w:cs="IRNazanin"/>
          <w:lang w:bidi="fa-IR"/>
          <w:color w:val="111111"/>
          <w:sz w:val="28"/>
          <w:szCs w:val="28"/>
          <w:rtl/>
        </w:rPr>
        <w:t xml:space="preserve">رساله ای عرفانی به نثر و نظم در ده «اشراق»: ١. الواجب وفیه المعات ؛۲. صفاته ؛۳. بيان القاء المحبة في قلب العارف؛ 4.وسطه؛ ۵. تقسیم اجسام؛ ۶. بیان اینکه انسان عالم صغیر است؛7. صعود النفس من مرتبة الطبيعة الى العقل المستفاد؛ ۸. احوال النفس الناطقه؛ ۹. بيان ابطال التناسخ؛ ١٠. المعاد</w:t>
      </w:r>
    </w:p>
    <w:p>
      <w:pPr>
        <w:pStyle w:val="BookText"/>
      </w:pPr>
      <w:r>
        <w:rPr>
          <w:rFonts w:ascii="IRNazanin" w:hAnsi="IRNazanin" w:eastAsia="IRNazanin" w:cs="IRNazanin"/>
          <w:lang w:bidi="fa-IR"/>
          <w:color w:val="111111"/>
          <w:sz w:val="28"/>
          <w:szCs w:val="28"/>
          <w:rtl/>
        </w:rPr>
        <w:t xml:space="preserve">قم؛ معصومیه؛ شماره نسخه: ۴۸۷/۱</w:t>
      </w:r>
    </w:p>
    <w:p>
      <w:pPr>
        <w:pStyle w:val="BookText"/>
      </w:pPr>
      <w:r>
        <w:rPr>
          <w:rFonts w:ascii="IRNazanin" w:hAnsi="IRNazanin" w:eastAsia="IRNazanin" w:cs="IRNazanin"/>
          <w:lang w:bidi="fa-IR"/>
          <w:color w:val="111111"/>
          <w:sz w:val="28"/>
          <w:szCs w:val="28"/>
          <w:rtl/>
        </w:rPr>
        <w:t xml:space="preserve">آغاز: اللهم اشرح صدورنا باشراق نور العرفان نور قلوبنا بزینه الشريعة و الايمان ... هذه تعليقات منى في عنفوان الشباب لتحقیق الحق و لكشف المعارف و اليقين فى كل باب؛ انجام: قوه متخـیله او را بمثل مثل تبدیل علم به لبن چون علم غذای روح است ولبن غذای جسم است و تبدیل دشمن به مار و این قسم رویای کاذبه است و محتاج به تعبیر و الله</w:t>
      </w:r>
    </w:p>
    <w:p>
      <w:pPr>
        <w:pStyle w:val="BookText"/>
      </w:pPr>
      <w:r>
        <w:rPr>
          <w:rFonts w:ascii="IRNazanin" w:hAnsi="IRNazanin" w:eastAsia="IRNazanin" w:cs="IRNazanin"/>
          <w:lang w:bidi="fa-IR"/>
          <w:color w:val="111111"/>
          <w:sz w:val="28"/>
          <w:szCs w:val="28"/>
          <w:rtl/>
        </w:rPr>
        <w:t xml:space="preserve">خط: تحریری، کا: محمد علی بن على جيلاني الاصل تهرانی المسكن، تا: ۱۲۹۸ق؛ مصحح؛ جلد: تیماج قهوه ای، ۳۰گ (۱بپ- ۳۰پ)، ۱۹ سطر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۲-۹۷]</w:t>
      </w:r>
    </w:p>
    <w:p>
      <w:pPr>
        <w:pStyle w:val="Heading3"/>
      </w:pPr>
      <w:bookmarkStart w:id="1924" w:name="_Toc1446"/>
      <w:r>
        <w:t>اشراقات / بهائیت / فارسی</w:t>
      </w:r>
      <w:bookmarkEnd w:id="1924"/>
    </w:p>
    <w:p>
      <w:pPr>
        <w:pStyle w:val="BookText"/>
      </w:pPr>
      <w:r>
        <w:rPr>
          <w:rFonts w:ascii="Times New Roman" w:hAnsi="Times New Roman" w:eastAsia="Times New Roman" w:cs="Times New Roman"/>
          <w:lang w:val="en-US" w:bidi="en-US"/>
          <w:color w:val="111111"/>
          <w:sz w:val="28"/>
          <w:szCs w:val="28"/>
          <w:rtl/>
        </w:rPr>
        <w:t xml:space="preserve">esraqat</w:t>
      </w:r>
    </w:p>
    <w:p>
      <w:pPr>
        <w:pStyle w:val="BookText"/>
      </w:pPr>
      <w:r>
        <w:rPr>
          <w:rFonts w:ascii="IRNazanin" w:hAnsi="IRNazanin" w:eastAsia="IRNazanin" w:cs="IRNazanin"/>
          <w:lang w:bidi="fa-IR"/>
          <w:color w:val="111111"/>
          <w:sz w:val="28"/>
          <w:szCs w:val="28"/>
          <w:rtl/>
        </w:rPr>
        <w:t xml:space="preserve">بهاء الله، حسینعلی بن میرزا بزرگ،1233- 1309قمری</w:t>
      </w:r>
    </w:p>
    <w:p>
      <w:pPr>
        <w:pStyle w:val="BookText"/>
      </w:pPr>
      <w:r>
        <w:rPr>
          <w:rFonts w:ascii="Times New Roman" w:hAnsi="Times New Roman" w:eastAsia="Times New Roman" w:cs="Times New Roman"/>
          <w:lang w:val="en-US" w:bidi="en-US"/>
          <w:color w:val="111111"/>
          <w:sz w:val="28"/>
          <w:szCs w:val="28"/>
          <w:rtl/>
        </w:rPr>
        <w:t xml:space="preserve">(1892-bahā’-ol-lāh, hoseyn-‘alī ebn-e mīrzā bozorg (1818 -</w:t>
      </w:r>
    </w:p>
    <w:p>
      <w:pPr>
        <w:pStyle w:val="BookText"/>
      </w:pPr>
      <w:r>
        <w:rPr>
          <w:rFonts w:ascii="IRNazanin" w:hAnsi="IRNazanin" w:eastAsia="IRNazanin" w:cs="IRNazanin"/>
          <w:lang w:bidi="fa-IR"/>
          <w:color w:val="111111"/>
          <w:sz w:val="28"/>
          <w:szCs w:val="28"/>
          <w:rtl/>
        </w:rPr>
        <w:t xml:space="preserve">یزد ؛وزیری؛ شماره نسخه: ۴۲۶۲</w:t>
      </w:r>
    </w:p>
    <w:p>
      <w:pPr>
        <w:pStyle w:val="BookText"/>
      </w:pPr>
      <w:r>
        <w:rPr>
          <w:rFonts w:ascii="IRNazanin" w:hAnsi="IRNazanin" w:eastAsia="IRNazanin" w:cs="IRNazanin"/>
          <w:lang w:bidi="fa-IR"/>
          <w:color w:val="111111"/>
          <w:sz w:val="28"/>
          <w:szCs w:val="28"/>
          <w:rtl/>
        </w:rPr>
        <w:t xml:space="preserve">بی کا، بی تا [نشریه: ۱۳ - ۳۸۱]</w:t>
      </w:r>
    </w:p>
    <w:p>
      <w:pPr>
        <w:pStyle w:val="Heading3"/>
      </w:pPr>
      <w:bookmarkStart w:id="1925" w:name="_Toc1447"/>
      <w:r>
        <w:t>اشراقات الرضوية / فلسفه / عربي</w:t>
      </w:r>
      <w:bookmarkEnd w:id="1925"/>
    </w:p>
    <w:p>
      <w:pPr>
        <w:pStyle w:val="BookText"/>
      </w:pPr>
      <w:r>
        <w:rPr>
          <w:rFonts w:ascii="Times New Roman" w:hAnsi="Times New Roman" w:eastAsia="Times New Roman" w:cs="Times New Roman"/>
          <w:lang w:val="en-US" w:bidi="en-US"/>
          <w:color w:val="111111"/>
          <w:sz w:val="28"/>
          <w:szCs w:val="28"/>
          <w:rtl/>
        </w:rPr>
        <w:t xml:space="preserve">išraqat-ur-radawiyya</w:t>
      </w:r>
    </w:p>
    <w:p>
      <w:pPr>
        <w:pStyle w:val="BookText"/>
      </w:pPr>
      <w:r>
        <w:rPr>
          <w:rFonts w:ascii="IRNazanin" w:hAnsi="IRNazanin" w:eastAsia="IRNazanin" w:cs="IRNazanin"/>
          <w:lang w:bidi="fa-IR"/>
          <w:color w:val="111111"/>
          <w:sz w:val="28"/>
          <w:szCs w:val="28"/>
          <w:rtl/>
        </w:rPr>
        <w:t xml:space="preserve">عصار، محمد بن محمود، ۱۲۶۴؟ - ۱۳۵۶ ؟ قمری</w:t>
      </w:r>
    </w:p>
    <w:p>
      <w:pPr>
        <w:pStyle w:val="BookText"/>
      </w:pPr>
      <w:r>
        <w:rPr>
          <w:rFonts w:ascii="Times New Roman" w:hAnsi="Times New Roman" w:eastAsia="Times New Roman" w:cs="Times New Roman"/>
          <w:lang w:val="en-US" w:bidi="en-US"/>
          <w:color w:val="111111"/>
          <w:sz w:val="28"/>
          <w:szCs w:val="28"/>
          <w:rtl/>
        </w:rPr>
        <w:t xml:space="preserve">(assar, mohammad ebn-e mahmud (1848 - 1937)</w:t>
      </w:r>
    </w:p>
    <w:p>
      <w:pPr>
        <w:pStyle w:val="BookText"/>
      </w:pPr>
      <w:r>
        <w:rPr>
          <w:rFonts w:ascii="IRNazanin" w:hAnsi="IRNazanin" w:eastAsia="IRNazanin" w:cs="IRNazanin"/>
          <w:lang w:bidi="fa-IR"/>
          <w:color w:val="111111"/>
          <w:sz w:val="28"/>
          <w:szCs w:val="28"/>
          <w:rtl/>
        </w:rPr>
        <w:t xml:space="preserve">وابسته به: غرر الفرائد = منظومه سبزواری؛ سبزواری، هادی بن  مهدی (۱۲۱۲-۱۲۸۹)</w:t>
      </w:r>
    </w:p>
    <w:p>
      <w:pPr>
        <w:pStyle w:val="BookText"/>
      </w:pPr>
      <w:r>
        <w:rPr>
          <w:rFonts w:ascii="IRNazanin" w:hAnsi="IRNazanin" w:eastAsia="IRNazanin" w:cs="IRNazanin"/>
          <w:lang w:bidi="fa-IR"/>
          <w:color w:val="111111"/>
          <w:sz w:val="28"/>
          <w:szCs w:val="28"/>
          <w:rtl/>
        </w:rPr>
        <w:t xml:space="preserve">تاريخ تألیف: شعبان ۱۳۴۵ق</w:t>
      </w:r>
    </w:p>
    <w:p>
      <w:pPr>
        <w:pStyle w:val="BookText"/>
      </w:pPr>
      <w:r>
        <w:rPr>
          <w:rFonts w:ascii="IRNazanin" w:hAnsi="IRNazanin" w:eastAsia="IRNazanin" w:cs="IRNazanin"/>
          <w:lang w:bidi="fa-IR"/>
          <w:color w:val="111111"/>
          <w:sz w:val="28"/>
          <w:szCs w:val="28"/>
          <w:rtl/>
        </w:rPr>
        <w:t xml:space="preserve">شرحی است منثور و منظوم بر برخی از ابیات قسمت الهیات منظومه سبزواری که توأم با توضیح و تحقیق است و گاهی به مناسبتی قسمتی از سروده های خود را نیز آورده است.</w:t>
      </w:r>
    </w:p>
    <w:p>
      <w:pPr>
        <w:pStyle w:val="BookText"/>
      </w:pPr>
      <w:r>
        <w:rPr>
          <w:rFonts w:ascii="IRNazanin" w:hAnsi="IRNazanin" w:eastAsia="IRNazanin" w:cs="IRNazanin"/>
          <w:lang w:bidi="fa-IR"/>
          <w:color w:val="111111"/>
          <w:sz w:val="28"/>
          <w:szCs w:val="28"/>
          <w:rtl/>
        </w:rPr>
        <w:t xml:space="preserve">آغاز: بسمله یا من به التكلان و اعتمادی ***صل على المولى النبى الهادي / ثم على منتخب العباد *** وصيه و آله الامجاد</w:t>
      </w:r>
    </w:p>
    <w:p>
      <w:pPr>
        <w:pStyle w:val="BookText"/>
      </w:pPr>
      <w:r>
        <w:rPr>
          <w:rFonts w:ascii="IRNazanin" w:hAnsi="IRNazanin" w:eastAsia="IRNazanin" w:cs="IRNazanin"/>
          <w:lang w:bidi="fa-IR"/>
          <w:color w:val="111111"/>
          <w:sz w:val="28"/>
          <w:szCs w:val="28"/>
          <w:rtl/>
        </w:rPr>
        <w:t xml:space="preserve">[دنا 1/ 850(1 نسخه)]</w:t>
      </w:r>
    </w:p>
    <w:p>
      <w:pPr>
        <w:pStyle w:val="BookText"/>
      </w:pPr>
      <w:r>
        <w:rPr>
          <w:rFonts w:ascii="IRNazanin" w:hAnsi="IRNazanin" w:eastAsia="IRNazanin" w:cs="IRNazanin"/>
          <w:lang w:bidi="fa-IR"/>
          <w:color w:val="111111"/>
          <w:sz w:val="28"/>
          <w:szCs w:val="28"/>
          <w:rtl/>
        </w:rPr>
        <w:t xml:space="preserve">١. مشهد؛ گوهر شاد؛ شماره نسخه: ۲۴۱۶/۴</w:t>
      </w:r>
    </w:p>
    <w:p>
      <w:pPr>
        <w:pStyle w:val="BookText"/>
      </w:pPr>
      <w:r>
        <w:rPr>
          <w:rFonts w:ascii="Amiri" w:hAnsi="Amiri" w:eastAsia="Amiri" w:cs="Amiri"/>
          <w:lang w:bidi="ar-SA"/>
          <w:color w:val="111111"/>
          <w:sz w:val="28"/>
          <w:szCs w:val="28"/>
          <w:rtl/>
        </w:rPr>
        <w:t xml:space="preserve">آغاز: برابر؛ انجام: لايحتاج الى توضيحه لوضوحه ثم قال لو وجبت خلف بلا التباس.</w:t>
      </w:r>
    </w:p>
    <w:p>
      <w:pPr>
        <w:pStyle w:val="BookText"/>
      </w:pPr>
      <w:r>
        <w:rPr>
          <w:rFonts w:ascii="IRNazanin" w:hAnsi="IRNazanin" w:eastAsia="IRNazanin" w:cs="IRNazanin"/>
          <w:lang w:bidi="fa-IR"/>
          <w:color w:val="111111"/>
          <w:sz w:val="28"/>
          <w:szCs w:val="28"/>
          <w:rtl/>
        </w:rPr>
        <w:t xml:space="preserve">خط: نستعليق كاتب = مؤلف، تا: قرن ۱۴؛ کاغذ: خط دار فرنگی ،جلد: مقوا، رویه گالینگور،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۵-۷۴۴]</w:t>
      </w:r>
    </w:p>
    <w:p>
      <w:pPr>
        <w:pStyle w:val="BookText"/>
      </w:pPr>
      <w:r>
        <w:rPr>
          <w:rFonts w:ascii="IRNazanin" w:hAnsi="IRNazanin" w:eastAsia="IRNazanin" w:cs="IRNazanin"/>
          <w:lang w:bidi="fa-IR"/>
          <w:color w:val="111111"/>
          <w:sz w:val="28"/>
          <w:szCs w:val="28"/>
          <w:rtl/>
        </w:rPr>
        <w:t xml:space="preserve">2.مشهد؛ رضوی؛ شماره نسخه: ۲۵۹۲۹</w:t>
      </w:r>
    </w:p>
    <w:p>
      <w:pPr>
        <w:pStyle w:val="BookText"/>
      </w:pPr>
      <w:r>
        <w:rPr>
          <w:rFonts w:ascii="Amiri" w:hAnsi="Amiri" w:eastAsia="Amiri" w:cs="Amiri"/>
          <w:lang w:bidi="ar-SA"/>
          <w:color w:val="111111"/>
          <w:sz w:val="28"/>
          <w:szCs w:val="28"/>
          <w:rtl/>
        </w:rPr>
        <w:t xml:space="preserve">آغاز: برابر؛ انجام: الترجيح بلا مرجح و هو محال</w:t>
      </w:r>
    </w:p>
    <w:p>
      <w:pPr>
        <w:pStyle w:val="BookText"/>
      </w:pPr>
      <w:r>
        <w:rPr>
          <w:rFonts w:ascii="IRNazanin" w:hAnsi="IRNazanin" w:eastAsia="IRNazanin" w:cs="IRNazanin"/>
          <w:lang w:bidi="fa-IR"/>
          <w:color w:val="111111"/>
          <w:sz w:val="28"/>
          <w:szCs w:val="28"/>
          <w:rtl/>
        </w:rPr>
        <w:t xml:space="preserve">خط  : نسخ و نستعلیق، كاتب = مؤلف، تا: ۱۳۴۱ق [رایانه]</w:t>
      </w:r>
    </w:p>
    <w:p>
      <w:pPr>
        <w:pStyle w:val="BookText"/>
      </w:pPr>
      <w:r>
        <w:rPr>
          <w:rFonts w:ascii="IRNazanin" w:hAnsi="IRNazanin" w:eastAsia="IRNazanin" w:cs="IRNazanin"/>
          <w:lang w:bidi="fa-IR"/>
          <w:color w:val="111111"/>
          <w:sz w:val="28"/>
          <w:szCs w:val="28"/>
          <w:rtl/>
        </w:rPr>
        <w:t xml:space="preserve">3.مشهد؛ رضوی؛ شماره نسخه: ۳۲۴</w:t>
      </w:r>
    </w:p>
    <w:p>
      <w:pPr>
        <w:pStyle w:val="BookText"/>
      </w:pPr>
      <w:r>
        <w:rPr>
          <w:rFonts w:ascii="Amiri" w:hAnsi="Amiri" w:eastAsia="Amiri" w:cs="Amiri"/>
          <w:lang w:bidi="ar-SA"/>
          <w:color w:val="111111"/>
          <w:sz w:val="28"/>
          <w:szCs w:val="28"/>
          <w:rtl/>
        </w:rPr>
        <w:t xml:space="preserve">آغاز: برابر؛ انجام: اختم بالحمد و الصلوة *** اقول ذا بضاعة مزجاة</w:t>
      </w:r>
    </w:p>
    <w:p>
      <w:pPr>
        <w:pStyle w:val="BookText"/>
      </w:pPr>
      <w:r>
        <w:rPr>
          <w:rFonts w:ascii="IRNazanin" w:hAnsi="IRNazanin" w:eastAsia="IRNazanin" w:cs="IRNazanin"/>
          <w:lang w:bidi="fa-IR"/>
          <w:color w:val="111111"/>
          <w:sz w:val="28"/>
          <w:szCs w:val="28"/>
          <w:rtl/>
        </w:rPr>
        <w:t xml:space="preserve">خط: نسخ، كاتب = مؤلف، بی تا؛ نسخه به خط دستی مؤلف است که پاکنویس  نشده، تقدیمی خود مؤلف به سال ۱۳۴۶؛ ۱۰۸گ، مختلف السطر، اندازه: ۱۱</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۱۷سم [ف: ۴ - ۲۲]</w:t>
      </w:r>
    </w:p>
    <w:p>
      <w:pPr>
        <w:pStyle w:val="Heading3"/>
      </w:pPr>
      <w:bookmarkStart w:id="1926" w:name="_Toc1448"/>
      <w:r>
        <w:t>اشراق الاصباح فى مناقب الخمسة الاشباح / فضايل و  مناقب - عربی</w:t>
      </w:r>
      <w:bookmarkEnd w:id="1926"/>
    </w:p>
    <w:p>
      <w:pPr>
        <w:pStyle w:val="BookText"/>
      </w:pPr>
      <w:r>
        <w:rPr>
          <w:rFonts w:ascii="Times New Roman" w:hAnsi="Times New Roman" w:eastAsia="Times New Roman" w:cs="Times New Roman"/>
          <w:lang w:val="en-US" w:bidi="en-US"/>
          <w:color w:val="111111"/>
          <w:sz w:val="28"/>
          <w:szCs w:val="28"/>
          <w:rtl/>
        </w:rPr>
        <w:t xml:space="preserve">išrāq-ul-aṣbāḥ fi manaqib-il-xamsat-il-ašbāḥ</w:t>
      </w:r>
    </w:p>
    <w:p>
      <w:pPr>
        <w:pStyle w:val="BookText"/>
      </w:pPr>
      <w:r>
        <w:rPr>
          <w:rFonts w:ascii="IRNazanin" w:hAnsi="IRNazanin" w:eastAsia="IRNazanin" w:cs="IRNazanin"/>
          <w:lang w:bidi="fa-IR"/>
          <w:color w:val="111111"/>
          <w:sz w:val="28"/>
          <w:szCs w:val="28"/>
          <w:rtl/>
        </w:rPr>
        <w:t xml:space="preserve">حضرمی، ابراهیم بن محمد، ق ۸ قمری</w:t>
      </w:r>
    </w:p>
    <w:p>
      <w:pPr>
        <w:pStyle w:val="BookText"/>
      </w:pPr>
      <w:r>
        <w:rPr>
          <w:rFonts w:ascii="IRNazanin" w:hAnsi="IRNazanin" w:eastAsia="IRNazanin" w:cs="IRNazanin"/>
          <w:lang w:bidi="fa-IR"/>
          <w:color w:val="111111"/>
          <w:sz w:val="28"/>
          <w:szCs w:val="28"/>
          <w:rtl/>
        </w:rPr>
        <w:t xml:space="preserve">کتابی است در بیان فضایل و مناقب، و شرحی مختصر از زندگانی پیامبر گرامی اسلام (صلّی اللَّهِ علیه وَ آلِهِ وَ سَلَّمَ ) و امير المؤمنين و حضرت فاطمه   و امام حسن و امام حسین (علیه السّلام). مؤلف، مطالب کتاب را با استفاده از کتب حدیثی و تاریخی گرد آورده و در پایان مصادر خود را برشمرده است. در پنج «قسم» و هر قسم دارای چند «فصل» یا چند «باب» قسم ١. الكلام على احوال سید البشر، در بیست و پنج فصل ؛ ۲. الكلام على امير المؤمنين ..... در دوازده فصل ؛ ٣. الكلام على فاطمة البتول .... در چند باب؛ ۴. الكلام على الحسن بن علی ابن ابی طالب (علیه السّلام)، در چند فصل؛ ۵. الکلام على الحسين بن علی (علیه السّلام) در سه باب.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411" w:name="pg20365_260574"/>
    <w:bookmarkEnd w:id="411"/>
    <w:p>
      <w:pPr>
        <w:pStyle w:val="BookText"/>
      </w:pPr>
      <w:r>
        <w:rPr>
          <w:rFonts w:ascii="Amiri" w:hAnsi="Amiri" w:eastAsia="Amiri" w:cs="Amiri"/>
          <w:lang w:bidi="ar-SA"/>
          <w:color w:val="111111"/>
          <w:sz w:val="28"/>
          <w:szCs w:val="28"/>
          <w:rtl/>
        </w:rPr>
        <w:t xml:space="preserve">آغاز: حمد الموجد الكليات تحقيقاً وتقديراً ... قد وسمته باشراق الاصباح فى مناقب الخمسة الاشباح.</w:t>
      </w:r>
    </w:p>
    <w:p>
      <w:pPr>
        <w:pStyle w:val="BookText"/>
      </w:pPr>
      <w:r>
        <w:rPr>
          <w:rFonts w:ascii="Amiri" w:hAnsi="Amiri" w:eastAsia="Amiri" w:cs="Amiri"/>
          <w:lang w:bidi="ar-SA"/>
          <w:color w:val="111111"/>
          <w:sz w:val="28"/>
          <w:szCs w:val="28"/>
          <w:rtl/>
        </w:rPr>
        <w:t xml:space="preserve">انجام: و حسبنا الله و نعم الوكيل ونعم المولى ونعم النصير،هذا آخر كتاب اشراق الاصباح في مناقب الخمسة الاشباح.</w:t>
      </w:r>
    </w:p>
    <w:p>
      <w:pPr>
        <w:pStyle w:val="BookText"/>
      </w:pPr>
      <w:r>
        <w:rPr>
          <w:rFonts w:ascii="IRNazanin" w:hAnsi="IRNazanin" w:eastAsia="IRNazanin" w:cs="IRNazanin"/>
          <w:lang w:bidi="fa-IR"/>
          <w:color w:val="111111"/>
          <w:sz w:val="28"/>
          <w:szCs w:val="28"/>
          <w:rtl/>
        </w:rPr>
        <w:t xml:space="preserve">۱. قم؛ مرعشی؛ شماره نسخه: ۸۵۴عکسی</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نسخه اصل: کتابخانه ای شخصی در صنعاء (مصادر الفكر العربی الاسلامي في اليمن /۴۱۴)؛ خط: نسخ، بی کا، تا: قرن ۸؛ در پایان به خط مؤلف آمده که این نسخه با نسخه اصل در محرم 753ق مقابله شده است، مصحح، بعد از کتاب اجازه ای است که مؤلف برای قاسم بن محمد بن قاسم بن ابى طويل الصعدى نوشته اسـت؛ ۱۶۴گ، ۲۵ سطر [عکسی ف: ۲ - ۳۳۱]</w:t>
      </w:r>
    </w:p>
    <w:p>
      <w:pPr>
        <w:pStyle w:val="BookText"/>
      </w:pPr>
      <w:r>
        <w:rPr>
          <w:rFonts w:ascii="IRNazanin" w:hAnsi="IRNazanin" w:eastAsia="IRNazanin" w:cs="IRNazanin"/>
          <w:lang w:bidi="fa-IR"/>
          <w:color w:val="111111"/>
          <w:sz w:val="28"/>
          <w:szCs w:val="28"/>
          <w:rtl/>
        </w:rPr>
        <w:t xml:space="preserve">2.قم؛ مرعشی؛ شماره نسخه: ۸۵۵عکسی</w:t>
      </w:r>
    </w:p>
    <w:p>
      <w:pPr>
        <w:pStyle w:val="BookText"/>
      </w:pPr>
      <w:r>
        <w:rPr>
          <w:rFonts w:ascii="IRNazanin" w:hAnsi="IRNazanin" w:eastAsia="IRNazanin" w:cs="IRNazanin"/>
          <w:lang w:bidi="fa-IR"/>
          <w:color w:val="111111"/>
          <w:sz w:val="28"/>
          <w:szCs w:val="28"/>
          <w:rtl/>
        </w:rPr>
        <w:t xml:space="preserve">نسخه اصل: کتابخانه ای شخصی در صنعاء؛ خط: نسخ، بی کا،تا: قرن ۱۳؛ در پایان ناصر بن ناصر الحمامی الزیدی که احتمـالاً  کاتب نسخه است نوشته صبح پنجشنبه بیست و پنجم ربیع الاول ۱۲۹۸ق از مقابله این نسخه با اصل فراغت یافته  است، مصحح؛ ۱۴۳گ، ۲۹ سطر [عکسی :ف ۲ - ۳۳۳]</w:t>
      </w:r>
    </w:p>
    <w:p>
      <w:pPr>
        <w:pStyle w:val="Heading3"/>
      </w:pPr>
      <w:bookmarkStart w:id="1927" w:name="_Toc1449"/>
      <w:r>
        <w:t>اشراق الانوار في علم الاحكام / هیئت / فارسی</w:t>
      </w:r>
      <w:bookmarkEnd w:id="1927"/>
    </w:p>
    <w:p>
      <w:pPr>
        <w:pStyle w:val="BookText"/>
      </w:pPr>
      <w:r>
        <w:rPr>
          <w:rFonts w:ascii="Times New Roman" w:hAnsi="Times New Roman" w:eastAsia="Times New Roman" w:cs="Times New Roman"/>
          <w:lang w:val="en-US" w:bidi="en-US"/>
          <w:color w:val="111111"/>
          <w:sz w:val="28"/>
          <w:szCs w:val="28"/>
          <w:rtl/>
        </w:rPr>
        <w:t xml:space="preserve">ešrāq-ol-anvār fī ‘elm-el-ahkām</w:t>
      </w:r>
    </w:p>
    <w:p>
      <w:pPr>
        <w:pStyle w:val="BookText"/>
      </w:pPr>
      <w:r>
        <w:rPr>
          <w:rFonts w:ascii="IRNazanin" w:hAnsi="IRNazanin" w:eastAsia="IRNazanin" w:cs="IRNazanin"/>
          <w:lang w:bidi="fa-IR"/>
          <w:color w:val="111111"/>
          <w:sz w:val="28"/>
          <w:szCs w:val="28"/>
          <w:rtl/>
        </w:rPr>
        <w:t xml:space="preserve">شیرازی، محمد هادی بن محمد سعید،</w:t>
      </w:r>
    </w:p>
    <w:p>
      <w:pPr>
        <w:pStyle w:val="BookText"/>
      </w:pPr>
      <w:r>
        <w:rPr>
          <w:rFonts w:ascii="Times New Roman" w:hAnsi="Times New Roman" w:eastAsia="Times New Roman" w:cs="Times New Roman"/>
          <w:lang w:val="en-US" w:bidi="en-US"/>
          <w:color w:val="111111"/>
          <w:sz w:val="28"/>
          <w:szCs w:val="28"/>
          <w:rtl/>
        </w:rPr>
        <w:t xml:space="preserve">šīrāzī, mohammad hādī-ye-bn-e mohammad sa‘īd</w:t>
      </w:r>
    </w:p>
    <w:p>
      <w:pPr>
        <w:pStyle w:val="BookText"/>
      </w:pPr>
      <w:r>
        <w:rPr>
          <w:rFonts w:ascii="IRNazanin" w:hAnsi="IRNazanin" w:eastAsia="IRNazanin" w:cs="IRNazanin"/>
          <w:lang w:bidi="fa-IR"/>
          <w:color w:val="111111"/>
          <w:sz w:val="28"/>
          <w:szCs w:val="28"/>
          <w:rtl/>
        </w:rPr>
        <w:t xml:space="preserve">کتابی در خصوصیات حالات سبعه سیاره از سعادت و شقاوت و تأثيرات و نظرات و مدت توقف هر یک در بروج و سـایر متعلقات آنها، که خواجه نصیرالدین طوسی در رساله  «سی فصل» خود متعرض آنها نشده، مشتمل بر یک «مقدمه» و دوازده «فصل» و یک «خاتمه»: مقدمه در بیان شرافت این علم؛ 1.صفات و احوالات زحل؛ ۲. صفات مشتری؛ ۳. صفات مریخ؛4. حالات آفتاب؛ ۵. صفات زهره؛ ۶. اوصاف عطارد ؛ ۷. معرفـت احكام ماه؛  ... ۱۰.تذكير و تأنيث بروج و طبایع ایشان؛ ۱۱. بیان انقلاب؛ ۱۲. دانستن هفت اقلیم؛ خاتمه در توضیح آنچه مذکور شد، دارای دو «مقاله».</w:t>
      </w:r>
    </w:p>
    <w:p>
      <w:pPr>
        <w:pStyle w:val="BookText"/>
      </w:pPr>
      <w:r>
        <w:rPr>
          <w:rFonts w:ascii="IRNazanin" w:hAnsi="IRNazanin" w:eastAsia="IRNazanin" w:cs="IRNazanin"/>
          <w:lang w:bidi="fa-IR"/>
          <w:color w:val="111111"/>
          <w:sz w:val="28"/>
          <w:szCs w:val="28"/>
          <w:rtl/>
        </w:rPr>
        <w:t xml:space="preserve">آغاز: بسمله سپاس بیقیاس صانعی را سزاست ... اما بعد چـنین گوید بنده احقر متخلص به واهب که چون نصیر المله والدین رساله در قواعد معرفت و حالات تقویم اتصال تنجیم و نظرات هر یک بجهت اختیار کارها نوشت</w:t>
      </w:r>
    </w:p>
    <w:p>
      <w:pPr>
        <w:pStyle w:val="BookText"/>
      </w:pPr>
      <w:r>
        <w:rPr>
          <w:rFonts w:ascii="IRNazanin" w:hAnsi="IRNazanin" w:eastAsia="IRNazanin" w:cs="IRNazanin"/>
          <w:lang w:bidi="fa-IR"/>
          <w:color w:val="111111"/>
          <w:sz w:val="28"/>
          <w:szCs w:val="28"/>
          <w:rtl/>
        </w:rPr>
        <w:t xml:space="preserve">انجام: عقرب و دلواست و بروج زوجه جوزا و سنبله و قوس حوت است.</w:t>
      </w:r>
    </w:p>
    <w:p>
      <w:pPr>
        <w:pStyle w:val="BookText"/>
      </w:pPr>
      <w:r>
        <w:rPr>
          <w:rFonts w:ascii="IRNazanin" w:hAnsi="IRNazanin" w:eastAsia="IRNazanin" w:cs="IRNazanin"/>
          <w:lang w:bidi="fa-IR"/>
          <w:color w:val="111111"/>
          <w:sz w:val="28"/>
          <w:szCs w:val="28"/>
          <w:rtl/>
        </w:rPr>
        <w:t xml:space="preserve">[دنا ۸۵۱/۱ (۳ نسخه)؛ فهرستواره منزوی ۲۸۱۷/۴]</w:t>
      </w:r>
    </w:p>
    <w:p>
      <w:pPr>
        <w:pStyle w:val="BookText"/>
      </w:pPr>
      <w:r>
        <w:rPr>
          <w:rFonts w:ascii="IRNazanin" w:hAnsi="IRNazanin" w:eastAsia="IRNazanin" w:cs="IRNazanin"/>
          <w:lang w:bidi="fa-IR"/>
          <w:color w:val="111111"/>
          <w:sz w:val="28"/>
          <w:szCs w:val="28"/>
          <w:rtl/>
        </w:rPr>
        <w:t xml:space="preserve">۱. تهران؛ مجلس؛ شماره نسخه: ۶۳۵۰/۵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،متوسط ،کا: خورشید نوشیروان بن رستم  شامردان، تا: ۱۱۲۷ق؛ کاغذ: هندی، جلد: تیماج مشکی یک لا، ۴۵ص (۳۳۶-۲۹۲)، ۱۵ سطر، قطع: خشتی،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۱۹  - 392]</w:t>
      </w:r>
    </w:p>
    <w:p>
      <w:pPr>
        <w:pStyle w:val="BookText"/>
      </w:pPr>
      <w:r>
        <w:rPr>
          <w:rFonts w:ascii="IRNazanin" w:hAnsi="IRNazanin" w:eastAsia="IRNazanin" w:cs="IRNazanin"/>
          <w:lang w:bidi="fa-IR"/>
          <w:color w:val="111111"/>
          <w:sz w:val="28"/>
          <w:szCs w:val="28"/>
          <w:rtl/>
        </w:rPr>
        <w:t xml:space="preserve">۲. تهران؛ مجلس؛ شماره نسخه: ۷۹/۸</w:t>
      </w:r>
    </w:p>
    <w:p>
      <w:pPr>
        <w:pStyle w:val="BookText"/>
      </w:pPr>
      <w:r>
        <w:rPr>
          <w:rFonts w:ascii="IRNazanin" w:hAnsi="IRNazanin" w:eastAsia="IRNazanin" w:cs="IRNazanin"/>
          <w:lang w:bidi="fa-IR"/>
          <w:color w:val="111111"/>
          <w:sz w:val="28"/>
          <w:szCs w:val="28"/>
          <w:rtl/>
        </w:rPr>
        <w:t xml:space="preserve">بی کا، تا: قرن ۱۳؛ کاغذ: سفید، جلد: تیماج تریاکی ضربی و مقوایی، ۴۱ ص (۱۱۵ - ۱۵۵) ۲۱ - ۲۵ سطر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[سنا - ف: ۱ - ۴۱]</w:t>
      </w:r>
    </w:p>
    <w:p>
      <w:pPr>
        <w:pStyle w:val="BookText"/>
      </w:pPr>
      <w:r>
        <w:rPr>
          <w:rFonts w:ascii="IRNazanin" w:hAnsi="IRNazanin" w:eastAsia="IRNazanin" w:cs="IRNazanin"/>
          <w:lang w:bidi="fa-IR"/>
          <w:color w:val="111111"/>
          <w:sz w:val="28"/>
          <w:szCs w:val="28"/>
          <w:rtl/>
        </w:rPr>
        <w:t xml:space="preserve">3.قم؛ مرعشی؛ شماره نسخه: ۵۹۰۷</w:t>
      </w:r>
    </w:p>
    <w:p>
      <w:pPr>
        <w:pStyle w:val="BookText"/>
      </w:pPr>
      <w:r>
        <w:rPr>
          <w:rFonts w:ascii="IRNazanin" w:hAnsi="IRNazanin" w:eastAsia="IRNazanin" w:cs="IRNazanin"/>
          <w:lang w:bidi="fa-IR"/>
          <w:color w:val="111111"/>
          <w:sz w:val="28"/>
          <w:szCs w:val="28"/>
          <w:rtl/>
        </w:rPr>
        <w:t xml:space="preserve">آغاز: برابر؛ انجام: آبها فراوان بود و چشمه ها و غله ها فراوان بوده باشد و نعمت بسیار بود .</w:t>
      </w:r>
    </w:p>
    <w:p>
      <w:pPr>
        <w:pStyle w:val="BookText"/>
      </w:pPr>
      <w:r>
        <w:rPr>
          <w:rFonts w:ascii="IRNazanin" w:hAnsi="IRNazanin" w:eastAsia="IRNazanin" w:cs="IRNazanin"/>
          <w:lang w:bidi="fa-IR"/>
          <w:color w:val="111111"/>
          <w:sz w:val="28"/>
          <w:szCs w:val="28"/>
          <w:rtl/>
        </w:rPr>
        <w:t xml:space="preserve">خط: نستعليق، كا: حسن بن رفیع حسینی خبوشانی، تا: ۱۲۶۹- ۱۲۷۰؛ جلد: مقوایی عطف تیماج  مشکی، ۶۴گ، ۱۵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 سم [ف: ۱۵ - ۲۸۸]</w:t>
      </w:r>
    </w:p>
    <w:p>
      <w:pPr>
        <w:pStyle w:val="Heading3"/>
      </w:pPr>
      <w:bookmarkStart w:id="1928" w:name="_Toc1450"/>
      <w:r>
        <w:t>اشراق البدور / هیئت / عربي</w:t>
      </w:r>
      <w:bookmarkEnd w:id="1928"/>
    </w:p>
    <w:p>
      <w:pPr>
        <w:pStyle w:val="BookText"/>
      </w:pPr>
      <w:r>
        <w:rPr>
          <w:rFonts w:ascii="Times New Roman" w:hAnsi="Times New Roman" w:eastAsia="Times New Roman" w:cs="Times New Roman"/>
          <w:lang w:val="en-US" w:bidi="en-US"/>
          <w:color w:val="111111"/>
          <w:sz w:val="28"/>
          <w:szCs w:val="28"/>
          <w:rtl/>
        </w:rPr>
        <w:t xml:space="preserve">išrāq-ul-budūr</w:t>
      </w:r>
    </w:p>
    <w:p>
      <w:pPr>
        <w:pStyle w:val="BookText"/>
      </w:pPr>
      <w:r>
        <w:rPr>
          <w:rFonts w:ascii="IRNazanin" w:hAnsi="IRNazanin" w:eastAsia="IRNazanin" w:cs="IRNazanin"/>
          <w:lang w:bidi="fa-IR"/>
          <w:color w:val="111111"/>
          <w:sz w:val="28"/>
          <w:szCs w:val="28"/>
          <w:rtl/>
        </w:rPr>
        <w:t xml:space="preserve">صوفی، محمد بن  احمد، - ۹۵۰ ؟ قمری</w:t>
      </w:r>
    </w:p>
    <w:p>
      <w:pPr>
        <w:pStyle w:val="BookText"/>
      </w:pPr>
      <w:r>
        <w:rPr>
          <w:rFonts w:ascii="Times New Roman" w:hAnsi="Times New Roman" w:eastAsia="Times New Roman" w:cs="Times New Roman"/>
          <w:lang w:val="en-US" w:bidi="en-US"/>
          <w:color w:val="111111"/>
          <w:sz w:val="28"/>
          <w:szCs w:val="28"/>
          <w:rtl/>
        </w:rPr>
        <w:t xml:space="preserve">(sūfi, mohammad ebn-e ahmad (- 1544)</w:t>
      </w:r>
    </w:p>
    <w:p>
      <w:pPr>
        <w:pStyle w:val="BookText"/>
      </w:pPr>
      <w:r>
        <w:rPr>
          <w:rFonts w:ascii="IRNazanin" w:hAnsi="IRNazanin" w:eastAsia="IRNazanin" w:cs="IRNazanin"/>
          <w:lang w:bidi="fa-IR"/>
          <w:color w:val="111111"/>
          <w:sz w:val="28"/>
          <w:szCs w:val="28"/>
          <w:rtl/>
        </w:rPr>
        <w:t xml:space="preserve">تهران؛ مجلس؛ شماره نسخه: ۷۹/۹</w:t>
      </w:r>
    </w:p>
    <w:p>
      <w:pPr>
        <w:pStyle w:val="BookText"/>
      </w:pPr>
      <w:r>
        <w:rPr>
          <w:rFonts w:ascii="IRNazanin" w:hAnsi="IRNazanin" w:eastAsia="IRNazanin" w:cs="IRNazanin"/>
          <w:lang w:bidi="fa-IR"/>
          <w:color w:val="111111"/>
          <w:sz w:val="28"/>
          <w:szCs w:val="28"/>
          <w:rtl/>
        </w:rPr>
        <w:t xml:space="preserve">بندی از اشراق البدور؛ خط: نستعليق، بی کا، تا: قرن ۱۳؛ پس از آن مطالبی در زایجه و احکام و ضمایر و حفیات: از شهاب الدین احمد البساطی که در فهرست با شماره ۱۰ آمده؛ کاغذ: سفید ،جلد: تیماج تریاکی ضربی و مقوایی، ۵ص (۱۵۵-۱۵۹)، ۲۱-۲۵ سطر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[سنا - ف: ۱ - ۴۱]</w:t>
      </w:r>
    </w:p>
    <w:p>
      <w:pPr>
        <w:pStyle w:val="Heading3"/>
      </w:pPr>
      <w:bookmarkStart w:id="1929" w:name="_Toc1451"/>
      <w:r>
        <w:t>اشراق التواريخ - تلخيص التواريخ / تاريخ / عربي</w:t>
      </w:r>
      <w:bookmarkEnd w:id="1929"/>
    </w:p>
    <w:p>
      <w:pPr>
        <w:pStyle w:val="BookText"/>
      </w:pPr>
      <w:r>
        <w:rPr>
          <w:rFonts w:ascii="Times New Roman" w:hAnsi="Times New Roman" w:eastAsia="Times New Roman" w:cs="Times New Roman"/>
          <w:lang w:val="en-US" w:bidi="en-US"/>
          <w:color w:val="111111"/>
          <w:sz w:val="28"/>
          <w:szCs w:val="28"/>
          <w:rtl/>
        </w:rPr>
        <w:t xml:space="preserve">išrāq-ut-tawārīx = talxīṣ-ut-tawārīx</w:t>
      </w:r>
    </w:p>
    <w:p>
      <w:pPr>
        <w:pStyle w:val="BookText"/>
      </w:pPr>
      <w:r>
        <w:rPr>
          <w:rFonts w:ascii="IRNazanin" w:hAnsi="IRNazanin" w:eastAsia="IRNazanin" w:cs="IRNazanin"/>
          <w:lang w:bidi="fa-IR"/>
          <w:color w:val="111111"/>
          <w:sz w:val="28"/>
          <w:szCs w:val="28"/>
          <w:rtl/>
        </w:rPr>
        <w:t xml:space="preserve">قرامانی یعقوب بن ادریس، - ۸۳۳ قمری</w:t>
      </w:r>
    </w:p>
    <w:p>
      <w:pPr>
        <w:pStyle w:val="BookText"/>
      </w:pPr>
      <w:r>
        <w:rPr>
          <w:rFonts w:ascii="Times New Roman" w:hAnsi="Times New Roman" w:eastAsia="Times New Roman" w:cs="Times New Roman"/>
          <w:lang w:val="en-US" w:bidi="en-US"/>
          <w:color w:val="111111"/>
          <w:sz w:val="28"/>
          <w:szCs w:val="28"/>
          <w:rtl/>
        </w:rPr>
        <w:t xml:space="preserve">(qarāmānī, ya‘qūb ebn-e edrīs (- 1430)</w:t>
      </w:r>
    </w:p>
    <w:p>
      <w:pPr>
        <w:pStyle w:val="BookText"/>
      </w:pPr>
      <w:r>
        <w:rPr>
          <w:rFonts w:ascii="IRNazanin" w:hAnsi="IRNazanin" w:eastAsia="IRNazanin" w:cs="IRNazanin"/>
          <w:lang w:bidi="fa-IR"/>
          <w:color w:val="111111"/>
          <w:sz w:val="28"/>
          <w:szCs w:val="28"/>
          <w:rtl/>
        </w:rPr>
        <w:t xml:space="preserve">رساله مختصری است در تاریخ انبیاء و ذكر آباء النبي و سيره پیامبر و صحابه و ائمه اهل سنت و محدثین بزرگ سنی، در یک (مقدمه) و سه «قسم» و «خاتمه»</w:t>
      </w:r>
    </w:p>
    <w:p>
      <w:pPr>
        <w:pStyle w:val="BookText"/>
      </w:pPr>
      <w:r>
        <w:rPr>
          <w:rFonts w:ascii="Amiri" w:hAnsi="Amiri" w:eastAsia="Amiri" w:cs="Amiri"/>
          <w:lang w:bidi="ar-SA"/>
          <w:color w:val="111111"/>
          <w:sz w:val="28"/>
          <w:szCs w:val="28"/>
          <w:rtl/>
        </w:rPr>
        <w:t xml:space="preserve">آغاز: الحمد لله هدانا لهذا وما كنا لنهتدى ما كنا لنهتدى ... اما بعد فلما اخبر رسول الله عليه السلام عن تفضيل الله و اصطفائه</w:t>
      </w:r>
    </w:p>
    <w:p>
      <w:pPr>
        <w:pStyle w:val="BookText"/>
      </w:pPr>
      <w:r>
        <w:rPr>
          <w:rFonts w:ascii="Amiri" w:hAnsi="Amiri" w:eastAsia="Amiri" w:cs="Amiri"/>
          <w:lang w:bidi="ar-SA"/>
          <w:color w:val="111111"/>
          <w:sz w:val="28"/>
          <w:szCs w:val="28"/>
          <w:rtl/>
        </w:rPr>
        <w:t xml:space="preserve">انجام: ما اتفق الديم بالدوام و اختلف الليالي والايام قدتم بعون الله الملك العلام</w:t>
      </w:r>
    </w:p>
    <w:p>
      <w:pPr>
        <w:pStyle w:val="BookText"/>
      </w:pPr>
      <w:r>
        <w:rPr>
          <w:rFonts w:ascii="IRNazanin" w:hAnsi="IRNazanin" w:eastAsia="IRNazanin" w:cs="IRNazanin"/>
          <w:lang w:bidi="fa-IR"/>
          <w:color w:val="111111"/>
          <w:sz w:val="28"/>
          <w:szCs w:val="28"/>
          <w:rtl/>
        </w:rPr>
        <w:t xml:space="preserve">[كشف الظنون1/  103؛بروکلمن ۱: ۲۰۹ و ۲۲۳ و ذیل ۳۱۳:۲  ]</w:t>
      </w:r>
    </w:p>
    <w:p>
      <w:pPr>
        <w:pStyle w:val="BookText"/>
      </w:pPr>
      <w:r>
        <w:rPr>
          <w:rFonts w:ascii="IRNazanin" w:hAnsi="IRNazanin" w:eastAsia="IRNazanin" w:cs="IRNazanin"/>
          <w:lang w:bidi="fa-IR"/>
          <w:color w:val="111111"/>
          <w:sz w:val="28"/>
          <w:szCs w:val="28"/>
          <w:rtl/>
        </w:rPr>
        <w:t xml:space="preserve">1 . قم؛ مرعشی؛ شماره نسخه: ۱۳۸۵/۹عکسی</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نسخه اصل: کتابخانه اسکوریال در اسپانیا، ش ۱۷۴۵؛ خط: نسخ،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bookmarkStart w:id="412" w:name="pg20365_260575"/>
    <w:bookmarkEnd w:id="412"/>
    <w:p>
      <w:pPr>
        <w:pStyle w:val="BookText"/>
      </w:pPr>
      <w:r>
        <w:rPr>
          <w:rFonts w:ascii="IRNazanin" w:hAnsi="IRNazanin" w:eastAsia="IRNazanin" w:cs="IRNazanin"/>
          <w:lang w:bidi="fa-IR"/>
          <w:color w:val="111111"/>
          <w:sz w:val="28"/>
          <w:szCs w:val="28"/>
          <w:rtl/>
        </w:rPr>
        <w:t xml:space="preserve">بی کا، تا: قرن ۱۰؛ مجدول؛ ۳۸ص (۱۵۰-۱۸۷)، ۲۵ سطر [عکسی ف: ۴ - ۱۷۵]</w:t>
      </w:r>
    </w:p>
    <w:p>
      <w:pPr>
        <w:pStyle w:val="BookText"/>
      </w:pPr>
      <w:r>
        <w:rPr>
          <w:rFonts w:ascii="IRNazanin" w:hAnsi="IRNazanin" w:eastAsia="IRNazanin" w:cs="IRNazanin"/>
          <w:lang w:bidi="fa-IR"/>
          <w:color w:val="111111"/>
          <w:sz w:val="28"/>
          <w:szCs w:val="28"/>
          <w:rtl/>
        </w:rPr>
        <w:t xml:space="preserve">۲. کرمانشاه؛ جلیلی؛ شماره نسخه: ۳۳۶/۱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۱۰۹۴ق؛ کاغذ: حنایی ۴۸ ص (98- 145)؛19 سطر [ف: ۱۶۲]</w:t>
      </w:r>
    </w:p>
    <w:p>
      <w:pPr>
        <w:pStyle w:val="BookText"/>
      </w:pPr>
      <w:r>
        <w:rPr>
          <w:rFonts w:ascii="IRNazanin" w:hAnsi="IRNazanin" w:eastAsia="IRNazanin" w:cs="IRNazanin"/>
          <w:lang w:bidi="fa-IR"/>
          <w:color w:val="111111"/>
          <w:sz w:val="28"/>
          <w:szCs w:val="28"/>
          <w:rtl/>
        </w:rPr>
        <w:t xml:space="preserve">3.قم؛ گلپایگانی؛ شماره نسخه: ۵۰۸-۳/۱۲۸</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سید محمد بن محمود فاضل، تا: جمادى الثـانی ۱۱۱۰ق؛ جلد: مقوا، قهوه ای عطف تیماج قهوه ای  لولادار، ۷۵گ، ۱۷ سطر، اندازه: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۱ - ۳۷۱]</w:t>
      </w:r>
    </w:p>
    <w:p>
      <w:pPr>
        <w:pStyle w:val="Heading3"/>
      </w:pPr>
      <w:bookmarkStart w:id="1930" w:name="_Toc1452"/>
      <w:r>
        <w:t>اشراق الحق من مطلع الصدق / کلام و اعتقادات / عربی</w:t>
      </w:r>
      <w:bookmarkEnd w:id="1930"/>
    </w:p>
    <w:p>
      <w:pPr>
        <w:pStyle w:val="BookText"/>
      </w:pPr>
      <w:r>
        <w:rPr>
          <w:rFonts w:ascii="Times New Roman" w:hAnsi="Times New Roman" w:eastAsia="Times New Roman" w:cs="Times New Roman"/>
          <w:lang w:val="en-US" w:bidi="en-US"/>
          <w:color w:val="111111"/>
          <w:sz w:val="28"/>
          <w:szCs w:val="28"/>
          <w:rtl/>
        </w:rPr>
        <w:t xml:space="preserve">išrāq-ul-ḥaqq min maṭla‘-il-ṣidq</w:t>
      </w:r>
    </w:p>
    <w:p>
      <w:pPr>
        <w:pStyle w:val="BookText"/>
      </w:pPr>
      <w:r>
        <w:rPr>
          <w:rFonts w:ascii="IRNazanin" w:hAnsi="IRNazanin" w:eastAsia="IRNazanin" w:cs="IRNazanin"/>
          <w:lang w:bidi="fa-IR"/>
          <w:color w:val="111111"/>
          <w:sz w:val="28"/>
          <w:szCs w:val="28"/>
          <w:rtl/>
        </w:rPr>
        <w:t xml:space="preserve">حسینی  کرکی، حسین بن حیدر، - ۱۰۴۱ قمری</w:t>
      </w:r>
    </w:p>
    <w:p>
      <w:pPr>
        <w:pStyle w:val="BookText"/>
      </w:pPr>
      <w:r>
        <w:rPr>
          <w:rFonts w:ascii="Times New Roman" w:hAnsi="Times New Roman" w:eastAsia="Times New Roman" w:cs="Times New Roman"/>
          <w:lang w:val="en-US" w:bidi="en-US"/>
          <w:color w:val="111111"/>
          <w:sz w:val="28"/>
          <w:szCs w:val="28"/>
          <w:rtl/>
        </w:rPr>
        <w:t xml:space="preserve">(hoseynī karakī, hoseyn ebn-e heydar (- 1632)</w:t>
      </w:r>
    </w:p>
    <w:p>
      <w:pPr>
        <w:pStyle w:val="BookText"/>
      </w:pPr>
      <w:r>
        <w:rPr>
          <w:rFonts w:ascii="Amiri" w:hAnsi="Amiri" w:eastAsia="Amiri" w:cs="Amiri"/>
          <w:lang w:bidi="ar-SA"/>
          <w:color w:val="111111"/>
          <w:sz w:val="28"/>
          <w:szCs w:val="28"/>
          <w:rtl/>
        </w:rPr>
        <w:t xml:space="preserve">تاريخ تأليف: ۱۰۲۰ق</w:t>
      </w:r>
    </w:p>
    <w:p>
      <w:pPr>
        <w:pStyle w:val="BookText"/>
      </w:pPr>
      <w:r>
        <w:rPr>
          <w:rFonts w:ascii="IRNazanin" w:hAnsi="IRNazanin" w:eastAsia="IRNazanin" w:cs="IRNazanin"/>
          <w:lang w:bidi="fa-IR"/>
          <w:color w:val="111111"/>
          <w:sz w:val="28"/>
          <w:szCs w:val="28"/>
          <w:rtl/>
        </w:rPr>
        <w:t xml:space="preserve">مؤلف آورده است که در غیبت صغری چون شیعه در تقیه بودند هیچگاه نام امام زمان را بر زبان نمی آوردند تا مردم آنها را نشناسند همین که چندی گذشت برخی گام فراتر نهاده روی خبرهایی  چند، نامبردن او را ناروا بلکه کفر  پنداشتند، تا جایی که دانشمند فیلسوف داماد استرآبادی رساله ای به نام «شرعة التسمية» نوشته است. پیش از او کلینی و ابن بابویه قمی در «عیـون اخبار الرضا« و شیخ طبرسی نیز چنین می گفته اند. مؤلف در پاسخ شیرازیان این رساله را نوشته است و از روی اصل جواز و اخبار و اجماع روشن ساخته که چنین نیست و می توان نام آن امام را بر زبان آورد و گناه نیست. رساله او دو «مقصد» است. در مقصد نخست دلیل های روایی می آورد و در دومی از شبهه هـای طرف پاسخ می گوید او از رئیس المحققين شيخ على ( بن عبد العالی م ۹۴۰) با عنوان «اعلی الله قدره» و از بهاءالدین محـمد (۹۵۳ - ۱۰۳۰) در «مفتاح الفلاح» و «حبل المتین» با عنوان «مد ظله» یا «ادام الله برکاته» یاد می کند. در جایی که به اجماع تمسک می کند از این دانشمندان یاد کرده است و از این کتاب های آنان گواه می آورد: «مسائل» شیخ طوسی، «مـهج الدعوات» ابن طاوس، اعتقادات ابن بابويه، «منهاج الصلاح» علامه، «كشف الغمه» على بن عيسى اربلی، «ارجوزه علم کلام» تقى الدين حسن بن داود حلی، «ارشاد المسترشدين» فخرالمحققين، «جامع الاصول في شرح الفصول» محقق رازی، «معين الفكر» محمد بن جمهور، «احتجاج» ابومنصور احمد بن علی بن ابی طالب طبرسی، «مزار دروس» شهيد، «كفاية الطالبيـن» احمد بن متوج بحرانی، «مشارق انوار اليقين في كشف حقایق امیرالمؤمنین» رضی الدین رجب بن محمد بن رجب حافظ برسی، «كتاب الجوابية»، «تفريد الاعتماد في شرح تجرید الاعتقاد» شمس الدین محمد بهشتی، «شرح نجات العباد» محمد بن ابی طالب استرابادى، «غايةالمطلوب في علم الكلام» مولانا لطف الله نیشابوری، «رساله نجمیه» شیخ علی بن عبدالعالی. همه این دانشمندان یاد کردن نام امام زمان را روا می دارند. مؤلف همچنین می گوید که صلوات خواجه طوسی را چهارصد سال است که در انجمن ها می خوانند با این که آشکارا نام امام در آن برده شده است.</w:t>
      </w:r>
    </w:p>
    <w:p>
      <w:pPr>
        <w:pStyle w:val="BookText"/>
      </w:pPr>
      <w:r>
        <w:rPr>
          <w:rFonts w:ascii="IRNazanin" w:hAnsi="IRNazanin" w:eastAsia="IRNazanin" w:cs="IRNazanin"/>
          <w:lang w:bidi="fa-IR"/>
          <w:color w:val="111111"/>
          <w:sz w:val="28"/>
          <w:szCs w:val="28"/>
          <w:rtl/>
        </w:rPr>
        <w:t xml:space="preserve">تهران؛ دانشگاه؛ شماره نسخه: ۲۹۳/۲</w:t>
      </w:r>
    </w:p>
    <w:p>
      <w:pPr>
        <w:pStyle w:val="BookText"/>
      </w:pPr>
      <w:r>
        <w:rPr>
          <w:rFonts w:ascii="IRNazanin" w:hAnsi="IRNazanin" w:eastAsia="IRNazanin" w:cs="IRNazanin"/>
          <w:lang w:bidi="fa-IR"/>
          <w:color w:val="111111"/>
          <w:sz w:val="28"/>
          <w:szCs w:val="28"/>
          <w:rtl/>
        </w:rPr>
        <w:t xml:space="preserve">آغاز: الحمد لله الذى يحق الحق بكلماته و يبطل الباطل و لوكره المشركون ... و بعد فقد ورد علينا من اجلاء اخواننا في الدين من محروسة شيراز كتاب ... ذكر فيه ان بعضا من الناس زعم انه يحرم و لايجوز ذكر القائم ... باسمه وكنيته بل ذكر ان من نطق به فقد كفر بالله و اليوم الآخر وسئل الاستكشاف في هذه المسئلة ... فاجبت مطلوبه؛ انجام: فلنقطع الكلام حامدين... و فرغ من تصنیفها... الحسينبن حيدر الكركى العاملي... في الثاني و  العشرين من شهر رمضان المبارک من شهور سنة الف و عشرين.</w:t>
      </w:r>
    </w:p>
    <w:p>
      <w:pPr>
        <w:pStyle w:val="BookText"/>
      </w:pPr>
      <w:r>
        <w:rPr>
          <w:rFonts w:ascii="IRNazanin" w:hAnsi="IRNazanin" w:eastAsia="IRNazanin" w:cs="IRNazanin"/>
          <w:lang w:bidi="fa-IR"/>
          <w:color w:val="111111"/>
          <w:sz w:val="28"/>
          <w:szCs w:val="28"/>
          <w:rtl/>
        </w:rPr>
        <w:t xml:space="preserve">خط: نسخ، بی کا، بی تا؛ محشی با عبارت «منه» در گ ار به خط نسخ از خود کرکی دارد :«کتاب اشراق الحق من مطلع الصدق تصنيف الفقير الى رحمة ربه الغنى الحسين بن حيدر بن قمر بن على الحسينى الكركى العاملي عامله الله بلطفه الخفى بالنبي و الوصى والهما الاطهار الابرار»، باز به تعلیق دارد: «مصنف این کتاب والد مرحوم مغفور نواب میرزا حبیب اله صدراست»، نیز به شکسته دارد که محمد رضوی این را از خاندان میر محمد جعفر هروی خرید، در گ ۶۹پ اجازه همین کرکی است به مولانا نصیرالدین محمد به خط تعلیق خود کرکی؛ مهر: «المتوكل بالملكه اللطيف عبده محمد شریف»؛ کاغذ: سمرقندی، جلد: تیماج مشکی زرکوب  مقوایی، ۱۱ سطر(۴/۵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اندازه:  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۳ - ۵۲۵]</w:t>
      </w:r>
    </w:p>
    <w:p>
      <w:pPr>
        <w:pStyle w:val="Heading3"/>
      </w:pPr>
      <w:bookmarkStart w:id="1931" w:name="_Toc1453"/>
      <w:r>
        <w:t>اشراق السياحة / سفرنامه / فارسی</w:t>
      </w:r>
      <w:bookmarkEnd w:id="1931"/>
    </w:p>
    <w:p>
      <w:pPr>
        <w:pStyle w:val="BookText"/>
      </w:pPr>
      <w:r>
        <w:rPr>
          <w:rFonts w:ascii="Times New Roman" w:hAnsi="Times New Roman" w:eastAsia="Times New Roman" w:cs="Times New Roman"/>
          <w:lang w:val="en-US" w:bidi="en-US"/>
          <w:color w:val="111111"/>
          <w:sz w:val="28"/>
          <w:szCs w:val="28"/>
          <w:rtl/>
        </w:rPr>
        <w:t xml:space="preserve">ešraq-ol sīyaha</w:t>
      </w:r>
    </w:p>
    <w:p>
      <w:pPr>
        <w:pStyle w:val="BookText"/>
      </w:pPr>
      <w:r>
        <w:rPr>
          <w:rFonts w:ascii="IRNazanin" w:hAnsi="IRNazanin" w:eastAsia="IRNazanin" w:cs="IRNazanin"/>
          <w:lang w:bidi="fa-IR"/>
          <w:color w:val="111111"/>
          <w:sz w:val="28"/>
          <w:szCs w:val="28"/>
          <w:rtl/>
        </w:rPr>
        <w:t xml:space="preserve">خراسانی، جواد بن موسی، ق۱۳ قمری</w:t>
      </w:r>
    </w:p>
    <w:p>
      <w:pPr>
        <w:pStyle w:val="BookText"/>
      </w:pPr>
      <w:r>
        <w:rPr>
          <w:rFonts w:ascii="Times New Roman" w:hAnsi="Times New Roman" w:eastAsia="Times New Roman" w:cs="Times New Roman"/>
          <w:lang w:val="en-US" w:bidi="en-US"/>
          <w:color w:val="111111"/>
          <w:sz w:val="28"/>
          <w:szCs w:val="28"/>
          <w:rtl/>
        </w:rPr>
        <w:t xml:space="preserve">(xorāsānī, javād ebn-e mūsā (- 19c)</w:t>
      </w:r>
    </w:p>
    <w:p>
      <w:pPr>
        <w:pStyle w:val="BookText"/>
      </w:pPr>
      <w:r>
        <w:rPr>
          <w:rFonts w:ascii="IRNazanin" w:hAnsi="IRNazanin" w:eastAsia="IRNazanin" w:cs="IRNazanin"/>
          <w:lang w:bidi="fa-IR"/>
          <w:color w:val="111111"/>
          <w:sz w:val="28"/>
          <w:szCs w:val="28"/>
          <w:rtl/>
        </w:rPr>
        <w:t xml:space="preserve">سفرنامه ای ارزشمند از خراسان قرن سیزدهم، حوادث، فضلا، ،حاکمان ،زیارتگاه ها ،آثار تاریخی و نقاط دیدنی خراسان در آن  روز، همراه با نقشه ای از خراسان در آن زمان.</w:t>
      </w:r>
    </w:p>
    <w:p>
      <w:pPr>
        <w:pStyle w:val="BookText"/>
      </w:pPr>
      <w:r>
        <w:rPr>
          <w:rFonts w:ascii="IRNazanin" w:hAnsi="IRNazanin" w:eastAsia="IRNazanin" w:cs="IRNazanin"/>
          <w:lang w:bidi="fa-IR"/>
          <w:color w:val="111111"/>
          <w:sz w:val="28"/>
          <w:szCs w:val="28"/>
          <w:rtl/>
        </w:rPr>
        <w:t xml:space="preserve">تهران؛ مرکز فرهنگی خراسان؛ شماره نسخه: ۷۵عکسی</w:t>
      </w:r>
    </w:p>
    <w:p>
      <w:pPr>
        <w:pStyle w:val="BookText"/>
      </w:pPr>
      <w:r>
        <w:rPr>
          <w:rFonts w:ascii="IRNazanin" w:hAnsi="IRNazanin" w:eastAsia="IRNazanin" w:cs="IRNazanin"/>
          <w:lang w:bidi="fa-IR"/>
          <w:color w:val="111111"/>
          <w:sz w:val="28"/>
          <w:szCs w:val="28"/>
          <w:rtl/>
        </w:rPr>
        <w:t xml:space="preserve">نسخه اصل: یکی از کتابخانه های هند؛ بی کا، بی تا؛[جنگ: ۱-۴۴۳]</w:t>
      </w:r>
    </w:p>
    <w:p>
      <w:pPr>
        <w:pStyle w:val="Heading3"/>
      </w:pPr>
      <w:bookmarkStart w:id="1932" w:name="_Toc1454"/>
      <w:r>
        <w:t>الاشراق في مطلع الاحقاق / کلام و اعتقادات / عربی</w:t>
      </w:r>
      <w:bookmarkEnd w:id="1932"/>
    </w:p>
    <w:p>
      <w:pPr>
        <w:pStyle w:val="BookText"/>
      </w:pPr>
      <w:r>
        <w:rPr>
          <w:rFonts w:ascii="Times New Roman" w:hAnsi="Times New Roman" w:eastAsia="Times New Roman" w:cs="Times New Roman"/>
          <w:lang w:val="en-US" w:bidi="en-US"/>
          <w:color w:val="111111"/>
          <w:sz w:val="28"/>
          <w:szCs w:val="28"/>
          <w:rtl/>
        </w:rPr>
        <w:t xml:space="preserve">al-išrāq fī maṭla ́-il-iḥqaq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bookmarkStart w:id="413" w:name="pg20365_260576"/>
    <w:bookmarkEnd w:id="413"/>
    <w:p>
      <w:pPr>
        <w:pStyle w:val="BookText"/>
      </w:pPr>
      <w:r>
        <w:rPr>
          <w:rFonts w:ascii="IRNazanin" w:hAnsi="IRNazanin" w:eastAsia="IRNazanin" w:cs="IRNazanin"/>
          <w:lang w:bidi="fa-IR"/>
          <w:color w:val="111111"/>
          <w:sz w:val="28"/>
          <w:szCs w:val="28"/>
          <w:rtl/>
        </w:rPr>
        <w:t xml:space="preserve">تبریزی، محمد رضا بن عبد المطلب، ق ۱۲ قمرى</w:t>
      </w:r>
    </w:p>
    <w:p>
      <w:pPr>
        <w:pStyle w:val="BookText"/>
      </w:pPr>
      <w:r>
        <w:rPr>
          <w:rFonts w:ascii="Times New Roman" w:hAnsi="Times New Roman" w:eastAsia="Times New Roman" w:cs="Times New Roman"/>
          <w:lang w:val="en-US" w:bidi="en-US"/>
          <w:color w:val="111111"/>
          <w:sz w:val="28"/>
          <w:szCs w:val="28"/>
          <w:rtl/>
        </w:rPr>
        <w:t xml:space="preserve">(tabrīzī, mohammad rezā ebn-e ‘abd-ol-motalleb (- 18c)</w:t>
      </w:r>
    </w:p>
    <w:p>
      <w:pPr>
        <w:pStyle w:val="BookText"/>
      </w:pPr>
      <w:r>
        <w:rPr>
          <w:rFonts w:ascii="IRNazanin" w:hAnsi="IRNazanin" w:eastAsia="IRNazanin" w:cs="IRNazanin"/>
          <w:lang w:bidi="fa-IR"/>
          <w:color w:val="111111"/>
          <w:sz w:val="28"/>
          <w:szCs w:val="28"/>
          <w:rtl/>
        </w:rPr>
        <w:t xml:space="preserve">اهداء به: امیر کبیر نجف قلی خان پسر امیر محمد کاظم خـان والی قره داغ</w:t>
      </w:r>
    </w:p>
    <w:p>
      <w:pPr>
        <w:pStyle w:val="BookText"/>
      </w:pPr>
      <w:r>
        <w:rPr>
          <w:rFonts w:ascii="IRNazanin" w:hAnsi="IRNazanin" w:eastAsia="IRNazanin" w:cs="IRNazanin"/>
          <w:lang w:bidi="fa-IR"/>
          <w:color w:val="111111"/>
          <w:sz w:val="28"/>
          <w:szCs w:val="28"/>
          <w:rtl/>
        </w:rPr>
        <w:t xml:space="preserve">کتابی در کلام شیعی است در چند «اشراق»: اشراق نخست: الوجود له معنيان العالم و هو عرض يعبر عنه لمفهوم الحصول و هو مشترك فى كل ما وقع في صقع الامكان وربما توهم شمـول صقع الوجوب و حقيقة الاشراق تسخفه؛ ... اشراق آخر:فی نصوص قد خفى على كثير من العقول سر معناها الى يومنا مره كتب الشيعة و الاشاعره. مؤلف در مطاوی این کتاب خود  را در علوم حکمت و اصول فقه صاحب تألیف یاد کرده و تفصیل برخی از مطالب این کتاب را به تالیفات دیگرش حواله داده است لیکن اسامی مؤلفاتش را ذکر ننموده است. تنها در صفـحه ۴ یکی از تألیفاتش را با عنوان «تعلیقه بر شفاء» یاد نموده و در مطاوى كتاب خود را مکرراً از اهل اشراق و دارای خلسات یاد کرده و مطالب کتاب را از اشراقات خود دانسته و در مواردی از کتاب نیز از جدش بعنوان جد عارف و صاحب تألیفات تعبیر نموده است. مؤلف در آن ترائی به تسنن و رعایت تقیه نموده است.</w:t>
      </w:r>
    </w:p>
    <w:p>
      <w:pPr>
        <w:pStyle w:val="BookText"/>
      </w:pPr>
      <w:r>
        <w:rPr>
          <w:rFonts w:ascii="Amiri" w:hAnsi="Amiri" w:eastAsia="Amiri" w:cs="Amiri"/>
          <w:lang w:bidi="ar-SA"/>
          <w:color w:val="111111"/>
          <w:sz w:val="28"/>
          <w:szCs w:val="28"/>
          <w:rtl/>
        </w:rPr>
        <w:t xml:space="preserve">آغاز: الحمد لله ولى الحمد والصلاة والسلام على محمد و آله الطاهرين أما بعد فيقول محمد المدعو بالرضا ارضاه الله بالقدر و القضا.</w:t>
      </w:r>
    </w:p>
    <w:p>
      <w:pPr>
        <w:pStyle w:val="BookText"/>
      </w:pPr>
      <w:r>
        <w:rPr>
          <w:rFonts w:ascii="IRNazanin" w:hAnsi="IRNazanin" w:eastAsia="IRNazanin" w:cs="IRNazanin"/>
          <w:lang w:bidi="fa-IR"/>
          <w:color w:val="111111"/>
          <w:sz w:val="28"/>
          <w:szCs w:val="28"/>
          <w:rtl/>
        </w:rPr>
        <w:t xml:space="preserve">انجام: ربنا اجعل كتابنا هذا خالصاً لوجهك الكريم هادياً الی الصراط المستقيم.</w:t>
      </w:r>
    </w:p>
    <w:p>
      <w:pPr>
        <w:pStyle w:val="BookText"/>
      </w:pPr>
      <w:r>
        <w:rPr>
          <w:rFonts w:ascii="IRNazanin" w:hAnsi="IRNazanin" w:eastAsia="IRNazanin" w:cs="IRNazanin"/>
          <w:lang w:bidi="fa-IR"/>
          <w:color w:val="111111"/>
          <w:sz w:val="28"/>
          <w:szCs w:val="28"/>
          <w:rtl/>
        </w:rPr>
        <w:t xml:space="preserve">[دنا 1/ 851(5 نسخه)]</w:t>
      </w:r>
    </w:p>
    <w:p>
      <w:pPr>
        <w:pStyle w:val="BookText"/>
      </w:pPr>
      <w:r>
        <w:rPr>
          <w:rFonts w:ascii="IRNazanin" w:hAnsi="IRNazanin" w:eastAsia="IRNazanin" w:cs="IRNazanin"/>
          <w:lang w:bidi="fa-IR"/>
          <w:color w:val="111111"/>
          <w:sz w:val="28"/>
          <w:szCs w:val="28"/>
          <w:rtl/>
        </w:rPr>
        <w:t xml:space="preserve">۱. قم؛ مرعشی؛ شماره نسخه: ۶۲۹۹</w:t>
      </w:r>
    </w:p>
    <w:p>
      <w:pPr>
        <w:pStyle w:val="BookText"/>
      </w:pPr>
      <w:r>
        <w:rPr>
          <w:rFonts w:ascii="IRNazanin" w:hAnsi="IRNazanin" w:eastAsia="IRNazanin" w:cs="IRNazanin"/>
          <w:lang w:bidi="fa-IR"/>
          <w:color w:val="111111"/>
          <w:sz w:val="28"/>
          <w:szCs w:val="28"/>
          <w:rtl/>
        </w:rPr>
        <w:t xml:space="preserve">خط: نسخ، بی کا، تا: ۱۲۶۷ق؛ روی برگ اول این نسخه احتمال داده اند که مؤلف میرزا محمد رضا بن عبد المطلب تبریزی باشـد؛تملک: حسین حسینی تبریزی به تاریخ غره صفر ۱۳۳۴؛ جلد: تیماج مشکی بدون مقوا، ۴۶گ، ۱۹ سطر، اندازه: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  سم[ ف: ۱۶ - ۲۶۷]</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ملک؛ شماره نسخه: ۲۵۶۳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حاجی محمد شوشتری، تا: ۱۲۷۰ق، برای شاهزاده احتشام الدوله؛ کاغذ: فرنگی آهار مهره، جلد: میشن قهوه ای لایی مغزی سیاه، ۸۷گ، ۱۲ سطر،اندازه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۱۸/۱سم [ف: ۱ - ۳۶]</w:t>
      </w:r>
    </w:p>
    <w:p>
      <w:pPr>
        <w:pStyle w:val="BookText"/>
      </w:pPr>
      <w:r>
        <w:rPr>
          <w:rFonts w:ascii="IRNazanin" w:hAnsi="IRNazanin" w:eastAsia="IRNazanin" w:cs="IRNazanin"/>
          <w:lang w:bidi="fa-IR"/>
          <w:color w:val="111111"/>
          <w:sz w:val="28"/>
          <w:szCs w:val="28"/>
          <w:rtl/>
        </w:rPr>
        <w:t xml:space="preserve">3.قم؛ مرعشی؛ شماره نسخه: ۸۸۴/۱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محمد علی بن احمد قراچه داغی، تا: سه شـنبه ۲۶ شعبان ۱۲۸۴ق؛ جلد: تیماج مشکی بدون مقوا، ۴۷گ (۱پ- ۴۷ر)، ۱۶ 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۳ - ۷۶]</w:t>
      </w:r>
    </w:p>
    <w:p>
      <w:pPr>
        <w:pStyle w:val="BookText"/>
      </w:pPr>
      <w:r>
        <w:rPr>
          <w:rFonts w:ascii="IRNazanin" w:hAnsi="IRNazanin" w:eastAsia="IRNazanin" w:cs="IRNazanin"/>
          <w:lang w:bidi="fa-IR"/>
          <w:color w:val="111111"/>
          <w:sz w:val="28"/>
          <w:szCs w:val="28"/>
          <w:rtl/>
        </w:rPr>
        <w:t xml:space="preserve">۴. قم؛ مرعشی؛ شماره نسخه: ۶۳۹۲/۱</w:t>
      </w:r>
    </w:p>
    <w:p>
      <w:pPr>
        <w:pStyle w:val="BookText"/>
      </w:pPr>
      <w:r>
        <w:rPr>
          <w:rFonts w:ascii="IRNazanin" w:hAnsi="IRNazanin" w:eastAsia="IRNazanin" w:cs="IRNazanin"/>
          <w:lang w:bidi="fa-IR"/>
          <w:color w:val="111111"/>
          <w:sz w:val="28"/>
          <w:szCs w:val="28"/>
          <w:rtl/>
        </w:rPr>
        <w:t xml:space="preserve">خط: نسخ، بی کا، بی تا؛ جلد: گالینگور ،نیلی، ۲۷گ (۱پ-۲۷پ)،  اندازه: ۱۶/۵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 ۱۶ - ۳۴۸]</w:t>
      </w:r>
    </w:p>
    <w:p>
      <w:pPr>
        <w:pStyle w:val="BookText"/>
      </w:pPr>
      <w:r>
        <w:rPr>
          <w:rFonts w:ascii="IRNazanin" w:hAnsi="IRNazanin" w:eastAsia="IRNazanin" w:cs="IRNazanin"/>
          <w:lang w:bidi="fa-IR"/>
          <w:color w:val="111111"/>
          <w:sz w:val="28"/>
          <w:szCs w:val="28"/>
          <w:rtl/>
        </w:rPr>
        <w:t xml:space="preserve">۵. مشهد؛ رضوی؛ شماره نسخه: ۳۲۵</w:t>
      </w:r>
    </w:p>
    <w:p>
      <w:pPr>
        <w:pStyle w:val="BookText"/>
      </w:pPr>
      <w:r>
        <w:rPr>
          <w:rFonts w:ascii="IRNazanin" w:hAnsi="IRNazanin" w:eastAsia="IRNazanin" w:cs="IRNazanin"/>
          <w:lang w:bidi="fa-IR"/>
          <w:color w:val="111111"/>
          <w:sz w:val="28"/>
          <w:szCs w:val="28"/>
          <w:rtl/>
        </w:rPr>
        <w:t xml:space="preserve">آغاز: پس از تسميه و تحمید: ان علم الكلام فرض على المسلمين الدين و هو السبيل الى حق اليقين؛ انجام: اللهم اكشف الغطاء عن سر  هذه النصوص</w:t>
      </w:r>
    </w:p>
    <w:p>
      <w:pPr>
        <w:pStyle w:val="BookText"/>
      </w:pPr>
      <w:r>
        <w:rPr>
          <w:rFonts w:ascii="IRNazanin" w:hAnsi="IRNazanin" w:eastAsia="IRNazanin" w:cs="IRNazanin"/>
          <w:lang w:bidi="fa-IR"/>
          <w:color w:val="111111"/>
          <w:sz w:val="28"/>
          <w:szCs w:val="28"/>
          <w:rtl/>
        </w:rPr>
        <w:t xml:space="preserve">خط: نسخ، بی کا، بی تا؛ واقف: نائینی؛ ۱۴۱گ، ۱۰ سطر، اندازه: 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۱۰سم [ف: ۴ - ۲۳]</w:t>
      </w:r>
    </w:p>
    <w:p>
      <w:pPr>
        <w:pStyle w:val="Heading3"/>
      </w:pPr>
      <w:bookmarkStart w:id="1933" w:name="_Toc1455"/>
      <w:r>
        <w:t>اشراق اللاهوت فى شرح كتاب الياقوت / كلام و  اعتقادات / عربی</w:t>
      </w:r>
      <w:bookmarkEnd w:id="1933"/>
    </w:p>
    <w:p>
      <w:pPr>
        <w:pStyle w:val="BookText"/>
      </w:pPr>
      <w:r>
        <w:rPr>
          <w:rFonts w:ascii="Times New Roman" w:hAnsi="Times New Roman" w:eastAsia="Times New Roman" w:cs="Times New Roman"/>
          <w:lang w:val="en-US" w:bidi="en-US"/>
          <w:color w:val="111111"/>
          <w:sz w:val="28"/>
          <w:szCs w:val="28"/>
          <w:rtl/>
        </w:rPr>
        <w:t xml:space="preserve">išrāq-ul-lāhūt fī š.-i k.-il-yāqūt</w:t>
      </w:r>
    </w:p>
    <w:p>
      <w:pPr>
        <w:pStyle w:val="BookText"/>
      </w:pPr>
      <w:r>
        <w:rPr>
          <w:rFonts w:ascii="IRNazanin" w:hAnsi="IRNazanin" w:eastAsia="IRNazanin" w:cs="IRNazanin"/>
          <w:lang w:bidi="fa-IR"/>
          <w:color w:val="111111"/>
          <w:sz w:val="28"/>
          <w:szCs w:val="28"/>
          <w:rtl/>
        </w:rPr>
        <w:t xml:space="preserve">ركن الدین جرجانی، محمد بن علی ق۸ قمری</w:t>
      </w:r>
    </w:p>
    <w:p>
      <w:pPr>
        <w:pStyle w:val="BookText"/>
      </w:pPr>
      <w:r>
        <w:rPr>
          <w:rFonts w:ascii="Times New Roman" w:hAnsi="Times New Roman" w:eastAsia="Times New Roman" w:cs="Times New Roman"/>
          <w:lang w:val="en-US" w:bidi="en-US"/>
          <w:color w:val="111111"/>
          <w:sz w:val="28"/>
          <w:szCs w:val="28"/>
          <w:rtl/>
        </w:rPr>
        <w:t xml:space="preserve">(rokn-od-dīn-e jorjānī, mohammad ebn-e ‘alī (-14c)</w:t>
      </w:r>
    </w:p>
    <w:p>
      <w:pPr>
        <w:pStyle w:val="BookText"/>
      </w:pPr>
      <w:r>
        <w:rPr>
          <w:rFonts w:ascii="IRNazanin" w:hAnsi="IRNazanin" w:eastAsia="IRNazanin" w:cs="IRNazanin"/>
          <w:lang w:bidi="fa-IR"/>
          <w:color w:val="111111"/>
          <w:sz w:val="28"/>
          <w:szCs w:val="28"/>
          <w:rtl/>
        </w:rPr>
        <w:t xml:space="preserve">وابسته به: الیاقوت؛ نوبختی، ابراهیم بن اسحاق (-۴)</w:t>
      </w:r>
    </w:p>
    <w:p>
      <w:pPr>
        <w:pStyle w:val="BookText"/>
      </w:pPr>
      <w:r>
        <w:rPr>
          <w:rFonts w:ascii="IRNazanin" w:hAnsi="IRNazanin" w:eastAsia="IRNazanin" w:cs="IRNazanin"/>
          <w:lang w:bidi="fa-IR"/>
          <w:color w:val="111111"/>
          <w:sz w:val="28"/>
          <w:szCs w:val="28"/>
          <w:rtl/>
        </w:rPr>
        <w:t xml:space="preserve">شرح بر کتاب الیاقوت نوبختی است.</w:t>
      </w:r>
    </w:p>
    <w:p>
      <w:pPr>
        <w:pStyle w:val="BookText"/>
      </w:pPr>
      <w:r>
        <w:rPr>
          <w:rFonts w:ascii="IRNazanin" w:hAnsi="IRNazanin" w:eastAsia="IRNazanin" w:cs="IRNazanin"/>
          <w:lang w:bidi="fa-IR"/>
          <w:color w:val="111111"/>
          <w:sz w:val="28"/>
          <w:szCs w:val="28"/>
          <w:rtl/>
        </w:rPr>
        <w:t xml:space="preserve">تهران؛ مجلس؛ شماره نسخه ۱۰۱۸۷/۲</w:t>
      </w:r>
    </w:p>
    <w:p>
      <w:pPr>
        <w:pStyle w:val="BookText"/>
      </w:pPr>
      <w:r>
        <w:rPr>
          <w:rFonts w:ascii="IRNazanin" w:hAnsi="IRNazanin" w:eastAsia="IRNazanin" w:cs="IRNazanin"/>
          <w:lang w:bidi="fa-IR"/>
          <w:color w:val="111111"/>
          <w:sz w:val="28"/>
          <w:szCs w:val="28"/>
          <w:rtl/>
        </w:rPr>
        <w:t xml:space="preserve">آغاز: بسمله احمد الله الذى افاض بسجال رحمته مواهب الوجود  على قوابل الماهيئت ... اما بعد فان علم اصول الدین اشرف العلوم  بالیقین و ...؛ انجام: فليحمد الله تعالى على حسن توفيقه...محمد بن على الجرجاني</w:t>
      </w:r>
    </w:p>
    <w:p>
      <w:pPr>
        <w:pStyle w:val="BookText"/>
      </w:pPr>
      <w:r>
        <w:rPr>
          <w:rFonts w:ascii="IRNazanin" w:hAnsi="IRNazanin" w:eastAsia="IRNazanin" w:cs="IRNazanin"/>
          <w:lang w:bidi="fa-IR"/>
          <w:color w:val="111111"/>
          <w:sz w:val="28"/>
          <w:szCs w:val="28"/>
          <w:rtl/>
        </w:rPr>
        <w:t xml:space="preserve">خط: نسخ و تعلیق، کا: حسن بن محمد بن راشد، تا: جمادی الثانی ۸۱۰ق؛ جلد: تیماج سبز و قهوای، ۶۹گ (۱پ-۶۹پ)،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۳۲ - ۲۲۵]</w:t>
      </w:r>
    </w:p>
    <w:p>
      <w:pPr>
        <w:pStyle w:val="Heading3"/>
      </w:pPr>
      <w:bookmarkStart w:id="1934" w:name="_Toc1456"/>
      <w:r>
        <w:t>اشراق اللاهوت فى نقد شرح الياقوت = شرح انوار  الملكوت في شرح الياقوت / کلام و اعتقادات / عربی</w:t>
      </w:r>
      <w:bookmarkEnd w:id="1934"/>
    </w:p>
    <w:p>
      <w:pPr>
        <w:pStyle w:val="BookText"/>
      </w:pPr>
      <w:r>
        <w:rPr>
          <w:rFonts w:ascii="Times New Roman" w:hAnsi="Times New Roman" w:eastAsia="Times New Roman" w:cs="Times New Roman"/>
          <w:lang w:val="en-US" w:bidi="en-US"/>
          <w:color w:val="111111"/>
          <w:sz w:val="28"/>
          <w:szCs w:val="28"/>
          <w:rtl/>
        </w:rPr>
        <w:t xml:space="preserve">išrāq-ul-lāhūt fī naqd-i s.-il-yāqūt = s.-u anwār-ilmalakūt</w:t>
      </w:r>
    </w:p>
    <w:p>
      <w:pPr>
        <w:pStyle w:val="BookText"/>
      </w:pPr>
      <w:r>
        <w:rPr>
          <w:rFonts w:ascii="Times New Roman" w:hAnsi="Times New Roman" w:eastAsia="Times New Roman" w:cs="Times New Roman"/>
          <w:lang w:val="en-US" w:bidi="en-US"/>
          <w:color w:val="111111"/>
          <w:sz w:val="28"/>
          <w:szCs w:val="28"/>
          <w:rtl/>
        </w:rPr>
        <w:t xml:space="preserve">fī s.-il-yāqūt</w:t>
      </w:r>
    </w:p>
    <w:p>
      <w:pPr>
        <w:pStyle w:val="BookText"/>
      </w:pPr>
      <w:r>
        <w:rPr>
          <w:rFonts w:ascii="IRNazanin" w:hAnsi="IRNazanin" w:eastAsia="IRNazanin" w:cs="IRNazanin"/>
          <w:lang w:bidi="fa-IR"/>
          <w:color w:val="111111"/>
          <w:sz w:val="28"/>
          <w:szCs w:val="28"/>
          <w:rtl/>
        </w:rPr>
        <w:t xml:space="preserve">اعرجی  حلی، عبدالمطلب بن محمد، ۶۸۱ - ۷۴۵ قمری</w:t>
      </w:r>
    </w:p>
    <w:p>
      <w:pPr>
        <w:pStyle w:val="BookText"/>
      </w:pPr>
      <w:r>
        <w:rPr>
          <w:rFonts w:ascii="Times New Roman" w:hAnsi="Times New Roman" w:eastAsia="Times New Roman" w:cs="Times New Roman"/>
          <w:lang w:val="en-US" w:bidi="en-US"/>
          <w:color w:val="111111"/>
          <w:sz w:val="28"/>
          <w:szCs w:val="28"/>
          <w:rtl/>
        </w:rPr>
        <w:t xml:space="preserve">a'raji-ye hellī, 'abd-ol-motalleb ebn-e mohammad</w:t>
      </w:r>
    </w:p>
    <w:p>
      <w:pPr>
        <w:pStyle w:val="BookText"/>
      </w:pPr>
      <w:r>
        <w:rPr>
          <w:rFonts w:ascii="Times New Roman" w:hAnsi="Times New Roman" w:eastAsia="Times New Roman" w:cs="Times New Roman"/>
          <w:lang w:val="en-US" w:bidi="en-US"/>
          <w:color w:val="111111"/>
          <w:sz w:val="28"/>
          <w:szCs w:val="28"/>
          <w:rtl/>
        </w:rPr>
        <w:t xml:space="preserve">(1283 - 1345)</w:t>
      </w:r>
    </w:p>
    <w:p>
      <w:pPr>
        <w:pStyle w:val="BookText"/>
      </w:pPr>
      <w:r>
        <w:rPr>
          <w:rFonts w:ascii="IRNazanin" w:hAnsi="IRNazanin" w:eastAsia="IRNazanin" w:cs="IRNazanin"/>
          <w:lang w:bidi="fa-IR"/>
          <w:color w:val="111111"/>
          <w:sz w:val="28"/>
          <w:szCs w:val="28"/>
          <w:rtl/>
        </w:rPr>
        <w:t xml:space="preserve">وابسته به: انوار الملكوت في شرح الياقوت؛ علامه حلی، حسن بن يوسف (۶۴۸-۷۲۶)</w:t>
      </w:r>
    </w:p>
    <w:p>
      <w:pPr>
        <w:pStyle w:val="BookText"/>
      </w:pPr>
      <w:r>
        <w:rPr>
          <w:rFonts w:ascii="IRNazanin" w:hAnsi="IRNazanin" w:eastAsia="IRNazanin" w:cs="IRNazanin"/>
          <w:lang w:bidi="fa-IR"/>
          <w:color w:val="111111"/>
          <w:sz w:val="28"/>
          <w:szCs w:val="28"/>
          <w:rtl/>
        </w:rPr>
        <w:t xml:space="preserve">تأليف ضياء الدين عبد الله حلی یا برادرش عمیدالدین عبدالمطلب حلی، در زمان علامه حلی به نگارش درآمده است. در دیباچه آن نامی ازکتاب و مؤلف نیست. شرح و نقدی است مزجی و مفصل با عناوین «قال المصنف»، «قال الشارح دام ظله» و «قوله» بر کتاب «انوار الملكوت في شرح الياقوت» دایی مؤلف، علامه حلی و کتاب «یاقوت» از ابواسحاق اسماعيل (ابراهيم) ين اسحاق نوبختی می باشد. این شرح محاکمه ای بین مؤلف و شارح است و با عناوين «قال الشارح دام ظله» به آن اشاره کرده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bookmarkStart w:id="414" w:name="pg20365_260577"/>
    <w:bookmarkEnd w:id="414"/>
    <w:p>
      <w:pPr>
        <w:pStyle w:val="BookText"/>
      </w:pPr>
      <w:r>
        <w:rPr>
          <w:rFonts w:ascii="IRNazanin" w:hAnsi="IRNazanin" w:eastAsia="IRNazanin" w:cs="IRNazanin"/>
          <w:lang w:bidi="fa-IR"/>
          <w:color w:val="111111"/>
          <w:sz w:val="28"/>
          <w:szCs w:val="28"/>
          <w:rtl/>
        </w:rPr>
        <w:t xml:space="preserve">است. این کتاب نیز (مانند برخی دیگر از کتاب های این دو برادر) در برخی از منابع و فهارس به برادر مؤلف سید ضـیاء الدين عبد الله بن محمد حسینی اعرجی حلی نسبت داده شـده است. تاریخ تألیف: چهارشنبه ۱۲ ربیع الاول ۷۲۹ق نقل شده و لیکن بنابراین که از آغاز تا انجام این اثر از علامه حلی با عنو «قال الشارح دام ظله» یاد نموده و سال درگذشت ایشان 726ق واقع شده، لذا این سال تألیف نمی تواند صحیح باشد و احتمـالاً در استنساخ نسخه از سوی کاتب اشتباهی رخ داده باشد و  این نظریه که ممکن است تألیف این اثر بعد از رحلت علامه نیز ادامه داشته باشد مردود است زیرا عبارت «قال الشارح دام ظله» تا پایان ادامه دارد.</w:t>
      </w:r>
    </w:p>
    <w:p>
      <w:pPr>
        <w:pStyle w:val="BookText"/>
      </w:pPr>
      <w:r>
        <w:rPr>
          <w:rFonts w:ascii="Amiri" w:hAnsi="Amiri" w:eastAsia="Amiri" w:cs="Amiri"/>
          <w:lang w:bidi="ar-SA"/>
          <w:color w:val="111111"/>
          <w:sz w:val="28"/>
          <w:szCs w:val="28"/>
          <w:rtl/>
        </w:rPr>
        <w:t xml:space="preserve">آغاز: الحمد لله المتقدس عن الامثال و الاشكال و النظراء...اما بعد فان جماعة من اخوان الصفاء و ارباب التقى و الوفاء...لما طالعوا كتاب انوار الملكوت في شرح الياقوت</w:t>
      </w:r>
    </w:p>
    <w:p>
      <w:pPr>
        <w:pStyle w:val="BookText"/>
      </w:pPr>
      <w:r>
        <w:rPr>
          <w:rFonts w:ascii="Amiri" w:hAnsi="Amiri" w:eastAsia="Amiri" w:cs="Amiri"/>
          <w:lang w:bidi="ar-SA"/>
          <w:color w:val="111111"/>
          <w:sz w:val="28"/>
          <w:szCs w:val="28"/>
          <w:rtl/>
        </w:rPr>
        <w:t xml:space="preserve">انجام: و هذا ما كتبناه وحيث انتهى كلام الشارح دام ظله هـهنا قطعنا الكلام حامدين لله و مصلين على صاحب المعجزة الباهـرة خاتم الانبياء محمد المصطفى و على عترته الطاهرين.</w:t>
      </w:r>
    </w:p>
    <w:p>
      <w:pPr>
        <w:pStyle w:val="BookText"/>
      </w:pPr>
      <w:r>
        <w:rPr>
          <w:rFonts w:ascii="IRNazanin" w:hAnsi="IRNazanin" w:eastAsia="IRNazanin" w:cs="IRNazanin"/>
          <w:lang w:bidi="fa-IR"/>
          <w:color w:val="111111"/>
          <w:sz w:val="28"/>
          <w:szCs w:val="28"/>
          <w:rtl/>
        </w:rPr>
        <w:t xml:space="preserve">[الذريعة ۱۱۵/۱۳؛ دنا 1/ 851(7 نسخه)؛ إشراق اللاهوت في نقد شـرح الياقوت (تحقيق على اکبر ضیایی)؛ نشر میراث مکتوب ۱۳۸۱ ش]</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مرعشی؛ شماره نسخه: ۱۲۷۷۷</w:t>
      </w:r>
    </w:p>
    <w:p>
      <w:pPr>
        <w:pStyle w:val="BookText"/>
      </w:pPr>
      <w:r>
        <w:rPr>
          <w:rFonts w:ascii="IRNazanin" w:hAnsi="IRNazanin" w:eastAsia="IRNazanin" w:cs="IRNazanin"/>
          <w:lang w:bidi="fa-IR"/>
          <w:color w:val="111111"/>
          <w:sz w:val="28"/>
          <w:szCs w:val="28"/>
          <w:rtl/>
        </w:rPr>
        <w:t xml:space="preserve">آغاز: لكل معلوم فان كان الاول كان واجباً و ان كان الثانى .... قوله البحث الخامس فى انه تعالى قادر على مثل مقدور العبد قال المصنف و هو عالم لكل المعلومات ... قال الشارح دام ظله هـذه المسألة يعنى كونه تعالى عالماً لكل معلوم؛ انجام: قال الشارح دام ظله اعلم ان نبوظ نبينا يتوق العلم بها ... الا انها لما اشتركت فی معنى واحد و هو الاعجاز و خرق العادة صار المعنى المشترك.</w:t>
      </w:r>
    </w:p>
    <w:p>
      <w:pPr>
        <w:pStyle w:val="BookText"/>
      </w:pPr>
      <w:r>
        <w:rPr>
          <w:rFonts w:ascii="IRNazanin" w:hAnsi="IRNazanin" w:eastAsia="IRNazanin" w:cs="IRNazanin"/>
          <w:lang w:bidi="fa-IR"/>
          <w:color w:val="111111"/>
          <w:sz w:val="28"/>
          <w:szCs w:val="28"/>
          <w:rtl/>
        </w:rPr>
        <w:t xml:space="preserve">خط: نسخ، بی کا، تا: اوایل قرن ۸؛ افتادگی: آغاز و انجام؛ مصحح ؛ کاغذ: شرقی، جلد: تیماج آجری ضربی با ترنج گل و بوته، ۵۸گ، ۲۱ سطر (8</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32- 457]</w:t>
      </w:r>
    </w:p>
    <w:p>
      <w:pPr>
        <w:pStyle w:val="BookText"/>
      </w:pPr>
      <w:r>
        <w:rPr>
          <w:rFonts w:ascii="IRNazanin" w:hAnsi="IRNazanin" w:eastAsia="IRNazanin" w:cs="IRNazanin"/>
          <w:lang w:bidi="fa-IR"/>
          <w:color w:val="111111"/>
          <w:sz w:val="28"/>
          <w:szCs w:val="28"/>
          <w:rtl/>
        </w:rPr>
        <w:t xml:space="preserve">۲. تهران؛ دانشگاه؛ شماره نسخه: ۶۷۶۵</w:t>
      </w:r>
    </w:p>
    <w:p>
      <w:pPr>
        <w:pStyle w:val="BookText"/>
      </w:pPr>
      <w:r>
        <w:rPr>
          <w:rFonts w:ascii="IRNazanin" w:hAnsi="IRNazanin" w:eastAsia="IRNazanin" w:cs="IRNazanin"/>
          <w:lang w:bidi="fa-IR"/>
          <w:color w:val="111111"/>
          <w:sz w:val="28"/>
          <w:szCs w:val="28"/>
          <w:rtl/>
        </w:rPr>
        <w:t xml:space="preserve">خط: نسخ، کا: عبدالحسين بن عبد على بن حاجی حسین موذن، تا: یکشنبه ۱۶ رجب ۹۲۱ ق، جا: حله سیفیه؛ تملک: محمد امین کاظمی؛ کاغذ: سمرقندی، جلد: تیماج مشکی مقوایی، ۱۷۸گ، ۲۷ سطر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 قطع: وزیری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۱۶ - 356]</w:t>
      </w:r>
    </w:p>
    <w:p>
      <w:pPr>
        <w:pStyle w:val="BookText"/>
      </w:pPr>
      <w:r>
        <w:rPr>
          <w:rFonts w:ascii="IRNazanin" w:hAnsi="IRNazanin" w:eastAsia="IRNazanin" w:cs="IRNazanin"/>
          <w:lang w:bidi="fa-IR"/>
          <w:color w:val="111111"/>
          <w:sz w:val="28"/>
          <w:szCs w:val="28"/>
          <w:rtl/>
        </w:rPr>
        <w:t xml:space="preserve">3.مشهد؛ مدرسه خیرات خان؛ شماره نسخه: ۱۴۲</w:t>
      </w:r>
    </w:p>
    <w:p>
      <w:pPr>
        <w:pStyle w:val="BookText"/>
      </w:pPr>
      <w:r>
        <w:rPr>
          <w:rFonts w:ascii="IRNazanin" w:hAnsi="IRNazanin" w:eastAsia="IRNazanin" w:cs="IRNazanin"/>
          <w:lang w:bidi="fa-IR"/>
          <w:color w:val="111111"/>
          <w:sz w:val="28"/>
          <w:szCs w:val="28"/>
          <w:rtl/>
        </w:rPr>
        <w:t xml:space="preserve">آغاز: بسمله الحمد لله رب العالمين وصلى الله على محمد وآله الطاهرين اتخذت هذا من شرح الشرح الياقوت قال اى الشارح بعد الخطية وقد رتبت هذا الكتاب على مقاصد المقصد الاول  فی النظر الى قوله ؛انجام: برابر ؛ بعد از چهار سطر : توجب لنا السعـادة فى الدنيا والاخره. کاتب می افزاید: تم الكتاب المبارك بحسن توفيق الله تعالى و منه و لطفه لخمس بقين من ذى الحجة سنة سبعين و سعمائه و الحمد لله رب العالمين وصلى الله على سيـدنا محمد وآله الطيبين.</w:t>
      </w:r>
    </w:p>
    <w:p>
      <w:pPr>
        <w:pStyle w:val="BookText"/>
      </w:pPr>
      <w:r>
        <w:rPr>
          <w:rFonts w:ascii="IRNazanin" w:hAnsi="IRNazanin" w:eastAsia="IRNazanin" w:cs="IRNazanin"/>
          <w:lang w:bidi="fa-IR"/>
          <w:color w:val="111111"/>
          <w:sz w:val="28"/>
          <w:szCs w:val="28"/>
          <w:rtl/>
        </w:rPr>
        <w:t xml:space="preserve">خط: نسخ، بی کا، تا: با تاریخ ۹۸۵ق در صفحه عنوان دارد:«الملک و البقاء لله تعالى من عوارى الزمان فى يد العبد الفاني الراجى الى رحمة الله العالى قاسم بن حسين الخلخالي عفى الله عنهما . ... فى المشهد المقدس الغروى ... كان ذلك فى ذى الحجه من شهور سنة خمس و ثمانين و تسعمائه الهجرى»؛ در ص ۱ وقفنامه و مهر نصرة الملك ؛كاغذ: دولت آبادی، جلد: تیماج  مشکی، ۱۵۰ گ، ۱۷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 قطع: ربعی، اندازه: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۱۸/۳سم[ رشت و همدان - ف: ۱۷۲۱]</w:t>
      </w:r>
    </w:p>
    <w:p>
      <w:pPr>
        <w:pStyle w:val="BookText"/>
      </w:pPr>
      <w:r>
        <w:rPr>
          <w:rFonts w:ascii="IRNazanin" w:hAnsi="IRNazanin" w:eastAsia="IRNazanin" w:cs="IRNazanin"/>
          <w:lang w:bidi="fa-IR"/>
          <w:color w:val="111111"/>
          <w:sz w:val="28"/>
          <w:szCs w:val="28"/>
          <w:rtl/>
        </w:rPr>
        <w:t xml:space="preserve">۴. اصفهان؛ ادبیات؛ شماره نسخه: ۲</w:t>
      </w:r>
    </w:p>
    <w:p>
      <w:pPr>
        <w:pStyle w:val="BookText"/>
      </w:pPr>
      <w:r>
        <w:rPr>
          <w:rFonts w:ascii="IRNazanin" w:hAnsi="IRNazanin" w:eastAsia="IRNazanin" w:cs="IRNazanin"/>
          <w:lang w:bidi="fa-IR"/>
          <w:color w:val="111111"/>
          <w:sz w:val="28"/>
          <w:szCs w:val="28"/>
          <w:rtl/>
        </w:rPr>
        <w:t xml:space="preserve">كا: عباس بن علی بن احمد حسینی عمیدی، تا: ۱۰ محرم ۹۲۱ق، جا: نجف؛ در آن درباره شارح «ادام الله ایامه» آمده؛ تملک: کاتب، صفی الدین محمد بن علی، ابوالشرف محمد [ نشریه: ۵ - ۲۹۸]</w:t>
      </w:r>
    </w:p>
    <w:p>
      <w:pPr>
        <w:pStyle w:val="BookText"/>
      </w:pPr>
      <w:r>
        <w:rPr>
          <w:rFonts w:ascii="IRNazanin" w:hAnsi="IRNazanin" w:eastAsia="IRNazanin" w:cs="IRNazanin"/>
          <w:lang w:bidi="fa-IR"/>
          <w:color w:val="111111"/>
          <w:sz w:val="28"/>
          <w:szCs w:val="28"/>
          <w:rtl/>
        </w:rPr>
        <w:t xml:space="preserve">۵. تهران؛ ملک؛ شماره نسخه: ۷۸۸</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۱۱؛ با تاریخ 1107در ص ع؛کاغذ: ترمه، جلد: میشن سیاه، ۳۷۶گ، ۱۴ سطر، اندازه: ۱۲/۷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۱۸/۶سم[ف: ۱ - ۳۶]</w:t>
      </w:r>
    </w:p>
    <w:p>
      <w:pPr>
        <w:pStyle w:val="BookText"/>
      </w:pPr>
      <w:r>
        <w:rPr>
          <w:rFonts w:ascii="IRNazanin" w:hAnsi="IRNazanin" w:eastAsia="IRNazanin" w:cs="IRNazanin"/>
          <w:lang w:bidi="fa-IR"/>
          <w:color w:val="111111"/>
          <w:sz w:val="28"/>
          <w:szCs w:val="28"/>
          <w:rtl/>
        </w:rPr>
        <w:t xml:space="preserve">6.شیراز؛ علامه طباطبائی؛ شماره نسخه: ۱۱۹۴</w:t>
      </w:r>
    </w:p>
    <w:p>
      <w:pPr>
        <w:pStyle w:val="BookText"/>
      </w:pPr>
      <w:r>
        <w:rPr>
          <w:rFonts w:ascii="IRNazanin" w:hAnsi="IRNazanin" w:eastAsia="IRNazanin" w:cs="IRNazanin"/>
          <w:lang w:bidi="fa-IR"/>
          <w:color w:val="111111"/>
          <w:sz w:val="28"/>
          <w:szCs w:val="28"/>
          <w:rtl/>
        </w:rPr>
        <w:t xml:space="preserve">خط: نستعليق ،كا: احمد بن جلال الدین طالقانی، تا: غره ذیحجه ۱۰۰۸ق؛ افتادگی: آغاز؛ در آخر نسخه اصول الدین امام رضا (علیه السّلام)؛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[نسخه پژوهی: ۲ – ۱۷۷]</w:t>
      </w:r>
    </w:p>
    <w:p>
      <w:pPr>
        <w:pStyle w:val="BookText"/>
      </w:pPr>
      <w:r>
        <w:rPr>
          <w:rFonts w:ascii="IRNazanin" w:hAnsi="IRNazanin" w:eastAsia="IRNazanin" w:cs="IRNazanin"/>
          <w:lang w:bidi="fa-IR"/>
          <w:color w:val="111111"/>
          <w:sz w:val="28"/>
          <w:szCs w:val="28"/>
          <w:rtl/>
        </w:rPr>
        <w:t xml:space="preserve">7.قم؛ مرعشی؛ شماره نسخه: ۱۳۸۲۲/۲</w:t>
      </w:r>
    </w:p>
    <w:p>
      <w:pPr>
        <w:pStyle w:val="BookText"/>
      </w:pPr>
      <w:r>
        <w:rPr>
          <w:rFonts w:ascii="Amiri" w:hAnsi="Amiri" w:eastAsia="Amiri" w:cs="Amiri"/>
          <w:lang w:bidi="ar-SA"/>
          <w:color w:val="111111"/>
          <w:sz w:val="28"/>
          <w:szCs w:val="28"/>
          <w:rtl/>
        </w:rPr>
        <w:t xml:space="preserve">آغاز و انجام: برابر؛ فرغ من تصنيفه فى ليلة يسفر صبحها عن يوم الأربعاء ثانى شهر ربيع الأول من سنة تسع و عشرين وسبعمائة.</w:t>
      </w:r>
    </w:p>
    <w:p>
      <w:pPr>
        <w:pStyle w:val="BookText"/>
      </w:pPr>
      <w:r>
        <w:rPr>
          <w:rFonts w:ascii="IRNazanin" w:hAnsi="IRNazanin" w:eastAsia="IRNazanin" w:cs="IRNazanin"/>
          <w:lang w:bidi="fa-IR"/>
          <w:color w:val="111111"/>
          <w:sz w:val="28"/>
          <w:szCs w:val="28"/>
          <w:rtl/>
        </w:rPr>
        <w:t xml:space="preserve">خط:نسخ، كا: صالح بن إبراهيم بن حريز بحرانی، تا: پنج شنبه رمضان ۱۰۸۰ق؛ براساس رقم مؤلف در پایان این نسخه این اثر روز چهارشنبه ۱۲ ربيع الاول سال ۷۲۹ق به پایان رسیده است،مصحح،   کاتب در انجام دو بیت شعر عربی آورده «کتبت و قد ايفنت يوماً كتبته *** بان يدى تبلى و تبقى كتابها/ لاشك ان الله يسئلها غدا *** فياليت شعرى ما يكون جوابها»؛ تملک: «علی بن مسلم بحرانی» با تاریخ رمضان ۱۰۸۰ق؛ کاغذ: فرنگی، ۲۰۷گ (۲۵۰-۴۴پ)، ۱۹ و ۲۱ سطر،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۳۵ - ۹۸]</w:t>
      </w:r>
    </w:p>
    <w:p>
      <w:pPr>
        <w:pStyle w:val="BookText"/>
      </w:pPr>
      <w:r>
        <w:rPr>
          <w:rFonts w:ascii="IRNazanin" w:hAnsi="IRNazanin" w:eastAsia="IRNazanin" w:cs="IRNazanin"/>
          <w:lang w:bidi="fa-IR"/>
          <w:color w:val="111111"/>
          <w:sz w:val="28"/>
          <w:szCs w:val="28"/>
          <w:rtl/>
        </w:rPr>
        <w:t xml:space="preserve">8.مشهد؛ رضوی؛ شماره نسخه: ۷۷۱۷</w:t>
      </w:r>
    </w:p>
    <w:p>
      <w:pPr>
        <w:pStyle w:val="BookText"/>
      </w:pPr>
      <w:r>
        <w:rPr>
          <w:rFonts w:ascii="Amiri" w:hAnsi="Amiri" w:eastAsia="Amiri" w:cs="Amiri"/>
          <w:lang w:bidi="ar-SA"/>
          <w:color w:val="111111"/>
          <w:sz w:val="28"/>
          <w:szCs w:val="28"/>
          <w:rtl/>
        </w:rPr>
        <w:t xml:space="preserve">آغاز: برابر؛ انجام: توجب لنا السعادة فى الدنيا والآخرة و لا حول و لا قوة الا بالله العلى العظيم.</w:t>
      </w:r>
    </w:p>
    <w:p>
      <w:pPr>
        <w:pStyle w:val="BookText"/>
      </w:pPr>
      <w:r>
        <w:rPr>
          <w:rFonts w:ascii="IRNazanin" w:hAnsi="IRNazanin" w:eastAsia="IRNazanin" w:cs="IRNazanin"/>
          <w:lang w:bidi="fa-IR"/>
          <w:color w:val="111111"/>
          <w:sz w:val="28"/>
          <w:szCs w:val="28"/>
          <w:rtl/>
        </w:rPr>
        <w:t xml:space="preserve">خط: نسخ، كا: علی بن محمد بن حسين بن سلیمان، بی تا؛ کاغذ: آهاری  نخودی، جلد: تیماج  مشکی، ۱۴۵گ، مختلف السطر،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۱۱ - ۱۷۹]</w:t>
      </w:r>
    </w:p>
    <w:p>
      <w:pPr>
        <w:pStyle w:val="Heading3"/>
      </w:pPr>
      <w:bookmarkStart w:id="1935" w:name="_Toc1457"/>
      <w:r>
        <w:t>اشراق النيرين / عرفان و تصوف / فارسی</w:t>
      </w:r>
      <w:bookmarkEnd w:id="1935"/>
    </w:p>
    <w:p>
      <w:pPr>
        <w:pStyle w:val="BookText"/>
      </w:pPr>
      <w:r>
        <w:rPr>
          <w:rFonts w:ascii="Times New Roman" w:hAnsi="Times New Roman" w:eastAsia="Times New Roman" w:cs="Times New Roman"/>
          <w:lang w:val="en-US" w:bidi="en-US"/>
          <w:color w:val="111111"/>
          <w:sz w:val="28"/>
          <w:szCs w:val="28"/>
          <w:rtl/>
        </w:rPr>
        <w:t xml:space="preserve">ešraq-on nayyerīn</w:t>
      </w:r>
    </w:p>
    <w:p>
      <w:pPr>
        <w:pStyle w:val="BookText"/>
      </w:pPr>
      <w:r>
        <w:rPr>
          <w:rFonts w:ascii="IRNazanin" w:hAnsi="IRNazanin" w:eastAsia="IRNazanin" w:cs="IRNazanin"/>
          <w:lang w:bidi="fa-IR"/>
          <w:color w:val="111111"/>
          <w:sz w:val="28"/>
          <w:szCs w:val="28"/>
          <w:rtl/>
        </w:rPr>
        <w:t xml:space="preserve">فانی شیرازی  دهدار، محمد بن محمود، ۹۴۷ - 1016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قمری</w:t>
      </w:r>
    </w:p>
    <w:p>
      <w:pPr>
        <w:pStyle w:val="BookText"/>
      </w:pPr>
      <w:r>
        <w:rPr>
          <w:rFonts w:ascii="Times New Roman" w:hAnsi="Times New Roman" w:eastAsia="Times New Roman" w:cs="Times New Roman"/>
          <w:lang w:val="en-US" w:bidi="en-US"/>
          <w:color w:val="111111"/>
          <w:sz w:val="28"/>
          <w:szCs w:val="28"/>
          <w:rtl/>
        </w:rPr>
        <w:t xml:space="preserve">(1608-fānī šīrāzī dehdār, mohammad ebn-e mahmūd (1541 -</w:t>
      </w:r>
    </w:p>
    <w:p>
      <w:pPr>
        <w:pStyle w:val="BookText"/>
      </w:pPr>
      <w:r>
        <w:rPr>
          <w:rFonts w:ascii="IRNazanin" w:hAnsi="IRNazanin" w:eastAsia="IRNazanin" w:cs="IRNazanin"/>
          <w:lang w:bidi="fa-IR"/>
          <w:color w:val="111111"/>
          <w:sz w:val="28"/>
          <w:szCs w:val="28"/>
          <w:rtl/>
        </w:rPr>
        <w:t xml:space="preserve">رساله ای است در عرفان در یک «اشراق» و دو«نیر»: اشراق در تصحيح کیفیت ادراک؛ نیر ۱. در اظهار شمه ای از تطابق نسـخه انسانی با نسخه وجود؛ نیر ۲. در اشعار متولد ثانی.</w:t>
      </w:r>
    </w:p>
    <w:p>
      <w:pPr>
        <w:pStyle w:val="BookText"/>
      </w:pPr>
      <w:r>
        <w:rPr>
          <w:rFonts w:ascii="IRNazanin" w:hAnsi="IRNazanin" w:eastAsia="IRNazanin" w:cs="IRNazanin"/>
          <w:lang w:bidi="fa-IR"/>
          <w:color w:val="111111"/>
          <w:sz w:val="28"/>
          <w:szCs w:val="28"/>
          <w:rtl/>
        </w:rPr>
        <w:t xml:space="preserve">آغاز: الحمد لله رب العالمين حمدا ينبغي لعظمته و عز جلاله و الصلاة... بعد از تمهید اساس شکر و سپاس بی قیاس، چنین گوید سالک بادیه هوس... محمد بن محمود، الملقب بدهدار... و این رساله که مندرجاتش بخش دیده ذوق است و چاشنی افزای جان شوق موسوم آمد به اشراق النیرین</w:t>
      </w:r>
    </w:p>
    <w:p>
      <w:pPr>
        <w:pStyle w:val="BookText"/>
      </w:pPr>
      <w:r>
        <w:rPr>
          <w:rFonts w:ascii="IRNazanin" w:hAnsi="IRNazanin" w:eastAsia="IRNazanin" w:cs="IRNazanin"/>
          <w:lang w:bidi="fa-IR"/>
          <w:color w:val="111111"/>
          <w:sz w:val="28"/>
          <w:szCs w:val="28"/>
          <w:rtl/>
        </w:rPr>
        <w:t xml:space="preserve">انجام: و مدار حساب نیز بر دو رقم است و در شریعت و همـین قدر اشاره کافیست و الله يهدى منيشاء الى صراط مستقيم و صلى الله على خير خلقه محمد و آله وصحبه الطاهرين و الحـمد الله رب العالمين.</w:t>
      </w:r>
    </w:p>
    <w:p>
      <w:pPr>
        <w:pStyle w:val="BookText"/>
      </w:pPr>
      <w:r>
        <w:rPr>
          <w:rFonts w:ascii="IRNazanin" w:hAnsi="IRNazanin" w:eastAsia="IRNazanin" w:cs="IRNazanin"/>
          <w:lang w:bidi="fa-IR"/>
          <w:color w:val="111111"/>
          <w:sz w:val="28"/>
          <w:szCs w:val="28"/>
          <w:rtl/>
        </w:rPr>
        <w:t xml:space="preserve">چاپ: به کوشش محمد حسین اکبری ،ساوی، در مجموعه «رسایل دهدار»،دفتر نشر میراث مکتوب ش ،۲۷، ۱۳۷۵ش، ( ص ۴۳-۷۲)</w:t>
      </w:r>
    </w:p>
    <w:p>
      <w:pPr>
        <w:pStyle w:val="BookText"/>
      </w:pPr>
      <w:r>
        <w:rPr>
          <w:rFonts w:ascii="IRNazanin" w:hAnsi="IRNazanin" w:eastAsia="IRNazanin" w:cs="IRNazanin"/>
          <w:lang w:bidi="fa-IR"/>
          <w:color w:val="111111"/>
          <w:sz w:val="28"/>
          <w:szCs w:val="28"/>
          <w:rtl/>
        </w:rPr>
        <w:t xml:space="preserve">[دنا 1/ 851(18 نسخه)؛ نسخه های منزوی ۱۰۳۱/۲؛ فهرست مشترک پاکسـتان ۱۲۶۸؛ الذريعة ۱۷۸/۱۸ و ۱۰۳/۲؛ فهرستواره منزوی ۷۹/۷]</w:t>
      </w:r>
    </w:p>
    <w:p>
      <w:pPr>
        <w:pStyle w:val="BookText"/>
      </w:pPr>
      <w:r>
        <w:rPr>
          <w:rFonts w:ascii="IRNazanin" w:hAnsi="IRNazanin" w:eastAsia="IRNazanin" w:cs="IRNazanin"/>
          <w:lang w:bidi="fa-IR"/>
          <w:color w:val="111111"/>
          <w:sz w:val="28"/>
          <w:szCs w:val="28"/>
          <w:rtl/>
        </w:rPr>
        <w:t xml:space="preserve">۱. تهران؛ مجلس؛ شماره نسخه: ۱۰۷۲۳/۶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۱۱ جمادی الثانی ۹۶۵ق؛ دارای نشان بلاغ؛ جلد: گالینگور زرشکی با روکش اسلیمی، ۸گ (76ر-۸۳ر) چلیپا  سطر،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۳۳/۱ - ۱۹۹]</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الهیات؛ شماره نسخه: ۱۹۲/۸</w:t>
      </w:r>
    </w:p>
    <w:p>
      <w:pPr>
        <w:pStyle w:val="BookText"/>
      </w:pPr>
      <w:r>
        <w:rPr>
          <w:rFonts w:ascii="IRNazanin" w:hAnsi="IRNazanin" w:eastAsia="IRNazanin" w:cs="IRNazanin"/>
          <w:lang w:bidi="fa-IR"/>
          <w:color w:val="111111"/>
          <w:sz w:val="28"/>
          <w:szCs w:val="28"/>
          <w:rtl/>
        </w:rPr>
        <w:t xml:space="preserve">خط: نستعلیق، کا: ملا محمد  مهدی، تا: قرن ۱۱ ؛کاغذ: فرنگـی ،جلد: تیماج قهوه ای  مقوایی، ۷گ (۱۶۵پ-۱۷۱ر)، ۱۵ سـطر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۲۵۸]</w:t>
      </w:r>
    </w:p>
    <w:p>
      <w:pPr>
        <w:pStyle w:val="BookText"/>
      </w:pPr>
      <w:r>
        <w:rPr>
          <w:rFonts w:ascii="IRNazanin" w:hAnsi="IRNazanin" w:eastAsia="IRNazanin" w:cs="IRNazanin"/>
          <w:lang w:bidi="fa-IR"/>
          <w:color w:val="111111"/>
          <w:sz w:val="28"/>
          <w:szCs w:val="28"/>
          <w:rtl/>
        </w:rPr>
        <w:t xml:space="preserve">3.تهران؛ ملک؛ شماره نسخه: ۳۴۵۷/۵</w:t>
      </w:r>
    </w:p>
    <w:p>
      <w:pPr>
        <w:pStyle w:val="BookText"/>
      </w:pPr>
      <w:r>
        <w:rPr>
          <w:rFonts w:ascii="IRNazanin" w:hAnsi="IRNazanin" w:eastAsia="IRNazanin" w:cs="IRNazanin"/>
          <w:lang w:bidi="fa-IR"/>
          <w:color w:val="111111"/>
          <w:sz w:val="28"/>
          <w:szCs w:val="28"/>
          <w:rtl/>
        </w:rPr>
        <w:t xml:space="preserve">خط: نستعلیق، بی کا، تا: قرن ۱۱ ؛کاغذ ،ترمه ،جلد: رویه میـشن سیاه با جدول  تازه، ۱۷گ، (۵۰ پ -۶۶ پ)، ۱۹ سطر،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۲۳سم [ف: ۶ - ۴۳۴]</w:t>
      </w:r>
    </w:p>
    <w:p>
      <w:pPr>
        <w:pStyle w:val="BookText"/>
      </w:pPr>
      <w:r>
        <w:rPr>
          <w:rFonts w:ascii="IRNazanin" w:hAnsi="IRNazanin" w:eastAsia="IRNazanin" w:cs="IRNazanin"/>
          <w:lang w:bidi="fa-IR"/>
          <w:color w:val="111111"/>
          <w:sz w:val="28"/>
          <w:szCs w:val="28"/>
          <w:rtl/>
        </w:rPr>
        <w:t xml:space="preserve">۴. تهران؛ نوربخش؛ شماره نسخه: ۵۰/۶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۱۱؛ نوشته شده در حاشیه به چلیپا ؛کاغذ: ایرانی، جلد: تیماج تریاکی مقوایی، ۲۳ ص (84- 106)،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۲۴سم [ف: 84- 106]</w:t>
      </w:r>
    </w:p>
    <w:p>
      <w:pPr>
        <w:pStyle w:val="BookText"/>
      </w:pPr>
      <w:r>
        <w:rPr>
          <w:rFonts w:ascii="IRNazanin" w:hAnsi="IRNazanin" w:eastAsia="IRNazanin" w:cs="IRNazanin"/>
          <w:lang w:bidi="fa-IR"/>
          <w:color w:val="111111"/>
          <w:sz w:val="28"/>
          <w:szCs w:val="28"/>
          <w:rtl/>
        </w:rPr>
        <w:t xml:space="preserve">۵. تهران؛ دانشگاه؛ شماره نسخه: ۴۷۴۵/۶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ربیع الاول ۱۰۷۷ق؛ کاغذ: سپاهانی، جـلد: تیماج مشکی ضربی، ۱۹ص ،(۸۳-۱۰۱)، ۲۶ سطر (6</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اندازه: 9</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سم [ف: ۱۴ - ۳۷۰۳]</w:t>
      </w:r>
    </w:p>
    <w:p>
      <w:pPr>
        <w:pStyle w:val="BookText"/>
      </w:pPr>
      <w:r>
        <w:rPr>
          <w:rFonts w:ascii="IRNazanin" w:hAnsi="IRNazanin" w:eastAsia="IRNazanin" w:cs="IRNazanin"/>
          <w:lang w:bidi="fa-IR"/>
          <w:color w:val="111111"/>
          <w:sz w:val="28"/>
          <w:szCs w:val="28"/>
          <w:rtl/>
        </w:rPr>
        <w:t xml:space="preserve">۶. تهران؛ مجلس؛ شماره نسخه: ۱۳۸۱/۵ط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خوش، بی کا، تا: قرن ۱۱ و قرن ۱۲؛ جلد: تیماج قهوه ای یک لا، ۲۷ ص( ۷۸-۱۰۴)، ۱۹ سطر،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۱۹سم[ف: ۲۴/۳ - ۱۰۳]</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تهران؛ دائرة المعارف؛ شماره نسخه: ۳۳۲/۷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تحریری، بی کا، تا: قرن ۱۲؛ ۱۴گ (۶۲پ-۷۵پ)  [ف: ۱-۱۹]</w:t>
      </w:r>
    </w:p>
    <w:p>
      <w:pPr>
        <w:pStyle w:val="BookText"/>
      </w:pPr>
      <w:r>
        <w:rPr>
          <w:rFonts w:ascii="IRNazanin" w:hAnsi="IRNazanin" w:eastAsia="IRNazanin" w:cs="IRNazanin"/>
          <w:lang w:bidi="fa-IR"/>
          <w:color w:val="111111"/>
          <w:sz w:val="28"/>
          <w:szCs w:val="28"/>
          <w:rtl/>
        </w:rPr>
        <w:t xml:space="preserve">۸. تهران؛ عبد العظیم؛ شماره نسخه: ۶۱۶/۴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قرن ۱۳ ،۱۳گ، ۱۴ سطر، اندازه:  ۱۷/۵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۱ – ۴۹]</w:t>
      </w:r>
    </w:p>
    <w:p>
      <w:pPr>
        <w:pStyle w:val="BookText"/>
      </w:pPr>
      <w:r>
        <w:rPr>
          <w:rFonts w:ascii="IRNazanin" w:hAnsi="IRNazanin" w:eastAsia="IRNazanin" w:cs="IRNazanin"/>
          <w:lang w:bidi="fa-IR"/>
          <w:color w:val="111111"/>
          <w:sz w:val="28"/>
          <w:szCs w:val="28"/>
          <w:rtl/>
        </w:rPr>
        <w:t xml:space="preserve">۹. تهران؛ مجلس؛ شماره نسخه: ۳۳۲۳/۴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۱۲۹۷ق؛ کاغذ: فرنگی مارک دار سفید و کرمی رنگ، جلد: تیماج نارنجی دورمنگنه، ۲۳ ص (۱۳۰-۱۵۲)، اندازه: ۱۷/۵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۳۲سم [ف : ۱۰ - ۱۰۸۴]</w:t>
      </w:r>
    </w:p>
    <w:p>
      <w:pPr>
        <w:pStyle w:val="BookText"/>
      </w:pPr>
      <w:r>
        <w:rPr>
          <w:rFonts w:ascii="IRNazanin" w:hAnsi="IRNazanin" w:eastAsia="IRNazanin" w:cs="IRNazanin"/>
          <w:lang w:bidi="fa-IR"/>
          <w:color w:val="111111"/>
          <w:sz w:val="28"/>
          <w:szCs w:val="28"/>
          <w:rtl/>
        </w:rPr>
        <w:t xml:space="preserve">۱۰. تهران؛ مجلس؛ شماره نسخه: ۳۱۰۲/۷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تحریری  متوسط ،كا: محمد حسین بن عبدالمجید تفرشی فقير نعمة اللهی، تا: رجب ۱۲۹۹ق؛ کاتب در پایان رقم کرده: «فقیر حقیر سراپا تقصیر محمد حسین بن عبدالمجید تفرشی در نهایت پریشانی و عسرت و تنگدستی به تحریر این نسخه شریفه پرداخت رجب ۹۹ التماس دعا از خواننده است»؛ کاغذ: رقعه ای فرنگی سفید رنگ، جلد: میشن خرمایی داغ کرده، ۳۰ ص (۱۷۰- ۱۹۹) ، ۱۵ سطر، قطع: خشتی،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 ۱۰ - ۶۵۸]</w:t>
      </w:r>
    </w:p>
    <w:p>
      <w:pPr>
        <w:pStyle w:val="BookText"/>
      </w:pPr>
      <w:r>
        <w:rPr>
          <w:rFonts w:ascii="IRNazanin" w:hAnsi="IRNazanin" w:eastAsia="IRNazanin" w:cs="IRNazanin"/>
          <w:lang w:bidi="fa-IR"/>
          <w:color w:val="111111"/>
          <w:sz w:val="28"/>
          <w:szCs w:val="28"/>
          <w:rtl/>
        </w:rPr>
        <w:t xml:space="preserve">۱۱. قم؛ مرعشی؛ شماره نسخه: ۷۳۷۰/۷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۱۳۰۶ق؛ جلد: تیماج قرمز،۱۱گ (۴۵ر-  ۵۵ر)،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۱۹ - ۱۷۰]</w:t>
      </w:r>
    </w:p>
    <w:p>
      <w:pPr>
        <w:pStyle w:val="BookText"/>
      </w:pPr>
      <w:r>
        <w:rPr>
          <w:rFonts w:ascii="IRNazanin" w:hAnsi="IRNazanin" w:eastAsia="IRNazanin" w:cs="IRNazanin"/>
          <w:lang w:bidi="fa-IR"/>
          <w:color w:val="111111"/>
          <w:sz w:val="28"/>
          <w:szCs w:val="28"/>
          <w:rtl/>
        </w:rPr>
        <w:t xml:space="preserve">۱۲. قم؛ مرعشی؛ شماره نسخه: ۸۹۷۲/۵</w:t>
      </w:r>
    </w:p>
    <w:p>
      <w:pPr>
        <w:pStyle w:val="BookText"/>
      </w:pPr>
      <w:r>
        <w:rPr>
          <w:rFonts w:ascii="IRNazanin" w:hAnsi="IRNazanin" w:eastAsia="IRNazanin" w:cs="IRNazanin"/>
          <w:lang w:bidi="fa-IR"/>
          <w:color w:val="111111"/>
          <w:sz w:val="28"/>
          <w:szCs w:val="28"/>
          <w:rtl/>
        </w:rPr>
        <w:t xml:space="preserve">خط: نسخ و نستعلیق، بی کا، بی تا؛جلد: تیماج قهوه ای بدون مقوا، ۱۹گ (۴۸ ر -۶۶ پ) ،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۱۶/۵سم [ف: ۲۳ - ۱۳۹]</w:t>
      </w:r>
    </w:p>
    <w:p>
      <w:pPr>
        <w:pStyle w:val="BookText"/>
      </w:pPr>
      <w:r>
        <w:rPr>
          <w:rFonts w:ascii="IRNazanin" w:hAnsi="IRNazanin" w:eastAsia="IRNazanin" w:cs="IRNazanin"/>
          <w:lang w:bidi="fa-IR"/>
          <w:color w:val="111111"/>
          <w:sz w:val="28"/>
          <w:szCs w:val="28"/>
          <w:rtl/>
        </w:rPr>
        <w:t xml:space="preserve">۱۳. مشهد؛ رضوی؛ شماره نسخه: ۶۳۹۶</w:t>
      </w:r>
    </w:p>
    <w:p>
      <w:pPr>
        <w:pStyle w:val="BookText"/>
      </w:pPr>
      <w:r>
        <w:rPr>
          <w:rFonts w:ascii="IRNazanin" w:hAnsi="IRNazanin" w:eastAsia="IRNazanin" w:cs="IRNazanin"/>
          <w:lang w:bidi="fa-IR"/>
          <w:color w:val="111111"/>
          <w:sz w:val="28"/>
          <w:szCs w:val="28"/>
          <w:rtl/>
        </w:rPr>
        <w:t xml:space="preserve">آغاز: برابر؛ انجام: و بعضی از قوای و مشاعر این حال دارند که  در هنگام</w:t>
      </w:r>
    </w:p>
    <w:p>
      <w:pPr>
        <w:pStyle w:val="BookText"/>
      </w:pPr>
      <w:r>
        <w:rPr>
          <w:rFonts w:ascii="IRNazanin" w:hAnsi="IRNazanin" w:eastAsia="IRNazanin" w:cs="IRNazanin"/>
          <w:lang w:bidi="fa-IR"/>
          <w:color w:val="111111"/>
          <w:sz w:val="28"/>
          <w:szCs w:val="28"/>
          <w:rtl/>
        </w:rPr>
        <w:t xml:space="preserve">خط: نستعلیق، بی کا، بی تا؛ افتادگی: انجام؛ واقف فهرستی؛  ۱۸گ، ۱۶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۴ - ۲۳]</w:t>
      </w:r>
    </w:p>
    <w:p>
      <w:pPr>
        <w:pStyle w:val="BookText"/>
      </w:pPr>
      <w:r>
        <w:rPr>
          <w:rFonts w:ascii="IRNazanin" w:hAnsi="IRNazanin" w:eastAsia="IRNazanin" w:cs="IRNazanin"/>
          <w:lang w:bidi="fa-IR"/>
          <w:color w:val="111111"/>
          <w:sz w:val="28"/>
          <w:szCs w:val="28"/>
          <w:rtl/>
        </w:rPr>
        <w:t xml:space="preserve">۱۴. تهران؛ دانشگاه؛ شماره نسخه: ۷۳۶۵/۳</w:t>
      </w:r>
    </w:p>
    <w:p>
      <w:pPr>
        <w:pStyle w:val="BookText"/>
      </w:pPr>
      <w:r>
        <w:rPr>
          <w:rFonts w:ascii="IRNazanin" w:hAnsi="IRNazanin" w:eastAsia="IRNazanin" w:cs="IRNazanin"/>
          <w:lang w:bidi="fa-IR"/>
          <w:color w:val="111111"/>
          <w:sz w:val="28"/>
          <w:szCs w:val="28"/>
          <w:rtl/>
        </w:rPr>
        <w:t xml:space="preserve">خط: نستعلیق، بی کا، بی تا؛ کاغذ: فرنگی، جلد: مقوا عطف تیماج تریاکی، ۱ص ،(۳۸) ۱۶ سطر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 قطع: خشتی،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۱۶ – ۵۲۲]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bookmarkStart w:id="415" w:name="pg20365_260579"/>
    <w:bookmarkEnd w:id="415"/>
    <w:p>
      <w:pPr>
        <w:pStyle w:val="BookText"/>
      </w:pPr>
      <w:r>
        <w:rPr>
          <w:rFonts w:ascii="IRNazanin" w:hAnsi="IRNazanin" w:eastAsia="IRNazanin" w:cs="IRNazanin"/>
          <w:lang w:bidi="fa-IR"/>
          <w:color w:val="111111"/>
          <w:sz w:val="28"/>
          <w:szCs w:val="28"/>
          <w:rtl/>
        </w:rPr>
        <w:t xml:space="preserve">۱۵. تهران؛ ملی؛ شماره نسخه: ۴۸۲۴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متوسط،  بی کا، بی تا؛ کاغذ: فرنگی  نخودی، جـلد: تیماج مشکی ساده  مقوایی، ۱۰گ (۲۱۲-۲۲۱)، ۲۷ و ۲۸ سـطر مورب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[رایانه]</w:t>
      </w:r>
    </w:p>
    <w:p>
      <w:pPr>
        <w:pStyle w:val="BookText"/>
      </w:pPr>
      <w:r>
        <w:rPr>
          <w:rFonts w:ascii="IRNazanin" w:hAnsi="IRNazanin" w:eastAsia="IRNazanin" w:cs="IRNazanin"/>
          <w:lang w:bidi="fa-IR"/>
          <w:color w:val="111111"/>
          <w:sz w:val="28"/>
          <w:szCs w:val="28"/>
          <w:rtl/>
        </w:rPr>
        <w:t xml:space="preserve">۱۶ . ،قائن ،امام سید حسن؛ شماره نسخه: ۵/۷</w:t>
      </w:r>
    </w:p>
    <w:p>
      <w:pPr>
        <w:pStyle w:val="BookText"/>
      </w:pPr>
      <w:r>
        <w:rPr>
          <w:rFonts w:ascii="IRNazanin" w:hAnsi="IRNazanin" w:eastAsia="IRNazanin" w:cs="IRNazanin"/>
          <w:lang w:bidi="fa-IR"/>
          <w:color w:val="111111"/>
          <w:sz w:val="28"/>
          <w:szCs w:val="28"/>
          <w:rtl/>
        </w:rPr>
        <w:t xml:space="preserve">خط: نسخ، بی کا، بی تا؛ جلد: مقوایی عطف تیماج قهوه ای، ۵گ (۵۶ پ- ۷۰ پ)، ۲۱ سطر،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۲۵/۵سم [ کتابخانه های قائن ف - ۱۸۱]</w:t>
      </w:r>
    </w:p>
    <w:p>
      <w:pPr>
        <w:pStyle w:val="BookText"/>
      </w:pPr>
      <w:r>
        <w:rPr>
          <w:rFonts w:ascii="IRNazanin" w:hAnsi="IRNazanin" w:eastAsia="IRNazanin" w:cs="IRNazanin"/>
          <w:lang w:bidi="fa-IR"/>
          <w:color w:val="111111"/>
          <w:sz w:val="28"/>
          <w:szCs w:val="28"/>
          <w:rtl/>
        </w:rPr>
        <w:t xml:space="preserve">۱۷. یزد؛ وزیری؛ شماره نسخه: ۲۸۱۰/۱۱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كا: حاج سید علی محمد علاقبند  یزدی، بی تا ؛اهدایی: وزیری موسس؛ کاغذ: فرنگی ،جلد: مقوایی با تیماج  قرمز، ۱۵گ، (108-122) ، ۱۶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۲۳سم [ف: ۴ - ۱۴۳۶]</w:t>
      </w:r>
    </w:p>
    <w:p>
      <w:pPr>
        <w:pStyle w:val="BookText"/>
      </w:pPr>
      <w:r>
        <w:rPr>
          <w:rFonts w:ascii="IRNazanin" w:hAnsi="IRNazanin" w:eastAsia="IRNazanin" w:cs="IRNazanin"/>
          <w:lang w:bidi="fa-IR"/>
          <w:color w:val="111111"/>
          <w:sz w:val="28"/>
          <w:szCs w:val="28"/>
          <w:rtl/>
        </w:rPr>
        <w:t xml:space="preserve">۱۸. تهران؛ مروی؛ شماره نسخه: ۷۱۹/۱۱</w:t>
      </w:r>
    </w:p>
    <w:p>
      <w:pPr>
        <w:pStyle w:val="BookText"/>
      </w:pPr>
      <w:r>
        <w:rPr>
          <w:rFonts w:ascii="IRNazanin" w:hAnsi="IRNazanin" w:eastAsia="IRNazanin" w:cs="IRNazanin"/>
          <w:lang w:bidi="fa-IR"/>
          <w:color w:val="111111"/>
          <w:sz w:val="28"/>
          <w:szCs w:val="28"/>
          <w:rtl/>
        </w:rPr>
        <w:t xml:space="preserve">بی کا، بی تا؛ ۹گ، قطع: خشتی [ف: ۳۰۱]</w:t>
      </w:r>
    </w:p>
    <w:p>
      <w:pPr>
        <w:pStyle w:val="BookText"/>
      </w:pPr>
      <w:r>
        <w:rPr>
          <w:rFonts w:ascii="IRNazanin" w:hAnsi="IRNazanin" w:eastAsia="IRNazanin" w:cs="IRNazanin"/>
          <w:lang w:bidi="fa-IR"/>
          <w:color w:val="111111"/>
          <w:sz w:val="28"/>
          <w:szCs w:val="28"/>
          <w:rtl/>
        </w:rPr>
        <w:t xml:space="preserve">۱۹ .همدان؛ مدرسه غرب؛ شماره نسخه: ۴۶۴۷/۱۱</w:t>
      </w:r>
    </w:p>
    <w:p>
      <w:pPr>
        <w:pStyle w:val="BookText"/>
      </w:pPr>
      <w:r>
        <w:rPr>
          <w:rFonts w:ascii="IRNazanin" w:hAnsi="IRNazanin" w:eastAsia="IRNazanin" w:cs="IRNazanin"/>
          <w:lang w:bidi="fa-IR"/>
          <w:color w:val="111111"/>
          <w:sz w:val="28"/>
          <w:szCs w:val="28"/>
          <w:rtl/>
        </w:rPr>
        <w:t xml:space="preserve">خط: شکسته نستعلیق، بی کا، بی تا؛ قطع: وزیری[ رشت و همدان- ف: ۱۵۱۵]</w:t>
      </w:r>
    </w:p>
    <w:p>
      <w:pPr>
        <w:pStyle w:val="Heading3"/>
      </w:pPr>
      <w:bookmarkStart w:id="1936" w:name="_Toc1458"/>
      <w:r>
        <w:t>اشراق هياكل النور لكشف ظلمات شواكل الغرور  / فلسفه / عربی</w:t>
      </w:r>
      <w:bookmarkEnd w:id="1936"/>
    </w:p>
    <w:p>
      <w:pPr>
        <w:pStyle w:val="BookText"/>
      </w:pPr>
      <w:r>
        <w:rPr>
          <w:rFonts w:ascii="Times New Roman" w:hAnsi="Times New Roman" w:eastAsia="Times New Roman" w:cs="Times New Roman"/>
          <w:lang w:val="en-US" w:bidi="en-US"/>
          <w:color w:val="111111"/>
          <w:sz w:val="28"/>
          <w:szCs w:val="28"/>
          <w:rtl/>
        </w:rPr>
        <w:t xml:space="preserve">išrāq-u hayākil-in-nūr li-kašf-i ẓulumāt-i šawākil-ilġurūr</w:t>
      </w:r>
    </w:p>
    <w:p>
      <w:pPr>
        <w:pStyle w:val="BookText"/>
      </w:pPr>
      <w:r>
        <w:rPr>
          <w:rFonts w:ascii="IRNazanin" w:hAnsi="IRNazanin" w:eastAsia="IRNazanin" w:cs="IRNazanin"/>
          <w:lang w:bidi="fa-IR"/>
          <w:color w:val="111111"/>
          <w:sz w:val="28"/>
          <w:szCs w:val="28"/>
          <w:rtl/>
        </w:rPr>
        <w:t xml:space="preserve">دشتکی  شیرازی، منصور بن صدر الدین محمد، - 948 قمری</w:t>
      </w:r>
    </w:p>
    <w:p>
      <w:pPr>
        <w:pStyle w:val="BookText"/>
      </w:pPr>
      <w:r>
        <w:rPr>
          <w:rFonts w:ascii="Times New Roman" w:hAnsi="Times New Roman" w:eastAsia="Times New Roman" w:cs="Times New Roman"/>
          <w:lang w:val="en-US" w:bidi="en-US"/>
          <w:color w:val="111111"/>
          <w:sz w:val="28"/>
          <w:szCs w:val="28"/>
          <w:rtl/>
        </w:rPr>
        <w:t xml:space="preserve">(daštakī šīrāzī, mansūr ebn-e sadr-od-dīn mohammad (-1542</w:t>
      </w:r>
    </w:p>
    <w:p>
      <w:pPr>
        <w:pStyle w:val="BookText"/>
      </w:pPr>
      <w:r>
        <w:rPr>
          <w:rFonts w:ascii="Amiri" w:hAnsi="Amiri" w:eastAsia="Amiri" w:cs="Amiri"/>
          <w:lang w:bidi="ar-SA"/>
          <w:color w:val="111111"/>
          <w:sz w:val="28"/>
          <w:szCs w:val="28"/>
          <w:rtl/>
        </w:rPr>
        <w:t xml:space="preserve">وابسته به: هياكل النور؛ سهروردى، يحيى بن حبش(549- ۵۸۷ق)</w:t>
      </w:r>
    </w:p>
    <w:p>
      <w:pPr>
        <w:pStyle w:val="BookText"/>
      </w:pPr>
      <w:r>
        <w:rPr>
          <w:rFonts w:ascii="Amiri" w:hAnsi="Amiri" w:eastAsia="Amiri" w:cs="Amiri"/>
          <w:lang w:bidi="ar-SA"/>
          <w:color w:val="111111"/>
          <w:sz w:val="28"/>
          <w:szCs w:val="28"/>
          <w:rtl/>
        </w:rPr>
        <w:t xml:space="preserve">شواكل الحور في شرح هياكل النور؛ دواني، محمد بن اسعد(830- 908)</w:t>
      </w:r>
    </w:p>
    <w:p>
      <w:pPr>
        <w:pStyle w:val="BookText"/>
      </w:pPr>
      <w:r>
        <w:rPr>
          <w:rFonts w:ascii="IRNazanin" w:hAnsi="IRNazanin" w:eastAsia="IRNazanin" w:cs="IRNazanin"/>
          <w:lang w:bidi="fa-IR"/>
          <w:color w:val="111111"/>
          <w:sz w:val="28"/>
          <w:szCs w:val="28"/>
          <w:rtl/>
        </w:rPr>
        <w:t xml:space="preserve">تاریخ تألیف: ۱۰۵۰ق؛ محل تأليف: لاهور</w:t>
      </w:r>
    </w:p>
    <w:p>
      <w:pPr>
        <w:pStyle w:val="BookText"/>
      </w:pPr>
      <w:r>
        <w:rPr>
          <w:rFonts w:ascii="IRNazanin" w:hAnsi="IRNazanin" w:eastAsia="IRNazanin" w:cs="IRNazanin"/>
          <w:lang w:bidi="fa-IR"/>
          <w:color w:val="111111"/>
          <w:sz w:val="28"/>
          <w:szCs w:val="28"/>
          <w:rtl/>
        </w:rPr>
        <w:t xml:space="preserve">شيخ شهاب الدین سهروردی (۵۴۹-۵۸۷) نگارشی به نام «هیاکل النور» دارد. بر این کتاب نخست محمد بن اسعد دوانی شرحی مزجی به نام «شواكل الحور في شرح هياكل النور» در سال 872 نگاشته است، سپس غیاث الدین منصور دشتکی این شرح آمیخته را نوشته و در آن به شرح دوانی نگریسته و از آن خرده هاگرفته است. وی در دیباچه آن آشکارا می گوید که در  این شرح می خواهم لغزش های دوانی را نشان دهم و به آنچه خرده گرفت پاسخ گویم. وی در بیشتر جاها سخنان دوانی را می آورد و لغزش های آنها را روشن می سازد.</w:t>
      </w:r>
    </w:p>
    <w:p>
      <w:pPr>
        <w:pStyle w:val="BookText"/>
      </w:pPr>
      <w:r>
        <w:rPr>
          <w:rFonts w:ascii="IRNazanin" w:hAnsi="IRNazanin" w:eastAsia="IRNazanin" w:cs="IRNazanin"/>
          <w:lang w:bidi="fa-IR"/>
          <w:color w:val="111111"/>
          <w:sz w:val="28"/>
          <w:szCs w:val="28"/>
          <w:rtl/>
        </w:rPr>
        <w:t xml:space="preserve">آغاز: یا غیاث المستغيثين نجنا باشراق هياكل النور عن ظلمات شواكل الغرور ... و بعد فيقول احوج  الخلايق الى رحمة الله الغنى منصور بن محمد الحسينى ... ان اوشح صحائف الاعلاق ... مشيرا الى نبذ مما فى هياكل النور من اللطائف ... قال الشيخ يا قيوم اى المدبر ... ايدنا بالنور اى الحجه</w:t>
      </w:r>
    </w:p>
    <w:p>
      <w:pPr>
        <w:pStyle w:val="BookText"/>
      </w:pPr>
      <w:r>
        <w:rPr>
          <w:rFonts w:ascii="IRNazanin" w:hAnsi="IRNazanin" w:eastAsia="IRNazanin" w:cs="IRNazanin"/>
          <w:lang w:bidi="fa-IR"/>
          <w:color w:val="111111"/>
          <w:sz w:val="28"/>
          <w:szCs w:val="28"/>
          <w:rtl/>
        </w:rPr>
        <w:t xml:space="preserve">انجام: و الاشراق سبيلنا ... اقول اعلموا ايها الاخوان اوصلكم الله الى معارج العرفان انه قد وقع التاخير في تحرير شرح هياكل النور و جرح شواكل الغرور فامتد زمان التحرير و التوصيف الى سبعه من ايام الخريف و ذلك لتزاحم موانع شتى ... هذا و لنختم الكلام بذكر المفضل المنعام ... اللهم يا متمم الانوار ... سيما نبينا الذي نجانا بانوار الهدايه عن ظلمات الضلالة و الغوايه وآله الكرام الابرار و صحبه العظام الاخيار ما تعاقب الليل والنهار و تناثر الاوراق من الاشجار چاپک با تصحیح علی اوجبی، تهران، نشر میراث مکتوب، ۱۳۸۲</w:t>
      </w:r>
    </w:p>
    <w:p>
      <w:pPr>
        <w:pStyle w:val="BookText"/>
      </w:pPr>
      <w:r>
        <w:rPr>
          <w:rFonts w:ascii="IRNazanin" w:hAnsi="IRNazanin" w:eastAsia="IRNazanin" w:cs="IRNazanin"/>
          <w:lang w:bidi="fa-IR"/>
          <w:color w:val="111111"/>
          <w:sz w:val="28"/>
          <w:szCs w:val="28"/>
          <w:rtl/>
        </w:rPr>
        <w:t xml:space="preserve">[ دنا 1/ 852(22 نسخه)؛ الذريعة ۱۰۳/۲ - ۱۰۴ و ۱۷۷/۱۴-۱۷۸؛ کشف الظنون : هياكل النور ۲۰۴۷/۲]</w:t>
      </w:r>
    </w:p>
    <w:p>
      <w:pPr>
        <w:pStyle w:val="BookText"/>
      </w:pPr>
      <w:r>
        <w:rPr>
          <w:rFonts w:ascii="IRNazanin" w:hAnsi="IRNazanin" w:eastAsia="IRNazanin" w:cs="IRNazanin"/>
          <w:lang w:bidi="fa-IR"/>
          <w:color w:val="111111"/>
          <w:sz w:val="28"/>
          <w:szCs w:val="28"/>
          <w:rtl/>
        </w:rPr>
        <w:t xml:space="preserve">١. شیراز؛ علامه طباطبائی؛ شماره نسخه: ۱۴۹۹</w:t>
      </w:r>
    </w:p>
    <w:p>
      <w:pPr>
        <w:pStyle w:val="BookText"/>
      </w:pPr>
      <w:r>
        <w:rPr>
          <w:rFonts w:ascii="IRNazanin" w:hAnsi="IRNazanin" w:eastAsia="IRNazanin" w:cs="IRNazanin"/>
          <w:lang w:bidi="fa-IR"/>
          <w:color w:val="111111"/>
          <w:sz w:val="28"/>
          <w:szCs w:val="28"/>
          <w:rtl/>
        </w:rPr>
        <w:t xml:space="preserve">خط: نستعلیق، بی کا، تا: قرن ۱۰؛ افتادگی: آنجام؛ محشی با نشان «منه مدظله، مصحح ؛ اندازه: ۱۰ ۱۷سم [نسخه پژوهی: ۲ - ۱۱۳]</w:t>
      </w:r>
    </w:p>
    <w:p>
      <w:pPr>
        <w:pStyle w:val="BookText"/>
      </w:pPr>
      <w:r>
        <w:rPr>
          <w:rFonts w:ascii="IRNazanin" w:hAnsi="IRNazanin" w:eastAsia="IRNazanin" w:cs="IRNazanin"/>
          <w:lang w:bidi="fa-IR"/>
          <w:color w:val="111111"/>
          <w:sz w:val="28"/>
          <w:szCs w:val="28"/>
          <w:rtl/>
        </w:rPr>
        <w:t xml:space="preserve">۲. خوی؛ نمازی؛ شماره نسخه: ۶۱۴/۱</w:t>
      </w:r>
    </w:p>
    <w:p>
      <w:pPr>
        <w:pStyle w:val="BookText"/>
      </w:pPr>
      <w:r>
        <w:rPr>
          <w:rFonts w:ascii="Amiri" w:hAnsi="Amiri" w:eastAsia="Amiri" w:cs="Amiri"/>
          <w:lang w:bidi="ar-SA"/>
          <w:color w:val="111111"/>
          <w:sz w:val="28"/>
          <w:szCs w:val="28"/>
          <w:rtl/>
        </w:rPr>
        <w:t xml:space="preserve">آغاز: لباس الانوار لكان بدراً منيراً نبيك الذي شك شواكل الشك باليقين و شيد</w:t>
      </w:r>
    </w:p>
    <w:p>
      <w:pPr>
        <w:pStyle w:val="BookText"/>
      </w:pPr>
      <w:r>
        <w:rPr>
          <w:rFonts w:ascii="IRNazanin" w:hAnsi="IRNazanin" w:eastAsia="IRNazanin" w:cs="IRNazanin"/>
          <w:lang w:bidi="fa-IR"/>
          <w:color w:val="111111"/>
          <w:sz w:val="28"/>
          <w:szCs w:val="28"/>
          <w:rtl/>
        </w:rPr>
        <w:t xml:space="preserve">خط: نسخ، بی کا، (به خط مؤلف یا قریب عصر مؤلف)، تا: قرن ۱۰؛ افتادگی: آغاز و انجام؛ جلد: تیماج قهوه ای، ۱۰ص (۲-۱۱)،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۳۲۵]</w:t>
      </w:r>
    </w:p>
    <w:p>
      <w:pPr>
        <w:pStyle w:val="BookText"/>
      </w:pPr>
      <w:r>
        <w:rPr>
          <w:rFonts w:ascii="IRNazanin" w:hAnsi="IRNazanin" w:eastAsia="IRNazanin" w:cs="IRNazanin"/>
          <w:lang w:bidi="fa-IR"/>
          <w:color w:val="111111"/>
          <w:sz w:val="28"/>
          <w:szCs w:val="28"/>
          <w:rtl/>
        </w:rPr>
        <w:t xml:space="preserve">قم؛ مرکز احیاء؛ شماره نسخه: ۹۴۴/۱</w:t>
      </w:r>
    </w:p>
    <w:p>
      <w:pPr>
        <w:pStyle w:val="BookText"/>
      </w:pPr>
      <w:r>
        <w:rPr>
          <w:rFonts w:ascii="IRNazanin" w:hAnsi="IRNazanin" w:eastAsia="IRNazanin" w:cs="IRNazanin"/>
          <w:lang w:bidi="fa-IR"/>
          <w:color w:val="111111"/>
          <w:sz w:val="28"/>
          <w:szCs w:val="28"/>
          <w:rtl/>
        </w:rPr>
        <w:t xml:space="preserve">نسخه اصل: همان نسخه بالا [ عکسی ف: ۳ - ۱۶۱]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سپهسالار؛ شماره نسخه: ۱۲۹۵/۳</w:t>
      </w:r>
    </w:p>
    <w:p>
      <w:pPr>
        <w:pStyle w:val="BookText"/>
      </w:pPr>
      <w:r>
        <w:rPr>
          <w:rFonts w:ascii="IRNazanin" w:hAnsi="IRNazanin" w:eastAsia="IRNazanin" w:cs="IRNazanin"/>
          <w:lang w:bidi="fa-IR"/>
          <w:color w:val="111111"/>
          <w:sz w:val="28"/>
          <w:szCs w:val="28"/>
          <w:rtl/>
        </w:rPr>
        <w:t xml:space="preserve">خط: نستعلیق، بی کا، تا :۹۹۲ق؛ کاغذ: سپاهانی حنایی، جلد: تیماج سرخ یک لا، ۱۲۷گ( ۲۴پ - ۱۵۰ر)، ۱۹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۳ - ۱۳۸]</w:t>
      </w:r>
    </w:p>
    <w:p>
      <w:pPr>
        <w:pStyle w:val="BookText"/>
      </w:pPr>
      <w:r>
        <w:rPr>
          <w:rFonts w:ascii="IRNazanin" w:hAnsi="IRNazanin" w:eastAsia="IRNazanin" w:cs="IRNazanin"/>
          <w:lang w:bidi="fa-IR"/>
          <w:color w:val="111111"/>
          <w:sz w:val="28"/>
          <w:szCs w:val="28"/>
          <w:rtl/>
        </w:rPr>
        <w:t xml:space="preserve">۴. تهران؛ دانشگاه؛ شماره نسخه: ۸۵۲/۳</w:t>
      </w:r>
    </w:p>
    <w:p>
      <w:pPr>
        <w:pStyle w:val="BookText"/>
      </w:pPr>
      <w:r>
        <w:rPr>
          <w:rFonts w:ascii="IRNazanin" w:hAnsi="IRNazanin" w:eastAsia="IRNazanin" w:cs="IRNazanin"/>
          <w:lang w:bidi="fa-IR"/>
          <w:color w:val="111111"/>
          <w:sz w:val="28"/>
          <w:szCs w:val="28"/>
          <w:rtl/>
        </w:rPr>
        <w:t xml:space="preserve">بی کا، تا: چهارشنبه رمضان ۹۹۹ق، جا: قزوین؛ کاغذ: ترمه سمرقندی ،جلد: مقوا، ۱۲۷گ،( ۳۵پ- ۱۶۱پ)، ۱۶ سطر (7</w:t>
      </w:r>
      <w:r>
        <w:rPr>
          <w:rFonts w:ascii="Times New Roman" w:hAnsi="Times New Roman" w:eastAsia="Times New Roman" w:cs="Times New Roman"/>
          <w:lang w:val="en-US" w:bidi="en-US"/>
          <w:color w:val="111111"/>
          <w:sz w:val="28"/>
          <w:szCs w:val="28"/>
          <w:rtl/>
        </w:rPr>
        <w:t xml:space="preserve">×12/5)</w:t>
      </w:r>
      <w:r>
        <w:rPr>
          <w:rFonts w:ascii="IRNazanin" w:hAnsi="IRNazanin" w:eastAsia="IRNazanin" w:cs="IRNazanin"/>
          <w:lang w:bidi="fa-IR"/>
          <w:color w:val="111111"/>
          <w:sz w:val="28"/>
          <w:szCs w:val="28"/>
          <w:rtl/>
        </w:rPr>
        <w:t xml:space="preserve">،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۳ - ۱۴۵]</w:t>
      </w:r>
    </w:p>
    <w:p>
      <w:pPr>
        <w:pStyle w:val="BookText"/>
      </w:pPr>
      <w:r>
        <w:rPr>
          <w:rFonts w:ascii="IRNazanin" w:hAnsi="IRNazanin" w:eastAsia="IRNazanin" w:cs="IRNazanin"/>
          <w:lang w:bidi="fa-IR"/>
          <w:color w:val="111111"/>
          <w:sz w:val="28"/>
          <w:szCs w:val="28"/>
          <w:rtl/>
        </w:rPr>
        <w:t xml:space="preserve">۵. تهران؛ مجلس؛ شماره نسخه ۱۸۹۰</w:t>
      </w:r>
    </w:p>
    <w:p>
      <w:pPr>
        <w:pStyle w:val="BookText"/>
      </w:pPr>
      <w:r>
        <w:rPr>
          <w:rFonts w:ascii="IRNazanin" w:hAnsi="IRNazanin" w:eastAsia="IRNazanin" w:cs="IRNazanin"/>
          <w:lang w:bidi="fa-IR"/>
          <w:color w:val="111111"/>
          <w:sz w:val="28"/>
          <w:szCs w:val="28"/>
          <w:rtl/>
        </w:rPr>
        <w:t xml:space="preserve">انجام: و ما ادراک ماهیه نار حاميه اما الاول فلان النفس اذا تحلت بالاطلاع على حقائق الموجودات للحكة النظريه وتخلت عن رذائل الملكات بالحكمة العمليه عشقت ينبوع النور و كان شوقها الى العالم النورانى اكثر من العالم الظلمانى</w:t>
      </w:r>
    </w:p>
    <w:p>
      <w:pPr>
        <w:pStyle w:val="BookText"/>
      </w:pPr>
      <w:r>
        <w:rPr>
          <w:rFonts w:ascii="IRNazanin" w:hAnsi="IRNazanin" w:eastAsia="IRNazanin" w:cs="IRNazanin"/>
          <w:lang w:bidi="fa-IR"/>
          <w:color w:val="111111"/>
          <w:sz w:val="28"/>
          <w:szCs w:val="28"/>
          <w:rtl/>
        </w:rPr>
        <w:t xml:space="preserve">این نسخه ناقص و تا اواخر شرح هیکل رابع است؛ خط: نسخ تحریری، بی کا، تا: قرن ۱۱؛ افتادگی: انجام؛ محشی با نشان «منه» «س سره» و نیز با نشان «ش ح د» و بیشتر حاشیه های شارح مبسوط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مهر: «محمد رضا بن محمد صفى الحسینی»(چهارگوش)، «عبده مرتضى الحسینی»؛ کاغذ: شکری  رنگ ،جلد: گالینگور مشکی با عطف از تیماج قهوه ای، ۱۳۳ ص ۲۳ سطر، قطع : خشتی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۱۹/۵سم [ف: ۵ - ۳۸۴]</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اصفهان؛ دانشگاه اصفهان؛ شماره نسخه: ۱۲۵/۵</w:t>
      </w:r>
    </w:p>
    <w:p>
      <w:pPr>
        <w:pStyle w:val="BookText"/>
      </w:pPr>
      <w:r>
        <w:rPr>
          <w:rFonts w:ascii="IRNazanin" w:hAnsi="IRNazanin" w:eastAsia="IRNazanin" w:cs="IRNazanin"/>
          <w:lang w:bidi="fa-IR"/>
          <w:color w:val="111111"/>
          <w:sz w:val="28"/>
          <w:szCs w:val="28"/>
          <w:rtl/>
        </w:rPr>
        <w:t xml:space="preserve">خط: نستعلیق ریز، بی کا، تا: قرن ۱۱؛ افتادگی: انجام؛ کاغذ: سپاهانی[ نشریه: ۱۱ - ۹۲۸]</w:t>
      </w:r>
    </w:p>
    <w:p>
      <w:pPr>
        <w:pStyle w:val="BookText"/>
      </w:pPr>
      <w:r>
        <w:rPr>
          <w:rFonts w:ascii="IRNazanin" w:hAnsi="IRNazanin" w:eastAsia="IRNazanin" w:cs="IRNazanin"/>
          <w:lang w:bidi="fa-IR"/>
          <w:color w:val="111111"/>
          <w:sz w:val="28"/>
          <w:szCs w:val="28"/>
          <w:rtl/>
        </w:rPr>
        <w:t xml:space="preserve">۷. تهران؛ مجلس؛ شماره نسخه: ۱۵۸۸۶</w:t>
      </w:r>
    </w:p>
    <w:p>
      <w:pPr>
        <w:pStyle w:val="BookText"/>
      </w:pPr>
      <w:r>
        <w:rPr>
          <w:rFonts w:ascii="Amiri" w:hAnsi="Amiri" w:eastAsia="Amiri" w:cs="Amiri"/>
          <w:lang w:bidi="ar-SA"/>
          <w:color w:val="111111"/>
          <w:sz w:val="28"/>
          <w:szCs w:val="28"/>
          <w:rtl/>
        </w:rPr>
        <w:t xml:space="preserve">آغاز: ارد الاشتهار بالتاله و كان مشهورا بما ينافيه... و رسمت رسالتي هذه باشراق هياكل النور لكشف ظلمات شواكل الغرور؛</w:t>
      </w:r>
    </w:p>
    <w:p>
      <w:pPr>
        <w:pStyle w:val="BookText"/>
      </w:pPr>
      <w:r>
        <w:rPr>
          <w:rFonts w:ascii="IRNazanin" w:hAnsi="IRNazanin" w:eastAsia="IRNazanin" w:cs="IRNazanin"/>
          <w:lang w:bidi="fa-IR"/>
          <w:color w:val="111111"/>
          <w:sz w:val="28"/>
          <w:szCs w:val="28"/>
          <w:rtl/>
        </w:rPr>
        <w:t xml:space="preserve">انجام: او بالفضائل الروحانية وضعف فى شيطان القوى البدنیة بتقليل الطعام والشراب.</w:t>
      </w:r>
    </w:p>
    <w:p>
      <w:pPr>
        <w:pStyle w:val="BookText"/>
      </w:pPr>
      <w:r>
        <w:rPr>
          <w:rFonts w:ascii="IRNazanin" w:hAnsi="IRNazanin" w:eastAsia="IRNazanin" w:cs="IRNazanin"/>
          <w:lang w:bidi="fa-IR"/>
          <w:color w:val="111111"/>
          <w:sz w:val="28"/>
          <w:szCs w:val="28"/>
          <w:rtl/>
        </w:rPr>
        <w:t xml:space="preserve">خط: نسخ، بی کا، تا: قرن ۱۱؛ افتادگی: آغاز و انجام؛ مصحح، محشی با نشان «منه» رکابه دار؛ جلد: تیماج فرنگی قهوه ای ترنج دار ،۸۹گ، ۲۱  سطر،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۱۷/۵سم [ف: ۴۴ - ۱۱۶]</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تهران؛ مجلس؛ شماره نسخه ۱۸۸۹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شکسته نستعلیق، بی کا، تا: ۱۰۱۵ق؛ پس از پایان کتاب یک فقره تعليقه متعلق به این گفته شارح در پایان شرح «فلنختم...» روی ص ۲۱۶-۲۱۴ نوشته شده؛ مهر: «لا اله الا الله الملك الحق المبين ابوالقاسم بن محمد حسین» (چهارگوش)، «البهاء كله لک» (بیضی) با تاریخ ۱۰۸۸؛ این نسخه در ملک میرزا سید احمد مهذب الدوله از احفاد دشتکی بوده و این یادداشت از اوست: «انتقل الى بعد ما كان لغيرى و سينتقل الى غيرى و لله ملـک السماوات والارض و هو من مؤلفات جدى المبرور الامير غيـاث الدين منصور طبيب الله رمسه الشريف و انا الاحقر ميرزا سيد احـمد مهذب الدوله ابن المرحوم الحاج ميرزا حسن بن المرحوم ميرزا حسن بن المرحوم الميرزا محمد مجدالدين ابن المرحوم علی صدرالدین سید علیخان المدنى صاحب شرح الصحيفه السجادیه ابن المرحوم احمد نظام الدين بن المرحوم محمد معصوم المرحوم احمد نظام الدین بن ابراهيم بن سلام الله بن مسعـود عمادالدین بن محمد صدر الدين بن منصور غياث الدين مؤلف هذا الكتاب الشريف ... و كان التحرير في السادس و العشرين من شهر جمادى الثانيه ۱۳۴۰» کاغذ: شکری و برخی سفید آهار مهره، جلد: تیماج قرمز رنگ دارای برگردان، ۲۱۶ ص، ۱۷ سطر، قطع: نیم  خشتی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۵ - ۳۸۲]</w:t>
      </w:r>
    </w:p>
    <w:p>
      <w:pPr>
        <w:pStyle w:val="BookText"/>
      </w:pPr>
      <w:r>
        <w:rPr>
          <w:rFonts w:ascii="IRNazanin" w:hAnsi="IRNazanin" w:eastAsia="IRNazanin" w:cs="IRNazanin"/>
          <w:lang w:bidi="fa-IR"/>
          <w:color w:val="111111"/>
          <w:sz w:val="28"/>
          <w:szCs w:val="28"/>
          <w:rtl/>
        </w:rPr>
        <w:t xml:space="preserve">۹. تهران؛ دانشگاه؛ شماره نسخه: ۳۰۷۶</w:t>
      </w:r>
    </w:p>
    <w:p>
      <w:pPr>
        <w:pStyle w:val="BookText"/>
      </w:pPr>
      <w:r>
        <w:rPr>
          <w:rFonts w:ascii="IRNazanin" w:hAnsi="IRNazanin" w:eastAsia="IRNazanin" w:cs="IRNazanin"/>
          <w:lang w:bidi="fa-IR"/>
          <w:color w:val="111111"/>
          <w:sz w:val="28"/>
          <w:szCs w:val="28"/>
          <w:rtl/>
        </w:rPr>
        <w:t xml:space="preserve">خط: نستعليق ،كا: على بن ملک قمی، تا: ۱ ربیع الثانی ۱۰۲۶ق؛ محشی با نشان «منه رحمه الله، منه قدس سره» ؛کاغذ: سپاهانی، جلد: تیماج زرد ضربی مقوایی، ۱۶۷گ، ۱۴ سطر (7/5</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۱۹/۵سم [ف : ۱۱ - ۲۰۲۳]</w:t>
      </w:r>
    </w:p>
    <w:p>
      <w:pPr>
        <w:pStyle w:val="BookText"/>
      </w:pPr>
      <w:r>
        <w:rPr>
          <w:rFonts w:ascii="IRNazanin" w:hAnsi="IRNazanin" w:eastAsia="IRNazanin" w:cs="IRNazanin"/>
          <w:lang w:bidi="fa-IR"/>
          <w:color w:val="111111"/>
          <w:sz w:val="28"/>
          <w:szCs w:val="28"/>
          <w:rtl/>
        </w:rPr>
        <w:t xml:space="preserve">۱۰ . مشهد؛ رضوی؛ شماره نسخه: ۸۹۵۶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عبدالسلام بن محمود، تا: ۱۵ محرم ۱۰۴۰ق، جا: مدرسه صالحیه؛ تملک: سید محمد حسین امام جمعه اصفهان در ۱۱۳۳ق؛ واقف: علی اصغر حکمت؛ کاغذ: حنایی، جلد: تیماج عنابی ضربی لایی زرین، ۲۲۹گ، ۱۵ سطر،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 ف: ۱۱ - ۲۲۰]</w:t>
      </w:r>
    </w:p>
    <w:p>
      <w:pPr>
        <w:pStyle w:val="BookText"/>
      </w:pPr>
      <w:r>
        <w:rPr>
          <w:rFonts w:ascii="IRNazanin" w:hAnsi="IRNazanin" w:eastAsia="IRNazanin" w:cs="IRNazanin"/>
          <w:lang w:bidi="fa-IR"/>
          <w:color w:val="111111"/>
          <w:sz w:val="28"/>
          <w:szCs w:val="28"/>
          <w:rtl/>
        </w:rPr>
        <w:t xml:space="preserve">۱۱. تهران؛ ملی؛ شماره نسخه: ۲۱۹۹/۱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مایل به نستعلیق، کا: درویش نصر الفروسي، تا: ۲۰ رمضان ۱۰۶۱ق؛ دارای حواشی با نشان «منه خلد الله ظله العالی» و چنین می نماید که در زندگی مؤلف یعنی پیش از مرگ او در ۹۴۸ نوشته شده باشد، لیکن در پایان  نسخه، تاریخ کتابت رمضان ۱۰۶۱ آمده، مگر تصور کنیم این عبارت بعداً افزوده شده باشد؛ کاغذ: نخودی، اصفهانی ،جلد: تیماج یک لا، سرخ  ۱۱۹ ص( ۱ -۱۱۹) [ف: ۱۱- ۴۹۴]</w:t>
      </w:r>
    </w:p>
    <w:p>
      <w:pPr>
        <w:pStyle w:val="BookText"/>
      </w:pPr>
      <w:r>
        <w:rPr>
          <w:rFonts w:ascii="IRNazanin" w:hAnsi="IRNazanin" w:eastAsia="IRNazanin" w:cs="IRNazanin"/>
          <w:lang w:bidi="fa-IR"/>
          <w:color w:val="111111"/>
          <w:sz w:val="28"/>
          <w:szCs w:val="28"/>
          <w:rtl/>
        </w:rPr>
        <w:t xml:space="preserve">۱۲. تهران؛ مجلس؛ شماره نسخه: ۱۸۹۲/۱</w:t>
      </w:r>
    </w:p>
    <w:p>
      <w:pPr>
        <w:pStyle w:val="BookText"/>
      </w:pPr>
      <w:r>
        <w:rPr>
          <w:rFonts w:ascii="IRNazanin" w:hAnsi="IRNazanin" w:eastAsia="IRNazanin" w:cs="IRNazanin"/>
          <w:lang w:bidi="fa-IR"/>
          <w:color w:val="111111"/>
          <w:sz w:val="28"/>
          <w:szCs w:val="28"/>
          <w:rtl/>
        </w:rPr>
        <w:t xml:space="preserve">خط: نستعلیق، كا: شیخعلی پسر عبدالرحمان شولستی رانکوهی لاهیجانی، تا: ۱۰۷۱ق؛ محشی با نشان «منه» و یا بی نشان ؛تملک: علی نقی پسر ملا شیخ محمد؛ جلد: تیماج قرمز بدون مقوا، ۱۵۲ص (۲-۱۵۳)، ۲۷ سطر، قطع: رقعی،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۱۸/۵سم [ف: 5- 385]</w:t>
      </w:r>
    </w:p>
    <w:p>
      <w:pPr>
        <w:pStyle w:val="BookText"/>
      </w:pPr>
      <w:r>
        <w:rPr>
          <w:rFonts w:ascii="IRNazanin" w:hAnsi="IRNazanin" w:eastAsia="IRNazanin" w:cs="IRNazanin"/>
          <w:lang w:bidi="fa-IR"/>
          <w:color w:val="111111"/>
          <w:sz w:val="28"/>
          <w:szCs w:val="28"/>
          <w:rtl/>
        </w:rPr>
        <w:t xml:space="preserve">۱۳. قم؛ مرکز احیاء؛ شماره نسخه: ۲۳۳۷/۶۲</w:t>
      </w:r>
    </w:p>
    <w:p>
      <w:pPr>
        <w:pStyle w:val="BookText"/>
      </w:pPr>
      <w:r>
        <w:rPr>
          <w:rFonts w:ascii="Amiri" w:hAnsi="Amiri" w:eastAsia="Amiri" w:cs="Amiri"/>
          <w:lang w:bidi="ar-SA"/>
          <w:color w:val="111111"/>
          <w:sz w:val="28"/>
          <w:szCs w:val="28"/>
          <w:rtl/>
        </w:rPr>
        <w:t xml:space="preserve">آغاز: واعترض على مذهب الحكماء بانه لو جاز خروج جميع الانقسامات يجوز خروجها الى الفعل</w:t>
      </w:r>
    </w:p>
    <w:p>
      <w:pPr>
        <w:pStyle w:val="BookText"/>
      </w:pPr>
      <w:r>
        <w:rPr>
          <w:rFonts w:ascii="IRNazanin" w:hAnsi="IRNazanin" w:eastAsia="IRNazanin" w:cs="IRNazanin"/>
          <w:lang w:bidi="fa-IR"/>
          <w:color w:val="111111"/>
          <w:sz w:val="28"/>
          <w:szCs w:val="28"/>
          <w:rtl/>
        </w:rPr>
        <w:t xml:space="preserve">نسخه اصل: کتابخانه مجلس شورای اسلامی - تهران ۱۸۰۵ [در فهرست مجلس این رساله معرفی نشده]، بخشی از کتاب است؛ خط: نسخ، بی کا، تا: با تاریخ ۱۰۸۱ق؛ ۴ ص (۴۶۲-۴۶۵) [ عکسی ف: ۶ - ۴۲۰]</w:t>
      </w:r>
    </w:p>
    <w:p>
      <w:pPr>
        <w:pStyle w:val="BookText"/>
      </w:pPr>
      <w:r>
        <w:rPr>
          <w:rFonts w:ascii="IRNazanin" w:hAnsi="IRNazanin" w:eastAsia="IRNazanin" w:cs="IRNazanin"/>
          <w:lang w:bidi="fa-IR"/>
          <w:color w:val="111111"/>
          <w:sz w:val="28"/>
          <w:szCs w:val="28"/>
          <w:rtl/>
        </w:rPr>
        <w:t xml:space="preserve">۱۴. تهران؛ مجلس؛ شماره نسخه: ۱۸۹۱/۱</w:t>
      </w:r>
    </w:p>
    <w:p>
      <w:pPr>
        <w:pStyle w:val="BookText"/>
      </w:pPr>
      <w:r>
        <w:rPr>
          <w:rFonts w:ascii="IRNazanin" w:hAnsi="IRNazanin" w:eastAsia="IRNazanin" w:cs="IRNazanin"/>
          <w:lang w:bidi="fa-IR"/>
          <w:color w:val="111111"/>
          <w:sz w:val="28"/>
          <w:szCs w:val="28"/>
          <w:rtl/>
        </w:rPr>
        <w:t xml:space="preserve">خط: نسخ  تحریری، بی کا، تا: سه شنبه جمادی الثانی ۱۰۸۲ق؛ تملک: آقا علی مدرس با مهر وی و فرزندش آقا حسن؛ جلد: تیماج قرمز  روشن، ۲۸۶ ص (۱-۲۸۶)، ۱۷ و ۱۹ سطر، قطع : خشتی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۵ - ۳۸۴]</w:t>
      </w:r>
    </w:p>
    <w:p>
      <w:pPr>
        <w:pStyle w:val="BookText"/>
      </w:pPr>
      <w:r>
        <w:rPr>
          <w:rFonts w:ascii="Amiri" w:hAnsi="Amiri" w:eastAsia="Amiri" w:cs="Amiri"/>
          <w:lang w:bidi="ar-SA"/>
          <w:color w:val="111111"/>
          <w:sz w:val="28"/>
          <w:szCs w:val="28"/>
          <w:rtl/>
        </w:rPr>
        <w:t xml:space="preserve">۱۵. تهران؛ دائرة المعارف؛ شماره نسخه: ۵۶۲</w:t>
      </w:r>
    </w:p>
    <w:p>
      <w:pPr>
        <w:pStyle w:val="BookText"/>
      </w:pPr>
      <w:r>
        <w:rPr>
          <w:rFonts w:ascii="IRNazanin" w:hAnsi="IRNazanin" w:eastAsia="IRNazanin" w:cs="IRNazanin"/>
          <w:lang w:bidi="fa-IR"/>
          <w:color w:val="111111"/>
          <w:sz w:val="28"/>
          <w:szCs w:val="28"/>
          <w:rtl/>
        </w:rPr>
        <w:t xml:space="preserve">آغاز: و کلمات الاولین مرموزة» فان هرمس و انباد فلس ..؛ انجام: وصلى الله على سيدنا محمدوآله وصحبه و سلم. ق تم کتاب الاشراقات</w:t>
      </w:r>
    </w:p>
    <w:p>
      <w:pPr>
        <w:pStyle w:val="BookText"/>
      </w:pPr>
      <w:r>
        <w:rPr>
          <w:rFonts w:ascii="IRNazanin" w:hAnsi="IRNazanin" w:eastAsia="IRNazanin" w:cs="IRNazanin"/>
          <w:lang w:bidi="fa-IR"/>
          <w:color w:val="111111"/>
          <w:sz w:val="28"/>
          <w:szCs w:val="28"/>
          <w:rtl/>
        </w:rPr>
        <w:t xml:space="preserve">خط: تحریری، بی کا، تا: ۲۶ رمضان قرن ۱۳؛ افتادگی: آغاز (آغاز در شرح دیباچه افتاده) برای نشان از نسخه: «المقالة الاولى فى المعارف. اى معلومات الانسان. التعريف. اى تعريف الاشياء بالحد و الرسم و نحو هما. و فيه ضوابط سبعة. و لأن المنطقى لابد له من النظر فى الالفاظ غير مختص ... الضابطة الاول و هو في دلالة اللفظ على المعنى و هى كونه يحيث ...»؛ جلد: مقوایی تیماج پرتقالی پوشانیده ضربی  مطلا، ۱۶۱گ، ۲۱ سطر (۹/۵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bookmarkStart w:id="416" w:name="pg20365_260581"/>
    <w:bookmarkEnd w:id="416"/>
    <w:p>
      <w:pPr>
        <w:pStyle w:val="BookText"/>
      </w:pPr>
      <w:r>
        <w:rPr>
          <w:rFonts w:ascii="IRNazanin" w:hAnsi="IRNazanin" w:eastAsia="IRNazanin" w:cs="IRNazanin"/>
          <w:lang w:bidi="fa-IR"/>
          <w:color w:val="111111"/>
          <w:sz w:val="28"/>
          <w:szCs w:val="28"/>
          <w:rtl/>
        </w:rPr>
        <w:t xml:space="preserve">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۲ - ۱۶]</w:t>
      </w:r>
    </w:p>
    <w:p>
      <w:pPr>
        <w:pStyle w:val="BookText"/>
      </w:pPr>
      <w:r>
        <w:rPr>
          <w:rFonts w:ascii="IRNazanin" w:hAnsi="IRNazanin" w:eastAsia="IRNazanin" w:cs="IRNazanin"/>
          <w:lang w:bidi="fa-IR"/>
          <w:color w:val="111111"/>
          <w:sz w:val="28"/>
          <w:szCs w:val="28"/>
          <w:rtl/>
        </w:rPr>
        <w:t xml:space="preserve">۱۶. تهران؛ دانشگاه؛ شماره نسخه: ۲۳۸۱/۲</w:t>
      </w:r>
    </w:p>
    <w:p>
      <w:pPr>
        <w:pStyle w:val="BookText"/>
      </w:pPr>
      <w:r>
        <w:rPr>
          <w:rFonts w:ascii="IRNazanin" w:hAnsi="IRNazanin" w:eastAsia="IRNazanin" w:cs="IRNazanin"/>
          <w:lang w:bidi="fa-IR"/>
          <w:color w:val="111111"/>
          <w:sz w:val="28"/>
          <w:szCs w:val="28"/>
          <w:rtl/>
        </w:rPr>
        <w:t xml:space="preserve">نیمه نخستین کتاب؛خط: نستعليق، كا: عبدالله خليفة بن نـجم الدین، تا: جمعه ۴ شوال ۱۲۴۱ق، جا: در اشرف البلاد احـمد شاهی؛ کاغذ: هندی ،جلد: تیماج سرخ ضربی ترنجی مقوایی، ۱۵ گ ( ۷۵پ - ۸۹پ)، ۱۴ سطر (۸/۵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 ف: 9- 972]</w:t>
      </w:r>
    </w:p>
    <w:p>
      <w:pPr>
        <w:pStyle w:val="BookText"/>
      </w:pPr>
      <w:r>
        <w:rPr>
          <w:rFonts w:ascii="IRNazanin" w:hAnsi="IRNazanin" w:eastAsia="IRNazanin" w:cs="IRNazanin"/>
          <w:lang w:bidi="fa-IR"/>
          <w:color w:val="111111"/>
          <w:sz w:val="28"/>
          <w:szCs w:val="28"/>
          <w:rtl/>
        </w:rPr>
        <w:t xml:space="preserve">۱۷. تهران؛ ملی؛ شماره نسخه: ۸۲۱۶</w:t>
      </w:r>
    </w:p>
    <w:p>
      <w:pPr>
        <w:pStyle w:val="BookText"/>
      </w:pPr>
      <w:r>
        <w:rPr>
          <w:rFonts w:ascii="IRNazanin" w:hAnsi="IRNazanin" w:eastAsia="IRNazanin" w:cs="IRNazanin"/>
          <w:lang w:bidi="fa-IR"/>
          <w:color w:val="111111"/>
          <w:sz w:val="28"/>
          <w:szCs w:val="28"/>
          <w:rtl/>
        </w:rPr>
        <w:t xml:space="preserve">آغاز: من و ذر و ودع علی رای عند قوم و اصلاهما مهجور و لما كان الكلام الراغب مسبوقا لبيان المعانى المعلومه المتعارفه؛</w:t>
      </w:r>
    </w:p>
    <w:p>
      <w:pPr>
        <w:pStyle w:val="BookText"/>
      </w:pPr>
      <w:r>
        <w:rPr>
          <w:rFonts w:ascii="IRNazanin" w:hAnsi="IRNazanin" w:eastAsia="IRNazanin" w:cs="IRNazanin"/>
          <w:lang w:bidi="fa-IR"/>
          <w:color w:val="111111"/>
          <w:sz w:val="28"/>
          <w:szCs w:val="28"/>
          <w:rtl/>
        </w:rPr>
        <w:t xml:space="preserve">انجام: برابر</w:t>
      </w:r>
    </w:p>
    <w:p>
      <w:pPr>
        <w:pStyle w:val="BookText"/>
      </w:pPr>
      <w:r>
        <w:rPr>
          <w:rFonts w:ascii="IRNazanin" w:hAnsi="IRNazanin" w:eastAsia="IRNazanin" w:cs="IRNazanin"/>
          <w:lang w:bidi="fa-IR"/>
          <w:color w:val="111111"/>
          <w:sz w:val="28"/>
          <w:szCs w:val="28"/>
          <w:rtl/>
        </w:rPr>
        <w:t xml:space="preserve">خط: نستعلیق متوسط، بی کا، بی تا؛ افتادگی: آغاز؛ مصحح؛ کاغذ: فرنگی نخودی، جلد: تیماج اناری مقوایی عطف تیماج قهوه ای، ۲۰۱گ، ۱۵ سطر(۵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۱۰/۵)، اندازه: ۱۰/۳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۱۷/۳سم [رایانه ]</w:t>
      </w:r>
    </w:p>
    <w:p>
      <w:pPr>
        <w:pStyle w:val="BookText"/>
      </w:pPr>
      <w:r>
        <w:rPr>
          <w:rFonts w:ascii="IRNazanin" w:hAnsi="IRNazanin" w:eastAsia="IRNazanin" w:cs="IRNazanin"/>
          <w:lang w:bidi="fa-IR"/>
          <w:color w:val="111111"/>
          <w:sz w:val="28"/>
          <w:szCs w:val="28"/>
          <w:rtl/>
        </w:rPr>
        <w:t xml:space="preserve">۱۸. تهران؛ مجلس؛ شماره نسخه: ۴۹۰۰/۹۰</w:t>
      </w:r>
    </w:p>
    <w:p>
      <w:pPr>
        <w:pStyle w:val="BookText"/>
      </w:pPr>
      <w:r>
        <w:rPr>
          <w:rFonts w:ascii="IRNazanin" w:hAnsi="IRNazanin" w:eastAsia="IRNazanin" w:cs="IRNazanin"/>
          <w:lang w:bidi="fa-IR"/>
          <w:color w:val="111111"/>
          <w:sz w:val="28"/>
          <w:szCs w:val="28"/>
          <w:rtl/>
        </w:rPr>
        <w:t xml:space="preserve">آغاز: و اعترض على مذهب الحكماء بانه لوجاز خروج جـمیع الانقسامات الممكنة الى الفعل لزم ان يكون مقدار الجسم غير مـتناه ضرورة. ان مجموع المقادير المتناهية غير متناهية؛ انجام: وهذ التحقيق من الأمور الذي تفرد به و ما مسه احد فانی اشهد انه  لم ينقله عن موضع كسائر افاداته اخذنا علامات و امارات برائته</w:t>
      </w:r>
    </w:p>
    <w:p>
      <w:pPr>
        <w:pStyle w:val="BookText"/>
      </w:pPr>
      <w:r>
        <w:rPr>
          <w:rFonts w:ascii="IRNazanin" w:hAnsi="IRNazanin" w:eastAsia="IRNazanin" w:cs="IRNazanin"/>
          <w:lang w:bidi="fa-IR"/>
          <w:color w:val="111111"/>
          <w:sz w:val="28"/>
          <w:szCs w:val="28"/>
          <w:rtl/>
        </w:rPr>
        <w:t xml:space="preserve">خط: نسخ، بی کا،  بی تا ،کاغذ: سپاهانی ،جلد: تیماج قهوه ای مغـزی دار، ۲گ( ۲۳۹ ر - ۲۴۰ ر)، ۲۵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  سم[ ف: ۱۴-۹۷]</w:t>
      </w:r>
    </w:p>
    <w:p>
      <w:pPr>
        <w:pStyle w:val="BookText"/>
      </w:pPr>
      <w:r>
        <w:rPr>
          <w:rFonts w:ascii="Amiri" w:hAnsi="Amiri" w:eastAsia="Amiri" w:cs="Amiri"/>
          <w:lang w:bidi="ar-SA"/>
          <w:color w:val="111111"/>
          <w:sz w:val="28"/>
          <w:szCs w:val="28"/>
          <w:rtl/>
        </w:rPr>
        <w:t xml:space="preserve">۱۹. مشهد؛ الهيات؛ شماره نسخه: ۵۴۶/۲</w:t>
      </w:r>
    </w:p>
    <w:p>
      <w:pPr>
        <w:pStyle w:val="BookText"/>
      </w:pPr>
      <w:r>
        <w:rPr>
          <w:rFonts w:ascii="IRNazanin" w:hAnsi="IRNazanin" w:eastAsia="IRNazanin" w:cs="IRNazanin"/>
          <w:lang w:bidi="fa-IR"/>
          <w:color w:val="111111"/>
          <w:sz w:val="28"/>
          <w:szCs w:val="28"/>
          <w:rtl/>
        </w:rPr>
        <w:t xml:space="preserve">آغاز: برابر؛ انجام: كان لازما فلا تصح بماذكره اصلا وان کان متعديا</w:t>
      </w:r>
    </w:p>
    <w:p>
      <w:pPr>
        <w:pStyle w:val="BookText"/>
      </w:pPr>
      <w:r>
        <w:rPr>
          <w:rFonts w:ascii="IRNazanin" w:hAnsi="IRNazanin" w:eastAsia="IRNazanin" w:cs="IRNazanin"/>
          <w:lang w:bidi="fa-IR"/>
          <w:color w:val="111111"/>
          <w:sz w:val="28"/>
          <w:szCs w:val="28"/>
          <w:rtl/>
        </w:rPr>
        <w:t xml:space="preserve">خط: نستعلیق، کا: مظفر حسن بن محمد مهدی خادم، بی تا،کاغذ: فرنگی؛ جلد: تیماج قهوه ای، ۹۸گ، ۲۵ سطر (4</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۱ - ۲۷۵]</w:t>
      </w:r>
    </w:p>
    <w:p>
      <w:pPr>
        <w:pStyle w:val="BookText"/>
      </w:pPr>
      <w:r>
        <w:rPr>
          <w:rFonts w:ascii="IRNazanin" w:hAnsi="IRNazanin" w:eastAsia="IRNazanin" w:cs="IRNazanin"/>
          <w:lang w:bidi="fa-IR"/>
          <w:color w:val="111111"/>
          <w:sz w:val="28"/>
          <w:szCs w:val="28"/>
          <w:rtl/>
        </w:rPr>
        <w:t xml:space="preserve">20.تهران؛ دانشگاه؛ شماره نسخه: ۳۵۱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تعلیق ،بی کا، بی تا؛ مصحح؛ نسخه در ۱۳۲۰ به دستیاری مجد الادبا خریده شد؛ کاغذ: زرد سپاهانی ،جلد: تیماج سرخ ضربی، ۱۳۷گ، ۱۷ سطر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 اندازه: ۱۳</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۲۳سم [ف: ۳ - ۱۴۴]</w:t>
      </w:r>
    </w:p>
    <w:p>
      <w:pPr>
        <w:pStyle w:val="Heading3"/>
      </w:pPr>
      <w:bookmarkStart w:id="1937" w:name="_Toc1459"/>
      <w:r>
        <w:t>اشرف الانشاء = بهجة المصطفی / ادبیات / فارسی</w:t>
      </w:r>
      <w:bookmarkEnd w:id="1937"/>
    </w:p>
    <w:p>
      <w:pPr>
        <w:pStyle w:val="BookText"/>
      </w:pPr>
      <w:r>
        <w:rPr>
          <w:rFonts w:ascii="Times New Roman" w:hAnsi="Times New Roman" w:eastAsia="Times New Roman" w:cs="Times New Roman"/>
          <w:lang w:val="en-US" w:bidi="en-US"/>
          <w:color w:val="111111"/>
          <w:sz w:val="28"/>
          <w:szCs w:val="28"/>
          <w:rtl/>
        </w:rPr>
        <w:t xml:space="preserve">ašraf-ol enšā’ = behjat-ol mostafā</w:t>
      </w:r>
    </w:p>
    <w:p>
      <w:pPr>
        <w:pStyle w:val="BookText"/>
      </w:pPr>
      <w:r>
        <w:rPr>
          <w:rFonts w:ascii="IRNazanin" w:hAnsi="IRNazanin" w:eastAsia="IRNazanin" w:cs="IRNazanin"/>
          <w:lang w:bidi="fa-IR"/>
          <w:color w:val="111111"/>
          <w:sz w:val="28"/>
          <w:szCs w:val="28"/>
          <w:rtl/>
        </w:rPr>
        <w:t xml:space="preserve">قاضی  اردلان، محمد شریف بن  مصطفی، ق ۱۳ قمری</w:t>
      </w:r>
    </w:p>
    <w:p>
      <w:pPr>
        <w:pStyle w:val="BookText"/>
      </w:pPr>
      <w:r>
        <w:rPr>
          <w:rFonts w:ascii="Times New Roman" w:hAnsi="Times New Roman" w:eastAsia="Times New Roman" w:cs="Times New Roman"/>
          <w:lang w:val="en-US" w:bidi="en-US"/>
          <w:color w:val="111111"/>
          <w:sz w:val="28"/>
          <w:szCs w:val="28"/>
          <w:rtl/>
        </w:rPr>
        <w:t xml:space="preserve">(qāzī ardalān, mohammad šarīf ebn-e mostafā (- 19c)</w:t>
      </w:r>
    </w:p>
    <w:p>
      <w:pPr>
        <w:pStyle w:val="BookText"/>
      </w:pPr>
      <w:r>
        <w:rPr>
          <w:rFonts w:ascii="IRNazanin" w:hAnsi="IRNazanin" w:eastAsia="IRNazanin" w:cs="IRNazanin"/>
          <w:lang w:bidi="fa-IR"/>
          <w:color w:val="111111"/>
          <w:sz w:val="28"/>
          <w:szCs w:val="28"/>
          <w:rtl/>
        </w:rPr>
        <w:t xml:space="preserve">تهران؛ مجلس؛ شماره نسخه: ۱۴۵۸۲</w:t>
      </w:r>
    </w:p>
    <w:p>
      <w:pPr>
        <w:pStyle w:val="BookText"/>
      </w:pPr>
      <w:r>
        <w:rPr>
          <w:rFonts w:ascii="Amiri" w:hAnsi="Amiri" w:eastAsia="Amiri" w:cs="Amiri"/>
          <w:lang w:bidi="ar-SA"/>
          <w:color w:val="111111"/>
          <w:sz w:val="28"/>
          <w:szCs w:val="28"/>
          <w:rtl/>
        </w:rPr>
        <w:t xml:space="preserve">آغاز: اشرف الانشاء حمد الله الذى انشأ السموات وفقرات الـعلم  بلطفه الكامل</w:t>
      </w:r>
    </w:p>
    <w:p>
      <w:pPr>
        <w:pStyle w:val="BookText"/>
      </w:pPr>
      <w:r>
        <w:rPr>
          <w:rFonts w:ascii="IRNazanin" w:hAnsi="IRNazanin" w:eastAsia="IRNazanin" w:cs="IRNazanin"/>
          <w:lang w:bidi="fa-IR"/>
          <w:color w:val="111111"/>
          <w:sz w:val="28"/>
          <w:szCs w:val="28"/>
          <w:rtl/>
        </w:rPr>
        <w:t xml:space="preserve">در فهرست مختصر با عنوان «بهجة المصطفی» آمده؛ خط: نسخ و نستعلیق، بی کا، تا: قرن ۱۲ وقرن ۱۳ ، ۱۷ ص (۲-۱۸)، مختلف السطر،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[مختصر - ف: - ۱۱۲]</w:t>
      </w:r>
    </w:p>
    <w:p>
      <w:pPr>
        <w:pStyle w:val="Heading3"/>
      </w:pPr>
      <w:bookmarkStart w:id="1938" w:name="_Toc1460"/>
      <w:r>
        <w:t>اشرف التواريخ / تاریخ ایران / فارسی</w:t>
      </w:r>
      <w:bookmarkEnd w:id="1938"/>
    </w:p>
    <w:p>
      <w:pPr>
        <w:pStyle w:val="BookText"/>
      </w:pPr>
      <w:r>
        <w:rPr>
          <w:rFonts w:ascii="Times New Roman" w:hAnsi="Times New Roman" w:eastAsia="Times New Roman" w:cs="Times New Roman"/>
          <w:lang w:val="en-US" w:bidi="en-US"/>
          <w:color w:val="111111"/>
          <w:sz w:val="28"/>
          <w:szCs w:val="28"/>
          <w:rtl/>
        </w:rPr>
        <w:t xml:space="preserve">ašraf-ot-tavārīx</w:t>
      </w:r>
    </w:p>
    <w:p>
      <w:pPr>
        <w:pStyle w:val="BookText"/>
      </w:pPr>
      <w:r>
        <w:rPr>
          <w:rFonts w:ascii="IRNazanin" w:hAnsi="IRNazanin" w:eastAsia="IRNazanin" w:cs="IRNazanin"/>
          <w:lang w:bidi="fa-IR"/>
          <w:color w:val="111111"/>
          <w:sz w:val="28"/>
          <w:szCs w:val="28"/>
          <w:rtl/>
        </w:rPr>
        <w:t xml:space="preserve">نوری، محمد تقی بن محمد مهدی، ق۱۳ قمری</w:t>
      </w:r>
    </w:p>
    <w:p>
      <w:pPr>
        <w:pStyle w:val="BookText"/>
      </w:pPr>
      <w:r>
        <w:rPr>
          <w:rFonts w:ascii="Times New Roman" w:hAnsi="Times New Roman" w:eastAsia="Times New Roman" w:cs="Times New Roman"/>
          <w:lang w:val="en-US" w:bidi="en-US"/>
          <w:color w:val="111111"/>
          <w:sz w:val="28"/>
          <w:szCs w:val="28"/>
          <w:rtl/>
        </w:rPr>
        <w:t xml:space="preserve">(nūrī, mohammad taqi ebn-e mohammad mahdī (- 19c)</w:t>
      </w:r>
    </w:p>
    <w:p>
      <w:pPr>
        <w:pStyle w:val="BookText"/>
      </w:pPr>
      <w:r>
        <w:rPr>
          <w:rFonts w:ascii="IRNazanin" w:hAnsi="IRNazanin" w:eastAsia="IRNazanin" w:cs="IRNazanin"/>
          <w:lang w:bidi="fa-IR"/>
          <w:color w:val="111111"/>
          <w:sz w:val="28"/>
          <w:szCs w:val="28"/>
          <w:rtl/>
        </w:rPr>
        <w:t xml:space="preserve">اهدا به: فتحعلی شاه قاجار (۱۲۱۲ - ۱۲۵۰ق)</w:t>
      </w:r>
    </w:p>
    <w:p>
      <w:pPr>
        <w:pStyle w:val="BookText"/>
      </w:pPr>
      <w:r>
        <w:rPr>
          <w:rFonts w:ascii="IRNazanin" w:hAnsi="IRNazanin" w:eastAsia="IRNazanin" w:cs="IRNazanin"/>
          <w:lang w:bidi="fa-IR"/>
          <w:color w:val="111111"/>
          <w:sz w:val="28"/>
          <w:szCs w:val="28"/>
          <w:rtl/>
        </w:rPr>
        <w:t xml:space="preserve">این کتاب تاریخ وقایع ایران (خاصه خراسان، مقر حکمرانی محمد ولی میرزا ) است از ۱۲۲۰ تا ۱۲۳۰، به انضمام شرح حال رجال و ،علما با عناوین: در بیان نسب همایون شهزاده سعادت  مقرون و اجداد بی همال او، ذکر مختصری از مآثر و مفاخر.</w:t>
      </w:r>
    </w:p>
    <w:p>
      <w:pPr>
        <w:pStyle w:val="BookText"/>
      </w:pPr>
      <w:r>
        <w:rPr>
          <w:rFonts w:ascii="IRNazanin" w:hAnsi="IRNazanin" w:eastAsia="IRNazanin" w:cs="IRNazanin"/>
          <w:lang w:bidi="fa-IR"/>
          <w:color w:val="111111"/>
          <w:sz w:val="28"/>
          <w:szCs w:val="28"/>
          <w:rtl/>
        </w:rPr>
        <w:t xml:space="preserve">آغاز: آرایش دیباچه اشرف کتب و نمایش سرلوح اعظم تواریخ بدایع حمد و ستایش مالک الملک</w:t>
      </w:r>
    </w:p>
    <w:p>
      <w:pPr>
        <w:pStyle w:val="BookText"/>
      </w:pPr>
      <w:r>
        <w:rPr>
          <w:rFonts w:ascii="IRNazanin" w:hAnsi="IRNazanin" w:eastAsia="IRNazanin" w:cs="IRNazanin"/>
          <w:lang w:bidi="fa-IR"/>
          <w:color w:val="111111"/>
          <w:sz w:val="28"/>
          <w:szCs w:val="28"/>
          <w:rtl/>
        </w:rPr>
        <w:t xml:space="preserve">انجام: و طرد و ضرب سپاه نصرت فرجام را نکرده ایام را متفرق و پراکنده و امور کرمان را منظم و مضبوط ساخته مراجعت نمودند.</w:t>
      </w:r>
    </w:p>
    <w:p>
      <w:pPr>
        <w:pStyle w:val="BookText"/>
      </w:pPr>
      <w:r>
        <w:rPr>
          <w:rFonts w:ascii="IRNazanin" w:hAnsi="IRNazanin" w:eastAsia="IRNazanin" w:cs="IRNazanin"/>
          <w:lang w:bidi="fa-IR"/>
          <w:color w:val="111111"/>
          <w:sz w:val="28"/>
          <w:szCs w:val="28"/>
          <w:rtl/>
        </w:rPr>
        <w:t xml:space="preserve">[فهرستواره منزوی ۸۱۹/۲؛ نسخه های منزوی ۴۲۱۹/۶ (۴ نسخه)؛ مشترک  پاکستان ۱۴۳۰/۱۱؛ دنا ۸۵۲/۱  ]</w:t>
      </w:r>
    </w:p>
    <w:p>
      <w:pPr>
        <w:pStyle w:val="BookText"/>
      </w:pPr>
      <w:r>
        <w:rPr>
          <w:rFonts w:ascii="IRNazanin" w:hAnsi="IRNazanin" w:eastAsia="IRNazanin" w:cs="IRNazanin"/>
          <w:lang w:bidi="fa-IR"/>
          <w:color w:val="111111"/>
          <w:sz w:val="28"/>
          <w:szCs w:val="28"/>
          <w:rtl/>
        </w:rPr>
        <w:t xml:space="preserve">1.تهران؛ مجلس؛ شماره نسخه: ۵۷۰۹</w:t>
      </w:r>
    </w:p>
    <w:p>
      <w:pPr>
        <w:pStyle w:val="BookText"/>
      </w:pPr>
      <w:r>
        <w:rPr>
          <w:rFonts w:ascii="IRNazanin" w:hAnsi="IRNazanin" w:eastAsia="IRNazanin" w:cs="IRNazanin"/>
          <w:lang w:bidi="fa-IR"/>
          <w:color w:val="111111"/>
          <w:sz w:val="28"/>
          <w:szCs w:val="28"/>
          <w:rtl/>
        </w:rPr>
        <w:t xml:space="preserve">آغاز: برابر؛ انجام: باز صبا انجمن افروز شد *** نوبتی حشر و نوروز /شد کوکبه خسرو گردون سمند *** غلغله در گنبد اخضر فکند / صحن چمن باز چه صحن بهشت</w:t>
      </w:r>
    </w:p>
    <w:p>
      <w:pPr>
        <w:pStyle w:val="BookText"/>
      </w:pPr>
      <w:r>
        <w:rPr>
          <w:rFonts w:ascii="IRNazanin" w:hAnsi="IRNazanin" w:eastAsia="IRNazanin" w:cs="IRNazanin"/>
          <w:lang w:bidi="fa-IR"/>
          <w:color w:val="111111"/>
          <w:sz w:val="28"/>
          <w:szCs w:val="28"/>
          <w:rtl/>
        </w:rPr>
        <w:t xml:space="preserve">خط: نستعلیق، بی کا، تا: قرن ۱۲؛ افتادگی: آغاز؛ دارای یک سرلوح مذهب، مجدول مذهب؛ كاغذ: فرنگی، جلد: تیماج ۸۴۶ص، ۱۴ سطر، قطع: وزیری،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۱۷ - ۲۴۵]</w:t>
      </w:r>
    </w:p>
    <w:p>
      <w:pPr>
        <w:pStyle w:val="BookText"/>
      </w:pPr>
      <w:r>
        <w:rPr>
          <w:rFonts w:ascii="IRNazanin" w:hAnsi="IRNazanin" w:eastAsia="IRNazanin" w:cs="IRNazanin"/>
          <w:lang w:bidi="fa-IR"/>
          <w:color w:val="111111"/>
          <w:sz w:val="28"/>
          <w:szCs w:val="28"/>
          <w:rtl/>
        </w:rPr>
        <w:t xml:space="preserve">2.تهران؛ ملک؛ شماره نسخه: ۵۹۹۹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شکسته، نستعلیق، بی کا، تا: قرن ۱۳؛ مجدول با یک سرلوح و چهل و چهار مجلس تصویر ؛کاغذ: کاغذ ترمه اصفهان، جلد: روغنی گل و بوته داخل  قرمز ،۴۹۵گ، ۱۷ سطر، اندازه: ۱۸/۹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۳۰/۵سم [ف: ۲ - ۲۹]</w:t>
      </w:r>
    </w:p>
    <w:p>
      <w:pPr>
        <w:pStyle w:val="BookText"/>
      </w:pPr>
      <w:r>
        <w:rPr>
          <w:rFonts w:ascii="IRNazanin" w:hAnsi="IRNazanin" w:eastAsia="IRNazanin" w:cs="IRNazanin"/>
          <w:lang w:bidi="fa-IR"/>
          <w:color w:val="111111"/>
          <w:sz w:val="28"/>
          <w:szCs w:val="28"/>
          <w:rtl/>
        </w:rPr>
        <w:t xml:space="preserve">تهران؛ دائرة المعارف؛ شماره نسخه ۲۸۳- عکسی</w:t>
      </w:r>
    </w:p>
    <w:p>
      <w:pPr>
        <w:pStyle w:val="BookText"/>
      </w:pPr>
      <w:r>
        <w:rPr>
          <w:rFonts w:ascii="IRNazanin" w:hAnsi="IRNazanin" w:eastAsia="IRNazanin" w:cs="IRNazanin"/>
          <w:lang w:bidi="fa-IR"/>
          <w:color w:val="111111"/>
          <w:sz w:val="28"/>
          <w:szCs w:val="28"/>
          <w:rtl/>
        </w:rPr>
        <w:t xml:space="preserve">اصل نسخه: همان نسخه بالا [ف: ۲ - ۲۵]</w:t>
      </w:r>
    </w:p>
    <w:p>
      <w:pPr>
        <w:pStyle w:val="Heading3"/>
      </w:pPr>
      <w:bookmarkStart w:id="1939" w:name="_Toc1461"/>
      <w:r>
        <w:t>اشرف التواريخ / تاریخ ایران / فارسی</w:t>
      </w:r>
      <w:bookmarkEnd w:id="1939"/>
    </w:p>
    <w:p>
      <w:pPr>
        <w:pStyle w:val="BookText"/>
      </w:pPr>
      <w:r>
        <w:rPr>
          <w:rFonts w:ascii="Times New Roman" w:hAnsi="Times New Roman" w:eastAsia="Times New Roman" w:cs="Times New Roman"/>
          <w:lang w:val="en-US" w:bidi="en-US"/>
          <w:color w:val="111111"/>
          <w:sz w:val="28"/>
          <w:szCs w:val="28"/>
          <w:rtl/>
        </w:rPr>
        <w:t xml:space="preserve">ašraf-ot-tavārīx</w:t>
      </w:r>
    </w:p>
    <w:p>
      <w:pPr>
        <w:pStyle w:val="BookText"/>
      </w:pPr>
      <w:r>
        <w:rPr>
          <w:rFonts w:ascii="IRNazanin" w:hAnsi="IRNazanin" w:eastAsia="IRNazanin" w:cs="IRNazanin"/>
          <w:lang w:bidi="fa-IR"/>
          <w:color w:val="111111"/>
          <w:sz w:val="28"/>
          <w:szCs w:val="28"/>
          <w:rtl/>
        </w:rPr>
        <w:t xml:space="preserve">١. تهران؛ ادبیات؛ شماره نسخه: ۱۴ - ج</w:t>
      </w:r>
    </w:p>
    <w:p>
      <w:pPr>
        <w:pStyle w:val="BookText"/>
      </w:pPr>
      <w:r>
        <w:rPr>
          <w:rFonts w:ascii="IRNazanin" w:hAnsi="IRNazanin" w:eastAsia="IRNazanin" w:cs="IRNazanin"/>
          <w:lang w:bidi="fa-IR"/>
          <w:color w:val="111111"/>
          <w:sz w:val="28"/>
          <w:szCs w:val="28"/>
          <w:rtl/>
        </w:rPr>
        <w:t xml:space="preserve">آغاز: تازه شد از مقدم اردی بهشت *** خسرو گل گشت ریاحین سپاه. زد بصد آیین بچمن بارگاه، در هفدهم ربیع الاول ۱۲۲۸که نوروز فیروز سلطانی و عید سعید اعالی و ادانی بود؛ انجام: وامر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bookmarkStart w:id="417" w:name="pg20365_260582"/>
    <w:bookmarkEnd w:id="417"/>
    <w:p>
      <w:pPr>
        <w:pStyle w:val="BookText"/>
      </w:pPr>
      <w:r>
        <w:rPr>
          <w:rFonts w:ascii="IRNazanin" w:hAnsi="IRNazanin" w:eastAsia="IRNazanin" w:cs="IRNazanin"/>
          <w:lang w:bidi="fa-IR"/>
          <w:color w:val="111111"/>
          <w:sz w:val="28"/>
          <w:szCs w:val="28"/>
          <w:rtl/>
        </w:rPr>
        <w:t xml:space="preserve">معاش و انتعاشش بقناعت و ریاضت مؤلف است (تمام شد)</w:t>
      </w:r>
    </w:p>
    <w:p>
      <w:pPr>
        <w:pStyle w:val="BookText"/>
      </w:pPr>
      <w:r>
        <w:rPr>
          <w:rFonts w:ascii="IRNazanin" w:hAnsi="IRNazanin" w:eastAsia="IRNazanin" w:cs="IRNazanin"/>
          <w:lang w:bidi="fa-IR"/>
          <w:color w:val="111111"/>
          <w:sz w:val="28"/>
          <w:szCs w:val="28"/>
          <w:rtl/>
        </w:rPr>
        <w:t xml:space="preserve">اندکی از جلد یکم و جلد دوم، از حوادث ۱۲۱۸ تا داسـتان «عزیمت شاهزاده حسنعلی میرزا باستمالت خوانین بجانب خبوشان»، هفت برگ آغاز از جلد یکماست و از روی خط و جدول کشی و سفید بودن عنوان درست مانند نسـخه دانشکده حقوق است و پس از آن از جلد دوم بلکه از خط آن بر می آید که کتاب دیگری شاید  باشد، گویا این ۷ برگ از کراسه های آن نسخه است؛ خط: نستعلیق، بی کا، تا: قرن 13؛ مجدول؛ کاغذ: فرنگی ،جلد: مقوا ،۴۷گ، ۱۴ سطر (۱۳</w:t>
      </w:r>
      <w:r>
        <w:rPr>
          <w:rFonts w:ascii="Times New Roman" w:hAnsi="Times New Roman" w:eastAsia="Times New Roman" w:cs="Times New Roman"/>
          <w:lang w:val="en-US" w:bidi="en-US"/>
          <w:color w:val="111111"/>
          <w:sz w:val="28"/>
          <w:szCs w:val="28"/>
          <w:rtl/>
        </w:rPr>
        <w:t xml:space="preserve">× 19)  </w:t>
      </w:r>
      <w:r>
        <w:rPr>
          <w:rFonts w:ascii="IRNazanin" w:hAnsi="IRNazanin" w:eastAsia="IRNazanin" w:cs="IRNazanin"/>
          <w:lang w:bidi="fa-IR"/>
          <w:color w:val="111111"/>
          <w:sz w:val="28"/>
          <w:szCs w:val="28"/>
          <w:rtl/>
        </w:rPr>
        <w:t xml:space="preserve">،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۲۶سم [ف: ۱ - ۲۹]</w:t>
      </w:r>
    </w:p>
    <w:p>
      <w:pPr>
        <w:pStyle w:val="BookText"/>
      </w:pPr>
      <w:r>
        <w:rPr>
          <w:rFonts w:ascii="IRNazanin" w:hAnsi="IRNazanin" w:eastAsia="IRNazanin" w:cs="IRNazanin"/>
          <w:lang w:bidi="fa-IR"/>
          <w:color w:val="111111"/>
          <w:sz w:val="28"/>
          <w:szCs w:val="28"/>
          <w:rtl/>
        </w:rPr>
        <w:t xml:space="preserve">۲. تهران؛ حقوق شماره نسخه: ۳۵۸ - ج</w:t>
      </w:r>
    </w:p>
    <w:p>
      <w:pPr>
        <w:pStyle w:val="BookText"/>
      </w:pPr>
      <w:r>
        <w:rPr>
          <w:rFonts w:ascii="IRNazanin" w:hAnsi="IRNazanin" w:eastAsia="IRNazanin" w:cs="IRNazanin"/>
          <w:lang w:bidi="fa-IR"/>
          <w:color w:val="111111"/>
          <w:sz w:val="28"/>
          <w:szCs w:val="28"/>
          <w:rtl/>
        </w:rPr>
        <w:t xml:space="preserve">آغاز: تازه شد از مقدم اردی بهشت *** خسرو گل گشت ریاحین سپاه / زدبصد آئین بچمن بارگاه. در هفدهم شهرربیع الاول ۱۲۲۸ که نوروز فیروز سلطانی و عید سعید اعانی و ادانی بود؛ انجام: و اوقاتش بسرمایه توکل مصروف و امر معاش و انتعاشش بقناعت و ریاضت موقوف است (تمام شد) جلد  دوم، وقایع تاریخی ایران در زمان قاجار از تاریخ ۱۷ ربیع الاول ۱۲۲۸ تا سر گذشت سید کوچک و تاریخ محرم1231 همراه با گذشت فرمانروایان خراسان و دانشمندان؛ خـط: نستعلیق بی کا، تا: قرن ۱۳؛ مجدول؛ یادداشت تملک ۱۲۵۳ دارد، در ۱۲۹۸ در کتابخانه صنيع الدوله بوده؛ کاغذ: فرنگی، ۲۸۶گ، ۱۴ 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 ، اندازه: ۱۶/۵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۲۵/۵سم [ف: ۱۳]</w:t>
      </w:r>
    </w:p>
    <w:p>
      <w:pPr>
        <w:pStyle w:val="Heading3"/>
      </w:pPr>
      <w:bookmarkStart w:id="1940" w:name="_Toc1462"/>
      <w:r>
        <w:t>اشرف التواريخ / تاریخ معصومین / فارسی</w:t>
      </w:r>
      <w:bookmarkEnd w:id="1940"/>
    </w:p>
    <w:p>
      <w:pPr>
        <w:pStyle w:val="BookText"/>
      </w:pPr>
      <w:r>
        <w:rPr>
          <w:rFonts w:ascii="Times New Roman" w:hAnsi="Times New Roman" w:eastAsia="Times New Roman" w:cs="Times New Roman"/>
          <w:lang w:val="en-US" w:bidi="en-US"/>
          <w:color w:val="111111"/>
          <w:sz w:val="28"/>
          <w:szCs w:val="28"/>
          <w:rtl/>
        </w:rPr>
        <w:t xml:space="preserve">ašraf-ot tavārīx</w:t>
      </w:r>
    </w:p>
    <w:p>
      <w:pPr>
        <w:pStyle w:val="BookText"/>
      </w:pPr>
      <w:r>
        <w:rPr>
          <w:rFonts w:ascii="IRNazanin" w:hAnsi="IRNazanin" w:eastAsia="IRNazanin" w:cs="IRNazanin"/>
          <w:lang w:bidi="fa-IR"/>
          <w:color w:val="111111"/>
          <w:sz w:val="28"/>
          <w:szCs w:val="28"/>
          <w:rtl/>
        </w:rPr>
        <w:t xml:space="preserve">مختصری در تاريخ ائمة معصومين (علیهم السّلام)</w:t>
      </w:r>
    </w:p>
    <w:p>
      <w:pPr>
        <w:pStyle w:val="BookText"/>
      </w:pPr>
      <w:r>
        <w:rPr>
          <w:rFonts w:ascii="IRNazanin" w:hAnsi="IRNazanin" w:eastAsia="IRNazanin" w:cs="IRNazanin"/>
          <w:lang w:bidi="fa-IR"/>
          <w:color w:val="111111"/>
          <w:sz w:val="28"/>
          <w:szCs w:val="28"/>
          <w:rtl/>
        </w:rPr>
        <w:t xml:space="preserve">مشهد؛ مدرسه آیة الله خوئی؛ شماره نسخه: ۱۹۰۳</w:t>
      </w:r>
    </w:p>
    <w:p>
      <w:pPr>
        <w:pStyle w:val="BookText"/>
      </w:pPr>
      <w:r>
        <w:rPr>
          <w:rFonts w:ascii="IRNazanin" w:hAnsi="IRNazanin" w:eastAsia="IRNazanin" w:cs="IRNazanin"/>
          <w:lang w:bidi="fa-IR"/>
          <w:color w:val="111111"/>
          <w:sz w:val="28"/>
          <w:szCs w:val="28"/>
          <w:rtl/>
        </w:rPr>
        <w:t xml:space="preserve">بی کا، بی تا[ اوراق عتیق: ۱ - ۲۵۲]</w:t>
      </w:r>
    </w:p>
    <w:p>
      <w:pPr>
        <w:pStyle w:val="Heading3"/>
      </w:pPr>
      <w:bookmarkStart w:id="1941" w:name="_Toc1463"/>
      <w:r>
        <w:t>اشرف المجربات / طب / فارسی</w:t>
      </w:r>
      <w:bookmarkEnd w:id="1941"/>
    </w:p>
    <w:p>
      <w:pPr>
        <w:pStyle w:val="BookText"/>
      </w:pPr>
      <w:r>
        <w:rPr>
          <w:rFonts w:ascii="Times New Roman" w:hAnsi="Times New Roman" w:eastAsia="Times New Roman" w:cs="Times New Roman"/>
          <w:lang w:val="en-US" w:bidi="en-US"/>
          <w:color w:val="111111"/>
          <w:sz w:val="28"/>
          <w:szCs w:val="28"/>
          <w:rtl/>
        </w:rPr>
        <w:t xml:space="preserve">ašraf-ol-mojarrabāt</w:t>
      </w:r>
    </w:p>
    <w:p>
      <w:pPr>
        <w:pStyle w:val="BookText"/>
      </w:pPr>
      <w:r>
        <w:rPr>
          <w:rFonts w:ascii="IRNazanin" w:hAnsi="IRNazanin" w:eastAsia="IRNazanin" w:cs="IRNazanin"/>
          <w:lang w:bidi="fa-IR"/>
          <w:color w:val="111111"/>
          <w:sz w:val="28"/>
          <w:szCs w:val="28"/>
          <w:rtl/>
        </w:rPr>
        <w:t xml:space="preserve">شرف علیشاه بن احمد علی</w:t>
      </w:r>
    </w:p>
    <w:p>
      <w:pPr>
        <w:pStyle w:val="BookText"/>
      </w:pPr>
      <w:r>
        <w:rPr>
          <w:rFonts w:ascii="Times New Roman" w:hAnsi="Times New Roman" w:eastAsia="Times New Roman" w:cs="Times New Roman"/>
          <w:lang w:val="en-US" w:bidi="en-US"/>
          <w:color w:val="111111"/>
          <w:sz w:val="28"/>
          <w:szCs w:val="28"/>
          <w:rtl/>
        </w:rPr>
        <w:t xml:space="preserve">šaraf ‘alī-šāh ebn-e ahmad ‘alī</w:t>
      </w:r>
    </w:p>
    <w:p>
      <w:pPr>
        <w:pStyle w:val="BookText"/>
      </w:pPr>
      <w:r>
        <w:rPr>
          <w:rFonts w:ascii="IRNazanin" w:hAnsi="IRNazanin" w:eastAsia="IRNazanin" w:cs="IRNazanin"/>
          <w:lang w:bidi="fa-IR"/>
          <w:color w:val="111111"/>
          <w:sz w:val="28"/>
          <w:szCs w:val="28"/>
          <w:rtl/>
        </w:rPr>
        <w:t xml:space="preserve">کتابی در چند «فصل» و هر فصل دارای چند «باب»: باب اول در بیان امراض سر؛ فصل اول در صداع دموی، که علاج های مختلفه  آنرا قید نموده؛ فصل بعدی در صداع بلغمی و شقیقه  وعلاج آن ... الى آخر.</w:t>
      </w:r>
    </w:p>
    <w:p>
      <w:pPr>
        <w:pStyle w:val="BookText"/>
      </w:pPr>
      <w:r>
        <w:rPr>
          <w:rFonts w:ascii="IRNazanin" w:hAnsi="IRNazanin" w:eastAsia="IRNazanin" w:cs="IRNazanin"/>
          <w:lang w:bidi="fa-IR"/>
          <w:color w:val="111111"/>
          <w:sz w:val="28"/>
          <w:szCs w:val="28"/>
          <w:rtl/>
        </w:rPr>
        <w:t xml:space="preserve">تهران؛ وزارت امور خارجه؛ شماره نسخه: ۱-۶۱</w:t>
      </w:r>
    </w:p>
    <w:p>
      <w:pPr>
        <w:pStyle w:val="BookText"/>
      </w:pPr>
      <w:r>
        <w:rPr>
          <w:rFonts w:ascii="IRNazanin" w:hAnsi="IRNazanin" w:eastAsia="IRNazanin" w:cs="IRNazanin"/>
          <w:lang w:bidi="fa-IR"/>
          <w:color w:val="111111"/>
          <w:sz w:val="28"/>
          <w:szCs w:val="28"/>
          <w:rtl/>
        </w:rPr>
        <w:t xml:space="preserve">بی کا، تا: ۱۱۸۰ق؛ در صفحات آخر کتاب، بیشتر به جای ادویه، مخلوطی از ادویه و ادعیه و طلسم ها را ذکر نموده که جهت شفای امراض به کار رود ؛جلد: چرمی قهوه ای، اندازه: ۲۶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۳۷سم[امور خارجه: ۱۹۲]</w:t>
      </w:r>
    </w:p>
    <w:p>
      <w:pPr>
        <w:pStyle w:val="Heading3"/>
      </w:pPr>
      <w:bookmarkStart w:id="1942" w:name="_Toc1464"/>
      <w:r>
        <w:t>اشرف المحصول / اصول فقه / عربی</w:t>
      </w:r>
      <w:bookmarkEnd w:id="1942"/>
    </w:p>
    <w:p>
      <w:pPr>
        <w:pStyle w:val="BookText"/>
      </w:pPr>
      <w:r>
        <w:rPr>
          <w:rFonts w:ascii="Times New Roman" w:hAnsi="Times New Roman" w:eastAsia="Times New Roman" w:cs="Times New Roman"/>
          <w:lang w:val="en-US" w:bidi="en-US"/>
          <w:color w:val="111111"/>
          <w:sz w:val="28"/>
          <w:szCs w:val="28"/>
          <w:rtl/>
        </w:rPr>
        <w:t xml:space="preserve">asraf-ul-mahsul</w:t>
      </w:r>
    </w:p>
    <w:p>
      <w:pPr>
        <w:pStyle w:val="BookText"/>
      </w:pPr>
      <w:r>
        <w:rPr>
          <w:rFonts w:ascii="IRNazanin" w:hAnsi="IRNazanin" w:eastAsia="IRNazanin" w:cs="IRNazanin"/>
          <w:lang w:bidi="fa-IR"/>
          <w:color w:val="111111"/>
          <w:sz w:val="28"/>
          <w:szCs w:val="28"/>
          <w:rtl/>
        </w:rPr>
        <w:t xml:space="preserve">عصفوری، عبدالعلی بن خلف، - ۱۳۰۳ قمری</w:t>
      </w:r>
    </w:p>
    <w:p>
      <w:pPr>
        <w:pStyle w:val="BookText"/>
      </w:pPr>
      <w:r>
        <w:rPr>
          <w:rFonts w:ascii="Times New Roman" w:hAnsi="Times New Roman" w:eastAsia="Times New Roman" w:cs="Times New Roman"/>
          <w:lang w:val="en-US" w:bidi="en-US"/>
          <w:color w:val="111111"/>
          <w:sz w:val="28"/>
          <w:szCs w:val="28"/>
          <w:rtl/>
        </w:rPr>
        <w:t xml:space="preserve">(osfūrī, ‘abd-ol-‘alī ebn-e xalaf (- 1886)</w:t>
      </w:r>
    </w:p>
    <w:p>
      <w:pPr>
        <w:pStyle w:val="BookText"/>
      </w:pPr>
      <w:r>
        <w:rPr>
          <w:rFonts w:ascii="IRNazanin" w:hAnsi="IRNazanin" w:eastAsia="IRNazanin" w:cs="IRNazanin"/>
          <w:lang w:bidi="fa-IR"/>
          <w:color w:val="111111"/>
          <w:sz w:val="28"/>
          <w:szCs w:val="28"/>
          <w:rtl/>
        </w:rPr>
        <w:t xml:space="preserve">وابسته: مبادى الوصول الى علم الاصول؛ علامه حلی، حسن بن يوسف (۶۴۸-۷۲۶ق)</w:t>
      </w:r>
    </w:p>
    <w:p>
      <w:pPr>
        <w:pStyle w:val="BookText"/>
      </w:pPr>
      <w:r>
        <w:rPr>
          <w:rFonts w:ascii="IRNazanin" w:hAnsi="IRNazanin" w:eastAsia="IRNazanin" w:cs="IRNazanin"/>
          <w:lang w:bidi="fa-IR"/>
          <w:color w:val="111111"/>
          <w:sz w:val="28"/>
          <w:szCs w:val="28"/>
          <w:rtl/>
        </w:rPr>
        <w:t xml:space="preserve">تاريخ تألیف: ۲۴ محرم ۱۲۸۸ق</w:t>
      </w:r>
    </w:p>
    <w:p>
      <w:pPr>
        <w:pStyle w:val="BookText"/>
      </w:pPr>
      <w:r>
        <w:rPr>
          <w:rFonts w:ascii="IRNazanin" w:hAnsi="IRNazanin" w:eastAsia="IRNazanin" w:cs="IRNazanin"/>
          <w:lang w:bidi="fa-IR"/>
          <w:color w:val="111111"/>
          <w:sz w:val="28"/>
          <w:szCs w:val="28"/>
          <w:rtl/>
        </w:rPr>
        <w:t xml:space="preserve">شرحی است مفصل بر «مبادی الوصول» علامه حلی، با عناوین «قال فنقول»؛ شارح در مقدمه درباره کتاب نوشته است: «فاجمعنا العزم على شرحه شرحا لطيفا مبينا لمسائله مقرر الدلايله ممهدا لقواعده موضحا لمقاصده من غير تطويل يفضى الى الملل و تقليل يوجب الاهمال و الخلل فوضعت له الشرح و البیان» و در صفحه بعد ادامه می دهد: «و نحن انشاء الله نبين فى هذا الشرح الشريف من ذلك ما يرشد الى الحق و السداد و لنقتصر على ذكر ما به الكفايه فى الرشاد يعرضين عما ينبغى الاعراض عنه من التمسك بغير كلام الال من القوانين المأخوذه من اصول اهل الضلال و الاخذ بالمقالات المنقوله عنهم في مقام الاستدلال».</w:t>
      </w:r>
    </w:p>
    <w:p>
      <w:pPr>
        <w:pStyle w:val="BookText"/>
      </w:pPr>
      <w:r>
        <w:rPr>
          <w:rFonts w:ascii="IRNazanin" w:hAnsi="IRNazanin" w:eastAsia="IRNazanin" w:cs="IRNazanin"/>
          <w:lang w:bidi="fa-IR"/>
          <w:color w:val="111111"/>
          <w:sz w:val="28"/>
          <w:szCs w:val="28"/>
          <w:rtl/>
        </w:rPr>
        <w:t xml:space="preserve">مشهد؛ رضوی؛ شماره نسخه: ۱۷۸۸۳</w:t>
      </w:r>
    </w:p>
    <w:p>
      <w:pPr>
        <w:pStyle w:val="BookText"/>
      </w:pPr>
      <w:r>
        <w:rPr>
          <w:rFonts w:ascii="IRNazanin" w:hAnsi="IRNazanin" w:eastAsia="IRNazanin" w:cs="IRNazanin"/>
          <w:lang w:bidi="fa-IR"/>
          <w:color w:val="111111"/>
          <w:sz w:val="28"/>
          <w:szCs w:val="28"/>
          <w:rtl/>
        </w:rPr>
        <w:t xml:space="preserve">آغاز: الله احمد علی نواله و ایاه اشکر علی نعمه و افضاله؛ انجام: فهو باطل لان العلم او الظن بالنفى لابد له من دليل و الحمد لله العلى الجليل وقد تم كلام الامام العلام بهذا المقام.</w:t>
      </w:r>
    </w:p>
    <w:p>
      <w:pPr>
        <w:pStyle w:val="BookText"/>
      </w:pPr>
      <w:r>
        <w:rPr>
          <w:rFonts w:ascii="IRNazanin" w:hAnsi="IRNazanin" w:eastAsia="IRNazanin" w:cs="IRNazanin"/>
          <w:lang w:bidi="fa-IR"/>
          <w:color w:val="111111"/>
          <w:sz w:val="28"/>
          <w:szCs w:val="28"/>
          <w:rtl/>
        </w:rPr>
        <w:t xml:space="preserve">خط: نسخ، كا: محمد بن ابراهيم بن محمد بن احمد بن عبدالله رایانی ری  شهری، تا: چهارشنبه ۵ صفر ۱۲۸۸ق؛ معلق به حواشی مؤلف و بعضی به خط  همو ،مصحح، مقابله شده؛ واقف: سازمان  حج و اوقاف (موقوفه آل عصفور) آبان ۱۳۶۹؛ کاغذ: فرنگی آهاری  نخودی، جلد: تیماج  عنابی، ۲۴۹گ، ۱۸ سطر، اندازه:  ۱۹/۵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۳۳سم [ف : ۱۶ - ۲۰]</w:t>
      </w:r>
    </w:p>
    <w:p>
      <w:pPr>
        <w:pStyle w:val="Heading3"/>
      </w:pPr>
      <w:bookmarkStart w:id="1943" w:name="_Toc1465"/>
      <w:r>
        <w:t>اشرف المعجزات / عربي</w:t>
      </w:r>
      <w:bookmarkEnd w:id="1943"/>
    </w:p>
    <w:p>
      <w:pPr>
        <w:pStyle w:val="BookText"/>
      </w:pPr>
      <w:r>
        <w:rPr>
          <w:rFonts w:ascii="Times New Roman" w:hAnsi="Times New Roman" w:eastAsia="Times New Roman" w:cs="Times New Roman"/>
          <w:lang w:val="en-US" w:bidi="en-US"/>
          <w:color w:val="111111"/>
          <w:sz w:val="28"/>
          <w:szCs w:val="28"/>
          <w:rtl/>
        </w:rPr>
        <w:t xml:space="preserve">ašraf-ul-mu‘jizāt</w:t>
      </w:r>
    </w:p>
    <w:p>
      <w:pPr>
        <w:pStyle w:val="BookText"/>
      </w:pPr>
      <w:r>
        <w:rPr>
          <w:rFonts w:ascii="Amiri" w:hAnsi="Amiri" w:eastAsia="Amiri" w:cs="Amiri"/>
          <w:lang w:bidi="ar-SA"/>
          <w:color w:val="111111"/>
          <w:sz w:val="28"/>
          <w:szCs w:val="28"/>
          <w:rtl/>
        </w:rPr>
        <w:t xml:space="preserve">تسترى، عبدالرحيم</w:t>
      </w:r>
    </w:p>
    <w:p>
      <w:pPr>
        <w:pStyle w:val="BookText"/>
      </w:pPr>
      <w:r>
        <w:rPr>
          <w:rFonts w:ascii="Times New Roman" w:hAnsi="Times New Roman" w:eastAsia="Times New Roman" w:cs="Times New Roman"/>
          <w:lang w:val="en-US" w:bidi="en-US"/>
          <w:color w:val="111111"/>
          <w:sz w:val="28"/>
          <w:szCs w:val="28"/>
          <w:rtl/>
        </w:rPr>
        <w:t xml:space="preserve">tostarī, ‘abd-or-rahīm</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IRNazanin" w:hAnsi="IRNazanin" w:eastAsia="IRNazanin" w:cs="IRNazanin"/>
          <w:lang w:bidi="fa-IR"/>
          <w:color w:val="111111"/>
          <w:sz w:val="28"/>
          <w:szCs w:val="28"/>
          <w:rtl/>
        </w:rPr>
        <w:t xml:space="preserve">١- اشرف المعجزات (ترجمه)؛ میرزا بزرگ قائم مقام، عیسی بن حسن (۱۱۶۷-۱۲۳۷)</w:t>
      </w:r>
    </w:p>
    <w:p>
      <w:pPr>
        <w:pStyle w:val="BookText"/>
      </w:pPr>
      <w:r>
        <w:rPr>
          <w:rFonts w:ascii="IRNazanin" w:hAnsi="IRNazanin" w:eastAsia="IRNazanin" w:cs="IRNazanin"/>
          <w:lang w:bidi="fa-IR"/>
          <w:color w:val="111111"/>
          <w:sz w:val="28"/>
          <w:szCs w:val="28"/>
          <w:rtl/>
        </w:rPr>
        <w:t xml:space="preserve">١ . مشهد؛ رضوی؛ شماره نسخه: ض۱۳۵۴۸</w:t>
      </w:r>
    </w:p>
    <w:p>
      <w:pPr>
        <w:pStyle w:val="BookText"/>
      </w:pPr>
      <w:r>
        <w:rPr>
          <w:rFonts w:ascii="IRNazanin" w:hAnsi="IRNazanin" w:eastAsia="IRNazanin" w:cs="IRNazanin"/>
          <w:lang w:bidi="fa-IR"/>
          <w:color w:val="111111"/>
          <w:sz w:val="28"/>
          <w:szCs w:val="28"/>
          <w:rtl/>
        </w:rPr>
        <w:t xml:space="preserve">خط: نسخ، كا: نعمة الله، تا: ۱۳۱۴ق [الفبائی: ۵۱]</w:t>
      </w:r>
    </w:p>
    <w:p>
      <w:pPr>
        <w:pStyle w:val="BookText"/>
      </w:pPr>
      <w:r>
        <w:rPr>
          <w:rFonts w:ascii="IRNazanin" w:hAnsi="IRNazanin" w:eastAsia="IRNazanin" w:cs="IRNazanin"/>
          <w:lang w:bidi="fa-IR"/>
          <w:color w:val="111111"/>
          <w:sz w:val="28"/>
          <w:szCs w:val="28"/>
          <w:rtl/>
        </w:rPr>
        <w:t xml:space="preserve">2.تهران؛ مجلس؛ شماره نسخه: ۶۳۲/۲</w:t>
      </w:r>
    </w:p>
    <w:p>
      <w:pPr>
        <w:pStyle w:val="BookText"/>
      </w:pPr>
      <w:r>
        <w:rPr>
          <w:rFonts w:ascii="IRNazanin" w:hAnsi="IRNazanin" w:eastAsia="IRNazanin" w:cs="IRNazanin"/>
          <w:lang w:bidi="fa-IR"/>
          <w:color w:val="111111"/>
          <w:sz w:val="28"/>
          <w:szCs w:val="28"/>
          <w:rtl/>
        </w:rPr>
        <w:t xml:space="preserve">تذکر: این رساله از فهرست رایانه ای مجلس وارد شد؛ بی کا، بی تا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bookmarkStart w:id="418" w:name="pg20365_260583"/>
    <w:bookmarkEnd w:id="418"/>
    <w:p>
      <w:pPr>
        <w:pStyle w:val="BookText"/>
      </w:pPr>
      <w:r>
        <w:rPr>
          <w:rFonts w:ascii="IRNazanin" w:hAnsi="IRNazanin" w:eastAsia="IRNazanin" w:cs="IRNazanin"/>
          <w:lang w:bidi="fa-IR"/>
          <w:color w:val="111111"/>
          <w:sz w:val="28"/>
          <w:szCs w:val="28"/>
          <w:rtl/>
        </w:rPr>
        <w:t xml:space="preserve">[ف: ۲ - ۳۹۴]</w:t>
      </w:r>
    </w:p>
    <w:p>
      <w:pPr>
        <w:pStyle w:val="Heading3"/>
      </w:pPr>
      <w:bookmarkStart w:id="1944" w:name="_Toc1466"/>
      <w:r>
        <w:t>اشرف المعجزات (ترجمه) / فارسی</w:t>
      </w:r>
      <w:bookmarkEnd w:id="1944"/>
    </w:p>
    <w:p>
      <w:pPr>
        <w:pStyle w:val="BookText"/>
      </w:pPr>
      <w:r>
        <w:rPr>
          <w:rFonts w:ascii="Times New Roman" w:hAnsi="Times New Roman" w:eastAsia="Times New Roman" w:cs="Times New Roman"/>
          <w:lang w:val="en-US" w:bidi="en-US"/>
          <w:color w:val="111111"/>
          <w:sz w:val="28"/>
          <w:szCs w:val="28"/>
          <w:rtl/>
        </w:rPr>
        <w:t xml:space="preserve">(ašraf-ul mu‘jizāt (t.)</w:t>
      </w:r>
    </w:p>
    <w:p>
      <w:pPr>
        <w:pStyle w:val="BookText"/>
      </w:pPr>
      <w:r>
        <w:rPr>
          <w:rFonts w:ascii="IRNazanin" w:hAnsi="IRNazanin" w:eastAsia="IRNazanin" w:cs="IRNazanin"/>
          <w:lang w:bidi="fa-IR"/>
          <w:color w:val="111111"/>
          <w:sz w:val="28"/>
          <w:szCs w:val="28"/>
          <w:rtl/>
        </w:rPr>
        <w:t xml:space="preserve">میرزا بزرگ قائم مقام، عيسى بن حسن،  1167- 1237 ؟ قمری</w:t>
      </w:r>
    </w:p>
    <w:p>
      <w:pPr>
        <w:pStyle w:val="BookText"/>
      </w:pPr>
      <w:r>
        <w:rPr>
          <w:rFonts w:ascii="Times New Roman" w:hAnsi="Times New Roman" w:eastAsia="Times New Roman" w:cs="Times New Roman"/>
          <w:lang w:val="en-US" w:bidi="en-US"/>
          <w:color w:val="111111"/>
          <w:sz w:val="28"/>
          <w:szCs w:val="28"/>
          <w:rtl/>
        </w:rPr>
        <w:t xml:space="preserve">(1822-mīrzā bozorg-e qā’em maqām, ‘īsā ebn-e hasan (1754 -</w:t>
      </w:r>
    </w:p>
    <w:p>
      <w:pPr>
        <w:pStyle w:val="BookText"/>
      </w:pPr>
      <w:r>
        <w:rPr>
          <w:rFonts w:ascii="Amiri" w:hAnsi="Amiri" w:eastAsia="Amiri" w:cs="Amiri"/>
          <w:lang w:bidi="ar-SA"/>
          <w:color w:val="111111"/>
          <w:sz w:val="28"/>
          <w:szCs w:val="28"/>
          <w:rtl/>
        </w:rPr>
        <w:t xml:space="preserve">وابسته به: اشرف المعجزات؛ تسترى، عبدالرحيم</w:t>
      </w:r>
    </w:p>
    <w:p>
      <w:pPr>
        <w:pStyle w:val="BookText"/>
      </w:pPr>
      <w:r>
        <w:rPr>
          <w:rFonts w:ascii="IRNazanin" w:hAnsi="IRNazanin" w:eastAsia="IRNazanin" w:cs="IRNazanin"/>
          <w:lang w:bidi="fa-IR"/>
          <w:color w:val="111111"/>
          <w:sz w:val="28"/>
          <w:szCs w:val="28"/>
          <w:rtl/>
        </w:rPr>
        <w:t xml:space="preserve">تهران؛ مجلس؛ شماره نسخه: ۶۳۲/۶</w:t>
      </w:r>
    </w:p>
    <w:p>
      <w:pPr>
        <w:pStyle w:val="BookText"/>
      </w:pPr>
      <w:r>
        <w:rPr>
          <w:rFonts w:ascii="IRNazanin" w:hAnsi="IRNazanin" w:eastAsia="IRNazanin" w:cs="IRNazanin"/>
          <w:lang w:bidi="fa-IR"/>
          <w:color w:val="111111"/>
          <w:sz w:val="28"/>
          <w:szCs w:val="28"/>
          <w:rtl/>
        </w:rPr>
        <w:t xml:space="preserve">بی کا، تا: ۱۲۹۹ق [ف: ۲ - ۳۹۴]</w:t>
      </w:r>
    </w:p>
    <w:p>
      <w:pPr>
        <w:pStyle w:val="Heading3"/>
      </w:pPr>
      <w:bookmarkStart w:id="1945" w:name="_Toc1467"/>
      <w:r>
        <w:t>اشرف الوسائل الى فهم الشمائل / تاریخ پیامبر اکرم(صلّی اللَّهِ علیه وَ آلِهِ وَ سَلَّمَ )/ عربی</w:t>
      </w:r>
      <w:bookmarkEnd w:id="1945"/>
    </w:p>
    <w:p>
      <w:pPr>
        <w:pStyle w:val="BookText"/>
      </w:pPr>
      <w:r>
        <w:rPr>
          <w:rFonts w:ascii="Times New Roman" w:hAnsi="Times New Roman" w:eastAsia="Times New Roman" w:cs="Times New Roman"/>
          <w:lang w:val="en-US" w:bidi="en-US"/>
          <w:color w:val="111111"/>
          <w:sz w:val="28"/>
          <w:szCs w:val="28"/>
          <w:rtl/>
        </w:rPr>
        <w:t xml:space="preserve">ašraf-ul-wasā’il ila fahm-iš-šamā’il</w:t>
      </w:r>
    </w:p>
    <w:p>
      <w:pPr>
        <w:pStyle w:val="BookText"/>
      </w:pPr>
      <w:r>
        <w:rPr>
          <w:rFonts w:ascii="IRNazanin" w:hAnsi="IRNazanin" w:eastAsia="IRNazanin" w:cs="IRNazanin"/>
          <w:lang w:bidi="fa-IR"/>
          <w:color w:val="111111"/>
          <w:sz w:val="28"/>
          <w:szCs w:val="28"/>
          <w:rtl/>
        </w:rPr>
        <w:t xml:space="preserve">ابن حجر هیثمی، احمد بن محمد، ۹۰۹ - ۹۷۳؟ قمری</w:t>
      </w:r>
    </w:p>
    <w:p>
      <w:pPr>
        <w:pStyle w:val="BookText"/>
      </w:pPr>
      <w:r>
        <w:rPr>
          <w:rFonts w:ascii="Times New Roman" w:hAnsi="Times New Roman" w:eastAsia="Times New Roman" w:cs="Times New Roman"/>
          <w:lang w:val="en-US" w:bidi="en-US"/>
          <w:color w:val="111111"/>
          <w:sz w:val="28"/>
          <w:szCs w:val="28"/>
          <w:rtl/>
        </w:rPr>
        <w:t xml:space="preserve">(1566-ebn-e hajar-e haysamī, ahmad ebn-e mohammad (1504</w:t>
      </w:r>
    </w:p>
    <w:p>
      <w:pPr>
        <w:pStyle w:val="BookText"/>
      </w:pPr>
      <w:r>
        <w:rPr>
          <w:rFonts w:ascii="IRNazanin" w:hAnsi="IRNazanin" w:eastAsia="IRNazanin" w:cs="IRNazanin"/>
          <w:lang w:bidi="fa-IR"/>
          <w:color w:val="111111"/>
          <w:sz w:val="28"/>
          <w:szCs w:val="28"/>
          <w:rtl/>
        </w:rPr>
        <w:t xml:space="preserve">وابسته به: الشمائل النبوية و الخصائل المصطفوية = شمايل الـنبی = شمائل الترمذى؛ ترمذی، محمد بن عیسی( 209- 279)</w:t>
      </w:r>
    </w:p>
    <w:p>
      <w:pPr>
        <w:pStyle w:val="BookText"/>
      </w:pPr>
      <w:r>
        <w:rPr>
          <w:rFonts w:ascii="IRNazanin" w:hAnsi="IRNazanin" w:eastAsia="IRNazanin" w:cs="IRNazanin"/>
          <w:lang w:bidi="fa-IR"/>
          <w:color w:val="111111"/>
          <w:sz w:val="28"/>
          <w:szCs w:val="28"/>
          <w:rtl/>
        </w:rPr>
        <w:t xml:space="preserve">تاریخ تألیف: ۱۸ رمضان ۹۴۹ق</w:t>
      </w:r>
    </w:p>
    <w:p>
      <w:pPr>
        <w:pStyle w:val="BookText"/>
      </w:pPr>
      <w:r>
        <w:rPr>
          <w:rFonts w:ascii="IRNazanin" w:hAnsi="IRNazanin" w:eastAsia="IRNazanin" w:cs="IRNazanin"/>
          <w:lang w:bidi="fa-IR"/>
          <w:color w:val="111111"/>
          <w:sz w:val="28"/>
          <w:szCs w:val="28"/>
          <w:rtl/>
        </w:rPr>
        <w:t xml:space="preserve">شرح مزجی و مبسوطی بر کتاب «شمائل النبي» محمد بن عيسی ترمذی است که پس از ذکر هر حدیث به توضیح مفردات شرح آن پرداخته است.</w:t>
      </w:r>
    </w:p>
    <w:p>
      <w:pPr>
        <w:pStyle w:val="BookText"/>
      </w:pPr>
      <w:r>
        <w:rPr>
          <w:rFonts w:ascii="Amiri" w:hAnsi="Amiri" w:eastAsia="Amiri" w:cs="Amiri"/>
          <w:lang w:bidi="ar-SA"/>
          <w:color w:val="111111"/>
          <w:sz w:val="28"/>
          <w:szCs w:val="28"/>
          <w:rtl/>
        </w:rPr>
        <w:t xml:space="preserve">آغاز: الحمد لله رب العالمين والصلاة و السلام على سيدنا محـمد خاتم النبيين و المرسلين و على آله.</w:t>
      </w:r>
    </w:p>
    <w:p>
      <w:pPr>
        <w:pStyle w:val="BookText"/>
      </w:pPr>
      <w:r>
        <w:rPr>
          <w:rFonts w:ascii="Amiri" w:hAnsi="Amiri" w:eastAsia="Amiri" w:cs="Amiri"/>
          <w:lang w:bidi="ar-SA"/>
          <w:color w:val="111111"/>
          <w:sz w:val="28"/>
          <w:szCs w:val="28"/>
          <w:rtl/>
        </w:rPr>
        <w:t xml:space="preserve">انجام: وصلى الله على سيدنا محمد من لا نبي بعده (وآله).</w:t>
      </w:r>
    </w:p>
    <w:p>
      <w:pPr>
        <w:pStyle w:val="BookText"/>
      </w:pPr>
      <w:r>
        <w:rPr>
          <w:rFonts w:ascii="IRNazanin" w:hAnsi="IRNazanin" w:eastAsia="IRNazanin" w:cs="IRNazanin"/>
          <w:lang w:bidi="fa-IR"/>
          <w:color w:val="111111"/>
          <w:sz w:val="28"/>
          <w:szCs w:val="28"/>
          <w:rtl/>
        </w:rPr>
        <w:t xml:space="preserve">[دنا ۸۵۳/۱ (۲ نسخه)؛ کشف الظنون ۱۰۵۹/۲ ؛ الاوقاف العامة بغداد 1/ 323و ۳۲۴؛ خزانة دار صدام ص ۵۴-۵۷؛ معجم المؤلفين ۱۵۲/۲ و ۱۰۴/۱۱]</w:t>
      </w:r>
    </w:p>
    <w:p>
      <w:pPr>
        <w:pStyle w:val="BookText"/>
      </w:pPr>
      <w:r>
        <w:rPr>
          <w:rFonts w:ascii="IRNazanin" w:hAnsi="IRNazanin" w:eastAsia="IRNazanin" w:cs="IRNazanin"/>
          <w:lang w:bidi="fa-IR"/>
          <w:color w:val="111111"/>
          <w:sz w:val="28"/>
          <w:szCs w:val="28"/>
          <w:rtl/>
        </w:rPr>
        <w:t xml:space="preserve">۱. مشهد؛ رضوی؛ شماره نسخه: ۳۶۰۵۵</w:t>
      </w:r>
    </w:p>
    <w:p>
      <w:pPr>
        <w:pStyle w:val="BookText"/>
      </w:pPr>
      <w:r>
        <w:rPr>
          <w:rFonts w:ascii="IRNazanin" w:hAnsi="IRNazanin" w:eastAsia="IRNazanin" w:cs="IRNazanin"/>
          <w:lang w:bidi="fa-IR"/>
          <w:color w:val="111111"/>
          <w:sz w:val="28"/>
          <w:szCs w:val="28"/>
          <w:rtl/>
        </w:rPr>
        <w:t xml:space="preserve">خط: نسخ، کا: محمود بن محمد کیلدره ای، تا: جمعه ۲۰ صفر ۱۲۴۵ق؛ محشی، دارای بلاغ؛ اهدایی: رهبری، مهر ۱۳۸۶؛ کاغذ: نخودی آهار مهره، جلد: تیماج قهوه ای ضربی با ترنج و سرترنج ۲۶۹ گ، ۱۷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[اهدائی رهبر: ۲ اخبار 1- 104]</w:t>
      </w:r>
    </w:p>
    <w:p>
      <w:pPr>
        <w:pStyle w:val="BookText"/>
      </w:pPr>
      <w:r>
        <w:rPr>
          <w:rFonts w:ascii="IRNazanin" w:hAnsi="IRNazanin" w:eastAsia="IRNazanin" w:cs="IRNazanin"/>
          <w:lang w:bidi="fa-IR"/>
          <w:color w:val="111111"/>
          <w:sz w:val="28"/>
          <w:szCs w:val="28"/>
          <w:rtl/>
        </w:rPr>
        <w:t xml:space="preserve">مشهد؛ شیخ علی حیدر؛ شماره نسخه: ۱۴۲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این نسخه به آستان قدس منتقل  شده، همان نسخه بالا [مؤید: 1- 135]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مجلس؛ شماره نسخه: ۱۶۸۶۳</w:t>
      </w:r>
    </w:p>
    <w:p>
      <w:pPr>
        <w:pStyle w:val="BookText"/>
      </w:pPr>
      <w:r>
        <w:rPr>
          <w:rFonts w:ascii="IRNazanin" w:hAnsi="IRNazanin" w:eastAsia="IRNazanin" w:cs="IRNazanin"/>
          <w:lang w:bidi="fa-IR"/>
          <w:color w:val="111111"/>
          <w:sz w:val="28"/>
          <w:szCs w:val="28"/>
          <w:rtl/>
        </w:rPr>
        <w:t xml:space="preserve">بی کا، بی تا [د.ث. مجلس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مشهد؛ رضوی؛ شماره نسخه: ۲۱۶۸۶</w:t>
      </w:r>
    </w:p>
    <w:p>
      <w:pPr>
        <w:pStyle w:val="BookText"/>
      </w:pPr>
      <w:r>
        <w:rPr>
          <w:rFonts w:ascii="IRNazanin" w:hAnsi="IRNazanin" w:eastAsia="IRNazanin" w:cs="IRNazanin"/>
          <w:lang w:bidi="fa-IR"/>
          <w:color w:val="111111"/>
          <w:sz w:val="28"/>
          <w:szCs w:val="28"/>
          <w:rtl/>
        </w:rPr>
        <w:t xml:space="preserve">آغاز: بسمله حمدله و بعد فهذه عجالة علقتها على مشكل شمـائل الامام الحافظ ابی عیسی محمد بن عیسی بن سورة الترمذى؛</w:t>
      </w:r>
    </w:p>
    <w:p>
      <w:pPr>
        <w:pStyle w:val="BookText"/>
      </w:pPr>
      <w:r>
        <w:rPr>
          <w:rFonts w:ascii="Amiri" w:hAnsi="Amiri" w:eastAsia="Amiri" w:cs="Amiri"/>
          <w:lang w:bidi="ar-SA"/>
          <w:color w:val="111111"/>
          <w:sz w:val="28"/>
          <w:szCs w:val="28"/>
          <w:rtl/>
        </w:rPr>
        <w:t xml:space="preserve">انجام: ما تغربه اعيننا وتركوا بصفاته نفوسنا انه ولى ذلك والقادر عليه و حسبنا الله ونعم الوكيل و لا حول ولاقوة الا بالله العلى  العظيم</w:t>
      </w:r>
    </w:p>
    <w:p>
      <w:pPr>
        <w:pStyle w:val="BookText"/>
      </w:pPr>
      <w:r>
        <w:rPr>
          <w:rFonts w:ascii="IRNazanin" w:hAnsi="IRNazanin" w:eastAsia="IRNazanin" w:cs="IRNazanin"/>
          <w:lang w:bidi="fa-IR"/>
          <w:color w:val="111111"/>
          <w:sz w:val="28"/>
          <w:szCs w:val="28"/>
          <w:rtl/>
        </w:rPr>
        <w:t xml:space="preserve">خط: نسخ خفی، بی کا، بی تا؛ ۵۱ برگ در آخر کتاب در قرن ۱۴ق نونویسی شده، محشی؛ اهدایی: رهبری، خرداد ۱۳۷۲؛ کاغذ: نخودی آهار مهره، جلد: مقوا با عطف و گوشه میشن، ۱۹۳گ، ۲۳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۲۳/۵سم[اهدائی رهبر:۲ اخبار ۱-۱۰۳]</w:t>
      </w:r>
    </w:p>
    <w:p>
      <w:pPr>
        <w:pStyle w:val="Heading3"/>
      </w:pPr>
      <w:bookmarkStart w:id="1946" w:name="_Toc1468"/>
      <w:r>
        <w:t>اشرفیات / نحو، شعر / عربی</w:t>
      </w:r>
      <w:bookmarkEnd w:id="1946"/>
    </w:p>
    <w:p>
      <w:pPr>
        <w:pStyle w:val="BookText"/>
      </w:pPr>
      <w:r>
        <w:rPr>
          <w:rFonts w:ascii="Times New Roman" w:hAnsi="Times New Roman" w:eastAsia="Times New Roman" w:cs="Times New Roman"/>
          <w:lang w:val="en-US" w:bidi="en-US"/>
          <w:color w:val="111111"/>
          <w:sz w:val="28"/>
          <w:szCs w:val="28"/>
          <w:rtl/>
        </w:rPr>
        <w:t xml:space="preserve">ašrafiyāt</w:t>
      </w:r>
    </w:p>
    <w:p>
      <w:pPr>
        <w:pStyle w:val="BookText"/>
      </w:pPr>
      <w:r>
        <w:rPr>
          <w:rFonts w:ascii="IRNazanin" w:hAnsi="IRNazanin" w:eastAsia="IRNazanin" w:cs="IRNazanin"/>
          <w:lang w:bidi="fa-IR"/>
          <w:color w:val="111111"/>
          <w:sz w:val="28"/>
          <w:szCs w:val="28"/>
          <w:rtl/>
        </w:rPr>
        <w:t xml:space="preserve">منظومه ای است در نحو در دو «بخش»: نخست  الجمل، دوم احكام قبيح على المعرب جهلها، و هر بخش دویست بیت شعر دارد.</w:t>
      </w:r>
    </w:p>
    <w:p>
      <w:pPr>
        <w:pStyle w:val="BookText"/>
      </w:pPr>
      <w:r>
        <w:rPr>
          <w:rFonts w:ascii="IRNazanin" w:hAnsi="IRNazanin" w:eastAsia="IRNazanin" w:cs="IRNazanin"/>
          <w:lang w:bidi="fa-IR"/>
          <w:color w:val="111111"/>
          <w:sz w:val="28"/>
          <w:szCs w:val="28"/>
          <w:rtl/>
        </w:rPr>
        <w:t xml:space="preserve">تهران؛ سپهسالار؛ شماره نسخه: ۱۳۷۹/۳</w:t>
      </w:r>
    </w:p>
    <w:p>
      <w:pPr>
        <w:pStyle w:val="BookText"/>
      </w:pPr>
      <w:r>
        <w:rPr>
          <w:rFonts w:ascii="IRNazanin" w:hAnsi="IRNazanin" w:eastAsia="IRNazanin" w:cs="IRNazanin"/>
          <w:lang w:bidi="fa-IR"/>
          <w:color w:val="111111"/>
          <w:sz w:val="28"/>
          <w:szCs w:val="28"/>
          <w:rtl/>
        </w:rPr>
        <w:t xml:space="preserve">آغاز: بسمله الحمد لله تعالى بعلا *** و رفعة عن خطرات العقلا / و بعد قد الفت في الاعراب *** خلاصة رائقة الابواب / ترجمتها بالاشرفيات على *** قسمین و الله کفانی زللا؛</w:t>
      </w:r>
    </w:p>
    <w:p>
      <w:pPr>
        <w:pStyle w:val="BookText"/>
      </w:pPr>
      <w:r>
        <w:rPr>
          <w:rFonts w:ascii="IRNazanin" w:hAnsi="IRNazanin" w:eastAsia="IRNazanin" w:cs="IRNazanin"/>
          <w:lang w:bidi="fa-IR"/>
          <w:color w:val="111111"/>
          <w:sz w:val="28"/>
          <w:szCs w:val="28"/>
          <w:rtl/>
        </w:rPr>
        <w:t xml:space="preserve">خط: نسخ، بی کا، تا: قرن ۱۱؛ افتادگی: انجام؛ هر صفحه ۱۴ بیت، در باب الحذف بدین بیت پایان یافته است: «او بعض او اشارة ثم عدد *** كل كذاير شد نا کل رشد» کاغذ:سپاهانی سفید و هندی نخودی ،جلد: تیماج سرخ یک لا کناره مشکی ضربی درون  مشکی، ۲۵ ص (۳۴۱-۳۶۵)، ۱۴ و ۱۷ سطر، اندازه: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۳ - ۱۳۸]</w:t>
      </w:r>
    </w:p>
    <w:p>
      <w:pPr>
        <w:pStyle w:val="Heading3"/>
      </w:pPr>
      <w:bookmarkStart w:id="1947" w:name="_Toc1469"/>
      <w:r>
        <w:t>اشرفیه = رد رساله حل اختلاف / کلام و اعتقادات /  فارسی</w:t>
      </w:r>
      <w:bookmarkEnd w:id="1947"/>
    </w:p>
    <w:p>
      <w:pPr>
        <w:pStyle w:val="BookText"/>
      </w:pPr>
      <w:r>
        <w:rPr>
          <w:rFonts w:ascii="Times New Roman" w:hAnsi="Times New Roman" w:eastAsia="Times New Roman" w:cs="Times New Roman"/>
          <w:lang w:val="en-US" w:bidi="en-US"/>
          <w:color w:val="111111"/>
          <w:sz w:val="28"/>
          <w:szCs w:val="28"/>
          <w:rtl/>
        </w:rPr>
        <w:t xml:space="preserve">asrafiyc</w:t>
      </w:r>
    </w:p>
    <w:p>
      <w:pPr>
        <w:pStyle w:val="BookText"/>
      </w:pPr>
      <w:r>
        <w:rPr>
          <w:rFonts w:ascii="IRNazanin" w:hAnsi="IRNazanin" w:eastAsia="IRNazanin" w:cs="IRNazanin"/>
          <w:lang w:bidi="fa-IR"/>
          <w:color w:val="111111"/>
          <w:sz w:val="28"/>
          <w:szCs w:val="28"/>
          <w:rtl/>
        </w:rPr>
        <w:t xml:space="preserve">اشرف زاده، محسن بن ابی القاسم، ق۱۴ شمسی</w:t>
      </w:r>
    </w:p>
    <w:p>
      <w:pPr>
        <w:pStyle w:val="BookText"/>
      </w:pPr>
      <w:r>
        <w:rPr>
          <w:rFonts w:ascii="Times New Roman" w:hAnsi="Times New Roman" w:eastAsia="Times New Roman" w:cs="Times New Roman"/>
          <w:lang w:val="en-US" w:bidi="en-US"/>
          <w:color w:val="111111"/>
          <w:sz w:val="28"/>
          <w:szCs w:val="28"/>
          <w:rtl/>
        </w:rPr>
        <w:t xml:space="preserve">(ašrafiyeašraf-zāde, mohsen ebn-e abe-l-qasem (- 20c)</w:t>
      </w:r>
    </w:p>
    <w:p>
      <w:pPr>
        <w:pStyle w:val="BookText"/>
      </w:pPr>
      <w:r>
        <w:rPr>
          <w:rFonts w:ascii="IRNazanin" w:hAnsi="IRNazanin" w:eastAsia="IRNazanin" w:cs="IRNazanin"/>
          <w:lang w:bidi="fa-IR"/>
          <w:color w:val="111111"/>
          <w:sz w:val="28"/>
          <w:szCs w:val="28"/>
          <w:rtl/>
        </w:rPr>
        <w:t xml:space="preserve">وابسته به: حل اختلاف شیعه و سنی؛ مردوخ، محمد (۱۳۵۴ق) شیخ مردوخ کردستانی رساله «حل اختلاف» را در جواب رساله «ارض النبوة جسر عظیم» حاجی میرزا خلیل کمره ای نگاشته است و در آن موارد اختلاف بین شیعه و سنی را برشمرده است که دوازده مورد را شامل می شود، از این قرار: ۱. موضوع خلافت، ۲. شستن  پا؛ ۳ .موضوع مهر؛ ۴ ،اذان؛ ۵. مرده پرستی؛ ۶. عاشورا و روضه  خوانی، ۷. فدک و ... . اشراف زاده این رساله احتجاجی را در رد رساله کردستانی نگاشته است و یک به یک آن دوازده مورد را بررسی می کند و جواب می دهد.</w:t>
      </w:r>
    </w:p>
    <w:p>
      <w:pPr>
        <w:pStyle w:val="BookText"/>
      </w:pPr>
      <w:r>
        <w:rPr>
          <w:rFonts w:ascii="IRNazanin" w:hAnsi="IRNazanin" w:eastAsia="IRNazanin" w:cs="IRNazanin"/>
          <w:lang w:bidi="fa-IR"/>
          <w:color w:val="111111"/>
          <w:sz w:val="28"/>
          <w:szCs w:val="28"/>
          <w:rtl/>
        </w:rPr>
        <w:t xml:space="preserve">آغاز: بسمله، حمدله، بعد چنین گوید این عبد عاصی محسن ... که حضرت آیة الله حاجی میرزا خلیل کمره ای رساله [ای] تألیف فرموده بهنام «ارض النبوة جسر عظیم» به قرار نوشته شیخ محمد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bookmarkStart w:id="419" w:name="pg20365_260584"/>
    <w:bookmarkEnd w:id="419"/>
    <w:p>
      <w:pPr>
        <w:pStyle w:val="BookText"/>
      </w:pPr>
      <w:r>
        <w:rPr>
          <w:rFonts w:ascii="IRNazanin" w:hAnsi="IRNazanin" w:eastAsia="IRNazanin" w:cs="IRNazanin"/>
          <w:lang w:bidi="fa-IR"/>
          <w:color w:val="111111"/>
          <w:sz w:val="28"/>
          <w:szCs w:val="28"/>
          <w:rtl/>
        </w:rPr>
        <w:t xml:space="preserve">مردوخ کردستانی یک نسخه آن را برای او فرستاد وتقاضای اظهار نظر نموده اند. شیخ مزبور هم در جواب رساله ای به نام «رساله حل اختلاف» منتشر نموده که در آن رساله علاوه بر آنکه حل اختلاف ننموده و موارد اختلاف را برشمرده و تا توانسته به شیعه و علمای آن توهین و هتاکی نموده...موارد اختلاف را ۱۲ مورد شمرده که ما به فضل الله وعون الهى يـک به یک را مورد بحث قرار داده جواب می دهیم و حل اختلاف در هر مورد بیان می کنیم باشد که مؤثر شود.</w:t>
      </w:r>
    </w:p>
    <w:p>
      <w:pPr>
        <w:pStyle w:val="BookText"/>
      </w:pPr>
      <w:r>
        <w:rPr>
          <w:rFonts w:ascii="IRNazanin" w:hAnsi="IRNazanin" w:eastAsia="IRNazanin" w:cs="IRNazanin"/>
          <w:lang w:bidi="fa-IR"/>
          <w:color w:val="111111"/>
          <w:sz w:val="28"/>
          <w:szCs w:val="28"/>
          <w:rtl/>
        </w:rPr>
        <w:t xml:space="preserve">[دنا ۸۵۳/۱؛ فهرستواره منزوی (۹۰/۹]</w:t>
      </w:r>
    </w:p>
    <w:p>
      <w:pPr>
        <w:pStyle w:val="BookText"/>
      </w:pPr>
      <w:r>
        <w:rPr>
          <w:rFonts w:ascii="IRNazanin" w:hAnsi="IRNazanin" w:eastAsia="IRNazanin" w:cs="IRNazanin"/>
          <w:lang w:bidi="fa-IR"/>
          <w:color w:val="111111"/>
          <w:sz w:val="28"/>
          <w:szCs w:val="28"/>
          <w:rtl/>
        </w:rPr>
        <w:t xml:space="preserve">۱. مشهد؛ گوهر شاد؛ شماره نسخه: ۲۲۵۷</w:t>
      </w:r>
    </w:p>
    <w:p>
      <w:pPr>
        <w:pStyle w:val="BookText"/>
      </w:pPr>
      <w:r>
        <w:rPr>
          <w:rFonts w:ascii="IRNazanin" w:hAnsi="IRNazanin" w:eastAsia="IRNazanin" w:cs="IRNazanin"/>
          <w:lang w:bidi="fa-IR"/>
          <w:color w:val="111111"/>
          <w:sz w:val="28"/>
          <w:szCs w:val="28"/>
          <w:rtl/>
        </w:rPr>
        <w:t xml:space="preserve">آغاز: برابر؛ انجام: و هر کس به هر عنوان هتاکی ... نسبت به علما و ذریعه رسول خدا نماید مثل شیخ مردوخ فلعنة الله عليه پس از آن مرثیه ای در شهادت حضرت علی اصغر است...اقل العباد محسن بن ابى القاسم اشرف.</w:t>
      </w:r>
    </w:p>
    <w:p>
      <w:pPr>
        <w:pStyle w:val="BookText"/>
      </w:pPr>
      <w:r>
        <w:rPr>
          <w:rFonts w:ascii="IRNazanin" w:hAnsi="IRNazanin" w:eastAsia="IRNazanin" w:cs="IRNazanin"/>
          <w:lang w:bidi="fa-IR"/>
          <w:color w:val="111111"/>
          <w:sz w:val="28"/>
          <w:szCs w:val="28"/>
          <w:rtl/>
        </w:rPr>
        <w:t xml:space="preserve">خط: شکسته نستعلیق، كاتب = مؤلف، تا: ۱۳۶۱؛ واقف: محسن بن ابى القاسم اشرف زاده، ۱۶ آبان ۱۳۵۴؛ کاغذ: مشقی خط دار ،جلد: مقوا، ۴۰گ، مختلف السطر با جوهر آبی سطر،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۵ - ۶۳۲]</w:t>
      </w:r>
    </w:p>
    <w:p>
      <w:pPr>
        <w:pStyle w:val="BookText"/>
      </w:pPr>
      <w:r>
        <w:rPr>
          <w:rFonts w:ascii="IRNazanin" w:hAnsi="IRNazanin" w:eastAsia="IRNazanin" w:cs="IRNazanin"/>
          <w:lang w:bidi="fa-IR"/>
          <w:color w:val="111111"/>
          <w:sz w:val="28"/>
          <w:szCs w:val="28"/>
          <w:rtl/>
        </w:rPr>
        <w:t xml:space="preserve">۲. مشهد؛ رضوی؛ شماره نسخه: ۱۱۶۴۷</w:t>
      </w:r>
    </w:p>
    <w:p>
      <w:pPr>
        <w:pStyle w:val="BookText"/>
      </w:pPr>
      <w:r>
        <w:rPr>
          <w:rFonts w:ascii="IRNazanin" w:hAnsi="IRNazanin" w:eastAsia="IRNazanin" w:cs="IRNazanin"/>
          <w:lang w:bidi="fa-IR"/>
          <w:color w:val="111111"/>
          <w:sz w:val="28"/>
          <w:szCs w:val="28"/>
          <w:rtl/>
        </w:rPr>
        <w:t xml:space="preserve">آغاز: برابر؛ انجام: خدا سزای او را بدهد پس از این منظومه فارسی اثر طبع وی در رثاء حضرت علی اصغر (علیه السّلام) است.</w:t>
      </w:r>
    </w:p>
    <w:p>
      <w:pPr>
        <w:pStyle w:val="BookText"/>
      </w:pPr>
      <w:r>
        <w:rPr>
          <w:rFonts w:ascii="IRNazanin" w:hAnsi="IRNazanin" w:eastAsia="IRNazanin" w:cs="IRNazanin"/>
          <w:lang w:bidi="fa-IR"/>
          <w:color w:val="111111"/>
          <w:sz w:val="28"/>
          <w:szCs w:val="28"/>
          <w:rtl/>
        </w:rPr>
        <w:t xml:space="preserve">خط: نستعلیق، بی کا، بی تا ؛واقف: محسن بن ابی القاسم اشرف زاده، آذر ۱۳۵۴؛ کاغذ: مشقی، جلد: مقوا ،۸۶گ، مختلف السطر،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۱۱ - ۱۹]</w:t>
      </w:r>
    </w:p>
    <w:p>
      <w:pPr>
        <w:pStyle w:val="Heading3"/>
      </w:pPr>
      <w:bookmarkStart w:id="1948" w:name="_Toc1470"/>
      <w:r>
        <w:t>اشعار / شعر / عربی</w:t>
      </w:r>
      <w:bookmarkEnd w:id="1948"/>
    </w:p>
    <w:p>
      <w:pPr>
        <w:pStyle w:val="BookText"/>
      </w:pPr>
      <w:r>
        <w:rPr>
          <w:rFonts w:ascii="Times New Roman" w:hAnsi="Times New Roman" w:eastAsia="Times New Roman" w:cs="Times New Roman"/>
          <w:lang w:val="en-US" w:bidi="en-US"/>
          <w:color w:val="111111"/>
          <w:sz w:val="28"/>
          <w:szCs w:val="28"/>
          <w:rtl/>
        </w:rPr>
        <w:t xml:space="preserve">aš‘ār</w:t>
      </w:r>
    </w:p>
    <w:p>
      <w:pPr>
        <w:pStyle w:val="BookText"/>
      </w:pPr>
      <w:r>
        <w:rPr>
          <w:rFonts w:ascii="IRNazanin" w:hAnsi="IRNazanin" w:eastAsia="IRNazanin" w:cs="IRNazanin"/>
          <w:lang w:bidi="fa-IR"/>
          <w:color w:val="111111"/>
          <w:sz w:val="28"/>
          <w:szCs w:val="28"/>
          <w:rtl/>
        </w:rPr>
        <w:t xml:space="preserve">منسوب به علی بن ابی طالب (علیه السّلام)، امام اول، - ۴۰ قمری</w:t>
      </w:r>
    </w:p>
    <w:p>
      <w:pPr>
        <w:pStyle w:val="BookText"/>
      </w:pPr>
      <w:r>
        <w:rPr>
          <w:rFonts w:ascii="Times New Roman" w:hAnsi="Times New Roman" w:eastAsia="Times New Roman" w:cs="Times New Roman"/>
          <w:lang w:val="en-US" w:bidi="en-US"/>
          <w:color w:val="111111"/>
          <w:sz w:val="28"/>
          <w:szCs w:val="28"/>
          <w:rtl/>
        </w:rPr>
        <w:t xml:space="preserve">(‘alī ebn-e abī tāleb, emām-e avval (- 661)</w:t>
      </w:r>
    </w:p>
    <w:p>
      <w:pPr>
        <w:pStyle w:val="BookText"/>
      </w:pPr>
      <w:r>
        <w:rPr>
          <w:rFonts w:ascii="IRNazanin" w:hAnsi="IRNazanin" w:eastAsia="IRNazanin" w:cs="IRNazanin"/>
          <w:lang w:bidi="fa-IR"/>
          <w:color w:val="111111"/>
          <w:sz w:val="28"/>
          <w:szCs w:val="28"/>
          <w:rtl/>
        </w:rPr>
        <w:t xml:space="preserve">مشهد؛ رضوی؛ شماره نسخه: ۱۱۳۹۲</w:t>
      </w:r>
    </w:p>
    <w:p>
      <w:pPr>
        <w:pStyle w:val="BookText"/>
      </w:pPr>
      <w:r>
        <w:rPr>
          <w:rFonts w:ascii="IRNazanin" w:hAnsi="IRNazanin" w:eastAsia="IRNazanin" w:cs="IRNazanin"/>
          <w:lang w:bidi="fa-IR"/>
          <w:color w:val="111111"/>
          <w:sz w:val="28"/>
          <w:szCs w:val="28"/>
          <w:rtl/>
        </w:rPr>
        <w:t xml:space="preserve">آغاز: و قال عفى الله عنه سائلا سيده ابا عبدالله الحسين؛ انجـام:  تفزبا ليه عنه حلول لاى ... كتبه العاصى محمد بن علی</w:t>
      </w:r>
    </w:p>
    <w:p>
      <w:pPr>
        <w:pStyle w:val="BookText"/>
      </w:pPr>
      <w:r>
        <w:rPr>
          <w:rFonts w:ascii="IRNazanin" w:hAnsi="IRNazanin" w:eastAsia="IRNazanin" w:cs="IRNazanin"/>
          <w:lang w:bidi="fa-IR"/>
          <w:color w:val="111111"/>
          <w:sz w:val="28"/>
          <w:szCs w:val="28"/>
          <w:rtl/>
        </w:rPr>
        <w:t xml:space="preserve">خط: نسخ، کا: محمد بن علی، تا: ۱۲۶۰ق؛ کاغذ: نخودی، جـلد: پارچه ای [ رایانه ]</w:t>
      </w:r>
    </w:p>
    <w:p>
      <w:pPr>
        <w:pStyle w:val="Heading3"/>
      </w:pPr>
      <w:bookmarkStart w:id="1949" w:name="_Toc1471"/>
      <w:r>
        <w:t>اشعار / شعر / اردو</w:t>
      </w:r>
      <w:bookmarkEnd w:id="1949"/>
    </w:p>
    <w:p>
      <w:pPr>
        <w:pStyle w:val="BookText"/>
      </w:pPr>
      <w:r>
        <w:rPr>
          <w:rFonts w:ascii="Times New Roman" w:hAnsi="Times New Roman" w:eastAsia="Times New Roman" w:cs="Times New Roman"/>
          <w:lang w:val="en-US" w:bidi="en-US"/>
          <w:color w:val="111111"/>
          <w:sz w:val="28"/>
          <w:szCs w:val="28"/>
          <w:rtl/>
        </w:rPr>
        <w:t xml:space="preserve">aš‘ār</w:t>
      </w:r>
    </w:p>
    <w:p>
      <w:pPr>
        <w:pStyle w:val="BookText"/>
      </w:pPr>
      <w:r>
        <w:rPr>
          <w:rFonts w:ascii="IRNazanin" w:hAnsi="IRNazanin" w:eastAsia="IRNazanin" w:cs="IRNazanin"/>
          <w:lang w:bidi="fa-IR"/>
          <w:color w:val="111111"/>
          <w:sz w:val="28"/>
          <w:szCs w:val="28"/>
          <w:rtl/>
        </w:rPr>
        <w:t xml:space="preserve">۱. تهران؛ مجلس؛ شماره نسخه: ۱۳۶۸۷</w:t>
      </w:r>
    </w:p>
    <w:p>
      <w:pPr>
        <w:pStyle w:val="BookText"/>
      </w:pPr>
      <w:r>
        <w:rPr>
          <w:rFonts w:ascii="IRNazanin" w:hAnsi="IRNazanin" w:eastAsia="IRNazanin" w:cs="IRNazanin"/>
          <w:lang w:bidi="fa-IR"/>
          <w:color w:val="111111"/>
          <w:sz w:val="28"/>
          <w:szCs w:val="28"/>
          <w:rtl/>
        </w:rPr>
        <w:t xml:space="preserve">آغاز: گل روان کهرسی هوا با دل پرسوز و خروش *** سوی گل که کهین آتش دل هو خاموش / دیکهه گلهای شکفته کو مـگر جلوه فروش *** یاد آیا کسی کلرو کا معطر اغوش؛ انجام: یاقوتی مفرح و معجون خوش مذاق *** عاشق بدور آنلب شیرین نهد مطاق / بوسیده ام اگر چه لبش را به اشتیاق *** لیکن فتاده است کنون طرفه اتفاق</w:t>
      </w:r>
    </w:p>
    <w:p>
      <w:pPr>
        <w:pStyle w:val="BookText"/>
      </w:pPr>
      <w:r>
        <w:rPr>
          <w:rFonts w:ascii="IRNazanin" w:hAnsi="IRNazanin" w:eastAsia="IRNazanin" w:cs="IRNazanin"/>
          <w:lang w:bidi="fa-IR"/>
          <w:color w:val="111111"/>
          <w:sz w:val="28"/>
          <w:szCs w:val="28"/>
          <w:rtl/>
        </w:rPr>
        <w:t xml:space="preserve">جنگ اشعاری است، به قطع بیاضی، در این جنگ اشعار شعرا به ترتیب موضوعی جمع آوری و تنظیم شده اند. بالای صفحات عنوان موضوع تحریر شده و در زیر آن اشعاری که صریحاً یا به طور اشاره و ایما به آن اشاره دارد نوشته شده است، ذیل برخی موضوعات که جامع جنگ برای آنها شعری پیدا نکرده سفید مانده است و اشعار ذکر شده در هر موضوع بین یک تا پنج بیت است. ترتیب موضوعات این جنگ چنین است: وصف روی، ،مخن ،دهان ،پان لب  خنده ،تبسم ،دشنام، لكنت، بوسه، تعریف سخن معضوق ،زنخدان بیاض  کردن، وصف قد و قامت، تکمه، گوش و بنا گوش ،دست ،حنا ،چوری، دست و ساعد، سینه و پستان هر دو، شکم وناف ،کمر،سرین، کف پای، خلخال، ناخن پا، نقش پا ،قبا حسد و بدطینتی ،مفارقت، خرام و رفتار، ابیات ناز و غمزه، تمكين، وفا، لباس نازک بدنی، برقع و نقاب، لطافت، غم وانتظار و اشتیاق صحبت بدان و صحبت نیکان، باندازه خودمان، پاس آبرو، جدائی، دوستی با  ناتوانان، تحمل سالک، تواضع، سفله  بدولت رسند، بوته شکن در بهار، نغمه و رقص،عراض، عرق چهره ،حسن ،زلف، زلف و رخسار، ابرو، روی نکو، چشم مخمور، گردش چشم، ،نگاه، دیده، دهن، بناگوش، وصل، وصال یار، شراب و  ساغر، حسرت دیدار، انتظار، وداع، آغوش و بدن؛ تغافل، شرم و حیا ،متفرقه، شکوه، قامت، توبه، طمع هجویات ،بهار ؛خط: نستعلیق ،چلیپا، بی کا، تا: قرن ۱۳؛ مجدول، جلد: مقوایی عطف و گوشه گالینگور قهوه ای، ۸۳گ، مختلف السطر، قطع: بیاضی،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۳۷ - ۲۱۲]</w:t>
      </w:r>
    </w:p>
    <w:p>
      <w:pPr>
        <w:pStyle w:val="BookText"/>
      </w:pPr>
      <w:r>
        <w:rPr>
          <w:rFonts w:ascii="IRNazanin" w:hAnsi="IRNazanin" w:eastAsia="IRNazanin" w:cs="IRNazanin"/>
          <w:lang w:bidi="fa-IR"/>
          <w:color w:val="111111"/>
          <w:sz w:val="28"/>
          <w:szCs w:val="28"/>
          <w:rtl/>
        </w:rPr>
        <w:t xml:space="preserve">۲. تهران؛ مجلس؛ شماره نسخه: ۹۱۸۵/۳</w:t>
      </w:r>
    </w:p>
    <w:p>
      <w:pPr>
        <w:pStyle w:val="BookText"/>
      </w:pPr>
      <w:r>
        <w:rPr>
          <w:rFonts w:ascii="IRNazanin" w:hAnsi="IRNazanin" w:eastAsia="IRNazanin" w:cs="IRNazanin"/>
          <w:lang w:bidi="fa-IR"/>
          <w:color w:val="111111"/>
          <w:sz w:val="28"/>
          <w:szCs w:val="28"/>
          <w:rtl/>
        </w:rPr>
        <w:t xml:space="preserve">خط: نسخ، بی کا ،تا: قرن ۱۳؛ کاغذ: فرنگی نیلی آهار مهره، جلد: میشن قهوه ای ضربی با ترنج و دو سر ترنج و دو کتیبه، ۵گ (۱۲۸ر-۱۳۳ر)، ۱۹ سطر (8</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 اندازه: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۲۲/۸سم [ف: 2/ 29- 848]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دانشگاه؛ شماره نسخه: ۴۲۸۱</w:t>
      </w:r>
    </w:p>
    <w:p>
      <w:pPr>
        <w:pStyle w:val="BookText"/>
      </w:pPr>
      <w:r>
        <w:rPr>
          <w:rFonts w:ascii="IRNazanin" w:hAnsi="IRNazanin" w:eastAsia="IRNazanin" w:cs="IRNazanin"/>
          <w:lang w:bidi="fa-IR"/>
          <w:color w:val="111111"/>
          <w:sz w:val="28"/>
          <w:szCs w:val="28"/>
          <w:rtl/>
        </w:rPr>
        <w:t xml:space="preserve">آغاز: برگت کپت سو سرب بیانی *** دهرتين جينهه جينهه نهين یانی /اورجوهوی سو باور اندها *** دن روی چارمری کی دهدها ؛انجام: سکهین کها پدماوت رانی کرهونه کهت بهیس *** جو کی سوجو کپت من جکوی لی کر گراپدیس</w:t>
      </w:r>
    </w:p>
    <w:p>
      <w:pPr>
        <w:pStyle w:val="BookText"/>
      </w:pPr>
      <w:r>
        <w:rPr>
          <w:rFonts w:ascii="IRNazanin" w:hAnsi="IRNazanin" w:eastAsia="IRNazanin" w:cs="IRNazanin"/>
          <w:lang w:bidi="fa-IR"/>
          <w:color w:val="111111"/>
          <w:sz w:val="28"/>
          <w:szCs w:val="28"/>
          <w:rtl/>
        </w:rPr>
        <w:t xml:space="preserve">مثنوی و به زبان اردوی کهن است درباره داستان پدمنی و شیفته او سلطان علاء الدين خلجی و در دیباچه آن توجهی به آیین اسلام شده و حدیث ها و آیه های بسیاری در آن آمده و چنین می نماید که سراینده آن از پیروان سنت است و شناخته نشد که کیست و همین اندازه از این مثنوی بر می آید که همزمان شیرشاه سوری بوده است که پس از همایون شاه و پیش از اکبر شاه پنج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bookmarkStart w:id="420" w:name="pg20365_260585"/>
    <w:bookmarkEnd w:id="420"/>
    <w:p>
      <w:pPr>
        <w:pStyle w:val="BookText"/>
      </w:pPr>
      <w:r>
        <w:rPr>
          <w:rFonts w:ascii="IRNazanin" w:hAnsi="IRNazanin" w:eastAsia="IRNazanin" w:cs="IRNazanin"/>
          <w:lang w:bidi="fa-IR"/>
          <w:color w:val="111111"/>
          <w:sz w:val="28"/>
          <w:szCs w:val="28"/>
          <w:rtl/>
        </w:rPr>
        <w:t xml:space="preserve">سال در هند فرمانروا بوده است. او در این دیوان از شیخ مبارک و شیخ کمال و شیخ برهان شاگرد سید محمد به نیکویی یاد کرده است؛ خط: نستعلیق، بی کا، تا:قرن ۱۳ و ۱۴، با توضیح واژه هـای دشوار در هامش؛ کاغذ: هندی، جلد: تیماج تریاکی ضربی مقوایی،۱۱۱گ، ۱۳ سطر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۱۵</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۲۲سم [ف: 13- 3249]</w:t>
      </w:r>
    </w:p>
    <w:p>
      <w:pPr>
        <w:pStyle w:val="BookText"/>
      </w:pPr>
      <w:r>
        <w:rPr>
          <w:rFonts w:ascii="IRNazanin" w:hAnsi="IRNazanin" w:eastAsia="IRNazanin" w:cs="IRNazanin"/>
          <w:lang w:bidi="fa-IR"/>
          <w:color w:val="111111"/>
          <w:sz w:val="28"/>
          <w:szCs w:val="28"/>
          <w:rtl/>
        </w:rPr>
        <w:t xml:space="preserve">۴.قم؛ طبسی؛ شماره نسخه: ۷۳۱</w:t>
      </w:r>
    </w:p>
    <w:p>
      <w:pPr>
        <w:pStyle w:val="BookText"/>
      </w:pPr>
      <w:r>
        <w:rPr>
          <w:rFonts w:ascii="IRNazanin" w:hAnsi="IRNazanin" w:eastAsia="IRNazanin" w:cs="IRNazanin"/>
          <w:lang w:bidi="fa-IR"/>
          <w:color w:val="111111"/>
          <w:sz w:val="28"/>
          <w:szCs w:val="28"/>
          <w:rtl/>
        </w:rPr>
        <w:t xml:space="preserve">آغاز:نوحه فریاد خدا کی گردون نی جفاکی </w:t>
      </w:r>
      <w:r>
        <w:rPr>
          <w:rFonts w:ascii="IRNazanin" w:hAnsi="IRNazanin" w:eastAsia="IRNazanin" w:cs="IRNazanin"/>
          <w:lang w:bidi="fa-IR"/>
          <w:color w:val="111111"/>
          <w:sz w:val="28"/>
          <w:szCs w:val="28"/>
          <w:b w:val="1"/>
          <w:bCs w:val="1"/>
          <w:i w:val="1"/>
          <w:iCs w:val="1"/>
          <w:rtl/>
        </w:rPr>
        <w:t xml:space="preserve">مان لب گـیء سجاد سکینه نی قضاکی؛ انجام: نوحه کهیتی تهی زینب ای اخی مردو نمین تم مگلئی</w:t>
      </w:r>
      <w:r>
        <w:rPr>
          <w:rFonts w:ascii="IRNazanin" w:hAnsi="IRNazanin" w:eastAsia="IRNazanin" w:cs="IRNazanin"/>
          <w:lang w:bidi="fa-IR"/>
          <w:color w:val="111111"/>
          <w:sz w:val="28"/>
          <w:szCs w:val="28"/>
          <w:rtl/>
        </w:rPr>
        <w:t xml:space="preserve"> هائی ای ابن علی مردون مین تم مل گی  نوحه ها و اشعار در مرثیه و عزای امام حسین (علیه السّلام)؛ خط: نستعلـیق، بی کا، تا: قرن ۱۴؛ جلد: مقوا آبی عطف و گوشه تیماج قهوه ای، ۱۶۱گ، سطور چلیپایی،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۱۹/۵سم [ف مخ: ۱ - ۸۳]</w:t>
      </w:r>
    </w:p>
    <w:p>
      <w:pPr>
        <w:pStyle w:val="BookText"/>
      </w:pPr>
      <w:r>
        <w:rPr>
          <w:rFonts w:ascii="IRNazanin" w:hAnsi="IRNazanin" w:eastAsia="IRNazanin" w:cs="IRNazanin"/>
          <w:lang w:bidi="fa-IR"/>
          <w:color w:val="111111"/>
          <w:sz w:val="28"/>
          <w:szCs w:val="28"/>
          <w:rtl/>
        </w:rPr>
        <w:t xml:space="preserve">۵. تهران؛ دانشگاه؛ شماره نسخه: ۷۲۶/۳-ف</w:t>
      </w:r>
    </w:p>
    <w:p>
      <w:pPr>
        <w:pStyle w:val="BookText"/>
      </w:pPr>
      <w:r>
        <w:rPr>
          <w:rFonts w:ascii="Amiri" w:hAnsi="Amiri" w:eastAsia="Amiri" w:cs="Amiri"/>
          <w:lang w:bidi="ar-SA"/>
          <w:color w:val="111111"/>
          <w:sz w:val="28"/>
          <w:szCs w:val="28"/>
          <w:rtl/>
        </w:rPr>
        <w:t xml:space="preserve">نسخه  اصل: موزه بريتانيا 11310 .</w:t>
      </w:r>
      <w:r>
        <w:rPr>
          <w:rFonts w:ascii="Times New Roman" w:hAnsi="Times New Roman" w:eastAsia="Times New Roman" w:cs="Times New Roman"/>
          <w:lang w:val="en-US" w:bidi="en-US"/>
          <w:color w:val="111111"/>
          <w:sz w:val="28"/>
          <w:szCs w:val="28"/>
          <w:rtl/>
        </w:rPr>
        <w:t xml:space="preserve">Or  </w:t>
      </w:r>
      <w:r>
        <w:rPr>
          <w:rFonts w:ascii="IRNazanin" w:hAnsi="IRNazanin" w:eastAsia="IRNazanin" w:cs="IRNazanin"/>
          <w:lang w:bidi="fa-IR"/>
          <w:color w:val="111111"/>
          <w:sz w:val="28"/>
          <w:szCs w:val="28"/>
          <w:rtl/>
        </w:rPr>
        <w:t xml:space="preserve">؛ بی کا، بی تا؛ بندی به عربی (۳۹ پ-۴۱پ) نثر و شعر اردو (۴۲ر-۴۳پ) [فیلمها: ۱ - ۵۲۹]</w:t>
      </w:r>
    </w:p>
    <w:p>
      <w:pPr>
        <w:pStyle w:val="BookText"/>
      </w:pPr>
      <w:r>
        <w:rPr>
          <w:rFonts w:ascii="IRNazanin" w:hAnsi="IRNazanin" w:eastAsia="IRNazanin" w:cs="IRNazanin"/>
          <w:lang w:bidi="fa-IR"/>
          <w:color w:val="111111"/>
          <w:sz w:val="28"/>
          <w:szCs w:val="28"/>
          <w:rtl/>
        </w:rPr>
        <w:t xml:space="preserve">۶. تهران؛ مجلس؛ شماره نسخه: ۵۱۶۳/۱۹</w:t>
      </w:r>
    </w:p>
    <w:p>
      <w:pPr>
        <w:pStyle w:val="BookText"/>
      </w:pPr>
      <w:r>
        <w:rPr>
          <w:rFonts w:ascii="IRNazanin" w:hAnsi="IRNazanin" w:eastAsia="IRNazanin" w:cs="IRNazanin"/>
          <w:lang w:bidi="fa-IR"/>
          <w:color w:val="111111"/>
          <w:sz w:val="28"/>
          <w:szCs w:val="28"/>
          <w:rtl/>
        </w:rPr>
        <w:t xml:space="preserve">آغاز: عرش پرروزی ازل تین رنس دن سولونور ؛انجام: رکهاو بیکی جمال اینا که جبواد هر آستیک رهاهی</w:t>
      </w:r>
    </w:p>
    <w:p>
      <w:pPr>
        <w:pStyle w:val="BookText"/>
      </w:pPr>
      <w:r>
        <w:rPr>
          <w:rFonts w:ascii="IRNazanin" w:hAnsi="IRNazanin" w:eastAsia="IRNazanin" w:cs="IRNazanin"/>
          <w:lang w:bidi="fa-IR"/>
          <w:color w:val="111111"/>
          <w:sz w:val="28"/>
          <w:szCs w:val="28"/>
          <w:rtl/>
        </w:rPr>
        <w:t xml:space="preserve">با عنوان: ریخته طویل البحر در تعریف حضرت امیر گویا نام شاعر جمال بوده است؛ بی کا، بی تا؛ ۲ص [ف: ۱۵ - ۲۹۹]</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قم؛ طبسی؛ شماره نسخه: ۷۵۰</w:t>
      </w:r>
    </w:p>
    <w:p>
      <w:pPr>
        <w:pStyle w:val="BookText"/>
      </w:pPr>
      <w:r>
        <w:rPr>
          <w:rFonts w:ascii="IRNazanin" w:hAnsi="IRNazanin" w:eastAsia="IRNazanin" w:cs="IRNazanin"/>
          <w:lang w:bidi="fa-IR"/>
          <w:color w:val="111111"/>
          <w:sz w:val="28"/>
          <w:szCs w:val="28"/>
          <w:rtl/>
        </w:rPr>
        <w:t xml:space="preserve">آغاز: کبیو بابا سی که هی فاطمه فاطمه صغرا بیچین *** نام لی لی بیـکی مرجائیگی کبه کبه کی حسین؛ انجام: حرمت بچاد هادی کی اوسکی پسر هوتم *** اک پل مین جوکه صاحب. اولاد کرگـنی تمت. تمام شد</w:t>
      </w:r>
    </w:p>
    <w:p>
      <w:pPr>
        <w:pStyle w:val="BookText"/>
      </w:pPr>
      <w:r>
        <w:rPr>
          <w:rFonts w:ascii="IRNazanin" w:hAnsi="IRNazanin" w:eastAsia="IRNazanin" w:cs="IRNazanin"/>
          <w:lang w:bidi="fa-IR"/>
          <w:color w:val="111111"/>
          <w:sz w:val="28"/>
          <w:szCs w:val="28"/>
          <w:rtl/>
        </w:rPr>
        <w:t xml:space="preserve">نوحه ها و مراثی در عزای سید الشهداء (علیه السّلام)؛ خط: نستعلیق، بی کا، تا: قرن ۱۳ و ۱۴، جلد: تیماج قهوه ای مجدول، ۱۱۴گ، مختلف السطر ،اندازه: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۲۲/۵سم [ف مخ: ۱ - ۸۳]</w:t>
      </w:r>
    </w:p>
    <w:p>
      <w:pPr>
        <w:pStyle w:val="BookText"/>
      </w:pPr>
      <w:r>
        <w:rPr>
          <w:rFonts w:ascii="IRNazanin" w:hAnsi="IRNazanin" w:eastAsia="IRNazanin" w:cs="IRNazanin"/>
          <w:lang w:bidi="fa-IR"/>
          <w:color w:val="111111"/>
          <w:sz w:val="28"/>
          <w:szCs w:val="28"/>
          <w:rtl/>
        </w:rPr>
        <w:t xml:space="preserve">۸. مشهد؛ رضوی؛ شماره نسخه: ۲۳۲۱۵</w:t>
      </w:r>
    </w:p>
    <w:p>
      <w:pPr>
        <w:pStyle w:val="BookText"/>
      </w:pPr>
      <w:r>
        <w:rPr>
          <w:rFonts w:ascii="IRNazanin" w:hAnsi="IRNazanin" w:eastAsia="IRNazanin" w:cs="IRNazanin"/>
          <w:lang w:bidi="fa-IR"/>
          <w:color w:val="111111"/>
          <w:sz w:val="28"/>
          <w:szCs w:val="28"/>
          <w:rtl/>
        </w:rPr>
        <w:t xml:space="preserve">آغاز: سوتولاپو ... کو عجب است؛ انجام: شوخ زیری .... تایانک له بودددی.</w:t>
      </w:r>
    </w:p>
    <w:p>
      <w:pPr>
        <w:pStyle w:val="BookText"/>
      </w:pPr>
      <w:r>
        <w:rPr>
          <w:rFonts w:ascii="IRNazanin" w:hAnsi="IRNazanin" w:eastAsia="IRNazanin" w:cs="IRNazanin"/>
          <w:lang w:bidi="fa-IR"/>
          <w:color w:val="111111"/>
          <w:sz w:val="28"/>
          <w:szCs w:val="28"/>
          <w:rtl/>
        </w:rPr>
        <w:t xml:space="preserve">اشعار بياض؛ خط: نستعلیق، بی کا، بی تا؛ افتادگی: آغاز و انجـام؛ قطع: بیاضی [رایانه]</w:t>
      </w:r>
    </w:p>
    <w:p>
      <w:pPr>
        <w:pStyle w:val="BookText"/>
      </w:pPr>
      <w:r>
        <w:rPr>
          <w:rFonts w:ascii="IRNazanin" w:hAnsi="IRNazanin" w:eastAsia="IRNazanin" w:cs="IRNazanin"/>
          <w:lang w:bidi="fa-IR"/>
          <w:color w:val="111111"/>
          <w:sz w:val="28"/>
          <w:szCs w:val="28"/>
          <w:rtl/>
        </w:rPr>
        <w:t xml:space="preserve">۹. مشهد؛ رضوی؛ شماره نسخه: ۲۳۲۱۶</w:t>
      </w:r>
    </w:p>
    <w:p>
      <w:pPr>
        <w:pStyle w:val="BookText"/>
      </w:pPr>
      <w:r>
        <w:rPr>
          <w:rFonts w:ascii="IRNazanin" w:hAnsi="IRNazanin" w:eastAsia="IRNazanin" w:cs="IRNazanin"/>
          <w:lang w:bidi="fa-IR"/>
          <w:color w:val="111111"/>
          <w:sz w:val="28"/>
          <w:szCs w:val="28"/>
          <w:rtl/>
        </w:rPr>
        <w:t xml:space="preserve">آغاز: وظیفه شام ... با زینب زندان؛ انجام: على مرنه عمر ... شیطانی</w:t>
      </w:r>
    </w:p>
    <w:p>
      <w:pPr>
        <w:pStyle w:val="BookText"/>
      </w:pPr>
      <w:r>
        <w:rPr>
          <w:rFonts w:ascii="IRNazanin" w:hAnsi="IRNazanin" w:eastAsia="IRNazanin" w:cs="IRNazanin"/>
          <w:lang w:bidi="fa-IR"/>
          <w:color w:val="111111"/>
          <w:sz w:val="28"/>
          <w:szCs w:val="28"/>
          <w:rtl/>
        </w:rPr>
        <w:t xml:space="preserve">اشعار بیاض؛ خط: نستعلیق، بی کا، بی تا؛ افتادگی: آغاز و انجام؛ قطع: بیاضی [رایانه]</w:t>
      </w:r>
    </w:p>
    <w:p>
      <w:pPr>
        <w:pStyle w:val="Heading3"/>
      </w:pPr>
      <w:bookmarkStart w:id="1950" w:name="_Toc1472"/>
      <w:r>
        <w:t>اشعار / شعر / پشتو</w:t>
      </w:r>
      <w:bookmarkEnd w:id="1950"/>
    </w:p>
    <w:p>
      <w:pPr>
        <w:pStyle w:val="BookText"/>
      </w:pPr>
      <w:r>
        <w:rPr>
          <w:rFonts w:ascii="Times New Roman" w:hAnsi="Times New Roman" w:eastAsia="Times New Roman" w:cs="Times New Roman"/>
          <w:lang w:val="en-US" w:bidi="en-US"/>
          <w:color w:val="111111"/>
          <w:sz w:val="28"/>
          <w:szCs w:val="28"/>
          <w:rtl/>
        </w:rPr>
        <w:t xml:space="preserve">aš‘ār</w:t>
      </w:r>
    </w:p>
    <w:p>
      <w:pPr>
        <w:pStyle w:val="BookText"/>
      </w:pPr>
      <w:r>
        <w:rPr>
          <w:rFonts w:ascii="IRNazanin" w:hAnsi="IRNazanin" w:eastAsia="IRNazanin" w:cs="IRNazanin"/>
          <w:lang w:bidi="fa-IR"/>
          <w:color w:val="111111"/>
          <w:sz w:val="28"/>
          <w:szCs w:val="28"/>
          <w:rtl/>
        </w:rPr>
        <w:t xml:space="preserve">۱. مشهد؛ رضوی؛ شماره نسخه: ۵۱۹۰</w:t>
      </w:r>
    </w:p>
    <w:p>
      <w:pPr>
        <w:pStyle w:val="BookText"/>
      </w:pPr>
      <w:r>
        <w:rPr>
          <w:rFonts w:ascii="IRNazanin" w:hAnsi="IRNazanin" w:eastAsia="IRNazanin" w:cs="IRNazanin"/>
          <w:lang w:bidi="fa-IR"/>
          <w:color w:val="111111"/>
          <w:sz w:val="28"/>
          <w:szCs w:val="28"/>
          <w:rtl/>
        </w:rPr>
        <w:t xml:space="preserve">غزلیات میرانورشاه؛ خط: نستعليق، كا: محب علی، تا: ۱۳۸۵ق  [ الفبائی:۴۱۹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مشهد؛ رضوی؛ شماره نسخه: ض ۵۱۹۰</w:t>
      </w:r>
    </w:p>
    <w:p>
      <w:pPr>
        <w:pStyle w:val="BookText"/>
      </w:pPr>
      <w:r>
        <w:rPr>
          <w:rFonts w:ascii="IRNazanin" w:hAnsi="IRNazanin" w:eastAsia="IRNazanin" w:cs="IRNazanin"/>
          <w:lang w:bidi="fa-IR"/>
          <w:color w:val="111111"/>
          <w:sz w:val="28"/>
          <w:szCs w:val="28"/>
          <w:rtl/>
        </w:rPr>
        <w:t xml:space="preserve">آغاز: تمهید غرض و غایت تحریر و توقیف؛ انجام: و قنبر علی له حل وارده مشکل سی</w:t>
      </w:r>
    </w:p>
    <w:p>
      <w:pPr>
        <w:pStyle w:val="BookText"/>
      </w:pPr>
      <w:r>
        <w:rPr>
          <w:rFonts w:ascii="IRNazanin" w:hAnsi="IRNazanin" w:eastAsia="IRNazanin" w:cs="IRNazanin"/>
          <w:lang w:bidi="fa-IR"/>
          <w:color w:val="111111"/>
          <w:sz w:val="28"/>
          <w:szCs w:val="28"/>
          <w:rtl/>
        </w:rPr>
        <w:t xml:space="preserve">غزلیات قنبر علی خان؛ خط: نستعليق، كا: محب علی، تا: ۱۳۸۵ق، جا: پاره چنار پاکستان؛ کاغذ: فرنگی، جلد: کالینگور [الفبائی: ۴۲۰]</w:t>
      </w:r>
    </w:p>
    <w:p>
      <w:pPr>
        <w:pStyle w:val="Heading3"/>
      </w:pPr>
      <w:bookmarkStart w:id="1951" w:name="_Toc1473"/>
      <w:r>
        <w:t>اشعار / شعر / ترکی</w:t>
      </w:r>
      <w:bookmarkEnd w:id="1951"/>
    </w:p>
    <w:p>
      <w:pPr>
        <w:pStyle w:val="BookText"/>
      </w:pPr>
      <w:r>
        <w:rPr>
          <w:rFonts w:ascii="Times New Roman" w:hAnsi="Times New Roman" w:eastAsia="Times New Roman" w:cs="Times New Roman"/>
          <w:lang w:val="en-US" w:bidi="en-US"/>
          <w:color w:val="111111"/>
          <w:sz w:val="28"/>
          <w:szCs w:val="28"/>
          <w:rtl/>
        </w:rPr>
        <w:t xml:space="preserve">aš ār</w:t>
      </w:r>
    </w:p>
    <w:p>
      <w:pPr>
        <w:pStyle w:val="BookText"/>
      </w:pPr>
      <w:r>
        <w:rPr>
          <w:rFonts w:ascii="IRNazanin" w:hAnsi="IRNazanin" w:eastAsia="IRNazanin" w:cs="IRNazanin"/>
          <w:lang w:bidi="fa-IR"/>
          <w:color w:val="111111"/>
          <w:sz w:val="28"/>
          <w:szCs w:val="28"/>
          <w:rtl/>
        </w:rPr>
        <w:t xml:space="preserve">۱. تهران؛ دانشگاه؛ شماره نسخه: ۲۱۰۸/۱-ف</w:t>
      </w:r>
    </w:p>
    <w:p>
      <w:pPr>
        <w:pStyle w:val="BookText"/>
      </w:pPr>
      <w:r>
        <w:rPr>
          <w:rFonts w:ascii="IRNazanin" w:hAnsi="IRNazanin" w:eastAsia="IRNazanin" w:cs="IRNazanin"/>
          <w:lang w:bidi="fa-IR"/>
          <w:color w:val="111111"/>
          <w:sz w:val="28"/>
          <w:szCs w:val="28"/>
          <w:rtl/>
        </w:rPr>
        <w:t xml:space="preserve">نسخه اصل: ایاصوفیا ۲۰۵۱ (۲۰۹) رباعیات است؛ بی کا، تا: با تاریخ ۷۳۰ق [ فیلمها: ۱ - ۴۱۰]</w:t>
      </w:r>
    </w:p>
    <w:p>
      <w:pPr>
        <w:pStyle w:val="BookText"/>
      </w:pPr>
      <w:r>
        <w:rPr>
          <w:rFonts w:ascii="IRNazanin" w:hAnsi="IRNazanin" w:eastAsia="IRNazanin" w:cs="IRNazanin"/>
          <w:lang w:bidi="fa-IR"/>
          <w:color w:val="111111"/>
          <w:sz w:val="28"/>
          <w:szCs w:val="28"/>
          <w:rtl/>
        </w:rPr>
        <w:t xml:space="preserve">۲. تهران؛ مفتاح؛ شماره نسخه: ۱۲۱۴</w:t>
      </w:r>
    </w:p>
    <w:p>
      <w:pPr>
        <w:pStyle w:val="BookText"/>
      </w:pPr>
      <w:r>
        <w:rPr>
          <w:rFonts w:ascii="IRNazanin" w:hAnsi="IRNazanin" w:eastAsia="IRNazanin" w:cs="IRNazanin"/>
          <w:lang w:bidi="fa-IR"/>
          <w:color w:val="111111"/>
          <w:sz w:val="28"/>
          <w:szCs w:val="28"/>
          <w:rtl/>
        </w:rPr>
        <w:t xml:space="preserve">مثنوی ترکی است که در آن از خواجه بهاءالدین نقش بند یاد شده و نخستین عنوان آن در نسخه «اولغی نعمت اون حضرت نبیک نوری قدسی» و بازپسین عنوان بر معادن جواهرین اهتمام چله نظم ترکی کاتارلاق نینگ» است در آن از امام معصوم زین العابدین هم یاد شده و چندین مقاله باید باشد و گویا از میرعلی  شیر نوایی است؛ خط: نستعلیق، بی کا، تا: قرن ۱۰، ناقص؛ قطع: ربعی [نشریه: ۷ - ۲۱۹]</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سلطنتی؛ شماره نسخه: ۱۷۶۳</w:t>
      </w:r>
    </w:p>
    <w:p>
      <w:pPr>
        <w:pStyle w:val="BookText"/>
      </w:pPr>
      <w:r>
        <w:rPr>
          <w:rFonts w:ascii="IRNazanin" w:hAnsi="IRNazanin" w:eastAsia="IRNazanin" w:cs="IRNazanin"/>
          <w:lang w:bidi="fa-IR"/>
          <w:color w:val="111111"/>
          <w:sz w:val="28"/>
          <w:szCs w:val="28"/>
          <w:rtl/>
        </w:rPr>
        <w:t xml:space="preserve">آغاز: زلف دین لعلینک ساری خالینک دور اوغری هندوی *** شکر کم ایستار اوغورلوق ایلاکای مهتاب را؛ انجام: تمت الكتاب بعون الملك الوهاب نقل من كتابت زبدة الكتاب المرحوم المغفور سلطان على المشهدى رفع الله قدره.</w:t>
      </w:r>
    </w:p>
    <w:p>
      <w:pPr>
        <w:pStyle w:val="BookText"/>
      </w:pPr>
      <w:r>
        <w:rPr>
          <w:rFonts w:ascii="IRNazanin" w:hAnsi="IRNazanin" w:eastAsia="IRNazanin" w:cs="IRNazanin"/>
          <w:lang w:bidi="fa-IR"/>
          <w:color w:val="111111"/>
          <w:sz w:val="28"/>
          <w:szCs w:val="28"/>
          <w:rtl/>
        </w:rPr>
        <w:t xml:space="preserve">جنگی است از غزلیات (حسینی) سلطان حسین میرزا بایقرا که به ترتيب حروف الفبا منظم و کاتب از خط سلطان على المشهدى نقل کرده است؛ خط: نستعليق ،كا: خلیل تبریزی، تا: ۹۴۳ق؛ افتادگی: آغاز (حداقل یک صفحه)؛ مجدول،مذهب، دارای کتیبه و لچکی مذهب، کاغذ: دولت آبادی متن غبار زرافشان، جلد: مقوای روکش تیماج قهوه ای وسط ترنج چهار سرترنج و چهار لچک، ۱۰۰ص، ۱۰ سطر، قطع: وزیری،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۲۴سم [ف: ۳ - ۳۵۰]</w:t>
      </w:r>
    </w:p>
    <w:p>
      <w:pPr>
        <w:pStyle w:val="BookText"/>
      </w:pPr>
      <w:r>
        <w:rPr>
          <w:rFonts w:ascii="IRNazanin" w:hAnsi="IRNazanin" w:eastAsia="IRNazanin" w:cs="IRNazanin"/>
          <w:lang w:bidi="fa-IR"/>
          <w:color w:val="111111"/>
          <w:sz w:val="28"/>
          <w:szCs w:val="28"/>
          <w:rtl/>
        </w:rPr>
        <w:t xml:space="preserve">۴. تهران؛ دانشگاه؛ شماره نسخه 200- 199/ 6225-ف-درهامش</w:t>
      </w:r>
    </w:p>
    <w:p>
      <w:pPr>
        <w:pStyle w:val="BookText"/>
      </w:pPr>
      <w:r>
        <w:rPr>
          <w:rFonts w:ascii="IRNazanin" w:hAnsi="IRNazanin" w:eastAsia="IRNazanin" w:cs="IRNazanin"/>
          <w:lang w:bidi="fa-IR"/>
          <w:color w:val="111111"/>
          <w:sz w:val="28"/>
          <w:szCs w:val="28"/>
          <w:rtl/>
        </w:rPr>
        <w:t xml:space="preserve">مثنوی ترکی؛ خط: نسخ و نستعلیق، کا: محمود بن داود، تا: ۱۲  رمضان ،۹۷۷ق ؛جا: روستای مرمره اناطولی [ فیلمها: ۳ - ۲۱۴]</w:t>
      </w:r>
    </w:p>
    <w:p>
      <w:pPr>
        <w:pStyle w:val="BookText"/>
      </w:pPr>
      <w:r>
        <w:rPr>
          <w:rFonts w:ascii="IRNazanin" w:hAnsi="IRNazanin" w:eastAsia="IRNazanin" w:cs="IRNazanin"/>
          <w:lang w:bidi="fa-IR"/>
          <w:color w:val="111111"/>
          <w:sz w:val="28"/>
          <w:szCs w:val="28"/>
          <w:rtl/>
        </w:rPr>
        <w:t xml:space="preserve">5.قم؛ فیضیه؛ شماره نسخه ۱۱۵۴</w:t>
      </w:r>
    </w:p>
    <w:p>
      <w:pPr>
        <w:pStyle w:val="BookText"/>
      </w:pPr>
      <w:r>
        <w:rPr>
          <w:rFonts w:ascii="IRNazanin" w:hAnsi="IRNazanin" w:eastAsia="IRNazanin" w:cs="IRNazanin"/>
          <w:lang w:bidi="fa-IR"/>
          <w:color w:val="111111"/>
          <w:sz w:val="28"/>
          <w:szCs w:val="28"/>
          <w:rtl/>
        </w:rPr>
        <w:t xml:space="preserve">آغاز :عزم  گروه  حسین رضی الله عنه از مکه به طرف کوفه ...  مثنوی گوید: بوفر آقیله بولر؛ انجام: چون که تمام اولدی بوختم  و خبر</w:t>
      </w:r>
    </w:p>
    <w:p>
      <w:pPr>
        <w:pStyle w:val="BookText"/>
      </w:pPr>
      <w:r>
        <w:rPr>
          <w:rFonts w:ascii="IRNazanin" w:hAnsi="IRNazanin" w:eastAsia="IRNazanin" w:cs="IRNazanin"/>
          <w:lang w:bidi="fa-IR"/>
          <w:color w:val="111111"/>
          <w:sz w:val="28"/>
          <w:szCs w:val="28"/>
          <w:rtl/>
        </w:rPr>
        <w:t xml:space="preserve">در مدح امام حسن و امام حسین و حضرت سجاد (علیه السّلام) و داستان کربلا؛ خط: نستعلیق، کا: درویش بن... علی، تا: ۹۸۹ق، ۸۲گ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۱۹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۲ - ۳]</w:t>
      </w:r>
    </w:p>
    <w:p>
      <w:pPr>
        <w:pStyle w:val="BookText"/>
      </w:pPr>
      <w:r>
        <w:rPr>
          <w:rFonts w:ascii="IRNazanin" w:hAnsi="IRNazanin" w:eastAsia="IRNazanin" w:cs="IRNazanin"/>
          <w:lang w:bidi="fa-IR"/>
          <w:color w:val="111111"/>
          <w:sz w:val="28"/>
          <w:szCs w:val="28"/>
          <w:rtl/>
        </w:rPr>
        <w:t xml:space="preserve">۶. تهران؛ مجلس؛ شماره نسخه: ۱۴۲۰۰/۲۷</w:t>
      </w:r>
    </w:p>
    <w:p>
      <w:pPr>
        <w:pStyle w:val="BookText"/>
      </w:pPr>
      <w:r>
        <w:rPr>
          <w:rFonts w:ascii="IRNazanin" w:hAnsi="IRNazanin" w:eastAsia="IRNazanin" w:cs="IRNazanin"/>
          <w:lang w:bidi="fa-IR"/>
          <w:color w:val="111111"/>
          <w:sz w:val="28"/>
          <w:szCs w:val="28"/>
          <w:rtl/>
        </w:rPr>
        <w:t xml:space="preserve">اشعار حسرتی برای مصطفی آغا بن قاسم آغا؛ خط: نسخ، بی کا، تا: قرن ۱۱؛ ۳گ (۲۳۹پ -۲۴۱ ر) [ف: ۳۸- ۲۸۱]</w:t>
      </w:r>
    </w:p>
    <w:p>
      <w:pPr>
        <w:pStyle w:val="BookText"/>
      </w:pPr>
      <w:r>
        <w:rPr>
          <w:rFonts w:ascii="IRNazanin" w:hAnsi="IRNazanin" w:eastAsia="IRNazanin" w:cs="IRNazanin"/>
          <w:lang w:bidi="fa-IR"/>
          <w:color w:val="111111"/>
          <w:sz w:val="28"/>
          <w:szCs w:val="28"/>
          <w:rtl/>
        </w:rPr>
        <w:t xml:space="preserve">۷. تهران؛ مجلس؛ شماره نسخه: ۸۵۷۷</w:t>
      </w:r>
    </w:p>
    <w:p>
      <w:pPr>
        <w:pStyle w:val="BookText"/>
      </w:pPr>
      <w:r>
        <w:rPr>
          <w:rFonts w:ascii="IRNazanin" w:hAnsi="IRNazanin" w:eastAsia="IRNazanin" w:cs="IRNazanin"/>
          <w:lang w:bidi="fa-IR"/>
          <w:color w:val="111111"/>
          <w:sz w:val="28"/>
          <w:szCs w:val="28"/>
          <w:rtl/>
        </w:rPr>
        <w:t xml:space="preserve">اشعاری از: باقی ،نجاتی ،قبولی ،یحیی کمال  پاشازاده، نوع نفتی، نفعی، نادری، حالتی، ریاضی، اسحاق، ناجی، مردمی ،قدیمی ،ذاتی، خیالی ،فغانی ،امری، مسیحی ،خدایی ،ادیبی، نظیره باقی افندی، فضولی، نظیره ویسی  افندی ،وحدتی ،شمعی، عالی ،علوی ،گناهی ،هدایی، نادری  کبیسی ،پندی ،خاتمی، امری ،آذری ،حیرتی ،حاوی ،روایی، تبغی بیگ، میلی، ویسی،نوا ،عبیدی، مشامی؛ خط: نسخ  ترکی، بی کا، تا: قرن ۱۱؛ مجدول، مذهب؛ جلد: تیماج قهوه ای ،۷۶گ، ۱۰ سطر،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سم[ ف: ۲۸ - ۱۳۳]</w:t>
      </w:r>
    </w:p>
    <w:p>
      <w:pPr>
        <w:pStyle w:val="BookText"/>
      </w:pPr>
      <w:r>
        <w:rPr>
          <w:rFonts w:ascii="IRNazanin" w:hAnsi="IRNazanin" w:eastAsia="IRNazanin" w:cs="IRNazanin"/>
          <w:lang w:bidi="fa-IR"/>
          <w:color w:val="111111"/>
          <w:sz w:val="28"/>
          <w:szCs w:val="28"/>
          <w:rtl/>
        </w:rPr>
        <w:t xml:space="preserve">۸ .تهران؛ ملک؛ شماره نسخه: ۴۵۹۸/۲</w:t>
      </w:r>
    </w:p>
    <w:p>
      <w:pPr>
        <w:pStyle w:val="BookText"/>
      </w:pPr>
      <w:r>
        <w:rPr>
          <w:rFonts w:ascii="IRNazanin" w:hAnsi="IRNazanin" w:eastAsia="IRNazanin" w:cs="IRNazanin"/>
          <w:lang w:bidi="fa-IR"/>
          <w:color w:val="111111"/>
          <w:sz w:val="28"/>
          <w:szCs w:val="28"/>
          <w:rtl/>
        </w:rPr>
        <w:t xml:space="preserve">اشعار حروفی از حزینی؛ خط: شکسته نستعلیق، بی کا، تا: قرن11؛ کاغذ: فستقی ،جلد: میشن سیاه، ۲۵سطر،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۱۹/۲  سم[ ف: ۷ - ۴۳۹]</w:t>
      </w:r>
    </w:p>
    <w:p>
      <w:pPr>
        <w:pStyle w:val="BookText"/>
      </w:pPr>
      <w:r>
        <w:rPr>
          <w:rFonts w:ascii="IRNazanin" w:hAnsi="IRNazanin" w:eastAsia="IRNazanin" w:cs="IRNazanin"/>
          <w:lang w:bidi="fa-IR"/>
          <w:color w:val="111111"/>
          <w:sz w:val="28"/>
          <w:szCs w:val="28"/>
          <w:rtl/>
        </w:rPr>
        <w:t xml:space="preserve">۹. تهران؛ ملی؛ شماره نسخه: ۲۱۰۰</w:t>
      </w:r>
    </w:p>
    <w:p>
      <w:pPr>
        <w:pStyle w:val="BookText"/>
      </w:pPr>
      <w:r>
        <w:rPr>
          <w:rFonts w:ascii="IRNazanin" w:hAnsi="IRNazanin" w:eastAsia="IRNazanin" w:cs="IRNazanin"/>
          <w:lang w:bidi="fa-IR"/>
          <w:color w:val="111111"/>
          <w:sz w:val="28"/>
          <w:szCs w:val="28"/>
          <w:rtl/>
        </w:rPr>
        <w:t xml:space="preserve">آغاز: نفس الندن و ابما بن زار زار *** تاقتم صبرم  کید رب رب هـستم بیقرار دو نمرسی؛ انجام: کوهر نظمنک بساط ایله هر پرده حرف *** بر پیله بازارده کیم سنکاقیمت و پرور</w:t>
      </w:r>
    </w:p>
    <w:p>
      <w:pPr>
        <w:pStyle w:val="BookText"/>
      </w:pPr>
      <w:r>
        <w:rPr>
          <w:rFonts w:ascii="IRNazanin" w:hAnsi="IRNazanin" w:eastAsia="IRNazanin" w:cs="IRNazanin"/>
          <w:lang w:bidi="fa-IR"/>
          <w:color w:val="111111"/>
          <w:sz w:val="28"/>
          <w:szCs w:val="28"/>
          <w:rtl/>
        </w:rPr>
        <w:t xml:space="preserve">چند قطعه و مسمط و رباعی ترکی آمده که متاسفانه نام سراینده آنها معلوم نشد اما از یک بیت آن که در نعت شاه وقت سروده شده بر می آید که این اشعار باید در قرن ۱۱ق سروده شده باشد  زیرا شاه ممدوح شاه سلیمان است و این شاه سلیمان اگر شاه سليمان عثمانی نباشد و شاه سلیمان صفوی باشد بی شبهه اشـعار سروده شده در قرن ۱۱ق خواهد بود. اشعار از ملا محمد قاسم... (در صحافی نامش ناقص شده است)؛ خط: نستعلیق، بی کا،تا؛ محتملا قرن  ۱۱، اشعار به صورت حمایلی ،مجدول، کاغذ: اصفهانی ،حمایلی ،جلد: تیماج سیاه یک لا باترنج و نیم ترنج ،۴۵گ، اندازه: ۸۰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۱۹۰سم [ف: ۵ - ۱۱۳]</w:t>
      </w:r>
    </w:p>
    <w:p>
      <w:pPr>
        <w:pStyle w:val="BookText"/>
      </w:pPr>
      <w:r>
        <w:rPr>
          <w:rFonts w:ascii="IRNazanin" w:hAnsi="IRNazanin" w:eastAsia="IRNazanin" w:cs="IRNazanin"/>
          <w:lang w:bidi="fa-IR"/>
          <w:color w:val="111111"/>
          <w:sz w:val="28"/>
          <w:szCs w:val="28"/>
          <w:rtl/>
        </w:rPr>
        <w:t xml:space="preserve">۱۰. تهران؛ ملک؛ شماره نسخه: ۴۷۱۰/۱</w:t>
      </w:r>
    </w:p>
    <w:p>
      <w:pPr>
        <w:pStyle w:val="BookText"/>
      </w:pPr>
      <w:r>
        <w:rPr>
          <w:rFonts w:ascii="IRNazanin" w:hAnsi="IRNazanin" w:eastAsia="IRNazanin" w:cs="IRNazanin"/>
          <w:lang w:bidi="fa-IR"/>
          <w:color w:val="111111"/>
          <w:sz w:val="28"/>
          <w:szCs w:val="28"/>
          <w:rtl/>
        </w:rPr>
        <w:t xml:space="preserve">آغاز: بسمله جان قوشی جون منطق راز ایلاکای *** تنكر حمدی پر له آغاز ایلاکای؛ انجام: هر پریشان سوز که بازدیم یا کریم*** بار چه دین استغفر الله العظيم / شد بتوفيق خداى لا ينام ***این کتابت روز سه شنبه تمام مثنوی عرفانی با چند حکایت از یک سراینده سنی مذهب؛ خـط: نستعلیق  بد، کا: ملاعبدالله بن عبدالرحمان یزدی زرگر، تا: قرن۱۲؛ کاغذ: نوعی ترمه ،جلد: میشن  سیاه، ۱۱۸گ (۱پ-۱۱۹ پ)، ۱۹ سطر، اندازه: ۱۳/۷۲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۲۳/۱سم [ف: ۸ - ۶۱]</w:t>
      </w:r>
    </w:p>
    <w:p>
      <w:pPr>
        <w:pStyle w:val="BookText"/>
      </w:pPr>
      <w:r>
        <w:rPr>
          <w:rFonts w:ascii="IRNazanin" w:hAnsi="IRNazanin" w:eastAsia="IRNazanin" w:cs="IRNazanin"/>
          <w:lang w:bidi="fa-IR"/>
          <w:color w:val="111111"/>
          <w:sz w:val="28"/>
          <w:szCs w:val="28"/>
          <w:rtl/>
        </w:rPr>
        <w:t xml:space="preserve">۱۱. تهران؛ ملک؛ شماره نسخه: ۴۷۴۶/۱۱</w:t>
      </w:r>
    </w:p>
    <w:p>
      <w:pPr>
        <w:pStyle w:val="BookText"/>
      </w:pPr>
      <w:r>
        <w:rPr>
          <w:rFonts w:ascii="IRNazanin" w:hAnsi="IRNazanin" w:eastAsia="IRNazanin" w:cs="IRNazanin"/>
          <w:lang w:bidi="fa-IR"/>
          <w:color w:val="111111"/>
          <w:sz w:val="28"/>
          <w:szCs w:val="28"/>
          <w:rtl/>
        </w:rPr>
        <w:t xml:space="preserve">غزل ترکی؛خط: شکسته نستعلیق، بی کا، تا: قرن ۱۲ [ف: 8- 78]</w:t>
      </w:r>
    </w:p>
    <w:p>
      <w:pPr>
        <w:pStyle w:val="BookText"/>
      </w:pPr>
      <w:r>
        <w:rPr>
          <w:rFonts w:ascii="IRNazanin" w:hAnsi="IRNazanin" w:eastAsia="IRNazanin" w:cs="IRNazanin"/>
          <w:lang w:bidi="fa-IR"/>
          <w:color w:val="111111"/>
          <w:sz w:val="28"/>
          <w:szCs w:val="28"/>
          <w:rtl/>
        </w:rPr>
        <w:t xml:space="preserve">۱۲. تهران؛ دانشگاه؛ شماره نسخه: ۵۱۰۷/۲</w:t>
      </w:r>
    </w:p>
    <w:p>
      <w:pPr>
        <w:pStyle w:val="BookText"/>
      </w:pPr>
      <w:r>
        <w:rPr>
          <w:rFonts w:ascii="IRNazanin" w:hAnsi="IRNazanin" w:eastAsia="IRNazanin" w:cs="IRNazanin"/>
          <w:lang w:bidi="fa-IR"/>
          <w:color w:val="111111"/>
          <w:sz w:val="28"/>
          <w:szCs w:val="28"/>
          <w:rtl/>
        </w:rPr>
        <w:t xml:space="preserve">گویا از نظامی؛ خط: نسخ، بی کا، تا: قرن ۱۳؛ کاغذ: استنبولی، جلد: مقوا، 1گ (۳۳ر-۳۴پ)، ۱۵ سطر (۵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اندازه: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۱۸/۵سم [ف: ۱۵ - ۴۱۱۴]</w:t>
      </w:r>
    </w:p>
    <w:p>
      <w:pPr>
        <w:pStyle w:val="BookText"/>
      </w:pPr>
      <w:r>
        <w:rPr>
          <w:rFonts w:ascii="IRNazanin" w:hAnsi="IRNazanin" w:eastAsia="IRNazanin" w:cs="IRNazanin"/>
          <w:lang w:bidi="fa-IR"/>
          <w:color w:val="111111"/>
          <w:sz w:val="28"/>
          <w:szCs w:val="28"/>
          <w:rtl/>
        </w:rPr>
        <w:t xml:space="preserve">۱۳. تهران؛ مجلس؛ شماره نسخه: ۱۲۶۹/۴</w:t>
      </w:r>
    </w:p>
    <w:p>
      <w:pPr>
        <w:pStyle w:val="BookText"/>
      </w:pPr>
      <w:r>
        <w:rPr>
          <w:rFonts w:ascii="IRNazanin" w:hAnsi="IRNazanin" w:eastAsia="IRNazanin" w:cs="IRNazanin"/>
          <w:lang w:bidi="fa-IR"/>
          <w:color w:val="111111"/>
          <w:sz w:val="28"/>
          <w:szCs w:val="28"/>
          <w:rtl/>
        </w:rPr>
        <w:t xml:space="preserve">با عبارات ترکی در ص ۴۸ و ۴۹؛ خط: نسخ، کا: بیشتر از عبدالله بن ابراهیم، تا: قرن ۱۱؛ کاغذ: سفید، جلد: تیماج آلبالویی ضربی و مقوایی با ترنج ۵ ص (۳۵ -۳۹) [سنا: ف: ۲ - ۲۰۰]</w:t>
      </w:r>
    </w:p>
    <w:p>
      <w:pPr>
        <w:pStyle w:val="BookText"/>
      </w:pPr>
      <w:r>
        <w:rPr>
          <w:rFonts w:ascii="IRNazanin" w:hAnsi="IRNazanin" w:eastAsia="IRNazanin" w:cs="IRNazanin"/>
          <w:lang w:bidi="fa-IR"/>
          <w:color w:val="111111"/>
          <w:sz w:val="28"/>
          <w:szCs w:val="28"/>
          <w:rtl/>
        </w:rPr>
        <w:t xml:space="preserve">۱۴. تهران؛ دانشگاه؛ شماره نسخه: ۲۳۵۴/۶-ف</w:t>
      </w:r>
    </w:p>
    <w:p>
      <w:pPr>
        <w:pStyle w:val="BookText"/>
      </w:pPr>
      <w:r>
        <w:rPr>
          <w:rFonts w:ascii="IRNazanin" w:hAnsi="IRNazanin" w:eastAsia="IRNazanin" w:cs="IRNazanin"/>
          <w:lang w:bidi="fa-IR"/>
          <w:color w:val="111111"/>
          <w:sz w:val="28"/>
          <w:szCs w:val="28"/>
          <w:rtl/>
        </w:rPr>
        <w:t xml:space="preserve">نسخه اصل: یوگسلاوی. مثنوی ترکی شیعی خطائی و شعرهای دیگر او؛ بی کا، تا: با تاریخ ۱۲۰۰ق [ فیلمها: ۱ – ۶۷۵]</w:t>
      </w:r>
    </w:p>
    <w:p>
      <w:pPr>
        <w:pStyle w:val="BookText"/>
      </w:pPr>
      <w:r>
        <w:rPr>
          <w:rFonts w:ascii="IRNazanin" w:hAnsi="IRNazanin" w:eastAsia="IRNazanin" w:cs="IRNazanin"/>
          <w:lang w:bidi="fa-IR"/>
          <w:color w:val="111111"/>
          <w:sz w:val="28"/>
          <w:szCs w:val="28"/>
          <w:rtl/>
        </w:rPr>
        <w:t xml:space="preserve">۱۵. تهران؛ مجلس؛ شماره نسخه ۱۲۶۹/۱۲</w:t>
      </w:r>
    </w:p>
    <w:p>
      <w:pPr>
        <w:pStyle w:val="BookText"/>
      </w:pPr>
      <w:r>
        <w:rPr>
          <w:rFonts w:ascii="IRNazanin" w:hAnsi="IRNazanin" w:eastAsia="IRNazanin" w:cs="IRNazanin"/>
          <w:lang w:bidi="fa-IR"/>
          <w:color w:val="111111"/>
          <w:sz w:val="28"/>
          <w:szCs w:val="28"/>
          <w:rtl/>
        </w:rPr>
        <w:t xml:space="preserve">شعر ترکی است با مناجات منظوم ترکی ابوالسعود افندی؛ خط: نسخ  تحریری، کا: عبدالله بن ابراهیم، تا: قرن ۱۳؛ کاغذ: سفید، جلد: تیماج آلبالویی ضربی و مقوایی با ترنج ۴ص (۲۶۴-۲۶۷)  [سنا ف ۲ - ۲۰۱]</w:t>
      </w:r>
    </w:p>
    <w:p>
      <w:pPr>
        <w:pStyle w:val="BookText"/>
      </w:pPr>
      <w:r>
        <w:rPr>
          <w:rFonts w:ascii="IRNazanin" w:hAnsi="IRNazanin" w:eastAsia="IRNazanin" w:cs="IRNazanin"/>
          <w:lang w:bidi="fa-IR"/>
          <w:color w:val="111111"/>
          <w:sz w:val="28"/>
          <w:szCs w:val="28"/>
          <w:rtl/>
        </w:rPr>
        <w:t xml:space="preserve">۱۶. تهران؛ مجلس؛ شماره نسخه: ۸۸۸۵/۱۳</w:t>
      </w:r>
    </w:p>
    <w:p>
      <w:pPr>
        <w:pStyle w:val="BookText"/>
      </w:pPr>
      <w:r>
        <w:rPr>
          <w:rFonts w:ascii="IRNazanin" w:hAnsi="IRNazanin" w:eastAsia="IRNazanin" w:cs="IRNazanin"/>
          <w:lang w:bidi="fa-IR"/>
          <w:color w:val="111111"/>
          <w:sz w:val="28"/>
          <w:szCs w:val="28"/>
          <w:rtl/>
        </w:rPr>
        <w:t xml:space="preserve">خط: نستعلیق و شکسته، بی کا، تا: قرن ۱۱ و ۱۳؛ کاغذ: حنایی آهار مهره، جلد: میشن زیتونی، اگ (۱۱ر)، اندازه: ۱۵/۶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۲۵/۸سم :[ف: ۲۹/۱۸ - ۲۳۱]</w:t>
      </w:r>
    </w:p>
    <w:p>
      <w:pPr>
        <w:pStyle w:val="BookText"/>
      </w:pPr>
      <w:r>
        <w:rPr>
          <w:rFonts w:ascii="IRNazanin" w:hAnsi="IRNazanin" w:eastAsia="IRNazanin" w:cs="IRNazanin"/>
          <w:lang w:bidi="fa-IR"/>
          <w:color w:val="111111"/>
          <w:sz w:val="28"/>
          <w:szCs w:val="28"/>
          <w:rtl/>
        </w:rPr>
        <w:t xml:space="preserve">۱۷. یزد؛ کاظمینی؛ شماره نسخه: ۲۵۵</w:t>
      </w:r>
    </w:p>
    <w:p>
      <w:pPr>
        <w:pStyle w:val="BookText"/>
      </w:pPr>
      <w:r>
        <w:rPr>
          <w:rFonts w:ascii="IRNazanin" w:hAnsi="IRNazanin" w:eastAsia="IRNazanin" w:cs="IRNazanin"/>
          <w:lang w:bidi="fa-IR"/>
          <w:color w:val="111111"/>
          <w:sz w:val="28"/>
          <w:szCs w:val="28"/>
          <w:rtl/>
        </w:rPr>
        <w:t xml:space="preserve">اشعاری در وقایع کربلا و مصائب امام حسین (علیه السّلام) و اهل بیت ایشان؛ خط: نستعلیق  نازیبا،بی کا، تا: قرن ۱۳، ۷۶گ، سطور  چلیپا و مختلف، اندازه: 8</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 [ف: ۱ - ۲۲۲]</w:t>
      </w:r>
    </w:p>
    <w:p>
      <w:pPr>
        <w:pStyle w:val="BookText"/>
      </w:pPr>
      <w:r>
        <w:rPr>
          <w:rFonts w:ascii="IRNazanin" w:hAnsi="IRNazanin" w:eastAsia="IRNazanin" w:cs="IRNazanin"/>
          <w:lang w:bidi="fa-IR"/>
          <w:color w:val="111111"/>
          <w:sz w:val="28"/>
          <w:szCs w:val="28"/>
          <w:rtl/>
        </w:rPr>
        <w:t xml:space="preserve">۱۸. قم؛ مرعشی؛ شماره نسخه: ۱۱۸۰۳/۵</w:t>
      </w:r>
    </w:p>
    <w:p>
      <w:pPr>
        <w:pStyle w:val="BookText"/>
      </w:pPr>
      <w:r>
        <w:rPr>
          <w:rFonts w:ascii="IRNazanin" w:hAnsi="IRNazanin" w:eastAsia="IRNazanin" w:cs="IRNazanin"/>
          <w:lang w:bidi="fa-IR"/>
          <w:color w:val="111111"/>
          <w:sz w:val="28"/>
          <w:szCs w:val="28"/>
          <w:rtl/>
        </w:rPr>
        <w:t xml:space="preserve">خط: نستعلیق، بی کا، تا: قرن ۱۳ [ میراث شهاب: س ۱۰ش ۱-۲ - ۲۵]</w:t>
      </w:r>
    </w:p>
    <w:p>
      <w:pPr>
        <w:pStyle w:val="BookText"/>
      </w:pPr>
      <w:r>
        <w:rPr>
          <w:rFonts w:ascii="IRNazanin" w:hAnsi="IRNazanin" w:eastAsia="IRNazanin" w:cs="IRNazanin"/>
          <w:lang w:bidi="fa-IR"/>
          <w:color w:val="111111"/>
          <w:sz w:val="28"/>
          <w:szCs w:val="28"/>
          <w:rtl/>
        </w:rPr>
        <w:t xml:space="preserve">۱۹. تهران؛ دانشگاه؛ شماره نسخه: ۴۵۷۴</w:t>
      </w:r>
    </w:p>
    <w:p>
      <w:pPr>
        <w:pStyle w:val="BookText"/>
      </w:pPr>
      <w:r>
        <w:rPr>
          <w:rFonts w:ascii="IRNazanin" w:hAnsi="IRNazanin" w:eastAsia="IRNazanin" w:cs="IRNazanin"/>
          <w:lang w:bidi="fa-IR"/>
          <w:color w:val="111111"/>
          <w:sz w:val="28"/>
          <w:szCs w:val="28"/>
          <w:rtl/>
        </w:rPr>
        <w:t xml:space="preserve">شعرهای ترکی با عنوان نظیره در بسیاری از جاها از نهاری و نظمی و احمد پاشا و روانی و ذاتی و شمعی و خیالی و مالی و بیانی و نجاتی و صنعی و شیخی و رمزی و سهایی و کمال و درونی و رحمی و حیرتی و نظامی و بصیری و وصفی و خاوری و تاجی زاده و هجیری و شوقی و آهی و قادری و ذهنی و قاسم پاشا و منیر و جم و مسیحی و حدیدی و عمروی و جعفر پاشا و نقابی و فخری و ابراهیم پاشا و سلطان قورقود و اسحاق و سروری و عطا و جامی و سوزی و شاه و امری و کامی و طالمی ومعیدی و مفتی خواجه زاده و وصفی و شاور و پیر احمد و روحی و رمزی و حیرتی شیدا و نسیمی و لامعی و عطایی و خضری و جم و لطفی و سجودی و محمود پاشا و شبابی و صافی و نهانی و هلاکی و قدسی و وصفی و نگاهی و رحیمی و هلالی و لعلی و فغانی و یحیا و خواجه چلبی زاده و نهالی و صبایی و سلطان سلیمان و کمال پاشا زاده و فرخی و غمی و لطیفی و عبدالکریم زاده و جمالی و کاتب صورت مکتوب سلطان مراد و خالی و شرف و نفعی و علوی و باقی و یمنی و قبولی و شانی و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احمد و فغانی و خلیل و راسخ و خامل و جوشخون و خسر فروزی و مراد افندی و عصمت و نابی (۱۱۳ر -۱۳۷پ) و ترکـیبی روحی (۱۳۸ ر-۱۴۱ر) و حاجی محمود اردلانی و مفرد و معشر عالی و ویسی افندی (۱۴۲ ر - ۱۴۵پ) و جنانی و ثابت و شهری و نزمی بدخشانی و آگاه و ثاقب و امیری و طیبی و وجدی و ریاضی و فهیم و ادهم و بهاری و مصطفی و چته چی و هاشم (ستایش قایق بیک) و زینب قدین و زوجه نابی و عبد الفتاح بيـک  ومشغوفی و نحیفی (۱۸۶ر-۱۹۰) و امنی و حسبی چلبی (دعانامه برای تعمیر جامع مغیسالی محمد پاشا). شعرهای ترکی غزل اسـت و رباعی و فرد و مخمس و مسدس و لغز و ستایش و چند بیت  فارسی در آغاز و در میانه هست؛ خط: نسخ، بی کا، تا: قرن12و ۱۳ ؛کاغذ: فرنگی ،جلد: تیماج سبز ضربی عطف قهوه ای،۱۹۰گ، سطور چلیپا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 قطع: بیاضی،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  سم[ف ۱۳ - ۳۵۰۸]</w:t>
      </w:r>
    </w:p>
    <w:p>
      <w:pPr>
        <w:pStyle w:val="BookText"/>
      </w:pPr>
      <w:r>
        <w:rPr>
          <w:rFonts w:ascii="IRNazanin" w:hAnsi="IRNazanin" w:eastAsia="IRNazanin" w:cs="IRNazanin"/>
          <w:lang w:bidi="fa-IR"/>
          <w:color w:val="111111"/>
          <w:sz w:val="28"/>
          <w:szCs w:val="28"/>
          <w:rtl/>
        </w:rPr>
        <w:t xml:space="preserve">۲۰. تهران؛ مجلس؛ شماره نسخه: ۸۱۷۷/۱۰۲</w:t>
      </w:r>
    </w:p>
    <w:p>
      <w:pPr>
        <w:pStyle w:val="BookText"/>
      </w:pPr>
      <w:r>
        <w:rPr>
          <w:rFonts w:ascii="IRNazanin" w:hAnsi="IRNazanin" w:eastAsia="IRNazanin" w:cs="IRNazanin"/>
          <w:lang w:bidi="fa-IR"/>
          <w:color w:val="111111"/>
          <w:sz w:val="28"/>
          <w:szCs w:val="28"/>
          <w:rtl/>
        </w:rPr>
        <w:t xml:space="preserve">آغاز: ای صبا تیکور اوشل مغبچه قامت  شمشاد ،کوزی جا نـیمه صیاد، اوزی قاتل جلاد، ایشی ظلم ایله بیداد؛ انجام: يوقا لـیب يوق ايدی صحبت ایلا اغیار نگاریم که ترحم قیلیان دیلادی عهد وفاغه.</w:t>
      </w:r>
    </w:p>
    <w:p>
      <w:pPr>
        <w:pStyle w:val="BookText"/>
      </w:pPr>
      <w:r>
        <w:rPr>
          <w:rFonts w:ascii="IRNazanin" w:hAnsi="IRNazanin" w:eastAsia="IRNazanin" w:cs="IRNazanin"/>
          <w:lang w:bidi="fa-IR"/>
          <w:color w:val="111111"/>
          <w:sz w:val="28"/>
          <w:szCs w:val="28"/>
          <w:rtl/>
        </w:rPr>
        <w:t xml:space="preserve">بحر طویلی است به ترکی؛ خط: نستعلیق  تحریری، بی کا، تا: قـرن ۱۳؛ مجدول؛ كاغذ: بسیار نازک  کدر ،جلد: مقوایی با روکش تیماج، ۲گ (۱۹۲ پ -۱۹۴ر)،اندازه: ۱۹/۸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۱۲/۹سم [ف: 1/ 27- 426]</w:t>
      </w:r>
    </w:p>
    <w:p>
      <w:pPr>
        <w:pStyle w:val="BookText"/>
      </w:pPr>
      <w:r>
        <w:rPr>
          <w:rFonts w:ascii="IRNazanin" w:hAnsi="IRNazanin" w:eastAsia="IRNazanin" w:cs="IRNazanin"/>
          <w:lang w:bidi="fa-IR"/>
          <w:color w:val="111111"/>
          <w:sz w:val="28"/>
          <w:szCs w:val="28"/>
          <w:rtl/>
        </w:rPr>
        <w:t xml:space="preserve">۲۱. قم؛ مرعشی؛ شماره نسخه: ۱۴۲۴۴/۱۲</w:t>
      </w:r>
    </w:p>
    <w:p>
      <w:pPr>
        <w:pStyle w:val="BookText"/>
      </w:pPr>
      <w:r>
        <w:rPr>
          <w:rFonts w:ascii="IRNazanin" w:hAnsi="IRNazanin" w:eastAsia="IRNazanin" w:cs="IRNazanin"/>
          <w:lang w:bidi="fa-IR"/>
          <w:color w:val="111111"/>
          <w:sz w:val="28"/>
          <w:szCs w:val="28"/>
          <w:rtl/>
        </w:rPr>
        <w:t xml:space="preserve">آغاز: ایکی عاسمنی چراغی مصطفی نور الهی *** سرور اولاد آدم فخر تاج انبیا؛ انجام: بو عرب اور تانوبان عشقیاه بولدی اسیر *** خانمان ترک ایدوب جانینی قربان ایلادی</w:t>
      </w:r>
    </w:p>
    <w:p>
      <w:pPr>
        <w:pStyle w:val="BookText"/>
      </w:pPr>
      <w:r>
        <w:rPr>
          <w:rFonts w:ascii="IRNazanin" w:hAnsi="IRNazanin" w:eastAsia="IRNazanin" w:cs="IRNazanin"/>
          <w:lang w:bidi="fa-IR"/>
          <w:color w:val="111111"/>
          <w:sz w:val="28"/>
          <w:szCs w:val="28"/>
          <w:rtl/>
        </w:rPr>
        <w:t xml:space="preserve">چند غزل و مثنوی است، گویا به زبان ترکی ترکستانی که احتمالاً از چند نفر گرد آورده شده و تخلص «شاه عبدالرحیم» و «اسیر» در میان اشعار دیده می شود؛ خط: نستعلیق ترکستانی خفـی، بی کا، تا: قرن ۱۳؛ کاغذ: شرقی، جلد: مقوایی  ضربی،9گ (۶۹۰-۶۸۲)، ۱۳ سطر، اندازه: 9</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سم [ف: ۱۳۹۶ - ۵۹]</w:t>
      </w:r>
    </w:p>
    <w:p>
      <w:pPr>
        <w:pStyle w:val="BookText"/>
      </w:pPr>
      <w:r>
        <w:rPr>
          <w:rFonts w:ascii="IRNazanin" w:hAnsi="IRNazanin" w:eastAsia="IRNazanin" w:cs="IRNazanin"/>
          <w:lang w:bidi="fa-IR"/>
          <w:color w:val="111111"/>
          <w:sz w:val="28"/>
          <w:szCs w:val="28"/>
          <w:rtl/>
        </w:rPr>
        <w:t xml:space="preserve">۲۲. قم؛ مرعشی؛ شماره نسخه: ۱۲۹۸۱/۶</w:t>
      </w:r>
    </w:p>
    <w:p>
      <w:pPr>
        <w:pStyle w:val="BookText"/>
      </w:pPr>
      <w:r>
        <w:rPr>
          <w:rFonts w:ascii="IRNazanin" w:hAnsi="IRNazanin" w:eastAsia="IRNazanin" w:cs="IRNazanin"/>
          <w:lang w:bidi="fa-IR"/>
          <w:color w:val="111111"/>
          <w:sz w:val="28"/>
          <w:szCs w:val="28"/>
          <w:rtl/>
        </w:rPr>
        <w:t xml:space="preserve">آغاز: هزار شکر که دو تدوم طریق ایمانی *** اوزنجه فرض ابله دم مذهب مسلمانی؛ انجام: یا پوش على اتكنيدن مراد مطلق آل ***ودور مراد ویرون ... اونی تانی</w:t>
      </w:r>
    </w:p>
    <w:p>
      <w:pPr>
        <w:pStyle w:val="BookText"/>
      </w:pPr>
      <w:r>
        <w:rPr>
          <w:rFonts w:ascii="IRNazanin" w:hAnsi="IRNazanin" w:eastAsia="IRNazanin" w:cs="IRNazanin"/>
          <w:lang w:bidi="fa-IR"/>
          <w:color w:val="111111"/>
          <w:sz w:val="28"/>
          <w:szCs w:val="28"/>
          <w:rtl/>
        </w:rPr>
        <w:t xml:space="preserve">قصیده ای است در ۴۴ بیت در مصایب حضرت امام حسین و یاران با وفایش، این قصیده بر اساس روایتی تنظیم گردیده که در آن به حضرت موسی وحی نازل گردیده و مصایب کربلا در یـک تمثیل عرفانی بر حضرت موسی آشکار می گردد. شاعر ناشناس ما «بیابانی» این روایت را در قالبی عرفانی به نظم کشیده  است. برخی ابیات آن چنین است: «روایت در که بر گون حجاب وحدت ده*** یتیشدی حضرت موسایه وحی ربانی .... که ناگهان بنظری دشدی کربلا چولنه *** گوروب او کربلا ده شاه شهیدانی / آلوب آرایه سپاه یزید بی پروا*** خزان ایدوب گلستان زهرانی. اشعار یاد شده با لهجه آذری سروده شده است ؛خط: نستعلیق، بی کا، تا: ۱۲۶۰ق؛ قلم خوردگی های بسیاردارد که به نظر می رسد نسخه اصل و به خط خود شاعر می باشد؛ کاغذ: فرنگی، ۳گ (۴۸پ- ۵۰ر) سطور چلیپا (سه ستونی) (13/5</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۳۲ - ۹۲۶]</w:t>
      </w:r>
    </w:p>
    <w:p>
      <w:pPr>
        <w:pStyle w:val="BookText"/>
      </w:pPr>
      <w:r>
        <w:rPr>
          <w:rFonts w:ascii="IRNazanin" w:hAnsi="IRNazanin" w:eastAsia="IRNazanin" w:cs="IRNazanin"/>
          <w:lang w:bidi="fa-IR"/>
          <w:color w:val="111111"/>
          <w:sz w:val="28"/>
          <w:szCs w:val="28"/>
          <w:rtl/>
        </w:rPr>
        <w:t xml:space="preserve">۲۳. تهران؛ دانشگاه؛ شماره نسخه ۵۱۶۰/۴</w:t>
      </w:r>
    </w:p>
    <w:p>
      <w:pPr>
        <w:pStyle w:val="BookText"/>
      </w:pPr>
      <w:r>
        <w:rPr>
          <w:rFonts w:ascii="IRNazanin" w:hAnsi="IRNazanin" w:eastAsia="IRNazanin" w:cs="IRNazanin"/>
          <w:lang w:bidi="fa-IR"/>
          <w:color w:val="111111"/>
          <w:sz w:val="28"/>
          <w:szCs w:val="28"/>
          <w:rtl/>
        </w:rPr>
        <w:t xml:space="preserve">شامل: شعر نسیمی و میرزا علی افشار هر دو به ترکی و قصاب به فارسی و فضولی و میر مراغه هر دو به ترکی؛ خط: نستعلیق، کا: رضا قلی و ولی قلی، تا: ۱۲۶۰ق ؛جا: تهران؛ برای سید حاجی بابا کرمانی؛ کاغذ: فرنگی ،جلد: تیماج تریاکی، ۴گ (۷۵پ- ۷۸ پ)، ۱۳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قطع: جیبی،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۱۵ - 4130]</w:t>
      </w:r>
    </w:p>
    <w:p>
      <w:pPr>
        <w:pStyle w:val="BookText"/>
      </w:pPr>
      <w:r>
        <w:rPr>
          <w:rFonts w:ascii="IRNazanin" w:hAnsi="IRNazanin" w:eastAsia="IRNazanin" w:cs="IRNazanin"/>
          <w:lang w:bidi="fa-IR"/>
          <w:color w:val="111111"/>
          <w:sz w:val="28"/>
          <w:szCs w:val="28"/>
          <w:rtl/>
        </w:rPr>
        <w:t xml:space="preserve">۲۴. تهران؛ مجلس؛ شماره نسخه: ۹۳۸۵</w:t>
      </w:r>
    </w:p>
    <w:p>
      <w:pPr>
        <w:pStyle w:val="BookText"/>
      </w:pPr>
      <w:r>
        <w:rPr>
          <w:rFonts w:ascii="IRNazanin" w:hAnsi="IRNazanin" w:eastAsia="IRNazanin" w:cs="IRNazanin"/>
          <w:lang w:bidi="fa-IR"/>
          <w:color w:val="111111"/>
          <w:sz w:val="28"/>
          <w:szCs w:val="28"/>
          <w:rtl/>
        </w:rPr>
        <w:t xml:space="preserve">آغاز: سر نامه نامه اسم الله *** اسمیله هرایش تمام و الله / اول مطلع حسن عشق رازی *** محبوب حقیقت و مجازی؛ انجام: تاریخ کتابه تام اولدی *** بوسو زمه جان ختام بولدی</w:t>
      </w:r>
    </w:p>
    <w:p>
      <w:pPr>
        <w:pStyle w:val="BookText"/>
      </w:pPr>
      <w:r>
        <w:rPr>
          <w:rFonts w:ascii="IRNazanin" w:hAnsi="IRNazanin" w:eastAsia="IRNazanin" w:cs="IRNazanin"/>
          <w:lang w:bidi="fa-IR"/>
          <w:color w:val="111111"/>
          <w:sz w:val="28"/>
          <w:szCs w:val="28"/>
          <w:rtl/>
        </w:rPr>
        <w:t xml:space="preserve">داستان عشقی همچون لیلی و مجنون است میان ممی و زین؛ خط: نسخ ترکی، بی کا، تا: ۱۲۷۳ق؛ مجدول محرر به زر، دارای سرلوح مذهب، رکابه دار؛ جلد: تیماج فرنگی قهوه ای، ۵۹گ، ۱۷ سطر، اندازه: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۳۰ - ۱۰۴]</w:t>
      </w:r>
    </w:p>
    <w:p>
      <w:pPr>
        <w:pStyle w:val="BookText"/>
      </w:pPr>
      <w:r>
        <w:rPr>
          <w:rFonts w:ascii="IRNazanin" w:hAnsi="IRNazanin" w:eastAsia="IRNazanin" w:cs="IRNazanin"/>
          <w:lang w:bidi="fa-IR"/>
          <w:color w:val="111111"/>
          <w:sz w:val="28"/>
          <w:szCs w:val="28"/>
          <w:rtl/>
        </w:rPr>
        <w:t xml:space="preserve">۲۵. مشهد؛ رضوی؛ شماره نسخه: ۱۸۵۰۲</w:t>
      </w:r>
    </w:p>
    <w:p>
      <w:pPr>
        <w:pStyle w:val="BookText"/>
      </w:pPr>
      <w:r>
        <w:rPr>
          <w:rFonts w:ascii="IRNazanin" w:hAnsi="IRNazanin" w:eastAsia="IRNazanin" w:cs="IRNazanin"/>
          <w:lang w:bidi="fa-IR"/>
          <w:color w:val="111111"/>
          <w:sz w:val="28"/>
          <w:szCs w:val="28"/>
          <w:rtl/>
        </w:rPr>
        <w:t xml:space="preserve">آغاز: ان قال يا خدام سن کیمی؛ انجام: ختم قیلسون پیغمبر و صلوات</w:t>
      </w:r>
    </w:p>
    <w:p>
      <w:pPr>
        <w:pStyle w:val="BookText"/>
      </w:pPr>
      <w:r>
        <w:rPr>
          <w:rFonts w:ascii="IRNazanin" w:hAnsi="IRNazanin" w:eastAsia="IRNazanin" w:cs="IRNazanin"/>
          <w:lang w:bidi="fa-IR"/>
          <w:color w:val="111111"/>
          <w:sz w:val="28"/>
          <w:szCs w:val="28"/>
          <w:rtl/>
        </w:rPr>
        <w:t xml:space="preserve">مجموعه ای است از اشعار ترکی در قالب رباعی و قصاید، از شاعرانی با تخلص دل ريش، دخيل، راجی، در وقایع کربلا، شهادت علی اصغر، حضرت علی (علیه السّلام) ، فاطمه زهرا (علیها السّلام) و غیره و همچنین شامل اشعاری در مصیبت درگذشت علمای معاصر شاعر با عناوین «سینه زنی فاضل  دربندی، سینه زنی در مصیبت مجتهد مرحوم فى غره شهر رجب ۱۲۸۵» است؛ خط: نستعلیق تحریری، کا: عبدالحسین، تا: ۱۲۸۶ق، افتادگی: آغاز؛ واقف: على رضا شاهی، خرداد ۱۳۷۲؛ کاغذ: حنایی فرنگی، جلد: اسقاطی، ۱۱۰گ، مختلف السطر، قطع: بیاضی،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 ف : ۱۷ - ۱۰۳]</w:t>
      </w:r>
    </w:p>
    <w:p>
      <w:pPr>
        <w:pStyle w:val="BookText"/>
      </w:pPr>
      <w:r>
        <w:rPr>
          <w:rFonts w:ascii="IRNazanin" w:hAnsi="IRNazanin" w:eastAsia="IRNazanin" w:cs="IRNazanin"/>
          <w:lang w:bidi="fa-IR"/>
          <w:color w:val="111111"/>
          <w:sz w:val="28"/>
          <w:szCs w:val="28"/>
          <w:rtl/>
        </w:rPr>
        <w:t xml:space="preserve">۲۶. قم؛ طبسی؛ شماره نسخه ۷۳۸</w:t>
      </w:r>
    </w:p>
    <w:p>
      <w:pPr>
        <w:pStyle w:val="BookText"/>
      </w:pPr>
      <w:r>
        <w:rPr>
          <w:rFonts w:ascii="IRNazanin" w:hAnsi="IRNazanin" w:eastAsia="IRNazanin" w:cs="IRNazanin"/>
          <w:lang w:bidi="fa-IR"/>
          <w:color w:val="111111"/>
          <w:sz w:val="28"/>
          <w:szCs w:val="28"/>
          <w:rtl/>
        </w:rPr>
        <w:t xml:space="preserve">آغاز: وحش طیوراتهامی سیراب اولوب *** ویرمری سوبز لره عدوان عمو / ایلدی بو نوحه منی دیده تر *** واریری کوز دن کلهء خون جگر؛ انجام: لبون کمی قور وموشدی هرایکی پستانم  ***  سو سوز ليق اتشه ایده یده بابای جانم</w:t>
      </w:r>
    </w:p>
    <w:p>
      <w:pPr>
        <w:pStyle w:val="BookText"/>
      </w:pPr>
      <w:r>
        <w:rPr>
          <w:rFonts w:ascii="IRNazanin" w:hAnsi="IRNazanin" w:eastAsia="IRNazanin" w:cs="IRNazanin"/>
          <w:lang w:bidi="fa-IR"/>
          <w:color w:val="111111"/>
          <w:sz w:val="28"/>
          <w:szCs w:val="28"/>
          <w:rtl/>
        </w:rPr>
        <w:t xml:space="preserve">اشعاری است در مرثیه و عزای حضرت سیدالشهداء و اصحاب گرامی آن حضرت به ترکی با عنوان های عباسیه، اصغریه،اکبریه، ،حسینیه، زینبیه، از جمله اشعاری دارد با تخلص «قویدل»؛ خط: نستعلیق، بی کا، تا: قرن ۱۴؛ جلد: تیماج، سرخ، ۴۰گ، مختلف السطر،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مخ: ۱ - ۸۲]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۲۷. قم؛ ارگانی بهبهانی؛ شماره نسخه: ۱۳۴/۳</w:t>
      </w:r>
    </w:p>
    <w:p>
      <w:pPr>
        <w:pStyle w:val="BookText"/>
      </w:pPr>
      <w:r>
        <w:rPr>
          <w:rFonts w:ascii="IRNazanin" w:hAnsi="IRNazanin" w:eastAsia="IRNazanin" w:cs="IRNazanin"/>
          <w:lang w:bidi="fa-IR"/>
          <w:color w:val="111111"/>
          <w:sz w:val="28"/>
          <w:szCs w:val="28"/>
          <w:rtl/>
        </w:rPr>
        <w:t xml:space="preserve">آغاز: جنگ ایچنده معجن لشکر کشاد *** بیر طرفدن دختر پاک اعتقاد / پس هماندم اول دلفر و زنکار *** قلدی سعدی بند قیدندن رها ؛انجام: بیر آتن وار ایدی دلدل شیروار ***هر قليـجن و اخی ایکی شاخ وار / بیر قولن وار ایدی قنبر ای امین ***سن علی سن صد پلدم یقین</w:t>
      </w:r>
    </w:p>
    <w:p>
      <w:pPr>
        <w:pStyle w:val="BookText"/>
      </w:pPr>
      <w:r>
        <w:rPr>
          <w:rFonts w:ascii="IRNazanin" w:hAnsi="IRNazanin" w:eastAsia="IRNazanin" w:cs="IRNazanin"/>
          <w:lang w:bidi="fa-IR"/>
          <w:color w:val="111111"/>
          <w:sz w:val="28"/>
          <w:szCs w:val="28"/>
          <w:rtl/>
        </w:rPr>
        <w:t xml:space="preserve">اشعاری است بیشتر در فضایل و مناقب و مراثی مولای متقـیان حضرت امیرمؤمنان علی، امام حسن مجتبى و سيد الشهداء (علیه السّلام)؛</w:t>
      </w:r>
    </w:p>
    <w:p>
      <w:pPr>
        <w:pStyle w:val="BookText"/>
      </w:pPr>
      <w:r>
        <w:rPr>
          <w:rFonts w:ascii="IRNazanin" w:hAnsi="IRNazanin" w:eastAsia="IRNazanin" w:cs="IRNazanin"/>
          <w:lang w:bidi="fa-IR"/>
          <w:color w:val="111111"/>
          <w:sz w:val="28"/>
          <w:szCs w:val="28"/>
          <w:rtl/>
        </w:rPr>
        <w:t xml:space="preserve">خط: نستعلیق مایل به  نسخ، بی کا، تا: اواخر قرن ۱۳ یا اوایل قرن ۱۴؛ افتادگی: آغاز و انجام ،جلد: تیماج قهوه ای، ۱۳-۱۶ سـطر  ، اندازه: ۱۷/۵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۱۰۳]</w:t>
      </w:r>
    </w:p>
    <w:p>
      <w:pPr>
        <w:pStyle w:val="BookText"/>
      </w:pPr>
      <w:r>
        <w:rPr>
          <w:rFonts w:ascii="IRNazanin" w:hAnsi="IRNazanin" w:eastAsia="IRNazanin" w:cs="IRNazanin"/>
          <w:lang w:bidi="fa-IR"/>
          <w:color w:val="111111"/>
          <w:sz w:val="28"/>
          <w:szCs w:val="28"/>
          <w:rtl/>
        </w:rPr>
        <w:t xml:space="preserve">۲۸. قم؛ گلپایگانی؛ شماره نسخه: ۷۶۲۰-۳۸/۲۴۰</w:t>
      </w:r>
    </w:p>
    <w:p>
      <w:pPr>
        <w:pStyle w:val="BookText"/>
      </w:pPr>
      <w:r>
        <w:rPr>
          <w:rFonts w:ascii="IRNazanin" w:hAnsi="IRNazanin" w:eastAsia="IRNazanin" w:cs="IRNazanin"/>
          <w:lang w:bidi="fa-IR"/>
          <w:color w:val="111111"/>
          <w:sz w:val="28"/>
          <w:szCs w:val="28"/>
          <w:rtl/>
        </w:rPr>
        <w:t xml:space="preserve">آغاز: تیز چاقور بابام گلشو یا ندى عنصرون جانم </w:t>
      </w:r>
      <w:r>
        <w:rPr>
          <w:rFonts w:ascii="IRNazanin" w:hAnsi="IRNazanin" w:eastAsia="IRNazanin" w:cs="IRNazanin"/>
          <w:lang w:bidi="fa-IR"/>
          <w:color w:val="111111"/>
          <w:sz w:val="28"/>
          <w:szCs w:val="28"/>
          <w:b w:val="1"/>
          <w:bCs w:val="1"/>
          <w:i w:val="1"/>
          <w:iCs w:val="1"/>
          <w:rtl/>
        </w:rPr>
        <w:t xml:space="preserve">کام آلی سون دشمن واز غروش لفغانم؛ انجام: نیمه قیدون اونه بیربیله طغیان</w:t>
      </w:r>
      <w:r>
        <w:rPr>
          <w:rFonts w:ascii="IRNazanin" w:hAnsi="IRNazanin" w:eastAsia="IRNazanin" w:cs="IRNazanin"/>
          <w:lang w:bidi="fa-IR"/>
          <w:color w:val="111111"/>
          <w:sz w:val="28"/>
          <w:szCs w:val="28"/>
          <w:rtl/>
        </w:rPr>
        <w:t xml:space="preserve"> نیمه ابتدوز اونی سنیر تیره باران / بیان ایله منه آخر ملالی***علی اکبرین دایی نولدی حالی</w:t>
      </w:r>
    </w:p>
    <w:p>
      <w:pPr>
        <w:pStyle w:val="BookText"/>
      </w:pPr>
      <w:r>
        <w:rPr>
          <w:rFonts w:ascii="IRNazanin" w:hAnsi="IRNazanin" w:eastAsia="IRNazanin" w:cs="IRNazanin"/>
          <w:lang w:bidi="fa-IR"/>
          <w:color w:val="111111"/>
          <w:sz w:val="28"/>
          <w:szCs w:val="28"/>
          <w:rtl/>
        </w:rPr>
        <w:t xml:space="preserve">بیاضی است شامل اشعار در مراثی سید الشهداء (علیه السّلام) و مجالـس تعزیه که گفتگوی بین اصحاب سید الشهداء و اصحاب یزید را به شعر ترکی آورده تا در مجالس تعزیه استفاده کنند؛ خط: نستعلیق، بی کا، تا: قرن ۱۴، افتادگی: آغاز و انجام؛ جلد: مقوا، ۷۴ سطور چلیپایی،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۲ - ۶۴۶] ،</w:t>
      </w:r>
    </w:p>
    <w:p>
      <w:pPr>
        <w:pStyle w:val="BookText"/>
      </w:pPr>
      <w:r>
        <w:rPr>
          <w:rFonts w:ascii="IRNazanin" w:hAnsi="IRNazanin" w:eastAsia="IRNazanin" w:cs="IRNazanin"/>
          <w:lang w:bidi="fa-IR"/>
          <w:color w:val="111111"/>
          <w:sz w:val="28"/>
          <w:szCs w:val="28"/>
          <w:rtl/>
        </w:rPr>
        <w:t xml:space="preserve">۲۹. قم؛ طبسی؛ شماره نسخه: ۸۳۴</w:t>
      </w:r>
    </w:p>
    <w:p>
      <w:pPr>
        <w:pStyle w:val="BookText"/>
      </w:pPr>
      <w:r>
        <w:rPr>
          <w:rFonts w:ascii="IRNazanin" w:hAnsi="IRNazanin" w:eastAsia="IRNazanin" w:cs="IRNazanin"/>
          <w:lang w:bidi="fa-IR"/>
          <w:color w:val="111111"/>
          <w:sz w:val="28"/>
          <w:szCs w:val="28"/>
          <w:rtl/>
        </w:rPr>
        <w:t xml:space="preserve">آغاز: رواتید و عبيد زياد كفر سیر*** صحيح نقليله يوزعين معاند و غدار؛ انجام: جناب سلمان میفرماید من تعجب کردم آنحضرت فرمود که از چه تعجب می کنی و حال آنکه من امروز خواهم</w:t>
      </w:r>
    </w:p>
    <w:p>
      <w:pPr>
        <w:pStyle w:val="BookText"/>
      </w:pPr>
      <w:r>
        <w:rPr>
          <w:rFonts w:ascii="IRNazanin" w:hAnsi="IRNazanin" w:eastAsia="IRNazanin" w:cs="IRNazanin"/>
          <w:lang w:bidi="fa-IR"/>
          <w:color w:val="111111"/>
          <w:sz w:val="28"/>
          <w:szCs w:val="28"/>
          <w:rtl/>
        </w:rPr>
        <w:t xml:space="preserve">مراثی اهل بیت (علیه السّلام) خصوصاً حضرت سید الشهداء (علیه السّلام) است به نظم و نثر ترکی و برخی مطالب در مواعظ برگرفته از آیات و روایات؛ خط: نستعلیق، بی کا، تا: قرن ۱۳ و ۱۴؛ افتادگی: آغازوانجام ؛جلد: تیماج  مشکی ،۲۳۱گ، مختلف السطر،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[مخ: ۱ – ۱۶۱]</w:t>
      </w:r>
    </w:p>
    <w:p>
      <w:pPr>
        <w:pStyle w:val="BookText"/>
      </w:pPr>
      <w:r>
        <w:rPr>
          <w:rFonts w:ascii="IRNazanin" w:hAnsi="IRNazanin" w:eastAsia="IRNazanin" w:cs="IRNazanin"/>
          <w:lang w:bidi="fa-IR"/>
          <w:color w:val="111111"/>
          <w:sz w:val="28"/>
          <w:szCs w:val="28"/>
          <w:rtl/>
        </w:rPr>
        <w:t xml:space="preserve">۳۰. تهران؛ ملی؛ شماره نسخه: ۲۱۱۴۸</w:t>
      </w:r>
    </w:p>
    <w:p>
      <w:pPr>
        <w:pStyle w:val="BookText"/>
      </w:pPr>
      <w:r>
        <w:rPr>
          <w:rFonts w:ascii="IRNazanin" w:hAnsi="IRNazanin" w:eastAsia="IRNazanin" w:cs="IRNazanin"/>
          <w:lang w:bidi="fa-IR"/>
          <w:color w:val="111111"/>
          <w:sz w:val="28"/>
          <w:szCs w:val="28"/>
          <w:rtl/>
        </w:rPr>
        <w:t xml:space="preserve">بی کا، تا: ۱۳۱۸ق، خریداری از رضا شیخان [ رایانه]</w:t>
      </w:r>
    </w:p>
    <w:p>
      <w:pPr>
        <w:pStyle w:val="BookText"/>
      </w:pPr>
      <w:r>
        <w:rPr>
          <w:rFonts w:ascii="IRNazanin" w:hAnsi="IRNazanin" w:eastAsia="IRNazanin" w:cs="IRNazanin"/>
          <w:lang w:bidi="fa-IR"/>
          <w:color w:val="111111"/>
          <w:sz w:val="28"/>
          <w:szCs w:val="28"/>
          <w:rtl/>
        </w:rPr>
        <w:t xml:space="preserve">۳۱. تهران؛ دانشگاه؛ شماره نسخه: ۱۰/۴۳۵۴/۶</w:t>
      </w:r>
    </w:p>
    <w:p>
      <w:pPr>
        <w:pStyle w:val="BookText"/>
      </w:pPr>
      <w:r>
        <w:rPr>
          <w:rFonts w:ascii="IRNazanin" w:hAnsi="IRNazanin" w:eastAsia="IRNazanin" w:cs="IRNazanin"/>
          <w:lang w:bidi="fa-IR"/>
          <w:color w:val="111111"/>
          <w:sz w:val="28"/>
          <w:szCs w:val="28"/>
          <w:rtl/>
        </w:rPr>
        <w:t xml:space="preserve">قصیده مخمس، از نظامی به ترکی؛ بی  كا، بی تا ؛کاغذ: فرنگی ، جلد: تيماج  مشکی، ۲گ (۳۶۶-۳۶۷)، ۲۲ سطر (9</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قـطع: بیاضی،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۱۳ - ۳۳۱۲]</w:t>
      </w:r>
    </w:p>
    <w:p>
      <w:pPr>
        <w:pStyle w:val="BookText"/>
      </w:pPr>
      <w:r>
        <w:rPr>
          <w:rFonts w:ascii="IRNazanin" w:hAnsi="IRNazanin" w:eastAsia="IRNazanin" w:cs="IRNazanin"/>
          <w:lang w:bidi="fa-IR"/>
          <w:color w:val="111111"/>
          <w:sz w:val="28"/>
          <w:szCs w:val="28"/>
          <w:rtl/>
        </w:rPr>
        <w:t xml:space="preserve">32.تهران؛ دانشگاه؛ شماره نسخه: ۱۳۰۶/۸ -ف</w:t>
      </w:r>
    </w:p>
    <w:p>
      <w:pPr>
        <w:pStyle w:val="BookText"/>
      </w:pPr>
      <w:r>
        <w:rPr>
          <w:rFonts w:ascii="IRNazanin" w:hAnsi="IRNazanin" w:eastAsia="IRNazanin" w:cs="IRNazanin"/>
          <w:lang w:bidi="fa-IR"/>
          <w:color w:val="111111"/>
          <w:sz w:val="28"/>
          <w:szCs w:val="28"/>
          <w:rtl/>
        </w:rPr>
        <w:t xml:space="preserve">نسخه اصل: پاریس ۳۶۸ فارسی. قصیده آذری در ستایش علی (علیه السّلام)؛ خط: نستعلیق، بی کا، بی تا؛ ۱۴ سطر [فیلمها: ۱ – ۵۹۲]</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تهران؛ دانشگاه؛ شماره نسخه: ۶۲۲۵/۲۹-ف</w:t>
      </w:r>
    </w:p>
    <w:p>
      <w:pPr>
        <w:pStyle w:val="BookText"/>
      </w:pPr>
      <w:r>
        <w:rPr>
          <w:rFonts w:ascii="IRNazanin" w:hAnsi="IRNazanin" w:eastAsia="IRNazanin" w:cs="IRNazanin"/>
          <w:lang w:bidi="fa-IR"/>
          <w:color w:val="111111"/>
          <w:sz w:val="28"/>
          <w:szCs w:val="28"/>
          <w:rtl/>
        </w:rPr>
        <w:t xml:space="preserve">قصیده معماست به ترکی به نام سلیمان از عارف سروده 963؛</w:t>
      </w:r>
    </w:p>
    <w:p>
      <w:pPr>
        <w:pStyle w:val="BookText"/>
      </w:pPr>
      <w:r>
        <w:rPr>
          <w:rFonts w:ascii="IRNazanin" w:hAnsi="IRNazanin" w:eastAsia="IRNazanin" w:cs="IRNazanin"/>
          <w:lang w:bidi="fa-IR"/>
          <w:color w:val="111111"/>
          <w:sz w:val="28"/>
          <w:szCs w:val="28"/>
          <w:rtl/>
        </w:rPr>
        <w:t xml:space="preserve">بی کا، بی تا [فیلمها: ۳ - ۲۱۲]</w:t>
      </w:r>
    </w:p>
    <w:p>
      <w:pPr>
        <w:pStyle w:val="BookText"/>
      </w:pPr>
      <w:r>
        <w:rPr>
          <w:rFonts w:ascii="IRNazanin" w:hAnsi="IRNazanin" w:eastAsia="IRNazanin" w:cs="IRNazanin"/>
          <w:lang w:bidi="fa-IR"/>
          <w:color w:val="111111"/>
          <w:sz w:val="28"/>
          <w:szCs w:val="28"/>
          <w:rtl/>
        </w:rPr>
        <w:t xml:space="preserve">۳۴. تهران؛ دانشگاه؛ شماره :نسخه ۶۲۲۵/۷-ف-درهامش</w:t>
      </w:r>
    </w:p>
    <w:p>
      <w:pPr>
        <w:pStyle w:val="BookText"/>
      </w:pPr>
      <w:r>
        <w:rPr>
          <w:rFonts w:ascii="IRNazanin" w:hAnsi="IRNazanin" w:eastAsia="IRNazanin" w:cs="IRNazanin"/>
          <w:lang w:bidi="fa-IR"/>
          <w:color w:val="111111"/>
          <w:sz w:val="28"/>
          <w:szCs w:val="28"/>
          <w:rtl/>
        </w:rPr>
        <w:t xml:space="preserve">غزل ترکی؛ بی کا، بی تا [فیلمها: ۳ - ۲۱۳]</w:t>
      </w:r>
    </w:p>
    <w:p>
      <w:pPr>
        <w:pStyle w:val="BookText"/>
      </w:pPr>
      <w:r>
        <w:rPr>
          <w:rFonts w:ascii="IRNazanin" w:hAnsi="IRNazanin" w:eastAsia="IRNazanin" w:cs="IRNazanin"/>
          <w:lang w:bidi="fa-IR"/>
          <w:color w:val="111111"/>
          <w:sz w:val="28"/>
          <w:szCs w:val="28"/>
          <w:rtl/>
        </w:rPr>
        <w:t xml:space="preserve">۳۵ .تهران؛ دانشگاه؛ شماره نسخه ۴۲-۶۲۲۵/۴۱-ف-درهامش</w:t>
      </w:r>
    </w:p>
    <w:p>
      <w:pPr>
        <w:pStyle w:val="BookText"/>
      </w:pPr>
      <w:r>
        <w:rPr>
          <w:rFonts w:ascii="IRNazanin" w:hAnsi="IRNazanin" w:eastAsia="IRNazanin" w:cs="IRNazanin"/>
          <w:lang w:bidi="fa-IR"/>
          <w:color w:val="111111"/>
          <w:sz w:val="28"/>
          <w:szCs w:val="28"/>
          <w:rtl/>
        </w:rPr>
        <w:t xml:space="preserve">قصیده لطیفی است. هنگام رفتن به مصر به ترکی؛ بی کا، بی تا  [ فيلمها: ۳ - ۲۱۳]</w:t>
      </w:r>
    </w:p>
    <w:p>
      <w:pPr>
        <w:pStyle w:val="BookText"/>
      </w:pPr>
      <w:r>
        <w:rPr>
          <w:rFonts w:ascii="IRNazanin" w:hAnsi="IRNazanin" w:eastAsia="IRNazanin" w:cs="IRNazanin"/>
          <w:lang w:bidi="fa-IR"/>
          <w:color w:val="111111"/>
          <w:sz w:val="28"/>
          <w:szCs w:val="28"/>
          <w:rtl/>
        </w:rPr>
        <w:t xml:space="preserve">۳۶. تهران؛ مجلس؛ شماره نسخه: ۱۷۸۰۵</w:t>
      </w:r>
    </w:p>
    <w:p>
      <w:pPr>
        <w:pStyle w:val="BookText"/>
      </w:pPr>
      <w:r>
        <w:rPr>
          <w:rFonts w:ascii="IRNazanin" w:hAnsi="IRNazanin" w:eastAsia="IRNazanin" w:cs="IRNazanin"/>
          <w:lang w:bidi="fa-IR"/>
          <w:color w:val="111111"/>
          <w:sz w:val="28"/>
          <w:szCs w:val="28"/>
          <w:rtl/>
        </w:rPr>
        <w:t xml:space="preserve">از غیر مشاهیر شامل مثمنات و مسدسات از علوی  فوری ،اصولی ،بیانی ،هاشمی جنانی و غیره؛ بی کا، بی تا [د.ث. مجلس ]</w:t>
      </w:r>
    </w:p>
    <w:p>
      <w:pPr>
        <w:pStyle w:val="BookText"/>
      </w:pPr>
      <w:r>
        <w:rPr>
          <w:rFonts w:ascii="IRNazanin" w:hAnsi="IRNazanin" w:eastAsia="IRNazanin" w:cs="IRNazanin"/>
          <w:lang w:bidi="fa-IR"/>
          <w:color w:val="111111"/>
          <w:sz w:val="28"/>
          <w:szCs w:val="28"/>
          <w:rtl/>
        </w:rPr>
        <w:t xml:space="preserve">۳۷. تهران؛ ملی؛ شماره نسخه: ۲۱۰۱۹</w:t>
      </w:r>
    </w:p>
    <w:p>
      <w:pPr>
        <w:pStyle w:val="BookText"/>
      </w:pPr>
      <w:r>
        <w:rPr>
          <w:rFonts w:ascii="IRNazanin" w:hAnsi="IRNazanin" w:eastAsia="IRNazanin" w:cs="IRNazanin"/>
          <w:lang w:bidi="fa-IR"/>
          <w:color w:val="111111"/>
          <w:sz w:val="28"/>
          <w:szCs w:val="28"/>
          <w:rtl/>
        </w:rPr>
        <w:t xml:space="preserve">دیوان اشعار ترکمنی؛ در وصف پیغمبر؛ بی کا، بی تا؛ خریداری از محمد مصطفی حسینی [رایانه]</w:t>
      </w:r>
    </w:p>
    <w:p>
      <w:pPr>
        <w:pStyle w:val="BookText"/>
      </w:pPr>
      <w:r>
        <w:rPr>
          <w:rFonts w:ascii="IRNazanin" w:hAnsi="IRNazanin" w:eastAsia="IRNazanin" w:cs="IRNazanin"/>
          <w:lang w:bidi="fa-IR"/>
          <w:color w:val="111111"/>
          <w:sz w:val="28"/>
          <w:szCs w:val="28"/>
          <w:rtl/>
        </w:rPr>
        <w:t xml:space="preserve">۳۸. تهران؛ ملی؛ شماره نسخه: ۱۲۴۶۹۴۵</w:t>
      </w:r>
    </w:p>
    <w:p>
      <w:pPr>
        <w:pStyle w:val="BookText"/>
      </w:pPr>
      <w:r>
        <w:rPr>
          <w:rFonts w:ascii="IRNazanin" w:hAnsi="IRNazanin" w:eastAsia="IRNazanin" w:cs="IRNazanin"/>
          <w:lang w:bidi="fa-IR"/>
          <w:color w:val="111111"/>
          <w:sz w:val="28"/>
          <w:szCs w:val="28"/>
          <w:rtl/>
        </w:rPr>
        <w:t xml:space="preserve">دیوان شعر ترکمنی؛ بی کا، بی تا؛ خریداری از محمد مصطفی حسینی [رایانه ]</w:t>
      </w:r>
    </w:p>
    <w:p>
      <w:pPr>
        <w:pStyle w:val="BookText"/>
      </w:pPr>
      <w:r>
        <w:rPr>
          <w:rFonts w:ascii="IRNazanin" w:hAnsi="IRNazanin" w:eastAsia="IRNazanin" w:cs="IRNazanin"/>
          <w:lang w:bidi="fa-IR"/>
          <w:color w:val="111111"/>
          <w:sz w:val="28"/>
          <w:szCs w:val="28"/>
          <w:rtl/>
        </w:rPr>
        <w:t xml:space="preserve">۳۹ .تهران؛ مجلس؛ شماره نسخه: ۴۰۶۳</w:t>
      </w:r>
    </w:p>
    <w:p>
      <w:pPr>
        <w:pStyle w:val="BookText"/>
      </w:pPr>
      <w:r>
        <w:rPr>
          <w:rFonts w:ascii="IRNazanin" w:hAnsi="IRNazanin" w:eastAsia="IRNazanin" w:cs="IRNazanin"/>
          <w:lang w:bidi="fa-IR"/>
          <w:color w:val="111111"/>
          <w:sz w:val="28"/>
          <w:szCs w:val="28"/>
          <w:rtl/>
        </w:rPr>
        <w:t xml:space="preserve">آغاز: الحمد لله الله آدين آية ... ابتدا و انتها *** اولئك او اولیا . .. هم آخرین جاویدان / شوک بیراوندن قاموسی حبنشده در *** كورسنكاكيم هو بیری پیرایشده در ... و تلک عشرة كاملة، بيلو؛ انجام: خوش بشارت کلدی حقدن موندرا *** روزی قیلسون آنی جمله قول لاره / جون بولار یوزاوردی بو کرجک دینه ***اونی در نشدی بر آغاج دبینه</w:t>
      </w:r>
    </w:p>
    <w:p>
      <w:pPr>
        <w:pStyle w:val="BookText"/>
      </w:pPr>
      <w:r>
        <w:rPr>
          <w:rFonts w:ascii="IRNazanin" w:hAnsi="IRNazanin" w:eastAsia="IRNazanin" w:cs="IRNazanin"/>
          <w:lang w:bidi="fa-IR"/>
          <w:color w:val="111111"/>
          <w:sz w:val="28"/>
          <w:szCs w:val="28"/>
          <w:rtl/>
        </w:rPr>
        <w:t xml:space="preserve">مثنوی ترکی است دارای دیباچه و بعد عنوان های «مناجاة و موالاة» و «داستان اول از باب اول حکایت شرح اصحاب» و «در ستایش امیرالمؤمنین علی ...»، «در نبوت سید المرسلين و ختم... » و باب اول - «فى ... رسول در مقام اتحاد چون بوده اند» (۳پ) سپس داستان دوم تا دهم، باب دوم - نیز دارای ده داستان و هفتمین آن: «حکایت در صفت نبات و حیوان و انسان و ملک و. ..» (۱۱ر) که در همین برگ اشعاری از سعدی:« باران که در بسط نیست» و «ابر اگر آب ...» نقل کرده است، باب سوم - هم ده  داستان دارد نخستین آن در تشریح عناصر (۱۳ر)، باب چهارم -  در هشت داستان عنوان نخست آن: «در تعیین پنج پرده که درمیان محب محبوب چون حروف کاف» و پس از داستان دوم این  باب، داستان پنجم آغاز شده و سپس داستان سیم، «حکایت زمین و آسمان که هر دو بنده و کنیزک بزرگترین...» (۲۲ر) بعد(داستان سوم) از باب  چهارم: «در بیان آنکه آدمی باز در زندان</w:t>
      </w:r>
    </w:p>
    <w:p>
      <w:pPr>
        <w:pStyle w:val="BookText"/>
      </w:pPr>
      <w:r>
        <w:rPr>
          <w:rFonts w:ascii="IRNazanin" w:hAnsi="IRNazanin" w:eastAsia="IRNazanin" w:cs="IRNazanin"/>
          <w:lang w:bidi="fa-IR"/>
          <w:color w:val="111111"/>
          <w:sz w:val="28"/>
          <w:szCs w:val="28"/>
          <w:rtl/>
        </w:rPr>
        <w:t xml:space="preserve">شش جهت ...» ۲۳ پ)، سپس داستان ۴ تا ۱۰ این باب آمده است، آن گاه داستان اول باب پنجم...؛ خط: نستعلیق، بی کا، بی تا؛ مجدول، یادداشتی به تاریخ ۱۲۵۷ و مهر «... حسين بن احمد. ..» و نیز یادداشتی به تاریخ ۱۱۴۰، در انجام متن نیز یادداشت تاریخ تولدی از مولانا عبدالكريم بن ملا محمد شفيع بن عبدالكريم بن ملا شکرالله به تاریخ دوشنبه ۲۲ جمادی الثانی ۱۰۸۴؛ کاغذ: متن و حاشیه (متن اصفهانی - جامعه هامش فرنگی)، جلد: مقوا، ۷۲گ، ۳۳ 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 اندازه: ۲۲/۵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۳۵سم [ف: ۱۱ -۶۰]</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تهران؛ ادبیات؛ شماره نسخه ۱۲۲/۳ ـ د</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آغاز: مگر داریدی بر مجنون بیدل*** جهاننگ پهلوانی مرد مقـبل / چقا مزدی خلایق اور تا سینه *** یتیش داش او را ردی از خاسـینه مثنوی ترکی است؛ داستان های دیوانه  کودکان، ابراهیم ادهم؛ نصر احمد  ب، دده، جمجمه خان، بی کا؛ بی تا؛ افتادگی: انجـام؛  ۳۲گ ( ۱۴۰ پ -۱۷۱پ) [ف: ۱ - ۴۱۱]</w:t>
      </w:r>
    </w:p>
    <w:p>
      <w:pPr>
        <w:pStyle w:val="BookText"/>
      </w:pPr>
      <w:r>
        <w:rPr>
          <w:rFonts w:ascii="IRNazanin" w:hAnsi="IRNazanin" w:eastAsia="IRNazanin" w:cs="IRNazanin"/>
          <w:lang w:bidi="fa-IR"/>
          <w:color w:val="111111"/>
          <w:sz w:val="28"/>
          <w:szCs w:val="28"/>
          <w:rtl/>
        </w:rPr>
        <w:t xml:space="preserve">۴۱. تهران؛ دانشگاه؛ شماره نسخه: ۶۲۲۵/۲-ف-درهامش</w:t>
      </w:r>
    </w:p>
    <w:p>
      <w:pPr>
        <w:pStyle w:val="BookText"/>
      </w:pPr>
      <w:r>
        <w:rPr>
          <w:rFonts w:ascii="IRNazanin" w:hAnsi="IRNazanin" w:eastAsia="IRNazanin" w:cs="IRNazanin"/>
          <w:lang w:bidi="fa-IR"/>
          <w:color w:val="111111"/>
          <w:sz w:val="28"/>
          <w:szCs w:val="28"/>
          <w:rtl/>
        </w:rPr>
        <w:t xml:space="preserve">مثنوی ترکی؛ بی کا، بی تا [فیلمها: ۳ - ۲۱۳]</w:t>
      </w:r>
    </w:p>
    <w:p>
      <w:pPr>
        <w:pStyle w:val="BookText"/>
      </w:pPr>
      <w:r>
        <w:rPr>
          <w:rFonts w:ascii="IRNazanin" w:hAnsi="IRNazanin" w:eastAsia="IRNazanin" w:cs="IRNazanin"/>
          <w:lang w:bidi="fa-IR"/>
          <w:color w:val="111111"/>
          <w:sz w:val="28"/>
          <w:szCs w:val="28"/>
          <w:rtl/>
        </w:rPr>
        <w:t xml:space="preserve">۴۲. تهران؛ دانشگاه؛ شماره نسخه: ۶۲۲۵/۱۶۶-ف-درهامش</w:t>
      </w:r>
    </w:p>
    <w:p>
      <w:pPr>
        <w:pStyle w:val="BookText"/>
      </w:pPr>
      <w:r>
        <w:rPr>
          <w:rFonts w:ascii="IRNazanin" w:hAnsi="IRNazanin" w:eastAsia="IRNazanin" w:cs="IRNazanin"/>
          <w:lang w:bidi="fa-IR"/>
          <w:color w:val="111111"/>
          <w:sz w:val="28"/>
          <w:szCs w:val="28"/>
          <w:rtl/>
        </w:rPr>
        <w:t xml:space="preserve">مثنوی ترکی؛ بی کا، بی تا؛ ٢ ص [ فیلمها: ۳ - ۲۱۳]</w:t>
      </w:r>
    </w:p>
    <w:p>
      <w:pPr>
        <w:pStyle w:val="BookText"/>
      </w:pPr>
      <w:r>
        <w:rPr>
          <w:rFonts w:ascii="IRNazanin" w:hAnsi="IRNazanin" w:eastAsia="IRNazanin" w:cs="IRNazanin"/>
          <w:lang w:bidi="fa-IR"/>
          <w:color w:val="111111"/>
          <w:sz w:val="28"/>
          <w:szCs w:val="28"/>
          <w:rtl/>
        </w:rPr>
        <w:t xml:space="preserve">43.تهران؛ ملی؛ شماره نسخه: ۲۰۴۵/۲</w:t>
      </w:r>
    </w:p>
    <w:p>
      <w:pPr>
        <w:pStyle w:val="BookText"/>
      </w:pPr>
      <w:r>
        <w:rPr>
          <w:rFonts w:ascii="IRNazanin" w:hAnsi="IRNazanin" w:eastAsia="IRNazanin" w:cs="IRNazanin"/>
          <w:lang w:bidi="fa-IR"/>
          <w:color w:val="111111"/>
          <w:sz w:val="28"/>
          <w:szCs w:val="28"/>
          <w:rtl/>
        </w:rPr>
        <w:t xml:space="preserve">ترجیع بند از آن احمد پاشا به ترکی شش بند است که بند ترجیع آنها چنین است: ماه برج سپهر سلطانی شهریار دیار عثمانی. (گ ۶۳-۶۴)، سپس  قصیده در ۲۵ بیت (گ ۶۵)، سپس زیر عنوان: «جعفر را است» پنج غزل با تخلص «جعفر» است (گ۶۶)، و پـس از آن غزلی با تخلص «عطا» و غزلی با تخلص «عطا» و غزلی تخلص «روانی» و دو غزل ترکی با تخلص «سعدی» و دیگـری «جعفر» (گ ۶۷) و ۶۸) است؛ بی کا، بی تا؛ مجدول، دو ستونی برای دو مصرع است، دارای یک مهر شش پهلو حاوی وقفنامه به دو ترکی ،جلد: مقوایی، رویه و آستر کاغذ گل و بوته، ۵گ (63- ۶۸)، ۱۵ سطر (7/5</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اندازه: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۱۱ - ۱۶۵]</w:t>
      </w:r>
    </w:p>
    <w:p>
      <w:pPr>
        <w:pStyle w:val="BookText"/>
      </w:pPr>
      <w:r>
        <w:rPr>
          <w:rFonts w:ascii="IRNazanin" w:hAnsi="IRNazanin" w:eastAsia="IRNazanin" w:cs="IRNazanin"/>
          <w:lang w:bidi="fa-IR"/>
          <w:color w:val="111111"/>
          <w:sz w:val="28"/>
          <w:szCs w:val="28"/>
          <w:rtl/>
        </w:rPr>
        <w:t xml:space="preserve">۴۴. تهران؛ دانشگاه؛ شماره نسخه: ۸۷۴۶/۲</w:t>
      </w:r>
    </w:p>
    <w:p>
      <w:pPr>
        <w:pStyle w:val="BookText"/>
      </w:pPr>
      <w:r>
        <w:rPr>
          <w:rFonts w:ascii="IRNazanin" w:hAnsi="IRNazanin" w:eastAsia="IRNazanin" w:cs="IRNazanin"/>
          <w:lang w:bidi="fa-IR"/>
          <w:color w:val="111111"/>
          <w:sz w:val="28"/>
          <w:szCs w:val="28"/>
          <w:rtl/>
        </w:rPr>
        <w:t xml:space="preserve">شعر ترکی خاوری درباره اسلام است. از این کسان سروده هایی نوشته شده: آذر ،آذری ،آصفی ،آهی، ابراهیم خان  لر،ابراهیم کرو هرودی، میرزا ابراهیم ابوالمعالی، ابوتراب بیگ، ادهم: «درپتنه بتاريخ ۲۷ ماه ذیقعده سنه ۱۰۸۸ نوشته شده» ،اسیر، اقدسی سمنانی ،الهاما ،امیدی، امیر خسرو دهلوی،امیرشاهی،   امینای نجفی، اورنگ زیب ،اهلی ،باباطاهر ، باقر شیرازی، بدرای مازندرانی، بساطی، شیخ بهاءالدین محمد ،بیانی ،بیکسی، بینش، تجلی، جامی، جعفر بن شجاع اصفهانی (ص ۲۹۶ ، به خط خودش: «این ابیات پریشان به جهت یادگاری در پتنه رقم [شد] لمحـرره اقل الخليفة بل لا شيء في الحقيقه جعفر بن شجاع اصفهانی؛ الـدعا على الدعا  الحمر»)، میرزا جعفر طالقانی، میرزا جلال اسـیر، جلالای خارزمی (ص ۲۹۵: «بحسب الفرموده صاحب قبله گاهی حكيم محمد تقی قلمی شد در دارالسلطنه شهر ناو بتاریخ ۲۶ شـهر رجب المرجب سنه ۱۰۹۴ هجرى كتب الحروف بنده خاکسار ذره بیمقدار از وطن بیگانه بقربت (كذا) آشنا محمد مومن مشهدی»)، میرزا جلال، حزنی، حسامی، حسن بیگ رفیع، حسن خان هرات حسن  دهلوی ،حسن، حسن قطب، ملا حسن قطب، ملا حسن کاشی،ملا(ص ۵۲- ۵۵؛ حقیری، حمزه، نواب  مرزا ،حيدر حيرتی، خاقانی، خسرو، خسرو ویسی، ملا  خصمی ،ملا، خلیفه سلطان خليل فارغ ،خیالی ،دارالشکوه، دهکی، ذهنی ،راوی، رسـتم ،رضی، رفیع مازندرانی، حکیم  رکنا ،ریاضی ،ریخته آقا زمان زرکش، زیب النساء بیگم، ملا زینای سارئی، سالکا سالكا يزدی،سعدی، سعیدای  یزدی، سلمان ساوجی، سلیمان بیگ، سلیم،سنجر کاشی ،سنجر ،سهیلی ،شانی، شاه اسماعیل  ثانی، شاه حیدرا، شاه سامعا  مازندرانی، شاه طاهر  دکنی، شاه کشمیری، شاه مومنای گونابادی ،شفائی، شفیعای  اصل، میر شوقی، شوکتی، شیدا، شیدای  هندی، صاحب  تبریزی ،حکیم صادق دستغیب، صادق گاو، صالح، صایبا، مخمس صایبا در ص ۲۵۷: «حسب الفرموده حكيم صاحب مهربان حكيم محمد تقى سلمه الله در جلال آباد سمت تحریر یافت. حرره العبد سيد محمد القمى في تاريخ عقدهم شهر ربيع الثاني سنه ۱۱۰۰»، صفی قلی بیگ، صیدی طهرانی، صیدی طهرانی، ضیاءالدین محمد، مرزا، ضیاء گیلانی، طالب آملی، طالب کلیم (۱۸۴: «بتاریخ ۲۶ ماه ذیقعده سنه ۱۰۸۸ نوشته شد در پتنه»، ۳۰۳: «بحسب الفرموده به تضییع این صفحه اقدام نمود احقر عبادالله محمد اسماعیل مشهد سری»)، طاهر، طاهر واقع  نویس ،طوسی ،طیبا ،ظلی ،عارف، عبدالله  قزوینی ،عراقی، عرب عرفی شیرازی (ص۱۵۲: به تاریخ ۲۵ ماه ذیقعده سنه ۱۰۸۸ در پتنه نوشته شد» ،عصمت، حكيم عطا، عطار، على اکبر وجهی، میر سید علی سمنانی، میرعلیشیر، شيخ على نقى، ،عماد ،غباری، غنی کشمیری ،فارغی، فتحی اردستانی، فخرالدین باخرزی، فخری، فرج الله، فردوسی، فکری، فیاض، فیضی، قاسم  خان ،قاسم ،قاسمی، قاضی  نور، قدسی ،قسمی ،کرمانی، کاتبی نیشابوری ،کلبی ،کلیم، کمال  اسماعیل، مانی، مایلی، مجد همگر، محتشم ،محمد  امین، محمدتقی بیگ، محمد جان قدسی، محمد حسین  امامی، محمدرضا بیک مشهدی، محمد صوفی، محمدقلی  سلیم، محمد مومن استر آبادی، مرتضی قلی سلطان، مشربا، معز فطرت ،معصوم کاشی ،معنی مقیما مشهدی، منصف طرشتی منوچهر هندو، موسوی ،مولوی ،میلی ،نادم، ناصر، نافع مازندرانی، نجات ،نرگسی، نصیر طوسی ،نطقی، نظام دست غیب، نظیری، نقی، نورجهان  بیگم ،نوعی ،نیائی واعظ قزوینی، وحدت سلمه الله، وحشى یزدی، وحید، ویسی، هستمی، هلالی، شعر از لااعلم (ص۲۲۷: «بتاریخ پنجم جمادی الثانی سنه ۱۱۰۸ در قزوین نوشته شد»)، یک مصراع از شاعری ناشناس با این امضا: «کمترین خلق الله محمد ولد منوچهر غلام امر گونه خانیدر قصبه ارشی که بتحصیل آمده بودیم و سرگردانی روزگار رو داده این دو کلمه بیادگاری نوشته شد به تاریخ ۲۲ شهر شعبان توشقان ئیل سنه ۱۱۱۸ قلمی شد»( ص ۲۷۲ )، چندین معما در ص ،۱۳۹ ، ۱۴۰، ۱۴۲، ۱۴۳، 155و 266؛ بی کا، بی تا؛ کاغذ: فرنگی، جلد: تیماج مشکی مقوایی ،روغنی ۳ ص (۸۰ پ - ۸۱ پ)، ۱۵ سطر (9</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قطع:وزیری [ف: ۱۷ - ۲۱۱]</w:t>
      </w:r>
    </w:p>
    <w:p>
      <w:pPr>
        <w:pStyle w:val="BookText"/>
      </w:pPr>
      <w:r>
        <w:rPr>
          <w:rFonts w:ascii="IRNazanin" w:hAnsi="IRNazanin" w:eastAsia="IRNazanin" w:cs="IRNazanin"/>
          <w:lang w:bidi="fa-IR"/>
          <w:color w:val="111111"/>
          <w:sz w:val="28"/>
          <w:szCs w:val="28"/>
          <w:rtl/>
        </w:rPr>
        <w:t xml:space="preserve">۴۵. تهران؛ مجلس؛ شماره نسخه: ۸۹۷۷/۳۲</w:t>
      </w:r>
    </w:p>
    <w:p>
      <w:pPr>
        <w:pStyle w:val="BookText"/>
      </w:pPr>
      <w:r>
        <w:rPr>
          <w:rFonts w:ascii="IRNazanin" w:hAnsi="IRNazanin" w:eastAsia="IRNazanin" w:cs="IRNazanin"/>
          <w:lang w:bidi="fa-IR"/>
          <w:color w:val="111111"/>
          <w:sz w:val="28"/>
          <w:szCs w:val="28"/>
          <w:rtl/>
        </w:rPr>
        <w:t xml:space="preserve">خط: نستعلیق، بی کا، بی تا ؛کاغذ: نخودی آهار مهره ، جلد: میشن  قهوه ای، اندازه: ۱۴/۲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۲۳/۵سم [ف: ۲۹/۱ - ۵۳۹]</w:t>
      </w:r>
    </w:p>
    <w:p>
      <w:pPr>
        <w:pStyle w:val="BookText"/>
      </w:pPr>
      <w:r>
        <w:rPr>
          <w:rFonts w:ascii="IRNazanin" w:hAnsi="IRNazanin" w:eastAsia="IRNazanin" w:cs="IRNazanin"/>
          <w:lang w:bidi="fa-IR"/>
          <w:color w:val="111111"/>
          <w:sz w:val="28"/>
          <w:szCs w:val="28"/>
          <w:rtl/>
        </w:rPr>
        <w:t xml:space="preserve">۴۶. تهران؛ دانشگاه؛ شماره نسخه: ۱۰۵۹/۴-ف</w:t>
      </w:r>
    </w:p>
    <w:p>
      <w:pPr>
        <w:pStyle w:val="BookText"/>
      </w:pPr>
      <w:r>
        <w:rPr>
          <w:rFonts w:ascii="IRNazanin" w:hAnsi="IRNazanin" w:eastAsia="IRNazanin" w:cs="IRNazanin"/>
          <w:lang w:bidi="fa-IR"/>
          <w:color w:val="111111"/>
          <w:sz w:val="28"/>
          <w:szCs w:val="28"/>
          <w:rtl/>
        </w:rPr>
        <w:t xml:space="preserve">بی کا، بی تا؛ ۱۵۱گ [ فیلمها: ۱ - ۵۶۲]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bookmarkStart w:id="421" w:name="pg20365_260590"/>
    <w:bookmarkEnd w:id="421"/>
    <w:p>
      <w:pPr>
        <w:pStyle w:val="BookText"/>
      </w:pPr>
      <w:r>
        <w:rPr>
          <w:rFonts w:ascii="IRNazanin" w:hAnsi="IRNazanin" w:eastAsia="IRNazanin" w:cs="IRNazanin"/>
          <w:lang w:bidi="fa-IR"/>
          <w:color w:val="111111"/>
          <w:sz w:val="28"/>
          <w:szCs w:val="28"/>
          <w:rtl/>
        </w:rPr>
        <w:t xml:space="preserve">۴۷. تهران؛ ملی؛ شماره نسخه: ۱۶۹۸۶</w:t>
      </w:r>
    </w:p>
    <w:p>
      <w:pPr>
        <w:pStyle w:val="BookText"/>
      </w:pPr>
      <w:r>
        <w:rPr>
          <w:rFonts w:ascii="IRNazanin" w:hAnsi="IRNazanin" w:eastAsia="IRNazanin" w:cs="IRNazanin"/>
          <w:lang w:bidi="fa-IR"/>
          <w:color w:val="111111"/>
          <w:sz w:val="28"/>
          <w:szCs w:val="28"/>
          <w:rtl/>
        </w:rPr>
        <w:t xml:space="preserve">دیوان شعر است؛ بی کا، بی تا؛ انتقالی از کتابخانه پهلوی- مجموعه نوازی؛ ۳۳۷گ اندازه: ۱۷/۱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۲۷/۴سم [رایانه]</w:t>
      </w:r>
    </w:p>
    <w:p>
      <w:pPr>
        <w:pStyle w:val="BookText"/>
      </w:pPr>
      <w:r>
        <w:rPr>
          <w:rFonts w:ascii="IRNazanin" w:hAnsi="IRNazanin" w:eastAsia="IRNazanin" w:cs="IRNazanin"/>
          <w:lang w:bidi="fa-IR"/>
          <w:color w:val="111111"/>
          <w:sz w:val="28"/>
          <w:szCs w:val="28"/>
          <w:rtl/>
        </w:rPr>
        <w:t xml:space="preserve">۴۸. قم؛ مرعشی؛ شماره نسخه ۲۸۴۷</w:t>
      </w:r>
    </w:p>
    <w:p>
      <w:pPr>
        <w:pStyle w:val="BookText"/>
      </w:pPr>
      <w:r>
        <w:rPr>
          <w:rFonts w:ascii="IRNazanin" w:hAnsi="IRNazanin" w:eastAsia="IRNazanin" w:cs="IRNazanin"/>
          <w:lang w:bidi="fa-IR"/>
          <w:color w:val="111111"/>
          <w:sz w:val="28"/>
          <w:szCs w:val="28"/>
          <w:rtl/>
        </w:rPr>
        <w:t xml:space="preserve">در این جنگ بیشتر اشعار صوفی گرد آورده شده است که در مجالس سماع و طرب صوفیان خوانده می شود، و پاره ای از این اشعار فارسی است. نام شاعران چنین است: بابا عمر، علی  آغا، حافظ يوسف ، حافظ نوائی، درویش عمر، طوغانجی باشی، عندلیب، حافظ احمد پاشا، صونچی  زاده، رجب اعمی، حسین قاسم خان، وهبی؛ خط: نستعلیق، بی کا، بی تا؛ مجدول؛ تملک: حافظ محمد شاکر و مهر «شاکر» (دایره)؛ جلد: مقوایی عطف تیماج قهوه ای، ۸۳گ، مختلف  السطر،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۱۹/۵سم [  ف: 8- 48]</w:t>
      </w:r>
    </w:p>
    <w:p>
      <w:pPr>
        <w:pStyle w:val="BookText"/>
      </w:pPr>
      <w:r>
        <w:rPr>
          <w:rFonts w:ascii="IRNazanin" w:hAnsi="IRNazanin" w:eastAsia="IRNazanin" w:cs="IRNazanin"/>
          <w:lang w:bidi="fa-IR"/>
          <w:color w:val="111111"/>
          <w:sz w:val="28"/>
          <w:szCs w:val="28"/>
          <w:rtl/>
        </w:rPr>
        <w:t xml:space="preserve">۴۹. قم؛ مرکز مطالعات؛ شماره نسخه: ۲۱۷/۱۱</w:t>
      </w:r>
    </w:p>
    <w:p>
      <w:pPr>
        <w:pStyle w:val="BookText"/>
      </w:pPr>
      <w:r>
        <w:rPr>
          <w:rFonts w:ascii="IRNazanin" w:hAnsi="IRNazanin" w:eastAsia="IRNazanin" w:cs="IRNazanin"/>
          <w:lang w:bidi="fa-IR"/>
          <w:color w:val="111111"/>
          <w:sz w:val="28"/>
          <w:szCs w:val="28"/>
          <w:rtl/>
        </w:rPr>
        <w:t xml:space="preserve">خط: نسخ خوانا، بی کا،  بی تا ؛جلد: مقوا، عطف تیماج، ۱ص (۱۸۶ر)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۲۳سم [ف: ۱ - ۱۸۹]</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تهران؛ ملی؛ شماره نسخه: ۱۷۹۵۰</w:t>
      </w:r>
    </w:p>
    <w:p>
      <w:pPr>
        <w:pStyle w:val="BookText"/>
      </w:pPr>
      <w:r>
        <w:rPr>
          <w:rFonts w:ascii="IRNazanin" w:hAnsi="IRNazanin" w:eastAsia="IRNazanin" w:cs="IRNazanin"/>
          <w:lang w:bidi="fa-IR"/>
          <w:color w:val="111111"/>
          <w:sz w:val="28"/>
          <w:szCs w:val="28"/>
          <w:rtl/>
        </w:rPr>
        <w:t xml:space="preserve">بي كا، بی تا؛ انتقالی از کتابخانه پهلوی - مجموعه نوازی؛ اندازه: ۱۱۲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۱۶۱سم [رایانه]</w:t>
      </w:r>
    </w:p>
    <w:p>
      <w:pPr>
        <w:pStyle w:val="BookText"/>
      </w:pPr>
      <w:r>
        <w:rPr>
          <w:rFonts w:ascii="IRNazanin" w:hAnsi="IRNazanin" w:eastAsia="IRNazanin" w:cs="IRNazanin"/>
          <w:lang w:bidi="fa-IR"/>
          <w:color w:val="111111"/>
          <w:sz w:val="28"/>
          <w:szCs w:val="28"/>
          <w:rtl/>
        </w:rPr>
        <w:t xml:space="preserve">۵۱. قم؛ گلپایگانی؛ شماره نسخه:3/ 8267- 117/ 56</w:t>
      </w:r>
    </w:p>
    <w:p>
      <w:pPr>
        <w:pStyle w:val="BookText"/>
      </w:pPr>
      <w:r>
        <w:rPr>
          <w:rFonts w:ascii="IRNazanin" w:hAnsi="IRNazanin" w:eastAsia="IRNazanin" w:cs="IRNazanin"/>
          <w:lang w:bidi="fa-IR"/>
          <w:color w:val="111111"/>
          <w:sz w:val="28"/>
          <w:szCs w:val="28"/>
          <w:rtl/>
        </w:rPr>
        <w:t xml:space="preserve">آغاز: شرقی فوری جهان کلشنده تازه اچلمش *** سودی کو كلم يند بر کلغداری / قدی سروی کبی هنور سپحلمش*** طاوس مثالنده ایدر رفتاری جنگی است که از غزلیات و قطعات شاعران ترکی سرا،نام شاعران چنین است: شرقی  فوری، حسرتی ،نغمی ،ثنائی، عاشق حسن ، سهوی، لونی ،قدیمی ،کلامی، حاذقی، بسته عجم، ، سباهی،حائلی ،رازی، عاشق  خلیل، خضری عبدی ،ماهری، شرعی ،عزیزی ،روانی ،نظمی، کاتبی، عاشق مصطفی، امیدی گوهر ،رغمی ،صدقی ،کامل ،یانق ،محمد ،ماهی، قول احمد، احمدی خانیوی، آهی، شمعی، قول اوغلی، عاشق عمر (۷ صفحه)، تاریخ وفات چند از دانشمندان عهد عثمانی به نقل از خط حاج عثمان آغا  وفات اغلب آنها در سال های ۱۱۶۰-۱۱۹۰ اتفاق افتاده اسـت (۷ صفحه)، الهی تاریخ چند رصد و کسوف و خسوف سال هـای ۱۱۳۰-۱۱۲۵ق، هوایی ،ذکری ،مجنونی ،فردی،فردی سماعی، خلوصی، جوشی، ماموری گوهری ،ناطقی ،صابری، جمالی، فضلی؛ خط: نستعلیق، بی کا، بی تا؛ ۳۸گ (۲۰-۵۷)،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۱ - ۳۷۳]</w:t>
      </w:r>
    </w:p>
    <w:p>
      <w:pPr>
        <w:pStyle w:val="BookText"/>
      </w:pPr>
      <w:r>
        <w:rPr>
          <w:rFonts w:ascii="IRNazanin" w:hAnsi="IRNazanin" w:eastAsia="IRNazanin" w:cs="IRNazanin"/>
          <w:lang w:bidi="fa-IR"/>
          <w:color w:val="111111"/>
          <w:sz w:val="28"/>
          <w:szCs w:val="28"/>
          <w:rtl/>
        </w:rPr>
        <w:t xml:space="preserve">۵۲. شیراز؛ ملی؛ شماره نسخه: 4/-د/ 54</w:t>
      </w:r>
    </w:p>
    <w:p>
      <w:pPr>
        <w:pStyle w:val="BookText"/>
      </w:pPr>
      <w:r>
        <w:rPr>
          <w:rFonts w:ascii="IRNazanin" w:hAnsi="IRNazanin" w:eastAsia="IRNazanin" w:cs="IRNazanin"/>
          <w:lang w:bidi="fa-IR"/>
          <w:color w:val="111111"/>
          <w:sz w:val="28"/>
          <w:szCs w:val="28"/>
          <w:rtl/>
        </w:rPr>
        <w:t xml:space="preserve">آغاز: اکرس بنده سی انکل خدانی *** خدانی هم یمحـمد مصطفانی؛ انجام: بو سوزی عجب لرسو بلمش *** هی نه ملعو ندر بینماز</w:t>
      </w:r>
    </w:p>
    <w:p>
      <w:pPr>
        <w:pStyle w:val="BookText"/>
      </w:pPr>
      <w:r>
        <w:rPr>
          <w:rFonts w:ascii="IRNazanin" w:hAnsi="IRNazanin" w:eastAsia="IRNazanin" w:cs="IRNazanin"/>
          <w:lang w:bidi="fa-IR"/>
          <w:color w:val="111111"/>
          <w:sz w:val="28"/>
          <w:szCs w:val="28"/>
          <w:rtl/>
        </w:rPr>
        <w:t xml:space="preserve">شامل چند قصیده و مثنوی است و روی یادداشتی که به پشـت جلد كتاب الصادق شده گوینده اشعار را عارف معرفی کرده است ولی معلوم نیست که این عارف کیست ؟؛ خط: نسخ، بی کا، بی تا ،مذهب، زیر بعضی کلمات معنی فارسی آن را نوشته اند؛ کاغذ: فرنگی کلفت، جلد: مقوا با تیماج قهوه ای، ۴۵گ، ۱۳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۱ - ۵۱]</w:t>
      </w:r>
    </w:p>
    <w:p>
      <w:pPr>
        <w:pStyle w:val="BookText"/>
      </w:pPr>
      <w:r>
        <w:rPr>
          <w:rFonts w:ascii="IRNazanin" w:hAnsi="IRNazanin" w:eastAsia="IRNazanin" w:cs="IRNazanin"/>
          <w:lang w:bidi="fa-IR"/>
          <w:color w:val="111111"/>
          <w:sz w:val="28"/>
          <w:szCs w:val="28"/>
          <w:rtl/>
        </w:rPr>
        <w:t xml:space="preserve">۵۳. تهران؛ مجلس؛ شماره نسخه: ۲۶۶۵/۲۷</w:t>
      </w:r>
    </w:p>
    <w:p>
      <w:pPr>
        <w:pStyle w:val="BookText"/>
      </w:pPr>
      <w:r>
        <w:rPr>
          <w:rFonts w:ascii="IRNazanin" w:hAnsi="IRNazanin" w:eastAsia="IRNazanin" w:cs="IRNazanin"/>
          <w:lang w:bidi="fa-IR"/>
          <w:color w:val="111111"/>
          <w:sz w:val="28"/>
          <w:szCs w:val="28"/>
          <w:rtl/>
        </w:rPr>
        <w:t xml:space="preserve">ترجیع بند آذری است؛ کا: محمد معصوم، بی تا، 6ص (۶۹۹-۷۰۴) [ ف: ۸ - ۴۲۰]</w:t>
      </w:r>
    </w:p>
    <w:p>
      <w:pPr>
        <w:pStyle w:val="BookText"/>
      </w:pPr>
      <w:r>
        <w:rPr>
          <w:rFonts w:ascii="IRNazanin" w:hAnsi="IRNazanin" w:eastAsia="IRNazanin" w:cs="IRNazanin"/>
          <w:lang w:bidi="fa-IR"/>
          <w:color w:val="111111"/>
          <w:sz w:val="28"/>
          <w:szCs w:val="28"/>
          <w:rtl/>
        </w:rPr>
        <w:t xml:space="preserve">۵۴. تهران؛ مجلس؛ شماره نسخه: ۳/۹۱۲۶/۲</w:t>
      </w:r>
    </w:p>
    <w:p>
      <w:pPr>
        <w:pStyle w:val="BookText"/>
      </w:pPr>
      <w:r>
        <w:rPr>
          <w:rFonts w:ascii="IRNazanin" w:hAnsi="IRNazanin" w:eastAsia="IRNazanin" w:cs="IRNazanin"/>
          <w:lang w:bidi="fa-IR"/>
          <w:color w:val="111111"/>
          <w:sz w:val="28"/>
          <w:szCs w:val="28"/>
          <w:rtl/>
        </w:rPr>
        <w:t xml:space="preserve">خط: نسخ و نستعلیق شکسته، بی کا، بی تا؛ کاغذ: نخودی آهار مهره ،جلد: میشن عنابی مجدول گرهی یک لا، اندازه: ۱۴/۴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۲۳/۲سم [ف: ۲۹/۲ - ۷۸۷]</w:t>
      </w:r>
    </w:p>
    <w:p>
      <w:pPr>
        <w:pStyle w:val="BookText"/>
      </w:pPr>
      <w:r>
        <w:rPr>
          <w:rFonts w:ascii="IRNazanin" w:hAnsi="IRNazanin" w:eastAsia="IRNazanin" w:cs="IRNazanin"/>
          <w:lang w:bidi="fa-IR"/>
          <w:color w:val="111111"/>
          <w:sz w:val="28"/>
          <w:szCs w:val="28"/>
          <w:rtl/>
        </w:rPr>
        <w:t xml:space="preserve">۵۵. قم؛ مرعشی؛ شماره نسخه: ۱۰۹۷۵/۱</w:t>
      </w:r>
    </w:p>
    <w:p>
      <w:pPr>
        <w:pStyle w:val="BookText"/>
      </w:pPr>
      <w:r>
        <w:rPr>
          <w:rFonts w:ascii="IRNazanin" w:hAnsi="IRNazanin" w:eastAsia="IRNazanin" w:cs="IRNazanin"/>
          <w:lang w:bidi="fa-IR"/>
          <w:color w:val="111111"/>
          <w:sz w:val="28"/>
          <w:szCs w:val="28"/>
          <w:rtl/>
        </w:rPr>
        <w:t xml:space="preserve">در معرفت نفس؛ از قطب السالکین شیخ فرانی؛ خط: نسخ خوش، بی کا، بی تا؛ بسیار نفیس، تا کنون چاپ نشده؛ ۳۳گ، قطع: رحلی  [ میراث شهاب: س۹ش ۲ - ۴۱]</w:t>
      </w:r>
    </w:p>
    <w:p>
      <w:pPr>
        <w:pStyle w:val="BookText"/>
      </w:pPr>
      <w:r>
        <w:rPr>
          <w:rFonts w:ascii="IRNazanin" w:hAnsi="IRNazanin" w:eastAsia="IRNazanin" w:cs="IRNazanin"/>
          <w:lang w:bidi="fa-IR"/>
          <w:color w:val="111111"/>
          <w:sz w:val="28"/>
          <w:szCs w:val="28"/>
          <w:rtl/>
        </w:rPr>
        <w:t xml:space="preserve">۵۶. تهران؛ دانشگاه؛ شماره نسخه: ۶۹۰۷-عکس</w:t>
      </w:r>
    </w:p>
    <w:p>
      <w:pPr>
        <w:pStyle w:val="BookText"/>
      </w:pPr>
      <w:r>
        <w:rPr>
          <w:rFonts w:ascii="IRNazanin" w:hAnsi="IRNazanin" w:eastAsia="IRNazanin" w:cs="IRNazanin"/>
          <w:lang w:bidi="fa-IR"/>
          <w:color w:val="111111"/>
          <w:sz w:val="28"/>
          <w:szCs w:val="28"/>
          <w:rtl/>
        </w:rPr>
        <w:t xml:space="preserve">بیشتر آن مثنوی آن مثنوی است با عنوان های مناجات سپس  حکایت های: نادره، دیوانه، خاتون و  قزی ،دولاب، بیغوش، غزال، خانم، کپنک باش (؟)، خاتون، داستان ابراهیم، چند بیتی در پایان با زیرنویس فارسی است؛ بی کا، بی تا [فیلمها: ۳- ۲۶۴]</w:t>
      </w:r>
    </w:p>
    <w:p>
      <w:pPr>
        <w:pStyle w:val="BookText"/>
      </w:pPr>
      <w:r>
        <w:rPr>
          <w:rFonts w:ascii="IRNazanin" w:hAnsi="IRNazanin" w:eastAsia="IRNazanin" w:cs="IRNazanin"/>
          <w:lang w:bidi="fa-IR"/>
          <w:color w:val="111111"/>
          <w:sz w:val="28"/>
          <w:szCs w:val="28"/>
          <w:rtl/>
        </w:rPr>
        <w:t xml:space="preserve">۵۷. مشهد؛ ادبیات؛ شماره نسخه: ۶۴ فیاض</w:t>
      </w:r>
    </w:p>
    <w:p>
      <w:pPr>
        <w:pStyle w:val="BookText"/>
      </w:pPr>
      <w:r>
        <w:rPr>
          <w:rFonts w:ascii="IRNazanin" w:hAnsi="IRNazanin" w:eastAsia="IRNazanin" w:cs="IRNazanin"/>
          <w:lang w:bidi="fa-IR"/>
          <w:color w:val="111111"/>
          <w:sz w:val="28"/>
          <w:szCs w:val="28"/>
          <w:rtl/>
        </w:rPr>
        <w:t xml:space="preserve">آغاز: بسمله. ثنا للخالق غبراء افلاک*** پرانی قطرة دین گوهر پاک</w:t>
      </w:r>
    </w:p>
    <w:p>
      <w:pPr>
        <w:pStyle w:val="BookText"/>
      </w:pPr>
      <w:r>
        <w:rPr>
          <w:rFonts w:ascii="IRNazanin" w:hAnsi="IRNazanin" w:eastAsia="IRNazanin" w:cs="IRNazanin"/>
          <w:lang w:bidi="fa-IR"/>
          <w:color w:val="111111"/>
          <w:sz w:val="28"/>
          <w:szCs w:val="28"/>
          <w:rtl/>
        </w:rPr>
        <w:t xml:space="preserve">سروده الله یار یا خدایار ؛خط: نستعلیق، بی کا، بی تا؛ جلد: مقوا، ۱۳ سطر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۲۳۶]</w:t>
      </w:r>
    </w:p>
    <w:p>
      <w:pPr>
        <w:pStyle w:val="BookText"/>
      </w:pPr>
      <w:r>
        <w:rPr>
          <w:rFonts w:ascii="IRNazanin" w:hAnsi="IRNazanin" w:eastAsia="IRNazanin" w:cs="IRNazanin"/>
          <w:lang w:bidi="fa-IR"/>
          <w:color w:val="111111"/>
          <w:sz w:val="28"/>
          <w:szCs w:val="28"/>
          <w:rtl/>
        </w:rPr>
        <w:t xml:space="preserve">۵۸. تهران؛ مجلس؛ شماره نسخه: ۱۷۴۵۳</w:t>
      </w:r>
    </w:p>
    <w:p>
      <w:pPr>
        <w:pStyle w:val="BookText"/>
      </w:pPr>
      <w:r>
        <w:rPr>
          <w:rFonts w:ascii="IRNazanin" w:hAnsi="IRNazanin" w:eastAsia="IRNazanin" w:cs="IRNazanin"/>
          <w:lang w:bidi="fa-IR"/>
          <w:color w:val="111111"/>
          <w:sz w:val="28"/>
          <w:szCs w:val="28"/>
          <w:rtl/>
        </w:rPr>
        <w:t xml:space="preserve">لهجه ای خاص از  ترکی، ظاهرا اسرار فرقه مذهبی ویژه ای است؛بی،کا بی تا [د.ث. مجلس ]</w:t>
      </w:r>
    </w:p>
    <w:p>
      <w:pPr>
        <w:pStyle w:val="BookText"/>
      </w:pPr>
      <w:r>
        <w:rPr>
          <w:rFonts w:ascii="IRNazanin" w:hAnsi="IRNazanin" w:eastAsia="IRNazanin" w:cs="IRNazanin"/>
          <w:lang w:bidi="fa-IR"/>
          <w:color w:val="111111"/>
          <w:sz w:val="28"/>
          <w:szCs w:val="28"/>
          <w:rtl/>
        </w:rPr>
        <w:t xml:space="preserve">۵۹. تهران ،فیاض؛ شماره نسخه: ۵۷</w:t>
      </w:r>
    </w:p>
    <w:p>
      <w:pPr>
        <w:pStyle w:val="BookText"/>
      </w:pPr>
      <w:r>
        <w:rPr>
          <w:rFonts w:ascii="IRNazanin" w:hAnsi="IRNazanin" w:eastAsia="IRNazanin" w:cs="IRNazanin"/>
          <w:lang w:bidi="fa-IR"/>
          <w:color w:val="111111"/>
          <w:sz w:val="28"/>
          <w:szCs w:val="28"/>
          <w:rtl/>
        </w:rPr>
        <w:t xml:space="preserve">منظومه ترکی (ناشناخته) بی کا، بی تا [ نشریه: ۷ - ۷۰۰]</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خوی؛ نمازی؛ شماره نسخه: ۷۷۳</w:t>
      </w:r>
    </w:p>
    <w:p>
      <w:pPr>
        <w:pStyle w:val="BookText"/>
      </w:pPr>
      <w:r>
        <w:rPr>
          <w:rFonts w:ascii="IRNazanin" w:hAnsi="IRNazanin" w:eastAsia="IRNazanin" w:cs="IRNazanin"/>
          <w:lang w:bidi="fa-IR"/>
          <w:color w:val="111111"/>
          <w:sz w:val="28"/>
          <w:szCs w:val="28"/>
          <w:rtl/>
        </w:rPr>
        <w:t xml:space="preserve">چند نوحه سینه زنی ترکی را از منابع مختلفه جمع آوری کرده است بدون مقدمه و مؤخرهای ؛خط: تحریری، بی کا، بی تا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۲۸/۵سم [ف: ۴۱۵]</w:t>
      </w:r>
    </w:p>
    <w:p>
      <w:pPr>
        <w:pStyle w:val="Heading3"/>
      </w:pPr>
      <w:bookmarkStart w:id="1952" w:name="_Toc1474"/>
      <w:r>
        <w:t>اشعار / شعر / عربی</w:t>
      </w:r>
      <w:bookmarkEnd w:id="1952"/>
    </w:p>
    <w:p>
      <w:pPr>
        <w:pStyle w:val="BookText"/>
      </w:pPr>
      <w:r>
        <w:rPr>
          <w:rFonts w:ascii="Times New Roman" w:hAnsi="Times New Roman" w:eastAsia="Times New Roman" w:cs="Times New Roman"/>
          <w:lang w:val="en-US" w:bidi="en-US"/>
          <w:color w:val="111111"/>
          <w:sz w:val="28"/>
          <w:szCs w:val="28"/>
          <w:rtl/>
        </w:rPr>
        <w:t xml:space="preserve">aš ār</w:t>
      </w:r>
    </w:p>
    <w:p>
      <w:pPr>
        <w:pStyle w:val="BookText"/>
      </w:pPr>
      <w:r>
        <w:rPr>
          <w:rFonts w:ascii="IRNazanin" w:hAnsi="IRNazanin" w:eastAsia="IRNazanin" w:cs="IRNazanin"/>
          <w:lang w:bidi="fa-IR"/>
          <w:color w:val="111111"/>
          <w:sz w:val="28"/>
          <w:szCs w:val="28"/>
          <w:rtl/>
        </w:rPr>
        <w:t xml:space="preserve">۱. قم؛ مرعشی؛ شماره نسخه: ۱۰۹۴۴/۸</w:t>
      </w:r>
    </w:p>
    <w:p>
      <w:pPr>
        <w:pStyle w:val="BookText"/>
      </w:pPr>
      <w:r>
        <w:rPr>
          <w:rFonts w:ascii="IRNazanin" w:hAnsi="IRNazanin" w:eastAsia="IRNazanin" w:cs="IRNazanin"/>
          <w:lang w:bidi="fa-IR"/>
          <w:color w:val="111111"/>
          <w:sz w:val="28"/>
          <w:szCs w:val="28"/>
          <w:rtl/>
        </w:rPr>
        <w:t xml:space="preserve">بی  کا، تا: ۴۴۶ق، قطع: رقعی بزرگ [ میراث شهاب:س۹ش ۲ – ۳۲]</w:t>
      </w:r>
    </w:p>
    <w:p>
      <w:pPr>
        <w:pStyle w:val="BookText"/>
      </w:pPr>
      <w:r>
        <w:rPr>
          <w:rFonts w:ascii="IRNazanin" w:hAnsi="IRNazanin" w:eastAsia="IRNazanin" w:cs="IRNazanin"/>
          <w:lang w:bidi="fa-IR"/>
          <w:color w:val="111111"/>
          <w:sz w:val="28"/>
          <w:szCs w:val="28"/>
          <w:rtl/>
        </w:rPr>
        <w:t xml:space="preserve">۲ .تهران؛ دانشگاه؛ شماره :نسخه ۵۷۵/۴-ف</w:t>
      </w:r>
    </w:p>
    <w:p>
      <w:pPr>
        <w:pStyle w:val="BookText"/>
      </w:pPr>
      <w:r>
        <w:rPr>
          <w:rFonts w:ascii="IRNazanin" w:hAnsi="IRNazanin" w:eastAsia="IRNazanin" w:cs="IRNazanin"/>
          <w:lang w:bidi="fa-IR"/>
          <w:color w:val="111111"/>
          <w:sz w:val="28"/>
          <w:szCs w:val="28"/>
          <w:rtl/>
        </w:rPr>
        <w:t xml:space="preserve">نسخه اصل: لاله لی ش ۵۶۰. قصائد في الشطرنج است. از طاهر، ابن درید ،خزیمی، خلد قناص و علی بن ابی عبدالله شیرازی؛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 نسخ، کا: ابو اسحاق ابراهيم بن على مذهب بغدادی،تا: ذیحجه ۵۳۵ق؛ ۱۴گ (۲۷۰پ-۲۸۴پ)، ۱۹ سطر [ فیلمها -1- 505]</w:t>
      </w:r>
    </w:p>
    <w:p>
      <w:pPr>
        <w:pStyle w:val="BookText"/>
      </w:pPr>
      <w:r>
        <w:rPr>
          <w:rFonts w:ascii="IRNazanin" w:hAnsi="IRNazanin" w:eastAsia="IRNazanin" w:cs="IRNazanin"/>
          <w:lang w:bidi="fa-IR"/>
          <w:color w:val="111111"/>
          <w:sz w:val="28"/>
          <w:szCs w:val="28"/>
          <w:rtl/>
        </w:rPr>
        <w:t xml:space="preserve">3.تهران؛ ملی؛ شماره نسخه: ۱۸۱۶/۲</w:t>
      </w:r>
    </w:p>
    <w:p>
      <w:pPr>
        <w:pStyle w:val="BookText"/>
      </w:pPr>
      <w:r>
        <w:rPr>
          <w:rFonts w:ascii="IRNazanin" w:hAnsi="IRNazanin" w:eastAsia="IRNazanin" w:cs="IRNazanin"/>
          <w:lang w:bidi="fa-IR"/>
          <w:color w:val="111111"/>
          <w:sz w:val="28"/>
          <w:szCs w:val="28"/>
          <w:rtl/>
        </w:rPr>
        <w:t xml:space="preserve">آغاز: و لذکر الله اعلى و اجل وقيل ان النابعة الذبياني؛ انجام: پایان صفحه ۱۷۴: بردا بایدی المعصرات يحاك.</w:t>
      </w:r>
    </w:p>
    <w:p>
      <w:pPr>
        <w:pStyle w:val="BookText"/>
      </w:pPr>
      <w:r>
        <w:rPr>
          <w:rFonts w:ascii="IRNazanin" w:hAnsi="IRNazanin" w:eastAsia="IRNazanin" w:cs="IRNazanin"/>
          <w:lang w:bidi="fa-IR"/>
          <w:color w:val="111111"/>
          <w:sz w:val="28"/>
          <w:szCs w:val="28"/>
          <w:rtl/>
        </w:rPr>
        <w:t xml:space="preserve">جنگ اشعاراست: قصيده يا دارمية بالعلباء فالسند نابغه ذبيـانی (۱۰۵-۹۴)، قصیده ما با عينك منها الماء ينسكب ذو الرمة (106- ۱۱۶)، قصیده اماتری را سی حاکی لونه طرة محمد بن حسن درید ازدی (۱۱۹-۱۶۵) آخر کتاب چند بیت از ابونواس ونیز باب التفاوت در شعر و مطالبی درباره ابو تمام و بحتری و ابوطبـیب متنبی آمده؛ خط: نسخ، بی کا، تا: ۵۸۷ق؛ کاغذ: اصفهانی، جلد:مقوایی تیماج تریاکی سیر با ترنج و نیم ترنج کوبیده، ۷۹ ص( 94- ۱۷۳)، ۱۹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 ف : ۱۰ - 399]</w:t>
      </w:r>
    </w:p>
    <w:p>
      <w:pPr>
        <w:pStyle w:val="BookText"/>
      </w:pPr>
      <w:r>
        <w:rPr>
          <w:rFonts w:ascii="IRNazanin" w:hAnsi="IRNazanin" w:eastAsia="IRNazanin" w:cs="IRNazanin"/>
          <w:lang w:bidi="fa-IR"/>
          <w:color w:val="111111"/>
          <w:sz w:val="28"/>
          <w:szCs w:val="28"/>
          <w:rtl/>
        </w:rPr>
        <w:t xml:space="preserve">۴. تهران؛ ملک؛ شماره نسخه: ۳۹۶۶/۷</w:t>
      </w:r>
    </w:p>
    <w:p>
      <w:pPr>
        <w:pStyle w:val="BookText"/>
      </w:pPr>
      <w:r>
        <w:rPr>
          <w:rFonts w:ascii="IRNazanin" w:hAnsi="IRNazanin" w:eastAsia="IRNazanin" w:cs="IRNazanin"/>
          <w:lang w:bidi="fa-IR"/>
          <w:color w:val="111111"/>
          <w:sz w:val="28"/>
          <w:szCs w:val="28"/>
          <w:rtl/>
        </w:rPr>
        <w:t xml:space="preserve">از اشخاص مختلف مانند عرفا و حضرت امیر؛ خط: نسخ، بی کا ،تا: قرن ۷، ۱۱ص [ف: ۷ - ۱۲۲]</w:t>
      </w:r>
    </w:p>
    <w:p>
      <w:pPr>
        <w:pStyle w:val="BookText"/>
      </w:pPr>
      <w:r>
        <w:rPr>
          <w:rFonts w:ascii="IRNazanin" w:hAnsi="IRNazanin" w:eastAsia="IRNazanin" w:cs="IRNazanin"/>
          <w:lang w:bidi="fa-IR"/>
          <w:color w:val="111111"/>
          <w:sz w:val="28"/>
          <w:szCs w:val="28"/>
          <w:rtl/>
        </w:rPr>
        <w:t xml:space="preserve">۵. تهران؛ مجلس؛ شماره نسخه: ۸۶۷۸</w:t>
      </w:r>
    </w:p>
    <w:p>
      <w:pPr>
        <w:pStyle w:val="BookText"/>
      </w:pPr>
      <w:r>
        <w:rPr>
          <w:rFonts w:ascii="IRNazanin" w:hAnsi="IRNazanin" w:eastAsia="IRNazanin" w:cs="IRNazanin"/>
          <w:lang w:bidi="fa-IR"/>
          <w:color w:val="111111"/>
          <w:sz w:val="28"/>
          <w:szCs w:val="28"/>
          <w:rtl/>
        </w:rPr>
        <w:t xml:space="preserve">اشعار: ابو الهيثم عبدالواحد بن عبدالواحد بن عبدالله بن سليمان قاضی ابو مسلم وادع بن عبدالله بن  محمد بن عبدالله بن سلیمان تنوخی، قاضی مجد القضاة ابى المجد محمد بن عبدالله بن محـمد بن عبدالله بن سلیمان؛ خط: نسخ، بی کا، تا: قرن ۷، مصحح،درآغازهر بخش نام ناظم آمده و در آغاز ودر آغاز بخش سوم یاداشت مطالعه کتاب از اول تا به آخر توسط محمد بن حسن ازهری دیده می شود؛ جلد: تیماج قهوه ای ضربی ترنج و سرترنج دار، ۱۲۹گ، ۱۵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۱۹/۵سم [ف: ۲۸ - ۲۰۴]</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تهران؛ دانشگاه؛ شماره نسخه: ۱۵۵۹/۱۷-ف</w:t>
      </w:r>
    </w:p>
    <w:p>
      <w:pPr>
        <w:pStyle w:val="BookText"/>
      </w:pPr>
      <w:r>
        <w:rPr>
          <w:rFonts w:ascii="IRNazanin" w:hAnsi="IRNazanin" w:eastAsia="IRNazanin" w:cs="IRNazanin"/>
          <w:lang w:bidi="fa-IR"/>
          <w:color w:val="111111"/>
          <w:sz w:val="28"/>
          <w:szCs w:val="28"/>
          <w:rtl/>
        </w:rPr>
        <w:t xml:space="preserve">دو بند شعر عربی است از خواجه طوسی و فخر رازی؛ خط: نسخ معرب، بی کا، تا: ۶۳۶ق، کاغذ: سمرقندی، جلد: تیماج مشکی ضربی مقوایی، 1گ (۱۳۴پ)، ۱۷ سطر (۱۰</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۱۴) [ فيلمها: 1- 613]</w:t>
      </w:r>
    </w:p>
    <w:p>
      <w:pPr>
        <w:pStyle w:val="BookText"/>
      </w:pPr>
      <w:r>
        <w:rPr>
          <w:rFonts w:ascii="IRNazanin" w:hAnsi="IRNazanin" w:eastAsia="IRNazanin" w:cs="IRNazanin"/>
          <w:lang w:bidi="fa-IR"/>
          <w:color w:val="111111"/>
          <w:sz w:val="28"/>
          <w:szCs w:val="28"/>
          <w:rtl/>
        </w:rPr>
        <w:t xml:space="preserve">۷. قم؛ مرعشی؛ شماره نسخه: ۴۰۴۷/۱</w:t>
      </w:r>
    </w:p>
    <w:p>
      <w:pPr>
        <w:pStyle w:val="BookText"/>
      </w:pPr>
      <w:r>
        <w:rPr>
          <w:rFonts w:ascii="IRNazanin" w:hAnsi="IRNazanin" w:eastAsia="IRNazanin" w:cs="IRNazanin"/>
          <w:lang w:bidi="fa-IR"/>
          <w:color w:val="111111"/>
          <w:sz w:val="28"/>
          <w:szCs w:val="28"/>
          <w:rtl/>
        </w:rPr>
        <w:t xml:space="preserve">آغاز: الى أن سمعنا صادح الفجر شادياً *** و قد راعنا صوت الحمام مطربا؛ انجام: و رزقنا الافلات كما رزقه من مقاماتها،ویرحم الله عبداً قال آمينا و الحمد لله على آلائه المتظاهرة</w:t>
      </w:r>
    </w:p>
    <w:p>
      <w:pPr>
        <w:pStyle w:val="BookText"/>
      </w:pPr>
      <w:r>
        <w:rPr>
          <w:rFonts w:ascii="IRNazanin" w:hAnsi="IRNazanin" w:eastAsia="IRNazanin" w:cs="IRNazanin"/>
          <w:lang w:bidi="fa-IR"/>
          <w:color w:val="111111"/>
          <w:sz w:val="28"/>
          <w:szCs w:val="28"/>
          <w:rtl/>
        </w:rPr>
        <w:t xml:space="preserve">حدود هزار و هفتصد بیت مشتمل بر قصاید و قطعه هایی که در مناسبت های مختلف سروده  شده و بدون ترتیب مخصوصی جـمع شده و صاحب دیوان- چنانچه از گفتار گرد آورنده آن بر می آید - در جوانی در گذشته، و از اشعار وی قصیده ای است با عنوان «القصيدة السلوية». جامع دیوان از شعرا و دوست صاحب دیوان است و بین آنان اشعاری مبادله شده و کتابی دارد به نام «روضة الافاضل»؛ خط: نسخ، کا: مهدى بن المطهر بن ابى العدل، تا: غره رمضان ۶۵۵ق، افتادگی: آغاز؛ جلد: تیماج قهوه ای، ۵۲گ، (۱۰ر-۶۲ر)، اندازه: 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۱۹/۵سم [ف : ۱۱ - ۴۶]</w:t>
      </w:r>
    </w:p>
    <w:p>
      <w:pPr>
        <w:pStyle w:val="BookText"/>
      </w:pPr>
      <w:r>
        <w:rPr>
          <w:rFonts w:ascii="IRNazanin" w:hAnsi="IRNazanin" w:eastAsia="IRNazanin" w:cs="IRNazanin"/>
          <w:lang w:bidi="fa-IR"/>
          <w:color w:val="111111"/>
          <w:sz w:val="28"/>
          <w:szCs w:val="28"/>
          <w:rtl/>
        </w:rPr>
        <w:t xml:space="preserve">8.مشهد؛ رضوی؛ شماره نسخه: ۴۹۶۰</w:t>
      </w:r>
    </w:p>
    <w:p>
      <w:pPr>
        <w:pStyle w:val="BookText"/>
      </w:pPr>
      <w:r>
        <w:rPr>
          <w:rFonts w:ascii="Amiri" w:hAnsi="Amiri" w:eastAsia="Amiri" w:cs="Amiri"/>
          <w:lang w:bidi="ar-SA"/>
          <w:color w:val="111111"/>
          <w:sz w:val="28"/>
          <w:szCs w:val="28"/>
          <w:rtl/>
        </w:rPr>
        <w:t xml:space="preserve">آغاز: ما بال قلبك لا ينفك ذا الم؛ انجام: صبا و اطرب العيش</w:t>
      </w:r>
    </w:p>
    <w:p>
      <w:pPr>
        <w:pStyle w:val="BookText"/>
      </w:pPr>
      <w:r>
        <w:rPr>
          <w:rFonts w:ascii="IRNazanin" w:hAnsi="IRNazanin" w:eastAsia="IRNazanin" w:cs="IRNazanin"/>
          <w:lang w:bidi="fa-IR"/>
          <w:color w:val="111111"/>
          <w:sz w:val="28"/>
          <w:szCs w:val="28"/>
          <w:rtl/>
        </w:rPr>
        <w:t xml:space="preserve">مخمس قصیده برده است ؛خط:نسخ، کا: محمد ازهری، تا: ۶۷۱ق [الفبائی: ۵۰۶]</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قم؛ مسجد اعظم؛ شماره نسخه: ۳۰۱۰</w:t>
      </w:r>
    </w:p>
    <w:p>
      <w:pPr>
        <w:pStyle w:val="BookText"/>
      </w:pPr>
      <w:r>
        <w:rPr>
          <w:rFonts w:ascii="IRNazanin" w:hAnsi="IRNazanin" w:eastAsia="IRNazanin" w:cs="IRNazanin"/>
          <w:lang w:bidi="fa-IR"/>
          <w:color w:val="111111"/>
          <w:sz w:val="28"/>
          <w:szCs w:val="28"/>
          <w:rtl/>
        </w:rPr>
        <w:t xml:space="preserve">آغاز :حرف الباء، يمدح الامير شجاع الدین خلدك رحمه الله  تعالی ثبغر دمیاط سنه ۶۶۵: لك الله من وال ولى مقرب *** فكم لك من يوم اغر محبب؛ انجام: و نعم كبرت و انما ***تلک الشمايل باقية / فيه من الطرب القديم *** بقية في الزاوية.</w:t>
      </w:r>
    </w:p>
    <w:p>
      <w:pPr>
        <w:pStyle w:val="BookText"/>
      </w:pPr>
      <w:r>
        <w:rPr>
          <w:rFonts w:ascii="IRNazanin" w:hAnsi="IRNazanin" w:eastAsia="IRNazanin" w:cs="IRNazanin"/>
          <w:lang w:bidi="fa-IR"/>
          <w:color w:val="111111"/>
          <w:sz w:val="28"/>
          <w:szCs w:val="28"/>
          <w:rtl/>
        </w:rPr>
        <w:t xml:space="preserve">مجموعه سروده ها و منظومات در مدح و ثنای شاهان و امیران و شخصیت ها که در میانه سال های ۶۶۵-۶۴۴ق صورت گرفته و در برگ ۲۲پ صلاح الدین ایوبی امیر سرزمین مصر مدح شده است؛ قصاید از طرف حرف آخر قافیه ها به صورت الفبایی تنظیم شده؛ خط: نسخ عتیق، بی کا، تا: قرن ۸، افتادگی: آغاز و انجام؛ جلد: مقوا با روکش پارچه، ۱۲۷گ، ۱۲ سطر،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۱۵سم[ف مخ: ۲ - ۹۰۸]</w:t>
      </w:r>
    </w:p>
    <w:p>
      <w:pPr>
        <w:pStyle w:val="BookText"/>
      </w:pPr>
      <w:r>
        <w:rPr>
          <w:rFonts w:ascii="IRNazanin" w:hAnsi="IRNazanin" w:eastAsia="IRNazanin" w:cs="IRNazanin"/>
          <w:lang w:bidi="fa-IR"/>
          <w:color w:val="111111"/>
          <w:sz w:val="28"/>
          <w:szCs w:val="28"/>
          <w:rtl/>
        </w:rPr>
        <w:t xml:space="preserve">۱۰ .تهران؛ سپهسالار؛ شماره نسخه ۳۱۳/۶ صدر</w:t>
      </w:r>
    </w:p>
    <w:p>
      <w:pPr>
        <w:pStyle w:val="BookText"/>
      </w:pPr>
      <w:r>
        <w:rPr>
          <w:rFonts w:ascii="Amiri" w:hAnsi="Amiri" w:eastAsia="Amiri" w:cs="Amiri"/>
          <w:lang w:bidi="ar-SA"/>
          <w:color w:val="111111"/>
          <w:sz w:val="28"/>
          <w:szCs w:val="28"/>
          <w:rtl/>
        </w:rPr>
        <w:t xml:space="preserve">آغاز: انى امرء لا يطيبنى الشادن الحسن القواما</w:t>
      </w:r>
    </w:p>
    <w:p>
      <w:pPr>
        <w:pStyle w:val="BookText"/>
      </w:pPr>
      <w:r>
        <w:rPr>
          <w:rFonts w:ascii="IRNazanin" w:hAnsi="IRNazanin" w:eastAsia="IRNazanin" w:cs="IRNazanin"/>
          <w:lang w:bidi="fa-IR"/>
          <w:color w:val="111111"/>
          <w:sz w:val="28"/>
          <w:szCs w:val="28"/>
          <w:rtl/>
        </w:rPr>
        <w:t xml:space="preserve">قصيده حرباویه است؛ بی کا، تا: قرن ۸؛ دوازده بیت از این قصیده در ص ۹۹ نسخه «سلوة الشيعة» به شماره ۳۱۳/۷ مانده و اوراقی که میان این قصیده و سلوة الشیعه بوده با قسمتی از این کتاب اخیر افتاده است؛ کاغذ ،حنایی ،جلد: تیماج ۱۵ سطر، قطع: ربعی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۲ - ۴۴۷]</w:t>
      </w:r>
    </w:p>
    <w:p>
      <w:pPr>
        <w:pStyle w:val="BookText"/>
      </w:pPr>
      <w:r>
        <w:rPr>
          <w:rFonts w:ascii="IRNazanin" w:hAnsi="IRNazanin" w:eastAsia="IRNazanin" w:cs="IRNazanin"/>
          <w:lang w:bidi="fa-IR"/>
          <w:color w:val="111111"/>
          <w:sz w:val="28"/>
          <w:szCs w:val="28"/>
          <w:rtl/>
        </w:rPr>
        <w:t xml:space="preserve">۱۱. گلپایگان؛ امام جمعه، محمد حسن؛ شماره نسخه: ۷۳/۳</w:t>
      </w:r>
    </w:p>
    <w:p>
      <w:pPr>
        <w:pStyle w:val="BookText"/>
      </w:pPr>
      <w:r>
        <w:rPr>
          <w:rFonts w:ascii="IRNazanin" w:hAnsi="IRNazanin" w:eastAsia="IRNazanin" w:cs="IRNazanin"/>
          <w:lang w:bidi="fa-IR"/>
          <w:color w:val="111111"/>
          <w:sz w:val="28"/>
          <w:szCs w:val="28"/>
          <w:rtl/>
        </w:rPr>
        <w:t xml:space="preserve">آغاز: ما بال عینك منها الماء ينسكب *** كأنه من كلى مفرية  سرب</w:t>
      </w:r>
    </w:p>
    <w:p>
      <w:pPr>
        <w:pStyle w:val="BookText"/>
      </w:pPr>
      <w:r>
        <w:rPr>
          <w:rFonts w:ascii="IRNazanin" w:hAnsi="IRNazanin" w:eastAsia="IRNazanin" w:cs="IRNazanin"/>
          <w:lang w:bidi="fa-IR"/>
          <w:color w:val="111111"/>
          <w:sz w:val="28"/>
          <w:szCs w:val="28"/>
          <w:rtl/>
        </w:rPr>
        <w:t xml:space="preserve">قصیده بائیه از ذوالرمه؛ خط: نستعلیق، بی کا، تا: قرن ۷ یا ۸؛ ۵گ (۱۹ پ -۲۳ر)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|کتابخانه های گلپایگان: ف: ۱۸۰]</w:t>
      </w:r>
    </w:p>
    <w:p>
      <w:pPr>
        <w:pStyle w:val="BookText"/>
      </w:pPr>
      <w:r>
        <w:rPr>
          <w:rFonts w:ascii="IRNazanin" w:hAnsi="IRNazanin" w:eastAsia="IRNazanin" w:cs="IRNazanin"/>
          <w:lang w:bidi="fa-IR"/>
          <w:color w:val="111111"/>
          <w:sz w:val="28"/>
          <w:szCs w:val="28"/>
          <w:rtl/>
        </w:rPr>
        <w:t xml:space="preserve">۱۲. گلپایگان؛ امام جمعه، محمد حسن؛ شماره نسخه: ۷۳/۴</w:t>
      </w:r>
    </w:p>
    <w:p>
      <w:pPr>
        <w:pStyle w:val="BookText"/>
      </w:pPr>
      <w:r>
        <w:rPr>
          <w:rFonts w:ascii="IRNazanin" w:hAnsi="IRNazanin" w:eastAsia="IRNazanin" w:cs="IRNazanin"/>
          <w:lang w:bidi="fa-IR"/>
          <w:color w:val="111111"/>
          <w:sz w:val="28"/>
          <w:szCs w:val="28"/>
          <w:rtl/>
        </w:rPr>
        <w:t xml:space="preserve">قصيده لاميه: «أعيذك أن تصغى الى قول عادل *** فكم قال لى قولاً و لست بقابل»؛ خط: نستعلیق، بی کا، تا: قرن ۷ یا ۸؛ ۳گ (۲۳ پ- -۲۵ر)،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 کتابخانه های گلپایگان: ف: ۱۸۰]</w:t>
      </w:r>
    </w:p>
    <w:p>
      <w:pPr>
        <w:pStyle w:val="BookText"/>
      </w:pPr>
      <w:r>
        <w:rPr>
          <w:rFonts w:ascii="IRNazanin" w:hAnsi="IRNazanin" w:eastAsia="IRNazanin" w:cs="IRNazanin"/>
          <w:lang w:bidi="fa-IR"/>
          <w:color w:val="111111"/>
          <w:sz w:val="28"/>
          <w:szCs w:val="28"/>
          <w:rtl/>
        </w:rPr>
        <w:t xml:space="preserve">۱۳. کاشان؛ عاطفی، حسن؛ شماره نسخه: بدون شماره</w:t>
      </w:r>
    </w:p>
    <w:p>
      <w:pPr>
        <w:pStyle w:val="BookText"/>
      </w:pPr>
      <w:r>
        <w:rPr>
          <w:rFonts w:ascii="IRNazanin" w:hAnsi="IRNazanin" w:eastAsia="IRNazanin" w:cs="IRNazanin"/>
          <w:lang w:bidi="fa-IR"/>
          <w:color w:val="111111"/>
          <w:sz w:val="28"/>
          <w:szCs w:val="28"/>
          <w:rtl/>
        </w:rPr>
        <w:t xml:space="preserve">اشعار عربی از شعرای عرب مانند: زویهر بن الحارث، عبدالله بن غنمه، هذيل بن هبيرة و. ... بی كا، تا: ظاهراً قرن ۸ق؛ كاغذ ،ایرانی، اندازه: 12/5</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 [نشریه: ۷ - ۷۴۸]</w:t>
      </w:r>
    </w:p>
    <w:p>
      <w:pPr>
        <w:pStyle w:val="BookText"/>
      </w:pPr>
      <w:r>
        <w:rPr>
          <w:rFonts w:ascii="IRNazanin" w:hAnsi="IRNazanin" w:eastAsia="IRNazanin" w:cs="IRNazanin"/>
          <w:lang w:bidi="fa-IR"/>
          <w:color w:val="111111"/>
          <w:sz w:val="28"/>
          <w:szCs w:val="28"/>
          <w:rtl/>
        </w:rPr>
        <w:t xml:space="preserve">۱۴. قم؛ مرعشی؛ شماره نسخه ۱۲۷۸۲/۲</w:t>
      </w:r>
    </w:p>
    <w:p>
      <w:pPr>
        <w:pStyle w:val="BookText"/>
      </w:pPr>
      <w:r>
        <w:rPr>
          <w:rFonts w:ascii="IRNazanin" w:hAnsi="IRNazanin" w:eastAsia="IRNazanin" w:cs="IRNazanin"/>
          <w:lang w:bidi="fa-IR"/>
          <w:color w:val="111111"/>
          <w:sz w:val="28"/>
          <w:szCs w:val="28"/>
          <w:rtl/>
        </w:rPr>
        <w:t xml:space="preserve">آغاز: سری من ربي نجد الى نسيم *** فاحى فؤادى من عناه شمیم؛ انجام: و قاكم ربكم عن كل سوء *** و «مجد» بالدعاء ختم المقالا.</w:t>
      </w:r>
    </w:p>
    <w:p>
      <w:pPr>
        <w:pStyle w:val="BookText"/>
      </w:pPr>
      <w:r>
        <w:rPr>
          <w:rFonts w:ascii="IRNazanin" w:hAnsi="IRNazanin" w:eastAsia="IRNazanin" w:cs="IRNazanin"/>
          <w:lang w:bidi="fa-IR"/>
          <w:color w:val="111111"/>
          <w:sz w:val="28"/>
          <w:szCs w:val="28"/>
          <w:rtl/>
        </w:rPr>
        <w:t xml:space="preserve">قصاید :از مجد [الدین] (؟) ۳ قصیده ادبی و زیباست، اولی میمیه است در ۴۵ بیت، دومی نیز میمیه در ۱۶ بیت و سومی لامیه در ۳۲ بیت می باشد. قصیده نخست این مجموعه گویا در ستایش کتاب یاد شده گذشته و یا کتاب دیگر می باشد و نیز گمان می رود ناظم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قصاید که به «مجد» تخلص می نموده، همان «مجدالدین اسماعيل بن علی خنجی» (-۷۴۴ق) باشد. چند نمونه از ابیات کدام از قصیده ها آورده می شود: سقى الربع من تبريز طلا و وابلاً *** يدوم انسحاحاً في الديار عيوم / فأنجاه لطف الله من ظلماته*** كتاب أتاني من دداك كريم / العمركم هذا كتاب مبارک ***و منشئه بالمغظلات عليم / و حنت الى تبریز نفسی و اهلها *** کما اشتاق عود الاتضاع فطیم .ناظم، در زمان سرودن این قصاید،در «هرمز» ساکن بوده ،چنانکه گوید: وها انا ذا بهرموز مقيم *** ونار الشوق يشتعل الشتعالاً؛ خط: نسخ، بی کا، تا: قرن ۸؛ مصحح ؛ کاغذ: شرقی، ۲گ (۱۷-۱۸)، ۲۵ سطر، اندازه: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۳۲ -464]</w:t>
      </w:r>
    </w:p>
    <w:p>
      <w:pPr>
        <w:pStyle w:val="BookText"/>
      </w:pPr>
      <w:r>
        <w:rPr>
          <w:rFonts w:ascii="IRNazanin" w:hAnsi="IRNazanin" w:eastAsia="IRNazanin" w:cs="IRNazanin"/>
          <w:lang w:bidi="fa-IR"/>
          <w:color w:val="111111"/>
          <w:sz w:val="28"/>
          <w:szCs w:val="28"/>
          <w:rtl/>
        </w:rPr>
        <w:t xml:space="preserve">۱۵. تهران؛ ملک؛ شماره نسخه: ۶۰۳۸</w:t>
      </w:r>
    </w:p>
    <w:p>
      <w:pPr>
        <w:pStyle w:val="BookText"/>
      </w:pPr>
      <w:r>
        <w:rPr>
          <w:rFonts w:ascii="IRNazanin" w:hAnsi="IRNazanin" w:eastAsia="IRNazanin" w:cs="IRNazanin"/>
          <w:lang w:bidi="fa-IR"/>
          <w:color w:val="111111"/>
          <w:sz w:val="28"/>
          <w:szCs w:val="28"/>
          <w:rtl/>
        </w:rPr>
        <w:t xml:space="preserve">آغاز: فرایت ان اقدم له على ذلك اثبات عدة من الابيات السـهلة التناول الرقيقة الالفاظ لا ينبوء الطبع من حفظها و لا تمج الاسماع ورودها؛ انجام: السيد الرضى قدس الله روحه: يا قلب ها انت من نجدو ساكنه - خلفت نجدا وراء المدالج السارى، و له الحمد ا ولا آخرا و ظاهراً وباطنا وصلاته على سيدنا محمد و آله الطاهرین و سلامه.</w:t>
      </w:r>
    </w:p>
    <w:p>
      <w:pPr>
        <w:pStyle w:val="BookText"/>
      </w:pPr>
      <w:r>
        <w:rPr>
          <w:rFonts w:ascii="IRNazanin" w:hAnsi="IRNazanin" w:eastAsia="IRNazanin" w:cs="IRNazanin"/>
          <w:lang w:bidi="fa-IR"/>
          <w:color w:val="111111"/>
          <w:sz w:val="28"/>
          <w:szCs w:val="28"/>
          <w:rtl/>
        </w:rPr>
        <w:t xml:space="preserve">منسوب به یاقوت (؟) در دیباچه آمده که من از شعرهای چـهار شیخ (که نام دو تن از آنها: ابو نواس و جلال الدین ابراهیم فرزند مخدوم امير فاضل سعدالدین در آن یاد شده است) برگزیدم.دراین دفتر شعرهای صفی الدین عبدالمؤمن (۷۵۰-۶۸۷) و نجم الدين «و شعر خود یاقوت با عنوان «وانشد عبده ياقوت لنفسه» ذوالرمة و ابن حيوس و بحتری و شهاب الدین عبدالله و سید رضـی دیده می شود؛ خط: نسخ، بی کا، تا: قرن ۸؛ افتادگی:آغاز؛با سرلوح  نو، مجدول؛ كاغذ: کاغذ متن و حاشیه فستقی ختایی ؛جلد: میشن سرخ  لایی، ۱۲گ، ۷ سطر، اندازه: ۱۵/۶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 سم[ ف: ۱ - ۵۴۵]</w:t>
      </w:r>
    </w:p>
    <w:p>
      <w:pPr>
        <w:pStyle w:val="BookText"/>
      </w:pPr>
      <w:r>
        <w:rPr>
          <w:rFonts w:ascii="IRNazanin" w:hAnsi="IRNazanin" w:eastAsia="IRNazanin" w:cs="IRNazanin"/>
          <w:lang w:bidi="fa-IR"/>
          <w:color w:val="111111"/>
          <w:sz w:val="28"/>
          <w:szCs w:val="28"/>
          <w:rtl/>
        </w:rPr>
        <w:t xml:space="preserve">۱۶. مشهد؛ مدرسه آیة الله خوئی؛ شماره نسخه: ۲۲۱</w:t>
      </w:r>
    </w:p>
    <w:p>
      <w:pPr>
        <w:pStyle w:val="BookText"/>
      </w:pPr>
      <w:r>
        <w:rPr>
          <w:rFonts w:ascii="IRNazanin" w:hAnsi="IRNazanin" w:eastAsia="IRNazanin" w:cs="IRNazanin"/>
          <w:lang w:bidi="fa-IR"/>
          <w:color w:val="111111"/>
          <w:sz w:val="28"/>
          <w:szCs w:val="28"/>
          <w:rtl/>
        </w:rPr>
        <w:t xml:space="preserve">اشعار امیرالمؤمنین امام علی (علیه السّلام) همراه با ترجمه زیرنویس فارسی کهن؛ بی کا، تا: حدودا قرن ۸ [اوراق عتيق: ۱ - ۲۴۵]</w:t>
      </w:r>
    </w:p>
    <w:p>
      <w:pPr>
        <w:pStyle w:val="BookText"/>
      </w:pPr>
      <w:r>
        <w:rPr>
          <w:rFonts w:ascii="IRNazanin" w:hAnsi="IRNazanin" w:eastAsia="IRNazanin" w:cs="IRNazanin"/>
          <w:lang w:bidi="fa-IR"/>
          <w:color w:val="111111"/>
          <w:sz w:val="28"/>
          <w:szCs w:val="28"/>
          <w:rtl/>
        </w:rPr>
        <w:t xml:space="preserve">۱۷. تهران؛ دانشگاه؛ شماره نسخه: ۱۹۳/۱-ف</w:t>
      </w:r>
    </w:p>
    <w:p>
      <w:pPr>
        <w:pStyle w:val="BookText"/>
      </w:pPr>
      <w:r>
        <w:rPr>
          <w:rFonts w:ascii="IRNazanin" w:hAnsi="IRNazanin" w:eastAsia="IRNazanin" w:cs="IRNazanin"/>
          <w:lang w:bidi="fa-IR"/>
          <w:color w:val="111111"/>
          <w:sz w:val="28"/>
          <w:szCs w:val="28"/>
          <w:rtl/>
        </w:rPr>
        <w:t xml:space="preserve">نسخه اصل: اسعد افندیش ۲۹۲۶. جنگ شعرهای عربی؛ خـط:نسخ، بی کا، تا: جمعه ذیحجه ۷۵۳ق؛ ۳۹گ (۱-۴۰)، ۱۹ سـطر [ فیلمها: ۱ - ۴۲۲]</w:t>
      </w:r>
    </w:p>
    <w:p>
      <w:pPr>
        <w:pStyle w:val="BookText"/>
      </w:pPr>
      <w:r>
        <w:rPr>
          <w:rFonts w:ascii="IRNazanin" w:hAnsi="IRNazanin" w:eastAsia="IRNazanin" w:cs="IRNazanin"/>
          <w:lang w:bidi="fa-IR"/>
          <w:color w:val="111111"/>
          <w:sz w:val="28"/>
          <w:szCs w:val="28"/>
          <w:rtl/>
        </w:rPr>
        <w:t xml:space="preserve">۱۸. تهران؛ ملک؛ شماره نسخه: ۵۲۸/۳</w:t>
      </w:r>
    </w:p>
    <w:p>
      <w:pPr>
        <w:pStyle w:val="BookText"/>
      </w:pPr>
      <w:r>
        <w:rPr>
          <w:rFonts w:ascii="IRNazanin" w:hAnsi="IRNazanin" w:eastAsia="IRNazanin" w:cs="IRNazanin"/>
          <w:lang w:bidi="fa-IR"/>
          <w:color w:val="111111"/>
          <w:sz w:val="28"/>
          <w:szCs w:val="28"/>
          <w:rtl/>
        </w:rPr>
        <w:t xml:space="preserve">قصیده قافیة؛ بی کا، تا: قرن ۱،۹ص [ف: ۵ - ۶۱]</w:t>
      </w:r>
    </w:p>
    <w:p>
      <w:pPr>
        <w:pStyle w:val="BookText"/>
      </w:pPr>
      <w:r>
        <w:rPr>
          <w:rFonts w:ascii="IRNazanin" w:hAnsi="IRNazanin" w:eastAsia="IRNazanin" w:cs="IRNazanin"/>
          <w:lang w:bidi="fa-IR"/>
          <w:color w:val="111111"/>
          <w:sz w:val="28"/>
          <w:szCs w:val="28"/>
          <w:rtl/>
        </w:rPr>
        <w:t xml:space="preserve">۱۹. تهران؛ ملک؛ شماره نسخه: ۵۲۸/۵</w:t>
      </w:r>
    </w:p>
    <w:p>
      <w:pPr>
        <w:pStyle w:val="BookText"/>
      </w:pPr>
      <w:r>
        <w:rPr>
          <w:rFonts w:ascii="IRNazanin" w:hAnsi="IRNazanin" w:eastAsia="IRNazanin" w:cs="IRNazanin"/>
          <w:lang w:bidi="fa-IR"/>
          <w:color w:val="111111"/>
          <w:sz w:val="28"/>
          <w:szCs w:val="28"/>
          <w:rtl/>
        </w:rPr>
        <w:t xml:space="preserve">چند قصیده به عربی با قافیه باء و هاء و لام و چند قصیده دیگر؛ بی کا، تا: قرن ۹ [ف: ۵ - ۶۱]</w:t>
      </w:r>
    </w:p>
    <w:p>
      <w:pPr>
        <w:pStyle w:val="BookText"/>
      </w:pPr>
      <w:r>
        <w:rPr>
          <w:rFonts w:ascii="IRNazanin" w:hAnsi="IRNazanin" w:eastAsia="IRNazanin" w:cs="IRNazanin"/>
          <w:lang w:bidi="fa-IR"/>
          <w:color w:val="111111"/>
          <w:sz w:val="28"/>
          <w:szCs w:val="28"/>
          <w:rtl/>
        </w:rPr>
        <w:t xml:space="preserve">۲۰. تهران؛ ملک؛ شماره نسخه: ۶۰۴/۵۸</w:t>
      </w:r>
    </w:p>
    <w:p>
      <w:pPr>
        <w:pStyle w:val="BookText"/>
      </w:pPr>
      <w:r>
        <w:rPr>
          <w:rFonts w:ascii="IRNazanin" w:hAnsi="IRNazanin" w:eastAsia="IRNazanin" w:cs="IRNazanin"/>
          <w:lang w:bidi="fa-IR"/>
          <w:color w:val="111111"/>
          <w:sz w:val="28"/>
          <w:szCs w:val="28"/>
          <w:rtl/>
        </w:rPr>
        <w:t xml:space="preserve">اشعار يزيد بن معويه درباره رأس الشهداء و اشعاری از شیخ مفید از خطبه کتابی که در رد برخی درباره امامت نوشته بود؛ خـط: نسخ ،کا: شمس الدين محمد بن علی بن حسن جباعی، تا: قرن  9؛اص (۲۶۶) [ف: ۵ - ۱۰۹]</w:t>
      </w:r>
    </w:p>
    <w:p>
      <w:pPr>
        <w:pStyle w:val="BookText"/>
      </w:pPr>
      <w:r>
        <w:rPr>
          <w:rFonts w:ascii="IRNazanin" w:hAnsi="IRNazanin" w:eastAsia="IRNazanin" w:cs="IRNazanin"/>
          <w:lang w:bidi="fa-IR"/>
          <w:color w:val="111111"/>
          <w:sz w:val="28"/>
          <w:szCs w:val="28"/>
          <w:rtl/>
        </w:rPr>
        <w:t xml:space="preserve">۲۱. قم؛ مرکز احیاء؛ شماره نسخه: ۱۵۷۳/۲</w:t>
      </w:r>
    </w:p>
    <w:p>
      <w:pPr>
        <w:pStyle w:val="BookText"/>
      </w:pPr>
      <w:r>
        <w:rPr>
          <w:rFonts w:ascii="IRNazanin" w:hAnsi="IRNazanin" w:eastAsia="IRNazanin" w:cs="IRNazanin"/>
          <w:lang w:bidi="fa-IR"/>
          <w:color w:val="111111"/>
          <w:sz w:val="28"/>
          <w:szCs w:val="28"/>
          <w:rtl/>
        </w:rPr>
        <w:t xml:space="preserve">آغاز: ومما قال بعضهم في مدح مولانا و سید نا قاضی القضاة بهاء الدین تغمده الله برحمته  آمین: ابدی حیاءفخلت الورد قد نبتا *** و مال نحوى فغار التغصن حين اتى</w:t>
      </w:r>
    </w:p>
    <w:p>
      <w:pPr>
        <w:pStyle w:val="BookText"/>
      </w:pPr>
      <w:r>
        <w:rPr>
          <w:rFonts w:ascii="IRNazanin" w:hAnsi="IRNazanin" w:eastAsia="IRNazanin" w:cs="IRNazanin"/>
          <w:lang w:bidi="fa-IR"/>
          <w:color w:val="111111"/>
          <w:sz w:val="28"/>
          <w:szCs w:val="28"/>
          <w:rtl/>
        </w:rPr>
        <w:t xml:space="preserve">نسخه اصل: کتابخانه واتیکان - رم .۴۷۶ قطعاتی است پراکنده از اشعار جمال الدین ابن نباته، ابن حجه حموی، صلاح الدین صفدی، برهان الدین قیراطی، زین الدین بن الخزاط شيخ الاداب، خواجه محیی الدین اسعودی علاءالدین ماردینی، ابن زریق، شیخ علاءالدین و داعی، ابن مکانس، سراج وراق، دانیال، شیخ شيوخ حماة، ابن تميم دمشقی، ابن لولو، سيف الدينبن المشد، و اشعرى در مدح قاضی القضاة بهاء الدين؛ خط: نسخ معرب، بی کا، تا: قرن ۹؛ ۳۵ ص( ۵۵-۹۰) [عکسی ف: ۴ - (۴۲۴]</w:t>
      </w:r>
    </w:p>
    <w:p>
      <w:pPr>
        <w:pStyle w:val="BookText"/>
      </w:pPr>
      <w:r>
        <w:rPr>
          <w:rFonts w:ascii="IRNazanin" w:hAnsi="IRNazanin" w:eastAsia="IRNazanin" w:cs="IRNazanin"/>
          <w:lang w:bidi="fa-IR"/>
          <w:color w:val="111111"/>
          <w:sz w:val="28"/>
          <w:szCs w:val="28"/>
          <w:rtl/>
        </w:rPr>
        <w:t xml:space="preserve">۲۲. تهران؛ ملک؛ شماره نسخه: ۶۰۴/۲</w:t>
      </w:r>
    </w:p>
    <w:p>
      <w:pPr>
        <w:pStyle w:val="BookText"/>
      </w:pPr>
      <w:r>
        <w:rPr>
          <w:rFonts w:ascii="IRNazanin" w:hAnsi="IRNazanin" w:eastAsia="IRNazanin" w:cs="IRNazanin"/>
          <w:lang w:bidi="fa-IR"/>
          <w:color w:val="111111"/>
          <w:sz w:val="28"/>
          <w:szCs w:val="28"/>
          <w:rtl/>
        </w:rPr>
        <w:t xml:space="preserve">اشعار در فضائل امیرالمؤمنين؛ كا: محمد بن علی بن حسن جباعی، تا: قرن ۹؛ ۲ ص (۱۷-۱۸) [ف: ۵ - ۱۰۶]</w:t>
      </w:r>
    </w:p>
    <w:p>
      <w:pPr>
        <w:pStyle w:val="BookText"/>
      </w:pPr>
      <w:r>
        <w:rPr>
          <w:rFonts w:ascii="IRNazanin" w:hAnsi="IRNazanin" w:eastAsia="IRNazanin" w:cs="IRNazanin"/>
          <w:lang w:bidi="fa-IR"/>
          <w:color w:val="111111"/>
          <w:sz w:val="28"/>
          <w:szCs w:val="28"/>
          <w:rtl/>
        </w:rPr>
        <w:t xml:space="preserve">۲۳. تهران؛ ملک؛ شماره نسخه: ۶۰۴/۷۸</w:t>
      </w:r>
    </w:p>
    <w:p>
      <w:pPr>
        <w:pStyle w:val="BookText"/>
      </w:pPr>
      <w:r>
        <w:rPr>
          <w:rFonts w:ascii="IRNazanin" w:hAnsi="IRNazanin" w:eastAsia="IRNazanin" w:cs="IRNazanin"/>
          <w:lang w:bidi="fa-IR"/>
          <w:color w:val="111111"/>
          <w:sz w:val="28"/>
          <w:szCs w:val="28"/>
          <w:rtl/>
        </w:rPr>
        <w:t xml:space="preserve">اشعار زهیر درباره پیغمبر از عمرو زیاد بن طارق از ابی جرول (طرق عامه)؛ خط: نسخ، کا: شمس الدین محمد بن علی بن حسن جباعی، تا: قرن ۹، ۱ ص (۲۱۳) [ف: ۵ - ۱۱۰]</w:t>
      </w:r>
    </w:p>
    <w:p>
      <w:pPr>
        <w:pStyle w:val="BookText"/>
      </w:pPr>
      <w:r>
        <w:rPr>
          <w:rFonts w:ascii="IRNazanin" w:hAnsi="IRNazanin" w:eastAsia="IRNazanin" w:cs="IRNazanin"/>
          <w:lang w:bidi="fa-IR"/>
          <w:color w:val="111111"/>
          <w:sz w:val="28"/>
          <w:szCs w:val="28"/>
          <w:rtl/>
        </w:rPr>
        <w:t xml:space="preserve">۲۴. تهران؛ ملک؛ شماره نسخه: ۶۰۴/۴</w:t>
      </w:r>
    </w:p>
    <w:p>
      <w:pPr>
        <w:pStyle w:val="BookText"/>
      </w:pPr>
      <w:r>
        <w:rPr>
          <w:rFonts w:ascii="IRNazanin" w:hAnsi="IRNazanin" w:eastAsia="IRNazanin" w:cs="IRNazanin"/>
          <w:lang w:bidi="fa-IR"/>
          <w:color w:val="111111"/>
          <w:sz w:val="28"/>
          <w:szCs w:val="28"/>
          <w:rtl/>
        </w:rPr>
        <w:t xml:space="preserve">اشعاری منقول از خط شهید اول؛ کا:محمد بن حسن جباعی، تا: قرن ۹ [ف: ۵ - ۱۰۶]</w:t>
      </w:r>
    </w:p>
    <w:p>
      <w:pPr>
        <w:pStyle w:val="BookText"/>
      </w:pPr>
      <w:r>
        <w:rPr>
          <w:rFonts w:ascii="IRNazanin" w:hAnsi="IRNazanin" w:eastAsia="IRNazanin" w:cs="IRNazanin"/>
          <w:lang w:bidi="fa-IR"/>
          <w:color w:val="111111"/>
          <w:sz w:val="28"/>
          <w:szCs w:val="28"/>
          <w:rtl/>
        </w:rPr>
        <w:t xml:space="preserve">۲۵. قم؛ مرعشی؛ شماره نسخه: بدون شماره/ و</w:t>
      </w:r>
    </w:p>
    <w:p>
      <w:pPr>
        <w:pStyle w:val="BookText"/>
      </w:pPr>
      <w:r>
        <w:rPr>
          <w:rFonts w:ascii="IRNazanin" w:hAnsi="IRNazanin" w:eastAsia="IRNazanin" w:cs="IRNazanin"/>
          <w:lang w:bidi="fa-IR"/>
          <w:color w:val="111111"/>
          <w:sz w:val="28"/>
          <w:szCs w:val="28"/>
          <w:rtl/>
        </w:rPr>
        <w:t xml:space="preserve">دیوان اشعار عربی؛ بی کا، تا: قرن ۹ [ میراث شهاب: س ۷ش ۱-۲- ۴۵]</w:t>
      </w:r>
    </w:p>
    <w:p>
      <w:pPr>
        <w:pStyle w:val="BookText"/>
      </w:pPr>
      <w:r>
        <w:rPr>
          <w:rFonts w:ascii="IRNazanin" w:hAnsi="IRNazanin" w:eastAsia="IRNazanin" w:cs="IRNazanin"/>
          <w:lang w:bidi="fa-IR"/>
          <w:color w:val="111111"/>
          <w:sz w:val="28"/>
          <w:szCs w:val="28"/>
          <w:rtl/>
        </w:rPr>
        <w:t xml:space="preserve">۲۶. تهران؛ ملک؛ شماره نسخه: ۵۲۸/۲</w:t>
      </w:r>
    </w:p>
    <w:p>
      <w:pPr>
        <w:pStyle w:val="BookText"/>
      </w:pPr>
      <w:r>
        <w:rPr>
          <w:rFonts w:ascii="IRNazanin" w:hAnsi="IRNazanin" w:eastAsia="IRNazanin" w:cs="IRNazanin"/>
          <w:lang w:bidi="fa-IR"/>
          <w:color w:val="111111"/>
          <w:sz w:val="28"/>
          <w:szCs w:val="28"/>
          <w:rtl/>
        </w:rPr>
        <w:t xml:space="preserve">قصیده به ترتیب حروف از دال تا میم؛ بی کا، تا: قرن ۹ [ف: ۵-۶۱]</w:t>
      </w:r>
    </w:p>
    <w:p>
      <w:pPr>
        <w:pStyle w:val="BookText"/>
      </w:pPr>
      <w:r>
        <w:rPr>
          <w:rFonts w:ascii="IRNazanin" w:hAnsi="IRNazanin" w:eastAsia="IRNazanin" w:cs="IRNazanin"/>
          <w:lang w:bidi="fa-IR"/>
          <w:color w:val="111111"/>
          <w:sz w:val="28"/>
          <w:szCs w:val="28"/>
          <w:rtl/>
        </w:rPr>
        <w:t xml:space="preserve">۲۷. تهران؛ مجلس؛ شماره نسخه: ۱۵۴۴۱</w:t>
      </w:r>
    </w:p>
    <w:p>
      <w:pPr>
        <w:pStyle w:val="BookText"/>
      </w:pPr>
      <w:r>
        <w:rPr>
          <w:rFonts w:ascii="Amiri" w:hAnsi="Amiri" w:eastAsia="Amiri" w:cs="Amiri"/>
          <w:lang w:bidi="ar-SA"/>
          <w:color w:val="111111"/>
          <w:sz w:val="28"/>
          <w:szCs w:val="28"/>
          <w:rtl/>
        </w:rPr>
        <w:t xml:space="preserve">آغاز: العين تذرف من قرار شئونها *** و النفس توجل من مصارع هونها</w:t>
      </w:r>
    </w:p>
    <w:p>
      <w:pPr>
        <w:pStyle w:val="BookText"/>
      </w:pPr>
      <w:r>
        <w:rPr>
          <w:rFonts w:ascii="IRNazanin" w:hAnsi="IRNazanin" w:eastAsia="IRNazanin" w:cs="IRNazanin"/>
          <w:lang w:bidi="fa-IR"/>
          <w:color w:val="111111"/>
          <w:sz w:val="28"/>
          <w:szCs w:val="28"/>
          <w:rtl/>
        </w:rPr>
        <w:t xml:space="preserve">قصیده ای در مدح امیر المؤمنین با قافیه الف؛ خط: نسخ کهن، کا: محمد بن خليل بن (شیخ؟) تا: ۸۲۲ق، ۴ ص (۱۲۲-۱۲۵) [ف: ۴۳- 93]</w:t>
      </w:r>
    </w:p>
    <w:p>
      <w:pPr>
        <w:pStyle w:val="BookText"/>
      </w:pPr>
      <w:r>
        <w:rPr>
          <w:rFonts w:ascii="IRNazanin" w:hAnsi="IRNazanin" w:eastAsia="IRNazanin" w:cs="IRNazanin"/>
          <w:lang w:bidi="fa-IR"/>
          <w:color w:val="111111"/>
          <w:sz w:val="28"/>
          <w:szCs w:val="28"/>
          <w:rtl/>
        </w:rPr>
        <w:t xml:space="preserve">۲۸. تهران؛ مجلس؛ شماره نسخه: ۱۵۴۴۱</w:t>
      </w:r>
    </w:p>
    <w:p>
      <w:pPr>
        <w:pStyle w:val="BookText"/>
      </w:pPr>
      <w:r>
        <w:rPr>
          <w:rFonts w:ascii="Amiri" w:hAnsi="Amiri" w:eastAsia="Amiri" w:cs="Amiri"/>
          <w:lang w:bidi="ar-SA"/>
          <w:color w:val="111111"/>
          <w:sz w:val="28"/>
          <w:szCs w:val="28"/>
          <w:rtl/>
        </w:rPr>
        <w:t xml:space="preserve">آغاز: ذا ذلة و الدهر ناكبة *** قد ضاق ذرعا ان يغالبه. يقال نكبه الدهر ينكبه نكبا اذا اصاب من نكباته</w:t>
      </w:r>
    </w:p>
    <w:p>
      <w:pPr>
        <w:pStyle w:val="BookText"/>
      </w:pPr>
      <w:r>
        <w:rPr>
          <w:rFonts w:ascii="IRNazanin" w:hAnsi="IRNazanin" w:eastAsia="IRNazanin" w:cs="IRNazanin"/>
          <w:lang w:bidi="fa-IR"/>
          <w:color w:val="111111"/>
          <w:sz w:val="28"/>
          <w:szCs w:val="28"/>
          <w:rtl/>
        </w:rPr>
        <w:t xml:space="preserve">قصیده هایی در رثای اهل بیت النبی با تعلیقات كاتب؛ خط: نسخ کهن، كا: محمد بن خلیل بن (شیخ؟) تا: ۸۲۲ق؛ ۱۲ص (۱۲۷- ۱۳۹) [ف: ۴۳ - ۹۳]</w:t>
      </w:r>
    </w:p>
    <w:p>
      <w:pPr>
        <w:pStyle w:val="BookText"/>
      </w:pPr>
      <w:r>
        <w:rPr>
          <w:rFonts w:ascii="IRNazanin" w:hAnsi="IRNazanin" w:eastAsia="IRNazanin" w:cs="IRNazanin"/>
          <w:lang w:bidi="fa-IR"/>
          <w:color w:val="111111"/>
          <w:sz w:val="28"/>
          <w:szCs w:val="28"/>
          <w:rtl/>
        </w:rPr>
        <w:t xml:space="preserve">۲۹. تهران؛ مجلس؛ شماره نسخه ۱۵۴۴۱</w:t>
      </w:r>
    </w:p>
    <w:p>
      <w:pPr>
        <w:pStyle w:val="BookText"/>
      </w:pPr>
      <w:r>
        <w:rPr>
          <w:rFonts w:ascii="IRNazanin" w:hAnsi="IRNazanin" w:eastAsia="IRNazanin" w:cs="IRNazanin"/>
          <w:lang w:bidi="fa-IR"/>
          <w:color w:val="111111"/>
          <w:sz w:val="28"/>
          <w:szCs w:val="28"/>
          <w:rtl/>
        </w:rPr>
        <w:t xml:space="preserve">آغاز: تمسک بالکتاب و من تلاء ***و اهل البيت هم اهل الكتاب قصیده یائیه؛ خط: نسخ  کهن، كا: محمد بن خليل بن (شيخ؟)، تا: ۸۲۲ق؛ ۲ ص (۱۴۰ -۱۴۱) [ف: ۴۳ - ۹۴]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30.تهران؛ مجلس؛ شماره نسخه: ۱۵۴۴۱</w:t>
      </w:r>
    </w:p>
    <w:p>
      <w:pPr>
        <w:pStyle w:val="BookText"/>
      </w:pPr>
      <w:r>
        <w:rPr>
          <w:rFonts w:ascii="IRNazanin" w:hAnsi="IRNazanin" w:eastAsia="IRNazanin" w:cs="IRNazanin"/>
          <w:lang w:bidi="fa-IR"/>
          <w:color w:val="111111"/>
          <w:sz w:val="28"/>
          <w:szCs w:val="28"/>
          <w:rtl/>
        </w:rPr>
        <w:t xml:space="preserve">آغاز: اذا ذكرت نفسی مصائب فاطم*** باولادها هانت علی المصائب؛</w:t>
      </w:r>
    </w:p>
    <w:p>
      <w:pPr>
        <w:pStyle w:val="BookText"/>
      </w:pPr>
      <w:r>
        <w:rPr>
          <w:rFonts w:ascii="IRNazanin" w:hAnsi="IRNazanin" w:eastAsia="IRNazanin" w:cs="IRNazanin"/>
          <w:lang w:bidi="fa-IR"/>
          <w:color w:val="111111"/>
          <w:sz w:val="28"/>
          <w:szCs w:val="28"/>
          <w:rtl/>
        </w:rPr>
        <w:t xml:space="preserve">في مرثية اهل البيت (علیهم السّلام) ؛ خط: نسخ کهن، كا: محمد بن خليل بن (شیخ) ،تا: ۴ ربیع الاول ۸۲۲ق؛ 1ص (۱۸۶) [ف: ۴۳ - ۹۴]</w:t>
      </w:r>
    </w:p>
    <w:p>
      <w:pPr>
        <w:pStyle w:val="BookText"/>
      </w:pPr>
      <w:r>
        <w:rPr>
          <w:rFonts w:ascii="IRNazanin" w:hAnsi="IRNazanin" w:eastAsia="IRNazanin" w:cs="IRNazanin"/>
          <w:lang w:bidi="fa-IR"/>
          <w:color w:val="111111"/>
          <w:sz w:val="28"/>
          <w:szCs w:val="28"/>
          <w:rtl/>
        </w:rPr>
        <w:t xml:space="preserve">۳۱. تهران؛ سلطنتی؛ شماره نسخه: ۱۸۰۸/۳</w:t>
      </w:r>
    </w:p>
    <w:p>
      <w:pPr>
        <w:pStyle w:val="BookText"/>
      </w:pPr>
      <w:r>
        <w:rPr>
          <w:rFonts w:ascii="IRNazanin" w:hAnsi="IRNazanin" w:eastAsia="IRNazanin" w:cs="IRNazanin"/>
          <w:lang w:bidi="fa-IR"/>
          <w:color w:val="111111"/>
          <w:sz w:val="28"/>
          <w:szCs w:val="28"/>
          <w:rtl/>
        </w:rPr>
        <w:t xml:space="preserve">آغاز: بسمله، قال الشيخ محى الدين يحيى بن يوسف ابن يحـیی الصرصري رحمة الله تعالى بمدح سيدنا رسول الله صلى الله عليـه و سلم ؛انجام: طاب منكم في سماعي و احملوا از کی سلام  من مشوق في انقطاعى داب و جداً لكريم في الحمى ثم مطاعى الى اعلا مقام قد تسامی فی ارتفاعی و دعى الاشجارجات نـحوه دون امتناعی و جرى الماعيوناً من يديه فى اندفاعى و له الاحجار لانت عند مشى با تضاعی و من الله عليه صلوات باتباعی. تمت. مجموعه اشعار و قصاید است از ابن نباته ،ابوبکر الاندلسی، صـفی الدين  الحلى، ابو الدر ياقوت الرومي، ابي الفضل ابن ابوالوفا، شـیخ شرف الدین، جمال الدین بن مطروح و چند تن از مشاهیر شعرای عرب زبان دیگر؛ خط: نسخ، کا: محمد بن اينال الكركي،تا: ۸۴۹ق، کتابت به شیوه بغدادی؛ کاغذ: بغدادی ،جلد: مقوای روکش تیماج لاکی وسط ترنج و گل ترنج  ضربی، قطع: وزیری،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۲۶سم [ف: ۷ - ۳۱۴]</w:t>
      </w:r>
    </w:p>
    <w:p>
      <w:pPr>
        <w:pStyle w:val="BookText"/>
      </w:pPr>
      <w:r>
        <w:rPr>
          <w:rFonts w:ascii="IRNazanin" w:hAnsi="IRNazanin" w:eastAsia="IRNazanin" w:cs="IRNazanin"/>
          <w:lang w:bidi="fa-IR"/>
          <w:color w:val="111111"/>
          <w:sz w:val="28"/>
          <w:szCs w:val="28"/>
          <w:rtl/>
        </w:rPr>
        <w:t xml:space="preserve">۳۲. تهران؛ مجلس؛ شماره نسخه: ۸۹۳۲/۴</w:t>
      </w:r>
    </w:p>
    <w:p>
      <w:pPr>
        <w:pStyle w:val="BookText"/>
      </w:pPr>
      <w:r>
        <w:rPr>
          <w:rFonts w:ascii="Amiri" w:hAnsi="Amiri" w:eastAsia="Amiri" w:cs="Amiri"/>
          <w:lang w:bidi="ar-SA"/>
          <w:color w:val="111111"/>
          <w:sz w:val="28"/>
          <w:szCs w:val="28"/>
          <w:rtl/>
        </w:rPr>
        <w:t xml:space="preserve">آغاز: با مطلع: صاد الصديق و كاف الكيمياء معا *** لا يوجدان فدع عن نفسك الطمعا</w:t>
      </w:r>
    </w:p>
    <w:p>
      <w:pPr>
        <w:pStyle w:val="BookText"/>
      </w:pPr>
      <w:r>
        <w:rPr>
          <w:rFonts w:ascii="IRNazanin" w:hAnsi="IRNazanin" w:eastAsia="IRNazanin" w:cs="IRNazanin"/>
          <w:lang w:bidi="fa-IR"/>
          <w:color w:val="111111"/>
          <w:sz w:val="28"/>
          <w:szCs w:val="28"/>
          <w:rtl/>
        </w:rPr>
        <w:t xml:space="preserve">سه بیت شعر؛ خط: نسخ تحریری، بی کا، تا: ذیقعده ۸۵۱ق؛ کاغذ: نخودی آهار مهره 1ص (ص۳۶) مختلف السطر، اندازه: ۱۸/۲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۲۸سم [ف: ۲۹/۱ - ۳۸۲]</w:t>
      </w:r>
    </w:p>
    <w:p>
      <w:pPr>
        <w:pStyle w:val="BookText"/>
      </w:pPr>
      <w:r>
        <w:rPr>
          <w:rFonts w:ascii="IRNazanin" w:hAnsi="IRNazanin" w:eastAsia="IRNazanin" w:cs="IRNazanin"/>
          <w:lang w:bidi="fa-IR"/>
          <w:color w:val="111111"/>
          <w:sz w:val="28"/>
          <w:szCs w:val="28"/>
          <w:rtl/>
        </w:rPr>
        <w:t xml:space="preserve">۳۳. تهران؛ مجلس؛ شماره نسخه: ۸۹۳۲/۶۱</w:t>
      </w:r>
    </w:p>
    <w:p>
      <w:pPr>
        <w:pStyle w:val="BookText"/>
      </w:pPr>
      <w:r>
        <w:rPr>
          <w:rFonts w:ascii="IRNazanin" w:hAnsi="IRNazanin" w:eastAsia="IRNazanin" w:cs="IRNazanin"/>
          <w:lang w:bidi="fa-IR"/>
          <w:color w:val="111111"/>
          <w:sz w:val="28"/>
          <w:szCs w:val="28"/>
          <w:rtl/>
        </w:rPr>
        <w:t xml:space="preserve">ابیات پراکنده ای از این شعرا: درید بن صمه، قيس بن زهـیر، سويد بن عامر، و بیشتر آنها بدون نام سراینده؛ و دو نقل قول از عبدالله بن جعفر و مالک بن عجلان؛ خط: نسخ تحریری،کا: محمد بن علی بن حسن جباعی، تا: جمعه ۷ رمضان ۸۵۱ق؛ کاغذ: نخودی آهار  مهره ،جلد: میشن  بنفش، ۲ ص (ص 125- 126) مختلف السطر، اندازه: ۱۸/۲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۲۸سم [ف: ۲۹/۱ - ۳۸۸]</w:t>
      </w:r>
    </w:p>
    <w:p>
      <w:pPr>
        <w:pStyle w:val="BookText"/>
      </w:pPr>
      <w:r>
        <w:rPr>
          <w:rFonts w:ascii="IRNazanin" w:hAnsi="IRNazanin" w:eastAsia="IRNazanin" w:cs="IRNazanin"/>
          <w:lang w:bidi="fa-IR"/>
          <w:color w:val="111111"/>
          <w:sz w:val="28"/>
          <w:szCs w:val="28"/>
          <w:rtl/>
        </w:rPr>
        <w:t xml:space="preserve">۳۴. تهران؛ مجلس؛ شماره نسخه ۸۹۳۲/۳۹</w:t>
      </w:r>
    </w:p>
    <w:p>
      <w:pPr>
        <w:pStyle w:val="BookText"/>
      </w:pPr>
      <w:r>
        <w:rPr>
          <w:rFonts w:ascii="IRNazanin" w:hAnsi="IRNazanin" w:eastAsia="IRNazanin" w:cs="IRNazanin"/>
          <w:lang w:bidi="fa-IR"/>
          <w:color w:val="111111"/>
          <w:sz w:val="28"/>
          <w:szCs w:val="28"/>
          <w:rtl/>
        </w:rPr>
        <w:t xml:space="preserve">شامل چند بیت شعر و شرح آنها؛ خط: نسخ تحریری، کا: محـمد بن على بن حسن جباعی، تا: شنبه ۱۸ شوال ۸۵۲ق؛ جباعی در ابتدای آنها نوشته: «اظن انهم لا بن مكى اذهم صورة مسودة بخطه» ؛کاغذ: نخودی آهار مهره ،جلد: میشن بنفش، ۱ ص(ص۹۹)، مختلف السطر، اندازه: ۱۸/۲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۲۸سم [ف: ۲۹/۱۸ - ۳۸۶]</w:t>
      </w:r>
    </w:p>
    <w:p>
      <w:pPr>
        <w:pStyle w:val="BookText"/>
      </w:pPr>
      <w:r>
        <w:rPr>
          <w:rFonts w:ascii="IRNazanin" w:hAnsi="IRNazanin" w:eastAsia="IRNazanin" w:cs="IRNazanin"/>
          <w:lang w:bidi="fa-IR"/>
          <w:color w:val="111111"/>
          <w:sz w:val="28"/>
          <w:szCs w:val="28"/>
          <w:rtl/>
        </w:rPr>
        <w:t xml:space="preserve">۳۵. تهران؛ مجلس؛ شماره نسخه: ۸۹۳۲/۴۱</w:t>
      </w:r>
    </w:p>
    <w:p>
      <w:pPr>
        <w:pStyle w:val="BookText"/>
      </w:pPr>
      <w:r>
        <w:rPr>
          <w:rFonts w:ascii="IRNazanin" w:hAnsi="IRNazanin" w:eastAsia="IRNazanin" w:cs="IRNazanin"/>
          <w:lang w:bidi="fa-IR"/>
          <w:color w:val="111111"/>
          <w:sz w:val="28"/>
          <w:szCs w:val="28"/>
          <w:rtl/>
        </w:rPr>
        <w:t xml:space="preserve">از: مهذب الدین ابو طالب احمد بن محمد بن علی بن الكـجلو مداینی، ابن رومی و حبش بن عاصم؛ خط: نسخ تحریری،کا: محمد بن علی بن حسن جباعی ،تا: شنبه ۱۸ شوال ۸۵۲ق؛ کاغذ: نخودی آهار مهره، جلد: میشن بنفش، 1ص (ص۱۰۳)، مختلف السطر ، اندازه: ۱۸/۲۲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۲۸سم [ف: ۲۹/۱ - 386]</w:t>
      </w:r>
    </w:p>
    <w:p>
      <w:pPr>
        <w:pStyle w:val="BookText"/>
      </w:pPr>
      <w:r>
        <w:rPr>
          <w:rFonts w:ascii="IRNazanin" w:hAnsi="IRNazanin" w:eastAsia="IRNazanin" w:cs="IRNazanin"/>
          <w:lang w:bidi="fa-IR"/>
          <w:color w:val="111111"/>
          <w:sz w:val="28"/>
          <w:szCs w:val="28"/>
          <w:rtl/>
        </w:rPr>
        <w:t xml:space="preserve">۳۶. تهران؛ مجلس؛ شماره نسخه: ۸۹۳۲/۵۹</w:t>
      </w:r>
    </w:p>
    <w:p>
      <w:pPr>
        <w:pStyle w:val="BookText"/>
      </w:pPr>
      <w:r>
        <w:rPr>
          <w:rFonts w:ascii="IRNazanin" w:hAnsi="IRNazanin" w:eastAsia="IRNazanin" w:cs="IRNazanin"/>
          <w:lang w:bidi="fa-IR"/>
          <w:color w:val="111111"/>
          <w:sz w:val="28"/>
          <w:szCs w:val="28"/>
          <w:rtl/>
        </w:rPr>
        <w:t xml:space="preserve">از ابن عمید و ابراهیم بن هلال صابی؛ خط: نسخ تحریری، کا: محمد بن علی بن حسن جباعی، تا: شنبه ۱۸ شوال ۸۵۲ق؛ کاغذ: نخودی آهار مهره ،جلد: میشن  بنفش، اص (ص ۱۲۱)، مختلف السطر، اندازه: ۱۸/۲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۲۸سم [ف: ۲۹/۱۸ - ۳۸۷]</w:t>
      </w:r>
    </w:p>
    <w:p>
      <w:pPr>
        <w:pStyle w:val="BookText"/>
      </w:pPr>
      <w:r>
        <w:rPr>
          <w:rFonts w:ascii="IRNazanin" w:hAnsi="IRNazanin" w:eastAsia="IRNazanin" w:cs="IRNazanin"/>
          <w:lang w:bidi="fa-IR"/>
          <w:color w:val="111111"/>
          <w:sz w:val="28"/>
          <w:szCs w:val="28"/>
          <w:rtl/>
        </w:rPr>
        <w:t xml:space="preserve">۳۷. مشهد؛ گوهر شاد؛ شماره نسخه: ۵۸۲/۵</w:t>
      </w:r>
    </w:p>
    <w:p>
      <w:pPr>
        <w:pStyle w:val="BookText"/>
      </w:pPr>
      <w:r>
        <w:rPr>
          <w:rFonts w:ascii="IRNazanin" w:hAnsi="IRNazanin" w:eastAsia="IRNazanin" w:cs="IRNazanin"/>
          <w:lang w:bidi="fa-IR"/>
          <w:color w:val="111111"/>
          <w:sz w:val="28"/>
          <w:szCs w:val="28"/>
          <w:rtl/>
        </w:rPr>
        <w:t xml:space="preserve">قصیده لامیه از ابیطالب به نقل از سیره ابن هشام در ۶۷ بیت با مطلع: و لما رايت القوم لاود فيهم*** و قد قطعى كل العرى و الوسائل / ... فلينظر فيه الناظر و لعله فيه السقطات و الفوات و لا حول و لا قوه؛ خط: نسخ، بی کا، تا: قرن ۱۰؛ در پشت صفحه اول یادداشت بیع محمد تقی بن محمد باقر با مهر او؛ کاغذ: اصفهانی، جلد: مقوا با کاغذ ابری عطف میشن سرخ، ۳گ (۱۰۱-۱۰۳)، ۳۳ سطر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۲ - ۶۹۹]</w:t>
      </w:r>
    </w:p>
    <w:p>
      <w:pPr>
        <w:pStyle w:val="BookText"/>
      </w:pPr>
      <w:r>
        <w:rPr>
          <w:rFonts w:ascii="IRNazanin" w:hAnsi="IRNazanin" w:eastAsia="IRNazanin" w:cs="IRNazanin"/>
          <w:lang w:bidi="fa-IR"/>
          <w:color w:val="111111"/>
          <w:sz w:val="28"/>
          <w:szCs w:val="28"/>
          <w:rtl/>
        </w:rPr>
        <w:t xml:space="preserve">۳۸. تهران؛ ملی؛ شماره نسخه ۱۱۷۵/۳</w:t>
      </w:r>
    </w:p>
    <w:p>
      <w:pPr>
        <w:pStyle w:val="BookText"/>
      </w:pPr>
      <w:r>
        <w:rPr>
          <w:rFonts w:ascii="IRNazanin" w:hAnsi="IRNazanin" w:eastAsia="IRNazanin" w:cs="IRNazanin"/>
          <w:lang w:bidi="fa-IR"/>
          <w:color w:val="111111"/>
          <w:sz w:val="28"/>
          <w:szCs w:val="28"/>
          <w:rtl/>
        </w:rPr>
        <w:t xml:space="preserve">قصاید است در صفحه ۴۴ یک قصیده به قافیه نون آمده و سراینده آن علم الدين السخاوی است به این مطلع «نفسی الفدالعالم و افانی»، در صفحه ۴۵ شعری است در بحر تقارب با آغاز: افضل مافاه به الانسان ***و خير ما يجرى به اللسان؛ خط: نستعلیق ،کهن بی کا، تا: محتملاً قرن ۱۰؛ مجدول؛ کاغذ: دولت آبادی، جلد: مقوایی عطف و گوشه میشن تریاکی در کنار عطف نوشته شده :مجموعه حسین بن عبدالصمد حارثی جلد جدیدساز، ۲ ص (۴۵-۴۶)، ۲۱ سطر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۹-۱۶۱]</w:t>
      </w:r>
    </w:p>
    <w:p>
      <w:pPr>
        <w:pStyle w:val="BookText"/>
      </w:pPr>
      <w:r>
        <w:rPr>
          <w:rFonts w:ascii="IRNazanin" w:hAnsi="IRNazanin" w:eastAsia="IRNazanin" w:cs="IRNazanin"/>
          <w:lang w:bidi="fa-IR"/>
          <w:color w:val="111111"/>
          <w:sz w:val="28"/>
          <w:szCs w:val="28"/>
          <w:rtl/>
        </w:rPr>
        <w:t xml:space="preserve">۳۹. تهران؛ ملی؛ شماره نسخه: ۳۵۵۴/۵</w:t>
      </w:r>
    </w:p>
    <w:p>
      <w:pPr>
        <w:pStyle w:val="BookText"/>
      </w:pPr>
      <w:r>
        <w:rPr>
          <w:rFonts w:ascii="IRNazanin" w:hAnsi="IRNazanin" w:eastAsia="IRNazanin" w:cs="IRNazanin"/>
          <w:lang w:bidi="fa-IR"/>
          <w:color w:val="111111"/>
          <w:sz w:val="28"/>
          <w:szCs w:val="28"/>
          <w:rtl/>
        </w:rPr>
        <w:t xml:space="preserve">آغاز: بسمله باب الحماسه و هى الشجاعه. قال رجل من بلعنبر  يعنى العنبر: لو كنت من مازن لم تستبح ابلى *** بنواللقيطه من  ذهل بن شیبانا؛ انجام: و ان يعدنا قليلا *** حملت رمحا و حربه.</w:t>
      </w:r>
    </w:p>
    <w:p>
      <w:pPr>
        <w:pStyle w:val="BookText"/>
      </w:pPr>
      <w:r>
        <w:rPr>
          <w:rFonts w:ascii="IRNazanin" w:hAnsi="IRNazanin" w:eastAsia="IRNazanin" w:cs="IRNazanin"/>
          <w:lang w:bidi="fa-IR"/>
          <w:color w:val="111111"/>
          <w:sz w:val="28"/>
          <w:szCs w:val="28"/>
          <w:rtl/>
        </w:rPr>
        <w:t xml:space="preserve">اشعار مختلفی از شعرای قدیم جاهلی و صدر اسلام در باب حماسه و شجاعت، برخی از شاعران عبارتند از: جعفر بن غلبه، ابوعطا السندى، ربيعه بن مقروم الضبي، سعد بن ناشب، عبدالملک بن عبدالرحيم الحارثي، قطری بن  الجاه، الحريش، ابن زبابه التميمى، الحرث بن همام، الاشتر النخعی، معدان بن حواس السندى، عامر بن الطفيل، زفر بن الحرث، عمر بن معدي كرب، رويشد بن كثير الطائي، قيس بن الحطيم الاخوص بن محمد، الطرماح بن حكيم الطائى، زياده الحارثي، حريث بن غياث ،البنهانی ابراهیم بن كنف البنهاني؛ خط: نسخ، بی کا، تا: احتمالاً اواخر قرن ۱۰؛ کاغذ: فرنگی، نخودی، جلد: تیماج زرشکی، ضربی ،یک  لا، ۱۵گ (۴۵پ - ۶۰)، ۱۵ سطر (9</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۱۶ – ۹۹]</w:t>
      </w:r>
    </w:p>
    <w:p>
      <w:pPr>
        <w:pStyle w:val="BookText"/>
      </w:pPr>
      <w:r>
        <w:rPr>
          <w:rFonts w:ascii="IRNazanin" w:hAnsi="IRNazanin" w:eastAsia="IRNazanin" w:cs="IRNazanin"/>
          <w:lang w:bidi="fa-IR"/>
          <w:color w:val="111111"/>
          <w:sz w:val="28"/>
          <w:szCs w:val="28"/>
          <w:rtl/>
        </w:rPr>
        <w:t xml:space="preserve">40.تهران؛ مفتاح؛ شماره نسخه: ۶۶۷/۵</w:t>
      </w:r>
    </w:p>
    <w:p>
      <w:pPr>
        <w:pStyle w:val="BookText"/>
      </w:pPr>
      <w:r>
        <w:rPr>
          <w:rFonts w:ascii="IRNazanin" w:hAnsi="IRNazanin" w:eastAsia="IRNazanin" w:cs="IRNazanin"/>
          <w:lang w:bidi="fa-IR"/>
          <w:color w:val="111111"/>
          <w:sz w:val="28"/>
          <w:szCs w:val="28"/>
          <w:rtl/>
        </w:rPr>
        <w:t xml:space="preserve">چند قصیده عربی؛ خط: نسخ، بی کا، تا: قرن ۱۰، قطع: ربعی  [ نشریه: ۷ - ۲۵۲]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41.قم؛ فیضیه؛ شماره نسخه: ۱۸۱۰/۲</w:t>
      </w:r>
    </w:p>
    <w:p>
      <w:pPr>
        <w:pStyle w:val="BookText"/>
      </w:pPr>
      <w:r>
        <w:rPr>
          <w:rFonts w:ascii="IRNazanin" w:hAnsi="IRNazanin" w:eastAsia="IRNazanin" w:cs="IRNazanin"/>
          <w:lang w:bidi="fa-IR"/>
          <w:color w:val="111111"/>
          <w:sz w:val="28"/>
          <w:szCs w:val="28"/>
          <w:rtl/>
        </w:rPr>
        <w:t xml:space="preserve">قصيده لامية العرب است؛ خط: نسخ، بی کا، تا: قرن ۱۰، ۵گ، 17سطر،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۳ - ۱۳۶]</w:t>
      </w:r>
    </w:p>
    <w:p>
      <w:pPr>
        <w:pStyle w:val="BookText"/>
      </w:pPr>
      <w:r>
        <w:rPr>
          <w:rFonts w:ascii="IRNazanin" w:hAnsi="IRNazanin" w:eastAsia="IRNazanin" w:cs="IRNazanin"/>
          <w:lang w:bidi="fa-IR"/>
          <w:color w:val="111111"/>
          <w:sz w:val="28"/>
          <w:szCs w:val="28"/>
          <w:rtl/>
        </w:rPr>
        <w:t xml:space="preserve">42.قم؛ مرعشی؛ شماره نسخه: ۱۱۶۹/۱۶</w:t>
      </w:r>
    </w:p>
    <w:p>
      <w:pPr>
        <w:pStyle w:val="BookText"/>
      </w:pPr>
      <w:r>
        <w:rPr>
          <w:rFonts w:ascii="IRNazanin" w:hAnsi="IRNazanin" w:eastAsia="IRNazanin" w:cs="IRNazanin"/>
          <w:lang w:bidi="fa-IR"/>
          <w:color w:val="111111"/>
          <w:sz w:val="28"/>
          <w:szCs w:val="28"/>
          <w:rtl/>
        </w:rPr>
        <w:t xml:space="preserve">نسخه اصل: کتابخانه  چستربیتی، دبلین ایرلند جنوبی، ش3486 ؛خط: نسخ معرب، بی کا، تا: قرن ۱۰، ۱ص (۸۰) ، ۱۵ سطر [عكـسی ف: ۳ - ۳۷۷]</w:t>
      </w:r>
    </w:p>
    <w:p>
      <w:pPr>
        <w:pStyle w:val="BookText"/>
      </w:pPr>
      <w:r>
        <w:rPr>
          <w:rFonts w:ascii="IRNazanin" w:hAnsi="IRNazanin" w:eastAsia="IRNazanin" w:cs="IRNazanin"/>
          <w:lang w:bidi="fa-IR"/>
          <w:color w:val="111111"/>
          <w:sz w:val="28"/>
          <w:szCs w:val="28"/>
          <w:rtl/>
        </w:rPr>
        <w:t xml:space="preserve">43.تهران؛ دانشگاه؛ شماره نسخه: ۶۹۸۸</w:t>
      </w:r>
    </w:p>
    <w:p>
      <w:pPr>
        <w:pStyle w:val="BookText"/>
      </w:pPr>
      <w:r>
        <w:rPr>
          <w:rFonts w:ascii="IRNazanin" w:hAnsi="IRNazanin" w:eastAsia="IRNazanin" w:cs="IRNazanin"/>
          <w:lang w:bidi="fa-IR"/>
          <w:color w:val="111111"/>
          <w:sz w:val="28"/>
          <w:szCs w:val="28"/>
          <w:rtl/>
        </w:rPr>
        <w:t xml:space="preserve">با عنوان های «و له عفى عنه، و له سامحه الله، و له رحمه الله» . تخمیس شعرهای عمر بن الفارض (يكى به نام النشاة الازلية فی تخميس الخمرية) و تخمیس شعرهای ارجانی و ابن ملیک و السهيلى و الشيخ محمد وفاء و عفيف تلمسانی و ابوالسعود و بـهاء زهیر و ابن قزمان و ابن جاکینا و شافعی و منازی و ابن العربی « با معماهایی به نام عمر و حسان و جمال و محمود، با موالیا، با تاریخ  975و 982و 974و 978»؛ خط: نسخ، بی کا، تا: قرن10؛</w:t>
      </w:r>
    </w:p>
    <w:p>
      <w:pPr>
        <w:pStyle w:val="BookText"/>
      </w:pPr>
      <w:r>
        <w:rPr>
          <w:rFonts w:ascii="IRNazanin" w:hAnsi="IRNazanin" w:eastAsia="IRNazanin" w:cs="IRNazanin"/>
          <w:lang w:bidi="fa-IR"/>
          <w:color w:val="111111"/>
          <w:sz w:val="28"/>
          <w:szCs w:val="28"/>
          <w:rtl/>
        </w:rPr>
        <w:t xml:space="preserve">افتادگی: انجام؛ مهر: حسین بن راشد مورخ ۱۲۴۳، محمد تـقی شریف یزدی؛ کاغذ: سمرقندی، جلد: تیماج مشکی  لایی، ۱۶۲گ، ۱۹ سطر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قطع: ربعی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۱۶ - ۴۲۰  ]</w:t>
      </w:r>
    </w:p>
    <w:p>
      <w:pPr>
        <w:pStyle w:val="BookText"/>
      </w:pPr>
      <w:r>
        <w:rPr>
          <w:rFonts w:ascii="IRNazanin" w:hAnsi="IRNazanin" w:eastAsia="IRNazanin" w:cs="IRNazanin"/>
          <w:lang w:bidi="fa-IR"/>
          <w:color w:val="111111"/>
          <w:sz w:val="28"/>
          <w:szCs w:val="28"/>
          <w:rtl/>
        </w:rPr>
        <w:t xml:space="preserve">۴۴.تهران؛ ملی؛ شماره نسخه: ۱۷۷۴/۱</w:t>
      </w:r>
    </w:p>
    <w:p>
      <w:pPr>
        <w:pStyle w:val="BookText"/>
      </w:pPr>
      <w:r>
        <w:rPr>
          <w:rFonts w:ascii="IRNazanin" w:hAnsi="IRNazanin" w:eastAsia="IRNazanin" w:cs="IRNazanin"/>
          <w:lang w:bidi="fa-IR"/>
          <w:color w:val="111111"/>
          <w:sz w:val="28"/>
          <w:szCs w:val="28"/>
          <w:rtl/>
        </w:rPr>
        <w:t xml:space="preserve">آغاز: و رایتم قد مدحوه بقصائد على حروف المعجم؛ انجـام: على آله، تعاقب الظلم و ايضا او طلع نجم في الخضراء.</w:t>
      </w:r>
    </w:p>
    <w:p>
      <w:pPr>
        <w:pStyle w:val="BookText"/>
      </w:pPr>
      <w:r>
        <w:rPr>
          <w:rFonts w:ascii="IRNazanin" w:hAnsi="IRNazanin" w:eastAsia="IRNazanin" w:cs="IRNazanin"/>
          <w:lang w:bidi="fa-IR"/>
          <w:color w:val="111111"/>
          <w:sz w:val="28"/>
          <w:szCs w:val="28"/>
          <w:rtl/>
        </w:rPr>
        <w:t xml:space="preserve">قصاید نبوية است. این دیوان با خط بسیار بد تحریر شده در مقدمه آن نویسنده می گوید اشعاری و قصایدی دیدم در مدح حضرت رسول که شاعران آن اشعار از ذکر مواعظ و ذم ذنوب در آنها پرهیز کرده اند و فقط قناعت به آن کرده اند که بر ترتیب حروف  معجم آنها را مرتب کنند و ضمنا در این قصاید از آوردن کلمـات مشکل پرهیز ننماید. من این قصاید را به خلاف آنها علاوه بر منقبت حضرت رسالت با بیان مواعظ و پند و آوردن کلمـات آسان پرداختم بعد از اقامت خود به غرناطه اندلس به سال 652ق و دیدن خوابی بدانجا و پس از آن از سفر خود به مراکش و مـصر و با بخواب دیدن پیغمبر اسلام را و قصد عزیمت از قاهره به مدینه و مکه به سال ۶۶۱ق او از مدرسه صالح در مصر مطالبی می آورد و در آخر قصاید و تمام شدن آنها او ضمن دعا و نیاز از این موفق شده است در قصیده ای موسوم به وترية مدح پیغمبر اسـلام بگوید شادیها می کند؛ خطک نستعلیق، کا: عبدالعليم بن عبدالغـفار بن شيخ احمد، تا: ۹۰۴ق؛ افتادگی: آغاز؛ کاغذ: فرنگی، جـلد: تیماج تریاکی روشن با ترنج و نیم ترنج کوبیده یک  لا، ۲۷ ص( 1- ۲۸)، ۱۳ سطر (9</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اندازه: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۱۷/۵سم [ف : ۱۰ - ۳۵۵]</w:t>
      </w:r>
    </w:p>
    <w:p>
      <w:pPr>
        <w:pStyle w:val="BookText"/>
      </w:pPr>
      <w:r>
        <w:rPr>
          <w:rFonts w:ascii="IRNazanin" w:hAnsi="IRNazanin" w:eastAsia="IRNazanin" w:cs="IRNazanin"/>
          <w:lang w:bidi="fa-IR"/>
          <w:color w:val="111111"/>
          <w:sz w:val="28"/>
          <w:szCs w:val="28"/>
          <w:rtl/>
        </w:rPr>
        <w:t xml:space="preserve">۴۵. تهران؛ دانشگاه؛ شماره نسخه: ۲۳۹۸/۴</w:t>
      </w:r>
    </w:p>
    <w:p>
      <w:pPr>
        <w:pStyle w:val="BookText"/>
      </w:pPr>
      <w:r>
        <w:rPr>
          <w:rFonts w:ascii="IRNazanin" w:hAnsi="IRNazanin" w:eastAsia="IRNazanin" w:cs="IRNazanin"/>
          <w:lang w:bidi="fa-IR"/>
          <w:color w:val="111111"/>
          <w:sz w:val="28"/>
          <w:szCs w:val="28"/>
          <w:rtl/>
        </w:rPr>
        <w:t xml:space="preserve">آغاز: قال ابو مخنف هذا انتخاب اشعار مولانا ... الحسين (علیه السّلام) ذهـب الذين احبهم وبقيت فيمن لا احبه *** فيمن اريه يسبنى ظهر المغيب و لا اسبه؛ انجام: مالک عنى اليوم من عدول *** و حسـبی الرحمن من منیل. در پایان شعرهای رجز نونیه حسین (علیه السّلام) است که  صاحب الفتوح آورده است: غدر القوم و قدما رغبوا *** عن ثواب الله رب الثقلين</w:t>
      </w:r>
    </w:p>
    <w:p>
      <w:pPr>
        <w:pStyle w:val="BookText"/>
      </w:pPr>
      <w:r>
        <w:rPr>
          <w:rFonts w:ascii="IRNazanin" w:hAnsi="IRNazanin" w:eastAsia="IRNazanin" w:cs="IRNazanin"/>
          <w:lang w:bidi="fa-IR"/>
          <w:color w:val="111111"/>
          <w:sz w:val="28"/>
          <w:szCs w:val="28"/>
          <w:rtl/>
        </w:rPr>
        <w:t xml:space="preserve">انتخاب اشعار الحسین در ده بند؛ کا: احمد بن جمال الدین حافظ اصفهانی، تا: ۱ جمادی الاول ۹۱۰ق؛ کاغذ: سپاهانی، جلد: تیماج مشکی ضربی درون سرخ زرکوب، ۷ ص (۱۲۵-۱۳۱)، ۲۰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 اندازه: ۱۶/۵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۹ - ۱۰۰۰]</w:t>
      </w:r>
    </w:p>
    <w:p>
      <w:pPr>
        <w:pStyle w:val="BookText"/>
      </w:pPr>
      <w:r>
        <w:rPr>
          <w:rFonts w:ascii="IRNazanin" w:hAnsi="IRNazanin" w:eastAsia="IRNazanin" w:cs="IRNazanin"/>
          <w:lang w:bidi="fa-IR"/>
          <w:color w:val="111111"/>
          <w:sz w:val="28"/>
          <w:szCs w:val="28"/>
          <w:rtl/>
        </w:rPr>
        <w:t xml:space="preserve">۴۶. مشهد؛ رضوی؛ شماره نسخه: ۳۰۶۱/۲</w:t>
      </w:r>
    </w:p>
    <w:p>
      <w:pPr>
        <w:pStyle w:val="BookText"/>
      </w:pPr>
      <w:r>
        <w:rPr>
          <w:rFonts w:ascii="Amiri" w:hAnsi="Amiri" w:eastAsia="Amiri" w:cs="Amiri"/>
          <w:lang w:bidi="ar-SA"/>
          <w:color w:val="111111"/>
          <w:sz w:val="28"/>
          <w:szCs w:val="28"/>
          <w:rtl/>
        </w:rPr>
        <w:t xml:space="preserve">آغاز: و من يرد الوقف التمام يقف على انقضاء كلام باللزوم ليفصلا؛ انجام: كهمزه الاستفهام مع من و آن و آن و افعل تفضيل و كيف و هل و لا</w:t>
      </w:r>
    </w:p>
    <w:p>
      <w:pPr>
        <w:pStyle w:val="BookText"/>
      </w:pPr>
      <w:r>
        <w:rPr>
          <w:rFonts w:ascii="IRNazanin" w:hAnsi="IRNazanin" w:eastAsia="IRNazanin" w:cs="IRNazanin"/>
          <w:lang w:bidi="fa-IR"/>
          <w:color w:val="111111"/>
          <w:sz w:val="28"/>
          <w:szCs w:val="28"/>
          <w:rtl/>
        </w:rPr>
        <w:t xml:space="preserve">قصیده لامیه. قصیده ای است در ۲۲ بیت در بیان وقوف در قرآن و انواع مدات و ماآت در قرآن؛ خط: نسخ عربی، کا: صالح بن فالح  حمیدانی ،تا: ،۹۱۴ ق ،جا: مدرسه دينيه حله؛ واقف: ابن خاتون عاملی، ۱۰۶۷ق؛ کاغذ: نخودی آهار مهره استانبولی، جلد: مقوا با روکش پارچه ،۲ ص، ۱۵ سطر،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۲۳-۱۳۹]</w:t>
      </w:r>
    </w:p>
    <w:p>
      <w:pPr>
        <w:pStyle w:val="BookText"/>
      </w:pPr>
      <w:r>
        <w:rPr>
          <w:rFonts w:ascii="IRNazanin" w:hAnsi="IRNazanin" w:eastAsia="IRNazanin" w:cs="IRNazanin"/>
          <w:lang w:bidi="fa-IR"/>
          <w:color w:val="111111"/>
          <w:sz w:val="28"/>
          <w:szCs w:val="28"/>
          <w:rtl/>
        </w:rPr>
        <w:t xml:space="preserve">۴۷. تهران؛ مجلس؛ شماره نسخه: ۱۱۰۳/۲- طباطبائی</w:t>
      </w:r>
    </w:p>
    <w:p>
      <w:pPr>
        <w:pStyle w:val="BookText"/>
      </w:pPr>
      <w:r>
        <w:rPr>
          <w:rFonts w:ascii="IRNazanin" w:hAnsi="IRNazanin" w:eastAsia="IRNazanin" w:cs="IRNazanin"/>
          <w:lang w:bidi="fa-IR"/>
          <w:color w:val="111111"/>
          <w:sz w:val="28"/>
          <w:szCs w:val="28"/>
          <w:rtl/>
        </w:rPr>
        <w:t xml:space="preserve">آغاز: غذيت بعلم النحو اذ درلى ثديا *** فجسمی به ینمی و روحى به تحيا ... الا ان علم النحو قد باد اهله *** فما ان ترى فى الحى من بعدهم حيا / ساتر که ترک الغزال لظله *** و اتبعه هجرا و اوسعه قلبا / و اسمو الى الفقه المبارك انه *** ليرضيك في الاخرى و يحظيك فى الدنيا / هل الفقه الااصل دین محمد *** فجر دله عزما و جددله سعيا؛ انجام: و كان الامام الشافعي معظما *** اليه انتهت في عصره رتبة الفتيا / حكيم قريش في صميم نصابهم *** صحيح انتساب لا ولا سببا / و لما اتى مصر انبرى لاذائه *** اناس طووا كشحا على بغضه طيا ... اتى ناقدا ما حصلوه وها دما *** لما اصلو اذ كان بينا نهم و هيا / فدسوا اليه عند ما النفردوا به *** شقيا لهم شل الاله له يديا / فشج بمفتاح الحديد جبينه *** و راح قتيلا لا بكاء و لانعيا. .../ و كان شهيد الدار ثانى شهيدها *** من اهل مصر كان فيها لهم نعيا / سمى روحه لما قضى نحبه ضحى  ***  الى العالم العلوى يسرى به سريا ... فرعيا لعلم كان اتحفنا به *** وسقيا بقبر ضم جثمانه سقيا</w:t>
      </w:r>
    </w:p>
    <w:p>
      <w:pPr>
        <w:pStyle w:val="BookText"/>
      </w:pPr>
      <w:r>
        <w:rPr>
          <w:rFonts w:ascii="IRNazanin" w:hAnsi="IRNazanin" w:eastAsia="IRNazanin" w:cs="IRNazanin"/>
          <w:lang w:bidi="fa-IR"/>
          <w:color w:val="111111"/>
          <w:sz w:val="28"/>
          <w:szCs w:val="28"/>
          <w:rtl/>
        </w:rPr>
        <w:t xml:space="preserve">قصیده در مدح شافعی است نام گوینده قصیده در نسخه صریحا یاد نشده و بالای نسخه درباره سراینده چنین آمده است: «قال الشيخ الامام العالم ... المتقن فى العلوم باسرها خصوصا العربيه فهو المسمى بهايدح الامام الشافعی». سراینده در ضمن قصیده از دانش های مختلف شافعی و برخی از کتاب های او و بزرگانی که ملاقات کرده با اشارت یاد می کند و نیز از ناسازگاری روزگار در  آخر با او در مصر در این قصیده درباره توطئه ای که بر ضد او</w:t>
      </w:r>
    </w:p>
    <w:p>
      <w:pPr>
        <w:pStyle w:val="BookText"/>
      </w:pPr>
      <w:r>
        <w:rPr>
          <w:rFonts w:ascii="IRNazanin" w:hAnsi="IRNazanin" w:eastAsia="IRNazanin" w:cs="IRNazanin"/>
          <w:lang w:bidi="fa-IR"/>
          <w:color w:val="111111"/>
          <w:sz w:val="28"/>
          <w:szCs w:val="28"/>
          <w:rtl/>
        </w:rPr>
        <w:t xml:space="preserve">ترتیب داده شد و کار به کشته شدن او کشیده سخن رفته است؛ خط: نسخ، بی کا، تا: ۹۸۹ق؛ جلد: تیماج قهوه ای ،عطف قرمز، 2گ (۳۵ -۳۶)، قطع: رقعی،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 ۲۳ - ۵۵۳]</w:t>
      </w:r>
    </w:p>
    <w:p>
      <w:pPr>
        <w:pStyle w:val="BookText"/>
      </w:pPr>
      <w:r>
        <w:rPr>
          <w:rFonts w:ascii="IRNazanin" w:hAnsi="IRNazanin" w:eastAsia="IRNazanin" w:cs="IRNazanin"/>
          <w:lang w:bidi="fa-IR"/>
          <w:color w:val="111111"/>
          <w:sz w:val="28"/>
          <w:szCs w:val="28"/>
          <w:rtl/>
        </w:rPr>
        <w:t xml:space="preserve">۴۸ .قم؛ مرعشی؛ شماره نسخه: ۱۳۸۶/۱۴عکسی</w:t>
      </w:r>
    </w:p>
    <w:p>
      <w:pPr>
        <w:pStyle w:val="BookText"/>
      </w:pPr>
      <w:r>
        <w:rPr>
          <w:rFonts w:ascii="IRNazanin" w:hAnsi="IRNazanin" w:eastAsia="IRNazanin" w:cs="IRNazanin"/>
          <w:lang w:bidi="fa-IR"/>
          <w:color w:val="111111"/>
          <w:sz w:val="28"/>
          <w:szCs w:val="28"/>
          <w:rtl/>
        </w:rPr>
        <w:t xml:space="preserve">نسخه اصل: کتابخانه اسکوریال در اسپانیا ش ۱۷۰۲ چند قصیده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عربی است ازجمله: قصیده هائیه منسوب به  شافعی، قصیده لامیه از زین الدین ابوهریره عبدالرحمن بن محمد خطيب  قدس، قصـیده همزیه در مدح ملک اسماعیل بن عباس از شرف الدین اسماعیل بن ابی بکر مقری  شافعی، قصیده نونیه در مؤنثات سماعیه از این حاجب، و قصیده دالیه در مدح ابی الحسن شاذلی از شرف الدین ابو عبدالله بوصیری؛ خط: نسخ، کا: حسن بن عبدالله، تا: ۹۹۰ق؛ مقابله شده با نسخه اصل؛ مجدول، رکابه دار؛ ۱۱ص (279- 289)  [عکسی ف: ۴ - ۱۷۹]</w:t>
      </w:r>
    </w:p>
    <w:p>
      <w:pPr>
        <w:pStyle w:val="BookText"/>
      </w:pPr>
      <w:r>
        <w:rPr>
          <w:rFonts w:ascii="IRNazanin" w:hAnsi="IRNazanin" w:eastAsia="IRNazanin" w:cs="IRNazanin"/>
          <w:lang w:bidi="fa-IR"/>
          <w:color w:val="111111"/>
          <w:sz w:val="28"/>
          <w:szCs w:val="28"/>
          <w:rtl/>
        </w:rPr>
        <w:t xml:space="preserve">49.قم؛ مرعشی؛ شماره نسخه: ۱۳۸۱۴/۹</w:t>
      </w:r>
    </w:p>
    <w:p>
      <w:pPr>
        <w:pStyle w:val="BookText"/>
      </w:pPr>
      <w:r>
        <w:rPr>
          <w:rFonts w:ascii="IRNazanin" w:hAnsi="IRNazanin" w:eastAsia="IRNazanin" w:cs="IRNazanin"/>
          <w:lang w:bidi="fa-IR"/>
          <w:color w:val="111111"/>
          <w:sz w:val="28"/>
          <w:szCs w:val="28"/>
          <w:rtl/>
        </w:rPr>
        <w:t xml:space="preserve">آغاز: انا عبد الامام الفاضلي *** خير خلق الله مولانا على / بـاب علم الله صنو المصطفى *** ابن طه و الحواميم علی؛ انجام: لائـمی في حبة قل الملام *** لا تلمنى فى هوى المولى على / يا أمامى على المرتضى *** أنت ذخرى و الحسين بن على</w:t>
      </w:r>
    </w:p>
    <w:p>
      <w:pPr>
        <w:pStyle w:val="BookText"/>
      </w:pPr>
      <w:r>
        <w:rPr>
          <w:rFonts w:ascii="IRNazanin" w:hAnsi="IRNazanin" w:eastAsia="IRNazanin" w:cs="IRNazanin"/>
          <w:lang w:bidi="fa-IR"/>
          <w:color w:val="111111"/>
          <w:sz w:val="28"/>
          <w:szCs w:val="28"/>
          <w:rtl/>
        </w:rPr>
        <w:t xml:space="preserve">قصیده ای است در مدح حضرت امیر المومنين على بن ابى طالب (علیه السّلام) در ۲۸ بیت که حرف نخست هر بیت بر اساس حروف تهجی سروده شده است؛ خط: نسخ، کا: ابراهیم بن مولی حاجی محـمد بن مولى على بن حسن حسینی  خزاعی، تا: ۹۹۸ق، مصحح، این قصاید به اشاره مولی حاجی محمد حسینی خزاعی پدر کاتب و وقوف شیخ اسحاق نجفی نگاشته شده، درانجام نسخه بین برگ های ۹۱ پ- ۹۴ پ ابیاتی از زبان مجنون در فراق لیلی با  این مطلع آمده: «أصهر عينى حب ظنى ذو ضلال *** برانى الشـوق حتى صرت نضوا كالخلال» و مقطع: «ولكنى فوادى فيه جـمر يتلال *** نعيم كنت فيه من طلوع الفجر زال» نیز دعایی منقول از حضرت امیرالمومنین علی (علیه السّلام) با سر آغاز: «بسم الله الرحمن الرحیم أنت الرب و أنا العبد فمن يدعوا العبد ألا الرب»، قصیده ای از نظام با مطلع: «لبت کز آب لطافت بر او دمیده گیاه *** زغصه که جهان بر زلال خضر سیاه»، چند حدیث نبوی (صلّی اللَّهِ علیه وَ آلِهِ وَ سَلَّمَ ) و چند دعـا و همچنین نقوش خاتم برخی انبیاء و اوصیاء (علیه السّلام) در نسخه آمـده؛ تملك: «ابراهيم الحسینی الجرجانی» با مهر «سلام علی ابراهـیم» (بیضی)؛ کاغذ: شرقی، نوع جلد: مشمع مشکی عطف: تیماج مشکی، اگ (۱۹ر-91پ)، ۱۶ سطر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۳۵ - ۸۳]</w:t>
      </w:r>
    </w:p>
    <w:p>
      <w:pPr>
        <w:pStyle w:val="BookText"/>
      </w:pPr>
      <w:r>
        <w:rPr>
          <w:rFonts w:ascii="IRNazanin" w:hAnsi="IRNazanin" w:eastAsia="IRNazanin" w:cs="IRNazanin"/>
          <w:lang w:bidi="fa-IR"/>
          <w:color w:val="111111"/>
          <w:sz w:val="28"/>
          <w:szCs w:val="28"/>
          <w:rtl/>
        </w:rPr>
        <w:t xml:space="preserve">۵۰. تهران؛ مجلس؛ شماره نسخه: ۱۵۴۰۷</w:t>
      </w:r>
    </w:p>
    <w:p>
      <w:pPr>
        <w:pStyle w:val="BookText"/>
      </w:pPr>
      <w:r>
        <w:rPr>
          <w:rFonts w:ascii="IRNazanin" w:hAnsi="IRNazanin" w:eastAsia="IRNazanin" w:cs="IRNazanin"/>
          <w:lang w:bidi="fa-IR"/>
          <w:color w:val="111111"/>
          <w:sz w:val="28"/>
          <w:szCs w:val="28"/>
          <w:rtl/>
        </w:rPr>
        <w:t xml:space="preserve">آغاز: و من كنت مولاه و خیر نصیبه *** و مأموله دون الوری لخطوبه / فلا يخش من صرف الزمان و ریبه *** و من انت راض عنه في طي غيبه؛ انجام: تاریخ ماتم من محاسنها *** في خلد الله عمر صاحبها</w:t>
      </w:r>
    </w:p>
    <w:p>
      <w:pPr>
        <w:pStyle w:val="BookText"/>
      </w:pPr>
      <w:r>
        <w:rPr>
          <w:rFonts w:ascii="IRNazanin" w:hAnsi="IRNazanin" w:eastAsia="IRNazanin" w:cs="IRNazanin"/>
          <w:lang w:bidi="fa-IR"/>
          <w:color w:val="111111"/>
          <w:sz w:val="28"/>
          <w:szCs w:val="28"/>
          <w:rtl/>
        </w:rPr>
        <w:t xml:space="preserve">مجموعه ای است از اشعار شاعران فصیح عرب نام این شاعران دیده می شود: شهاب محمود (۱ر)، واو دمشقی (۲ر) ابن ملیـک حمور (۲پ)، شیخ نجیب الدین (۳پ)، صروانی (۶پ) حاجـری (۷ر)، ابن الحجاج (۹پ)، ابونواس (۱۰پ، ۳۲ر) متنبی (۱۰ پ) ابن زیدون (۱۰پ)، صفی حلی ،(۱۱ر، ،٩ر) امیر منجک (۱۱ر)، نجفی (۱۱پ) شیخ بهاء الدین عاملی، (۱۳ر، ۲۶پ؛ اخیر درمدح حضرت صاحب الزمان (علیه السّلام) ، ۳۸پ)،  شیخ حسن ولد شهید ثانی (۱۳پ ،۴۳پ)، شیخ حسین بن عبدالصمد (عاملی) (۱۴ر) صلاح صفدی (۱۴پ)، شیخ محمد حر (عاملی) (۱۴پ، ۱۷پ، ۴۶ر در تخمیس لامية العجم)، زهير سلمی (۱۶پ)، سید مرتضی (۱۷پ)، سید رضی (۱۷ ر ،۱۸پ ،۲۶ ر ،۳۲ر، ۴۲پ) وداعی (۱۸ر) ابن نباته ،(۱۸ر) ،طغرانی ،(۱۸پ) ابن خمیس (۱۸پ)، سید جمال الدين (۱۹ر)، فتح الله نخاس (۱۹) سید محمد (۲۰ر)، سید عبدالرحیم عباسی (۲۰پ)، منجک باشا (۲۱پ)، شیخ الاسلام خطاب به ابن نباته در سفر و جواب ابن نباته (۲۲ر) ابن زيدون مغزلی (۲۲پ) منسوب به رضی (۲۳پ)، بدین مطلع: «أ أنعم عيشا</w:t>
      </w:r>
    </w:p>
    <w:p>
      <w:pPr>
        <w:pStyle w:val="BookText"/>
      </w:pPr>
      <w:r>
        <w:rPr>
          <w:rFonts w:ascii="IRNazanin" w:hAnsi="IRNazanin" w:eastAsia="IRNazanin" w:cs="IRNazanin"/>
          <w:lang w:bidi="fa-IR"/>
          <w:color w:val="111111"/>
          <w:sz w:val="28"/>
          <w:szCs w:val="28"/>
          <w:rtl/>
        </w:rPr>
        <w:t xml:space="preserve">بعد ما حل عارضی*** طلايع شيب ليس یعنی خضابها»، ملحی (۲۴پ) حموی ،(۲۶ ر) ابن النقيب (۲۶ پ) ابن الرومی (۳۰پ) ابن النبيه (۳۱ ر) ، ابوالفتح (۳۱)پ) ، ابن الحجاج (۳۳ر)، ابن خلوق مغربی (۳۴ ر) مجنون لیلی ،(۳۴ر) ابن معتز (۳۶ر، ۳۸پ)ابوفراس (۳۷پ) موسوی (۴۲ پ) شیخ علی بن حسن حلی در رثای شیخ محفوظ (۴۳پ) دو بیت (بدون نام شاعر)، (۴۴پ)، شیخ حسن (۴۴پ) صاحب البدیعه (۴۵پ) قاضی (۴۶ر) بعض العارفين (۵۲ر)، شیخ مغامس ،(۵۳ر) سید حسن حسینی اعرجی (۵۴ر) ابیات فراوانی از وی نقل کرده از جمله تخمیس ابیات شیخ بهائی در رد شافعی (۵۹ر) و تخمیس ابیات منسوب به شریف رضی ( ۶۰ر): اری حمراً ترعی و تأكل ما تهوى ...)، نیز یک مطلب به نثر منقول از کتاب النوادر (۲۵ر)، و چند معمای منظوم از جمله درباره مناره و صلاح (۴۲پ)؛ خط: نسخ عربی، بی کا، تا: احتمالاً قرن ۱۱؛ افتادگی: آغاز؛ جلد: چرم قهوه ای ضربی ترنج ،دار ۶۰گ، ۱۶-۱۹ سطر، قطع: بیاضی، اندازه: ۱۸/۳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۱۰/۵سم [ف: ۴۳ - ۷۴]</w:t>
      </w:r>
    </w:p>
    <w:p>
      <w:pPr>
        <w:pStyle w:val="BookText"/>
      </w:pPr>
      <w:r>
        <w:rPr>
          <w:rFonts w:ascii="IRNazanin" w:hAnsi="IRNazanin" w:eastAsia="IRNazanin" w:cs="IRNazanin"/>
          <w:lang w:bidi="fa-IR"/>
          <w:color w:val="111111"/>
          <w:sz w:val="28"/>
          <w:szCs w:val="28"/>
          <w:rtl/>
        </w:rPr>
        <w:t xml:space="preserve">۵۱. تهران؛ مجلس؛ شماره نسخه: ۱۴۲۰۰/۵</w:t>
      </w:r>
    </w:p>
    <w:p>
      <w:pPr>
        <w:pStyle w:val="BookText"/>
      </w:pPr>
      <w:r>
        <w:rPr>
          <w:rFonts w:ascii="IRNazanin" w:hAnsi="IRNazanin" w:eastAsia="IRNazanin" w:cs="IRNazanin"/>
          <w:lang w:bidi="fa-IR"/>
          <w:color w:val="111111"/>
          <w:sz w:val="28"/>
          <w:szCs w:val="28"/>
          <w:rtl/>
        </w:rPr>
        <w:t xml:space="preserve">قصيده عالم صاحب الشروح؛ خط: نسخ، بی کا، تا: قرن ۱۱، فهرست رایانه ای مجلس؛ ۳گ (۱۴ر - (۱۶) [ف: ۳۸ -۲۷۷]</w:t>
      </w:r>
    </w:p>
    <w:p>
      <w:pPr>
        <w:pStyle w:val="BookText"/>
      </w:pPr>
      <w:r>
        <w:rPr>
          <w:rFonts w:ascii="IRNazanin" w:hAnsi="IRNazanin" w:eastAsia="IRNazanin" w:cs="IRNazanin"/>
          <w:lang w:bidi="fa-IR"/>
          <w:color w:val="111111"/>
          <w:sz w:val="28"/>
          <w:szCs w:val="28"/>
          <w:rtl/>
        </w:rPr>
        <w:t xml:space="preserve">۵۲. تهران؛ مجلس؛ شماره نسخه ۱۶۳ط</w:t>
      </w:r>
    </w:p>
    <w:p>
      <w:pPr>
        <w:pStyle w:val="BookText"/>
      </w:pPr>
      <w:r>
        <w:rPr>
          <w:rFonts w:ascii="IRNazanin" w:hAnsi="IRNazanin" w:eastAsia="IRNazanin" w:cs="IRNazanin"/>
          <w:lang w:bidi="fa-IR"/>
          <w:color w:val="111111"/>
          <w:sz w:val="28"/>
          <w:szCs w:val="28"/>
          <w:rtl/>
        </w:rPr>
        <w:t xml:space="preserve">قصيده مهذب الدين عين الزمان با ترجمه، خطاب به سید شریف مرتضی؛ خط: نستعلیق، بی کا، تا: قرن ۱۱؛ ۱گ، ۳۰ (در مجموعه)  [ف: ۲۲ - ۵۴]</w:t>
      </w:r>
    </w:p>
    <w:p>
      <w:pPr>
        <w:pStyle w:val="BookText"/>
      </w:pPr>
      <w:r>
        <w:rPr>
          <w:rFonts w:ascii="IRNazanin" w:hAnsi="IRNazanin" w:eastAsia="IRNazanin" w:cs="IRNazanin"/>
          <w:lang w:bidi="fa-IR"/>
          <w:color w:val="111111"/>
          <w:sz w:val="28"/>
          <w:szCs w:val="28"/>
          <w:rtl/>
        </w:rPr>
        <w:t xml:space="preserve">۵۳ .تهران؛ مجلس؛ شماره نسخه: ۹۴۶۶/۲۸۷</w:t>
      </w:r>
    </w:p>
    <w:p>
      <w:pPr>
        <w:pStyle w:val="BookText"/>
      </w:pPr>
      <w:r>
        <w:rPr>
          <w:rFonts w:ascii="IRNazanin" w:hAnsi="IRNazanin" w:eastAsia="IRNazanin" w:cs="IRNazanin"/>
          <w:lang w:bidi="fa-IR"/>
          <w:color w:val="111111"/>
          <w:sz w:val="28"/>
          <w:szCs w:val="28"/>
          <w:rtl/>
        </w:rPr>
        <w:t xml:space="preserve">ابیاتی در ایام نحسات مشهور، ابیاتی منسوب به امام علی (علیه السّلام)، و جز آن؛ خط: نستعلیق، بی کا، تا: قرن ۱۱؛ ۱ ص (۵۶۴) [مختصر ف: - ۶۳]</w:t>
      </w:r>
    </w:p>
    <w:p>
      <w:pPr>
        <w:pStyle w:val="BookText"/>
      </w:pPr>
      <w:r>
        <w:rPr>
          <w:rFonts w:ascii="IRNazanin" w:hAnsi="IRNazanin" w:eastAsia="IRNazanin" w:cs="IRNazanin"/>
          <w:lang w:bidi="fa-IR"/>
          <w:color w:val="111111"/>
          <w:sz w:val="28"/>
          <w:szCs w:val="28"/>
          <w:rtl/>
        </w:rPr>
        <w:t xml:space="preserve">۵۴. تهران؛ مجلس؛ شماره نسخه: ۹۰۹۳/۳</w:t>
      </w:r>
    </w:p>
    <w:p>
      <w:pPr>
        <w:pStyle w:val="BookText"/>
      </w:pPr>
      <w:r>
        <w:rPr>
          <w:rFonts w:ascii="IRNazanin" w:hAnsi="IRNazanin" w:eastAsia="IRNazanin" w:cs="IRNazanin"/>
          <w:lang w:bidi="fa-IR"/>
          <w:color w:val="111111"/>
          <w:sz w:val="28"/>
          <w:szCs w:val="28"/>
          <w:rtl/>
        </w:rPr>
        <w:t xml:space="preserve">از این کسان: ابن از بک سلطان  مصر، شریف رضی، ابوبکر احد الخالديين، صلوى، بحتری ابی تمام، امر والقيس، ابی سناالملک، ابو عبدالله حسن بن علی  قمی ،غزى عمارة يمنى داعي ابن ،قلاقس مبرد، محمد بن عبید  ازدی، ابن  منیر، ابی فراس، ابن فارض، ابن  نباته ،قاضی  فاضل، ابى العلاء معری، منازی، تمامی، ابن  رومی، ابو محمد عبدالجليلبن وهبون، ابن عنين، ابن،شهید،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شهاب الدین مصری، مجیرالدین ابن تمیم، مهیار دیلمی، ابن لبـانه، ابن نفساد، على باخزری، مجدالدین ابراهیم؛ خط: نسخ به شـیوه ترکی، بی کا، تا: قرن ۱۱؛ نسخه پردازی  عثمانی، عناوین درون کتیبه های  زرین، آغاز کتیبه ها بین عبارات و جملات دوایر زرین اما در دیگر بخشها ویرگول مانند شنگرف؛ کاغذ: نخودی آهار مهره، جلد: مخمل سرخ عطف و سجاف تیماج  مشکی، مجدول زرین گرهی، ۵گ (۷۴پ -۷۸ر)، ۲۱ سطر (8</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۱۹/۸سم [ف: ۲۹/۲ - ۷۴۶]</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تهران؛ مجلس؛ شماره نسخه: ۹۰۹۳/۶</w:t>
      </w:r>
    </w:p>
    <w:p>
      <w:pPr>
        <w:pStyle w:val="BookText"/>
      </w:pPr>
      <w:r>
        <w:rPr>
          <w:rFonts w:ascii="IRNazanin" w:hAnsi="IRNazanin" w:eastAsia="IRNazanin" w:cs="IRNazanin"/>
          <w:lang w:bidi="fa-IR"/>
          <w:color w:val="111111"/>
          <w:sz w:val="28"/>
          <w:szCs w:val="28"/>
          <w:rtl/>
        </w:rPr>
        <w:t xml:space="preserve">برگ ۱۱۴ر اشعار به خطی جدیدتر نوشته شده اند و یادداشت هـای لغوی و توضیحی نیز در کناره ابیات آمده است. اما پس ازاین صفحه اشعار به خط کاتب اصلی نسخه است. در این برگ ها در حاشیه هر شعر شرح حال کوتاهی از شاعر به نقل از ابن خلکان و در چند مورد هم از جوهری و ابن اثیر نوشته شده است از این کسان: ابو تمام ،بحتری ،مبرد ،عتبی ابن رومی، ابن دعبل، شـیخ برهان الدین  قیراطی، ابومنصور علی بن حسن مشهور به صـر، ابوالفتح محمد بن عبد الله سبط  تعاویذی، شیخ احمد عنایاتی، ابن نباته مصری، ابن ابى الوفا، علاء الدين شيخ الاسلام عمرابن وردی، شیخ شمس الدین نواجی، ابن مطروح، ابوالفتح يحيح بن حبيش بن امیرک حکیم  سهروردی، قاضی ابوالفرج معاف بن زکریا معروف به ابن طرار جریری، ابن حزم اموی ظاهری، ابن مقری یمانی زبیدی؛ خط: نسخ به شیوه ترکی، بی کا، تا: قرن11؛ کاغذ: نخودی آهار مهره، جلد: مخمل سرخ عطف و سجاف</w:t>
      </w:r>
    </w:p>
    <w:p>
      <w:pPr>
        <w:pStyle w:val="BookText"/>
      </w:pPr>
      <w:r>
        <w:rPr>
          <w:rFonts w:ascii="IRNazanin" w:hAnsi="IRNazanin" w:eastAsia="IRNazanin" w:cs="IRNazanin"/>
          <w:lang w:bidi="fa-IR"/>
          <w:color w:val="111111"/>
          <w:sz w:val="28"/>
          <w:szCs w:val="28"/>
          <w:rtl/>
        </w:rPr>
        <w:t xml:space="preserve">تیماج مشکی مجدول زرین گرهی، ۱۷گ (۱۱۱پ- ۱۲۸ر)، سطر (8</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۱۹/۸سم [ف: ۲۹/۲ - ۷۴۶]</w:t>
      </w:r>
    </w:p>
    <w:p>
      <w:pPr>
        <w:pStyle w:val="BookText"/>
      </w:pPr>
      <w:r>
        <w:rPr>
          <w:rFonts w:ascii="IRNazanin" w:hAnsi="IRNazanin" w:eastAsia="IRNazanin" w:cs="IRNazanin"/>
          <w:lang w:bidi="fa-IR"/>
          <w:color w:val="111111"/>
          <w:sz w:val="28"/>
          <w:szCs w:val="28"/>
          <w:rtl/>
        </w:rPr>
        <w:t xml:space="preserve">۵۶. قم؛ مرعشی؛ شماره نسخه: ۱۴۶۸۵/۲</w:t>
      </w:r>
    </w:p>
    <w:p>
      <w:pPr>
        <w:pStyle w:val="BookText"/>
      </w:pPr>
      <w:r>
        <w:rPr>
          <w:rFonts w:ascii="IRNazanin" w:hAnsi="IRNazanin" w:eastAsia="IRNazanin" w:cs="IRNazanin"/>
          <w:lang w:bidi="fa-IR"/>
          <w:color w:val="111111"/>
          <w:sz w:val="28"/>
          <w:szCs w:val="28"/>
          <w:rtl/>
        </w:rPr>
        <w:t xml:space="preserve">آغاز: داء ثوى بفواد شفه سقم *** لمحنتى من دواعى الهم و الكمد / باضلعى لهب تذكر حرارته *** من الضنا في محل الروح  من جسد ؛انجام: مروحی سار لاشطت زيادته *** لما انثنى قاتلی عمدا بلا قود</w:t>
      </w:r>
    </w:p>
    <w:p>
      <w:pPr>
        <w:pStyle w:val="BookText"/>
      </w:pPr>
      <w:r>
        <w:rPr>
          <w:rFonts w:ascii="IRNazanin" w:hAnsi="IRNazanin" w:eastAsia="IRNazanin" w:cs="IRNazanin"/>
          <w:lang w:bidi="fa-IR"/>
          <w:color w:val="111111"/>
          <w:sz w:val="28"/>
          <w:szCs w:val="28"/>
          <w:rtl/>
        </w:rPr>
        <w:t xml:space="preserve">قصیده کوتاهی است در دوازده  بیت، آن گونه که در پایان قصیده قبلاً آمده، این قصیده را با چهارصد و شصت وجه می توان قرائت نمود، با این عبارات:« و هذه القصيدة يلقب بالمختلفة و هى اثنا عشر بيتا و يقراء على اربعمائة وستين وجها، طردا و عكسا، غير ما ترك منها من عدة وجوه و تتقيد قوافيها، بسبعة احرف و هي ت، م، و، ع، د، هـ ن و يجمعها تم و عدهن» نسخه ای از این قصـیده قبلاً در کتابخانه  در اوقاف بغداد موجود بوده است؛ خط: نسـخ،بی کا، تا: حدود قرن ۱۱؛ کاغذ ،شرقی، اگ (۳۹ ر)، ۱۲ سـطر، اندازه: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۱۱/۵سم [ف: ۳۷ - ۱۸۳]</w:t>
      </w:r>
    </w:p>
    <w:p>
      <w:pPr>
        <w:pStyle w:val="BookText"/>
      </w:pPr>
      <w:r>
        <w:rPr>
          <w:rFonts w:ascii="IRNazanin" w:hAnsi="IRNazanin" w:eastAsia="IRNazanin" w:cs="IRNazanin"/>
          <w:lang w:bidi="fa-IR"/>
          <w:color w:val="111111"/>
          <w:sz w:val="28"/>
          <w:szCs w:val="28"/>
          <w:rtl/>
        </w:rPr>
        <w:t xml:space="preserve">۵۷. مشهد؛ رضوی؛ شماره نسخه: ۴۳۸۱</w:t>
      </w:r>
    </w:p>
    <w:p>
      <w:pPr>
        <w:pStyle w:val="BookText"/>
      </w:pPr>
      <w:r>
        <w:rPr>
          <w:rFonts w:ascii="Amiri" w:hAnsi="Amiri" w:eastAsia="Amiri" w:cs="Amiri"/>
          <w:lang w:bidi="ar-SA"/>
          <w:color w:val="111111"/>
          <w:sz w:val="28"/>
          <w:szCs w:val="28"/>
          <w:rtl/>
        </w:rPr>
        <w:t xml:space="preserve">آغاز: بسمله امن ام اوفى دمته لم تكلم؛ انجام: و الحوار بالضـم و الدالناقه وصل اللهم و سلم على سيدنا محمد  و اله... رب العالمين</w:t>
      </w:r>
    </w:p>
    <w:p>
      <w:pPr>
        <w:pStyle w:val="BookText"/>
      </w:pPr>
      <w:r>
        <w:rPr>
          <w:rFonts w:ascii="IRNazanin" w:hAnsi="IRNazanin" w:eastAsia="IRNazanin" w:cs="IRNazanin"/>
          <w:lang w:bidi="fa-IR"/>
          <w:color w:val="111111"/>
          <w:sz w:val="28"/>
          <w:szCs w:val="28"/>
          <w:rtl/>
        </w:rPr>
        <w:t xml:space="preserve">قصاید است از ،ربیعه ،امرء القيس ،نابغه، علقمه و طرفه؛ خط: نسخ، بی کا، تا: ۱۰۰۰ق [الفبائی: ۴۴۵]</w:t>
      </w:r>
    </w:p>
    <w:p>
      <w:pPr>
        <w:pStyle w:val="BookText"/>
      </w:pPr>
      <w:r>
        <w:rPr>
          <w:rFonts w:ascii="IRNazanin" w:hAnsi="IRNazanin" w:eastAsia="IRNazanin" w:cs="IRNazanin"/>
          <w:lang w:bidi="fa-IR"/>
          <w:color w:val="111111"/>
          <w:sz w:val="28"/>
          <w:szCs w:val="28"/>
          <w:rtl/>
        </w:rPr>
        <w:t xml:space="preserve">۵۸. تهران؛ مجلس؛ شماره نسخه: ۱۳۸۸۶/۷</w:t>
      </w:r>
    </w:p>
    <w:p>
      <w:pPr>
        <w:pStyle w:val="BookText"/>
      </w:pPr>
      <w:r>
        <w:rPr>
          <w:rFonts w:ascii="IRNazanin" w:hAnsi="IRNazanin" w:eastAsia="IRNazanin" w:cs="IRNazanin"/>
          <w:lang w:bidi="fa-IR"/>
          <w:color w:val="111111"/>
          <w:sz w:val="28"/>
          <w:szCs w:val="28"/>
          <w:rtl/>
        </w:rPr>
        <w:t xml:space="preserve">شعر از زمخشری است؛ بی کا، تا: قرن ۱۱؛ ۱ ص (۱۶ر) [ف: ۳۷ - ۴۶۶]</w:t>
      </w:r>
    </w:p>
    <w:p>
      <w:pPr>
        <w:pStyle w:val="BookText"/>
      </w:pPr>
      <w:r>
        <w:rPr>
          <w:rFonts w:ascii="IRNazanin" w:hAnsi="IRNazanin" w:eastAsia="IRNazanin" w:cs="IRNazanin"/>
          <w:lang w:bidi="fa-IR"/>
          <w:color w:val="111111"/>
          <w:sz w:val="28"/>
          <w:szCs w:val="28"/>
          <w:rtl/>
        </w:rPr>
        <w:t xml:space="preserve">۵۹. شیراز؛ علامه طباطبائی؛ شماره نسخه: ۱۶۸۹/۱</w:t>
      </w:r>
    </w:p>
    <w:p>
      <w:pPr>
        <w:pStyle w:val="BookText"/>
      </w:pPr>
      <w:r>
        <w:rPr>
          <w:rFonts w:ascii="Amiri" w:hAnsi="Amiri" w:eastAsia="Amiri" w:cs="Amiri"/>
          <w:lang w:bidi="ar-SA"/>
          <w:color w:val="111111"/>
          <w:sz w:val="28"/>
          <w:szCs w:val="28"/>
          <w:rtl/>
        </w:rPr>
        <w:t xml:space="preserve">آغاز: الحمد لله رب العالمين و العاقبة للمتقين... اما بعد، فهذه اوراق احتوت على بعض الاشعار والقصائد التي تضمنها النصف الثانى من قصة الف ليلة وليلة</w:t>
      </w:r>
    </w:p>
    <w:p>
      <w:pPr>
        <w:pStyle w:val="BookText"/>
      </w:pPr>
      <w:r>
        <w:rPr>
          <w:rFonts w:ascii="IRNazanin" w:hAnsi="IRNazanin" w:eastAsia="IRNazanin" w:cs="IRNazanin"/>
          <w:lang w:bidi="fa-IR"/>
          <w:color w:val="111111"/>
          <w:sz w:val="28"/>
          <w:szCs w:val="28"/>
          <w:rtl/>
        </w:rPr>
        <w:t xml:space="preserve">اشعار داستان الف ليلة وليلة است؛ خط: نسخ، بی کا، تا: قرن ۱۱ ؛ ۶۰گ (۱ -۶۰)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[نسخه پژوهی: ۳ - ۱۶۵]</w:t>
      </w:r>
    </w:p>
    <w:p>
      <w:pPr>
        <w:pStyle w:val="BookText"/>
      </w:pPr>
      <w:r>
        <w:rPr>
          <w:rFonts w:ascii="IRNazanin" w:hAnsi="IRNazanin" w:eastAsia="IRNazanin" w:cs="IRNazanin"/>
          <w:lang w:bidi="fa-IR"/>
          <w:color w:val="111111"/>
          <w:sz w:val="28"/>
          <w:szCs w:val="28"/>
          <w:rtl/>
        </w:rPr>
        <w:t xml:space="preserve">۶۰. قم؛ مسجد اعظم؛ شماره نسخه: ۲۸۰۴/۴</w:t>
      </w:r>
    </w:p>
    <w:p>
      <w:pPr>
        <w:pStyle w:val="BookText"/>
      </w:pPr>
      <w:r>
        <w:rPr>
          <w:rFonts w:ascii="Amiri" w:hAnsi="Amiri" w:eastAsia="Amiri" w:cs="Amiri"/>
          <w:lang w:bidi="ar-SA"/>
          <w:color w:val="111111"/>
          <w:sz w:val="28"/>
          <w:szCs w:val="28"/>
          <w:rtl/>
        </w:rPr>
        <w:t xml:space="preserve">آغاز: بدت قمراولاحت ... غصن بان *** ولاحت عنبراً  و زمت غزالا / كان الحزن مشعوف بقلبي *** فساعة هجرها يجد الوصالا ؛انجام: فكل مالا فيته مغتفر *** في جنب ما اسارة شحط النوى /  لولابس الصخر الاصم بعض ما *** يلقاه قلبي فض اضلاد الصفا</w:t>
      </w:r>
    </w:p>
    <w:p>
      <w:pPr>
        <w:pStyle w:val="BookText"/>
      </w:pPr>
      <w:r>
        <w:rPr>
          <w:rFonts w:ascii="IRNazanin" w:hAnsi="IRNazanin" w:eastAsia="IRNazanin" w:cs="IRNazanin"/>
          <w:lang w:bidi="fa-IR"/>
          <w:color w:val="111111"/>
          <w:sz w:val="28"/>
          <w:szCs w:val="28"/>
          <w:rtl/>
        </w:rPr>
        <w:t xml:space="preserve">جنگی مختصر در حکایات و اشعار عربی که از شعرای مختلف جمع آوری شده است، اشعار این شعرا آمده است: کمال الدین على بن محمد مبارک (ابن العمى)، ابونواس (در قضیه هاورن و جاریه اش)، ابن ابی الحدید ،شافعی ابوبکر خوارزمی، یاقوت خطاط، خدیجه (سلام الله علیها) عایشه ،محمود رزاق، ابوالشجاع محمد بن حسین بن محمد بن ابراهیم (ظهیر الدین)، ابو عمرو احمد بن محمد بن عبدربه قرطبی، ابراهیم ادهم، عمارة بن على بن زيدان تمیمی، عبیدالله بن عبدالله، ابوبکر بن ابی  قحافه، ابواسحاق خفاجی ،اصعمی، ابراهیم بن منصور بن مسلم فقیه شافعی ابو تمام، متنبي، يحيى بن خالد برمکی؛ خط: نسخ، بی کا، تا: قرن ۱۱، ۱۶گ، ۱۰ 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مخ: ۲ - ۵۹۸]</w:t>
      </w:r>
    </w:p>
    <w:p>
      <w:pPr>
        <w:pStyle w:val="BookText"/>
      </w:pPr>
      <w:r>
        <w:rPr>
          <w:rFonts w:ascii="IRNazanin" w:hAnsi="IRNazanin" w:eastAsia="IRNazanin" w:cs="IRNazanin"/>
          <w:lang w:bidi="fa-IR"/>
          <w:color w:val="111111"/>
          <w:sz w:val="28"/>
          <w:szCs w:val="28"/>
          <w:rtl/>
        </w:rPr>
        <w:t xml:space="preserve">۶۱. قم؛ مرعشی؛ شماره نسخه: ۱۱۸۲/۵۵</w:t>
      </w:r>
    </w:p>
    <w:p>
      <w:pPr>
        <w:pStyle w:val="BookText"/>
      </w:pPr>
      <w:r>
        <w:rPr>
          <w:rFonts w:ascii="IRNazanin" w:hAnsi="IRNazanin" w:eastAsia="IRNazanin" w:cs="IRNazanin"/>
          <w:lang w:bidi="fa-IR"/>
          <w:color w:val="111111"/>
          <w:sz w:val="28"/>
          <w:szCs w:val="28"/>
          <w:rtl/>
        </w:rPr>
        <w:t xml:space="preserve">نسخه اصل: فرهنگستان علوم  آذربایجان، باكو ش (۸۲۰۱) </w:t>
      </w:r>
      <w:r>
        <w:rPr>
          <w:rFonts w:ascii="Times New Roman" w:hAnsi="Times New Roman" w:eastAsia="Times New Roman" w:cs="Times New Roman"/>
          <w:lang w:val="en-US" w:bidi="en-US"/>
          <w:color w:val="111111"/>
          <w:sz w:val="28"/>
          <w:szCs w:val="28"/>
          <w:rtl/>
        </w:rPr>
        <w:t xml:space="preserve">M </w:t>
      </w:r>
      <w:r>
        <w:rPr>
          <w:rFonts w:ascii="IRNazanin" w:hAnsi="IRNazanin" w:eastAsia="IRNazanin" w:cs="IRNazanin"/>
          <w:lang w:bidi="fa-IR"/>
          <w:color w:val="111111"/>
          <w:sz w:val="28"/>
          <w:szCs w:val="28"/>
          <w:rtl/>
        </w:rPr>
        <w:t xml:space="preserve">۱۴۰ چند بیت عربی است از جمله ابیاتی با این آغاز:«اذا كنت فى نعمة فارعها *** فان المعاصى تزيل النعم» و قصیده ای از القصائد الهاشميات کمیت بن زید اسدی  کوفی، بدین مطلع: «اهوى علياً أمير المؤمنين ولا *** ارضى بسب ابی بکر و لاعمرا»، ابیاتی از ابی الفارس و چند بیت دیگر با این آغاز: «الروح من نور الله مبدؤها </w:t>
      </w:r>
      <w:r>
        <w:rPr>
          <w:rFonts w:ascii="IRNazanin" w:hAnsi="IRNazanin" w:eastAsia="IRNazanin" w:cs="IRNazanin"/>
          <w:lang w:bidi="fa-IR"/>
          <w:color w:val="111111"/>
          <w:sz w:val="28"/>
          <w:szCs w:val="28"/>
          <w:b w:val="1"/>
          <w:bCs w:val="1"/>
          <w:i w:val="1"/>
          <w:iCs w:val="1"/>
          <w:rtl/>
        </w:rPr>
        <w:t xml:space="preserve">قد الف الملك الجبار بينهما دو بیت از شيخ ابو على: «اذا ما شئت ارغام الاعادى *** بلاسيف قتل و لا سنان / فزد فى مكرماتك فهی اعدى</w:t>
      </w:r>
      <w:r>
        <w:rPr>
          <w:rFonts w:ascii="IRNazanin" w:hAnsi="IRNazanin" w:eastAsia="IRNazanin" w:cs="IRNazanin"/>
          <w:lang w:bidi="fa-IR"/>
          <w:color w:val="111111"/>
          <w:sz w:val="28"/>
          <w:szCs w:val="28"/>
          <w:rtl/>
        </w:rPr>
        <w:t xml:space="preserve"> على الاعداء من نوب الزمان»، دو بيت منسوب به امیرالمؤمنین (علیه السّلام): «مقامات الغريب بكل ارض *** كبنيان القصور على الثلوج / فذاب الثلج و انهدم البنايا *** و قد عزم الغريب على الخروج»؛ ؛ خط: نستعلیق چلیپا، بی کا، تا: قرن ۱۱، اص (۱۶۷) [عکسی :ف ۳ - ۴۲۵]</w:t>
      </w:r>
    </w:p>
    <w:p>
      <w:pPr>
        <w:pStyle w:val="BookText"/>
      </w:pPr>
      <w:r>
        <w:rPr>
          <w:rFonts w:ascii="IRNazanin" w:hAnsi="IRNazanin" w:eastAsia="IRNazanin" w:cs="IRNazanin"/>
          <w:lang w:bidi="fa-IR"/>
          <w:color w:val="111111"/>
          <w:sz w:val="28"/>
          <w:szCs w:val="28"/>
          <w:rtl/>
        </w:rPr>
        <w:t xml:space="preserve">۶۲. تهران؛ مجلس؛ شماره نسخه: ۴۸۴۸/۱</w:t>
      </w:r>
    </w:p>
    <w:p>
      <w:pPr>
        <w:pStyle w:val="BookText"/>
      </w:pPr>
      <w:r>
        <w:rPr>
          <w:rFonts w:ascii="IRNazanin" w:hAnsi="IRNazanin" w:eastAsia="IRNazanin" w:cs="IRNazanin"/>
          <w:lang w:bidi="fa-IR"/>
          <w:color w:val="111111"/>
          <w:sz w:val="28"/>
          <w:szCs w:val="28"/>
          <w:rtl/>
        </w:rPr>
        <w:t xml:space="preserve">شعرهایی به عربی از: کاتب مجموعه، ابن نقاده الصفدي، قصيده شیخ محمد عودی در ستایش زین الدین الشهيد الخفاجي،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القادر القرشي، الشهاب الحجازى، ابن الوردی، شریف رضـی .</w:t>
      </w:r>
    </w:p>
    <w:p>
      <w:pPr>
        <w:pStyle w:val="BookText"/>
      </w:pPr>
      <w:r>
        <w:rPr>
          <w:rFonts w:ascii="IRNazanin" w:hAnsi="IRNazanin" w:eastAsia="IRNazanin" w:cs="IRNazanin"/>
          <w:lang w:bidi="fa-IR"/>
          <w:color w:val="111111"/>
          <w:sz w:val="28"/>
          <w:szCs w:val="28"/>
          <w:rtl/>
        </w:rPr>
        <w:t xml:space="preserve">بی کا، تا: قرن ۱۱؛ کاغذ: سمرقندی ،جلد: تیماج مشکـی ،اندازه: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 ف : ۱۳ - ۲۷۸]</w:t>
      </w:r>
    </w:p>
    <w:p>
      <w:pPr>
        <w:pStyle w:val="BookText"/>
      </w:pPr>
      <w:r>
        <w:rPr>
          <w:rFonts w:ascii="IRNazanin" w:hAnsi="IRNazanin" w:eastAsia="IRNazanin" w:cs="IRNazanin"/>
          <w:lang w:bidi="fa-IR"/>
          <w:color w:val="111111"/>
          <w:sz w:val="28"/>
          <w:szCs w:val="28"/>
          <w:rtl/>
        </w:rPr>
        <w:t xml:space="preserve">۶۳. تهران؛ مجلس؛ شماره نسخه: ۱۶۳ط</w:t>
      </w:r>
    </w:p>
    <w:p>
      <w:pPr>
        <w:pStyle w:val="BookText"/>
      </w:pPr>
      <w:r>
        <w:rPr>
          <w:rFonts w:ascii="IRNazanin" w:hAnsi="IRNazanin" w:eastAsia="IRNazanin" w:cs="IRNazanin"/>
          <w:lang w:bidi="fa-IR"/>
          <w:color w:val="111111"/>
          <w:sz w:val="28"/>
          <w:szCs w:val="28"/>
          <w:rtl/>
        </w:rPr>
        <w:t xml:space="preserve">از سلمى بنت مجدعه الجهنيه قصیده در رثای برادرش اسعد؛ خـط: نستعلیق، بی کا ،تا: قرن ۱۱؛ ۱گ، ۲۵ در مجموعه [ ف : ۲۲ - ۵۳ ]</w:t>
      </w:r>
    </w:p>
    <w:p>
      <w:pPr>
        <w:pStyle w:val="BookText"/>
      </w:pPr>
      <w:r>
        <w:rPr>
          <w:rFonts w:ascii="IRNazanin" w:hAnsi="IRNazanin" w:eastAsia="IRNazanin" w:cs="IRNazanin"/>
          <w:lang w:bidi="fa-IR"/>
          <w:color w:val="111111"/>
          <w:sz w:val="28"/>
          <w:szCs w:val="28"/>
          <w:rtl/>
        </w:rPr>
        <w:t xml:space="preserve">۶۴. تهران؛ مجلس؛ شماره نسخه: ۸۰۹۶/۲</w:t>
      </w:r>
    </w:p>
    <w:p>
      <w:pPr>
        <w:pStyle w:val="BookText"/>
      </w:pPr>
      <w:r>
        <w:rPr>
          <w:rFonts w:ascii="IRNazanin" w:hAnsi="IRNazanin" w:eastAsia="IRNazanin" w:cs="IRNazanin"/>
          <w:lang w:bidi="fa-IR"/>
          <w:color w:val="111111"/>
          <w:sz w:val="28"/>
          <w:szCs w:val="28"/>
          <w:rtl/>
        </w:rPr>
        <w:t xml:space="preserve">تعدادی شعر متفرقه به این شرح: یا بدر دين بالمعالم عارفا ***یا غصن تفسير فدیتک و ارفا (۱۳ بیت)،قال الشيخ الفاضل احـمد اشبلى الشاهينى يهجو خطيب الجامع الأموى الشيخ احمد البهنسی و قد سجد فى صلوة العيد من غير ركوع فاكثر الناس الكلام فی ذلك: «انما البهنسی احمد خطب ***لا خطيب و لا عظيم بقدر» (۴۱ بیت)، تضمین شعر «يا من يرى ما في الضمير و يسمع» به این سر آغاز: «لما اتى ركب البلايا يسرع *** في مهمة الافات عـدوا يرتع / يا من يرى ما فى الظمير و يسمع *** انت المعد لكل ما يتوقع ... نجع السجوع لقلبي المسكين *** و آباده نجعا بلا تسكين (۱۴ بیت) با تاریخ سنه ۱۰۲۰» پایان آن «ابعد النتاءی راحـه و جمام *** و هل بعد حب سلواه و فطام» (۸ بيت، ناقص الآخـر)، خط: نسخ عربی، كا: عبدالعزيز بن حسن حانینی  عاملی، تا: قـرن ۱۱؛ رکابه دار، مصحح ؛جلد: مقوایی با روکش تیماج زرشکی دارای جدول سه خطی ساده در اطراف، ۲گ (83پ-۸۵پ)،  21سطر ،اندازه: ۱۳/۲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۲۷/۱ - ۱۷۶]</w:t>
      </w:r>
    </w:p>
    <w:p>
      <w:pPr>
        <w:pStyle w:val="BookText"/>
      </w:pPr>
      <w:r>
        <w:rPr>
          <w:rFonts w:ascii="IRNazanin" w:hAnsi="IRNazanin" w:eastAsia="IRNazanin" w:cs="IRNazanin"/>
          <w:lang w:bidi="fa-IR"/>
          <w:color w:val="111111"/>
          <w:sz w:val="28"/>
          <w:szCs w:val="28"/>
          <w:rtl/>
        </w:rPr>
        <w:t xml:space="preserve">۶۵ .تهران؛ مجلس؛ شماره نسخه: ۴۲۶/۶ کر</w:t>
      </w:r>
    </w:p>
    <w:p>
      <w:pPr>
        <w:pStyle w:val="BookText"/>
      </w:pPr>
      <w:r>
        <w:rPr>
          <w:rFonts w:ascii="IRNazanin" w:hAnsi="IRNazanin" w:eastAsia="IRNazanin" w:cs="IRNazanin"/>
          <w:lang w:bidi="fa-IR"/>
          <w:color w:val="111111"/>
          <w:sz w:val="28"/>
          <w:szCs w:val="28"/>
          <w:rtl/>
        </w:rPr>
        <w:t xml:space="preserve">آغاز: و كم الله من لطف خفى *** يدق خفاه عن فهم الزكي/ كم عسر أعاد الله يسراً *** و كم هم تنالون صباحاً ؛انجام: بـک أستغيث أغثنى فالوسيلة لى *** أليك من قد دنى من قاب قوسين.</w:t>
      </w:r>
    </w:p>
    <w:p>
      <w:pPr>
        <w:pStyle w:val="BookText"/>
      </w:pPr>
      <w:r>
        <w:rPr>
          <w:rFonts w:ascii="IRNazanin" w:hAnsi="IRNazanin" w:eastAsia="IRNazanin" w:cs="IRNazanin"/>
          <w:lang w:bidi="fa-IR"/>
          <w:color w:val="111111"/>
          <w:sz w:val="28"/>
          <w:szCs w:val="28"/>
          <w:rtl/>
        </w:rPr>
        <w:t xml:space="preserve">قصیدهای در ۱۱ بیت است که در تحمید باری تعالی سروده شـده است. از این اثر نسخه ای در کتابخانه ابن یوسف در مراکش- مغرب موجود است؛ خط: نسخ  ترکی، بی کا، تا: قرن ۱۱؛ روی برگ ۸۳ر چند بیتی درباره ابو حنیفه آمده؛ کاغذ: فرنگی نخودی ضخیم، اگ (۸۳ر- ۸۳پ)، ۱۱ سطر [ف: ۴۰/۲ - ۹۶]</w:t>
      </w:r>
    </w:p>
    <w:p>
      <w:pPr>
        <w:pStyle w:val="BookText"/>
      </w:pPr>
      <w:r>
        <w:rPr>
          <w:rFonts w:ascii="IRNazanin" w:hAnsi="IRNazanin" w:eastAsia="IRNazanin" w:cs="IRNazanin"/>
          <w:lang w:bidi="fa-IR"/>
          <w:color w:val="111111"/>
          <w:sz w:val="28"/>
          <w:szCs w:val="28"/>
          <w:rtl/>
        </w:rPr>
        <w:t xml:space="preserve">۶۶. تهران؛ ملک؛ شماره نسخه: ۳۹۹۵/۲</w:t>
      </w:r>
    </w:p>
    <w:p>
      <w:pPr>
        <w:pStyle w:val="BookText"/>
      </w:pPr>
      <w:r>
        <w:rPr>
          <w:rFonts w:ascii="IRNazanin" w:hAnsi="IRNazanin" w:eastAsia="IRNazanin" w:cs="IRNazanin"/>
          <w:lang w:bidi="fa-IR"/>
          <w:color w:val="111111"/>
          <w:sz w:val="28"/>
          <w:szCs w:val="28"/>
          <w:rtl/>
        </w:rPr>
        <w:t xml:space="preserve">آغاز: حقیقتی همت لها و ما رأها بصری؛ انجام: فان مبنی  کلفی بحبها عن خبر.</w:t>
      </w:r>
    </w:p>
    <w:p>
      <w:pPr>
        <w:pStyle w:val="BookText"/>
      </w:pPr>
      <w:r>
        <w:rPr>
          <w:rFonts w:ascii="IRNazanin" w:hAnsi="IRNazanin" w:eastAsia="IRNazanin" w:cs="IRNazanin"/>
          <w:lang w:bidi="fa-IR"/>
          <w:color w:val="111111"/>
          <w:sz w:val="28"/>
          <w:szCs w:val="28"/>
          <w:rtl/>
        </w:rPr>
        <w:t xml:space="preserve">القصيدة؛ خط: نسخ، بی کا، تا: با تاریخ ۱۰۱۳ق، ۱گ (۸۵) [ف: 7- 136]</w:t>
      </w:r>
    </w:p>
    <w:p>
      <w:pPr>
        <w:pStyle w:val="BookText"/>
      </w:pPr>
      <w:r>
        <w:rPr>
          <w:rFonts w:ascii="IRNazanin" w:hAnsi="IRNazanin" w:eastAsia="IRNazanin" w:cs="IRNazanin"/>
          <w:lang w:bidi="fa-IR"/>
          <w:color w:val="111111"/>
          <w:sz w:val="28"/>
          <w:szCs w:val="28"/>
          <w:rtl/>
        </w:rPr>
        <w:t xml:space="preserve">۶۷. تهران؛ دانشگاه؛ شماره نسخه: ۵۸۱-ف</w:t>
      </w:r>
    </w:p>
    <w:p>
      <w:pPr>
        <w:pStyle w:val="BookText"/>
      </w:pPr>
      <w:r>
        <w:rPr>
          <w:rFonts w:ascii="IRNazanin" w:hAnsi="IRNazanin" w:eastAsia="IRNazanin" w:cs="IRNazanin"/>
          <w:lang w:bidi="fa-IR"/>
          <w:color w:val="111111"/>
          <w:sz w:val="28"/>
          <w:szCs w:val="28"/>
          <w:rtl/>
        </w:rPr>
        <w:t xml:space="preserve">نسخه اصل: حفید افندی ش ۴۷۵. شعرهای ابو محجن بن حبیب (۱۸-۱ )،و علقمة بن عبدة (۱۹-۴۴)، شاس بن عبدة( ۴۵-46) ، خالد بن علقمة و عبد الرحمن بن على بن علقمة (44- 45- 66- 49) با شرح این شعرها؛ خط: نسخ، بی کا، تا: ۲۳ رجب ۱۰۱۴ق؛ ۵۲گ، ۱۴ سطر [ فیلمها: ۱ - ۵۰۵]</w:t>
      </w:r>
    </w:p>
    <w:p>
      <w:pPr>
        <w:pStyle w:val="BookText"/>
      </w:pPr>
      <w:r>
        <w:rPr>
          <w:rFonts w:ascii="IRNazanin" w:hAnsi="IRNazanin" w:eastAsia="IRNazanin" w:cs="IRNazanin"/>
          <w:lang w:bidi="fa-IR"/>
          <w:color w:val="111111"/>
          <w:sz w:val="28"/>
          <w:szCs w:val="28"/>
          <w:rtl/>
        </w:rPr>
        <w:t xml:space="preserve">۶۸. قم؛ مرکز احیاء؛ شماره نسخه: ۷۲۱/۱۳</w:t>
      </w:r>
    </w:p>
    <w:p>
      <w:pPr>
        <w:pStyle w:val="BookText"/>
      </w:pPr>
      <w:r>
        <w:rPr>
          <w:rFonts w:ascii="IRNazanin" w:hAnsi="IRNazanin" w:eastAsia="IRNazanin" w:cs="IRNazanin"/>
          <w:lang w:bidi="fa-IR"/>
          <w:color w:val="111111"/>
          <w:sz w:val="28"/>
          <w:szCs w:val="28"/>
          <w:rtl/>
        </w:rPr>
        <w:t xml:space="preserve">آغاز: زرناک فی سرد الحديد و فى القنا *** و المشرفية و الجياد الشرب</w:t>
      </w:r>
    </w:p>
    <w:p>
      <w:pPr>
        <w:pStyle w:val="BookText"/>
      </w:pPr>
      <w:r>
        <w:rPr>
          <w:rFonts w:ascii="IRNazanin" w:hAnsi="IRNazanin" w:eastAsia="IRNazanin" w:cs="IRNazanin"/>
          <w:lang w:bidi="fa-IR"/>
          <w:color w:val="111111"/>
          <w:sz w:val="28"/>
          <w:szCs w:val="28"/>
          <w:rtl/>
        </w:rPr>
        <w:t xml:space="preserve">نسخه اصل: کتابخانه واتيكان- رم ۱۱۳۱. مشتمل بر اشعاری بدین تفصیل: اشعاری از امام شرف الدين يحيى بن شمس الدین ابن امیرالمؤمنین در زمانی که بعد صعده برای زیارت جدش امام هادى يحيى بن حسین رفته  است،این اشعار را بر بالای قبه اش نقش کرده اند، اشعاری از محمد بن ادریس شافعی در مدح اهل بیت (علیهم السّلام) ، قصیده ای دالیه که علوی بصره روز جمعه در حال خطبه خواندن آنها را سروده، اشعاری در مناجات بنده با پروردگارش  ،تاریخی مختصر از سال ۹۶۱ تا ۱۰۳۰ در بیان وقایعی که در آن سال ها اتفاق افتاده، قصیده ای تائیه از صائم الدهر در اسیری امام حسن بن علی (علیه السّلام) و اسیران دیگر در ۲۲ بیت؛ کا: عبدالمغیث بن عزالدین بن هادی مسوری حمیری ملقب به توهمی، تا: با تاریخ ۱۰۲۸ق، ۵گ (۱۷۶-۱۸۱) [ عکسی ف: ۲ - ۳۸۸]</w:t>
      </w:r>
    </w:p>
    <w:p>
      <w:pPr>
        <w:pStyle w:val="BookText"/>
      </w:pPr>
      <w:r>
        <w:rPr>
          <w:rFonts w:ascii="IRNazanin" w:hAnsi="IRNazanin" w:eastAsia="IRNazanin" w:cs="IRNazanin"/>
          <w:lang w:bidi="fa-IR"/>
          <w:color w:val="111111"/>
          <w:sz w:val="28"/>
          <w:szCs w:val="28"/>
          <w:rtl/>
        </w:rPr>
        <w:t xml:space="preserve">۶۹. مشهد؛ شیخ علی حیدر؛ شماره نسخه: ۱۴/۱</w:t>
      </w:r>
    </w:p>
    <w:p>
      <w:pPr>
        <w:pStyle w:val="BookText"/>
      </w:pPr>
      <w:r>
        <w:rPr>
          <w:rFonts w:ascii="IRNazanin" w:hAnsi="IRNazanin" w:eastAsia="IRNazanin" w:cs="IRNazanin"/>
          <w:lang w:bidi="fa-IR"/>
          <w:color w:val="111111"/>
          <w:sz w:val="28"/>
          <w:szCs w:val="28"/>
          <w:rtl/>
        </w:rPr>
        <w:t xml:space="preserve">آغاز: أقلق من رزق لاش و الخلاق يرزقني *** أنا مالي فياس و حابس عليا منی؛ انجام: و استر جملة اغشاش و الاخرى سامحنى *** أنا مالى فياش وايش عليا منى</w:t>
      </w:r>
    </w:p>
    <w:p>
      <w:pPr>
        <w:pStyle w:val="BookText"/>
      </w:pPr>
      <w:r>
        <w:rPr>
          <w:rFonts w:ascii="IRNazanin" w:hAnsi="IRNazanin" w:eastAsia="IRNazanin" w:cs="IRNazanin"/>
          <w:lang w:bidi="fa-IR"/>
          <w:color w:val="111111"/>
          <w:sz w:val="28"/>
          <w:szCs w:val="28"/>
          <w:rtl/>
        </w:rPr>
        <w:t xml:space="preserve">قصيدة على لسان البهلول فيها مواعظ و نصائح؛ خط: نسخ، بی کا، تا: پنج شنبه ۸ جمادی الاول ۱۰۳۴ق، جلد: عادی، ۳گ (۱پ- ۳پ)، ۲۳ سطر، اندازه: ۱۴/۵</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۲۰/۵سم [مؤيد: ۱ - ۵۱]</w:t>
      </w:r>
    </w:p>
    <w:p>
      <w:pPr>
        <w:pStyle w:val="BookText"/>
      </w:pPr>
      <w:r>
        <w:rPr>
          <w:rFonts w:ascii="IRNazanin" w:hAnsi="IRNazanin" w:eastAsia="IRNazanin" w:cs="IRNazanin"/>
          <w:lang w:bidi="fa-IR"/>
          <w:color w:val="111111"/>
          <w:sz w:val="28"/>
          <w:szCs w:val="28"/>
          <w:rtl/>
        </w:rPr>
        <w:t xml:space="preserve">۷۰. تهران؛ ملک؛ شماره نسخه: ۵۱۰/۲</w:t>
      </w:r>
    </w:p>
    <w:p>
      <w:pPr>
        <w:pStyle w:val="BookText"/>
      </w:pPr>
      <w:r>
        <w:rPr>
          <w:rFonts w:ascii="Amiri" w:hAnsi="Amiri" w:eastAsia="Amiri" w:cs="Amiri"/>
          <w:lang w:bidi="ar-SA"/>
          <w:color w:val="111111"/>
          <w:sz w:val="28"/>
          <w:szCs w:val="28"/>
          <w:rtl/>
        </w:rPr>
        <w:t xml:space="preserve">آغاز: بسمله هذه الابيات انتخبتهن من ابواب شتى من ابواب النحو.</w:t>
      </w:r>
    </w:p>
    <w:p>
      <w:pPr>
        <w:pStyle w:val="BookText"/>
      </w:pPr>
      <w:r>
        <w:rPr>
          <w:rFonts w:ascii="IRNazanin" w:hAnsi="IRNazanin" w:eastAsia="IRNazanin" w:cs="IRNazanin"/>
          <w:lang w:bidi="fa-IR"/>
          <w:color w:val="111111"/>
          <w:sz w:val="28"/>
          <w:szCs w:val="28"/>
          <w:rtl/>
        </w:rPr>
        <w:t xml:space="preserve">اعباسا مررت به نهارا ***ام الضحاك راس بنی تمیم. معناه ارایت عباسا مررت به او تضمر القيت ولا تضمر مررت؛ انجام: بمعنی غير لنصبته لانه مستثنى بعد كلام تام موجب</w:t>
      </w:r>
    </w:p>
    <w:p>
      <w:pPr>
        <w:pStyle w:val="BookText"/>
      </w:pPr>
      <w:r>
        <w:rPr>
          <w:rFonts w:ascii="IRNazanin" w:hAnsi="IRNazanin" w:eastAsia="IRNazanin" w:cs="IRNazanin"/>
          <w:lang w:bidi="fa-IR"/>
          <w:color w:val="111111"/>
          <w:sz w:val="28"/>
          <w:szCs w:val="28"/>
          <w:rtl/>
        </w:rPr>
        <w:t xml:space="preserve">در اشعار عربی شعرای بنام عرب از رهگذر نحو بحث شده است؛ خط: نسخ، کا: مبارک بنخمیس بن راشد بن جمعة بن رجب بن ثاني بن محمد بن عبدالله، تا: یک شنبه ۱۹ رجب ۱۰۳۷ق؛ در برگ ۶۷ یادداشتی در شناختن اسم انسان به حساب ابجد صغیر و در ۸۶ فائده ای نحوی دیده می شود ؛کاغذ: ترمه بخارائی بدون آهار ،جلد: میشن ضربی قهوه ای، ۱۰ ص( ۱۱۷-۱۲۷)، اندازه: ۱۴/۹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۱۹/۵سم [ف: ۵ - ۵۰]</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تهران؛ مجلس؛ شماره نسخه: ۹۵۰۰/۶</w:t>
      </w:r>
    </w:p>
    <w:p>
      <w:pPr>
        <w:pStyle w:val="BookText"/>
      </w:pPr>
      <w:r>
        <w:rPr>
          <w:rFonts w:ascii="IRNazanin" w:hAnsi="IRNazanin" w:eastAsia="IRNazanin" w:cs="IRNazanin"/>
          <w:lang w:bidi="fa-IR"/>
          <w:color w:val="111111"/>
          <w:sz w:val="28"/>
          <w:szCs w:val="28"/>
          <w:rtl/>
        </w:rPr>
        <w:t xml:space="preserve">اشعار منسوب به امام سجاد؛ خط: نسخ، كا: فضل الله بن مسعود، تا: ۱۰۴۷ق، جلد: تیماج قهوه ای، ۱ ص (۸پ) ۲۱ سطر [ف: ۳۰-۱۷۱]</w:t>
      </w:r>
    </w:p>
    <w:p>
      <w:pPr>
        <w:pStyle w:val="BookText"/>
      </w:pPr>
      <w:r>
        <w:rPr>
          <w:rFonts w:ascii="IRNazanin" w:hAnsi="IRNazanin" w:eastAsia="IRNazanin" w:cs="IRNazanin"/>
          <w:lang w:bidi="fa-IR"/>
          <w:color w:val="111111"/>
          <w:sz w:val="28"/>
          <w:szCs w:val="28"/>
          <w:rtl/>
        </w:rPr>
        <w:t xml:space="preserve">۷۲. قم؛ مرعشی؛ شماره نسخه: ۱۱۲۱۵/۳</w:t>
      </w:r>
    </w:p>
    <w:p>
      <w:pPr>
        <w:pStyle w:val="BookText"/>
      </w:pPr>
      <w:r>
        <w:rPr>
          <w:rFonts w:ascii="IRNazanin" w:hAnsi="IRNazanin" w:eastAsia="IRNazanin" w:cs="IRNazanin"/>
          <w:lang w:bidi="fa-IR"/>
          <w:color w:val="111111"/>
          <w:sz w:val="28"/>
          <w:szCs w:val="28"/>
          <w:rtl/>
        </w:rPr>
        <w:t xml:space="preserve">آغاز: شاء من النفس رابع هامل *** يعللون النفوس بالباطل؛ انجام: کانك بالاضلاع قد ضاق رحبها *** لما ضمنت من شدة الزفرات این کتاب دربرگیرنده قصاید و اشعاری از شاعران گوناگون همچون: دعبل منصور بن سلمة نمری، ابو الفتح بن حسين دیلمی، علی بن محمد علوی عباسی، ابن عباس، ابن ابی زیاد ،سغدی ابو غالب بن عثمان همدانی، یحیى بن محمد يشكرى،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بن ابراهيم علوی، محمد بن علی انصارى، الهيثم بن عبدالله خثعمي، اشجع بن عمر سلمى و ... که نوعا در مصیبت های اهل بیت می باشد؛ خط: نسخ، کا: علی بن محمد بن عامر بن علی، تا: دوشنبه ۲۵ محرم ۱۰۵۵ق؛ مصحح، محشی؛ کاغذ: فرنگی ۷۳گ (۱۴۴-۷۲)، ۱۳ سطر، اندازه: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۱۸/۵سم [ف: ۲۸ - ۳۰۹]</w:t>
      </w:r>
    </w:p>
    <w:p>
      <w:pPr>
        <w:pStyle w:val="BookText"/>
      </w:pPr>
      <w:r>
        <w:rPr>
          <w:rFonts w:ascii="IRNazanin" w:hAnsi="IRNazanin" w:eastAsia="IRNazanin" w:cs="IRNazanin"/>
          <w:lang w:bidi="fa-IR"/>
          <w:color w:val="111111"/>
          <w:sz w:val="28"/>
          <w:szCs w:val="28"/>
          <w:rtl/>
        </w:rPr>
        <w:t xml:space="preserve">۷۳. قم؛ مرکز احیاء؛ شماره نسخه: ۱۰۷۴/۱</w:t>
      </w:r>
    </w:p>
    <w:p>
      <w:pPr>
        <w:pStyle w:val="BookText"/>
      </w:pPr>
      <w:r>
        <w:rPr>
          <w:rFonts w:ascii="IRNazanin" w:hAnsi="IRNazanin" w:eastAsia="IRNazanin" w:cs="IRNazanin"/>
          <w:lang w:bidi="fa-IR"/>
          <w:color w:val="111111"/>
          <w:sz w:val="28"/>
          <w:szCs w:val="28"/>
          <w:rtl/>
        </w:rPr>
        <w:t xml:space="preserve">نسخه اصل: کتابخانه شیخ محمود مهدوی قزوینی - قزوین.</w:t>
      </w:r>
    </w:p>
    <w:p>
      <w:pPr>
        <w:pStyle w:val="BookText"/>
      </w:pPr>
      <w:r>
        <w:rPr>
          <w:rFonts w:ascii="IRNazanin" w:hAnsi="IRNazanin" w:eastAsia="IRNazanin" w:cs="IRNazanin"/>
          <w:lang w:bidi="fa-IR"/>
          <w:color w:val="111111"/>
          <w:sz w:val="28"/>
          <w:szCs w:val="28"/>
          <w:rtl/>
        </w:rPr>
        <w:t xml:space="preserve">قصایدی است متفرقه در مدح پیامبر اکرم (صلّی اللَّهِ علیه وَ آلِهِ وَ سَلَّمَ ) ، قصیده اول دور حجره مبارک آن جناب نوشته شده در ۱۵ بیت با این مطلع: «یا سیدی یا رسول الله خذ بیدی*** مالی سواك و لاالوى الى احـد»، قصیده دوم که در اجابت دعا مفید است در ۱۶ بیت آغازش چـنین است: «صرفت الی رب الانام مطالبی*** و وجهت وجهی نحوه و مآرب»، قصیده سوم در ۲۲ بیت بدين مطلع: «ما للمساكين مثلی مكثر الزلل *** الا شفاعة خير الخلق و الرسل»، قصیده بعد در 34 بیت بدین سر آغاز: «خبت نار نفسی باشتعال مفارقی *** واظلم عيشى اذ اضاء شهابها» و آخرین قصیده در ۹۸ بیت بدین مطلع: «يا رسول الله انت المقصد *** انت للراجين نعم المسند»؛ خـط: نستعليق ،كا: محمد مدعو به هادی بن مولانا شاه مرتضی، تا: رمضان ۱۰۶۴ق، ۱۴ ص (۳-۱۶) [عکسی ف: ۳ - ۳۳۹]</w:t>
      </w:r>
    </w:p>
    <w:p>
      <w:pPr>
        <w:pStyle w:val="BookText"/>
      </w:pPr>
      <w:r>
        <w:rPr>
          <w:rFonts w:ascii="IRNazanin" w:hAnsi="IRNazanin" w:eastAsia="IRNazanin" w:cs="IRNazanin"/>
          <w:lang w:bidi="fa-IR"/>
          <w:color w:val="111111"/>
          <w:sz w:val="28"/>
          <w:szCs w:val="28"/>
          <w:rtl/>
        </w:rPr>
        <w:t xml:space="preserve">۷۴. مشهد؛ رضوی؛ شماره نسخه: ۱۱۷۲۲/۱</w:t>
      </w:r>
    </w:p>
    <w:p>
      <w:pPr>
        <w:pStyle w:val="BookText"/>
      </w:pPr>
      <w:r>
        <w:rPr>
          <w:rFonts w:ascii="Amiri" w:hAnsi="Amiri" w:eastAsia="Amiri" w:cs="Amiri"/>
          <w:lang w:bidi="ar-SA"/>
          <w:color w:val="111111"/>
          <w:sz w:val="28"/>
          <w:szCs w:val="28"/>
          <w:rtl/>
        </w:rPr>
        <w:t xml:space="preserve">آغاز: يقولون فيك انقباض و انمارء وا (كذا)</w:t>
      </w:r>
    </w:p>
    <w:p>
      <w:pPr>
        <w:pStyle w:val="BookText"/>
      </w:pPr>
      <w:r>
        <w:rPr>
          <w:rFonts w:ascii="IRNazanin" w:hAnsi="IRNazanin" w:eastAsia="IRNazanin" w:cs="IRNazanin"/>
          <w:lang w:bidi="fa-IR"/>
          <w:color w:val="111111"/>
          <w:sz w:val="28"/>
          <w:szCs w:val="28"/>
          <w:rtl/>
        </w:rPr>
        <w:t xml:space="preserve">قصیده میمیه ؛خط: نستعلیق خوش ،کا: محمد عارف بن محـمد صالح  غزنوی، تا: ۱۰۷۲ق؛ کاغذ: حنایی، جلد: تیماج عنابی ،اندازه: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۱۷/۵سم [ف : ۱۱ - ۳۱۴]</w:t>
      </w:r>
    </w:p>
    <w:p>
      <w:pPr>
        <w:pStyle w:val="BookText"/>
      </w:pPr>
      <w:r>
        <w:rPr>
          <w:rFonts w:ascii="IRNazanin" w:hAnsi="IRNazanin" w:eastAsia="IRNazanin" w:cs="IRNazanin"/>
          <w:lang w:bidi="fa-IR"/>
          <w:color w:val="111111"/>
          <w:sz w:val="28"/>
          <w:szCs w:val="28"/>
          <w:rtl/>
        </w:rPr>
        <w:t xml:space="preserve">۷۵. تهران؛ مجلس؛ شماره نسخه: ۸۹۰۴/۸۳</w:t>
      </w:r>
    </w:p>
    <w:p>
      <w:pPr>
        <w:pStyle w:val="BookText"/>
      </w:pPr>
      <w:r>
        <w:rPr>
          <w:rFonts w:ascii="IRNazanin" w:hAnsi="IRNazanin" w:eastAsia="IRNazanin" w:cs="IRNazanin"/>
          <w:lang w:bidi="fa-IR"/>
          <w:color w:val="111111"/>
          <w:sz w:val="28"/>
          <w:szCs w:val="28"/>
          <w:rtl/>
        </w:rPr>
        <w:t xml:space="preserve">شامل ابیاتی که علی بن صلاح الدین یوسف ملک شام برای ناصر الدین الله فرستاده بود و پاسخ خلیفه عباسی بدانها؛ خط: نـسخ و نستعلیق و تحریری، کا: علی بن ابراهیم مازندرانی، تا: با تاریخ ۱۰۷۵ق؛ کاغذ: نخودی نازک آهار مهره ،جلد: تیماج قهوه ای، مجدول، ۱ص ،(۶۵ پ) مختلف السطر، اندازه: 17/9</w:t>
      </w:r>
      <w:r>
        <w:rPr>
          <w:rFonts w:ascii="Times New Roman" w:hAnsi="Times New Roman" w:eastAsia="Times New Roman" w:cs="Times New Roman"/>
          <w:lang w:val="en-US" w:bidi="en-US"/>
          <w:color w:val="111111"/>
          <w:sz w:val="28"/>
          <w:szCs w:val="28"/>
          <w:rtl/>
        </w:rPr>
        <w:t xml:space="preserve">×25/3 </w:t>
      </w:r>
      <w:r>
        <w:rPr>
          <w:rFonts w:ascii="IRNazanin" w:hAnsi="IRNazanin" w:eastAsia="IRNazanin" w:cs="IRNazanin"/>
          <w:lang w:bidi="fa-IR"/>
          <w:color w:val="111111"/>
          <w:sz w:val="28"/>
          <w:szCs w:val="28"/>
          <w:rtl/>
        </w:rPr>
        <w:t xml:space="preserve">سم[ف: ۲۹/۱ - ۲۸۵]</w:t>
      </w:r>
    </w:p>
    <w:p>
      <w:pPr>
        <w:pStyle w:val="BookText"/>
      </w:pPr>
      <w:r>
        <w:rPr>
          <w:rFonts w:ascii="IRNazanin" w:hAnsi="IRNazanin" w:eastAsia="IRNazanin" w:cs="IRNazanin"/>
          <w:lang w:bidi="fa-IR"/>
          <w:color w:val="111111"/>
          <w:sz w:val="28"/>
          <w:szCs w:val="28"/>
          <w:rtl/>
        </w:rPr>
        <w:t xml:space="preserve">۷۶. تهران؛ مجلس؛ شماره نسخه: ۸۹۰۴/۸۴</w:t>
      </w:r>
    </w:p>
    <w:p>
      <w:pPr>
        <w:pStyle w:val="BookText"/>
      </w:pPr>
      <w:r>
        <w:rPr>
          <w:rFonts w:ascii="IRNazanin" w:hAnsi="IRNazanin" w:eastAsia="IRNazanin" w:cs="IRNazanin"/>
          <w:lang w:bidi="fa-IR"/>
          <w:color w:val="111111"/>
          <w:sz w:val="28"/>
          <w:szCs w:val="28"/>
          <w:rtl/>
        </w:rPr>
        <w:t xml:space="preserve">پنج بیت در مدح امیرالمؤمنین (علیه السّلام)؛ خط: نسخ و نستعلیق تحریری، کا: علی بن ابراهیم مازندرانی، تا: با تاریخ ۱۰۷۵ق؛ کاغذ: نخودی نازک آهار مهره ،جلد: تیماج،قهوه ای ،مجدول، ۱ص (66ر)، مختلف السطر، اندازه: 14/9</w:t>
      </w:r>
      <w:r>
        <w:rPr>
          <w:rFonts w:ascii="Times New Roman" w:hAnsi="Times New Roman" w:eastAsia="Times New Roman" w:cs="Times New Roman"/>
          <w:lang w:val="en-US" w:bidi="en-US"/>
          <w:color w:val="111111"/>
          <w:sz w:val="28"/>
          <w:szCs w:val="28"/>
          <w:rtl/>
        </w:rPr>
        <w:t xml:space="preserve">×25/3</w:t>
      </w:r>
      <w:r>
        <w:rPr>
          <w:rFonts w:ascii="IRNazanin" w:hAnsi="IRNazanin" w:eastAsia="IRNazanin" w:cs="IRNazanin"/>
          <w:lang w:bidi="fa-IR"/>
          <w:color w:val="111111"/>
          <w:sz w:val="28"/>
          <w:szCs w:val="28"/>
          <w:rtl/>
        </w:rPr>
        <w:t xml:space="preserve">سم [ ف: ۲۹/۱۸ - ۲۸۵ ]</w:t>
      </w:r>
    </w:p>
    <w:p>
      <w:pPr>
        <w:pStyle w:val="BookText"/>
      </w:pPr>
      <w:r>
        <w:rPr>
          <w:rFonts w:ascii="IRNazanin" w:hAnsi="IRNazanin" w:eastAsia="IRNazanin" w:cs="IRNazanin"/>
          <w:lang w:bidi="fa-IR"/>
          <w:color w:val="111111"/>
          <w:sz w:val="28"/>
          <w:szCs w:val="28"/>
          <w:rtl/>
        </w:rPr>
        <w:t xml:space="preserve">۷۷. تهران؛ مجلس؛ شماره نسخه: ۸۷۹/۲۷- طباطبائی</w:t>
      </w:r>
    </w:p>
    <w:p>
      <w:pPr>
        <w:pStyle w:val="BookText"/>
      </w:pPr>
      <w:r>
        <w:rPr>
          <w:rFonts w:ascii="IRNazanin" w:hAnsi="IRNazanin" w:eastAsia="IRNazanin" w:cs="IRNazanin"/>
          <w:lang w:bidi="fa-IR"/>
          <w:color w:val="111111"/>
          <w:sz w:val="28"/>
          <w:szCs w:val="28"/>
          <w:rtl/>
        </w:rPr>
        <w:t xml:space="preserve">آغاز: آغاز قصیده: دارثوی. بفؤاد سفه سقم. لمحنتى من .. وادعى الهم والكمد. با ضلعى. لهب تذكو حرارته. من الضنى. فی محل الروح من جسد. در ذیل قصیده این نوشته با قرمز دیده می شود: تمت فى المشهد الرضوى... سنه ۱۰۷۷ فی مدرسه پایین پا و هذه القصيده يلقب بالمحلقه و هي ۱۲ بيتا و تقرأ على اربعمائه ستين وجها طردا و عكسا ... و تتقيد قوافيها... سبعه احرف وهی  ت م وع د ه ن يجمعها تم وعدهن و الحمد لله رب العالمين قصيده محلقه است. صاحب جنگ در توضیح آن گوید: «قصیده ای است دارای ۱۲ بیت که به ۴۶۰ گونه طردا و عکسا  خوانده می شود»؛ کا: محمد بن میرزا محمد حسینی، تا: ۱۰۷۷ق؛ جا: مشهد الرضوی؛ کاغذ: اصفهانی رنگارنگ، جلد: تیماج عنابی دارای ترنج و نیم ترنج، ۱۱۲گ، قطع: رقعی،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۲۰/۲سم [ف: ۲۳ - ۱۷۴]</w:t>
      </w:r>
    </w:p>
    <w:p>
      <w:pPr>
        <w:pStyle w:val="BookText"/>
      </w:pPr>
      <w:r>
        <w:rPr>
          <w:rFonts w:ascii="IRNazanin" w:hAnsi="IRNazanin" w:eastAsia="IRNazanin" w:cs="IRNazanin"/>
          <w:lang w:bidi="fa-IR"/>
          <w:color w:val="111111"/>
          <w:sz w:val="28"/>
          <w:szCs w:val="28"/>
          <w:rtl/>
        </w:rPr>
        <w:t xml:space="preserve">۷۸. یزد جامع کبیر؛ شماره نسخه: ۱۵۴/۷</w:t>
      </w:r>
    </w:p>
    <w:p>
      <w:pPr>
        <w:pStyle w:val="BookText"/>
      </w:pPr>
      <w:r>
        <w:rPr>
          <w:rFonts w:ascii="IRNazanin" w:hAnsi="IRNazanin" w:eastAsia="IRNazanin" w:cs="IRNazanin"/>
          <w:lang w:bidi="fa-IR"/>
          <w:color w:val="111111"/>
          <w:sz w:val="28"/>
          <w:szCs w:val="28"/>
          <w:rtl/>
        </w:rPr>
        <w:t xml:space="preserve">خط: نسخ، کا: محمد باقر سبزواری، تا: ۱۰۸۳ق [نشریه: ۴ – ۴۰۰]</w:t>
      </w:r>
    </w:p>
    <w:p>
      <w:pPr>
        <w:pStyle w:val="BookText"/>
      </w:pPr>
      <w:r>
        <w:rPr>
          <w:rFonts w:ascii="IRNazanin" w:hAnsi="IRNazanin" w:eastAsia="IRNazanin" w:cs="IRNazanin"/>
          <w:lang w:bidi="fa-IR"/>
          <w:color w:val="111111"/>
          <w:sz w:val="28"/>
          <w:szCs w:val="28"/>
          <w:rtl/>
        </w:rPr>
        <w:t xml:space="preserve">۷۹. تهران؛ ملک؛ شماره نسخه: ۴۱۹۴/۲</w:t>
      </w:r>
    </w:p>
    <w:p>
      <w:pPr>
        <w:pStyle w:val="BookText"/>
      </w:pPr>
      <w:r>
        <w:rPr>
          <w:rFonts w:ascii="Amiri" w:hAnsi="Amiri" w:eastAsia="Amiri" w:cs="Amiri"/>
          <w:lang w:bidi="ar-SA"/>
          <w:color w:val="111111"/>
          <w:sz w:val="28"/>
          <w:szCs w:val="28"/>
          <w:rtl/>
        </w:rPr>
        <w:t xml:space="preserve">آغاز: ليست الدنيا مقاماً فيه روح و ارتياح ***انما سجن على اهليه غم لا يزاح؛ انجام: هم كرام قولهم بالصدق و الاخلاص لك *** ما انحرفنا فيد رمح لوطعنابالرماح</w:t>
      </w:r>
    </w:p>
    <w:p>
      <w:pPr>
        <w:pStyle w:val="BookText"/>
      </w:pPr>
      <w:r>
        <w:rPr>
          <w:rFonts w:ascii="IRNazanin" w:hAnsi="IRNazanin" w:eastAsia="IRNazanin" w:cs="IRNazanin"/>
          <w:lang w:bidi="fa-IR"/>
          <w:color w:val="111111"/>
          <w:sz w:val="28"/>
          <w:szCs w:val="28"/>
          <w:rtl/>
        </w:rPr>
        <w:t xml:space="preserve">قصیده ای است با قافیه حاء و همراه با شرح آن در بین سطور؛ بی کا، تا: با تاریخ ۱۰۸۸ق، افتادگی: انجام؛ کاغذ: نوعی ترمه، جلد: رویه میشن یک لا  یشمی، ۶گ (61ر-۶۶پ)، ۱۴ سطر، اندازه: ۱۰/۱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۱۶/۲سم [ف: ۷ - ۲۵۳]</w:t>
      </w:r>
    </w:p>
    <w:p>
      <w:pPr>
        <w:pStyle w:val="BookText"/>
      </w:pPr>
      <w:r>
        <w:rPr>
          <w:rFonts w:ascii="IRNazanin" w:hAnsi="IRNazanin" w:eastAsia="IRNazanin" w:cs="IRNazanin"/>
          <w:lang w:bidi="fa-IR"/>
          <w:color w:val="111111"/>
          <w:sz w:val="28"/>
          <w:szCs w:val="28"/>
          <w:rtl/>
        </w:rPr>
        <w:t xml:space="preserve">۸۰. مشهد؛ الهیات؛ شماره نسخه: ۲۱۶۹۷</w:t>
      </w:r>
    </w:p>
    <w:p>
      <w:pPr>
        <w:pStyle w:val="BookText"/>
      </w:pPr>
      <w:r>
        <w:rPr>
          <w:rFonts w:ascii="IRNazanin" w:hAnsi="IRNazanin" w:eastAsia="IRNazanin" w:cs="IRNazanin"/>
          <w:lang w:bidi="fa-IR"/>
          <w:color w:val="111111"/>
          <w:sz w:val="28"/>
          <w:szCs w:val="28"/>
          <w:rtl/>
        </w:rPr>
        <w:t xml:space="preserve">آغاز: بسمله قال جامع هذا لكتاب قد اختلف اهل العلم فى اسم ابی طالب عم النبي (صلى الله علیه و آله و سلم) الا ان الذي عليه الجمهور ان اسمه عبد مناف بن عبدالمطلب بن هاشم بن عبدمناف بن قصی بن... عدنان و مما يدل عليه انه مناف قول عبد المطلب... اوصیک یا عبد مناف بعدی *** بموجه بعد ابیه فرد؛ انجام: نجز شعر ابيطالب و الحمدلله رب العالمين</w:t>
      </w:r>
    </w:p>
    <w:p>
      <w:pPr>
        <w:pStyle w:val="BookText"/>
      </w:pPr>
      <w:r>
        <w:rPr>
          <w:rFonts w:ascii="IRNazanin" w:hAnsi="IRNazanin" w:eastAsia="IRNazanin" w:cs="IRNazanin"/>
          <w:lang w:bidi="fa-IR"/>
          <w:color w:val="111111"/>
          <w:sz w:val="28"/>
          <w:szCs w:val="28"/>
          <w:rtl/>
        </w:rPr>
        <w:t xml:space="preserve">در خصوص نام ابی  طالب، اسلام ابی طالب، اشعار او درباره ابی لهب، آنچه در شعب سروده است نقض صحیفه، در توصیه به نصر رسول اکرم آنچه به جعفر، زید، حارث گفته است، قصه عمارة بن وليد و دیگر اشعار او کتابی به این نام (شعر ابیطالب) جمع آوری ابوهفان، عبدالله بن احمد بن حرب بن مهزم بصرى نحوی ادیب شاعر معروف قرن دوم هجری هست که ممکن است همان باشد، بعد از چهار برگ از اول:«ذکر اسلام ابیطالب رضی الله عنه، حدثنا احمد بن ابراهیم»؛ خط: نسخ، بی کا، تا: پنج شنبه ۲۷ رمضان ۱۰۹۰ق؛ مهر: «ماشاء الله لا حول و لا قوة الا بالله العلى العظيم»؛ کاغذ: آهار مهره ،جلد: تیماج مشکی لایه ای، ۴۲گ، ۱۹ سطر (7</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  سم[ف: 2- 563]</w:t>
      </w:r>
    </w:p>
    <w:p>
      <w:pPr>
        <w:pStyle w:val="BookText"/>
      </w:pPr>
      <w:r>
        <w:rPr>
          <w:rFonts w:ascii="IRNazanin" w:hAnsi="IRNazanin" w:eastAsia="IRNazanin" w:cs="IRNazanin"/>
          <w:lang w:bidi="fa-IR"/>
          <w:color w:val="111111"/>
          <w:sz w:val="28"/>
          <w:szCs w:val="28"/>
          <w:rtl/>
        </w:rPr>
        <w:t xml:space="preserve">۸۱. قم؛ مرعشی؛ شماره نسخه: ۶۶۸۷/۵</w:t>
      </w:r>
    </w:p>
    <w:p>
      <w:pPr>
        <w:pStyle w:val="BookText"/>
      </w:pPr>
      <w:r>
        <w:rPr>
          <w:rFonts w:ascii="Amiri" w:hAnsi="Amiri" w:eastAsia="Amiri" w:cs="Amiri"/>
          <w:lang w:bidi="ar-SA"/>
          <w:color w:val="111111"/>
          <w:sz w:val="28"/>
          <w:szCs w:val="28"/>
          <w:rtl/>
        </w:rPr>
        <w:t xml:space="preserve">آغاز: قال زفر بن الحارث ... ألا أبلغا على الناي خالدا *** فما بك لوقارنت قومك من عتب؛ انجام: قوله قد عمم، اراد عم فضاعف</w:t>
      </w:r>
    </w:p>
    <w:p>
      <w:pPr>
        <w:pStyle w:val="BookText"/>
      </w:pPr>
      <w:r>
        <w:rPr>
          <w:rFonts w:ascii="IRNazanin" w:hAnsi="IRNazanin" w:eastAsia="IRNazanin" w:cs="IRNazanin"/>
          <w:lang w:bidi="fa-IR"/>
          <w:color w:val="111111"/>
          <w:sz w:val="28"/>
          <w:szCs w:val="28"/>
          <w:rtl/>
        </w:rPr>
        <w:t xml:space="preserve">در این مجموعه اشعار گروهی از بنی عمرو بن کلاب یکی از قبایل عرب گرد آورده شده که بدین نام ها می باشد: زفر بن معاذ، ابو الوليد، ابو المختار خویلد بن یزید، یزید بن عمر و بن الصعق، مدلج بن سمعان، ليلى بنت يزيد بن الصعق، برمة بن خفاف بن ربيعة، ربيعة الاشد، زرعة بن عمرو بن الصعق، عمر بن خويلد،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حنظلة بن عمرو بن الصعق؛ خط: نسخ معرب، بی کا، تا: ۱۰۹۱ق؛ از روی نسخه یا نسخه هایی که در کتابخانه حضرت امير المؤمـنین (علیه السّلام) در صحن نجف اشرف بوده است، مصحح، محشی؛ جلد: تیماج سبز ،۳۴گ (۱۱۴پ - ۱۴۸ر)، ۱۴ سطر، اندازه: ۵۱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  سم[ ف: ۱۷ - ۲۴۸]</w:t>
      </w:r>
    </w:p>
    <w:p>
      <w:pPr>
        <w:pStyle w:val="BookText"/>
      </w:pPr>
      <w:r>
        <w:rPr>
          <w:rFonts w:ascii="IRNazanin" w:hAnsi="IRNazanin" w:eastAsia="IRNazanin" w:cs="IRNazanin"/>
          <w:lang w:bidi="fa-IR"/>
          <w:color w:val="111111"/>
          <w:sz w:val="28"/>
          <w:szCs w:val="28"/>
          <w:rtl/>
        </w:rPr>
        <w:t xml:space="preserve">۸۲. تهران؛ مجلس؛ شماره نسخه: ۱۳۱۰/۶ط</w:t>
      </w:r>
    </w:p>
    <w:p>
      <w:pPr>
        <w:pStyle w:val="BookText"/>
      </w:pPr>
      <w:r>
        <w:rPr>
          <w:rFonts w:ascii="Amiri" w:hAnsi="Amiri" w:eastAsia="Amiri" w:cs="Amiri"/>
          <w:lang w:bidi="ar-SA"/>
          <w:color w:val="111111"/>
          <w:sz w:val="28"/>
          <w:szCs w:val="28"/>
          <w:rtl/>
        </w:rPr>
        <w:t xml:space="preserve">آغاز: بسمله. الحمد لله جاعل عنادل الخيلان فى رياض الوجنات؛</w:t>
      </w:r>
    </w:p>
    <w:p>
      <w:pPr>
        <w:pStyle w:val="BookText"/>
      </w:pPr>
      <w:r>
        <w:rPr>
          <w:rFonts w:ascii="IRNazanin" w:hAnsi="IRNazanin" w:eastAsia="IRNazanin" w:cs="IRNazanin"/>
          <w:lang w:bidi="fa-IR"/>
          <w:color w:val="111111"/>
          <w:sz w:val="28"/>
          <w:szCs w:val="28"/>
          <w:rtl/>
        </w:rPr>
        <w:t xml:space="preserve">انجام:و قلت بالمشروب و الشارب و قول يوسف الكنـانی  الرفاعى.</w:t>
      </w:r>
    </w:p>
    <w:p>
      <w:pPr>
        <w:pStyle w:val="BookText"/>
      </w:pPr>
      <w:r>
        <w:rPr>
          <w:rFonts w:ascii="IRNazanin" w:hAnsi="IRNazanin" w:eastAsia="IRNazanin" w:cs="IRNazanin"/>
          <w:lang w:bidi="fa-IR"/>
          <w:color w:val="111111"/>
          <w:sz w:val="28"/>
          <w:szCs w:val="28"/>
          <w:rtl/>
        </w:rPr>
        <w:t xml:space="preserve">مؤلف در این اثر برخی از اشعار شاعران عرب که در توصیف خد و خال سروده اند را گرد آورده است؛ خط: نسخ و نستعلیق، بی کا، تا: ۱۰۹۱ق؛ افتادگی: انجام؛ جلد: تیماج سبز یک لا، ۱۱ ص(۱۶۱-۱۵۱)،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۲۴/۳ - ۶۴]</w:t>
      </w:r>
    </w:p>
    <w:p>
      <w:pPr>
        <w:pStyle w:val="BookText"/>
      </w:pPr>
      <w:r>
        <w:rPr>
          <w:rFonts w:ascii="IRNazanin" w:hAnsi="IRNazanin" w:eastAsia="IRNazanin" w:cs="IRNazanin"/>
          <w:lang w:bidi="fa-IR"/>
          <w:color w:val="111111"/>
          <w:sz w:val="28"/>
          <w:szCs w:val="28"/>
          <w:rtl/>
        </w:rPr>
        <w:t xml:space="preserve">۸۳. تهران؛ مجلس؛ شماره نسخه: ۱۳۱۶۵/۷</w:t>
      </w:r>
    </w:p>
    <w:p>
      <w:pPr>
        <w:pStyle w:val="BookText"/>
      </w:pPr>
      <w:r>
        <w:rPr>
          <w:rFonts w:ascii="IRNazanin" w:hAnsi="IRNazanin" w:eastAsia="IRNazanin" w:cs="IRNazanin"/>
          <w:lang w:bidi="fa-IR"/>
          <w:color w:val="111111"/>
          <w:sz w:val="28"/>
          <w:szCs w:val="28"/>
          <w:rtl/>
        </w:rPr>
        <w:t xml:space="preserve">آغاز: نقل انه لما ولى معاوية عمرو بن عاص مصر و  اتفقا على ان لا يكون لاحدهما على الآخر كلام فورد على معاوية وفود العـجم  و الروم ... و القصيدة هذه: معوية الخال لاتجهل *** و عن سبل الحق لا تعدل / نسيت احتیالی فی جلق *** على اهلها يوم  لبس الحلى</w:t>
      </w:r>
    </w:p>
    <w:p>
      <w:pPr>
        <w:pStyle w:val="BookText"/>
      </w:pPr>
      <w:r>
        <w:rPr>
          <w:rFonts w:ascii="IRNazanin" w:hAnsi="IRNazanin" w:eastAsia="IRNazanin" w:cs="IRNazanin"/>
          <w:lang w:bidi="fa-IR"/>
          <w:color w:val="111111"/>
          <w:sz w:val="28"/>
          <w:szCs w:val="28"/>
          <w:rtl/>
        </w:rPr>
        <w:t xml:space="preserve">قصيده عمرو بن عاص در جواب معاویه؛ خط: نسخ، کا: احمد بن محمد علی جزایری صیمری ،تا: ۱۰۹۲ق؛ محشی ،جلد: تیماج قهوه ای دارای ترنج با سر با نقش گل و پرنده، مجدول ۳ گ (۱۴۲پ -۱۴۴پ)، ۲۳ سطر [ف: ۳۶ - ۲۵۳]</w:t>
      </w:r>
    </w:p>
    <w:p>
      <w:pPr>
        <w:pStyle w:val="BookText"/>
      </w:pPr>
      <w:r>
        <w:rPr>
          <w:rFonts w:ascii="IRNazanin" w:hAnsi="IRNazanin" w:eastAsia="IRNazanin" w:cs="IRNazanin"/>
          <w:lang w:bidi="fa-IR"/>
          <w:color w:val="111111"/>
          <w:sz w:val="28"/>
          <w:szCs w:val="28"/>
          <w:rtl/>
        </w:rPr>
        <w:t xml:space="preserve">۸۴. تهران؛ مجلس؛ شماره نسخه: ۱۳۱۶۵/۹</w:t>
      </w:r>
    </w:p>
    <w:p>
      <w:pPr>
        <w:pStyle w:val="BookText"/>
      </w:pPr>
      <w:r>
        <w:rPr>
          <w:rFonts w:ascii="IRNazanin" w:hAnsi="IRNazanin" w:eastAsia="IRNazanin" w:cs="IRNazanin"/>
          <w:lang w:bidi="fa-IR"/>
          <w:color w:val="111111"/>
          <w:sz w:val="28"/>
          <w:szCs w:val="28"/>
          <w:rtl/>
        </w:rPr>
        <w:t xml:space="preserve">آغاز: بالسيف يفتح كل باب مقفل *** و تحل عقدة كل خطب مشکل</w:t>
      </w:r>
    </w:p>
    <w:p>
      <w:pPr>
        <w:pStyle w:val="BookText"/>
      </w:pPr>
      <w:r>
        <w:rPr>
          <w:rFonts w:ascii="IRNazanin" w:hAnsi="IRNazanin" w:eastAsia="IRNazanin" w:cs="IRNazanin"/>
          <w:lang w:bidi="fa-IR"/>
          <w:color w:val="111111"/>
          <w:sz w:val="28"/>
          <w:szCs w:val="28"/>
          <w:rtl/>
        </w:rPr>
        <w:t xml:space="preserve">قصيده امیر علی بن مقرب است؛ خط: نسخ، کا: احمد بن محـمد علی جزایری صیمری ،تا: ۱۰۹۲ق؛ جلد: تیماج قهوه ای دارای ترنج با سر با نقش گل وپرنده  مجدول، 1گ (۱۴۴ر)، ۲۳ سـطر [ف: ۳۶ - ۲۵۴]</w:t>
      </w:r>
    </w:p>
    <w:p>
      <w:pPr>
        <w:pStyle w:val="BookText"/>
      </w:pPr>
      <w:r>
        <w:rPr>
          <w:rFonts w:ascii="IRNazanin" w:hAnsi="IRNazanin" w:eastAsia="IRNazanin" w:cs="IRNazanin"/>
          <w:lang w:bidi="fa-IR"/>
          <w:color w:val="111111"/>
          <w:sz w:val="28"/>
          <w:szCs w:val="28"/>
          <w:rtl/>
        </w:rPr>
        <w:t xml:space="preserve">۸۵. قم؛ مسجد اعظم؛ شماره نسخه: ۱۲۱۳</w:t>
      </w:r>
    </w:p>
    <w:p>
      <w:pPr>
        <w:pStyle w:val="BookText"/>
      </w:pPr>
      <w:r>
        <w:rPr>
          <w:rFonts w:ascii="IRNazanin" w:hAnsi="IRNazanin" w:eastAsia="IRNazanin" w:cs="IRNazanin"/>
          <w:lang w:bidi="fa-IR"/>
          <w:color w:val="111111"/>
          <w:sz w:val="28"/>
          <w:szCs w:val="28"/>
          <w:rtl/>
        </w:rPr>
        <w:t xml:space="preserve">آغاز: کیف ترقی رقيك الانبياء *** یا سماءً ماطاولتها سماء /لم يساؤك في علاك و قدحا *** اسناً منك دونهم وسناء؛ انجـام: فلاخير فى من كان بالفرض جاهلا ولم يكن ذاعلم يتعبد</w:t>
      </w:r>
    </w:p>
    <w:p>
      <w:pPr>
        <w:pStyle w:val="BookText"/>
      </w:pPr>
      <w:r>
        <w:rPr>
          <w:rFonts w:ascii="IRNazanin" w:hAnsi="IRNazanin" w:eastAsia="IRNazanin" w:cs="IRNazanin"/>
          <w:lang w:bidi="fa-IR"/>
          <w:color w:val="111111"/>
          <w:sz w:val="28"/>
          <w:szCs w:val="28"/>
          <w:rtl/>
        </w:rPr>
        <w:t xml:space="preserve">اشعاری از ابن  شریف، علی بن  جملی ،امرء القيس و غیره نقل شده است که از جمله آنها قصیده ای است در مدح پیامبر اسـلام (صلّی اللَّهِ علیه وَ آلِهِ وَ سَلَّمَ )؛ خط: نسخ  جلی، کا: مصطفی، تا: ۱۰۹۳ق؛ جلد: تیماج سیاه ،۱۸۰گ، مختلف السطر،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مخ: ۲ - 624]</w:t>
      </w:r>
    </w:p>
    <w:p>
      <w:pPr>
        <w:pStyle w:val="BookText"/>
      </w:pPr>
      <w:r>
        <w:rPr>
          <w:rFonts w:ascii="IRNazanin" w:hAnsi="IRNazanin" w:eastAsia="IRNazanin" w:cs="IRNazanin"/>
          <w:lang w:bidi="fa-IR"/>
          <w:color w:val="111111"/>
          <w:sz w:val="28"/>
          <w:szCs w:val="28"/>
          <w:rtl/>
        </w:rPr>
        <w:t xml:space="preserve">۸۶. تهران؛ مجلس؛ شماره نسخه: ۴۷۱۷/۲</w:t>
      </w:r>
    </w:p>
    <w:p>
      <w:pPr>
        <w:pStyle w:val="BookText"/>
      </w:pPr>
      <w:r>
        <w:rPr>
          <w:rFonts w:ascii="IRNazanin" w:hAnsi="IRNazanin" w:eastAsia="IRNazanin" w:cs="IRNazanin"/>
          <w:lang w:bidi="fa-IR"/>
          <w:color w:val="111111"/>
          <w:sz w:val="28"/>
          <w:szCs w:val="28"/>
          <w:rtl/>
        </w:rPr>
        <w:t xml:space="preserve">آغاز: بسمله. قصيدة ابى بكر محمد بن دريد الازدى. حرف الالف. ابقيت لى سقما يمازح مهجتى *** ابكيتني حتى ظنـنت باننی ؛انجام: تمت الابيات المنتخبة من الدواوين و الدفاتر العـربیة المسماة (خوانده نشد) على غير اهلها من ملتقطات الاستاد عزالـملة و الدين عبدالوهاب بن ابراهيم الخزرجى اونة ... اخر يوم ۱۴ شوال ۱۹۶ و قد فرغت انامنه یوم ثانی عشر ذیقعده ۱۰۹۶.</w:t>
      </w:r>
    </w:p>
    <w:p>
      <w:pPr>
        <w:pStyle w:val="BookText"/>
      </w:pPr>
      <w:r>
        <w:rPr>
          <w:rFonts w:ascii="IRNazanin" w:hAnsi="IRNazanin" w:eastAsia="IRNazanin" w:cs="IRNazanin"/>
          <w:lang w:bidi="fa-IR"/>
          <w:color w:val="111111"/>
          <w:sz w:val="28"/>
          <w:szCs w:val="28"/>
          <w:rtl/>
        </w:rPr>
        <w:t xml:space="preserve">شعرهای عربی است از: ابن دریدازدی به ترتیب حروف تهجی، قاضی عبدالعزیز جرجانی ،بحتری ،ابونواس، العسکری، زین الدین شهید دوم؛ خط: نستعليق، كا: محمدرضا الحر، تا: ۱۲ ذیقعده ۱۰۹۶ق؛ سپس بندی از مصائب النواصب قاضی نور الله شهید به خط محمدرضا الحر در ۱۰۹۶ ،( ۵۴ ر-۵۷ر) شعرهایی از زین الدین شهید دوم به همان خط حر مؤرخ ۱۰۹۷ (۵۷ر -۵۹ر)؛ کاغذ: سپاهانی، جلد: تیماج  یک لا، ۱۲ص (۴۳-۵۴)،۲۸ سطر (5/12</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۲۵/۵سم [ف: ۱۳ - ۹۹]</w:t>
      </w:r>
    </w:p>
    <w:p>
      <w:pPr>
        <w:pStyle w:val="BookText"/>
      </w:pPr>
      <w:r>
        <w:rPr>
          <w:rFonts w:ascii="IRNazanin" w:hAnsi="IRNazanin" w:eastAsia="IRNazanin" w:cs="IRNazanin"/>
          <w:lang w:bidi="fa-IR"/>
          <w:color w:val="111111"/>
          <w:sz w:val="28"/>
          <w:szCs w:val="28"/>
          <w:rtl/>
        </w:rPr>
        <w:t xml:space="preserve">۸۷. تهران؛ مجلس؛ شماره نسخه: ۱۲۱ط</w:t>
      </w:r>
    </w:p>
    <w:p>
      <w:pPr>
        <w:pStyle w:val="BookText"/>
      </w:pPr>
      <w:r>
        <w:rPr>
          <w:rFonts w:ascii="IRNazanin" w:hAnsi="IRNazanin" w:eastAsia="IRNazanin" w:cs="IRNazanin"/>
          <w:lang w:bidi="fa-IR"/>
          <w:color w:val="111111"/>
          <w:sz w:val="28"/>
          <w:szCs w:val="28"/>
          <w:rtl/>
        </w:rPr>
        <w:t xml:space="preserve">قصیده در معارضه با قصیده طیبی از وجیه الدین عبدالرحمن بن کثیر ؛ خط: نسخ، بی کا، تا: قرن ۱۱ و ۱۲؛ جزو مجموعه [ف: ۲۲ - ۳۱]</w:t>
      </w:r>
    </w:p>
    <w:p>
      <w:pPr>
        <w:pStyle w:val="BookText"/>
      </w:pPr>
      <w:r>
        <w:rPr>
          <w:rFonts w:ascii="IRNazanin" w:hAnsi="IRNazanin" w:eastAsia="IRNazanin" w:cs="IRNazanin"/>
          <w:lang w:bidi="fa-IR"/>
          <w:color w:val="111111"/>
          <w:sz w:val="28"/>
          <w:szCs w:val="28"/>
          <w:rtl/>
        </w:rPr>
        <w:t xml:space="preserve">۸۸. تهران؛ ملی؛ شماره نسخه: ۱۰۴۸</w:t>
      </w:r>
    </w:p>
    <w:p>
      <w:pPr>
        <w:pStyle w:val="BookText"/>
      </w:pPr>
      <w:r>
        <w:rPr>
          <w:rFonts w:ascii="Amiri" w:hAnsi="Amiri" w:eastAsia="Amiri" w:cs="Amiri"/>
          <w:lang w:bidi="ar-SA"/>
          <w:color w:val="111111"/>
          <w:sz w:val="28"/>
          <w:szCs w:val="28"/>
          <w:rtl/>
        </w:rPr>
        <w:t xml:space="preserve">آغاز: به نستعين، بسمله اذا لم اقم يوماً لحقك باشكر *** فقل لى اعددت نظمى مع النثر؛ انجام: فيا حسنا قد فاق كل ملاحة ***  وليس لها بين البرية من ند</w:t>
      </w:r>
    </w:p>
    <w:p>
      <w:pPr>
        <w:pStyle w:val="BookText"/>
      </w:pPr>
      <w:r>
        <w:rPr>
          <w:rFonts w:ascii="IRNazanin" w:hAnsi="IRNazanin" w:eastAsia="IRNazanin" w:cs="IRNazanin"/>
          <w:lang w:bidi="fa-IR"/>
          <w:color w:val="111111"/>
          <w:sz w:val="28"/>
          <w:szCs w:val="28"/>
          <w:rtl/>
        </w:rPr>
        <w:t xml:space="preserve">در این منتخبات تک بیت ها یا قطعاتی از شاعران بزرگ عرب آمده است با معانی فارسی آنها و این معانی در زیر هر بیت نوشته شده است؛ خط: نسخ و نستعلیق، بی کا، تا: محتملاً قرن ۱۲؛ کاغذ: فرنگی فستقی، جلد: تیماج یک لا حنایی، ۴۰گ، ۱۴ 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اندازه:۱۵/۵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۹ - ۴۷]</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تهران؛ ملی؛ شماره نسخه: ۱۶۰۹</w:t>
      </w:r>
    </w:p>
    <w:p>
      <w:pPr>
        <w:pStyle w:val="BookText"/>
      </w:pPr>
      <w:r>
        <w:rPr>
          <w:rFonts w:ascii="IRNazanin" w:hAnsi="IRNazanin" w:eastAsia="IRNazanin" w:cs="IRNazanin"/>
          <w:lang w:bidi="fa-IR"/>
          <w:color w:val="111111"/>
          <w:sz w:val="28"/>
          <w:szCs w:val="28"/>
          <w:rtl/>
        </w:rPr>
        <w:t xml:space="preserve">این بیاض با ابیاتی به قافیه حاء شروع می شود با مطلع: «و لقد جئتك يا سؤلى ولى*** اهل فيما ارجيه ملح»، بعد اشعاری از شاعران زیر آمده: جلال الدین محمد بن  خطبی، این  مکانس، ابوالفتح بستی، زهیر (در این قصیده اختلاف است که آیا از زهیر است یا ابن فارض)، ابن حجر و سپس حکایتی مفصل از سال ۸۱۳ق بعد شعر از ابن نباته، شرف الدین انصاری، شرف الدین حلاوى، صلاح الدين، عبد الله بن  العفيف، ابن وردی، صلاح الدین صفدی، جابراندلسی، عزالدین موصلی، سید جمال الاسلام على بن  متوكل، يوسف بن علی، عزالدین موصلی، زین الدین بن مظفر وردی، شمس الدين النواجى، ابن قلاقس، بدر الدين صاحب، ابوالثنا محمود، قیراطی ابن الحميمي، يوسف بن على، (در صفحه ۷۶ داستانی دارد و در آن تاریخ ۱۱۷۳ق ذکر می شود)، خلیل صفوی، شمس الدین عبدالوهاب،سعد و نحس ایام (۵۰-۴۷)، صورت امیران و بزرگان عثمانی با سال حکومت آنها که آخرین آنها سلیمان پاشا می باشد که منصب حکومت آن سال ۱۱۷۶ می باشد (۴۶-۴۰) اشعاری از شیخ بدر الدین (۳۹ -۲۶)، مطالبی درباره صلاة فوت (۲۶-۲۴)، از ۲۴ تا آخر اشعار گوناگونی است که در بین آنها لغز حاتم و اشعار ابوالفضل يحيى بن سلامة بن الحسين بن محمد الطبرى الخطيب الحصفكى ديده می شود و نیز نثری است که قول حمزه فقیر است به حیدر کرار؛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 نسخ، بی کا، تا: قرن ۱۲؛ افتادگی: آغاز؛ جلد: بیاض شـکل تیماج یک لا؛ کاغذ: فرنگی، ۶۵گ، ۲۰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قـطع: ،بیاضی، اندازه: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 ۱۰ - ۱۴۷]</w:t>
      </w:r>
    </w:p>
    <w:p>
      <w:pPr>
        <w:pStyle w:val="BookText"/>
      </w:pPr>
      <w:r>
        <w:rPr>
          <w:rFonts w:ascii="IRNazanin" w:hAnsi="IRNazanin" w:eastAsia="IRNazanin" w:cs="IRNazanin"/>
          <w:lang w:bidi="fa-IR"/>
          <w:color w:val="111111"/>
          <w:sz w:val="28"/>
          <w:szCs w:val="28"/>
          <w:rtl/>
        </w:rPr>
        <w:t xml:space="preserve">۹۰. تهران؛ سپهسالار؛ شماره نسخه: ۱۸۶</w:t>
      </w:r>
    </w:p>
    <w:p>
      <w:pPr>
        <w:pStyle w:val="BookText"/>
      </w:pPr>
      <w:r>
        <w:rPr>
          <w:rFonts w:ascii="IRNazanin" w:hAnsi="IRNazanin" w:eastAsia="IRNazanin" w:cs="IRNazanin"/>
          <w:lang w:bidi="fa-IR"/>
          <w:color w:val="111111"/>
          <w:sz w:val="28"/>
          <w:szCs w:val="28"/>
          <w:rtl/>
        </w:rPr>
        <w:t xml:space="preserve">شعرهای حسان، کثیر عزه، ابن نمیر، بدیع الزمان  همدانی، ابونواس، ابوفراس ابو البقاء صالح بن شریف زیدی، ابن المعتز،ابن التعاويذي، وضاح اليمن قطب الدين حنفی مکی، سید علیخان ابوبكر محمد بن هاشم، ابو عثمان سعید، اسحاق موصلی، مهـیار، ابوالقاسم شهرزوری، سید راوندی، متنبی، ادیب عبدالعلی بن ناصر، احمد بن يوسف بن يعقوب، محمد بن ذريق بغدادی کاتب؛ حسین شهاب کرکی ،بھائی، ابوالحسن السلامی، ابو العتاهية، محمد بن على بن محمود الشامى العاملى وجز ايشان در این جنگ هست. جمع کننده جنگ گاهی به تفسیر و تذکر نکته ها پرداخته است ؛خط: نستعلیق، بی کا، تا: قرن ۱۲؛ مجدول؛ تملک: اعتضاد السلطنه؛ واقف: سپهسالار ۱۲۳۷ق؛ کاغذ: سپاهـانی آبی، ۳۸گ، ۱۲ سطر (15</w:t>
      </w:r>
      <w:r>
        <w:rPr>
          <w:rFonts w:ascii="Times New Roman" w:hAnsi="Times New Roman" w:eastAsia="Times New Roman" w:cs="Times New Roman"/>
          <w:lang w:val="en-US" w:bidi="en-US"/>
          <w:color w:val="111111"/>
          <w:sz w:val="28"/>
          <w:szCs w:val="28"/>
          <w:rtl/>
        </w:rPr>
        <w:t xml:space="preserve">×57) </w:t>
      </w:r>
      <w:r>
        <w:rPr>
          <w:rFonts w:ascii="IRNazanin" w:hAnsi="IRNazanin" w:eastAsia="IRNazanin" w:cs="IRNazanin"/>
          <w:lang w:bidi="fa-IR"/>
          <w:color w:val="111111"/>
          <w:sz w:val="28"/>
          <w:szCs w:val="28"/>
          <w:rtl/>
        </w:rPr>
        <w:t xml:space="preserve">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۴ - ۵۴  ]</w:t>
      </w:r>
    </w:p>
    <w:p>
      <w:pPr>
        <w:pStyle w:val="BookText"/>
      </w:pPr>
      <w:r>
        <w:rPr>
          <w:rFonts w:ascii="IRNazanin" w:hAnsi="IRNazanin" w:eastAsia="IRNazanin" w:cs="IRNazanin"/>
          <w:lang w:bidi="fa-IR"/>
          <w:color w:val="111111"/>
          <w:sz w:val="28"/>
          <w:szCs w:val="28"/>
          <w:rtl/>
        </w:rPr>
        <w:t xml:space="preserve">۹۱. تهران؛ مجلس؛ شماره نسخه: ۹۵۶۰/۵</w:t>
      </w:r>
    </w:p>
    <w:p>
      <w:pPr>
        <w:pStyle w:val="BookText"/>
      </w:pPr>
      <w:r>
        <w:rPr>
          <w:rFonts w:ascii="IRNazanin" w:hAnsi="IRNazanin" w:eastAsia="IRNazanin" w:cs="IRNazanin"/>
          <w:lang w:bidi="fa-IR"/>
          <w:color w:val="111111"/>
          <w:sz w:val="28"/>
          <w:szCs w:val="28"/>
          <w:rtl/>
        </w:rPr>
        <w:t xml:space="preserve">آغاز: الحمد لمن عز و من جل جلالا*** لا يصلح الا لتعاليه تعالی</w:t>
      </w:r>
    </w:p>
    <w:p>
      <w:pPr>
        <w:pStyle w:val="BookText"/>
      </w:pPr>
      <w:r>
        <w:rPr>
          <w:rFonts w:ascii="IRNazanin" w:hAnsi="IRNazanin" w:eastAsia="IRNazanin" w:cs="IRNazanin"/>
          <w:lang w:bidi="fa-IR"/>
          <w:color w:val="111111"/>
          <w:sz w:val="28"/>
          <w:szCs w:val="28"/>
          <w:rtl/>
        </w:rPr>
        <w:t xml:space="preserve">قصيده جلالیه؛ خط: نسخ معرب زیبا، بی کا،تا: قرن ۱۲، جـلد: تیماج روغنی با جدول زرین و ترنج و سرترنج [ف: ۳۰ - ۲۲۲]</w:t>
      </w:r>
    </w:p>
    <w:p>
      <w:pPr>
        <w:pStyle w:val="BookText"/>
      </w:pPr>
      <w:r>
        <w:rPr>
          <w:rFonts w:ascii="IRNazanin" w:hAnsi="IRNazanin" w:eastAsia="IRNazanin" w:cs="IRNazanin"/>
          <w:lang w:bidi="fa-IR"/>
          <w:color w:val="111111"/>
          <w:sz w:val="28"/>
          <w:szCs w:val="28"/>
          <w:rtl/>
        </w:rPr>
        <w:t xml:space="preserve">۹۲. تهران؛ مجلس؛ شماره نسخه: ۹۵۶۰/۷</w:t>
      </w:r>
    </w:p>
    <w:p>
      <w:pPr>
        <w:pStyle w:val="BookText"/>
      </w:pPr>
      <w:r>
        <w:rPr>
          <w:rFonts w:ascii="IRNazanin" w:hAnsi="IRNazanin" w:eastAsia="IRNazanin" w:cs="IRNazanin"/>
          <w:lang w:bidi="fa-IR"/>
          <w:color w:val="111111"/>
          <w:sz w:val="28"/>
          <w:szCs w:val="28"/>
          <w:rtl/>
        </w:rPr>
        <w:t xml:space="preserve">آغاز: شبیهک بدر الليل بل انت انور *** و وجهك من ماء الملاحة يقطر</w:t>
      </w:r>
    </w:p>
    <w:p>
      <w:pPr>
        <w:pStyle w:val="BookText"/>
      </w:pPr>
      <w:r>
        <w:rPr>
          <w:rFonts w:ascii="IRNazanin" w:hAnsi="IRNazanin" w:eastAsia="IRNazanin" w:cs="IRNazanin"/>
          <w:lang w:bidi="fa-IR"/>
          <w:color w:val="111111"/>
          <w:sz w:val="28"/>
          <w:szCs w:val="28"/>
          <w:rtl/>
        </w:rPr>
        <w:t xml:space="preserve">قصيده رائیه در مدح پیامبر اکرم (صلّی اللَّهِ علیه وَ آلِهِ وَ سَلَّمَ )؛ خط: نسخ معرب زیبا، بی کا، تا: قرن ۱۲؛ جلد: تیماج روغنی با جدول زرین و ترنج</w:t>
      </w:r>
    </w:p>
    <w:p>
      <w:pPr>
        <w:pStyle w:val="BookText"/>
      </w:pPr>
      <w:r>
        <w:rPr>
          <w:rFonts w:ascii="IRNazanin" w:hAnsi="IRNazanin" w:eastAsia="IRNazanin" w:cs="IRNazanin"/>
          <w:lang w:bidi="fa-IR"/>
          <w:color w:val="111111"/>
          <w:sz w:val="28"/>
          <w:szCs w:val="28"/>
          <w:rtl/>
        </w:rPr>
        <w:t xml:space="preserve">سر ترنج [ف: ۳۰ - ۲۲۲]</w:t>
      </w:r>
    </w:p>
    <w:p>
      <w:pPr>
        <w:pStyle w:val="BookText"/>
      </w:pPr>
      <w:r>
        <w:rPr>
          <w:rFonts w:ascii="IRNazanin" w:hAnsi="IRNazanin" w:eastAsia="IRNazanin" w:cs="IRNazanin"/>
          <w:lang w:bidi="fa-IR"/>
          <w:color w:val="111111"/>
          <w:sz w:val="28"/>
          <w:szCs w:val="28"/>
          <w:rtl/>
        </w:rPr>
        <w:t xml:space="preserve">۹۳. قم؛ مرعشی؛ شماره نسخه: ۲۲۵</w:t>
      </w:r>
    </w:p>
    <w:p>
      <w:pPr>
        <w:pStyle w:val="BookText"/>
      </w:pPr>
      <w:r>
        <w:rPr>
          <w:rFonts w:ascii="IRNazanin" w:hAnsi="IRNazanin" w:eastAsia="IRNazanin" w:cs="IRNazanin"/>
          <w:lang w:bidi="fa-IR"/>
          <w:color w:val="111111"/>
          <w:sz w:val="28"/>
          <w:szCs w:val="28"/>
          <w:rtl/>
        </w:rPr>
        <w:t xml:space="preserve">آغاز: فلما صرح  الشر *** فأمسى و هو عريان / و لم يبق  سوی العدوان *** دناهم كما دانوا</w:t>
      </w:r>
    </w:p>
    <w:p>
      <w:pPr>
        <w:pStyle w:val="BookText"/>
      </w:pPr>
      <w:r>
        <w:rPr>
          <w:rFonts w:ascii="IRNazanin" w:hAnsi="IRNazanin" w:eastAsia="IRNazanin" w:cs="IRNazanin"/>
          <w:lang w:bidi="fa-IR"/>
          <w:color w:val="111111"/>
          <w:sz w:val="28"/>
          <w:szCs w:val="28"/>
          <w:rtl/>
        </w:rPr>
        <w:t xml:space="preserve">در این مجموعه پاره ای ازقصاید و قطعات شعر عرب گردآوری شده است، در آغاز جنگ منتخباتی است از حماسه ابی تمام، پس از آن قصاید و اشعار متفرق دیگری آمده؛ خط: نسخ، بی کا، تا: ۱۸ رمضان ۱۱۰۳ق؛ افتادگی: آغاز ؛ محشی؛ جلد: تیماج قرمز بدون مقوا، ۹۵گ، مختلف السطر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۲۳/۵سم [ف:1- 252]</w:t>
      </w:r>
    </w:p>
    <w:p>
      <w:pPr>
        <w:pStyle w:val="BookText"/>
      </w:pPr>
      <w:r>
        <w:rPr>
          <w:rFonts w:ascii="IRNazanin" w:hAnsi="IRNazanin" w:eastAsia="IRNazanin" w:cs="IRNazanin"/>
          <w:lang w:bidi="fa-IR"/>
          <w:color w:val="111111"/>
          <w:sz w:val="28"/>
          <w:szCs w:val="28"/>
          <w:rtl/>
        </w:rPr>
        <w:t xml:space="preserve">۹۴. قم؛ گلپایگانی؛ شماره نسخه: ۶۷۸۷/۱-۳۴/۱۵۷</w:t>
      </w:r>
    </w:p>
    <w:p>
      <w:pPr>
        <w:pStyle w:val="BookText"/>
      </w:pPr>
      <w:r>
        <w:rPr>
          <w:rFonts w:ascii="IRNazanin" w:hAnsi="IRNazanin" w:eastAsia="IRNazanin" w:cs="IRNazanin"/>
          <w:lang w:bidi="fa-IR"/>
          <w:color w:val="111111"/>
          <w:sz w:val="28"/>
          <w:szCs w:val="28"/>
          <w:rtl/>
        </w:rPr>
        <w:t xml:space="preserve">آغاز: بسمله لال المصطفى حكم اضاءت *** بها يهدى الشريد الی الطريق/ لدى الافكار من يلزم عداها *** حكيم ليس يعثر فی مضیق؛ انجام: شاع لدفع المكاره مدیم و در *** مسكه الزاهی العجيب / رحب حواد و للاهوال هادمها *** مكثار علم لهاه الدهر هناه</w:t>
      </w:r>
    </w:p>
    <w:p>
      <w:pPr>
        <w:pStyle w:val="BookText"/>
      </w:pPr>
      <w:r>
        <w:rPr>
          <w:rFonts w:ascii="IRNazanin" w:hAnsi="IRNazanin" w:eastAsia="IRNazanin" w:cs="IRNazanin"/>
          <w:lang w:bidi="fa-IR"/>
          <w:color w:val="111111"/>
          <w:sz w:val="28"/>
          <w:szCs w:val="28"/>
          <w:rtl/>
        </w:rPr>
        <w:t xml:space="preserve">مؤلف از نوادگان شهید ثانی است و تألیفات متعددی دارد از جمله «شرح صحيفه سجاديه» (الذريعة ج ۱۳ /رقم (۱۳۱۲) و «فرائد اللئالى فى مدح الموالى» (الذريعة ۱۶/۱۴۳) در نسخه حاضر نمونه هایی از اشعار، رباعیات و توشیحات وی آمده است، احتمال  دارد بخشی از «فرائد اللئالی» مذکور باشد؛ خط: نسخ، كاتب= مؤلف، تا: ۱۱۰۶ق؛ جلد: تیماج  مشکی، ۱۶گ، ۱۵ 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۱ - ۳۷۲]</w:t>
      </w:r>
    </w:p>
    <w:p>
      <w:pPr>
        <w:pStyle w:val="BookText"/>
      </w:pPr>
      <w:r>
        <w:rPr>
          <w:rFonts w:ascii="IRNazanin" w:hAnsi="IRNazanin" w:eastAsia="IRNazanin" w:cs="IRNazanin"/>
          <w:lang w:bidi="fa-IR"/>
          <w:color w:val="111111"/>
          <w:sz w:val="28"/>
          <w:szCs w:val="28"/>
          <w:rtl/>
        </w:rPr>
        <w:t xml:space="preserve">95.تهران؛ ملک؛ شماره نسخه ۵۴۹۰</w:t>
      </w:r>
    </w:p>
    <w:p>
      <w:pPr>
        <w:pStyle w:val="BookText"/>
      </w:pPr>
      <w:r>
        <w:rPr>
          <w:rFonts w:ascii="IRNazanin" w:hAnsi="IRNazanin" w:eastAsia="IRNazanin" w:cs="IRNazanin"/>
          <w:lang w:bidi="fa-IR"/>
          <w:color w:val="111111"/>
          <w:sz w:val="28"/>
          <w:szCs w:val="28"/>
          <w:rtl/>
        </w:rPr>
        <w:t xml:space="preserve">جنگ اشعار است، شامل: ۱- الفاظ ،معربه، ۲ -ابیاتی منسوب به حضرت آدم ،3- شاعرترین سرایندگان عرب، ۴- معلقات سبع، ۵- قصيده لامية العجمو جز آنها؛ خط: نسخ، کا: محمد سلیم، تا: ربیع الثانی ۱۱۰۷ق، جا: شهر یزد ؛جلد: میشن قهوه ای یک لا، ۱۵۶گ، ۹-۱۳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۲۴/۸سم [ف: ۸ - ۴۰۲]</w:t>
      </w:r>
    </w:p>
    <w:p>
      <w:pPr>
        <w:pStyle w:val="BookText"/>
      </w:pPr>
      <w:r>
        <w:rPr>
          <w:rFonts w:ascii="IRNazanin" w:hAnsi="IRNazanin" w:eastAsia="IRNazanin" w:cs="IRNazanin"/>
          <w:lang w:bidi="fa-IR"/>
          <w:color w:val="111111"/>
          <w:sz w:val="28"/>
          <w:szCs w:val="28"/>
          <w:rtl/>
        </w:rPr>
        <w:t xml:space="preserve">۹۶. تهران؛ مجلس؛ شماره نسخه: ۸۸۴۱/۲۱</w:t>
      </w:r>
    </w:p>
    <w:p>
      <w:pPr>
        <w:pStyle w:val="BookText"/>
      </w:pPr>
      <w:r>
        <w:rPr>
          <w:rFonts w:ascii="IRNazanin" w:hAnsi="IRNazanin" w:eastAsia="IRNazanin" w:cs="IRNazanin"/>
          <w:lang w:bidi="fa-IR"/>
          <w:color w:val="111111"/>
          <w:sz w:val="28"/>
          <w:szCs w:val="28"/>
          <w:rtl/>
        </w:rPr>
        <w:t xml:space="preserve">آغاز: مطلع: یا ناظرين الينا نظر الذاتي *** و قائمين باسرار الخفياتي/ يا بيوتاً لندا و النور معدتكم *** اشياحكم نور روح للارواح آیاتی؛ انجام: و ما زهت لمحت من بارق سحراً *** و انشق النور فى الزبحور ماتى</w:t>
      </w:r>
    </w:p>
    <w:p>
      <w:pPr>
        <w:pStyle w:val="BookText"/>
      </w:pPr>
      <w:r>
        <w:rPr>
          <w:rFonts w:ascii="IRNazanin" w:hAnsi="IRNazanin" w:eastAsia="IRNazanin" w:cs="IRNazanin"/>
          <w:lang w:bidi="fa-IR"/>
          <w:color w:val="111111"/>
          <w:sz w:val="28"/>
          <w:szCs w:val="28"/>
          <w:rtl/>
        </w:rPr>
        <w:t xml:space="preserve">قصيده؛ خط: نسخ و نستعليق، كا: جمال الدین محمد حسنی، تا: جمعه ۲۴ رمضان ۱۱۱۰ق ؛جا: فراه ؛کاغذ: بیشتر شرقی نخودی آهار مهره نازک، جلد: میشین مشکی؛ اص (ص ۱۶۷)، مختلف السطر، اندازه: ۲۲/۳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۳۴/۹سم [ف: ۲۹/۱ – ۸۹]</w:t>
      </w:r>
    </w:p>
    <w:p>
      <w:pPr>
        <w:pStyle w:val="BookText"/>
      </w:pPr>
      <w:r>
        <w:rPr>
          <w:rFonts w:ascii="IRNazanin" w:hAnsi="IRNazanin" w:eastAsia="IRNazanin" w:cs="IRNazanin"/>
          <w:lang w:bidi="fa-IR"/>
          <w:color w:val="111111"/>
          <w:sz w:val="28"/>
          <w:szCs w:val="28"/>
          <w:rtl/>
        </w:rPr>
        <w:t xml:space="preserve">۹۷ . قم؛ گلپایگانی؛ شماره نسخه: ۷۸۶۱/۱۷-۵۳/۷۱</w:t>
      </w:r>
    </w:p>
    <w:p>
      <w:pPr>
        <w:pStyle w:val="BookText"/>
      </w:pPr>
      <w:r>
        <w:rPr>
          <w:rFonts w:ascii="IRNazanin" w:hAnsi="IRNazanin" w:eastAsia="IRNazanin" w:cs="IRNazanin"/>
          <w:lang w:bidi="fa-IR"/>
          <w:color w:val="111111"/>
          <w:sz w:val="28"/>
          <w:szCs w:val="28"/>
          <w:rtl/>
        </w:rPr>
        <w:t xml:space="preserve">آغاز:کربلا لازلت كرباً و بلا *** ما لقى عندك آل المصطفى</w:t>
      </w:r>
    </w:p>
    <w:p>
      <w:pPr>
        <w:pStyle w:val="BookText"/>
      </w:pPr>
      <w:r>
        <w:rPr>
          <w:rFonts w:ascii="IRNazanin" w:hAnsi="IRNazanin" w:eastAsia="IRNazanin" w:cs="IRNazanin"/>
          <w:lang w:bidi="fa-IR"/>
          <w:color w:val="111111"/>
          <w:sz w:val="28"/>
          <w:szCs w:val="28"/>
          <w:rtl/>
        </w:rPr>
        <w:t xml:space="preserve">قصیده سید رضی در مرثیه سید الشهداء (علیه السّلام)؛ خط: نسخ و نستعلیق ،كا: علی اکبر کرمانشاهی، تا: ۱۱۱۳ق، جا: تهران و مشهد رضوی؛ ۲گ،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۶ - ۳۲۲۱]</w:t>
      </w:r>
    </w:p>
    <w:p>
      <w:pPr>
        <w:pStyle w:val="BookText"/>
      </w:pPr>
      <w:r>
        <w:rPr>
          <w:rFonts w:ascii="IRNazanin" w:hAnsi="IRNazanin" w:eastAsia="IRNazanin" w:cs="IRNazanin"/>
          <w:lang w:bidi="fa-IR"/>
          <w:color w:val="111111"/>
          <w:sz w:val="28"/>
          <w:szCs w:val="28"/>
          <w:rtl/>
        </w:rPr>
        <w:t xml:space="preserve">۹۸. تهران؛ ملک؛ شماره نسخه: ۳۵۶۳/۲</w:t>
      </w:r>
    </w:p>
    <w:p>
      <w:pPr>
        <w:pStyle w:val="BookText"/>
      </w:pPr>
      <w:r>
        <w:rPr>
          <w:rFonts w:ascii="IRNazanin" w:hAnsi="IRNazanin" w:eastAsia="IRNazanin" w:cs="IRNazanin"/>
          <w:lang w:bidi="fa-IR"/>
          <w:color w:val="111111"/>
          <w:sz w:val="28"/>
          <w:szCs w:val="28"/>
          <w:rtl/>
        </w:rPr>
        <w:t xml:space="preserve">خط: نسخ، کا: محمد بن تاج الدین بن علی جزایری، تا:با تاریخ ۱۱۲۱ق [ف: ۶ - ۴۹۱]</w:t>
      </w:r>
    </w:p>
    <w:p>
      <w:pPr>
        <w:pStyle w:val="BookText"/>
      </w:pPr>
      <w:r>
        <w:rPr>
          <w:rFonts w:ascii="IRNazanin" w:hAnsi="IRNazanin" w:eastAsia="IRNazanin" w:cs="IRNazanin"/>
          <w:lang w:bidi="fa-IR"/>
          <w:color w:val="111111"/>
          <w:sz w:val="28"/>
          <w:szCs w:val="28"/>
          <w:rtl/>
        </w:rPr>
        <w:t xml:space="preserve">۹۹. تهران؛ ملک؛ شماره نسخه: ۳۵۶۳/۶</w:t>
      </w:r>
    </w:p>
    <w:p>
      <w:pPr>
        <w:pStyle w:val="BookText"/>
      </w:pPr>
      <w:r>
        <w:rPr>
          <w:rFonts w:ascii="IRNazanin" w:hAnsi="IRNazanin" w:eastAsia="IRNazanin" w:cs="IRNazanin"/>
          <w:lang w:bidi="fa-IR"/>
          <w:color w:val="111111"/>
          <w:sz w:val="28"/>
          <w:szCs w:val="28"/>
          <w:rtl/>
        </w:rPr>
        <w:t xml:space="preserve">قصایداست ،یکی آنها از سید  حمیری، و یکی قصیده میمیه ابن فارض «شربنا على ذكر»؛ خط: نسخ، كا: محمد بن تاج الدين بن علی جزایری، تا: با تاریخ ۱۱۲۱ق [ف ۶ - ۴۹۱]</w:t>
      </w:r>
    </w:p>
    <w:p>
      <w:pPr>
        <w:pStyle w:val="BookText"/>
      </w:pPr>
      <w:r>
        <w:rPr>
          <w:rFonts w:ascii="IRNazanin" w:hAnsi="IRNazanin" w:eastAsia="IRNazanin" w:cs="IRNazanin"/>
          <w:lang w:bidi="fa-IR"/>
          <w:color w:val="111111"/>
          <w:sz w:val="28"/>
          <w:szCs w:val="28"/>
          <w:rtl/>
        </w:rPr>
        <w:t xml:space="preserve">۱۰۰ .تهران؛ ملی؛ شماره نسخه: ۱۸۶۳/۱۸6</w:t>
      </w:r>
    </w:p>
    <w:p>
      <w:pPr>
        <w:pStyle w:val="BookText"/>
      </w:pPr>
      <w:r>
        <w:rPr>
          <w:rFonts w:ascii="IRNazanin" w:hAnsi="IRNazanin" w:eastAsia="IRNazanin" w:cs="IRNazanin"/>
          <w:lang w:bidi="fa-IR"/>
          <w:color w:val="111111"/>
          <w:sz w:val="28"/>
          <w:szCs w:val="28"/>
          <w:rtl/>
        </w:rPr>
        <w:t xml:space="preserve">قصیده با قافیه راء در کیمیاء ؛خط: نستعليق، كا: عبدالنبی شافعی و عزیز الله  قادری، تا: ۱۱۵۲ق؛ :کاغذ: فرنگی ،جلد: مقوایی میشن تریاکی  روشن، اگ (۸۲-۸۲)، ۲۸ سطر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۱۰ - ۴۴۸]</w:t>
      </w:r>
    </w:p>
    <w:p>
      <w:pPr>
        <w:pStyle w:val="BookText"/>
      </w:pPr>
      <w:r>
        <w:rPr>
          <w:rFonts w:ascii="IRNazanin" w:hAnsi="IRNazanin" w:eastAsia="IRNazanin" w:cs="IRNazanin"/>
          <w:lang w:bidi="fa-IR"/>
          <w:color w:val="111111"/>
          <w:sz w:val="28"/>
          <w:szCs w:val="28"/>
          <w:rtl/>
        </w:rPr>
        <w:t xml:space="preserve">۱۰۱ . مشهد؛ میبدی؛ شماره :نسخه ۹۹</w:t>
      </w:r>
    </w:p>
    <w:p>
      <w:pPr>
        <w:pStyle w:val="BookText"/>
      </w:pPr>
      <w:r>
        <w:rPr>
          <w:rFonts w:ascii="IRNazanin" w:hAnsi="IRNazanin" w:eastAsia="IRNazanin" w:cs="IRNazanin"/>
          <w:lang w:bidi="fa-IR"/>
          <w:color w:val="111111"/>
          <w:sz w:val="28"/>
          <w:szCs w:val="28"/>
          <w:rtl/>
        </w:rPr>
        <w:t xml:space="preserve">دارای قصاید و اشعار پراکنده است بدون ترتیب و تنظیم مخصوص از: حضرت امير المؤمنين (علیه السّلام) ، ابو حامد محمد غزالی، مجنون عامری، ابن فارض مصرى، الشيخ العلمي، امام شافعی، ،ابومدین، ابن سلمه، اضبط السعدی، ابوالمعالی  مصری، شیخ علی حلوان، سراج الدين الشهدى الأوشى، ابن فرج الاشبيلي، واسطی، شیخ جواد بن سعد فخر رازی، ابوالحسن باخرزی، ابن نباته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مصری، ابوالحسن خزاز، ابن المعتز، لبيد، ابو محمد خوارزمـی، معروف برزنجی، خط: نسخ  معرب، کا: خضر، تا: رجب ۱۱۶۰ق؛ جا: قریه محمد آباد از محال سوروش؛ سطرها راسته و چلیپا؛ كاغذ: الوان، جلد: مقوایی عطف پارچه سبز ،۶۹گ، مختلف السطر، اندازه: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۱۶/۵سم [ف: ۱- ۹۴]</w:t>
      </w:r>
    </w:p>
    <w:p>
      <w:pPr>
        <w:pStyle w:val="BookText"/>
      </w:pPr>
      <w:r>
        <w:rPr>
          <w:rFonts w:ascii="IRNazanin" w:hAnsi="IRNazanin" w:eastAsia="IRNazanin" w:cs="IRNazanin"/>
          <w:lang w:bidi="fa-IR"/>
          <w:color w:val="111111"/>
          <w:sz w:val="28"/>
          <w:szCs w:val="28"/>
          <w:rtl/>
        </w:rPr>
        <w:t xml:space="preserve">۱۰۲. تهران؛ دانشگاه؛ شماره نسخه: ۵۴۰-ف</w:t>
      </w:r>
    </w:p>
    <w:p>
      <w:pPr>
        <w:pStyle w:val="BookText"/>
      </w:pPr>
      <w:r>
        <w:rPr>
          <w:rFonts w:ascii="IRNazanin" w:hAnsi="IRNazanin" w:eastAsia="IRNazanin" w:cs="IRNazanin"/>
          <w:lang w:bidi="fa-IR"/>
          <w:color w:val="111111"/>
          <w:sz w:val="28"/>
          <w:szCs w:val="28"/>
          <w:rtl/>
        </w:rPr>
        <w:t xml:space="preserve">نسخه اصل: اسعد افندی ش ۳۵۰۶. اشعار عربی تاریخ وصاف است؛ خط: نسخ، کا: فیض الله حافظ القرآن، تا: ۱۱۶۲ق؛ ۹۲گ، ۱۵ سطر [ فیلمها: ۱ - ۴]</w:t>
      </w:r>
    </w:p>
    <w:p>
      <w:pPr>
        <w:pStyle w:val="BookText"/>
      </w:pPr>
      <w:r>
        <w:rPr>
          <w:rFonts w:ascii="IRNazanin" w:hAnsi="IRNazanin" w:eastAsia="IRNazanin" w:cs="IRNazanin"/>
          <w:lang w:bidi="fa-IR"/>
          <w:color w:val="111111"/>
          <w:sz w:val="28"/>
          <w:szCs w:val="28"/>
          <w:rtl/>
        </w:rPr>
        <w:t xml:space="preserve">۱۰۳. تهران؛ مجلس؛ شماره نسخه: ۱۳۴۵۶/۱۰</w:t>
      </w:r>
    </w:p>
    <w:p>
      <w:pPr>
        <w:pStyle w:val="BookText"/>
      </w:pPr>
      <w:r>
        <w:rPr>
          <w:rFonts w:ascii="IRNazanin" w:hAnsi="IRNazanin" w:eastAsia="IRNazanin" w:cs="IRNazanin"/>
          <w:lang w:bidi="fa-IR"/>
          <w:color w:val="111111"/>
          <w:sz w:val="28"/>
          <w:szCs w:val="28"/>
          <w:rtl/>
        </w:rPr>
        <w:t xml:space="preserve">شعری به عربی از ابی محمد علی بن حرم که از کتاب «الغـیث الذى انسجم» نقل نموده است؛ خط: نسخ، کا: حسین بن مهدی االنعمى لطف الله، تا: شنبه ۱۷ یا ۱۸ رجب ۱۱۷۲ق؛ مصحح؛ جـلد:پارچه، عطف و حاشیه تیماج  زرشکی، اص (۱۳۲ر)، ۲۳ سـطر،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۳۶ - ۴۰۳]</w:t>
      </w:r>
    </w:p>
    <w:p>
      <w:pPr>
        <w:pStyle w:val="BookText"/>
      </w:pPr>
      <w:r>
        <w:rPr>
          <w:rFonts w:ascii="IRNazanin" w:hAnsi="IRNazanin" w:eastAsia="IRNazanin" w:cs="IRNazanin"/>
          <w:lang w:bidi="fa-IR"/>
          <w:color w:val="111111"/>
          <w:sz w:val="28"/>
          <w:szCs w:val="28"/>
          <w:rtl/>
        </w:rPr>
        <w:t xml:space="preserve">۱۰۴. تهران؛ ملک؛ شماره نسخه: ۵۰۳۴/۳</w:t>
      </w:r>
    </w:p>
    <w:p>
      <w:pPr>
        <w:pStyle w:val="BookText"/>
      </w:pPr>
      <w:r>
        <w:rPr>
          <w:rFonts w:ascii="IRNazanin" w:hAnsi="IRNazanin" w:eastAsia="IRNazanin" w:cs="IRNazanin"/>
          <w:lang w:bidi="fa-IR"/>
          <w:color w:val="111111"/>
          <w:sz w:val="28"/>
          <w:szCs w:val="28"/>
          <w:rtl/>
        </w:rPr>
        <w:t xml:space="preserve">از سرایندگان مختلف؛ خط: نسخ، کا: حسن بن علوی بن علی موسوی، تا: ۱۱۹۰ق؛ ۱۱ص، ۱۷ سطر [ف: ۸ - ۱۷۴]</w:t>
      </w:r>
    </w:p>
    <w:p>
      <w:pPr>
        <w:pStyle w:val="BookText"/>
      </w:pPr>
      <w:r>
        <w:rPr>
          <w:rFonts w:ascii="IRNazanin" w:hAnsi="IRNazanin" w:eastAsia="IRNazanin" w:cs="IRNazanin"/>
          <w:lang w:bidi="fa-IR"/>
          <w:color w:val="111111"/>
          <w:sz w:val="28"/>
          <w:szCs w:val="28"/>
          <w:rtl/>
        </w:rPr>
        <w:t xml:space="preserve">۱۰۵ . قم؛ گلپایگانی؛ شماره نسخه: ۵۸۹۹-۲۹/۲۳۹</w:t>
      </w:r>
    </w:p>
    <w:p>
      <w:pPr>
        <w:pStyle w:val="BookText"/>
      </w:pPr>
      <w:r>
        <w:rPr>
          <w:rFonts w:ascii="IRNazanin" w:hAnsi="IRNazanin" w:eastAsia="IRNazanin" w:cs="IRNazanin"/>
          <w:lang w:bidi="fa-IR"/>
          <w:color w:val="111111"/>
          <w:sz w:val="28"/>
          <w:szCs w:val="28"/>
          <w:rtl/>
        </w:rPr>
        <w:t xml:space="preserve">آغاز: بهذا الى الرشدى حب بنى الهادی *** وذكر هم وردی من يوم ميلادي / ذخرى في لحدى وفى غداً زادى *** علا به جدی فخراً علی اکوان؛ انجام: دايشوفه العلى الاصغر ***بی قاطه ذا بحينه / ينضر العباس مرمى *** و الحريم تنوح يمه</w:t>
      </w:r>
    </w:p>
    <w:p>
      <w:pPr>
        <w:pStyle w:val="BookText"/>
      </w:pPr>
      <w:r>
        <w:rPr>
          <w:rFonts w:ascii="IRNazanin" w:hAnsi="IRNazanin" w:eastAsia="IRNazanin" w:cs="IRNazanin"/>
          <w:lang w:bidi="fa-IR"/>
          <w:color w:val="111111"/>
          <w:sz w:val="28"/>
          <w:szCs w:val="28"/>
          <w:rtl/>
        </w:rPr>
        <w:t xml:space="preserve">بیاضی است متعلق به یکی از مداحان عرب زبان که در آن مراثی و نوحه هایی را درباره امام حسین (علیه السّلام) برای استفاده خودش تحـریر نموده. اغلب این اشعار دوبیتی هستند؛ خط: نسخ، بی کا، تا: قـرن ۱۳؛ افتادگی: آغاز و انجام؛ ۱۲۸گ، ۱۰ سطر، قطع: بیاض رقعی ،اندازه: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۷ - ۴۲۶۷]</w:t>
      </w:r>
    </w:p>
    <w:p>
      <w:pPr>
        <w:pStyle w:val="BookText"/>
      </w:pPr>
      <w:r>
        <w:rPr>
          <w:rFonts w:ascii="IRNazanin" w:hAnsi="IRNazanin" w:eastAsia="IRNazanin" w:cs="IRNazanin"/>
          <w:lang w:bidi="fa-IR"/>
          <w:color w:val="111111"/>
          <w:sz w:val="28"/>
          <w:szCs w:val="28"/>
          <w:rtl/>
        </w:rPr>
        <w:t xml:space="preserve">۱۰۶. تهران؛ ملی؛ شماره نسخه: ۱۸۱</w:t>
      </w:r>
    </w:p>
    <w:p>
      <w:pPr>
        <w:pStyle w:val="BookText"/>
      </w:pPr>
      <w:r>
        <w:rPr>
          <w:rFonts w:ascii="IRNazanin" w:hAnsi="IRNazanin" w:eastAsia="IRNazanin" w:cs="IRNazanin"/>
          <w:lang w:bidi="fa-IR"/>
          <w:color w:val="111111"/>
          <w:sz w:val="28"/>
          <w:szCs w:val="28"/>
          <w:rtl/>
        </w:rPr>
        <w:t xml:space="preserve">آغاز: في مدح مولينا امير المومنين عليه السلام. انى لمدح النبى لعاشق *** والعشق فيه العشق عشق فائق؛ انجام: و علیکم الصلوات مناما بدى *** نجم و ذر على البريه شارق</w:t>
      </w:r>
    </w:p>
    <w:p>
      <w:pPr>
        <w:pStyle w:val="BookText"/>
      </w:pPr>
      <w:r>
        <w:rPr>
          <w:rFonts w:ascii="IRNazanin" w:hAnsi="IRNazanin" w:eastAsia="IRNazanin" w:cs="IRNazanin"/>
          <w:lang w:bidi="fa-IR"/>
          <w:color w:val="111111"/>
          <w:sz w:val="28"/>
          <w:szCs w:val="28"/>
          <w:rtl/>
        </w:rPr>
        <w:t xml:space="preserve">قصیده در مدح حضرت امیر علی (علیه السّلام)، این قصیده که به قـافیه «قاف» در مدح حضرت امیر سروده شده است بنا بر قول گوینده آن سراینده یکی از عشاق خاندان رسالت است و این عشق به خاندان رسالت او رابرانگیخته تا این اشعار را بسراید و از عشق به سر سلسله ائمه دوازده گانه دم  زند. ظاهراً سراینده بایسـتی فارسی زبان بوده باشد؛ خط: نسخ  خوش، بی کا، تا: قرن ۱۳؛ باسر لوح مذهب، مجدول؛ مهر: ناصر الدين شاه؛ کاغذ: ترمه، جـلد: تیماج ماشی یک لا، ۵گ، ۷ سطر (۸/۵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۱۱/۵)،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۷ - ۱۵۶]</w:t>
      </w:r>
    </w:p>
    <w:p>
      <w:pPr>
        <w:pStyle w:val="BookText"/>
      </w:pPr>
      <w:r>
        <w:rPr>
          <w:rFonts w:ascii="IRNazanin" w:hAnsi="IRNazanin" w:eastAsia="IRNazanin" w:cs="IRNazanin"/>
          <w:lang w:bidi="fa-IR"/>
          <w:color w:val="111111"/>
          <w:sz w:val="28"/>
          <w:szCs w:val="28"/>
          <w:rtl/>
        </w:rPr>
        <w:t xml:space="preserve">۱۰۷. تهران؛ ملی؛ شماره نسخه: ۱۳۳۰/۳</w:t>
      </w:r>
    </w:p>
    <w:p>
      <w:pPr>
        <w:pStyle w:val="BookText"/>
      </w:pPr>
      <w:r>
        <w:rPr>
          <w:rFonts w:ascii="IRNazanin" w:hAnsi="IRNazanin" w:eastAsia="IRNazanin" w:cs="IRNazanin"/>
          <w:lang w:bidi="fa-IR"/>
          <w:color w:val="111111"/>
          <w:sz w:val="28"/>
          <w:szCs w:val="28"/>
          <w:rtl/>
        </w:rPr>
        <w:t xml:space="preserve">آغاز: ذكر المولى بالتقديم اولى بسمله، افاضل اهل نیشابور اصـغرا *** الى در كامنال الدر اری؛ انجام: و کاتبه اسماعيل بن الحسن  بن الاديب و الحمد لله و الصلوة على رسوله محمد و آله اجمعين.</w:t>
      </w:r>
    </w:p>
    <w:p>
      <w:pPr>
        <w:pStyle w:val="BookText"/>
      </w:pPr>
      <w:r>
        <w:rPr>
          <w:rFonts w:ascii="IRNazanin" w:hAnsi="IRNazanin" w:eastAsia="IRNazanin" w:cs="IRNazanin"/>
          <w:lang w:bidi="fa-IR"/>
          <w:color w:val="111111"/>
          <w:sz w:val="28"/>
          <w:szCs w:val="28"/>
          <w:rtl/>
        </w:rPr>
        <w:t xml:space="preserve">دو قصیده از قاضی منصور هروی و سید رضی. ابتداء جامع دو قصیده شرحی در خواص دو قصیده می گوید و سپس سپس قصیده قاضی ابو احمد منصور بن محمد الازدی هروی را با قافیه دال و بعد قصيده میرسید شریف رضی را با قافیه راء می آورد: مطلع قصيده هروی: «قد زار طيفك لو الم راقد *** اهلاً به من زايربل عايد» مطلع قصيده سيد رضى: «ردوا الرقاد الى المشوق الساهر *** ليعود طيف الخيال الزایر»؛ بی کا، تا: قرن ۱۳؛ کاغذ: فرنگی ،جلد: تیماج قهوه ای روشن مقوایی حاشیه  منگنه، ۸ص (۳۰۱-۳۰۹)، ۲۹ 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اندازه: ۱۷/۵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۲۶سم [ف: ۹ - ۳۱۸]</w:t>
      </w:r>
    </w:p>
    <w:p>
      <w:pPr>
        <w:pStyle w:val="BookText"/>
      </w:pPr>
      <w:r>
        <w:rPr>
          <w:rFonts w:ascii="IRNazanin" w:hAnsi="IRNazanin" w:eastAsia="IRNazanin" w:cs="IRNazanin"/>
          <w:lang w:bidi="fa-IR"/>
          <w:color w:val="111111"/>
          <w:sz w:val="28"/>
          <w:szCs w:val="28"/>
          <w:rtl/>
        </w:rPr>
        <w:t xml:space="preserve">۱۰۸. تهران؛ ملک؛ شماره نسخه: ۲۸۴۲/۱۵</w:t>
      </w:r>
    </w:p>
    <w:p>
      <w:pPr>
        <w:pStyle w:val="BookText"/>
      </w:pPr>
      <w:r>
        <w:rPr>
          <w:rFonts w:ascii="IRNazanin" w:hAnsi="IRNazanin" w:eastAsia="IRNazanin" w:cs="IRNazanin"/>
          <w:lang w:bidi="fa-IR"/>
          <w:color w:val="111111"/>
          <w:sz w:val="28"/>
          <w:szCs w:val="28"/>
          <w:rtl/>
        </w:rPr>
        <w:t xml:space="preserve">قصيده محمد بن حماد در مرثیه اهل بیت؛ خط: نسخ، کا: ابو القاسم  وفا، تا: قرن ۱۳؛ ۶ ص (۱۶۱-۱۶۷) [ف: ۶ - ۱۳۲]</w:t>
      </w:r>
    </w:p>
    <w:p>
      <w:pPr>
        <w:pStyle w:val="BookText"/>
      </w:pPr>
      <w:r>
        <w:rPr>
          <w:rFonts w:ascii="IRNazanin" w:hAnsi="IRNazanin" w:eastAsia="IRNazanin" w:cs="IRNazanin"/>
          <w:lang w:bidi="fa-IR"/>
          <w:color w:val="111111"/>
          <w:sz w:val="28"/>
          <w:szCs w:val="28"/>
          <w:rtl/>
        </w:rPr>
        <w:t xml:space="preserve">۱۰۹. تهران؛ ملک؛ شماره نسخه: ۲۸۴۲/۶۸</w:t>
      </w:r>
    </w:p>
    <w:p>
      <w:pPr>
        <w:pStyle w:val="BookText"/>
      </w:pPr>
      <w:r>
        <w:rPr>
          <w:rFonts w:ascii="IRNazanin" w:hAnsi="IRNazanin" w:eastAsia="IRNazanin" w:cs="IRNazanin"/>
          <w:lang w:bidi="fa-IR"/>
          <w:color w:val="111111"/>
          <w:sz w:val="28"/>
          <w:szCs w:val="28"/>
          <w:rtl/>
        </w:rPr>
        <w:t xml:space="preserve">خط: نسخ، کا: ابوالقاسم وفا، تا: قرن ۱۳؛ در هامش [ف: ۶ - ۱۳۵]</w:t>
      </w:r>
    </w:p>
    <w:p>
      <w:pPr>
        <w:pStyle w:val="BookText"/>
      </w:pPr>
      <w:r>
        <w:rPr>
          <w:rFonts w:ascii="IRNazanin" w:hAnsi="IRNazanin" w:eastAsia="IRNazanin" w:cs="IRNazanin"/>
          <w:lang w:bidi="fa-IR"/>
          <w:color w:val="111111"/>
          <w:sz w:val="28"/>
          <w:szCs w:val="28"/>
          <w:rtl/>
        </w:rPr>
        <w:t xml:space="preserve">۱۱۰. تهران؛ ملک؛ شماره نسخه: ۲۸۴۲/۹</w:t>
      </w:r>
    </w:p>
    <w:p>
      <w:pPr>
        <w:pStyle w:val="BookText"/>
      </w:pPr>
      <w:r>
        <w:rPr>
          <w:rFonts w:ascii="IRNazanin" w:hAnsi="IRNazanin" w:eastAsia="IRNazanin" w:cs="IRNazanin"/>
          <w:lang w:bidi="fa-IR"/>
          <w:color w:val="111111"/>
          <w:sz w:val="28"/>
          <w:szCs w:val="28"/>
          <w:rtl/>
        </w:rPr>
        <w:t xml:space="preserve">مراثی امام حسین و شهداء کربلا، از جعفر بن عفان، شیح حسن صاحب  معالم، سید شریف  کاظمی، سید رضی، شیخ احمد احسائی، ابن ابی الحدید، برخی از علماء شافعية؛ خط: نسخ، كا: ابو القاسم وفا، تا: قرن ۱۳؛ ۴۹ ص( ۷۳-۱۲۲) [ف: ۶ - ۱۳۲]</w:t>
      </w:r>
    </w:p>
    <w:p>
      <w:pPr>
        <w:pStyle w:val="BookText"/>
      </w:pPr>
      <w:r>
        <w:rPr>
          <w:rFonts w:ascii="IRNazanin" w:hAnsi="IRNazanin" w:eastAsia="IRNazanin" w:cs="IRNazanin"/>
          <w:lang w:bidi="fa-IR"/>
          <w:color w:val="111111"/>
          <w:sz w:val="28"/>
          <w:szCs w:val="28"/>
          <w:rtl/>
        </w:rPr>
        <w:t xml:space="preserve">۱۱۱. تهران؛ ملک؛ شماره نسخه: ۲۸۴۲/۳۰</w:t>
      </w:r>
    </w:p>
    <w:p>
      <w:pPr>
        <w:pStyle w:val="BookText"/>
      </w:pPr>
      <w:r>
        <w:rPr>
          <w:rFonts w:ascii="IRNazanin" w:hAnsi="IRNazanin" w:eastAsia="IRNazanin" w:cs="IRNazanin"/>
          <w:lang w:bidi="fa-IR"/>
          <w:color w:val="111111"/>
          <w:sz w:val="28"/>
          <w:szCs w:val="28"/>
          <w:rtl/>
        </w:rPr>
        <w:t xml:space="preserve">از ابی العلاء  معری ،طغرائی ،صفدی، صفی ،حلی، ابن ساغانی، ابن سبا،قاضی  ارجانی، محمد بن ادریس  شافعی ،مؤید الدین، مهلبی، ابی تمام، ابی الطبیب متنبی، و شعراء گمنام دیگر؛ خط: نسخ، کا: ابو القاسم وفا، تا: قرن ۱۳؛ ۷ ص (۳۲۹-۳۳۶) [ف: ۶ - ۱۳۳]</w:t>
      </w:r>
    </w:p>
    <w:p>
      <w:pPr>
        <w:pStyle w:val="BookText"/>
      </w:pPr>
      <w:r>
        <w:rPr>
          <w:rFonts w:ascii="IRNazanin" w:hAnsi="IRNazanin" w:eastAsia="IRNazanin" w:cs="IRNazanin"/>
          <w:lang w:bidi="fa-IR"/>
          <w:color w:val="111111"/>
          <w:sz w:val="28"/>
          <w:szCs w:val="28"/>
          <w:rtl/>
        </w:rPr>
        <w:t xml:space="preserve">۱۱۲. تهران؛ ملک؛ شماره نسخه :۲۸۴۲/۳۲</w:t>
      </w:r>
    </w:p>
    <w:p>
      <w:pPr>
        <w:pStyle w:val="BookText"/>
      </w:pPr>
      <w:r>
        <w:rPr>
          <w:rFonts w:ascii="IRNazanin" w:hAnsi="IRNazanin" w:eastAsia="IRNazanin" w:cs="IRNazanin"/>
          <w:lang w:bidi="fa-IR"/>
          <w:color w:val="111111"/>
          <w:sz w:val="28"/>
          <w:szCs w:val="28"/>
          <w:rtl/>
        </w:rPr>
        <w:t xml:space="preserve">از شیخ بهائی و شیخ حسین پدرش و ابن الوردي (قصيده)، سيد علی خان مدنی، قصيدة العروس ،ابي محمد خازن؛ خط: نسخ، کا: ابو القاسم وفا، تا: قرن ۱۳؛ ۳۱ ص( ۴۵۷-۴۸۸) [ف: ۶ - ۱۳۴]</w:t>
      </w:r>
    </w:p>
    <w:p>
      <w:pPr>
        <w:pStyle w:val="BookText"/>
      </w:pPr>
      <w:r>
        <w:rPr>
          <w:rFonts w:ascii="IRNazanin" w:hAnsi="IRNazanin" w:eastAsia="IRNazanin" w:cs="IRNazanin"/>
          <w:lang w:bidi="fa-IR"/>
          <w:color w:val="111111"/>
          <w:sz w:val="28"/>
          <w:szCs w:val="28"/>
          <w:rtl/>
        </w:rPr>
        <w:t xml:space="preserve">۱۱۳. تهران؛ ملک؛ شماره نسخه: ۲۸۴۲/۱۲۰</w:t>
      </w:r>
    </w:p>
    <w:p>
      <w:pPr>
        <w:pStyle w:val="BookText"/>
      </w:pPr>
      <w:r>
        <w:rPr>
          <w:rFonts w:ascii="IRNazanin" w:hAnsi="IRNazanin" w:eastAsia="IRNazanin" w:cs="IRNazanin"/>
          <w:lang w:bidi="fa-IR"/>
          <w:color w:val="111111"/>
          <w:sz w:val="28"/>
          <w:szCs w:val="28"/>
          <w:rtl/>
        </w:rPr>
        <w:t xml:space="preserve">قصیده نونیه در مدح امیرالمؤمنین علی (علیه السّلام)؛ كا: ابوالقاسم وفا، تا: قرن ۱۳؛ در هامش [ف: ۶ - ۱۳۷]</w:t>
      </w:r>
    </w:p>
    <w:p>
      <w:pPr>
        <w:pStyle w:val="BookText"/>
      </w:pPr>
      <w:r>
        <w:rPr>
          <w:rFonts w:ascii="IRNazanin" w:hAnsi="IRNazanin" w:eastAsia="IRNazanin" w:cs="IRNazanin"/>
          <w:lang w:bidi="fa-IR"/>
          <w:color w:val="111111"/>
          <w:sz w:val="28"/>
          <w:szCs w:val="28"/>
          <w:rtl/>
        </w:rPr>
        <w:t xml:space="preserve">۱۱۴. تهران؛ ملک؛ شماره نسخه: ۲۸۴۲/۱۶</w:t>
      </w:r>
    </w:p>
    <w:p>
      <w:pPr>
        <w:pStyle w:val="BookText"/>
      </w:pPr>
      <w:r>
        <w:rPr>
          <w:rFonts w:ascii="IRNazanin" w:hAnsi="IRNazanin" w:eastAsia="IRNazanin" w:cs="IRNazanin"/>
          <w:lang w:bidi="fa-IR"/>
          <w:color w:val="111111"/>
          <w:sz w:val="28"/>
          <w:szCs w:val="28"/>
          <w:rtl/>
        </w:rPr>
        <w:t xml:space="preserve">قصايد شيح حسن بحرانی در مدایح و مراثی؛ خط: نسخ، کا: ابو القاسم وفا، تا: قرن ۱۳؛ ۱۵ ص( ۱۶۷-۱۸۲) [ف: ۶ - ۱۳۲]</w:t>
      </w:r>
    </w:p>
    <w:p>
      <w:pPr>
        <w:pStyle w:val="BookText"/>
      </w:pPr>
      <w:r>
        <w:rPr>
          <w:rFonts w:ascii="IRNazanin" w:hAnsi="IRNazanin" w:eastAsia="IRNazanin" w:cs="IRNazanin"/>
          <w:lang w:bidi="fa-IR"/>
          <w:color w:val="111111"/>
          <w:sz w:val="28"/>
          <w:szCs w:val="28"/>
          <w:rtl/>
        </w:rPr>
        <w:t xml:space="preserve">۱۱۵. تهران؛ ملک؛ شماره نسخه: ۲۸۴۲/۲۰</w:t>
      </w:r>
    </w:p>
    <w:p>
      <w:pPr>
        <w:pStyle w:val="BookText"/>
      </w:pPr>
      <w:r>
        <w:rPr>
          <w:rFonts w:ascii="IRNazanin" w:hAnsi="IRNazanin" w:eastAsia="IRNazanin" w:cs="IRNazanin"/>
          <w:lang w:bidi="fa-IR"/>
          <w:color w:val="111111"/>
          <w:sz w:val="28"/>
          <w:szCs w:val="28"/>
          <w:rtl/>
        </w:rPr>
        <w:t xml:space="preserve">اشعار و قصاید از یزید، علی بن ابی طالب، و مردی از بنی تمیم به نام سکای وزهیر بن ابی سلمی ،شافعی، سید اسماعیل حمیری، امرؤ القيس، معين الدين طنطراني، ابي الفتح بستی؛ خط: نسخ، كا: ابوالقاسم  وفا، تا: قرن ۱۳؛ ۲۳ ص( ۱۸۹-۲۱۲) [ف: 6- 133]</w:t>
      </w:r>
    </w:p>
    <w:p>
      <w:pPr>
        <w:pStyle w:val="BookText"/>
      </w:pPr>
      <w:r>
        <w:rPr>
          <w:rFonts w:ascii="IRNazanin" w:hAnsi="IRNazanin" w:eastAsia="IRNazanin" w:cs="IRNazanin"/>
          <w:lang w:bidi="fa-IR"/>
          <w:color w:val="111111"/>
          <w:sz w:val="28"/>
          <w:szCs w:val="28"/>
          <w:rtl/>
        </w:rPr>
        <w:t xml:space="preserve">۱۱۶ .تهران؛ ملک؛ شماره نسخه: ۲۸۴۲/۲۲</w:t>
      </w:r>
    </w:p>
    <w:p>
      <w:pPr>
        <w:pStyle w:val="BookText"/>
      </w:pPr>
      <w:r>
        <w:rPr>
          <w:rFonts w:ascii="IRNazanin" w:hAnsi="IRNazanin" w:eastAsia="IRNazanin" w:cs="IRNazanin"/>
          <w:lang w:bidi="fa-IR"/>
          <w:color w:val="111111"/>
          <w:sz w:val="28"/>
          <w:szCs w:val="28"/>
          <w:rtl/>
        </w:rPr>
        <w:t xml:space="preserve">قصاید و اشعار از زیاد بن حماد یا زیاد بن منقذ، اوس بن حجر،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اخطل حسان بن ثابت لبيد بن ربيعه، عمر بن ابی ربیعه، عـمر، جميل، كثير، يزيد بن معاويه؛ خط: نسخ، کا: ابوالقاسم وفا، تا: قرن 13؛ ۱۳ ۴ ص (۲۲۶-۲۳۰) [ف: ۶ - ۱۳۳]</w:t>
      </w:r>
    </w:p>
    <w:p>
      <w:pPr>
        <w:pStyle w:val="BookText"/>
      </w:pPr>
      <w:r>
        <w:rPr>
          <w:rFonts w:ascii="IRNazanin" w:hAnsi="IRNazanin" w:eastAsia="IRNazanin" w:cs="IRNazanin"/>
          <w:lang w:bidi="fa-IR"/>
          <w:color w:val="111111"/>
          <w:sz w:val="28"/>
          <w:szCs w:val="28"/>
          <w:rtl/>
        </w:rPr>
        <w:t xml:space="preserve">۱۱۷. تهران؛ ملک؛ شماره نسخه: ۲۸۴۲/۲۵</w:t>
      </w:r>
    </w:p>
    <w:p>
      <w:pPr>
        <w:pStyle w:val="BookText"/>
      </w:pPr>
      <w:r>
        <w:rPr>
          <w:rFonts w:ascii="IRNazanin" w:hAnsi="IRNazanin" w:eastAsia="IRNazanin" w:cs="IRNazanin"/>
          <w:lang w:bidi="fa-IR"/>
          <w:color w:val="111111"/>
          <w:sz w:val="28"/>
          <w:szCs w:val="28"/>
          <w:rtl/>
        </w:rPr>
        <w:t xml:space="preserve">قصاید و اشعار از ابن فارض مصری (میمیه) ،شمسويه بصری، امرءالقیس، جریر در مدح عمر بن عبدالعزیز، ارجوزه  رؤبه، برده بوصیری، تابط شرأ؛ خط: نسخ، کا: ابوالقاسم وفا، تا: قرن ۲۴ ص (۲۳۶-۲۶۰) [ف: ۶ - ۱۳۳]</w:t>
      </w:r>
    </w:p>
    <w:p>
      <w:pPr>
        <w:pStyle w:val="BookText"/>
      </w:pPr>
      <w:r>
        <w:rPr>
          <w:rFonts w:ascii="IRNazanin" w:hAnsi="IRNazanin" w:eastAsia="IRNazanin" w:cs="IRNazanin"/>
          <w:lang w:bidi="fa-IR"/>
          <w:color w:val="111111"/>
          <w:sz w:val="28"/>
          <w:szCs w:val="28"/>
          <w:rtl/>
        </w:rPr>
        <w:t xml:space="preserve">۱۱۸. تهران؛ ملک؛ شماره نسخه: ۲۸۴۲/۱۲۱</w:t>
      </w:r>
    </w:p>
    <w:p>
      <w:pPr>
        <w:pStyle w:val="BookText"/>
      </w:pPr>
      <w:r>
        <w:rPr>
          <w:rFonts w:ascii="IRNazanin" w:hAnsi="IRNazanin" w:eastAsia="IRNazanin" w:cs="IRNazanin"/>
          <w:lang w:bidi="fa-IR"/>
          <w:color w:val="111111"/>
          <w:sz w:val="28"/>
          <w:szCs w:val="28"/>
          <w:rtl/>
        </w:rPr>
        <w:t xml:space="preserve">اشعار ابن جوزی و شافعی ؛کا: ابوالقاسم وفا، تا: قرن ۱۳؛در هامش [ف: ۶ - ۱۳۷]</w:t>
      </w:r>
    </w:p>
    <w:p>
      <w:pPr>
        <w:pStyle w:val="BookText"/>
      </w:pPr>
      <w:r>
        <w:rPr>
          <w:rFonts w:ascii="IRNazanin" w:hAnsi="IRNazanin" w:eastAsia="IRNazanin" w:cs="IRNazanin"/>
          <w:lang w:bidi="fa-IR"/>
          <w:color w:val="111111"/>
          <w:sz w:val="28"/>
          <w:szCs w:val="28"/>
          <w:rtl/>
        </w:rPr>
        <w:t xml:space="preserve">۱۱۹. تهران؛ ملک؛ شماره نسخه: ۲۸۴۲/۲۸</w:t>
      </w:r>
    </w:p>
    <w:p>
      <w:pPr>
        <w:pStyle w:val="BookText"/>
      </w:pPr>
      <w:r>
        <w:rPr>
          <w:rFonts w:ascii="IRNazanin" w:hAnsi="IRNazanin" w:eastAsia="IRNazanin" w:cs="IRNazanin"/>
          <w:lang w:bidi="fa-IR"/>
          <w:color w:val="111111"/>
          <w:sz w:val="28"/>
          <w:szCs w:val="28"/>
          <w:rtl/>
        </w:rPr>
        <w:t xml:space="preserve">(ابی دویب هذلی) اشعار از جریر در مدح عبدالملک؛ خط: نسـخ، كا: ابو القاسم وفا، تا: قرن ۱۳؛ ۲ ص (۳۲۱-۳۲۲) [ف: ۶ - ۱۳۳]</w:t>
      </w:r>
    </w:p>
    <w:p>
      <w:pPr>
        <w:pStyle w:val="BookText"/>
      </w:pPr>
      <w:r>
        <w:rPr>
          <w:rFonts w:ascii="IRNazanin" w:hAnsi="IRNazanin" w:eastAsia="IRNazanin" w:cs="IRNazanin"/>
          <w:lang w:bidi="fa-IR"/>
          <w:color w:val="111111"/>
          <w:sz w:val="28"/>
          <w:szCs w:val="28"/>
          <w:rtl/>
        </w:rPr>
        <w:t xml:space="preserve">۱۲۰. تهران؛ ملک؛ شماره نسخه: ۲۸۴۲/۱۱۲</w:t>
      </w:r>
    </w:p>
    <w:p>
      <w:pPr>
        <w:pStyle w:val="BookText"/>
      </w:pPr>
      <w:r>
        <w:rPr>
          <w:rFonts w:ascii="IRNazanin" w:hAnsi="IRNazanin" w:eastAsia="IRNazanin" w:cs="IRNazanin"/>
          <w:lang w:bidi="fa-IR"/>
          <w:color w:val="111111"/>
          <w:sz w:val="28"/>
          <w:szCs w:val="28"/>
          <w:rtl/>
        </w:rPr>
        <w:t xml:space="preserve">اشعار در معنی رباب؛ کا: ابو القاسم وفا، تا: قرن ۱۳؛ در هامش [ف: ۶ - ۱۳۷]</w:t>
      </w:r>
    </w:p>
    <w:p>
      <w:pPr>
        <w:pStyle w:val="BookText"/>
      </w:pPr>
      <w:r>
        <w:rPr>
          <w:rFonts w:ascii="IRNazanin" w:hAnsi="IRNazanin" w:eastAsia="IRNazanin" w:cs="IRNazanin"/>
          <w:lang w:bidi="fa-IR"/>
          <w:color w:val="111111"/>
          <w:sz w:val="28"/>
          <w:szCs w:val="28"/>
          <w:rtl/>
        </w:rPr>
        <w:t xml:space="preserve">۱۲۱. تهران؛ مجلس؛ شماره نسخه: ۱۱۱</w:t>
      </w:r>
    </w:p>
    <w:p>
      <w:pPr>
        <w:pStyle w:val="BookText"/>
      </w:pPr>
      <w:r>
        <w:rPr>
          <w:rFonts w:ascii="IRNazanin" w:hAnsi="IRNazanin" w:eastAsia="IRNazanin" w:cs="IRNazanin"/>
          <w:lang w:bidi="fa-IR"/>
          <w:color w:val="111111"/>
          <w:sz w:val="28"/>
          <w:szCs w:val="28"/>
          <w:rtl/>
        </w:rPr>
        <w:t xml:space="preserve">از سرایندگان عربی زبان با شعرهای فارسی از خاقانی و سعدی مولوی و شاملو و آرزو و عزتت و دیگران ؛خط: شکسته نستعـلیق چلیپا، بی کا، تا: قرن ۱۳؛ مجدول زر؛ کاغذ: سفید ،جلد: تیماج قهوه ای  ضربی، ۵۰گ، ۱۴-۸ سطر) 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قطع: بیاضی، اندازه: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[سنا: ف: ۱- ۵۸]</w:t>
      </w:r>
    </w:p>
    <w:p>
      <w:pPr>
        <w:pStyle w:val="BookText"/>
      </w:pPr>
      <w:r>
        <w:rPr>
          <w:rFonts w:ascii="IRNazanin" w:hAnsi="IRNazanin" w:eastAsia="IRNazanin" w:cs="IRNazanin"/>
          <w:lang w:bidi="fa-IR"/>
          <w:color w:val="111111"/>
          <w:sz w:val="28"/>
          <w:szCs w:val="28"/>
          <w:rtl/>
        </w:rPr>
        <w:t xml:space="preserve">۱۲۲. تهران؛ ادبیات؛ شماره نسخه: ۱۷۱/۱</w:t>
      </w:r>
    </w:p>
    <w:p>
      <w:pPr>
        <w:pStyle w:val="BookText"/>
      </w:pPr>
      <w:r>
        <w:rPr>
          <w:rFonts w:ascii="IRNazanin" w:hAnsi="IRNazanin" w:eastAsia="IRNazanin" w:cs="IRNazanin"/>
          <w:lang w:bidi="fa-IR"/>
          <w:color w:val="111111"/>
          <w:sz w:val="28"/>
          <w:szCs w:val="28"/>
          <w:rtl/>
        </w:rPr>
        <w:t xml:space="preserve">چند قصیده از کعب بن زهیر و دیگران و شرح بعضی از آنها؛</w:t>
      </w:r>
    </w:p>
    <w:p>
      <w:pPr>
        <w:pStyle w:val="BookText"/>
      </w:pPr>
      <w:r>
        <w:rPr>
          <w:rFonts w:ascii="IRNazanin" w:hAnsi="IRNazanin" w:eastAsia="IRNazanin" w:cs="IRNazanin"/>
          <w:lang w:bidi="fa-IR"/>
          <w:color w:val="111111"/>
          <w:sz w:val="28"/>
          <w:szCs w:val="28"/>
          <w:rtl/>
        </w:rPr>
        <w:t xml:space="preserve">بی کا، تا: قرن ۱۳ [ف: ۳ - ۳۱]</w:t>
      </w:r>
    </w:p>
    <w:p>
      <w:pPr>
        <w:pStyle w:val="BookText"/>
      </w:pPr>
      <w:r>
        <w:rPr>
          <w:rFonts w:ascii="IRNazanin" w:hAnsi="IRNazanin" w:eastAsia="IRNazanin" w:cs="IRNazanin"/>
          <w:lang w:bidi="fa-IR"/>
          <w:color w:val="111111"/>
          <w:sz w:val="28"/>
          <w:szCs w:val="28"/>
          <w:rtl/>
        </w:rPr>
        <w:t xml:space="preserve">۱۲۳. تهران؛ مجلس؛ شماره نسخه: ۳۵۱۲/۱</w:t>
      </w:r>
    </w:p>
    <w:p>
      <w:pPr>
        <w:pStyle w:val="BookText"/>
      </w:pPr>
      <w:r>
        <w:rPr>
          <w:rFonts w:ascii="IRNazanin" w:hAnsi="IRNazanin" w:eastAsia="IRNazanin" w:cs="IRNazanin"/>
          <w:lang w:bidi="fa-IR"/>
          <w:color w:val="111111"/>
          <w:sz w:val="28"/>
          <w:szCs w:val="28"/>
          <w:rtl/>
        </w:rPr>
        <w:t xml:space="preserve">قصیده ای چهل بیتی با قافیه باء در مدح پیغمبر (صلّی اللَّهِ علیه وَ آلِهِ وَ سَلَّمَ ) منسوب به ابوعمرو جنى مشتمل بر کلماتیمرکب از حروف مقطع؛ کا: سید محمد رضوی قمی، تا: قرن ۱۳؛ کاغذ: فرنگی ،جلد: تیماج یشمی، ۶ ص (۹-۴)، قطع: خشتی،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۱۰-۱۴۶۲]</w:t>
      </w:r>
    </w:p>
    <w:p>
      <w:pPr>
        <w:pStyle w:val="BookText"/>
      </w:pPr>
      <w:r>
        <w:rPr>
          <w:rFonts w:ascii="IRNazanin" w:hAnsi="IRNazanin" w:eastAsia="IRNazanin" w:cs="IRNazanin"/>
          <w:lang w:bidi="fa-IR"/>
          <w:color w:val="111111"/>
          <w:sz w:val="28"/>
          <w:szCs w:val="28"/>
          <w:rtl/>
        </w:rPr>
        <w:t xml:space="preserve">۱۲۴. تهران؛ مجلس؛ شماره نسخه: ۹۱/۱- طباطبائی</w:t>
      </w:r>
    </w:p>
    <w:p>
      <w:pPr>
        <w:pStyle w:val="BookText"/>
      </w:pPr>
      <w:r>
        <w:rPr>
          <w:rFonts w:ascii="IRNazanin" w:hAnsi="IRNazanin" w:eastAsia="IRNazanin" w:cs="IRNazanin"/>
          <w:lang w:bidi="fa-IR"/>
          <w:color w:val="111111"/>
          <w:sz w:val="28"/>
          <w:szCs w:val="28"/>
          <w:rtl/>
        </w:rPr>
        <w:t xml:space="preserve">از ابوتمام ،بحتری ،ابوالعلاء ،معری ابو محمد الخازن، متنبی و دیگران؛ خط: نسخ  روشن، بی کا، تا :قرن ۱۳؛ توضیح پاره ای از لغات در بین سطور؛ کاغذ: فرنگی سفید ،جلد: تیماج مشکـی، ۱۷۳ ص (۱-۱۷۳) ۱۵-۱۷- سطر، قطع: خشتی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[ف: ۲۲ - ۲۰]</w:t>
      </w:r>
    </w:p>
    <w:p>
      <w:pPr>
        <w:pStyle w:val="BookText"/>
      </w:pPr>
      <w:r>
        <w:rPr>
          <w:rFonts w:ascii="IRNazanin" w:hAnsi="IRNazanin" w:eastAsia="IRNazanin" w:cs="IRNazanin"/>
          <w:lang w:bidi="fa-IR"/>
          <w:color w:val="111111"/>
          <w:sz w:val="28"/>
          <w:szCs w:val="28"/>
          <w:rtl/>
        </w:rPr>
        <w:t xml:space="preserve">۱۲۵. تهران؛ مجلس؛ شماره نسخه: ۱۰۴۵/۶-طباطبائی</w:t>
      </w:r>
    </w:p>
    <w:p>
      <w:pPr>
        <w:pStyle w:val="BookText"/>
      </w:pPr>
      <w:r>
        <w:rPr>
          <w:rFonts w:ascii="IRNazanin" w:hAnsi="IRNazanin" w:eastAsia="IRNazanin" w:cs="IRNazanin"/>
          <w:lang w:bidi="fa-IR"/>
          <w:color w:val="111111"/>
          <w:sz w:val="28"/>
          <w:szCs w:val="28"/>
          <w:rtl/>
        </w:rPr>
        <w:t xml:space="preserve">رباعی در هجو نجیب پاشا از شیخ عبدالعزيز بن شريف نجفی و نظام العلماء تبریزی؛ کا: سید محمد بن صادق طباطبائی (سنگلجی)، تا: قرن ۱۳ ؛کاغذ: فرنگی ،جلد: تیماج  قرمز، ۱۴ص، قطع: رقعی، اندازه: ۱۱</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۱۷سم [ف : ۲۳ - ۳۴۵]</w:t>
      </w:r>
    </w:p>
    <w:p>
      <w:pPr>
        <w:pStyle w:val="BookText"/>
      </w:pPr>
      <w:r>
        <w:rPr>
          <w:rFonts w:ascii="IRNazanin" w:hAnsi="IRNazanin" w:eastAsia="IRNazanin" w:cs="IRNazanin"/>
          <w:lang w:bidi="fa-IR"/>
          <w:color w:val="111111"/>
          <w:sz w:val="28"/>
          <w:szCs w:val="28"/>
          <w:rtl/>
        </w:rPr>
        <w:t xml:space="preserve">۱۲۶. تهران؛ مجلس؛ شماره نسخه: ۱۳۴۹۸/۲</w:t>
      </w:r>
    </w:p>
    <w:p>
      <w:pPr>
        <w:pStyle w:val="BookText"/>
      </w:pPr>
      <w:r>
        <w:rPr>
          <w:rFonts w:ascii="IRNazanin" w:hAnsi="IRNazanin" w:eastAsia="IRNazanin" w:cs="IRNazanin"/>
          <w:lang w:bidi="fa-IR"/>
          <w:color w:val="111111"/>
          <w:sz w:val="28"/>
          <w:szCs w:val="28"/>
          <w:rtl/>
        </w:rPr>
        <w:t xml:space="preserve">اشعار عربی از امام سجاد (علیه السّلام) و حضرت علی (علیه السّلام) و امام حسین (علیه السّلام)، سلمان، شافعی، صاحب بن عباد ،محمد بن ابی بکر، محمد جازم، محمد بن غالب، ابن تيص، محمود وراق، ابى نواس، سلم بن عمر ،متنبی، فضل بن عباس بن عتبه بن ابی لهب ،فرزدق، ابوالفتح بستی، علی بن هشام، نقل و در لابه لای سطور به فارسی ترجمه شده است؛ خط: شکسته نستعلیق، کا: میرزا علیخان تبریزی، تا: قرن ۱۳؛ جلد: تیماج مشکی، ۱۳گ (۲۹ پ-۴۲ر)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۳۶ - ۴۵۴]</w:t>
      </w:r>
    </w:p>
    <w:p>
      <w:pPr>
        <w:pStyle w:val="BookText"/>
      </w:pPr>
      <w:r>
        <w:rPr>
          <w:rFonts w:ascii="IRNazanin" w:hAnsi="IRNazanin" w:eastAsia="IRNazanin" w:cs="IRNazanin"/>
          <w:lang w:bidi="fa-IR"/>
          <w:color w:val="111111"/>
          <w:sz w:val="28"/>
          <w:szCs w:val="28"/>
          <w:rtl/>
        </w:rPr>
        <w:t xml:space="preserve">۱۲۷. تهران؛ مجلس؛ شماره نسخه: ۱۱۴۲۳/۲</w:t>
      </w:r>
    </w:p>
    <w:p>
      <w:pPr>
        <w:pStyle w:val="BookText"/>
      </w:pPr>
      <w:r>
        <w:rPr>
          <w:rFonts w:ascii="IRNazanin" w:hAnsi="IRNazanin" w:eastAsia="IRNazanin" w:cs="IRNazanin"/>
          <w:lang w:bidi="fa-IR"/>
          <w:color w:val="111111"/>
          <w:sz w:val="28"/>
          <w:szCs w:val="28"/>
          <w:rtl/>
        </w:rPr>
        <w:t xml:space="preserve">مهلبی  وزیر،امام علی (علیه السّلام) و جز او و ترجمه آنها؛ خط: نستعلیق،  بی کا، تا" قرن ۱۳ [مختصر: ف: - ۶۷]</w:t>
      </w:r>
    </w:p>
    <w:p>
      <w:pPr>
        <w:pStyle w:val="BookText"/>
      </w:pPr>
      <w:r>
        <w:rPr>
          <w:rFonts w:ascii="IRNazanin" w:hAnsi="IRNazanin" w:eastAsia="IRNazanin" w:cs="IRNazanin"/>
          <w:lang w:bidi="fa-IR"/>
          <w:color w:val="111111"/>
          <w:sz w:val="28"/>
          <w:szCs w:val="28"/>
          <w:rtl/>
        </w:rPr>
        <w:t xml:space="preserve">۱۲۸. تهران؛ مجلس؛ شماره نسخه: ۱۴۷۲۹/۲۳</w:t>
      </w:r>
    </w:p>
    <w:p>
      <w:pPr>
        <w:pStyle w:val="BookText"/>
      </w:pPr>
      <w:r>
        <w:rPr>
          <w:rFonts w:ascii="IRNazanin" w:hAnsi="IRNazanin" w:eastAsia="IRNazanin" w:cs="IRNazanin"/>
          <w:lang w:bidi="fa-IR"/>
          <w:color w:val="111111"/>
          <w:sz w:val="28"/>
          <w:szCs w:val="28"/>
          <w:rtl/>
        </w:rPr>
        <w:t xml:space="preserve">اشعار و امثال عربی ترجمه یمینی؛ خط: نسخ، کا: حبيب الدين محمد، تا: قرن ۱۳، ۲گ (۱۹۸ر -۱۹۹پ) [مختصر: ف: - ۶۸]</w:t>
      </w:r>
    </w:p>
    <w:p>
      <w:pPr>
        <w:pStyle w:val="BookText"/>
      </w:pPr>
      <w:r>
        <w:rPr>
          <w:rFonts w:ascii="IRNazanin" w:hAnsi="IRNazanin" w:eastAsia="IRNazanin" w:cs="IRNazanin"/>
          <w:lang w:bidi="fa-IR"/>
          <w:color w:val="111111"/>
          <w:sz w:val="28"/>
          <w:szCs w:val="28"/>
          <w:rtl/>
        </w:rPr>
        <w:t xml:space="preserve">۱۲۹. تهران؛ مجلس؛ شماره نسخه: ۱۲۲۷/۱ طباطبائی</w:t>
      </w:r>
    </w:p>
    <w:p>
      <w:pPr>
        <w:pStyle w:val="BookText"/>
      </w:pPr>
      <w:r>
        <w:rPr>
          <w:rFonts w:ascii="IRNazanin" w:hAnsi="IRNazanin" w:eastAsia="IRNazanin" w:cs="IRNazanin"/>
          <w:lang w:bidi="fa-IR"/>
          <w:color w:val="111111"/>
          <w:sz w:val="28"/>
          <w:szCs w:val="28"/>
          <w:rtl/>
        </w:rPr>
        <w:t xml:space="preserve">قصیده عینیه؛ بی کا، تا: قرن ۱۳؛ ۶ ص( ۱۷۶-۱۸۱) [ ف : ۲۳ - ۷۹۶]</w:t>
      </w:r>
    </w:p>
    <w:p>
      <w:pPr>
        <w:pStyle w:val="BookText"/>
      </w:pPr>
      <w:r>
        <w:rPr>
          <w:rFonts w:ascii="IRNazanin" w:hAnsi="IRNazanin" w:eastAsia="IRNazanin" w:cs="IRNazanin"/>
          <w:lang w:bidi="fa-IR"/>
          <w:color w:val="111111"/>
          <w:sz w:val="28"/>
          <w:szCs w:val="28"/>
          <w:rtl/>
        </w:rPr>
        <w:t xml:space="preserve">۱۳۰. تهران؛ مجلس؛ شماره نسخه: ۱۰۲/۳- طباطبائی</w:t>
      </w:r>
    </w:p>
    <w:p>
      <w:pPr>
        <w:pStyle w:val="BookText"/>
      </w:pPr>
      <w:r>
        <w:rPr>
          <w:rFonts w:ascii="IRNazanin" w:hAnsi="IRNazanin" w:eastAsia="IRNazanin" w:cs="IRNazanin"/>
          <w:lang w:bidi="fa-IR"/>
          <w:color w:val="111111"/>
          <w:sz w:val="28"/>
          <w:szCs w:val="28"/>
          <w:rtl/>
        </w:rPr>
        <w:t xml:space="preserve">اشعاری است از: ابو نراس، ابن رفاعه، شیخ وفائی، بهاء زهير، شهاب الدین عمری (نامه منظوم او است به صلاح الدین صفدی)، ابن ملیک الحموی، سودی، شمس الدین ابن الصائغ، صفى الدين حلی، شیخ عبدالهادى السودى ،حاجری، شیخ ابوالفضل ابن الوفائي، بديع الزمان همدانی (نامه هایی از او)، النواحی قینان شاعر، عبدالله بن الحجاج (ترجمه ای کوتاه و شعر و داستانی از او) ،شیخ بهائی (اشعاری است از او خطاب به دوستان در مشهد رضوی و نجف و به هنگام ورود به مدینه)، العفيف السلیمانی، محمد بن منصور نیشابوری فقیه شاگرد غزالی، لیلی الاخيليه، عمر بن الفارض ،بكرى، سید علی، عمر بن عبد العزيز، محمد بن على ابن ابی الصقر  شافعی، ابو الجرائر حسن ابن على الكاتب الواسطى، يحيى بن خالد  برمکی، یزید بن معاویه، امرؤ القيس (قصيده لاميه او)؛ خط: نسخ، بی کا، تا: قرن ۱۳؛ کاغذ: فرنگی سفید، جلد: تیماج قهوه ای ،یک لا، ۲۳ ص( ۶۲-۸۴)، قطع: خشتی،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۲۲ - ۲۲]</w:t>
      </w:r>
    </w:p>
    <w:p>
      <w:pPr>
        <w:pStyle w:val="BookText"/>
      </w:pPr>
      <w:r>
        <w:rPr>
          <w:rFonts w:ascii="IRNazanin" w:hAnsi="IRNazanin" w:eastAsia="IRNazanin" w:cs="IRNazanin"/>
          <w:lang w:bidi="fa-IR"/>
          <w:color w:val="111111"/>
          <w:sz w:val="28"/>
          <w:szCs w:val="28"/>
          <w:rtl/>
        </w:rPr>
        <w:t xml:space="preserve">۱۳۱. تهران؛ مفتاح؛ شماره نسخه ۴۷۷/۸</w:t>
      </w:r>
    </w:p>
    <w:p>
      <w:pPr>
        <w:pStyle w:val="BookText"/>
      </w:pPr>
      <w:r>
        <w:rPr>
          <w:rFonts w:ascii="IRNazanin" w:hAnsi="IRNazanin" w:eastAsia="IRNazanin" w:cs="IRNazanin"/>
          <w:lang w:bidi="fa-IR"/>
          <w:color w:val="111111"/>
          <w:sz w:val="28"/>
          <w:szCs w:val="28"/>
          <w:rtl/>
        </w:rPr>
        <w:t xml:space="preserve">ابیاتی از خالد، با شرح آن به عربی؛ خط: نستعلیق خوش، بی کا، تا :قرن ۱۳[ نشریه: ۷ - ۲۴۴]</w:t>
      </w:r>
    </w:p>
    <w:p>
      <w:pPr>
        <w:pStyle w:val="BookText"/>
      </w:pPr>
      <w:r>
        <w:rPr>
          <w:rFonts w:ascii="IRNazanin" w:hAnsi="IRNazanin" w:eastAsia="IRNazanin" w:cs="IRNazanin"/>
          <w:lang w:bidi="fa-IR"/>
          <w:color w:val="111111"/>
          <w:sz w:val="28"/>
          <w:szCs w:val="28"/>
          <w:rtl/>
        </w:rPr>
        <w:t xml:space="preserve">۱۳۲. تهران؛ مجلس؛ شماره نسخه: ۱۱۳۶/۱۱</w:t>
      </w:r>
    </w:p>
    <w:p>
      <w:pPr>
        <w:pStyle w:val="BookText"/>
      </w:pPr>
      <w:r>
        <w:rPr>
          <w:rFonts w:ascii="IRNazanin" w:hAnsi="IRNazanin" w:eastAsia="IRNazanin" w:cs="IRNazanin"/>
          <w:lang w:bidi="fa-IR"/>
          <w:color w:val="111111"/>
          <w:sz w:val="28"/>
          <w:szCs w:val="28"/>
          <w:rtl/>
        </w:rPr>
        <w:t xml:space="preserve">شعر در رثاء حسین (علیه السّلام) و اشعار فرزدق و دیگران با پراکنده های دیگر( متن و هامش )؛خط: نستعلیق، بی کا، تا: قرن ۱۳؛ کاغذ: سفید، جلد: تیماج حنایی ضربی یک لا، ۱۳ص (۹۵-۱۰۷) [سنا:  ف: ۲ - ۱۳۱]</w:t>
      </w:r>
    </w:p>
    <w:p>
      <w:pPr>
        <w:pStyle w:val="BookText"/>
      </w:pPr>
      <w:r>
        <w:rPr>
          <w:rFonts w:ascii="IRNazanin" w:hAnsi="IRNazanin" w:eastAsia="IRNazanin" w:cs="IRNazanin"/>
          <w:lang w:bidi="fa-IR"/>
          <w:color w:val="111111"/>
          <w:sz w:val="28"/>
          <w:szCs w:val="28"/>
          <w:rtl/>
        </w:rPr>
        <w:t xml:space="preserve">۱۳۳. تهران؛ مجلس؛ شماره نسخه :۳۹۰/۳۷</w:t>
      </w:r>
    </w:p>
    <w:p>
      <w:pPr>
        <w:pStyle w:val="BookText"/>
      </w:pPr>
      <w:r>
        <w:rPr>
          <w:rFonts w:ascii="IRNazanin" w:hAnsi="IRNazanin" w:eastAsia="IRNazanin" w:cs="IRNazanin"/>
          <w:lang w:bidi="fa-IR"/>
          <w:color w:val="111111"/>
          <w:sz w:val="28"/>
          <w:szCs w:val="28"/>
          <w:rtl/>
        </w:rPr>
        <w:t xml:space="preserve">قصیده عربی؛ خط: نستعلیق، بی کا، تا: قرن ۱۳؛ کاغذ: سفید، جلد: تیماج تریاکی ضربی، درون تیماج مشکی یک لا، قطع: بیاضی،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[سنا: ف: ۱ - ۲۳۲]</w:t>
      </w:r>
    </w:p>
    <w:p>
      <w:pPr>
        <w:pStyle w:val="BookText"/>
      </w:pPr>
      <w:r>
        <w:rPr>
          <w:rFonts w:ascii="IRNazanin" w:hAnsi="IRNazanin" w:eastAsia="IRNazanin" w:cs="IRNazanin"/>
          <w:lang w:bidi="fa-IR"/>
          <w:color w:val="111111"/>
          <w:sz w:val="28"/>
          <w:szCs w:val="28"/>
          <w:rtl/>
        </w:rPr>
        <w:t xml:space="preserve">۱۳۴. تهران؛ ملی؛ شماره نسخه: ۱۸۹۲/۱</w:t>
      </w:r>
    </w:p>
    <w:p>
      <w:pPr>
        <w:pStyle w:val="BookText"/>
      </w:pPr>
      <w:r>
        <w:rPr>
          <w:rFonts w:ascii="Amiri" w:hAnsi="Amiri" w:eastAsia="Amiri" w:cs="Amiri"/>
          <w:lang w:bidi="ar-SA"/>
          <w:color w:val="111111"/>
          <w:sz w:val="28"/>
          <w:szCs w:val="28"/>
          <w:rtl/>
        </w:rPr>
        <w:t xml:space="preserve">آغاز: بسمله على الناظم لكتاب *** جاعله في النفع كالسحاب؛</w:t>
      </w:r>
    </w:p>
    <w:p>
      <w:pPr>
        <w:pStyle w:val="BookText"/>
      </w:pPr>
      <w:r>
        <w:rPr>
          <w:rFonts w:ascii="Amiri" w:hAnsi="Amiri" w:eastAsia="Amiri" w:cs="Amiri"/>
          <w:lang w:bidi="ar-SA"/>
          <w:color w:val="111111"/>
          <w:sz w:val="28"/>
          <w:szCs w:val="28"/>
          <w:rtl/>
        </w:rPr>
        <w:t xml:space="preserve">انجام: و لوبمتابعة الهوى و شايعة الاسلاف و لواتبع الحق اهوائهم لفسدت السموات والارض</w:t>
      </w:r>
    </w:p>
    <w:p>
      <w:pPr>
        <w:pStyle w:val="BookText"/>
      </w:pPr>
      <w:r>
        <w:rPr>
          <w:rFonts w:ascii="IRNazanin" w:hAnsi="IRNazanin" w:eastAsia="IRNazanin" w:cs="IRNazanin"/>
          <w:lang w:bidi="fa-IR"/>
          <w:color w:val="111111"/>
          <w:sz w:val="28"/>
          <w:szCs w:val="28"/>
          <w:rtl/>
        </w:rPr>
        <w:t xml:space="preserve">این ارجوزه که در مدح علی (علیه السّلام) و رفع شبهات مخالفان اسـت به تفصیل درباره علی و خاندان او صحبت می کند و از ایرداتی که بر مبانی شیعیگری است رفع اعتراض، سراینده اشعار این بیت را در اول کلام می آورد: «على الناظم لكتاب *** جماعله فى الـنفع کالسحاب، این کتاب بعدها به دست شارحی که متاخر از قـرن یازدهم است قرار می گیرد و او چنانکه در شرح آمده بیت بیت آن را شرح می کند و از استنادی که به مجلسی می نماید (گ 64) بدون آنکه جمله دعائیه شبیه به «طاب ثراه» و امثال آن بیاورد معلوم می شود که او در زمان مجلسی بوده است، از برگ65 اشعار ارجوزه که در مرگ و شهادت حضرت امیر آمده شرح می گردد متاسفانه نسخه ناتمام به پایان می رود؛ خط: نستعلیق، بی کا، تا: قرن ۱۳؛ کاغذ،فرنگی ،جلد: تیماج یک لا مشکی مخطط، ۸۴ ص (۱-۸۵)، ۲۰ سطر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 ۱۰ - ۵۴۴]</w:t>
      </w:r>
    </w:p>
    <w:p>
      <w:pPr>
        <w:pStyle w:val="BookText"/>
      </w:pPr>
      <w:r>
        <w:rPr>
          <w:rFonts w:ascii="IRNazanin" w:hAnsi="IRNazanin" w:eastAsia="IRNazanin" w:cs="IRNazanin"/>
          <w:lang w:bidi="fa-IR"/>
          <w:color w:val="111111"/>
          <w:sz w:val="28"/>
          <w:szCs w:val="28"/>
          <w:rtl/>
        </w:rPr>
        <w:t xml:space="preserve">۱۳۵. تهران؛ مجلس؛ شماره نسخه: ۱۴۴۲۷/۷</w:t>
      </w:r>
    </w:p>
    <w:p>
      <w:pPr>
        <w:pStyle w:val="BookText"/>
      </w:pPr>
      <w:r>
        <w:rPr>
          <w:rFonts w:ascii="IRNazanin" w:hAnsi="IRNazanin" w:eastAsia="IRNazanin" w:cs="IRNazanin"/>
          <w:lang w:bidi="fa-IR"/>
          <w:color w:val="111111"/>
          <w:sz w:val="28"/>
          <w:szCs w:val="28"/>
          <w:rtl/>
        </w:rPr>
        <w:t xml:space="preserve">قصیده در توحید باری و مدح ائمه (علیهم السّلام)؛ خط: نستعلیق، بی کا،تا: قرن ۱۳ [ف: ۳۸ - ۵۶۴]</w:t>
      </w:r>
    </w:p>
    <w:p>
      <w:pPr>
        <w:pStyle w:val="BookText"/>
      </w:pPr>
      <w:r>
        <w:rPr>
          <w:rFonts w:ascii="IRNazanin" w:hAnsi="IRNazanin" w:eastAsia="IRNazanin" w:cs="IRNazanin"/>
          <w:lang w:bidi="fa-IR"/>
          <w:color w:val="111111"/>
          <w:sz w:val="28"/>
          <w:szCs w:val="28"/>
          <w:rtl/>
        </w:rPr>
        <w:t xml:space="preserve">۱۳۶. تهران؛ دانشگاه؛ شماره نسخه: ۵۱۷۱/۴</w:t>
      </w:r>
    </w:p>
    <w:p>
      <w:pPr>
        <w:pStyle w:val="BookText"/>
      </w:pPr>
      <w:r>
        <w:rPr>
          <w:rFonts w:ascii="IRNazanin" w:hAnsi="IRNazanin" w:eastAsia="IRNazanin" w:cs="IRNazanin"/>
          <w:lang w:bidi="fa-IR"/>
          <w:color w:val="111111"/>
          <w:sz w:val="28"/>
          <w:szCs w:val="28"/>
          <w:rtl/>
        </w:rPr>
        <w:t xml:space="preserve">آغاز: لو كنت من مازن لم تستبح ابلى *** بنو اللقيطة من ذهل بن شیبانا؛ انجام: اما ترهبان الله ابنى ابيكما *** و لا ترجون الله في جنة الخلد</w:t>
      </w:r>
    </w:p>
    <w:p>
      <w:pPr>
        <w:pStyle w:val="BookText"/>
      </w:pPr>
      <w:r>
        <w:rPr>
          <w:rFonts w:ascii="IRNazanin" w:hAnsi="IRNazanin" w:eastAsia="IRNazanin" w:cs="IRNazanin"/>
          <w:lang w:bidi="fa-IR"/>
          <w:color w:val="111111"/>
          <w:sz w:val="28"/>
          <w:szCs w:val="28"/>
          <w:rtl/>
        </w:rPr>
        <w:t xml:space="preserve">قصاید عربی، نخستین آن از فریط بن انیف است؛ خط: نسخ ونستعلیق ،کا: علی موسوی، تا: قرن ۱۳؛ افتادگی: انجام؛ کاغذ: فرنگی، جلد: تیماج  مشکی، ۳۴گ (73پ- 107پ)، ۱۳ سـطر (۵/۸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۵/۱۵)، قطع: خشتی،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 ۱۵ - ۴۱۳۶  ]</w:t>
      </w:r>
    </w:p>
    <w:p>
      <w:pPr>
        <w:pStyle w:val="BookText"/>
      </w:pPr>
      <w:r>
        <w:rPr>
          <w:rFonts w:ascii="IRNazanin" w:hAnsi="IRNazanin" w:eastAsia="IRNazanin" w:cs="IRNazanin"/>
          <w:lang w:bidi="fa-IR"/>
          <w:color w:val="111111"/>
          <w:sz w:val="28"/>
          <w:szCs w:val="28"/>
          <w:rtl/>
        </w:rPr>
        <w:t xml:space="preserve">۱۳۷. تهران؛ مجلس؛ شماره :نسخه ۱۲۲۷/۱- طباطبائی</w:t>
      </w:r>
    </w:p>
    <w:p>
      <w:pPr>
        <w:pStyle w:val="BookText"/>
      </w:pPr>
      <w:r>
        <w:rPr>
          <w:rFonts w:ascii="IRNazanin" w:hAnsi="IRNazanin" w:eastAsia="IRNazanin" w:cs="IRNazanin"/>
          <w:lang w:bidi="fa-IR"/>
          <w:color w:val="111111"/>
          <w:sz w:val="28"/>
          <w:szCs w:val="28"/>
          <w:rtl/>
        </w:rPr>
        <w:t xml:space="preserve">آغاز: آغاز مقدمه قصيده: بسمله للعبد الضعيف السيد الشريف بن فلاح الكاظمي مادحا جناب سید الوصيين ... اعلم ايها الناظر فی هذه القصيده ... انك اذا نظرت اليها بعين الانصاف علمت انها وحيدة عصرها و فريدة دهرها لم يات بنظيرها المتقدمون... ذكرت فيها ما ورد في مدحه في الكتاب العزيز والنصوص النبـویه مما اتفق على حقيته الفريقان ... آغاز: قصيده: نظرت فازرت بالغـزال الاحور *** وسطت فاردت كل ليث قسور/ و تمایلت عجبا فنكـس راسه *** غصن النقا يبدی اعتذار مقصر؛ انجام: پایان قصیده صـلی علیک الله ما اهدى لنا*** منك النسيم اریج مسك اذفر</w:t>
      </w:r>
    </w:p>
    <w:p>
      <w:pPr>
        <w:pStyle w:val="BookText"/>
      </w:pPr>
      <w:r>
        <w:rPr>
          <w:rFonts w:ascii="IRNazanin" w:hAnsi="IRNazanin" w:eastAsia="IRNazanin" w:cs="IRNazanin"/>
          <w:lang w:bidi="fa-IR"/>
          <w:color w:val="111111"/>
          <w:sz w:val="28"/>
          <w:szCs w:val="28"/>
          <w:rtl/>
        </w:rPr>
        <w:t xml:space="preserve">قصائد  وقطعات از گویندگان مختلف عرب است برخی از معاصران و برخی از متقدمان. نام گویندگان غالباً در صدر قطعه نوشته شده است، نام گویندگان اشعار و قصايد ثبت شده در صفحات ۱-۲۵ نیز نامعلوم است به دلیل افتادگی اوراق اول بیاض.</w:t>
      </w:r>
    </w:p>
    <w:p>
      <w:pPr>
        <w:pStyle w:val="BookText"/>
      </w:pPr>
      <w:r>
        <w:rPr>
          <w:rFonts w:ascii="IRNazanin" w:hAnsi="IRNazanin" w:eastAsia="IRNazanin" w:cs="IRNazanin"/>
          <w:lang w:bidi="fa-IR"/>
          <w:color w:val="111111"/>
          <w:sz w:val="28"/>
          <w:szCs w:val="28"/>
          <w:rtl/>
        </w:rPr>
        <w:t xml:space="preserve">نام دیگر شاعران یاد شده در جنگ عبدالصمد، عبدالله بن دمينه، ابو فراس بن حمدان، مهیارالدیلمی، محمد بن جابر الاندلسي في مدح النبي (صلّی اللَّهِ علیه وَ آلِهِ وَ سَلَّمَ ) ،فرزدق، الاموى، و قال معارض قصيدة السيد الجلیل...السید محمد حيدر العاملي المكي الحسيني من المعاصرين، الشيخ البهائي، ظهیر اربلی، ابوتمام حسام الدين الحاجرى ،ابو العلاء المعرى ،سید رضی، ابن عفیف، ابن  هانی، ابن مقرب، ابن الفارض، ابو القاسم بن الحسن الكاتبي، ابو تمام مسكين الدارمی، قصیده ای از شاعری شیعی، عبدالله بن يدين الخراهى، قصیده همزیه در مدح صاحب بن عباد، حميد بن نصار، فتح الله بن نخاس محك الادب (در کنار نام او نوشته: نزيل المدينه الملقب بمحك الادب الحائيه المشهوره يمدح الامير اميرخان محمد بن فروخ)، المصيصى، ابن المعتز العباسي، عروة بن خزام، رابعه عدويه، الشريف الرضى الموسوى ( ص ١٠٧ - ١٢٢) الظاهر، للرضی، ابن رزيق البغدادی، ابن الفاضل المرهبی، سید حسین بن میر رشید (از او است چند مسمط بلند و نیز اشعاری با تصدیر و تعجيز ابیاتی ازبحتری و نیز اشعاری با تصدیر و تعجیز. ابیاتی از علم الدین سخاوی به پیشنهاد برخی از بزرگان) در ص ۱۳۴ گرد آورنده جنگ حاضر (که نام او دیده نمی شود) برخی از ابیات علم الدين سخاوی را بنا به پیشنهاد سید استاد خود (گویا همان سید حسین بن میر رشید) نیز تضمین (تصدیر و تعجیز) کرده، پس از آن ابیاتی دارد در مدح استاد و برادران او – تخميس قصيده معروف با مطلع: «ته دلالا فانت اهل لذاكا *** و تحكم فالحسن قد اعطاكا / و لك الامر فاقض ما انت قاض»؛ مطلع مسمط مزبور: «عبق الكون و الوجود شذاكا *** و ملا عالم الظلام سناكا / و شذا معلنا لسان هواكا *** ته دلالا فانت اهل لذاكا- وتحكم فالحسن قد اعطاكا (ص ۱۳۵-۱۴۲)، ذوالرمه(قصیده بائيه ص۱۶۱-۱۶۷)، ابیوردی - محمد بن اسحاق بن الحسن بن منصور بن معويه الاصغر الاموى (۱۶۷-۱۷۰)، يزيد بن معاويه (میمیه و دالیه و لامیه ۱۷۶-۱۷۰)، ابن الازری مدح سليمان بن عبدالله بيك (عينيه ۱۸۱-۱۷۶)، زكريا في مدح النبي (صلّی اللَّهِ علیه وَ آلِهِ وَ سَلَّمَ ) (لاميه ص 181- ۱۹۸)، در اواخر بخش اول بیاض (در ص ۱۸۵-۲۰۰)، قصیده رائیه کراریه در مدححیدر کرار از محمد شریف بن فلاح کاظمی نجفی با یکی از تقریظ های آن که از سید نصرالله مدرس حائری است و در اصل تقریظ دیوان اوست آورده شده است، در ذیل قصده ۴ بیت است در وزن و قافیه دیگر خطاب به امام (علیه السّلام) از همان  سراینده، مشتمل بر ماده تاریخ سرودن قصیده کراریه (=ختامه مسک=۱۲۶۶). در پایان قصیده نوشته ای است با همان خط قصیده و دیگر قصاید که ظاهراً از کاتب و گرد آورنده جنگ حاضر است، نوشته مزبور چنین است: «قد وقع الفراغ من هذه القصيده الفريده مع ما تقدمها من مقاطيع الغزل السامية المحل الرفيعة المنزل فى ليلة عشرين من جمادى الاخير سنة ١٢٠٤... على يد الاقل ... محمد بن عبدالمولا بن علی بن زامل بن هملان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محمد بن خضیر بن حسین قوام مقام على بن موسى الرضا من شمائل جهة الشرف من بدر الرماحية و نسئل الله الرضا»، قصـیده کراریه که در نسخه حاضر دارای ۲۵۸ بیت است و بنا برنوشته ذریعه (۱۲۶/۱۷) ۴۵۰ بیت دارد، در مدح امیرالمؤمنين على بن طالب (علیه السّلام) است و بنا بر نوشته سراینده در مقدمه منثور قصیده،وی در این قصیده تنها به مدایحی اشارت می کند که در قرآن حدیث نبوی آمده و مورد اتفاق فریقین است، نسخه کراری تقاریظ آن را صاحب الذریعه در نجف در مدرسه بخارائیان و کتابخانه حاجی نوری دیده اند و نسخه دیوان کاظمی را کتابخانه سماوی در نجف (ذریعه ۳۶۳/۴ و ۱۲۶/۱۷ طبقات اعـلام الشیعه، قرن ۱۲: ۳۴۰)، آغاز: تقریظ: «بسمله : صورة ما كتبه ابوالفـتح السيد نصر الله بن الحسين الحسيني الحائرى على ديوان الاديب ذی النسب الشريف السيد ...محمد بن فلاح الكاظمى» (متن تقريظ  از اینجا شروع می شود): «بلبل روضة الادب الساجع بكل عجيب و نشوة سلافة الصرافه اللاعبه بقلب كل لبيب و ريحانة الالباء التى بها ينشر الاموات .... فمن نظمه الانيق الذى يخجل الرحيق هذه الفریده المنظمه لمدح سيد الوصيين .... ضمنها من غرائب المعانى ما هو اعجب اغرب ... مشيرا الى ما ورد فى حقه من الايات الباهرات والنصوص البينات» پس از این بخش چند قصیده عربی غالباً مدح امام علی (علیه السّلام) از ابن ابی و دیگران؛ خط: نسخ، بی کا، تا: قـرن ۱۳؛ افتادگی: آغاز؛ بالای نخستین قطعه (پس از بخش او)؛نوشته: «الاموى الابی وردی (ابیوردی) »کاغذ: فرنگی، جـلد: تيماج قرمز تک لا، ۱۰۱گ (۱پ -۱۰۱ر)،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  سم[ف: ۲۳ - ۷۹۴]</w:t>
      </w:r>
    </w:p>
    <w:p>
      <w:pPr>
        <w:pStyle w:val="BookText"/>
      </w:pPr>
      <w:r>
        <w:rPr>
          <w:rFonts w:ascii="IRNazanin" w:hAnsi="IRNazanin" w:eastAsia="IRNazanin" w:cs="IRNazanin"/>
          <w:lang w:bidi="fa-IR"/>
          <w:color w:val="111111"/>
          <w:sz w:val="28"/>
          <w:szCs w:val="28"/>
          <w:rtl/>
        </w:rPr>
        <w:t xml:space="preserve">۱۳۸. تهران؛ سپهسالار؛ شماره نسخه: ۳۲۹۶/۴</w:t>
      </w:r>
    </w:p>
    <w:p>
      <w:pPr>
        <w:pStyle w:val="BookText"/>
      </w:pPr>
      <w:r>
        <w:rPr>
          <w:rFonts w:ascii="IRNazanin" w:hAnsi="IRNazanin" w:eastAsia="IRNazanin" w:cs="IRNazanin"/>
          <w:lang w:bidi="fa-IR"/>
          <w:color w:val="111111"/>
          <w:sz w:val="28"/>
          <w:szCs w:val="28"/>
          <w:rtl/>
        </w:rPr>
        <w:t xml:space="preserve">سه قصیده عربی است: ۱ -یائیه: «نالت على يدها مالم تنله يدى *** نقشا على معصم اضنت بها كبدی»، ۲ -بائيه: «هلا وقفت علی المكان المعشب *** بين الطويلع و اللوى من كبكب»، ٣- هائیه: «قف بالطلول و سلها ای سلماها *** و رو من جرع الاجفاء جرعاها»؛ خط: نسخ، بی کا، تا: قرن ۱۳، ۷گ (۴۵ر - ۵۱ر) [ف: ۵ - 403]</w:t>
      </w:r>
    </w:p>
    <w:p>
      <w:pPr>
        <w:pStyle w:val="BookText"/>
      </w:pPr>
      <w:r>
        <w:rPr>
          <w:rFonts w:ascii="IRNazanin" w:hAnsi="IRNazanin" w:eastAsia="IRNazanin" w:cs="IRNazanin"/>
          <w:lang w:bidi="fa-IR"/>
          <w:color w:val="111111"/>
          <w:sz w:val="28"/>
          <w:szCs w:val="28"/>
          <w:rtl/>
        </w:rPr>
        <w:t xml:space="preserve">۱۳۹. تهران؛ ملک؛ شماره نسخه: ۸۴۷/۷</w:t>
      </w:r>
    </w:p>
    <w:p>
      <w:pPr>
        <w:pStyle w:val="BookText"/>
      </w:pPr>
      <w:r>
        <w:rPr>
          <w:rFonts w:ascii="IRNazanin" w:hAnsi="IRNazanin" w:eastAsia="IRNazanin" w:cs="IRNazanin"/>
          <w:lang w:bidi="fa-IR"/>
          <w:color w:val="111111"/>
          <w:sz w:val="28"/>
          <w:szCs w:val="28"/>
          <w:rtl/>
        </w:rPr>
        <w:t xml:space="preserve">قصاید است گویا نخستین آن از خالد بن صفوان باشد وآن دیگری ها از ابو تمام و معری؛ خط: نسخ، بی کا، تا :قرن ۱۳ [ف: -209]</w:t>
      </w:r>
    </w:p>
    <w:p>
      <w:pPr>
        <w:pStyle w:val="BookText"/>
      </w:pPr>
      <w:r>
        <w:rPr>
          <w:rFonts w:ascii="IRNazanin" w:hAnsi="IRNazanin" w:eastAsia="IRNazanin" w:cs="IRNazanin"/>
          <w:lang w:bidi="fa-IR"/>
          <w:color w:val="111111"/>
          <w:sz w:val="28"/>
          <w:szCs w:val="28"/>
          <w:rtl/>
        </w:rPr>
        <w:t xml:space="preserve">۱۴۰. تهران؛ ملی؛ شماره نسخه: ۱۱۶۰</w:t>
      </w:r>
    </w:p>
    <w:p>
      <w:pPr>
        <w:pStyle w:val="BookText"/>
      </w:pPr>
      <w:r>
        <w:rPr>
          <w:rFonts w:ascii="IRNazanin" w:hAnsi="IRNazanin" w:eastAsia="IRNazanin" w:cs="IRNazanin"/>
          <w:lang w:bidi="fa-IR"/>
          <w:color w:val="111111"/>
          <w:sz w:val="28"/>
          <w:szCs w:val="28"/>
          <w:rtl/>
        </w:rPr>
        <w:t xml:space="preserve">قصائد سبع، درین نسخه این هفت قصیده آمده است: ۱- قصـیده از ابن ابی الحدید به مطلع: «الا ان نجد المجد ابيض ملحوب»،2- قصیده به مطلع: «جللت فلما دق فى عینک الوری»، ۳- قصیده به مطلع: «عن ريقها يتحدث المسواك»، ۴- قصیده به مطلع: «بزغت لكم شمس الكنس»، ۵- قصیده به مطلع: «لمن ظعن بين الغميـم وحاجز»، ۶- قصیده به مطلع: «یا لارسمتك رسم ریح زعزع»،7- قصیده به مطلع: «البصر الافى فراقك يحمل»، بعد از این قصایدی از فرزدق (در مدح امام چهارم) و حمیری (تا صفحه ۸۷) وامرؤ القيس (قفانبك. ..) و طرفه و زهیر بن ابی سلمی آمده؛ خط: نسخ،بی کا،  تا: محتملاً قرن ۱۳ ؛افتادگی: انجام؛ معانی ابیات در زیر هر مصرع؛ کاغذ: دولت آبادی، جلد: تیماج تریاکی سجاف تیماج ماشی ضربی یک  لا، ۶۵گ، ۱۱ سطر (9</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۹ - ۱۴۸]</w:t>
      </w:r>
    </w:p>
    <w:p>
      <w:pPr>
        <w:pStyle w:val="BookText"/>
      </w:pPr>
      <w:r>
        <w:rPr>
          <w:rFonts w:ascii="IRNazanin" w:hAnsi="IRNazanin" w:eastAsia="IRNazanin" w:cs="IRNazanin"/>
          <w:lang w:bidi="fa-IR"/>
          <w:color w:val="111111"/>
          <w:sz w:val="28"/>
          <w:szCs w:val="28"/>
          <w:rtl/>
        </w:rPr>
        <w:t xml:space="preserve">۱۴۱. تهران؛ ملی؛ شماره نسخه: ۵۸۵</w:t>
      </w:r>
    </w:p>
    <w:p>
      <w:pPr>
        <w:pStyle w:val="BookText"/>
      </w:pPr>
      <w:r>
        <w:rPr>
          <w:rFonts w:ascii="Amiri" w:hAnsi="Amiri" w:eastAsia="Amiri" w:cs="Amiri"/>
          <w:lang w:bidi="ar-SA"/>
          <w:color w:val="111111"/>
          <w:sz w:val="28"/>
          <w:szCs w:val="28"/>
          <w:rtl/>
        </w:rPr>
        <w:t xml:space="preserve">آغاز: بسمله، المدلله الذى اسبغ الاحسان و انطق اللسان فعجز عن وصفه الالسن؛ انجام: و اعتصموا بحبل الله جميعاً و لا تتفرقوا</w:t>
      </w:r>
    </w:p>
    <w:p>
      <w:pPr>
        <w:pStyle w:val="BookText"/>
      </w:pPr>
      <w:r>
        <w:rPr>
          <w:rFonts w:ascii="IRNazanin" w:hAnsi="IRNazanin" w:eastAsia="IRNazanin" w:cs="IRNazanin"/>
          <w:lang w:bidi="fa-IR"/>
          <w:color w:val="111111"/>
          <w:sz w:val="28"/>
          <w:szCs w:val="28"/>
          <w:rtl/>
        </w:rPr>
        <w:t xml:space="preserve">چند نامه و قصیده است. این نامه ها به امر حاجی میرزا آقاسی برای بزرگانی نوشته شده و نیز تعدادی قصیده است که درباره مدح حاجی میرزا آقاسی در اوقات معین سروده شده؛ خط: شکسته نستعلیق، بی کا، تا: قرن ۱۳؛ مجدول؛ کاغذ: خانبالغ، جلد: تیماج آبی مذهب سجاف و اندرون تیماج سرخ دولایی، ۲۹گ، ۱۱ سطر (8</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۲۹/۵سم [ف: ۸ - ۷۴]</w:t>
      </w:r>
    </w:p>
    <w:p>
      <w:pPr>
        <w:pStyle w:val="BookText"/>
      </w:pPr>
      <w:r>
        <w:rPr>
          <w:rFonts w:ascii="IRNazanin" w:hAnsi="IRNazanin" w:eastAsia="IRNazanin" w:cs="IRNazanin"/>
          <w:lang w:bidi="fa-IR"/>
          <w:color w:val="111111"/>
          <w:sz w:val="28"/>
          <w:szCs w:val="28"/>
          <w:rtl/>
        </w:rPr>
        <w:t xml:space="preserve">۱۴۲. قم؛ مرکز احیاء؛ شماره نسخه: ۳۶۳۴</w:t>
      </w:r>
    </w:p>
    <w:p>
      <w:pPr>
        <w:pStyle w:val="BookText"/>
      </w:pPr>
      <w:r>
        <w:rPr>
          <w:rFonts w:ascii="IRNazanin" w:hAnsi="IRNazanin" w:eastAsia="IRNazanin" w:cs="IRNazanin"/>
          <w:lang w:bidi="fa-IR"/>
          <w:color w:val="111111"/>
          <w:sz w:val="28"/>
          <w:szCs w:val="28"/>
          <w:rtl/>
        </w:rPr>
        <w:t xml:space="preserve">آغاز: نری یدک ابتلت بقائمة الغضب *** فحتام حتام انتظارک بالضرب؛ انجام: و لازال تسليم المهيمن و اصلا *** الیک به سیراعشی و ابکار</w:t>
      </w:r>
    </w:p>
    <w:p>
      <w:pPr>
        <w:pStyle w:val="BookText"/>
      </w:pPr>
      <w:r>
        <w:rPr>
          <w:rFonts w:ascii="IRNazanin" w:hAnsi="IRNazanin" w:eastAsia="IRNazanin" w:cs="IRNazanin"/>
          <w:lang w:bidi="fa-IR"/>
          <w:color w:val="111111"/>
          <w:sz w:val="28"/>
          <w:szCs w:val="28"/>
          <w:rtl/>
        </w:rPr>
        <w:t xml:space="preserve">اشعار و قصاید مختلفی است از شاعران بزرگ عرب در مدایح و مراثی ائمه (علیه السّلام) ، نام شاعرانی که در این مجموعه آمده عبارتند از: شیخ عبدالحسين الاعسم از سال ۱۲۳۰ - ۱۲۴۴، محمد رضا ازری، ابن حماد، شیخ هادی نحوی، سیدشریف کاظمی، محمد کاظم ازری ،بوصیری، محمد رضا نحوی، علی بن رومی، شیخ جعفرخطی، محمد علی اعسم هاشم ،کعبی، سیدرضی، شیخ علی بن جعفر، شیخ احمد نحوی، شیخ ابراهیم عاملی سیدجواد عاملی، شیخ محسن فرج، شیخ جعفر خزاعی، سیداحمد بن علی خان، سیدصادق فحام، مهیار دیلمی، شیخ عبدالنبی خطی، ابوالفتح معروف به کشاجم، شریف مبارک، شیخ حسن بن راشد حلی، کرکدان معروف به دیک  الجن، ابو فراس حمدانی، صفی الدين  حلى، على بن محمد علوی، شیخ بهائی، شفهینی، ابن حماد ،عبدی ،کمیت، حاج حسین چاووش  حلی، سیدحمیری؛ خط: نسخ، بی کا، تا: قرن ۱۳؛ مصحح ؛جلد: تیماج قهوه ای ضربی، ۱۷۶گ، ۲۱ سطر،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[محدث ارموی مخ ۳-۱۲۲۰]</w:t>
      </w:r>
    </w:p>
    <w:p>
      <w:pPr>
        <w:pStyle w:val="BookText"/>
      </w:pPr>
      <w:r>
        <w:rPr>
          <w:rFonts w:ascii="IRNazanin" w:hAnsi="IRNazanin" w:eastAsia="IRNazanin" w:cs="IRNazanin"/>
          <w:lang w:bidi="fa-IR"/>
          <w:color w:val="111111"/>
          <w:sz w:val="28"/>
          <w:szCs w:val="28"/>
          <w:rtl/>
        </w:rPr>
        <w:t xml:space="preserve">۱۴۳. تهران؛ مجلس؛ شماره نسخه ۵۵۶۲</w:t>
      </w:r>
    </w:p>
    <w:p>
      <w:pPr>
        <w:pStyle w:val="BookText"/>
      </w:pPr>
      <w:r>
        <w:rPr>
          <w:rFonts w:ascii="IRNazanin" w:hAnsi="IRNazanin" w:eastAsia="IRNazanin" w:cs="IRNazanin"/>
          <w:lang w:bidi="fa-IR"/>
          <w:color w:val="111111"/>
          <w:sz w:val="28"/>
          <w:szCs w:val="28"/>
          <w:rtl/>
        </w:rPr>
        <w:t xml:space="preserve">آغاز: بسمله، لشيخنا الأوحد. لقد شردوا بعد النبى و شتتوا *** و ضاق عليهم بعده البر و البحر ؛ انجام: (بيت آخر از قصیده ای از شیخ): جادو و سادوا و شادوا المجد ثم هم *** لطالبي كل معروف مغابيل</w:t>
      </w:r>
    </w:p>
    <w:p>
      <w:pPr>
        <w:pStyle w:val="BookText"/>
      </w:pPr>
      <w:r>
        <w:rPr>
          <w:rFonts w:ascii="IRNazanin" w:hAnsi="IRNazanin" w:eastAsia="IRNazanin" w:cs="IRNazanin"/>
          <w:lang w:bidi="fa-IR"/>
          <w:color w:val="111111"/>
          <w:sz w:val="28"/>
          <w:szCs w:val="28"/>
          <w:rtl/>
        </w:rPr>
        <w:t xml:space="preserve">مجموعه ای از مراثی امام حسین بن علی (علیه السّلام) است از مشایخ فرقه شیخی بالای قصايد عنوان «الشيخنا الاوحد (يا ) لمولانا الكريم» دیده می شود؛ خط: نسخ، بی کا، تا: اوایل قرن ۱۴؛ کاغذ: فرنگی  سفید، جلد: مقوایی با کاغذ  ابری، ۶۰ ص، ۱۱ سطر، قطع: رقعی،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۱۸/۵سم [ف: ۱۷ – ۲۶]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۱۴۴. تهران؛ ادبیات؛ شماره نسخه: ۳۶۱/۲</w:t>
      </w:r>
    </w:p>
    <w:p>
      <w:pPr>
        <w:pStyle w:val="BookText"/>
      </w:pPr>
      <w:r>
        <w:rPr>
          <w:rFonts w:ascii="IRNazanin" w:hAnsi="IRNazanin" w:eastAsia="IRNazanin" w:cs="IRNazanin"/>
          <w:lang w:bidi="fa-IR"/>
          <w:color w:val="111111"/>
          <w:sz w:val="28"/>
          <w:szCs w:val="28"/>
          <w:rtl/>
        </w:rPr>
        <w:t xml:space="preserve">شعرهای عربی است مانند السبع العلويات مداينى و لامية العـجم طغرایی و جز اینها؛ خط: نستعلیق، بی کا، تا: قرن ۱۳ [ف ۳ - ۵۹  ]</w:t>
      </w:r>
    </w:p>
    <w:p>
      <w:pPr>
        <w:pStyle w:val="BookText"/>
      </w:pPr>
      <w:r>
        <w:rPr>
          <w:rFonts w:ascii="IRNazanin" w:hAnsi="IRNazanin" w:eastAsia="IRNazanin" w:cs="IRNazanin"/>
          <w:lang w:bidi="fa-IR"/>
          <w:color w:val="111111"/>
          <w:sz w:val="28"/>
          <w:szCs w:val="28"/>
          <w:rtl/>
        </w:rPr>
        <w:t xml:space="preserve">۱۴۵. تهران؛ مجلس؛ شماره نسخه: ۱۳۶۰۶/۴</w:t>
      </w:r>
    </w:p>
    <w:p>
      <w:pPr>
        <w:pStyle w:val="BookText"/>
      </w:pPr>
      <w:r>
        <w:rPr>
          <w:rFonts w:ascii="IRNazanin" w:hAnsi="IRNazanin" w:eastAsia="IRNazanin" w:cs="IRNazanin"/>
          <w:lang w:bidi="fa-IR"/>
          <w:color w:val="111111"/>
          <w:sz w:val="28"/>
          <w:szCs w:val="28"/>
          <w:rtl/>
        </w:rPr>
        <w:t xml:space="preserve">شعری از قطری بن الفجاءة است؛ بی کا، تا: قرن ۱۳ ؛جلد: تیماج قهوه ای، 1گ( ۵۳پ)، ۲۰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37- 121]</w:t>
      </w:r>
    </w:p>
    <w:p>
      <w:pPr>
        <w:pStyle w:val="BookText"/>
      </w:pPr>
      <w:r>
        <w:rPr>
          <w:rFonts w:ascii="IRNazanin" w:hAnsi="IRNazanin" w:eastAsia="IRNazanin" w:cs="IRNazanin"/>
          <w:lang w:bidi="fa-IR"/>
          <w:color w:val="111111"/>
          <w:sz w:val="28"/>
          <w:szCs w:val="28"/>
          <w:rtl/>
        </w:rPr>
        <w:t xml:space="preserve">۱۴۶. اصفهان؛ دانشگاه؛ شماره نسخه: ۶۷</w:t>
      </w:r>
    </w:p>
    <w:p>
      <w:pPr>
        <w:pStyle w:val="BookText"/>
      </w:pPr>
      <w:r>
        <w:rPr>
          <w:rFonts w:ascii="IRNazanin" w:hAnsi="IRNazanin" w:eastAsia="IRNazanin" w:cs="IRNazanin"/>
          <w:lang w:bidi="fa-IR"/>
          <w:color w:val="111111"/>
          <w:sz w:val="28"/>
          <w:szCs w:val="28"/>
          <w:rtl/>
        </w:rPr>
        <w:t xml:space="preserve">دیوان شعر است؛ خط: نسخ  عربی، بی کا، تا: قرن ۱۳؛ کاغذ: فرنگی [نشریه: ۱۱ - ۸۹۷]</w:t>
      </w:r>
    </w:p>
    <w:p>
      <w:pPr>
        <w:pStyle w:val="BookText"/>
      </w:pPr>
      <w:r>
        <w:rPr>
          <w:rFonts w:ascii="IRNazanin" w:hAnsi="IRNazanin" w:eastAsia="IRNazanin" w:cs="IRNazanin"/>
          <w:lang w:bidi="fa-IR"/>
          <w:color w:val="111111"/>
          <w:sz w:val="28"/>
          <w:szCs w:val="28"/>
          <w:rtl/>
        </w:rPr>
        <w:t xml:space="preserve">۱۴۷. شیراز؛ علامه طباطبائی؛ شماره نسخه: ۱۶۹۰/۶</w:t>
      </w:r>
    </w:p>
    <w:p>
      <w:pPr>
        <w:pStyle w:val="BookText"/>
      </w:pPr>
      <w:r>
        <w:rPr>
          <w:rFonts w:ascii="Amiri" w:hAnsi="Amiri" w:eastAsia="Amiri" w:cs="Amiri"/>
          <w:lang w:bidi="ar-SA"/>
          <w:color w:val="111111"/>
          <w:sz w:val="28"/>
          <w:szCs w:val="28"/>
          <w:rtl/>
        </w:rPr>
        <w:t xml:space="preserve">آغاز:قفانبك من ذكرى حبيب و منزل بسقط اللوى بين الدخـول فحومل</w:t>
      </w:r>
    </w:p>
    <w:p>
      <w:pPr>
        <w:pStyle w:val="BookText"/>
      </w:pPr>
      <w:r>
        <w:rPr>
          <w:rFonts w:ascii="IRNazanin" w:hAnsi="IRNazanin" w:eastAsia="IRNazanin" w:cs="IRNazanin"/>
          <w:lang w:bidi="fa-IR"/>
          <w:color w:val="111111"/>
          <w:sz w:val="28"/>
          <w:szCs w:val="28"/>
          <w:rtl/>
        </w:rPr>
        <w:t xml:space="preserve">دیوان شعر عربی است؛ خط: نسخ، بی کا، تا: قرن ۱۳؛ ۱۷گ (۱۲۲ - ۱۳۹)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[نسخه پژوهی: ۳ - ۱۶۶]</w:t>
      </w:r>
    </w:p>
    <w:p>
      <w:pPr>
        <w:pStyle w:val="BookText"/>
      </w:pPr>
      <w:r>
        <w:rPr>
          <w:rFonts w:ascii="IRNazanin" w:hAnsi="IRNazanin" w:eastAsia="IRNazanin" w:cs="IRNazanin"/>
          <w:lang w:bidi="fa-IR"/>
          <w:color w:val="111111"/>
          <w:sz w:val="28"/>
          <w:szCs w:val="28"/>
          <w:rtl/>
        </w:rPr>
        <w:t xml:space="preserve">۱۴۸. تهران؛ ادبیات؛ شماره نسخه: ۱۸۳/۲ حکمت</w:t>
      </w:r>
    </w:p>
    <w:p>
      <w:pPr>
        <w:pStyle w:val="BookText"/>
      </w:pPr>
      <w:r>
        <w:rPr>
          <w:rFonts w:ascii="IRNazanin" w:hAnsi="IRNazanin" w:eastAsia="IRNazanin" w:cs="IRNazanin"/>
          <w:lang w:bidi="fa-IR"/>
          <w:color w:val="111111"/>
          <w:sz w:val="28"/>
          <w:szCs w:val="28"/>
          <w:rtl/>
        </w:rPr>
        <w:t xml:space="preserve">شعرهای معتوق و سید مرتضی و شیخ محمد بهائی و سموئیل؛ خط: نسخ، بی کا، تا: قرن ۱۳؛ جلد: تیماج مشکی ضربی مقوایی، قطع: ربعی :[ف ۲ - ۴۹]</w:t>
      </w:r>
    </w:p>
    <w:p>
      <w:pPr>
        <w:pStyle w:val="BookText"/>
      </w:pPr>
      <w:r>
        <w:rPr>
          <w:rFonts w:ascii="IRNazanin" w:hAnsi="IRNazanin" w:eastAsia="IRNazanin" w:cs="IRNazanin"/>
          <w:lang w:bidi="fa-IR"/>
          <w:color w:val="111111"/>
          <w:sz w:val="28"/>
          <w:szCs w:val="28"/>
          <w:rtl/>
        </w:rPr>
        <w:t xml:space="preserve">۱۴۹. اصفهان؛ دانشگاه؛ شماره نسخه: ۵۳۱</w:t>
      </w:r>
    </w:p>
    <w:p>
      <w:pPr>
        <w:pStyle w:val="BookText"/>
      </w:pPr>
      <w:r>
        <w:rPr>
          <w:rFonts w:ascii="IRNazanin" w:hAnsi="IRNazanin" w:eastAsia="IRNazanin" w:cs="IRNazanin"/>
          <w:lang w:bidi="fa-IR"/>
          <w:color w:val="111111"/>
          <w:sz w:val="28"/>
          <w:szCs w:val="28"/>
          <w:rtl/>
        </w:rPr>
        <w:t xml:space="preserve">جنگ شعر است؛ خط: نسخ، بی کا، تا: قرن ۱۳؛ کاغذ: فرنگـی، قطع: بیاضی [ نشریه: ۱۱ - ۸۹۰]</w:t>
      </w:r>
    </w:p>
    <w:p>
      <w:pPr>
        <w:pStyle w:val="BookText"/>
      </w:pPr>
      <w:r>
        <w:rPr>
          <w:rFonts w:ascii="IRNazanin" w:hAnsi="IRNazanin" w:eastAsia="IRNazanin" w:cs="IRNazanin"/>
          <w:lang w:bidi="fa-IR"/>
          <w:color w:val="111111"/>
          <w:sz w:val="28"/>
          <w:szCs w:val="28"/>
          <w:rtl/>
        </w:rPr>
        <w:t xml:space="preserve">۱۵۰. کرمانشاه؛ جلیلی؛ شماره نسخه: ۳۲۶</w:t>
      </w:r>
    </w:p>
    <w:p>
      <w:pPr>
        <w:pStyle w:val="BookText"/>
      </w:pPr>
      <w:r>
        <w:rPr>
          <w:rFonts w:ascii="IRNazanin" w:hAnsi="IRNazanin" w:eastAsia="IRNazanin" w:cs="IRNazanin"/>
          <w:lang w:bidi="fa-IR"/>
          <w:color w:val="111111"/>
          <w:sz w:val="28"/>
          <w:szCs w:val="28"/>
          <w:rtl/>
        </w:rPr>
        <w:t xml:space="preserve">آغاز: بنت يد الكفر لما جا تاويه - لواء جيش الهدى شارت سرایاه؛انجام: فلا تجلسوا وسط المجالس حسرا- و لا تركبوا ركايب تخدع</w:t>
      </w:r>
    </w:p>
    <w:p>
      <w:pPr>
        <w:pStyle w:val="BookText"/>
      </w:pPr>
      <w:r>
        <w:rPr>
          <w:rFonts w:ascii="IRNazanin" w:hAnsi="IRNazanin" w:eastAsia="IRNazanin" w:cs="IRNazanin"/>
          <w:lang w:bidi="fa-IR"/>
          <w:color w:val="111111"/>
          <w:sz w:val="28"/>
          <w:szCs w:val="28"/>
          <w:rtl/>
        </w:rPr>
        <w:t xml:space="preserve">شامل مدایح پیامبر اکرم و ائمه اطهار مانند: مسمط قصیده حافظ رجب برسی در مدح حضرت علی، قصیده ثمانیه در مراثی ابا عبدالله اثر طبع شیخ علی  شهفینی، قصاید سبعه ابن ابی الحدید معتزلی در مدح حضرت علی، قصیده ای از شیخ حسن بن مخزوم، دو قصیده از شیخ حسن بن راشد در مدح ائمه اطهار مرثیه حضرت زهرا (سلام الله علیها) اثر طبع سيد خدوعی، قصیده شیخ علی بن عبدالعزيز خلیعی و دیگران؛ خط: نسخ عربی، بی کا، تا: قرن 13؛ افتادگی: آغاز و انجام؛ مجدول؛ کاغذ: حنایی روشن آهاری بیاضی ،جلد: تیماج  عنابی، ۲۶۰گ، ۱۷ سطر، اندازه: ۲۰/۵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۱۰/۵سم [ف: ۱۹۹]</w:t>
      </w:r>
    </w:p>
    <w:p>
      <w:pPr>
        <w:pStyle w:val="BookText"/>
      </w:pPr>
      <w:r>
        <w:rPr>
          <w:rFonts w:ascii="IRNazanin" w:hAnsi="IRNazanin" w:eastAsia="IRNazanin" w:cs="IRNazanin"/>
          <w:lang w:bidi="fa-IR"/>
          <w:color w:val="111111"/>
          <w:sz w:val="28"/>
          <w:szCs w:val="28"/>
          <w:rtl/>
        </w:rPr>
        <w:t xml:space="preserve">۱۵۱. مشهد؛ رضوی؛ شماره نسخه: ۱۰۶۷۶</w:t>
      </w:r>
    </w:p>
    <w:p>
      <w:pPr>
        <w:pStyle w:val="BookText"/>
      </w:pPr>
      <w:r>
        <w:rPr>
          <w:rFonts w:ascii="Amiri" w:hAnsi="Amiri" w:eastAsia="Amiri" w:cs="Amiri"/>
          <w:lang w:bidi="ar-SA"/>
          <w:color w:val="111111"/>
          <w:sz w:val="28"/>
          <w:szCs w:val="28"/>
          <w:rtl/>
        </w:rPr>
        <w:t xml:space="preserve">آغاز: من كلام سيدتنا فاطمة البتول *** عند التحزن فى مصـاب الرسول؛ انجام: ما لى اريكم كلكم سكوتا *** والله خلق البلهوتا</w:t>
      </w:r>
    </w:p>
    <w:p>
      <w:pPr>
        <w:pStyle w:val="BookText"/>
      </w:pPr>
      <w:r>
        <w:rPr>
          <w:rFonts w:ascii="IRNazanin" w:hAnsi="IRNazanin" w:eastAsia="IRNazanin" w:cs="IRNazanin"/>
          <w:lang w:bidi="fa-IR"/>
          <w:color w:val="111111"/>
          <w:sz w:val="28"/>
          <w:szCs w:val="28"/>
          <w:rtl/>
        </w:rPr>
        <w:t xml:space="preserve">مجموعه ای است مختصر و مشتمل بر اشعار تازی از حضر محمد (صلّی اللَّهِ علیه وَ آلِهِ وَ سَلَّمَ ) و ائمه شیعه چون حضرت علی، زین العابدین، جـعفر صادق، حسین، حسن ابى الحسن الرضا، تقی جواد (علیه السّلام) که بر پیشانی همه اشعار اسم ناظم با لقبمولینا (= مولانا) نوشته شـده؛</w:t>
      </w:r>
    </w:p>
    <w:p>
      <w:pPr>
        <w:pStyle w:val="BookText"/>
      </w:pPr>
      <w:r>
        <w:rPr>
          <w:rFonts w:ascii="IRNazanin" w:hAnsi="IRNazanin" w:eastAsia="IRNazanin" w:cs="IRNazanin"/>
          <w:lang w:bidi="fa-IR"/>
          <w:color w:val="111111"/>
          <w:sz w:val="28"/>
          <w:szCs w:val="28"/>
          <w:rtl/>
        </w:rPr>
        <w:t xml:space="preserve">خط: نستعلیق و شکسته، کا: علی اکبر بن  علی، تا: قرن ۱۳؛ واقف: شمس الدین پرویزی ؛کاغذ: فرنگی سفید، جلد: شميز، ۵گ،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۹ - ۸۳]</w:t>
      </w:r>
    </w:p>
    <w:p>
      <w:pPr>
        <w:pStyle w:val="BookText"/>
      </w:pPr>
      <w:r>
        <w:rPr>
          <w:rFonts w:ascii="IRNazanin" w:hAnsi="IRNazanin" w:eastAsia="IRNazanin" w:cs="IRNazanin"/>
          <w:lang w:bidi="fa-IR"/>
          <w:color w:val="111111"/>
          <w:sz w:val="28"/>
          <w:szCs w:val="28"/>
          <w:rtl/>
        </w:rPr>
        <w:t xml:space="preserve">۱۵۲. تهران؛ ملک؛ شماره نسخه: ۵۱۳/۲</w:t>
      </w:r>
    </w:p>
    <w:p>
      <w:pPr>
        <w:pStyle w:val="BookText"/>
      </w:pPr>
      <w:r>
        <w:rPr>
          <w:rFonts w:ascii="IRNazanin" w:hAnsi="IRNazanin" w:eastAsia="IRNazanin" w:cs="IRNazanin"/>
          <w:lang w:bidi="fa-IR"/>
          <w:color w:val="111111"/>
          <w:sz w:val="28"/>
          <w:szCs w:val="28"/>
          <w:rtl/>
        </w:rPr>
        <w:t xml:space="preserve">اشعاری از شاعران عرب از زن و مرد ؛خط: شکسته نستعلیق، بی کا، تا: قرن ۱۳ [ف: ۵ - ۵۲]</w:t>
      </w:r>
    </w:p>
    <w:p>
      <w:pPr>
        <w:pStyle w:val="BookText"/>
      </w:pPr>
      <w:r>
        <w:rPr>
          <w:rFonts w:ascii="IRNazanin" w:hAnsi="IRNazanin" w:eastAsia="IRNazanin" w:cs="IRNazanin"/>
          <w:lang w:bidi="fa-IR"/>
          <w:color w:val="111111"/>
          <w:sz w:val="28"/>
          <w:szCs w:val="28"/>
          <w:rtl/>
        </w:rPr>
        <w:t xml:space="preserve">۱۵۳. تهران؛ ملک؛ شماره نسخه: ۵۴۹۱</w:t>
      </w:r>
    </w:p>
    <w:p>
      <w:pPr>
        <w:pStyle w:val="BookText"/>
      </w:pPr>
      <w:r>
        <w:rPr>
          <w:rFonts w:ascii="IRNazanin" w:hAnsi="IRNazanin" w:eastAsia="IRNazanin" w:cs="IRNazanin"/>
          <w:lang w:bidi="fa-IR"/>
          <w:color w:val="111111"/>
          <w:sz w:val="28"/>
          <w:szCs w:val="28"/>
          <w:rtl/>
        </w:rPr>
        <w:t xml:space="preserve">جنگ اشعار است شامل اشعاری از: شهرزوری، ابو تمام، حبیب بن اوس طائى، عروة بن خزام، سید رضی، ابوعبدالله حلبی، معاویه، صفى الدين حلى، سيد صادق فحام، عمر بن فارض، ابن عتاهية، نجم الدین اسرائیلی، ابن الخیمی ،ابوفراس ابن الخياط ،ابوزهیر، حسام الدین، ابن مطروح، ابن مطير، ابن سراج مهیار، دیلمی، عمر بن الفارض، عيسى الحاجرى و جز آنها؛ خط: نسخ خوش، بی کا، تا: قرن ۱۳؛ مهر: «کاشف الملک»؛ کاغذ: فرنگی آهار مهره، جلد: رویه میشن یشمی، ۲۴۰گ، ۱۴ سطر ،اندازه: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8- 402]</w:t>
      </w:r>
    </w:p>
    <w:p>
      <w:pPr>
        <w:pStyle w:val="BookText"/>
      </w:pPr>
      <w:r>
        <w:rPr>
          <w:rFonts w:ascii="IRNazanin" w:hAnsi="IRNazanin" w:eastAsia="IRNazanin" w:cs="IRNazanin"/>
          <w:lang w:bidi="fa-IR"/>
          <w:color w:val="111111"/>
          <w:sz w:val="28"/>
          <w:szCs w:val="28"/>
          <w:rtl/>
        </w:rPr>
        <w:t xml:space="preserve">۱۵۴. تهران؛ ملی؛ شماره نسخه: ۸۰۷</w:t>
      </w:r>
    </w:p>
    <w:p>
      <w:pPr>
        <w:pStyle w:val="BookText"/>
      </w:pPr>
      <w:r>
        <w:rPr>
          <w:rFonts w:ascii="IRNazanin" w:hAnsi="IRNazanin" w:eastAsia="IRNazanin" w:cs="IRNazanin"/>
          <w:lang w:bidi="fa-IR"/>
          <w:color w:val="111111"/>
          <w:sz w:val="28"/>
          <w:szCs w:val="28"/>
          <w:rtl/>
        </w:rPr>
        <w:t xml:space="preserve">در این جنگ اشعاری از شاعران زیر آمده است: ابی نواس، طغرایی (لامية العجم)، سید صدرالدین، نابغه ذبیانی، ابن نباتة، ابوالحسن احمد بن منير الطرابلسى، ابوالفتح بستی، دعبل بن علی شاعر  خزاعی ،سلامی ،ابن العميد، البحترى، على بن الجهم، ابیوردی، بدیع الزمان ،همدانی ،مجنون، ابواسحاق صابی، ابو الحسن، حسان بن ثابت ،فرزدق ،اعشی، امرء القيس، جرير، کمیت، ابوذويب الهذلي، لبيد بن ربیعه، شیخ زین الدین، شیخ</w:t>
      </w:r>
    </w:p>
    <w:p>
      <w:pPr>
        <w:pStyle w:val="BookText"/>
      </w:pPr>
      <w:r>
        <w:rPr>
          <w:rFonts w:ascii="IRNazanin" w:hAnsi="IRNazanin" w:eastAsia="IRNazanin" w:cs="IRNazanin"/>
          <w:lang w:bidi="fa-IR"/>
          <w:color w:val="111111"/>
          <w:sz w:val="28"/>
          <w:szCs w:val="28"/>
          <w:rtl/>
        </w:rPr>
        <w:t xml:space="preserve">برهان الدین، شرف الدین ابو حفص، ابو المواهب ؛خط: نستعلیق، بی کا، تا: محتملاً قرن ۱۳ ؛کاغذ: فرنگی، جلد:تیماج مشکی  مجدول، ۷۲گ، ۱۵ سطر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۲۲/۲سم [ف:  8- 311]</w:t>
      </w:r>
    </w:p>
    <w:p>
      <w:pPr>
        <w:pStyle w:val="BookText"/>
      </w:pPr>
      <w:r>
        <w:rPr>
          <w:rFonts w:ascii="IRNazanin" w:hAnsi="IRNazanin" w:eastAsia="IRNazanin" w:cs="IRNazanin"/>
          <w:lang w:bidi="fa-IR"/>
          <w:color w:val="111111"/>
          <w:sz w:val="28"/>
          <w:szCs w:val="28"/>
          <w:rtl/>
        </w:rPr>
        <w:t xml:space="preserve">۱۵۵. تهران؛ دانشسرای عالی - کتابخانه میرزا عبدالعظیم خان قریب  گرکانی؛ شماره نسخه: ۶۴</w:t>
      </w:r>
    </w:p>
    <w:p>
      <w:pPr>
        <w:pStyle w:val="BookText"/>
      </w:pPr>
      <w:r>
        <w:rPr>
          <w:rFonts w:ascii="IRNazanin" w:hAnsi="IRNazanin" w:eastAsia="IRNazanin" w:cs="IRNazanin"/>
          <w:lang w:bidi="fa-IR"/>
          <w:color w:val="111111"/>
          <w:sz w:val="28"/>
          <w:szCs w:val="28"/>
          <w:rtl/>
        </w:rPr>
        <w:t xml:space="preserve">جنگ دیوان جریر و فرزدق و راعی و اخطل و متيم بن نويرة اليربوعي و كعب سدوسی غنوی و شنفری و احوص، گردآورده شاگرد ابو محمد الخشاب در شش جزو؛ خط: نسخ، بی کا، تا: قرن ۱۳؛ قطع: ربعی [ نشریه: ۵ - ۶۵۲]</w:t>
      </w:r>
    </w:p>
    <w:p>
      <w:pPr>
        <w:pStyle w:val="BookText"/>
      </w:pPr>
      <w:r>
        <w:rPr>
          <w:rFonts w:ascii="IRNazanin" w:hAnsi="IRNazanin" w:eastAsia="IRNazanin" w:cs="IRNazanin"/>
          <w:lang w:bidi="fa-IR"/>
          <w:color w:val="111111"/>
          <w:sz w:val="28"/>
          <w:szCs w:val="28"/>
          <w:rtl/>
        </w:rPr>
        <w:t xml:space="preserve">۱۵۶. قم؛ گلپایگانی؛ شماره نسخه: ۲۳۱۲/۱-۱۲/۲۰۲</w:t>
      </w:r>
    </w:p>
    <w:p>
      <w:pPr>
        <w:pStyle w:val="BookText"/>
      </w:pPr>
      <w:r>
        <w:rPr>
          <w:rFonts w:ascii="IRNazanin" w:hAnsi="IRNazanin" w:eastAsia="IRNazanin" w:cs="IRNazanin"/>
          <w:lang w:bidi="fa-IR"/>
          <w:color w:val="111111"/>
          <w:sz w:val="28"/>
          <w:szCs w:val="28"/>
          <w:rtl/>
        </w:rPr>
        <w:t xml:space="preserve">آغاز: تفدیک النفوس ولا تفادا *** فادن الوصل او اطل البعادا. اى كل نفس يتعجب بك ويقول لك فديتك ولايتفادى النفوس ای لا يقول بعضها؛ انجام: على اى جرم ام باية سيرة *** اعنف في تقر يضهم واكذب / الم ترنى من حب آل محمد*** اروح واغدو خائفا اترقب</w:t>
      </w:r>
    </w:p>
    <w:p>
      <w:pPr>
        <w:pStyle w:val="BookText"/>
      </w:pPr>
      <w:r>
        <w:rPr>
          <w:rFonts w:ascii="IRNazanin" w:hAnsi="IRNazanin" w:eastAsia="IRNazanin" w:cs="IRNazanin"/>
          <w:lang w:bidi="fa-IR"/>
          <w:color w:val="111111"/>
          <w:sz w:val="28"/>
          <w:szCs w:val="28"/>
          <w:rtl/>
        </w:rPr>
        <w:t xml:space="preserve">جنگی است فراهم آمده در اواخر قرن سیزدهم شامل این اشعار: اشعاری از متنبی و دیگران به عربی، قصیده اشکوانیه عمیدالدین اسعد، اشعاری از: زهیرمصری، امام علی (علیه السّلام)، رفیع الدین و ابراهيم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ادهم ،قصیده ابن ابی الحدید در ذکر فتح خیبر با این مطلع: «الا ان نجد المسجد ابيض ملحوب *** ولكنه المهالك مرعوب»، اشعار ابوالغول الطهوى و اشعاری کوتاه از شعرای  عرب، اشعاری از: نظام الدین اصفهانی فی مرثیه بهاء الدين جوینی،ابوالمعـانی غلامحسین جربادقانی، امرء القیس، سید رضی، احمد بن حسین جبعی، عبدالباقی موصلی فاروقی در مدح علی (علیه السّلام) ، بحرالعلـوم، سید شرف، ابوالشرف جرفادقانی و محمد بن موسی نیشابوری ؛خط: نسخ و نستعلیق، بی کا، تا: قرن ۱۳؛ افتادگی: انجام؛ جـلد: تیماج مشکی مجدول ضربی با ترنج و سرترنج، ۸۲گ، ۲۰ سـطر،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۳ - ۱۲۳۶]</w:t>
      </w:r>
    </w:p>
    <w:p>
      <w:pPr>
        <w:pStyle w:val="BookText"/>
      </w:pPr>
      <w:r>
        <w:rPr>
          <w:rFonts w:ascii="IRNazanin" w:hAnsi="IRNazanin" w:eastAsia="IRNazanin" w:cs="IRNazanin"/>
          <w:lang w:bidi="fa-IR"/>
          <w:color w:val="111111"/>
          <w:sz w:val="28"/>
          <w:szCs w:val="28"/>
          <w:rtl/>
        </w:rPr>
        <w:t xml:space="preserve">۱۵۷. تهران؛ مؤسسه مطالعات اسلامی؛ شماره نسخه: ۱۳۹</w:t>
      </w:r>
    </w:p>
    <w:p>
      <w:pPr>
        <w:pStyle w:val="BookText"/>
      </w:pPr>
      <w:r>
        <w:rPr>
          <w:rFonts w:ascii="IRNazanin" w:hAnsi="IRNazanin" w:eastAsia="IRNazanin" w:cs="IRNazanin"/>
          <w:lang w:bidi="fa-IR"/>
          <w:color w:val="111111"/>
          <w:sz w:val="28"/>
          <w:szCs w:val="28"/>
          <w:rtl/>
        </w:rPr>
        <w:t xml:space="preserve">آغاز:بسم... الحمد لله الذي اطلع في رياض الافكار ورود المعـانی و زهر الادب و زين سماء القلوب بكواكب الملاحة ؛ انجام: و صاحب سيف دائما ابدا *** هما ذال يتبع ما يجرى به القلم</w:t>
      </w:r>
    </w:p>
    <w:p>
      <w:pPr>
        <w:pStyle w:val="BookText"/>
      </w:pPr>
      <w:r>
        <w:rPr>
          <w:rFonts w:ascii="IRNazanin" w:hAnsi="IRNazanin" w:eastAsia="IRNazanin" w:cs="IRNazanin"/>
          <w:lang w:bidi="fa-IR"/>
          <w:color w:val="111111"/>
          <w:sz w:val="28"/>
          <w:szCs w:val="28"/>
          <w:rtl/>
        </w:rPr>
        <w:t xml:space="preserve">منتخب اشعار عربی ؛خط: مختلف، بی کا، تا: قرن ۱۳؛ کاغذ:الوان، جلد: مقوایی ،۱۷۲گ، مختلف السطر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 ، اندازه:۱۹/۵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۳۱سم [ف: ۱۰۷]</w:t>
      </w:r>
    </w:p>
    <w:p>
      <w:pPr>
        <w:pStyle w:val="BookText"/>
      </w:pPr>
      <w:r>
        <w:rPr>
          <w:rFonts w:ascii="IRNazanin" w:hAnsi="IRNazanin" w:eastAsia="IRNazanin" w:cs="IRNazanin"/>
          <w:lang w:bidi="fa-IR"/>
          <w:color w:val="111111"/>
          <w:sz w:val="28"/>
          <w:szCs w:val="28"/>
          <w:rtl/>
        </w:rPr>
        <w:t xml:space="preserve">۱۵۸. قم؛ مرعشی؛ شماره نسخه: ۱۲۱۴۹</w:t>
      </w:r>
    </w:p>
    <w:p>
      <w:pPr>
        <w:pStyle w:val="BookText"/>
      </w:pPr>
      <w:r>
        <w:rPr>
          <w:rFonts w:ascii="IRNazanin" w:hAnsi="IRNazanin" w:eastAsia="IRNazanin" w:cs="IRNazanin"/>
          <w:lang w:bidi="fa-IR"/>
          <w:color w:val="111111"/>
          <w:sz w:val="28"/>
          <w:szCs w:val="28"/>
          <w:rtl/>
        </w:rPr>
        <w:t xml:space="preserve">آغاز: بحمدک رب العالمین توحدوا *** و لا مؤمن فى الكون الاو يشهدوا؛ انجام: يا نازلاً منى الصميم خلقت في قلبي في ضرام *** يوم اللقائى عندى عظيم اذا أوفا بدر التمام.</w:t>
      </w:r>
    </w:p>
    <w:p>
      <w:pPr>
        <w:pStyle w:val="BookText"/>
      </w:pPr>
      <w:r>
        <w:rPr>
          <w:rFonts w:ascii="IRNazanin" w:hAnsi="IRNazanin" w:eastAsia="IRNazanin" w:cs="IRNazanin"/>
          <w:lang w:bidi="fa-IR"/>
          <w:color w:val="111111"/>
          <w:sz w:val="28"/>
          <w:szCs w:val="28"/>
          <w:rtl/>
        </w:rPr>
        <w:t xml:space="preserve">مجموعه اشعار و قصاید عربی شامل ستایش پروردگار و نیایـش به درگاه او جل جلاله و مدح حضرت نبی اکرم و حضرات انوار خمسه  طیبه، خصوصاً حضرت سیدالشهداء که از «عبدالغني»، «اسماعيل بن عبدالغنی»، «سعد الدين» و دیگران نقل گردیده، برخی از این قصاید به صورت غزل و بعضی چکامه های درویشانه می باشد؛ خط: نستعلیق ،نازیبا ،بی کا، تا: قرن ۱۳؛ کاغذ: فرنگی آبی، جلد: مقوایی با روکش کاغذی ابر و باد، ۳۴گ، مورب سطر (۸/۵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۳۰ - ۶۲۹]</w:t>
      </w:r>
    </w:p>
    <w:p>
      <w:pPr>
        <w:pStyle w:val="BookText"/>
      </w:pPr>
      <w:r>
        <w:rPr>
          <w:rFonts w:ascii="IRNazanin" w:hAnsi="IRNazanin" w:eastAsia="IRNazanin" w:cs="IRNazanin"/>
          <w:lang w:bidi="fa-IR"/>
          <w:color w:val="111111"/>
          <w:sz w:val="28"/>
          <w:szCs w:val="28"/>
          <w:rtl/>
        </w:rPr>
        <w:t xml:space="preserve">۱۵۹. تهران؛ مجلس؛ شماره نسخه: ۴۷۳/۱۲</w:t>
      </w:r>
    </w:p>
    <w:p>
      <w:pPr>
        <w:pStyle w:val="BookText"/>
      </w:pPr>
      <w:r>
        <w:rPr>
          <w:rFonts w:ascii="IRNazanin" w:hAnsi="IRNazanin" w:eastAsia="IRNazanin" w:cs="IRNazanin"/>
          <w:lang w:bidi="fa-IR"/>
          <w:color w:val="111111"/>
          <w:sz w:val="28"/>
          <w:szCs w:val="28"/>
          <w:rtl/>
        </w:rPr>
        <w:t xml:space="preserve">شعرهای حیرت کردستانی؛ خط: نسخ، بی کا، تا: قرن ۱۳؛ کاغذ: سفید، جلد: تیماج تریاکی ضربی مقوایی با ترنج، ۲ص (241- ۲۴۲ حاشیه)، اندازه: ۱۰</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۱۷سم [سنا: ف: ۱ - ۲۷۶]</w:t>
      </w:r>
    </w:p>
    <w:p>
      <w:pPr>
        <w:pStyle w:val="BookText"/>
      </w:pPr>
      <w:r>
        <w:rPr>
          <w:rFonts w:ascii="IRNazanin" w:hAnsi="IRNazanin" w:eastAsia="IRNazanin" w:cs="IRNazanin"/>
          <w:lang w:bidi="fa-IR"/>
          <w:color w:val="111111"/>
          <w:sz w:val="28"/>
          <w:szCs w:val="28"/>
          <w:rtl/>
        </w:rPr>
        <w:t xml:space="preserve">۱۶۰ . اصفهان؛ دانشگاه؛ شماره نسخه: ۲۷۴</w:t>
      </w:r>
    </w:p>
    <w:p>
      <w:pPr>
        <w:pStyle w:val="BookText"/>
      </w:pPr>
      <w:r>
        <w:rPr>
          <w:rFonts w:ascii="IRNazanin" w:hAnsi="IRNazanin" w:eastAsia="IRNazanin" w:cs="IRNazanin"/>
          <w:lang w:bidi="fa-IR"/>
          <w:color w:val="111111"/>
          <w:sz w:val="28"/>
          <w:szCs w:val="28"/>
          <w:rtl/>
        </w:rPr>
        <w:t xml:space="preserve">مشتمل بر اشعاری از شعرای عرب که نام این شاعران در آن دیده می شود: حنظل بن ملا  قاسم، سید صادق فحام، سید محمد بن زین الدین، شیخ علی بن محمد حسین بن  زین، محمدرضا ازری، شـیخ محمد علی اعسم، شیخ هادی بن  احمد، قاضی ابوالعلی حمزة بن عبدالرزاق، ابو جعفر خطی، شیخ احمد  مشاعر ،ابو تمام، ابن نباته، صفى الدين  حلى، ابن سناء الملک، ابن النبيه، سید رضی، بختری، سید مرتضی، شیخ بهائی، شیخ محسن بن على فرج، ابن الفارض، و برخی از اشعار مجنون لیلی؛ خط: نسخ، عربی، بی کا، تا: قرن12 یا ۱۳؛ مهر: «شاهین آل حمود» (دایره)؛ جلد: تیماج مشکی بدون مقوا، ۶۹گ، مختلف السطر، اندازه: 9/5</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سم [ف: ۱ - ۲۰۴]</w:t>
      </w:r>
    </w:p>
    <w:p>
      <w:pPr>
        <w:pStyle w:val="BookText"/>
      </w:pPr>
      <w:r>
        <w:rPr>
          <w:rFonts w:ascii="IRNazanin" w:hAnsi="IRNazanin" w:eastAsia="IRNazanin" w:cs="IRNazanin"/>
          <w:lang w:bidi="fa-IR"/>
          <w:color w:val="111111"/>
          <w:sz w:val="28"/>
          <w:szCs w:val="28"/>
          <w:rtl/>
        </w:rPr>
        <w:t xml:space="preserve">۱۶۱. تهران؛ مفتاح؛ شماره نسخه: ۱۸۴/۳</w:t>
      </w:r>
    </w:p>
    <w:p>
      <w:pPr>
        <w:pStyle w:val="BookText"/>
      </w:pPr>
      <w:r>
        <w:rPr>
          <w:rFonts w:ascii="IRNazanin" w:hAnsi="IRNazanin" w:eastAsia="IRNazanin" w:cs="IRNazanin"/>
          <w:lang w:bidi="fa-IR"/>
          <w:color w:val="111111"/>
          <w:sz w:val="28"/>
          <w:szCs w:val="28"/>
          <w:rtl/>
        </w:rPr>
        <w:t xml:space="preserve">اشعار پراکنده عربی که از آنها قصیده ازری است؛ خط: نسخ، بی کا، تا:قرن ۱۳ [نشریه: ۷ - ۲۲۷]</w:t>
      </w:r>
    </w:p>
    <w:p>
      <w:pPr>
        <w:pStyle w:val="BookText"/>
      </w:pPr>
      <w:r>
        <w:rPr>
          <w:rFonts w:ascii="IRNazanin" w:hAnsi="IRNazanin" w:eastAsia="IRNazanin" w:cs="IRNazanin"/>
          <w:lang w:bidi="fa-IR"/>
          <w:color w:val="111111"/>
          <w:sz w:val="28"/>
          <w:szCs w:val="28"/>
          <w:rtl/>
        </w:rPr>
        <w:t xml:space="preserve">۱۶۲. خوانسار؛ فاضل؛ شماره نسخه ۱۹۰</w:t>
      </w:r>
    </w:p>
    <w:p>
      <w:pPr>
        <w:pStyle w:val="BookText"/>
      </w:pPr>
      <w:r>
        <w:rPr>
          <w:rFonts w:ascii="IRNazanin" w:hAnsi="IRNazanin" w:eastAsia="IRNazanin" w:cs="IRNazanin"/>
          <w:lang w:bidi="fa-IR"/>
          <w:color w:val="111111"/>
          <w:sz w:val="28"/>
          <w:szCs w:val="28"/>
          <w:rtl/>
        </w:rPr>
        <w:t xml:space="preserve">مجموعه قصایدی است در مرح ائمه اطهار (علیهم السّلام) از شعرای بزرگی همچون سید حیدر، میرزا صالح  قزوینی، حاج حسن بن ملا محمد القيم، ملا کاظم ازری، سیدرضی، شریف مبارک حسنی مکی، ابوذؤيب يوسف، شیخ محمد علی اعسم و ... نظم: بعض فضلاء اواخر قرن ۱۳ و اوایل قرن ۱۴؛ خط: نسخ معرب، بی کا، تا: قرن ۱۳؛مصحح ،در برگ اول «مجموعه مرثیه سید حیدر» آمده؛ جلد: تیماج شتری مجدول، بدون مقوا، ۵۵گ، ۲۱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۱ – ۱۳۷]</w:t>
      </w:r>
    </w:p>
    <w:p>
      <w:pPr>
        <w:pStyle w:val="BookText"/>
      </w:pPr>
      <w:r>
        <w:rPr>
          <w:rFonts w:ascii="IRNazanin" w:hAnsi="IRNazanin" w:eastAsia="IRNazanin" w:cs="IRNazanin"/>
          <w:lang w:bidi="fa-IR"/>
          <w:color w:val="111111"/>
          <w:sz w:val="28"/>
          <w:szCs w:val="28"/>
          <w:rtl/>
        </w:rPr>
        <w:t xml:space="preserve">قم؛ مرکز احیاء؛ شماره نسخه: ۵۲</w:t>
      </w:r>
    </w:p>
    <w:p>
      <w:pPr>
        <w:pStyle w:val="BookText"/>
      </w:pPr>
      <w:r>
        <w:rPr>
          <w:rFonts w:ascii="IRNazanin" w:hAnsi="IRNazanin" w:eastAsia="IRNazanin" w:cs="IRNazanin"/>
          <w:lang w:bidi="fa-IR"/>
          <w:color w:val="111111"/>
          <w:sz w:val="28"/>
          <w:szCs w:val="28"/>
          <w:rtl/>
        </w:rPr>
        <w:t xml:space="preserve">آغاز: الحمد لله الذي جعل الشهادة وسيلة لنيل السعادة و الصلاة و السلام على سيدنا و نبینا محمد و آله</w:t>
      </w:r>
    </w:p>
    <w:p>
      <w:pPr>
        <w:pStyle w:val="BookText"/>
      </w:pPr>
      <w:r>
        <w:rPr>
          <w:rFonts w:ascii="IRNazanin" w:hAnsi="IRNazanin" w:eastAsia="IRNazanin" w:cs="IRNazanin"/>
          <w:lang w:bidi="fa-IR"/>
          <w:color w:val="111111"/>
          <w:sz w:val="28"/>
          <w:szCs w:val="28"/>
          <w:rtl/>
        </w:rPr>
        <w:t xml:space="preserve">نسخه اصل: همان نسخه بالا [عکسی ف: ۱- ۶۵]</w:t>
      </w:r>
    </w:p>
    <w:p>
      <w:pPr>
        <w:pStyle w:val="BookText"/>
      </w:pPr>
      <w:r>
        <w:rPr>
          <w:rFonts w:ascii="IRNazanin" w:hAnsi="IRNazanin" w:eastAsia="IRNazanin" w:cs="IRNazanin"/>
          <w:lang w:bidi="fa-IR"/>
          <w:color w:val="111111"/>
          <w:sz w:val="28"/>
          <w:szCs w:val="28"/>
          <w:rtl/>
        </w:rPr>
        <w:t xml:space="preserve">۱۶۳ . قم؛ مرکز احیاء؛ شماره نسخه: ۳۴۹۴</w:t>
      </w:r>
    </w:p>
    <w:p>
      <w:pPr>
        <w:pStyle w:val="BookText"/>
      </w:pPr>
      <w:r>
        <w:rPr>
          <w:rFonts w:ascii="Amiri" w:hAnsi="Amiri" w:eastAsia="Amiri" w:cs="Amiri"/>
          <w:lang w:bidi="ar-SA"/>
          <w:color w:val="111111"/>
          <w:sz w:val="28"/>
          <w:szCs w:val="28"/>
          <w:rtl/>
        </w:rPr>
        <w:t xml:space="preserve">آغاز: للاميهى يمدح بها الوصى عليه السلام: ياسقات الراح ذا الصبح أضا *** و بهذا الوقت ساعات الرضا؛ انجام: اغرق الله آل فرعون لكن*** لم يكن عندهم كهذا النفاق</w:t>
      </w:r>
    </w:p>
    <w:p>
      <w:pPr>
        <w:pStyle w:val="BookText"/>
      </w:pPr>
      <w:r>
        <w:rPr>
          <w:rFonts w:ascii="IRNazanin" w:hAnsi="IRNazanin" w:eastAsia="IRNazanin" w:cs="IRNazanin"/>
          <w:lang w:bidi="fa-IR"/>
          <w:color w:val="111111"/>
          <w:sz w:val="28"/>
          <w:szCs w:val="28"/>
          <w:rtl/>
        </w:rPr>
        <w:t xml:space="preserve">اشعاری است ازبزرگان شعرای عرب بیشتر در مدح ائمه (علیهم السّلام) نام شعرایی که در این مجموعه آمده چنین است: امیهی، شیخ رضی ،مقری، سید مرتضی علم الهدی، شیخ خلیلی، شیخ علی مقری، محمد بن عبدالحمید مشهور به حکیم زاده، عبدالعزيز بن سرايا حلى، سيد يحيى اعرجی، شیخ حسن بن علی نحی، ابن ابی الحديد، شيخ على شفیهینی، شیخ بهاءالدین محمد عاملی، ناصر بن على هجری، ابن حماد، شیخ عودی، شیخ عبدالحسین حجلج، حلاوی، کلبعلی بن جواد کاظمی، شیخ مفامس، رجب برسی، دعبل خزاعی، شیخ احمد حلی، سید رضی، ابوفراس، سید نعمان اعرجی، حمزه نحوی، شیخ محمود بن طریح، خط: نسخ، بی کا، تا: قرن ۱۳، مصحح، محشى؛ جلد: تیماج قهوه ای، ۱۵۵گ، ۱۹سطر، اندازه: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[محدث ارموی مخ :۳ - ۱۴۱۵]</w:t>
      </w:r>
    </w:p>
    <w:p>
      <w:pPr>
        <w:pStyle w:val="BookText"/>
      </w:pPr>
      <w:r>
        <w:rPr>
          <w:rFonts w:ascii="IRNazanin" w:hAnsi="IRNazanin" w:eastAsia="IRNazanin" w:cs="IRNazanin"/>
          <w:lang w:bidi="fa-IR"/>
          <w:color w:val="111111"/>
          <w:sz w:val="28"/>
          <w:szCs w:val="28"/>
          <w:rtl/>
        </w:rPr>
        <w:t xml:space="preserve">۱۶۴. مشهد؛ گوهرشاد؛ شماره نسخه: ۵۰۱</w:t>
      </w:r>
    </w:p>
    <w:p>
      <w:pPr>
        <w:pStyle w:val="BookText"/>
      </w:pPr>
      <w:r>
        <w:rPr>
          <w:rFonts w:ascii="Amiri" w:hAnsi="Amiri" w:eastAsia="Amiri" w:cs="Amiri"/>
          <w:lang w:bidi="ar-SA"/>
          <w:color w:val="111111"/>
          <w:sz w:val="28"/>
          <w:szCs w:val="28"/>
          <w:rtl/>
        </w:rPr>
        <w:t xml:space="preserve">آغاز: بسمله للشيخ على الشفهينى طاب ثراه: أبرق تراى عن يمين ثغورها *** ام ابتسمت عن لؤلؤ من ثغورها؛ انجام: قال اوقد و النيران فى ابياته *** قسماً لها بين البيوت لهيب</w:t>
      </w:r>
    </w:p>
    <w:p>
      <w:pPr>
        <w:pStyle w:val="BookText"/>
      </w:pPr>
      <w:r>
        <w:rPr>
          <w:rFonts w:ascii="IRNazanin" w:hAnsi="IRNazanin" w:eastAsia="IRNazanin" w:cs="IRNazanin"/>
          <w:lang w:bidi="fa-IR"/>
          <w:color w:val="111111"/>
          <w:sz w:val="28"/>
          <w:szCs w:val="28"/>
          <w:rtl/>
        </w:rPr>
        <w:t xml:space="preserve">مجموعه اشعاری است در وقایع عاشورای حسینی از شیخ علی شفهینی و شریف  رضی، سید ماجد بن مقدس، سید قاسم، سید علی خان ،مدنی، شیخ جعفر خطی، شیخ حسن بن شیخ راشد مخزومی حلی، شیخ صالح بن  عرندس، شیخ حمزه نحوی، شیخ احمد نحوی، شیخ لطف الله بن شیخ  علی، سید علی بن سید احمد، شیخ لطف الله بن شیخ محمد، شیخ یوسف ابي ذيب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خطی، شیخ عبدالنبی بن حاجی احمد بن مانع خطی، شریف کاظمی، شیخ عبدالنبی بن مانع، شیخ علی بن مقرب، شيخ محـمد سبعی، علوی مرتضی توبلی، سید احمد بن سيد عبد رؤف بن سـید حسین جد حفصی و پدرش، سید حسین بن سید علی شاخوری، شیخ سلیمان ماحوزی، شیخ داود بن ابی شافیز و شیخ حسن بن شیخ محمد دمیانی، سید شرف الدین بن سید اسماعیل جد حفصی، سید ناصر بن سید شرف الدين جد حفصی، شیخ رجـب برسی شیخ عبدالمنعم بن حاج محمد جد حفصی، شیخ مفامس بن داغر ،کلا تا حدود ۵۲۵۲ بیت را شامل است؛ خط: نسـخ، کا، تا: قرن ۱۳؛ افتادگی: انجام مهر؛ کتابخانه مجدالدین ؛کاغذ: فرنگی آهار مهره ،جلد: کالینگور مشکی، ۲۰۲گ،  14سطر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۲ - ۶۰۷]</w:t>
      </w:r>
    </w:p>
    <w:p>
      <w:pPr>
        <w:pStyle w:val="BookText"/>
      </w:pPr>
      <w:r>
        <w:rPr>
          <w:rFonts w:ascii="IRNazanin" w:hAnsi="IRNazanin" w:eastAsia="IRNazanin" w:cs="IRNazanin"/>
          <w:lang w:bidi="fa-IR"/>
          <w:color w:val="111111"/>
          <w:sz w:val="28"/>
          <w:szCs w:val="28"/>
          <w:rtl/>
        </w:rPr>
        <w:t xml:space="preserve">۱۶۵. تهران؛ سپهسالار؛ شماره نسخه: ۷۱۱۰</w:t>
      </w:r>
    </w:p>
    <w:p>
      <w:pPr>
        <w:pStyle w:val="BookText"/>
      </w:pPr>
      <w:r>
        <w:rPr>
          <w:rFonts w:ascii="IRNazanin" w:hAnsi="IRNazanin" w:eastAsia="IRNazanin" w:cs="IRNazanin"/>
          <w:lang w:bidi="fa-IR"/>
          <w:color w:val="111111"/>
          <w:sz w:val="28"/>
          <w:szCs w:val="28"/>
          <w:rtl/>
        </w:rPr>
        <w:t xml:space="preserve">شعر عربی از: بهاالدین  ذوالشرف، جمال الدين بن مطروح واوأ ،دمشقی، قاضی ارجانی،ابن میررشید، ابن فارض، ابن نخاس، عبدالصمد بغدادی، ابن ابی الحدید، شیخ علی شافینی محمد علی اعسم، جواد قنادی  بغدادی، ابن خلفه حلی و دیگران؛ خط: نسـخ، بی کا، تا: قرن ۱۳؛ کاغذ: فرنگی،جلد: تیماج قهوه ای یک لا، ۸۵گ، ۱۴ سطر ،(8</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،اندازه: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۱۵/۵سم [ف: ۴ - ۹۶]</w:t>
      </w:r>
    </w:p>
    <w:p>
      <w:pPr>
        <w:pStyle w:val="BookText"/>
      </w:pPr>
      <w:r>
        <w:rPr>
          <w:rFonts w:ascii="IRNazanin" w:hAnsi="IRNazanin" w:eastAsia="IRNazanin" w:cs="IRNazanin"/>
          <w:lang w:bidi="fa-IR"/>
          <w:color w:val="111111"/>
          <w:sz w:val="28"/>
          <w:szCs w:val="28"/>
          <w:rtl/>
        </w:rPr>
        <w:t xml:space="preserve">۱۶۶. یزد؛ کاظمینی؛ شماره نسخه: ۱۱۴</w:t>
      </w:r>
    </w:p>
    <w:p>
      <w:pPr>
        <w:pStyle w:val="BookText"/>
      </w:pPr>
      <w:r>
        <w:rPr>
          <w:rFonts w:ascii="IRNazanin" w:hAnsi="IRNazanin" w:eastAsia="IRNazanin" w:cs="IRNazanin"/>
          <w:lang w:bidi="fa-IR"/>
          <w:color w:val="111111"/>
          <w:sz w:val="28"/>
          <w:szCs w:val="28"/>
          <w:rtl/>
        </w:rPr>
        <w:t xml:space="preserve">اشعاری از شعرای بزرگ عرب به ترتیب حروف آخر قوافی جمع آوری شده با این عناوین قطری بن الفجاة، حسين بن مطیر اسدی، قسام بن رواحه سنبسی، منظور بن شحيم، صمة بن عبدالله القشيرى، البرج بن مسهرالطائی ،متنبی ،دعبل ،امر والقیس، جـعفر بن علبة الحارثي، بلعاء بن قیس کنانی، سعد بن ناشب ،الشمـیذر الحارثي، عامر بن طفیل، عمرو بن معدی کرب، عباس بن مرداس سلمی، شریف رضی، شیخ محمد حسین نجفی، سیار بن قصیر الطائی، شیخ بهائی،شماخ، سعد بن مالک، محمد بن عيد، حارث بن هشام، تاج الدین عاملی، امیرالمومنین (علیه السّلام)، قصیده برده، فرزدق قصيدة العروس و دیگران؛ خط: نسخ، بی کا، تا: قرن13؛ برگ ۴۹ یک رباعی عربی از سید حسن بن مدرس یزدی، یادداشتی از محمد حسین بن احمد یزدی به نقل از محمد حسـین بن مسعود تهرانی در کاظمین به سال ۱۲۳۷ (برگ (۵۴)، برگ82 یادداشتی از محمد حسین بن احمد بن محمد بن سميع يزدى ۱۲۲۷ در مشهد رضوی، یادداشتی دیگر از سمیع یزدی  به خاطر عمویش محمد حسین بن احمد ،برگ ۹۰ اشعاری به عربی از سید حسن بن مدرس یزدی جهت عبدالصالح بن حسين  ملقب به مومن به سال ۱۲۴۵ و ۱۲۴۶؛ ۱۱۹گ، مختلف السطر، اندازه:۱۵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۱ - ۱۰۹]</w:t>
      </w:r>
    </w:p>
    <w:p>
      <w:pPr>
        <w:pStyle w:val="BookText"/>
      </w:pPr>
      <w:r>
        <w:rPr>
          <w:rFonts w:ascii="IRNazanin" w:hAnsi="IRNazanin" w:eastAsia="IRNazanin" w:cs="IRNazanin"/>
          <w:lang w:bidi="fa-IR"/>
          <w:color w:val="111111"/>
          <w:sz w:val="28"/>
          <w:szCs w:val="28"/>
          <w:rtl/>
        </w:rPr>
        <w:t xml:space="preserve">۱۶۷. تهران؛ ملک؛ شماره نسخه: ۶۳۴۰</w:t>
      </w:r>
    </w:p>
    <w:p>
      <w:pPr>
        <w:pStyle w:val="BookText"/>
      </w:pPr>
      <w:r>
        <w:rPr>
          <w:rFonts w:ascii="IRNazanin" w:hAnsi="IRNazanin" w:eastAsia="IRNazanin" w:cs="IRNazanin"/>
          <w:lang w:bidi="fa-IR"/>
          <w:color w:val="111111"/>
          <w:sz w:val="28"/>
          <w:szCs w:val="28"/>
          <w:rtl/>
        </w:rPr>
        <w:t xml:space="preserve">آغاز: امالک یاداء الحب دواء *** بلى عند بعض الناس منذ شفاء؛</w:t>
      </w:r>
    </w:p>
    <w:p>
      <w:pPr>
        <w:pStyle w:val="BookText"/>
      </w:pPr>
      <w:r>
        <w:rPr>
          <w:rFonts w:ascii="IRNazanin" w:hAnsi="IRNazanin" w:eastAsia="IRNazanin" w:cs="IRNazanin"/>
          <w:lang w:bidi="fa-IR"/>
          <w:color w:val="111111"/>
          <w:sz w:val="28"/>
          <w:szCs w:val="28"/>
          <w:rtl/>
        </w:rPr>
        <w:t xml:space="preserve">انجام: و علی آل و صحب كلما *** هيج الريق</w:t>
      </w:r>
    </w:p>
    <w:p>
      <w:pPr>
        <w:pStyle w:val="BookText"/>
      </w:pPr>
      <w:r>
        <w:rPr>
          <w:rFonts w:ascii="IRNazanin" w:hAnsi="IRNazanin" w:eastAsia="IRNazanin" w:cs="IRNazanin"/>
          <w:lang w:bidi="fa-IR"/>
          <w:color w:val="111111"/>
          <w:sz w:val="28"/>
          <w:szCs w:val="28"/>
          <w:rtl/>
        </w:rPr>
        <w:t xml:space="preserve">شعرهایی است بیشتر بدون یادی از نام سراینده آنها که برای مشاعره گرد آوری شده؛ خط: نسخ، بی کا، تا: قرن ۱۳، سطور  چلیپا [ف]</w:t>
      </w:r>
    </w:p>
    <w:p>
      <w:pPr>
        <w:pStyle w:val="BookText"/>
      </w:pPr>
      <w:r>
        <w:rPr>
          <w:rFonts w:ascii="IRNazanin" w:hAnsi="IRNazanin" w:eastAsia="IRNazanin" w:cs="IRNazanin"/>
          <w:lang w:bidi="fa-IR"/>
          <w:color w:val="111111"/>
          <w:sz w:val="28"/>
          <w:szCs w:val="28"/>
          <w:rtl/>
        </w:rPr>
        <w:t xml:space="preserve">۱۶۸. تهران؛ مجلس؛ شماره نسخه: ۹۲۵۸/۱۰</w:t>
      </w:r>
    </w:p>
    <w:p>
      <w:pPr>
        <w:pStyle w:val="BookText"/>
      </w:pPr>
      <w:r>
        <w:rPr>
          <w:rFonts w:ascii="IRNazanin" w:hAnsi="IRNazanin" w:eastAsia="IRNazanin" w:cs="IRNazanin"/>
          <w:lang w:bidi="fa-IR"/>
          <w:color w:val="111111"/>
          <w:sz w:val="28"/>
          <w:szCs w:val="28"/>
          <w:rtl/>
        </w:rPr>
        <w:t xml:space="preserve">از حاج سید مهدی (؟) (شاید بحر العلوم طباطبائی). تضمين قصيدة ابن الازرى؛ خط: نسخ، بی کا، تا: قرن ۱۳، ۲گ (۲۸پ-۲۹پ) [مختصر ف: - ۱۷۹]</w:t>
      </w:r>
    </w:p>
    <w:p>
      <w:pPr>
        <w:pStyle w:val="BookText"/>
      </w:pPr>
      <w:r>
        <w:rPr>
          <w:rFonts w:ascii="IRNazanin" w:hAnsi="IRNazanin" w:eastAsia="IRNazanin" w:cs="IRNazanin"/>
          <w:lang w:bidi="fa-IR"/>
          <w:color w:val="111111"/>
          <w:sz w:val="28"/>
          <w:szCs w:val="28"/>
          <w:rtl/>
        </w:rPr>
        <w:t xml:space="preserve">۱۶۹. تهران؛ ملک؛ شماره نسخه: ۱۲۰۲/۱</w:t>
      </w:r>
    </w:p>
    <w:p>
      <w:pPr>
        <w:pStyle w:val="BookText"/>
      </w:pPr>
      <w:r>
        <w:rPr>
          <w:rFonts w:ascii="IRNazanin" w:hAnsi="IRNazanin" w:eastAsia="IRNazanin" w:cs="IRNazanin"/>
          <w:lang w:bidi="fa-IR"/>
          <w:color w:val="111111"/>
          <w:sz w:val="28"/>
          <w:szCs w:val="28"/>
          <w:rtl/>
        </w:rPr>
        <w:t xml:space="preserve">از قصیده های متنبی (که بیشتر آن است) ،عبدالله کردی، انوری، ابن راوندی ،بحتری، ابن الخیاط ،مهیار، از ری و شیخ احمد نحوی، سید رضی، ابو فراس، خط: نسخ، بی کا، تا: قرن ۱۳؛ کاغذ: ،پسته ای ،جلد: میشن قهوه ای  نو، ۲۱ سطر [ف: ۵ - ۲۴۴]</w:t>
      </w:r>
    </w:p>
    <w:p>
      <w:pPr>
        <w:pStyle w:val="BookText"/>
      </w:pPr>
      <w:r>
        <w:rPr>
          <w:rFonts w:ascii="Amiri" w:hAnsi="Amiri" w:eastAsia="Amiri" w:cs="Amiri"/>
          <w:lang w:bidi="ar-SA"/>
          <w:color w:val="111111"/>
          <w:sz w:val="28"/>
          <w:szCs w:val="28"/>
          <w:rtl/>
        </w:rPr>
        <w:t xml:space="preserve">۱۷۰. تهران؛ دائرة المعارف؛ شماره نسخه: ۵۳۰</w:t>
      </w:r>
    </w:p>
    <w:p>
      <w:pPr>
        <w:pStyle w:val="BookText"/>
      </w:pPr>
      <w:r>
        <w:rPr>
          <w:rFonts w:ascii="IRNazanin" w:hAnsi="IRNazanin" w:eastAsia="IRNazanin" w:cs="IRNazanin"/>
          <w:lang w:bidi="fa-IR"/>
          <w:color w:val="111111"/>
          <w:sz w:val="28"/>
          <w:szCs w:val="28"/>
          <w:rtl/>
        </w:rPr>
        <w:t xml:space="preserve">آغاز: ما قاله السيد الشريف الرضى ... يا خليلي احبسا نضو يكما *** بين اعلام النقى و المنحنى؛ انجام: اذا اخذت بذل المخاض سلاحها *** تجرد فيها متلف المال كاسبه. و قال آخر ... گزیده سروده هایی است نامبوب، از سرایندگان عرب زبان چون شریف  رضی، ابوالغارات، دیک الجن، مهیار دیلمی، ابن معتز ،متنبی، عمر بن ابی ربیعه؛ خط: نسخ تحریری، بی کا، تا: قرن ۱۳؛ با یادداشتی مبنی بر این که چند برگ آغاز نسخه دست نوشته</w:t>
      </w:r>
    </w:p>
    <w:p>
      <w:pPr>
        <w:pStyle w:val="BookText"/>
      </w:pPr>
      <w:r>
        <w:rPr>
          <w:rFonts w:ascii="IRNazanin" w:hAnsi="IRNazanin" w:eastAsia="IRNazanin" w:cs="IRNazanin"/>
          <w:lang w:bidi="fa-IR"/>
          <w:color w:val="111111"/>
          <w:sz w:val="28"/>
          <w:szCs w:val="28"/>
          <w:rtl/>
        </w:rPr>
        <w:t xml:space="preserve">حاج اکبر شیرازی است :کاغذ: نباتی ،جلد: مقوا، ته پارچه طوسی ،۱۶۲گ، مختلف السطر،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 - ۷۵]</w:t>
      </w:r>
    </w:p>
    <w:p>
      <w:pPr>
        <w:pStyle w:val="BookText"/>
      </w:pPr>
      <w:r>
        <w:rPr>
          <w:rFonts w:ascii="IRNazanin" w:hAnsi="IRNazanin" w:eastAsia="IRNazanin" w:cs="IRNazanin"/>
          <w:lang w:bidi="fa-IR"/>
          <w:color w:val="111111"/>
          <w:sz w:val="28"/>
          <w:szCs w:val="28"/>
          <w:rtl/>
        </w:rPr>
        <w:t xml:space="preserve">۱۷۱ .تهران؛ دائرة المعارف؛ شماره نسخه: ۱۸۳۸ عکسی</w:t>
      </w:r>
    </w:p>
    <w:p>
      <w:pPr>
        <w:pStyle w:val="BookText"/>
      </w:pPr>
      <w:r>
        <w:rPr>
          <w:rFonts w:ascii="IRNazanin" w:hAnsi="IRNazanin" w:eastAsia="IRNazanin" w:cs="IRNazanin"/>
          <w:lang w:bidi="fa-IR"/>
          <w:color w:val="111111"/>
          <w:sz w:val="28"/>
          <w:szCs w:val="28"/>
          <w:rtl/>
        </w:rPr>
        <w:t xml:space="preserve">مجموعه سروده های عربی: قصیده بانت سعاد، سپس قصیده ای با این سرآغاز: «ظلت على الايام فرحان غافلا *** ليس الغريب غريب الشام واليمن»، قصیده از عبدالله بن قاسم سهروردی، سید نعمان اعرجی، شیخ احمد حلی، سید محمد قطیفی (اطال الله بقائه)، شیخ اسماعیل  مقری، محمد کاظم ازری، ابن فارض (شربنا على ذكر الحبيب مدامة)، لامية العرب، ابن ابی الحدید، طغرائی (اصالت الراى ..) قصيده محمليه (روحی لناظمها فداء)، قصيده  برده (امن تذکر ..)، حسان بن ثابت، امرء القيس، زهير بن سلمی، ابن ربيعة ،عمر بن كلثوم، عنترة بن شداد، حارث بن حلوة؛ خط: نسخ خوش، بی کا، تا: قرن ۱۳؛ برخی از واژه ها در میان سطرها و کناره ها به عربی و فارسی گزارش شده؛ ۳۰۱ ص، ۸ سطر ۳۰۱ص، (۵/۷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۳۰سم [عکسی ف: ۱ - ۱۰۵]</w:t>
      </w:r>
    </w:p>
    <w:p>
      <w:pPr>
        <w:pStyle w:val="BookText"/>
      </w:pPr>
      <w:r>
        <w:rPr>
          <w:rFonts w:ascii="IRNazanin" w:hAnsi="IRNazanin" w:eastAsia="IRNazanin" w:cs="IRNazanin"/>
          <w:lang w:bidi="fa-IR"/>
          <w:color w:val="111111"/>
          <w:sz w:val="28"/>
          <w:szCs w:val="28"/>
          <w:rtl/>
        </w:rPr>
        <w:t xml:space="preserve">۱۷۲. تهران؛ مجلس؛ شماره نسخه: ۱۲۲۷/۳-طباطبائی</w:t>
      </w:r>
    </w:p>
    <w:p>
      <w:pPr>
        <w:pStyle w:val="BookText"/>
      </w:pPr>
      <w:r>
        <w:rPr>
          <w:rFonts w:ascii="IRNazanin" w:hAnsi="IRNazanin" w:eastAsia="IRNazanin" w:cs="IRNazanin"/>
          <w:lang w:bidi="fa-IR"/>
          <w:color w:val="111111"/>
          <w:sz w:val="28"/>
          <w:szCs w:val="28"/>
          <w:rtl/>
        </w:rPr>
        <w:t xml:space="preserve">آغاز: رثتني الليالى بالخطوب على عمد *** فاجرت دموعی القانيات على خدى</w:t>
      </w:r>
    </w:p>
    <w:p>
      <w:pPr>
        <w:pStyle w:val="BookText"/>
      </w:pPr>
      <w:r>
        <w:rPr>
          <w:rFonts w:ascii="IRNazanin" w:hAnsi="IRNazanin" w:eastAsia="IRNazanin" w:cs="IRNazanin"/>
          <w:lang w:bidi="fa-IR"/>
          <w:color w:val="111111"/>
          <w:sz w:val="28"/>
          <w:szCs w:val="28"/>
          <w:rtl/>
        </w:rPr>
        <w:t xml:space="preserve">در این بخش این مرثیه ها دیده می شود: قصیده شیخ عبدالحسین بن اعسم در رثاء شیخ ابراهیم بن شیخ محمد بن نصار، قصيده شيخ محمد على اعسم در رثاء سید محمد مهدی طباطبائی، مرثیه دیگری از همان اعسم درباره سيد بحر العلوم: «ما بال قد  دمعي قد انهلت غريزته *** تكاد تسبق اولاه اخيرته»؛ خط: نسخ، بی کا، تا: قرن ۱۳؛ کاغذ ،فرنگی ،جلد: تیماج قرمز یک لا، ص (۲۴۷ -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۲۵۴)،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 ۲۳ - ۷۹۹]</w:t>
      </w:r>
    </w:p>
    <w:p>
      <w:pPr>
        <w:pStyle w:val="BookText"/>
      </w:pPr>
      <w:r>
        <w:rPr>
          <w:rFonts w:ascii="IRNazanin" w:hAnsi="IRNazanin" w:eastAsia="IRNazanin" w:cs="IRNazanin"/>
          <w:lang w:bidi="fa-IR"/>
          <w:color w:val="111111"/>
          <w:sz w:val="28"/>
          <w:szCs w:val="28"/>
          <w:rtl/>
        </w:rPr>
        <w:t xml:space="preserve">۱۷۳. تهران؛ مجلس؛ شماره نسخه ۱۰۲/۶- طباطبائی</w:t>
      </w:r>
    </w:p>
    <w:p>
      <w:pPr>
        <w:pStyle w:val="BookText"/>
      </w:pPr>
      <w:r>
        <w:rPr>
          <w:rFonts w:ascii="IRNazanin" w:hAnsi="IRNazanin" w:eastAsia="IRNazanin" w:cs="IRNazanin"/>
          <w:lang w:bidi="fa-IR"/>
          <w:color w:val="111111"/>
          <w:sz w:val="28"/>
          <w:szCs w:val="28"/>
          <w:rtl/>
        </w:rPr>
        <w:t xml:space="preserve">در این بخش از مجموعه اشعاری است به عربی و نام شاعران گاه در صدر قصاید یاد شده است، فهرست اسامی: رضی الدین حسینی (شریف)، احمد چلبی (شاگرد رضی) ،کشاجم، قیراطی، ابوالحسن شریف طباطبائی، ابن سعید، منصور فقیه، سعدالدین بن العربي، (تقریظ سید ابوالفتح اسدالله بن حسین حلبی بر دیوان سید شريف محمد بن فلاح فاطمی و سپس چند قصیده از دیوان او)، شیخ نورالدین علی بن عراق، شیخ عبدالصمد، ابن المشـرق ماردینی، احنف عکبری ابو جمیل نیشابوری، شیخ بهائی، جلال الدين يحيى بن عبدالعظیم معروف به جزار مصری، ابو محـمد عبدالولی قطب الدین، ابن المعتز، ابن سيرين، عايشه الباعونه ،ابن الدميثه ،ابو تمام، ابوظهیر، سید رضی، کعب بن زهیر، شمـس الدین محمد جوینی، یزید بن معاویه، مغربي (على بن المقرب) در حاشیه و بین سطور بیشتر صفحات ترجمه فارسی کلمات و گاه ابیات با قلم نستعلیق ذکر شده؛ خط: نسخ، بی کا، تا: قرن13؛ کاغذ: فرنگی سفید، جلد: تیماج قهوه ای یک لا، ۴۵گ (128- 172)، قطع: خشتی،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 ۲۲ - ۲۲]</w:t>
      </w:r>
    </w:p>
    <w:p>
      <w:pPr>
        <w:pStyle w:val="BookText"/>
      </w:pPr>
      <w:r>
        <w:rPr>
          <w:rFonts w:ascii="IRNazanin" w:hAnsi="IRNazanin" w:eastAsia="IRNazanin" w:cs="IRNazanin"/>
          <w:lang w:bidi="fa-IR"/>
          <w:color w:val="111111"/>
          <w:sz w:val="28"/>
          <w:szCs w:val="28"/>
          <w:rtl/>
        </w:rPr>
        <w:t xml:space="preserve">۱۷۴. تهران؛ سپهسالار؛ شماره نسخه: ۷۲۰۸</w:t>
      </w:r>
    </w:p>
    <w:p>
      <w:pPr>
        <w:pStyle w:val="BookText"/>
      </w:pPr>
      <w:r>
        <w:rPr>
          <w:rFonts w:ascii="Amiri" w:hAnsi="Amiri" w:eastAsia="Amiri" w:cs="Amiri"/>
          <w:lang w:bidi="ar-SA"/>
          <w:color w:val="111111"/>
          <w:sz w:val="28"/>
          <w:szCs w:val="28"/>
          <w:rtl/>
        </w:rPr>
        <w:t xml:space="preserve">آغاز: ادر ذكر من اهوى ولو بملام *** فان احاديث الحبيب مدام؛</w:t>
      </w:r>
    </w:p>
    <w:p>
      <w:pPr>
        <w:pStyle w:val="BookText"/>
      </w:pPr>
      <w:r>
        <w:rPr>
          <w:rFonts w:ascii="IRNazanin" w:hAnsi="IRNazanin" w:eastAsia="IRNazanin" w:cs="IRNazanin"/>
          <w:lang w:bidi="fa-IR"/>
          <w:color w:val="111111"/>
          <w:sz w:val="28"/>
          <w:szCs w:val="28"/>
          <w:rtl/>
        </w:rPr>
        <w:t xml:space="preserve">انجام: فقال اذن قم يا على فانني *** رضيتك من بعدی اماماً و هادياً</w:t>
      </w:r>
    </w:p>
    <w:p>
      <w:pPr>
        <w:pStyle w:val="BookText"/>
      </w:pPr>
      <w:r>
        <w:rPr>
          <w:rFonts w:ascii="IRNazanin" w:hAnsi="IRNazanin" w:eastAsia="IRNazanin" w:cs="IRNazanin"/>
          <w:lang w:bidi="fa-IR"/>
          <w:color w:val="111111"/>
          <w:sz w:val="28"/>
          <w:szCs w:val="28"/>
          <w:rtl/>
        </w:rPr>
        <w:t xml:space="preserve">شعرهای قاضی شرف الدین بن عنین و پدر سید مرتضی و طغرایی را در بردارد ؛خط: نسخ، بی کا، تا: قرن ۱۳؛ کاغذ: فرنگی سفـید ،جلد: تیماج مشکی  مقوایی، ۹۷گ ۱۵ سطر (۷/۵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اندازه: ۱۶</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۲۳سم [ف: ۴ - ۹۷]</w:t>
      </w:r>
    </w:p>
    <w:p>
      <w:pPr>
        <w:pStyle w:val="BookText"/>
      </w:pPr>
      <w:r>
        <w:rPr>
          <w:rFonts w:ascii="IRNazanin" w:hAnsi="IRNazanin" w:eastAsia="IRNazanin" w:cs="IRNazanin"/>
          <w:lang w:bidi="fa-IR"/>
          <w:color w:val="111111"/>
          <w:sz w:val="28"/>
          <w:szCs w:val="28"/>
          <w:rtl/>
        </w:rPr>
        <w:t xml:space="preserve">۱۷۵. تهران؛ ملک؛ شماره نسخه ۲۸۴۲/۸</w:t>
      </w:r>
    </w:p>
    <w:p>
      <w:pPr>
        <w:pStyle w:val="BookText"/>
      </w:pPr>
      <w:r>
        <w:rPr>
          <w:rFonts w:ascii="IRNazanin" w:hAnsi="IRNazanin" w:eastAsia="IRNazanin" w:cs="IRNazanin"/>
          <w:lang w:bidi="fa-IR"/>
          <w:color w:val="111111"/>
          <w:sz w:val="28"/>
          <w:szCs w:val="28"/>
          <w:rtl/>
        </w:rPr>
        <w:t xml:space="preserve">رجزهای امام حسین و برخی اصحاب؛ خط: نسخ، کا: ابوالقاسم وفا، تا: قرن ۱۳؛ ۴ ص( ۶۹-۷۲) [ف: 6- 132]</w:t>
      </w:r>
    </w:p>
    <w:p>
      <w:pPr>
        <w:pStyle w:val="BookText"/>
      </w:pPr>
      <w:r>
        <w:rPr>
          <w:rFonts w:ascii="IRNazanin" w:hAnsi="IRNazanin" w:eastAsia="IRNazanin" w:cs="IRNazanin"/>
          <w:lang w:bidi="fa-IR"/>
          <w:color w:val="111111"/>
          <w:sz w:val="28"/>
          <w:szCs w:val="28"/>
          <w:rtl/>
        </w:rPr>
        <w:t xml:space="preserve">۱۷۶. تهران؛ مجلس؛ شماره نسخه: ۹۳۸۸/۵</w:t>
      </w:r>
    </w:p>
    <w:p>
      <w:pPr>
        <w:pStyle w:val="BookText"/>
      </w:pPr>
      <w:r>
        <w:rPr>
          <w:rFonts w:ascii="IRNazanin" w:hAnsi="IRNazanin" w:eastAsia="IRNazanin" w:cs="IRNazanin"/>
          <w:lang w:bidi="fa-IR"/>
          <w:color w:val="111111"/>
          <w:sz w:val="28"/>
          <w:szCs w:val="28"/>
          <w:rtl/>
        </w:rPr>
        <w:t xml:space="preserve">قصایدی است در مراثی سیدالشهداء (علیه السّلام) از محمد رضا ازری، شيخ محمد بن عصفور، شیخ علی شفهینی، شیخ احمد بن زین الدین احسایی، شیخ علی بن شیخ احمد احسایی (از وی اشعاری در مدح ائمه هم آمده)؛ بی کا، تا: قرن ۱۳؛ جلد: چرم فرنگی آبی، ۵۳ گ (۴۵پ - ۹۸پ)، ۱۸ سطر،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۳۰ - 106]</w:t>
      </w:r>
    </w:p>
    <w:p>
      <w:pPr>
        <w:pStyle w:val="BookText"/>
      </w:pPr>
      <w:r>
        <w:rPr>
          <w:rFonts w:ascii="IRNazanin" w:hAnsi="IRNazanin" w:eastAsia="IRNazanin" w:cs="IRNazanin"/>
          <w:lang w:bidi="fa-IR"/>
          <w:color w:val="111111"/>
          <w:sz w:val="28"/>
          <w:szCs w:val="28"/>
          <w:rtl/>
        </w:rPr>
        <w:t xml:space="preserve">۱۷۷. تهران؛ مجلس؛ شماره نسخه: ۹۵۷۲/۹</w:t>
      </w:r>
    </w:p>
    <w:p>
      <w:pPr>
        <w:pStyle w:val="BookText"/>
      </w:pPr>
      <w:r>
        <w:rPr>
          <w:rFonts w:ascii="IRNazanin" w:hAnsi="IRNazanin" w:eastAsia="IRNazanin" w:cs="IRNazanin"/>
          <w:lang w:bidi="fa-IR"/>
          <w:color w:val="111111"/>
          <w:sz w:val="28"/>
          <w:szCs w:val="28"/>
          <w:rtl/>
        </w:rPr>
        <w:t xml:space="preserve">مراثی؛ خط: نستعلیق، بی کا، تا: قرن ۱۳؛ جلد: تیماج قهوه ای، ۴گ (۱۰۷ر-۱۱۱ر)، اندازه: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۳۰ - ۲۳۰]</w:t>
      </w:r>
    </w:p>
    <w:p>
      <w:pPr>
        <w:pStyle w:val="BookText"/>
      </w:pPr>
      <w:r>
        <w:rPr>
          <w:rFonts w:ascii="IRNazanin" w:hAnsi="IRNazanin" w:eastAsia="IRNazanin" w:cs="IRNazanin"/>
          <w:lang w:bidi="fa-IR"/>
          <w:color w:val="111111"/>
          <w:sz w:val="28"/>
          <w:szCs w:val="28"/>
          <w:rtl/>
        </w:rPr>
        <w:t xml:space="preserve">۱۷۸. تهران؛ مجلس؛ شماره نسخه: ۸۰۱۲/۱۱</w:t>
      </w:r>
    </w:p>
    <w:p>
      <w:pPr>
        <w:pStyle w:val="BookText"/>
      </w:pPr>
      <w:r>
        <w:rPr>
          <w:rFonts w:ascii="IRNazanin" w:hAnsi="IRNazanin" w:eastAsia="IRNazanin" w:cs="IRNazanin"/>
          <w:lang w:bidi="fa-IR"/>
          <w:color w:val="111111"/>
          <w:sz w:val="28"/>
          <w:szCs w:val="28"/>
          <w:rtl/>
        </w:rPr>
        <w:t xml:space="preserve">قصیده ای با عنوان «قصیده تاریخ عیش حسینقلی خان برادر شاه»و به مطلع زیر که باید در دیوان صباحی بیدگلی جستجو شود: «فلک گسترد در گیتی بساط بهجت افزایی/ مهیا شد بلطف شاه دین عیش مهنایی»؛ خط: شکسته نستعلیق ،بدخط، بی کا، تا: قـرن ۱۳؛ مجدول، رکابه دار؛ مهر: «کتابخانه باقر ترقی»؛ جلد: مقوایی عطف تیماج قهوه ای، ۲گ (۸۵پ-۸۷ر هامش)، اندازه:  ۳/۱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۱۹/۹سم [ف: ۲۷/۱ - ۳۶]</w:t>
      </w:r>
    </w:p>
    <w:p>
      <w:pPr>
        <w:pStyle w:val="BookText"/>
      </w:pPr>
      <w:r>
        <w:rPr>
          <w:rFonts w:ascii="IRNazanin" w:hAnsi="IRNazanin" w:eastAsia="IRNazanin" w:cs="IRNazanin"/>
          <w:lang w:bidi="fa-IR"/>
          <w:color w:val="111111"/>
          <w:sz w:val="28"/>
          <w:szCs w:val="28"/>
          <w:rtl/>
        </w:rPr>
        <w:t xml:space="preserve">۱۷۹. تهران؛ مجلس؛ شماره نسخه: ۸۰۸۳/۲</w:t>
      </w:r>
    </w:p>
    <w:p>
      <w:pPr>
        <w:pStyle w:val="BookText"/>
      </w:pPr>
      <w:r>
        <w:rPr>
          <w:rFonts w:ascii="IRNazanin" w:hAnsi="IRNazanin" w:eastAsia="IRNazanin" w:cs="IRNazanin"/>
          <w:lang w:bidi="fa-IR"/>
          <w:color w:val="111111"/>
          <w:sz w:val="28"/>
          <w:szCs w:val="28"/>
          <w:rtl/>
        </w:rPr>
        <w:t xml:space="preserve">جامع این قصیده به دلیل نداشتن دیباچه و هیچ توضیح دیگری، حتی در قسمت عنوان اشعار، مشخص نشد و شاید گردآوری آن كار على بن بالیل باشد، اینک مطلع اشعار به همراه بررسی های جانبی دیگر درباره انتساب برخی اشعار: «حذار فالاعين النجل الكحيلات *** مقرونةبامانيها المنيات (۸۵پ)، «ما لابتداء صبا باتى نهايات *** يا غاية ما لعشقى فيك غايات» (۸۶پ)، «يا بارقا لى اهدته الثنيات *** عليك منى مع الروح التحيات» (۸۸) [اين شعر در کشکول شیخ بهائی به نام ابن خراط ثبت شده]، «برق التالق اهدته الثنيات *** ليلا و قد قربت منا الثنيات» (۸۹ر) [به خط جدیدتری، عنون عفيف الدین تلمسانی برای آن نوشته اند و در دیوان وی نیز دیده می شود]، «نفوس نفسيات الى الوجد حنت *** فلما سقاها الحب بالكاس جنت» ( ۹۰ر ) [ به خط جدیدتر، با «و قال ايضا» آن را به تلمسانی نسبت داده که درست است و در دیوانش موجود است]، «هو اليأس الا من حديث مقوت *** يروح اليه باجتماع «موقت (۹۰پ) [در دیوان ابن غلبون صوری (۴۱۹ق) هست و از وست]؛ «توق اذا ما حرمة العدل حلت *** ملامی لاعطى صبوتى ما تمنت (۹۱ ر) [از ابن غلبون صوری است]، «الی كم تماد في غرور و غفلة *** و كم هكذا نوم الى غير يقظة» (۹۲ر)) ، «ورعى الا له على المصلى جيرة*** ما زلت ارعاهم على العلات» (۹۳پ) « ظمئت الى سلسال حسنك مقلة *** رويت محاجرها من العبرات» (۹۳پ) [در اعیان العصر و اعوان النصر صلاح الدين  صفدی، به نام یونس بن ابراهيم صرخدى حنفی (۶۹۸ق) آمده]، «جاءت تودعنی و الدمع يغلبها *** ... الرحيل و حادى البين منصلت» (۹۴ر) «لى حبيب تعللت مقلتاه بعلتى *** وجهه عند عادلی کاشف وجه حجتی» (۹۴ر)، «قسما بروضة خده و نباتها *** و باسها المخضر في جنباتها (۹۴ر) [در النجوم الزاهرة في ملوك مصر و القاهره از ابن تغری بردی (۸۷۴ق) به نام شیخ برهان الدین ابو اسحاق ابراهیم بن عبدالله طایی طریفی قیراطی شافعی (۸۷۱ق) آمده است]، «يا حسنة و الحسن بعض صفاته *** و السحر مقصور على حركاته» (۹۵ ر ) [ در المغرب في حلى المغرب اثر ابن سعید مغربی (۶۸۵ق) به نام ابو بحر صفوان بن ادریس شاعر قرن هفتم قمری آمده است]، «و حیات ذاك الوجه بل و حياته *** قسم يريك الحسن في قسماته» (۹۵پ) [در معجم الادباء به نام اسعد بن مهذب ابن ابی ملیح( ۶۰۶ق در حلب) ثبت شده و الوافی بالوفيات (در مدخل ابن مماتی) نیز آن را تأیید می کند]، «فی لام خدك عدال الهوى بآؤا *** بايم من لاله لام و لا باء» (۹۹پ)، «نسيم عبير فى غلالة ماء *** و تمثال نور فى اديم هواء (١٠٠ر)، «الى عدلكم انهى حديثى و انتهى *** فجودوا باقبال على و اصغاء» (۱۰۱) «افرق حتى ما به داء*** و ادرك العدال ماشاؤا» (۱۰۱پ)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دیوان ابن غلبون صوری است و از اوست]، «قولا له هل فى دار حوبائه *** ان القلوب تدور حول خبائه» (۱۰۳ر)، «لعل ليـالی الربوتين تعود *** فيشرق من بعد الافول سعود» (۱۰۵پ)[در ديوان صفى الدین حلی هست و ازوست]، «ينم عليه الدمع جحود *** و ينتحل السلوان و هو ودود» (۱۰۶پ) [در دیوان  این معتوق موسوی (۱۰۸۷ق) هست و از وست]، «تری هل علمتم ما لقيت من الوجد *** لقد جل مام خفيه منكم و ما ابدى (۱۰۷ق) ،«و نائمة قبلتها قنبهت *** و قالت تعالوا و اطلبوا ... بالحد» (۱۰۸ر) «لعمرك ما نجديه الدار اتهمت *** و حنت الى نجد و انت الوجد» (۱۰۸ر) [ با خرزی در دمية القصر، آن را به نام سید ابوالحسن علی بن مانکدیم حسینی آورده است ]،«عفی الله عنـک اين ذاك التودد *** و این جميل منكم كنت اعهد» (۱۰۸پ) [در ديوان بهاء الدين زهیر مهلبی (۶۵۶ق) آمده و از وست]، «بروحی قد زارني و هو خائف *** كما اهتز غصن فى الاراكة مائد» (۱۰۹ر) [ از همان بهاء الدین زهیر است]، «بالله بلغ سلامی ایها الحادى </w:t>
      </w:r>
      <w:r>
        <w:rPr>
          <w:rFonts w:ascii="IRNazanin" w:hAnsi="IRNazanin" w:eastAsia="IRNazanin" w:cs="IRNazanin"/>
          <w:lang w:bidi="fa-IR"/>
          <w:color w:val="111111"/>
          <w:sz w:val="28"/>
          <w:szCs w:val="28"/>
          <w:b w:val="1"/>
          <w:bCs w:val="1"/>
          <w:i w:val="1"/>
          <w:iCs w:val="1"/>
          <w:rtl/>
        </w:rPr>
        <w:t xml:space="preserve">الى غزال الصريم الرائح الغادى» (۱۱۰ ر ) [از عفيـف الدین تلمسانی است و دردیوانش ثبت  آمده، به همان خط جدیدتر، نام شاعر را در نسخه آورده اند]، «البيض دون لحـاظ الاعين السود *** و السمر دون قدود الخرد الغيد (۱۱۰پ) [درديوان صفى الدين حلی آمده و از اوست]، «یا واحد الحسن ارحم واحد الكمد *** حاشاك من حرق تصلی کبدی، (۱۱۱ر) [در دیوان حسام الدین حاجری (۶۳۲ق) آمده و از اوست. اربلی  صاحب كشف الغمه نيز در التذكرة الفخریه خود به نام همو ثـبت کرده است]، «هی رامة فخدوا يمين الوادى *** و ذروا السيوف فی الاغماد (۱۱۱پ) [ابن خلکان در وفیات الاعیان و ابن تغـری در النجوم الزاهرة فى ملوك مصر و القاهرة به نام جمال الدین ابوالحسين يحيى بن عيسى مصرى معروف به ابن مطروح آورده اند و از اوست]، «هزوا الغصون معاطفا و قدودا *** و جنوا الورد الجنى خدودا» (۱۱۲ر) [در فوات الوفيات، اعيان العصر واعوان النصر و الدرر الكامنه به نام شعیب بن محمد مغربی آمده است]، «لاتخش یا ربع الحبيب همودا *** فلقد اخذت على الزم عهودا» ،(۱۱۲ پ) ،«بین البنان وصدغه المعقود *** خمران من  کاس و من عنقود (۱۱۳ر) [در دیوان كمال الدين ابن الـنبیه (۶۱۹ق) آمده و از اوست]، «تنبهی یا عذبات الرند *** الكرى هب نسیم نجد» (۱۱۳ر) [ عماد كاتب در فريدة القصر و صفدی در الوافی بالوفیات به نام ابوالغنائم محمد بن على بن معلم هرثى واسطی معروف به ابن معلم آورده اند]، «لكم منى الود الـذی  ليس يبرح *** ولى فيكم الشوق الشديد المبرح» (۱۱۵پ)[در ديوان بهاء الدین زهیر آمده و از اوست]، «صفاح عيون لحـظها ليس يصفح *** و نبل جفون للجوارح تجرح »(۱۱۶ر) [در دیوان  صفی الدین حلی آمده و از وست]، «فی وجنتيك لنا ورد و تـفاح *** يجنى و من شفتيك الشهد و الراح) (۱۱۷ر) ، «سلام على الـدار التي قد تباعدت</w:t>
      </w:r>
      <w:r>
        <w:rPr>
          <w:rFonts w:ascii="IRNazanin" w:hAnsi="IRNazanin" w:eastAsia="IRNazanin" w:cs="IRNazanin"/>
          <w:lang w:bidi="fa-IR"/>
          <w:color w:val="111111"/>
          <w:sz w:val="28"/>
          <w:szCs w:val="28"/>
          <w:rtl/>
        </w:rPr>
        <w:t xml:space="preserve"> و دمعى على طول الزمان سفوح» (۱۱۷پ) ،«و ما ذات فرخ في فروع اراكة *** لها رنة تحت الدجى و صدوح» (۱۱۷پ)، «لئن بحت بالشكوى اليك محبته *** فلست لمخلوق سواک ابوح» (۱۱۸ر) [در دیوان بهاء الدين زهیر آمده  و ازاوست]، «حتام اسألها الدنو فتنزح *** و اروض قلبى للسلو فيجمع»  (۱۱۸پ)، «هل غیر اعطاف القدود رماح *** و سوى العيون الفاتكات صفاح» (۱۱۹پ)، «بات ساهی الطرف و الشوق يلح *** و الدجى ان يمض جنح یات جنح» (۱۱۹پ) [سید علی خان مدنی   در سلافة العصر آن را به نام شیخ فتح الله بن نحاس ثبت کرده است]، «اهدی حمام الا يك وجدا فناح *** و لم يطق كتمان سر فناح » (۱۲۰پ) [در دیوان بدرالدین ابن لؤلؤ ذهبی (۶۸۰ق) آمده و از اوست]، «نم بسر الروض خفق الرياح *** و اقتح الشرق زناد الصباح» (۱۲۱ ر) در دیوان صفی الدین حلی آمده و از وست]، «ليس على طائر قلبي جناح *** اذا غدا نحو حبیبی و راح» (۱۲۲ر)، «اخجلت بالدر ثنايا الاقاح *** يا طرة الليل و وجه الصباح» (۱۲۲ر) [در دیوان عفيف الدين تلمسانی هست و از اوست. ابن تغری هم در النجوم الزاهرة آن را به نام وی ثبت کرده است]. «اهدی حمام الأيك وجدا فناح </w:t>
      </w:r>
      <w:r>
        <w:rPr>
          <w:rFonts w:ascii="IRNazanin" w:hAnsi="IRNazanin" w:eastAsia="IRNazanin" w:cs="IRNazanin"/>
          <w:lang w:bidi="fa-IR"/>
          <w:color w:val="111111"/>
          <w:sz w:val="28"/>
          <w:szCs w:val="28"/>
          <w:b w:val="1"/>
          <w:bCs w:val="1"/>
          <w:i w:val="1"/>
          <w:iCs w:val="1"/>
          <w:rtl/>
        </w:rPr>
        <w:t xml:space="preserve">و لم يطق كتمان سر فباح» (۱۲۰پ) [در ديوان بدرالدین ابن لؤلؤ ذهبی (۶۸۰ق) آمده و ازاوست]، «نم بسر الروض خفق الرياح *** و اقتح الشرق زناد الصباح (۱۲۱ر) [در دیوان صفی الدین حلی آمده و از اوست]، «ليس على طائر قلبى جناح *** اذا غدا نحو حبیبی و راح»، (۱۲۲ر)، «اخجلت بالدر ثنايا الاقاح *** يا طرة الليل و وجه الصباح» (۱۲۲ر) [در دیوان عفیف الدین تلمسانی هست و از اوست]. ابن تغری هم در النجوم الزاهرة آن را به نام وی ثبت کرده است]، ،«اهدی حمام  « الأيك وجدا فناح *** و لم يطق كتمان سر فباح» ( 120پ)،[در ديوان بدرالدين ابن لؤلؤ ذهبي ( ۶۸۰ ق) آمده و از اوست]، «نم بسر الروض خفق الرياح *** و اقتح الشرق زناد الصباح»(121ر)، [در ديوان صفي الدين حلي آمده و از اوست]، « لیس  علی طائر قلبي جناح *** اذا غدا نحو حبيبي و راح»(۱۲۲ ر)،« اخجلت بالدر  ثنايا الاقاح *** يا طرة الليل و وجه الصباح»( 122ر)، [ در دیوان عفيف الدين تلمسانی هست و از اوست]. ابن تغري هم در النجوم  الزاهرة آن را به نام وی ثبت کرده است.]،«سفك دما عشاقه قد اباح</w:t>
      </w:r>
      <w:r>
        <w:rPr>
          <w:rFonts w:ascii="IRNazanin" w:hAnsi="IRNazanin" w:eastAsia="IRNazanin" w:cs="IRNazanin"/>
          <w:lang w:bidi="fa-IR"/>
          <w:color w:val="111111"/>
          <w:sz w:val="28"/>
          <w:szCs w:val="28"/>
          <w:rtl/>
        </w:rPr>
        <w:t xml:space="preserve">  لما انتضي من مقلتيه صفاح»(122پ)،« جست ناحل و  قلب جريح *** و دموع علي الخدود تسيح</w:t>
      </w:r>
    </w:p>
    <w:p>
      <w:pPr>
        <w:pStyle w:val="BookText"/>
      </w:pPr>
      <w:r>
        <w:rPr>
          <w:rFonts w:ascii="IRNazanin" w:hAnsi="IRNazanin" w:eastAsia="IRNazanin" w:cs="IRNazanin"/>
          <w:lang w:bidi="fa-IR"/>
          <w:color w:val="111111"/>
          <w:sz w:val="28"/>
          <w:szCs w:val="28"/>
          <w:rtl/>
        </w:rPr>
        <w:t xml:space="preserve">(۱۲۳ر) [در دیوان حسام الدین حاجری آمده و از اوست]، «يا ساكنى السفح كم عين بكم سفحت *** نزحتم و هي بعد البعد ما نزحت» (۱۲۳ر) [در دیوان کمال الدین ابن نبيه آمده و از اوست]، «يا نسمة لاحاديث الحما شرحت *** كم من صدور لارباب الهوى شرحت» (۱۲۳پ)، [در دیوان صفی الدین حلی آمده و از اوست]، «تذکر السفح  فانهلت سوافحه *** و ليس يخفاك ما تخفی جوانحه» (۱۲۴پ) «لئن بعدت عني وعنكم فراسخ *** صبرت و ما بالقلب منكم فراسخ» (۱۲۵ پ)، «ان خط خارضه فى الخد او نسخا *** آيات حسن فعشقى فيه ما نسخا» (۱۲۵پ)، «اشوق و هم في ربع قلبك سكان *** و وجد و ما شط المزار و ما بانوا» (۱۳۱پ)، «لاية حال فیض دمعك هتان*** و ما هذه نعم و لا تلک نعمان» (۱۳۲ر) [در دیوان ابن قلاقس اسکندری (۵۶۷ق) آمده و از اوست]، «اسکان نعمان الاراك تيقنوا *** بانكم في ربع قلبی سکان» (۱۳۳ر) [در دیوان ابن حیوس (۴۷۳ق) آمده. انتساب این ابیات به وی را صاحب النجوم الزاهرة هم تأیید می کنند اما یافعی در مرآة الجنان، از انتساب آنها به ابی بکر صائغ سخن گفته است. صفدی در الوافي بالوفيات و ابن خلکاندر وفیات الاعیان نیز آن را کلاً از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صائغ اندلسی می دانند]، «اعانقه و النفس بعد مشوقة *** اليـه هل بعد العناق «تدانی» (۱۳۳ر)، «سقاک سار من الوسمى هتان*** و لارقت للغوادى فیک اجفان» (۱۳۳ر) [در دیوان ابن تعاویذی (۵۸۳ق) هست و در معجم الادباء نیز به وی منسوب شده پس از اوست]، «انت الحبيب و مالی عنک سلوان *** و ربحه غير فـعل الخير خسران» (۱۳۵ر) [قصیده بسیار مشهور ابوالفتح بستی اسـت که در دیوانش ثبت است و در منابع متعدد از جمله سفینه هـای شعری مکرر نقل شده]، «يا ناعس الطرف قد اسهرت اجفانی ***و كيف يعرف و سنان بسهران» (۱۳۷ر) ، «ظن العذول بان اللوم اذانی الفحشاء آذانی (۱۳۷ پ) «سلبت نومی بطرف منك و سنان *** يا طلعة الشمس او باقامة البان» (۱۳۸ر) ، «اضــحی التنائي بديلا من تدانينا *** و ناب عن طيب لقيانا تجافینا (۱۳۸پ)، «هل عايد عيشنا ايام يبرينا *** ام هكذا لا يزال الوجد یبرینا (۱۳۹پ) ،«اعدی تغیرکم دمع المحبينا *** حتى تلون یوم البين تلوینا» (۱۴۰ر) [در دیوان ابن نباته مصری (۷۶۸ق) هست و از اوست]، «ردوا على شوارد الاظعان *** ما الدار ان لم تغن اوطانی» (۱۴۰پ)، «لمن اللحاظ مريضة الاجفان *** تسطو بسيـف فى القلوب يماني» (۱۴۰پ) [در دیوان حسام الدین حاجری آمـده است و از اوست]، «ضحكت فابدت عن عقود جمان *** فجلت لنا فلق الصباح الثانی» (۱۴۱پ) [در دیوان ابن معتوق موسوی حویزی (۱۰۸۷ق) هست و از اوست]، «رد الکری یا هاجری لعیونی *** ابعث رسول الطيف نجو جفونی» (۱۴۲پ)، «ما الراح الا روح کل حزين *** فازل بخمرتها خمار البين» (۱۴۳ر) [در دیوان ابن معتـوق موسوی هست و از اوست] [اذاب التبر فى كاس اللجين *** رشا بالراح مخضوب الیدین] [بیت نخست آن افتاده و از بیت دومش هست. از صفی الدین حلی است و در دیوانش آمده]، «هلم بنا ارض الجحون *** عسى تقضى الغداة به دیوانی» (۱۴۸ر)،« وفقنا على المغنى قديما فما اغنى *** و ما دلت الالفاظ منه على معـنی (۱۴۹ر) [ در عنوانش به خط جدید به عفیف الدین تلمسانی نسـبت داده شده و گفته که با نسخه دیوانش مقابله شد. در دیوان چـاپی او یافت نشد. اما صفدی در الوافي بالوفيات به نام او ثبت کرده است]، «اشتاق من ساكنى ذاك الحما سكنا *** عليه خفق فوادی قط ما سكنا» (۱۴۹پ) [در فوات الوفيات ابن شاکر کتبی، به نام عفیف الدین تلمسانی آمده. در دیوان چاپی اش البته نیست.درنسخه عنوان ندارد] «من سحر جفنیک الامان الامان *** قتـلت رب السيف و الطيلسان» (۱۵۰ر) ، «لولا محياك الجميل المصـون *** مابت تجرى من عیونی عیون» (۱۵۰پ) [در نفحة الريحان و رشحة طلاء الحانة از محمد امین محبی حموی دمشقی (۱۱۱۱ق) چاپ عبدالفتاح الحلو، به نام سید محمد بن حيدر بن علی آمـده</w:t>
      </w:r>
    </w:p>
    <w:p>
      <w:pPr>
        <w:pStyle w:val="BookText"/>
      </w:pPr>
      <w:r>
        <w:rPr>
          <w:rFonts w:ascii="IRNazanin" w:hAnsi="IRNazanin" w:eastAsia="IRNazanin" w:cs="IRNazanin"/>
          <w:lang w:bidi="fa-IR"/>
          <w:color w:val="111111"/>
          <w:sz w:val="28"/>
          <w:szCs w:val="28"/>
          <w:rtl/>
        </w:rPr>
        <w:t xml:space="preserve">است]، «كلما انشد حاديهم و غنا ***هام قلبی نحوهم شوقا وحنا» (۱۵۱ر)، «قل للسحاب اذا امرته *** يد الجنائب فارجحن» (۱۵۱پ)، «لیت شعرى بمن تشاغلت عنا *** يا خليلا اشقى القلوب و عنا» (۱۵۲پ) [در دیوان صفی الدین حلی آمده و از اوست]؛«يا دير قوطا لقد هيجت لى طربا *** ازاح عن قلبى الاحزان و الكربا »(۱۵۴ ر ) [ در دیوان عبدالله بن عباس ربیعی هست و از  اوست. شابشتی هم در الدیارات خود این ابیات را به نام او آورده است]، «قضى و لم يقض من احبابه اربا *** صب اذا خفاق  النسيم صبا» (۱۵۴ر) ، «الحب افتك فى الرجال من الضبا *** فاسأل بذلك ان شككت مجربا» (۱۵۵پ) ، «الم وليلى بالكواكب اشيب *** خيال على بعد المدا يتأوب» (۱۵۶پ) [در دیوان ابوالحسن تهامی هست و از اوست. صفدی هم در الوافی بالوفیات به نام او آورده است]، «سلام على عهد الصبابة و الصبا *** و اهلا و سهلا بالمشيب و مرحبا» (۱۵۷ر)، «رسول الرضا اهلا و سهلا و مرحبا *** حديثك ما احلاه عندی و اطربا (۱۵۷۱پ) [در دیوان بهاء الدين زهیر آمده و از اوست. صاحبالنجوم الزاهره في ملوك مصر و القاهرة نيز به نام او آورده است]،... «رأى اللوم من كل الجهات فراعه *** فلا تنكروا اعراضه و امتناعه» (۱۶۰ر) [صاحب سلافة العصر به نام فتح الله بن نحاس مدنی آورده است]، «لا تعذليه فان العذل يولعه *** قد قلت حقا و لكن ليس يسمعه» (۱۶۱پ) [در دیوان ابن زريق بغدادی (۴۲۰ق) آمده و از اوست. در منابع متعدد دیگر نیز به نام او آمده و شعر معروفی است. در عنوان این نسخه نونویس آمده که این شعر در انوار الربيع سید علی خان مدنی نیز به نام ابن زریق وجود دارد]، «عهدی به والبين ليس يروعه *** صب براه نحو له و دموعه» (۱۶۲پ) [در عنوان این قصیده به نقل از انوار الربيع سید علی خان مطلبی نقل شده که مهم آن بریده شده است]، «شربت من حبكم كأسا حلى و صفا *** معنى تحير منه كل من وصفا» (۱۶۵پ)، «لم يبق فيك لمشتاق اذا وقفا *** الا ادكار زمان يبعث الاسفا» (۱۶۵پ) [در دیوان ابن تعاویذی هست و از اوست] [قلبی و طرفک منصوب ومكسور *** كلاهما مطلق منا و مأسور ] (...) [در سلافة العصر به نام عبد على بن ناصر حوزی آمده است]، «من تحفة الصور ام من نفحة الصور *** احييت يا ريح ميتا فی مقبور» (۱۶۶پ) [در دیوان صفى الدين حلی آمده و از اوست]، «علی دمع عيني من فراقك ناظر *** ترقرقه ان لم ترقه المحاجر» (۱۶۸ر) [از حسام الدین حاجری است و در دیوانش ثبت شده است]، «و ليس اخضرار الخد نبت و انما *** لكثرة ما شقت عليه المراير» (۱۶۸ر)؛ خط: نسخ، کا: علی بن عبدالله بن حسين بن احمد بن جعفر بن على بربوری بحرانی، تا: قرن ۱۳؛ افتادگی: آغاز؛ در ابتدای برخی قصاید مطالب و توضیحاتی به خط نونویس و درشت تر هست که درباره سراینده برخی شعرها مانند اشعار عفیف الدین تلمسانی و غیره اظهار نظر شده است، پشت برگ پایانی گواهی بلاغ علی بن محمد بلادی بحرانی آمده که شاید توضیحات ابتدای برخی قصاید به خط همو باشد، بدین ترتیب «بلغ الى هنا قراءة و نظرا من اوله الى آخره ورقة ورقة صفحة صفحة سطر ا سطر ا كلمة كلمة حرفا حرفا ببصر بصيرة الاقل الجانى على بن محمد بن حسين بن عبد الله بن ماجد البلادي البحرانی اصلا و مسكنا بتاريخ يوم سادس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عشر شهر جمادى الاول[ كذا] سنه ۱۲۲ [=۱۲۰۲] »؛جلد: مقوایی با روکش تیماج حنایی سیر، ۸۳گ،(85پ- ۱۶۸ر)، ۱۵ سـطر، اندازه ۱۶/۱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۱۱/۳سم [ف: ۲۷/۱ - ۱۵۰]</w:t>
      </w:r>
    </w:p>
    <w:p>
      <w:pPr>
        <w:pStyle w:val="BookText"/>
      </w:pPr>
      <w:r>
        <w:rPr>
          <w:rFonts w:ascii="IRNazanin" w:hAnsi="IRNazanin" w:eastAsia="IRNazanin" w:cs="IRNazanin"/>
          <w:lang w:bidi="fa-IR"/>
          <w:color w:val="111111"/>
          <w:sz w:val="28"/>
          <w:szCs w:val="28"/>
          <w:rtl/>
        </w:rPr>
        <w:t xml:space="preserve">۱۸۰. تهران؛ مجلس؛ شماره نسخه ۱۵۸۶۹</w:t>
      </w:r>
    </w:p>
    <w:p>
      <w:pPr>
        <w:pStyle w:val="BookText"/>
      </w:pPr>
      <w:r>
        <w:rPr>
          <w:rFonts w:ascii="Amiri" w:hAnsi="Amiri" w:eastAsia="Amiri" w:cs="Amiri"/>
          <w:lang w:bidi="ar-SA"/>
          <w:color w:val="111111"/>
          <w:sz w:val="28"/>
          <w:szCs w:val="28"/>
          <w:rtl/>
        </w:rPr>
        <w:t xml:space="preserve">آغاز: احب ليالى الهجر لا فرحا بها </w:t>
      </w:r>
      <w:r>
        <w:rPr>
          <w:rFonts w:ascii="Amiri" w:hAnsi="Amiri" w:eastAsia="Amiri" w:cs="Amiri"/>
          <w:lang w:bidi="ar-SA"/>
          <w:color w:val="111111"/>
          <w:sz w:val="28"/>
          <w:szCs w:val="28"/>
          <w:b w:val="1"/>
          <w:bCs w:val="1"/>
          <w:i w:val="1"/>
          <w:iCs w:val="1"/>
          <w:rtl/>
        </w:rPr>
        <w:t xml:space="preserve">عسى الدهر يأتى بعدها بوصال / و اكره ايام الوصال لأننى</w:t>
      </w:r>
      <w:r>
        <w:rPr>
          <w:rFonts w:ascii="IRNazanin" w:hAnsi="IRNazanin" w:eastAsia="IRNazanin" w:cs="IRNazanin"/>
          <w:lang w:bidi="fa-IR"/>
          <w:color w:val="111111"/>
          <w:sz w:val="28"/>
          <w:szCs w:val="28"/>
          <w:rtl/>
        </w:rPr>
        <w:t xml:space="preserve"> ارى كل شيء مولعا بزوال بیاضی است شامل اشعار عربی از شعرای مختلف که برخی از آنها در جواب یکدیگر شعر سروده اند. اسامی شاعرانی که در این جنگ ابیاتی از آنها نقل شده از این قرار است: این رومی،ابن فارض، على بن جهم، محمد صالح چلبی، سید علی بن بدرالدین  مدنی، صلاح صفدی، ابن سکیت، امیرالمؤمنين (علیه السّلام)، محمد ابی بکر دمامینی، طغرایی، شیخ حسن بن شيخ راشد مخزومی حلی، شیخ علی ،شفهینی، ملا سعد، محمد بن سعيد المكـی، ابی الحسن تهامی، محمد بن حسن مکی، عبدالقادر گیلانی، بـهاء بخاری، شهید ثانی، محمد عمران خراسانی، شیخ حسن  شامی،يحيى بن عبدالملک عصامی، شیخ شهاب الدین عسقلانی،سید حسن یمنی، یحیی بن سلامه، علی بن محمد عاملی ،حریری، شـیخ عبد الله ماحوزی، میرزا عبدالله بن میرزا محمد علی، شیخ احـمد بحرانی، محمد بن ابراهيم الكاتبه، عباس بن احنف، شيخ محـمد تبریزی، سید عبدالرؤوف  بحرانی، تاج الدین مکی، سید حـاتم یمنی، شیخ محمد نواجی، شیخ محمد سمنانی، ابن نباته، ابراهیم بن ادهم شیخ سلیمان ماحوزی، شیخ حسن شهید ثانی، سعدالدین بن عربی، ابی بکر خاتونی، علی بن عبد القادر مکی، سید احـمد بحرانی، سید احمد سلطان مکه، ابوالفتح بستی، رابعه ،ادویه ،محـمد بن عیسی، شیخ قطب الدين مكى حنفی، شهاب الدین احـمد مصری، صفی حلی، بدیع طوسی، شیخ الرئيس، مجنون،ابن عبد الطاهر، شیخ بهایی، یاقوت کاتب، سيد عبدالرحیم عباسی، ارجائی، ابن سعد، ابى الطيب، سراج الوراق و ... و فایده ای به نثر در خواص عشق به نقل از صاحب مصارع العشاق و مقامات سید نعمت الله جزایری؛ خط: نستعلیق، بی کا، تا: قرن ۱۳؛ با حواشی توضیحی در برخی صفحات؛ جلد: تیماج نارنجی، ۱۱۰گ، سطور چلیپایی، اندازه: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۴۴ - ۱۰۷]</w:t>
      </w:r>
    </w:p>
    <w:p>
      <w:pPr>
        <w:pStyle w:val="BookText"/>
      </w:pPr>
      <w:r>
        <w:rPr>
          <w:rFonts w:ascii="IRNazanin" w:hAnsi="IRNazanin" w:eastAsia="IRNazanin" w:cs="IRNazanin"/>
          <w:lang w:bidi="fa-IR"/>
          <w:color w:val="111111"/>
          <w:sz w:val="28"/>
          <w:szCs w:val="28"/>
          <w:rtl/>
        </w:rPr>
        <w:t xml:space="preserve">۱۸۱. تهران؛ مجلس؛ شماره نسخه: ۱۶۰۶۷/۹</w:t>
      </w:r>
    </w:p>
    <w:p>
      <w:pPr>
        <w:pStyle w:val="BookText"/>
      </w:pPr>
      <w:r>
        <w:rPr>
          <w:rFonts w:ascii="IRNazanin" w:hAnsi="IRNazanin" w:eastAsia="IRNazanin" w:cs="IRNazanin"/>
          <w:lang w:bidi="fa-IR"/>
          <w:color w:val="111111"/>
          <w:sz w:val="28"/>
          <w:szCs w:val="28"/>
          <w:rtl/>
        </w:rPr>
        <w:t xml:space="preserve">آغاز: الا يا طبيب الناس دعنى ودائيا *** علاج مريض العشق لبس تداویا؛ انجام: و بقيت ما بقى الثنا *** علی منصورا مظفر</w:t>
      </w:r>
    </w:p>
    <w:p>
      <w:pPr>
        <w:pStyle w:val="BookText"/>
      </w:pPr>
      <w:r>
        <w:rPr>
          <w:rFonts w:ascii="IRNazanin" w:hAnsi="IRNazanin" w:eastAsia="IRNazanin" w:cs="IRNazanin"/>
          <w:lang w:bidi="fa-IR"/>
          <w:color w:val="111111"/>
          <w:sz w:val="28"/>
          <w:szCs w:val="28"/>
          <w:rtl/>
        </w:rPr>
        <w:t xml:space="preserve">ابیاتی است گزیده شده از سروده های میرزا محمد نصیر طبـیب اصفهانی، ابن هباریه (شطرنجيه)، حسام الدين عيسى بن سنجر  بن بهرام اربلی حاجری، نابغه جعدی و ابوالحسن علی بن نبيه، خـط: نستعلیق،بی کا، تا: قرن ۱۳؛ رکابه دار؛ جلد: تیماج سرخ یک لا، ۱۰ گ( ۱۳۴-۱۴۳ر) ،۱۴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۴۴-۲۳۱]</w:t>
      </w:r>
    </w:p>
    <w:p>
      <w:pPr>
        <w:pStyle w:val="BookText"/>
      </w:pPr>
      <w:r>
        <w:rPr>
          <w:rFonts w:ascii="IRNazanin" w:hAnsi="IRNazanin" w:eastAsia="IRNazanin" w:cs="IRNazanin"/>
          <w:lang w:bidi="fa-IR"/>
          <w:color w:val="111111"/>
          <w:sz w:val="28"/>
          <w:szCs w:val="28"/>
          <w:rtl/>
        </w:rPr>
        <w:t xml:space="preserve">۱۸۲. تهران؛ مجلس؛ شماره نسخه: ۸۸۶۸/۱۳6</w:t>
      </w:r>
    </w:p>
    <w:p>
      <w:pPr>
        <w:pStyle w:val="BookText"/>
      </w:pPr>
      <w:r>
        <w:rPr>
          <w:rFonts w:ascii="IRNazanin" w:hAnsi="IRNazanin" w:eastAsia="IRNazanin" w:cs="IRNazanin"/>
          <w:lang w:bidi="fa-IR"/>
          <w:color w:val="111111"/>
          <w:sz w:val="28"/>
          <w:szCs w:val="28"/>
          <w:rtl/>
        </w:rPr>
        <w:t xml:space="preserve">آغاز: السيف اصدق ابناء من الكتب *** فى حده الحد بين الجد اللعب / بيض الصفايح الاسود الصايف فى *** متونهن جلاء الشـک  و الریب؛ انجام: فبین ایامک اللائی نصرت بها *** و بین ایام بدر اقرب النسب / ابقت بنى الاصفر الممراض كاسمهم *** صفر الوجوه و جلت اوجه العرب</w:t>
      </w:r>
    </w:p>
    <w:p>
      <w:pPr>
        <w:pStyle w:val="BookText"/>
      </w:pPr>
      <w:r>
        <w:rPr>
          <w:rFonts w:ascii="IRNazanin" w:hAnsi="IRNazanin" w:eastAsia="IRNazanin" w:cs="IRNazanin"/>
          <w:lang w:bidi="fa-IR"/>
          <w:color w:val="111111"/>
          <w:sz w:val="28"/>
          <w:szCs w:val="28"/>
          <w:rtl/>
        </w:rPr>
        <w:t xml:space="preserve">خط: نستعلیق و شکسته، بی کا، تا: قرن ۱۳؛ کاغذ: صنعتی نخودی و نیلی آهار مهره، جلد: مقوای سفید، ۳گ (۶۹پ-۶۷ پ)،  مختلف السطر ،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۲۱/۴سم [ف: ۲۹/۱ - ۱۸۰]</w:t>
      </w:r>
    </w:p>
    <w:p>
      <w:pPr>
        <w:pStyle w:val="BookText"/>
      </w:pPr>
      <w:r>
        <w:rPr>
          <w:rFonts w:ascii="IRNazanin" w:hAnsi="IRNazanin" w:eastAsia="IRNazanin" w:cs="IRNazanin"/>
          <w:lang w:bidi="fa-IR"/>
          <w:color w:val="111111"/>
          <w:sz w:val="28"/>
          <w:szCs w:val="28"/>
          <w:rtl/>
        </w:rPr>
        <w:t xml:space="preserve">۱۸۳. تهران؛ دانشگاه؛ شماره نسخه: ۱۰۸۳۴/۶</w:t>
      </w:r>
    </w:p>
    <w:p>
      <w:pPr>
        <w:pStyle w:val="BookText"/>
      </w:pPr>
      <w:r>
        <w:rPr>
          <w:rFonts w:ascii="IRNazanin" w:hAnsi="IRNazanin" w:eastAsia="IRNazanin" w:cs="IRNazanin"/>
          <w:lang w:bidi="fa-IR"/>
          <w:color w:val="111111"/>
          <w:sz w:val="28"/>
          <w:szCs w:val="28"/>
          <w:rtl/>
        </w:rPr>
        <w:t xml:space="preserve">آغاز: فرق اذا استطعمت ادخال مطعم*** على مطعم من قبل فعل الهواضم / و كل طعام يعجز السن مضغها *** فلا تنقيه فهو شر المطاعم؛ انجام: و كن متحمما كل يومين مرة *** و حافظ على هذا العلاج و لازم / بذلك قد اوصى الحكيم بباذق *** لكسرى نوشیروان ملك الاعاجم</w:t>
      </w:r>
    </w:p>
    <w:p>
      <w:pPr>
        <w:pStyle w:val="BookText"/>
      </w:pPr>
      <w:r>
        <w:rPr>
          <w:rFonts w:ascii="IRNazanin" w:hAnsi="IRNazanin" w:eastAsia="IRNazanin" w:cs="IRNazanin"/>
          <w:lang w:bidi="fa-IR"/>
          <w:color w:val="111111"/>
          <w:sz w:val="28"/>
          <w:szCs w:val="28"/>
          <w:rtl/>
        </w:rPr>
        <w:t xml:space="preserve">در ۱۰ بیت. قصیده در آداب خوردن؛ خط: نستعلیق، بی کا، تا: قرن ۱۳ ،جلد: مقوا، با روکش پارچه ای، ۱گ (۷۵ر)، مختلف السطر،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 ۲۰ - ۳۶۵]</w:t>
      </w:r>
    </w:p>
    <w:p>
      <w:pPr>
        <w:pStyle w:val="BookText"/>
      </w:pPr>
      <w:r>
        <w:rPr>
          <w:rFonts w:ascii="IRNazanin" w:hAnsi="IRNazanin" w:eastAsia="IRNazanin" w:cs="IRNazanin"/>
          <w:lang w:bidi="fa-IR"/>
          <w:color w:val="111111"/>
          <w:sz w:val="28"/>
          <w:szCs w:val="28"/>
          <w:rtl/>
        </w:rPr>
        <w:t xml:space="preserve">۱۸۴. تهران؛ مجلس؛ شماره نسخه: ۸۵۵۰</w:t>
      </w:r>
    </w:p>
    <w:p>
      <w:pPr>
        <w:pStyle w:val="BookText"/>
      </w:pPr>
      <w:r>
        <w:rPr>
          <w:rFonts w:ascii="IRNazanin" w:hAnsi="IRNazanin" w:eastAsia="IRNazanin" w:cs="IRNazanin"/>
          <w:lang w:bidi="fa-IR"/>
          <w:color w:val="111111"/>
          <w:sz w:val="28"/>
          <w:szCs w:val="28"/>
          <w:rtl/>
        </w:rPr>
        <w:t xml:space="preserve">آغاز: کربلا لا زلت كرب و بلا *** ما لقى عندك آل المصطفى ؛انجام: صالوا وصلت و لکن این منک هم *** النقش في الرمل لا كالنقش في الحجر شامل اشعاری عربی در مراثی امام حسین (علیه السّلام) از شعرایی چون: سید رضی، شیخ علی شفهینی، شیخ صالح بن عرندس، شیخ حسن بن راشد، ابن النح شیخ مغامس، ابن السمين، شیخ محمد سبعی، شیخ نعمان، شیخ سیف بن بحيره، شیخ احمد نحوی حلی، سید احمد بن عبدالرؤف جد حفصی، شیخ داود بن ابی شافین جد حفصی، شیخ حسن ابو مجلی، سید احمد بن على الارض الزنجي، شیخ علی بن مقرب احسائی، شیخ حسن بن محمد دمستانی، سید على بن احمد بن ناصر جد حفصی شیخ لطف الله بن محمد بن عبدالمهدی، شیخ لطف الله بن على بن لطف الله جد حفصی، شیخ يوسف بن ابی ذؤيب  خطی، شیخ عبدالنبی بن احمد بن مانع خطی، شیخ در مکی، شیخ رجب برسی، شیخ حمزه نحوی، علی بن یوسف صالحی، شیخ عبدالحسین بن محمد کاتب بلادی، سید حسین بن علی شاخوری، شیخ عبد علی بن علی جد حفصی ،سید حسین مصلوی، شریف کاظمی؛ خط: نسخ معرب،کا: عبدالوهاب بن ابراهيم القروی، تا: ۶ رمضان ۱۲۰۵ق، مجدول، در چهاربرگ آغازین اشعاری پراکنده به عربی و فهرست مصرع اول اشعار با نام شاعران دیده می شود، در برگ پایانی یادداشتی در مجلس یزید؛ مهر: «شعاع» (بیضی)؛ جلد: تیماج قهوه ای ضربی ترنج و سرترنج دار بدون مقوا، ۲۰۵گ، ۱۴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۲۸ - ۱۰۴]</w:t>
      </w:r>
    </w:p>
    <w:p>
      <w:pPr>
        <w:pStyle w:val="BookText"/>
      </w:pPr>
      <w:r>
        <w:rPr>
          <w:rFonts w:ascii="IRNazanin" w:hAnsi="IRNazanin" w:eastAsia="IRNazanin" w:cs="IRNazanin"/>
          <w:lang w:bidi="fa-IR"/>
          <w:color w:val="111111"/>
          <w:sz w:val="28"/>
          <w:szCs w:val="28"/>
          <w:rtl/>
        </w:rPr>
        <w:t xml:space="preserve">تهران؛ مفتاح؛ شماره نسخه: ۵۷۲</w:t>
      </w:r>
    </w:p>
    <w:p>
      <w:pPr>
        <w:pStyle w:val="BookText"/>
      </w:pPr>
      <w:r>
        <w:rPr>
          <w:rFonts w:ascii="IRNazanin" w:hAnsi="IRNazanin" w:eastAsia="IRNazanin" w:cs="IRNazanin"/>
          <w:lang w:bidi="fa-IR"/>
          <w:color w:val="111111"/>
          <w:sz w:val="28"/>
          <w:szCs w:val="28"/>
          <w:rtl/>
        </w:rPr>
        <w:t xml:space="preserve">همان نسخه بالا [ نشریه: ۷ - ۲۸۴]</w:t>
      </w:r>
    </w:p>
    <w:p>
      <w:pPr>
        <w:pStyle w:val="BookText"/>
      </w:pPr>
      <w:r>
        <w:rPr>
          <w:rFonts w:ascii="IRNazanin" w:hAnsi="IRNazanin" w:eastAsia="IRNazanin" w:cs="IRNazanin"/>
          <w:lang w:bidi="fa-IR"/>
          <w:color w:val="111111"/>
          <w:sz w:val="28"/>
          <w:szCs w:val="28"/>
          <w:rtl/>
        </w:rPr>
        <w:t xml:space="preserve">۱۸۵. تهران؛ مجلس؛ شماره نسخه: ۱۰۲/۶-طباطبائی</w:t>
      </w:r>
    </w:p>
    <w:p>
      <w:pPr>
        <w:pStyle w:val="BookText"/>
      </w:pPr>
      <w:r>
        <w:rPr>
          <w:rFonts w:ascii="IRNazanin" w:hAnsi="IRNazanin" w:eastAsia="IRNazanin" w:cs="IRNazanin"/>
          <w:lang w:bidi="fa-IR"/>
          <w:color w:val="111111"/>
          <w:sz w:val="28"/>
          <w:szCs w:val="28"/>
          <w:rtl/>
        </w:rPr>
        <w:t xml:space="preserve">قصیده سید ابوالفتح اسدالله بن حسین حلبی؛ خط: نسخ، بی کا، تا: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۱۲۲۲ق [ف: ۲۲ - ۲۳]</w:t>
      </w:r>
    </w:p>
    <w:p>
      <w:pPr>
        <w:pStyle w:val="BookText"/>
      </w:pPr>
      <w:r>
        <w:rPr>
          <w:rFonts w:ascii="IRNazanin" w:hAnsi="IRNazanin" w:eastAsia="IRNazanin" w:cs="IRNazanin"/>
          <w:lang w:bidi="fa-IR"/>
          <w:color w:val="111111"/>
          <w:sz w:val="28"/>
          <w:szCs w:val="28"/>
          <w:rtl/>
        </w:rPr>
        <w:t xml:space="preserve">۱۸۶. تهران؛ ملی؛ شماره نسخه: ۳۸۳۹</w:t>
      </w:r>
    </w:p>
    <w:p>
      <w:pPr>
        <w:pStyle w:val="BookText"/>
      </w:pPr>
      <w:r>
        <w:rPr>
          <w:rFonts w:ascii="IRNazanin" w:hAnsi="IRNazanin" w:eastAsia="IRNazanin" w:cs="IRNazanin"/>
          <w:lang w:bidi="fa-IR"/>
          <w:color w:val="111111"/>
          <w:sz w:val="28"/>
          <w:szCs w:val="28"/>
          <w:rtl/>
        </w:rPr>
        <w:t xml:space="preserve">آغاز: لاكان يومك فى الايام ان له *** في كل قلب لجرحا غیر مسبور؛ انجام: فلا هو مقتول ففى القتل راحه *** و لا هو ممنون عليه فيطلق</w:t>
      </w:r>
    </w:p>
    <w:p>
      <w:pPr>
        <w:pStyle w:val="BookText"/>
      </w:pPr>
      <w:r>
        <w:rPr>
          <w:rFonts w:ascii="IRNazanin" w:hAnsi="IRNazanin" w:eastAsia="IRNazanin" w:cs="IRNazanin"/>
          <w:lang w:bidi="fa-IR"/>
          <w:color w:val="111111"/>
          <w:sz w:val="28"/>
          <w:szCs w:val="28"/>
          <w:rtl/>
        </w:rPr>
        <w:t xml:space="preserve">مجموعه شعر عربی رثای امامان از ناشناس شامل قطعات شـعر عربی از: شیخ حسن (۲پ)، علی خلیعی (۶ر، ۱۲پ ،۳۴) علی بن حبیب (۸ر ،۱۴ر، ۱۶ر ۳۰ ر)، شیخ احمد حاجی (۱۰پ، ۲۱پ)، محمد بن السمين (۱۹ر)، سید رضی ،(۲۴) شهاب (۲۵پ)، ابن ابی السرايا ،(۲۸ ر)، حاجی سلمان (۳۳)، شافهینی (۳۷)،سبعی(45ر- ۵۰)، دهستانی (۵۳-۵۹)؛ خط: عربی نسخ و فارسی نستعلیق، بی کا، تا: ۱۲۲۳ق؛ صيغه متعه علی بن حاجی مهدی با هاجر بـنت یک ساله برای مدت سته اشهر متوالیه از جمعه ۲۰جمادی الاول ۱۲۲۳ (۶۴ر)؛ کاغذ: ترمه نخودی ،جلد: چرم قهوه ای یک لا، ۷۲گ، ۱۲ 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قطع : بياض رقعی، 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سم [ف: ۱۷- 77]</w:t>
      </w:r>
    </w:p>
    <w:p>
      <w:pPr>
        <w:pStyle w:val="BookText"/>
      </w:pPr>
      <w:r>
        <w:rPr>
          <w:rFonts w:ascii="IRNazanin" w:hAnsi="IRNazanin" w:eastAsia="IRNazanin" w:cs="IRNazanin"/>
          <w:lang w:bidi="fa-IR"/>
          <w:color w:val="111111"/>
          <w:sz w:val="28"/>
          <w:szCs w:val="28"/>
          <w:rtl/>
        </w:rPr>
        <w:t xml:space="preserve">۱۸۷. قم؛ معصومیه؛ شماره نسخه: ۴۴۲</w:t>
      </w:r>
    </w:p>
    <w:p>
      <w:pPr>
        <w:pStyle w:val="BookText"/>
      </w:pPr>
      <w:r>
        <w:rPr>
          <w:rFonts w:ascii="IRNazanin" w:hAnsi="IRNazanin" w:eastAsia="IRNazanin" w:cs="IRNazanin"/>
          <w:lang w:bidi="fa-IR"/>
          <w:color w:val="111111"/>
          <w:sz w:val="28"/>
          <w:szCs w:val="28"/>
          <w:rtl/>
        </w:rPr>
        <w:t xml:space="preserve">اشعاری را از شعرای عربی انتخاب و جمع نموده است بدین ترتیب: علویات سبع ابن ابی الحدید ۲پ- ۴پ)، غزلی از فضولی بغدادی به ترکی (۴پ) قصیده ای با قافیه الف در سی بیت ) (5ر-۶ر) که به پیشگاه علی تقدیم شده به خط خود  شاعر، با این مطلع:« و كم جدل القرم الكمى شاغبا دما *** و القاه فى قرب المذلـة اميا / و كم ترب الاتراب قصم الترائب </w:t>
      </w:r>
      <w:r>
        <w:rPr>
          <w:rFonts w:ascii="Times New Roman" w:hAnsi="Times New Roman" w:eastAsia="Times New Roman" w:cs="Times New Roman"/>
          <w:lang w:val="en-US" w:bidi="en-US"/>
          <w:color w:val="111111"/>
          <w:sz w:val="28"/>
          <w:szCs w:val="28"/>
          <w:rtl/>
        </w:rPr>
        <w:t xml:space="preserve">xx </w:t>
      </w:r>
      <w:r>
        <w:rPr>
          <w:rFonts w:ascii="IRNazanin" w:hAnsi="IRNazanin" w:eastAsia="IRNazanin" w:cs="IRNazanin"/>
          <w:lang w:bidi="fa-IR"/>
          <w:color w:val="111111"/>
          <w:sz w:val="28"/>
          <w:szCs w:val="28"/>
          <w:rtl/>
        </w:rPr>
        <w:t xml:space="preserve">و كم كفاء لاكـفاء کفی به کافیا»، قصیده ای به عربی در ۶۸ بیت« ۶ پ-۷ر» با عنوان «للامام العلامة في مدح مولانا و امامنا المنتظر قائم آل محمد» مقصود ظاهراً شیخ احمد احسائی می باشد با این مطلع «تر لعينى من حبيبى خيامه *** فعاود قلبی اذ رأتها هيامه / و اومـض برق الوصل من جانب الحمى *** فهاج بقلبي من جواه غرامه»،باز قصیده ای به عربی و ۶ رباعی به فارسی با عنوان «للامام العلامة میرزا احمد زاد الله عمره» (۷ پ- -۹پ) دیوان قیس عامری (۹پ -۲۱ر) که ناتمام و اوراق آن مشوش است؛ خط: ثلث، ۱۲۳۲ق؛ جلد: تیماج مشکی ضربی  مجدول، ۲۰گ، ۱۹ سـطر (۷/۵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۲ - ۵۶]</w:t>
      </w:r>
    </w:p>
    <w:p>
      <w:pPr>
        <w:pStyle w:val="BookText"/>
      </w:pPr>
      <w:r>
        <w:rPr>
          <w:rFonts w:ascii="IRNazanin" w:hAnsi="IRNazanin" w:eastAsia="IRNazanin" w:cs="IRNazanin"/>
          <w:lang w:bidi="fa-IR"/>
          <w:color w:val="111111"/>
          <w:sz w:val="28"/>
          <w:szCs w:val="28"/>
          <w:rtl/>
        </w:rPr>
        <w:t xml:space="preserve">۱۸۸. تهران؛ ملی؛ شماره نسخه: ۳۱۰۵/۱</w:t>
      </w:r>
    </w:p>
    <w:p>
      <w:pPr>
        <w:pStyle w:val="BookText"/>
      </w:pPr>
      <w:r>
        <w:rPr>
          <w:rFonts w:ascii="IRNazanin" w:hAnsi="IRNazanin" w:eastAsia="IRNazanin" w:cs="IRNazanin"/>
          <w:lang w:bidi="fa-IR"/>
          <w:color w:val="111111"/>
          <w:sz w:val="28"/>
          <w:szCs w:val="28"/>
          <w:rtl/>
        </w:rPr>
        <w:t xml:space="preserve">آغاز: شقت حرارات العباد وسطرت *** بالاخضرار على ید بيضاء؛ انجام: فقالت السلام علیک یا توبه و رحمت الله و بركاته فيما صرت اليه واذا طائر خرج من القبر فضرب صدرها.</w:t>
      </w:r>
    </w:p>
    <w:p>
      <w:pPr>
        <w:pStyle w:val="BookText"/>
      </w:pPr>
      <w:r>
        <w:rPr>
          <w:rFonts w:ascii="IRNazanin" w:hAnsi="IRNazanin" w:eastAsia="IRNazanin" w:cs="IRNazanin"/>
          <w:lang w:bidi="fa-IR"/>
          <w:color w:val="111111"/>
          <w:sz w:val="28"/>
          <w:szCs w:val="28"/>
          <w:rtl/>
        </w:rPr>
        <w:t xml:space="preserve">مجموعه ای است از غزل ها، خمریات و اشعار متضمن محـبت نسبت به خدا و پیامبر و ائمه اطهار (علیهم السّلام) از شعرای  ذیل: وفایی، البهاء زهير، شهاب الدین  عمری، صلاح الدين  صفدى، مليـک حموی، شمس الدین بن الصايغ، نوامی، عبدالهادی سودی ،شافعی، سلطان ملک ،غوری ،حاجری، ابن فارض، ابوالفضل بن الوفا المصرى، سید علی، یحیى بن خالد  برمکی، بوعلی سینا به نقل از عشقیه او، یزدی بن معاویه و مجنون عامری؛ خط: نسخ خوش، كا: محمد تقی بن محمد کاظم همدانی، تا: ۱۲۳۶ق؛ افتادگی: آغاز؛ کاغذ: فرنگی شکری ،جلد: تیماج تریاکی روشن مقوایی ضربی، (۲۲ ص (1- 22)، ۱۲ سطر ،(۶/۵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اندازه: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۱۴-۲۳۰]</w:t>
      </w:r>
    </w:p>
    <w:p>
      <w:pPr>
        <w:pStyle w:val="BookText"/>
      </w:pPr>
      <w:r>
        <w:rPr>
          <w:rFonts w:ascii="IRNazanin" w:hAnsi="IRNazanin" w:eastAsia="IRNazanin" w:cs="IRNazanin"/>
          <w:lang w:bidi="fa-IR"/>
          <w:color w:val="111111"/>
          <w:sz w:val="28"/>
          <w:szCs w:val="28"/>
          <w:rtl/>
        </w:rPr>
        <w:t xml:space="preserve">۱۸۹ . اراک؛ دهگان؛ شماره نسخه: ۳۱/۲</w:t>
      </w:r>
    </w:p>
    <w:p>
      <w:pPr>
        <w:pStyle w:val="BookText"/>
      </w:pPr>
      <w:r>
        <w:rPr>
          <w:rFonts w:ascii="Amiri" w:hAnsi="Amiri" w:eastAsia="Amiri" w:cs="Amiri"/>
          <w:lang w:bidi="ar-SA"/>
          <w:color w:val="111111"/>
          <w:sz w:val="28"/>
          <w:szCs w:val="28"/>
          <w:rtl/>
        </w:rPr>
        <w:t xml:space="preserve">آغاز: فنعم اليوم يوم السبت حقا *** يصدان اردت بلا امتراء</w:t>
      </w:r>
    </w:p>
    <w:p>
      <w:pPr>
        <w:pStyle w:val="BookText"/>
      </w:pPr>
      <w:r>
        <w:rPr>
          <w:rFonts w:ascii="IRNazanin" w:hAnsi="IRNazanin" w:eastAsia="IRNazanin" w:cs="IRNazanin"/>
          <w:lang w:bidi="fa-IR"/>
          <w:color w:val="111111"/>
          <w:sz w:val="28"/>
          <w:szCs w:val="28"/>
          <w:rtl/>
        </w:rPr>
        <w:t xml:space="preserve">اشعاری است به عربی از کلام امیر المؤمنين؛ خط: نستعليق تحریری، کا: علی محمد ابن میرزا محمد سنجانی، تا: پنج شنبه ۱۹ جمادی الاول ۱۲۳۶ق ،کاغذ: شکری، جلد: مقوا با کاغذ الگو، ص ۳۴، قطع: وزیری،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 - ۴۸]</w:t>
      </w:r>
    </w:p>
    <w:p>
      <w:pPr>
        <w:pStyle w:val="BookText"/>
      </w:pPr>
      <w:r>
        <w:rPr>
          <w:rFonts w:ascii="IRNazanin" w:hAnsi="IRNazanin" w:eastAsia="IRNazanin" w:cs="IRNazanin"/>
          <w:lang w:bidi="fa-IR"/>
          <w:color w:val="111111"/>
          <w:sz w:val="28"/>
          <w:szCs w:val="28"/>
          <w:rtl/>
        </w:rPr>
        <w:t xml:space="preserve">۱۹۰. اعظم؛ شماره نسخه :۴۰۸۰/۵</w:t>
      </w:r>
    </w:p>
    <w:p>
      <w:pPr>
        <w:pStyle w:val="BookText"/>
      </w:pPr>
      <w:r>
        <w:rPr>
          <w:rFonts w:ascii="IRNazanin" w:hAnsi="IRNazanin" w:eastAsia="IRNazanin" w:cs="IRNazanin"/>
          <w:lang w:bidi="fa-IR"/>
          <w:color w:val="111111"/>
          <w:sz w:val="28"/>
          <w:szCs w:val="28"/>
          <w:rtl/>
        </w:rPr>
        <w:t xml:space="preserve">آغاز: یا عبد مالک من شوق وايراق*** و كر طيف على الاهوال طراق / يسرى على الابن والحيات محتفيا *** نفسى قداءك من سار على ساق؛ انجام: الدر من الفاظها لكنه *** در له ابن ابی الحديد يفصل / هى دون مدح الله وفوق ما *** مدح الورى و علاك منك افضل</w:t>
      </w:r>
    </w:p>
    <w:p>
      <w:pPr>
        <w:pStyle w:val="BookText"/>
      </w:pPr>
      <w:r>
        <w:rPr>
          <w:rFonts w:ascii="IRNazanin" w:hAnsi="IRNazanin" w:eastAsia="IRNazanin" w:cs="IRNazanin"/>
          <w:lang w:bidi="fa-IR"/>
          <w:color w:val="111111"/>
          <w:sz w:val="28"/>
          <w:szCs w:val="28"/>
          <w:rtl/>
        </w:rPr>
        <w:t xml:space="preserve">قصاید عربی منتخبی است از امرء  القیس ،شافعی، تاج الدین، حسان صفى الدين حلى و ابن ابی الحدید و. ... ؛خط: نسخ، بی کا، تا: ۱۲۳۷ق؛ جلد: گالینگور سبز، عطف تیماج زرشکی، ۱۶گ (۱۶۸ ر-۱۸۴پ)، ۱۸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مخ: ۴ - ۱۵۲۰]</w:t>
      </w:r>
    </w:p>
    <w:p>
      <w:pPr>
        <w:pStyle w:val="BookText"/>
      </w:pPr>
      <w:r>
        <w:rPr>
          <w:rFonts w:ascii="IRNazanin" w:hAnsi="IRNazanin" w:eastAsia="IRNazanin" w:cs="IRNazanin"/>
          <w:lang w:bidi="fa-IR"/>
          <w:color w:val="111111"/>
          <w:sz w:val="28"/>
          <w:szCs w:val="28"/>
          <w:rtl/>
        </w:rPr>
        <w:t xml:space="preserve">۱۹۱. تبریز؛ ملی؛ شماره نسخه: ۲۶۲۱</w:t>
      </w:r>
    </w:p>
    <w:p>
      <w:pPr>
        <w:pStyle w:val="BookText"/>
      </w:pPr>
      <w:r>
        <w:rPr>
          <w:rFonts w:ascii="IRNazanin" w:hAnsi="IRNazanin" w:eastAsia="IRNazanin" w:cs="IRNazanin"/>
          <w:lang w:bidi="fa-IR"/>
          <w:color w:val="111111"/>
          <w:sz w:val="28"/>
          <w:szCs w:val="28"/>
          <w:rtl/>
        </w:rPr>
        <w:t xml:space="preserve">آغاز: (متن:) شرح قصيده الحمیری رحمه الله بسمله قال العالم الجليل و الفاضل النبيل رئيس المحدثين محى آثار الائمه الطاهرين مولانا محمد باقر متعنا الله بيقائه فى مجلد الحادى عشر من  كتاب بحار الانوار ... (حاشیه:) قصیده موسومه بالخميريه؛ انجام: هي دون مدح الله فيك و دون ما مدح الورى واعلاك منها افضل قصاید و ابیات متفرقه است، قریب یکصد و بیست و پنج قصیده بدین شرح آتی: متن: ۱. شرح قصیده سید اسماعیل حمیری، ۲. قصیده معروف ،فرزدق ،3. قصیده شیخ بهائی، ۴. قصیده معروف كعب بن زهير بن ابی سلمی، 5. قصیده امرء القيس، ۶. قصیده سید رضی، ۷. دو قصیده از صاحب بن عباد ،۸. عصيده عبدالله بن حسين بن سينا، ٩. قصيده الصاحب المر به روایت شیخ احمد احسائی و یک قطعه، ۱۰. دو قصیده ازشیخ زین الدین پدر شیخ احمد احسائی، ۱۱. لميه العرب للشنفرى، ۱۲. دو قصیده از بن ابی الحديد، ۱۳. قصيده حسان بن ثابت، ۱۵. پنج قطعه از شافعی، ۱۶. قصيده شيخ صفي الدين حلى، ١٧. قصيده صاحب معالم، ١٨. قصیده دعبل خزاعی، ۱۹. ابیاتی از حسین بن علی (علیه السّلام)، ۲۰. جواب هاتف به آن حضرت، ۲۱. ايضا ابیاتی از حضرت حسین (علیه السّلام) ، ۲۲. ابیاتی از عمر بن سعد عليه اللغنه، ۲۳. ابیاتی از میرزا قوام قزوینی، ۲۴. ابیاتی از عمر بن سعد عليه اللعنه، ۲۵. ابیاتی از دیک الجن ، ۲۶. قصیده مسیحای  فسوی، ۲۷.ابیاتی عربی از خاقانی، ۲۸. ابیاتی از ابی العلاء ،۲۹. قصیده محمد بن ابی بکر، ۳۰. از امیر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المومنين على (علیه السّلام)، ۳۱. بیتی از ابی حنیفه، ۳۲. پنجاه و هفت بیت به شکل مثنوی در ذکر دلایل حقانیت برتری علی(علیه السّلام) از قـول</w:t>
      </w:r>
    </w:p>
    <w:p>
      <w:pPr>
        <w:pStyle w:val="BookText"/>
      </w:pPr>
      <w:r>
        <w:rPr>
          <w:rFonts w:ascii="IRNazanin" w:hAnsi="IRNazanin" w:eastAsia="IRNazanin" w:cs="IRNazanin"/>
          <w:lang w:bidi="fa-IR"/>
          <w:color w:val="111111"/>
          <w:sz w:val="28"/>
          <w:szCs w:val="28"/>
          <w:rtl/>
        </w:rPr>
        <w:t xml:space="preserve">فخر رازی و قاضی عضد الدين صاحب مواقف ،۳۳ .ابیاتی ازسید مدنی ،۳۴. علی بن عبد الله الخوافی، ۳۵. قصیده دعبل خزاعی،36. ابیاتی از ابی محمد بریدی، ۳۷. قصیده محمد بن حبيب الضبـی، ۳۸. قصیده محمد بن حسن بن شهید، ۳۹. شش قطعه از سهرودی، ۴۰. قصیده شیخ محمد بن حسن بن شهید، ۴۱. دو قطعه در لغزاز همان شیخ محمد، ۴۲، قصیده محمد بن مهدی بن سید مرتضی طباطبائی، ۴۳. قصیده نصیر محمد بن اقا میرزا عبدالله، ۴۴. قصـیده لبيد بند ربیعه، ۴۵. ابیاتی از قیس بن عاصم، ۴۶. ابیاتی از امام هشتم، ۴۷. بیتی در مدح شراب از یزید عليه اللعنه، ۴۸. سه قصـیده از ملامهر علی خوئی، ۴۹. ابیاتی از ابی  العتاهيه، ۵۰. ابیاتی از قاضی ارجانی، ۵۱. ابیاتی از ابی الفتح، ۵۲. ابیاتی از شیخ علی، ۵۳.قصیده ای از شیبانی، ۵۴. ابیاتی از حریری، ۵۵. بیتی از سـیدعلى، ۵۶. قصيده للكبرى، ۵۷. قصيده ابى الوفاء مصری، ۵۸.سه قطعه از سودی؛ ۵۹. دو فقره ابیات از سلطان ملک عوری،60.دو قصیده از صف الدین حلی، ۶۱. ابیاتی از حاجزی، ۶۲. ابیاتی از نواخی، ۶۳. ابیاتی از شافعی، ۶۴. ابیاتی از شهاب الدین عمری،  ۶۵. ابیاتی از شیخ صلاح الدین صفدی، ۶۶. قصیده بها زهیر،67. ابیاتی از شیخ رمائی، ۶۸. قصیده ابن رفاعه، ۶۹. قصیده ابی نواس، ۷۰. ابیاتی از جعیری، ۷۱. قصیده بدیع الرمان همدانی، ۷۲. قصـیده سرخانی خان لگزی، ۷۳. قصیده سید احمد هاتف، ۷۴. هشـت قصیده از راعی، ۷۵. قصیده سید علی خان صاحب السلافه،76 . قصيده حسان بن ثابت، ۷۷. قصیده میرزا نصير الدين حبـیب اصفهانی، ۷۸. قصیه خالدبن صفوان، ۷۹. قصیده نابغه ذبیاتی،80.لاميه الانكجارى ،۸۱. هفت قصیده علویات یا حدیدات ازابن الحديد و بقیه قطعات و قصایدی از شعرای بی نام، و در حاشیه:1. خمريه ابن الفارض، ۲. لاميه العجم طغرائی، ۳. قصیده حسین بن شهاب الدین ،۴. قصیده عمید الدین ابرزی، ۵. شیخ بهائی،6. ابیاتی از صفی الدين، 7. قصيده يحيى بن خالد  برمکی، ۸. ابیاتی از صفی  الدین، ۹. ابیاتی از عفیف سلیمانی، ۱۰ . ابیاتی از مجنـون عامری، ۱۱. ابیاتی از ابی فراس، ۱۲. ابیاتی از معتمد بن عباد،13. قصيده العاديت الکالتی، ۱۴. ابیاتی از عنتر  عیسی، ۱۵. ابیاتی از شیخ حسن بوری، ۱۶. بیتی از ابن فضل الله، ۱۷. قصـیده رضی الدین حسینی، ۱۸. قصیده احمد حلبی شاگرد رضی الدین، ۱۹. دو بیت از قیراطی، ۲۰. بیتی از کشاجم، ۲۱. ابیاتی از ابی الحسن شریف طباطبائی، ۲۲. بیتی از منصور فقیه، ۲۳. ابیاتی از شيخ سعد الدین العربی، ۲۴. ابیاتی ار سید مرتضی علم الهدی ،۲۵. ابیاتی از شیخ شهاب الدین احمد شیبانی، ۲۶. ابیاتی از قاضـی حجر، ۲۷. ابیاتی از احمد  منصور، ۲۸. ابیاتی از امیر فیروزبن ركن الدوله بن عضد الدوله، ۲۹. بیتی از بها زهیر ،۳۰. ابیاتی از ابی فراس، ۳۱. بیتی از زین الدین، ۳۲. ابیاتی از ابن النقيب،33. ابیاتی از قاضی شمس الدين بن خلكان، ۳۴. ابیاتی از یحیی بن</w:t>
      </w:r>
    </w:p>
    <w:p>
      <w:pPr>
        <w:pStyle w:val="BookText"/>
      </w:pPr>
      <w:r>
        <w:rPr>
          <w:rFonts w:ascii="IRNazanin" w:hAnsi="IRNazanin" w:eastAsia="IRNazanin" w:cs="IRNazanin"/>
          <w:lang w:bidi="fa-IR"/>
          <w:color w:val="111111"/>
          <w:sz w:val="28"/>
          <w:szCs w:val="28"/>
          <w:rtl/>
        </w:rPr>
        <w:t xml:space="preserve">عبد العظيم، ۳۵. ابیاتی از ابی  البقا، ۳۶. ابیاتی از قطب الدین، ۳۷. ابیاتی از ابن سیرین ،۳۸. ابیاتی از ابن  المعتز، ۳۹. ابیاتی از ابن الدمینه، ۴۰. ابیاتی از ابی بکر، ۴۱. ابیاتی از عایشه الباغوثه، ۴۲. ابیاتی از ابن الدمنیه، ۴۳. ابیاتی از ابی تمام الطائی، ۴۴. قصيده  ابوظهیر، ۴۵. مطالبی از مجمع البحرین و مطلع النیرین در نسب سید مرتضی و ترجمه علامه حلی و صاحب بن عباد و درباره حجاج بن یوسف و زندان وی و خلافت حضرت علی بن ابیطالب (علیه السّلام)، ۴۶. دو قصیده عمر و بن العاص خطاب به معاويه عليهما اللعنه، ۴۹. ابیاتی منسوب به حضرت امیر المومنين (علیه السّلام)، ۵۰. قصیده و ابیاتی از ابن الفارض، ۵۱. قصيده امرؤ القيس، ۵۲. مطالبی درباره سلطان محمود و مذهب حنفی شافعی و نماز حنفیه و مطالبی درباره حقانیت  شیعه، ۵۳. ابیاتی منسوب به ابلیس، ۵۴. ابیاتی منسوب به حضرت امام باقر (علیه السّلام) ، ۵۵. مطالبی متفرقه، ۵۶. لغزی از شیخ عبدالصمد به پسرش شیخ بهائی و جواب آن، ۵۷. قصیده ای از حضرت امیرالمومنین فی بیان دایره جنة الاسماء، ۵۸. ابیاتی از محمد بن ابی الضفر شافعی، ۵۹. ابیاتی از ابی الجزایر ،۶۰. ابیاتی از شیخ نور الدین، ۶۱. ابیاتی از شیخ عبدالصمد، ۶۲. ابیاتی از ابی الفتح، ۶۳. ابیاتی از صفی الدین، ۶۴. قصیده   ابن الشرف المارديني، ۶۵. ابیاتی از ابی الفتح، ۶۶. ابیاتی از احنف عبکری، ۶۷. ابیاتی از ابى المطميل النيشایوری، ۶۸. مرثیه شیخ بهائی بر  پدرش، ۶۹. ابیاتی از قینان  شاعر، ۷۰. ابیاتی از عمر بن عبد العزيز، ۷۱ .ابیاتی از  بکری ،۷۲. ابیاتی از بهاء زهیر؛ خط: نستعلیق، بی کا، تا: ۱۲۴۰ق؛ کاتب که خوش نویس ماهری بوده است معلوم نشد، برابر یادداشت پشت برگ اول عبدالله حسنی حسینی نام پس از بیست سال از تاریخ تحریر به سال ۱۲۶۰ نسخه را خریداری نموده بوده؛ کاغذ: فرنگی ،جلد: چرمی ضربی، ۱۶۳گ،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۳ - ۱۰۲۹]</w:t>
      </w:r>
    </w:p>
    <w:p>
      <w:pPr>
        <w:pStyle w:val="BookText"/>
      </w:pPr>
      <w:r>
        <w:rPr>
          <w:rFonts w:ascii="IRNazanin" w:hAnsi="IRNazanin" w:eastAsia="IRNazanin" w:cs="IRNazanin"/>
          <w:lang w:bidi="fa-IR"/>
          <w:color w:val="111111"/>
          <w:sz w:val="28"/>
          <w:szCs w:val="28"/>
          <w:rtl/>
        </w:rPr>
        <w:t xml:space="preserve">۱۹۲. تهران؛ ملی؛ شماره نسخه: ۲۸۵۳/۲</w:t>
      </w:r>
    </w:p>
    <w:p>
      <w:pPr>
        <w:pStyle w:val="BookText"/>
      </w:pPr>
      <w:r>
        <w:rPr>
          <w:rFonts w:ascii="IRNazanin" w:hAnsi="IRNazanin" w:eastAsia="IRNazanin" w:cs="IRNazanin"/>
          <w:lang w:bidi="fa-IR"/>
          <w:color w:val="111111"/>
          <w:sz w:val="28"/>
          <w:szCs w:val="28"/>
          <w:rtl/>
        </w:rPr>
        <w:t xml:space="preserve">آغاز: هاج حزنی و غلیلی *** ذکر عطشان قتیلی؛ انجام: سلبونا و سبونا بعدما *** نهبوا جملة اثاثات الخيا</w:t>
      </w:r>
    </w:p>
    <w:p>
      <w:pPr>
        <w:pStyle w:val="BookText"/>
      </w:pPr>
      <w:r>
        <w:rPr>
          <w:rFonts w:ascii="IRNazanin" w:hAnsi="IRNazanin" w:eastAsia="IRNazanin" w:cs="IRNazanin"/>
          <w:lang w:bidi="fa-IR"/>
          <w:color w:val="111111"/>
          <w:sz w:val="28"/>
          <w:szCs w:val="28"/>
          <w:rtl/>
        </w:rPr>
        <w:t xml:space="preserve">رساله ای است مشتمل بر ۷ قصیده زیر در رثای امام حسین (علیه السّلام): قصیده خلیعی با مطلع: «هاج حزنی و غلیلی *** ذکر عطشان قتیلی قصیده خلیعی با مطلع: «سجعت فوق الغصون *** فاقدات للقرين»، قصيده شیخ وهاب با مطلع: «نوحوا آيا شيعة الكرار ابي حسن*** على الحسين غريب الدور و «الوطن»، قصیده ابن حماد با مطلع: «ايفرح من له كبد يذوب *** و قلب من صبابتة كئيب»، قصیده ابن متوج با مطلع: «الا نوحوا و ضجوا بالبكاء *** على السبط الشهيد بكربلاء»، قصیده خلیعی با مطلع: «اعاد لي ذکر كربلا حزنى *** فسح دمعى كالعارض الهتن»، قصيدة فاجعة من قائلها با مطلع: «کربلا یا کربلا یا کربلا*** كم لقينا فيك كرب و بلا؛ خط: نسخ و نستعلیق، کا: سید سلیمان بن سید محمد بن سید نصر الله ، تا: ۱۲۴۱ق؛ کاغذ: فرنگی شکری، جلد: بياض تیماج تریاکی یک لا ضربی، ۱۱گ (89پ- 100) اندازه: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۱۹/۵سم [ف : ۱۳ - ۳۶۲]</w:t>
      </w:r>
    </w:p>
    <w:p>
      <w:pPr>
        <w:pStyle w:val="BookText"/>
      </w:pPr>
      <w:r>
        <w:rPr>
          <w:rFonts w:ascii="IRNazanin" w:hAnsi="IRNazanin" w:eastAsia="IRNazanin" w:cs="IRNazanin"/>
          <w:lang w:bidi="fa-IR"/>
          <w:color w:val="111111"/>
          <w:sz w:val="28"/>
          <w:szCs w:val="28"/>
          <w:rtl/>
        </w:rPr>
        <w:t xml:space="preserve">۱۹۳ . خوانسار؛ فاضل؛ شماره نسخه: ۲۲۹/۳</w:t>
      </w:r>
    </w:p>
    <w:p>
      <w:pPr>
        <w:pStyle w:val="BookText"/>
      </w:pPr>
      <w:r>
        <w:rPr>
          <w:rFonts w:ascii="IRNazanin" w:hAnsi="IRNazanin" w:eastAsia="IRNazanin" w:cs="IRNazanin"/>
          <w:lang w:bidi="fa-IR"/>
          <w:color w:val="111111"/>
          <w:sz w:val="28"/>
          <w:szCs w:val="28"/>
          <w:rtl/>
        </w:rPr>
        <w:t xml:space="preserve">آغاز: لقد تكسر قلبی و قد تحزن بالی *** على كثير جفاء علی الرسول و آل ...</w:t>
      </w:r>
    </w:p>
    <w:p>
      <w:pPr>
        <w:pStyle w:val="BookText"/>
      </w:pPr>
      <w:r>
        <w:rPr>
          <w:rFonts w:ascii="IRNazanin" w:hAnsi="IRNazanin" w:eastAsia="IRNazanin" w:cs="IRNazanin"/>
          <w:lang w:bidi="fa-IR"/>
          <w:color w:val="111111"/>
          <w:sz w:val="28"/>
          <w:szCs w:val="28"/>
          <w:rtl/>
        </w:rPr>
        <w:t xml:space="preserve">خط: نسخ زیبا، کا: حسین بن علی نقی، تا:ربیع الاول ۱۲۴۳ق؛  دارای ترجمه فارسی؛ تملک: «محمد علی امامی خوانساری»با مهر «محمد علی» (بیضی)؛ تملک: «محمد باقر بن علی» که احتمالاً كاتب نسخه  باشد، «محمد باقر کتابفروش بهبهانی» جلد: مقوایی عطف و گوشه ها تیماج  مشکی،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 - 187]</w:t>
      </w:r>
    </w:p>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IRNazanin" w:hAnsi="IRNazanin" w:eastAsia="IRNazanin" w:cs="IRNazanin"/>
          <w:lang w:bidi="fa-IR"/>
          <w:color w:val="111111"/>
          <w:sz w:val="28"/>
          <w:szCs w:val="28"/>
          <w:rtl/>
        </w:rPr>
        <w:t xml:space="preserve">تهران؛ مجلس؛ شماره نسخه: ۷۵۵/۷- طباطبائی</w:t>
      </w:r>
    </w:p>
    <w:p>
      <w:pPr>
        <w:pStyle w:val="BookText"/>
      </w:pPr>
      <w:r>
        <w:rPr>
          <w:rFonts w:ascii="IRNazanin" w:hAnsi="IRNazanin" w:eastAsia="IRNazanin" w:cs="IRNazanin"/>
          <w:lang w:bidi="fa-IR"/>
          <w:color w:val="111111"/>
          <w:sz w:val="28"/>
          <w:szCs w:val="28"/>
          <w:rtl/>
        </w:rPr>
        <w:t xml:space="preserve">از عامر ابن الطفيل در قتال ربیعه و قحطان و از مهلهل ربیعه در رثاء كليب؛ خط: نسخ، بی کا، تا: ۱۲۴۳ق؛ کاغذ: فرنگی نخودی ،جلد: تیماج قهوه ای، ۲ ص (۲۱۱-۲۱۲ )،۱۴ سطر، قطع: وزیری،اندازه: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 ۲۳ - ۴۵]</w:t>
      </w:r>
    </w:p>
    <w:p>
      <w:pPr>
        <w:pStyle w:val="BookText"/>
      </w:pPr>
      <w:r>
        <w:rPr>
          <w:rFonts w:ascii="IRNazanin" w:hAnsi="IRNazanin" w:eastAsia="IRNazanin" w:cs="IRNazanin"/>
          <w:lang w:bidi="fa-IR"/>
          <w:color w:val="111111"/>
          <w:sz w:val="28"/>
          <w:szCs w:val="28"/>
          <w:rtl/>
        </w:rPr>
        <w:t xml:space="preserve">۱۹۵. تهران؛ مجلس؛ شماره نسخه: ۷۵۵/۹- طباطبائی</w:t>
      </w:r>
    </w:p>
    <w:p>
      <w:pPr>
        <w:pStyle w:val="BookText"/>
      </w:pPr>
      <w:r>
        <w:rPr>
          <w:rFonts w:ascii="IRNazanin" w:hAnsi="IRNazanin" w:eastAsia="IRNazanin" w:cs="IRNazanin"/>
          <w:lang w:bidi="fa-IR"/>
          <w:color w:val="111111"/>
          <w:sz w:val="28"/>
          <w:szCs w:val="28"/>
          <w:rtl/>
        </w:rPr>
        <w:t xml:space="preserve">قصیده دالیه در پند و عبرت، با مطلع: «تجاف عن العتبى فما الذنب و احمد *** و هب لصروف الدهر ما انت و احمد / اذا خانك و الا دنى الذى انت حزبه *** فلا عجبا ان اسلمتك الا باعد»؛ خـط: نسخ، بی کا، تا: ۱۲۴۳ق؛ کاغذ: فرنگی نخودی، جلد: تیماج قهوه ای، 3ص( ۲۱۶-۲۱۸)، ۱۴ سطر، قطع: وزیری،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۲۳ - ۴۵]</w:t>
      </w:r>
    </w:p>
    <w:p>
      <w:pPr>
        <w:pStyle w:val="BookText"/>
      </w:pPr>
      <w:r>
        <w:rPr>
          <w:rFonts w:ascii="IRNazanin" w:hAnsi="IRNazanin" w:eastAsia="IRNazanin" w:cs="IRNazanin"/>
          <w:lang w:bidi="fa-IR"/>
          <w:color w:val="111111"/>
          <w:sz w:val="28"/>
          <w:szCs w:val="28"/>
          <w:rtl/>
        </w:rPr>
        <w:t xml:space="preserve">۱۹۶ . خوانسار؛ فاضل؛ شماره نسخه: ۱۰۲/۶</w:t>
      </w:r>
    </w:p>
    <w:p>
      <w:pPr>
        <w:pStyle w:val="BookText"/>
      </w:pPr>
      <w:r>
        <w:rPr>
          <w:rFonts w:ascii="IRNazanin" w:hAnsi="IRNazanin" w:eastAsia="IRNazanin" w:cs="IRNazanin"/>
          <w:lang w:bidi="fa-IR"/>
          <w:color w:val="111111"/>
          <w:sz w:val="28"/>
          <w:szCs w:val="28"/>
          <w:rtl/>
        </w:rPr>
        <w:t xml:space="preserve">اشعار متفرقه ای است در مدح ائمه اطهار (علیهم السّلام) از شعراء مختلف از قبیل: شمس  المعالی ،فارابی، زین الدین علی  عاملی، ابو تـمام طائی، ابوالعلاء معری، علم الدین سخاوى، ذو الفضائل اخسيكتی، علم الهدى، حافظ ذهبی، علی بن محمد بستی، صالح بن قدوس و...؛ بی کا، تا: صفر ۱۲۴۳ق؛ جلد: مقوایی، عطف تیماج قرمز، 10ص(۷۳-۵۴)، ۱۹ سطر، اندازه: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۱ - ۷۵]</w:t>
      </w:r>
    </w:p>
    <w:p>
      <w:pPr>
        <w:pStyle w:val="BookText"/>
      </w:pPr>
      <w:r>
        <w:rPr>
          <w:rFonts w:ascii="IRNazanin" w:hAnsi="IRNazanin" w:eastAsia="IRNazanin" w:cs="IRNazanin"/>
          <w:lang w:bidi="fa-IR"/>
          <w:color w:val="111111"/>
          <w:sz w:val="28"/>
          <w:szCs w:val="28"/>
          <w:rtl/>
        </w:rPr>
        <w:t xml:space="preserve">قم؛ مرکز احیاء؛ شماره نسخه: ۱۵۰/۶</w:t>
      </w:r>
    </w:p>
    <w:p>
      <w:pPr>
        <w:pStyle w:val="BookText"/>
      </w:pPr>
      <w:r>
        <w:rPr>
          <w:rFonts w:ascii="IRNazanin" w:hAnsi="IRNazanin" w:eastAsia="IRNazanin" w:cs="IRNazanin"/>
          <w:lang w:bidi="fa-IR"/>
          <w:color w:val="111111"/>
          <w:sz w:val="28"/>
          <w:szCs w:val="28"/>
          <w:rtl/>
        </w:rPr>
        <w:t xml:space="preserve">نسخه اصل: همان نسخه بالا [ عکسی ف: ۱ - ۱۶۸]</w:t>
      </w:r>
    </w:p>
    <w:p>
      <w:pPr>
        <w:pStyle w:val="BookText"/>
      </w:pPr>
      <w:r>
        <w:rPr>
          <w:rFonts w:ascii="IRNazanin" w:hAnsi="IRNazanin" w:eastAsia="IRNazanin" w:cs="IRNazanin"/>
          <w:lang w:bidi="fa-IR"/>
          <w:color w:val="111111"/>
          <w:sz w:val="28"/>
          <w:szCs w:val="28"/>
          <w:rtl/>
        </w:rPr>
        <w:t xml:space="preserve">۱۹۷ خوانسار؛ فاضل؛ شماره نسخه: ۱۰۲/۲</w:t>
      </w:r>
    </w:p>
    <w:p>
      <w:pPr>
        <w:pStyle w:val="BookText"/>
      </w:pPr>
      <w:r>
        <w:rPr>
          <w:rFonts w:ascii="IRNazanin" w:hAnsi="IRNazanin" w:eastAsia="IRNazanin" w:cs="IRNazanin"/>
          <w:lang w:bidi="fa-IR"/>
          <w:color w:val="111111"/>
          <w:sz w:val="28"/>
          <w:szCs w:val="28"/>
          <w:rtl/>
        </w:rPr>
        <w:t xml:space="preserve">آغاز: لعلى مناقب لا تضاها *** لا نبى و لا وصی حواها؛ انجـام: ففريق مخلد بنعيم بنعيم *** و فریق مخلد بلظاها</w:t>
      </w:r>
    </w:p>
    <w:p>
      <w:pPr>
        <w:pStyle w:val="BookText"/>
      </w:pPr>
      <w:r>
        <w:rPr>
          <w:rFonts w:ascii="IRNazanin" w:hAnsi="IRNazanin" w:eastAsia="IRNazanin" w:cs="IRNazanin"/>
          <w:lang w:bidi="fa-IR"/>
          <w:color w:val="111111"/>
          <w:sz w:val="28"/>
          <w:szCs w:val="28"/>
          <w:rtl/>
        </w:rPr>
        <w:t xml:space="preserve">قصيدة في مدح امیرالمؤمنین (علیه السّلام) ؛ خط: نسخ، بی کا، تا: صـفر ۱۲۴۳ق؛ جلد: مقوایی عطف تیماج  قرمز،۱۹ سطر، اندازه: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۱ - ۷۴]</w:t>
      </w:r>
    </w:p>
    <w:p>
      <w:pPr>
        <w:pStyle w:val="BookText"/>
      </w:pPr>
      <w:r>
        <w:rPr>
          <w:rFonts w:ascii="IRNazanin" w:hAnsi="IRNazanin" w:eastAsia="IRNazanin" w:cs="IRNazanin"/>
          <w:lang w:bidi="fa-IR"/>
          <w:color w:val="111111"/>
          <w:sz w:val="28"/>
          <w:szCs w:val="28"/>
          <w:rtl/>
        </w:rPr>
        <w:t xml:space="preserve">۱۹۸. خوانسار؛ فاضل؛ شماره نسخه: ۱۰۲/۳</w:t>
      </w:r>
    </w:p>
    <w:p>
      <w:pPr>
        <w:pStyle w:val="BookText"/>
      </w:pPr>
      <w:r>
        <w:rPr>
          <w:rFonts w:ascii="IRNazanin" w:hAnsi="IRNazanin" w:eastAsia="IRNazanin" w:cs="IRNazanin"/>
          <w:lang w:bidi="fa-IR"/>
          <w:color w:val="111111"/>
          <w:sz w:val="28"/>
          <w:szCs w:val="28"/>
          <w:rtl/>
        </w:rPr>
        <w:t xml:space="preserve">آغاز: اهوی علیا امیرالمؤمنين و لا *** ارضی بسب ابی بکر ولا عمرا، (آغاز جواب بهائی:) یا ایها المدعى جب الوصى ولا*** ترضى بسب ابی بکر و لا عمرا؛ انجام: عليهما لعنات لا ابتداء لها***ولا انتهاء لها فيما اذا ذكرا ... (انجام جواب بهائی:) لـکن  اغواكم ابليس وصير كم *** عمياً وصماً فلا سمعاً و لا بصراً</w:t>
      </w:r>
    </w:p>
    <w:p>
      <w:pPr>
        <w:pStyle w:val="BookText"/>
      </w:pPr>
      <w:r>
        <w:rPr>
          <w:rFonts w:ascii="IRNazanin" w:hAnsi="IRNazanin" w:eastAsia="IRNazanin" w:cs="IRNazanin"/>
          <w:lang w:bidi="fa-IR"/>
          <w:color w:val="111111"/>
          <w:sz w:val="28"/>
          <w:szCs w:val="28"/>
          <w:rtl/>
        </w:rPr>
        <w:t xml:space="preserve">اشعاری است در مدح امیرالمؤمنین (علیه السّلام) لبعض العامة كه  جواب شیخ بهائی نیز از این شعر ذکر شده است؛ خط: نسخ، بی کا، تا: صفر ۱۲۴۳ق؛ در حاشیه و متن متفرقه ای در مدح ائمه و سوزانیدن خانه پیغمبر اکرم (صلّی اللَّهِ علیه وَ آلِهِ وَ سَلَّمَ ) آمده؛ جلد: مقوایی عطف تیماج قرمز، ۱۹ سطر، اندازه: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۱- ۷۴]</w:t>
      </w:r>
    </w:p>
    <w:p>
      <w:pPr>
        <w:pStyle w:val="BookText"/>
      </w:pPr>
      <w:r>
        <w:rPr>
          <w:rFonts w:ascii="IRNazanin" w:hAnsi="IRNazanin" w:eastAsia="IRNazanin" w:cs="IRNazanin"/>
          <w:lang w:bidi="fa-IR"/>
          <w:color w:val="111111"/>
          <w:sz w:val="28"/>
          <w:szCs w:val="28"/>
          <w:rtl/>
        </w:rPr>
        <w:t xml:space="preserve">۱۹۹. تهران؛ مجلس؛ شماره نسخه: ۸۹۰۳/۱۵</w:t>
      </w:r>
    </w:p>
    <w:p>
      <w:pPr>
        <w:pStyle w:val="BookText"/>
      </w:pPr>
      <w:r>
        <w:rPr>
          <w:rFonts w:ascii="IRNazanin" w:hAnsi="IRNazanin" w:eastAsia="IRNazanin" w:cs="IRNazanin"/>
          <w:lang w:bidi="fa-IR"/>
          <w:color w:val="111111"/>
          <w:sz w:val="28"/>
          <w:szCs w:val="28"/>
          <w:rtl/>
        </w:rPr>
        <w:t xml:space="preserve">خط: نسخ و نستعلیق، بی کا، تا: ۳ شوال ۱۲۵۰ق، جا: تبریز؛ کاغذ: فرنگی نخودی و حنایی آهار مهره، جلد: تیماج مشکی یک لا، ۱۵ ص (۱۴۵-۱۵۹)، مختلف السطر اندازه: ۱۴/۳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۲۰/۱سم [ف:  1/ 29- 274]</w:t>
      </w:r>
    </w:p>
    <w:p>
      <w:pPr>
        <w:pStyle w:val="BookText"/>
      </w:pPr>
      <w:r>
        <w:rPr>
          <w:rFonts w:ascii="IRNazanin" w:hAnsi="IRNazanin" w:eastAsia="IRNazanin" w:cs="IRNazanin"/>
          <w:lang w:bidi="fa-IR"/>
          <w:color w:val="111111"/>
          <w:sz w:val="28"/>
          <w:szCs w:val="28"/>
          <w:rtl/>
        </w:rPr>
        <w:t xml:space="preserve">۲۰۰. تهران؛ مجلس؛ شماره نسخه: ۸۹۵۱/۲۲</w:t>
      </w:r>
    </w:p>
    <w:p>
      <w:pPr>
        <w:pStyle w:val="BookText"/>
      </w:pPr>
      <w:r>
        <w:rPr>
          <w:rFonts w:ascii="IRNazanin" w:hAnsi="IRNazanin" w:eastAsia="IRNazanin" w:cs="IRNazanin"/>
          <w:lang w:bidi="fa-IR"/>
          <w:color w:val="111111"/>
          <w:sz w:val="28"/>
          <w:szCs w:val="28"/>
          <w:rtl/>
        </w:rPr>
        <w:t xml:space="preserve">از این سرایندگان: ابراهیم بن یوسف مهیار مکی، سید علی خان، ابی زكريا يحيى بن على معروف به ابن خطیب  مغربی، یزید بن معاویه اموی، سلیمان علوی کرمانی، ابن نواس، ابی فراس، هلال بن جعشم، شیخ حسین بن شهاب الدين من شعراء الحماسة، واواء دمشقى، الواثق بالله؛ خط: نستعلیق شکسته، کا:میرزا علیرضای رشتی  مستوفی، تا: با تاریخ ۱۲۵۰ق، جا: تهران؛ کاغذ: حنایی آهار مهره نازک، جلد: میشن قهوه ای مقوایی، ۲گ (۱۳۳پ- ۱۳۴ر متن و حاشیه) ۲۷ سطر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 اندازه: ۱۷/۹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۲۸/۶سم [ف: ۲۹/۱ – ۴۵۸]</w:t>
      </w:r>
    </w:p>
    <w:p>
      <w:pPr>
        <w:pStyle w:val="BookText"/>
      </w:pPr>
      <w:r>
        <w:rPr>
          <w:rFonts w:ascii="IRNazanin" w:hAnsi="IRNazanin" w:eastAsia="IRNazanin" w:cs="IRNazanin"/>
          <w:lang w:bidi="fa-IR"/>
          <w:color w:val="111111"/>
          <w:sz w:val="28"/>
          <w:szCs w:val="28"/>
          <w:rtl/>
        </w:rPr>
        <w:t xml:space="preserve">۲۰۱. تهران؛ مجلس؛ شماره نسخه: ۸۹۵۱/۲۴</w:t>
      </w:r>
    </w:p>
    <w:p>
      <w:pPr>
        <w:pStyle w:val="BookText"/>
      </w:pPr>
      <w:r>
        <w:rPr>
          <w:rFonts w:ascii="IRNazanin" w:hAnsi="IRNazanin" w:eastAsia="IRNazanin" w:cs="IRNazanin"/>
          <w:lang w:bidi="fa-IR"/>
          <w:color w:val="111111"/>
          <w:sz w:val="28"/>
          <w:szCs w:val="28"/>
          <w:rtl/>
        </w:rPr>
        <w:t xml:space="preserve">از این سرایندگان ضياء الدين فضل الله بن عبدالله راوندی، ابی العتاهيه، شهرزوری، ابى الغارات طلایع بن زريك، عبدالله بن طاهر ذى اليمينين، عباس بن احنف، ظافر بن حداد، صردر، یحیی بن عبدالخليل، ابى الحسن  انباری، مروان بن ابی حفصه، اصمعی، شهاب الدین  سهروردی، ابی صخر  هذلی، ابی حیه نمیری، ابی الفتح سبط بن تعاوبذی، انشد ابن الاعرابي لحسين بن مطير الاسدی، حسین ابن مطير  اسدی، شریف رضی، ابن زریق، ابن زیدون قرطبی، ابی بکر يحيى بن تقی اندلسی، یزید بن طثريه، مسکن دارمی، عروة بن اذينه، ثابت بن قطنة عتكى، منخل يشكرى، سمؤل بن عاديا يهودى، ابى شیص، ابی دمینه، زیاد بن جميل بن سعيد بن عميره، ثوبة بن  حمير، ابن ميادة، مروان بن ابی حفصه، ابی نواس، احمد بن دراج قسطلی، محيى الدين ابن الاعرابی، صمة بن عبد الله قشیری ،تهامی، کثیر عزه، عمر بن ابی ربیعه مخزومی، ابى الحسن سلامی، عبدالصمد بن  بابک، مهیار بن مرزویه دیلمی، سید شریف سید علی خان، عبد الله بن المعتز بالله عباسی؛ خط: نستعلیق شکسته ،کا: میرزا علیرضای رشتی مستوفی، تا: با تاریخ ۱۲۵۰ق، جا: تهران؛ کاغذ: حنایی آهار مهره نازک، جلد: میشن قهوه ای  مقوایی، ۱۱گ (۱۴۶ ر - ۱۵۶ر)، ۲۷ سطر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 اندازه: ۱۷/۹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۲۸/۶سم [ف: ۲۹/۱ - ۴۵۹]</w:t>
      </w:r>
    </w:p>
    <w:p>
      <w:pPr>
        <w:pStyle w:val="BookText"/>
      </w:pPr>
      <w:r>
        <w:rPr>
          <w:rFonts w:ascii="IRNazanin" w:hAnsi="IRNazanin" w:eastAsia="IRNazanin" w:cs="IRNazanin"/>
          <w:lang w:bidi="fa-IR"/>
          <w:color w:val="111111"/>
          <w:sz w:val="28"/>
          <w:szCs w:val="28"/>
          <w:rtl/>
        </w:rPr>
        <w:t xml:space="preserve">۲۰۲. قم؛ مدرسه رضویه؛ شماره نسخه: ۸۵/۶</w:t>
      </w:r>
    </w:p>
    <w:p>
      <w:pPr>
        <w:pStyle w:val="BookText"/>
      </w:pPr>
      <w:r>
        <w:rPr>
          <w:rFonts w:ascii="IRNazanin" w:hAnsi="IRNazanin" w:eastAsia="IRNazanin" w:cs="IRNazanin"/>
          <w:lang w:bidi="fa-IR"/>
          <w:color w:val="111111"/>
          <w:sz w:val="28"/>
          <w:szCs w:val="28"/>
          <w:rtl/>
        </w:rPr>
        <w:t xml:space="preserve">دو قصیده از شیخ وبری در ستایش پیامبر و قصیده ای از قیراطی درستایش قاضی القضات تاج الدين السبكي؛ خط: نستعليق، بی کا، تا: ۲ شعبان ۱۲۵۸ق؛ کاغذ: آبی، ۵گ (۷۸-۸۳)، ۱۷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سطر، قطع: بیاض رقعی [ چند نسخه-ف: - ۵۴]</w:t>
      </w:r>
    </w:p>
    <w:p>
      <w:pPr>
        <w:pStyle w:val="BookText"/>
      </w:pPr>
      <w:r>
        <w:rPr>
          <w:rFonts w:ascii="IRNazanin" w:hAnsi="IRNazanin" w:eastAsia="IRNazanin" w:cs="IRNazanin"/>
          <w:lang w:bidi="fa-IR"/>
          <w:color w:val="111111"/>
          <w:sz w:val="28"/>
          <w:szCs w:val="28"/>
          <w:rtl/>
        </w:rPr>
        <w:t xml:space="preserve">۲۰۳. تهران؛ مجلس؛ شماره نسخه: ۹۲۸۹/۶</w:t>
      </w:r>
    </w:p>
    <w:p>
      <w:pPr>
        <w:pStyle w:val="BookText"/>
      </w:pPr>
      <w:r>
        <w:rPr>
          <w:rFonts w:ascii="IRNazanin" w:hAnsi="IRNazanin" w:eastAsia="IRNazanin" w:cs="IRNazanin"/>
          <w:lang w:bidi="fa-IR"/>
          <w:color w:val="111111"/>
          <w:sz w:val="28"/>
          <w:szCs w:val="28"/>
          <w:rtl/>
        </w:rPr>
        <w:t xml:space="preserve">ابیاتی منسوب به علی (علیه السّلام) ،شافعی ،بحر العلوم. متفرقه در منقـبت اهل البیت؛ بی کا، تا: ۱۲۵۸ق؛ جلد: تیماج مشکی، ۱گ (۶۵پ- ۶۶ر) ،اندازه: ۱۶/۵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۳۰ - ۵۵]</w:t>
      </w:r>
    </w:p>
    <w:p>
      <w:pPr>
        <w:pStyle w:val="BookText"/>
      </w:pPr>
      <w:r>
        <w:rPr>
          <w:rFonts w:ascii="IRNazanin" w:hAnsi="IRNazanin" w:eastAsia="IRNazanin" w:cs="IRNazanin"/>
          <w:lang w:bidi="fa-IR"/>
          <w:color w:val="111111"/>
          <w:sz w:val="28"/>
          <w:szCs w:val="28"/>
          <w:rtl/>
        </w:rPr>
        <w:t xml:space="preserve">204.تهران؛ مجلس؛ شماره نسخه: ۱۳۳۵۲/۲</w:t>
      </w:r>
    </w:p>
    <w:p>
      <w:pPr>
        <w:pStyle w:val="BookText"/>
      </w:pPr>
      <w:r>
        <w:rPr>
          <w:rFonts w:ascii="IRNazanin" w:hAnsi="IRNazanin" w:eastAsia="IRNazanin" w:cs="IRNazanin"/>
          <w:lang w:bidi="fa-IR"/>
          <w:color w:val="111111"/>
          <w:sz w:val="28"/>
          <w:szCs w:val="28"/>
          <w:rtl/>
        </w:rPr>
        <w:t xml:space="preserve">آغاز: الهی تری حالی و فقری و فاقتی *** و انت مناجاتى الخـفیة تسمع</w:t>
      </w:r>
    </w:p>
    <w:p>
      <w:pPr>
        <w:pStyle w:val="BookText"/>
      </w:pPr>
      <w:r>
        <w:rPr>
          <w:rFonts w:ascii="IRNazanin" w:hAnsi="IRNazanin" w:eastAsia="IRNazanin" w:cs="IRNazanin"/>
          <w:lang w:bidi="fa-IR"/>
          <w:color w:val="111111"/>
          <w:sz w:val="28"/>
          <w:szCs w:val="28"/>
          <w:rtl/>
        </w:rPr>
        <w:t xml:space="preserve">قصيده عينيه منسوب به امام علی (علیه السّلام)؛ خط: نستعلیق زیبا،کا: فتحعلی  شیرازی، تا: آخر ۱۲۵۹ق؛ مجدول؛ جلد: گالینگور  سبز، ۷ سطر [ف: ۳۶ - ۳۰۲]</w:t>
      </w:r>
    </w:p>
    <w:p>
      <w:pPr>
        <w:pStyle w:val="BookText"/>
      </w:pPr>
      <w:r>
        <w:rPr>
          <w:rFonts w:ascii="IRNazanin" w:hAnsi="IRNazanin" w:eastAsia="IRNazanin" w:cs="IRNazanin"/>
          <w:lang w:bidi="fa-IR"/>
          <w:color w:val="111111"/>
          <w:sz w:val="28"/>
          <w:szCs w:val="28"/>
          <w:rtl/>
        </w:rPr>
        <w:t xml:space="preserve">۲۰۵. تهران؛ مجلس؛ شماره نسخه: ۱۸۴ط</w:t>
      </w:r>
    </w:p>
    <w:p>
      <w:pPr>
        <w:pStyle w:val="BookText"/>
      </w:pPr>
      <w:r>
        <w:rPr>
          <w:rFonts w:ascii="IRNazanin" w:hAnsi="IRNazanin" w:eastAsia="IRNazanin" w:cs="IRNazanin"/>
          <w:lang w:bidi="fa-IR"/>
          <w:color w:val="111111"/>
          <w:sz w:val="28"/>
          <w:szCs w:val="28"/>
          <w:rtl/>
        </w:rPr>
        <w:t xml:space="preserve">قصيده ابوذویب در مرثیه پنج پسرش است؛ خط: نسخ، بی کا، تا: ۱۲۶۰ق؛ 1گ (۳۸) [ف : ۲۲ - ۶۷]</w:t>
      </w:r>
    </w:p>
    <w:p>
      <w:pPr>
        <w:pStyle w:val="BookText"/>
      </w:pPr>
      <w:r>
        <w:rPr>
          <w:rFonts w:ascii="IRNazanin" w:hAnsi="IRNazanin" w:eastAsia="IRNazanin" w:cs="IRNazanin"/>
          <w:lang w:bidi="fa-IR"/>
          <w:color w:val="111111"/>
          <w:sz w:val="28"/>
          <w:szCs w:val="28"/>
          <w:rtl/>
        </w:rPr>
        <w:t xml:space="preserve">۲۰۶. تهران؛ ملک؛ شماره نسخه: ۱۷۶۹/۹</w:t>
      </w:r>
    </w:p>
    <w:p>
      <w:pPr>
        <w:pStyle w:val="BookText"/>
      </w:pPr>
      <w:r>
        <w:rPr>
          <w:rFonts w:ascii="IRNazanin" w:hAnsi="IRNazanin" w:eastAsia="IRNazanin" w:cs="IRNazanin"/>
          <w:lang w:bidi="fa-IR"/>
          <w:color w:val="111111"/>
          <w:sz w:val="28"/>
          <w:szCs w:val="28"/>
          <w:rtl/>
        </w:rPr>
        <w:t xml:space="preserve">قصاید میمیه و رائیه و نونیه و میمیه است؛ خط: نسخ، بی کا ، تا:۲۶۰ق [ف: ۵ - ۳۶۱]</w:t>
      </w:r>
    </w:p>
    <w:p>
      <w:pPr>
        <w:pStyle w:val="BookText"/>
      </w:pPr>
      <w:r>
        <w:rPr>
          <w:rFonts w:ascii="IRNazanin" w:hAnsi="IRNazanin" w:eastAsia="IRNazanin" w:cs="IRNazanin"/>
          <w:lang w:bidi="fa-IR"/>
          <w:color w:val="111111"/>
          <w:sz w:val="28"/>
          <w:szCs w:val="28"/>
          <w:rtl/>
        </w:rPr>
        <w:t xml:space="preserve">۲۰۷ . تهران؛ ملک؛ شماره نسخه: ۲۸۲۱/۱</w:t>
      </w:r>
    </w:p>
    <w:p>
      <w:pPr>
        <w:pStyle w:val="BookText"/>
      </w:pPr>
      <w:r>
        <w:rPr>
          <w:rFonts w:ascii="IRNazanin" w:hAnsi="IRNazanin" w:eastAsia="IRNazanin" w:cs="IRNazanin"/>
          <w:lang w:bidi="fa-IR"/>
          <w:color w:val="111111"/>
          <w:sz w:val="28"/>
          <w:szCs w:val="28"/>
          <w:rtl/>
        </w:rPr>
        <w:t xml:space="preserve">گزیده اشعار از ابوسعید بن اوس طائی، ابوالعلاء معری، ابی عبدالله محمد خازن، ابن العمید سید رضی (در مراثی) ابی عباده بحتری، ابی فراس بن حمدان، علی بن جهم، تهامی  ابی سعید رسمی ، سری رقاء، ابو اسحق صابی به ترتیب تهجی در قافیه ؛خط: نسخ، کا: محمد نجف آبادی، تا: ۱۲۶۰ق، جا: تهران، برای عبدالحسین؛ گویا از روی نسخه ۵۰۴، مجدول؛ مهر : عبدالحسـین؛ کاغذ: ترمه  اصفهانی ،جلد: میشن قهوه ای، ۲۳ سطر،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۳۱سم [ف: ۶ - ۱۲۰]</w:t>
      </w:r>
    </w:p>
    <w:p>
      <w:pPr>
        <w:pStyle w:val="BookText"/>
      </w:pPr>
      <w:r>
        <w:rPr>
          <w:rFonts w:ascii="IRNazanin" w:hAnsi="IRNazanin" w:eastAsia="IRNazanin" w:cs="IRNazanin"/>
          <w:lang w:bidi="fa-IR"/>
          <w:color w:val="111111"/>
          <w:sz w:val="28"/>
          <w:szCs w:val="28"/>
          <w:rtl/>
        </w:rPr>
        <w:t xml:space="preserve">۲۰۸. تهران؛ ملک؛ شماره نسخه: ۱۰۶۹/۲</w:t>
      </w:r>
    </w:p>
    <w:p>
      <w:pPr>
        <w:pStyle w:val="BookText"/>
      </w:pPr>
      <w:r>
        <w:rPr>
          <w:rFonts w:ascii="IRNazanin" w:hAnsi="IRNazanin" w:eastAsia="IRNazanin" w:cs="IRNazanin"/>
          <w:lang w:bidi="fa-IR"/>
          <w:color w:val="111111"/>
          <w:sz w:val="28"/>
          <w:szCs w:val="28"/>
          <w:rtl/>
        </w:rPr>
        <w:t xml:space="preserve">اشعار قصيده رائیه است؛ بی کا، تا: با تاریخ ۱۲۶۲ق [ف: ۵ - 229]</w:t>
      </w:r>
    </w:p>
    <w:p>
      <w:pPr>
        <w:pStyle w:val="BookText"/>
      </w:pPr>
      <w:r>
        <w:rPr>
          <w:rFonts w:ascii="IRNazanin" w:hAnsi="IRNazanin" w:eastAsia="IRNazanin" w:cs="IRNazanin"/>
          <w:lang w:bidi="fa-IR"/>
          <w:color w:val="111111"/>
          <w:sz w:val="28"/>
          <w:szCs w:val="28"/>
          <w:rtl/>
        </w:rPr>
        <w:t xml:space="preserve">۲۰۹. تهران؛ مجلس؛ شماره نسخه: ۸۹۵۱/۵</w:t>
      </w:r>
    </w:p>
    <w:p>
      <w:pPr>
        <w:pStyle w:val="BookText"/>
      </w:pPr>
      <w:r>
        <w:rPr>
          <w:rFonts w:ascii="IRNazanin" w:hAnsi="IRNazanin" w:eastAsia="IRNazanin" w:cs="IRNazanin"/>
          <w:lang w:bidi="fa-IR"/>
          <w:color w:val="111111"/>
          <w:sz w:val="28"/>
          <w:szCs w:val="28"/>
          <w:rtl/>
        </w:rPr>
        <w:t xml:space="preserve">از ابی العلاء معری و مجنون عامری و فی الماء تجليد؛ كا: فرهاد بن وليعهد بن فتحعلی شاه قاجار، تا: پنج شنبه ۱۱ شعبان ۱۲۶۴ق؛ جا: تهران؛ 1گ (۶ر)، ۲۷ سطر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 اندازه:۱۷/۹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۲۸/۶سم [ف: ۲۹/۱ - ۴۵۱]</w:t>
      </w:r>
    </w:p>
    <w:p>
      <w:pPr>
        <w:pStyle w:val="BookText"/>
      </w:pPr>
      <w:r>
        <w:rPr>
          <w:rFonts w:ascii="IRNazanin" w:hAnsi="IRNazanin" w:eastAsia="IRNazanin" w:cs="IRNazanin"/>
          <w:lang w:bidi="fa-IR"/>
          <w:color w:val="111111"/>
          <w:sz w:val="28"/>
          <w:szCs w:val="28"/>
          <w:rtl/>
        </w:rPr>
        <w:t xml:space="preserve">۲۱۰. تهران؛ ملک؛ شماره نسخه: ۱۸۰۷/۳۴</w:t>
      </w:r>
    </w:p>
    <w:p>
      <w:pPr>
        <w:pStyle w:val="BookText"/>
      </w:pPr>
      <w:r>
        <w:rPr>
          <w:rFonts w:ascii="Amiri" w:hAnsi="Amiri" w:eastAsia="Amiri" w:cs="Amiri"/>
          <w:lang w:bidi="ar-SA"/>
          <w:color w:val="111111"/>
          <w:sz w:val="28"/>
          <w:szCs w:val="28"/>
          <w:rtl/>
        </w:rPr>
        <w:t xml:space="preserve">آغاز: امن خدها الوردى احتنك الخال؛ انجام: و لكن  جماع الدهر ليس له خال</w:t>
      </w:r>
    </w:p>
    <w:p>
      <w:pPr>
        <w:pStyle w:val="BookText"/>
      </w:pPr>
      <w:r>
        <w:rPr>
          <w:rFonts w:ascii="IRNazanin" w:hAnsi="IRNazanin" w:eastAsia="IRNazanin" w:cs="IRNazanin"/>
          <w:lang w:bidi="fa-IR"/>
          <w:color w:val="111111"/>
          <w:sz w:val="28"/>
          <w:szCs w:val="28"/>
          <w:rtl/>
        </w:rPr>
        <w:t xml:space="preserve">القصيدة للشيخ العال فى ذكر الخال؛ خط: نسخ و نستعلیق، بی کا، تا، با تاریخ ۱۲۶۵ق، 1گ (۱۶۵ر - ۱۶۶ر) [ف: ۵ - ۳۷۱]</w:t>
      </w:r>
    </w:p>
    <w:p>
      <w:pPr>
        <w:pStyle w:val="BookText"/>
      </w:pPr>
      <w:r>
        <w:rPr>
          <w:rFonts w:ascii="IRNazanin" w:hAnsi="IRNazanin" w:eastAsia="IRNazanin" w:cs="IRNazanin"/>
          <w:lang w:bidi="fa-IR"/>
          <w:color w:val="111111"/>
          <w:sz w:val="28"/>
          <w:szCs w:val="28"/>
          <w:rtl/>
        </w:rPr>
        <w:t xml:space="preserve">۲۱۱. تهران؛ ملک؛ شماره نسخه: ۸۴۷/۱۰</w:t>
      </w:r>
    </w:p>
    <w:p>
      <w:pPr>
        <w:pStyle w:val="BookText"/>
      </w:pPr>
      <w:r>
        <w:rPr>
          <w:rFonts w:ascii="IRNazanin" w:hAnsi="IRNazanin" w:eastAsia="IRNazanin" w:cs="IRNazanin"/>
          <w:lang w:bidi="fa-IR"/>
          <w:color w:val="111111"/>
          <w:sz w:val="28"/>
          <w:szCs w:val="28"/>
          <w:rtl/>
        </w:rPr>
        <w:t xml:space="preserve">قصاید است از امرء القيس، سموئل بن عادیا ،اعشی طنطرانی،عمر بن بحر  کرمانی، حریری، حسن  بحرانی، ابوفراس، فرزدق وجز اینها؛ کا: محمد سعید بن میرزا محمد  نایینی، تا: شب غدیر ۱۲۶۹ق؛ جا: قزوین؛ کاغذ: فرنگی آهار مهره،جلد:میشن قهوه ای لایی، ۶گ  (۱۱۴ر - (۱۲۰)، ۱۳ سطر، اندازه: ۱۱/۳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۱۸/۱سم [ف: ۵ - ۲۰۹]</w:t>
      </w:r>
    </w:p>
    <w:p>
      <w:pPr>
        <w:pStyle w:val="BookText"/>
      </w:pPr>
      <w:r>
        <w:rPr>
          <w:rFonts w:ascii="IRNazanin" w:hAnsi="IRNazanin" w:eastAsia="IRNazanin" w:cs="IRNazanin"/>
          <w:lang w:bidi="fa-IR"/>
          <w:color w:val="111111"/>
          <w:sz w:val="28"/>
          <w:szCs w:val="28"/>
          <w:rtl/>
        </w:rPr>
        <w:t xml:space="preserve">۲۱۲ . تبریز؛ خادم حسینی؛ شماره نسخه: ۴۰</w:t>
      </w:r>
    </w:p>
    <w:p>
      <w:pPr>
        <w:pStyle w:val="BookText"/>
      </w:pPr>
      <w:r>
        <w:rPr>
          <w:rFonts w:ascii="Amiri" w:hAnsi="Amiri" w:eastAsia="Amiri" w:cs="Amiri"/>
          <w:lang w:bidi="ar-SA"/>
          <w:color w:val="111111"/>
          <w:sz w:val="28"/>
          <w:szCs w:val="28"/>
          <w:rtl/>
        </w:rPr>
        <w:t xml:space="preserve">آغاز: بسمله اشرقت فى الدجى فلاح النهار *** واستنارت بنورها الاشجار؛ انجام: هل الخير الذى انا ابتغيه *** ام الشر الذي هو يتبغين</w:t>
      </w:r>
    </w:p>
    <w:p>
      <w:pPr>
        <w:pStyle w:val="BookText"/>
      </w:pPr>
      <w:r>
        <w:rPr>
          <w:rFonts w:ascii="IRNazanin" w:hAnsi="IRNazanin" w:eastAsia="IRNazanin" w:cs="IRNazanin"/>
          <w:lang w:bidi="fa-IR"/>
          <w:color w:val="111111"/>
          <w:sz w:val="28"/>
          <w:szCs w:val="28"/>
          <w:rtl/>
        </w:rPr>
        <w:t xml:space="preserve">در این رساله اشعار کتاب «الف ليلة و ليلة» استخراج و به ترتیب  متن درج شده ؛ خط: نسخ، بی کا، تا: ۲ ربیع الاول ۱۲۶۹ق، جلد: تیماج قهوه ای، ۱۹۰گ، ۱۵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[اوراق عتیق:  1- 95]</w:t>
      </w:r>
    </w:p>
    <w:p>
      <w:pPr>
        <w:pStyle w:val="BookText"/>
      </w:pPr>
      <w:r>
        <w:rPr>
          <w:rFonts w:ascii="Times New Roman" w:hAnsi="Times New Roman" w:eastAsia="Times New Roman" w:cs="Times New Roman"/>
          <w:lang w:val="en-US" w:bidi="en-US"/>
          <w:color w:val="111111"/>
          <w:sz w:val="28"/>
          <w:szCs w:val="28"/>
          <w:rtl/>
        </w:rPr>
        <w:t xml:space="preserve">213.</w:t>
      </w:r>
    </w:p>
    <w:p>
      <w:pPr>
        <w:pStyle w:val="BookText"/>
      </w:pPr>
      <w:r>
        <w:rPr>
          <w:rFonts w:ascii="IRNazanin" w:hAnsi="IRNazanin" w:eastAsia="IRNazanin" w:cs="IRNazanin"/>
          <w:lang w:bidi="fa-IR"/>
          <w:color w:val="111111"/>
          <w:sz w:val="28"/>
          <w:szCs w:val="28"/>
          <w:rtl/>
        </w:rPr>
        <w:t xml:space="preserve">تهران؛ دانشگاه؛ شماره نسخه: ۴۲۴۳/۵</w:t>
      </w:r>
    </w:p>
    <w:p>
      <w:pPr>
        <w:pStyle w:val="BookText"/>
      </w:pPr>
      <w:r>
        <w:rPr>
          <w:rFonts w:ascii="IRNazanin" w:hAnsi="IRNazanin" w:eastAsia="IRNazanin" w:cs="IRNazanin"/>
          <w:lang w:bidi="fa-IR"/>
          <w:color w:val="111111"/>
          <w:sz w:val="28"/>
          <w:szCs w:val="28"/>
          <w:rtl/>
        </w:rPr>
        <w:t xml:space="preserve">آغاز: لاهم یا خیر مدعو ولابالی *** يا من علمت بما في السر و البال؛ انجام: صرفت عمرى الى العصيان و العطل. احسن بفضلك لا تنظر الى عملى *** و لا الى سوء احوالی و اقوالی. تمام شد کتاب مولفین و بزرگان نقشبندی ... فی تاریخ و سنه ۱۲۶۹</w:t>
      </w:r>
    </w:p>
    <w:p>
      <w:pPr>
        <w:pStyle w:val="BookText"/>
      </w:pPr>
      <w:r>
        <w:rPr>
          <w:rFonts w:ascii="IRNazanin" w:hAnsi="IRNazanin" w:eastAsia="IRNazanin" w:cs="IRNazanin"/>
          <w:lang w:bidi="fa-IR"/>
          <w:color w:val="111111"/>
          <w:sz w:val="28"/>
          <w:szCs w:val="28"/>
          <w:rtl/>
        </w:rPr>
        <w:t xml:space="preserve">در ستایش بزرگان نقشبندی و سوگند به نام آنها هر دو بیتی بیک قافیه (۸۶-۹۳) و در پایان «سلسله علیه» نامیده شده؛ خط: نستعلیق، بی کا، تا: ۱۲۶۹ق؛ کاغذ: فرنگی، جلد: تیماج تریاکی، ۷ص (۸۶ -۹۳) ، ۱۱ سطر (6</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۱۳ - ۳۲۱۳]</w:t>
      </w:r>
    </w:p>
    <w:p>
      <w:pPr>
        <w:pStyle w:val="BookText"/>
      </w:pPr>
      <w:r>
        <w:rPr>
          <w:rFonts w:ascii="IRNazanin" w:hAnsi="IRNazanin" w:eastAsia="IRNazanin" w:cs="IRNazanin"/>
          <w:lang w:bidi="fa-IR"/>
          <w:color w:val="111111"/>
          <w:sz w:val="28"/>
          <w:szCs w:val="28"/>
          <w:rtl/>
        </w:rPr>
        <w:t xml:space="preserve">۲۱۴ . قم؛ مسجد اعظم؛ شماره نسخه: ۸۱۶</w:t>
      </w:r>
    </w:p>
    <w:p>
      <w:pPr>
        <w:pStyle w:val="BookText"/>
      </w:pPr>
      <w:r>
        <w:rPr>
          <w:rFonts w:ascii="IRNazanin" w:hAnsi="IRNazanin" w:eastAsia="IRNazanin" w:cs="IRNazanin"/>
          <w:lang w:bidi="fa-IR"/>
          <w:color w:val="111111"/>
          <w:sz w:val="28"/>
          <w:szCs w:val="28"/>
          <w:rtl/>
        </w:rPr>
        <w:t xml:space="preserve">آغاز: الا ان نجد المجد ابيض ملحوب ***وليكنه المهالك  جم مرهوب / هو العسل المازى يشتاره امرء *** بغاه واطراف الرماح اليعاسيب؛ انجام: و ما انسى عهودا بريعها *** تقفت ولو ازجى الى الرمس بالخال / تخالف جسمى والغضا بَعد بعدها *** كما اختلفت عیش و ذبیان بالخال</w:t>
      </w:r>
    </w:p>
    <w:p>
      <w:pPr>
        <w:pStyle w:val="BookText"/>
      </w:pPr>
      <w:r>
        <w:rPr>
          <w:rFonts w:ascii="IRNazanin" w:hAnsi="IRNazanin" w:eastAsia="IRNazanin" w:cs="IRNazanin"/>
          <w:lang w:bidi="fa-IR"/>
          <w:color w:val="111111"/>
          <w:sz w:val="28"/>
          <w:szCs w:val="28"/>
          <w:rtl/>
        </w:rPr>
        <w:t xml:space="preserve">مجموعه ای از اشعار عربی شامل معلقات سبع، لاميه امرؤ القيس ،طنطرانی، فائده فی نیران  العرب، ابى الفتح البستى، اشعار شيخ بهایی از سوانح سفر حجاز و غیر آن و نیز از پدر او، نعت رسول اکرم (صلّی اللَّهِ علیه وَ آلِهِ وَ سَلَّمَ ) از اعشی، حسن بحرانی دمستانی و برده، مدح امیرالمومنین (علیه السّلام) از صاحب معالم، بحرانی و بحر المعلوم، مراثی بحرالعلوم در ۱۱  بند، قصیده دعبل خزاعی در مدح امام علی بن موسى الرضا (علیه السّلام)، بخشی از قصیده فرزدق در مدح امام زین العابدين على بن حسین (علیه السّلام) و اشعار دیگری از امیر المؤمنین علی (علیه السّلام) ،وطواط، ابی تمام، متنبی، صاحب بن عباد، علی بن روحى ابن نواس ،میرداماد، ابن الجوزی و اشعاری در فراق واظهار الاشتياق، فقر الاخوان، وفاء، شكر شكايت؛ خط: نسخ، بی کا، تا: ۱۲۶۹ق؛ جدولی در علوم غریبه در انتهای نسخه؛ جلد: تیماج قهوه ای بدون مقوا مجدول، ۱۷۰گ، ۱۰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w:t>
      </w:r>
    </w:p>
    <w:p>
      <w:pPr>
        <w:pStyle w:val="BookText"/>
      </w:pPr>
      <w:r>
        <w:rPr>
          <w:rFonts w:ascii="IRNazanin" w:hAnsi="IRNazanin" w:eastAsia="IRNazanin" w:cs="IRNazanin"/>
          <w:lang w:bidi="fa-IR"/>
          <w:color w:val="111111"/>
          <w:sz w:val="28"/>
          <w:szCs w:val="28"/>
          <w:rtl/>
        </w:rPr>
        <w:t xml:space="preserve">[ف مخ: ۲ - 569]</w:t>
      </w:r>
    </w:p>
    <w:p>
      <w:pPr>
        <w:pStyle w:val="BookText"/>
      </w:pPr>
      <w:r>
        <w:rPr>
          <w:rFonts w:ascii="IRNazanin" w:hAnsi="IRNazanin" w:eastAsia="IRNazanin" w:cs="IRNazanin"/>
          <w:lang w:bidi="fa-IR"/>
          <w:color w:val="111111"/>
          <w:sz w:val="28"/>
          <w:szCs w:val="28"/>
          <w:rtl/>
        </w:rPr>
        <w:t xml:space="preserve">۲۱۵. قم؛ مرکز احیاء؛ شماره نسخه: ۱۹۵</w:t>
      </w:r>
    </w:p>
    <w:p>
      <w:pPr>
        <w:pStyle w:val="BookText"/>
      </w:pPr>
      <w:r>
        <w:rPr>
          <w:rFonts w:ascii="IRNazanin" w:hAnsi="IRNazanin" w:eastAsia="IRNazanin" w:cs="IRNazanin"/>
          <w:lang w:bidi="fa-IR"/>
          <w:color w:val="111111"/>
          <w:sz w:val="28"/>
          <w:szCs w:val="28"/>
          <w:rtl/>
        </w:rPr>
        <w:t xml:space="preserve">در این جنگ شعری، قصاید و اشعاری در مدایح و مراثی اهل بیت (علیهم السّلام) و مقاصد دیگر بدون ترتیب مخصوص گرد آورده شده است. و در پایان منشآتی چند افزوده شده و برگ های نسخه در هم صحافی شده است. در آغاز مجموعه بیست و نه قصیده</w:t>
      </w:r>
    </w:p>
    <w:p>
      <w:pPr>
        <w:pStyle w:val="BookText"/>
      </w:pPr>
      <w:r>
        <w:rPr>
          <w:rFonts w:ascii="IRNazanin" w:hAnsi="IRNazanin" w:eastAsia="IRNazanin" w:cs="IRNazanin"/>
          <w:lang w:bidi="fa-IR"/>
          <w:color w:val="111111"/>
          <w:sz w:val="28"/>
          <w:szCs w:val="28"/>
          <w:rtl/>
        </w:rPr>
        <w:t xml:space="preserve">ص: 671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آمده هر قصیده به قافیه یکی از حروف هجا در مدح شیخ حمـود فرزند شیخ ثامر با دیباچه ای ادبی منثور و به استقبال قصیده هـای صفى الدين حلی. نام شاعران این مجموعه: شیخ کاظم رازی، عبدالباقی  عمری، عایشه باعونيه، ابن شدقم  مدنی، شریف رضی ابوتمام، ابوالطيب متنبى، صفى الدين حلى ف عمر بن الفارض، مهیار  دیلمی، ابو محمد  سروجی، مجنون  لیلی، ابن النحاس، کمال الدین، ابوفراس  حمدانی ،حاجری ،عبدالصمد جميل بثـینه، تهامی، ابن  المشرق، ابن الرومى، ابن الساعدى، بهاء زهير، شـیخ محمد على شکر، شیخ شهاب الدین، عفیف الدین تلمسانی،ابن الخياط، الرقاشی، ابونواس، محمد سعید، امروا القيس، سيد محـمد زینی ،بحتری، ابوالحسن بن عبدالغنی، ابن الاثير علاء الدین معری، امیرالمومنین (علیه السّلام)؛ خط: نسخ، کا: محمد علی بن محمود  بن  شكر آل الشيخ محمد عفکاوی نجفی (۲۹ قصیده اول)، تا: دوشنبه 24ربیع الثاني ۱۲۷۰ق، جلد: تيماج قهوه ای، ۱۳۸ گ، مختلـف السطر،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۱۰سم [ف: ۱ - ۲۸۴]</w:t>
      </w:r>
    </w:p>
    <w:p>
      <w:pPr>
        <w:pStyle w:val="BookText"/>
      </w:pPr>
      <w:r>
        <w:rPr>
          <w:rFonts w:ascii="IRNazanin" w:hAnsi="IRNazanin" w:eastAsia="IRNazanin" w:cs="IRNazanin"/>
          <w:lang w:bidi="fa-IR"/>
          <w:color w:val="111111"/>
          <w:sz w:val="28"/>
          <w:szCs w:val="28"/>
          <w:rtl/>
        </w:rPr>
        <w:t xml:space="preserve">۲۱۶. کرمانشاه؛ جلیلی؛ شماره نسخه: ۲۶/۵</w:t>
      </w:r>
    </w:p>
    <w:p>
      <w:pPr>
        <w:pStyle w:val="BookText"/>
      </w:pPr>
      <w:r>
        <w:rPr>
          <w:rFonts w:ascii="IRNazanin" w:hAnsi="IRNazanin" w:eastAsia="IRNazanin" w:cs="IRNazanin"/>
          <w:lang w:bidi="fa-IR"/>
          <w:color w:val="111111"/>
          <w:sz w:val="28"/>
          <w:szCs w:val="28"/>
          <w:rtl/>
        </w:rPr>
        <w:t xml:space="preserve">آغاز: بسمله، الحمد لله المتفرد بالعزء و البقاء ... جل ذر على الـدنیا قتاما *** فكساها بعد اشراق ظلاما؛ انجام: و رحمة الله تعالى بركاته۱۷ جمادی ۱۲۷۱ و قد اذن بتحرير هذه السطور على وجه المزبور خادم الشريعة الغراء مهدى نجل المرحوم المبرور الشـیخ على  ال شيخ جعفر النجفي</w:t>
      </w:r>
    </w:p>
    <w:p>
      <w:pPr>
        <w:pStyle w:val="BookText"/>
      </w:pPr>
      <w:r>
        <w:rPr>
          <w:rFonts w:ascii="IRNazanin" w:hAnsi="IRNazanin" w:eastAsia="IRNazanin" w:cs="IRNazanin"/>
          <w:lang w:bidi="fa-IR"/>
          <w:color w:val="111111"/>
          <w:sz w:val="28"/>
          <w:szCs w:val="28"/>
          <w:rtl/>
        </w:rPr>
        <w:t xml:space="preserve">شامل قصاید و مراثی ادبا و شعرای عراق عرب خصوصاً نجـف اشرف بعد از رحلت میرزا ابوالقاسم امام جمعه اصفهان. مانند مرثیه سروده شیخ ابراهیم بن صادق بن ابراهیم آل  يحيى  عاملی، مرثیه سروده شیخ حسین فرزند شیخ احمد دجیلی،مرثیه سروده شیخ عباس بن شیخ حسن بن جعفر، و دیگران؛ خط: نسخ خوش، بی کا، تا: ۱۲۷۱ق ۱۸ ص ،(۱۵/۳-۱۷/۱)، ۱۲ سطر [ف: ۲۲۶]</w:t>
      </w:r>
    </w:p>
    <w:p>
      <w:pPr>
        <w:pStyle w:val="BookText"/>
      </w:pPr>
      <w:r>
        <w:rPr>
          <w:rFonts w:ascii="IRNazanin" w:hAnsi="IRNazanin" w:eastAsia="IRNazanin" w:cs="IRNazanin"/>
          <w:lang w:bidi="fa-IR"/>
          <w:color w:val="111111"/>
          <w:sz w:val="28"/>
          <w:szCs w:val="28"/>
          <w:rtl/>
        </w:rPr>
        <w:t xml:space="preserve">۲۱۷. تهران؛ سپهسالار؛ شماره نسخه: ۷۱۰۳</w:t>
      </w:r>
    </w:p>
    <w:p>
      <w:pPr>
        <w:pStyle w:val="BookText"/>
      </w:pPr>
      <w:r>
        <w:rPr>
          <w:rFonts w:ascii="IRNazanin" w:hAnsi="IRNazanin" w:eastAsia="IRNazanin" w:cs="IRNazanin"/>
          <w:lang w:bidi="fa-IR"/>
          <w:color w:val="111111"/>
          <w:sz w:val="28"/>
          <w:szCs w:val="28"/>
          <w:rtl/>
        </w:rPr>
        <w:t xml:space="preserve">مرثیه هایی از سید طباطبایی و حاجی هاشم دارد، و نیز قصیده ای از روی «لمن الشمس فى قباب قباها. ..» و شعرهای کاظم،محمدرضا، سید ماجد و سید احمد بن علیخان مدنی در آن اسـت؛</w:t>
      </w:r>
    </w:p>
    <w:p>
      <w:pPr>
        <w:pStyle w:val="BookText"/>
      </w:pPr>
      <w:r>
        <w:rPr>
          <w:rFonts w:ascii="IRNazanin" w:hAnsi="IRNazanin" w:eastAsia="IRNazanin" w:cs="IRNazanin"/>
          <w:lang w:bidi="fa-IR"/>
          <w:color w:val="111111"/>
          <w:sz w:val="28"/>
          <w:szCs w:val="28"/>
          <w:rtl/>
        </w:rPr>
        <w:t xml:space="preserve">خط: نسخ، بی کا ،تا:۱۲۷۱ق؛ برای شیخ محمد بن حاج محمد جعفر؛ كاغذ: فرنگی  نخدی ،جلد: تیماج سبز، ۲۱۶گ ۲۰ سـطر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۴ - ۹۳]</w:t>
      </w:r>
    </w:p>
    <w:p>
      <w:pPr>
        <w:pStyle w:val="BookText"/>
      </w:pPr>
      <w:r>
        <w:rPr>
          <w:rFonts w:ascii="IRNazanin" w:hAnsi="IRNazanin" w:eastAsia="IRNazanin" w:cs="IRNazanin"/>
          <w:lang w:bidi="fa-IR"/>
          <w:color w:val="111111"/>
          <w:sz w:val="28"/>
          <w:szCs w:val="28"/>
          <w:rtl/>
        </w:rPr>
        <w:t xml:space="preserve">۲۱۸. تهران؛ دانشکده الهیات تهران؛ شماره نسخه: ۱۰۴/۵</w:t>
      </w:r>
    </w:p>
    <w:p>
      <w:pPr>
        <w:pStyle w:val="BookText"/>
      </w:pPr>
      <w:r>
        <w:rPr>
          <w:rFonts w:ascii="IRNazanin" w:hAnsi="IRNazanin" w:eastAsia="IRNazanin" w:cs="IRNazanin"/>
          <w:lang w:bidi="fa-IR"/>
          <w:color w:val="111111"/>
          <w:sz w:val="28"/>
          <w:szCs w:val="28"/>
          <w:rtl/>
        </w:rPr>
        <w:t xml:space="preserve">قصيدة في وصف الربيع و مدح ناصر الملک؛ خط: نسخ و نستعلییق، كا: حبیب الله بن محمد حسن گلپایگانی، تا: ۱۲۷۲ق؛ کاغذ: فرنگی، جلد: تیماج قهوه ای ضربی مقوایی، ۲گ (226ر- ۲۲۷پ)، ۱۵ سطر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۲۳سم [ف: ۱۵۵]</w:t>
      </w:r>
    </w:p>
    <w:p>
      <w:pPr>
        <w:pStyle w:val="BookText"/>
      </w:pPr>
      <w:r>
        <w:rPr>
          <w:rFonts w:ascii="IRNazanin" w:hAnsi="IRNazanin" w:eastAsia="IRNazanin" w:cs="IRNazanin"/>
          <w:lang w:bidi="fa-IR"/>
          <w:color w:val="111111"/>
          <w:sz w:val="28"/>
          <w:szCs w:val="28"/>
          <w:rtl/>
        </w:rPr>
        <w:t xml:space="preserve">۲۱۹. مشهد؛ الهیات؛ شماره نسخه: ۱۱۲</w:t>
      </w:r>
    </w:p>
    <w:p>
      <w:pPr>
        <w:pStyle w:val="BookText"/>
      </w:pPr>
      <w:r>
        <w:rPr>
          <w:rFonts w:ascii="IRNazanin" w:hAnsi="IRNazanin" w:eastAsia="IRNazanin" w:cs="IRNazanin"/>
          <w:lang w:bidi="fa-IR"/>
          <w:color w:val="111111"/>
          <w:sz w:val="28"/>
          <w:szCs w:val="28"/>
          <w:rtl/>
        </w:rPr>
        <w:t xml:space="preserve">بخش اول (گ1- 148) شامل قصاید عربی از مقتل طریحی قصیده آقاشیخ محمد بن شیخ احمد بن شیخ سلیمان شاخوری، قصیده ای از محمد بن مقدس شیخ احمد بن شیخ ابراهیم رازی،دعبل، شیخ حسن، شیخ علی بن عمار، شیخ یوسف، شیخ علی خلیعی، سید مرتضی، شیخ علی تارونی، بخش دوم اشعار کتاب الف ليلة و ليلة (۱۵۳-۲۵۸)؛ خط: نسخ، بی کا، تا: غره ربیع الاول ۱۲۷۲ق (بخش اول) صفر ۱۲۷۲ق (بخش دوم)؛ کاغذ: الوان ،جلد: تیماج مشکی  ضربی، ۳۲۸گ، ۱۷ سطر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۱ - ۷۵]</w:t>
      </w:r>
    </w:p>
    <w:p>
      <w:pPr>
        <w:pStyle w:val="BookText"/>
      </w:pPr>
      <w:r>
        <w:rPr>
          <w:rFonts w:ascii="IRNazanin" w:hAnsi="IRNazanin" w:eastAsia="IRNazanin" w:cs="IRNazanin"/>
          <w:lang w:bidi="fa-IR"/>
          <w:color w:val="111111"/>
          <w:sz w:val="28"/>
          <w:szCs w:val="28"/>
          <w:rtl/>
        </w:rPr>
        <w:t xml:space="preserve">۲۲۰. تهران؛ مجلس؛ شماره نسخه: ۸۹۱۹/۱۹</w:t>
      </w:r>
    </w:p>
    <w:p>
      <w:pPr>
        <w:pStyle w:val="BookText"/>
      </w:pPr>
      <w:r>
        <w:rPr>
          <w:rFonts w:ascii="IRNazanin" w:hAnsi="IRNazanin" w:eastAsia="IRNazanin" w:cs="IRNazanin"/>
          <w:lang w:bidi="fa-IR"/>
          <w:color w:val="111111"/>
          <w:sz w:val="28"/>
          <w:szCs w:val="28"/>
          <w:rtl/>
        </w:rPr>
        <w:t xml:space="preserve">بدون نام سرایندگان؛ خط: نستعلیق و شکسته، کا: محمود بن جلال الدين محمد نصیر قلندرشاه  خویی، تا: ربیع الثانی ۱۲۷۲ق، ؛جا: طهران ؛کاغذ: فرنگی نازک ،جلد: میشن قهوه ای ضربی با ترنج و سر ترنج و جدول، ۲گ (ص 53پ-۵۴ر)، اندازه: ۱۲/۸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۲۹/۱ - ۳۳۱]</w:t>
      </w:r>
    </w:p>
    <w:p>
      <w:pPr>
        <w:pStyle w:val="BookText"/>
      </w:pPr>
      <w:r>
        <w:rPr>
          <w:rFonts w:ascii="Amiri" w:hAnsi="Amiri" w:eastAsia="Amiri" w:cs="Amiri"/>
          <w:lang w:bidi="ar-SA"/>
          <w:color w:val="111111"/>
          <w:sz w:val="28"/>
          <w:szCs w:val="28"/>
          <w:rtl/>
        </w:rPr>
        <w:t xml:space="preserve">221.تهران؛ دائرة المعارف؛ شماره نسخه: ۶۶۴</w:t>
      </w:r>
    </w:p>
    <w:p>
      <w:pPr>
        <w:pStyle w:val="BookText"/>
      </w:pPr>
      <w:r>
        <w:rPr>
          <w:rFonts w:ascii="Amiri" w:hAnsi="Amiri" w:eastAsia="Amiri" w:cs="Amiri"/>
          <w:lang w:bidi="ar-SA"/>
          <w:color w:val="111111"/>
          <w:sz w:val="28"/>
          <w:szCs w:val="28"/>
          <w:rtl/>
        </w:rPr>
        <w:t xml:space="preserve">آغاز: الله اكبر . ماذا الحادث - فقد تزلزل سهل الارض و الجبل ؛</w:t>
      </w:r>
    </w:p>
    <w:p>
      <w:pPr>
        <w:pStyle w:val="BookText"/>
      </w:pPr>
      <w:r>
        <w:rPr>
          <w:rFonts w:ascii="IRNazanin" w:hAnsi="IRNazanin" w:eastAsia="IRNazanin" w:cs="IRNazanin"/>
          <w:lang w:bidi="fa-IR"/>
          <w:color w:val="111111"/>
          <w:sz w:val="28"/>
          <w:szCs w:val="28"/>
          <w:rtl/>
        </w:rPr>
        <w:t xml:space="preserve">انجام:الاحتراس، فوفی غیر مامور دعودک لی *** الیس رویاک  اضغاثا من الحلم.</w:t>
      </w:r>
    </w:p>
    <w:p>
      <w:pPr>
        <w:pStyle w:val="BookText"/>
      </w:pPr>
      <w:r>
        <w:rPr>
          <w:rFonts w:ascii="IRNazanin" w:hAnsi="IRNazanin" w:eastAsia="IRNazanin" w:cs="IRNazanin"/>
          <w:lang w:bidi="fa-IR"/>
          <w:color w:val="111111"/>
          <w:sz w:val="28"/>
          <w:szCs w:val="28"/>
          <w:rtl/>
        </w:rPr>
        <w:t xml:space="preserve">سروده هایی به عربی از شیخ محمدرضا الدرزى (ابن عم ملاكاظم درزى)، الحاج هاشم الجعبى، ابن جماد، شیخ صالح النور، شيخ ياسين فى تهنية قتل عمر، صفى الحلى و کسان دیگر بیشتر در ستایش خاندان پیامبر (صلّی اللَّهِ علیه وَ آلِهِ وَ سَلَّمَ )؛ خط: نستعلیق تحریری، کا: محمود بن حاج محمد، تا: ۲۳ ربيع الاول ۱۲۷۳ق؛ کاغذ: فرنگی رنگارنگ، جلد: مقوایی مشمی، ۹۱گ، ۱۵ سطر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۲ - ۶۶]</w:t>
      </w:r>
    </w:p>
    <w:p>
      <w:pPr>
        <w:pStyle w:val="BookText"/>
      </w:pPr>
      <w:r>
        <w:rPr>
          <w:rFonts w:ascii="IRNazanin" w:hAnsi="IRNazanin" w:eastAsia="IRNazanin" w:cs="IRNazanin"/>
          <w:lang w:bidi="fa-IR"/>
          <w:color w:val="111111"/>
          <w:sz w:val="28"/>
          <w:szCs w:val="28"/>
          <w:rtl/>
        </w:rPr>
        <w:t xml:space="preserve">۲۲۲ . قم؛ مرکز احیاء؛ شماره نسخه: ۴۱۲۰</w:t>
      </w:r>
    </w:p>
    <w:p>
      <w:pPr>
        <w:pStyle w:val="BookText"/>
      </w:pPr>
      <w:r>
        <w:rPr>
          <w:rFonts w:ascii="Amiri" w:hAnsi="Amiri" w:eastAsia="Amiri" w:cs="Amiri"/>
          <w:lang w:bidi="ar-SA"/>
          <w:color w:val="111111"/>
          <w:sz w:val="28"/>
          <w:szCs w:val="28"/>
          <w:rtl/>
        </w:rPr>
        <w:t xml:space="preserve">آغاز: ابت الوصال مخافة الرقباء *** و اتتك تحت مذارع الطلماء؛</w:t>
      </w:r>
    </w:p>
    <w:p>
      <w:pPr>
        <w:pStyle w:val="BookText"/>
      </w:pPr>
      <w:r>
        <w:rPr>
          <w:rFonts w:ascii="Amiri" w:hAnsi="Amiri" w:eastAsia="Amiri" w:cs="Amiri"/>
          <w:lang w:bidi="ar-SA"/>
          <w:color w:val="111111"/>
          <w:sz w:val="28"/>
          <w:szCs w:val="28"/>
          <w:rtl/>
        </w:rPr>
        <w:t xml:space="preserve">انجام: واربع المجد بكم مشيدة *** و الارض من أرائكم ممهدة *** والدهر بالامن ضحوك ماثغر</w:t>
      </w:r>
    </w:p>
    <w:p>
      <w:pPr>
        <w:pStyle w:val="BookText"/>
      </w:pPr>
      <w:r>
        <w:rPr>
          <w:rFonts w:ascii="IRNazanin" w:hAnsi="IRNazanin" w:eastAsia="IRNazanin" w:cs="IRNazanin"/>
          <w:lang w:bidi="fa-IR"/>
          <w:color w:val="111111"/>
          <w:sz w:val="28"/>
          <w:szCs w:val="28"/>
          <w:rtl/>
        </w:rPr>
        <w:t xml:space="preserve">مشتمل بر اشعاری از شعرای بزرگ عرب با این عناوین: صفی الدین حلی به ترتیب حروف آخر قوافی، سیدمحمد قطیفی، ابن الرومي، صالح بن حيان، متنبي، أبي العتاهية، جابر سنبسى، احمد بن صالح البغدادی، سیدحمیری، سلیمان بن مهاجر، ابو تمام، دعبل، محمد بن يحيى اسدی، علی بن جهم، بختری، شهاب خفاجی ،ابونؤاس، صاحب بن عباد، ابی اسحاق اندلسی اشبیلی، بوصیری، حسان بن ثابت ،نابغة الذبیانی، مجدالدین اربیلی، ابو العلاء معری، ابوالیمین کندی، عباس بن الأحنف، محيى الدين  موصلی، مسکین دارمی، ابن منیر ،علی بن الحسين (علیه السّلام)، حاتم طلائی، شیخ محمد رضا بن احمد نحوی، سیدرضی، ابن مطروح،سیدعلی بن معصوم، سید صادق فحام، سید جعفر حسینی طالقانی، کشاجم، شیخ حسین نجف، موسی دجیلی، کعب بن امیه، فرزدق، شیخ امین کاظمی ،ابوالحسن تهامی، شیخ موسی عاملی، ابن ابی الحديد، على بن مقرب احسائی، ابى حية النمرى، شرف الدين جعفر بن محمد خطی، شیخ احمد نحوی، حسین بن علی طغرائی، زهیر بن ابی سلمی  مزنی، عبدالله بن دمینه، نابغه جهدی، شیخ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حمید نصار، شیخ محمد حویزی، محمد وارقى، هاتف اصفهانی، احمد بن لطفعلی تبریزی، میرزا محمد تقى مراغى متخلص به اسير، ابوالفتح محمود بن حسین کشاجم، شيخ عبدالحسين أعسـم،سلمان بن قبه هاشمی، شیخ صالح تمیمی نجفی، عبدالباقی افندی، کاظم ازری، ابوالحسن شریف طباطبائی ،قیراطی، سید رضی قزوینی، محمد على اعسم و....؛ خط: نسخ، کا: علی بن آقا محـمد بن صالح شوشتری ،تا: محرم ۱۲۷۶ق، جا: غری، جه ملامحسن؛ نسخه به چندین خط کتابت شده، در نیمه پایانی کتاب معلقات سبع با شرح زوزنی چاپ سنگی ضمیمه شده ؛جلد: تیمـاج قهوه ای ضربی، ۱۹۷گ مختلف السطر،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سم[ محدث ارموی مخ: ۱ - ۵۱۷]</w:t>
      </w:r>
    </w:p>
    <w:p>
      <w:pPr>
        <w:pStyle w:val="BookText"/>
      </w:pPr>
      <w:r>
        <w:rPr>
          <w:rFonts w:ascii="IRNazanin" w:hAnsi="IRNazanin" w:eastAsia="IRNazanin" w:cs="IRNazanin"/>
          <w:lang w:bidi="fa-IR"/>
          <w:color w:val="111111"/>
          <w:sz w:val="28"/>
          <w:szCs w:val="28"/>
          <w:rtl/>
        </w:rPr>
        <w:t xml:space="preserve">۲۲۳. تهران؛ ملک؛ شماره نسخه: ۲۴۸۵/۳</w:t>
      </w:r>
    </w:p>
    <w:p>
      <w:pPr>
        <w:pStyle w:val="BookText"/>
      </w:pPr>
      <w:r>
        <w:rPr>
          <w:rFonts w:ascii="IRNazanin" w:hAnsi="IRNazanin" w:eastAsia="IRNazanin" w:cs="IRNazanin"/>
          <w:lang w:bidi="fa-IR"/>
          <w:color w:val="111111"/>
          <w:sz w:val="28"/>
          <w:szCs w:val="28"/>
          <w:rtl/>
        </w:rPr>
        <w:t xml:space="preserve">جنگ شعر است؛ خط: نسخ، بی کا، تا: ۱۲۷۷ق [ف: ۶ - ۲۴]</w:t>
      </w:r>
    </w:p>
    <w:p>
      <w:pPr>
        <w:pStyle w:val="BookText"/>
      </w:pPr>
      <w:r>
        <w:rPr>
          <w:rFonts w:ascii="IRNazanin" w:hAnsi="IRNazanin" w:eastAsia="IRNazanin" w:cs="IRNazanin"/>
          <w:lang w:bidi="fa-IR"/>
          <w:color w:val="111111"/>
          <w:sz w:val="28"/>
          <w:szCs w:val="28"/>
          <w:rtl/>
        </w:rPr>
        <w:t xml:space="preserve">۲۲۴. تهران؛ ملک؛ شماره نسخه: ۵۶۴/۱۹</w:t>
      </w:r>
    </w:p>
    <w:p>
      <w:pPr>
        <w:pStyle w:val="BookText"/>
      </w:pPr>
      <w:r>
        <w:rPr>
          <w:rFonts w:ascii="IRNazanin" w:hAnsi="IRNazanin" w:eastAsia="IRNazanin" w:cs="IRNazanin"/>
          <w:lang w:bidi="fa-IR"/>
          <w:color w:val="111111"/>
          <w:sz w:val="28"/>
          <w:szCs w:val="28"/>
          <w:rtl/>
        </w:rPr>
        <w:t xml:space="preserve">اشعاری از شهاب الدین  رعدینی، ابن المعتز ، بحتری در ظهورگل، ابن مشرف ماردینی، ابن  مطروح، ابی نواس در مدح امام رضا، یزید (خمريات)، فخرالدین بن مكانس، صفى حلى، ابن النـبیه، صدرالدین عتابی، ابوالقاسم حداد (با تاریخ ربیع الثانی 1280)، علاء الدین صیداوی، ابن هانی، قطب الدين بن عوض، ماميتی ابو عثمان خالدی، ابی الحسن فکیک، حسن بن حبیب، ابونصربن اسد ابن تمیم، عبدالله بن محمد العطار، خولا بن العادلى و شعـراء بنام عرب دیگر؛ کا: محمد مسیح بن عبدالحمید موسوی اصفهـانی درب امامی، تا: حدود ۱۲۸۰ق [ف: ۵ - ۸۶]</w:t>
      </w:r>
    </w:p>
    <w:p>
      <w:pPr>
        <w:pStyle w:val="BookText"/>
      </w:pPr>
      <w:r>
        <w:rPr>
          <w:rFonts w:ascii="IRNazanin" w:hAnsi="IRNazanin" w:eastAsia="IRNazanin" w:cs="IRNazanin"/>
          <w:lang w:bidi="fa-IR"/>
          <w:color w:val="111111"/>
          <w:sz w:val="28"/>
          <w:szCs w:val="28"/>
          <w:rtl/>
        </w:rPr>
        <w:t xml:space="preserve">۲۲۵. مشهد؛ رضوی؛ شماره نسخه: ۹۳۱۱/۲۶</w:t>
      </w:r>
    </w:p>
    <w:p>
      <w:pPr>
        <w:pStyle w:val="BookText"/>
      </w:pPr>
      <w:r>
        <w:rPr>
          <w:rFonts w:ascii="IRNazanin" w:hAnsi="IRNazanin" w:eastAsia="IRNazanin" w:cs="IRNazanin"/>
          <w:lang w:bidi="fa-IR"/>
          <w:color w:val="111111"/>
          <w:sz w:val="28"/>
          <w:szCs w:val="28"/>
          <w:rtl/>
        </w:rPr>
        <w:t xml:space="preserve">قطعاتی از شیخ صفى الدين  حلى، ابن الدباغ، بحتری، ابن سناء الملک، شمس الدین محمد بن عفیف ابوالحسین  جزار، ابونواس؛ خط: شکسته نستعلیق خوش، کا: محمد رضا افشار، تا: ۱۲۸۰ ق؛کاغذ: نوعی ترمه ،جلد: مقوایی، عطف و گوشه چرمی،  3ص (۱۹۶-۱۹۳)،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۲۵/۵سم [ف: ۷ - ۷۹۲]</w:t>
      </w:r>
    </w:p>
    <w:p>
      <w:pPr>
        <w:pStyle w:val="BookText"/>
      </w:pPr>
      <w:r>
        <w:rPr>
          <w:rFonts w:ascii="IRNazanin" w:hAnsi="IRNazanin" w:eastAsia="IRNazanin" w:cs="IRNazanin"/>
          <w:lang w:bidi="fa-IR"/>
          <w:color w:val="111111"/>
          <w:sz w:val="28"/>
          <w:szCs w:val="28"/>
          <w:rtl/>
        </w:rPr>
        <w:t xml:space="preserve">226 . مشهد؛ رضوی؛ شماره نسخه: ۹۳۱۱/۲۴</w:t>
      </w:r>
    </w:p>
    <w:p>
      <w:pPr>
        <w:pStyle w:val="BookText"/>
      </w:pPr>
      <w:r>
        <w:rPr>
          <w:rFonts w:ascii="IRNazanin" w:hAnsi="IRNazanin" w:eastAsia="IRNazanin" w:cs="IRNazanin"/>
          <w:lang w:bidi="fa-IR"/>
          <w:color w:val="111111"/>
          <w:sz w:val="28"/>
          <w:szCs w:val="28"/>
          <w:rtl/>
        </w:rPr>
        <w:t xml:space="preserve">اشعاری منسوب به: علی بن ابی  طالب، خدیجه کبری، مجنـون عامری، بنت باعون  حلبی ،ابو تمام، ابلیس، متنبی، یزید؛ خـط: شکسته نستعلیق خوش ،کا: محمد رضا افشار، تا: ۱۲۸۰ق؛ کاغذ: نوعی ترمه، جلد: مقوایی عطف و گوشه  چرمی، ۷ ص (131-۱۳۸) اندازه: ۲۵/۵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۷ - ۷۹۲]</w:t>
      </w:r>
    </w:p>
    <w:p>
      <w:pPr>
        <w:pStyle w:val="BookText"/>
      </w:pPr>
      <w:r>
        <w:rPr>
          <w:rFonts w:ascii="IRNazanin" w:hAnsi="IRNazanin" w:eastAsia="IRNazanin" w:cs="IRNazanin"/>
          <w:lang w:bidi="fa-IR"/>
          <w:color w:val="111111"/>
          <w:sz w:val="28"/>
          <w:szCs w:val="28"/>
          <w:rtl/>
        </w:rPr>
        <w:t xml:space="preserve">۲۲۷ . قم؛ مرکز مطالعات؛ شماره نسخه: ۱۰۳۱/۳</w:t>
      </w:r>
    </w:p>
    <w:p>
      <w:pPr>
        <w:pStyle w:val="BookText"/>
      </w:pPr>
      <w:r>
        <w:rPr>
          <w:rFonts w:ascii="Amiri" w:hAnsi="Amiri" w:eastAsia="Amiri" w:cs="Amiri"/>
          <w:lang w:bidi="ar-SA"/>
          <w:color w:val="111111"/>
          <w:sz w:val="28"/>
          <w:szCs w:val="28"/>
          <w:rtl/>
        </w:rPr>
        <w:t xml:space="preserve">آغاز: و قلقلا مقلقلا ان سكنا *** و ان يكن فى الوقف كان ابينا</w:t>
      </w:r>
    </w:p>
    <w:p>
      <w:pPr>
        <w:pStyle w:val="BookText"/>
      </w:pPr>
      <w:r>
        <w:rPr>
          <w:rFonts w:ascii="IRNazanin" w:hAnsi="IRNazanin" w:eastAsia="IRNazanin" w:cs="IRNazanin"/>
          <w:lang w:bidi="fa-IR"/>
          <w:color w:val="111111"/>
          <w:sz w:val="28"/>
          <w:szCs w:val="28"/>
          <w:rtl/>
        </w:rPr>
        <w:t xml:space="preserve">قصیده در تجوید است؛ خط: نسخ، بی کا، تا: ۱۲۸۱ق؛ جلد: تیماج قهوه ای عطف  سرخ، ۳گ (91پ- 93ر)، ۱۱ سطر، اندازه 8</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سم [ف ۲ - ۲۸۵]</w:t>
      </w:r>
    </w:p>
    <w:p>
      <w:pPr>
        <w:pStyle w:val="BookText"/>
      </w:pPr>
      <w:r>
        <w:rPr>
          <w:rFonts w:ascii="IRNazanin" w:hAnsi="IRNazanin" w:eastAsia="IRNazanin" w:cs="IRNazanin"/>
          <w:lang w:bidi="fa-IR"/>
          <w:color w:val="111111"/>
          <w:sz w:val="28"/>
          <w:szCs w:val="28"/>
          <w:rtl/>
        </w:rPr>
        <w:t xml:space="preserve">۲۲۸ . مشهد؛ رضوی؛ شماره نسخه: ض ۱۰۹۹۷</w:t>
      </w:r>
    </w:p>
    <w:p>
      <w:pPr>
        <w:pStyle w:val="BookText"/>
      </w:pPr>
      <w:r>
        <w:rPr>
          <w:rFonts w:ascii="IRNazanin" w:hAnsi="IRNazanin" w:eastAsia="IRNazanin" w:cs="IRNazanin"/>
          <w:lang w:bidi="fa-IR"/>
          <w:color w:val="111111"/>
          <w:sz w:val="28"/>
          <w:szCs w:val="28"/>
          <w:rtl/>
        </w:rPr>
        <w:t xml:space="preserve">قصیده میمیه و شرح آن؛ خط: نستعلیق، کا: ابوطالب، تا: 1283ق [الفبائی - ۴۴۷]</w:t>
      </w:r>
    </w:p>
    <w:p>
      <w:pPr>
        <w:pStyle w:val="BookText"/>
      </w:pPr>
      <w:r>
        <w:rPr>
          <w:rFonts w:ascii="IRNazanin" w:hAnsi="IRNazanin" w:eastAsia="IRNazanin" w:cs="IRNazanin"/>
          <w:lang w:bidi="fa-IR"/>
          <w:color w:val="111111"/>
          <w:sz w:val="28"/>
          <w:szCs w:val="28"/>
          <w:rtl/>
        </w:rPr>
        <w:t xml:space="preserve">۲۲۹.تهران؛ مجلس؛ شماره نسخه: ۳۹۴/۴- طباطبائی</w:t>
      </w:r>
    </w:p>
    <w:p>
      <w:pPr>
        <w:pStyle w:val="BookText"/>
      </w:pPr>
      <w:r>
        <w:rPr>
          <w:rFonts w:ascii="IRNazanin" w:hAnsi="IRNazanin" w:eastAsia="IRNazanin" w:cs="IRNazanin"/>
          <w:lang w:bidi="fa-IR"/>
          <w:color w:val="111111"/>
          <w:sz w:val="28"/>
          <w:szCs w:val="28"/>
          <w:rtl/>
        </w:rPr>
        <w:t xml:space="preserve">آغاز: كم عن لى طرب بل طار بی طرفی *** نشوان بابن العلى لابابنة العنب</w:t>
      </w:r>
    </w:p>
    <w:p>
      <w:pPr>
        <w:pStyle w:val="BookText"/>
      </w:pPr>
      <w:r>
        <w:rPr>
          <w:rFonts w:ascii="IRNazanin" w:hAnsi="IRNazanin" w:eastAsia="IRNazanin" w:cs="IRNazanin"/>
          <w:lang w:bidi="fa-IR"/>
          <w:color w:val="111111"/>
          <w:sz w:val="28"/>
          <w:szCs w:val="28"/>
          <w:rtl/>
        </w:rPr>
        <w:t xml:space="preserve">چند قصیده است به عربی در مدح سید محمد صادق طباطبائی پدر سید محمد طباطبائی (از رهبران مشروطه) و جد سید محمد صادق اهدا کننده مجموعه حاضر به کتابخانه مجلس که از علماء بزرگ ایران  بوده، پس از پایان قصیده نخست نویسنده چنین آورده: «هذه دره نضیده و خریده فریده رفعتها الى حضرة المولى ... حجة الله على الخاص والعام ... مولانا السيد صادق كل قول به ثناء و فخر *** فى سواكم يا آل محمد و زر / يربح الشعر في  ثناكم لعمرى *** و قصارى تجارة الشعر خسر / هل اتي هل اتی بمدح سواهم *** فاعتبره ففيه ان رمت خبر»، قصیده سوم نیز  دیباجه ای مفصل به نثر؛ خط: نسخ، بی کا، تا: ۱۲۸۴ق؛ کاغذ:فرنگی زرد آبی رنگ ضخیم، جلد: تیماج قهوه ای، ۴گ (۸۹ ر- ۹۳،ر) ، ۱۹ سطر، قطع: وزیری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۲۶/۵سم [ف: ۲۲ - ۱۵۱]</w:t>
      </w:r>
    </w:p>
    <w:p>
      <w:pPr>
        <w:pStyle w:val="BookText"/>
      </w:pPr>
      <w:r>
        <w:rPr>
          <w:rFonts w:ascii="Times New Roman" w:hAnsi="Times New Roman" w:eastAsia="Times New Roman" w:cs="Times New Roman"/>
          <w:lang w:val="en-US" w:bidi="en-US"/>
          <w:color w:val="111111"/>
          <w:sz w:val="28"/>
          <w:szCs w:val="28"/>
          <w:rtl/>
        </w:rPr>
        <w:t xml:space="preserve">230.</w:t>
      </w:r>
    </w:p>
    <w:p>
      <w:pPr>
        <w:pStyle w:val="BookText"/>
      </w:pPr>
      <w:r>
        <w:rPr>
          <w:rFonts w:ascii="IRNazanin" w:hAnsi="IRNazanin" w:eastAsia="IRNazanin" w:cs="IRNazanin"/>
          <w:lang w:bidi="fa-IR"/>
          <w:color w:val="111111"/>
          <w:sz w:val="28"/>
          <w:szCs w:val="28"/>
          <w:rtl/>
        </w:rPr>
        <w:t xml:space="preserve">تهران؛ مجلس؛ شماره نسخه: ۸۸۲۵/۳۵</w:t>
      </w:r>
    </w:p>
    <w:p>
      <w:pPr>
        <w:pStyle w:val="BookText"/>
      </w:pPr>
      <w:r>
        <w:rPr>
          <w:rFonts w:ascii="IRNazanin" w:hAnsi="IRNazanin" w:eastAsia="IRNazanin" w:cs="IRNazanin"/>
          <w:lang w:bidi="fa-IR"/>
          <w:color w:val="111111"/>
          <w:sz w:val="28"/>
          <w:szCs w:val="28"/>
          <w:rtl/>
        </w:rPr>
        <w:t xml:space="preserve">اشعار در استدعا، از این سرایندگان: قاضي القضاة برهان الدين  جماعه، قاضی تاج الدین طغرائي، محمود بن حسين، حسن بن حبيب  حلبی، ابن جزری، منصور فقیه مصری، محمد بن الفقيبى، صفی حلی، محمد عفيف تلمسانى، الواو الدمشقی، ابن نباته، صاحب زبدة الافکار ،مهلبی قاضی عبدالوهاب، ابن سكره، بحتری، ابن جوزی، مظفر اعمی، ابی نواس، لراقمه؛ خط: نستعلیق، کا: سید محمد طباطبایی طبیب یزدی، تا: با تاریخ ۱۲۸۵ق، جا: تهران؛ کاغذ: فرنگی نخودی آهار مهره، جلد: میشین قهوه ای مجدول، ۳گ (۱۶۰ پ -۱۶۲ر)، مختلف السطر، اندازه: 22</w:t>
      </w:r>
      <w:r>
        <w:rPr>
          <w:rFonts w:ascii="Times New Roman" w:hAnsi="Times New Roman" w:eastAsia="Times New Roman" w:cs="Times New Roman"/>
          <w:lang w:val="en-US" w:bidi="en-US"/>
          <w:color w:val="111111"/>
          <w:sz w:val="28"/>
          <w:szCs w:val="28"/>
          <w:rtl/>
        </w:rPr>
        <w:t xml:space="preserve">×35/3</w:t>
      </w:r>
      <w:r>
        <w:rPr>
          <w:rFonts w:ascii="IRNazanin" w:hAnsi="IRNazanin" w:eastAsia="IRNazanin" w:cs="IRNazanin"/>
          <w:lang w:bidi="fa-IR"/>
          <w:color w:val="111111"/>
          <w:sz w:val="28"/>
          <w:szCs w:val="28"/>
          <w:rtl/>
        </w:rPr>
        <w:t xml:space="preserve">سم[ف: 1/ 29- 61]</w:t>
      </w:r>
    </w:p>
    <w:p>
      <w:pPr>
        <w:pStyle w:val="BookText"/>
      </w:pPr>
      <w:r>
        <w:rPr>
          <w:rFonts w:ascii="IRNazanin" w:hAnsi="IRNazanin" w:eastAsia="IRNazanin" w:cs="IRNazanin"/>
          <w:lang w:bidi="fa-IR"/>
          <w:color w:val="111111"/>
          <w:sz w:val="28"/>
          <w:szCs w:val="28"/>
          <w:rtl/>
        </w:rPr>
        <w:t xml:space="preserve">۲۳۱. تهران؛ مجلس؛ شماره نسخه: ۸۸۳۵/۱۴</w:t>
      </w:r>
    </w:p>
    <w:p>
      <w:pPr>
        <w:pStyle w:val="BookText"/>
      </w:pPr>
      <w:r>
        <w:rPr>
          <w:rFonts w:ascii="IRNazanin" w:hAnsi="IRNazanin" w:eastAsia="IRNazanin" w:cs="IRNazanin"/>
          <w:lang w:bidi="fa-IR"/>
          <w:color w:val="111111"/>
          <w:sz w:val="28"/>
          <w:szCs w:val="28"/>
          <w:rtl/>
        </w:rPr>
        <w:t xml:space="preserve">گزیده اشعاری از ابن تمیم، بحتری، دیک الجن، ابن المعز و غیره؛خط: نستعلیق، کا: سید محمد طباطبائی  یزدی، تا: حدود ۱۲۸۶ق؛ ۴گ (۱۴۶ر- ۱۴۷پ) و (۱۶۰پ - ۱۶۱پ) [مختصر ف:- ۶۷۸]</w:t>
      </w:r>
    </w:p>
    <w:p>
      <w:pPr>
        <w:pStyle w:val="BookText"/>
      </w:pPr>
      <w:r>
        <w:rPr>
          <w:rFonts w:ascii="IRNazanin" w:hAnsi="IRNazanin" w:eastAsia="IRNazanin" w:cs="IRNazanin"/>
          <w:lang w:bidi="fa-IR"/>
          <w:color w:val="111111"/>
          <w:sz w:val="28"/>
          <w:szCs w:val="28"/>
          <w:rtl/>
        </w:rPr>
        <w:t xml:space="preserve">۲۳۲. تهران؛ مجلس؛ شماره نسخه: ۸۸۲۵/۴۲</w:t>
      </w:r>
    </w:p>
    <w:p>
      <w:pPr>
        <w:pStyle w:val="BookText"/>
      </w:pPr>
      <w:r>
        <w:rPr>
          <w:rFonts w:ascii="IRNazanin" w:hAnsi="IRNazanin" w:eastAsia="IRNazanin" w:cs="IRNazanin"/>
          <w:lang w:bidi="fa-IR"/>
          <w:color w:val="111111"/>
          <w:sz w:val="28"/>
          <w:szCs w:val="28"/>
          <w:rtl/>
        </w:rPr>
        <w:t xml:space="preserve">از این سرایندگان: امیرالمؤمنین علی (علیه السّلام)، ابوالطيب، الو الفتح ،بستى، ابو السعود، علی بن هشام ،قطامی فرزدق، موسوی، من الحماسة ،متنبی ،بحتری علی بن جهم، محمد بن خادم، محمد بن غالب، ابى الشيص، الى العتاهى، محمود وراق، بشار بن برد، موصلی، زياد العجم، ابی اتمام، زهیر بن ابی سلمی، توبة بن حمير، ابو العتاهية، شيخ شهاب الدين الرعديني، ابن رومی، ابن معتز، دیک الجن، ابن تمیم، ابن ،معشر، ابن شرف ماردینی ابی نواس، ابن مطروح، ابن عبدالله الحسین، خوارزمی، منشور تمری، ابی العلاء  معرى، ابن نباته، فخر الدين بن مكانس، صفی حلی، ابن نبیه، صدر الدین قبانی، ابوالقاسم حداد، علاء الدین صیداوی، ابن هانی، قطب الدین بن  عوض ،دمامینی، ابو عثمان خالدی، ابی الحسن فکیک، حسن بن حبیب، ابو نصر بن اسد، عبدالله بن محمد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عطار ،خولان ،عادلی، ابوالفضل بن ابى الرقاء، ابن الصائغ، علاء الدين الوداعی ،شرفی ،از هری ،سراج الوراق، ابن خطيـب، اصمعی، ابن سناء الملك، عاصم الحاولى، معمار، سمديسی، ابوهلال ،عسکری ،حجاج بدرین صاحب، ابن ابی حجله، خـط: نستعلیق، کا: سید محمد طباطبایی طبیب  یزدی، تا: با تاریخ ۱۲۸۶ق؛ جا: تهران؛کاغذ: فرنگی نخودی آهار مهره، جـلد: میشین قهوه ای  مجدول، ۱۱گ (۱۷۵ر-۱۷۷ر و ۱۹۱پ-۱۹۲ر و ۱۹۸ پ - ۲۰۳ ر ) ، مختلف السطر ، اندازه: 22</w:t>
      </w:r>
      <w:r>
        <w:rPr>
          <w:rFonts w:ascii="Times New Roman" w:hAnsi="Times New Roman" w:eastAsia="Times New Roman" w:cs="Times New Roman"/>
          <w:lang w:val="en-US" w:bidi="en-US"/>
          <w:color w:val="111111"/>
          <w:sz w:val="28"/>
          <w:szCs w:val="28"/>
          <w:rtl/>
        </w:rPr>
        <w:t xml:space="preserve">×35/3</w:t>
      </w:r>
      <w:r>
        <w:rPr>
          <w:rFonts w:ascii="IRNazanin" w:hAnsi="IRNazanin" w:eastAsia="IRNazanin" w:cs="IRNazanin"/>
          <w:lang w:bidi="fa-IR"/>
          <w:color w:val="111111"/>
          <w:sz w:val="28"/>
          <w:szCs w:val="28"/>
          <w:rtl/>
        </w:rPr>
        <w:t xml:space="preserve">سم [ف: ۲۹/۱ -  62]</w:t>
      </w:r>
    </w:p>
    <w:p>
      <w:pPr>
        <w:pStyle w:val="BookText"/>
      </w:pPr>
      <w:r>
        <w:rPr>
          <w:rFonts w:ascii="IRNazanin" w:hAnsi="IRNazanin" w:eastAsia="IRNazanin" w:cs="IRNazanin"/>
          <w:lang w:bidi="fa-IR"/>
          <w:color w:val="111111"/>
          <w:sz w:val="28"/>
          <w:szCs w:val="28"/>
          <w:rtl/>
        </w:rPr>
        <w:t xml:space="preserve">۲۳۳. تهران؛ ملک؛ شماره نسخه: ۳۴۷۱/۷</w:t>
      </w:r>
    </w:p>
    <w:p>
      <w:pPr>
        <w:pStyle w:val="BookText"/>
      </w:pPr>
      <w:r>
        <w:rPr>
          <w:rFonts w:ascii="IRNazanin" w:hAnsi="IRNazanin" w:eastAsia="IRNazanin" w:cs="IRNazanin"/>
          <w:lang w:bidi="fa-IR"/>
          <w:color w:val="111111"/>
          <w:sz w:val="28"/>
          <w:szCs w:val="28"/>
          <w:rtl/>
        </w:rPr>
        <w:t xml:space="preserve">از اعشی و ابوسفیان ؛خط: نستعلیق، بی کا، تا با تاریخ ۲۸۸ق [ف: ۶ - ۴۵۵]</w:t>
      </w:r>
    </w:p>
    <w:p>
      <w:pPr>
        <w:pStyle w:val="BookText"/>
      </w:pPr>
      <w:r>
        <w:rPr>
          <w:rFonts w:ascii="IRNazanin" w:hAnsi="IRNazanin" w:eastAsia="IRNazanin" w:cs="IRNazanin"/>
          <w:lang w:bidi="fa-IR"/>
          <w:color w:val="111111"/>
          <w:sz w:val="28"/>
          <w:szCs w:val="28"/>
          <w:rtl/>
        </w:rPr>
        <w:t xml:space="preserve">۲۳۴. یزد؛ وزیری؛ شماره نسخه: ۲۷۷۹</w:t>
      </w:r>
    </w:p>
    <w:p>
      <w:pPr>
        <w:pStyle w:val="BookText"/>
      </w:pPr>
      <w:r>
        <w:rPr>
          <w:rFonts w:ascii="IRNazanin" w:hAnsi="IRNazanin" w:eastAsia="IRNazanin" w:cs="IRNazanin"/>
          <w:lang w:bidi="fa-IR"/>
          <w:color w:val="111111"/>
          <w:sz w:val="28"/>
          <w:szCs w:val="28"/>
          <w:rtl/>
        </w:rPr>
        <w:t xml:space="preserve">مشتمل است  بر اشعاری از شیخ علی، شیخ حسن محزومی،احمد نحوی، شیخ محمد السبعی، شیخ حسن ابو مجلی، سید احـمد ارض الريخى البحرانی، شیخ علی بن مقرب، مرتضى التوبلی البحرانی، شیخ حسن دمستانی و سید علی بن سید احمد الـجد حفصى البحراني؛ خط: نسخ، کا: علی بن حاج منصور بن حاج حسین بن علی بن صالح بحرانی شیعی اثنا عشری، تا: رجـب ۱۲۸۸ق؛ اهدایی حاج صدر ؛کاغذ: اصفهانی ،جلد: مقوایی با تیماج تریاکی، ۵۲گ، ۱۵ سطر (۱۰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4- 1424]</w:t>
      </w:r>
    </w:p>
    <w:p>
      <w:pPr>
        <w:pStyle w:val="BookText"/>
      </w:pPr>
      <w:r>
        <w:rPr>
          <w:rFonts w:ascii="IRNazanin" w:hAnsi="IRNazanin" w:eastAsia="IRNazanin" w:cs="IRNazanin"/>
          <w:lang w:bidi="fa-IR"/>
          <w:color w:val="111111"/>
          <w:sz w:val="28"/>
          <w:szCs w:val="28"/>
          <w:rtl/>
        </w:rPr>
        <w:t xml:space="preserve">۲۳۵. تهران؛ ملک؛ شماره نسخه: ۳۴۷۱/۱۵</w:t>
      </w:r>
    </w:p>
    <w:p>
      <w:pPr>
        <w:pStyle w:val="BookText"/>
      </w:pPr>
      <w:r>
        <w:rPr>
          <w:rFonts w:ascii="IRNazanin" w:hAnsi="IRNazanin" w:eastAsia="IRNazanin" w:cs="IRNazanin"/>
          <w:lang w:bidi="fa-IR"/>
          <w:color w:val="111111"/>
          <w:sz w:val="28"/>
          <w:szCs w:val="28"/>
          <w:rtl/>
        </w:rPr>
        <w:t xml:space="preserve">چند رجز از عربان پیش از اسلام و آغاز اسلام ؛خط: نستعلییق، بی کا، تا: با تاریخ ۱۲۸۸ق [ف: ۶ - ۴۵۵]</w:t>
      </w:r>
    </w:p>
    <w:p>
      <w:pPr>
        <w:pStyle w:val="BookText"/>
      </w:pPr>
      <w:r>
        <w:rPr>
          <w:rFonts w:ascii="IRNazanin" w:hAnsi="IRNazanin" w:eastAsia="IRNazanin" w:cs="IRNazanin"/>
          <w:lang w:bidi="fa-IR"/>
          <w:color w:val="111111"/>
          <w:sz w:val="28"/>
          <w:szCs w:val="28"/>
          <w:rtl/>
        </w:rPr>
        <w:t xml:space="preserve">۲۳۶. تهران؛ سلطنتی؛ شماره نسخه: ۲۳۰۱</w:t>
      </w:r>
    </w:p>
    <w:p>
      <w:pPr>
        <w:pStyle w:val="BookText"/>
      </w:pPr>
      <w:r>
        <w:rPr>
          <w:rFonts w:ascii="IRNazanin" w:hAnsi="IRNazanin" w:eastAsia="IRNazanin" w:cs="IRNazanin"/>
          <w:lang w:bidi="fa-IR"/>
          <w:color w:val="111111"/>
          <w:sz w:val="28"/>
          <w:szCs w:val="28"/>
          <w:rtl/>
        </w:rPr>
        <w:t xml:space="preserve">آغاز: قصیده شاهنشاه ناصر الدين ... من قلم الحقير الدمشقى اصـلا و الروسى وطنا جرجس ابراهیم مرقص مدرس العربيه فى مدرسه لازروف موسكو ربيع الاول سنه ۱۲۹۰ للهجريه الموافق لايار سنه ۱۸۷۳ مسیحیه ؛انجام: ندعو الى الله ان يبقى اتحادهما عهدا عـلی السلم بين الناس كلهم.</w:t>
      </w:r>
    </w:p>
    <w:p>
      <w:pPr>
        <w:pStyle w:val="BookText"/>
      </w:pPr>
      <w:r>
        <w:rPr>
          <w:rFonts w:ascii="IRNazanin" w:hAnsi="IRNazanin" w:eastAsia="IRNazanin" w:cs="IRNazanin"/>
          <w:lang w:bidi="fa-IR"/>
          <w:color w:val="111111"/>
          <w:sz w:val="28"/>
          <w:szCs w:val="28"/>
          <w:rtl/>
        </w:rPr>
        <w:t xml:space="preserve">اشعاری است به عربی که روی چهار قطعه چوب بخط نستعـلیق کتابت شده در مدح ناصر الدین شاه قاجار؛ خط: نستعلیق متوسـط، کا: ابراهیم مرقص، تا: ۱۲۹۰ق؛ کاغذ: چوب لبه  طلایی، جـلد: مقوای روکش مخمل  فرنگی، قطع: رقعی، اندازه: ۱۲/۷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۱۹/۹  سم[ ف: ۴ - ۹۷۰]</w:t>
      </w:r>
    </w:p>
    <w:p>
      <w:pPr>
        <w:pStyle w:val="BookText"/>
      </w:pPr>
      <w:r>
        <w:rPr>
          <w:rFonts w:ascii="IRNazanin" w:hAnsi="IRNazanin" w:eastAsia="IRNazanin" w:cs="IRNazanin"/>
          <w:lang w:bidi="fa-IR"/>
          <w:color w:val="111111"/>
          <w:sz w:val="28"/>
          <w:szCs w:val="28"/>
          <w:rtl/>
        </w:rPr>
        <w:t xml:space="preserve">۲۳۷. مشهد؛ رضوی؛ شماره نسخه: ۴۴۳۳</w:t>
      </w:r>
    </w:p>
    <w:p>
      <w:pPr>
        <w:pStyle w:val="BookText"/>
      </w:pPr>
      <w:r>
        <w:rPr>
          <w:rFonts w:ascii="IRNazanin" w:hAnsi="IRNazanin" w:eastAsia="IRNazanin" w:cs="IRNazanin"/>
          <w:lang w:bidi="fa-IR"/>
          <w:color w:val="111111"/>
          <w:sz w:val="28"/>
          <w:szCs w:val="28"/>
          <w:rtl/>
        </w:rPr>
        <w:t xml:space="preserve">آغاز: لا تامنن الذى النساء ولا تثق بعهودهن؛ انجام: ام الشر الـذی هو يبتغين.</w:t>
      </w:r>
    </w:p>
    <w:p>
      <w:pPr>
        <w:pStyle w:val="BookText"/>
      </w:pPr>
      <w:r>
        <w:rPr>
          <w:rFonts w:ascii="IRNazanin" w:hAnsi="IRNazanin" w:eastAsia="IRNazanin" w:cs="IRNazanin"/>
          <w:lang w:bidi="fa-IR"/>
          <w:color w:val="111111"/>
          <w:sz w:val="28"/>
          <w:szCs w:val="28"/>
          <w:rtl/>
        </w:rPr>
        <w:t xml:space="preserve">اشعار الف لليله و النهار است. استخراج کننده از خود نام نبرده است؛ خط: نسخ، بی کا ؛تا: شعبان ۱۲۹۰ق؛ واقف: نایینی؛ سفید فرنگی آهار مهره، جلد: تیماج زرد یک لا، ۱۸۱گ، 15سطر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 اندازه: 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۲۳/۵سم [ف: ۷ - ۲۰۰]</w:t>
      </w:r>
    </w:p>
    <w:p>
      <w:pPr>
        <w:pStyle w:val="BookText"/>
      </w:pPr>
      <w:r>
        <w:rPr>
          <w:rFonts w:ascii="IRNazanin" w:hAnsi="IRNazanin" w:eastAsia="IRNazanin" w:cs="IRNazanin"/>
          <w:lang w:bidi="fa-IR"/>
          <w:color w:val="111111"/>
          <w:sz w:val="28"/>
          <w:szCs w:val="28"/>
          <w:rtl/>
        </w:rPr>
        <w:t xml:space="preserve">۲۳۸. یزد؛ صدوقی یزدی؛ شماره نسخه: ۳۲</w:t>
      </w:r>
    </w:p>
    <w:p>
      <w:pPr>
        <w:pStyle w:val="BookText"/>
      </w:pPr>
      <w:r>
        <w:rPr>
          <w:rFonts w:ascii="IRNazanin" w:hAnsi="IRNazanin" w:eastAsia="IRNazanin" w:cs="IRNazanin"/>
          <w:lang w:bidi="fa-IR"/>
          <w:color w:val="111111"/>
          <w:sz w:val="28"/>
          <w:szCs w:val="28"/>
          <w:rtl/>
        </w:rPr>
        <w:t xml:space="preserve">در این مجموعه قصیده عینیه منسوب به حضرت امير المؤمنين (علیه السّلام) «لك الحمد يا ذا الجود والمجد والعلی» و قصیده برده و اشعار دیگری به صورت مرقع نوشته شده، در برگ های ۱۴۰-۱۴۲ العوامل المائة شیخ عبدالقاهر جرجانی به خط نستعلیق فیض و به تاریخ ۱۴ رجب ۱۲۸۱ نوشته؛ خط: ثلث زیبا ،كا: علی اکبر،  فیض (قمی)، تا: ۱۲۹۱ق؛ برای میرزا محمد علی؛در صفحه ماقبل آخر یک رباعی به خط محمد مدرس مطلق اصفهانی به تاریخ رمضان ۱۳۶۰؛ جلد: تیماج قهوه ای بدون مقوا، ۱۵۷گ، ۲ 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۲۴]</w:t>
      </w:r>
    </w:p>
    <w:p>
      <w:pPr>
        <w:pStyle w:val="BookText"/>
      </w:pPr>
      <w:r>
        <w:rPr>
          <w:rFonts w:ascii="IRNazanin" w:hAnsi="IRNazanin" w:eastAsia="IRNazanin" w:cs="IRNazanin"/>
          <w:lang w:bidi="fa-IR"/>
          <w:color w:val="111111"/>
          <w:sz w:val="28"/>
          <w:szCs w:val="28"/>
          <w:rtl/>
        </w:rPr>
        <w:t xml:space="preserve">قم؛ مرکز احیاء؛ شماره نسخه: ۱۸۹۴</w:t>
      </w:r>
    </w:p>
    <w:p>
      <w:pPr>
        <w:pStyle w:val="BookText"/>
      </w:pPr>
      <w:r>
        <w:rPr>
          <w:rFonts w:ascii="IRNazanin" w:hAnsi="IRNazanin" w:eastAsia="IRNazanin" w:cs="IRNazanin"/>
          <w:lang w:bidi="fa-IR"/>
          <w:color w:val="111111"/>
          <w:sz w:val="28"/>
          <w:szCs w:val="28"/>
          <w:rtl/>
        </w:rPr>
        <w:t xml:space="preserve">نسخه اصل: همان نسخه بالا [عکسی ف: ۵ - ۳۵۲]</w:t>
      </w:r>
    </w:p>
    <w:p>
      <w:pPr>
        <w:pStyle w:val="BookText"/>
      </w:pPr>
      <w:r>
        <w:rPr>
          <w:rFonts w:ascii="IRNazanin" w:hAnsi="IRNazanin" w:eastAsia="IRNazanin" w:cs="IRNazanin"/>
          <w:lang w:bidi="fa-IR"/>
          <w:color w:val="111111"/>
          <w:sz w:val="28"/>
          <w:szCs w:val="28"/>
          <w:rtl/>
        </w:rPr>
        <w:t xml:space="preserve">۲۳۹. قم؛ مرعشی؛ شماره نسخه: ۱۶۵۶</w:t>
      </w:r>
    </w:p>
    <w:p>
      <w:pPr>
        <w:pStyle w:val="BookText"/>
      </w:pPr>
      <w:r>
        <w:rPr>
          <w:rFonts w:ascii="Amiri" w:hAnsi="Amiri" w:eastAsia="Amiri" w:cs="Amiri"/>
          <w:lang w:bidi="ar-SA"/>
          <w:color w:val="111111"/>
          <w:sz w:val="28"/>
          <w:szCs w:val="28"/>
          <w:rtl/>
        </w:rPr>
        <w:t xml:space="preserve">آغاز: أشرقت في الدجى فلاح النهار *** و استنارت بنورها الاشجار / من سناها الشموس تشرق لما*** تتبدى و تنجلى الاقمار ؛انجام: و ما ادري اذا يممت أرضا *** اريد الخير أيهما يلين / هل الخير الذى انا ابتغيه ***ام الشر الذي هو يبتغين</w:t>
      </w:r>
    </w:p>
    <w:p>
      <w:pPr>
        <w:pStyle w:val="BookText"/>
      </w:pPr>
      <w:r>
        <w:rPr>
          <w:rFonts w:ascii="IRNazanin" w:hAnsi="IRNazanin" w:eastAsia="IRNazanin" w:cs="IRNazanin"/>
          <w:lang w:bidi="fa-IR"/>
          <w:color w:val="111111"/>
          <w:sz w:val="28"/>
          <w:szCs w:val="28"/>
          <w:rtl/>
        </w:rPr>
        <w:t xml:space="preserve">اشعار متفرقه و قصایدی است که بدون ترتیب در موضوعات مختلف گرد آورده شده؛ خط: نسخ، بی کا، تا: ربيع الاول ۱۲۹۱ق؛ روی برگ اول روایت سلسلة الذهب را جلال الدین بن مویدالدوله (شاید نویسنده جنگ نیز باشد) به تاریخ جمعه ۱۹شعبان ۱۲۸۸ نوشته؛جلد: تیماج قهوه ای بدون مقوا، ۲۰۲گ، مختلف السطر،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۱۷/۵سم [ف: ۵ - ۵۳]</w:t>
      </w:r>
    </w:p>
    <w:p>
      <w:pPr>
        <w:pStyle w:val="BookText"/>
      </w:pPr>
      <w:r>
        <w:rPr>
          <w:rFonts w:ascii="IRNazanin" w:hAnsi="IRNazanin" w:eastAsia="IRNazanin" w:cs="IRNazanin"/>
          <w:lang w:bidi="fa-IR"/>
          <w:color w:val="111111"/>
          <w:sz w:val="28"/>
          <w:szCs w:val="28"/>
          <w:rtl/>
        </w:rPr>
        <w:t xml:space="preserve">۲۴۰ . مشهد؛ رضوی؛ شماره نسخه: ۲۸۲۴۶</w:t>
      </w:r>
    </w:p>
    <w:p>
      <w:pPr>
        <w:pStyle w:val="BookText"/>
      </w:pPr>
      <w:r>
        <w:rPr>
          <w:rFonts w:ascii="IRNazanin" w:hAnsi="IRNazanin" w:eastAsia="IRNazanin" w:cs="IRNazanin"/>
          <w:lang w:bidi="fa-IR"/>
          <w:color w:val="111111"/>
          <w:sz w:val="28"/>
          <w:szCs w:val="28"/>
          <w:rtl/>
        </w:rPr>
        <w:t xml:space="preserve">آغاز: زلیخا آن ز پا افتاده *** عشق زلیخا آن خراب باده عشق؛</w:t>
      </w:r>
    </w:p>
    <w:p>
      <w:pPr>
        <w:pStyle w:val="BookText"/>
      </w:pPr>
      <w:r>
        <w:rPr>
          <w:rFonts w:ascii="IRNazanin" w:hAnsi="IRNazanin" w:eastAsia="IRNazanin" w:cs="IRNazanin"/>
          <w:lang w:bidi="fa-IR"/>
          <w:color w:val="111111"/>
          <w:sz w:val="28"/>
          <w:szCs w:val="28"/>
          <w:rtl/>
        </w:rPr>
        <w:t xml:space="preserve">انجام: گرجان خشکم بدو تر شود ***که زنگار گوهر به گوهر  شود.</w:t>
      </w:r>
    </w:p>
    <w:p>
      <w:pPr>
        <w:pStyle w:val="BookText"/>
      </w:pPr>
      <w:r>
        <w:rPr>
          <w:rFonts w:ascii="IRNazanin" w:hAnsi="IRNazanin" w:eastAsia="IRNazanin" w:cs="IRNazanin"/>
          <w:lang w:bidi="fa-IR"/>
          <w:color w:val="111111"/>
          <w:sz w:val="28"/>
          <w:szCs w:val="28"/>
          <w:rtl/>
        </w:rPr>
        <w:t xml:space="preserve">خط: نستعلیق، بی کا، تا: ۱۲۹۲ق [ رایانه]</w:t>
      </w:r>
    </w:p>
    <w:p>
      <w:pPr>
        <w:pStyle w:val="BookText"/>
      </w:pPr>
      <w:r>
        <w:rPr>
          <w:rFonts w:ascii="IRNazanin" w:hAnsi="IRNazanin" w:eastAsia="IRNazanin" w:cs="IRNazanin"/>
          <w:lang w:bidi="fa-IR"/>
          <w:color w:val="111111"/>
          <w:sz w:val="28"/>
          <w:szCs w:val="28"/>
          <w:rtl/>
        </w:rPr>
        <w:t xml:space="preserve">۲۴۱. تهران؛ ملی؛ شماره نسخه: ۳۲۶۴/۵</w:t>
      </w:r>
    </w:p>
    <w:p>
      <w:pPr>
        <w:pStyle w:val="BookText"/>
      </w:pPr>
      <w:r>
        <w:rPr>
          <w:rFonts w:ascii="Amiri" w:hAnsi="Amiri" w:eastAsia="Amiri" w:cs="Amiri"/>
          <w:lang w:bidi="ar-SA"/>
          <w:color w:val="111111"/>
          <w:sz w:val="28"/>
          <w:szCs w:val="28"/>
          <w:rtl/>
        </w:rPr>
        <w:t xml:space="preserve">آغاز: انت نارا بدتمن جانب الطور ***ام صار طرفك هذا طرف مسحور؛ انجام: حمدا لمن قاد عيسى نحو ساحتكم *** شكرا لمن حط في ذاك الفنا كورى</w:t>
      </w:r>
    </w:p>
    <w:p>
      <w:pPr>
        <w:pStyle w:val="BookText"/>
      </w:pPr>
      <w:r>
        <w:rPr>
          <w:rFonts w:ascii="IRNazanin" w:hAnsi="IRNazanin" w:eastAsia="IRNazanin" w:cs="IRNazanin"/>
          <w:lang w:bidi="fa-IR"/>
          <w:color w:val="111111"/>
          <w:sz w:val="28"/>
          <w:szCs w:val="28"/>
          <w:rtl/>
        </w:rPr>
        <w:t xml:space="preserve">قصیده ای به زبان عربی در ۳۵ بیت در ستایش خدا و بیان تجلی قدرت های الهی در جهان ؛خط: نسخ ،کا: محمد مومن بن ابی محمد میامی ،تا: ۱۲۹۳ق، جا: مشهد، مدرسه سمیعیه؛ کاغذ: فرنگی نخودی، جلد: تیماج تریاکی روشن مقوایی ضربی مجدول، ۱ ص( ۱۳۰-۱۳۱)، ۱۱ سطر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 ۱۵ - ۷۲]</w:t>
      </w:r>
    </w:p>
    <w:p>
      <w:pPr>
        <w:pStyle w:val="BookText"/>
      </w:pPr>
      <w:r>
        <w:rPr>
          <w:rFonts w:ascii="IRNazanin" w:hAnsi="IRNazanin" w:eastAsia="IRNazanin" w:cs="IRNazanin"/>
          <w:lang w:bidi="fa-IR"/>
          <w:color w:val="111111"/>
          <w:sz w:val="28"/>
          <w:szCs w:val="28"/>
          <w:rtl/>
        </w:rPr>
        <w:t xml:space="preserve">۲۴۲. تهران؛ ملی؛ شماره نسخه: ۱۶۹۱/۷</w:t>
      </w:r>
    </w:p>
    <w:p>
      <w:pPr>
        <w:pStyle w:val="BookText"/>
      </w:pPr>
      <w:r>
        <w:rPr>
          <w:rFonts w:ascii="IRNazanin" w:hAnsi="IRNazanin" w:eastAsia="IRNazanin" w:cs="IRNazanin"/>
          <w:lang w:bidi="fa-IR"/>
          <w:color w:val="111111"/>
          <w:sz w:val="28"/>
          <w:szCs w:val="28"/>
          <w:rtl/>
        </w:rPr>
        <w:t xml:space="preserve">در صفحه ۴۴۴ قصیده ای است با قافیه «عین»: «لام عمر و با للوی مربع»، در ۴۴۵ قصیده ای است به نام لامیه از ابن ابی الحدید در مدح مولانا امير المؤمنين به مطلع «الصبر لاعن فراقك يجمل»، در صفحه ۴۴۶ قصیده ای است ایضاء از ابن ابی الحدید به قافیه عین که مدح علی (علیه السّلام) می کند و ذکر امام حسین به مطلع: «یارسم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لارسمتك ریح زعزج»، در ۴۴۷ قصیده ای است به قافیه تاء از ابو الصلت هروی و قصیده در مدح ائمه به نقل از «کشف الغمة» و خوانده شده بر امام رضا به مطلع «تجاو بن بالازمان و الزفرات»،در ۴۴۹ قصیده ای است به قافیه راء به مطلع «تجاو بن بالازمان الزفرات»، در ۴۴۹ قصیده ای است به قافیه راء به مطلع «سرى البـرق من البرنجد فهيح تذکاری»؛ بی کا، تا: ۱۲۹۴ق؛ کاغذ: فرنگی ،جلد: مقوایی میشن تریاکی روشن با ترنج و نیم ترنج، ۱۰ص (432 تا ۴۴۲)، ۱۷ 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 اندازه:۱۷/۵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 ف : ۱۰ - 277]</w:t>
      </w:r>
    </w:p>
    <w:p>
      <w:pPr>
        <w:pStyle w:val="BookText"/>
      </w:pPr>
      <w:r>
        <w:rPr>
          <w:rFonts w:ascii="IRNazanin" w:hAnsi="IRNazanin" w:eastAsia="IRNazanin" w:cs="IRNazanin"/>
          <w:lang w:bidi="fa-IR"/>
          <w:color w:val="111111"/>
          <w:sz w:val="28"/>
          <w:szCs w:val="28"/>
          <w:rtl/>
        </w:rPr>
        <w:t xml:space="preserve">۲۴۳. تهران؛ ملی؛ شماره نسخه: ۱۳۵۶</w:t>
      </w:r>
    </w:p>
    <w:p>
      <w:pPr>
        <w:pStyle w:val="BookText"/>
      </w:pPr>
      <w:r>
        <w:rPr>
          <w:rFonts w:ascii="IRNazanin" w:hAnsi="IRNazanin" w:eastAsia="IRNazanin" w:cs="IRNazanin"/>
          <w:lang w:bidi="fa-IR"/>
          <w:color w:val="111111"/>
          <w:sz w:val="28"/>
          <w:szCs w:val="28"/>
          <w:rtl/>
        </w:rPr>
        <w:t xml:space="preserve">آغاز: لمن الشمس فى قباب قباها *** شف جسم الدجى بروج ضیاها؛ انجام: عليهم اللعن ما دار السماء و جرى *** عليهم  اللـعن  ماكر الجديدان قصائد زیر مندرج است: ۱- قصیده ای به مطلع: «لمن الشمس فی قباب قباها *** شف جسم  الدجی بروج ضیاها»، 2-قصیده ای به مطلع: «محمد اشرف الاعراب و العجم*** محمد خير من يمشی على قدم»،3 - قصیده ای به مطلع: «هذا هو المختار و البدر الـذی *** كل البدور خضعن تحت هلاله»، ۴- قصیده ای به مطلع:«یا نفس نلت المنى فاستبشر وسلی *** هذا الحبيب و هذا سید الرسل» ،۵- قصیده ای به مطلع: «محمد العربي الهاشمي رسول*** اله خير البرايا شافع الامم»، ۶- اشعار مختلف در مدح حضر رسول و ائمه اطهار ،7- قصیده ای به مطلع :«الحق مهتضم والد مخترم***  و فى ال رسول  الله مقتسم»، ۸- قصیده ای به مطلع: «علیک سلام له يا خيرة الورى»،9 - قصیده ای به مطلع: «طریدک لا ينجو طعینك لا يبرى *** من لى بعاصف شمال يبلغنى ***الی العزى فيلقينی و ینسانی»؛ خط: نسخ و نستعليق، كا: فيض الله دربندی،تا: ۱۲۹۷ق؛ کاغذ: الوان، جلد: تیماج تریاکی روشن لایی، ۵۱گ، ۱۰ سطر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۱۶)،اندازه: ۱۷/۵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۹ -350]</w:t>
      </w:r>
    </w:p>
    <w:p>
      <w:pPr>
        <w:pStyle w:val="BookText"/>
      </w:pPr>
      <w:r>
        <w:rPr>
          <w:rFonts w:ascii="IRNazanin" w:hAnsi="IRNazanin" w:eastAsia="IRNazanin" w:cs="IRNazanin"/>
          <w:lang w:bidi="fa-IR"/>
          <w:color w:val="111111"/>
          <w:sz w:val="28"/>
          <w:szCs w:val="28"/>
          <w:rtl/>
        </w:rPr>
        <w:t xml:space="preserve">۲۴۴. تهران؛ ملک؛ شماره نسخه: ۲۵۳۴/۲۰</w:t>
      </w:r>
    </w:p>
    <w:p>
      <w:pPr>
        <w:pStyle w:val="BookText"/>
      </w:pPr>
      <w:r>
        <w:rPr>
          <w:rFonts w:ascii="IRNazanin" w:hAnsi="IRNazanin" w:eastAsia="IRNazanin" w:cs="IRNazanin"/>
          <w:lang w:bidi="fa-IR"/>
          <w:color w:val="111111"/>
          <w:sz w:val="28"/>
          <w:szCs w:val="28"/>
          <w:rtl/>
        </w:rPr>
        <w:t xml:space="preserve">پراکنده هایی از اشعار ابن معتز و عباس بن  اخنف، سلامی زمخشری، صفی الدین و دیگران؛ خط: شکسته نستعلیق، بی کا، قرن ۱۴؛ ۶گ ( ۹۰پ - ۹۶ر) [ف: ۶ - ۳۸]</w:t>
      </w:r>
    </w:p>
    <w:p>
      <w:pPr>
        <w:pStyle w:val="BookText"/>
      </w:pPr>
      <w:r>
        <w:rPr>
          <w:rFonts w:ascii="IRNazanin" w:hAnsi="IRNazanin" w:eastAsia="IRNazanin" w:cs="IRNazanin"/>
          <w:lang w:bidi="fa-IR"/>
          <w:color w:val="111111"/>
          <w:sz w:val="28"/>
          <w:szCs w:val="28"/>
          <w:rtl/>
        </w:rPr>
        <w:t xml:space="preserve">۲۴۵. تهران؛ مجلس؛ شماره نسخه: ۴۸۰۷/۴</w:t>
      </w:r>
    </w:p>
    <w:p>
      <w:pPr>
        <w:pStyle w:val="BookText"/>
      </w:pPr>
      <w:r>
        <w:rPr>
          <w:rFonts w:ascii="IRNazanin" w:hAnsi="IRNazanin" w:eastAsia="IRNazanin" w:cs="IRNazanin"/>
          <w:lang w:bidi="fa-IR"/>
          <w:color w:val="111111"/>
          <w:sz w:val="28"/>
          <w:szCs w:val="28"/>
          <w:rtl/>
        </w:rPr>
        <w:t xml:space="preserve">از حارث بن  عباد، ابی  نواس، قصیده منتسب به ابی بکر ابن هشـام، طرفة بن عبيده خويلد بن خالد عنترة بن شداد، امر ألقيس بن خفاف، حميد بن ثور الهلالی، در وصف گرگ، عامر بن طفیـل، سلامة بن جندل قيس بن زهير، ابو صخر عبدالله بن مسلم اصمعی ذو الرمة ،خط: نسخ و نستعلیق، بی کا، تا: قرن ۱۳-۱۴؛ با شـرح اشعار به عربی :کاغذ ،فرنگی ،جلد: تازه، ۴۸ ص (۱۷۷-۲۵)  ، اندازه: ۲۶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۱۳ - ۲۱۷]</w:t>
      </w:r>
    </w:p>
    <w:p>
      <w:pPr>
        <w:pStyle w:val="BookText"/>
      </w:pPr>
      <w:r>
        <w:rPr>
          <w:rFonts w:ascii="IRNazanin" w:hAnsi="IRNazanin" w:eastAsia="IRNazanin" w:cs="IRNazanin"/>
          <w:lang w:bidi="fa-IR"/>
          <w:color w:val="111111"/>
          <w:sz w:val="28"/>
          <w:szCs w:val="28"/>
          <w:rtl/>
        </w:rPr>
        <w:t xml:space="preserve">۲۴۶. تهران؛ مفتاح؛ شماره نسخه: ۶۱۴/۵</w:t>
      </w:r>
    </w:p>
    <w:p>
      <w:pPr>
        <w:pStyle w:val="BookText"/>
      </w:pPr>
      <w:r>
        <w:rPr>
          <w:rFonts w:ascii="IRNazanin" w:hAnsi="IRNazanin" w:eastAsia="IRNazanin" w:cs="IRNazanin"/>
          <w:lang w:bidi="fa-IR"/>
          <w:color w:val="111111"/>
          <w:sz w:val="28"/>
          <w:szCs w:val="28"/>
          <w:rtl/>
        </w:rPr>
        <w:t xml:space="preserve">قصیده ای دارای صنعت عکس است؛ خط: نستعلیق، بی کا، تا: قرن ۱۴ ؛قطع: ربعی [ نشریه: ۷ - ۲۴۹]</w:t>
      </w:r>
    </w:p>
    <w:p>
      <w:pPr>
        <w:pStyle w:val="BookText"/>
      </w:pPr>
      <w:r>
        <w:rPr>
          <w:rFonts w:ascii="IRNazanin" w:hAnsi="IRNazanin" w:eastAsia="IRNazanin" w:cs="IRNazanin"/>
          <w:lang w:bidi="fa-IR"/>
          <w:color w:val="111111"/>
          <w:sz w:val="28"/>
          <w:szCs w:val="28"/>
          <w:rtl/>
        </w:rPr>
        <w:t xml:space="preserve">۲۴۷ . مشهد؛ رضوی؛ شماره نسخه: ۷۸۴۵</w:t>
      </w:r>
    </w:p>
    <w:p>
      <w:pPr>
        <w:pStyle w:val="BookText"/>
      </w:pPr>
      <w:r>
        <w:rPr>
          <w:rFonts w:ascii="Amiri" w:hAnsi="Amiri" w:eastAsia="Amiri" w:cs="Amiri"/>
          <w:lang w:bidi="ar-SA"/>
          <w:color w:val="111111"/>
          <w:sz w:val="28"/>
          <w:szCs w:val="28"/>
          <w:rtl/>
        </w:rPr>
        <w:t xml:space="preserve">آغاز: هذه قصائد في مدح الحجة عجل الله تعالى فرجه، القصيدة الاول رديف الالف. بسمله. قددنت طلعة انوار الهدى ***تخجل الانجم و البدر الدجى؛ انجام: لائذ بالعروة الوثقى الذى *** استضاء منه سيناء الغرى</w:t>
      </w:r>
    </w:p>
    <w:p>
      <w:pPr>
        <w:pStyle w:val="BookText"/>
      </w:pPr>
      <w:r>
        <w:rPr>
          <w:rFonts w:ascii="IRNazanin" w:hAnsi="IRNazanin" w:eastAsia="IRNazanin" w:cs="IRNazanin"/>
          <w:lang w:bidi="fa-IR"/>
          <w:color w:val="111111"/>
          <w:sz w:val="28"/>
          <w:szCs w:val="28"/>
          <w:rtl/>
        </w:rPr>
        <w:t xml:space="preserve">بیست و هشت قصیده است به ردیف الفباء از شاعری هاشمی تخلص در مدح امام دوازدهم (علیه السّلام)؛ خط: نسخ، بی کا، تا: اوایل قرن ۱۴؛ با بعضی تصحیحات به خطی دیگر؛ کاغذ: سفید فرنگی آهار مهره ،جلد: مقوایی، ۳۷گ، مختلف السطر، اندازه: ۱۶/۷</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۲۳سم [ف: ۷ - ۶۵۹]</w:t>
      </w:r>
    </w:p>
    <w:p>
      <w:pPr>
        <w:pStyle w:val="BookText"/>
      </w:pPr>
      <w:r>
        <w:rPr>
          <w:rFonts w:ascii="IRNazanin" w:hAnsi="IRNazanin" w:eastAsia="IRNazanin" w:cs="IRNazanin"/>
          <w:lang w:bidi="fa-IR"/>
          <w:color w:val="111111"/>
          <w:sz w:val="28"/>
          <w:szCs w:val="28"/>
          <w:rtl/>
        </w:rPr>
        <w:t xml:space="preserve">۲۴۸. کرمانشاه؛ مدرسه آیة الله بروجردی؛ شماره نسخه: ۴۳</w:t>
      </w:r>
    </w:p>
    <w:p>
      <w:pPr>
        <w:pStyle w:val="BookText"/>
      </w:pPr>
      <w:r>
        <w:rPr>
          <w:rFonts w:ascii="IRNazanin" w:hAnsi="IRNazanin" w:eastAsia="IRNazanin" w:cs="IRNazanin"/>
          <w:lang w:bidi="fa-IR"/>
          <w:color w:val="111111"/>
          <w:sz w:val="28"/>
          <w:szCs w:val="28"/>
          <w:rtl/>
        </w:rPr>
        <w:t xml:space="preserve">آغاز: اشرقت من الدجى فلاح النهار *** وانارت من فوقها الاشجار / من سناها الشموس تشرق لما *** تتجلى و تبدو تخجل الاقمار</w:t>
      </w:r>
    </w:p>
    <w:p>
      <w:pPr>
        <w:pStyle w:val="BookText"/>
      </w:pPr>
      <w:r>
        <w:rPr>
          <w:rFonts w:ascii="IRNazanin" w:hAnsi="IRNazanin" w:eastAsia="IRNazanin" w:cs="IRNazanin"/>
          <w:lang w:bidi="fa-IR"/>
          <w:color w:val="111111"/>
          <w:sz w:val="28"/>
          <w:szCs w:val="28"/>
          <w:rtl/>
        </w:rPr>
        <w:t xml:space="preserve">در این مجموعه چهار هزار و نهصد بیت (بنابر یادداشتی در پایان نسخه) از اشعار متفرقه شاعران عرب انتخاب شده و بدون تنظیم مخصوص آورده شده است؛ خط: نسخ زیبا معرب، بی کا، تا: قرن ۱۴، جلد: تیماج قهوه ای ۲۸۸گ، ۱۱ سطر،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۳۷]</w:t>
      </w:r>
    </w:p>
    <w:p>
      <w:pPr>
        <w:pStyle w:val="BookText"/>
      </w:pPr>
      <w:r>
        <w:rPr>
          <w:rFonts w:ascii="IRNazanin" w:hAnsi="IRNazanin" w:eastAsia="IRNazanin" w:cs="IRNazanin"/>
          <w:lang w:bidi="fa-IR"/>
          <w:color w:val="111111"/>
          <w:sz w:val="28"/>
          <w:szCs w:val="28"/>
          <w:rtl/>
        </w:rPr>
        <w:t xml:space="preserve">۲۴۹. مشهد؛ رضوی؛ شماره نسخه: ۴۵۰۱</w:t>
      </w:r>
    </w:p>
    <w:p>
      <w:pPr>
        <w:pStyle w:val="BookText"/>
      </w:pPr>
      <w:r>
        <w:rPr>
          <w:rFonts w:ascii="Amiri" w:hAnsi="Amiri" w:eastAsia="Amiri" w:cs="Amiri"/>
          <w:lang w:bidi="ar-SA"/>
          <w:color w:val="111111"/>
          <w:sz w:val="28"/>
          <w:szCs w:val="28"/>
          <w:rtl/>
        </w:rPr>
        <w:t xml:space="preserve">آغاز: اشرقت في الدجى فلاح النهار؛ انجام: و موسى الذي رباه فرعون مرسل.</w:t>
      </w:r>
    </w:p>
    <w:p>
      <w:pPr>
        <w:pStyle w:val="BookText"/>
      </w:pPr>
      <w:r>
        <w:rPr>
          <w:rFonts w:ascii="IRNazanin" w:hAnsi="IRNazanin" w:eastAsia="IRNazanin" w:cs="IRNazanin"/>
          <w:lang w:bidi="fa-IR"/>
          <w:color w:val="111111"/>
          <w:sz w:val="28"/>
          <w:szCs w:val="28"/>
          <w:rtl/>
        </w:rPr>
        <w:t xml:space="preserve">منتخباتی است از اشعار عربی و جامع آن معلوم نیست؛ خط: نسخ و نستعلیق، بی کا، تا: اوایل قرن ۱۴؛ واقف: نایینی؛ کاغذ: سفید فرنگی آهار مهره ،جلد: چرمی قهوه ای، ۲۸۳گ، مختلف السطر، اندازه: ۱۶/۵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۷ - ۲۸۰]</w:t>
      </w:r>
    </w:p>
    <w:p>
      <w:pPr>
        <w:pStyle w:val="BookText"/>
      </w:pPr>
      <w:r>
        <w:rPr>
          <w:rFonts w:ascii="IRNazanin" w:hAnsi="IRNazanin" w:eastAsia="IRNazanin" w:cs="IRNazanin"/>
          <w:lang w:bidi="fa-IR"/>
          <w:color w:val="111111"/>
          <w:sz w:val="28"/>
          <w:szCs w:val="28"/>
          <w:rtl/>
        </w:rPr>
        <w:t xml:space="preserve">۲۵۰ . قم؛ مرکز احیاء؛ شماره نسخه: ۳۵۸۹</w:t>
      </w:r>
    </w:p>
    <w:p>
      <w:pPr>
        <w:pStyle w:val="BookText"/>
      </w:pPr>
      <w:r>
        <w:rPr>
          <w:rFonts w:ascii="IRNazanin" w:hAnsi="IRNazanin" w:eastAsia="IRNazanin" w:cs="IRNazanin"/>
          <w:lang w:bidi="fa-IR"/>
          <w:color w:val="111111"/>
          <w:sz w:val="28"/>
          <w:szCs w:val="28"/>
          <w:rtl/>
        </w:rPr>
        <w:t xml:space="preserve">آغاز: قال الله تعالى و اما بنعمة ربك فحدث اعلم أخي وفقني الله و ایاک و اهلک اعدائی و اعداک؛ انجام: الوفرة هى الشعرة الى شحمة الأذن ويقال للحسن بن على ذو الوفرة</w:t>
      </w:r>
    </w:p>
    <w:p>
      <w:pPr>
        <w:pStyle w:val="BookText"/>
      </w:pPr>
      <w:r>
        <w:rPr>
          <w:rFonts w:ascii="IRNazanin" w:hAnsi="IRNazanin" w:eastAsia="IRNazanin" w:cs="IRNazanin"/>
          <w:lang w:bidi="fa-IR"/>
          <w:color w:val="111111"/>
          <w:sz w:val="28"/>
          <w:szCs w:val="28"/>
          <w:rtl/>
        </w:rPr>
        <w:t xml:space="preserve">قصاید و مخمسات متفرقه ای است از شعرای عرب در مدح ورثاء ائمه (علیهم السّلام) مشتمل بر قصیده هائیه  ازری، تخمیس آن از شیخ جابر و تخمیس دیگری از ملا عباس زیوری، قصیده شیخ حسین نجف و آن از زیوری زورائی و تخمیس علی از هری، و قصاید و اشعار متفرقه دیگر؛ خط: نسخ، بی کا، تا: قرن ۱۴؛ افتادگی: انجام؛ مصحح، در چند برگ آخر خطبه محمد بن حنفیه در صفین با توضیح مفردات آن آمده، ظاهراً مجموعه به خط ملا عباس زیوری زورائی است چرا که در برگ اول آمده «امانت حاجی ملا عباس زیوری»؛ جلد: تیماج قرمز بدون مقوا، ۲۴۱گ، مختلف السطر،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[محدث ارموی مخ: ۱ - ۵۱۵]</w:t>
      </w:r>
    </w:p>
    <w:p>
      <w:pPr>
        <w:pStyle w:val="BookText"/>
      </w:pPr>
      <w:r>
        <w:rPr>
          <w:rFonts w:ascii="IRNazanin" w:hAnsi="IRNazanin" w:eastAsia="IRNazanin" w:cs="IRNazanin"/>
          <w:lang w:bidi="fa-IR"/>
          <w:color w:val="111111"/>
          <w:sz w:val="28"/>
          <w:szCs w:val="28"/>
          <w:rtl/>
        </w:rPr>
        <w:t xml:space="preserve">۲۵۱ تهران؛ مجلس؛ شماره نسخه: ۱۱۶۹۵</w:t>
      </w:r>
    </w:p>
    <w:p>
      <w:pPr>
        <w:pStyle w:val="BookText"/>
      </w:pPr>
      <w:r>
        <w:rPr>
          <w:rFonts w:ascii="IRNazanin" w:hAnsi="IRNazanin" w:eastAsia="IRNazanin" w:cs="IRNazanin"/>
          <w:lang w:bidi="fa-IR"/>
          <w:color w:val="111111"/>
          <w:sz w:val="28"/>
          <w:szCs w:val="28"/>
          <w:rtl/>
        </w:rPr>
        <w:t xml:space="preserve">مجموعه ای از قصاید در مدح و مراثی از سید صالح قزوینی (- ۱۳۰۴ق)، حاج علی کمونه، شیخ احمد (آل) صاحب جواهر (- ۱۳۰۲ق)؛ خطک نسخ، بی کا، تا: قرن ۱۴؛ کاغذ: خط دار صنعتی، ۱۰گ، ۱۶ سطر، اندازه:۸/۵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۱۷/۵سم [ف: ۳۴ - ۴۵]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۲۵۲. تهران؛ مجلس؛ شماره نسخه: ۸۹۶۸/۷۱</w:t>
      </w:r>
    </w:p>
    <w:p>
      <w:pPr>
        <w:pStyle w:val="BookText"/>
      </w:pPr>
      <w:r>
        <w:rPr>
          <w:rFonts w:ascii="IRNazanin" w:hAnsi="IRNazanin" w:eastAsia="IRNazanin" w:cs="IRNazanin"/>
          <w:lang w:bidi="fa-IR"/>
          <w:color w:val="111111"/>
          <w:sz w:val="28"/>
          <w:szCs w:val="28"/>
          <w:rtl/>
        </w:rPr>
        <w:t xml:space="preserve">از مجنون عامری ،لیلی، ابن رشیق و حریری؛ خط: نستعلیق وشکسته، بی کا، تا: اوایل قرن ۱۴؛ کاغذ: فرنگی نخودی و فستقی،جلد:چرم قهوه ای ضربی با ترنج منقش به گل و مرغ، ۱ ص (۵۰۰) ،اندازه: ۱۲/۶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۲۱/۸سم [ف: ۲۹/۱۸ - ۴۹۹]</w:t>
      </w:r>
    </w:p>
    <w:p>
      <w:pPr>
        <w:pStyle w:val="BookText"/>
      </w:pPr>
      <w:r>
        <w:rPr>
          <w:rFonts w:ascii="IRNazanin" w:hAnsi="IRNazanin" w:eastAsia="IRNazanin" w:cs="IRNazanin"/>
          <w:lang w:bidi="fa-IR"/>
          <w:color w:val="111111"/>
          <w:sz w:val="28"/>
          <w:szCs w:val="28"/>
          <w:rtl/>
        </w:rPr>
        <w:t xml:space="preserve">۲۵۳. مشهد؛ رضوی؛ شماره نسخه: ۱۹۲۶۶</w:t>
      </w:r>
    </w:p>
    <w:p>
      <w:pPr>
        <w:pStyle w:val="BookText"/>
      </w:pPr>
      <w:r>
        <w:rPr>
          <w:rFonts w:ascii="IRNazanin" w:hAnsi="IRNazanin" w:eastAsia="IRNazanin" w:cs="IRNazanin"/>
          <w:lang w:bidi="fa-IR"/>
          <w:color w:val="111111"/>
          <w:sz w:val="28"/>
          <w:szCs w:val="28"/>
          <w:rtl/>
        </w:rPr>
        <w:t xml:space="preserve">آغاز: بسمله قفا ... من ذكرى من ذكرى حبيب و منزل؛ انجام: میرزا حسـین الطالقانى فى شهر جمادى الاولى سنه ۱۳۰۰</w:t>
      </w:r>
    </w:p>
    <w:p>
      <w:pPr>
        <w:pStyle w:val="BookText"/>
      </w:pPr>
      <w:r>
        <w:rPr>
          <w:rFonts w:ascii="IRNazanin" w:hAnsi="IRNazanin" w:eastAsia="IRNazanin" w:cs="IRNazanin"/>
          <w:lang w:bidi="fa-IR"/>
          <w:color w:val="111111"/>
          <w:sz w:val="28"/>
          <w:szCs w:val="28"/>
          <w:rtl/>
        </w:rPr>
        <w:t xml:space="preserve">قصاید؛ خط: نستعلیق، کا ،طالقانی ،حسین، تا: ۱۳۰۰ق ؛جلد: مـقوا [رایانه ]</w:t>
      </w:r>
    </w:p>
    <w:p>
      <w:pPr>
        <w:pStyle w:val="BookText"/>
      </w:pPr>
      <w:r>
        <w:rPr>
          <w:rFonts w:ascii="IRNazanin" w:hAnsi="IRNazanin" w:eastAsia="IRNazanin" w:cs="IRNazanin"/>
          <w:lang w:bidi="fa-IR"/>
          <w:color w:val="111111"/>
          <w:sz w:val="28"/>
          <w:szCs w:val="28"/>
          <w:rtl/>
        </w:rPr>
        <w:t xml:space="preserve">۲۵۴. تهران؛ ملی؛ شماره نسخه: ۴۶۴۵/۱</w:t>
      </w:r>
    </w:p>
    <w:p>
      <w:pPr>
        <w:pStyle w:val="BookText"/>
      </w:pPr>
      <w:r>
        <w:rPr>
          <w:rFonts w:ascii="Amiri" w:hAnsi="Amiri" w:eastAsia="Amiri" w:cs="Amiri"/>
          <w:lang w:bidi="ar-SA"/>
          <w:color w:val="111111"/>
          <w:sz w:val="28"/>
          <w:szCs w:val="28"/>
          <w:rtl/>
        </w:rPr>
        <w:t xml:space="preserve">آغاز: بانت سعاد فقلبى اليوم متبول *** متيم اثر هالم يفد مكبول؛</w:t>
      </w:r>
    </w:p>
    <w:p>
      <w:pPr>
        <w:pStyle w:val="BookText"/>
      </w:pPr>
      <w:r>
        <w:rPr>
          <w:rFonts w:ascii="Amiri" w:hAnsi="Amiri" w:eastAsia="Amiri" w:cs="Amiri"/>
          <w:lang w:bidi="ar-SA"/>
          <w:color w:val="111111"/>
          <w:sz w:val="28"/>
          <w:szCs w:val="28"/>
          <w:rtl/>
        </w:rPr>
        <w:t xml:space="preserve">انجام: تمنعنا الجمع و الخلومعا *** و انما ذاك حكم منفصلة.</w:t>
      </w:r>
    </w:p>
    <w:p>
      <w:pPr>
        <w:pStyle w:val="BookText"/>
      </w:pPr>
      <w:r>
        <w:rPr>
          <w:rFonts w:ascii="IRNazanin" w:hAnsi="IRNazanin" w:eastAsia="IRNazanin" w:cs="IRNazanin"/>
          <w:lang w:bidi="fa-IR"/>
          <w:color w:val="111111"/>
          <w:sz w:val="28"/>
          <w:szCs w:val="28"/>
          <w:rtl/>
        </w:rPr>
        <w:t xml:space="preserve">مجموعه ای از قصاید عربی از جمله قصیده بانت سعاد از کعب بن زهیر بن ابی سلمی، قصیده ای از متنبی، قصیده ای از ابن المعـتز، قصیده ای از شیخ بهائی و ابیات دیگر؛ خط: نسخ، کا: عبدالمطلب کاشانی، تا: ۱۳۰۴ق؛ مهر تملک: عبدالمطلب کاشانی به تاریخ ۱۲۶۵؛ کاغذ: فرنگی نخودی، جلد: تیماج قهوه ای روشن مقوایی ضربی، ۴ ص ،(۶-۲) ۲۳ سطر ،(7</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،اندازه: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19- 303]</w:t>
      </w:r>
    </w:p>
    <w:p>
      <w:pPr>
        <w:pStyle w:val="BookText"/>
      </w:pPr>
      <w:r>
        <w:rPr>
          <w:rFonts w:ascii="IRNazanin" w:hAnsi="IRNazanin" w:eastAsia="IRNazanin" w:cs="IRNazanin"/>
          <w:lang w:bidi="fa-IR"/>
          <w:color w:val="111111"/>
          <w:sz w:val="28"/>
          <w:szCs w:val="28"/>
          <w:rtl/>
        </w:rPr>
        <w:t xml:space="preserve">۲۵۵. تهران؛ مجلس؛ شماره نسخه: ۱۱۲۷/۱۳</w:t>
      </w:r>
    </w:p>
    <w:p>
      <w:pPr>
        <w:pStyle w:val="BookText"/>
      </w:pPr>
      <w:r>
        <w:rPr>
          <w:rFonts w:ascii="IRNazanin" w:hAnsi="IRNazanin" w:eastAsia="IRNazanin" w:cs="IRNazanin"/>
          <w:lang w:bidi="fa-IR"/>
          <w:color w:val="111111"/>
          <w:sz w:val="28"/>
          <w:szCs w:val="28"/>
          <w:rtl/>
        </w:rPr>
        <w:t xml:space="preserve">خط: نستعلیق، بی کا، تا: دوشنبه ۱۴ ربیع الاول ۱۳۱۴ق؛ كاغذ: الوان، جلد: مشما و مقوایی، ۳گ (۳۱۴-۳۱۶) ابعاد متن: 7</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[سنا: ف: ۲ - ۱۲۵]</w:t>
      </w:r>
    </w:p>
    <w:p>
      <w:pPr>
        <w:pStyle w:val="BookText"/>
      </w:pPr>
      <w:r>
        <w:rPr>
          <w:rFonts w:ascii="Amiri" w:hAnsi="Amiri" w:eastAsia="Amiri" w:cs="Amiri"/>
          <w:lang w:bidi="ar-SA"/>
          <w:color w:val="111111"/>
          <w:sz w:val="28"/>
          <w:szCs w:val="28"/>
          <w:rtl/>
        </w:rPr>
        <w:t xml:space="preserve">۲۵۶. تهران؛ دائرة المعارف؛ شماره نسخه: ۵۶۱/۸</w:t>
      </w:r>
    </w:p>
    <w:p>
      <w:pPr>
        <w:pStyle w:val="BookText"/>
      </w:pPr>
      <w:r>
        <w:rPr>
          <w:rFonts w:ascii="IRNazanin" w:hAnsi="IRNazanin" w:eastAsia="IRNazanin" w:cs="IRNazanin"/>
          <w:lang w:bidi="fa-IR"/>
          <w:color w:val="111111"/>
          <w:sz w:val="28"/>
          <w:szCs w:val="28"/>
          <w:rtl/>
        </w:rPr>
        <w:t xml:space="preserve">آغاز: فيا ايها الانسان كن متذكراً *** فانت الذي سميت جرمک اصغراً / و فيك انطوا كون الكبير و اضمرا *** و شاهد استجليت نفسك ما ترى</w:t>
      </w:r>
    </w:p>
    <w:p>
      <w:pPr>
        <w:pStyle w:val="BookText"/>
      </w:pPr>
      <w:r>
        <w:rPr>
          <w:rFonts w:ascii="IRNazanin" w:hAnsi="IRNazanin" w:eastAsia="IRNazanin" w:cs="IRNazanin"/>
          <w:lang w:bidi="fa-IR"/>
          <w:color w:val="111111"/>
          <w:sz w:val="28"/>
          <w:szCs w:val="28"/>
          <w:rtl/>
        </w:rPr>
        <w:t xml:space="preserve">مخمس؛ خط: شکسته نستعلیق و ثلث، بی کا، تا: ۱۳۱۵ق؛ کاغذ: نخودی آهار مهره، جلد: مقوایی تیماج زیتونی، ۸گ (گ ۴۵پ- ۵۳ر)، ۱۴-۱۲ 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۲ - ۶۸]</w:t>
      </w:r>
    </w:p>
    <w:p>
      <w:pPr>
        <w:pStyle w:val="BookText"/>
      </w:pPr>
      <w:r>
        <w:rPr>
          <w:rFonts w:ascii="IRNazanin" w:hAnsi="IRNazanin" w:eastAsia="IRNazanin" w:cs="IRNazanin"/>
          <w:lang w:bidi="fa-IR"/>
          <w:color w:val="111111"/>
          <w:sz w:val="28"/>
          <w:szCs w:val="28"/>
          <w:rtl/>
        </w:rPr>
        <w:t xml:space="preserve">۲۵۷ . قم؛ گلپایگانی؛ شماره نسخه: ۷۲/۲-۱/۷۲</w:t>
      </w:r>
    </w:p>
    <w:p>
      <w:pPr>
        <w:pStyle w:val="BookText"/>
      </w:pPr>
      <w:r>
        <w:rPr>
          <w:rFonts w:ascii="IRNazanin" w:hAnsi="IRNazanin" w:eastAsia="IRNazanin" w:cs="IRNazanin"/>
          <w:lang w:bidi="fa-IR"/>
          <w:color w:val="111111"/>
          <w:sz w:val="28"/>
          <w:szCs w:val="28"/>
          <w:rtl/>
        </w:rPr>
        <w:t xml:space="preserve">آغاز: حبست بجفنى المدامع لاتجرى *** فلما طغى الماء استطال على السكر / نسیم صبا بغداد بعد خرابها *** تمنيت لو كانت تمر على قبری؛ انجام: و تصغیر خد الاغنياء بسؤلهم *** جروحً و يؤتك و لو یؤتک لين المراهم. حدر في شهر المحرم سنة ١٣١٩.</w:t>
      </w:r>
    </w:p>
    <w:p>
      <w:pPr>
        <w:pStyle w:val="BookText"/>
      </w:pPr>
      <w:r>
        <w:rPr>
          <w:rFonts w:ascii="IRNazanin" w:hAnsi="IRNazanin" w:eastAsia="IRNazanin" w:cs="IRNazanin"/>
          <w:lang w:bidi="fa-IR"/>
          <w:color w:val="111111"/>
          <w:sz w:val="28"/>
          <w:szCs w:val="28"/>
          <w:rtl/>
        </w:rPr>
        <w:t xml:space="preserve">قصیده عربی و سه رباعی و دو تک بیت است، در آغازقصیده اول ثبت است: «قد وقع الشيخ فى زمان استولى فيه اعداء الدین على اهله و قتلوا خليفته و صلحائه و مشايخه وعلمائه و هتکوا المحارم و اسروا الرجال و النساء الى غير ذلك وهذه القصـیدة مشتملة على مرثية هذه الواقعة»، قصيده دوم در موعظه و تأسف، قصیده سوم در مدح نورالدین بن صیاد، قصیده چهارم در مـدح فخرالدین صاحب الديوان، قصیده پنجم در اشتیاق و. ...؛ خط:</w:t>
      </w:r>
    </w:p>
    <w:p>
      <w:pPr>
        <w:pStyle w:val="BookText"/>
      </w:pPr>
      <w:r>
        <w:rPr>
          <w:rFonts w:ascii="IRNazanin" w:hAnsi="IRNazanin" w:eastAsia="IRNazanin" w:cs="IRNazanin"/>
          <w:lang w:bidi="fa-IR"/>
          <w:color w:val="111111"/>
          <w:sz w:val="28"/>
          <w:szCs w:val="28"/>
          <w:rtl/>
        </w:rPr>
        <w:t xml:space="preserve">نسخ معرب، بی کا، تا: محرم ۱۳۱۹ق؛ افتادگی: آغاز؛ اکثر لغات به فارسی در حاشیه ترجمه شده؛ ۱۴گ، ۱۳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۲۳سم [ف: ۶ - ۳۱۹۹]</w:t>
      </w:r>
    </w:p>
    <w:p>
      <w:pPr>
        <w:pStyle w:val="BookText"/>
      </w:pPr>
      <w:r>
        <w:rPr>
          <w:rFonts w:ascii="IRNazanin" w:hAnsi="IRNazanin" w:eastAsia="IRNazanin" w:cs="IRNazanin"/>
          <w:lang w:bidi="fa-IR"/>
          <w:color w:val="111111"/>
          <w:sz w:val="28"/>
          <w:szCs w:val="28"/>
          <w:rtl/>
        </w:rPr>
        <w:t xml:space="preserve">۲۵۸. مشهد؛ رضوی؛ شماره نسخه: ۱۳۳۰۲</w:t>
      </w:r>
    </w:p>
    <w:p>
      <w:pPr>
        <w:pStyle w:val="BookText"/>
      </w:pPr>
      <w:r>
        <w:rPr>
          <w:rFonts w:ascii="IRNazanin" w:hAnsi="IRNazanin" w:eastAsia="IRNazanin" w:cs="IRNazanin"/>
          <w:lang w:bidi="fa-IR"/>
          <w:color w:val="111111"/>
          <w:sz w:val="28"/>
          <w:szCs w:val="28"/>
          <w:rtl/>
        </w:rPr>
        <w:t xml:space="preserve">آغاز: بسمله هی تماضر بنت عمرو بن الحرث؛ انجام: تعطيهم لم يعرفوا التاميلا</w:t>
      </w:r>
    </w:p>
    <w:p>
      <w:pPr>
        <w:pStyle w:val="BookText"/>
      </w:pPr>
      <w:r>
        <w:rPr>
          <w:rFonts w:ascii="IRNazanin" w:hAnsi="IRNazanin" w:eastAsia="IRNazanin" w:cs="IRNazanin"/>
          <w:lang w:bidi="fa-IR"/>
          <w:color w:val="111111"/>
          <w:sz w:val="28"/>
          <w:szCs w:val="28"/>
          <w:rtl/>
        </w:rPr>
        <w:t xml:space="preserve">اشعاری خنساء، تماضر بنت عمرو، الكميت بن زید؛ خط: نسخ و نستعلیق، كا: فضل الله بن داوود بدایع نگار، تا: ۱۳۳۲ق [الفبائی: ۵۱]</w:t>
      </w:r>
    </w:p>
    <w:p>
      <w:pPr>
        <w:pStyle w:val="BookText"/>
      </w:pPr>
      <w:r>
        <w:rPr>
          <w:rFonts w:ascii="IRNazanin" w:hAnsi="IRNazanin" w:eastAsia="IRNazanin" w:cs="IRNazanin"/>
          <w:lang w:bidi="fa-IR"/>
          <w:color w:val="111111"/>
          <w:sz w:val="28"/>
          <w:szCs w:val="28"/>
          <w:rtl/>
        </w:rPr>
        <w:t xml:space="preserve">۲۵۹. قم؛ مرعشی؛ شماره نسخه: ۵۸۸۱</w:t>
      </w:r>
    </w:p>
    <w:p>
      <w:pPr>
        <w:pStyle w:val="BookText"/>
      </w:pPr>
      <w:r>
        <w:rPr>
          <w:rFonts w:ascii="IRNazanin" w:hAnsi="IRNazanin" w:eastAsia="IRNazanin" w:cs="IRNazanin"/>
          <w:lang w:bidi="fa-IR"/>
          <w:color w:val="111111"/>
          <w:sz w:val="28"/>
          <w:szCs w:val="28"/>
          <w:rtl/>
        </w:rPr>
        <w:t xml:space="preserve">آغاز: و یا واهب الملك العظيم لنجله *** سليمان حتى طاعة الطيرفى الهوى / و يا منجياً ذا النون من نونه و قد *** دعاك ببطن الحوت يا سامع الدعا</w:t>
      </w:r>
    </w:p>
    <w:p>
      <w:pPr>
        <w:pStyle w:val="BookText"/>
      </w:pPr>
      <w:r>
        <w:rPr>
          <w:rFonts w:ascii="IRNazanin" w:hAnsi="IRNazanin" w:eastAsia="IRNazanin" w:cs="IRNazanin"/>
          <w:lang w:bidi="fa-IR"/>
          <w:color w:val="111111"/>
          <w:sz w:val="28"/>
          <w:szCs w:val="28"/>
          <w:rtl/>
        </w:rPr>
        <w:t xml:space="preserve">تا صفحه ۳۷ از این مجموعه دیوان یکی از شاعران قرن ۱۱ می باشد که نام پدرش سید خلف و یکی از قصیده ها را سال ۱۰۶۸ سروده است، چند قصیده و مخمس در پایان دیوان مذکور افزوده شده از سید محمد بن مهدی قزوینی حلی و شیخ محمد تقی بن اسدالله کاظمی و شیخ صالح تمیمی و شیخ ابراهیم بن يحيى عاملی و سید نصرالله حسینی حائری؛ خط: نسخ، کا: عبدالرزاق بن شیخ محمد بن طاهر سماوی، تا: ۳ ذیحجه ۱۳۳۴ق؛ افتادگی: آغاز؛ جلد: مقوایی عطف تیماج قهوه ای، ۳۲گ، مختلف السطر، اندازه: ۱۹/۵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۱۳/۵سم [ف : ۱۵ - ۲۶۲]</w:t>
      </w:r>
    </w:p>
    <w:p>
      <w:pPr>
        <w:pStyle w:val="BookText"/>
      </w:pPr>
      <w:r>
        <w:rPr>
          <w:rFonts w:ascii="IRNazanin" w:hAnsi="IRNazanin" w:eastAsia="IRNazanin" w:cs="IRNazanin"/>
          <w:lang w:bidi="fa-IR"/>
          <w:color w:val="111111"/>
          <w:sz w:val="28"/>
          <w:szCs w:val="28"/>
          <w:rtl/>
        </w:rPr>
        <w:t xml:space="preserve">۲۶۰. قم؛ فیضیه؛ شماره نسخه: ۱۳۵۶/۴</w:t>
      </w:r>
    </w:p>
    <w:p>
      <w:pPr>
        <w:pStyle w:val="BookText"/>
      </w:pPr>
      <w:r>
        <w:rPr>
          <w:rFonts w:ascii="Amiri" w:hAnsi="Amiri" w:eastAsia="Amiri" w:cs="Amiri"/>
          <w:lang w:bidi="ar-SA"/>
          <w:color w:val="111111"/>
          <w:sz w:val="28"/>
          <w:szCs w:val="28"/>
          <w:rtl/>
        </w:rPr>
        <w:t xml:space="preserve">آغاز: الا ان خير الخلق بعد محمد *** على و هذا بين بالادلة</w:t>
      </w:r>
    </w:p>
    <w:p>
      <w:pPr>
        <w:pStyle w:val="BookText"/>
      </w:pPr>
      <w:r>
        <w:rPr>
          <w:rFonts w:ascii="IRNazanin" w:hAnsi="IRNazanin" w:eastAsia="IRNazanin" w:cs="IRNazanin"/>
          <w:lang w:bidi="fa-IR"/>
          <w:color w:val="111111"/>
          <w:sz w:val="28"/>
          <w:szCs w:val="28"/>
          <w:rtl/>
        </w:rPr>
        <w:t xml:space="preserve">قصیده تائیه شیخ حسین نجف در مدح علی (علیه السّلام) است؛ خط: نستعلیق، بی کا، تا: ۱۲۶۳ - ۱۲۶۴ق؛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۳ - ۸۵]</w:t>
      </w:r>
    </w:p>
    <w:p>
      <w:pPr>
        <w:pStyle w:val="BookText"/>
      </w:pPr>
      <w:r>
        <w:rPr>
          <w:rFonts w:ascii="IRNazanin" w:hAnsi="IRNazanin" w:eastAsia="IRNazanin" w:cs="IRNazanin"/>
          <w:lang w:bidi="fa-IR"/>
          <w:color w:val="111111"/>
          <w:sz w:val="28"/>
          <w:szCs w:val="28"/>
          <w:rtl/>
        </w:rPr>
        <w:t xml:space="preserve">۲۶۱. قم؛ مرعشی؛ شماره نسخه: ۱۰۰۴۶/۳</w:t>
      </w:r>
    </w:p>
    <w:p>
      <w:pPr>
        <w:pStyle w:val="BookText"/>
      </w:pPr>
      <w:r>
        <w:rPr>
          <w:rFonts w:ascii="IRNazanin" w:hAnsi="IRNazanin" w:eastAsia="IRNazanin" w:cs="IRNazanin"/>
          <w:lang w:bidi="fa-IR"/>
          <w:color w:val="111111"/>
          <w:sz w:val="28"/>
          <w:szCs w:val="28"/>
          <w:rtl/>
        </w:rPr>
        <w:t xml:space="preserve">قصيده؛ خط: نسخ، بی کا، تا: یک شنبه ۱۸ ربیع الاول ۱۳۹۸ق؛ قطع: جیبی [میراث شهاب: س۸ش ۲ - ۱۷] [</w:t>
      </w:r>
    </w:p>
    <w:p>
      <w:pPr>
        <w:pStyle w:val="BookText"/>
      </w:pPr>
      <w:r>
        <w:rPr>
          <w:rFonts w:ascii="IRNazanin" w:hAnsi="IRNazanin" w:eastAsia="IRNazanin" w:cs="IRNazanin"/>
          <w:lang w:bidi="fa-IR"/>
          <w:color w:val="111111"/>
          <w:sz w:val="28"/>
          <w:szCs w:val="28"/>
          <w:rtl/>
        </w:rPr>
        <w:t xml:space="preserve">۲۶۲. قم؛ گلپایگانی؛ شماره نسخه: ۲۹۴۶-۱۵/۱۸۶</w:t>
      </w:r>
    </w:p>
    <w:p>
      <w:pPr>
        <w:pStyle w:val="BookText"/>
      </w:pPr>
      <w:r>
        <w:rPr>
          <w:rFonts w:ascii="Amiri" w:hAnsi="Amiri" w:eastAsia="Amiri" w:cs="Amiri"/>
          <w:lang w:bidi="ar-SA"/>
          <w:color w:val="111111"/>
          <w:sz w:val="28"/>
          <w:szCs w:val="28"/>
          <w:rtl/>
        </w:rPr>
        <w:t xml:space="preserve">آغاز: قد طالع كالبدر في فوق السماء *** او كشمس في الضحى / من بروج الخيمة واستجلى جلاء واصطفى *** فى ثراء  الكــــــربلاء؛ انجام: اختفى ذاكر ولن يظهر في عين عيان *** طرو القوم جميعا بسهام وطعان</w:t>
      </w:r>
    </w:p>
    <w:p>
      <w:pPr>
        <w:pStyle w:val="BookText"/>
      </w:pPr>
      <w:r>
        <w:rPr>
          <w:rFonts w:ascii="IRNazanin" w:hAnsi="IRNazanin" w:eastAsia="IRNazanin" w:cs="IRNazanin"/>
          <w:lang w:bidi="fa-IR"/>
          <w:color w:val="111111"/>
          <w:sz w:val="28"/>
          <w:szCs w:val="28"/>
          <w:rtl/>
        </w:rPr>
        <w:t xml:space="preserve">مراثی منظومی است به عربی درباره عزاداری و نوحه سرایی برای مجالس امام حسین (علیه السّلام)، این رساله دفترچه یادداشت یکی از نوحه خوانان عرب بوده؛ خط تحریری، بی کا، بی تا، ۲۳گ  ، مختلف السطر چلیپایی،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۷ – ۴۲۶۷]</w:t>
      </w:r>
    </w:p>
    <w:p>
      <w:pPr>
        <w:pStyle w:val="BookText"/>
      </w:pPr>
      <w:r>
        <w:rPr>
          <w:rFonts w:ascii="IRNazanin" w:hAnsi="IRNazanin" w:eastAsia="IRNazanin" w:cs="IRNazanin"/>
          <w:lang w:bidi="fa-IR"/>
          <w:color w:val="111111"/>
          <w:sz w:val="28"/>
          <w:szCs w:val="28"/>
          <w:rtl/>
        </w:rPr>
        <w:t xml:space="preserve">۲۶۳. قم؛ طبسی؛ شماره نسخه: ۷۲۰</w:t>
      </w:r>
    </w:p>
    <w:p>
      <w:pPr>
        <w:pStyle w:val="BookText"/>
      </w:pPr>
      <w:r>
        <w:rPr>
          <w:rFonts w:ascii="IRNazanin" w:hAnsi="IRNazanin" w:eastAsia="IRNazanin" w:cs="IRNazanin"/>
          <w:lang w:bidi="fa-IR"/>
          <w:color w:val="111111"/>
          <w:sz w:val="28"/>
          <w:szCs w:val="28"/>
          <w:rtl/>
        </w:rPr>
        <w:t xml:space="preserve">آغاز: شلون یا حیدر تنام على الحجر *** واشتفت منك قلوب اهل الكفر / تشوف احسين مرضوض الصدر *** و تنظر العباس مقطوع الچفوف؛انجام: تبچی الشمالين النبى و اصحابه *** و الارض ضجت بالبچا لمصابه</w:t>
      </w:r>
    </w:p>
    <w:p>
      <w:pPr>
        <w:pStyle w:val="BookText"/>
      </w:pPr>
      <w:r>
        <w:rPr>
          <w:rFonts w:ascii="IRNazanin" w:hAnsi="IRNazanin" w:eastAsia="IRNazanin" w:cs="IRNazanin"/>
          <w:lang w:bidi="fa-IR"/>
          <w:color w:val="111111"/>
          <w:sz w:val="28"/>
          <w:szCs w:val="28"/>
          <w:rtl/>
        </w:rPr>
        <w:t xml:space="preserve">اشعاری که به زبان عربی محلی عراقی ها در مجالس عزای امام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حسین (علیه السّلام) می خوانند؛ خط: نسخ، بی کا، تا: قرن ۱۳ و14؛ افتادگی: آغاز؛ جلد: تیماج قهوه ای ضربی مجدول، ۵۳گ، 13 سطر، اندازه: 9</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[ف مخ: ۱-۸۲]</w:t>
      </w:r>
    </w:p>
    <w:p>
      <w:pPr>
        <w:pStyle w:val="BookText"/>
      </w:pPr>
      <w:r>
        <w:rPr>
          <w:rFonts w:ascii="IRNazanin" w:hAnsi="IRNazanin" w:eastAsia="IRNazanin" w:cs="IRNazanin"/>
          <w:lang w:bidi="fa-IR"/>
          <w:color w:val="111111"/>
          <w:sz w:val="28"/>
          <w:szCs w:val="28"/>
          <w:rtl/>
        </w:rPr>
        <w:t xml:space="preserve">۲۶۴ .قم؛ مسجد اعظم؛ شماره نسخه: ۵۵۸/۷</w:t>
      </w:r>
    </w:p>
    <w:p>
      <w:pPr>
        <w:pStyle w:val="BookText"/>
      </w:pPr>
      <w:r>
        <w:rPr>
          <w:rFonts w:ascii="IRNazanin" w:hAnsi="IRNazanin" w:eastAsia="IRNazanin" w:cs="IRNazanin"/>
          <w:lang w:bidi="fa-IR"/>
          <w:color w:val="111111"/>
          <w:sz w:val="28"/>
          <w:szCs w:val="28"/>
          <w:rtl/>
        </w:rPr>
        <w:t xml:space="preserve">آغاز: على كتب العلوم صرفت مالك *** وفى تصحيحها اتعـبت بالک / وانفقت البياض مع السواد *** على ما ليس ينفع في المعاد؛ انجام: علی رضی بھی ولی صفی وفی سخى على- خذالثا من تجدله ثمانيه احوال فاضربها فى خمسة الاف و اربعين تكـون اربعين الفا وثلثمائة و عشرين بيتا و الله اعلم</w:t>
      </w:r>
    </w:p>
    <w:p>
      <w:pPr>
        <w:pStyle w:val="BookText"/>
      </w:pPr>
      <w:r>
        <w:rPr>
          <w:rFonts w:ascii="IRNazanin" w:hAnsi="IRNazanin" w:eastAsia="IRNazanin" w:cs="IRNazanin"/>
          <w:lang w:bidi="fa-IR"/>
          <w:color w:val="111111"/>
          <w:sz w:val="28"/>
          <w:szCs w:val="28"/>
          <w:rtl/>
        </w:rPr>
        <w:t xml:space="preserve">چند مثنوی در اشاره به صرف عمر در جمع کتاب و تدریس و چند دوبیتی از شیخ بهایی در پایان چند بیت (چهار بیت) از شـهید اول را با شرح آن آورده است؛ خط: نسخ، بی کا، بی تا؛ درحاشیه حار برخی از کتب شیخ بهایی احصاء شده؛ جلد: گالینگور سـبز، عطف تیماج  زرشکی، ۴گ، ۱۶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مخ: 1- 156]</w:t>
      </w:r>
    </w:p>
    <w:p>
      <w:pPr>
        <w:pStyle w:val="BookText"/>
      </w:pPr>
      <w:r>
        <w:rPr>
          <w:rFonts w:ascii="IRNazanin" w:hAnsi="IRNazanin" w:eastAsia="IRNazanin" w:cs="IRNazanin"/>
          <w:lang w:bidi="fa-IR"/>
          <w:color w:val="111111"/>
          <w:sz w:val="28"/>
          <w:szCs w:val="28"/>
          <w:rtl/>
        </w:rPr>
        <w:t xml:space="preserve">۲۶۵ . مشهد؛ گوهر شاد؛ شماره نسخه: ۸۱۴/۲</w:t>
      </w:r>
    </w:p>
    <w:p>
      <w:pPr>
        <w:pStyle w:val="BookText"/>
      </w:pPr>
      <w:r>
        <w:rPr>
          <w:rFonts w:ascii="IRNazanin" w:hAnsi="IRNazanin" w:eastAsia="IRNazanin" w:cs="IRNazanin"/>
          <w:lang w:bidi="fa-IR"/>
          <w:color w:val="111111"/>
          <w:sz w:val="28"/>
          <w:szCs w:val="28"/>
          <w:rtl/>
        </w:rPr>
        <w:t xml:space="preserve">قصیده جبرئیل است، از این قطعه تنها سه بیت آن به جای مانده و بقیه کسر است با مطلع: «شبیهک بدر الليل بل انت انور ***و وجهك من ماء الملاحة تقطر»؛ خط: نسخ معرب، بی کا، بی تا؛ افتادگی: انجام؛ مهر: حاج سید سعید؛ کاغذ: الوان، جلد: نارنجی عطف میشن عنابی، ۱گ، ۸ 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۱۹/۵سم [ف: ۳ - ۱۱۰۷  ]</w:t>
      </w:r>
    </w:p>
    <w:p>
      <w:pPr>
        <w:pStyle w:val="BookText"/>
      </w:pPr>
      <w:r>
        <w:rPr>
          <w:rFonts w:ascii="IRNazanin" w:hAnsi="IRNazanin" w:eastAsia="IRNazanin" w:cs="IRNazanin"/>
          <w:lang w:bidi="fa-IR"/>
          <w:color w:val="111111"/>
          <w:sz w:val="28"/>
          <w:szCs w:val="28"/>
          <w:rtl/>
        </w:rPr>
        <w:t xml:space="preserve">۲۶۶ . خوی؛ نمازی؛ شماره نسخه: ۵۴۶/۱۰</w:t>
      </w:r>
    </w:p>
    <w:p>
      <w:pPr>
        <w:pStyle w:val="BookText"/>
      </w:pPr>
      <w:r>
        <w:rPr>
          <w:rFonts w:ascii="IRNazanin" w:hAnsi="IRNazanin" w:eastAsia="IRNazanin" w:cs="IRNazanin"/>
          <w:lang w:bidi="fa-IR"/>
          <w:color w:val="111111"/>
          <w:sz w:val="28"/>
          <w:szCs w:val="28"/>
          <w:rtl/>
        </w:rPr>
        <w:t xml:space="preserve">رباعی در کیمیا و شرح آن، رباعی: «خذ الفرار و الطلقا *** بشـیء يشبه الرقا / اذا مزجته سحقاً *** ملك الغرب والشرقا»؛ خط: نسـخ، بی کا، بی تا؛ جلد: تیماج سرخ ضربی با ترنج با سر مجدول، 23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۲۸۴]</w:t>
      </w:r>
    </w:p>
    <w:p>
      <w:pPr>
        <w:pStyle w:val="BookText"/>
      </w:pPr>
      <w:r>
        <w:rPr>
          <w:rFonts w:ascii="IRNazanin" w:hAnsi="IRNazanin" w:eastAsia="IRNazanin" w:cs="IRNazanin"/>
          <w:lang w:bidi="fa-IR"/>
          <w:color w:val="111111"/>
          <w:sz w:val="28"/>
          <w:szCs w:val="28"/>
          <w:rtl/>
        </w:rPr>
        <w:t xml:space="preserve">۲۶۷ . مشهد؛ الهیات؛ شماره نسخه: ۲۴/۱۲</w:t>
      </w:r>
    </w:p>
    <w:p>
      <w:pPr>
        <w:pStyle w:val="BookText"/>
      </w:pPr>
      <w:r>
        <w:rPr>
          <w:rFonts w:ascii="IRNazanin" w:hAnsi="IRNazanin" w:eastAsia="IRNazanin" w:cs="IRNazanin"/>
          <w:lang w:bidi="fa-IR"/>
          <w:color w:val="111111"/>
          <w:sz w:val="28"/>
          <w:szCs w:val="28"/>
          <w:rtl/>
        </w:rPr>
        <w:t xml:space="preserve">قصیده ای از منخل بن مسعود بن افلت بن عمرو بن كعب؛ خـط: نسخ، بی کا، بی تا ؛جلد: تیماج خرمایی، ۱۲ سطر( 8/5</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۱ - ۴۹۳]</w:t>
      </w:r>
    </w:p>
    <w:p>
      <w:pPr>
        <w:pStyle w:val="BookText"/>
      </w:pPr>
      <w:r>
        <w:rPr>
          <w:rFonts w:ascii="IRNazanin" w:hAnsi="IRNazanin" w:eastAsia="IRNazanin" w:cs="IRNazanin"/>
          <w:lang w:bidi="fa-IR"/>
          <w:color w:val="111111"/>
          <w:sz w:val="28"/>
          <w:szCs w:val="28"/>
          <w:rtl/>
        </w:rPr>
        <w:t xml:space="preserve">۲۶۸ . مشهد؛ الهیات؛ شماره نسخه: ۲۴/۱۳</w:t>
      </w:r>
    </w:p>
    <w:p>
      <w:pPr>
        <w:pStyle w:val="BookText"/>
      </w:pPr>
      <w:r>
        <w:rPr>
          <w:rFonts w:ascii="IRNazanin" w:hAnsi="IRNazanin" w:eastAsia="IRNazanin" w:cs="IRNazanin"/>
          <w:lang w:bidi="fa-IR"/>
          <w:color w:val="111111"/>
          <w:sz w:val="28"/>
          <w:szCs w:val="28"/>
          <w:rtl/>
        </w:rPr>
        <w:t xml:space="preserve">قصیده ای از صاحب الديوان علاء الدین محمد جوینی؛ خـط: نسخ، بی کا، بی تا ؛جلد: تیماج  خرمایی، ۱۲ سطر( 8/5</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۱ - ۴۹۳]</w:t>
      </w:r>
    </w:p>
    <w:p>
      <w:pPr>
        <w:pStyle w:val="BookText"/>
      </w:pPr>
      <w:r>
        <w:rPr>
          <w:rFonts w:ascii="IRNazanin" w:hAnsi="IRNazanin" w:eastAsia="IRNazanin" w:cs="IRNazanin"/>
          <w:lang w:bidi="fa-IR"/>
          <w:color w:val="111111"/>
          <w:sz w:val="28"/>
          <w:szCs w:val="28"/>
          <w:rtl/>
        </w:rPr>
        <w:t xml:space="preserve">۲۶۹. مشهد؛ الهیات؛ شماره نسخه: ۶۹۴/۷۶</w:t>
      </w:r>
    </w:p>
    <w:p>
      <w:pPr>
        <w:pStyle w:val="BookText"/>
      </w:pPr>
      <w:r>
        <w:rPr>
          <w:rFonts w:ascii="Amiri" w:hAnsi="Amiri" w:eastAsia="Amiri" w:cs="Amiri"/>
          <w:lang w:bidi="ar-SA"/>
          <w:color w:val="111111"/>
          <w:sz w:val="28"/>
          <w:szCs w:val="28"/>
          <w:rtl/>
        </w:rPr>
        <w:t xml:space="preserve">آغاز: يا عليا قد على اعلى العلى *** نهت نور البلد في بيد البلا؛</w:t>
      </w:r>
    </w:p>
    <w:p>
      <w:pPr>
        <w:pStyle w:val="BookText"/>
      </w:pPr>
      <w:r>
        <w:rPr>
          <w:rFonts w:ascii="IRNazanin" w:hAnsi="IRNazanin" w:eastAsia="IRNazanin" w:cs="IRNazanin"/>
          <w:lang w:bidi="fa-IR"/>
          <w:color w:val="111111"/>
          <w:sz w:val="28"/>
          <w:szCs w:val="28"/>
          <w:rtl/>
        </w:rPr>
        <w:t xml:space="preserve">قصیده در مدح حضرت علی (علیه السّلام)؛ خط: نسخ و نستعلیق، بی کا، بی تا؛ کاغذ: فرنگی و فستقی ،جلد: تیماج عنابی، ۴ص، اندازه: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۲۲/۵سم [ف: ۱- (۵۴۹]</w:t>
      </w:r>
    </w:p>
    <w:p>
      <w:pPr>
        <w:pStyle w:val="BookText"/>
      </w:pPr>
      <w:r>
        <w:rPr>
          <w:rFonts w:ascii="IRNazanin" w:hAnsi="IRNazanin" w:eastAsia="IRNazanin" w:cs="IRNazanin"/>
          <w:lang w:bidi="fa-IR"/>
          <w:color w:val="111111"/>
          <w:sz w:val="28"/>
          <w:szCs w:val="28"/>
          <w:rtl/>
        </w:rPr>
        <w:t xml:space="preserve">۲۷۰. قم؛ گلپایگانی؛ شماره :نسخه: ۸۸۹۳/۴-۵۹/۱۱۳</w:t>
      </w:r>
    </w:p>
    <w:p>
      <w:pPr>
        <w:pStyle w:val="BookText"/>
      </w:pPr>
      <w:r>
        <w:rPr>
          <w:rFonts w:ascii="IRNazanin" w:hAnsi="IRNazanin" w:eastAsia="IRNazanin" w:cs="IRNazanin"/>
          <w:lang w:bidi="fa-IR"/>
          <w:color w:val="111111"/>
          <w:sz w:val="28"/>
          <w:szCs w:val="28"/>
          <w:rtl/>
        </w:rPr>
        <w:t xml:space="preserve">آغاز: هذه قصة قميص النبى صلى الله عليه وسلم، فيا شوقنا نـحو النبي محمدا شفیعی و ذخرى في القيامة احمدا</w:t>
      </w:r>
    </w:p>
    <w:p>
      <w:pPr>
        <w:pStyle w:val="BookText"/>
      </w:pPr>
      <w:r>
        <w:rPr>
          <w:rFonts w:ascii="IRNazanin" w:hAnsi="IRNazanin" w:eastAsia="IRNazanin" w:cs="IRNazanin"/>
          <w:lang w:bidi="fa-IR"/>
          <w:color w:val="111111"/>
          <w:sz w:val="28"/>
          <w:szCs w:val="28"/>
          <w:rtl/>
        </w:rPr>
        <w:t xml:space="preserve">قصيده قصة قميص النبی (صلّی اللَّهِ علیه وَ آلِهِ وَ سَلَّمَ ) قصیده ای است که شاعر در مـدح  و توسل به حضرت پیامبر (صلّی اللَّهِ علیه وَ آلِهِ وَ سَلَّمَ ) سروده، موضوع این قصیده درباره پیراهنی است که حضرت پیامبر (صلّی اللَّهِ علیه وَ آلِهِ وَ سَلَّمَ ) به سائل بخشیده و او نیز قصد فروش آن را در بازار می کند تا این که یکی از مسلمانان آن پیراهن را با قیمت هزار دینار از سائل خریداری و پس از آن پیراهن را به حضرت پیامبر (صلّی اللَّهِ علیه وَ آلِهِ وَ سَلَّمَ ) بر می گرداند؛ خط: نسخ، بی کا، بی تا؛ افتادگی: انجام؛ ۷ص (۶۲-۶۸)، ۹ 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۶ - ۳۲۲۲  ]</w:t>
      </w:r>
    </w:p>
    <w:p>
      <w:pPr>
        <w:pStyle w:val="BookText"/>
      </w:pPr>
      <w:r>
        <w:rPr>
          <w:rFonts w:ascii="IRNazanin" w:hAnsi="IRNazanin" w:eastAsia="IRNazanin" w:cs="IRNazanin"/>
          <w:lang w:bidi="fa-IR"/>
          <w:color w:val="111111"/>
          <w:sz w:val="28"/>
          <w:szCs w:val="28"/>
          <w:rtl/>
        </w:rPr>
        <w:t xml:space="preserve">۲۷۱ .قم؛ مرعشی؛ شماره نسخه: ۹۵۳</w:t>
      </w:r>
    </w:p>
    <w:p>
      <w:pPr>
        <w:pStyle w:val="BookText"/>
      </w:pPr>
      <w:r>
        <w:rPr>
          <w:rFonts w:ascii="Amiri" w:hAnsi="Amiri" w:eastAsia="Amiri" w:cs="Amiri"/>
          <w:lang w:bidi="ar-SA"/>
          <w:color w:val="111111"/>
          <w:sz w:val="28"/>
          <w:szCs w:val="28"/>
          <w:rtl/>
        </w:rPr>
        <w:t xml:space="preserve">آغاز: حرف الالف: اترك هاهنا الصهباء نقداً *** لما وعدوه من لبن و خمر/ فموت ثم قبر ثم حشر *** حديث خرافة يا ام عمرو؛ انجام: لما رأيت الحب نام بمضربه *** ناديته سحراً وقلت له انتبه *** يا فرحة الندمان بالجلساء</w:t>
      </w:r>
    </w:p>
    <w:p>
      <w:pPr>
        <w:pStyle w:val="BookText"/>
      </w:pPr>
      <w:r>
        <w:rPr>
          <w:rFonts w:ascii="IRNazanin" w:hAnsi="IRNazanin" w:eastAsia="IRNazanin" w:cs="IRNazanin"/>
          <w:lang w:bidi="fa-IR"/>
          <w:color w:val="111111"/>
          <w:sz w:val="28"/>
          <w:szCs w:val="28"/>
          <w:rtl/>
        </w:rPr>
        <w:t xml:space="preserve">در این جنگ قطعات و قصایدی از اشعار عرب به ترتیب حروف گرد آورده شده، حرف اول بیت اول قطعه یا قصیده ملحوظ است، نام شعرا ذکر نمی شود و گاهی اشعاری به زبان عربی محلی نیز می آورد؛ خط: نسخ شبیه به رقعی، بی کا، بی تا؛ تملک: قبلان بن عبدالله کرامه در طنطا مصر به تاریخ ۱۸۷۵ میلادی مطابق با ۲۳ ذیقعده ۱۲۹۲؛ جلد: تیماج مشکی،۱۵۱گ، مختلف السطر،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۳ - ۱۴۳]</w:t>
      </w:r>
    </w:p>
    <w:p>
      <w:pPr>
        <w:pStyle w:val="BookText"/>
      </w:pPr>
      <w:r>
        <w:rPr>
          <w:rFonts w:ascii="IRNazanin" w:hAnsi="IRNazanin" w:eastAsia="IRNazanin" w:cs="IRNazanin"/>
          <w:lang w:bidi="fa-IR"/>
          <w:color w:val="111111"/>
          <w:sz w:val="28"/>
          <w:szCs w:val="28"/>
          <w:rtl/>
        </w:rPr>
        <w:t xml:space="preserve">۲۷۲ . قم؛ فیضیه؛ شماره نسخه: ۱۵۷۰/۵</w:t>
      </w:r>
    </w:p>
    <w:p>
      <w:pPr>
        <w:pStyle w:val="BookText"/>
      </w:pPr>
      <w:r>
        <w:rPr>
          <w:rFonts w:ascii="IRNazanin" w:hAnsi="IRNazanin" w:eastAsia="IRNazanin" w:cs="IRNazanin"/>
          <w:lang w:bidi="fa-IR"/>
          <w:color w:val="111111"/>
          <w:sz w:val="28"/>
          <w:szCs w:val="28"/>
          <w:rtl/>
        </w:rPr>
        <w:t xml:space="preserve">رباعیات باباطاهر و اشعاری ازمیر فندرسکی؛ بی کا، بی تا؛ ۲۳گ، اندازه: ۱۵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۲۰سم [ف: ۳ - ۱۰۲ ]</w:t>
      </w:r>
    </w:p>
    <w:p>
      <w:pPr>
        <w:pStyle w:val="BookText"/>
      </w:pPr>
      <w:r>
        <w:rPr>
          <w:rFonts w:ascii="IRNazanin" w:hAnsi="IRNazanin" w:eastAsia="IRNazanin" w:cs="IRNazanin"/>
          <w:lang w:bidi="fa-IR"/>
          <w:color w:val="111111"/>
          <w:sz w:val="28"/>
          <w:szCs w:val="28"/>
          <w:rtl/>
        </w:rPr>
        <w:t xml:space="preserve">۲۷۳. تهران؛ ملک؛ شماره نسخه: ۵۴۳۶/۷</w:t>
      </w:r>
    </w:p>
    <w:p>
      <w:pPr>
        <w:pStyle w:val="BookText"/>
      </w:pPr>
      <w:r>
        <w:rPr>
          <w:rFonts w:ascii="IRNazanin" w:hAnsi="IRNazanin" w:eastAsia="IRNazanin" w:cs="IRNazanin"/>
          <w:lang w:bidi="fa-IR"/>
          <w:color w:val="111111"/>
          <w:sz w:val="28"/>
          <w:szCs w:val="28"/>
          <w:rtl/>
        </w:rPr>
        <w:t xml:space="preserve">آغاز: امن تذکر جیران بذى سلم*** مزجت دمعا جرى من مقالة  یدم؛</w:t>
      </w:r>
    </w:p>
    <w:p>
      <w:pPr>
        <w:pStyle w:val="BookText"/>
      </w:pPr>
      <w:r>
        <w:rPr>
          <w:rFonts w:ascii="IRNazanin" w:hAnsi="IRNazanin" w:eastAsia="IRNazanin" w:cs="IRNazanin"/>
          <w:lang w:bidi="fa-IR"/>
          <w:color w:val="111111"/>
          <w:sz w:val="28"/>
          <w:szCs w:val="28"/>
          <w:rtl/>
        </w:rPr>
        <w:t xml:space="preserve">قصیده میمیه است؛ خط: نسخ و نستعلیق، بی کا، بی تا؛ مجدول؛ کاغذ: فرنگی ،جلد: میشن لایی  سیاه، ۱۶ سطر،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۲۱/۹سم [ف: ۸ - ۳۸۰]</w:t>
      </w:r>
    </w:p>
    <w:p>
      <w:pPr>
        <w:pStyle w:val="BookText"/>
      </w:pPr>
      <w:r>
        <w:rPr>
          <w:rFonts w:ascii="IRNazanin" w:hAnsi="IRNazanin" w:eastAsia="IRNazanin" w:cs="IRNazanin"/>
          <w:lang w:bidi="fa-IR"/>
          <w:color w:val="111111"/>
          <w:sz w:val="28"/>
          <w:szCs w:val="28"/>
          <w:rtl/>
        </w:rPr>
        <w:t xml:space="preserve">۲۷۴. تهران؛ ملی؛ شماره نسخه: ۳۲۵۷/۱</w:t>
      </w:r>
    </w:p>
    <w:p>
      <w:pPr>
        <w:pStyle w:val="BookText"/>
      </w:pPr>
      <w:r>
        <w:rPr>
          <w:rFonts w:ascii="IRNazanin" w:hAnsi="IRNazanin" w:eastAsia="IRNazanin" w:cs="IRNazanin"/>
          <w:lang w:bidi="fa-IR"/>
          <w:color w:val="111111"/>
          <w:sz w:val="28"/>
          <w:szCs w:val="28"/>
          <w:rtl/>
        </w:rPr>
        <w:t xml:space="preserve">آغاز: بسمله، انی احسن الى العراق و لم اكن *** لا من رصافته و لا من كرخه؛ انجام: ادام الله لنا مكارمه التي عمت *** و لم اسئل زيادتها فقد تمت</w:t>
      </w:r>
    </w:p>
    <w:p>
      <w:pPr>
        <w:pStyle w:val="BookText"/>
      </w:pPr>
      <w:r>
        <w:rPr>
          <w:rFonts w:ascii="IRNazanin" w:hAnsi="IRNazanin" w:eastAsia="IRNazanin" w:cs="IRNazanin"/>
          <w:lang w:bidi="fa-IR"/>
          <w:color w:val="111111"/>
          <w:sz w:val="28"/>
          <w:szCs w:val="28"/>
          <w:rtl/>
        </w:rPr>
        <w:t xml:space="preserve">قصیده ای از شاعری ناشناس در ابراز اشتیاق برای شهر بغداد و خاطرات نویسنده در آنجا، که در ۳۰۶ بیت است؛  بی کا،  بی تا؛ کاغذ: فرنگی نخودی ،جلد: مقوایی روکش کاغذ ابری عطف تیماج حنایی، ۱۴ص (۱-۱۵)، ۱۱ سطر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۶/۵)،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۱۶۰سم [ف: ۱۵ - ۶۴]</w:t>
      </w:r>
    </w:p>
    <w:p>
      <w:pPr>
        <w:pStyle w:val="BookText"/>
      </w:pPr>
      <w:r>
        <w:rPr>
          <w:rFonts w:ascii="IRNazanin" w:hAnsi="IRNazanin" w:eastAsia="IRNazanin" w:cs="IRNazanin"/>
          <w:lang w:bidi="fa-IR"/>
          <w:color w:val="111111"/>
          <w:sz w:val="28"/>
          <w:szCs w:val="28"/>
          <w:rtl/>
        </w:rPr>
        <w:t xml:space="preserve">۲۷۵ . قم؛ مرکز احیاء؛ شماره نسخه: ۷۲۱/۹</w:t>
      </w:r>
    </w:p>
    <w:p>
      <w:pPr>
        <w:pStyle w:val="BookText"/>
      </w:pPr>
      <w:r>
        <w:rPr>
          <w:rFonts w:ascii="IRNazanin" w:hAnsi="IRNazanin" w:eastAsia="IRNazanin" w:cs="IRNazanin"/>
          <w:lang w:bidi="fa-IR"/>
          <w:color w:val="111111"/>
          <w:sz w:val="28"/>
          <w:szCs w:val="28"/>
          <w:rtl/>
        </w:rPr>
        <w:t xml:space="preserve">آغاز: لی قلب في كفى غزال الاغزار *** مأسور كالعصفور في يد الباز</w:t>
      </w:r>
    </w:p>
    <w:p>
      <w:pPr>
        <w:pStyle w:val="BookText"/>
      </w:pPr>
      <w:r>
        <w:rPr>
          <w:rFonts w:ascii="IRNazanin" w:hAnsi="IRNazanin" w:eastAsia="IRNazanin" w:cs="IRNazanin"/>
          <w:lang w:bidi="fa-IR"/>
          <w:color w:val="111111"/>
          <w:sz w:val="28"/>
          <w:szCs w:val="28"/>
          <w:rtl/>
        </w:rPr>
        <w:t xml:space="preserve">نسخه اصل: کتابخانه واتیکان- رم ۱۱۳۱؛ رباعیات است از: زوجه ملک مجاهد. این اشعار را زوجه ملک مجاهد پس از آنکه زوجش به اسارت وزیر سلطان مصر ملقب به «طاز» در مکه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(مسجد خیف) درآمده، سروده است ؛کا: عبد المغيث بن عزالدین بن هادی مسوری حمیری ملقب به تو همی، بی تا؛ ۲ص (165-۱۶۷) [عکسی ف: ۲ - ۳۸۶]</w:t>
      </w:r>
    </w:p>
    <w:p>
      <w:pPr>
        <w:pStyle w:val="BookText"/>
      </w:pPr>
      <w:r>
        <w:rPr>
          <w:rFonts w:ascii="IRNazanin" w:hAnsi="IRNazanin" w:eastAsia="IRNazanin" w:cs="IRNazanin"/>
          <w:lang w:bidi="fa-IR"/>
          <w:color w:val="111111"/>
          <w:sz w:val="28"/>
          <w:szCs w:val="28"/>
          <w:rtl/>
        </w:rPr>
        <w:t xml:space="preserve">۲۷۶. همدان؛ مدرسه غرب؛ شماره نسخه: ۸۳۱</w:t>
      </w:r>
    </w:p>
    <w:p>
      <w:pPr>
        <w:pStyle w:val="BookText"/>
      </w:pPr>
      <w:r>
        <w:rPr>
          <w:rFonts w:ascii="IRNazanin" w:hAnsi="IRNazanin" w:eastAsia="IRNazanin" w:cs="IRNazanin"/>
          <w:lang w:bidi="fa-IR"/>
          <w:color w:val="111111"/>
          <w:sz w:val="28"/>
          <w:szCs w:val="28"/>
          <w:rtl/>
        </w:rPr>
        <w:t xml:space="preserve">آغاز: افکر و الصب الخرين يفكر *** واسهر ليلى والمصایب سهر؛ انجام: عليكم سلام الله ما عسعس الدجا *** و ما لاح نـجم في الحنادس نیر</w:t>
      </w:r>
    </w:p>
    <w:p>
      <w:pPr>
        <w:pStyle w:val="BookText"/>
      </w:pPr>
      <w:r>
        <w:rPr>
          <w:rFonts w:ascii="IRNazanin" w:hAnsi="IRNazanin" w:eastAsia="IRNazanin" w:cs="IRNazanin"/>
          <w:lang w:bidi="fa-IR"/>
          <w:color w:val="111111"/>
          <w:sz w:val="28"/>
          <w:szCs w:val="28"/>
          <w:rtl/>
        </w:rPr>
        <w:t xml:space="preserve">قصیده در مرثیه ابا عبدالله (علیه السّلام) و وقایع روزعاشورا؛ خط: نسـخ، بی کا، بی تا؛ قطع: بیاضی [رشت و همدان: ف: ۱۳۴۵]</w:t>
      </w:r>
    </w:p>
    <w:p>
      <w:pPr>
        <w:pStyle w:val="BookText"/>
      </w:pPr>
      <w:r>
        <w:rPr>
          <w:rFonts w:ascii="IRNazanin" w:hAnsi="IRNazanin" w:eastAsia="IRNazanin" w:cs="IRNazanin"/>
          <w:lang w:bidi="fa-IR"/>
          <w:color w:val="111111"/>
          <w:sz w:val="28"/>
          <w:szCs w:val="28"/>
          <w:rtl/>
        </w:rPr>
        <w:t xml:space="preserve">۲۷۷. تهران؛ مجلس؛ شماره نسخه ۷۲۰۲/۸</w:t>
      </w:r>
    </w:p>
    <w:p>
      <w:pPr>
        <w:pStyle w:val="BookText"/>
      </w:pPr>
      <w:r>
        <w:rPr>
          <w:rFonts w:ascii="IRNazanin" w:hAnsi="IRNazanin" w:eastAsia="IRNazanin" w:cs="IRNazanin"/>
          <w:lang w:bidi="fa-IR"/>
          <w:color w:val="111111"/>
          <w:sz w:val="28"/>
          <w:szCs w:val="28"/>
          <w:rtl/>
        </w:rPr>
        <w:t xml:space="preserve">از ابونواس و کندی و نظامی؛ خط: نستعلیق، بی کا، بی تا؛ جلد: روغنی، 3گ (۲۴پ -۲۷ر)،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۲۵ - ۲۰۱]</w:t>
      </w:r>
    </w:p>
    <w:p>
      <w:pPr>
        <w:pStyle w:val="BookText"/>
      </w:pPr>
      <w:r>
        <w:rPr>
          <w:rFonts w:ascii="IRNazanin" w:hAnsi="IRNazanin" w:eastAsia="IRNazanin" w:cs="IRNazanin"/>
          <w:lang w:bidi="fa-IR"/>
          <w:color w:val="111111"/>
          <w:sz w:val="28"/>
          <w:szCs w:val="28"/>
          <w:rtl/>
        </w:rPr>
        <w:t xml:space="preserve">۲۷۸. تهران؛ مجلس؛ شماره نسخه ۱۳۸۶۰/۴</w:t>
      </w:r>
    </w:p>
    <w:p>
      <w:pPr>
        <w:pStyle w:val="BookText"/>
      </w:pPr>
      <w:r>
        <w:rPr>
          <w:rFonts w:ascii="IRNazanin" w:hAnsi="IRNazanin" w:eastAsia="IRNazanin" w:cs="IRNazanin"/>
          <w:lang w:bidi="fa-IR"/>
          <w:color w:val="111111"/>
          <w:sz w:val="28"/>
          <w:szCs w:val="28"/>
          <w:rtl/>
        </w:rPr>
        <w:t xml:space="preserve">آغاز: رسول الله ضاق بنا الفضاء *** و جل الخطب و انقطع الاخاء/ وجاهک یا رسول الله جاه *** رفيع ما لرفعته انتفاء؛ انجام:و اجمل منك لم ترقط عين *** و الكمل منك لم تلد النسا  /  علیک صلوة ربى ما توليت *** دهور اوتلی صبحاً مساء</w:t>
      </w:r>
    </w:p>
    <w:p>
      <w:pPr>
        <w:pStyle w:val="BookText"/>
      </w:pPr>
      <w:r>
        <w:rPr>
          <w:rFonts w:ascii="IRNazanin" w:hAnsi="IRNazanin" w:eastAsia="IRNazanin" w:cs="IRNazanin"/>
          <w:lang w:bidi="fa-IR"/>
          <w:color w:val="111111"/>
          <w:sz w:val="28"/>
          <w:szCs w:val="28"/>
          <w:rtl/>
        </w:rPr>
        <w:t xml:space="preserve">قصیده در مدح حضرت پیامبر؛ بی کا، بی تا؛ جلد: مقوایی عطف پارچه، ۱گ (۵۷ر-۵۷پ) [ف: ۳۷ - ۴۲۷]</w:t>
      </w:r>
    </w:p>
    <w:p>
      <w:pPr>
        <w:pStyle w:val="BookText"/>
      </w:pPr>
      <w:r>
        <w:rPr>
          <w:rFonts w:ascii="IRNazanin" w:hAnsi="IRNazanin" w:eastAsia="IRNazanin" w:cs="IRNazanin"/>
          <w:lang w:bidi="fa-IR"/>
          <w:color w:val="111111"/>
          <w:sz w:val="28"/>
          <w:szCs w:val="28"/>
          <w:rtl/>
        </w:rPr>
        <w:t xml:space="preserve">۲۷۹. تهران؛ مجلس؛ شماره نسخه: ۱۳۸۸۲/۳</w:t>
      </w:r>
    </w:p>
    <w:p>
      <w:pPr>
        <w:pStyle w:val="BookText"/>
      </w:pPr>
      <w:r>
        <w:rPr>
          <w:rFonts w:ascii="IRNazanin" w:hAnsi="IRNazanin" w:eastAsia="IRNazanin" w:cs="IRNazanin"/>
          <w:lang w:bidi="fa-IR"/>
          <w:color w:val="111111"/>
          <w:sz w:val="28"/>
          <w:szCs w:val="28"/>
          <w:rtl/>
        </w:rPr>
        <w:t xml:space="preserve">آغاز: یا من هم بالمنحنى قد خيموا *** و على فؤادى نارهم اضرموا / قيد تموا طرفى بحسن مطلق *** عما سواكم و الفؤاد اسرموا؛ انجام: یاخیر خلق الله كن لى شافعا *** منموبقات كدت منها اقصم / صلی علیک الله یا بدر العلا *** مالاه في اوج السـماء الانجم</w:t>
      </w:r>
    </w:p>
    <w:p>
      <w:pPr>
        <w:pStyle w:val="BookText"/>
      </w:pPr>
      <w:r>
        <w:rPr>
          <w:rFonts w:ascii="IRNazanin" w:hAnsi="IRNazanin" w:eastAsia="IRNazanin" w:cs="IRNazanin"/>
          <w:lang w:bidi="fa-IR"/>
          <w:color w:val="111111"/>
          <w:sz w:val="28"/>
          <w:szCs w:val="28"/>
          <w:rtl/>
        </w:rPr>
        <w:t xml:space="preserve">قصيده شيخ علاء الدين بن صدقه قصیده ای است که شاعر  در مدح حضرت پیامبر (صلّی اللَّهِ علیه وَ آلِهِ وَ سَلَّمَ ) سروده است؛ خط: نسخ، کا: ابوتراب حسینی، بی تا؛ جلد: تیماج قهوه ای مجدول، ۳گ (۱۰۲ر-۱۰۴ پ) [ف: ۳۷ - ۴۵۸]</w:t>
      </w:r>
    </w:p>
    <w:p>
      <w:pPr>
        <w:pStyle w:val="BookText"/>
      </w:pPr>
      <w:r>
        <w:rPr>
          <w:rFonts w:ascii="Times New Roman" w:hAnsi="Times New Roman" w:eastAsia="Times New Roman" w:cs="Times New Roman"/>
          <w:lang w:val="en-US" w:bidi="en-US"/>
          <w:color w:val="111111"/>
          <w:sz w:val="28"/>
          <w:szCs w:val="28"/>
          <w:rtl/>
        </w:rPr>
        <w:t xml:space="preserve">280.</w:t>
      </w:r>
    </w:p>
    <w:p>
      <w:pPr>
        <w:pStyle w:val="BookText"/>
      </w:pPr>
      <w:r>
        <w:rPr>
          <w:rFonts w:ascii="IRNazanin" w:hAnsi="IRNazanin" w:eastAsia="IRNazanin" w:cs="IRNazanin"/>
          <w:lang w:bidi="fa-IR"/>
          <w:color w:val="111111"/>
          <w:sz w:val="28"/>
          <w:szCs w:val="28"/>
          <w:rtl/>
        </w:rPr>
        <w:t xml:space="preserve">تهران؛ مجلس؛ شماره نسخه: ۱۴۳۵۵/۳</w:t>
      </w:r>
    </w:p>
    <w:p>
      <w:pPr>
        <w:pStyle w:val="BookText"/>
      </w:pPr>
      <w:r>
        <w:rPr>
          <w:rFonts w:ascii="IRNazanin" w:hAnsi="IRNazanin" w:eastAsia="IRNazanin" w:cs="IRNazanin"/>
          <w:lang w:bidi="fa-IR"/>
          <w:color w:val="111111"/>
          <w:sz w:val="28"/>
          <w:szCs w:val="28"/>
          <w:rtl/>
        </w:rPr>
        <w:t xml:space="preserve">آغاز: الب بلبك الظبى الخفاجي *** فلم تدرك به ما انت راجي/ غناك بمقلة الهجران*** لما رآك من الصبابة غرناجى؛ انجـام:  علیک صلوة خالقنا مداما *** سرى سار و جنح الليل داج</w:t>
      </w:r>
    </w:p>
    <w:p>
      <w:pPr>
        <w:pStyle w:val="BookText"/>
      </w:pPr>
      <w:r>
        <w:rPr>
          <w:rFonts w:ascii="IRNazanin" w:hAnsi="IRNazanin" w:eastAsia="IRNazanin" w:cs="IRNazanin"/>
          <w:lang w:bidi="fa-IR"/>
          <w:color w:val="111111"/>
          <w:sz w:val="28"/>
          <w:szCs w:val="28"/>
          <w:rtl/>
        </w:rPr>
        <w:t xml:space="preserve">قصیده ای به عربی در مدح علی (علیه السّلام)؛ خط: نسخ، بی کا، بی تا؛جلد: تيماج قهوه ای، ۱گ (۲۱۱پ-۲۱۲ر)، ۱۴ 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۳۸ - ۴۸۶]</w:t>
      </w:r>
    </w:p>
    <w:p>
      <w:pPr>
        <w:pStyle w:val="BookText"/>
      </w:pPr>
      <w:r>
        <w:rPr>
          <w:rFonts w:ascii="IRNazanin" w:hAnsi="IRNazanin" w:eastAsia="IRNazanin" w:cs="IRNazanin"/>
          <w:lang w:bidi="fa-IR"/>
          <w:color w:val="111111"/>
          <w:sz w:val="28"/>
          <w:szCs w:val="28"/>
          <w:rtl/>
        </w:rPr>
        <w:t xml:space="preserve">۲۸۱. تهران؛ مجلس؛ شماره نسخه: ۱۳۹۸۵/۴</w:t>
      </w:r>
    </w:p>
    <w:p>
      <w:pPr>
        <w:pStyle w:val="BookText"/>
      </w:pPr>
      <w:r>
        <w:rPr>
          <w:rFonts w:ascii="IRNazanin" w:hAnsi="IRNazanin" w:eastAsia="IRNazanin" w:cs="IRNazanin"/>
          <w:lang w:bidi="fa-IR"/>
          <w:color w:val="111111"/>
          <w:sz w:val="28"/>
          <w:szCs w:val="28"/>
          <w:rtl/>
        </w:rPr>
        <w:t xml:space="preserve">آغاز: و القلب سر بعيش قد صفا فدعا *** بان يدوم فقال الدهر آمينا / و الشمل مجتمع لا يشتفى ابدا *** يوماً من الدهر و اشيا لاحينا ؛انجام: كل هذا بفضل خير البرايا *** احمد المصطفی المصفى اخلاقا / فعليه الصلوة تغدوا اصطباحا *** من آله الورى و تاتى اغتباقا / تسبیح مبارک ايضاً سبحان الله العظيم الذى سجدت لعظمته ... عن الانداد و الاشباه اشعار از: محمد بن الخطيب، جمال الدين بن نباته، تقى الدين حجه، علامه برهان الدین  قیراطی، شیخ شهاب الدین احمد بن ابی  السعود، شیخ صفی الدین حلی، شيخ ابوالحسن الجزار،...بن صاحب تكريت، نواجی، ابو نصر ظافر حداد، صفى الدين حلى شمس الدین  ملطى، جلال الدین بن خطیب داریا، شیخ زین الدین بن  خراط، ابن سنا الملك، جمال الدين بن مطروح، حریری، ناصر الدین الیاعونی، تلمسانی، ابن سنا الملک، عمر بن فارض، ابن ساعاتی، ابن الخيمي، بهاء زهير، بدر يوسف بن لولو ذهبی، ابن عبدالظاهر، شيخ كمال الدين بن النبيه، ابوالفضل بن ابى وفا، سلطان الملك الكاميل صاحب حصن كيفا، القاضى الفاضل، شمس الدين  الهایم، شیخ العزالدین  موصلی، زین الدین عمر بن جنغل حلبی، عبدالظاهر، الحلاوى الموصلي، حسام الدين الحاجرى، تسبیح مبارک سحری، تسبیح مبارک دیگر، شعر کان كان، تسبيح مبارک دیگر، کان و کان و یازده تسبیح دیگر؛ خط: نسخ معرب، بی کا، بی تا؛جلد: تیماج مشکی مجدول، ۵۹گ(۳۳ ر-۹۲پ)، ۱۷ سطر [ف: ۳۷ - ۵۸۲]</w:t>
      </w:r>
    </w:p>
    <w:p>
      <w:pPr>
        <w:pStyle w:val="BookText"/>
      </w:pPr>
      <w:r>
        <w:rPr>
          <w:rFonts w:ascii="IRNazanin" w:hAnsi="IRNazanin" w:eastAsia="IRNazanin" w:cs="IRNazanin"/>
          <w:lang w:bidi="fa-IR"/>
          <w:color w:val="111111"/>
          <w:sz w:val="28"/>
          <w:szCs w:val="28"/>
          <w:rtl/>
        </w:rPr>
        <w:t xml:space="preserve">۲۸۲. تهران؛ دانشگاه؛ شماره نسخه: ۳۱۰۹/۱۱</w:t>
      </w:r>
    </w:p>
    <w:p>
      <w:pPr>
        <w:pStyle w:val="BookText"/>
      </w:pPr>
      <w:r>
        <w:rPr>
          <w:rFonts w:ascii="Amiri" w:hAnsi="Amiri" w:eastAsia="Amiri" w:cs="Amiri"/>
          <w:lang w:bidi="ar-SA"/>
          <w:color w:val="111111"/>
          <w:sz w:val="28"/>
          <w:szCs w:val="28"/>
          <w:rtl/>
        </w:rPr>
        <w:t xml:space="preserve">آغاز: بالحمد لا نحمد الا الله *** از لا اله مطلقا الا هو؛ انجام: بلمحة من الولايات ضم *** حق حقايق الهدايات و تم / و انما اودعت في الكتاب *** هدى و ذكرى لاولى الالباب.</w:t>
      </w:r>
    </w:p>
    <w:p>
      <w:pPr>
        <w:pStyle w:val="BookText"/>
      </w:pPr>
      <w:r>
        <w:rPr>
          <w:rFonts w:ascii="IRNazanin" w:hAnsi="IRNazanin" w:eastAsia="IRNazanin" w:cs="IRNazanin"/>
          <w:lang w:bidi="fa-IR"/>
          <w:color w:val="111111"/>
          <w:sz w:val="28"/>
          <w:szCs w:val="28"/>
          <w:rtl/>
        </w:rPr>
        <w:t xml:space="preserve">قصیده مخبریه در کلام شیعی به نظم عربی؛ بی کا، بی تا؛ کاغذ: فرنگی، جلد: تیماج قهوه ای ضربی، ۸ص (۸۲-۹۰)، ۱۵ سطر (7</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 سم [ف : ۱۱ - ۲۰۶۴]</w:t>
      </w:r>
    </w:p>
    <w:p>
      <w:pPr>
        <w:pStyle w:val="BookText"/>
      </w:pPr>
      <w:r>
        <w:rPr>
          <w:rFonts w:ascii="IRNazanin" w:hAnsi="IRNazanin" w:eastAsia="IRNazanin" w:cs="IRNazanin"/>
          <w:lang w:bidi="fa-IR"/>
          <w:color w:val="111111"/>
          <w:sz w:val="28"/>
          <w:szCs w:val="28"/>
          <w:rtl/>
        </w:rPr>
        <w:t xml:space="preserve">۲۸۳. تهران؛ مدرسه معمار باشی؛ شماره نسخه: ۸۹/۶</w:t>
      </w:r>
    </w:p>
    <w:p>
      <w:pPr>
        <w:pStyle w:val="BookText"/>
      </w:pPr>
      <w:r>
        <w:rPr>
          <w:rFonts w:ascii="IRNazanin" w:hAnsi="IRNazanin" w:eastAsia="IRNazanin" w:cs="IRNazanin"/>
          <w:lang w:bidi="fa-IR"/>
          <w:color w:val="111111"/>
          <w:sz w:val="28"/>
          <w:szCs w:val="28"/>
          <w:rtl/>
        </w:rPr>
        <w:t xml:space="preserve">سه قصیده احتمالاً از شیخ بهائی، «طود الهوى شامخ طعب مراقيه*** فاربع بطلعك ما کل براقیه»، و دیگری: «اصبحت فی کرمان اليوم محبوساً *** مبرحاً في بحار الغم مغموساً»، و له في رثاء اميرالمؤمنين (علیه السّلام): «ان التنعم فى الدنيا لمرذول *** برهان ذلك  معقول و منقول»؛ خط: نسخ ،بی کا، بی تا؛ افتادگی: انجام؛ ۶گ (۱۴۳پ - ۴۸ پ)، ۱۰-۱۵ سطر [معمار باشی: ف: - ۱۰۶]</w:t>
      </w:r>
    </w:p>
    <w:p>
      <w:pPr>
        <w:pStyle w:val="BookText"/>
      </w:pPr>
      <w:r>
        <w:rPr>
          <w:rFonts w:ascii="IRNazanin" w:hAnsi="IRNazanin" w:eastAsia="IRNazanin" w:cs="IRNazanin"/>
          <w:lang w:bidi="fa-IR"/>
          <w:color w:val="111111"/>
          <w:sz w:val="28"/>
          <w:szCs w:val="28"/>
          <w:rtl/>
        </w:rPr>
        <w:t xml:space="preserve">۲۸۴. تهران؛ ملک؛ شماره نسخه: ۲۵۴۹/۲۳</w:t>
      </w:r>
    </w:p>
    <w:p>
      <w:pPr>
        <w:pStyle w:val="BookText"/>
      </w:pPr>
      <w:r>
        <w:rPr>
          <w:rFonts w:ascii="IRNazanin" w:hAnsi="IRNazanin" w:eastAsia="IRNazanin" w:cs="IRNazanin"/>
          <w:lang w:bidi="fa-IR"/>
          <w:color w:val="111111"/>
          <w:sz w:val="28"/>
          <w:szCs w:val="28"/>
          <w:rtl/>
        </w:rPr>
        <w:t xml:space="preserve">از امام شافعی، حنفی و ابونواس؛ خط: نستعلیق، کا: سید مصطفی  اصفهانی، بی تا [ف ۶ - ۴۲]</w:t>
      </w:r>
    </w:p>
    <w:p>
      <w:pPr>
        <w:pStyle w:val="BookText"/>
      </w:pPr>
      <w:r>
        <w:rPr>
          <w:rFonts w:ascii="IRNazanin" w:hAnsi="IRNazanin" w:eastAsia="IRNazanin" w:cs="IRNazanin"/>
          <w:lang w:bidi="fa-IR"/>
          <w:color w:val="111111"/>
          <w:sz w:val="28"/>
          <w:szCs w:val="28"/>
          <w:rtl/>
        </w:rPr>
        <w:t xml:space="preserve">۲۸۵. تهران؛ دائرة المعارف؛ شماره نسخه ۱۸۵۶- عکسی</w:t>
      </w:r>
    </w:p>
    <w:p>
      <w:pPr>
        <w:pStyle w:val="BookText"/>
      </w:pPr>
      <w:r>
        <w:rPr>
          <w:rFonts w:ascii="IRNazanin" w:hAnsi="IRNazanin" w:eastAsia="IRNazanin" w:cs="IRNazanin"/>
          <w:lang w:bidi="fa-IR"/>
          <w:color w:val="111111"/>
          <w:sz w:val="28"/>
          <w:szCs w:val="28"/>
          <w:rtl/>
        </w:rPr>
        <w:t xml:space="preserve">آغاز: العلم قدراً انفس الاشياء *** داما فيض ايما دماء / اصداقه بشى القلوب كانها *** فى الافترار مباسم الشنباء؛ انجام: و جعل خاتمتى خيراً وعافية *** يا معدن الجود و الاحسان و الكرم / علیک منی سلام الله ما انطقت *** بحمده كل حين سائر الامم</w:t>
      </w:r>
    </w:p>
    <w:p>
      <w:pPr>
        <w:pStyle w:val="BookText"/>
      </w:pPr>
      <w:r>
        <w:rPr>
          <w:rFonts w:ascii="IRNazanin" w:hAnsi="IRNazanin" w:eastAsia="IRNazanin" w:cs="IRNazanin"/>
          <w:lang w:bidi="fa-IR"/>
          <w:color w:val="111111"/>
          <w:sz w:val="28"/>
          <w:szCs w:val="28"/>
          <w:rtl/>
        </w:rPr>
        <w:t xml:space="preserve">قصیده هایی است در ستایش: «هذه قبة سمت نوراء *** ام هي العرش اذ لها استعلاء ... حبذا مشهد الى الله باب *** لم يزل للورى اليه الاياب»؛ خط: نسخ خوش، بی کا،بی تا: با یادداشت در گذشت معاون الاياله میرزا سید حسین خان که در همدان می زیسته، جمعه ۱۶ صفر ۱۳۵۵ق؛ ۳۴۸ ص ۱۰ سطر ،(8</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۳۰سم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[عکسی ف: ۱ - ۱۷۳]</w:t>
      </w:r>
    </w:p>
    <w:p>
      <w:pPr>
        <w:pStyle w:val="BookText"/>
      </w:pPr>
      <w:r>
        <w:rPr>
          <w:rFonts w:ascii="IRNazanin" w:hAnsi="IRNazanin" w:eastAsia="IRNazanin" w:cs="IRNazanin"/>
          <w:lang w:bidi="fa-IR"/>
          <w:color w:val="111111"/>
          <w:sz w:val="28"/>
          <w:szCs w:val="28"/>
          <w:rtl/>
        </w:rPr>
        <w:t xml:space="preserve">۲۸۶. تهران؛ ملک؛ شماره نسخه: ۴۰۵۷/۷</w:t>
      </w:r>
    </w:p>
    <w:p>
      <w:pPr>
        <w:pStyle w:val="BookText"/>
      </w:pPr>
      <w:r>
        <w:rPr>
          <w:rFonts w:ascii="IRNazanin" w:hAnsi="IRNazanin" w:eastAsia="IRNazanin" w:cs="IRNazanin"/>
          <w:lang w:bidi="fa-IR"/>
          <w:color w:val="111111"/>
          <w:sz w:val="28"/>
          <w:szCs w:val="28"/>
          <w:rtl/>
        </w:rPr>
        <w:t xml:space="preserve">دو رباعی عرفانی است؛ خط: شکسته نستعلیق، كا: حاج محمد زمان بن کلبعلی متطبب  خراسانی، بی تا [ف: ۷ - ۱۸۳]</w:t>
      </w:r>
    </w:p>
    <w:p>
      <w:pPr>
        <w:pStyle w:val="BookText"/>
      </w:pPr>
      <w:r>
        <w:rPr>
          <w:rFonts w:ascii="IRNazanin" w:hAnsi="IRNazanin" w:eastAsia="IRNazanin" w:cs="IRNazanin"/>
          <w:lang w:bidi="fa-IR"/>
          <w:color w:val="111111"/>
          <w:sz w:val="28"/>
          <w:szCs w:val="28"/>
          <w:rtl/>
        </w:rPr>
        <w:t xml:space="preserve">۲۸۷. تهران؛ سلطنتی؛ شماره نسخه: ۱۸۳۸</w:t>
      </w:r>
    </w:p>
    <w:p>
      <w:pPr>
        <w:pStyle w:val="BookText"/>
      </w:pPr>
      <w:r>
        <w:rPr>
          <w:rFonts w:ascii="IRNazanin" w:hAnsi="IRNazanin" w:eastAsia="IRNazanin" w:cs="IRNazanin"/>
          <w:lang w:bidi="fa-IR"/>
          <w:color w:val="111111"/>
          <w:sz w:val="28"/>
          <w:szCs w:val="28"/>
          <w:rtl/>
        </w:rPr>
        <w:t xml:space="preserve">آغاز: بسمله. الحمد الله رب العالمين والصلوة والسلام علی ساداتنا ومحمد على و آلهما الطاهرين ... سلام على سلطان ملـک الولاية *** سلام على ارکان دار الخلافه؛ انجام: فكيف احـرق بالنيران و هى معى *** اتحرق النار من في بحر عمان</w:t>
      </w:r>
    </w:p>
    <w:p>
      <w:pPr>
        <w:pStyle w:val="BookText"/>
      </w:pPr>
      <w:r>
        <w:rPr>
          <w:rFonts w:ascii="IRNazanin" w:hAnsi="IRNazanin" w:eastAsia="IRNazanin" w:cs="IRNazanin"/>
          <w:lang w:bidi="fa-IR"/>
          <w:color w:val="111111"/>
          <w:sz w:val="28"/>
          <w:szCs w:val="28"/>
          <w:rtl/>
        </w:rPr>
        <w:t xml:space="preserve">مشتمل است بر قصاید، رباعیات فارسی و عربی در مدیح حضرت على بن ابيطالب (علیه السّلام) و احادیثی در خصوص ولایت و امامت  آن</w:t>
      </w:r>
    </w:p>
    <w:p>
      <w:pPr>
        <w:pStyle w:val="BookText"/>
      </w:pPr>
      <w:r>
        <w:rPr>
          <w:rFonts w:ascii="IRNazanin" w:hAnsi="IRNazanin" w:eastAsia="IRNazanin" w:cs="IRNazanin"/>
          <w:lang w:bidi="fa-IR"/>
          <w:color w:val="111111"/>
          <w:sz w:val="28"/>
          <w:szCs w:val="28"/>
          <w:rtl/>
        </w:rPr>
        <w:t xml:space="preserve">امام همام از (وفی) شاعر که از خانواده ساداتبوده است؛خط: نسخ  خوب، بی کا، بی تا ،مجدول، کمند کشی ،مذهب؛ مـهر: کتابخانه دولت علیه ایران ۱۳۲۹؛ کاغذ: قطعه فرنگی ،جلد: مقوای ابره تیماج لاکی با ترنج و یک حاشیه ریسه گل منگنه ای طلائی، در متن هر دو پاره جلد دو قطعه عکس شمایل از حضرت رسـول اکرم (صلّی اللَّهِ علیه وَ آلِهِ وَ سَلَّمَ ) و حضرت علی ابن ابیطالب (علیه السّلام) قاب سازی شـده، ۱۰۵ ص، ۶-۵-۱۲ سطر، قطع: وزیری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۳۵/۵سم [ف: 4- 988]</w:t>
      </w:r>
    </w:p>
    <w:p>
      <w:pPr>
        <w:pStyle w:val="BookText"/>
      </w:pPr>
      <w:r>
        <w:rPr>
          <w:rFonts w:ascii="IRNazanin" w:hAnsi="IRNazanin" w:eastAsia="IRNazanin" w:cs="IRNazanin"/>
          <w:lang w:bidi="fa-IR"/>
          <w:color w:val="111111"/>
          <w:sz w:val="28"/>
          <w:szCs w:val="28"/>
          <w:rtl/>
        </w:rPr>
        <w:t xml:space="preserve">۲۸۸. تهران؛ مجلس؛ شماره نسخه: ۶۹/۷- طباطبائی</w:t>
      </w:r>
    </w:p>
    <w:p>
      <w:pPr>
        <w:pStyle w:val="BookText"/>
      </w:pPr>
      <w:r>
        <w:rPr>
          <w:rFonts w:ascii="IRNazanin" w:hAnsi="IRNazanin" w:eastAsia="IRNazanin" w:cs="IRNazanin"/>
          <w:lang w:bidi="fa-IR"/>
          <w:color w:val="111111"/>
          <w:sz w:val="28"/>
          <w:szCs w:val="28"/>
          <w:rtl/>
        </w:rPr>
        <w:t xml:space="preserve">قصیده ابن الحنبلی، رضی الدین؛ بی کا، بی تا؛ فهرست رایانه ای مجلس؛ اگ (۹۶ر) [ف: ۲۲ - ۱۰]</w:t>
      </w:r>
    </w:p>
    <w:p>
      <w:pPr>
        <w:pStyle w:val="BookText"/>
      </w:pPr>
      <w:r>
        <w:rPr>
          <w:rFonts w:ascii="IRNazanin" w:hAnsi="IRNazanin" w:eastAsia="IRNazanin" w:cs="IRNazanin"/>
          <w:lang w:bidi="fa-IR"/>
          <w:color w:val="111111"/>
          <w:sz w:val="28"/>
          <w:szCs w:val="28"/>
          <w:rtl/>
        </w:rPr>
        <w:t xml:space="preserve">289.تهران؛ مجلس؛ شماره نسخه: ۳۳۲۲</w:t>
      </w:r>
    </w:p>
    <w:p>
      <w:pPr>
        <w:pStyle w:val="BookText"/>
      </w:pPr>
      <w:r>
        <w:rPr>
          <w:rFonts w:ascii="IRNazanin" w:hAnsi="IRNazanin" w:eastAsia="IRNazanin" w:cs="IRNazanin"/>
          <w:lang w:bidi="fa-IR"/>
          <w:color w:val="111111"/>
          <w:sz w:val="28"/>
          <w:szCs w:val="28"/>
          <w:rtl/>
        </w:rPr>
        <w:t xml:space="preserve">قصیده در مدح آل بیت، بی کا، بی تا؛ ۱ص (۱۳۰-۱۳۱) [ف: 2/ 10- 1018]</w:t>
      </w:r>
    </w:p>
    <w:p>
      <w:pPr>
        <w:pStyle w:val="BookText"/>
      </w:pPr>
      <w:r>
        <w:rPr>
          <w:rFonts w:ascii="IRNazanin" w:hAnsi="IRNazanin" w:eastAsia="IRNazanin" w:cs="IRNazanin"/>
          <w:lang w:bidi="fa-IR"/>
          <w:color w:val="111111"/>
          <w:sz w:val="28"/>
          <w:szCs w:val="28"/>
          <w:rtl/>
        </w:rPr>
        <w:t xml:space="preserve">۲۹۰. شیراز؛ علامه طباطبائی؛ شماره نسخه: ۷۹/۲</w:t>
      </w:r>
    </w:p>
    <w:p>
      <w:pPr>
        <w:pStyle w:val="BookText"/>
      </w:pPr>
      <w:r>
        <w:rPr>
          <w:rFonts w:ascii="IRNazanin" w:hAnsi="IRNazanin" w:eastAsia="IRNazanin" w:cs="IRNazanin"/>
          <w:lang w:bidi="fa-IR"/>
          <w:color w:val="111111"/>
          <w:sz w:val="28"/>
          <w:szCs w:val="28"/>
          <w:rtl/>
        </w:rPr>
        <w:t xml:space="preserve">قصیده در بیان ماه های رومی و فوائد و کارهایی که باید در این ماه ها انجام داد یا ترک کرد؛ خط: نسخ، بی کا، بی تا؛ ۴ص  (7- ۱۱)،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[نسخه پژوهی: ۳ - ۷۸]</w:t>
      </w:r>
    </w:p>
    <w:p>
      <w:pPr>
        <w:pStyle w:val="BookText"/>
      </w:pPr>
      <w:r>
        <w:rPr>
          <w:rFonts w:ascii="IRNazanin" w:hAnsi="IRNazanin" w:eastAsia="IRNazanin" w:cs="IRNazanin"/>
          <w:lang w:bidi="fa-IR"/>
          <w:color w:val="111111"/>
          <w:sz w:val="28"/>
          <w:szCs w:val="28"/>
          <w:rtl/>
        </w:rPr>
        <w:t xml:space="preserve">۲۹۱. مشهد؛ شیخ علی حیدر؛ شماره نسخه: ۸۱۳/۱</w:t>
      </w:r>
    </w:p>
    <w:p>
      <w:pPr>
        <w:pStyle w:val="BookText"/>
      </w:pPr>
      <w:r>
        <w:rPr>
          <w:rFonts w:ascii="IRNazanin" w:hAnsi="IRNazanin" w:eastAsia="IRNazanin" w:cs="IRNazanin"/>
          <w:lang w:bidi="fa-IR"/>
          <w:color w:val="111111"/>
          <w:sz w:val="28"/>
          <w:szCs w:val="28"/>
          <w:rtl/>
        </w:rPr>
        <w:t xml:space="preserve">آغاز: یا خلى البال قد بلبلت بالبال بال*** بالنوى زلزلتنى والعـقل فى الزلزال زال؛ انجام: و ان شئت تاریخ رزء امامنا *** بهـمل قريض ارخ الزفرات</w:t>
      </w:r>
    </w:p>
    <w:p>
      <w:pPr>
        <w:pStyle w:val="BookText"/>
      </w:pPr>
      <w:r>
        <w:rPr>
          <w:rFonts w:ascii="IRNazanin" w:hAnsi="IRNazanin" w:eastAsia="IRNazanin" w:cs="IRNazanin"/>
          <w:lang w:bidi="fa-IR"/>
          <w:color w:val="111111"/>
          <w:sz w:val="28"/>
          <w:szCs w:val="28"/>
          <w:rtl/>
        </w:rPr>
        <w:t xml:space="preserve">مجموعة شعرية اكثرها قصيدة تائية فى رثاء السبط الشهيد علیه السلام تقرب من ۶۵۰ بیتا اولها: «بحمد الهواهب القربات»؛ خـط: نسخ خوب، بی کا، بی تا ؛جلد: چرم زرد، ۴۶گ(1پ- 47ر)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۱۷/۵سم [مؤید: ۲ - ۲۵۸]</w:t>
      </w:r>
    </w:p>
    <w:p>
      <w:pPr>
        <w:pStyle w:val="BookText"/>
      </w:pPr>
      <w:r>
        <w:rPr>
          <w:rFonts w:ascii="IRNazanin" w:hAnsi="IRNazanin" w:eastAsia="IRNazanin" w:cs="IRNazanin"/>
          <w:lang w:bidi="fa-IR"/>
          <w:color w:val="111111"/>
          <w:sz w:val="28"/>
          <w:szCs w:val="28"/>
          <w:rtl/>
        </w:rPr>
        <w:t xml:space="preserve">۲۹۲. تهران؛ دانشگاه؛ شماره نسخه: ۷۰۱۳/۲</w:t>
      </w:r>
    </w:p>
    <w:p>
      <w:pPr>
        <w:pStyle w:val="BookText"/>
      </w:pPr>
      <w:r>
        <w:rPr>
          <w:rFonts w:ascii="IRNazanin" w:hAnsi="IRNazanin" w:eastAsia="IRNazanin" w:cs="IRNazanin"/>
          <w:lang w:bidi="fa-IR"/>
          <w:color w:val="111111"/>
          <w:sz w:val="28"/>
          <w:szCs w:val="28"/>
          <w:rtl/>
        </w:rPr>
        <w:t xml:space="preserve">قصيدة فى اثنى عشر بيت يقرا على اربعمائه و عشرين وجها طرد  او عکسا؛ خط: نسخ ،کا: محمد شفیع حسینی، بی تا؛ کاغذ: فرنگی ،جلد: تیماج تریاکی  لایی، اگ (۲۴پ)، ۲۱ سطر (9</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 قـطع: ربعی،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 ۱۶ - ۴۲۸]</w:t>
      </w:r>
    </w:p>
    <w:p>
      <w:pPr>
        <w:pStyle w:val="BookText"/>
      </w:pPr>
      <w:r>
        <w:rPr>
          <w:rFonts w:ascii="IRNazanin" w:hAnsi="IRNazanin" w:eastAsia="IRNazanin" w:cs="IRNazanin"/>
          <w:lang w:bidi="fa-IR"/>
          <w:color w:val="111111"/>
          <w:sz w:val="28"/>
          <w:szCs w:val="28"/>
          <w:rtl/>
        </w:rPr>
        <w:t xml:space="preserve">۲۹۳. تهران؛ مجلس؛ شماره نسخه: ۱۳۵۶۸/۳۰</w:t>
      </w:r>
    </w:p>
    <w:p>
      <w:pPr>
        <w:pStyle w:val="BookText"/>
      </w:pPr>
      <w:r>
        <w:rPr>
          <w:rFonts w:ascii="IRNazanin" w:hAnsi="IRNazanin" w:eastAsia="IRNazanin" w:cs="IRNazanin"/>
          <w:lang w:bidi="fa-IR"/>
          <w:color w:val="111111"/>
          <w:sz w:val="28"/>
          <w:szCs w:val="28"/>
          <w:rtl/>
        </w:rPr>
        <w:t xml:space="preserve">خط: نسخ، بی کا، بی تا؛ جلد: تیماج قهوه ای مجدول، ۱ص (۳۷۳)،اندازه: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۲۳/۵سم [ف: ۳۷ – ۷۰]</w:t>
      </w:r>
    </w:p>
    <w:p>
      <w:pPr>
        <w:pStyle w:val="BookText"/>
      </w:pPr>
      <w:r>
        <w:rPr>
          <w:rFonts w:ascii="IRNazanin" w:hAnsi="IRNazanin" w:eastAsia="IRNazanin" w:cs="IRNazanin"/>
          <w:lang w:bidi="fa-IR"/>
          <w:color w:val="111111"/>
          <w:sz w:val="28"/>
          <w:szCs w:val="28"/>
          <w:rtl/>
        </w:rPr>
        <w:t xml:space="preserve">۲۹۴. تهران؛ ملی؛ شماره نسخه: ۴۸۲۷</w:t>
      </w:r>
    </w:p>
    <w:p>
      <w:pPr>
        <w:pStyle w:val="BookText"/>
      </w:pPr>
      <w:r>
        <w:rPr>
          <w:rFonts w:ascii="IRNazanin" w:hAnsi="IRNazanin" w:eastAsia="IRNazanin" w:cs="IRNazanin"/>
          <w:lang w:bidi="fa-IR"/>
          <w:color w:val="111111"/>
          <w:sz w:val="28"/>
          <w:szCs w:val="28"/>
          <w:rtl/>
        </w:rPr>
        <w:t xml:space="preserve">شامل اشعاری از افراد مختلف است از جمله: بخشی از قصیده فرزدق در مدح امام سجاد (علیه السّلام)، شعری در مدح امیر المومنین ،مناجات، چند رباعی، اشعاری از امیر المومنین و امام زین العابدین (علیه السّلام)، ابونعاس، شهاب الدین  عمری، حریری، سودی و شافعی؛ خط: نسخ خوش، بی کا، بی تا؛ برگ اول چند بیت شعر فارسی و یادداشتی با تاریخ «احتمالا ۱۲۱۱»، مطالب برگ ۴ مربوط به قصيده بانت سعاد که در برگ ۱۱۱ آمده؛ کاغذ: فرنگی شکری، جلد: تیماج قهوه ای  یک  لا، ۷ ص ،(۲-۹)، متفاوت ۲۲ و ۱۶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 و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[رایانه]</w:t>
      </w:r>
    </w:p>
    <w:p>
      <w:pPr>
        <w:pStyle w:val="BookText"/>
      </w:pPr>
      <w:r>
        <w:rPr>
          <w:rFonts w:ascii="IRNazanin" w:hAnsi="IRNazanin" w:eastAsia="IRNazanin" w:cs="IRNazanin"/>
          <w:lang w:bidi="fa-IR"/>
          <w:color w:val="111111"/>
          <w:sz w:val="28"/>
          <w:szCs w:val="28"/>
          <w:rtl/>
        </w:rPr>
        <w:t xml:space="preserve">۲۹۵. تهران؛ ملی؛ شماره نسخه: ۴۸۲۸</w:t>
      </w:r>
    </w:p>
    <w:p>
      <w:pPr>
        <w:pStyle w:val="BookText"/>
      </w:pPr>
      <w:r>
        <w:rPr>
          <w:rFonts w:ascii="IRNazanin" w:hAnsi="IRNazanin" w:eastAsia="IRNazanin" w:cs="IRNazanin"/>
          <w:lang w:bidi="fa-IR"/>
          <w:color w:val="111111"/>
          <w:sz w:val="28"/>
          <w:szCs w:val="28"/>
          <w:rtl/>
        </w:rPr>
        <w:t xml:space="preserve">آغاز: بنفسي ثغر راق منه نظامه *** تر قرق دمعى حين رق كلامه؛ انجام: علیک سلام الله ما حن نازح *** الى الالف و جدا اذا اتاه  سلامه.</w:t>
      </w:r>
    </w:p>
    <w:p>
      <w:pPr>
        <w:pStyle w:val="BookText"/>
      </w:pPr>
      <w:r>
        <w:rPr>
          <w:rFonts w:ascii="IRNazanin" w:hAnsi="IRNazanin" w:eastAsia="IRNazanin" w:cs="IRNazanin"/>
          <w:lang w:bidi="fa-IR"/>
          <w:color w:val="111111"/>
          <w:sz w:val="28"/>
          <w:szCs w:val="28"/>
          <w:rtl/>
        </w:rPr>
        <w:t xml:space="preserve">قصیده ای است هائیه در ۵۹ بیت در مدح و منقبت امیر المومنين (علیه السّلام) و توسل به ایشان؛ خط: نسخ  خوش، بی کا، بی تا؛ برگ ۱۱۵ پ شعری از سید بن محمد حمیری که قبل از وفاتش در مدح امير المومنین سروده در ۷ بیت، و نیز دو بیت شعر از ریاشی در همین مورد؛ کاغذ: فرنگی نخودی، جلد: تیماج قهوه ای یک لا ضربی  مجدول، اگ (۱۱۳ پ- ۱۱۴پ)، ۱۷ سطر (۷/۵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 رایانه ]</w:t>
      </w:r>
    </w:p>
    <w:p>
      <w:pPr>
        <w:pStyle w:val="BookText"/>
      </w:pPr>
      <w:r>
        <w:rPr>
          <w:rFonts w:ascii="IRNazanin" w:hAnsi="IRNazanin" w:eastAsia="IRNazanin" w:cs="IRNazanin"/>
          <w:lang w:bidi="fa-IR"/>
          <w:color w:val="111111"/>
          <w:sz w:val="28"/>
          <w:szCs w:val="28"/>
          <w:rtl/>
        </w:rPr>
        <w:t xml:space="preserve">۲۹۶. تهران؛ ملی؛ شماره نسخه: ۴۸۷۱</w:t>
      </w:r>
    </w:p>
    <w:p>
      <w:pPr>
        <w:pStyle w:val="BookText"/>
      </w:pPr>
      <w:r>
        <w:rPr>
          <w:rFonts w:ascii="IRNazanin" w:hAnsi="IRNazanin" w:eastAsia="IRNazanin" w:cs="IRNazanin"/>
          <w:lang w:bidi="fa-IR"/>
          <w:color w:val="111111"/>
          <w:sz w:val="28"/>
          <w:szCs w:val="28"/>
          <w:rtl/>
        </w:rPr>
        <w:t xml:space="preserve">آغاز: بنت عمر ابن الحرث بن الشريد ... و الخنساء لقب لها... مابال عینک جارد معها سرب؛ انجام: الجود من كلتايديه محرک *** لا يستطيع بلوغه الاسكان.</w:t>
      </w:r>
    </w:p>
    <w:p>
      <w:pPr>
        <w:pStyle w:val="BookText"/>
      </w:pPr>
      <w:r>
        <w:rPr>
          <w:rFonts w:ascii="IRNazanin" w:hAnsi="IRNazanin" w:eastAsia="IRNazanin" w:cs="IRNazanin"/>
          <w:lang w:bidi="fa-IR"/>
          <w:color w:val="111111"/>
          <w:sz w:val="28"/>
          <w:szCs w:val="28"/>
          <w:rtl/>
        </w:rPr>
        <w:t xml:space="preserve">مجموعه ای است از اشعار عربی از شعرایی همچون «خنساء، ابی صخر  هذلی، ابن  زیدون، کمیت بن زین اسدی» مشتمل بر قصاید،مفردات و ...</w:t>
      </w:r>
    </w:p>
    <w:p>
      <w:pPr>
        <w:pStyle w:val="BookText"/>
      </w:pPr>
      <w:r>
        <w:rPr>
          <w:rFonts w:ascii="IRNazanin" w:hAnsi="IRNazanin" w:eastAsia="IRNazanin" w:cs="IRNazanin"/>
          <w:lang w:bidi="fa-IR"/>
          <w:color w:val="111111"/>
          <w:sz w:val="28"/>
          <w:szCs w:val="28"/>
          <w:rtl/>
        </w:rPr>
        <w:t xml:space="preserve">که برخی از آنها نیز شرح شده اند؛ خط: نسخ و  نستعلیق شکسته، بی کا، بی  تا ؛کاغذ: فرنگی نخودی، جلد: تیماج  قهوه ای روشن یک لا مجدول، ۸۱گ( اپ -۸۱)، ۱۴ سطر  (۶۵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اندازه: 11</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[رایانه]  ۲۹۷. تهران؛ مجلس؛ شماره نسخه: ۱۰۴۹/۲ طباطبائی</w:t>
      </w:r>
    </w:p>
    <w:p>
      <w:pPr>
        <w:pStyle w:val="BookText"/>
      </w:pPr>
      <w:r>
        <w:rPr>
          <w:rFonts w:ascii="IRNazanin" w:hAnsi="IRNazanin" w:eastAsia="IRNazanin" w:cs="IRNazanin"/>
          <w:lang w:bidi="fa-IR"/>
          <w:color w:val="111111"/>
          <w:sz w:val="28"/>
          <w:szCs w:val="28"/>
          <w:rtl/>
        </w:rPr>
        <w:t xml:space="preserve">ابیات منسوب به علی بن الحسين (علیه السّلام)، در ضمن جنگ؛ خط: نستعلیق، بی کا، بی تا [ف: ۲۳ - ۳۵۱]</w:t>
      </w:r>
    </w:p>
    <w:p>
      <w:pPr>
        <w:pStyle w:val="BookText"/>
      </w:pPr>
      <w:r>
        <w:rPr>
          <w:rFonts w:ascii="IRNazanin" w:hAnsi="IRNazanin" w:eastAsia="IRNazanin" w:cs="IRNazanin"/>
          <w:lang w:bidi="fa-IR"/>
          <w:color w:val="111111"/>
          <w:sz w:val="28"/>
          <w:szCs w:val="28"/>
          <w:rtl/>
        </w:rPr>
        <w:t xml:space="preserve">۲۹۸. تهران؛ مهدوی؛ شماره نسخه: ۳۶۴/۴۹</w:t>
      </w:r>
    </w:p>
    <w:p>
      <w:pPr>
        <w:pStyle w:val="BookText"/>
      </w:pPr>
      <w:r>
        <w:rPr>
          <w:rFonts w:ascii="IRNazanin" w:hAnsi="IRNazanin" w:eastAsia="IRNazanin" w:cs="IRNazanin"/>
          <w:lang w:bidi="fa-IR"/>
          <w:color w:val="111111"/>
          <w:sz w:val="28"/>
          <w:szCs w:val="28"/>
          <w:rtl/>
        </w:rPr>
        <w:t xml:space="preserve">ابیات سروده صاحب الزمان به نقل حسین بن کریم در محرم ۱۲۲۴ از شیخ احمد احسائی از پدرش زین الدین ابراهیم و داستان آن؛ كا: على بن احمد رشتی، بی تا، جا: یزد؛ کاغذ: فرنگی، جلد: تیماج تریاکی ضربی مقوایی، ۱۹ سطر، قطع : جیبی [نشریه: ۲-۱۸۱]</w:t>
      </w:r>
    </w:p>
    <w:p>
      <w:pPr>
        <w:pStyle w:val="BookText"/>
      </w:pPr>
      <w:r>
        <w:rPr>
          <w:rFonts w:ascii="IRNazanin" w:hAnsi="IRNazanin" w:eastAsia="IRNazanin" w:cs="IRNazanin"/>
          <w:lang w:bidi="fa-IR"/>
          <w:color w:val="111111"/>
          <w:sz w:val="28"/>
          <w:szCs w:val="28"/>
          <w:rtl/>
        </w:rPr>
        <w:t xml:space="preserve">۲۹۹. تهران؛ ملی؛ شماره نسخه: ۴۸۹۰</w:t>
      </w:r>
    </w:p>
    <w:p>
      <w:pPr>
        <w:pStyle w:val="BookText"/>
      </w:pPr>
      <w:r>
        <w:rPr>
          <w:rFonts w:ascii="IRNazanin" w:hAnsi="IRNazanin" w:eastAsia="IRNazanin" w:cs="IRNazanin"/>
          <w:lang w:bidi="fa-IR"/>
          <w:color w:val="111111"/>
          <w:sz w:val="28"/>
          <w:szCs w:val="28"/>
          <w:rtl/>
        </w:rPr>
        <w:t xml:space="preserve">نسخه دارای حواشی فراوانی شامل ترکیب نحوی ابیات و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توضیحاتی درباره آنها با نشانه های «اقلید، موصل و مطهر» که حواشی تا برگ ۱۱۴ ادامه پیدا کرده، مجموعه ای است مشتمل بر اشعاری با مضامین مختلف که در حاشیه، شرح و یا ترکیب نحوی آنها بیان شده، شامل ۷۵ بیت می باشد؛ خط: نسخ و نستعلیق خفـی، بی کا، بی تا؛ افتادگی: آغاز؛ کاغذ: فرنگی نخودی ،جلد: مقوایی یا روکش تیماج یشمی، ۱۲ ص (۳-۱۴) ۸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 ،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[رایانه ]</w:t>
      </w:r>
    </w:p>
    <w:p>
      <w:pPr>
        <w:pStyle w:val="BookText"/>
      </w:pPr>
      <w:r>
        <w:rPr>
          <w:rFonts w:ascii="IRNazanin" w:hAnsi="IRNazanin" w:eastAsia="IRNazanin" w:cs="IRNazanin"/>
          <w:lang w:bidi="fa-IR"/>
          <w:color w:val="111111"/>
          <w:sz w:val="28"/>
          <w:szCs w:val="28"/>
          <w:rtl/>
        </w:rPr>
        <w:t xml:space="preserve">۳۰۰ . قم؛ مرعشی؛ شماره نسخه: ۵۱۳۹/۴</w:t>
      </w:r>
    </w:p>
    <w:p>
      <w:pPr>
        <w:pStyle w:val="BookText"/>
      </w:pPr>
      <w:r>
        <w:rPr>
          <w:rFonts w:ascii="IRNazanin" w:hAnsi="IRNazanin" w:eastAsia="IRNazanin" w:cs="IRNazanin"/>
          <w:lang w:bidi="fa-IR"/>
          <w:color w:val="111111"/>
          <w:sz w:val="28"/>
          <w:szCs w:val="28"/>
          <w:rtl/>
        </w:rPr>
        <w:t xml:space="preserve">آغاز: أما بعد حمد الله و الصلاة على نبيه و آله، فان هذه ابواب تشتمل على مقطعات و ابیات تصلح فى المنادمة و المحاضرة ؛انجام: و کيف سنان الأرض قد جررت بها *** ذيل الصبى و الـعلی و العيشة الرغد</w:t>
      </w:r>
    </w:p>
    <w:p>
      <w:pPr>
        <w:pStyle w:val="BookText"/>
      </w:pPr>
      <w:r>
        <w:rPr>
          <w:rFonts w:ascii="IRNazanin" w:hAnsi="IRNazanin" w:eastAsia="IRNazanin" w:cs="IRNazanin"/>
          <w:lang w:bidi="fa-IR"/>
          <w:color w:val="111111"/>
          <w:sz w:val="28"/>
          <w:szCs w:val="28"/>
          <w:rtl/>
        </w:rPr>
        <w:t xml:space="preserve">ابیات چندی است انتخاب شده از بهترین اشعار، که در محافل و نامه ها بکار آید، مشتمل بر چند «باب» که فقط عنوان دو باب اول در این نسخه آمده است ،۱. الامثال، ۲. الفخر بالنفس و الحدود و ذكر البأس و الجود؛ خط: نسخ، کا:عبدالله بن راشد بحرانی، بی تا، افتادگی: انجام؛ جلد: تیماج قرمز، ۶گ (۱۲۴پ-۱۳۰پ  ) ، مختلف السطر ،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۱۸/۵سم [ف : ۱۳ - ۳۴۴]</w:t>
      </w:r>
    </w:p>
    <w:p>
      <w:pPr>
        <w:pStyle w:val="BookText"/>
      </w:pPr>
      <w:r>
        <w:rPr>
          <w:rFonts w:ascii="IRNazanin" w:hAnsi="IRNazanin" w:eastAsia="IRNazanin" w:cs="IRNazanin"/>
          <w:lang w:bidi="fa-IR"/>
          <w:color w:val="111111"/>
          <w:sz w:val="28"/>
          <w:szCs w:val="28"/>
          <w:rtl/>
        </w:rPr>
        <w:t xml:space="preserve">۳۰۱. تهران؛ ملی؛ شماره نسخه: ۲۶۹۱۰</w:t>
      </w:r>
    </w:p>
    <w:p>
      <w:pPr>
        <w:pStyle w:val="BookText"/>
      </w:pPr>
      <w:r>
        <w:rPr>
          <w:rFonts w:ascii="IRNazanin" w:hAnsi="IRNazanin" w:eastAsia="IRNazanin" w:cs="IRNazanin"/>
          <w:lang w:bidi="fa-IR"/>
          <w:color w:val="111111"/>
          <w:sz w:val="28"/>
          <w:szCs w:val="28"/>
          <w:rtl/>
        </w:rPr>
        <w:t xml:space="preserve">مجموعه قصاید بی کا، بی تا؛ خریداری از عباس محسنی [ رایانه]</w:t>
      </w:r>
    </w:p>
    <w:p>
      <w:pPr>
        <w:pStyle w:val="BookText"/>
      </w:pPr>
      <w:r>
        <w:rPr>
          <w:rFonts w:ascii="IRNazanin" w:hAnsi="IRNazanin" w:eastAsia="IRNazanin" w:cs="IRNazanin"/>
          <w:lang w:bidi="fa-IR"/>
          <w:color w:val="111111"/>
          <w:sz w:val="28"/>
          <w:szCs w:val="28"/>
          <w:rtl/>
        </w:rPr>
        <w:t xml:space="preserve">302.مشهد؛ الهیات؛ شماره نسخه: ۲۴/۹</w:t>
      </w:r>
    </w:p>
    <w:p>
      <w:pPr>
        <w:pStyle w:val="BookText"/>
      </w:pPr>
      <w:r>
        <w:rPr>
          <w:rFonts w:ascii="IRNazanin" w:hAnsi="IRNazanin" w:eastAsia="IRNazanin" w:cs="IRNazanin"/>
          <w:lang w:bidi="fa-IR"/>
          <w:color w:val="111111"/>
          <w:sz w:val="28"/>
          <w:szCs w:val="28"/>
          <w:rtl/>
        </w:rPr>
        <w:t xml:space="preserve">قصیده ابو العتاهية در مدح موسى الهادی؛ خط: نسخ، بی کا، بی تا؛ جلد: تیماج ،خرمایی ۱۲ سطر (۸/۵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  سم[ف: ۱ - ۴۹۳]</w:t>
      </w:r>
    </w:p>
    <w:p>
      <w:pPr>
        <w:pStyle w:val="BookText"/>
      </w:pPr>
      <w:r>
        <w:rPr>
          <w:rFonts w:ascii="IRNazanin" w:hAnsi="IRNazanin" w:eastAsia="IRNazanin" w:cs="IRNazanin"/>
          <w:lang w:bidi="fa-IR"/>
          <w:color w:val="111111"/>
          <w:sz w:val="28"/>
          <w:szCs w:val="28"/>
          <w:rtl/>
        </w:rPr>
        <w:t xml:space="preserve">۳۰۳. کرمانشاه؛ جلیلی؛ شماره نسخه: ۲۲۸/۱</w:t>
      </w:r>
    </w:p>
    <w:p>
      <w:pPr>
        <w:pStyle w:val="BookText"/>
      </w:pPr>
      <w:r>
        <w:rPr>
          <w:rFonts w:ascii="Amiri" w:hAnsi="Amiri" w:eastAsia="Amiri" w:cs="Amiri"/>
          <w:lang w:bidi="ar-SA"/>
          <w:color w:val="111111"/>
          <w:sz w:val="28"/>
          <w:szCs w:val="28"/>
          <w:rtl/>
        </w:rPr>
        <w:t xml:space="preserve">آغاز: و لا تطع منهما خصما و لا حلماً *** فانت تعرف كيد الخصم و الحكم</w:t>
      </w:r>
    </w:p>
    <w:p>
      <w:pPr>
        <w:pStyle w:val="BookText"/>
      </w:pPr>
      <w:r>
        <w:rPr>
          <w:rFonts w:ascii="IRNazanin" w:hAnsi="IRNazanin" w:eastAsia="IRNazanin" w:cs="IRNazanin"/>
          <w:lang w:bidi="fa-IR"/>
          <w:color w:val="111111"/>
          <w:sz w:val="28"/>
          <w:szCs w:val="28"/>
          <w:rtl/>
        </w:rPr>
        <w:t xml:space="preserve">قصيده خير البرية است موجودی ۱۳۹ بیت؛ خط: نسخ معرب،بی کا، بی تا؛ افتادگی: آغاز؛ کاغذ: حنایی آهاری شکننده، جلد: تیماج  عنابی، ۵ص (۱-۵)، ۱۴ سطر، 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73]</w:t>
      </w:r>
    </w:p>
    <w:p>
      <w:pPr>
        <w:pStyle w:val="BookText"/>
      </w:pPr>
      <w:r>
        <w:rPr>
          <w:rFonts w:ascii="IRNazanin" w:hAnsi="IRNazanin" w:eastAsia="IRNazanin" w:cs="IRNazanin"/>
          <w:lang w:bidi="fa-IR"/>
          <w:color w:val="111111"/>
          <w:sz w:val="28"/>
          <w:szCs w:val="28"/>
          <w:rtl/>
        </w:rPr>
        <w:t xml:space="preserve">۳۰۴. تهران؛ مجلس؛ شماره نسخه: ۴۱۶/۳</w:t>
      </w:r>
    </w:p>
    <w:p>
      <w:pPr>
        <w:pStyle w:val="BookText"/>
      </w:pPr>
      <w:r>
        <w:rPr>
          <w:rFonts w:ascii="IRNazanin" w:hAnsi="IRNazanin" w:eastAsia="IRNazanin" w:cs="IRNazanin"/>
          <w:lang w:bidi="fa-IR"/>
          <w:color w:val="111111"/>
          <w:sz w:val="28"/>
          <w:szCs w:val="28"/>
          <w:rtl/>
        </w:rPr>
        <w:t xml:space="preserve">قصيده طبية لابى على «توق اذا استطعت ادخال مطعم» در هـفت بیت ؛خط: تعلیق، بی کا، بیتا؛کاغذ: سفید کهنه ،جلد: مقوایی عطف تیماج سبز، اص (۵۴)، ۲۱ سطر (6</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۱۱</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۱۸سم [سنا: ف: ۱ - ۲۴۹]</w:t>
      </w:r>
    </w:p>
    <w:p>
      <w:pPr>
        <w:pStyle w:val="BookText"/>
      </w:pPr>
      <w:r>
        <w:rPr>
          <w:rFonts w:ascii="IRNazanin" w:hAnsi="IRNazanin" w:eastAsia="IRNazanin" w:cs="IRNazanin"/>
          <w:lang w:bidi="fa-IR"/>
          <w:color w:val="111111"/>
          <w:sz w:val="28"/>
          <w:szCs w:val="28"/>
          <w:rtl/>
        </w:rPr>
        <w:t xml:space="preserve">۳۰۵. قم؛ طبسی؛ شماره نسخه: ۱۰۱/۶</w:t>
      </w:r>
    </w:p>
    <w:p>
      <w:pPr>
        <w:pStyle w:val="BookText"/>
      </w:pPr>
      <w:r>
        <w:rPr>
          <w:rFonts w:ascii="Amiri" w:hAnsi="Amiri" w:eastAsia="Amiri" w:cs="Amiri"/>
          <w:lang w:bidi="ar-SA"/>
          <w:color w:val="111111"/>
          <w:sz w:val="28"/>
          <w:szCs w:val="28"/>
          <w:rtl/>
        </w:rPr>
        <w:t xml:space="preserve">آغاز: بانت سعاد وقلبى اليوم مبتول *** متيم اثرها لم يقد مكبول؛</w:t>
      </w:r>
    </w:p>
    <w:p>
      <w:pPr>
        <w:pStyle w:val="BookText"/>
      </w:pPr>
      <w:r>
        <w:rPr>
          <w:rFonts w:ascii="Amiri" w:hAnsi="Amiri" w:eastAsia="Amiri" w:cs="Amiri"/>
          <w:lang w:bidi="ar-SA"/>
          <w:color w:val="111111"/>
          <w:sz w:val="28"/>
          <w:szCs w:val="28"/>
          <w:rtl/>
        </w:rPr>
        <w:t xml:space="preserve">انجام: ويوم حبست النفس عن اعتراكها ***عن عورات وحفاطاً الهذر</w:t>
      </w:r>
    </w:p>
    <w:p>
      <w:pPr>
        <w:pStyle w:val="BookText"/>
      </w:pPr>
      <w:r>
        <w:rPr>
          <w:rFonts w:ascii="IRNazanin" w:hAnsi="IRNazanin" w:eastAsia="IRNazanin" w:cs="IRNazanin"/>
          <w:lang w:bidi="fa-IR"/>
          <w:color w:val="111111"/>
          <w:sz w:val="28"/>
          <w:szCs w:val="28"/>
          <w:rtl/>
        </w:rPr>
        <w:t xml:space="preserve">چند قصیده عربی است از جمله قصیده بانت سعاد از کعب بن زهیر با مطلع: «بانت سعاد وقلبي اليوم مبتول»، قصيده عينيه سید اسماعیل حمیری با مطلع: «لام عمر باللوى مربع *** طامسة اعلامه بلقع»؛ ترجمه منظوم قصیده حمیری به خط نستعلیق شنگرف در  بین سطور درج شده، آغاز ترجمه: «داشت ابن جائى عمر اندر لوا *** مانده آثار بی کهن از وی بجا»، پس از آن قصیده لامیه ای است از امرؤ القیس که یکی از معلقات سبع بوده، با سرآغاز: «قفابنك من ذكرى حبيب و منزل ***بسقط اللوى بين الدخول مخومل»؛ خط: نسخ و نستعلیق، بی کا، بی تا؛ جلد: تیماج قهوه ای ضربی مجدول، ۱۰گ، ۱۹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[مخ: ۱ - ۳۷۵]</w:t>
      </w:r>
    </w:p>
    <w:p>
      <w:pPr>
        <w:pStyle w:val="BookText"/>
      </w:pPr>
      <w:r>
        <w:rPr>
          <w:rFonts w:ascii="IRNazanin" w:hAnsi="IRNazanin" w:eastAsia="IRNazanin" w:cs="IRNazanin"/>
          <w:lang w:bidi="fa-IR"/>
          <w:color w:val="111111"/>
          <w:sz w:val="28"/>
          <w:szCs w:val="28"/>
          <w:rtl/>
        </w:rPr>
        <w:t xml:space="preserve">۳۰۶ . قم؛ مسجد اعظم؛ شماره نسخه: ۴۰۶۰/۱</w:t>
      </w:r>
    </w:p>
    <w:p>
      <w:pPr>
        <w:pStyle w:val="BookText"/>
      </w:pPr>
      <w:r>
        <w:rPr>
          <w:rFonts w:ascii="IRNazanin" w:hAnsi="IRNazanin" w:eastAsia="IRNazanin" w:cs="IRNazanin"/>
          <w:lang w:bidi="fa-IR"/>
          <w:color w:val="111111"/>
          <w:sz w:val="28"/>
          <w:szCs w:val="28"/>
          <w:rtl/>
        </w:rPr>
        <w:t xml:space="preserve">آغاز: يا خليلى من ذوابة بكر فى التصابي رياضة الاخلاق مما اعرف به اخوانی جادتهم الانواء وصابتهم السماء وحلت السحب بانديتهم افواه غزالیها؛ انجام: الطيف اعشق منك اذ *** وافا اليك وانت نايم / وما زلت اعانى القلق واكابد الارق حتى برق عمود الصباح واعلن بحى على الفلاح.</w:t>
      </w:r>
    </w:p>
    <w:p>
      <w:pPr>
        <w:pStyle w:val="BookText"/>
      </w:pPr>
      <w:r>
        <w:rPr>
          <w:rFonts w:ascii="IRNazanin" w:hAnsi="IRNazanin" w:eastAsia="IRNazanin" w:cs="IRNazanin"/>
          <w:lang w:bidi="fa-IR"/>
          <w:color w:val="111111"/>
          <w:sz w:val="28"/>
          <w:szCs w:val="28"/>
          <w:rtl/>
        </w:rPr>
        <w:t xml:space="preserve">مجموعه ای از قصیده پردازان و شاعران عرب از جمله ابوتمام، بحتری، ابن رومی قاضی  ارجانی، سید رضی و دیگران است؛ خط: نسخ، بی کا، بی تا؛ افتادگی: انجام؛ چند برگ از حواشی نحوی؛ جلد: گالینگور سبز عطف تیماج زرشکی، ۲۶گ (۱پ-  ۲۶پ) ۱۳ سطر، اندازه: ۱۳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۲۳سم [ف مخ: ۴ - ۱۵۲۰]</w:t>
      </w:r>
    </w:p>
    <w:p>
      <w:pPr>
        <w:pStyle w:val="BookText"/>
      </w:pPr>
      <w:r>
        <w:rPr>
          <w:rFonts w:ascii="IRNazanin" w:hAnsi="IRNazanin" w:eastAsia="IRNazanin" w:cs="IRNazanin"/>
          <w:lang w:bidi="fa-IR"/>
          <w:color w:val="111111"/>
          <w:sz w:val="28"/>
          <w:szCs w:val="28"/>
          <w:rtl/>
        </w:rPr>
        <w:t xml:space="preserve">۳۰۷. تهران؛ ملی؛ شماره نسخه: ۱۹۵۵۲</w:t>
      </w:r>
    </w:p>
    <w:p>
      <w:pPr>
        <w:pStyle w:val="BookText"/>
      </w:pPr>
      <w:r>
        <w:rPr>
          <w:rFonts w:ascii="IRNazanin" w:hAnsi="IRNazanin" w:eastAsia="IRNazanin" w:cs="IRNazanin"/>
          <w:lang w:bidi="fa-IR"/>
          <w:color w:val="111111"/>
          <w:sz w:val="28"/>
          <w:szCs w:val="28"/>
          <w:rtl/>
        </w:rPr>
        <w:t xml:space="preserve">قصايد السبعة العلويه؛ بی کا، بی تا؛ خریداری از علی ربیعی [رایانه ]</w:t>
      </w:r>
    </w:p>
    <w:p>
      <w:pPr>
        <w:pStyle w:val="BookText"/>
      </w:pPr>
      <w:r>
        <w:rPr>
          <w:rFonts w:ascii="IRNazanin" w:hAnsi="IRNazanin" w:eastAsia="IRNazanin" w:cs="IRNazanin"/>
          <w:lang w:bidi="fa-IR"/>
          <w:color w:val="111111"/>
          <w:sz w:val="28"/>
          <w:szCs w:val="28"/>
          <w:rtl/>
        </w:rPr>
        <w:t xml:space="preserve">۳۰۸. تهران؛ ملک؛ شماره نسخه: ۵۴۳۶/۳</w:t>
      </w:r>
    </w:p>
    <w:p>
      <w:pPr>
        <w:pStyle w:val="BookText"/>
      </w:pPr>
      <w:r>
        <w:rPr>
          <w:rFonts w:ascii="IRNazanin" w:hAnsi="IRNazanin" w:eastAsia="IRNazanin" w:cs="IRNazanin"/>
          <w:lang w:bidi="fa-IR"/>
          <w:color w:val="111111"/>
          <w:sz w:val="28"/>
          <w:szCs w:val="28"/>
          <w:rtl/>
        </w:rPr>
        <w:t xml:space="preserve">قصاید هفتگانه بدین گونه: امرء القیس طرفة البكري، زهير بن سلمى المرى، ابن ربيعه العامري، عمرو بن كلثوم، عنترة بن شداد عبسى، حرث بن حلزة اليشكرى؛ خط: نسخ و نستعلیق، بی کا، : بی تا؛ مجدول؛ کاغذ: فرنگی ،جلد: میشن لایی سیاه، ۱۶ سطر،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۲۱/۹سم [ف: ۸ – ۳۸۰]</w:t>
      </w:r>
    </w:p>
    <w:p>
      <w:pPr>
        <w:pStyle w:val="BookText"/>
      </w:pPr>
      <w:r>
        <w:rPr>
          <w:rFonts w:ascii="IRNazanin" w:hAnsi="IRNazanin" w:eastAsia="IRNazanin" w:cs="IRNazanin"/>
          <w:lang w:bidi="fa-IR"/>
          <w:color w:val="111111"/>
          <w:sz w:val="28"/>
          <w:szCs w:val="28"/>
          <w:rtl/>
        </w:rPr>
        <w:t xml:space="preserve">۳۰۹. تبریز؛ ملی؛ شماره نسخه: ۲۶۱۹/۵</w:t>
      </w:r>
    </w:p>
    <w:p>
      <w:pPr>
        <w:pStyle w:val="BookText"/>
      </w:pPr>
      <w:r>
        <w:rPr>
          <w:rFonts w:ascii="IRNazanin" w:hAnsi="IRNazanin" w:eastAsia="IRNazanin" w:cs="IRNazanin"/>
          <w:lang w:bidi="fa-IR"/>
          <w:color w:val="111111"/>
          <w:sz w:val="28"/>
          <w:szCs w:val="28"/>
          <w:rtl/>
        </w:rPr>
        <w:t xml:space="preserve">آغاز:متن: سئمت لفرط تنقلى البيداء *** و شكت لعظم ترحلی الانضاء؛ انجام: متن سئمت لفرط تنقلى البيداء *** و شكت لعظم ترحلى الانضاء</w:t>
      </w:r>
    </w:p>
    <w:p>
      <w:pPr>
        <w:pStyle w:val="BookText"/>
      </w:pPr>
      <w:r>
        <w:rPr>
          <w:rFonts w:ascii="IRNazanin" w:hAnsi="IRNazanin" w:eastAsia="IRNazanin" w:cs="IRNazanin"/>
          <w:lang w:bidi="fa-IR"/>
          <w:color w:val="111111"/>
          <w:sz w:val="28"/>
          <w:szCs w:val="28"/>
          <w:rtl/>
        </w:rPr>
        <w:t xml:space="preserve">بیست قصیده است از بیست شاعر: ۱. قصیده شیخ زین الدین بن محمد بن حسن شامی به مطلع: «سئمت لفرط تنقلى البيداء *** و شكت لعظم ترحلى الانضاء» در بیست و یک بیت و مقطع: «و اترك سكرك الشام فانما *** دون السام و اهلها بيداء»، ۲. قصيده محمد بن نور الدين السهر بابن الدر به مطلع: «ساق اغن و روضه غناء*** و ملامه کرخیه صهباء» در بیست و یک بیت و مقطع: «عطس الصباح قهب يفتح نعمه ***لم شفه امن مقليته لقاء»، ٣. قصيده عبدالصمد بن عبدالله با کثیر به مطلع: «دعيا لايام نفضت الحمى *** فزنابها و وشاتنا غفلاء» در سیزده بیت و مقطع: «و الروض مبتهج الحيا فكانما *** رواه من غمر الروى ايماء»، ۴. قصيده محمد بن حسين بن سليمان المرهبی به مطلع: «لولا اشتیاقی حبيبا قط ما قربا ***لمالف صيا ضيل الجسم مكتسیا»، در هیجده بيت و مقطع: «يحول ماء ابصبا في صحن و جنته *** و يستحيل اذا حدثنه لهبا» ،5. قصيده عبدالرحمن البعلى الخطيب به مطلع :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«تذكرت ايام الصبابه و الصبا *** و عيشا مضى ما كان احلى اطیبا»، در سیزده بیت و مقطع: «فينا ترانى باسم البغز ضاحكا ***اذا بى اعض الراحيتن تلهبا»؛ ۶. قصيده الشيخ الأبوب الحلوانى به مطلع: «و ليلتنا على قاسون لما *** خرجنا من منار لها ذهابا»، در «نه بیت و مقطع : «لان الصبح اشهر سيف حرب *** و جنح الليل كـانله قرابا» ،7. قصيده احمد ابن عبدالله العطار به مطلع: «و بلیتی سـاج اللحاظ قوامه *** يختال فى دعص يثنيه الصبا»، در هفت بیت ومقطع: «فكان صفحه خده و عذاره </w:t>
      </w:r>
      <w:r>
        <w:rPr>
          <w:rFonts w:ascii="IRNazanin" w:hAnsi="IRNazanin" w:eastAsia="IRNazanin" w:cs="IRNazanin"/>
          <w:lang w:bidi="fa-IR"/>
          <w:color w:val="111111"/>
          <w:sz w:val="28"/>
          <w:szCs w:val="28"/>
          <w:b w:val="1"/>
          <w:bCs w:val="1"/>
          <w:i w:val="1"/>
          <w:iCs w:val="1"/>
          <w:rtl/>
        </w:rPr>
        <w:t xml:space="preserve">تفاحه رميت لتقتل عقربا»، ۸. قصيده الامير حسنالن الاعوج به مطلع: «تبدت فاضحي البدرفی الافق غائبا *** و شامت فولیالظبی فیالبید هاربا»، در نه بیت و مقطع:«لها لالعز حق وصف كثير *** و توبه في ليلى اعادته كاذبا»،9. قصيده الامير السيد على به مطلع: «يا هادى الطعن ان جزت المواقيتا *** فحى من يمنى و الخيف حييتا»، در پنجاه و پنج بیت و مقطع: «علیک من صلوات الله اشرفها</w:t>
      </w:r>
      <w:r>
        <w:rPr>
          <w:rFonts w:ascii="IRNazanin" w:hAnsi="IRNazanin" w:eastAsia="IRNazanin" w:cs="IRNazanin"/>
          <w:lang w:bidi="fa-IR"/>
          <w:color w:val="111111"/>
          <w:sz w:val="28"/>
          <w:szCs w:val="28"/>
          <w:rtl/>
        </w:rPr>
        <w:t xml:space="preserve"> والك الظهر ما حيو حييتا»، 10. قصيده عبد الغنى بن اسماعیل به مطلع: «دب العـذار بخده فتضر جا *** رشاء ابان على اشقيق بنفسجا»، در شانزده بیت ومقطع: «فاضت ميان الحين في اعطافه *** و اليم ازيد فوق روف موجا، ۱۱. قصيده حسين بن جاندار البقاعی به مطلع: «هوالحب لا يبقى على النار بارحا *** فبصرا و انى يردع الصبر جامحا» ومقطع: «و ماكان منها دانيا كان نائيا *** و ما كان منها سانحا کان بارحا» ،۱۲. قصيده ملا فرج الله ششتری به مطلع: «ما بین دجلـه و الفرات مراتع *** هي للنفوس معارج و سماء» و مقطع: «لاغروان لم تفصح الايام بی *** الدهر بان عطال و انی  راء»، ۱۳. قصیده شهـاب الدین محمد ابن عبدالله المنعم الخيمی به مطلع: «ظن صحبی ان بق الجزع هاجا *** شجنا كان نبرق الثغز هاجا»، و مقطع: «ان قلبی فیه مذارح هوی *** مع الحاظ الظبا الغاوين ماجا» ،۱۴. قصـیده الميرمنجك ابن محمد پاشا الشامی به مطلع: «لیلی مالی الصبر الدهر راضيا ***  و حظى موفورا و عیشى صافيا» و مقطع: «فلا زلت ركنا فى القضاء مشيدا *** لفوق بعلياه على الدر سامیا»؛ ۱۵-۱۶.دو قصیده از عیسی بن شجاع النجفی به مطالع: «بقلبي من ينسـهام ثاقب *** تسددها كحلاء والقوس حاجب» و «و اليله قدرام لـیال الرغايب *** ليال قطعناها بوصل الحبايب» و مقاطع: «كذاک عشقت العلم والجود و التقى *** و للناس فيما يعشقون مذاهب»«و اتیتک مهتوفا بردعى كما اتى *** نبى الهدى سلما سواد بن قارب»، ۱۷. قصيده عليبن الارجل المغربى به مطلع: «ترات لعینی وهی بالشعر بحجب *** فخلت شعاع الشمس يعلوه كوكب» و مقطع: «شانیک مفقود و انت موبد *** و بابک مقصود وانت محبب»، 18. قصيده المتنبی به مطلع: «اريقك ام ماء الغمامه ام خمر *** بـفی برود و هو في كبدى جمر»، و مقطع: «و ان كان بيقى جوده تلیده *** شبيها بما ابقى من العاشق الهجر»، ۱۹. قصيده شیخ عبدالعلی بن ناصر الحويزى و هى يشمل على انواع البديع به مطـلع: «قلب و طرفک منصوب و مكسور *** كلاهما مطلق من او ماسور»، و مقطع: «لا ينفع المراء تدبير يهذبه *** الااذا عضد التدبیر  تقدیر»، ۲۰. قصیده شاهین بن فتح الله به مطلع: «خليلى المرء تدبير يهذبه *** الا اذا عضد التدبير بالحصر» و مقطع: «و منك جلاها من سنى البرق شارق *** وصاك بها من عرفك العنبر الشحرى؛ خط: نستعلیق، بی کا، بی تا ؛کاغذ: فرنگی، جلد: چرمی ضربی،۳۸گ، ۷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۳ - ۱۰۲۶]</w:t>
      </w:r>
    </w:p>
    <w:p>
      <w:pPr>
        <w:pStyle w:val="BookText"/>
      </w:pPr>
      <w:r>
        <w:rPr>
          <w:rFonts w:ascii="IRNazanin" w:hAnsi="IRNazanin" w:eastAsia="IRNazanin" w:cs="IRNazanin"/>
          <w:lang w:bidi="fa-IR"/>
          <w:color w:val="111111"/>
          <w:sz w:val="28"/>
          <w:szCs w:val="28"/>
          <w:rtl/>
        </w:rPr>
        <w:t xml:space="preserve">۳۱۰. تهران؛ سلطنتی؛ شماره نسخه: ۱۷۵۲</w:t>
      </w:r>
    </w:p>
    <w:p>
      <w:pPr>
        <w:pStyle w:val="BookText"/>
      </w:pPr>
      <w:r>
        <w:rPr>
          <w:rFonts w:ascii="Amiri" w:hAnsi="Amiri" w:eastAsia="Amiri" w:cs="Amiri"/>
          <w:lang w:bidi="ar-SA"/>
          <w:color w:val="111111"/>
          <w:sz w:val="28"/>
          <w:szCs w:val="28"/>
          <w:rtl/>
        </w:rPr>
        <w:t xml:space="preserve">آغاز: القصيده اللطفيه الميميه الخمريه من كلام افصح الشعراء و املح الظرفا شرف الدين المعروف بابن الفارض المصرى شربنا على ذكر الحبيب مداقه سكرنا؛ انجام: لايهتن امر من الاهانة علك بمعنى لعلك ترفع اى تدل و تسقط عن النصب</w:t>
      </w:r>
    </w:p>
    <w:p>
      <w:pPr>
        <w:pStyle w:val="BookText"/>
      </w:pPr>
      <w:r>
        <w:rPr>
          <w:rFonts w:ascii="IRNazanin" w:hAnsi="IRNazanin" w:eastAsia="IRNazanin" w:cs="IRNazanin"/>
          <w:lang w:bidi="fa-IR"/>
          <w:color w:val="111111"/>
          <w:sz w:val="28"/>
          <w:szCs w:val="28"/>
          <w:rtl/>
        </w:rPr>
        <w:t xml:space="preserve">شامل قصایدی است از شعرای معروف ایرانی و عرب به زبان عربی از جمله شرف الدين ابن الفارض المصرى، امرؤ القيس، ابوالفتح البستى، فرزدق، رشیدالدین وطواط شاعر پارسی زبان ایرانی ،ابونواس، کعب بن زهیر، ابن الرومی، عبدالصمد ابن بابک، محمد ابن درید و چند تن دیگر؛ خط: نسخ و ثلث، بی کا، تا؛ مجدول کمنددار، ۵ سرلوح وسرفصل مذهب مرصع؛ مهر : ناصر الدین شاه قاجار ؛كاغذ: فستقى الوان ،جلد: مقوای روکش تيماج مشكى وسط ترنج دو سر ترنج منگنه ای، ۸۷۵ص، ۳ سطر ثلث جلی و ۸ نیم سطر به قلم نسخ، قطع: وزیری، اندازه: ۲۱/۳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۳۱/۷سم [ف: ۴ - ۱۰۳۴]</w:t>
      </w:r>
    </w:p>
    <w:p>
      <w:pPr>
        <w:pStyle w:val="BookText"/>
      </w:pPr>
      <w:r>
        <w:rPr>
          <w:rFonts w:ascii="IRNazanin" w:hAnsi="IRNazanin" w:eastAsia="IRNazanin" w:cs="IRNazanin"/>
          <w:lang w:bidi="fa-IR"/>
          <w:color w:val="111111"/>
          <w:sz w:val="28"/>
          <w:szCs w:val="28"/>
          <w:rtl/>
        </w:rPr>
        <w:t xml:space="preserve">۳۱۱. قم؛ گلپایگانی؛ شماره نسخه: ۶۲۹۶/۳-۳۱/۱۷۶</w:t>
      </w:r>
    </w:p>
    <w:p>
      <w:pPr>
        <w:pStyle w:val="BookText"/>
      </w:pPr>
      <w:r>
        <w:rPr>
          <w:rFonts w:ascii="Amiri" w:hAnsi="Amiri" w:eastAsia="Amiri" w:cs="Amiri"/>
          <w:lang w:bidi="ar-SA"/>
          <w:color w:val="111111"/>
          <w:sz w:val="28"/>
          <w:szCs w:val="28"/>
          <w:rtl/>
        </w:rPr>
        <w:t xml:space="preserve">آغاز: شربنا على ذكر الحبيب مدامة *** سكرنا بها من قبل ان يخلق الكرم؛ انجام: وعبدك الان طغى مائه *** في الصلب فاحمله على الجارية</w:t>
      </w:r>
    </w:p>
    <w:p>
      <w:pPr>
        <w:pStyle w:val="BookText"/>
      </w:pPr>
      <w:r>
        <w:rPr>
          <w:rFonts w:ascii="IRNazanin" w:hAnsi="IRNazanin" w:eastAsia="IRNazanin" w:cs="IRNazanin"/>
          <w:lang w:bidi="fa-IR"/>
          <w:color w:val="111111"/>
          <w:sz w:val="28"/>
          <w:szCs w:val="28"/>
          <w:rtl/>
        </w:rPr>
        <w:t xml:space="preserve">چند قصیده عربی است: ۱. قصيد خمريه ابن فارض، ۲. قصيده عينيه سيد اسماعيل حمیری،3 . قصیده اسماعیل بن عباد در سلام به امام رضا (علیه السّلام) ، ۴. قصیده شریف رضی که در طفولیت سروده است، و پس از آن اشعاری از جدیر بن عبدالله بجلی در مدح علی (علیه السّلام) و اشعاری از محیی الدین، در حاشیه توضیحات در معنی شعرها آمده؛ خط: نسخ و نستعلیق بی کا، بی تا، جلد: تیماج قهوه ای مجدول، ۸گ، ۱۱ سطر، اندازه ۱۱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۲۰سم [ف: ۶ - ۳۱۹۹]</w:t>
      </w:r>
    </w:p>
    <w:p>
      <w:pPr>
        <w:pStyle w:val="BookText"/>
      </w:pPr>
      <w:r>
        <w:rPr>
          <w:rFonts w:ascii="IRNazanin" w:hAnsi="IRNazanin" w:eastAsia="IRNazanin" w:cs="IRNazanin"/>
          <w:lang w:bidi="fa-IR"/>
          <w:color w:val="111111"/>
          <w:sz w:val="28"/>
          <w:szCs w:val="28"/>
          <w:rtl/>
        </w:rPr>
        <w:t xml:space="preserve">۳۱۲ . قم؛ مسجد اعظم؛ شماره نسخه: ۴۰۸</w:t>
      </w:r>
    </w:p>
    <w:p>
      <w:pPr>
        <w:pStyle w:val="BookText"/>
      </w:pPr>
      <w:r>
        <w:rPr>
          <w:rFonts w:ascii="IRNazanin" w:hAnsi="IRNazanin" w:eastAsia="IRNazanin" w:cs="IRNazanin"/>
          <w:lang w:bidi="fa-IR"/>
          <w:color w:val="111111"/>
          <w:sz w:val="28"/>
          <w:szCs w:val="28"/>
          <w:rtl/>
        </w:rPr>
        <w:t xml:space="preserve">آغاز: یا خلیلی كم باكية لم*** تبك الا لعلة مقلتاها / لاتلوما الورقاء في ذلك الوج *** دلعل الذي رمانی رماها؛ انجام: مالاحدكم يموت عشقا فى هوى امراة الفها انما ذلك ضعف نفس ورقة وخور تجدونه فيكم يا بني عذره فقال اما والله لورايتم الحواجب الزج فوق نواظر الدعج تحتها المباسم الفلج... لاتخذتموها اللات والعزى.</w:t>
      </w:r>
    </w:p>
    <w:p>
      <w:pPr>
        <w:pStyle w:val="BookText"/>
      </w:pPr>
      <w:r>
        <w:rPr>
          <w:rFonts w:ascii="IRNazanin" w:hAnsi="IRNazanin" w:eastAsia="IRNazanin" w:cs="IRNazanin"/>
          <w:lang w:bidi="fa-IR"/>
          <w:color w:val="111111"/>
          <w:sz w:val="28"/>
          <w:szCs w:val="28"/>
          <w:rtl/>
        </w:rPr>
        <w:t xml:space="preserve">چند قصیده از امام سجاد و امام جواد (علیه السّلام) و دیگران من جمله قصيدة هائیه و غیره از شیخ کاظم ازری، چند قصیده از معلقات سبع، سید حمیری، ابن فارض، فرزدق دعبل خزاعی، برده، ابن ابی الحدید و قصیده ای از کریم خان کرمانی و چند دوبیتی در آخر کتاب در موضوعات مدح حضرت رسول اکرم واهل بیت (علیهم السّلام) و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غیره و نیز چند حکایت از شعرا؛ خط: نسخ، بی کا، بی تا؛ افتادگی: آغاز؛ واقف: حاج محمد حسین برهان گیلانی؛ جلد: تیماج با ترنج و سر با لچکی مذهب، ۱۸۰گ ، ۱۴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مخ: ۴ - ۱۵۱۸]  ۳۱۳. تهران؛ ملک؛ شماره نسخه: ۳۴۳۸/۲</w:t>
      </w:r>
    </w:p>
    <w:p>
      <w:pPr>
        <w:pStyle w:val="BookText"/>
      </w:pPr>
      <w:r>
        <w:rPr>
          <w:rFonts w:ascii="IRNazanin" w:hAnsi="IRNazanin" w:eastAsia="IRNazanin" w:cs="IRNazanin"/>
          <w:lang w:bidi="fa-IR"/>
          <w:color w:val="111111"/>
          <w:sz w:val="28"/>
          <w:szCs w:val="28"/>
          <w:rtl/>
        </w:rPr>
        <w:t xml:space="preserve">آغاز: خلق سبع سموات طباقا *** و سبع ارضین مثلها و ساعی/ و سبع جنات خلد مع  حجيم *** فحل بديع هذا الاصطناع؛ انجام: انا العبد ملوح الفقير يرجى رحمة الى نحو ساداتى حتتت جوادی و الف صلوة و الف الف تحية من الله على روح النبى الهادى و آل و صحب جميعهم و الاجداد والاباء و الاولاد</w:t>
      </w:r>
    </w:p>
    <w:p>
      <w:pPr>
        <w:pStyle w:val="BookText"/>
      </w:pPr>
      <w:r>
        <w:rPr>
          <w:rFonts w:ascii="IRNazanin" w:hAnsi="IRNazanin" w:eastAsia="IRNazanin" w:cs="IRNazanin"/>
          <w:lang w:bidi="fa-IR"/>
          <w:color w:val="111111"/>
          <w:sz w:val="28"/>
          <w:szCs w:val="28"/>
          <w:rtl/>
        </w:rPr>
        <w:t xml:space="preserve">قصاید است در ستایش پیشوایان؛ خط: نسخ، بی کا، بی تا؛ افتادگی: آغاز ؛کاغذ: فرنگی ،جلد: میشن سرخ، ۳۵گ (۱۹ر- ۵۶ر) ۱۴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۶ - ۴۱۷]</w:t>
      </w:r>
    </w:p>
    <w:p>
      <w:pPr>
        <w:pStyle w:val="BookText"/>
      </w:pPr>
      <w:r>
        <w:rPr>
          <w:rFonts w:ascii="IRNazanin" w:hAnsi="IRNazanin" w:eastAsia="IRNazanin" w:cs="IRNazanin"/>
          <w:lang w:bidi="fa-IR"/>
          <w:color w:val="111111"/>
          <w:sz w:val="28"/>
          <w:szCs w:val="28"/>
          <w:rtl/>
        </w:rPr>
        <w:t xml:space="preserve">۳۱۴ .قم؛ مرکز احیاء؛ شماره نسخه: ۱۰۷۳/۱۶</w:t>
      </w:r>
    </w:p>
    <w:p>
      <w:pPr>
        <w:pStyle w:val="BookText"/>
      </w:pPr>
      <w:r>
        <w:rPr>
          <w:rFonts w:ascii="Amiri" w:hAnsi="Amiri" w:eastAsia="Amiri" w:cs="Amiri"/>
          <w:lang w:bidi="ar-SA"/>
          <w:color w:val="111111"/>
          <w:sz w:val="28"/>
          <w:szCs w:val="28"/>
          <w:rtl/>
        </w:rPr>
        <w:t xml:space="preserve">آغاز: قال ابو تمام يمدح خالد بن يزيد: يا موضع الشدنية الوجـناء *** و مصارع الادلاج و الاسراء</w:t>
      </w:r>
    </w:p>
    <w:p>
      <w:pPr>
        <w:pStyle w:val="BookText"/>
      </w:pPr>
      <w:r>
        <w:rPr>
          <w:rFonts w:ascii="IRNazanin" w:hAnsi="IRNazanin" w:eastAsia="IRNazanin" w:cs="IRNazanin"/>
          <w:lang w:bidi="fa-IR"/>
          <w:color w:val="111111"/>
          <w:sz w:val="28"/>
          <w:szCs w:val="28"/>
          <w:rtl/>
        </w:rPr>
        <w:t xml:space="preserve">نسخه اصل: کتابخانه کاخ گلستان - تهران ۱۷۲. قصایدی اسـت متفرقه بدین ترتیب: قصیده ابو تمام در مدح خالد بن یزید، قصـیده ابوتمام در مدح يحيى بن ثابت و محم دبن حسان، قصیده ای در مدح معتصم، قصیده ابوطیب متنبی به دوران کودکی وی در مدح ابالحسین علوی، در ذیل این قصاید شرح و توضیح های لغوی آنها نیز مندرج شده؛ خط: نستعلیق، بی کا، بی تا؛ ۱۵ ص( 383- 397) [عکسی :ف ۳ - ۳۳۸]</w:t>
      </w:r>
    </w:p>
    <w:p>
      <w:pPr>
        <w:pStyle w:val="BookText"/>
      </w:pPr>
      <w:r>
        <w:rPr>
          <w:rFonts w:ascii="IRNazanin" w:hAnsi="IRNazanin" w:eastAsia="IRNazanin" w:cs="IRNazanin"/>
          <w:lang w:bidi="fa-IR"/>
          <w:color w:val="111111"/>
          <w:sz w:val="28"/>
          <w:szCs w:val="28"/>
          <w:rtl/>
        </w:rPr>
        <w:t xml:space="preserve">۳۱۵. تهران؛ مجلس؛ شماره نسخه: ۷۷۰/۳۲- طباطبائی</w:t>
      </w:r>
    </w:p>
    <w:p>
      <w:pPr>
        <w:pStyle w:val="BookText"/>
      </w:pPr>
      <w:r>
        <w:rPr>
          <w:rFonts w:ascii="IRNazanin" w:hAnsi="IRNazanin" w:eastAsia="IRNazanin" w:cs="IRNazanin"/>
          <w:lang w:bidi="fa-IR"/>
          <w:color w:val="111111"/>
          <w:sz w:val="28"/>
          <w:szCs w:val="28"/>
          <w:rtl/>
        </w:rPr>
        <w:t xml:space="preserve">چند قصیده معروف: از فرزدق در مدح حضرت سجاد (علیه السّلام) ، از ابن ابی الحدید در مدح امام امیرالمؤمنين (علیه السّلام)، قصيده ۱ و ۲ ازقصائد سبع علویات و قصیده ای از سعدی؛ بی کا، بی تا؛ کاغذ: فرنگی سفید آهار مهره، جلد: تیماج مشکی، ۱۰ص (122- 132 حاشیه)، ۱۹، ۲۰ و ۲۷ سطر، قطع: رقعی،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  ف: 23- 68]</w:t>
      </w:r>
    </w:p>
    <w:p>
      <w:pPr>
        <w:pStyle w:val="BookText"/>
      </w:pPr>
      <w:r>
        <w:rPr>
          <w:rFonts w:ascii="IRNazanin" w:hAnsi="IRNazanin" w:eastAsia="IRNazanin" w:cs="IRNazanin"/>
          <w:lang w:bidi="fa-IR"/>
          <w:color w:val="111111"/>
          <w:sz w:val="28"/>
          <w:szCs w:val="28"/>
          <w:rtl/>
        </w:rPr>
        <w:t xml:space="preserve">۳۱۶. تهران؛ دانشگاه؛ شماره نسخه: ۳۵۰۸/۲</w:t>
      </w:r>
    </w:p>
    <w:p>
      <w:pPr>
        <w:pStyle w:val="BookText"/>
      </w:pPr>
      <w:r>
        <w:rPr>
          <w:rFonts w:ascii="IRNazanin" w:hAnsi="IRNazanin" w:eastAsia="IRNazanin" w:cs="IRNazanin"/>
          <w:lang w:bidi="fa-IR"/>
          <w:color w:val="111111"/>
          <w:sz w:val="28"/>
          <w:szCs w:val="28"/>
          <w:rtl/>
        </w:rPr>
        <w:t xml:space="preserve">قصیده های شیخ راشد حریری، محمد بن سمين، ابن متوج وابن حماد، خلیعی، شیخ مفلح، شیخ در مکی، در مرثیه است؛ خـط: نسخ، بی کا، بی تا؛ کاغذ: فرنگی، جلد: تیماج سبزضربی، ۱۰گ (۷۶پ-۶۷ پ)، ۲۰ سطر (6</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[ف:12- 2515]</w:t>
      </w:r>
    </w:p>
    <w:p>
      <w:pPr>
        <w:pStyle w:val="BookText"/>
      </w:pPr>
      <w:r>
        <w:rPr>
          <w:rFonts w:ascii="IRNazanin" w:hAnsi="IRNazanin" w:eastAsia="IRNazanin" w:cs="IRNazanin"/>
          <w:lang w:bidi="fa-IR"/>
          <w:color w:val="111111"/>
          <w:sz w:val="28"/>
          <w:szCs w:val="28"/>
          <w:rtl/>
        </w:rPr>
        <w:t xml:space="preserve">۳۱۷. تهران؛ مروی؛ شماره نسخه: ۱۳۵</w:t>
      </w:r>
    </w:p>
    <w:p>
      <w:pPr>
        <w:pStyle w:val="BookText"/>
      </w:pPr>
      <w:r>
        <w:rPr>
          <w:rFonts w:ascii="IRNazanin" w:hAnsi="IRNazanin" w:eastAsia="IRNazanin" w:cs="IRNazanin"/>
          <w:lang w:bidi="fa-IR"/>
          <w:color w:val="111111"/>
          <w:sz w:val="28"/>
          <w:szCs w:val="28"/>
          <w:rtl/>
        </w:rPr>
        <w:t xml:space="preserve">مجموعه قصاید حدود هفتاد نفر از شعرا است در مدایح و مراثـی، که یکی آنها شیخ بهائی است؛ بی کا، بی تا؛ قطع: رحلی [ف: 198]</w:t>
      </w:r>
    </w:p>
    <w:p>
      <w:pPr>
        <w:pStyle w:val="BookText"/>
      </w:pPr>
      <w:r>
        <w:rPr>
          <w:rFonts w:ascii="Times New Roman" w:hAnsi="Times New Roman" w:eastAsia="Times New Roman" w:cs="Times New Roman"/>
          <w:lang w:val="en-US" w:bidi="en-US"/>
          <w:color w:val="111111"/>
          <w:sz w:val="28"/>
          <w:szCs w:val="28"/>
          <w:rtl/>
        </w:rPr>
        <w:t xml:space="preserve">318.</w:t>
      </w:r>
    </w:p>
    <w:p>
      <w:pPr>
        <w:pStyle w:val="BookText"/>
      </w:pPr>
      <w:r>
        <w:rPr>
          <w:rFonts w:ascii="IRNazanin" w:hAnsi="IRNazanin" w:eastAsia="IRNazanin" w:cs="IRNazanin"/>
          <w:lang w:bidi="fa-IR"/>
          <w:color w:val="111111"/>
          <w:sz w:val="28"/>
          <w:szCs w:val="28"/>
          <w:rtl/>
        </w:rPr>
        <w:t xml:space="preserve">مشهد؛ رضوی؛ شماره نسخه: ۱۴۷۹۶</w:t>
      </w:r>
    </w:p>
    <w:p>
      <w:pPr>
        <w:pStyle w:val="BookText"/>
      </w:pPr>
      <w:r>
        <w:rPr>
          <w:rFonts w:ascii="Amiri" w:hAnsi="Amiri" w:eastAsia="Amiri" w:cs="Amiri"/>
          <w:lang w:bidi="ar-SA"/>
          <w:color w:val="111111"/>
          <w:sz w:val="28"/>
          <w:szCs w:val="28"/>
          <w:rtl/>
        </w:rPr>
        <w:t xml:space="preserve">آغاز: بسمله كان لم يكن بين الحجون الى الصفا؛ انجام: والحمد لله رب العالمين</w:t>
      </w:r>
    </w:p>
    <w:p>
      <w:pPr>
        <w:pStyle w:val="BookText"/>
      </w:pPr>
      <w:r>
        <w:rPr>
          <w:rFonts w:ascii="IRNazanin" w:hAnsi="IRNazanin" w:eastAsia="IRNazanin" w:cs="IRNazanin"/>
          <w:lang w:bidi="fa-IR"/>
          <w:color w:val="111111"/>
          <w:sz w:val="28"/>
          <w:szCs w:val="28"/>
          <w:rtl/>
        </w:rPr>
        <w:t xml:space="preserve">قصاید است؛ خط: نسخ، بی کا، بی تا [الفبائی: ۴۴۵]</w:t>
      </w:r>
    </w:p>
    <w:p>
      <w:pPr>
        <w:pStyle w:val="BookText"/>
      </w:pPr>
      <w:r>
        <w:rPr>
          <w:rFonts w:ascii="IRNazanin" w:hAnsi="IRNazanin" w:eastAsia="IRNazanin" w:cs="IRNazanin"/>
          <w:lang w:bidi="fa-IR"/>
          <w:color w:val="111111"/>
          <w:sz w:val="28"/>
          <w:szCs w:val="28"/>
          <w:rtl/>
        </w:rPr>
        <w:t xml:space="preserve">۳۱۹. تهران؛ ملی؛ شماره نسخه: ۲۸۵۳/۳</w:t>
      </w:r>
    </w:p>
    <w:p>
      <w:pPr>
        <w:pStyle w:val="BookText"/>
      </w:pPr>
      <w:r>
        <w:rPr>
          <w:rFonts w:ascii="IRNazanin" w:hAnsi="IRNazanin" w:eastAsia="IRNazanin" w:cs="IRNazanin"/>
          <w:lang w:bidi="fa-IR"/>
          <w:color w:val="111111"/>
          <w:sz w:val="28"/>
          <w:szCs w:val="28"/>
          <w:rtl/>
        </w:rPr>
        <w:t xml:space="preserve">آغاز: و یکی یا عين سحى دمعاً سكوباً *** و یک یا قلب کن حزيناً كئيباً؛ انجام: هنا یا کربلا مطروح و اوداجه *** رحلنا عقبنا منه يداويها</w:t>
      </w:r>
    </w:p>
    <w:p>
      <w:pPr>
        <w:pStyle w:val="BookText"/>
      </w:pPr>
      <w:r>
        <w:rPr>
          <w:rFonts w:ascii="IRNazanin" w:hAnsi="IRNazanin" w:eastAsia="IRNazanin" w:cs="IRNazanin"/>
          <w:lang w:bidi="fa-IR"/>
          <w:color w:val="111111"/>
          <w:sz w:val="28"/>
          <w:szCs w:val="28"/>
          <w:rtl/>
        </w:rPr>
        <w:t xml:space="preserve">رساله ای مشتمل بر ۴ قصیده در مراثی است، قصیده دوم در رثای امام علی (علیه السّلام) و ۳ قصیده دیگر در رثای امام حسین (علیه السّلام) است: ۱. قصيده شيخ ابن حماد با مطلع: «ویکی يا عين سحي دمعاً سكوباً *** و یک یا قلب كن حزيناً كئيباً» ،۲. قصيدة في مصائب على بن ابیطالب (علیه السّلام) با مطلع: «باهلى و مالى ثم قومی و استری *** فداء لمن اضحى قتيل ابن ملجم» ،3. القصيدة الفاجعة، از شیخ حسن نجفی با مطلع: «المصاب الكريم زاد شجونى *** فاعذلون ان مشيتم فاعذرونی»، ۴. القصيدة العظيمة الشأن من قائلها، با مطلع: «يا زائر کربلا یا الله ناديها *** و جف وانشد على السكنة و بواديها»؛ خط: نسخ و نستعلیق، بی کا، بی تا؛ کاغذ: فرنگی شکری،جلد: بیاض، تیماج تریاکی یک لا ،ضربی ۷گ (۱۰۱-۱۰۸پ)،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۱۸/۵سم [ف : ۱۳ - ۳۶۳]</w:t>
      </w:r>
    </w:p>
    <w:p>
      <w:pPr>
        <w:pStyle w:val="BookText"/>
      </w:pPr>
      <w:r>
        <w:rPr>
          <w:rFonts w:ascii="IRNazanin" w:hAnsi="IRNazanin" w:eastAsia="IRNazanin" w:cs="IRNazanin"/>
          <w:lang w:bidi="fa-IR"/>
          <w:color w:val="111111"/>
          <w:sz w:val="28"/>
          <w:szCs w:val="28"/>
          <w:rtl/>
        </w:rPr>
        <w:t xml:space="preserve">۳۲۰. تهران؛ ملک ؛شماره نسخه: ۱۸۰۷/۲۴</w:t>
      </w:r>
    </w:p>
    <w:p>
      <w:pPr>
        <w:pStyle w:val="BookText"/>
      </w:pPr>
      <w:r>
        <w:rPr>
          <w:rFonts w:ascii="IRNazanin" w:hAnsi="IRNazanin" w:eastAsia="IRNazanin" w:cs="IRNazanin"/>
          <w:lang w:bidi="fa-IR"/>
          <w:color w:val="111111"/>
          <w:sz w:val="28"/>
          <w:szCs w:val="28"/>
          <w:rtl/>
        </w:rPr>
        <w:t xml:space="preserve">دو قصیده از یزید بن معاوية يكى ميمى دیگری دالی، بی کا، بی تا ،کاغذ: پسته ای، جلد: میشن سیاه  لایی، ۲گ (۱۵۴پ-۱۵۵ر) و (۱۵۷-۱۵۸پ)،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۵ – ۳۷۱]</w:t>
      </w:r>
    </w:p>
    <w:p>
      <w:pPr>
        <w:pStyle w:val="BookText"/>
      </w:pPr>
      <w:r>
        <w:rPr>
          <w:rFonts w:ascii="Times New Roman" w:hAnsi="Times New Roman" w:eastAsia="Times New Roman" w:cs="Times New Roman"/>
          <w:lang w:val="en-US" w:bidi="en-US"/>
          <w:color w:val="111111"/>
          <w:sz w:val="28"/>
          <w:szCs w:val="28"/>
          <w:rtl/>
        </w:rPr>
        <w:t xml:space="preserve">321.</w:t>
      </w:r>
    </w:p>
    <w:p>
      <w:pPr>
        <w:pStyle w:val="BookText"/>
      </w:pPr>
      <w:r>
        <w:rPr>
          <w:rFonts w:ascii="IRNazanin" w:hAnsi="IRNazanin" w:eastAsia="IRNazanin" w:cs="IRNazanin"/>
          <w:lang w:bidi="fa-IR"/>
          <w:color w:val="111111"/>
          <w:sz w:val="28"/>
          <w:szCs w:val="28"/>
          <w:rtl/>
        </w:rPr>
        <w:t xml:space="preserve">شیراز؛ ملی؛ شماره نسخه: 15- د/ 3/ 668</w:t>
      </w:r>
    </w:p>
    <w:p>
      <w:pPr>
        <w:pStyle w:val="BookText"/>
      </w:pPr>
      <w:r>
        <w:rPr>
          <w:rFonts w:ascii="IRNazanin" w:hAnsi="IRNazanin" w:eastAsia="IRNazanin" w:cs="IRNazanin"/>
          <w:lang w:bidi="fa-IR"/>
          <w:color w:val="111111"/>
          <w:sz w:val="28"/>
          <w:szCs w:val="28"/>
          <w:rtl/>
        </w:rPr>
        <w:t xml:space="preserve">آغاز: الله اكبر ما ذا الحادث الجلل *** لقد تزلزل سهل الارض والجبل؛ انجام: لا يقطع الطعن الا في نحورهم *** و ما لهم عن  حياض الموت تهليل. منتخباتی از قصاید عربی. نام گوینده قصاید اولیه که در مدح خانواده عصمت و طهارت است ذکر نشده و بعد از آن قصایدی از عمید اسعد وزیر اتابک سعد (در زمانی که زندانی بوده سروده) و شیخ بهائی و غیره نوشته شده؛ خط: نسخ، بی کا، بی تا؛ کاغذ: فرنگی شکری ،جلد: مقوا با تیماج مشکی، ۱۳گ، ۱۳ سطر (۷/۵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۲ - ۲۵۲]</w:t>
      </w:r>
    </w:p>
    <w:p>
      <w:pPr>
        <w:pStyle w:val="BookText"/>
      </w:pPr>
      <w:r>
        <w:rPr>
          <w:rFonts w:ascii="IRNazanin" w:hAnsi="IRNazanin" w:eastAsia="IRNazanin" w:cs="IRNazanin"/>
          <w:lang w:bidi="fa-IR"/>
          <w:color w:val="111111"/>
          <w:sz w:val="28"/>
          <w:szCs w:val="28"/>
          <w:rtl/>
        </w:rPr>
        <w:t xml:space="preserve">۳۲۲. تهران؛ ملی؛ شماره نسخه: ۱۷۹۴۲</w:t>
      </w:r>
    </w:p>
    <w:p>
      <w:pPr>
        <w:pStyle w:val="BookText"/>
      </w:pPr>
      <w:r>
        <w:rPr>
          <w:rFonts w:ascii="IRNazanin" w:hAnsi="IRNazanin" w:eastAsia="IRNazanin" w:cs="IRNazanin"/>
          <w:lang w:bidi="fa-IR"/>
          <w:color w:val="111111"/>
          <w:sz w:val="28"/>
          <w:szCs w:val="28"/>
          <w:rtl/>
        </w:rPr>
        <w:t xml:space="preserve">سروده هایی به عربی؛ بی کا، بی تا؛ انتقالی از کتابخانه پهلوی- مجموعه نوازی؛ اندازه: ۱۶/۲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۲۴/۵سم [رایانه]</w:t>
      </w:r>
    </w:p>
    <w:p>
      <w:pPr>
        <w:pStyle w:val="BookText"/>
      </w:pPr>
      <w:r>
        <w:rPr>
          <w:rFonts w:ascii="IRNazanin" w:hAnsi="IRNazanin" w:eastAsia="IRNazanin" w:cs="IRNazanin"/>
          <w:lang w:bidi="fa-IR"/>
          <w:color w:val="111111"/>
          <w:sz w:val="28"/>
          <w:szCs w:val="28"/>
          <w:rtl/>
        </w:rPr>
        <w:t xml:space="preserve">۳۲۳. تهران؛ مجلس؛ شماره نسخه: ۵۲۴/۲</w:t>
      </w:r>
    </w:p>
    <w:p>
      <w:pPr>
        <w:pStyle w:val="BookText"/>
      </w:pPr>
      <w:r>
        <w:rPr>
          <w:rFonts w:ascii="IRNazanin" w:hAnsi="IRNazanin" w:eastAsia="IRNazanin" w:cs="IRNazanin"/>
          <w:lang w:bidi="fa-IR"/>
          <w:color w:val="111111"/>
          <w:sz w:val="28"/>
          <w:szCs w:val="28"/>
          <w:rtl/>
        </w:rPr>
        <w:t xml:space="preserve">ده بیت شعر عربی درباره رمز نام های قاریان و حل آنها به نثر؛ خط: نسخ کهن، بی کا، بی تا ؛کاغذ: سفید، جلد: تیماج سرخ ضربی مقوایی با ترنج درون تیماج ،مشکی، ۲۶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[سنا: ف: ۱ - ۳۲۴]</w:t>
      </w:r>
    </w:p>
    <w:p>
      <w:pPr>
        <w:pStyle w:val="BookText"/>
      </w:pPr>
      <w:r>
        <w:rPr>
          <w:rFonts w:ascii="IRNazanin" w:hAnsi="IRNazanin" w:eastAsia="IRNazanin" w:cs="IRNazanin"/>
          <w:lang w:bidi="fa-IR"/>
          <w:color w:val="111111"/>
          <w:sz w:val="28"/>
          <w:szCs w:val="28"/>
          <w:rtl/>
        </w:rPr>
        <w:t xml:space="preserve">۳۲۴. تهران؛ دانشگاه؛ شماره نسخه: ۶۴۶۳/۶-عکس</w:t>
      </w:r>
    </w:p>
    <w:p>
      <w:pPr>
        <w:pStyle w:val="BookText"/>
      </w:pPr>
      <w:r>
        <w:rPr>
          <w:rFonts w:ascii="IRNazanin" w:hAnsi="IRNazanin" w:eastAsia="IRNazanin" w:cs="IRNazanin"/>
          <w:lang w:bidi="fa-IR"/>
          <w:color w:val="111111"/>
          <w:sz w:val="28"/>
          <w:szCs w:val="28"/>
          <w:rtl/>
        </w:rPr>
        <w:t xml:space="preserve">نسخه اصل: آستان رضوی، شعر علی و فاطمه (علیه السّلام) و سید مرتضی و حسن بصری و ابن سینا و گمنام ( لاادری)؛ بی کا، بی تا[ فیلمها: ۳ - 256]</w:t>
      </w:r>
    </w:p>
    <w:p>
      <w:pPr>
        <w:pStyle w:val="BookText"/>
      </w:pPr>
      <w:r>
        <w:rPr>
          <w:rFonts w:ascii="IRNazanin" w:hAnsi="IRNazanin" w:eastAsia="IRNazanin" w:cs="IRNazanin"/>
          <w:lang w:bidi="fa-IR"/>
          <w:color w:val="111111"/>
          <w:sz w:val="28"/>
          <w:szCs w:val="28"/>
          <w:rtl/>
        </w:rPr>
        <w:t xml:space="preserve">۳۲۵. تهران؛ مجلس؛ شماره نسخه: ۱۴۳۵۵/۴</w:t>
      </w:r>
    </w:p>
    <w:p>
      <w:pPr>
        <w:pStyle w:val="BookText"/>
      </w:pPr>
      <w:r>
        <w:rPr>
          <w:rFonts w:ascii="Amiri" w:hAnsi="Amiri" w:eastAsia="Amiri" w:cs="Amiri"/>
          <w:lang w:bidi="ar-SA"/>
          <w:color w:val="111111"/>
          <w:sz w:val="28"/>
          <w:szCs w:val="28"/>
          <w:rtl/>
        </w:rPr>
        <w:t xml:space="preserve">آغاز: معاوية الخال لا تجهل *** و عن سنن الحق لا تعدل؛ انجام: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 كنت فيها بلغت المنا *** ففى عنق علق الجلجلى</w:t>
      </w:r>
    </w:p>
    <w:p>
      <w:pPr>
        <w:pStyle w:val="BookText"/>
      </w:pPr>
      <w:r>
        <w:rPr>
          <w:rFonts w:ascii="IRNazanin" w:hAnsi="IRNazanin" w:eastAsia="IRNazanin" w:cs="IRNazanin"/>
          <w:lang w:bidi="fa-IR"/>
          <w:color w:val="111111"/>
          <w:sz w:val="28"/>
          <w:szCs w:val="28"/>
          <w:rtl/>
        </w:rPr>
        <w:t xml:space="preserve">شعر عمرو عاص است که در عتاب معاویه سروده؛ خط: نسـخ،بی کا، بی تا؛ جلد: تیماج قهوه ای، ۲گ (۲۱۲پ-۲۱۴ر)، ۱۴ سـطر  ، اندازه: ۱۱۰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۳۸ - ۴۸۶]</w:t>
      </w:r>
    </w:p>
    <w:p>
      <w:pPr>
        <w:pStyle w:val="BookText"/>
      </w:pPr>
      <w:r>
        <w:rPr>
          <w:rFonts w:ascii="IRNazanin" w:hAnsi="IRNazanin" w:eastAsia="IRNazanin" w:cs="IRNazanin"/>
          <w:lang w:bidi="fa-IR"/>
          <w:color w:val="111111"/>
          <w:sz w:val="28"/>
          <w:szCs w:val="28"/>
          <w:rtl/>
        </w:rPr>
        <w:t xml:space="preserve">۳۲۶. تهران؛ مینوی؛ شماره نسخه: ۵۴/۱۲</w:t>
      </w:r>
    </w:p>
    <w:p>
      <w:pPr>
        <w:pStyle w:val="BookText"/>
      </w:pPr>
      <w:r>
        <w:rPr>
          <w:rFonts w:ascii="IRNazanin" w:hAnsi="IRNazanin" w:eastAsia="IRNazanin" w:cs="IRNazanin"/>
          <w:lang w:bidi="fa-IR"/>
          <w:color w:val="111111"/>
          <w:sz w:val="28"/>
          <w:szCs w:val="28"/>
          <w:rtl/>
        </w:rPr>
        <w:t xml:space="preserve">خط: نستعلیق، بی کا، بی تا؛ ۵ص [ نشریه: ۶ - ۶۷۸]</w:t>
      </w:r>
    </w:p>
    <w:p>
      <w:pPr>
        <w:pStyle w:val="BookText"/>
      </w:pPr>
      <w:r>
        <w:rPr>
          <w:rFonts w:ascii="IRNazanin" w:hAnsi="IRNazanin" w:eastAsia="IRNazanin" w:cs="IRNazanin"/>
          <w:lang w:bidi="fa-IR"/>
          <w:color w:val="111111"/>
          <w:sz w:val="28"/>
          <w:szCs w:val="28"/>
          <w:rtl/>
        </w:rPr>
        <w:t xml:space="preserve">۳۲۷. تهران؛ دانشگاه؛ شماره نسخه: ۲۲۴۱/۲</w:t>
      </w:r>
    </w:p>
    <w:p>
      <w:pPr>
        <w:pStyle w:val="BookText"/>
      </w:pPr>
      <w:r>
        <w:rPr>
          <w:rFonts w:ascii="IRNazanin" w:hAnsi="IRNazanin" w:eastAsia="IRNazanin" w:cs="IRNazanin"/>
          <w:lang w:bidi="fa-IR"/>
          <w:color w:val="111111"/>
          <w:sz w:val="28"/>
          <w:szCs w:val="28"/>
          <w:rtl/>
        </w:rPr>
        <w:t xml:space="preserve">شعرهایی به عربی درباره دشت کربلاست؛ خط: نسخ و نستعلیق، بی کا، بی تا؛ کاغذ: فرنگی، جلد: تیماج مشکی ضربی مقوایی، ۳گ (۱۳ ر-۱۶ر)، ۷ سطر (۶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۱۱/۵)، اندازه: ۱۱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۱۸سم [ ف: ۹ - 903]</w:t>
      </w:r>
    </w:p>
    <w:p>
      <w:pPr>
        <w:pStyle w:val="BookText"/>
      </w:pPr>
      <w:r>
        <w:rPr>
          <w:rFonts w:ascii="IRNazanin" w:hAnsi="IRNazanin" w:eastAsia="IRNazanin" w:cs="IRNazanin"/>
          <w:lang w:bidi="fa-IR"/>
          <w:color w:val="111111"/>
          <w:sz w:val="28"/>
          <w:szCs w:val="28"/>
          <w:rtl/>
        </w:rPr>
        <w:t xml:space="preserve">328 . قم؛ مرکز احیاء؛ شماره نسخه: ۷۲۱/۲۷</w:t>
      </w:r>
    </w:p>
    <w:p>
      <w:pPr>
        <w:pStyle w:val="BookText"/>
      </w:pPr>
      <w:r>
        <w:rPr>
          <w:rFonts w:ascii="IRNazanin" w:hAnsi="IRNazanin" w:eastAsia="IRNazanin" w:cs="IRNazanin"/>
          <w:lang w:bidi="fa-IR"/>
          <w:color w:val="111111"/>
          <w:sz w:val="28"/>
          <w:szCs w:val="28"/>
          <w:rtl/>
        </w:rPr>
        <w:t xml:space="preserve">نسخه اصل: کتابخانه واتیکان- رم ۱۱۳۱. متفرقاتی است مشتمل بر قصیده ای دالیه در ۲۹ بیت از قاضی شهاب الدین احمد بن  عامر در مدح محمد بن امام، قصیده ای لامیه در ۱۹ بیت از امام توکل مطهر بن محمد بن سليمان، القصيدة الفاخرة الحميدة در ۲۰ بـیت از امام منصور بالله محمد بن على، قصيده لامیه در ۲۶ بیت از ابن ادیب، قصیده بائیه در ۲۱ بیت از امام علی (علیه السّلام) ابیاتی از عمروبن عامر ملطوم، روایتی از رسول خدا (صلّی اللَّهِ علیه وَ آلِهِ وَ سَلَّمَ ) در رودخانه هایی که بهشت در زمین جاریند، قصیده ای هائیه در ۳۰ بیت در سفارشاتی به اخوان، ابیاتی از امام علی (علیه السّلام) ، قصیده نونیه از امیرالمؤمنین علی (علیه السّلام) در ۲۵ بیت در سفارش به مردم، حکایات و روایت هـای مختلف، ابیاتی از امام قاسم بن محمد بن علی، وصیت پیامبر به امام علی (علیه السّلام) ، ابیاتی از خلیل بن احمد، ابیاتی در مدح اهل علـم و بعضی سروده ابراهیم بن ادهم، ابیاتی از ابوالفرج غسانی دمشقی، خبر بدو خلق الانسان و صفته، رساله ای از عبدالله بن محمد نجـری که از مصر برای پدرش فرستاده، اشعاری که بر قبر امام ناصر لدين الله محمد بن علی نوشته شده و قبری در شام، قصیده میمیه ۴۹ بیت از شمس الدین احمد بن قاسم شامی، قصیده ای میمیه در ۳۷ بیت از همو در جنگ با قریه جحاله، قصیده میمیه در27 بیت از صالح بن عبدالرحمن، اشعار متفرقه، ابیاتی از قاضی شمـس الدين جعفر بن احمد بن ابی  یحیی، ابیاتی از قاسم بن ابراهـیم، مرثیه سید صلاح بن عبدالخالق بن جحاف برای فقیه سید محـمد بن سلامه، قصیده کافیه در ۲۸ بیت از عبدالله بن على بن ابى الفـرج در وصیت به  فرزندش، قصیده ای از زمخشری، چند فائده متفرقه ،و قصیده ای بائیه در ۲۲ بیت در تشویق طالبان  عليم، اشعار متفرق و متفرقات دیگر ؛كا: عبد المغيث بن عزالدين بن هادی مسوری حمیری ملقب به توهمی، بی تا؛ ۸۰ ص (۲۰۶-۲۸۵) [عکسی ف: 2- 392]</w:t>
      </w:r>
    </w:p>
    <w:p>
      <w:pPr>
        <w:pStyle w:val="BookText"/>
      </w:pPr>
      <w:r>
        <w:rPr>
          <w:rFonts w:ascii="IRNazanin" w:hAnsi="IRNazanin" w:eastAsia="IRNazanin" w:cs="IRNazanin"/>
          <w:lang w:bidi="fa-IR"/>
          <w:color w:val="111111"/>
          <w:sz w:val="28"/>
          <w:szCs w:val="28"/>
          <w:rtl/>
        </w:rPr>
        <w:t xml:space="preserve">۳۲۹ .تهران؛ دانشگاه؛ شماره نسخه: ۵۴۸۷/۴-ف</w:t>
      </w:r>
    </w:p>
    <w:p>
      <w:pPr>
        <w:pStyle w:val="BookText"/>
      </w:pPr>
      <w:r>
        <w:rPr>
          <w:rFonts w:ascii="IRNazanin" w:hAnsi="IRNazanin" w:eastAsia="IRNazanin" w:cs="IRNazanin"/>
          <w:lang w:bidi="fa-IR"/>
          <w:color w:val="111111"/>
          <w:sz w:val="28"/>
          <w:szCs w:val="28"/>
          <w:rtl/>
        </w:rPr>
        <w:t xml:space="preserve">نسخه اصل: کتابخانه توبینگن </w:t>
      </w:r>
      <w:r>
        <w:rPr>
          <w:rFonts w:ascii="Times New Roman" w:hAnsi="Times New Roman" w:eastAsia="Times New Roman" w:cs="Times New Roman"/>
          <w:lang w:val="en-US" w:bidi="en-US"/>
          <w:color w:val="111111"/>
          <w:sz w:val="28"/>
          <w:szCs w:val="28"/>
          <w:rtl/>
        </w:rPr>
        <w:t xml:space="preserve">MaV156 </w:t>
      </w:r>
      <w:r>
        <w:rPr>
          <w:rFonts w:ascii="IRNazanin" w:hAnsi="IRNazanin" w:eastAsia="IRNazanin" w:cs="IRNazanin"/>
          <w:lang w:bidi="fa-IR"/>
          <w:color w:val="111111"/>
          <w:sz w:val="28"/>
          <w:szCs w:val="28"/>
          <w:rtl/>
        </w:rPr>
        <w:t xml:space="preserve">مجموعه اشعار از ابن نـباته و صفی و ابوحسین جزار و ابوالفضل ابن وفاء و ابن فارسی؛ بی کا، بی تا؛</w:t>
      </w:r>
    </w:p>
    <w:p>
      <w:pPr>
        <w:pStyle w:val="BookText"/>
      </w:pPr>
      <w:r>
        <w:rPr>
          <w:rFonts w:ascii="IRNazanin" w:hAnsi="IRNazanin" w:eastAsia="IRNazanin" w:cs="IRNazanin"/>
          <w:lang w:bidi="fa-IR"/>
          <w:color w:val="111111"/>
          <w:sz w:val="28"/>
          <w:szCs w:val="28"/>
          <w:rtl/>
        </w:rPr>
        <w:t xml:space="preserve">[فیلمها ۳ - ۱۶۰]</w:t>
      </w:r>
    </w:p>
    <w:p>
      <w:pPr>
        <w:pStyle w:val="BookText"/>
      </w:pPr>
      <w:r>
        <w:rPr>
          <w:rFonts w:ascii="IRNazanin" w:hAnsi="IRNazanin" w:eastAsia="IRNazanin" w:cs="IRNazanin"/>
          <w:lang w:bidi="fa-IR"/>
          <w:color w:val="111111"/>
          <w:sz w:val="28"/>
          <w:szCs w:val="28"/>
          <w:rtl/>
        </w:rPr>
        <w:t xml:space="preserve">۳۳۰ . قم؛ مرکز احیاء؛ شماره نسخه: ۱۰۷۳/۹</w:t>
      </w:r>
    </w:p>
    <w:p>
      <w:pPr>
        <w:pStyle w:val="BookText"/>
      </w:pPr>
      <w:r>
        <w:rPr>
          <w:rFonts w:ascii="Amiri" w:hAnsi="Amiri" w:eastAsia="Amiri" w:cs="Amiri"/>
          <w:lang w:bidi="ar-SA"/>
          <w:color w:val="111111"/>
          <w:sz w:val="28"/>
          <w:szCs w:val="28"/>
          <w:rtl/>
        </w:rPr>
        <w:t xml:space="preserve">آغاز: ابت الوصال مخافة الرقباء *** و اتتك تحت مدارع الظلماء</w:t>
      </w:r>
    </w:p>
    <w:p>
      <w:pPr>
        <w:pStyle w:val="BookText"/>
      </w:pPr>
      <w:r>
        <w:rPr>
          <w:rFonts w:ascii="IRNazanin" w:hAnsi="IRNazanin" w:eastAsia="IRNazanin" w:cs="IRNazanin"/>
          <w:lang w:bidi="fa-IR"/>
          <w:color w:val="111111"/>
          <w:sz w:val="28"/>
          <w:szCs w:val="28"/>
          <w:rtl/>
        </w:rPr>
        <w:t xml:space="preserve">نسخه اصل: کتابخانه کاخ گلستان - تهران ۱۷۲ [این شماره در فهرست سلطنتی جز این است]. دیوان اشعار و قصایدی به ترتیب قوافی با بیش از هفتصد بیت شعر می باشد؛ خط: نستعلیق، بی  کا، بی تا ۵۲ ص( ۲۹۱-۳۴۲) [ عکسی ف: ۳ - ۳۳۷]</w:t>
      </w:r>
    </w:p>
    <w:p>
      <w:pPr>
        <w:pStyle w:val="BookText"/>
      </w:pPr>
      <w:r>
        <w:rPr>
          <w:rFonts w:ascii="IRNazanin" w:hAnsi="IRNazanin" w:eastAsia="IRNazanin" w:cs="IRNazanin"/>
          <w:lang w:bidi="fa-IR"/>
          <w:color w:val="111111"/>
          <w:sz w:val="28"/>
          <w:szCs w:val="28"/>
          <w:rtl/>
        </w:rPr>
        <w:t xml:space="preserve">۳۳۱. تهران؛ مینوی؛ شماره نسخه: ۵۴/۱۲</w:t>
      </w:r>
    </w:p>
    <w:p>
      <w:pPr>
        <w:pStyle w:val="BookText"/>
      </w:pPr>
      <w:r>
        <w:rPr>
          <w:rFonts w:ascii="IRNazanin" w:hAnsi="IRNazanin" w:eastAsia="IRNazanin" w:cs="IRNazanin"/>
          <w:lang w:bidi="fa-IR"/>
          <w:color w:val="111111"/>
          <w:sz w:val="28"/>
          <w:szCs w:val="28"/>
          <w:rtl/>
        </w:rPr>
        <w:t xml:space="preserve">خط: نستعلیق، بی کا، بی تا؛ ۵ص [ نشریه: ۶ - ۶۷۸]</w:t>
      </w:r>
    </w:p>
    <w:p>
      <w:pPr>
        <w:pStyle w:val="BookText"/>
      </w:pPr>
      <w:r>
        <w:rPr>
          <w:rFonts w:ascii="IRNazanin" w:hAnsi="IRNazanin" w:eastAsia="IRNazanin" w:cs="IRNazanin"/>
          <w:lang w:bidi="fa-IR"/>
          <w:color w:val="111111"/>
          <w:sz w:val="28"/>
          <w:szCs w:val="28"/>
          <w:rtl/>
        </w:rPr>
        <w:t xml:space="preserve">۳۳۲. قم؛ مرعشی؛ شماره نسخه: ۹۹۳۳</w:t>
      </w:r>
    </w:p>
    <w:p>
      <w:pPr>
        <w:pStyle w:val="BookText"/>
      </w:pPr>
      <w:r>
        <w:rPr>
          <w:rFonts w:ascii="IRNazanin" w:hAnsi="IRNazanin" w:eastAsia="IRNazanin" w:cs="IRNazanin"/>
          <w:lang w:bidi="fa-IR"/>
          <w:color w:val="111111"/>
          <w:sz w:val="28"/>
          <w:szCs w:val="28"/>
          <w:rtl/>
        </w:rPr>
        <w:t xml:space="preserve">آغاز: كم قدر ما يثبت المتجلد *** و بقلبه للوجد نار توقد /احبابنا ما حيلتي صبری فنی *** و هو اؤكم متزايد متجدد  بیشتر قصیده های این مجموعه درباره حضرات معصومین (علیه السّلام) می باشد که بدون تنظیم گرد آورده شده است، نام شاعران این جنگ ابن قاضی الزيداني، السيد الحميري، الحياني، احمد بن شمس، السيد جمال الدين، الصاحب بن عباد، الشيخ حسين الحارثي العاملى، الشيخ على بن زين الدين الصغير، ابن ابى الحديد، صفى الدين حلی؛ خط: نسخ، بی کا، بی تا؛ دارای چند یادداشت و تملک به تاریخ های ۱۱۷۷ - ۱۱۸۲؛ جلد: مقوایی عطف تیماج  مشکی، ۷۷گ ،مختلف السطر،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25- 215]</w:t>
      </w:r>
    </w:p>
    <w:p>
      <w:pPr>
        <w:pStyle w:val="BookText"/>
      </w:pPr>
      <w:r>
        <w:rPr>
          <w:rFonts w:ascii="IRNazanin" w:hAnsi="IRNazanin" w:eastAsia="IRNazanin" w:cs="IRNazanin"/>
          <w:lang w:bidi="fa-IR"/>
          <w:color w:val="111111"/>
          <w:sz w:val="28"/>
          <w:szCs w:val="28"/>
          <w:rtl/>
        </w:rPr>
        <w:t xml:space="preserve">۳۳۳ .کرمانشاه؛ نجومی؛ شماره نسخه: بدون شماره</w:t>
      </w:r>
    </w:p>
    <w:p>
      <w:pPr>
        <w:pStyle w:val="BookText"/>
      </w:pPr>
      <w:r>
        <w:rPr>
          <w:rFonts w:ascii="IRNazanin" w:hAnsi="IRNazanin" w:eastAsia="IRNazanin" w:cs="IRNazanin"/>
          <w:lang w:bidi="fa-IR"/>
          <w:color w:val="111111"/>
          <w:sz w:val="28"/>
          <w:szCs w:val="28"/>
          <w:rtl/>
        </w:rPr>
        <w:t xml:space="preserve">مجموعه شعری است، داراى قصيدة البردة، عينية السيد الحميري، قبل از آن قصة البردة به فارسی منقول از سید علی همدانی ،خط: نسخ  زیبا، بی کا، بی تا ،مجدول؛ قصيدة البردة ترجمه فارسی بیت سطور [ دليل المخطوطات: ۱ - ۲۸۶]</w:t>
      </w:r>
    </w:p>
    <w:p>
      <w:pPr>
        <w:pStyle w:val="BookText"/>
      </w:pPr>
      <w:r>
        <w:rPr>
          <w:rFonts w:ascii="IRNazanin" w:hAnsi="IRNazanin" w:eastAsia="IRNazanin" w:cs="IRNazanin"/>
          <w:lang w:bidi="fa-IR"/>
          <w:color w:val="111111"/>
          <w:sz w:val="28"/>
          <w:szCs w:val="28"/>
          <w:rtl/>
        </w:rPr>
        <w:t xml:space="preserve">334.کرمانشاه؛ فیض مهدوی (کتابخانه)؛ شماره نسخه: بدون شماره /۱</w:t>
      </w:r>
    </w:p>
    <w:p>
      <w:pPr>
        <w:pStyle w:val="BookText"/>
      </w:pPr>
      <w:r>
        <w:rPr>
          <w:rFonts w:ascii="Amiri" w:hAnsi="Amiri" w:eastAsia="Amiri" w:cs="Amiri"/>
          <w:lang w:bidi="ar-SA"/>
          <w:color w:val="111111"/>
          <w:sz w:val="28"/>
          <w:szCs w:val="28"/>
          <w:rtl/>
        </w:rPr>
        <w:t xml:space="preserve">آغاز: ألا ياليل هل لك من صباح *** و هلا هلا سير نجمك من براح</w:t>
      </w:r>
    </w:p>
    <w:p>
      <w:pPr>
        <w:pStyle w:val="BookText"/>
      </w:pPr>
      <w:r>
        <w:rPr>
          <w:rFonts w:ascii="IRNazanin" w:hAnsi="IRNazanin" w:eastAsia="IRNazanin" w:cs="IRNazanin"/>
          <w:lang w:bidi="fa-IR"/>
          <w:color w:val="111111"/>
          <w:sz w:val="28"/>
          <w:szCs w:val="28"/>
          <w:rtl/>
        </w:rPr>
        <w:t xml:space="preserve">مجموعه شعری است. فيها قصائد و مقاطيع جمعت من دواوين الشعراء فى مختلف الاغراض الشعرية من دون ترتیب خاص؛ كا: محمد علی اصبهانی، بی تا [ تراثنا: س۲ش ۴ - ۶۰]</w:t>
      </w:r>
    </w:p>
    <w:p>
      <w:pPr>
        <w:pStyle w:val="BookText"/>
      </w:pPr>
      <w:r>
        <w:rPr>
          <w:rFonts w:ascii="IRNazanin" w:hAnsi="IRNazanin" w:eastAsia="IRNazanin" w:cs="IRNazanin"/>
          <w:lang w:bidi="fa-IR"/>
          <w:color w:val="111111"/>
          <w:sz w:val="28"/>
          <w:szCs w:val="28"/>
          <w:rtl/>
        </w:rPr>
        <w:t xml:space="preserve">۳۳۵. قم؛ مرعشی؛ شماره نسخه: ۳۰۰۱/۱</w:t>
      </w:r>
    </w:p>
    <w:p>
      <w:pPr>
        <w:pStyle w:val="BookText"/>
      </w:pPr>
      <w:r>
        <w:rPr>
          <w:rFonts w:ascii="Amiri" w:hAnsi="Amiri" w:eastAsia="Amiri" w:cs="Amiri"/>
          <w:lang w:bidi="ar-SA"/>
          <w:color w:val="111111"/>
          <w:sz w:val="28"/>
          <w:szCs w:val="28"/>
          <w:rtl/>
        </w:rPr>
        <w:t xml:space="preserve">آغاز: ألفت لى الايام فضل قيادها *** فأردت غير مرامها و مرادها / و صرفت وجهى عن نضارة روضها *** نظراً الى آفاتها و حصادها؛</w:t>
      </w:r>
    </w:p>
    <w:p>
      <w:pPr>
        <w:pStyle w:val="BookText"/>
      </w:pPr>
      <w:r>
        <w:rPr>
          <w:rFonts w:ascii="Amiri" w:hAnsi="Amiri" w:eastAsia="Amiri" w:cs="Amiri"/>
          <w:lang w:bidi="ar-SA"/>
          <w:color w:val="111111"/>
          <w:sz w:val="28"/>
          <w:szCs w:val="28"/>
          <w:rtl/>
        </w:rPr>
        <w:t xml:space="preserve">انجام: حييتكم بصلاة الله ما حييت *** ذكركم صفحات الصحف  و الزبر</w:t>
      </w:r>
    </w:p>
    <w:p>
      <w:pPr>
        <w:pStyle w:val="BookText"/>
      </w:pPr>
      <w:r>
        <w:rPr>
          <w:rFonts w:ascii="IRNazanin" w:hAnsi="IRNazanin" w:eastAsia="IRNazanin" w:cs="IRNazanin"/>
          <w:lang w:bidi="fa-IR"/>
          <w:color w:val="111111"/>
          <w:sz w:val="28"/>
          <w:szCs w:val="28"/>
          <w:rtl/>
        </w:rPr>
        <w:t xml:space="preserve">چند قصیده است درباره حضرت امام حسین (علیه السّلام) از شعراء قدیم و معاصر که بدون ترتیب مخصوص در این مجموعه گردآوری شده؛ خط: نسخ، بی کا، بی تا؛ جلد: تیماج قهوه ای، ۶۴گ (۱پ- ۶۴ر)، ۲۴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۳۴سم [ف: ۸ - ۱۷۴]</w:t>
      </w:r>
    </w:p>
    <w:p>
      <w:pPr>
        <w:pStyle w:val="BookText"/>
      </w:pPr>
      <w:r>
        <w:rPr>
          <w:rFonts w:ascii="IRNazanin" w:hAnsi="IRNazanin" w:eastAsia="IRNazanin" w:cs="IRNazanin"/>
          <w:lang w:bidi="fa-IR"/>
          <w:color w:val="111111"/>
          <w:sz w:val="28"/>
          <w:szCs w:val="28"/>
          <w:rtl/>
        </w:rPr>
        <w:t xml:space="preserve">۳۳۶. قم؛ مرکز احیاء؛ شماره نسخه: ۱۹۰۵</w:t>
      </w:r>
    </w:p>
    <w:p>
      <w:pPr>
        <w:pStyle w:val="BookText"/>
      </w:pPr>
      <w:r>
        <w:rPr>
          <w:rFonts w:ascii="Amiri" w:hAnsi="Amiri" w:eastAsia="Amiri" w:cs="Amiri"/>
          <w:lang w:bidi="ar-SA"/>
          <w:color w:val="111111"/>
          <w:sz w:val="28"/>
          <w:szCs w:val="28"/>
          <w:rtl/>
        </w:rPr>
        <w:t xml:space="preserve">آغاز: فاقبل نظامه و اقبل منه المعاذير *** فاشفع له و الابا يا خير محبور</w:t>
      </w:r>
    </w:p>
    <w:p>
      <w:pPr>
        <w:pStyle w:val="BookText"/>
      </w:pPr>
      <w:r>
        <w:rPr>
          <w:rFonts w:ascii="IRNazanin" w:hAnsi="IRNazanin" w:eastAsia="IRNazanin" w:cs="IRNazanin"/>
          <w:lang w:bidi="fa-IR"/>
          <w:color w:val="111111"/>
          <w:sz w:val="28"/>
          <w:szCs w:val="28"/>
          <w:rtl/>
        </w:rPr>
        <w:t xml:space="preserve">نسخه اصل: کتابخانه کاشف الغطاء- نجف اشرف و قصاید و اشعاری است با مضامین عالی، بیشتر در مصيبت سيد الشهداء (علیه السّلام)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شهدای کربلا، بعضی از شعرای مجموعه عبارتند از: شیخ سلیمان بن عبدالله ماحوزی، شیخ علی بن فرج، شیخ علی بن محمد بن حبيب، شیخ جعفر خطی، شیخ محمد بن شیخ عصفور، شیخ داود بحرانی، شیخ محمد بن عبدالله ابو عزیز خطی، شـیخ حسين بن محمد بن یحیی، و اشعار زیادی بدون نام شاعر ؛ خـط: نسخ، بی کا، بی تا؛ افتادگی: آغاز؛ به دو خط، اواسط و صفحات پایانی به خط نسخ نازیبا مورخ روز جمعه از ماه رجب ۱۳۵۲(؟ )، در بعضی از صفحات روایات مربوط به مقتل سيد الشهداء و اهل بیت (علیهم السّلام) مذکور است؛ ۲۴۸ ص [عکسی ف: ۵ - ۳۶۱]</w:t>
      </w:r>
    </w:p>
    <w:p>
      <w:pPr>
        <w:pStyle w:val="BookText"/>
      </w:pPr>
      <w:r>
        <w:rPr>
          <w:rFonts w:ascii="IRNazanin" w:hAnsi="IRNazanin" w:eastAsia="IRNazanin" w:cs="IRNazanin"/>
          <w:lang w:bidi="fa-IR"/>
          <w:color w:val="111111"/>
          <w:sz w:val="28"/>
          <w:szCs w:val="28"/>
          <w:rtl/>
        </w:rPr>
        <w:t xml:space="preserve">۳۳۷. قم؛ طبسی؛ شماره نسخه: ۳۴۹</w:t>
      </w:r>
    </w:p>
    <w:p>
      <w:pPr>
        <w:pStyle w:val="BookText"/>
      </w:pPr>
      <w:r>
        <w:rPr>
          <w:rFonts w:ascii="Amiri" w:hAnsi="Amiri" w:eastAsia="Amiri" w:cs="Amiri"/>
          <w:lang w:bidi="ar-SA"/>
          <w:color w:val="111111"/>
          <w:sz w:val="28"/>
          <w:szCs w:val="28"/>
          <w:rtl/>
        </w:rPr>
        <w:t xml:space="preserve">آغاز: الحمد لله على ما انعم وله الشكر على ما الهم والثناء على ما قدم من عموم نعم ابتدأها وسبوغ آلاء اسداها وتمام فمن والـاها جم عن الاحصاء عددها؛ انجام: اذا لم يكن للمرء عين صحيحة *** فلا غروان يرتاب والصيح مسفر</w:t>
      </w:r>
    </w:p>
    <w:p>
      <w:pPr>
        <w:pStyle w:val="BookText"/>
      </w:pPr>
      <w:r>
        <w:rPr>
          <w:rFonts w:ascii="IRNazanin" w:hAnsi="IRNazanin" w:eastAsia="IRNazanin" w:cs="IRNazanin"/>
          <w:lang w:bidi="fa-IR"/>
          <w:color w:val="111111"/>
          <w:sz w:val="28"/>
          <w:szCs w:val="28"/>
          <w:rtl/>
        </w:rPr>
        <w:t xml:space="preserve">جنگی است شامل اشعار شعرای عرب، قبل از شروع اشعار خـطبه حضرت زهراء دراول نسخه درج شده و پس از آن اشعاری  در رثای رسول اکرم (صلّی اللَّهِ علیه وَ آلِهِ وَ سَلَّمَ ) و غیر آن از معاذ، ذوالکلاع، خنساء، ابوذویب  هذلي، عمرو بن معدیکرب، ابو الهيتم الهتيان، حباب بن  منذر، حسان بن ثابت، معن بن  عدی، عمرو بن العاص، صنحر، بشر بن ربیع، ابی احمد منصوری هروی، و پس از آن گزیده ای از «رياض الادب فى شواعر العرب» است و بندهایی از اشعار شریف مرتضى (علم الهدى) و ديوان شعر عنترة بن شداد بن معاوية و مراثی خنساء برای برادرش صخر و قصیده شریف رضی در رثای سيد الشهداء و منتخباتی از اشعار حسن بن علی بن محمد و سید عبدالجلیل و محمد بن عبدالوهاب و ابى الطبيب محمد بغدادی و طراد بن علی و ابراهیم بن سهل و عفیف الدين و سيف الدين و صلاح الدین و دیگران؛ خط: نسخ معرب، بی کا، بی تا؛ جلد: مقوا عطف و گوشه تیماج سرخ، ۱۱۶گ، ۱۶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مخ: ۲ - ۴۷۷]</w:t>
      </w:r>
    </w:p>
    <w:p>
      <w:pPr>
        <w:pStyle w:val="BookText"/>
      </w:pPr>
      <w:r>
        <w:rPr>
          <w:rFonts w:ascii="IRNazanin" w:hAnsi="IRNazanin" w:eastAsia="IRNazanin" w:cs="IRNazanin"/>
          <w:lang w:bidi="fa-IR"/>
          <w:color w:val="111111"/>
          <w:sz w:val="28"/>
          <w:szCs w:val="28"/>
          <w:rtl/>
        </w:rPr>
        <w:t xml:space="preserve">۳۳۸. خوانسار؛ فاضل؛ شماره نسخه: ۴۶۹/۴</w:t>
      </w:r>
    </w:p>
    <w:p>
      <w:pPr>
        <w:pStyle w:val="BookText"/>
      </w:pPr>
      <w:r>
        <w:rPr>
          <w:rFonts w:ascii="IRNazanin" w:hAnsi="IRNazanin" w:eastAsia="IRNazanin" w:cs="IRNazanin"/>
          <w:lang w:bidi="fa-IR"/>
          <w:color w:val="111111"/>
          <w:sz w:val="28"/>
          <w:szCs w:val="28"/>
          <w:rtl/>
        </w:rPr>
        <w:t xml:space="preserve">در این مختصر مراسله بین صاحب بن عباد و سید ابوهاشم علوی به نقل از تذکره ابن عراق، اشعار ابوالقاسم بن اسمعيل بن ابی الحسن عباد در محبت به سید اوصیاء و اشعار وی در محـبت زیارت امام (علیه السّلام)، اشعار زین الدین علی بن محمد طائی در اظهار شوق به صحبت احمد بن فهد حلی، اشعار عبدالله بن ابی طالب قمی در شوق به زیارت امیرالمؤمنین (علیه السّلام)، اشعار على بن حماد در فضل بقيع و بقاع  آن، اشعار محمد بن مکی در مدح امیر مؤمـنان على (علیه السّلام) و ... جمع آوری شده است؛ خط: نسخ زیبا، کا: حبیب الله موسوی، بی تا ؛جلد: تیماج قهوه ای، ۱۷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  سم[ف: ۲ - ۱۲۴]</w:t>
      </w:r>
    </w:p>
    <w:p>
      <w:pPr>
        <w:pStyle w:val="BookText"/>
      </w:pPr>
      <w:r>
        <w:rPr>
          <w:rFonts w:ascii="IRNazanin" w:hAnsi="IRNazanin" w:eastAsia="IRNazanin" w:cs="IRNazanin"/>
          <w:lang w:bidi="fa-IR"/>
          <w:color w:val="111111"/>
          <w:sz w:val="28"/>
          <w:szCs w:val="28"/>
          <w:rtl/>
        </w:rPr>
        <w:t xml:space="preserve">۳۳۹. اصفهان؛ دانشگاه؛ شماره نسخه: ۵۳۲</w:t>
      </w:r>
    </w:p>
    <w:p>
      <w:pPr>
        <w:pStyle w:val="BookText"/>
      </w:pPr>
      <w:r>
        <w:rPr>
          <w:rFonts w:ascii="IRNazanin" w:hAnsi="IRNazanin" w:eastAsia="IRNazanin" w:cs="IRNazanin"/>
          <w:lang w:bidi="fa-IR"/>
          <w:color w:val="111111"/>
          <w:sz w:val="28"/>
          <w:szCs w:val="28"/>
          <w:rtl/>
        </w:rPr>
        <w:t xml:space="preserve">جنگ شعر است؛ خط: نسخ، بی کا، بی تا ؛کاغذ: فرنگی، قطع: بیاضی [نشریه: ۱۱ - ۸۹۰]</w:t>
      </w:r>
    </w:p>
    <w:p>
      <w:pPr>
        <w:pStyle w:val="BookText"/>
      </w:pPr>
      <w:r>
        <w:rPr>
          <w:rFonts w:ascii="IRNazanin" w:hAnsi="IRNazanin" w:eastAsia="IRNazanin" w:cs="IRNazanin"/>
          <w:lang w:bidi="fa-IR"/>
          <w:color w:val="111111"/>
          <w:sz w:val="28"/>
          <w:szCs w:val="28"/>
          <w:rtl/>
        </w:rPr>
        <w:t xml:space="preserve">۳۴۰. خوی؛ نمازی؛ شماره نسخه: ۷۹۶/۸</w:t>
      </w:r>
    </w:p>
    <w:p>
      <w:pPr>
        <w:pStyle w:val="BookText"/>
      </w:pPr>
      <w:r>
        <w:rPr>
          <w:rFonts w:ascii="IRNazanin" w:hAnsi="IRNazanin" w:eastAsia="IRNazanin" w:cs="IRNazanin"/>
          <w:lang w:bidi="fa-IR"/>
          <w:color w:val="111111"/>
          <w:sz w:val="28"/>
          <w:szCs w:val="28"/>
          <w:rtl/>
        </w:rPr>
        <w:t xml:space="preserve">خط: نسخ، بی کا، بی تا ؛جلد: مقوایی، ۲ص (۷۵-۷۶)،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[میراث اسلامی: دفتر نهم - ۷۶]</w:t>
      </w:r>
    </w:p>
    <w:p>
      <w:pPr>
        <w:pStyle w:val="BookText"/>
      </w:pPr>
      <w:r>
        <w:rPr>
          <w:rFonts w:ascii="IRNazanin" w:hAnsi="IRNazanin" w:eastAsia="IRNazanin" w:cs="IRNazanin"/>
          <w:lang w:bidi="fa-IR"/>
          <w:color w:val="111111"/>
          <w:sz w:val="28"/>
          <w:szCs w:val="28"/>
          <w:rtl/>
        </w:rPr>
        <w:t xml:space="preserve">۳۴۱. قم؛ طبسی؛ شماره نسخه: ۷۴۶</w:t>
      </w:r>
    </w:p>
    <w:p>
      <w:pPr>
        <w:pStyle w:val="BookText"/>
      </w:pPr>
      <w:r>
        <w:rPr>
          <w:rFonts w:ascii="IRNazanin" w:hAnsi="IRNazanin" w:eastAsia="IRNazanin" w:cs="IRNazanin"/>
          <w:lang w:bidi="fa-IR"/>
          <w:color w:val="111111"/>
          <w:sz w:val="28"/>
          <w:szCs w:val="28"/>
          <w:rtl/>
        </w:rPr>
        <w:t xml:space="preserve">آغاز: شال حسین ثوبه بمسيح الدم *** ولن سهم  المقدر ناجع بسم  / بقلبه وقع لا وخر وخر وجدم *** هوى و اظلم هواها و السما احمر؛ انجام: اشعار فهلا كسفت وكان الكسوف *** لباس السواد على  فقده</w:t>
      </w:r>
    </w:p>
    <w:p>
      <w:pPr>
        <w:pStyle w:val="BookText"/>
      </w:pPr>
      <w:r>
        <w:rPr>
          <w:rFonts w:ascii="IRNazanin" w:hAnsi="IRNazanin" w:eastAsia="IRNazanin" w:cs="IRNazanin"/>
          <w:lang w:bidi="fa-IR"/>
          <w:color w:val="111111"/>
          <w:sz w:val="28"/>
          <w:szCs w:val="28"/>
          <w:rtl/>
        </w:rPr>
        <w:t xml:space="preserve">اشعاری است در مراثی و مدایح اهل بیت (علیهم السّلام) از شعرای عرب همچون: شیخ کاظم سبتى حفظه الله شیخ حسن دمستانی رحمه الله ف شيخ حبيب شعبان حفظه الله، سید جعفر حلى رحمه الله، شیخ کاظم هر حفظه الله، شیخ صالح کراز رحمه الله، حاج هاشم کعبی، ازری، ابن الرومي، شیخ ابراهیم بحرانی، حاج محمد جواد بذک، شیخ عبدالحسین شکر، سید حیدر الحلاوي، سيد حيدر حلی، میرزا جعفر قزوینی، سید محمد قزوینی زاده، حاج حسن قيم حلى، حاج مجید حلی، شیخ محمد رضا خزاعی، دعبل  خزاعی، حاج عبدالله الذهب  التارونی، تخمیس از بغدادی، شیخ عبدالنبی خطی، سید داود عم سيد حیدر، شیخ رجب برسی در آخر كلمات امير المومنين (علیه السّلام) و امام حسين (علیه السّلام)؛ خط: نسخ، بی کا، تا: قرن ۱۳ و ۱۴؛ ۱۶۶گ، ۱۵ سطر، اندازه: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مخ: ۱- ۸۱]</w:t>
      </w:r>
    </w:p>
    <w:p>
      <w:pPr>
        <w:pStyle w:val="BookText"/>
      </w:pPr>
      <w:r>
        <w:rPr>
          <w:rFonts w:ascii="IRNazanin" w:hAnsi="IRNazanin" w:eastAsia="IRNazanin" w:cs="IRNazanin"/>
          <w:lang w:bidi="fa-IR"/>
          <w:color w:val="111111"/>
          <w:sz w:val="28"/>
          <w:szCs w:val="28"/>
          <w:rtl/>
        </w:rPr>
        <w:t xml:space="preserve">۳۴۲. شیراز ؛ملی؛ شماره نسخه: ۶-ق/۵۸۴</w:t>
      </w:r>
    </w:p>
    <w:p>
      <w:pPr>
        <w:pStyle w:val="BookText"/>
      </w:pPr>
      <w:r>
        <w:rPr>
          <w:rFonts w:ascii="IRNazanin" w:hAnsi="IRNazanin" w:eastAsia="IRNazanin" w:cs="IRNazanin"/>
          <w:lang w:bidi="fa-IR"/>
          <w:color w:val="111111"/>
          <w:sz w:val="28"/>
          <w:szCs w:val="28"/>
          <w:rtl/>
        </w:rPr>
        <w:t xml:space="preserve">آغاز: فى ذكر المونثات المساعيه و قد نظمها ابن حاجب في قصيدة و هى هذه: نفسى الفداء لسائل و افانی *** بمسائل فاحت كغصن البان؛ انجام: فان بنى الديان قطب لقومهم *** تدور رحاهم حولها و تحول.</w:t>
      </w:r>
    </w:p>
    <w:p>
      <w:pPr>
        <w:pStyle w:val="BookText"/>
      </w:pPr>
      <w:r>
        <w:rPr>
          <w:rFonts w:ascii="IRNazanin" w:hAnsi="IRNazanin" w:eastAsia="IRNazanin" w:cs="IRNazanin"/>
          <w:lang w:bidi="fa-IR"/>
          <w:color w:val="111111"/>
          <w:sz w:val="28"/>
          <w:szCs w:val="28"/>
          <w:rtl/>
        </w:rPr>
        <w:t xml:space="preserve">این جنگ شامل چند قصیده عربی است از ابن حاجب، ابن مالک، کعب بن  زهیر، امرء القیس و سید اسماعیل حمیری؛ خط: نسخ، بی کا، بی تا؛ افتادگی: انجام؛ در زیر ابیات و حواشی صفحات معانی لغات و شرح ابیات به زبان عربی و فارسی نگاشته شده است؛ کاغذ: فرنگی  شکری ،جلد: مقوا با تیماج  مشکی، ۲۲گ، مختلف السطر ، اندازه: 15/5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ف: ۲ - ۱۷۲]</w:t>
      </w:r>
    </w:p>
    <w:p>
      <w:pPr>
        <w:pStyle w:val="BookText"/>
      </w:pPr>
      <w:r>
        <w:rPr>
          <w:rFonts w:ascii="IRNazanin" w:hAnsi="IRNazanin" w:eastAsia="IRNazanin" w:cs="IRNazanin"/>
          <w:lang w:bidi="fa-IR"/>
          <w:color w:val="111111"/>
          <w:sz w:val="28"/>
          <w:szCs w:val="28"/>
          <w:rtl/>
        </w:rPr>
        <w:t xml:space="preserve">۳۴۳. مشهد؛ رضوی؛ شماره نسخه: ض۴۴۸۴</w:t>
      </w:r>
    </w:p>
    <w:p>
      <w:pPr>
        <w:pStyle w:val="BookText"/>
      </w:pPr>
      <w:r>
        <w:rPr>
          <w:rFonts w:ascii="IRNazanin" w:hAnsi="IRNazanin" w:eastAsia="IRNazanin" w:cs="IRNazanin"/>
          <w:lang w:bidi="fa-IR"/>
          <w:color w:val="111111"/>
          <w:sz w:val="28"/>
          <w:szCs w:val="28"/>
          <w:rtl/>
        </w:rPr>
        <w:t xml:space="preserve">قصيده بديعة الاريب؛ خط: نسخ ،بی کا، بی تا [الفبائی: ۴۴۶]</w:t>
      </w:r>
    </w:p>
    <w:p>
      <w:pPr>
        <w:pStyle w:val="BookText"/>
      </w:pPr>
      <w:r>
        <w:rPr>
          <w:rFonts w:ascii="IRNazanin" w:hAnsi="IRNazanin" w:eastAsia="IRNazanin" w:cs="IRNazanin"/>
          <w:lang w:bidi="fa-IR"/>
          <w:color w:val="111111"/>
          <w:sz w:val="28"/>
          <w:szCs w:val="28"/>
          <w:rtl/>
        </w:rPr>
        <w:t xml:space="preserve">۳۴۴. قم؛ گلپایگانی؛ شماره نسخه:1/ 8073- 43/ 43/ 55</w:t>
      </w:r>
    </w:p>
    <w:p>
      <w:pPr>
        <w:pStyle w:val="BookText"/>
      </w:pPr>
      <w:r>
        <w:rPr>
          <w:rFonts w:ascii="IRNazanin" w:hAnsi="IRNazanin" w:eastAsia="IRNazanin" w:cs="IRNazanin"/>
          <w:lang w:bidi="fa-IR"/>
          <w:color w:val="111111"/>
          <w:sz w:val="28"/>
          <w:szCs w:val="28"/>
          <w:rtl/>
        </w:rPr>
        <w:t xml:space="preserve">آغاز: اشلی سلوقیه باتت و بات بها *** بوحش اصمت في اصلابها  اود؛</w:t>
      </w:r>
    </w:p>
    <w:p>
      <w:pPr>
        <w:pStyle w:val="BookText"/>
      </w:pPr>
      <w:r>
        <w:rPr>
          <w:rFonts w:ascii="IRNazanin" w:hAnsi="IRNazanin" w:eastAsia="IRNazanin" w:cs="IRNazanin"/>
          <w:lang w:bidi="fa-IR"/>
          <w:color w:val="111111"/>
          <w:sz w:val="28"/>
          <w:szCs w:val="28"/>
          <w:rtl/>
        </w:rPr>
        <w:t xml:space="preserve">در اشعار مختلفی از شاعران گوناگون (هر شاعر یک بیت) بدون ذکر نام شاعر برای تجزیه و ترکیب نحوی تحریر شده و در لا به لای سطور و حواشی معنی بیت و ترکیب عبارت های آن ذکر شده است؛ خط: نسخ ،بی کا، بی تا؛ افتادگی: آغاز؛ ۱۳گ، ۴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۱ - ۳۷۳]</w:t>
      </w:r>
    </w:p>
    <w:p>
      <w:pPr>
        <w:pStyle w:val="BookText"/>
      </w:pPr>
      <w:r>
        <w:rPr>
          <w:rFonts w:ascii="IRNazanin" w:hAnsi="IRNazanin" w:eastAsia="IRNazanin" w:cs="IRNazanin"/>
          <w:lang w:bidi="fa-IR"/>
          <w:color w:val="111111"/>
          <w:sz w:val="28"/>
          <w:szCs w:val="28"/>
          <w:rtl/>
        </w:rPr>
        <w:t xml:space="preserve">۳۴۵. قم؛ مسجد اعظم؛ شماره نسخه: ۶۹۲/۴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آغاز: حتى ادخل اليمامه واقتبس العلم لكيما تكرما و عارض اسباب الهوى لتسلما ولاتمار جاهلا فتتعبا و ما عليك غيه فتعتبا و هل صديق مخلص ؛ انجام: ثم الصلوة بعد حمد الصمد ***علی النبي المصطفى محمد / واله الائمه الانصار *** ما انسلخ الليل و النهار</w:t>
      </w:r>
    </w:p>
    <w:p>
      <w:pPr>
        <w:pStyle w:val="BookText"/>
      </w:pPr>
      <w:r>
        <w:rPr>
          <w:rFonts w:ascii="IRNazanin" w:hAnsi="IRNazanin" w:eastAsia="IRNazanin" w:cs="IRNazanin"/>
          <w:lang w:bidi="fa-IR"/>
          <w:color w:val="111111"/>
          <w:sz w:val="28"/>
          <w:szCs w:val="28"/>
          <w:rtl/>
        </w:rPr>
        <w:t xml:space="preserve">اشعاری است به عربی در علم نحو به سبک الفیه ابن مالک که گویا ناظم آن شیعه است که بعد از ذکر اشعار به اختصار شـرح شده است؛ خط: نسخ، کا: یوسف بن جمال الدين بن محـمد بهبهانی، تا: سه شنبه ۱۲ رجب؛ افتادگی: آغاز؛ جلد: تیماج قهوه ای با ترنج و سر، مجدول گرهی، ۱۱گ، ۱۵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مخ: ۴ - ۱۵۸۴]</w:t>
      </w:r>
    </w:p>
    <w:p>
      <w:pPr>
        <w:pStyle w:val="BookText"/>
      </w:pPr>
      <w:r>
        <w:rPr>
          <w:rFonts w:ascii="IRNazanin" w:hAnsi="IRNazanin" w:eastAsia="IRNazanin" w:cs="IRNazanin"/>
          <w:lang w:bidi="fa-IR"/>
          <w:color w:val="111111"/>
          <w:sz w:val="28"/>
          <w:szCs w:val="28"/>
          <w:rtl/>
        </w:rPr>
        <w:t xml:space="preserve">۳۴۶. یزد؛ وزیری؛ شماره نسخه: ۲۲۳۷/۱</w:t>
      </w:r>
    </w:p>
    <w:p>
      <w:pPr>
        <w:pStyle w:val="BookText"/>
      </w:pPr>
      <w:r>
        <w:rPr>
          <w:rFonts w:ascii="IRNazanin" w:hAnsi="IRNazanin" w:eastAsia="IRNazanin" w:cs="IRNazanin"/>
          <w:lang w:bidi="fa-IR"/>
          <w:color w:val="111111"/>
          <w:sz w:val="28"/>
          <w:szCs w:val="28"/>
          <w:rtl/>
        </w:rPr>
        <w:t xml:space="preserve">آغاز: بسمله اما لك من ربع البلاء صدود *** وكل حبيب كان فیه فقید؛ انجام: تجاوز بلطف عن محبى محمد *** و عترته القربی وانت مجيد</w:t>
      </w:r>
    </w:p>
    <w:p>
      <w:pPr>
        <w:pStyle w:val="BookText"/>
      </w:pPr>
      <w:r>
        <w:rPr>
          <w:rFonts w:ascii="IRNazanin" w:hAnsi="IRNazanin" w:eastAsia="IRNazanin" w:cs="IRNazanin"/>
          <w:lang w:bidi="fa-IR"/>
          <w:color w:val="111111"/>
          <w:sz w:val="28"/>
          <w:szCs w:val="28"/>
          <w:rtl/>
        </w:rPr>
        <w:t xml:space="preserve">اشعار در مراثی آل محمد؛ بی کا، بی تا؛ کاغذ: اصفهانی، تیماج  مشکی، ۶گ (۲-۸)، اندازه:۱۱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۴ - ۱۲۱۳]</w:t>
      </w:r>
    </w:p>
    <w:p>
      <w:pPr>
        <w:pStyle w:val="BookText"/>
      </w:pPr>
      <w:r>
        <w:rPr>
          <w:rFonts w:ascii="IRNazanin" w:hAnsi="IRNazanin" w:eastAsia="IRNazanin" w:cs="IRNazanin"/>
          <w:lang w:bidi="fa-IR"/>
          <w:color w:val="111111"/>
          <w:sz w:val="28"/>
          <w:szCs w:val="28"/>
          <w:rtl/>
        </w:rPr>
        <w:t xml:space="preserve">۳۴۷ .تهران؛ مروی؛ شماره نسخه: ۶۸۵/۱۴</w:t>
      </w:r>
    </w:p>
    <w:p>
      <w:pPr>
        <w:pStyle w:val="BookText"/>
      </w:pPr>
      <w:r>
        <w:rPr>
          <w:rFonts w:ascii="IRNazanin" w:hAnsi="IRNazanin" w:eastAsia="IRNazanin" w:cs="IRNazanin"/>
          <w:lang w:bidi="fa-IR"/>
          <w:color w:val="111111"/>
          <w:sz w:val="28"/>
          <w:szCs w:val="28"/>
          <w:rtl/>
        </w:rPr>
        <w:t xml:space="preserve">بی کا، بی تا؛ قطع: خشتی [ف: ۲۹۵]</w:t>
      </w:r>
    </w:p>
    <w:p>
      <w:pPr>
        <w:pStyle w:val="BookText"/>
      </w:pPr>
      <w:r>
        <w:rPr>
          <w:rFonts w:ascii="IRNazanin" w:hAnsi="IRNazanin" w:eastAsia="IRNazanin" w:cs="IRNazanin"/>
          <w:lang w:bidi="fa-IR"/>
          <w:color w:val="111111"/>
          <w:sz w:val="28"/>
          <w:szCs w:val="28"/>
          <w:rtl/>
        </w:rPr>
        <w:t xml:space="preserve">۳۴۸ . مشهد؛ رضوی؛ شماره نسخه: ۹۹۶۷</w:t>
      </w:r>
    </w:p>
    <w:p>
      <w:pPr>
        <w:pStyle w:val="BookText"/>
      </w:pPr>
      <w:r>
        <w:rPr>
          <w:rFonts w:ascii="IRNazanin" w:hAnsi="IRNazanin" w:eastAsia="IRNazanin" w:cs="IRNazanin"/>
          <w:lang w:bidi="fa-IR"/>
          <w:color w:val="111111"/>
          <w:sz w:val="28"/>
          <w:szCs w:val="28"/>
          <w:rtl/>
        </w:rPr>
        <w:t xml:space="preserve">خط: نسخ، بی کا، بی تا [الفبائی: ۵۲]</w:t>
      </w:r>
    </w:p>
    <w:p>
      <w:pPr>
        <w:pStyle w:val="BookText"/>
      </w:pPr>
      <w:r>
        <w:rPr>
          <w:rFonts w:ascii="IRNazanin" w:hAnsi="IRNazanin" w:eastAsia="IRNazanin" w:cs="IRNazanin"/>
          <w:lang w:bidi="fa-IR"/>
          <w:color w:val="111111"/>
          <w:sz w:val="28"/>
          <w:szCs w:val="28"/>
          <w:rtl/>
        </w:rPr>
        <w:t xml:space="preserve">۳۴۹. قم؛ مرکز احیاء؛ شماره نسخه: ۲۴۵۷</w:t>
      </w:r>
    </w:p>
    <w:p>
      <w:pPr>
        <w:pStyle w:val="BookText"/>
      </w:pPr>
      <w:r>
        <w:rPr>
          <w:rFonts w:ascii="IRNazanin" w:hAnsi="IRNazanin" w:eastAsia="IRNazanin" w:cs="IRNazanin"/>
          <w:lang w:bidi="fa-IR"/>
          <w:color w:val="111111"/>
          <w:sz w:val="28"/>
          <w:szCs w:val="28"/>
          <w:rtl/>
        </w:rPr>
        <w:t xml:space="preserve">آغاز: ياخير من لبس النبوة من جميع الانبياء *** و جراى علی سبطيك ليس يؤذن بانقضاء؛ انجام: من عصبة قد زكى فى الذکر عرضهم *** من معشر حبهم دین و بغضهم *** كفر و قربهم منـجی و معتصم</w:t>
      </w:r>
    </w:p>
    <w:p>
      <w:pPr>
        <w:pStyle w:val="BookText"/>
      </w:pPr>
      <w:r>
        <w:rPr>
          <w:rFonts w:ascii="IRNazanin" w:hAnsi="IRNazanin" w:eastAsia="IRNazanin" w:cs="IRNazanin"/>
          <w:lang w:bidi="fa-IR"/>
          <w:color w:val="111111"/>
          <w:sz w:val="28"/>
          <w:szCs w:val="28"/>
          <w:rtl/>
        </w:rPr>
        <w:t xml:space="preserve">اشعاری را از شعرای بزرگ عرب به ترتیب حروف قوافی در مدح اهل بيت (علیهم السّلام) خصوصاً امام حسین (علیه السّلام) جمع آوری نموده است، نام شاعرانی که شعرشان در این مجموعه آمده عبارتند از: صنوبری، عبدالحسين الاعسم، سید نصر الله حائری، سید محمد بن سیدمعصوم، محمود بن الحسين كشاجم، محمد على الاعسـم، شیخ حسین نجف، حاج هاشم، عبدالرضا الخطى، ديك الجـن، شیخ ابراهیم  قفطان ،خلیعی، ابن  حماد، حاج مطر، شیخ صادق ،اطیمش ،کمیت ،سید اسماعیل حمیری، سید رضی، ابن ابی الحديد، شیخ محسن فرج، دعبل، ابن الرومى، سيد صادق الفحـام، شیخ حسن قفطان، حسان بن ثابت، حاج محمد رضا ازری، صـفی حلی، علی بن عیسی اربلی، شیخ جعفر خزاعی، سید مرتضی،سید ماجد بحرانی، شیخ ابراهیم عاملی، شافهینی، سید ابراهیم عطار، سید محمد قطیفی، شیخ جعفر ابی زید، کاظم  الازری، ماهیار، سید محمد بن زین الدین، قاضی ابى بكر بن  قريضه، سيد نصر حائرى ،بحر العلوم، شیخ احمد نحوی و ... در پایان کتاب نیز اشعار متفرقه ای را آورده و در آخر قصیده مشهور فرزدق را متذکر شده است؛ خط: نسخ، بی کا، تا: قرن ۱۳ و ۱۴؛ مصحح؛جلد: تیماج مشکی ضربی، ۲۲۰ گ، ۲۰ سطر،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[محدث ارموی مخ: ۱ - ۱۳۷]</w:t>
      </w:r>
    </w:p>
    <w:p>
      <w:pPr>
        <w:pStyle w:val="BookText"/>
      </w:pPr>
      <w:r>
        <w:rPr>
          <w:rFonts w:ascii="IRNazanin" w:hAnsi="IRNazanin" w:eastAsia="IRNazanin" w:cs="IRNazanin"/>
          <w:lang w:bidi="fa-IR"/>
          <w:color w:val="111111"/>
          <w:sz w:val="28"/>
          <w:szCs w:val="28"/>
          <w:rtl/>
        </w:rPr>
        <w:t xml:space="preserve">۳۵۰. قم؛ مسجد اعظم؛ شماره نسخه: ۱۵۱۲</w:t>
      </w:r>
    </w:p>
    <w:p>
      <w:pPr>
        <w:pStyle w:val="BookText"/>
      </w:pPr>
      <w:r>
        <w:rPr>
          <w:rFonts w:ascii="IRNazanin" w:hAnsi="IRNazanin" w:eastAsia="IRNazanin" w:cs="IRNazanin"/>
          <w:lang w:bidi="fa-IR"/>
          <w:color w:val="111111"/>
          <w:sz w:val="28"/>
          <w:szCs w:val="28"/>
          <w:rtl/>
        </w:rPr>
        <w:t xml:space="preserve">آغاز: فمن مقلتي من بعده فيض دجلة *** وفي كبدى من منعه لذع حرقة / بقيت به لما قيلت له كما *** وجدت حيوتى فيه من بعد موتة ؛انجام: ويحسد قلبي سمعى عند ذكرهم *** فتذكو حرارات بحوی بین اضلعی  مجموعه ای از اشعار عربی از شاعرانی چون عامر بن عامر بصری، نظام الدین محمد بن اسحاق اصفهانی ابوفراس، محمد بن علی الحر السائى، قاضى تاج الدین احمد بن ابراهيم، ناصر بن على البحرى، مقنی الکندی ،متبنی، شهاب الدین احمد بن المنادي،  طغرایی، ابن رومی و .... و چندی از مقامات بدیع الزمان همدانی، و یک صفحه در طالع یک متولد که تحریر آن در ۲۲ محرم ۱۲۸۸ق است؛ خط: نستعلیق، بی کا، بی تا؛ جلد: تیماج قهوه ای روشن بدون مقوا مجدول گرهی، ۱۲۲گ، مختلف السطر، قطع: بیاضی،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مخ: ۲ - ۵۹۵]</w:t>
      </w:r>
    </w:p>
    <w:p>
      <w:pPr>
        <w:pStyle w:val="BookText"/>
      </w:pPr>
      <w:r>
        <w:rPr>
          <w:rFonts w:ascii="IRNazanin" w:hAnsi="IRNazanin" w:eastAsia="IRNazanin" w:cs="IRNazanin"/>
          <w:lang w:bidi="fa-IR"/>
          <w:color w:val="111111"/>
          <w:sz w:val="28"/>
          <w:szCs w:val="28"/>
          <w:rtl/>
        </w:rPr>
        <w:t xml:space="preserve">۳۵۱. قم؛ مسجد اعظم؛ شماره نسخه: ۱۵۷۰/۱</w:t>
      </w:r>
    </w:p>
    <w:p>
      <w:pPr>
        <w:pStyle w:val="BookText"/>
      </w:pPr>
      <w:r>
        <w:rPr>
          <w:rFonts w:ascii="IRNazanin" w:hAnsi="IRNazanin" w:eastAsia="IRNazanin" w:cs="IRNazanin"/>
          <w:lang w:bidi="fa-IR"/>
          <w:color w:val="111111"/>
          <w:sz w:val="28"/>
          <w:szCs w:val="28"/>
          <w:rtl/>
        </w:rPr>
        <w:t xml:space="preserve">آغاز: نقل صحیح در قصیده برده آن است که ناظم آن احمد موصلی در هر جمعه در منقبت حضرت رسالت صلى الله عليه و آله نظم می کرد چنانچه این قصیده نظم نمود شب جمعه و شب عیدی بود؛ انجام: فنفسك اكرمعن امور كثيرة *** فمالك نفس لبحرها تستعير</w:t>
      </w:r>
    </w:p>
    <w:p>
      <w:pPr>
        <w:pStyle w:val="BookText"/>
      </w:pPr>
      <w:r>
        <w:rPr>
          <w:rFonts w:ascii="IRNazanin" w:hAnsi="IRNazanin" w:eastAsia="IRNazanin" w:cs="IRNazanin"/>
          <w:lang w:bidi="fa-IR"/>
          <w:color w:val="111111"/>
          <w:sz w:val="28"/>
          <w:szCs w:val="28"/>
          <w:rtl/>
        </w:rPr>
        <w:t xml:space="preserve">اشعاری از: متنبی، صفی الدین حلی، ابن نباته، شرف الدين حموی، اشجع است و توضیح کوتاهی درباره قصیده برده به نثر آمده؛ خط: نسخ، بی کا، بی تا ؛جلد: تیماج قهوه ای بدون مقوا،  7گ، قطع: بیاضی،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مخ: ۲ – ۵۹۶]</w:t>
      </w:r>
    </w:p>
    <w:p>
      <w:pPr>
        <w:pStyle w:val="BookText"/>
      </w:pPr>
      <w:r>
        <w:rPr>
          <w:rFonts w:ascii="IRNazanin" w:hAnsi="IRNazanin" w:eastAsia="IRNazanin" w:cs="IRNazanin"/>
          <w:lang w:bidi="fa-IR"/>
          <w:color w:val="111111"/>
          <w:sz w:val="28"/>
          <w:szCs w:val="28"/>
          <w:rtl/>
        </w:rPr>
        <w:t xml:space="preserve">۳۵۲. مشهد؛ گوهر شاد؛ شماره نسخه: ۴۴/۱</w:t>
      </w:r>
    </w:p>
    <w:p>
      <w:pPr>
        <w:pStyle w:val="BookText"/>
      </w:pPr>
      <w:r>
        <w:rPr>
          <w:rFonts w:ascii="IRNazanin" w:hAnsi="IRNazanin" w:eastAsia="IRNazanin" w:cs="IRNazanin"/>
          <w:lang w:bidi="fa-IR"/>
          <w:color w:val="111111"/>
          <w:sz w:val="28"/>
          <w:szCs w:val="28"/>
          <w:rtl/>
        </w:rPr>
        <w:t xml:space="preserve">شامل: قطعه ای از ابن جهم، ابی علاء، حضرت على (علیه السّلام). قصيده لامية العرب با مطلع: «اصالة الرای صانتنى عن الخطل *** و حلية الفضل زانتنى لدى العطل»، این قصیده در پنجاه و هشت بیت است با توضیحات برخی لغات به صورت  زیرنویس، قصیده خمريه ابن فارض در سی بیت است با مطلع: «شربنا على ذكر الحبيب مدامة *** سكرنا بها قبل ان يخلق الكرم»، قطعه ای از ابی محمد عبدالله بن قاسم بن مظفر بن علی بن قاسم سهروردی در چهل بیت با مطلع: «لمعت نارهم و قد عسعس الليل»، قطعه ای از نجم الدین در ده بیت با مطلع:«من السعادة ان لا تبعد الدار»، ابیاتی در باب کسالت با مطلع: «سئلت الله يجمعنى بسلمی»، قطعه ای از حضرت علی (علیه السّلام) و شريف تبریزی ابی الطيب متنبی در پنجاه بیت با مطلع: «انما بدر ابن عمار سحاب ***هطل فيه ثواب و عقاب»، و قطعه دیگری از او در چهل و دو بیت با مطلع: «افاضل الناس اغراض لدا الزمن *** يخلو من الهم اخلاهم من الفطن»، و قطعه دیگری از او در شصت و یک بیت با مطلع: «حشاشة نفسى ودعت يوم و دعوا»، قطعه ای از یزید بن معاویه، در برگ چهارم یادداشت مورخ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۱۲۵۲ق، سپس  قصيده معروف لاميه: «قفانبك من ذكر حبيب و منزل *** بسقط اللوى بين الدخول فحومل» در هفتاد و نه بیـت، قصیده دالیه در ۹۹ بیت با مطلع: «الخولة اطلال ببرقة ثهمد *** تلـوح كباقي الوشم فی ظاهر اليد»، و قصیده ای در ۹۸ بیت با مطلع: «الا هبي بصحنك فاصبحينا *** و لا تبقى خمور الا ندرينا»، بندی درباره ابن العمید در ۹ سطر و پنج برگ نانویس؛ خط: نستعلیق،بی کا، بی تا؛ با زیرنویس و برخی صفحات به طور چلیپا؛ کاغذ: فستقی، جلد: تیماج  مشکی، ۴۸گ (۱-۴۸)، ۷ سطر، اندازه:۱۹/۵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۳۲سم [ف: ۱ - ۴۲]</w:t>
      </w:r>
    </w:p>
    <w:p>
      <w:pPr>
        <w:pStyle w:val="BookText"/>
      </w:pPr>
      <w:r>
        <w:rPr>
          <w:rFonts w:ascii="IRNazanin" w:hAnsi="IRNazanin" w:eastAsia="IRNazanin" w:cs="IRNazanin"/>
          <w:lang w:bidi="fa-IR"/>
          <w:color w:val="111111"/>
          <w:sz w:val="28"/>
          <w:szCs w:val="28"/>
          <w:rtl/>
        </w:rPr>
        <w:t xml:space="preserve">۳۵۳ .تهران؛ ملک؛ شماره نسخه: ۵۱۹۵</w:t>
      </w:r>
    </w:p>
    <w:p>
      <w:pPr>
        <w:pStyle w:val="BookText"/>
      </w:pPr>
      <w:r>
        <w:rPr>
          <w:rFonts w:ascii="IRNazanin" w:hAnsi="IRNazanin" w:eastAsia="IRNazanin" w:cs="IRNazanin"/>
          <w:lang w:bidi="fa-IR"/>
          <w:color w:val="111111"/>
          <w:sz w:val="28"/>
          <w:szCs w:val="28"/>
          <w:rtl/>
        </w:rPr>
        <w:t xml:space="preserve">جنگ اشعار عربی است؛ خط: نسخ، بی کا، بی تا؛ کاغذ: فستقی، جلد: میشن لایی  سیاه، ۱۴۴گ، ۱۷ سطر، اندازه: ۱۳/۳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۲۰/۲  سم[ ف: ۸ - ۲۴۱]</w:t>
      </w:r>
    </w:p>
    <w:p>
      <w:pPr>
        <w:pStyle w:val="BookText"/>
      </w:pPr>
      <w:r>
        <w:rPr>
          <w:rFonts w:ascii="IRNazanin" w:hAnsi="IRNazanin" w:eastAsia="IRNazanin" w:cs="IRNazanin"/>
          <w:lang w:bidi="fa-IR"/>
          <w:color w:val="111111"/>
          <w:sz w:val="28"/>
          <w:szCs w:val="28"/>
          <w:rtl/>
        </w:rPr>
        <w:t xml:space="preserve">۳۵۴. تهران؛ ملی؛ شماره نسخه: ۴۶۰۴/۱</w:t>
      </w:r>
    </w:p>
    <w:p>
      <w:pPr>
        <w:pStyle w:val="BookText"/>
      </w:pPr>
      <w:r>
        <w:rPr>
          <w:rFonts w:ascii="IRNazanin" w:hAnsi="IRNazanin" w:eastAsia="IRNazanin" w:cs="IRNazanin"/>
          <w:lang w:bidi="fa-IR"/>
          <w:color w:val="111111"/>
          <w:sz w:val="28"/>
          <w:szCs w:val="28"/>
          <w:rtl/>
        </w:rPr>
        <w:t xml:space="preserve">آغاز: بسمله، هل نار لیلی بدت بذى سلم *** ام تلک لیلی انارت حندس الظلم؛ انجام: لم نشك من محن الدنيا الى احد ***من البرية الا كان احدها / اعيد نفسى من الشكوى الى بشر *** بالله والقائم المهدى مولاها</w:t>
      </w:r>
    </w:p>
    <w:p>
      <w:pPr>
        <w:pStyle w:val="BookText"/>
      </w:pPr>
      <w:r>
        <w:rPr>
          <w:rFonts w:ascii="IRNazanin" w:hAnsi="IRNazanin" w:eastAsia="IRNazanin" w:cs="IRNazanin"/>
          <w:lang w:bidi="fa-IR"/>
          <w:color w:val="111111"/>
          <w:sz w:val="28"/>
          <w:szCs w:val="28"/>
          <w:rtl/>
        </w:rPr>
        <w:t xml:space="preserve">جنگ اشعاری است عاشقانه و عارفانه از شاعرانی شیعی و سنی از قبیل شیخ حسین بن شهاب الدين بهاء زهير تقی الدین ابن حـجة حموی حنفی، ابو مظفر ابیوردی، ابی فراس حمدانی، متنـبی، شریف رضی، شیخ حسن بن زین الدین شهید ثانی و دیگران؛ خط: نستعلیق، بی کا، بی تا؛ مصحح، کاغذ: فرنگی آبی، جـلد: تیماج مشکی مقوایی ضربی، ۲۳گ (۱پ -۲۴)، ۱۶ سطر (9</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 ۱۹ - ۲۴۵]</w:t>
      </w:r>
    </w:p>
    <w:p>
      <w:pPr>
        <w:pStyle w:val="BookText"/>
      </w:pPr>
      <w:r>
        <w:rPr>
          <w:rFonts w:ascii="IRNazanin" w:hAnsi="IRNazanin" w:eastAsia="IRNazanin" w:cs="IRNazanin"/>
          <w:lang w:bidi="fa-IR"/>
          <w:color w:val="111111"/>
          <w:sz w:val="28"/>
          <w:szCs w:val="28"/>
          <w:rtl/>
        </w:rPr>
        <w:t xml:space="preserve">۳۵۵. شیراز؛ بنیاد فارس شناسی؛ شماره نسخه: ۶۴</w:t>
      </w:r>
    </w:p>
    <w:p>
      <w:pPr>
        <w:pStyle w:val="BookText"/>
      </w:pPr>
      <w:r>
        <w:rPr>
          <w:rFonts w:ascii="IRNazanin" w:hAnsi="IRNazanin" w:eastAsia="IRNazanin" w:cs="IRNazanin"/>
          <w:lang w:bidi="fa-IR"/>
          <w:color w:val="111111"/>
          <w:sz w:val="28"/>
          <w:szCs w:val="28"/>
          <w:rtl/>
        </w:rPr>
        <w:t xml:space="preserve">در این جنگ اشعاری متفرقه بدون ترتیب گرد آورده شده اسـت از محبی، میرزا فصیحی ،سالک، نظیری،میرزا کافی، میـرزا جلال ،شوری ،صائب، عرفی، شرف الدین، میر برهان هلالی، طالب، میر رضی آرتمانی، کمال اسماعیل، قاضی نور، فردوسی ،سعدی ،مولوی ،گنجی ،آذری ،امیدی، ملا نظام، شفائی، ابن یمین ،صابر، میرزا صادق دست غیب؛ خط: نسخ، بی کا، بی تا؛جـلد: تیماج قهوه ای، ۱۱۹گ، ۱۴ سطر (۹/۵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۸۴]</w:t>
      </w:r>
    </w:p>
    <w:p>
      <w:pPr>
        <w:pStyle w:val="BookText"/>
      </w:pPr>
      <w:r>
        <w:rPr>
          <w:rFonts w:ascii="IRNazanin" w:hAnsi="IRNazanin" w:eastAsia="IRNazanin" w:cs="IRNazanin"/>
          <w:lang w:bidi="fa-IR"/>
          <w:color w:val="111111"/>
          <w:sz w:val="28"/>
          <w:szCs w:val="28"/>
          <w:rtl/>
        </w:rPr>
        <w:t xml:space="preserve">۳۵۶. تهران؛ مجلس؛ شماره نسخه: ۱۴۲۰۰/۸</w:t>
      </w:r>
    </w:p>
    <w:p>
      <w:pPr>
        <w:pStyle w:val="BookText"/>
      </w:pPr>
      <w:r>
        <w:rPr>
          <w:rFonts w:ascii="IRNazanin" w:hAnsi="IRNazanin" w:eastAsia="IRNazanin" w:cs="IRNazanin"/>
          <w:lang w:bidi="fa-IR"/>
          <w:color w:val="111111"/>
          <w:sz w:val="28"/>
          <w:szCs w:val="28"/>
          <w:rtl/>
        </w:rPr>
        <w:t xml:space="preserve">اشعار و قصایدی است به ترتیب حروف تهجی از شعرای زیر: حسن بن هانی و ابونواس، شیخ برهان الدین قیراطی، ابراهیم بن سهل الاشبيلي، سيف الدین مشد، قاضی كمال الدين بن النـبیه، بهاء الدين زهير، صفى الدين حلی، ابن حمدیش، صفی حلی، جمال الدين بن نباته، محمد نواجی، محمد بن العفيف، قاضی عبدالوهاب مالکی، الجلند البلدى، ابن مطروح، كمال الدين بن البير، حسام الدين حاجری، منصور خطيب السقيفه، ظافر الحداد، قطب الدین هندی، جمال الدین بن نباته، شهاب الدين بن حـجر در مدح ابن مكانس، كمال الدين بن النبيه، تاج الدين السبكى، ابو الحسين يحيى الحزار ،حسام الدين الحاجرى، صفى الدين حلی، انصاری حموی، محمد بن عفیف، ابو العلاء المعرى، بدرالدين الدماميني، تقى الدين بن حجة الحموی، جمال الدين بن نباته، على بن ابى الوفا، سراج الدين عمر الوراق، صدرالدين بن الوكيل، ابن صاحب تکریت ،دمشقی، شمس الدين بن صايغ، جمال الدین انصاری، ابن مطروح، عفیف تلمسانی، احمد المنازى، برهان الدين القرامطی، شریف رضی؛ خط: نسخ، بی کا، بی تا؛ جلد: تیماج ،مشکی مجدول، ۱۷گ (۲۷ر-۴۴پ)،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۲۹/۵سم [ف: ۳۸ - ۲۷۷]</w:t>
      </w:r>
    </w:p>
    <w:p>
      <w:pPr>
        <w:pStyle w:val="BookText"/>
      </w:pPr>
      <w:r>
        <w:rPr>
          <w:rFonts w:ascii="IRNazanin" w:hAnsi="IRNazanin" w:eastAsia="IRNazanin" w:cs="IRNazanin"/>
          <w:lang w:bidi="fa-IR"/>
          <w:color w:val="111111"/>
          <w:sz w:val="28"/>
          <w:szCs w:val="28"/>
          <w:rtl/>
        </w:rPr>
        <w:t xml:space="preserve">۳۵۷. تهران؛ مجلس؛ شماره نسخه: ۱۶۷۳</w:t>
      </w:r>
    </w:p>
    <w:p>
      <w:pPr>
        <w:pStyle w:val="BookText"/>
      </w:pPr>
      <w:r>
        <w:rPr>
          <w:rFonts w:ascii="IRNazanin" w:hAnsi="IRNazanin" w:eastAsia="IRNazanin" w:cs="IRNazanin"/>
          <w:lang w:bidi="fa-IR"/>
          <w:color w:val="111111"/>
          <w:sz w:val="28"/>
          <w:szCs w:val="28"/>
          <w:rtl/>
        </w:rPr>
        <w:t xml:space="preserve">آغاز: والی عبدلاله الكردى الحسائى. انى احن الى العراق و لم اکن *** لامن رصفاته و لا من کرخه ؛انجام: اني حلفت يمينا غير كاذبه *** الا اعیر کتابی قط انسانا</w:t>
      </w:r>
    </w:p>
    <w:p>
      <w:pPr>
        <w:pStyle w:val="BookText"/>
      </w:pPr>
      <w:r>
        <w:rPr>
          <w:rFonts w:ascii="IRNazanin" w:hAnsi="IRNazanin" w:eastAsia="IRNazanin" w:cs="IRNazanin"/>
          <w:lang w:bidi="fa-IR"/>
          <w:color w:val="111111"/>
          <w:sz w:val="28"/>
          <w:szCs w:val="28"/>
          <w:rtl/>
        </w:rPr>
        <w:t xml:space="preserve">شامل قطعاتی از اشعار قدماء عرب و پاره از متوسطین و متأخرین مانند ذوالرمه (غيلان بن عقبه) ،بحتری، حسین بن مطير ابی اسحاق صابی، عباس بن احنف، سید مرتضی علم الهدى، شریف رضی کمیت، سمهری، جاحظ، ابن انباری، ابوالفرج ببغاء و بسیاری از ادباء و شعرا و برخی از زنان شاعره عرب که نام آنان تصریح نشده است؛ خط: نسخ ،بی کا، بی تا؛ کاغذ: ضخیم، جلد: تيماج ،مشکی، ۱۷۷ص، ۱۴-۲۰ سطر، قطع : خشتی باریک،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۴ - ۴۰۱]</w:t>
      </w:r>
    </w:p>
    <w:p>
      <w:pPr>
        <w:pStyle w:val="BookText"/>
      </w:pPr>
      <w:r>
        <w:rPr>
          <w:rFonts w:ascii="IRNazanin" w:hAnsi="IRNazanin" w:eastAsia="IRNazanin" w:cs="IRNazanin"/>
          <w:lang w:bidi="fa-IR"/>
          <w:color w:val="111111"/>
          <w:sz w:val="28"/>
          <w:szCs w:val="28"/>
          <w:rtl/>
        </w:rPr>
        <w:t xml:space="preserve">۳۵۸. قم؛ گلپایگانی؛ شماره نسخه: ۷۲۱۷-۳۷/۷</w:t>
      </w:r>
    </w:p>
    <w:p>
      <w:pPr>
        <w:pStyle w:val="BookText"/>
      </w:pPr>
      <w:r>
        <w:rPr>
          <w:rFonts w:ascii="IRNazanin" w:hAnsi="IRNazanin" w:eastAsia="IRNazanin" w:cs="IRNazanin"/>
          <w:lang w:bidi="fa-IR"/>
          <w:color w:val="111111"/>
          <w:sz w:val="28"/>
          <w:szCs w:val="28"/>
          <w:rtl/>
        </w:rPr>
        <w:t xml:space="preserve">آغاز: بسمله. انی سریت وكنت غير سروب *** وتقرب الاحلام غير قريب / ما تمنعى يقظى فقد تؤتينه *** في النوم غير مصردِ محسوب؛ انجام: فداک حی خولان*** جميعهم وهمدان / وكل آل قحطان *** والاكرمون عدنان في بحر الرجز</w:t>
      </w:r>
    </w:p>
    <w:p>
      <w:pPr>
        <w:pStyle w:val="BookText"/>
      </w:pPr>
      <w:r>
        <w:rPr>
          <w:rFonts w:ascii="IRNazanin" w:hAnsi="IRNazanin" w:eastAsia="IRNazanin" w:cs="IRNazanin"/>
          <w:lang w:bidi="fa-IR"/>
          <w:color w:val="111111"/>
          <w:sz w:val="28"/>
          <w:szCs w:val="28"/>
          <w:rtl/>
        </w:rPr>
        <w:t xml:space="preserve">گزیده ای است از اشعار شعرای عرب به ترتیب الفبای اسامی شاعران و شرح حال مختصری از آنان در قالب های شعری مختلف قصیده، بحر طویل، بحر رجز، بحر بسيط، بحر متقارب، بحر خفیف و غیر آن از شاعرانی چون ابن فارض، ابونواس ،اعشی، امية بن أبي الصلت  ثقفى، اخطل، ابوداود، ابوالعتاهية، ابوعزة، ابوزید اسلمی، ابوالاسود دولی ،ابودهبل خزاعی، اشهب، انس بن عباس بن مرداس سلمی، ابو العطاء سندی، ابن مياده، ابوالنجم، بشر بن هاذم، يزيد بن معاوية؛ خط: نسخ، بی کا، بی تا؛ جلد: تیماج قهوه ای، ۳۶۲گ، ۷-۱۴-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۳۵سم[ف:8- 4588]</w:t>
      </w:r>
    </w:p>
    <w:p>
      <w:pPr>
        <w:pStyle w:val="BookText"/>
      </w:pPr>
      <w:r>
        <w:rPr>
          <w:rFonts w:ascii="IRNazanin" w:hAnsi="IRNazanin" w:eastAsia="IRNazanin" w:cs="IRNazanin"/>
          <w:lang w:bidi="fa-IR"/>
          <w:color w:val="111111"/>
          <w:sz w:val="28"/>
          <w:szCs w:val="28"/>
          <w:rtl/>
        </w:rPr>
        <w:t xml:space="preserve">۳۵۹. قم؛ مرعشی؛ شماره نسخه: ۵۸۵/۴</w:t>
      </w:r>
    </w:p>
    <w:p>
      <w:pPr>
        <w:pStyle w:val="BookText"/>
      </w:pPr>
      <w:r>
        <w:rPr>
          <w:rFonts w:ascii="IRNazanin" w:hAnsi="IRNazanin" w:eastAsia="IRNazanin" w:cs="IRNazanin"/>
          <w:lang w:bidi="fa-IR"/>
          <w:color w:val="111111"/>
          <w:sz w:val="28"/>
          <w:szCs w:val="28"/>
          <w:rtl/>
        </w:rPr>
        <w:t xml:space="preserve">آغاز: بحمدک یا رحمن أبدأ أولا *** کفی ایاک بحمدک اكملا / و شکر عطایاکك التي شكرها هدى *** و ذکر سجایاک التى ذكرها علا؛ انجام: و قلل ذا اليا و الق سدامنا *** و ما الواو و التأنيث في اضلا و لا</w:t>
      </w:r>
    </w:p>
    <w:p>
      <w:pPr>
        <w:pStyle w:val="BookText"/>
      </w:pPr>
      <w:r>
        <w:rPr>
          <w:rFonts w:ascii="IRNazanin" w:hAnsi="IRNazanin" w:eastAsia="IRNazanin" w:cs="IRNazanin"/>
          <w:lang w:bidi="fa-IR"/>
          <w:color w:val="111111"/>
          <w:sz w:val="28"/>
          <w:szCs w:val="28"/>
          <w:rtl/>
        </w:rPr>
        <w:t xml:space="preserve">قصیده ای در قراءت، قطعه ای از اول قصیده؛ خط: نسخ، بی کا،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 تا؛ افتادگی: انجام ؛جلد: تیماج قرمز، ۲گ (۱۱۷ر-۱۱۸ر)،  22سطر،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۲۴/۵سم [ف: ۲ - ۱۷۸]</w:t>
      </w:r>
    </w:p>
    <w:p>
      <w:pPr>
        <w:pStyle w:val="BookText"/>
      </w:pPr>
      <w:r>
        <w:rPr>
          <w:rFonts w:ascii="IRNazanin" w:hAnsi="IRNazanin" w:eastAsia="IRNazanin" w:cs="IRNazanin"/>
          <w:lang w:bidi="fa-IR"/>
          <w:color w:val="111111"/>
          <w:sz w:val="28"/>
          <w:szCs w:val="28"/>
          <w:rtl/>
        </w:rPr>
        <w:t xml:space="preserve">360.تهران؛ ملی؛ شماره نسخه: ۲۵۵۴۸</w:t>
      </w:r>
    </w:p>
    <w:p>
      <w:pPr>
        <w:pStyle w:val="BookText"/>
      </w:pPr>
      <w:r>
        <w:rPr>
          <w:rFonts w:ascii="IRNazanin" w:hAnsi="IRNazanin" w:eastAsia="IRNazanin" w:cs="IRNazanin"/>
          <w:lang w:bidi="fa-IR"/>
          <w:color w:val="111111"/>
          <w:sz w:val="28"/>
          <w:szCs w:val="28"/>
          <w:rtl/>
        </w:rPr>
        <w:t xml:space="preserve">بخشی از حق الیقین. قصائد علویات است؛ بی کا، بی تا؛ خریداری از رضا غیبی [رایانه]</w:t>
      </w:r>
    </w:p>
    <w:p>
      <w:pPr>
        <w:pStyle w:val="BookText"/>
      </w:pPr>
      <w:r>
        <w:rPr>
          <w:rFonts w:ascii="IRNazanin" w:hAnsi="IRNazanin" w:eastAsia="IRNazanin" w:cs="IRNazanin"/>
          <w:lang w:bidi="fa-IR"/>
          <w:color w:val="111111"/>
          <w:sz w:val="28"/>
          <w:szCs w:val="28"/>
          <w:rtl/>
        </w:rPr>
        <w:t xml:space="preserve">۳۶۱. شیراز؛ ملی؛ شماره نسخه: ف ۳۴۶/۲</w:t>
      </w:r>
    </w:p>
    <w:p>
      <w:pPr>
        <w:pStyle w:val="BookText"/>
      </w:pPr>
      <w:r>
        <w:rPr>
          <w:rFonts w:ascii="IRNazanin" w:hAnsi="IRNazanin" w:eastAsia="IRNazanin" w:cs="IRNazanin"/>
          <w:lang w:bidi="fa-IR"/>
          <w:color w:val="111111"/>
          <w:sz w:val="28"/>
          <w:szCs w:val="28"/>
          <w:rtl/>
        </w:rPr>
        <w:t xml:space="preserve">آغاز: مخمس - الهی لک المحمد یا ذالبهاء *** و ذالعزو الجود والكبرياء. سوره زبور - انا الموجود فاطلبني تجدنى *** فان تطلب سوائى لم تجدنی؛ انجام: لدى كل صبح و كل عشى *** آلـهی عفو فرمابنده قطب الدین محمد را</w:t>
      </w:r>
    </w:p>
    <w:p>
      <w:pPr>
        <w:pStyle w:val="BookText"/>
      </w:pPr>
      <w:r>
        <w:rPr>
          <w:rFonts w:ascii="IRNazanin" w:hAnsi="IRNazanin" w:eastAsia="IRNazanin" w:cs="IRNazanin"/>
          <w:lang w:bidi="fa-IR"/>
          <w:color w:val="111111"/>
          <w:sz w:val="28"/>
          <w:szCs w:val="28"/>
          <w:rtl/>
        </w:rPr>
        <w:t xml:space="preserve">ابتدای آن مخمسی است در مناجات از گفته های سید اسماعیل حمیری و بعد از آن سوره زبور حضرت داود است که به شـعر عربی نقل شده؛ بی کا، بی تا؛ ۶گ، ۱۳ سطر [ف: ۱ - ۳۲۸]</w:t>
      </w:r>
    </w:p>
    <w:p>
      <w:pPr>
        <w:pStyle w:val="BookText"/>
      </w:pPr>
      <w:r>
        <w:rPr>
          <w:rFonts w:ascii="IRNazanin" w:hAnsi="IRNazanin" w:eastAsia="IRNazanin" w:cs="IRNazanin"/>
          <w:lang w:bidi="fa-IR"/>
          <w:color w:val="111111"/>
          <w:sz w:val="28"/>
          <w:szCs w:val="28"/>
          <w:rtl/>
        </w:rPr>
        <w:t xml:space="preserve">362.قم؛ مرعشی؛ شماره نسخه: بدون شماره/۸</w:t>
      </w:r>
    </w:p>
    <w:p>
      <w:pPr>
        <w:pStyle w:val="BookText"/>
      </w:pPr>
      <w:r>
        <w:rPr>
          <w:rFonts w:ascii="IRNazanin" w:hAnsi="IRNazanin" w:eastAsia="IRNazanin" w:cs="IRNazanin"/>
          <w:lang w:bidi="fa-IR"/>
          <w:color w:val="111111"/>
          <w:sz w:val="28"/>
          <w:szCs w:val="28"/>
          <w:rtl/>
        </w:rPr>
        <w:t xml:space="preserve">اشعار عربی متفرقه؛ بی کا، بی تا [ میراث شهاب: س ۷ش ۱-۲ - ۴۰]</w:t>
      </w:r>
    </w:p>
    <w:p>
      <w:pPr>
        <w:pStyle w:val="BookText"/>
      </w:pPr>
      <w:r>
        <w:rPr>
          <w:rFonts w:ascii="IRNazanin" w:hAnsi="IRNazanin" w:eastAsia="IRNazanin" w:cs="IRNazanin"/>
          <w:lang w:bidi="fa-IR"/>
          <w:color w:val="111111"/>
          <w:sz w:val="28"/>
          <w:szCs w:val="28"/>
          <w:rtl/>
        </w:rPr>
        <w:t xml:space="preserve">۳۶۳. تبریز؛ ملی؛ شماره نسخه: ۳۰۴۰</w:t>
      </w:r>
    </w:p>
    <w:p>
      <w:pPr>
        <w:pStyle w:val="BookText"/>
      </w:pPr>
      <w:r>
        <w:rPr>
          <w:rFonts w:ascii="IRNazanin" w:hAnsi="IRNazanin" w:eastAsia="IRNazanin" w:cs="IRNazanin"/>
          <w:lang w:bidi="fa-IR"/>
          <w:color w:val="111111"/>
          <w:sz w:val="28"/>
          <w:szCs w:val="28"/>
          <w:rtl/>
        </w:rPr>
        <w:t xml:space="preserve">منتخبی از اشعار فحول شعرای عرب؛ خط: نسخ ،بی  کا، بی تا؛ جلد: چرمی، ۸۶گ، ۱۷-۲۱ سطر [ف: ۱ - ۳۴۳]</w:t>
      </w:r>
    </w:p>
    <w:p>
      <w:pPr>
        <w:pStyle w:val="BookText"/>
      </w:pPr>
      <w:r>
        <w:rPr>
          <w:rFonts w:ascii="IRNazanin" w:hAnsi="IRNazanin" w:eastAsia="IRNazanin" w:cs="IRNazanin"/>
          <w:lang w:bidi="fa-IR"/>
          <w:color w:val="111111"/>
          <w:sz w:val="28"/>
          <w:szCs w:val="28"/>
          <w:rtl/>
        </w:rPr>
        <w:t xml:space="preserve">۳۶۴ . قم؛ دار الحدیث؛ شماره نسخه: ۳۲/۱۰</w:t>
      </w:r>
    </w:p>
    <w:p>
      <w:pPr>
        <w:pStyle w:val="BookText"/>
      </w:pPr>
      <w:r>
        <w:rPr>
          <w:rFonts w:ascii="IRNazanin" w:hAnsi="IRNazanin" w:eastAsia="IRNazanin" w:cs="IRNazanin"/>
          <w:lang w:bidi="fa-IR"/>
          <w:color w:val="111111"/>
          <w:sz w:val="28"/>
          <w:szCs w:val="28"/>
          <w:rtl/>
        </w:rPr>
        <w:t xml:space="preserve">آغاز: بسمله، فى المناجات للسهيلى: يا من يرى ما فى الضمير و یسمع ***   انت المعد لكل ما يتوقع / يا من يرجى للشدائد كلها *** يا من  اليه المشتكى و المفزع؛ انجام: و ما دريت المرءليس بـبالغ فى أرضه *** كالصغر ليس بصائد في وكره</w:t>
      </w:r>
    </w:p>
    <w:p>
      <w:pPr>
        <w:pStyle w:val="BookText"/>
      </w:pPr>
      <w:r>
        <w:rPr>
          <w:rFonts w:ascii="IRNazanin" w:hAnsi="IRNazanin" w:eastAsia="IRNazanin" w:cs="IRNazanin"/>
          <w:lang w:bidi="fa-IR"/>
          <w:color w:val="111111"/>
          <w:sz w:val="28"/>
          <w:szCs w:val="28"/>
          <w:rtl/>
        </w:rPr>
        <w:t xml:space="preserve">مؤلف کتابش را بر چند «فصل» و «باب» تقسیم نموده و در هر بخش نمونه ای از اشعار شاعران عرب را با ذکر نام شاعر نموده است ؛خط: نستعلیق، بی کا، بی تا؛ ۳۵گ (90پ-125پ)،  16 سطر [ف - ۱۴۰]</w:t>
      </w:r>
    </w:p>
    <w:p>
      <w:pPr>
        <w:pStyle w:val="BookText"/>
      </w:pPr>
      <w:r>
        <w:rPr>
          <w:rFonts w:ascii="IRNazanin" w:hAnsi="IRNazanin" w:eastAsia="IRNazanin" w:cs="IRNazanin"/>
          <w:lang w:bidi="fa-IR"/>
          <w:color w:val="111111"/>
          <w:sz w:val="28"/>
          <w:szCs w:val="28"/>
          <w:rtl/>
        </w:rPr>
        <w:t xml:space="preserve">۳۶۵. اراک؛ دهگان؛ شماره نسخه: ۱۴۸/۱۳</w:t>
      </w:r>
    </w:p>
    <w:p>
      <w:pPr>
        <w:pStyle w:val="BookText"/>
      </w:pPr>
      <w:r>
        <w:rPr>
          <w:rFonts w:ascii="IRNazanin" w:hAnsi="IRNazanin" w:eastAsia="IRNazanin" w:cs="IRNazanin"/>
          <w:lang w:bidi="fa-IR"/>
          <w:color w:val="111111"/>
          <w:sz w:val="28"/>
          <w:szCs w:val="28"/>
          <w:rtl/>
        </w:rPr>
        <w:t xml:space="preserve">آغاز: مرادك ان ترى في كل يوم *** و بین یدیک قوم ای قـوم.</w:t>
      </w:r>
    </w:p>
    <w:p>
      <w:pPr>
        <w:pStyle w:val="BookText"/>
      </w:pPr>
      <w:r>
        <w:rPr>
          <w:rFonts w:ascii="Amiri" w:hAnsi="Amiri" w:eastAsia="Amiri" w:cs="Amiri"/>
          <w:lang w:bidi="ar-SA"/>
          <w:color w:val="111111"/>
          <w:sz w:val="28"/>
          <w:szCs w:val="28"/>
          <w:rtl/>
        </w:rPr>
        <w:t xml:space="preserve">ليلة البيت ثلثمائه بعد الالف، محمد باقر</w:t>
      </w:r>
    </w:p>
    <w:p>
      <w:pPr>
        <w:pStyle w:val="BookText"/>
      </w:pPr>
      <w:r>
        <w:rPr>
          <w:rFonts w:ascii="IRNazanin" w:hAnsi="IRNazanin" w:eastAsia="IRNazanin" w:cs="IRNazanin"/>
          <w:lang w:bidi="fa-IR"/>
          <w:color w:val="111111"/>
          <w:sz w:val="28"/>
          <w:szCs w:val="28"/>
          <w:rtl/>
        </w:rPr>
        <w:t xml:space="preserve">۱۶ بیت؛ خط: نستعلیق تحریری، بی کا، بی تا ،کاغذ: نخودی، جـلد: تیماج ۱ص (۳۱۶) ،قطع: نیم رقعی،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۱-۹۵  ]</w:t>
      </w:r>
    </w:p>
    <w:p>
      <w:pPr>
        <w:pStyle w:val="BookText"/>
      </w:pPr>
      <w:r>
        <w:rPr>
          <w:rFonts w:ascii="IRNazanin" w:hAnsi="IRNazanin" w:eastAsia="IRNazanin" w:cs="IRNazanin"/>
          <w:lang w:bidi="fa-IR"/>
          <w:color w:val="111111"/>
          <w:sz w:val="28"/>
          <w:szCs w:val="28"/>
          <w:rtl/>
        </w:rPr>
        <w:t xml:space="preserve">۳۶۶. شیراز؛ ملی؛ شماره نسخه: ۱۲ - الف ۱۰۴</w:t>
      </w:r>
    </w:p>
    <w:p>
      <w:pPr>
        <w:pStyle w:val="BookText"/>
      </w:pPr>
      <w:r>
        <w:rPr>
          <w:rFonts w:ascii="Amiri" w:hAnsi="Amiri" w:eastAsia="Amiri" w:cs="Amiri"/>
          <w:lang w:bidi="ar-SA"/>
          <w:color w:val="111111"/>
          <w:sz w:val="28"/>
          <w:szCs w:val="28"/>
          <w:rtl/>
        </w:rPr>
        <w:t xml:space="preserve">آغاز: قول ابن سينا - هبطت عليك من المكان الارفع *** و وقاء ذات تفرر و تمنع؛ انجام: و ما اظنهما طال اعتنا قهما *** الالما  لقبا من شده الشرف</w:t>
      </w:r>
    </w:p>
    <w:p>
      <w:pPr>
        <w:pStyle w:val="BookText"/>
      </w:pPr>
      <w:r>
        <w:rPr>
          <w:rFonts w:ascii="IRNazanin" w:hAnsi="IRNazanin" w:eastAsia="IRNazanin" w:cs="IRNazanin"/>
          <w:lang w:bidi="fa-IR"/>
          <w:color w:val="111111"/>
          <w:sz w:val="28"/>
          <w:szCs w:val="28"/>
          <w:rtl/>
        </w:rPr>
        <w:t xml:space="preserve">این جزوه شامل مقداری اشعار عربی است و در بعضی صفحـات مطالبی به نثر نوشته شده است، جلد اول؛ بی کا، بی تا؛ محشی ؛جلد: مقوا با تیماج قهوه ای ،۶۴گ، مختلف السطر (۶/۵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۶/۵) ،اندازه: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 ۹۱]</w:t>
      </w:r>
    </w:p>
    <w:p>
      <w:pPr>
        <w:pStyle w:val="BookText"/>
      </w:pPr>
      <w:r>
        <w:rPr>
          <w:rFonts w:ascii="IRNazanin" w:hAnsi="IRNazanin" w:eastAsia="IRNazanin" w:cs="IRNazanin"/>
          <w:lang w:bidi="fa-IR"/>
          <w:color w:val="111111"/>
          <w:sz w:val="28"/>
          <w:szCs w:val="28"/>
          <w:rtl/>
        </w:rPr>
        <w:t xml:space="preserve">۳۶۷. تهران؛ ملک؛ شماره نسخه: ۲۹۳۱/۱</w:t>
      </w:r>
    </w:p>
    <w:p>
      <w:pPr>
        <w:pStyle w:val="BookText"/>
      </w:pPr>
      <w:r>
        <w:rPr>
          <w:rFonts w:ascii="IRNazanin" w:hAnsi="IRNazanin" w:eastAsia="IRNazanin" w:cs="IRNazanin"/>
          <w:lang w:bidi="fa-IR"/>
          <w:color w:val="111111"/>
          <w:sz w:val="28"/>
          <w:szCs w:val="28"/>
          <w:rtl/>
        </w:rPr>
        <w:t xml:space="preserve">آغاز: اشرف الارض بنور الهدى *** فى الولد القائم للمصطفى/ شمس سماء شرف فاطمة *** بدر نجوم فلک الارتضا؛ انجام: الـف ثناء و سلام لكم *** كل صباح و زمان السماء</w:t>
      </w:r>
    </w:p>
    <w:p>
      <w:pPr>
        <w:pStyle w:val="BookText"/>
      </w:pPr>
      <w:r>
        <w:rPr>
          <w:rFonts w:ascii="IRNazanin" w:hAnsi="IRNazanin" w:eastAsia="IRNazanin" w:cs="IRNazanin"/>
          <w:lang w:bidi="fa-IR"/>
          <w:color w:val="111111"/>
          <w:sz w:val="28"/>
          <w:szCs w:val="28"/>
          <w:rtl/>
        </w:rPr>
        <w:t xml:space="preserve">قصيدة في مدح الامام الثانى عشر ؛ خط: شکسته نستعلیق و نسخ،  بی کا،بی تا؛ کاغذ: فرنگی ،جلد: میشن لایی سبز، ۸گ (۱پ -8ر) ،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۶ - ۱۶۷]</w:t>
      </w:r>
    </w:p>
    <w:p>
      <w:pPr>
        <w:pStyle w:val="BookText"/>
      </w:pPr>
      <w:r>
        <w:rPr>
          <w:rFonts w:ascii="Times New Roman" w:hAnsi="Times New Roman" w:eastAsia="Times New Roman" w:cs="Times New Roman"/>
          <w:lang w:val="en-US" w:bidi="en-US"/>
          <w:color w:val="111111"/>
          <w:sz w:val="28"/>
          <w:szCs w:val="28"/>
          <w:rtl/>
        </w:rPr>
        <w:t xml:space="preserve">368.</w:t>
      </w:r>
    </w:p>
    <w:p>
      <w:pPr>
        <w:pStyle w:val="BookText"/>
      </w:pPr>
      <w:r>
        <w:rPr>
          <w:rFonts w:ascii="IRNazanin" w:hAnsi="IRNazanin" w:eastAsia="IRNazanin" w:cs="IRNazanin"/>
          <w:lang w:bidi="fa-IR"/>
          <w:color w:val="111111"/>
          <w:sz w:val="28"/>
          <w:szCs w:val="28"/>
          <w:rtl/>
        </w:rPr>
        <w:t xml:space="preserve">تهران؛ ملی؛ شماره نسخه: ۳۶۴۳/۲</w:t>
      </w:r>
    </w:p>
    <w:p>
      <w:pPr>
        <w:pStyle w:val="BookText"/>
      </w:pPr>
      <w:r>
        <w:rPr>
          <w:rFonts w:ascii="IRNazanin" w:hAnsi="IRNazanin" w:eastAsia="IRNazanin" w:cs="IRNazanin"/>
          <w:lang w:bidi="fa-IR"/>
          <w:color w:val="111111"/>
          <w:sz w:val="28"/>
          <w:szCs w:val="28"/>
          <w:rtl/>
        </w:rPr>
        <w:t xml:space="preserve">آغاز: جاد الحيا يثربا محمی ارجاها *** و عارض من نوال الله ارواها / فاحت نسيم الصبا ليلا فروحنى *** كانها نشرت من طلب رياها ؛انجام: لم يجر الالعبد من عبيدك يا *** ذات على خفی جل اسماها</w:t>
      </w:r>
    </w:p>
    <w:p>
      <w:pPr>
        <w:pStyle w:val="BookText"/>
      </w:pPr>
      <w:r>
        <w:rPr>
          <w:rFonts w:ascii="IRNazanin" w:hAnsi="IRNazanin" w:eastAsia="IRNazanin" w:cs="IRNazanin"/>
          <w:lang w:bidi="fa-IR"/>
          <w:color w:val="111111"/>
          <w:sz w:val="28"/>
          <w:szCs w:val="28"/>
          <w:rtl/>
        </w:rPr>
        <w:t xml:space="preserve">قصیده هائیه ای است در مدح حضرت رسول (صلّی اللَّهِ علیه وَ آلِهِ وَ سَلَّمَ ) در پنجاه و چهار بیت؛ خط: نسخ، بی کا، بی تا؛ توضیح برخی از لغات در لابه لای سطور؛ مهر: «محمد حسین بن محمد ابراهیم» (بیضی)؛ کاغذ: فرنگی فستقی، جلد: تیماج سیاه یک لا، ۲گ (۵۴پ-۵۶)،  ۱۵ سطر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۱۶ - ۲۳۴]</w:t>
      </w:r>
    </w:p>
    <w:p>
      <w:pPr>
        <w:pStyle w:val="BookText"/>
      </w:pPr>
      <w:r>
        <w:rPr>
          <w:rFonts w:ascii="IRNazanin" w:hAnsi="IRNazanin" w:eastAsia="IRNazanin" w:cs="IRNazanin"/>
          <w:lang w:bidi="fa-IR"/>
          <w:color w:val="111111"/>
          <w:sz w:val="28"/>
          <w:szCs w:val="28"/>
          <w:rtl/>
        </w:rPr>
        <w:t xml:space="preserve">۳۶۹. مشهد؛ رضوی؛ شماره نسخه: ۴۹۶۱</w:t>
      </w:r>
    </w:p>
    <w:p>
      <w:pPr>
        <w:pStyle w:val="BookText"/>
      </w:pPr>
      <w:r>
        <w:rPr>
          <w:rFonts w:ascii="IRNazanin" w:hAnsi="IRNazanin" w:eastAsia="IRNazanin" w:cs="IRNazanin"/>
          <w:lang w:bidi="fa-IR"/>
          <w:color w:val="111111"/>
          <w:sz w:val="28"/>
          <w:szCs w:val="28"/>
          <w:rtl/>
        </w:rPr>
        <w:t xml:space="preserve">آغاز: قصر رو یدک عن لومی و عن عذلی؛ انجام: و ما نقجر دمع العارض الهطل.</w:t>
      </w:r>
    </w:p>
    <w:p>
      <w:pPr>
        <w:pStyle w:val="BookText"/>
      </w:pPr>
      <w:r>
        <w:rPr>
          <w:rFonts w:ascii="IRNazanin" w:hAnsi="IRNazanin" w:eastAsia="IRNazanin" w:cs="IRNazanin"/>
          <w:lang w:bidi="fa-IR"/>
          <w:color w:val="111111"/>
          <w:sz w:val="28"/>
          <w:szCs w:val="28"/>
          <w:rtl/>
        </w:rPr>
        <w:t xml:space="preserve">تخميس لامية العجم طغرائی است و ناظم آن از خود نام نبرده است؛ خط: نسخ، بی کا، بی تا؛واقف: فاضل خان؛ کاغذ: کاهی  آهار مهره، جلد: پارچه ای، ۱۴گ مختلف السطر، اندازه: 31/2</w:t>
      </w:r>
      <w:r>
        <w:rPr>
          <w:rFonts w:ascii="Times New Roman" w:hAnsi="Times New Roman" w:eastAsia="Times New Roman" w:cs="Times New Roman"/>
          <w:lang w:val="en-US" w:bidi="en-US"/>
          <w:color w:val="111111"/>
          <w:sz w:val="28"/>
          <w:szCs w:val="28"/>
          <w:rtl/>
        </w:rPr>
        <w:t xml:space="preserve">×20/3</w:t>
      </w:r>
      <w:r>
        <w:rPr>
          <w:rFonts w:ascii="IRNazanin" w:hAnsi="IRNazanin" w:eastAsia="IRNazanin" w:cs="IRNazanin"/>
          <w:lang w:bidi="fa-IR"/>
          <w:color w:val="111111"/>
          <w:sz w:val="28"/>
          <w:szCs w:val="28"/>
          <w:rtl/>
        </w:rPr>
        <w:t xml:space="preserve">سم [ف: ۷ - ۸۲۶]</w:t>
      </w:r>
    </w:p>
    <w:p>
      <w:pPr>
        <w:pStyle w:val="BookText"/>
      </w:pPr>
      <w:r>
        <w:rPr>
          <w:rFonts w:ascii="IRNazanin" w:hAnsi="IRNazanin" w:eastAsia="IRNazanin" w:cs="IRNazanin"/>
          <w:lang w:bidi="fa-IR"/>
          <w:color w:val="111111"/>
          <w:sz w:val="28"/>
          <w:szCs w:val="28"/>
          <w:rtl/>
        </w:rPr>
        <w:t xml:space="preserve">۳۷۰. مشهد؛ شیخ علی حیدر؛ شماره نسخه: ۸۱۰/۲</w:t>
      </w:r>
    </w:p>
    <w:p>
      <w:pPr>
        <w:pStyle w:val="BookText"/>
      </w:pPr>
      <w:r>
        <w:rPr>
          <w:rFonts w:ascii="IRNazanin" w:hAnsi="IRNazanin" w:eastAsia="IRNazanin" w:cs="IRNazanin"/>
          <w:lang w:bidi="fa-IR"/>
          <w:color w:val="111111"/>
          <w:sz w:val="28"/>
          <w:szCs w:val="28"/>
          <w:rtl/>
        </w:rPr>
        <w:t xml:space="preserve">آغاز: اموت فتحييني بطرف الانامل *** فيعجب من هذا جميع الانام لی؛ انجام: عليه صلاة الله فى كل ساعة *** و مابش روض من بكاء المواطن مجموعه شعری شامل مدایح الرسول (صلّی اللَّهِ علیه وَ آلِهِ وَ سَلَّمَ ) از شاعران مختلفی همچون قلقشندی و الجعبری و ابن معسود؛ خط: نسخ، بی کا، بی تا؛ ۵گ (۴ر-۹پ)، ۲۱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[مؤید: ۲ - ۲۵۶]</w:t>
      </w:r>
    </w:p>
    <w:p>
      <w:pPr>
        <w:pStyle w:val="BookText"/>
      </w:pPr>
      <w:r>
        <w:rPr>
          <w:rFonts w:ascii="IRNazanin" w:hAnsi="IRNazanin" w:eastAsia="IRNazanin" w:cs="IRNazanin"/>
          <w:lang w:bidi="fa-IR"/>
          <w:color w:val="111111"/>
          <w:sz w:val="28"/>
          <w:szCs w:val="28"/>
          <w:rtl/>
        </w:rPr>
        <w:t xml:space="preserve">۳۷۱. قم؛ مسجد اعظم؛ شماره نسخه: ۱۴۸۹/۸</w:t>
      </w:r>
    </w:p>
    <w:p>
      <w:pPr>
        <w:pStyle w:val="BookText"/>
      </w:pPr>
      <w:r>
        <w:rPr>
          <w:rFonts w:ascii="IRNazanin" w:hAnsi="IRNazanin" w:eastAsia="IRNazanin" w:cs="IRNazanin"/>
          <w:lang w:bidi="fa-IR"/>
          <w:color w:val="111111"/>
          <w:sz w:val="28"/>
          <w:szCs w:val="28"/>
          <w:rtl/>
        </w:rPr>
        <w:t xml:space="preserve">آغاز: لبنى الهادى مناخى *** في غدوى ورواحي / صاح، قلبی ***ما لحزنى من براخی / بت والحزن سیرى *** آه مما في ضميري / كيف يلحانی شجیری؛ انجام: و يرجى من لديكم *** و هو محسوب عليكم / فاسمعوها من مغام *** من اعاجيب الكلام / مثل درفى نظام *** قالها والدمع هامى. قصیده ای است در ذکر مصیبت ابا عبدالله الحسین (علیه السّلام) در ۱۶۲ بیت که پس از هر مقطع «واحسيناه» آمده است؛ خط: نسخ، بی  کا،</w:t>
      </w:r>
    </w:p>
    <w:p>
      <w:pPr>
        <w:pStyle w:val="BookText"/>
      </w:pPr>
      <w:r>
        <w:rPr>
          <w:rFonts w:ascii="IRNazanin" w:hAnsi="IRNazanin" w:eastAsia="IRNazanin" w:cs="IRNazanin"/>
          <w:lang w:bidi="fa-IR"/>
          <w:color w:val="111111"/>
          <w:sz w:val="28"/>
          <w:szCs w:val="28"/>
          <w:rtl/>
        </w:rPr>
        <w:t xml:space="preserve">بی تا؛ مجدول؛ جلد: تیماج قهوه ای بدون مقوا مجدول گرهی، 3گ، ۱۹ سطر، قطع: بیاضی،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مخ: ۵ - ۱۹۸۴]</w:t>
      </w:r>
    </w:p>
    <w:p>
      <w:pPr>
        <w:pStyle w:val="BookText"/>
      </w:pPr>
      <w:r>
        <w:rPr>
          <w:rFonts w:ascii="Amiri" w:hAnsi="Amiri" w:eastAsia="Amiri" w:cs="Amiri"/>
          <w:lang w:bidi="ar-SA"/>
          <w:color w:val="111111"/>
          <w:sz w:val="28"/>
          <w:szCs w:val="28"/>
          <w:rtl/>
        </w:rPr>
        <w:t xml:space="preserve">۳۷۲ . مشهد؛ الهيات؛ شماره نسخه: ۴۶۲</w:t>
      </w:r>
    </w:p>
    <w:p>
      <w:pPr>
        <w:pStyle w:val="BookText"/>
      </w:pPr>
      <w:r>
        <w:rPr>
          <w:rFonts w:ascii="Amiri" w:hAnsi="Amiri" w:eastAsia="Amiri" w:cs="Amiri"/>
          <w:lang w:bidi="ar-SA"/>
          <w:color w:val="111111"/>
          <w:sz w:val="28"/>
          <w:szCs w:val="28"/>
          <w:rtl/>
        </w:rPr>
        <w:t xml:space="preserve">آغاز: وغصون كانهن نشاوى*** يترقصن عن قدود الغرائي؛</w:t>
      </w:r>
    </w:p>
    <w:p>
      <w:pPr>
        <w:pStyle w:val="BookText"/>
      </w:pPr>
      <w:r>
        <w:rPr>
          <w:rFonts w:ascii="IRNazanin" w:hAnsi="IRNazanin" w:eastAsia="IRNazanin" w:cs="IRNazanin"/>
          <w:lang w:bidi="fa-IR"/>
          <w:color w:val="111111"/>
          <w:sz w:val="28"/>
          <w:szCs w:val="28"/>
          <w:rtl/>
        </w:rPr>
        <w:t xml:space="preserve">انجام؛ قصیدهای در تعبیر خواب منقول از حضرت صادق از اول تا آخر هر ماه. اما الثلاثين بلامحال *** صادقة على كلى الاحوال</w:t>
      </w:r>
    </w:p>
    <w:p>
      <w:pPr>
        <w:pStyle w:val="BookText"/>
      </w:pPr>
      <w:r>
        <w:rPr>
          <w:rFonts w:ascii="IRNazanin" w:hAnsi="IRNazanin" w:eastAsia="IRNazanin" w:cs="IRNazanin"/>
          <w:lang w:bidi="fa-IR"/>
          <w:color w:val="111111"/>
          <w:sz w:val="28"/>
          <w:szCs w:val="28"/>
          <w:rtl/>
        </w:rPr>
        <w:t xml:space="preserve">شامل اشعاری از شعرای عرب، به ترتیب عبارت اند از اشعاری از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دمینه بند مالک، ابن المشرف، ابن الساعاتي، حسام الدین الحاجرى ،صومری، کمال الدین ابن نباته فى الخمرة و ساقیها، شیخ شهاب الدین، علی بن ملیک الحموي، عفيف تلمسانی،حاجرى حسام، بهاء زهير ،مجنون، ابله البغدادى، مهيار الديلمـی، سیدعلی خان صاحب السلافة، محمد بن عبدالله بلخی، بختری، مهیار دیلمی شیخ محمد رضی، ابن نباته، ابن نبية، عنترة، ،سید رضی، ابن رومی، مسعود بن حسن عبکری ،متنبی، بهاء الدین زهیر، عفیف تلمسانی، سعدالدین بن عربی، ابن ادریس، امیر ناصرالدين شهاب الدين تلعفری، ابوالحسن جزار، صفى الدين حلی، سید علیخان، عبد علی بن عزیز، بدرالدين يوسف بن لؤلؤ ذهـبی،ابن حمدان، شمس الدین  کوفی، امرء القيس، محمد شامی ،ابن قیسرانی ،صنئبری، حداد، ابوالمنصور عیسی، شیخ حمید بن نصار، کاظم ازرمی، ابى الفتح ابن نحاس، ابن خیاط؛ خط: نسخ، بی کا، بی تا؛ افتادگی: آغاز؛ کاغذ: فرنگی، جلد: تیماج مشکی، ۱۳۲ گ،مختلف السطر ، اندازه: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 - ۶۹]</w:t>
      </w:r>
    </w:p>
    <w:p>
      <w:pPr>
        <w:pStyle w:val="BookText"/>
      </w:pPr>
      <w:r>
        <w:rPr>
          <w:rFonts w:ascii="IRNazanin" w:hAnsi="IRNazanin" w:eastAsia="IRNazanin" w:cs="IRNazanin"/>
          <w:lang w:bidi="fa-IR"/>
          <w:color w:val="111111"/>
          <w:sz w:val="28"/>
          <w:szCs w:val="28"/>
          <w:rtl/>
        </w:rPr>
        <w:t xml:space="preserve">۳۷۳ .تهران؛ مجلس؛ شماره نسخه: ۳۳۲۲</w:t>
      </w:r>
    </w:p>
    <w:p>
      <w:pPr>
        <w:pStyle w:val="BookText"/>
      </w:pPr>
      <w:r>
        <w:rPr>
          <w:rFonts w:ascii="IRNazanin" w:hAnsi="IRNazanin" w:eastAsia="IRNazanin" w:cs="IRNazanin"/>
          <w:lang w:bidi="fa-IR"/>
          <w:color w:val="111111"/>
          <w:sz w:val="28"/>
          <w:szCs w:val="28"/>
          <w:rtl/>
        </w:rPr>
        <w:t xml:space="preserve">گردآوری بهاءالدوله و تنها در دو جا چند سطر فارسی دارد و بیشتر شعر است. اینک مطالب: نقل باب ۳۸ از «عیون اخبار الرضا» و ۲ فقره از «امالی» الصدوق (ص۲-۱ )،باب ۴۰ از «عیون اخـبار الرضا» و فقره از «منهاج النجاة» ملامحسن فیض (ص ۲)،نقل فقرات چند از «ربیع الابرار» (۳-۴)، نقل فقره از «مروج الذهب»و «معادن الجوهر» مسعودی (۴-۵)، از «ربیع الابرار»، چندبیت از عبدالله بن عبدالمطلب و چند بیت از ابن الهانى (ص۵)، فقرات و اشعاری از: ابوالحسن احمد بن القاءس اللغوى (شعر) نقل از «كامل التاريخ» قاضی ابوالحسن جرجانی، «من لا يحضره الفقیه» (یک حدیث) «قال معويه ..»، فقره از اولاد طاهر ذوالیمینین تکه قالب عجوز... شعر، قالب زينب عليها السلام، شعر لقابوس المقلب بشمس المعالی، شعر صاحب بن عباد، شعر من «ربیع الابرار»، چند داستان و روایت، «فی الکافی حدیث ابونصر الهرثمى المقانى بن هرثم»، شعر ابو محمد السلمى، شعر لابی الحسن على بن هارون المنجم، اشعار و فقرات از: للزمحشری، شعر ابراهيم الكلبى الاشهبي، شعر لابی هلال العسكرى، شعر ابو السعادات، شعر لبديع الزمان الهمدانی، شعر قال اسحق الموصلی، شعر من عيون اخبار الرضا، حدیث قال تاج الدوله ابوالحسـین احمد بن عضدالدوله الديلمى فى النكبته، شعر لابی مسلم المروزى صاحب الدعوة، شعر لبعضهم لقد احسن و اجاد فی التنبيه؛ شعر ابوالفرج الببغاء في مدح شاپور بن اردشیر وزیر، شعر زيد بن الحسن بنسعيد الكندى، شعر ابن المعتز، شعر فقره از يحيى بن زياد المعروف بالفراء النحوى، شعر از ثعالبی در مـدح سلطان محمود هنگام فتح سیستان، شعر از یزید بن معويه (ص9)، شعر از عمر بن ربیعه، شعر از قاضی اسعد، اسامی سهام از لام  از رسوم عرب جاهلی، تسبيح عند طلوع الشمس (ص ۱۰ )،شعر از یکی از شعراء عرب، حدیثی از امالی صدوق، قطعه شعری زیبـا به عربی، قطعه شعری از فرزدق در هجو جریر با شرح معانی لغوی (۱۲-۱۱)، قطعه و داستانی از ابوالفتح بستی درباره خلف بن احمد، داستان احنف و معاویه و چند بیت از او درباره قبیله کسع (به ضم کاف و فتح سین = قبیله ای در یمن) (۱۲-۱۳)، شعری از على بن محمد صاحب الزنج بالبصرة، قطعه شعری از ابونواس الحکمی، قطعه شعری از لاادری شعر از عمر بن ابی ربیعه، شعری از الناصر لدين الله خلیفه عباسی، شعری مورج السدوسی (ص۱۳)، نقل از مجمع الامثال، شعری از یک شاعر، فقراتی از کتاب مطالب السؤل صاحب كشف الغمه، شعری از حضرت حسین بن على بن ابيطالب (علیه السّلام) خطاب سكينه، شعری از حيص بيص در مرثیه حضرت حسین (علیه السّلام) ، داستانی از ابوالحسين الجزار، فقراتی و ابیاتی از عبدالملک و فضل بن عباس بن عشية بن أبى لهب (ص۱۴)، حدیث در بهداشت، فائده در تاریخ علم طب، شعری از قاضى هبة الله بن سناء الملک، شعری از محمد بن العفيف (ص ۱۵)، اشعاری چند از ابونواس، شعری از عبدالله بن عبیدالله بن طاهر، داستان و شعری از فرزدق، شعری از حسین بن مطير الاسدى در مرثیه (ص۱۶)، شعری از متنبی، شعری از ابوالحسین الكاتب الوسطى، شعری از ... بن زین  العبادی، صنعت مغایرت در شعری از ابوالفضل المیکالی در شاب، شعری از ابوالظفر محمد بن ابى العباس القرشى الاموى المعاوى (ص ۱۷)، قطعه نخست با قافیه الف و دوم با قافیه «فاء»، شعری از سالم بن وابصه، شعری از نصيب الشاعر، شعری از شاعری گمنام، شعری از خلید مولی عباس بن محمد بن علی بن عبدالله بن العباس نیای عمیثل شاعر، داستان ها و اشعاری از محمد بن مناد، درباره حج هارون الرشيد و پسرانش، شعری از نصر بن احمد شاعر معروف به خبز ارزی (ص۱۸)، شعری از ابو عثمان خالدی، شعری از عبدالجلیل المرسی، شعری از فضل الدولة، از امثال عرب، شعری از عمر بن ابی ربیعه (این اشعار بنوشته کنار صفحه تکراری است)، شعری از شاعری عرب در مرثیه زنش، شعر از ابو العتاهية اسمعيل (ص۱۹)</w:t>
      </w:r>
    </w:p>
    <w:p>
      <w:pPr>
        <w:pStyle w:val="BookText"/>
      </w:pPr>
      <w:r>
        <w:rPr>
          <w:rFonts w:ascii="IRNazanin" w:hAnsi="IRNazanin" w:eastAsia="IRNazanin" w:cs="IRNazanin"/>
          <w:lang w:bidi="fa-IR"/>
          <w:color w:val="111111"/>
          <w:sz w:val="28"/>
          <w:szCs w:val="28"/>
          <w:rtl/>
        </w:rPr>
        <w:t xml:space="preserve">شعری از ابودلف قاسم بن عيسى العجلی، اشعاری از ابوالقاسم حسين بن على المعروف بابن المرزبان، شعری از ابوالمطاع ذوالقرنين بن حمدان ملقب به وجيه الدولة، شعری از کتاب حماسه ابو الحجاج يوسف بن محمد البیاسی به نقل از کتاب المراثی از ابو علی  قالی، شعری در مدح سلطان صلاح الدين ایوبی (ص۲۰) ،شعری از بحتری، اشعاری با یک مضمون از اخيطل الاهوازی وچند شاعر دیگر بدون نام شعری از ابوحبیش النميرى در وصف سخای یحیی بن خالد برمکی، شعری از ابن الخياط المدنی در مدح المهدی، شعری از سهل به هاورن، اشعاری از چند شاعر بدون ذکر نام، شعری از ابو نواس در مدح ابونصر خصيب بن عبدالحمید صاحب دیوان خراج مصر به هنگام سفر به مصر شامل نام منازل بین راه (ص ۲۱)، اشعاری از چند شاعر، فقره از کلام نظام، شعری از نظام سخنی از مبرد (ص۲۲)، شعری در تغزل از شاعری بدون نام، اشعاری از فند الزمان (سهل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شيبان بن ربيعة بن زبان) درباره نبرد بسوس از حروب معروف عرب جاهلی، اشعاری از ابوطالب یحیى بن الفرج سعيد بن زیاد الشیبانی، شعری از ابن حیدر،شعری از گمنام، شعری از مجیرالدین تمیم، شعری از یزید بن معویه، شعری از ابو عبدالله محمد بن مسلم معروف به ابن المولی در مدح يزيد بن حاتم مهلب (۲۳)، شعری از محمد بن عبدالله نمیر الثقفی، سخنان و اشعاری از کامل مبرد، شعری از عمر بن سعد بن ابی وقاص، شعری از عبدالله حسين بن احمد المعروف به ابن الحجاج (ص۲۴)، داستانی از ابو عبدالله احمد بن ابی ... فضال مولی  بنی هاشم، شعری از شاعری ناشناس (ص ۲۵)، شعری از ابراهیم سواق درباره ابو العباس عیسی بن سلیمان، شعری از ابوالشعب قیـسی درباره خالدقسری، شعری از ناشناس، شعری از صفیه الباهـلیه (ص۲۶)، اشعاری از فاطمه بنت الاحجم الخزاعی در مرثیه با شـرح به نقل از شرح حماسه طیب تبریزی (ص۲۷) ،شعری از عـجیر السلولی، شعری از التیمی درباره منصور بن زیاد بن ابيه (ص28)، شعری از ناشناس، از محمد بن یحیی نیشابوری کشته شده درفتنه غز، شعری از محمد بن غالب الاندلسى الرصافى، اشعارى چند بدون نام (ص۲۹)، سخنی از حضرت حسن (علیه السّلام) در پاسخ معاویه، شعری چند از عبید بن ایوب  العنبری، از شاعری دیگر (ص30)، از حماسی، قطعه ای از یک شاعر عرب درباره سرنوشت از ابودلامة که در پیشگاه مهدی خلیفه عباسی گفته است (ص 31)، از داستان های ابودلام درباره بیماری هوش و طبیب، خطبه رجل عظيم الانف امرته من العرب، اشعاری از چند شاعر، اسماء حسـنی در قرآن حکیم از سوره بقره تا اخلاص اسماء خداوند را درهر یک از این سور جداگانه به حساب آمده و آنها ۹۹ اسم است (ص ۳۲)، فقره فارسی و دعای که در وقت رؤیت عطارد می خوانند و لطیفه ای از آقا جمال مجتهد پدر آقا حسـین خوانساری (ص۳۴)، قصیده از بدیع الزمان همدانی با این مطلع: «اسماء الدجى ما هذه الحدق النجل *** أصدر الدجى حال وجید الضحى عطل» (۳۷-۳۵)، قصیده دیگر از بدیع الزمان همدانی این مطلع: «على ان لا اريح العيس والقتبا *** و البس البيد الظلماء و اليلباء» (۳۸-۳۷) ، قصیده از ابوالفتح سبط ابن التعاويذی با این مطلع: «سمع الزمان بوصلها فدنت على عداوتها *** باتت تعاطينى المدام و كنت من اكفائها» (۳۹-۳۸)، قصیده از محمد بن الملقب بفخر الدولة با این مطلع: «الحاجة نفس لا تـفیق غرورها *** و حاجة قلب ليس يقض يسيرها»، مدیحه با این مطـلع: «اعدت الى جسم الوزارة روحه *** ما كان یرجی  بعثها و نشورها»، قصیده در مدح خضیب امیر مصر با این مطلع: «تقول التى فى بـیتها خف محملی *** عزيز علينا ان نراك تسير»، قصیده از ابونواس با این مطلع: «دع عنك لومى فان اللوم اغراء *** و داونی بالتی کانت الداء (ص ۴۰)، قصیده دیگر با این مطلع: «نضت عنها القميـص لصب ماء *** فاورد خدها فرط الحياء»، از خمریه با این مطـلع: «يطوف بها ساق أغن ترى له*** لى مستدار الاذن صدغا معـقبا» (ص (۴۱)، در مدح خصيب بن عبد الحميد: «يا منة امتنها السكر*** ما ينقضى منى لها الشكر» با این مطلع: «دارند امى عطلوها و ادلجوا *** بها اثر منهم جدید و دارس (ص ۴۲) ،اشعاری دیگر از ابو نواس، با این مطلع: «سقى المطيرة ذات الظل و الشجر *** و دير عبدون هطال من المطر» (ص۴۳)، قصیده ای از حسین بن مطیر الاسدی با این مطلع: «لقد كنت جلدا قبل ان توقد النوى ***على  کبدی نارا بطيئا ،خمودها» دو بیت از حسین بن مطير الاسدي، ابیاتی از سید رضی، از مجنون و ،دیگران، از ابن درید، از یک الجن الحمصی و سید رضی، چند قطعه منسوب به عایشه و به ابو اسحق الغزی، اشعاری از ناشناس، ابوالعباس الضبي، ابو اسحق ابراهيم بن السيار النظام، از احمد بن ابي نصير المناذى الوزير، لا ادری و بعضی از متأخرین،اشعاری از: محمد بن الهانى المغربى در صنعت حسن تخلص، ارهذلی و بعضی از اعراب (ص۴۹) قصيده :از احمد بن المنير الطرابلسى، اشعاری از یک شاعر که اسمش ذکر نشده، دو قصیده :از شریف (رضی)، قصیده از ابوحية النمیری با این مطلع: «و خبرك الواشون اني احبكم *** بلی و ستور الله ذات المحارم (ص۵۰)، قطعه ای دیگر از او، ابواسحق الصابی از مالک اشتر در واقعه جنگ صفین و از چند شاعر (که اسمشان برده نشد) درباره اسب، اشعاری از ابوطالب بن عبد المطلب (ص ۵۲)، چند دو بیتی از چند شاعر دیگر که اسمشان برده نشده، پس از آن اشعاری از ابوبكر الشاعر (ص ۵۳)، یک بیتی و دوبیتی ها و اشعاری در تغل باز از ابوبکر الشاعر، قصیده از بشار بن برد به نقل اغانی از موصلی با این مطلع: «و ذات دل كان البدر صورتها *** اتت تغنى عميد القلب سكرانا» ( ص۵۵)، از خمریات چند شاعر که اسمشان ذکر نشده، اشعاری گویا از ایوب از لصوص بنی الغیر، از مهيار الديلمي خنساء (ابیاتی که جرمر خنساء را به خاطر آنها شاعرترین دانست) وچند شاعر مجهول، اشعاری از ابو نواس در صنعت مراجعه (ص ۵۸)، معاویه بن ابی سفیان ابوالفتح البستى (ص۵۹) دو قطعه از ابن الدمينة نخست دالیه دوم کافیه، ابوالولید الکتانی، مهلبى الوزير، ابواسحق الصابي، ابوالفتح البستى، ابوالفتح الكشاجم ابو تمام الطائي، اشعاری از ابی تمام الطائى، ابن المقر، مهلبي الوزير (ص۶۲)، ابوسعید ابوالخیر، ابوالعلاء المعرى، عبدالله ابن العبد بن الطاهر، ابن الدهان (ص ۶۵)، قصیده ای از عبدالعلی الحویزی با این مطلع: «قام يجلوها و فى الاجفان غمض *** و الندامى نوم بعض و بعض، ابیاتی از سیف الدولة» (ص ۶۷)، قصیده از ابن العربی، از رضی الموسى (ص۶۸) ،از شهاب التلعفرى ابوالحنين الجزار، اشعاری از حسام الدين الهاجری (ص(۶۹) ،تغزل از شاعری دیگر که اسمش ذکر نشده، اشعاری از عضد الدولة الديلمى (ص ۷۰)، یک بیتی و دوبیتی هایی از چند شاعر که اسمشان ذکر نشده، داستان مناظره است شعری بین عقیل بن علقمه مری و فرزندانش عملی و حرباء این ابیات به ترتیب از عقیل بن علقمه عملش بن عقيل، حرباء بن بنت عقیل، ابیاتی از امام سجادخطاب به پدر (ص۷۲)، ابیات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منسوب به امام حسين (علیه السّلام) و الامام سجاد (علیه السّلام) ، فاضل خان ادیـب، اشعاری از چند شاعر دیگر، ابیاتی از چند شاعر که اسمشان ذکر نشده، اشعاری از ذوالرمة، محمد صالح الحلبى و چند شاعر ديگر، ابیاتی از مأمون عباسی (ص ۷۵)، يحيى بن اكثم قاضى مأمون، ذوالرمه و یک شاعر دیگر که اسمش ذکر نشده، ابیاتی از بدالله بن طاهر، بحتری و چند شاعر دیگر، ابیاتی از امام علی (علیه السّلام) ( ص۷۷)، الخطيب احمد المدنی و چند شاعر دیگر، قصیده از خنساء در مرثیه  برادرش، ابیاتی از متنبی، ابونواس و محمد حسن الحویزی و چند شاعر دیگر، عبابی و یک شاعر دیگر که اسمـش  برده نشده (ص ۸۰) ، قصیده از: ابی فراس قصیده از: سموأل با این مطلع: «اذا المرء لم يدنس من اللوم عرضه *** فكل رداء يرتـ دیه جمیل (۸۵-۸۴) قصیده ای بلند از یک شاعر که اسمش ذکر نشده با این مطلع: «نالت على يدها ما لم تنله يدى *** نقشا علی معصم اضنت به کبدی»، ابیاتی و اشعاری از قیس عامری، مجنون (ص ۸۷)، قصیده از سید علی معصوم قطعه ای از یک شاعر (که اسمش ذکر نشده) در ذم دوستی با تکلف (ص ۸۸)، قصایدی از سید شریف الرضی، از یک شاعر دیگر، ابوالغنائم المـعلم الموسطى (ص ۸۹)، اشعاری از على بن عطية، سليمان بن عامر، چند قطعه یا دو بیتی از چند شاعر دیگر (ص۸۹) ،اشعاری از الرقاشی ،ابونواس ابو العتاهية (ص ۹۱)، اشعاری ازأخطل، هـلال بن جعشم، شاعر جاهلی، بحتری، محمد بن ابی ذرعه (ص92)، اشعاری از ابی دلف العجلى، عبدالله بن طاهر الخزاعي ابوبکر الخوارزمی، صاحب بن عباد، يوسف بن حمويه (ص۹۳) ، اشعاری از فرزدق در مدح بنای سلیمان، فاضل خان در مدح عباس میرزا، اشعاری از ابی فراس، ابیاتی چند ارتجالی از نصیب در مـدح سلیمان، اشعار از عبید الله بن عبد الله بن طاهر (ص ۹۵) ، قصيده از یک شاعر که اسمش برده نشده با مطلع: «دار الفجايع و الهموم و دارالبث والاحزان و «البلوی (ص ۹۶)، اشعاری از قطعاتی یک نامه بیتی از ابیاتی از: ابو نواس، از منخل اليشكرى در صدر ابيـات نوشته «المنخل اليشكري كان نديما للنعمان ابن المنذر فاتهمه بامراته المتجردة وقتله» از الخوارزمی، اشعار و ابیاتی نابغه ذبیـانی و چند شاعر دیگر (ص۹۹)، موشحات و قصاید و نامه های پاسخ های منظوم از قاضی علاء الدین کاتب السر مصر در نامه هـای خویش در جواب امراءو برای امراء در آغاز قصائد این نام ها دیده می شود: شمس الدین بن عبسون مستوفی، شیخ مجیرالدین خیاط دمشقی ابن بنابه مصری، شمس الدین موشح نخست بدین مطلع: «كرر اللوم عيه ان تشا *** فهو صب بمحياه انتشا» (۱۹ -۱۰۱)، قصیده از قطب الدین معارضا لابن مطروح با این مطلع: «لا حل الله سيف المقل *** فكم ذا اصاب و كم ذاقتل (۲۰۱-۱۹)، ابیاتی از شریف رضی، ابیاتی از جابر الکاظمی که در هنگام خداحافظی از نواب اردشیر خوانده است (۱۲۰-۱۲۱)، اشعاری از ابن المقرب و دیگران، قصاید از صاحب بن عباد در مدح حضرت علی (علیه السّلام) (ص۱۲۳)، ابن الخياط الشاعر، قطعاتی از ابو اسحق ابراهيم الغزى القاضى الارجانى، قطعاتی از القاضی الارجاني، ابو فراس الحمدانی، ابو تمام الطائی (ص ۱۲۵)، اشعاری از خنساء، ليلى الاخيلية، ابیاتی از ابی فراس ،حمدانی، ابی تمام طائی، چند شاعر دیگر (ص ۱۲۷)، قطعات و ابیاتی از ابن المعتز و دیگران (ص ۱۲۹)، اشعاری از قطعه شعری از یک زن در مدح علی (علیه السّلام) از ابن حجر (يا ابن نباته) در بحر خفیف و از ابن الفارض در مدح علی (علیه السّلام) و شافعی در مدح آل بیت و ابن الحویزی در مدح  آل بیت، قصیده از ابن العاص در مدح آل بیت با این مطلع (در بحر وافر): «بآل محمد عرف الصواب *** في ابياتهم نزل الكتاب» (۱۳۰ -۱۳۱)، چند بیت دیگر در مدح آل بیت (در بحر طویل)، اشعاری از ابونواس در مدح على بن موسى الرضا، كمال الدين بن نبیه، ابن الرومي، خليع شاعر، ابوالحسن بصری، عمر بن الهرندی، يزيد بن معاويه، ابو النصر محمد، احمد جوهری، محمد بن کمیل ،سید اسماعیل، سید احمد جوهری،  عبدالطاهر سليمان بن عبدالملک، طاهر عتابی، صاحب بن عباد، منصور بن كيغلغ واو دمشقی، ابو حفص عمر مطواعی، ابن  مکنه،ابوالفتح بن قادوس، ابو الفتح ذو الكفايتين، معتمد بن عباد، صاحب اشبیلیه، ابوالحسن طباطبائی، صفی حلی، ابن رشيق، ابن وكيع، ابن سناء الملک زیاد اعجمی ،تنوخی، ابو ذویب هذلي، ابن قلاقس، علی بن بسام، علی بن خلیل، ابن نباته سعدی، وليد محمد بن يحيى بن حزم، ابوکثیر، ابوبکر خوارزمی نمیری، محمد بن وهيب، محمد بن شمس الخلافه، ابن سكره، عبدالرحمان بن محمد الواسطى، بحتری، ابوالفتح بکتمری، بستی، ابوالفضل، ابن جابر، ابن اشرف  ماردینی، ابن جابر اندلسی، ابن عفیف باخرزی، صنوبری صلاح الدين صفدى، ابن النقيب، مسلم بن ولید، ابن رشیق، تهامی، ملک اشرف، شاه ارمن، عبدالله بن قائلة البستى، ابن اللبانه، سراج وراق ،ابن معتز قیروانی، ابو جعفر اندلسی، ابن خلاد، عدی بن رقاع عاملی، ابن جعفر غرناطی، شرف الدین حلاوی ابن القيروانی، مسلم بن ولید، ابو اسحاق منقری، ابن فارض، نصر بن احمد جزائری، ابو فراس، صدرالدین العاملی، ابن مطروح شهید، حاج يوسف  ازری، ارجانی، عبدان اصفهانی، ابن حجد الاموى، دیک الجن، ابن درید، ابو عثمان خالدی، ابو النبيه، عزالدين بن عبدالرزاق، صدرالدین عاملی (مكرر)، عمارة بن عقيل، ابو محمد خطیب ملقب به سیبویه، ابو الصلت در مدح ابن ذي يزن، شهاب محمود، امية بن ابى الصلت ابو العتاهيه، جمال الدین صوفی، ابوالحسن احمد بن مومل، مالک بن مرحل اندلسی، ابوجعفر اندلسی، ابوالفرج ببغاء، ابن احمد الصقلي، ابن عبد ربه، ابو خلف عکبری، ابو محمد شافعی، ابن هفان، ابن الساعاتي، عماد بن دبوقا، نجم الدین بارزی، حسین بن مطير اسدی، سری رفاء، شمس تلمسانی، ابوالحسن الغصب الملحى، دعبل خزاعی، بدر بن لؤلؤ ذهبی، ابن حيوس، یعقوب نیشابوری ادیب، امیر سلیمانی. ابو محمد خوارزمی، ابن حجاج، حيوس، شمس الدين بن صائغ، ابراهيم عزى، ابن يوسف يعقوب بن صابر، عباس بن احنف،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ابوبكر يحيى بن تقی اندلسی، مسلم، ابن سیاره، ابو دلف ابن العوى، سهل بن مرزبانی، ابوالعباس احمد نصیبی وزیر، ابراهیم بن عباس صولی، ابوالحسن کرخی، قیلونی کاتب، ابن فضل، شهـاب تلعفری، ابن ادریس یمانی عبدری، ابو عثمان خالدی، حلف بن عزیز نحوی، شهاب احمد بن بنت الاعز، محمد بن وهـیب حمیری، ابن الخیثمی، وجیه الدوله قاضی مجد الدين عبدالطاهر، سلیمان، ابن حجله، ابن يغمور، ابو زهير مهلهل بن نصربن حمدان، بهاء زهير، ابن مطروح، ابن التلميذ، ليلى بنت طريـف الشیبانی ،بشار، جميل بثینه، عمر بن ابی ربیعه، زنی از بنو کلاب، امير تميم، نصيب على بن جبيه، ،حسان، مولوی معنوی «۱»جابر کاظمی، جریر، مروان بن ابی حفصه، تاج الملك بـوری بن شادی، حسام الدين الحاجری، مسکین دارمی، ابو حامد غزالی، کاظم ازری، جحظه برمکی،ابوالقاسم بن حسن کاتبی، قاضی منصـور هروی، ابن ابی الاصبع، تقى الدين عمر صاحب حماة، اسعد  بن</w:t>
      </w:r>
    </w:p>
    <w:p>
      <w:pPr>
        <w:pStyle w:val="BookText"/>
      </w:pPr>
      <w:r>
        <w:rPr>
          <w:rFonts w:ascii="IRNazanin" w:hAnsi="IRNazanin" w:eastAsia="IRNazanin" w:cs="IRNazanin"/>
          <w:lang w:bidi="fa-IR"/>
          <w:color w:val="111111"/>
          <w:sz w:val="28"/>
          <w:szCs w:val="28"/>
          <w:rtl/>
        </w:rPr>
        <w:t xml:space="preserve">ابی ملیح، تمیم بن معز بن منصور قائم، ابو جوير بن عمر امیر قراقوش (نقل از دمية القصر باخرزى)، صرور شاعر، قاضی ابو القاسم هبة الله مصری، یاقوت مستعصمی، ابو عبدالرحـمان محمد بن عبدالله قرشی اموی معروف به عتبی، ابو سعید احمد بن مسیب خوارزمی، ابوبکر بن زهر اندلسی اشبیلی، ذوالنون مصری، ابوالجوائر واسطی، مهلبی وزیر، خطیب حصكفى، يحيى بن نزارمنجي، يحيى بن اکثم، قطعه ای از مأمون عباسی (درباره یحیی بن اکثم چون او را در حال ملاعبه و شوخی با غلام زیبای خود دید)، ابو حکیمه راشد بن اسحاق بن راشد کاتب، ابو عمر  قسطی، نفسی احمد لحمى، ابراهيم بن علی بن یوسف شیرازی فیروز آبادی، جمال الدين ابو اسحاق، عبدالحكم مصری، ابراهیم بن نصر موصلی، ابو اسحاق ابراهيم غزى، ابو الطمحان قینی، احمد قرطبی، نامی (یا مهلبی وزیر) اخطل، ابن بسام، ابو شراعه، علی بن محمد، عين القضاة، ابن حمامه، بدیع الزمان همدانی، محمد بن یزید، مجد مؤدب ،مسعود، ابو محمد خازن ،ابوالمحاسن شعری، رفیع الدین لبنانی، قصیده عینیه، سید حمیری، اسماعیل بن محمد، قصیده از حمیری در مدح علی (علیه السّلام) با این مطلع: «اقسم بالله آياته *** و المرء عما قال مسئول / ان على بن ابى طالب *** ظلی التقى و البر مجبول ( ص ۱۳۲) اشعاری از ابو الصلت و ابن حیوس، اشعاری از در مدح علی (علیه السّلام)، بشار بن برد، ابن صلحة الصـقل احمد بن العثمان الاندلسي، تميم بن المعز العبيدي، اشعارى از:  تميم بن المعز العبيدي، ثابت بن قرة، تقية دختر غيث بن على بن عبد السلام و چند شاعر دیگر، قصیده تقية با این مطلع: «اعوامنا قد اشرفت ایامها *** و علا على ظهر السماك خيامها (ص ۳۴)، ابیاتی از لیلی و مجنون عامری و لیلی اخیلیه، مسلم بن عقیل مدح على (علیه السّلام) (ص ۱۳۵)، اشعاری از یزید بن معاویه، ابوالسعادات (ص۱۳۶) ،ابیاتی از سراج وراق، ابن دقيق العيد، صفى الدين حلی (ص ۱۴۱)، ابیاتی از متنبی، شمس الدين الحكيم بن دانيال ابن الفارض ،ابونواس خديجه زوجة النبي (صلّی اللَّهِ علیه وَ آلِهِ وَ سَلَّمَ ) في مدحه (صلّی اللَّهِ علیه وَ آلِهِ وَ سَلَّمَ )</w:t>
      </w:r>
    </w:p>
    <w:p>
      <w:pPr>
        <w:pStyle w:val="BookText"/>
      </w:pPr>
      <w:r>
        <w:rPr>
          <w:rFonts w:ascii="IRNazanin" w:hAnsi="IRNazanin" w:eastAsia="IRNazanin" w:cs="IRNazanin"/>
          <w:lang w:bidi="fa-IR"/>
          <w:color w:val="111111"/>
          <w:sz w:val="28"/>
          <w:szCs w:val="28"/>
          <w:rtl/>
        </w:rPr>
        <w:t xml:space="preserve">( ص ۱۴۳)، ابیاتی و قطعاتی از چند قطعه در تغزل و در وصف طبيعت المستعين بالله بن الحكم الاموى، حارث بن خالد ،ابو عبدالله محمد بن سلطان الغالب بالله پادشاه اندلس، هارون الرشید، شافعی در مدح علی (علیه السّلام)، ملا كاظم الازرى البغدادى (ص ۱۴۶)، حکایات و ابیاتی و قصایدی است به نظم و نثر در ادب و تغزل و در صناعات شعری از گویندگان شناخته و ناشناس از چند شاعر و نویسنده که اسمشان برده نشده و از آن جمله اشعاری از: دعبل خزاعی، ابو نواس سیدرضی، سید علی خان، ابو نواس الحكمي، منصور الفقيه، امرء القيس، بحتری، تقی الدین بن هشام، حسام الدين الحاجری، شیخ سرور، شهاب تلعفری و شهاب محمود  بديع، ابن الخليفه، زهير بن ابی سلمی، شیخ بدرالدین المنشى، ابن الجهم، صفى الدين الحلى، ابو العلاء المعري، ابو نواس ،ابو العلاء المعری، ابو جعفر الخليفة، ابو عبدالله الشاعر، ابن دريد البغدادي، ابن الاصبع، بحترى، اديب محمد بن غانم،ابن سينا، احمد الكاتب، احمد البيضاوي، ابى العلاء المعرى، الامير العاصمي، ابراهيم الصولى كاتب المأمون (ص۱۷۹)، شرح قصيده بانت سعاد، كعب بن زهیر صحابی (ص۲۹۶)، تخميس بانت سعاد كعب بن زهير (۳۱۴-۳۴۱)، شرح لامية العرب (۳۴۱-۳۴۹)، شرح لامية العجم (۳۵۰-۳۶۶)، سبعه علویه (۳۶۷-۳۸۰)، ابن ابی الحديد ،بد الحميد بن هبة الله، حبسیه ،فالی، اسعد بن نصر (۳۹۲- ۴۱۱ )،معلقات سبع (۴۱۷-۴۱)، معلقات لامیه ای دیگر از امرؤ القیس (۴۱۷-۴۴۵)، شعر از سمؤل بن عاديا (۴۴۸-۴۴۹)، شعر از اعشی میمون شاعر جاهلی در مدح پیغمبر (صلّی اللَّهِ علیه وَ آلِهِ وَ سَلَّمَ ) (۴۴۹-۴۵۰) شعر از معین الدین طنطرانی (۴۵۰-۴۵۲)، فائده، قال العسكرى نيران العرب بصفع عشر نارا (۴۵۲-۴۵۵) حکایه، از هارون الرشید (۴۶۰-۴۵۵) قصیده از ابوالفتح بستی با این مطلع: «زيادة المرء في دنیاه نقصان *** وربحه غير محض الحق خسران» (۴۶۰-۴۶۲)، بخش هایی از منظومه سوانح سفر المجاز شیخ بهاءالدین عاملی (۴۶۹-۴۶۳)، قصیده ای بلند از والد شیخ بهایی =عزیادلن حسین بن عبدالصمد (۴۶۹-۴۷۱) مطلع قصیده: «اسحر بابل في جفنیک ام اسقم *** ام السيوف لقتل العرب و العجم»، قصیده معروف ابن الوردی (۴۷۱-۴۷۲) قصیده در مدح پیغمبر (صلّی اللَّهِ علیه وَ آلِهِ وَ سَلَّمَ ) از بحرانی، حسن بن محمد (۴۷۳-۴۷۵)، از صاحب معالم (۴۷۵-۴۷۷)، قطعه معروف شافعی در مدح علی (علیه السّلام) (ص ۴۷۳) قطعه ای از بحرالعلوم طباطبائی در مدح علی (علیه السّلام) (۴۷۷)، دو قصیده دیگر از دمستانی بحرانی (۴۷۷-۴۸۳)، شعری از شیخ محمد بن حماد (۴۸۳-۴۸۶)، الاثنا عشريات فى المراثی از بحرالعلوم محمد مهدی بن مرتضى (۴۹۳-۴۸۶)، القصيده التائيه دعبل خزاعی (۴۹۳-۴۹۹)، قصیده میمیه فرزدق در مدح امام علی بن حسین (علیه السّلام) (۴۹۹-۵۰۱)، قصیده برده = الكواكب الدريه از بوصیری در مدح پیغمبر (صلّی اللَّهِ علیه وَ آلِهِ وَ سَلَّمَ ) (۵۰۱- ۵۰۹)، لامية العجم طغرائی از غرائی، حسین بن علی (۵۰۹-۵۱۲)، اشعاری از ابوالعلاء ،معرى ،صفدى ابن الساعاتی ارجانی، مؤید الدین، مهلبی، ابو تمام، فضولی، ابن ابی الجنيد، على (علیه السّلام)، ابو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نواس، ابن معذل، عبيدة ابى طيب، اوس بن حجر، حسام بن ثابت، ابوالطيب المتنبى، ابو عبادة، بحتری ،جدیمی، ابوالحـسن جوهرى، على بن الرومى، عبدالله بن المعتز عباسی اخطل، كـثیر عزة، ابو العتاهيه، ابو اسحاق صابی، قاضی تنوخی، نابغه ذبیانی، وطواط، عمران بن قحطان، ابوالفضل بن عمید، ریاضی، مسلمة بن عبدالملک، عباس بن احنف، ابو نصر محمد بن عبدالجبار عتبي، زياد الاعجم، تفتازانی، قاضی ابوالفضل، ابو العتاهيه قاضـی الارجاني، مصنف (گویا گردآورنده جنگ مراد است) بدیع الزمان همدانی ،ابوالفتح بستی، حماسی ،عبدالملک  ثعالبی، امرء القيس معن بن اوس (قطعه ای که عبدالله بن زبیر آنرا انتحـال کرده)، بشار بن برد، مسلم الخاسر حطينه صاحب بن عباد،  ابومحمد خازن على (علیه السّلام) ، قطعه ای منسوب به علی (علیه السّلام) و منقول در مصباح کفعمی، جریر (در مرثیه عمر بن عبدالعزيز) ابن جوزی، فرزدق (۵۱۲-۵۴۱) اشکال در مسئله ای نحوی به نظم طرح و حل شده نخست اشکال نحوی در دو بیت آمده و حل آن در ۲۳بیت حل آن یاشد ده و مجموعا ۲۵ بیت است، آغاز: «وسائل لی عن اشياء كيف اتت *** ممنوعة الصرف فى القرآن اشياء / و كيف لم يمنعوا امثالها زينه *** فجاء بالصرف اسماء و انباء / فقلت انی كفيل بالجواب بها *** فاسمع فللقوم فی الاشیاء آراء «پایان:«فان توقف جهلا بالجواب فقل *** حفظت شيأ و غابت عنك اشياء/ ثم الصلوة على اعلى الورى شرفا*** و آله ما شدت فى الايك و رقاء» (۵۴۱-۵۴۳)، قصایدی نوشته شده بدون ذکر نام سراینده  ومطلع آنها به ترتیب یاد می شود: «مطلع قصیده اول: «اراک طرو باذا شجی و ترنم *** تطوف باذيال السحاب المخيم» (ص 544)، قصیده دوم «و نالت على ايدها ما لم تنله يدى *** نقشا على معصم اضنت علی کبدی» (ص ۵۴۵)، قصیده سوم: «هذا فؤادك بهنابین اهواء *** و داک رایک شوری بین آراء» (ص ۵۴۷)، قصـیده چهارم: «علام سقى خديك من جفنك الحال*** امن ربوت الـلـول لاح لك الحال» (ص ۵۴۸)، قصیده ۵: «امن المنون و ریبه اتوجع *** و الدهر ليس يمعتب من يجزع (ص ۵۴۹ )قصیده ۶: «اشاقک في اطلال متيه بالخال *** رباع تعفی رسمها راجف الحـال» (ص۵۵۰)، لوامع عبدالرحمن جامی (۵۵۳-۵۹۲)، ترسل و انشاء منظوم (۶۱۳-۵۹۲)؛ خط: نسخ، كا: بهاء الدوله، بی تا؛ پشت برگ اول یادداشتی است حاکی از اینکه بهاءالدوله این جنگ را برای کتابخانه خود گردآوری کرده؛ مهر: بهاء الدوله  (چهار گوش)؛ کاغذ: فرنگی آهار مهره ،جلد: تیماج ،سبز ،۶۱۳ ص،  ۲۱ سطر، قطع: رحلی، اندازه: ۳۱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۱۷/۵سم [ف: ۱۰ – ۱۰۰۰]</w:t>
      </w:r>
    </w:p>
    <w:p>
      <w:pPr>
        <w:pStyle w:val="BookText"/>
      </w:pPr>
      <w:r>
        <w:rPr>
          <w:rFonts w:ascii="IRNazanin" w:hAnsi="IRNazanin" w:eastAsia="IRNazanin" w:cs="IRNazanin"/>
          <w:lang w:bidi="fa-IR"/>
          <w:color w:val="111111"/>
          <w:sz w:val="28"/>
          <w:szCs w:val="28"/>
          <w:rtl/>
        </w:rPr>
        <w:t xml:space="preserve">۳۷۴ تهران؛ مجلس؛ شماره نسخه: ۷۲۱۲</w:t>
      </w:r>
    </w:p>
    <w:p>
      <w:pPr>
        <w:pStyle w:val="BookText"/>
      </w:pPr>
      <w:r>
        <w:rPr>
          <w:rFonts w:ascii="Amiri" w:hAnsi="Amiri" w:eastAsia="Amiri" w:cs="Amiri"/>
          <w:lang w:bidi="ar-SA"/>
          <w:color w:val="111111"/>
          <w:sz w:val="28"/>
          <w:szCs w:val="28"/>
          <w:rtl/>
        </w:rPr>
        <w:t xml:space="preserve">آغاز: كانما حسن قنانينا حكى *** مهفهف يضحك من وشى نظر / كانما العود حكى مترجما *** لسانه ينطق من كل وتر؛ انجـام: كم فى مجالى للهولى من جوله *** اضحت ترقص بالسماء و تطرب</w:t>
      </w:r>
    </w:p>
    <w:p>
      <w:pPr>
        <w:pStyle w:val="BookText"/>
      </w:pPr>
      <w:r>
        <w:rPr>
          <w:rFonts w:ascii="IRNazanin" w:hAnsi="IRNazanin" w:eastAsia="IRNazanin" w:cs="IRNazanin"/>
          <w:lang w:bidi="fa-IR"/>
          <w:color w:val="111111"/>
          <w:sz w:val="28"/>
          <w:szCs w:val="28"/>
          <w:rtl/>
        </w:rPr>
        <w:t xml:space="preserve">جنگی است شامل اشعار عربی از شعرای مختلف که در اثنای آن مطالبی به نثر نیز آمده است. اسامی شعرایی که شعرشان در این جنگ آمده عبارتند از: ابونصر طافر الحداد السكندى، عفيف الدین تلمسانی، تقى الدين بن حجة بن الجنى، الوجيه، ابن الرومي، ابن تمیم، قیراطی، محى الدين بن عبدالظاهر، ابن على بصل، الوداعى، الصفدى، البدر الدماميني، ابن المعتز، ابن مطروح، زین الدین عمر بن الوردى، الصلاح الصفدي، الصفى الحلى، ابن تعاويذى، الراج الوراق، شهاب الدين الحاجبي، ابن قرناض، ابونواس، محمد بن مجنون، بدرالدین حسن بن حبيب الحلبي، ابوالحسن بن سكره، ابن النقيب، ابن ابیک، قطب الدین بن الشاعوري، ابن مكنسه، اسحاق الموصلي، القاضي فتح الدين قادوس، نجم الدین ابن مکانس، صدرالدین بن عبدالحق، القيراطي، بدرالدین المعری، فخرالدین بن مكانس، صلاح الدين، شمس الدين الدمشقى، ابن صاحب تکریت، ابن خروف، ابن ابی حجله، عزالدين الموصلى، ضياء الدين المناوى، كشاجم، كمال الدین، جلال الدين بن خطیب، شهاب  الدین، النواجي، سيف الدين، الشريف المرادى، ابو الفضل بن وفا، ابن سناء الملک، ابن عیس، ابوالوليد هشام بن احمد، ابونصر محمد بن مختار حلبی، ابو الصلت عبدالعزيز بن حبوس، حسام الدين الحاجرى، ابن الرقا، ابن عباد؛ خط: نسخ، بی کا، بی تا؛ افتادگی: آغاز و انجام؛ جلد: تیماج قهوه ای، ۱۲۲گ، ۱۵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۲۵-۲۱۷]</w:t>
      </w:r>
    </w:p>
    <w:p>
      <w:pPr>
        <w:pStyle w:val="BookText"/>
      </w:pPr>
      <w:r>
        <w:rPr>
          <w:rFonts w:ascii="IRNazanin" w:hAnsi="IRNazanin" w:eastAsia="IRNazanin" w:cs="IRNazanin"/>
          <w:lang w:bidi="fa-IR"/>
          <w:color w:val="111111"/>
          <w:sz w:val="28"/>
          <w:szCs w:val="28"/>
          <w:rtl/>
        </w:rPr>
        <w:t xml:space="preserve">۳۷۵ تهران؛ مجلس؛ شماره نسخه: ۷۴۷۸</w:t>
      </w:r>
    </w:p>
    <w:p>
      <w:pPr>
        <w:pStyle w:val="BookText"/>
      </w:pPr>
      <w:r>
        <w:rPr>
          <w:rFonts w:ascii="Amiri" w:hAnsi="Amiri" w:eastAsia="Amiri" w:cs="Amiri"/>
          <w:lang w:bidi="ar-SA"/>
          <w:color w:val="111111"/>
          <w:sz w:val="28"/>
          <w:szCs w:val="28"/>
          <w:rtl/>
        </w:rPr>
        <w:t xml:space="preserve">آغاز لولم اهمشوقاً الى وجهكم *** بأي وجه كنت القاكم؛</w:t>
      </w:r>
    </w:p>
    <w:p>
      <w:pPr>
        <w:pStyle w:val="BookText"/>
      </w:pPr>
      <w:r>
        <w:rPr>
          <w:rFonts w:ascii="Amiri" w:hAnsi="Amiri" w:eastAsia="Amiri" w:cs="Amiri"/>
          <w:lang w:bidi="ar-SA"/>
          <w:color w:val="111111"/>
          <w:sz w:val="28"/>
          <w:szCs w:val="28"/>
          <w:rtl/>
        </w:rPr>
        <w:t xml:space="preserve">انجام: ينسى التجلد قلبى حين اذكره *** و يهجر النوم عينى حين  اهجره.</w:t>
      </w:r>
    </w:p>
    <w:p>
      <w:pPr>
        <w:pStyle w:val="BookText"/>
      </w:pPr>
      <w:r>
        <w:rPr>
          <w:rFonts w:ascii="IRNazanin" w:hAnsi="IRNazanin" w:eastAsia="IRNazanin" w:cs="IRNazanin"/>
          <w:lang w:bidi="fa-IR"/>
          <w:color w:val="111111"/>
          <w:sz w:val="28"/>
          <w:szCs w:val="28"/>
          <w:rtl/>
        </w:rPr>
        <w:t xml:space="preserve">نسخه حاضر از حرف لام «لولم» تا حرف ياء «ینسی» را شامل است. جنگ اشعار از شعرای عرب است و از هر شاعری یک یا دو بیت به ترتیب الفبائى حروف اول بیت آورده است. اسامی شعرایی که شعرشان در جنگ حاضر آمده را به ترتیب حروف الفبا چنین است: ابراهيم بن  عرف، ابراهيم صولی، ابراهیم غزی، ابراهیم مهری، ابطر خزمی ،ابله، این ابی  جمعه، ابن ابی عیینه، ابن ابی عطام ،ابن ابی قنن، ابن اعرابی، ابن بابک، تغلبی، ابن البغل، ابن تعاویذی، ابن جعانی، ابن جوهری جرجانی، ابن جیا، ابن حیا، ابن حجاج ،ابن حذاق، ابن حسان حضرمی، ابن حلاوی، ابن حیا، ابن حیوس، ابن خیاط، ابن درست، ابن درید، ابن الرومي،ابن زباده، ابن زریق کاتب، ابن سكره، ابن سکره هاشمی، ابن سنان خفاجی، ابن سمیعه، ابن شیرمه، ابن  شرف، ابن شمس خلافه، ابن طباطبا، ابن طباطبا علوی، ابن طوسی صقلی، ابن عبدل، ابن العلاف، ابن العميد، ابن عیاش، ابن الفارض، ابن کناسه، ابن كيغلغ، ابن لبانه، ابن لكت، ابن اللیانه، ابن المدبر، ابن مسهر، ابن المعير، ابن عياش، ابن الفارض، ابن کناسه، ابن كيغلغ، ابن لبانه، ابن لكت، ابن اللیانه، ابن المدبر، ابن مسهر، ابن المعير، ابن المعتز ،بالله، ابن المعلم، ابن مقبل، ابن مقله، ابن منادی قزوینی، ابن الموصلايا، ابن المولی، ابن میاده، ابن نجد، ابن نکک بصری،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الهباريه، ابن هرمه، ابن هندو، ابن الهياريه، ابو الاسد تمیمـی، ابو الاسود دئلی ،ابوبکر بن دريد، ابوبکر خالدی،ابو دفافه مصری، ابوبکر عنبری ،ابو تمام، ابو الجوائز، ابو حازم، ابو حکیمه، ابوالحتجام نصیب ،ابودلف ،ابودمینه ،ابو ذویب، ابو روح هروی، ابوزید طائی، ابو سعد مخزومی، ابوسعد همدانی، ابوسلیمان خطاب، ابو شمشـق، ابوالشيص، ابو عبد الله بن حجاج، ابوالعتاهيه، ابوعثمان، ابوعثمان خالدی، ابو عثمان نیشابوری ،ابوالعریان، ابو علی بن مقله وزیر، ابوعلی رسته، ابوعلی کاتب، ابوالغمرر رازی، ابوعینیه مهلی، ابوالفتح بستی، ابوالفتح قائد، ابو فراس، ابوالفرج على بن حسين بن هندو، ابوالفضل انطاکی، ابوالفضل مروزی، ابو کدراء عجلی، ابوالكوكيع تبیسی ،ابوالمرجا مرجانی، ابومسلم صاحب الدعـوة، ابوالمکارم، ابونصر نباته، ابونصر بن نباته، ابونواس، ابوالهدهد اصفهانی ،ابوهفان، ابوهلال عسکری ،ابوالهول، ابو يعقوب حزیمی، ابیوردی، احمد بن صبیح، احمد بن ابی طاهر، احنف عکبری ،احوس، احوص، احوض بن محمد انصاری، اخطل، اسحاق موصلی، اسماء بن خارجه، اسماعيل الشاشی، اشـجع سلمی ،اعشی، اقوع بن معاذ قشیری، اكتم بن صیفی، امام شافعی، امرؤ القيس، امية بن صلت، انس بن اسید، اوس بن حجر، اوس  بن علفاء، اياس بن قایف، بحتری، بحرانی، بدیهی، بدیع الزمان ،همدانی ،البرقعی ،بشار ،بشیر بن ،بصروی ،بطلوس، بكر بن نطاح، بهلول، بيغاء. تميم بن ابی مقبل ،تنوخي، توبة المحير، تهامی. جحدر اللص، جرير جعفر بن شمس، جعفر بن شمس الخلافه، جماز، جمال الملک علی بن افلح، جمیل بیشنه، جندح مری، جنيد ،حابس، حاتم الطائي، جاجب بن زرارة، حريري، حریز، حسان بن ثابت، حسن بن وهب، حسین بن ضحاک، حسین بن مطير ،حشعم ،حصکفی، حطيئه، حكم بن عبدل، حكيم بن عبدل، حكيم بن قنبر، حماد بن ربيع، حماد الروايه، حمانی، حمانی علوی، حمدونی، حمید بن ثور هلالی،الحيص بيص، خبر زرزی ،خشمعی ،حزیمی، خسرو فیروز، خیار بن نجاح، خلف الاحـمر، خلیل بن احمل، خنساء خوارزمی ،خوافی، خیاط کوفی، دریدبن صمه، دعبل، ديك الجن، ذو الاصبع عروانی، ذوالرمه، ربیع بن ابی الحقيق، رسمی ،رضاح ،تمیمی، رضیع موسوی، رماح بن میاده مری. زبیر بکار، زهیر، زهیر مصری، زهیره، زیاد الاعجم، زیاد بن جندر، زيد بن على بن الحسین، زینب بن اسحاق نصرانی، سـابق بربری، سابق بریری، سالم بن صالح، سحيم بن و شیل، سری رفا، سعد بن ناشب، سلم الخاسر ،سلیم، سلیمان بن عبدالملک مروان، سمسار هروی ،سمول، سوار بن مضرب، سهل بن هارون، سیـف الدولة بن حمدان .شار ،شریح ،شماخ، شمخی فزازی، شمشاطی، شمعله. صابی، صاحب بن عباد، صالح بن عبدالعروس، صردر،  صفران ،صقلی، صلتان ،عبدی ،صنوبری، ضخر بن عمرو.طالقانی، طبری، طرفه، طرفة بن عبد، طرماح، طريح، طريح بن اسماعیل، طغرایی، عائذ ،کلبی ،عاصم، عباس بن احنف، عبدان، عتابی ،عتبی، عبدالسلام بن برزعیان، عبدالصمد بن يشم،عبدالعزيز بن عبدالله، عبد الغافر بن اسماعیل، عبدالقدوس ،عبدالله باجی، عبدالله بن ابی، عبدالله بن اسحاق بن سلام، عبدالله بن دميته، عبدالله بن رواحه، عبدالله بن طاهر بن حسین، عبدالله بن ظبيان، عبدالله بن عباس صولی، عدی بن زید عبادی، عروة بن اذينه، عزالدین بن ابى الحديد، عصابه، عطرای، عطوی، عقیل بن عرندس، امام علی، علی بن افلح، على بن جراده، علی بن جبله، على بن جهم، على بن حسین اسکافی، علی بن على علوى، عمارة بن عقيل، عمرو بن ايهم، عمرو بن كلثوم، عمر بن لجاء، عمرو بن معد يكرب، عنتره عبسی، عوام بن عقبه، عیدی ،الغنوى، غده اصفهانی ،غزی، غسانی. رزدق، فضاله، فیض بن صالح. قابوس بن وشمگیر، قاضی ارجانی، قاضی جرجانی ،قاضی حماء، قاضی نیشابوری، قاضی هروی ،قرمطی، قرمطی خارجی، قضای ماوردی ،قطامی، قطران عبشمى، قوام الدین احمد بن زیاده، قهستانی، قیس بن حطیم، قيس بن حظيم، قيس بن معاذ، كثير ،كروس بن كشاجم، کشیر، كعب بن زهير ،كعب بن مالک،کعب بن معدان، کلیب، کمیت، لبيد ،مازنی ،ماموتی ،مانی، مبارک مستوفی ازلی، متنبی، متوکل یشی، مثقال، مجاعه، مجد شابی اربلی، مجنون، محمد بن ابی زرعه، محمد بن بشیر، محمد بن خادم، محمد بن خازم، محمد بن داود اصفهانی، ابوبکر محمد بن داود فقيه، محمد بن شبل، محمد بن عبدالملک زیات، محمد بن وهيب، محمد بن یزید مهلبی، شیخ محمد علیمانی، شیخ محمد واعظ، محمود وراق، المخبل اسعدی، مار فقعشی، سید مرتضی، مروان بن ابی حفصه، مسبی، مسعود بن علی سراج، مسكوبه، مسلم بن وليد، معرى، معطل هذلي، معن بن اوس، معيث رافقی، معین بن زایده، مغلس بن عقبه ،مفجع، مقنع کندی، مقیل بن علقمه، مسخل بن حرث، مندغانی، منصور فقیه، منصور نمری، مهلهل بن ربیعه، مهیار. نابغه ،ناجم، نصر الله بن عنین ،نمیری، نويفع بن لقيط، نهشل بن حرى، ورد بن حليم، وزیر طغرایی ،وطواط، وهب بن عبد مناف، هارون الرشيد، هدية بن خثرم ،هرادی، همام بن عمرو، يحمدى، يحيى بن زیاده، یزد بن خذاق، يزيد بن حوراء، يزيد بن مضرع حمیری، یزید بن معاویه، یعقوبی، یوسف بن دره بغدادی؛ خط: نسخ زیبا معرب ،کا: حسینعلی،بی تا؛ در حاشیه نسخه اشعار ما قبل و ما بعد ابیات منتخبه نوشته شده و در اندک مواردی شرح و توضیح نیز داده شده است، نام کتاب در نسخه حاضر «منتخب اشعار عرب» ذکر شده و کاتب در اول نسخه متذکر شده که آن را از روی نسخه موجود در کتابخانه آستان قدس رضوی مشهد با کسب اجازه از میرزا فضل الله وزیر نظام و متولی باشی سرکار فیض آثار، استنساخ نموده است؛ جلد: تیماج سبز پشت جلد اسلیمی، ۲۶۴گ، ۱۰ سطر، اندازه: ۲۵/۵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۳۰سم [ف: ۲۵ - ۴۴۶]</w:t>
      </w:r>
    </w:p>
    <w:p>
      <w:pPr>
        <w:pStyle w:val="BookText"/>
      </w:pPr>
      <w:r>
        <w:rPr>
          <w:rFonts w:ascii="IRNazanin" w:hAnsi="IRNazanin" w:eastAsia="IRNazanin" w:cs="IRNazanin"/>
          <w:lang w:bidi="fa-IR"/>
          <w:color w:val="111111"/>
          <w:sz w:val="28"/>
          <w:szCs w:val="28"/>
          <w:rtl/>
        </w:rPr>
        <w:t xml:space="preserve">۳۷۶. تهران؛ مجلس؛ شماره نسخه: ۱۱۸۸/۱- طباطبائی</w:t>
      </w:r>
    </w:p>
    <w:p>
      <w:pPr>
        <w:pStyle w:val="BookText"/>
      </w:pPr>
      <w:r>
        <w:rPr>
          <w:rFonts w:ascii="Amiri" w:hAnsi="Amiri" w:eastAsia="Amiri" w:cs="Amiri"/>
          <w:lang w:bidi="ar-SA"/>
          <w:color w:val="111111"/>
          <w:sz w:val="28"/>
          <w:szCs w:val="28"/>
          <w:rtl/>
        </w:rPr>
        <w:t xml:space="preserve">آغاز: بسمله الحمد لله وصلى الله على محمد و آله  ... هذا مما مسحت به قريحة الاقل ... محمد بن معصوم الموسوى ابن مومن ...فى مدح بعض الاخوان و تهنية بعض ورثاء بعض و عتاب لبعض و
</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مراسلة لبعض و ذم و هجاء لبعض و فى التعشق و الغزل و الحماسة و مخاطبة النفس و الشكاية و المواعظ و فى مخاطبة الديار والمنازل...و في مدح النبى صلى الله عليه و  آله و الائمه علىهم   السلام و فى المناجات و فى وصف المحبوب و المحبوبه و فی الحكمة و بيان بعض الاسرار بالشعر من بحر الطويل و البسيط و الوافر و الهزج و السريع و المحدث ... و غير ذلك من الابحر و بالبنود و الركبانی و النثر المسجع و غیره و ببعض التخميسات و</w:t>
      </w:r>
    </w:p>
    <w:p>
      <w:pPr>
        <w:pStyle w:val="BookText"/>
      </w:pPr>
      <w:r>
        <w:rPr>
          <w:rFonts w:ascii="Amiri" w:hAnsi="Amiri" w:eastAsia="Amiri" w:cs="Amiri"/>
          <w:lang w:bidi="ar-SA"/>
          <w:color w:val="111111"/>
          <w:sz w:val="28"/>
          <w:szCs w:val="28"/>
          <w:rtl/>
        </w:rPr>
        <w:t xml:space="preserve">التشطيرات و الشعر المذيل و المردود العجز الى الصدر وغيره من انواع الشعر العجيب و القوافى الغريبه و با بحر غير هذه الابـحر المعروفه من غير ترتيب لا نالمقصود جمع النظم فابتدات بالبـنود لزيادة شوقي اليها</w:t>
      </w:r>
    </w:p>
    <w:p>
      <w:pPr>
        <w:pStyle w:val="BookText"/>
      </w:pPr>
      <w:r>
        <w:rPr>
          <w:rFonts w:ascii="IRNazanin" w:hAnsi="IRNazanin" w:eastAsia="IRNazanin" w:cs="IRNazanin"/>
          <w:lang w:bidi="fa-IR"/>
          <w:color w:val="111111"/>
          <w:sz w:val="28"/>
          <w:szCs w:val="28"/>
          <w:rtl/>
        </w:rPr>
        <w:t xml:space="preserve">بحر طویل در تهنیت و رثاء. در مقدمه این بخش مؤلف فهرست مفصلی از اشعار خویش که در این دفتر درج می شود یاد می کند و چنین به دست می آید که او قصد داشت دیوان خویش را در این مجموعه درج کند اما نخست بندهای بحر طویل را که در  نزد شاعر اهمیت بیشتر داشت و برای او شوق انگیز بود آورد اما پس پر از بحر طویل ها شعری دیگر از او در این جنگ نیست جز این که در آخر جنگ نیز چند بیتی از خویشتن می آورد. هر یک از بـحر طویل ها دارای تاریخ ۱۲۲۳ تا ۱۲۲۸ و موضوع و مناسب ویژه است اینک نمونه هایی از موضوعات بحر طويلها: بحر طويل در رثاء سيد مهدی نجل السيد رضا القزويني که ۱۲۲۳ در دریا غـرق شد و تعزیت به پدر و برادران او به انی مناسب، بحر طویل در رثاء سید احمد غرافی در ۱۲۲۶، بحر طویل در مدیح شیخ موسی فرزند شیخ جعفر = كاشف الغطاء، و تبریک به مناسب خـانه جديد البناء او در ۱۲۲۷، بحر طویل به مناسب در گذشت سید جواد عاملی (صاحب مفتاح الكرامه) در ۱۲۲۸ و تعزیت به دختر زاده او شیخ محمد و ابن عم او سید حسین عاملی، بحر طویل در مدح شیخ موسى (فرزند كاشف الغطاء) هنگام بازگشت او به نجف (به گفته صاحب جنگ وی قبلا به دلیل شیوع فساد در نجف از آن شهر خارج شده بود)، بحر طویل دیگر در مدح هـمان شیخ موسی که در عنوان آن چنین آمده است: «و له ايضا فی مدحه حين رجع الى النجف الاشرف بعد مسيره الى الشاهزاد و رحلته عن بغداد و اصلح بين الدولتين الفرس والروم»؛ خط: نسـخ، کا: سید محمد بن معصوم بن موسوی قطیفی، بی تا، ۱۹گ ) (1-۱۹) [ف : ۲۳ - ۶۸۶]</w:t>
      </w:r>
    </w:p>
    <w:p>
      <w:pPr>
        <w:pStyle w:val="BookText"/>
      </w:pPr>
      <w:r>
        <w:rPr>
          <w:rFonts w:ascii="IRNazanin" w:hAnsi="IRNazanin" w:eastAsia="IRNazanin" w:cs="IRNazanin"/>
          <w:lang w:bidi="fa-IR"/>
          <w:color w:val="111111"/>
          <w:sz w:val="28"/>
          <w:szCs w:val="28"/>
          <w:rtl/>
        </w:rPr>
        <w:t xml:space="preserve">۳۷۷. تبریز؛ ملی؛ شماره نسخه: ۲۷۶۶</w:t>
      </w:r>
    </w:p>
    <w:p>
      <w:pPr>
        <w:pStyle w:val="BookText"/>
      </w:pPr>
      <w:r>
        <w:rPr>
          <w:rFonts w:ascii="IRNazanin" w:hAnsi="IRNazanin" w:eastAsia="IRNazanin" w:cs="IRNazanin"/>
          <w:lang w:bidi="fa-IR"/>
          <w:color w:val="111111"/>
          <w:sz w:val="28"/>
          <w:szCs w:val="28"/>
          <w:rtl/>
        </w:rPr>
        <w:t xml:space="preserve">این مجموعه منتخب اشعاری است از شعرای عرب که در اوراق الصاقی اول و آخر دیوان ابوالحرث ذى الرمه؛ خط: نسخ و نستعلیق، بی کا، بی تا؛ ۵۶گ، [ف: ۱ - ۳۵۹]</w:t>
      </w:r>
    </w:p>
    <w:p>
      <w:pPr>
        <w:pStyle w:val="BookText"/>
      </w:pPr>
      <w:r>
        <w:rPr>
          <w:rFonts w:ascii="IRNazanin" w:hAnsi="IRNazanin" w:eastAsia="IRNazanin" w:cs="IRNazanin"/>
          <w:lang w:bidi="fa-IR"/>
          <w:color w:val="111111"/>
          <w:sz w:val="28"/>
          <w:szCs w:val="28"/>
          <w:rtl/>
        </w:rPr>
        <w:t xml:space="preserve">۳۷۸. قم؛ مرعشی؛ شماره نسخه: ۷۱۱</w:t>
      </w:r>
    </w:p>
    <w:p>
      <w:pPr>
        <w:pStyle w:val="BookText"/>
      </w:pPr>
      <w:r>
        <w:rPr>
          <w:rFonts w:ascii="IRNazanin" w:hAnsi="IRNazanin" w:eastAsia="IRNazanin" w:cs="IRNazanin"/>
          <w:lang w:bidi="fa-IR"/>
          <w:color w:val="111111"/>
          <w:sz w:val="28"/>
          <w:szCs w:val="28"/>
          <w:rtl/>
        </w:rPr>
        <w:t xml:space="preserve">آغاز: قفانبک من ذكرى حبيب و منزل *** بسقط اللوى بین الدخول فحومل؛ انجام: و لا اهاب الصفاح البيض تسعدنى*** باللمح من خلل الاستار و الكلل در این جنگ پاره ای از قصاید شعرای عرب را گرد آورده است.</w:t>
      </w:r>
    </w:p>
    <w:p>
      <w:pPr>
        <w:pStyle w:val="BookText"/>
      </w:pPr>
      <w:r>
        <w:rPr>
          <w:rFonts w:ascii="IRNazanin" w:hAnsi="IRNazanin" w:eastAsia="IRNazanin" w:cs="IRNazanin"/>
          <w:lang w:bidi="fa-IR"/>
          <w:color w:val="111111"/>
          <w:sz w:val="28"/>
          <w:szCs w:val="28"/>
          <w:rtl/>
        </w:rPr>
        <w:t xml:space="preserve">شدادنام شعرای این مجموعه بدین قرار است: امرؤ القیس، طرفه عبدی، زهیر بن ابی سلمی، لبید بن ربیعه، عمرو بن كلثوم، عنترة بن شداد، حارث يشكرى، كعب بن زهیر ،بوصیری، ابن الفارض، صاحب العميد، مسیح فسوی، سید حمیری، سید عماد الدین، جعفر بن ابی عبدالله، ابوالفتح بستی، ابیوردی ،حریری، مجنون عامری، لیلی اخیلی، کثیر عزة، بدر بن سعید کوفی، جميل بثينه، ابن التعاويذي، ،صفدی، ابن سکره، نابغه ذبیانی، میرزا صادق تفریشی، طغرائی؛ خط: نسخ، بی کا، بی تا؛ افتادگی: انجام؛ جلد: تیماج مشکی بدون مقوا ،۹۸گ، ۱۳ سطر، 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۱۵/۵سم [ف: ۲ - ۳۰۷]</w:t>
      </w:r>
    </w:p>
    <w:p>
      <w:pPr>
        <w:pStyle w:val="BookText"/>
      </w:pPr>
      <w:r>
        <w:rPr>
          <w:rFonts w:ascii="IRNazanin" w:hAnsi="IRNazanin" w:eastAsia="IRNazanin" w:cs="IRNazanin"/>
          <w:lang w:bidi="fa-IR"/>
          <w:color w:val="111111"/>
          <w:sz w:val="28"/>
          <w:szCs w:val="28"/>
          <w:rtl/>
        </w:rPr>
        <w:t xml:space="preserve">۳۷۹ .تهران؛ مجلس؛ شماره نسخه: ۱۴۵۹۰/۲۰۲</w:t>
      </w:r>
    </w:p>
    <w:p>
      <w:pPr>
        <w:pStyle w:val="BookText"/>
      </w:pPr>
      <w:r>
        <w:rPr>
          <w:rFonts w:ascii="Amiri" w:hAnsi="Amiri" w:eastAsia="Amiri" w:cs="Amiri"/>
          <w:lang w:bidi="ar-SA"/>
          <w:color w:val="111111"/>
          <w:sz w:val="28"/>
          <w:szCs w:val="28"/>
          <w:rtl/>
        </w:rPr>
        <w:t xml:space="preserve">آغاز: لامنى عند القبور على البكا *** رفيقى لتذراف الدموع السوافك</w:t>
      </w:r>
    </w:p>
    <w:p>
      <w:pPr>
        <w:pStyle w:val="BookText"/>
      </w:pPr>
      <w:r>
        <w:rPr>
          <w:rFonts w:ascii="IRNazanin" w:hAnsi="IRNazanin" w:eastAsia="IRNazanin" w:cs="IRNazanin"/>
          <w:lang w:bidi="fa-IR"/>
          <w:color w:val="111111"/>
          <w:sz w:val="28"/>
          <w:szCs w:val="28"/>
          <w:rtl/>
        </w:rPr>
        <w:t xml:space="preserve">ابیات از گویندگان عربی سرای معروف و غيرمعروف مانند صفوة الباهلية، ابوسعيدالرستمى، القاضى الارجانی؛ بی کا، بی تا؛ جلد: تیماج کرم قهوه ای، ۴ ص (۷۲۶-۷۲۳)، ۴۱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۳۲سم [ف: ۴۱ - ۱۰۹]</w:t>
      </w:r>
    </w:p>
    <w:p>
      <w:pPr>
        <w:pStyle w:val="BookText"/>
      </w:pPr>
      <w:r>
        <w:rPr>
          <w:rFonts w:ascii="IRNazanin" w:hAnsi="IRNazanin" w:eastAsia="IRNazanin" w:cs="IRNazanin"/>
          <w:lang w:bidi="fa-IR"/>
          <w:color w:val="111111"/>
          <w:sz w:val="28"/>
          <w:szCs w:val="28"/>
          <w:rtl/>
        </w:rPr>
        <w:t xml:space="preserve">۳۸۰. تهران؛ مجلس؛ شماره نسخه: ۱۵۸۹۲/۱</w:t>
      </w:r>
    </w:p>
    <w:p>
      <w:pPr>
        <w:pStyle w:val="BookText"/>
      </w:pPr>
      <w:r>
        <w:rPr>
          <w:rFonts w:ascii="IRNazanin" w:hAnsi="IRNazanin" w:eastAsia="IRNazanin" w:cs="IRNazanin"/>
          <w:lang w:bidi="fa-IR"/>
          <w:color w:val="111111"/>
          <w:sz w:val="28"/>
          <w:szCs w:val="28"/>
          <w:rtl/>
        </w:rPr>
        <w:t xml:space="preserve">گزیده اشعار عربی از شعرای مختلف است همچون شیخ جابر کاظمی، شریف رضی بهاء الدین زهير ،جزار ،صفى الدين حلى، راضی بن صالح حسینی بغدادی (د: ۱۲۸۵هـ)؛ تخميس قصيده داليه محمد حسین بن صاحب جواهر، حاجری، ابن دهان، ابن طباطبا، ابن سكره، محمد انباری و...؛ خط: نسخ و نستعلیق، بی کا، بی تا؛ مصحح، محشی با نشان «منه دام ظله»؛ جلد: تیماج زرشکی با ترنج و سرترنج، ۱۴گ (گ1ر - ۴۱ر)، ۱۲ 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۱۵/۵سم [ف: ۴۴ - ۱۱۸]</w:t>
      </w:r>
    </w:p>
    <w:p>
      <w:pPr>
        <w:pStyle w:val="BookText"/>
      </w:pPr>
      <w:r>
        <w:rPr>
          <w:rFonts w:ascii="IRNazanin" w:hAnsi="IRNazanin" w:eastAsia="IRNazanin" w:cs="IRNazanin"/>
          <w:lang w:bidi="fa-IR"/>
          <w:color w:val="111111"/>
          <w:sz w:val="28"/>
          <w:szCs w:val="28"/>
          <w:rtl/>
        </w:rPr>
        <w:t xml:space="preserve">۳۸۱ . مشهد؛ رضوی؛ شماره نسخه: ۲۹۲۰۶</w:t>
      </w:r>
    </w:p>
    <w:p>
      <w:pPr>
        <w:pStyle w:val="BookText"/>
      </w:pPr>
      <w:r>
        <w:rPr>
          <w:rFonts w:ascii="Amiri" w:hAnsi="Amiri" w:eastAsia="Amiri" w:cs="Amiri"/>
          <w:lang w:bidi="ar-SA"/>
          <w:color w:val="111111"/>
          <w:sz w:val="28"/>
          <w:szCs w:val="28"/>
          <w:rtl/>
        </w:rPr>
        <w:t xml:space="preserve">آغاز: و مذ اقبلت نحوى تمثلت قائما و قلت لها اهلا وان لم اكن اهلا؛ انجام: و لها اذا اتفتت الى و اعرضت لطف الغزال وسطوة الصرغام</w:t>
      </w:r>
    </w:p>
    <w:p>
      <w:pPr>
        <w:pStyle w:val="BookText"/>
      </w:pPr>
      <w:r>
        <w:rPr>
          <w:rFonts w:ascii="IRNazanin" w:hAnsi="IRNazanin" w:eastAsia="IRNazanin" w:cs="IRNazanin"/>
          <w:lang w:bidi="fa-IR"/>
          <w:color w:val="111111"/>
          <w:sz w:val="28"/>
          <w:szCs w:val="28"/>
          <w:rtl/>
        </w:rPr>
        <w:t xml:space="preserve">خط: نسخ، بی کا، بی تا؛ افتادگی: آغاز و انجام [رایانه]</w:t>
      </w:r>
    </w:p>
    <w:p>
      <w:pPr>
        <w:pStyle w:val="BookText"/>
      </w:pPr>
      <w:r>
        <w:rPr>
          <w:rFonts w:ascii="IRNazanin" w:hAnsi="IRNazanin" w:eastAsia="IRNazanin" w:cs="IRNazanin"/>
          <w:lang w:bidi="fa-IR"/>
          <w:color w:val="111111"/>
          <w:sz w:val="28"/>
          <w:szCs w:val="28"/>
          <w:rtl/>
        </w:rPr>
        <w:t xml:space="preserve">۳۸۲ .تهران؛ مجلس؛ شماره نسخه: ۱۵۹۸۲/۲</w:t>
      </w:r>
    </w:p>
    <w:p>
      <w:pPr>
        <w:pStyle w:val="BookText"/>
      </w:pPr>
      <w:r>
        <w:rPr>
          <w:rFonts w:ascii="IRNazanin" w:hAnsi="IRNazanin" w:eastAsia="IRNazanin" w:cs="IRNazanin"/>
          <w:lang w:bidi="fa-IR"/>
          <w:color w:val="111111"/>
          <w:sz w:val="28"/>
          <w:szCs w:val="28"/>
          <w:rtl/>
        </w:rPr>
        <w:t xml:space="preserve">آغاز: داء ثوى بفؤاد شفه سقم *** لمحنتى من دواعي الهم و النكد از صلاح الدین بعلبکی (؟) قصیده ای ۱۲ بیتی که به ۴۲۰ خوانده می شود؛ خط: نسخ و نستعلیق، بی کا، بی تا؛ جلد: تیماج فرنگی ۱ص (ص۱۴)،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۴۴ - ۱۷۰]</w:t>
      </w:r>
    </w:p>
    <w:p>
      <w:pPr>
        <w:pStyle w:val="BookText"/>
      </w:pPr>
      <w:r>
        <w:rPr>
          <w:rFonts w:ascii="IRNazanin" w:hAnsi="IRNazanin" w:eastAsia="IRNazanin" w:cs="IRNazanin"/>
          <w:lang w:bidi="fa-IR"/>
          <w:color w:val="111111"/>
          <w:sz w:val="28"/>
          <w:szCs w:val="28"/>
          <w:rtl/>
        </w:rPr>
        <w:t xml:space="preserve">۳۸۳. تهران؛ سلطنتی؛ شماره نسخه :۱۲۸۴</w:t>
      </w:r>
    </w:p>
    <w:p>
      <w:pPr>
        <w:pStyle w:val="BookText"/>
      </w:pPr>
      <w:r>
        <w:rPr>
          <w:rFonts w:ascii="IRNazanin" w:hAnsi="IRNazanin" w:eastAsia="IRNazanin" w:cs="IRNazanin"/>
          <w:lang w:bidi="fa-IR"/>
          <w:color w:val="111111"/>
          <w:sz w:val="28"/>
          <w:szCs w:val="28"/>
          <w:rtl/>
        </w:rPr>
        <w:t xml:space="preserve">آغاز: بسمله. قال جرير بن عطيه بن الخطفى و هو حذيفة بن بدربن سلمة  بن  عوف بنكليب بن يربوع بن مالک بن حنظلة  بن مالك بن زيد مناة بن تميم يهجو عمر بن لجاء اليتمى من يتم الرباب؛ انجام: و انهم حنثع الابصار هيبة كما استكان لضوء الشارق والرمد. قد تم هذه القصايد المختاره الفصحاء</w:t>
      </w:r>
    </w:p>
    <w:p>
      <w:pPr>
        <w:pStyle w:val="BookText"/>
      </w:pPr>
      <w:r>
        <w:rPr>
          <w:rFonts w:ascii="IRNazanin" w:hAnsi="IRNazanin" w:eastAsia="IRNazanin" w:cs="IRNazanin"/>
          <w:lang w:bidi="fa-IR"/>
          <w:color w:val="111111"/>
          <w:sz w:val="28"/>
          <w:szCs w:val="28"/>
          <w:rtl/>
        </w:rPr>
        <w:t xml:space="preserve">مشتمل است بر اشعار چند شاعر متقدم مشهور عرب که اکثراً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bookmarkStart w:id="422" w:name="pg20365_260639"/>
    <w:bookmarkEnd w:id="422"/>
    <w:p>
      <w:pPr>
        <w:pStyle w:val="BookText"/>
      </w:pPr>
      <w:r>
        <w:rPr>
          <w:rFonts w:ascii="IRNazanin" w:hAnsi="IRNazanin" w:eastAsia="IRNazanin" w:cs="IRNazanin"/>
          <w:lang w:bidi="fa-IR"/>
          <w:color w:val="111111"/>
          <w:sz w:val="28"/>
          <w:szCs w:val="28"/>
          <w:rtl/>
        </w:rPr>
        <w:t xml:space="preserve">معاصر یکدیگر بوده اند ازجمله: جریر بن عطيةبن الخطفى، هـمام بن غالب بن صعصعة بن ناجية فرزدق، عبيد الراعي، غياث بن غوث بن الصلت بن طارقه مشهور به الاخطل، حسان بن ثابت، قيس بن الحطيم، متمم بن نورة اليربوعي، كعب بن سعد الغنوی، الشنفرى الازدى، الاحوض بن محمد. اشعار این مجمو مناظراتی است بین جریر و فرزدق و قصایدی در مدیح بزرگان و خلفای عصر؛ خطک نسخ خوش، بی کا، بی تا؛ در پیشانی صفـحه اول یک سرلوح مختصر كار بغداد الصاقى؛ مهر: ناصر الدين شاه قاجار؛ کاغذ: بغدادی، جلد: مقوای روکش تیماج زیتونی وسـط ترنج و دو سر ترنج ضربی زمینه لاکی گل برجسته، ۴۰۴ص، 17سطر، قطع: وزیری متوسط،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۴ - ۱۰۷۷]</w:t>
      </w:r>
    </w:p>
    <w:p>
      <w:pPr>
        <w:pStyle w:val="BookText"/>
      </w:pPr>
      <w:r>
        <w:rPr>
          <w:rFonts w:ascii="IRNazanin" w:hAnsi="IRNazanin" w:eastAsia="IRNazanin" w:cs="IRNazanin"/>
          <w:lang w:bidi="fa-IR"/>
          <w:color w:val="111111"/>
          <w:sz w:val="28"/>
          <w:szCs w:val="28"/>
          <w:rtl/>
        </w:rPr>
        <w:t xml:space="preserve">۳۸۴. تهران؛ مجلس؛ شماره نسخه: ۹۰۹۳/۸</w:t>
      </w:r>
    </w:p>
    <w:p>
      <w:pPr>
        <w:pStyle w:val="BookText"/>
      </w:pPr>
      <w:r>
        <w:rPr>
          <w:rFonts w:ascii="IRNazanin" w:hAnsi="IRNazanin" w:eastAsia="IRNazanin" w:cs="IRNazanin"/>
          <w:lang w:bidi="fa-IR"/>
          <w:color w:val="111111"/>
          <w:sz w:val="28"/>
          <w:szCs w:val="28"/>
          <w:rtl/>
        </w:rPr>
        <w:t xml:space="preserve">چند جمله کوتاه درباره زندگی و تاریخ حیات و ممات بعضی از شعرا به روایت ابن خلکان در حاشیه صفحات نوشته شده اسـت. شعرها سروده های این کسان است: خلیل بن احمد، ابی نواس ،مأمن، بهاء سخاوی، ابی یحیی عیسی بن قاضی اشرف مصـری معروف به قاضی ،فاضل ابوبکر احمد بن محمد بن حسن ارجانی، ابونصر احمد بن یوسف منازى كاتب، ابو القاسم احـمد بن محمد بن اسمعیل طباطبا شریف حسنی مصری، ابو محـمد عبد الحكم بن خطیب، ابی اسحاق مصری، ابواسحاق ابراهیم بن هلال صابی، ابو عبدالله ابراهيم بن محمد بن عرفه ازدی ملقب به نفطويه نحوی واسطی، ابوالفضل احمد بن حسين بن يحيى سعید همدانی، ابوالحسین احمد بن منیر طرابلسی، ابوالعباس احـمد بن ابی الحسین رفاعی مغربی، ابی الصلت اميه بن عبدالعـزیز اندلسی، ابى المعاد بشار بن برد عقیلی، ابواسحاق اسماعیل قاسم بن سوید معروف به ابی العتاهيه، ابو تمام حبيب بن اوس، ابواسماعيل حسين بن علی طغرایی اصفهانی، ابومحمد حسن بن محمد بن هارون وزیر مهبلی، صفی الدین ابى المحاسن عبدالعـزیز بن سرايا حلی، ابو محمد حسن بن علی بن احمد ابن و كـیع، ابوالحسن سرى بن احمد کندی رفاه موصلی، ابوالمعالی سعد بن على حظيرى دلال الكتب، ابوالفضل عباس بن احنف حنفی، ابو محمد عبدالله بن قاسم منعوت به مرتضی شهرزوری، عبدالله بن سعد موصلی ابن دهان، ابوالفرج عبدالواحد بن نصر، ابوالحـسن على بن عبدالعزیز قاضی جرجانی، ابوالحسن على بن جهم بن بدر، ابوالحسن علی بن عباس ابن رومی، ابوالحسن علی بن تهامی، قاضی ابو علی تنوخی، محمد بن داود ظاهری اصفهانی، ابوالحـسن محمد بن عبدالهل ابن سکره هاشمی بغدادی، ابومنصور عبدالملک بن محمد بن اسماعیل ثعالبی، ابى القاسم عل اسحاق بن خلف بغدادی زاهی، ابوشجاع محمد بن حسـین ظهیرالدن رودراوردی، ابوالقاسم عبدالكريم بن هوزن بن عبدالملک بن محمد قشیری، ابوالعلاء احمد بن عبد الله بن سلیمان بن محمد بن سلیمان تنوخی معری، ابوالحسن يحيى بن عيسى بن مطروح جمال الدین مصری، نصر الله بن عبدالله بن مخلوف بن قلاقس اسکندری، ولید بن عبيد بن يحيى بحتری، ابوبکر محمد بن باجه اندلسی ابن صائغ، ابو عبدالله هشام بن معاویه ضرير نحوی کوفی، ابوفراس همام بن غالب بن صعصع، تمیمی فزدق، ابو جعفر محمد بن عبدالملک ابن ابان معروف به ابن زیات، ابی زکریا يحيى بن سعيد بن مبارک ابوولید احمد بن عبدالله بن زيون مخزومی اندلسی قرطبی، مامای (؟) ،شامی، صدرالدین ابن مزجل شافعی، محمد بن عفیف، شیخ تلعفری، شرف الدین حلاوی، ابی الفتح بستى، منصوری، احمد بن بقا، محمد بن عبدالسلام، ابو القاسم هبة الله بن قاضی رشید مشهور به ابن سنا الملک مصری، ابراهیم مبلط، ابن دقیق، دمامینی مالکی، شیخ ضیاء الدین مقدسی، خطیب شروینی؛ خط: نسخ به شیوه ترکی، بی کا، بی تا؛ نسخه پردازی عثمانی، درون کتیبه های زرین؛ کاغذ: نخودی آهار مهره،جلد: مخمل سرخ عطف و سجاف تیماج مشکی، ۱۴گ( ۱۳۶ر - ۱۵۰ پ)، ۲۱ سطر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۱۹/۸سم [ف: ۲۹/۲ - ۷۴۷]</w:t>
      </w:r>
    </w:p>
    <w:p>
      <w:pPr>
        <w:pStyle w:val="Heading3"/>
      </w:pPr>
      <w:bookmarkStart w:id="1953" w:name="_Toc1475"/>
      <w:r>
        <w:t>اشعار / شعر / فارسی</w:t>
      </w:r>
      <w:bookmarkEnd w:id="1953"/>
    </w:p>
    <w:p>
      <w:pPr>
        <w:pStyle w:val="BookText"/>
      </w:pPr>
      <w:r>
        <w:rPr>
          <w:rFonts w:ascii="Times New Roman" w:hAnsi="Times New Roman" w:eastAsia="Times New Roman" w:cs="Times New Roman"/>
          <w:lang w:val="en-US" w:bidi="en-US"/>
          <w:color w:val="111111"/>
          <w:sz w:val="28"/>
          <w:szCs w:val="28"/>
          <w:rtl/>
        </w:rPr>
        <w:t xml:space="preserve">aš ār</w:t>
      </w:r>
    </w:p>
    <w:p>
      <w:pPr>
        <w:pStyle w:val="BookText"/>
      </w:pPr>
      <w:r>
        <w:rPr>
          <w:rFonts w:ascii="IRNazanin" w:hAnsi="IRNazanin" w:eastAsia="IRNazanin" w:cs="IRNazanin"/>
          <w:lang w:bidi="fa-IR"/>
          <w:color w:val="111111"/>
          <w:sz w:val="28"/>
          <w:szCs w:val="28"/>
          <w:rtl/>
        </w:rPr>
        <w:t xml:space="preserve">-در ذیل این عنوان کلیه رساله ها و یا مجموعه های شعری که با عناوین مختلف آمده فهرست شده است و بنای ما بر این بوده که رساله های شعری که دارای نام مؤلف مشخص است و از آن یک نفر می باشد تحت عنوان «دیوان» و به نام همان فرد آورده شود و فقط در قسمت مباحث به موضوع آن اشاره شود (که مثلاً مثنوی است و یا قصاید است و یا رباعی و ...)، رساله هایی که به مجموعه های شعری با نام مشخص پرداخته و دارای نام مؤلف است، همانند منظومه ها با همان نام منظومه فهرست شده اند، و رساله هایی که مؤلف آن نامعلوم است و یا دارای اثر شعری از چند شاعر است تحت عنوان «اشعار» آورده شود. بنابراین عناوین مختلفی (همچون: مثنوی ،منتخب ،رباعی جنگ اشعار و ...) که به رساله های شعری داده شده، همگی تحت همین عنوان آمده است، فقط جهت سهولت، ترتیب مرتب سازی آن  بر اساس قدمت نسخه انجام شده است.</w:t>
      </w:r>
    </w:p>
    <w:p>
      <w:pPr>
        <w:pStyle w:val="BookText"/>
      </w:pPr>
      <w:r>
        <w:rPr>
          <w:rFonts w:ascii="IRNazanin" w:hAnsi="IRNazanin" w:eastAsia="IRNazanin" w:cs="IRNazanin"/>
          <w:lang w:bidi="fa-IR"/>
          <w:color w:val="111111"/>
          <w:sz w:val="28"/>
          <w:szCs w:val="28"/>
          <w:rtl/>
        </w:rPr>
        <w:t xml:space="preserve">۱. تهران؛ مجلس؛ شماره نسخه: ۳۹۳۱/۵</w:t>
      </w:r>
    </w:p>
    <w:p>
      <w:pPr>
        <w:pStyle w:val="BookText"/>
      </w:pPr>
      <w:r>
        <w:rPr>
          <w:rFonts w:ascii="IRNazanin" w:hAnsi="IRNazanin" w:eastAsia="IRNazanin" w:cs="IRNazanin"/>
          <w:lang w:bidi="fa-IR"/>
          <w:color w:val="111111"/>
          <w:sz w:val="28"/>
          <w:szCs w:val="28"/>
          <w:rtl/>
        </w:rPr>
        <w:t xml:space="preserve">آغاز: برای زینت این کارخانه *** دو نسبت را دو اسم آمد نشانه / در آن مکتب که با را دو خواندند*** پی فهمیدن ما و تو خواندند/ الف آمد اساس جان عالم *** الف آغاز حرف آمد ز قرآن / الف شد قطب حروف شد الف باش *** چه دانستی مده دل را به وسواس / مسما بود یک لیک از پی زین *** دو اسم آمد یکی میم و یکی عین منظومه ای است (یا بخشی از منظومه ای) گویا از ضمیری در مدح رسول الله محمد (صلّی اللَّهِ علیه وَ آلِهِ وَ سَلَّمَ ) و امير المؤمنين على (علیه السّلام) با تصحیح علم حروف و عدد. دو قطعه است و در وسط آنها متن حدیث نبوی در فضیلت امام (علیه السّلام) همان خط نقل شده و در قطعه اول اسم محمد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لى (صلّی اللَّهِ علیه وَ آلِهِ وَ سَلَّمَ ) بر اساس جفر تاویل و تفسیر شده و در قطعه دوم دو نام با اسماء الله تطبیق گردیده؛ خط: نستعلیق ریز، بی کا،تا: قرن ۸؛ پس از پایان منظومه دو بیت دیگر از همان شاعر نقل شـده؛ کاغذ: سمرقندی شکری رنگ ،جلد: مقوای زرد با عطف و حاشیه تیماج قرمز، ۱۷۲ ص ، قطع: رقعی [ف: ۱۰ - ۲۰۲۶]</w:t>
      </w:r>
    </w:p>
    <w:p>
      <w:pPr>
        <w:pStyle w:val="BookText"/>
      </w:pPr>
      <w:r>
        <w:rPr>
          <w:rFonts w:ascii="IRNazanin" w:hAnsi="IRNazanin" w:eastAsia="IRNazanin" w:cs="IRNazanin"/>
          <w:lang w:bidi="fa-IR"/>
          <w:color w:val="111111"/>
          <w:sz w:val="28"/>
          <w:szCs w:val="28"/>
          <w:rtl/>
        </w:rPr>
        <w:t xml:space="preserve">2.تهران؛ دانشگاه؛ شماره نسخه: ۵۷۳/۳-ف</w:t>
      </w:r>
    </w:p>
    <w:p>
      <w:pPr>
        <w:pStyle w:val="BookText"/>
      </w:pPr>
      <w:r>
        <w:rPr>
          <w:rFonts w:ascii="IRNazanin" w:hAnsi="IRNazanin" w:eastAsia="IRNazanin" w:cs="IRNazanin"/>
          <w:lang w:bidi="fa-IR"/>
          <w:color w:val="111111"/>
          <w:sz w:val="28"/>
          <w:szCs w:val="28"/>
          <w:rtl/>
        </w:rPr>
        <w:t xml:space="preserve">نسخه اصل: لالا اسماعیلش ۴۸۷ر. شعر کمال اسماعیل و کـمال الدین عبدالرزاق؛ بی کا، تا: قرن ۸؛ اگ (۱۷ ر) [ فیلمها: ۱ - ۵۰۰ ]</w:t>
      </w:r>
    </w:p>
    <w:p>
      <w:pPr>
        <w:pStyle w:val="BookText"/>
      </w:pPr>
      <w:r>
        <w:rPr>
          <w:rFonts w:ascii="IRNazanin" w:hAnsi="IRNazanin" w:eastAsia="IRNazanin" w:cs="IRNazanin"/>
          <w:lang w:bidi="fa-IR"/>
          <w:color w:val="111111"/>
          <w:sz w:val="28"/>
          <w:szCs w:val="28"/>
          <w:rtl/>
        </w:rPr>
        <w:t xml:space="preserve">۳. تهران؛ دانشگاه شماره نسخه: ۵۷۳/۶-ف</w:t>
      </w:r>
    </w:p>
    <w:p>
      <w:pPr>
        <w:pStyle w:val="BookText"/>
      </w:pPr>
      <w:r>
        <w:rPr>
          <w:rFonts w:ascii="IRNazanin" w:hAnsi="IRNazanin" w:eastAsia="IRNazanin" w:cs="IRNazanin"/>
          <w:lang w:bidi="fa-IR"/>
          <w:color w:val="111111"/>
          <w:sz w:val="28"/>
          <w:szCs w:val="28"/>
          <w:rtl/>
        </w:rPr>
        <w:t xml:space="preserve">نسخه اصل: لالا اسماعیلش ۴۸۷ر. شعر مجیر بیلقانی و سید اشرف و شرف الدین شقروه و خاقانی و سعید هروی و اوحدالدین کرمانی و آغای تبریزی (با شعر ترکی در30ر نونویس) و کمال اسماعیل و عراقی (۲۱ پ-۳۱ر)، در هامش (۲۱پ-۳۱ر)،در هامش ۲۳ پ دو یادداشت است: «در استماع مولانا قاضی حاجی محمود في مدينة قسطمونه سنة سبع عشرون سبعمائة»، و در استماع قـادر عبد معطى حلى (؟) في اواسط ربيع الاول سنة سبع عشرین  سبعماءة»؛ بی کا، تا: قرن ۸ [ فیلمها: ۱ - ۵۰۰]</w:t>
      </w:r>
    </w:p>
    <w:p>
      <w:pPr>
        <w:pStyle w:val="BookText"/>
      </w:pPr>
      <w:r>
        <w:rPr>
          <w:rFonts w:ascii="IRNazanin" w:hAnsi="IRNazanin" w:eastAsia="IRNazanin" w:cs="IRNazanin"/>
          <w:lang w:bidi="fa-IR"/>
          <w:color w:val="111111"/>
          <w:sz w:val="28"/>
          <w:szCs w:val="28"/>
          <w:rtl/>
        </w:rPr>
        <w:t xml:space="preserve">4.تهران؛ دانشگاه؛ شماره نسخه: ۵۷۳/۱۰-ف</w:t>
      </w:r>
    </w:p>
    <w:p>
      <w:pPr>
        <w:pStyle w:val="BookText"/>
      </w:pPr>
      <w:r>
        <w:rPr>
          <w:rFonts w:ascii="IRNazanin" w:hAnsi="IRNazanin" w:eastAsia="IRNazanin" w:cs="IRNazanin"/>
          <w:lang w:bidi="fa-IR"/>
          <w:color w:val="111111"/>
          <w:sz w:val="28"/>
          <w:szCs w:val="28"/>
          <w:rtl/>
        </w:rPr>
        <w:t xml:space="preserve">نسخه اصل: لالااسماعیلش ۴۸۷ر. جنگ شعر است :از ازرقـی، خيام، صفی الدین حلی (به عربی در هامش)، همام الدین، شمـس الدین گنجه، انوری درباره حکیم شجاعی و پاسخ او، کمال اسماعیل  (رباعی) ،خاقانی، شرف الدین قزوینی، سراج قمری، فخرالدین مبارکشاه (رباعی) (تاریخ مرگ فخر رازی در روز دوشنبه ۱ شوال ۶۰۶ در هرات و تولد او در ۲۵ رمضان ۵۴۴ در ری و تاریخ تولد اوحدالدین محمد بن ابى الفخار احمد بن محـمد کرمانی صوفی در ذیحجه ۵۶۱ و مرگ او در روز دوشنبه 3شعبان ۵۳۵ و دفن او در شونیزیه بغداد و تاریخ مرگ اوحدالدین  محمد بن اسحاق انوری نیشابوری شاعر در حدود سال ۵۶۰)، شعر خاقانی ،حقایقی شروانی درباره مستنجد خلیفه هنگامی که بغداد رفته بود در ۵۶۰ (دو بیت عربی) (تاریخ مرگ او در اواخر شوال ۵۹۱ در تبریز و دفن او در حظيرة الشعراء در سرخاب و تولد او در شروان در ۵۲۰)، شعر رضی الدین نیشابوری و شرف الدین کعبانی (درهجو صاحب زین الدین ماستری)، شعر نـظام الملک طوسی (دو بیت عربی)، شعر: مسعود سعد سلمان، زین الدین سعدی بغدادی (سه بیت عربی که برای صاحب علاء الدین عطا ملک نوشته و شعر از خود او نیست) ،انوری، پاسخ قاضی حمیدالدین بدو، كمال اسماعیل ،وطواط، سيف الدين باخرزی، عطار؛ بی کا، تا: قرن ۸ [ فیلمها: ۱ - ۵۰۰]</w:t>
      </w:r>
    </w:p>
    <w:p>
      <w:pPr>
        <w:pStyle w:val="BookText"/>
      </w:pPr>
      <w:r>
        <w:rPr>
          <w:rFonts w:ascii="IRNazanin" w:hAnsi="IRNazanin" w:eastAsia="IRNazanin" w:cs="IRNazanin"/>
          <w:lang w:bidi="fa-IR"/>
          <w:color w:val="111111"/>
          <w:sz w:val="28"/>
          <w:szCs w:val="28"/>
          <w:rtl/>
        </w:rPr>
        <w:t xml:space="preserve">۵. تهران؛ دانشگاه؛ شماره نسخه: ۵۷۳/۱۲-ف</w:t>
      </w:r>
    </w:p>
    <w:p>
      <w:pPr>
        <w:pStyle w:val="BookText"/>
      </w:pPr>
      <w:r>
        <w:rPr>
          <w:rFonts w:ascii="IRNazanin" w:hAnsi="IRNazanin" w:eastAsia="IRNazanin" w:cs="IRNazanin"/>
          <w:lang w:bidi="fa-IR"/>
          <w:color w:val="111111"/>
          <w:sz w:val="28"/>
          <w:szCs w:val="28"/>
          <w:rtl/>
        </w:rPr>
        <w:t xml:space="preserve">نسخه اصل: لالا اسماعیل ش ۴۸۷ر. شعرهای: ابوعلی قسهتانی، اوحدالدین، سعیدی تبریزی با هجو او از تبریز و پاسخ همام الدین باو، غیاث الدین محمد وزیر، شرف الدین امیر احمد، خاقانی، عبدالرزاق  اصفهانی، سیف الدین باخرزی؛ بی کا، تا: قرن 8؛4گ(۱۱۲ ر -۱۱۶پ) [فیلمها: ۱ - ۵۰۱] . 6.تهران؛ دانشگاه؛ شماره نسخه: ۶۲۳/۱۰-ف</w:t>
      </w:r>
    </w:p>
    <w:p>
      <w:pPr>
        <w:pStyle w:val="BookText"/>
      </w:pPr>
      <w:r>
        <w:rPr>
          <w:rFonts w:ascii="IRNazanin" w:hAnsi="IRNazanin" w:eastAsia="IRNazanin" w:cs="IRNazanin"/>
          <w:lang w:bidi="fa-IR"/>
          <w:color w:val="111111"/>
          <w:sz w:val="28"/>
          <w:szCs w:val="28"/>
          <w:rtl/>
        </w:rPr>
        <w:t xml:space="preserve">نسخه اصل: شهید علی پاشا ش ۲۷۰۳. جنگ شعرهای ملک الحكماء اوحدالدين ابوالغیث (۱۹۸ پ - ۱۷۹پ)، و نصیرالدین طوسی (۱۷۹ پ - (۱۸۱ر) ، و عطار (۱۸۱ر) ، و عین القضات (۱۶۵ر)، (۱۷۹پ-۱۸۱ر)،  و بومحمد برهان الدین قلیج حسینی بلخی نبیره پادشاه اوز گند در گذشته ۱۲۶۵ (۱۶۵پ) مورخ ۱۰ ربیع الثانی ۱۳۳۳ (۱۲ شباط روز شنبه سال ۱۹۱۴) در استانبول و تخمیس محمد موسی یمینی ساری حسینی بر شاه بیت پدر خود سید محمد برهان الدین بلخی به ترکی (۱۶۶ر) مورخ ۸ جمادی الثانی ۱۳۴۲ (۱۵ کانون ۱۹۲۴ شب چهارشنبه) و ۱۱ شوال ۱۳۲۷ (۱۳ تشرین ۱۹۰۸/۱ سه شنبه) در استانبول و تاریخ ۱۴ محرم ۱۳۵۲ روز سه شنبه هم دارد.سپس بندی است به فارسی رساله مانند از شیخ الاسلام (۱۸۱پ- ۱۸۲ پ)؛ خط: نسخ، بی کا، تا: قرن ۸؛ ۲۵ سطر [ فیلمها: ۱ - ۵۱۵]</w:t>
      </w:r>
    </w:p>
    <w:p>
      <w:pPr>
        <w:pStyle w:val="BookText"/>
      </w:pPr>
      <w:r>
        <w:rPr>
          <w:rFonts w:ascii="IRNazanin" w:hAnsi="IRNazanin" w:eastAsia="IRNazanin" w:cs="IRNazanin"/>
          <w:lang w:bidi="fa-IR"/>
          <w:color w:val="111111"/>
          <w:sz w:val="28"/>
          <w:szCs w:val="28"/>
          <w:rtl/>
        </w:rPr>
        <w:t xml:space="preserve">۷. تهران؛ مجلس؛ شماره نسخه: ۱۰۰۷۱/۶</w:t>
      </w:r>
    </w:p>
    <w:p>
      <w:pPr>
        <w:pStyle w:val="BookText"/>
      </w:pPr>
      <w:r>
        <w:rPr>
          <w:rFonts w:ascii="IRNazanin" w:hAnsi="IRNazanin" w:eastAsia="IRNazanin" w:cs="IRNazanin"/>
          <w:lang w:bidi="fa-IR"/>
          <w:color w:val="111111"/>
          <w:sz w:val="28"/>
          <w:szCs w:val="28"/>
          <w:rtl/>
        </w:rPr>
        <w:t xml:space="preserve">شامل غزلی از سعدی، جمال الدین محمد اصفهانی، و گویا شعری از مولوی؛ خط: نسخ، بی کا، تا: قرن ۸، ۴ص (۵۴-۵۱)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۲۴سم [ف: ۳۲ - ۹۵]</w:t>
      </w:r>
    </w:p>
    <w:p>
      <w:pPr>
        <w:pStyle w:val="BookText"/>
      </w:pPr>
      <w:r>
        <w:rPr>
          <w:rFonts w:ascii="IRNazanin" w:hAnsi="IRNazanin" w:eastAsia="IRNazanin" w:cs="IRNazanin"/>
          <w:lang w:bidi="fa-IR"/>
          <w:color w:val="111111"/>
          <w:sz w:val="28"/>
          <w:szCs w:val="28"/>
          <w:rtl/>
        </w:rPr>
        <w:t xml:space="preserve">۸ .تهران؛ مجلس؛ شماره نسخه: ۱۰۰۷۱/۱۸</w:t>
      </w:r>
    </w:p>
    <w:p>
      <w:pPr>
        <w:pStyle w:val="BookText"/>
      </w:pPr>
      <w:r>
        <w:rPr>
          <w:rFonts w:ascii="IRNazanin" w:hAnsi="IRNazanin" w:eastAsia="IRNazanin" w:cs="IRNazanin"/>
          <w:lang w:bidi="fa-IR"/>
          <w:color w:val="111111"/>
          <w:sz w:val="28"/>
          <w:szCs w:val="28"/>
          <w:rtl/>
        </w:rPr>
        <w:t xml:space="preserve">آغاز: ای جمالت کرده بر زلف را یا سامشی *** و از شراب نام چشم مست را سیغامشی؛ انجام: جاودان مانند یا باشد جهان با یکدگر *** در نعیم و ناز و کام و دولت و جرغامشی</w:t>
      </w:r>
    </w:p>
    <w:p>
      <w:pPr>
        <w:pStyle w:val="BookText"/>
      </w:pPr>
      <w:r>
        <w:rPr>
          <w:rFonts w:ascii="IRNazanin" w:hAnsi="IRNazanin" w:eastAsia="IRNazanin" w:cs="IRNazanin"/>
          <w:lang w:bidi="fa-IR"/>
          <w:color w:val="111111"/>
          <w:sz w:val="28"/>
          <w:szCs w:val="28"/>
          <w:rtl/>
        </w:rPr>
        <w:t xml:space="preserve">گویا از خواجه صدرالدین آبادی (؟) ،ابهری، شامل بیست و یک بیت، در آغاز قصیده به شنگرف این عبارات آمده است: «خواجع صدرالدین آبادی (؟) ابهری گوید که تهنیت روز کون بنکلامشی در مدح امراء عظام ترمد از وجیتو (؟) زنده روانهما». قوافی این قصيده لغات مغولی بوده که روی آنها «مشی» است؛ خط: نسخ، بی کا، تا: قرن ۸، ۱ ص (۱۱۳)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۳۲ - ۹۶]</w:t>
      </w:r>
    </w:p>
    <w:p>
      <w:pPr>
        <w:pStyle w:val="BookText"/>
      </w:pPr>
      <w:r>
        <w:rPr>
          <w:rFonts w:ascii="IRNazanin" w:hAnsi="IRNazanin" w:eastAsia="IRNazanin" w:cs="IRNazanin"/>
          <w:lang w:bidi="fa-IR"/>
          <w:color w:val="111111"/>
          <w:sz w:val="28"/>
          <w:szCs w:val="28"/>
          <w:rtl/>
        </w:rPr>
        <w:t xml:space="preserve">۹. تهران؛ مجلس؛ شماره نسخه: ۱۰۰۷۱/۱۹</w:t>
      </w:r>
    </w:p>
    <w:p>
      <w:pPr>
        <w:pStyle w:val="BookText"/>
      </w:pPr>
      <w:r>
        <w:rPr>
          <w:rFonts w:ascii="IRNazanin" w:hAnsi="IRNazanin" w:eastAsia="IRNazanin" w:cs="IRNazanin"/>
          <w:lang w:bidi="fa-IR"/>
          <w:color w:val="111111"/>
          <w:sz w:val="28"/>
          <w:szCs w:val="28"/>
          <w:rtl/>
        </w:rPr>
        <w:t xml:space="preserve">آغاز: رباعی اول: سلام من برسانای نسیم باد شمال *** به نزد آن روی مشکین خال / بدو بگوی کی تا دور یکشبه ای زندم *** تنم ز مویه چو موی و دلم ز ناله چو نال. رباعی دوم: للحكيم شمس الدین المعقول روی چو مهت خلد بیرایه اوست *** طفلست که حفظ ایزدی دانه؟ اوست / زلفین تو بر عارض تو دانی چیست *** چتریست که آفتاب در سایه اوست</w:t>
      </w:r>
    </w:p>
    <w:p>
      <w:pPr>
        <w:pStyle w:val="BookText"/>
      </w:pPr>
      <w:r>
        <w:rPr>
          <w:rFonts w:ascii="IRNazanin" w:hAnsi="IRNazanin" w:eastAsia="IRNazanin" w:cs="IRNazanin"/>
          <w:lang w:bidi="fa-IR"/>
          <w:color w:val="111111"/>
          <w:sz w:val="28"/>
          <w:szCs w:val="28"/>
          <w:rtl/>
        </w:rPr>
        <w:t xml:space="preserve">دو رباعی؛ خط: نسخ، بی کا، تا: قرن 8؛1ص (۱۱۴)،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۳۲ - ۹۷]</w:t>
      </w:r>
    </w:p>
    <w:p>
      <w:pPr>
        <w:pStyle w:val="BookText"/>
      </w:pPr>
      <w:r>
        <w:rPr>
          <w:rFonts w:ascii="IRNazanin" w:hAnsi="IRNazanin" w:eastAsia="IRNazanin" w:cs="IRNazanin"/>
          <w:lang w:bidi="fa-IR"/>
          <w:color w:val="111111"/>
          <w:sz w:val="28"/>
          <w:szCs w:val="28"/>
          <w:rtl/>
        </w:rPr>
        <w:t xml:space="preserve">۱۰. تهران؛ مجلس؛ شماره نسخه: ۱۰۰۷۱/۲۳</w:t>
      </w:r>
    </w:p>
    <w:p>
      <w:pPr>
        <w:pStyle w:val="BookText"/>
      </w:pPr>
      <w:r>
        <w:rPr>
          <w:rFonts w:ascii="IRNazanin" w:hAnsi="IRNazanin" w:eastAsia="IRNazanin" w:cs="IRNazanin"/>
          <w:lang w:bidi="fa-IR"/>
          <w:color w:val="111111"/>
          <w:sz w:val="28"/>
          <w:szCs w:val="28"/>
          <w:rtl/>
        </w:rPr>
        <w:t xml:space="preserve">آغاز: بشنو این قصه ادیان زمن ای اهل هنر *** کی ز ادیان رسل دین کدامین بهتر؛ انجام: اینک مشهور جهانند سرابی آیند *** محلد؟ و سقسقطى وان دیگرانرا چه خطر</w:t>
      </w:r>
    </w:p>
    <w:p>
      <w:pPr>
        <w:pStyle w:val="BookText"/>
      </w:pPr>
      <w:r>
        <w:rPr>
          <w:rFonts w:ascii="IRNazanin" w:hAnsi="IRNazanin" w:eastAsia="IRNazanin" w:cs="IRNazanin"/>
          <w:lang w:bidi="fa-IR"/>
          <w:color w:val="111111"/>
          <w:sz w:val="28"/>
          <w:szCs w:val="28"/>
          <w:rtl/>
        </w:rPr>
        <w:t xml:space="preserve">قصیده در باب ادیان ؛خط: نسخ، بی کا، تا: قرن ۸ ؛۲ ص (۱۵۸ -۱۵۹)،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۳۲ - ۹۷]
</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11.تهران؛ مجلس؛ شماره نسخه ۱۰۰۷۱/۲۴</w:t>
      </w:r>
    </w:p>
    <w:p>
      <w:pPr>
        <w:pStyle w:val="BookText"/>
      </w:pPr>
      <w:r>
        <w:rPr>
          <w:rFonts w:ascii="IRNazanin" w:hAnsi="IRNazanin" w:eastAsia="IRNazanin" w:cs="IRNazanin"/>
          <w:lang w:bidi="fa-IR"/>
          <w:color w:val="111111"/>
          <w:sz w:val="28"/>
          <w:szCs w:val="28"/>
          <w:rtl/>
        </w:rPr>
        <w:t xml:space="preserve">شامل شعری از شرف الدین شفره اصفهانی با مطلع: ای بی خبـر از عالم ارواح کجائی *** در مصطبه خال سراسیمه چرائی، و نیز دو رباعی؛ خط: نسخ، بی کا، تا: قرن ۸؛ 1ص (۱۵۹)،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۳۲ - ۹۷]</w:t>
      </w:r>
    </w:p>
    <w:p>
      <w:pPr>
        <w:pStyle w:val="BookText"/>
      </w:pPr>
      <w:r>
        <w:rPr>
          <w:rFonts w:ascii="IRNazanin" w:hAnsi="IRNazanin" w:eastAsia="IRNazanin" w:cs="IRNazanin"/>
          <w:lang w:bidi="fa-IR"/>
          <w:color w:val="111111"/>
          <w:sz w:val="28"/>
          <w:szCs w:val="28"/>
          <w:rtl/>
        </w:rPr>
        <w:t xml:space="preserve">۱۲. تهران؛ مجلس؛ شماره نسخه: ۱۰۰۷۱/۲۶</w:t>
      </w:r>
    </w:p>
    <w:p>
      <w:pPr>
        <w:pStyle w:val="BookText"/>
      </w:pPr>
      <w:r>
        <w:rPr>
          <w:rFonts w:ascii="IRNazanin" w:hAnsi="IRNazanin" w:eastAsia="IRNazanin" w:cs="IRNazanin"/>
          <w:lang w:bidi="fa-IR"/>
          <w:color w:val="111111"/>
          <w:sz w:val="28"/>
          <w:szCs w:val="28"/>
          <w:rtl/>
        </w:rPr>
        <w:t xml:space="preserve">از جمله از سید علوی نظامی، ناصر (تخلص) و اشعاری دیگر از در نسخه نام سرایندگان نیامده است؛ خط: نسخ، بی کا، نسخ، بی کا، تا: قرن 8؛ ۱۳ ص (۱۷۴ - ۱۸۷)،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۳۲ - ۹۸]</w:t>
      </w:r>
    </w:p>
    <w:p>
      <w:pPr>
        <w:pStyle w:val="BookText"/>
      </w:pPr>
      <w:r>
        <w:rPr>
          <w:rFonts w:ascii="IRNazanin" w:hAnsi="IRNazanin" w:eastAsia="IRNazanin" w:cs="IRNazanin"/>
          <w:lang w:bidi="fa-IR"/>
          <w:color w:val="111111"/>
          <w:sz w:val="28"/>
          <w:szCs w:val="28"/>
          <w:rtl/>
        </w:rPr>
        <w:t xml:space="preserve">۱۳. تهران؛ دانشگاه؛ شماره نسخه: ۵۶۴-ف</w:t>
      </w:r>
    </w:p>
    <w:p>
      <w:pPr>
        <w:pStyle w:val="BookText"/>
      </w:pPr>
      <w:r>
        <w:rPr>
          <w:rFonts w:ascii="IRNazanin" w:hAnsi="IRNazanin" w:eastAsia="IRNazanin" w:cs="IRNazanin"/>
          <w:lang w:bidi="fa-IR"/>
          <w:color w:val="111111"/>
          <w:sz w:val="28"/>
          <w:szCs w:val="28"/>
          <w:rtl/>
        </w:rPr>
        <w:t xml:space="preserve">نسخه اصل: حالت افندی ش ۲۳۲؛ شعرهای سنائی و عطار مولوی و سعدی و سلطان ولد؛ خط: نسخ، بی کا، تا: قرن8؛ ۱۴۱گ،199گ، ۱۹ و ۲۱ سطر [ فیلمها: ۱ - ۴۹۹]</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تهران؛ دانشگاه؛ شماره نسخه: ۱۰۸/۱۹-ف</w:t>
      </w:r>
    </w:p>
    <w:p>
      <w:pPr>
        <w:pStyle w:val="BookText"/>
      </w:pPr>
      <w:r>
        <w:rPr>
          <w:rFonts w:ascii="IRNazanin" w:hAnsi="IRNazanin" w:eastAsia="IRNazanin" w:cs="IRNazanin"/>
          <w:lang w:bidi="fa-IR"/>
          <w:color w:val="111111"/>
          <w:sz w:val="28"/>
          <w:szCs w:val="28"/>
          <w:rtl/>
        </w:rPr>
        <w:t xml:space="preserve">نسخه اصل: ایاصوفیا ۲۰۵۱ (۲۰۹). رباعيات است در سه «فصل»، توحید در ۶۵ باب؛ بی کا، تا: با تاریخ ۷۳۰ق [ فیلمها: ۱ - ۴۱۰]</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تهران؛ دانشگاه؛ شماره نسخه: ۱۰۸/۲۰-ف</w:t>
      </w:r>
    </w:p>
    <w:p>
      <w:pPr>
        <w:pStyle w:val="BookText"/>
      </w:pPr>
      <w:r>
        <w:rPr>
          <w:rFonts w:ascii="IRNazanin" w:hAnsi="IRNazanin" w:eastAsia="IRNazanin" w:cs="IRNazanin"/>
          <w:lang w:bidi="fa-IR"/>
          <w:color w:val="111111"/>
          <w:sz w:val="28"/>
          <w:szCs w:val="28"/>
          <w:rtl/>
        </w:rPr>
        <w:t xml:space="preserve">نسخه اصل: ايا صوفيا ۲۰۵۱ (۲۰۹) رباعیات شکایت روزگـار؛</w:t>
      </w:r>
    </w:p>
    <w:p>
      <w:pPr>
        <w:pStyle w:val="BookText"/>
      </w:pPr>
      <w:r>
        <w:rPr>
          <w:rFonts w:ascii="IRNazanin" w:hAnsi="IRNazanin" w:eastAsia="IRNazanin" w:cs="IRNazanin"/>
          <w:lang w:bidi="fa-IR"/>
          <w:color w:val="111111"/>
          <w:sz w:val="28"/>
          <w:szCs w:val="28"/>
          <w:rtl/>
        </w:rPr>
        <w:t xml:space="preserve">بی کا، تا: با تاریخ ۷۳۰ق [ فیلمها: ۱ - ۴۱۰]</w:t>
      </w:r>
    </w:p>
    <w:p>
      <w:pPr>
        <w:pStyle w:val="BookText"/>
      </w:pPr>
      <w:r>
        <w:rPr>
          <w:rFonts w:ascii="IRNazanin" w:hAnsi="IRNazanin" w:eastAsia="IRNazanin" w:cs="IRNazanin"/>
          <w:lang w:bidi="fa-IR"/>
          <w:color w:val="111111"/>
          <w:sz w:val="28"/>
          <w:szCs w:val="28"/>
          <w:rtl/>
        </w:rPr>
        <w:t xml:space="preserve">۱۶. تهران؛ دانشگاه؛ شماره نسخه: ۶۰۱-ف</w:t>
      </w:r>
    </w:p>
    <w:p>
      <w:pPr>
        <w:pStyle w:val="BookText"/>
      </w:pPr>
      <w:r>
        <w:rPr>
          <w:rFonts w:ascii="IRNazanin" w:hAnsi="IRNazanin" w:eastAsia="IRNazanin" w:cs="IRNazanin"/>
          <w:lang w:bidi="fa-IR"/>
          <w:color w:val="111111"/>
          <w:sz w:val="28"/>
          <w:szCs w:val="28"/>
          <w:rtl/>
        </w:rPr>
        <w:t xml:space="preserve">نسخه اصل: نافذ پاشا ش ۱۰۲۶. دارای شعرهای: کمال الدین اسمعیل (گ ۸) ،عزالدین شروانی (گ ۳۴ و گ 215)، عبدالواسع جبلی (گ ۳۶)، حکیم ناصر (گ ۴۵)، ظهیر الدین فارابی (گ۵۱)، قطران ارموی (گ۶۲)، فلکی شروانی ( گ 65)،پوربها (گ ۶۹)، حمیدالدین جبلی  (گ۷۱)، جمال الدین عبدالرزاق اصفهانی (گ ۸۰ و ۱۱۷ و ۱۱۸)، شمس طبسی ( ۸۲)، اثیر الدین اخسیکتی (گ ۸۴ و ۱۹۴ و ۲۱۱)، ادیب صابر ( گ۸۵)، سوگند نامه شمالی دهستانی (گ ۸۶)، اثیر الدین اومانی (گ ۹۰ و ۲۱۰)، اقوامی (گ۹۱)، رشیدالدین وطواط (گ۹۵ )،معـزی( گ۹۷)، منوچهری (گ۹۹)، فخر مراغی (گ ۱۱۰)، ابوالعـلاء استاد خاقانی (گ ۱۱۱)، کمال الدین اسمعیل (گ۱۱۱ و ۲۰۸ و گ ۲۴۳)، انوری (گ ۱۱۲ و ۲۴۹)، سعدی (گ 113 و۲۵۲)، مجیر بیلقانی (گ ۱۱۶ و ۲۱۱)، شمس حاجی (گ 119و 252و 253و 258 )، عثمان عبیدی( گ120)۰ ،مجدالدین همگر (گ ۱۲۱ و ۲۰۳) ،مهستی (گ ۱۲۱)، عمر خیام ( گ۱۲۱)، سنائی (گ ۱۲۳ و ۲۴۹)، شیخ عطار (گ ۱۴۱)، مولانا جلال الدین ( گ۱۵۷)، سلطان ولد (گ ۱۷۶)، سمرقندی ( گ۱۷۷)، شرف الدين شفروة الاصفهاني (گ ۲۰۷ و گ 213)، فخرالدین عراقی (گ ۲۱۷) زین الدین، سراج الدین قرهـی، قدسی، سید اشرف کاشی (گ ۲۴۴)، شیخ نجم الدین زرکوب  (گ۲۴۸)، عمده قاضی بدر (گ ۲۴۸)، سنائی و امامی (گ۲۰۵)، سیف الدین اسپرنگی (گ ۲۰۵)، فخرالدین گرگانی (گ ۲۱۲)، حاجی سعد تبریزی (گ ۲۱۵)، همام تبریزی (گ215)،ناصرالدین شیرازی( گ۲۳۰)، قطب الدین یحیی بن زنگی شیرازی (گ ۲۴۳)، شیخ جلیل شیرازی (گ ۲۴۵)، فخرالدین قنادی شیرازی ( گ۲۴۶)، جلال الدین عتیقی (گ ۲۴۸ و گ ۲۵۲ و گ ۲۵۵)، عمادالدین کرمانی (گ ۲۵۰)، آغای تبریزی (گ ۲۵۱)، اوحدی (گ ۲۵۹)؛ خط: نسخ، كا: شمس حاجی  دولتشاه شیرازی، تا: رجب ۷۴۱ق؛ ۳۷۶گ، [فیلمها: ۱ - ۵۰۶]</w:t>
      </w:r>
    </w:p>
    <w:p>
      <w:pPr>
        <w:pStyle w:val="BookText"/>
      </w:pPr>
      <w:r>
        <w:rPr>
          <w:rFonts w:ascii="IRNazanin" w:hAnsi="IRNazanin" w:eastAsia="IRNazanin" w:cs="IRNazanin"/>
          <w:lang w:bidi="fa-IR"/>
          <w:color w:val="111111"/>
          <w:sz w:val="28"/>
          <w:szCs w:val="28"/>
          <w:rtl/>
        </w:rPr>
        <w:t xml:space="preserve">۱۷. تهران؛ دانشگاه؛ شماره نسخه: ۱۱۷/۴-ف</w:t>
      </w:r>
    </w:p>
    <w:p>
      <w:pPr>
        <w:pStyle w:val="BookText"/>
      </w:pPr>
      <w:r>
        <w:rPr>
          <w:rFonts w:ascii="IRNazanin" w:hAnsi="IRNazanin" w:eastAsia="IRNazanin" w:cs="IRNazanin"/>
          <w:lang w:bidi="fa-IR"/>
          <w:color w:val="111111"/>
          <w:sz w:val="28"/>
          <w:szCs w:val="28"/>
          <w:rtl/>
        </w:rPr>
        <w:t xml:space="preserve">نسخه اصل: ایاصوفیا ش ۳۰۱۹. ترجیع بند در ستایش شهر سلطانیه و اولجایتو و ابوسعید؛ خط: نستعلیق، کا: احمد بن حسين ساناق هروی، تا: ۷۵۲ق؛ ۵گ (۲۴۱-۲۴۵)، ۲۵سطر [فیلمها: ۱ - ۴۱۱]</w:t>
      </w:r>
    </w:p>
    <w:p>
      <w:pPr>
        <w:pStyle w:val="BookText"/>
      </w:pPr>
      <w:r>
        <w:rPr>
          <w:rFonts w:ascii="IRNazanin" w:hAnsi="IRNazanin" w:eastAsia="IRNazanin" w:cs="IRNazanin"/>
          <w:lang w:bidi="fa-IR"/>
          <w:color w:val="111111"/>
          <w:sz w:val="28"/>
          <w:szCs w:val="28"/>
          <w:rtl/>
        </w:rPr>
        <w:t xml:space="preserve">۱۸. تهران؛ دانشگاه؛ شماره نسخه: ۷۶۰/۵-ف</w:t>
      </w:r>
    </w:p>
    <w:p>
      <w:pPr>
        <w:pStyle w:val="BookText"/>
      </w:pPr>
      <w:r>
        <w:rPr>
          <w:rFonts w:ascii="IRNazanin" w:hAnsi="IRNazanin" w:eastAsia="IRNazanin" w:cs="IRNazanin"/>
          <w:lang w:bidi="fa-IR"/>
          <w:color w:val="111111"/>
          <w:sz w:val="28"/>
          <w:szCs w:val="28"/>
          <w:rtl/>
        </w:rPr>
        <w:t xml:space="preserve">نسخه اصل: پاریس 113.</w:t>
      </w:r>
      <w:r>
        <w:rPr>
          <w:rFonts w:ascii="Times New Roman" w:hAnsi="Times New Roman" w:eastAsia="Times New Roman" w:cs="Times New Roman"/>
          <w:lang w:val="en-US" w:bidi="en-US"/>
          <w:color w:val="111111"/>
          <w:sz w:val="28"/>
          <w:szCs w:val="28"/>
          <w:rtl/>
        </w:rPr>
        <w:t xml:space="preserve">s.p (</w:t>
      </w:r>
      <w:r>
        <w:rPr>
          <w:rFonts w:ascii="IRNazanin" w:hAnsi="IRNazanin" w:eastAsia="IRNazanin" w:cs="IRNazanin"/>
          <w:lang w:bidi="fa-IR"/>
          <w:color w:val="111111"/>
          <w:sz w:val="28"/>
          <w:szCs w:val="28"/>
          <w:rtl/>
        </w:rPr>
        <w:t xml:space="preserve">بلوشه ۱۴۹). بخشی از مثنوی؛ خط: نسخ، بی کا، تا: یک شنبه اواخر رمضان ۷۵۳ق؛ ۱۳ سطر [ فیلمها: ۱ - ۵۳۶]</w:t>
      </w:r>
    </w:p>
    <w:p>
      <w:pPr>
        <w:pStyle w:val="BookText"/>
      </w:pPr>
      <w:r>
        <w:rPr>
          <w:rFonts w:ascii="IRNazanin" w:hAnsi="IRNazanin" w:eastAsia="IRNazanin" w:cs="IRNazanin"/>
          <w:lang w:bidi="fa-IR"/>
          <w:color w:val="111111"/>
          <w:sz w:val="28"/>
          <w:szCs w:val="28"/>
          <w:rtl/>
        </w:rPr>
        <w:t xml:space="preserve">۱۹. تهران؛ دانشگاه؛ شماره نسخه: ۷۶۰/۸-ف</w:t>
      </w:r>
    </w:p>
    <w:p>
      <w:pPr>
        <w:pStyle w:val="BookText"/>
      </w:pPr>
      <w:r>
        <w:rPr>
          <w:rFonts w:ascii="IRNazanin" w:hAnsi="IRNazanin" w:eastAsia="IRNazanin" w:cs="IRNazanin"/>
          <w:lang w:bidi="fa-IR"/>
          <w:color w:val="111111"/>
          <w:sz w:val="28"/>
          <w:szCs w:val="28"/>
          <w:rtl/>
        </w:rPr>
        <w:t xml:space="preserve">نسخه اصل: پاریس 13 .</w:t>
      </w:r>
      <w:r>
        <w:rPr>
          <w:rFonts w:ascii="Times New Roman" w:hAnsi="Times New Roman" w:eastAsia="Times New Roman" w:cs="Times New Roman"/>
          <w:lang w:val="en-US" w:bidi="en-US"/>
          <w:color w:val="111111"/>
          <w:sz w:val="28"/>
          <w:szCs w:val="28"/>
          <w:rtl/>
        </w:rPr>
        <w:t xml:space="preserve">s. p . </w:t>
      </w:r>
      <w:r>
        <w:rPr>
          <w:rFonts w:ascii="IRNazanin" w:hAnsi="IRNazanin" w:eastAsia="IRNazanin" w:cs="IRNazanin"/>
          <w:lang w:bidi="fa-IR"/>
          <w:color w:val="111111"/>
          <w:sz w:val="28"/>
          <w:szCs w:val="28"/>
          <w:rtl/>
        </w:rPr>
        <w:t xml:space="preserve">بلوشه (۱۴۹). مثنوی در فتوت است؛ خط: نسخ، بی کا، تا: یک شنبه اواخر رمضان ۷۵۳ق؛ ۱۳ سطر [ فیلمها: ۱ - ۵۳۶]</w:t>
      </w:r>
    </w:p>
    <w:p>
      <w:pPr>
        <w:pStyle w:val="BookText"/>
      </w:pPr>
      <w:r>
        <w:rPr>
          <w:rFonts w:ascii="IRNazanin" w:hAnsi="IRNazanin" w:eastAsia="IRNazanin" w:cs="IRNazanin"/>
          <w:lang w:bidi="fa-IR"/>
          <w:color w:val="111111"/>
          <w:sz w:val="28"/>
          <w:szCs w:val="28"/>
          <w:rtl/>
        </w:rPr>
        <w:t xml:space="preserve">۲۰. تهران؛ دانشگاه؛ شماره نسخه: ۵۷۳/۳۹-ف</w:t>
      </w:r>
    </w:p>
    <w:p>
      <w:pPr>
        <w:pStyle w:val="BookText"/>
      </w:pPr>
      <w:r>
        <w:rPr>
          <w:rFonts w:ascii="IRNazanin" w:hAnsi="IRNazanin" w:eastAsia="IRNazanin" w:cs="IRNazanin"/>
          <w:lang w:bidi="fa-IR"/>
          <w:color w:val="111111"/>
          <w:sz w:val="28"/>
          <w:szCs w:val="28"/>
          <w:rtl/>
        </w:rPr>
        <w:t xml:space="preserve">نسخه اصل: لالا اسماعیل ش ۴۸۷ر.پنج غزل با تخلص جلال؛ کا: جلال حسینی رازی، تا: ۱۵ صفر ۷۵۴ق؛ با اجازه صاحب جنگ؛ اگ (۲۸۲-۲۸۳ر) [ فیلمها: ۱ - ۵۰۴]</w:t>
      </w:r>
    </w:p>
    <w:p>
      <w:pPr>
        <w:pStyle w:val="BookText"/>
      </w:pPr>
      <w:r>
        <w:rPr>
          <w:rFonts w:ascii="IRNazanin" w:hAnsi="IRNazanin" w:eastAsia="IRNazanin" w:cs="IRNazanin"/>
          <w:lang w:bidi="fa-IR"/>
          <w:color w:val="111111"/>
          <w:sz w:val="28"/>
          <w:szCs w:val="28"/>
          <w:rtl/>
        </w:rPr>
        <w:t xml:space="preserve">۲۱. تهران؛ دانشگاه؛ شماره نسخه: ۴۶۲/۵۴(آ)-۴۶۳/۵۴(ب)-ف</w:t>
      </w:r>
    </w:p>
    <w:p>
      <w:pPr>
        <w:pStyle w:val="BookText"/>
      </w:pPr>
      <w:r>
        <w:rPr>
          <w:rFonts w:ascii="IRNazanin" w:hAnsi="IRNazanin" w:eastAsia="IRNazanin" w:cs="IRNazanin"/>
          <w:lang w:bidi="fa-IR"/>
          <w:color w:val="111111"/>
          <w:sz w:val="28"/>
          <w:szCs w:val="28"/>
          <w:rtl/>
        </w:rPr>
        <w:t xml:space="preserve">نسخه اصل: کوپرولوش ۱۵۸۹؛ بی کا، تا: با تاریخ ۷۵۴ق؛در متن و هامش؛ اگ (۱۰۴ر) [فیلمها: ۱ - ۴۸۳]</w:t>
      </w:r>
    </w:p>
    <w:p>
      <w:pPr>
        <w:pStyle w:val="BookText"/>
      </w:pPr>
      <w:r>
        <w:rPr>
          <w:rFonts w:ascii="IRNazanin" w:hAnsi="IRNazanin" w:eastAsia="IRNazanin" w:cs="IRNazanin"/>
          <w:lang w:bidi="fa-IR"/>
          <w:color w:val="111111"/>
          <w:sz w:val="28"/>
          <w:szCs w:val="28"/>
          <w:rtl/>
        </w:rPr>
        <w:t xml:space="preserve">۲۲. تهران؛ دانشگاه؛ شماره :نسخه ۱۹۵/۶۴-ف</w:t>
      </w:r>
    </w:p>
    <w:p>
      <w:pPr>
        <w:pStyle w:val="BookText"/>
      </w:pPr>
      <w:r>
        <w:rPr>
          <w:rFonts w:ascii="IRNazanin" w:hAnsi="IRNazanin" w:eastAsia="IRNazanin" w:cs="IRNazanin"/>
          <w:lang w:bidi="fa-IR"/>
          <w:color w:val="111111"/>
          <w:sz w:val="28"/>
          <w:szCs w:val="28"/>
          <w:rtl/>
        </w:rPr>
        <w:t xml:space="preserve">نسخه اصل: حمیدیه ش ۱۴۴۷. شعر انوری و علیشاه اسدی و فخرالدین عراقی و حکیم ایوبی؛ بی کا، تا: با تاریخ ۷۵۵ق [ فیلمها:  ۴۲۶ - ۱]</w:t>
      </w:r>
    </w:p>
    <w:p>
      <w:pPr>
        <w:pStyle w:val="BookText"/>
      </w:pPr>
      <w:r>
        <w:rPr>
          <w:rFonts w:ascii="IRNazanin" w:hAnsi="IRNazanin" w:eastAsia="IRNazanin" w:cs="IRNazanin"/>
          <w:lang w:bidi="fa-IR"/>
          <w:color w:val="111111"/>
          <w:sz w:val="28"/>
          <w:szCs w:val="28"/>
          <w:rtl/>
        </w:rPr>
        <w:t xml:space="preserve">۲۳. تهران؛ دانشگاه؛ شماره نسخه: ۱۹۵/۱۳۲-ف</w:t>
      </w:r>
    </w:p>
    <w:p>
      <w:pPr>
        <w:pStyle w:val="BookText"/>
      </w:pPr>
      <w:r>
        <w:rPr>
          <w:rFonts w:ascii="IRNazanin" w:hAnsi="IRNazanin" w:eastAsia="IRNazanin" w:cs="IRNazanin"/>
          <w:lang w:bidi="fa-IR"/>
          <w:color w:val="111111"/>
          <w:sz w:val="28"/>
          <w:szCs w:val="28"/>
          <w:rtl/>
        </w:rPr>
        <w:t xml:space="preserve">نسخه اصل: حمدیه ش ۱۴۴۷. قصاید ظهیرالدین فاریابی و جلال الدين طبيب شیرازی و کمال الدین خجندی و کمال الدین اسمعیل اصفهانی؛ بی کا، تا: با تاریخ ۷۵۵ق؛ در هامش است [ فیلمها: ۱ - ۴۳۰]</w:t>
      </w:r>
    </w:p>
    <w:p>
      <w:pPr>
        <w:pStyle w:val="BookText"/>
      </w:pPr>
      <w:r>
        <w:rPr>
          <w:rFonts w:ascii="IRNazanin" w:hAnsi="IRNazanin" w:eastAsia="IRNazanin" w:cs="IRNazanin"/>
          <w:lang w:bidi="fa-IR"/>
          <w:color w:val="111111"/>
          <w:sz w:val="28"/>
          <w:szCs w:val="28"/>
          <w:rtl/>
        </w:rPr>
        <w:t xml:space="preserve">۲۴. تهران؛ مجلس؛ شماره نسخه: ۹۰۱/۵</w:t>
      </w:r>
    </w:p>
    <w:p>
      <w:pPr>
        <w:pStyle w:val="BookText"/>
      </w:pPr>
      <w:r>
        <w:rPr>
          <w:rFonts w:ascii="IRNazanin" w:hAnsi="IRNazanin" w:eastAsia="IRNazanin" w:cs="IRNazanin"/>
          <w:lang w:bidi="fa-IR"/>
          <w:color w:val="111111"/>
          <w:sz w:val="28"/>
          <w:szCs w:val="28"/>
          <w:rtl/>
        </w:rPr>
        <w:t xml:space="preserve">آغاز: حل و عقد جمله اشیا تویی*** از هزاران دیده ها بینا تویی/ خود همی بینی جمال خویش را *** زان به وصف خویش هم گویا تویی؛ انجام:یا دوست گزین کمال یا جان *** یک خانه دو میهمان نگنجد</w:t>
      </w:r>
    </w:p>
    <w:p>
      <w:pPr>
        <w:pStyle w:val="BookText"/>
      </w:pPr>
      <w:r>
        <w:rPr>
          <w:rFonts w:ascii="IRNazanin" w:hAnsi="IRNazanin" w:eastAsia="IRNazanin" w:cs="IRNazanin"/>
          <w:lang w:bidi="fa-IR"/>
          <w:color w:val="111111"/>
          <w:sz w:val="28"/>
          <w:szCs w:val="28"/>
          <w:rtl/>
        </w:rPr>
        <w:t xml:space="preserve">غزلیات با تخلص سید؛ خط: نستعلیق، بی کا، تا: قرن ۹؛ کاغذ: سفید، جلد: تیماج مشکی و مقوایی، ۳ ص (۲۰۴-۲۰۶)، ابعاد متن: 7</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[سنا: ف: ۲ - ۸۸]</w:t>
      </w:r>
    </w:p>
    <w:p>
      <w:pPr>
        <w:pStyle w:val="BookText"/>
      </w:pPr>
      <w:r>
        <w:rPr>
          <w:rFonts w:ascii="IRNazanin" w:hAnsi="IRNazanin" w:eastAsia="IRNazanin" w:cs="IRNazanin"/>
          <w:lang w:bidi="fa-IR"/>
          <w:color w:val="111111"/>
          <w:sz w:val="28"/>
          <w:szCs w:val="28"/>
          <w:rtl/>
        </w:rPr>
        <w:t xml:space="preserve">۲۵. تهران؛ مجلس؛ شماره نسخه: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رباعیات فارسی ابن سینا و خواجه طوسی و جلال الدین بن قوام و سيف الدين باخرزی و شیخ ابوسعید و سلطان العارفین و اوکایی اسفراینی و دیگران؛ خط: نسخ، بی کا، تا: قرن ۹ ؛کاغذ: سفـید ،جلد: تیماج مشکی مقوایی، ۲ص (۳۵۰-۳۴۹)، ۲۵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۲۶سم [سنا: ف: ۱ - ۲۹۴]</w:t>
      </w:r>
    </w:p>
    <w:p>
      <w:pPr>
        <w:pStyle w:val="BookText"/>
      </w:pPr>
      <w:r>
        <w:rPr>
          <w:rFonts w:ascii="IRNazanin" w:hAnsi="IRNazanin" w:eastAsia="IRNazanin" w:cs="IRNazanin"/>
          <w:lang w:bidi="fa-IR"/>
          <w:color w:val="111111"/>
          <w:sz w:val="28"/>
          <w:szCs w:val="28"/>
          <w:rtl/>
        </w:rPr>
        <w:t xml:space="preserve">۲۶ . تهران؛ علوم پزشکی؛ شماره نسخه: ۲۳۸/۱</w:t>
      </w:r>
    </w:p>
    <w:p>
      <w:pPr>
        <w:pStyle w:val="BookText"/>
      </w:pPr>
      <w:r>
        <w:rPr>
          <w:rFonts w:ascii="IRNazanin" w:hAnsi="IRNazanin" w:eastAsia="IRNazanin" w:cs="IRNazanin"/>
          <w:lang w:bidi="fa-IR"/>
          <w:color w:val="111111"/>
          <w:sz w:val="28"/>
          <w:szCs w:val="28"/>
          <w:rtl/>
        </w:rPr>
        <w:t xml:space="preserve">قصیده در توحید و ستایش میر ابراهیم رفیعی؛ بی کا، تا: قرن ۲ ص ( ٢-٣) [نشریه: ۳ - ۳۳۰]</w:t>
      </w:r>
    </w:p>
    <w:p>
      <w:pPr>
        <w:pStyle w:val="BookText"/>
      </w:pPr>
      <w:r>
        <w:rPr>
          <w:rFonts w:ascii="IRNazanin" w:hAnsi="IRNazanin" w:eastAsia="IRNazanin" w:cs="IRNazanin"/>
          <w:lang w:bidi="fa-IR"/>
          <w:color w:val="111111"/>
          <w:sz w:val="28"/>
          <w:szCs w:val="28"/>
          <w:rtl/>
        </w:rPr>
        <w:t xml:space="preserve">۲۷. تهران؛ علوم پزشکی؛ شماره نسخه: ۲۳۸/۲۱</w:t>
      </w:r>
    </w:p>
    <w:p>
      <w:pPr>
        <w:pStyle w:val="BookText"/>
      </w:pPr>
      <w:r>
        <w:rPr>
          <w:rFonts w:ascii="IRNazanin" w:hAnsi="IRNazanin" w:eastAsia="IRNazanin" w:cs="IRNazanin"/>
          <w:lang w:bidi="fa-IR"/>
          <w:color w:val="111111"/>
          <w:sz w:val="28"/>
          <w:szCs w:val="28"/>
          <w:rtl/>
        </w:rPr>
        <w:t xml:space="preserve">آغاز: سواد مرثیه خواجه شرف الدین علی...؛ انجام: كرامت فرماید انشاء الله فعده العزيز</w:t>
      </w:r>
    </w:p>
    <w:p>
      <w:pPr>
        <w:pStyle w:val="BookText"/>
      </w:pPr>
      <w:r>
        <w:rPr>
          <w:rFonts w:ascii="IRNazanin" w:hAnsi="IRNazanin" w:eastAsia="IRNazanin" w:cs="IRNazanin"/>
          <w:lang w:bidi="fa-IR"/>
          <w:color w:val="111111"/>
          <w:sz w:val="28"/>
          <w:szCs w:val="28"/>
          <w:rtl/>
        </w:rPr>
        <w:t xml:space="preserve">سواد مرثیه صاحب اعظم خواجه شرف الدين على بن خواجه کمال الدین حسین سمنانی، خط: تحریری، بی کا، تا: قرن 9؛ 3ص (۳۸۴-۳۸۱) ۹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۲۶سم [ نشریه: ۳ - ۳۳۲]</w:t>
      </w:r>
    </w:p>
    <w:p>
      <w:pPr>
        <w:pStyle w:val="BookText"/>
      </w:pPr>
      <w:r>
        <w:rPr>
          <w:rFonts w:ascii="IRNazanin" w:hAnsi="IRNazanin" w:eastAsia="IRNazanin" w:cs="IRNazanin"/>
          <w:lang w:bidi="fa-IR"/>
          <w:color w:val="111111"/>
          <w:sz w:val="28"/>
          <w:szCs w:val="28"/>
          <w:rtl/>
        </w:rPr>
        <w:t xml:space="preserve">۲۸. تهران؛ مجلس؛ شماره نسخه: ۱۳۷۹۴/۲۰</w:t>
      </w:r>
    </w:p>
    <w:p>
      <w:pPr>
        <w:pStyle w:val="BookText"/>
      </w:pPr>
      <w:r>
        <w:rPr>
          <w:rFonts w:ascii="IRNazanin" w:hAnsi="IRNazanin" w:eastAsia="IRNazanin" w:cs="IRNazanin"/>
          <w:lang w:bidi="fa-IR"/>
          <w:color w:val="111111"/>
          <w:sz w:val="28"/>
          <w:szCs w:val="28"/>
          <w:rtl/>
        </w:rPr>
        <w:t xml:space="preserve">آغاز: آتشین لعلی که تاج خسروان را زیورست ***اخگری  بهرخیال خام پختن در سر است؛</w:t>
      </w:r>
    </w:p>
    <w:p>
      <w:pPr>
        <w:pStyle w:val="BookText"/>
      </w:pPr>
      <w:r>
        <w:rPr>
          <w:rFonts w:ascii="IRNazanin" w:hAnsi="IRNazanin" w:eastAsia="IRNazanin" w:cs="IRNazanin"/>
          <w:lang w:bidi="fa-IR"/>
          <w:color w:val="111111"/>
          <w:sz w:val="28"/>
          <w:szCs w:val="28"/>
          <w:rtl/>
        </w:rPr>
        <w:t xml:space="preserve">قصیده است ؛خط: نستعلیق بی کا، تا: قرن ۹؛ جلد: گالینگور قهوه ای ،اگ ۵۸ پ - ۵۹پ [ف: ۳۷ - ۳۳۸]</w:t>
      </w:r>
    </w:p>
    <w:p>
      <w:pPr>
        <w:pStyle w:val="BookText"/>
      </w:pPr>
      <w:r>
        <w:rPr>
          <w:rFonts w:ascii="IRNazanin" w:hAnsi="IRNazanin" w:eastAsia="IRNazanin" w:cs="IRNazanin"/>
          <w:lang w:bidi="fa-IR"/>
          <w:color w:val="111111"/>
          <w:sz w:val="28"/>
          <w:szCs w:val="28"/>
          <w:rtl/>
        </w:rPr>
        <w:t xml:space="preserve">۲۹. تهران؛ انجمن آثار و مفاخر فرهنگی؛ شماره نسخه: ۲۴/۸</w:t>
      </w:r>
    </w:p>
    <w:p>
      <w:pPr>
        <w:pStyle w:val="BookText"/>
      </w:pPr>
      <w:r>
        <w:rPr>
          <w:rFonts w:ascii="IRNazanin" w:hAnsi="IRNazanin" w:eastAsia="IRNazanin" w:cs="IRNazanin"/>
          <w:lang w:bidi="fa-IR"/>
          <w:color w:val="111111"/>
          <w:sz w:val="28"/>
          <w:szCs w:val="28"/>
          <w:rtl/>
        </w:rPr>
        <w:t xml:space="preserve">تتمه غزلیات اویس ؛خط: نستعلیق، بی کا، تا: قرن ۹؛ حاشیه، مجدول و مذهب و ممتاز کار هرات [ نشریه: ۷ - ۳]</w:t>
      </w:r>
    </w:p>
    <w:p>
      <w:pPr>
        <w:pStyle w:val="BookText"/>
      </w:pPr>
      <w:r>
        <w:rPr>
          <w:rFonts w:ascii="IRNazanin" w:hAnsi="IRNazanin" w:eastAsia="IRNazanin" w:cs="IRNazanin"/>
          <w:lang w:bidi="fa-IR"/>
          <w:color w:val="111111"/>
          <w:sz w:val="28"/>
          <w:szCs w:val="28"/>
          <w:rtl/>
        </w:rPr>
        <w:t xml:space="preserve">۳۰ .تهران؛ مجلس؛ شماره نسخه: ۹۴۹۷/۱</w:t>
      </w:r>
    </w:p>
    <w:p>
      <w:pPr>
        <w:pStyle w:val="BookText"/>
      </w:pPr>
      <w:r>
        <w:rPr>
          <w:rFonts w:ascii="IRNazanin" w:hAnsi="IRNazanin" w:eastAsia="IRNazanin" w:cs="IRNazanin"/>
          <w:lang w:bidi="fa-IR"/>
          <w:color w:val="111111"/>
          <w:sz w:val="28"/>
          <w:szCs w:val="28"/>
          <w:rtl/>
        </w:rPr>
        <w:t xml:space="preserve">اشعار و دوایر؛ خط: نستعلیق، بی کا، تا: قرن ۹؛ ۲گ (ار  -2) [مختصر: ف: - ۶۸]</w:t>
      </w:r>
    </w:p>
    <w:p>
      <w:pPr>
        <w:pStyle w:val="BookText"/>
      </w:pPr>
      <w:r>
        <w:rPr>
          <w:rFonts w:ascii="IRNazanin" w:hAnsi="IRNazanin" w:eastAsia="IRNazanin" w:cs="IRNazanin"/>
          <w:lang w:bidi="fa-IR"/>
          <w:color w:val="111111"/>
          <w:sz w:val="28"/>
          <w:szCs w:val="28"/>
          <w:rtl/>
        </w:rPr>
        <w:t xml:space="preserve">۳۱. تهران؛ دانشگاه؛ شماره نسخه: ۲۴/۳-ف</w:t>
      </w:r>
    </w:p>
    <w:p>
      <w:pPr>
        <w:pStyle w:val="BookText"/>
      </w:pPr>
      <w:r>
        <w:rPr>
          <w:rFonts w:ascii="IRNazanin" w:hAnsi="IRNazanin" w:eastAsia="IRNazanin" w:cs="IRNazanin"/>
          <w:lang w:bidi="fa-IR"/>
          <w:color w:val="111111"/>
          <w:sz w:val="28"/>
          <w:szCs w:val="28"/>
          <w:rtl/>
        </w:rPr>
        <w:t xml:space="preserve">نسخه اصل: موزه بریتانیا 27261 .</w:t>
      </w:r>
      <w:r>
        <w:rPr>
          <w:rFonts w:ascii="Times New Roman" w:hAnsi="Times New Roman" w:eastAsia="Times New Roman" w:cs="Times New Roman"/>
          <w:lang w:val="en-US" w:bidi="en-US"/>
          <w:color w:val="111111"/>
          <w:sz w:val="28"/>
          <w:szCs w:val="28"/>
          <w:rtl/>
        </w:rPr>
        <w:t xml:space="preserve">Add. </w:t>
      </w:r>
      <w:r>
        <w:rPr>
          <w:rFonts w:ascii="IRNazanin" w:hAnsi="IRNazanin" w:eastAsia="IRNazanin" w:cs="IRNazanin"/>
          <w:lang w:bidi="fa-IR"/>
          <w:color w:val="111111"/>
          <w:sz w:val="28"/>
          <w:szCs w:val="28"/>
          <w:rtl/>
        </w:rPr>
        <w:t xml:space="preserve">قصاید از چندین شاعر؛ خط: نسخ و نستعلیق، بی کا، تا: قرن ۹ [ فیلمها: ۱ - ۴۰۲]</w:t>
      </w:r>
    </w:p>
    <w:p>
      <w:pPr>
        <w:pStyle w:val="BookText"/>
      </w:pPr>
      <w:r>
        <w:rPr>
          <w:rFonts w:ascii="IRNazanin" w:hAnsi="IRNazanin" w:eastAsia="IRNazanin" w:cs="IRNazanin"/>
          <w:lang w:bidi="fa-IR"/>
          <w:color w:val="111111"/>
          <w:sz w:val="28"/>
          <w:szCs w:val="28"/>
          <w:rtl/>
        </w:rPr>
        <w:t xml:space="preserve">۳۲. تهران؛ مجلس؛ شماره نسخه: ۲۸۱/۷</w:t>
      </w:r>
    </w:p>
    <w:p>
      <w:pPr>
        <w:pStyle w:val="BookText"/>
      </w:pPr>
      <w:r>
        <w:rPr>
          <w:rFonts w:ascii="IRNazanin" w:hAnsi="IRNazanin" w:eastAsia="IRNazanin" w:cs="IRNazanin"/>
          <w:lang w:bidi="fa-IR"/>
          <w:color w:val="111111"/>
          <w:sz w:val="28"/>
          <w:szCs w:val="28"/>
          <w:rtl/>
        </w:rPr>
        <w:t xml:space="preserve">ترجیع بند است؛ خط: نسخ، بی کا، تا :قرن ۹؛ از اشرف؛ کاغذ: سفید، ۴گ (۲۷۹-۲۸۲)، ابعاد متن: 6</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۱ - ۱۴۰]</w:t>
      </w:r>
    </w:p>
    <w:p>
      <w:pPr>
        <w:pStyle w:val="BookText"/>
      </w:pPr>
      <w:r>
        <w:rPr>
          <w:rFonts w:ascii="IRNazanin" w:hAnsi="IRNazanin" w:eastAsia="IRNazanin" w:cs="IRNazanin"/>
          <w:lang w:bidi="fa-IR"/>
          <w:color w:val="111111"/>
          <w:sz w:val="28"/>
          <w:szCs w:val="28"/>
          <w:rtl/>
        </w:rPr>
        <w:t xml:space="preserve">۳۳. تهران؛ مجلس؛ شماره نسخه: ۲۸۱/۶</w:t>
      </w:r>
    </w:p>
    <w:p>
      <w:pPr>
        <w:pStyle w:val="BookText"/>
      </w:pPr>
      <w:r>
        <w:rPr>
          <w:rFonts w:ascii="IRNazanin" w:hAnsi="IRNazanin" w:eastAsia="IRNazanin" w:cs="IRNazanin"/>
          <w:lang w:bidi="fa-IR"/>
          <w:color w:val="111111"/>
          <w:sz w:val="28"/>
          <w:szCs w:val="28"/>
          <w:rtl/>
        </w:rPr>
        <w:t xml:space="preserve">از عراقی ترجیع بند است؛ خط: نسخ، بی کا، تا: قرن ۹؛ کاغذ:سفید، ۵گ (۲۷۵ -۲۷۹)، ابعاد متن: 6</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9</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سم [ ف: ۱-۱۴۰]</w:t>
      </w:r>
    </w:p>
    <w:p>
      <w:pPr>
        <w:pStyle w:val="BookText"/>
      </w:pPr>
      <w:r>
        <w:rPr>
          <w:rFonts w:ascii="IRNazanin" w:hAnsi="IRNazanin" w:eastAsia="IRNazanin" w:cs="IRNazanin"/>
          <w:lang w:bidi="fa-IR"/>
          <w:color w:val="111111"/>
          <w:sz w:val="28"/>
          <w:szCs w:val="28"/>
          <w:rtl/>
        </w:rPr>
        <w:t xml:space="preserve">۳۴. تهران؛ دانشگاه؛ شماره نسخه: ۴۴۱/۴۵-ف</w:t>
      </w:r>
    </w:p>
    <w:p>
      <w:pPr>
        <w:pStyle w:val="BookText"/>
      </w:pPr>
      <w:r>
        <w:rPr>
          <w:rFonts w:ascii="IRNazanin" w:hAnsi="IRNazanin" w:eastAsia="IRNazanin" w:cs="IRNazanin"/>
          <w:lang w:bidi="fa-IR"/>
          <w:color w:val="111111"/>
          <w:sz w:val="28"/>
          <w:szCs w:val="28"/>
          <w:rtl/>
        </w:rPr>
        <w:t xml:space="preserve">نسخه اصل: بایزید ولی الدین ش ۱۸۱۹. اشعاری از ابوالخیر و خیام وبلغراوی و مجلسی و اصمعی و چند قصیده و شعر دیگر (۳۰۱) با سر دعای مصطفی به ترکی و پراکنده های نظم و نثر ؛ بی کا، تا: قرن ۹ [ فیلمها: ۱ - ۴۷۶]</w:t>
      </w:r>
    </w:p>
    <w:p>
      <w:pPr>
        <w:pStyle w:val="BookText"/>
      </w:pPr>
      <w:r>
        <w:rPr>
          <w:rFonts w:ascii="IRNazanin" w:hAnsi="IRNazanin" w:eastAsia="IRNazanin" w:cs="IRNazanin"/>
          <w:lang w:bidi="fa-IR"/>
          <w:color w:val="111111"/>
          <w:sz w:val="28"/>
          <w:szCs w:val="28"/>
          <w:rtl/>
        </w:rPr>
        <w:t xml:space="preserve">۳۵. تهران؛ دانشگاه؛ شماره نسخه: ۱۹۳۰/۴</w:t>
      </w:r>
    </w:p>
    <w:p>
      <w:pPr>
        <w:pStyle w:val="BookText"/>
      </w:pPr>
      <w:r>
        <w:rPr>
          <w:rFonts w:ascii="IRNazanin" w:hAnsi="IRNazanin" w:eastAsia="IRNazanin" w:cs="IRNazanin"/>
          <w:lang w:bidi="fa-IR"/>
          <w:color w:val="111111"/>
          <w:sz w:val="28"/>
          <w:szCs w:val="28"/>
          <w:rtl/>
        </w:rPr>
        <w:t xml:space="preserve">آغاز: ای مظهر جمال تو مرآت کاینات *** وی جنبش صفات تو از مقتضای ذات؛ انجام: گر تو بیمار عشق جانانی *** قاسمی لاطبيب الا هو</w:t>
      </w:r>
    </w:p>
    <w:p>
      <w:pPr>
        <w:pStyle w:val="BookText"/>
      </w:pPr>
      <w:r>
        <w:rPr>
          <w:rFonts w:ascii="IRNazanin" w:hAnsi="IRNazanin" w:eastAsia="IRNazanin" w:cs="IRNazanin"/>
          <w:lang w:bidi="fa-IR"/>
          <w:color w:val="111111"/>
          <w:sz w:val="28"/>
          <w:szCs w:val="28"/>
          <w:rtl/>
        </w:rPr>
        <w:t xml:space="preserve">شعرهای «حضرت سید قاسم مدالله ظله».گویا شعرهایی که در گ 1ر هست و برای سراینده آنها «مدالله ظله» دارد از همو باشد؛ خط: نسخ، کا: سید نعمت الله درویش، تا: قرن ۹؛ کاغذ: سمرقندی نخودی، جلد: کالینگور سرخ، ۱ص (۶۱ پ)، ۷ سطر (9</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۸ - ۵۴۸ ]</w:t>
      </w:r>
    </w:p>
    <w:p>
      <w:pPr>
        <w:pStyle w:val="BookText"/>
      </w:pPr>
      <w:r>
        <w:rPr>
          <w:rFonts w:ascii="IRNazanin" w:hAnsi="IRNazanin" w:eastAsia="IRNazanin" w:cs="IRNazanin"/>
          <w:lang w:bidi="fa-IR"/>
          <w:color w:val="111111"/>
          <w:sz w:val="28"/>
          <w:szCs w:val="28"/>
          <w:rtl/>
        </w:rPr>
        <w:t xml:space="preserve">۳۶. تهران؛ مهدوی؛ شماره نسخه: ۲۷۵/۳</w:t>
      </w:r>
    </w:p>
    <w:p>
      <w:pPr>
        <w:pStyle w:val="BookText"/>
      </w:pPr>
      <w:r>
        <w:rPr>
          <w:rFonts w:ascii="IRNazanin" w:hAnsi="IRNazanin" w:eastAsia="IRNazanin" w:cs="IRNazanin"/>
          <w:lang w:bidi="fa-IR"/>
          <w:color w:val="111111"/>
          <w:sz w:val="28"/>
          <w:szCs w:val="28"/>
          <w:rtl/>
        </w:rPr>
        <w:t xml:space="preserve">مثنوی در احکام و حروف است؛ بی کا، تا: قرن ۹؛ کاغذ: سپاهانی [نشریه ۲ - ۱۰۲]</w:t>
      </w:r>
    </w:p>
    <w:p>
      <w:pPr>
        <w:pStyle w:val="BookText"/>
      </w:pPr>
      <w:r>
        <w:rPr>
          <w:rFonts w:ascii="IRNazanin" w:hAnsi="IRNazanin" w:eastAsia="IRNazanin" w:cs="IRNazanin"/>
          <w:lang w:bidi="fa-IR"/>
          <w:color w:val="111111"/>
          <w:sz w:val="28"/>
          <w:szCs w:val="28"/>
          <w:rtl/>
        </w:rPr>
        <w:t xml:space="preserve">۳۷. تهران؛ مجلس؛ شماره نسخه: ۲۷۶/۲- طباطبائی</w:t>
      </w:r>
    </w:p>
    <w:p>
      <w:pPr>
        <w:pStyle w:val="BookText"/>
      </w:pPr>
      <w:r>
        <w:rPr>
          <w:rFonts w:ascii="IRNazanin" w:hAnsi="IRNazanin" w:eastAsia="IRNazanin" w:cs="IRNazanin"/>
          <w:lang w:bidi="fa-IR"/>
          <w:color w:val="111111"/>
          <w:sz w:val="28"/>
          <w:szCs w:val="28"/>
          <w:rtl/>
        </w:rPr>
        <w:t xml:space="preserve">اشعاری است در معما از: خواجه عماد فقیه،بساطی، مولانا مظفر خانی ،آذری، مولانا محمو کوسه، مولانا شمس الدين ابوبكر یزدی، مولانا قوام الدین رحمه الله، مولانا علاء الدين بن عماد سلمه الله، مولانا قطب الدین محمد جشوی معمایی، خواجه سعد الدین شیرازی، مجد همگر، عصمت ؛خط: نستعلیق، بی کا، تا: قرن ۹؛ کاغذ:سمرقندی شکری زرد آهار مهره، جلد: تیماج یک لا، ۱۱گ (۱۷۷-۱۸۸)، قطع: رقعی،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۱۷/۵سم [ف: ۲۲-۸۷]</w:t>
      </w:r>
    </w:p>
    <w:p>
      <w:pPr>
        <w:pStyle w:val="BookText"/>
      </w:pPr>
      <w:r>
        <w:rPr>
          <w:rFonts w:ascii="IRNazanin" w:hAnsi="IRNazanin" w:eastAsia="IRNazanin" w:cs="IRNazanin"/>
          <w:lang w:bidi="fa-IR"/>
          <w:color w:val="111111"/>
          <w:sz w:val="28"/>
          <w:szCs w:val="28"/>
          <w:rtl/>
        </w:rPr>
        <w:t xml:space="preserve">۳۸. تهران؛ ملک؛ شماره نسخه: ۵۹۳۲/۹</w:t>
      </w:r>
    </w:p>
    <w:p>
      <w:pPr>
        <w:pStyle w:val="BookText"/>
      </w:pPr>
      <w:r>
        <w:rPr>
          <w:rFonts w:ascii="IRNazanin" w:hAnsi="IRNazanin" w:eastAsia="IRNazanin" w:cs="IRNazanin"/>
          <w:lang w:bidi="fa-IR"/>
          <w:color w:val="111111"/>
          <w:sz w:val="28"/>
          <w:szCs w:val="28"/>
          <w:rtl/>
        </w:rPr>
        <w:t xml:space="preserve">آغاز: نام حق بر زبان همی رانم *** که بجان دولتش همی / خالق رازق و رئوف رحیم*** مالک و صانع و قدیم و حکیم؛ انجام: جان بمهر لب لعل تو خدا داد بمن *** بخدا تا ندهد لعل تو فرمان ندهم</w:t>
      </w:r>
    </w:p>
    <w:p>
      <w:pPr>
        <w:pStyle w:val="BookText"/>
      </w:pPr>
      <w:r>
        <w:rPr>
          <w:rFonts w:ascii="IRNazanin" w:hAnsi="IRNazanin" w:eastAsia="IRNazanin" w:cs="IRNazanin"/>
          <w:lang w:bidi="fa-IR"/>
          <w:color w:val="111111"/>
          <w:sz w:val="28"/>
          <w:szCs w:val="28"/>
          <w:rtl/>
        </w:rPr>
        <w:t xml:space="preserve">اشعار خواجه جمال الدین سلمان است؛ خط: نستعلیق خوش، بی کا، تا: قرن ۹ ؛افتادگی: انجام؛ مجدول و مطلا؛ کاغذ: ترمه ،جلد: مشین قهوهای ضربی، ۱۷ سطر [ف: ۹ - ۱۱۰]</w:t>
      </w:r>
    </w:p>
    <w:p>
      <w:pPr>
        <w:pStyle w:val="BookText"/>
      </w:pPr>
      <w:r>
        <w:rPr>
          <w:rFonts w:ascii="IRNazanin" w:hAnsi="IRNazanin" w:eastAsia="IRNazanin" w:cs="IRNazanin"/>
          <w:lang w:bidi="fa-IR"/>
          <w:color w:val="111111"/>
          <w:sz w:val="28"/>
          <w:szCs w:val="28"/>
          <w:rtl/>
        </w:rPr>
        <w:t xml:space="preserve">۳۹. مشهد؛ رضوی؛ شماره نسخه: ۴۴۸۷</w:t>
      </w:r>
    </w:p>
    <w:p>
      <w:pPr>
        <w:pStyle w:val="BookText"/>
      </w:pPr>
      <w:r>
        <w:rPr>
          <w:rFonts w:ascii="IRNazanin" w:hAnsi="IRNazanin" w:eastAsia="IRNazanin" w:cs="IRNazanin"/>
          <w:lang w:bidi="fa-IR"/>
          <w:color w:val="111111"/>
          <w:sz w:val="28"/>
          <w:szCs w:val="28"/>
          <w:rtl/>
        </w:rPr>
        <w:t xml:space="preserve">آغاز: متن روم و حبش مگوی مه و مهر نی چگوی *** سلاخ شاه و بندکش خام پخته چش ... هامش: لمولانا شرف الدين شفروه: آنک نمودی بزخم ناوک انگشت *** از سپر ماه چار ده دو کمان  را؛ انجام: متن شعری است شامل ۲۲ بیت که مدور نوشته شده است. هامش: چو عیسی تا توانی خفت بی جفت *** مده نقد تجرد را ز کف مفت</w:t>
      </w:r>
    </w:p>
    <w:p>
      <w:pPr>
        <w:pStyle w:val="BookText"/>
      </w:pPr>
      <w:r>
        <w:rPr>
          <w:rFonts w:ascii="IRNazanin" w:hAnsi="IRNazanin" w:eastAsia="IRNazanin" w:cs="IRNazanin"/>
          <w:lang w:bidi="fa-IR"/>
          <w:color w:val="111111"/>
          <w:sz w:val="28"/>
          <w:szCs w:val="28"/>
          <w:rtl/>
        </w:rPr>
        <w:t xml:space="preserve">قسمتی است بی سروته و منتحل از نیمه اول «مونس الاحرار في دقايق الاشعار» تأليف محمد بن بدر جاجرمی در ۷۴۱ق، با اضافات و الحاقاتی از آثار ابن یمین و ناصر بخاری و سلمان ساوجی و کمال خجندی شعرای قرن هشتم تا اوایل قرن نهم با حذف قسمت هایی از اشعار مونس الاحرار بدون ذکر فصول و ابواب ولی تقریباً به ترتیب همان کتاب، بعضی منتخبات از اشعار قدما که جزو سقطات نسخه های موجود مونس الاحرارست در این نسخه</w:t>
      </w:r>
    </w:p>
    <w:p>
      <w:pPr>
        <w:pStyle w:val="BookText"/>
      </w:pPr>
      <w:r>
        <w:rPr>
          <w:rFonts w:ascii="IRNazanin" w:hAnsi="IRNazanin" w:eastAsia="IRNazanin" w:cs="IRNazanin"/>
          <w:lang w:bidi="fa-IR"/>
          <w:color w:val="111111"/>
          <w:sz w:val="28"/>
          <w:szCs w:val="28"/>
          <w:rtl/>
        </w:rPr>
        <w:t xml:space="preserve">دیده می شود. فهرست مندرجات و عناوین: ۱ -متن مولانا اثیرالدین جاجرمی، افضل الشعرا كمال الدين اسمعيل في النعت ( ص ١)، ملک الشعراء و الافاضل جمال الدین عبدالرزاق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الاصفهانى فى النعت (ص۳)، مولانا جمال الدین سلمان فرماید فی النعت (ص5) ،مولانا فریدالدین احول (ص۶)، حکیم سنایی فرماید، خواجو کرمانی فرماید فی النعت، و ايضاً له فى النعت ( ص7 )، مولانا شرف الدین شفروه فرماید (ص ۸) ، لمولانا سلمان في المنقبت اميرالمؤمنين على (علیه السّلام)، و له ايضاً في مرثیه اميرالمؤمنين حسین (علیه السّلام)، (ص۹) خواجو کرمانی فرماید،فی المنقبت (ص ۱۰)، و له فى منقبته فى الترجيع كرم الله وجهه، ص (۱۲)، در منقبت امیرالمؤمنین خواجور است، مولانا سعیدالدین هروی (ص۱۴)، و ايضاً في منقبت امیرالمؤمنين كرم الله وجهه، (ص ۱۵)، حمزه کوچک فرماید در منقبت، و له في منقـبت امير المؤمنين (علیه السّلام) (ص ۱۶) ، موعظه کمال الدين اسمعيل فرمـاید (ص ۱۷)، خواجه جمال الدین سلمان فرماید (ص۱۹)، نجـیب الدين الجربادقانی فرماید (ص ۲۰)، رفیع الدین اللنبانی فرماید (ص ۲۱)، افضل الشعرا كمال الدين اسمعیل فرماید (ص 22)،مولانا جمال الدين سلمان فرماید (ص۲۳)، سلطان الشعرا كـمال الدين اسمعیل فرماید (ص۲۴)،امیر الكلام اثیر الدین اومانی (ص ۲۵)، افضل الشعر ارشيد الدين وطواط (ص ۲۶) ، افضل الشـعرا ظهیر الفاریابی فرماید (ص۲۷)، مولانا بدر الدين الجاجرمی فرماید، مولانا شرف الدين التبريزى فرماید (ص۲۹)، حکیم سنـایی عليه الرحمه فرمايد (ص ۳۰)، مولانا کمال الدین خواجو كرمـانی فرماید (ص۳۲)، ملک الشعرا حكيم انوری فرماید (ص34)، المولانا كمال الدين اسمعيل (ص۳۸) ، لمولانا رفيع الدين لنبـانی (ص ۴۰)، نجیب الدين الجربادقانی (ص ۴۱)، کمال الدین اسمعیل فرماید در بهاریات (ص ۴۲)، حکیم انوری در بهاریات فرماید (ص ۴۳)، فرید احول اندر خزانیات فرماید (ص۴۴)، و له ايضاً فی المعنی، (ص ۴۵)، خواجه جمال الدین سلمان فرماید، مولانا جـمال الدين سلمان فرماید (ص۴۷)، مولانا شمس طبس فرماید، مولانا سعيدالدين الهروی فرماید (ص ۴۸)، ترجیعات عراقی (ص 49) ،ملک الشعرا کمال الدین خواجو فرماید ( ص ۵۲)، افضل الشـعرا كمال الدين اسمعيل فرمايد فى الترجيع، (ص ۵۴)، مولانا جمال الدین زرکوب فرماید، (ص ۵۵)، سید جمال الدین کاشی فرماید فى الترجيع، (ص ۵۷)، مولانا جمال الدین سلمان فرماید الترجيع، (ص ۵۸)، افضل المتأخرين ناصرالدین بخاری (ص62)، من كلام شيخ فخرالدین عراقی علیه الرحمه فى الترجيع (ص63)، ايضاً له في مدح فخرالملک طاهر طاب ثراه، (ص۶۷)، استاد الشعرا قوامی گنجه فرماید فی ترجمة اسامى الصناعات في حدایق و دقايق الشعر (ص۶۹)، مولانا بدرالدین الجاجرمی فرماید،این قصيده متقاطع است، چون از مصراع آخر آنچه بسرخی نبشته است با مصرع اول جمع کنی دو بیتی شود (ص ۷۱)، ايضاً له این قصیده به سه شکل می توان خواند، مثنوی و مصرع و راست (ص ۷۲)، مختاری الغزنوی فرماید در تقسیم مسلسل (ص 72)، ملک الشعرا قوامی گنجه فرماید در تقسیم مسلسل (ص73)، استاد الشعرا اعسجدی فرماید در تکرر (ص ۷۳) فلكى الشروانی فرماید علیه الرحمه، ادیب طبری فرماید (ص۷۴) ملک الشعر الامعى الجرجانی فرماید ،فرید الدین احول الاسفراینی فرماید (ص ۷۵)، صنعت مسمط عبد الواسع فرماید (ص۷۶)، مسعود سعد سلمان فرماید، رشیدالدین وطواط فرماید در صنعت مرصع ( ص ۷۷)، سید عزالدین فرماید، مولانا فریدالدین احول فرماید اندر تجنيس تام (ص۷۸)، مولانا بدرالدين الجاجرمى فرماید، چون از مصراع آخر آنچه به سرخی نبشته با مصرع اول جمع کنی دو بیتی شود، این قصیده متقاطع است، جمال الدين السمرقندى فرماید، چون از مصراع آخر آنچه به طلا نبشته با اول جمع کنی، (كذا)، رشيد وطواط فرماید (ص ۷۹)، مولانا بدر جاجرمی فرماید، و از یک شکل بر می توان خواند بهفت قافیه، ایضاً از بیست و یک شکل بر می توان خواند به هفت قافیه، در مدح صاحب دیوان طاب مثواه (ص ۸۰) ، حکیم قطران گوید در ذکر تجنیسات و مکررات ص (۸۱)، ملک الشعرا فرخی سجزی گوید در سؤال و جواب (ص ۸۲ )،امیر معزی فرماید در صنعت سؤال و جواب (ص۸۲)، اندر صنعت موقوف طنطری فرماید (ص ۸۳)، شهاب الدین مهمره فرماید محذوف الالف، رشیدالدین وطواط محذوف الالف ( ص ۸۴)، مجیرالدین البیلقانی فرماید محذوف نقط، افضل المتأخرين فضل الله القزوینی فرماید رحمه الله، محذوف نقط، استاد فرخاری فرماید در صنعت مسمط علیه الرحمه (ص ۸۵)، صنعت منقوطه لواحد من الشعرا، و ايضاً لاادري قايله، صنعت مقطع سید حسن راست، نجم الدین محمود خطاط فرماید به پنج نوع می توان خواندن بلکه زیادت، طلا باهم ضم كند (ص۸۶)، این صنعت امیر معزی راست، چون با طلا بخوانی رمل مثمن محذوف باشد، و بی طلا رمل مسدس محذوف، و چون طلاها جدا بخوانی بیتی بود از رجز مسجع (ص ۸۷)، فصیح الدین فرماید و کلمه شهادت ازین بر میخیزد، فخرالدین کندانی فرماید فی المعنى، ازین قطعه، قطعه ای بر سبیل توشیح برمی خیزد، و از قطعه رباعی و از رباعی اسم و القاب ممدوح، و «فخر» لازمست در هر بیتی، در غایت حسن گفته است، قطعه دوم این است که از قطعه اول بر می خیزد، رباعی این است که از قطعه اول بر می خیزد (ص ۸۸)، مولانا كمال الدين اسمعيل فرماید لازم موی (ص۸۹)، مولانا جمال الدين سلمان در لازم موی فرماید (ص۹۰)، افضل الشعرا سعيد الهروى فرماید درین معنی (ص ۹۱)، عزالدین مستملی فرماید در لزوم چشم و لب و بادام و شکر، سوزنی سمرقندی فرماید در لزوم زر، سیفی نیشابوری فرماید، لازم سنگ  و سیم [قصیده ای است مصنوع نظیر قصیده سلمان ساوجی که در ستایش شمس الدین حسین وزیر گفته شده و جای عنوان آن نانویس   مانده است] (ص۹۳)،</w:t>
      </w:r>
    </w:p>
    <w:p>
      <w:pPr>
        <w:pStyle w:val="BookText"/>
      </w:pPr>
      <w:r>
        <w:rPr>
          <w:rFonts w:ascii="IRNazanin" w:hAnsi="IRNazanin" w:eastAsia="IRNazanin" w:cs="IRNazanin"/>
          <w:lang w:bidi="fa-IR"/>
          <w:color w:val="111111"/>
          <w:sz w:val="28"/>
          <w:szCs w:val="28"/>
          <w:rtl/>
        </w:rPr>
        <w:t xml:space="preserve">این قصیده ملک الشعرا قوام الدين ذوالفقار است، و این القاب برسبیل توشیح از اول قصیده برمی خیزد: جناب صدر اعظم صاحب معظم قدوه اکابر عرب و عجم مربی افاضل سادات آفاق دستور عراقين كهف البنوى نظام ایران فخرالدنیا و الدين محمد الماسترى ضاعف الله اقباله قبله دولت باد و قصیده
</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اینست، مفاتيح الكلام فى مدايح الكرام نام نهاده شده (ص97)، من سعدى (ص ۱۰۲) ،نونویس، ۲ -هامش: قسمت الف لمولانا شرف الدين شفروه، لمولانا سراج الدين البلخى، لأثير الدین اخسيكتى، لمولانا مجیر البیلقانی، شیخ سعدی فرماید،من ويسر و رامین (ص ۱)، در مذمت دنیا و ترک آن گوید، ظهیرالدین الفاریابی، مسعود سعد، سنایی فرماید (ص ۲)، من شاهنامه، وله فردوسی فرماید، در کار آخرت، شاهنامه (ص۳)، حکیم انور[ی] گوید در عزلت و قناعت، و له فى القناعة، ايضاً في العزلة (ص4)، ايضاً فى القناعة، الفيا في المعنى، ايضاً فى العزلة، در قناعت گوید (ص ۵)، مولانا كمال الدین اسمعیل فرماید در نصایح و مواعـظ، فى النصيحة (ص۶) ،من شاهنامه در نیکویی، هم در نصیحت، هم در پند و نصیحت، در رعایت مردم (ص ٧ )، مولانا ظهیرالدین الفاریابی فرماید در گردش روزگار و حوادث آن، ابن یمین راست (ص۸)، مولانا كمال الدين الخجندی فرماید (ص ۱۰)،</w:t>
      </w:r>
    </w:p>
    <w:p>
      <w:pPr>
        <w:pStyle w:val="BookText"/>
      </w:pPr>
      <w:r>
        <w:rPr>
          <w:rFonts w:ascii="IRNazanin" w:hAnsi="IRNazanin" w:eastAsia="IRNazanin" w:cs="IRNazanin"/>
          <w:lang w:bidi="fa-IR"/>
          <w:color w:val="111111"/>
          <w:sz w:val="28"/>
          <w:szCs w:val="28"/>
          <w:rtl/>
        </w:rPr>
        <w:t xml:space="preserve">3- هامش، قسمت .ب. (کاتب این قسمت تا آخر کتاب غیر از کاتب دو قسمت گذشته است): من خیام ،من جامی، خیام،لاادری (ص ۱۵)، یوسف و زلیخا جامی با سر لوح کوچک و بی عنوان (ص ۱۶-۹۲) ، و (ص ۱۰۱-۱۰۲)، نان و حلوای شیخ بهائی، ناقـص الآخر، با سر لوح کوچک (ص۹۲-۱۰۰)، ورق آخر كتاب باید بعد از صفحه ۸۸ قرار گیرد که جزو یوسف و زلیخای جامی است؛ خط: نستعلیق، بی کا، تا: نیمه اول قرن ۹؛ متن و هامـش قسمت (الف) نستعلیق معمول نیمه اول قرن نهم، هامش قسمت (ب) نستعلیق تحریری از اوایل قرن دوازدهم؛ مجدول، گوشه ها گل و بوته زرین، دارای یک سر لوح؛ واقف: نایینی؛ کاغذ: شکری آهار مهره، جلد: تیماج لاکی، ۵۱گ، هر صفحه به  طور متوسط یک صد بیت در شش ستون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/٣٣/٣</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۲۱/۸سم [ف: ۷ - ۸۰۴]</w:t>
      </w:r>
    </w:p>
    <w:p>
      <w:pPr>
        <w:pStyle w:val="BookText"/>
      </w:pPr>
      <w:r>
        <w:rPr>
          <w:rFonts w:ascii="IRNazanin" w:hAnsi="IRNazanin" w:eastAsia="IRNazanin" w:cs="IRNazanin"/>
          <w:lang w:bidi="fa-IR"/>
          <w:color w:val="111111"/>
          <w:sz w:val="28"/>
          <w:szCs w:val="28"/>
          <w:rtl/>
        </w:rPr>
        <w:t xml:space="preserve">40.تهران؛ ملک؛ شماره نسخه: ۵۲۲۶</w:t>
      </w:r>
    </w:p>
    <w:p>
      <w:pPr>
        <w:pStyle w:val="BookText"/>
      </w:pPr>
      <w:r>
        <w:rPr>
          <w:rFonts w:ascii="IRNazanin" w:hAnsi="IRNazanin" w:eastAsia="IRNazanin" w:cs="IRNazanin"/>
          <w:lang w:bidi="fa-IR"/>
          <w:color w:val="111111"/>
          <w:sz w:val="28"/>
          <w:szCs w:val="28"/>
          <w:rtl/>
        </w:rPr>
        <w:t xml:space="preserve">جنگ اشعار است شامل: ۱. گزیده از غزلیات مولانا جلال الد محمدبلخی (۱پ-5پ) ،۲. گزیده از اشعار شیخ فریدالدین عـطار نیشابوری (۶ پ-11ر) ، ۳. گزیده از اشعار احمد، غزلیاتی است با تخلص احمد (احمد جام). آغاز: «دلی کو محرم سر الاهست*** یقین در هر دو عالم پادشاهست» (۱۱پ-۱۲پ)، ۴. گزیده غزلیات سعدی شیرازی (۱۳ پ - ۴۰ر)، ۵. گزیده غزلیات سلمان ساوجی ( ۴۰ پ -۸۰ر) ،۶ .گزیده غزلیات حافظ شیرازی (۸۰پ- ۱۰۴ر)، ۷. گزیده غزلیات کمال خجندی، سپس چند مستزاد و باز غزلیات (۱۰۴پ-۱۴۴ر)، ۸ .گزیده غزلیات امیر خسرو دهلوی (۱۴۴پ - ۱۷۰ر) ،۹. گزیده غزلیات حسن دهلوی (۱۷۰پ -۱۸۶ر)، ۱۰. گزیده غزلیات خواجه عماد فقیه (۱۸۶ پ-۲۰۳ر) ،۱۱. گزیده غزلیات خواجه کرمانی (۲۲۲ر-۲۰۳پ)، ۱۲. من کلام جلال- دو غزل است با تخلص جلال (شاید جلال عضد)، آغاز: روزی کزین سراچه سفلی گذر کنم*** آنکه بسوی عالم علوی گذر کنم (۲۲۲پ -۲۲۳ر)، ۱۳. گزیده غزلیات آذری (۲۲۳پ-  ۲۲۶ ر)، ۱۴. اشعار مرشدی و خسرو (۲۲۸پ)، ۱۵. اشعار امیر شاهی ده غزل و یک قصیده (۲۲۹ ر - (۲۳۳ر)، ۱۶. گزیده غزلیات قاسم انوار (۲۳۳ پ-۲۴۱ر) ،۱۷. گزیده اشعار خواجه عصمت بخارایی (۲۴۱پ-۲۵۸ ر)، ۱۸. گزیده غزلیات آذری و یک قصیده او (۲۵۸ پ - ۲۷۵ ر)، ۱۹. از اشعار امیر شاهی، دو غزل (۲۷۵پ)، ۲۰. از اشعار بساطی سمرقندی (۲۷۶ ر-۲۷۶پ)، ۲۱. از اشعار ظهیر فاریابی (۱۷۴ر-۲۷۴پ)؛ خط: نستعلیق، بی کا، تا: قرن ۹؛ برخی از بخش های بیست گانه این جنگ صورت دیوانی مستقل و یا گزیده ای از دیوان شاعر دارد؛ کاغذ: نوعی ترمه ،جلد: میشن قهوه ای، ۲۷۰ گ، ۱۳ سطر، اندازه: ۱۶/۳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۱۲۴/۵سم</w:t>
      </w:r>
    </w:p>
    <w:p>
      <w:pPr>
        <w:pStyle w:val="BookText"/>
      </w:pPr>
      <w:r>
        <w:rPr>
          <w:rFonts w:ascii="IRNazanin" w:hAnsi="IRNazanin" w:eastAsia="IRNazanin" w:cs="IRNazanin"/>
          <w:lang w:bidi="fa-IR"/>
          <w:color w:val="111111"/>
          <w:sz w:val="28"/>
          <w:szCs w:val="28"/>
          <w:rtl/>
        </w:rPr>
        <w:t xml:space="preserve">[ف: ۸ - ۲۴۹]</w:t>
      </w:r>
    </w:p>
    <w:p>
      <w:pPr>
        <w:pStyle w:val="BookText"/>
      </w:pPr>
      <w:r>
        <w:rPr>
          <w:rFonts w:ascii="IRNazanin" w:hAnsi="IRNazanin" w:eastAsia="IRNazanin" w:cs="IRNazanin"/>
          <w:lang w:bidi="fa-IR"/>
          <w:color w:val="111111"/>
          <w:sz w:val="28"/>
          <w:szCs w:val="28"/>
          <w:rtl/>
        </w:rPr>
        <w:t xml:space="preserve">۴۱. قم؛ مرعشی؛ شماره نسخه: بدون شماره /ح</w:t>
      </w:r>
    </w:p>
    <w:p>
      <w:pPr>
        <w:pStyle w:val="BookText"/>
      </w:pPr>
      <w:r>
        <w:rPr>
          <w:rFonts w:ascii="IRNazanin" w:hAnsi="IRNazanin" w:eastAsia="IRNazanin" w:cs="IRNazanin"/>
          <w:lang w:bidi="fa-IR"/>
          <w:color w:val="111111"/>
          <w:sz w:val="28"/>
          <w:szCs w:val="28"/>
          <w:rtl/>
        </w:rPr>
        <w:t xml:space="preserve">قصائد؛ خط: نستعلیق، بی کا، تا: نیمه دوم قرن ۹؛ بدون آغاز و انجام؛ جلد: تیماج قهوه ای ضربی با ترنج و سرترنج، قطع: جیبی  [میراث شهاب: س ۷ ش ۱-۲- ۳۹]</w:t>
      </w:r>
    </w:p>
    <w:p>
      <w:pPr>
        <w:pStyle w:val="BookText"/>
      </w:pPr>
      <w:r>
        <w:rPr>
          <w:rFonts w:ascii="IRNazanin" w:hAnsi="IRNazanin" w:eastAsia="IRNazanin" w:cs="IRNazanin"/>
          <w:lang w:bidi="fa-IR"/>
          <w:color w:val="111111"/>
          <w:sz w:val="28"/>
          <w:szCs w:val="28"/>
          <w:rtl/>
        </w:rPr>
        <w:t xml:space="preserve">۴۲. تهران؛ مجلس؛ شماره نسخه: ۹۰۱/۶</w:t>
      </w:r>
    </w:p>
    <w:p>
      <w:pPr>
        <w:pStyle w:val="BookText"/>
      </w:pPr>
      <w:r>
        <w:rPr>
          <w:rFonts w:ascii="IRNazanin" w:hAnsi="IRNazanin" w:eastAsia="IRNazanin" w:cs="IRNazanin"/>
          <w:lang w:bidi="fa-IR"/>
          <w:color w:val="111111"/>
          <w:sz w:val="28"/>
          <w:szCs w:val="28"/>
          <w:rtl/>
        </w:rPr>
        <w:t xml:space="preserve">غزليات نعمة الله مدظله و یک غزل از مغربی و شعری در توحید و سه ص نثر فارسی؛ خط: نستعلیق، بی کا، تا: قرن ۹؛ کاغذ: سفید ،جلد: تیماج مشکی و مقوایی، ۹ص (۲۰۷-۲۱۵)، ابعاد متن: 7</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:[سنا: ف: ۲ - ۸۸]</w:t>
      </w:r>
    </w:p>
    <w:p>
      <w:pPr>
        <w:pStyle w:val="BookText"/>
      </w:pPr>
      <w:r>
        <w:rPr>
          <w:rFonts w:ascii="IRNazanin" w:hAnsi="IRNazanin" w:eastAsia="IRNazanin" w:cs="IRNazanin"/>
          <w:lang w:bidi="fa-IR"/>
          <w:color w:val="111111"/>
          <w:sz w:val="28"/>
          <w:szCs w:val="28"/>
          <w:rtl/>
        </w:rPr>
        <w:t xml:space="preserve">۴۳. تهران؛ دانشگاه؛ شماره نسخه: ۸۵۲۵</w:t>
      </w:r>
    </w:p>
    <w:p>
      <w:pPr>
        <w:pStyle w:val="BookText"/>
      </w:pPr>
      <w:r>
        <w:rPr>
          <w:rFonts w:ascii="IRNazanin" w:hAnsi="IRNazanin" w:eastAsia="IRNazanin" w:cs="IRNazanin"/>
          <w:lang w:bidi="fa-IR"/>
          <w:color w:val="111111"/>
          <w:sz w:val="28"/>
          <w:szCs w:val="28"/>
          <w:rtl/>
        </w:rPr>
        <w:t xml:space="preserve">غزل ها است به ترتیب تهجی (دیباچه دیوان شمس ج ۱ ش ۱۰). آغاز در حرف الف و انجام در حرف ياء افتاده؛ خط: نسخ،  بی کا، تا: قرن ۸ و ۹ ؛ افتادگی: آغاز و انجام، مجدول؛ كاغذ: سمرقندی رنگارنگ ،جلد: تیماج عنابی لایی گرد و عطف تریاکی، ۱۸۱گ، ۲۱ سطر (۵/۷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 قطع: بیاضی ،وزیری،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۱۷ - ۱۵۴]</w:t>
      </w:r>
    </w:p>
    <w:p>
      <w:pPr>
        <w:pStyle w:val="BookText"/>
      </w:pPr>
      <w:r>
        <w:rPr>
          <w:rFonts w:ascii="IRNazanin" w:hAnsi="IRNazanin" w:eastAsia="IRNazanin" w:cs="IRNazanin"/>
          <w:lang w:bidi="fa-IR"/>
          <w:color w:val="111111"/>
          <w:sz w:val="28"/>
          <w:szCs w:val="28"/>
          <w:rtl/>
        </w:rPr>
        <w:t xml:space="preserve">۴۴. تهران؛ مجلس؛ شماره نسخه: ۲۸۱/۹</w:t>
      </w:r>
    </w:p>
    <w:p>
      <w:pPr>
        <w:pStyle w:val="BookText"/>
      </w:pPr>
      <w:r>
        <w:rPr>
          <w:rFonts w:ascii="IRNazanin" w:hAnsi="IRNazanin" w:eastAsia="IRNazanin" w:cs="IRNazanin"/>
          <w:lang w:bidi="fa-IR"/>
          <w:color w:val="111111"/>
          <w:sz w:val="28"/>
          <w:szCs w:val="28"/>
          <w:rtl/>
        </w:rPr>
        <w:t xml:space="preserve">شعر و بندی به نثر فارسی است؛ بی کا، تا: قرن ۹ ؛کاغذ: سفید، جلد: تیماج قهوه ای ضربی مقوایی نو، ۳ ص (289- 291)، ابعاد متن: 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اندازه: 9</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سم [سنا: ف: ۱ - ۱۴۰]</w:t>
      </w:r>
    </w:p>
    <w:p>
      <w:pPr>
        <w:pStyle w:val="BookText"/>
      </w:pPr>
      <w:r>
        <w:rPr>
          <w:rFonts w:ascii="IRNazanin" w:hAnsi="IRNazanin" w:eastAsia="IRNazanin" w:cs="IRNazanin"/>
          <w:lang w:bidi="fa-IR"/>
          <w:color w:val="111111"/>
          <w:sz w:val="28"/>
          <w:szCs w:val="28"/>
          <w:rtl/>
        </w:rPr>
        <w:t xml:space="preserve">۴۵. تهران؛ مجلس؛ شماره نسخه: ۱۳۷۹۴/۲۳</w:t>
      </w:r>
    </w:p>
    <w:p>
      <w:pPr>
        <w:pStyle w:val="BookText"/>
      </w:pPr>
      <w:r>
        <w:rPr>
          <w:rFonts w:ascii="IRNazanin" w:hAnsi="IRNazanin" w:eastAsia="IRNazanin" w:cs="IRNazanin"/>
          <w:lang w:bidi="fa-IR"/>
          <w:color w:val="111111"/>
          <w:sz w:val="28"/>
          <w:szCs w:val="28"/>
          <w:rtl/>
        </w:rPr>
        <w:t xml:space="preserve">آغاز: آورد بمن قاصد فرخنده پیامی *** حق النظرى مختصرى عرض سلامی/ مرقوم در آن حاشیه اعجوبه کلامی*** کز شوق  همان میدهمش خط بغلامی</w:t>
      </w:r>
    </w:p>
    <w:p>
      <w:pPr>
        <w:pStyle w:val="BookText"/>
      </w:pPr>
      <w:r>
        <w:rPr>
          <w:rFonts w:ascii="IRNazanin" w:hAnsi="IRNazanin" w:eastAsia="IRNazanin" w:cs="IRNazanin"/>
          <w:lang w:bidi="fa-IR"/>
          <w:color w:val="111111"/>
          <w:sz w:val="28"/>
          <w:szCs w:val="28"/>
          <w:rtl/>
        </w:rPr>
        <w:t xml:space="preserve">مخمس فارسی؛ خط: نستعلیق، بی کا، تا: قرن ۹؛ جلد: گالینگور قهوه ای، ۱گ (۷۴-۷۵) [ف: ۳۷ - ۳۳۸]</w:t>
      </w:r>
    </w:p>
    <w:p>
      <w:pPr>
        <w:pStyle w:val="BookText"/>
      </w:pPr>
      <w:r>
        <w:rPr>
          <w:rFonts w:ascii="IRNazanin" w:hAnsi="IRNazanin" w:eastAsia="IRNazanin" w:cs="IRNazanin"/>
          <w:lang w:bidi="fa-IR"/>
          <w:color w:val="111111"/>
          <w:sz w:val="28"/>
          <w:szCs w:val="28"/>
          <w:rtl/>
        </w:rPr>
        <w:t xml:space="preserve">۴۶. تهران؛ مجلس؛ شماره نسخه: ۷۶۸۵</w:t>
      </w:r>
    </w:p>
    <w:p>
      <w:pPr>
        <w:pStyle w:val="BookText"/>
      </w:pPr>
      <w:r>
        <w:rPr>
          <w:rFonts w:ascii="IRNazanin" w:hAnsi="IRNazanin" w:eastAsia="IRNazanin" w:cs="IRNazanin"/>
          <w:lang w:bidi="fa-IR"/>
          <w:color w:val="111111"/>
          <w:sz w:val="28"/>
          <w:szCs w:val="28"/>
          <w:rtl/>
        </w:rPr>
        <w:t xml:space="preserve">آغاز: بسعد اختر میمون مظفر گشت بر اعدا *** قلج طمغاج خان مسعود ركن دين و الدنيا/ قلج طمغاج خان مسعود رکن الدین و الدنيا *** بسعد اختر میمون مظفر گشت اعدا؛ انجام: الا تا بهنگام باد مخالف *** سراپای بحر مقعر بلرزد / تو را آبرو باد کز یاد خشمت *** نهم آسیای مدور بلرزد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جنگی است در قطع بیاضی، منتخب از اشعار شعرای زیر: حکیم سوزنی ،سعدی ،ابوالفرج خاقانی، حکیم انوری، کمال اسماعيل، سلمان ساوجی ،خواجوی کرمانی و خواجه حافظ شیرازی؛ خـط: نستعلیق، بی کا، تا: ظاهراً قرن ۹؛ مجدول مذهب، سر صفحه بعض صفحات کتیبه مذهب مرصع، توسط میرزا مشتری شاعر به تاریخ  ۱۲۹۰ بازسازی شده و صفحات به خط او نونویس ؛جلد تیماج قهوه ای مجدول ، ۲۰۷گ، ۱۴ سطر، اندازه: ۹/۵</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۱۸سم [ف: 26- 180  ]</w:t>
      </w:r>
    </w:p>
    <w:p>
      <w:pPr>
        <w:pStyle w:val="BookText"/>
      </w:pPr>
      <w:r>
        <w:rPr>
          <w:rFonts w:ascii="IRNazanin" w:hAnsi="IRNazanin" w:eastAsia="IRNazanin" w:cs="IRNazanin"/>
          <w:lang w:bidi="fa-IR"/>
          <w:color w:val="111111"/>
          <w:sz w:val="28"/>
          <w:szCs w:val="28"/>
          <w:rtl/>
        </w:rPr>
        <w:t xml:space="preserve">۴۷. تهران؛ سلطنتی؛ شماره نسخه: ۲۱۸۴</w:t>
      </w:r>
    </w:p>
    <w:p>
      <w:pPr>
        <w:pStyle w:val="BookText"/>
      </w:pPr>
      <w:r>
        <w:rPr>
          <w:rFonts w:ascii="IRNazanin" w:hAnsi="IRNazanin" w:eastAsia="IRNazanin" w:cs="IRNazanin"/>
          <w:lang w:bidi="fa-IR"/>
          <w:color w:val="111111"/>
          <w:sz w:val="28"/>
          <w:szCs w:val="28"/>
          <w:rtl/>
        </w:rPr>
        <w:t xml:space="preserve">آغاز: ای صفت تو بیانها را زبان انداخته *** عزت ذاتت يقين را گمان انداخته؛ انجام: ممتع باشی از بخت و جوانی *** فزون دربادت همیشه کامرانی. تم.</w:t>
      </w:r>
    </w:p>
    <w:p>
      <w:pPr>
        <w:pStyle w:val="BookText"/>
      </w:pPr>
      <w:r>
        <w:rPr>
          <w:rFonts w:ascii="IRNazanin" w:hAnsi="IRNazanin" w:eastAsia="IRNazanin" w:cs="IRNazanin"/>
          <w:lang w:bidi="fa-IR"/>
          <w:color w:val="111111"/>
          <w:sz w:val="28"/>
          <w:szCs w:val="28"/>
          <w:rtl/>
        </w:rPr>
        <w:t xml:space="preserve">در پایان فردیات رقم کاتب چنین است: «كتبه العبد الضعيف علی سبيل الاستعجال المحتاج الى عفو ربه الرووف معروف احسن الله حاله و الحمد الله رب العالمين. تم»</w:t>
      </w:r>
    </w:p>
    <w:p>
      <w:pPr>
        <w:pStyle w:val="BookText"/>
      </w:pPr>
      <w:r>
        <w:rPr>
          <w:rFonts w:ascii="IRNazanin" w:hAnsi="IRNazanin" w:eastAsia="IRNazanin" w:cs="IRNazanin"/>
          <w:lang w:bidi="fa-IR"/>
          <w:color w:val="111111"/>
          <w:sz w:val="28"/>
          <w:szCs w:val="28"/>
          <w:rtl/>
        </w:rPr>
        <w:t xml:space="preserve">تقسیمات نسخه عبارت است از: توحيدات، لغوت، مناقب ،ترجیعات ،قصاید ،غزلیات، مقطعات، رباعیات، معمیات و مفردات و مجموعه كنز اللالی (برای مزید استفاده نام شعرائی که آثارشان در هر یک از عناوین ده گانه فوق الذکر آمده است عرضه می شود.) توحیدات از شعرای: ... سلمان، انوری، کمال اصفهانی، ناصر خسرو، سعدی، سراجی، فرید احول، شمس طبس، جـلال جعفر، شرف الدین شقروه، ادیب صابر، خواجو ،عراقی، خسـرو ،حسن، ناصر نجاری، لغوت از: خاقانی ،کمال اسماعیل، فـرید احول، حسن غزنوی ،معزی ،خواجو ،سلمان، ناصر نجاری، مناقـب  از: حسن کاشی، نصرت رازی، لطف الله مشهدی، ابوالمفاخر ،سلمان ،خواجو ،حمزه کوچک، کمال فارسی، حیدر بقـال؛ ترجیعات از: اوحدی ،عراقی ،سلمان، اشرف ،ناصر نجاری؛ قصاید از: انوری، خاقانی ،سلمان ،کمال اسمعیل؛ غزلیات از: مولانا روم، عطار، عراقی ،خسرو ،حسن ،کمال ،ناصر، حافظ، سلمان؛ مقطعات از: ابن یمین؛ رباعیات از: کمال الدین اسمعـیل؛ معمیات و مفردات از: خواجو، عماد ؛نام شعرایی که در مجموعه «کنزاللالی» قسمت دوم این مجموعه آثارشان آمده عبارت اسـت از: ظهیر فاریابی، عمادی ،فردوسی، کمال اسماعیل، سنائی،اثیر اخسیکتی، محمد بن عبدالرزاق ،عطار ،سعدی، نظامی، انوری، عبدالواسع، اثیر اومانی، احمد بغدادی ،جلایر، نجم دایه، نصیر طوسی ،ازرقی، خاقانی، حسن غزنوی، رشید وطواط، افضـل کرمانی، سراج قمری ،عراقی ،خواجه، اسدی، شرف الدین مقـبل، شمس طبس ،ابوالفرج ،امامی، ابن همگر، فرید احول، مجیر بیلقالی ،ابوالمعالی، ناصر خسرو ،معزی، حسن شهرویه، سراج بلخی ،عبدالعزیز، مختاری، عمعق بخاری ،منوچهری، رضـی نیشابوری، صفی نیشابوری، ادیب صابر،نزاری، فخر الدین خالد، ناصر بچه، سعدبها ،طبیبان، نجیب جربادقانی ،همام، رفیع ابهری، رفیع لبنانی، بدیع الدین، سیف اسفرنگی، مسعود سعد، رفیع نسوی، محمد عصار، محمد حافظ، احمد بغداد، کمال خجـند بهشتی آملی، شاه اسفرنگی، سحر آفرین، سلمان، ابن بنا ،صاحی، امین منور ،ذوالفقار، ادیب کاشی ،امرء القیس ،ابوالفراش، صدر بلخی ،عز شروانی ،اوحدی، فتح مستوفی، جلال عضد، بدر شاشی، بدیع الزمان، كاتب (معروف بغدادی)؛ خط: نستعلیق خفی، کا: معروف بغدادی، تا: قرن ۹ق؛ پشت صفحه اول «این نسخه توسط آقا بهرام به تاریخ بیست و چهار شهر محرم قوی ئیل ۱۳۰۱ به کتابخانه سر کاری منتقل شد»، و به سال ۱۳۲۲ مجددا درعرض گذشته است ،مجدول با ده سرلوح مذهب مرصع ممتاز، تاریخ کتابت معلوم نیست ولی از سبک نگارش می توان گمان برد که نویسنده در اوایل قرن نهم هجری قمری این مجموعه بدیع را بوجود آورده است، این نسخه مزیتی که از سایر نسخ مجموعه دارد تقسیمات شعری و نام شاعر مربوطه است جهت آسانی کار مراجعین و پنج مجلس تصویر مینیاتور بسیار ظریف و زیبا؛ مهر: «علی اکبر حسین الحسینی»، «مشیر السلطنه»؛ کاغذ: بغدادی، جلد: تیماج دولایی ابره پارچه گلدار روغنی حاشیه سجاف تیماج گلی مذهب، اندرون: تیماج گلی وسط گل ترنج و یک حاشیه مذهب، ۸۱۶ص، ۲۳ سطر، قطع: بیاضی،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۲۶سم [ف: ۴ - ۱۰۸۴]</w:t>
      </w:r>
    </w:p>
    <w:p>
      <w:pPr>
        <w:pStyle w:val="BookText"/>
      </w:pPr>
      <w:r>
        <w:rPr>
          <w:rFonts w:ascii="IRNazanin" w:hAnsi="IRNazanin" w:eastAsia="IRNazanin" w:cs="IRNazanin"/>
          <w:lang w:bidi="fa-IR"/>
          <w:color w:val="111111"/>
          <w:sz w:val="28"/>
          <w:szCs w:val="28"/>
          <w:rtl/>
        </w:rPr>
        <w:t xml:space="preserve">۴۸. تهران؛ دانشگاه؛ شماره نسخه: ۲۹۷۹</w:t>
      </w:r>
    </w:p>
    <w:p>
      <w:pPr>
        <w:pStyle w:val="BookText"/>
      </w:pPr>
      <w:r>
        <w:rPr>
          <w:rFonts w:ascii="IRNazanin" w:hAnsi="IRNazanin" w:eastAsia="IRNazanin" w:cs="IRNazanin"/>
          <w:lang w:bidi="fa-IR"/>
          <w:color w:val="111111"/>
          <w:sz w:val="28"/>
          <w:szCs w:val="28"/>
          <w:rtl/>
        </w:rPr>
        <w:t xml:space="preserve">آغاز: من كلام ابن يمين عليه الرحمة والغفران.بر وصالش یک نفس گر دست رس باشد مرا *** حاصل عمر عزیزم آن یک نفس  باشد مرا؛ انجام: من كلام مولانا همام الدین تبریزی نور قبره.</w:t>
      </w:r>
    </w:p>
    <w:p>
      <w:pPr>
        <w:pStyle w:val="BookText"/>
      </w:pPr>
      <w:r>
        <w:rPr>
          <w:rFonts w:ascii="IRNazanin" w:hAnsi="IRNazanin" w:eastAsia="IRNazanin" w:cs="IRNazanin"/>
          <w:lang w:bidi="fa-IR"/>
          <w:color w:val="111111"/>
          <w:sz w:val="28"/>
          <w:szCs w:val="28"/>
          <w:rtl/>
        </w:rPr>
        <w:t xml:space="preserve">منتظر باشند شبها عاشقان ناکرده خواب *** تا براید بامداد از شرق کویت آفتاب ... ز انتظار وعده حسنت بجان آمد همام *** هم نگفتی این سخن گر عمر ننمودی شتاب</w:t>
      </w:r>
    </w:p>
    <w:p>
      <w:pPr>
        <w:pStyle w:val="BookText"/>
      </w:pPr>
      <w:r>
        <w:rPr>
          <w:rFonts w:ascii="IRNazanin" w:hAnsi="IRNazanin" w:eastAsia="IRNazanin" w:cs="IRNazanin"/>
          <w:lang w:bidi="fa-IR"/>
          <w:color w:val="111111"/>
          <w:sz w:val="28"/>
          <w:szCs w:val="28"/>
          <w:rtl/>
        </w:rPr>
        <w:t xml:space="preserve">شعرهای نزدیک هفتاد سراینده فارسی است و چنین است فهرستی که آقای باستانی برای آنها نوشته است [در فهرست صفحاتی که اشعار هر شاعر آمده مشخص است]: حرف الف ۶ نفر ابن يمين، اختیار (اختیار الدین سمرقندی)،شیخ آذری، شرف، امیر کرمانی، امین الدین داد؛ حرف با یک نفر بساطی سمرقندی؛ حرف جیم پنج نفر: جامی، جلال عضد، جلال الدين رومی، جنید شیرازی، جهان (جهان ملک خاتون)؛ حرف حا ۵ نفر: حافظ، حافظ سعد خراسانی، حسن دهلوی، حسینی (حسین اردستانی)، حیرانی؛ حرف خا ۳ نفر: خسرو دهلوی، خواجوی کرمانی، خیالی؛ حرف را یک نفر: روحی؛ حرف سين ۴ نفر: ساجدی، سعدی، سلمان ساوجی، سیف الدین سیفی، حرف شین ۵ نفر: امیر شاهی، شرف الدین علی یزدی، شهاب الدین آملی، شهاب الدین حویزه، شیدائی؛ حرف طا ۱ نفر: طالب شیرازی؛ حرف ظا ۱ نفر: ظریفی، حرف عین ۱۲ نفر: عارف، عبید زاکانی، عراقی، عصمت بخارایی، عصار تبریزی، عتیقی، علی کاغذی، علاء الدوله سمنانی، عماد فقیه، علائی (امیر سید علی همدانی)، عیانی (سعدالله)، عوض کرمانی؛ حرف فا ۳ نفر: فتاحی، فتح الله مستوفى فتح تخلص، درویش فرهاد کنگر؛ حرف قاف ۳ نفر: قاسم انوار قبایی ،((محمد) قدیمی؛ حرف کاف ۶ نفر: کاتبی
</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،کافی کریم الدین، کمال اسمعیل، کمال غیاث، كـمال خجند؛ حرف میم ۲ نفر: مغربی (محمد شیرین)، محبی هراتی؛ حرف نون ۶ نفر: ناصر بخاری، ندیمی (میر تاج الدین حسن بن محمود شاه)، حکیم نزاری، نسیمی (امیر سید عمادالدین)، نصـوح (محمود)، شاه نعمة الله ولی ،حرف واو ۲ نفر: وحید تبریزی، وصالى (فخرالدین گیوشاه)؛ حرف ها ۲ نفر: هاشم (سید كمال)، همام تبریزی؛ خط: نستعلیق، بی کا، تا: قرن ۸ و ۹؛ افتادگی: آغـاز؛ مجدول زرین، پس از نام جامی «طول الله عمره» و «دام بقائه» دارد (ص ۴۴ و ۱۱۲)؛ جلد: تیماج سبز ضربی زرکوب مقوایی، ۱۶۷ گ،۱۲ سطر (۷/۵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۱۱/۵)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۱۷/۵سم [ف: ۱۰-۱۸۸۸]</w:t>
      </w:r>
    </w:p>
    <w:p>
      <w:pPr>
        <w:pStyle w:val="BookText"/>
      </w:pPr>
      <w:r>
        <w:rPr>
          <w:rFonts w:ascii="IRNazanin" w:hAnsi="IRNazanin" w:eastAsia="IRNazanin" w:cs="IRNazanin"/>
          <w:lang w:bidi="fa-IR"/>
          <w:color w:val="111111"/>
          <w:sz w:val="28"/>
          <w:szCs w:val="28"/>
          <w:rtl/>
        </w:rPr>
        <w:t xml:space="preserve">۴۹. تهران؛ مجلس؛ شماره نسخه: ۱۳۶۰۹</w:t>
      </w:r>
    </w:p>
    <w:p>
      <w:pPr>
        <w:pStyle w:val="BookText"/>
      </w:pPr>
      <w:r>
        <w:rPr>
          <w:rFonts w:ascii="IRNazanin" w:hAnsi="IRNazanin" w:eastAsia="IRNazanin" w:cs="IRNazanin"/>
          <w:lang w:bidi="fa-IR"/>
          <w:color w:val="111111"/>
          <w:sz w:val="28"/>
          <w:szCs w:val="28"/>
          <w:rtl/>
        </w:rPr>
        <w:t xml:space="preserve">آغاز: آغاز جنگ: علم غیبی کس منی داند بجز پروردگار*** گی کسی گوید که من د انم ازو باور مدار / مصطفی هرگز نگفتی تا نگفتی جبرئیل*** جبرئیلش هم نگفتی تا نگفـتی  کردگار ؛انجام: سالکان ره او ز سر صدق يقين *** نور مهرش عوض شمع درفشان آمد/ هر دو عالم ز طفیلش رقم هستی یافت *** خون فطرت بحق جد تو مهمان آمد</w:t>
      </w:r>
    </w:p>
    <w:p>
      <w:pPr>
        <w:pStyle w:val="BookText"/>
      </w:pPr>
      <w:r>
        <w:rPr>
          <w:rFonts w:ascii="IRNazanin" w:hAnsi="IRNazanin" w:eastAsia="IRNazanin" w:cs="IRNazanin"/>
          <w:lang w:bidi="fa-IR"/>
          <w:color w:val="111111"/>
          <w:sz w:val="28"/>
          <w:szCs w:val="28"/>
          <w:rtl/>
        </w:rPr>
        <w:t xml:space="preserve">جنگی است شامل قصاید و غزلیات فارسی، در توحید موعظ و مدح چهارده معصوم (علیه السّلام) در این جنگ که در قرن نهم تنظیم شده، اشعار شاعران گم نامی درج شده که در جایی معرفی نشده اند، چون شعر آن ها در مدح اهل بیت (علیهم السّلام) است می توان يقین نمود که همه آنها مذهب شیعه امامیه داشته اند. فهرسـت موضوعات اشعار و نام شاعرانی که شعرشان در این جنگ آمده عبارت است از: 1- فی التوحید، افجنگی (۲٫۱-پ)، ۲- نصیح ابن سراجی ،(۳ ر-۵ر)، ۳- نصیحت، ثنایی (۵ ر - ۵پ)، ۴۔ فی النعـت از: طوطی که در تبریز سروده است (۵پ -۹پ)، ۵- فی النعـت جمال آملی (9ر-۱۱ر)، ۶- فی النعت؟ (۱۱ر-۱۱پ) ۷- فی نعت حضرت مصطفی (صلّی اللَّهِ علیه وَ آلِهِ وَ سَلَّمَ ) درویش سلطان ابن غیاث (۱۳ ر -۱۴ر) ،8-روایت از جابر انصاری توحیدی (۱۴ر-۱۷ر) در آن می گوید: «مه صومم ز هجرت بود صاد و لام و جیم آندم *** که شد منظوم این درها ز بحر دل چنین غرا» (۷۳۳ق)، ۹- در نصیحت افجنگی (۱۷ ر-۱۸ پ)، ۱۰- فی منقبت شاه مردان، افجنگی، ۱۱۔فی التوحيد، سليمى (۲۰ پ - ۲۴ر) ۱۱- حکایت جرجیس نبی (علیه السّلام)، ۱۳- در شکایت فلک، راهب (۲۵پ)، ۱۴- فى التوحيد (۲۷ پ)، ۱۵- فى المنقبت (۲۸پ)، ۱۶. فی التوحید، ابوالقاسم (۲۹ر) ، 17- ولایت نامه شاه  مردان، حسن (۳۰ ر) ، ۱۸ - فى المنقبت (۳۱ر) ،19-منقبت، ادهمی (۳۱ر)، ۲۰ - فی المنقبت (۳۲پ) ، ۲۱ - ولایت نامه؛ ٢٢- فى المنقبت، شمس الدین (۳۴پ)، ۲۳- فى المنقبت سنجری، ۲۴ـ في التوحيد، جلال جعفری (۳۶ر) ،۲۵- منقبت، تقی، ۲۶-  فی المنقبت (۳۸ر)، ۲۷ معجزات حضرت مصطفی و پنج مسئله اعرابی از شاه ولایت (۴۳)ر)، ۲۸ - وفات نامه حضرت فاطمه خاتون خير النساء (علیها السّلام) (۴۶)، ۲۹- قصه سلطان خراسان و زهر دادن و شهادت آن حضرت (۴۸ ر) ،۳۰- نعت مصطفی (صلّی اللَّهِ علیه وَ آلِهِ وَ سَلَّمَ )، برهان</w:t>
      </w:r>
    </w:p>
    <w:p>
      <w:pPr>
        <w:pStyle w:val="BookText"/>
      </w:pPr>
      <w:r>
        <w:rPr>
          <w:rFonts w:ascii="IRNazanin" w:hAnsi="IRNazanin" w:eastAsia="IRNazanin" w:cs="IRNazanin"/>
          <w:lang w:bidi="fa-IR"/>
          <w:color w:val="111111"/>
          <w:sz w:val="28"/>
          <w:szCs w:val="28"/>
          <w:rtl/>
        </w:rPr>
        <w:t xml:space="preserve">(۵۳ پ)، ۳۱- حکایت برق دیو و بند بر گردن او از دست شاه مردان، ناطق شیرازی، ۳۲- فى المنقب، غياثا (۵۵ر)، ۳۳- منقب شاه مردان، مولانا رومی (۵۶ر) ،۳۴- حکایت قلبان پادشاه که مبغض ولایت بود، کمال فارسی (۵۷پ)، ۳۵- فی منقبت الائمة (علیهم السّلام)، على حجازی، ۳۶- فی التوحید، شمسک (۶۱ پ)، ۳۷- ولایت نامه شاه مردان، حمزه کوچک (۶۴ پ)، ۳۸- ولایت نامه شاه مردان ،عصمت، ۳۹ -منقبت شاه  مردان، ابن حسن (۶۸ر)، ۴۰-فی التوحيد، عطار (دو قصيده)، ۴۱- فی توحید باری تعالی، جمال ساوجی (۷۱پ)، ۴۲۔ مناجات، عطار (۷۲ر)، ۴۳- اسامی اجداد حضرت مصطفی (علیه السّلام) عارف، ۴۴- فی نعت مصطفی (صلّی اللَّهِ علیه وَ آلِهِ وَ سَلَّمَ ) حافظ (غیر از حافظ شیرازی) (۷۴ر)، ۴۵- منقبت شاه مردان، جوالیقی، ۴۶- فی نعت مصطفی، بدر جاجرمی ،۴۷- فی التوحيد ابن غياث (۷۷ر) ،۴۸- معجزات حضرت مصطفی و مهمانی جابر رفتن و قتل فرزندان ،سلیمی، ۴۹- ولایت نامه شاه مردان و جواب مسئله قیصر گفتن، ثنایی، ۵۰- قصه شیر مست، ثنایی (۸۳ر)، ۵۱- سؤال نامه، ۵۲ -نصحیت ،سلیمان، ۵۳- حکایت پادشاه و دخترش (۸۹پ)، ۵۴- حکایت گلخن مفلس (۹۲پ)،۵۵- حکایت ملک شاه در اصفهان ،مسیب، ۵۶ -حکایت زن جادوگر که در کشمیر بود، ،محمود، ۵۷- نصیحت نامه (۹۶ر)، ۵۸- منقبت شاه مردان، غیاث (۹۸ر) ،۵۹ـ فى توحید باری تعالی ،(١٠٠ر)، ۶۰- دیوان جنید (منتخب) بخشی از غزلیات شاعر است با تخلص جنید، ۶۱ - اشعار قاسم (۱۱۵ر)، ۶۲- مناجات، حسین، ۶۳- اشعار آذری، ۶۴۔ شعر جنید، ۶۵- روایت داود نبی، ۶۶- اشعا رمولای رومی (۱۲۳ر)، ۶۷۔ شعر ناطقه (۱۲۳پ)، ۶۸-حکایت بوذر جمهر (۱۲۳پ)، ۶۹۔ صلوات نامه (۱۲۴ر)، ۷۰ - فى التوحيد، ثنایی (۱۲۴ر)، ۷۱- فی التوحید، سعدی (۱۲۴پ)، ۷۲- فی التوحيد، قوامی (۱۲۵ر)، ۷۳- بحر طویل در مدح ائمه (علیهم السّلام) ، نقی (۱۲۶پ)، آغاز: «برو ای عاشق شوریده سر گشته سودایی شیدایی سرمست *** ازین عالم پر فتنه و آشوب بشو دست»، ۷۴- بحر طویل در صف یار، ناظمی، آغاز: «ای صبا یک سحری رو به سر کوی نگار من و برگوز من دلشده آن دلبری بی مهر و وفا را» ۷۵- بحر طویل در وصف یار، احمد سنجی، آغاز: «گوش و هوش دل و جان و خرد و خاطر و فهم و نظر و دانش و بینش همه جمع آر»، ۷۶- بحر طویل در وصف یار، علی سوخته (۱۲۸پ) ،آغاز: «برو ای باد بگو دلبر سنگین دل بد عهد بلاجوى ستم کار»، ۷۷- بحر طویل در وصف یار، ناظمی ،آغاز: «ای برادر مرواندر پی نفس سگ جفا کار بد آموز خدا را همچو مردان بکن»، ۷۸- بحر طویل در وصف یار، ابن غیاثا، آغاز: «ای اصل اسما فرعت مسما الا و نعما جان و دل ما»، ۷۹- فی المنقبت، ۸۰ـ اشعار جنيد (۱۳۳ر) ، ۸۱ـ حکایت (۱۳۴ر)، ۸۲- مذمت (۱۳۶ر)، ۸۳- حکایت بنای مشهد مقدس على (علیه السّلام)، جنید، ۸۴- اشعار جنید ،آذری ،عصمت ،قاسم، ۸۵ـ في التوحيد سليمي (۱۴۱ر)، ۸۶- صلوات نامه ،سلیمی، ۸۷ـ ولایت نامه امیر المؤمنين و دست بریدن ،مولوی، ۸۸ـ اشعار جنید (۱۴۶ر)، ۸۹ـ منقبت اهل
</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بیت ،احمدی، ۹۰- حکایت مارگیر (۱۵۰ر)، ۹۱ - حکایت شبلی، ۹۲- اشعار مولای رومی، ۹۳- ولایت نامه شاه مردان، حـسام (۱۵۵ر)، ۹۴- اشعار، جنید، ۹۵- اشعاری از: عماد ،ناطق، اوحدی سعدی ،سنائی، مولوی (۱۵۹ر)، ۹۶ - اشعار جنید (۱۶۴ر)،97- اشعار کمال فارسی (۱۷۲ر)، ۹۸ - اشعار شمس تبریزی (۱۷۸ر)، ۹۹- اشعار حسن کاشی (۱۸۲ر) ۱۰۰ - اشعار عیلانی (۱۸۶ر)، 101- اشعاری از سعدی ،خاقانی ،حافظ، شمس تبریزی، سید علی سنایی ،خواجو ،مغربی، مولوی رومی، (۱۸۶ پ-۳۲۸ پ)؛ خط: نستعلیق بی کا، تا: قرن ۹ق؛ مجدول؛ جلد: تیماج قهوه ای، سوخت ترنج مذهب با سر با نقش گل و بلبل، مجدول مذهب، ۲۳۸گ، ۲۱ سطر، اندازه: ۱۶/۵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۲۵/۵سم [ف: ۳۷ - ۱۲۴]</w:t>
      </w:r>
    </w:p>
    <w:p>
      <w:pPr>
        <w:pStyle w:val="BookText"/>
      </w:pPr>
      <w:r>
        <w:rPr>
          <w:rFonts w:ascii="IRNazanin" w:hAnsi="IRNazanin" w:eastAsia="IRNazanin" w:cs="IRNazanin"/>
          <w:lang w:bidi="fa-IR"/>
          <w:color w:val="111111"/>
          <w:sz w:val="28"/>
          <w:szCs w:val="28"/>
          <w:rtl/>
        </w:rPr>
        <w:t xml:space="preserve">۵۰. تهران؛ دانشگاه؛ شماره نسخه: ۴۴۱/۲۶-ف</w:t>
      </w:r>
    </w:p>
    <w:p>
      <w:pPr>
        <w:pStyle w:val="BookText"/>
      </w:pPr>
      <w:r>
        <w:rPr>
          <w:rFonts w:ascii="IRNazanin" w:hAnsi="IRNazanin" w:eastAsia="IRNazanin" w:cs="IRNazanin"/>
          <w:lang w:bidi="fa-IR"/>
          <w:color w:val="111111"/>
          <w:sz w:val="28"/>
          <w:szCs w:val="28"/>
          <w:rtl/>
        </w:rPr>
        <w:t xml:space="preserve">نسخه اصل: بایزید ولی الدین ش ۱۸۱۹. شعرهای سعدی وافضـل الدین کرمانی و سعدالدین حکیم و سنائی و سوزنی وکمال الدین اسمعیل و مولانا سید حسن و انوری و عطار؛ کا: بلغرادی، تا: قرن ۹؛ ۳گ (۱۴۱ - ۱۴۴) [فیلمها: ۱ - ۴۷۵]</w:t>
      </w:r>
    </w:p>
    <w:p>
      <w:pPr>
        <w:pStyle w:val="BookText"/>
      </w:pPr>
      <w:r>
        <w:rPr>
          <w:rFonts w:ascii="IRNazanin" w:hAnsi="IRNazanin" w:eastAsia="IRNazanin" w:cs="IRNazanin"/>
          <w:lang w:bidi="fa-IR"/>
          <w:color w:val="111111"/>
          <w:sz w:val="28"/>
          <w:szCs w:val="28"/>
          <w:rtl/>
        </w:rPr>
        <w:t xml:space="preserve">۵۱. تهران؛ دانشسرای عالی - کتابخانه میرزا عبدالعظیم خان قریب گر کانی شماره نسخه: ۱۷۴</w:t>
      </w:r>
    </w:p>
    <w:p>
      <w:pPr>
        <w:pStyle w:val="BookText"/>
      </w:pPr>
      <w:r>
        <w:rPr>
          <w:rFonts w:ascii="IRNazanin" w:hAnsi="IRNazanin" w:eastAsia="IRNazanin" w:cs="IRNazanin"/>
          <w:lang w:bidi="fa-IR"/>
          <w:color w:val="111111"/>
          <w:sz w:val="28"/>
          <w:szCs w:val="28"/>
          <w:rtl/>
        </w:rPr>
        <w:t xml:space="preserve">نخست سه قصیده است، سپس شعر عبدالواسع، ترجیع بند آغاز «كنز الرموز» حسینی و خود آن، قصاید کمال اسماعیل و دیگران از دیوان حافظ، از دیوان عبدالواسع، بازبندی از «کنز الرموز»؛ شعر كمال اسماعیل و عبدالواسع؛ خط: نسخ، بی کا، تا: قرن ۱۰ ؛افتادگی: آغاز و انجام ؛مجدول لاجورد با حاشیه سازی به طلا، نسخه خوبی است ولی ناقص؛ قطع: وزیری [ نشریه: ۵ - 623]</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تهران؛ دانشگاه؛ شماره نسخه: ۷۱۰/۲۶-ف</w:t>
      </w:r>
    </w:p>
    <w:p>
      <w:pPr>
        <w:pStyle w:val="BookText"/>
      </w:pPr>
      <w:r>
        <w:rPr>
          <w:rFonts w:ascii="IRNazanin" w:hAnsi="IRNazanin" w:eastAsia="IRNazanin" w:cs="IRNazanin"/>
          <w:lang w:bidi="fa-IR"/>
          <w:color w:val="111111"/>
          <w:sz w:val="28"/>
          <w:szCs w:val="28"/>
          <w:rtl/>
        </w:rPr>
        <w:t xml:space="preserve">نسخه اصل: موزه بریتانيا 5321 .</w:t>
      </w:r>
      <w:r>
        <w:rPr>
          <w:rFonts w:ascii="Times New Roman" w:hAnsi="Times New Roman" w:eastAsia="Times New Roman" w:cs="Times New Roman"/>
          <w:lang w:val="en-US" w:bidi="en-US"/>
          <w:color w:val="111111"/>
          <w:sz w:val="28"/>
          <w:szCs w:val="28"/>
          <w:rtl/>
        </w:rPr>
        <w:t xml:space="preserve">Or. </w:t>
      </w:r>
      <w:r>
        <w:rPr>
          <w:rFonts w:ascii="IRNazanin" w:hAnsi="IRNazanin" w:eastAsia="IRNazanin" w:cs="IRNazanin"/>
          <w:lang w:bidi="fa-IR"/>
          <w:color w:val="111111"/>
          <w:sz w:val="28"/>
          <w:szCs w:val="28"/>
          <w:rtl/>
        </w:rPr>
        <w:t xml:space="preserve">منظومه فارسی (این سه بنام «الرسائل المصنوعة» است)؛ خط: نسخ ،بی کا، تا: با تاریخ 801ق؛ ۲۰ سطر [فيلمها: ۱ - ۵۲۷]</w:t>
      </w:r>
    </w:p>
    <w:p>
      <w:pPr>
        <w:pStyle w:val="BookText"/>
      </w:pPr>
      <w:r>
        <w:rPr>
          <w:rFonts w:ascii="IRNazanin" w:hAnsi="IRNazanin" w:eastAsia="IRNazanin" w:cs="IRNazanin"/>
          <w:lang w:bidi="fa-IR"/>
          <w:color w:val="111111"/>
          <w:sz w:val="28"/>
          <w:szCs w:val="28"/>
          <w:rtl/>
        </w:rPr>
        <w:t xml:space="preserve">۵۳. قم؛ مرکز احیاء؛ شماره نسخه: ۱۱۹۴/۳</w:t>
      </w:r>
    </w:p>
    <w:p>
      <w:pPr>
        <w:pStyle w:val="BookText"/>
      </w:pPr>
      <w:r>
        <w:rPr>
          <w:rFonts w:ascii="IRNazanin" w:hAnsi="IRNazanin" w:eastAsia="IRNazanin" w:cs="IRNazanin"/>
          <w:lang w:bidi="fa-IR"/>
          <w:color w:val="111111"/>
          <w:sz w:val="28"/>
          <w:szCs w:val="28"/>
          <w:rtl/>
        </w:rPr>
        <w:t xml:space="preserve">آغاز: شکر و سپاس و منت و عزت خدای را *** پروردگار خلق و خداوند كبريا</w:t>
      </w:r>
    </w:p>
    <w:p>
      <w:pPr>
        <w:pStyle w:val="BookText"/>
      </w:pPr>
      <w:r>
        <w:rPr>
          <w:rFonts w:ascii="IRNazanin" w:hAnsi="IRNazanin" w:eastAsia="IRNazanin" w:cs="IRNazanin"/>
          <w:lang w:bidi="fa-IR"/>
          <w:color w:val="111111"/>
          <w:sz w:val="28"/>
          <w:szCs w:val="28"/>
          <w:rtl/>
        </w:rPr>
        <w:t xml:space="preserve">نسخه اصل: کتابخانه ای در آلمان ۳۱۷۳. اشعار متفرقه ای سـت مشتمل بر قصائد و غزلیات از شعرایی چون: سعدی، کمال الدین اسماعیل، ناصر خسرو، مفخر الشعراء سوزنی، قدوة العارفین عراقی، خواجو، نظامی خاقانی ،سنایی، ملای رومی، عطار و غیره، خط: نسخ و نستعلیق، بی کا، تا: با تاریخ ۸۱۶ق؛ ۸۳ ص (185- 268) [ عکسی ف: ۳ - ۴۸۱]</w:t>
      </w:r>
    </w:p>
    <w:p>
      <w:pPr>
        <w:pStyle w:val="BookText"/>
      </w:pPr>
      <w:r>
        <w:rPr>
          <w:rFonts w:ascii="IRNazanin" w:hAnsi="IRNazanin" w:eastAsia="IRNazanin" w:cs="IRNazanin"/>
          <w:lang w:bidi="fa-IR"/>
          <w:color w:val="111111"/>
          <w:sz w:val="28"/>
          <w:szCs w:val="28"/>
          <w:rtl/>
        </w:rPr>
        <w:t xml:space="preserve">۵۴. تهران؛ مهدوی؛ شماره نسخه: ۵۸۹</w:t>
      </w:r>
    </w:p>
    <w:p>
      <w:pPr>
        <w:pStyle w:val="BookText"/>
      </w:pPr>
      <w:r>
        <w:rPr>
          <w:rFonts w:ascii="IRNazanin" w:hAnsi="IRNazanin" w:eastAsia="IRNazanin" w:cs="IRNazanin"/>
          <w:lang w:bidi="fa-IR"/>
          <w:color w:val="111111"/>
          <w:sz w:val="28"/>
          <w:szCs w:val="28"/>
          <w:rtl/>
        </w:rPr>
        <w:t xml:space="preserve">دیوان سلمان و حافظ است در متن و شعرهای سعدی و عماد فقیه وخسرو دهلوی و حسن دهلوی و سید جلال عضد و جلال الدین شاه خوافی و حکیم نزاری و کمال الدین خواجو و روح عطار و کمال الدین خجندی و جهان و عبدالمجید و فخر جهان (معمـا و غزل) و جعفر جلال خراسانی (مثنوی) و نظامی (مخزن) و خـیام  (رباعی) و ابن یمین (مقطعات) و عراقی (غزل) و خواجو (ترجیعات ساقی نامه) همه اینها در هامش؛ خط: نستعلیق، بی کا، تا: ۱ رجب ۸۲۱ ق؛ افتادگی: آغاز و انجام؛ جدول زر و لاجورد  [نشریه: ۲ - ۷۱]</w:t>
      </w:r>
    </w:p>
    <w:p>
      <w:pPr>
        <w:pStyle w:val="BookText"/>
      </w:pPr>
      <w:r>
        <w:rPr>
          <w:rFonts w:ascii="IRNazanin" w:hAnsi="IRNazanin" w:eastAsia="IRNazanin" w:cs="IRNazanin"/>
          <w:lang w:bidi="fa-IR"/>
          <w:color w:val="111111"/>
          <w:sz w:val="28"/>
          <w:szCs w:val="28"/>
          <w:rtl/>
        </w:rPr>
        <w:t xml:space="preserve">۵۵. تهران؛ دانشگاه؛ شماره نسخه: ۱۶۱۲/۱۰۳-ف</w:t>
      </w:r>
    </w:p>
    <w:p>
      <w:pPr>
        <w:pStyle w:val="BookText"/>
      </w:pPr>
      <w:r>
        <w:rPr>
          <w:rFonts w:ascii="IRNazanin" w:hAnsi="IRNazanin" w:eastAsia="IRNazanin" w:cs="IRNazanin"/>
          <w:lang w:bidi="fa-IR"/>
          <w:color w:val="111111"/>
          <w:sz w:val="28"/>
          <w:szCs w:val="28"/>
          <w:rtl/>
        </w:rPr>
        <w:t xml:space="preserve">نسخه اصل: نسخه ش ۲۱۶ کتابخانه تقوی که اکنون در کتابخانه مجلس شورای ملی است 64614- 4559. [این نسخه در فهرست کتابخانه مجلس تفکیک شده است] من الاشعار الفارسية في نعت النساء و النسيب. از اثیر اومانی و مؤلف کتاب و سعدی و همام و ظهیر فاریابی (۳۱۱پ - ۳۱۵) و کمال الدین اسماعیل و صدرالدین علی کی (؟) و عطار و مجد همگر و ناصر بچه و نزاری و اوحدی اصفهانی، در اینجا شعرهای بسیاری از غزل و رباعی از مؤلف است؛ کا: عبدالحی، تا: ۸۲۲ق، جا: ماردین در شمال عراق؛ کاغذ: سمرقندی، جلد: تیماج قهوه ای ضربی، مختلف السطر [ فیلمها: ۱-۶۲۳]</w:t>
      </w:r>
    </w:p>
    <w:p>
      <w:pPr>
        <w:pStyle w:val="BookText"/>
      </w:pPr>
      <w:r>
        <w:rPr>
          <w:rFonts w:ascii="IRNazanin" w:hAnsi="IRNazanin" w:eastAsia="IRNazanin" w:cs="IRNazanin"/>
          <w:lang w:bidi="fa-IR"/>
          <w:color w:val="111111"/>
          <w:sz w:val="28"/>
          <w:szCs w:val="28"/>
          <w:rtl/>
        </w:rPr>
        <w:t xml:space="preserve">۵۶. تهران؛ مینوی؛ شماره نسخه: ۲۰۸ بخش۳</w:t>
      </w:r>
    </w:p>
    <w:p>
      <w:pPr>
        <w:pStyle w:val="BookText"/>
      </w:pPr>
      <w:r>
        <w:rPr>
          <w:rFonts w:ascii="IRNazanin" w:hAnsi="IRNazanin" w:eastAsia="IRNazanin" w:cs="IRNazanin"/>
          <w:lang w:bidi="fa-IR"/>
          <w:color w:val="111111"/>
          <w:sz w:val="28"/>
          <w:szCs w:val="28"/>
          <w:rtl/>
        </w:rPr>
        <w:t xml:space="preserve">نسخه اصل: اونیورسیته ۵۳۸(فیلمها ۴۴۱/۱). جنگ شعر است؛بی کا،  تا: با تاریخ ۸۲۶ق؛ در هامش نخستین عنوان مونس العشاق است و بازپسین عنوان آن رحیق التحقیق ؛ ۴۳گ (۴۷۲-۵۱۵) [ف - ۱۲۵]</w:t>
      </w:r>
    </w:p>
    <w:p>
      <w:pPr>
        <w:pStyle w:val="BookText"/>
      </w:pPr>
      <w:r>
        <w:rPr>
          <w:rFonts w:ascii="IRNazanin" w:hAnsi="IRNazanin" w:eastAsia="IRNazanin" w:cs="IRNazanin"/>
          <w:lang w:bidi="fa-IR"/>
          <w:color w:val="111111"/>
          <w:sz w:val="28"/>
          <w:szCs w:val="28"/>
          <w:rtl/>
        </w:rPr>
        <w:t xml:space="preserve">۵۷. تهران؛ دانشگاه؛ شماره :نسخه ۱۰۴/۹-ف</w:t>
      </w:r>
    </w:p>
    <w:p>
      <w:pPr>
        <w:pStyle w:val="BookText"/>
      </w:pPr>
      <w:r>
        <w:rPr>
          <w:rFonts w:ascii="IRNazanin" w:hAnsi="IRNazanin" w:eastAsia="IRNazanin" w:cs="IRNazanin"/>
          <w:lang w:bidi="fa-IR"/>
          <w:color w:val="111111"/>
          <w:sz w:val="28"/>
          <w:szCs w:val="28"/>
          <w:rtl/>
        </w:rPr>
        <w:t xml:space="preserve">نسخه اصل: عاطف افندی ش ۲۲۴۱. مثنوی عرفانی در شرح اسماء الهی از نعمة الله ؛ خط: نستعلیق، بی کا، تا: چهارشنبه ۴ ذیقعده ۸۲۸ ق؛ ۸گ (۵۴۷-۵۵۴)، ۲۳ سطر [ فیلمها: ۱ - ۴۰۹]</w:t>
      </w:r>
    </w:p>
    <w:p>
      <w:pPr>
        <w:pStyle w:val="BookText"/>
      </w:pPr>
      <w:r>
        <w:rPr>
          <w:rFonts w:ascii="IRNazanin" w:hAnsi="IRNazanin" w:eastAsia="IRNazanin" w:cs="IRNazanin"/>
          <w:lang w:bidi="fa-IR"/>
          <w:color w:val="111111"/>
          <w:sz w:val="28"/>
          <w:szCs w:val="28"/>
          <w:rtl/>
        </w:rPr>
        <w:t xml:space="preserve">۵۸. تهران؛ دانشگاه؛ شماره نسخه: ۱۰۴/۱۶-ف</w:t>
      </w:r>
    </w:p>
    <w:p>
      <w:pPr>
        <w:pStyle w:val="BookText"/>
      </w:pPr>
      <w:r>
        <w:rPr>
          <w:rFonts w:ascii="IRNazanin" w:hAnsi="IRNazanin" w:eastAsia="IRNazanin" w:cs="IRNazanin"/>
          <w:lang w:bidi="fa-IR"/>
          <w:color w:val="111111"/>
          <w:sz w:val="28"/>
          <w:szCs w:val="28"/>
          <w:rtl/>
        </w:rPr>
        <w:t xml:space="preserve">نسخه اصل عاطف افندی ش ۲۲۴۱. ترجیعات: سلمان ساوجی و اوحد الدین و عراقی و ناصر بخاری ؛خط: نستعلیق، بی کا، تا: چهارشنبه ۴ ذیقعده ۸۲۸ق؛ ۱۴گ (۵۵۴-۵۶۷)، ۲۳ سطر [فیلمها: 1- 409]</w:t>
      </w:r>
    </w:p>
    <w:p>
      <w:pPr>
        <w:pStyle w:val="BookText"/>
      </w:pPr>
      <w:r>
        <w:rPr>
          <w:rFonts w:ascii="IRNazanin" w:hAnsi="IRNazanin" w:eastAsia="IRNazanin" w:cs="IRNazanin"/>
          <w:lang w:bidi="fa-IR"/>
          <w:color w:val="111111"/>
          <w:sz w:val="28"/>
          <w:szCs w:val="28"/>
          <w:rtl/>
        </w:rPr>
        <w:t xml:space="preserve">۵۹ .تهران؛ دانشگاه؛ شماره نسخه: ۷۱۰/۳۹-ف</w:t>
      </w:r>
    </w:p>
    <w:p>
      <w:pPr>
        <w:pStyle w:val="BookText"/>
      </w:pPr>
      <w:r>
        <w:rPr>
          <w:rFonts w:ascii="IRNazanin" w:hAnsi="IRNazanin" w:eastAsia="IRNazanin" w:cs="IRNazanin"/>
          <w:lang w:bidi="fa-IR"/>
          <w:color w:val="111111"/>
          <w:sz w:val="28"/>
          <w:szCs w:val="28"/>
          <w:rtl/>
        </w:rPr>
        <w:t xml:space="preserve">نسخه اصل: موزه بریتانیا 5321 .</w:t>
      </w:r>
      <w:r>
        <w:rPr>
          <w:rFonts w:ascii="Times New Roman" w:hAnsi="Times New Roman" w:eastAsia="Times New Roman" w:cs="Times New Roman"/>
          <w:lang w:val="en-US" w:bidi="en-US"/>
          <w:color w:val="111111"/>
          <w:sz w:val="28"/>
          <w:szCs w:val="28"/>
          <w:rtl/>
        </w:rPr>
        <w:t xml:space="preserve">Or. </w:t>
      </w:r>
      <w:r>
        <w:rPr>
          <w:rFonts w:ascii="IRNazanin" w:hAnsi="IRNazanin" w:eastAsia="IRNazanin" w:cs="IRNazanin"/>
          <w:lang w:bidi="fa-IR"/>
          <w:color w:val="111111"/>
          <w:sz w:val="28"/>
          <w:szCs w:val="28"/>
          <w:rtl/>
        </w:rPr>
        <w:t xml:space="preserve">بعضی از اشعار مولانا جلال الدین رومی؛خط: نسخ، کا: عمر بن عبدالرحمن، تا: ۸۲۹ق؛ ۲۰ سطر [فيلمها: ۱ - ۵۲۸]</w:t>
      </w:r>
    </w:p>
    <w:p>
      <w:pPr>
        <w:pStyle w:val="BookText"/>
      </w:pPr>
      <w:r>
        <w:rPr>
          <w:rFonts w:ascii="IRNazanin" w:hAnsi="IRNazanin" w:eastAsia="IRNazanin" w:cs="IRNazanin"/>
          <w:lang w:bidi="fa-IR"/>
          <w:color w:val="111111"/>
          <w:sz w:val="28"/>
          <w:szCs w:val="28"/>
          <w:rtl/>
        </w:rPr>
        <w:t xml:space="preserve">60.مشهد؛ صحت رضا (دکتر)؛ شماره نسخه: بدون شماره</w:t>
      </w:r>
    </w:p>
    <w:p>
      <w:pPr>
        <w:pStyle w:val="BookText"/>
      </w:pPr>
      <w:r>
        <w:rPr>
          <w:rFonts w:ascii="IRNazanin" w:hAnsi="IRNazanin" w:eastAsia="IRNazanin" w:cs="IRNazanin"/>
          <w:lang w:bidi="fa-IR"/>
          <w:color w:val="111111"/>
          <w:sz w:val="28"/>
          <w:szCs w:val="28"/>
          <w:rtl/>
        </w:rPr>
        <w:t xml:space="preserve">جنگ شعر است از عطار جلال الدین رمی ،عراقی، آذری ،عتیقی، امیر حسینی ،نزاری ،سعدی ،خاقانی، جلال الدین عضد، جلال طبيب، جلال خوافی، همام تبریزی، خواجو، سلمان، عماد، امیر خسرو، حسن دهلوی، حافظ شیرازی، بساطی، ناصری، امیر قاسم، حافظ سعد، عصمت که نام همه اینها در ترنج صفحه عنوان آمده است، نام شهاب و شاهی هم در متن دیده می شود؛ خط: نستعلیق، کا: محمود جعفری، تا: ۸۳۳ق، آراسته ربعی [ نشریه: ۷ - ۵۵۶]</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مشهد؛ رضوی؛ شماره نسخه: ۱۰۳۹۹</w:t>
      </w:r>
    </w:p>
    <w:p>
      <w:pPr>
        <w:pStyle w:val="BookText"/>
      </w:pPr>
      <w:r>
        <w:rPr>
          <w:rFonts w:ascii="IRNazanin" w:hAnsi="IRNazanin" w:eastAsia="IRNazanin" w:cs="IRNazanin"/>
          <w:lang w:bidi="fa-IR"/>
          <w:color w:val="111111"/>
          <w:sz w:val="28"/>
          <w:szCs w:val="28"/>
          <w:rtl/>
        </w:rPr>
        <w:t xml:space="preserve">آغاز: یک شور از عین عشق دوش پدیدار شد؛ انجام: دیگر قلم نماند و سیاهی تمام شد ... ثلاث وثلثين وثمانمائه الهجريه النبويه گزیده اشعار شاعران سده ۷ و ۸ ؛خط: نستعلیق، کا: محمود
</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جعفری، تا ۸۳۳ق [الفبائی: ۴۹۸]</w:t>
      </w:r>
    </w:p>
    <w:p>
      <w:pPr>
        <w:pStyle w:val="BookText"/>
      </w:pPr>
      <w:r>
        <w:rPr>
          <w:rFonts w:ascii="IRNazanin" w:hAnsi="IRNazanin" w:eastAsia="IRNazanin" w:cs="IRNazanin"/>
          <w:lang w:bidi="fa-IR"/>
          <w:color w:val="111111"/>
          <w:sz w:val="28"/>
          <w:szCs w:val="28"/>
          <w:rtl/>
        </w:rPr>
        <w:t xml:space="preserve">62.تهران؛ دانشگاه؛ شماره نسخه: ۱۹۳۰/۲</w:t>
      </w:r>
    </w:p>
    <w:p>
      <w:pPr>
        <w:pStyle w:val="BookText"/>
      </w:pPr>
      <w:r>
        <w:rPr>
          <w:rFonts w:ascii="IRNazanin" w:hAnsi="IRNazanin" w:eastAsia="IRNazanin" w:cs="IRNazanin"/>
          <w:lang w:bidi="fa-IR"/>
          <w:color w:val="111111"/>
          <w:sz w:val="28"/>
          <w:szCs w:val="28"/>
          <w:rtl/>
        </w:rPr>
        <w:t xml:space="preserve">آغاز: بجان خدا را بيانگارا *** جهان بیارا بحسن زیبا؛ انجـام: منشی بچه ای بر كان ماه منظر *** دارد فزونتر امیدواری</w:t>
      </w:r>
    </w:p>
    <w:p>
      <w:pPr>
        <w:pStyle w:val="BookText"/>
      </w:pPr>
      <w:r>
        <w:rPr>
          <w:rFonts w:ascii="IRNazanin" w:hAnsi="IRNazanin" w:eastAsia="IRNazanin" w:cs="IRNazanin"/>
          <w:lang w:bidi="fa-IR"/>
          <w:color w:val="111111"/>
          <w:sz w:val="28"/>
          <w:szCs w:val="28"/>
          <w:rtl/>
        </w:rPr>
        <w:t xml:space="preserve">پس ازین بیتها است از جدیدی و دو شاعر دیگر؛ مثمن مولانا کمال الدین غیاث و پاسخ منشی بچه به او و شعرهایی از جدیدی ؛خط:نسخ، کا: سید  نعمت الله درویش، تا: ربیع الاول ۸۳۵ق؛ کاغذ:سمرقندی  نخودی، جلد: کالینگور سرخ، ۳گ (۳۲پ- ۳۴ر) ، ۷ سطر (9</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۸ - ۵۴۸]</w:t>
      </w:r>
    </w:p>
    <w:p>
      <w:pPr>
        <w:pStyle w:val="BookText"/>
      </w:pPr>
      <w:r>
        <w:rPr>
          <w:rFonts w:ascii="IRNazanin" w:hAnsi="IRNazanin" w:eastAsia="IRNazanin" w:cs="IRNazanin"/>
          <w:lang w:bidi="fa-IR"/>
          <w:color w:val="111111"/>
          <w:sz w:val="28"/>
          <w:szCs w:val="28"/>
          <w:rtl/>
        </w:rPr>
        <w:t xml:space="preserve">۶۳. تهران؛ مهدوی؛ شماره نسخه: ۵۹۰</w:t>
      </w:r>
    </w:p>
    <w:p>
      <w:pPr>
        <w:pStyle w:val="BookText"/>
      </w:pPr>
      <w:r>
        <w:rPr>
          <w:rFonts w:ascii="IRNazanin" w:hAnsi="IRNazanin" w:eastAsia="IRNazanin" w:cs="IRNazanin"/>
          <w:lang w:bidi="fa-IR"/>
          <w:color w:val="111111"/>
          <w:sz w:val="28"/>
          <w:szCs w:val="28"/>
          <w:rtl/>
        </w:rPr>
        <w:t xml:space="preserve">دارای بوستان سعدی (گ ۱ متن و آغاز افتاده)، و غزلیات حـسن گویا دهلوی( از حرف الف و پس از آن در هامش) قصـائد سعدی (۱۳ متن)، مراثی سعدی (۱۸ متن)، ترجیعات سعدی (24 متن) طيبات سعدی (۳۲ متن)، دیوان حافظ با دیباچه منثور و طيبات سعدی (۹۵ متن مورخ ۸۳۶)، بدایع سعدی (۹۶ متن)، خواتيم سعدی (۱۲۰ متن)، مقطعات گویا صاحبیه (۱۶۱ متن)، مثنویهای هزل سعدی و غزلهای هزل او (۱۶۲متن)، مثنوی های (خبيثات) (۱۷۰ متن)، غزلیات ناصر (۱۷۲ متن)، غزلیات بساطی( ۱۷۲ متن)، ریش نامه عبید زاکانی (۱۸۰ هامش)، ده فصل عـبید زاکانی (۱۸۴ هامش)، آغاز دیوان بساطی (۱۸۸ هامش)، دنـباله ریشنامه زاکانی (۱۹۰ هامش)، ناسخ و منسوخ زاکانی( 194 هامش)، غزلیات بساطی(۲۰۱هامش)، دیوان اطعمه بسحاق (212متن) ؛ خط: نسخ، بی کا، تا: ۸۳۶ق؛ افتادگی: آغاز؛ کاغذ: سمرقندی، ۲۶۷گ[ نشریه: ۲ - ۷۲]</w:t>
      </w:r>
    </w:p>
    <w:p>
      <w:pPr>
        <w:pStyle w:val="BookText"/>
      </w:pPr>
      <w:r>
        <w:rPr>
          <w:rFonts w:ascii="IRNazanin" w:hAnsi="IRNazanin" w:eastAsia="IRNazanin" w:cs="IRNazanin"/>
          <w:lang w:bidi="fa-IR"/>
          <w:color w:val="111111"/>
          <w:sz w:val="28"/>
          <w:szCs w:val="28"/>
          <w:rtl/>
        </w:rPr>
        <w:t xml:space="preserve">۶۴. تهران؛ ملک؛ شماره نسخه: ۴۲۱۶/۲۴</w:t>
      </w:r>
    </w:p>
    <w:p>
      <w:pPr>
        <w:pStyle w:val="BookText"/>
      </w:pPr>
      <w:r>
        <w:rPr>
          <w:rFonts w:ascii="IRNazanin" w:hAnsi="IRNazanin" w:eastAsia="IRNazanin" w:cs="IRNazanin"/>
          <w:lang w:bidi="fa-IR"/>
          <w:color w:val="111111"/>
          <w:sz w:val="28"/>
          <w:szCs w:val="28"/>
          <w:rtl/>
        </w:rPr>
        <w:t xml:space="preserve">آغاز: گرچه مینالد بجان یا مستجار *** دلشکسته سینه خسته تن نزار؛</w:t>
      </w:r>
    </w:p>
    <w:p>
      <w:pPr>
        <w:pStyle w:val="BookText"/>
      </w:pPr>
      <w:r>
        <w:rPr>
          <w:rFonts w:ascii="IRNazanin" w:hAnsi="IRNazanin" w:eastAsia="IRNazanin" w:cs="IRNazanin"/>
          <w:lang w:bidi="fa-IR"/>
          <w:color w:val="111111"/>
          <w:sz w:val="28"/>
          <w:szCs w:val="28"/>
          <w:rtl/>
        </w:rPr>
        <w:t xml:space="preserve">مثنوی است. در آن آمده: مطلع تاریخ این سودا و سود *** سـال اندر ششصد و شصت و دو بود؛ بی کا، تا: با تاریخ ۸۴۱ ق؛افتادگی: آغاز؛ کاغذ: نوعی ترمه رویه کاغذ فرنگی، ۱ص (۷۴ر)، ۱۴ سطر، اندازه: ۱۳/۱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۱۸/۹سم [ف: ۷ - ۲۸۳]</w:t>
      </w:r>
    </w:p>
    <w:p>
      <w:pPr>
        <w:pStyle w:val="BookText"/>
      </w:pPr>
      <w:r>
        <w:rPr>
          <w:rFonts w:ascii="IRNazanin" w:hAnsi="IRNazanin" w:eastAsia="IRNazanin" w:cs="IRNazanin"/>
          <w:lang w:bidi="fa-IR"/>
          <w:color w:val="111111"/>
          <w:sz w:val="28"/>
          <w:szCs w:val="28"/>
          <w:rtl/>
        </w:rPr>
        <w:t xml:space="preserve">۶۵. تهران؛ ملک؛ شماره نسخه: ۴۲۱۶/۳۲</w:t>
      </w:r>
    </w:p>
    <w:p>
      <w:pPr>
        <w:pStyle w:val="BookText"/>
      </w:pPr>
      <w:r>
        <w:rPr>
          <w:rFonts w:ascii="IRNazanin" w:hAnsi="IRNazanin" w:eastAsia="IRNazanin" w:cs="IRNazanin"/>
          <w:lang w:bidi="fa-IR"/>
          <w:color w:val="111111"/>
          <w:sz w:val="28"/>
          <w:szCs w:val="28"/>
          <w:rtl/>
        </w:rPr>
        <w:t xml:space="preserve">آغاز: دیده بیننده بیند دوست را *** چون مشبک کرده باشد پوست را</w:t>
      </w:r>
    </w:p>
    <w:p>
      <w:pPr>
        <w:pStyle w:val="BookText"/>
      </w:pPr>
      <w:r>
        <w:rPr>
          <w:rFonts w:ascii="IRNazanin" w:hAnsi="IRNazanin" w:eastAsia="IRNazanin" w:cs="IRNazanin"/>
          <w:lang w:bidi="fa-IR"/>
          <w:color w:val="111111"/>
          <w:sz w:val="28"/>
          <w:szCs w:val="28"/>
          <w:rtl/>
        </w:rPr>
        <w:t xml:space="preserve">مثنوی سپس چند رباعی؛ بی کا، تا: با تاریخ ۸۴۱ق؛ ۵گ(۲۱۳پ-۲۰۸پ) [ف: ۷-۲۸۳]</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تهران؛ دانشگاه؛ شماره نسخه: ۳۵۲۸</w:t>
      </w:r>
    </w:p>
    <w:p>
      <w:pPr>
        <w:pStyle w:val="BookText"/>
      </w:pPr>
      <w:r>
        <w:rPr>
          <w:rFonts w:ascii="IRNazanin" w:hAnsi="IRNazanin" w:eastAsia="IRNazanin" w:cs="IRNazanin"/>
          <w:lang w:bidi="fa-IR"/>
          <w:color w:val="111111"/>
          <w:sz w:val="28"/>
          <w:szCs w:val="28"/>
          <w:rtl/>
        </w:rPr>
        <w:t xml:space="preserve">شعرهای فارسی است نوشته علی بن احمد که خود او هم قصیده ای دارد مورخ ۳۹۹ (؟) با عنوان «معجز مصطفا لکاتبه» (۱۳۵)، نام شعران از این قرار است [در فهرست شماره صفحاتی که اشعاری از این شاعران آمده ذکر شده است] از ابن حسام ،ابن زاهد، ابن سید، ابن عابد، اشرف بغدادی ،افچنگی امین الدین ،شیخ انوری ،اوحدی، بابا حاجی اسمعیل جواليقى ،بلبل بوالقاسم سبزواری، پشنگی ،(ابراهیم) ،توحیدی، ثنائی، جلال جعفری، حجت (ناصر خسرو)، ،حمدی ،حسام حسن، سید حسین شیرازی، حمزه ای کوچک، خواری سبزواری، خواجوی کرمانی، دانیال دولتخانی، میر دیوانه، درویش اقطع، درویش سید، رضی، ملای روم ،رواسی ،سید سلیمی، ملا سلیمی، سعدی شیرازی، سلمان ساوجی، سودایی، سید علی ،شکری، شمسک، شمس تبریزی، طالب ،عبدل، عبید زاکانی، عصار تبریزی، عطار، عزی مروی، علی چاچی، علی بن احمد ،عمادی ،غریبی، فارغی، فردوسی، قاسم انوار ،قطبی ،قیاسا، کاتبی، کاشی (حسن آملی)، کمالی رازی، کمال غیاث، کمال فارسی، میر سید مسکین مرشدی، مرشد الدین، محمود منور، محمود رضائی، مسیب، خواجه مقصود، مشهوری، ناطق شیرازی ،نامور، نجم محتاج، نصرت، نظیری، ندیم ،وحیدی ،هاشمی ،بلال یادگار. شعرها در معجز پیامبر و مقتل علی و ولایت نامه علی و مناقب علی و تواریخ عمر پیغمبر و ولیان و اکابران و خسروان و حکیمان و درویشان و نصیحت و موش و گربه عبید زاکانی و ستایش دوازده امام مولوی رومی و نعت رسول و ولایات، دیونامه مرتضی علی از انوری و مناقب دشت ارژن از فچنکی و قصه مجنون و وفات نامه و مقتل حسین و داستانهای زنگی و استاد و شاگرد و هجو و فرایض روزه و بحر طویل مولانا دانیال دولتخانی و مولانا نامور و معجزنامه موسی و قصیده در آزمون پدر و مادر از احمدی و قربان نامه اسمعیل پیغمبر و فتوت نامه از غری هروی که داستانهای ابراهیم ادهم و سلیمان پیغمبر است و بیشتر آنها در ستایش علی است و نثری به فارسی در (۱۷۶) ؛خط: نستعلیق، بی کا، تا: جمعه ۲۲ صفر ۸۴۴ق؛افتادگی: آغاز؛ مجدول ؛ مهر: «والقيت عليك محبة منى ۱۲۳۱»؛ کاغذ: سپاهانی ،جلد: تیماج سبز مقوایی، ۱۶۱گ، ۱۷ سطر (9</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۱۲ - ۲۵۴۶]</w:t>
      </w:r>
    </w:p>
    <w:p>
      <w:pPr>
        <w:pStyle w:val="BookText"/>
      </w:pPr>
      <w:r>
        <w:rPr>
          <w:rFonts w:ascii="IRNazanin" w:hAnsi="IRNazanin" w:eastAsia="IRNazanin" w:cs="IRNazanin"/>
          <w:lang w:bidi="fa-IR"/>
          <w:color w:val="111111"/>
          <w:sz w:val="28"/>
          <w:szCs w:val="28"/>
          <w:rtl/>
        </w:rPr>
        <w:t xml:space="preserve">۶۷. تهران؛ دانشگاه؛ شماره نسخه :۱۳۰۷-ف</w:t>
      </w:r>
    </w:p>
    <w:p>
      <w:pPr>
        <w:pStyle w:val="BookText"/>
      </w:pPr>
      <w:r>
        <w:rPr>
          <w:rFonts w:ascii="IRNazanin" w:hAnsi="IRNazanin" w:eastAsia="IRNazanin" w:cs="IRNazanin"/>
          <w:lang w:bidi="fa-IR"/>
          <w:color w:val="111111"/>
          <w:sz w:val="28"/>
          <w:szCs w:val="28"/>
          <w:rtl/>
        </w:rPr>
        <w:t xml:space="preserve">نسخه اصل: پاریس 795 .</w:t>
      </w:r>
      <w:r>
        <w:rPr>
          <w:rFonts w:ascii="Times New Roman" w:hAnsi="Times New Roman" w:eastAsia="Times New Roman" w:cs="Times New Roman"/>
          <w:lang w:val="en-US" w:bidi="en-US"/>
          <w:color w:val="111111"/>
          <w:sz w:val="28"/>
          <w:szCs w:val="28"/>
          <w:rtl/>
        </w:rPr>
        <w:t xml:space="preserve">P. S (</w:t>
      </w:r>
      <w:r>
        <w:rPr>
          <w:rFonts w:ascii="IRNazanin" w:hAnsi="IRNazanin" w:eastAsia="IRNazanin" w:cs="IRNazanin"/>
          <w:lang w:bidi="fa-IR"/>
          <w:color w:val="111111"/>
          <w:sz w:val="28"/>
          <w:szCs w:val="28"/>
          <w:rtl/>
        </w:rPr>
        <w:t xml:space="preserve">بلوشه (۱۹۶۹). دیوان شعرهای فارسی ظهیر فاریابی و کمال الدین اسماعیل اصفهانی (در متن) و قاسم انوار و خیالی و جلال عضد یزدی و ابن عماد و کاتبی و آذری و عصمت بخاری و سلمان و امیر ناصر بخاری (در هامش) ؛خط: نستعلیق، کا: جلال الدین فتح الله، تا: ۸۴۷ق؛ ۵۴۰گ، ۲۱ سطر [فيلمها: ۱ - ۵۹۲]</w:t>
      </w:r>
    </w:p>
    <w:p>
      <w:pPr>
        <w:pStyle w:val="BookText"/>
      </w:pPr>
      <w:r>
        <w:rPr>
          <w:rFonts w:ascii="IRNazanin" w:hAnsi="IRNazanin" w:eastAsia="IRNazanin" w:cs="IRNazanin"/>
          <w:lang w:bidi="fa-IR"/>
          <w:color w:val="111111"/>
          <w:sz w:val="28"/>
          <w:szCs w:val="28"/>
          <w:rtl/>
        </w:rPr>
        <w:t xml:space="preserve">۶۸. تهران؛ سپهسالار؛ شماره نسخه: ۷۰۹۷</w:t>
      </w:r>
    </w:p>
    <w:p>
      <w:pPr>
        <w:pStyle w:val="BookText"/>
      </w:pPr>
      <w:r>
        <w:rPr>
          <w:rFonts w:ascii="IRNazanin" w:hAnsi="IRNazanin" w:eastAsia="IRNazanin" w:cs="IRNazanin"/>
          <w:lang w:bidi="fa-IR"/>
          <w:color w:val="111111"/>
          <w:sz w:val="28"/>
          <w:szCs w:val="28"/>
          <w:rtl/>
        </w:rPr>
        <w:t xml:space="preserve">شعرهای فردوسی، لطف الله  نیشابوری ،خواجو کرمانی، کمال فارسی، جلال جعفری، حسن کاشی، امیر نصرت رازی، علی سوگندی، اقطع السان، حمزه کوچک، وحید تبریزی، یوسف بنا، بابا افضل کاشی، کمال الدین قصیده وفایی، شمس بلیانی خواجوی کرمانی، ابن حیدر سبزواری، ابن خواجه کاشی، مولانا ارزی به فارسی، کمال بن غیاث، على بنداری، ناصر خسرو، جعفری یزدی، حیدر علی باری ،کسایی، توحیدی، سعیدالدین  سلطانی، نجم الدین کبری، ابن مورخ کاشی، سعید هروی، جنید،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حافظ شیرازی در بردارد. و نیز درباره دزد (یک صفحه و شعر) و رفیع شروانی و پوربنا در آن است [این مجموعه به تصحیح امینه محلاتی، در تهران، انتشارات کتابخانه مجلس شورای اسلامی، ۱۳۹۰ شمسی، ۲۵۹ص، با عنوان «تشیع و ولای اهل بیـت در ادب فارسی (جنگ عبدالکریم مداح) چاپ شده است؛ خـط: نسخ، کا: عبدالکریم مداح، تا: ۸۴۹ق؛ کاغذ: سمرقندی، جـلد: تيماج سبز مقوایی، ۱۰۶گ، ۱۵ سطر (11/5</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۴ - ۹۱]</w:t>
      </w:r>
    </w:p>
    <w:p>
      <w:pPr>
        <w:pStyle w:val="BookText"/>
      </w:pPr>
      <w:r>
        <w:rPr>
          <w:rFonts w:ascii="IRNazanin" w:hAnsi="IRNazanin" w:eastAsia="IRNazanin" w:cs="IRNazanin"/>
          <w:lang w:bidi="fa-IR"/>
          <w:color w:val="111111"/>
          <w:sz w:val="28"/>
          <w:szCs w:val="28"/>
          <w:rtl/>
        </w:rPr>
        <w:t xml:space="preserve">۶۹. تهران؛ دانشگاه؛ شماره نسخه: ۱۲۹/۷-ف</w:t>
      </w:r>
    </w:p>
    <w:p>
      <w:pPr>
        <w:pStyle w:val="BookText"/>
      </w:pPr>
      <w:r>
        <w:rPr>
          <w:rFonts w:ascii="IRNazanin" w:hAnsi="IRNazanin" w:eastAsia="IRNazanin" w:cs="IRNazanin"/>
          <w:lang w:bidi="fa-IR"/>
          <w:color w:val="111111"/>
          <w:sz w:val="28"/>
          <w:szCs w:val="28"/>
          <w:rtl/>
        </w:rPr>
        <w:t xml:space="preserve">نسخه اصل: ایاصوفیا ش ۴۷۹۵. قصیده ای در ستایش علی با مناجات عينيه علی (علیه السّلام)؛ خط: نسخ، بی کا ، تا: ۸۵۵ق؛ اگ (134) ۱۴ سطر [ فیلمها: ۱ - ۴۱۲]</w:t>
      </w:r>
    </w:p>
    <w:p>
      <w:pPr>
        <w:pStyle w:val="BookText"/>
      </w:pPr>
      <w:r>
        <w:rPr>
          <w:rFonts w:ascii="IRNazanin" w:hAnsi="IRNazanin" w:eastAsia="IRNazanin" w:cs="IRNazanin"/>
          <w:lang w:bidi="fa-IR"/>
          <w:color w:val="111111"/>
          <w:sz w:val="28"/>
          <w:szCs w:val="28"/>
          <w:rtl/>
        </w:rPr>
        <w:t xml:space="preserve">۷۰. تهران؛ مجلس؛ شماره نسخه: ۱۰۲۳۵/۷</w:t>
      </w:r>
    </w:p>
    <w:p>
      <w:pPr>
        <w:pStyle w:val="BookText"/>
      </w:pPr>
      <w:r>
        <w:rPr>
          <w:rFonts w:ascii="IRNazanin" w:hAnsi="IRNazanin" w:eastAsia="IRNazanin" w:cs="IRNazanin"/>
          <w:lang w:bidi="fa-IR"/>
          <w:color w:val="111111"/>
          <w:sz w:val="28"/>
          <w:szCs w:val="28"/>
          <w:rtl/>
        </w:rPr>
        <w:t xml:space="preserve">آغاز: بسمله سخت بدکارم خدایا عاصیم بر قال قيل *** بر من از رحمت نظر کن از سر لطف جزیل؛ انجام: یاد مولا روز شب کن تا بیابی صد فتوح *** ذکر حق باشد همیشه اهل دل را قوة روح</w:t>
      </w:r>
    </w:p>
    <w:p>
      <w:pPr>
        <w:pStyle w:val="BookText"/>
      </w:pPr>
      <w:r>
        <w:rPr>
          <w:rFonts w:ascii="IRNazanin" w:hAnsi="IRNazanin" w:eastAsia="IRNazanin" w:cs="IRNazanin"/>
          <w:lang w:bidi="fa-IR"/>
          <w:color w:val="111111"/>
          <w:sz w:val="28"/>
          <w:szCs w:val="28"/>
          <w:rtl/>
        </w:rPr>
        <w:t xml:space="preserve">خط: نسخ، بی کا، تا: ۸۵۶ق؛ کاغذ: آبی و نخودی ،جلد: تیماج مشکی، ۲ ص (۱۲۲ - ۱۲۳)،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۳۲ - ۲۷۲]</w:t>
      </w:r>
    </w:p>
    <w:p>
      <w:pPr>
        <w:pStyle w:val="BookText"/>
      </w:pPr>
      <w:r>
        <w:rPr>
          <w:rFonts w:ascii="IRNazanin" w:hAnsi="IRNazanin" w:eastAsia="IRNazanin" w:cs="IRNazanin"/>
          <w:lang w:bidi="fa-IR"/>
          <w:color w:val="111111"/>
          <w:sz w:val="28"/>
          <w:szCs w:val="28"/>
          <w:rtl/>
        </w:rPr>
        <w:t xml:space="preserve">۷۱. تهران؛ دانشگاه؛ شماره نسخه: ۱۴۲-ف</w:t>
      </w:r>
    </w:p>
    <w:p>
      <w:pPr>
        <w:pStyle w:val="BookText"/>
      </w:pPr>
      <w:r>
        <w:rPr>
          <w:rFonts w:ascii="IRNazanin" w:hAnsi="IRNazanin" w:eastAsia="IRNazanin" w:cs="IRNazanin"/>
          <w:lang w:bidi="fa-IR"/>
          <w:color w:val="111111"/>
          <w:sz w:val="28"/>
          <w:szCs w:val="28"/>
          <w:rtl/>
        </w:rPr>
        <w:t xml:space="preserve">نسخه اصل: فاتح ش ۴۰۷۶ .شعرهای کمال ،حافظ، خسـرو، کاتبی، ابن غیاث و جامی؛ خط: نستعلیق، كا: شرف الدين حسـین سلطانی، تا: ۸۷۸ق، ۵۲گ، ۱۰ سطر [فیلمها: ۱ - ۴۱۸]</w:t>
      </w:r>
    </w:p>
    <w:p>
      <w:pPr>
        <w:pStyle w:val="BookText"/>
      </w:pPr>
      <w:r>
        <w:rPr>
          <w:rFonts w:ascii="IRNazanin" w:hAnsi="IRNazanin" w:eastAsia="IRNazanin" w:cs="IRNazanin"/>
          <w:lang w:bidi="fa-IR"/>
          <w:color w:val="111111"/>
          <w:sz w:val="28"/>
          <w:szCs w:val="28"/>
          <w:rtl/>
        </w:rPr>
        <w:t xml:space="preserve">۷۲. تهران؛ ملی؛ شماره نسخه: ۱۴۰-عکسی</w:t>
      </w:r>
    </w:p>
    <w:p>
      <w:pPr>
        <w:pStyle w:val="BookText"/>
      </w:pPr>
      <w:r>
        <w:rPr>
          <w:rFonts w:ascii="IRNazanin" w:hAnsi="IRNazanin" w:eastAsia="IRNazanin" w:cs="IRNazanin"/>
          <w:lang w:bidi="fa-IR"/>
          <w:color w:val="111111"/>
          <w:sz w:val="28"/>
          <w:szCs w:val="28"/>
          <w:rtl/>
        </w:rPr>
        <w:t xml:space="preserve">نسخه اصل: کتابخانه فاتح ترکیه ش ۴۰۷۶. مجموعه اشعار اسـت از فاضل الشعراء؛ بی کا، تا: ۸۷۸ق [ نشریه: ۲ - ۲۷۹]</w:t>
      </w:r>
    </w:p>
    <w:p>
      <w:pPr>
        <w:pStyle w:val="BookText"/>
      </w:pPr>
      <w:r>
        <w:rPr>
          <w:rFonts w:ascii="IRNazanin" w:hAnsi="IRNazanin" w:eastAsia="IRNazanin" w:cs="IRNazanin"/>
          <w:lang w:bidi="fa-IR"/>
          <w:color w:val="111111"/>
          <w:sz w:val="28"/>
          <w:szCs w:val="28"/>
          <w:rtl/>
        </w:rPr>
        <w:t xml:space="preserve">۷۳. تهران؛ ملی؛ شماره نسخه: ۱۵۷۷۵</w:t>
      </w:r>
    </w:p>
    <w:p>
      <w:pPr>
        <w:pStyle w:val="BookText"/>
      </w:pPr>
      <w:r>
        <w:rPr>
          <w:rFonts w:ascii="IRNazanin" w:hAnsi="IRNazanin" w:eastAsia="IRNazanin" w:cs="IRNazanin"/>
          <w:lang w:bidi="fa-IR"/>
          <w:color w:val="111111"/>
          <w:sz w:val="28"/>
          <w:szCs w:val="28"/>
          <w:rtl/>
        </w:rPr>
        <w:t xml:space="preserve">آغاز: من بیچاره سودا زده سرگردانم *** که باوصف خداوند سخن چون رانم؛ انجام: مطلب جود ز آنکس که همه عمر ز بخل *** دست همکاسه بجز صورت همکاسه ندید.</w:t>
      </w:r>
    </w:p>
    <w:p>
      <w:pPr>
        <w:pStyle w:val="BookText"/>
      </w:pPr>
      <w:r>
        <w:rPr>
          <w:rFonts w:ascii="IRNazanin" w:hAnsi="IRNazanin" w:eastAsia="IRNazanin" w:cs="IRNazanin"/>
          <w:lang w:bidi="fa-IR"/>
          <w:color w:val="111111"/>
          <w:sz w:val="28"/>
          <w:szCs w:val="28"/>
          <w:rtl/>
        </w:rPr>
        <w:t xml:space="preserve">مجموعه اشعاری است از شاه قاسم انوار ،اوحدی، سعدی، حافظ ،حسن، عصمت، بساطی ،جامی ،شاهی، خیالی، طوسی و ابن یمـین؛ خط: نستعلیق، کا: غیاث الدین بن ولی قاسمی، تا: ۸۸۰ق؛ در برگ ظهریه شمسه مذهب، کتیبه و لچک مذهب مرصع، مجدول، یک مینیاتور در برگ ۶پ؛کاغذ: دولت آبادی نخودی، جـلد: تیماج مشکی مقوایی با ترنج و سرترنج و لچک و جدول به رنگ زرد، (۲۸۳ پ -۳۲۷)، سطور چلیپا، اندازه:۱۶/۵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۲۵/۵سم [ رایانه]</w:t>
      </w:r>
    </w:p>
    <w:p>
      <w:pPr>
        <w:pStyle w:val="BookText"/>
      </w:pPr>
      <w:r>
        <w:rPr>
          <w:rFonts w:ascii="IRNazanin" w:hAnsi="IRNazanin" w:eastAsia="IRNazanin" w:cs="IRNazanin"/>
          <w:lang w:bidi="fa-IR"/>
          <w:color w:val="111111"/>
          <w:sz w:val="28"/>
          <w:szCs w:val="28"/>
          <w:rtl/>
        </w:rPr>
        <w:t xml:space="preserve">۷۴. تهران؛ مجلس؛ شماره نسخه: ۱۴۲۴۱/۱</w:t>
      </w:r>
    </w:p>
    <w:p>
      <w:pPr>
        <w:pStyle w:val="BookText"/>
      </w:pPr>
      <w:r>
        <w:rPr>
          <w:rFonts w:ascii="IRNazanin" w:hAnsi="IRNazanin" w:eastAsia="IRNazanin" w:cs="IRNazanin"/>
          <w:lang w:bidi="fa-IR"/>
          <w:color w:val="111111"/>
          <w:sz w:val="28"/>
          <w:szCs w:val="28"/>
          <w:rtl/>
        </w:rPr>
        <w:t xml:space="preserve">آغاز: کار بیکاران نباشد خوابگاه آراستن *** مسند درویش خواب آلوده کنج لنگرست / گشت رعنایان بود در زیر بید و پای گل*** بوستان شیر مردان پای ... است؛ انجام: آنکه یک طـبعم چهارست و برین نبود مزید*** کامهات اربعین آمین ز ... تراست منظومه تائیه ای است در پند و اندرز و مغرور نشدن بر علوم ظاهری؛ خط: نستعلیق، بی کا، تا: ۸۸۱ق؛ افتادگی: آغاز؛  جلد:تیماج قهوه ای ضربی با ترنج با سر، لچکی، عطف و حاشیه گالینگور، ۲گ(ار-۲ ر)، ۲۵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۲۶سم [ف: ۳۸-۳۵۱]</w:t>
      </w:r>
    </w:p>
    <w:p>
      <w:pPr>
        <w:pStyle w:val="BookText"/>
      </w:pPr>
      <w:r>
        <w:rPr>
          <w:rFonts w:ascii="IRNazanin" w:hAnsi="IRNazanin" w:eastAsia="IRNazanin" w:cs="IRNazanin"/>
          <w:lang w:bidi="fa-IR"/>
          <w:color w:val="111111"/>
          <w:sz w:val="28"/>
          <w:szCs w:val="28"/>
          <w:rtl/>
        </w:rPr>
        <w:t xml:space="preserve">۷۵. تهران؛ ملی؛ شماره نسخه: عکسی بدون شماره</w:t>
      </w:r>
    </w:p>
    <w:p>
      <w:pPr>
        <w:pStyle w:val="BookText"/>
      </w:pPr>
      <w:r>
        <w:rPr>
          <w:rFonts w:ascii="IRNazanin" w:hAnsi="IRNazanin" w:eastAsia="IRNazanin" w:cs="IRNazanin"/>
          <w:lang w:bidi="fa-IR"/>
          <w:color w:val="111111"/>
          <w:sz w:val="28"/>
          <w:szCs w:val="28"/>
          <w:rtl/>
        </w:rPr>
        <w:t xml:space="preserve">نسخه اصل: از تو بینگن شماره 3732 .</w:t>
      </w:r>
      <w:r>
        <w:rPr>
          <w:rFonts w:ascii="Times New Roman" w:hAnsi="Times New Roman" w:eastAsia="Times New Roman" w:cs="Times New Roman"/>
          <w:lang w:val="en-US" w:bidi="en-US"/>
          <w:color w:val="111111"/>
          <w:sz w:val="28"/>
          <w:szCs w:val="28"/>
          <w:rtl/>
        </w:rPr>
        <w:t xml:space="preserve">Oct. </w:t>
      </w:r>
      <w:r>
        <w:rPr>
          <w:rFonts w:ascii="IRNazanin" w:hAnsi="IRNazanin" w:eastAsia="IRNazanin" w:cs="IRNazanin"/>
          <w:lang w:bidi="fa-IR"/>
          <w:color w:val="111111"/>
          <w:sz w:val="28"/>
          <w:szCs w:val="28"/>
          <w:rtl/>
        </w:rPr>
        <w:t xml:space="preserve">دواوين اشعار امير خسرو ،حافظ، کمال خجندی ،آذری ،عصمت بخاری، حسن دهلوی، سلمان ساوجی ،کاتبی جامی، سعد (غیر سعدی) ،خیالی ،شاهی ،طوسی ،سهیلی ،سیفی ،اشرف طالعی ،طالب، ابن یمین، خیام؛ بی کا، تا: ۸۹۲ق [ نشریه: ۳ - ۱۰۱]</w:t>
      </w:r>
    </w:p>
    <w:p>
      <w:pPr>
        <w:pStyle w:val="BookText"/>
      </w:pPr>
      <w:r>
        <w:rPr>
          <w:rFonts w:ascii="IRNazanin" w:hAnsi="IRNazanin" w:eastAsia="IRNazanin" w:cs="IRNazanin"/>
          <w:lang w:bidi="fa-IR"/>
          <w:color w:val="111111"/>
          <w:sz w:val="28"/>
          <w:szCs w:val="28"/>
          <w:rtl/>
        </w:rPr>
        <w:t xml:space="preserve">۷۶. تهران؛ دانشگاه؛ شماره :نسخه ۱۳۱۸-ف و ۱۳۱۹-ف</w:t>
      </w:r>
    </w:p>
    <w:p>
      <w:pPr>
        <w:pStyle w:val="BookText"/>
      </w:pPr>
      <w:r>
        <w:rPr>
          <w:rFonts w:ascii="IRNazanin" w:hAnsi="IRNazanin" w:eastAsia="IRNazanin" w:cs="IRNazanin"/>
          <w:lang w:bidi="fa-IR"/>
          <w:color w:val="111111"/>
          <w:sz w:val="28"/>
          <w:szCs w:val="28"/>
          <w:rtl/>
        </w:rPr>
        <w:t xml:space="preserve">نسخه اصل: پاریس 781.</w:t>
      </w:r>
      <w:r>
        <w:rPr>
          <w:rFonts w:ascii="Times New Roman" w:hAnsi="Times New Roman" w:eastAsia="Times New Roman" w:cs="Times New Roman"/>
          <w:lang w:val="en-US" w:bidi="en-US"/>
          <w:color w:val="111111"/>
          <w:sz w:val="28"/>
          <w:szCs w:val="28"/>
          <w:rtl/>
        </w:rPr>
        <w:t xml:space="preserve">s. p (</w:t>
      </w:r>
      <w:r>
        <w:rPr>
          <w:rFonts w:ascii="IRNazanin" w:hAnsi="IRNazanin" w:eastAsia="IRNazanin" w:cs="IRNazanin"/>
          <w:lang w:bidi="fa-IR"/>
          <w:color w:val="111111"/>
          <w:sz w:val="28"/>
          <w:szCs w:val="28"/>
          <w:rtl/>
        </w:rPr>
        <w:t xml:space="preserve">بلوشه ش ۱۹۷۱). به رسم کتابخانه الغ بیک، دارای پنج گنج نظامی: مخزن الاسرار، شیرین و خسرو، لیلی و مجنون، هفت پیکر، سکندر نامه و امامیه آذری و ترجیع بند افشنیگ و ترجیع بند و مثنوی و رباعی اوحدی و ترجیع بند امیر نسیمی و مقطعات شیخ مرتضی قلندر و پاسخ سید نعمة الله و رباعی و مقطعات و و مثنوی امیر سید حسین و غزل و مثنوی و رباعی مولی حسین خوارزمی (متن) و دیوانهای حافظ و کاتبی و عصمت و بساطی سمرقندی و ریاضی و صادقی و خسرو دهلوی و نوایی و فضلی (هامش ج ۱) و «خمسه دهلوی» و «زاد المسافرين» امیر حسینی و «نزهة الارواح» و «کنز الرموز» و «روشنایی نامه» ناصر خسرو و «سعادت نامه» همو و «سی نامه» امیر حسینی و «بلبل نامه» عطار و «ده نامه» ابن عماد ساخته ربیع الاول ۷۶۸ و «پنج گنج» امیر سید حسینی و بوستانی سعدی و منطق الطیر عطار (متن) و کلیات سلمان ساوجی: قصیده و جمشید و خورشید و فراق نامه و مدیحه و مقطعات و ترجیع و ترجیع بند و غزل و رباعی (هامش ج2)؛ خط: نستعلیق، بی کا، تا:ربيع الاول ۸۹۲ق؛ ۲۹۶گ[ فيلمها: ۱ - ۵۹۳]  ۷۷. تبریز؛ ملی؛ شماره نسخه: ۳۶۷۱</w:t>
      </w:r>
    </w:p>
    <w:p>
      <w:pPr>
        <w:pStyle w:val="BookText"/>
      </w:pPr>
      <w:r>
        <w:rPr>
          <w:rFonts w:ascii="IRNazanin" w:hAnsi="IRNazanin" w:eastAsia="IRNazanin" w:cs="IRNazanin"/>
          <w:lang w:bidi="fa-IR"/>
          <w:color w:val="111111"/>
          <w:sz w:val="28"/>
          <w:szCs w:val="28"/>
          <w:rtl/>
        </w:rPr>
        <w:t xml:space="preserve">شامل اشعار امیر خسرو دهلوی و دیوان جامی و دیوان صادقی و دیوان شاهی؛ خط: نستعلیق پخته و زیبا ،کا: قطب الدین بن محمد ،تا: ۸۹۶ق ؛کاغذ: سمرقندی ،جلد: چرمی زرنشان، ۲۱۸گ، متن و حاشیه، 3- 27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 [ف: ۳ - ۱۲۳۴]</w:t>
      </w:r>
    </w:p>
    <w:p>
      <w:pPr>
        <w:pStyle w:val="BookText"/>
      </w:pPr>
      <w:r>
        <w:rPr>
          <w:rFonts w:ascii="IRNazanin" w:hAnsi="IRNazanin" w:eastAsia="IRNazanin" w:cs="IRNazanin"/>
          <w:lang w:bidi="fa-IR"/>
          <w:color w:val="111111"/>
          <w:sz w:val="28"/>
          <w:szCs w:val="28"/>
          <w:rtl/>
        </w:rPr>
        <w:t xml:space="preserve">۷۸. تهران؛ مجلس؛ شماره نسخه: ۵۴۴</w:t>
      </w:r>
    </w:p>
    <w:p>
      <w:pPr>
        <w:pStyle w:val="BookText"/>
      </w:pPr>
      <w:r>
        <w:rPr>
          <w:rFonts w:ascii="IRNazanin" w:hAnsi="IRNazanin" w:eastAsia="IRNazanin" w:cs="IRNazanin"/>
          <w:lang w:bidi="fa-IR"/>
          <w:color w:val="111111"/>
          <w:sz w:val="28"/>
          <w:szCs w:val="28"/>
          <w:rtl/>
        </w:rPr>
        <w:t xml:space="preserve">از هلالی تا امیرشاهی؛ خط: نستعلیق خوش، کا: میرعماد، تا: قرن ۱۰؛ گویا از میرعماد به نوشته میرزا شفیع شیرازی در پایان هامش چلیپا ،مجدول؛ کاغذ: سفید، جلد: تيماج سبز تیره ضربی مقوایی درون تیماج حنایی، ۶۲گ، ۱۷ سطر (5</w:t>
      </w:r>
      <w:r>
        <w:rPr>
          <w:rFonts w:ascii="Times New Roman" w:hAnsi="Times New Roman" w:eastAsia="Times New Roman" w:cs="Times New Roman"/>
          <w:lang w:val="en-US" w:bidi="en-US"/>
          <w:color w:val="111111"/>
          <w:sz w:val="28"/>
          <w:szCs w:val="28"/>
          <w:rtl/>
        </w:rPr>
        <w:t xml:space="preserve">×7)</w:t>
      </w:r>
      <w:r>
        <w:rPr>
          <w:rFonts w:ascii="IRNazanin" w:hAnsi="IRNazanin" w:eastAsia="IRNazanin" w:cs="IRNazanin"/>
          <w:lang w:bidi="fa-IR"/>
          <w:color w:val="111111"/>
          <w:sz w:val="28"/>
          <w:szCs w:val="28"/>
          <w:rtl/>
        </w:rPr>
        <w:t xml:space="preserve">،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۱۹سم[سنا: ف: ۱ - ۳۴۶]</w:t>
      </w:r>
    </w:p>
    <w:p>
      <w:pPr>
        <w:pStyle w:val="BookText"/>
      </w:pPr>
      <w:r>
        <w:rPr>
          <w:rFonts w:ascii="IRNazanin" w:hAnsi="IRNazanin" w:eastAsia="IRNazanin" w:cs="IRNazanin"/>
          <w:lang w:bidi="fa-IR"/>
          <w:color w:val="111111"/>
          <w:sz w:val="28"/>
          <w:szCs w:val="28"/>
          <w:rtl/>
        </w:rPr>
        <w:t xml:space="preserve">۷۹. تهران؛ مجلس؛ شماره نسخه: ۱۳۶۳۷</w:t>
      </w:r>
    </w:p>
    <w:p>
      <w:pPr>
        <w:pStyle w:val="BookText"/>
      </w:pPr>
      <w:r>
        <w:rPr>
          <w:rFonts w:ascii="IRNazanin" w:hAnsi="IRNazanin" w:eastAsia="IRNazanin" w:cs="IRNazanin"/>
          <w:lang w:bidi="fa-IR"/>
          <w:color w:val="111111"/>
          <w:sz w:val="28"/>
          <w:szCs w:val="28"/>
          <w:rtl/>
        </w:rPr>
        <w:t xml:space="preserve">علاوه بر رسائلی که به طور کامل آمده و به طور جداگانه معرفی شده است، در بقیه اوراق اشعاری از شعرای زیر به صورت پراکنده آمده است ،نویدی، اهلی ،پناهی، ریاضی، محوی، کاتبی ،حیرتی ،حیدر ،مفلسی ،خلقی ،نثاری، حسامی، کوکبی، مانی، ،صبوحی ،صالح خیالی ،هاتفی ،طاهر سیفی، آذری، حسینی ،
</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انسی ،عصمت آصفی ،آهی ،خسرو ،سقا، عشقی، هلالی، کمال ،سلمان حسن دهلوی ،واحدی ،ضمیری ،خواجو ،لسانی، غزالی،( غیر از غزالی مشهدی) حافظ، حافظ حلوائی، حافظ تونی، گلخنی، ناصر ،بساطی ،جامی ،نهالی ،شریفی، بنائی، حسینی ،هاشمی ،حرفی ،وفائی ،قبولی ،فکری ،همایون ،همدم، فنائی، احمد ژنده پیل ،نظامی،شهیدی ،میلی محتشم (غیر از محتـشم کاشانی) نیازی ،سعد، سعدی، مسعود سعد ،شریف، شرف ،قدسی ،هاشم، نسیمی ابن یمین ،عزمی ،عراقی ،و اصلی، طوسی، جمال ،مشفقی ،فریدون، سهمی ،صادق ،حریمی ،قیدی، عارف، کاهی، گداعلی، میر مظفر بد خشی ،کامران، وصالی، شیخ جمال ،نرگسی ،تونی، شاه قاسم، یوسفی؛ خط: نستعلیق، چلیپا،کا: عبدالرحمن بن شرف( از معاصران عبدالرحمن جامی و گویا تمامی جنگ به خط وی است)، تا: قرن ۱۰؛ جلد: تیماج سرخ، ۱۸۶گ، سطور چلیپایی و سه ستونی و هر ستون ۲۰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۲۹سم [ف: ۳۷ - ۱۶۲]</w:t>
      </w:r>
    </w:p>
    <w:p>
      <w:pPr>
        <w:pStyle w:val="BookText"/>
      </w:pPr>
      <w:r>
        <w:rPr>
          <w:rFonts w:ascii="IRNazanin" w:hAnsi="IRNazanin" w:eastAsia="IRNazanin" w:cs="IRNazanin"/>
          <w:lang w:bidi="fa-IR"/>
          <w:color w:val="111111"/>
          <w:sz w:val="28"/>
          <w:szCs w:val="28"/>
          <w:rtl/>
        </w:rPr>
        <w:t xml:space="preserve">80.تهران؛ دانشگاه؛ شماره نسخه: ۲۱۴۷/۳</w:t>
      </w:r>
    </w:p>
    <w:p>
      <w:pPr>
        <w:pStyle w:val="BookText"/>
      </w:pPr>
      <w:r>
        <w:rPr>
          <w:rFonts w:ascii="IRNazanin" w:hAnsi="IRNazanin" w:eastAsia="IRNazanin" w:cs="IRNazanin"/>
          <w:lang w:bidi="fa-IR"/>
          <w:color w:val="111111"/>
          <w:sz w:val="28"/>
          <w:szCs w:val="28"/>
          <w:rtl/>
        </w:rPr>
        <w:t xml:space="preserve">آغاز: ترا وفاست امید از من و من مسكين *** نبینم از تو نگار امراد غیر نقار؛ انجام: پی اتمام تاریخش خرد گفت *** مزین شد زنام نامی شاه</w:t>
      </w:r>
    </w:p>
    <w:p>
      <w:pPr>
        <w:pStyle w:val="BookText"/>
      </w:pPr>
      <w:r>
        <w:rPr>
          <w:rFonts w:ascii="IRNazanin" w:hAnsi="IRNazanin" w:eastAsia="IRNazanin" w:cs="IRNazanin"/>
          <w:lang w:bidi="fa-IR"/>
          <w:color w:val="111111"/>
          <w:sz w:val="28"/>
          <w:szCs w:val="28"/>
          <w:rtl/>
        </w:rPr>
        <w:t xml:space="preserve">قصیده مصنوع است؛ خط: نستعلیق، بی کا، تا: قرن ۱۰؛ افتادگی: آغاز؛ کاغذ: سپاهانی، جلد: مقوا ۱۰گ (۲۴پ-۳۴پ)، ۱۸ سـطر (7</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،اندازه: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۱۸/۵سم [ف: ۹ - ۸۴۴]</w:t>
      </w:r>
    </w:p>
    <w:p>
      <w:pPr>
        <w:pStyle w:val="BookText"/>
      </w:pPr>
      <w:r>
        <w:rPr>
          <w:rFonts w:ascii="IRNazanin" w:hAnsi="IRNazanin" w:eastAsia="IRNazanin" w:cs="IRNazanin"/>
          <w:lang w:bidi="fa-IR"/>
          <w:color w:val="111111"/>
          <w:sz w:val="28"/>
          <w:szCs w:val="28"/>
          <w:rtl/>
        </w:rPr>
        <w:t xml:space="preserve">۸۱. تهران؛ دانشگاه؛ شماره نسخه: ۸۴۵۵</w:t>
      </w:r>
    </w:p>
    <w:p>
      <w:pPr>
        <w:pStyle w:val="BookText"/>
      </w:pPr>
      <w:r>
        <w:rPr>
          <w:rFonts w:ascii="IRNazanin" w:hAnsi="IRNazanin" w:eastAsia="IRNazanin" w:cs="IRNazanin"/>
          <w:lang w:bidi="fa-IR"/>
          <w:color w:val="111111"/>
          <w:sz w:val="28"/>
          <w:szCs w:val="28"/>
          <w:rtl/>
        </w:rPr>
        <w:t xml:space="preserve">اشعاری از: امیر خسرو ،جامی ،ریاضی ،نرگس ،حافظ، شهیدی، میرک، شیخ نجم افغانی ،آصفی، صابری، عصمت، کاتبی، سلطانی، عماد فقیه، حالی، امیر قاسمی ،خواجه  سلمان، سعدی، شیخ کمال خجندی، امیر صادقی، امیر شاهی، قاضی زین الدین علی ،فضلی ،طوبی ،مدیحی ،جلال شهپور ،طالب ،ذاتی، خیالی، ابن حسام، ركن الدين صاين، سلطان یعقوب، قاضی یمنی ،میر بایزید ،منطقی ،مایلی ،سیاف ،چرخی ،طفلی ،طوسی گلخنی ،نصیبی، میر همایون ،فانی ،امیری، بنائی، غیاثی، دهکی، سیفی، سمائی،مشکی ،حلوایی ،میرابراهیم ،مقبول، فتاحی، حمـید، ابوتراب، میرزا ظریفی، دیوانه، خاصی، جزوی، شیخ آذری درویش غیبی؛ خط: نستعلیق، بی کا، تا: قرن ۹ و ۱۰؛ مجدول زرو لاجورد ؛کاغذ:سپاهانی ،جلد: تیماج تریاکی مقوایی، ربعی، ۳۱۵گ، ۱۲ سطر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۱۷ - ۱۳۸]</w:t>
      </w:r>
    </w:p>
    <w:p>
      <w:pPr>
        <w:pStyle w:val="BookText"/>
      </w:pPr>
      <w:r>
        <w:rPr>
          <w:rFonts w:ascii="IRNazanin" w:hAnsi="IRNazanin" w:eastAsia="IRNazanin" w:cs="IRNazanin"/>
          <w:lang w:bidi="fa-IR"/>
          <w:color w:val="111111"/>
          <w:sz w:val="28"/>
          <w:szCs w:val="28"/>
          <w:rtl/>
        </w:rPr>
        <w:t xml:space="preserve">۸۲. تهران ،بیانی مهدی (دکتر)؛ شماره نسخه: ۲۳۲</w:t>
      </w:r>
    </w:p>
    <w:p>
      <w:pPr>
        <w:pStyle w:val="BookText"/>
      </w:pPr>
      <w:r>
        <w:rPr>
          <w:rFonts w:ascii="IRNazanin" w:hAnsi="IRNazanin" w:eastAsia="IRNazanin" w:cs="IRNazanin"/>
          <w:lang w:bidi="fa-IR"/>
          <w:color w:val="111111"/>
          <w:sz w:val="28"/>
          <w:szCs w:val="28"/>
          <w:rtl/>
        </w:rPr>
        <w:t xml:space="preserve">غزل ها به ترتیب تهجی قافیه ها، نخستین غزل از عراقی و باز پسین ازسعدی، چنین است فهرست نام سرایندگان غزل ها ابن حسـام، ابن نصوح، ابن یمین و اثیر از هر یک یک غزل، امیر کرمانی پنج غزل، اوحدی سه، جلال پانزده، جنید سه، حافظ بیست و پنج، خاقانی دو، خواجو بیست و چهار، سعدی پنج، سلمان پنجاه ونه، شرف یک، شمس مزین نه، شمس الدین  یک، صلاح الدین یک، عبدالمجید هشت، عراقی چهارده، عصار ده، عطار نوزده، على قلى يازده، عماد بیست و هفت، کریم دو، کمال بیست و هفت، مجیر یک، مغربی هفت، ناصر شش، ولا یک، صیدی (وحیدی) سی، هاشمی دو، همام هفت، گمنام سی؛ خط: نستعلیق، بی کا، تا: قرن ۹ و ۱۰؛ افتادگی: آغاز و انجام؛ با فهرست به ترتیب تهجى [ نشریه ۶ - ۶۹۱]</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تهران؛ دانشگاه؛ شماره نسخه: ۴۳۰۸</w:t>
      </w:r>
    </w:p>
    <w:p>
      <w:pPr>
        <w:pStyle w:val="BookText"/>
      </w:pPr>
      <w:r>
        <w:rPr>
          <w:rFonts w:ascii="IRNazanin" w:hAnsi="IRNazanin" w:eastAsia="IRNazanin" w:cs="IRNazanin"/>
          <w:lang w:bidi="fa-IR"/>
          <w:color w:val="111111"/>
          <w:sz w:val="28"/>
          <w:szCs w:val="28"/>
          <w:rtl/>
        </w:rPr>
        <w:t xml:space="preserve">شامل رباعی شیخ کبیر (۵۱ر) غزل هایی با تخلص مسعود و مسعودی (۵۲ر-۵۵ر)، یازده بند از ابن مسعود، غزل با تخلص احمد گویا از شیخ احمد زنده پیل جام (۵۵)، قصیده سعدی (۵۵پ)؛ خط: نستعلیق خوش، بی کا، تا: قرن ۹ و 10،مجدول، نسخه بسیار پاکیزه؛ کاغذ: سمرقندی، جلد: تیماج عنابی زرین ترنجی، ۵۷گ، ۲۵ سطر (6</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اندازه: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۱۳  - 3273]</w:t>
      </w:r>
    </w:p>
    <w:p>
      <w:pPr>
        <w:pStyle w:val="BookText"/>
      </w:pPr>
      <w:r>
        <w:rPr>
          <w:rFonts w:ascii="IRNazanin" w:hAnsi="IRNazanin" w:eastAsia="IRNazanin" w:cs="IRNazanin"/>
          <w:lang w:bidi="fa-IR"/>
          <w:color w:val="111111"/>
          <w:sz w:val="28"/>
          <w:szCs w:val="28"/>
          <w:rtl/>
        </w:rPr>
        <w:t xml:space="preserve">۸۴. تهران؛ دانشگاه؛ شماره نسخه: ۲۱۴۷/۵</w:t>
      </w:r>
    </w:p>
    <w:p>
      <w:pPr>
        <w:pStyle w:val="BookText"/>
      </w:pPr>
      <w:r>
        <w:rPr>
          <w:rFonts w:ascii="IRNazanin" w:hAnsi="IRNazanin" w:eastAsia="IRNazanin" w:cs="IRNazanin"/>
          <w:lang w:bidi="fa-IR"/>
          <w:color w:val="111111"/>
          <w:sz w:val="28"/>
          <w:szCs w:val="28"/>
          <w:rtl/>
        </w:rPr>
        <w:t xml:space="preserve">آغاز: بسمله، مطلع اشعار صنعت آثار فضلای سخن شناس سپاس وستایش صانعی است .... اما بعد این قصیده مصنوع ... مبنى است از مدح و ثنای عالیجاهی ثنای عالیجاهی ... آصف پناهی حبیب الهی؛ انجام: طاهر است این نبرد اهل وقوف*** که ز مطلع شد است ما موقوف</w:t>
      </w:r>
    </w:p>
    <w:p>
      <w:pPr>
        <w:pStyle w:val="BookText"/>
      </w:pPr>
      <w:r>
        <w:rPr>
          <w:rFonts w:ascii="IRNazanin" w:hAnsi="IRNazanin" w:eastAsia="IRNazanin" w:cs="IRNazanin"/>
          <w:lang w:bidi="fa-IR"/>
          <w:color w:val="111111"/>
          <w:sz w:val="28"/>
          <w:szCs w:val="28"/>
          <w:rtl/>
        </w:rPr>
        <w:t xml:space="preserve">قصیده مصنوع بنام آصف پناهی حبیب الهى؛ خط: نستعليق، بی کا، تا: قرن ۱۰ ؛کاغذ: سپاهانی ،جلد: مقوا، ۵گ (۳۹پ- ۴۳پ)، ۱۸ سطر (7</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 اندازه: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۱۸/۵سم [ف: ۹ - ۸۴۵]</w:t>
      </w:r>
    </w:p>
    <w:p>
      <w:pPr>
        <w:pStyle w:val="BookText"/>
      </w:pPr>
      <w:r>
        <w:rPr>
          <w:rFonts w:ascii="IRNazanin" w:hAnsi="IRNazanin" w:eastAsia="IRNazanin" w:cs="IRNazanin"/>
          <w:lang w:bidi="fa-IR"/>
          <w:color w:val="111111"/>
          <w:sz w:val="28"/>
          <w:szCs w:val="28"/>
          <w:rtl/>
        </w:rPr>
        <w:t xml:space="preserve">۸۵. تهران؛ دانشگاه؛ شماره نسخه: ۹۳۴۸/۳</w:t>
      </w:r>
    </w:p>
    <w:p>
      <w:pPr>
        <w:pStyle w:val="BookText"/>
      </w:pPr>
      <w:r>
        <w:rPr>
          <w:rFonts w:ascii="IRNazanin" w:hAnsi="IRNazanin" w:eastAsia="IRNazanin" w:cs="IRNazanin"/>
          <w:lang w:bidi="fa-IR"/>
          <w:color w:val="111111"/>
          <w:sz w:val="28"/>
          <w:szCs w:val="28"/>
          <w:rtl/>
        </w:rPr>
        <w:t xml:space="preserve">جنگ شعر عارفی و محمد قلندر است؛ خط: نستعلیق، بی کا، تا: قرن ۹ و ۱۰؛ کاغذ: سمرقندی، جلد: تیماج تریاکی عطف و گرد حنایی مقوایی، ۱گ (۱۱۰پ)، ۱۶ سطر (9</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 قطع: ربعی،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۱۷ – ۳۵۲]</w:t>
      </w:r>
    </w:p>
    <w:p>
      <w:pPr>
        <w:pStyle w:val="BookText"/>
      </w:pPr>
      <w:r>
        <w:rPr>
          <w:rFonts w:ascii="IRNazanin" w:hAnsi="IRNazanin" w:eastAsia="IRNazanin" w:cs="IRNazanin"/>
          <w:lang w:bidi="fa-IR"/>
          <w:color w:val="111111"/>
          <w:sz w:val="28"/>
          <w:szCs w:val="28"/>
          <w:rtl/>
        </w:rPr>
        <w:t xml:space="preserve">۸۶. تهران؛ ملک؛ شماره نسخه: ۱۸۰۴/۱۲</w:t>
      </w:r>
    </w:p>
    <w:p>
      <w:pPr>
        <w:pStyle w:val="BookText"/>
      </w:pPr>
      <w:r>
        <w:rPr>
          <w:rFonts w:ascii="IRNazanin" w:hAnsi="IRNazanin" w:eastAsia="IRNazanin" w:cs="IRNazanin"/>
          <w:lang w:bidi="fa-IR"/>
          <w:color w:val="111111"/>
          <w:sz w:val="28"/>
          <w:szCs w:val="28"/>
          <w:rtl/>
        </w:rPr>
        <w:t xml:space="preserve">غزل به نام شاه تهماسب؛خط: نستعلیق، بی کا، تا: قرن ۱۰[ ف: ۵ -  ۳۶۸ ]</w:t>
      </w:r>
    </w:p>
    <w:p>
      <w:pPr>
        <w:pStyle w:val="BookText"/>
      </w:pPr>
      <w:r>
        <w:rPr>
          <w:rFonts w:ascii="IRNazanin" w:hAnsi="IRNazanin" w:eastAsia="IRNazanin" w:cs="IRNazanin"/>
          <w:lang w:bidi="fa-IR"/>
          <w:color w:val="111111"/>
          <w:sz w:val="28"/>
          <w:szCs w:val="28"/>
          <w:rtl/>
        </w:rPr>
        <w:t xml:space="preserve">۸۷. تهران؛ ملک؛ شماره نسخه: ۴۰۴۴/۲۲</w:t>
      </w:r>
    </w:p>
    <w:p>
      <w:pPr>
        <w:pStyle w:val="BookText"/>
      </w:pPr>
      <w:r>
        <w:rPr>
          <w:rFonts w:ascii="IRNazanin" w:hAnsi="IRNazanin" w:eastAsia="IRNazanin" w:cs="IRNazanin"/>
          <w:lang w:bidi="fa-IR"/>
          <w:color w:val="111111"/>
          <w:sz w:val="28"/>
          <w:szCs w:val="28"/>
          <w:rtl/>
        </w:rPr>
        <w:t xml:space="preserve">قصیده فارسی در مدح حضرت امیر از مولانا لطف الله غالب؛ خط: نستعلیق، کا: نظام الدین یحیی مازندرانی، تا: قرن ۱۰ [ف: ۷- 165]</w:t>
      </w:r>
    </w:p>
    <w:p>
      <w:pPr>
        <w:pStyle w:val="BookText"/>
      </w:pPr>
      <w:r>
        <w:rPr>
          <w:rFonts w:ascii="IRNazanin" w:hAnsi="IRNazanin" w:eastAsia="IRNazanin" w:cs="IRNazanin"/>
          <w:lang w:bidi="fa-IR"/>
          <w:color w:val="111111"/>
          <w:sz w:val="28"/>
          <w:szCs w:val="28"/>
          <w:rtl/>
        </w:rPr>
        <w:t xml:space="preserve">۸۸. تهران؛ مفتاح؛ شماره نسخه: ۶۶۷/۳</w:t>
      </w:r>
    </w:p>
    <w:p>
      <w:pPr>
        <w:pStyle w:val="BookText"/>
      </w:pPr>
      <w:r>
        <w:rPr>
          <w:rFonts w:ascii="IRNazanin" w:hAnsi="IRNazanin" w:eastAsia="IRNazanin" w:cs="IRNazanin"/>
          <w:lang w:bidi="fa-IR"/>
          <w:color w:val="111111"/>
          <w:sz w:val="28"/>
          <w:szCs w:val="28"/>
          <w:rtl/>
        </w:rPr>
        <w:t xml:space="preserve">قصیده نونیه، یک صفحه از آن است؛ خط: نسخ، بی کا، تا: قرن  ۱۰،  قطع: ربعی [نشریه: ۷ - ۲۵۲]</w:t>
      </w:r>
    </w:p>
    <w:p>
      <w:pPr>
        <w:pStyle w:val="BookText"/>
      </w:pPr>
      <w:r>
        <w:rPr>
          <w:rFonts w:ascii="IRNazanin" w:hAnsi="IRNazanin" w:eastAsia="IRNazanin" w:cs="IRNazanin"/>
          <w:lang w:bidi="fa-IR"/>
          <w:color w:val="111111"/>
          <w:sz w:val="28"/>
          <w:szCs w:val="28"/>
          <w:rtl/>
        </w:rPr>
        <w:t xml:space="preserve">۸۹. مشهد؛ رضوی؛ شماره نسخه: ۱۰۴۲۷</w:t>
      </w:r>
    </w:p>
    <w:p>
      <w:pPr>
        <w:pStyle w:val="BookText"/>
      </w:pPr>
      <w:r>
        <w:rPr>
          <w:rFonts w:ascii="IRNazanin" w:hAnsi="IRNazanin" w:eastAsia="IRNazanin" w:cs="IRNazanin"/>
          <w:lang w:bidi="fa-IR"/>
          <w:color w:val="111111"/>
          <w:sz w:val="28"/>
          <w:szCs w:val="28"/>
          <w:rtl/>
        </w:rPr>
        <w:t xml:space="preserve">منتخب غزلیات از شاعران سده ۱۰؛ خط: نستعلیق، بی کا، تا: قرن ۱۰ [الفبائی: ۵۵۷]</w:t>
      </w:r>
    </w:p>
    <w:p>
      <w:pPr>
        <w:pStyle w:val="BookText"/>
      </w:pPr>
      <w:r>
        <w:rPr>
          <w:rFonts w:ascii="IRNazanin" w:hAnsi="IRNazanin" w:eastAsia="IRNazanin" w:cs="IRNazanin"/>
          <w:lang w:bidi="fa-IR"/>
          <w:color w:val="111111"/>
          <w:sz w:val="28"/>
          <w:szCs w:val="28"/>
          <w:rtl/>
        </w:rPr>
        <w:t xml:space="preserve">۹۰. تهران؛ مجلس؛ شماره نسخه: ۱۰۱۶/۴-طباطبائی</w:t>
      </w:r>
    </w:p>
    <w:p>
      <w:pPr>
        <w:pStyle w:val="BookText"/>
      </w:pPr>
      <w:r>
        <w:rPr>
          <w:rFonts w:ascii="IRNazanin" w:hAnsi="IRNazanin" w:eastAsia="IRNazanin" w:cs="IRNazanin"/>
          <w:lang w:bidi="fa-IR"/>
          <w:color w:val="111111"/>
          <w:sz w:val="28"/>
          <w:szCs w:val="28"/>
          <w:rtl/>
        </w:rPr>
        <w:t xml:space="preserve">اشعار از شاعران مختلف از آن جمله از انوری (در مدح حضرت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امير عليه السلام)، و نیز قصیده ای از شاعریی دیگر در همین موضوع. در این قصیده از حافظ نیز شعری آمده و بالای قصـیده نام ملاحیرتی در یک بیت دیده می شود. مطلع این قصیده: «رسید طائر اقبال نامه ای بر بال*** چه نامه ای از مشک ناب مالامال... سزد که لب نگشایم به شرح محنت هجر *** که این دو مصرع حافظ مراست وصف الحال/ حکایت شب هجران فرو گذاشته به*** به شکر آن که برافکند پرده روز وصال»؛ بی کا، تا: قرن10؛کاغذ: سمرقندی شکری رنگ، جلد: تیماج مشکی،۶ص (50-۵۵)، قطع: رقعی،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۱۸سم[ف: ۲۳ - ۲۹۷]</w:t>
      </w:r>
    </w:p>
    <w:p>
      <w:pPr>
        <w:pStyle w:val="BookText"/>
      </w:pPr>
      <w:r>
        <w:rPr>
          <w:rFonts w:ascii="IRNazanin" w:hAnsi="IRNazanin" w:eastAsia="IRNazanin" w:cs="IRNazanin"/>
          <w:lang w:bidi="fa-IR"/>
          <w:color w:val="111111"/>
          <w:sz w:val="28"/>
          <w:szCs w:val="28"/>
          <w:rtl/>
        </w:rPr>
        <w:t xml:space="preserve">91.تهران؛ مجلس؛ شماره نسخه: ۹۴۷۳</w:t>
      </w:r>
    </w:p>
    <w:p>
      <w:pPr>
        <w:pStyle w:val="BookText"/>
      </w:pPr>
      <w:r>
        <w:rPr>
          <w:rFonts w:ascii="IRNazanin" w:hAnsi="IRNazanin" w:eastAsia="IRNazanin" w:cs="IRNazanin"/>
          <w:lang w:bidi="fa-IR"/>
          <w:color w:val="111111"/>
          <w:sz w:val="28"/>
          <w:szCs w:val="28"/>
          <w:rtl/>
        </w:rPr>
        <w:t xml:space="preserve">آغاز: و لذكره .اعلی وجودم زمانی که پیدا نبود ***بجز مظهر حق تعالى نبود؛ انجام: نجما چون خاک پای سگ کوی  شان شدی *** امیدوارم باش کزیشانت بشمرند</w:t>
      </w:r>
    </w:p>
    <w:p>
      <w:pPr>
        <w:pStyle w:val="BookText"/>
      </w:pPr>
      <w:r>
        <w:rPr>
          <w:rFonts w:ascii="IRNazanin" w:hAnsi="IRNazanin" w:eastAsia="IRNazanin" w:cs="IRNazanin"/>
          <w:lang w:bidi="fa-IR"/>
          <w:color w:val="111111"/>
          <w:sz w:val="28"/>
          <w:szCs w:val="28"/>
          <w:rtl/>
        </w:rPr>
        <w:t xml:space="preserve">منتخبی از اشعار فارسی و ترکی شعرای حروفیه است همچو:نعیمی، عمادالدین  نسیمی، نعمت الهل ولى، مرتضى بن عـظم، سلطان رضا كيا، قاسم انوار، حافظ شیرازی، سید حسینی، اوحدالدین اصفهانی، محمد شیرین مغربی، مولانا جلال الدین رومی، فخرالدین عراقی، نورالدین عبدالرحمان اسفراینی و عـلاءالدوله سمنانی؛ خط: نستعلیق، بی کا، تا: قرن ۱۰، مجدول، دارای کتیبه مذهب؛ تملک: علی اصغر بن محمد ابراهیم در شعـبان ۱۲۹۴؛ جلد: تیماج  زیتونی ،۶۴گ، ۲۵ سطر، اندازه: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  سم [ف: ۳۰ - ۱۵۹]</w:t>
      </w:r>
    </w:p>
    <w:p>
      <w:pPr>
        <w:pStyle w:val="BookText"/>
      </w:pPr>
      <w:r>
        <w:rPr>
          <w:rFonts w:ascii="IRNazanin" w:hAnsi="IRNazanin" w:eastAsia="IRNazanin" w:cs="IRNazanin"/>
          <w:lang w:bidi="fa-IR"/>
          <w:color w:val="111111"/>
          <w:sz w:val="28"/>
          <w:szCs w:val="28"/>
          <w:rtl/>
        </w:rPr>
        <w:t xml:space="preserve">۹۲. تهران؛ مجلس؛ شماره نسخه: ۵۷۱۲</w:t>
      </w:r>
    </w:p>
    <w:p>
      <w:pPr>
        <w:pStyle w:val="BookText"/>
      </w:pPr>
      <w:r>
        <w:rPr>
          <w:rFonts w:ascii="IRNazanin" w:hAnsi="IRNazanin" w:eastAsia="IRNazanin" w:cs="IRNazanin"/>
          <w:lang w:bidi="fa-IR"/>
          <w:color w:val="111111"/>
          <w:sz w:val="28"/>
          <w:szCs w:val="28"/>
          <w:rtl/>
        </w:rPr>
        <w:t xml:space="preserve">در این جنگ شعرهایی از شاعران متاخر گردآوری شده؛ خـط: نستعلیق، بی کا، تا: قرن ۱۰؛ افتادگی: آغاز و انجام؛ دارای جداول زرین؛ کاغذ: سمرقندی شکری، جلد: روغنی، ۲۰۸ ص، ۱۳ سـطر، قطع: خشتی،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 ۱۷ - ۱۶۶]</w:t>
      </w:r>
    </w:p>
    <w:p>
      <w:pPr>
        <w:pStyle w:val="BookText"/>
      </w:pPr>
      <w:r>
        <w:rPr>
          <w:rFonts w:ascii="IRNazanin" w:hAnsi="IRNazanin" w:eastAsia="IRNazanin" w:cs="IRNazanin"/>
          <w:lang w:bidi="fa-IR"/>
          <w:color w:val="111111"/>
          <w:sz w:val="28"/>
          <w:szCs w:val="28"/>
          <w:rtl/>
        </w:rPr>
        <w:t xml:space="preserve">۹۳. تهران؛ ملی؛ شماره نسخه: بدون شماره</w:t>
      </w:r>
    </w:p>
    <w:p>
      <w:pPr>
        <w:pStyle w:val="BookText"/>
      </w:pPr>
      <w:r>
        <w:rPr>
          <w:rFonts w:ascii="IRNazanin" w:hAnsi="IRNazanin" w:eastAsia="IRNazanin" w:cs="IRNazanin"/>
          <w:lang w:bidi="fa-IR"/>
          <w:color w:val="111111"/>
          <w:sz w:val="28"/>
          <w:szCs w:val="28"/>
          <w:rtl/>
        </w:rPr>
        <w:t xml:space="preserve">آغاز: سوده و بوده نگر اشهب میمونش را سوده قضا در رکـاب بوده قدر در غبان؛ انجام: هستی که بود ذات خداوند عزیز اشیا همه در ویند و وی در همه چیز این است بیان آنکه عارف گوید باشد همه چیز مندرج در همه چیز</w:t>
      </w:r>
    </w:p>
    <w:p>
      <w:pPr>
        <w:pStyle w:val="BookText"/>
      </w:pPr>
      <w:r>
        <w:rPr>
          <w:rFonts w:ascii="IRNazanin" w:hAnsi="IRNazanin" w:eastAsia="IRNazanin" w:cs="IRNazanin"/>
          <w:lang w:bidi="fa-IR"/>
          <w:color w:val="111111"/>
          <w:sz w:val="28"/>
          <w:szCs w:val="28"/>
          <w:rtl/>
        </w:rPr>
        <w:t xml:space="preserve">منتخبی است از اشعار بعضی از شعرای مشهور از جمله کمال الدين اسمعيل، امیر ناصر بخاری ،کاتبی، خاقانی، عطار، امیر خسرو دهلوی، سعدالدین محمد ،جامی ،فردوسی، امیر علیشیر، امیر حسن دهلوی، نظامی ،سنایی ،مولوی، گلشن راز شبستری، رساله تیغ و قلم، رساله گوی و چوگان یا حالنامه، رساله فرسنامه و لوایح جامی؛ خط: نستعلیق خوش، بی کا، تا: قرن ۱۰؛ افتادگی: آغاز و انجام؛ مجدول، بنا به نظر آقای دکتر محمد امین ریاحی نسخه متعلق به قرن ۱۰ می باشد ،بر عطف نسخه عنوان «تذکره ناصر بخاری» چسبانده شده، در حالی که نسخه حاضر  تنها مجموعه ای از اشعار است و دخلی به تذکره به معنی خاص آن ندارد؛ کاغذ: فرنگی نخودی ،جلد: مقوایی با روکش کاغذی نقشدار چاپی رنگی، ۱۸۷ گ، ۱۹ سطر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اندازه:۱۷/۴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۲۶سم [رایانه]</w:t>
      </w:r>
    </w:p>
    <w:p>
      <w:pPr>
        <w:pStyle w:val="BookText"/>
      </w:pPr>
      <w:r>
        <w:rPr>
          <w:rFonts w:ascii="IRNazanin" w:hAnsi="IRNazanin" w:eastAsia="IRNazanin" w:cs="IRNazanin"/>
          <w:lang w:bidi="fa-IR"/>
          <w:color w:val="111111"/>
          <w:sz w:val="28"/>
          <w:szCs w:val="28"/>
          <w:rtl/>
        </w:rPr>
        <w:t xml:space="preserve">۹۴. تهران؛ ملک؛ شماره نسخه: ۴۹۹۱/۵</w:t>
      </w:r>
    </w:p>
    <w:p>
      <w:pPr>
        <w:pStyle w:val="BookText"/>
      </w:pPr>
      <w:r>
        <w:rPr>
          <w:rFonts w:ascii="IRNazanin" w:hAnsi="IRNazanin" w:eastAsia="IRNazanin" w:cs="IRNazanin"/>
          <w:lang w:bidi="fa-IR"/>
          <w:color w:val="111111"/>
          <w:sz w:val="28"/>
          <w:szCs w:val="28"/>
          <w:rtl/>
        </w:rPr>
        <w:t xml:space="preserve">مثنوی عرفانی است؛ خط: نستعلیق، بی کا، تا: قرن ۱۰ [ف: ۸-۱۵۶]</w:t>
      </w:r>
    </w:p>
    <w:p>
      <w:pPr>
        <w:pStyle w:val="BookText"/>
      </w:pPr>
      <w:r>
        <w:rPr>
          <w:rFonts w:ascii="IRNazanin" w:hAnsi="IRNazanin" w:eastAsia="IRNazanin" w:cs="IRNazanin"/>
          <w:lang w:bidi="fa-IR"/>
          <w:color w:val="111111"/>
          <w:sz w:val="28"/>
          <w:szCs w:val="28"/>
          <w:rtl/>
        </w:rPr>
        <w:t xml:space="preserve">۹۵. تهران؛ مجلس؛ شماره نسخه: ۲۹۸/۳</w:t>
      </w:r>
    </w:p>
    <w:p>
      <w:pPr>
        <w:pStyle w:val="BookText"/>
      </w:pPr>
      <w:r>
        <w:rPr>
          <w:rFonts w:ascii="IRNazanin" w:hAnsi="IRNazanin" w:eastAsia="IRNazanin" w:cs="IRNazanin"/>
          <w:lang w:bidi="fa-IR"/>
          <w:color w:val="111111"/>
          <w:sz w:val="28"/>
          <w:szCs w:val="28"/>
          <w:rtl/>
        </w:rPr>
        <w:t xml:space="preserve">رباعیات است؛ خط: نستعلیق، بی کا، تا: قرن ۱۰؛ مجدول؛ كاغذ: سفید، جلد: تیماج سبز تیره ضربی مقوایی زرکوب با ترنج، ۲۶ص (۱۱۰ - ۱۲۵)، ۲۲ سطر (6</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اندازه: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[سنا: ف: ۱- ۱۵۰]</w:t>
      </w:r>
    </w:p>
    <w:p>
      <w:pPr>
        <w:pStyle w:val="BookText"/>
      </w:pPr>
      <w:r>
        <w:rPr>
          <w:rFonts w:ascii="IRNazanin" w:hAnsi="IRNazanin" w:eastAsia="IRNazanin" w:cs="IRNazanin"/>
          <w:lang w:bidi="fa-IR"/>
          <w:color w:val="111111"/>
          <w:sz w:val="28"/>
          <w:szCs w:val="28"/>
          <w:rtl/>
        </w:rPr>
        <w:t xml:space="preserve">۹۶. تهران؛ لغت نامه دهخدا؛ شماره نسخه: ۲۸۸/۳</w:t>
      </w:r>
    </w:p>
    <w:p>
      <w:pPr>
        <w:pStyle w:val="BookText"/>
      </w:pPr>
      <w:r>
        <w:rPr>
          <w:rFonts w:ascii="IRNazanin" w:hAnsi="IRNazanin" w:eastAsia="IRNazanin" w:cs="IRNazanin"/>
          <w:lang w:bidi="fa-IR"/>
          <w:color w:val="111111"/>
          <w:sz w:val="28"/>
          <w:szCs w:val="28"/>
          <w:rtl/>
        </w:rPr>
        <w:t xml:space="preserve">شعر شاعری در اینکه خواجه محمد چنار از او الاغ درخواست کرده و او نداده است؛ بی کا، تا: قرن ۱۰، جلد: تیماج قهوه ای، قطع: ربعی[ نشریه: ۳ - ۴۰۹]</w:t>
      </w:r>
    </w:p>
    <w:p>
      <w:pPr>
        <w:pStyle w:val="BookText"/>
      </w:pPr>
      <w:r>
        <w:rPr>
          <w:rFonts w:ascii="IRNazanin" w:hAnsi="IRNazanin" w:eastAsia="IRNazanin" w:cs="IRNazanin"/>
          <w:lang w:bidi="fa-IR"/>
          <w:color w:val="111111"/>
          <w:sz w:val="28"/>
          <w:szCs w:val="28"/>
          <w:rtl/>
        </w:rPr>
        <w:t xml:space="preserve">۹۷. تهران؛ ملک؛ شماره نسخه: ۴۲۰۸/۸</w:t>
      </w:r>
    </w:p>
    <w:p>
      <w:pPr>
        <w:pStyle w:val="BookText"/>
      </w:pPr>
      <w:r>
        <w:rPr>
          <w:rFonts w:ascii="IRNazanin" w:hAnsi="IRNazanin" w:eastAsia="IRNazanin" w:cs="IRNazanin"/>
          <w:lang w:bidi="fa-IR"/>
          <w:color w:val="111111"/>
          <w:sz w:val="28"/>
          <w:szCs w:val="28"/>
          <w:rtl/>
        </w:rPr>
        <w:t xml:space="preserve">در استسقا و طلب باران و شعری در نصیحت به امیر تیمور (حاشیه)؛ بی کا، تا: قرن ۱۰؛ کاغذ: ترمه و فرنگی،جلد: عطف و گوشه میشن، ۲۳سطر، اندازه: ۱۳/۱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۷ - ۲۷۳]</w:t>
      </w:r>
    </w:p>
    <w:p>
      <w:pPr>
        <w:pStyle w:val="BookText"/>
      </w:pPr>
      <w:r>
        <w:rPr>
          <w:rFonts w:ascii="IRNazanin" w:hAnsi="IRNazanin" w:eastAsia="IRNazanin" w:cs="IRNazanin"/>
          <w:lang w:bidi="fa-IR"/>
          <w:color w:val="111111"/>
          <w:sz w:val="28"/>
          <w:szCs w:val="28"/>
          <w:rtl/>
        </w:rPr>
        <w:t xml:space="preserve">۹۸. تهران؛ لغت نامه دهخدا؛ شماره نسخه: ۲۸۸/۶</w:t>
      </w:r>
    </w:p>
    <w:p>
      <w:pPr>
        <w:pStyle w:val="BookText"/>
      </w:pPr>
      <w:r>
        <w:rPr>
          <w:rFonts w:ascii="IRNazanin" w:hAnsi="IRNazanin" w:eastAsia="IRNazanin" w:cs="IRNazanin"/>
          <w:lang w:bidi="fa-IR"/>
          <w:color w:val="111111"/>
          <w:sz w:val="28"/>
          <w:szCs w:val="28"/>
          <w:rtl/>
        </w:rPr>
        <w:t xml:space="preserve">اشعار درباره پاره ای از چیزهاست؛ بی کا، تا: قرن ۱۰ ،جلد: تیماج قهوه یی، قطع: ربعی [ نشریه: ۳ - ۴۰۹]</w:t>
      </w:r>
    </w:p>
    <w:p>
      <w:pPr>
        <w:pStyle w:val="BookText"/>
      </w:pPr>
      <w:r>
        <w:rPr>
          <w:rFonts w:ascii="IRNazanin" w:hAnsi="IRNazanin" w:eastAsia="IRNazanin" w:cs="IRNazanin"/>
          <w:lang w:bidi="fa-IR"/>
          <w:color w:val="111111"/>
          <w:sz w:val="28"/>
          <w:szCs w:val="28"/>
          <w:rtl/>
        </w:rPr>
        <w:t xml:space="preserve">۹۹. تهران؛ لغت نامه دهخدا؛ شماره نسخه: ۲۸۸/۴</w:t>
      </w:r>
    </w:p>
    <w:p>
      <w:pPr>
        <w:pStyle w:val="BookText"/>
      </w:pPr>
      <w:r>
        <w:rPr>
          <w:rFonts w:ascii="IRNazanin" w:hAnsi="IRNazanin" w:eastAsia="IRNazanin" w:cs="IRNazanin"/>
          <w:lang w:bidi="fa-IR"/>
          <w:color w:val="111111"/>
          <w:sz w:val="28"/>
          <w:szCs w:val="28"/>
          <w:rtl/>
        </w:rPr>
        <w:t xml:space="preserve">شعرهای هزلی است درباره پاره ای از چیزها؛ بی کا، تا: قرن ۱۰؛ جلد: تیماج قهوه یی، قطع: ربعی [نشریه: ۳ - ۴۰۹]</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شیراز؛ علامه طباطبائی؛ شماره نسخه: ۱۶۱۱</w:t>
      </w:r>
    </w:p>
    <w:p>
      <w:pPr>
        <w:pStyle w:val="BookText"/>
      </w:pPr>
      <w:r>
        <w:rPr>
          <w:rFonts w:ascii="IRNazanin" w:hAnsi="IRNazanin" w:eastAsia="IRNazanin" w:cs="IRNazanin"/>
          <w:lang w:bidi="fa-IR"/>
          <w:color w:val="111111"/>
          <w:sz w:val="28"/>
          <w:szCs w:val="28"/>
          <w:rtl/>
        </w:rPr>
        <w:t xml:space="preserve">آغاز: یک منکت گوشت داد خواجه به زن *** کش پز زود بهر طعمه من / گوشت را زن کباب کرد و بخورد *** خواجه چون گوشت خواست عذر آورد؛ انجام: جامی از شعر و شاعری باز آی *** با خموشی ز شعر دمساز آی</w:t>
      </w:r>
    </w:p>
    <w:p>
      <w:pPr>
        <w:pStyle w:val="BookText"/>
      </w:pPr>
      <w:r>
        <w:rPr>
          <w:rFonts w:ascii="IRNazanin" w:hAnsi="IRNazanin" w:eastAsia="IRNazanin" w:cs="IRNazanin"/>
          <w:lang w:bidi="fa-IR"/>
          <w:color w:val="111111"/>
          <w:sz w:val="28"/>
          <w:szCs w:val="28"/>
          <w:rtl/>
        </w:rPr>
        <w:t xml:space="preserve">دیوان شعر است. شاید از سروده های جامی باشد؛ خط: نستعلیق،بی کا، تا: قرن ۱۰؛ افتادگی: آغاز و انجام؛ مجدول؛ اندازه: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[نسخه پژوهی: ۲ - ۱۶۱]</w:t>
      </w:r>
    </w:p>
    <w:p>
      <w:pPr>
        <w:pStyle w:val="BookText"/>
      </w:pPr>
      <w:r>
        <w:rPr>
          <w:rFonts w:ascii="IRNazanin" w:hAnsi="IRNazanin" w:eastAsia="IRNazanin" w:cs="IRNazanin"/>
          <w:lang w:bidi="fa-IR"/>
          <w:color w:val="111111"/>
          <w:sz w:val="28"/>
          <w:szCs w:val="28"/>
          <w:rtl/>
        </w:rPr>
        <w:t xml:space="preserve">۱۰۱. شیراز؛ بنیاد فارس شناسی؛ شماره نسخه: ۳۰</w:t>
      </w:r>
    </w:p>
    <w:p>
      <w:pPr>
        <w:pStyle w:val="BookText"/>
      </w:pPr>
      <w:r>
        <w:rPr>
          <w:rFonts w:ascii="IRNazanin" w:hAnsi="IRNazanin" w:eastAsia="IRNazanin" w:cs="IRNazanin"/>
          <w:lang w:bidi="fa-IR"/>
          <w:color w:val="111111"/>
          <w:sz w:val="28"/>
          <w:szCs w:val="28"/>
          <w:rtl/>
        </w:rPr>
        <w:t xml:space="preserve">آغاز: چون زبانم باز ماند از کلام *** دوستان را این بود مونس تمام /هست از یاران همینم التماس*** کز دل آگاه و جان حق شناس؛ انجام: چون گذشت از هجرت خیر الانام*** هشتصد و پنجاه و دو این شد تمام ... / باطنی کزیاد حق محمود شد *** یاد هر کس کرد او پر نور شد/ ... *** بشنو و در کار بندش والسلام/ ... *** ختم شد والله اعلم بالصواب</w:t>
      </w:r>
    </w:p>
    <w:p>
      <w:pPr>
        <w:pStyle w:val="BookText"/>
      </w:pPr>
      <w:r>
        <w:rPr>
          <w:rFonts w:ascii="IRNazanin" w:hAnsi="IRNazanin" w:eastAsia="IRNazanin" w:cs="IRNazanin"/>
          <w:lang w:bidi="fa-IR"/>
          <w:color w:val="111111"/>
          <w:sz w:val="28"/>
          <w:szCs w:val="28"/>
          <w:rtl/>
        </w:rPr>
        <w:t xml:space="preserve">تمام شعرها مثنوی و مطالب عرفانی و در یکی از مثنوی ها از امام صادق (علیه السّلام) نام برده است؛ خط: نستعلیق، بی کا، تا: قرن ۱۰ و ۱۱؛ مجدول؛ جلد: تیماج سرخ، ۲۱۳گ، ۱۵ سطر (8/5</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۲۴/۵سم [ف: ۴۶]</w:t>
      </w:r>
    </w:p>
    <w:p>
      <w:pPr>
        <w:pStyle w:val="BookText"/>
      </w:pPr>
      <w:r>
        <w:rPr>
          <w:rFonts w:ascii="IRNazanin" w:hAnsi="IRNazanin" w:eastAsia="IRNazanin" w:cs="IRNazanin"/>
          <w:lang w:bidi="fa-IR"/>
          <w:color w:val="111111"/>
          <w:sz w:val="28"/>
          <w:szCs w:val="28"/>
          <w:rtl/>
        </w:rPr>
        <w:t xml:space="preserve">۱۰۲. تهران؛ ملی؛ شماره نسخه: ۳۶۱۴/۷</w:t>
      </w:r>
    </w:p>
    <w:p>
      <w:pPr>
        <w:pStyle w:val="BookText"/>
      </w:pPr>
      <w:r>
        <w:rPr>
          <w:rFonts w:ascii="IRNazanin" w:hAnsi="IRNazanin" w:eastAsia="IRNazanin" w:cs="IRNazanin"/>
          <w:lang w:bidi="fa-IR"/>
          <w:color w:val="111111"/>
          <w:sz w:val="28"/>
          <w:szCs w:val="28"/>
          <w:rtl/>
        </w:rPr>
        <w:t xml:space="preserve">آغاز: گر از برج معنی پرد طیر او *** فرشته فروماند از سیر او؛
</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انجام: خدایا چو هستم بدین در غلام *** درودم بدیشان رسان و السلام</w:t>
      </w:r>
    </w:p>
    <w:p>
      <w:pPr>
        <w:pStyle w:val="BookText"/>
      </w:pPr>
      <w:r>
        <w:rPr>
          <w:rFonts w:ascii="IRNazanin" w:hAnsi="IRNazanin" w:eastAsia="IRNazanin" w:cs="IRNazanin"/>
          <w:lang w:bidi="fa-IR"/>
          <w:color w:val="111111"/>
          <w:sz w:val="28"/>
          <w:szCs w:val="28"/>
          <w:rtl/>
        </w:rPr>
        <w:t xml:space="preserve">اشعار مختلفی از شاعرانی همچون سعدی، ابوسعید ابوالخیر و مولوی انتخاب، و همراه با اشعاری از مولانا حیرتی در منقبت علی بن ابی طالب (علیه السّلام) و اشعاری از حافظ شیراز در منقبت و مدح علی بن موسى الرضا (علیه السّلام) و مناجات رفيع الدرجات ابن حسام در کتـاب حاضر به رشته تحریر در آمده است؛ خط: نستعلیق، بی کا، تا: نـیمه دوم قرن ۱۰؛ اشعار در برخی اوراق با خط حمایلی و به سبک مرقعات نوشته شده، در برگ ۶۶ اشعاری از «عارض» و«آقا محمد کاظم شیرازی» همراه با یادداشت تولد فرزند محمد علی به سال ۱۲۱۵ و ادعیه و احادیث مختلف؛ مهر: «الواثق بالله العـلی عبده محمد علی»( خشتی)؛ کاغذ: اصفهانی نخودی ،جلد: تیماج سیاه ضربی، ترنج و سرترنج با گل و بوته، ۸گ (57- 65پ)، ۱ ۲۰ سطر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۱۷/۵سم [ف : ۱۶ - ۱۹۶]</w:t>
      </w:r>
    </w:p>
    <w:p>
      <w:pPr>
        <w:pStyle w:val="BookText"/>
      </w:pPr>
      <w:r>
        <w:rPr>
          <w:rFonts w:ascii="IRNazanin" w:hAnsi="IRNazanin" w:eastAsia="IRNazanin" w:cs="IRNazanin"/>
          <w:lang w:bidi="fa-IR"/>
          <w:color w:val="111111"/>
          <w:sz w:val="28"/>
          <w:szCs w:val="28"/>
          <w:rtl/>
        </w:rPr>
        <w:t xml:space="preserve">۱۰۳. تهران؛ دانشگاه؛ شماره نسخه: ۹۲۷۰/۱</w:t>
      </w:r>
    </w:p>
    <w:p>
      <w:pPr>
        <w:pStyle w:val="BookText"/>
      </w:pPr>
      <w:r>
        <w:rPr>
          <w:rFonts w:ascii="IRNazanin" w:hAnsi="IRNazanin" w:eastAsia="IRNazanin" w:cs="IRNazanin"/>
          <w:lang w:bidi="fa-IR"/>
          <w:color w:val="111111"/>
          <w:sz w:val="28"/>
          <w:szCs w:val="28"/>
          <w:rtl/>
        </w:rPr>
        <w:t xml:space="preserve">جنگ شعر فارسی سید برهان الدین، میرزا صفا ،شجاع كرمانی، جامی، محسن میرزا عبدالقادر ،با قصیده فخریه فیض هندی؛ خـط: نستعلیق، بی کا، تا: قرن ۱۰ ؛کاغذ: هندی ،جلد: تیماج ضر تریاکی آراسته کار بهاء الدین پیشاوری، ۴۴گ (۲پ-۴۵پ)، 23سطر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قطع: ربعی،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۲۴سم [ف : ۱۷ - ۳۳۵]</w:t>
      </w:r>
    </w:p>
    <w:p>
      <w:pPr>
        <w:pStyle w:val="BookText"/>
      </w:pPr>
      <w:r>
        <w:rPr>
          <w:rFonts w:ascii="IRNazanin" w:hAnsi="IRNazanin" w:eastAsia="IRNazanin" w:cs="IRNazanin"/>
          <w:lang w:bidi="fa-IR"/>
          <w:color w:val="111111"/>
          <w:sz w:val="28"/>
          <w:szCs w:val="28"/>
          <w:rtl/>
        </w:rPr>
        <w:t xml:space="preserve">۱۰۴. تهران؛ مجلس؛ شماره نسخه: ۱۳۶۳۷/۶</w:t>
      </w:r>
    </w:p>
    <w:p>
      <w:pPr>
        <w:pStyle w:val="BookText"/>
      </w:pPr>
      <w:r>
        <w:rPr>
          <w:rFonts w:ascii="IRNazanin" w:hAnsi="IRNazanin" w:eastAsia="IRNazanin" w:cs="IRNazanin"/>
          <w:lang w:bidi="fa-IR"/>
          <w:color w:val="111111"/>
          <w:sz w:val="28"/>
          <w:szCs w:val="28"/>
          <w:rtl/>
        </w:rPr>
        <w:t xml:space="preserve">آغاز: رکاف کفر ما چون بوده اسلام *** پدیدآمد شد آنرا معرفت نام / جمیع معرفت در کاف و لام است *** اگر عاشق شوی حرف تمام است؛ انجام: بیا با ما درین بت خانه يكبار*** ببین آخر تو با این کفر و زنار</w:t>
      </w:r>
    </w:p>
    <w:p>
      <w:pPr>
        <w:pStyle w:val="BookText"/>
      </w:pPr>
      <w:r>
        <w:rPr>
          <w:rFonts w:ascii="IRNazanin" w:hAnsi="IRNazanin" w:eastAsia="IRNazanin" w:cs="IRNazanin"/>
          <w:lang w:bidi="fa-IR"/>
          <w:color w:val="111111"/>
          <w:sz w:val="28"/>
          <w:szCs w:val="28"/>
          <w:rtl/>
        </w:rPr>
        <w:t xml:space="preserve">قطعه ای از شیخ اوحدی است؛ خط: نستعلیق چلیپا،کا: عبدالرحمن بن شرف (از معاصران عبدالرحمن جامی)، تا:قرن ۱۰ ؛ جلد: تیماج سرخ، 1گ (۱۷۸ پ-۱۸۹پ)، سطور چلیپایی و سه ستونی و هر ستون ۲۰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۲۹سم [ف: ۳۷ - 163]</w:t>
      </w:r>
    </w:p>
    <w:p>
      <w:pPr>
        <w:pStyle w:val="BookText"/>
      </w:pPr>
      <w:r>
        <w:rPr>
          <w:rFonts w:ascii="IRNazanin" w:hAnsi="IRNazanin" w:eastAsia="IRNazanin" w:cs="IRNazanin"/>
          <w:lang w:bidi="fa-IR"/>
          <w:color w:val="111111"/>
          <w:sz w:val="28"/>
          <w:szCs w:val="28"/>
          <w:rtl/>
        </w:rPr>
        <w:t xml:space="preserve">۱۰۵. قم؛ گلپایگانی؛ شماره نسخه: ۷۹۰۲-۳۹/۲۸۲</w:t>
      </w:r>
    </w:p>
    <w:p>
      <w:pPr>
        <w:pStyle w:val="BookText"/>
      </w:pPr>
      <w:r>
        <w:rPr>
          <w:rFonts w:ascii="IRNazanin" w:hAnsi="IRNazanin" w:eastAsia="IRNazanin" w:cs="IRNazanin"/>
          <w:lang w:bidi="fa-IR"/>
          <w:color w:val="111111"/>
          <w:sz w:val="28"/>
          <w:szCs w:val="28"/>
          <w:rtl/>
        </w:rPr>
        <w:t xml:space="preserve">آغاز: به جز در آیینه جان ما نکرد ظهور *** جمال عشق که اسم وهم مسما شد/ حدیث دوست به بازار کائنات رسید*** قیامتی که نهان بود و شکارا شد ؛ انجام: ما بار کرده درخت و طلبکار روی *** وانگاه تو نهفته در آن بار بوده ای ... / دوش آنچه دزد برد زما در ضمان تست*** یا عهده برتو است که بیدار بوده ای بیاضی است شامل اشعار فارسی از جامی ،خسرو ،کاتبی ،امیر جلال ،حافظ ،آذری، سعدی و دیگران؛ خط: نستعلیق ، کا:سلطانعلی ،تا: قرن ۱۰؛ مجدول محرر مذهب، در اول نسـخه یادداشتی از علی محمد لواسانی نظامی در ۱۹ ربيع الاول 1282 که این بیاض را به حسین قلی خان اهدا نموده ؛جلد: تیماج سرخ، مجدول، ۵۶گ، ۸سطر، اندازه: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۳ - ۱۲۲۵]</w:t>
      </w:r>
    </w:p>
    <w:p>
      <w:pPr>
        <w:pStyle w:val="BookText"/>
      </w:pPr>
      <w:r>
        <w:rPr>
          <w:rFonts w:ascii="IRNazanin" w:hAnsi="IRNazanin" w:eastAsia="IRNazanin" w:cs="IRNazanin"/>
          <w:lang w:bidi="fa-IR"/>
          <w:color w:val="111111"/>
          <w:sz w:val="28"/>
          <w:szCs w:val="28"/>
          <w:rtl/>
        </w:rPr>
        <w:t xml:space="preserve">۱۰۶ تهران؛ ملک؛ شماره نسخه: ۵۳۰۶</w:t>
      </w:r>
    </w:p>
    <w:p>
      <w:pPr>
        <w:pStyle w:val="BookText"/>
      </w:pPr>
      <w:r>
        <w:rPr>
          <w:rFonts w:ascii="IRNazanin" w:hAnsi="IRNazanin" w:eastAsia="IRNazanin" w:cs="IRNazanin"/>
          <w:lang w:bidi="fa-IR"/>
          <w:color w:val="111111"/>
          <w:sz w:val="28"/>
          <w:szCs w:val="28"/>
          <w:rtl/>
        </w:rPr>
        <w:t xml:space="preserve">جنگ اشعار است شامل: ۱. ترجیع بند از عطار، ۲. ترجیع بند  از امیر حسینی سادات، ۳. ترجیع بند از سید نسیمی، ۴. ترجیع بند از سید حسین اخلاطی، ۵ .ترجیع بند از سید افضل امیر مخدوم، ۶. ترجیع بند از اوحدی مراغه ای، ۷. ترجیع بند از ناصر بخاری (۳۱۰ بیت)،8 . ترجیع بند از خواجه شمالی بخاری با تخلص بخاری (حدود ۴۲۰ بیت)، ۹. ترجیع بند از کمال غیاث شیرازی با تخلص كمال غیاث (حدود ۵۴۰ بیت)، ۱۰. ترجیع بند از ابوالوفاء خوارزمی (حدود ۱۵۰ بیت + ۵۰ بیت + ۳۵ رباعی)، ۱۱. ترجیع بند از ابوالمظفر با تخلص مظفر (حدود ۹۶ بیت)، ۱۲. ترجیع بند از شیخ عراقی با تخلص عراقی (حدود ۱۷۰ بیت)،۱۳. ترجیع بند از شیخ مغربی با تخلص مغربی (حدود ۲۶۰ بیت + ۱۱۰ + ۵۰ بیت)، ۱۴. ترجیع بند از نزاری با تخلص حکیم (۹۶ بیت)، ۱۵. ترجیع بند دیگر از مغربی (حدود ۱۱۰ بیت)، ۱۶. ترجیع بند از نعیمی (حدود ۱۷۰ بیت)، ۱۷. ترجیع بند از شیخ آذری (حدود ۱۵۰ بیت)، ۱۸. رباعيات ابوالوفا (حدود ۴۹۱ بیت)، ۱۹. رباعیات شیخ مغربی (حدود ۴۴ بیت)، ۲۰. رباعیات با عنوان «من المشايخ»، ۲۱. رموز العاشقين؛ خط: نستعلیق، بی کا، تا: قرن ۱۰، مجدول، با یک پیشانی زرین؛ تملک: محمد ولد محمد ربیع الثانی ۱۱۶۳؛ جلد: روغنی گل و بوته ،خراب، ۳۲۷گ، ۹ سطر، اندازه: ۱۷/۷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۲۴/۶سم [ف: ۸ – ۲۸۰]</w:t>
      </w:r>
    </w:p>
    <w:p>
      <w:pPr>
        <w:pStyle w:val="BookText"/>
      </w:pPr>
      <w:r>
        <w:rPr>
          <w:rFonts w:ascii="IRNazanin" w:hAnsi="IRNazanin" w:eastAsia="IRNazanin" w:cs="IRNazanin"/>
          <w:lang w:bidi="fa-IR"/>
          <w:color w:val="111111"/>
          <w:sz w:val="28"/>
          <w:szCs w:val="28"/>
          <w:rtl/>
        </w:rPr>
        <w:t xml:space="preserve">۱۰۷. تهران؛ ملک؛ شماره نسخه: ۵۳۱۹</w:t>
      </w:r>
    </w:p>
    <w:p>
      <w:pPr>
        <w:pStyle w:val="BookText"/>
      </w:pPr>
      <w:r>
        <w:rPr>
          <w:rFonts w:ascii="IRNazanin" w:hAnsi="IRNazanin" w:eastAsia="IRNazanin" w:cs="IRNazanin"/>
          <w:lang w:bidi="fa-IR"/>
          <w:color w:val="111111"/>
          <w:sz w:val="28"/>
          <w:szCs w:val="28"/>
          <w:rtl/>
        </w:rPr>
        <w:t xml:space="preserve">جنگ اشعار است، شامل اشعاری از [ در فهرست شماره صفحاتی که اشعار این شعرا در آن آمده ذکر شده است]: سید حسن غزنوی، عطار نیشابوری، فردوسی، امیر معزی، حریری زرگر، ناصر خسرو علوی، خاقانی، حکیم ازرقی، عبدالواسع جبلی، سیف الدین اعرج، مختاری غزنوی، ادیب صابر، سوزنی سمرقندی، حکیم طرطری، مسعود سعد سلمان، تاج الدین بخاری، فرید احول، بدرالدین جاجرمی، فرید الدین کاثی، امیر معزی، عنصری غزنوی، فرخی سیستانی، عمید الدین لویکی، فخری اصفهانی، فخری جرجانی، عبدالقادر نائینی، حکیم قطران، سيف الدين، امیر خاقانی، برهان الدین بزاز، ظهیر فاریابی، کمال الدین اسماعيل، ابن خطیب، فخر الدین بیلقانی، جوهری زرگر، منوچهری، روحانی، فلکی شیروانی، رشیدالدین وطواط، سنائی غزنوی، ادیب صابر، سیف الدین اسفرنگی، مجدالدین (؟) (مجیرالدین) ،بیلقانی، شمس الدین طبسی ،عمادی، نظامی گنجوی، اوحدی مراغی، عبدالرزاق اصفهانی، قاضی نظام الدین اصفهانی، بهاء الدین زنجانی، عمادالدین فارسی، نجیب الدین جرفادقانی، رفیع الدین لنبانی، زین الدین لنبانی، بابا افضل کاشانی، امامی هروی، پوربها جامب، سعدی شیرازی، قاضی عثمان، عماد فضولی، موفق الدين يحيى، فخرالدین کندابی (؟)، ناصر خسرو، اثیرالدین اومانی، جمال الدین ابهری، خواجه عالم سمرقندی، شمس الدين اوحدی کرمانی، نصیر الدین محمد طوسی، حسن غزنوی، شیخ سیف الدین باخرزی، ملک الکلام طلحه، بدیعی طوسی اثیرالدین اخسیکشی، شرف الدین شفروه، انوری، حمید الدین
</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بلخی ،سعیدی ،هروی، بهاء الدین  مجیدی، بوعلی سینا، ناصر بـجه شیرازی، عماد الدین ،کرم، شمس الدین محمد جوینی صاحب دیوان ،مجدالملک ،رضی نیشابوری، مهستی دبیر، اتابک سلغرشاه، سعید قاضی نظام الدین اصفهانی، مبارکشاه خاتمی، سنائی غزنوی ،عراقی، مجد همگر، همام تبریزی، جمال الدین بن حسام، اوحدی اصفهانی، ابن زنگی شیرازی، سید رضی الدین بابا قزوینی، فخرالدین محمد کرت، شمس الدین محمد جوینی، نطام الدين يحيى، بدرالدین، عزالدین علوی؛ خط: نستعلیق خوش، بی کا، تا: قرن ۱۰؛ با یک سرلوح زرین، مجدول مذهب، جـلد: میشن قهوه ای ضربی، ۵۳۸ گ، ۱۶ سطر،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۳۵/۳سم [  8- 292]</w:t>
      </w:r>
    </w:p>
    <w:p>
      <w:pPr>
        <w:pStyle w:val="BookText"/>
      </w:pPr>
      <w:r>
        <w:rPr>
          <w:rFonts w:ascii="IRNazanin" w:hAnsi="IRNazanin" w:eastAsia="IRNazanin" w:cs="IRNazanin"/>
          <w:lang w:bidi="fa-IR"/>
          <w:color w:val="111111"/>
          <w:sz w:val="28"/>
          <w:szCs w:val="28"/>
          <w:rtl/>
        </w:rPr>
        <w:t xml:space="preserve">۱۰۸. تهران؛ دانشگاه؛ شماره نسخه: ۲۱۴۷/۶</w:t>
      </w:r>
    </w:p>
    <w:p>
      <w:pPr>
        <w:pStyle w:val="BookText"/>
      </w:pPr>
      <w:r>
        <w:rPr>
          <w:rFonts w:ascii="IRNazanin" w:hAnsi="IRNazanin" w:eastAsia="IRNazanin" w:cs="IRNazanin"/>
          <w:lang w:bidi="fa-IR"/>
          <w:color w:val="111111"/>
          <w:sz w:val="28"/>
          <w:szCs w:val="28"/>
          <w:rtl/>
        </w:rPr>
        <w:t xml:space="preserve">آغاز: يا هو سبحانه. بسمله. اشعار صنعت آثار نغمه سرایان گلزار سخنوری ... اما بعد بعرض خدام اعلى مقام آستان عدالت آشیان ...حافظ على الكاتب در سلك نظام انتظام یافته؛ انجام: هسـت توشیح قطعه مصراع: محیط عزت سپهر دانش، موقوف ز حرف ضاء است</w:t>
      </w:r>
    </w:p>
    <w:p>
      <w:pPr>
        <w:pStyle w:val="BookText"/>
      </w:pPr>
      <w:r>
        <w:rPr>
          <w:rFonts w:ascii="IRNazanin" w:hAnsi="IRNazanin" w:eastAsia="IRNazanin" w:cs="IRNazanin"/>
          <w:lang w:bidi="fa-IR"/>
          <w:color w:val="111111"/>
          <w:sz w:val="28"/>
          <w:szCs w:val="28"/>
          <w:rtl/>
        </w:rPr>
        <w:t xml:space="preserve">قصیده مصنوع است از حافظ علی کاتب به اسم سامی نواب درگاه سپهر اقتداری؛ خط: نستعلیق، بی کا، تا: قرن ۱۰ ؛کاغذ: سپاهانی ،جلد: مقوا، ۱۰ گ(۴۴ر - ۵۴ر)، ۱۸ سطر (7</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اندازه: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۱۸/۵سم [ف: ۹ - ۸۴۵]</w:t>
      </w:r>
    </w:p>
    <w:p>
      <w:pPr>
        <w:pStyle w:val="BookText"/>
      </w:pPr>
      <w:r>
        <w:rPr>
          <w:rFonts w:ascii="IRNazanin" w:hAnsi="IRNazanin" w:eastAsia="IRNazanin" w:cs="IRNazanin"/>
          <w:lang w:bidi="fa-IR"/>
          <w:color w:val="111111"/>
          <w:sz w:val="28"/>
          <w:szCs w:val="28"/>
          <w:rtl/>
        </w:rPr>
        <w:t xml:space="preserve">۱۰۹. تهران؛ دانشگاه؛ شماره نسخه: ۲۲۵/۱۲</w:t>
      </w:r>
    </w:p>
    <w:p>
      <w:pPr>
        <w:pStyle w:val="BookText"/>
      </w:pPr>
      <w:r>
        <w:rPr>
          <w:rFonts w:ascii="IRNazanin" w:hAnsi="IRNazanin" w:eastAsia="IRNazanin" w:cs="IRNazanin"/>
          <w:lang w:bidi="fa-IR"/>
          <w:color w:val="111111"/>
          <w:sz w:val="28"/>
          <w:szCs w:val="28"/>
          <w:rtl/>
        </w:rPr>
        <w:t xml:space="preserve">غزل های پراکنده و ناقص با تخلص های میر شاهی، طوسی ،فیضى ،طالب، سکاک ،آصفی ،قاسمی ،حسن، نسیمی، عطار؛ خط: نستعلیق، بی کا، تا: نیمه یکم قرن ۱۰؛ افتادگی: آغاز؛ در «گ ۱۵۳ب» نویسنده ای که در انتظار ظهور وجنبش امام زمان بوده این شعر را نوشته: «خواجه نصیر طوسی فرماید: در نهصد و پنجاه و یک از ماه رجب*** آن بدر سعادت بدمد در دل شب/ دین دارانرا برهاند ز تعب *** یعنی مهدی خلاصه آن شاه عرب»، مجدول، با سرلوح های ساده؛ مهر: خدیجه که گویند یکی از بانوان فتحعلیشاه قاجار بوده، «العبد غازی بن سليمان الشريف»؛ کاغذ: نخدی  رنگ، جلد: تیماج مشکی، ۶گ (۱۶۵-۱۷۰)، 14سطر (۶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۲ - ۲۳۹]</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تهران؛ سپهسالار؛ شماره نسخه: ۱۴۲</w:t>
      </w:r>
    </w:p>
    <w:p>
      <w:pPr>
        <w:pStyle w:val="BookText"/>
      </w:pPr>
      <w:r>
        <w:rPr>
          <w:rFonts w:ascii="IRNazanin" w:hAnsi="IRNazanin" w:eastAsia="IRNazanin" w:cs="IRNazanin"/>
          <w:lang w:bidi="fa-IR"/>
          <w:color w:val="111111"/>
          <w:sz w:val="28"/>
          <w:szCs w:val="28"/>
          <w:rtl/>
        </w:rPr>
        <w:t xml:space="preserve">اشعار گوناگون، و یک منظومه در موسیقی در این جنگ هسـت. غزل ها از ریاضی ،امیر صالح، سهیلی، شاهی ،هلالی ،اهلی، آهـی، شهیدی است، سپس بحرطویل از هلالی،بهاریات عبدی، منشآت جامی، بحرطویل از گدائی؛ خط: نستعلیق، بی کا، تا: قرن10؛ مجدول، در پایان این مجموعه «موسیقی» (منظومه در ...) دیده می شود؛ کاغذ: رنگارنگ، ۸۸گ [ف: ۴ - ۴۸]</w:t>
      </w:r>
    </w:p>
    <w:p>
      <w:pPr>
        <w:pStyle w:val="BookText"/>
      </w:pPr>
      <w:r>
        <w:rPr>
          <w:rFonts w:ascii="IRNazanin" w:hAnsi="IRNazanin" w:eastAsia="IRNazanin" w:cs="IRNazanin"/>
          <w:lang w:bidi="fa-IR"/>
          <w:color w:val="111111"/>
          <w:sz w:val="28"/>
          <w:szCs w:val="28"/>
          <w:rtl/>
        </w:rPr>
        <w:t xml:space="preserve">۱۱۱. تهران؛ سپهسالار؛ شماره نسخه: ۱۵۷</w:t>
      </w:r>
    </w:p>
    <w:p>
      <w:pPr>
        <w:pStyle w:val="BookText"/>
      </w:pPr>
      <w:r>
        <w:rPr>
          <w:rFonts w:ascii="IRNazanin" w:hAnsi="IRNazanin" w:eastAsia="IRNazanin" w:cs="IRNazanin"/>
          <w:lang w:bidi="fa-IR"/>
          <w:color w:val="111111"/>
          <w:sz w:val="28"/>
          <w:szCs w:val="28"/>
          <w:rtl/>
        </w:rPr>
        <w:t xml:space="preserve">اشعاری از سعدی و سلمان ساوجی؛ خط: نستعلیق، بی کا، تا: قرن ١٠؛ کاغذ: سمرقندی رنگارنگ، جلد: تیماج مشکی کهن، ۳۳۳گ، ۱۱ سطر (7/5</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۴ - ۵۴]</w:t>
      </w:r>
    </w:p>
    <w:p>
      <w:pPr>
        <w:pStyle w:val="BookText"/>
      </w:pPr>
      <w:r>
        <w:rPr>
          <w:rFonts w:ascii="IRNazanin" w:hAnsi="IRNazanin" w:eastAsia="IRNazanin" w:cs="IRNazanin"/>
          <w:lang w:bidi="fa-IR"/>
          <w:color w:val="111111"/>
          <w:sz w:val="28"/>
          <w:szCs w:val="28"/>
          <w:rtl/>
        </w:rPr>
        <w:t xml:space="preserve">۱۱۲. تهران؛ ملک؛ شماره نسخه: ۵۲۴۹</w:t>
      </w:r>
    </w:p>
    <w:p>
      <w:pPr>
        <w:pStyle w:val="BookText"/>
      </w:pPr>
      <w:r>
        <w:rPr>
          <w:rFonts w:ascii="IRNazanin" w:hAnsi="IRNazanin" w:eastAsia="IRNazanin" w:cs="IRNazanin"/>
          <w:lang w:bidi="fa-IR"/>
          <w:color w:val="111111"/>
          <w:sz w:val="28"/>
          <w:szCs w:val="28"/>
          <w:rtl/>
        </w:rPr>
        <w:t xml:space="preserve">غزلیات است از سرایندگان به ترتیب تهجی از الف تا یاء. نسخه در یاء افتاده است. از برخی سرایندگان در چند جا غزل آورده است: ۱.سعدی ،۲. امیر خسرو دهلوی،3 . حافظ شیرازی، ۴. مولانا ،عیانی، ۵. سلمان ساوجی، ۶. کمال خجندی، ۷. کاتبی، ۸. امیر شاهی، ۹. جامی، ۱۰. مولانا عالم بیحقی، ۱۱. سیفی بخارایی، ۱۲. بنایی متخلص به  حالی ،۱۳. هلالی، ۱۴. آهی، ۱۵. علی فیضی، ۱۶. اهلی ترشیزی ،۱۷. فخری  هروی، ۱۸. علمی قانونی، ۱۹. اصیلی، ۲۰. ابن حسام، ۲۱. اهلی شیرازی، ۲۲. خواجه خبير، ۲۳ .امیر حاج، ۲۴. خواجه آصفی، ۲۵. خواجه میرم، ۲۶. خواجه افضل، ۲۷. حیرتی، ۲۸. کوکبی، ۲۹. صفایی اندجانی، ۳۰. حیدر کلوچ، ۳۱. فخری هروی، ۳۲. سیفی، ۳۳. یادگار بیگ، ۳۴. همایون  پادشاه، ۳۵. خواجه آصفی هروی، ۳۶. شاه حسینی، ۳۷. میر خواجه کلان قندهاری، ۳۸. علی  فیضی، ۳۹. جمال  رفیقی، ۴۰. عراقی، ۴۱. مولانا نادری  مروی، ۴۲. شهیدی قمی، ۴۳. عبید زاکانی، ۴۴. امیر شیخم  سهیلی، ۴۵. عبیدالله خان، ۴۶. هلالی، ۴۷. آیتی، ۴۸. قبولی قندهاری، ۴۹. صبحی، ۵۰. ولد حافظ میراثی، ۵۱. عصمت بخاری، ۵۲. امیر علیشیر (فانی)، ۵۳. شیخ زاده پورانی، ۵۴. ابو طاهر کاتب، ۵۵.شاه محمد محرومی، ۵۶. حکیم  نزاری، ۵۷. امیر منصور قرابوقا، ۵۸. حسيبنا ،۵۹ .کامران پادشاه، ۶۰. داعی، ۶۱. سیفی بخاری، ۶۲. ضیائی استر آبادی، ۶۳. عبیدالله  خان، ۶۴. نرگسی هروی، ۶۵. شاه حسین کامی، ۶۶. حیدر کلوچ، ۶۷. حیرتی مروی؛ ۶۸. غیاث نیشابوری، ۶۹. فخری، ۷۰. ریاضی سمرقندی، ۷۱. داعی سمرقندی، ۷۲. خواجه کلان قندهاری، ۷۳. جمال  رفیقی، ۷۴. شاه حسین تولدری (؟)، ۷۵. انوری، ۷۶. خواجه طوسی مثل گوی، ۷۷. ملک باخرزی، ۷۸ .سلطان على نقاش، ۷۹. قانعی، ۸۰. شرف الدین علی یزدی، ۸۱. امیر شاهی سبزواری، ۸۲. عبدالله  شیبانی، ۸۳. ابو طاهر كاتب، ۸۴. امیر محمد قورچی، ۸۵. شهاب الدین  پسیانی ،۸۶. عالم بیحقی، ۸۷. شهیدی قمی، ۸۸. امیر قاسم  انوار، ۸۹. آگهی ابهری، ۹۰. خواجوی کرمانی، ۹۱. عصمت  بخاری، ۹۲. ضیائی استرآبادی ،۹۳. نادری، ۹۴. حیرتی مروی، ۹۵. میر احمد حاجی سمرقندی، ۹۶. قاسم  انوار، ۹۷. شیخم سهیلی، ۹۸. شهاب الدین ،هندی، ۹۹. حیدر کلوچ، ۱۰۰. گدائی   مروی، ۱۰۱ ،آصفی، ۱۰۲ ،زمانی، ۱۰۳. شهیدی قمی، ۱۰۴. عارفی، ۱۰۵. شاه جهانگیر، ۱۰۶. افسری بخاری، ۱۰۷. ابو طاهر كاتب، ١٠٨. دوستی ،بخاری، ۱۰۹. شیخم سهیلی، ۱۱۰. فاتی ،تبریزی، ۱۱۱. ملک باخرزی؛ خط: نستعلیق، بی کا، تا: قرن ۱۰ ؛افتادگی: آغاز و انجام؛ مجدول؛ کاغذ: نوعی ترمه، جلد: میشن قهوه ای روشن مجدول ، ۱۵ سطر ،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۲۳/۱سم [ف: ۸-۲۵۴]</w:t>
      </w:r>
    </w:p>
    <w:p>
      <w:pPr>
        <w:pStyle w:val="BookText"/>
      </w:pPr>
      <w:r>
        <w:rPr>
          <w:rFonts w:ascii="IRNazanin" w:hAnsi="IRNazanin" w:eastAsia="IRNazanin" w:cs="IRNazanin"/>
          <w:lang w:bidi="fa-IR"/>
          <w:color w:val="111111"/>
          <w:sz w:val="28"/>
          <w:szCs w:val="28"/>
          <w:rtl/>
        </w:rPr>
        <w:t xml:space="preserve">۱۱۳. تهران؛ دانشگاه؛ شماره نسخه: ۱۸۸۳/۴</w:t>
      </w:r>
    </w:p>
    <w:p>
      <w:pPr>
        <w:pStyle w:val="BookText"/>
      </w:pPr>
      <w:r>
        <w:rPr>
          <w:rFonts w:ascii="IRNazanin" w:hAnsi="IRNazanin" w:eastAsia="IRNazanin" w:cs="IRNazanin"/>
          <w:lang w:bidi="fa-IR"/>
          <w:color w:val="111111"/>
          <w:sz w:val="28"/>
          <w:szCs w:val="28"/>
          <w:rtl/>
        </w:rPr>
        <w:t xml:space="preserve">جنگ شعرهای کمال اصفهانی ،انوری، فلکی شروانی، ادیب صابر؛ خط: نستعلیق، بی کا، تا: قرن ۱۰؛ کاغذ: سمرقندی، جلد:
</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مقوا ۱۲گ (پ۱۰۸-۱۲۰پ) [در] متن ۲۱ سطر (12/5</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۸ - ۴۸۹]</w:t>
      </w:r>
    </w:p>
    <w:p>
      <w:pPr>
        <w:pStyle w:val="BookText"/>
      </w:pPr>
      <w:r>
        <w:rPr>
          <w:rFonts w:ascii="IRNazanin" w:hAnsi="IRNazanin" w:eastAsia="IRNazanin" w:cs="IRNazanin"/>
          <w:lang w:bidi="fa-IR"/>
          <w:color w:val="111111"/>
          <w:sz w:val="28"/>
          <w:szCs w:val="28"/>
          <w:rtl/>
        </w:rPr>
        <w:t xml:space="preserve">۱۱۴. تهران؛ موزه ملی؛ شماره نسخه: ۳۵۹۸</w:t>
      </w:r>
    </w:p>
    <w:p>
      <w:pPr>
        <w:pStyle w:val="BookText"/>
      </w:pPr>
      <w:r>
        <w:rPr>
          <w:rFonts w:ascii="IRNazanin" w:hAnsi="IRNazanin" w:eastAsia="IRNazanin" w:cs="IRNazanin"/>
          <w:lang w:bidi="fa-IR"/>
          <w:color w:val="111111"/>
          <w:sz w:val="28"/>
          <w:szCs w:val="28"/>
          <w:rtl/>
        </w:rPr>
        <w:t xml:space="preserve">غزل های بسطامی، جامی ،جلال ،عماد ،عصمت ،کاتبی، شاهـی،طوسی، خیالی و ابن یمین ؛خط: نستعلیق، بی کا، تا: قرن ۱۰؛با سرلوح و سر بیت و تصویر؛ واقف: شاه عباس برای آستانه شـیخ صفی، ۱۱۰۷؛ کاغذ: فرنگی رنگارنگ ،جلد: تیماج ضربی زرکوب، ۱۸۰ ص،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 نشریه: ۲ - ۲۰۳]</w:t>
      </w:r>
    </w:p>
    <w:p>
      <w:pPr>
        <w:pStyle w:val="BookText"/>
      </w:pPr>
      <w:r>
        <w:rPr>
          <w:rFonts w:ascii="IRNazanin" w:hAnsi="IRNazanin" w:eastAsia="IRNazanin" w:cs="IRNazanin"/>
          <w:lang w:bidi="fa-IR"/>
          <w:color w:val="111111"/>
          <w:sz w:val="28"/>
          <w:szCs w:val="28"/>
          <w:rtl/>
        </w:rPr>
        <w:t xml:space="preserve">۱۱۵. تهران؛ دانشگاه؛ شماره نسخه: ۱۳۱۳-ف</w:t>
      </w:r>
    </w:p>
    <w:p>
      <w:pPr>
        <w:pStyle w:val="BookText"/>
      </w:pPr>
      <w:r>
        <w:rPr>
          <w:rFonts w:ascii="IRNazanin" w:hAnsi="IRNazanin" w:eastAsia="IRNazanin" w:cs="IRNazanin"/>
          <w:lang w:bidi="fa-IR"/>
          <w:color w:val="111111"/>
          <w:sz w:val="28"/>
          <w:szCs w:val="28"/>
          <w:rtl/>
        </w:rPr>
        <w:t xml:space="preserve">نسخه اصل: پاریس 349 .</w:t>
      </w:r>
      <w:r>
        <w:rPr>
          <w:rFonts w:ascii="Times New Roman" w:hAnsi="Times New Roman" w:eastAsia="Times New Roman" w:cs="Times New Roman"/>
          <w:lang w:val="en-US" w:bidi="en-US"/>
          <w:color w:val="111111"/>
          <w:sz w:val="28"/>
          <w:szCs w:val="28"/>
          <w:rtl/>
        </w:rPr>
        <w:t xml:space="preserve">P (</w:t>
      </w:r>
      <w:r>
        <w:rPr>
          <w:rFonts w:ascii="IRNazanin" w:hAnsi="IRNazanin" w:eastAsia="IRNazanin" w:cs="IRNazanin"/>
          <w:lang w:bidi="fa-IR"/>
          <w:color w:val="111111"/>
          <w:sz w:val="28"/>
          <w:szCs w:val="28"/>
          <w:rtl/>
        </w:rPr>
        <w:t xml:space="preserve">بلوشه ۱۹۷۴). دارای دیوان هـای: خسرو دهلوی، جامی، امیر ،شاهی ،آذری ،خیام، حیرانی قزوینی، سایلی با مناظره زمین و آسمان؛ خط: نستعلیق، بی کا، تا: دوشنبـه5 رمضان ۹۰۲ ق [ فیلمها: ۱ - ۵۹۳]</w:t>
      </w:r>
    </w:p>
    <w:p>
      <w:pPr>
        <w:pStyle w:val="BookText"/>
      </w:pPr>
      <w:r>
        <w:rPr>
          <w:rFonts w:ascii="IRNazanin" w:hAnsi="IRNazanin" w:eastAsia="IRNazanin" w:cs="IRNazanin"/>
          <w:lang w:bidi="fa-IR"/>
          <w:color w:val="111111"/>
          <w:sz w:val="28"/>
          <w:szCs w:val="28"/>
          <w:rtl/>
        </w:rPr>
        <w:t xml:space="preserve">۱۱۶. تهران؛ ادبیات؛ شماره نسخه: ۱۴۲ ـ د</w:t>
      </w:r>
    </w:p>
    <w:p>
      <w:pPr>
        <w:pStyle w:val="BookText"/>
      </w:pPr>
      <w:r>
        <w:rPr>
          <w:rFonts w:ascii="IRNazanin" w:hAnsi="IRNazanin" w:eastAsia="IRNazanin" w:cs="IRNazanin"/>
          <w:lang w:bidi="fa-IR"/>
          <w:color w:val="111111"/>
          <w:sz w:val="28"/>
          <w:szCs w:val="28"/>
          <w:rtl/>
        </w:rPr>
        <w:t xml:space="preserve">در این جنگ غزل های حسن دهلوی و عراقی و مسعود بکی بخارایی است چنین است وصفی که مرحوم قزوینی از این نسخه در یادداشت شش صفحه ای لای همین نسخه کرده است: «جنـگ الشعرا،مورخه سنه نهصد و یازده مشتمل بر غزلیات سه نفراز شعراء قرن هفتم و هشتم هجری یعنی حسن دهلوی و عراق و مسعود بكى. ۱- حسن دهلوی (متن کتاب از اول تا به آخر مگر بعضی اوراق پریشان جسته جسته که اشعار مسعود است (مثلاً ورق ۱۳۵ و ۱۳۶) از این که بسیار مکرر در اشعار حسن نام سلطان علاء الدین [خلجی] و پسرش خضرخان ممدوح امیر خسرو دهلوی را می برد [از جمله مثلا درورق153</w:t>
      </w:r>
      <w:r>
        <w:rPr>
          <w:rFonts w:ascii="Times New Roman" w:hAnsi="Times New Roman" w:eastAsia="Times New Roman" w:cs="Times New Roman"/>
          <w:lang w:val="en-US" w:bidi="en-US"/>
          <w:color w:val="111111"/>
          <w:sz w:val="28"/>
          <w:szCs w:val="28"/>
          <w:rtl/>
        </w:rPr>
        <w:t xml:space="preserve">b- 171b- 172b</w:t>
      </w:r>
      <w:r>
        <w:rPr>
          <w:rFonts w:ascii="IRNazanin" w:hAnsi="IRNazanin" w:eastAsia="IRNazanin" w:cs="IRNazanin"/>
          <w:lang w:bidi="fa-IR"/>
          <w:color w:val="111111"/>
          <w:sz w:val="28"/>
          <w:szCs w:val="28"/>
          <w:rtl/>
        </w:rPr>
        <w:t xml:space="preserve">وغیره) و از این که نام [امیر] خسرو و [دهلوی] دوست و همکار معروف خود را نیز برده (ورق 153</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خسرو ا از ده کرم بپذیر ( از ره اکرم پذیرا *** آنچه من بنده حسن می گویم / سخنم چـون سخن خسرو نیست *** سخن اینست که من می گویم - و بالاخره از این که در تاریخ فرشته ۳۹۴/۲ بیت ذیل را صریحاً بحسن دهلوی نسبت می دهد: ای حسن تو به آنگهی کردی *** که ترا قدرت گناه نماند ومی گوید از جمله غزلی است، و عین این غزل با همین بیت در ورق ۱۵۴ - ۱۵۵ در نسخه حاضر موجود است یقین حاصل می شود که مراد از حسن در تخلصات این غزلیات هـمان حسن دهلوی معروف است بلاشک - دیوانی کامل از کلیه اشـعار این حسن دهلوی از قصیده و غزل و غیرهما در موزه بریطنیه (ریو فهرست ص618) موجود است و بدبختانه فعلا دسترسی بآن نسخه ندارم تا بعین الیقین ظن متاخم به علم خود را که این حسن همان حسن دهلوی است اثبات نمایم - رجوع کنید برای شرح حال حسن دهلوی به تذکره دولتشاه (فهرست آن) و نفحـات الانس چاپ کلکته ص ۷۱۲-۷۱۱ ،  تاریخ فیروز شاهی ضـیاء برنی که خود معاصر و دوست جانی این امیر حسن و همکار او امیر خسرو بوده است چاپ کلکته ص  ۳۵۹ ۳۶۰، و تاریخ فرشته طبع نول کشور ج ۲ ص ۳۹۴، و به فهرست نسخ فارسی موزه بریطانیه از ریو ۶۱۸/۲ که در آنجا نقلا از بداونی تاریخ وفات او را سنه ۷۲۷ به دست می دهد و همین قول به نظر اصبح روایات می نماید، و دو قول دیگر نیز یکی از تقی کاشی که سال وفات او را سنه  ۷۴۵، ذکر کرده و دیگری از «خلاصة الافکار »که ۷۳۸ نوشته نقل کرده است؛ ۲ -عراقی (حاشیه کتاب از اول الی ورق ۸۹) چون دسترسی به دیوان عراقی معروف مؤلف «اشعة اللمعات» متوفی در سنه ۶۸۸ یعنی فخر الدين ابراهيم بن شهريار صاحب غزل معروف: نخستین باده کاندر جام کردند *** زچشم مست ساقی وام کردند؛ فعلا نمی توانم بطور قطع بگویم که این عراقی صاحب غزلیات نسخه حاضر همان عراقی معروف است یا نه، ولی ظن متاخم به علم دارم که هموست لاغیر چه این جنگ حاوی اشعار شعرائی است که تقریبا در یک عقد و یک مکان یعنی هندوستان می زیسته اند مانند امیر حسن دهلوی مذکور و مسعود بكى آتى الذكر، و عراقی نیز از همان قبیل است یعنی متقارب العصر یا معاصر با امیر حسن دهلوی است و در اوایل عمر خود در هندوستان در خدمت شیخ بهاءالدین زکریاء مولتانی می زیسته است (رجوع بدولتشاه ص ۲۱۶-۲۱۵ و نفحات و نفحات ص ۷۰۱-۷۰۲) و نیز عراقی دیگری در تذکره ها و کتب تاریخ معروف نیست تا شکی و تردیدی ما بین او و عراقی معروف دست دهد؛ نسخه ای  از دیوان او نیز در موزه بریطانیه موجود است(ریو ۵۹۴/۲)؛ ۳- مسعود (حاشیه کتاب از ورق ۹۰ الی آخر کتاب ظاهراً، و حسته حسته بعضی وراق پریشان در خود متن نیز از جمله مثلا ورق ۱۳۵ و ۱۳۶) قریب به یقین این که مراد از مسود در تخلصات این غزلیات مسعود یکی (از اهالی بک از محال بخارا- ریو ۶۳۲/۲ )باید باشد که معاصر سلطان فیروزشاه خلجی (۷۵۲ - (۷۹۰) مخدوم ضیاء برنی صاحب تاریخ معروف فیروزشاهی که باسم همین سلطان است بوده است و به حکم علمای ظاهر در سنه ۸۰۰ تکفیر شده و او را سوخته اند و در دهلی کهنه مدفون است (ریو ۶۳۲/۲) نسخه ای از دیوان او نیز در موزه بریطانیه موجود است (ریو، همان موضع) و فعلا چون دسترسی به مطالعه آن نسخه و مقایسه با نسخه حاضر با آن ندارم نمی توانم یقین قطعی کنم که این مسعود همان یکی است ولی بهمان قراینی که در خصوص عراقی گفته شد که این نسخه مجموعه ای است از اشعار شعرائی که در حدود قرن هفتم و هشتم در هندوستان شهرتی بهم رسانیده اند و مسعود بکی نیز عیناً از همان قبیل است من تقریباً شکی ندارم در اتحاد مسعودین و اینکه ابن مسعود مذکور در تخلصات غزل های این نسخه همان مسعود بکی نسخه ای است که در موزه بریطانیه موجود و در فهرست ریو ۶۳۲/۲ شرح آن داده شده است؛ خط:</w:t>
      </w:r>
    </w:p>
    <w:p>
      <w:pPr>
        <w:pStyle w:val="BookText"/>
      </w:pPr>
      <w:r>
        <w:rPr>
          <w:rFonts w:ascii="IRNazanin" w:hAnsi="IRNazanin" w:eastAsia="IRNazanin" w:cs="IRNazanin"/>
          <w:lang w:bidi="fa-IR"/>
          <w:color w:val="111111"/>
          <w:sz w:val="28"/>
          <w:szCs w:val="28"/>
          <w:rtl/>
        </w:rPr>
        <w:t xml:space="preserve">نستعلیق، بی کا، تا: ۹۱۱ ق؛ بعضی اوراق این نسخه پریشان است و بجای اصلی خود نیست یا آنکه افتاده است، مثلا ما بين ورق ۸۹- ۹۰ ما بين باب شین و میم مبلغی افتاده است (یا آنکه جابجا شده  است)، و همچنین ورق ۱۳۵ و ۱۳۶ بجای خود نیست در صفحه اخیر کتاب این عبارت با مرکب سفید در زمینه طلایی مسطور
</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«تمام شد کتاب جنگ الشعرا به تاريخ رجب الاصب سنه  ۹۱۱» و انا العبد محمد بن عبدالوهاب القزويني مالك هذه النسـخة ۲۳ محرم ۱۳۴۹)، با سرلوح زرین و رنگارنگ و جدول بزر؛ غزل های دهلوی در متن است تا پایان نسخه مگر در چند برگ شعرهای عراقی در هامش است از آغاز نسخه تا برگ89، شعرهای بکی بخارایی در هامش است از برگ ۹۰ تا پایان نسـخه هم و در برخی جاها شعرها در متن نیز هست؛ یادداشت قروینی در 6صفحه در لای نسخه هست مورخ ۲۳ محرم ۱۳۴۹ -(22695) ۲۷</w:t>
      </w:r>
      <w:r>
        <w:rPr>
          <w:rFonts w:ascii="Times New Roman" w:hAnsi="Times New Roman" w:eastAsia="Times New Roman" w:cs="Times New Roman"/>
          <w:lang w:val="en-US" w:bidi="en-US"/>
          <w:color w:val="111111"/>
          <w:sz w:val="28"/>
          <w:szCs w:val="28"/>
          <w:rtl/>
        </w:rPr>
        <w:t xml:space="preserve">IVD</w:t>
      </w:r>
      <w:r>
        <w:rPr>
          <w:rFonts w:ascii="IRNazanin" w:hAnsi="IRNazanin" w:eastAsia="IRNazanin" w:cs="IRNazanin"/>
          <w:lang w:bidi="fa-IR"/>
          <w:color w:val="111111"/>
          <w:sz w:val="28"/>
          <w:szCs w:val="28"/>
          <w:rtl/>
        </w:rPr>
        <w:t xml:space="preserve">؛ کاغذ: سمرقندی ،جلد: تیماج تریاکی ضربی، ۱۵ سطر (6/5</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،اندازه: ۹۰</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۱۷سم [ف: ۱ - ۱۸۴]</w:t>
      </w:r>
    </w:p>
    <w:p>
      <w:pPr>
        <w:pStyle w:val="BookText"/>
      </w:pPr>
      <w:r>
        <w:rPr>
          <w:rFonts w:ascii="IRNazanin" w:hAnsi="IRNazanin" w:eastAsia="IRNazanin" w:cs="IRNazanin"/>
          <w:lang w:bidi="fa-IR"/>
          <w:color w:val="111111"/>
          <w:sz w:val="28"/>
          <w:szCs w:val="28"/>
          <w:rtl/>
        </w:rPr>
        <w:t xml:space="preserve">۱۱۷. تهران؛ سلطنتی؛ شماره نسخه: ۲۲۱۹</w:t>
      </w:r>
    </w:p>
    <w:p>
      <w:pPr>
        <w:pStyle w:val="BookText"/>
      </w:pPr>
      <w:r>
        <w:rPr>
          <w:rFonts w:ascii="IRNazanin" w:hAnsi="IRNazanin" w:eastAsia="IRNazanin" w:cs="IRNazanin"/>
          <w:lang w:bidi="fa-IR"/>
          <w:color w:val="111111"/>
          <w:sz w:val="28"/>
          <w:szCs w:val="28"/>
          <w:rtl/>
        </w:rPr>
        <w:t xml:space="preserve">آغاز: بسمله/ شکر و سپاس و منت نعمت خدایرا *** پروردگار خلق و خداوند کبریا؛ انجام: چندانکه رهد از طمع نفس تو خـلق *** با آنکه رهد نفس تو از خلق جهان / این کتابت که نسـخه ایست بدیع *** بهر فرزند عز الدين محمود/ پانزده روز رفته از رمضان*** (سال ۹۱۵ هجرت) کتابت من بود.</w:t>
      </w:r>
    </w:p>
    <w:p>
      <w:pPr>
        <w:pStyle w:val="BookText"/>
      </w:pPr>
      <w:r>
        <w:rPr>
          <w:rFonts w:ascii="IRNazanin" w:hAnsi="IRNazanin" w:eastAsia="IRNazanin" w:cs="IRNazanin"/>
          <w:lang w:bidi="fa-IR"/>
          <w:color w:val="111111"/>
          <w:sz w:val="28"/>
          <w:szCs w:val="28"/>
          <w:rtl/>
        </w:rPr>
        <w:t xml:space="preserve">عبارت است از غزلیات، رباعیات که از اشعار شعرائی چون: سعدی، امیر خسرو دهلوی ،حافظ، حسن دهلوی، کمال خجندی ،جامی، کاتبی انتخاب شده ؛خط: نستعلیق ممتاز، کا: سلطان محمود نور، تا: ۹۱۵ق مجدول  زرین، صفحه اول یک سرلـوح مذهب مرصع ممتاز، اشعار به طریق مورب و چلیپا؛ مهر: ناصر الدین شاه قاجار؛ کاغذ: بخارائی نخودی رنگ متن غبار زرافشـان ،جلد: مقوای ابره تیماج ماشی رنگ، ۱۳۴ ص ۱۴/۵ سطر (مصرع) غزل و ۱۲/۵ سطر  رباعی، قطع: ربعی ،اندازه: ۱۲/۷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۲۰/۷سم [ف: 4- 1097]</w:t>
      </w:r>
    </w:p>
    <w:p>
      <w:pPr>
        <w:pStyle w:val="BookText"/>
      </w:pPr>
      <w:r>
        <w:rPr>
          <w:rFonts w:ascii="IRNazanin" w:hAnsi="IRNazanin" w:eastAsia="IRNazanin" w:cs="IRNazanin"/>
          <w:lang w:bidi="fa-IR"/>
          <w:color w:val="111111"/>
          <w:sz w:val="28"/>
          <w:szCs w:val="28"/>
          <w:rtl/>
        </w:rPr>
        <w:t xml:space="preserve">۱۱۸. تهران؛ مجلس؛ شماره نسخه: ۸۸۸</w:t>
      </w:r>
    </w:p>
    <w:p>
      <w:pPr>
        <w:pStyle w:val="BookText"/>
      </w:pPr>
      <w:r>
        <w:rPr>
          <w:rFonts w:ascii="IRNazanin" w:hAnsi="IRNazanin" w:eastAsia="IRNazanin" w:cs="IRNazanin"/>
          <w:lang w:bidi="fa-IR"/>
          <w:color w:val="111111"/>
          <w:sz w:val="28"/>
          <w:szCs w:val="28"/>
          <w:rtl/>
        </w:rPr>
        <w:t xml:space="preserve">از سعدی و خواجه نصیر و امیر خسرو و امیر حسین و شیخ...و امیر قاسم و شاهی و طوسی و کاتبی و میرزا مؤمن و ریاضی و شریف صالح و چندتای دیگر که نام آنها در دائر ص ع روشن نیست؛ خط: نستعلیق، کا: شاید از سلطان محمد نور، تا: ۹۲۰ق؛با سرلوح  مذهب ،مجدول مذهب؛ تملک: «ک و نوقی» در ۲۰/۱۱/۱۴؛ کاغذ: الوان، جلد:سوخت و روغنی ضربی، ۳۷گ،۱۰ سطر (7</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[سنا: ف: ۲ - ۸۴]</w:t>
      </w:r>
    </w:p>
    <w:p>
      <w:pPr>
        <w:pStyle w:val="BookText"/>
      </w:pPr>
      <w:r>
        <w:rPr>
          <w:rFonts w:ascii="IRNazanin" w:hAnsi="IRNazanin" w:eastAsia="IRNazanin" w:cs="IRNazanin"/>
          <w:lang w:bidi="fa-IR"/>
          <w:color w:val="111111"/>
          <w:sz w:val="28"/>
          <w:szCs w:val="28"/>
          <w:rtl/>
        </w:rPr>
        <w:t xml:space="preserve">۱۱۹. تهران؛ دانشگاه؛ شماره نسخه: ۲۱۴۷/۴</w:t>
      </w:r>
    </w:p>
    <w:p>
      <w:pPr>
        <w:pStyle w:val="BookText"/>
      </w:pPr>
      <w:r>
        <w:rPr>
          <w:rFonts w:ascii="IRNazanin" w:hAnsi="IRNazanin" w:eastAsia="IRNazanin" w:cs="IRNazanin"/>
          <w:lang w:bidi="fa-IR"/>
          <w:color w:val="111111"/>
          <w:sz w:val="28"/>
          <w:szCs w:val="28"/>
          <w:rtl/>
        </w:rPr>
        <w:t xml:space="preserve">آغاز: بسمله. بعد از ادای حمد و ثنا الله الذى خلق اللوح و القلم... اما بعد نموده می شود که این درجی است در وی لآلی منظـوم ؛انجام: و قلم و زبان فرخنده بیار بایراد کلمه ای تکلم نموده دمی (كتبه العبد عيسى)</w:t>
      </w:r>
    </w:p>
    <w:p>
      <w:pPr>
        <w:pStyle w:val="BookText"/>
      </w:pPr>
      <w:r>
        <w:rPr>
          <w:rFonts w:ascii="IRNazanin" w:hAnsi="IRNazanin" w:eastAsia="IRNazanin" w:cs="IRNazanin"/>
          <w:lang w:bidi="fa-IR"/>
          <w:color w:val="111111"/>
          <w:sz w:val="28"/>
          <w:szCs w:val="28"/>
          <w:rtl/>
        </w:rPr>
        <w:t xml:space="preserve">قصیده مصنوع که در آن آنچه حروف میان کلمات به سرخی نوشته شده قصیده ای می شود که در پایان در نسخه ما همه آن به سرخی نوشته شده است؛ خط: نستعلیق، کا: عیسی نامی،تا: ۹۲۲ق؛ کاغذ: سپاهانی ،جلد:مقوا ۵گ (۳۵ پ - ۳۹پ)، ۱۸ سـطر (7</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اندازه: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۱۸/۵سم [ف: ۹ - ۸۴۵]</w:t>
      </w:r>
    </w:p>
    <w:p>
      <w:pPr>
        <w:pStyle w:val="BookText"/>
      </w:pPr>
      <w:r>
        <w:rPr>
          <w:rFonts w:ascii="IRNazanin" w:hAnsi="IRNazanin" w:eastAsia="IRNazanin" w:cs="IRNazanin"/>
          <w:lang w:bidi="fa-IR"/>
          <w:color w:val="111111"/>
          <w:sz w:val="28"/>
          <w:szCs w:val="28"/>
          <w:rtl/>
        </w:rPr>
        <w:t xml:space="preserve">۱۲۰. تهران؛ ملی؛ شماره نسخه :عکسی بدون شماره</w:t>
      </w:r>
    </w:p>
    <w:p>
      <w:pPr>
        <w:pStyle w:val="BookText"/>
      </w:pPr>
      <w:r>
        <w:rPr>
          <w:rFonts w:ascii="IRNazanin" w:hAnsi="IRNazanin" w:eastAsia="IRNazanin" w:cs="IRNazanin"/>
          <w:lang w:bidi="fa-IR"/>
          <w:color w:val="111111"/>
          <w:sz w:val="28"/>
          <w:szCs w:val="28"/>
          <w:rtl/>
        </w:rPr>
        <w:t xml:space="preserve">نسخه اصل: لنینگراد، شماره </w:t>
      </w:r>
      <w:r>
        <w:rPr>
          <w:rFonts w:ascii="Times New Roman" w:hAnsi="Times New Roman" w:eastAsia="Times New Roman" w:cs="Times New Roman"/>
          <w:lang w:val="en-US" w:bidi="en-US"/>
          <w:color w:val="111111"/>
          <w:sz w:val="28"/>
          <w:szCs w:val="28"/>
          <w:rtl/>
        </w:rPr>
        <w:t xml:space="preserve">C</w:t>
      </w:r>
      <w:r>
        <w:rPr>
          <w:rFonts w:ascii="IRNazanin" w:hAnsi="IRNazanin" w:eastAsia="IRNazanin" w:cs="IRNazanin"/>
          <w:lang w:bidi="fa-IR"/>
          <w:color w:val="111111"/>
          <w:sz w:val="28"/>
          <w:szCs w:val="28"/>
          <w:rtl/>
        </w:rPr>
        <w:t xml:space="preserve">۸۵۰. جنگ اشعار است؛ کا: قبلة الكتاب میرعلی، تا: ۹۲۵ق؛ ضمیمه «دو اوین اشعار» قسمت سوم [ نشریه: ۳ - ۱۰۱]</w:t>
      </w:r>
    </w:p>
    <w:p>
      <w:pPr>
        <w:pStyle w:val="BookText"/>
      </w:pPr>
      <w:r>
        <w:rPr>
          <w:rFonts w:ascii="IRNazanin" w:hAnsi="IRNazanin" w:eastAsia="IRNazanin" w:cs="IRNazanin"/>
          <w:lang w:bidi="fa-IR"/>
          <w:color w:val="111111"/>
          <w:sz w:val="28"/>
          <w:szCs w:val="28"/>
          <w:rtl/>
        </w:rPr>
        <w:t xml:space="preserve">۱۲۱. تهران؛ سلطنتی؛ شماره نسخه: ۵۷۳</w:t>
      </w:r>
    </w:p>
    <w:p>
      <w:pPr>
        <w:pStyle w:val="BookText"/>
      </w:pPr>
      <w:r>
        <w:rPr>
          <w:rFonts w:ascii="IRNazanin" w:hAnsi="IRNazanin" w:eastAsia="IRNazanin" w:cs="IRNazanin"/>
          <w:lang w:bidi="fa-IR"/>
          <w:color w:val="111111"/>
          <w:sz w:val="28"/>
          <w:szCs w:val="28"/>
          <w:rtl/>
        </w:rPr>
        <w:t xml:space="preserve">مجموعه ای است از «حديقة الحقيقه» حکیم سنائی غزنوی شامل مقدمه منثور که در متن و حاشیه نگاشته شده و مثنوی که تا صفحه ۶۴۶ در متن نوشته شده است؛ خط: نستعلیق متوسط، کا: پیر حسین کاتب شیرازی، تا: ۹۳۴ ق ،مجدول، در هر صفحه دو لوح کوچک سه گوش  مذهب، به سال ۱۲۵۵ داخل کتابخانه فرهاد میرزا معتمد الدوله گشته، به سال های ۱۲۸۲ و ۱۳۲۲ به ترتیب از عرض کتابخانه مبارکه گذشته است؛ مهر: ناصر الدین شاه قاجار ۱۲۷۴، فرهاد میرزا معتمدالدوله «عن الراجي فرهاد»؛ تملک: محمد رضا بن عبدالرشید بوده به سال ۱۲۴۰ با مهر وی؛ کاغذ: اصفهانی، جلد: مقوای روکش چرم ساغری مشکی وسط ترنج دو سر ترنج ۷۲۲ ص، ۱۵ سطر در متن و ۱۰ سطر در حاشیه به طرز مورب، قطع: وزیری، اندازه:  ۱۶/۱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۲۶/۹سم [ف: ۴-۱۰۵۸  ]</w:t>
      </w:r>
    </w:p>
    <w:p>
      <w:pPr>
        <w:pStyle w:val="BookText"/>
      </w:pPr>
      <w:r>
        <w:rPr>
          <w:rFonts w:ascii="IRNazanin" w:hAnsi="IRNazanin" w:eastAsia="IRNazanin" w:cs="IRNazanin"/>
          <w:lang w:bidi="fa-IR"/>
          <w:color w:val="111111"/>
          <w:sz w:val="28"/>
          <w:szCs w:val="28"/>
          <w:rtl/>
        </w:rPr>
        <w:t xml:space="preserve">۱۲۲. تهران؛ دانشگاه؛ شماره نسخه: ۴۲۸۵-عکس</w:t>
      </w:r>
    </w:p>
    <w:p>
      <w:pPr>
        <w:pStyle w:val="BookText"/>
      </w:pPr>
      <w:r>
        <w:rPr>
          <w:rFonts w:ascii="IRNazanin" w:hAnsi="IRNazanin" w:eastAsia="IRNazanin" w:cs="IRNazanin"/>
          <w:lang w:bidi="fa-IR"/>
          <w:color w:val="111111"/>
          <w:sz w:val="28"/>
          <w:szCs w:val="28"/>
          <w:rtl/>
        </w:rPr>
        <w:t xml:space="preserve">نسخه اصل: آکادمی لنینگراد 86</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شعرهای فارسی خسرو، حافظ ،شاهی ،جامی ،حسنی ،هلالی ،آهی، اهلی ومحرم از غزل و رباعی و معما با ستایش شاه حسین از نویسنده نسخه میرعلی حسینی کاتب سلطان در بخارا؛ خط: نستعلیق، کا: آراسته میرعلی  ،تا: ۹۳۵ ق ،جا: بخارا؛ مصور یاد شده با عنوان های «نمونه خط میرعلی، جنگ خط میرعلی» در آغاز؛ مهر: «الله محمد على ۱۰۲۰»، ۵۶ برگ با دو تصویر؛ ۵۶گ، [فیلمها: ۳ - ۲۳۱]</w:t>
      </w:r>
    </w:p>
    <w:p>
      <w:pPr>
        <w:pStyle w:val="BookText"/>
      </w:pPr>
      <w:r>
        <w:rPr>
          <w:rFonts w:ascii="IRNazanin" w:hAnsi="IRNazanin" w:eastAsia="IRNazanin" w:cs="IRNazanin"/>
          <w:lang w:bidi="fa-IR"/>
          <w:color w:val="111111"/>
          <w:sz w:val="28"/>
          <w:szCs w:val="28"/>
          <w:rtl/>
        </w:rPr>
        <w:t xml:space="preserve">123.تهران؛ دانشگاه؛ شماره نسخه: ۲۰۱۶/۴۱-ف</w:t>
      </w:r>
    </w:p>
    <w:p>
      <w:pPr>
        <w:pStyle w:val="BookText"/>
      </w:pPr>
      <w:r>
        <w:rPr>
          <w:rFonts w:ascii="IRNazanin" w:hAnsi="IRNazanin" w:eastAsia="IRNazanin" w:cs="IRNazanin"/>
          <w:lang w:bidi="fa-IR"/>
          <w:color w:val="111111"/>
          <w:sz w:val="28"/>
          <w:szCs w:val="28"/>
          <w:rtl/>
        </w:rPr>
        <w:t xml:space="preserve">نسخه اصل: آغاز و انجام چند نسخه از کتابخانه های یوگسلاوی. جنگ شعر است مربوط به اعضای یار از زلف و قامت و پیشانی و ابرو و چشم و مژگان و بینی و خال و لب و دندان و دهان و زنخ و گوش و گردن و بازو و پشت دست و انگشت ها و ناخن ها و رنگ دست و پستان و سینه و شکم و شکن شکم و ناف و میان و ... و نشسته گاه و ران و زانو و ساق و پای هر یک یک یا چند بیت؛ بی کا، تا: با تاریخ ۹۳۵ق [ فیلمها: ۱ - ۶۳۹]  ۱۲۴. تهران؛ ملک؛ شماره نسخه: ۳۶۶۷</w:t>
      </w:r>
    </w:p>
    <w:p>
      <w:pPr>
        <w:pStyle w:val="BookText"/>
      </w:pPr>
      <w:r>
        <w:rPr>
          <w:rFonts w:ascii="IRNazanin" w:hAnsi="IRNazanin" w:eastAsia="IRNazanin" w:cs="IRNazanin"/>
          <w:lang w:bidi="fa-IR"/>
          <w:color w:val="111111"/>
          <w:sz w:val="28"/>
          <w:szCs w:val="28"/>
          <w:rtl/>
        </w:rPr>
        <w:t xml:space="preserve">دارای اشعار سعدی، امیر خسرو، حسن دهلوی، حافظ، قاسم انوار، جامی، امیر شاهی ،فغانی، همایون ،ریاضی، مانی، خواجه رشید، اوحدی ،کمال ،کاتبی ،خواجو ،آذری ،فدائی ،عراقی ،عصمت ،سلمان ،خیالی ،قاضی ،عیسی ،صبوحی ،صفی هلالی ،طوسی ،عیشی ،حیرانی ،سلامی ،سیفی ،نصیبی، محیی ،ارشد، اهلی ،پرتوی ،وفائی ،عماد ،جلال، شرف الدین  علی، شهیدی، نیازی، سید ناصر ،عطائی ،مقبول ،دایمی ،حقیقی ،نبی ،حیرتی، اهلی، خراسانی، آهی، بابر، ،صفائی ،اشرف ،انیسی، قاضی علاء، طبیب، طالب ،فتحی ،بساطی ،روحی ،عطار ابن عماد، عبدی، سهیلی،
</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صالح ،علوی ،ملیحی ،سنجری ،گلخنی ،صاعدی، بنائی، طالع ،امینی ،روشنی ،علائی ،فدائی ،محیی ،رفیع، صادقی، محمود ،الفتى، عتيقى، حافظ سعد ،فقیری ،کریمی ،رازی ،مالکی، رضـا ،لسانی ،غلامی، درویش دهکی، کمال اسمعیل، غیاثی (مذهـب نسخه)، و در آخر رباعایت آمده است که ظاهراً از خود مذهـب است و مطالع هم آمده است در خوشنویسان بیانی (ش 746و ۱۶۴) از غیاث الدین مذهب و پیر حسین کاتب شیرازی و  در میخانه گلچین معانی (۶۲ و ۱۲۵ و ۱۲۸) از جنگ غیاثی مذهب و شعرهای آذری و شهیدی و پرتوی که در آن آمده است یاد شـده ؛خط: نستعليق ،کا: پیر حسین کاتب شیرازی، تادهه یکم يكم مـحـرم ۹۴۲ق؛ دارای سرلوح  مذهب ،مجدول، طلا با شش پیشانی در وسط؛ کاغذ: ترمه ،جلد: معرق، رویه طلا پوش، ۲۱۲گ،  13 سطر، اندازه: ۱۰/۹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۷ - ۱۶]</w:t>
      </w:r>
    </w:p>
    <w:p>
      <w:pPr>
        <w:pStyle w:val="BookText"/>
      </w:pPr>
      <w:r>
        <w:rPr>
          <w:rFonts w:ascii="IRNazanin" w:hAnsi="IRNazanin" w:eastAsia="IRNazanin" w:cs="IRNazanin"/>
          <w:lang w:bidi="fa-IR"/>
          <w:color w:val="111111"/>
          <w:sz w:val="28"/>
          <w:szCs w:val="28"/>
          <w:rtl/>
        </w:rPr>
        <w:t xml:space="preserve">۱۲۵. تهران؛ ملی؛ شماره نسخه: ۱۶۹۳۲</w:t>
      </w:r>
    </w:p>
    <w:p>
      <w:pPr>
        <w:pStyle w:val="BookText"/>
      </w:pPr>
      <w:r>
        <w:rPr>
          <w:rFonts w:ascii="IRNazanin" w:hAnsi="IRNazanin" w:eastAsia="IRNazanin" w:cs="IRNazanin"/>
          <w:lang w:bidi="fa-IR"/>
          <w:color w:val="111111"/>
          <w:sz w:val="28"/>
          <w:szCs w:val="28"/>
          <w:rtl/>
        </w:rPr>
        <w:t xml:space="preserve">مجموعه شعر؛ بی کا، تا: ۹۵۳ق؛ انتقالی از کتابخانه پهلوی- مجموعه نوازی؛ ۶۰گ، اندازه: 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۱۳/۵سم [رایانه ]</w:t>
      </w:r>
    </w:p>
    <w:p>
      <w:pPr>
        <w:pStyle w:val="BookText"/>
      </w:pPr>
      <w:r>
        <w:rPr>
          <w:rFonts w:ascii="IRNazanin" w:hAnsi="IRNazanin" w:eastAsia="IRNazanin" w:cs="IRNazanin"/>
          <w:lang w:bidi="fa-IR"/>
          <w:color w:val="111111"/>
          <w:sz w:val="28"/>
          <w:szCs w:val="28"/>
          <w:rtl/>
        </w:rPr>
        <w:t xml:space="preserve">۱۲۶. تهران؛ مجلس؛ شماره نسخه: ۱/۵۲ معیری</w:t>
      </w:r>
    </w:p>
    <w:p>
      <w:pPr>
        <w:pStyle w:val="BookText"/>
      </w:pPr>
      <w:r>
        <w:rPr>
          <w:rFonts w:ascii="IRNazanin" w:hAnsi="IRNazanin" w:eastAsia="IRNazanin" w:cs="IRNazanin"/>
          <w:lang w:bidi="fa-IR"/>
          <w:color w:val="111111"/>
          <w:sz w:val="28"/>
          <w:szCs w:val="28"/>
          <w:rtl/>
        </w:rPr>
        <w:t xml:space="preserve">غزلیات میر حسین؛ خط: نستعلیق  خفی، بی کا، تا: ۹۵۷ق؛ ۲ ص (۳۷۸-۳۷۷) [ف: ۱۸-۴]</w:t>
      </w:r>
    </w:p>
    <w:p>
      <w:pPr>
        <w:pStyle w:val="BookText"/>
      </w:pPr>
      <w:r>
        <w:rPr>
          <w:rFonts w:ascii="IRNazanin" w:hAnsi="IRNazanin" w:eastAsia="IRNazanin" w:cs="IRNazanin"/>
          <w:lang w:bidi="fa-IR"/>
          <w:color w:val="111111"/>
          <w:sz w:val="28"/>
          <w:szCs w:val="28"/>
          <w:rtl/>
        </w:rPr>
        <w:t xml:space="preserve">۱۲۷. تهران؛ مجلس؛ شماره نسخه: ۱/۲۵ معیری</w:t>
      </w:r>
    </w:p>
    <w:p>
      <w:pPr>
        <w:pStyle w:val="BookText"/>
      </w:pPr>
      <w:r>
        <w:rPr>
          <w:rFonts w:ascii="IRNazanin" w:hAnsi="IRNazanin" w:eastAsia="IRNazanin" w:cs="IRNazanin"/>
          <w:lang w:bidi="fa-IR"/>
          <w:color w:val="111111"/>
          <w:sz w:val="28"/>
          <w:szCs w:val="28"/>
          <w:rtl/>
        </w:rPr>
        <w:t xml:space="preserve">غزلیات شاه صفى الدين؛ خط: نستعليق  خفی، بی کا، تا: 957ق؛4 ص (۲۰۰-۲۰۳) [ف: ۱۸ - ۳]</w:t>
      </w:r>
    </w:p>
    <w:p>
      <w:pPr>
        <w:pStyle w:val="BookText"/>
      </w:pPr>
      <w:r>
        <w:rPr>
          <w:rFonts w:ascii="IRNazanin" w:hAnsi="IRNazanin" w:eastAsia="IRNazanin" w:cs="IRNazanin"/>
          <w:lang w:bidi="fa-IR"/>
          <w:color w:val="111111"/>
          <w:sz w:val="28"/>
          <w:szCs w:val="28"/>
          <w:rtl/>
        </w:rPr>
        <w:t xml:space="preserve">۱۲۸. تهران؛ مجلس؛ شماره نسخه: ۱/۴۱ معیری</w:t>
      </w:r>
    </w:p>
    <w:p>
      <w:pPr>
        <w:pStyle w:val="BookText"/>
      </w:pPr>
      <w:r>
        <w:rPr>
          <w:rFonts w:ascii="IRNazanin" w:hAnsi="IRNazanin" w:eastAsia="IRNazanin" w:cs="IRNazanin"/>
          <w:lang w:bidi="fa-IR"/>
          <w:color w:val="111111"/>
          <w:sz w:val="28"/>
          <w:szCs w:val="28"/>
          <w:rtl/>
        </w:rPr>
        <w:t xml:space="preserve">غزلیات میر حسن؛ خط: نستعلیق خفی ،بی کا، تا: ۹۵۷ق؛ ۳ص(۳۲۶-۳۲۴) [ف: ۱۸ - ۳]</w:t>
      </w:r>
    </w:p>
    <w:p>
      <w:pPr>
        <w:pStyle w:val="BookText"/>
      </w:pPr>
      <w:r>
        <w:rPr>
          <w:rFonts w:ascii="IRNazanin" w:hAnsi="IRNazanin" w:eastAsia="IRNazanin" w:cs="IRNazanin"/>
          <w:lang w:bidi="fa-IR"/>
          <w:color w:val="111111"/>
          <w:sz w:val="28"/>
          <w:szCs w:val="28"/>
          <w:rtl/>
        </w:rPr>
        <w:t xml:space="preserve">۱۲۹. تهران؛ مجلس؛ شماره نسخه: ۱/۴۳ معیری</w:t>
      </w:r>
    </w:p>
    <w:p>
      <w:pPr>
        <w:pStyle w:val="BookText"/>
      </w:pPr>
      <w:r>
        <w:rPr>
          <w:rFonts w:ascii="IRNazanin" w:hAnsi="IRNazanin" w:eastAsia="IRNazanin" w:cs="IRNazanin"/>
          <w:lang w:bidi="fa-IR"/>
          <w:color w:val="111111"/>
          <w:sz w:val="28"/>
          <w:szCs w:val="28"/>
          <w:rtl/>
        </w:rPr>
        <w:t xml:space="preserve">غزلیات ریاضی؛ خط: نستعلیق ،خفی، بی کا، تا: ۹۵۷ق؛ ۲ص(۳۲۹-۱۳۲۸) [ف: ۱۸-۳]</w:t>
      </w:r>
    </w:p>
    <w:p>
      <w:pPr>
        <w:pStyle w:val="BookText"/>
      </w:pPr>
      <w:r>
        <w:rPr>
          <w:rFonts w:ascii="IRNazanin" w:hAnsi="IRNazanin" w:eastAsia="IRNazanin" w:cs="IRNazanin"/>
          <w:lang w:bidi="fa-IR"/>
          <w:color w:val="111111"/>
          <w:sz w:val="28"/>
          <w:szCs w:val="28"/>
          <w:rtl/>
        </w:rPr>
        <w:t xml:space="preserve">۱۳۰. تهران؛ مجلس؛ شماره نسخه: ۱/۴۰ معیری</w:t>
      </w:r>
    </w:p>
    <w:p>
      <w:pPr>
        <w:pStyle w:val="BookText"/>
      </w:pPr>
      <w:r>
        <w:rPr>
          <w:rFonts w:ascii="IRNazanin" w:hAnsi="IRNazanin" w:eastAsia="IRNazanin" w:cs="IRNazanin"/>
          <w:lang w:bidi="fa-IR"/>
          <w:color w:val="111111"/>
          <w:sz w:val="28"/>
          <w:szCs w:val="28"/>
          <w:rtl/>
        </w:rPr>
        <w:t xml:space="preserve">غزلیات ناصر؛ خط: نستعلیق خفی، بی کا، تا: ۹۵۷ق؛ ۳ ص (322- 324)[  ف: ۱۸-۳  ]</w:t>
      </w:r>
    </w:p>
    <w:p>
      <w:pPr>
        <w:pStyle w:val="BookText"/>
      </w:pPr>
      <w:r>
        <w:rPr>
          <w:rFonts w:ascii="IRNazanin" w:hAnsi="IRNazanin" w:eastAsia="IRNazanin" w:cs="IRNazanin"/>
          <w:lang w:bidi="fa-IR"/>
          <w:color w:val="111111"/>
          <w:sz w:val="28"/>
          <w:szCs w:val="28"/>
          <w:rtl/>
        </w:rPr>
        <w:t xml:space="preserve">۱۳۱. تهران؛ مجلس؛ شماره نسخه: ۱/۶۲ معیری</w:t>
      </w:r>
    </w:p>
    <w:p>
      <w:pPr>
        <w:pStyle w:val="BookText"/>
      </w:pPr>
      <w:r>
        <w:rPr>
          <w:rFonts w:ascii="IRNazanin" w:hAnsi="IRNazanin" w:eastAsia="IRNazanin" w:cs="IRNazanin"/>
          <w:lang w:bidi="fa-IR"/>
          <w:color w:val="111111"/>
          <w:sz w:val="28"/>
          <w:szCs w:val="28"/>
          <w:rtl/>
        </w:rPr>
        <w:t xml:space="preserve">قصیده نصرت رازی؛ خط: نستعلیق خفی، بی کا، تا: ۹۵۷ق؛ ۳ص(۳۹۷-۳۹۵) [ف: ۱۸-۴]</w:t>
      </w:r>
    </w:p>
    <w:p>
      <w:pPr>
        <w:pStyle w:val="BookText"/>
      </w:pPr>
      <w:r>
        <w:rPr>
          <w:rFonts w:ascii="IRNazanin" w:hAnsi="IRNazanin" w:eastAsia="IRNazanin" w:cs="IRNazanin"/>
          <w:lang w:bidi="fa-IR"/>
          <w:color w:val="111111"/>
          <w:sz w:val="28"/>
          <w:szCs w:val="28"/>
          <w:rtl/>
        </w:rPr>
        <w:t xml:space="preserve">۱۳۲. تهران؛ مجلس شماره  نسخه: ۱/۵۴ معیری</w:t>
      </w:r>
    </w:p>
    <w:p>
      <w:pPr>
        <w:pStyle w:val="BookText"/>
      </w:pPr>
      <w:r>
        <w:rPr>
          <w:rFonts w:ascii="IRNazanin" w:hAnsi="IRNazanin" w:eastAsia="IRNazanin" w:cs="IRNazanin"/>
          <w:lang w:bidi="fa-IR"/>
          <w:color w:val="111111"/>
          <w:sz w:val="28"/>
          <w:szCs w:val="28"/>
          <w:rtl/>
        </w:rPr>
        <w:t xml:space="preserve">قصیده بی نقطه از عینی؛ خط: نستعلیق خفی، بی کا، تا: ۹۵۷ق؛   ۲ ص( ۳۸۳-۳۸۴) [ف: ۱۸ - ۴]</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IRNazanin" w:hAnsi="IRNazanin" w:eastAsia="IRNazanin" w:cs="IRNazanin"/>
          <w:lang w:bidi="fa-IR"/>
          <w:color w:val="111111"/>
          <w:sz w:val="28"/>
          <w:szCs w:val="28"/>
          <w:rtl/>
        </w:rPr>
        <w:t xml:space="preserve">تهران؛ مجلس شماره نسخه: ۱/۵۹ معیری</w:t>
      </w:r>
    </w:p>
    <w:p>
      <w:pPr>
        <w:pStyle w:val="BookText"/>
      </w:pPr>
      <w:r>
        <w:rPr>
          <w:rFonts w:ascii="Amiri" w:hAnsi="Amiri" w:eastAsia="Amiri" w:cs="Amiri"/>
          <w:lang w:bidi="ar-SA"/>
          <w:color w:val="111111"/>
          <w:sz w:val="28"/>
          <w:szCs w:val="28"/>
          <w:rtl/>
        </w:rPr>
        <w:t xml:space="preserve">مدح حضرت محمد (صلّی اللَّهِ علیه وَ آلِهِ وَ سَلَّمَ ) از عصاری (قصیده در ...)؛ خـط: نستعلیق خفی، بی کا، تا: ۹۵۷ق؛ ۱ ص (۳۸۶) [ف: ۱۸ - ۴]</w:t>
      </w:r>
    </w:p>
    <w:p>
      <w:pPr>
        <w:pStyle w:val="BookText"/>
      </w:pPr>
      <w:r>
        <w:rPr>
          <w:rFonts w:ascii="IRNazanin" w:hAnsi="IRNazanin" w:eastAsia="IRNazanin" w:cs="IRNazanin"/>
          <w:lang w:bidi="fa-IR"/>
          <w:color w:val="111111"/>
          <w:sz w:val="28"/>
          <w:szCs w:val="28"/>
          <w:rtl/>
        </w:rPr>
        <w:t xml:space="preserve">۱۳۴. تهران؛ مجلس؛ شماره نسخه: ۱/۶۸ معیری</w:t>
      </w:r>
    </w:p>
    <w:p>
      <w:pPr>
        <w:pStyle w:val="BookText"/>
      </w:pPr>
      <w:r>
        <w:rPr>
          <w:rFonts w:ascii="IRNazanin" w:hAnsi="IRNazanin" w:eastAsia="IRNazanin" w:cs="IRNazanin"/>
          <w:lang w:bidi="fa-IR"/>
          <w:color w:val="111111"/>
          <w:sz w:val="28"/>
          <w:szCs w:val="28"/>
          <w:rtl/>
        </w:rPr>
        <w:t xml:space="preserve">قصیده در مدح علی علیه السلام از نظام؛ خط: نستعلیق خفـی، بی کا، تا: ۹۵۷ق؛ ۳ ص( ۴۱۸-۴۲۰) [ف: ۱۸ - ۵]</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IRNazanin" w:hAnsi="IRNazanin" w:eastAsia="IRNazanin" w:cs="IRNazanin"/>
          <w:lang w:bidi="fa-IR"/>
          <w:color w:val="111111"/>
          <w:sz w:val="28"/>
          <w:szCs w:val="28"/>
          <w:rtl/>
        </w:rPr>
        <w:t xml:space="preserve">تهران؛ مجلس؛ شماره نسخه: ۱/۴۸ معیری</w:t>
      </w:r>
    </w:p>
    <w:p>
      <w:pPr>
        <w:pStyle w:val="BookText"/>
      </w:pPr>
      <w:r>
        <w:rPr>
          <w:rFonts w:ascii="IRNazanin" w:hAnsi="IRNazanin" w:eastAsia="IRNazanin" w:cs="IRNazanin"/>
          <w:lang w:bidi="fa-IR"/>
          <w:color w:val="111111"/>
          <w:sz w:val="28"/>
          <w:szCs w:val="28"/>
          <w:rtl/>
        </w:rPr>
        <w:t xml:space="preserve">آغاز: یارم زده عنبرین کمندی *** بر دل بندی و سخت بندی / یکسان شده ام به خاک راهی*** از حسرت جلوه سمندی.... این بیت ترجیع است که تکرار شده: بنشینم و خو کنم به هجران  *** یا آید یار یا رود جان؛</w:t>
      </w:r>
    </w:p>
    <w:p>
      <w:pPr>
        <w:pStyle w:val="BookText"/>
      </w:pPr>
      <w:r>
        <w:rPr>
          <w:rFonts w:ascii="IRNazanin" w:hAnsi="IRNazanin" w:eastAsia="IRNazanin" w:cs="IRNazanin"/>
          <w:lang w:bidi="fa-IR"/>
          <w:color w:val="111111"/>
          <w:sz w:val="28"/>
          <w:szCs w:val="28"/>
          <w:rtl/>
        </w:rPr>
        <w:t xml:space="preserve">ترجیح بند است؛ خط: نستعلیق خفی، بی کا، تا: ۹۵۷ق از مجنسی؛  1ص ( ۳۵۷) [ف: ۱۸ - ۴۱]</w:t>
      </w:r>
    </w:p>
    <w:p>
      <w:pPr>
        <w:pStyle w:val="BookText"/>
      </w:pPr>
      <w:r>
        <w:rPr>
          <w:rFonts w:ascii="IRNazanin" w:hAnsi="IRNazanin" w:eastAsia="IRNazanin" w:cs="IRNazanin"/>
          <w:lang w:bidi="fa-IR"/>
          <w:color w:val="111111"/>
          <w:sz w:val="28"/>
          <w:szCs w:val="28"/>
          <w:rtl/>
        </w:rPr>
        <w:t xml:space="preserve">۱۳۶. تهران؛ مجلس؛ شماره نسخه: ۱/۵۰ معیری</w:t>
      </w:r>
    </w:p>
    <w:p>
      <w:pPr>
        <w:pStyle w:val="BookText"/>
      </w:pPr>
      <w:r>
        <w:rPr>
          <w:rFonts w:ascii="IRNazanin" w:hAnsi="IRNazanin" w:eastAsia="IRNazanin" w:cs="IRNazanin"/>
          <w:lang w:bidi="fa-IR"/>
          <w:color w:val="111111"/>
          <w:sz w:val="28"/>
          <w:szCs w:val="28"/>
          <w:rtl/>
        </w:rPr>
        <w:t xml:space="preserve">قطعاتی از اشرف یزدی است؛ خط: نستعلیق خفی، بی کا، تا: ۹۵۷ ق، ۱ ص (۳۷۵) [ف: ۱۸ - ۴]</w:t>
      </w:r>
    </w:p>
    <w:p>
      <w:pPr>
        <w:pStyle w:val="BookText"/>
      </w:pPr>
      <w:r>
        <w:rPr>
          <w:rFonts w:ascii="IRNazanin" w:hAnsi="IRNazanin" w:eastAsia="IRNazanin" w:cs="IRNazanin"/>
          <w:lang w:bidi="fa-IR"/>
          <w:color w:val="111111"/>
          <w:sz w:val="28"/>
          <w:szCs w:val="28"/>
          <w:rtl/>
        </w:rPr>
        <w:t xml:space="preserve">۱۳۷. تهران؛ ملی؛ شماره نسخه: ۲۶۶۳/۲</w:t>
      </w:r>
    </w:p>
    <w:p>
      <w:pPr>
        <w:pStyle w:val="BookText"/>
      </w:pPr>
      <w:r>
        <w:rPr>
          <w:rFonts w:ascii="IRNazanin" w:hAnsi="IRNazanin" w:eastAsia="IRNazanin" w:cs="IRNazanin"/>
          <w:lang w:bidi="fa-IR"/>
          <w:color w:val="111111"/>
          <w:sz w:val="28"/>
          <w:szCs w:val="28"/>
          <w:rtl/>
        </w:rPr>
        <w:t xml:space="preserve">آغاز: بنام آنکه ذات جمله اشیا *** بود چون اسم ذات او مسما؛ انجام: که بر حرف عالم در کشم</w:t>
      </w:r>
    </w:p>
    <w:p>
      <w:pPr>
        <w:pStyle w:val="BookText"/>
      </w:pPr>
      <w:r>
        <w:rPr>
          <w:rFonts w:ascii="IRNazanin" w:hAnsi="IRNazanin" w:eastAsia="IRNazanin" w:cs="IRNazanin"/>
          <w:lang w:bidi="fa-IR"/>
          <w:color w:val="111111"/>
          <w:sz w:val="28"/>
          <w:szCs w:val="28"/>
          <w:rtl/>
        </w:rPr>
        <w:t xml:space="preserve">در این جنگ از شاعران زیر اشعاری بدین ترتیب آمده است: ۱- مولانا شهاب ،۲- ساقی نامه از خواجه  بصیر، ۳- ساقی نامه از میرزا قاسم  گنابادی، ۴- ساقی نامه از هلالی جغتائی؛ خط: نسخ و نستعلیق  خفی، بی کا، تا: ۹۷۰ق کاغذ: ترمه، جلد: تیماج قهوه ای ترنج و نیم ترنج، کوبیده  مقوایی، ۱۱ص (۱۰۲-۱۱۳)، ۲۰ سطر (۷/۵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۲۳/۵سم [ف: ۶ - ۲۳۰]</w:t>
      </w:r>
    </w:p>
    <w:p>
      <w:pPr>
        <w:pStyle w:val="BookText"/>
      </w:pPr>
      <w:r>
        <w:rPr>
          <w:rFonts w:ascii="IRNazanin" w:hAnsi="IRNazanin" w:eastAsia="IRNazanin" w:cs="IRNazanin"/>
          <w:lang w:bidi="fa-IR"/>
          <w:color w:val="111111"/>
          <w:sz w:val="28"/>
          <w:szCs w:val="28"/>
          <w:rtl/>
        </w:rPr>
        <w:t xml:space="preserve">۱۳۸. تهران؛ مفتاح؛ شماره نسخه: ۸۹۰/۶</w:t>
      </w:r>
    </w:p>
    <w:p>
      <w:pPr>
        <w:pStyle w:val="BookText"/>
      </w:pPr>
      <w:r>
        <w:rPr>
          <w:rFonts w:ascii="IRNazanin" w:hAnsi="IRNazanin" w:eastAsia="IRNazanin" w:cs="IRNazanin"/>
          <w:lang w:bidi="fa-IR"/>
          <w:color w:val="111111"/>
          <w:sz w:val="28"/>
          <w:szCs w:val="28"/>
          <w:rtl/>
        </w:rPr>
        <w:t xml:space="preserve">شعرهای فارسی جامی و دیگران؛ خط: نستعلیق، بی کا، تا: ۹۷۲ق؛ قطع: ربعی[ نشریه: ۷ - ۲۶۲]</w:t>
      </w:r>
    </w:p>
    <w:p>
      <w:pPr>
        <w:pStyle w:val="BookText"/>
      </w:pPr>
      <w:r>
        <w:rPr>
          <w:rFonts w:ascii="IRNazanin" w:hAnsi="IRNazanin" w:eastAsia="IRNazanin" w:cs="IRNazanin"/>
          <w:lang w:bidi="fa-IR"/>
          <w:color w:val="111111"/>
          <w:sz w:val="28"/>
          <w:szCs w:val="28"/>
          <w:rtl/>
        </w:rPr>
        <w:t xml:space="preserve">۱۳۹. تهران؛ ملی؛ شماره نسخه: ۱۶۹۳۱</w:t>
      </w:r>
    </w:p>
    <w:p>
      <w:pPr>
        <w:pStyle w:val="BookText"/>
      </w:pPr>
      <w:r>
        <w:rPr>
          <w:rFonts w:ascii="IRNazanin" w:hAnsi="IRNazanin" w:eastAsia="IRNazanin" w:cs="IRNazanin"/>
          <w:lang w:bidi="fa-IR"/>
          <w:color w:val="111111"/>
          <w:sz w:val="28"/>
          <w:szCs w:val="28"/>
          <w:rtl/>
        </w:rPr>
        <w:t xml:space="preserve">مثنوى؛ كا: محمد بن روح، تا: ۹۷۹ق؛ انتقالی از کتابخانه -پهلوی - مجموعه نوازی؛ ۲۳۹گ، اندازه: 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۱۵/۸سم [رایانه]</w:t>
      </w:r>
    </w:p>
    <w:p>
      <w:pPr>
        <w:pStyle w:val="BookText"/>
      </w:pPr>
      <w:r>
        <w:rPr>
          <w:rFonts w:ascii="IRNazanin" w:hAnsi="IRNazanin" w:eastAsia="IRNazanin" w:cs="IRNazanin"/>
          <w:lang w:bidi="fa-IR"/>
          <w:color w:val="111111"/>
          <w:sz w:val="28"/>
          <w:szCs w:val="28"/>
          <w:rtl/>
        </w:rPr>
        <w:t xml:space="preserve">۱۴۰. قم؛ مرعشی؛ شماره نسخه: ۱۰۳۶۹</w:t>
      </w:r>
    </w:p>
    <w:p>
      <w:pPr>
        <w:pStyle w:val="BookText"/>
      </w:pPr>
      <w:r>
        <w:rPr>
          <w:rFonts w:ascii="IRNazanin" w:hAnsi="IRNazanin" w:eastAsia="IRNazanin" w:cs="IRNazanin"/>
          <w:lang w:bidi="fa-IR"/>
          <w:color w:val="111111"/>
          <w:sz w:val="28"/>
          <w:szCs w:val="28"/>
          <w:rtl/>
        </w:rPr>
        <w:t xml:space="preserve">مجموعه اشعار فارسی ؛خط: نستعلیق، کا: میر علی هروی، تا: ذیقعده ۹۷۹ق؛ دارای سرلوح  رنگین ،مجدول، عناوين مرصع؛ قطع: جانمازی [ میراث شهاب: س ۸ش ۴ - ۵۸]</w:t>
      </w:r>
    </w:p>
    <w:p>
      <w:pPr>
        <w:pStyle w:val="BookText"/>
      </w:pPr>
      <w:r>
        <w:rPr>
          <w:rFonts w:ascii="IRNazanin" w:hAnsi="IRNazanin" w:eastAsia="IRNazanin" w:cs="IRNazanin"/>
          <w:lang w:bidi="fa-IR"/>
          <w:color w:val="111111"/>
          <w:sz w:val="28"/>
          <w:szCs w:val="28"/>
          <w:rtl/>
        </w:rPr>
        <w:t xml:space="preserve">۱۴۱. تهران؛ دانشگاه؛ شماره نسخه: ۴۵۱۵/۳</w:t>
      </w:r>
    </w:p>
    <w:p>
      <w:pPr>
        <w:pStyle w:val="BookText"/>
      </w:pPr>
      <w:r>
        <w:rPr>
          <w:rFonts w:ascii="IRNazanin" w:hAnsi="IRNazanin" w:eastAsia="IRNazanin" w:cs="IRNazanin"/>
          <w:lang w:bidi="fa-IR"/>
          <w:color w:val="111111"/>
          <w:sz w:val="28"/>
          <w:szCs w:val="28"/>
          <w:rtl/>
        </w:rPr>
        <w:t xml:space="preserve">آغاز: ای سکندر شکوه کوه وقار *** وی بلند اختر سپهر وقار؛</w:t>
      </w:r>
    </w:p>
    <w:p>
      <w:pPr>
        <w:pStyle w:val="BookText"/>
      </w:pPr>
      <w:r>
        <w:rPr>
          <w:rFonts w:ascii="IRNazanin" w:hAnsi="IRNazanin" w:eastAsia="IRNazanin" w:cs="IRNazanin"/>
          <w:lang w:bidi="fa-IR"/>
          <w:color w:val="111111"/>
          <w:sz w:val="28"/>
          <w:szCs w:val="28"/>
          <w:rtl/>
        </w:rPr>
        <w:t xml:space="preserve">انجام: از شریعت متاب روتاتو *** نشوی مستحق دوزخ نار</w:t>
      </w:r>
    </w:p>
    <w:p>
      <w:pPr>
        <w:pStyle w:val="BookText"/>
      </w:pPr>
      <w:r>
        <w:rPr>
          <w:rFonts w:ascii="IRNazanin" w:hAnsi="IRNazanin" w:eastAsia="IRNazanin" w:cs="IRNazanin"/>
          <w:lang w:bidi="fa-IR"/>
          <w:color w:val="111111"/>
          <w:sz w:val="28"/>
          <w:szCs w:val="28"/>
          <w:rtl/>
        </w:rPr>
        <w:t xml:space="preserve">قصیده در «اظهار عزوبت و اناث و ذکور» مورخ ۹۸۰؛ خط: نستعلیق، بی کا، تا: ۹۸۱ق؛ کاغذ: سمرقندی، جلد: تیماج عنابی،3 گ (۶۷-۷۰) ، ۱۵ سطر (7</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۱۳-۳۴۶۶]</w:t>
      </w:r>
    </w:p>
    <w:p>
      <w:pPr>
        <w:pStyle w:val="BookText"/>
      </w:pPr>
      <w:r>
        <w:rPr>
          <w:rFonts w:ascii="IRNazanin" w:hAnsi="IRNazanin" w:eastAsia="IRNazanin" w:cs="IRNazanin"/>
          <w:lang w:bidi="fa-IR"/>
          <w:color w:val="111111"/>
          <w:sz w:val="28"/>
          <w:szCs w:val="28"/>
          <w:rtl/>
        </w:rPr>
        <w:t xml:space="preserve">۱۴۲. یزد؛ وزیری؛ شماره نسخه: ۸۰۴/۳</w:t>
      </w:r>
    </w:p>
    <w:p>
      <w:pPr>
        <w:pStyle w:val="BookText"/>
      </w:pPr>
      <w:r>
        <w:rPr>
          <w:rFonts w:ascii="IRNazanin" w:hAnsi="IRNazanin" w:eastAsia="IRNazanin" w:cs="IRNazanin"/>
          <w:lang w:bidi="fa-IR"/>
          <w:color w:val="111111"/>
          <w:sz w:val="28"/>
          <w:szCs w:val="28"/>
          <w:rtl/>
        </w:rPr>
        <w:t xml:space="preserve">آغاز: في الخمریات مولانا :ایرج بکجا برم بهشتی که درو نه باده باشد </w:t>
      </w:r>
      <w:r>
        <w:rPr>
          <w:rFonts w:ascii="IRNazanin" w:hAnsi="IRNazanin" w:eastAsia="IRNazanin" w:cs="IRNazanin"/>
          <w:lang w:bidi="fa-IR"/>
          <w:color w:val="111111"/>
          <w:sz w:val="28"/>
          <w:szCs w:val="28"/>
          <w:b w:val="1"/>
          <w:bCs w:val="1"/>
          <w:i w:val="1"/>
          <w:iCs w:val="1"/>
          <w:rtl/>
        </w:rPr>
        <w:t xml:space="preserve">من و مجلسی که آنجا می و یار ساده باشد؛ انجام: دعای من اینست در هر نمازی</w:t>
      </w:r>
      <w:r>
        <w:rPr>
          <w:rFonts w:ascii="IRNazanin" w:hAnsi="IRNazanin" w:eastAsia="IRNazanin" w:cs="IRNazanin"/>
          <w:lang w:bidi="fa-IR"/>
          <w:color w:val="111111"/>
          <w:sz w:val="28"/>
          <w:szCs w:val="28"/>
          <w:rtl/>
        </w:rPr>
        <w:t xml:space="preserve"> بخلوت که یا ملجآی یا ملاذی / نگه دار اصحاب ذوق و طرب را *** ز جنگ ملاطی و شعر معادی. تم ابيات فى الخمريات. از ایرج ،سلطان الوزراء، غياث الدين ،محمد امیراحمد افضل، رشید وطواط، ابو علی سینا، شیخ عماد الدین ،سلیمان ،حافظ، ابن  یمین، عبید زاکانی، کمال الدین
</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اصفهانی، ناطقی، کمال و جز آنها؛ خط: نسخ، کا: علی بن حـسن تنکابنی، تا: ۹۸۲ق ؛جا: قزوین؛ کاغذ: فرنگی ،جلد: مقوایی پارچه قهوه ای، ۱۵گ (۱۹-۳۴)، اندازه: ۱۶/۵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۲۳سم [ف: ۲ - ۶۷۷]</w:t>
      </w:r>
    </w:p>
    <w:p>
      <w:pPr>
        <w:pStyle w:val="BookText"/>
      </w:pPr>
      <w:r>
        <w:rPr>
          <w:rFonts w:ascii="IRNazanin" w:hAnsi="IRNazanin" w:eastAsia="IRNazanin" w:cs="IRNazanin"/>
          <w:lang w:bidi="fa-IR"/>
          <w:color w:val="111111"/>
          <w:sz w:val="28"/>
          <w:szCs w:val="28"/>
          <w:rtl/>
        </w:rPr>
        <w:t xml:space="preserve">۱۴۳. تهران؛ بیانی مهدی (دکتر)؛ شماره نسخه: ۵۹/۲</w:t>
      </w:r>
    </w:p>
    <w:p>
      <w:pPr>
        <w:pStyle w:val="BookText"/>
      </w:pPr>
      <w:r>
        <w:rPr>
          <w:rFonts w:ascii="IRNazanin" w:hAnsi="IRNazanin" w:eastAsia="IRNazanin" w:cs="IRNazanin"/>
          <w:lang w:bidi="fa-IR"/>
          <w:color w:val="111111"/>
          <w:sz w:val="28"/>
          <w:szCs w:val="28"/>
          <w:rtl/>
        </w:rPr>
        <w:t xml:space="preserve">جنگ شعر است. اشعار این شعرا آمده: آذری (شیخ)، ابوالبر که ،(خواجه)، امیدی طهرانی، امیر همایون عراقی، انسی (میرحاج) ،انوری، بنائی، ثنائی (خواجه حسین) ،جامی حسامی قراکول حقیری ،حیدر ،خاقانی، ذوقی اردستانی ،سعدی ،سلمان شرف الدين بافقي، طاهر انجدانی (شاه) ظهیر فاریابی عارف بدخشی، عصمت بخاری، علی شهاب، قاسم گنابادی، کاتبی، لسانی، مظفرالدین هروی ،مظهری، نظام استر آبادی، نوائی (امیر علیشیر)، واصلي، وافى (محمد هاشم) ،هاشمی، هلالی؛ خط: نستعلیق، بی کا، تا: ۹۸۸ق؛ در حواشی فراخ نسخه نوشته شده [نشریه: ۱  - 17]</w:t>
      </w:r>
    </w:p>
    <w:p>
      <w:pPr>
        <w:pStyle w:val="BookText"/>
      </w:pPr>
      <w:r>
        <w:rPr>
          <w:rFonts w:ascii="IRNazanin" w:hAnsi="IRNazanin" w:eastAsia="IRNazanin" w:cs="IRNazanin"/>
          <w:lang w:bidi="fa-IR"/>
          <w:color w:val="111111"/>
          <w:sz w:val="28"/>
          <w:szCs w:val="28"/>
          <w:rtl/>
        </w:rPr>
        <w:t xml:space="preserve">۱۴۴. مشهد؛ رضوی؛ شماره نسخه: ۴۵۱۱</w:t>
      </w:r>
    </w:p>
    <w:p>
      <w:pPr>
        <w:pStyle w:val="BookText"/>
      </w:pPr>
      <w:r>
        <w:rPr>
          <w:rFonts w:ascii="IRNazanin" w:hAnsi="IRNazanin" w:eastAsia="IRNazanin" w:cs="IRNazanin"/>
          <w:lang w:bidi="fa-IR"/>
          <w:color w:val="111111"/>
          <w:sz w:val="28"/>
          <w:szCs w:val="28"/>
          <w:rtl/>
        </w:rPr>
        <w:t xml:space="preserve">آغاز: هر که نازک بود دل یارش *** گو دل نازنین نگهدارش ؛انجام: به پیش بخشش او محتشم ... اگر تو تا دم صبح جزاگناه کنی</w:t>
      </w:r>
    </w:p>
    <w:p>
      <w:pPr>
        <w:pStyle w:val="BookText"/>
      </w:pPr>
      <w:r>
        <w:rPr>
          <w:rFonts w:ascii="IRNazanin" w:hAnsi="IRNazanin" w:eastAsia="IRNazanin" w:cs="IRNazanin"/>
          <w:lang w:bidi="fa-IR"/>
          <w:color w:val="111111"/>
          <w:sz w:val="28"/>
          <w:szCs w:val="28"/>
          <w:rtl/>
        </w:rPr>
        <w:t xml:space="preserve">منتخباتی است از غزلیات سعدی  شیرازی، محتشم  کاشی، اهـلی شیرازی، کاتبی ترشیزی، امیر همایون اسفراینی، کمال خجندی، امیر خسرو دهلوی، حسن سجزی دهلوی، بابا شهیدی قمی،بابا فغانی شیرازی، بین پنجاه تا صدو پنجاه غزل از هر یک؛ خـط: نستعلیق، بی کا، تا: ۹۸۸ق؛ افتادگی: آغاز؛ بعضی اوراق پس و پیش و نسخه ناقص الاول است ،مجدول، مذهب ؛واقف: نایینی؛ کاغذ: نخودی، جلد: تیماج  عنابی، ۱۲۲گ، مختلف السـطر (۱۳/۲۶/۴)،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۷ - ۲۸۵]</w:t>
      </w:r>
    </w:p>
    <w:p>
      <w:pPr>
        <w:pStyle w:val="BookText"/>
      </w:pPr>
      <w:r>
        <w:rPr>
          <w:rFonts w:ascii="IRNazanin" w:hAnsi="IRNazanin" w:eastAsia="IRNazanin" w:cs="IRNazanin"/>
          <w:lang w:bidi="fa-IR"/>
          <w:color w:val="111111"/>
          <w:sz w:val="28"/>
          <w:szCs w:val="28"/>
          <w:rtl/>
        </w:rPr>
        <w:t xml:space="preserve">۱۴۵ . مشهد؛ رضوی؛ شماره نسخه: ۴۵۱۱</w:t>
      </w:r>
    </w:p>
    <w:p>
      <w:pPr>
        <w:pStyle w:val="BookText"/>
      </w:pPr>
      <w:r>
        <w:rPr>
          <w:rFonts w:ascii="IRNazanin" w:hAnsi="IRNazanin" w:eastAsia="IRNazanin" w:cs="IRNazanin"/>
          <w:lang w:bidi="fa-IR"/>
          <w:color w:val="111111"/>
          <w:sz w:val="28"/>
          <w:szCs w:val="28"/>
          <w:rtl/>
        </w:rPr>
        <w:t xml:space="preserve">آغاز: هر که نازک بود دل یارش گودل نازنین نگهدارش؛ انجـام: به پیش بخشش او محتشم اگر تو دم صبح جزا گناه کنی ثلاث ثماتين وتسعمائه</w:t>
      </w:r>
    </w:p>
    <w:p>
      <w:pPr>
        <w:pStyle w:val="BookText"/>
      </w:pPr>
      <w:r>
        <w:rPr>
          <w:rFonts w:ascii="IRNazanin" w:hAnsi="IRNazanin" w:eastAsia="IRNazanin" w:cs="IRNazanin"/>
          <w:lang w:bidi="fa-IR"/>
          <w:color w:val="111111"/>
          <w:sz w:val="28"/>
          <w:szCs w:val="28"/>
          <w:rtl/>
        </w:rPr>
        <w:t xml:space="preserve">گزیده اشعاری است که ظاهراً برای استفاده شخصی در دفتر یادداشت نوشته شده. بسیاری از اشعار ازحافظ و سعدی اند و بقیه بیشتر تک بیت هایی از دیگر شاعران، کاتب به نام همه شاعران اشاره نکرده و اینها شعرایی اند که به نامشان اشاره شده است قطاری ،فطرت ،فنایی ،مشرقی ،نزاری، بیانی ،خواجو، عماد فقـیه، وحشی ،ناصری، همایی، رضی  الدین ،شاهدی ،صفی بنایی ،عطار، نظیری ،آصفی ،حیدر ،قتالی، طلحه، خیام؛ خط: نستعلیق، بی کا، تا: ۹۸۸ق ؛افتادگی :آغاز ؛کاغذ" نخودی ،جلد: تیماج [رایانه ]</w:t>
      </w:r>
    </w:p>
    <w:p>
      <w:pPr>
        <w:pStyle w:val="BookText"/>
      </w:pPr>
      <w:r>
        <w:rPr>
          <w:rFonts w:ascii="IRNazanin" w:hAnsi="IRNazanin" w:eastAsia="IRNazanin" w:cs="IRNazanin"/>
          <w:lang w:bidi="fa-IR"/>
          <w:color w:val="111111"/>
          <w:sz w:val="28"/>
          <w:szCs w:val="28"/>
          <w:rtl/>
        </w:rPr>
        <w:t xml:space="preserve">۱۴۶. یزد؛ وزیری؛ شماره نسخه: ۴۰۲۹</w:t>
      </w:r>
    </w:p>
    <w:p>
      <w:pPr>
        <w:pStyle w:val="BookText"/>
      </w:pPr>
      <w:r>
        <w:rPr>
          <w:rFonts w:ascii="IRNazanin" w:hAnsi="IRNazanin" w:eastAsia="IRNazanin" w:cs="IRNazanin"/>
          <w:lang w:bidi="fa-IR"/>
          <w:color w:val="111111"/>
          <w:sz w:val="28"/>
          <w:szCs w:val="28"/>
          <w:rtl/>
        </w:rPr>
        <w:t xml:space="preserve">بیاض اشعار پاره ای از شعرای فارسی زبان؛ بی کا، تا: ۹۹۳ق [ نشـریه: ۳۵۶ - ۱۳]</w:t>
      </w:r>
    </w:p>
    <w:p>
      <w:pPr>
        <w:pStyle w:val="BookText"/>
      </w:pPr>
      <w:r>
        <w:rPr>
          <w:rFonts w:ascii="IRNazanin" w:hAnsi="IRNazanin" w:eastAsia="IRNazanin" w:cs="IRNazanin"/>
          <w:lang w:bidi="fa-IR"/>
          <w:color w:val="111111"/>
          <w:sz w:val="28"/>
          <w:szCs w:val="28"/>
          <w:rtl/>
        </w:rPr>
        <w:t xml:space="preserve">۱۴۷. تهران؛ سلطنتی؛ شماره نسخه: ۵۴۵</w:t>
      </w:r>
    </w:p>
    <w:p>
      <w:pPr>
        <w:pStyle w:val="BookText"/>
      </w:pPr>
      <w:r>
        <w:rPr>
          <w:rFonts w:ascii="IRNazanin" w:hAnsi="IRNazanin" w:eastAsia="IRNazanin" w:cs="IRNazanin"/>
          <w:lang w:bidi="fa-IR"/>
          <w:color w:val="111111"/>
          <w:sz w:val="28"/>
          <w:szCs w:val="28"/>
          <w:rtl/>
        </w:rPr>
        <w:t xml:space="preserve">آغاز :گلستان منت خدايرا عزوجل که طاعتش موجب قربتست و بشکر اندرش مزید نعمت. ...  مثنوی: سر نامه بنام آن خداوند *** که دلها را بخوبان داد پیوند ؛انجام :گلستان ما نصیحت بجای خود کردیم*** روزگاری در این بسر بردیم / گر نیاید بگوش رغبت کس*** بر رسولان پیام باشد و .بس. تحريرا في سنه ۹۹۴ كتبه جعفر الحسينی. مثنوی: نمی خواهم ز تو بخشش ز هر کس *** تو خسرو را همی بخشی همین بس ...</w:t>
      </w:r>
    </w:p>
    <w:p>
      <w:pPr>
        <w:pStyle w:val="BookText"/>
      </w:pPr>
      <w:r>
        <w:rPr>
          <w:rFonts w:ascii="IRNazanin" w:hAnsi="IRNazanin" w:eastAsia="IRNazanin" w:cs="IRNazanin"/>
          <w:lang w:bidi="fa-IR"/>
          <w:color w:val="111111"/>
          <w:sz w:val="28"/>
          <w:szCs w:val="28"/>
          <w:rtl/>
        </w:rPr>
        <w:t xml:space="preserve">شامل گلستان سعدی شیرازی، مثنوی خضر خانی و دولرانی امیر  خسرو دهلوی؛ خط: نستعليق عالى، كا: جعفر بن علی حسینی سبزواری، تا: ۹۹۴ق؛ مجدول، با یک سرلوح و یک سر فصل مذهب مرصع بسیار خوب؛ مهر: «حسین بن هدایت الله، محمد  رضا الحسيني، مشير السلطنة»، ناصر الدین شاه قاجار؛ کاغذ: قطعه سمرقندی متن غبار  زرافشان ،جلد: مقوای روکش تیماج ماشی وسط ترنج و دو سر ترنج ضربی منگنه ای، ۳۹۹ص، ۱۰ سطر در متن و ۲۲/۵ سطر در حواشی، قطع: وزیری، اندازه: 15/9</w:t>
      </w:r>
      <w:r>
        <w:rPr>
          <w:rFonts w:ascii="Times New Roman" w:hAnsi="Times New Roman" w:eastAsia="Times New Roman" w:cs="Times New Roman"/>
          <w:lang w:val="en-US" w:bidi="en-US"/>
          <w:color w:val="111111"/>
          <w:sz w:val="28"/>
          <w:szCs w:val="28"/>
          <w:rtl/>
        </w:rPr>
        <w:t xml:space="preserve">×24</w:t>
      </w:r>
      <w:r>
        <w:rPr>
          <w:rFonts w:ascii="IRNazanin" w:hAnsi="IRNazanin" w:eastAsia="IRNazanin" w:cs="IRNazanin"/>
          <w:lang w:bidi="fa-IR"/>
          <w:color w:val="111111"/>
          <w:sz w:val="28"/>
          <w:szCs w:val="28"/>
          <w:rtl/>
        </w:rPr>
        <w:t xml:space="preserve">سم [ف: ۴ - ۱۰۵۰]</w:t>
      </w:r>
    </w:p>
    <w:p>
      <w:pPr>
        <w:pStyle w:val="BookText"/>
      </w:pPr>
      <w:r>
        <w:rPr>
          <w:rFonts w:ascii="IRNazanin" w:hAnsi="IRNazanin" w:eastAsia="IRNazanin" w:cs="IRNazanin"/>
          <w:lang w:bidi="fa-IR"/>
          <w:color w:val="111111"/>
          <w:sz w:val="28"/>
          <w:szCs w:val="28"/>
          <w:rtl/>
        </w:rPr>
        <w:t xml:space="preserve">۱۴۸. تهران؛ ملک؛ شماره نسخه: ۴۹۵۹/۳</w:t>
      </w:r>
    </w:p>
    <w:p>
      <w:pPr>
        <w:pStyle w:val="BookText"/>
      </w:pPr>
      <w:r>
        <w:rPr>
          <w:rFonts w:ascii="IRNazanin" w:hAnsi="IRNazanin" w:eastAsia="IRNazanin" w:cs="IRNazanin"/>
          <w:lang w:bidi="fa-IR"/>
          <w:color w:val="111111"/>
          <w:sz w:val="28"/>
          <w:szCs w:val="28"/>
          <w:rtl/>
        </w:rPr>
        <w:t xml:space="preserve">آغاز: بسمله الهی درد عشقی را دوا کن*** ... را بناز آشنا کن / بجانم آتش شوقی بر افروز *** که تا روز قیامت باشدم سوز؛ انجام: ... الهی چون در انجام و در آغاز *** «محبت نامه» ام را کرده ای ساز/ چنان شهرت روا سازش در ایام *** که باشد نقل بزم خاص تا عام / ز هجرت بودالف و خمس و عشرین *** که این بستان سرا را بستم آیین</w:t>
      </w:r>
    </w:p>
    <w:p>
      <w:pPr>
        <w:pStyle w:val="BookText"/>
      </w:pPr>
      <w:r>
        <w:rPr>
          <w:rFonts w:ascii="IRNazanin" w:hAnsi="IRNazanin" w:eastAsia="IRNazanin" w:cs="IRNazanin"/>
          <w:lang w:bidi="fa-IR"/>
          <w:color w:val="111111"/>
          <w:sz w:val="28"/>
          <w:szCs w:val="28"/>
          <w:rtl/>
        </w:rPr>
        <w:t xml:space="preserve">مثنوی است با ستایش از عشق و یک مناجات آغاز می گردد و سپس حکایت هایی کوتاه که حدود ۶۰۰ بیت دارد و گویا محبت نامه نامیده شده باشد؛ خط:نستعلیق، بی کا، تا: با تاریخ ۹۹۵ق؛ کاغذ: نوعی  ترمه ،جلد: میشن قهوه ای ضربی، ۳۹گ  (۱۰۸ر-۱۴۷پ)، ۱۹ سطر، اندازه: ۱۶/۶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۲۴/۱سم [ف: ۸ - ۱۴۶]</w:t>
      </w:r>
    </w:p>
    <w:p>
      <w:pPr>
        <w:pStyle w:val="BookText"/>
      </w:pPr>
      <w:r>
        <w:rPr>
          <w:rFonts w:ascii="IRNazanin" w:hAnsi="IRNazanin" w:eastAsia="IRNazanin" w:cs="IRNazanin"/>
          <w:lang w:bidi="fa-IR"/>
          <w:color w:val="111111"/>
          <w:sz w:val="28"/>
          <w:szCs w:val="28"/>
          <w:rtl/>
        </w:rPr>
        <w:t xml:space="preserve">۱۴۹. تهران؛ دانشگاه؛ شماره نسخه: ۸۶۳۲/۴</w:t>
      </w:r>
    </w:p>
    <w:p>
      <w:pPr>
        <w:pStyle w:val="BookText"/>
      </w:pPr>
      <w:r>
        <w:rPr>
          <w:rFonts w:ascii="IRNazanin" w:hAnsi="IRNazanin" w:eastAsia="IRNazanin" w:cs="IRNazanin"/>
          <w:lang w:bidi="fa-IR"/>
          <w:color w:val="111111"/>
          <w:sz w:val="28"/>
          <w:szCs w:val="28"/>
          <w:rtl/>
        </w:rPr>
        <w:t xml:space="preserve">سه غزل و هفت رباعی «عارفی» ؛خط: نستعليق، كا: محمد بن سلطان محمد شپرغانی، تا: ۲ رمضان ۹۹۸ق؛ کاغذ: فرنگی، جلد: تیماج مشکی ،لایی 1گ (۱۲۵پ)، ۱۸ سطر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قطع: بغلی  [ف: ۱۷ - ۱۸۳]</w:t>
      </w:r>
    </w:p>
    <w:p>
      <w:pPr>
        <w:pStyle w:val="BookText"/>
      </w:pPr>
      <w:r>
        <w:rPr>
          <w:rFonts w:ascii="IRNazanin" w:hAnsi="IRNazanin" w:eastAsia="IRNazanin" w:cs="IRNazanin"/>
          <w:lang w:bidi="fa-IR"/>
          <w:color w:val="111111"/>
          <w:sz w:val="28"/>
          <w:szCs w:val="28"/>
          <w:rtl/>
        </w:rPr>
        <w:t xml:space="preserve">۱۵۰. مشهد؛ رضوی؛ شماره نسخه: ۴۷۹۹</w:t>
      </w:r>
    </w:p>
    <w:p>
      <w:pPr>
        <w:pStyle w:val="BookText"/>
      </w:pPr>
      <w:r>
        <w:rPr>
          <w:rFonts w:ascii="IRNazanin" w:hAnsi="IRNazanin" w:eastAsia="IRNazanin" w:cs="IRNazanin"/>
          <w:lang w:bidi="fa-IR"/>
          <w:color w:val="111111"/>
          <w:sz w:val="28"/>
          <w:szCs w:val="28"/>
          <w:rtl/>
        </w:rPr>
        <w:t xml:space="preserve">آغاز: در مذهب عشاق قراری دگرست*** وین باده ناب را ***خماری دگرست؛ انجام: فرقست میان درد (كذا) کز جان خیزد *** با آنکه بریسمانش برخود بندی</w:t>
      </w:r>
    </w:p>
    <w:p>
      <w:pPr>
        <w:pStyle w:val="BookText"/>
      </w:pPr>
      <w:r>
        <w:rPr>
          <w:rFonts w:ascii="IRNazanin" w:hAnsi="IRNazanin" w:eastAsia="IRNazanin" w:cs="IRNazanin"/>
          <w:lang w:bidi="fa-IR"/>
          <w:color w:val="111111"/>
          <w:sz w:val="28"/>
          <w:szCs w:val="28"/>
          <w:rtl/>
        </w:rPr>
        <w:t xml:space="preserve">مجموعه کوچکی از رباعیات عشقی و عرفانی ست، از شعرای مختلف، بدون ذکر نام گوینده؛ خط: نستعلیق ،بی کا، تا: اواخر قرن ۱۱؛ مجدول؛ واقف: نایینی؛ کاغذ: حنایی، ۸گ، ۲۱ سطر (۱۰/۲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۲۴/۶سم [ف: ۷ - ۵۵۱]</w:t>
      </w:r>
    </w:p>
    <w:p>
      <w:pPr>
        <w:pStyle w:val="BookText"/>
      </w:pPr>
      <w:r>
        <w:rPr>
          <w:rFonts w:ascii="IRNazanin" w:hAnsi="IRNazanin" w:eastAsia="IRNazanin" w:cs="IRNazanin"/>
          <w:lang w:bidi="fa-IR"/>
          <w:color w:val="111111"/>
          <w:sz w:val="28"/>
          <w:szCs w:val="28"/>
          <w:rtl/>
        </w:rPr>
        <w:t xml:space="preserve">۱۵۱. مشهد؛ رضوی؛ شماره نسخه: ۹۵۹۶/۲۶</w:t>
      </w:r>
    </w:p>
    <w:p>
      <w:pPr>
        <w:pStyle w:val="BookText"/>
      </w:pPr>
      <w:r>
        <w:rPr>
          <w:rFonts w:ascii="IRNazanin" w:hAnsi="IRNazanin" w:eastAsia="IRNazanin" w:cs="IRNazanin"/>
          <w:lang w:bidi="fa-IR"/>
          <w:color w:val="111111"/>
          <w:sz w:val="28"/>
          <w:szCs w:val="28"/>
          <w:rtl/>
        </w:rPr>
        <w:t xml:space="preserve">آغاز: خدا[یا] بر دلم فیضی ز آه صبحگاهی ده*** چه خضرم ده بسوی آب حیوان در سیاهی ده؛ انجام: خداوندا تو مظهر را به بزم
</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غم جدا منشان *** ... چتر شاهی ده</w:t>
      </w:r>
    </w:p>
    <w:p>
      <w:pPr>
        <w:pStyle w:val="BookText"/>
      </w:pPr>
      <w:r>
        <w:rPr>
          <w:rFonts w:ascii="IRNazanin" w:hAnsi="IRNazanin" w:eastAsia="IRNazanin" w:cs="IRNazanin"/>
          <w:lang w:bidi="fa-IR"/>
          <w:color w:val="111111"/>
          <w:sz w:val="28"/>
          <w:szCs w:val="28"/>
          <w:rtl/>
        </w:rPr>
        <w:t xml:space="preserve">مخمس. اثر طبع صفیعلی بیک مظهر؛ خط: نستعلیق، بی کا، تا: قـرن ۱۱؛ به شیوه چلیپایی؛ واقف: خان بابا مشار، اردیبهشت 1346؛ کاغذ: نخودی، جلد: میشن ضربی تریاکی، ۱ص ،(۴۱۷)، اندازه: ۲۱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۳۰سم [ف: ۹ - ۲۹۷]</w:t>
      </w:r>
    </w:p>
    <w:p>
      <w:pPr>
        <w:pStyle w:val="BookText"/>
      </w:pPr>
      <w:r>
        <w:rPr>
          <w:rFonts w:ascii="IRNazanin" w:hAnsi="IRNazanin" w:eastAsia="IRNazanin" w:cs="IRNazanin"/>
          <w:lang w:bidi="fa-IR"/>
          <w:color w:val="111111"/>
          <w:sz w:val="28"/>
          <w:szCs w:val="28"/>
          <w:rtl/>
        </w:rPr>
        <w:t xml:space="preserve">۱۵۲. مشهد؛ رضوی؛ شماره نسخه: ۱۵۲۳۵/۶</w:t>
      </w:r>
    </w:p>
    <w:p>
      <w:pPr>
        <w:pStyle w:val="BookText"/>
      </w:pPr>
      <w:r>
        <w:rPr>
          <w:rFonts w:ascii="IRNazanin" w:hAnsi="IRNazanin" w:eastAsia="IRNazanin" w:cs="IRNazanin"/>
          <w:lang w:bidi="fa-IR"/>
          <w:color w:val="111111"/>
          <w:sz w:val="28"/>
          <w:szCs w:val="28"/>
          <w:rtl/>
        </w:rPr>
        <w:t xml:space="preserve">آغاز: یا رب این ارض مقدس چه مکان است و چه جاست*** کز زمین تا بفلک مظهر انوار خداست</w:t>
      </w:r>
    </w:p>
    <w:p>
      <w:pPr>
        <w:pStyle w:val="BookText"/>
      </w:pPr>
      <w:r>
        <w:rPr>
          <w:rFonts w:ascii="IRNazanin" w:hAnsi="IRNazanin" w:eastAsia="IRNazanin" w:cs="IRNazanin"/>
          <w:lang w:bidi="fa-IR"/>
          <w:color w:val="111111"/>
          <w:sz w:val="28"/>
          <w:szCs w:val="28"/>
          <w:rtl/>
        </w:rPr>
        <w:t xml:space="preserve">قصیده میرزا داوود در شأن حضرت رضا (علیه السّلام)؛ خط: شکـسته نستعلیق چلیپا، بی کا، تا: قرن ۱۱ ؛کاغذ: حنایی وصالی  شده، جـلد: میشن مشکی، ۲گ (۵۹-۶۰) ، اندازه: 9/5</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سم [ ف : ۱۷ - ۴۰ ]</w:t>
      </w:r>
    </w:p>
    <w:p>
      <w:pPr>
        <w:pStyle w:val="BookText"/>
      </w:pPr>
      <w:r>
        <w:rPr>
          <w:rFonts w:ascii="IRNazanin" w:hAnsi="IRNazanin" w:eastAsia="IRNazanin" w:cs="IRNazanin"/>
          <w:lang w:bidi="fa-IR"/>
          <w:color w:val="111111"/>
          <w:sz w:val="28"/>
          <w:szCs w:val="28"/>
          <w:rtl/>
        </w:rPr>
        <w:t xml:space="preserve">۱۵۳. مشهد؛ رضوی؛ شماره نسخه: ۱۵۲۳۵/۷</w:t>
      </w:r>
    </w:p>
    <w:p>
      <w:pPr>
        <w:pStyle w:val="BookText"/>
      </w:pPr>
      <w:r>
        <w:rPr>
          <w:rFonts w:ascii="IRNazanin" w:hAnsi="IRNazanin" w:eastAsia="IRNazanin" w:cs="IRNazanin"/>
          <w:lang w:bidi="fa-IR"/>
          <w:color w:val="111111"/>
          <w:sz w:val="28"/>
          <w:szCs w:val="28"/>
          <w:rtl/>
        </w:rPr>
        <w:t xml:space="preserve">آغاز: ایدل سخن زدست و دل بو تراب کن *** آباد ساز کعبـه و خیبر خراب کن؛ انجام: همچون شفق ز فرقت خورشید روی او *** دلان چرخ پرز عقیق مذاب کن</w:t>
      </w:r>
    </w:p>
    <w:p>
      <w:pPr>
        <w:pStyle w:val="BookText"/>
      </w:pPr>
      <w:r>
        <w:rPr>
          <w:rFonts w:ascii="IRNazanin" w:hAnsi="IRNazanin" w:eastAsia="IRNazanin" w:cs="IRNazanin"/>
          <w:lang w:bidi="fa-IR"/>
          <w:color w:val="111111"/>
          <w:sz w:val="28"/>
          <w:szCs w:val="28"/>
          <w:rtl/>
        </w:rPr>
        <w:t xml:space="preserve">قصيده ملا کاشی نیشابوری در منقبت ائمه معصومين (علیه السّلام) ؛ خـط: شکسته نستعلیق  چلیپا ،بی کا، تا: قرن ۱۱؛ کاغذ: حنایی، جـلد: میشن  مشکی، ۳گ (۶۰-۶۲) ، اندازه: 9/5</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سم [ ف : ۱۷ - 40</w:t>
      </w:r>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IRNazanin" w:hAnsi="IRNazanin" w:eastAsia="IRNazanin" w:cs="IRNazanin"/>
          <w:lang w:bidi="fa-IR"/>
          <w:color w:val="111111"/>
          <w:sz w:val="28"/>
          <w:szCs w:val="28"/>
          <w:rtl/>
        </w:rPr>
        <w:t xml:space="preserve">تهران؛ ملک؛ شماره نسخه: ۴۶۷۱/۶۴</w:t>
      </w:r>
    </w:p>
    <w:p>
      <w:pPr>
        <w:pStyle w:val="BookText"/>
      </w:pPr>
      <w:r>
        <w:rPr>
          <w:rFonts w:ascii="IRNazanin" w:hAnsi="IRNazanin" w:eastAsia="IRNazanin" w:cs="IRNazanin"/>
          <w:lang w:bidi="fa-IR"/>
          <w:color w:val="111111"/>
          <w:sz w:val="28"/>
          <w:szCs w:val="28"/>
          <w:rtl/>
        </w:rPr>
        <w:t xml:space="preserve">آغاز: غزل سرایان عشرتگه  سرور، و جلوه نمایان غزالان معانی... و بعد، از نقشبندان طرح غزالان غزل</w:t>
      </w:r>
    </w:p>
    <w:p>
      <w:pPr>
        <w:pStyle w:val="BookText"/>
      </w:pPr>
      <w:r>
        <w:rPr>
          <w:rFonts w:ascii="IRNazanin" w:hAnsi="IRNazanin" w:eastAsia="IRNazanin" w:cs="IRNazanin"/>
          <w:lang w:bidi="fa-IR"/>
          <w:color w:val="111111"/>
          <w:sz w:val="28"/>
          <w:szCs w:val="28"/>
          <w:rtl/>
        </w:rPr>
        <w:t xml:space="preserve">بخش غزلیات «گنج المعانی» با دیباچه ای از قاضی محی الدین به نظم و نثر. در دیباچه از گردآورنده «گنج المعانی» و نه  بخش آن یاد می شود. سپس در بخش غزلیات از جامی ،محتشم هلالی ،شاپور ،طالب ،کلیم، میرزا نظام الدین دست غیب، حلوائی و جز آنها هر یک چند غزل آورده می شود؛خط: نستعلیق، بی کا، قرن ۱۱؛ در چهار ستون چلیپا ؛کاغذ: نوعی ترمه ،جلد: میشن قهوه ای  ضربی، ۱۳۲ ص (۳۶۷-۲۳۵پ)، اندازه: ۱۵/۲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۲۴/۴  سم[ف: ۸ - ۹]</w:t>
      </w:r>
    </w:p>
    <w:p>
      <w:pPr>
        <w:pStyle w:val="BookText"/>
      </w:pPr>
      <w:r>
        <w:rPr>
          <w:rFonts w:ascii="IRNazanin" w:hAnsi="IRNazanin" w:eastAsia="IRNazanin" w:cs="IRNazanin"/>
          <w:lang w:bidi="fa-IR"/>
          <w:color w:val="111111"/>
          <w:sz w:val="28"/>
          <w:szCs w:val="28"/>
          <w:rtl/>
        </w:rPr>
        <w:t xml:space="preserve">۱۵۵. تهران؛ ملک؛ شماره نسخه: ۴۹۳۲/۱۶</w:t>
      </w:r>
    </w:p>
    <w:p>
      <w:pPr>
        <w:pStyle w:val="BookText"/>
      </w:pPr>
      <w:r>
        <w:rPr>
          <w:rFonts w:ascii="IRNazanin" w:hAnsi="IRNazanin" w:eastAsia="IRNazanin" w:cs="IRNazanin"/>
          <w:lang w:bidi="fa-IR"/>
          <w:color w:val="111111"/>
          <w:sz w:val="28"/>
          <w:szCs w:val="28"/>
          <w:rtl/>
        </w:rPr>
        <w:t xml:space="preserve">غزلیات  است. از میرزا عبدالباقی طبیب، محمد صادق، مشتاق حافظ شیرازی ،محتشم؛ خط: شکسته، بی کا، تا: قرن ۱۱ ؛کاغذ: ترمه، جلد:روغنی محتاج تعمیر، ۱۵ ص( ۱۵۸ پ -۱۷۳پ) ، اندازه: ۱۵/۶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۲۲/۸سم [ف: ۸ - ۱۳۴]</w:t>
      </w:r>
    </w:p>
    <w:p>
      <w:pPr>
        <w:pStyle w:val="BookText"/>
      </w:pPr>
      <w:r>
        <w:rPr>
          <w:rFonts w:ascii="IRNazanin" w:hAnsi="IRNazanin" w:eastAsia="IRNazanin" w:cs="IRNazanin"/>
          <w:lang w:bidi="fa-IR"/>
          <w:color w:val="111111"/>
          <w:sz w:val="28"/>
          <w:szCs w:val="28"/>
          <w:rtl/>
        </w:rPr>
        <w:t xml:space="preserve">۱۵۶. تهران؛ ملک؛ شماره نسخه: ۵۳۰۷/۲۲</w:t>
      </w:r>
    </w:p>
    <w:p>
      <w:pPr>
        <w:pStyle w:val="BookText"/>
      </w:pPr>
      <w:r>
        <w:rPr>
          <w:rFonts w:ascii="IRNazanin" w:hAnsi="IRNazanin" w:eastAsia="IRNazanin" w:cs="IRNazanin"/>
          <w:lang w:bidi="fa-IR"/>
          <w:color w:val="111111"/>
          <w:sz w:val="28"/>
          <w:szCs w:val="28"/>
          <w:rtl/>
        </w:rPr>
        <w:t xml:space="preserve">آغاز: ای ز خطت منتظم دایره اهل حال *** خال تو در زیر خط نقطه جيم جمال</w:t>
      </w:r>
    </w:p>
    <w:p>
      <w:pPr>
        <w:pStyle w:val="BookText"/>
      </w:pPr>
      <w:r>
        <w:rPr>
          <w:rFonts w:ascii="IRNazanin" w:hAnsi="IRNazanin" w:eastAsia="IRNazanin" w:cs="IRNazanin"/>
          <w:lang w:bidi="fa-IR"/>
          <w:color w:val="111111"/>
          <w:sz w:val="28"/>
          <w:szCs w:val="28"/>
          <w:rtl/>
        </w:rPr>
        <w:t xml:space="preserve">قصيده لامیه است از هروی در ستایش عبدالعزیز خان ازبک ؛خط: نستعلیق، بی کا، تا: قرن ۱۱؛ هامش؛ کاغذ: نوعی ترمه، جـلد: تيماج يشمى سير و ضربی، ۲ ص (۶۲۲-۶۲۴)، ۳۱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۲۵/۶سم [ف: ۸ - ۲۸۹]</w:t>
      </w:r>
    </w:p>
    <w:p>
      <w:pPr>
        <w:pStyle w:val="BookText"/>
      </w:pPr>
      <w:r>
        <w:rPr>
          <w:rFonts w:ascii="IRNazanin" w:hAnsi="IRNazanin" w:eastAsia="IRNazanin" w:cs="IRNazanin"/>
          <w:lang w:bidi="fa-IR"/>
          <w:color w:val="111111"/>
          <w:sz w:val="28"/>
          <w:szCs w:val="28"/>
          <w:rtl/>
        </w:rPr>
        <w:t xml:space="preserve">۱۵۷. تهران؛ دانشکده الهیات تهران؛ شماره نسخه: ۵۶۵/۲</w:t>
      </w:r>
    </w:p>
    <w:p>
      <w:pPr>
        <w:pStyle w:val="BookText"/>
      </w:pPr>
      <w:r>
        <w:rPr>
          <w:rFonts w:ascii="IRNazanin" w:hAnsi="IRNazanin" w:eastAsia="IRNazanin" w:cs="IRNazanin"/>
          <w:lang w:bidi="fa-IR"/>
          <w:color w:val="111111"/>
          <w:sz w:val="28"/>
          <w:szCs w:val="28"/>
          <w:rtl/>
        </w:rPr>
        <w:t xml:space="preserve">آغاز: بسمله. السلام ای سایه خورشيد رب العالمين *** آسمـان عزو تمکين آفتاب داد و دین؛ انجام: شد وقت که زار زار گریم *** از محنت روزگار گریم / بروز سیاه او بصد روز *** بنشینم و شمع وار گریم</w:t>
      </w:r>
    </w:p>
    <w:p>
      <w:pPr>
        <w:pStyle w:val="BookText"/>
      </w:pPr>
      <w:r>
        <w:rPr>
          <w:rFonts w:ascii="IRNazanin" w:hAnsi="IRNazanin" w:eastAsia="IRNazanin" w:cs="IRNazanin"/>
          <w:lang w:bidi="fa-IR"/>
          <w:color w:val="111111"/>
          <w:sz w:val="28"/>
          <w:szCs w:val="28"/>
          <w:rtl/>
        </w:rPr>
        <w:t xml:space="preserve">در آن از شاه عباس و مرشد قلی و حاتم بیک و ابوالفیض و میرزا صالح ستایش شده است، ترجیع بند است و رباعی؛ خط: نستعلیق، بی کا، تا: قرن ۱۱؛ افتادگی: انجام؛ در پایان خطبه ای است از کتابی؛ کاغذ: اصفهانی، جلد: تیماج سبز مقوایی، ۳۳گ (۲۸پ- ۶۱ پ)، ۱۴) سطر (۶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۳۳۰]</w:t>
      </w:r>
    </w:p>
    <w:p>
      <w:pPr>
        <w:pStyle w:val="BookText"/>
      </w:pPr>
      <w:r>
        <w:rPr>
          <w:rFonts w:ascii="IRNazanin" w:hAnsi="IRNazanin" w:eastAsia="IRNazanin" w:cs="IRNazanin"/>
          <w:lang w:bidi="fa-IR"/>
          <w:color w:val="111111"/>
          <w:sz w:val="28"/>
          <w:szCs w:val="28"/>
          <w:rtl/>
        </w:rPr>
        <w:t xml:space="preserve">۱۵۸. تهران؛ مجلس؛ شماره نسخه: ۱۰۷</w:t>
      </w:r>
    </w:p>
    <w:p>
      <w:pPr>
        <w:pStyle w:val="BookText"/>
      </w:pPr>
      <w:r>
        <w:rPr>
          <w:rFonts w:ascii="IRNazanin" w:hAnsi="IRNazanin" w:eastAsia="IRNazanin" w:cs="IRNazanin"/>
          <w:lang w:bidi="fa-IR"/>
          <w:color w:val="111111"/>
          <w:sz w:val="28"/>
          <w:szCs w:val="28"/>
          <w:rtl/>
        </w:rPr>
        <w:t xml:space="preserve">از قدسی مشهدی و عبدی جنابدی میرزا فصیحی (ترکیب بند) و عرفی و جامی و خسرو دهلوی و دیگران؛ خط: نستعلیق، چلیپا،بی کا، تا: قرن ۱۱؛ کاغذ: سفید، جلد: تیماج مشکی مقوایی،  ۵۷گ، ۱۳ سطر (3</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[سنا: ف: ۱ - ۵۵]</w:t>
      </w:r>
    </w:p>
    <w:p>
      <w:pPr>
        <w:pStyle w:val="BookText"/>
      </w:pPr>
      <w:r>
        <w:rPr>
          <w:rFonts w:ascii="IRNazanin" w:hAnsi="IRNazanin" w:eastAsia="IRNazanin" w:cs="IRNazanin"/>
          <w:lang w:bidi="fa-IR"/>
          <w:color w:val="111111"/>
          <w:sz w:val="28"/>
          <w:szCs w:val="28"/>
          <w:rtl/>
        </w:rPr>
        <w:t xml:space="preserve">۱۵۹. تهران؛ مجلس؛ شماره نسخه: ۲۴۳</w:t>
      </w:r>
    </w:p>
    <w:p>
      <w:pPr>
        <w:pStyle w:val="BookText"/>
      </w:pPr>
      <w:r>
        <w:rPr>
          <w:rFonts w:ascii="IRNazanin" w:hAnsi="IRNazanin" w:eastAsia="IRNazanin" w:cs="IRNazanin"/>
          <w:lang w:bidi="fa-IR"/>
          <w:color w:val="111111"/>
          <w:sz w:val="28"/>
          <w:szCs w:val="28"/>
          <w:rtl/>
        </w:rPr>
        <w:t xml:space="preserve">با سرگذشتی کوتاه از سرایندگان آنها در برخی جاها عنصری، ،منوچهری حسین ثنائی ،امامی هروی ،منصور قاضی شمس  الدین طبسی، سراج الدین قمری، فخرالدین مبارک شاه غوری، هوشنگ بن  خطیب ،قوامی سعید هروی اقطع الدین بیلقانی، سعد کافی حمزه کوچک عمید  لومکی، فخر لومکی، شرف الدین اصفهانی، نجیب الدین جرفادقانی، رفیع الدین نیشابوری، رودکی، ابوالمعالی ،رازی ابوالمفاخر ،رازی ،غضایری، عزالدین شروانی ! مبارکشاه  مروزی، کافی ظفر همدانی، جمال الدین از هری رازی، رشیدی ،سمرقندی، بهاء الدین بغدادی، شرف الدین حسام، ،منجیک ،دقیقی ،ارزقی ،قطران، اثیر الدین اخسیتکی، فلکی ،شروانی عمعق بخارایی، سیف الدین اسفرانگی، عثمان مختاری ،غزنوی عبدالواسع جبلی غرجستانی، مجیر بیلقانی، زین العابدين ،سنجری ،شاپوری ،اشهری شمس الدین سجاسی، حسن علی متکلم (قصیده ای منسوب به منوچهری که در مجمع الفصحاء (۲: ۱۹) از حسن متکلم دانسته شده و محمد معین درباره آن مقاله ای در مجله مهر دارد (۷: 39-402) و می گوید که آن از معزی باید ،باشد از حسن متکلم در نشریه (۴: ۳۶۴ یاد شده است)، قوامی رازی، مجدالدین  رشیدی، اوحدی  کرمانی، ناصرالدین کاشانی، ابو نصر محمد اسحاق قاینی، بهاءالدین  بخاری، شهابی سلطانی، شهاب الدين مؤيد، اثیر اومانی، مجد همگر، ابوحنیفه مروزی، بدرالدین  اصفهانی، در فهرست از: نظامی، سراجی بلخی، سراج قمری ،انوری، شمس الدین  حداد، سید حسن غزنوی، ذوالفقار شروانی، رضی الدین نیشابوری، حسن اشرفی کاشانی فریدالدین عطار، عمادی  غزنوی ،ضیاء الدین  فارسی، حکیم ابوالفرج خاقانی، سنائی، ظهیر فاریابی، مصلح الدین شیرازی، لامعی ،گرگانی فرخی مسعود سلمان، امیر معزی، امیر خسرو دهلوی، ادیب صابر هم یاد شده است ؛خط: نستعلیق چلیپا، بی کا، تا: قرن ۱۱؛ با چندین سرلوح و پیشانی آراسته و زرین، با فهرست شاعران با اشاره به شماره صفحات با سرگذشت برخی از آنها به خط
</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عباس قلی فرزند تقى لسان الملک سپهر کاشانی در ربیع الثانی ١٣٠٠؛ کاغذ: سفید، جلد: تیماج سرخ ضربی مقوایی، ۲۹۷گ، ۱۶ سطر (3</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 اندازه: ۲۷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[سنا: ف: ۱ - ۱۲۱]</w:t>
      </w:r>
    </w:p>
    <w:p>
      <w:pPr>
        <w:pStyle w:val="BookText"/>
      </w:pPr>
      <w:r>
        <w:rPr>
          <w:rFonts w:ascii="IRNazanin" w:hAnsi="IRNazanin" w:eastAsia="IRNazanin" w:cs="IRNazanin"/>
          <w:lang w:bidi="fa-IR"/>
          <w:color w:val="111111"/>
          <w:sz w:val="28"/>
          <w:szCs w:val="28"/>
          <w:rtl/>
        </w:rPr>
        <w:t xml:space="preserve">۱۶۰. تهران؛ مجلس؛ شماره نسخه: ۱۴۷۴/۵</w:t>
      </w:r>
    </w:p>
    <w:p>
      <w:pPr>
        <w:pStyle w:val="BookText"/>
      </w:pPr>
      <w:r>
        <w:rPr>
          <w:rFonts w:ascii="IRNazanin" w:hAnsi="IRNazanin" w:eastAsia="IRNazanin" w:cs="IRNazanin"/>
          <w:lang w:bidi="fa-IR"/>
          <w:color w:val="111111"/>
          <w:sz w:val="28"/>
          <w:szCs w:val="28"/>
          <w:rtl/>
        </w:rPr>
        <w:t xml:space="preserve">پراکنده شعرهایی از گردآورنده جنگ که برای میر سید محـمد تقی نوشته؛ بی کا، تا: قرن ۱۱ ؛کاغذ: زرد و سرخ فام و سفـید،جلد: تیماج تریاکی یک لایی، بیاضی، ۳ص (۱۰۲-۱۰۴)،32 سطر [سنا: ف: ۲ - ۲۸۰]</w:t>
      </w:r>
    </w:p>
    <w:p>
      <w:pPr>
        <w:pStyle w:val="BookText"/>
      </w:pPr>
      <w:r>
        <w:rPr>
          <w:rFonts w:ascii="IRNazanin" w:hAnsi="IRNazanin" w:eastAsia="IRNazanin" w:cs="IRNazanin"/>
          <w:lang w:bidi="fa-IR"/>
          <w:color w:val="111111"/>
          <w:sz w:val="28"/>
          <w:szCs w:val="28"/>
          <w:rtl/>
        </w:rPr>
        <w:t xml:space="preserve">۱۶۱. تهران؛ مجلس؛ شماره نسخه: ۱۴۷۴/۱۱</w:t>
      </w:r>
    </w:p>
    <w:p>
      <w:pPr>
        <w:pStyle w:val="BookText"/>
      </w:pPr>
      <w:r>
        <w:rPr>
          <w:rFonts w:ascii="IRNazanin" w:hAnsi="IRNazanin" w:eastAsia="IRNazanin" w:cs="IRNazanin"/>
          <w:lang w:bidi="fa-IR"/>
          <w:color w:val="111111"/>
          <w:sz w:val="28"/>
          <w:szCs w:val="28"/>
          <w:rtl/>
        </w:rPr>
        <w:t xml:space="preserve">قصیده ای از عبدالله بن يحيى الحسينى ؛خط: نستعلیق، بی کا،تا: قرن ۱۱؛ کاغذ: زرد و سرخ فام و سفید، جلد: تیماج تریاکی یـک لایی ،بیاضی، ۲ ص( ۱۴۲ - ۱۴۳)، ۳۲ سطر [سنا: ف: ۲ - ۲۸۰]</w:t>
      </w:r>
    </w:p>
    <w:p>
      <w:pPr>
        <w:pStyle w:val="BookText"/>
      </w:pPr>
      <w:r>
        <w:rPr>
          <w:rFonts w:ascii="IRNazanin" w:hAnsi="IRNazanin" w:eastAsia="IRNazanin" w:cs="IRNazanin"/>
          <w:lang w:bidi="fa-IR"/>
          <w:color w:val="111111"/>
          <w:sz w:val="28"/>
          <w:szCs w:val="28"/>
          <w:rtl/>
        </w:rPr>
        <w:t xml:space="preserve">۱۶۲. تهران؛ مجلس؛ شماره نسخه: ۳۳۶۴/۵</w:t>
      </w:r>
    </w:p>
    <w:p>
      <w:pPr>
        <w:pStyle w:val="BookText"/>
      </w:pPr>
      <w:r>
        <w:rPr>
          <w:rFonts w:ascii="IRNazanin" w:hAnsi="IRNazanin" w:eastAsia="IRNazanin" w:cs="IRNazanin"/>
          <w:lang w:bidi="fa-IR"/>
          <w:color w:val="111111"/>
          <w:sz w:val="28"/>
          <w:szCs w:val="28"/>
          <w:rtl/>
        </w:rPr>
        <w:t xml:space="preserve">قصیده در مدح شاه صفی. قصیده ای در ۴۰ بیت از ضیاء اوراجه نویس فارس با این مطلع: «گویند پیش لاله رخی یار مبتلاست*** همدرد ماه شده است کنون یار یار ماست» ؛خط: نستعلیق، بی کا، تا: قرن ۱۱؛ کاغذ: اصفهانی ضخیم  شکری، جلد: مقوایی بنفـش رنگ، 3ص (۱۰۲-۱۰۴)،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۲۴/۵سم [ف : ۱۰ - ۱۱۹۷]</w:t>
      </w:r>
    </w:p>
    <w:p>
      <w:pPr>
        <w:pStyle w:val="BookText"/>
      </w:pPr>
      <w:r>
        <w:rPr>
          <w:rFonts w:ascii="IRNazanin" w:hAnsi="IRNazanin" w:eastAsia="IRNazanin" w:cs="IRNazanin"/>
          <w:lang w:bidi="fa-IR"/>
          <w:color w:val="111111"/>
          <w:sz w:val="28"/>
          <w:szCs w:val="28"/>
          <w:rtl/>
        </w:rPr>
        <w:t xml:space="preserve">۱۶۳. تهران؛ مجلس؛ شماره نسخه: ۵۰۰۸/۱۷</w:t>
      </w:r>
    </w:p>
    <w:p>
      <w:pPr>
        <w:pStyle w:val="BookText"/>
      </w:pPr>
      <w:r>
        <w:rPr>
          <w:rFonts w:ascii="IRNazanin" w:hAnsi="IRNazanin" w:eastAsia="IRNazanin" w:cs="IRNazanin"/>
          <w:lang w:bidi="fa-IR"/>
          <w:color w:val="111111"/>
          <w:sz w:val="28"/>
          <w:szCs w:val="28"/>
          <w:rtl/>
        </w:rPr>
        <w:t xml:space="preserve">آغاز: چو بخت تیره من روی نهاد آغاز *** مرا بمحضر صـدر جهان کشید نیاز</w:t>
      </w:r>
    </w:p>
    <w:p>
      <w:pPr>
        <w:pStyle w:val="BookText"/>
      </w:pPr>
      <w:r>
        <w:rPr>
          <w:rFonts w:ascii="IRNazanin" w:hAnsi="IRNazanin" w:eastAsia="IRNazanin" w:cs="IRNazanin"/>
          <w:lang w:bidi="fa-IR"/>
          <w:color w:val="111111"/>
          <w:sz w:val="28"/>
          <w:szCs w:val="28"/>
          <w:rtl/>
        </w:rPr>
        <w:t xml:space="preserve">از خلاق المعانی؛ خط: شکسته نستعلیق، کا: علی اشرف، تا: قرن ۱۱ ؛کاغذ: سپاهانی ،جلد: رویه تیماج  مشکی، اندازه:۱۵/۵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۱۴ - ۳۱۲]</w:t>
      </w:r>
    </w:p>
    <w:p>
      <w:pPr>
        <w:pStyle w:val="BookText"/>
      </w:pPr>
      <w:r>
        <w:rPr>
          <w:rFonts w:ascii="IRNazanin" w:hAnsi="IRNazanin" w:eastAsia="IRNazanin" w:cs="IRNazanin"/>
          <w:lang w:bidi="fa-IR"/>
          <w:color w:val="111111"/>
          <w:sz w:val="28"/>
          <w:szCs w:val="28"/>
          <w:rtl/>
        </w:rPr>
        <w:t xml:space="preserve">۱۶۴. تهران؛ مجلس؛ شماره نسخه: ۵۰۰۸/۲۶</w:t>
      </w:r>
    </w:p>
    <w:p>
      <w:pPr>
        <w:pStyle w:val="BookText"/>
      </w:pPr>
      <w:r>
        <w:rPr>
          <w:rFonts w:ascii="IRNazanin" w:hAnsi="IRNazanin" w:eastAsia="IRNazanin" w:cs="IRNazanin"/>
          <w:lang w:bidi="fa-IR"/>
          <w:color w:val="111111"/>
          <w:sz w:val="28"/>
          <w:szCs w:val="28"/>
          <w:rtl/>
        </w:rPr>
        <w:t xml:space="preserve">از: فیضی دکنی، کلیم و مشتاق؛ خط: شکسته نستعلیق، کا: علی اشرف، تا: قرن ۱۱ :کاغذ: سپاهانی، جلد: رویه تیماج مشکی، 1گ (۱۶۸ پ -۱۶۹ر)،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۱۴ - ۳۱۵]</w:t>
      </w:r>
    </w:p>
    <w:p>
      <w:pPr>
        <w:pStyle w:val="BookText"/>
      </w:pPr>
      <w:r>
        <w:rPr>
          <w:rFonts w:ascii="IRNazanin" w:hAnsi="IRNazanin" w:eastAsia="IRNazanin" w:cs="IRNazanin"/>
          <w:lang w:bidi="fa-IR"/>
          <w:color w:val="111111"/>
          <w:sz w:val="28"/>
          <w:szCs w:val="28"/>
          <w:rtl/>
        </w:rPr>
        <w:t xml:space="preserve">۱۶۵. تهران؛ مجلس؛ شماره نسخه: ۵۰۰۸/۲۷</w:t>
      </w:r>
    </w:p>
    <w:p>
      <w:pPr>
        <w:pStyle w:val="BookText"/>
      </w:pPr>
      <w:r>
        <w:rPr>
          <w:rFonts w:ascii="IRNazanin" w:hAnsi="IRNazanin" w:eastAsia="IRNazanin" w:cs="IRNazanin"/>
          <w:lang w:bidi="fa-IR"/>
          <w:color w:val="111111"/>
          <w:sz w:val="28"/>
          <w:szCs w:val="28"/>
          <w:rtl/>
        </w:rPr>
        <w:t xml:space="preserve">از علی اشرف با عنوان المحرر ؛ خط: شکسته نستعلیق، کا: علی اشرف، تا: قرن ۱۱ ؛کاغذ: سپاهانی، جلد: رویه تیماج مشکی، 1ص (۱۸۷ر)،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۱۴ - ۳۱۶]</w:t>
      </w:r>
    </w:p>
    <w:p>
      <w:pPr>
        <w:pStyle w:val="BookText"/>
      </w:pPr>
      <w:r>
        <w:rPr>
          <w:rFonts w:ascii="IRNazanin" w:hAnsi="IRNazanin" w:eastAsia="IRNazanin" w:cs="IRNazanin"/>
          <w:lang w:bidi="fa-IR"/>
          <w:color w:val="111111"/>
          <w:sz w:val="28"/>
          <w:szCs w:val="28"/>
          <w:rtl/>
        </w:rPr>
        <w:t xml:space="preserve">۱۶۶. تهران؛ مجلس؛ شماره نسخه: ۵۹۹۶/۶۰</w:t>
      </w:r>
    </w:p>
    <w:p>
      <w:pPr>
        <w:pStyle w:val="BookText"/>
      </w:pPr>
      <w:r>
        <w:rPr>
          <w:rFonts w:ascii="IRNazanin" w:hAnsi="IRNazanin" w:eastAsia="IRNazanin" w:cs="IRNazanin"/>
          <w:lang w:bidi="fa-IR"/>
          <w:color w:val="111111"/>
          <w:sz w:val="28"/>
          <w:szCs w:val="28"/>
          <w:rtl/>
        </w:rPr>
        <w:t xml:space="preserve">آغاز: روایت کرده اند ارباب عرفان*** که موسی کلیم  ابن عمران / مگر روزی بکوه طور می شد *** بکوه طور دل پر نور می شد/ به گبری شد دچار آن بحر سر مست *** که از عمرش گذشته شده صد و شصت؛ انجام: عنایت در جهان زنهار زنـهار *** دل زار یتیمان را میازار</w:t>
      </w:r>
    </w:p>
    <w:p>
      <w:pPr>
        <w:pStyle w:val="BookText"/>
      </w:pPr>
      <w:r>
        <w:rPr>
          <w:rFonts w:ascii="IRNazanin" w:hAnsi="IRNazanin" w:eastAsia="IRNazanin" w:cs="IRNazanin"/>
          <w:lang w:bidi="fa-IR"/>
          <w:color w:val="111111"/>
          <w:sz w:val="28"/>
          <w:szCs w:val="28"/>
          <w:rtl/>
        </w:rPr>
        <w:t xml:space="preserve">مثنوی در اندرز  است. داستانی از موسی در کوه طور (به نظم) از عنایت بیک؛ خط: شکسته نستعلیق، بی کا، تا: قرن ۱۱ ؛جلد: تیمـاج قهوه ای، ۲ ص (۲۴۵-۲۴۶) ،قطع: رقعی،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۱۸/۵سم [  ف: 17- 379]</w:t>
      </w:r>
    </w:p>
    <w:p>
      <w:pPr>
        <w:pStyle w:val="BookText"/>
      </w:pPr>
      <w:r>
        <w:rPr>
          <w:rFonts w:ascii="IRNazanin" w:hAnsi="IRNazanin" w:eastAsia="IRNazanin" w:cs="IRNazanin"/>
          <w:lang w:bidi="fa-IR"/>
          <w:color w:val="111111"/>
          <w:sz w:val="28"/>
          <w:szCs w:val="28"/>
          <w:rtl/>
        </w:rPr>
        <w:t xml:space="preserve">۱۶۷. تهران؛ مجلس؛ شماره نسخه: ۲۰۶/۱ طباطبائی</w:t>
      </w:r>
    </w:p>
    <w:p>
      <w:pPr>
        <w:pStyle w:val="BookText"/>
      </w:pPr>
      <w:r>
        <w:rPr>
          <w:rFonts w:ascii="IRNazanin" w:hAnsi="IRNazanin" w:eastAsia="IRNazanin" w:cs="IRNazanin"/>
          <w:lang w:bidi="fa-IR"/>
          <w:color w:val="111111"/>
          <w:sz w:val="28"/>
          <w:szCs w:val="28"/>
          <w:rtl/>
        </w:rPr>
        <w:t xml:space="preserve">ابو سعید ابوالخیر (رباعیات منسوب به اوست با ذکر خاصیت هایی برای خواندن هر رباعی)، واعظ قزوینی میرزا محمد رفیع، جامی، نظیری؛ بی کا، تا: قرن ۱۱ ؛کاغذ: اصفهانی شکری رنگ ،جلد: تیماج قهوه ای سیر، ۲گ (2-۴پ)، قطع: رقعی،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۲۲ - ۷۳]</w:t>
      </w:r>
    </w:p>
    <w:p>
      <w:pPr>
        <w:pStyle w:val="BookText"/>
      </w:pPr>
      <w:r>
        <w:rPr>
          <w:rFonts w:ascii="IRNazanin" w:hAnsi="IRNazanin" w:eastAsia="IRNazanin" w:cs="IRNazanin"/>
          <w:lang w:bidi="fa-IR"/>
          <w:color w:val="111111"/>
          <w:sz w:val="28"/>
          <w:szCs w:val="28"/>
          <w:rtl/>
        </w:rPr>
        <w:t xml:space="preserve">۱۶۸. تهران؛ مجلس؛ شماره نسخه: ۵۱۱/۱۴- طباطبائی</w:t>
      </w:r>
    </w:p>
    <w:p>
      <w:pPr>
        <w:pStyle w:val="BookText"/>
      </w:pPr>
      <w:r>
        <w:rPr>
          <w:rFonts w:ascii="IRNazanin" w:hAnsi="IRNazanin" w:eastAsia="IRNazanin" w:cs="IRNazanin"/>
          <w:lang w:bidi="fa-IR"/>
          <w:color w:val="111111"/>
          <w:sz w:val="28"/>
          <w:szCs w:val="28"/>
          <w:rtl/>
        </w:rPr>
        <w:t xml:space="preserve">انجام: ثاقب از خاک درش دریوزه کردم آبروی *** شکرالله در طریق عشق گشتم رو به راه</w:t>
      </w:r>
    </w:p>
    <w:p>
      <w:pPr>
        <w:pStyle w:val="BookText"/>
      </w:pPr>
      <w:r>
        <w:rPr>
          <w:rFonts w:ascii="IRNazanin" w:hAnsi="IRNazanin" w:eastAsia="IRNazanin" w:cs="IRNazanin"/>
          <w:lang w:bidi="fa-IR"/>
          <w:color w:val="111111"/>
          <w:sz w:val="28"/>
          <w:szCs w:val="28"/>
          <w:rtl/>
        </w:rPr>
        <w:t xml:space="preserve">غزل های ثاقب. باید بررسی شود این سه غزل از سروده های اسماعيل بنان السلطنه مستوفی عصر ناصری و متخلص به ثاقب است یا نه. مطلع غزل نخست: «خطت به مه رقم زد تحریر آن مبارک *** در حل این معانی علم بیان مبارک». مطلع غزل دیگر: «مطلع خورشید رخشان می کند آیینه را *** گوشه چشمی چه احسان می کند آیینه را». مطلع غزل سوم با عنوان «لراقمه»: «شعله و اخگر شود در دیده و دل اشک و آه*** از غضب چون افکند آن تند خو سویم نگاه»؛ بی کا، تا: ۱۰۸۵ یا ۱۰۶۵؛ کاغذ: اصفهانی آهار مهره نخودی رنگ، جلد: تیماج قهوه ای، ۱ص (۱۷۳ر)، ۲۱  سطر، قطع: خشتی،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 ۲۲ - ۲۱۲]</w:t>
      </w:r>
    </w:p>
    <w:p>
      <w:pPr>
        <w:pStyle w:val="BookText"/>
      </w:pPr>
      <w:r>
        <w:rPr>
          <w:rFonts w:ascii="IRNazanin" w:hAnsi="IRNazanin" w:eastAsia="IRNazanin" w:cs="IRNazanin"/>
          <w:lang w:bidi="fa-IR"/>
          <w:color w:val="111111"/>
          <w:sz w:val="28"/>
          <w:szCs w:val="28"/>
          <w:rtl/>
        </w:rPr>
        <w:t xml:space="preserve">۱۶۹. تهران؛ مجلس؛ شماره نسخه: ۱۳۶۱۹</w:t>
      </w:r>
    </w:p>
    <w:p>
      <w:pPr>
        <w:pStyle w:val="BookText"/>
      </w:pPr>
      <w:r>
        <w:rPr>
          <w:rFonts w:ascii="IRNazanin" w:hAnsi="IRNazanin" w:eastAsia="IRNazanin" w:cs="IRNazanin"/>
          <w:lang w:bidi="fa-IR"/>
          <w:color w:val="111111"/>
          <w:sz w:val="28"/>
          <w:szCs w:val="28"/>
          <w:rtl/>
        </w:rPr>
        <w:t xml:space="preserve">در این مجموعه علاوه بر دیوان هایی که به طور مستقل معرفی شده است دارای اشعاری پراکنده است از این افراد: قدسی ( ص ۸۳-۸۷)، مولانا طبعی (۸۷-۸۸)، صائب (ص۸۸)، شاپور غریبی (۸۹-۹۱)، صائب با دعای سلمه الله (۹۲-۹۳)، مولانا شانی (۹۴-۹۳)، رکنای کاشی (۹۵-۹۸)، میر رضی (۹۹)، مولانا اخلاص ،(۱۰۰) ،نظامی (۱۰۴-۱۰۶)، شفایی (۱۰۷)، میرزا صالح  (۱۰۸) ،ميرو اللهی (۱۰۸-۱۱۰)، خط: نستعلیق چلیپا، بی کا، تا: قرن ۱۱؛ در اول نسخه یادداشتی از محمد حشسین شعاع الملك شیرازی با مهر وی در مورد این جنگ به تاریخ سه شنبه ۱۷ شوال ۱۳۴۸؛ جلد: تیماج سرخ  مجدول، ۵۵گ، مختلف السطر،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۳۷ - ۱۴۷]</w:t>
      </w:r>
    </w:p>
    <w:p>
      <w:pPr>
        <w:pStyle w:val="BookText"/>
      </w:pPr>
      <w:r>
        <w:rPr>
          <w:rFonts w:ascii="IRNazanin" w:hAnsi="IRNazanin" w:eastAsia="IRNazanin" w:cs="IRNazanin"/>
          <w:lang w:bidi="fa-IR"/>
          <w:color w:val="111111"/>
          <w:sz w:val="28"/>
          <w:szCs w:val="28"/>
          <w:rtl/>
        </w:rPr>
        <w:t xml:space="preserve">۱۷۰. تهران؛ مجلس؛ شماره نسخه: ۱۳۴۴۳/۳</w:t>
      </w:r>
    </w:p>
    <w:p>
      <w:pPr>
        <w:pStyle w:val="BookText"/>
      </w:pPr>
      <w:r>
        <w:rPr>
          <w:rFonts w:ascii="IRNazanin" w:hAnsi="IRNazanin" w:eastAsia="IRNazanin" w:cs="IRNazanin"/>
          <w:lang w:bidi="fa-IR"/>
          <w:color w:val="111111"/>
          <w:sz w:val="28"/>
          <w:szCs w:val="28"/>
          <w:rtl/>
        </w:rPr>
        <w:t xml:space="preserve">رباعی از محمد بدیع فسایی؛ بی کا، تا: قرن ۱۱؛ مجدول و مذهب؛ جلد: گالینگور سرخ عطف تیماج، ۱ص (۴۹)،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۳۲سم[ف: ۳۶ - ۳۷۸]</w:t>
      </w:r>
    </w:p>
    <w:p>
      <w:pPr>
        <w:pStyle w:val="BookText"/>
      </w:pPr>
      <w:r>
        <w:rPr>
          <w:rFonts w:ascii="IRNazanin" w:hAnsi="IRNazanin" w:eastAsia="IRNazanin" w:cs="IRNazanin"/>
          <w:lang w:bidi="fa-IR"/>
          <w:color w:val="111111"/>
          <w:sz w:val="28"/>
          <w:szCs w:val="28"/>
          <w:rtl/>
        </w:rPr>
        <w:t xml:space="preserve">۱۷۱. تهران؛ مجلس؛ شماره نسخه: ۱۳۴۴۳/۱۴</w:t>
      </w:r>
    </w:p>
    <w:p>
      <w:pPr>
        <w:pStyle w:val="BookText"/>
      </w:pPr>
      <w:r>
        <w:rPr>
          <w:rFonts w:ascii="IRNazanin" w:hAnsi="IRNazanin" w:eastAsia="IRNazanin" w:cs="IRNazanin"/>
          <w:lang w:bidi="fa-IR"/>
          <w:color w:val="111111"/>
          <w:sz w:val="28"/>
          <w:szCs w:val="28"/>
          <w:rtl/>
        </w:rPr>
        <w:t xml:space="preserve">دو غزل از غنی کشمیری و صائب. این دو غزل در میان اشعار محمد صالح گیلانی تحریر شده است؛ بی کا، تا: قرن ۱۱؛ صفحات مجدول و مذهب؛ جلد: گالینگور،سرخ عطف تیماج ، ۱ص ،(۱۳۷)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۳۲سم [ف: ۳۶ - ۳۸۰]</w:t>
      </w:r>
    </w:p>
    <w:p>
      <w:pPr>
        <w:pStyle w:val="BookText"/>
      </w:pPr>
      <w:r>
        <w:rPr>
          <w:rFonts w:ascii="IRNazanin" w:hAnsi="IRNazanin" w:eastAsia="IRNazanin" w:cs="IRNazanin"/>
          <w:lang w:bidi="fa-IR"/>
          <w:color w:val="111111"/>
          <w:sz w:val="28"/>
          <w:szCs w:val="28"/>
          <w:rtl/>
        </w:rPr>
        <w:t xml:space="preserve">۱۷۲. تهران ،بیانی مهدی (دکتر)؛ شماره نسخه: ۵۸/۱۴</w:t>
      </w:r>
    </w:p>
    <w:p>
      <w:pPr>
        <w:pStyle w:val="BookText"/>
      </w:pPr>
      <w:r>
        <w:rPr>
          <w:rFonts w:ascii="IRNazanin" w:hAnsi="IRNazanin" w:eastAsia="IRNazanin" w:cs="IRNazanin"/>
          <w:lang w:bidi="fa-IR"/>
          <w:color w:val="111111"/>
          <w:sz w:val="28"/>
          <w:szCs w:val="28"/>
          <w:rtl/>
        </w:rPr>
        <w:t xml:space="preserve">قصائد و غزلیات متفرقه؛ خط: نستعلیق  بد، بی کا، تا: قرن ۱۱[ نشریه: ۱ - ۱۷]</w:t>
      </w:r>
    </w:p>
    <w:p>
      <w:pPr>
        <w:pStyle w:val="BookText"/>
      </w:pPr>
      <w:r>
        <w:rPr>
          <w:rFonts w:ascii="IRNazanin" w:hAnsi="IRNazanin" w:eastAsia="IRNazanin" w:cs="IRNazanin"/>
          <w:lang w:bidi="fa-IR"/>
          <w:color w:val="111111"/>
          <w:sz w:val="28"/>
          <w:szCs w:val="28"/>
          <w:rtl/>
        </w:rPr>
        <w:t xml:space="preserve">۱۶۷. تهران؛ مجلس؛ شماره نسخه ۹۰۷۲/۱
</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شامل سروده هایی از: آذری ،شیخ، آگهی یزدی، ابن حسام،ابن یمین، ابوتراب بیگ، ابوسعید، شیخ احمد جام، امیدی طهرانی، امیر خسرو دهلوی، بابا طاهر  همدانی، بدیعی تبریزی، بنایی ،جامی، حسین  ثنائی ،خواجه ،حیرتی، خاقانی شروانی، خوش قدم، خیام، رکن مسعود ،حکیم ،سعدی، شاه طاهر خواندی، شاه قاسم انوار، شفایی ،حکیم، شوریده ،مداح، صايب ميرزا، ... طايری، ظهیر فاریابی، خواجه عراقی، عرفی شیرازی ،عطار، على نقـی، شیخ، فروغی مداح، قاسم بیگ حالتی ،قطران، حکیم، کاتبی نیشابوری عليه الرحمة، كمال خجند ،کوچک ،محتشم، مولوی معنوی، میلی مشهدی، میرزا قلی ،نظامی ،مولانا نظامی، نظیری، هاتفی؛ خط: نستعلیق ،کا: میرزا بلبل کشمیری (بخش دوم)،تا: بخش اول کتابت شده در قرن ۱۱ق و بخش دوم به خط بلبل کشمیری در ربیع الاول ۱۰۱۰ق؛ در پایان قصیده میرزا صائب در برگ ۱۶ و با خطی مغایر نوشته شده است: فی شهر ربیع الاول ۱۱۰۸ قلمی شد. حرره شریف، در سال های اخیر در چند مورد سروده هایی با خودکار آبی به نسخه اضافه شده است (مانند ۲۴پ- ۲۵ ر، ۲۶پ) در برگ 1ر یک سطر به خط مشجره، دارای  یادداشت یادگاری از میرزا محمود،دارای چند یادداشت درباره کارهای روزمره و یادگاری و قهر کردن و آشتی به خط بد، نسخه دو برگ  شمار قدیمی دارد که بر اساس آنها می توان فهـمید حجم اولیه نسخه بیش از دو برابر اوراق کنونی بوده است؛ مهر:« عبده الراجي حسین بن محمد» (بیضی)، «خاک راه علی الله» (بیضی) «یا محمود» ((مربع)؛ خریداری از هدایت ارشادی ؛کاغذ: نخودی آهار مهره ،جلد: پارچه ابریشمی سبز، ۱۰۹گ( اپ- 109پ) ، ۱۲ و ۱۵ سطر ،(7</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۱۱/۹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۶۹۹ - ۲۹/۲]</w:t>
      </w:r>
    </w:p>
    <w:p>
      <w:pPr>
        <w:pStyle w:val="BookText"/>
      </w:pPr>
      <w:r>
        <w:rPr>
          <w:rFonts w:ascii="IRNazanin" w:hAnsi="IRNazanin" w:eastAsia="IRNazanin" w:cs="IRNazanin"/>
          <w:lang w:bidi="fa-IR"/>
          <w:color w:val="111111"/>
          <w:sz w:val="28"/>
          <w:szCs w:val="28"/>
          <w:rtl/>
        </w:rPr>
        <w:t xml:space="preserve">۱۶۸. تهران؛ مجلس؛ شماره نسخه: ۹۰۸۷/۲۶</w:t>
      </w:r>
    </w:p>
    <w:p>
      <w:pPr>
        <w:pStyle w:val="BookText"/>
      </w:pPr>
      <w:r>
        <w:rPr>
          <w:rFonts w:ascii="IRNazanin" w:hAnsi="IRNazanin" w:eastAsia="IRNazanin" w:cs="IRNazanin"/>
          <w:lang w:bidi="fa-IR"/>
          <w:color w:val="111111"/>
          <w:sz w:val="28"/>
          <w:szCs w:val="28"/>
          <w:rtl/>
        </w:rPr>
        <w:t xml:space="preserve">از میرزا ،جلالا ،سلیمان قزوینی، میرزا جلال اسیر و غیاثای حلوایی؛ خط: نسخ کهن معرب، بی کا، تا: با تاریخ قرن ۱۱؛ کاغذ: الوان آهار مهره، جلد: تیماج قهوه ای با ترنج و سرترنج و چـهار لچکی، 1ص (۵۵پ) اندازه: ۱۵/۱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۲۸/۴سم [ف: ۲۹/۲ - ۷۳۲]</w:t>
      </w:r>
    </w:p>
    <w:p>
      <w:pPr>
        <w:pStyle w:val="BookText"/>
      </w:pPr>
      <w:r>
        <w:rPr>
          <w:rFonts w:ascii="IRNazanin" w:hAnsi="IRNazanin" w:eastAsia="IRNazanin" w:cs="IRNazanin"/>
          <w:lang w:bidi="fa-IR"/>
          <w:color w:val="111111"/>
          <w:sz w:val="28"/>
          <w:szCs w:val="28"/>
          <w:rtl/>
        </w:rPr>
        <w:t xml:space="preserve">۱۶۹. تهران؛ مجلس؛ شماره نسخه: ۹۰۸۷/۸۰</w:t>
      </w:r>
    </w:p>
    <w:p>
      <w:pPr>
        <w:pStyle w:val="BookText"/>
      </w:pPr>
      <w:r>
        <w:rPr>
          <w:rFonts w:ascii="IRNazanin" w:hAnsi="IRNazanin" w:eastAsia="IRNazanin" w:cs="IRNazanin"/>
          <w:lang w:bidi="fa-IR"/>
          <w:color w:val="111111"/>
          <w:sz w:val="28"/>
          <w:szCs w:val="28"/>
          <w:rtl/>
        </w:rPr>
        <w:t xml:space="preserve">از میرزا فصیحی، صایب، بابا افضل ،رشیدا، و من صف، مولانا وحشی، و شیخ سعدی؛ خط: نسخ کهن معرب، بی کا، تا: با تاریخ قرن ۱۱؛ كاغذ: الوان آهار مهره ،جلد: تیماج قهوه ای با ترنج و سرترنج و چهار لچکی، عطف گالینگور، ۱ص ،(۱۷۳ر) ،اندازه: ۱۵/۱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۲۸/۴سم [ف: ۲۹/۲ - ۷۳۸]</w:t>
      </w:r>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IRNazanin" w:hAnsi="IRNazanin" w:eastAsia="IRNazanin" w:cs="IRNazanin"/>
          <w:lang w:bidi="fa-IR"/>
          <w:color w:val="111111"/>
          <w:sz w:val="28"/>
          <w:szCs w:val="28"/>
          <w:rtl/>
        </w:rPr>
        <w:t xml:space="preserve">تهران؛ مجلس؛ شماره نسخه: ۹۰۸۷/۸۷</w:t>
      </w:r>
    </w:p>
    <w:p>
      <w:pPr>
        <w:pStyle w:val="BookText"/>
      </w:pPr>
      <w:r>
        <w:rPr>
          <w:rFonts w:ascii="IRNazanin" w:hAnsi="IRNazanin" w:eastAsia="IRNazanin" w:cs="IRNazanin"/>
          <w:lang w:bidi="fa-IR"/>
          <w:color w:val="111111"/>
          <w:sz w:val="28"/>
          <w:szCs w:val="28"/>
          <w:rtl/>
        </w:rPr>
        <w:t xml:space="preserve">خط: نسخ کهن  معرب، بی کا، تا: با تاریخ قرن ۱۱؛ كاغذ: الوان آهار مهره، جلد: تیماج قهوه ای با ترنج و سرترنج و چهار لچکی، اص (۱۸۲ر) ،اندازه: ۱۵/۱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۲۸/۴سم [ف: ۲۹/۲ - ۷۳۹]</w:t>
      </w:r>
    </w:p>
    <w:p>
      <w:pPr>
        <w:pStyle w:val="BookText"/>
      </w:pPr>
      <w:r>
        <w:rPr>
          <w:rFonts w:ascii="IRNazanin" w:hAnsi="IRNazanin" w:eastAsia="IRNazanin" w:cs="IRNazanin"/>
          <w:lang w:bidi="fa-IR"/>
          <w:color w:val="111111"/>
          <w:sz w:val="28"/>
          <w:szCs w:val="28"/>
          <w:rtl/>
        </w:rPr>
        <w:t xml:space="preserve">۱۷۳. تهران؛ دانشگاه؛ شماره نسخه: ۱۴۲۷/۲۷</w:t>
      </w:r>
    </w:p>
    <w:p>
      <w:pPr>
        <w:pStyle w:val="BookText"/>
      </w:pPr>
      <w:r>
        <w:rPr>
          <w:rFonts w:ascii="IRNazanin" w:hAnsi="IRNazanin" w:eastAsia="IRNazanin" w:cs="IRNazanin"/>
          <w:lang w:bidi="fa-IR"/>
          <w:color w:val="111111"/>
          <w:sz w:val="28"/>
          <w:szCs w:val="28"/>
          <w:rtl/>
        </w:rPr>
        <w:t xml:space="preserve">غزلیات سیدی؛ خط: نستعلیق، کا: امام قلی ایمانی  غلام، تا نـیمه دوم قرن ۱۱؛ مجدول ؛کاغذ: سپاهانی متن و حاشیه، جلد: تیماج تریاکی ضربی زرکوب  مقوایی، ۵گ(۴۴۷ر-۴۵۱ر)، ۲۰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۳۲سم [ف: ۸ - ۱۰۱]</w:t>
      </w:r>
    </w:p>
    <w:p>
      <w:pPr>
        <w:pStyle w:val="BookText"/>
      </w:pPr>
      <w:r>
        <w:rPr>
          <w:rFonts w:ascii="IRNazanin" w:hAnsi="IRNazanin" w:eastAsia="IRNazanin" w:cs="IRNazanin"/>
          <w:lang w:bidi="fa-IR"/>
          <w:color w:val="111111"/>
          <w:sz w:val="28"/>
          <w:szCs w:val="28"/>
          <w:rtl/>
        </w:rPr>
        <w:t xml:space="preserve">۱۷۴. تهران؛ مجلس؛ شماره نسخه ۹۰۸۷/۲۹</w:t>
      </w:r>
    </w:p>
    <w:p>
      <w:pPr>
        <w:pStyle w:val="BookText"/>
      </w:pPr>
      <w:r>
        <w:rPr>
          <w:rFonts w:ascii="IRNazanin" w:hAnsi="IRNazanin" w:eastAsia="IRNazanin" w:cs="IRNazanin"/>
          <w:lang w:bidi="fa-IR"/>
          <w:color w:val="111111"/>
          <w:sz w:val="28"/>
          <w:szCs w:val="28"/>
          <w:rtl/>
        </w:rPr>
        <w:t xml:space="preserve">از میرزا محمد امین حسینی، مولانا کمال الدين حسين لاری؛ خط: نسخ کهن  معرب، بی کا، تا: با تاریخ قرن ۱۱؛ کاغذ: الوان آهار مهره، جلد: تیماج قهوه ای با ترنج و سرترنج و چهار لچکی، 1گ (۶۵ر) ، اندازه: ۱۵/۱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۲۸/۴سم [ف: ۲۹/۲۲ - ۷۳۲]</w:t>
      </w:r>
    </w:p>
    <w:p>
      <w:pPr>
        <w:pStyle w:val="BookText"/>
      </w:pPr>
      <w:r>
        <w:rPr>
          <w:rFonts w:ascii="IRNazanin" w:hAnsi="IRNazanin" w:eastAsia="IRNazanin" w:cs="IRNazanin"/>
          <w:lang w:bidi="fa-IR"/>
          <w:color w:val="111111"/>
          <w:sz w:val="28"/>
          <w:szCs w:val="28"/>
          <w:rtl/>
        </w:rPr>
        <w:t xml:space="preserve">۱۷۵. تهران؛ مجلس؛ شماره نسخه: ۹۴۶۶/۲۲۷</w:t>
      </w:r>
    </w:p>
    <w:p>
      <w:pPr>
        <w:pStyle w:val="BookText"/>
      </w:pPr>
      <w:r>
        <w:rPr>
          <w:rFonts w:ascii="IRNazanin" w:hAnsi="IRNazanin" w:eastAsia="IRNazanin" w:cs="IRNazanin"/>
          <w:lang w:bidi="fa-IR"/>
          <w:color w:val="111111"/>
          <w:sz w:val="28"/>
          <w:szCs w:val="28"/>
          <w:rtl/>
        </w:rPr>
        <w:t xml:space="preserve">از مولانا مولانا مظفر علیشاه (قرن ۱۱)؛ خط: نستعلیق، بی کا، تا: قرن ۱۱، 1گ (۴۸۴) [مختصر: ف: ۶۶]</w:t>
      </w:r>
    </w:p>
    <w:p>
      <w:pPr>
        <w:pStyle w:val="BookText"/>
      </w:pPr>
      <w:r>
        <w:rPr>
          <w:rFonts w:ascii="IRNazanin" w:hAnsi="IRNazanin" w:eastAsia="IRNazanin" w:cs="IRNazanin"/>
          <w:lang w:bidi="fa-IR"/>
          <w:color w:val="111111"/>
          <w:sz w:val="28"/>
          <w:szCs w:val="28"/>
          <w:rtl/>
        </w:rPr>
        <w:t xml:space="preserve">۱۷۶ . تهران؛ مجلس؛ شماره نسخه: ۹۴۸۰/۶۹</w:t>
      </w:r>
    </w:p>
    <w:p>
      <w:pPr>
        <w:pStyle w:val="BookText"/>
      </w:pPr>
      <w:r>
        <w:rPr>
          <w:rFonts w:ascii="IRNazanin" w:hAnsi="IRNazanin" w:eastAsia="IRNazanin" w:cs="IRNazanin"/>
          <w:lang w:bidi="fa-IR"/>
          <w:color w:val="111111"/>
          <w:sz w:val="28"/>
          <w:szCs w:val="28"/>
          <w:rtl/>
        </w:rPr>
        <w:t xml:space="preserve">منسوب به سلطان محمود غزنوی ،سلطانعلی مولانا رفیعا قزوینی، ماده تاریخ فوت میرزا ابراهیم به تاریخ ۱۰۴۱؛ خط: نستعلیق ، بی کا، تا: قرن ۱۱، ۲ ص (۲۶۸ - ۲۶۹) [مختصر: ف: ۶۶]</w:t>
      </w:r>
    </w:p>
    <w:p>
      <w:pPr>
        <w:pStyle w:val="BookText"/>
      </w:pPr>
      <w:r>
        <w:rPr>
          <w:rFonts w:ascii="IRNazanin" w:hAnsi="IRNazanin" w:eastAsia="IRNazanin" w:cs="IRNazanin"/>
          <w:lang w:bidi="fa-IR"/>
          <w:color w:val="111111"/>
          <w:sz w:val="28"/>
          <w:szCs w:val="28"/>
          <w:rtl/>
        </w:rPr>
        <w:t xml:space="preserve">۱۷۷. تهران؛ مجلس؛ شماره نسخه: ۹۴۶۶/۲۳۷</w:t>
      </w:r>
    </w:p>
    <w:p>
      <w:pPr>
        <w:pStyle w:val="BookText"/>
      </w:pPr>
      <w:r>
        <w:rPr>
          <w:rFonts w:ascii="IRNazanin" w:hAnsi="IRNazanin" w:eastAsia="IRNazanin" w:cs="IRNazanin"/>
          <w:lang w:bidi="fa-IR"/>
          <w:color w:val="111111"/>
          <w:sz w:val="28"/>
          <w:szCs w:val="28"/>
          <w:rtl/>
        </w:rPr>
        <w:t xml:space="preserve">از یمینی سمنانی، بدرای آملی، شیخ ابوالقاسم کازرونی، حکیم  رکنا، مسعود سعد سلمان، کمال الدین اسماعیل؛ خط: نستعلیق، بی کا، تا: قرن  ۱۱، ۱ص (۴۹۸) [مختصر: ف: ۶۷]</w:t>
      </w:r>
    </w:p>
    <w:p>
      <w:pPr>
        <w:pStyle w:val="BookText"/>
      </w:pPr>
      <w:r>
        <w:rPr>
          <w:rFonts w:ascii="IRNazanin" w:hAnsi="IRNazanin" w:eastAsia="IRNazanin" w:cs="IRNazanin"/>
          <w:lang w:bidi="fa-IR"/>
          <w:color w:val="111111"/>
          <w:sz w:val="28"/>
          <w:szCs w:val="28"/>
          <w:rtl/>
        </w:rPr>
        <w:t xml:space="preserve">۱۷۸. تهران؛ مجلس؛ شماره نسخه: ۹۴۶۶/۱</w:t>
      </w:r>
    </w:p>
    <w:p>
      <w:pPr>
        <w:pStyle w:val="BookText"/>
      </w:pPr>
      <w:r>
        <w:rPr>
          <w:rFonts w:ascii="IRNazanin" w:hAnsi="IRNazanin" w:eastAsia="IRNazanin" w:cs="IRNazanin"/>
          <w:lang w:bidi="fa-IR"/>
          <w:color w:val="111111"/>
          <w:sz w:val="28"/>
          <w:szCs w:val="28"/>
          <w:rtl/>
        </w:rPr>
        <w:t xml:space="preserve">رباعيات متفرقه سید محمد  نجفی، میر عبدالغنی  تفریشی ،فضلی، يمنى  سمنانی ،مولانا  ولی ،مولانا عرفی.«منصور» ؛خط: نستعلیق ،کا: محمد امین گیلانی،تا: قرن ۱۱؛ ۱ص (۱) [مختصر: ف: - ۳۸۸]</w:t>
      </w:r>
    </w:p>
    <w:p>
      <w:pPr>
        <w:pStyle w:val="BookText"/>
      </w:pPr>
      <w:r>
        <w:rPr>
          <w:rFonts w:ascii="IRNazanin" w:hAnsi="IRNazanin" w:eastAsia="IRNazanin" w:cs="IRNazanin"/>
          <w:lang w:bidi="fa-IR"/>
          <w:color w:val="111111"/>
          <w:sz w:val="28"/>
          <w:szCs w:val="28"/>
          <w:rtl/>
        </w:rPr>
        <w:t xml:space="preserve">۱۷۹. تهران؛ مجلس؛ شماره نسخه: ۱۰۳۹۹/۵</w:t>
      </w:r>
    </w:p>
    <w:p>
      <w:pPr>
        <w:pStyle w:val="BookText"/>
      </w:pPr>
      <w:r>
        <w:rPr>
          <w:rFonts w:ascii="IRNazanin" w:hAnsi="IRNazanin" w:eastAsia="IRNazanin" w:cs="IRNazanin"/>
          <w:lang w:bidi="fa-IR"/>
          <w:color w:val="111111"/>
          <w:sz w:val="28"/>
          <w:szCs w:val="28"/>
          <w:rtl/>
        </w:rPr>
        <w:t xml:space="preserve">رباعی در تقریظ قبسات؛ خط: نستعلیق، بی کا، تا: قرن ۱۱؛ 1ص  (۳۲۹ - همان) (مختصر: ف: - ۳۸۹]</w:t>
      </w:r>
    </w:p>
    <w:p>
      <w:pPr>
        <w:pStyle w:val="BookText"/>
      </w:pPr>
      <w:r>
        <w:rPr>
          <w:rFonts w:ascii="IRNazanin" w:hAnsi="IRNazanin" w:eastAsia="IRNazanin" w:cs="IRNazanin"/>
          <w:lang w:bidi="fa-IR"/>
          <w:color w:val="111111"/>
          <w:sz w:val="28"/>
          <w:szCs w:val="28"/>
          <w:rtl/>
        </w:rPr>
        <w:t xml:space="preserve">۱۸۰. تهران؛ مجلس؛ شماره نسخه: ۸۸۰۲/۲</w:t>
      </w:r>
    </w:p>
    <w:p>
      <w:pPr>
        <w:pStyle w:val="BookText"/>
      </w:pPr>
      <w:r>
        <w:rPr>
          <w:rFonts w:ascii="IRNazanin" w:hAnsi="IRNazanin" w:eastAsia="IRNazanin" w:cs="IRNazanin"/>
          <w:lang w:bidi="fa-IR"/>
          <w:color w:val="111111"/>
          <w:sz w:val="28"/>
          <w:szCs w:val="28"/>
          <w:rtl/>
        </w:rPr>
        <w:t xml:space="preserve">آغاز: مطلع: اى صدر صفه حرمت بارگاه جان *** بر آستان اشرفت ز شعرش بود عیان؛ انجام: صافی حدیث دلکش تو هر که بشنود *** تاریخ این کتابه ز شعرش بود عیان</w:t>
      </w:r>
    </w:p>
    <w:p>
      <w:pPr>
        <w:pStyle w:val="BookText"/>
      </w:pPr>
      <w:r>
        <w:rPr>
          <w:rFonts w:ascii="IRNazanin" w:hAnsi="IRNazanin" w:eastAsia="IRNazanin" w:cs="IRNazanin"/>
          <w:lang w:bidi="fa-IR"/>
          <w:color w:val="111111"/>
          <w:sz w:val="28"/>
          <w:szCs w:val="28"/>
          <w:rtl/>
        </w:rPr>
        <w:t xml:space="preserve">خط: نستعلیق، بی کا، تا: قرن ۱۱؛ مصحح، با علامت سه نقطه شک در بسیاری از برگ های نسخه مانند ،۱۰ر ،۳۶ر، ۴۱ر، ۴۴ر، ۴۶ر و ... و علامت یک نقطه در کناره بعضی از سطرها مانند صفحات ،۳۴،ر ،۳۸پ ،۴۸پ، در برگ آغازین نسخه حرف الفبای فارسی و نام کتاب اول مجموعه نوشته شده است، در برگ ۶۸ر معرفی کتاب آینه جهان نمای، در برگ ۶۷پ یادداشت یادگاری پاک شده ای مورخ محرم ۱۲۷۳ق، ركابه  دار، جزوها 8برگی؛ مهر: «...  محمد حسین» (چهارگوش)؛ خریداری از هدایت ارشادی؛ کاغذ: نخودی آهار مهره، جلد: تیماج قهوه ای دو رو، ۲گ (۶۶-۶۷ر)،  ۱۷ سطر (۱۷/۵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اندازه: ۱۱/۶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۱۷/۹سم [ف:1/ 29- 11]</w:t>
      </w:r>
    </w:p>
    <w:p>
      <w:pPr>
        <w:pStyle w:val="BookText"/>
      </w:pPr>
      <w:r>
        <w:rPr>
          <w:rFonts w:ascii="IRNazanin" w:hAnsi="IRNazanin" w:eastAsia="IRNazanin" w:cs="IRNazanin"/>
          <w:lang w:bidi="fa-IR"/>
          <w:color w:val="111111"/>
          <w:sz w:val="28"/>
          <w:szCs w:val="28"/>
          <w:rtl/>
        </w:rPr>
        <w:t xml:space="preserve">۱۸۱. تهران؛ مجلس؛ شماره نسخه: ۹۴۶۶/۲۶۴</w:t>
      </w:r>
    </w:p>
    <w:p>
      <w:pPr>
        <w:pStyle w:val="BookText"/>
      </w:pPr>
      <w:r>
        <w:rPr>
          <w:rFonts w:ascii="IRNazanin" w:hAnsi="IRNazanin" w:eastAsia="IRNazanin" w:cs="IRNazanin"/>
          <w:lang w:bidi="fa-IR"/>
          <w:color w:val="111111"/>
          <w:sz w:val="28"/>
          <w:szCs w:val="28"/>
          <w:rtl/>
        </w:rPr>
        <w:t xml:space="preserve">قصیده نونیه در مدح؛ خط: نستعلیق، بی کا، تا: قرن ۱۱؛ ۱ص (۵۳۹ - - همان) [(مختصر: ف: - ۶۲۹]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۱۸۲. تهران؛ دانشگاه؛ شماره نسخه: ۳۶۱۴/۱۱-ف</w:t>
      </w:r>
    </w:p>
    <w:p>
      <w:pPr>
        <w:pStyle w:val="BookText"/>
      </w:pPr>
      <w:r>
        <w:rPr>
          <w:rFonts w:ascii="IRNazanin" w:hAnsi="IRNazanin" w:eastAsia="IRNazanin" w:cs="IRNazanin"/>
          <w:lang w:bidi="fa-IR"/>
          <w:color w:val="111111"/>
          <w:sz w:val="28"/>
          <w:szCs w:val="28"/>
          <w:rtl/>
        </w:rPr>
        <w:t xml:space="preserve">نسخه اصل: سنا ش ۱۴۷۷۸. رباعیات مهستی و امیر احمد و خطیب به نظم و نثر با دیباچه نثر؛ خط: شکسته نستعلیق، بی کا، قرن ۱۱؛ افتادگی: آغاز و انجام ؛جلد: تیماج تریاکی ترنـجی ضربی مقوایی ،قطع:ربعی [ فیلمها: ۲ - ۱۹۸]</w:t>
      </w:r>
    </w:p>
    <w:p>
      <w:pPr>
        <w:pStyle w:val="BookText"/>
      </w:pPr>
      <w:r>
        <w:rPr>
          <w:rFonts w:ascii="IRNazanin" w:hAnsi="IRNazanin" w:eastAsia="IRNazanin" w:cs="IRNazanin"/>
          <w:lang w:bidi="fa-IR"/>
          <w:color w:val="111111"/>
          <w:sz w:val="28"/>
          <w:szCs w:val="28"/>
          <w:rtl/>
        </w:rPr>
        <w:t xml:space="preserve">۱۸۳. تهران؛ دانشگاه؛ شماره نسخه: ۷۰۸۴/۱</w:t>
      </w:r>
    </w:p>
    <w:p>
      <w:pPr>
        <w:pStyle w:val="BookText"/>
      </w:pPr>
      <w:r>
        <w:rPr>
          <w:rFonts w:ascii="IRNazanin" w:hAnsi="IRNazanin" w:eastAsia="IRNazanin" w:cs="IRNazanin"/>
          <w:lang w:bidi="fa-IR"/>
          <w:color w:val="111111"/>
          <w:sz w:val="28"/>
          <w:szCs w:val="28"/>
          <w:rtl/>
        </w:rPr>
        <w:t xml:space="preserve">دو قصیده در ستایش علی نخستین با قافیه راء و سروده 844 و دومی با قافیه الف؛ خط: نستعلیق، بی کا، تا: قرن ۱۱؛ افتادگی: آغاز؛ کاغذ: سپاهانی، جلد: تیماج قهوه ای ترنجی  مقوایی، ۸گ (ار - ۹پ)، ۱۴ سطر (۶/۵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قطع: ربعی،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۱۹/۵سم [ف : ۱۶ - ۴۴۷]</w:t>
      </w:r>
    </w:p>
    <w:p>
      <w:pPr>
        <w:pStyle w:val="BookText"/>
      </w:pPr>
      <w:r>
        <w:rPr>
          <w:rFonts w:ascii="IRNazanin" w:hAnsi="IRNazanin" w:eastAsia="IRNazanin" w:cs="IRNazanin"/>
          <w:lang w:bidi="fa-IR"/>
          <w:color w:val="111111"/>
          <w:sz w:val="28"/>
          <w:szCs w:val="28"/>
          <w:rtl/>
        </w:rPr>
        <w:t xml:space="preserve">۱۸۴. تهران؛ مهدوی؛ شماره نسخه: ۲۸۴/۱۲</w:t>
      </w:r>
    </w:p>
    <w:p>
      <w:pPr>
        <w:pStyle w:val="BookText"/>
      </w:pPr>
      <w:r>
        <w:rPr>
          <w:rFonts w:ascii="IRNazanin" w:hAnsi="IRNazanin" w:eastAsia="IRNazanin" w:cs="IRNazanin"/>
          <w:lang w:bidi="fa-IR"/>
          <w:color w:val="111111"/>
          <w:sz w:val="28"/>
          <w:szCs w:val="28"/>
          <w:rtl/>
        </w:rPr>
        <w:t xml:space="preserve">غزل توحید است. یازده بیت ؛خط: نستعلیق، کا: زین العابدين بن علی رکن، تا: قرن ۱۱، به خواهش میرزا محمد مهدی؛ کا: سپاهانی [نشریه: ۲ - ۱۰۷]</w:t>
      </w:r>
    </w:p>
    <w:p>
      <w:pPr>
        <w:pStyle w:val="BookText"/>
      </w:pPr>
      <w:r>
        <w:rPr>
          <w:rFonts w:ascii="IRNazanin" w:hAnsi="IRNazanin" w:eastAsia="IRNazanin" w:cs="IRNazanin"/>
          <w:lang w:bidi="fa-IR"/>
          <w:color w:val="111111"/>
          <w:sz w:val="28"/>
          <w:szCs w:val="28"/>
          <w:rtl/>
        </w:rPr>
        <w:t xml:space="preserve">۱۸۵. تهران؛ مجلس؛ شماره نسخه: ۳۳۲۱/۳۸</w:t>
      </w:r>
    </w:p>
    <w:p>
      <w:pPr>
        <w:pStyle w:val="BookText"/>
      </w:pPr>
      <w:r>
        <w:rPr>
          <w:rFonts w:ascii="IRNazanin" w:hAnsi="IRNazanin" w:eastAsia="IRNazanin" w:cs="IRNazanin"/>
          <w:lang w:bidi="fa-IR"/>
          <w:color w:val="111111"/>
          <w:sz w:val="28"/>
          <w:szCs w:val="28"/>
          <w:rtl/>
        </w:rPr>
        <w:t xml:space="preserve">غزل است .نویسنده: کاتبی؛ بی کا، تا: قرن ۱۱؛ ۱ص (۵۱۳) [ف: 2/ 10- 995]</w:t>
      </w:r>
    </w:p>
    <w:p>
      <w:pPr>
        <w:pStyle w:val="BookText"/>
      </w:pPr>
      <w:r>
        <w:rPr>
          <w:rFonts w:ascii="IRNazanin" w:hAnsi="IRNazanin" w:eastAsia="IRNazanin" w:cs="IRNazanin"/>
          <w:lang w:bidi="fa-IR"/>
          <w:color w:val="111111"/>
          <w:sz w:val="28"/>
          <w:szCs w:val="28"/>
          <w:rtl/>
        </w:rPr>
        <w:t xml:space="preserve">۱۸۶. تهران؛ مجلس؛ شماره نسخه: ۳۴۵۵/۲۴۹</w:t>
      </w:r>
    </w:p>
    <w:p>
      <w:pPr>
        <w:pStyle w:val="BookText"/>
      </w:pPr>
      <w:r>
        <w:rPr>
          <w:rFonts w:ascii="IRNazanin" w:hAnsi="IRNazanin" w:eastAsia="IRNazanin" w:cs="IRNazanin"/>
          <w:lang w:bidi="fa-IR"/>
          <w:color w:val="111111"/>
          <w:sz w:val="28"/>
          <w:szCs w:val="28"/>
          <w:rtl/>
        </w:rPr>
        <w:t xml:space="preserve">غزلیات از شفیع ؛ بی کا، تا: قرن ۱۱ و ۱۲؛ ۱ ص (۳۵۵) [ ف : ۱۰/۳ - 1367]</w:t>
      </w:r>
    </w:p>
    <w:p>
      <w:pPr>
        <w:pStyle w:val="BookText"/>
      </w:pPr>
      <w:r>
        <w:rPr>
          <w:rFonts w:ascii="IRNazanin" w:hAnsi="IRNazanin" w:eastAsia="IRNazanin" w:cs="IRNazanin"/>
          <w:lang w:bidi="fa-IR"/>
          <w:color w:val="111111"/>
          <w:sz w:val="28"/>
          <w:szCs w:val="28"/>
          <w:rtl/>
        </w:rPr>
        <w:t xml:space="preserve">۱۸۷. تهران؛ مجلس؛ شماره نسخه: ۱۳۹۳۴/۵۳</w:t>
      </w:r>
    </w:p>
    <w:p>
      <w:pPr>
        <w:pStyle w:val="BookText"/>
      </w:pPr>
      <w:r>
        <w:rPr>
          <w:rFonts w:ascii="IRNazanin" w:hAnsi="IRNazanin" w:eastAsia="IRNazanin" w:cs="IRNazanin"/>
          <w:lang w:bidi="fa-IR"/>
          <w:color w:val="111111"/>
          <w:sz w:val="28"/>
          <w:szCs w:val="28"/>
          <w:rtl/>
        </w:rPr>
        <w:t xml:space="preserve">غزلیات و رباعیات از شعرای مختلف؛ خط: نستعلیق چلیپا، بی کا، تا: قرن ۱۱؛ ۲گ (۱۴۴ر - ۱۴۵پ) [ف: ۳۷ - ۵۲۴]</w:t>
      </w:r>
    </w:p>
    <w:p>
      <w:pPr>
        <w:pStyle w:val="BookText"/>
      </w:pPr>
      <w:r>
        <w:rPr>
          <w:rFonts w:ascii="IRNazanin" w:hAnsi="IRNazanin" w:eastAsia="IRNazanin" w:cs="IRNazanin"/>
          <w:lang w:bidi="fa-IR"/>
          <w:color w:val="111111"/>
          <w:sz w:val="28"/>
          <w:szCs w:val="28"/>
          <w:rtl/>
        </w:rPr>
        <w:t xml:space="preserve">۱۸۸. تهران؛ مجلس؛ شماره نسخه: ۱۴۴۰۳/۱</w:t>
      </w:r>
    </w:p>
    <w:p>
      <w:pPr>
        <w:pStyle w:val="BookText"/>
      </w:pPr>
      <w:r>
        <w:rPr>
          <w:rFonts w:ascii="IRNazanin" w:hAnsi="IRNazanin" w:eastAsia="IRNazanin" w:cs="IRNazanin"/>
          <w:lang w:bidi="fa-IR"/>
          <w:color w:val="111111"/>
          <w:sz w:val="28"/>
          <w:szCs w:val="28"/>
          <w:rtl/>
        </w:rPr>
        <w:t xml:space="preserve">قصیده ثنائی؛ خط: نسخ، بی کا، تا: قرن ۱۱؛۱ص (۱پ) [ف: 38- 539]</w:t>
      </w:r>
    </w:p>
    <w:p>
      <w:pPr>
        <w:pStyle w:val="BookText"/>
      </w:pPr>
      <w:r>
        <w:rPr>
          <w:rFonts w:ascii="IRNazanin" w:hAnsi="IRNazanin" w:eastAsia="IRNazanin" w:cs="IRNazanin"/>
          <w:lang w:bidi="fa-IR"/>
          <w:color w:val="111111"/>
          <w:sz w:val="28"/>
          <w:szCs w:val="28"/>
          <w:rtl/>
        </w:rPr>
        <w:t xml:space="preserve">۱۸۹. تهران؛ مفتاح؛ شماره نسخه: ۸۴۰</w:t>
      </w:r>
    </w:p>
    <w:p>
      <w:pPr>
        <w:pStyle w:val="BookText"/>
      </w:pPr>
      <w:r>
        <w:rPr>
          <w:rFonts w:ascii="IRNazanin" w:hAnsi="IRNazanin" w:eastAsia="IRNazanin" w:cs="IRNazanin"/>
          <w:lang w:bidi="fa-IR"/>
          <w:color w:val="111111"/>
          <w:sz w:val="28"/>
          <w:szCs w:val="28"/>
          <w:rtl/>
        </w:rPr>
        <w:t xml:space="preserve">رباعیات است. گویا از سلیم، به ترتیب تهجی است از الف تا یاء؛خط: نستعلیق چلیپا، بی کا، تا: قرن11؛ افتادگی: آغاز؛ قطع: بغـلی[ نشریه: ۷ - ۱۶۸]</w:t>
      </w:r>
    </w:p>
    <w:p>
      <w:pPr>
        <w:pStyle w:val="BookText"/>
      </w:pPr>
      <w:r>
        <w:rPr>
          <w:rFonts w:ascii="IRNazanin" w:hAnsi="IRNazanin" w:eastAsia="IRNazanin" w:cs="IRNazanin"/>
          <w:lang w:bidi="fa-IR"/>
          <w:color w:val="111111"/>
          <w:sz w:val="28"/>
          <w:szCs w:val="28"/>
          <w:rtl/>
        </w:rPr>
        <w:t xml:space="preserve">۱۹۰. تهران؛ نوربخش؛ شماره نسخه: ۸۶۸/۱</w:t>
      </w:r>
    </w:p>
    <w:p>
      <w:pPr>
        <w:pStyle w:val="BookText"/>
      </w:pPr>
      <w:r>
        <w:rPr>
          <w:rFonts w:ascii="IRNazanin" w:hAnsi="IRNazanin" w:eastAsia="IRNazanin" w:cs="IRNazanin"/>
          <w:lang w:bidi="fa-IR"/>
          <w:color w:val="111111"/>
          <w:sz w:val="28"/>
          <w:szCs w:val="28"/>
          <w:rtl/>
        </w:rPr>
        <w:t xml:space="preserve">آغاز: یاد باران که کنند از دل و جان یاری هم *** بار سر روند از پی غم هم؛</w:t>
      </w:r>
    </w:p>
    <w:p>
      <w:pPr>
        <w:pStyle w:val="BookText"/>
      </w:pPr>
      <w:r>
        <w:rPr>
          <w:rFonts w:ascii="IRNazanin" w:hAnsi="IRNazanin" w:eastAsia="IRNazanin" w:cs="IRNazanin"/>
          <w:lang w:bidi="fa-IR"/>
          <w:color w:val="111111"/>
          <w:sz w:val="28"/>
          <w:szCs w:val="28"/>
          <w:rtl/>
        </w:rPr>
        <w:t xml:space="preserve">دو غزل است؛ خط ،شکسته ،کا: رضا قلی هدایت، تا: کاغذ: اصفهانی آبی و زرد ،جلد: تیماج قهوه ای با ترنج ونیم ترنج گل و بوته دار و آب طلائی، قطع: نیم  خشتی،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۲۳/۵سم [ نشریه: ۱۳ – ۲۴۱]</w:t>
      </w:r>
    </w:p>
    <w:p>
      <w:pPr>
        <w:pStyle w:val="BookText"/>
      </w:pPr>
      <w:r>
        <w:rPr>
          <w:rFonts w:ascii="IRNazanin" w:hAnsi="IRNazanin" w:eastAsia="IRNazanin" w:cs="IRNazanin"/>
          <w:lang w:bidi="fa-IR"/>
          <w:color w:val="111111"/>
          <w:sz w:val="28"/>
          <w:szCs w:val="28"/>
          <w:rtl/>
        </w:rPr>
        <w:t xml:space="preserve">۱۹۱. تهران؛ دانشگاه؛ شماره نسخه: ۷۰۹۰/۱۱</w:t>
      </w:r>
    </w:p>
    <w:p>
      <w:pPr>
        <w:pStyle w:val="BookText"/>
      </w:pPr>
      <w:r>
        <w:rPr>
          <w:rFonts w:ascii="IRNazanin" w:hAnsi="IRNazanin" w:eastAsia="IRNazanin" w:cs="IRNazanin"/>
          <w:lang w:bidi="fa-IR"/>
          <w:color w:val="111111"/>
          <w:sz w:val="28"/>
          <w:szCs w:val="28"/>
          <w:rtl/>
        </w:rPr>
        <w:t xml:space="preserve">شعرهای عبدالواسع جبلی، خسرو دهلوی، عماد شهریاری، نظامـی، ابوالفرج، اسدی و دیگران؛ سپس یک خبر است از صادق(علیه السّلام) (۵۷ر)؛ خط: نستعلیق، بی کا، تا: قرن ۱۱ ؛کاغذ: سپاهانی و فرنگـی، جلد: تیماج تریاکی لایی، ۱گ (۵۶ ر و پ)، قطع: ربعی،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۱۶ - ۴۵۱]</w:t>
      </w:r>
    </w:p>
    <w:p>
      <w:pPr>
        <w:pStyle w:val="BookText"/>
      </w:pPr>
      <w:r>
        <w:rPr>
          <w:rFonts w:ascii="IRNazanin" w:hAnsi="IRNazanin" w:eastAsia="IRNazanin" w:cs="IRNazanin"/>
          <w:lang w:bidi="fa-IR"/>
          <w:color w:val="111111"/>
          <w:sz w:val="28"/>
          <w:szCs w:val="28"/>
          <w:rtl/>
        </w:rPr>
        <w:t xml:space="preserve">۱۹۲. تهران؛ مجلس؛ شماره نسخه: ۱۱۲۲/۱۴</w:t>
      </w:r>
    </w:p>
    <w:p>
      <w:pPr>
        <w:pStyle w:val="BookText"/>
      </w:pPr>
      <w:r>
        <w:rPr>
          <w:rFonts w:ascii="IRNazanin" w:hAnsi="IRNazanin" w:eastAsia="IRNazanin" w:cs="IRNazanin"/>
          <w:lang w:bidi="fa-IR"/>
          <w:color w:val="111111"/>
          <w:sz w:val="28"/>
          <w:szCs w:val="28"/>
          <w:rtl/>
        </w:rPr>
        <w:t xml:space="preserve">قطعات و رباعیات و برگزیده هایی از غزلیات و مثنویات است از این گویندگان: قدسی ،شریف، محمد قلی سلیم، میر ابوالحسن، قاضی  نور ،عرفی، طالب ،ضمیری، رشکی  همدانی، ابوتراب  بیگ، محمود  بیک ،همایون، حیدر کلوج (قصیده ای دارد در پاسخ قصیده( بهاریه سعدی با همان قافیه) يعقوب، مؤمن ميرزا، امیر خسرو ،هلالی، عبدالصمد، ملانویدی، سایری، حیدر، ،بیقیدی، بنائی، میرزا رمزی ،نوری ،بدخشی، آتشی، جامی، کمال، سلطان حسین میرزا ،همایون ،انوری ،حافظ، اهلی، یاری کاتب ،عزتی ،ملک ،خواجه ،عماد ،پارکی،آصفی، همام، کاتبی، ،طلوعی ،شوریده ،یمینی ،وصفی ،حسام، کهر، ساغری، جلالی، امینی ،شهیدی ،هجری ،نزاری ،هجری، کریمی ،طوسی، خالی، عبدی ،خسرو ،ضیائی ،کامی ،جلال ،نالی، خلقی، بدیعی، حسن ،حیرتی ،نثاری ،صابری ،شاهی ،بیانی ،طوطی، دهکی، طالب ،سابری ،طاهری ،قابلی ،راهی ،آگهی، غزالی ،نویدی ،نهالی پاکی ،فخری، کمال  خجند ،طایری، عصمت ،بصیری ،حامی ،فریدون ،ریاضی ،بیکسی ،سیفی ،محنتی، قانعی، سید، آذری، ،دیوانه ،هلاکی ،آهی ،اسیری ،غیاث، سلیمی، لطفی، عزلتی ،پیامی ،فیضی میر صبوری ،امینا، انیسی شاملو (محمود و ایاز) نوعی، محمد قلی سلیم (مثنوی وصف لاهیجان و قضا و قدر)، لوائى (مثنوی داستان عرب  بدوی)، زلالی (مثنوی)، وحشی (بخشی از مثنوی خلدبرین)؛ بی کا، تا: قرن ۱۱؛ کاغذ: شکری  نازک آمار مهره ،جلد: تیماج قهوه ای با ترنج و نیم ترنج، ۱۰۷ص  (۱۷۹-۷۳) [ف: ۳ - ۵۶۸]</w:t>
      </w:r>
    </w:p>
    <w:p>
      <w:pPr>
        <w:pStyle w:val="BookText"/>
      </w:pPr>
      <w:r>
        <w:rPr>
          <w:rFonts w:ascii="IRNazanin" w:hAnsi="IRNazanin" w:eastAsia="IRNazanin" w:cs="IRNazanin"/>
          <w:lang w:bidi="fa-IR"/>
          <w:color w:val="111111"/>
          <w:sz w:val="28"/>
          <w:szCs w:val="28"/>
          <w:rtl/>
        </w:rPr>
        <w:t xml:space="preserve">۱۹۳. تهران؛ مجلس؛ شماره :نسخه ۹۰۱/۱۲- طباطبائی</w:t>
      </w:r>
    </w:p>
    <w:p>
      <w:pPr>
        <w:pStyle w:val="BookText"/>
      </w:pPr>
      <w:r>
        <w:rPr>
          <w:rFonts w:ascii="IRNazanin" w:hAnsi="IRNazanin" w:eastAsia="IRNazanin" w:cs="IRNazanin"/>
          <w:lang w:bidi="fa-IR"/>
          <w:color w:val="111111"/>
          <w:sz w:val="28"/>
          <w:szCs w:val="28"/>
          <w:rtl/>
        </w:rPr>
        <w:t xml:space="preserve">اشعاری از: نواب خاقان خلد  آشیان، میرزا صائب، مهری، وحید الزمان و قدسی؛ خط: نستعلیق  خوب، بی کا، تا: قرن ۱۱؛ کاغذ ،اصفهانی، جلد: تیماج قهوه ای با ترنج و نیم ترنج، گ ۱۰۰، قطع ،وزیری،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 سم [ف : ۲۳ - ۲۰۲]</w:t>
      </w:r>
    </w:p>
    <w:p>
      <w:pPr>
        <w:pStyle w:val="BookText"/>
      </w:pPr>
      <w:r>
        <w:rPr>
          <w:rFonts w:ascii="IRNazanin" w:hAnsi="IRNazanin" w:eastAsia="IRNazanin" w:cs="IRNazanin"/>
          <w:lang w:bidi="fa-IR"/>
          <w:color w:val="111111"/>
          <w:sz w:val="28"/>
          <w:szCs w:val="28"/>
          <w:rtl/>
        </w:rPr>
        <w:t xml:space="preserve">۱۹۴ تهران؛ مجلس؛ شماره نسخه: ۵۱۱/۴ طباطبائی</w:t>
      </w:r>
    </w:p>
    <w:p>
      <w:pPr>
        <w:pStyle w:val="BookText"/>
      </w:pPr>
      <w:r>
        <w:rPr>
          <w:rFonts w:ascii="IRNazanin" w:hAnsi="IRNazanin" w:eastAsia="IRNazanin" w:cs="IRNazanin"/>
          <w:lang w:bidi="fa-IR"/>
          <w:color w:val="111111"/>
          <w:sz w:val="28"/>
          <w:szCs w:val="28"/>
          <w:rtl/>
        </w:rPr>
        <w:t xml:space="preserve">قطعات و رباعیات و چند فرد است از: مسیحا متخلص به ناطق،  شیوا، مجنون عامری، شیخ علی نقی (یا) نقی و میر قیامت؛ بی کا، تا: ۱۰۸۵ یا ۱۰۶۵؛ کاغذ: اصفهانی آهار مهره نخودی رنگ، جلد: تیماج قهوه ای رنگ، 1گ (۳۶پ- ۳۷ر)، ۲۱ سطر، قطع: خشتی،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۲۲ – ۲۰۹]</w:t>
      </w:r>
    </w:p>
    <w:p>
      <w:pPr>
        <w:pStyle w:val="BookText"/>
      </w:pPr>
      <w:r>
        <w:rPr>
          <w:rFonts w:ascii="IRNazanin" w:hAnsi="IRNazanin" w:eastAsia="IRNazanin" w:cs="IRNazanin"/>
          <w:lang w:bidi="fa-IR"/>
          <w:color w:val="111111"/>
          <w:sz w:val="28"/>
          <w:szCs w:val="28"/>
          <w:rtl/>
        </w:rPr>
        <w:t xml:space="preserve">۱۹۵. تهران؛ مجلس؛ شماره نسخه: ۹۰۰۴/۲۶</w:t>
      </w:r>
    </w:p>
    <w:p>
      <w:pPr>
        <w:pStyle w:val="BookText"/>
      </w:pPr>
      <w:r>
        <w:rPr>
          <w:rFonts w:ascii="Amiri" w:hAnsi="Amiri" w:eastAsia="Amiri" w:cs="Amiri"/>
          <w:lang w:bidi="ar-SA"/>
          <w:color w:val="111111"/>
          <w:sz w:val="28"/>
          <w:szCs w:val="28"/>
          <w:rtl/>
        </w:rPr>
        <w:t xml:space="preserve">آغاز: الحمد لله الذى انزل القرآن كلاماً مولفاً منظماً و نزله بحسب المصالح منجما و جعله بالتحميد مفتحاً؛ انجام: و ان كان مضجعه بمكة كان له نورا يتلالأ من مضجعه الى البيت المعمور حشو ذلك النور مليئكة تصلون عليه حتى يستيقظ.</w:t>
      </w:r>
    </w:p>
    <w:p>
      <w:pPr>
        <w:pStyle w:val="BookText"/>
      </w:pPr>
      <w:r>
        <w:rPr>
          <w:rFonts w:ascii="IRNazanin" w:hAnsi="IRNazanin" w:eastAsia="IRNazanin" w:cs="IRNazanin"/>
          <w:lang w:bidi="fa-IR"/>
          <w:color w:val="111111"/>
          <w:sz w:val="28"/>
          <w:szCs w:val="28"/>
          <w:rtl/>
        </w:rPr>
        <w:t xml:space="preserve">با سروده هایی از: آرزوی ،شیخ خواجه آصفی، میرزا ابراهیم، ابن  طغرل، ابن یمین، امیر ابوالحسن  تفرشی، شیخ ابوالحسن خرقانی، ابوالقاسم کازرونی، میر  ابوالقاسم، ابوتراب مشهدی، ابوسعید ابوالخیر، ابوطالب تبریزی، اثیرالدین اخسیکتی، اثیرالدین اومانی،
</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ادیب صابر ،ازرقی، خواجه افضل الدین  ترکه، امامی هروی ،امیدی، امیر خسرو دهلوی، امیر علیشیر، انوری، انیسی تبریزی ،انیسی ،درویش، شیخ اوحدالدین، شیخ اوحدالدین کرمانی، اوحدی، بابا فغانی، میرزا ،باقر داماد، بایزید بسطامی ،بنایی، شـیخ بهاء الدين محمد سلمه الله، میرزا تراب، تیمور علی منشی فراهـی، جعقر قزوینی، جلال عضد، سید جمال الدین حسینی، جمال الدین عبدالرزاق ،جنابادی، حافظ کمال، حافظ شیرازی ،حالتی، میرزاحسابی، خواجه حسن، خواجه حسن دهلوی، حسن غزنوی، حـسن لنكر کنافی ،حکیمی ،مولانا حمد الله، حیدر كلوج، حيرتی قزوینی، خاقانی، مولانا خضری، خواجوی کرمانی، خیالی گیلانی ،خیوقی، داوری عندی، رشید  وطواط، رضی الدین خوشاب سمرقندی، رضی الدین نیشابوری ،رکنا، حکیم، رکن الدین مکرانی، رکن صاسن ،رودکی ،ریاضی، زاری شیرازی، زلالی خنساری، شیخ زین الدین خوافی، ساحری، ساکی سمرقندی، سراج الدین علی خوافی ،سعدی ،سلمان، سلمان ساوجی، سنایی، شانی تکلو، شاه شجاع  کرمانی، شاهکی اصفهانی، شرف الدین شفروه، میرشعوری، شفایی، استاد شمـس الدین طبسی ،صیرفی، ضمیری اصفهانی، ضیاء الدین فارسی، طالعی، مولانا طوفی، طوقی تبریزی، ظهیر فاریابی، علیشاه سمرقندی، عبدالرحمن جامی -خواجه عبدالرزاق، میر عبدالـغنی قرشی، خواجه عبدالله انصاری، عبدالواسع جیلی، عثمان مختاری ،عراقی، عرشی، عرشی، طهماسب قلی  بیگ، عرفی شیرازی، عزالدین شیروانی ،خواجه عصمت ،عطار، على بافقی، شرف الدين، على نقی، علی شیخ نقی، عمادی شهریاری، عمعق بخاری، عنصری، غازی قلندر ،میرزا غازی، سید حسین غزنوی، غروروانی، امیر سید محمد، فارغی تبریزی، فخرالدین خالد ،فردوسی، فصیحی انصاری سلمه الله، فلکی شیروانی، فیضی آگـره، فیضی، قاضی نور ،قطران، قلبایا کاکتاش ،کاتبی، کسری کاشـی، کفری تبریزی، کمال اسمعیل، کمال خندجی ،کوکبی، لسانی ،مافی، مجدالدین عامری ،مجیر السلطان ،مجیر بیلقانی، محـبی ،محرمی، محسن میر پادشاه ،مولانا، امیر سید محمد جامه باق، محمد صوفی، محمد طاهر بسطامی، مولانا محمد عصار، محمدعلی شفایی، محمد مومن ترکمان، سید محمد نجفی،محمود بیـگ سالم، محمود كاتب، مولانا حاجی، محنتی، مسعود بیگ رتكمان، مسعود سعد سلمان، میر معزی، میر معصوم بکری، ملک معرف اصفهانی، منصور حلاج ،منعمی، مولوی، میرزا میلی، نادری هروی، ناصر خسرو، نثاری، نجیب الدین جربادقانی، سید نسیمی، نظام استرابادی ،نظامی، نظیری نیشابوری، نواب امیر الامرا، نواب کامیاب، نیازی قزوینی، مولانا نیکی، میرزا والهى قمى، وحشـی، وفایی شیرازی ،میرهاشم، هاشمی، هجری سمرقندی، میرزا هجری ،هما تبریزی، همایون پادشاه، یلقی بیگ انیسی؛ خـط: نستعلیق، بی کا، تا: قرن ۱۱ ؛کاغذ: نخودی آهار مهر ،جلد: میشن قهوه ای ضربی با ترنج و سرترنج، ۸گ (۲۵۱ ر - ۲۵۸پ)، چلیپا و  معمولی ابعاد متن : 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 اندازه: ۱۳/۲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۲۳/۱سم [ف: ۲۹/۲ - ۶۰۲]</w:t>
      </w:r>
    </w:p>
    <w:p>
      <w:pPr>
        <w:pStyle w:val="BookText"/>
      </w:pPr>
      <w:r>
        <w:rPr>
          <w:rFonts w:ascii="IRNazanin" w:hAnsi="IRNazanin" w:eastAsia="IRNazanin" w:cs="IRNazanin"/>
          <w:lang w:bidi="fa-IR"/>
          <w:color w:val="111111"/>
          <w:sz w:val="28"/>
          <w:szCs w:val="28"/>
          <w:rtl/>
        </w:rPr>
        <w:t xml:space="preserve">۱۹۶. تهران؛ مجلس؛ شماره نسخه: ۹۴۶۶/۱۰۸</w:t>
      </w:r>
    </w:p>
    <w:p>
      <w:pPr>
        <w:pStyle w:val="BookText"/>
      </w:pPr>
      <w:r>
        <w:rPr>
          <w:rFonts w:ascii="IRNazanin" w:hAnsi="IRNazanin" w:eastAsia="IRNazanin" w:cs="IRNazanin"/>
          <w:lang w:bidi="fa-IR"/>
          <w:color w:val="111111"/>
          <w:sz w:val="28"/>
          <w:szCs w:val="28"/>
          <w:rtl/>
        </w:rPr>
        <w:t xml:space="preserve">خط: نستعلیق، کا: مسیح بن خضر طبيب لاهیجی، تا: قرن ۱۱؛ اص (۲۳۴) [مختصر: ف: - ۶۱]</w:t>
      </w:r>
    </w:p>
    <w:p>
      <w:pPr>
        <w:pStyle w:val="BookText"/>
      </w:pPr>
      <w:r>
        <w:rPr>
          <w:rFonts w:ascii="IRNazanin" w:hAnsi="IRNazanin" w:eastAsia="IRNazanin" w:cs="IRNazanin"/>
          <w:lang w:bidi="fa-IR"/>
          <w:color w:val="111111"/>
          <w:sz w:val="28"/>
          <w:szCs w:val="28"/>
          <w:rtl/>
        </w:rPr>
        <w:t xml:space="preserve">۱۹۷. تهران؛ مجلس؛ شماره نسخه: ۹۴۶۶/۱۶</w:t>
      </w:r>
    </w:p>
    <w:p>
      <w:pPr>
        <w:pStyle w:val="BookText"/>
      </w:pPr>
      <w:r>
        <w:rPr>
          <w:rFonts w:ascii="IRNazanin" w:hAnsi="IRNazanin" w:eastAsia="IRNazanin" w:cs="IRNazanin"/>
          <w:lang w:bidi="fa-IR"/>
          <w:color w:val="111111"/>
          <w:sz w:val="28"/>
          <w:szCs w:val="28"/>
          <w:rtl/>
        </w:rPr>
        <w:t xml:space="preserve">از جمله: حاتم کاشی ،رکنای مسیح، عرفی؛ خط: نستعلیق، بی کا، تا: قرن ۱۱ ؛۲ ص (۳۱-۳۲) [مختصر: ف: - ۶۱]</w:t>
      </w:r>
    </w:p>
    <w:p>
      <w:pPr>
        <w:pStyle w:val="BookText"/>
      </w:pPr>
      <w:r>
        <w:rPr>
          <w:rFonts w:ascii="IRNazanin" w:hAnsi="IRNazanin" w:eastAsia="IRNazanin" w:cs="IRNazanin"/>
          <w:lang w:bidi="fa-IR"/>
          <w:color w:val="111111"/>
          <w:sz w:val="28"/>
          <w:szCs w:val="28"/>
          <w:rtl/>
        </w:rPr>
        <w:t xml:space="preserve">۱۹۸. تهران؛ مجلس؛ شماره نسخه: ۹۴۶۶/۳۲</w:t>
      </w:r>
    </w:p>
    <w:p>
      <w:pPr>
        <w:pStyle w:val="BookText"/>
      </w:pPr>
      <w:r>
        <w:rPr>
          <w:rFonts w:ascii="IRNazanin" w:hAnsi="IRNazanin" w:eastAsia="IRNazanin" w:cs="IRNazanin"/>
          <w:lang w:bidi="fa-IR"/>
          <w:color w:val="111111"/>
          <w:sz w:val="28"/>
          <w:szCs w:val="28"/>
          <w:rtl/>
        </w:rPr>
        <w:t xml:space="preserve">اشعاری از میرزا محمد جعفر مشهور به آصف خان ،درکی، عبدالله همدانی، میرزا محمد شریف؛ خط: نستعلیق، بی کا، تا: قرن۱۱[ مختصر: ف: - ۶۲]</w:t>
      </w:r>
    </w:p>
    <w:p>
      <w:pPr>
        <w:pStyle w:val="BookText"/>
      </w:pPr>
      <w:r>
        <w:rPr>
          <w:rFonts w:ascii="IRNazanin" w:hAnsi="IRNazanin" w:eastAsia="IRNazanin" w:cs="IRNazanin"/>
          <w:lang w:bidi="fa-IR"/>
          <w:color w:val="111111"/>
          <w:sz w:val="28"/>
          <w:szCs w:val="28"/>
          <w:rtl/>
        </w:rPr>
        <w:t xml:space="preserve">۱۹۹. تهران؛ مجلس؛ شماره نسخه: ۹۰۸۷/۴</w:t>
      </w:r>
    </w:p>
    <w:p>
      <w:pPr>
        <w:pStyle w:val="BookText"/>
      </w:pPr>
      <w:r>
        <w:rPr>
          <w:rFonts w:ascii="IRNazanin" w:hAnsi="IRNazanin" w:eastAsia="IRNazanin" w:cs="IRNazanin"/>
          <w:lang w:bidi="fa-IR"/>
          <w:color w:val="111111"/>
          <w:sz w:val="28"/>
          <w:szCs w:val="28"/>
          <w:rtl/>
        </w:rPr>
        <w:t xml:space="preserve">از مولانا نظیری، صیرفی  قمی، مولانا ظهوری، نواب سلطانعلی بیگ سلمه الله؛ بی کا، تا: با تاریخ قرن ۱۱؛ کاغذ: الوان آهار مهره، جلد: تیماج قهوه ای با ترنج و سرترنج و چهار لچکی، اص (۱۱ر)، اندازه: ۱۵/۱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۲۸/۴سم [ف: ۲۹/۲ - ۷۳۰]</w:t>
      </w:r>
    </w:p>
    <w:p>
      <w:pPr>
        <w:pStyle w:val="BookText"/>
      </w:pPr>
      <w:r>
        <w:rPr>
          <w:rFonts w:ascii="IRNazanin" w:hAnsi="IRNazanin" w:eastAsia="IRNazanin" w:cs="IRNazanin"/>
          <w:lang w:bidi="fa-IR"/>
          <w:color w:val="111111"/>
          <w:sz w:val="28"/>
          <w:szCs w:val="28"/>
          <w:rtl/>
        </w:rPr>
        <w:t xml:space="preserve">۲۰۰ . تهران؛ مجلس؛ شماره نسخه: ۹۰۸۷/۱۶</w:t>
      </w:r>
    </w:p>
    <w:p>
      <w:pPr>
        <w:pStyle w:val="BookText"/>
      </w:pPr>
      <w:r>
        <w:rPr>
          <w:rFonts w:ascii="IRNazanin" w:hAnsi="IRNazanin" w:eastAsia="IRNazanin" w:cs="IRNazanin"/>
          <w:lang w:bidi="fa-IR"/>
          <w:color w:val="111111"/>
          <w:sz w:val="28"/>
          <w:szCs w:val="28"/>
          <w:rtl/>
        </w:rPr>
        <w:t xml:space="preserve">خط: نسخ کهن معرب، بی کا، تا: با تاریخ قرن ۱۱؛ از میان شاعران این بخش تنها نام شهاب الدین ادیب صابر نوشته شده است؛ کاغذ: الوان آهار مهره، جلد: تیماج قهوه ای با ترنج و سرترنج، 7گ (۳۳ر-۴۰ر) اندازه: ۱۵/۱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۲۸/۴سم [ف: ۲۹/۲ - ۷۳۱]</w:t>
      </w:r>
    </w:p>
    <w:p>
      <w:pPr>
        <w:pStyle w:val="BookText"/>
      </w:pPr>
      <w:r>
        <w:rPr>
          <w:rFonts w:ascii="IRNazanin" w:hAnsi="IRNazanin" w:eastAsia="IRNazanin" w:cs="IRNazanin"/>
          <w:lang w:bidi="fa-IR"/>
          <w:color w:val="111111"/>
          <w:sz w:val="28"/>
          <w:szCs w:val="28"/>
          <w:rtl/>
        </w:rPr>
        <w:t xml:space="preserve">٢٠١. تهران؛ مجلس؛ شماره نسخه: ۹۴۶۶/۲۱۶</w:t>
      </w:r>
    </w:p>
    <w:p>
      <w:pPr>
        <w:pStyle w:val="BookText"/>
      </w:pPr>
      <w:r>
        <w:rPr>
          <w:rFonts w:ascii="IRNazanin" w:hAnsi="IRNazanin" w:eastAsia="IRNazanin" w:cs="IRNazanin"/>
          <w:lang w:bidi="fa-IR"/>
          <w:color w:val="111111"/>
          <w:sz w:val="28"/>
          <w:szCs w:val="28"/>
          <w:rtl/>
        </w:rPr>
        <w:t xml:space="preserve">از اسماعیل بیک انسی، ملا حیدر خصالی، مرادی یزدی، قائمی مازندرانی، محمد زمان مجرم، مولانا ضیاء الدین کاشی، ابوسعید ابوالخیر، عرفی شیرازی ؛خط: نستعلیق، بی کا، تا: قرن ۱۱، ۳ص (۴۷۱-۴۷۰-۴۶۸) [مختصر: ف: - ۶۲]</w:t>
      </w:r>
    </w:p>
    <w:p>
      <w:pPr>
        <w:pStyle w:val="BookText"/>
      </w:pPr>
      <w:r>
        <w:rPr>
          <w:rFonts w:ascii="IRNazanin" w:hAnsi="IRNazanin" w:eastAsia="IRNazanin" w:cs="IRNazanin"/>
          <w:lang w:bidi="fa-IR"/>
          <w:color w:val="111111"/>
          <w:sz w:val="28"/>
          <w:szCs w:val="28"/>
          <w:rtl/>
        </w:rPr>
        <w:t xml:space="preserve">۲۰۲. تهران؛ مجلس؛ شماره نسخه: ۹۴۶۶/۲۳۱</w:t>
      </w:r>
    </w:p>
    <w:p>
      <w:pPr>
        <w:pStyle w:val="BookText"/>
      </w:pPr>
      <w:r>
        <w:rPr>
          <w:rFonts w:ascii="IRNazanin" w:hAnsi="IRNazanin" w:eastAsia="IRNazanin" w:cs="IRNazanin"/>
          <w:lang w:bidi="fa-IR"/>
          <w:color w:val="111111"/>
          <w:sz w:val="28"/>
          <w:szCs w:val="28"/>
          <w:rtl/>
        </w:rPr>
        <w:t xml:space="preserve">حلوائی ،ملهمی، خاقانی؛ خط: نستعلیق، کا: نظر علی بن اسماعيل رایزی به خواهش شیخ الاسلام نظاما عليا، تا: قرن ۱۱؛ ۳ص (۴۸۸- (۴۹۱) [مختصر: ف: - ۶۳]</w:t>
      </w:r>
    </w:p>
    <w:p>
      <w:pPr>
        <w:pStyle w:val="BookText"/>
      </w:pPr>
      <w:r>
        <w:rPr>
          <w:rFonts w:ascii="IRNazanin" w:hAnsi="IRNazanin" w:eastAsia="IRNazanin" w:cs="IRNazanin"/>
          <w:lang w:bidi="fa-IR"/>
          <w:color w:val="111111"/>
          <w:sz w:val="28"/>
          <w:szCs w:val="28"/>
          <w:rtl/>
        </w:rPr>
        <w:t xml:space="preserve">۲۰۳. تهران؛ مجلس؛ شماره نسخه: ۹۴۶۶/۲۲۴</w:t>
      </w:r>
    </w:p>
    <w:p>
      <w:pPr>
        <w:pStyle w:val="BookText"/>
      </w:pPr>
      <w:r>
        <w:rPr>
          <w:rFonts w:ascii="IRNazanin" w:hAnsi="IRNazanin" w:eastAsia="IRNazanin" w:cs="IRNazanin"/>
          <w:lang w:bidi="fa-IR"/>
          <w:color w:val="111111"/>
          <w:sz w:val="28"/>
          <w:szCs w:val="28"/>
          <w:rtl/>
        </w:rPr>
        <w:t xml:space="preserve">از عرفی، امتی تربتی خراسانی؛ خط: نستعلیق، بی کا، تا: قرن ۱۱؛ ۲ ص (۴۸۰-۴۸۱) [مختصر: ف: - ۶۳]</w:t>
      </w:r>
    </w:p>
    <w:p>
      <w:pPr>
        <w:pStyle w:val="BookText"/>
      </w:pPr>
      <w:r>
        <w:rPr>
          <w:rFonts w:ascii="IRNazanin" w:hAnsi="IRNazanin" w:eastAsia="IRNazanin" w:cs="IRNazanin"/>
          <w:lang w:bidi="fa-IR"/>
          <w:color w:val="111111"/>
          <w:sz w:val="28"/>
          <w:szCs w:val="28"/>
          <w:rtl/>
        </w:rPr>
        <w:t xml:space="preserve">۲۰۴. تهران؛ مجلس؛ شماره نسخه: ۱۰۲۴۷/۲</w:t>
      </w:r>
    </w:p>
    <w:p>
      <w:pPr>
        <w:pStyle w:val="BookText"/>
      </w:pPr>
      <w:r>
        <w:rPr>
          <w:rFonts w:ascii="IRNazanin" w:hAnsi="IRNazanin" w:eastAsia="IRNazanin" w:cs="IRNazanin"/>
          <w:lang w:bidi="fa-IR"/>
          <w:color w:val="111111"/>
          <w:sz w:val="28"/>
          <w:szCs w:val="28"/>
          <w:rtl/>
        </w:rPr>
        <w:t xml:space="preserve">از: عقلا، ميرزا نعمة الله، ميرزا صادق، ميرزا ابراهیم ادهم؛ خط: نستعلیق، بی کا، تا: قرن ۱۱ [مختصر: ف: - ۶۳]</w:t>
      </w:r>
    </w:p>
    <w:p>
      <w:pPr>
        <w:pStyle w:val="BookText"/>
      </w:pPr>
      <w:r>
        <w:rPr>
          <w:rFonts w:ascii="IRNazanin" w:hAnsi="IRNazanin" w:eastAsia="IRNazanin" w:cs="IRNazanin"/>
          <w:lang w:bidi="fa-IR"/>
          <w:color w:val="111111"/>
          <w:sz w:val="28"/>
          <w:szCs w:val="28"/>
          <w:rtl/>
        </w:rPr>
        <w:t xml:space="preserve">۲۰۵. تهران؛ مجلس؛ شماره نسخه: ۹۴۶۶/۲۸۹</w:t>
      </w:r>
    </w:p>
    <w:p>
      <w:pPr>
        <w:pStyle w:val="BookText"/>
      </w:pPr>
      <w:r>
        <w:rPr>
          <w:rFonts w:ascii="IRNazanin" w:hAnsi="IRNazanin" w:eastAsia="IRNazanin" w:cs="IRNazanin"/>
          <w:lang w:bidi="fa-IR"/>
          <w:color w:val="111111"/>
          <w:sz w:val="28"/>
          <w:szCs w:val="28"/>
          <w:rtl/>
        </w:rPr>
        <w:t xml:space="preserve">از محمد طالب آملی، حکیم مختاری، زکی همدانی؛ خط: نستعلیق، بی کا، تا: قرن ۱۱، ۱ص (۵۶۸ - همان) [مختصر: ف: ۶۳]</w:t>
      </w:r>
    </w:p>
    <w:p>
      <w:pPr>
        <w:pStyle w:val="BookText"/>
      </w:pPr>
      <w:r>
        <w:rPr>
          <w:rFonts w:ascii="IRNazanin" w:hAnsi="IRNazanin" w:eastAsia="IRNazanin" w:cs="IRNazanin"/>
          <w:lang w:bidi="fa-IR"/>
          <w:color w:val="111111"/>
          <w:sz w:val="28"/>
          <w:szCs w:val="28"/>
          <w:rtl/>
        </w:rPr>
        <w:t xml:space="preserve">۲۰۶ تهران؛ مجلس؛ شماره نسخه: ۹۴۶۶/۲۰۲</w:t>
      </w:r>
    </w:p>
    <w:p>
      <w:pPr>
        <w:pStyle w:val="BookText"/>
      </w:pPr>
      <w:r>
        <w:rPr>
          <w:rFonts w:ascii="IRNazanin" w:hAnsi="IRNazanin" w:eastAsia="IRNazanin" w:cs="IRNazanin"/>
          <w:lang w:bidi="fa-IR"/>
          <w:color w:val="111111"/>
          <w:sz w:val="28"/>
          <w:szCs w:val="28"/>
          <w:rtl/>
        </w:rPr>
        <w:t xml:space="preserve">ار: ملا محمد صوفی، سید حسن غزنوی، مولوی، ملا کابی، غنی ؛خط: نستعلیق، کا: محمود  فطنت، تا: قرن ۱۱؛ ۲ ص (۴۲۴-۴۲۵)  [مختصر: ف: - ۶۳]
</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۲۰۷. تهران؛ مجلس؛ شماره نسخه: ۹۴۶۶/۱۵۶</w:t>
      </w:r>
    </w:p>
    <w:p>
      <w:pPr>
        <w:pStyle w:val="BookText"/>
      </w:pPr>
      <w:r>
        <w:rPr>
          <w:rFonts w:ascii="IRNazanin" w:hAnsi="IRNazanin" w:eastAsia="IRNazanin" w:cs="IRNazanin"/>
          <w:lang w:bidi="fa-IR"/>
          <w:color w:val="111111"/>
          <w:sz w:val="28"/>
          <w:szCs w:val="28"/>
          <w:rtl/>
        </w:rPr>
        <w:t xml:space="preserve">از مولانا بیاضی ،استر آبادی، ولی دشت بیاضی؛ خط: نستعلیق، بی کا، تا:قرن ۱۱، ۲ ص (۳۳۵-۳۳۷) [مختصر: ف: - ۶۳]</w:t>
      </w:r>
    </w:p>
    <w:p>
      <w:pPr>
        <w:pStyle w:val="BookText"/>
      </w:pPr>
      <w:r>
        <w:rPr>
          <w:rFonts w:ascii="IRNazanin" w:hAnsi="IRNazanin" w:eastAsia="IRNazanin" w:cs="IRNazanin"/>
          <w:lang w:bidi="fa-IR"/>
          <w:color w:val="111111"/>
          <w:sz w:val="28"/>
          <w:szCs w:val="28"/>
          <w:rtl/>
        </w:rPr>
        <w:t xml:space="preserve">۲۰۸. تهران؛ مجلس؛ شماره نسخه: ۹۰۸۷/۱</w:t>
      </w:r>
    </w:p>
    <w:p>
      <w:pPr>
        <w:pStyle w:val="BookText"/>
      </w:pPr>
      <w:r>
        <w:rPr>
          <w:rFonts w:ascii="IRNazanin" w:hAnsi="IRNazanin" w:eastAsia="IRNazanin" w:cs="IRNazanin"/>
          <w:lang w:bidi="fa-IR"/>
          <w:color w:val="111111"/>
          <w:sz w:val="28"/>
          <w:szCs w:val="28"/>
          <w:rtl/>
        </w:rPr>
        <w:t xml:space="preserve">از این کسان یاد شده: هجری رازی، خواجه نصیرالدین طوسی، آخوند ملا عبدالرزاق فياض تخلص، غیاثای حلوایی، نورالدین عبدالرحمن جامی (که بیشتر اشعار ازوست)، نواب جنت مكان شاه طهماسب عليه الرحمة، سعدى، مير والهی قمی؛ بی کا، تا: با تاریخ قرن ۱۱؛ كاغذ: الوان آهار مهره ،جلد: تیماج قهوه ای با ترنج سر ترنج، ۶گ (۳ ر -8پ) ، اندازه: ۱۵/۱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۲۸/۴سم [ف: ۲۹/۲ - 730]</w:t>
      </w:r>
    </w:p>
    <w:p>
      <w:pPr>
        <w:pStyle w:val="BookText"/>
      </w:pPr>
      <w:r>
        <w:rPr>
          <w:rFonts w:ascii="IRNazanin" w:hAnsi="IRNazanin" w:eastAsia="IRNazanin" w:cs="IRNazanin"/>
          <w:lang w:bidi="fa-IR"/>
          <w:color w:val="111111"/>
          <w:sz w:val="28"/>
          <w:szCs w:val="28"/>
          <w:rtl/>
        </w:rPr>
        <w:t xml:space="preserve">۲۰۹. تهران؛ مجلس؛ شماره نسخه: ۹۰۰۳/۶</w:t>
      </w:r>
    </w:p>
    <w:p>
      <w:pPr>
        <w:pStyle w:val="BookText"/>
      </w:pPr>
      <w:r>
        <w:rPr>
          <w:rFonts w:ascii="IRNazanin" w:hAnsi="IRNazanin" w:eastAsia="IRNazanin" w:cs="IRNazanin"/>
          <w:lang w:bidi="fa-IR"/>
          <w:color w:val="111111"/>
          <w:sz w:val="28"/>
          <w:szCs w:val="28"/>
          <w:rtl/>
        </w:rPr>
        <w:t xml:space="preserve">از جمله شانی تکلو ،انوری، صائب؛ خط: نستعلیق، بی کا، تا: قـرن ۱۱؛ ۵گ (۲۳ر-۲۸پ) [مختصر: ف: - ۶۴]</w:t>
      </w:r>
    </w:p>
    <w:p>
      <w:pPr>
        <w:pStyle w:val="BookText"/>
      </w:pPr>
      <w:r>
        <w:rPr>
          <w:rFonts w:ascii="IRNazanin" w:hAnsi="IRNazanin" w:eastAsia="IRNazanin" w:cs="IRNazanin"/>
          <w:lang w:bidi="fa-IR"/>
          <w:color w:val="111111"/>
          <w:sz w:val="28"/>
          <w:szCs w:val="28"/>
          <w:rtl/>
        </w:rPr>
        <w:t xml:space="preserve">۲۱۰. تهران؛ مجلس؛ شماره نسخه: ۹۴۶۶/۱۶۸</w:t>
      </w:r>
    </w:p>
    <w:p>
      <w:pPr>
        <w:pStyle w:val="BookText"/>
      </w:pPr>
      <w:r>
        <w:rPr>
          <w:rFonts w:ascii="IRNazanin" w:hAnsi="IRNazanin" w:eastAsia="IRNazanin" w:cs="IRNazanin"/>
          <w:lang w:bidi="fa-IR"/>
          <w:color w:val="111111"/>
          <w:sz w:val="28"/>
          <w:szCs w:val="28"/>
          <w:rtl/>
        </w:rPr>
        <w:t xml:space="preserve">از: ژنده پیل احمد جام، بابا افضل کاشی، حسن محوی؛ خـط:نستعلیق ،بی کا، تا: قرن ۱۱؛ ۱ص (۳۵۵) [مختصر: ف: - ۶۴]</w:t>
      </w:r>
    </w:p>
    <w:p>
      <w:pPr>
        <w:pStyle w:val="BookText"/>
      </w:pPr>
      <w:r>
        <w:rPr>
          <w:rFonts w:ascii="IRNazanin" w:hAnsi="IRNazanin" w:eastAsia="IRNazanin" w:cs="IRNazanin"/>
          <w:lang w:bidi="fa-IR"/>
          <w:color w:val="111111"/>
          <w:sz w:val="28"/>
          <w:szCs w:val="28"/>
          <w:rtl/>
        </w:rPr>
        <w:t xml:space="preserve">۲۱۱. تهران؛ مجلس؛ شماره نسخه: ۱۱۵۴۷/۳</w:t>
      </w:r>
    </w:p>
    <w:p>
      <w:pPr>
        <w:pStyle w:val="BookText"/>
      </w:pPr>
      <w:r>
        <w:rPr>
          <w:rFonts w:ascii="IRNazanin" w:hAnsi="IRNazanin" w:eastAsia="IRNazanin" w:cs="IRNazanin"/>
          <w:lang w:bidi="fa-IR"/>
          <w:color w:val="111111"/>
          <w:sz w:val="28"/>
          <w:szCs w:val="28"/>
          <w:rtl/>
        </w:rPr>
        <w:t xml:space="preserve">سروری کاشانی، محمد قاسم بن حاجی محمد کاشانی؛ خـط: نستعلیق، بی کا، تا: قرن ۱۱ [مختصر: ف: - ۶۴]</w:t>
      </w:r>
    </w:p>
    <w:p>
      <w:pPr>
        <w:pStyle w:val="BookText"/>
      </w:pPr>
      <w:r>
        <w:rPr>
          <w:rFonts w:ascii="IRNazanin" w:hAnsi="IRNazanin" w:eastAsia="IRNazanin" w:cs="IRNazanin"/>
          <w:lang w:bidi="fa-IR"/>
          <w:color w:val="111111"/>
          <w:sz w:val="28"/>
          <w:szCs w:val="28"/>
          <w:rtl/>
        </w:rPr>
        <w:t xml:space="preserve">212 . تهران؛ مجلس؛ شماره نسخه: ۹۴۶۹/۷۱</w:t>
      </w:r>
    </w:p>
    <w:p>
      <w:pPr>
        <w:pStyle w:val="BookText"/>
      </w:pPr>
      <w:r>
        <w:rPr>
          <w:rFonts w:ascii="IRNazanin" w:hAnsi="IRNazanin" w:eastAsia="IRNazanin" w:cs="IRNazanin"/>
          <w:lang w:bidi="fa-IR"/>
          <w:color w:val="111111"/>
          <w:sz w:val="28"/>
          <w:szCs w:val="28"/>
          <w:rtl/>
        </w:rPr>
        <w:t xml:space="preserve">از سنائی غزنوی، صائب تبریزی، ابیاتی از مثنوی ؛خط: نستعلیق، بی کا، تا: قرن ۱۱؛ ۲ ص (۷۵-۷۴) [مختصر: ف: - ۶۵]</w:t>
      </w:r>
    </w:p>
    <w:p>
      <w:pPr>
        <w:pStyle w:val="BookText"/>
      </w:pPr>
      <w:r>
        <w:rPr>
          <w:rFonts w:ascii="IRNazanin" w:hAnsi="IRNazanin" w:eastAsia="IRNazanin" w:cs="IRNazanin"/>
          <w:lang w:bidi="fa-IR"/>
          <w:color w:val="111111"/>
          <w:sz w:val="28"/>
          <w:szCs w:val="28"/>
          <w:rtl/>
        </w:rPr>
        <w:t xml:space="preserve">۲۱۳. تهران؛ مجلس؛ شماره نسخه: ۹۴۶۶/۱۸۳</w:t>
      </w:r>
    </w:p>
    <w:p>
      <w:pPr>
        <w:pStyle w:val="BookText"/>
      </w:pPr>
      <w:r>
        <w:rPr>
          <w:rFonts w:ascii="IRNazanin" w:hAnsi="IRNazanin" w:eastAsia="IRNazanin" w:cs="IRNazanin"/>
          <w:lang w:bidi="fa-IR"/>
          <w:color w:val="111111"/>
          <w:sz w:val="28"/>
          <w:szCs w:val="28"/>
          <w:rtl/>
        </w:rPr>
        <w:t xml:space="preserve">از طالب، خليل بيك، محمد رفیع، محمد زمان راغب لاهيجی ؛خط: نستعلیق، بی کا، تا: قرن ۱۱؛ ۱ص (۳۸۹) [مختصر ف - ۶۵ ]</w:t>
      </w:r>
    </w:p>
    <w:p>
      <w:pPr>
        <w:pStyle w:val="BookText"/>
      </w:pPr>
      <w:r>
        <w:rPr>
          <w:rFonts w:ascii="IRNazanin" w:hAnsi="IRNazanin" w:eastAsia="IRNazanin" w:cs="IRNazanin"/>
          <w:lang w:bidi="fa-IR"/>
          <w:color w:val="111111"/>
          <w:sz w:val="28"/>
          <w:szCs w:val="28"/>
          <w:rtl/>
        </w:rPr>
        <w:t xml:space="preserve">۲۱۴. تهران؛ مجلس؛ شماره نسخه: ۱۳۶۳۳/۱</w:t>
      </w:r>
    </w:p>
    <w:p>
      <w:pPr>
        <w:pStyle w:val="BookText"/>
      </w:pPr>
      <w:r>
        <w:rPr>
          <w:rFonts w:ascii="IRNazanin" w:hAnsi="IRNazanin" w:eastAsia="IRNazanin" w:cs="IRNazanin"/>
          <w:lang w:bidi="fa-IR"/>
          <w:color w:val="111111"/>
          <w:sz w:val="28"/>
          <w:szCs w:val="28"/>
          <w:rtl/>
        </w:rPr>
        <w:t xml:space="preserve">آغاز: آغاز جنگ:</w:t>
      </w:r>
    </w:p>
    <w:p>
      <w:pPr>
        <w:pStyle w:val="BookText"/>
      </w:pPr>
      <w:r>
        <w:rPr>
          <w:rFonts w:ascii="IRNazanin" w:hAnsi="IRNazanin" w:eastAsia="IRNazanin" w:cs="IRNazanin"/>
          <w:lang w:bidi="fa-IR"/>
          <w:color w:val="111111"/>
          <w:sz w:val="28"/>
          <w:szCs w:val="28"/>
          <w:rtl/>
        </w:rPr>
        <w:t xml:space="preserve">يا من بدا جمالك فى كل ما ابدا*** بادا هزار جان مقدس ترا فدا/ می نالم از جدائی تو دمبدم چو نی *** وین طرفه ترکه از تو نیم يك نفس جدا؛ انجام: انجام جنگ: همه وقتم صفتم گوشه نشـین بودی *** تا تو بر خواسته ای از طلبت بنشستم / سعدیا با تو نگفتم که مرو در پی دل *** نروم باز اگر این بار که رفتم جستم</w:t>
      </w:r>
    </w:p>
    <w:p>
      <w:pPr>
        <w:pStyle w:val="BookText"/>
      </w:pPr>
      <w:r>
        <w:rPr>
          <w:rFonts w:ascii="IRNazanin" w:hAnsi="IRNazanin" w:eastAsia="IRNazanin" w:cs="IRNazanin"/>
          <w:lang w:bidi="fa-IR"/>
          <w:color w:val="111111"/>
          <w:sz w:val="28"/>
          <w:szCs w:val="28"/>
          <w:rtl/>
        </w:rPr>
        <w:t xml:space="preserve">جنگ اشعاری است شامل شعرهای منتخب از شعرای گوناگـون در لابه لای این جنگ منشآت تونی درج شده، شعرایی که شعرشان در این جنگ آمده عبارتند از: وحید جامی (۱پ-10پ)، خواجه سلیمان ،جامی مولانا احمد سلمه الله تعالى (١٠ ر - ١٠ پ) ،مولانا سوزنی، میرنایب همدانی، بابا فغانی، غزل هایی که محمد خان ازبک هنگامی که در سال ۱۰۵۶ از نهبت رأی هند به بلخ فرار نموده به شاه عباس ثانی ارسال نموده و شاه درجواب وی غزلی را سروده است(۱۱پ)، امام قلی خان اورنگ، فردوسی، قاسم مشهدی خاقانی، خواجه آصفی، منتخبی از دیوان محمد قاسم (١٧ ر -(٢٢ر) ، طالب کلیم ،(۲۲ ر) ،شوکت ،جامی، شیخ بهاء الدین  (۲۳پ-۲۷ر)، سعدی، قصاید محمد قلی سلیم (46ر- 54پ)؛خط: شکسته نستعلیق ،چلیپا، بی کا، تا: قرن ۱۱؛ مجدول مذهب؛ جلد: تيماج  سرخ، ۳۷گ (۱ر-۲۷ر) و (۴۶ر-۵۶پ)،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۲۶/۵سم [ف: ۳۷ - ۱۵۹]</w:t>
      </w:r>
    </w:p>
    <w:p>
      <w:pPr>
        <w:pStyle w:val="BookText"/>
      </w:pPr>
      <w:r>
        <w:rPr>
          <w:rFonts w:ascii="IRNazanin" w:hAnsi="IRNazanin" w:eastAsia="IRNazanin" w:cs="IRNazanin"/>
          <w:lang w:bidi="fa-IR"/>
          <w:color w:val="111111"/>
          <w:sz w:val="28"/>
          <w:szCs w:val="28"/>
          <w:rtl/>
        </w:rPr>
        <w:t xml:space="preserve">۲۱۵. تهران؛ مجلس؛ شماره نسخه: ۸۷۹۰</w:t>
      </w:r>
    </w:p>
    <w:p>
      <w:pPr>
        <w:pStyle w:val="BookText"/>
      </w:pPr>
      <w:r>
        <w:rPr>
          <w:rFonts w:ascii="IRNazanin" w:hAnsi="IRNazanin" w:eastAsia="IRNazanin" w:cs="IRNazanin"/>
          <w:lang w:bidi="fa-IR"/>
          <w:color w:val="111111"/>
          <w:sz w:val="28"/>
          <w:szCs w:val="28"/>
          <w:rtl/>
        </w:rPr>
        <w:t xml:space="preserve">اشعاری از عرفی، نظیری، میر صیدی، معراج الخيال عليرضا تجلى با عنوان دام ظله، قضا قدر محمد قلی  سلیم، سلمان ساوجی، سیف اسفرنگ، شانی تکلو؛ خط: نستعلیق، بی کا، تا: قرن ۱۱؛ مجدول؛ سطرها چلیپا؛ جلد: تیماج قهوه ای، ۵۹گ، مختلف السطر،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۲۸ - ۲۶۴]</w:t>
      </w:r>
    </w:p>
    <w:p>
      <w:pPr>
        <w:pStyle w:val="BookText"/>
      </w:pPr>
      <w:r>
        <w:rPr>
          <w:rFonts w:ascii="IRNazanin" w:hAnsi="IRNazanin" w:eastAsia="IRNazanin" w:cs="IRNazanin"/>
          <w:lang w:bidi="fa-IR"/>
          <w:color w:val="111111"/>
          <w:sz w:val="28"/>
          <w:szCs w:val="28"/>
          <w:rtl/>
        </w:rPr>
        <w:t xml:space="preserve">۲۱۶. تهران؛ مجلس؛ شماره نسخه: ۹۰۰۳/۸</w:t>
      </w:r>
    </w:p>
    <w:p>
      <w:pPr>
        <w:pStyle w:val="BookText"/>
      </w:pPr>
      <w:r>
        <w:rPr>
          <w:rFonts w:ascii="IRNazanin" w:hAnsi="IRNazanin" w:eastAsia="IRNazanin" w:cs="IRNazanin"/>
          <w:lang w:bidi="fa-IR"/>
          <w:color w:val="111111"/>
          <w:sz w:val="28"/>
          <w:szCs w:val="28"/>
          <w:rtl/>
        </w:rPr>
        <w:t xml:space="preserve">در جای جای جنگ از این شعرا سروده هایی نقل شده است: امینا یزدی ،شیدا، میرزا ابراهیم ادهم، میر صیدی طهرانی، مشرب، میرزا طاهر ،وحشی ،سلیم ،کلیم ،خسرو، شانی، شوکتی، صایب صفی، قلی بیگ، مولانا عرفی ،قیضی، قدسی، کامی، محمدقلی سلیم ،معصوم ،میرزا ناصر خسرو ،وحید، هادی، اشعاری از لا ادری و سه ماده تاریخ برای سلطنت شاه سلطان حسین؛ خط: نستعلیق و شکسته، بی کا، تا: قرن ۱۱، کاغذ: الوان آهار مهردار ،جلد: تیماج قهوه ای ضربی با ترنج و سر ترنج؛ چلیپا ابعاد متن: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۱۵/۶، اندازه: ۱۱/۹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۲۲/۷سم [ف: ۲۹/۲ – ۵۹۶]</w:t>
      </w:r>
    </w:p>
    <w:p>
      <w:pPr>
        <w:pStyle w:val="BookText"/>
      </w:pPr>
      <w:r>
        <w:rPr>
          <w:rFonts w:ascii="IRNazanin" w:hAnsi="IRNazanin" w:eastAsia="IRNazanin" w:cs="IRNazanin"/>
          <w:lang w:bidi="fa-IR"/>
          <w:color w:val="111111"/>
          <w:sz w:val="28"/>
          <w:szCs w:val="28"/>
          <w:rtl/>
        </w:rPr>
        <w:t xml:space="preserve">217.تهران؛ مجلس؛ شماره نسخه: ۹۵۵۹</w:t>
      </w:r>
    </w:p>
    <w:p>
      <w:pPr>
        <w:pStyle w:val="BookText"/>
      </w:pPr>
      <w:r>
        <w:rPr>
          <w:rFonts w:ascii="IRNazanin" w:hAnsi="IRNazanin" w:eastAsia="IRNazanin" w:cs="IRNazanin"/>
          <w:lang w:bidi="fa-IR"/>
          <w:color w:val="111111"/>
          <w:sz w:val="28"/>
          <w:szCs w:val="28"/>
          <w:rtl/>
        </w:rPr>
        <w:t xml:space="preserve">آغاز: ملا در کی قمی: بدور حسن تو هر دل که بود پرخون *** ستم تو کردی و تهمت بنام گردون؛ انجام: قیامت می کند روز جدایی ***قیامت شد نمی دانم کجایی</w:t>
      </w:r>
    </w:p>
    <w:p>
      <w:pPr>
        <w:pStyle w:val="BookText"/>
      </w:pPr>
      <w:r>
        <w:rPr>
          <w:rFonts w:ascii="IRNazanin" w:hAnsi="IRNazanin" w:eastAsia="IRNazanin" w:cs="IRNazanin"/>
          <w:lang w:bidi="fa-IR"/>
          <w:color w:val="111111"/>
          <w:sz w:val="28"/>
          <w:szCs w:val="28"/>
          <w:rtl/>
        </w:rPr>
        <w:t xml:space="preserve">جنگ اشعار فارسی است که به ترتیب الفبایی تخلص شاعران، در نیمه اول قرن ۱۱ تنظیم شده است: چنان که از شیخ بهایی با عنوان «شيخنا بهاء المله دام ظله العالی» یاد می کند و در برخی موارد اشاره به خط شاعر در این نسخه درج شده مثلا «ملکی» در جمادى الاولى ۱۰۳۳ به خط خود اشعاری نوشته است. برگ های نسخه در صحافی جابه جا شده و تنظیم کتاب به هم ریخته است. اسامی شعراء به ترتیب فعلی موجود: ملادر کی قمی، درویش دهکی قزوینی، داعی آنجدانی، محمد زمان زمانی متخلص به مشهدی، زلالی خوانساری، محمد تقی کفاش، ساغری، مولانا محمد علی سالک، سلمان جابری، میر حسین سهوی تبریزی، سخی، اهلی شیرازی، امیری سبزواری، اسیری ،اشرف، اهلی خراسانی، امتی مشهدی، اقدسی، میر الهی همدانی، اختری یزدی، اختری خراسانی، میر محمد باقر دام ظله، انیسی کتابدار شاملو، حسامی مراغی، میر ابوالحسن فراهانی، حشری تبریزی، حیدری تبریزی، حزنی اصفهانی ،حجابی ،حیتری، حسابی نظری، حقیری تبریزی ،ختایی، بابا خندان  ترکستانی، حکیم، میر حصوری قمی ،خاتمی، خضری خوانساری، خضری تبریزی، انسی ذوالقدر، مولانا ابن فتوح ساوی، اوحی شیرازی ،اشكى، لشيخنا بهاء الملة، دام ظله تعالی، بکتاش ،پیامی، بنایی، ملامحمود لنگرودی بهتی، تشبیهی  کاشی، خواجه حسین ثنایی ،جعفری، جاوید، جنونی
</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قندهاری، مولانا حاتم کاشی، حامدی شوشتری، خضری ترکمان خضری قزوینی، داعی ولد مولانا ضمیری اصفهانی، ابوتراب بیـکا، میرزا اسمعیل  ایما، مولوی معنوی ،ذوقی، حیدر ذهنی، خان خانان تخلص رحیم، خواجه محمد رضا، مولانا رضایی کاشی، قاضـی ابراهیم داوری زمیر داوری، میرزا داود متولی، شرف الدین رشکی یزدی، رفعتی تبریزی ،روشنی، زکی همدانی، حکیم رشدی قمی، شاه رضی آرتیمانی، رامی اردوبادی، رضایی مشهدی، رسمی لاهیجی، آقا رضی اصفهانی، رشکی همدانی، میر عجیبی،شاه صدر عذری ،دیلمی ،عزتی، عتیقی سمرقندی، عتابی، عجزى تبریزی ،عارضی عایشه مصری ،عارفی، مولانا غضـنفر کاشی، غیوری، قلندر غازی، فارغ، غزالی مشهدی، میر عبدالغـنی، غیرتی شیرازی، سروری کاشی، محمود بیک سالم، میرزا سخن میر میران، ستیزی جرپادقانی ،طاهری، طبعی مشهدی، میرزا محـمد زمان وصفی، همام تبریزی، طفیلی لاهیجی، طالب املی، عرفی شیرازی، محمد تقی قزوینی، فهمی کاشی، بابا فغانی، محمد بیـک فسونی، میرزا فصیحی، قاضی احمد فکاری، فضلی جرفادقانی، فردی اردبیلی، فایضی خوانساری، قیدی شیرازی، حیدرک قانـعی مشهدی، قدسی تفرشی، قدری قزوینی ،قسمی، قاسم انوار، قراری ،گیلانی، محمد اسمعیل قزوینی، قربی دماوندی، کمالی سبزواری، کاکا قزوینی ،گلشنی ،گلخنی، کمال خجند، کامی لاهیجی، کاتبی ،آصفی خواجه یعقوب، ابوتراب بيكا سلمه الله تعالـی ،شاپور ،مولانا شرمی قزوینی، شعیب جوشقانی، شکیبی اصفهانی، حکیم شفایی اصفهانی، شعوری مشهدی، ضمیری اصفهانی، صفی قلی بیک ،صاحبی، صرفی ساوجی، صادقی بیک افشار نقاش ،مولانا محمد علی تبریزی صابری ،ضیایی، طوقی تبریزی، طاهر قزوینی، قاضی نور اصفهانی، مرشد بروجردی، میر سنـجر کاشی ،مولانا ،سحابی، قاضی نوری ،نصری نیشابوری، نطنـزی مشهدی، شیخ علی نقی کمره ای، بابا نصیبی گیلانی، نصیرا نذری کاشی، ملک قمی، محوی اردبیلی ،میرمنهی ،مروی، ملک يطفور انجدانی ،مقبول، محتشم کاشی، مقصود کاشی، میلی، میرزا قلی میلی، محرم مشهدی، مظهری کشمری ،معانی، موسی رضای نقاش، ملهمی اصفهانی، میر مغیث محوی ،ملکی، مطربی قزوینی، محرمی اردبیلی، حکیم ركنا مسيح، میر محمد مومن سماکی مردمی، میر نیازی ،نجدی، نویدی ،طهرانی ،وحشی، مولانا ولی دشت  بیاض، مولانا وحشی کاشی ،وارثی، وقوعی تبریزی والهی قمی ،شانی، لسانی تبریزی ،کرمی ،کسری،کاشی سوزی ،ورامینی،شاپور تهرانی، مسلمی شوشتری، محی، همدمی کاشی، ساحری تونی، اهلی شیرازی، شانی تکلو ،شهیدی، عهدی ساوجی. علاوه بر این فواید دیگری در ق ۱۳ به نسخه اضافه شـده از جمله اشعار عربی از متنبی، بحر طویل شاهدا، بحر طویل عبدالعلی، چند تاریخ وفات از جمله وفات نازلو بیگم بنت ملاعبدالوهاب در ۱۲۵۳؛ انشایی از عبدالکریم حسینی و نوشته ای به یادگار از محمد کاظم؛ خط: نستعلیق، کا: جامع جنگ، تا: قـرن۱۱؛ جلد: تیماج مشکی، ۱۲۹گ، سطور چلیپایی، اندازه:۱۵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۳۰ - ۲۲۰]</w:t>
      </w:r>
    </w:p>
    <w:p>
      <w:pPr>
        <w:pStyle w:val="BookText"/>
      </w:pPr>
      <w:r>
        <w:rPr>
          <w:rFonts w:ascii="IRNazanin" w:hAnsi="IRNazanin" w:eastAsia="IRNazanin" w:cs="IRNazanin"/>
          <w:lang w:bidi="fa-IR"/>
          <w:color w:val="111111"/>
          <w:sz w:val="28"/>
          <w:szCs w:val="28"/>
          <w:rtl/>
        </w:rPr>
        <w:t xml:space="preserve">۲۱۸. تهران؛ مجلس؛ شماره نسخه: ۱۷۹۴۱</w:t>
      </w:r>
    </w:p>
    <w:p>
      <w:pPr>
        <w:pStyle w:val="BookText"/>
      </w:pPr>
      <w:r>
        <w:rPr>
          <w:rFonts w:ascii="IRNazanin" w:hAnsi="IRNazanin" w:eastAsia="IRNazanin" w:cs="IRNazanin"/>
          <w:lang w:bidi="fa-IR"/>
          <w:color w:val="111111"/>
          <w:sz w:val="28"/>
          <w:szCs w:val="28"/>
          <w:rtl/>
        </w:rPr>
        <w:t xml:space="preserve">از جمله رباعیات و قطعات از نصیرای امامی، لامع همدانی، شوکتی،زکی، خواجه عبدالرشید مرشد بروجردی، کمال خجندی، نوعی، مسرور قزوینی و غیره؛ بی کا، تا: قرن ۱۱ [د.ث. مجلس ]</w:t>
      </w:r>
    </w:p>
    <w:p>
      <w:pPr>
        <w:pStyle w:val="BookText"/>
      </w:pPr>
      <w:r>
        <w:rPr>
          <w:rFonts w:ascii="IRNazanin" w:hAnsi="IRNazanin" w:eastAsia="IRNazanin" w:cs="IRNazanin"/>
          <w:lang w:bidi="fa-IR"/>
          <w:color w:val="111111"/>
          <w:sz w:val="28"/>
          <w:szCs w:val="28"/>
          <w:rtl/>
        </w:rPr>
        <w:t xml:space="preserve">۲۱۹. تهران؛ مجلس؛ شماره نسخه: ۱۱۵۹۵</w:t>
      </w:r>
    </w:p>
    <w:p>
      <w:pPr>
        <w:pStyle w:val="BookText"/>
      </w:pPr>
      <w:r>
        <w:rPr>
          <w:rFonts w:ascii="IRNazanin" w:hAnsi="IRNazanin" w:eastAsia="IRNazanin" w:cs="IRNazanin"/>
          <w:lang w:bidi="fa-IR"/>
          <w:color w:val="111111"/>
          <w:sz w:val="28"/>
          <w:szCs w:val="28"/>
          <w:rtl/>
        </w:rPr>
        <w:t xml:space="preserve">مجموعه ای از اشعار و سروده های شاعران پیشین معروف و غیر معروف که در یک دفتر گردآوری شده است. از شاعران غیر معروفی که از اشعارشان استفاده شده: عاشق ،رضی، مشتاق  ،رفیق ،هلالی ،فتحی ،مشرب ،ابراهیم ،جنوبی، محزون، میرزا زاهد علی، صفی قلی بیگ، انصاف قلی بیگ، طغرا، عرفی (مخمس و هراس و مماس)، ملا حسن کاشی (مخمس هفت بند) ملا محمد هادی لاری، میرزا علیرضا تجلی شیرازی (معراج خیال)؛ خط: نستعلیق، بی کا، تا: قرن ۱۱؛ مجدول زر و قرمز، چلیپا؛ جلد: تیماج  زرشکی، ۱۵۵گ [ف: ۳۳/۲ - ۱۹۰]</w:t>
      </w:r>
    </w:p>
    <w:p>
      <w:pPr>
        <w:pStyle w:val="BookText"/>
      </w:pPr>
      <w:r>
        <w:rPr>
          <w:rFonts w:ascii="IRNazanin" w:hAnsi="IRNazanin" w:eastAsia="IRNazanin" w:cs="IRNazanin"/>
          <w:lang w:bidi="fa-IR"/>
          <w:color w:val="111111"/>
          <w:sz w:val="28"/>
          <w:szCs w:val="28"/>
          <w:rtl/>
        </w:rPr>
        <w:t xml:space="preserve">۲۲۰. تهران؛ مجلس؛ شماره نسخه: ۸۲۷۸</w:t>
      </w:r>
    </w:p>
    <w:p>
      <w:pPr>
        <w:pStyle w:val="BookText"/>
      </w:pPr>
      <w:r>
        <w:rPr>
          <w:rFonts w:ascii="IRNazanin" w:hAnsi="IRNazanin" w:eastAsia="IRNazanin" w:cs="IRNazanin"/>
          <w:lang w:bidi="fa-IR"/>
          <w:color w:val="111111"/>
          <w:sz w:val="28"/>
          <w:szCs w:val="28"/>
          <w:rtl/>
        </w:rPr>
        <w:t xml:space="preserve">آغاز: محمد احمد و محمود نامش؛ انجام: مرا داند جادر کنج عزلت</w:t>
      </w:r>
    </w:p>
    <w:p>
      <w:pPr>
        <w:pStyle w:val="BookText"/>
      </w:pPr>
      <w:r>
        <w:rPr>
          <w:rFonts w:ascii="IRNazanin" w:hAnsi="IRNazanin" w:eastAsia="IRNazanin" w:cs="IRNazanin"/>
          <w:lang w:bidi="fa-IR"/>
          <w:color w:val="111111"/>
          <w:sz w:val="28"/>
          <w:szCs w:val="28"/>
          <w:rtl/>
        </w:rPr>
        <w:t xml:space="preserve">اشعاری است از هلالی ،محتشم، ملا جامی، ظهیر فاریابی، ساقی نامه، حکیم پرتوی، سوز و گداز نوعی، غزلیات نظیری، صد پند لقمان و غیره؛ خط: نستعلیق چلیپا، بی کا، تا: احتمالاً قرن ۱۱؛ افتادگی: آغاز و انجام؛ جلد: تیماج مشکی، مجدول، ۱۳۴گ،مختلف السطر ، اندازه: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۲۷/۲۲ - ۴۸]</w:t>
      </w:r>
    </w:p>
    <w:p>
      <w:pPr>
        <w:pStyle w:val="BookText"/>
      </w:pPr>
      <w:r>
        <w:rPr>
          <w:rFonts w:ascii="IRNazanin" w:hAnsi="IRNazanin" w:eastAsia="IRNazanin" w:cs="IRNazanin"/>
          <w:lang w:bidi="fa-IR"/>
          <w:color w:val="111111"/>
          <w:sz w:val="28"/>
          <w:szCs w:val="28"/>
          <w:rtl/>
        </w:rPr>
        <w:t xml:space="preserve">۲۲۱ .تهران؛ مجلس؛ شماره نسخه: ۳۳۵/۲</w:t>
      </w:r>
    </w:p>
    <w:p>
      <w:pPr>
        <w:pStyle w:val="BookText"/>
      </w:pPr>
      <w:r>
        <w:rPr>
          <w:rFonts w:ascii="IRNazanin" w:hAnsi="IRNazanin" w:eastAsia="IRNazanin" w:cs="IRNazanin"/>
          <w:lang w:bidi="fa-IR"/>
          <w:color w:val="111111"/>
          <w:sz w:val="28"/>
          <w:szCs w:val="28"/>
          <w:rtl/>
        </w:rPr>
        <w:t xml:space="preserve">از سلمان هاشمی،(قصیده شینیه طویله) نظام گرگانی استرآبادی، جامی ،خاقانی ،سعدی، ثنائی ،مظهری، مراد کویاکو که، امیدی تهرانی، مظفرالدین هروی، محمد هاشم وافی، واصلی، هلالی ،نوایی، میرحاج انسی ،علی شهاب ،لسانی، خواجه ابوالبركة اميرزا قاسم گنابادی قاسمی ،شرف الدین بافقی، امیر همایون، عراقی، ظهیر فارابی، شاه طاهر همدانی، حسامی قراگول، عصمت بخاری، حقیری، حیدر، آذر طوسی، شعر محمد مهدی محلاتی تفنگدار ناصر الدین شاه در ستایش اقبال الدوله میرزا محمد خان کاشانی پسر هاشم خان؛ خط: نستعلیق، بی کا، تا: قرن ۱۱، در هامش؛ کاغذ:سفید، جلد: تیماج حنایی ضربی مقوایی با ترنج [سنا: ف: ۱ - ۱۷۰]</w:t>
      </w:r>
    </w:p>
    <w:p>
      <w:pPr>
        <w:pStyle w:val="BookText"/>
      </w:pPr>
      <w:r>
        <w:rPr>
          <w:rFonts w:ascii="IRNazanin" w:hAnsi="IRNazanin" w:eastAsia="IRNazanin" w:cs="IRNazanin"/>
          <w:lang w:bidi="fa-IR"/>
          <w:color w:val="111111"/>
          <w:sz w:val="28"/>
          <w:szCs w:val="28"/>
          <w:rtl/>
        </w:rPr>
        <w:t xml:space="preserve">222.تهران؛ مجلس؛ شماره نسخه: ۷۱۲/۱۳</w:t>
      </w:r>
    </w:p>
    <w:p>
      <w:pPr>
        <w:pStyle w:val="BookText"/>
      </w:pPr>
      <w:r>
        <w:rPr>
          <w:rFonts w:ascii="IRNazanin" w:hAnsi="IRNazanin" w:eastAsia="IRNazanin" w:cs="IRNazanin"/>
          <w:lang w:bidi="fa-IR"/>
          <w:color w:val="111111"/>
          <w:sz w:val="28"/>
          <w:szCs w:val="28"/>
          <w:rtl/>
        </w:rPr>
        <w:t xml:space="preserve">خط: نسخ، بی کا ،تا: قرن ۱۱ ؛کاغذ: زردفام، جلد: تیماج قرمز ضربی و مقوای زرکوب با لولا، ۳ ص(۳۰۸ -۳۱۰)، ۱۷ سطر (5</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،اندازه: ۱۱</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۱۷سم [سنا: ف: ۲ - ۳۷]</w:t>
      </w:r>
    </w:p>
    <w:p>
      <w:pPr>
        <w:pStyle w:val="BookText"/>
      </w:pPr>
      <w:r>
        <w:rPr>
          <w:rFonts w:ascii="IRNazanin" w:hAnsi="IRNazanin" w:eastAsia="IRNazanin" w:cs="IRNazanin"/>
          <w:lang w:bidi="fa-IR"/>
          <w:color w:val="111111"/>
          <w:sz w:val="28"/>
          <w:szCs w:val="28"/>
          <w:rtl/>
        </w:rPr>
        <w:t xml:space="preserve">۲۲۳. تهران؛ مجلس؛ شماره نسخه: ۹۴۶۶/۸۲</w:t>
      </w:r>
    </w:p>
    <w:p>
      <w:pPr>
        <w:pStyle w:val="BookText"/>
      </w:pPr>
      <w:r>
        <w:rPr>
          <w:rFonts w:ascii="IRNazanin" w:hAnsi="IRNazanin" w:eastAsia="IRNazanin" w:cs="IRNazanin"/>
          <w:lang w:bidi="fa-IR"/>
          <w:color w:val="111111"/>
          <w:sz w:val="28"/>
          <w:szCs w:val="28"/>
          <w:rtl/>
        </w:rPr>
        <w:t xml:space="preserve">ابيات متفرقه و یادداشت، از صبحی، شیخ بهائی، امیر خسرو دهلوی،ضمیری؛ خط: نستعلیق، بی کا، تا: قرن ۱۱؛ ۲ ص( ۱۸۰- ۱۸۱) [مختصر: ف: - ۱۶]
</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۲۲۴. تهران؛ مجلس؛ شماره نسخه: ۵۲۲/۴</w:t>
      </w:r>
    </w:p>
    <w:p>
      <w:pPr>
        <w:pStyle w:val="BookText"/>
      </w:pPr>
      <w:r>
        <w:rPr>
          <w:rFonts w:ascii="IRNazanin" w:hAnsi="IRNazanin" w:eastAsia="IRNazanin" w:cs="IRNazanin"/>
          <w:lang w:bidi="fa-IR"/>
          <w:color w:val="111111"/>
          <w:sz w:val="28"/>
          <w:szCs w:val="28"/>
          <w:rtl/>
        </w:rPr>
        <w:t xml:space="preserve">شعرهای میرزا فصیحی، مسعود سعد سلمان گرگانی حسـین ثنائی ،انوری، سنجر کاشانی، قاضی نور، محمد صوفی، نصیرای همدانی ،فردوسی، جمال الدین عبدالرزاق ،سعدی، مظفر حسـین کاشانی، سنائی و اثیر اخسیکتی؛ بی کا، تا: قرن ۱۱؛ کاغذ: سفـید، ابعاد متن: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۱۷</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۲۴سم [سنا: ف: ۱ - ۳۲۲]</w:t>
      </w:r>
    </w:p>
    <w:p>
      <w:pPr>
        <w:pStyle w:val="BookText"/>
      </w:pPr>
      <w:r>
        <w:rPr>
          <w:rFonts w:ascii="IRNazanin" w:hAnsi="IRNazanin" w:eastAsia="IRNazanin" w:cs="IRNazanin"/>
          <w:lang w:bidi="fa-IR"/>
          <w:color w:val="111111"/>
          <w:sz w:val="28"/>
          <w:szCs w:val="28"/>
          <w:rtl/>
        </w:rPr>
        <w:t xml:space="preserve">۲۲۵ .تهران؛ مجلس؛ شماره نسخه: ۵۹۹۶/۶۲</w:t>
      </w:r>
    </w:p>
    <w:p>
      <w:pPr>
        <w:pStyle w:val="BookText"/>
      </w:pPr>
      <w:r>
        <w:rPr>
          <w:rFonts w:ascii="IRNazanin" w:hAnsi="IRNazanin" w:eastAsia="IRNazanin" w:cs="IRNazanin"/>
          <w:lang w:bidi="fa-IR"/>
          <w:color w:val="111111"/>
          <w:sz w:val="28"/>
          <w:szCs w:val="28"/>
          <w:rtl/>
        </w:rPr>
        <w:t xml:space="preserve">آغاز: گویند پیش لاله رخی یار مبتلاست *** همدرد ما شده اسـت کنونیار بار ماست</w:t>
      </w:r>
    </w:p>
    <w:p>
      <w:pPr>
        <w:pStyle w:val="BookText"/>
      </w:pPr>
      <w:r>
        <w:rPr>
          <w:rFonts w:ascii="IRNazanin" w:hAnsi="IRNazanin" w:eastAsia="IRNazanin" w:cs="IRNazanin"/>
          <w:lang w:bidi="fa-IR"/>
          <w:color w:val="111111"/>
          <w:sz w:val="28"/>
          <w:szCs w:val="28"/>
          <w:rtl/>
        </w:rPr>
        <w:t xml:space="preserve">قصیده از محمد یوسفا درباره اسب ضیاء؛ خط: شکسته، نستعلـیق، بی کا، تا: قرن ۱۱ [ ف : ۱۷ - ۳۷۹]</w:t>
      </w:r>
    </w:p>
    <w:p>
      <w:pPr>
        <w:pStyle w:val="BookText"/>
      </w:pPr>
      <w:r>
        <w:rPr>
          <w:rFonts w:ascii="IRNazanin" w:hAnsi="IRNazanin" w:eastAsia="IRNazanin" w:cs="IRNazanin"/>
          <w:lang w:bidi="fa-IR"/>
          <w:color w:val="111111"/>
          <w:sz w:val="28"/>
          <w:szCs w:val="28"/>
          <w:rtl/>
        </w:rPr>
        <w:t xml:space="preserve">۲۲۶ .تهران؛ مجلس؛ شماره نسخه: ۹۰۸۷/۲۳</w:t>
      </w:r>
    </w:p>
    <w:p>
      <w:pPr>
        <w:pStyle w:val="BookText"/>
      </w:pPr>
      <w:r>
        <w:rPr>
          <w:rFonts w:ascii="IRNazanin" w:hAnsi="IRNazanin" w:eastAsia="IRNazanin" w:cs="IRNazanin"/>
          <w:lang w:bidi="fa-IR"/>
          <w:color w:val="111111"/>
          <w:sz w:val="28"/>
          <w:szCs w:val="28"/>
          <w:rtl/>
        </w:rPr>
        <w:t xml:space="preserve">آغاز: این قصیده را در وقتی که از جانب نواب کامیاب همیـون شاه صفی خلعت به والی هرات و امرای خراسان می برده و به تقریب مدد خرجی که نواب اعلی... نوشته بودند وارد بـلده طهران سبده مسروره نمود. صبح شد باز کزین دایره دور نما *** به سعادت شود آن نقطه زرین پیدا</w:t>
      </w:r>
    </w:p>
    <w:p>
      <w:pPr>
        <w:pStyle w:val="BookText"/>
      </w:pPr>
      <w:r>
        <w:rPr>
          <w:rFonts w:ascii="IRNazanin" w:hAnsi="IRNazanin" w:eastAsia="IRNazanin" w:cs="IRNazanin"/>
          <w:lang w:bidi="fa-IR"/>
          <w:color w:val="111111"/>
          <w:sz w:val="28"/>
          <w:szCs w:val="28"/>
          <w:rtl/>
        </w:rPr>
        <w:t xml:space="preserve">قصیده در مدح شاه صفی صفوی؛ خط: نسخ کهن معرب، بی تا،تا: قرن ۱۱؛ کاغذ: الوان آهار مهره ،جلد: تیماج قهوه ای با ترنج سر ترنج ، ۲گ (۵۳پ-۵۴ر)، اندازه: ۱۵/۱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۲۸/۴سم [ ف : ۲۲۹/۲  - 732]</w:t>
      </w:r>
    </w:p>
    <w:p>
      <w:pPr>
        <w:pStyle w:val="BookText"/>
      </w:pPr>
      <w:r>
        <w:rPr>
          <w:rFonts w:ascii="IRNazanin" w:hAnsi="IRNazanin" w:eastAsia="IRNazanin" w:cs="IRNazanin"/>
          <w:lang w:bidi="fa-IR"/>
          <w:color w:val="111111"/>
          <w:sz w:val="28"/>
          <w:szCs w:val="28"/>
          <w:rtl/>
        </w:rPr>
        <w:t xml:space="preserve">۲۲۷. تهران؛ ملک؛ شماره نسخه: ۳۲۲۹/۴</w:t>
      </w:r>
    </w:p>
    <w:p>
      <w:pPr>
        <w:pStyle w:val="BookText"/>
      </w:pPr>
      <w:r>
        <w:rPr>
          <w:rFonts w:ascii="IRNazanin" w:hAnsi="IRNazanin" w:eastAsia="IRNazanin" w:cs="IRNazanin"/>
          <w:lang w:bidi="fa-IR"/>
          <w:color w:val="111111"/>
          <w:sz w:val="28"/>
          <w:szCs w:val="28"/>
          <w:rtl/>
        </w:rPr>
        <w:t xml:space="preserve">قصیده رائیه است در ستایش پیامبر و امامان؛ خط: نستعلیق، بی کا، تا: قرن ۱۱۲؛2گ (۳۲ ر - ۳۴ ر) [ف: ۶ - ۳۱۱]</w:t>
      </w:r>
    </w:p>
    <w:p>
      <w:pPr>
        <w:pStyle w:val="BookText"/>
      </w:pPr>
      <w:r>
        <w:rPr>
          <w:rFonts w:ascii="IRNazanin" w:hAnsi="IRNazanin" w:eastAsia="IRNazanin" w:cs="IRNazanin"/>
          <w:lang w:bidi="fa-IR"/>
          <w:color w:val="111111"/>
          <w:sz w:val="28"/>
          <w:szCs w:val="28"/>
          <w:rtl/>
        </w:rPr>
        <w:t xml:space="preserve">۲۲۸. شیراز؛ علامه طباطبائی؛ شماره نسخه ۵۲۸/۱</w:t>
      </w:r>
    </w:p>
    <w:p>
      <w:pPr>
        <w:pStyle w:val="BookText"/>
      </w:pPr>
      <w:r>
        <w:rPr>
          <w:rFonts w:ascii="IRNazanin" w:hAnsi="IRNazanin" w:eastAsia="IRNazanin" w:cs="IRNazanin"/>
          <w:lang w:bidi="fa-IR"/>
          <w:color w:val="111111"/>
          <w:sz w:val="28"/>
          <w:szCs w:val="28"/>
          <w:rtl/>
        </w:rPr>
        <w:t xml:space="preserve">جنگی از قصاید که به ترتیب الفبایی آخر بیتها تنظیم شده؛ خط: نسخ ،بی کا، تا: قرن ۱۱؛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[نسخه پژوهی ۳-103]</w:t>
      </w:r>
    </w:p>
    <w:p>
      <w:pPr>
        <w:pStyle w:val="BookText"/>
      </w:pPr>
      <w:r>
        <w:rPr>
          <w:rFonts w:ascii="IRNazanin" w:hAnsi="IRNazanin" w:eastAsia="IRNazanin" w:cs="IRNazanin"/>
          <w:lang w:bidi="fa-IR"/>
          <w:color w:val="111111"/>
          <w:sz w:val="28"/>
          <w:szCs w:val="28"/>
          <w:rtl/>
        </w:rPr>
        <w:t xml:space="preserve">۲۲۹. مشهد؛ رضوی؛ شماره نسخه: ۸۴۰۳</w:t>
      </w:r>
    </w:p>
    <w:p>
      <w:pPr>
        <w:pStyle w:val="BookText"/>
      </w:pPr>
      <w:r>
        <w:rPr>
          <w:rFonts w:ascii="IRNazanin" w:hAnsi="IRNazanin" w:eastAsia="IRNazanin" w:cs="IRNazanin"/>
          <w:lang w:bidi="fa-IR"/>
          <w:color w:val="111111"/>
          <w:sz w:val="28"/>
          <w:szCs w:val="28"/>
          <w:rtl/>
        </w:rPr>
        <w:t xml:space="preserve">آغاز: شکر و سپاس و منت و عزت خدایرا *** پروردگار خلق و خداوند کبریا؛ انجام: آن مه محمل نشین دارد مگر عزم سفر.</w:t>
      </w:r>
    </w:p>
    <w:p>
      <w:pPr>
        <w:pStyle w:val="BookText"/>
      </w:pPr>
      <w:r>
        <w:rPr>
          <w:rFonts w:ascii="IRNazanin" w:hAnsi="IRNazanin" w:eastAsia="IRNazanin" w:cs="IRNazanin"/>
          <w:lang w:bidi="fa-IR"/>
          <w:color w:val="111111"/>
          <w:sz w:val="28"/>
          <w:szCs w:val="28"/>
          <w:rtl/>
        </w:rPr>
        <w:t xml:space="preserve">قصایدی است از سعدی و جامی و هلالی و دیگران، مغشوش بی سروته؛ خط: نستعلیق، بی کا، تا: قرن ۱۱ ؛افتادگی: آغاز انجام؛ واقف: سردار کل یار محمد خان افشار؛ کاغذ: متن نخودی حاشیه شکری، جلد: تیماج عنابی یک  لا، ۲۰گ، ۱۳ سطر تحـریر سه ستونی (۱۲/۳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۱۷/۳) ،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۷ - ۶۶۲]</w:t>
      </w:r>
    </w:p>
    <w:p>
      <w:pPr>
        <w:pStyle w:val="BookText"/>
      </w:pPr>
      <w:r>
        <w:rPr>
          <w:rFonts w:ascii="IRNazanin" w:hAnsi="IRNazanin" w:eastAsia="IRNazanin" w:cs="IRNazanin"/>
          <w:lang w:bidi="fa-IR"/>
          <w:color w:val="111111"/>
          <w:sz w:val="28"/>
          <w:szCs w:val="28"/>
          <w:rtl/>
        </w:rPr>
        <w:t xml:space="preserve">۲۳۰ . مشهد؛ رضوی؛ شماره نسخه: ۱۵۲۳۵/۸</w:t>
      </w:r>
    </w:p>
    <w:p>
      <w:pPr>
        <w:pStyle w:val="BookText"/>
      </w:pPr>
      <w:r>
        <w:rPr>
          <w:rFonts w:ascii="IRNazanin" w:hAnsi="IRNazanin" w:eastAsia="IRNazanin" w:cs="IRNazanin"/>
          <w:lang w:bidi="fa-IR"/>
          <w:color w:val="111111"/>
          <w:sz w:val="28"/>
          <w:szCs w:val="28"/>
          <w:rtl/>
        </w:rPr>
        <w:t xml:space="preserve">آغاز: بر مسافران نو آموز و مترددان شب و روز پوشیده نماند که هرگاه اراده مسافرت در نظر داشته باشند؛ انجام: در سرحد با یزیدند *** در مسکن خویش چون یزیدند/ در بادیه رو بهند و خرگوش *** در کوه پلنگ...</w:t>
      </w:r>
    </w:p>
    <w:p>
      <w:pPr>
        <w:pStyle w:val="BookText"/>
      </w:pPr>
      <w:r>
        <w:rPr>
          <w:rFonts w:ascii="IRNazanin" w:hAnsi="IRNazanin" w:eastAsia="IRNazanin" w:cs="IRNazanin"/>
          <w:lang w:bidi="fa-IR"/>
          <w:color w:val="111111"/>
          <w:sz w:val="28"/>
          <w:szCs w:val="28"/>
          <w:rtl/>
        </w:rPr>
        <w:t xml:space="preserve">قصاید و نوشته های مختلف از جمله مقدمه مسافرت کردن ساعی شیروانی و سرگذشت او به نظم و نثر؛ خط: شکسته نستعلیق چلیپا، بی کا، تا: قرن ۱۱ ؛کاغذ: حنایی، جلد: میشن مشکی، ۲گ (63- ۶۶)، اندازه: 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۱۷ - ۴۱]</w:t>
      </w:r>
    </w:p>
    <w:p>
      <w:pPr>
        <w:pStyle w:val="BookText"/>
      </w:pPr>
      <w:r>
        <w:rPr>
          <w:rFonts w:ascii="IRNazanin" w:hAnsi="IRNazanin" w:eastAsia="IRNazanin" w:cs="IRNazanin"/>
          <w:lang w:bidi="fa-IR"/>
          <w:color w:val="111111"/>
          <w:sz w:val="28"/>
          <w:szCs w:val="28"/>
          <w:rtl/>
        </w:rPr>
        <w:t xml:space="preserve">۲۳۱. تهران؛ ملک؛ شماره نسخه: ۴۹۵۹/۱</w:t>
      </w:r>
    </w:p>
    <w:p>
      <w:pPr>
        <w:pStyle w:val="BookText"/>
      </w:pPr>
      <w:r>
        <w:rPr>
          <w:rFonts w:ascii="IRNazanin" w:hAnsi="IRNazanin" w:eastAsia="IRNazanin" w:cs="IRNazanin"/>
          <w:lang w:bidi="fa-IR"/>
          <w:color w:val="111111"/>
          <w:sz w:val="28"/>
          <w:szCs w:val="28"/>
          <w:rtl/>
        </w:rPr>
        <w:t xml:space="preserve">آغاز: حمد بیحد و سپاس بیقياس حضرت واجب الوجودی را سزد که فهم خرده بین خرد در مصنوعات او متحیر</w:t>
      </w:r>
    </w:p>
    <w:p>
      <w:pPr>
        <w:pStyle w:val="BookText"/>
      </w:pPr>
      <w:r>
        <w:rPr>
          <w:rFonts w:ascii="IRNazanin" w:hAnsi="IRNazanin" w:eastAsia="IRNazanin" w:cs="IRNazanin"/>
          <w:lang w:bidi="fa-IR"/>
          <w:color w:val="111111"/>
          <w:sz w:val="28"/>
          <w:szCs w:val="28"/>
          <w:rtl/>
        </w:rPr>
        <w:t xml:space="preserve">مجمع القصایداست. در دیباچه می نویسد: «بنظر رسید که آنچه از قدماء و متأخرين در هر بحر و قافیه قصیده ای گفته شده و دیگران از او تتبع کرده به ترتیب نوشته شود تا قوت طبع هر یک ظاهر شود و در این کار از قصاید سعدی آغاز میکنم.» در آخر چند ترجیع بند و یک مرثیه و چند مخمس آورده شده؛ خط: نستعلیق، بی کا، تا: قرن ۱۱؛ کاغذ: نوعی  ترمه، جلد: میشن قهوه ای ضربی، ۱۹ سطر، اندازه: ۱۶/۶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۲۴/۱سم [ف: ۸ – ۱۴۵]</w:t>
      </w:r>
    </w:p>
    <w:p>
      <w:pPr>
        <w:pStyle w:val="BookText"/>
      </w:pPr>
      <w:r>
        <w:rPr>
          <w:rFonts w:ascii="IRNazanin" w:hAnsi="IRNazanin" w:eastAsia="IRNazanin" w:cs="IRNazanin"/>
          <w:lang w:bidi="fa-IR"/>
          <w:color w:val="111111"/>
          <w:sz w:val="28"/>
          <w:szCs w:val="28"/>
          <w:rtl/>
        </w:rPr>
        <w:t xml:space="preserve">۲۳۲. تهران؛ مجلس؛ شماره :نسخه ۹۰۱/۱۱- طباطبائی</w:t>
      </w:r>
    </w:p>
    <w:p>
      <w:pPr>
        <w:pStyle w:val="BookText"/>
      </w:pPr>
      <w:r>
        <w:rPr>
          <w:rFonts w:ascii="IRNazanin" w:hAnsi="IRNazanin" w:eastAsia="IRNazanin" w:cs="IRNazanin"/>
          <w:lang w:bidi="fa-IR"/>
          <w:color w:val="111111"/>
          <w:sz w:val="28"/>
          <w:szCs w:val="28"/>
          <w:rtl/>
        </w:rPr>
        <w:t xml:space="preserve">آغاز: آغاز قصیده تجلی: پر شد ز عطر خوشدلی از بس که روزگار *** چون عطسه از دماغ زمین جست نو بهار</w:t>
      </w:r>
    </w:p>
    <w:p>
      <w:pPr>
        <w:pStyle w:val="BookText"/>
      </w:pPr>
      <w:r>
        <w:rPr>
          <w:rFonts w:ascii="IRNazanin" w:hAnsi="IRNazanin" w:eastAsia="IRNazanin" w:cs="IRNazanin"/>
          <w:lang w:bidi="fa-IR"/>
          <w:color w:val="111111"/>
          <w:sz w:val="28"/>
          <w:szCs w:val="28"/>
          <w:rtl/>
        </w:rPr>
        <w:t xml:space="preserve">آغاز : قصیده ظهوری: داغت محکی عیارها را *** کویت چمنی بهارها را؛ انجام: پایان قصیده خصمت چو دانه در دهن آسیا *** بادا محب جاه تو از عیش کامکار. پایان قصائد ظهوری: گلگونی بیخها بنازم ***خون دل ما حنا بر آمد</w:t>
      </w:r>
    </w:p>
    <w:p>
      <w:pPr>
        <w:pStyle w:val="BookText"/>
      </w:pPr>
      <w:r>
        <w:rPr>
          <w:rFonts w:ascii="IRNazanin" w:hAnsi="IRNazanin" w:eastAsia="IRNazanin" w:cs="IRNazanin"/>
          <w:lang w:bidi="fa-IR"/>
          <w:color w:val="111111"/>
          <w:sz w:val="28"/>
          <w:szCs w:val="28"/>
          <w:rtl/>
        </w:rPr>
        <w:t xml:space="preserve">یک قصیده از علی رضا تجلی و چند قصیده از نورالدین ظهوری؛ خط: نستعلیق ،خوب، بی کا، تا: قرن ۱۱؛ کاغذ: اصفهانی، جلد: تیماج قهوه ای با ترنج و نیم ترنج  طلائی، ۵ ص (۸۸-۹۲)، قطع :وزیری، اندازه: ۱۵/۵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۲۵سم [ف : ۲۳ - ۲۰۲]</w:t>
      </w:r>
    </w:p>
    <w:p>
      <w:pPr>
        <w:pStyle w:val="BookText"/>
      </w:pPr>
      <w:r>
        <w:rPr>
          <w:rFonts w:ascii="IRNazanin" w:hAnsi="IRNazanin" w:eastAsia="IRNazanin" w:cs="IRNazanin"/>
          <w:lang w:bidi="fa-IR"/>
          <w:color w:val="111111"/>
          <w:sz w:val="28"/>
          <w:szCs w:val="28"/>
          <w:rtl/>
        </w:rPr>
        <w:t xml:space="preserve">۲۳۳. تهران؛ دانشگاه؛ شماره نسخه: ۱۴۲۷/۱۱</w:t>
      </w:r>
    </w:p>
    <w:p>
      <w:pPr>
        <w:pStyle w:val="BookText"/>
      </w:pPr>
      <w:r>
        <w:rPr>
          <w:rFonts w:ascii="IRNazanin" w:hAnsi="IRNazanin" w:eastAsia="IRNazanin" w:cs="IRNazanin"/>
          <w:lang w:bidi="fa-IR"/>
          <w:color w:val="111111"/>
          <w:sz w:val="28"/>
          <w:szCs w:val="28"/>
          <w:rtl/>
        </w:rPr>
        <w:t xml:space="preserve">داستان درویش ابدال است به بحر مثنوی؛ خط: نستعلیق، کا: امام قلی ایمانی غلام، تا: نیمه دوم قرن ۱۱؛ مجدول؛ کاغذ: سپاهانی متن و حاشیه، جلد: تیماج تریاکی ضربی زرکوب مقوایی، ۲گ (۳۴۴ پ - ۳۴۵ ر)، ۲۰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 ،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۳۲سم [ف: ۱۰۰۸]</w:t>
      </w:r>
    </w:p>
    <w:p>
      <w:pPr>
        <w:pStyle w:val="BookText"/>
      </w:pPr>
      <w:r>
        <w:rPr>
          <w:rFonts w:ascii="IRNazanin" w:hAnsi="IRNazanin" w:eastAsia="IRNazanin" w:cs="IRNazanin"/>
          <w:lang w:bidi="fa-IR"/>
          <w:color w:val="111111"/>
          <w:sz w:val="28"/>
          <w:szCs w:val="28"/>
          <w:rtl/>
        </w:rPr>
        <w:t xml:space="preserve">۲۳۴. تهران؛ ملک؛ شماره نسخه: ۳۸۴۴/۳۰</w:t>
      </w:r>
    </w:p>
    <w:p>
      <w:pPr>
        <w:pStyle w:val="BookText"/>
      </w:pPr>
      <w:r>
        <w:rPr>
          <w:rFonts w:ascii="IRNazanin" w:hAnsi="IRNazanin" w:eastAsia="IRNazanin" w:cs="IRNazanin"/>
          <w:lang w:bidi="fa-IR"/>
          <w:color w:val="111111"/>
          <w:sz w:val="28"/>
          <w:szCs w:val="28"/>
          <w:rtl/>
        </w:rPr>
        <w:t xml:space="preserve">آغاز: لک الحمدای بنامت نامه شوق *** بیادت گرمی هنگامه شوق / موفق كن بذكرت نامه ام را *** محلی کن بشکرت خامه ام را؛انجام: مرا شیرین تر از جان کندن آمد*** مرا لعل و ترا کان کندن آمد</w:t>
      </w:r>
    </w:p>
    <w:p>
      <w:pPr>
        <w:pStyle w:val="BookText"/>
      </w:pPr>
      <w:r>
        <w:rPr>
          <w:rFonts w:ascii="IRNazanin" w:hAnsi="IRNazanin" w:eastAsia="IRNazanin" w:cs="IRNazanin"/>
          <w:lang w:bidi="fa-IR"/>
          <w:color w:val="111111"/>
          <w:sz w:val="28"/>
          <w:szCs w:val="28"/>
          <w:rtl/>
        </w:rPr>
        <w:t xml:space="preserve">مثنوی است حدود ۵۲۰ بیت ؛خط: نستعلیق، بی کا، تا: قرن ۱۱؛ راسته و چلیپا ؛کاغذ: ترمه ،جلد: رویه میشن قهوه ای روشن، ۵گ  (۱۸۴پ - ۱۸۹ر)، اندازه: ۱۳/۳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۲۳/۵سم [ف: ۷ - ۹۲]</w:t>
      </w:r>
    </w:p>
    <w:p>
      <w:pPr>
        <w:pStyle w:val="BookText"/>
      </w:pPr>
      <w:r>
        <w:rPr>
          <w:rFonts w:ascii="IRNazanin" w:hAnsi="IRNazanin" w:eastAsia="IRNazanin" w:cs="IRNazanin"/>
          <w:lang w:bidi="fa-IR"/>
          <w:color w:val="111111"/>
          <w:sz w:val="28"/>
          <w:szCs w:val="28"/>
          <w:rtl/>
        </w:rPr>
        <w:t xml:space="preserve">235.تهران؛ دانشگاه؛ شماره نسخه: ۲۴۶۴/۴۰</w:t>
      </w:r>
    </w:p>
    <w:p>
      <w:pPr>
        <w:pStyle w:val="BookText"/>
      </w:pPr>
      <w:r>
        <w:rPr>
          <w:rFonts w:ascii="IRNazanin" w:hAnsi="IRNazanin" w:eastAsia="IRNazanin" w:cs="IRNazanin"/>
          <w:lang w:bidi="fa-IR"/>
          <w:color w:val="111111"/>
          <w:sz w:val="28"/>
          <w:szCs w:val="28"/>
          <w:rtl/>
        </w:rPr>
        <w:t xml:space="preserve">آغاز چو شد صیاد صبح از دشت پیدا *** گرفت آن دشت را آهوی صحرا؛ انجام: شد از نظاره غافل مست کردار *** دلش را برد هندوی جگر خوار</w:t>
      </w:r>
    </w:p>
    <w:p>
      <w:pPr>
        <w:pStyle w:val="BookText"/>
      </w:pPr>
      <w:r>
        <w:rPr>
          <w:rFonts w:ascii="IRNazanin" w:hAnsi="IRNazanin" w:eastAsia="IRNazanin" w:cs="IRNazanin"/>
          <w:lang w:bidi="fa-IR"/>
          <w:color w:val="111111"/>
          <w:sz w:val="28"/>
          <w:szCs w:val="28"/>
          <w:rtl/>
        </w:rPr>
        <w:t xml:space="preserve">مثنوی از شاملو؛ خط: نستعلیق، بی کا، تا: قرن ۱۱؛ کاغذ: سپاهانی ،جلد: تیماج مشکی ضربی درون تریاکی، ۲ص (۳۴۸-۳۴۹)، چلیپا، ابعاد متن: ۱۷/۵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۳۳ اندازه: ۱۸/۵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۳۴سم [ف: ۹ - ۱۲۰۷]</w:t>
      </w:r>
    </w:p>
    <w:p>
      <w:pPr>
        <w:pStyle w:val="BookText"/>
      </w:pPr>
      <w:r>
        <w:rPr>
          <w:rFonts w:ascii="Times New Roman" w:hAnsi="Times New Roman" w:eastAsia="Times New Roman" w:cs="Times New Roman"/>
          <w:lang w:val="en-US" w:bidi="en-US"/>
          <w:color w:val="111111"/>
          <w:sz w:val="28"/>
          <w:szCs w:val="28"/>
          <w:rtl/>
        </w:rPr>
        <w:t xml:space="preserve">236.</w:t>
      </w:r>
    </w:p>
    <w:p>
      <w:pPr>
        <w:pStyle w:val="BookText"/>
      </w:pPr>
      <w:r>
        <w:rPr>
          <w:rFonts w:ascii="IRNazanin" w:hAnsi="IRNazanin" w:eastAsia="IRNazanin" w:cs="IRNazanin"/>
          <w:lang w:bidi="fa-IR"/>
          <w:color w:val="111111"/>
          <w:sz w:val="28"/>
          <w:szCs w:val="28"/>
          <w:rtl/>
        </w:rPr>
        <w:t xml:space="preserve">تهران؛ دانشگاه؛ شماره نسخه: ۶۰۶۶/۱</w:t>
      </w:r>
    </w:p>
    <w:p>
      <w:pPr>
        <w:pStyle w:val="BookText"/>
      </w:pPr>
      <w:r>
        <w:rPr>
          <w:rFonts w:ascii="IRNazanin" w:hAnsi="IRNazanin" w:eastAsia="IRNazanin" w:cs="IRNazanin"/>
          <w:lang w:bidi="fa-IR"/>
          <w:color w:val="111111"/>
          <w:sz w:val="28"/>
          <w:szCs w:val="28"/>
          <w:rtl/>
        </w:rPr>
        <w:t xml:space="preserve">آغاز: ز بسم الله خوش ابرو هر کتاب است *** که موج آبروی هر
</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خطاب است / سر هر نامه را تابند کاکل *** بروی صفحه زلـفی چو سنبل؛ انجام: مرا در عشق فایق از همه كن *** وصال من به حسن خاتمه کن</w:t>
      </w:r>
    </w:p>
    <w:p>
      <w:pPr>
        <w:pStyle w:val="BookText"/>
      </w:pPr>
      <w:r>
        <w:rPr>
          <w:rFonts w:ascii="IRNazanin" w:hAnsi="IRNazanin" w:eastAsia="IRNazanin" w:cs="IRNazanin"/>
          <w:lang w:bidi="fa-IR"/>
          <w:color w:val="111111"/>
          <w:sz w:val="28"/>
          <w:szCs w:val="28"/>
          <w:rtl/>
        </w:rPr>
        <w:t xml:space="preserve">مثنوی است از فایق ؛خط: نستعلیق، بی کا، تا: قرن ۱۱؛ کاغذ: سپاهانی، جلد: مقوا عطف  پارچه، ۱۳گ (۱پ-۱۴ر)، ۱۵ سطر (۶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سطر قطع : جیبی، اندازه۱۰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 ۱۶ - ۱۸۹]</w:t>
      </w:r>
    </w:p>
    <w:p>
      <w:pPr>
        <w:pStyle w:val="BookText"/>
      </w:pPr>
      <w:r>
        <w:rPr>
          <w:rFonts w:ascii="IRNazanin" w:hAnsi="IRNazanin" w:eastAsia="IRNazanin" w:cs="IRNazanin"/>
          <w:lang w:bidi="fa-IR"/>
          <w:color w:val="111111"/>
          <w:sz w:val="28"/>
          <w:szCs w:val="28"/>
          <w:rtl/>
        </w:rPr>
        <w:t xml:space="preserve">۲۳۷. تهران؛ دانشگاه؛ شماره نسخه: ۷۱۹۴/۴</w:t>
      </w:r>
    </w:p>
    <w:p>
      <w:pPr>
        <w:pStyle w:val="BookText"/>
      </w:pPr>
      <w:r>
        <w:rPr>
          <w:rFonts w:ascii="IRNazanin" w:hAnsi="IRNazanin" w:eastAsia="IRNazanin" w:cs="IRNazanin"/>
          <w:lang w:bidi="fa-IR"/>
          <w:color w:val="111111"/>
          <w:sz w:val="28"/>
          <w:szCs w:val="28"/>
          <w:rtl/>
        </w:rPr>
        <w:t xml:space="preserve">آغاز: بزرگ امید چون گلبرگ بشکفت *** چهل قصه به چـهل نکته فرو گفت/ نخستین گفت کز خود بر حذر باش *** چو گاو اشتر به زان شیر جماش؛ انجام: پشیمان شد ز بد عهدی و بی داد ***سرابی عدل را نو کرد بنیاد</w:t>
      </w:r>
    </w:p>
    <w:p>
      <w:pPr>
        <w:pStyle w:val="BookText"/>
      </w:pPr>
      <w:r>
        <w:rPr>
          <w:rFonts w:ascii="IRNazanin" w:hAnsi="IRNazanin" w:eastAsia="IRNazanin" w:cs="IRNazanin"/>
          <w:lang w:bidi="fa-IR"/>
          <w:color w:val="111111"/>
          <w:sz w:val="28"/>
          <w:szCs w:val="28"/>
          <w:rtl/>
        </w:rPr>
        <w:t xml:space="preserve">مثنوی در ۴۱ بیت ؛خط: نستعلیق، بی کا، تا: قرن ۱۱؛ کاغذ: سپاهانی ،جلد: تیماج تریاکی مجدول  لایی، 1گ (۱۲۳پ- ۱۲۴ر)، ۲۰ سطر ،(6</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قطع: ربعی ،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۱۹/۵سم [ف: 16- 483]</w:t>
      </w:r>
    </w:p>
    <w:p>
      <w:pPr>
        <w:pStyle w:val="BookText"/>
      </w:pPr>
      <w:r>
        <w:rPr>
          <w:rFonts w:ascii="IRNazanin" w:hAnsi="IRNazanin" w:eastAsia="IRNazanin" w:cs="IRNazanin"/>
          <w:lang w:bidi="fa-IR"/>
          <w:color w:val="111111"/>
          <w:sz w:val="28"/>
          <w:szCs w:val="28"/>
          <w:rtl/>
        </w:rPr>
        <w:t xml:space="preserve">۲۳۸. تهران؛ نوربخش؛ شماره نسخه: ۸۶۹ض</w:t>
      </w:r>
    </w:p>
    <w:p>
      <w:pPr>
        <w:pStyle w:val="BookText"/>
      </w:pPr>
      <w:r>
        <w:rPr>
          <w:rFonts w:ascii="IRNazanin" w:hAnsi="IRNazanin" w:eastAsia="IRNazanin" w:cs="IRNazanin"/>
          <w:lang w:bidi="fa-IR"/>
          <w:color w:val="111111"/>
          <w:sz w:val="28"/>
          <w:szCs w:val="28"/>
          <w:rtl/>
        </w:rPr>
        <w:t xml:space="preserve">آغاز: این چند بیت از نخستین ابیات موجود است:چو صبح روی دریا کرد قد راست *** حباب از کوچه ای موج برخاست/ دلم شد جمع از آن غنچه کردار *** به صیادی نهادم رو دگر بار/ مبادا کشتیم گردد تباهی *** مهم در دام و من مشغول ماهی/ سوی او دویدم باز بی تاب *** که ناگه چشم بگشود از شـکر خواب ... گل طبعم در آمد در شکفتن *** بگفتم آنچه می بایست گفتن؛</w:t>
      </w:r>
    </w:p>
    <w:p>
      <w:pPr>
        <w:pStyle w:val="BookText"/>
      </w:pPr>
      <w:r>
        <w:rPr>
          <w:rFonts w:ascii="IRNazanin" w:hAnsi="IRNazanin" w:eastAsia="IRNazanin" w:cs="IRNazanin"/>
          <w:lang w:bidi="fa-IR"/>
          <w:color w:val="111111"/>
          <w:sz w:val="28"/>
          <w:szCs w:val="28"/>
          <w:rtl/>
        </w:rPr>
        <w:t xml:space="preserve">مثنوی است؛ خط: نسخ، بی کا، تا: قرن ۱۱؛ افتادگی: آغاز و انجام؛ کاغذ: اصفهانی، جلد: تیماج قرمز یک  لا، ۲گ (۴۴-۴۵) مختلـف السطر ، قطع: نیم  خشتی،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:[نشریه: ۱۳-۲۶۳]</w:t>
      </w:r>
    </w:p>
    <w:p>
      <w:pPr>
        <w:pStyle w:val="BookText"/>
      </w:pPr>
      <w:r>
        <w:rPr>
          <w:rFonts w:ascii="Times New Roman" w:hAnsi="Times New Roman" w:eastAsia="Times New Roman" w:cs="Times New Roman"/>
          <w:lang w:val="en-US" w:bidi="en-US"/>
          <w:color w:val="111111"/>
          <w:sz w:val="28"/>
          <w:szCs w:val="28"/>
          <w:rtl/>
        </w:rPr>
        <w:t xml:space="preserve">239.</w:t>
      </w:r>
    </w:p>
    <w:p>
      <w:pPr>
        <w:pStyle w:val="BookText"/>
      </w:pPr>
      <w:r>
        <w:rPr>
          <w:rFonts w:ascii="IRNazanin" w:hAnsi="IRNazanin" w:eastAsia="IRNazanin" w:cs="IRNazanin"/>
          <w:lang w:bidi="fa-IR"/>
          <w:color w:val="111111"/>
          <w:sz w:val="28"/>
          <w:szCs w:val="28"/>
          <w:rtl/>
        </w:rPr>
        <w:t xml:space="preserve">تهران؛ ملک؛ شماره نسخه: ۴۶۷۲/۲</w:t>
      </w:r>
    </w:p>
    <w:p>
      <w:pPr>
        <w:pStyle w:val="BookText"/>
      </w:pPr>
      <w:r>
        <w:rPr>
          <w:rFonts w:ascii="IRNazanin" w:hAnsi="IRNazanin" w:eastAsia="IRNazanin" w:cs="IRNazanin"/>
          <w:lang w:bidi="fa-IR"/>
          <w:color w:val="111111"/>
          <w:sz w:val="28"/>
          <w:szCs w:val="28"/>
          <w:rtl/>
        </w:rPr>
        <w:t xml:space="preserve">آغاز: خداوندا دلی ده آشنا روی*** که تابد جز تو از هر آشنا روی؛ انجام: مثال دخل استعداد را خرج *** نوازشهای گوناگـون درو درج</w:t>
      </w:r>
    </w:p>
    <w:p>
      <w:pPr>
        <w:pStyle w:val="BookText"/>
      </w:pPr>
      <w:r>
        <w:rPr>
          <w:rFonts w:ascii="IRNazanin" w:hAnsi="IRNazanin" w:eastAsia="IRNazanin" w:cs="IRNazanin"/>
          <w:lang w:bidi="fa-IR"/>
          <w:color w:val="111111"/>
          <w:sz w:val="28"/>
          <w:szCs w:val="28"/>
          <w:rtl/>
        </w:rPr>
        <w:t xml:space="preserve">مثنوی سام و بهرام است به نام شاه صفی؛ خط: نستعلیق خوش، بی کا، تا: قرن ۱۱؛ دارای سرلوح مذهب و مجدول به طلا؛ کاغذ: نوعی ترمه ،جلد: رویه مخمل آبی، ۱۵ سطر، اندازه: ۱۳/۹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۲۴/۶سم [ف: ۸ - ۱۲]</w:t>
      </w:r>
    </w:p>
    <w:p>
      <w:pPr>
        <w:pStyle w:val="BookText"/>
      </w:pPr>
      <w:r>
        <w:rPr>
          <w:rFonts w:ascii="IRNazanin" w:hAnsi="IRNazanin" w:eastAsia="IRNazanin" w:cs="IRNazanin"/>
          <w:lang w:bidi="fa-IR"/>
          <w:color w:val="111111"/>
          <w:sz w:val="28"/>
          <w:szCs w:val="28"/>
          <w:rtl/>
        </w:rPr>
        <w:t xml:space="preserve">۲۴۰. تهران؛ ملک؛ شماره نسخه: ۴۶۷۲/۱</w:t>
      </w:r>
    </w:p>
    <w:p>
      <w:pPr>
        <w:pStyle w:val="BookText"/>
      </w:pPr>
      <w:r>
        <w:rPr>
          <w:rFonts w:ascii="IRNazanin" w:hAnsi="IRNazanin" w:eastAsia="IRNazanin" w:cs="IRNazanin"/>
          <w:lang w:bidi="fa-IR"/>
          <w:color w:val="111111"/>
          <w:sz w:val="28"/>
          <w:szCs w:val="28"/>
          <w:rtl/>
        </w:rPr>
        <w:t xml:space="preserve">آغاز: بحمدالله که این دیباچه راز *** به توفیق هدایت شد سرافراز؛ انجام: منم خسرو مرا شیرین بود یاد *** تو فرهادی ترا حسرت بود کار</w:t>
      </w:r>
    </w:p>
    <w:p>
      <w:pPr>
        <w:pStyle w:val="BookText"/>
      </w:pPr>
      <w:r>
        <w:rPr>
          <w:rFonts w:ascii="IRNazanin" w:hAnsi="IRNazanin" w:eastAsia="IRNazanin" w:cs="IRNazanin"/>
          <w:lang w:bidi="fa-IR"/>
          <w:color w:val="111111"/>
          <w:sz w:val="28"/>
          <w:szCs w:val="28"/>
          <w:rtl/>
        </w:rPr>
        <w:t xml:space="preserve">مثنوی شکار رفتن محمود غزنوی است ؛خط: نستعلیق خوش، بی کا، تا: قرن ۱۱؛ دارای سرلوح مذهب و مجدول به طلا؛ کاغذ: نوعی ترمه ،جلد: رویه مخمل آبی، ۱۵ سطر، اندازه: ۱۳/۹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۲۴/۶سم [ف: ۸ - ۱۲]</w:t>
      </w:r>
    </w:p>
    <w:p>
      <w:pPr>
        <w:pStyle w:val="BookText"/>
      </w:pPr>
      <w:r>
        <w:rPr>
          <w:rFonts w:ascii="IRNazanin" w:hAnsi="IRNazanin" w:eastAsia="IRNazanin" w:cs="IRNazanin"/>
          <w:lang w:bidi="fa-IR"/>
          <w:color w:val="111111"/>
          <w:sz w:val="28"/>
          <w:szCs w:val="28"/>
          <w:rtl/>
        </w:rPr>
        <w:t xml:space="preserve">۲۴۱. تهران؛ ملک؛ شماره نسخه: ۵۵۴۲/۳</w:t>
      </w:r>
    </w:p>
    <w:p>
      <w:pPr>
        <w:pStyle w:val="BookText"/>
      </w:pPr>
      <w:r>
        <w:rPr>
          <w:rFonts w:ascii="IRNazanin" w:hAnsi="IRNazanin" w:eastAsia="IRNazanin" w:cs="IRNazanin"/>
          <w:lang w:bidi="fa-IR"/>
          <w:color w:val="111111"/>
          <w:sz w:val="28"/>
          <w:szCs w:val="28"/>
          <w:rtl/>
        </w:rPr>
        <w:t xml:space="preserve">آغاز: بهر تصویر عشق سحر بیان </w:t>
      </w:r>
      <w:r>
        <w:rPr>
          <w:rFonts w:ascii="IRNazanin" w:hAnsi="IRNazanin" w:eastAsia="IRNazanin" w:cs="IRNazanin"/>
          <w:lang w:bidi="fa-IR"/>
          <w:color w:val="111111"/>
          <w:sz w:val="28"/>
          <w:szCs w:val="28"/>
          <w:b w:val="1"/>
          <w:bCs w:val="1"/>
          <w:i w:val="1"/>
          <w:iCs w:val="1"/>
          <w:rtl/>
        </w:rPr>
        <w:t xml:space="preserve">شد چمن ... سروران / خار ... بیابانش از سر درد</w:t>
      </w:r>
      <w:r>
        <w:rPr>
          <w:rFonts w:ascii="IRNazanin" w:hAnsi="IRNazanin" w:eastAsia="IRNazanin" w:cs="IRNazanin"/>
          <w:lang w:bidi="fa-IR"/>
          <w:color w:val="111111"/>
          <w:sz w:val="28"/>
          <w:szCs w:val="28"/>
          <w:rtl/>
        </w:rPr>
        <w:t xml:space="preserve"> دل افسرده را گلستان کرد؛ انجام: آن باین این بآن چنان آمیخت که تن و جان بیکدیگر آویخت/ ... *** عشق را کارها بود حاصل</w:t>
      </w:r>
    </w:p>
    <w:p>
      <w:pPr>
        <w:pStyle w:val="BookText"/>
      </w:pPr>
      <w:r>
        <w:rPr>
          <w:rFonts w:ascii="IRNazanin" w:hAnsi="IRNazanin" w:eastAsia="IRNazanin" w:cs="IRNazanin"/>
          <w:lang w:bidi="fa-IR"/>
          <w:color w:val="111111"/>
          <w:sz w:val="28"/>
          <w:szCs w:val="28"/>
          <w:rtl/>
        </w:rPr>
        <w:t xml:space="preserve">مثنوی عرفانی است، ناشناخته ؛خط: نستعلیق، بی کا، تا: قرن ۱۱؛ کاغذ: ترمه نازک، جلد: میشن قهوه ای، ۴۲گ (۱۳۶پ -۱۷۸ر)، ۱۴ سطر ،اندازه: ۱۱/۸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۲۱/۸سم [ف: ۸ - ۴۱۷]</w:t>
      </w:r>
    </w:p>
    <w:p>
      <w:pPr>
        <w:pStyle w:val="BookText"/>
      </w:pPr>
      <w:r>
        <w:rPr>
          <w:rFonts w:ascii="IRNazanin" w:hAnsi="IRNazanin" w:eastAsia="IRNazanin" w:cs="IRNazanin"/>
          <w:lang w:bidi="fa-IR"/>
          <w:color w:val="111111"/>
          <w:sz w:val="28"/>
          <w:szCs w:val="28"/>
          <w:rtl/>
        </w:rPr>
        <w:t xml:space="preserve">۲۴۲. تهران؛ ملک؛ شماره نسخه: ۴۶۷۱/۷۱</w:t>
      </w:r>
    </w:p>
    <w:p>
      <w:pPr>
        <w:pStyle w:val="BookText"/>
      </w:pPr>
      <w:r>
        <w:rPr>
          <w:rFonts w:ascii="IRNazanin" w:hAnsi="IRNazanin" w:eastAsia="IRNazanin" w:cs="IRNazanin"/>
          <w:lang w:bidi="fa-IR"/>
          <w:color w:val="111111"/>
          <w:sz w:val="28"/>
          <w:szCs w:val="28"/>
          <w:rtl/>
        </w:rPr>
        <w:t xml:space="preserve">آغاز: دیباچه ترکیب بند خلقت عالم و ترتیب ده هیئت بنی آدم صانعی تواند بود</w:t>
      </w:r>
    </w:p>
    <w:p>
      <w:pPr>
        <w:pStyle w:val="BookText"/>
      </w:pPr>
      <w:r>
        <w:rPr>
          <w:rFonts w:ascii="IRNazanin" w:hAnsi="IRNazanin" w:eastAsia="IRNazanin" w:cs="IRNazanin"/>
          <w:lang w:bidi="fa-IR"/>
          <w:color w:val="111111"/>
          <w:sz w:val="28"/>
          <w:szCs w:val="28"/>
          <w:rtl/>
        </w:rPr>
        <w:t xml:space="preserve">بخش ترکیب بند با دیباچه ای به نظم و نثر آغاز می گردد؛ خط: نستعلیق، بی کا، تا: قرن ۱۱ ؛کاغذ: نوعی  ترمه، جلد: میشن قهوه ای ضربی، گوناگون سطر، اندازه: ۱۵/۲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۲۴/۴سم [ف: ۸ - ۱۲]</w:t>
      </w:r>
    </w:p>
    <w:p>
      <w:pPr>
        <w:pStyle w:val="BookText"/>
      </w:pPr>
      <w:r>
        <w:rPr>
          <w:rFonts w:ascii="IRNazanin" w:hAnsi="IRNazanin" w:eastAsia="IRNazanin" w:cs="IRNazanin"/>
          <w:lang w:bidi="fa-IR"/>
          <w:color w:val="111111"/>
          <w:sz w:val="28"/>
          <w:szCs w:val="28"/>
          <w:rtl/>
        </w:rPr>
        <w:t xml:space="preserve">۲۴۳. تهران؛ ملک؛ شماره نسخه: ۵۷۶۵/۱</w:t>
      </w:r>
    </w:p>
    <w:p>
      <w:pPr>
        <w:pStyle w:val="BookText"/>
      </w:pPr>
      <w:r>
        <w:rPr>
          <w:rFonts w:ascii="IRNazanin" w:hAnsi="IRNazanin" w:eastAsia="IRNazanin" w:cs="IRNazanin"/>
          <w:lang w:bidi="fa-IR"/>
          <w:color w:val="111111"/>
          <w:sz w:val="28"/>
          <w:szCs w:val="28"/>
          <w:rtl/>
        </w:rPr>
        <w:t xml:space="preserve">ترکیب بند و اشعار پراکنده ؛خط: نستعلیق، بی کا، تا: قرن ۱۱؛ به خط کاتب هندی ؛کاغذ: رنگارنگ هندی، جلد: قهوه ای  مغزیدار، ۱۷گ( ۱پ- ۱۸ر) ۱۳ سطر، اندازه: ۱۲/۸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۳۰/۹سم  [ف: ۹ - ۲۹]</w:t>
      </w:r>
    </w:p>
    <w:p>
      <w:pPr>
        <w:pStyle w:val="BookText"/>
      </w:pPr>
      <w:r>
        <w:rPr>
          <w:rFonts w:ascii="IRNazanin" w:hAnsi="IRNazanin" w:eastAsia="IRNazanin" w:cs="IRNazanin"/>
          <w:lang w:bidi="fa-IR"/>
          <w:color w:val="111111"/>
          <w:sz w:val="28"/>
          <w:szCs w:val="28"/>
          <w:rtl/>
        </w:rPr>
        <w:t xml:space="preserve">۲۴۴. تهران؛ ملک؛ شماره نسخه: ۴۶۸۶/۲</w:t>
      </w:r>
    </w:p>
    <w:p>
      <w:pPr>
        <w:pStyle w:val="BookText"/>
      </w:pPr>
      <w:r>
        <w:rPr>
          <w:rFonts w:ascii="IRNazanin" w:hAnsi="IRNazanin" w:eastAsia="IRNazanin" w:cs="IRNazanin"/>
          <w:lang w:bidi="fa-IR"/>
          <w:color w:val="111111"/>
          <w:sz w:val="28"/>
          <w:szCs w:val="28"/>
          <w:rtl/>
        </w:rPr>
        <w:t xml:space="preserve">ترجیع بند؛ خط:شکسته نستعلیق، بی کا، تا: قرن ۱۱ [ف: ۸ - ۳۱]</w:t>
      </w:r>
    </w:p>
    <w:p>
      <w:pPr>
        <w:pStyle w:val="BookText"/>
      </w:pPr>
      <w:r>
        <w:rPr>
          <w:rFonts w:ascii="IRNazanin" w:hAnsi="IRNazanin" w:eastAsia="IRNazanin" w:cs="IRNazanin"/>
          <w:lang w:bidi="fa-IR"/>
          <w:color w:val="111111"/>
          <w:sz w:val="28"/>
          <w:szCs w:val="28"/>
          <w:rtl/>
        </w:rPr>
        <w:t xml:space="preserve">۲۴۵. تهران؛ دانشگاه؛ شماره نسخه: ۷۰۹۰/۹</w:t>
      </w:r>
    </w:p>
    <w:p>
      <w:pPr>
        <w:pStyle w:val="BookText"/>
      </w:pPr>
      <w:r>
        <w:rPr>
          <w:rFonts w:ascii="IRNazanin" w:hAnsi="IRNazanin" w:eastAsia="IRNazanin" w:cs="IRNazanin"/>
          <w:lang w:bidi="fa-IR"/>
          <w:color w:val="111111"/>
          <w:sz w:val="28"/>
          <w:szCs w:val="28"/>
          <w:rtl/>
        </w:rPr>
        <w:t xml:space="preserve">دو بند شعر عربی است با نسبت به سراینده آن که نامش بریده شده. پروانه صفت ملایک علیین*** گرد سر شمع روضه خلد برین / مقراض به احتیاط زن ای خادم*** ترسم ببری شهپر جبریل امین؛ پاسخ آن: هر شام و سحر ملایک عرش عظیم *** آیند به طوف شه فردوس حریم/ عمدا  پر خود بر سر مقراض نهند *** شاید که بدین وسیله گردند مقیم؛ خط: نستعلیق، بی کا، تا: قرن  11؛ کاغذ: سپاهانی و فرنگی،جلد: تیماج تریاکی لایی، 1ص(۵۴پ)، قطع: ربعی،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۱۶ - ۴۵۱]</w:t>
      </w:r>
    </w:p>
    <w:p>
      <w:pPr>
        <w:pStyle w:val="BookText"/>
      </w:pPr>
      <w:r>
        <w:rPr>
          <w:rFonts w:ascii="IRNazanin" w:hAnsi="IRNazanin" w:eastAsia="IRNazanin" w:cs="IRNazanin"/>
          <w:lang w:bidi="fa-IR"/>
          <w:color w:val="111111"/>
          <w:sz w:val="28"/>
          <w:szCs w:val="28"/>
          <w:rtl/>
        </w:rPr>
        <w:t xml:space="preserve">۲۴۶. تهران؛ دانشگاه؛ شماره نسخه: ۲۴۲۱/۳-ف</w:t>
      </w:r>
    </w:p>
    <w:p>
      <w:pPr>
        <w:pStyle w:val="BookText"/>
      </w:pPr>
      <w:r>
        <w:rPr>
          <w:rFonts w:ascii="IRNazanin" w:hAnsi="IRNazanin" w:eastAsia="IRNazanin" w:cs="IRNazanin"/>
          <w:lang w:bidi="fa-IR"/>
          <w:color w:val="111111"/>
          <w:sz w:val="28"/>
          <w:szCs w:val="28"/>
          <w:rtl/>
        </w:rPr>
        <w:t xml:space="preserve">نسخه اصل: کتابخانه وزیری جامع یزد، ش ۹۶۰[ این شماره در فهرست وزیری جز این است] آقا ابوالقاسم حبیب مسکریزدی و ابوالحسن میرزای شیخ الرئيس قاجار و میرزا حسین شوکت یزدی که در هفتاد سالگی نزدیک ۱۳۳۰ در گذشته است و حسین خان  آجودان باشی؛ بی کا، تا: قرن ۱۱ [ فیلمها: ۱ - ۶۸۲]</w:t>
      </w:r>
    </w:p>
    <w:p>
      <w:pPr>
        <w:pStyle w:val="BookText"/>
      </w:pPr>
      <w:r>
        <w:rPr>
          <w:rFonts w:ascii="IRNazanin" w:hAnsi="IRNazanin" w:eastAsia="IRNazanin" w:cs="IRNazanin"/>
          <w:lang w:bidi="fa-IR"/>
          <w:color w:val="111111"/>
          <w:sz w:val="28"/>
          <w:szCs w:val="28"/>
          <w:rtl/>
        </w:rPr>
        <w:t xml:space="preserve">۲۴۷. تهران؛ ملک؛ شماره نسخه: ۴۹۵۷/۸</w:t>
      </w:r>
    </w:p>
    <w:p>
      <w:pPr>
        <w:pStyle w:val="BookText"/>
      </w:pPr>
      <w:r>
        <w:rPr>
          <w:rFonts w:ascii="IRNazanin" w:hAnsi="IRNazanin" w:eastAsia="IRNazanin" w:cs="IRNazanin"/>
          <w:lang w:bidi="fa-IR"/>
          <w:color w:val="111111"/>
          <w:sz w:val="28"/>
          <w:szCs w:val="28"/>
          <w:rtl/>
        </w:rPr>
        <w:t xml:space="preserve">شعرهای پراکنده است؛ خط: نستعلیق، بی کا، تا: قرن ۱۱ [ف: ۸ - ۱۴۳]</w:t>
      </w:r>
    </w:p>
    <w:p>
      <w:pPr>
        <w:pStyle w:val="BookText"/>
      </w:pPr>
      <w:r>
        <w:rPr>
          <w:rFonts w:ascii="IRNazanin" w:hAnsi="IRNazanin" w:eastAsia="IRNazanin" w:cs="IRNazanin"/>
          <w:lang w:bidi="fa-IR"/>
          <w:color w:val="111111"/>
          <w:sz w:val="28"/>
          <w:szCs w:val="28"/>
          <w:rtl/>
        </w:rPr>
        <w:t xml:space="preserve">۲۴۸. تهران؛ مجلس؛ شماره نسخه: ۱۴۷۴/۱۳</w:t>
      </w:r>
    </w:p>
    <w:p>
      <w:pPr>
        <w:pStyle w:val="BookText"/>
      </w:pPr>
      <w:r>
        <w:rPr>
          <w:rFonts w:ascii="IRNazanin" w:hAnsi="IRNazanin" w:eastAsia="IRNazanin" w:cs="IRNazanin"/>
          <w:lang w:bidi="fa-IR"/>
          <w:color w:val="111111"/>
          <w:sz w:val="28"/>
          <w:szCs w:val="28"/>
          <w:rtl/>
        </w:rPr>
        <w:t xml:space="preserve">گزیده ای از شعرهای صائب؛ خط: نستعلیق، بی کا، تا: قرن ۱۱؛ کاغذ: زرد و سرخ فام و سفید، جلد: تیماج تریاکی یک لایی، ،بیاضی، ۱۱ ص( ۱۴۵ - ۱۵۵)، ۳۲سطر [سنا: ف: ۲ - ۲۸۰]</w:t>
      </w:r>
    </w:p>
    <w:p>
      <w:pPr>
        <w:pStyle w:val="BookText"/>
      </w:pPr>
      <w:r>
        <w:rPr>
          <w:rFonts w:ascii="IRNazanin" w:hAnsi="IRNazanin" w:eastAsia="IRNazanin" w:cs="IRNazanin"/>
          <w:lang w:bidi="fa-IR"/>
          <w:color w:val="111111"/>
          <w:sz w:val="28"/>
          <w:szCs w:val="28"/>
          <w:rtl/>
        </w:rPr>
        <w:t xml:space="preserve">۲۴۹. شیراز؛ علامه طباطبائی؛ شماره نسخه: ۱۷۲۴/۴</w:t>
      </w:r>
    </w:p>
    <w:p>
      <w:pPr>
        <w:pStyle w:val="BookText"/>
      </w:pPr>
      <w:r>
        <w:rPr>
          <w:rFonts w:ascii="IRNazanin" w:hAnsi="IRNazanin" w:eastAsia="IRNazanin" w:cs="IRNazanin"/>
          <w:lang w:bidi="fa-IR"/>
          <w:color w:val="111111"/>
          <w:sz w:val="28"/>
          <w:szCs w:val="28"/>
          <w:rtl/>
        </w:rPr>
        <w:t xml:space="preserve">آغاز: اوحدی که سر لجاجبت نیست *** ز و نخواهی که خواست
</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حاجت نیست</w:t>
      </w:r>
    </w:p>
    <w:p>
      <w:pPr>
        <w:pStyle w:val="BookText"/>
      </w:pPr>
      <w:r>
        <w:rPr>
          <w:rFonts w:ascii="IRNazanin" w:hAnsi="IRNazanin" w:eastAsia="IRNazanin" w:cs="IRNazanin"/>
          <w:lang w:bidi="fa-IR"/>
          <w:color w:val="111111"/>
          <w:sz w:val="28"/>
          <w:szCs w:val="28"/>
          <w:rtl/>
        </w:rPr>
        <w:t xml:space="preserve">مثنوی است و مطالب عرفانی و در پند و اندرز است، مانند: آداب التماس، در ظلم و ظلمت، در ملازمت پادشا و شرایط آن؛ خط: نستعلیق، بی کا، تا: قرن11؛ افتادگی: آغاز و انجام؛ اندازه: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۱۶/۵سم [ نسخه پژوهی: ۳ - ۱۷۳]</w:t>
      </w:r>
    </w:p>
    <w:p>
      <w:pPr>
        <w:pStyle w:val="BookText"/>
      </w:pPr>
      <w:r>
        <w:rPr>
          <w:rFonts w:ascii="IRNazanin" w:hAnsi="IRNazanin" w:eastAsia="IRNazanin" w:cs="IRNazanin"/>
          <w:lang w:bidi="fa-IR"/>
          <w:color w:val="111111"/>
          <w:sz w:val="28"/>
          <w:szCs w:val="28"/>
          <w:rtl/>
        </w:rPr>
        <w:t xml:space="preserve">۲۵۰. شیراز؛ علامه طباطبائی؛ شماره نسخه: ۱۶۸۱</w:t>
      </w:r>
    </w:p>
    <w:p>
      <w:pPr>
        <w:pStyle w:val="BookText"/>
      </w:pPr>
      <w:r>
        <w:rPr>
          <w:rFonts w:ascii="IRNazanin" w:hAnsi="IRNazanin" w:eastAsia="IRNazanin" w:cs="IRNazanin"/>
          <w:lang w:bidi="fa-IR"/>
          <w:color w:val="111111"/>
          <w:sz w:val="28"/>
          <w:szCs w:val="28"/>
          <w:rtl/>
        </w:rPr>
        <w:t xml:space="preserve">آغاز: ای جلال تو زبانها را بیان انداخته *** عزت ذاتت يقين را در کمال انداخته؛</w:t>
      </w:r>
    </w:p>
    <w:p>
      <w:pPr>
        <w:pStyle w:val="BookText"/>
      </w:pPr>
      <w:r>
        <w:rPr>
          <w:rFonts w:ascii="IRNazanin" w:hAnsi="IRNazanin" w:eastAsia="IRNazanin" w:cs="IRNazanin"/>
          <w:lang w:bidi="fa-IR"/>
          <w:color w:val="111111"/>
          <w:sz w:val="28"/>
          <w:szCs w:val="28"/>
          <w:rtl/>
        </w:rPr>
        <w:t xml:space="preserve">دیوان شعر است در مدح سلطان غیاث الدین محمود یک قصـیده سروده. آغاز آن: خدای داد به ملک زمانه دگر بار *** طراوتی نه به اندازه قیاس و شمار؛ خط: نستعلیق، بی کا، تا: قرن ۱۱؛ افتادگی: انجام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[نسخه پژوهی: ۲ - ۱۶۱]</w:t>
      </w:r>
    </w:p>
    <w:p>
      <w:pPr>
        <w:pStyle w:val="BookText"/>
      </w:pPr>
      <w:r>
        <w:rPr>
          <w:rFonts w:ascii="IRNazanin" w:hAnsi="IRNazanin" w:eastAsia="IRNazanin" w:cs="IRNazanin"/>
          <w:lang w:bidi="fa-IR"/>
          <w:color w:val="111111"/>
          <w:sz w:val="28"/>
          <w:szCs w:val="28"/>
          <w:rtl/>
        </w:rPr>
        <w:t xml:space="preserve">۲۵۱. تهران؛ ملک؛ شماره نسخه: ۴۹۷۰</w:t>
      </w:r>
    </w:p>
    <w:p>
      <w:pPr>
        <w:pStyle w:val="BookText"/>
      </w:pPr>
      <w:r>
        <w:rPr>
          <w:rFonts w:ascii="IRNazanin" w:hAnsi="IRNazanin" w:eastAsia="IRNazanin" w:cs="IRNazanin"/>
          <w:lang w:bidi="fa-IR"/>
          <w:color w:val="111111"/>
          <w:sz w:val="28"/>
          <w:szCs w:val="28"/>
          <w:rtl/>
        </w:rPr>
        <w:t xml:space="preserve">آغاز: بی دیده اگر راه روی عین خطاست *** بر دیده اگر تـکیه کنی تیر بلاست؛ انجام: به لطف شامل خود مرحمت کن دستگیرم شو *** بعفو توست امید من ای امیدگاه من (؟)</w:t>
      </w:r>
    </w:p>
    <w:p>
      <w:pPr>
        <w:pStyle w:val="BookText"/>
      </w:pPr>
      <w:r>
        <w:rPr>
          <w:rFonts w:ascii="IRNazanin" w:hAnsi="IRNazanin" w:eastAsia="IRNazanin" w:cs="IRNazanin"/>
          <w:lang w:bidi="fa-IR"/>
          <w:color w:val="111111"/>
          <w:sz w:val="28"/>
          <w:szCs w:val="28"/>
          <w:rtl/>
        </w:rPr>
        <w:t xml:space="preserve">مجموعه ای است از رباعیات رباعی سرایان مشهور مانند خیام و ابو سعید و دیگران؛ خط: نستعلیق، بی کا، تا: قرن ۱۱؛ کاغذ: نوعی ترمه ،جلد: میشن قهوه ای لایی، ۵۸ گ، ۱۰ سطر، اندازه: ۹/۳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۱۵/۳سم [ف: ۸ - ۱۵۱]</w:t>
      </w:r>
    </w:p>
    <w:p>
      <w:pPr>
        <w:pStyle w:val="BookText"/>
      </w:pPr>
      <w:r>
        <w:rPr>
          <w:rFonts w:ascii="IRNazanin" w:hAnsi="IRNazanin" w:eastAsia="IRNazanin" w:cs="IRNazanin"/>
          <w:lang w:bidi="fa-IR"/>
          <w:color w:val="111111"/>
          <w:sz w:val="28"/>
          <w:szCs w:val="28"/>
          <w:rtl/>
        </w:rPr>
        <w:t xml:space="preserve">۲۵۲. تهران؛ ملی؛ شماره نسخه: ۲۴۸۵</w:t>
      </w:r>
    </w:p>
    <w:p>
      <w:pPr>
        <w:pStyle w:val="BookText"/>
      </w:pPr>
      <w:r>
        <w:rPr>
          <w:rFonts w:ascii="IRNazanin" w:hAnsi="IRNazanin" w:eastAsia="IRNazanin" w:cs="IRNazanin"/>
          <w:lang w:bidi="fa-IR"/>
          <w:color w:val="111111"/>
          <w:sz w:val="28"/>
          <w:szCs w:val="28"/>
          <w:rtl/>
        </w:rPr>
        <w:t xml:space="preserve">آغاز: ای زخیال ما برون در تو خیال کی رسد *** باصفت تو عقل را لاف کمال کی رسد ؛انجام: در کوه و دشت بس که کشیدم زمینه آه *** شد خانه ای مردم صحرا نشین سیاه</w:t>
      </w:r>
    </w:p>
    <w:p>
      <w:pPr>
        <w:pStyle w:val="BookText"/>
      </w:pPr>
      <w:r>
        <w:rPr>
          <w:rFonts w:ascii="IRNazanin" w:hAnsi="IRNazanin" w:eastAsia="IRNazanin" w:cs="IRNazanin"/>
          <w:lang w:bidi="fa-IR"/>
          <w:color w:val="111111"/>
          <w:sz w:val="28"/>
          <w:szCs w:val="28"/>
          <w:rtl/>
        </w:rPr>
        <w:t xml:space="preserve">این مجموعه که به خطی بسیار زیبا تحریر شده از شاعران زیر در آن اشعاری آمده: جامی ،حافظ مولانا نور الدین، خواجه حسـن، میر محمد صالح، کمال ،ریاضی، سیفی ،اهلی، کاتبی حیدر، خیالی؛ خط: نستعلیق بسیار  خوش، بی کا، تا: محتملاً قرن11؛ صفحات به خط حمایلی خط حمایلی و مستقیم، مجدول ،مذهب، با سرلوح؛ كاغذ: متن خطائی حاشیه فیروزی ،جلد: تیماج مشکی، نقاشی کنده کاری، ابعاد متن: 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۳۸گ،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۲۸/۵سم [5- 657]</w:t>
      </w:r>
    </w:p>
    <w:p>
      <w:pPr>
        <w:pStyle w:val="BookText"/>
      </w:pPr>
      <w:r>
        <w:rPr>
          <w:rFonts w:ascii="IRNazanin" w:hAnsi="IRNazanin" w:eastAsia="IRNazanin" w:cs="IRNazanin"/>
          <w:lang w:bidi="fa-IR"/>
          <w:color w:val="111111"/>
          <w:sz w:val="28"/>
          <w:szCs w:val="28"/>
          <w:rtl/>
        </w:rPr>
        <w:t xml:space="preserve">۲۵۳. تهران؛ ملک؛ شماره نسخه: ۵۰۶۷/۳</w:t>
      </w:r>
    </w:p>
    <w:p>
      <w:pPr>
        <w:pStyle w:val="BookText"/>
      </w:pPr>
      <w:r>
        <w:rPr>
          <w:rFonts w:ascii="IRNazanin" w:hAnsi="IRNazanin" w:eastAsia="IRNazanin" w:cs="IRNazanin"/>
          <w:lang w:bidi="fa-IR"/>
          <w:color w:val="111111"/>
          <w:sz w:val="28"/>
          <w:szCs w:val="28"/>
          <w:rtl/>
        </w:rPr>
        <w:t xml:space="preserve">اشعاری از: سعدی، خواجه حسین، محتشم ،هاتفی ،جامی، شـیخ عطار ،فردوسی، عاشق، صائب ،فغانی ،شوقی ،شاکر ،پیغام، رفیـق، کافی،مجنون، نظیری ،ذبیحی ،حاجت ،طوفان، سهیل،امیر شاهی، رضی، ابوطالب کلیم،عرفی، سالک، قدسی، مشرب ،طرزی ،شمس، حزین ،مشتاق ،هجری، محروم، سایل، مؤمن حسین یزدی ،طوفان ،وحشی ،صهبا نیازی، حسنی، سلطان ابوسعید، و جز آنها؛ خط: نستعلیق، بی کا، تا: قرن ۱۱؛ کاغذ: فستـقی آبی ،جلد: میشن سبز، ۶۰گ (۴۰ پ -۱۰۰ر)، هامش و پراکنـده، ۲۳سطر، اندازه: ۱۹/۳۰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۳۲/۲سم [ف: ۸ - ۱۸۳]</w:t>
      </w:r>
    </w:p>
    <w:p>
      <w:pPr>
        <w:pStyle w:val="BookText"/>
      </w:pPr>
      <w:r>
        <w:rPr>
          <w:rFonts w:ascii="IRNazanin" w:hAnsi="IRNazanin" w:eastAsia="IRNazanin" w:cs="IRNazanin"/>
          <w:lang w:bidi="fa-IR"/>
          <w:color w:val="111111"/>
          <w:sz w:val="28"/>
          <w:szCs w:val="28"/>
          <w:rtl/>
        </w:rPr>
        <w:t xml:space="preserve">۲۵۴. تهران؛ ملک؛ شماره نسخه: ۵۱۱۵</w:t>
      </w:r>
    </w:p>
    <w:p>
      <w:pPr>
        <w:pStyle w:val="BookText"/>
      </w:pPr>
      <w:r>
        <w:rPr>
          <w:rFonts w:ascii="IRNazanin" w:hAnsi="IRNazanin" w:eastAsia="IRNazanin" w:cs="IRNazanin"/>
          <w:lang w:bidi="fa-IR"/>
          <w:color w:val="111111"/>
          <w:sz w:val="28"/>
          <w:szCs w:val="28"/>
          <w:rtl/>
        </w:rPr>
        <w:t xml:space="preserve">اشعاری از صایب تبریزی، عرفی، ترجیع بند سید نعمت الله،بیاضی، غزلیات میر رضی، غزلیات جامی، عراقی، قاسم انوار، نسیمی ،اسیری، شیخ عطار، بابا فغانی ،شمس تبریزی، حافظ شیرازی ،طرازی، بندهایی به نظم و نثر فارسی در پند و اندرز و حکایت؛ خط: نستعلیق خوش، بی کا، تا: قرن۱۱؛ افتادگی: آغاز انجام؛ مجدول؛ کاغذ: نوعی ترمه، جلد: کاغذ سیاه عطف و گوشه میشن سرخ، ۱۱۱گ، ۱۲سطر، اندازه: ۱۱/۲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۸-214]</w:t>
      </w:r>
    </w:p>
    <w:p>
      <w:pPr>
        <w:pStyle w:val="BookText"/>
      </w:pPr>
      <w:r>
        <w:rPr>
          <w:rFonts w:ascii="IRNazanin" w:hAnsi="IRNazanin" w:eastAsia="IRNazanin" w:cs="IRNazanin"/>
          <w:lang w:bidi="fa-IR"/>
          <w:color w:val="111111"/>
          <w:sz w:val="28"/>
          <w:szCs w:val="28"/>
          <w:rtl/>
        </w:rPr>
        <w:t xml:space="preserve">۲۵۵. تهران؛ نوربخش؛ شماره نسخه: ۷۲۰</w:t>
      </w:r>
    </w:p>
    <w:p>
      <w:pPr>
        <w:pStyle w:val="BookText"/>
      </w:pPr>
      <w:r>
        <w:rPr>
          <w:rFonts w:ascii="IRNazanin" w:hAnsi="IRNazanin" w:eastAsia="IRNazanin" w:cs="IRNazanin"/>
          <w:lang w:bidi="fa-IR"/>
          <w:color w:val="111111"/>
          <w:sz w:val="28"/>
          <w:szCs w:val="28"/>
          <w:rtl/>
        </w:rPr>
        <w:t xml:space="preserve">برگزیده هایی است از اشعار: عنصری ،عسجدی ،عبدالواسع ،فرخی، حکیم بخاری، مسعود سد سلمان، فصیحی گرگانی، ابوالفرج  رونی، عمادی غزنوی، عمادی شهریاری، ادیب صابر، سنائی غزنوی، مولانا جمال الدین عبدالرزاق، خاقانی، مجیر بیلقانی، افضل الدین کرمانی، سیف اسفرنگی، اثیرالدین اخسیکتی، اثیر اومانی، سیفی نیشابوری، بدیع سیفی، جوهری زرگر، نظامی، قوامی مطرزی (در عنوان: برادر نظامی)، بدرالدین چاپی (شاشی) رشید وطواط، ناصر بخارائی، رفیع ابهری، فرخاری (یک مسمط از او)، شمس طبس، سعید هروی (منتخب دیوان اوست)، لامعی گرگانی  سوزنی، مجدهمگر، اتابک و امامی هروی و سعدی (اشعار این هرسه در ضمن اشعار مجد آمده است)، شمس جاسبی ،قطران، فرید احوال، تاج الدین بخاری، سراج الدين بلخی، بدر جاجرمی، جمال الدین اشهری (شاپور از اولاد خیام، مفتی و ساکن تبریز)، ابوالمعالی رازی جندی، مولانا علی فتحی ،مولانا مغیث هانوی ،مولانا شمس جندی، ابوالمعالی نحاس، عبدالقادر نایینی، تاج الدین پوربها جامی، کلامی، مولانا حسن على متكلم، حسن على جلاير، عبدالرافع، مولانا مظفر خوافی، صائن الدین شیرازی، مولانا ضیاء نخشبی، خواجه عمیدالدین لویکی، خواجه عبید کرمانی، حکیم طرطری، ادیب نظیری، ابونصر رافعی، شمالی دهستانی، ادیب ششدری، در حواشی جنگ نیز اشعاری است از این شاعران: عنصری، قطره، فرخار ،نوار، مهدی بیک، ،شقاقی ،نشاط، اثیری، صبا، هاتف، بساطی، کمره ای ،مولوی ،نیری ،باعث، نثاری، میرزا فتح الله عرب متخلص، ذوقی، رابعة بنت كعتب (قزداری) آزاد خراسانی (برگ ۸۸پ -۹۰ر)، قطران (انتخابی است از بهترین اشعار قطران بدون عنوان در حاشیه (۱۱۰ پ -۱۱۵پ) نوید (۱۵۱پ-۱۵۲ر) قضایی یزدی ،معتمد ،سحاب،حریف، طوفان ،خاوری، عالی، خرم شیرازی (رباعیات) مخلص، خادم قیری، منعم، طرب، طبیب، کوکب، محروم، طایر، حاجب شیرازی (گردآورنده از شاعران اخیر بیشتر رباعی و یک بیتی می آورد). بر پشت برگ آخر نیز اشعاری است (به خط نزدیک به زمان نسخه) از عثمان مختاری، عبدالسلام پیامی (مشهور به پیامی جبل عاملی یا پیامی لاری) ،بقائی ،مغیث ،مولوی، آصف خان ،عرفی، خواجه نصیر و امامی هروی؛ خط: نستعلیق، بی کا، تا: قرن ۱۱؛ افتادگی: وسط؛ کاغذ:
</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آهار مهره شکری ،جلد: تیماج مشکی، ۱۹گ، ۲۱ سطر، قطع:وزیری، اندازه: ۲۱</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۱۳سم [ نشریه: ۱۳- ۹۸]</w:t>
      </w:r>
    </w:p>
    <w:p>
      <w:pPr>
        <w:pStyle w:val="BookText"/>
      </w:pPr>
      <w:r>
        <w:rPr>
          <w:rFonts w:ascii="IRNazanin" w:hAnsi="IRNazanin" w:eastAsia="IRNazanin" w:cs="IRNazanin"/>
          <w:lang w:bidi="fa-IR"/>
          <w:color w:val="111111"/>
          <w:sz w:val="28"/>
          <w:szCs w:val="28"/>
          <w:rtl/>
        </w:rPr>
        <w:t xml:space="preserve">۲۵۶. تهران؛ دانشگاه؛ شماره نسخه: ۴۸۶۴/۱۳۶</w:t>
      </w:r>
    </w:p>
    <w:p>
      <w:pPr>
        <w:pStyle w:val="BookText"/>
      </w:pPr>
      <w:r>
        <w:rPr>
          <w:rFonts w:ascii="IRNazanin" w:hAnsi="IRNazanin" w:eastAsia="IRNazanin" w:cs="IRNazanin"/>
          <w:lang w:bidi="fa-IR"/>
          <w:color w:val="111111"/>
          <w:sz w:val="28"/>
          <w:szCs w:val="28"/>
          <w:rtl/>
        </w:rPr>
        <w:t xml:space="preserve">ساقی نامهترجیع بند وحشی و ابوتراب بیک؛ خط: نستعلیق، بی کا، تا: قرن ۱۱؛ کاغذ: سپاهانی، جلد: روغنی با گل و بوته، ۴۷۳گ، سطور چلیپا، ابعاد متن: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۲۳/۵ ،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۲۸سم [ ف : ۱۴ - 3890]</w:t>
      </w:r>
    </w:p>
    <w:p>
      <w:pPr>
        <w:pStyle w:val="BookText"/>
      </w:pPr>
      <w:r>
        <w:rPr>
          <w:rFonts w:ascii="IRNazanin" w:hAnsi="IRNazanin" w:eastAsia="IRNazanin" w:cs="IRNazanin"/>
          <w:lang w:bidi="fa-IR"/>
          <w:color w:val="111111"/>
          <w:sz w:val="28"/>
          <w:szCs w:val="28"/>
          <w:rtl/>
        </w:rPr>
        <w:t xml:space="preserve">۲۵۷. تهران؛ مجلس؛ شماره نسخه: ۳۹۰/۳۵</w:t>
      </w:r>
    </w:p>
    <w:p>
      <w:pPr>
        <w:pStyle w:val="BookText"/>
      </w:pPr>
      <w:r>
        <w:rPr>
          <w:rFonts w:ascii="IRNazanin" w:hAnsi="IRNazanin" w:eastAsia="IRNazanin" w:cs="IRNazanin"/>
          <w:lang w:bidi="fa-IR"/>
          <w:color w:val="111111"/>
          <w:sz w:val="28"/>
          <w:szCs w:val="28"/>
          <w:rtl/>
        </w:rPr>
        <w:t xml:space="preserve">نظمی در بحر تقارب ؛خط: نستعلیق، بی کا، تا: قرن ۱۱؛ کاغذ: سفید، جلد: تیماج تریاکی ضربی، درون تیماج مشکی یک لایی ،بیاضی،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[سنا: ف: ۱ - ۲۳۲]</w:t>
      </w:r>
    </w:p>
    <w:p>
      <w:pPr>
        <w:pStyle w:val="BookText"/>
      </w:pPr>
      <w:r>
        <w:rPr>
          <w:rFonts w:ascii="IRNazanin" w:hAnsi="IRNazanin" w:eastAsia="IRNazanin" w:cs="IRNazanin"/>
          <w:lang w:bidi="fa-IR"/>
          <w:color w:val="111111"/>
          <w:sz w:val="28"/>
          <w:szCs w:val="28"/>
          <w:rtl/>
        </w:rPr>
        <w:t xml:space="preserve">۲۵۸. تهران؛ مجلس؛ شماره نسخه: ۱۴۲۵</w:t>
      </w:r>
    </w:p>
    <w:p>
      <w:pPr>
        <w:pStyle w:val="BookText"/>
      </w:pPr>
      <w:r>
        <w:rPr>
          <w:rFonts w:ascii="IRNazanin" w:hAnsi="IRNazanin" w:eastAsia="IRNazanin" w:cs="IRNazanin"/>
          <w:lang w:bidi="fa-IR"/>
          <w:color w:val="111111"/>
          <w:sz w:val="28"/>
          <w:szCs w:val="28"/>
          <w:rtl/>
        </w:rPr>
        <w:t xml:space="preserve">دارای محمود و ایاز زلالی، بلبل نامه، تعریف کوکنار فایـض نهاوندی، ترجیع عصمت بخاری، ترجیع کمال الدين غياث، ترجیع و دوازده امام از رازی، ترجیعات در مدح علی از خاکی و کنی و عطفی و سید نعمت و کشوری و خواجوی کرمانی، مدح دوازده امام حقیری اردبیلی، غزلیات شیدای هندی، قصیده عرفی شیرازی، ترجمة العشق حيدر كلوج متتبع، ترجمة الشوق عرفی شیرازی، چرخیات ملا نظام استرابادی، قصاید سالم مداح و عرفی شیرازی و میرزا سنجر کاشی، دو هفت بند حسن کاشی و عزلتی، قصاید نظام استرآبادی و غباری و صائب تبریزی، در تعریف آبی که شاه به نجف آورده از صائب تبریزی قصايد بحر الابرار سید نسیمی و شیخ عطار و خسرو دهلوی، قصاید صفا و شانی تکلو(5 ق، قصاید عرفی شیرازی، قصیده ولایت نامه میررازی، قصـیده ترکی ملا فضولی، با پراکنده های دیگر ؛خط: نستعلیق، بی کا، قرن ۱۱؛ مجدول؛ کاغذ: سفید ،جلد: تیماج مشکی ضربی ومقوایی ،۱۲۵گ، ۱۶ سطر، مختلف السطر،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2- 252]</w:t>
      </w:r>
    </w:p>
    <w:p>
      <w:pPr>
        <w:pStyle w:val="BookText"/>
      </w:pPr>
      <w:r>
        <w:rPr>
          <w:rFonts w:ascii="IRNazanin" w:hAnsi="IRNazanin" w:eastAsia="IRNazanin" w:cs="IRNazanin"/>
          <w:lang w:bidi="fa-IR"/>
          <w:color w:val="111111"/>
          <w:sz w:val="28"/>
          <w:szCs w:val="28"/>
          <w:rtl/>
        </w:rPr>
        <w:t xml:space="preserve">259.تهران؛ مجلس؛ شماره نسخه: ۹۴۶۴/۸</w:t>
      </w:r>
    </w:p>
    <w:p>
      <w:pPr>
        <w:pStyle w:val="BookText"/>
      </w:pPr>
      <w:r>
        <w:rPr>
          <w:rFonts w:ascii="IRNazanin" w:hAnsi="IRNazanin" w:eastAsia="IRNazanin" w:cs="IRNazanin"/>
          <w:lang w:bidi="fa-IR"/>
          <w:color w:val="111111"/>
          <w:sz w:val="28"/>
          <w:szCs w:val="28"/>
          <w:rtl/>
        </w:rPr>
        <w:t xml:space="preserve">رباعی در القاب اسطرلاب؛ خط: نستعليق تحریری، بی کا، تا : قرن۱۱، ۱ص (۱۴۲ - همان) [مختصر: ف: - ۳۸۸]</w:t>
      </w:r>
    </w:p>
    <w:p>
      <w:pPr>
        <w:pStyle w:val="BookText"/>
      </w:pPr>
      <w:r>
        <w:rPr>
          <w:rFonts w:ascii="IRNazanin" w:hAnsi="IRNazanin" w:eastAsia="IRNazanin" w:cs="IRNazanin"/>
          <w:lang w:bidi="fa-IR"/>
          <w:color w:val="111111"/>
          <w:sz w:val="28"/>
          <w:szCs w:val="28"/>
          <w:rtl/>
        </w:rPr>
        <w:t xml:space="preserve">260.تهران؛ دانشگاه؛ شماره نسخه: ۴۶۰۲/۹</w:t>
      </w:r>
    </w:p>
    <w:p>
      <w:pPr>
        <w:pStyle w:val="BookText"/>
      </w:pPr>
      <w:r>
        <w:rPr>
          <w:rFonts w:ascii="IRNazanin" w:hAnsi="IRNazanin" w:eastAsia="IRNazanin" w:cs="IRNazanin"/>
          <w:lang w:bidi="fa-IR"/>
          <w:color w:val="111111"/>
          <w:sz w:val="28"/>
          <w:szCs w:val="28"/>
          <w:rtl/>
        </w:rPr>
        <w:t xml:space="preserve">شامل شعرهای فارسی: مهجور مشهدی (مورخ محرم ۱۱۲۸ در سپاهان)، میرزا محمد معصوما، میر سیف الدین جلواتی، میر سید شریف شیرازی، میرزا عبداللطیف شهرستانی، کلیم ،ادهم، ،میر رضی، میرزا ابراهیم، میرزا داود، غیرت (غیرتا) ،همدانی، شوکت، تجلى ،واعظ، میرزا مقیم کتابدار ،تابعای قمی، حیدر، میرزا ،جلال، میرزا عبدالله عشق، میر عطا، حكيم، عبدالعزيز خـان، معصومی(عموی نویسنده نسخه)، صارمای ذوالقدر، نظیری ،ولی، صايبا، ملاحسن علی تفرشی، صفی قلی بیك، میر نجات، میرزا ملک مشرقی ،اشرف ،آقاحسین، میرزاعبدالله، طالع گیلانی ،سیدی ،جامی، صیرفی ،خیالی ،صافی ،وحید ،فغانی، عبدالمولی، قصاب کاشی ،برهمن ،فیضی ،اثر ،نجات، شاه عباس، طفیلی، طالب، خسرو، ملاحاجی محمد، نواب میرزا حسین، میرزا، میـرزا اسمعیل علاقه بند، میرزا حسن غیور ،عالی، نظیری، تسلیم قمی، ملاحاجی محمد گیلانی (مورخ ذیحجه ۱۱۲۹ نوشته محمد على</w:t>
      </w:r>
    </w:p>
    <w:p>
      <w:pPr>
        <w:pStyle w:val="BookText"/>
      </w:pPr>
      <w:r>
        <w:rPr>
          <w:rFonts w:ascii="IRNazanin" w:hAnsi="IRNazanin" w:eastAsia="IRNazanin" w:cs="IRNazanin"/>
          <w:lang w:bidi="fa-IR"/>
          <w:color w:val="111111"/>
          <w:sz w:val="28"/>
          <w:szCs w:val="28"/>
          <w:rtl/>
        </w:rPr>
        <w:t xml:space="preserve">بن محمد امین حسینی «در محله صابونخانه قریه افوشته در کلبه خیرات» در ص ۳۲۱)، میرزا حسین کرمانی، سلمان ساوجی، جمال الدین  عبدالرزاق، امیر شاهی، محوی، آقا ربیع بزاز صبور، سعیدای خوش نویس، زینب النسا بیگم مخفی (۳۳۰)، مجد همگر، میرزا قوام الدین محمدا در تاریخ مرگ آقا خلیل در ۱۱۳۶، ملا علی سرهنگی در مرگ محمد شفیع (نوشته شده از روی «مجموعه» میرزا محمد تقی در آغاز جمادی الثانی ۱۱۳۸ در هنگام برگشت او از تهران) حلاج به عربی و ابن سینا (ارجوزه طبی عربی در نه بیت با قافیه میم)، تاریخ تولد نویسنده نسخه «جناب مجد و سیادت چنین نهال ندارد ۱۰۸۱) درص392 هست ؛خط: نستعلیق، بی کا، تا :قرن ۱۱؛ کاغذ: سپاهانی، جلد: تيماج سبز ۶۹ ص (۲۶۱-۲۹۴) و (۳۰۱-۳۳۱)  و(۳۹۴-۳۹۰) ،</w:t>
      </w:r>
    </w:p>
    <w:p>
      <w:pPr>
        <w:pStyle w:val="BookText"/>
      </w:pPr>
      <w:r>
        <w:rPr>
          <w:rFonts w:ascii="IRNazanin" w:hAnsi="IRNazanin" w:eastAsia="IRNazanin" w:cs="IRNazanin"/>
          <w:lang w:bidi="fa-IR"/>
          <w:color w:val="111111"/>
          <w:sz w:val="28"/>
          <w:szCs w:val="28"/>
          <w:rtl/>
        </w:rPr>
        <w:t xml:space="preserve">سطور چلیپا ،ابعاد متن: 6</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قطع: بیاضی، اندازه: 9</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[ف: 14- 3531]</w:t>
      </w:r>
    </w:p>
    <w:p>
      <w:pPr>
        <w:pStyle w:val="BookText"/>
      </w:pPr>
      <w:r>
        <w:rPr>
          <w:rFonts w:ascii="IRNazanin" w:hAnsi="IRNazanin" w:eastAsia="IRNazanin" w:cs="IRNazanin"/>
          <w:lang w:bidi="fa-IR"/>
          <w:color w:val="111111"/>
          <w:sz w:val="28"/>
          <w:szCs w:val="28"/>
          <w:rtl/>
        </w:rPr>
        <w:t xml:space="preserve">۲۶۱ .قم؛ مرعشی؛ شماره نسخه: ۱۳۲۸۲/۱</w:t>
      </w:r>
    </w:p>
    <w:p>
      <w:pPr>
        <w:pStyle w:val="BookText"/>
      </w:pPr>
      <w:r>
        <w:rPr>
          <w:rFonts w:ascii="IRNazanin" w:hAnsi="IRNazanin" w:eastAsia="IRNazanin" w:cs="IRNazanin"/>
          <w:lang w:bidi="fa-IR"/>
          <w:color w:val="111111"/>
          <w:sz w:val="28"/>
          <w:szCs w:val="28"/>
          <w:rtl/>
        </w:rPr>
        <w:t xml:space="preserve">آغاز: یا دودمان یا شیخ عبدالقادر را *** یا خاندان با صفا یا شیخ عبد القادر؛ انجام: بنگر زهجرت چون شدم *** سر گشته و مجنون  شدم /چون لاله پرخون شدم *** از من چرا رنجیده ای</w:t>
      </w:r>
    </w:p>
    <w:p>
      <w:pPr>
        <w:pStyle w:val="BookText"/>
      </w:pPr>
      <w:r>
        <w:rPr>
          <w:rFonts w:ascii="IRNazanin" w:hAnsi="IRNazanin" w:eastAsia="IRNazanin" w:cs="IRNazanin"/>
          <w:lang w:bidi="fa-IR"/>
          <w:color w:val="111111"/>
          <w:sz w:val="28"/>
          <w:szCs w:val="28"/>
          <w:rtl/>
        </w:rPr>
        <w:t xml:space="preserve">مجموعه اشعاری است به فارسی و اردو، شامل قصیده ای در مدح شیخ عبدالقادر در گیلانی، اشعاری عرفانی به اردو، مناجات نامه ای به فارسی و اردو، اشعار عرفانی فارسی و اردو و غزلی از شعرای فارسی زبان می باشد؛ خط: نستعلیق، بی کا، تا: قرن ۱۱، مجدول؛ کاغذ: شرقی، ۸گ (4ر- 11پ)، سطور چلیپا،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۳۳ - ۵۰۴]</w:t>
      </w:r>
    </w:p>
    <w:p>
      <w:pPr>
        <w:pStyle w:val="BookText"/>
      </w:pPr>
      <w:r>
        <w:rPr>
          <w:rFonts w:ascii="IRNazanin" w:hAnsi="IRNazanin" w:eastAsia="IRNazanin" w:cs="IRNazanin"/>
          <w:lang w:bidi="fa-IR"/>
          <w:color w:val="111111"/>
          <w:sz w:val="28"/>
          <w:szCs w:val="28"/>
          <w:rtl/>
        </w:rPr>
        <w:t xml:space="preserve">۲۶۲. تهران؛ ملی؛ شماره نسخه: ۷۶۲/۷</w:t>
      </w:r>
    </w:p>
    <w:p>
      <w:pPr>
        <w:pStyle w:val="BookText"/>
      </w:pPr>
      <w:r>
        <w:rPr>
          <w:rFonts w:ascii="IRNazanin" w:hAnsi="IRNazanin" w:eastAsia="IRNazanin" w:cs="IRNazanin"/>
          <w:lang w:bidi="fa-IR"/>
          <w:color w:val="111111"/>
          <w:sz w:val="28"/>
          <w:szCs w:val="28"/>
          <w:rtl/>
        </w:rPr>
        <w:t xml:space="preserve">اشعار پراکنده از شعرای مختلف است و آغاز آن با یوسف و زلیخای نظامی است این اشعار با قصیده ای در مدح علی بن ابیطالب که گویا به زمان شاه طهماسب سروده شده ختم می گردد؛ خط: نسخ و نستعلیق، بی کا، تا: محتملاً قرن ۱۱؛ کاغذ: اصفهانی، جلد: تیماج قهوه ای ترنج و نیم ترنج مقوایی لولادار، ۳۰ص (۴۵۹-۴۳۰)، ۱۷ سطر ،(9</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۱۷/۵سم [ف: ۲ - ۲۸۶]</w:t>
      </w:r>
    </w:p>
    <w:p>
      <w:pPr>
        <w:pStyle w:val="BookText"/>
      </w:pPr>
      <w:r>
        <w:rPr>
          <w:rFonts w:ascii="IRNazanin" w:hAnsi="IRNazanin" w:eastAsia="IRNazanin" w:cs="IRNazanin"/>
          <w:lang w:bidi="fa-IR"/>
          <w:color w:val="111111"/>
          <w:sz w:val="28"/>
          <w:szCs w:val="28"/>
          <w:rtl/>
        </w:rPr>
        <w:t xml:space="preserve">۲۶۳. تهران؛ نوربخش؛ شماره نسخه: ۸۶۸/۱۴</w:t>
      </w:r>
    </w:p>
    <w:p>
      <w:pPr>
        <w:pStyle w:val="BookText"/>
      </w:pPr>
      <w:r>
        <w:rPr>
          <w:rFonts w:ascii="IRNazanin" w:hAnsi="IRNazanin" w:eastAsia="IRNazanin" w:cs="IRNazanin"/>
          <w:lang w:bidi="fa-IR"/>
          <w:color w:val="111111"/>
          <w:sz w:val="28"/>
          <w:szCs w:val="28"/>
          <w:rtl/>
        </w:rPr>
        <w:t xml:space="preserve">در حواشی اشعاری است از: مولانا فتحی، وحشی، خواجه شاپور ،فصیحی ،سلیم تهرانی، میر والهی قمی، خواجه شعیب، شیخ علی نقی، میر سنجر، حکیم شفائی، غیاثا، طالب آملی، حاجی، بابا فغانی ،همایون ،صائب ،سعدی ،میرک معین، میر محمدد مومن، مولانای روم، عارف دهلوی، نواب آصفخان، حسن، میر مغيث محوی ،انیسی، عبدالواسع جبلی، قاسم بیک حالتی، عرشی، حالی، قلی میلی ،حسابی ،شکیبی ،طبعی، صالح، نراقی، عرفی،شعری منقول از خط شیخ بهایی، حکیم رکن الدین مسعود، اهلی، خسرو ،هجری، نظیری، خواجه نصیر طوسی، خاقانی، و محتشم؛
</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 نستعليق، كا: حیدر بن علی بن اسماعیل کرکی، تا: قرن11؛ در برگ ۲۱پ و ۲۲ر اشعار در متن است نه در حاشیه؛ کاغذ: اصفهانی آبی و زرد، جلد: تیماج قهوه ای با ترنج و نیم ترنج گل بوته دار و آب طلایی، ۷گ (15-۲۲ حاشیه)، قطع: نیم خشتی،اندازه: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۲۳/۵سم [ نشریه: ۱۳ - ۲۴۸]</w:t>
      </w:r>
    </w:p>
    <w:p>
      <w:pPr>
        <w:pStyle w:val="BookText"/>
      </w:pPr>
      <w:r>
        <w:rPr>
          <w:rFonts w:ascii="IRNazanin" w:hAnsi="IRNazanin" w:eastAsia="IRNazanin" w:cs="IRNazanin"/>
          <w:lang w:bidi="fa-IR"/>
          <w:color w:val="111111"/>
          <w:sz w:val="28"/>
          <w:szCs w:val="28"/>
          <w:rtl/>
        </w:rPr>
        <w:t xml:space="preserve">۲۶۴. تهران؛ ملک؛ شماره نسخه: ۴۶۸۶/۵</w:t>
      </w:r>
    </w:p>
    <w:p>
      <w:pPr>
        <w:pStyle w:val="BookText"/>
      </w:pPr>
      <w:r>
        <w:rPr>
          <w:rFonts w:ascii="IRNazanin" w:hAnsi="IRNazanin" w:eastAsia="IRNazanin" w:cs="IRNazanin"/>
          <w:lang w:bidi="fa-IR"/>
          <w:color w:val="111111"/>
          <w:sz w:val="28"/>
          <w:szCs w:val="28"/>
          <w:rtl/>
        </w:rPr>
        <w:t xml:space="preserve">اشعار ناصحی است؛ خط: شکسته نستعلیق، بی کا، تا: قرن ۱۱ ]ف: 8- 31]</w:t>
      </w:r>
    </w:p>
    <w:p>
      <w:pPr>
        <w:pStyle w:val="BookText"/>
      </w:pPr>
      <w:r>
        <w:rPr>
          <w:rFonts w:ascii="IRNazanin" w:hAnsi="IRNazanin" w:eastAsia="IRNazanin" w:cs="IRNazanin"/>
          <w:lang w:bidi="fa-IR"/>
          <w:color w:val="111111"/>
          <w:sz w:val="28"/>
          <w:szCs w:val="28"/>
          <w:rtl/>
        </w:rPr>
        <w:t xml:space="preserve">۲۶۵. قم؛ مسجد اعظم؛ شماره نسخه: ۳۱۰۳</w:t>
      </w:r>
    </w:p>
    <w:p>
      <w:pPr>
        <w:pStyle w:val="BookText"/>
      </w:pPr>
      <w:r>
        <w:rPr>
          <w:rFonts w:ascii="IRNazanin" w:hAnsi="IRNazanin" w:eastAsia="IRNazanin" w:cs="IRNazanin"/>
          <w:lang w:bidi="fa-IR"/>
          <w:color w:val="111111"/>
          <w:sz w:val="28"/>
          <w:szCs w:val="28"/>
          <w:rtl/>
        </w:rPr>
        <w:t xml:space="preserve">آغاز: شنیدم روزی از خونابه نوشی *** چوگل از پاره تن خـرقه پوشی؛ انجام: بدرد طلب گرچه من دردمندی *** زسلطان همت نوایی طلب کن</w:t>
      </w:r>
    </w:p>
    <w:p>
      <w:pPr>
        <w:pStyle w:val="BookText"/>
      </w:pPr>
      <w:r>
        <w:rPr>
          <w:rFonts w:ascii="IRNazanin" w:hAnsi="IRNazanin" w:eastAsia="IRNazanin" w:cs="IRNazanin"/>
          <w:lang w:bidi="fa-IR"/>
          <w:color w:val="111111"/>
          <w:sz w:val="28"/>
          <w:szCs w:val="28"/>
          <w:rtl/>
        </w:rPr>
        <w:t xml:space="preserve">اشعاری از: حکیم ركنا (قضا و قدر)، محمد قلی سلیم رازی (قـضا و قدر)، حکیم شفایی، آخوند ملانادم، محمدقلی سلیم، مولانا آفتابی ساوجی (قصیده بی نقطه)، سلمان ساوجی، صائب تبریزی ،ملاعرفی ،ملاسالک، میرزا ملک مشرقی، میرزا خصمی، صـفی قلی بیک، ملانادم لاهیجی، شیدای هندی، ابن یمین، طالـب ،ملاطبعی، شیخ سعدی، میرزا فصیح، میرزا صالح منشی،ملامحتشم، میرزا رستم، خواجه حافظ میررخی، بابا فغانی،بابا مطلعی، میرکبیر، طرزی رشتی، میرزا جلال پیر، طالب آملی، محمدجان قدسی ،ملاروم، ولی دشت بیاضی ،حاجب، میرزا نـظام دستغیب، ظهیر فاریابی، میرابوالفتح لاهیجی، میرزا ابراهیم ادهم، میر منصور رشتی ،لاظهوری، میرزا طاهر واقعه نویس وحید حیدرخان، میرزا خلیل مسیح، رشیدای زرگر، میرزا صادق، میرعلی نقی کمره ،ملاسبحانی، میرزا جانی ،منتخب، شیخ فیض،ملااعجاز، میرزا جلال اسیر، میر عقیل همدانی، والهی قمـی، ملا خالص، ادیب صابرا، شانی تکلو، ملافهی لنگرودی، میرزا معصوم،رحیما ،میراجری، سلطانعلی بیک ،آصفی، کمال خجندی، طاهر، مشرقی ساوجی، جعفرا، ملاوحشی، مربع ،سعدی، میرزا ابوالحسن، عبید زاکانی ،ضیاء ،فردوسی، انوری، غياثا، مولانا جامی، محمودا، شیا، تائب، ملاحبیب ابهری، منصورا، میرزا موسی، سید نسیمی، ملا عرفی، شاه طاهر، مولانا مقصـود ،کاشی، میرزا قلی میلی، مولانا فرسی، میراز سجز کاشی، قاضـی نور، مولانا امیدی، امیرخسرو دهلوی ،آذری ،سلیم، فضلی، نصیرای همدانی ،ابن یمین، شیخ ابوسعید، شکوهی همدانی، شـیخ صدرالدین محمد، خواجه شاهپور فرهی، میرزا عبدالله، میرزا ملک اشرفی، شاه شجاع، حکیم نظام الدین، زکى همدانی، میرعطای حکیم، ملک قمر ،مولانا املی، حکیم پرتوی، شاه نعمت الله، مولانا شاهدا بهاء الدين عاملی، مرشد قلی بیگ، مولانا واهـب، میر محمد حسین، حاج محمد حسین ولد محمدجان، مجدای شیرازی، میراز فصحیحی، مولانا ملانوعی، حکیم رکنا، ابوتراب بیگ، ملاملک قمی ،ملامحمود صوفی، مرشد یزدجردی، اقدسی، بابا طاهر، میر محمد، شیخ الاسلام، تبریز، شیخ فیضی اگره ای؛ خط: نستعليق، كا: عبد القادر بن عبد الواحد، تا: قرن ۱۱؛ افتادگی: انجام؛ اشعار در سه ستون به صورت چلیپا، کاتب با این که خوش خط بوده ولی بیسواد بوده و غلط املایی دارد مثلا مثنوی را به صورت مسنوی و محتشم را به صورت مهتشم نوشته؛جلد: تیماج قهوه ای با طبله رو ،۱۰۴گ، مختلف السطر،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۲۹سم [ف مخ: ۲ - ۶۰۰]</w:t>
      </w:r>
    </w:p>
    <w:p>
      <w:pPr>
        <w:pStyle w:val="BookText"/>
      </w:pPr>
      <w:r>
        <w:rPr>
          <w:rFonts w:ascii="IRNazanin" w:hAnsi="IRNazanin" w:eastAsia="IRNazanin" w:cs="IRNazanin"/>
          <w:lang w:bidi="fa-IR"/>
          <w:color w:val="111111"/>
          <w:sz w:val="28"/>
          <w:szCs w:val="28"/>
          <w:rtl/>
        </w:rPr>
        <w:t xml:space="preserve">۲۶۶ . مشهد؛ رضوی؛ شماره نسخه: ۸۳۶۶</w:t>
      </w:r>
    </w:p>
    <w:p>
      <w:pPr>
        <w:pStyle w:val="BookText"/>
      </w:pPr>
      <w:r>
        <w:rPr>
          <w:rFonts w:ascii="IRNazanin" w:hAnsi="IRNazanin" w:eastAsia="IRNazanin" w:cs="IRNazanin"/>
          <w:lang w:bidi="fa-IR"/>
          <w:color w:val="111111"/>
          <w:sz w:val="28"/>
          <w:szCs w:val="28"/>
          <w:rtl/>
        </w:rPr>
        <w:t xml:space="preserve">آغاز: یا من بدا جمالك فى كل ما بدا*** بادا هزار جان مقدس ترا فدا؛ انجام: زاهدان از کجا و ما از کجا *** ما و دردی کشان بی سر و پا</w:t>
      </w:r>
    </w:p>
    <w:p>
      <w:pPr>
        <w:pStyle w:val="BookText"/>
      </w:pPr>
      <w:r>
        <w:rPr>
          <w:rFonts w:ascii="IRNazanin" w:hAnsi="IRNazanin" w:eastAsia="IRNazanin" w:cs="IRNazanin"/>
          <w:lang w:bidi="fa-IR"/>
          <w:color w:val="111111"/>
          <w:sz w:val="28"/>
          <w:szCs w:val="28"/>
          <w:rtl/>
        </w:rPr>
        <w:t xml:space="preserve">منتخباتی است از بوستان سعدی و دیوان جامی و دیوان خواجه آصفی و مثنوی ناتمامی از کاظمای زرگر و غزلیاتی از نظیری ،حافظ ،اهلی ،یوسف ،صیدی ،هلالی، بنایی، مسدس ترکیب فهمی طهرانی شاعر قرن دهم معاصر شاه طهماسب صفوی، قصیده ای از شاه قاسم انوار، دو ترجیع بند از جامی، یک ترجیع بند از سلمان ساوجی و ابیاتی از فیاض لاهیجی، علی نقی کمره ای ،ملاحاجتی، میرزا جانی عزتی، شاهدای نیشابوری؛ خط: نستعلیق، بی کا، تا: قرن ۱۱؛ مجدول؛ واقف: سردار کل یار محمد افشار؛ کاغذ: نخودی ،جلد: تیماج مشکی، ۷۱گ، مختلف السطر، اندازه: ۱۴/۳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٢٠/٣سم [ف : ۷ - ۲۹۱]</w:t>
      </w:r>
    </w:p>
    <w:p>
      <w:pPr>
        <w:pStyle w:val="BookText"/>
      </w:pPr>
      <w:r>
        <w:rPr>
          <w:rFonts w:ascii="IRNazanin" w:hAnsi="IRNazanin" w:eastAsia="IRNazanin" w:cs="IRNazanin"/>
          <w:lang w:bidi="fa-IR"/>
          <w:color w:val="111111"/>
          <w:sz w:val="28"/>
          <w:szCs w:val="28"/>
          <w:rtl/>
        </w:rPr>
        <w:t xml:space="preserve">۲۶۷. یزد؛ کاظمینی؛ شماره نسخه: ۴۸۲</w:t>
      </w:r>
    </w:p>
    <w:p>
      <w:pPr>
        <w:pStyle w:val="BookText"/>
      </w:pPr>
      <w:r>
        <w:rPr>
          <w:rFonts w:ascii="IRNazanin" w:hAnsi="IRNazanin" w:eastAsia="IRNazanin" w:cs="IRNazanin"/>
          <w:lang w:bidi="fa-IR"/>
          <w:color w:val="111111"/>
          <w:sz w:val="28"/>
          <w:szCs w:val="28"/>
          <w:rtl/>
        </w:rPr>
        <w:t xml:space="preserve">اشعاری از: شهیدی ،آصفی ،ریاضی، طایف، سنجر کاشی، عبدالواسع جبلی؛ خط: شکسته نستعلیق، بی کا، تا: قرن ۱۱؛ مصحح،سطور چلیپا و راسته و بسیاری از اشعار در حاشیه؛ جلد: مقوایی مشکی ،۶۳گ، مختلف السطر،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۲۴/۵سم  [ف: ۲ - ۱۷۶]</w:t>
      </w:r>
    </w:p>
    <w:p>
      <w:pPr>
        <w:pStyle w:val="BookText"/>
      </w:pPr>
      <w:r>
        <w:rPr>
          <w:rFonts w:ascii="IRNazanin" w:hAnsi="IRNazanin" w:eastAsia="IRNazanin" w:cs="IRNazanin"/>
          <w:lang w:bidi="fa-IR"/>
          <w:color w:val="111111"/>
          <w:sz w:val="28"/>
          <w:szCs w:val="28"/>
          <w:rtl/>
        </w:rPr>
        <w:t xml:space="preserve">۲۶۸. تهران؛ ملک؛ شماره نسخه: ۴۹۵۷/۱</w:t>
      </w:r>
    </w:p>
    <w:p>
      <w:pPr>
        <w:pStyle w:val="BookText"/>
      </w:pPr>
      <w:r>
        <w:rPr>
          <w:rFonts w:ascii="IRNazanin" w:hAnsi="IRNazanin" w:eastAsia="IRNazanin" w:cs="IRNazanin"/>
          <w:lang w:bidi="fa-IR"/>
          <w:color w:val="111111"/>
          <w:sz w:val="28"/>
          <w:szCs w:val="28"/>
          <w:rtl/>
        </w:rPr>
        <w:t xml:space="preserve">از سرایندگان گوناگون و نامرتب؛ خط: نستعلیق، بی کا، تا: قرن  ۱۱[ ف: ۸ - ۱۴۳]</w:t>
      </w:r>
    </w:p>
    <w:p>
      <w:pPr>
        <w:pStyle w:val="BookText"/>
      </w:pPr>
      <w:r>
        <w:rPr>
          <w:rFonts w:ascii="IRNazanin" w:hAnsi="IRNazanin" w:eastAsia="IRNazanin" w:cs="IRNazanin"/>
          <w:lang w:bidi="fa-IR"/>
          <w:color w:val="111111"/>
          <w:sz w:val="28"/>
          <w:szCs w:val="28"/>
          <w:rtl/>
        </w:rPr>
        <w:t xml:space="preserve">۲۶۹. تهران؛ سلطنتی؛ شماره نسخه: ۵۳۴</w:t>
      </w:r>
    </w:p>
    <w:p>
      <w:pPr>
        <w:pStyle w:val="BookText"/>
      </w:pPr>
      <w:r>
        <w:rPr>
          <w:rFonts w:ascii="IRNazanin" w:hAnsi="IRNazanin" w:eastAsia="IRNazanin" w:cs="IRNazanin"/>
          <w:lang w:bidi="fa-IR"/>
          <w:color w:val="111111"/>
          <w:sz w:val="28"/>
          <w:szCs w:val="28"/>
          <w:rtl/>
        </w:rPr>
        <w:t xml:space="preserve">اشعار از: اوحدی مراغه ای، حکیم نظامی، شیخ عطار،شیخ محمود شبستری، ابن یمین، مولانا جلال الدين، حاوی مثنویات ،مخمس ،رباعیات، غزلیات، مقطعات؛ خط: نسخ خفی، کا: محمد غنی، تا: ۱۰۸۲ - ۱۰۸۳؛ مجدول، با دو سر لوح و یک سرفصل مذهب مزدوج مرصع بسیار خوب؛ تملک: آقا لر خان گرجی با مهر «عبده الراجی آقا لر گرجی ۱۲۰۰»؛ مهر: ناصرالدین شاه قاجار؛ کاغذ: بغدادی، جلد: مقوای ابره تیماج مشکی وسط ترنج و دو سر ترنج ،۶۶۲ ص، ۱۵ سطر در متن و ۲۶/۵ سطر در حاشیه؛ قطع: وزیری، اندازه: ۱۳/۴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۲۴/۸سم [ف: ۴ - ۱۱۳۱]</w:t>
      </w:r>
    </w:p>
    <w:p>
      <w:pPr>
        <w:pStyle w:val="BookText"/>
      </w:pPr>
      <w:r>
        <w:rPr>
          <w:rFonts w:ascii="IRNazanin" w:hAnsi="IRNazanin" w:eastAsia="IRNazanin" w:cs="IRNazanin"/>
          <w:lang w:bidi="fa-IR"/>
          <w:color w:val="111111"/>
          <w:sz w:val="28"/>
          <w:szCs w:val="28"/>
          <w:rtl/>
        </w:rPr>
        <w:t xml:space="preserve">۲۷۰. تبریز؛ ثقة الاسلام؛ شماره نسخه: بدون شماره</w:t>
      </w:r>
    </w:p>
    <w:p>
      <w:pPr>
        <w:pStyle w:val="BookText"/>
      </w:pPr>
      <w:r>
        <w:rPr>
          <w:rFonts w:ascii="IRNazanin" w:hAnsi="IRNazanin" w:eastAsia="IRNazanin" w:cs="IRNazanin"/>
          <w:lang w:bidi="fa-IR"/>
          <w:color w:val="111111"/>
          <w:sz w:val="28"/>
          <w:szCs w:val="28"/>
          <w:rtl/>
        </w:rPr>
        <w:t xml:space="preserve">جنگ اشعار است؛ خط: نستعلیق زیبا، بی کا، تا: قرن ۱۱، قطع: بیاضی [ نشریه: ۷ - ۵۳۳]</w:t>
      </w:r>
    </w:p>
    <w:p>
      <w:pPr>
        <w:pStyle w:val="BookText"/>
      </w:pPr>
      <w:r>
        <w:rPr>
          <w:rFonts w:ascii="IRNazanin" w:hAnsi="IRNazanin" w:eastAsia="IRNazanin" w:cs="IRNazanin"/>
          <w:lang w:bidi="fa-IR"/>
          <w:color w:val="111111"/>
          <w:sz w:val="28"/>
          <w:szCs w:val="28"/>
          <w:rtl/>
        </w:rPr>
        <w:t xml:space="preserve">۲۷۱. شیراز؛ علامه طباطبائی؛ شماره نسخه: ۱۴۴۵
</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اشعار خسرو و شیرین، میر محمد زمان سبزواری، دیباچه نورس ظهوری، دیباچه گلزار ابراهیم ظهوری، وامق و عذراء حکیم سوزنی و ...؛ خط: نستعلیق زیبا، بی کا، تا: قرن ۱۱؛ ۳۳۵ گ،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 نسخه پژوهی: ۲ - ۱۴۱]</w:t>
      </w:r>
    </w:p>
    <w:p>
      <w:pPr>
        <w:pStyle w:val="BookText"/>
      </w:pPr>
      <w:r>
        <w:rPr>
          <w:rFonts w:ascii="IRNazanin" w:hAnsi="IRNazanin" w:eastAsia="IRNazanin" w:cs="IRNazanin"/>
          <w:lang w:bidi="fa-IR"/>
          <w:color w:val="111111"/>
          <w:sz w:val="28"/>
          <w:szCs w:val="28"/>
          <w:rtl/>
        </w:rPr>
        <w:t xml:space="preserve">۲۷۲. شیراز؛ علامه طباطبائی؛ شماره نسخه: ۱۷۵۱</w:t>
      </w:r>
    </w:p>
    <w:p>
      <w:pPr>
        <w:pStyle w:val="BookText"/>
      </w:pPr>
      <w:r>
        <w:rPr>
          <w:rFonts w:ascii="IRNazanin" w:hAnsi="IRNazanin" w:eastAsia="IRNazanin" w:cs="IRNazanin"/>
          <w:lang w:bidi="fa-IR"/>
          <w:color w:val="111111"/>
          <w:sz w:val="28"/>
          <w:szCs w:val="28"/>
          <w:rtl/>
        </w:rPr>
        <w:t xml:space="preserve">آغاز: شرح مجموعه صنع تو ندارد پایان *** دگر باغیست ز ترکیب عناصر انسان؛</w:t>
      </w:r>
    </w:p>
    <w:p>
      <w:pPr>
        <w:pStyle w:val="BookText"/>
      </w:pPr>
      <w:r>
        <w:rPr>
          <w:rFonts w:ascii="IRNazanin" w:hAnsi="IRNazanin" w:eastAsia="IRNazanin" w:cs="IRNazanin"/>
          <w:lang w:bidi="fa-IR"/>
          <w:color w:val="111111"/>
          <w:sz w:val="28"/>
          <w:szCs w:val="28"/>
          <w:rtl/>
        </w:rPr>
        <w:t xml:space="preserve">از اشعار: اثر محمد قلی سلیم ،کلیم، میرزا صادق دستغیب و مثنوی در یتیم از محمد جعفر نظر ؛ خط: نستعلیق، بی کا، تا: قـرن ۱۱؛ با سرلوح مذهب. مجدول، سطور چلیپا؛ ۲۰۰ گ،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 نسخه پژوهی: ۲ - ۱۴۱]</w:t>
      </w:r>
    </w:p>
    <w:p>
      <w:pPr>
        <w:pStyle w:val="BookText"/>
      </w:pPr>
      <w:r>
        <w:rPr>
          <w:rFonts w:ascii="IRNazanin" w:hAnsi="IRNazanin" w:eastAsia="IRNazanin" w:cs="IRNazanin"/>
          <w:lang w:bidi="fa-IR"/>
          <w:color w:val="111111"/>
          <w:sz w:val="28"/>
          <w:szCs w:val="28"/>
          <w:rtl/>
        </w:rPr>
        <w:t xml:space="preserve">۲۷۳. تهران؛ ملی؛ شماره نسخه: ۷۶۲/۱۳</w:t>
      </w:r>
    </w:p>
    <w:p>
      <w:pPr>
        <w:pStyle w:val="BookText"/>
      </w:pPr>
      <w:r>
        <w:rPr>
          <w:rFonts w:ascii="IRNazanin" w:hAnsi="IRNazanin" w:eastAsia="IRNazanin" w:cs="IRNazanin"/>
          <w:lang w:bidi="fa-IR"/>
          <w:color w:val="111111"/>
          <w:sz w:val="28"/>
          <w:szCs w:val="28"/>
          <w:rtl/>
        </w:rPr>
        <w:t xml:space="preserve">غزلیات و قطعاتی از: حافظ امیر همایون، محتشم، هلالی، ،بابا فغانی ، ریاضی ،عشقی ،سلیمان، مربع ترکیب «لسانی»،فضولی بغدادی ،جامی، مرضعی، هفت بند جامی (این ترکیب بند در ایـنجا بسال ۹۷۵ هـ.ق. به وسیله مرشد قلی نامی کتابت شده)، محتـشم ،نسیمی ،سعدی، اشعاری از یوسف و زلیخای جامی، مانی شکیبی، اوحدی؛ خط: نسخ و نستعلیق، بی کا، تا: محتملاً قرن11؛ کاغذ: اصفهانی ،جلد: تیماج قهوه ای ترنج و نیم ترنج مقوایی لولادار، ۸۵ ص (۶۵۵-۷۴۰، ۱۷ سطر (9</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۱۷/۵سم [ف: ۲ - ۲۹۰]</w:t>
      </w:r>
    </w:p>
    <w:p>
      <w:pPr>
        <w:pStyle w:val="BookText"/>
      </w:pPr>
      <w:r>
        <w:rPr>
          <w:rFonts w:ascii="IRNazanin" w:hAnsi="IRNazanin" w:eastAsia="IRNazanin" w:cs="IRNazanin"/>
          <w:lang w:bidi="fa-IR"/>
          <w:color w:val="111111"/>
          <w:sz w:val="28"/>
          <w:szCs w:val="28"/>
          <w:rtl/>
        </w:rPr>
        <w:t xml:space="preserve">۲۷۴. تهران؛ مجلس؛ شماره نسخه: ۱۵۸۷۶</w:t>
      </w:r>
    </w:p>
    <w:p>
      <w:pPr>
        <w:pStyle w:val="BookText"/>
      </w:pPr>
      <w:r>
        <w:rPr>
          <w:rFonts w:ascii="IRNazanin" w:hAnsi="IRNazanin" w:eastAsia="IRNazanin" w:cs="IRNazanin"/>
          <w:lang w:bidi="fa-IR"/>
          <w:color w:val="111111"/>
          <w:sz w:val="28"/>
          <w:szCs w:val="28"/>
          <w:rtl/>
        </w:rPr>
        <w:t xml:space="preserve">اشعاری از: حکیم نورای گیلانی ،باقرای درجزینی ،قاری، سـیار قرمانلو، قیدی، قاضی زاده، قاری تادوانی، شیعی، قاری، حیرتی،میر محمد جعفر بن ابی الصلاح اردستانی ،محبتی، جنونی، غواص، محمد باقر؛ خط: نستعلیق، بی کا، تا: قرن ۱۱ [ مختصر: ف: - 727]</w:t>
      </w:r>
    </w:p>
    <w:p>
      <w:pPr>
        <w:pStyle w:val="BookText"/>
      </w:pPr>
      <w:r>
        <w:rPr>
          <w:rFonts w:ascii="Times New Roman" w:hAnsi="Times New Roman" w:eastAsia="Times New Roman" w:cs="Times New Roman"/>
          <w:lang w:val="en-US" w:bidi="en-US"/>
          <w:color w:val="111111"/>
          <w:sz w:val="28"/>
          <w:szCs w:val="28"/>
          <w:rtl/>
        </w:rPr>
        <w:t xml:space="preserve">275.</w:t>
      </w:r>
    </w:p>
    <w:p>
      <w:pPr>
        <w:pStyle w:val="BookText"/>
      </w:pPr>
      <w:r>
        <w:rPr>
          <w:rFonts w:ascii="IRNazanin" w:hAnsi="IRNazanin" w:eastAsia="IRNazanin" w:cs="IRNazanin"/>
          <w:lang w:bidi="fa-IR"/>
          <w:color w:val="111111"/>
          <w:sz w:val="28"/>
          <w:szCs w:val="28"/>
          <w:rtl/>
        </w:rPr>
        <w:t xml:space="preserve">مشهد؛ رضوی؛ شماره نسخه: ۴۹۵۱/۱۲</w:t>
      </w:r>
    </w:p>
    <w:p>
      <w:pPr>
        <w:pStyle w:val="BookText"/>
      </w:pPr>
      <w:r>
        <w:rPr>
          <w:rFonts w:ascii="IRNazanin" w:hAnsi="IRNazanin" w:eastAsia="IRNazanin" w:cs="IRNazanin"/>
          <w:lang w:bidi="fa-IR"/>
          <w:color w:val="111111"/>
          <w:sz w:val="28"/>
          <w:szCs w:val="28"/>
          <w:rtl/>
        </w:rPr>
        <w:t xml:space="preserve">انجام: مرا از آن چه که سیمین بریست در کشمیر *** مرا از آن چه که نوشین لبی است در نوشاد</w:t>
      </w:r>
    </w:p>
    <w:p>
      <w:pPr>
        <w:pStyle w:val="BookText"/>
      </w:pPr>
      <w:r>
        <w:rPr>
          <w:rFonts w:ascii="IRNazanin" w:hAnsi="IRNazanin" w:eastAsia="IRNazanin" w:cs="IRNazanin"/>
          <w:lang w:bidi="fa-IR"/>
          <w:color w:val="111111"/>
          <w:sz w:val="28"/>
          <w:szCs w:val="28"/>
          <w:rtl/>
        </w:rPr>
        <w:t xml:space="preserve">در متن اشعاری :از محمد حسین یزدی، امیر خسرو دهلوی، شـیخ فیضی، خواجه آصفی، میر والهی قمی، اهلی شیرازی، رشیدای تبریزی، میر عقیل همدانی، شاپور طهرانی، درکی قمی، ملهـمی تبریزی، زکی همدانی، ضمیری اصفهانی، صوفی هروی، وحشی بافقی، وقوعی تبریزی، طوفی تبریزی، حاتم کاشی، غضنفر ،کلجاری، اهلی خراسانی، غازی قلندر، نورالدین قراری گیلانی، قدری شیرازی، حاجی محمد جان قدسی، میرفزونی استرابادی، نظیری مشهدی، یولقلی بیگ انیسی شاملو، میر سنجر کاشی، قاضی نوراصفهانی، حیدر کلوچه پز، عبدی بیـگ، شراری همدانی، میر مشتری خاوری، اوحدی اصفهانی، نورس قزوینی، رشکی همدانی، محمد طالب کلیمی، میرزا جـعفر آصفخان قزوینی، محمد شریف خان آملی، محمود بیگ فسونی، شکوهی همدانی ،میرعبدالغنی تفرشی، فضلی گلپایگانی، حکیم عارف ایگی، قاضی احمد فگاری ،رضای کاشی، نصیرای همدانی، سیدمحمد عتابی نجفی، امتی تربتی، خانخانان عبدالرحیم خان، میر محمد مؤمن استرابادی، میرزا حسابی نطنزی، رستم میرزای فدائی صفوی، باقر خرده کاشی، کمال خجندی، شهیدی قمی، سهیلی جغتایی، طهماسب قلی بیگ عرشی یزدی، شیخ علینقی کمره ای، محتشم کاشی، عبدالرحمن جامی، ابوتراب بیگ فرقتی، نادم گیلانی، در هامش آمده از: سلمان ساوجی، میرزا قلی میلی، سیف اسفرنگی، شانی تکلو ،عرفی، خواجه حسین ثنایی، امیر معزی، امیدی، حکیم خاقانی، حکیم انوری، ظهیر فاریابی ( ص ۵۰۹-۶۰۲)؛ خط: نستعلیق خوش، کا: شکر الله ایموری، تا: نیمه دوم قرن ۱۱؛ آغاز نسخه دارای فهرست شطرنجى مذهب بوده و فقط صفحه آخر آن بجا مانده است که بدین عبارت شروع می شود: «انتخاب بابا نصیبی گیلانی»؛ کاغذ: آبی، جلد: چرمی روغنی زمینه مشکی با ترنج زرد و نقش اسلیمی، ۸۰ص (۱۴۸- 213 و ۶۰۲-۵۹۰)، مختلف السطر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۲۶/۵) اندازه: ۱۶/۵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۲۸سم [ف: ۷ - ۸۰۲]</w:t>
      </w:r>
    </w:p>
    <w:p>
      <w:pPr>
        <w:pStyle w:val="BookText"/>
      </w:pPr>
      <w:r>
        <w:rPr>
          <w:rFonts w:ascii="IRNazanin" w:hAnsi="IRNazanin" w:eastAsia="IRNazanin" w:cs="IRNazanin"/>
          <w:lang w:bidi="fa-IR"/>
          <w:color w:val="111111"/>
          <w:sz w:val="28"/>
          <w:szCs w:val="28"/>
          <w:rtl/>
        </w:rPr>
        <w:t xml:space="preserve">۲۷۶. تهران؛ ملی؛ شماره نسخه: ۱۵۷۱۰</w:t>
      </w:r>
    </w:p>
    <w:p>
      <w:pPr>
        <w:pStyle w:val="BookText"/>
      </w:pPr>
      <w:r>
        <w:rPr>
          <w:rFonts w:ascii="IRNazanin" w:hAnsi="IRNazanin" w:eastAsia="IRNazanin" w:cs="IRNazanin"/>
          <w:lang w:bidi="fa-IR"/>
          <w:color w:val="111111"/>
          <w:sz w:val="28"/>
          <w:szCs w:val="28"/>
          <w:rtl/>
        </w:rPr>
        <w:t xml:space="preserve">آغاز: این طرفه بیاض کز سواد است ترتیب از نقص منزه و مبراست ز عیب. الحق که سفینه ایست در بحر کمال هر نوع هر نوع گهر که خواهیش هست؛ انجام: کرد این غزل دگر بار وی را اسیر خوبان *** در چار موج شوقم زین بحر چار پاره حسب الفرموده صاحب.</w:t>
      </w:r>
    </w:p>
    <w:p>
      <w:pPr>
        <w:pStyle w:val="BookText"/>
      </w:pPr>
      <w:r>
        <w:rPr>
          <w:rFonts w:ascii="IRNazanin" w:hAnsi="IRNazanin" w:eastAsia="IRNazanin" w:cs="IRNazanin"/>
          <w:lang w:bidi="fa-IR"/>
          <w:color w:val="111111"/>
          <w:sz w:val="28"/>
          <w:szCs w:val="28"/>
          <w:rtl/>
        </w:rPr>
        <w:t xml:space="preserve">مجموعه اشعاری است از میرزا صائب، محمد صادق صامت ،ممتاز، رمزی کاشانی، حبیب الله ظهور، عبدالله، میرزا قاسم زاهد، داود الحسینی، محمدرضا رابط مشهدی، عبدالله حسینی کربلایی، حاجی محمد گیلانی ،فرزدق، سید اسماعیل و محمد هاشم که به درخواست صاحب کتاب میرزا محمد مهدی متخلص به ایمان در سال های ۱۰۸۶ق و ۱۰۸۷ق توسط صدرالدین محمد الحسینی، محمد صادق، ابوالفتح خان بابا خان، یحیى بن حسن طالقانی، محمد امین الوقاری و محمد رشید تحریر و دیباچه آن توسط محمد مختار بروجردی نوشته شده؛ خط: شکسته نستعلیق، بی کا، تا: قرن ۱۱؛ مهر: «عبده محمد حسین بن محمدرضا» (بیضی)؛ کاغذ: فرنگی الوان فالدار، جلد: تیماج قهوه ای یک لا، ۵۴گ، سطور چلیپا، ابعاد متن: ۸/۳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۱۷/۳، اندازه: ۱۲/۸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۲۲/۲سم [رایانه ]</w:t>
      </w:r>
    </w:p>
    <w:p>
      <w:pPr>
        <w:pStyle w:val="BookText"/>
      </w:pPr>
      <w:r>
        <w:rPr>
          <w:rFonts w:ascii="IRNazanin" w:hAnsi="IRNazanin" w:eastAsia="IRNazanin" w:cs="IRNazanin"/>
          <w:lang w:bidi="fa-IR"/>
          <w:color w:val="111111"/>
          <w:sz w:val="28"/>
          <w:szCs w:val="28"/>
          <w:rtl/>
        </w:rPr>
        <w:t xml:space="preserve">۲۷۷. قم؛ مرعشی؛ شماره نسخه: ۱۱۸۲/۵۷</w:t>
      </w:r>
    </w:p>
    <w:p>
      <w:pPr>
        <w:pStyle w:val="BookText"/>
      </w:pPr>
      <w:r>
        <w:rPr>
          <w:rFonts w:ascii="IRNazanin" w:hAnsi="IRNazanin" w:eastAsia="IRNazanin" w:cs="IRNazanin"/>
          <w:lang w:bidi="fa-IR"/>
          <w:color w:val="111111"/>
          <w:sz w:val="28"/>
          <w:szCs w:val="28"/>
          <w:rtl/>
        </w:rPr>
        <w:t xml:space="preserve">نسخه اصل: فرهنگستان علوم آذربایجان، باكو ش (8201) </w:t>
      </w:r>
      <w:r>
        <w:rPr>
          <w:rFonts w:ascii="Times New Roman" w:hAnsi="Times New Roman" w:eastAsia="Times New Roman" w:cs="Times New Roman"/>
          <w:lang w:val="en-US" w:bidi="en-US"/>
          <w:color w:val="111111"/>
          <w:sz w:val="28"/>
          <w:szCs w:val="28"/>
          <w:rtl/>
        </w:rPr>
        <w:t xml:space="preserve">M 140</w:t>
      </w:r>
      <w:r>
        <w:rPr>
          <w:rFonts w:ascii="IRNazanin" w:hAnsi="IRNazanin" w:eastAsia="IRNazanin" w:cs="IRNazanin"/>
          <w:lang w:bidi="fa-IR"/>
          <w:color w:val="111111"/>
          <w:sz w:val="28"/>
          <w:szCs w:val="28"/>
          <w:rtl/>
        </w:rPr>
        <w:t xml:space="preserve">ابیات فارسی است از محوی، ابوسعید ابوالخیر، سلمان ساوجی و میرداماد؛ بی کا، تا :قرن ۱۱؛ ۲ ص (۱۶۷-۱۶۸) [عکسی ف: ۳ - 426]</w:t>
      </w:r>
    </w:p>
    <w:p>
      <w:pPr>
        <w:pStyle w:val="BookText"/>
      </w:pPr>
      <w:r>
        <w:rPr>
          <w:rFonts w:ascii="IRNazanin" w:hAnsi="IRNazanin" w:eastAsia="IRNazanin" w:cs="IRNazanin"/>
          <w:lang w:bidi="fa-IR"/>
          <w:color w:val="111111"/>
          <w:sz w:val="28"/>
          <w:szCs w:val="28"/>
          <w:rtl/>
        </w:rPr>
        <w:t xml:space="preserve">۲۷۸ . قم؛ مرعشی؛ شماره نسخه: ۱۱۸۲/۸۳</w:t>
      </w:r>
    </w:p>
    <w:p>
      <w:pPr>
        <w:pStyle w:val="BookText"/>
      </w:pPr>
      <w:r>
        <w:rPr>
          <w:rFonts w:ascii="IRNazanin" w:hAnsi="IRNazanin" w:eastAsia="IRNazanin" w:cs="IRNazanin"/>
          <w:lang w:bidi="fa-IR"/>
          <w:color w:val="111111"/>
          <w:sz w:val="28"/>
          <w:szCs w:val="28"/>
          <w:rtl/>
        </w:rPr>
        <w:t xml:space="preserve">نسخه اصل: فرهنگستان علوم آذربایجان، باكو ش (8201) </w:t>
      </w: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۱۴۰ اشعاری فارسی از ولی دشت بیاضی، منطقی، ابوسعید ابوالخیر ،آصفخان، وحشی، ساقی نامه شیخ بهایی، ادیب صابر، میرداماد، ظهوری، مولوی؛ خط: نستعلیق چلیپا، بی کا، تا: قرن ۱۱؛
</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۳ ص (۲۶۹-۲۷۱)[ عکسی ف: ۳ - ۴۳۱]</w:t>
      </w:r>
    </w:p>
    <w:p>
      <w:pPr>
        <w:pStyle w:val="BookText"/>
      </w:pPr>
      <w:r>
        <w:rPr>
          <w:rFonts w:ascii="IRNazanin" w:hAnsi="IRNazanin" w:eastAsia="IRNazanin" w:cs="IRNazanin"/>
          <w:lang w:bidi="fa-IR"/>
          <w:color w:val="111111"/>
          <w:sz w:val="28"/>
          <w:szCs w:val="28"/>
          <w:rtl/>
        </w:rPr>
        <w:t xml:space="preserve">279.تهران؛ دانشگاه؛ شماره نسخه: ۲۴۶۴/۲۵</w:t>
      </w:r>
    </w:p>
    <w:p>
      <w:pPr>
        <w:pStyle w:val="BookText"/>
      </w:pPr>
      <w:r>
        <w:rPr>
          <w:rFonts w:ascii="IRNazanin" w:hAnsi="IRNazanin" w:eastAsia="IRNazanin" w:cs="IRNazanin"/>
          <w:lang w:bidi="fa-IR"/>
          <w:color w:val="111111"/>
          <w:sz w:val="28"/>
          <w:szCs w:val="28"/>
          <w:rtl/>
        </w:rPr>
        <w:t xml:space="preserve">از شاهد؛ خط:نستعلیق، بی کا، تا: قرن ۱۱؛ کاغذ: سپاهانی، جلد: تیماج مشکی ضربی درون تریاکی، ۲ ص (۵۳۱-۵۳۲ دو حاشیه)، سطور چلیپا، ابعاد متن: ۱۷/۵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۳۳، اندازه: ۱۸/۵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۳۴سم [ ف: ۹ - ۱۲۰۵  ]</w:t>
      </w:r>
    </w:p>
    <w:p>
      <w:pPr>
        <w:pStyle w:val="BookText"/>
      </w:pPr>
      <w:r>
        <w:rPr>
          <w:rFonts w:ascii="IRNazanin" w:hAnsi="IRNazanin" w:eastAsia="IRNazanin" w:cs="IRNazanin"/>
          <w:lang w:bidi="fa-IR"/>
          <w:color w:val="111111"/>
          <w:sz w:val="28"/>
          <w:szCs w:val="28"/>
          <w:rtl/>
        </w:rPr>
        <w:t xml:space="preserve">۲۸۰. تهران؛ دانشگاه؛ شماره نسخه: ۲۱۴۲۷/۱</w:t>
      </w:r>
    </w:p>
    <w:p>
      <w:pPr>
        <w:pStyle w:val="BookText"/>
      </w:pPr>
      <w:r>
        <w:rPr>
          <w:rFonts w:ascii="IRNazanin" w:hAnsi="IRNazanin" w:eastAsia="IRNazanin" w:cs="IRNazanin"/>
          <w:lang w:bidi="fa-IR"/>
          <w:color w:val="111111"/>
          <w:sz w:val="28"/>
          <w:szCs w:val="28"/>
          <w:rtl/>
        </w:rPr>
        <w:t xml:space="preserve">بیت هایی از عظیمای نیشابوری و ملاسحابی؛ خط: نستعلیق،کا: امام قلی ایمانی غلام، تا: نیمه دوم قرن ۱۱؛ مجدول؛ کاغذ: سپاهانی متن و حاشیه، جلد: تیماج تریاکی ضربی زرکوب مقوایی، 1ص ،(423 پ)، ۲۰ سطر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اندازه: ۳۲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  سم[ ف: ۸ - ۱۰۱]</w:t>
      </w:r>
    </w:p>
    <w:p>
      <w:pPr>
        <w:pStyle w:val="BookText"/>
      </w:pPr>
      <w:r>
        <w:rPr>
          <w:rFonts w:ascii="IRNazanin" w:hAnsi="IRNazanin" w:eastAsia="IRNazanin" w:cs="IRNazanin"/>
          <w:lang w:bidi="fa-IR"/>
          <w:color w:val="111111"/>
          <w:sz w:val="28"/>
          <w:szCs w:val="28"/>
          <w:rtl/>
        </w:rPr>
        <w:t xml:space="preserve">۲۸۱. تهران؛ مجلس؛ شماره نسخه: ۱۱۲۲/۸</w:t>
      </w:r>
    </w:p>
    <w:p>
      <w:pPr>
        <w:pStyle w:val="BookText"/>
      </w:pPr>
      <w:r>
        <w:rPr>
          <w:rFonts w:ascii="IRNazanin" w:hAnsi="IRNazanin" w:eastAsia="IRNazanin" w:cs="IRNazanin"/>
          <w:lang w:bidi="fa-IR"/>
          <w:color w:val="111111"/>
          <w:sz w:val="28"/>
          <w:szCs w:val="28"/>
          <w:rtl/>
        </w:rPr>
        <w:t xml:space="preserve">ترجیع بند است. قسمتی از برگ اول ترجیع بند وصالی شده وعنوان آن از بین رفته است بیت ترجیع این است: «ما خشک لـبان تشنه دیدار شرابیم*** چون کاسه ما گشت تهی خانه خرابیم»، نخستین بندی که آغاز آن دیده می شود (و گویا بندسوم است) چنین شروع می شود: «ساقی بده آن باده که خون دل کان اسـت *** آن می که چوجان در بدن شیشه روان است / آن شعله که در دیده گم گشته راهش *** چون آتش طور از شجر تاک عیان است؛ بی کا، تا: قرن ۱۱؛ کاغذ: شکری نازک آمار مهره، جـلد: تیماج قهوه ای با ترنج و نیم ترنج، ۷ ص (۲۸-۳۴) [ف: ۳ - ۵۶۷]</w:t>
      </w:r>
    </w:p>
    <w:p>
      <w:pPr>
        <w:pStyle w:val="BookText"/>
      </w:pPr>
      <w:r>
        <w:rPr>
          <w:rFonts w:ascii="IRNazanin" w:hAnsi="IRNazanin" w:eastAsia="IRNazanin" w:cs="IRNazanin"/>
          <w:lang w:bidi="fa-IR"/>
          <w:color w:val="111111"/>
          <w:sz w:val="28"/>
          <w:szCs w:val="28"/>
          <w:rtl/>
        </w:rPr>
        <w:t xml:space="preserve">۲۸۲. تهران؛ مجلس؛ شماره نسخه: ۱۱۲۲/۱۳</w:t>
      </w:r>
    </w:p>
    <w:p>
      <w:pPr>
        <w:pStyle w:val="BookText"/>
      </w:pPr>
      <w:r>
        <w:rPr>
          <w:rFonts w:ascii="IRNazanin" w:hAnsi="IRNazanin" w:eastAsia="IRNazanin" w:cs="IRNazanin"/>
          <w:lang w:bidi="fa-IR"/>
          <w:color w:val="111111"/>
          <w:sz w:val="28"/>
          <w:szCs w:val="28"/>
          <w:rtl/>
        </w:rPr>
        <w:t xml:space="preserve">غزلی است فکاهی در نه بیت با این مطلع: محبوبه ای مرا صفاهان دچار شد *** گشته نهان به چادر زراق پر بها؛ بی کا، قرن ۱۱؛ کاغذ: شکری نازک آهار مهره ،جلد: تیماج قهوه ای با ترنج و نیم ترنج حاشیه و عطف، ۱ص (۷۳) [ف: ۳ - ۵۶۸]</w:t>
      </w:r>
    </w:p>
    <w:p>
      <w:pPr>
        <w:pStyle w:val="BookText"/>
      </w:pPr>
      <w:r>
        <w:rPr>
          <w:rFonts w:ascii="IRNazanin" w:hAnsi="IRNazanin" w:eastAsia="IRNazanin" w:cs="IRNazanin"/>
          <w:lang w:bidi="fa-IR"/>
          <w:color w:val="111111"/>
          <w:sz w:val="28"/>
          <w:szCs w:val="28"/>
          <w:rtl/>
        </w:rPr>
        <w:t xml:space="preserve">۲۸۳. تهران؛ دانشگاه؛ شماره نسخه: ۸۸۲۳/۲</w:t>
      </w:r>
    </w:p>
    <w:p>
      <w:pPr>
        <w:pStyle w:val="BookText"/>
      </w:pPr>
      <w:r>
        <w:rPr>
          <w:rFonts w:ascii="IRNazanin" w:hAnsi="IRNazanin" w:eastAsia="IRNazanin" w:cs="IRNazanin"/>
          <w:lang w:bidi="fa-IR"/>
          <w:color w:val="111111"/>
          <w:sz w:val="28"/>
          <w:szCs w:val="28"/>
          <w:rtl/>
        </w:rPr>
        <w:t xml:space="preserve">شعرهای: صایب ،شعیب جوشقانی، ملا غضنفر کله جاری ،وحشی ،محتشم، خواجه ابوالوفاء، طالبای کلیم، میر نجات تا می رسد به ملا محمد کاظم، اهل ،محمد باقی کاشانی، مظفر کاشانی (چندین صفحه)، ویس بیک فطرت، پاره های نثر فارسی، شعر: شیخ علی نقی کمره ای و محتشم، سواد رقعه، شعر: شیدای هندی و میر معصوم و پدرش میر حیدر معمائی کاشانی و شـیخ الزمانی و فردوسی و بابا افضل و سحابی و میر علی شیر؛ خـط: نستعلیق چلیپا، بی کا، تا: قرن ۱۱؛ جدول زر و لاجورد؛ کاغذ: سپاهانی، جلد: مقوا، ۲۲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 قطع: رحلی کوچک [ف: 17- 228]</w:t>
      </w:r>
    </w:p>
    <w:p>
      <w:pPr>
        <w:pStyle w:val="BookText"/>
      </w:pPr>
      <w:r>
        <w:rPr>
          <w:rFonts w:ascii="IRNazanin" w:hAnsi="IRNazanin" w:eastAsia="IRNazanin" w:cs="IRNazanin"/>
          <w:lang w:bidi="fa-IR"/>
          <w:color w:val="111111"/>
          <w:sz w:val="28"/>
          <w:szCs w:val="28"/>
          <w:rtl/>
        </w:rPr>
        <w:t xml:space="preserve">۲۸۴. تهران؛ مجلس؛ شماره نسخه: ۱۱۳۰</w:t>
      </w:r>
    </w:p>
    <w:p>
      <w:pPr>
        <w:pStyle w:val="BookText"/>
      </w:pPr>
      <w:r>
        <w:rPr>
          <w:rFonts w:ascii="IRNazanin" w:hAnsi="IRNazanin" w:eastAsia="IRNazanin" w:cs="IRNazanin"/>
          <w:lang w:bidi="fa-IR"/>
          <w:color w:val="111111"/>
          <w:sz w:val="28"/>
          <w:szCs w:val="28"/>
          <w:rtl/>
        </w:rPr>
        <w:t xml:space="preserve">آغاز: بسمله سیراب ترین شکوفه گلشن سخندانی....هزار گلشن رویت به دهر حسن نما *** غبار بر زن کویت به مهر  داده ضيا؛</w:t>
      </w:r>
    </w:p>
    <w:p>
      <w:pPr>
        <w:pStyle w:val="BookText"/>
      </w:pPr>
      <w:r>
        <w:rPr>
          <w:rFonts w:ascii="IRNazanin" w:hAnsi="IRNazanin" w:eastAsia="IRNazanin" w:cs="IRNazanin"/>
          <w:lang w:bidi="fa-IR"/>
          <w:color w:val="111111"/>
          <w:sz w:val="28"/>
          <w:szCs w:val="28"/>
          <w:rtl/>
        </w:rPr>
        <w:t xml:space="preserve">چند قصیده مصنوع و چند بدیعیه است که به ترتیب: ۱ -قصـیده مصنوع حافظ علی بن نور که در مدح شاه اسماعیل اول صفـوی است، مقدمه نثری و قطعه هایی که از توشیح و حشو مضارع اولی و آخری و حشو مضارع مستخرجات این قصیده حاصل می گردد و در مدح این پادشاه می باشد پیش از قصیده گذارده شده (گ ۱۸-۱)، ۲- قصيده حافظ علی بن نور در صنایع بدیعیه که آن را به نام «ممتاز البدایع» نامیده و نیز مقدمه ای به نثر دارد( گ 18- 31).</w:t>
      </w:r>
    </w:p>
    <w:p>
      <w:pPr>
        <w:pStyle w:val="BookText"/>
      </w:pPr>
      <w:r>
        <w:rPr>
          <w:rFonts w:ascii="IRNazanin" w:hAnsi="IRNazanin" w:eastAsia="IRNazanin" w:cs="IRNazanin"/>
          <w:lang w:bidi="fa-IR"/>
          <w:color w:val="111111"/>
          <w:sz w:val="28"/>
          <w:szCs w:val="28"/>
          <w:rtl/>
        </w:rPr>
        <w:t xml:space="preserve">وی این بدیعیه را به نام حسین میرزا گورکان در ۱۸۰ بیت و در مدت یک سال (۹۰۸-۹۰۹ به انجام رسانیده. «ای زدادت نموده جور فرار ***بی مرادت نبوده دور به کار »،۳- قطعه ای است مصنوع دارای مقدمه نثری و ۱۵ بیت که ظاهراً در وصف شیخ مجد الدین نام انشاء شده و نام شاعر آن در مقدمه و خود قطعه نیست و شاید که از صاحب قصیده پیشین باشد (گ 32- 33).</w:t>
      </w:r>
    </w:p>
    <w:p>
      <w:pPr>
        <w:pStyle w:val="BookText"/>
      </w:pPr>
      <w:r>
        <w:rPr>
          <w:rFonts w:ascii="IRNazanin" w:hAnsi="IRNazanin" w:eastAsia="IRNazanin" w:cs="IRNazanin"/>
          <w:lang w:bidi="fa-IR"/>
          <w:color w:val="111111"/>
          <w:sz w:val="28"/>
          <w:szCs w:val="28"/>
          <w:rtl/>
        </w:rPr>
        <w:t xml:space="preserve">آغاز: «بعد از ادای ثناى واجب الوجود... حمیده خلق ایانیک سیرتی کامروز *** به حشمت تو کسی نیست در جمیع دیار»، ۴- قصيده مصنوع دیگری است که حافظ علی بن نور در مدح سلطان حسین گورکان انشا نموده و مقدمه ای به نثر در آغاز آن نوشته و نیز قطعات مستخرجه از قصیده را خود شاعر پس از مقدمه و پیش از قصیده گذارده است (برگ۳34- 50)؛ ۵- قصیده مصنوعه سلمان ساوجی است که در وصف غياث الدين محمد وزیر انشا نموده و دارای مقدمه مختصری به نثر می باشد و قطعات مستخرجه از قصیده در آخر است (گ 51- 62)، ۶- قصیده مصنوع فصیح الدین رویی (در عنوان قصیده مؤلف بدین نسبت معرفی شده ظاهراً  مراد مراد فصیح الدین خوافی است) و قطعه های مستخرجه از قصیده در آخر است (گ 63- 74)، ۷- قصیده «بدیع الاسحار فى صنايع الاشعار» جمال الدین قوامی مطرزی (گ ۷۵- ۸۲)،8 - قصيده مصنوع تیمور حسینی از شعرای قرن یازدهم که در مدح شاه صفی صفوی (۱۰۳۸-۱۰۵۲) انشا نموده ومقدمه ای به نثر نیز بر آن نگاشته نویسنده ای به غلط نام سراینده قصیده را در میان سرلوح آملی شیرازی نوشته است؛ خط: نستعلیق خوب، بی کا، تا: اوایل نیمه دوم قرن ۱۱؛ قطعات و رباعیات و غزلی که از قصیده به دست آمده در آخر گذارده شده است (گ 83- 104)، فقط در آغاز قصیده سلمان ساوجی و قصیده تیمور حسینی هر یک با سرلوح می باشد و برگ ۱ و ۴ و ۱۸ و   ۳۴ و ۳۷ دارای سرسوره هایی است که بر آنها نام قصیده و شاعر نگارش یافته و این عناوین به خط نویسنده اصل نسخه نیست و نویسنده چنانکه تذکر داده شد بعضی را به غلط نگاشته است. برگ ۵۸ و ۵۹ جابجا گذارده شده و بنابر شماره ای که بر برگ ها پیش از این گذارده شده میان برگ ۷۴ و ۷۵ کنونی دو برگ بوده و اینک نیست و نسخه هم یا همین نقص وارد این کتابخانه گردیده، مجدول مذهب؛ کاغذ: بخارائی، جلد: تیماج ضربی، ۱۰۴گ، ۱۵ سطر يا بيت سطر، قطع: وزیری، اندازه:۱۶/۵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۲۶/۵سم[ف:۳-۳۸۲]</w:t>
      </w:r>
    </w:p>
    <w:p>
      <w:pPr>
        <w:pStyle w:val="BookText"/>
      </w:pPr>
      <w:r>
        <w:rPr>
          <w:rFonts w:ascii="IRNazanin" w:hAnsi="IRNazanin" w:eastAsia="IRNazanin" w:cs="IRNazanin"/>
          <w:lang w:bidi="fa-IR"/>
          <w:color w:val="111111"/>
          <w:sz w:val="28"/>
          <w:szCs w:val="28"/>
          <w:rtl/>
        </w:rPr>
        <w:t xml:space="preserve">۲۸۵. تهران؛ مفتاح؛ شماره نسخه: ۸۵۸/۶</w:t>
      </w:r>
    </w:p>
    <w:p>
      <w:pPr>
        <w:pStyle w:val="BookText"/>
      </w:pPr>
      <w:r>
        <w:rPr>
          <w:rFonts w:ascii="IRNazanin" w:hAnsi="IRNazanin" w:eastAsia="IRNazanin" w:cs="IRNazanin"/>
          <w:lang w:bidi="fa-IR"/>
          <w:color w:val="111111"/>
          <w:sz w:val="28"/>
          <w:szCs w:val="28"/>
          <w:rtl/>
        </w:rPr>
        <w:t xml:space="preserve">شعرهای امینای یزدی و میرزا شاه تقی و طالب آملی و شیخ بهائی و محمد معصوم مشهدی ؛خط: نستعلیق، بی کا، تا: قرن ۱۱؛
</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افتادگی: انجام؛ قطع: ربعی [ نشریه: ۷ - ۱۳۵]</w:t>
      </w:r>
    </w:p>
    <w:p>
      <w:pPr>
        <w:pStyle w:val="BookText"/>
      </w:pPr>
      <w:r>
        <w:rPr>
          <w:rFonts w:ascii="IRNazanin" w:hAnsi="IRNazanin" w:eastAsia="IRNazanin" w:cs="IRNazanin"/>
          <w:lang w:bidi="fa-IR"/>
          <w:color w:val="111111"/>
          <w:sz w:val="28"/>
          <w:szCs w:val="28"/>
          <w:rtl/>
        </w:rPr>
        <w:t xml:space="preserve">۲۸۶. قم؛ مرعشی؛ شماره نسخه: ۱۱۸۲/۸۱</w:t>
      </w:r>
    </w:p>
    <w:p>
      <w:pPr>
        <w:pStyle w:val="BookText"/>
      </w:pPr>
      <w:r>
        <w:rPr>
          <w:rFonts w:ascii="IRNazanin" w:hAnsi="IRNazanin" w:eastAsia="IRNazanin" w:cs="IRNazanin"/>
          <w:lang w:bidi="fa-IR"/>
          <w:color w:val="111111"/>
          <w:sz w:val="28"/>
          <w:szCs w:val="28"/>
          <w:rtl/>
        </w:rPr>
        <w:t xml:space="preserve">نسخه اصل: فرهنگستان علوم آذربایجان، باکو ش (۸۲۰۱) </w:t>
      </w:r>
      <w:r>
        <w:rPr>
          <w:rFonts w:ascii="Times New Roman" w:hAnsi="Times New Roman" w:eastAsia="Times New Roman" w:cs="Times New Roman"/>
          <w:lang w:val="en-US" w:bidi="en-US"/>
          <w:color w:val="111111"/>
          <w:sz w:val="28"/>
          <w:szCs w:val="28"/>
          <w:rtl/>
        </w:rPr>
        <w:t xml:space="preserve">M </w:t>
      </w:r>
      <w:r>
        <w:rPr>
          <w:rFonts w:ascii="IRNazanin" w:hAnsi="IRNazanin" w:eastAsia="IRNazanin" w:cs="IRNazanin"/>
          <w:lang w:bidi="fa-IR"/>
          <w:color w:val="111111"/>
          <w:sz w:val="28"/>
          <w:szCs w:val="28"/>
          <w:rtl/>
        </w:rPr>
        <w:t xml:space="preserve">۱۴۰ اشعار فارسی از شیخ فیضی و میرداماد؛ خط: نستعلیق، چلیپا، بی کا، تا: قرن ،۱۱، ۲ ص (۲۶۷-۲۶۸) [ عکسی ف: ۳ - ۴۳۱]</w:t>
      </w:r>
    </w:p>
    <w:p>
      <w:pPr>
        <w:pStyle w:val="BookText"/>
      </w:pPr>
      <w:r>
        <w:rPr>
          <w:rFonts w:ascii="IRNazanin" w:hAnsi="IRNazanin" w:eastAsia="IRNazanin" w:cs="IRNazanin"/>
          <w:lang w:bidi="fa-IR"/>
          <w:color w:val="111111"/>
          <w:sz w:val="28"/>
          <w:szCs w:val="28"/>
          <w:rtl/>
        </w:rPr>
        <w:t xml:space="preserve">۲۸۷. تهران؛ دانشگاه؛ شماره نسخه: ۸۸۲۳/۱</w:t>
      </w:r>
    </w:p>
    <w:p>
      <w:pPr>
        <w:pStyle w:val="BookText"/>
      </w:pPr>
      <w:r>
        <w:rPr>
          <w:rFonts w:ascii="IRNazanin" w:hAnsi="IRNazanin" w:eastAsia="IRNazanin" w:cs="IRNazanin"/>
          <w:lang w:bidi="fa-IR"/>
          <w:color w:val="111111"/>
          <w:sz w:val="28"/>
          <w:szCs w:val="28"/>
          <w:rtl/>
        </w:rPr>
        <w:t xml:space="preserve">غزل های همایون؛ خط: نستعلیق چلیپا، بی کا، تا: قرن ۱۱؛ افتادگی: آغاز؛ مجدول؛ کاغذ: سپاهانی ،جلد: مقوا، ۲۲سطر (۱۱</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 قطع: رحلی کوچک [ف: ۱۷ – ۲۲۷]</w:t>
      </w:r>
    </w:p>
    <w:p>
      <w:pPr>
        <w:pStyle w:val="BookText"/>
      </w:pPr>
      <w:r>
        <w:rPr>
          <w:rFonts w:ascii="IRNazanin" w:hAnsi="IRNazanin" w:eastAsia="IRNazanin" w:cs="IRNazanin"/>
          <w:lang w:bidi="fa-IR"/>
          <w:color w:val="111111"/>
          <w:sz w:val="28"/>
          <w:szCs w:val="28"/>
          <w:rtl/>
        </w:rPr>
        <w:t xml:space="preserve">۲۸۸. تهران؛ مجلس؛ شماره نسخه: ۱۱۲۲/۱۷</w:t>
      </w:r>
    </w:p>
    <w:p>
      <w:pPr>
        <w:pStyle w:val="BookText"/>
      </w:pPr>
      <w:r>
        <w:rPr>
          <w:rFonts w:ascii="IRNazanin" w:hAnsi="IRNazanin" w:eastAsia="IRNazanin" w:cs="IRNazanin"/>
          <w:lang w:bidi="fa-IR"/>
          <w:color w:val="111111"/>
          <w:sz w:val="28"/>
          <w:szCs w:val="28"/>
          <w:rtl/>
        </w:rPr>
        <w:t xml:space="preserve">آغاز: بساط آرای ایوان حکایت*** نشاط افزای بستان روایت/ خروس نطق را زینت گری کرد *** زهی زینت که سحر سامری کرد ... که عادل پادشاهی بود در چین *** بفرمانش سراسر چین و ماچین ؛انجام: بزرگ و خرد و مردوزن به صدجان ***  همه گشتند پیش شه مسلمان / به دولت سر فراز شه مسلمان / به دولت سر فراز آمد شه چین *** به سوی  مکه باز آمد شه آمد شه چین / خوشا فارغ که از مولی نظر یافت*** دلش از سر مهر او خبر یافت</w:t>
      </w:r>
    </w:p>
    <w:p>
      <w:pPr>
        <w:pStyle w:val="BookText"/>
      </w:pPr>
      <w:r>
        <w:rPr>
          <w:rFonts w:ascii="IRNazanin" w:hAnsi="IRNazanin" w:eastAsia="IRNazanin" w:cs="IRNazanin"/>
          <w:lang w:bidi="fa-IR"/>
          <w:color w:val="111111"/>
          <w:sz w:val="28"/>
          <w:szCs w:val="28"/>
          <w:rtl/>
        </w:rPr>
        <w:t xml:space="preserve">از وحشی و نظمی و فارغ (مثنوی فارغ نامه یا ولایت نامه) شامل داستان پادشاه چین و اسلام جمعی مردم چین و کرامتی امير المؤمنين على (علیه السّلام)؛ بی کا، تا: قرن ۱۱؛ کاغذ: شکری نازک آهار مهره، جلد: تیماج قهوه ای با ترنج و نیم ترنج ،۲۳ ص (193- 215) [ف: ۳ - ۵۷۰]</w:t>
      </w:r>
    </w:p>
    <w:p>
      <w:pPr>
        <w:pStyle w:val="BookText"/>
      </w:pPr>
      <w:r>
        <w:rPr>
          <w:rFonts w:ascii="IRNazanin" w:hAnsi="IRNazanin" w:eastAsia="IRNazanin" w:cs="IRNazanin"/>
          <w:lang w:bidi="fa-IR"/>
          <w:color w:val="111111"/>
          <w:sz w:val="28"/>
          <w:szCs w:val="28"/>
          <w:rtl/>
        </w:rPr>
        <w:t xml:space="preserve">۲۸۹. تهران؛ مجلس؛ شماره نسخه: ۵۱۳۸/۷۵</w:t>
      </w:r>
    </w:p>
    <w:p>
      <w:pPr>
        <w:pStyle w:val="BookText"/>
      </w:pPr>
      <w:r>
        <w:rPr>
          <w:rFonts w:ascii="IRNazanin" w:hAnsi="IRNazanin" w:eastAsia="IRNazanin" w:cs="IRNazanin"/>
          <w:lang w:bidi="fa-IR"/>
          <w:color w:val="111111"/>
          <w:sz w:val="28"/>
          <w:szCs w:val="28"/>
          <w:rtl/>
        </w:rPr>
        <w:t xml:space="preserve">آغاز: آفرین بر روان فردوسی*** آن همایون نهاد فرخنده / او  یه استاد بود و ماشاگرد د *** او خداوند بود و ما بنده؛ انجام: تاطبع ترا نماند پروای سخن *** نامد گهری برون ز دریای سخن / زانگـونه که بدرسول ما ختم رسل *** بر طبع توختم گشت انشای سخن</w:t>
      </w:r>
    </w:p>
    <w:p>
      <w:pPr>
        <w:pStyle w:val="BookText"/>
      </w:pPr>
      <w:r>
        <w:rPr>
          <w:rFonts w:ascii="IRNazanin" w:hAnsi="IRNazanin" w:eastAsia="IRNazanin" w:cs="IRNazanin"/>
          <w:lang w:bidi="fa-IR"/>
          <w:color w:val="111111"/>
          <w:sz w:val="28"/>
          <w:szCs w:val="28"/>
          <w:rtl/>
        </w:rPr>
        <w:t xml:space="preserve">اشعاری از شاعران قدیم در ستایش از فردوسی طوسی، سرایندگان شناخته نشدند مگر یکی را که امامی سروده اسـت؛ خط: نستعلیق، بی کا، تا: قرن ۱۱؛ 1گ (۲۲۷) [ف : ۱۵ - ۱۶۵]</w:t>
      </w:r>
    </w:p>
    <w:p>
      <w:pPr>
        <w:pStyle w:val="BookText"/>
      </w:pPr>
      <w:r>
        <w:rPr>
          <w:rFonts w:ascii="IRNazanin" w:hAnsi="IRNazanin" w:eastAsia="IRNazanin" w:cs="IRNazanin"/>
          <w:lang w:bidi="fa-IR"/>
          <w:color w:val="111111"/>
          <w:sz w:val="28"/>
          <w:szCs w:val="28"/>
          <w:rtl/>
        </w:rPr>
        <w:t xml:space="preserve">۲۹۰ . تهران؛ دانشگاه؛ شماره نسخه: ۴۷۲۷/۱</w:t>
      </w:r>
    </w:p>
    <w:p>
      <w:pPr>
        <w:pStyle w:val="BookText"/>
      </w:pPr>
      <w:r>
        <w:rPr>
          <w:rFonts w:ascii="IRNazanin" w:hAnsi="IRNazanin" w:eastAsia="IRNazanin" w:cs="IRNazanin"/>
          <w:lang w:bidi="fa-IR"/>
          <w:color w:val="111111"/>
          <w:sz w:val="28"/>
          <w:szCs w:val="28"/>
          <w:rtl/>
        </w:rPr>
        <w:t xml:space="preserve">جنگ شعرهای [در فهرست شماره صفحاتی که در آنها شعرهایی از آن شعرا آمده ذکر شده است]: نورا، مهدیخان بیک، محـمد قاسم مشهدی و آقاحسین وحدت، سلمان و میرزا معز، بیگانه به خط خود او و میرزا رفیع منشی و عشق راقم و غنی کشمیری و میرزا جانی و میر مجیبی و خصالی و باقیای نایینی، فیضی، ميرغياث الدين منصور شیرازی هندی متخلص به فکرت سلمه تعالى، وحشی کرمانی، حاج محمد جان قدسی، محمد باقر بیـک جهرمی، مؤمن حسين يزدى، عين القضات و ملک قمی، ملامحمد امین مستغنی، طالب آملی ،صائب، فغانی ،عرفی، میرزا عرب ناصح واثق نیشابوری، وحی به خط خود او، میر سنجر، قاضی نوری، قاسمخان، ظفرخان، باقرخان نجم ثانی ،معتمدخان، نطقی، میرزا رضی دانش به خط خود او، نوعی (ساقی نامه مورخ 1021=باده و باغ)، افسر کاشی به خط خود او و سالک قزوینی به خط او، ابوسعید ابوالخیر، آقاشاپور طهرانی به خط خود او، محمد قاسم، محمدقلی سلیم ،فائض ،لمحرره، ملا آشوب استرابادی و خواجگی، وحشی جوشقانی، میرزا رفیع دستور، ستار به خط خود او، حکیم حاذق، همایون، نصیرای همدانی، سحابی نجفی، ملاحیاتی؛ خط: شکسته نستعلیق، بی کا، تا: قرن ۱۱؛ مجدول، اندازه: بیاضی؛ کاغذ: سپاهانی، جلد: تیماج زرد ضربی، سطور چلیپا ابعاد متن: ۶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 ،اندازه: ۹</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۱۸سم [ف: ۱۴ - ۳۶۷۵]</w:t>
      </w:r>
    </w:p>
    <w:p>
      <w:pPr>
        <w:pStyle w:val="BookText"/>
      </w:pPr>
      <w:r>
        <w:rPr>
          <w:rFonts w:ascii="IRNazanin" w:hAnsi="IRNazanin" w:eastAsia="IRNazanin" w:cs="IRNazanin"/>
          <w:lang w:bidi="fa-IR"/>
          <w:color w:val="111111"/>
          <w:sz w:val="28"/>
          <w:szCs w:val="28"/>
          <w:rtl/>
        </w:rPr>
        <w:t xml:space="preserve">۲۹۱. تهران؛ مجلس؛ شماره نسخه: ۹۴۶۶/۲۷۵</w:t>
      </w:r>
    </w:p>
    <w:p>
      <w:pPr>
        <w:pStyle w:val="BookText"/>
      </w:pPr>
      <w:r>
        <w:rPr>
          <w:rFonts w:ascii="IRNazanin" w:hAnsi="IRNazanin" w:eastAsia="IRNazanin" w:cs="IRNazanin"/>
          <w:lang w:bidi="fa-IR"/>
          <w:color w:val="111111"/>
          <w:sz w:val="28"/>
          <w:szCs w:val="28"/>
          <w:rtl/>
        </w:rPr>
        <w:t xml:space="preserve">سه بیت با ردیف (همه) قاسم خان نواب( قرن ۱۱ ق)؛خط: نستعلیق، بی کا، تا: قرن ۱۱، ۱ص (۵۵۳) [مختصر: ف: - ۴۵۹]</w:t>
      </w:r>
    </w:p>
    <w:p>
      <w:pPr>
        <w:pStyle w:val="BookText"/>
      </w:pPr>
      <w:r>
        <w:rPr>
          <w:rFonts w:ascii="IRNazanin" w:hAnsi="IRNazanin" w:eastAsia="IRNazanin" w:cs="IRNazanin"/>
          <w:lang w:bidi="fa-IR"/>
          <w:color w:val="111111"/>
          <w:sz w:val="28"/>
          <w:szCs w:val="28"/>
          <w:rtl/>
        </w:rPr>
        <w:t xml:space="preserve">۲۹۲ .تهران؛ ملک؛ شماره نسخه: ۴۱۸۵/۸</w:t>
      </w:r>
    </w:p>
    <w:p>
      <w:pPr>
        <w:pStyle w:val="BookText"/>
      </w:pPr>
      <w:r>
        <w:rPr>
          <w:rFonts w:ascii="IRNazanin" w:hAnsi="IRNazanin" w:eastAsia="IRNazanin" w:cs="IRNazanin"/>
          <w:lang w:bidi="fa-IR"/>
          <w:color w:val="111111"/>
          <w:sz w:val="28"/>
          <w:szCs w:val="28"/>
          <w:rtl/>
        </w:rPr>
        <w:t xml:space="preserve">سیزده بیت ؛خط: نستعلیق، بی کا، تا: قرن ۱۱؛ اگ (۱۱۰ر- ۱۱۰پ) [ف: ۷ - ۲۳۳]</w:t>
      </w:r>
    </w:p>
    <w:p>
      <w:pPr>
        <w:pStyle w:val="BookText"/>
      </w:pPr>
      <w:r>
        <w:rPr>
          <w:rFonts w:ascii="IRNazanin" w:hAnsi="IRNazanin" w:eastAsia="IRNazanin" w:cs="IRNazanin"/>
          <w:lang w:bidi="fa-IR"/>
          <w:color w:val="111111"/>
          <w:sz w:val="28"/>
          <w:szCs w:val="28"/>
          <w:rtl/>
        </w:rPr>
        <w:t xml:space="preserve">۲۹۳ یزد؛ سعیدی، سید ابوالفضل؛ شماره نسخه: ۲۱/۱</w:t>
      </w:r>
    </w:p>
    <w:p>
      <w:pPr>
        <w:pStyle w:val="BookText"/>
      </w:pPr>
      <w:r>
        <w:rPr>
          <w:rFonts w:ascii="IRNazanin" w:hAnsi="IRNazanin" w:eastAsia="IRNazanin" w:cs="IRNazanin"/>
          <w:lang w:bidi="fa-IR"/>
          <w:color w:val="111111"/>
          <w:sz w:val="28"/>
          <w:szCs w:val="28"/>
          <w:rtl/>
        </w:rPr>
        <w:t xml:space="preserve">خط: نستعلیق، بی کا، تا: قرن ۱۱، قطع: ربعی[ نشریه: ۴ - ۴۶۲]</w:t>
      </w:r>
    </w:p>
    <w:p>
      <w:pPr>
        <w:pStyle w:val="BookText"/>
      </w:pPr>
      <w:r>
        <w:rPr>
          <w:rFonts w:ascii="IRNazanin" w:hAnsi="IRNazanin" w:eastAsia="IRNazanin" w:cs="IRNazanin"/>
          <w:lang w:bidi="fa-IR"/>
          <w:color w:val="111111"/>
          <w:sz w:val="28"/>
          <w:szCs w:val="28"/>
          <w:rtl/>
        </w:rPr>
        <w:t xml:space="preserve">294.یزد؛ سعیدی، سید ابوالفضل؛ شماره نسخه: ۲۱/۲</w:t>
      </w:r>
    </w:p>
    <w:p>
      <w:pPr>
        <w:pStyle w:val="BookText"/>
      </w:pPr>
      <w:r>
        <w:rPr>
          <w:rFonts w:ascii="IRNazanin" w:hAnsi="IRNazanin" w:eastAsia="IRNazanin" w:cs="IRNazanin"/>
          <w:lang w:bidi="fa-IR"/>
          <w:color w:val="111111"/>
          <w:sz w:val="28"/>
          <w:szCs w:val="28"/>
          <w:rtl/>
        </w:rPr>
        <w:t xml:space="preserve">خط: نستعلیق، بی کا، تا: قرن ۱۱؛ افتادگی: انجام؛ قطع: ربعی  [نشریه: ۴ - ۴۶۲]</w:t>
      </w:r>
    </w:p>
    <w:p>
      <w:pPr>
        <w:pStyle w:val="BookText"/>
      </w:pPr>
      <w:r>
        <w:rPr>
          <w:rFonts w:ascii="IRNazanin" w:hAnsi="IRNazanin" w:eastAsia="IRNazanin" w:cs="IRNazanin"/>
          <w:lang w:bidi="fa-IR"/>
          <w:color w:val="111111"/>
          <w:sz w:val="28"/>
          <w:szCs w:val="28"/>
          <w:rtl/>
        </w:rPr>
        <w:t xml:space="preserve">۲۹۵. تهران؛ سعید نفیسی؛ شماره نسخه: ۱۴</w:t>
      </w:r>
    </w:p>
    <w:p>
      <w:pPr>
        <w:pStyle w:val="BookText"/>
      </w:pPr>
      <w:r>
        <w:rPr>
          <w:rFonts w:ascii="IRNazanin" w:hAnsi="IRNazanin" w:eastAsia="IRNazanin" w:cs="IRNazanin"/>
          <w:lang w:bidi="fa-IR"/>
          <w:color w:val="111111"/>
          <w:sz w:val="28"/>
          <w:szCs w:val="28"/>
          <w:rtl/>
        </w:rPr>
        <w:t xml:space="preserve">على الظاهر از دواوین شعرای قرون ششم و هفتم هجری است؛ بی کا، تا: قرن ۱۱؛ تکمیل شده سعید نفیسی [ نشریه: ۷ - ۶۸۶]</w:t>
      </w:r>
    </w:p>
    <w:p>
      <w:pPr>
        <w:pStyle w:val="BookText"/>
      </w:pPr>
      <w:r>
        <w:rPr>
          <w:rFonts w:ascii="IRNazanin" w:hAnsi="IRNazanin" w:eastAsia="IRNazanin" w:cs="IRNazanin"/>
          <w:lang w:bidi="fa-IR"/>
          <w:color w:val="111111"/>
          <w:sz w:val="28"/>
          <w:szCs w:val="28"/>
          <w:rtl/>
        </w:rPr>
        <w:t xml:space="preserve">۲۹۶. شیراز؛ بنیاد فارس شناسی؛ شماره نسخه: ۴۱/۲</w:t>
      </w:r>
    </w:p>
    <w:p>
      <w:pPr>
        <w:pStyle w:val="BookText"/>
      </w:pPr>
      <w:r>
        <w:rPr>
          <w:rFonts w:ascii="IRNazanin" w:hAnsi="IRNazanin" w:eastAsia="IRNazanin" w:cs="IRNazanin"/>
          <w:lang w:bidi="fa-IR"/>
          <w:color w:val="111111"/>
          <w:sz w:val="28"/>
          <w:szCs w:val="28"/>
          <w:rtl/>
        </w:rPr>
        <w:t xml:space="preserve">آغا:ز هست الله بسم الله الرحمن الرحيم *** مصحف آیات اسرار قدیم / افتتاح نامها از نام اوست*** هر دو عالم جرعه نوش جام اوست؛ ؛ انجام: عقل گوید چند رنجانی مرا *** عشق گفتا تو نمی دانی چرا. انجامه: تمام شد اسرار نامه بحر الحقايق تصنيف حضرت شیخ فریدالدین عطار قدس الله سره به دستخط فقیر حقیر سراپا تقصیر امیدوار لطف خدا غلام مرتضى بحسب فرموده حافظ غلام محمد خان سلمه الرحمان بتاريخ بیست و یکم رجب المرجب روز یکشنبه وقت زوال سنه احمد عالمگیر ثانی پادشاه غازی خلد الله ملکه و سلطانه مکتوب گردید. الهی عاقبت محمود گردان*** بلای بود را نابود گردان</w:t>
      </w:r>
    </w:p>
    <w:p>
      <w:pPr>
        <w:pStyle w:val="BookText"/>
      </w:pPr>
      <w:r>
        <w:rPr>
          <w:rFonts w:ascii="IRNazanin" w:hAnsi="IRNazanin" w:eastAsia="IRNazanin" w:cs="IRNazanin"/>
          <w:lang w:bidi="fa-IR"/>
          <w:color w:val="111111"/>
          <w:sz w:val="28"/>
          <w:szCs w:val="28"/>
          <w:rtl/>
        </w:rPr>
        <w:t xml:space="preserve">با اسرارنامه عطار نیشابوری تفاوت دارد؛ خط: نستعلیق، بی کا، تا: قرن ۱۱؛ روی برگ اول: «قد انتقل الى بالبيع الشرعي و انا العبد الجانى معصوم بن الحاج محمد حسن قزوینی سنه ۱۲۳۷. قد وهبته لولدی و قرة عينى محمد باقر اسعده الله تعالى و اطال عزه اللهم بارك له بحق محمد و آله فى شهر جمادى الاول سنه ،۱۲۴۵» ،رباعی: «مصدر بمثل هستی مطلق باشد *** عالم همه اسم و فعل مشتق باشند/ چون هیچ مثالی خالی از مصدر نیست *** پس چه در او نظر کنی حق باشد / با آنکه هزار جلد کاغذ خوانی *** تا در تو خودی بود خدا کی دانی / گر از حد خویش را برون بنشانی *** دانی به یقین هر آنچه جوئی آنی»؛ جلد: تیماج مشکی
</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 لایه و آستر ۳گ (۱۱۷پ-۱۲۰ر)، ۱۷ سطر،اندازه: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۲۲/۵سم [ف: ۶۴]</w:t>
      </w:r>
    </w:p>
    <w:p>
      <w:pPr>
        <w:pStyle w:val="BookText"/>
      </w:pPr>
      <w:r>
        <w:rPr>
          <w:rFonts w:ascii="IRNazanin" w:hAnsi="IRNazanin" w:eastAsia="IRNazanin" w:cs="IRNazanin"/>
          <w:lang w:bidi="fa-IR"/>
          <w:color w:val="111111"/>
          <w:sz w:val="28"/>
          <w:szCs w:val="28"/>
          <w:rtl/>
        </w:rPr>
        <w:t xml:space="preserve">۲۹۷ . قم؛ مرکز احیاء؛ شماره نسخه: ۲۸۶۸</w:t>
      </w:r>
    </w:p>
    <w:p>
      <w:pPr>
        <w:pStyle w:val="BookText"/>
      </w:pPr>
      <w:r>
        <w:rPr>
          <w:rFonts w:ascii="IRNazanin" w:hAnsi="IRNazanin" w:eastAsia="IRNazanin" w:cs="IRNazanin"/>
          <w:lang w:bidi="fa-IR"/>
          <w:color w:val="111111"/>
          <w:sz w:val="28"/>
          <w:szCs w:val="28"/>
          <w:rtl/>
        </w:rPr>
        <w:t xml:space="preserve">آغاز: آن بسردی با پدر میرفت و می گفتند خلق *** خون ما چون شیر مادر باد فرزند ترا؛ انجام: سراسر قامتش جان قبا شد*** قیامت را شباهت چون بها شد</w:t>
      </w:r>
    </w:p>
    <w:p>
      <w:pPr>
        <w:pStyle w:val="BookText"/>
      </w:pPr>
      <w:r>
        <w:rPr>
          <w:rFonts w:ascii="IRNazanin" w:hAnsi="IRNazanin" w:eastAsia="IRNazanin" w:cs="IRNazanin"/>
          <w:lang w:bidi="fa-IR"/>
          <w:color w:val="111111"/>
          <w:sz w:val="28"/>
          <w:szCs w:val="28"/>
          <w:rtl/>
        </w:rPr>
        <w:t xml:space="preserve">اشعاری از: مکتبی، میرزا نظام وصاف ،ارشد ،فیاض، طالب ،طوفان، شیخ نجم الدین کبری ،فرخی ،مشرقی، جمال الدین عبدالرزاق ،مشفقی، عزتی ،نوعی ،یمینی، سنائی، حسینی سادات، وحشی، خاقانی، صبوری، فصیحی، سعدی، عهدی، یعقوبی و...؛ خط: نستعلیق، بی کا، تا: قرن ۱۱؛ مجدول؛ جلد: مقوایی، عطف تیماج مشکی، ۴۹گ، مختلف السطر، اندازه: 10/5</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محدث ارموی مخ: ۱ - ۵۱۵]</w:t>
      </w:r>
    </w:p>
    <w:p>
      <w:pPr>
        <w:pStyle w:val="BookText"/>
      </w:pPr>
      <w:r>
        <w:rPr>
          <w:rFonts w:ascii="IRNazanin" w:hAnsi="IRNazanin" w:eastAsia="IRNazanin" w:cs="IRNazanin"/>
          <w:lang w:bidi="fa-IR"/>
          <w:color w:val="111111"/>
          <w:sz w:val="28"/>
          <w:szCs w:val="28"/>
          <w:rtl/>
        </w:rPr>
        <w:t xml:space="preserve">۲۹۸. تهران؛ مجلس؛ شماره نسخه: ۸۹۰</w:t>
      </w:r>
    </w:p>
    <w:p>
      <w:pPr>
        <w:pStyle w:val="BookText"/>
      </w:pPr>
      <w:r>
        <w:rPr>
          <w:rFonts w:ascii="IRNazanin" w:hAnsi="IRNazanin" w:eastAsia="IRNazanin" w:cs="IRNazanin"/>
          <w:lang w:bidi="fa-IR"/>
          <w:color w:val="111111"/>
          <w:sz w:val="28"/>
          <w:szCs w:val="28"/>
          <w:rtl/>
        </w:rPr>
        <w:t xml:space="preserve">شعرها با نام سرایندگان؛ خط: نستعلیق و شکسته نستعلیق، بی کا، تا: قرن ۱۱؛ افتادگی: آغاز و انجام؛ مجدول، با سرلوح، با یادداشت فضل الله و بخشش او به آقا میرزا جوادخان در5 ذح / ۱۳۰۲؛ کاغذ: سفید، جلد روغنی با گل و بوته  قرمز، ۱۲۴گ، ۱۲-۱۱ سطر (4</w:t>
      </w:r>
      <w:r>
        <w:rPr>
          <w:rFonts w:ascii="Times New Roman" w:hAnsi="Times New Roman" w:eastAsia="Times New Roman" w:cs="Times New Roman"/>
          <w:lang w:val="en-US" w:bidi="en-US"/>
          <w:color w:val="111111"/>
          <w:sz w:val="28"/>
          <w:szCs w:val="28"/>
          <w:rtl/>
        </w:rPr>
        <w:t xml:space="preserve">×10)</w:t>
      </w:r>
      <w:r>
        <w:rPr>
          <w:rFonts w:ascii="IRNazanin" w:hAnsi="IRNazanin" w:eastAsia="IRNazanin" w:cs="IRNazanin"/>
          <w:lang w:bidi="fa-IR"/>
          <w:color w:val="111111"/>
          <w:sz w:val="28"/>
          <w:szCs w:val="28"/>
          <w:rtl/>
        </w:rPr>
        <w:t xml:space="preserve">، اندازه: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[سنا: ف: ۲ - ۸۴]</w:t>
      </w:r>
    </w:p>
    <w:p>
      <w:pPr>
        <w:pStyle w:val="BookText"/>
      </w:pPr>
      <w:r>
        <w:rPr>
          <w:rFonts w:ascii="IRNazanin" w:hAnsi="IRNazanin" w:eastAsia="IRNazanin" w:cs="IRNazanin"/>
          <w:lang w:bidi="fa-IR"/>
          <w:color w:val="111111"/>
          <w:sz w:val="28"/>
          <w:szCs w:val="28"/>
          <w:rtl/>
        </w:rPr>
        <w:t xml:space="preserve">۲۹۹. تهران؛ ادبیات؛ شماره نسخه: ۱۵۶ حکمت</w:t>
      </w:r>
    </w:p>
    <w:p>
      <w:pPr>
        <w:pStyle w:val="BookText"/>
      </w:pPr>
      <w:r>
        <w:rPr>
          <w:rFonts w:ascii="IRNazanin" w:hAnsi="IRNazanin" w:eastAsia="IRNazanin" w:cs="IRNazanin"/>
          <w:lang w:bidi="fa-IR"/>
          <w:color w:val="111111"/>
          <w:sz w:val="28"/>
          <w:szCs w:val="28"/>
          <w:rtl/>
        </w:rPr>
        <w:t xml:space="preserve">گزیده ای از دیوان های: ۱- مسعود سعد سلمان، ۲- جمال الدین عبدالرزاق نوشته ذق ۱۰۰۷ در روستای ریواری و مقابله شده  از ابو حيان بن علی، ۳ -امیر معزی نوشته روز دوشنبه ۴ ذح 1007 که نویسنده نسخه از خدمت حسن بیک در خدمت آخوند ملای محمد صوفی روانه گجرات می شده است با مقابله همان ابو حیـان، ۴- مولانای روم (غزل ها) نوشته روز دوشنبه ۱۰محرم1007 در خدمت آخوند مولانا صفوی در شهرک جودپور با مقابله همان یکی، ۵-سنائی نوشته ۱ ربیع الاول ۱۰۰۸ در خانه علم خان در شهر احمدآباد با مقابله همان یکی در ۱۰۲۷، ۶ - عطار (غزل ها) نوشته روز سه شنبه ۶ ع ۲ / ۱۰۰۷ در بالا سرای علم خان در شـهر گجرات و مقابله و تصحیح شده در ۱۰۲۷ از ابو حیان بن علی نظام متخلص به بمالی (میانه دیوان عطار)،7 - ابوالفرج رونی نوشته روز چهارشنبه ۸ ع ۲/ گویا سال ۱۰۰۷ در بالاخانه علم خان در شهر احمدآباد در حضرت آخوند با مقابله همان ابوحیان (مـیان دیوان ابوالفرج)،8 - ازرقی هروی، ۹- رضی الدین نیشابور، ۱۰ - مجد همگر، ۱۱- اثیر اخسیکشی، ۱۲- عثمان مختاری، 13- در میان جنگی است در برخی از برگ ها دارای شعرهای خواجه حسین ثنایی و انیسی شاملو و شانی تکلو و حکیم رکنا و خاقانی؛ خط: شکسته نستعلیق هندی، بی کا، تا: قرن ۱۱؛ عنوان سرایندگان دیوان ها در هامش در بیشتر جاها هست ؛جلد: تیماج مشـکی مقوایی، قطع: وزیری [ف: ۲ - ۱۱]</w:t>
      </w:r>
    </w:p>
    <w:p>
      <w:pPr>
        <w:pStyle w:val="BookText"/>
      </w:pPr>
      <w:r>
        <w:rPr>
          <w:rFonts w:ascii="IRNazanin" w:hAnsi="IRNazanin" w:eastAsia="IRNazanin" w:cs="IRNazanin"/>
          <w:lang w:bidi="fa-IR"/>
          <w:color w:val="111111"/>
          <w:sz w:val="28"/>
          <w:szCs w:val="28"/>
          <w:rtl/>
        </w:rPr>
        <w:t xml:space="preserve">۳۰۰. تهران؛ ادبیات؛ شماره نسخه: ۹۱ - ج</w:t>
      </w:r>
    </w:p>
    <w:p>
      <w:pPr>
        <w:pStyle w:val="BookText"/>
      </w:pPr>
      <w:r>
        <w:rPr>
          <w:rFonts w:ascii="IRNazanin" w:hAnsi="IRNazanin" w:eastAsia="IRNazanin" w:cs="IRNazanin"/>
          <w:lang w:bidi="fa-IR"/>
          <w:color w:val="111111"/>
          <w:sz w:val="28"/>
          <w:szCs w:val="28"/>
          <w:rtl/>
        </w:rPr>
        <w:t xml:space="preserve">اشعاری از: محوی، صادق تفرشی ،خواجو، اوجی، اقدسی،عبدالرزاق (برای حکیم کوچک)، شیخ علینقی، محمد قاسم، بابا فغانی، میرزا رضا ارتمونی، عرفی، نوعی (سوز و گداز)، محمد قلى سليم (قضا و قدر)، طالب آملی (قضا و قدر)، حكيم ركنا (قضا و قدر)، عرفی (فرهاد و شیرین)، میرزا ابوالحسن یگانه، میرزا ابوالحسن نیشابوری، (شمع و پروانه)، عرفی (شیرین و فرهاد)، طالعا، ظهوری (ساقینامه) ،نسیمی ،افضل مالک قمی، صايبا، ثنائی، حسن خان شاملو، ظهیر فارابی ،الهی، شیخ عبدالرزاق نادم گیلانی؛ خط: شکسته نستعلیق، بی کا،تا: قرن ۱۱؛ مجدول؛ در میانه نسخه یادداشت ۱۴ محرم (117(=1107) دارد؛ کاغذ: سپاهانی زرپاشی شده، جلد: روغنی، ۱۳۴گ، ۱۶ سطر (۹/۵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۱ - ۱۶۴]</w:t>
      </w:r>
    </w:p>
    <w:p>
      <w:pPr>
        <w:pStyle w:val="BookText"/>
      </w:pPr>
      <w:r>
        <w:rPr>
          <w:rFonts w:ascii="IRNazanin" w:hAnsi="IRNazanin" w:eastAsia="IRNazanin" w:cs="IRNazanin"/>
          <w:lang w:bidi="fa-IR"/>
          <w:color w:val="111111"/>
          <w:sz w:val="28"/>
          <w:szCs w:val="28"/>
          <w:rtl/>
        </w:rPr>
        <w:t xml:space="preserve">301.تهران؛ دانشگاه؛ شماره نسخه: ۳۱۳۳</w:t>
      </w:r>
    </w:p>
    <w:p>
      <w:pPr>
        <w:pStyle w:val="BookText"/>
      </w:pPr>
      <w:r>
        <w:rPr>
          <w:rFonts w:ascii="IRNazanin" w:hAnsi="IRNazanin" w:eastAsia="IRNazanin" w:cs="IRNazanin"/>
          <w:lang w:bidi="fa-IR"/>
          <w:color w:val="111111"/>
          <w:sz w:val="28"/>
          <w:szCs w:val="28"/>
          <w:rtl/>
        </w:rPr>
        <w:t xml:space="preserve">شعرهای رودکی (ص ۱-۴۲) عنصری (ص۴۳-۱۰۴)، امیر معزی ( ص ۱۰۵ - ۲۲۲ ) است با دیباچه ای به نثر در سر گذشت آنها؛ خط: نستعلیق، بی کا، تا: قرن ۱۱؛ با سرلوح زرین آراسته، مجدول؛ جلد: تیماج مشکی ضربی مقوایی، ۱۱۲گ ۱۴ سطر (۶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۱۹/۵سم [ف : ۱۱ - ۲۰۸۲]</w:t>
      </w:r>
    </w:p>
    <w:p>
      <w:pPr>
        <w:pStyle w:val="BookText"/>
      </w:pPr>
      <w:r>
        <w:rPr>
          <w:rFonts w:ascii="IRNazanin" w:hAnsi="IRNazanin" w:eastAsia="IRNazanin" w:cs="IRNazanin"/>
          <w:lang w:bidi="fa-IR"/>
          <w:color w:val="111111"/>
          <w:sz w:val="28"/>
          <w:szCs w:val="28"/>
          <w:rtl/>
        </w:rPr>
        <w:t xml:space="preserve">۳۰۲. تهران؛ دانشگاه؛ شماره نسخه: ۳۱۵۸/۳</w:t>
      </w:r>
    </w:p>
    <w:p>
      <w:pPr>
        <w:pStyle w:val="BookText"/>
      </w:pPr>
      <w:r>
        <w:rPr>
          <w:rFonts w:ascii="IRNazanin" w:hAnsi="IRNazanin" w:eastAsia="IRNazanin" w:cs="IRNazanin"/>
          <w:lang w:bidi="fa-IR"/>
          <w:color w:val="111111"/>
          <w:sz w:val="28"/>
          <w:szCs w:val="28"/>
          <w:rtl/>
        </w:rPr>
        <w:t xml:space="preserve">شعرهای فارسی این سرایندگان [در فهرست شماره صفحاتی که آن شعری از آن شعرا آمده ذکر شده است]: ابراهیم خان  لاری، ابن یمین، ابوسعید ابوالخیر ،احمد ،احمدی ،آذری، آصفی، آگهی زبان بریده، امیدی، انوری، آیتی مرقندی، اسکافی ابوجعفر، اهلی، بابر ،بنایی ،بیچاره ،جامی جاهی، حاتم، حاجتی، حالتی، حالی، حسامی دیوانه، حسرتی، سید حسین کاتب، حزنی، خواجوی کرمانی، خواجه جهان مؤلف مناظر الانشاء، خسرو دهلوی، ذکری ،رضائی ،سائل ،سامی، سعدی، سلمان، شایق، شجاع، شرف، شریف ،شکیبی، شمس تبریزی، شهرتی، شیدا، صبوحی ،صحیفی ،صفی، شاه صفی ،صغیری ،صغیر ،صلاحی، ضمیری، ظهیر فاریابی، عادلی ،عارفی ،عاشقی، عبید خان ،عراقی، عماد فقیه ،غزالی ،فارغ، فتوحی نخجوانی، فصیحی، فغانی، ،فکری، فقر، قاضی لاغر سیستانی ،کافی ،گوهر ،گلشنی ،کمال ،لسانی ،مایلی، محتشم ،محمود ،محنتی، جهدی، میر جامه، میلی، ،نرگس ،نزاری ،نصیبی نعمة الله ،نقدی، نظام، نگاهی، نویدی، ،نیازی ،نیکی ،وحشی ،وصفی ،ولی ،ملاولی ،هاشمی ،همایون ،هلاکی یمینی؛ خط: نستعلیق ،چلیپا، بی کا، تا: قرن ۱۱؛ کاغذ: سمرقندی، جلد: تیماج مشکی گرد قهوه ای ضربی مقوایی، ۴۵گ( ۱۲۰-۷۵)، ۱۵ سطر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۲۳/۵سم [ف: ۱۱-۲۱۲۱]</w:t>
      </w:r>
    </w:p>
    <w:p>
      <w:pPr>
        <w:pStyle w:val="BookText"/>
      </w:pPr>
      <w:r>
        <w:rPr>
          <w:rFonts w:ascii="IRNazanin" w:hAnsi="IRNazanin" w:eastAsia="IRNazanin" w:cs="IRNazanin"/>
          <w:lang w:bidi="fa-IR"/>
          <w:color w:val="111111"/>
          <w:sz w:val="28"/>
          <w:szCs w:val="28"/>
          <w:rtl/>
        </w:rPr>
        <w:t xml:space="preserve">۳۰۳. تهران؛ دانشگاه؛ شماره نسخه: ۳۳۱۸/۲</w:t>
      </w:r>
    </w:p>
    <w:p>
      <w:pPr>
        <w:pStyle w:val="BookText"/>
      </w:pPr>
      <w:r>
        <w:rPr>
          <w:rFonts w:ascii="IRNazanin" w:hAnsi="IRNazanin" w:eastAsia="IRNazanin" w:cs="IRNazanin"/>
          <w:lang w:bidi="fa-IR"/>
          <w:color w:val="111111"/>
          <w:sz w:val="28"/>
          <w:szCs w:val="28"/>
          <w:rtl/>
        </w:rPr>
        <w:t xml:space="preserve">شعرهای مایلی، محمد قلی سلیم، میرزا ابراهیم ادهم، صیدی، مولوی رومی، سنایی، نظام استر آبادی، صفی، طالب آملی، صایب ،روحی ،حیرتی، ابو سعید ابوالخیر، ناصر خسرو، سلطانعلی ،بیک، بابا فغانی؛ خط: نستعلیق، بی کا، تا: قرن ۱۱؛ در هامش؛ کاغذ: سپاهانی ،جلد: تیماج مشکی ضربی مقوایی، ۱۵ سطر
</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(7×14) </w:t>
      </w:r>
      <w:r>
        <w:rPr>
          <w:rFonts w:ascii="IRNazanin" w:hAnsi="IRNazanin" w:eastAsia="IRNazanin" w:cs="IRNazanin"/>
          <w:lang w:bidi="fa-IR"/>
          <w:color w:val="111111"/>
          <w:sz w:val="28"/>
          <w:szCs w:val="28"/>
          <w:rtl/>
        </w:rPr>
        <w:t xml:space="preserve">،اندازه: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۱۹/۵سم [ف : ۱۱ - ۲۳۰۳]</w:t>
      </w:r>
    </w:p>
    <w:p>
      <w:pPr>
        <w:pStyle w:val="BookText"/>
      </w:pPr>
      <w:r>
        <w:rPr>
          <w:rFonts w:ascii="IRNazanin" w:hAnsi="IRNazanin" w:eastAsia="IRNazanin" w:cs="IRNazanin"/>
          <w:lang w:bidi="fa-IR"/>
          <w:color w:val="111111"/>
          <w:sz w:val="28"/>
          <w:szCs w:val="28"/>
          <w:rtl/>
        </w:rPr>
        <w:t xml:space="preserve">۳۰۴. تهران؛ دانشگاه؛ شماره نسخه: ۳۰۴۱</w:t>
      </w:r>
    </w:p>
    <w:p>
      <w:pPr>
        <w:pStyle w:val="BookText"/>
      </w:pPr>
      <w:r>
        <w:rPr>
          <w:rFonts w:ascii="IRNazanin" w:hAnsi="IRNazanin" w:eastAsia="IRNazanin" w:cs="IRNazanin"/>
          <w:lang w:bidi="fa-IR"/>
          <w:color w:val="111111"/>
          <w:sz w:val="28"/>
          <w:szCs w:val="28"/>
          <w:rtl/>
        </w:rPr>
        <w:t xml:space="preserve">قصاید چندین شاعر است بدین گونه [در فهرست شماره صفحاتی که در آنها شعرهای این شعرا آمده ذکر شده است ]:خاقانی شروانی، رشید وطواط، ابن حسام ملا محمد، اهلی خراسانی،میر حاج، حسام، افجنگی، شوریده در نظم مورخ ۸۸۴، علی نقد حجازی، حسن کاشی ،جامی ،میر ،محمود محمودی، سلیمی، کمال غیاث، شیخ ابوالقاشم متخلص به ابوالقاسم، نظام استرابادی ،رازی ،مسلمی ،خاکی ،سید علی، بیدلی ،آذری، شمس تبریزی، سلمان ساوجی، سالم، زلالی، وحشی، طالب آملی، غزالی مشهدی، ظهیر فاریابی، ابن یمین، ولی دشت بیاضی، شیخ فیضی، ناصر، خواجوی کرمانی، شیخ آذری، ناصر خسرو، قدسی، امری در قصیده مورخ ۹۹۰ به نام محیط المعانی، میرزا قلی میلی، نظـام ،امیدی ،انوری؛ خط: نستعلیق، بی کا، تا: قرن ۱۱؛ افتادگی: آغاز و انجام؛ منظومه قاضی محمد زمان که برای خان احمدگیلانی فرستاده و از او خواسته که بدربار شاه عباس بیاید و گفته که شاه سوگند خورده است و سرانجام خان احمد خان به روم می گریزد و باید به نوشته آقای باستانی در آغاز نسخه در دو جا در ص253- ۲۵۷ باشد اکنون در نسخه در اینجا نیست ،کاغذ: سپاهانی، جـلد: نیماج تریاکی قهوه ای، ۱۳۳گ، ۱۵ سطر (۹/۵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۲۳/۵سم [ف : ۱۰ - ۱۹۸۷]</w:t>
      </w:r>
    </w:p>
    <w:p>
      <w:pPr>
        <w:pStyle w:val="BookText"/>
      </w:pPr>
      <w:r>
        <w:rPr>
          <w:rFonts w:ascii="IRNazanin" w:hAnsi="IRNazanin" w:eastAsia="IRNazanin" w:cs="IRNazanin"/>
          <w:lang w:bidi="fa-IR"/>
          <w:color w:val="111111"/>
          <w:sz w:val="28"/>
          <w:szCs w:val="28"/>
          <w:rtl/>
        </w:rPr>
        <w:t xml:space="preserve">۳۰۵. تهران؛ مهدوی؛ شماره نسخه: ۲۵۶</w:t>
      </w:r>
    </w:p>
    <w:p>
      <w:pPr>
        <w:pStyle w:val="BookText"/>
      </w:pPr>
      <w:r>
        <w:rPr>
          <w:rFonts w:ascii="IRNazanin" w:hAnsi="IRNazanin" w:eastAsia="IRNazanin" w:cs="IRNazanin"/>
          <w:lang w:bidi="fa-IR"/>
          <w:color w:val="111111"/>
          <w:sz w:val="28"/>
          <w:szCs w:val="28"/>
          <w:rtl/>
        </w:rPr>
        <w:t xml:space="preserve">شعرهای پراکنده فارسی است؛ خط: شکسته ،کا: محمد ابراهیم گویای قمی، تا: قرن ۱۱؛ کاغذ: ترمه [ نشریه: ۲ - ۷۰]</w:t>
      </w:r>
    </w:p>
    <w:p>
      <w:pPr>
        <w:pStyle w:val="BookText"/>
      </w:pPr>
      <w:r>
        <w:rPr>
          <w:rFonts w:ascii="IRNazanin" w:hAnsi="IRNazanin" w:eastAsia="IRNazanin" w:cs="IRNazanin"/>
          <w:lang w:bidi="fa-IR"/>
          <w:color w:val="111111"/>
          <w:sz w:val="28"/>
          <w:szCs w:val="28"/>
          <w:rtl/>
        </w:rPr>
        <w:t xml:space="preserve">۳۰۶. تهران؛ دانشگاه؛ شماره نسخه: ۶۵۰۹</w:t>
      </w:r>
    </w:p>
    <w:p>
      <w:pPr>
        <w:pStyle w:val="BookText"/>
      </w:pPr>
      <w:r>
        <w:rPr>
          <w:rFonts w:ascii="IRNazanin" w:hAnsi="IRNazanin" w:eastAsia="IRNazanin" w:cs="IRNazanin"/>
          <w:lang w:bidi="fa-IR"/>
          <w:color w:val="111111"/>
          <w:sz w:val="28"/>
          <w:szCs w:val="28"/>
          <w:rtl/>
        </w:rPr>
        <w:t xml:space="preserve">غزل است و قصیده های چندین شاعر به ترتیب تهجی از باء تا  یاءو نام آنان در آغاز هر بندی آمده است، نسخه ازنام وطواط بلخی است تا جلال الدین در کانی؛ خط: نستعلیق، بی کا، تا: قرن11؛ افتادگی: آغاز و انجام؛ کاغذ: سپاهانی، جلد: گالینگور، عطف تیماج سبز، ۱۱۶گ، ۱۵ سطر (9</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قطع: ربعی،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 ۱۶ - ۲۸۰]</w:t>
      </w:r>
    </w:p>
    <w:p>
      <w:pPr>
        <w:pStyle w:val="BookText"/>
      </w:pPr>
      <w:r>
        <w:rPr>
          <w:rFonts w:ascii="IRNazanin" w:hAnsi="IRNazanin" w:eastAsia="IRNazanin" w:cs="IRNazanin"/>
          <w:lang w:bidi="fa-IR"/>
          <w:color w:val="111111"/>
          <w:sz w:val="28"/>
          <w:szCs w:val="28"/>
          <w:rtl/>
        </w:rPr>
        <w:t xml:space="preserve">۳۰۷. تهران؛ دانشگاه؛ شماره نسخه: ۷۷۶۸</w:t>
      </w:r>
    </w:p>
    <w:p>
      <w:pPr>
        <w:pStyle w:val="BookText"/>
      </w:pPr>
      <w:r>
        <w:rPr>
          <w:rFonts w:ascii="IRNazanin" w:hAnsi="IRNazanin" w:eastAsia="IRNazanin" w:cs="IRNazanin"/>
          <w:lang w:bidi="fa-IR"/>
          <w:color w:val="111111"/>
          <w:sz w:val="28"/>
          <w:szCs w:val="28"/>
          <w:rtl/>
        </w:rPr>
        <w:t xml:space="preserve">دارای: گزیده مثنوی مولوی (۱-۲۰۸) غزل و ترجیع افغـانی (۲۰۸)، غزل سعدی ،(۲۶۶)، غزل های عرفی (۲۷۶)، رباعی سحـابی شیخ ابوسعید (۳۰۰)، قصیده میرزا محمد صادق که در زمان پادشاه عالم گیر بوده به محصلی صلابت خان (۳۰۳)، دو بیت از محمد تقی بن محمد قاسم شیرازی با عنوان «المحرره» که به فرموده مولانا محمد باقر جيود را یا چیپو در  ۲۵ ربیع الاول ۱۰۱۰ نوشته و قصيده«محمد صادق» هم به خط اوست؛ خـط: نسخ، بی کا، تا: قرن ۱۱؛ سه ستونی چلیپا ،مجدول، با سرلوح زرین و آراسته؛ کاغذ: هندی سرخ و کبود، جلد: گالینگور ،نو ۱۷۴گ، ۱۴ سطر (8/5</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،قطع: ربعی،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۱۶ - 693]</w:t>
      </w:r>
    </w:p>
    <w:p>
      <w:pPr>
        <w:pStyle w:val="BookText"/>
      </w:pPr>
      <w:r>
        <w:rPr>
          <w:rFonts w:ascii="IRNazanin" w:hAnsi="IRNazanin" w:eastAsia="IRNazanin" w:cs="IRNazanin"/>
          <w:lang w:bidi="fa-IR"/>
          <w:color w:val="111111"/>
          <w:sz w:val="28"/>
          <w:szCs w:val="28"/>
          <w:rtl/>
        </w:rPr>
        <w:t xml:space="preserve">۳۰۸. تهران؛ دانشگاه؛ شماره نسخه: ۲۴۴۶</w:t>
      </w:r>
    </w:p>
    <w:p>
      <w:pPr>
        <w:pStyle w:val="BookText"/>
      </w:pPr>
      <w:r>
        <w:rPr>
          <w:rFonts w:ascii="IRNazanin" w:hAnsi="IRNazanin" w:eastAsia="IRNazanin" w:cs="IRNazanin"/>
          <w:lang w:bidi="fa-IR"/>
          <w:color w:val="111111"/>
          <w:sz w:val="28"/>
          <w:szCs w:val="28"/>
          <w:rtl/>
        </w:rPr>
        <w:t xml:space="preserve">نزدیک به ۱۵۰۰۰ بیت از ۶۵۷ شاعر از قرن ۴ تا ۱۱،فهرست نام های شاعران [ در فهرست شماره صفحاتی که اشعار این شاعران آن آمده ذکر شده است]: استاد ابو حنیفه اسکافی، ابو حفص هنجير، ابوجعفر بن اسحق القايني، شيخ ابوالحسن خرقانی، ابوالحسن بهرامی سرخسی ،ابوالحسن شهید، میر ابوالحسن فراهانی، شیخ ابوسعید ابى الخير، ابوسعد سعادتيار بن مسعود سعد سلمان، شیخ ابوسعید بزغش، استاد ابوسلیک گرگانی، ابوشکور ،بلخی، ابوشعیب هروی، اوجی، ابوطاهر خاتونی، ابو عبدالله بنجیریانی، ابو عبدالله بن عبیدالله خجندی، شیخ ابوعلی دفاق، ابوعلی سرخسی، سید ابو علی بن حسن المروى، ابوعلی سینا، ابوالفتح بستی، ابوالفتح ناصرالدین عیاضی، استاد ابوالفرج رونی، ابوعلی سیمجور، ابوالفرج بلخی، ابوالقاسم بن حسن وزیر، شیخ ابوالقاسم کازرونی، مجدالدین ابوالبرکات خراسانی، ابوالمعالی رازی، ابوالمعالی نحاس، استاد ابوالعلی گنجه ای، حکیم ابی رجاء الغزنوی، حكيم ابي نصر محمد بن اسحق القايني، خواجه ابوالوفاء خوارزمی، ابی طبیب سرخسی، ابوالمفاخر رازی، ابوذراعه جرجانی، ابن رشيد الغزنوی، ابن یمین فریومدی، اثیرالدین اومانی، اثیرالدین اخسیکثی، اثیرالدین بخاری، اثیر الدین البهرى (ابهری)،شیخ احمد کهتر، شیخ احمد غزالی، احمد جامی، فرید الدین احمد ایزدبار کافی، قاضی احمد گیلانی امیر ملک، فلک الدین ابراهیمی سامانی، شهاب الدین احمد مؤید، ادیب تستری، ادیب صابر ترمدی، شیخ آذری، حکیم ازرقی، حکیم ازهری مروی، اسدی طوسی ،اسد بیک قزوینی، اشرفی سمرقندی، اشرفی سید حسن، حکیم اشهری، اصدق همدانی، خواجه اصفی، حکیم افتخار ،خواجه افضل الدین، اقدسی مشهدی، مسیح الزمان متخلص به الهی، امیر الهی همدانی، امام الدین اوزجند، امامی هروی، میرزا امان الله، امین الدین دادار، امینی بخاری، امیدی رازی، شیخ امین الدین عبدالله بلیانی، انسی ذوالقدر حسن بیک، انیسی شاملو، انوری ابیوردی ،مولانا اوجی، شیخ اوحد الدين کرمانی، شیخ اوحدی، اهلی شیرازی، اهلی خراسانی، بابا فغانی شیرازی، بایزید بسطامی، باقر نیشابوری، امیر بدخشی، بدرالدین شاشی، بدرالدین جاجرمی، بدرالدین هروی، بدرالدین محیی المشاطه حاشیه، برهان الدين محمد عبدالعزیز کوفی حاشیه، برهان الدین ادلانی، برهان الدين نسفی، بديع الزمان سيفى، بدیع الدين جوینی، بدیع ترگو، بدیعی ترسا، بساطی سمرقند، معصوم خان بکری، حکیم بکرانی، بندار رازی، بهاء الدين محمد الاوشي، بهاء الدین زنگانی، بهاء الدين مرغینانی، بهاء الدين محمد جبل عاملی، بهاء الدين یزدی، بیخودی، ملک بیغو، ملک چینی المشهور به پیاله، عبدالسلام پیامی، مولانا پناهی، بی بی پرتوی، حکیم پرتوی شیرازی، پوربهای جامی، پور خطیب، بهاء الدين بغدادی، تاج الدين عمر بن مسعود، تاج الدین اسمعیل باخرزی، تاج الدین سمرقندی، تاج الدین ابی سرخسی، تاج الدين ريزه، تاج الدين جاجرمی، تاج الدین تمرانشاه، تجلی کاشی، میر تشبیهی کاشی،
</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مولانا تسلی، آقا تقی معرف، شاه تقى الدين محمد اوحدی البلیانی، حکیم تقی کاشی، سلطان تكش، خواجه حسين ثنائی، مولانا جامی، جاهی سلطان ابراهیم میرزا، مولانا جسمی همدانی، میرزا جعفر آصفخان، میرزا جعفر مشهدی، جلال طبیب،سید جلال عضد، شریفای جم تخلص مشهدی، جمال الدین عبدالرزاق اصفهانی، خواجه جمال الدین منشی، جمال الدین دهستانی، جمال الدين بن صدر الدین خجندی، جمال الدين محمود نصـیر، شيخ ابوالقاسم جنید بغدادی، حکیم ابواسحق جویباری، جوهـری زرگر، میر جمیل ارتیمانی، جمیل بیک علوی، چلبی بیک علامه تبریزی، حمید الدین بلخی (گویا جز حمید الدین بلخی است در صفحه ۲۰۷ یاد شده است)، مولانا حاتم کاشی، قاسم بیـک حالتی، حالتی تبریزی، شیخ حارثی ،حجابی، حزنی اصفهانی، میرزا حسابی، حسام الدین نسفی، سید حسن غزنوی، سید حـسن اشرفی تخلص، سید حسن متکلم، حسن بیک شکر اوغلی مقیمی، حسن بیک شاملو، رئیس حسن صلاح بیرجندی، حسن بن علی شهابی، میر سید حسینی سادادت، میر حضوری قمی، خواجه حافظ شیرازی، حمیدالدین بن مسعود سیالکوتی، میرزا حمـزه حمیدالدین تاکوری، حمیدالدین جوهر مستوفی، حمیدالدین دهستانی، حمیدالدین اختیاری، حمیدالدین عمر بن محمود بلخی صاحب مقامات، حمیدالدین قنذری، خاقانی شیروانی، خواجو کرمانی، امیر خسرو دهلوی، ابو مشاهد شیخ جمال الدین خسروی ،خیالی، خیامی نیشابوری، خطیر الدین عبدالملـک جرجانی، خسروانی حکیم ابو طاهر، انیس الدین دادا، شمس الدین داعی نسفی، شاه داعی شیرازی، شمس الدين الدقاق، ابومنصـور محمد بن احمد الدقيقی، شمس الدین محمد الدقايق مروی، در کی قمی درویش دهلی، دیلمی، حکیم دیوکی، سید ذوالفـقار شیروانی، محمد امین ذوقی، ذوقی اردستانی، رابعه بنت کعب امام رافعی قزوینی، حکیم رافعی، شیخ رباعی، رثيق القطنی، رجای اصفهانی، رستم کیا ،رشکی همدانی، خواجه رشید همدانی، رشیدالدین محمد بن مسعود، استاد رشید سمرقندی، رشید وطواط، رضای کیا کلائی (گیلانی)، رضای مشهدی، رضائی کاشی، آقا رضی اصفهانی، رضی الدین خوشاب، رضـی الدین نیشابوری، رضى الدين على لالا، رضی الدین آرتیمانی، رفیع الدین سیاف، رفیع الدین مسعود لنبانی، رفیع الدین عبدالعـزیز لنبانی، رفیع الدين الابهرى، رفيع الدين نسوى، رفيع الدین کرمانی،رفیع المروزى، ركن الدين الابهرى، ركن الدين دعوی دار، رکن الدین محمود گلستانه، رکن الدین صاين، روحی شارستانی، حکیم رکنا، رکنا، استاد رودکی، شیخ روزبهان البقلی، حکیم روحانی سمرقندی، مولانا رونقی همدانی، مولانا زکی همدانی، زکی مراغه ای مشهور به کاشغری، زلالی خوانساری شیخ زنگی پسگردی ،زیانی، زین الدین سجزی سیستانی، زین الدین ساعد خبوشانی، زینتی علوی، سپاهی ارغون، سحابی، سخائی، سدید بن سديد، سراج الدین بلخی، سراج الدین قمری،سید سراج الدین سکزی، جمال الدین محمد بن علی سراجی، سروری کاشی، سعد كل، سعدالدین حموئی، شیخ سعدی شیرازی، حکیم سعید طائی، سعید ضراب دامغانی، سعد وراق، سعد پوستین دوز، سلمان سويدق، سمائى المروی، سنائی غزنوی، شاه سنجان، شمس الدین سنجانی، میر سنجر کاشی، حکیم سوزنی سمرقندی ،سهیلی، سیف الدین اسفرنگ، سیف الدین باخرزی ،سیفی نیشابوری، سیف الدین دبیر، سری جرپادقانی، جمال الدين محمد بن علی سراجی حاشیه، شاه شجاع، شاهنظر بیگ قمشه ای، شاهفور نیشابوری، شاپور طهرانی، مولانا شاعری، شانی تکلو، مولانا شراری همدانی، حکیم شفایی اصفهانی، مولانا شکیبی اصفهانی، شکوهی همدانی، امیر شاهی سبزواری،شرف الدين شفروه، شرف الدین قلندر، شرف الدین مقبل، شرف الدین طوسی، شرف محمد بن محمد الفراهی، میرزا شرفجهان قزوینی، شیخ شرف منیری، شریف تبریزی صاحب سهو اللسان، شریفی تبریزی معین الدین سید محمد، شمس الدین حداد، شمس الدین بلخی، شمس الدین طاهر سنجانی، شمس الدین عجیبی جورجانی، شمس الدین کرت، شمس شهاب روحانی، شمس الدين مولد السوی، امام شمس الدین محمد، امیر شمس الدين صاحب نفایس الفنون، قاضی شمس الدین بلخی، استاد شمایلی، حکیم شمالی، شمس الدین طبسی، شهاب الدين طلحه، شهاب الدین نسفی، شهاب الدین خالد، وهاب الدین ساوجی، شهاب سهروردی، سلطان شهریار، شهیدی قمی، صادق بیک نقاش، صالحی خراسانی، شیخ صدر الدین قونیوی، صدرالدین خجندی، صفی الدین یزدی، شیخ صفی الدین اسحق، صفى الدين اصفهانی صیدی بواناتی، ضمیری اصفهانی، ضیاء الدین احمد، ضیاء الدین پارسی، ضیاء الدین همدانی، ضیاء الدین کاشی، ضیاء الدین محمد بسطامی، ضياء الدين عمر بن محمود جرپادقانی، ضياء الدين دبير ضياء الدين علاء ابوبکر، طالبای آملی، سلطان ملک طغرل شاه، عزالدین طغرل ،طغانشاه، طوفی تبریزی، حکیم طيان بمی، ظهوری ترشیزی، ظهیرالدین فاریابی، ظهیرالدین عبد الله شفروه، ظهیرالدین ولی النسوی، امیر ظهیرالدین بن نصير سیموری، ظهیرالدین محمد السمرقندی، ظهیرالدین عیسی بن احمد جامی، بی بی عایشه مقریه، کیم عارف گیلانی، عبدالرشید احمد هروی، عبدالله خان اوزبک، عبدالعزیز کاشی، شیخ عبدالله بلیانی ،عبدالمجید، عبدالواسع جبلی، عبید زاکانی، عتیقی تبریزی، استاد عجیبی سمرقندی، حسن بیک عجزی تبریزی، حکیم عثمان مختاری غزنوی، فخرالدین عراقی، عرفی شیرازی، عزالدین شیروانی، عسجدی المروی، خواجه عصمت بخارائی، جلال عضد، شیخ عطار نیشابوری، شیخ رکن الدین علاء الدوله سمنانی، علاء الدین ایتاق، میرسید علی همدانی، علی بن حسن باخرزی، امیر علی اسد طبرستانی، امیر علیشیر، عمادی شهریاری، عمادالدین اکرام ،عماد فقیه کرمانی، عمادالدین فضولی لر، عمادالدین زوزنی، عمعق بخارائی، عمید کمال، فخرالدوله عميد،
</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حکیم عنصری، خواجه عين القضاة همدانی، عبهر شیرازی، غازی قلندر، میر عبدالغنی تفریشی تخلص، غزالی مروزی، غضائـری الرازى، غضنفر كلجاری، غنی بیک همدانی، غیرتی شیرازی، فتوحی اثیر الدین، فاطمه خراسانی، حکیم فتحی غزنوی، فخرالدین گرگانی، فخرالدین خطاط الهروی ، امام فخر رازی، فخر الدین خالد تخلص، فخرالدین محمود نیشابوری، فدائی (قاضی زاده لاهیجی)، فردی اردبیلی، فردوسی طوسی، حکیم فرخی سیستانی، فغفور گیلانی، ابوتراب بیگ انجدانی فریبی، فصیحی محمد جامه باف معروف به فکری، فضلی جرپادقانی، فضل الله وصاف، فهمی کرباس باف کاشی، شیخ فیضی دهلوی، استاد فلکی شیروانی، محمد رضای فکری، قسی قاسم بیک افشار، شاه قاسم انوار، ابوالقاسم جرجانی، قابوس وشمگیر، قدری شیرازی، محمد جان قدسی مشهدی ،قراری گیلانی، قریبی شیرازی، مولانا قسمتی استرابادی، حكيم قطان بلخی، قطب الدین علامه شیرازی، قطب محیی شیرازی، قطب الدين بختيار، حكیم قطران اهلی، قطران تبریزی، استاد قوامی مطرزی، مولانا قیدی شیرازی، شیخ قیری بغدادی، امیرکیکاوس بن سكندر قابوس، كل خسرو، کافی ظفر همدانی، شاه حسین کامی بخاری، کامی، کافرک غزنوی، مولانا کامل، شاه کبود جامه، شیخ کجج تبریزی، استاد کفشکر کازرونی، بهاءالدین کرسی سمرقندی، اوحدالدین گرگانی متخلص به گرگانی، کلانی مشهدی، میر حسین کفری، حکیم کسایی مروزی، قباد کوکبی، کمال الدین زنجانی، کمال الدین خجندی، کمال کوته پای، کمال اسمعیل اصفهانی، کمال الدین مختار، کمال الدین دامغانی، کمال الدین ندیم، کمال الدین زیاد اصفهانی، کلیم کاشی، لاله خاتون کرمانی، حکیم لامعی گرگانی، استاد لبیبی، مولانا لسانی شیرازی، مولانا لطفی شیرازی، لذتی همدانی، لوکری، حکیم لؤلؤای فخرالدین مبارکشاه غوری، قاضی مجدالدین نسوی، مجدالدین عيوق، مجد همگر، مجرم (قلیخان بیک)، مجیر بلیقانی، محتـشم کاشانی، شیخ محمد مغربی، میر محمد مومن سماكی، مولانا محمد صوفی محمد تخلص، محمد شریف اصفهانی، محی الدین يحی بن محمد یحیی، سلطان محمود سبکتگین ،محمود بن علی مروی، پهلوان محمود پوریای ولی، شیخ محمود شبستری، محمود گیسودراز ،حکیم رکن الدین محمود اصفهانی، شیخ عزالدین محمود کاشی، میر مغیث محوی، پهلوان مذاقی عراقی میرزا مراد قندهاری ،مولانا مرشد خان بروجردی، مولانا مرشدی زواره ای، حکیم مرزبان فارسی مرزبان تخلص حاشیه، مسعود سـعد سلمان، سعدالدین مسعود نوکی، مسعود نیکی، امام مسعود رازی، ابوالفضل مسرور بن محمد طالقانی، مسعود بهمن کرمانی، مشربی، سلطان مصطفی میرزا، مظفر پنجده، سید مطهر، امیر معزی، معین صفار، مولانا معین جوبنی، خواجه معین الدین چشتی، میر معصـوم کاشی، مکتوبخان شیرازی، مولانا ملک قمی، میرزا ملک مشرقی خراسانی، سلطان ملکشاه، استاد ابوالحسن منجيك، حکیم منصور منطقی، استاد منوچهری شصت کله، مولوی معنوی، موجی افشار، مولانا مومن حسین یزدی مومن تخلص، بی بی مهستی، میرزا قلی میلی ،میرم سیاه، میر علی نادری، ترشیزی، نادم گیلانی، ناصر خسرو علوی، ناصر بخاری، ناصر بچه شیرازی، نجیب الدین جرپادقانی، نجیب الدین علی بزغش شیرازی، نجم الدین احمد ابن نظامی عروضی، نجم الدین حسن شهرویه، نجم الدين زركوب، نجم الدين كبرى، شيخ نجم الدين بغدادی، شیخ نجم الدین دایه، نزاری قهستانی حکیم نسوانی (نسوی)، نصرالله عبدالحمید، نصربن احمد سامانی، بابا نصیبی گیلانی، خواجه نصیر الدین طوسی، قاضی نصیرای همدانی ،نصیر ادیب، خواجه نصیرالدین محمد همدانی نصیر تخلص، نظام الدین محمد بخاری، مولانا نظام رازی، شیخ نظام اولیاء دهلوی، نظام الدين خوافی، نظام الدین اعرج، نظام الملک نصیرالدین بویه، شیخ نظامی گنجه ای، نظام الدین محمود اصفهانی، خواجه نظام الملك، نظام الدین یحیی، نظام دست غیب، نظیر مشهدی، نظیری نیشابوری، نوعی خبوشانی، خواجه نورالدین منشی، حکیم نورالدین صندوقی (؟)، قاضی نوری اصفهانی نوری تخلص، نقی کمره، نثاری حاشیه، مولانا نیکی اصفهانی، نیکروز غلام ،میرو الهى قمی ،وجدی، وجهی کرد، وحشتی کاشی، وحشی بافقی،وقوعی تبریزی، آقا طاهر وصلی رازی، مولانا وهم الدین حسن متخلص به وهمی، ولد شاه کبود جامه، وفای کور ،اصفهانی، هاتفی جامی، میرهادی استرابادی، خواجه هارون ولد صاحب دیوان ،هاشمی، هجری رازی (خواجه محمد شريف)، هبة الله فارسی، مولانا هلالی ،مولانا هلال قاینی ،مولانا هلاکی همدانی، همام الدین تبریزی، قاضی همام الدین محمود صاين، خواجه همام الدین یزدی ،هندوخان ،میر همایون، عزالدين يحيى، يمين بن عثمان، امیر یوسف دربندی، یوسف بن نصر كاتب، شيخ ابویوسف همدانی، یوسف غازی، یوسف سلمی، یوسف بن الیاس. تمام شد فهرست اسامی شعرا و شماره مجموع ۵۵۷ شاعر و شماره جزء به ترتیبی که فهرست شده بدین قرار است حرف الف ۵۹ شاعر، حرف زا حرف با ۳۴ شاعر، حرف سین ۲۸، حرف تا و تا ۱۵ نفر، حرف شین ۳۸، حرف جيم ۱۹ نفر، حرف صاد ٩، حرف حا ۲۵ نفر، حرف ضاد ۹ ،حرف خا ۷، حرف طا ۴، حرف دال ۱۰ نفر، حرف ظا 7، حرف ذال3 ، حرف عین ۳۶۸ حرف را  ۳۸، حرف غین ۷ ، حرف ف ۲۱ ، حرف نون ۴۴، حرف قاف ۱۸، حرف واو ۸، حرف كاف ،۲۳، حرف ها ۱۴، حرف لام ۸حرف یا  7 حرف میم ۵۷ ؛خط: نستعلیق، بی کا، تا: قرن ۱۱؛ در پشت صفحه اول یک رساله خطی که به سال ۱۲۳۹ نوشته شده رباعی زير تحت عنوان لمحرره که معلوم می دارد بخط خود شاعر است و تخلص او هم «مرحمت» است دیده شده: ما فروماندگان راه تو ایم *** ما که افتادگان چاه تو ایم / لطفی از مرحمت دریغ مدار *** زانکه ما جمله در پناه تو ایم (اسدالله بن فتح الله) خلاصة الاشعار، این شعر نیز به خط خود شاعر در پشت تذکره عرفات
</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العاشقين تقى الدين کاشی دیده شد که بعینه با عبارت آن نقل می شود: «در پشت کتابت همه کس نام نویسند *** من گم شـده عشق توام نام ندارم. حقیر فقیر خلق الله اسدالله بن مرحوم فتح الله تاریخ ۳ شنبه ۱۴ جمادی الثانی توشقان ئیل ۱۳۲۱ که شرح زیر حاکی از زمان حیوة گوینده آن می باشد و هر دو نسخه که حاوی آثار این دو شاعر گمنام است فعلا جزو کتابخانه اینجانب می باشد (حرره حسینعلی باستانی در دیماه ۱۳۲۸)»، در ص171و172و ۲۵۷ و جاهای دیگر تصحیح بهار و اقبال دیده می شود؛ کاغذ: سپاهانی، جلد: تیماج سبز ضربی مقوایی، ۴۱۵گ ۱۷ سـطر (۶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۲۵سم[ف: ۹ - ۱۱۳۲]</w:t>
      </w:r>
    </w:p>
    <w:p>
      <w:pPr>
        <w:pStyle w:val="BookText"/>
      </w:pPr>
      <w:r>
        <w:rPr>
          <w:rFonts w:ascii="IRNazanin" w:hAnsi="IRNazanin" w:eastAsia="IRNazanin" w:cs="IRNazanin"/>
          <w:lang w:bidi="fa-IR"/>
          <w:color w:val="111111"/>
          <w:sz w:val="28"/>
          <w:szCs w:val="28"/>
          <w:rtl/>
        </w:rPr>
        <w:t xml:space="preserve">۳۰۹. تهران؛ دانشگاه؛ شماره نسخه: ۲۶۲۰</w:t>
      </w:r>
    </w:p>
    <w:p>
      <w:pPr>
        <w:pStyle w:val="BookText"/>
      </w:pPr>
      <w:r>
        <w:rPr>
          <w:rFonts w:ascii="IRNazanin" w:hAnsi="IRNazanin" w:eastAsia="IRNazanin" w:cs="IRNazanin"/>
          <w:lang w:bidi="fa-IR"/>
          <w:color w:val="111111"/>
          <w:sz w:val="28"/>
          <w:szCs w:val="28"/>
          <w:rtl/>
        </w:rPr>
        <w:t xml:space="preserve">فهرست صد و سی شاعر و اشعار آنها است [در فهرست شمـاره صفحاتی که اشعار این شعران در آن آمده ذکر شده]: ابن حسـام میر ابوالحسن ،ادهم ،آذری ،اسمعیل، اسیر، اسیری، الهامی دماوندی، امانی ،امری ،انوری، بابا قاسم، بقائی، میرزا بقم، حکیم پرتوی، جامی، جمالا ،جنتی، حافظ شیرازی، حسین، حکیمی ،خاکی ،خازن، خداداد، خسرو دهلوی ،خیالی ،خیام، ذهـنی ،رازی ،رافع ،رجب ،رشید، میر رضی، رضایی، میرزا رفیعا، رفیقی ،زائر ،سعدی، سلیم محمد قلی، میر سنجر، میر سید علی، شاپور طهرانی، شانی تکلو، شاهی سبزواری ،شریف، شریفا، کیم شفائی ،شکوهی، شمس تبریزی، ،شمسی، شیدای هندی، صائب تبریزی، صابر، صاحب، صبوحی خوانساری، میر صیدی طهرانی، طالب آملی، میرزا طاهر واقعه نویس ،طاهر، احمد طاهر بسطامی، طایر ،ظفر، ظهیرا ظهیر فاریابی ،عاجزی ،عبدالله ،عرفی ،عزت، عصـت بخارائی، عطری ابرقویی، عظیما نیشابوری ،عندلیب، عنایت عبدالمحسن ،غازی، غباری ،غروری، غوصی، غیاث کمال، فارغ، فقری ،فقیری ،فردی ،فنائی ،فوری ،فیاض، فیض کاشی، فیضی ،قاسمی ،قانع، قدسی، قرینی، قصاب (سعید)، کاشی (مولانا حسن)، کاشفی ،کاظم ،کلبی ،کمال ،گنجی ،کیفی، لسانی، مادحی، مانی، محبی ،محتشم ،مخمور ،مقصدی، میرزا مقـیم، منصور، ناطق ،ناظم ،نثاری ،نجف ،ندیمی ،نصرتی نظام استرابادی، نظام دست غیب ،نظامی، نظمی ،نظیری، نعیمی ،شاه نعمة الله، نقی نیشابوری، قاضی نور، نیازی، میر والهی قمـی، وحشی بافقی، وحید میرزا طاهر ،ولی هاشمی، هلالی؛ خط: نسـخ، بی کا، تا: قرن ۱۱ ؛کاغذ: سپاهانی ،جلد: تیماج قهوه ای مقوایـی، ۱۵۵گ، سطور چلیپا ابعاد متن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  ف: 9- 1491]</w:t>
      </w:r>
    </w:p>
    <w:p>
      <w:pPr>
        <w:pStyle w:val="BookText"/>
      </w:pPr>
      <w:r>
        <w:rPr>
          <w:rFonts w:ascii="IRNazanin" w:hAnsi="IRNazanin" w:eastAsia="IRNazanin" w:cs="IRNazanin"/>
          <w:lang w:bidi="fa-IR"/>
          <w:color w:val="111111"/>
          <w:sz w:val="28"/>
          <w:szCs w:val="28"/>
          <w:rtl/>
        </w:rPr>
        <w:t xml:space="preserve">۳۱۰. تهران؛ دانشگاه؛ شماره نسخه: ۳۰۰۸</w:t>
      </w:r>
    </w:p>
    <w:p>
      <w:pPr>
        <w:pStyle w:val="BookText"/>
      </w:pPr>
      <w:r>
        <w:rPr>
          <w:rFonts w:ascii="IRNazanin" w:hAnsi="IRNazanin" w:eastAsia="IRNazanin" w:cs="IRNazanin"/>
          <w:lang w:bidi="fa-IR"/>
          <w:color w:val="111111"/>
          <w:sz w:val="28"/>
          <w:szCs w:val="28"/>
          <w:rtl/>
        </w:rPr>
        <w:t xml:space="preserve">شامل: ۱ -گزیده ای از حدیقه سنایی (1- 60)، ۲- گزیده ای ازپنج گنج نظامی (۶۱-۷۱) ،۳- گزیده ای از جام جم اوحدی (73- 81) ، ۴- گزیده ای از مثنوی مولوی (۱۱۳-۸۳)، نیز شعرهای: عطار، خسرو، عماد شهریاری، سعد کل، بسطامی، امیر معزی، نظیری، حافظ، ناصر خسرو، و از روشنایی نامه او، شاه داعی، محـمد غزالی (به عربی ص ۱۱۶)، جلال جعفری، شاه کبود جامه، سید محمد جامه باف، همدمی جهرمی ،خواجوی کرمانی، امامی هروی، شیخ آذری ،سنایی سلمان ساوجی، کامی لاهیجی، اوحدالدین کرمانی، سعدالدین حموی، ظهیر فاریابی، نجم الدین زرکوب، خواجه انصاری ،ذواللسانین، ملای روم، امام احمد غزالی به فارسی (۱۳۱)، امرء القيس، ابوطاهر بن یحیی، نظامی، عبدالواسع پور حسینی متخلص به واسع به خط خود او (ص ۱۸۷)، رشید وطواط، محیی الدین اعرابی، میر حسینی سادات، امیر خسرو، پرتوی، ابو سعید ،نجم الدین کبری، از فوایح الجمال او به فارسی (ص ۱۵۰)، مجیر بیلقانی، شاه نعمة الله، عراقی، میر عبدالغنى (بلغه الله الى متمناه) (ص ۱۵۷)، نظام استرآبادی، سحابی، شرف شفروه، ملا مؤمن حسین یزدی (ادام الله بركاته) (۱۰۶۶)، سید حسینی ،فردوسی، مجدهمگر، شیخ ابو سعید بزغش شیرازی، کمال اسماعیل، ادیب صابر، اوحدی سپاهانی، مسعود سعد، شیخ روزبهان، ابو شرف کرمانی، پهلوان احمد گوهران، عایشه سمرقندی، عایشه مصری هر دو به فارسی (ص ۲۰۶)، آصف، علامه ،دوانی ،فغانی، اهلی ،انوری، عصمت بخارایی، رودکی ،ابو سعید رستمی، از «ده نامه شیخ» هم شعری آمده (ص ۸۱)، از مكاتيب قطبيه (ص ۱۳۸)، از ویس ورامین (۱۷۳)؛ خط: شکسته نستعلیق، بی کا، تا: قرن ۱۱، در ص ۱۳۶ آمده «در روز پانزده ماه شوال سنه اربع و الف» و سپس دو بیتی است به فارسی، نیز در ص ۱۶۶ آمده «در شب سه شنبه چهارم جمادى الآخر سنه اربع و  الف» پس از این یک بیت فارسی است ؛کاغذ: سپاهانی، جلد: تیماج سبز ضربی ،مقوایی، ۱۰۶گ، ۱۹ سطر (9</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اندازه:۱۱/۵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۱۰ – ۱۹۳۷]</w:t>
      </w:r>
    </w:p>
    <w:p>
      <w:pPr>
        <w:pStyle w:val="BookText"/>
      </w:pPr>
      <w:r>
        <w:rPr>
          <w:rFonts w:ascii="IRNazanin" w:hAnsi="IRNazanin" w:eastAsia="IRNazanin" w:cs="IRNazanin"/>
          <w:lang w:bidi="fa-IR"/>
          <w:color w:val="111111"/>
          <w:sz w:val="28"/>
          <w:szCs w:val="28"/>
          <w:rtl/>
        </w:rPr>
        <w:t xml:space="preserve">۳۱۱. تهران؛ دانشگاه؛ شماره نسخه: ۲۹۸۹</w:t>
      </w:r>
    </w:p>
    <w:p>
      <w:pPr>
        <w:pStyle w:val="BookText"/>
      </w:pPr>
      <w:r>
        <w:rPr>
          <w:rFonts w:ascii="IRNazanin" w:hAnsi="IRNazanin" w:eastAsia="IRNazanin" w:cs="IRNazanin"/>
          <w:lang w:bidi="fa-IR"/>
          <w:color w:val="111111"/>
          <w:sz w:val="28"/>
          <w:szCs w:val="28"/>
          <w:rtl/>
        </w:rPr>
        <w:t xml:space="preserve">اشعاری از دیوان سحاب (۱۳ -۵۹) با دیباچه ای به نثر به نام عروه الوثقی در چهار فصل (1- 13)، صائب (۶۰-۶۱ و ۱۳۹-۱۴۱)، شوکت (۶۲-۶۹)، ابوطالب کلیم (۷۰-۱۱۵)، نظیری (۱۱۵-۱۱۹)، عرفی( ۱۲۰-۱۳۹ و ۱۵۶-۱۷۰)، اثر (۱۴۲-۱۵۵)، میر صیدی (۱۷۱-۱۸۲) ،میر نجات (۱۸۳ -۱۸۷)، حاجی محمد متخلص به حاجی (۱۸۹-۲۰۰)، مخلصای کاشی (۲۰۱-۲۱۸)؛ خط ،نستعلیق، بی کا، تا: قرن ۱۱، مهر لطفعلی دارد در پایان و او باید همان لطفعلی جهانشاهی باشد که خط او مورخ ۱۳۲۴ در ص دیده می شود،یادداشت ۱۱۵۱ و ۱۱۵۴ و ۱۱۵۶ و ۱۱۵۸ و ۱۱۶۱ و ۱۱۶۳ و ۱۱۶۵ در پایان هست ؛کاغذ: سپاهانی، جلد: روغنی، ۱۱۰گ، مختلف السطر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10- 1914]</w:t>
      </w:r>
    </w:p>
    <w:p>
      <w:pPr>
        <w:pStyle w:val="BookText"/>
      </w:pPr>
      <w:r>
        <w:rPr>
          <w:rFonts w:ascii="IRNazanin" w:hAnsi="IRNazanin" w:eastAsia="IRNazanin" w:cs="IRNazanin"/>
          <w:lang w:bidi="fa-IR"/>
          <w:color w:val="111111"/>
          <w:sz w:val="28"/>
          <w:szCs w:val="28"/>
          <w:rtl/>
        </w:rPr>
        <w:t xml:space="preserve">۳۱۲. تهران؛ مفتاح؛ شماره نسخه: ۷۱۴</w:t>
      </w:r>
    </w:p>
    <w:p>
      <w:pPr>
        <w:pStyle w:val="BookText"/>
      </w:pPr>
      <w:r>
        <w:rPr>
          <w:rFonts w:ascii="IRNazanin" w:hAnsi="IRNazanin" w:eastAsia="IRNazanin" w:cs="IRNazanin"/>
          <w:lang w:bidi="fa-IR"/>
          <w:color w:val="111111"/>
          <w:sz w:val="28"/>
          <w:szCs w:val="28"/>
          <w:rtl/>
        </w:rPr>
        <w:t xml:space="preserve">شعرهای فارسی: طاهر علائی ،عصمت، سوخته، امیر خسرو، جامی، محمدی فغانی، خاکی، تا می رسد به کمال؛ خط: نستعلیق، بی کا، تا: قرن ۱۰ و ۱۱؛ افتادگی: انجام؛ قطع: ربعی [نشریه: ۷ - ۱۳۲]</w:t>
      </w:r>
    </w:p>
    <w:p>
      <w:pPr>
        <w:pStyle w:val="BookText"/>
      </w:pPr>
      <w:r>
        <w:rPr>
          <w:rFonts w:ascii="IRNazanin" w:hAnsi="IRNazanin" w:eastAsia="IRNazanin" w:cs="IRNazanin"/>
          <w:lang w:bidi="fa-IR"/>
          <w:color w:val="111111"/>
          <w:sz w:val="28"/>
          <w:szCs w:val="28"/>
          <w:rtl/>
        </w:rPr>
        <w:t xml:space="preserve">۳۱۳. کاشان؛ عاطفی، حسن؛ شماره نسخه: بدون شماره
</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،:حافظ ،هلالی ،اهلی ،جامی ،خسرو ،آذری، طهر، صائـب، حیدر، شریف، آصفی ،حیرتی ،شاهی ،فخری ،سلمان، صالح،کاتبی، طوفان ،همام ،درویش ،طوطی ،قباهی قبابی؟ پناهی  ؟ ) عارف، نجار، همایون ،آگهی، مانی، پناهی، خان احمد، عصمت ، محتشم ،بهرام، میرزا ،غزالی، جمال الدین سیستانی، فغانی، محمد، سعید، کوکبی، سعدی،بیکسی ،کمال، شاه عباس، عرفی ،سفیری ،نظیری ،نرگسی ،انیسی، ریاضی ،شرقی ،نظامی خـط: نستعلیق ،هندی، بی کا، تا: قرن ۱۱؛ مهر: جمشید بن مهربان به سـال ۱۰۹۳؛ بدون جلد؛ کاغذ: فرنگی، اندازه: ۱۲</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۱۳سم [ نشریه: 7- 748]</w:t>
      </w:r>
    </w:p>
    <w:p>
      <w:pPr>
        <w:pStyle w:val="BookText"/>
      </w:pPr>
      <w:r>
        <w:rPr>
          <w:rFonts w:ascii="IRNazanin" w:hAnsi="IRNazanin" w:eastAsia="IRNazanin" w:cs="IRNazanin"/>
          <w:lang w:bidi="fa-IR"/>
          <w:color w:val="111111"/>
          <w:sz w:val="28"/>
          <w:szCs w:val="28"/>
          <w:rtl/>
        </w:rPr>
        <w:t xml:space="preserve">۳۱۴ .شیراز خانقاه احمدیه؛ شماره نسخه: ۱۳۲/۲</w:t>
      </w:r>
    </w:p>
    <w:p>
      <w:pPr>
        <w:pStyle w:val="BookText"/>
      </w:pPr>
      <w:r>
        <w:rPr>
          <w:rFonts w:ascii="IRNazanin" w:hAnsi="IRNazanin" w:eastAsia="IRNazanin" w:cs="IRNazanin"/>
          <w:lang w:bidi="fa-IR"/>
          <w:color w:val="111111"/>
          <w:sz w:val="28"/>
          <w:szCs w:val="28"/>
          <w:rtl/>
        </w:rPr>
        <w:t xml:space="preserve">جنگ شعرهای ظهوری و علی نقی کمره ای و اوجی و حزنی ؛خط: نستعلیق، بی کا، تا: قرن ۱۱، در ص ۹۱ آن اشعاری به خط حسين بن عبدالصمد عاملی مورخ ۱۸ صفر ۱۰۳۷ است که نباید پدر شیخ در گذشته ۹۸۴ باشد (یغما ۲۰۵ ص ۲۵۴) [ نشریه: 5- 224]</w:t>
      </w:r>
    </w:p>
    <w:p>
      <w:pPr>
        <w:pStyle w:val="BookText"/>
      </w:pPr>
      <w:r>
        <w:rPr>
          <w:rFonts w:ascii="IRNazanin" w:hAnsi="IRNazanin" w:eastAsia="IRNazanin" w:cs="IRNazanin"/>
          <w:lang w:bidi="fa-IR"/>
          <w:color w:val="111111"/>
          <w:sz w:val="28"/>
          <w:szCs w:val="28"/>
          <w:rtl/>
        </w:rPr>
        <w:t xml:space="preserve">۳۱۵. تهران؛ ملک؛ شماره نسخه: ۳۴۶۷/۴</w:t>
      </w:r>
    </w:p>
    <w:p>
      <w:pPr>
        <w:pStyle w:val="BookText"/>
      </w:pPr>
      <w:r>
        <w:rPr>
          <w:rFonts w:ascii="IRNazanin" w:hAnsi="IRNazanin" w:eastAsia="IRNazanin" w:cs="IRNazanin"/>
          <w:lang w:bidi="fa-IR"/>
          <w:color w:val="111111"/>
          <w:sz w:val="28"/>
          <w:szCs w:val="28"/>
          <w:rtl/>
        </w:rPr>
        <w:t xml:space="preserve">آغاز: بگوش دل رسیدم این ندا از عالم بالا *** که نفست بند هستی مانده غافل گشته از عقبا؛ انجام: ... اگر اقبال یاور شد ترا با طالع مسعود *** به عملش چون رسی جانا دعای خیر کن ما را</w:t>
      </w:r>
    </w:p>
    <w:p>
      <w:pPr>
        <w:pStyle w:val="BookText"/>
      </w:pPr>
      <w:r>
        <w:rPr>
          <w:rFonts w:ascii="IRNazanin" w:hAnsi="IRNazanin" w:eastAsia="IRNazanin" w:cs="IRNazanin"/>
          <w:lang w:bidi="fa-IR"/>
          <w:color w:val="111111"/>
          <w:sz w:val="28"/>
          <w:szCs w:val="28"/>
          <w:rtl/>
        </w:rPr>
        <w:t xml:space="preserve">قصیده کیمیاوی در تدبیر حجر، از مولانا کوکبی نزدیک به نود  بیت؛ خط: نستعلیق چلیپا ،بی کا، تا: قرن ۱۱؛ کاغذ: ترمه،جلد: رویه میشن یک لائی قرمز، ۲گ (۱۵پ-۱۶پ)، اندازه: ۱۵/۶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۲۳/۲سم [ف: ۶ - ۴۴۳]</w:t>
      </w:r>
    </w:p>
    <w:p>
      <w:pPr>
        <w:pStyle w:val="BookText"/>
      </w:pPr>
      <w:r>
        <w:rPr>
          <w:rFonts w:ascii="IRNazanin" w:hAnsi="IRNazanin" w:eastAsia="IRNazanin" w:cs="IRNazanin"/>
          <w:lang w:bidi="fa-IR"/>
          <w:color w:val="111111"/>
          <w:sz w:val="28"/>
          <w:szCs w:val="28"/>
          <w:rtl/>
        </w:rPr>
        <w:t xml:space="preserve">۳۱۶. تهران؛ مجلس؛ شماره نسخه: ۸۸۶۹/۱۷</w:t>
      </w:r>
    </w:p>
    <w:p>
      <w:pPr>
        <w:pStyle w:val="BookText"/>
      </w:pPr>
      <w:r>
        <w:rPr>
          <w:rFonts w:ascii="IRNazanin" w:hAnsi="IRNazanin" w:eastAsia="IRNazanin" w:cs="IRNazanin"/>
          <w:lang w:bidi="fa-IR"/>
          <w:color w:val="111111"/>
          <w:sz w:val="28"/>
          <w:szCs w:val="28"/>
          <w:rtl/>
        </w:rPr>
        <w:t xml:space="preserve">آغاز: حمد بیان آرا و درود هدد پیما سلطانی را که به فرمان انا جعلناك خليفه فى الارض پیمبر و دود حضرت داود را تشریف خلافت پوشانیده... بر ضمیر دانش تدبیر ارباب استعداد مسـتنیر باشد که این مثنوی هشتاد و دو مصرع است. هر مصرع تاریخ هزار و پنجاه و پنج و به صنعت فنی از فنون توشیح از اول و آخر ده بین اول که هزار و چهار و شصت و یک است لفظ تاریخ الورزاه بارز می شود و موشح ده بیت به همین دستور با مدح نواب خليفه سلطان معادل می گردد؛ انجام: که مدار سپهر کمالست و مرکز دایره اعمال مرآت صور معالم است و سرچشمه انهار مکـارم و چنانچه آینه را از بخار.</w:t>
      </w:r>
    </w:p>
    <w:p>
      <w:pPr>
        <w:pStyle w:val="BookText"/>
      </w:pPr>
      <w:r>
        <w:rPr>
          <w:rFonts w:ascii="IRNazanin" w:hAnsi="IRNazanin" w:eastAsia="IRNazanin" w:cs="IRNazanin"/>
          <w:lang w:bidi="fa-IR"/>
          <w:color w:val="111111"/>
          <w:sz w:val="28"/>
          <w:szCs w:val="28"/>
          <w:rtl/>
        </w:rPr>
        <w:t xml:space="preserve">بنا بر نوشته ملی تهران [شماره ۲۴۱۴/ جلد ۱۲، ص 203- 204] منظومه در مدح خلیفه سلطان (۱۰۶۴ق) و نواب خلیفه سلطـان است. این نسخه تنها مقدمه منظومه را دارد. سراینده در این مقدمه ویژگیهای منظومه اش را توضیح داده است؛ خط: نستعلیق، بی کا، تا: قرن ۱۱؛ افتادگی: انجام؛ کاغذ: نخودی آهار مهره ،جلد: تیماج قهوه ای، ۳ص (۳۶۴-۳۶۶) اندازه: ۱۳/۱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۲۴/۳سم [ف: 1/ 29- 186]</w:t>
      </w:r>
    </w:p>
    <w:p>
      <w:pPr>
        <w:pStyle w:val="BookText"/>
      </w:pPr>
      <w:r>
        <w:rPr>
          <w:rFonts w:ascii="IRNazanin" w:hAnsi="IRNazanin" w:eastAsia="IRNazanin" w:cs="IRNazanin"/>
          <w:lang w:bidi="fa-IR"/>
          <w:color w:val="111111"/>
          <w:sz w:val="28"/>
          <w:szCs w:val="28"/>
          <w:rtl/>
        </w:rPr>
        <w:t xml:space="preserve">۳۱۷. تهران؛ مجلس؛ شماره نسخه: ۱۱۱/۱ط</w:t>
      </w:r>
    </w:p>
    <w:p>
      <w:pPr>
        <w:pStyle w:val="BookText"/>
      </w:pPr>
      <w:r>
        <w:rPr>
          <w:rFonts w:ascii="IRNazanin" w:hAnsi="IRNazanin" w:eastAsia="IRNazanin" w:cs="IRNazanin"/>
          <w:lang w:bidi="fa-IR"/>
          <w:color w:val="111111"/>
          <w:sz w:val="28"/>
          <w:szCs w:val="28"/>
          <w:rtl/>
        </w:rPr>
        <w:t xml:space="preserve">دو قطعه است از کرامی؛ خط: نستعلیق، كاتب = مؤلف، تا قرن ۱۱ [ف: ۲۲ - ۲۵]</w:t>
      </w:r>
    </w:p>
    <w:p>
      <w:pPr>
        <w:pStyle w:val="BookText"/>
      </w:pPr>
      <w:r>
        <w:rPr>
          <w:rFonts w:ascii="IRNazanin" w:hAnsi="IRNazanin" w:eastAsia="IRNazanin" w:cs="IRNazanin"/>
          <w:lang w:bidi="fa-IR"/>
          <w:color w:val="111111"/>
          <w:sz w:val="28"/>
          <w:szCs w:val="28"/>
          <w:rtl/>
        </w:rPr>
        <w:t xml:space="preserve">۳۱۸ .تهران؛ مجلس؛ شماره نسخه: ۸۹۰۸/۲۶</w:t>
      </w:r>
    </w:p>
    <w:p>
      <w:pPr>
        <w:pStyle w:val="BookText"/>
      </w:pPr>
      <w:r>
        <w:rPr>
          <w:rFonts w:ascii="IRNazanin" w:hAnsi="IRNazanin" w:eastAsia="IRNazanin" w:cs="IRNazanin"/>
          <w:lang w:bidi="fa-IR"/>
          <w:color w:val="111111"/>
          <w:sz w:val="28"/>
          <w:szCs w:val="28"/>
          <w:rtl/>
        </w:rPr>
        <w:t xml:space="preserve">شامل رباعیات و تک بیتی هایی از: سلیم، محمد صالح اکمل میر مشرب ،منصف ،حاجب ،کاتبی ،لاادری، اهلی؛ خط: نستعلیق، بی کا، تا: قرن ۱۱؛ کاغذ: نخودی آهار مهره، جلد: تیماج مشکی با ترنج هشت ضلعی، درون ترنج به نقش: «الهی بحق نبی و ولی / نظر کن سوى محمد علی ۱۱۷۱» در هر دو طرف جلد، ۲ ص (۲۶۱-۲۶۰) ،سطور چلیپا، ابعاد متن: 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 قطع: بیاضی، اندازه: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۲۴/۵سم [ف: ۲۹/۱ - (۲۸۹]</w:t>
      </w:r>
    </w:p>
    <w:p>
      <w:pPr>
        <w:pStyle w:val="BookText"/>
      </w:pPr>
      <w:r>
        <w:rPr>
          <w:rFonts w:ascii="IRNazanin" w:hAnsi="IRNazanin" w:eastAsia="IRNazanin" w:cs="IRNazanin"/>
          <w:lang w:bidi="fa-IR"/>
          <w:color w:val="111111"/>
          <w:sz w:val="28"/>
          <w:szCs w:val="28"/>
          <w:rtl/>
        </w:rPr>
        <w:t xml:space="preserve">۳۱۹.تهران؛ مجلس؛ شماره نسخه: ۸۹۰۸/۴۱</w:t>
      </w:r>
    </w:p>
    <w:p>
      <w:pPr>
        <w:pStyle w:val="BookText"/>
      </w:pPr>
      <w:r>
        <w:rPr>
          <w:rFonts w:ascii="IRNazanin" w:hAnsi="IRNazanin" w:eastAsia="IRNazanin" w:cs="IRNazanin"/>
          <w:lang w:bidi="fa-IR"/>
          <w:color w:val="111111"/>
          <w:sz w:val="28"/>
          <w:szCs w:val="28"/>
          <w:rtl/>
        </w:rPr>
        <w:t xml:space="preserve">آغاز: مطلع: محیط عشق که ما مرکزیم و غم پرگار *** درین میانه ز عالم گرفته ایم کنار/ جنون عشق بر آراست خوش به سامانم *** کجاست عقل که گلی چیند اندرین گلزار؛ انجام: به عزتی که به یوسف رسید در ته چاه*** که شد به پله معراج در شرف طیار/ به حسرتی که زلیخا بهار کرد خزان*** به رحمتی که خزانش گرفت بوی بهار</w:t>
      </w:r>
    </w:p>
    <w:p>
      <w:pPr>
        <w:pStyle w:val="BookText"/>
      </w:pPr>
      <w:r>
        <w:rPr>
          <w:rFonts w:ascii="IRNazanin" w:hAnsi="IRNazanin" w:eastAsia="IRNazanin" w:cs="IRNazanin"/>
          <w:lang w:bidi="fa-IR"/>
          <w:color w:val="111111"/>
          <w:sz w:val="28"/>
          <w:szCs w:val="28"/>
          <w:rtl/>
        </w:rPr>
        <w:t xml:space="preserve">قصيده؛ خط: نستعلیق، بی کا، تا: قرن ۱۱؛ کاغذ: نخودی آهار مهره ،جلد: تیماج مشکی، ۱۴ ص (۴۲۱-۴۳۴)، سطور چلیپا، ابعاد متن: 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 ،قطع: بیاضی، اندازه: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۲۴/۵سم [ف: 1/ 29- 301]</w:t>
      </w:r>
    </w:p>
    <w:p>
      <w:pPr>
        <w:pStyle w:val="BookText"/>
      </w:pPr>
      <w:r>
        <w:rPr>
          <w:rFonts w:ascii="IRNazanin" w:hAnsi="IRNazanin" w:eastAsia="IRNazanin" w:cs="IRNazanin"/>
          <w:lang w:bidi="fa-IR"/>
          <w:color w:val="111111"/>
          <w:sz w:val="28"/>
          <w:szCs w:val="28"/>
          <w:rtl/>
        </w:rPr>
        <w:t xml:space="preserve">۳۲۰. تهران؛ مجلس؛ شماره نسخه: ۸۸۶۹/۳۱</w:t>
      </w:r>
    </w:p>
    <w:p>
      <w:pPr>
        <w:pStyle w:val="BookText"/>
      </w:pPr>
      <w:r>
        <w:rPr>
          <w:rFonts w:ascii="IRNazanin" w:hAnsi="IRNazanin" w:eastAsia="IRNazanin" w:cs="IRNazanin"/>
          <w:lang w:bidi="fa-IR"/>
          <w:color w:val="111111"/>
          <w:sz w:val="28"/>
          <w:szCs w:val="28"/>
          <w:rtl/>
        </w:rPr>
        <w:t xml:space="preserve">آغاز: از آلایش مصون است به مقصد آزادگی می رساند سیروسلوک در مشرب صوفیان بارگاه احدیث معانی به خود فرورفتن و از خود بر آمدن تواند بود.... ای خرد مرحله پیمای فکر *** قدرت بازوی توانای فکر/ مردمک دیده روشن ضمیر *** در فن بینایی هر کار پیر؛ انجام: بوقلون نیست به سیماب رنگ *** باره خیالم ز شباب و درنگ / عر نفس از جنبش و ارام من *** شحنگی ناله گلخام من</w:t>
      </w:r>
    </w:p>
    <w:p>
      <w:pPr>
        <w:pStyle w:val="BookText"/>
      </w:pPr>
      <w:r>
        <w:rPr>
          <w:rFonts w:ascii="IRNazanin" w:hAnsi="IRNazanin" w:eastAsia="IRNazanin" w:cs="IRNazanin"/>
          <w:lang w:bidi="fa-IR"/>
          <w:color w:val="111111"/>
          <w:sz w:val="28"/>
          <w:szCs w:val="28"/>
          <w:rtl/>
        </w:rPr>
        <w:t xml:space="preserve">منظومه ای است که به اقتفای «مخزن الاسرار» نظامی سروده شده: خاک نظامی زر این مخزن است *** یا گل خسرو گل این گلشن است / چهره گشا باده جامیست این*** آلت سوزیده جامیت این/ یا دهد از مرکز ادوار فیض ***نشاه [نشئه] دور خم سرکار فیض/ ختم سخن گر به سخنور بود *** شش جهت از خانه شش در بود (ص ۴۰۷)، با دیباچه ای منثور در آغاز. این عناوین در نسخه  دیده می شود: مبدا پیچیدگی زلف شاهد دلفریب سخن، چهره گشایی تصویر معنای توحید از پرده رنگارنگ خیال، زمزمه پردازی تار نفس به آهنگ دلنواز مناجات درگاه حضرت وجود ،مطلق، بالیدگی نهال مطالب ارجمند در گلشن آرایی تمت و دور و سرمایه وجود رنگامیزی ... ((پارگی) آفرینش، صافگیری کیفیت باده تاب منقلب که شورش افزای خیره نگاهان دیده تحقیق و انجمن آرای دقیقه شناسی بینش بینان عالم توفیق است، توصیه و تمهید ... مدحتسرایی پادشاه مملکت آگاهی فنون سخن طرازی خلد الله ملکه و سلطانه، اسباب تألیف قلوب افراد انواع سخن پیرایگی، شاخ و برگ شناسای حضرت سخن که نودمیده چمن آرای میان و نورس گشته بار شکوفه بوستان دل دوستان اوست؛ خط: نستعلیق، بی کا، تا: قرن ۱۱؛ افتادگی: آغاز و انجام؛ کاغذ:
</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نخودی آهار مهره ،جلد: تیماج قهوه ای با جدول های ساده گرهدار، عطف: چرم، ۲۲ ص( ۴۰۵-۴۲۶)، اندازه: ۱۳/۱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۲۴/۳  [ ف: 1/ 29 - ۱۸۸]</w:t>
      </w:r>
    </w:p>
    <w:p>
      <w:pPr>
        <w:pStyle w:val="BookText"/>
      </w:pPr>
      <w:r>
        <w:rPr>
          <w:rFonts w:ascii="IRNazanin" w:hAnsi="IRNazanin" w:eastAsia="IRNazanin" w:cs="IRNazanin"/>
          <w:lang w:bidi="fa-IR"/>
          <w:color w:val="111111"/>
          <w:sz w:val="28"/>
          <w:szCs w:val="28"/>
          <w:rtl/>
        </w:rPr>
        <w:t xml:space="preserve">۳۲۱. تهران؛ مجلس؛ شماره نسخه: ۸۸۶۹/۳۳</w:t>
      </w:r>
    </w:p>
    <w:p>
      <w:pPr>
        <w:pStyle w:val="BookText"/>
      </w:pPr>
      <w:r>
        <w:rPr>
          <w:rFonts w:ascii="IRNazanin" w:hAnsi="IRNazanin" w:eastAsia="IRNazanin" w:cs="IRNazanin"/>
          <w:lang w:bidi="fa-IR"/>
          <w:color w:val="111111"/>
          <w:sz w:val="28"/>
          <w:szCs w:val="28"/>
          <w:rtl/>
        </w:rPr>
        <w:t xml:space="preserve">با اشعاری از [در فهرست شماره صفحاتی که اشعار این شعرا آن آمده ذکر شده]: آصفی خراسانی، ابو طالب ولد مرحـوم غلامحسین املشی (به خط خودش) امامی هروی، مولانا امیدی، امیر شاهی سبزواری، امیر محمد زرگر، اهلی شیرازی، بابا افضل کاشی ،باباطاهر، بابافغانی شیخ بهاءالدین، جامی، جنید بغدادی ،حافظ، حزنی اصفهانی، حسین ثنایی، ملا حسین، میر حسب خاقانی (از تحفه العرافين)، میرزا راضی (؟)، میرزا (به خط م ح مد دیارجانی در ۳ صفر ۱۳۲۷ق)، راقم ،رکنا ،مسیحی، سرباز ،سروش ،سعدی، سلمان ساوجی، شیخ شبلی، شیخ جام، میـرزا صادق، صایب تبریزی ،ضمیری، طالب آملی ،طوفان، مولانا ظهوری ،مولانا عبدالله (به خط خودش)، عرفی، علی نقی کمره ای، عنایت الله اصفهانی، میرزا (به خط محمد دیارجانی در ۲۰ صفر ۱۳۲۳ق)، ملا غریب حسین، فردوسی، قاضی نور ،کاتبی نیشابوری، کمال، گلشن (در ۶ ربيع الثانى ۱۳۰۳ق)، لسـانی شیرازی (غزلیات و رباعیات شهر آشوب او)، لطفعلی بیگ آذر، محتشم کاشانی، محمد امین بیگا، محمد جان قدسی، محمدحسین (به خط خودش)، محمد مؤمن نصیری (به خط خودش)، مظفر جنابدی، معروف کرخی، معزی کاشی ،مولوی(از مثنوی به خط عبدالحسین در جمعه ۲۲ جمادى الاول ۱۲۸۵ق لوى ئيل تركيه)، نادم جیلانی، ناصر خسرو دهلوی ،نظیری وحشی( از فرهاد و شیرین)؛ خط: نستعلیق، بی کا، تا: قرن ۱۱؛ کاغذ: نخودی آهارمهره، جلد: تیماج قهوه ای با جدول های ساده و گرهدار، عطف : چرم ، مختلف السطر ، اندازه: ۲۴/۳۱۳/۱سم [ف:1/ 29 - ۱۸۹]</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مجلس؛ شماره نسخه: ۹۰۸۷/۲۲</w:t>
      </w:r>
    </w:p>
    <w:p>
      <w:pPr>
        <w:pStyle w:val="BookText"/>
      </w:pPr>
      <w:r>
        <w:rPr>
          <w:rFonts w:ascii="IRNazanin" w:hAnsi="IRNazanin" w:eastAsia="IRNazanin" w:cs="IRNazanin"/>
          <w:lang w:bidi="fa-IR"/>
          <w:color w:val="111111"/>
          <w:sz w:val="28"/>
          <w:szCs w:val="28"/>
          <w:rtl/>
        </w:rPr>
        <w:t xml:space="preserve">خط: نسخ کهن معرب، بی کا، تا: با تاریخ قرن ۱۱؛ با تاریخ ۱۱۶۳ق؛ كاغذ: الوان آهار مهره ،جلد: تیماج قهوه ای با ترنج سر ترنج و چهار لچکی با چند ردیف جدول ساده و گرهی عطف گالینگور، 1ص ،(۵۳ر) ،اندازه: ۱۵/۱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۲۸/۴سم [ ف : 2/ 29- 733]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مجلس؛ شماره نسخه: ۹۰۸۷/۳۲</w:t>
      </w:r>
    </w:p>
    <w:p>
      <w:pPr>
        <w:pStyle w:val="BookText"/>
      </w:pPr>
      <w:r>
        <w:rPr>
          <w:rFonts w:ascii="IRNazanin" w:hAnsi="IRNazanin" w:eastAsia="IRNazanin" w:cs="IRNazanin"/>
          <w:lang w:bidi="fa-IR"/>
          <w:color w:val="111111"/>
          <w:sz w:val="28"/>
          <w:szCs w:val="28"/>
          <w:rtl/>
        </w:rPr>
        <w:t xml:space="preserve">از شیخ الرئیس ابو علی سینا، شیخ نظامی، من مثنوی ملا عبدالله مروارید؛ خط: نسخ کهن معرب، بی کا، تا: قرن ۱۱؛ کاغذ: الوان آهار مهره، جلد: تیماج قهوه ای با ترنج و سرترنج و چهار لچکی عطف گالینگور، ۱ ص ،(۶۹ پ) ، اندازه: ۱۵/۱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۲۸/۴سم [ف: 2/ 29- 733]</w:t>
      </w:r>
    </w:p>
    <w:p>
      <w:pPr>
        <w:pStyle w:val="BookText"/>
      </w:pPr>
      <w:r>
        <w:rPr>
          <w:rFonts w:ascii="IRNazanin" w:hAnsi="IRNazanin" w:eastAsia="IRNazanin" w:cs="IRNazanin"/>
          <w:lang w:bidi="fa-IR"/>
          <w:color w:val="111111"/>
          <w:sz w:val="28"/>
          <w:szCs w:val="28"/>
          <w:rtl/>
        </w:rPr>
        <w:t xml:space="preserve">3.تهران؛ مجلس؛ شماره نسخه: ۹۰۸۷/۶۰</w:t>
      </w:r>
    </w:p>
    <w:p>
      <w:pPr>
        <w:pStyle w:val="BookText"/>
      </w:pPr>
      <w:r>
        <w:rPr>
          <w:rFonts w:ascii="IRNazanin" w:hAnsi="IRNazanin" w:eastAsia="IRNazanin" w:cs="IRNazanin"/>
          <w:lang w:bidi="fa-IR"/>
          <w:color w:val="111111"/>
          <w:sz w:val="28"/>
          <w:szCs w:val="28"/>
          <w:rtl/>
        </w:rPr>
        <w:t xml:space="preserve">از امینا مولانا محمدخان قدسی، مشفقی، محمود بیگ فسونی و دو نفر دیگر؛ خط: نسخ کهن معرب، بی کا، تا: قرن ۱۱؛ کاغذ: الوان آهار مهره، جلد: تیماج قهوه ای با ترنج و سرترنج و چـهار لچکی عطف گالینگور، 1ص (۱۲۵ر)، اندازه: 15/1</w:t>
      </w:r>
      <w:r>
        <w:rPr>
          <w:rFonts w:ascii="Times New Roman" w:hAnsi="Times New Roman" w:eastAsia="Times New Roman" w:cs="Times New Roman"/>
          <w:lang w:val="en-US" w:bidi="en-US"/>
          <w:color w:val="111111"/>
          <w:sz w:val="28"/>
          <w:szCs w:val="28"/>
          <w:rtl/>
        </w:rPr>
        <w:t xml:space="preserve">×28/4</w:t>
      </w:r>
      <w:r>
        <w:rPr>
          <w:rFonts w:ascii="IRNazanin" w:hAnsi="IRNazanin" w:eastAsia="IRNazanin" w:cs="IRNazanin"/>
          <w:lang w:bidi="fa-IR"/>
          <w:color w:val="111111"/>
          <w:sz w:val="28"/>
          <w:szCs w:val="28"/>
          <w:rtl/>
        </w:rPr>
        <w:t xml:space="preserve">سم[ ف: ۲۹/۲ - ۷۳۶]</w:t>
      </w:r>
    </w:p>
    <w:p>
      <w:pPr>
        <w:pStyle w:val="BookText"/>
      </w:pPr>
      <w:r>
        <w:rPr>
          <w:rFonts w:ascii="IRNazanin" w:hAnsi="IRNazanin" w:eastAsia="IRNazanin" w:cs="IRNazanin"/>
          <w:lang w:bidi="fa-IR"/>
          <w:color w:val="111111"/>
          <w:sz w:val="28"/>
          <w:szCs w:val="28"/>
          <w:rtl/>
        </w:rPr>
        <w:t xml:space="preserve">۳۲۲. تهران؛ مجلس؛ شماره نسخه: ۸۹۶۰/۳۶</w:t>
      </w:r>
    </w:p>
    <w:p>
      <w:pPr>
        <w:pStyle w:val="BookText"/>
      </w:pPr>
      <w:r>
        <w:rPr>
          <w:rFonts w:ascii="IRNazanin" w:hAnsi="IRNazanin" w:eastAsia="IRNazanin" w:cs="IRNazanin"/>
          <w:lang w:bidi="fa-IR"/>
          <w:color w:val="111111"/>
          <w:sz w:val="28"/>
          <w:szCs w:val="28"/>
          <w:rtl/>
        </w:rPr>
        <w:t xml:space="preserve">از شیخ نجم الدین کبری و خواجه افضل؛ خط: نسخ و نستعلیق شکسته، بی کا، تا: قرن ۱۱؛ ۳۷. گفته ای از تاریخ وصاف از زبان ابوبکر خوارزمی (ص۱۴۶)؛ کاغذ: نخودی آهار مهره، جلد: تیماج عنابی ضربی با نقوش فرنگی، 1ص (۱۴۵)، اندازه:  ۱۱/۳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۲۱/۷سم [ف: ۲۹/۱ - ۴۷۸]</w:t>
      </w:r>
    </w:p>
    <w:p>
      <w:pPr>
        <w:pStyle w:val="BookText"/>
      </w:pPr>
      <w:r>
        <w:rPr>
          <w:rFonts w:ascii="IRNazanin" w:hAnsi="IRNazanin" w:eastAsia="IRNazanin" w:cs="IRNazanin"/>
          <w:lang w:bidi="fa-IR"/>
          <w:color w:val="111111"/>
          <w:sz w:val="28"/>
          <w:szCs w:val="28"/>
          <w:rtl/>
        </w:rPr>
        <w:t xml:space="preserve">۳۲۳. تهران؛ مجلس؛ شماره نسخه: ۸۸۶۴/۱۷</w:t>
      </w:r>
    </w:p>
    <w:p>
      <w:pPr>
        <w:pStyle w:val="BookText"/>
      </w:pPr>
      <w:r>
        <w:rPr>
          <w:rFonts w:ascii="IRNazanin" w:hAnsi="IRNazanin" w:eastAsia="IRNazanin" w:cs="IRNazanin"/>
          <w:lang w:bidi="fa-IR"/>
          <w:color w:val="111111"/>
          <w:sz w:val="28"/>
          <w:szCs w:val="28"/>
          <w:rtl/>
        </w:rPr>
        <w:t xml:space="preserve">از همایی و صایب و فضولی؛ خط: نسخ و نستعلیق، بی کا، تا: قرن ۱۱؛ کاغذ: الوان آهار مهره ،جلد: میشن عنابی مجدول یک لا، ۲گ( ۴۴پ -۴۵ ر)، مختلف السطر (۸/۶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۱۷/۳)، اندازه: ۱۵/۶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۲۷/۹سم [ف: ۲۹/۱ - ۱۶۹]</w:t>
      </w:r>
    </w:p>
    <w:p>
      <w:pPr>
        <w:pStyle w:val="BookText"/>
      </w:pPr>
      <w:r>
        <w:rPr>
          <w:rFonts w:ascii="IRNazanin" w:hAnsi="IRNazanin" w:eastAsia="IRNazanin" w:cs="IRNazanin"/>
          <w:lang w:bidi="fa-IR"/>
          <w:color w:val="111111"/>
          <w:sz w:val="28"/>
          <w:szCs w:val="28"/>
          <w:rtl/>
        </w:rPr>
        <w:t xml:space="preserve">۳۲۴. تهران؛ مجلس؛ شماره نسخه: ۸۸۶۷/۲۸</w:t>
      </w:r>
    </w:p>
    <w:p>
      <w:pPr>
        <w:pStyle w:val="BookText"/>
      </w:pPr>
      <w:r>
        <w:rPr>
          <w:rFonts w:ascii="IRNazanin" w:hAnsi="IRNazanin" w:eastAsia="IRNazanin" w:cs="IRNazanin"/>
          <w:lang w:bidi="fa-IR"/>
          <w:color w:val="111111"/>
          <w:sz w:val="28"/>
          <w:szCs w:val="28"/>
          <w:rtl/>
        </w:rPr>
        <w:t xml:space="preserve">از یوسفا خوانساری و کوثری خوانساری؛ خط: نسخ و نستعلیق، بی کا، تا: قرن ۱۱ ؛کاغذ: نباتی و نخودی آهار مهره، جلد: گالینکور سبز، عطف و گوشه ها میشن عنابی ،1گ (۵۰پ)،  اندازه: ۱۲/۴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۱۸/۸سم [ف: ۲۹/۱ – ۱۷۶]</w:t>
      </w:r>
    </w:p>
    <w:p>
      <w:pPr>
        <w:pStyle w:val="BookText"/>
      </w:pPr>
      <w:r>
        <w:rPr>
          <w:rFonts w:ascii="IRNazanin" w:hAnsi="IRNazanin" w:eastAsia="IRNazanin" w:cs="IRNazanin"/>
          <w:lang w:bidi="fa-IR"/>
          <w:color w:val="111111"/>
          <w:sz w:val="28"/>
          <w:szCs w:val="28"/>
          <w:rtl/>
        </w:rPr>
        <w:t xml:space="preserve">۳۲۵. تهران؛ دانشگاه؛ شماره نسخه: 4529</w:t>
      </w:r>
    </w:p>
    <w:p>
      <w:pPr>
        <w:pStyle w:val="BookText"/>
      </w:pPr>
      <w:r>
        <w:rPr>
          <w:rFonts w:ascii="IRNazanin" w:hAnsi="IRNazanin" w:eastAsia="IRNazanin" w:cs="IRNazanin"/>
          <w:lang w:bidi="fa-IR"/>
          <w:color w:val="111111"/>
          <w:sz w:val="28"/>
          <w:szCs w:val="28"/>
          <w:rtl/>
        </w:rPr>
        <w:t xml:space="preserve">شعرهای فارسی گرد آورده شاه وردی که رقم او در ص116 دیده می شود و چنین است نام سرایندگان شعرها: سعدی، جلال، اوحدی ،عراقی ،عطار ،عبدالمجید ،امیر، رکن، سلمان، عماد ،ارانی ،حافظ ،سعدی، فتحی طاوسی، عراقی، حسن، جمالی، مولانا، خواجو، احمد جام، مانی بخط شاهوردی، جامی، طالب؛ خط: نستعلیق ،کا: شاه وردی، تا: قرن ۱۰ و ۱۱؛ مجدول؛ کاغذ:سمرقندی، جلد: تیماج عنابی ضربی، ۶۷گ، سطور چلیپا ابعاد  متن: 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قطع: بیاضی، اندازه: 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۱۳ - ۳۴۷۸]</w:t>
      </w:r>
    </w:p>
    <w:p>
      <w:pPr>
        <w:pStyle w:val="BookText"/>
      </w:pPr>
      <w:r>
        <w:rPr>
          <w:rFonts w:ascii="Times New Roman" w:hAnsi="Times New Roman" w:eastAsia="Times New Roman" w:cs="Times New Roman"/>
          <w:lang w:val="en-US" w:bidi="en-US"/>
          <w:color w:val="111111"/>
          <w:sz w:val="28"/>
          <w:szCs w:val="28"/>
          <w:rtl/>
        </w:rPr>
        <w:t xml:space="preserve">326.</w:t>
      </w:r>
    </w:p>
    <w:p>
      <w:pPr>
        <w:pStyle w:val="BookText"/>
      </w:pPr>
      <w:r>
        <w:rPr>
          <w:rFonts w:ascii="IRNazanin" w:hAnsi="IRNazanin" w:eastAsia="IRNazanin" w:cs="IRNazanin"/>
          <w:lang w:bidi="fa-IR"/>
          <w:color w:val="111111"/>
          <w:sz w:val="28"/>
          <w:szCs w:val="28"/>
          <w:rtl/>
        </w:rPr>
        <w:t xml:space="preserve">تهران؛ مجلس؛ شماره نسخه: ۸۹۱۴/۳۴</w:t>
      </w:r>
    </w:p>
    <w:p>
      <w:pPr>
        <w:pStyle w:val="BookText"/>
      </w:pPr>
      <w:r>
        <w:rPr>
          <w:rFonts w:ascii="IRNazanin" w:hAnsi="IRNazanin" w:eastAsia="IRNazanin" w:cs="IRNazanin"/>
          <w:lang w:bidi="fa-IR"/>
          <w:color w:val="111111"/>
          <w:sz w:val="28"/>
          <w:szCs w:val="28"/>
          <w:rtl/>
        </w:rPr>
        <w:t xml:space="preserve">شامل یک رباعی از ابن یمین در تفاوت دال و ذال در فارسی و رباعی دیگری درباره انواع شش گانه ترکیب؛ خط: نسخ و نستعلیق، بی کا، تا: قرن ۱۱؛ کاغذ: فرنگی نخودی آهار مهره، جلد: میشن زیتونی ضربی با ترنج و سرترنج ۱ص ،(۲۳۵) اندازه: ۱۲/۳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۲۳/۶سم [ف: ۲۹/۱ - ۳۱۵]</w:t>
      </w:r>
    </w:p>
    <w:p>
      <w:pPr>
        <w:pStyle w:val="BookText"/>
      </w:pPr>
      <w:r>
        <w:rPr>
          <w:rFonts w:ascii="Times New Roman" w:hAnsi="Times New Roman" w:eastAsia="Times New Roman" w:cs="Times New Roman"/>
          <w:lang w:val="en-US" w:bidi="en-US"/>
          <w:color w:val="111111"/>
          <w:sz w:val="28"/>
          <w:szCs w:val="28"/>
          <w:rtl/>
        </w:rPr>
        <w:t xml:space="preserve">327.</w:t>
      </w:r>
    </w:p>
    <w:p>
      <w:pPr>
        <w:pStyle w:val="BookText"/>
      </w:pPr>
      <w:r>
        <w:rPr>
          <w:rFonts w:ascii="IRNazanin" w:hAnsi="IRNazanin" w:eastAsia="IRNazanin" w:cs="IRNazanin"/>
          <w:lang w:bidi="fa-IR"/>
          <w:color w:val="111111"/>
          <w:sz w:val="28"/>
          <w:szCs w:val="28"/>
          <w:rtl/>
        </w:rPr>
        <w:t xml:space="preserve">تهران؛ مجلس؛ شماره نسخه: ۸۹۱۴/۳۸</w:t>
      </w:r>
    </w:p>
    <w:p>
      <w:pPr>
        <w:pStyle w:val="BookText"/>
      </w:pPr>
      <w:r>
        <w:rPr>
          <w:rFonts w:ascii="IRNazanin" w:hAnsi="IRNazanin" w:eastAsia="IRNazanin" w:cs="IRNazanin"/>
          <w:lang w:bidi="fa-IR"/>
          <w:color w:val="111111"/>
          <w:sz w:val="28"/>
          <w:szCs w:val="28"/>
          <w:rtl/>
        </w:rPr>
        <w:t xml:space="preserve">از میرزا محمد عالی و سعدی؛ خط: نسخ و نستعلیق، بی کا، تا: قرن ۱۱؛ کاغذ: فرنگی نخودی، آهار مهره، جلد: میشن زیتونی ضربی با ترنج و سر ترنج ۱ص (۲۵۰)، اندازه: ۱۲/۳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۲۳/۶سم [ف: ۲۹/۱ - ۳۱۶]</w:t>
      </w:r>
    </w:p>
    <w:p>
      <w:pPr>
        <w:pStyle w:val="BookText"/>
      </w:pPr>
      <w:r>
        <w:rPr>
          <w:rFonts w:ascii="IRNazanin" w:hAnsi="IRNazanin" w:eastAsia="IRNazanin" w:cs="IRNazanin"/>
          <w:lang w:bidi="fa-IR"/>
          <w:color w:val="111111"/>
          <w:sz w:val="28"/>
          <w:szCs w:val="28"/>
          <w:rtl/>
        </w:rPr>
        <w:t xml:space="preserve">۳۲۸. تهران؛ دانشگاه؛ شماره نسخه: ۲۴۸۷/۴</w:t>
      </w:r>
    </w:p>
    <w:p>
      <w:pPr>
        <w:pStyle w:val="BookText"/>
      </w:pPr>
      <w:r>
        <w:rPr>
          <w:rFonts w:ascii="IRNazanin" w:hAnsi="IRNazanin" w:eastAsia="IRNazanin" w:cs="IRNazanin"/>
          <w:lang w:bidi="fa-IR"/>
          <w:color w:val="111111"/>
          <w:sz w:val="28"/>
          <w:szCs w:val="28"/>
          <w:rtl/>
        </w:rPr>
        <w:t xml:space="preserve">گزیده ای از دیوان های عسجدی و عنصری و رودکی؛ خط: نستعلیق، بی کا، تا: قرن ۱۱؛ کاغذ: سمرقندی، جلد: تیماج قهوه ای درون  مقوایی، ۲۱ سطر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 اندازه: ۲۳/۵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۳۷/۵سم [ف: ۹  - 1256]</w:t>
      </w:r>
    </w:p>
    <w:p>
      <w:pPr>
        <w:pStyle w:val="BookText"/>
      </w:pPr>
      <w:r>
        <w:rPr>
          <w:rFonts w:ascii="IRNazanin" w:hAnsi="IRNazanin" w:eastAsia="IRNazanin" w:cs="IRNazanin"/>
          <w:lang w:bidi="fa-IR"/>
          <w:color w:val="111111"/>
          <w:sz w:val="28"/>
          <w:szCs w:val="28"/>
          <w:rtl/>
        </w:rPr>
        <w:t xml:space="preserve">۳۲۹ .تهران؛ مجلس؛ شماره نسخه: ۸۹۱۴/۱۰</w:t>
      </w:r>
    </w:p>
    <w:p>
      <w:pPr>
        <w:pStyle w:val="BookText"/>
      </w:pPr>
      <w:r>
        <w:rPr>
          <w:rFonts w:ascii="IRNazanin" w:hAnsi="IRNazanin" w:eastAsia="IRNazanin" w:cs="IRNazanin"/>
          <w:lang w:bidi="fa-IR"/>
          <w:color w:val="111111"/>
          <w:sz w:val="28"/>
          <w:szCs w:val="28"/>
          <w:rtl/>
        </w:rPr>
        <w:t xml:space="preserve">اشعار و لغز، از بین سرایندگان آنها فقط نام نظامی برده شده؛ خط: نسخ و نستعلیق، بی کا، تا: قرن ۱۱؛ کاغذ: فرنگی نخودی، آهار
</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مهره، جلد: میشن زیتونی ضربی با ترنج و سرترنج، ۲ص (74- ۷۵)، اندازه: ۱۲/۳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۲۳/۶سم [ف: ۲۹/۱ - ۳۱۲]</w:t>
      </w:r>
    </w:p>
    <w:p>
      <w:pPr>
        <w:pStyle w:val="BookText"/>
      </w:pPr>
      <w:r>
        <w:rPr>
          <w:rFonts w:ascii="IRNazanin" w:hAnsi="IRNazanin" w:eastAsia="IRNazanin" w:cs="IRNazanin"/>
          <w:lang w:bidi="fa-IR"/>
          <w:color w:val="111111"/>
          <w:sz w:val="28"/>
          <w:szCs w:val="28"/>
          <w:rtl/>
        </w:rPr>
        <w:t xml:space="preserve">۳۳۰ . مشهد؛ رضوی؛ شماره نسخه: ۲۴۸۸۱</w:t>
      </w:r>
    </w:p>
    <w:p>
      <w:pPr>
        <w:pStyle w:val="BookText"/>
      </w:pPr>
      <w:r>
        <w:rPr>
          <w:rFonts w:ascii="IRNazanin" w:hAnsi="IRNazanin" w:eastAsia="IRNazanin" w:cs="IRNazanin"/>
          <w:lang w:bidi="fa-IR"/>
          <w:color w:val="111111"/>
          <w:sz w:val="28"/>
          <w:szCs w:val="28"/>
          <w:rtl/>
        </w:rPr>
        <w:t xml:space="preserve">آغاز: بسمله، رباعی در توحید مهر تو بس است نقدگنجینه ما ؛انجام: توبه کرد استغفر الله مست بد هشیار شد</w:t>
      </w:r>
    </w:p>
    <w:p>
      <w:pPr>
        <w:pStyle w:val="BookText"/>
      </w:pPr>
      <w:r>
        <w:rPr>
          <w:rFonts w:ascii="IRNazanin" w:hAnsi="IRNazanin" w:eastAsia="IRNazanin" w:cs="IRNazanin"/>
          <w:lang w:bidi="fa-IR"/>
          <w:color w:val="111111"/>
          <w:sz w:val="28"/>
          <w:szCs w:val="28"/>
          <w:rtl/>
        </w:rPr>
        <w:t xml:space="preserve">گزیده اشعاری است که ظاهراً برای استفاده شخصی در دفتر یاد داشت شده است. بسیاری از اشعار از حافظ و سعدی اند و بیشتر تک بیت هایی از دیگر شاعران. کاتب به نام همه شاعـران اشاره نکرده، به اینها اشاره شده است: قطاری ،فطرت، فنایی، مشرقی ،نزاری ،بیانی ،خواجو، عماد فقیه ،وحشی، ناصری ،همایی، رضی الدین ،شاهدی ،صفی ،بنایی، عطار، نظیری ،آصفی، حیدر ،قتالی ،طلحه، خیام؛ خط: نستعلیق، بی کا، تا: قـرن</w:t>
      </w:r>
    </w:p>
    <w:p>
      <w:pPr>
        <w:pStyle w:val="BookText"/>
      </w:pPr>
      <w:r>
        <w:rPr>
          <w:rFonts w:ascii="IRNazanin" w:hAnsi="IRNazanin" w:eastAsia="IRNazanin" w:cs="IRNazanin"/>
          <w:lang w:bidi="fa-IR"/>
          <w:color w:val="111111"/>
          <w:sz w:val="28"/>
          <w:szCs w:val="28"/>
          <w:rtl/>
        </w:rPr>
        <w:t xml:space="preserve">۱۱؛ کاغذ: نخودی، جلد: تیماج [رایانه]</w:t>
      </w:r>
    </w:p>
    <w:p>
      <w:pPr>
        <w:pStyle w:val="BookText"/>
      </w:pPr>
      <w:r>
        <w:rPr>
          <w:rFonts w:ascii="IRNazanin" w:hAnsi="IRNazanin" w:eastAsia="IRNazanin" w:cs="IRNazanin"/>
          <w:lang w:bidi="fa-IR"/>
          <w:color w:val="111111"/>
          <w:sz w:val="28"/>
          <w:szCs w:val="28"/>
          <w:rtl/>
        </w:rPr>
        <w:t xml:space="preserve">۳۳۱. تهران؛ مجلس؛ شماره نسخه: ۸۹۸۲/۲۷</w:t>
      </w:r>
    </w:p>
    <w:p>
      <w:pPr>
        <w:pStyle w:val="BookText"/>
      </w:pPr>
      <w:r>
        <w:rPr>
          <w:rFonts w:ascii="IRNazanin" w:hAnsi="IRNazanin" w:eastAsia="IRNazanin" w:cs="IRNazanin"/>
          <w:lang w:bidi="fa-IR"/>
          <w:color w:val="111111"/>
          <w:sz w:val="28"/>
          <w:szCs w:val="28"/>
          <w:rtl/>
        </w:rPr>
        <w:t xml:space="preserve">از این شعرا: خواجه حسین ثنایی، خسرو، حکیم شفایی، ظهیر فاریابی، میر سید علی صیدی طهرانی، میرزا عبدالله، ملانظام سلمان، مخدومی آقا رضی، محمد رضوی کاشی ،صایب، میرزا محمد قاسما متخلص به گرامی ؛خط: نستعلیق، بی کا، تا: قرن11؛ کاغذ: نخودی آهار مهره نازک، جلد: تیماج دو رو، (۲۲۳ پ - ۲۴۷پ) ،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۲۲/۲سم [ف: ۲۹/۱ - ۵۵۲]</w:t>
      </w:r>
    </w:p>
    <w:p>
      <w:pPr>
        <w:pStyle w:val="BookText"/>
      </w:pPr>
      <w:r>
        <w:rPr>
          <w:rFonts w:ascii="IRNazanin" w:hAnsi="IRNazanin" w:eastAsia="IRNazanin" w:cs="IRNazanin"/>
          <w:lang w:bidi="fa-IR"/>
          <w:color w:val="111111"/>
          <w:sz w:val="28"/>
          <w:szCs w:val="28"/>
          <w:rtl/>
        </w:rPr>
        <w:t xml:space="preserve">۳۳۲. تهران؛ نوربخش؛ شماره نسخه: ۷۲۴/۳</w:t>
      </w:r>
    </w:p>
    <w:p>
      <w:pPr>
        <w:pStyle w:val="BookText"/>
      </w:pPr>
      <w:r>
        <w:rPr>
          <w:rFonts w:ascii="IRNazanin" w:hAnsi="IRNazanin" w:eastAsia="IRNazanin" w:cs="IRNazanin"/>
          <w:lang w:bidi="fa-IR"/>
          <w:color w:val="111111"/>
          <w:sz w:val="28"/>
          <w:szCs w:val="28"/>
          <w:rtl/>
        </w:rPr>
        <w:t xml:space="preserve">سه قصیده است در مناجات از واعظ قزوینی و جامی و دوغزل است از غیاث در ستایش حضرت رسول (صلّی اللَّهِ علیه وَ آلِهِ وَ سَلَّمَ ) و خداوند. از غـزل اوست: محنت خافقين عشرت اوست*** هر که در سایه محـبت اوست / میکنم شکر قادری که دو کون *** نمی از یک حباب قدرت اوست ... به خدایش حواله کرد غیاث *** هر که اندر مـقام ذلت اوست؛ خط: نسخ و نستعلیق، کا: خدای ویردی، تا: ۱۰۰۲ ق :؛کاغذ: فرنگی ،جلد: مقوا با روکش پارچه سبز و عطف تیماج قرمز، اگ (47ر- 48پ)، 14- 22 سطر، قطع: خشتی، اندازه:۱۴/۵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۱۹/۵سم [نشریه : ۱۳ - ۱۰۵]</w:t>
      </w:r>
    </w:p>
    <w:p>
      <w:pPr>
        <w:pStyle w:val="BookText"/>
      </w:pPr>
      <w:r>
        <w:rPr>
          <w:rFonts w:ascii="IRNazanin" w:hAnsi="IRNazanin" w:eastAsia="IRNazanin" w:cs="IRNazanin"/>
          <w:lang w:bidi="fa-IR"/>
          <w:color w:val="111111"/>
          <w:sz w:val="28"/>
          <w:szCs w:val="28"/>
          <w:rtl/>
        </w:rPr>
        <w:t xml:space="preserve">۳۳۳. تهران؛ ملک؛ شماره نسخه: ۵۴۷۴</w:t>
      </w:r>
    </w:p>
    <w:p>
      <w:pPr>
        <w:pStyle w:val="BookText"/>
      </w:pPr>
      <w:r>
        <w:rPr>
          <w:rFonts w:ascii="IRNazanin" w:hAnsi="IRNazanin" w:eastAsia="IRNazanin" w:cs="IRNazanin"/>
          <w:lang w:bidi="fa-IR"/>
          <w:color w:val="111111"/>
          <w:sz w:val="28"/>
          <w:szCs w:val="28"/>
          <w:rtl/>
        </w:rPr>
        <w:t xml:space="preserve">جنگی است از اشعار از ملا محمد جان قدسی، ملا علیرضا، محمد محیی شکوه بهبهانی (کاتب جنگ)، نگاهی بهبهانی، میرزا صايب ،وقاری، نجفقلی بیک والی، ضمیری، دیباچه تفسیر فی من كلام فیضی (به نثر)، میر نظام، نان و حلوای شیخ بهایی،  طالب، کلیم، غنی کشمیری، عزتی، میر والی، میرزا ابراهیم طاهر، ميرزا رفیع واعظ و جز آنها؛ خط: شکسته نستعلیق خوش، کا: محمد محيى بهبهانی، تا ۶ ربیع الاول ۱۰۰۹ق؛ افتادگی: آغاز؛ مجدول، چهارستونی و سه ستونی ؛جلد: میشن قهوه ای ضربی زرین ،۴۱گ، مختلف السطر، اندازه: ۱۶/۳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۲۴/۷سم [ف:8- 398]</w:t>
      </w:r>
    </w:p>
    <w:p>
      <w:pPr>
        <w:pStyle w:val="BookText"/>
      </w:pPr>
      <w:r>
        <w:rPr>
          <w:rFonts w:ascii="IRNazanin" w:hAnsi="IRNazanin" w:eastAsia="IRNazanin" w:cs="IRNazanin"/>
          <w:lang w:bidi="fa-IR"/>
          <w:color w:val="111111"/>
          <w:sz w:val="28"/>
          <w:szCs w:val="28"/>
          <w:rtl/>
        </w:rPr>
        <w:t xml:space="preserve">۳۳۴. تهران؛ ملک؛ شماره نسخه: ۵۳۰۱</w:t>
      </w:r>
    </w:p>
    <w:p>
      <w:pPr>
        <w:pStyle w:val="BookText"/>
      </w:pPr>
      <w:r>
        <w:rPr>
          <w:rFonts w:ascii="IRNazanin" w:hAnsi="IRNazanin" w:eastAsia="IRNazanin" w:cs="IRNazanin"/>
          <w:lang w:bidi="fa-IR"/>
          <w:color w:val="111111"/>
          <w:sz w:val="28"/>
          <w:szCs w:val="28"/>
          <w:rtl/>
        </w:rPr>
        <w:t xml:space="preserve">شامل: ۱- اشعار ظهیرالدین محمد فاریابی (۱پ-۴پ)،2- گزیده ای از قصاید خاقانی (۵پ -۱۳ر)، ۳- اشعاری از عبدالواسع جبلی (۱۴ر) ،۴- مقاله سوم مخزن الاسرار نظامی (۲۰پ-۱۴پ)، ۵- شعرهایی با عنوان های تعریف حج، تعريف سازها، تعریف عيد (۲۱ ر - ۴۳ ر)، ۶- اشعاری از عبدالرزاق اصفهانی (۴۳پ- ۴۴ر)، ۷- شعرهایی از رشید الدین وطواط ،(۴۴ر)، ۸- شعرهایی از عرفی شیرازی، ۹- شعرهایی از عصمت بخاری، ۱۰- شعرهایی از شرف الدين على یزدی، ۱۱- شعرهایی از حکیم ناصر خسرو، با دیباچه ای در سرگذشت سراینده، ۱۲- شعرهایی از رشید الدین وطواط، ١٣ - خلاصة الخمسة ؛خط: نستعليق، کا: شاه حسین صدرالدین محمد، تا: با تاریخ های ۱۰۰۰ و ۱۰۰۸ و ۱۰۰۹، سطرها راسته چلیپا ؛کاغذ: نوعی ترمه ،جلد: میشن قهوه ای ضربی، ۲۶۶گ، اندازه: 9/8</w:t>
      </w:r>
      <w:r>
        <w:rPr>
          <w:rFonts w:ascii="Times New Roman" w:hAnsi="Times New Roman" w:eastAsia="Times New Roman" w:cs="Times New Roman"/>
          <w:lang w:val="en-US" w:bidi="en-US"/>
          <w:color w:val="111111"/>
          <w:sz w:val="28"/>
          <w:szCs w:val="28"/>
          <w:rtl/>
        </w:rPr>
        <w:t xml:space="preserve">×26</w:t>
      </w:r>
      <w:r>
        <w:rPr>
          <w:rFonts w:ascii="IRNazanin" w:hAnsi="IRNazanin" w:eastAsia="IRNazanin" w:cs="IRNazanin"/>
          <w:lang w:bidi="fa-IR"/>
          <w:color w:val="111111"/>
          <w:sz w:val="28"/>
          <w:szCs w:val="28"/>
          <w:rtl/>
        </w:rPr>
        <w:t xml:space="preserve">سم [ف: ۸ - ۲۷۸]</w:t>
      </w:r>
    </w:p>
    <w:p>
      <w:pPr>
        <w:pStyle w:val="BookText"/>
      </w:pPr>
      <w:r>
        <w:rPr>
          <w:rFonts w:ascii="IRNazanin" w:hAnsi="IRNazanin" w:eastAsia="IRNazanin" w:cs="IRNazanin"/>
          <w:lang w:bidi="fa-IR"/>
          <w:color w:val="111111"/>
          <w:sz w:val="28"/>
          <w:szCs w:val="28"/>
          <w:rtl/>
        </w:rPr>
        <w:t xml:space="preserve">۳۳۵. تهران؛ مجلس؛ شماره نسخه: ۹۰۷/۵</w:t>
      </w:r>
    </w:p>
    <w:p>
      <w:pPr>
        <w:pStyle w:val="BookText"/>
      </w:pPr>
      <w:r>
        <w:rPr>
          <w:rFonts w:ascii="IRNazanin" w:hAnsi="IRNazanin" w:eastAsia="IRNazanin" w:cs="IRNazanin"/>
          <w:lang w:bidi="fa-IR"/>
          <w:color w:val="111111"/>
          <w:sz w:val="28"/>
          <w:szCs w:val="28"/>
          <w:rtl/>
        </w:rPr>
        <w:t xml:space="preserve">خسرو و شیرین (مثنوی)؛ خط: نستعلیق هندی، کا: بلبل کشمیری،تا: ربیع الاول ۱۰۱۰ق؛ ۴۳گ (۱۱۰ر -۱۵۳پ) [مختصر: ف: - ۳۲۹]</w:t>
      </w:r>
    </w:p>
    <w:p>
      <w:pPr>
        <w:pStyle w:val="BookText"/>
      </w:pPr>
      <w:r>
        <w:rPr>
          <w:rFonts w:ascii="IRNazanin" w:hAnsi="IRNazanin" w:eastAsia="IRNazanin" w:cs="IRNazanin"/>
          <w:lang w:bidi="fa-IR"/>
          <w:color w:val="111111"/>
          <w:sz w:val="28"/>
          <w:szCs w:val="28"/>
          <w:rtl/>
        </w:rPr>
        <w:t xml:space="preserve">۳۳۶. تهران؛ دانشگاه؛ شماره نسخه: ۱۱۵۰/۲۲-ف</w:t>
      </w:r>
    </w:p>
    <w:p>
      <w:pPr>
        <w:pStyle w:val="BookText"/>
      </w:pPr>
      <w:r>
        <w:rPr>
          <w:rFonts w:ascii="IRNazanin" w:hAnsi="IRNazanin" w:eastAsia="IRNazanin" w:cs="IRNazanin"/>
          <w:lang w:bidi="fa-IR"/>
          <w:color w:val="111111"/>
          <w:sz w:val="28"/>
          <w:szCs w:val="28"/>
          <w:rtl/>
        </w:rPr>
        <w:t xml:space="preserve">نسخه اصل: بادلیان ۲۸۲۷ وينفيلد ۸. قصيده فارسی است؛ خط: نستعلیق، بی کا، تا: ۱۰۱۲ق، جا: لاهور؛ [فيلمها: ۱ - ۵۷۱]</w:t>
      </w:r>
    </w:p>
    <w:p>
      <w:pPr>
        <w:pStyle w:val="BookText"/>
      </w:pPr>
      <w:r>
        <w:rPr>
          <w:rFonts w:ascii="IRNazanin" w:hAnsi="IRNazanin" w:eastAsia="IRNazanin" w:cs="IRNazanin"/>
          <w:lang w:bidi="fa-IR"/>
          <w:color w:val="111111"/>
          <w:sz w:val="28"/>
          <w:szCs w:val="28"/>
          <w:rtl/>
        </w:rPr>
        <w:t xml:space="preserve">۳۳۷. تهران؛ دانشگاه؛ شماره نسخه: ۱۱۵۰/۳-ف</w:t>
      </w:r>
    </w:p>
    <w:p>
      <w:pPr>
        <w:pStyle w:val="BookText"/>
      </w:pPr>
      <w:r>
        <w:rPr>
          <w:rFonts w:ascii="IRNazanin" w:hAnsi="IRNazanin" w:eastAsia="IRNazanin" w:cs="IRNazanin"/>
          <w:lang w:bidi="fa-IR"/>
          <w:color w:val="111111"/>
          <w:sz w:val="28"/>
          <w:szCs w:val="28"/>
          <w:rtl/>
        </w:rPr>
        <w:t xml:space="preserve">نسخه اصل: بادلیان ۲۸۲۷ وینفیلد 8. شعرهای خاقان است؛ خط: نستعلیق بی کا، تا: ۱۰۱۲ق، جا لاهور [فيلمها: ۱ - ۵۷۰]</w:t>
      </w:r>
    </w:p>
    <w:p>
      <w:pPr>
        <w:pStyle w:val="BookText"/>
      </w:pPr>
      <w:r>
        <w:rPr>
          <w:rFonts w:ascii="IRNazanin" w:hAnsi="IRNazanin" w:eastAsia="IRNazanin" w:cs="IRNazanin"/>
          <w:lang w:bidi="fa-IR"/>
          <w:color w:val="111111"/>
          <w:sz w:val="28"/>
          <w:szCs w:val="28"/>
          <w:rtl/>
        </w:rPr>
        <w:t xml:space="preserve">۳۳۸ .تهران؛ دانشگاه؛ شماره نسخه: ۴۶۷۶/۲</w:t>
      </w:r>
    </w:p>
    <w:p>
      <w:pPr>
        <w:pStyle w:val="BookText"/>
      </w:pPr>
      <w:r>
        <w:rPr>
          <w:rFonts w:ascii="IRNazanin" w:hAnsi="IRNazanin" w:eastAsia="IRNazanin" w:cs="IRNazanin"/>
          <w:lang w:bidi="fa-IR"/>
          <w:color w:val="111111"/>
          <w:sz w:val="28"/>
          <w:szCs w:val="28"/>
          <w:rtl/>
        </w:rPr>
        <w:t xml:space="preserve">رباعیات است ؛خط: نستعلیق، بی کا، تا: ۱۰۱۳ق؛ کاغذ: سپاهانی، جلد: تیماج قهوه ای ضربی، ۳۵ ص ،(74- 109)، ۱۷ سطر (۵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اندازه: 9</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[ف: ۱۴ - ۳۶۲۷]</w:t>
      </w:r>
    </w:p>
    <w:p>
      <w:pPr>
        <w:pStyle w:val="BookText"/>
      </w:pPr>
      <w:r>
        <w:rPr>
          <w:rFonts w:ascii="IRNazanin" w:hAnsi="IRNazanin" w:eastAsia="IRNazanin" w:cs="IRNazanin"/>
          <w:lang w:bidi="fa-IR"/>
          <w:color w:val="111111"/>
          <w:sz w:val="28"/>
          <w:szCs w:val="28"/>
          <w:rtl/>
        </w:rPr>
        <w:t xml:space="preserve">۳۳۹. تهران؛ دانشگاه؛ شماره نسخه: ۲۵۸۹/۴</w:t>
      </w:r>
    </w:p>
    <w:p>
      <w:pPr>
        <w:pStyle w:val="BookText"/>
      </w:pPr>
      <w:r>
        <w:rPr>
          <w:rFonts w:ascii="IRNazanin" w:hAnsi="IRNazanin" w:eastAsia="IRNazanin" w:cs="IRNazanin"/>
          <w:lang w:bidi="fa-IR"/>
          <w:color w:val="111111"/>
          <w:sz w:val="28"/>
          <w:szCs w:val="28"/>
          <w:rtl/>
        </w:rPr>
        <w:t xml:space="preserve">شعرهای: ظهوری ،ضمیری ،شانی، کمال خجندی، اهلی شیرازی، ولی دشت بیاضی، میر حضوری، میر صبری، بابا نفیسی گیلانی، امیر خسرو دهلوی، حکیم شفایی، امیر شجاع الدین محمود (ص ۱۵۷)، ادیب صابر، صفی الدین نیشابوری، احمد جام، ژنده پیل، حاتم کاشی، نگاری، همدم حلوائی، فسونی، حکیم ابوطالب، جنونی ،قندهاری، احمد بیک صوفی، محتشم کاشی، رضا کاشی، بابا فغانی (ص ۱۵۸)، میرزا شرف ثنائی، نظیری ( (ص ۱۵۹)، میرزا محمد مؤمن، غزالی مشهدی، میرزا قلی ( ص ۲۹۲) ،محمد رضا فکری، سوزی ساوجی، نظامی، سنجر کاشی ،خاقانی میروالهی، انوری (ص ۲۹۳)، جمال الدین عبدالرزاق، فخر گورکان، میرزا صادق، شیخ روز بهان، میر عبدالغنی (ص ۲۹۳)، بابا طاهر (ص ۱۱۶)، ملا ولی، امیر خسرو، سعدی، حكيم سنائی (ص۲۹۲)؛ خط: نستعليق، كا: محمد صالح کاشی، تا: مورخ جمادی الاول ۱۰۱۵ق؛ کاغذ: سپاهانی رنگارنگ، جلد: تیماج مشکی ضربی، ۱۷ سطر (۵/۵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۹ - ۱۳۹۴ ]</w:t>
      </w:r>
    </w:p>
    <w:p>
      <w:pPr>
        <w:pStyle w:val="BookText"/>
      </w:pPr>
      <w:r>
        <w:rPr>
          <w:rFonts w:ascii="IRNazanin" w:hAnsi="IRNazanin" w:eastAsia="IRNazanin" w:cs="IRNazanin"/>
          <w:lang w:bidi="fa-IR"/>
          <w:color w:val="111111"/>
          <w:sz w:val="28"/>
          <w:szCs w:val="28"/>
          <w:rtl/>
        </w:rPr>
        <w:t xml:space="preserve">۳۴۰. تهران؛ دانشگاه؛ شماره نسخه: ۳۸۰۰/۱-ف</w:t>
      </w:r>
    </w:p>
    <w:p>
      <w:pPr>
        <w:pStyle w:val="BookText"/>
      </w:pPr>
      <w:r>
        <w:rPr>
          <w:rFonts w:ascii="IRNazanin" w:hAnsi="IRNazanin" w:eastAsia="IRNazanin" w:cs="IRNazanin"/>
          <w:lang w:bidi="fa-IR"/>
          <w:color w:val="111111"/>
          <w:sz w:val="28"/>
          <w:szCs w:val="28"/>
          <w:rtl/>
        </w:rPr>
        <w:t xml:space="preserve">خط: نستعلیق ،کا: نورالدین محمد لاهیجی، تا: ذیقعده ۱۰۲۰ق،
</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میرزا مسعود [ فیلمها: ۲ - ۲۵۰]</w:t>
      </w:r>
    </w:p>
    <w:p>
      <w:pPr>
        <w:pStyle w:val="BookText"/>
      </w:pPr>
      <w:r>
        <w:rPr>
          <w:rFonts w:ascii="Times New Roman" w:hAnsi="Times New Roman" w:eastAsia="Times New Roman" w:cs="Times New Roman"/>
          <w:lang w:val="en-US" w:bidi="en-US"/>
          <w:color w:val="111111"/>
          <w:sz w:val="28"/>
          <w:szCs w:val="28"/>
          <w:rtl/>
        </w:rPr>
        <w:t xml:space="preserve">341.</w:t>
      </w:r>
    </w:p>
    <w:p>
      <w:pPr>
        <w:pStyle w:val="BookText"/>
      </w:pPr>
      <w:r>
        <w:rPr>
          <w:rFonts w:ascii="IRNazanin" w:hAnsi="IRNazanin" w:eastAsia="IRNazanin" w:cs="IRNazanin"/>
          <w:lang w:bidi="fa-IR"/>
          <w:color w:val="111111"/>
          <w:sz w:val="28"/>
          <w:szCs w:val="28"/>
          <w:rtl/>
        </w:rPr>
        <w:t xml:space="preserve">تهران؛ سلطنتی؛ شماره نسخه: ۵۳۳</w:t>
      </w:r>
    </w:p>
    <w:p>
      <w:pPr>
        <w:pStyle w:val="BookText"/>
      </w:pPr>
      <w:r>
        <w:rPr>
          <w:rFonts w:ascii="IRNazanin" w:hAnsi="IRNazanin" w:eastAsia="IRNazanin" w:cs="IRNazanin"/>
          <w:lang w:bidi="fa-IR"/>
          <w:color w:val="111111"/>
          <w:sz w:val="28"/>
          <w:szCs w:val="28"/>
          <w:rtl/>
        </w:rPr>
        <w:t xml:space="preserve">آغاز: دوست میدارد دلم جور و جفای دوست را *** دوستر  از جان و را؛ دل درد و بلای دوست را؛ مثنوی مهر: نگاه خیره عاشق تماشا *** نمک پرورده چشم تمنا؛ انجام: چنین که برزده چابه دامن ناز *** سوی کدام سیه روزگار می گذری؛ پایان مثنوی مهر: از این رخسار گل سیراب می شد *** ز من زلف سخن پرتـاب می شد / پی تاریخ فکر آلود گشتم *** خیال آسا بهر سوز زود گشتم / سخن را می گشودم پرده از چهر *** که ناگه</w:t>
      </w:r>
    </w:p>
    <w:p>
      <w:pPr>
        <w:pStyle w:val="BookText"/>
      </w:pPr>
      <w:r>
        <w:rPr>
          <w:rFonts w:ascii="IRNazanin" w:hAnsi="IRNazanin" w:eastAsia="IRNazanin" w:cs="IRNazanin"/>
          <w:lang w:bidi="fa-IR"/>
          <w:color w:val="111111"/>
          <w:sz w:val="28"/>
          <w:szCs w:val="28"/>
          <w:rtl/>
        </w:rPr>
        <w:t xml:space="preserve">رو نمود این نسخه مهر/ نهال فکر باطل کندم از بیخ *** که هم این نسخه  مهرست تاریخ / الهی این گل باغ محبت *** که بوئی دارد از داغ محبت / نشان تا باشد از گلزار باری*** زنندش بر سر دستار باری/ مبادا هرگز از خاطر فراموش *** بود آرایش دوش و بر دوش/ کند هر کس در این گلشن صبائی *** گل تحسین فشاند بر شفائی</w:t>
      </w:r>
    </w:p>
    <w:p>
      <w:pPr>
        <w:pStyle w:val="BookText"/>
      </w:pPr>
      <w:r>
        <w:rPr>
          <w:rFonts w:ascii="IRNazanin" w:hAnsi="IRNazanin" w:eastAsia="IRNazanin" w:cs="IRNazanin"/>
          <w:lang w:bidi="fa-IR"/>
          <w:color w:val="111111"/>
          <w:sz w:val="28"/>
          <w:szCs w:val="28"/>
          <w:rtl/>
        </w:rPr>
        <w:t xml:space="preserve">شامل غزلیات، فردیات و مثنویات از: کمال الدین اسمعیل اصفهانی، سعدی ،محتشم ،وحشی ،امینی ،ناصح، رضائی، کاشانی، امیر خسرو ،میلی ،خاقانی، حکیم شفائی؛ خط: نستعـلیق خفى، كا: علی رضا، تا: ۱۰۲۴ق؛ افتادگی: آغاز؛ دو قسمت کاملاً مجزا است و از لحاظ جنس کاغذ ورسم الخط و تزئین و تذهـیب یکنواخت نیست قسمت اول كاغذ الوان بدون نام راقم و تاریخ،  قسمت دوم کاغذ اصفهانی ساده و دارای رقم و تاریخ است،از  آغاز مثنوی نسخه مهر حکیم شفائی حداقل یک ورق افتادگی دارد و مجموعه قسمت اول هم ناتمام است و تاریخ کتابت سـال ۱۰۲۴ مربوط به تحریر مثنوی است، مجدول مذهب، یک سرلوح مذهب مرصع مزدوج ممتاز، دارای چهار لچکی مذهب مرصع ممتاز؛ مهر: مشير السلطنه ۱۳۲۲، ناصر الدین شاه قاجار 1274، «عبدالنبی ۱۲۳۳»؛ کاغذ: اصفهانی الوان ،جلد: تیماج یک لا لاکی رنگ، اندرون کاغذ قهوه ای سوخته، ۲۳۸ ص، 7- 12 سطر،قطع: رقعی، اندازه: ۸/۳۰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۱۵/۲سم [ف: ۴ - ۱۱۳۹]</w:t>
      </w:r>
    </w:p>
    <w:p>
      <w:pPr>
        <w:pStyle w:val="BookText"/>
      </w:pPr>
      <w:r>
        <w:rPr>
          <w:rFonts w:ascii="IRNazanin" w:hAnsi="IRNazanin" w:eastAsia="IRNazanin" w:cs="IRNazanin"/>
          <w:lang w:bidi="fa-IR"/>
          <w:color w:val="111111"/>
          <w:sz w:val="28"/>
          <w:szCs w:val="28"/>
          <w:rtl/>
        </w:rPr>
        <w:t xml:space="preserve">۳۴۲. مشهد؛ رضوی؛ شماره نسخه: ۴۹۵۳/۶</w:t>
      </w:r>
    </w:p>
    <w:p>
      <w:pPr>
        <w:pStyle w:val="BookText"/>
      </w:pPr>
      <w:r>
        <w:rPr>
          <w:rFonts w:ascii="IRNazanin" w:hAnsi="IRNazanin" w:eastAsia="IRNazanin" w:cs="IRNazanin"/>
          <w:lang w:bidi="fa-IR"/>
          <w:color w:val="111111"/>
          <w:sz w:val="28"/>
          <w:szCs w:val="28"/>
          <w:rtl/>
        </w:rPr>
        <w:t xml:space="preserve">آغاز: چو زلف عنبر افشانش براطراف ذقن پیچد *** بشاخ سنبلی ماند که برگرد سمن پیچد؛ انجام: از ز هر چشم آب دهند این سیه دلان *** هر نشتری که بررگ جانم فرو کنند</w:t>
      </w:r>
    </w:p>
    <w:p>
      <w:pPr>
        <w:pStyle w:val="BookText"/>
      </w:pPr>
      <w:r>
        <w:rPr>
          <w:rFonts w:ascii="IRNazanin" w:hAnsi="IRNazanin" w:eastAsia="IRNazanin" w:cs="IRNazanin"/>
          <w:lang w:bidi="fa-IR"/>
          <w:color w:val="111111"/>
          <w:sz w:val="28"/>
          <w:szCs w:val="28"/>
          <w:rtl/>
        </w:rPr>
        <w:t xml:space="preserve">غزلیات، منتخبی است از اشعار: شیخ علینقی کمره ای، سعدی، خسرو دهلوی، حسن سجزی ،اشکی ،سنایی، خسرو دهلوی ،عجزی ،مولانای روم، سعدی ،نظیری، حسن سجزی، مجلسی، باقر خرده حیدر ،کلوچ ،ذوقی، روح الله ،آصفی ،لسانی، قدسی، مشهدی ،نیازی ،فیضی ،عصمت ،قانعی، همایون ،سلمان، عزتی ،عاشقی ،ابدال ،نثاری ،آصفی، کمال خجندی ،حیرتی، همایون جامی ،اهلی ،خیالی ،عزتی ،صنعی غزالی ،لسانی، ضمیری، نیکی، شرف، عزتی ،جامی ،شوقی، فراقی ،لسانی ،گلخنی، صفی ،لسانی ،خواجو ،جامی ،نیکی ،احمد ،شفایی ،وحشی، قسمی ،خاقانی ،شوقی، ابن یمین ،وحشی ،جامی ،اقدسی ،محتشم، نقی، ،وحشی ،شجاع، حیرتی، سعدی، جامی، محتشم، فصیحه، خسرو، ،آصفی ،فگاری ،سلمان ،آصفی ،وحشی ،فغانی ،صلحی ،آصفی،شهیدی ،شریف نصیبی ،ولی ،صفایی، انیسی، صفایی، محتشم ،خاقانی ،وحشی ،عرفی ،عراقی ،اوحدی ،خسرو، نقی، سعدی، شریف، شاهی، طفیلی، فرعی، قلی، صالح، وحشی، سعدی، ،جامی ،قسمی، ابوتراب بیگ ،عبید، طفیلی، ملای روم،امیدی، عرفی، سعدی، نقی، اهلی، فغانی، مسعود، مجدهمگر، احمدجام، حسن سجزی ،حیرتی ،صالح ،عرفی، فتاح، سليم، اوحدی،وحشی، صانعی، محتشم، فیضی، جامی، شفایی، ظهوری، عجزی، ،نقی کمال اسمعیل، وحشی ،والهی ،شاهی، قاضی نور، محوی، شفایی، كمال اسمعيل ،اهلی ،مانی ،فغانی، محتشم،شاه عباس  ،ماضی ،نقی ،کمال شرف شفروه، شمس تبریزی ،شوقی ،والهی ،اقدسی ،صالح ،عباسی، حسن سجزی ،غزالی، حیدر ،کلوچ، نقی، حیرانی ،حزنی ،میلی، خیالی ،شفایی ،فیضی، جلال عضد، کمال اسمعيل، مؤمن حسين یزدی ،نقی ،سعدی ،انوری، حاتم ،نظامی ،ویسی ،وحشی ،سعدی، شهیدی ،فقیری حافظ، حیدر ،فدایی، جامی ،نقی ،مانی، نقی، اقدسی، جعفریزدی، محتشم، جامی، ،اقدسی ،فیضی ،کلبی ،حسین شرف بن میرزا ابراهیم ،شریف تبریزی ،خاقانی، کمال اسمعیل، مجدهمگر، اوحدی، اقدسی (ناقص الاخر) ؛خط: نستعلیق، کا: امام ویردی، تا: ۲۰ربیع الثانی  ،۱۰۲۷ق، جا: اصفهان؛ افتادگی: آغاز؛ کاغذ: شکری آهار مهره ،جلد: تیماج مشکی ضربی، ۹۲ ص (۲۸۴-۳۷۶)، ۱۹ سطر (۵/۱۸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۵/۸)،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۲۵/۲سم [ف: ۷ - ۷۷۵]</w:t>
      </w:r>
    </w:p>
    <w:p>
      <w:pPr>
        <w:pStyle w:val="BookText"/>
      </w:pPr>
      <w:r>
        <w:rPr>
          <w:rFonts w:ascii="IRNazanin" w:hAnsi="IRNazanin" w:eastAsia="IRNazanin" w:cs="IRNazanin"/>
          <w:lang w:bidi="fa-IR"/>
          <w:color w:val="111111"/>
          <w:sz w:val="28"/>
          <w:szCs w:val="28"/>
          <w:rtl/>
        </w:rPr>
        <w:t xml:space="preserve">۳۴۳. تهران؛ مجلس؛ شماره نسخه: 229/ 9466</w:t>
      </w:r>
    </w:p>
    <w:p>
      <w:pPr>
        <w:pStyle w:val="BookText"/>
      </w:pPr>
      <w:r>
        <w:rPr>
          <w:rFonts w:ascii="IRNazanin" w:hAnsi="IRNazanin" w:eastAsia="IRNazanin" w:cs="IRNazanin"/>
          <w:lang w:bidi="fa-IR"/>
          <w:color w:val="111111"/>
          <w:sz w:val="28"/>
          <w:szCs w:val="28"/>
          <w:rtl/>
        </w:rPr>
        <w:t xml:space="preserve">زلالی خوانساری ،فطن، بابا نصیبی ؛خط: نستعلیق، کا: محمد حسن ،تا: ۵ رجب ۱۰۳۰ق؛ ۲ ص (۴۸۵ - ۴۸۶) [مختصر: ف: ۶۴]</w:t>
      </w:r>
    </w:p>
    <w:p>
      <w:pPr>
        <w:pStyle w:val="BookText"/>
      </w:pPr>
      <w:r>
        <w:rPr>
          <w:rFonts w:ascii="IRNazanin" w:hAnsi="IRNazanin" w:eastAsia="IRNazanin" w:cs="IRNazanin"/>
          <w:lang w:bidi="fa-IR"/>
          <w:color w:val="111111"/>
          <w:sz w:val="28"/>
          <w:szCs w:val="28"/>
          <w:rtl/>
        </w:rPr>
        <w:t xml:space="preserve">۳۴۴. تهران؛ مجلس؛ شماره نسخه: ۸۸۳۶/۲</w:t>
      </w:r>
    </w:p>
    <w:p>
      <w:pPr>
        <w:pStyle w:val="BookText"/>
      </w:pPr>
      <w:r>
        <w:rPr>
          <w:rFonts w:ascii="IRNazanin" w:hAnsi="IRNazanin" w:eastAsia="IRNazanin" w:cs="IRNazanin"/>
          <w:lang w:bidi="fa-IR"/>
          <w:color w:val="111111"/>
          <w:sz w:val="28"/>
          <w:szCs w:val="28"/>
          <w:rtl/>
        </w:rPr>
        <w:t xml:space="preserve">سروده هایی از مثنویات شفایی، حسین ثنایی، ظهیر فاریابی، نزاری قهستانی، کمال اسمعیل محوی، عرفی فاریابی، نزاری ،قهستانی، کمال اسمعیل، محوی، عرفی شیرازی، انوی، غزلیات قبولی، يحيا، نجيب الدين جر بادقانی ،مولانا ولی، آملی، شیخ فیضی، مثنوی اهلی شیرازی، شیخ نظامی گنجه وی؛ خط: نستعلیق، بی کا، تا: با تاریخ ۱۰۳۳ق؛ کاغذ: فرنگی شکری آهار مهره، جلد: مقوا، با رویه کاغذ ابر پر طاووسی، ۲۸ ص (۱۴۷-۱۷۴)،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۳۲/۵سم [ف: ۲۹/۱ - ۷۸]</w:t>
      </w:r>
    </w:p>
    <w:p>
      <w:pPr>
        <w:pStyle w:val="BookText"/>
      </w:pPr>
      <w:r>
        <w:rPr>
          <w:rFonts w:ascii="IRNazanin" w:hAnsi="IRNazanin" w:eastAsia="IRNazanin" w:cs="IRNazanin"/>
          <w:lang w:bidi="fa-IR"/>
          <w:color w:val="111111"/>
          <w:sz w:val="28"/>
          <w:szCs w:val="28"/>
          <w:rtl/>
        </w:rPr>
        <w:t xml:space="preserve">۳۴۵. تهران؛ مجلس؛ شماره نسخه: ۸۸۳۶/۴</w:t>
      </w:r>
    </w:p>
    <w:p>
      <w:pPr>
        <w:pStyle w:val="BookText"/>
      </w:pPr>
      <w:r>
        <w:rPr>
          <w:rFonts w:ascii="IRNazanin" w:hAnsi="IRNazanin" w:eastAsia="IRNazanin" w:cs="IRNazanin"/>
          <w:lang w:bidi="fa-IR"/>
          <w:color w:val="111111"/>
          <w:sz w:val="28"/>
          <w:szCs w:val="28"/>
          <w:rtl/>
        </w:rPr>
        <w:t xml:space="preserve">اشعاری از ،عسجدی، فلکی شروانی، شاه طاهر دکنی، ظهیر فاریابی (ص ،۲۲۵-۲۶۲) ،انوری، عرفی شیرازی، تموزیه مولانا ،بنایی، مختاری غزنوی، سیف الدین اعرجی، عرفی، کمال اسمعیل ،امیدی ،نظام ،جامی، خواجوی کحرمانی، عبدالواسع جبلی، صاین الدین شیرازی، سراج الدین قمری، ازرقی، نجیب جربادقانی، رفیع الدین لنبانی، بدرالدین جاجرمی، سید حسن غزنوی ،فرخی ،عنصری میر معزی، لامعی جرجانی، فرید الدین
</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احول، ابوالفرج رونی ،عمادی، اثیر اخستکی ،مولانا ولی، امامی هروی، اوحد مراغی، خواجه عماد فقیه، جمال الدین عبدالرزاق، منوچهری، خاقانی؛ خط: نستعلیق، بی کا، تا: با تاریخ 1033ق؛کاغذ: فرنگی شکری آهار مهره، جلد: مقوا، ۱۰۶ ص (223- ۳۲۸)،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۳۲/۵سم [ف: ۲۹/۱ - ۷۹]</w:t>
      </w:r>
    </w:p>
    <w:p>
      <w:pPr>
        <w:pStyle w:val="BookText"/>
      </w:pPr>
      <w:r>
        <w:rPr>
          <w:rFonts w:ascii="IRNazanin" w:hAnsi="IRNazanin" w:eastAsia="IRNazanin" w:cs="IRNazanin"/>
          <w:lang w:bidi="fa-IR"/>
          <w:color w:val="111111"/>
          <w:sz w:val="28"/>
          <w:szCs w:val="28"/>
          <w:rtl/>
        </w:rPr>
        <w:t xml:space="preserve">۳۴۶. تهران؛ دانشگاه؛ شماره نسخه: ۲۵۹۳</w:t>
      </w:r>
    </w:p>
    <w:p>
      <w:pPr>
        <w:pStyle w:val="BookText"/>
      </w:pPr>
      <w:r>
        <w:rPr>
          <w:rFonts w:ascii="IRNazanin" w:hAnsi="IRNazanin" w:eastAsia="IRNazanin" w:cs="IRNazanin"/>
          <w:lang w:bidi="fa-IR"/>
          <w:color w:val="111111"/>
          <w:sz w:val="28"/>
          <w:szCs w:val="28"/>
          <w:rtl/>
        </w:rPr>
        <w:t xml:space="preserve">گرد آورده نورای خوشنویس (ص۱۷۷ و چندین جای دیگر)، خط: عزتی (۳۰ ،۱۹۶)، امینای نجفی (۷۷)، علی خوشنویس اردبیلی (۵۷)، عوض تبریزی (۹۶) در آن دیده می شود، شاعران این جنگ [در فهرست شماره صفحاتی که اشعاری از این شعرا در آن آمده ذکر شده است]: میرزا ابراهیم همدانی، ابوترات بیگ، شاه ابوالقاسم کازرونی، ابواسحق شیرازی، ابوسعید ابوالخیر، ابوالحسین حسینیه، ابوالحسن فراهانی، ابن یمین فریومدی، اثیر اخسیکشی، احمد جام، ادائی مومن حسین یزدی، خان احمد گیلانی، ادیب صابر ترمدی، شیخ آذری، حکیم ارسطو، حکیم ازرقی، حکیم اسدی، اسیر میرزا جلال، اسـعد عمیدالدین، میر اصلی، میرا افضل خواب بین، افضل ترکه، اقدس اقدسی، اکبر شاه هندی، امامی هروی، امیر حسینی ،سادات، امینای نجفی ،انوری، انیسی شاطو، ملا اوجی، اوحدی مراغه ای، او حدی تقی الدین کاشی، اوحدی کرمانی، اهلی شیرازی، ایزدی محـمدشریف، میرزا بابر، بایندرخان، میر ابولحسن، بدخشی، میربرهـان ، بكرات گرجی، بکری میر محمد معصوم، بندار رازی، شیخ بهائی، بهشتی محمود لنگرودی، پرتوی، تایبادی، ملا تسلی، تشبیهی کاشی، ماه تی تی خواهر کامران کهدمی، ثنائی خواجه حسـین مشهدی، جامی، میرزا جانی، جامه باف سید محمد، جاهی ابراهیم میرزا ،میر جعفر کاشی، جعفر خان ولد بهزاد بیگ، جعفری، جلال دوانی، جلال عضد، لابر سلطان احمد، جمالا، جمال الدین عبدالرزاق، جوهری زرگر، جلال عتیقی، حاتم کاشی، حافظ شیرازی، حافظ کمال، حزنی صفاهانی، میرزا حسابی، حس دهلوی، سید حسن غزنوی، حسن قطب سارى، كمال الدین حسین حکیم، سلطان حسین میرزا، درویش حسین یزدی، معزالدین حسین موسوی ،حکیم حیدر گازر سرداری، قاضی میر حسین یزدی ،خاقانی، خسرو دهلوی، خلیلا کاشی، بابا خندان، خیام نیشابوری، ذوقی ملا داعی، میر داماد، دوایی هندی، دوایی لاهیجی، راجی شیرازی، راغب نظری، راهب اردستانی، رضـائی لشتستانی، رضی ،رضایی، رفیع خراسانی، حکیم رکنا، رودکی، روزبه شیرازی ،زکی ،زمان ،زمانا، زلالی خونساری ،زینا علیا، شـیخ زین الدین ابابکر، سارو خواجه ،سالک ،سالکا ،سامان، سـالم محمود بیک، سادات امیر حسینی، سحابی، سدید اعور ،سراج قمری، میرزا محمد سعید، سعدی شیرازی، سعد کل، سـعدا اردستانی، سلطان علی بیگ داروغه رشت ،سلطان محمد، سلطان ولد، سلطان محمد قمی، سلطان علی خوشنویس، سلطان حسین میرزا،  سلمان ساوجی، شاه سلیم ،سلیما، سلیمی، محمد قلی سلـیم،سلیمان، سنجر کاشی، سنایی، سوزنی سمرقندی، سیف اسفرنگ، سیری جرپادقانی، سیمی نیشابوری ،شانی، شاپور طهرانی، شاهی سبزواری ،شجاع، شرف شفروه، قاضی شریف، شریف، شرف تبریزی، خواجه شعیب، شفائی، حکیم شفائی، شفیق بلخی، ملا شکوهی، شکوهی همدانی ،شگونی ،شکیبی، شمس تبریزی، ملا شهاب، شهید به خط خود شاعر، شیخ زاده لاهیجی، شیخ شاه نظر قمشه ای ،صائبا ،صابر ،صالح ،صبری صبوری، صبوری ماسوله ای، صوفی ملا محمد ،ضمیری، یا محمد يوسف، طالب آملی، طالب محمد سمرقندی، بابا طاهر، ملا طبعی، طرزی گیلانی، سلطان طغرل، طغرل تکین، طفیلی، ظریفی ساوجی،ظهوری، ظهیر فاریابی، عاقل ملا محمد، عایشه بنت مقری، عبدی جنابدی ،عبدالباقی، میرزا عبدالله، عبدالواسع جبلی، عبدالحسین به خط خود شاعر، عتیقی جلال، عجزی حسن بیگ، میرزا عرب تبریزی، عزتی میرزا خان به خط خود شاعر، عرفی، عراقی، عصار، عصمت بخاری ،عطار، عطری تبریزی، میر  سید علی همدانی، علینقی کمره ای، علی اردبیلی، میر علیشیر، عماد فقيه، عمعق ،بخارى، عليا، عين القضاة همدانی ،غزالی، احمد غزالی، غیاث حلوایی، غیاث منصور شیرازی، غیاث هروی، غیاثا سراری، غنی عبدالغنی تفرشی، غیرتی، فارغ چلبی، درویش فارغ رودسری، فخر رازی، فدوی محمد رضا، فراقی تبریزی، فردوسی طوسی، فریبی آقا شاپور، فسونی امامقلی ،فصیحی ،فضولی، ملک فطرت ،قمی، فغانی شراری، فکری گیلانی، فنائی لاهیجی، فنائی میر علی شیر، فیضی دکنی، میر قاری لاهیجی، قاسم انوار، قاسم اردستانی، قاسم گنابادی ،قاسمی، قدسی مشهدی، قدس، قدسی تفرشی، قراری گیلانی ،قسمتی ،قسمی، قطب ساری حسن، قطران تبریزی، آقا قوام الدین ،کاتبی، کامی ،گیلانی کاهنا درویش، کریم میر محمد کاظم تفرشی ،کلیم ،کمال اسماعیل اصفهانی، کمالی سبزواری، کمال خجند، حرف لام: لسانی تبریزی لطفای تبریزی، محمد حسین بیگ، محمد حسین ابهری، خواجه محمد حسین مشهدی، محمد حسین تبریزی، میرزا محمد سعید، محمد معصوم، میر محمد معصوم بن میر حیدر، میرزا محمد صالح وزیر، سید محمد نجفی، سید محمد جامه باف ،محوی، محیطی، محمود میر شجاع الدین، محمود میر عماد الدین حکیم، محمود، مرشد، محمود بهشتی لنگرودی، مسعود سعد سلمان، مسیحی، مسیب خان، میر مشتری، مشفقی مروزی، مظفر حسین کاشی، مطربی قزوینی ،معجزی ،معین، امیر معزی ،معزالدین حسین موسوی،مغربی، میر مقصود سبزواری، مقیمای شیرازی، مومن حسین یزدی، میرزا ملک مشرقی، ملک قمی، ملک حمزه سیستانی، ملهمی هندی، منشی میرزا عبدالحسین منشى الممالک، میلی میرزا قلی، میر محمد باقر داماد، میر جمله، میرزا میرانشاه، نادم، نام لاهیجی، نثابوری تبریزی، نجم زرکوب، نجم کبری، نزاری، نذری اردبیلی، نذری کاشی، نصیبی گیلانی، بابا نصیبی، خواجه نصیر طوسی، نصیرای همدانی، نظام دست غیب، ناصر بن محمد
</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الخطیبی، نظامی گنجوی، میرزا نظام نظیر مشهدی، نظیـری نیشابوری، نوعی خبوشانی، نورای خوشنویس، نور قاضی نور اصفهانی، ارثی اردبیلی، واقف خلخالی ،والهی، میر والهی قمی،وحشی بافقى، وحشى کاشی، وصلی جر پادقانی، وقاری ملاخـلیل  لاهیجی، ولی دشت بیاضی، ولی ملا نور الله، هاشمی استرابادی، همام تبریزی، هلالی، یحیی لاهیجی، یحیی قاینی، یحیی نوربخش؛ خط: نستعلیق ،کا: نورا و دیگران؛ تا: 1014- 1033ق؛ فهرست به خط باستانی راد، در ص ۷۷ مینای نجفی غزلی آورده و در دنبال آن نوشته: «حسب الفرموده عالی مقام فرشته احترام استادی نور الانامى فى سابع و عشرين شهر شوال ثلث وثلثين  و الف سمت تحریر یافت حرره قائله»؛ کاغذ: سپاهانی ،جلد: تیماج عنابی ضربی زرکوب،مقوایی، ۱۵۱گ، سطور چلیپا، ابعاد مـتن: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۱۹/۵سم [ف: ۹ - ۱۴۲۳]</w:t>
      </w:r>
    </w:p>
    <w:p>
      <w:pPr>
        <w:pStyle w:val="BookText"/>
      </w:pPr>
      <w:r>
        <w:rPr>
          <w:rFonts w:ascii="IRNazanin" w:hAnsi="IRNazanin" w:eastAsia="IRNazanin" w:cs="IRNazanin"/>
          <w:lang w:bidi="fa-IR"/>
          <w:color w:val="111111"/>
          <w:sz w:val="28"/>
          <w:szCs w:val="28"/>
          <w:rtl/>
        </w:rPr>
        <w:t xml:space="preserve">۳۴۷. تهران؛ مجلس؛ شماره نسخه: ۹۴۶۶/۲۳۶</w:t>
      </w:r>
    </w:p>
    <w:p>
      <w:pPr>
        <w:pStyle w:val="BookText"/>
      </w:pPr>
      <w:r>
        <w:rPr>
          <w:rFonts w:ascii="IRNazanin" w:hAnsi="IRNazanin" w:eastAsia="IRNazanin" w:cs="IRNazanin"/>
          <w:lang w:bidi="fa-IR"/>
          <w:color w:val="111111"/>
          <w:sz w:val="28"/>
          <w:szCs w:val="28"/>
          <w:rtl/>
        </w:rPr>
        <w:t xml:space="preserve">از جمله: ماده تاریخ فتح قندهار از میرزا جانی، تاریخ فتح بغداد از امیر منصور، تاریخ جلوس شاه عباس از میر حیدر معمائی؛ خـط: نستعلیق تحریری، کا: محمد باقر چگنی، به خواهش صاحب مجموعه نظاما احمد، تا: ۷ شعبان ،۱۰۳۵ق 1ص (۲۴۹) [ مختصر: ف: ۶۴]</w:t>
      </w:r>
    </w:p>
    <w:p>
      <w:pPr>
        <w:pStyle w:val="BookText"/>
      </w:pPr>
      <w:r>
        <w:rPr>
          <w:rFonts w:ascii="IRNazanin" w:hAnsi="IRNazanin" w:eastAsia="IRNazanin" w:cs="IRNazanin"/>
          <w:lang w:bidi="fa-IR"/>
          <w:color w:val="111111"/>
          <w:sz w:val="28"/>
          <w:szCs w:val="28"/>
          <w:rtl/>
        </w:rPr>
        <w:t xml:space="preserve">۳۴۸. تهران؛ مجلس؛ شماره نسخه: ۸۸۳۶/۶</w:t>
      </w:r>
    </w:p>
    <w:p>
      <w:pPr>
        <w:pStyle w:val="BookText"/>
      </w:pPr>
      <w:r>
        <w:rPr>
          <w:rFonts w:ascii="IRNazanin" w:hAnsi="IRNazanin" w:eastAsia="IRNazanin" w:cs="IRNazanin"/>
          <w:lang w:bidi="fa-IR"/>
          <w:color w:val="111111"/>
          <w:sz w:val="28"/>
          <w:szCs w:val="28"/>
          <w:rtl/>
        </w:rPr>
        <w:t xml:space="preserve">از : قطران، قسمیات (سوگند نامه) از این چند نفر سوزنی سمرقندی، بدیعی سیفی ،روحانی، مجیر الدین بیلقانی، ادیب صابر، سید حسن غزنوی، جمال الدین عبدالرزاق (ص ۶۶۵-۷۴)، ازرقی ،خاقانی، امامی هروی، رفیع الدین لنبانی، سید حـسن غزنوی، ابوالحسن رودکی، خواجه عصمت بخاری، خواجویط کرمانی، کمال اسمعیل، ملک قمی، ابوالفرج، اثير الدین اخستکی، عبدالواسع جبلی، مجير الدین بیلقانی، شهاب الدین مهره(؟)، رشيد وطواط، حکیم سنایی، عمعق بخاری، انوری، مولانا ولی، سید ذوالفقار شروانی، قاضی نور اصفهانی، فرید الدين احول، اثیر الدین اومانی، بدرالدین جاجرمی؛ امیدی،میر معزی سمرقندی، حشری، خواجه حسین ثنایی، حکیم شفایی ،زکی ،نظامی ،عرفی ،شهیدی ،حضوری، احمد جام، ادیب صـابر سيد اشرف، اثیر الدین اومانی، سیف اسفرنگی، فردوسی طوسی، مولانا شرف الدين تبریزی، خیام؛ خط: نستعلیق تحریری، بی کا، تا: با تاریخ ۱۰۳۵ق؛ کاغذ: فرنگی شکری آهار مهره، جلد: مقوا، ۱۰۵ ص( ۶۶۳-۷۶۸) ،مختلف السطر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۳۲/۵سم [ ف: 1/ 29- 79]</w:t>
      </w:r>
    </w:p>
    <w:p>
      <w:pPr>
        <w:pStyle w:val="BookText"/>
      </w:pPr>
      <w:r>
        <w:rPr>
          <w:rFonts w:ascii="IRNazanin" w:hAnsi="IRNazanin" w:eastAsia="IRNazanin" w:cs="IRNazanin"/>
          <w:lang w:bidi="fa-IR"/>
          <w:color w:val="111111"/>
          <w:sz w:val="28"/>
          <w:szCs w:val="28"/>
          <w:rtl/>
        </w:rPr>
        <w:t xml:space="preserve">349.تهران؛ مجلس؛ شماره نسخه: ۸۸۳۶/۸</w:t>
      </w:r>
    </w:p>
    <w:p>
      <w:pPr>
        <w:pStyle w:val="BookText"/>
      </w:pPr>
      <w:r>
        <w:rPr>
          <w:rFonts w:ascii="IRNazanin" w:hAnsi="IRNazanin" w:eastAsia="IRNazanin" w:cs="IRNazanin"/>
          <w:lang w:bidi="fa-IR"/>
          <w:color w:val="111111"/>
          <w:sz w:val="28"/>
          <w:szCs w:val="28"/>
          <w:rtl/>
        </w:rPr>
        <w:t xml:space="preserve">شامل مثنویات شفایی، شرف الدین شفروه، مسعود سعد سلمان، سید حسن غزنوی ،انوری، بدر الدین جاجرمی، امیر مجدالدین، نجیب الدین جربادقانی، امامی هروی، اثیر الدین اخستكى، فرید الدين احول، مولانا لطيف الدين ،معزى، ركن الدين دعوى دار، ابن خطيب، هلالی، خواجه حسیی ثنایی، خاقانی، حکیم سنایی، کمال اسمعیل ،سراجی، جمال الدین عبدالرزاق، فخرالدین لوبکی، رشید وطواط، فلکی شروانی، مجد همگر، عبدالواسع جبلی، طالب، سیف ،اسفرنگی، نجم الدین سمنانی، ابوالفرج، عثمان مختاری ،غزنوی، قوامی گنجه ای، حسن متكلم، سعدی، عطار ،اوحدی ،حضری شمس الدین صاحی دیوان، مولانا رکنی، نزاری قهستانی ،سیف الدین مراغی، جلال عضد، عرفی شیرازی ،امیدی، شکیبی ،خیام، رضی الدین، بهاء خجندی، ظهیر ،فاریابی سی هاشمی، خواجه افضل، سعید هروی، اثیر الدین، مجير بیلقانی، مولانا شهیدی، قاضی لاهیجی، وقوعی، خواجه عماد فقیه، سوزنی، عنصری ،رودکی، مولانا ساقی، ابن یمین؛ خط: نستعلیق، بی کا، تا: با تاریخ ۱۰۳۵ق؛ کاغذ: فرنگی شکری آهار مهره، جلد: مقوا ،با رویه کاغذ ابر پر طاووسی، ۱۲۰ص (۸۲۱ - ۹۴۰) ، مختلف السطر،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۳۲/۵سم [ف: ۲۹/۱ - ۸۰]</w:t>
      </w:r>
    </w:p>
    <w:p>
      <w:pPr>
        <w:pStyle w:val="BookText"/>
      </w:pPr>
      <w:r>
        <w:rPr>
          <w:rFonts w:ascii="IRNazanin" w:hAnsi="IRNazanin" w:eastAsia="IRNazanin" w:cs="IRNazanin"/>
          <w:lang w:bidi="fa-IR"/>
          <w:color w:val="111111"/>
          <w:sz w:val="28"/>
          <w:szCs w:val="28"/>
          <w:rtl/>
        </w:rPr>
        <w:t xml:space="preserve">۳۵۰. تهران؛ مجلس؛ شماره نسخه: ۱۵۲۳۲/۴۴</w:t>
      </w:r>
    </w:p>
    <w:p>
      <w:pPr>
        <w:pStyle w:val="BookText"/>
      </w:pPr>
      <w:r>
        <w:rPr>
          <w:rFonts w:ascii="IRNazanin" w:hAnsi="IRNazanin" w:eastAsia="IRNazanin" w:cs="IRNazanin"/>
          <w:lang w:bidi="fa-IR"/>
          <w:color w:val="111111"/>
          <w:sz w:val="28"/>
          <w:szCs w:val="28"/>
          <w:rtl/>
        </w:rPr>
        <w:t xml:space="preserve">اشعاری از: سحابی، نواب باقرخان ؛خط: نستعلیق، بی کا، تا: ۱۰۳۵ق، 1گ (۲۱۳پ- ۲۱۴پ) [مختصر: ف: - ۷۲۹]</w:t>
      </w:r>
    </w:p>
    <w:p>
      <w:pPr>
        <w:pStyle w:val="BookText"/>
      </w:pPr>
      <w:r>
        <w:rPr>
          <w:rFonts w:ascii="IRNazanin" w:hAnsi="IRNazanin" w:eastAsia="IRNazanin" w:cs="IRNazanin"/>
          <w:lang w:bidi="fa-IR"/>
          <w:color w:val="111111"/>
          <w:sz w:val="28"/>
          <w:szCs w:val="28"/>
          <w:rtl/>
        </w:rPr>
        <w:t xml:space="preserve">۳۵۱. تهران؛ مجلس؛ شماره نسخه: ۸۸۳۶/۱۰</w:t>
      </w:r>
    </w:p>
    <w:p>
      <w:pPr>
        <w:pStyle w:val="BookText"/>
      </w:pPr>
      <w:r>
        <w:rPr>
          <w:rFonts w:ascii="IRNazanin" w:hAnsi="IRNazanin" w:eastAsia="IRNazanin" w:cs="IRNazanin"/>
          <w:lang w:bidi="fa-IR"/>
          <w:color w:val="111111"/>
          <w:sz w:val="28"/>
          <w:szCs w:val="28"/>
          <w:rtl/>
        </w:rPr>
        <w:t xml:space="preserve">خط: نستعلیق، بی کا، تا: با تاریخ ۱۰۳۵ق؛ کاغذ: فرنگی شکری آهار مهره، جلد: مقوا، با رویه کاغذ ابر پر طاووسی، ۵ص (۹۴۷-  ۹۴۸) و (۹۵۴-۹۵۶)،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۳۲/۵سم [ف:۲۹/۱ - ۸۰]</w:t>
      </w:r>
    </w:p>
    <w:p>
      <w:pPr>
        <w:pStyle w:val="BookText"/>
      </w:pPr>
      <w:r>
        <w:rPr>
          <w:rFonts w:ascii="IRNazanin" w:hAnsi="IRNazanin" w:eastAsia="IRNazanin" w:cs="IRNazanin"/>
          <w:lang w:bidi="fa-IR"/>
          <w:color w:val="111111"/>
          <w:sz w:val="28"/>
          <w:szCs w:val="28"/>
          <w:rtl/>
        </w:rPr>
        <w:t xml:space="preserve">۳۵۲. تهران؛ مجلس؛ شماره نسخه: ۱۳۵۴۸/۷</w:t>
      </w:r>
    </w:p>
    <w:p>
      <w:pPr>
        <w:pStyle w:val="BookText"/>
      </w:pPr>
      <w:r>
        <w:rPr>
          <w:rFonts w:ascii="IRNazanin" w:hAnsi="IRNazanin" w:eastAsia="IRNazanin" w:cs="IRNazanin"/>
          <w:lang w:bidi="fa-IR"/>
          <w:color w:val="111111"/>
          <w:sz w:val="28"/>
          <w:szCs w:val="28"/>
          <w:rtl/>
        </w:rPr>
        <w:t xml:space="preserve">مراثی ؛خط:نسخ، كا: احد بن يوسف بن عبد على بن فياض بن عبد على بن مفضل الخفاجي اصلا الغناقوى مسكنا، تا: سلخ شعبان ۱۰۳۸ق؛ جلد: تیماج مشکی ترنج با سر لچکی مجدول، ۳گ (۱۵۹پ-۱۵۶پ)، ۵-۱۵ 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۱۹/۵سم [ف: ۳۷ - ۴۶]</w:t>
      </w:r>
    </w:p>
    <w:p>
      <w:pPr>
        <w:pStyle w:val="BookText"/>
      </w:pPr>
      <w:r>
        <w:rPr>
          <w:rFonts w:ascii="IRNazanin" w:hAnsi="IRNazanin" w:eastAsia="IRNazanin" w:cs="IRNazanin"/>
          <w:lang w:bidi="fa-IR"/>
          <w:color w:val="111111"/>
          <w:sz w:val="28"/>
          <w:szCs w:val="28"/>
          <w:rtl/>
        </w:rPr>
        <w:t xml:space="preserve">۳۵۳. تهران؛ ملی؛ شماره نسخه: ۲۵۰۱/۱</w:t>
      </w:r>
    </w:p>
    <w:p>
      <w:pPr>
        <w:pStyle w:val="BookText"/>
      </w:pPr>
      <w:r>
        <w:rPr>
          <w:rFonts w:ascii="IRNazanin" w:hAnsi="IRNazanin" w:eastAsia="IRNazanin" w:cs="IRNazanin"/>
          <w:lang w:bidi="fa-IR"/>
          <w:color w:val="111111"/>
          <w:sz w:val="28"/>
          <w:szCs w:val="28"/>
          <w:rtl/>
        </w:rPr>
        <w:t xml:space="preserve">آغاز: الا یا ایها الساقی ادر کاسا و ناولها *** که عشق آسان نمود اول ولی افتاد مشکلها / ای دوست دست حافظ تعویذ چشم زخمست *** یا رب ببینم آنرا در گردنت حمائل</w:t>
      </w:r>
    </w:p>
    <w:p>
      <w:pPr>
        <w:pStyle w:val="BookText"/>
      </w:pPr>
      <w:r>
        <w:rPr>
          <w:rFonts w:ascii="IRNazanin" w:hAnsi="IRNazanin" w:eastAsia="IRNazanin" w:cs="IRNazanin"/>
          <w:lang w:bidi="fa-IR"/>
          <w:color w:val="111111"/>
          <w:sz w:val="28"/>
          <w:szCs w:val="28"/>
          <w:rtl/>
        </w:rPr>
        <w:t xml:space="preserve">درحاشیه به خط حمایلی آمده: غزلیاتی از حافظ، سعدی، بابا فغانی شیرازی، مولانا اهلی شیرازی ،عرفی ،امیر خسرو دهلوی ،شانی ،شهیدی، سید جلال عضد، نوعی خبوشانی، قاضی نور، مولانا حیرانی، امیر هیمون خراسانی، حاجی محمدخان قدسی ،مشهدی، صایبا، مولا شیخ علی نقی؛ خط: نستعلیق خوش، بی کا، تا: ۱۰۴۰ق؛ کاغذ: هندی ،جلد: تیماج قرمز، کوبیده، ترنج و نیم ترنج، مقوایی، سجاف و عطف تیماج مشکی، ۵۶۴ص (حاشیه ۱- ۵۶۴)، ۲۱ سطر (6</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۲۶/۵سم [ف: ۶ - ۱]</w:t>
      </w:r>
    </w:p>
    <w:p>
      <w:pPr>
        <w:pStyle w:val="BookText"/>
      </w:pPr>
      <w:r>
        <w:rPr>
          <w:rFonts w:ascii="IRNazanin" w:hAnsi="IRNazanin" w:eastAsia="IRNazanin" w:cs="IRNazanin"/>
          <w:lang w:bidi="fa-IR"/>
          <w:color w:val="111111"/>
          <w:sz w:val="28"/>
          <w:szCs w:val="28"/>
          <w:rtl/>
        </w:rPr>
        <w:t xml:space="preserve">۳۵۴. مشهد؛ رضوی؛ شماره نسخه: ۱۶۴۷۱</w:t>
      </w:r>
    </w:p>
    <w:p>
      <w:pPr>
        <w:pStyle w:val="BookText"/>
      </w:pPr>
      <w:r>
        <w:rPr>
          <w:rFonts w:ascii="IRNazanin" w:hAnsi="IRNazanin" w:eastAsia="IRNazanin" w:cs="IRNazanin"/>
          <w:lang w:bidi="fa-IR"/>
          <w:color w:val="111111"/>
          <w:sz w:val="28"/>
          <w:szCs w:val="28"/>
          <w:rtl/>
        </w:rPr>
        <w:t xml:space="preserve">آغاز: بیا که ترک فلک خان روزه غارت؛ انجام: چنانکه هر که به سید برجور بگریزد</w:t>
      </w:r>
    </w:p>
    <w:p>
      <w:pPr>
        <w:pStyle w:val="BookText"/>
      </w:pPr>
      <w:r>
        <w:rPr>
          <w:rFonts w:ascii="IRNazanin" w:hAnsi="IRNazanin" w:eastAsia="IRNazanin" w:cs="IRNazanin"/>
          <w:lang w:bidi="fa-IR"/>
          <w:color w:val="111111"/>
          <w:sz w:val="28"/>
          <w:szCs w:val="28"/>
          <w:rtl/>
        </w:rPr>
        <w:t xml:space="preserve">سفینه اشعار شامل غزلیات و رباعیات و قطعات و فردیات و مثنویات است، هر صفحه نسخه دارای سه ستون است که در هر برگ آن یک غزل از حافظ و بقیه ستونها بطرز چلیپائی اشعاری
</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شعرای مختلف نوشته شده و در بعضی فقط به نام شاعر اکتفا شده و شعری از آن ذکر نشده است. شاعران این سفینه به ترتـیب حروف تهجی عبارتند از: انوری، ابوالحسن جرپادقانی، اقدسـی، ابو سعید، ابوتراب بیک، امیر سنجر معما، آصف خان (مثنوی)، الفتی اصفهانی، بابا فغانی، تقی بلیانی اوحدی، تجلی کاشی، جمـال گیلانی ،جفایی ،جوری، جلال زرکش، جلال عضدی، حـسن بیک رفیع، حسين مؤمن، حسنى لاهیجی، حکیم سنایی، حـسن بیک انسی، حیرانی خراسانی، حاتم کاشی، حاجب مشهدی، حكيم ركنا، حاجی فخار مشهدی، حسامی، خاقانی، خان احـمد پادشاه گیلانی، خواجه شعیب، خواجه نصیر، خان خانان، خرمی اصفهانی، در کی قمی، داعی سبزواری، درویش محمد و لنجانی، درویش دهکی، ذوقی اصفهانی، رونقی همدانی، رشیداء کازرونی، روزبهان شیرازی، رضایی کاشی ،ریاضی، رزمی، راغب ،سیری جرپادقانی ،سبحانی، سیف الدین، سعدی، سلطان حسین میرزا، سلمان ساوجی، سلطان ابراهیم میرزا، سید اشرف سمرقندی، شفایی، شاه قاسم انوار، شجاع کاشی ،شهیدی، شکـیبی اصفهانی، شکوهی همدانی، شمسای صلحی، شأنی، شعوری کاشی، شهرت، شاکریف شیخ بهاء الدین، صایب، صیرفی، صـالح کاشی، صبوحی، صلحی، صوفی همدانی، ظهوری ترشیزی، عرفی شیرازی، عزی فیروزآبادی، عرشی یزدی، عماد فـقیه کرمانی، علی نقی کمره ،عزتی ،عجزی، عبدالرزاق گیلانی،</w:t>
      </w:r>
    </w:p>
    <w:p>
      <w:pPr>
        <w:pStyle w:val="BookText"/>
      </w:pPr>
      <w:r>
        <w:rPr>
          <w:rFonts w:ascii="IRNazanin" w:hAnsi="IRNazanin" w:eastAsia="IRNazanin" w:cs="IRNazanin"/>
          <w:lang w:bidi="fa-IR"/>
          <w:color w:val="111111"/>
          <w:sz w:val="28"/>
          <w:szCs w:val="28"/>
          <w:rtl/>
        </w:rPr>
        <w:t xml:space="preserve">عشرتی اصفهانی، عبدالمؤمن خان، فتحی اردستانی ،قدسی، کامی سبزواری، لطفی شیرازی، میر الهی همدانی ،محوی، میر سـعید کاشی، محمود بیک سالم، میرزا فصیحی، میرزا جعفر همدانی، مقیما همدانی، مسعود سعد سلمان، میرزا صادق دست غیـب، محمد شریف طالقانی، میر عطا، محتشم، مجیر بیلقانی، میر عارف قمی ،مطیع، میر سنجر کاشی، میر شوقی ساوجی، ملا محب علی، ميرزا محمد حکیم ،میر حضوری قمی، میر رضی دانش، مرشد قلی سلطان جلایر، مشربی قمی، ملا حاجی تبسی (طبسی)، محـمد امین حسینی قائینی، ملا مرشد بروجردی، ناظم هروی ،نظـام ،وحشى، يحيى لاهیجی. ضمایم عبارتند از: اشعاری از شاعری با تخلص «شهرت» در چند صفحه با امضای «لراقمه، شهرت»، «افکنده تا بطره عنبر فشان گره *** عشاق را فتاده برگ های جان گره / از دیدن تو گریه گره شد بدل چرا *** زد معجز رخ تو بـاب روان گره» (در ۱۷۳ر) اشعاری به خط «محمد امین الحسینی القائینی» در سال ۱۰۴۰ نوشته شده است در یک صفحه «خورشید ز رای من محلا گردد *** آینیه راه من مصفا گردد»، (در ۱۸۹پ) مثنوی «خسرو و شیرین» در بحر هزج از آصف خـان، ميرزا قوام الدین جعفر بن بديع الزمان قزوینی متخلص به «جعـفر» و «جعفری» (- ۱۰۲۱ هـ.ق). در هند می زیسته و به قولی وزیر جهانگیر پادشاه (1014- 1037ق) بوده است، نام مثنوی وی «خسرو و شیرین» و قسمتی «فرهادو «شیرین» نامیده شده و قبل از سال ۹۹۵ ق به پایان رسیده است ابیاتی از مثنوی وی: «خداوندا که اکنون چند گاهست*** که اقلیم سخن بی پادشاهست / درم بی سکه و بی خطبه منبر *** اگر نوبت زنی وقتست جعفر / دختر که شیرین بود نامش*** هزاران یوسف مصری غلامش / سخن را از اثر زان گونه آراست*** که از جا کوهکن بیخواست برخواست / ز پرسشهای گرمش گشت فرهاد *** سراپا آتش و در کوه افتاد / بیا مگذار شیرین را بفرهاد*** که کوه از عشقشان آمد بفرياد / شکر شیرین و خسرو گشت فرهاد *** ملک آمد بیزم خویشتن شاد / چو خسرو را از فیض صبح امید *** شبستان گشت آبستن بخورشید / ز اقبال مساعد هم مدد یافت *** صنم را دل نهاد وصل دریافت». آغاز: «خداوندا رهی از غیب بنمای *** زغیبم چشم دل بر عیب بگشای»، انجام: «چو موج بحر دایم در تک ودو *** چو کشتی با کران باری سبکرو» (ص۳۷۹-۴۴۲)،مثنوی «محمود ایاز» از انیسی شاملو ،علیقلی بیگ (یولقلی)، متوفی در سال ۱۰۱۳ یا ۱۰۱۴ق، ندیم ابراهیم میرزا پسر شاه اسمعیل صفوی ،آغاز: چو گردد صیدگاه عشق بنیاد *** نه صید انجا امان یابد نه صیاد» انجام: «بخود هر دم نوایی ساز میکرد *** حدیثش هر زمان آغاز می کرد».( ص ۴۴۹-۴۶۷)، «دیباچه» فخر الامامی فخرای اصفهانی»، فخرالدین محمد الاصفهانی به نثری زیبا که چند سطری برای نمونه ذکر می شود: «اما بعد چنین گوید، معتکف زاویه نادانی فخرالدین بن محمد الاصفهانی که درین روزگار فرحت آثار که زمان حله جوانی پوشیده و زمین آب زندگانی نوشیده نسیم ربیعی بانفاس عیسوی دم اعجاز زده و نو رسیدگان خلوت ابداع جلوه جمال آغاز نهاده»، آغاز: «بسمله، لطایف حمدی که چون نسایم ربیعی دهان گل را بخنداند و زبان بلبل را بمنطق دلگشا گویا گرداند»، انجام: «بگشادم و از بوادی منام بوادى يقظه افتادم جوانی دیدم» (ص ۴۶۷-۴۷۶)، مثنوی «شکست دست» از طالبای کلیم (ابوطالب کلیم کاشانی) (-۱۰۶۱ یا ،۱۰۶۲ق)، آغاز: «کلیم من داغداری از زمانه *** زهر داغی خدنگی را نشانه»، انجام: «چون شد تقدیر کس می افتد از بام *** اگر گیرد درون چاه آرام» (ص ۴۸۱-۴۸۴)، مثنوی نظیر «ناز و نیاز» ناقص می باشد، آغاز: «ولی از رشک آن پیکان چون روح ***که خورد آن صید و شد درویش مجروح / بلی رشک آتش جانسوز عشقست *** تأسف مرغ دست آموز عشقست»، انجام: «که ای دل گر چه باغم بایدت زیست *** بزی خویش هیچ میدانی غم کیست» (ص ۴۸۷-۴۹۲)، «ساقی نامه» مولانا مرشد بروجردی ملقب به «مرشد خان» از شاعران پارسی گوی قرن ۱۱ق در یک صفحه آغاز:« دلم سوخت بر حال دیوانه *** که می گشت بر گرد «ویرانه» (ص ۴۹۲-۴۹۳)، «ساقی نامه» ملا ظهوری ترشیزی (تعریف اسب، تعریف بازار)، آغاز: «ثنا می کنم ایزد پاک را *** ثریا ده  طارم تارک را»، قصیده ای از جمالای کازرونی با این مطلع: «دردی که ز هجر تست بر جانم *** جز وصل تواش دوا نمیدانم»، قصیده از شأنی تکلو وجیه الدین آقای تکلو متخلص به «شانی» در نیمه دوم سده دهم زندگی می کرد، با این مطلع: «هرگز بسوی ما
</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نگذاری زعار پای *** ما را بخواب بخت و ترا در نگار پای»(ص ۵۲۲-۵۱۹)، قصیده ای از عرفی شیرازی در مدح حکیم ابوالفتح، آغاز: «چهره پرداز جهان رخت کشد چون بجمل *** شب شـود نیم رخ و روز شود مستقبل»( ص ۵۲۲-۵۲۶) قصیده ای از مولانا ولی: با این مطلع: «بگاه دوختن چاک دل ز صعف بدن *** بجـای رشته توانم گذشتن از سوزن» (ص ۵۲۶-۵۲۷) ، قصایدی از انوری (۴ قصیده) در مدح ناصرالدین قتلغ شاه، با این مطلع: «شب و شـمع و شکر و بوی گل وباد بهار *** می و معشوق و دف و رود نی و بوس و کنار»، (ص ۵۲۷-۵۲۹)، قصیده ای از میر عارف قمی،با این مطلع: «بی تو هر ناله که گیرد زلبم اوج تو است *** همـچو طنبور سراپرده دل نغمه سراست»، قصیده از میرزا قلی، قصیده از اقدسی، با این مطلع: «دوش من بودم و کنج غم و صد ناله زار</w:t>
      </w:r>
      <w:r>
        <w:rPr>
          <w:rFonts w:ascii="IRNazanin" w:hAnsi="IRNazanin" w:eastAsia="IRNazanin" w:cs="IRNazanin"/>
          <w:lang w:bidi="fa-IR"/>
          <w:color w:val="111111"/>
          <w:sz w:val="28"/>
          <w:szCs w:val="28"/>
          <w:b w:val="1"/>
          <w:bCs w:val="1"/>
          <w:i w:val="1"/>
          <w:iCs w:val="1"/>
          <w:rtl/>
        </w:rPr>
        <w:t xml:space="preserve">دل پر از غم جگر آغشته بخون سینه فكار» (ص 532- 534)،قصیده ای از طالبای کلیم، با این مطلع: «شرطست بی تو در دل شبها گریستن</w:t>
      </w:r>
      <w:r>
        <w:rPr>
          <w:rFonts w:ascii="IRNazanin" w:hAnsi="IRNazanin" w:eastAsia="IRNazanin" w:cs="IRNazanin"/>
          <w:lang w:bidi="fa-IR"/>
          <w:color w:val="111111"/>
          <w:sz w:val="28"/>
          <w:szCs w:val="28"/>
          <w:rtl/>
        </w:rPr>
        <w:t xml:space="preserve"> کردن بیان شوق و در اثنا گریستن» (ص 538- ۵۴۰)، قصیده «شکایت از رنج سفر» از جمال الدین عبدالرزاق اصفهانی، با این مطلع: «اگر شکایت گویم ز چرخ نیست صواب </w:t>
      </w:r>
      <w:r>
        <w:rPr>
          <w:rFonts w:ascii="IRNazanin" w:hAnsi="IRNazanin" w:eastAsia="IRNazanin" w:cs="IRNazanin"/>
          <w:lang w:bidi="fa-IR"/>
          <w:color w:val="111111"/>
          <w:sz w:val="28"/>
          <w:szCs w:val="28"/>
          <w:b w:val="1"/>
          <w:bCs w:val="1"/>
          <w:i w:val="1"/>
          <w:iCs w:val="1"/>
          <w:rtl/>
        </w:rPr>
        <w:t xml:space="preserve">و گر عتاب کنم با فلک چسود عتاب»، و قصایدی از قطران تبریزی، فیضی، قاضی نوری، امیر معزی، عنصری، حاجی محـمد خان قدسی، ساقی نامه ابوتراب بیک (قسمتی از آن در صفحات اولیه نسخه آورده شده است.)، با این مطلع: «افتم بخیال خط سبز و لب ساغر *** از سبزه جو آراسته بيتم لب جویی» (ص 557- 559)؛ و قصیده ای از میر عارف، با این مطلع: «دلا مدار ز خوبان دهر چشم وفا *** که مهر سیمبران تو است با عنقا» (ص 561- 564)؛ مثنوی از فردوسی: «تو گویی یکی بزم بد چون بهشت</w:t>
      </w:r>
      <w:r>
        <w:rPr>
          <w:rFonts w:ascii="IRNazanin" w:hAnsi="IRNazanin" w:eastAsia="IRNazanin" w:cs="IRNazanin"/>
          <w:lang w:bidi="fa-IR"/>
          <w:color w:val="111111"/>
          <w:sz w:val="28"/>
          <w:szCs w:val="28"/>
          <w:rtl/>
        </w:rPr>
        <w:t xml:space="preserve"> در و باده ناب عنبر سرشت» (ص ۵۷۸ )؛ خط: نستعلیق، بی کا،تا:ربیع الاول ۱۰۴۰ق؛ افتادگی: آغاز و انجام؛ سه ستونه بعـضاً چلیپایی، در دو صفحه این سفینه دو شعر یکی از شاعری تخلص شهرت نوشته شده و دیگر از محمد امین الحسینی قائینی که هر دو نوشته اند به دستور میرزا محمد مقیما، و تاریخ یکی از آنها ربیع الاول ۱۰۴۰ می باشد، مجدول؛ واگذاری بنیادمستضعـفان در شهریور ماه ۱۳۶۷؛ کاغذ: الوان ،جلد: تیماج سرمه ا ی</w:t>
      </w:r>
    </w:p>
    <w:p>
      <w:pPr>
        <w:pStyle w:val="BookText"/>
      </w:pPr>
      <w:r>
        <w:rPr>
          <w:rFonts w:ascii="IRNazanin" w:hAnsi="IRNazanin" w:eastAsia="IRNazanin" w:cs="IRNazanin"/>
          <w:lang w:bidi="fa-IR"/>
          <w:color w:val="111111"/>
          <w:sz w:val="28"/>
          <w:szCs w:val="28"/>
          <w:rtl/>
        </w:rPr>
        <w:t xml:space="preserve">۲۹۱گ، مختلف السطر، اندازه: ۹/۵</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۱۸سم [ف : ۱۷ - ۲۸۸]</w:t>
      </w:r>
    </w:p>
    <w:p>
      <w:pPr>
        <w:pStyle w:val="BookText"/>
      </w:pPr>
      <w:r>
        <w:rPr>
          <w:rFonts w:ascii="IRNazanin" w:hAnsi="IRNazanin" w:eastAsia="IRNazanin" w:cs="IRNazanin"/>
          <w:lang w:bidi="fa-IR"/>
          <w:color w:val="111111"/>
          <w:sz w:val="28"/>
          <w:szCs w:val="28"/>
          <w:rtl/>
        </w:rPr>
        <w:t xml:space="preserve">۳۵۵. تهران؛ مجلس؛ شماره نسخه: ۱۷۶۹۴ ض</w:t>
      </w:r>
    </w:p>
    <w:p>
      <w:pPr>
        <w:pStyle w:val="BookText"/>
      </w:pPr>
      <w:r>
        <w:rPr>
          <w:rFonts w:ascii="IRNazanin" w:hAnsi="IRNazanin" w:eastAsia="IRNazanin" w:cs="IRNazanin"/>
          <w:lang w:bidi="fa-IR"/>
          <w:color w:val="111111"/>
          <w:sz w:val="28"/>
          <w:szCs w:val="28"/>
          <w:rtl/>
        </w:rPr>
        <w:t xml:space="preserve">قصیده در قرائت؛ بی کا، تا: با تاریخ ۱۰۴۱ق [د.ث. مجلس]</w:t>
      </w:r>
    </w:p>
    <w:p>
      <w:pPr>
        <w:pStyle w:val="BookText"/>
      </w:pPr>
      <w:r>
        <w:rPr>
          <w:rFonts w:ascii="IRNazanin" w:hAnsi="IRNazanin" w:eastAsia="IRNazanin" w:cs="IRNazanin"/>
          <w:lang w:bidi="fa-IR"/>
          <w:color w:val="111111"/>
          <w:sz w:val="28"/>
          <w:szCs w:val="28"/>
          <w:rtl/>
        </w:rPr>
        <w:t xml:space="preserve">۳۵۶. قم؛ مرکز مطالعات؛ شماره نسخه: ۱۰۰۸/۲</w:t>
      </w:r>
    </w:p>
    <w:p>
      <w:pPr>
        <w:pStyle w:val="BookText"/>
      </w:pPr>
      <w:r>
        <w:rPr>
          <w:rFonts w:ascii="IRNazanin" w:hAnsi="IRNazanin" w:eastAsia="IRNazanin" w:cs="IRNazanin"/>
          <w:lang w:bidi="fa-IR"/>
          <w:color w:val="111111"/>
          <w:sz w:val="28"/>
          <w:szCs w:val="28"/>
          <w:rtl/>
        </w:rPr>
        <w:t xml:space="preserve">از اشعارشعرای مختلف که بدون ترتیب جمع آوری شده؛ خـط: نستعلیق، کا: اسماعیل همدانی، تا: ۱۰۴۲ق؛ جلد: تیماج قهوه ای ضربی مجدول، ۴۴گ (۲۰ر-۶۳ر)، ۱۱ سطر، اندازه: 8</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سم[ ف: ۲ - ۲۶۷]</w:t>
      </w:r>
    </w:p>
    <w:p>
      <w:pPr>
        <w:pStyle w:val="BookText"/>
      </w:pPr>
      <w:r>
        <w:rPr>
          <w:rFonts w:ascii="IRNazanin" w:hAnsi="IRNazanin" w:eastAsia="IRNazanin" w:cs="IRNazanin"/>
          <w:lang w:bidi="fa-IR"/>
          <w:color w:val="111111"/>
          <w:sz w:val="28"/>
          <w:szCs w:val="28"/>
          <w:rtl/>
        </w:rPr>
        <w:t xml:space="preserve">۳۵۷. تهران؛ ملک؛ شماره نسخه: ۴۶۰۰/۲</w:t>
      </w:r>
    </w:p>
    <w:p>
      <w:pPr>
        <w:pStyle w:val="BookText"/>
      </w:pPr>
      <w:r>
        <w:rPr>
          <w:rFonts w:ascii="IRNazanin" w:hAnsi="IRNazanin" w:eastAsia="IRNazanin" w:cs="IRNazanin"/>
          <w:lang w:bidi="fa-IR"/>
          <w:color w:val="111111"/>
          <w:sz w:val="28"/>
          <w:szCs w:val="28"/>
          <w:rtl/>
        </w:rPr>
        <w:t xml:space="preserve">آغاز: ای گشته نور ذات ز روی تو آشکار *** وی نسخه وجود تو فهرست روزگار؛ انجام: بر رسول و انبیای او سلام *** باد از من شد برین خت کلام گویا در این مجموعه چنانکه در واژه نامه گرگانی (ص ۲۸۰) آمده باید اشارت نامه و بشارت نامه و نامه نامی و توحید نامه وکرسی نامه باشد ولی آشفته است. دیوان اشعار حروفی است در ابتدا دو قصیده است و بعد مثنویات با عناوین و له ايضاً؛ خط: نستعلیق، بی کا ،تا: ۱۰۴۷ق ؛کاغذ: پسته ای و ترمه، جلد: میشن آلبالوئی لبه دار ،۱۱ سطر، 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۱۴/۴سم [ف: ۷ - ۴۳۹]</w:t>
      </w:r>
    </w:p>
    <w:p>
      <w:pPr>
        <w:pStyle w:val="BookText"/>
      </w:pPr>
      <w:r>
        <w:rPr>
          <w:rFonts w:ascii="IRNazanin" w:hAnsi="IRNazanin" w:eastAsia="IRNazanin" w:cs="IRNazanin"/>
          <w:lang w:bidi="fa-IR"/>
          <w:color w:val="111111"/>
          <w:sz w:val="28"/>
          <w:szCs w:val="28"/>
          <w:rtl/>
        </w:rPr>
        <w:t xml:space="preserve">۳۵۸. تهران؛ مجلس؛ شماره نسخه: ۹۵۰۰/۷</w:t>
      </w:r>
    </w:p>
    <w:p>
      <w:pPr>
        <w:pStyle w:val="BookText"/>
      </w:pPr>
      <w:r>
        <w:rPr>
          <w:rFonts w:ascii="IRNazanin" w:hAnsi="IRNazanin" w:eastAsia="IRNazanin" w:cs="IRNazanin"/>
          <w:lang w:bidi="fa-IR"/>
          <w:color w:val="111111"/>
          <w:sz w:val="28"/>
          <w:szCs w:val="28"/>
          <w:rtl/>
        </w:rPr>
        <w:t xml:space="preserve">لفاطمة عليها السلام فى مفارقة النبي (صلّی اللَّهِ علیه وَ آلِهِ وَ سَلَّمَ )؛ خط: نسخ، کا: فضل الله بن مسعود، تا: ۱۰۴۷ق؛ جلد: تیماج قهوه ای، ۱گ (۸پ)، ۲۱سطر [ف: ۳۰ - ۱۷۲]</w:t>
      </w:r>
    </w:p>
    <w:p>
      <w:pPr>
        <w:pStyle w:val="BookText"/>
      </w:pPr>
      <w:r>
        <w:rPr>
          <w:rFonts w:ascii="IRNazanin" w:hAnsi="IRNazanin" w:eastAsia="IRNazanin" w:cs="IRNazanin"/>
          <w:lang w:bidi="fa-IR"/>
          <w:color w:val="111111"/>
          <w:sz w:val="28"/>
          <w:szCs w:val="28"/>
          <w:rtl/>
        </w:rPr>
        <w:t xml:space="preserve">۳۵۹. تهران؛ مجلس؛ شماره نسخه: ۹۵۰۰/۲۰</w:t>
      </w:r>
    </w:p>
    <w:p>
      <w:pPr>
        <w:pStyle w:val="BookText"/>
      </w:pPr>
      <w:r>
        <w:rPr>
          <w:rFonts w:ascii="IRNazanin" w:hAnsi="IRNazanin" w:eastAsia="IRNazanin" w:cs="IRNazanin"/>
          <w:lang w:bidi="fa-IR"/>
          <w:color w:val="111111"/>
          <w:sz w:val="28"/>
          <w:szCs w:val="28"/>
          <w:rtl/>
        </w:rPr>
        <w:t xml:space="preserve">آغاز: لراقمه. در پای جان خلیده دگر خار آبله ***درهم شده است کار دل از کار ابله</w:t>
      </w:r>
    </w:p>
    <w:p>
      <w:pPr>
        <w:pStyle w:val="BookText"/>
      </w:pPr>
      <w:r>
        <w:rPr>
          <w:rFonts w:ascii="IRNazanin" w:hAnsi="IRNazanin" w:eastAsia="IRNazanin" w:cs="IRNazanin"/>
          <w:lang w:bidi="fa-IR"/>
          <w:color w:val="111111"/>
          <w:sz w:val="28"/>
          <w:szCs w:val="28"/>
          <w:rtl/>
        </w:rPr>
        <w:t xml:space="preserve">اشعاری از فضیلی، در رثای فرزندش حیدر در ۱۰۵۲؛ خط: نسخ، كا: فضل الله بن مسعود، تا: ۱۰۴۷ق، جلد: تیماج قهوه ای، ۲۱ سطر [ف: ۳۰ - ۱۷۳]</w:t>
      </w:r>
    </w:p>
    <w:p>
      <w:pPr>
        <w:pStyle w:val="BookText"/>
      </w:pPr>
      <w:r>
        <w:rPr>
          <w:rFonts w:ascii="IRNazanin" w:hAnsi="IRNazanin" w:eastAsia="IRNazanin" w:cs="IRNazanin"/>
          <w:lang w:bidi="fa-IR"/>
          <w:color w:val="111111"/>
          <w:sz w:val="28"/>
          <w:szCs w:val="28"/>
          <w:rtl/>
        </w:rPr>
        <w:t xml:space="preserve">۳۶۰. تهران؛ مجلس؛ شماره نسخه: ۹۵۰۰/۵۰</w:t>
      </w:r>
    </w:p>
    <w:p>
      <w:pPr>
        <w:pStyle w:val="BookText"/>
      </w:pPr>
      <w:r>
        <w:rPr>
          <w:rFonts w:ascii="IRNazanin" w:hAnsi="IRNazanin" w:eastAsia="IRNazanin" w:cs="IRNazanin"/>
          <w:lang w:bidi="fa-IR"/>
          <w:color w:val="111111"/>
          <w:sz w:val="28"/>
          <w:szCs w:val="28"/>
          <w:rtl/>
        </w:rPr>
        <w:t xml:space="preserve">اشعاری از خاقانی شیروانی و صفی الدین اردبیلی؛ خط:نسخ، کا: فضل الله بن مسعود، تا: ۱۰۴۷ق؛ جلد: تیماج قهوه ای، 1گ (۲۲۵ ر)، ۲۱ سطر، اندازه: ۱۱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۲۰سم [ف: ۳۰ - ۱۷۶]</w:t>
      </w:r>
    </w:p>
    <w:p>
      <w:pPr>
        <w:pStyle w:val="BookText"/>
      </w:pPr>
      <w:r>
        <w:rPr>
          <w:rFonts w:ascii="IRNazanin" w:hAnsi="IRNazanin" w:eastAsia="IRNazanin" w:cs="IRNazanin"/>
          <w:lang w:bidi="fa-IR"/>
          <w:color w:val="111111"/>
          <w:sz w:val="28"/>
          <w:szCs w:val="28"/>
          <w:rtl/>
        </w:rPr>
        <w:t xml:space="preserve">۳۶۱. تهران؛ مجلس؛ شماره نسخه: ۱۳۹۳۴/۵۴</w:t>
      </w:r>
    </w:p>
    <w:p>
      <w:pPr>
        <w:pStyle w:val="BookText"/>
      </w:pPr>
      <w:r>
        <w:rPr>
          <w:rFonts w:ascii="IRNazanin" w:hAnsi="IRNazanin" w:eastAsia="IRNazanin" w:cs="IRNazanin"/>
          <w:lang w:bidi="fa-IR"/>
          <w:color w:val="111111"/>
          <w:sz w:val="28"/>
          <w:szCs w:val="28"/>
          <w:rtl/>
        </w:rPr>
        <w:t xml:space="preserve">از محمد اکبر؛ خط: نستعلیق چلیپا،کاتب = مؤلف، تا: ۱۰۴۸ق؛ 8گ (۱۴۶پ-۱۵۳پ) [ف: ۳۷ - ۵۲۴]</w:t>
      </w:r>
    </w:p>
    <w:p>
      <w:pPr>
        <w:pStyle w:val="BookText"/>
      </w:pPr>
      <w:r>
        <w:rPr>
          <w:rFonts w:ascii="IRNazanin" w:hAnsi="IRNazanin" w:eastAsia="IRNazanin" w:cs="IRNazanin"/>
          <w:lang w:bidi="fa-IR"/>
          <w:color w:val="111111"/>
          <w:sz w:val="28"/>
          <w:szCs w:val="28"/>
          <w:rtl/>
        </w:rPr>
        <w:t xml:space="preserve">۳۶۲. یزد؛ کاظمینی؛ شماره نسخه: ۹۱</w:t>
      </w:r>
    </w:p>
    <w:p>
      <w:pPr>
        <w:pStyle w:val="BookText"/>
      </w:pPr>
      <w:r>
        <w:rPr>
          <w:rFonts w:ascii="IRNazanin" w:hAnsi="IRNazanin" w:eastAsia="IRNazanin" w:cs="IRNazanin"/>
          <w:lang w:bidi="fa-IR"/>
          <w:color w:val="111111"/>
          <w:sz w:val="28"/>
          <w:szCs w:val="28"/>
          <w:rtl/>
        </w:rPr>
        <w:t xml:space="preserve">اشعاری از: ابن یمین، معمیات امیر حسین نیشابوری، مقطعات جامی، مقطعات حافظ سعد، رباعیات عمر خیام، رباعیات فدائی نوربخشی، مجموعة المطالع قاضی عیسی، شهیدی شیخ نجم، درویش دهکی، امیر همایون ،فغانی ،نصیبی، قدائی نوربخشی، یقینی نوربخشی ،نوایی ،آصفی ،سهیلی، گلخنی، بنایی، شریفی ،اهلی ،ریاضی ،امیرمقبول ،حیرانی ،صبوحی ،رشیدی ،مانی ،نکویی ،مکتبی ،همایی ،ارشد، غباری، مسعود، محیی، طالبی، آتشی ،وفائی ،صفائی ،لسانی ،فانی، کاتبی، بلخی، طوسی، سعدی ؛خط: نستعلیق، بی کا،تا: غره جمادی الثانی ۱۰۴۹ق) (پایان رباعیات خیام)؛ جلد: تیماج قهوه ای روشن، (۱۶۹گ)، ۱۴ سطر، اندازه: 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۱۶/۵سم [ف: ۱ - ۹۳]</w:t>
      </w:r>
    </w:p>
    <w:p>
      <w:pPr>
        <w:pStyle w:val="BookText"/>
      </w:pPr>
      <w:r>
        <w:rPr>
          <w:rFonts w:ascii="IRNazanin" w:hAnsi="IRNazanin" w:eastAsia="IRNazanin" w:cs="IRNazanin"/>
          <w:lang w:bidi="fa-IR"/>
          <w:color w:val="111111"/>
          <w:sz w:val="28"/>
          <w:szCs w:val="28"/>
          <w:rtl/>
        </w:rPr>
        <w:t xml:space="preserve">۳۶۳. تهران؛ مجلس؛ شماره نسخه: ۲۵۹۵</w:t>
      </w:r>
    </w:p>
    <w:p>
      <w:pPr>
        <w:pStyle w:val="BookText"/>
      </w:pPr>
      <w:r>
        <w:rPr>
          <w:rFonts w:ascii="IRNazanin" w:hAnsi="IRNazanin" w:eastAsia="IRNazanin" w:cs="IRNazanin"/>
          <w:lang w:bidi="fa-IR"/>
          <w:color w:val="111111"/>
          <w:sz w:val="28"/>
          <w:szCs w:val="28"/>
          <w:rtl/>
        </w:rPr>
        <w:t xml:space="preserve">غزل است .نویسنده: فیاض؛ خط: نستعلیق هندی، بی کا، تا: ۱۰۵۰ق؛ ۲ص (۳۴۴-۳۴۶) [ف: ۸ - ۳۳۱]</w:t>
      </w:r>
    </w:p>
    <w:p>
      <w:pPr>
        <w:pStyle w:val="BookText"/>
      </w:pPr>
      <w:r>
        <w:rPr>
          <w:rFonts w:ascii="IRNazanin" w:hAnsi="IRNazanin" w:eastAsia="IRNazanin" w:cs="IRNazanin"/>
          <w:lang w:bidi="fa-IR"/>
          <w:color w:val="111111"/>
          <w:sz w:val="28"/>
          <w:szCs w:val="28"/>
          <w:rtl/>
        </w:rPr>
        <w:t xml:space="preserve">۳۶۴. تهران؛ دانشگاه؛ شماره نسخه: ۲۶۲۱/۱</w:t>
      </w:r>
    </w:p>
    <w:p>
      <w:pPr>
        <w:pStyle w:val="BookText"/>
      </w:pPr>
      <w:r>
        <w:rPr>
          <w:rFonts w:ascii="IRNazanin" w:hAnsi="IRNazanin" w:eastAsia="IRNazanin" w:cs="IRNazanin"/>
          <w:lang w:bidi="fa-IR"/>
          <w:color w:val="111111"/>
          <w:sz w:val="28"/>
          <w:szCs w:val="28"/>
          <w:rtl/>
        </w:rPr>
        <w:t xml:space="preserve">جنگ اشعار: عتاب بن ورق، وحشی، هجران (ص ۱)، قاسم، ،صایب ،قدسی، امیر محمد طاهر طباطبائی، سنایی (۲) ابن الرومی (۱۱)، رباعی قطب شیرازی برای خواجه طوسی و پاسخ او
</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هنگامی که میان ایندو نقاری بوده است (۲۰)، میر محمد حسینای نجفی (۲۷)، شرف الدين على يزدى، تجلی(۱۵۵)، سيد يحـیی (۱۵۶)، ادیب ابوالحسن حازم بن محمد انصاری (۱۶۱)، خیام، ارازی (۱۶۲)، در 1- 34 نثر هست؛ خط: نسخ، کا: محمد بن عبدالحسین آل حسینی نجفی، تا: ۱۰۵۰ق؛ کاغذ: سپاهانی، جـلد: تیماج زرد درون قهوه ای، ۱۹ سطر (۶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  سم[ف: ۹ - ۱۴۹۶]</w:t>
      </w:r>
    </w:p>
    <w:p>
      <w:pPr>
        <w:pStyle w:val="BookText"/>
      </w:pPr>
      <w:r>
        <w:rPr>
          <w:rFonts w:ascii="IRNazanin" w:hAnsi="IRNazanin" w:eastAsia="IRNazanin" w:cs="IRNazanin"/>
          <w:lang w:bidi="fa-IR"/>
          <w:color w:val="111111"/>
          <w:sz w:val="28"/>
          <w:szCs w:val="28"/>
          <w:rtl/>
        </w:rPr>
        <w:t xml:space="preserve">۳۶۵. تهران؛ مجلس؛ شماره نسخه: ۸۹۴۸/۴۹</w:t>
      </w:r>
    </w:p>
    <w:p>
      <w:pPr>
        <w:pStyle w:val="BookText"/>
      </w:pPr>
      <w:r>
        <w:rPr>
          <w:rFonts w:ascii="IRNazanin" w:hAnsi="IRNazanin" w:eastAsia="IRNazanin" w:cs="IRNazanin"/>
          <w:lang w:bidi="fa-IR"/>
          <w:color w:val="111111"/>
          <w:sz w:val="28"/>
          <w:szCs w:val="28"/>
          <w:rtl/>
        </w:rPr>
        <w:t xml:space="preserve">از میرشاهی و طالب کلیم؛ خط: نستعلیق شکسته، کا: خـلیل ذو القدر، تا: ۱۰۵۴ق، جا: احمد آباد گجرات؛ کاغذ: الوان آهار مهره، جلد: تیماج قهوه ای ضربی با ترنج و سرترنج، ۱گ (۲۸۵پ)، اندازه جدول :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۲۳/۵ سطر، اندازه: ۱۴/۴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۲۶/۴سم[ف: 1/ 29 - ۴۴۳]</w:t>
      </w:r>
    </w:p>
    <w:p>
      <w:pPr>
        <w:pStyle w:val="BookText"/>
      </w:pPr>
      <w:r>
        <w:rPr>
          <w:rFonts w:ascii="IRNazanin" w:hAnsi="IRNazanin" w:eastAsia="IRNazanin" w:cs="IRNazanin"/>
          <w:lang w:bidi="fa-IR"/>
          <w:color w:val="111111"/>
          <w:sz w:val="28"/>
          <w:szCs w:val="28"/>
          <w:rtl/>
        </w:rPr>
        <w:t xml:space="preserve">۳۶۶. تهران؛ دانشگاه؛ شماره نسخه: ۷۷۸۲</w:t>
      </w:r>
    </w:p>
    <w:p>
      <w:pPr>
        <w:pStyle w:val="BookText"/>
      </w:pPr>
      <w:r>
        <w:rPr>
          <w:rFonts w:ascii="IRNazanin" w:hAnsi="IRNazanin" w:eastAsia="IRNazanin" w:cs="IRNazanin"/>
          <w:lang w:bidi="fa-IR"/>
          <w:color w:val="111111"/>
          <w:sz w:val="28"/>
          <w:szCs w:val="28"/>
          <w:rtl/>
        </w:rPr>
        <w:t xml:space="preserve">آغاز: دگر زلاله نو رسته کوه فصل بهار *** چو مادریست که فرزند پرورد یکبار؛ انجام: پژمردگیم ز نو بهارم پیداست *** از اول کار آخرم کارم پیداست</w:t>
      </w:r>
    </w:p>
    <w:p>
      <w:pPr>
        <w:pStyle w:val="BookText"/>
      </w:pPr>
      <w:r>
        <w:rPr>
          <w:rFonts w:ascii="IRNazanin" w:hAnsi="IRNazanin" w:eastAsia="IRNazanin" w:cs="IRNazanin"/>
          <w:lang w:bidi="fa-IR"/>
          <w:color w:val="111111"/>
          <w:sz w:val="28"/>
          <w:szCs w:val="28"/>
          <w:rtl/>
        </w:rPr>
        <w:t xml:space="preserve">قصاید ابوتراب بیک، چند بیت دیگر، مثنوی میر رضی آرتیمانی و غزلیات او، ساقی نامه گویا از همو، رباعیات نیز گویا از هـمو؛ خط: نستعلیق، بی کا، تا: پایان ذیقعده ۱۰۵۶ق، به فرموده نصیر اصفهانی؛ با سرلوح، مجدول؛ کاغذ: سپاهانی، جلد: تیماج تریاکی زرکوب، ۹۵گ، ۲۰ سطر (۵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قطع: بغلی،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  سم[ف: ۱۶ - ۶۹۷]</w:t>
      </w:r>
    </w:p>
    <w:p>
      <w:pPr>
        <w:pStyle w:val="BookText"/>
      </w:pPr>
      <w:r>
        <w:rPr>
          <w:rFonts w:ascii="IRNazanin" w:hAnsi="IRNazanin" w:eastAsia="IRNazanin" w:cs="IRNazanin"/>
          <w:lang w:bidi="fa-IR"/>
          <w:color w:val="111111"/>
          <w:sz w:val="28"/>
          <w:szCs w:val="28"/>
          <w:rtl/>
        </w:rPr>
        <w:t xml:space="preserve">۳۶۷. قم؛ مرکز احیاء؛ شماره نسخه: ۲۷۸۶</w:t>
      </w:r>
    </w:p>
    <w:p>
      <w:pPr>
        <w:pStyle w:val="BookText"/>
      </w:pPr>
      <w:r>
        <w:rPr>
          <w:rFonts w:ascii="IRNazanin" w:hAnsi="IRNazanin" w:eastAsia="IRNazanin" w:cs="IRNazanin"/>
          <w:lang w:bidi="fa-IR"/>
          <w:color w:val="111111"/>
          <w:sz w:val="28"/>
          <w:szCs w:val="28"/>
          <w:rtl/>
        </w:rPr>
        <w:t xml:space="preserve">نسخه اصل: کتابخانه مینوی -تهران. مجموعه اشعار فارسی پراکنده ای است، بیشتر در قالب دوبیتی از شاعرانی چون: آذری اسفراینی، اسدی طوسی، اثیر اومانی، امیر خسرو، اثیر اخسیکتی، انوری، اوحدی، افتخار شیرازی، ابوالفتح، ابوسعید ترغش، اردوبادی = میرزا صادق، اوحد الدین کرمانی، ابوالحسن فرمـان ابوالوفای خوارزمی، افضل کاشی، ابراهیم ادهم، امام قلی، ادیب صابر، ابن یمین، ابوالحسن طلحه، الهی همدانی، ابوسعید ابوالخـیر،</w:t>
      </w:r>
    </w:p>
    <w:p>
      <w:pPr>
        <w:pStyle w:val="BookText"/>
      </w:pPr>
      <w:r>
        <w:rPr>
          <w:rFonts w:ascii="IRNazanin" w:hAnsi="IRNazanin" w:eastAsia="IRNazanin" w:cs="IRNazanin"/>
          <w:lang w:bidi="fa-IR"/>
          <w:color w:val="111111"/>
          <w:sz w:val="28"/>
          <w:szCs w:val="28"/>
          <w:rtl/>
        </w:rPr>
        <w:t xml:space="preserve">ابوالحسن فراهانی، انیسی = حسن بیگ، الهی، اسیری=محمد قاسم، ابوالفرج رونی، ابو علی دقاق، بديع بلخى = أبو محمد، بدیع الدين طبيب (طيب)، بابا افضل کاشانی، بهاء الدين محمد عاملی،بجه = ناصر الدین، بابا فغانی، بابا طالب اصفهانی، پیامی  = عبدالسلام، پوریای ولی، تقیای شوشتری، جعفر اصفهانی، جامی، جمال الدین عبدالرزاق، جامه باف= میر سید محمد، جـعفر کاشی، جلا لای نائینی، میر جمیل، جمال الدين، حكيم دوایی، حسام الدین نبیره، حنظله، حکیم عماره، حسن اشرفی، حاتم اصـم، حسین کفری ،حیاتی ،حسن ،دهلوی، حسن غزنوی، حـالی تبریزی، حسن علی یزدی ،خاقانی، خبازی نیشابوری، خان عالم، خلاق المعانى، خسروا لسانی، خواجه ناصر، خیام، دهقان علی شطرنجی ،داعی، دهدار = خواجه محمد، ده ده مغربی، رکنا رضی الدین نیشابوری، رفیع الدین لنبانی، رودکی، رضی عسکری ،روزبهان، رفیع رشتی، رای منوهر، رفیع مرزبان، روحی، رکن الدین رازی، زمانا مشهور، زلالی، زین الدین خوافی، زمانای اردستانی، سنائی، سعدی سراج الدین قمری، سوزنی، سیف الدین باخرزی ،سوادی ،سهیلی ،سلمان، سنجری = فریدالدین، سلطان بایزید فرزند سلطان مظفر، سالک کاشانی، سیفا زرکش یزدی، سحابی، شمس الدین، شاه صفی، شرف الدین شفروه، شیخ مهنه، شانی تکلو، شاه سنجان خانی، شجاع الدین محمود خلیفه، شیخ زاد لاهیجی، صوفی = ملا محمد، صابر اصفهانی، صیدی، صفای شوشتری، صوفی کرمانی، ضیاء الدین محمد کاشی، طالب کلیم،طالب آملی ظهوری، ظهیر فاریابی ،عطار، عراقی، عارف، عقیقی، عصار = ملا محمد، عبید زاکانی، عثمان مختاری، عبدالواسع جبلی، عین القضاة، عبدالغنی، عنصری، عبدالغنی تفرشی، عمادالدین فضل الله، عتیق، علی نقی کمره ای، عبدالحق خوانساری ،میر عبدالله ،عرفی، عبدالرحیم خان خانان، علی نقی جرفادقانی، عارف ایجی، عین علی جرفادقانی، علی لالای قزوینی، علی وافر، علاء الدوله سمنانی، عبدی ابرقویی، عسجدی، عایشه ،مقريه، عماد فقیه ،غضایری، غزالی = محمد، غازی ترخان، غیرتی = میرزا جان ،فخر الاسلام ،فردوسی، فرخی، فرید احوال، ،فصیحی، فسونی = محمود بیگ، فضولی بغدادی، فرید الدین شیرازی، فلکی شیروانی، فدایی نوربخش، فکری = محمدرضا، فغفور لاهیجی، قاسم انوار ،قطران ،قدسی، قاسم کازرونی، قایلی لاهیجی، کمال اسماعیل ،کمال، کاظم کریم، کامی سبزواری، کسری کاشی، لامعی گرگانی ،مولوی، مؤمن يزدى، محب على تته ای، مجد همگر، مجیر سلچقانی،مغربی، ملاجمی، ملک قمی، محمد مقیم کاشی، ملک مشرقی، محمد يحيى ممدوح خاقانی، معز الدین محمد یزدی، منوچهر شصت کلمه، مسیح الزمان، مرغابی = محمد زمان، میر مؤمن ادایی، محمد مؤمن سفره، میر معما، محمد معصوم کاشی، مظفر حسین کاشی، ملک سعید خلخالی ،محوی، نظامی نظام استرآبادی، نصیرالدین طوسی، نظیری نیشابوری، ناجی = محمد تقی، نور صفاهانی، نظام  دست غیب، نثاری تبریزی، نصیرای همدانی، نطقی نیشابوری، ناظم جوهری، نجم الدین دایه ناصرالدین لجه ای، وارسته، وجهی هریوی، وحشی بافقی، وحشی کاشانی، و الهی قمی، ولی نسوی، هلالی، یحیی شیرازی؛ خط: نستعلیق، بی کا، تا: شعبان ۱۰۵۷ق، برای حاجی محمد علی؛ نسخه به چندین خط است، سطرها چلیپا و راسته؛ مهر: «لا اله الا الله الملك الحق المبين عبده محمد شریف» (بیضی)، «يا اشرف من كل شريف» (مربع)، «المتوكل الله عبده محمد شریف»(مربع)؛ ۳۴۲ص، [عکسی ف: ۷- ۳۷۹]</w:t>
      </w:r>
    </w:p>
    <w:p>
      <w:pPr>
        <w:pStyle w:val="BookText"/>
      </w:pPr>
      <w:r>
        <w:rPr>
          <w:rFonts w:ascii="IRNazanin" w:hAnsi="IRNazanin" w:eastAsia="IRNazanin" w:cs="IRNazanin"/>
          <w:lang w:bidi="fa-IR"/>
          <w:color w:val="111111"/>
          <w:sz w:val="28"/>
          <w:szCs w:val="28"/>
          <w:rtl/>
        </w:rPr>
        <w:t xml:space="preserve">۳۶۸. مشهد؛ رضوی؛ شماره نسخه: ۱۲۹۸۱/۱۲</w:t>
      </w:r>
    </w:p>
    <w:p>
      <w:pPr>
        <w:pStyle w:val="BookText"/>
      </w:pPr>
      <w:r>
        <w:rPr>
          <w:rFonts w:ascii="IRNazanin" w:hAnsi="IRNazanin" w:eastAsia="IRNazanin" w:cs="IRNazanin"/>
          <w:lang w:bidi="fa-IR"/>
          <w:color w:val="111111"/>
          <w:sz w:val="28"/>
          <w:szCs w:val="28"/>
          <w:rtl/>
        </w:rPr>
        <w:t xml:space="preserve">اشعاری (غزلیات فردیات) از ملا ،اظهری، میر عبدالواسع، میر محمد باقر داماد (در تاریخ گرفتن بغداد)، خواجه حسین ثنایی، حكيم ركنا، ملاعرفی، نواب خانخانان، رودکی، سعدی، میر
</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غروری کاشی، ملاجامی محمد قاسم، اثيرا خسيكيتى (كذ) ، ميـرزا فصیحی ،قاسمخان، فیضی ،حیرتی ،سنایی، امیر خسرو دهلوی، خواجه محمدرضا فکری، آقا شاپور، مولانا سخاوتی، عطار، ،بابا فغان، میر سنجر میر خسرو ونواب مهابت خان؛ خط: نستعـلیق خوش ،کا: خلیفه صادق ،تا: جمادی الثانی ۱۰۵۸ق؛ مجدول؛ کاغذ: حنایی ،جلد: تیماج قهوه ای، ۱۳ ص( ۶۳-۷۵)، اندازه: ۱۳/۸</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۲۱/۷سم [ف : ۱۷ - ۴۰۴]</w:t>
      </w:r>
    </w:p>
    <w:p>
      <w:pPr>
        <w:pStyle w:val="BookText"/>
      </w:pPr>
      <w:r>
        <w:rPr>
          <w:rFonts w:ascii="IRNazanin" w:hAnsi="IRNazanin" w:eastAsia="IRNazanin" w:cs="IRNazanin"/>
          <w:lang w:bidi="fa-IR"/>
          <w:color w:val="111111"/>
          <w:sz w:val="28"/>
          <w:szCs w:val="28"/>
          <w:rtl/>
        </w:rPr>
        <w:t xml:space="preserve">۳۶۹. تهران؛ مجلس؛ شماره نسخه: ۲۶۶۵/۳۴</w:t>
      </w:r>
    </w:p>
    <w:p>
      <w:pPr>
        <w:pStyle w:val="BookText"/>
      </w:pPr>
      <w:r>
        <w:rPr>
          <w:rFonts w:ascii="IRNazanin" w:hAnsi="IRNazanin" w:eastAsia="IRNazanin" w:cs="IRNazanin"/>
          <w:lang w:bidi="fa-IR"/>
          <w:color w:val="111111"/>
          <w:sz w:val="28"/>
          <w:szCs w:val="28"/>
          <w:rtl/>
        </w:rPr>
        <w:t xml:space="preserve">اشعار پراکنده از: آصفی ،ابوالحسن، اهلی ،ابوالقاسم، ابو تراب بیک، ازرقی امتی ،اوجی ،اقدس ،اسدی ،انیسی ،اسمی، واحدی ،اختری، آصف خان ،آقا رضی، ابن حسام ،آفتی، اخلاص، ابراهيم، الله وردی اردکلو، ابراهیم ساوجی، بابا فغانی، برجی بیک، بهاری قمی ،بابا نصیبی ،بقایی ،بنایی، بهاءالدین محمد ،برهان ،بدیع ،باقر ،باقرا ،تشبیهی ،ثنایی ،جامی ،جلال، جلال عضد، جسمی، جلال الدین، جعفر، حسابی، حکیم عطا، حافظ، حیدرخان، حسن دهلوی، حیدر، حکم شفایی، حریفی، حزین، حمزه خان ،حکاک، خلاق المعانی ،خسرو ،خضری، خواجه شعیب ،خلیل، خواجه محمد، خواجه نصیر طوسی، خلقی تبریزی ،دانش ،در کی ،داعی ،ذهنی ،ذوقی، روزبه ،ریاضی، رونقی ،رشکی ،رمزی ،رکنا ،رضی ،رکنا ،قمی ،رضایی ،رشیدا، رضا ،کاشی ،رسوایی، زکی ،زمانا ،زلالی ،زمانی، سلطان ابراهـیم، سیری ،سعدی ،سالک ،سنجر ،سلیم ،سحابی ،سلمان، سایلا، سنایی ،سلطانعلی ،سابق ،سروری ،سعیدا، سامری ،سراجا، شراری ،شوکتی ،شاهی ،شریف ،شاپور، شاه نظر قمشه ای، شکوهـی، شانی ،شفایی، شعیب، صایب، صايبا ،صالح ،صبری صادق ،ضمیری، طالبا، طالب آملی، طوقی ،طبعی ،طفیلی، طاهرا، ظهوری،عنایت ،عرفی ،عزتی، عبید زاکانی، عبدالله ،عطار ،عصری، علی نقی، عهدی عصمت بخاری، عرشی، عتابی، عبدی، غیاثا، غازی ،غضنفر ،غافل ،غنی غیرتی فصیحی ،فصیح ،فرصتی فهمی ،فغانی ،فیض ،فیضی، فرقتی ،فردوسی، فریبی تهرانی، فتحی ،فردی ،فنایی ،قاسم، قاضی نور ،قاسمی ،قدسی ،قیصر ،قاضی زاده، کلیم کمال اسمعیل ،کامی، کاتبی، کلب حسین، کردی ،کریمی ،کامل ،کاهی، گرگین بیک، گنجی ،لسانی، لطفا تبریزی ،محرم ،مانی میر آلهی ،منصف، میر همایون ،مغربی، موجـی، محسنا ،منصور، میر محمد باقر، ملا جلال، میر سنجر، محمـود بیک، محب علی ،مکتبی، ملا ملک، ملک قمی ،میلی محـمد مؤمن، ميرزا جلال ،مداری، میر عطا، ملا عبدالله، مشفق ،میر معصوم، ملا بنایی، میرزا بدیع، میر محیی، میرزا نظام،محتشم، محمد سعید ،مولوی ،مرشد، ملا عبدی ،مجذوب، تبریزی،میر اوحدی، محمد امینی، میر برهان، میرزا کردی، میرزا عنایت، مرتضی قلی بیک، محمد بیک، میرزا جعفر، میر تشبیهی، محمد صوفی، محمد جان قدسی، میر والهی قمی، ملک مفید ،ملا ولی ،نظامی ،نظیری ،نصیبی ،نوعی ،نادم، نصيرا، نظام عروضی، نظام، نادری، نوعی، ناظم، واجب، والهي، وحشی، ولی، همایون، هاتفى؛ كا: محمد معصوم ، تا: ۱۰۶۰ق؛ کاغذ: سمرقندی الوان، جلد: میشن سیاه، ابعاد متن: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۲۶/۵سم [ف: ۸- ۴۲۱]</w:t>
      </w:r>
    </w:p>
    <w:p>
      <w:pPr>
        <w:pStyle w:val="BookText"/>
      </w:pPr>
      <w:r>
        <w:rPr>
          <w:rFonts w:ascii="IRNazanin" w:hAnsi="IRNazanin" w:eastAsia="IRNazanin" w:cs="IRNazanin"/>
          <w:lang w:bidi="fa-IR"/>
          <w:color w:val="111111"/>
          <w:sz w:val="28"/>
          <w:szCs w:val="28"/>
          <w:rtl/>
        </w:rPr>
        <w:t xml:space="preserve">۳۷۰. تهران؛ ملی؛ شماره نسخه: ۶۹۵۵</w:t>
      </w:r>
    </w:p>
    <w:p>
      <w:pPr>
        <w:pStyle w:val="BookText"/>
      </w:pPr>
      <w:r>
        <w:rPr>
          <w:rFonts w:ascii="IRNazanin" w:hAnsi="IRNazanin" w:eastAsia="IRNazanin" w:cs="IRNazanin"/>
          <w:lang w:bidi="fa-IR"/>
          <w:color w:val="111111"/>
          <w:sz w:val="28"/>
          <w:szCs w:val="28"/>
          <w:rtl/>
        </w:rPr>
        <w:t xml:space="preserve">آغاز: «حمد و بقره ال عمران و نساء و مائده *** بعد از آن انعام و پس اعراف و پس انفال دان»؛ منظومه دوم: شمار سوره بترتيب گویم از قرآن *** چون فاتحه بقره خواندی آل عمران خوان»؛ منظومه سوم: «پس از حمد بقره است پس آل عمران *** نساء مائده آنکه انعام بر خوان»؛ انجام: منظومه اول: «نصر و تبت آنکه اخلاص و فلق بر خوان و ناس *** ختم شد قرآن به ترتیب سور ای نکته دان»؛ منظومه دوم: «ز کافرون گذری نصر و ثبت و اخلاق *** فلق بناس رسید و تمام شد قرآن»؛ منظومه سوم: «دگر کافرون است و نصر است و تبت *** ز اخلاص آنکه فلق ناس بر خوان»</w:t>
      </w:r>
    </w:p>
    <w:p>
      <w:pPr>
        <w:pStyle w:val="BookText"/>
      </w:pPr>
      <w:r>
        <w:rPr>
          <w:rFonts w:ascii="IRNazanin" w:hAnsi="IRNazanin" w:eastAsia="IRNazanin" w:cs="IRNazanin"/>
          <w:lang w:bidi="fa-IR"/>
          <w:color w:val="111111"/>
          <w:sz w:val="28"/>
          <w:szCs w:val="28"/>
          <w:rtl/>
        </w:rPr>
        <w:t xml:space="preserve">سه منظومه است با اوزانی متفاوت که در هر یک بطور جداگانه نام تمام سوره های قرآن را برشمرده است. در منابع موجود نشانی از این اثر نیافتیم به جز الذریعه (۷۶: ۲۳) که از منظومه ای به فارسی تحت عنوان «منظومه فى الاسماء سور القرآن» نام برده که از مؤلف دیگری به نام علیرضا تبیان الملک بن ميرزا داود وقایع نگار تبریزی متولد ۱۲۸۷ق می باشد وآغاز و انجام آن را نیز نیاورده؛ خط: نستعلیق متوسط، بی کا، تا: ۱۰۶۱ق؛ کاتب شاگرد مؤلف بوده و در زمان حيات مؤلف كتابت شده؛ خریداری از مشیری؛ کاغذ: اصفهانی نخودی، جلد: مقوایی با روکش پارچه ای مشکی برجسته، ۲گ (7پ-۸پ) ،17- 19 سطر (5</w:t>
      </w:r>
      <w:r>
        <w:rPr>
          <w:rFonts w:ascii="Times New Roman" w:hAnsi="Times New Roman" w:eastAsia="Times New Roman" w:cs="Times New Roman"/>
          <w:lang w:val="en-US" w:bidi="en-US"/>
          <w:color w:val="111111"/>
          <w:sz w:val="28"/>
          <w:szCs w:val="28"/>
          <w:rtl/>
        </w:rPr>
        <w:t xml:space="preserve">×12/5- 13)</w:t>
      </w:r>
      <w:r>
        <w:rPr>
          <w:rFonts w:ascii="IRNazanin" w:hAnsi="IRNazanin" w:eastAsia="IRNazanin" w:cs="IRNazanin"/>
          <w:lang w:bidi="fa-IR"/>
          <w:color w:val="111111"/>
          <w:sz w:val="28"/>
          <w:szCs w:val="28"/>
          <w:rtl/>
        </w:rPr>
        <w:t xml:space="preserve">، اندازه: ۱۰/۲۲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۱۸/۵سم [ رایانه ]</w:t>
      </w:r>
    </w:p>
    <w:p>
      <w:pPr>
        <w:pStyle w:val="BookText"/>
      </w:pPr>
      <w:r>
        <w:rPr>
          <w:rFonts w:ascii="IRNazanin" w:hAnsi="IRNazanin" w:eastAsia="IRNazanin" w:cs="IRNazanin"/>
          <w:lang w:bidi="fa-IR"/>
          <w:color w:val="111111"/>
          <w:sz w:val="28"/>
          <w:szCs w:val="28"/>
          <w:rtl/>
        </w:rPr>
        <w:t xml:space="preserve">۳۷۱. قم؛ مرعشی؛ شماره نسخه: ۸۳۹۲</w:t>
      </w:r>
    </w:p>
    <w:p>
      <w:pPr>
        <w:pStyle w:val="BookText"/>
      </w:pPr>
      <w:r>
        <w:rPr>
          <w:rFonts w:ascii="IRNazanin" w:hAnsi="IRNazanin" w:eastAsia="IRNazanin" w:cs="IRNazanin"/>
          <w:lang w:bidi="fa-IR"/>
          <w:color w:val="111111"/>
          <w:sz w:val="28"/>
          <w:szCs w:val="28"/>
          <w:rtl/>
        </w:rPr>
        <w:t xml:space="preserve">اشعاری از: محبی، میرزا فصیحی ،سالک ،نظیری، میرزا کافی، میرزا جلال ،شوری، صائب، عرفی، شرف الدین، میر برهان، هلالی، طالب، میر رضی آرتمانی، کمال اسماعیل، قاضی نور، فردوسی، سعدی ،مولوی ،گنجی، آذری، امیدی، ملا نظام، شفائی، ابن یمین ،صابر، میرزا صادق دست غیب؛ خط: نستعلیق خوش، کا: شفیع، تا: ۱۰۶۴ق( پایان صفحه ۷۳)؛ با سرلوح زرین، نیمه دوم صفحه ها مجدول، سطور چلیپا؛ جلد: تیماج قهوه ای، ۵۲گ، مختلف السطر، اندازه: ۱۱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۲۳سم [ف: ۲۱ -۳۶۰]</w:t>
      </w:r>
    </w:p>
    <w:p>
      <w:pPr>
        <w:pStyle w:val="BookText"/>
      </w:pPr>
      <w:r>
        <w:rPr>
          <w:rFonts w:ascii="IRNazanin" w:hAnsi="IRNazanin" w:eastAsia="IRNazanin" w:cs="IRNazanin"/>
          <w:lang w:bidi="fa-IR"/>
          <w:color w:val="111111"/>
          <w:sz w:val="28"/>
          <w:szCs w:val="28"/>
          <w:rtl/>
        </w:rPr>
        <w:t xml:space="preserve">۳۷۲. تهران؛ دانشگاه؛ شماره نسخه: ۱۲۲۸/۸-ف</w:t>
      </w:r>
    </w:p>
    <w:p>
      <w:pPr>
        <w:pStyle w:val="BookText"/>
      </w:pPr>
      <w:r>
        <w:rPr>
          <w:rFonts w:ascii="IRNazanin" w:hAnsi="IRNazanin" w:eastAsia="IRNazanin" w:cs="IRNazanin"/>
          <w:lang w:bidi="fa-IR"/>
          <w:color w:val="111111"/>
          <w:sz w:val="28"/>
          <w:szCs w:val="28"/>
          <w:rtl/>
        </w:rPr>
        <w:t xml:space="preserve">نسخه اصل: بادلیان ۳۷۸ اوزلی ش (۲۶۳). جنگ اشعار فارسی است و چند بند منثور گردآوری سهراب بیک؛ خط: نستعلیق، بی کا، تا :۱۰۶۷ق [فيلمها: ۱ - ۵۸۱]</w:t>
      </w:r>
    </w:p>
    <w:p>
      <w:pPr>
        <w:pStyle w:val="BookText"/>
      </w:pPr>
      <w:r>
        <w:rPr>
          <w:rFonts w:ascii="IRNazanin" w:hAnsi="IRNazanin" w:eastAsia="IRNazanin" w:cs="IRNazanin"/>
          <w:lang w:bidi="fa-IR"/>
          <w:color w:val="111111"/>
          <w:sz w:val="28"/>
          <w:szCs w:val="28"/>
          <w:rtl/>
        </w:rPr>
        <w:t xml:space="preserve">۳۷۳. تهران؛ سعید نفیسی؛ شماره نسخه: ۴۱</w:t>
      </w:r>
    </w:p>
    <w:p>
      <w:pPr>
        <w:pStyle w:val="BookText"/>
      </w:pPr>
      <w:r>
        <w:rPr>
          <w:rFonts w:ascii="IRNazanin" w:hAnsi="IRNazanin" w:eastAsia="IRNazanin" w:cs="IRNazanin"/>
          <w:lang w:bidi="fa-IR"/>
          <w:color w:val="111111"/>
          <w:sz w:val="28"/>
          <w:szCs w:val="28"/>
          <w:rtl/>
        </w:rPr>
        <w:t xml:space="preserve">جنگ اشعار است؛ بی کا، تا: ۱۰۶۸ق [نشریه: ۷ - ۶۸۸]</w:t>
      </w:r>
    </w:p>
    <w:p>
      <w:pPr>
        <w:pStyle w:val="BookText"/>
      </w:pPr>
      <w:r>
        <w:rPr>
          <w:rFonts w:ascii="IRNazanin" w:hAnsi="IRNazanin" w:eastAsia="IRNazanin" w:cs="IRNazanin"/>
          <w:lang w:bidi="fa-IR"/>
          <w:color w:val="111111"/>
          <w:sz w:val="28"/>
          <w:szCs w:val="28"/>
          <w:rtl/>
        </w:rPr>
        <w:t xml:space="preserve">۳۷۴. قم؛ گلپایگانی؛ شماره نسخه: 1/ 896/ 186/ 5</w:t>
      </w:r>
    </w:p>
    <w:p>
      <w:pPr>
        <w:pStyle w:val="BookText"/>
      </w:pPr>
      <w:r>
        <w:rPr>
          <w:rFonts w:ascii="IRNazanin" w:hAnsi="IRNazanin" w:eastAsia="IRNazanin" w:cs="IRNazanin"/>
          <w:lang w:bidi="fa-IR"/>
          <w:color w:val="111111"/>
          <w:sz w:val="28"/>
          <w:szCs w:val="28"/>
          <w:rtl/>
        </w:rPr>
        <w:t xml:space="preserve">آغاز: برتر از کار این جهانی تو *** حاش لله نه این نه آنی تو / چون شود مغز معرفت *** همه دانند کین قفاست نه روست؛
</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انجام: حسن و قبح جهان بود عقلی*** لیک مکشوف ... شرعی/ لیکن آنجا که طور آگاهی است *** خوب اگر غور می کنی شاهی است.</w:t>
      </w:r>
    </w:p>
    <w:p>
      <w:pPr>
        <w:pStyle w:val="BookText"/>
      </w:pPr>
      <w:r>
        <w:rPr>
          <w:rFonts w:ascii="IRNazanin" w:hAnsi="IRNazanin" w:eastAsia="IRNazanin" w:cs="IRNazanin"/>
          <w:lang w:bidi="fa-IR"/>
          <w:color w:val="111111"/>
          <w:sz w:val="28"/>
          <w:szCs w:val="28"/>
          <w:rtl/>
        </w:rPr>
        <w:t xml:space="preserve">اشعاری است در قالب چند قصیده و مثنوی از جمله در مدح و منقبت امیرالمؤمنین (علیه السّلام) که قضیه رد شمس را به شعر کشیـده؛ تخلصی در شعرها به چشم نمی خورد؛ خط: نستعلیق، کا: محـمد طاهر حسینی، تا: ۱۵ ذیحجه ۱۰۶۹ق؛ افتادگی: آغاز؛ مجدول مشکی و مذهب ؛جلد: تیماج قهوه ای، ۳۷گ، ۱۱ سطر، 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۶ - ۳۲۰۰]</w:t>
      </w:r>
    </w:p>
    <w:p>
      <w:pPr>
        <w:pStyle w:val="BookText"/>
      </w:pPr>
      <w:r>
        <w:rPr>
          <w:rFonts w:ascii="IRNazanin" w:hAnsi="IRNazanin" w:eastAsia="IRNazanin" w:cs="IRNazanin"/>
          <w:lang w:bidi="fa-IR"/>
          <w:color w:val="111111"/>
          <w:sz w:val="28"/>
          <w:szCs w:val="28"/>
          <w:rtl/>
        </w:rPr>
        <w:t xml:space="preserve">۳۷۵. تهران؛ مجلس؛ شماره نسخه: ۸۹۰۴/۱۷</w:t>
      </w:r>
    </w:p>
    <w:p>
      <w:pPr>
        <w:pStyle w:val="BookText"/>
      </w:pPr>
      <w:r>
        <w:rPr>
          <w:rFonts w:ascii="IRNazanin" w:hAnsi="IRNazanin" w:eastAsia="IRNazanin" w:cs="IRNazanin"/>
          <w:lang w:bidi="fa-IR"/>
          <w:color w:val="111111"/>
          <w:sz w:val="28"/>
          <w:szCs w:val="28"/>
          <w:rtl/>
        </w:rPr>
        <w:t xml:space="preserve">یک بیت از شاه عباس صفوی (۳ر)، از شیخ فریدالدین عطار، ظهیر فاریابی و ابوالعینا؛ خط: نسخ و نستعلیق وتحریری، کا: کلب على بن جواد کاظمی، تا: با تاریخ ۱۰۷۲ق، ۱گ (۳ر)، اندازه: ۱۴/۹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۲۵/۳سم [ف: ۲۹/۱ - ۲۸۱]</w:t>
      </w:r>
    </w:p>
    <w:p>
      <w:pPr>
        <w:pStyle w:val="BookText"/>
      </w:pPr>
      <w:r>
        <w:rPr>
          <w:rFonts w:ascii="IRNazanin" w:hAnsi="IRNazanin" w:eastAsia="IRNazanin" w:cs="IRNazanin"/>
          <w:lang w:bidi="fa-IR"/>
          <w:color w:val="111111"/>
          <w:sz w:val="28"/>
          <w:szCs w:val="28"/>
          <w:rtl/>
        </w:rPr>
        <w:t xml:space="preserve">۳۷۶. تهران؛ مجلس؛ شماره نسخه ۱۰۳۷۴/۱</w:t>
      </w:r>
    </w:p>
    <w:p>
      <w:pPr>
        <w:pStyle w:val="BookText"/>
      </w:pPr>
      <w:r>
        <w:rPr>
          <w:rFonts w:ascii="IRNazanin" w:hAnsi="IRNazanin" w:eastAsia="IRNazanin" w:cs="IRNazanin"/>
          <w:lang w:bidi="fa-IR"/>
          <w:color w:val="111111"/>
          <w:sz w:val="28"/>
          <w:szCs w:val="28"/>
          <w:rtl/>
        </w:rPr>
        <w:t xml:space="preserve">آغاز: آغاز غزل اول: تا کرد تا شاه عشق به ملک دلم نزول... آغاز غزل دوم ... روشن ز ماه روی تو شد منزل دلم..؛</w:t>
      </w:r>
    </w:p>
    <w:p>
      <w:pPr>
        <w:pStyle w:val="BookText"/>
      </w:pPr>
      <w:r>
        <w:rPr>
          <w:rFonts w:ascii="IRNazanin" w:hAnsi="IRNazanin" w:eastAsia="IRNazanin" w:cs="IRNazanin"/>
          <w:lang w:bidi="fa-IR"/>
          <w:color w:val="111111"/>
          <w:sz w:val="28"/>
          <w:szCs w:val="28"/>
          <w:rtl/>
        </w:rPr>
        <w:t xml:space="preserve">دو غزل؛ خط: نسخ و نستعلیق تحریری، بی کا، تا: ۱۲ جما الاول ۱۰۷۲ق؛ جلد: تیماج ۲۱ سطر ،اندازه: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۲۲/۵سم [ف: 32- 319]</w:t>
      </w:r>
    </w:p>
    <w:p>
      <w:pPr>
        <w:pStyle w:val="BookText"/>
      </w:pPr>
      <w:r>
        <w:rPr>
          <w:rFonts w:ascii="IRNazanin" w:hAnsi="IRNazanin" w:eastAsia="IRNazanin" w:cs="IRNazanin"/>
          <w:lang w:bidi="fa-IR"/>
          <w:color w:val="111111"/>
          <w:sz w:val="28"/>
          <w:szCs w:val="28"/>
          <w:rtl/>
        </w:rPr>
        <w:t xml:space="preserve">۳۷۷. تهران؛ مجلس؛ شماره نسخه: ۱۰۳۷۴/۴</w:t>
      </w:r>
    </w:p>
    <w:p>
      <w:pPr>
        <w:pStyle w:val="BookText"/>
      </w:pPr>
      <w:r>
        <w:rPr>
          <w:rFonts w:ascii="IRNazanin" w:hAnsi="IRNazanin" w:eastAsia="IRNazanin" w:cs="IRNazanin"/>
          <w:lang w:bidi="fa-IR"/>
          <w:color w:val="111111"/>
          <w:sz w:val="28"/>
          <w:szCs w:val="28"/>
          <w:rtl/>
        </w:rPr>
        <w:t xml:space="preserve">آغاز: جهان را به نیست ماوا بود*** که جانم از می عشق تو مست و شیدا بود؛ انجام: دولت وصل تو چون جان اسیری دریافت*** دل که فارغ ز غم منصب و مال جاهست</w:t>
      </w:r>
    </w:p>
    <w:p>
      <w:pPr>
        <w:pStyle w:val="BookText"/>
      </w:pPr>
      <w:r>
        <w:rPr>
          <w:rFonts w:ascii="IRNazanin" w:hAnsi="IRNazanin" w:eastAsia="IRNazanin" w:cs="IRNazanin"/>
          <w:lang w:bidi="fa-IR"/>
          <w:color w:val="111111"/>
          <w:sz w:val="28"/>
          <w:szCs w:val="28"/>
          <w:rtl/>
        </w:rPr>
        <w:t xml:space="preserve">غزلیات؛ خط: نسخ و نستعلیق تحریری، بی کا، تا: ۱۲ جمادی الاول ۱۰۷۲ق؛ جلد: تیماج، ۲۱سطر، اندازه: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۲۲/۵سم [ف: 32- 349]</w:t>
      </w:r>
    </w:p>
    <w:p>
      <w:pPr>
        <w:pStyle w:val="BookText"/>
      </w:pPr>
      <w:r>
        <w:rPr>
          <w:rFonts w:ascii="IRNazanin" w:hAnsi="IRNazanin" w:eastAsia="IRNazanin" w:cs="IRNazanin"/>
          <w:lang w:bidi="fa-IR"/>
          <w:color w:val="111111"/>
          <w:sz w:val="28"/>
          <w:szCs w:val="28"/>
          <w:rtl/>
        </w:rPr>
        <w:t xml:space="preserve">۳۷۸. قم؛ گلپایگانی؛ شماره نسخه: 2/ 69- 69/ 1</w:t>
      </w:r>
    </w:p>
    <w:p>
      <w:pPr>
        <w:pStyle w:val="BookText"/>
      </w:pPr>
      <w:r>
        <w:rPr>
          <w:rFonts w:ascii="IRNazanin" w:hAnsi="IRNazanin" w:eastAsia="IRNazanin" w:cs="IRNazanin"/>
          <w:lang w:bidi="fa-IR"/>
          <w:color w:val="111111"/>
          <w:sz w:val="28"/>
          <w:szCs w:val="28"/>
          <w:rtl/>
        </w:rPr>
        <w:t xml:space="preserve">آغاز: بسمله ای دفتر حسن تو را مجموعه خط و فالها </w:t>
      </w:r>
      <w:r>
        <w:rPr>
          <w:rFonts w:ascii="Times New Roman" w:hAnsi="Times New Roman" w:eastAsia="Times New Roman" w:cs="Times New Roman"/>
          <w:lang w:val="en-US" w:bidi="en-US"/>
          <w:color w:val="111111"/>
          <w:sz w:val="28"/>
          <w:szCs w:val="28"/>
          <w:rtl/>
        </w:rPr>
        <w:t xml:space="preserve">xx </w:t>
      </w:r>
      <w:r>
        <w:rPr>
          <w:rFonts w:ascii="IRNazanin" w:hAnsi="IRNazanin" w:eastAsia="IRNazanin" w:cs="IRNazanin"/>
          <w:lang w:bidi="fa-IR"/>
          <w:color w:val="111111"/>
          <w:sz w:val="28"/>
          <w:szCs w:val="28"/>
          <w:rtl/>
        </w:rPr>
        <w:t xml:space="preserve">تفصـیلها پنهان شدهدر پرده اجمالها / پیشانی عفو تو را پرچین نسازد جرم ما***  آیینه کی برهم خورد از زشتی تمثالها ؛انجام: ادب مجموعه حسن جمال است*** به یاری در کمال اعتدال است/ سخن با مجرمان باید چنان گفت*** که با اغیار در مجلس توان گفت</w:t>
      </w:r>
    </w:p>
    <w:p>
      <w:pPr>
        <w:pStyle w:val="BookText"/>
      </w:pPr>
      <w:r>
        <w:rPr>
          <w:rFonts w:ascii="IRNazanin" w:hAnsi="IRNazanin" w:eastAsia="IRNazanin" w:cs="IRNazanin"/>
          <w:lang w:bidi="fa-IR"/>
          <w:color w:val="111111"/>
          <w:sz w:val="28"/>
          <w:szCs w:val="28"/>
          <w:rtl/>
        </w:rPr>
        <w:t xml:space="preserve">جنگ اشعار است، در حاشیه دیوان عرفی، اشعار بسیاری از شعرای مختلف همچون صائب تبریزی و خواجوی کرمانی و دیگران هست؛ خط: نستعلیق، بی کا، تا: ۱۰۷۳ق؛ ۲۹۲گ،  16سطر،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۲۳/۵سم [ف: ۳ - ۱۲۲۸]</w:t>
      </w:r>
    </w:p>
    <w:p>
      <w:pPr>
        <w:pStyle w:val="BookText"/>
      </w:pPr>
      <w:r>
        <w:rPr>
          <w:rFonts w:ascii="IRNazanin" w:hAnsi="IRNazanin" w:eastAsia="IRNazanin" w:cs="IRNazanin"/>
          <w:lang w:bidi="fa-IR"/>
          <w:color w:val="111111"/>
          <w:sz w:val="28"/>
          <w:szCs w:val="28"/>
          <w:rtl/>
        </w:rPr>
        <w:t xml:space="preserve">۳۷۹. مشهد؛ الهیات؛ شماره نسخه: ۷۷۸/۴</w:t>
      </w:r>
    </w:p>
    <w:p>
      <w:pPr>
        <w:pStyle w:val="BookText"/>
      </w:pPr>
      <w:r>
        <w:rPr>
          <w:rFonts w:ascii="IRNazanin" w:hAnsi="IRNazanin" w:eastAsia="IRNazanin" w:cs="IRNazanin"/>
          <w:lang w:bidi="fa-IR"/>
          <w:color w:val="111111"/>
          <w:sz w:val="28"/>
          <w:szCs w:val="28"/>
          <w:rtl/>
        </w:rPr>
        <w:t xml:space="preserve">خط: نستعليق، كا: عبد الكريم بن محمد حسین ازغندی، تا صـفر ۱۰۷۴ق؛ جلد: تیماج مشکی، ۴گ،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۲۴سم [ف: ۱ - 456]</w:t>
      </w:r>
    </w:p>
    <w:p>
      <w:pPr>
        <w:pStyle w:val="BookText"/>
      </w:pPr>
      <w:r>
        <w:rPr>
          <w:rFonts w:ascii="IRNazanin" w:hAnsi="IRNazanin" w:eastAsia="IRNazanin" w:cs="IRNazanin"/>
          <w:lang w:bidi="fa-IR"/>
          <w:color w:val="111111"/>
          <w:sz w:val="28"/>
          <w:szCs w:val="28"/>
          <w:rtl/>
        </w:rPr>
        <w:t xml:space="preserve">۳۸۰ . مشهد؛ رضوی؛ شماره نسخه: ۱۳۴۲۴/۹</w:t>
      </w:r>
    </w:p>
    <w:p>
      <w:pPr>
        <w:pStyle w:val="BookText"/>
      </w:pPr>
      <w:r>
        <w:rPr>
          <w:rFonts w:ascii="IRNazanin" w:hAnsi="IRNazanin" w:eastAsia="IRNazanin" w:cs="IRNazanin"/>
          <w:lang w:bidi="fa-IR"/>
          <w:color w:val="111111"/>
          <w:sz w:val="28"/>
          <w:szCs w:val="28"/>
          <w:rtl/>
        </w:rPr>
        <w:t xml:space="preserve">آغاز: شکر و سپاس صامعی را سزاست؛ انجام: تمت انتخـاب خمسه حکیم ... نظامی گنجه ئی ... فی شهر شوال سنه ۰۱۰۷۱</w:t>
      </w:r>
    </w:p>
    <w:p>
      <w:pPr>
        <w:pStyle w:val="BookText"/>
      </w:pPr>
      <w:r>
        <w:rPr>
          <w:rFonts w:ascii="IRNazanin" w:hAnsi="IRNazanin" w:eastAsia="IRNazanin" w:cs="IRNazanin"/>
          <w:lang w:bidi="fa-IR"/>
          <w:color w:val="111111"/>
          <w:sz w:val="28"/>
          <w:szCs w:val="28"/>
          <w:rtl/>
        </w:rPr>
        <w:t xml:space="preserve">منتخب اشعار، شاعرانی چون: قصایدی از مولانا محمد جان قدسی (ص۱۱۳-۱۲۱)، قصاید و قطعات و مثنوی و رباعیات و  غزلیاتی از: شیخ فیضی، بابا طاهر، نظیری، آقا شاپور، عزت، مولانا، محتشم، خواجه حسین ثنایی، مولانا عرفی، نواب باقر خان نجم ثانى (ص122- 135)، مجملی از تصنیفات و کلام ملا معنی به نثر (۱۳۶-۱۳۸)، رباعیات و فردیات و غزلو قصیده از طالب و کلیم و صائب و نظام و معینا (قصیده ای در تاریخ جلوس شاه صفى بن عباس ثانی سال ۱۰۷۷ق)، همچنین رباعیاتی از مولانا اهلی و سحابی نجفی؛ خط: نستعلیق و شکسته و نسخ و تعلیق، بی کا، تا: 1071- 1077ق؛ کاغذ: حنایی، جلد: تیماج مشکی،۱۳ ص( ۱۱۳-۱۳۸)،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۲۷/۶سم [ف : ۱۷ - ۴۰۸]</w:t>
      </w:r>
    </w:p>
    <w:p>
      <w:pPr>
        <w:pStyle w:val="BookText"/>
      </w:pPr>
      <w:r>
        <w:rPr>
          <w:rFonts w:ascii="IRNazanin" w:hAnsi="IRNazanin" w:eastAsia="IRNazanin" w:cs="IRNazanin"/>
          <w:lang w:bidi="fa-IR"/>
          <w:color w:val="111111"/>
          <w:sz w:val="28"/>
          <w:szCs w:val="28"/>
          <w:rtl/>
        </w:rPr>
        <w:t xml:space="preserve">۳۸۱. قم؛ گلپایگانی؛ شماره نسخه: 897- 187/ 5</w:t>
      </w:r>
    </w:p>
    <w:p>
      <w:pPr>
        <w:pStyle w:val="BookText"/>
      </w:pPr>
      <w:r>
        <w:rPr>
          <w:rFonts w:ascii="IRNazanin" w:hAnsi="IRNazanin" w:eastAsia="IRNazanin" w:cs="IRNazanin"/>
          <w:lang w:bidi="fa-IR"/>
          <w:color w:val="111111"/>
          <w:sz w:val="28"/>
          <w:szCs w:val="28"/>
          <w:rtl/>
        </w:rPr>
        <w:t xml:space="preserve">آغاز: بدین معنی کسی را بر تو دق نیست*** که صاحب مذهب اینجا جز که حق نیست/ ولی تا با خودی زنهار زنهار *** عبارات شریعت را نگهدار؛ انجام: غرض زینجمله آن تا گر کند یاد *** عزیز می گویدم رحمت بر اوباد / به نام خویش کردم ختم پایان *** الهى عاقبت محمود گردان تمت</w:t>
      </w:r>
    </w:p>
    <w:p>
      <w:pPr>
        <w:pStyle w:val="BookText"/>
      </w:pPr>
      <w:r>
        <w:rPr>
          <w:rFonts w:ascii="IRNazanin" w:hAnsi="IRNazanin" w:eastAsia="IRNazanin" w:cs="IRNazanin"/>
          <w:lang w:bidi="fa-IR"/>
          <w:color w:val="111111"/>
          <w:sz w:val="28"/>
          <w:szCs w:val="28"/>
          <w:rtl/>
        </w:rPr>
        <w:t xml:space="preserve">در متن و حاشیه اشعاری از: ابن حسام ملا ،عرفی، حکیم انوری، ملا نوعی خبوشانی، سلمان ساوجی ،خاقانی ،مولانا مشکی، میر فندرسکی،میر محمد باقر داماد ،نظامی گنجوی، شاه طاهر دلنی، حکیم شفائی، ملا جامی، ملا نظیری نیشابوری، زین الدین سنجری، شرف الدین شفروه، شمس الدین محمود طبسی، فخر رازی، حکیم عثمان مختاری و کاتبی قزوینی، شیخ محمود شبستری ،امیدی، علی نقی کمره ای ،شریف تبریزی؛ خط: نستعلیق، بی کا، تا: ۱۸ رجب ۱۰۷۷ق؛ افتادگی: آغاز ووسط؛ جلد: تیماج ،مشکی، عطف و حاشیه گالینگور، ۱۰۳گ، ۱۲ 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۳ – ۱۲۳۲]</w:t>
      </w:r>
    </w:p>
    <w:p>
      <w:pPr>
        <w:pStyle w:val="BookText"/>
      </w:pPr>
      <w:r>
        <w:rPr>
          <w:rFonts w:ascii="IRNazanin" w:hAnsi="IRNazanin" w:eastAsia="IRNazanin" w:cs="IRNazanin"/>
          <w:lang w:bidi="fa-IR"/>
          <w:color w:val="111111"/>
          <w:sz w:val="28"/>
          <w:szCs w:val="28"/>
          <w:rtl/>
        </w:rPr>
        <w:t xml:space="preserve">۳۸۲. تهران؛ مجلس؛ شماره نسخه: ۸۸۳۴/۴</w:t>
      </w:r>
    </w:p>
    <w:p>
      <w:pPr>
        <w:pStyle w:val="BookText"/>
      </w:pPr>
      <w:r>
        <w:rPr>
          <w:rFonts w:ascii="IRNazanin" w:hAnsi="IRNazanin" w:eastAsia="IRNazanin" w:cs="IRNazanin"/>
          <w:lang w:bidi="fa-IR"/>
          <w:color w:val="111111"/>
          <w:sz w:val="28"/>
          <w:szCs w:val="28"/>
          <w:rtl/>
        </w:rPr>
        <w:t xml:space="preserve">آغاز: کارم زغمت به جان رسیده*** وین کارد به استخوان رسیده/ از حسرت آن میان چون موی*** سیل مژه تا میان رسیده؛</w:t>
      </w:r>
    </w:p>
    <w:p>
      <w:pPr>
        <w:pStyle w:val="BookText"/>
      </w:pPr>
      <w:r>
        <w:rPr>
          <w:rFonts w:ascii="IRNazanin" w:hAnsi="IRNazanin" w:eastAsia="IRNazanin" w:cs="IRNazanin"/>
          <w:lang w:bidi="fa-IR"/>
          <w:color w:val="111111"/>
          <w:sz w:val="28"/>
          <w:szCs w:val="28"/>
          <w:rtl/>
        </w:rPr>
        <w:t xml:space="preserve">انجام: دنبال تو همچو باد تا کی *** گشته و بی قرار گردم /  چون دست نمی دهد وصالت*** دست من و دامن خیالت</w:t>
      </w:r>
    </w:p>
    <w:p>
      <w:pPr>
        <w:pStyle w:val="BookText"/>
      </w:pPr>
      <w:r>
        <w:rPr>
          <w:rFonts w:ascii="IRNazanin" w:hAnsi="IRNazanin" w:eastAsia="IRNazanin" w:cs="IRNazanin"/>
          <w:lang w:bidi="fa-IR"/>
          <w:color w:val="111111"/>
          <w:sz w:val="28"/>
          <w:szCs w:val="28"/>
          <w:rtl/>
        </w:rPr>
        <w:t xml:space="preserve">ترجیع بند؛ خط: نستعلیق شکسته، کا: محمد شفیع تبریزی، تا: ۱۰۷۹ق؛ افتادگی: آغاز؛ کاغذ: نخودی نازک آهار مهره، جلد: تیماج عنابی با ترنج و چهار سر ترنج در چهار طرف و لچکی و جدول زرین، ۴ ص (83- 86 حاشیه)، سطور چلیپا، ابعاد متن: (9</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 اندازه: ۱۲/۲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۲۱/۹سم [ف: ۲۹/۱ - ۷۵]</w:t>
      </w:r>
    </w:p>
    <w:p>
      <w:pPr>
        <w:pStyle w:val="BookText"/>
      </w:pPr>
      <w:r>
        <w:rPr>
          <w:rFonts w:ascii="IRNazanin" w:hAnsi="IRNazanin" w:eastAsia="IRNazanin" w:cs="IRNazanin"/>
          <w:lang w:bidi="fa-IR"/>
          <w:color w:val="111111"/>
          <w:sz w:val="28"/>
          <w:szCs w:val="28"/>
          <w:rtl/>
        </w:rPr>
        <w:t xml:space="preserve">۳۸۳. تهران؛ مجلس؛ شماره نسخه: ۱۱۵/۱۰- فیروز</w:t>
      </w:r>
    </w:p>
    <w:p>
      <w:pPr>
        <w:pStyle w:val="BookText"/>
      </w:pPr>
      <w:r>
        <w:rPr>
          <w:rFonts w:ascii="IRNazanin" w:hAnsi="IRNazanin" w:eastAsia="IRNazanin" w:cs="IRNazanin"/>
          <w:lang w:bidi="fa-IR"/>
          <w:color w:val="111111"/>
          <w:sz w:val="28"/>
          <w:szCs w:val="28"/>
          <w:rtl/>
        </w:rPr>
        <w:t xml:space="preserve">چند قطعه مثنوی و رباعی از حکیم رکنا مسیح، مولوی رومی، جامی، خاقانی، حسینی سادات، سحابی، محمد باقر داماد، شیخ ابوسعید، سعدی، میرزا ابراهیم و نیز رباعیاتیاز کاتب (که نام خویش را نمی آورد) ؛خط: نستعلیق، بی کا، تا: ۱۰۸۰ق؛ مذهب ،کاغذ: دولت آبادی شکری ،جلد: تیماج قهوه ای با ترنج و نیم
</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ترنج سوخته، ۱۸ ص (۱۴۷-۱۶۵)، ۱۵ سطر، قطع: نیم خشتی،اندازه: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۲۱ - ۲۴۳]</w:t>
      </w:r>
    </w:p>
    <w:p>
      <w:pPr>
        <w:pStyle w:val="BookText"/>
      </w:pPr>
      <w:r>
        <w:rPr>
          <w:rFonts w:ascii="IRNazanin" w:hAnsi="IRNazanin" w:eastAsia="IRNazanin" w:cs="IRNazanin"/>
          <w:lang w:bidi="fa-IR"/>
          <w:color w:val="111111"/>
          <w:sz w:val="28"/>
          <w:szCs w:val="28"/>
          <w:rtl/>
        </w:rPr>
        <w:t xml:space="preserve">۳۸۴. تهران؛ مجلس؛ شماره نسخه: ۸۹۴۵/۴۷6</w:t>
      </w:r>
    </w:p>
    <w:p>
      <w:pPr>
        <w:pStyle w:val="BookText"/>
      </w:pPr>
      <w:r>
        <w:rPr>
          <w:rFonts w:ascii="IRNazanin" w:hAnsi="IRNazanin" w:eastAsia="IRNazanin" w:cs="IRNazanin"/>
          <w:lang w:bidi="fa-IR"/>
          <w:color w:val="111111"/>
          <w:sz w:val="28"/>
          <w:szCs w:val="28"/>
          <w:rtl/>
        </w:rPr>
        <w:t xml:space="preserve">با سروده هایی از در [فهرست شماره صفحاتی که اشعاری از این شعرا در آن آمده ذکر شده]: ابراهیم ادهم، ابن یمین، ابو تراب، خواجه افضل، امیر خسرو (با انجامه: «راقمه محمد حسین جنابدی»)، بابا فغانی، جامی، جانی ،صابری ،مولانا جلال اسـیر، میرزا (ص۱۷۸: بتاريخ ۱۷ شهر ذيحجة الحرام سنه ۱۱۰۰ در قریه ... به قلم آمد»)، حسن خان، مولا حسن، ميرزا (ص ۸۰: «بتاریخ ۱۴ شهر شعبان ۱۱۱») ،حکیم خالصا، خواجه نصیر، رضی،آقا رضی دانش، میرزا رضی ،سجستانی، میرزا، رفیع، ساقی نامه تهی، سحابی، سعد الدین محمد ،سعدی ،شاپور ،شریف ،شوکت، میرزا (ص ۱۳۱-۱۲۹) با این انجامه: «بتاریخ شوال سنه۱۰۹۰ در مشـهد مقدس امام الجن و الانس قلمی شد»)، ۱۳۲-۱۳۳، در بالای اکثر آنها نوشته شده «لمحرره شوکت»)، شیخ الاسلام مهر، شیخ بهـایی (ص ۱۲۶، ۱۳۵- ۱۳۶ از نان حلوای او)، صایب، میر صیدی، طالب آملی (ص ۳۲۲-۳۱۸: شهر رجب المرجب ۱۰۸۰ قلمی شد»)، طالب ،طفیلی ،ظهوری، میرزا عبدالقادر، عرفی شیرازی، عصمـت بخارایی، میر عقیل، علیرضای تجلی، میر سید علی مهری، غزالی مشهدی، فردوسی (ص ۳۶۵: «او دو کلمه حسب الفرموده اعـزی نور العین ذوالفقار بیگ قلمی شده حرره العبد الاقل محمد مهدی الحسينى الجنابدى»)، فصیحی ،میرزا، میر قاسم تونی، قانع هروی ،کلیم، کمال اسمعیل ،لسانی ،لطفی، محمد امین وقاری، محـمد باقر، محمد سعيد حكيم، مولانا محمد صوفی، محمد طاهر قدسی، محمد قلی سلیم، محمد ... میرزا، محمد یوسف حسینی، محمـود شبستری (ص ۲۲۵ از گلشن راز)، مرتضی قلی بیگ، مسیحا، میرزا مظفر علی، میرزا، میرزا ملک مشرقی، مومنا، مهدی، شیخ الاسـلام میرزا ،ناظما، میر نجات سلمه الله، میرزا نظام، نظیری نیشابوری، نواب سلطان العلمایی،نوعی ،مولانا واثقی، واعظ هروی، والی مولانا همتی؛ خط: نستعلیق و شکسته نستعلیق، بی کا، تا: با تاریخ ۱۰۸۰ق؛ این چند انجامه هم در پایان بعضی از یادداشت هـای کوتاه نسخه دیده می شود: «بتاریخ شهر شهر ذيحجه الحرام سنه ۱۱۰۱ به امر دستور قواعد خلت و محبت ذوالفقار بیگ مرقوم قلم داعی محمد رفیع شد» (ص۳)، در تاریخ شهر شعبان المعظم سنه ۱۱۱۸ صورت تحریر پذیرت» (ص۱۲ حاشیه)، «چون نسخه که... شعار مولانا محمد فاضل فرستاده مغشوش و غلط بسیار داشت به همین چند بیت ختم نمود اگر سهوی شده باشد کاتب را حرجی نیست و چون ... را ربط به شعر و قصیده نمی باشد حاصل آن نسخه را ... لازم دارد و چون مناجات شب در تفحص هست که گاه نسخه صحیح معتبر به همین ... و به اتمام رساند در تاریخ ۱۵ شهر جمادى الاول سنه ۱۱۱۳ در دفتر خانه سر کار مواهب آثار صورت تحریر پذیرفت. هر کس از یاران در افتد مطالعه نماید و ... نخواهد شد» (ص ۲۲حاشیه)، در کتاب موعظه تقوی شعار ملا محمد فاضل که در مدرسه جعفریه به تحصیل مشغول است. در خدمت بندگان صاحب کمالات معنوی خواجه محمد حسینای ... نوشته جمادی الاول سنه (۱۱۱۳» (ص ۴۷ حاشیه؛ در پایان یک حکایت منظوم)، بتاريخ يوم جمعه ۲۶ شهر جمادی الثانى من شهور سنه ۱۱۰۱ در خدمت عزیز اخوى ذوالفقار بيكا با کمال تفرقه حواس ... فکر و قلمی شد» (ص۳۷۰). بتاریخ شهر ذى الحجه الحرام ۱۱۰۳ در مشهد مقدس صورت تحریر پذیرفت العبد الاقل محمد یوسف» (ص ۳۷۱)؛ کاغذ: الوان آهار مهره، جلد: گالینگور بنفش،</w:t>
      </w:r>
    </w:p>
    <w:p>
      <w:pPr>
        <w:pStyle w:val="BookText"/>
      </w:pPr>
      <w:r>
        <w:rPr>
          <w:rFonts w:ascii="IRNazanin" w:hAnsi="IRNazanin" w:eastAsia="IRNazanin" w:cs="IRNazanin"/>
          <w:lang w:bidi="fa-IR"/>
          <w:color w:val="111111"/>
          <w:sz w:val="28"/>
          <w:szCs w:val="28"/>
          <w:rtl/>
        </w:rPr>
        <w:t xml:space="preserve">مختلف السطر، اندازه: ۱۵/۶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۲۷/۸سم [ف: ۲۹/۱۸ - ۴۲۸]</w:t>
      </w:r>
    </w:p>
    <w:p>
      <w:pPr>
        <w:pStyle w:val="BookText"/>
      </w:pPr>
      <w:r>
        <w:rPr>
          <w:rFonts w:ascii="IRNazanin" w:hAnsi="IRNazanin" w:eastAsia="IRNazanin" w:cs="IRNazanin"/>
          <w:lang w:bidi="fa-IR"/>
          <w:color w:val="111111"/>
          <w:sz w:val="28"/>
          <w:szCs w:val="28"/>
          <w:rtl/>
        </w:rPr>
        <w:t xml:space="preserve">۳۸۵. تهران؛ سلطنتی؛ شماره نسخه: ۵۷۵</w:t>
      </w:r>
    </w:p>
    <w:p>
      <w:pPr>
        <w:pStyle w:val="BookText"/>
      </w:pPr>
      <w:r>
        <w:rPr>
          <w:rFonts w:ascii="IRNazanin" w:hAnsi="IRNazanin" w:eastAsia="IRNazanin" w:cs="IRNazanin"/>
          <w:lang w:bidi="fa-IR"/>
          <w:color w:val="111111"/>
          <w:sz w:val="28"/>
          <w:szCs w:val="28"/>
          <w:rtl/>
        </w:rPr>
        <w:t xml:space="preserve">شامل دیوان شمس ، حديقة الحقيقه سنائی، جام جم اوحدی است؛ خط: نستعلیق متوسط ،کا: محمد رضا رستمداری، تا: ۱۰۸۳ق؛ كاتب متن محمد رضا رستمداری و کاتب حواشی کار دیگری است که حسب الفرموده میرزا خلیل الله المفضل الخادم الحسينى در تاریخ شهر صفر سنه ۱۰۷۳ به انجام رسیده، زوج مجدول، دارای یک سرلوح مذهب؛ مهر: ناصر الدین شاه قاجار ۱۲۷۴؛ کاغذ: کشمیری، جلد: مقوای روکش تیماج لاکی وسط ترنج چهار گل ترنج و چهار گوشه لچکی منگنه ای مطلا، اندرون كاغذ سبز ساقه چناری، قطع: رحلی، اندازه: ۱۷/۱۲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۳۵/۹سم [ف: ۴ - ۱۰۶۵]</w:t>
      </w:r>
    </w:p>
    <w:p>
      <w:pPr>
        <w:pStyle w:val="BookText"/>
      </w:pPr>
      <w:r>
        <w:rPr>
          <w:rFonts w:ascii="Times New Roman" w:hAnsi="Times New Roman" w:eastAsia="Times New Roman" w:cs="Times New Roman"/>
          <w:lang w:val="en-US" w:bidi="en-US"/>
          <w:color w:val="111111"/>
          <w:sz w:val="28"/>
          <w:szCs w:val="28"/>
          <w:rtl/>
        </w:rPr>
        <w:t xml:space="preserve">386.</w:t>
      </w:r>
    </w:p>
    <w:p>
      <w:pPr>
        <w:pStyle w:val="BookText"/>
      </w:pPr>
      <w:r>
        <w:rPr>
          <w:rFonts w:ascii="IRNazanin" w:hAnsi="IRNazanin" w:eastAsia="IRNazanin" w:cs="IRNazanin"/>
          <w:lang w:bidi="fa-IR"/>
          <w:color w:val="111111"/>
          <w:sz w:val="28"/>
          <w:szCs w:val="28"/>
          <w:rtl/>
        </w:rPr>
        <w:t xml:space="preserve">تهران؛ مجلس؛ شماره نسخه: ۱۳۶۷۹</w:t>
      </w:r>
    </w:p>
    <w:p>
      <w:pPr>
        <w:pStyle w:val="BookText"/>
      </w:pPr>
      <w:r>
        <w:rPr>
          <w:rFonts w:ascii="IRNazanin" w:hAnsi="IRNazanin" w:eastAsia="IRNazanin" w:cs="IRNazanin"/>
          <w:lang w:bidi="fa-IR"/>
          <w:color w:val="111111"/>
          <w:sz w:val="28"/>
          <w:szCs w:val="28"/>
          <w:rtl/>
        </w:rPr>
        <w:t xml:space="preserve">شامل اشعاری از نظیری، صالحی، علی نقی، بسملی و ملک قمی و علی نقی (گ۱-۵)، بدیع بلخی (۶پ)، نظام، شافعی، قاضی ،ارجانی، امام علی (علیه السّلام) (۷ر)، رباعیات محمد صوفی (7پ- 10ر)، اشعار یوسف در وصف آمدن مظفرالدین شاه به رشت درسال ۱۳۲۰ق (۲۲پ) اشعاری از: شاه طاهر دکنی، اقدسی، ملا محمود صوفی، ولی دشت بیاضی، میر عقیل کوثوی، سلیم تهرانی؛ خط: نستعلیق چلیپا، بی کا، تا: با تاریخ ۱۰۸۳ق، جا: قلعه قمانچه؛ ۳ جمادی الثانی ۱۰۸۳؛ جلد: تیماج سرخ مجدول، ۳۷گ، مختلف السطر،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۱۹/۵سم [ف: ۳۷ - ۲۰۵]</w:t>
      </w:r>
    </w:p>
    <w:p>
      <w:pPr>
        <w:pStyle w:val="BookText"/>
      </w:pPr>
      <w:r>
        <w:rPr>
          <w:rFonts w:ascii="IRNazanin" w:hAnsi="IRNazanin" w:eastAsia="IRNazanin" w:cs="IRNazanin"/>
          <w:lang w:bidi="fa-IR"/>
          <w:color w:val="111111"/>
          <w:sz w:val="28"/>
          <w:szCs w:val="28"/>
          <w:rtl/>
        </w:rPr>
        <w:t xml:space="preserve">۳۸۷. تهران؛ مجلس؛ شماره نسخه: ۸۹۰۴/۵۹</w:t>
      </w:r>
    </w:p>
    <w:p>
      <w:pPr>
        <w:pStyle w:val="BookText"/>
      </w:pPr>
      <w:r>
        <w:rPr>
          <w:rFonts w:ascii="IRNazanin" w:hAnsi="IRNazanin" w:eastAsia="IRNazanin" w:cs="IRNazanin"/>
          <w:lang w:bidi="fa-IR"/>
          <w:color w:val="111111"/>
          <w:sz w:val="28"/>
          <w:szCs w:val="28"/>
          <w:rtl/>
        </w:rPr>
        <w:t xml:space="preserve">از سحابی رحمه الله و میرزا خلیل بیگ رحمه الله؛ خط: نسخ و نستعلیق و تحریری، کا: محمد مومن مازندرانی، تا: ۲۰ جمادی الثانى ۱۰۸۴ق؛ كاغذ: نخودی نازک آهار مهره، جلد: تیماج ، قهوه ای مجدول، ۱ص، (۲۰ پ حاشیه)، اندازه: 14/9</w:t>
      </w:r>
      <w:r>
        <w:rPr>
          <w:rFonts w:ascii="Times New Roman" w:hAnsi="Times New Roman" w:eastAsia="Times New Roman" w:cs="Times New Roman"/>
          <w:lang w:val="en-US" w:bidi="en-US"/>
          <w:color w:val="111111"/>
          <w:sz w:val="28"/>
          <w:szCs w:val="28"/>
          <w:rtl/>
        </w:rPr>
        <w:t xml:space="preserve">×25/3</w:t>
      </w:r>
      <w:r>
        <w:rPr>
          <w:rFonts w:ascii="IRNazanin" w:hAnsi="IRNazanin" w:eastAsia="IRNazanin" w:cs="IRNazanin"/>
          <w:lang w:bidi="fa-IR"/>
          <w:color w:val="111111"/>
          <w:sz w:val="28"/>
          <w:szCs w:val="28"/>
          <w:rtl/>
        </w:rPr>
        <w:t xml:space="preserve">سم[ ف: ۲۹/۱ - ۲۸۳]</w:t>
      </w:r>
    </w:p>
    <w:p>
      <w:pPr>
        <w:pStyle w:val="BookText"/>
      </w:pPr>
      <w:r>
        <w:rPr>
          <w:rFonts w:ascii="IRNazanin" w:hAnsi="IRNazanin" w:eastAsia="IRNazanin" w:cs="IRNazanin"/>
          <w:lang w:bidi="fa-IR"/>
          <w:color w:val="111111"/>
          <w:sz w:val="28"/>
          <w:szCs w:val="28"/>
          <w:rtl/>
        </w:rPr>
        <w:t xml:space="preserve">۳۸۸. تهران؛ مجلس؛ شماره نسخه: ۳۶۹/۶</w:t>
      </w:r>
    </w:p>
    <w:p>
      <w:pPr>
        <w:pStyle w:val="BookText"/>
      </w:pPr>
      <w:r>
        <w:rPr>
          <w:rFonts w:ascii="IRNazanin" w:hAnsi="IRNazanin" w:eastAsia="IRNazanin" w:cs="IRNazanin"/>
          <w:lang w:bidi="fa-IR"/>
          <w:color w:val="111111"/>
          <w:sz w:val="28"/>
          <w:szCs w:val="28"/>
          <w:rtl/>
        </w:rPr>
        <w:t xml:space="preserve">قصیده در ستایش شاه سلیمان؛ خط: نستعلیق، کا: عین علی، تا: ۱۰۸۵ق؛ مجدول؛ کاغذ: سفید و آبی ،جلد: تیماج قهوه ای مقوایی، نو، ۵ص (۲۸۰-۲۸۴)، ۲۵ سطر (9</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۲۶سم [سنا: ف: ۱ - ۲۰۲]</w:t>
      </w:r>
    </w:p>
    <w:p>
      <w:pPr>
        <w:pStyle w:val="BookText"/>
      </w:pPr>
      <w:r>
        <w:rPr>
          <w:rFonts w:ascii="IRNazanin" w:hAnsi="IRNazanin" w:eastAsia="IRNazanin" w:cs="IRNazanin"/>
          <w:lang w:bidi="fa-IR"/>
          <w:color w:val="111111"/>
          <w:sz w:val="28"/>
          <w:szCs w:val="28"/>
          <w:rtl/>
        </w:rPr>
        <w:t xml:space="preserve">۳۸۹. تهران؛ مجلس؛ شماره نسخه: ۸۹۰۴/۵۸</w:t>
      </w:r>
    </w:p>
    <w:p>
      <w:pPr>
        <w:pStyle w:val="BookText"/>
      </w:pPr>
      <w:r>
        <w:rPr>
          <w:rFonts w:ascii="IRNazanin" w:hAnsi="IRNazanin" w:eastAsia="IRNazanin" w:cs="IRNazanin"/>
          <w:lang w:bidi="fa-IR"/>
          <w:color w:val="111111"/>
          <w:sz w:val="28"/>
          <w:szCs w:val="28"/>
          <w:rtl/>
        </w:rPr>
        <w:t xml:space="preserve">آغاز: شد چراغ مهر روشن از در کان نجف *** ماه رابخشد ضیا
</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شمع شبستان نجف؛ انجام: گر شود مقرون دعایم با اجابت دور نیست *** زانکه دارم در کف امید دامان نجف / ای که آتش بر خلیل خود گلستان ساختی ***  بر دل من ساز گلشن داغ حرمان نجف</w:t>
      </w:r>
    </w:p>
    <w:p>
      <w:pPr>
        <w:pStyle w:val="BookText"/>
      </w:pPr>
      <w:r>
        <w:rPr>
          <w:rFonts w:ascii="IRNazanin" w:hAnsi="IRNazanin" w:eastAsia="IRNazanin" w:cs="IRNazanin"/>
          <w:lang w:bidi="fa-IR"/>
          <w:color w:val="111111"/>
          <w:sz w:val="28"/>
          <w:szCs w:val="28"/>
          <w:rtl/>
        </w:rPr>
        <w:t xml:space="preserve">قصيده؛ خط: نسخ و نستعلیق و تحریری، کا: شاهرضا، تا: ربیع الثانی ۱۰۸۵ق، جا: مکه معظمه؛ کاغذ: نخودی نازک آهار مهره ،جلد: تیماج قهوه ای مجدول ،۲گ (۲۰پ-۲۱ر)، اندازه: ۱۴/۹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۲۵/۳سم [ف: ۲۹/۱ - ۲۸۳]</w:t>
      </w:r>
    </w:p>
    <w:p>
      <w:pPr>
        <w:pStyle w:val="BookText"/>
      </w:pPr>
      <w:r>
        <w:rPr>
          <w:rFonts w:ascii="IRNazanin" w:hAnsi="IRNazanin" w:eastAsia="IRNazanin" w:cs="IRNazanin"/>
          <w:lang w:bidi="fa-IR"/>
          <w:color w:val="111111"/>
          <w:sz w:val="28"/>
          <w:szCs w:val="28"/>
          <w:rtl/>
        </w:rPr>
        <w:t xml:space="preserve">۳۹۰. تهران؛ دانشگاه؛ شماره نسخه: ۶۰۳/۲-ف</w:t>
      </w:r>
    </w:p>
    <w:p>
      <w:pPr>
        <w:pStyle w:val="BookText"/>
      </w:pPr>
      <w:r>
        <w:rPr>
          <w:rFonts w:ascii="IRNazanin" w:hAnsi="IRNazanin" w:eastAsia="IRNazanin" w:cs="IRNazanin"/>
          <w:lang w:bidi="fa-IR"/>
          <w:color w:val="111111"/>
          <w:sz w:val="28"/>
          <w:szCs w:val="28"/>
          <w:rtl/>
        </w:rPr>
        <w:t xml:space="preserve">آغاز: ای بنام تو ابتدای کلام*** نیست بی نام تو کلام تمام؛</w:t>
      </w:r>
    </w:p>
    <w:p>
      <w:pPr>
        <w:pStyle w:val="BookText"/>
      </w:pPr>
      <w:r>
        <w:rPr>
          <w:rFonts w:ascii="IRNazanin" w:hAnsi="IRNazanin" w:eastAsia="IRNazanin" w:cs="IRNazanin"/>
          <w:lang w:bidi="fa-IR"/>
          <w:color w:val="111111"/>
          <w:sz w:val="28"/>
          <w:szCs w:val="28"/>
          <w:rtl/>
        </w:rPr>
        <w:t xml:space="preserve">انجام: سخنی پوست کنده گویم فاش *** فکر هیچ آفریده مباش مثنوی در سلوک راه خدا؛ در آن از پیر شیخ محمد حاجی یاد شده؛ خط: نستعلیق خوش، بی کا، تا: ربیع الاول ۱۰۸۷ق؛ ۱۲گ( ۱۶۷ ر -۱۷۹پ) [فیلمها: ۱ - ۵۰۹]</w:t>
      </w:r>
    </w:p>
    <w:p>
      <w:pPr>
        <w:pStyle w:val="BookText"/>
      </w:pPr>
      <w:r>
        <w:rPr>
          <w:rFonts w:ascii="IRNazanin" w:hAnsi="IRNazanin" w:eastAsia="IRNazanin" w:cs="IRNazanin"/>
          <w:lang w:bidi="fa-IR"/>
          <w:color w:val="111111"/>
          <w:sz w:val="28"/>
          <w:szCs w:val="28"/>
          <w:rtl/>
        </w:rPr>
        <w:t xml:space="preserve">۳۹۱. تهران؛ دانشگاه؛ شماره نسخه: ۶۰۳/۵-ف</w:t>
      </w:r>
    </w:p>
    <w:p>
      <w:pPr>
        <w:pStyle w:val="BookText"/>
      </w:pPr>
      <w:r>
        <w:rPr>
          <w:rFonts w:ascii="IRNazanin" w:hAnsi="IRNazanin" w:eastAsia="IRNazanin" w:cs="IRNazanin"/>
          <w:lang w:bidi="fa-IR"/>
          <w:color w:val="111111"/>
          <w:sz w:val="28"/>
          <w:szCs w:val="28"/>
          <w:rtl/>
        </w:rPr>
        <w:t xml:space="preserve">نسخه اصل: نافذ پاشا ش ۱۰۵۹. شعر فارسی ملایوسف کوسه است ؛خط: نستعلیق خوش، بی کا، تا:ربیع الاول ۱۰۸۷ق؛ 1گ (۱۸۲ پ-) [- فیلمها: ۱ - ۵۰۹]</w:t>
      </w:r>
    </w:p>
    <w:p>
      <w:pPr>
        <w:pStyle w:val="BookText"/>
      </w:pPr>
      <w:r>
        <w:rPr>
          <w:rFonts w:ascii="IRNazanin" w:hAnsi="IRNazanin" w:eastAsia="IRNazanin" w:cs="IRNazanin"/>
          <w:lang w:bidi="fa-IR"/>
          <w:color w:val="111111"/>
          <w:sz w:val="28"/>
          <w:szCs w:val="28"/>
          <w:rtl/>
        </w:rPr>
        <w:t xml:space="preserve">۳۹۲ .تهران؛ دانشگاه؛ شماره نسخه: ۸۸۲۳/۱۶</w:t>
      </w:r>
    </w:p>
    <w:p>
      <w:pPr>
        <w:pStyle w:val="BookText"/>
      </w:pPr>
      <w:r>
        <w:rPr>
          <w:rFonts w:ascii="IRNazanin" w:hAnsi="IRNazanin" w:eastAsia="IRNazanin" w:cs="IRNazanin"/>
          <w:lang w:bidi="fa-IR"/>
          <w:color w:val="111111"/>
          <w:sz w:val="28"/>
          <w:szCs w:val="28"/>
          <w:rtl/>
        </w:rPr>
        <w:t xml:space="preserve">غزل های امیر همایون؛ خط: نستعلیق چلیپا، بی کا، تا: ۸ربیع الاول ۱۰۸۸ق، در خانه میر ابوالمعانی هنگامی که شهریارری میرزا شهاب الدین علیا در آنجا بودند در خدمت ایشان؛ مجدول؛ کاغذ: سپاهانی، جلد: مقوا، ۶ ص (۲۵۱-۲۵۷)، ۲۲ سطر (11</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 قطع: رحلی کوچک [ف: ۱۷ - ۲۲۷]</w:t>
      </w:r>
    </w:p>
    <w:p>
      <w:pPr>
        <w:pStyle w:val="BookText"/>
      </w:pPr>
      <w:r>
        <w:rPr>
          <w:rFonts w:ascii="IRNazanin" w:hAnsi="IRNazanin" w:eastAsia="IRNazanin" w:cs="IRNazanin"/>
          <w:lang w:bidi="fa-IR"/>
          <w:color w:val="111111"/>
          <w:sz w:val="28"/>
          <w:szCs w:val="28"/>
          <w:rtl/>
        </w:rPr>
        <w:t xml:space="preserve">۳۹۳. قم؛ مرعشی؛ شماره نسخه: ۱۰۹۲۸</w:t>
      </w:r>
    </w:p>
    <w:p>
      <w:pPr>
        <w:pStyle w:val="BookText"/>
      </w:pPr>
      <w:r>
        <w:rPr>
          <w:rFonts w:ascii="IRNazanin" w:hAnsi="IRNazanin" w:eastAsia="IRNazanin" w:cs="IRNazanin"/>
          <w:lang w:bidi="fa-IR"/>
          <w:color w:val="111111"/>
          <w:sz w:val="28"/>
          <w:szCs w:val="28"/>
          <w:rtl/>
        </w:rPr>
        <w:t xml:space="preserve">جنگ اشعار عربی و ....  شامل بخشی از دیوان اشعار جمال الدین محمد بن یوسف بن سالم معروف به تلعفری، و بخشی دیگر از اشعار حسام الدين عيسى بن سجز بن بهرام اربلی حاجری؛ خـط: نسخ خوش، بی کا، تا: ۱۰۸۹ق؛ افتادگی: آغاز و انجام؛ مصحح، مقابله شده؛ قطع: جانمازی [میراث شهاب:س ۹ ش ۲ - ۱۱]</w:t>
      </w:r>
    </w:p>
    <w:p>
      <w:pPr>
        <w:pStyle w:val="BookText"/>
      </w:pPr>
      <w:r>
        <w:rPr>
          <w:rFonts w:ascii="Times New Roman" w:hAnsi="Times New Roman" w:eastAsia="Times New Roman" w:cs="Times New Roman"/>
          <w:lang w:val="en-US" w:bidi="en-US"/>
          <w:color w:val="111111"/>
          <w:sz w:val="28"/>
          <w:szCs w:val="28"/>
          <w:rtl/>
        </w:rPr>
        <w:t xml:space="preserve">394.</w:t>
      </w:r>
    </w:p>
    <w:p>
      <w:pPr>
        <w:pStyle w:val="BookText"/>
      </w:pPr>
      <w:r>
        <w:rPr>
          <w:rFonts w:ascii="IRNazanin" w:hAnsi="IRNazanin" w:eastAsia="IRNazanin" w:cs="IRNazanin"/>
          <w:lang w:bidi="fa-IR"/>
          <w:color w:val="111111"/>
          <w:sz w:val="28"/>
          <w:szCs w:val="28"/>
          <w:rtl/>
        </w:rPr>
        <w:t xml:space="preserve">تهران؛ ملک؛ شماره نسخه: ۵۰۰۸</w:t>
      </w:r>
    </w:p>
    <w:p>
      <w:pPr>
        <w:pStyle w:val="BookText"/>
      </w:pPr>
      <w:r>
        <w:rPr>
          <w:rFonts w:ascii="IRNazanin" w:hAnsi="IRNazanin" w:eastAsia="IRNazanin" w:cs="IRNazanin"/>
          <w:lang w:bidi="fa-IR"/>
          <w:color w:val="111111"/>
          <w:sz w:val="28"/>
          <w:szCs w:val="28"/>
          <w:rtl/>
        </w:rPr>
        <w:t xml:space="preserve">آغاز: بودی و سیلاب بیداد دگرگونی این بوقلمون طور بنیاد هستی صاحب دلان را بآب رسانیده</w:t>
      </w:r>
    </w:p>
    <w:p>
      <w:pPr>
        <w:pStyle w:val="BookText"/>
      </w:pPr>
      <w:r>
        <w:rPr>
          <w:rFonts w:ascii="IRNazanin" w:hAnsi="IRNazanin" w:eastAsia="IRNazanin" w:cs="IRNazanin"/>
          <w:lang w:bidi="fa-IR"/>
          <w:color w:val="111111"/>
          <w:sz w:val="28"/>
          <w:szCs w:val="28"/>
          <w:rtl/>
        </w:rPr>
        <w:t xml:space="preserve">در این جنگ یا تذکره شاعران شعرها به ترتیب حروف تهـجی نام های سرایندگان است از الف تا یاء با دیباچه ای به نثر. ولی از سرایندگان تنها به ذکر نام آنها اکتفا شده است. شاعران درآغاز بدین ترتیب یاد شده اند: الهی از سادات اسدآباد، اسدی جرفادقانی، آقا مير جلال الدین اسد آبادی، امیدی طهرانی،آقا حسین خوانساری، امیر خسرو دهلوی، ابوتراب بیک کاشـی، احمد بیک همدانی، اسنقای (؟) امامی، امینای کلیددار پسر  ملا محمود نجفی، امینای فراهانی مشهور به نجفی، ابوالعرفی(؟) رومی، آقا شاپور طهرانی، ادهم همدانی، آصف خان قزوینی، افسری همدانی، اهلی شیرازی، اوجی نطنزی، اقدسی مشهدی،احسان مشهدی (مقیما)، آقا حسین داراق آبادی، الفت ولد میرزا جان، الفت ابدال ملحی (؟) ،اسر (میرزا جلال)، ازرقی، آقا میر همدانی ،انوری، آصفی خراسانی، ابن یمین،اسد بیک قزوینی، احمد خان بیک برادر مجذوب تبریزی، اثر گیلانی، اسیر شاملو، اسد همدانی، امینای کاتب، ادهم ولد میر رضی آرتیمانی، آشوب مازندرانی، ارسلان ایلچی هند، امانی همدانی، ابو تراب مشهدی، انوار همدانی، آقا علی کاشی، آقا باقی نهاوندی، آقا رضی قزوینی، امینای بروجردی، امینای ،سبزواری، امیر تربتی، آقا مراد نهاوندی، افندی دماوندی، امیر هاشم شریف مختار بیک (؟)، انیس تونی مشهور به شاه، اسدی، احمد خراسانی، افصح قمی، ادائی یزدی، امیر حسین همدانی، ادهم واعظ تبریزی، آقا بیک نهاوندی پدر دانش، اجری یزدی، آهی اصفهانی، اعجاز هراتی، الفت سپاهانی (ملا دوست)، امیر مازندرانی، طرزی نائینی، اجنی (؟) لاهیجی. سپس به همین گونه تا حرف یاء آورده می شود؛ خط: نستعلیق، بی کا، تا: ۱۰۹۰ق، جا: همدان؛ افتادگی: آغاز؛ مجدول به زر و مشکی؛ کاغذ: پسته ای ،جلد: میشن قهوه ای لایی، ۱۴۷گ، ۱۲ سطر،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۸ - ۱۶۲]</w:t>
      </w:r>
    </w:p>
    <w:p>
      <w:pPr>
        <w:pStyle w:val="BookText"/>
      </w:pPr>
      <w:r>
        <w:rPr>
          <w:rFonts w:ascii="IRNazanin" w:hAnsi="IRNazanin" w:eastAsia="IRNazanin" w:cs="IRNazanin"/>
          <w:lang w:bidi="fa-IR"/>
          <w:color w:val="111111"/>
          <w:sz w:val="28"/>
          <w:szCs w:val="28"/>
          <w:rtl/>
        </w:rPr>
        <w:t xml:space="preserve">۳۹۵. تهران؛ مجلس؛ شماره نسخه: ۱۳۶۱۰/۳۹</w:t>
      </w:r>
    </w:p>
    <w:p>
      <w:pPr>
        <w:pStyle w:val="BookText"/>
      </w:pPr>
      <w:r>
        <w:rPr>
          <w:rFonts w:ascii="IRNazanin" w:hAnsi="IRNazanin" w:eastAsia="IRNazanin" w:cs="IRNazanin"/>
          <w:lang w:bidi="fa-IR"/>
          <w:color w:val="111111"/>
          <w:sz w:val="28"/>
          <w:szCs w:val="28"/>
          <w:rtl/>
        </w:rPr>
        <w:t xml:space="preserve">اشعاری از: زلالی، کوثری، واعظ قزوینی، صائب تبریزی؛ خط: نستعلیق، بی کا، تا: ۱۰۹۱ق؛ جلد: مقوا عطف و گوشه تیماج قهوه ای، ۱۰گ (۳۲ ر-۴۱ر)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۲۷/۵سم [ف: ۳۷ - ۱۳۷]</w:t>
      </w:r>
    </w:p>
    <w:p>
      <w:pPr>
        <w:pStyle w:val="BookText"/>
      </w:pPr>
      <w:r>
        <w:rPr>
          <w:rFonts w:ascii="IRNazanin" w:hAnsi="IRNazanin" w:eastAsia="IRNazanin" w:cs="IRNazanin"/>
          <w:lang w:bidi="fa-IR"/>
          <w:color w:val="111111"/>
          <w:sz w:val="28"/>
          <w:szCs w:val="28"/>
          <w:rtl/>
        </w:rPr>
        <w:t xml:space="preserve">۳۹۶. تهران؛ مجلس؛ شماره نسخه: ۱۳۶۱۰/۵۱</w:t>
      </w:r>
    </w:p>
    <w:p>
      <w:pPr>
        <w:pStyle w:val="BookText"/>
      </w:pPr>
      <w:r>
        <w:rPr>
          <w:rFonts w:ascii="IRNazanin" w:hAnsi="IRNazanin" w:eastAsia="IRNazanin" w:cs="IRNazanin"/>
          <w:lang w:bidi="fa-IR"/>
          <w:color w:val="111111"/>
          <w:sz w:val="28"/>
          <w:szCs w:val="28"/>
          <w:rtl/>
        </w:rPr>
        <w:t xml:space="preserve">اشعاری از: ملا سحری تهرانی، مولای رومی، عبدالواسع جبلی، اشراق، چند رباعی به خط ناظم آن ها، حافظ، خواجه اصفی، خیام، سه رباعی به خط ناظم آن ها؛ خط: نستعلیق، بی کا، تا: ۱۰۹۱ق؛ جلد: مقوا عطف و گوشه تیماج قهوه ای، ۲گ (۸۴ر- ۸۵پ)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۲۷/۵سم [ف: ۳۷ - ۱۳۷]</w:t>
      </w:r>
    </w:p>
    <w:p>
      <w:pPr>
        <w:pStyle w:val="BookText"/>
      </w:pPr>
      <w:r>
        <w:rPr>
          <w:rFonts w:ascii="IRNazanin" w:hAnsi="IRNazanin" w:eastAsia="IRNazanin" w:cs="IRNazanin"/>
          <w:lang w:bidi="fa-IR"/>
          <w:color w:val="111111"/>
          <w:sz w:val="28"/>
          <w:szCs w:val="28"/>
          <w:rtl/>
        </w:rPr>
        <w:t xml:space="preserve">۳۹۷. تهران؛ مجلس؛ شماره نسخه: ۱۳۶۱۰/۴۰</w:t>
      </w:r>
    </w:p>
    <w:p>
      <w:pPr>
        <w:pStyle w:val="BookText"/>
      </w:pPr>
      <w:r>
        <w:rPr>
          <w:rFonts w:ascii="IRNazanin" w:hAnsi="IRNazanin" w:eastAsia="IRNazanin" w:cs="IRNazanin"/>
          <w:lang w:bidi="fa-IR"/>
          <w:color w:val="111111"/>
          <w:sz w:val="28"/>
          <w:szCs w:val="28"/>
          <w:rtl/>
        </w:rPr>
        <w:t xml:space="preserve">اشعاری از: سحابی، مولا محمد علی شیرازی مشهور به صوفی،کمال اسماعيل خلاق المعانی، میر مغیث محوی، عارف رومی، مجذوب تبریزی، بابا افضل کاشی، میرزا اسماعیل متخلص به غفلت، مرحوم ملا محسن یزدی، میر صوتی، حکیم عمر خیام، میرزا ابوتراب متخلص به فطرت، الله قلی بیک، میرزا جعفر وزیر؛ خط: نستعلیق، بی کا، تا: ۱۰۹۱ق؛ جلد: مقوا عطف و گوشه تیماج قهوه ای، ۱۶گ (۴۱-۵۷)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۲۷/۵سم[ف: ۳۷ - ۱۳۷] ۳۹۸. تهران ،فرمانفرمائیان حافظ (دکتر)؛ شماره نسخه: بدون شماره/ ۲۵</w:t>
      </w:r>
    </w:p>
    <w:p>
      <w:pPr>
        <w:pStyle w:val="BookText"/>
      </w:pPr>
      <w:r>
        <w:rPr>
          <w:rFonts w:ascii="IRNazanin" w:hAnsi="IRNazanin" w:eastAsia="IRNazanin" w:cs="IRNazanin"/>
          <w:lang w:bidi="fa-IR"/>
          <w:color w:val="111111"/>
          <w:sz w:val="28"/>
          <w:szCs w:val="28"/>
          <w:rtl/>
        </w:rPr>
        <w:t xml:space="preserve">شعری درباره علی (علیه السّلام) است؛ خط: نستعلیق، کا: مجيد الوزارة، تا: ۱۰۹۱ق؛ جلد: تیماج مشکی زرکوب مقوایی، ۱ص (۷۶ر)، قطع: ربعی [نشریه: ۷ - ۵۵۲]</w:t>
      </w:r>
    </w:p>
    <w:p>
      <w:pPr>
        <w:pStyle w:val="BookText"/>
      </w:pPr>
      <w:r>
        <w:rPr>
          <w:rFonts w:ascii="IRNazanin" w:hAnsi="IRNazanin" w:eastAsia="IRNazanin" w:cs="IRNazanin"/>
          <w:lang w:bidi="fa-IR"/>
          <w:color w:val="111111"/>
          <w:sz w:val="28"/>
          <w:szCs w:val="28"/>
          <w:rtl/>
        </w:rPr>
        <w:t xml:space="preserve">تهران؛ دانشگاه؛ شماره نسخه: ۳۷۴۳/۲۵-ف</w:t>
      </w:r>
    </w:p>
    <w:p>
      <w:pPr>
        <w:pStyle w:val="BookText"/>
      </w:pPr>
      <w:r>
        <w:rPr>
          <w:rFonts w:ascii="IRNazanin" w:hAnsi="IRNazanin" w:eastAsia="IRNazanin" w:cs="IRNazanin"/>
          <w:lang w:bidi="fa-IR"/>
          <w:color w:val="111111"/>
          <w:sz w:val="28"/>
          <w:szCs w:val="28"/>
          <w:rtl/>
        </w:rPr>
        <w:t xml:space="preserve">نسخه اصل: همان نسخه بالا [ فیلمها: ۲ - ۲۳۹]</w:t>
      </w:r>
    </w:p>
    <w:p>
      <w:pPr>
        <w:pStyle w:val="BookText"/>
      </w:pPr>
      <w:r>
        <w:rPr>
          <w:rFonts w:ascii="IRNazanin" w:hAnsi="IRNazanin" w:eastAsia="IRNazanin" w:cs="IRNazanin"/>
          <w:lang w:bidi="fa-IR"/>
          <w:color w:val="111111"/>
          <w:sz w:val="28"/>
          <w:szCs w:val="28"/>
          <w:rtl/>
        </w:rPr>
        <w:t xml:space="preserve">۳۹۹. خوی؛ نمازی؛ شماره نسخه: ۸۴۷/۴۴</w:t>
      </w:r>
    </w:p>
    <w:p>
      <w:pPr>
        <w:pStyle w:val="BookText"/>
      </w:pPr>
      <w:r>
        <w:rPr>
          <w:rFonts w:ascii="IRNazanin" w:hAnsi="IRNazanin" w:eastAsia="IRNazanin" w:cs="IRNazanin"/>
          <w:lang w:bidi="fa-IR"/>
          <w:color w:val="111111"/>
          <w:sz w:val="28"/>
          <w:szCs w:val="28"/>
          <w:rtl/>
        </w:rPr>
        <w:t xml:space="preserve">اشعاری از: مسیح ،رضی، محى الدين العربي؛ خط: نسخ، كا: علی
</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اکبر، تا: ۱۰۹۱ تا ۱۰۹۲ق؛ مجدول؛ جلد: تیماج قهوه ای ۲گ (۱۰۱ر- ۱۰۲ پ حاشیه)،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[میراث اسلامی: دفتر نهم - 102]</w:t>
      </w:r>
    </w:p>
    <w:p>
      <w:pPr>
        <w:pStyle w:val="BookText"/>
      </w:pPr>
      <w:r>
        <w:rPr>
          <w:rFonts w:ascii="IRNazanin" w:hAnsi="IRNazanin" w:eastAsia="IRNazanin" w:cs="IRNazanin"/>
          <w:lang w:bidi="fa-IR"/>
          <w:color w:val="111111"/>
          <w:sz w:val="28"/>
          <w:szCs w:val="28"/>
          <w:rtl/>
        </w:rPr>
        <w:t xml:space="preserve">۴۰۰. خوی؛ نمازی؛ شماره نسخه: ۸۴۷/۳۳</w:t>
      </w:r>
    </w:p>
    <w:p>
      <w:pPr>
        <w:pStyle w:val="BookText"/>
      </w:pPr>
      <w:r>
        <w:rPr>
          <w:rFonts w:ascii="IRNazanin" w:hAnsi="IRNazanin" w:eastAsia="IRNazanin" w:cs="IRNazanin"/>
          <w:lang w:bidi="fa-IR"/>
          <w:color w:val="111111"/>
          <w:sz w:val="28"/>
          <w:szCs w:val="28"/>
          <w:rtl/>
        </w:rPr>
        <w:t xml:space="preserve">اشعاری از جامی حضرت علی (علیه السّلام)، محقق طوسی، مولوی ،عمر بن قمئه؛ خط: نسخ، کا: علی اکبر، تا: ۱۰۹۱ تا ۱۰۹۲؛ مجدول ؛جلد: تیماج قهوه ای، ۲گ (۶۷پ-۶۹پ حاشیه)،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 میراث اسلامی: دفتر نهم - ۱۰۱]</w:t>
      </w:r>
    </w:p>
    <w:p>
      <w:pPr>
        <w:pStyle w:val="BookText"/>
      </w:pPr>
      <w:r>
        <w:rPr>
          <w:rFonts w:ascii="IRNazanin" w:hAnsi="IRNazanin" w:eastAsia="IRNazanin" w:cs="IRNazanin"/>
          <w:lang w:bidi="fa-IR"/>
          <w:color w:val="111111"/>
          <w:sz w:val="28"/>
          <w:szCs w:val="28"/>
          <w:rtl/>
        </w:rPr>
        <w:t xml:space="preserve">۴۰۱. خوی؛ نمازی؛ شماره نسخه: ۸۴۷/۱۱</w:t>
      </w:r>
    </w:p>
    <w:p>
      <w:pPr>
        <w:pStyle w:val="BookText"/>
      </w:pPr>
      <w:r>
        <w:rPr>
          <w:rFonts w:ascii="IRNazanin" w:hAnsi="IRNazanin" w:eastAsia="IRNazanin" w:cs="IRNazanin"/>
          <w:lang w:bidi="fa-IR"/>
          <w:color w:val="111111"/>
          <w:sz w:val="28"/>
          <w:szCs w:val="28"/>
          <w:rtl/>
        </w:rPr>
        <w:t xml:space="preserve">اشعاری به فارسی در ترصیح و تجنیس؛ خط: نسخ، کا: علی اكـبر، تا: ۱۰۹۱ تا ۱۰۹۲ق، مجدول؛ جلد: تیماج قهوه ای ۱ص (۹۷پ)،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 میراث اسلامی: دفتر نهم - ۹۸]</w:t>
      </w:r>
    </w:p>
    <w:p>
      <w:pPr>
        <w:pStyle w:val="BookText"/>
      </w:pPr>
      <w:r>
        <w:rPr>
          <w:rFonts w:ascii="IRNazanin" w:hAnsi="IRNazanin" w:eastAsia="IRNazanin" w:cs="IRNazanin"/>
          <w:lang w:bidi="fa-IR"/>
          <w:color w:val="111111"/>
          <w:sz w:val="28"/>
          <w:szCs w:val="28"/>
          <w:rtl/>
        </w:rPr>
        <w:t xml:space="preserve">۴۰۲. تهران؛ مجلس؛ شماره نسخه: ۱۳۱۶۵/۱۵</w:t>
      </w:r>
    </w:p>
    <w:p>
      <w:pPr>
        <w:pStyle w:val="BookText"/>
      </w:pPr>
      <w:r>
        <w:rPr>
          <w:rFonts w:ascii="IRNazanin" w:hAnsi="IRNazanin" w:eastAsia="IRNazanin" w:cs="IRNazanin"/>
          <w:lang w:bidi="fa-IR"/>
          <w:color w:val="111111"/>
          <w:sz w:val="28"/>
          <w:szCs w:val="28"/>
          <w:rtl/>
        </w:rPr>
        <w:t xml:space="preserve">اشعار و ابیات عربی و فارسی متفرقه بدین ترتیب: ابیاتی از خسـرو فیروز و سید شریف رضی، مطالبی منقول از «ربیع الابرار» زمخشری ابیات مالک بن حارث بن اشتر نخعی که گفته شـده آن ها را ابو تمام در حماسه خود نقل کرده است، چند بیت به فارسی، رباعی از صائب و چند مطالب متفرقه، ابیاتی به فارسی، ابیاتی از میرزا قلی و میرزا قاسم به فارسی، بخشی از وصیت پیامبر (صلّی اللَّهِ علیه وَ آلِهِ وَ سَلَّمَ ) به ابن مسعود مطلبی در مورد صوفیه به نقل از کشکول شیخ بهائی، سه بیت از ابوفراس به عربی، سه بیت از عمر خیام به عربی و شعری از ابو تمام ؛خط: نسخ، كا: احمد بن محمد علی جزایری صیمری، تا: ۱۰۹۲ق؛ با حواشی ؛جلد: تیماج قهوه ای، ترنج با سر با نقش گل و پرنده مجدول، ۴گ (۲۸۰ پ-۲۸۳ پ)، ۲۳ سطر [ف: ۳۶ - ۲۵۶]</w:t>
      </w:r>
    </w:p>
    <w:p>
      <w:pPr>
        <w:pStyle w:val="BookText"/>
      </w:pPr>
      <w:r>
        <w:rPr>
          <w:rFonts w:ascii="IRNazanin" w:hAnsi="IRNazanin" w:eastAsia="IRNazanin" w:cs="IRNazanin"/>
          <w:lang w:bidi="fa-IR"/>
          <w:color w:val="111111"/>
          <w:sz w:val="28"/>
          <w:szCs w:val="28"/>
          <w:rtl/>
        </w:rPr>
        <w:t xml:space="preserve">۴۰۳. خوی؛ نمازی؛ شماره نسخه: ۸۴۷/۱۷</w:t>
      </w:r>
    </w:p>
    <w:p>
      <w:pPr>
        <w:pStyle w:val="BookText"/>
      </w:pPr>
      <w:r>
        <w:rPr>
          <w:rFonts w:ascii="IRNazanin" w:hAnsi="IRNazanin" w:eastAsia="IRNazanin" w:cs="IRNazanin"/>
          <w:lang w:bidi="fa-IR"/>
          <w:color w:val="111111"/>
          <w:sz w:val="28"/>
          <w:szCs w:val="28"/>
          <w:rtl/>
        </w:rPr>
        <w:t xml:space="preserve">اشعاری از : عرفی، مسیحای ،خوده، مجد همگر ،جامی، شیدای هندی ؛خط: نسخ، کا: علی اکبر، تا: ۱۰۹۱ تا ۱۰۹۲ق؛مجدول ؛جلد: تیماج قهوه ای، ۳گ (۱۱۲ر-۱۱۵)،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 میراث اسلامی: دفتر نهم - ٩٩]</w:t>
      </w:r>
    </w:p>
    <w:p>
      <w:pPr>
        <w:pStyle w:val="BookText"/>
      </w:pPr>
      <w:r>
        <w:rPr>
          <w:rFonts w:ascii="IRNazanin" w:hAnsi="IRNazanin" w:eastAsia="IRNazanin" w:cs="IRNazanin"/>
          <w:lang w:bidi="fa-IR"/>
          <w:color w:val="111111"/>
          <w:sz w:val="28"/>
          <w:szCs w:val="28"/>
          <w:rtl/>
        </w:rPr>
        <w:t xml:space="preserve">۴۰۴. خوی؛ نمازی؛ شماره نسخه: ۸۴۷/۴۷</w:t>
      </w:r>
    </w:p>
    <w:p>
      <w:pPr>
        <w:pStyle w:val="BookText"/>
      </w:pPr>
      <w:r>
        <w:rPr>
          <w:rFonts w:ascii="IRNazanin" w:hAnsi="IRNazanin" w:eastAsia="IRNazanin" w:cs="IRNazanin"/>
          <w:lang w:bidi="fa-IR"/>
          <w:color w:val="111111"/>
          <w:sz w:val="28"/>
          <w:szCs w:val="28"/>
          <w:rtl/>
        </w:rPr>
        <w:t xml:space="preserve">سه رباعی از سحابی و چند بیت از ظهوری؛ خط: نسخ ،کا: علی اکبر، تا: ۱۰۹۱ تا ۱۰۹۲ق؛ مجدول؛ جلد: تیماج قهوه ای، ۱ص (۱۱۰ر حاشیه)،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[میراث اسلامی: دفتر نهم – 102]</w:t>
      </w:r>
    </w:p>
    <w:p>
      <w:pPr>
        <w:pStyle w:val="BookText"/>
      </w:pPr>
      <w:r>
        <w:rPr>
          <w:rFonts w:ascii="IRNazanin" w:hAnsi="IRNazanin" w:eastAsia="IRNazanin" w:cs="IRNazanin"/>
          <w:lang w:bidi="fa-IR"/>
          <w:color w:val="111111"/>
          <w:sz w:val="28"/>
          <w:szCs w:val="28"/>
          <w:rtl/>
        </w:rPr>
        <w:t xml:space="preserve">۴۰۵. خوی؛ نمازی؛ شماره نسخه: ۸۴۷/۴۹</w:t>
      </w:r>
    </w:p>
    <w:p>
      <w:pPr>
        <w:pStyle w:val="BookText"/>
      </w:pPr>
      <w:r>
        <w:rPr>
          <w:rFonts w:ascii="IRNazanin" w:hAnsi="IRNazanin" w:eastAsia="IRNazanin" w:cs="IRNazanin"/>
          <w:lang w:bidi="fa-IR"/>
          <w:color w:val="111111"/>
          <w:sz w:val="28"/>
          <w:szCs w:val="28"/>
          <w:rtl/>
        </w:rPr>
        <w:t xml:space="preserve">مثنوی در مدح اصل بیت گویا از بهبودی؛ خط: نسخ، کا: علی اکبر، تا: ۱۰۹۱ تا ۱۰۹۲ق؛ مجدول؛ جلد: تیماج قهوه ای، ۲گ (۱۱۲ر- ۱۱۳ پ حاشیه)، اندازه: ۱۰</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۱۷سم [میراث اسلامی: دفتر نهم - ١٠٢]</w:t>
      </w:r>
    </w:p>
    <w:p>
      <w:pPr>
        <w:pStyle w:val="BookText"/>
      </w:pPr>
      <w:r>
        <w:rPr>
          <w:rFonts w:ascii="IRNazanin" w:hAnsi="IRNazanin" w:eastAsia="IRNazanin" w:cs="IRNazanin"/>
          <w:lang w:bidi="fa-IR"/>
          <w:color w:val="111111"/>
          <w:sz w:val="28"/>
          <w:szCs w:val="28"/>
          <w:rtl/>
        </w:rPr>
        <w:t xml:space="preserve">406.خوی؛ نمازی؛ شماره نسخه: ۸۴۷/۳۶</w:t>
      </w:r>
    </w:p>
    <w:p>
      <w:pPr>
        <w:pStyle w:val="BookText"/>
      </w:pPr>
      <w:r>
        <w:rPr>
          <w:rFonts w:ascii="IRNazanin" w:hAnsi="IRNazanin" w:eastAsia="IRNazanin" w:cs="IRNazanin"/>
          <w:lang w:bidi="fa-IR"/>
          <w:color w:val="111111"/>
          <w:sz w:val="28"/>
          <w:szCs w:val="28"/>
          <w:rtl/>
        </w:rPr>
        <w:t xml:space="preserve">اشعاری از: خاقانی، سبحانی، ابن یمین، سید نعمت الله؛ خط: نسـخ، کا: علی اکبر، تا: ۱۰۹۱ تا ۱۰۹۲؛ مجدول؛ جلد: تيماج قهوه ای، ۲گ (۷۳پ - ۷۵ر حاشیه)،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[میراث اسلامی:دفتر  نهم - ١٠١]</w:t>
      </w:r>
    </w:p>
    <w:p>
      <w:pPr>
        <w:pStyle w:val="BookText"/>
      </w:pPr>
      <w:r>
        <w:rPr>
          <w:rFonts w:ascii="IRNazanin" w:hAnsi="IRNazanin" w:eastAsia="IRNazanin" w:cs="IRNazanin"/>
          <w:lang w:bidi="fa-IR"/>
          <w:color w:val="111111"/>
          <w:sz w:val="28"/>
          <w:szCs w:val="28"/>
          <w:rtl/>
        </w:rPr>
        <w:t xml:space="preserve">۴۰۷. خوی؛ نمازی؛ شماره نسخه: ۸۴۷/۳۹</w:t>
      </w:r>
    </w:p>
    <w:p>
      <w:pPr>
        <w:pStyle w:val="BookText"/>
      </w:pPr>
      <w:r>
        <w:rPr>
          <w:rFonts w:ascii="IRNazanin" w:hAnsi="IRNazanin" w:eastAsia="IRNazanin" w:cs="IRNazanin"/>
          <w:lang w:bidi="fa-IR"/>
          <w:color w:val="111111"/>
          <w:sz w:val="28"/>
          <w:szCs w:val="28"/>
          <w:rtl/>
        </w:rPr>
        <w:t xml:space="preserve">آغاز: آغاز عزل اول شیخ بهایی: یک گل ز باغ دوست کسی بو نمی کند*** تا هر چه غیر اوست به یکسو نمی کند. آغاز غزل  سوم: من آینه طلعت معشوق وجودم*** وز نور رخش مظهر انوار شهودم؛</w:t>
      </w:r>
    </w:p>
    <w:p>
      <w:pPr>
        <w:pStyle w:val="BookText"/>
      </w:pPr>
      <w:r>
        <w:rPr>
          <w:rFonts w:ascii="IRNazanin" w:hAnsi="IRNazanin" w:eastAsia="IRNazanin" w:cs="IRNazanin"/>
          <w:lang w:bidi="fa-IR"/>
          <w:color w:val="111111"/>
          <w:sz w:val="28"/>
          <w:szCs w:val="28"/>
          <w:rtl/>
        </w:rPr>
        <w:t xml:space="preserve">شهاب الدین مقتول ،مغربی ،جامی ،ابو سعید ،مولوی، عطار، رضی و دو غزل از شیخ بهایی؛ خط: نسخ، کا: علی اکبر، تا: ۱۰۹۱ تا ۱۰۹۲ق ،مجدول؛ ۷گ (79ر -۸۶پ حاشیه)، اندازه: ۱۰</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۱۷ سم[ میراث اسلامی: دفتر نهم - ۱۰۱]</w:t>
      </w:r>
    </w:p>
    <w:p>
      <w:pPr>
        <w:pStyle w:val="BookText"/>
      </w:pPr>
      <w:r>
        <w:rPr>
          <w:rFonts w:ascii="IRNazanin" w:hAnsi="IRNazanin" w:eastAsia="IRNazanin" w:cs="IRNazanin"/>
          <w:lang w:bidi="fa-IR"/>
          <w:color w:val="111111"/>
          <w:sz w:val="28"/>
          <w:szCs w:val="28"/>
          <w:rtl/>
        </w:rPr>
        <w:t xml:space="preserve">۴۰۸. خوی؛ نمازی؛ شماره نسخه: ۸۴۷/۷</w:t>
      </w:r>
    </w:p>
    <w:p>
      <w:pPr>
        <w:pStyle w:val="BookText"/>
      </w:pPr>
      <w:r>
        <w:rPr>
          <w:rFonts w:ascii="IRNazanin" w:hAnsi="IRNazanin" w:eastAsia="IRNazanin" w:cs="IRNazanin"/>
          <w:lang w:bidi="fa-IR"/>
          <w:color w:val="111111"/>
          <w:sz w:val="28"/>
          <w:szCs w:val="28"/>
          <w:rtl/>
        </w:rPr>
        <w:t xml:space="preserve">اشعاری از خواجه نصیر، اوحدین ،کرمانی، محمد کاشانی، رشید و طواط، حکیم ارزقی، جدائی؛ خط: نسخ، کا: علی اکبر، تا: ۱۰۹۱ تا ۱۰۹۲ق؛ مجدول؛ جلد: تیماج قهوه ای، ۲گ (۷۳ر-۷۴پ)،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[میراث اسلامی: دفتر نهم - ۹۸]</w:t>
      </w:r>
    </w:p>
    <w:p>
      <w:pPr>
        <w:pStyle w:val="BookText"/>
      </w:pPr>
      <w:r>
        <w:rPr>
          <w:rFonts w:ascii="IRNazanin" w:hAnsi="IRNazanin" w:eastAsia="IRNazanin" w:cs="IRNazanin"/>
          <w:lang w:bidi="fa-IR"/>
          <w:color w:val="111111"/>
          <w:sz w:val="28"/>
          <w:szCs w:val="28"/>
          <w:rtl/>
        </w:rPr>
        <w:t xml:space="preserve">۴۰۹. خوی؛ نمازی؛ شماره نسخه: ۸۴۷/۲۳</w:t>
      </w:r>
    </w:p>
    <w:p>
      <w:pPr>
        <w:pStyle w:val="BookText"/>
      </w:pPr>
      <w:r>
        <w:rPr>
          <w:rFonts w:ascii="IRNazanin" w:hAnsi="IRNazanin" w:eastAsia="IRNazanin" w:cs="IRNazanin"/>
          <w:lang w:bidi="fa-IR"/>
          <w:color w:val="111111"/>
          <w:sz w:val="28"/>
          <w:szCs w:val="28"/>
          <w:rtl/>
        </w:rPr>
        <w:t xml:space="preserve">اشعاری  به فارسی از:مولانا ،حلاج ،ابو سعید؛ خط: نسخ، كا: علی اکبر، تا: ۱۰۹۱ تا ۱۰۹۲ق؛ مجدول؛ جلد: تیماج قهوه ای، ۱ص (۱۳۱ر)، اندازه: ۱۰</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۱۷سم [میراث اسلامی: دفتر نهم – ۹۹]</w:t>
      </w:r>
    </w:p>
    <w:p>
      <w:pPr>
        <w:pStyle w:val="BookText"/>
      </w:pPr>
      <w:r>
        <w:rPr>
          <w:rFonts w:ascii="Times New Roman" w:hAnsi="Times New Roman" w:eastAsia="Times New Roman" w:cs="Times New Roman"/>
          <w:lang w:val="en-US" w:bidi="en-US"/>
          <w:color w:val="111111"/>
          <w:sz w:val="28"/>
          <w:szCs w:val="28"/>
          <w:rtl/>
        </w:rPr>
        <w:t xml:space="preserve">410.</w:t>
      </w:r>
    </w:p>
    <w:p>
      <w:pPr>
        <w:pStyle w:val="BookText"/>
      </w:pPr>
      <w:r>
        <w:rPr>
          <w:rFonts w:ascii="IRNazanin" w:hAnsi="IRNazanin" w:eastAsia="IRNazanin" w:cs="IRNazanin"/>
          <w:lang w:bidi="fa-IR"/>
          <w:color w:val="111111"/>
          <w:sz w:val="28"/>
          <w:szCs w:val="28"/>
          <w:rtl/>
        </w:rPr>
        <w:t xml:space="preserve">خوی؛ نمازی؛ شماره نسخه: ۸۴۷/۲۷</w:t>
      </w:r>
    </w:p>
    <w:p>
      <w:pPr>
        <w:pStyle w:val="BookText"/>
      </w:pPr>
      <w:r>
        <w:rPr>
          <w:rFonts w:ascii="IRNazanin" w:hAnsi="IRNazanin" w:eastAsia="IRNazanin" w:cs="IRNazanin"/>
          <w:lang w:bidi="fa-IR"/>
          <w:color w:val="111111"/>
          <w:sz w:val="28"/>
          <w:szCs w:val="28"/>
          <w:rtl/>
        </w:rPr>
        <w:t xml:space="preserve">اشعاری به فارسی از: عرفی، نقی، غزلیات محمد صالح مشهور به مشتری، جامی؛ خط: نسخ، کا: علی  اکبر، تا: ۱۰۹۱ تا ۱۰۹۲ق؛ مجدول؛ جلد: تیماج قهوه ای، ۹گ (۱۳۷ر-۱۴۶پ)،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[میراث اسلامی: دفتر نهم – ۱۰۰]</w:t>
      </w:r>
    </w:p>
    <w:p>
      <w:pPr>
        <w:pStyle w:val="BookText"/>
      </w:pPr>
      <w:r>
        <w:rPr>
          <w:rFonts w:ascii="IRNazanin" w:hAnsi="IRNazanin" w:eastAsia="IRNazanin" w:cs="IRNazanin"/>
          <w:lang w:bidi="fa-IR"/>
          <w:color w:val="111111"/>
          <w:sz w:val="28"/>
          <w:szCs w:val="28"/>
          <w:rtl/>
        </w:rPr>
        <w:t xml:space="preserve">۴۱۱. خوی؛ نمازی؛ شماره نسخه: ۸۴۷/۳۰</w:t>
      </w:r>
    </w:p>
    <w:p>
      <w:pPr>
        <w:pStyle w:val="BookText"/>
      </w:pPr>
      <w:r>
        <w:rPr>
          <w:rFonts w:ascii="IRNazanin" w:hAnsi="IRNazanin" w:eastAsia="IRNazanin" w:cs="IRNazanin"/>
          <w:lang w:bidi="fa-IR"/>
          <w:color w:val="111111"/>
          <w:sz w:val="28"/>
          <w:szCs w:val="28"/>
          <w:rtl/>
        </w:rPr>
        <w:t xml:space="preserve">چند رباعی از ابوسعید ابوالخیر، اشعاری از رضی و مولای رومی؛ خط: نسخ، کا: علی اکبر، تا: ۱۰۹۱ تا ۱۰۹۲ق؛ مجدول؛ جلد: تیماج؛ جلد:قهوه ای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۱۰سم [میراث اسلامی: دفتر نهم - ۱۰۰]</w:t>
      </w:r>
    </w:p>
    <w:p>
      <w:pPr>
        <w:pStyle w:val="BookText"/>
      </w:pPr>
      <w:r>
        <w:rPr>
          <w:rFonts w:ascii="IRNazanin" w:hAnsi="IRNazanin" w:eastAsia="IRNazanin" w:cs="IRNazanin"/>
          <w:lang w:bidi="fa-IR"/>
          <w:color w:val="111111"/>
          <w:sz w:val="28"/>
          <w:szCs w:val="28"/>
          <w:rtl/>
        </w:rPr>
        <w:t xml:space="preserve">۴۱۲. خوی؛ نمازی؛ شماره نسخه: ۸۴۷/۱۹</w:t>
      </w:r>
    </w:p>
    <w:p>
      <w:pPr>
        <w:pStyle w:val="BookText"/>
      </w:pPr>
      <w:r>
        <w:rPr>
          <w:rFonts w:ascii="IRNazanin" w:hAnsi="IRNazanin" w:eastAsia="IRNazanin" w:cs="IRNazanin"/>
          <w:lang w:bidi="fa-IR"/>
          <w:color w:val="111111"/>
          <w:sz w:val="28"/>
          <w:szCs w:val="28"/>
          <w:rtl/>
        </w:rPr>
        <w:t xml:space="preserve">سه بیت در اسم اعظم؛ خط: نسخ، كا: علی اکبر، تا: ۱۰۹۱ تا ۱۰۹۲ق؛ مجدول ؛جلد: تیماج قهوه ای، 1ص (۱۲۰ر)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 ميراث اسلامی: دفتر نهم - ٩٩]</w:t>
      </w:r>
    </w:p>
    <w:p>
      <w:pPr>
        <w:pStyle w:val="BookText"/>
      </w:pPr>
      <w:r>
        <w:rPr>
          <w:rFonts w:ascii="IRNazanin" w:hAnsi="IRNazanin" w:eastAsia="IRNazanin" w:cs="IRNazanin"/>
          <w:lang w:bidi="fa-IR"/>
          <w:color w:val="111111"/>
          <w:sz w:val="28"/>
          <w:szCs w:val="28"/>
          <w:rtl/>
        </w:rPr>
        <w:t xml:space="preserve">۴۱۳ . مشهد؛ رضوی؛ شماره نسخه: ۶۱۲۳/۹</w:t>
      </w:r>
    </w:p>
    <w:p>
      <w:pPr>
        <w:pStyle w:val="BookText"/>
      </w:pPr>
      <w:r>
        <w:rPr>
          <w:rFonts w:ascii="IRNazanin" w:hAnsi="IRNazanin" w:eastAsia="IRNazanin" w:cs="IRNazanin"/>
          <w:lang w:bidi="fa-IR"/>
          <w:color w:val="111111"/>
          <w:sz w:val="28"/>
          <w:szCs w:val="28"/>
          <w:rtl/>
        </w:rPr>
        <w:t xml:space="preserve">مثنوى يفسحاق در باب چنگالی؛ خط: مختلف، بی کا، تا: ۱۰۹۴ق، جا: اصفهان؛ضمیمه نسخه شماره ۶۱۲۳؛ کاغذ: الوان، جلد: میشن [رایانه]</w:t>
      </w:r>
    </w:p>
    <w:p>
      <w:pPr>
        <w:pStyle w:val="BookText"/>
      </w:pPr>
      <w:r>
        <w:rPr>
          <w:rFonts w:ascii="IRNazanin" w:hAnsi="IRNazanin" w:eastAsia="IRNazanin" w:cs="IRNazanin"/>
          <w:lang w:bidi="fa-IR"/>
          <w:color w:val="111111"/>
          <w:sz w:val="28"/>
          <w:szCs w:val="28"/>
          <w:rtl/>
        </w:rPr>
        <w:t xml:space="preserve">۴۱۴ . تهران؛ دانشگاه؛ شماره نسخه: ۳۷۴۳/۵۰-ف</w:t>
      </w:r>
    </w:p>
    <w:p>
      <w:pPr>
        <w:pStyle w:val="BookText"/>
      </w:pPr>
      <w:r>
        <w:rPr>
          <w:rFonts w:ascii="IRNazanin" w:hAnsi="IRNazanin" w:eastAsia="IRNazanin" w:cs="IRNazanin"/>
          <w:lang w:bidi="fa-IR"/>
          <w:color w:val="111111"/>
          <w:sz w:val="28"/>
          <w:szCs w:val="28"/>
          <w:rtl/>
        </w:rPr>
        <w:t xml:space="preserve">نسخه اصل: نسخه آقای دکتر حافظ فرمان فرمائیان. شعر فارسی با یادداشت برای تیمور خان بیگ یوزباشی آجرلو در ملازمت محمد خان سلطان در بازگشت از اصفهان به سنندج در روز چهارشنبه ۲۵ جمادی الاول ۱۰۹۵؛ بی کا، تا: با تاریخ ۱۰۹۵ق؛ جلد: تیماج مشکی زرکوب مقوایی، اگ (۲۸۵ر)، قطع: ربعی  [ فیلمها: ۲ - ۲۴۰]</w:t>
      </w:r>
    </w:p>
    <w:p>
      <w:pPr>
        <w:pStyle w:val="BookText"/>
      </w:pPr>
      <w:r>
        <w:rPr>
          <w:rFonts w:ascii="IRNazanin" w:hAnsi="IRNazanin" w:eastAsia="IRNazanin" w:cs="IRNazanin"/>
          <w:lang w:bidi="fa-IR"/>
          <w:color w:val="111111"/>
          <w:sz w:val="28"/>
          <w:szCs w:val="28"/>
          <w:rtl/>
        </w:rPr>
        <w:t xml:space="preserve">۴۱۵. تهران؛ مجلس؛ شماره نسخه: ۸۸۸۰/۶۱
</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 نسخ و نستعلیق و شکسته ،کا: محمد مهدی بن محمد صـالح رضوی، تا: با تاریخ ۱۰۹۶ق؛ کاغذ: الوان آهار مهره نازک، جـلد: میشن تریاکی ضربی با ترنج و سرترنج، اندازه: ۱۳/۹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۲۳/۷سم [ف: 1/ 29 - ۲۲۲]</w:t>
      </w:r>
    </w:p>
    <w:p>
      <w:pPr>
        <w:pStyle w:val="BookText"/>
      </w:pPr>
      <w:r>
        <w:rPr>
          <w:rFonts w:ascii="IRNazanin" w:hAnsi="IRNazanin" w:eastAsia="IRNazanin" w:cs="IRNazanin"/>
          <w:lang w:bidi="fa-IR"/>
          <w:color w:val="111111"/>
          <w:sz w:val="28"/>
          <w:szCs w:val="28"/>
          <w:rtl/>
        </w:rPr>
        <w:t xml:space="preserve">۴۱۶. تهران؛ دانشگاه؛ شماره نسخه: ۴۱۲۴</w:t>
      </w:r>
    </w:p>
    <w:p>
      <w:pPr>
        <w:pStyle w:val="BookText"/>
      </w:pPr>
      <w:r>
        <w:rPr>
          <w:rFonts w:ascii="IRNazanin" w:hAnsi="IRNazanin" w:eastAsia="IRNazanin" w:cs="IRNazanin"/>
          <w:lang w:bidi="fa-IR"/>
          <w:color w:val="111111"/>
          <w:sz w:val="28"/>
          <w:szCs w:val="28"/>
          <w:rtl/>
        </w:rPr>
        <w:t xml:space="preserve">آغاز: این سفینه شعر فارسی از رباعیات و ساقی نامه و ترجیعات و جز اینها، «رباعیات مومن حسین یزدی» است، در پایان آن آمده: «به مضمون صدق مشحون المامور معذور حسب الاطاعه صاحـب سفینه بی قرینه و این محب دیرینه یعنی مورد مواهب واهب ذو المنن مركز دائره فکر و سخن اعز المخاديم ميرزا ابوالحـسن حفظه الله تعالی به تاریخ شهر جمادى الاول ۱۰۹۶ بتضـییع صفحات پرداخت العفو عند كرام الناس مامول ۱۲». چنین اسـت نام سرایندگان: مومن حسین یزدی (رباعیات)، محوی، سحابی، سلیم، اقدسی، نوعی، صادقی بیک، ضياء (ص ۱۰) ، ميرزا فصيحی ،شفائی ،طالب، نظامی ،فیضی، غیاثای اصیل لاهیجی، ابوتراب بیک، ملا حزنی (ص۲۷)، محمد جان قدسی مشهدی، مرشد بروجردی، نقی، شانی ،تکلو، فردوسی (ص ۳۷)، خاقانی، خصمـی ،جامی، حسن دهلوی ،اسدی، میرزا ملک مشرقی (ص ۳۹)، شریـف بیک، آقا رضی صفاهانی، میر محمد معصوم، زمانای زرکش ،سنجر ،عرفی ،فغانی ،آصفی ،ظهوری، طالب (ص ۴۵)، کاتبی، شاپور ،طبعی ،انیسی، اعلی قمی، قاسم بیگ حالتی، ملک قمی،لطفا، میر ظریفی، نحیفی، محبی، بیاتی قزوینی، سائلای اردوبادی، آفتی، ولی دشتی بیاضی (ص ۴۷)، غیاثا، میرزا نظام ملا كرمی، عزیز بیک ناظر، شیخ بهائی، شیخ سلمان ساوجی، فردوسی، هاتفی ،جعفری ،انوری،فضولی، میر ابوالحسن فراهانی (ص50). نجاتی استر آبادی، ،لسانی، میر رضی الدین محمد (ساقی نامه)،ملا ابو القاسم امری (ساقی نامه)، نظیری نیشابوری (ترجیع) (ص 66)، میر حضوری قمی، مغربی، وحشی (ص ۸۰) ،پرتوی، شـیخ ابوالقاسم، میر ظریفی، میر والهی قعی (ص ۱۳۰)؛ خط: نستعلیق، بی کا، تا: جمادی الاول ۱۰۹۶ق؛ كاغذ: سپاهانی ،جلد: تیماج مشکی زرکوب، ۹۶گ، ۱۶ سطر (۱۱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سم [ف: ۱۳ - ۳۱۰۴]</w:t>
      </w:r>
    </w:p>
    <w:p>
      <w:pPr>
        <w:pStyle w:val="BookText"/>
      </w:pPr>
      <w:r>
        <w:rPr>
          <w:rFonts w:ascii="IRNazanin" w:hAnsi="IRNazanin" w:eastAsia="IRNazanin" w:cs="IRNazanin"/>
          <w:lang w:bidi="fa-IR"/>
          <w:color w:val="111111"/>
          <w:sz w:val="28"/>
          <w:szCs w:val="28"/>
          <w:rtl/>
        </w:rPr>
        <w:t xml:space="preserve">۴۱۷. تهران؛ ملک؛ شماره نسخه: ۲۱۲۵/۲۱</w:t>
      </w:r>
    </w:p>
    <w:p>
      <w:pPr>
        <w:pStyle w:val="BookText"/>
      </w:pPr>
      <w:r>
        <w:rPr>
          <w:rFonts w:ascii="IRNazanin" w:hAnsi="IRNazanin" w:eastAsia="IRNazanin" w:cs="IRNazanin"/>
          <w:lang w:bidi="fa-IR"/>
          <w:color w:val="111111"/>
          <w:sz w:val="28"/>
          <w:szCs w:val="28"/>
          <w:rtl/>
        </w:rPr>
        <w:t xml:space="preserve">شعرهایی از خاقانی ظهیر فاریابی ،شاهی، محمد حسن دهدشتی به خط خود او، مخلص کاشانی ،فیاض، سید علی همدانی ،میر صدری، صفی قلی بیک قزاق خانی، صائب، فوجی میرزا محـمد سعيد حكيم، قدسی ،کلیم، واهب، میرزا عبدالقادر؛ خط: شکسته نستعلیق، كا: محمد حسینی قاینی، تا: با تاریخ ۱۰۹۷ق :[ف5- 426]</w:t>
      </w:r>
    </w:p>
    <w:p>
      <w:pPr>
        <w:pStyle w:val="BookText"/>
      </w:pPr>
      <w:r>
        <w:rPr>
          <w:rFonts w:ascii="IRNazanin" w:hAnsi="IRNazanin" w:eastAsia="IRNazanin" w:cs="IRNazanin"/>
          <w:lang w:bidi="fa-IR"/>
          <w:color w:val="111111"/>
          <w:sz w:val="28"/>
          <w:szCs w:val="28"/>
          <w:rtl/>
        </w:rPr>
        <w:t xml:space="preserve">۴۱۸. تهران؛ مجلس؛ شماره نسخه: ۸۸۵۲/۳۳</w:t>
      </w:r>
    </w:p>
    <w:p>
      <w:pPr>
        <w:pStyle w:val="BookText"/>
      </w:pPr>
      <w:r>
        <w:rPr>
          <w:rFonts w:ascii="IRNazanin" w:hAnsi="IRNazanin" w:eastAsia="IRNazanin" w:cs="IRNazanin"/>
          <w:lang w:bidi="fa-IR"/>
          <w:color w:val="111111"/>
          <w:sz w:val="28"/>
          <w:szCs w:val="28"/>
          <w:rtl/>
        </w:rPr>
        <w:t xml:space="preserve">شامل سه عزل و رباعی از محمد حسین بن عبد الحميد بن محـمد يوسف به خط خودش در ۱۱۹۰ق؛ خط: نستعلیق و شکسته،کا: محمد زمان تبریزی، تا: ۱۰ رمضان ۱۰۹۸ق، جا: ییلاق خروانق از محال قراجه داغ؛ کاغذ: نخودی آهار مهره، جلد: میشن قهوه ای ضربی با ترنج و سرترنج و جدول، ۱ص (۲۴۰)، اندازه: ۱۶/۱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۲۷/۸سم [ف: ۲۹/۱ - ۱۲۷]</w:t>
      </w:r>
    </w:p>
    <w:p>
      <w:pPr>
        <w:pStyle w:val="BookText"/>
      </w:pPr>
      <w:r>
        <w:rPr>
          <w:rFonts w:ascii="IRNazanin" w:hAnsi="IRNazanin" w:eastAsia="IRNazanin" w:cs="IRNazanin"/>
          <w:lang w:bidi="fa-IR"/>
          <w:color w:val="111111"/>
          <w:sz w:val="28"/>
          <w:szCs w:val="28"/>
          <w:rtl/>
        </w:rPr>
        <w:t xml:space="preserve">۴۱۹. تهران؛ ملک؛ شماره نسخه: ۴۷۱۱/۲</w:t>
      </w:r>
    </w:p>
    <w:p>
      <w:pPr>
        <w:pStyle w:val="BookText"/>
      </w:pPr>
      <w:r>
        <w:rPr>
          <w:rFonts w:ascii="IRNazanin" w:hAnsi="IRNazanin" w:eastAsia="IRNazanin" w:cs="IRNazanin"/>
          <w:lang w:bidi="fa-IR"/>
          <w:color w:val="111111"/>
          <w:sz w:val="28"/>
          <w:szCs w:val="28"/>
          <w:rtl/>
        </w:rPr>
        <w:t xml:space="preserve">رباعيات من المتأخرین. از مولانا سحابی، باب دوم در نعت سید المرسلين لكمال اسماعیل و دیگران، باب سوم در منقبت امير المؤمنين و اولاده المعصومین، باب چهارم در مواعظ و نصایح از حکیم سنائی و دیگران، باب پنجم در مکارم اخلاق از انوری، باب ششم در مدایح و منشعب می شود به هشت شعبه، باب هفتم در عزلت و قناعت از حکیم خاقانی، باب هشتم در شکایت زمان و اخوان از حکیم انوری ... باب سی و نهم در صفت حرب دلیران از کمال اسماعیل، پس از هر عنوان از سرایندگانی چند، شعرهایی در همان موضوع می آورد. از گرد آورنده در برگ ۴۴ چنین یاد شده است: «غزل لمرتبه غفور الطالقانی: فزون ز غمزه او کس نکرده خونریزی *** مگر که درکف داماد مصطفی شمشیر»؛ خط: نستعلیق، بی کا، تا: قرن ۱۲ ؛کاغذ: نوعی ترمه، جلد: میشن سیاه، ۲۱ سطر، اندازه: ۱۴/۳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۲۶/۱سم [ف: ۸ - ۶۲]</w:t>
      </w:r>
    </w:p>
    <w:p>
      <w:pPr>
        <w:pStyle w:val="BookText"/>
      </w:pPr>
      <w:r>
        <w:rPr>
          <w:rFonts w:ascii="IRNazanin" w:hAnsi="IRNazanin" w:eastAsia="IRNazanin" w:cs="IRNazanin"/>
          <w:lang w:bidi="fa-IR"/>
          <w:color w:val="111111"/>
          <w:sz w:val="28"/>
          <w:szCs w:val="28"/>
          <w:rtl/>
        </w:rPr>
        <w:t xml:space="preserve">۴۲۰. تهران؛ دانشگاه؛ شماره نسخه: ۶۴۷۲</w:t>
      </w:r>
    </w:p>
    <w:p>
      <w:pPr>
        <w:pStyle w:val="BookText"/>
      </w:pPr>
      <w:r>
        <w:rPr>
          <w:rFonts w:ascii="IRNazanin" w:hAnsi="IRNazanin" w:eastAsia="IRNazanin" w:cs="IRNazanin"/>
          <w:lang w:bidi="fa-IR"/>
          <w:color w:val="111111"/>
          <w:sz w:val="28"/>
          <w:szCs w:val="28"/>
          <w:rtl/>
        </w:rPr>
        <w:t xml:space="preserve">شعرهای فارسی: ثاقب ،شوکت ،بینش، موسوی، خالص، آفرین، نجف، کلیم، ساقی، عرفی، میرزا قاسم، خواجه صايب، مخلص، ظریف، اسیر ،آهی، هندی، لایح، بلبل، کاتبی، بیخود، مانی، هلالی، علی ،نظیری ،حافظ، ظهير؛ خط: نستعليق چلیپا، بی کا، تا: قرن ۱۱ و ۱۲؛ افتادگی: آغاز و انجام؛ مجدول؛ کاغذ: سپاهانی، جلد: گالینگور عطف گرداگرد سبز مقوایی، ۶۸گ، ۱۱ سطر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قطع: ربعی، اندازه: ۹</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۱۷سم [ف : ۱۶ - ۲۷۳]</w:t>
      </w:r>
    </w:p>
    <w:p>
      <w:pPr>
        <w:pStyle w:val="BookText"/>
      </w:pPr>
      <w:r>
        <w:rPr>
          <w:rFonts w:ascii="IRNazanin" w:hAnsi="IRNazanin" w:eastAsia="IRNazanin" w:cs="IRNazanin"/>
          <w:lang w:bidi="fa-IR"/>
          <w:color w:val="111111"/>
          <w:sz w:val="28"/>
          <w:szCs w:val="28"/>
          <w:rtl/>
        </w:rPr>
        <w:t xml:space="preserve">۴۲۱. تهران؛ دانشگاه؛ شماره نسخه: ۴۳۳۰</w:t>
      </w:r>
    </w:p>
    <w:p>
      <w:pPr>
        <w:pStyle w:val="BookText"/>
      </w:pPr>
      <w:r>
        <w:rPr>
          <w:rFonts w:ascii="IRNazanin" w:hAnsi="IRNazanin" w:eastAsia="IRNazanin" w:cs="IRNazanin"/>
          <w:lang w:bidi="fa-IR"/>
          <w:color w:val="111111"/>
          <w:sz w:val="28"/>
          <w:szCs w:val="28"/>
          <w:rtl/>
        </w:rPr>
        <w:t xml:space="preserve">در پایان تاریخ «شب ۱۹ رجب ۴۱» آمده و نیز در آن دارد که این جنگ که خیلی خوب نوشته شده به نور چشمی آقا محمد ابراهیم داده می شود به خط رکن الممالک و مورخ ربیع الاول ۱۳۴۵  وشعرهای سعدی و طوفان و عاشق؛ خط: نستعلیق، بی کا، تا: قرن ۱۲؛ مجدول، کاغذ: سپاهانی، جلد: پارچه سرخ گرد و عطف تیماج قهوه ای ،۸۱گ، سطور چلیپا، ابعاد متن: 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 ۱۳ - ۳۲۸۹]</w:t>
      </w:r>
    </w:p>
    <w:p>
      <w:pPr>
        <w:pStyle w:val="BookText"/>
      </w:pPr>
      <w:r>
        <w:rPr>
          <w:rFonts w:ascii="IRNazanin" w:hAnsi="IRNazanin" w:eastAsia="IRNazanin" w:cs="IRNazanin"/>
          <w:lang w:bidi="fa-IR"/>
          <w:color w:val="111111"/>
          <w:sz w:val="28"/>
          <w:szCs w:val="28"/>
          <w:rtl/>
        </w:rPr>
        <w:t xml:space="preserve">۴۲۲ .تهران؛ دانشگاه؛ شماره نسخه: ۷۵۳۶</w:t>
      </w:r>
    </w:p>
    <w:p>
      <w:pPr>
        <w:pStyle w:val="BookText"/>
      </w:pPr>
      <w:r>
        <w:rPr>
          <w:rFonts w:ascii="IRNazanin" w:hAnsi="IRNazanin" w:eastAsia="IRNazanin" w:cs="IRNazanin"/>
          <w:lang w:bidi="fa-IR"/>
          <w:color w:val="111111"/>
          <w:sz w:val="28"/>
          <w:szCs w:val="28"/>
          <w:rtl/>
        </w:rPr>
        <w:t xml:space="preserve">شعرهای فارسی از [ شماره صفحات در فهرست موجود است]: اثر، ادا، ابو الحسن انجوى، مير ابوالقاسم، ايمر ميرزا جلال، ،اشرف آشوب، مازندری ،آصفی ،اعظم اکسیر ،اهلی،ایما، میرزا باقر وزیر قورچی، میر برهان ،بهجت ،بیان، بیزری ،تابعا ،تاثیر، تجلى، ملا حاجی محمد گیلانی ،حزنی، حسرت، آقا حسن خوانساری، آقا حکیم، خسرو، میرزا داود متولی، درکی، ذوقی، رضی الدین نیشابوری ،رضا ،رکنا ،زکی سامی، سخا، سراجای ،نقاش، سلطان على بیک، سلیم محمد قلی، آقا سليما، سنجر ،کاشی ،شاکر، محمد شریف ،شفائی، میرزا شفیع مستوفی موقوفات ،شعیب، شوکتی، شهابی میرزا خان شهیدی، صائب،</w:t>
      </w:r>
    </w:p>
    <w:p>
      <w:pPr>
        <w:pStyle w:val="BookText"/>
      </w:pPr>
      <w:r>
        <w:rPr>
          <w:rFonts w:ascii="Times New Roman" w:hAnsi="Times New Roman" w:eastAsia="Times New Roman" w:cs="Times New Roman"/>
          <w:lang w:val="en-US" w:bidi="en-US"/>
          <w:color w:val="111111"/>
          <w:sz w:val="28"/>
          <w:szCs w:val="28"/>
          <w:rtl/>
        </w:rPr>
        <w:t xml:space="preserve">749
</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صامت صادقا، صادق دستغیب، میرزا صالح شيخ الاسلام،میر سیدی، طائف گلپایگانی، طاقت میزا انورا، طالب اهلی، طایرا منشی ،ظفر ،میر ظلی ،عالی ،عبدالمولى، عزت باقرا، عشق میـرزا عبدالله، میرزا علی خان شيخ الاسلام، علی نقی کمره ای، غـنی، فائضا، فروغی، میرزا فصیحی، فکاری ،کلیم، کمال اسماعیل ،مالی ،مایلی، مجذوب، میر مبارک خان، محتشم کاشانی،میر محمد زمان، مخلصای کاشی ،مسیحا، مشرفی، مشتاق تویسرکانی، منهى مير عطا ،منصف، مسرور قزوینی، ملهم، میرزا قلی میلی، میرزا مهدی ،مهری، میر معصوم کاشی، میر معز مشهدی، نـادم گیلانی ،میرنجات، نجیبای کاشی ،نصیرای همدانی، نظیری،قاضی نور ،نورس، واهب ،واعظ ،وحید، میرزا همت، وحشی، ملا قلی، میرزا هادی، میر همایون، قاضی يحيى لاهیجی؛ خـط: نستعلیق، بی کا، تا: قرن ۱۱ و ۱۲؛ کاغذ: سپاهانی، جلد: تیماج تریاکی لایی، ۳۵گ، ابعاد متن: 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قطع:بغلی، اندازه: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۱۶ - ۶۱۷]</w:t>
      </w:r>
    </w:p>
    <w:p>
      <w:pPr>
        <w:pStyle w:val="BookText"/>
      </w:pPr>
      <w:r>
        <w:rPr>
          <w:rFonts w:ascii="IRNazanin" w:hAnsi="IRNazanin" w:eastAsia="IRNazanin" w:cs="IRNazanin"/>
          <w:lang w:bidi="fa-IR"/>
          <w:color w:val="111111"/>
          <w:sz w:val="28"/>
          <w:szCs w:val="28"/>
          <w:rtl/>
        </w:rPr>
        <w:t xml:space="preserve">۴۲۳. تهران؛ دانشگاه؛ شماره نسخه: ۳۴۸۹</w:t>
      </w:r>
    </w:p>
    <w:p>
      <w:pPr>
        <w:pStyle w:val="BookText"/>
      </w:pPr>
      <w:r>
        <w:rPr>
          <w:rFonts w:ascii="IRNazanin" w:hAnsi="IRNazanin" w:eastAsia="IRNazanin" w:cs="IRNazanin"/>
          <w:lang w:bidi="fa-IR"/>
          <w:color w:val="111111"/>
          <w:sz w:val="28"/>
          <w:szCs w:val="28"/>
          <w:rtl/>
        </w:rPr>
        <w:t xml:space="preserve">علاوه بر دیوان هایی که در این مجموعه هست و جداگانه معرفی شده است، در هامش و متن دو نامه ادیبانه در ص۳-۱ هست و شعرهای این شاعران [در فهرست صفحات ذکر شده است]: حافظ ،جامی، میر مشتاق ،(غزلیات) آقا محمد عاشق، سعدی، آذر، محتشم، صافی ،غیرت، درویش مجید، نیازی، مشهور، رامی، وحشی بافقی ،شفائی ،عرفی، رفیق، هاتف غزل و ترجیع بند ،حاجت، میرزا نصیر طبیب (بیمار و طبیب)، طوفان هـزار جریبی، قابل ،وحشی، شیخ بهائی ،آذر ،عارض، احمد جـام، حزين، فتح علی خان صبای کاشانی مثنوی فراق نامه، سامی مثنوی ،نشاط، مثنوی پیر و جوان میرزا نصیر طبیب، انیسی شاملو محمود و ایاز، میرزا صادق تفرشی هجری مثنوی و صبانامه ،غزالی، محمد قلی سلیم طهرانی قضا و قدر مجذوب غزل و ترکیب بند ، مجمر بعضی از حکایات و قطعات متفرقه به سـیاق گلستان و غزلیات او، یغمای جندقی غزل و رباعی، مولوی رومی غزل ،نظامی ،نظیر ،فضولی بغدادی ساقی نامه، مایل هزل و هـجو، سند حکایت و هزل به وزن مثنوی، خواجوی کرمانی فراق نامه، امیدی طهرانی، جوهری ساقی نامه در منقبت، اثر مطایبه، مهـری بحر طویل در مطایبه، نیاز ترکیب بند و غزل، وصال شیرازی، احمدی ،قاآنی، انشای فارسی، پروانه در هجو رونق شاعر؛ خـط: نستعلیق، بی کا، تا: قرن ۱۱ و ۱۲؛ مجدول، سه سر لوح زرین، مجلس تصویر؛ کاغذ: فرنگی آهار مهره، جلد: تيماج عنابی ضربی ترنجی زرکوب، ۴۳۳گ، ۱۵ سطر (7</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۱۱ - ۲۴۹۳]</w:t>
      </w:r>
    </w:p>
    <w:p>
      <w:pPr>
        <w:pStyle w:val="BookText"/>
      </w:pPr>
      <w:r>
        <w:rPr>
          <w:rFonts w:ascii="IRNazanin" w:hAnsi="IRNazanin" w:eastAsia="IRNazanin" w:cs="IRNazanin"/>
          <w:lang w:bidi="fa-IR"/>
          <w:color w:val="111111"/>
          <w:sz w:val="28"/>
          <w:szCs w:val="28"/>
          <w:rtl/>
        </w:rPr>
        <w:t xml:space="preserve">۴۲۴. تهران؛ ملک؛ شماره نسخه: ۶۲۴۷/۱۱</w:t>
      </w:r>
    </w:p>
    <w:p>
      <w:pPr>
        <w:pStyle w:val="BookText"/>
      </w:pPr>
      <w:r>
        <w:rPr>
          <w:rFonts w:ascii="IRNazanin" w:hAnsi="IRNazanin" w:eastAsia="IRNazanin" w:cs="IRNazanin"/>
          <w:lang w:bidi="fa-IR"/>
          <w:color w:val="111111"/>
          <w:sz w:val="28"/>
          <w:szCs w:val="28"/>
          <w:rtl/>
        </w:rPr>
        <w:t xml:space="preserve">آغاز: جهان بگشتم و دردا به هیچ شهر و دیار *** ندیده ام که فرونشد بخت در بازار</w:t>
      </w:r>
    </w:p>
    <w:p>
      <w:pPr>
        <w:pStyle w:val="BookText"/>
      </w:pPr>
      <w:r>
        <w:rPr>
          <w:rFonts w:ascii="IRNazanin" w:hAnsi="IRNazanin" w:eastAsia="IRNazanin" w:cs="IRNazanin"/>
          <w:lang w:bidi="fa-IR"/>
          <w:color w:val="111111"/>
          <w:sz w:val="28"/>
          <w:szCs w:val="28"/>
          <w:rtl/>
        </w:rPr>
        <w:t xml:space="preserve">قصیده عرفی در ۹۷ بیت؛ خط: شکسته نستعلیق، بی کا،تا: قـرن ۱۲ ؛کاغذ: ترمه، جلد: میشن لایی تریاکی، ۱۴ سطر، قطع: بياض رقعی :[ف: ۹ - ۲۹۵]</w:t>
      </w:r>
    </w:p>
    <w:p>
      <w:pPr>
        <w:pStyle w:val="BookText"/>
      </w:pPr>
      <w:r>
        <w:rPr>
          <w:rFonts w:ascii="IRNazanin" w:hAnsi="IRNazanin" w:eastAsia="IRNazanin" w:cs="IRNazanin"/>
          <w:lang w:bidi="fa-IR"/>
          <w:color w:val="111111"/>
          <w:sz w:val="28"/>
          <w:szCs w:val="28"/>
          <w:rtl/>
        </w:rPr>
        <w:t xml:space="preserve">۴۲۵. تهران؛ مجلس؛ شماره نسخه: ۱۳۱۸/۲</w:t>
      </w:r>
    </w:p>
    <w:p>
      <w:pPr>
        <w:pStyle w:val="BookText"/>
      </w:pPr>
      <w:r>
        <w:rPr>
          <w:rFonts w:ascii="IRNazanin" w:hAnsi="IRNazanin" w:eastAsia="IRNazanin" w:cs="IRNazanin"/>
          <w:lang w:bidi="fa-IR"/>
          <w:color w:val="111111"/>
          <w:sz w:val="28"/>
          <w:szCs w:val="28"/>
          <w:rtl/>
        </w:rPr>
        <w:t xml:space="preserve">رباعیات سحابی است؛ خط: نستعلیق، کا: ملا محمد، تا: قرن ۱۲؛ مجدول؛ کاغذ: سفیی ،جلد: تیماج آلبالویی ضربی، ۸۷۱ص (۳۰- ۹۰۱)، ۱۷ سطر [سنا: ف: ۲ - ۲۲۱]</w:t>
      </w:r>
    </w:p>
    <w:p>
      <w:pPr>
        <w:pStyle w:val="BookText"/>
      </w:pPr>
      <w:r>
        <w:rPr>
          <w:rFonts w:ascii="IRNazanin" w:hAnsi="IRNazanin" w:eastAsia="IRNazanin" w:cs="IRNazanin"/>
          <w:lang w:bidi="fa-IR"/>
          <w:color w:val="111111"/>
          <w:sz w:val="28"/>
          <w:szCs w:val="28"/>
          <w:rtl/>
        </w:rPr>
        <w:t xml:space="preserve">۴۲۶. تهران؛ مجلس؛ شماره نسخه: ۱۴۱۹۰/۴۸</w:t>
      </w:r>
    </w:p>
    <w:p>
      <w:pPr>
        <w:pStyle w:val="BookText"/>
      </w:pPr>
      <w:r>
        <w:rPr>
          <w:rFonts w:ascii="IRNazanin" w:hAnsi="IRNazanin" w:eastAsia="IRNazanin" w:cs="IRNazanin"/>
          <w:lang w:bidi="fa-IR"/>
          <w:color w:val="111111"/>
          <w:sz w:val="28"/>
          <w:szCs w:val="28"/>
          <w:rtl/>
        </w:rPr>
        <w:t xml:space="preserve">رباعیات بیان است؛ کاتب = مؤلف، تا: قرن ۱۲؛ ۴ ص (۶۷-۶۴) ۴ص  [ف: ۳۸ – ۲۵۵]</w:t>
      </w:r>
    </w:p>
    <w:p>
      <w:pPr>
        <w:pStyle w:val="BookText"/>
      </w:pPr>
      <w:r>
        <w:rPr>
          <w:rFonts w:ascii="IRNazanin" w:hAnsi="IRNazanin" w:eastAsia="IRNazanin" w:cs="IRNazanin"/>
          <w:lang w:bidi="fa-IR"/>
          <w:color w:val="111111"/>
          <w:sz w:val="28"/>
          <w:szCs w:val="28"/>
          <w:rtl/>
        </w:rPr>
        <w:t xml:space="preserve">۴۲۷. تهران؛ مجلس؛ شماره نسخه: 58/ 14190</w:t>
      </w:r>
    </w:p>
    <w:p>
      <w:pPr>
        <w:pStyle w:val="BookText"/>
      </w:pPr>
      <w:r>
        <w:rPr>
          <w:rFonts w:ascii="IRNazanin" w:hAnsi="IRNazanin" w:eastAsia="IRNazanin" w:cs="IRNazanin"/>
          <w:lang w:bidi="fa-IR"/>
          <w:color w:val="111111"/>
          <w:sz w:val="28"/>
          <w:szCs w:val="28"/>
          <w:rtl/>
        </w:rPr>
        <w:t xml:space="preserve">با سروده هایی از این شعرا [در فهرست شماره صفحات هست]: آزار بلخی، شیخ آزری ،آشوب ،آصفی، ابراهیم ادهم، ابراهیم سیستانی، میرزا ابراهیم، ابن یمین، ابوالحسن جامی، ابوالحسن فراهانی، میرزا ابوالحسن، ابوالفضل دکنی، ابوالقاسم جامی، ابوالقاسم قندزی، ابوتراب بیگ، ابوسعید ابوالخير، ابوطالب حكيم (انتخاب تعریف قحطی دکن که ابو طالب حکیم گفته)، میر اجری یزدی ،اختر، خواجه اسد همدانی ،اسیر ،اسیری ،اشرف میرزا، میر اطهری ،اعجاز ،اغبار، ملا امری، امیر خسرو، امیر شاهی، امینای یزدی ،انیسی، اوجی، اوحدی (از جام جم)، اهلی شیرازی، بابا احمد منتهی (؟) ،باباقغانی، بابا نصیبی، باقرا مشهدی، میرزا باقر، میرزا باقر وزیر قورچی ،میرزا ،باقیا، باقی افندی، بدیع بلخی، بدیع، میر برهان، برهمن هندو، میرزا بسطام دست غیب، بنایی، بهارن بیگ ساوه ای ،پنهان، تجلس شیرازی، ترسیم، تمکین ،جامی، جعفر مرندی (؟)، میرزا جلال  اسیر، میرزا جلال، چلبی بیگ، حاتم کاشی، حافی، حامی، حسن بیگ رفیع، حسن بیگ قلى، حسن خان، حسن دهلوی، خواجه حسن شاه، حسن یزدی، خواجه حسین سیستانی، میرزا حسین واهب، حسین یزدی، میرحسینی ،حمزه خان، حیدر ،حیرتی، خاقانی، خان احمد ،خضر بیگ، خلف قزوینی، خواجه نصیر طوسی، خیام، نواب داراشکوه، دانا، دانش، داوود الفت، در کی قمی، درویش دهکی، راهب، رشيدا میناکار، رضی قزوینی، میر رضی ،رفیع ،حکیم رکنا ،روشنی همدانی ،زکی، زکی همدانی ،زلالی ،سالک ،سحابی، سراجا نقاش، سروی، سعدالدین وزیر خراسان، سعدی، سعيدا، سلطان حسین میرزا، سلطان علی بیگ، سلمان، سلمان ساوجی، سلیم، میر سلیم طهرانی، سمندر، سنایی(۸۱پ، با تاریخ رمضان ۱۰۷۲ قدر پایان آن از حدیقه )؛سنجر، میر سیدی، ،شاپور ،شانی، شانی تکلویی، شاه بوداق بیگ یاروجلو، شاه طاهر دکنی، میرزا شجاع، میر شریف مشهدی، شریف منشور، شفایی، میرزا شکیب اصفهانی، شوکت بخاری، شوکتی، شهیدی، شیدا، شیدای هندی ،صابر، صانع ترکمان، صایب، میر صبحی، صفی قلی بیگ ناظر، صنعت ،صوفی، میر صیدی طهرانی، ضمیری، طالب ،آملی ،طالب، طالب کلیم، میرزا طاهر، ميرزا طاهر وحيد، طبيب ،طوسی ،ظفرخان ،ظلی ،ظهوری ظهیر فاریابی(۱۳۹ر، با
</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تاریخ ۱۲۷۲ق در حاشیه صفحه)، عاقلا قزوینی ،عاملا، عبدالباقی نهاوندی، ملا عبد الصمد، میرزا عبدالقادر، خواجه عبدالله مروارید، میرزا عبدالله منشی، عرفان غوری ،عرفی ،عزتی ،میرزا، میر عطا اصفهانی، عطاء حكيم، عطاء مير، مير عطاء منهى، ميرزا على خان بن میرزا موسی خان، آقا علی کاشی، عین علی جرپادقانی ،غنی کشمیری، غیاثا، غیاثاء حلوایی، فاضل کاشی، فاضل لاهجی، فایض بیدگل، فایق، میرزا فتوی، فخر رازی ،فرصت، فصیحی سبزواری، میرزا ،فصیحی،شیخ فضل نعیم (۱۴۴ پ از افاق انفس)، فضولی (۱۱۴پ انتخاب لیلی و مجنون)، فضیل بخاری ،فغانی ،فهمی ،فیضی، قاسماء خویش نویس، قاسم، قاسم کلیمی، ملا قاسم، قاضی تونک، قاضی ناصر، قدسی، قصیرا، قلی میلی،میرزا ،قوللراقاسی به نواب حسن خان، قیصرا ترکمان، کاتبی ،کاهی، کلیم، کمال اسمعیل، ملا گنجی، لطف الله نیشابوری ،مجنون، محمد بیگ فرصت، محمد حسین اصفهانی، حافـظ، محمد حسین کاشفی، حکیم محمد زمان اثرا، میر محمد شـفیع اوبهی، محمدصادق، ملا محمد صادق، حکیم محمد طاهر غوریانی، ملا محمد قاسم، محمدقلی سلیم، محوی، مختار بیـگ ،اسیری، مرتضی قلی خان ،مرشد، مرشد قلی بیگ، مسعود ،مشفقی ،مشهور، میر معزالدین غوری، میر معصوم، میرزا معصـوم، میر معنی ،مفید، مقتدا مقید بلخی، مقیماء مقصود، ميرزامقیم کتابدار ،مکتبی، ملک قمی، میرزا ملک مشرقی، ملک نصر...؛ شیخ منصور، میرزا منصور، مولوی رومی ،مومن، مومن حسـین یزدی، مهدی بیگ، میرقل... ،(؟) میرلوحی، میلی، نادم ،ناصر خسرو ،ناظم، میر نجات ،نسیم ،نسیمی ،نصیبی، نصیراء همدانی ،نطقی، میرزا نظام دست غیب، شیخ نظامی، نظیـری نیشابوری، سید نعمت الله، نواب حسن خان به قللر آقاسی، نواب سلطان اعظم ،نوابی نوروزعلی بیگ، واقف ،واله واهـب ،وحشى ،وحید ،ولی ،هاتفی، میرزا هادی وزیر شیراز ،هلالی یمین ،کمره، میرزا یوسف فزوینی؛ کاتب = مؤلف، تا: قرن ۱۲، ۱ص (۷۸ پ) [ف: ۳۸ - ۲۵۶]</w:t>
      </w:r>
    </w:p>
    <w:p>
      <w:pPr>
        <w:pStyle w:val="BookText"/>
      </w:pPr>
      <w:r>
        <w:rPr>
          <w:rFonts w:ascii="IRNazanin" w:hAnsi="IRNazanin" w:eastAsia="IRNazanin" w:cs="IRNazanin"/>
          <w:lang w:bidi="fa-IR"/>
          <w:color w:val="111111"/>
          <w:sz w:val="28"/>
          <w:szCs w:val="28"/>
          <w:rtl/>
        </w:rPr>
        <w:t xml:space="preserve">۴۲۸. تهران؛ مجلس؛ شماره نسخه: ۱۴۱۹۰/۱۰۱</w:t>
      </w:r>
    </w:p>
    <w:p>
      <w:pPr>
        <w:pStyle w:val="BookText"/>
      </w:pPr>
      <w:r>
        <w:rPr>
          <w:rFonts w:ascii="IRNazanin" w:hAnsi="IRNazanin" w:eastAsia="IRNazanin" w:cs="IRNazanin"/>
          <w:lang w:bidi="fa-IR"/>
          <w:color w:val="111111"/>
          <w:sz w:val="28"/>
          <w:szCs w:val="28"/>
          <w:rtl/>
        </w:rPr>
        <w:t xml:space="preserve">از جواد حسینی. از این کسان نیز سروده هایی در این سفینه نوشته شده[ شماره صفحات در فهرست هست]: ابن سینا، ابوسـعید ابوالخير، امير المؤمنین (علیه السّلام)، بابافغانی ،بابانصیبی، جامی، جلال میرزا، آقا حسین سلمه الله ،ملا درکی، حکیم ركنا، سعدی ، شاه طهماسب انار الله برهانه، میرزا صادق دست غیب، میر صفی اصفهانی ،ضمیری، طالب نصیب ،غزالی ،فیاض، قدسی قدس سره ،ملا گنجعلی، مجنون ،عامری ،میرزا محمد سعيد حكـیم، محمدعلی شوقی، میرسید شریف، شیخ نظامی ،نظیری، وحـید؛ كاتب = مؤلف، تا: قرن ۱۲؛ ۱گ (۱۲۸ ر -۱۲۸ پ) [ف: ۳۸ - 259]</w:t>
      </w:r>
    </w:p>
    <w:p>
      <w:pPr>
        <w:pStyle w:val="BookText"/>
      </w:pPr>
      <w:r>
        <w:rPr>
          <w:rFonts w:ascii="IRNazanin" w:hAnsi="IRNazanin" w:eastAsia="IRNazanin" w:cs="IRNazanin"/>
          <w:lang w:bidi="fa-IR"/>
          <w:color w:val="111111"/>
          <w:sz w:val="28"/>
          <w:szCs w:val="28"/>
          <w:rtl/>
        </w:rPr>
        <w:t xml:space="preserve">۴۲۹. تهران؛ مجلس؛ شماره نسخه: ۱۴۱۹۰/۵۱</w:t>
      </w:r>
    </w:p>
    <w:p>
      <w:pPr>
        <w:pStyle w:val="BookText"/>
      </w:pPr>
      <w:r>
        <w:rPr>
          <w:rFonts w:ascii="IRNazanin" w:hAnsi="IRNazanin" w:eastAsia="IRNazanin" w:cs="IRNazanin"/>
          <w:lang w:bidi="fa-IR"/>
          <w:color w:val="111111"/>
          <w:sz w:val="28"/>
          <w:szCs w:val="28"/>
          <w:rtl/>
        </w:rPr>
        <w:t xml:space="preserve">از میرزا محمد تقی نواده اعتماد الدوله؛ كاتب = مؤلف، تا: قرن ۱۲، ۲گ( ۶۹پ-۶۸ پ) [ف: ۳۸ - ۲۵۵]</w:t>
      </w:r>
    </w:p>
    <w:p>
      <w:pPr>
        <w:pStyle w:val="BookText"/>
      </w:pPr>
      <w:r>
        <w:rPr>
          <w:rFonts w:ascii="IRNazanin" w:hAnsi="IRNazanin" w:eastAsia="IRNazanin" w:cs="IRNazanin"/>
          <w:lang w:bidi="fa-IR"/>
          <w:color w:val="111111"/>
          <w:sz w:val="28"/>
          <w:szCs w:val="28"/>
          <w:rtl/>
        </w:rPr>
        <w:t xml:space="preserve">۴۳۰. تهران؛ مجلس؛ شماره نسخه: ۱۴۱۹۰/۹۳</w:t>
      </w:r>
    </w:p>
    <w:p>
      <w:pPr>
        <w:pStyle w:val="BookText"/>
      </w:pPr>
      <w:r>
        <w:rPr>
          <w:rFonts w:ascii="IRNazanin" w:hAnsi="IRNazanin" w:eastAsia="IRNazanin" w:cs="IRNazanin"/>
          <w:lang w:bidi="fa-IR"/>
          <w:color w:val="111111"/>
          <w:sz w:val="28"/>
          <w:szCs w:val="28"/>
          <w:rtl/>
        </w:rPr>
        <w:t xml:space="preserve">کاتب = مؤلف، تا: قرن ۱۲؛ ۱ص (۱۲۰ر) [ف: ۳۸ - ۲۵۸۷]</w:t>
      </w:r>
    </w:p>
    <w:p>
      <w:pPr>
        <w:pStyle w:val="BookText"/>
      </w:pPr>
      <w:r>
        <w:rPr>
          <w:rFonts w:ascii="IRNazanin" w:hAnsi="IRNazanin" w:eastAsia="IRNazanin" w:cs="IRNazanin"/>
          <w:lang w:bidi="fa-IR"/>
          <w:color w:val="111111"/>
          <w:sz w:val="28"/>
          <w:szCs w:val="28"/>
          <w:rtl/>
        </w:rPr>
        <w:t xml:space="preserve">۴۳۱. تهران؛ مجلس؛ شماره نسخه: ۱۴۱۹۰/۱۴</w:t>
      </w:r>
    </w:p>
    <w:p>
      <w:pPr>
        <w:pStyle w:val="BookText"/>
      </w:pPr>
      <w:r>
        <w:rPr>
          <w:rFonts w:ascii="Amiri" w:hAnsi="Amiri" w:eastAsia="Amiri" w:cs="Amiri"/>
          <w:lang w:bidi="ar-SA"/>
          <w:color w:val="111111"/>
          <w:sz w:val="28"/>
          <w:szCs w:val="28"/>
          <w:rtl/>
        </w:rPr>
        <w:t xml:space="preserve">كاتب = مؤلف، تا: قرن ۱۲؛ ۱ص (۲۸ ر ) [ف: ۳۸ - ۲۵۸]</w:t>
      </w:r>
    </w:p>
    <w:p>
      <w:pPr>
        <w:pStyle w:val="BookText"/>
      </w:pPr>
      <w:r>
        <w:rPr>
          <w:rFonts w:ascii="IRNazanin" w:hAnsi="IRNazanin" w:eastAsia="IRNazanin" w:cs="IRNazanin"/>
          <w:lang w:bidi="fa-IR"/>
          <w:color w:val="111111"/>
          <w:sz w:val="28"/>
          <w:szCs w:val="28"/>
          <w:rtl/>
        </w:rPr>
        <w:t xml:space="preserve">۴۳۲. تهران؛ مجلس؛ شماره نسخه: ۱۴۱۹۰/۴۴</w:t>
      </w:r>
    </w:p>
    <w:p>
      <w:pPr>
        <w:pStyle w:val="BookText"/>
      </w:pPr>
      <w:r>
        <w:rPr>
          <w:rFonts w:ascii="Amiri" w:hAnsi="Amiri" w:eastAsia="Amiri" w:cs="Amiri"/>
          <w:lang w:bidi="ar-SA"/>
          <w:color w:val="111111"/>
          <w:sz w:val="28"/>
          <w:szCs w:val="28"/>
          <w:rtl/>
        </w:rPr>
        <w:t xml:space="preserve">كاتب = مؤلف، تا: قرن ۱۲؛ ۱ص (۶۲ ر) [ف: ۳۸ - ۲۵۵]</w:t>
      </w:r>
    </w:p>
    <w:p>
      <w:pPr>
        <w:pStyle w:val="BookText"/>
      </w:pPr>
      <w:r>
        <w:rPr>
          <w:rFonts w:ascii="IRNazanin" w:hAnsi="IRNazanin" w:eastAsia="IRNazanin" w:cs="IRNazanin"/>
          <w:lang w:bidi="fa-IR"/>
          <w:color w:val="111111"/>
          <w:sz w:val="28"/>
          <w:szCs w:val="28"/>
          <w:rtl/>
        </w:rPr>
        <w:t xml:space="preserve">۴۳۳. تهران؛ مجلس؛ شماره نسخه: ۱۴۱۹۰۷۸</w:t>
      </w:r>
    </w:p>
    <w:p>
      <w:pPr>
        <w:pStyle w:val="BookText"/>
      </w:pPr>
      <w:r>
        <w:rPr>
          <w:rFonts w:ascii="IRNazanin" w:hAnsi="IRNazanin" w:eastAsia="IRNazanin" w:cs="IRNazanin"/>
          <w:lang w:bidi="fa-IR"/>
          <w:color w:val="111111"/>
          <w:sz w:val="28"/>
          <w:szCs w:val="28"/>
          <w:rtl/>
        </w:rPr>
        <w:t xml:space="preserve">كاتب = مؤلف، تا: قرن ۱۲ ۱ص (۱۰۹ر- ۱۰۹پ) [ف: ۳۸ - ۲۵۷]</w:t>
      </w:r>
    </w:p>
    <w:p>
      <w:pPr>
        <w:pStyle w:val="BookText"/>
      </w:pPr>
      <w:r>
        <w:rPr>
          <w:rFonts w:ascii="IRNazanin" w:hAnsi="IRNazanin" w:eastAsia="IRNazanin" w:cs="IRNazanin"/>
          <w:lang w:bidi="fa-IR"/>
          <w:color w:val="111111"/>
          <w:sz w:val="28"/>
          <w:szCs w:val="28"/>
          <w:rtl/>
        </w:rPr>
        <w:t xml:space="preserve">۴۳۴ .تهران؛ مجلس؛ شماره نسخه: ۱۴۱۹۰۳۹</w:t>
      </w:r>
    </w:p>
    <w:p>
      <w:pPr>
        <w:pStyle w:val="BookText"/>
      </w:pPr>
      <w:r>
        <w:rPr>
          <w:rFonts w:ascii="IRNazanin" w:hAnsi="IRNazanin" w:eastAsia="IRNazanin" w:cs="IRNazanin"/>
          <w:lang w:bidi="fa-IR"/>
          <w:color w:val="111111"/>
          <w:sz w:val="28"/>
          <w:szCs w:val="28"/>
          <w:rtl/>
        </w:rPr>
        <w:t xml:space="preserve">كاتب = مؤلف، تا: قرن ۱۲؛ ۲گ (۵۸ پ - ۵۹ر) [ف: ۳۸ - ۲۵۴]</w:t>
      </w:r>
    </w:p>
    <w:p>
      <w:pPr>
        <w:pStyle w:val="BookText"/>
      </w:pPr>
      <w:r>
        <w:rPr>
          <w:rFonts w:ascii="IRNazanin" w:hAnsi="IRNazanin" w:eastAsia="IRNazanin" w:cs="IRNazanin"/>
          <w:lang w:bidi="fa-IR"/>
          <w:color w:val="111111"/>
          <w:sz w:val="28"/>
          <w:szCs w:val="28"/>
          <w:rtl/>
        </w:rPr>
        <w:t xml:space="preserve">۴۳۵. تهران؛ مجلس؛ شماره نسخه ۱۴۱۹۰/۴۰</w:t>
      </w:r>
    </w:p>
    <w:p>
      <w:pPr>
        <w:pStyle w:val="BookText"/>
      </w:pPr>
      <w:r>
        <w:rPr>
          <w:rFonts w:ascii="IRNazanin" w:hAnsi="IRNazanin" w:eastAsia="IRNazanin" w:cs="IRNazanin"/>
          <w:lang w:bidi="fa-IR"/>
          <w:color w:val="111111"/>
          <w:sz w:val="28"/>
          <w:szCs w:val="28"/>
          <w:rtl/>
        </w:rPr>
        <w:t xml:space="preserve">غزل از محمد سعید مشعل دار باشی؛ کاتب = مؤلف، تا قرن ۱۲؛  ۲گ( ۵۹پ - ۶۰ر) [ف: ۳۸ - ۲۵۵]</w:t>
      </w:r>
    </w:p>
    <w:p>
      <w:pPr>
        <w:pStyle w:val="BookText"/>
      </w:pPr>
      <w:r>
        <w:rPr>
          <w:rFonts w:ascii="IRNazanin" w:hAnsi="IRNazanin" w:eastAsia="IRNazanin" w:cs="IRNazanin"/>
          <w:lang w:bidi="fa-IR"/>
          <w:color w:val="111111"/>
          <w:sz w:val="28"/>
          <w:szCs w:val="28"/>
          <w:rtl/>
        </w:rPr>
        <w:t xml:space="preserve">۴۳۶. تهران؛ مجلس؛ شماره نسخه: ۱۴۱۹۰/۴۱</w:t>
      </w:r>
    </w:p>
    <w:p>
      <w:pPr>
        <w:pStyle w:val="BookText"/>
      </w:pPr>
      <w:r>
        <w:rPr>
          <w:rFonts w:ascii="IRNazanin" w:hAnsi="IRNazanin" w:eastAsia="IRNazanin" w:cs="IRNazanin"/>
          <w:lang w:bidi="fa-IR"/>
          <w:color w:val="111111"/>
          <w:sz w:val="28"/>
          <w:szCs w:val="28"/>
          <w:rtl/>
        </w:rPr>
        <w:t xml:space="preserve">غزل از عرفان؛ کاتب= مؤلف، تا: قرن ۱۲؛ ۱ ص( ۶۰ پ) [ف: ۳۸ - ۲۵۵]</w:t>
      </w:r>
    </w:p>
    <w:p>
      <w:pPr>
        <w:pStyle w:val="BookText"/>
      </w:pPr>
      <w:r>
        <w:rPr>
          <w:rFonts w:ascii="IRNazanin" w:hAnsi="IRNazanin" w:eastAsia="IRNazanin" w:cs="IRNazanin"/>
          <w:lang w:bidi="fa-IR"/>
          <w:color w:val="111111"/>
          <w:sz w:val="28"/>
          <w:szCs w:val="28"/>
          <w:rtl/>
        </w:rPr>
        <w:t xml:space="preserve">۴۳۷. تهران؛ مجلس؛ شماره نسخه: 38/ 14190</w:t>
      </w:r>
    </w:p>
    <w:p>
      <w:pPr>
        <w:pStyle w:val="BookText"/>
      </w:pPr>
      <w:r>
        <w:rPr>
          <w:rFonts w:ascii="IRNazanin" w:hAnsi="IRNazanin" w:eastAsia="IRNazanin" w:cs="IRNazanin"/>
          <w:lang w:bidi="fa-IR"/>
          <w:color w:val="111111"/>
          <w:sz w:val="28"/>
          <w:szCs w:val="28"/>
          <w:rtl/>
        </w:rPr>
        <w:t xml:space="preserve">غزل از رضا؛ کاتب= مؤلف، تا: قرن ۱۲؛ ۱ص (۵۸ر) [ف: ۳۸-۲۵۴]</w:t>
      </w:r>
    </w:p>
    <w:p>
      <w:pPr>
        <w:pStyle w:val="BookText"/>
      </w:pPr>
      <w:r>
        <w:rPr>
          <w:rFonts w:ascii="IRNazanin" w:hAnsi="IRNazanin" w:eastAsia="IRNazanin" w:cs="IRNazanin"/>
          <w:lang w:bidi="fa-IR"/>
          <w:color w:val="111111"/>
          <w:sz w:val="28"/>
          <w:szCs w:val="28"/>
          <w:rtl/>
        </w:rPr>
        <w:t xml:space="preserve">۴۳۸. تهران؛ مجلس؛ شماره نسخه: ۹۴۸۰/۶۸</w:t>
      </w:r>
    </w:p>
    <w:p>
      <w:pPr>
        <w:pStyle w:val="BookText"/>
      </w:pPr>
      <w:r>
        <w:rPr>
          <w:rFonts w:ascii="IRNazanin" w:hAnsi="IRNazanin" w:eastAsia="IRNazanin" w:cs="IRNazanin"/>
          <w:lang w:bidi="fa-IR"/>
          <w:color w:val="111111"/>
          <w:sz w:val="28"/>
          <w:szCs w:val="28"/>
          <w:rtl/>
        </w:rPr>
        <w:t xml:space="preserve">در رثاء میرزا ابراهیم سلطان العلماء شاید از میرزا ابراهیم همان پسر سلطان العلماء معروف به سلطان باشد؛ خط: نستعلیق، كاتب =  مؤلف، تا: قرن ۱۲؛ ۱ص (۲۶۷) [مختصر: ف: - ۶۰]</w:t>
      </w:r>
    </w:p>
    <w:p>
      <w:pPr>
        <w:pStyle w:val="BookText"/>
      </w:pPr>
      <w:r>
        <w:rPr>
          <w:rFonts w:ascii="IRNazanin" w:hAnsi="IRNazanin" w:eastAsia="IRNazanin" w:cs="IRNazanin"/>
          <w:lang w:bidi="fa-IR"/>
          <w:color w:val="111111"/>
          <w:sz w:val="28"/>
          <w:szCs w:val="28"/>
          <w:rtl/>
        </w:rPr>
        <w:t xml:space="preserve">۴۳۹. تهران؛ مجلس؛ شماره نسخه: ۱۳۱۸/۵</w:t>
      </w:r>
    </w:p>
    <w:p>
      <w:pPr>
        <w:pStyle w:val="BookText"/>
      </w:pPr>
      <w:r>
        <w:rPr>
          <w:rFonts w:ascii="IRNazanin" w:hAnsi="IRNazanin" w:eastAsia="IRNazanin" w:cs="IRNazanin"/>
          <w:lang w:bidi="fa-IR"/>
          <w:color w:val="111111"/>
          <w:sz w:val="28"/>
          <w:szCs w:val="28"/>
          <w:rtl/>
        </w:rPr>
        <w:t xml:space="preserve">رباعیات امیر صابر؛ خط: نستعلیق، کا: ملا محمد، تا: قرن ۱۲؛ سطور چلیپا ،مجدول؛ کاغذ: سفید ،جلد: تیماج آلبالوئی ضربی و مقوایی با ترنج و گوشه، ۶ص (۹۷۴-۹۷۹)، ۱۷ سطر [سنا: ف: ۲ - ۲۲۲]</w:t>
      </w:r>
    </w:p>
    <w:p>
      <w:pPr>
        <w:pStyle w:val="BookText"/>
      </w:pPr>
      <w:r>
        <w:rPr>
          <w:rFonts w:ascii="IRNazanin" w:hAnsi="IRNazanin" w:eastAsia="IRNazanin" w:cs="IRNazanin"/>
          <w:lang w:bidi="fa-IR"/>
          <w:color w:val="111111"/>
          <w:sz w:val="28"/>
          <w:szCs w:val="28"/>
          <w:rtl/>
        </w:rPr>
        <w:t xml:space="preserve">۴۴۰. تهران؛ مجلس؛ شماره نسخه: ۱۱۶۲/۱۱-طباطبائی</w:t>
      </w:r>
    </w:p>
    <w:p>
      <w:pPr>
        <w:pStyle w:val="BookText"/>
      </w:pPr>
      <w:r>
        <w:rPr>
          <w:rFonts w:ascii="IRNazanin" w:hAnsi="IRNazanin" w:eastAsia="IRNazanin" w:cs="IRNazanin"/>
          <w:lang w:bidi="fa-IR"/>
          <w:color w:val="111111"/>
          <w:sz w:val="28"/>
          <w:szCs w:val="28"/>
          <w:rtl/>
        </w:rPr>
        <w:t xml:space="preserve">آغاز: یا رب این وادی ایمن از کدامین موسی است*** کزچراغ حرمش صدید و بیضا بر پاست / این فلک مرتبه در گزر کدامین  شاهست ***کاندر آن پرتو خورشید کم از نور سهاست</w:t>
      </w:r>
    </w:p>
    <w:p>
      <w:pPr>
        <w:pStyle w:val="BookText"/>
      </w:pPr>
      <w:r>
        <w:rPr>
          <w:rFonts w:ascii="IRNazanin" w:hAnsi="IRNazanin" w:eastAsia="IRNazanin" w:cs="IRNazanin"/>
          <w:lang w:bidi="fa-IR"/>
          <w:color w:val="111111"/>
          <w:sz w:val="28"/>
          <w:szCs w:val="28"/>
          <w:rtl/>
        </w:rPr>
        <w:t xml:space="preserve">قصیده ای است در ۴۰ بیت در مدح کاظمین (علیه السّلام) از آقا یحیی خادم؛ خط: شکسته نستعلیق خوب، کا: آقا نور ابن حاج نقد علی، تا: قرن ۱۲ ؛۲گ (۱۱-۱۲) [ف: ۲۳ - ۶۴۹]</w:t>
      </w:r>
    </w:p>
    <w:p>
      <w:pPr>
        <w:pStyle w:val="BookText"/>
      </w:pPr>
      <w:r>
        <w:rPr>
          <w:rFonts w:ascii="IRNazanin" w:hAnsi="IRNazanin" w:eastAsia="IRNazanin" w:cs="IRNazanin"/>
          <w:lang w:bidi="fa-IR"/>
          <w:color w:val="111111"/>
          <w:sz w:val="28"/>
          <w:szCs w:val="28"/>
          <w:rtl/>
        </w:rPr>
        <w:t xml:space="preserve">۴۴۱. تهران؛ مجلس؛ شماره نسخه: ۹۴۸۰/۶۸</w:t>
      </w:r>
    </w:p>
    <w:p>
      <w:pPr>
        <w:pStyle w:val="BookText"/>
      </w:pPr>
      <w:r>
        <w:rPr>
          <w:rFonts w:ascii="IRNazanin" w:hAnsi="IRNazanin" w:eastAsia="IRNazanin" w:cs="IRNazanin"/>
          <w:lang w:bidi="fa-IR"/>
          <w:color w:val="111111"/>
          <w:sz w:val="28"/>
          <w:szCs w:val="28"/>
          <w:rtl/>
        </w:rPr>
        <w:t xml:space="preserve">از ابوتراب رضوی، و جز آن؛ خط: نستعلیق تحریری، بی کا، تا: قرن ۱۱ و ۱۲؛ ۱ص (۲۶۶) [مختصر: ف: - ۶۳]</w:t>
      </w:r>
    </w:p>
    <w:p>
      <w:pPr>
        <w:pStyle w:val="BookText"/>
      </w:pPr>
      <w:r>
        <w:rPr>
          <w:rFonts w:ascii="IRNazanin" w:hAnsi="IRNazanin" w:eastAsia="IRNazanin" w:cs="IRNazanin"/>
          <w:lang w:bidi="fa-IR"/>
          <w:color w:val="111111"/>
          <w:sz w:val="28"/>
          <w:szCs w:val="28"/>
          <w:rtl/>
        </w:rPr>
        <w:t xml:space="preserve">۴۴۲. تهران؛ مجلس؛ شماره نسخه: ۹۴۶۹/۱</w:t>
      </w:r>
    </w:p>
    <w:p>
      <w:pPr>
        <w:pStyle w:val="BookText"/>
      </w:pPr>
      <w:r>
        <w:rPr>
          <w:rFonts w:ascii="IRNazanin" w:hAnsi="IRNazanin" w:eastAsia="IRNazanin" w:cs="IRNazanin"/>
          <w:lang w:bidi="fa-IR"/>
          <w:color w:val="111111"/>
          <w:sz w:val="28"/>
          <w:szCs w:val="28"/>
          <w:rtl/>
        </w:rPr>
        <w:t xml:space="preserve">اشعار از سلطان علی بیک، وحید، محمد طاهر اراسنجی، میرزا جعفر آصف خان قزوینی ،رکنا کاشانی، ملا حاجی محمد گیلانی ،فضولی، صامت، ملا محمد قاسم کاشانی، مشهدی، میرزا علی خان شيخ الاسلام گلپایگان؛ خط: نستعليق، كا: محمد طاهراراسنجی، تا: قرن ۱۱ و ۱۲؛ ۲ص (۳-۱) [مختصر: ف: - ۶۴]</w:t>
      </w:r>
    </w:p>
    <w:p>
      <w:pPr>
        <w:pStyle w:val="BookText"/>
      </w:pPr>
      <w:r>
        <w:rPr>
          <w:rFonts w:ascii="IRNazanin" w:hAnsi="IRNazanin" w:eastAsia="IRNazanin" w:cs="IRNazanin"/>
          <w:lang w:bidi="fa-IR"/>
          <w:color w:val="111111"/>
          <w:sz w:val="28"/>
          <w:szCs w:val="28"/>
          <w:rtl/>
        </w:rPr>
        <w:t xml:space="preserve">443.تهران؛ مجلس؛ شماره نسخه: ۸۹۷۱/۲۴</w:t>
      </w:r>
    </w:p>
    <w:p>
      <w:pPr>
        <w:pStyle w:val="BookText"/>
      </w:pPr>
      <w:r>
        <w:rPr>
          <w:rFonts w:ascii="IRNazanin" w:hAnsi="IRNazanin" w:eastAsia="IRNazanin" w:cs="IRNazanin"/>
          <w:lang w:bidi="fa-IR"/>
          <w:color w:val="111111"/>
          <w:sz w:val="28"/>
          <w:szCs w:val="28"/>
          <w:rtl/>
        </w:rPr>
        <w:t xml:space="preserve">اشعاری از سعدی و ابن سینا ؛خط: نستعلیق، بی کا، تا: قرن ۱۲ ؛
</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کاغذ: فرنگی نخودی آهار مهره، جلد: میشن مشکی، اگ ( ۵۱ر-51 پ حاشیه )،۲۳ سطر (۹/۵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 اندازه: ۱۶/۲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۲۶/۱سم [1/ 29- 504]</w:t>
      </w:r>
    </w:p>
    <w:p>
      <w:pPr>
        <w:pStyle w:val="BookText"/>
      </w:pPr>
      <w:r>
        <w:rPr>
          <w:rFonts w:ascii="IRNazanin" w:hAnsi="IRNazanin" w:eastAsia="IRNazanin" w:cs="IRNazanin"/>
          <w:lang w:bidi="fa-IR"/>
          <w:color w:val="111111"/>
          <w:sz w:val="28"/>
          <w:szCs w:val="28"/>
          <w:rtl/>
        </w:rPr>
        <w:t xml:space="preserve">۴۴۴. تهران؛ مجلس؛ شماره نسخه: ۸۹۷۱/۲</w:t>
      </w:r>
    </w:p>
    <w:p>
      <w:pPr>
        <w:pStyle w:val="BookText"/>
      </w:pPr>
      <w:r>
        <w:rPr>
          <w:rFonts w:ascii="IRNazanin" w:hAnsi="IRNazanin" w:eastAsia="IRNazanin" w:cs="IRNazanin"/>
          <w:lang w:bidi="fa-IR"/>
          <w:color w:val="111111"/>
          <w:sz w:val="28"/>
          <w:szCs w:val="28"/>
          <w:rtl/>
        </w:rPr>
        <w:t xml:space="preserve">در نسخه با نام:«نکاة شعری از هر قسم» از این کسان: قصـیده ترسائیه خاقانی و قصاید دیگری از او ،حالتی، حکیم رکنا، خواجه حسن ثنائی ،فیضی ،عرفی، مولانا طفیلی لاهجى سلمه الله، طالـب، قصه طوطی از مقالات مولوی معنوی و اقدسی؛ خط: نسخ نستعلیق، بی کا، تا: قرن ۱۲ ؛کاغذ: فرنگی نخودی آهار مهره ،جلد: میشن مشکی، 9گ( 1پ-9پ) ۲۳ سطر (9/5</w:t>
      </w:r>
      <w:r>
        <w:rPr>
          <w:rFonts w:ascii="Times New Roman" w:hAnsi="Times New Roman" w:eastAsia="Times New Roman" w:cs="Times New Roman"/>
          <w:lang w:val="en-US" w:bidi="en-US"/>
          <w:color w:val="111111"/>
          <w:sz w:val="28"/>
          <w:szCs w:val="28"/>
          <w:rtl/>
        </w:rPr>
        <w:t xml:space="preserve">×18/5)</w:t>
      </w:r>
      <w:r>
        <w:rPr>
          <w:rFonts w:ascii="IRNazanin" w:hAnsi="IRNazanin" w:eastAsia="IRNazanin" w:cs="IRNazanin"/>
          <w:lang w:bidi="fa-IR"/>
          <w:color w:val="111111"/>
          <w:sz w:val="28"/>
          <w:szCs w:val="28"/>
          <w:rtl/>
        </w:rPr>
        <w:t xml:space="preserve">،اندازه: ۱۶/۲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۲۶/۱سم [ف: ۲۹/۱ - ۵۰۲]</w:t>
      </w:r>
    </w:p>
    <w:p>
      <w:pPr>
        <w:pStyle w:val="BookText"/>
      </w:pPr>
      <w:r>
        <w:rPr>
          <w:rFonts w:ascii="IRNazanin" w:hAnsi="IRNazanin" w:eastAsia="IRNazanin" w:cs="IRNazanin"/>
          <w:lang w:bidi="fa-IR"/>
          <w:color w:val="111111"/>
          <w:sz w:val="28"/>
          <w:szCs w:val="28"/>
          <w:rtl/>
        </w:rPr>
        <w:t xml:space="preserve">۴۴۵. تهران؛ دانشگاه؛ شماره نسخه: ۲۴۷۳/۱۹</w:t>
      </w:r>
    </w:p>
    <w:p>
      <w:pPr>
        <w:pStyle w:val="BookText"/>
      </w:pPr>
      <w:r>
        <w:rPr>
          <w:rFonts w:ascii="IRNazanin" w:hAnsi="IRNazanin" w:eastAsia="IRNazanin" w:cs="IRNazanin"/>
          <w:lang w:bidi="fa-IR"/>
          <w:color w:val="111111"/>
          <w:sz w:val="28"/>
          <w:szCs w:val="28"/>
          <w:rtl/>
        </w:rPr>
        <w:t xml:space="preserve">غزليات فيض لاهوری است؛ خط: نستعلیق، بی کا، تا: قرن 12؛کاغذ: سپاهانی ،جلد: تیماج مشکی، ۱ص (۱۹۶)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۲۹سم [ف: ۹ - ۱۲۴۲]</w:t>
      </w:r>
    </w:p>
    <w:p>
      <w:pPr>
        <w:pStyle w:val="BookText"/>
      </w:pPr>
      <w:r>
        <w:rPr>
          <w:rFonts w:ascii="IRNazanin" w:hAnsi="IRNazanin" w:eastAsia="IRNazanin" w:cs="IRNazanin"/>
          <w:lang w:bidi="fa-IR"/>
          <w:color w:val="111111"/>
          <w:sz w:val="28"/>
          <w:szCs w:val="28"/>
          <w:rtl/>
        </w:rPr>
        <w:t xml:space="preserve">۴۴۶. تهران؛ دانشگاه؛ شماره نسخه: ۸۳۷۶/۱</w:t>
      </w:r>
    </w:p>
    <w:p>
      <w:pPr>
        <w:pStyle w:val="BookText"/>
      </w:pPr>
      <w:r>
        <w:rPr>
          <w:rFonts w:ascii="IRNazanin" w:hAnsi="IRNazanin" w:eastAsia="IRNazanin" w:cs="IRNazanin"/>
          <w:lang w:bidi="fa-IR"/>
          <w:color w:val="111111"/>
          <w:sz w:val="28"/>
          <w:szCs w:val="28"/>
          <w:rtl/>
        </w:rPr>
        <w:t xml:space="preserve">رباعیات است به ترتیب تهجی (در متن و هامش)؛ خط: نستعلیق، بی کا، تا: قرن ۱۲ ؛کاغذ: سپاهانی ،جلد: تیماج سبز تیره ضربی ،مقوایی، بغلی، ۹ سطر (۹/۵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 ف : ۱۷ - ۱۲۵]</w:t>
      </w:r>
    </w:p>
    <w:p>
      <w:pPr>
        <w:pStyle w:val="BookText"/>
      </w:pPr>
      <w:r>
        <w:rPr>
          <w:rFonts w:ascii="IRNazanin" w:hAnsi="IRNazanin" w:eastAsia="IRNazanin" w:cs="IRNazanin"/>
          <w:lang w:bidi="fa-IR"/>
          <w:color w:val="111111"/>
          <w:sz w:val="28"/>
          <w:szCs w:val="28"/>
          <w:rtl/>
        </w:rPr>
        <w:t xml:space="preserve">۴۴۷. تهران؛ مجلس؛ شماره نسخه: ۱۴۱۴۸/۷</w:t>
      </w:r>
    </w:p>
    <w:p>
      <w:pPr>
        <w:pStyle w:val="BookText"/>
      </w:pPr>
      <w:r>
        <w:rPr>
          <w:rFonts w:ascii="IRNazanin" w:hAnsi="IRNazanin" w:eastAsia="IRNazanin" w:cs="IRNazanin"/>
          <w:lang w:bidi="fa-IR"/>
          <w:color w:val="111111"/>
          <w:sz w:val="28"/>
          <w:szCs w:val="28"/>
          <w:rtl/>
        </w:rPr>
        <w:t xml:space="preserve">غزلیات؛ بی کا، تا: قرن ۱۲؛ ۴ ص (۳۷-۴۰) [ف: ۳۸ - ۱۸۳]</w:t>
      </w:r>
    </w:p>
    <w:p>
      <w:pPr>
        <w:pStyle w:val="BookText"/>
      </w:pPr>
      <w:r>
        <w:rPr>
          <w:rFonts w:ascii="IRNazanin" w:hAnsi="IRNazanin" w:eastAsia="IRNazanin" w:cs="IRNazanin"/>
          <w:lang w:bidi="fa-IR"/>
          <w:color w:val="111111"/>
          <w:sz w:val="28"/>
          <w:szCs w:val="28"/>
          <w:rtl/>
        </w:rPr>
        <w:t xml:space="preserve">۴۴۸. تهران؛ مجلس؛ شماره نسخه: ۱۴۱۴۸/۵</w:t>
      </w:r>
    </w:p>
    <w:p>
      <w:pPr>
        <w:pStyle w:val="BookText"/>
      </w:pPr>
      <w:r>
        <w:rPr>
          <w:rFonts w:ascii="IRNazanin" w:hAnsi="IRNazanin" w:eastAsia="IRNazanin" w:cs="IRNazanin"/>
          <w:lang w:bidi="fa-IR"/>
          <w:color w:val="111111"/>
          <w:sz w:val="28"/>
          <w:szCs w:val="28"/>
          <w:rtl/>
        </w:rPr>
        <w:t xml:space="preserve">از مقصد (گویا مقصدی ساوجی)؛ بی کا، تا: قرن ۱۲؛ ۱ص (30ر)  [ف: ۳۸ - ۱۸۳]</w:t>
      </w:r>
    </w:p>
    <w:p>
      <w:pPr>
        <w:pStyle w:val="BookText"/>
      </w:pPr>
      <w:r>
        <w:rPr>
          <w:rFonts w:ascii="IRNazanin" w:hAnsi="IRNazanin" w:eastAsia="IRNazanin" w:cs="IRNazanin"/>
          <w:lang w:bidi="fa-IR"/>
          <w:color w:val="111111"/>
          <w:sz w:val="28"/>
          <w:szCs w:val="28"/>
          <w:rtl/>
        </w:rPr>
        <w:t xml:space="preserve">۴۴۹. تهران؛ ملک؛ شماره نسخه: ۴۷۰۹/۱۰</w:t>
      </w:r>
    </w:p>
    <w:p>
      <w:pPr>
        <w:pStyle w:val="BookText"/>
      </w:pPr>
      <w:r>
        <w:rPr>
          <w:rFonts w:ascii="IRNazanin" w:hAnsi="IRNazanin" w:eastAsia="IRNazanin" w:cs="IRNazanin"/>
          <w:lang w:bidi="fa-IR"/>
          <w:color w:val="111111"/>
          <w:sz w:val="28"/>
          <w:szCs w:val="28"/>
          <w:rtl/>
        </w:rPr>
        <w:t xml:space="preserve">رباعیات؛ خط: نستعلیق، بی کا، تا: قرن ۱۲[ ف: ۸ - ۵۰]</w:t>
      </w:r>
    </w:p>
    <w:p>
      <w:pPr>
        <w:pStyle w:val="BookText"/>
      </w:pPr>
      <w:r>
        <w:rPr>
          <w:rFonts w:ascii="IRNazanin" w:hAnsi="IRNazanin" w:eastAsia="IRNazanin" w:cs="IRNazanin"/>
          <w:lang w:bidi="fa-IR"/>
          <w:color w:val="111111"/>
          <w:sz w:val="28"/>
          <w:szCs w:val="28"/>
          <w:rtl/>
        </w:rPr>
        <w:t xml:space="preserve">۴۵۰. تهران؛ ملک؛ شماره نسخه: ۴۱۳۷/۴</w:t>
      </w:r>
    </w:p>
    <w:p>
      <w:pPr>
        <w:pStyle w:val="BookText"/>
      </w:pPr>
      <w:r>
        <w:rPr>
          <w:rFonts w:ascii="IRNazanin" w:hAnsi="IRNazanin" w:eastAsia="IRNazanin" w:cs="IRNazanin"/>
          <w:lang w:bidi="fa-IR"/>
          <w:color w:val="111111"/>
          <w:sz w:val="28"/>
          <w:szCs w:val="28"/>
          <w:rtl/>
        </w:rPr>
        <w:t xml:space="preserve">رباعیات قمی؛ خط: نستعلیق، کا: محمد شریف، تا: قرن ۱۱ و12[ف: ۷ - ۲۱۳]</w:t>
      </w:r>
    </w:p>
    <w:p>
      <w:pPr>
        <w:pStyle w:val="BookText"/>
      </w:pPr>
      <w:r>
        <w:rPr>
          <w:rFonts w:ascii="IRNazanin" w:hAnsi="IRNazanin" w:eastAsia="IRNazanin" w:cs="IRNazanin"/>
          <w:lang w:bidi="fa-IR"/>
          <w:color w:val="111111"/>
          <w:sz w:val="28"/>
          <w:szCs w:val="28"/>
          <w:rtl/>
        </w:rPr>
        <w:t xml:space="preserve">۴۵۱. تهران؛ ملک؛ شماره نسخه: ۴۱۳۷/۲۶</w:t>
      </w:r>
    </w:p>
    <w:p>
      <w:pPr>
        <w:pStyle w:val="BookText"/>
      </w:pPr>
      <w:r>
        <w:rPr>
          <w:rFonts w:ascii="IRNazanin" w:hAnsi="IRNazanin" w:eastAsia="IRNazanin" w:cs="IRNazanin"/>
          <w:lang w:bidi="fa-IR"/>
          <w:color w:val="111111"/>
          <w:sz w:val="28"/>
          <w:szCs w:val="28"/>
          <w:rtl/>
        </w:rPr>
        <w:t xml:space="preserve">قصیده پازهر شریف؛ خط: نستعلیق، کا: محمد شریف،تا: قرن  11و ۱۲ [ف: ۷ - ۲۱۳]</w:t>
      </w:r>
    </w:p>
    <w:p>
      <w:pPr>
        <w:pStyle w:val="BookText"/>
      </w:pPr>
      <w:r>
        <w:rPr>
          <w:rFonts w:ascii="IRNazanin" w:hAnsi="IRNazanin" w:eastAsia="IRNazanin" w:cs="IRNazanin"/>
          <w:lang w:bidi="fa-IR"/>
          <w:color w:val="111111"/>
          <w:sz w:val="28"/>
          <w:szCs w:val="28"/>
          <w:rtl/>
        </w:rPr>
        <w:t xml:space="preserve">۴۵۲. تهران؛ ملک؛ شماره نسخه: ۴۱۳۷/۲۷</w:t>
      </w:r>
    </w:p>
    <w:p>
      <w:pPr>
        <w:pStyle w:val="BookText"/>
      </w:pPr>
      <w:r>
        <w:rPr>
          <w:rFonts w:ascii="IRNazanin" w:hAnsi="IRNazanin" w:eastAsia="IRNazanin" w:cs="IRNazanin"/>
          <w:lang w:bidi="fa-IR"/>
          <w:color w:val="111111"/>
          <w:sz w:val="28"/>
          <w:szCs w:val="28"/>
          <w:rtl/>
        </w:rPr>
        <w:t xml:space="preserve">از معزی ،خاقانی ،انوری، کمال اسماعیل ،فیضی؛ خط: نستعلیق، كا: محمد شریف، تا: قرن ۱۱ و ۱۲ [ف: ۷ - ۲۱۳]</w:t>
      </w:r>
    </w:p>
    <w:p>
      <w:pPr>
        <w:pStyle w:val="BookText"/>
      </w:pPr>
      <w:r>
        <w:rPr>
          <w:rFonts w:ascii="IRNazanin" w:hAnsi="IRNazanin" w:eastAsia="IRNazanin" w:cs="IRNazanin"/>
          <w:lang w:bidi="fa-IR"/>
          <w:color w:val="111111"/>
          <w:sz w:val="28"/>
          <w:szCs w:val="28"/>
          <w:rtl/>
        </w:rPr>
        <w:t xml:space="preserve">۴۵۳. تهران؛ مجلس؛ شماره نسخه: ۵۶۶۶/۱۱</w:t>
      </w:r>
    </w:p>
    <w:p>
      <w:pPr>
        <w:pStyle w:val="BookText"/>
      </w:pPr>
      <w:r>
        <w:rPr>
          <w:rFonts w:ascii="IRNazanin" w:hAnsi="IRNazanin" w:eastAsia="IRNazanin" w:cs="IRNazanin"/>
          <w:lang w:bidi="fa-IR"/>
          <w:color w:val="111111"/>
          <w:sz w:val="28"/>
          <w:szCs w:val="28"/>
          <w:rtl/>
        </w:rPr>
        <w:t xml:space="preserve">غزلیات و مثنوی از: موسوی ،فروغی، میرزا ابوالفتح، ناصر علی، کاشی جلال اسیر؛ بی کا، تا: قرن ۱۲؛ ۴۸ ص (۳۲۲-۳۷۰) [ف: 17- 118]</w:t>
      </w:r>
    </w:p>
    <w:p>
      <w:pPr>
        <w:pStyle w:val="BookText"/>
      </w:pPr>
      <w:r>
        <w:rPr>
          <w:rFonts w:ascii="IRNazanin" w:hAnsi="IRNazanin" w:eastAsia="IRNazanin" w:cs="IRNazanin"/>
          <w:lang w:bidi="fa-IR"/>
          <w:color w:val="111111"/>
          <w:sz w:val="28"/>
          <w:szCs w:val="28"/>
          <w:rtl/>
        </w:rPr>
        <w:t xml:space="preserve">۴۵۴. تهران؛ دانشسرای عالی - کتابخانه میرزا عبدالعظیم خان قریب گرکانی شماره نسخه: ۷۵</w:t>
      </w:r>
    </w:p>
    <w:p>
      <w:pPr>
        <w:pStyle w:val="BookText"/>
      </w:pPr>
      <w:r>
        <w:rPr>
          <w:rFonts w:ascii="IRNazanin" w:hAnsi="IRNazanin" w:eastAsia="IRNazanin" w:cs="IRNazanin"/>
          <w:lang w:bidi="fa-IR"/>
          <w:color w:val="111111"/>
          <w:sz w:val="28"/>
          <w:szCs w:val="28"/>
          <w:rtl/>
        </w:rPr>
        <w:t xml:space="preserve">آغاز: سوگند گند می خورم برسولی که شرع او *** توفیق امر و نـهی زحكم حکم برفت. میانه سپیده دم چو دمیدن گرفت روی چـمن *** هوا ز ژاله گهر بست بر عذار چمن؛ انجام: آن دانه زکم شد ازین چشم خود را (؟) *** آن در ثمین را به عدن باز رسانید</w:t>
      </w:r>
    </w:p>
    <w:p>
      <w:pPr>
        <w:pStyle w:val="BookText"/>
      </w:pPr>
      <w:r>
        <w:rPr>
          <w:rFonts w:ascii="IRNazanin" w:hAnsi="IRNazanin" w:eastAsia="IRNazanin" w:cs="IRNazanin"/>
          <w:lang w:bidi="fa-IR"/>
          <w:color w:val="111111"/>
          <w:sz w:val="28"/>
          <w:szCs w:val="28"/>
          <w:rtl/>
        </w:rPr>
        <w:t xml:space="preserve">خط: نستعلیق، بی کا، تا: قرن ۱۱ و ۱۲؛ مجدول؛ قطع: بغلی [ نشریه : 5- 625]</w:t>
      </w:r>
    </w:p>
    <w:p>
      <w:pPr>
        <w:pStyle w:val="BookText"/>
      </w:pPr>
      <w:r>
        <w:rPr>
          <w:rFonts w:ascii="IRNazanin" w:hAnsi="IRNazanin" w:eastAsia="IRNazanin" w:cs="IRNazanin"/>
          <w:lang w:bidi="fa-IR"/>
          <w:color w:val="111111"/>
          <w:sz w:val="28"/>
          <w:szCs w:val="28"/>
          <w:rtl/>
        </w:rPr>
        <w:t xml:space="preserve">۴۵۵. تهران؛ مجلس شماره :نسخه ۱۱۶۲/۱۸- طباطبائی</w:t>
      </w:r>
    </w:p>
    <w:p>
      <w:pPr>
        <w:pStyle w:val="BookText"/>
      </w:pPr>
      <w:r>
        <w:rPr>
          <w:rFonts w:ascii="IRNazanin" w:hAnsi="IRNazanin" w:eastAsia="IRNazanin" w:cs="IRNazanin"/>
          <w:lang w:bidi="fa-IR"/>
          <w:color w:val="111111"/>
          <w:sz w:val="28"/>
          <w:szCs w:val="28"/>
          <w:rtl/>
        </w:rPr>
        <w:t xml:space="preserve">اشعاری از: عصمت صائب ،رابط ،معجز، شاکر، قصاب کاشی، مخلص کاشی ،صامت، میرزا علی اکبر ضابط، رفیع، کلیم، مجذوب، صائب ،فغانی ،رضا ،واعظ، طائفی، قصاب کاشی، مخلص، شوکت بخارائی، وحید سلیم، وحيد، مرتضى قلى سلطان، میر نجات، دختر اورنگ زیب ،فضولی، اهلی، عارف، نان و حلوای شیخ بهائی؛ خط: شکسته نستعلیق خوب، کا: آقا نور ابن   حاج نقد علی؛ تا: قرن ۱۲؛ ۱۱گ (۳۱-۴۱) [ف: ۲۳ - ۶۵۱]</w:t>
      </w:r>
    </w:p>
    <w:p>
      <w:pPr>
        <w:pStyle w:val="BookText"/>
      </w:pPr>
      <w:r>
        <w:rPr>
          <w:rFonts w:ascii="IRNazanin" w:hAnsi="IRNazanin" w:eastAsia="IRNazanin" w:cs="IRNazanin"/>
          <w:lang w:bidi="fa-IR"/>
          <w:color w:val="111111"/>
          <w:sz w:val="28"/>
          <w:szCs w:val="28"/>
          <w:rtl/>
        </w:rPr>
        <w:t xml:space="preserve">۴۵۶. تهران؛ مجلس؛ شماره نسخه: ۸۹۷۱/۴</w:t>
      </w:r>
    </w:p>
    <w:p>
      <w:pPr>
        <w:pStyle w:val="BookText"/>
      </w:pPr>
      <w:r>
        <w:rPr>
          <w:rFonts w:ascii="IRNazanin" w:hAnsi="IRNazanin" w:eastAsia="IRNazanin" w:cs="IRNazanin"/>
          <w:lang w:bidi="fa-IR"/>
          <w:color w:val="111111"/>
          <w:sz w:val="28"/>
          <w:szCs w:val="28"/>
          <w:rtl/>
        </w:rPr>
        <w:t xml:space="preserve">خط: نستعلیق، بی کا، تا: قرن ۱۲ ؛کاغذ: فرنگی نخودی آهار مهره ،جلد: میشن مشکی، ۳گ (۱۴ر-۱۶ پ)، ۲۳ سطر (۹/۵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۹/۵)، اندازه: ۱۶/۲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۲۶/۱سم [ف: ۲۹/۱ - ۵۰۲]</w:t>
      </w:r>
    </w:p>
    <w:p>
      <w:pPr>
        <w:pStyle w:val="BookText"/>
      </w:pPr>
      <w:r>
        <w:rPr>
          <w:rFonts w:ascii="IRNazanin" w:hAnsi="IRNazanin" w:eastAsia="IRNazanin" w:cs="IRNazanin"/>
          <w:lang w:bidi="fa-IR"/>
          <w:color w:val="111111"/>
          <w:sz w:val="28"/>
          <w:szCs w:val="28"/>
          <w:rtl/>
        </w:rPr>
        <w:t xml:space="preserve">۴۵۷. تهران؛ مجلس؛ شماره نسخه: ۸۹۷۱/۶</w:t>
      </w:r>
    </w:p>
    <w:p>
      <w:pPr>
        <w:pStyle w:val="BookText"/>
      </w:pPr>
      <w:r>
        <w:rPr>
          <w:rFonts w:ascii="IRNazanin" w:hAnsi="IRNazanin" w:eastAsia="IRNazanin" w:cs="IRNazanin"/>
          <w:lang w:bidi="fa-IR"/>
          <w:color w:val="111111"/>
          <w:sz w:val="28"/>
          <w:szCs w:val="28"/>
          <w:rtl/>
        </w:rPr>
        <w:t xml:space="preserve">خط: نسخ و نستعلیق، بی کا، تا: قرن ۱۲؛ کاغذ: فرنگی نخودی آهار مهره، جلد: میشن مشکی، 1ص (۱۸پ)، ۲۳ سطر (۹/۵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 اندازه: ۱۶/۲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۲۶/۱سم [ف: ۲۹/۱ - ۵۰۲]</w:t>
      </w:r>
    </w:p>
    <w:p>
      <w:pPr>
        <w:pStyle w:val="BookText"/>
      </w:pPr>
      <w:r>
        <w:rPr>
          <w:rFonts w:ascii="IRNazanin" w:hAnsi="IRNazanin" w:eastAsia="IRNazanin" w:cs="IRNazanin"/>
          <w:lang w:bidi="fa-IR"/>
          <w:color w:val="111111"/>
          <w:sz w:val="28"/>
          <w:szCs w:val="28"/>
          <w:rtl/>
        </w:rPr>
        <w:t xml:space="preserve">۴۵۸. تهران؛ مجلس؛ شماره نسخه: ۸۹۷۱/۱۰</w:t>
      </w:r>
    </w:p>
    <w:p>
      <w:pPr>
        <w:pStyle w:val="BookText"/>
      </w:pPr>
      <w:r>
        <w:rPr>
          <w:rFonts w:ascii="IRNazanin" w:hAnsi="IRNazanin" w:eastAsia="IRNazanin" w:cs="IRNazanin"/>
          <w:lang w:bidi="fa-IR"/>
          <w:color w:val="111111"/>
          <w:sz w:val="28"/>
          <w:szCs w:val="28"/>
          <w:rtl/>
        </w:rPr>
        <w:t xml:space="preserve">از: ملامؤمن حسین یزدی، شیخ اوحدی، شيخ عطار عليه الرحمة، شیخ ابوسعید بوالخیر، مولوی معنوی، عبدالواسع جبلی، نیشابوری، تبریزی، شیخ فیضی، اهلی شیرازی ،خاقانی، عرفی، از ظلی، نوشته شده در غره ماه رجب در دارالسلطنه طهران؛ خط: نسخ و نستعلیق، بی کا: تا: قرن ۱۲ ؛جا: طهران کاغذ: فرنگی نخودی آهار مهره، جلد: میشن مشکی، ۱ص (۲۱ پ)، ۲۳ سطر (۹/۵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 اندازه: ۱۶/۲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۲۶/۱سم [ف: ۲۹/۱ - ۵۰۲]</w:t>
      </w:r>
    </w:p>
    <w:p>
      <w:pPr>
        <w:pStyle w:val="BookText"/>
      </w:pPr>
      <w:r>
        <w:rPr>
          <w:rFonts w:ascii="IRNazanin" w:hAnsi="IRNazanin" w:eastAsia="IRNazanin" w:cs="IRNazanin"/>
          <w:lang w:bidi="fa-IR"/>
          <w:color w:val="111111"/>
          <w:sz w:val="28"/>
          <w:szCs w:val="28"/>
          <w:rtl/>
        </w:rPr>
        <w:t xml:space="preserve">۴۵۹. تهران؛ مجلس؛ شماره نسخه: ۹۴۸۰/۲۸</w:t>
      </w:r>
    </w:p>
    <w:p>
      <w:pPr>
        <w:pStyle w:val="BookText"/>
      </w:pPr>
      <w:r>
        <w:rPr>
          <w:rFonts w:ascii="IRNazanin" w:hAnsi="IRNazanin" w:eastAsia="IRNazanin" w:cs="IRNazanin"/>
          <w:lang w:bidi="fa-IR"/>
          <w:color w:val="111111"/>
          <w:sz w:val="28"/>
          <w:szCs w:val="28"/>
          <w:rtl/>
        </w:rPr>
        <w:t xml:space="preserve">در مدح وزیر وقت؛ خط: نستعلیق، بی کا، تا: قرن ۱۱ و ۱۲؛ ۱ص  (۱۳۶) [مختصر: ف: - ۶۸]</w:t>
      </w:r>
    </w:p>
    <w:p>
      <w:pPr>
        <w:pStyle w:val="BookText"/>
      </w:pPr>
      <w:r>
        <w:rPr>
          <w:rFonts w:ascii="Times New Roman" w:hAnsi="Times New Roman" w:eastAsia="Times New Roman" w:cs="Times New Roman"/>
          <w:lang w:val="en-US" w:bidi="en-US"/>
          <w:color w:val="111111"/>
          <w:sz w:val="28"/>
          <w:szCs w:val="28"/>
          <w:rtl/>
        </w:rPr>
        <w:t xml:space="preserve">460.</w:t>
      </w:r>
    </w:p>
    <w:p>
      <w:pPr>
        <w:pStyle w:val="BookText"/>
      </w:pPr>
      <w:r>
        <w:rPr>
          <w:rFonts w:ascii="IRNazanin" w:hAnsi="IRNazanin" w:eastAsia="IRNazanin" w:cs="IRNazanin"/>
          <w:lang w:bidi="fa-IR"/>
          <w:color w:val="111111"/>
          <w:sz w:val="28"/>
          <w:szCs w:val="28"/>
          <w:rtl/>
        </w:rPr>
        <w:t xml:space="preserve">تهران؛ مجلس؛ شماره نسخه: ۷۵۴</w:t>
      </w:r>
    </w:p>
    <w:p>
      <w:pPr>
        <w:pStyle w:val="BookText"/>
      </w:pPr>
      <w:r>
        <w:rPr>
          <w:rFonts w:ascii="IRNazanin" w:hAnsi="IRNazanin" w:eastAsia="IRNazanin" w:cs="IRNazanin"/>
          <w:lang w:bidi="fa-IR"/>
          <w:color w:val="111111"/>
          <w:sz w:val="28"/>
          <w:szCs w:val="28"/>
          <w:rtl/>
        </w:rPr>
        <w:t xml:space="preserve">به ترتیب تهجی قافیه، سپس نام شاعر جمال الدين عبدالرزاق، حرف الباء انوری ابیوردی، مشتاق، امیدی رازی، کمال اسمعیل و دیگران با عنوان «مقطعات، حرف الف - حكيم سنائی غزنوی» در میانه؛ خط: نسخ و نستعلیق، بی کا، تا: قرن ۱۲، متن و هامش؛ کاغذ: سفید، جلد: تیماج سبز و مقوایی نو، ۱۵۷گ، ۱۶-۱۲ سطر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[سنا: ف: ۲ - ۵۲]</w:t>
      </w:r>
    </w:p>
    <w:p>
      <w:pPr>
        <w:pStyle w:val="BookText"/>
      </w:pPr>
      <w:r>
        <w:rPr>
          <w:rFonts w:ascii="Times New Roman" w:hAnsi="Times New Roman" w:eastAsia="Times New Roman" w:cs="Times New Roman"/>
          <w:lang w:val="en-US" w:bidi="en-US"/>
          <w:color w:val="111111"/>
          <w:sz w:val="28"/>
          <w:szCs w:val="28"/>
          <w:rtl/>
        </w:rPr>
        <w:t xml:space="preserve">461.</w:t>
      </w:r>
    </w:p>
    <w:p>
      <w:pPr>
        <w:pStyle w:val="BookText"/>
      </w:pPr>
      <w:r>
        <w:rPr>
          <w:rFonts w:ascii="IRNazanin" w:hAnsi="IRNazanin" w:eastAsia="IRNazanin" w:cs="IRNazanin"/>
          <w:lang w:bidi="fa-IR"/>
          <w:color w:val="111111"/>
          <w:sz w:val="28"/>
          <w:szCs w:val="28"/>
          <w:rtl/>
        </w:rPr>
        <w:t xml:space="preserve">تهران؛ مجلس؛ شماره نسخه ۴۲۵</w:t>
      </w:r>
    </w:p>
    <w:p>
      <w:pPr>
        <w:pStyle w:val="BookText"/>
      </w:pPr>
      <w:r>
        <w:rPr>
          <w:rFonts w:ascii="IRNazanin" w:hAnsi="IRNazanin" w:eastAsia="IRNazanin" w:cs="IRNazanin"/>
          <w:lang w:bidi="fa-IR"/>
          <w:color w:val="111111"/>
          <w:sz w:val="28"/>
          <w:szCs w:val="28"/>
          <w:rtl/>
        </w:rPr>
        <w:t xml:space="preserve">از امیر قاسم، جامی، سعدی، عطار، هما، میرزا قلی میلی، بیاضی، ،ضمیری ،عبدالحق، خواجه نصیر ،حیرتی ،فنایی، ناطقی، موجی،بیخودی ،صنعتی امیر حسینی و دیگران ... و در آخر قطعاتی از سعدی ؛خط: نستعلیق ،چلیپا، بی کا ،تا: قرن ۱۲؛ نستعلیق چلیپا
</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هندی ،مجدول، مذهب، با ده مجلس تصویر، نسخه را گویا نصـف کرده اند؛ کاغذ: سفید، جلد: تیماج سبز ضربی، بیاضی، ۵۳گ، 8 سطر (هر ص ۲ ستون) (۶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[سنا: ف: ۱ - 254]</w:t>
      </w:r>
    </w:p>
    <w:p>
      <w:pPr>
        <w:pStyle w:val="BookText"/>
      </w:pPr>
      <w:r>
        <w:rPr>
          <w:rFonts w:ascii="IRNazanin" w:hAnsi="IRNazanin" w:eastAsia="IRNazanin" w:cs="IRNazanin"/>
          <w:lang w:bidi="fa-IR"/>
          <w:color w:val="111111"/>
          <w:sz w:val="28"/>
          <w:szCs w:val="28"/>
          <w:rtl/>
        </w:rPr>
        <w:t xml:space="preserve">۴۶۲. تهران؛ مجلس؛ شماره نسخه: ۱۵۱۳۰</w:t>
      </w:r>
    </w:p>
    <w:p>
      <w:pPr>
        <w:pStyle w:val="BookText"/>
      </w:pPr>
      <w:r>
        <w:rPr>
          <w:rFonts w:ascii="IRNazanin" w:hAnsi="IRNazanin" w:eastAsia="IRNazanin" w:cs="IRNazanin"/>
          <w:lang w:bidi="fa-IR"/>
          <w:color w:val="111111"/>
          <w:sz w:val="28"/>
          <w:szCs w:val="28"/>
          <w:rtl/>
        </w:rPr>
        <w:t xml:space="preserve">از شاعرانی چون میرزا علیرضا، میرزا صادق تفرشی، عرفی، حاجی لطفعلی؛ خط: نستعلیق، بی کا، تا: قرن ۱۲[ مختصر: ف: 235]</w:t>
      </w:r>
    </w:p>
    <w:p>
      <w:pPr>
        <w:pStyle w:val="BookText"/>
      </w:pPr>
      <w:r>
        <w:rPr>
          <w:rFonts w:ascii="IRNazanin" w:hAnsi="IRNazanin" w:eastAsia="IRNazanin" w:cs="IRNazanin"/>
          <w:lang w:bidi="fa-IR"/>
          <w:color w:val="111111"/>
          <w:sz w:val="28"/>
          <w:szCs w:val="28"/>
          <w:rtl/>
        </w:rPr>
        <w:t xml:space="preserve">۴۶۳. تهران؛ مجلس؛ شماره نسخه: ۳۱۰</w:t>
      </w:r>
    </w:p>
    <w:p>
      <w:pPr>
        <w:pStyle w:val="BookText"/>
      </w:pPr>
      <w:r>
        <w:rPr>
          <w:rFonts w:ascii="IRNazanin" w:hAnsi="IRNazanin" w:eastAsia="IRNazanin" w:cs="IRNazanin"/>
          <w:lang w:bidi="fa-IR"/>
          <w:color w:val="111111"/>
          <w:sz w:val="28"/>
          <w:szCs w:val="28"/>
          <w:rtl/>
        </w:rPr>
        <w:t xml:space="preserve">از شعرایی چون: از میر صفی نیشابوری، محمد میرک، قبلان کله پز، میرخان سبزواری، میرحاج جنابذی، فهمی کرمانی، شیخی کرمانی، جامع کرمانی، نصرت کرمانی، نویدی کرمانی، شاه محمود نیشابوری، حیرتی تونی، نجومی خراسانی، تا: میرسد به عهدی قزوینی، با نام شاعران در آغاز بندها؛خط: شکسته نستعلیق چلیپا، بی کا، تا: قرن ۱۱ و ۱۲؛ کاغذ: سفید، جلد: تیماج تریاکی یک لا، ۸۳گ، ۲۵-۱۷ سطر (۳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اندازه: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[سنا: ف: ۱ – 154]</w:t>
      </w:r>
    </w:p>
    <w:p>
      <w:pPr>
        <w:pStyle w:val="BookText"/>
      </w:pPr>
      <w:r>
        <w:rPr>
          <w:rFonts w:ascii="IRNazanin" w:hAnsi="IRNazanin" w:eastAsia="IRNazanin" w:cs="IRNazanin"/>
          <w:lang w:bidi="fa-IR"/>
          <w:color w:val="111111"/>
          <w:sz w:val="28"/>
          <w:szCs w:val="28"/>
          <w:rtl/>
        </w:rPr>
        <w:t xml:space="preserve">۴۶۴. تهران؛ مجلس؛ شماره نسخه: ۱۶۵۴۰</w:t>
      </w:r>
    </w:p>
    <w:p>
      <w:pPr>
        <w:pStyle w:val="BookText"/>
      </w:pPr>
      <w:r>
        <w:rPr>
          <w:rFonts w:ascii="IRNazanin" w:hAnsi="IRNazanin" w:eastAsia="IRNazanin" w:cs="IRNazanin"/>
          <w:lang w:bidi="fa-IR"/>
          <w:color w:val="111111"/>
          <w:sz w:val="28"/>
          <w:szCs w:val="28"/>
          <w:rtl/>
        </w:rPr>
        <w:t xml:space="preserve">از شعراء مختلف؛ بی کا، تا: قرن ۱۲[ د. ث. مجلس ]</w:t>
      </w:r>
    </w:p>
    <w:p>
      <w:pPr>
        <w:pStyle w:val="BookText"/>
      </w:pPr>
      <w:r>
        <w:rPr>
          <w:rFonts w:ascii="IRNazanin" w:hAnsi="IRNazanin" w:eastAsia="IRNazanin" w:cs="IRNazanin"/>
          <w:lang w:bidi="fa-IR"/>
          <w:color w:val="111111"/>
          <w:sz w:val="28"/>
          <w:szCs w:val="28"/>
          <w:rtl/>
        </w:rPr>
        <w:t xml:space="preserve">۴۶۵. تهران؛ مجلس؛ شماره نسخه: ۷۹۸</w:t>
      </w:r>
    </w:p>
    <w:p>
      <w:pPr>
        <w:pStyle w:val="BookText"/>
      </w:pPr>
      <w:r>
        <w:rPr>
          <w:rFonts w:ascii="IRNazanin" w:hAnsi="IRNazanin" w:eastAsia="IRNazanin" w:cs="IRNazanin"/>
          <w:lang w:bidi="fa-IR"/>
          <w:color w:val="111111"/>
          <w:sz w:val="28"/>
          <w:szCs w:val="28"/>
          <w:rtl/>
        </w:rPr>
        <w:t xml:space="preserve">نخست مجمع البحور صدر شریعتی سپس شعرهای عمادالدین غزنوی و خاقانی و نظامی و مسعود کاتب و تاج الدین بخاری و شهاب الدین سراجی و سعد کافی و خاقان و سید حسن غزنوی، می رسد به میر جلالی مصور و شریف و نیکی؛ خط: نستعلیق، بی کا، تا: قرن ۱۲؛ کاغذ: سفید، جلد: تیماج قهوه ای و مقوایی  نو،۲۴۲گ، ۱۵ سطر ۴ ستونی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۳۰سم [سنا:ف: 2- 62]</w:t>
      </w:r>
    </w:p>
    <w:p>
      <w:pPr>
        <w:pStyle w:val="BookText"/>
      </w:pPr>
      <w:r>
        <w:rPr>
          <w:rFonts w:ascii="IRNazanin" w:hAnsi="IRNazanin" w:eastAsia="IRNazanin" w:cs="IRNazanin"/>
          <w:lang w:bidi="fa-IR"/>
          <w:color w:val="111111"/>
          <w:sz w:val="28"/>
          <w:szCs w:val="28"/>
          <w:rtl/>
        </w:rPr>
        <w:t xml:space="preserve">۴۶۶. تهران؛ مجلس؛ شماره نسخه: ۹۴۶۹/۲</w:t>
      </w:r>
    </w:p>
    <w:p>
      <w:pPr>
        <w:pStyle w:val="BookText"/>
      </w:pPr>
      <w:r>
        <w:rPr>
          <w:rFonts w:ascii="IRNazanin" w:hAnsi="IRNazanin" w:eastAsia="IRNazanin" w:cs="IRNazanin"/>
          <w:lang w:bidi="fa-IR"/>
          <w:color w:val="111111"/>
          <w:sz w:val="28"/>
          <w:szCs w:val="28"/>
          <w:rtl/>
        </w:rPr>
        <w:t xml:space="preserve">به نقل از رساله تحقيق الروح فخر رازی ؛خط: نستعلیق، بی کا، تا: قرن ۱۱ و قرن ۱۲؛ ۱ص (۲) [مختصر: ف: - ۳۸۶]</w:t>
      </w:r>
    </w:p>
    <w:p>
      <w:pPr>
        <w:pStyle w:val="BookText"/>
      </w:pPr>
      <w:r>
        <w:rPr>
          <w:rFonts w:ascii="IRNazanin" w:hAnsi="IRNazanin" w:eastAsia="IRNazanin" w:cs="IRNazanin"/>
          <w:lang w:bidi="fa-IR"/>
          <w:color w:val="111111"/>
          <w:sz w:val="28"/>
          <w:szCs w:val="28"/>
          <w:rtl/>
        </w:rPr>
        <w:t xml:space="preserve">۴۶۷. تهران؛ مجلس؛ شماره نسخه: ۱۳۱۸/۳</w:t>
      </w:r>
    </w:p>
    <w:p>
      <w:pPr>
        <w:pStyle w:val="BookText"/>
      </w:pPr>
      <w:r>
        <w:rPr>
          <w:rFonts w:ascii="IRNazanin" w:hAnsi="IRNazanin" w:eastAsia="IRNazanin" w:cs="IRNazanin"/>
          <w:lang w:bidi="fa-IR"/>
          <w:color w:val="111111"/>
          <w:sz w:val="28"/>
          <w:szCs w:val="28"/>
          <w:rtl/>
        </w:rPr>
        <w:t xml:space="preserve">دو مثنوی ؛خط: نستعلیق، کا: ملا محمد، تا: قرن ۱۲، مجدول؛1- با عنوان حکایت، آغاز: در جهانند مشت خام طمع *** كيد خود را نهاده نام ورع .... این مثل زان زدم که راه روند *** یعنی از خـلق دراله روند؛ ۲- با عنوان فصل، آغاز: حرکت گرچه شخص ما دارد *** حول و قوت در او خدا دارد. انجام:... او منزه سوای او همه چیز *** هالک اینجا چه میکنید تمیز؛ کاغذ: سفید، جـلد: تیماج آلبالوئی ضربی و مقوایی با ترنج و گوشه، ۲۲ ص (902-۹۲۳) ،۱۷ سطر [سنا: ف: ۲ - ۲۲۱]</w:t>
      </w:r>
    </w:p>
    <w:p>
      <w:pPr>
        <w:pStyle w:val="BookText"/>
      </w:pPr>
      <w:r>
        <w:rPr>
          <w:rFonts w:ascii="IRNazanin" w:hAnsi="IRNazanin" w:eastAsia="IRNazanin" w:cs="IRNazanin"/>
          <w:lang w:bidi="fa-IR"/>
          <w:color w:val="111111"/>
          <w:sz w:val="28"/>
          <w:szCs w:val="28"/>
          <w:rtl/>
        </w:rPr>
        <w:t xml:space="preserve">۴۶۸. تهران؛ مجلس؛ شماره نسخه: ۵۹۹۶/۱۳</w:t>
      </w:r>
    </w:p>
    <w:p>
      <w:pPr>
        <w:pStyle w:val="BookText"/>
      </w:pPr>
      <w:r>
        <w:rPr>
          <w:rFonts w:ascii="IRNazanin" w:hAnsi="IRNazanin" w:eastAsia="IRNazanin" w:cs="IRNazanin"/>
          <w:lang w:bidi="fa-IR"/>
          <w:color w:val="111111"/>
          <w:sz w:val="28"/>
          <w:szCs w:val="28"/>
          <w:rtl/>
        </w:rPr>
        <w:t xml:space="preserve">قصیده در اندرز از مولی مجتبی؛ خط: شکسته نستعلیق، بی کا، ۱۱۰۰ق؛ ۱ص (۴۷-۴۸) [ف: ۱۷-۳۷۱]</w:t>
      </w:r>
    </w:p>
    <w:p>
      <w:pPr>
        <w:pStyle w:val="BookText"/>
      </w:pPr>
      <w:r>
        <w:rPr>
          <w:rFonts w:ascii="IRNazanin" w:hAnsi="IRNazanin" w:eastAsia="IRNazanin" w:cs="IRNazanin"/>
          <w:lang w:bidi="fa-IR"/>
          <w:color w:val="111111"/>
          <w:sz w:val="28"/>
          <w:szCs w:val="28"/>
          <w:rtl/>
        </w:rPr>
        <w:t xml:space="preserve">۴۶۹. تهران؛ مجلس؛ شماره نسخه: ۱۴۱۸۳/۳۴</w:t>
      </w:r>
    </w:p>
    <w:p>
      <w:pPr>
        <w:pStyle w:val="BookText"/>
      </w:pPr>
      <w:r>
        <w:rPr>
          <w:rFonts w:ascii="IRNazanin" w:hAnsi="IRNazanin" w:eastAsia="IRNazanin" w:cs="IRNazanin"/>
          <w:lang w:bidi="fa-IR"/>
          <w:color w:val="111111"/>
          <w:sz w:val="28"/>
          <w:szCs w:val="28"/>
          <w:rtl/>
        </w:rPr>
        <w:t xml:space="preserve">قصیده در تاریخ جلوس شاه سلیمان؛ خط: شکسته نستعلیق، بی کا، تا: قرن ۱۲ [ف: ۳۸ - ۲۴۵]</w:t>
      </w:r>
    </w:p>
    <w:p>
      <w:pPr>
        <w:pStyle w:val="BookText"/>
      </w:pPr>
      <w:r>
        <w:rPr>
          <w:rFonts w:ascii="IRNazanin" w:hAnsi="IRNazanin" w:eastAsia="IRNazanin" w:cs="IRNazanin"/>
          <w:lang w:bidi="fa-IR"/>
          <w:color w:val="111111"/>
          <w:sz w:val="28"/>
          <w:szCs w:val="28"/>
          <w:rtl/>
        </w:rPr>
        <w:t xml:space="preserve">۴۷۰. تهران؛ ملک؛ شماره نسخه: ۴۷۱۹/۶۳</w:t>
      </w:r>
    </w:p>
    <w:p>
      <w:pPr>
        <w:pStyle w:val="BookText"/>
      </w:pPr>
      <w:r>
        <w:rPr>
          <w:rFonts w:ascii="IRNazanin" w:hAnsi="IRNazanin" w:eastAsia="IRNazanin" w:cs="IRNazanin"/>
          <w:lang w:bidi="fa-IR"/>
          <w:color w:val="111111"/>
          <w:sz w:val="28"/>
          <w:szCs w:val="28"/>
          <w:rtl/>
        </w:rPr>
        <w:t xml:space="preserve">آغاز: بسمله. اگر تو فارغی از حال دوستان یارا ***فراغت از تومیسر نمی شود ما را</w:t>
      </w:r>
    </w:p>
    <w:p>
      <w:pPr>
        <w:pStyle w:val="BookText"/>
      </w:pPr>
      <w:r>
        <w:rPr>
          <w:rFonts w:ascii="IRNazanin" w:hAnsi="IRNazanin" w:eastAsia="IRNazanin" w:cs="IRNazanin"/>
          <w:lang w:bidi="fa-IR"/>
          <w:color w:val="111111"/>
          <w:sz w:val="28"/>
          <w:szCs w:val="28"/>
          <w:rtl/>
        </w:rPr>
        <w:t xml:space="preserve">قصيده رائیه در ۲۳ بیت ؛خط: شکسته نستعلیق، بی کا، تا: قرن ۱۲؛ کاغذ: نوعی ترمه ،جلد: رویه میشن سیاه ضربی، 1گ(۱۶۰پ-  161ر) ، مختلف السطر ، اندازه: ۱۷/۲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۲۸/۲سم [ف: ۸ - ۷۵]</w:t>
      </w:r>
    </w:p>
    <w:p>
      <w:pPr>
        <w:pStyle w:val="BookText"/>
      </w:pPr>
      <w:r>
        <w:rPr>
          <w:rFonts w:ascii="IRNazanin" w:hAnsi="IRNazanin" w:eastAsia="IRNazanin" w:cs="IRNazanin"/>
          <w:lang w:bidi="fa-IR"/>
          <w:color w:val="111111"/>
          <w:sz w:val="28"/>
          <w:szCs w:val="28"/>
          <w:rtl/>
        </w:rPr>
        <w:t xml:space="preserve">۴۷۱. تهران؛ ملک؛ شماره نسخه: ۵۵۳۷</w:t>
      </w:r>
    </w:p>
    <w:p>
      <w:pPr>
        <w:pStyle w:val="BookText"/>
      </w:pPr>
      <w:r>
        <w:rPr>
          <w:rFonts w:ascii="IRNazanin" w:hAnsi="IRNazanin" w:eastAsia="IRNazanin" w:cs="IRNazanin"/>
          <w:lang w:bidi="fa-IR"/>
          <w:color w:val="111111"/>
          <w:sz w:val="28"/>
          <w:szCs w:val="28"/>
          <w:rtl/>
        </w:rPr>
        <w:t xml:space="preserve">از الهامی، در ستایش حسام السلطنه با چند قصیده دارای ستایش پیامبر و مولود او و درباره عید غدیر و عید اضحی و عید فطر و مولود علی (علیه السّلام) و در پایان ستایش حسام السلطنه است، مانند مدايح حسامیه؛ خط: شکسته چلیپا، بی کا، تا: قرن ۱۲؛ کاغذ: فرنگی آهار مهره، جلد: میشن سبز لایی ، ۲۶گ،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۲۱/۷سم[ف:۳-۵۹۵]</w:t>
      </w:r>
    </w:p>
    <w:p>
      <w:pPr>
        <w:pStyle w:val="BookText"/>
      </w:pPr>
      <w:r>
        <w:rPr>
          <w:rFonts w:ascii="IRNazanin" w:hAnsi="IRNazanin" w:eastAsia="IRNazanin" w:cs="IRNazanin"/>
          <w:lang w:bidi="fa-IR"/>
          <w:color w:val="111111"/>
          <w:sz w:val="28"/>
          <w:szCs w:val="28"/>
          <w:rtl/>
        </w:rPr>
        <w:t xml:space="preserve">۴۷۲. تهران؛ مجلس؛ شماره نسخه: ۳۰۴/۵</w:t>
      </w:r>
    </w:p>
    <w:p>
      <w:pPr>
        <w:pStyle w:val="BookText"/>
      </w:pPr>
      <w:r>
        <w:rPr>
          <w:rFonts w:ascii="IRNazanin" w:hAnsi="IRNazanin" w:eastAsia="IRNazanin" w:cs="IRNazanin"/>
          <w:lang w:bidi="fa-IR"/>
          <w:color w:val="111111"/>
          <w:sz w:val="28"/>
          <w:szCs w:val="28"/>
          <w:rtl/>
        </w:rPr>
        <w:t xml:space="preserve">قصاید میرحاج است؛ خط: نستعلیق چلیپا، بی کا، تا: قرن ۱۲؛ کاغذ: رنگارنگ، جلد: تیماج مشکی مقوایی گرد تریاکی، ۲۱ص (۸۶-۶۵)، ۱۶ سطر (۴ستونی) (۳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[سنا: ف:  1- 153]</w:t>
      </w:r>
    </w:p>
    <w:p>
      <w:pPr>
        <w:pStyle w:val="BookText"/>
      </w:pPr>
      <w:r>
        <w:rPr>
          <w:rFonts w:ascii="Times New Roman" w:hAnsi="Times New Roman" w:eastAsia="Times New Roman" w:cs="Times New Roman"/>
          <w:lang w:val="en-US" w:bidi="en-US"/>
          <w:color w:val="111111"/>
          <w:sz w:val="28"/>
          <w:szCs w:val="28"/>
          <w:rtl/>
        </w:rPr>
        <w:t xml:space="preserve">473.</w:t>
      </w:r>
    </w:p>
    <w:p>
      <w:pPr>
        <w:pStyle w:val="BookText"/>
      </w:pPr>
      <w:r>
        <w:rPr>
          <w:rFonts w:ascii="IRNazanin" w:hAnsi="IRNazanin" w:eastAsia="IRNazanin" w:cs="IRNazanin"/>
          <w:lang w:bidi="fa-IR"/>
          <w:color w:val="111111"/>
          <w:sz w:val="28"/>
          <w:szCs w:val="28"/>
          <w:rtl/>
        </w:rPr>
        <w:t xml:space="preserve">تهران؛ مجلس؛ شماره نسخه: ۱۱۶۲/۱۹-طباطبائی</w:t>
      </w:r>
    </w:p>
    <w:p>
      <w:pPr>
        <w:pStyle w:val="BookText"/>
      </w:pPr>
      <w:r>
        <w:rPr>
          <w:rFonts w:ascii="IRNazanin" w:hAnsi="IRNazanin" w:eastAsia="IRNazanin" w:cs="IRNazanin"/>
          <w:lang w:bidi="fa-IR"/>
          <w:color w:val="111111"/>
          <w:sz w:val="28"/>
          <w:szCs w:val="28"/>
          <w:rtl/>
        </w:rPr>
        <w:t xml:space="preserve">چند قصیده و مثنوی تمثیلی است از گویندگان مختلف و نام چند تن از آنان در پایان اشعار مثنویات به چشم می خورد: الف- مثنوی دارای ۳۴ بیت با این مطلع: عربی در میان مکه و شام *** کسب اسباب می نمود تمام ... از کمر باز کرد انبانی *** که در او بود سفره و نانی / چون به خوردن نشست آن سر مرد *** عربی در رسید بادیه گرد؛ ب - مثنوی ساده دل خریدار خر از محمد قلی سلیم تهرانی، محمد قلی (۷۵بیت)، این مثنوی در بیشتر نسخه ها با قضاء و قدر او پیوسته و گاه نیز بخشی از آن است. آغاز: ساده دلی را زپی راه دور *** گشت خری چون خر عیسی ضرور / جانب بازار چو شد جلوه گر *** دید فضائی چو جهان پر زخر  ... /کیست زمن این خر مصری خرد *** خر نه یکی آهو صحرا نورد .پایان: هست در این وادی پر گیرو دار *** هر کسی آخر به خر خود سوار؛ ج- قصیده ای است از عرفی شیرازی، جمال الدین محمد که در این نسخه ۶۲ بیت آن نقل شده است و چنین پیداست که تمام قصیده در مدح حضرت مولی علی (علیه السّلام) است.</w:t>
      </w:r>
    </w:p>
    <w:p>
      <w:pPr>
        <w:pStyle w:val="BookText"/>
      </w:pPr>
      <w:r>
        <w:rPr>
          <w:rFonts w:ascii="IRNazanin" w:hAnsi="IRNazanin" w:eastAsia="IRNazanin" w:cs="IRNazanin"/>
          <w:lang w:bidi="fa-IR"/>
          <w:color w:val="111111"/>
          <w:sz w:val="28"/>
          <w:szCs w:val="28"/>
          <w:rtl/>
        </w:rPr>
        <w:t xml:space="preserve">آغاز: جهان بگشتم و دردا که هیچ شهر و دیار *** نیافتم که فروشنده بخت در بازار ... ز منجنیق فلک سنگ فتنه می بارد *** من ابلهانه گریزم بر آبگینه حصار ... اگر کرشمه یارم کشد اگر غک عشق *** نه آفرین زلبم بشنوند و نه زنهار، آخرین بیت موجود: شه سریر ولايت على عالى قدر *** محیط عالم دانش جهان حلم و وقار؛ د -ساقی نامه، شاعر در آغاز از عبد النبی فخر الزمانی یاد کند و داستان را از زبان او می آورد این مثنوی دارای ۲۳۸ بیت است: آغاز: چنین گفت یک مومن خوش کلام *** جوان بخت پیری به معنی تمام/ که وقتی مرا بود همسایه ای *** زجنس حکایت قوی مایه ای/ پدر کرد عبد النبى نام او *** همه شهد افشاند در کام او/ بسی روز در هند شب کرده بود *** به فخر
</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الزمانی لقب کرده بود/ به خاطر بسی داشت وصف جهان*** عجائب بسی دیده بود از کسان ... /چو آمد به قزوین از اقصـای هند *** به لب داشت دائم سخنها زهند/ شنیدم که میکرد نقلی قریب *** که در عهد شاهی اورنگ زیب / فقیری ز مردان راه خدا *** خداجوی و صاحب دل و با صفا، پایان: بیا ساقیا ای نوشخند *** که مشتاق دیدارم و دردمند/ شرابی که کیف رسـائی دهد *** به من صبر مرد آزمائی دهد؛ هـ - مثنوی = ساقی نامه غلام شاکرد دارای ۳ تمثیل: خرما، انگشتری و خریدار ماست ۲۸۳ بست (۴۴-۴۶)، آغاز: شنیدم که گردید در اصفهان*** غلامی به آقای خود هم زبان/ بگفتا به آقا ز روی نشاط *** که داریم ما جنسها در بساط/ ولیکن ز خرما ندارم خبر *** که یک من به چند است ای نامور/ به وی گفت آقا زلطف از نخست***  چرا نرخ خرما نداری خبر/ بدان قیمت و نرخ خرمای ما *** که یک من دو سنگ است آن را بها ،پایان: تن خویش امروز اهل اساس*** گذارند از بهر حفظ لباس .../ در این دور امروز هر بی خبر *** غم کفش دارد ز پا بیشتر؛ و مثنوی روباهی که همرا شتری برگزید از شفا (۴۲ بیت): شنیدم که روباهی از طرف کشت *** گذر کرد بر شهری از بهر گشت، پایان: نظر کن به آثار پروردگار *** مشو غافل از فیض این نوبهار؛ ز - مثنوی حلاج نامه  دارای ۱۹۵ بیت (۴۶-۴۷) از احمدی در شرح گفتگوی چوب و کمان و پنبه و زه حلاجی است با یکدیگر. در این گفتگو هر یـک از آنها سرگذشت خویش را بیان می دارد، نام مثنوی در این بیت آمده است: رمز این حلاج نامه یاد گیر *** نکته ای در باب آن ارشاد گیر، آغاز: دوش در بازارصبحم شد گذر*** کردم از حیرت زجانبها نظر/ ناگهان آمد مرا زار و خروش *** از دکان یا رحلاجم به گوش/ ساعتی چون کردم آنجا استماع *** پنبه دیدم با کمان اندر سماع/ نغمه ای دارد کمان بس دردناک *** پنبه  درپایش همی غلطد به خاک ... / پنبه و موم و زه و چوب و دوال *** میکنند از حال همدیگر سوال ... زه زبان بگشاد و گفت جان ای من ** بشنو اکنون ناله و افغان من/ گوسفندی بودم اندر مرغدار *** خورد و خوابی کرده بودم اختیار، پایان: رمز این حلاج نامه یاد گیر *** نکته ای در باب آن ارشاد گیر/ از کمان و پنبه افغان بر نخواست*** گفتگوی ما اشارتهای ماست .../ گفتهای احمدی ضایع مهل *** بایدت کردن حذر در گوش و دل؛ ح - مثنوی داستان بقال شهر بلخ (۸ بیت)، آغاز: بود در شـهر بلخ بقالی*** بیکران داشت در دکان مالی/ ابلهی رفت تا شـکر بخرد *** از غم و رنج و درد دل برهد، پایان: مردمان جهانه زین سان *** گشته از بهر سود جفت زیان؛ ط - مثنوی قضا  وقدر از طاهر (دارای ۱۷۰ بیت) (۴۷-۴۸)، آغاز - شنیدم روزی از فرخنده فالی *** چو گل آشفته ای صاحب کمالی/ فصاحت گستر و رنگین ترانه*** فسون سازی و لیکن در فسانه. پایان : که او در آب و من در خاک میرم *** ز ساحل این چنین بی</w:t>
      </w:r>
    </w:p>
    <w:p>
      <w:pPr>
        <w:pStyle w:val="BookText"/>
      </w:pPr>
      <w:r>
        <w:rPr>
          <w:rFonts w:ascii="IRNazanin" w:hAnsi="IRNazanin" w:eastAsia="IRNazanin" w:cs="IRNazanin"/>
          <w:lang w:bidi="fa-IR"/>
          <w:color w:val="111111"/>
          <w:sz w:val="28"/>
          <w:szCs w:val="28"/>
          <w:rtl/>
        </w:rPr>
        <w:t xml:space="preserve">باک میرم؛ ی - مثنوی قضاء و قدر سلیم، از سلیم طهرانی، محمد قـلی.</w:t>
      </w:r>
    </w:p>
    <w:p>
      <w:pPr>
        <w:pStyle w:val="BookText"/>
      </w:pPr>
      <w:r>
        <w:rPr>
          <w:rFonts w:ascii="IRNazanin" w:hAnsi="IRNazanin" w:eastAsia="IRNazanin" w:cs="IRNazanin"/>
          <w:lang w:bidi="fa-IR"/>
          <w:color w:val="111111"/>
          <w:sz w:val="28"/>
          <w:szCs w:val="28"/>
          <w:rtl/>
        </w:rPr>
        <w:t xml:space="preserve">پیش از این، مثنوی ساده دل که شاید بخشی از این مثنوی سلیم است، آورده شد، آغاز موجود: خم آن زلف رو در میانه *** چراغی بود اندر سجده خانه، پایان موجود: در این دریای پرشور آسیا نیست *** خدا دست تو گیرد ناخدا کیست. یا – مثنوی ده و شهر با تضمین بیتی از سیلم طهرانی (۷۲ بیت) (۴۹-۵۰) آغاز: شبی چون بخت عشاق از سیاهی به معنی صورت قهر الهی... چنان بود آن شب احوالم پریشان*** که سود اگر به کشتی روز</w:t>
      </w:r>
    </w:p>
    <w:p>
      <w:pPr>
        <w:pStyle w:val="BookText"/>
      </w:pPr>
      <w:r>
        <w:rPr>
          <w:rFonts w:ascii="IRNazanin" w:hAnsi="IRNazanin" w:eastAsia="IRNazanin" w:cs="IRNazanin"/>
          <w:lang w:bidi="fa-IR"/>
          <w:color w:val="111111"/>
          <w:sz w:val="28"/>
          <w:szCs w:val="28"/>
          <w:rtl/>
        </w:rPr>
        <w:t xml:space="preserve">طوفان .... دلم را از وطن شوق جدائی*** ملول از شهر هم چون روستائی ... . جنونم عاقبت کرد از غم آزاد *** نوید عشرتم از سیر ده داد/ به گوشم از سلیم این تازه در سفت *** که آن روشن بیان در مدح ده گفت/ ز کنج ده فضای شهر به نیست *** برای  عيش جایی همچو ده نیست، پایان: ندارم سوی ده من بعد خواهش *** ترم چون چشم خود از آب گردش؛ یب – سوز و گداز نوعی خبوشانی (۴۹-۵۰). آغاز: الهی خنده ام را نالکی ده</w:t>
      </w:r>
      <w:r>
        <w:rPr>
          <w:rFonts w:ascii="IRNazanin" w:hAnsi="IRNazanin" w:eastAsia="IRNazanin" w:cs="IRNazanin"/>
          <w:lang w:bidi="fa-IR"/>
          <w:color w:val="111111"/>
          <w:sz w:val="28"/>
          <w:szCs w:val="28"/>
          <w:b w:val="1"/>
          <w:bCs w:val="1"/>
          <w:i w:val="1"/>
          <w:iCs w:val="1"/>
          <w:rtl/>
        </w:rPr>
        <w:t xml:space="preserve">سر شکم را جکر پرکالکی ده، پایان: گلی بخش از گلستان خلیلم</w:t>
      </w:r>
      <w:r>
        <w:rPr>
          <w:rFonts w:ascii="IRNazanin" w:hAnsi="IRNazanin" w:eastAsia="IRNazanin" w:cs="IRNazanin"/>
          <w:lang w:bidi="fa-IR"/>
          <w:color w:val="111111"/>
          <w:sz w:val="28"/>
          <w:szCs w:val="28"/>
          <w:rtl/>
        </w:rPr>
        <w:t xml:space="preserve"> در این ره ساز آتش را دلیلم؛ خط: شکسته نستعلیق خوب، کا: آقا نور ابن حاج نقد علی، تا: قرن۱۲؛ افتادگی: آغاز؛ ۱۰گ (۴۱-۵۰) [ف : ۲۳ - ۶۵۱]</w:t>
      </w:r>
    </w:p>
    <w:p>
      <w:pPr>
        <w:pStyle w:val="BookText"/>
      </w:pPr>
      <w:r>
        <w:rPr>
          <w:rFonts w:ascii="IRNazanin" w:hAnsi="IRNazanin" w:eastAsia="IRNazanin" w:cs="IRNazanin"/>
          <w:lang w:bidi="fa-IR"/>
          <w:color w:val="111111"/>
          <w:sz w:val="28"/>
          <w:szCs w:val="28"/>
          <w:rtl/>
        </w:rPr>
        <w:t xml:space="preserve">۴۷۴. تهران؛ مجلس؛ شماره نسخه: ۱۹-ط /۱۱۶۲ط</w:t>
      </w:r>
    </w:p>
    <w:p>
      <w:pPr>
        <w:pStyle w:val="BookText"/>
      </w:pPr>
      <w:r>
        <w:rPr>
          <w:rFonts w:ascii="IRNazanin" w:hAnsi="IRNazanin" w:eastAsia="IRNazanin" w:cs="IRNazanin"/>
          <w:lang w:bidi="fa-IR"/>
          <w:color w:val="111111"/>
          <w:sz w:val="28"/>
          <w:szCs w:val="28"/>
          <w:rtl/>
        </w:rPr>
        <w:t xml:space="preserve">مثنوی قضاء و قدر از طاهر؛ خط: شکسته نستعلیق، کا: آقا نورا بن حاج نقد علی، تا: ۱۱۲۷-۱۱۳۴؛ ۱گ (۴۷-۴۸پ)[ف: ۲۳/۲ - ۶۵۴]</w:t>
      </w:r>
    </w:p>
    <w:p>
      <w:pPr>
        <w:pStyle w:val="BookText"/>
      </w:pPr>
      <w:r>
        <w:rPr>
          <w:rFonts w:ascii="IRNazanin" w:hAnsi="IRNazanin" w:eastAsia="IRNazanin" w:cs="IRNazanin"/>
          <w:lang w:bidi="fa-IR"/>
          <w:color w:val="111111"/>
          <w:sz w:val="28"/>
          <w:szCs w:val="28"/>
          <w:rtl/>
        </w:rPr>
        <w:t xml:space="preserve">۴۷۵. تهران؛ ملک؛ شماره نسخه: ۵۶۱۱/۵</w:t>
      </w:r>
    </w:p>
    <w:p>
      <w:pPr>
        <w:pStyle w:val="BookText"/>
      </w:pPr>
      <w:r>
        <w:rPr>
          <w:rFonts w:ascii="IRNazanin" w:hAnsi="IRNazanin" w:eastAsia="IRNazanin" w:cs="IRNazanin"/>
          <w:lang w:bidi="fa-IR"/>
          <w:color w:val="111111"/>
          <w:sz w:val="28"/>
          <w:szCs w:val="28"/>
          <w:rtl/>
        </w:rPr>
        <w:t xml:space="preserve">آغاز: بسمله ای کرده مرا بگلشن راز *** طاوس صفت ... نظر باز/ عشق تو دلم تمام بگداخت*** مرآت جمال خویشتن ساخت؛</w:t>
      </w:r>
    </w:p>
    <w:p>
      <w:pPr>
        <w:pStyle w:val="BookText"/>
      </w:pPr>
      <w:r>
        <w:rPr>
          <w:rFonts w:ascii="IRNazanin" w:hAnsi="IRNazanin" w:eastAsia="IRNazanin" w:cs="IRNazanin"/>
          <w:lang w:bidi="fa-IR"/>
          <w:color w:val="111111"/>
          <w:sz w:val="28"/>
          <w:szCs w:val="28"/>
          <w:rtl/>
        </w:rPr>
        <w:t xml:space="preserve">انجام: .... ز مصرعی شود دور کسی دور ... . منظور</w:t>
      </w:r>
    </w:p>
    <w:p>
      <w:pPr>
        <w:pStyle w:val="BookText"/>
      </w:pPr>
      <w:r>
        <w:rPr>
          <w:rFonts w:ascii="IRNazanin" w:hAnsi="IRNazanin" w:eastAsia="IRNazanin" w:cs="IRNazanin"/>
          <w:lang w:bidi="fa-IR"/>
          <w:color w:val="111111"/>
          <w:sz w:val="28"/>
          <w:szCs w:val="28"/>
          <w:rtl/>
        </w:rPr>
        <w:t xml:space="preserve">مثنوی است گویا از فخری است. با این عنوانها: نعت و صفت معراج، منقبت امیرالمؤمنین، ستایش سخن، تمهید نظم این مثنوی، آغاز: داستان، چند غزل و داستان ،خط: نستعليق، كا: محمد على خان، تا: قرن ۱۲ ؛جا: هند ؛کاغذ: نوعی ترمه، جلد: بیاضی، 8گ (۹۵ ر-۱۰۳ر)، ۱۶ سطر، اندازه: ۱۴/۵</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۲۷سم [ف: ۸ - ۴۳۹]</w:t>
      </w:r>
    </w:p>
    <w:p>
      <w:pPr>
        <w:pStyle w:val="BookText"/>
      </w:pPr>
      <w:r>
        <w:rPr>
          <w:rFonts w:ascii="IRNazanin" w:hAnsi="IRNazanin" w:eastAsia="IRNazanin" w:cs="IRNazanin"/>
          <w:lang w:bidi="fa-IR"/>
          <w:color w:val="111111"/>
          <w:sz w:val="28"/>
          <w:szCs w:val="28"/>
          <w:rtl/>
        </w:rPr>
        <w:t xml:space="preserve">۴۷۶. تهران؛ ملک؛ شماره نسخه: ۵۶۱۱/۱۵</w:t>
      </w:r>
    </w:p>
    <w:p>
      <w:pPr>
        <w:pStyle w:val="BookText"/>
      </w:pPr>
      <w:r>
        <w:rPr>
          <w:rFonts w:ascii="IRNazanin" w:hAnsi="IRNazanin" w:eastAsia="IRNazanin" w:cs="IRNazanin"/>
          <w:lang w:bidi="fa-IR"/>
          <w:color w:val="111111"/>
          <w:sz w:val="28"/>
          <w:szCs w:val="28"/>
          <w:rtl/>
        </w:rPr>
        <w:t xml:space="preserve">آغاز: بسم الله الرحمان الرحيم *** هست کلید در گنج حکیم/ شکر انعام قادر علام*** که ز قدرت بیافرید كلام / بهر نظم لئالى مكنون *** داد ما را طبایع موزون</w:t>
      </w:r>
    </w:p>
    <w:p>
      <w:pPr>
        <w:pStyle w:val="BookText"/>
      </w:pPr>
      <w:r>
        <w:rPr>
          <w:rFonts w:ascii="IRNazanin" w:hAnsi="IRNazanin" w:eastAsia="IRNazanin" w:cs="IRNazanin"/>
          <w:lang w:bidi="fa-IR"/>
          <w:color w:val="111111"/>
          <w:sz w:val="28"/>
          <w:szCs w:val="28"/>
          <w:rtl/>
        </w:rPr>
        <w:t xml:space="preserve">مثنوی است؛ خط: نستعلیق، کا: محمد علی خان، تا: قرن ۱۲، جا: هند؛ کاغذ: نوعی ترمه ،جلد: بیاضی، ۱۶ سطر، اندازه:۱۴/۵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۲۷سم [ف: ۸ - ۴۴۱]</w:t>
      </w:r>
    </w:p>
    <w:p>
      <w:pPr>
        <w:pStyle w:val="BookText"/>
      </w:pPr>
      <w:r>
        <w:rPr>
          <w:rFonts w:ascii="IRNazanin" w:hAnsi="IRNazanin" w:eastAsia="IRNazanin" w:cs="IRNazanin"/>
          <w:lang w:bidi="fa-IR"/>
          <w:color w:val="111111"/>
          <w:sz w:val="28"/>
          <w:szCs w:val="28"/>
          <w:rtl/>
        </w:rPr>
        <w:t xml:space="preserve">۴۷۷. تهران؛ دانشگاه؛ شماره نسخه: ۷۹۸۲/۱</w:t>
      </w:r>
    </w:p>
    <w:p>
      <w:pPr>
        <w:pStyle w:val="BookText"/>
      </w:pPr>
      <w:r>
        <w:rPr>
          <w:rFonts w:ascii="IRNazanin" w:hAnsi="IRNazanin" w:eastAsia="IRNazanin" w:cs="IRNazanin"/>
          <w:lang w:bidi="fa-IR"/>
          <w:color w:val="111111"/>
          <w:sz w:val="28"/>
          <w:szCs w:val="28"/>
          <w:rtl/>
        </w:rPr>
        <w:t xml:space="preserve">آغاز: این نام بنام کار سازی؛</w:t>
      </w:r>
    </w:p>
    <w:p>
      <w:pPr>
        <w:pStyle w:val="BookText"/>
      </w:pPr>
      <w:r>
        <w:rPr>
          <w:rFonts w:ascii="IRNazanin" w:hAnsi="IRNazanin" w:eastAsia="IRNazanin" w:cs="IRNazanin"/>
          <w:lang w:bidi="fa-IR"/>
          <w:color w:val="111111"/>
          <w:sz w:val="28"/>
          <w:szCs w:val="28"/>
          <w:rtl/>
        </w:rPr>
        <w:t xml:space="preserve">مثنوی است گویا از نظامی یا خسرو دهلوی ؛خط: نستعلیق، بی کا، تا: قرن ۱۲ ؛کاغذ: سپاهانی ،جلد: مقوای پارچه، اگ (۱پ- ۲پ)، ۱۷ سطر ،(7/5</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،قطع: ربعی، اندازه: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 ف ۱۶ - ۷۵۵]
</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۴۷۸. تهران؛ ملک؛ شماره نسخه: ۵۰۱۴/۱۷</w:t>
      </w:r>
    </w:p>
    <w:p>
      <w:pPr>
        <w:pStyle w:val="BookText"/>
      </w:pPr>
      <w:r>
        <w:rPr>
          <w:rFonts w:ascii="IRNazanin" w:hAnsi="IRNazanin" w:eastAsia="IRNazanin" w:cs="IRNazanin"/>
          <w:lang w:bidi="fa-IR"/>
          <w:color w:val="111111"/>
          <w:sz w:val="28"/>
          <w:szCs w:val="28"/>
          <w:rtl/>
        </w:rPr>
        <w:t xml:space="preserve">آغاز: حرام است بر پادشه خواب خوش – چه باشد ضيف از وی بارکش ؟</w:t>
      </w:r>
    </w:p>
    <w:p>
      <w:pPr>
        <w:pStyle w:val="BookText"/>
      </w:pPr>
      <w:r>
        <w:rPr>
          <w:rFonts w:ascii="IRNazanin" w:hAnsi="IRNazanin" w:eastAsia="IRNazanin" w:cs="IRNazanin"/>
          <w:lang w:bidi="fa-IR"/>
          <w:color w:val="111111"/>
          <w:sz w:val="28"/>
          <w:szCs w:val="28"/>
          <w:rtl/>
        </w:rPr>
        <w:t xml:space="preserve">مثنوی است؛ خط: نستعلیق، بی کا، تا: قرن ۱۲؛ افتادگی: آغازو انجام [ف: ۸ - ۱۶۸]</w:t>
      </w:r>
    </w:p>
    <w:p>
      <w:pPr>
        <w:pStyle w:val="BookText"/>
      </w:pPr>
      <w:r>
        <w:rPr>
          <w:rFonts w:ascii="IRNazanin" w:hAnsi="IRNazanin" w:eastAsia="IRNazanin" w:cs="IRNazanin"/>
          <w:lang w:bidi="fa-IR"/>
          <w:color w:val="111111"/>
          <w:sz w:val="28"/>
          <w:szCs w:val="28"/>
          <w:rtl/>
        </w:rPr>
        <w:t xml:space="preserve">۴۷۹. تهران؛ ادبیات؛ شماره نسخه: ۱۹۲ - ج</w:t>
      </w:r>
    </w:p>
    <w:p>
      <w:pPr>
        <w:pStyle w:val="BookText"/>
      </w:pPr>
      <w:r>
        <w:rPr>
          <w:rFonts w:ascii="IRNazanin" w:hAnsi="IRNazanin" w:eastAsia="IRNazanin" w:cs="IRNazanin"/>
          <w:lang w:bidi="fa-IR"/>
          <w:color w:val="111111"/>
          <w:sz w:val="28"/>
          <w:szCs w:val="28"/>
          <w:rtl/>
        </w:rPr>
        <w:t xml:space="preserve">آغاز: بی غمی شعبه یی ز بی نفسی است *** بطر و خرمی زنا حفصی است؛ انجام: سیم و درهم خورد که ای قرض است*** خود بگوید که از کجا فرض است</w:t>
      </w:r>
    </w:p>
    <w:p>
      <w:pPr>
        <w:pStyle w:val="BookText"/>
      </w:pPr>
      <w:r>
        <w:rPr>
          <w:rFonts w:ascii="IRNazanin" w:hAnsi="IRNazanin" w:eastAsia="IRNazanin" w:cs="IRNazanin"/>
          <w:lang w:bidi="fa-IR"/>
          <w:color w:val="111111"/>
          <w:sz w:val="28"/>
          <w:szCs w:val="28"/>
          <w:rtl/>
        </w:rPr>
        <w:t xml:space="preserve">مثنوی اخلاقی است. چنین است فهرست عنوان ها در نسخه تربیت منزل، خلق منع اشراف، تناكح، زنان بد، نصیحت زنان بد،حکایت، کم راندن شهوت، تاثیر و عاقبت خودرویی، مذمت بخل و بخیلان، بی رونقی شر، شرط دوستی، صفت فتوت؛ خـط: نستعلیق، بی کا، تا: قرن ۱۲؛ افتادگی: آغاز و انجام؛ مجدول؛ کاغذ: سپاهانی، جلد: تیماج مشکی ضربی مقوایی ،۷۸گ، ۷ سـطر  (7</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۱ - ۴۱۰]</w:t>
      </w:r>
    </w:p>
    <w:p>
      <w:pPr>
        <w:pStyle w:val="BookText"/>
      </w:pPr>
      <w:r>
        <w:rPr>
          <w:rFonts w:ascii="IRNazanin" w:hAnsi="IRNazanin" w:eastAsia="IRNazanin" w:cs="IRNazanin"/>
          <w:lang w:bidi="fa-IR"/>
          <w:color w:val="111111"/>
          <w:sz w:val="28"/>
          <w:szCs w:val="28"/>
          <w:rtl/>
        </w:rPr>
        <w:t xml:space="preserve">۴۸۰. تهران؛ دانشگاه؛ شماره نسخه: ۸۵۳۷/۷</w:t>
      </w:r>
    </w:p>
    <w:p>
      <w:pPr>
        <w:pStyle w:val="BookText"/>
      </w:pPr>
      <w:r>
        <w:rPr>
          <w:rFonts w:ascii="IRNazanin" w:hAnsi="IRNazanin" w:eastAsia="IRNazanin" w:cs="IRNazanin"/>
          <w:lang w:bidi="fa-IR"/>
          <w:color w:val="111111"/>
          <w:sz w:val="28"/>
          <w:szCs w:val="28"/>
          <w:rtl/>
        </w:rPr>
        <w:t xml:space="preserve">مثنوی اردوست در چهار باب ؛خط: نستعلیق، بی کا، تا: قرن 12؛کاغذ:سپاهانی، جلد: تیماج حنایی مقوایی ،وزیری، ۸گ (۱۷۹ر- ۱۸۵پ)، ۱۹ سطر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[ف: ۱۷ - ۱۵۷]</w:t>
      </w:r>
    </w:p>
    <w:p>
      <w:pPr>
        <w:pStyle w:val="BookText"/>
      </w:pPr>
      <w:r>
        <w:rPr>
          <w:rFonts w:ascii="IRNazanin" w:hAnsi="IRNazanin" w:eastAsia="IRNazanin" w:cs="IRNazanin"/>
          <w:lang w:bidi="fa-IR"/>
          <w:color w:val="111111"/>
          <w:sz w:val="28"/>
          <w:szCs w:val="28"/>
          <w:rtl/>
        </w:rPr>
        <w:t xml:space="preserve">۴۸۱. تهران؛ ملک؛ شماره نسخه: ۵۱۰۹/۴</w:t>
      </w:r>
    </w:p>
    <w:p>
      <w:pPr>
        <w:pStyle w:val="BookText"/>
      </w:pPr>
      <w:r>
        <w:rPr>
          <w:rFonts w:ascii="IRNazanin" w:hAnsi="IRNazanin" w:eastAsia="IRNazanin" w:cs="IRNazanin"/>
          <w:lang w:bidi="fa-IR"/>
          <w:color w:val="111111"/>
          <w:sz w:val="28"/>
          <w:szCs w:val="28"/>
          <w:rtl/>
        </w:rPr>
        <w:t xml:space="preserve">مثنوی است در تب کردن حضرت حسین؛ خط: نستعلیق، بی کا، تا: قرن ۱۲ [ف ۸ - ۲۰۷]</w:t>
      </w:r>
    </w:p>
    <w:p>
      <w:pPr>
        <w:pStyle w:val="BookText"/>
      </w:pPr>
      <w:r>
        <w:rPr>
          <w:rFonts w:ascii="IRNazanin" w:hAnsi="IRNazanin" w:eastAsia="IRNazanin" w:cs="IRNazanin"/>
          <w:lang w:bidi="fa-IR"/>
          <w:color w:val="111111"/>
          <w:sz w:val="28"/>
          <w:szCs w:val="28"/>
          <w:rtl/>
        </w:rPr>
        <w:t xml:space="preserve">۴۸۲. تهران؛ دانشگاه؛ شماره نسخه: ۸۷۴۹</w:t>
      </w:r>
    </w:p>
    <w:p>
      <w:pPr>
        <w:pStyle w:val="BookText"/>
      </w:pPr>
      <w:r>
        <w:rPr>
          <w:rFonts w:ascii="IRNazanin" w:hAnsi="IRNazanin" w:eastAsia="IRNazanin" w:cs="IRNazanin"/>
          <w:lang w:bidi="fa-IR"/>
          <w:color w:val="111111"/>
          <w:sz w:val="28"/>
          <w:szCs w:val="28"/>
          <w:rtl/>
        </w:rPr>
        <w:t xml:space="preserve">مثنوی عرفانی است ناظم خود را مجذوب شیدا می خواند، در آن آمده است: «گفته است در مثنوی سلطان ما *** چون خدا شود جوینده لا»، نیز: «مرشد ما این چنین فرموده است» آیات و احادیث در آن تفسیر می شود و مناجات دارد. نمونه عنوان ها:در بیان معنی تصوف و صفت فقر، دربیان سماع و اقسام او، در بـیان قدمت عشق مجازی و توصیف عشق حقیقی، در بیان انذار نفـس خود ناظم این کتاب در بیان تجلی اسما و صفات و تجـلی ربوبیت و تجلى الوهیت، در بیان شیخ و اقسام او، در بیان ذکر و اقسام او. در بیان ده چیز که طلب وی لازم است و آن منقسم به ده«فصل»: ۱. بیان ترک دنیا، ۲. مخالفت نفس و ترک هوا،3. بیان ترک مصاحبت ناجنس و فوائد خلوت و عزلت، ۴. ترک سخن، ... ۱۰. ترک شهرت، در بیان معنی اتحاد عاشق و معشوق و یک رنگ شدن در کارخانه صبغة الله، در بیان خوف از حق تعـالی و بیان توبه و انابت؛ خط: نسخ، کا: بخارایی، تا: قرن ۱۲؛ افتادگی: آغاز و انجام؛ کاغذ: فرنگی ،جلد: تیماج سرخ مقوایی، رحـلی کوچک، ۱۱۲گ، ۱۹ سطر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17- 212]</w:t>
      </w:r>
    </w:p>
    <w:p>
      <w:pPr>
        <w:pStyle w:val="BookText"/>
      </w:pPr>
      <w:r>
        <w:rPr>
          <w:rFonts w:ascii="IRNazanin" w:hAnsi="IRNazanin" w:eastAsia="IRNazanin" w:cs="IRNazanin"/>
          <w:lang w:bidi="fa-IR"/>
          <w:color w:val="111111"/>
          <w:sz w:val="28"/>
          <w:szCs w:val="28"/>
          <w:rtl/>
        </w:rPr>
        <w:t xml:space="preserve">۴۸۳ تهران؛ دانشگاه؛ شماره نسخه: ۹۷۲۸</w:t>
      </w:r>
    </w:p>
    <w:p>
      <w:pPr>
        <w:pStyle w:val="BookText"/>
      </w:pPr>
      <w:r>
        <w:rPr>
          <w:rFonts w:ascii="IRNazanin" w:hAnsi="IRNazanin" w:eastAsia="IRNazanin" w:cs="IRNazanin"/>
          <w:lang w:bidi="fa-IR"/>
          <w:color w:val="111111"/>
          <w:sz w:val="28"/>
          <w:szCs w:val="28"/>
          <w:rtl/>
        </w:rPr>
        <w:t xml:space="preserve">آغاز: هم درین معنی حکایت بس شریف جلوه فرموده بر این عبد ضعیف مثنوی عرفانی است در آن از گروه نقش بندی و قادری و از بایزید و احمد غزالی و شیخ بهاءالدین نقش بند یاد شده است و از شیخ نوری و شاه همدانی و شیخ احمد گنج بخش مغربی؛ خط: نستعلیق، بی کا، تا: قرن ۱۲؛ افتادگی: انجام؛ با تصویر مولوی؛ کاغذ: هندی، جلد: تازه رحلی، ۱۲گ، ۲۵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 اندازه :  ۱۷/۵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۳۰سم [ف : ۱۷ - ۴۶۷]</w:t>
      </w:r>
    </w:p>
    <w:p>
      <w:pPr>
        <w:pStyle w:val="BookText"/>
      </w:pPr>
      <w:r>
        <w:rPr>
          <w:rFonts w:ascii="IRNazanin" w:hAnsi="IRNazanin" w:eastAsia="IRNazanin" w:cs="IRNazanin"/>
          <w:lang w:bidi="fa-IR"/>
          <w:color w:val="111111"/>
          <w:sz w:val="28"/>
          <w:szCs w:val="28"/>
          <w:rtl/>
        </w:rPr>
        <w:t xml:space="preserve">۴۸۴ .تهران؛ ملک؛ شماره نسخه: ۵۰۱۴/۱۲</w:t>
      </w:r>
    </w:p>
    <w:p>
      <w:pPr>
        <w:pStyle w:val="BookText"/>
      </w:pPr>
      <w:r>
        <w:rPr>
          <w:rFonts w:ascii="IRNazanin" w:hAnsi="IRNazanin" w:eastAsia="IRNazanin" w:cs="IRNazanin"/>
          <w:lang w:bidi="fa-IR"/>
          <w:color w:val="111111"/>
          <w:sz w:val="28"/>
          <w:szCs w:val="28"/>
          <w:rtl/>
        </w:rPr>
        <w:t xml:space="preserve">مثنوی کوتاهی است؛ خط: نستعلیق، بی کا، تا: قرن ۱۲ [ف: ۸ - ۱۶۸]</w:t>
      </w:r>
    </w:p>
    <w:p>
      <w:pPr>
        <w:pStyle w:val="BookText"/>
      </w:pPr>
      <w:r>
        <w:rPr>
          <w:rFonts w:ascii="IRNazanin" w:hAnsi="IRNazanin" w:eastAsia="IRNazanin" w:cs="IRNazanin"/>
          <w:lang w:bidi="fa-IR"/>
          <w:color w:val="111111"/>
          <w:sz w:val="28"/>
          <w:szCs w:val="28"/>
          <w:rtl/>
        </w:rPr>
        <w:t xml:space="preserve">۴۸۵. تهران؛ مجلس؛ شماره نسخه: ۲۶۳۹</w:t>
      </w:r>
    </w:p>
    <w:p>
      <w:pPr>
        <w:pStyle w:val="BookText"/>
      </w:pPr>
      <w:r>
        <w:rPr>
          <w:rFonts w:ascii="IRNazanin" w:hAnsi="IRNazanin" w:eastAsia="IRNazanin" w:cs="IRNazanin"/>
          <w:lang w:bidi="fa-IR"/>
          <w:color w:val="111111"/>
          <w:sz w:val="28"/>
          <w:szCs w:val="28"/>
          <w:rtl/>
        </w:rPr>
        <w:t xml:space="preserve">آغاز: بلبل ار می بود صاحب اختیار *** کی کشیدی بھر گل صد جور خار/ چون بکامت نیست چرخ نیل فام *** زان جهت در پیچ و در تابی مدام؛ انجام :گر نبودی لطف رب العالمين *** نفس کشتی رهزنم در راه دین / گه شدم در خوان وصلش میهمان *** گه ربودم از سگ نفس.</w:t>
      </w:r>
    </w:p>
    <w:p>
      <w:pPr>
        <w:pStyle w:val="BookText"/>
      </w:pPr>
      <w:r>
        <w:rPr>
          <w:rFonts w:ascii="IRNazanin" w:hAnsi="IRNazanin" w:eastAsia="IRNazanin" w:cs="IRNazanin"/>
          <w:lang w:bidi="fa-IR"/>
          <w:color w:val="111111"/>
          <w:sz w:val="28"/>
          <w:szCs w:val="28"/>
          <w:rtl/>
        </w:rPr>
        <w:t xml:space="preserve">مثنوی عرفانی بی آغاز و پایان بر وزن مثنوی مولوی از شاعری محبی تخلص که از مثنوی های عطار و مولوی مثال آورده است. این مثنوی از داستان های عرفانی و شرح احادیث و اخبار ترکیب یافته است و داستان های آن عبارت است از:حکایت ابراهیم ادهم و طوطی و عنقا و هدهد؛ خط: نستعلیق، بی کا، تا: قرن ۱۲؛ افتادگی: آغاز و وسط و انجام؛ برگ ۵۰ از مثنوی دیگری است بروزن خسرو شیرین نظامی؛ مجدول؛ کاغذ: فرنگی الوان، جلد: تيماج سياه ، ۱۱۸ص ، ۱۳ سطر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اندازه: ۷۳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۱۲/۵سم  [ف: ۸ - ۳۸۲]</w:t>
      </w:r>
    </w:p>
    <w:p>
      <w:pPr>
        <w:pStyle w:val="BookText"/>
      </w:pPr>
      <w:r>
        <w:rPr>
          <w:rFonts w:ascii="IRNazanin" w:hAnsi="IRNazanin" w:eastAsia="IRNazanin" w:cs="IRNazanin"/>
          <w:lang w:bidi="fa-IR"/>
          <w:color w:val="111111"/>
          <w:sz w:val="28"/>
          <w:szCs w:val="28"/>
          <w:rtl/>
        </w:rPr>
        <w:t xml:space="preserve">۴۸۶. تهران؛ مجلس؛ شماره نسخه: ۵۹۹۶/۶۵</w:t>
      </w:r>
    </w:p>
    <w:p>
      <w:pPr>
        <w:pStyle w:val="BookText"/>
      </w:pPr>
      <w:r>
        <w:rPr>
          <w:rFonts w:ascii="IRNazanin" w:hAnsi="IRNazanin" w:eastAsia="IRNazanin" w:cs="IRNazanin"/>
          <w:lang w:bidi="fa-IR"/>
          <w:color w:val="111111"/>
          <w:sz w:val="28"/>
          <w:szCs w:val="28"/>
          <w:rtl/>
        </w:rPr>
        <w:t xml:space="preserve">مثنوی در هجو از خواجه محمد رضا؛ خط: شکسته نستعلیق، بی کا، تا: ۱۰۹۸ یا ۱۱۰۰ق؛ ۲ ص (۲۶۳-۲۶۴) [ف: ۱۷ - ۳۸۰]</w:t>
      </w:r>
    </w:p>
    <w:p>
      <w:pPr>
        <w:pStyle w:val="BookText"/>
      </w:pPr>
      <w:r>
        <w:rPr>
          <w:rFonts w:ascii="IRNazanin" w:hAnsi="IRNazanin" w:eastAsia="IRNazanin" w:cs="IRNazanin"/>
          <w:lang w:bidi="fa-IR"/>
          <w:color w:val="111111"/>
          <w:sz w:val="28"/>
          <w:szCs w:val="28"/>
          <w:rtl/>
        </w:rPr>
        <w:t xml:space="preserve">۴۸۷. تهران؛ ملی؛ شماره نسخه: ۲۸۶۶</w:t>
      </w:r>
    </w:p>
    <w:p>
      <w:pPr>
        <w:pStyle w:val="BookText"/>
      </w:pPr>
      <w:r>
        <w:rPr>
          <w:rFonts w:ascii="IRNazanin" w:hAnsi="IRNazanin" w:eastAsia="IRNazanin" w:cs="IRNazanin"/>
          <w:lang w:bidi="fa-IR"/>
          <w:color w:val="111111"/>
          <w:sz w:val="28"/>
          <w:szCs w:val="28"/>
          <w:rtl/>
        </w:rPr>
        <w:t xml:space="preserve">آغاز: باز آ باز آ هر آنچه هستی باز آ  *** گر کافر و گبر و بت پرستی باز آ؛ انجام: در چشمه حیوان اگر آید اجلت *** مهلت ندهد که آب در کوزه کنی</w:t>
      </w:r>
    </w:p>
    <w:p>
      <w:pPr>
        <w:pStyle w:val="BookText"/>
      </w:pPr>
      <w:r>
        <w:rPr>
          <w:rFonts w:ascii="IRNazanin" w:hAnsi="IRNazanin" w:eastAsia="IRNazanin" w:cs="IRNazanin"/>
          <w:lang w:bidi="fa-IR"/>
          <w:color w:val="111111"/>
          <w:sz w:val="28"/>
          <w:szCs w:val="28"/>
          <w:rtl/>
        </w:rPr>
        <w:t xml:space="preserve">در این نسخه ۸۹۰ رباعی از ۱۸۸ شاعر است از این قرار: ابوسعید ابوالخیر، امیر خسرو دهلوی، ابوطالب حکیم تبریزی، آقا حسن وحدت، افضل الدین کرمانی، آقا مقیم سمنانی. امینای نجفی آقا مومن اصفهانی، آگاه اوزبک، آقا حسین خوانساری، اسدی طوسی، آقا جعفر سارو بهادر، بابا افضل کاشی، باعث همدانی، بابا فغانی شیرازی، حکیم ظهوری خراسانی، حاجی محمد رضا راضی، حسن خان شاملو، حاجی محمد جان قدس، حکیم سنائی، حكيم محمد سعید حکیم، حکیم رکنای مسیح، حکیم انوری، حسن بیک رفیع، حاجی اسد بیک، حکیم خواجه حسین سنائی، حاجی طالب نصیب ،خیام، خاقانی، خواجه حافظ شیرازی، خلیل بیک، فایق گیلانی، خالصای استر آبادی، خواجه نصیرالدین طوسی، خلیفه سلطان، سایر اردو باری، سارجای نقاش، سید محمد جامه باف، شیخ بهاء الدين محمد ،شاه عباس ثانی، شیخ
</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اوحدی، شفیعای اثر اصفهانی، شیخ شاه نظر قمشه، شیخ سعدی، شاه شجاع، شاه میرزا شاهدا ،شوکت، شیخ زاده لاهیجی، شیخ الله قلی، شیخ علی حسینی همدانی، طالب آملی، زایرای شوشتری ،عراقی، عبداله سلطان محكى منصف، عجم قلی بیک ذوالقدر، عنایت اله خان آشنا ،عظیمای نیشابوری، عارف کاشی، ظهیر الدین محمد، غیاثای حلوائی، غنی کشمیری، فردوسی طوسی، قربان محمد اوزبک، مقیمای مقصود، کلبعلی نادر، کمال اسماعیل، کفری یزدی، میرزا محمد صالح رضوی، ملا خواجه علی پیشنماز نعیم، میرزین الدین جنتی اصفهانی، میر علی جرفادقانی، ملا عرفی شیرازی، ملا سبحانی نجفی، میرزا صـدر رضوی، ملا مومن حسین یزدی، میرزا جعفر منشی، ملا ناظم هروی، میرزا عبداله منشی، میرزا فصیح برادر وحید، ملا جـلال الدین مولوی، میرزا ملک قومی، ملا صادق شیخ الاسلام خواف، میرزا نصیر عشقی نصرت، میرزا محمد حسین نورس، میرزا رفیع واعظ، میرزا محمد مجذوب تبریزی، میر حیدر معمائی، مغربی، محمد امین خان بیات مجرم ،ملاجانی، میرزا محمد تقی نصیری، منشی دیوان، محمد ابراهیم فارغ، ملارشدی رستمداری، میر مغیب محوی، میر رضی دانش، ملا محمد علی، میر معصوم مقلی، ملا محمد صوتی، میرزا کمال قمی، میرزا حسن خان الفت،ملا رجبعلی تبریزی، ملا عبدالرزاق فیاض، میر شریف حافظ، میرزا قواما خلف ابراهیم، میرزا داود متولی، میرزا ابراهیم متولی، ملا مظفر حسین، میر رضی ارتیمانی، میر نجات عبدالعالی، مرشد بروجردی، میرزا نمازی داوری، میرزا طاهر قمشه ای، میـرزا ابوالحسن یگانه، ملاشانی تکلو، ملا مجدالدین شوشتری، میرزا قاسم خلوت نشین، ملا ولی، محمد ابراهیم قلی شیرازی، میر سید علی، میرزا ابوالحسن جامه، میرزا فصیحی هروی، میر محمد باقر داماد، ملا لطفعلی شاپور، ملاشکوهی، میرزا رحیم عتیقی، میرزا مهدی، میرزا عرب ناصح تبریزی، میرزا رحيم فراش، ملا عبدالله انصار، میرزا جمال الدین اسد آبادی، میرزا شفیع نازی، مستـفید اوزبک، میرزا نوری فتوی هروی، میرزا نصرت عتیقی، میرزا عباس خان صدق، ملا علیرضا تجلی، ملا محمد طاهری، میر معزالدین محمد یزدی، محمد زمان بیک همت، ملا شیخ فایز، میرزا عبدالمناف قمی، ملا نظیری مشهدی، ملا محمد امین استرآبادی، میرزا صایبا تبریزی، میرزا ابوالحسن فراهانی، میرزا محمد تـقی نصیب، میرزا مهدی حجت پیشنماز، میرزا نظام دستغیب، میرزا احسن الله احسن مشهور بظفرخان، ملا عامی مشهدی، محتـشم کاشانی، میرزا عرب نظام الملکی، ملا رحيم شیخ الاسلام،  ملا قاسم مشهدی، ملا موالی تونی، میر فاضلای یزدی، میر شهنشاهر شکیب، ملا هاشم همدانی، میر ابو طالب تبریزی، میرابوطالب حافظ، میر عرفان طهرانی، ملا محمد سعید اشرف، میر معصـوم کاشی، ملهم، میرزا رفیع دستور، میرزا لطف الله مشهور به مطالع، ملا عبدالرحمن جامی، میر زینت، میرزا طاهر اعتمادالدوله، مسیحای کاشی، ملا حاج محمد گیلانی، میرزا سیدعلی سبزواری، ملک حمزه خان غافل، میر نجات، ملا حسنعلی معتقد، میر مهدی قلی خان، ملا کرامی، محمد قلی سلیم، مرتضی قلی خان شاملو، نظیری نیشابوری، نوروز بیک ،نادرای زرگر، نظیری روحی، نور جهان بیگم، یحیی نیشابوری. جامع این رباعیات را در هفده «فصل» آورده: ١. فضل و لطف و عطا و رحمت الهی، ۲ . مذمت دولت دنیا،3 . نصیحت و پند، 4. ،بینی، ۵ .خال، ۶.لب و تبسم،7.ابرو، ۸ .چشم، ۹. مژگان، ۱۰. نگاه، ۱۱. ابرو و چشم و مژگان و نگاه و خال و لب و دهن، ۱۲. ائمه و شیعه اثنی عشری، ۱۳. زلف و گیسو، ۱۴. تعریف معشوق و روی و چهره و عکس معشوق، ۱۵. شأن زاهد، ۱۶. می و پیاله و شراب و ساقی، ۱۷. رباعیاتی در احوال مختلفه خود و شکوه از روزگار گفته؛ خط: نستعلیق، بی کا، تا: محتملاً قرن ۱۲؛ کاغذ: فرنگی، جلد: مقوایی، رویه کالینگور تریاکی، عطف تیماج ماشی، نوسازی، ۲۵گ، ۱۴  سطر (12/2</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۶ - ۵۲۱]</w:t>
      </w:r>
    </w:p>
    <w:p>
      <w:pPr>
        <w:pStyle w:val="BookText"/>
      </w:pPr>
      <w:r>
        <w:rPr>
          <w:rFonts w:ascii="IRNazanin" w:hAnsi="IRNazanin" w:eastAsia="IRNazanin" w:cs="IRNazanin"/>
          <w:lang w:bidi="fa-IR"/>
          <w:color w:val="111111"/>
          <w:sz w:val="28"/>
          <w:szCs w:val="28"/>
          <w:rtl/>
        </w:rPr>
        <w:t xml:space="preserve">۴۸۸. تهران؛ سپهسالار؛ شماره نسخه: ۲۷۵/۱</w:t>
      </w:r>
    </w:p>
    <w:p>
      <w:pPr>
        <w:pStyle w:val="BookText"/>
      </w:pPr>
      <w:r>
        <w:rPr>
          <w:rFonts w:ascii="IRNazanin" w:hAnsi="IRNazanin" w:eastAsia="IRNazanin" w:cs="IRNazanin"/>
          <w:lang w:bidi="fa-IR"/>
          <w:color w:val="111111"/>
          <w:sz w:val="28"/>
          <w:szCs w:val="28"/>
          <w:rtl/>
        </w:rPr>
        <w:t xml:space="preserve">ترجيع بندهایی است از فخرالدین عراقی، سعدی، ناصر بخاری ،سلمان، اوحدی مراغی اصفهانی، شیخ جنید، کمال الدین فارسی، خواجو؛ خط: نستعلیق، بی کا، تا: قرن ۱۲؛ در متن و حاشیه، مجدول، دارای سرلوح زرین؛ کاغذ: سپاهانی، جلد: تیماج سبز ضربی زرکوب مقوایی، ۲۵گ( ۲ پ-27ر) ، ۲۰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۳ - ۴۳۰]</w:t>
      </w:r>
    </w:p>
    <w:p>
      <w:pPr>
        <w:pStyle w:val="BookText"/>
      </w:pPr>
      <w:r>
        <w:rPr>
          <w:rFonts w:ascii="IRNazanin" w:hAnsi="IRNazanin" w:eastAsia="IRNazanin" w:cs="IRNazanin"/>
          <w:lang w:bidi="fa-IR"/>
          <w:color w:val="111111"/>
          <w:sz w:val="28"/>
          <w:szCs w:val="28"/>
          <w:rtl/>
        </w:rPr>
        <w:t xml:space="preserve">۴۸۹. تهران؛ دانشگاه؛ شماره نسخه: ۸۳۷۵/۲</w:t>
      </w:r>
    </w:p>
    <w:p>
      <w:pPr>
        <w:pStyle w:val="BookText"/>
      </w:pPr>
      <w:r>
        <w:rPr>
          <w:rFonts w:ascii="IRNazanin" w:hAnsi="IRNazanin" w:eastAsia="IRNazanin" w:cs="IRNazanin"/>
          <w:lang w:bidi="fa-IR"/>
          <w:color w:val="111111"/>
          <w:sz w:val="28"/>
          <w:szCs w:val="28"/>
          <w:rtl/>
        </w:rPr>
        <w:t xml:space="preserve">اشعار فارسی با نام آنها به ترتیب تهجی (در متن و هامش)؛ خط: نستعلیق، بی کا، تا: قرن ۱۲؛ افتادگی: آغاز و انجام؛ مجدول؛ کاغذ: سپاهانی، جلد: تیماج سبز تیره ضربی مقوایی ،بغلی، ۹ سطر (۵/۹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[ف : ۱۷ - ۱۲۵]</w:t>
      </w:r>
    </w:p>
    <w:p>
      <w:pPr>
        <w:pStyle w:val="BookText"/>
      </w:pPr>
      <w:r>
        <w:rPr>
          <w:rFonts w:ascii="IRNazanin" w:hAnsi="IRNazanin" w:eastAsia="IRNazanin" w:cs="IRNazanin"/>
          <w:lang w:bidi="fa-IR"/>
          <w:color w:val="111111"/>
          <w:sz w:val="28"/>
          <w:szCs w:val="28"/>
          <w:rtl/>
        </w:rPr>
        <w:t xml:space="preserve">۴۹۰ .تهران؛ ملک؛ شماره نسخه: ۴۱۳۷/۷</w:t>
      </w:r>
    </w:p>
    <w:p>
      <w:pPr>
        <w:pStyle w:val="BookText"/>
      </w:pPr>
      <w:r>
        <w:rPr>
          <w:rFonts w:ascii="IRNazanin" w:hAnsi="IRNazanin" w:eastAsia="IRNazanin" w:cs="IRNazanin"/>
          <w:lang w:bidi="fa-IR"/>
          <w:color w:val="111111"/>
          <w:sz w:val="28"/>
          <w:szCs w:val="28"/>
          <w:rtl/>
        </w:rPr>
        <w:t xml:space="preserve">شعر «گر نباشد جامه اطلس ترا...»؛ خط: نستعليق، كا: محمد شریف، تا: قرن ۱۱ و ۱۲[ ف: ۷ - ۲۱۳]</w:t>
      </w:r>
    </w:p>
    <w:p>
      <w:pPr>
        <w:pStyle w:val="BookText"/>
      </w:pPr>
      <w:r>
        <w:rPr>
          <w:rFonts w:ascii="IRNazanin" w:hAnsi="IRNazanin" w:eastAsia="IRNazanin" w:cs="IRNazanin"/>
          <w:lang w:bidi="fa-IR"/>
          <w:color w:val="111111"/>
          <w:sz w:val="28"/>
          <w:szCs w:val="28"/>
          <w:rtl/>
        </w:rPr>
        <w:t xml:space="preserve">۴۹۱. اصفهان؛ دانشگاه؛ شماره نسخه: ۳۱۲/۳</w:t>
      </w:r>
    </w:p>
    <w:p>
      <w:pPr>
        <w:pStyle w:val="BookText"/>
      </w:pPr>
      <w:r>
        <w:rPr>
          <w:rFonts w:ascii="IRNazanin" w:hAnsi="IRNazanin" w:eastAsia="IRNazanin" w:cs="IRNazanin"/>
          <w:lang w:bidi="fa-IR"/>
          <w:color w:val="111111"/>
          <w:sz w:val="28"/>
          <w:szCs w:val="28"/>
          <w:rtl/>
        </w:rPr>
        <w:t xml:space="preserve">شعرهای پراکنده؛ خط: نسخ خوش، بی کا، تا: قرن ۱۲[ نشریه: ۱۱- ۹۴۰]</w:t>
      </w:r>
    </w:p>
    <w:p>
      <w:pPr>
        <w:pStyle w:val="BookText"/>
      </w:pPr>
      <w:r>
        <w:rPr>
          <w:rFonts w:ascii="IRNazanin" w:hAnsi="IRNazanin" w:eastAsia="IRNazanin" w:cs="IRNazanin"/>
          <w:lang w:bidi="fa-IR"/>
          <w:color w:val="111111"/>
          <w:sz w:val="28"/>
          <w:szCs w:val="28"/>
          <w:rtl/>
        </w:rPr>
        <w:t xml:space="preserve">۴۹۲. تهران؛ ملک؛ شماره نسخه: ۴۱۳۷/۶</w:t>
      </w:r>
    </w:p>
    <w:p>
      <w:pPr>
        <w:pStyle w:val="BookText"/>
      </w:pPr>
      <w:r>
        <w:rPr>
          <w:rFonts w:ascii="IRNazanin" w:hAnsi="IRNazanin" w:eastAsia="IRNazanin" w:cs="IRNazanin"/>
          <w:lang w:bidi="fa-IR"/>
          <w:color w:val="111111"/>
          <w:sz w:val="28"/>
          <w:szCs w:val="28"/>
          <w:rtl/>
        </w:rPr>
        <w:t xml:space="preserve">شعری از واعظ در ستایش پیامبر ؛خط: نستعلیق، کا: محمد شریف، تا: قرن ۱۱ و ۱۲ [ف: ۷ - ۲۱۳]</w:t>
      </w:r>
    </w:p>
    <w:p>
      <w:pPr>
        <w:pStyle w:val="BookText"/>
      </w:pPr>
      <w:r>
        <w:rPr>
          <w:rFonts w:ascii="IRNazanin" w:hAnsi="IRNazanin" w:eastAsia="IRNazanin" w:cs="IRNazanin"/>
          <w:lang w:bidi="fa-IR"/>
          <w:color w:val="111111"/>
          <w:sz w:val="28"/>
          <w:szCs w:val="28"/>
          <w:rtl/>
        </w:rPr>
        <w:t xml:space="preserve">۴۹۳. مشهد؛ مرتضوی؛ شماره نسخه: بدون شماره</w:t>
      </w:r>
    </w:p>
    <w:p>
      <w:pPr>
        <w:pStyle w:val="BookText"/>
      </w:pPr>
      <w:r>
        <w:rPr>
          <w:rFonts w:ascii="IRNazanin" w:hAnsi="IRNazanin" w:eastAsia="IRNazanin" w:cs="IRNazanin"/>
          <w:lang w:bidi="fa-IR"/>
          <w:color w:val="111111"/>
          <w:sz w:val="28"/>
          <w:szCs w:val="28"/>
          <w:rtl/>
        </w:rPr>
        <w:t xml:space="preserve">مجموعه ای از قصائد همگی در مراثی اهل بیت (علیهم السّلام) و احتمالاً از آن یکی از خطباست که برای منبر جمع آوری کرده؛ بی کا، تا: قرن ۱۲؛ خط: زیبا و مجدول [ف مخ: - ۳۰]</w:t>
      </w:r>
    </w:p>
    <w:p>
      <w:pPr>
        <w:pStyle w:val="BookText"/>
      </w:pPr>
      <w:r>
        <w:rPr>
          <w:rFonts w:ascii="IRNazanin" w:hAnsi="IRNazanin" w:eastAsia="IRNazanin" w:cs="IRNazanin"/>
          <w:lang w:bidi="fa-IR"/>
          <w:color w:val="111111"/>
          <w:sz w:val="28"/>
          <w:szCs w:val="28"/>
          <w:rtl/>
        </w:rPr>
        <w:t xml:space="preserve">۴۹۴. مشهد؛ میبدی؛ شماره نسخه: ۴۵۶</w:t>
      </w:r>
    </w:p>
    <w:p>
      <w:pPr>
        <w:pStyle w:val="BookText"/>
      </w:pPr>
      <w:r>
        <w:rPr>
          <w:rFonts w:ascii="IRNazanin" w:hAnsi="IRNazanin" w:eastAsia="IRNazanin" w:cs="IRNazanin"/>
          <w:lang w:bidi="fa-IR"/>
          <w:color w:val="111111"/>
          <w:sz w:val="28"/>
          <w:szCs w:val="28"/>
          <w:rtl/>
        </w:rPr>
        <w:t xml:space="preserve">قصاید و مثنویات و رباعیات و لغزها، بدون تنظیم و ترتیب مخصوص از: مولانا شانی، امیدی طهرانی، خواجه سلمان، حکیم خاقانی، امیر خسرو دهلوی، نظام استرابادی، هاشمی، فتیلی، کشوری خراسانی، فیضی هندی ،گنجوی، کمال الدين اسماعيل
</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اصفهانی ،آذری،حکیم شقاقی اصفهانی، محمود بن زنگی ،انوری، علی نقی کمره ای، سنجر کرمانی، مظهر هروی، محـمد یوسف گلپایگانی، خواجه حسین ثنائی، محمد قلی  سلیم، حکیم رکنا، ابوتراب بیک انجدانی، ظهیر فاریابی، شاپور طهرانی، محمدخان قدسی، عبدالواسع جبلی، ولی دشت بیاضی، کاتبی، بنائی، نظامی ،جامی، حکیم شفائی ،رومی، قاسم انوار، و الهی، زلالی، خوانساری، وحشی ،شاهی ،عرفی، ابدال ظهوری، الفـتی،</w:t>
      </w:r>
    </w:p>
    <w:p>
      <w:pPr>
        <w:pStyle w:val="BookText"/>
      </w:pPr>
      <w:r>
        <w:rPr>
          <w:rFonts w:ascii="IRNazanin" w:hAnsi="IRNazanin" w:eastAsia="IRNazanin" w:cs="IRNazanin"/>
          <w:lang w:bidi="fa-IR"/>
          <w:color w:val="111111"/>
          <w:sz w:val="28"/>
          <w:szCs w:val="28"/>
          <w:rtl/>
        </w:rPr>
        <w:t xml:space="preserve">زلالی، نوعی خبوشانی، اوحدی، عراقی، حسن کاشی، میر  نجات،صائب ،عبدالمولی، مهدی وصفی قلی بیک، سعدی شیرازی، محیی، ملا احمد، سوزی، زکی همدانی ،میلی ،نظیری، مجد کاشف، میرزا جلال جامی ،حرمتی، صائب، واثق، خليفه سلطان، سبحانی، گرامی ،فصیحی ،طالب، غیرتی، نادم، فایض حسینی، محمدرضا بیک آجرلو، ابو علی سینا ،مشرقی، قاضی نور الله ،همایون ،غزالی ،مختار ،بیک ،فهمی، فصیحی ،غیاث، فردوسی، طوفی ،امری، محلی، ابن  یمین، طالب کلیم، سهیلی ... در این مجموعه منشئاتی نیز آمده است؛ خط: نستعلیق، بی کا، تا: قرن12؛ سطرها چلیپا، برگ های آخر به تاریخ نهم رمضان ۱۰۸۵؛ مـهر: «عبده الراجی ابوالقاسم»(بیضی)، «العبد الراجي ابوالحسـن» (بیضی)؛ جلد: روغنی مشکی ضربی زرین، ،۲۰۵گ مختلـف السطر،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۳۵سم [ف: ۲ - ۱۳۶]</w:t>
      </w:r>
    </w:p>
    <w:p>
      <w:pPr>
        <w:pStyle w:val="BookText"/>
      </w:pPr>
      <w:r>
        <w:rPr>
          <w:rFonts w:ascii="IRNazanin" w:hAnsi="IRNazanin" w:eastAsia="IRNazanin" w:cs="IRNazanin"/>
          <w:lang w:bidi="fa-IR"/>
          <w:color w:val="111111"/>
          <w:sz w:val="28"/>
          <w:szCs w:val="28"/>
          <w:rtl/>
        </w:rPr>
        <w:t xml:space="preserve">۴۹۵. تهران؛ ملی؛ شماره نسخه: ۲۲۵/۲۱</w:t>
      </w:r>
    </w:p>
    <w:p>
      <w:pPr>
        <w:pStyle w:val="BookText"/>
      </w:pPr>
      <w:r>
        <w:rPr>
          <w:rFonts w:ascii="IRNazanin" w:hAnsi="IRNazanin" w:eastAsia="IRNazanin" w:cs="IRNazanin"/>
          <w:lang w:bidi="fa-IR"/>
          <w:color w:val="111111"/>
          <w:sz w:val="28"/>
          <w:szCs w:val="28"/>
          <w:rtl/>
        </w:rPr>
        <w:t xml:space="preserve">اشعار این جنگ در ابتدای هر صفحه، در دو سطر و هر سطر حاوی دو بیت، از ابتدای مجموعه تا انتهای آن و شعرای آن عبارت اند: ابو سعید، ملا سحابی ،عبد الرزاق ،اوحدی، محمد تـقی نصری منشی، محمد حسین نورس، ظهوری، ملا محمد خان قدسی ،مولوی، سید رضوی الموسوی، ملا حشوی، میرزا  ابو الحسن، ملا محمد سعید اشرف، ملا رحيم شيخ الاسلام، ملا مؤمن حسین یزدی، باقرای خلیل، شاه عباس، ملا خواجه علی، حاج اسمعیل زایر، ابو علی سینا، میر دوست محمد کتابدار، میرزا نوری هراتی، کلبعلی نادر ، ملا جامی، حکیم عبدالله وحدت،بابا افضل کاشی، محمد بیک زنگنه، شیخ عراقی، میرزا مهدی عالی، ضیاء الدین کاشی، میرزا ابوالحسن وجی، میرزا نصر صیفی، میرزا رفيع واعظ، حكيم مؤمن دارالشفاء، میرزا صالح رضوی، خواجه علی پیشنماز، میرزا ابوالحسن حامد، ميرزا وحيد رضوی عرفی شیرازی، مولانا ناظم هروی، میرزا ابراهیم ادهم، مقیمای مقصود، ملا مظفر حسین حسام، میرزا حسن خان الفت، مغربی، عمر خیام، حکیم سنائی، عبدالله سلطان منصف، ملا رجبعلى حکیم انوری، محمد زمان بیک همت، مرشد بروجردی، میر محمد  باقر داماد، آقا مقیم سمنانی، ملا شیخ علی قمی فائز ،ابوطالب، میرزا عبد مناف قمی ،شاهدا، نادرای زرگر، ملا محمد علی، میرزا جلال اسیر، طالب آملی، خالصای استرآبادی، شیخ بهاء الدین زائرای شوشتری، نظیری اوجی، شاه شجاع، شاه میرزا، میر حیـدر معمای، میرزا شفیع قاری، ملا عبدالرزاق فیاض، مستفید ازبک،میرزا نوری قنوی هروی، ملا محمد صادق شیخ الاسلام، میرزا حیدر رضوی، میرزا ابوالحسن حامد، میرزا زین الدین حسینی اصفهانی، تایب کرمانی، میر علی جرفادقانی، شیخ الله قلی، میرزا عبدالله منشی، میرزا فصیح برادر وحید، امامقلی بیگ چگنی، میر مؤمن ادانی ،یزدی ،سراجای نقاش ،نافلی، ملا محمد صادق پیشنماز، قاضی میر اسماعیل همدانی، ملا خواجه علی، میرزا ملک قمی، ملا مؤمن حسین، ملک سعید خلخالی، سید حسن زینتی، ملا مانده، ملا امین استر آبادی خادم، میرزا نصیر نصرت، میرزا محمد مجذوب، میرزا ابوطالب ترشیزی، ملا مؤمن قمشه ای، میر علی بیک مستوفی شیروان، میر عبدالحق قمی، ملا ناظم هروی، سید ماجد قاضی، ملا علیرضا تجلی، ملا رحمی، عبرت همدانی، حاجی اسد بیک، مجذوب تبریزی ،اظهری، حسین خان شاملو، قاضی میر اسمعیل، میرزا حسین یورش، حاجی شاہ قبر کاشی، میر عبدالوحید گیلانی، میرزا قاسم خلوت نشین زاهد ،میرزا نصیر علینقی نصرت، فضولی بغدادی، میرزا معز فطرت، میرزا صادق میرزا رفیع منشی، ملا محمد طاهر منشی، میر فاضلای یزدی، میرزا معین الدین علی ،باعث، محمد داود تویسرکانی، ملا معصوم فراش، ابو تراب حافظ، خسرو بیک الله، خلیل بیک فیاض، محمد طاهر غنی کشمیری، میرزا بدیع نصر آبادی، محمد تقی بیک نویسنده، میرزا داود قمی، ملا ذوالفقار، میر سید علی محمدی، امیر شهنشاه شکیب، میرزا ابوالحسن بیگانه، جمال الدین اسد آبادی، حاجی محمد رضای راضی، حسام محمد امین خان بیات، خاقانی، محمد ابراهیم فارغ، میرزا تقی نصیری، ملا نظیری مشهدی، حاجی محمد خان قدسی، یحیی نیشابوری، میر عرفان طهرانی، میرزا قاسم تونی، میر نجات، عبدالله سلطان، میرزا محمد سعيد تنها، ملامظفر حسین، میرزا عرب ناصح تبریزی، کفری یزدی، ملا عبدالله انصار، افضل الدین کرمانی، سعدی، ملا صادق شيخ الاسلام خاف (=خواف)، حاجی رضای راضی، ملا رشدی رستمداری، ملا حسنعلی یزدی، امیر خسرو دهلوی، حاجی محمد زمان قدسی، میر معصوم قلی، ملا محمد قاسم مشهدی، نظامی گنجه، کوثری خوانساری، ملا باقر سبزواری، بابا ناطق، ملا ملک قمی، میر مغیث محوی، آقا رضی فروتنی مبرور، ملا محمد علی، میرزا رضی، قربان محمد ایلچی ازبک، اهلی، میرزا عبدالله محتسب یزد، میر نجات شیخ بهاء الدين محمد، میرزا نصير عتیقی، میرزا تقی، پیر زاده، سعیدای نقشبند، آقا جعفر ظهیرا، رشدای زرگر، شاه میرزا، فضلی جرفادقانی، میرزا اسحق رضوی، قیصر ترکمان، میر عبدالباقی، میرزا رفیع دستور، ملا محمد صوفی، خلیفه سلطان، محمد قلی سلیم، میرزا جواد مرتاض، ملا نظیری، ملا نطقی نیشابوری، میرزا رضی دانش، قدسی، ملا وحشى يزدى، محمد صالح شیرازی، میرزا جعفر مرتاض، ميرزا نوری قنوی، والی، شیخ شاه نظر قمشه ای، میرزا قاسم تونی، میرزا مهدی عالی، ملا حسن گیلانی، حسن خان الفت، سلمان ساوجی، محمد قاسم بیک قاپوچی، میرزا ابو محمد خادم، محمد قلی
</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سلیم، میرزا قاضی، آقا باقر قمی نافع، ملا محمد الدین شوشتری، عجم قلى بيكاذوالقدر، محمد ابراهیم تسلی، میر شریف حافـظ، حسن وحدت، شفیعای، ملا رجبعلی واحد، میرزا ابوالحـسن فراهانی، عالی ملا شاه محمد بخارائی، شیخ ابو حیان مالی، ملا طاهر عریان، میرزا حسین خان جرفادقانی، ملا محمد امین استر آبادی، آقا حسن وحدت، نوروز بیک، میرزا محمد تقـی، کمال الدین اسمعیل، بیانی خراسانی، آقا رضی فروتنی، میرزا  الغ موسوی غافل، میرزا سعد الدین وزیر خراسان، کلیم، عباس بن احنف، چلبی بیک فارغ مشهور بعلامه ترشیزی، مهدی قلی خان قرچقای خانی، خواجه نصیر طوسی، معلم ثانی، میر سـالم کشمیری، ملا حسن اردبیلی، میرزا ضیاء الدین کاشی، ملاوی بیک بروجردی، حاجی اسمعیل خان؛ خط: نستعلیق شکسـته، بی کا، تا: قرن ۱۲، جا: قزوین؛ کاغذ: اصفهانی زرد و سفید، جـلد: تیماج مقوایی ،قرمز، ۲۸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۲۶/۵  سم</w:t>
      </w:r>
    </w:p>
    <w:p>
      <w:pPr>
        <w:pStyle w:val="BookText"/>
      </w:pPr>
      <w:r>
        <w:rPr>
          <w:rFonts w:ascii="IRNazanin" w:hAnsi="IRNazanin" w:eastAsia="IRNazanin" w:cs="IRNazanin"/>
          <w:lang w:bidi="fa-IR"/>
          <w:color w:val="111111"/>
          <w:sz w:val="28"/>
          <w:szCs w:val="28"/>
          <w:rtl/>
        </w:rPr>
        <w:t xml:space="preserve">[ف: ۱ - ۲۳۰]</w:t>
      </w:r>
    </w:p>
    <w:p>
      <w:pPr>
        <w:pStyle w:val="BookText"/>
      </w:pPr>
      <w:r>
        <w:rPr>
          <w:rFonts w:ascii="IRNazanin" w:hAnsi="IRNazanin" w:eastAsia="IRNazanin" w:cs="IRNazanin"/>
          <w:lang w:bidi="fa-IR"/>
          <w:color w:val="111111"/>
          <w:sz w:val="28"/>
          <w:szCs w:val="28"/>
          <w:rtl/>
        </w:rPr>
        <w:t xml:space="preserve">۴۹۶. تهران؛ ملک؛ شماره نسخه: ۵۱۰۱/۱</w:t>
      </w:r>
    </w:p>
    <w:p>
      <w:pPr>
        <w:pStyle w:val="BookText"/>
      </w:pPr>
      <w:r>
        <w:rPr>
          <w:rFonts w:ascii="IRNazanin" w:hAnsi="IRNazanin" w:eastAsia="IRNazanin" w:cs="IRNazanin"/>
          <w:lang w:bidi="fa-IR"/>
          <w:color w:val="111111"/>
          <w:sz w:val="28"/>
          <w:szCs w:val="28"/>
          <w:rtl/>
        </w:rPr>
        <w:t xml:space="preserve">اشعاری از : عاشق، فتح، علیشیر، مجمر و جز اینها؛ خط: شکسـته، بی کا، تا: قرن ۱۲ [ف: ۸ - ۲۰۴]</w:t>
      </w:r>
    </w:p>
    <w:p>
      <w:pPr>
        <w:pStyle w:val="BookText"/>
      </w:pPr>
      <w:r>
        <w:rPr>
          <w:rFonts w:ascii="IRNazanin" w:hAnsi="IRNazanin" w:eastAsia="IRNazanin" w:cs="IRNazanin"/>
          <w:lang w:bidi="fa-IR"/>
          <w:color w:val="111111"/>
          <w:sz w:val="28"/>
          <w:szCs w:val="28"/>
          <w:rtl/>
        </w:rPr>
        <w:t xml:space="preserve">۴۹۷. شیراز؛ بنیاد فارس شناسی؛ شماره نسخه: ۱۶/۲</w:t>
      </w:r>
    </w:p>
    <w:p>
      <w:pPr>
        <w:pStyle w:val="BookText"/>
      </w:pPr>
      <w:r>
        <w:rPr>
          <w:rFonts w:ascii="IRNazanin" w:hAnsi="IRNazanin" w:eastAsia="IRNazanin" w:cs="IRNazanin"/>
          <w:lang w:bidi="fa-IR"/>
          <w:color w:val="111111"/>
          <w:sz w:val="28"/>
          <w:szCs w:val="28"/>
          <w:rtl/>
        </w:rPr>
        <w:t xml:space="preserve">شعرهایی از میرظلی مشهدی، شیخ اوحدالدین هلالی، یوسـف بیک، شیخ علی نقی، رباعیات بابا طاهر عریان، نصیرا همدانی، میرزا صبحی، حکیم خاقانی و شیخ عطار؛ خط: نستعلیق، بی کا،تا: قرن ۱۲، ۲۴گ (۱ر - ۲۵پ) ،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۲۸/۵سم [ف: ۳۲]</w:t>
      </w:r>
    </w:p>
    <w:p>
      <w:pPr>
        <w:pStyle w:val="BookText"/>
      </w:pPr>
      <w:r>
        <w:rPr>
          <w:rFonts w:ascii="IRNazanin" w:hAnsi="IRNazanin" w:eastAsia="IRNazanin" w:cs="IRNazanin"/>
          <w:lang w:bidi="fa-IR"/>
          <w:color w:val="111111"/>
          <w:sz w:val="28"/>
          <w:szCs w:val="28"/>
          <w:rtl/>
        </w:rPr>
        <w:t xml:space="preserve">۴۹۸. اصفهان؛ عمومی اصفهان (فرهنگ سابق)؛ شماره نسخه: ۱۱۵۲۹</w:t>
      </w:r>
    </w:p>
    <w:p>
      <w:pPr>
        <w:pStyle w:val="BookText"/>
      </w:pPr>
      <w:r>
        <w:rPr>
          <w:rFonts w:ascii="IRNazanin" w:hAnsi="IRNazanin" w:eastAsia="IRNazanin" w:cs="IRNazanin"/>
          <w:lang w:bidi="fa-IR"/>
          <w:color w:val="111111"/>
          <w:sz w:val="28"/>
          <w:szCs w:val="28"/>
          <w:rtl/>
        </w:rPr>
        <w:t xml:space="preserve">اشعاری از: وقاری، باقی افندی، وفائی مصطفی دده بکری، بهـائی افندی، ندیمی جیبی افندی اخگری افندی، ادیبی زاده، طبعـی، محبی و محمدرضا ،(تاصفحه ۱۸) سپس شروع به التقاط از کتـاب  «تذکره صادقی» شده که متضمن اشعاری از شاه عباس ،شاه اسمعیل، سلطان محمد خدابنده لو و غیره می باشد و در آخر به شیخ فیضی خاتمه می بابد؛ خط: نستعلیق، بی کا، تا: قرن ۱۲؛ کاغذ: فرنگی ،جلد: مقوا، ۱۵۷ ص، ۱۴ 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۲۰</w:t>
      </w:r>
      <w:r>
        <w:rPr>
          <w:rFonts w:ascii="Times New Roman" w:hAnsi="Times New Roman" w:eastAsia="Times New Roman" w:cs="Times New Roman"/>
          <w:lang w:val="en-US" w:bidi="en-US"/>
          <w:color w:val="111111"/>
          <w:sz w:val="28"/>
          <w:szCs w:val="28"/>
          <w:rtl/>
        </w:rPr>
        <w:t xml:space="preserve">x</w:t>
      </w:r>
      <w:r>
        <w:rPr>
          <w:rFonts w:ascii="IRNazanin" w:hAnsi="IRNazanin" w:eastAsia="IRNazanin" w:cs="IRNazanin"/>
          <w:lang w:bidi="fa-IR"/>
          <w:color w:val="111111"/>
          <w:sz w:val="28"/>
          <w:szCs w:val="28"/>
          <w:rtl/>
        </w:rPr>
        <w:t xml:space="preserve">۱۴سم [ف: ۱ - ۸۷]</w:t>
      </w:r>
    </w:p>
    <w:p>
      <w:pPr>
        <w:pStyle w:val="BookText"/>
      </w:pPr>
      <w:r>
        <w:rPr>
          <w:rFonts w:ascii="IRNazanin" w:hAnsi="IRNazanin" w:eastAsia="IRNazanin" w:cs="IRNazanin"/>
          <w:lang w:bidi="fa-IR"/>
          <w:color w:val="111111"/>
          <w:sz w:val="28"/>
          <w:szCs w:val="28"/>
          <w:rtl/>
        </w:rPr>
        <w:t xml:space="preserve">۴۹۹ .تهران؛ دانشگاه؛ شماره نسخه: ۸۹۱۳/۲</w:t>
      </w:r>
    </w:p>
    <w:p>
      <w:pPr>
        <w:pStyle w:val="BookText"/>
      </w:pPr>
      <w:r>
        <w:rPr>
          <w:rFonts w:ascii="IRNazanin" w:hAnsi="IRNazanin" w:eastAsia="IRNazanin" w:cs="IRNazanin"/>
          <w:lang w:bidi="fa-IR"/>
          <w:color w:val="111111"/>
          <w:sz w:val="28"/>
          <w:szCs w:val="28"/>
          <w:rtl/>
        </w:rPr>
        <w:t xml:space="preserve">جنگ شعر از: سعدی ،مشتاق ،رفیق، نظامی، جامی، نور علی شاه و حافظ و ناشناخته مانند موجی و واعظ و دیگران (از پایان نسـخه آغاز می شود)؛ خط: نستعلیق چلیپا، بی کا، تا: قرن ۱۲؛ کاغذ: سپاهانی ،جلد: تیماج تریاکی لایی، ابعاد متن: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 قـطع: بیاضی ربعی [ف: ۱۷ - ۲۴۹]</w:t>
      </w:r>
    </w:p>
    <w:p>
      <w:pPr>
        <w:pStyle w:val="BookText"/>
      </w:pPr>
      <w:r>
        <w:rPr>
          <w:rFonts w:ascii="Times New Roman" w:hAnsi="Times New Roman" w:eastAsia="Times New Roman" w:cs="Times New Roman"/>
          <w:lang w:val="en-US" w:bidi="en-US"/>
          <w:color w:val="111111"/>
          <w:sz w:val="28"/>
          <w:szCs w:val="28"/>
          <w:rtl/>
        </w:rPr>
        <w:t xml:space="preserve">500.</w:t>
      </w:r>
    </w:p>
    <w:p>
      <w:pPr>
        <w:pStyle w:val="BookText"/>
      </w:pPr>
      <w:r>
        <w:rPr>
          <w:rFonts w:ascii="IRNazanin" w:hAnsi="IRNazanin" w:eastAsia="IRNazanin" w:cs="IRNazanin"/>
          <w:lang w:bidi="fa-IR"/>
          <w:color w:val="111111"/>
          <w:sz w:val="28"/>
          <w:szCs w:val="28"/>
          <w:rtl/>
        </w:rPr>
        <w:t xml:space="preserve">تهران؛ دانشگاه؛ شماره نسخه: ۸۷۵۷</w:t>
      </w:r>
    </w:p>
    <w:p>
      <w:pPr>
        <w:pStyle w:val="BookText"/>
      </w:pPr>
      <w:r>
        <w:rPr>
          <w:rFonts w:ascii="IRNazanin" w:hAnsi="IRNazanin" w:eastAsia="IRNazanin" w:cs="IRNazanin"/>
          <w:lang w:bidi="fa-IR"/>
          <w:color w:val="111111"/>
          <w:sz w:val="28"/>
          <w:szCs w:val="28"/>
          <w:rtl/>
        </w:rPr>
        <w:t xml:space="preserve">جنگ شعر است با نام سرایندگان از شناختگان و گم نامان؛ خـط: نستعلیق چلیپا، بی کا، تا: قرن ۱۲؛ افتادگی: آغاز و انجام؛ مـهر: احمد؛ کاغذ: سپاهانی، جلد: تیماج تریاکی لایی، ۹۵گ، قطع: بیاضی ربعی،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۲۴سم [ف : ۱۷ - ۲۱۴]</w:t>
      </w:r>
    </w:p>
    <w:p>
      <w:pPr>
        <w:pStyle w:val="BookText"/>
      </w:pPr>
      <w:r>
        <w:rPr>
          <w:rFonts w:ascii="IRNazanin" w:hAnsi="IRNazanin" w:eastAsia="IRNazanin" w:cs="IRNazanin"/>
          <w:lang w:bidi="fa-IR"/>
          <w:color w:val="111111"/>
          <w:sz w:val="28"/>
          <w:szCs w:val="28"/>
          <w:rtl/>
        </w:rPr>
        <w:t xml:space="preserve">۵۰۱. تهران؛ مفتاح؛ شماره نسخه: ۹۳۴</w:t>
      </w:r>
    </w:p>
    <w:p>
      <w:pPr>
        <w:pStyle w:val="BookText"/>
      </w:pPr>
      <w:r>
        <w:rPr>
          <w:rFonts w:ascii="IRNazanin" w:hAnsi="IRNazanin" w:eastAsia="IRNazanin" w:cs="IRNazanin"/>
          <w:lang w:bidi="fa-IR"/>
          <w:color w:val="111111"/>
          <w:sz w:val="28"/>
          <w:szCs w:val="28"/>
          <w:rtl/>
        </w:rPr>
        <w:t xml:space="preserve">آغاز: بیاضی که مشام خرد از شمیم سواد مشکین رقم او است</w:t>
      </w:r>
    </w:p>
    <w:p>
      <w:pPr>
        <w:pStyle w:val="BookText"/>
      </w:pPr>
      <w:r>
        <w:rPr>
          <w:rFonts w:ascii="IRNazanin" w:hAnsi="IRNazanin" w:eastAsia="IRNazanin" w:cs="IRNazanin"/>
          <w:lang w:bidi="fa-IR"/>
          <w:color w:val="111111"/>
          <w:sz w:val="28"/>
          <w:szCs w:val="28"/>
          <w:rtl/>
        </w:rPr>
        <w:t xml:space="preserve">جنگ شعر است از انوری تا ظهوری، در پایان «معراج الخيال» تجلی است و در هامش گل کشتی میرنجات و منشات طغرا است؛ خط: نستعلیق، بی کا، تا: قرن ۱۲؛ مجدول؛ جلد: روغنی با گل و بوته برجسته بسیار زیبا [نشریه: ۷ - ۱۳۶]</w:t>
      </w:r>
    </w:p>
    <w:p>
      <w:pPr>
        <w:pStyle w:val="BookText"/>
      </w:pPr>
      <w:r>
        <w:rPr>
          <w:rFonts w:ascii="IRNazanin" w:hAnsi="IRNazanin" w:eastAsia="IRNazanin" w:cs="IRNazanin"/>
          <w:lang w:bidi="fa-IR"/>
          <w:color w:val="111111"/>
          <w:sz w:val="28"/>
          <w:szCs w:val="28"/>
          <w:rtl/>
        </w:rPr>
        <w:t xml:space="preserve">۵۰۲. قم؛ مرکز احیاء؛ شماره نسخه: ۷</w:t>
      </w:r>
    </w:p>
    <w:p>
      <w:pPr>
        <w:pStyle w:val="BookText"/>
      </w:pPr>
      <w:r>
        <w:rPr>
          <w:rFonts w:ascii="IRNazanin" w:hAnsi="IRNazanin" w:eastAsia="IRNazanin" w:cs="IRNazanin"/>
          <w:lang w:bidi="fa-IR"/>
          <w:color w:val="111111"/>
          <w:sz w:val="28"/>
          <w:szCs w:val="28"/>
          <w:rtl/>
        </w:rPr>
        <w:t xml:space="preserve">آغاز: دیباچه: بیاضی که تقویت مشام خرد از شمیم سواد مشکین رقم اوست و سواد خاطر روشن ضمیران از مشاهده صفات آیینه آیین او؛</w:t>
      </w:r>
    </w:p>
    <w:p>
      <w:pPr>
        <w:pStyle w:val="BookText"/>
      </w:pPr>
      <w:r>
        <w:rPr>
          <w:rFonts w:ascii="IRNazanin" w:hAnsi="IRNazanin" w:eastAsia="IRNazanin" w:cs="IRNazanin"/>
          <w:lang w:bidi="fa-IR"/>
          <w:color w:val="111111"/>
          <w:sz w:val="28"/>
          <w:szCs w:val="28"/>
          <w:rtl/>
        </w:rPr>
        <w:t xml:space="preserve">منتخباتی است از بهترین شعر شعرای معروف فارسی زبان که بدون ترتیب و تنظیم مخصوص گرد آورده شده با دیباچه ای کوتاه به نثر. به نام این شاعران تصریح شده است: انوری، میر نجات ،عرفی ،توفیق، میرزا معزالدین فطرت، صائب تبریزی ،فغانی ،محتشم ،الهی ،نظیری ،جامی، مشتاق، عاشق، فروغی، انسی، آسفی، حیدر، کوچک، شوکت، باقی، خسرو، حافظ شیرازی، محمد قلی بیک سلیم، استاد، سعدی شیرازی، عماد، ،کاتبی ،آذری ،حالی ،هلالی ،آهی ،فیضی، اهلی، ظهوری، سلمان ساوجی ،کمالی ،اصیلی ،سخا ،ساقی، شاه بدخشان، مشفقی ،نرگسی ،خضر ،احسن ،قبول ،واقف، حزین، امانی، وحشی ،طالب ،همام ،فخری ،بیدل ،خواجو ،تایبی، میرزا صادق تفریشی، عارف ،هوائی ،عراقی ،اوحدی ،علمی ،مهری عرب، بساطی، یوسفی، حقیری ،قاسم، کامران خیالی، سهیلی،بابر، قاسمی، معالی، عنایت، شاهی ،نامی ،خیری ،صفی، مجرم، نوید، کمال ،خجندی ،کامی ،گلشنی ،فارغی، ابن حسام، سیفی، عطا، فانی، ،مقبول ،جرمی ،اشرف، اسیری ،مخلص، واحدی، بنائی، حیرتی ،بینش ،تجلی ،عصمت ،ریاضی ،صالح، بسطامی، نحوی، نادری، همایون، نسیمی، ضیا ،کاهلی، فراقی ،کلیم، بیخود، غزالی، نوشی، ،عشقی ،سابق ،صرفی، علوی ،روشن ،جلال واهب، مرتضى، خاشع ،بزرگ، جویا ،مغربی، فغفور، ناصر علی، منصف، غنیمت، عظیم ،ظریف، آفرین ،ذوقی ،شهادت، معجز، نادم، ملهم، نزاری، ،ندیم ،حضوری ،قدسی ،عیار ،عادلی ،دیوانه، صامت، جمشید ،ربیع ،طوفان ،عابدی، هجری ،راهب، ضمیری، سائل، باقر، ،سعدالدین ،سرخوش ،فایح ،شریف ،شهیدی، خالص، اوجی، منير، ابوسعید ابوالخیر، خیام، تجلی، در حواشی این جنگ چند منظومه و بحر طویل و ترجیع بند و منشئات نثری نیز نوشته شده که  این آثار را ذکر می کنیم: کل کشتی میر نجات، نان و حلوا شیخ بهائی، قضا و قدر محمد قلی بیک سليم، قضا و قدر اشرف، مثنوی میرزا صادق، قضا و قدر نوعی، بزمیه ارجمند بیک مجنون، نگارستان چین، قسمیات ظهوری، هزلیات سعدی، هزلیات نعمت خان عالی، حسن و عشق نعمت خان؛ خط: نستعلیق خوش، بی کا، تا: قرن ۱۲؛ مجدول در دو ردیف، سطرها چلیپا در متن و حاشیه، دارای سه سرلوح زرین زیبا و دقیق؛ کاغذ: ترمه، جلد: دورو
</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روغنی بسیار نفیس، ۵۹۹گ، مختلف السطر،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  سم [ف: ۱ - ۱۷]</w:t>
      </w:r>
    </w:p>
    <w:p>
      <w:pPr>
        <w:pStyle w:val="BookText"/>
      </w:pPr>
      <w:r>
        <w:rPr>
          <w:rFonts w:ascii="IRNazanin" w:hAnsi="IRNazanin" w:eastAsia="IRNazanin" w:cs="IRNazanin"/>
          <w:lang w:bidi="fa-IR"/>
          <w:color w:val="111111"/>
          <w:sz w:val="28"/>
          <w:szCs w:val="28"/>
          <w:rtl/>
        </w:rPr>
        <w:t xml:space="preserve">۵۰۳ . قم؛ مرکز احیاء؛ شماره نسخه: ۳۳۹</w:t>
      </w:r>
    </w:p>
    <w:p>
      <w:pPr>
        <w:pStyle w:val="BookText"/>
      </w:pPr>
      <w:r>
        <w:rPr>
          <w:rFonts w:ascii="IRNazanin" w:hAnsi="IRNazanin" w:eastAsia="IRNazanin" w:cs="IRNazanin"/>
          <w:lang w:bidi="fa-IR"/>
          <w:color w:val="111111"/>
          <w:sz w:val="28"/>
          <w:szCs w:val="28"/>
          <w:rtl/>
        </w:rPr>
        <w:t xml:space="preserve">غزلیات و رباعیات و قصائدی است از: جامی، ابوسعیدابوالخـیر ،طوفان، عاشق ،سعدی، میرزا ابوالقاسم تفریشی هجری، بابا طاهر عریان، کلیم؛ خط: نستعلیق خوش، بی کا، تا: قرن ۱۲؛ مجدول، برگ ها حاشیه سازی شده، نسخه بیاضی است؛ جلد: تیماج قهوه ای، ۴۸گ، مختلف السطر، 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1- 446]</w:t>
      </w:r>
    </w:p>
    <w:p>
      <w:pPr>
        <w:pStyle w:val="BookText"/>
      </w:pPr>
      <w:r>
        <w:rPr>
          <w:rFonts w:ascii="IRNazanin" w:hAnsi="IRNazanin" w:eastAsia="IRNazanin" w:cs="IRNazanin"/>
          <w:lang w:bidi="fa-IR"/>
          <w:color w:val="111111"/>
          <w:sz w:val="28"/>
          <w:szCs w:val="28"/>
          <w:rtl/>
        </w:rPr>
        <w:t xml:space="preserve">۵۰۴ .تهران؛ دانشگاه؛ شماره نسخه: ۲۴۷۳/۶</w:t>
      </w:r>
    </w:p>
    <w:p>
      <w:pPr>
        <w:pStyle w:val="BookText"/>
      </w:pPr>
      <w:r>
        <w:rPr>
          <w:rFonts w:ascii="IRNazanin" w:hAnsi="IRNazanin" w:eastAsia="IRNazanin" w:cs="IRNazanin"/>
          <w:lang w:bidi="fa-IR"/>
          <w:color w:val="111111"/>
          <w:sz w:val="28"/>
          <w:szCs w:val="28"/>
          <w:rtl/>
        </w:rPr>
        <w:t xml:space="preserve">قصاید مشرقی است؛ خط: نستعلیق، بی کا، تا: قرن ۱۲؛ کاغذ: سپاهانی، جلد: تیماج مشکی، ۱ص (۶۴)،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۲۹سم [ف: ۹ - 1242]</w:t>
      </w:r>
    </w:p>
    <w:p>
      <w:pPr>
        <w:pStyle w:val="BookText"/>
      </w:pPr>
      <w:r>
        <w:rPr>
          <w:rFonts w:ascii="IRNazanin" w:hAnsi="IRNazanin" w:eastAsia="IRNazanin" w:cs="IRNazanin"/>
          <w:lang w:bidi="fa-IR"/>
          <w:color w:val="111111"/>
          <w:sz w:val="28"/>
          <w:szCs w:val="28"/>
          <w:rtl/>
        </w:rPr>
        <w:t xml:space="preserve">۵۰۵ .قم؛ مرعشی؛ شماره نسخه: ۱۲۶۳۵/۸</w:t>
      </w:r>
    </w:p>
    <w:p>
      <w:pPr>
        <w:pStyle w:val="BookText"/>
      </w:pPr>
      <w:r>
        <w:rPr>
          <w:rFonts w:ascii="IRNazanin" w:hAnsi="IRNazanin" w:eastAsia="IRNazanin" w:cs="IRNazanin"/>
          <w:lang w:bidi="fa-IR"/>
          <w:color w:val="111111"/>
          <w:sz w:val="28"/>
          <w:szCs w:val="28"/>
          <w:rtl/>
        </w:rPr>
        <w:t xml:space="preserve">آغاز: کشیدم صفحه فکر و خیالم را از تو م سطر *** قلم را بسـتم از برگ گل و از بال بلبل پر؛ انجام: سر و پا تن و گردن به وقت حمله بر دشمن *** سهیل آسا زمین فرسا جهان پیما همایون فر</w:t>
      </w:r>
    </w:p>
    <w:p>
      <w:pPr>
        <w:pStyle w:val="BookText"/>
      </w:pPr>
      <w:r>
        <w:rPr>
          <w:rFonts w:ascii="IRNazanin" w:hAnsi="IRNazanin" w:eastAsia="IRNazanin" w:cs="IRNazanin"/>
          <w:lang w:bidi="fa-IR"/>
          <w:color w:val="111111"/>
          <w:sz w:val="28"/>
          <w:szCs w:val="28"/>
          <w:rtl/>
        </w:rPr>
        <w:t xml:space="preserve">قصیده ای است رائیه بسیار زیباحدود ۶۶ بیت (البته این نسـخه ظاهراً افتادگی دارد) در مدح امیر مؤمنان حضرت على بن ابی طالب و از اشعار اوست: ابوبکر گفت اقیلونی عمر لولا على گفت *** تو فرمودی سلونی بر فراز خطه منبر ؛ خط: شکسته نستعلیق، بی کا، تا: قرن ۱۲؛ رکابه دار؛ تملک: حسین بن حسن رضوی طباطبائی به سال ۱۳۲۵ق با مهر «حسین الرضوى» (بيضى)؛ كاغذ: شرقی، ۲گ (۲۹-۳۰)، اندازه: ۱۱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۲۰سم [ف: ۳۲ - ۱۱۵]</w:t>
      </w:r>
    </w:p>
    <w:p>
      <w:pPr>
        <w:pStyle w:val="BookText"/>
      </w:pPr>
      <w:r>
        <w:rPr>
          <w:rFonts w:ascii="IRNazanin" w:hAnsi="IRNazanin" w:eastAsia="IRNazanin" w:cs="IRNazanin"/>
          <w:lang w:bidi="fa-IR"/>
          <w:color w:val="111111"/>
          <w:sz w:val="28"/>
          <w:szCs w:val="28"/>
          <w:rtl/>
        </w:rPr>
        <w:t xml:space="preserve">۵۰۶. قم؛ مرعشی؛ شماره نسخه: ۱۲۶۳۵/۵</w:t>
      </w:r>
    </w:p>
    <w:p>
      <w:pPr>
        <w:pStyle w:val="BookText"/>
      </w:pPr>
      <w:r>
        <w:rPr>
          <w:rFonts w:ascii="IRNazanin" w:hAnsi="IRNazanin" w:eastAsia="IRNazanin" w:cs="IRNazanin"/>
          <w:lang w:bidi="fa-IR"/>
          <w:color w:val="111111"/>
          <w:sz w:val="28"/>
          <w:szCs w:val="28"/>
          <w:rtl/>
        </w:rPr>
        <w:t xml:space="preserve">آغاز: من کیستم ستم کش هجران روزگار *** زار و نزار و بیکس و حیران روزگار؛ انجام: اکبر اسیر محنت و رو کرده سوی تو*** ای در گهت پناه اسیران روزگار</w:t>
      </w:r>
    </w:p>
    <w:p>
      <w:pPr>
        <w:pStyle w:val="BookText"/>
      </w:pPr>
      <w:r>
        <w:rPr>
          <w:rFonts w:ascii="IRNazanin" w:hAnsi="IRNazanin" w:eastAsia="IRNazanin" w:cs="IRNazanin"/>
          <w:lang w:bidi="fa-IR"/>
          <w:color w:val="111111"/>
          <w:sz w:val="28"/>
          <w:szCs w:val="28"/>
          <w:rtl/>
        </w:rPr>
        <w:t xml:space="preserve">قصیده ای است زیبا در ۵ مطلع حدود ۱۹۰ بیت درمدح حضرت علی بن ابی طالب و امامان شیعه. ناظم در بیت پایانی (اکبر اسیر محنت و رو کرده سوی تو) به نام خود اشاره کرده، متأسفانه اطلاعات بیشتری از این سراینده و قصیده او به دست نیامد؛ خـط: شکسته نستعلیق، بی کا، تا: قرن ۱۲؛ تملک: حسین بن حـسن رضوی طباطبائی به سال ۱۳۳۵ق با مهر «حسين الرضوى» (بيضى) ؛کاغذ: شرقی، ۶گ (۲۰-۲۵) اندازه: ۱۰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۲۰سم [ف: ۳۲ - ۱۱۳  ]</w:t>
      </w:r>
    </w:p>
    <w:p>
      <w:pPr>
        <w:pStyle w:val="BookText"/>
      </w:pPr>
      <w:r>
        <w:rPr>
          <w:rFonts w:ascii="IRNazanin" w:hAnsi="IRNazanin" w:eastAsia="IRNazanin" w:cs="IRNazanin"/>
          <w:lang w:bidi="fa-IR"/>
          <w:color w:val="111111"/>
          <w:sz w:val="28"/>
          <w:szCs w:val="28"/>
          <w:rtl/>
        </w:rPr>
        <w:t xml:space="preserve">۵۰۷ قم؛ مرعشی؛ شماره نسخه: ۱۲۶۷۷/۲۶</w:t>
      </w:r>
    </w:p>
    <w:p>
      <w:pPr>
        <w:pStyle w:val="BookText"/>
      </w:pPr>
      <w:r>
        <w:rPr>
          <w:rFonts w:ascii="IRNazanin" w:hAnsi="IRNazanin" w:eastAsia="IRNazanin" w:cs="IRNazanin"/>
          <w:lang w:bidi="fa-IR"/>
          <w:color w:val="111111"/>
          <w:sz w:val="28"/>
          <w:szCs w:val="28"/>
          <w:rtl/>
        </w:rPr>
        <w:t xml:space="preserve">آغاز: در خرابات مجانین کن گذر *** تا ببینی رسم و آئین دگر ؛</w:t>
      </w:r>
    </w:p>
    <w:p>
      <w:pPr>
        <w:pStyle w:val="BookText"/>
      </w:pPr>
      <w:r>
        <w:rPr>
          <w:rFonts w:ascii="IRNazanin" w:hAnsi="IRNazanin" w:eastAsia="IRNazanin" w:cs="IRNazanin"/>
          <w:lang w:bidi="fa-IR"/>
          <w:color w:val="111111"/>
          <w:sz w:val="28"/>
          <w:szCs w:val="28"/>
          <w:rtl/>
        </w:rPr>
        <w:t xml:space="preserve">انجام: گم شد اند وادی شوقت *** رضی نه خبر یابد از اوکس نه اثر</w:t>
      </w:r>
    </w:p>
    <w:p>
      <w:pPr>
        <w:pStyle w:val="BookText"/>
      </w:pPr>
      <w:r>
        <w:rPr>
          <w:rFonts w:ascii="IRNazanin" w:hAnsi="IRNazanin" w:eastAsia="IRNazanin" w:cs="IRNazanin"/>
          <w:lang w:bidi="fa-IR"/>
          <w:color w:val="111111"/>
          <w:sz w:val="28"/>
          <w:szCs w:val="28"/>
          <w:rtl/>
        </w:rPr>
        <w:t xml:space="preserve">قصیده ای است رائیه و بسیار زیبا حدود ۷۲ بيت ( البته ممكن اسـت این نسخه از نیمه افتادگی داشته باشد) در مدح امیر مؤمـنان حضرت علی بن ابی طالب ازشاعری متخلص به رضی، و آغاز نسخه نوشته شده «میر رضی»، با توجه به این نسخه که بخـشی یا تمامی آن به خط نوادگان و خاندان میر سید رضی الدین محـمد حسینی آرتیمانی تویسرکانی (-۱۰۳۷ق) است و از سوی دیـگر چون نامبرده صاحب دیوان اشعار نیز می باشد، این قصیده نیز بایستی از او باشد ؛خط: نستعلیق، بی کا، تا: قرن ۱۲؛ افتادگی: وسط؛ ۴ برگ احادیثی در فضائل اهل بیت پیغمبر اسلام منقول از کتابهای اهل سنت از جمله «الصواعق» ابن حجر، «جامع الاصول»، «صحيح» ،ترمذی ،مسلم ،بخاری، نسائی و غیر آنها در انجام نسخه؛ کاغذ: شرقی ۲گ (۱۶۸-۱۶۹)، ۲۱ سطر، اندازه: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۳۲ - ۲۱۴]</w:t>
      </w:r>
    </w:p>
    <w:p>
      <w:pPr>
        <w:pStyle w:val="BookText"/>
      </w:pPr>
      <w:r>
        <w:rPr>
          <w:rFonts w:ascii="IRNazanin" w:hAnsi="IRNazanin" w:eastAsia="IRNazanin" w:cs="IRNazanin"/>
          <w:lang w:bidi="fa-IR"/>
          <w:color w:val="111111"/>
          <w:sz w:val="28"/>
          <w:szCs w:val="28"/>
          <w:rtl/>
        </w:rPr>
        <w:t xml:space="preserve">۵۰۸. تهران؛ مجلس؛ شماره نسخه: ۳۰۴/۱۴</w:t>
      </w:r>
    </w:p>
    <w:p>
      <w:pPr>
        <w:pStyle w:val="BookText"/>
      </w:pPr>
      <w:r>
        <w:rPr>
          <w:rFonts w:ascii="IRNazanin" w:hAnsi="IRNazanin" w:eastAsia="IRNazanin" w:cs="IRNazanin"/>
          <w:lang w:bidi="fa-IR"/>
          <w:color w:val="111111"/>
          <w:sz w:val="28"/>
          <w:szCs w:val="28"/>
          <w:rtl/>
        </w:rPr>
        <w:t xml:space="preserve">قصاید و غزلیات شاه طاهر دکنی و ابن غیاث وصايبا؛ خط: نستعلیق چلیپا، بی کا، تا: قرن ۱۲؛ کاغذ: رنگارنگ، جلد: تیماج مشکی مقوایی گرد تریاکی، ۱۶ ص (۳۸۴-۳۹۹)، ۱۶ سطر (۴ ستونی) (۳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[سنا: ف: ۱ - ۱۵۳]</w:t>
      </w:r>
    </w:p>
    <w:p>
      <w:pPr>
        <w:pStyle w:val="BookText"/>
      </w:pPr>
      <w:r>
        <w:rPr>
          <w:rFonts w:ascii="IRNazanin" w:hAnsi="IRNazanin" w:eastAsia="IRNazanin" w:cs="IRNazanin"/>
          <w:lang w:bidi="fa-IR"/>
          <w:color w:val="111111"/>
          <w:sz w:val="28"/>
          <w:szCs w:val="28"/>
          <w:rtl/>
        </w:rPr>
        <w:t xml:space="preserve">۵۰۹. تهران؛ مجلس؛ شماره نسخه: ۵۹۹۶/۱۴</w:t>
      </w:r>
    </w:p>
    <w:p>
      <w:pPr>
        <w:pStyle w:val="BookText"/>
      </w:pPr>
      <w:r>
        <w:rPr>
          <w:rFonts w:ascii="IRNazanin" w:hAnsi="IRNazanin" w:eastAsia="IRNazanin" w:cs="IRNazanin"/>
          <w:lang w:bidi="fa-IR"/>
          <w:color w:val="111111"/>
          <w:sz w:val="28"/>
          <w:szCs w:val="28"/>
          <w:rtl/>
        </w:rPr>
        <w:t xml:space="preserve">قصیده در مدح علی (علیه السّلام) از ابن حسام؛ خط: شکسته نستعلیق،  بی کا، تا: ۱۰۹۸ یا ۱۱۰۰ق؛ ۳ ص (۴۸-۵۱) [ف : ۱۷ - ۳۷۱]</w:t>
      </w:r>
    </w:p>
    <w:p>
      <w:pPr>
        <w:pStyle w:val="BookText"/>
      </w:pPr>
      <w:r>
        <w:rPr>
          <w:rFonts w:ascii="IRNazanin" w:hAnsi="IRNazanin" w:eastAsia="IRNazanin" w:cs="IRNazanin"/>
          <w:lang w:bidi="fa-IR"/>
          <w:color w:val="111111"/>
          <w:sz w:val="28"/>
          <w:szCs w:val="28"/>
          <w:rtl/>
        </w:rPr>
        <w:t xml:space="preserve">۵۱۰. تهران؛ سعید نفیسی؛ شماره نسخه: ۱۶</w:t>
      </w:r>
    </w:p>
    <w:p>
      <w:pPr>
        <w:pStyle w:val="BookText"/>
      </w:pPr>
      <w:r>
        <w:rPr>
          <w:rFonts w:ascii="IRNazanin" w:hAnsi="IRNazanin" w:eastAsia="IRNazanin" w:cs="IRNazanin"/>
          <w:lang w:bidi="fa-IR"/>
          <w:color w:val="111111"/>
          <w:sz w:val="28"/>
          <w:szCs w:val="28"/>
          <w:rtl/>
        </w:rPr>
        <w:t xml:space="preserve">جنگ اشعار است؛ بی کا، تا: قرن ۱۲ [ نشریه: ۷ – ۶۸۶]</w:t>
      </w:r>
    </w:p>
    <w:p>
      <w:pPr>
        <w:pStyle w:val="BookText"/>
      </w:pPr>
      <w:r>
        <w:rPr>
          <w:rFonts w:ascii="IRNazanin" w:hAnsi="IRNazanin" w:eastAsia="IRNazanin" w:cs="IRNazanin"/>
          <w:lang w:bidi="fa-IR"/>
          <w:color w:val="111111"/>
          <w:sz w:val="28"/>
          <w:szCs w:val="28"/>
          <w:rtl/>
        </w:rPr>
        <w:t xml:space="preserve">۵۱۱. تهران؛ دانشسرای عالی - کتابخانه میرزا عبدالعظیم خان قریب گر کانی؛ شماره نسخه: ۱۰۹/۵</w:t>
      </w:r>
    </w:p>
    <w:p>
      <w:pPr>
        <w:pStyle w:val="BookText"/>
      </w:pPr>
      <w:r>
        <w:rPr>
          <w:rFonts w:ascii="IRNazanin" w:hAnsi="IRNazanin" w:eastAsia="IRNazanin" w:cs="IRNazanin"/>
          <w:lang w:bidi="fa-IR"/>
          <w:color w:val="111111"/>
          <w:sz w:val="28"/>
          <w:szCs w:val="28"/>
          <w:rtl/>
        </w:rPr>
        <w:t xml:space="preserve">قصاید و اشعار نظامی و خاقانی و دیگران؛ خط: نستعلیق، بی کا،تا: قرن ۱۲؛ کاغذ: کبود، قطع: ربعی[نشریه: ۵ - ۶۴۲]</w:t>
      </w:r>
    </w:p>
    <w:p>
      <w:pPr>
        <w:pStyle w:val="BookText"/>
      </w:pPr>
      <w:r>
        <w:rPr>
          <w:rFonts w:ascii="IRNazanin" w:hAnsi="IRNazanin" w:eastAsia="IRNazanin" w:cs="IRNazanin"/>
          <w:lang w:bidi="fa-IR"/>
          <w:color w:val="111111"/>
          <w:sz w:val="28"/>
          <w:szCs w:val="28"/>
          <w:rtl/>
        </w:rPr>
        <w:t xml:space="preserve">۵۱۲. قم؛ مرعشی؛ شماره نسخه: ۱۳۰۶۳</w:t>
      </w:r>
    </w:p>
    <w:p>
      <w:pPr>
        <w:pStyle w:val="BookText"/>
      </w:pPr>
      <w:r>
        <w:rPr>
          <w:rFonts w:ascii="IRNazanin" w:hAnsi="IRNazanin" w:eastAsia="IRNazanin" w:cs="IRNazanin"/>
          <w:lang w:bidi="fa-IR"/>
          <w:color w:val="111111"/>
          <w:sz w:val="28"/>
          <w:szCs w:val="28"/>
          <w:rtl/>
        </w:rPr>
        <w:t xml:space="preserve">آغاز: قلندر پاک ذات الله های فقر صوفی قبله کونین *** دل و جان دین و ایمان عقل و هوش من نثار تو؛ انجام: یا رب بشهود حضرت مولانا*** با دید و نمود حضرت مولانا.</w:t>
      </w:r>
    </w:p>
    <w:p>
      <w:pPr>
        <w:pStyle w:val="BookText"/>
      </w:pPr>
      <w:r>
        <w:rPr>
          <w:rFonts w:ascii="IRNazanin" w:hAnsi="IRNazanin" w:eastAsia="IRNazanin" w:cs="IRNazanin"/>
          <w:lang w:bidi="fa-IR"/>
          <w:color w:val="111111"/>
          <w:sz w:val="28"/>
          <w:szCs w:val="28"/>
          <w:rtl/>
        </w:rPr>
        <w:t xml:space="preserve">مجموعه اشعاری است به فارسی و اردو، شامل قصیده ای در مدح شیخ عبدالقادر گیلانی، اشعاری عرفانی به اردو، مناجات نامه ای فارسی و اردو؛ خط: نستعلیق زیبا، بی کا، تا: قرن ۱۲؛ دارای سرلوح مرصع زیبا، کار هنرمندان هندی با زمینه طلا و زمینه رنگارنگ در متن وحاشیه، برگ ها مجدول به طلا با کمربند طلایی؛ کاغذ:فرنگی،جلد: تیماج قهوه ای ضربی با ترنج گل و بوته. ابعاد متن: 29</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 232گ،6- 8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۲۹سم  [ ف: ۳۳ - ۱۲۲]</w:t>
      </w:r>
    </w:p>
    <w:p>
      <w:pPr>
        <w:pStyle w:val="BookText"/>
      </w:pPr>
      <w:r>
        <w:rPr>
          <w:rFonts w:ascii="IRNazanin" w:hAnsi="IRNazanin" w:eastAsia="IRNazanin" w:cs="IRNazanin"/>
          <w:lang w:bidi="fa-IR"/>
          <w:color w:val="111111"/>
          <w:sz w:val="28"/>
          <w:szCs w:val="28"/>
          <w:rtl/>
        </w:rPr>
        <w:t xml:space="preserve">۵۱۳. خوانسار؛ فاضل؛ شماره نسخه: ۲۶۵/۵</w:t>
      </w:r>
    </w:p>
    <w:p>
      <w:pPr>
        <w:pStyle w:val="BookText"/>
      </w:pPr>
      <w:r>
        <w:rPr>
          <w:rFonts w:ascii="IRNazanin" w:hAnsi="IRNazanin" w:eastAsia="IRNazanin" w:cs="IRNazanin"/>
          <w:lang w:bidi="fa-IR"/>
          <w:color w:val="111111"/>
          <w:sz w:val="28"/>
          <w:szCs w:val="28"/>
          <w:rtl/>
        </w:rPr>
        <w:t xml:space="preserve">اشعار مختلف اعتقادی و کلامی است با استفاده از روایات و آیات؛ خط: نستعلیق، بی کا، تا: قرن ۱۲؛ جلد: تیماج قرمز مجدول، اندازه: 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 - ۲۴۴]</w:t>
      </w:r>
    </w:p>
    <w:p>
      <w:pPr>
        <w:pStyle w:val="BookText"/>
      </w:pPr>
      <w:r>
        <w:rPr>
          <w:rFonts w:ascii="IRNazanin" w:hAnsi="IRNazanin" w:eastAsia="IRNazanin" w:cs="IRNazanin"/>
          <w:lang w:bidi="fa-IR"/>
          <w:color w:val="111111"/>
          <w:sz w:val="28"/>
          <w:szCs w:val="28"/>
          <w:rtl/>
        </w:rPr>
        <w:t xml:space="preserve">۵۱۴. تهران؛ دانشگاه؛ شماره نسخه: ۸۷۵۹</w:t>
      </w:r>
    </w:p>
    <w:p>
      <w:pPr>
        <w:pStyle w:val="BookText"/>
      </w:pPr>
      <w:r>
        <w:rPr>
          <w:rFonts w:ascii="IRNazanin" w:hAnsi="IRNazanin" w:eastAsia="IRNazanin" w:cs="IRNazanin"/>
          <w:lang w:bidi="fa-IR"/>
          <w:color w:val="111111"/>
          <w:sz w:val="28"/>
          <w:szCs w:val="28"/>
          <w:rtl/>
        </w:rPr>
        <w:t xml:space="preserve">دارای: ۱- دیباچه، ۲. مثنوی،3 - مثنوی غنیمت پنجامی، ۴- معراج الخيال، تجلى شیرازی، ۵-مثنوی همت، ۶-محمود و ایاز، ۷- نثر میرزای  بیدل، ۸- تعریف حسن و نزاکت و تمکن و شوخی و جلوه و حجاب و اقدام معشوق تا آه و ناله و شوق و عزلت، ۹- پند امام رضا به مامون، به فارسی، ۱۰- شعر غلام علی آزاد
</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بلگرامی ؛خط: نستعلیق  چلیپا، بی کا، تا: قرن ۱۲؛ در متن و هامـش. آراسته به زر؛ کاغذ: سپاهانی ،جلد: تیماج تریاکی ضربی مقوایی، ۱۳۷گ، ۱۰ سطر (۶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قطع: ربعی،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 ف : ۱۷ - 214]</w:t>
      </w:r>
    </w:p>
    <w:p>
      <w:pPr>
        <w:pStyle w:val="BookText"/>
      </w:pPr>
      <w:r>
        <w:rPr>
          <w:rFonts w:ascii="IRNazanin" w:hAnsi="IRNazanin" w:eastAsia="IRNazanin" w:cs="IRNazanin"/>
          <w:lang w:bidi="fa-IR"/>
          <w:color w:val="111111"/>
          <w:sz w:val="28"/>
          <w:szCs w:val="28"/>
          <w:rtl/>
        </w:rPr>
        <w:t xml:space="preserve">۵۱۵. تهران؛ مجلس؛ شماره نسخه: ۱۱۶۲/۱۳- طباطبائی</w:t>
      </w:r>
    </w:p>
    <w:p>
      <w:pPr>
        <w:pStyle w:val="BookText"/>
      </w:pPr>
      <w:r>
        <w:rPr>
          <w:rFonts w:ascii="IRNazanin" w:hAnsi="IRNazanin" w:eastAsia="IRNazanin" w:cs="IRNazanin"/>
          <w:lang w:bidi="fa-IR"/>
          <w:color w:val="111111"/>
          <w:sz w:val="28"/>
          <w:szCs w:val="28"/>
          <w:rtl/>
        </w:rPr>
        <w:t xml:space="preserve">آغاز: درد بینی و گوش و درد زبان *** درد پستان و معده و دندان ... ریک و جرم مثانه عرق نساء *** سوزش بول و رنج استسقاء/ این همه درد را دوا باشد *** مردم دیده را ضیا باشد؛ انجام: مردم پیر را جوان سازد بر جوانان طرب بیفزاید</w:t>
      </w:r>
    </w:p>
    <w:p>
      <w:pPr>
        <w:pStyle w:val="BookText"/>
      </w:pPr>
      <w:r>
        <w:rPr>
          <w:rFonts w:ascii="IRNazanin" w:hAnsi="IRNazanin" w:eastAsia="IRNazanin" w:cs="IRNazanin"/>
          <w:lang w:bidi="fa-IR"/>
          <w:color w:val="111111"/>
          <w:sz w:val="28"/>
          <w:szCs w:val="28"/>
          <w:rtl/>
        </w:rPr>
        <w:t xml:space="preserve">شامل غزلیات از عرفی سالک، قطعاتی به ترکی،منظومیه ترکیب حکیم ارسطو که جهت اسکندر ساخته مزیل همه امراض دارای ۲۳ بیت( گ ۱۴ پ)؛ خط: شکسته نستعلیق خوب، کا: آقا نورابن حاج نقد علی، تا: قرن ۱۲؛ این منظومه با قلمی دیگر (به جز قلم بقیه جنگ) نوشته شده و کاتب در پایان آن نوشته «این چند کـلمه در تاریخ دهم شوال ۱۱۳۳ قلمی شد کتبه العبد حاجی نورا»، درکنار آن قطعه ای دیگر است با همین خط که همه ابیات و مصراع های آنها دارای یک ردیف و قافیه است، قضاء و قـدر محمد قلی سلیم، آغاز: «شنیدم روزی از خونابه نوشی *** چو گل از پاره تن خرقه پوشی»، فردها( از شاعران مختلف)، غزلیات از وحشی و بابا فغانی، تعدادی رباعی و مسدس که پی در پی مرتباً یادداشت شده است، نسخه هایی برای پاره ای از معالجات و دسـتور نوشتن طلسمات؛ مثنوی؛ ۱۳گ، [ف : ۲۳ - ۶۴۹]</w:t>
      </w:r>
    </w:p>
    <w:p>
      <w:pPr>
        <w:pStyle w:val="BookText"/>
      </w:pPr>
      <w:r>
        <w:rPr>
          <w:rFonts w:ascii="IRNazanin" w:hAnsi="IRNazanin" w:eastAsia="IRNazanin" w:cs="IRNazanin"/>
          <w:lang w:bidi="fa-IR"/>
          <w:color w:val="111111"/>
          <w:sz w:val="28"/>
          <w:szCs w:val="28"/>
          <w:rtl/>
        </w:rPr>
        <w:t xml:space="preserve">۵۱۶ .تهران؛ ملک؛ شماره نسخه: ۴۷۴۶/۲</w:t>
      </w:r>
    </w:p>
    <w:p>
      <w:pPr>
        <w:pStyle w:val="BookText"/>
      </w:pPr>
      <w:r>
        <w:rPr>
          <w:rFonts w:ascii="IRNazanin" w:hAnsi="IRNazanin" w:eastAsia="IRNazanin" w:cs="IRNazanin"/>
          <w:lang w:bidi="fa-IR"/>
          <w:color w:val="111111"/>
          <w:sz w:val="28"/>
          <w:szCs w:val="28"/>
          <w:rtl/>
        </w:rPr>
        <w:t xml:space="preserve">اشعاری از شیخ علی نقی؛ خط: شکسته نستعلیق، بی کا، تا: قرن  12[ ف: ۸-۷۷]</w:t>
      </w:r>
    </w:p>
    <w:p>
      <w:pPr>
        <w:pStyle w:val="BookText"/>
      </w:pPr>
      <w:r>
        <w:rPr>
          <w:rFonts w:ascii="IRNazanin" w:hAnsi="IRNazanin" w:eastAsia="IRNazanin" w:cs="IRNazanin"/>
          <w:lang w:bidi="fa-IR"/>
          <w:color w:val="111111"/>
          <w:sz w:val="28"/>
          <w:szCs w:val="28"/>
          <w:rtl/>
        </w:rPr>
        <w:t xml:space="preserve">۵۱۷. تهران؛ ملک؛ شماره نسخه: ۴۸۱۶</w:t>
      </w:r>
    </w:p>
    <w:p>
      <w:pPr>
        <w:pStyle w:val="BookText"/>
      </w:pPr>
      <w:r>
        <w:rPr>
          <w:rFonts w:ascii="IRNazanin" w:hAnsi="IRNazanin" w:eastAsia="IRNazanin" w:cs="IRNazanin"/>
          <w:lang w:bidi="fa-IR"/>
          <w:color w:val="111111"/>
          <w:sz w:val="28"/>
          <w:szCs w:val="28"/>
          <w:rtl/>
        </w:rPr>
        <w:t xml:space="preserve">آغاز: بزرگوار خدایا به کردگاری تو *** بحق ذات و صفات بزرگواری تو؛ انجام: خطاب من بشماای متابعان یزید *** ز قتل زینب دلخسته دست بردارید</w:t>
      </w:r>
    </w:p>
    <w:p>
      <w:pPr>
        <w:pStyle w:val="BookText"/>
      </w:pPr>
      <w:r>
        <w:rPr>
          <w:rFonts w:ascii="IRNazanin" w:hAnsi="IRNazanin" w:eastAsia="IRNazanin" w:cs="IRNazanin"/>
          <w:lang w:bidi="fa-IR"/>
          <w:color w:val="111111"/>
          <w:sz w:val="28"/>
          <w:szCs w:val="28"/>
          <w:rtl/>
        </w:rPr>
        <w:t xml:space="preserve">اشعار در تعزیه است ؛خط: نستعلیق، بی کا، تا: اواخر قرن 12؛افتادگی: آغاز؛ مهر:تملک شعاع الملك؛ كاغذ: كاغذ فستـقی  آبی، جلد: رویه کاغذ آبی  فرنگی، ۳۱۹گ، ۲۷ سطر، اندازه:۲۲/۶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۳۴/۴سم [ف: ۲ - ۱۵۵]</w:t>
      </w:r>
    </w:p>
    <w:p>
      <w:pPr>
        <w:pStyle w:val="BookText"/>
      </w:pPr>
      <w:r>
        <w:rPr>
          <w:rFonts w:ascii="IRNazanin" w:hAnsi="IRNazanin" w:eastAsia="IRNazanin" w:cs="IRNazanin"/>
          <w:lang w:bidi="fa-IR"/>
          <w:color w:val="111111"/>
          <w:sz w:val="28"/>
          <w:szCs w:val="28"/>
          <w:rtl/>
        </w:rPr>
        <w:t xml:space="preserve">۵۱۸. قم؛ گلپایگانی؛ شماره نسخه:1715- 25/ 10</w:t>
      </w:r>
    </w:p>
    <w:p>
      <w:pPr>
        <w:pStyle w:val="BookText"/>
      </w:pPr>
      <w:r>
        <w:rPr>
          <w:rFonts w:ascii="IRNazanin" w:hAnsi="IRNazanin" w:eastAsia="IRNazanin" w:cs="IRNazanin"/>
          <w:lang w:bidi="fa-IR"/>
          <w:color w:val="111111"/>
          <w:sz w:val="28"/>
          <w:szCs w:val="28"/>
          <w:rtl/>
        </w:rPr>
        <w:t xml:space="preserve">آغاز: قصائد من كلام عبدالرحمن جامى عليه الرحمه في مدح امیرمؤمنان. اصبحت زائراً لك يا شحثه النجف </w:t>
      </w:r>
      <w:r>
        <w:rPr>
          <w:rFonts w:ascii="IRNazanin" w:hAnsi="IRNazanin" w:eastAsia="IRNazanin" w:cs="IRNazanin"/>
          <w:lang w:bidi="fa-IR"/>
          <w:color w:val="111111"/>
          <w:sz w:val="28"/>
          <w:szCs w:val="28"/>
          <w:b w:val="1"/>
          <w:bCs w:val="1"/>
          <w:i w:val="1"/>
          <w:iCs w:val="1"/>
          <w:rtl/>
        </w:rPr>
        <w:t xml:space="preserve">بهر نثار مرقد تو نقد جان به کف / تو قبله دعایی و اهل نیاز را *** روی امید سوی تو باشد زهر طرف؛ انجام: آنچه قدم نمودی در خانه فقیران</w:t>
      </w:r>
      <w:r>
        <w:rPr>
          <w:rFonts w:ascii="IRNazanin" w:hAnsi="IRNazanin" w:eastAsia="IRNazanin" w:cs="IRNazanin"/>
          <w:lang w:bidi="fa-IR"/>
          <w:color w:val="111111"/>
          <w:sz w:val="28"/>
          <w:szCs w:val="28"/>
          <w:rtl/>
        </w:rPr>
        <w:t xml:space="preserve"> گشتیم شاد و خرم چون فصل نوبهاران جنگ شعری است از قرن ۱۲ که از شاه سلیمان صفوی با تجـلیل یاد می کند، شامل قصاید جامی، میرزا حسین  رفیق، سعدی ،عرفی، دشت بیاضی، نظیر نیشابوری ،فراق نامه میرزا ابوالقاسم هجری، قصاید ابوطالب کلیم، میرزا طوفان، محمدعلی دانش، رباعیات و معمیات جامی، احمد میرزای نیازی، میرزا قلی حیلی، اشعار فیض ،شوقی، رباعیات ابوسعید ابوالخیر، خیام، مؤمن حسین ،ظهوری ،ملای، شیخ بهایی، سحابی، بابا افضل، محمد باقر مجلسی، سید محمد جاف باف میرزا صایب، لطفعلی بیک آذر، غزلیات جامی، صاحبیه سعدی، غزلیات حافظ، قطعات تاریخی از شعرای مختلف، در هامش نسخه نیز اشعاری دارد از جمله مخمس میرزا هاشم بر غزل کلیم، مخمس باقر کاشی بر غزل ضابط، مخمس بندگان ظل الهی شاه سلیمان صفوی، مخمس رافع، مخمس وحشی، مخمس لاادری بر غزل ملاجامی، مخمس وحشی بر غزل سعدی، مخمس میرزا طوفان در مدح امام علی(علیه السّلام)مخمس سنایی بر غزل حافظ، از جمله اشعار هاتف در باب زلزله کاشان و مدح  قم، مخمس مخفی در مدح امام علی(علیه السّلام) ، مثنوی</w:t>
      </w:r>
    </w:p>
    <w:p>
      <w:pPr>
        <w:pStyle w:val="BookText"/>
      </w:pPr>
      <w:r>
        <w:rPr>
          <w:rFonts w:ascii="IRNazanin" w:hAnsi="IRNazanin" w:eastAsia="IRNazanin" w:cs="IRNazanin"/>
          <w:lang w:bidi="fa-IR"/>
          <w:color w:val="111111"/>
          <w:sz w:val="28"/>
          <w:szCs w:val="28"/>
          <w:rtl/>
        </w:rPr>
        <w:t xml:space="preserve">سوز و گداز ملا علی خبوشانی، مناظره بیمار و طبیب قاضی شریف لاری، مثنوی لاری، مثنوی تنبیه الخسیسان و مثنوی تنبیه الكریمان از رابط، آتش پاره میرزا طوفان، فراق نامه میرزا ابو القاسم هجری؛ خط: نستعلیق، بی کا ،تا: قرن ۱۲؛ مجدول؛ جلد: تیماج قهوه ای، ۲۴۶گ، سطور چلیپا، اندازه: ۲۰/۵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۳۲/۵سم [ف:  3- 1225]</w:t>
      </w:r>
    </w:p>
    <w:p>
      <w:pPr>
        <w:pStyle w:val="BookText"/>
      </w:pPr>
      <w:r>
        <w:rPr>
          <w:rFonts w:ascii="IRNazanin" w:hAnsi="IRNazanin" w:eastAsia="IRNazanin" w:cs="IRNazanin"/>
          <w:lang w:bidi="fa-IR"/>
          <w:color w:val="111111"/>
          <w:sz w:val="28"/>
          <w:szCs w:val="28"/>
          <w:rtl/>
        </w:rPr>
        <w:t xml:space="preserve">۵۱۹. تهران؛ ملک؛ شماره نسخه: ۴۷۱۴</w:t>
      </w:r>
    </w:p>
    <w:p>
      <w:pPr>
        <w:pStyle w:val="BookText"/>
      </w:pPr>
      <w:r>
        <w:rPr>
          <w:rFonts w:ascii="IRNazanin" w:hAnsi="IRNazanin" w:eastAsia="IRNazanin" w:cs="IRNazanin"/>
          <w:lang w:bidi="fa-IR"/>
          <w:color w:val="111111"/>
          <w:sz w:val="28"/>
          <w:szCs w:val="28"/>
          <w:rtl/>
        </w:rPr>
        <w:t xml:space="preserve">آغاز: خداوندا همه گیتی ترا مأمور شد یکسان *** که باشد درهمه عالم که بیرون آید از فرمان؛ انجام: از ترازو وزدو کفه قیاسی میکن (؟) *** کانکه زر دارد زیرا آنکه ندارد زیر است</w:t>
      </w:r>
    </w:p>
    <w:p>
      <w:pPr>
        <w:pStyle w:val="BookText"/>
      </w:pPr>
      <w:r>
        <w:rPr>
          <w:rFonts w:ascii="IRNazanin" w:hAnsi="IRNazanin" w:eastAsia="IRNazanin" w:cs="IRNazanin"/>
          <w:lang w:bidi="fa-IR"/>
          <w:color w:val="111111"/>
          <w:sz w:val="28"/>
          <w:szCs w:val="28"/>
          <w:rtl/>
        </w:rPr>
        <w:t xml:space="preserve">جنگ اشعار از سرایندگان گوناگون و بیشتر قصاید است، در آغاز اشعار ادیب صابر سرگذشت او را در چهار برگ آورده است؛ در پایان سی لحن باربدی را کوتاه یاد کرده؛ خط: نسخ، بی کا، تا: قرن ۱۲؛ مجدول؛ کاغذ: نوعی ترمه، ۱۵۱گ، ۱۴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۳۸/۳سم [ف: ۸ - ۶۳]</w:t>
      </w:r>
    </w:p>
    <w:p>
      <w:pPr>
        <w:pStyle w:val="BookText"/>
      </w:pPr>
      <w:r>
        <w:rPr>
          <w:rFonts w:ascii="IRNazanin" w:hAnsi="IRNazanin" w:eastAsia="IRNazanin" w:cs="IRNazanin"/>
          <w:lang w:bidi="fa-IR"/>
          <w:color w:val="111111"/>
          <w:sz w:val="28"/>
          <w:szCs w:val="28"/>
          <w:rtl/>
        </w:rPr>
        <w:t xml:space="preserve">۵۲۰. تهران؛ ملی؛ شماره نسخه: ۱۰۱/۲۰</w:t>
      </w:r>
    </w:p>
    <w:p>
      <w:pPr>
        <w:pStyle w:val="BookText"/>
      </w:pPr>
      <w:r>
        <w:rPr>
          <w:rFonts w:ascii="IRNazanin" w:hAnsi="IRNazanin" w:eastAsia="IRNazanin" w:cs="IRNazanin"/>
          <w:lang w:bidi="fa-IR"/>
          <w:color w:val="111111"/>
          <w:sz w:val="28"/>
          <w:szCs w:val="28"/>
          <w:rtl/>
        </w:rPr>
        <w:t xml:space="preserve">شامل: ۱. مثنوی هجری (ص ۱۶۰-۱۶۲) مثنوی آذر (ص ۱۶۳ -۱۶۶)، ساقی نامه میرزا رضی (۱۶۷-۱۷۱)، مثنوی میرزا طوفان (۱۷۳-۱۷۲)؛ خط: نستعلیق، بی کا، تا: قرن ۱۲؛ ابیات به شکل حمایلی؛ کاغذ: فرنگی فستقی، جلد: تیماج قرمز،ابعاد متن: 14</w:t>
      </w:r>
      <w:r>
        <w:rPr>
          <w:rFonts w:ascii="Times New Roman" w:hAnsi="Times New Roman" w:eastAsia="Times New Roman" w:cs="Times New Roman"/>
          <w:lang w:val="en-US" w:bidi="en-US"/>
          <w:color w:val="111111"/>
          <w:sz w:val="28"/>
          <w:szCs w:val="28"/>
          <w:rtl/>
        </w:rPr>
        <w:t xml:space="preserve">×22/5 </w:t>
      </w:r>
      <w:r>
        <w:rPr>
          <w:rFonts w:ascii="IRNazanin" w:hAnsi="IRNazanin" w:eastAsia="IRNazanin" w:cs="IRNazanin"/>
          <w:lang w:bidi="fa-IR"/>
          <w:color w:val="111111"/>
          <w:sz w:val="28"/>
          <w:szCs w:val="28"/>
          <w:rtl/>
        </w:rPr>
        <w:t xml:space="preserve">، ۱۴ ص( ۱۶۰-۱۷۳) اندازه: ۲۰/۵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 سم [ف: ۱ – ۹۵]</w:t>
      </w:r>
    </w:p>
    <w:p>
      <w:pPr>
        <w:pStyle w:val="BookText"/>
      </w:pPr>
      <w:r>
        <w:rPr>
          <w:rFonts w:ascii="IRNazanin" w:hAnsi="IRNazanin" w:eastAsia="IRNazanin" w:cs="IRNazanin"/>
          <w:lang w:bidi="fa-IR"/>
          <w:color w:val="111111"/>
          <w:sz w:val="28"/>
          <w:szCs w:val="28"/>
          <w:rtl/>
        </w:rPr>
        <w:t xml:space="preserve">۵۲۱. تهران؛ ملی؛ شماره نسخه: ۱۰۱/۲۲</w:t>
      </w:r>
    </w:p>
    <w:p>
      <w:pPr>
        <w:pStyle w:val="BookText"/>
      </w:pPr>
      <w:r>
        <w:rPr>
          <w:rFonts w:ascii="IRNazanin" w:hAnsi="IRNazanin" w:eastAsia="IRNazanin" w:cs="IRNazanin"/>
          <w:lang w:bidi="fa-IR"/>
          <w:color w:val="111111"/>
          <w:sz w:val="28"/>
          <w:szCs w:val="28"/>
          <w:rtl/>
        </w:rPr>
        <w:t xml:space="preserve">اشعار مندرج در این جنگ بدین قرار است: ۱. قطعه ای درباره ملاقات خسرو و فرهاد (ص۱۸۶)، ۲. مثنوی هجری و یک قطعه و غزلی به نام رفیق (رفيق ظاهراً نام شخصی بوده است) (ص۱۸۷- ۱۸۹)، قطعه ای در تاریخ وفات درویش مجید از رفیق؛ خط: نستعلیق، بی کا، تا: قرن ۱۲؛ کاغذ: فرنگی فستقی، جلد: تیماج قرمز غیر مقوایی ،دولایی، ابعاد متن: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 4ص( ۱۸۶ -۱۸۹)، اندازه: ۲۰/۵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۳۰سم [ف: ۱ - ۹۶]</w:t>
      </w:r>
    </w:p>
    <w:p>
      <w:pPr>
        <w:pStyle w:val="BookText"/>
      </w:pPr>
      <w:r>
        <w:rPr>
          <w:rFonts w:ascii="IRNazanin" w:hAnsi="IRNazanin" w:eastAsia="IRNazanin" w:cs="IRNazanin"/>
          <w:lang w:bidi="fa-IR"/>
          <w:color w:val="111111"/>
          <w:sz w:val="28"/>
          <w:szCs w:val="28"/>
          <w:rtl/>
        </w:rPr>
        <w:t xml:space="preserve">۵۲۲. تهران؛ ملی؛ شماره نسخه: ۱۰۹</w:t>
      </w:r>
    </w:p>
    <w:p>
      <w:pPr>
        <w:pStyle w:val="BookText"/>
      </w:pPr>
      <w:r>
        <w:rPr>
          <w:rFonts w:ascii="IRNazanin" w:hAnsi="IRNazanin" w:eastAsia="IRNazanin" w:cs="IRNazanin"/>
          <w:lang w:bidi="fa-IR"/>
          <w:color w:val="111111"/>
          <w:sz w:val="28"/>
          <w:szCs w:val="28"/>
          <w:rtl/>
        </w:rPr>
        <w:t xml:space="preserve">آغاز: دودی که از مطبخ جود تو بر آرد *** آماده تر از ابر بود زادن نم را؛ انجام: گویند که از سر و قدان سر و قدی*** از چشم
</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 زمانه دارد رمدی</w:t>
      </w:r>
    </w:p>
    <w:p>
      <w:pPr>
        <w:pStyle w:val="BookText"/>
      </w:pPr>
      <w:r>
        <w:rPr>
          <w:rFonts w:ascii="IRNazanin" w:hAnsi="IRNazanin" w:eastAsia="IRNazanin" w:cs="IRNazanin"/>
          <w:lang w:bidi="fa-IR"/>
          <w:color w:val="111111"/>
          <w:sz w:val="28"/>
          <w:szCs w:val="28"/>
          <w:rtl/>
        </w:rPr>
        <w:t xml:space="preserve">جنگی است شامل: قصاید (ص ۱-۲۰۴)، مقطعات (205-۵۰)، غزلیات (۲۵۱-۴۵۶) و رباعیات (۴۵۷-۵۳۹)؛ خط: شکـسته نستعلیق، بی کا، تا: قرن ۱۲؛ افتادگی: آغاز و انجام؛ مجدول ؛کاغذ: فرنگی فستقی، جلد: تیماج ترنج و نیم ترنج دار، ابعاد مـتن: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 ۲۷۰گ، ۱۵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۳۹/۵ سم [ف: ۱ - ۱۰۵ ]</w:t>
      </w:r>
    </w:p>
    <w:p>
      <w:pPr>
        <w:pStyle w:val="BookText"/>
      </w:pPr>
      <w:r>
        <w:rPr>
          <w:rFonts w:ascii="IRNazanin" w:hAnsi="IRNazanin" w:eastAsia="IRNazanin" w:cs="IRNazanin"/>
          <w:lang w:bidi="fa-IR"/>
          <w:color w:val="111111"/>
          <w:sz w:val="28"/>
          <w:szCs w:val="28"/>
          <w:rtl/>
        </w:rPr>
        <w:t xml:space="preserve">۵۲۳. تهران؛ ملک؛ شماره نسخه: ۶۳۵۵</w:t>
      </w:r>
    </w:p>
    <w:p>
      <w:pPr>
        <w:pStyle w:val="BookText"/>
      </w:pPr>
      <w:r>
        <w:rPr>
          <w:rFonts w:ascii="IRNazanin" w:hAnsi="IRNazanin" w:eastAsia="IRNazanin" w:cs="IRNazanin"/>
          <w:lang w:bidi="fa-IR"/>
          <w:color w:val="111111"/>
          <w:sz w:val="28"/>
          <w:szCs w:val="28"/>
          <w:rtl/>
        </w:rPr>
        <w:t xml:space="preserve">آغاز: ستارگان سپاه و حشمت *** دوران ملک زبون تیغ و قلمست</w:t>
      </w:r>
    </w:p>
    <w:p>
      <w:pPr>
        <w:pStyle w:val="BookText"/>
      </w:pPr>
      <w:r>
        <w:rPr>
          <w:rFonts w:ascii="IRNazanin" w:hAnsi="IRNazanin" w:eastAsia="IRNazanin" w:cs="IRNazanin"/>
          <w:lang w:bidi="fa-IR"/>
          <w:color w:val="111111"/>
          <w:sz w:val="28"/>
          <w:szCs w:val="28"/>
          <w:rtl/>
        </w:rPr>
        <w:t xml:space="preserve">جنگ اشعار نامرتب و غالباً بدون نام گوینده؛ بی کا، تا: قرن12؛ خطوط گوناگون، نستعلیق و شکسته از چند کاتب بی نام، راستـه و چلیپا، مجدول، یک سرلوح بد؛ کاغذ: فستقی، جلد: میشن لایی سبز تازه، ۱۲۸گ، مختلف السطر، اندازه: 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9- 353]</w:t>
      </w:r>
    </w:p>
    <w:p>
      <w:pPr>
        <w:pStyle w:val="BookText"/>
      </w:pPr>
      <w:r>
        <w:rPr>
          <w:rFonts w:ascii="IRNazanin" w:hAnsi="IRNazanin" w:eastAsia="IRNazanin" w:cs="IRNazanin"/>
          <w:lang w:bidi="fa-IR"/>
          <w:color w:val="111111"/>
          <w:sz w:val="28"/>
          <w:szCs w:val="28"/>
          <w:rtl/>
        </w:rPr>
        <w:t xml:space="preserve">۵۲۴. شیراز؛ شاهچراغ؛ شماره نسخه: ۸۵۹</w:t>
      </w:r>
    </w:p>
    <w:p>
      <w:pPr>
        <w:pStyle w:val="BookText"/>
      </w:pPr>
      <w:r>
        <w:rPr>
          <w:rFonts w:ascii="IRNazanin" w:hAnsi="IRNazanin" w:eastAsia="IRNazanin" w:cs="IRNazanin"/>
          <w:lang w:bidi="fa-IR"/>
          <w:color w:val="111111"/>
          <w:sz w:val="28"/>
          <w:szCs w:val="28"/>
          <w:rtl/>
        </w:rPr>
        <w:t xml:space="preserve">جنگ اشعار شامل: بهارنامه میرزا طوفان، معراج خیال میرزا علیرضا، قصیده میرزا طوفان در مدح یزدان و اشعار پراکنده دیگر ؛خط: نستعلیق  شکسته، بی کا، تا: قرن ۱۲؛ ۴۱گ، اندازه: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۱۸/۵سم [ف: ۳ - ۲۷]</w:t>
      </w:r>
    </w:p>
    <w:p>
      <w:pPr>
        <w:pStyle w:val="BookText"/>
      </w:pPr>
      <w:r>
        <w:rPr>
          <w:rFonts w:ascii="IRNazanin" w:hAnsi="IRNazanin" w:eastAsia="IRNazanin" w:cs="IRNazanin"/>
          <w:lang w:bidi="fa-IR"/>
          <w:color w:val="111111"/>
          <w:sz w:val="28"/>
          <w:szCs w:val="28"/>
          <w:rtl/>
        </w:rPr>
        <w:t xml:space="preserve">۵۲۵. قم؛ گلپایگانی؛ شماره نسخه: 3039- 49/ 16</w:t>
      </w:r>
    </w:p>
    <w:p>
      <w:pPr>
        <w:pStyle w:val="BookText"/>
      </w:pPr>
      <w:r>
        <w:rPr>
          <w:rFonts w:ascii="IRNazanin" w:hAnsi="IRNazanin" w:eastAsia="IRNazanin" w:cs="IRNazanin"/>
          <w:lang w:bidi="fa-IR"/>
          <w:color w:val="111111"/>
          <w:sz w:val="28"/>
          <w:szCs w:val="28"/>
          <w:rtl/>
        </w:rPr>
        <w:t xml:space="preserve">آغاز: آنکس که چشم شوخ تو را خواب داده است *** خواب مرا به غارت سیلاب داده است / خورشید را فشرده به صد دست روزگار *** تا گلشن جمال تو را آب داده است؛ انجام:نسیم صبح دگر بویی از گلاب رساند *** مگر که دست بر آن گوشه نقاب رساند/ ترحمی بکن ای گل که کاوش مژهات *** بنای خانه  خشم مرا بر آب رساند</w:t>
      </w:r>
    </w:p>
    <w:p>
      <w:pPr>
        <w:pStyle w:val="BookText"/>
      </w:pPr>
      <w:r>
        <w:rPr>
          <w:rFonts w:ascii="IRNazanin" w:hAnsi="IRNazanin" w:eastAsia="IRNazanin" w:cs="IRNazanin"/>
          <w:lang w:bidi="fa-IR"/>
          <w:color w:val="111111"/>
          <w:sz w:val="28"/>
          <w:szCs w:val="28"/>
          <w:rtl/>
        </w:rPr>
        <w:t xml:space="preserve">جنگی است که در آن اشعاری از این شاعران جمع شده است فضلی جرپادقانی، ترکیب بند شوکتی، ساقی نامه اقدس با این سرآغاز: الاصبح شد خیر و بشکن خمار *** چو نرگس سر از خواب مستی برآر، رباعیات بحار نجفی، امیرشوقی، نظیـری نیشابوری، خواجه عبدالله انصاری، محمد علی؛ خط: نستعليق، بی کا، تا: قرن ۱۲، جلد: گالینگور نارنجی، ۸گ، ۱۷ چهارستونی ،17 سطر، اندازه:۱۳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۲۴سم [ف: ۳ - ۱۲۴۷]</w:t>
      </w:r>
    </w:p>
    <w:p>
      <w:pPr>
        <w:pStyle w:val="BookText"/>
      </w:pPr>
      <w:r>
        <w:rPr>
          <w:rFonts w:ascii="IRNazanin" w:hAnsi="IRNazanin" w:eastAsia="IRNazanin" w:cs="IRNazanin"/>
          <w:lang w:bidi="fa-IR"/>
          <w:color w:val="111111"/>
          <w:sz w:val="28"/>
          <w:szCs w:val="28"/>
          <w:rtl/>
        </w:rPr>
        <w:t xml:space="preserve">۵۲۶. قم؛ گلپایگانی؛ شماره نسخه: ۳۴۲۵-۱۷/۲۰۵</w:t>
      </w:r>
    </w:p>
    <w:p>
      <w:pPr>
        <w:pStyle w:val="BookText"/>
      </w:pPr>
      <w:r>
        <w:rPr>
          <w:rFonts w:ascii="IRNazanin" w:hAnsi="IRNazanin" w:eastAsia="IRNazanin" w:cs="IRNazanin"/>
          <w:lang w:bidi="fa-IR"/>
          <w:color w:val="111111"/>
          <w:sz w:val="28"/>
          <w:szCs w:val="28"/>
          <w:rtl/>
        </w:rPr>
        <w:t xml:space="preserve">آغاز: بدمرا شب دوشین بزمکی به پنهانی *** از درم در در آمدیا با جمال نورانی / ساقیا بده جامی زان شراب جسمانی *** تادمی بیاسایم زان حجاب جسمانی؛ انجام: که بهر پرستیدن آن صنم*** به ملک وجود آمدم از عدم/ وگرنه مرا میل هستی نبود *** سرو برگ یزدان پرستی نبود</w:t>
      </w:r>
    </w:p>
    <w:p>
      <w:pPr>
        <w:pStyle w:val="BookText"/>
      </w:pPr>
      <w:r>
        <w:rPr>
          <w:rFonts w:ascii="IRNazanin" w:hAnsi="IRNazanin" w:eastAsia="IRNazanin" w:cs="IRNazanin"/>
          <w:lang w:bidi="fa-IR"/>
          <w:color w:val="111111"/>
          <w:sz w:val="28"/>
          <w:szCs w:val="28"/>
          <w:rtl/>
        </w:rPr>
        <w:t xml:space="preserve">جنگ شامل اشعار و غزلیاتی از شاعران زیر: محتشم، جامی، سعدی، میر مشتاق، رفیق اصفهانی، حسن، مثنوی، صادق تفرشی، (آتش می بینم ای یاران زدور گرم می آید به چشم نخل طور)، قاصد صبای میرزا طوفان، حزین لاهیجی، بابا طاهر ،جامی، طفـیلی و حافظ؛ خط: شکسته، نستعلیق، بی کا، تا: قرن ۱۲؛ مجدول؛ جـلد : تیماج قهوه ای ضربی با ترنج و سرترنج و جدول گرهی، ۹۳گ، ۸ سطر، قطع: بیاض رقعی، اندازه: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۳ - ۱۲۵۱]</w:t>
      </w:r>
    </w:p>
    <w:p>
      <w:pPr>
        <w:pStyle w:val="BookText"/>
      </w:pPr>
      <w:r>
        <w:rPr>
          <w:rFonts w:ascii="IRNazanin" w:hAnsi="IRNazanin" w:eastAsia="IRNazanin" w:cs="IRNazanin"/>
          <w:lang w:bidi="fa-IR"/>
          <w:color w:val="111111"/>
          <w:sz w:val="28"/>
          <w:szCs w:val="28"/>
          <w:rtl/>
        </w:rPr>
        <w:t xml:space="preserve">۵۲۷. شیراز؛ علامه طباطبائی؛ شماره نسخه: ۱۲۰۰</w:t>
      </w:r>
    </w:p>
    <w:p>
      <w:pPr>
        <w:pStyle w:val="BookText"/>
      </w:pPr>
      <w:r>
        <w:rPr>
          <w:rFonts w:ascii="IRNazanin" w:hAnsi="IRNazanin" w:eastAsia="IRNazanin" w:cs="IRNazanin"/>
          <w:lang w:bidi="fa-IR"/>
          <w:color w:val="111111"/>
          <w:sz w:val="28"/>
          <w:szCs w:val="28"/>
          <w:rtl/>
        </w:rPr>
        <w:t xml:space="preserve">جنگی از اشعار: محمد طالب آملی، نصیر الدین امامی، میرزا نظام دست غیب، حکیم زلالی خانیار، حکیم شفائی، اهلی شیرازی، ولی دشت بیاضی، ضمیری اصفهانی و .... :خط: نستعلیق، بی کا، تا: قرن ۱۲؛ به صورت چلیپا؛ ۱۲۳گ،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۲۷سم [نسخه پژوهی: ۲ - ۱۴۱]</w:t>
      </w:r>
    </w:p>
    <w:p>
      <w:pPr>
        <w:pStyle w:val="BookText"/>
      </w:pPr>
      <w:r>
        <w:rPr>
          <w:rFonts w:ascii="IRNazanin" w:hAnsi="IRNazanin" w:eastAsia="IRNazanin" w:cs="IRNazanin"/>
          <w:lang w:bidi="fa-IR"/>
          <w:color w:val="111111"/>
          <w:sz w:val="28"/>
          <w:szCs w:val="28"/>
          <w:rtl/>
        </w:rPr>
        <w:t xml:space="preserve">۵۲۸. شیراز؛ علامه طباطبائی؛ شماره نسخه: ۱۷۵۰</w:t>
      </w:r>
    </w:p>
    <w:p>
      <w:pPr>
        <w:pStyle w:val="BookText"/>
      </w:pPr>
      <w:r>
        <w:rPr>
          <w:rFonts w:ascii="IRNazanin" w:hAnsi="IRNazanin" w:eastAsia="IRNazanin" w:cs="IRNazanin"/>
          <w:lang w:bidi="fa-IR"/>
          <w:color w:val="111111"/>
          <w:sz w:val="28"/>
          <w:szCs w:val="28"/>
          <w:rtl/>
        </w:rPr>
        <w:t xml:space="preserve">جنگی از اشعار عرفی، قاآنی ،حافظ، كليم، وحشی، محتشم، ،جامی ،کمالی ،هلالی، رفیق و صائب؛ خط: نستعلیق، بی کا، تا: قرن ۱۲؛ مجدول؛ ۲۹۱گ،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[نسخه پژوهی: ۲ - ۱۴۱]</w:t>
      </w:r>
    </w:p>
    <w:p>
      <w:pPr>
        <w:pStyle w:val="BookText"/>
      </w:pPr>
      <w:r>
        <w:rPr>
          <w:rFonts w:ascii="IRNazanin" w:hAnsi="IRNazanin" w:eastAsia="IRNazanin" w:cs="IRNazanin"/>
          <w:lang w:bidi="fa-IR"/>
          <w:color w:val="111111"/>
          <w:sz w:val="28"/>
          <w:szCs w:val="28"/>
          <w:rtl/>
        </w:rPr>
        <w:t xml:space="preserve">۵۲۹. قم؛ فیضیه؛ شماره نسخه: ۱۶۴۹/۱</w:t>
      </w:r>
    </w:p>
    <w:p>
      <w:pPr>
        <w:pStyle w:val="BookText"/>
      </w:pPr>
      <w:r>
        <w:rPr>
          <w:rFonts w:ascii="IRNazanin" w:hAnsi="IRNazanin" w:eastAsia="IRNazanin" w:cs="IRNazanin"/>
          <w:lang w:bidi="fa-IR"/>
          <w:color w:val="111111"/>
          <w:sz w:val="28"/>
          <w:szCs w:val="28"/>
          <w:rtl/>
        </w:rPr>
        <w:t xml:space="preserve">جنگ اشعار انوری، سلمان ساوجی، سراج الدین قمری، فخری اصفهانی، ترجیع بند هاتف ،مؤذن، منوچهری، عرفی، عراقی، ،عاشق ،جامی، بابا طاهر، ملای رومی، عراقی مشهدی، طالب آملی، میرشهابی، سحابی، میرصیدی، سنایی، امینی، تربتی، علی نقی کمره ای، امینا نجفی، شاه شجاع، حکیم طفیلی، میرزانظام، میرزا فصیحی، شیخ بهائی، فیض، ابوسعید ابوالخیر، صالحی، مجد، سید جلال الدین. و نیز صورت رقعه ای که نصیرای همدانی به وزارت سپاه میر ... وزیر اصفهان نوشته است و ...؛ خط: نستعلیق، بی کا، تا: قرن ۱۲ و ۱۳؛ ۷۶گ (۱-۷۷)،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۳ - ۱۱۰]</w:t>
      </w:r>
    </w:p>
    <w:p>
      <w:pPr>
        <w:pStyle w:val="BookText"/>
      </w:pPr>
      <w:r>
        <w:rPr>
          <w:rFonts w:ascii="IRNazanin" w:hAnsi="IRNazanin" w:eastAsia="IRNazanin" w:cs="IRNazanin"/>
          <w:lang w:bidi="fa-IR"/>
          <w:color w:val="111111"/>
          <w:sz w:val="28"/>
          <w:szCs w:val="28"/>
          <w:rtl/>
        </w:rPr>
        <w:t xml:space="preserve">۵۳۰. قم؛ گلپایگانی؛ شماره نسخه: 3408- 188/ 17</w:t>
      </w:r>
    </w:p>
    <w:p>
      <w:pPr>
        <w:pStyle w:val="BookText"/>
      </w:pPr>
      <w:r>
        <w:rPr>
          <w:rFonts w:ascii="IRNazanin" w:hAnsi="IRNazanin" w:eastAsia="IRNazanin" w:cs="IRNazanin"/>
          <w:lang w:bidi="fa-IR"/>
          <w:color w:val="111111"/>
          <w:sz w:val="28"/>
          <w:szCs w:val="28"/>
          <w:rtl/>
        </w:rPr>
        <w:t xml:space="preserve">آغاز: چو درنورد دید فراش امر کن فسيكون*** سرای پرده سیماب رنگ آئینه گون / مخدرات سماوی تتق بر اندازد *** بجای ماند این هفت غرفه ی مرهون؛ انجام: خبر از رفتن آن سرو روانم مدهید*** بیخودم من خبر از رفتن جانم مدهید/ یا مجویید نشان از من گم گشته فکر ***  با به آن سوی که او رفته نشانم مدهید</w:t>
      </w:r>
    </w:p>
    <w:p>
      <w:pPr>
        <w:pStyle w:val="BookText"/>
      </w:pPr>
      <w:r>
        <w:rPr>
          <w:rFonts w:ascii="IRNazanin" w:hAnsi="IRNazanin" w:eastAsia="IRNazanin" w:cs="IRNazanin"/>
          <w:lang w:bidi="fa-IR"/>
          <w:color w:val="111111"/>
          <w:sz w:val="28"/>
          <w:szCs w:val="28"/>
          <w:rtl/>
        </w:rPr>
        <w:t xml:space="preserve">جنگی است شامل اشعار شاعران پارسی این جنگ در اواخر عهد صفوی تنظیم شده و شامل اشعاری از: آذر، آذری، انوری، ابوالعباس ،بخاری، ابوالفرج سنایی، اوحدی مراغه ای ،اهلی، اثیر اومانی ،ابوالعلاء ،گنجه، ابن سینا، ابن یمین، ادهم، با یزید، بهایی، پوربها جامی ،بیخودی ،جامی ،جعفری، جلال الدین بلخی، جمال الدین عبدالرزاق، حیرتی ،حیدری ،خضر بیگ شاملو، خبازی نیشابوری، ذبیحی یزدی ،رشید وطواط، رودکی، زمانی نقاش، سرور، سعدی، سامی، سعد حمدی،سلمان ساوجی، سیف الدین باخزری ،سنایی ،شوکت شافی، شریف، قاضی شمس الدین، شرف شفروه، شاپور طهرانی ،صفا ،صادقی، صدقی استرآبادی، صربی، صفی ،طوفان، طاهر نصر آبادی، ظهیر فاریابی، عبدالواسع جبلی ،عاشق، عنصری عتیقی، سمرقندی، فرخی سیستانی، فسونی، فانی، شیخ قیصی ،قسمی، کمال حجندی، کمال اسماعیل ،کلیم ،لسانی ،مانی، مجیر بیلغانی، مجد همگر، مشتاق، محتشم،
</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منوچهری ،نظیری میرزا نصر، ناصر خسرو شیخ نجم الدین ،نثاری ،وحشی ،ولی ،وصالی ،واعظ ،هاتف ،هلالی ،همایون، احمد عالمزاده بروجردی؛ خط: شکسته، نستعلیق، بی کا، تا: قـرن ۱۲؛ جلد: تیماج قهوه ای ۹۶گ ،۱۰ سطر، قطع: بياض رقعی ،اندازه: 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۸سم [ف: ۳ - ۱۲۵۹]</w:t>
      </w:r>
    </w:p>
    <w:p>
      <w:pPr>
        <w:pStyle w:val="BookText"/>
      </w:pPr>
      <w:r>
        <w:rPr>
          <w:rFonts w:ascii="IRNazanin" w:hAnsi="IRNazanin" w:eastAsia="IRNazanin" w:cs="IRNazanin"/>
          <w:lang w:bidi="fa-IR"/>
          <w:color w:val="111111"/>
          <w:sz w:val="28"/>
          <w:szCs w:val="28"/>
          <w:rtl/>
        </w:rPr>
        <w:t xml:space="preserve">۵۳۱. خوانسار؛ فاضل؛ شماره نسخه: ۲۶۵/۱</w:t>
      </w:r>
    </w:p>
    <w:p>
      <w:pPr>
        <w:pStyle w:val="BookText"/>
      </w:pPr>
      <w:r>
        <w:rPr>
          <w:rFonts w:ascii="IRNazanin" w:hAnsi="IRNazanin" w:eastAsia="IRNazanin" w:cs="IRNazanin"/>
          <w:lang w:bidi="fa-IR"/>
          <w:color w:val="111111"/>
          <w:sz w:val="28"/>
          <w:szCs w:val="28"/>
          <w:rtl/>
        </w:rPr>
        <w:t xml:space="preserve">آغاز: مصطفی پرسیده است از جبرئیل *** حضرت حق را بگو تو دیده ای؛ انجام: ور نیاید این دو تن بر یکدگر *** تو خدا را می طلب در جمله جا</w:t>
      </w:r>
    </w:p>
    <w:p>
      <w:pPr>
        <w:pStyle w:val="BookText"/>
      </w:pPr>
      <w:r>
        <w:rPr>
          <w:rFonts w:ascii="IRNazanin" w:hAnsi="IRNazanin" w:eastAsia="IRNazanin" w:cs="IRNazanin"/>
          <w:lang w:bidi="fa-IR"/>
          <w:color w:val="111111"/>
          <w:sz w:val="28"/>
          <w:szCs w:val="28"/>
          <w:rtl/>
        </w:rPr>
        <w:t xml:space="preserve">ناظم این اشعار، روایاتی اعتقادی در باب معراج و توحیدو ... بعضی از آیات قرآن را به شعر آورده و در این مجموعه گرد آورده است؛ خط: نستعلیق، بی کا، تا: قرن ۱۲؛ افتادگی: آغاز ؛جلد: تیماج قرمز مجدول، اندازه: 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 - ۲۴۳]</w:t>
      </w:r>
    </w:p>
    <w:p>
      <w:pPr>
        <w:pStyle w:val="BookText"/>
      </w:pPr>
      <w:r>
        <w:rPr>
          <w:rFonts w:ascii="IRNazanin" w:hAnsi="IRNazanin" w:eastAsia="IRNazanin" w:cs="IRNazanin"/>
          <w:lang w:bidi="fa-IR"/>
          <w:color w:val="111111"/>
          <w:sz w:val="28"/>
          <w:szCs w:val="28"/>
          <w:rtl/>
        </w:rPr>
        <w:t xml:space="preserve">۵۳۲. تهران؛ مجلس؛ شماره نسخه: ۵۰۷۴</w:t>
      </w:r>
    </w:p>
    <w:p>
      <w:pPr>
        <w:pStyle w:val="BookText"/>
      </w:pPr>
      <w:r>
        <w:rPr>
          <w:rFonts w:ascii="IRNazanin" w:hAnsi="IRNazanin" w:eastAsia="IRNazanin" w:cs="IRNazanin"/>
          <w:lang w:bidi="fa-IR"/>
          <w:color w:val="111111"/>
          <w:sz w:val="28"/>
          <w:szCs w:val="28"/>
          <w:rtl/>
        </w:rPr>
        <w:t xml:space="preserve">گزیده ای از غزلیات حافظ ،جامی، ساقی نامه ظهوری ترشیزی، غزلیات سعدی و محتشم؛ کا: خواجه درویش عبد المجید، تا: قـرن۱۲؛ شكل كتاب ذوذنقه و روی آن هلالی اندازه بغلی، برگ ها به صورت جام بریده شده و جدول بندی به همان اندازه با لاجورد و مشکی و سبز و شنگرف و زر، در هر صفحه هفت بیت شعر در کادرهای مستطیل و زر افشان نوشته به شکل های هندسی و در هر صفحه قرار داده شده؛ جلد: مقوایی به همان شکل جام غلاف درون و برون مخمل با لولا و جفت برنزی؛ مهر: «افوض امری الی الله عبده زين العابدین ۱۲۵۰» (چهارگوش)؛ کاغذ: سپاهانی، جـلد: مقوایی ضخیم اندازه جلد به شکل جام، ۷۲گ [ف: ۱۵ - ۳۳]</w:t>
      </w:r>
    </w:p>
    <w:p>
      <w:pPr>
        <w:pStyle w:val="BookText"/>
      </w:pPr>
      <w:r>
        <w:rPr>
          <w:rFonts w:ascii="IRNazanin" w:hAnsi="IRNazanin" w:eastAsia="IRNazanin" w:cs="IRNazanin"/>
          <w:lang w:bidi="fa-IR"/>
          <w:color w:val="111111"/>
          <w:sz w:val="28"/>
          <w:szCs w:val="28"/>
          <w:rtl/>
        </w:rPr>
        <w:t xml:space="preserve">۵۳۳. تهران؛ ملی؛ شماره نسخه: ۵۶۴/۱</w:t>
      </w:r>
    </w:p>
    <w:p>
      <w:pPr>
        <w:pStyle w:val="BookText"/>
      </w:pPr>
      <w:r>
        <w:rPr>
          <w:rFonts w:ascii="IRNazanin" w:hAnsi="IRNazanin" w:eastAsia="IRNazanin" w:cs="IRNazanin"/>
          <w:lang w:bidi="fa-IR"/>
          <w:color w:val="111111"/>
          <w:sz w:val="28"/>
          <w:szCs w:val="28"/>
          <w:rtl/>
        </w:rPr>
        <w:t xml:space="preserve">شامل: اشعار مختلف (ص۱-۱۴)، ترجمة الشوق از عرفی (15- ۲۰)، ترجمة العشق حيدر كلوخ متتبع ترجمه الشوق عرفى  (20-۲۴)، دو قصیده از عرفی (۲۴-۲۷)، قصیده سنجر کاشی (27- 28)، قصیده عرفی (۲۸-۲۹)، قصیده ای از شانی تکلو در مدح حضرت امیر (۲۹-۳۱)، قصیده ای از حسن باستقبال سالم مداح (31- 34)، قصیده ای از شانی تکلو (۳۴-۳۵)، قصیده ای از صفای اصفهـانی (۳۷-۳۵)، قصیده ای از مولانا حسن (۳۷-۴۰ )،قصیده از مولانا اسدی (۴۰-۴۱)، قصیده ای از غباری (۴۱-۴۶)، ترکیب بند ابوتراب بیک (۴۷-۴۹)، ترجیح بند مولانا نظمی (۴۹-۵۱)، اشـعار گوناگون از شعرای متعدد بدون ذکر نام (۵۳-۷۴)، اشعاری مولانا استرآبادی (۷۴-۷۸)، قصیده عرفی (۷۸-۷۹) ،قصیده ای از محمدخان قدسی (۷۹-۸۰)، قصیده ای از طفیل گیلانی (80- 85) ،قصیده ای از فضولی (۸۶)، شعری از مرتضی قلی خان هرات  و واعظ قزوینی و محمد قاسم مشهدی (۸۸)؛ خط: نستعلیق، بی کا، تا: قرن ۱۲ ؛کاغذ: فرنگی ،جلد: تیماج قرمز مقوایی، ۸۹ص،  23 سطر (7</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۲۳/۵سم [ف: ۲ - ۵۲]</w:t>
      </w:r>
    </w:p>
    <w:p>
      <w:pPr>
        <w:pStyle w:val="BookText"/>
      </w:pPr>
      <w:r>
        <w:rPr>
          <w:rFonts w:ascii="IRNazanin" w:hAnsi="IRNazanin" w:eastAsia="IRNazanin" w:cs="IRNazanin"/>
          <w:lang w:bidi="fa-IR"/>
          <w:color w:val="111111"/>
          <w:sz w:val="28"/>
          <w:szCs w:val="28"/>
          <w:rtl/>
        </w:rPr>
        <w:t xml:space="preserve">۵۳۴. قم؛ مرعشی؛ شماره نسخه: ۱۲۶۳۵/۷</w:t>
      </w:r>
    </w:p>
    <w:p>
      <w:pPr>
        <w:pStyle w:val="BookText"/>
      </w:pPr>
      <w:r>
        <w:rPr>
          <w:rFonts w:ascii="IRNazanin" w:hAnsi="IRNazanin" w:eastAsia="IRNazanin" w:cs="IRNazanin"/>
          <w:lang w:bidi="fa-IR"/>
          <w:color w:val="111111"/>
          <w:sz w:val="28"/>
          <w:szCs w:val="28"/>
          <w:rtl/>
        </w:rPr>
        <w:t xml:space="preserve">آغاز: الهی به سر جوش خم الست*** که دارد به لب زوکفی را که هست؛ انجام: اگر چشم زاهد نمی بود شور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به میخانه می بردم او را به زور</w:t>
      </w:r>
    </w:p>
    <w:p>
      <w:pPr>
        <w:pStyle w:val="BookText"/>
      </w:pPr>
      <w:r>
        <w:rPr>
          <w:rFonts w:ascii="IRNazanin" w:hAnsi="IRNazanin" w:eastAsia="IRNazanin" w:cs="IRNazanin"/>
          <w:lang w:bidi="fa-IR"/>
          <w:color w:val="111111"/>
          <w:sz w:val="28"/>
          <w:szCs w:val="28"/>
          <w:rtl/>
        </w:rPr>
        <w:t xml:space="preserve">مثنوی است عرفانی و زیبا حدود ۹۰ بیت، نام ساقی نامه را ما برای این مثنوی برگزیدیم (ساقی نامه نوعی از اشعار عرفانی است در وصف مجالس انس و شرب و ساقی و مطرب و مغنی و می و... و شاعران بسیاری بر این سبک شعر سروده اند، در الذریعة ۱۰۲/۱۲ افزون بر ۱۳۵ ساقی نامه معرفی شده است.) در این مثنوی، بیتی نیز در مدح حضرت امير المؤمنين على بن ابی طالب آمده است. (به شاه نجف ساقی سلسبیل *** که کرده است خمهای گوهر سبیل)، متاسفانه نام دقیق این مثنوی و سراینده آن به دست نیامد؛ خط: شکسته نستعلیق، بی کا، تا: قرن ۱۲؛ رکابه دار ؛تملک: حسین بن حسن رضوی طباطبائی به سال ۱۳۳۵ق و مهر «حسين الرضوى» (بیضی)؛ کاغذ: شرقی، ۳گ (۲۷-۲۹)، مورب،  ۱۴ سطر،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۳۲ - ۱۱۴]</w:t>
      </w:r>
    </w:p>
    <w:p>
      <w:pPr>
        <w:pStyle w:val="BookText"/>
      </w:pPr>
      <w:r>
        <w:rPr>
          <w:rFonts w:ascii="IRNazanin" w:hAnsi="IRNazanin" w:eastAsia="IRNazanin" w:cs="IRNazanin"/>
          <w:lang w:bidi="fa-IR"/>
          <w:color w:val="111111"/>
          <w:sz w:val="28"/>
          <w:szCs w:val="28"/>
          <w:rtl/>
        </w:rPr>
        <w:t xml:space="preserve">۵۳۵. تهران؛ مجلس؛ شماره نسخه: ۱۱۴۶</w:t>
      </w:r>
    </w:p>
    <w:p>
      <w:pPr>
        <w:pStyle w:val="BookText"/>
      </w:pPr>
      <w:r>
        <w:rPr>
          <w:rFonts w:ascii="IRNazanin" w:hAnsi="IRNazanin" w:eastAsia="IRNazanin" w:cs="IRNazanin"/>
          <w:lang w:bidi="fa-IR"/>
          <w:color w:val="111111"/>
          <w:sz w:val="28"/>
          <w:szCs w:val="28"/>
          <w:rtl/>
        </w:rPr>
        <w:t xml:space="preserve">جنگی است از اشعار شاعران [در فهرست شماره صفحات آمده است]: آذری، ابرار «شاه رکن الدین» ابن یمین، اسحن، اسیر ،اسیری، اشرف «سید»، ،اعتبار ،امید ،باذل، بابامیر، بدیعی، بیدل، بینوا، بیسیم ،هندی ،تحسین ،تکلمی، محمد توفيق، ثنائی، احمد جام، عبدالرحمن جامی، عبدالواسع جبلی، جامی، حنفی طوسی، ،خازن ،خالصا، خسرو دهلوی ،رسولی ،رفیع، سرمد، سقا، سعدی، سلمان ساوجی، راجه سوکهون ،شهید ،صائب، صرفی، صیدی، طفیلی ،ظهوری، ظهیر، عاشق، عالم، عراقی، عرفی، عطار، ناصر، علی، غنی، غیرت ،غیور ،فکرت ،قاسم، قصاب، کاتبی، کامل، کشفی، کمال چراری ،لسانی، محتشم ،مخفی، مسکین، مشتاق، ،مغربی ،مفتون، منصور شیرازی ،منظور، مولوی، مهری جبل عاملی ،میلی، محیی الدین ناجی، نظیری، نعیمی، هلالی، هندی ،ابراهیم، یکرنگ .فهرست مطالب ترجيع ها: ترجیع شاه رکن الدین (۱-۱۴)، ترجیع و قسمیه مخفی (۱-۶۰)، ترجیع عالم (۶۱ -۶۷)، ترجیع کشفی موسوم به مجموعه راز به حروف تهجی و در ۲۸ بند مورخ ۱۰۳۰ (۶۷-۸۷)، ترجیع سعدی (۸۷-۹۵)، ترجیع مفتون (۲۴۵) سراپاها: سراپای معشوق: سراپای محمد توفیق (۴۸-۱۷)، سراپای مهری عرب سيد على جبل عاملی (۵۰-۵۸)، واسوخت ها: واسوخت وفا (۹۵-۱۰۰)، واسوخت ملا وحشی (۱۱۱-۱۰۰)، واسوخت مولانا غيرت (۱۱۱-۱۱۹). مستزادها: مستزاد عطار (۱۹۳-۱۹۵)، مستزاد مولوی مستزاد جامی ،(۱۹۹-۲۰۳)، مستزاد ناصر خسرو (۲۰۳-۲۰۴)، قضا و قدرها: قضا و قدر میرزا مشتاق (۲۰۵-۲۲۰)، قضا و قدر (؟) هندی سروده در ۱۰۶۸ (۳۱۳)، استقبال شعرا از یکدیگر: هلالی، جامی، سلمان در صفت صبح دم، شرف الدین منیری در جواب سلمان با ۳ مضمون، آذر در صنعت تجنیس، جبلی ،سپاهانی، منصور شیرازی در جواب سلمان، در صنعت ترخیم، در تربیت چشم، تربیعات از بینوا،در صفت حرف از کواکب، در
</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صفت حرف تهجی از سقا (۴۶۷-۴۸۵)، مخمس ها و مسمطات:اعتبار ،خازن ،جامی ،اسیری ،منظور ،امید ،کامل ،سعدی، خالص، رسولی (۱۶۵-۱۸۱)، مثلث از صرفی (۲۴۸-۲۵۱)، مثمن: حنفی طوسی (۲۵۲-۲۵۶)، تجنیسات لفظی و صنایع شعری: الـف- ترخیم اشاره بسوی مصرع اول ،(۴۷۳)، ب- کلمات از هر طرف خوانده می شود (۴۷۶)، ج- التزام كلمات (۴۷۵)، د- اشـعار سروی (که درخت مانند نوشته می شود) (۴۷۷)، هــ- اشعار در جدول مربع نوشته می شود (۴۷۸)، اشعار مدور که برگرد نوشته و خوانده می شود (۴۷۹)، ز- از هر مصرع حرفی گرفته با حرف وسط ترکیب و خوانده می شود (۴۷۸) ، ح-مثـمن از هر طرف خوانده می شود (۴۸۰)، ط- صنعت حروف تهـجی (۴۸۱)، ی- یک حرف و دو معنی (۴۸۴)، ك- بحر طویل  (۴۸۵) ، ل - تکرار حروف و كلمات (۴۸۱). مثنویات وحکایتها (۴۵۲-۳۱۳): ۱ - حکایت معشوقی که از ترس دزدی که نیمه شـب به</w:t>
      </w:r>
    </w:p>
    <w:p>
      <w:pPr>
        <w:pStyle w:val="BookText"/>
      </w:pPr>
      <w:r>
        <w:rPr>
          <w:rFonts w:ascii="IRNazanin" w:hAnsi="IRNazanin" w:eastAsia="IRNazanin" w:cs="IRNazanin"/>
          <w:lang w:bidi="fa-IR"/>
          <w:color w:val="111111"/>
          <w:sz w:val="28"/>
          <w:szCs w:val="28"/>
          <w:rtl/>
        </w:rPr>
        <w:t xml:space="preserve">آن خانه رفت و زن به آغوش مرد پناه برد و عاشق پس  از سالها به کام دل رسید، ۲- حکایت فرد مسافر و پیشنماز آلوده دامن و عذر بدتر از گناه امام جماعت ،3-حکایت مرد طرار و روستایی ساده و مهمانی و بردن خر و کالای روستایی،4- حکایت جوان نادان و سفر هندوستان، ۵- حکایت خواجه سوداگر و عارف، ۶- حکایت شاه روح و عاشق مفلس، ۶- حکایت قاضی و مفتی و خضاب ریش، ۸- حکایت زاهد و خواب دیدن روز محشر، ۹- حکایت عابد که سحرگاه شاگرد عسس رادر مسجد دید بحال راز و نیاز و حاجت خواستن، 10- حکایت دو نوشته که یکی سوی  شرق و دیگری سوی مغرب میرفت و عجایب، ۱۱- حکایت پادشاه و نخبیرگاه، ۱۲- حکایت روزه داشتن مرد تریاکی، ۱۳- حکایت به حج رفتن مرد سفید و خدا را در خانه خود نیافتن و آزرده شدن، ۱۴- حکایت بازرگان و سفر دریا و کالای او، ۱۵- حکایت مسافرت درویش و همراه شدن او با مار سیاه، ۱۶- حکایت سبک روحی آزادگان و مجلـس عروسی و تأثیر بیتی که مطرب سرود ،۱۷- حکایت دور افتادن پادشاه غزنین در شکارگاه از همراهان، ۱۸- حکایت رگ</w:t>
      </w:r>
    </w:p>
    <w:p>
      <w:pPr>
        <w:pStyle w:val="BookText"/>
      </w:pPr>
      <w:r>
        <w:rPr>
          <w:rFonts w:ascii="IRNazanin" w:hAnsi="IRNazanin" w:eastAsia="IRNazanin" w:cs="IRNazanin"/>
          <w:lang w:bidi="fa-IR"/>
          <w:color w:val="111111"/>
          <w:sz w:val="28"/>
          <w:szCs w:val="28"/>
          <w:rtl/>
        </w:rPr>
        <w:t xml:space="preserve">زدن زلیخا که از خودش نام نقش یوسف و حلاج که از خونش کلمه الله نقش بست و تفصیل آنها، ۱۹- حکایت ماجرای عجـیب عاشقانه که در حضور شاعر به سال ۱۰۶۸ روی داده، 20- حکایت مناجات کردن مردی در نیمه شب و آزردن مردم و همسایگان ،۲۱- حکایت انگور خوردن شخصی با کوری، 22- حکایت سنگ پشت و بط از بیستم هندی، ۲۳ - حکایت صيا و آموختن خنثی از دو طالب علم و بهره بردن از همان یک کـلمه که به شوخی به او گفته بودند، ۲۴-حکایت مفصل دختر پادشا و زرگر طماع و نجار و پایان کار آنان، ۲۵- حکایت شهادت کبک به بیگناهی مسافر، ۲۶- حکایت فرار سلطان زاده و رفاقت سواد گران، ۲۷- حکایت ذونواس شاه و سپردن فرزند خود به پیر جادوگر برای تربیت، ۲۸- حکایت موسی و پیر کافر و قهر او  از خدا و نوازش از او، ۲۹- حکایت بیمار پرخور و گله از کمی اشتها، ۳۰- حکایت دزدی که نیمه شب برای دستبرد به خانه زنی آبستن رفته و روبرو شدن با فرشته و آگاه شدن از سرنوشت کودک، ۳۱- حکایت چهار نفر کور و کل و خصی و بنگی و یار شدن این نابکاران و سرانجام به سزای رسیدن، ۳۲- حکایت زن صاحب جمال و زاهد ریاکار؛ خط: نستعليق هندی، بی کا، تا: قرن ۱۲؛ مجدول؛ کاغذ: سفید و الوان، جلد: تیماج تریاکی، ۲۴۴گ، ۱۹ سطر،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[سنا: ف: ۲-۱۳۵]</w:t>
      </w:r>
    </w:p>
    <w:p>
      <w:pPr>
        <w:pStyle w:val="BookText"/>
      </w:pPr>
      <w:r>
        <w:rPr>
          <w:rFonts w:ascii="IRNazanin" w:hAnsi="IRNazanin" w:eastAsia="IRNazanin" w:cs="IRNazanin"/>
          <w:lang w:bidi="fa-IR"/>
          <w:color w:val="111111"/>
          <w:sz w:val="28"/>
          <w:szCs w:val="28"/>
          <w:rtl/>
        </w:rPr>
        <w:t xml:space="preserve">۵۳۶. قم؛ مرعشی؛ شماره نسخه: ۱۲۶۳۵/۴</w:t>
      </w:r>
    </w:p>
    <w:p>
      <w:pPr>
        <w:pStyle w:val="BookText"/>
      </w:pPr>
      <w:r>
        <w:rPr>
          <w:rFonts w:ascii="IRNazanin" w:hAnsi="IRNazanin" w:eastAsia="IRNazanin" w:cs="IRNazanin"/>
          <w:lang w:bidi="fa-IR"/>
          <w:color w:val="111111"/>
          <w:sz w:val="28"/>
          <w:szCs w:val="28"/>
          <w:rtl/>
        </w:rPr>
        <w:t xml:space="preserve">آغاز: ما تولی به مرتضی کردیم*** جان و دل در رهش فدا  کردیم؛ انجام: ما کجا وصف قدر تو به کجا *** این کجا بود ما کجا کردیم</w:t>
      </w:r>
    </w:p>
    <w:p>
      <w:pPr>
        <w:pStyle w:val="BookText"/>
      </w:pPr>
      <w:r>
        <w:rPr>
          <w:rFonts w:ascii="IRNazanin" w:hAnsi="IRNazanin" w:eastAsia="IRNazanin" w:cs="IRNazanin"/>
          <w:lang w:bidi="fa-IR"/>
          <w:color w:val="111111"/>
          <w:sz w:val="28"/>
          <w:szCs w:val="28"/>
          <w:rtl/>
        </w:rPr>
        <w:t xml:space="preserve">قصیده ای است حدود ۱۰۰ بیت در مدح حضرت علی بن ابی طالب و گزارش سفری است به عتبات عالیات و زیارت امامان معصوم در سرزمین عراق، متأسفانه نامی از این مثنوی و سراینده آن نیافتیم؛ خط: شکسته نستعلیق،بی کا، تا: قرن ۱۲؛ همراه با احادیث و اشعاری فارسی به سال ۱۱۷۴ق و ۱۱۸۶ و ۱۱۸۷ در انجام؛ مهر: حسین بن حسن رضوی طباطبائی با نشان «حسین الرضوى ۱۳۲۰» (بیضی) ؛کاغذ: شرقی، ۳گ (۱۷-۱۹)، (۱۳) سطر مورب،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۳۲ - ۱۱۲]</w:t>
      </w:r>
    </w:p>
    <w:p>
      <w:pPr>
        <w:pStyle w:val="BookText"/>
      </w:pPr>
      <w:r>
        <w:rPr>
          <w:rFonts w:ascii="IRNazanin" w:hAnsi="IRNazanin" w:eastAsia="IRNazanin" w:cs="IRNazanin"/>
          <w:lang w:bidi="fa-IR"/>
          <w:color w:val="111111"/>
          <w:sz w:val="28"/>
          <w:szCs w:val="28"/>
          <w:rtl/>
        </w:rPr>
        <w:t xml:space="preserve">۵۳۷. تهران؛ ملک؛ شماره نسخه: ۴۷۰۹/۹</w:t>
      </w:r>
    </w:p>
    <w:p>
      <w:pPr>
        <w:pStyle w:val="BookText"/>
      </w:pPr>
      <w:r>
        <w:rPr>
          <w:rFonts w:ascii="IRNazanin" w:hAnsi="IRNazanin" w:eastAsia="IRNazanin" w:cs="IRNazanin"/>
          <w:lang w:bidi="fa-IR"/>
          <w:color w:val="111111"/>
          <w:sz w:val="28"/>
          <w:szCs w:val="28"/>
          <w:rtl/>
        </w:rPr>
        <w:t xml:space="preserve">ترجیعات با دیباچه ای به نثر :خط: نستعلیق، بی کا، تا: قرن ۱۲ [ف: 8- 60]</w:t>
      </w:r>
    </w:p>
    <w:p>
      <w:pPr>
        <w:pStyle w:val="BookText"/>
      </w:pPr>
      <w:r>
        <w:rPr>
          <w:rFonts w:ascii="IRNazanin" w:hAnsi="IRNazanin" w:eastAsia="IRNazanin" w:cs="IRNazanin"/>
          <w:lang w:bidi="fa-IR"/>
          <w:color w:val="111111"/>
          <w:sz w:val="28"/>
          <w:szCs w:val="28"/>
          <w:rtl/>
        </w:rPr>
        <w:t xml:space="preserve">۵۳۸. تهران؛ مجلس؛ شماره نسخه: ۱۱۵۱/۴</w:t>
      </w:r>
    </w:p>
    <w:p>
      <w:pPr>
        <w:pStyle w:val="BookText"/>
      </w:pPr>
      <w:r>
        <w:rPr>
          <w:rFonts w:ascii="IRNazanin" w:hAnsi="IRNazanin" w:eastAsia="IRNazanin" w:cs="IRNazanin"/>
          <w:lang w:bidi="fa-IR"/>
          <w:color w:val="111111"/>
          <w:sz w:val="28"/>
          <w:szCs w:val="28"/>
          <w:rtl/>
        </w:rPr>
        <w:t xml:space="preserve">ترجیعات و ترکیبات: سعدی ،جامی، میر مشتاق، میر نظام، مثمن میرزا مفتون، نورالعین واقف؛ خط: نستعلیق چلیپا، بی کا، تا: قرن ۱۲؛ كاغذ: سفید، جلد: تیماج قهوه ای ضربی یک لایی با نقش ترنج، ۸۸ص (۵۴۲-۶۲۹)، ۱۰ سطر دو ستونی [سنا: ف: ۲ - ۱۴۲]</w:t>
      </w:r>
    </w:p>
    <w:p>
      <w:pPr>
        <w:pStyle w:val="BookText"/>
      </w:pPr>
      <w:r>
        <w:rPr>
          <w:rFonts w:ascii="IRNazanin" w:hAnsi="IRNazanin" w:eastAsia="IRNazanin" w:cs="IRNazanin"/>
          <w:lang w:bidi="fa-IR"/>
          <w:color w:val="111111"/>
          <w:sz w:val="28"/>
          <w:szCs w:val="28"/>
          <w:rtl/>
        </w:rPr>
        <w:t xml:space="preserve">۵۳۹. اصفهان؛ صارم الدوله (کتابخانه فرهنگ اصفهان)؛ شماره نسخه:۱۰۵۴</w:t>
      </w:r>
    </w:p>
    <w:p>
      <w:pPr>
        <w:pStyle w:val="BookText"/>
      </w:pPr>
      <w:r>
        <w:rPr>
          <w:rFonts w:ascii="IRNazanin" w:hAnsi="IRNazanin" w:eastAsia="IRNazanin" w:cs="IRNazanin"/>
          <w:lang w:bidi="fa-IR"/>
          <w:color w:val="111111"/>
          <w:sz w:val="28"/>
          <w:szCs w:val="28"/>
          <w:rtl/>
        </w:rPr>
        <w:t xml:space="preserve">آغاز: شدم سیار چون آب روان در جوی مشربها؛ انجام: صبر و  آرام کجا گرد من گردد *** اشنایی نتوان کرد به هر بیگانه</w:t>
      </w:r>
    </w:p>
    <w:p>
      <w:pPr>
        <w:pStyle w:val="BookText"/>
      </w:pPr>
      <w:r>
        <w:rPr>
          <w:rFonts w:ascii="IRNazanin" w:hAnsi="IRNazanin" w:eastAsia="IRNazanin" w:cs="IRNazanin"/>
          <w:lang w:bidi="fa-IR"/>
          <w:color w:val="111111"/>
          <w:sz w:val="28"/>
          <w:szCs w:val="28"/>
          <w:rtl/>
        </w:rPr>
        <w:t xml:space="preserve">اشعاری از: وقاری، باقی افندی، وفائی مصطفی دده بکری، بھائی افندی، ندیمی حبیبی افندی، اخگری افندی، ادیبی زاده، طبعی، محبی و محمد رضا، تا صفحه ۱۸، سپس شروع به التقاط از کتاب «تذكره صادقی» شده که متضمن اشعاری از شاه عباس، شاه اسماعيل، سلطان محمد خدابنده لو و غیره می باشد و در آخر به شیخ فیضی خاتمه می یابد ؛خط: نستعلیق، بی کا، تا: قرن ۱۲؛ جلد: مقوایی، با روکش کاغذ الوان، ۱۵۷ص، ۱۴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 ۱۵۴]</w:t>
      </w:r>
    </w:p>
    <w:p>
      <w:pPr>
        <w:pStyle w:val="BookText"/>
      </w:pPr>
      <w:r>
        <w:rPr>
          <w:rFonts w:ascii="IRNazanin" w:hAnsi="IRNazanin" w:eastAsia="IRNazanin" w:cs="IRNazanin"/>
          <w:lang w:bidi="fa-IR"/>
          <w:color w:val="111111"/>
          <w:sz w:val="28"/>
          <w:szCs w:val="28"/>
          <w:rtl/>
        </w:rPr>
        <w:t xml:space="preserve">۵۴۰. تهران؛ مجلس؛ شماره نسخه: ۱۱۶۲/۱۲-طباطبائی</w:t>
      </w:r>
    </w:p>
    <w:p>
      <w:pPr>
        <w:pStyle w:val="BookText"/>
      </w:pPr>
      <w:r>
        <w:rPr>
          <w:rFonts w:ascii="IRNazanin" w:hAnsi="IRNazanin" w:eastAsia="IRNazanin" w:cs="IRNazanin"/>
          <w:lang w:bidi="fa-IR"/>
          <w:color w:val="111111"/>
          <w:sz w:val="28"/>
          <w:szCs w:val="28"/>
          <w:rtl/>
        </w:rPr>
        <w:t xml:space="preserve">مثنوی ماده تاریخ بنای عمارت شاهی است. از منشات میرزا بدیع الزمان پسر میرزا طاهر نصر آبادی در مدح سلطان حسین صفوی و
</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تاریخ پایان عمارت شاهی این مثنوی ۳۲ بیت است از میرزا بدیع نصر آبادی که هر مصراع آن با عدد ۱۱۱۶ که تاریخ پایان عمارت شاه سلطان حسین صفوی است مطابقت دارد و کنار اشعار نوشته است. شاعر در برخی از ابیات نام خویش (بدیع) را آورده اسـت، در صدر قصیده آمده است: «تاریخ عمارت شاه سلطان حسین از گفته میرزا بدیع نصر آبادی. ز امر باقی رسم عدالت *** بهار جنت آثار ولایت ... / بدیع اینجا گمان درک یقین است *** که اقدس کعبه ایران زمین است»؛ خط: شکسته نستعلیق خوب، کا: آقا نور ابن حاج نقد علی، تا: قرن ۱۲؛ ۲گ (۱۱-۱۲) [ف: ۲۳ - ۶۴۹]</w:t>
      </w:r>
    </w:p>
    <w:p>
      <w:pPr>
        <w:pStyle w:val="BookText"/>
      </w:pPr>
      <w:r>
        <w:rPr>
          <w:rFonts w:ascii="IRNazanin" w:hAnsi="IRNazanin" w:eastAsia="IRNazanin" w:cs="IRNazanin"/>
          <w:lang w:bidi="fa-IR"/>
          <w:color w:val="111111"/>
          <w:sz w:val="28"/>
          <w:szCs w:val="28"/>
          <w:rtl/>
        </w:rPr>
        <w:t xml:space="preserve">۵۴۱ .تهران؛ مفتاح؛ شماره نسخه: ۸۹۵/۳۵</w:t>
      </w:r>
    </w:p>
    <w:p>
      <w:pPr>
        <w:pStyle w:val="BookText"/>
      </w:pPr>
      <w:r>
        <w:rPr>
          <w:rFonts w:ascii="IRNazanin" w:hAnsi="IRNazanin" w:eastAsia="IRNazanin" w:cs="IRNazanin"/>
          <w:lang w:bidi="fa-IR"/>
          <w:color w:val="111111"/>
          <w:sz w:val="28"/>
          <w:szCs w:val="28"/>
          <w:rtl/>
        </w:rPr>
        <w:t xml:space="preserve">اشعاری از: میرزا رستم قندهاری، سرمد، خسرو، شفائی، تقیای لاهیجی، قاضی نور، میرغروی، میر عطاء حكيم، مجتهدی، بنائی ،گیلانی ،عبدالحی، مفیدای ،گیلانی، شاه طاهر دکنی، فکاری، قاسم کاهی ،کلبی ،محوی، وحشی گیلانی، ولی دشت بیاضی، ممتاز شولستانی، محمد قلی بیک سلیم، میرزا جانی غربی ،امیرشاهی ،جامع ،فضیلی ،فتوی، شیخ علی نقی کمره ای، فغانی، نظام دست غیب، باقرای خورده، ملک مشرقی، عرفی، نزاری، حسن بیک رفیع ،اوجی، بدیع تربتی، بدرای مازندرانی، مشفقی، شیدای هندی، الفتی، ملک حیدر صبحی، میرزا سلیمان غیرت کاشانی، طالبای کلیم،خیام، حاجی ابوسعید تروانی، نصیرای همدانی و قاضی نور؛ خط: نستعلیق چلیپا، بی کا، تا: قرن ۱۱ و12؛ مجدول [نشریه: ۷ – ۱۳۶]</w:t>
      </w:r>
    </w:p>
    <w:p>
      <w:pPr>
        <w:pStyle w:val="BookText"/>
      </w:pPr>
      <w:r>
        <w:rPr>
          <w:rFonts w:ascii="IRNazanin" w:hAnsi="IRNazanin" w:eastAsia="IRNazanin" w:cs="IRNazanin"/>
          <w:lang w:bidi="fa-IR"/>
          <w:color w:val="111111"/>
          <w:sz w:val="28"/>
          <w:szCs w:val="28"/>
          <w:rtl/>
        </w:rPr>
        <w:t xml:space="preserve">۵۴۲. تهران؛ مفتاح؛ شماره نسخه: ۷۲۲/۲</w:t>
      </w:r>
    </w:p>
    <w:p>
      <w:pPr>
        <w:pStyle w:val="BookText"/>
      </w:pPr>
      <w:r>
        <w:rPr>
          <w:rFonts w:ascii="IRNazanin" w:hAnsi="IRNazanin" w:eastAsia="IRNazanin" w:cs="IRNazanin"/>
          <w:lang w:bidi="fa-IR"/>
          <w:color w:val="111111"/>
          <w:sz w:val="28"/>
          <w:szCs w:val="28"/>
          <w:rtl/>
        </w:rPr>
        <w:t xml:space="preserve">جنگ شعر است گردآورنده آن باید از مردم هند باشد و از قـرن ۱۲ و ۱۳، از ظفر خان، ملا ملک قمی ،وحید ،محتشم، مير يحـیی کاشی، میرزا نظام دست غیب ،مولانا فهمی کاشی، میر معصوم واعظ ، رضای کاشی، سید امتیاز خان شهید، عارف بلخی ،میر تشبیهی، سحابی نجفی، کامی سبزواری، جامی، آخوند شفیعا، ملا در کی قمی، مانی شیرازی، میر رضی، بازرگان ،ملالی، مخلـص خان، معزز خان جیو، کمال خجند، جعفر تبریزی، بابا فغانی، آصفی، شاه معصوم مشرب، نیازی تبریزی، وقوعی تبریزی، محمود بیک، ملاحاجی محمد، لا اعلم، حكيم فغفورى لاهيجی، طوقی تبریزی، ملانادم لاهیجی، شرف جهان ،شوکت، عبدالعـلی محوی ،اردبیلی ،قاضی یحیی لاهیجی، بندی شیرازی، میرنجات، میرزا علی خان، مسیحای فانی ،تجلی، منصف تهرانی، شانی تکـلو، قدسی، ملا محراب تهرانی ،رشکی، محمد قلی سلیم، نوازش خان رومی، سید امتیاز خان شهید، آخوند شفیعا، میرزا جلال ناصر علی، مولانا سعيد اشرف ،میرزا کاظم، بایا سجایی، بیدی مجنون (۸۷) ، صهبا، حكيم الملك حفظه الله جهت مولانا احـمد (۸۸) مولانا عابد، میرزا علی نقی صاحب، مولانا حاجی محمد، موسوی خان، میرزا محمد حسین قزوینی ،مولانا احمد،مولانا وحشی، از مخزن الاسرار ،بیانی، میر مجتبی، میرزا محمد حسین  سیرتی، سالک یزدی، حکیم رکنا، نوعی خبوشانی، میرزا هادی طبيب، ميرزا محمد باقر داماد، شیخ بهاءالدین محمد عاملی، امیر خسرو، میرزا صائب، شیخ ابوسعید ابوالخير، حكيم محمد تقى صاحب ،نظیری ،خیام ،ملانظیری، مولانا محمد قاسم، حكيم زلالی، خالص، میرزا محمد رفیع واعظ، مير سيد على، سعدی، آخوند مسیحای فسایی، مطلع (۹۸) مولانا حاجی محمد، مومن، آهی (۹۹)، میرزا ابراهیم ادهم، حسن خان شاملو (۱۰۰)، میرزا عبدالقادر تونی، مکتوبی (۱۰۸) ،سحابی، میرزا سعدالدین محمد ،عطار ،ظهوری ،غافل، آقا حسین خوانساری ،آذری ،شوکت، ملاحاجی محمد گیلانی، طالب آملی،آخوند نصیرای همدانی( رقعه به میر معین)، آخوند ملا محمد علی شکیب، محمد مرمن عزی، نظیر مشهدی (۱۱۵) داعی انجدانی (۱۱۵)، فضلی جرپادقانی (۱۱۵) حاجی محمد صادق حلو (۱۱۶)، يوسف خواجه، ملکی ،سرکانی، میرزا صابیا (۱۱۶) عریای (؟) شكر لب (۱۱۶)، میرزا ملک مشرقی، یحیی خان، میر صیدی، شیخ حبیب الله (۱۲۰۹) غنی ،ملاوی، نواب ظفرخان، میرزا محمد باقر پدر شریف امتیاز خان، امیر وصال، علی رضای تجلی، آخوند کاظما ،(۱۲۸) غمزه، میرزا کاظم، حسن قلی بیک، ملامحمد باقر سروش، زیب النساء بیگم ،حافظ، ملک قمی، اوجی (۱۳۳)، نظیری، محمد مقیم آزاد (۱۳۴) رشکی همدانی، میرزا فصیحی، آخوند ملا محمد علی شکیب ،هلالی، اقدس، جسمی همدانی ،(۱۳۶) میرزا نظام میرالهی همدانی، میرزا على نقى صاحب حیرتی، میرزا جانی عزتی، شوکت بخاری، سید امتیاز خان ،ایما، قیدی شیرازی، میرزا ابوالحسن ،فراهانی، میرزا محمد شفیع حاجب ،اشرف، میرزا رضی دانش ،شیخ (۱۴۸)، محمد قلی سلیم، فضولی بغدادی، میرزا عابد جابری، میرزا غريب عرب (۱۵۰) میرزا، ناصح تبریزی (۱۵۰) فوجی نیشابوری (۱۵۱)، مولانا عبد الرحيم ، محرره (۱۵۲) ،زمانا، شفیعای اثر، زماای مشهور، میرزا جلال اسیر، سلطان ابوسعید ابوالخیر، عاملا، شجاع کاشی، نظام استرابادی، میرزا ابراهیم ادهم ،مهجور، نجف قلی بیک، ناظم هروی ،مسیحای خواجه، سید عبدالله خانی، شاه محمد، محمد  علی بیک افسر، محمد سعید اشرف ،باقیا، از بیاض خان صاحب  مهربان مقتدی سخن سنجان میرزا معز فطرت، عرفی، مخلصا (۱۶۳) سعید حکیم ،آخوند یحیای کاشی، احمد یارخان، سرید، میرزا اسماعیل، میرزا محمد حسین در تعریف نامه، میرزا رضی دانش، سلطان علی بیک، حسن خان شاملو، بهجت، حکیم محمد تقی عاملای بلخی (۱۷۳)، مرتضی قلی سلطان، حكيم ميرزا محمد، رشیدی تبریزی ،نجبیا، مسیح الزمان الهی ،بابافغانی، میرزا شريف تجريد (۱۷۹) بهبودی قاسم بیک حالتی، حکیم شفائی، ملاوارسته، محمد مؤمن خان اعتماد الدوله، ابوالفتح يعقوب کشمیری، ناظم هروی، ملاجلال سپهری، ملافیضی،قاسمی کاشی، میر حسن قدسی، میر عبدالوهاب معهودی، ملاقدری، قانعی خیوه ای ،ملا مبارک خان مدهشو، و قاری یزدی، میرهامشی، ملا عبدالله نكهت، ملا محمد صور، حكيم حاذق،
</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خاقانی، میر نصیبی نوربخشی، میرزا جعفر آصف خان تبریزی، میر سید حسین شهید، نورالدین محمد قراری براردر حکیم ابوالفتح، ملا غزالی، میرزا قاسم خلوت نشین، غیرتی شیرازی، موسوی خان، مرتضی قلی خان، میر سید علی مهری، سعد کل (419)، شيخ علاء الدوله سمنانی، حكیم رکنای مسیح، آخوند شفیعای اثر، شیخ فیضی، قاسمی اردستانی، شیخ علی نقی کمره ای، و دشت بیاضی (۴۸) غضنفر کلبادی (۴۸) ؛ خط:نستعلیق، بی کا،تا: قرن ۱۲؛ قطع: ربعی [ نشریه: ۷ - ۲۵۳]</w:t>
      </w:r>
    </w:p>
    <w:p>
      <w:pPr>
        <w:pStyle w:val="BookText"/>
      </w:pPr>
      <w:r>
        <w:rPr>
          <w:rFonts w:ascii="IRNazanin" w:hAnsi="IRNazanin" w:eastAsia="IRNazanin" w:cs="IRNazanin"/>
          <w:lang w:bidi="fa-IR"/>
          <w:color w:val="111111"/>
          <w:sz w:val="28"/>
          <w:szCs w:val="28"/>
          <w:rtl/>
        </w:rPr>
        <w:t xml:space="preserve">۵۴۳. تهران؛ دانشگاه؛ شماره نسخه: ۹۶۶۱/۱</w:t>
      </w:r>
    </w:p>
    <w:p>
      <w:pPr>
        <w:pStyle w:val="BookText"/>
      </w:pPr>
      <w:r>
        <w:rPr>
          <w:rFonts w:ascii="IRNazanin" w:hAnsi="IRNazanin" w:eastAsia="IRNazanin" w:cs="IRNazanin"/>
          <w:lang w:bidi="fa-IR"/>
          <w:color w:val="111111"/>
          <w:sz w:val="28"/>
          <w:szCs w:val="28"/>
          <w:rtl/>
        </w:rPr>
        <w:t xml:space="preserve">آغاز: ای خداوند ایزد دانا *** روح بخشای آدم و حوا / ای ز فیض تو عقلها مدرک*** وی به نور تو دیده ها بینا  قصاید نورس؛ خط: نستعلیق، بی کا، تا: قرن ۱۲؛ افتادگی: انجـام؛ کاغذ: استانبولی ،جلد: تیماج مشکی مقوایی، ۲۲گ (۲پ- ۲۴ پ)، ۱۵ سطر (7</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 ۱۷ - ۴۴۶]</w:t>
      </w:r>
    </w:p>
    <w:p>
      <w:pPr>
        <w:pStyle w:val="BookText"/>
      </w:pPr>
      <w:r>
        <w:rPr>
          <w:rFonts w:ascii="IRNazanin" w:hAnsi="IRNazanin" w:eastAsia="IRNazanin" w:cs="IRNazanin"/>
          <w:lang w:bidi="fa-IR"/>
          <w:color w:val="111111"/>
          <w:sz w:val="28"/>
          <w:szCs w:val="28"/>
          <w:rtl/>
        </w:rPr>
        <w:t xml:space="preserve">۵۴۴. تهران؛ مجلس؛ شماره نسخه: ۵۹۹۶/۴۱</w:t>
      </w:r>
    </w:p>
    <w:p>
      <w:pPr>
        <w:pStyle w:val="BookText"/>
      </w:pPr>
      <w:r>
        <w:rPr>
          <w:rFonts w:ascii="IRNazanin" w:hAnsi="IRNazanin" w:eastAsia="IRNazanin" w:cs="IRNazanin"/>
          <w:lang w:bidi="fa-IR"/>
          <w:color w:val="111111"/>
          <w:sz w:val="28"/>
          <w:szCs w:val="28"/>
          <w:rtl/>
        </w:rPr>
        <w:t xml:space="preserve">قصیده در مدح علی (علیه السّلام) از مولانا امیدی؛ خط: شکسته نستعلیق، بی کا، تا: ۱۰۹۸ یا ۱۱۰۰ق؛ ۵ ص (۱۴۲ - ۱۴۷) [ف: ۱۷-۳۷۵]</w:t>
      </w:r>
    </w:p>
    <w:p>
      <w:pPr>
        <w:pStyle w:val="BookText"/>
      </w:pPr>
      <w:r>
        <w:rPr>
          <w:rFonts w:ascii="IRNazanin" w:hAnsi="IRNazanin" w:eastAsia="IRNazanin" w:cs="IRNazanin"/>
          <w:lang w:bidi="fa-IR"/>
          <w:color w:val="111111"/>
          <w:sz w:val="28"/>
          <w:szCs w:val="28"/>
          <w:rtl/>
        </w:rPr>
        <w:t xml:space="preserve">۵۴۵ .تهران؛ دانشگاه؛ شماره نسخه: ۹۸۱۶</w:t>
      </w:r>
    </w:p>
    <w:p>
      <w:pPr>
        <w:pStyle w:val="BookText"/>
      </w:pPr>
      <w:r>
        <w:rPr>
          <w:rFonts w:ascii="IRNazanin" w:hAnsi="IRNazanin" w:eastAsia="IRNazanin" w:cs="IRNazanin"/>
          <w:lang w:bidi="fa-IR"/>
          <w:color w:val="111111"/>
          <w:sz w:val="28"/>
          <w:szCs w:val="28"/>
          <w:rtl/>
        </w:rPr>
        <w:t xml:space="preserve">از الف تا هاء. املاء آخوند ملا محمد؛ خط: نستعلیق،  بی کا، تا: قـرن۱۲؛ افتادگی: آغاز و انجام؛ کاغذ: بخارایی، جلد: گالینگور، ۲۴گ، ۱۳ سطر (9</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قطع: ربعی،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 ۱۷ - ۴۸۸  ]</w:t>
      </w:r>
    </w:p>
    <w:p>
      <w:pPr>
        <w:pStyle w:val="BookText"/>
      </w:pPr>
      <w:r>
        <w:rPr>
          <w:rFonts w:ascii="IRNazanin" w:hAnsi="IRNazanin" w:eastAsia="IRNazanin" w:cs="IRNazanin"/>
          <w:lang w:bidi="fa-IR"/>
          <w:color w:val="111111"/>
          <w:sz w:val="28"/>
          <w:szCs w:val="28"/>
          <w:rtl/>
        </w:rPr>
        <w:t xml:space="preserve">۵۴۶. تهران؛ مفتاح؛ شماره نسخه: ۷۵۴</w:t>
      </w:r>
    </w:p>
    <w:p>
      <w:pPr>
        <w:pStyle w:val="BookText"/>
      </w:pPr>
      <w:r>
        <w:rPr>
          <w:rFonts w:ascii="IRNazanin" w:hAnsi="IRNazanin" w:eastAsia="IRNazanin" w:cs="IRNazanin"/>
          <w:lang w:bidi="fa-IR"/>
          <w:color w:val="111111"/>
          <w:sz w:val="28"/>
          <w:szCs w:val="28"/>
          <w:rtl/>
        </w:rPr>
        <w:t xml:space="preserve">خط: نستعلیق، بی کا، تا: قرن ۱۲؛ مجدول؛ قطع: بغلی [ نشریه:7- 167]</w:t>
      </w:r>
    </w:p>
    <w:p>
      <w:pPr>
        <w:pStyle w:val="BookText"/>
      </w:pPr>
      <w:r>
        <w:rPr>
          <w:rFonts w:ascii="IRNazanin" w:hAnsi="IRNazanin" w:eastAsia="IRNazanin" w:cs="IRNazanin"/>
          <w:lang w:bidi="fa-IR"/>
          <w:color w:val="111111"/>
          <w:sz w:val="28"/>
          <w:szCs w:val="28"/>
          <w:rtl/>
        </w:rPr>
        <w:t xml:space="preserve">۵۴۷. تهران؛ مفتاح؛ شماره نسخه: ۷۱۶</w:t>
      </w:r>
    </w:p>
    <w:p>
      <w:pPr>
        <w:pStyle w:val="BookText"/>
      </w:pPr>
      <w:r>
        <w:rPr>
          <w:rFonts w:ascii="IRNazanin" w:hAnsi="IRNazanin" w:eastAsia="IRNazanin" w:cs="IRNazanin"/>
          <w:lang w:bidi="fa-IR"/>
          <w:color w:val="111111"/>
          <w:sz w:val="28"/>
          <w:szCs w:val="28"/>
          <w:rtl/>
        </w:rPr>
        <w:t xml:space="preserve">غزل است به ترتیب تهجی؛ خط: نستعلیق هندی، بی کا، تا: قرن11 و ۱۲؛ مجدول، با سرلوح انجام در «یاء» افتاده؛ ۲۱۷گ، قـطع: ربعی [نشریه: ۷ - ۱۶۷]</w:t>
      </w:r>
    </w:p>
    <w:p>
      <w:pPr>
        <w:pStyle w:val="BookText"/>
      </w:pPr>
      <w:r>
        <w:rPr>
          <w:rFonts w:ascii="IRNazanin" w:hAnsi="IRNazanin" w:eastAsia="IRNazanin" w:cs="IRNazanin"/>
          <w:lang w:bidi="fa-IR"/>
          <w:color w:val="111111"/>
          <w:sz w:val="28"/>
          <w:szCs w:val="28"/>
          <w:rtl/>
        </w:rPr>
        <w:t xml:space="preserve">۵۴۸. تهران؛ مجلس؛ شماره نسخه: ۴۸۸/۳</w:t>
      </w:r>
    </w:p>
    <w:p>
      <w:pPr>
        <w:pStyle w:val="BookText"/>
      </w:pPr>
      <w:r>
        <w:rPr>
          <w:rFonts w:ascii="IRNazanin" w:hAnsi="IRNazanin" w:eastAsia="IRNazanin" w:cs="IRNazanin"/>
          <w:lang w:bidi="fa-IR"/>
          <w:color w:val="111111"/>
          <w:sz w:val="28"/>
          <w:szCs w:val="28"/>
          <w:rtl/>
        </w:rPr>
        <w:t xml:space="preserve">با عنوان «مخمس وحدت». درباره علی ابی طالب؛ خط: نستعلیق، بی کا، تا: قرن ۱۲؛ کاغذ ،سفید ،جلد: مقوایی ۸ ص (۴۵-۵۲)،  12سطر (5</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اندازه: 9</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[سنا: ف: ۱ - ۲۸۶]</w:t>
      </w:r>
    </w:p>
    <w:p>
      <w:pPr>
        <w:pStyle w:val="BookText"/>
      </w:pPr>
      <w:r>
        <w:rPr>
          <w:rFonts w:ascii="IRNazanin" w:hAnsi="IRNazanin" w:eastAsia="IRNazanin" w:cs="IRNazanin"/>
          <w:lang w:bidi="fa-IR"/>
          <w:color w:val="111111"/>
          <w:sz w:val="28"/>
          <w:szCs w:val="28"/>
          <w:rtl/>
        </w:rPr>
        <w:t xml:space="preserve">۵۴۹. قم؛ زنجانی( آیة الله)؛ شماره نسخه: ۵۱۸/۲</w:t>
      </w:r>
    </w:p>
    <w:p>
      <w:pPr>
        <w:pStyle w:val="BookText"/>
      </w:pPr>
      <w:r>
        <w:rPr>
          <w:rFonts w:ascii="IRNazanin" w:hAnsi="IRNazanin" w:eastAsia="IRNazanin" w:cs="IRNazanin"/>
          <w:lang w:bidi="fa-IR"/>
          <w:color w:val="111111"/>
          <w:sz w:val="28"/>
          <w:szCs w:val="28"/>
          <w:rtl/>
        </w:rPr>
        <w:t xml:space="preserve">آغاز: خداوندا به فقر راه بنمای</w:t>
      </w:r>
    </w:p>
    <w:p>
      <w:pPr>
        <w:pStyle w:val="BookText"/>
      </w:pPr>
      <w:r>
        <w:rPr>
          <w:rFonts w:ascii="IRNazanin" w:hAnsi="IRNazanin" w:eastAsia="IRNazanin" w:cs="IRNazanin"/>
          <w:lang w:bidi="fa-IR"/>
          <w:color w:val="111111"/>
          <w:sz w:val="28"/>
          <w:szCs w:val="28"/>
          <w:rtl/>
        </w:rPr>
        <w:t xml:space="preserve">منظومه فارسی گویا از باقی شاید سوز و گداز یا قمری و عندلیب او، گویا هم شیرین و خسرو میر جمله؛ خط: نستعلیق، بی کا، تا: قرن ۱۲ [نشریه: ۸ - ۲۳۵]</w:t>
      </w:r>
    </w:p>
    <w:p>
      <w:pPr>
        <w:pStyle w:val="BookText"/>
      </w:pPr>
      <w:r>
        <w:rPr>
          <w:rFonts w:ascii="IRNazanin" w:hAnsi="IRNazanin" w:eastAsia="IRNazanin" w:cs="IRNazanin"/>
          <w:lang w:bidi="fa-IR"/>
          <w:color w:val="111111"/>
          <w:sz w:val="28"/>
          <w:szCs w:val="28"/>
          <w:rtl/>
        </w:rPr>
        <w:t xml:space="preserve">۵۵۰. تهران؛ ملک؛ شماره نسخه: ۴۸۷۷</w:t>
      </w:r>
    </w:p>
    <w:p>
      <w:pPr>
        <w:pStyle w:val="BookText"/>
      </w:pPr>
      <w:r>
        <w:rPr>
          <w:rFonts w:ascii="IRNazanin" w:hAnsi="IRNazanin" w:eastAsia="IRNazanin" w:cs="IRNazanin"/>
          <w:lang w:bidi="fa-IR"/>
          <w:color w:val="111111"/>
          <w:sz w:val="28"/>
          <w:szCs w:val="28"/>
          <w:rtl/>
        </w:rPr>
        <w:t xml:space="preserve">آغاز : سر بياض صبح ای از خط مهرت يكسواد (؟) *** مصـرع حمدت بچشم صفحه میل سرمه داد / نگهت معنی بریحان  رقم بخشیده؛</w:t>
      </w:r>
    </w:p>
    <w:p>
      <w:pPr>
        <w:pStyle w:val="BookText"/>
      </w:pPr>
      <w:r>
        <w:rPr>
          <w:rFonts w:ascii="IRNazanin" w:hAnsi="IRNazanin" w:eastAsia="IRNazanin" w:cs="IRNazanin"/>
          <w:lang w:bidi="fa-IR"/>
          <w:color w:val="111111"/>
          <w:sz w:val="28"/>
          <w:szCs w:val="28"/>
          <w:rtl/>
        </w:rPr>
        <w:t xml:space="preserve">بیاض شعری است از شاعران گوناگون با یک دیباچه به نثر و در آن آمده: قطعه تاریخ بیاض: تو صاحب فتانت چو بود این بیاض *** نیاز پری رنگ ناز پری/ نسیمای دیوانه تاریخ او *** رقم زد «بیاض نیاز پری»؛ خط: نستعلیق و شکسته نستعلیق، بی کا، تا: قرن -۱۲-۱۱؛ این جنگ در دو بخش و از دو کاتب است، بخش یکم نسخه ای است هنری با دو صفحه تمام زرین با دیباچه زرافشان و تمام آن راسته و چلیپا جدول بندی شده، هر بیت شعر در یک جدول هندسی، دو نسخه ای است ساده که به آن الحاق شده؛ کاغذ: نوعی ترمه، جلد: میشن ضربی یشمی، مختلف السطر، اندازه: ۱۰/۲۰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۱۸/۹سم [ف: ۸ - ۱۱۱]</w:t>
      </w:r>
    </w:p>
    <w:p>
      <w:pPr>
        <w:pStyle w:val="BookText"/>
      </w:pPr>
      <w:r>
        <w:rPr>
          <w:rFonts w:ascii="IRNazanin" w:hAnsi="IRNazanin" w:eastAsia="IRNazanin" w:cs="IRNazanin"/>
          <w:lang w:bidi="fa-IR"/>
          <w:color w:val="111111"/>
          <w:sz w:val="28"/>
          <w:szCs w:val="28"/>
          <w:rtl/>
        </w:rPr>
        <w:t xml:space="preserve">551.تهران؛ مجلس؛ شماره نسخه: ۲۳۳۰</w:t>
      </w:r>
    </w:p>
    <w:p>
      <w:pPr>
        <w:pStyle w:val="BookText"/>
      </w:pPr>
      <w:r>
        <w:rPr>
          <w:rFonts w:ascii="IRNazanin" w:hAnsi="IRNazanin" w:eastAsia="IRNazanin" w:cs="IRNazanin"/>
          <w:lang w:bidi="fa-IR"/>
          <w:color w:val="111111"/>
          <w:sz w:val="28"/>
          <w:szCs w:val="28"/>
          <w:rtl/>
        </w:rPr>
        <w:t xml:space="preserve">آغاز: زنهار عرضه ده بر جانان پیام ما *** گونام ما زیاد بعمدا چه میبری ؛ انجام: برای نعمت دنیا که خاک بر سر آن *** منه ز منت  هر سفله بار بر گردن</w:t>
      </w:r>
    </w:p>
    <w:p>
      <w:pPr>
        <w:pStyle w:val="BookText"/>
      </w:pPr>
      <w:r>
        <w:rPr>
          <w:rFonts w:ascii="IRNazanin" w:hAnsi="IRNazanin" w:eastAsia="IRNazanin" w:cs="IRNazanin"/>
          <w:lang w:bidi="fa-IR"/>
          <w:color w:val="111111"/>
          <w:sz w:val="28"/>
          <w:szCs w:val="28"/>
          <w:rtl/>
        </w:rPr>
        <w:t xml:space="preserve">شامل منتخبی از غزلیات حافظ ( ص 1- 80) ، و جامی (۸۱-۱۷۴)؛ خط: نستعلیق خوش، بی کا، تا: قرن ۱۲؛ افتادگی: آغاز و انجام؛ مجدول، بعضی صفحه ها چلیپا؛ کاغذ: فرنگی ، جلد : تيماج قهوه ای ترنج و نیم ترنج منگنه ،۱۷۴ص، ۹ سطر متن و یک سطر حاشیه، اندازه: 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۹سم [ف: ۸ - ۳۷]</w:t>
      </w:r>
    </w:p>
    <w:p>
      <w:pPr>
        <w:pStyle w:val="BookText"/>
      </w:pPr>
      <w:r>
        <w:rPr>
          <w:rFonts w:ascii="IRNazanin" w:hAnsi="IRNazanin" w:eastAsia="IRNazanin" w:cs="IRNazanin"/>
          <w:lang w:bidi="fa-IR"/>
          <w:color w:val="111111"/>
          <w:sz w:val="28"/>
          <w:szCs w:val="28"/>
          <w:rtl/>
        </w:rPr>
        <w:t xml:space="preserve">۵۵۲. تهران؛ مجلس؛ شماره نسخه: ۲۳۳۱</w:t>
      </w:r>
    </w:p>
    <w:p>
      <w:pPr>
        <w:pStyle w:val="BookText"/>
      </w:pPr>
      <w:r>
        <w:rPr>
          <w:rFonts w:ascii="IRNazanin" w:hAnsi="IRNazanin" w:eastAsia="IRNazanin" w:cs="IRNazanin"/>
          <w:lang w:bidi="fa-IR"/>
          <w:color w:val="111111"/>
          <w:sz w:val="28"/>
          <w:szCs w:val="28"/>
          <w:rtl/>
        </w:rPr>
        <w:t xml:space="preserve">آغاز: باز برخاست نسیم از شکن زلف یار *** نو عروسان چمن را شده برگ آینه دار؛ انجام: ما آینه ایم و هر که در ما نگرد *** هر نیک و بدی که بیند از خود بیند</w:t>
      </w:r>
    </w:p>
    <w:p>
      <w:pPr>
        <w:pStyle w:val="BookText"/>
      </w:pPr>
      <w:r>
        <w:rPr>
          <w:rFonts w:ascii="IRNazanin" w:hAnsi="IRNazanin" w:eastAsia="IRNazanin" w:cs="IRNazanin"/>
          <w:lang w:bidi="fa-IR"/>
          <w:color w:val="111111"/>
          <w:sz w:val="28"/>
          <w:szCs w:val="28"/>
          <w:rtl/>
        </w:rPr>
        <w:t xml:space="preserve">شامل:پنج قصیده در وصف بهار و طبیعت و دستار و چندین قطعه  و غزل و رباعی در ۷۵۰ بیت که اغلب از شعرای قرن ۱۱ و ۱۲ است (۱-۶۲)، دیباچه دیوان نصیر، ۸ قصیده، دو ترجیع بند، وچندین قطعه و غزل و رباعی از نصیر در حدود ۶۰۰ بیت (۶۵-  118)، ۱۱ قصیده، دو ترجیع بند، دو ساقی نامه و چندین قطعه و غزل و ربعی از سلیم در ۱۲۰۰ بیت (۲۶۳-۳۶۹)، دو قصیده و یک ترجیع بند و یک مثنوی از ابو تراب بیک جوشقانی در ۳۴۰ بیت ( ۳۹۳-۳۷۰)؛ ۳۷۰ رباعی از مؤمن یزدی (۳۹۴-۴۶۸)، ۲۷۸ رباعی از میر مغیث محوی همدانی (۴۶۹-۵۲۵)، ۱۵۰ رباعی از عارف؛ خط: نستعلیق، بی کا، تا: قرن ۱۲؛ افتادگی: انجام؛ مجدول، مذهب، با سرلوح مذهب مرصع کارهند؛ کاغذ: سمرقندی، جلد: تیماج سیاه ضربی، ۵۵۶ ص، ۱۵ سطر (۷/۵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 اندازه: ۱۳</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۲۳سم [ف: ۸ - ۳۸]</w:t>
      </w:r>
    </w:p>
    <w:p>
      <w:pPr>
        <w:pStyle w:val="BookText"/>
      </w:pPr>
      <w:r>
        <w:rPr>
          <w:rFonts w:ascii="IRNazanin" w:hAnsi="IRNazanin" w:eastAsia="IRNazanin" w:cs="IRNazanin"/>
          <w:lang w:bidi="fa-IR"/>
          <w:color w:val="111111"/>
          <w:sz w:val="28"/>
          <w:szCs w:val="28"/>
          <w:rtl/>
        </w:rPr>
        <w:t xml:space="preserve">۵۵۳. تهران؛ ادبیات؛ شماره نسخه: ۱۴۳ حکمت</w:t>
      </w:r>
    </w:p>
    <w:p>
      <w:pPr>
        <w:pStyle w:val="BookText"/>
      </w:pPr>
      <w:r>
        <w:rPr>
          <w:rFonts w:ascii="IRNazanin" w:hAnsi="IRNazanin" w:eastAsia="IRNazanin" w:cs="IRNazanin"/>
          <w:lang w:bidi="fa-IR"/>
          <w:color w:val="111111"/>
          <w:sz w:val="28"/>
          <w:szCs w:val="28"/>
          <w:rtl/>
        </w:rPr>
        <w:t xml:space="preserve">شعرهای عطار، سعدی، و قاسم انوار؛ خط: نستعلیق، بی کا، تا: قرن ۱۲، مجدول؛ جلد: مقوا عطف تیماج یشمی، قطع: ربعی [ف: ۲-۱۱]</w:t>
      </w:r>
    </w:p>
    <w:p>
      <w:pPr>
        <w:pStyle w:val="BookText"/>
      </w:pPr>
      <w:r>
        <w:rPr>
          <w:rFonts w:ascii="IRNazanin" w:hAnsi="IRNazanin" w:eastAsia="IRNazanin" w:cs="IRNazanin"/>
          <w:lang w:bidi="fa-IR"/>
          <w:color w:val="111111"/>
          <w:sz w:val="28"/>
          <w:szCs w:val="28"/>
          <w:rtl/>
        </w:rPr>
        <w:t xml:space="preserve">۵۵۴. تهران؛ ادبیات؛ شماره نسخه: ۷۸ ـ ب</w:t>
      </w:r>
    </w:p>
    <w:p>
      <w:pPr>
        <w:pStyle w:val="BookText"/>
      </w:pPr>
      <w:r>
        <w:rPr>
          <w:rFonts w:ascii="IRNazanin" w:hAnsi="IRNazanin" w:eastAsia="IRNazanin" w:cs="IRNazanin"/>
          <w:lang w:bidi="fa-IR"/>
          <w:color w:val="111111"/>
          <w:sz w:val="28"/>
          <w:szCs w:val="28"/>
          <w:rtl/>
        </w:rPr>
        <w:t xml:space="preserve">آغاز: عاشق اصفهانی: تاجر عشقم بكف *** مايه وسودم وفا/ تا که شود مشتری *** تا چه دهد دربها؛ انجام: در عاشقی خویش مرا شهره شهر *** دانستی و ای کاش نمیدانستی</w:t>
      </w:r>
    </w:p>
    <w:p>
      <w:pPr>
        <w:pStyle w:val="BookText"/>
      </w:pPr>
      <w:r>
        <w:rPr>
          <w:rFonts w:ascii="IRNazanin" w:hAnsi="IRNazanin" w:eastAsia="IRNazanin" w:cs="IRNazanin"/>
          <w:lang w:bidi="fa-IR"/>
          <w:color w:val="111111"/>
          <w:sz w:val="28"/>
          <w:szCs w:val="28"/>
          <w:rtl/>
        </w:rPr>
        <w:t xml:space="preserve">نخست غزل ها و سپس رباعی های: امیر خسرو دهلوی، حافظ، ،رفیع، آذر بیگدلی شاملو، آقا حسین و معصوم کاشی، صهبای  قمی، مقتصدی و بسیاری از شاعران قرن ۱۱؛ خط: نستعلیق، بی کا،
</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قرن ۱۲؛ در متن و هامش؛ کاغذ: فرنگی،جلد: تیماج قهوه ای،۱۶۴گ، ۱۶ سطر (۲۷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۳۰سم [ف: ۱ - ۱۵۸]</w:t>
      </w:r>
    </w:p>
    <w:p>
      <w:pPr>
        <w:pStyle w:val="BookText"/>
      </w:pPr>
      <w:r>
        <w:rPr>
          <w:rFonts w:ascii="IRNazanin" w:hAnsi="IRNazanin" w:eastAsia="IRNazanin" w:cs="IRNazanin"/>
          <w:lang w:bidi="fa-IR"/>
          <w:color w:val="111111"/>
          <w:sz w:val="28"/>
          <w:szCs w:val="28"/>
          <w:rtl/>
        </w:rPr>
        <w:t xml:space="preserve">۵۵۵. تهران؛ ادبیات؛ شماره نسخه: ۳۴ ـ د</w:t>
      </w:r>
    </w:p>
    <w:p>
      <w:pPr>
        <w:pStyle w:val="BookText"/>
      </w:pPr>
      <w:r>
        <w:rPr>
          <w:rFonts w:ascii="IRNazanin" w:hAnsi="IRNazanin" w:eastAsia="IRNazanin" w:cs="IRNazanin"/>
          <w:lang w:bidi="fa-IR"/>
          <w:color w:val="111111"/>
          <w:sz w:val="28"/>
          <w:szCs w:val="28"/>
          <w:rtl/>
        </w:rPr>
        <w:t xml:space="preserve">شعرهای شیخ رجب حریری ،منقاری، ابوبکر عمری، صفی حلی، محمد عبدالوهاب اندلسی و سموئل بن عاديا؛ خط: نسخ، بی کا، تا: قرن ۱۲؛ تاریخ ۱۲۴۹ در بالای صفحه یکم؛ کاغذ: فرنگی، جـلد: مقوا، ۵۲گ، ۱۳ سطر (۸/۵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۱ - 172]</w:t>
      </w:r>
    </w:p>
    <w:p>
      <w:pPr>
        <w:pStyle w:val="BookText"/>
      </w:pPr>
      <w:r>
        <w:rPr>
          <w:rFonts w:ascii="IRNazanin" w:hAnsi="IRNazanin" w:eastAsia="IRNazanin" w:cs="IRNazanin"/>
          <w:lang w:bidi="fa-IR"/>
          <w:color w:val="111111"/>
          <w:sz w:val="28"/>
          <w:szCs w:val="28"/>
          <w:rtl/>
        </w:rPr>
        <w:t xml:space="preserve">۵۵۶. تهران؛ دانشگاه؛ شماره نسخه: ۴۲۱۸</w:t>
      </w:r>
    </w:p>
    <w:p>
      <w:pPr>
        <w:pStyle w:val="BookText"/>
      </w:pPr>
      <w:r>
        <w:rPr>
          <w:rFonts w:ascii="IRNazanin" w:hAnsi="IRNazanin" w:eastAsia="IRNazanin" w:cs="IRNazanin"/>
          <w:lang w:bidi="fa-IR"/>
          <w:color w:val="111111"/>
          <w:sz w:val="28"/>
          <w:szCs w:val="28"/>
          <w:rtl/>
        </w:rPr>
        <w:t xml:space="preserve">آغاز: فصل اول در استغنا: دری که هست بدست رقیب مفتاح*** روا بود که نباشد بروی ما مفتوح</w:t>
      </w:r>
    </w:p>
    <w:p>
      <w:pPr>
        <w:pStyle w:val="BookText"/>
      </w:pPr>
      <w:r>
        <w:rPr>
          <w:rFonts w:ascii="IRNazanin" w:hAnsi="IRNazanin" w:eastAsia="IRNazanin" w:cs="IRNazanin"/>
          <w:lang w:bidi="fa-IR"/>
          <w:color w:val="111111"/>
          <w:sz w:val="28"/>
          <w:szCs w:val="28"/>
          <w:rtl/>
        </w:rPr>
        <w:t xml:space="preserve">فهرست موضوعات در آغاز نسخه هست و تا عنوان «فصل هشـتاد و چهارم در وفا» را دارد، شعرهای شعرای فارسی زبان است ۹۰ فصل به ترتیب تهجی، موضوعات از «استغنا» تا «یغما و غارت»؛ خط: نستعلیق، بی کا، تا: قرن ۱۲؛ در متن و هامش، مجدول،با سرلوح؛ کاغذ: فرنگی، جلد: تیماج تریاکی ضربی، ۸۱گ، سطر (7</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قطع: بیاضی، اندازه: ۱۰</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۱۷سم [ف : ۱۳ - ۳۱۹۳]</w:t>
      </w:r>
    </w:p>
    <w:p>
      <w:pPr>
        <w:pStyle w:val="BookText"/>
      </w:pPr>
      <w:r>
        <w:rPr>
          <w:rFonts w:ascii="IRNazanin" w:hAnsi="IRNazanin" w:eastAsia="IRNazanin" w:cs="IRNazanin"/>
          <w:lang w:bidi="fa-IR"/>
          <w:color w:val="111111"/>
          <w:sz w:val="28"/>
          <w:szCs w:val="28"/>
          <w:rtl/>
        </w:rPr>
        <w:t xml:space="preserve">۵۵۷. تهران؛ دانشگاه؛ شماره نسخه: ۴۰۶۸</w:t>
      </w:r>
    </w:p>
    <w:p>
      <w:pPr>
        <w:pStyle w:val="BookText"/>
      </w:pPr>
      <w:r>
        <w:rPr>
          <w:rFonts w:ascii="IRNazanin" w:hAnsi="IRNazanin" w:eastAsia="IRNazanin" w:cs="IRNazanin"/>
          <w:lang w:bidi="fa-IR"/>
          <w:color w:val="111111"/>
          <w:sz w:val="28"/>
          <w:szCs w:val="28"/>
          <w:rtl/>
        </w:rPr>
        <w:t xml:space="preserve">شعرهای سرایندگان فارسی است به ترتیب تهجی مانند: ابو الفرج، نظیری، طبیب ،سپاهانی ،عرفی، عصمت بخارایی ،انوری، سنایی، ابو العلی گنجه ای، عبدالواسع جبلی، جمال الدین عبدالرزاق سپاهانی، ظهیر فاریابی، حسن دهلوی، مشتاق سپاهانی، طوفان هزار جریبی مازندرانی، عاشق سپاهانی، فدایی کرمانی، بدخـشی بدخشانی، قاضی شمس الدین طبیب، آذر بیگدلی، سلمان ساوجی ،میلی ترک ،امید، بنائی هروی، شعله سپاهانی، عمعق بخارایی، ادیب صابر ترمذی بدخشانی ،قطران تبریزی، سوزنی سمرقندی، مجد الدین شیرازی، معزی سمرقندی، اشرفی سمرقندی، طفیلی جلایر، سیف الدین اسفرنگ، شاپور تهرانی، اثیرالدین اخسیکشی، خبازی نیشابوری، مجیر الدین بیلقانی، اثیر الدین اومانی همدانی، مجدالدین همگر شیرازی، فریدالدین احول سپاهانی، عارف تهرانی، وطواط بلخی، کمال اسماعیل سپاهانی، جلال الدین درکانی، سید حسن غزنوی، اثیر الدین فاریابی، فلکی شیروانی، اوحدی مراغه ای انسی جنابدی، شرف الدین سپاهانی، محتشم کاشانی، سعدی شیرازی، جنانی کرمانی، عمادی شهریاری، نجم الدین رازی، طالب آملی، اغاجی بخارایی، قاضی نور سپاهانی، مختاری غزنوی، اشهری نیشابوری، رودکی بخارایی، سیفی نیشابوری، نسخه از نیمه های حرف الـف است تا نیمه های حرف راء و غزل است و قطعه و قصیده و برای سنجیدن سبک شاعران بسیار سودمند؛ خط:نستعلیق، بی کا، قرن ۱۲؛ افتادگی: آغاز و انجام؛ کاغذ: سپاهانی متن نخودی حاشیه سفید، جلد: تیماج مشکی  مقوایی، ۳۲گ، ۱۲ سـطر   (7</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 ۱۳ - ۳۰۵۱]</w:t>
      </w:r>
    </w:p>
    <w:p>
      <w:pPr>
        <w:pStyle w:val="BookText"/>
      </w:pPr>
      <w:r>
        <w:rPr>
          <w:rFonts w:ascii="IRNazanin" w:hAnsi="IRNazanin" w:eastAsia="IRNazanin" w:cs="IRNazanin"/>
          <w:lang w:bidi="fa-IR"/>
          <w:color w:val="111111"/>
          <w:sz w:val="28"/>
          <w:szCs w:val="28"/>
          <w:rtl/>
        </w:rPr>
        <w:t xml:space="preserve">۵۵۸. تهران؛ دانشگاه؛ شماره نسخه: ۳۳۴۵/۲</w:t>
      </w:r>
    </w:p>
    <w:p>
      <w:pPr>
        <w:pStyle w:val="BookText"/>
      </w:pPr>
      <w:r>
        <w:rPr>
          <w:rFonts w:ascii="IRNazanin" w:hAnsi="IRNazanin" w:eastAsia="IRNazanin" w:cs="IRNazanin"/>
          <w:lang w:bidi="fa-IR"/>
          <w:color w:val="111111"/>
          <w:sz w:val="28"/>
          <w:szCs w:val="28"/>
          <w:rtl/>
        </w:rPr>
        <w:t xml:space="preserve">اشعاری از [در فهرست شمار صفحات موجود است]: آهـی، اسحاقی ،امری ،امیدی ،بدیعی ،بهشتی ،ثانی ،جلالی، جمالی به خط خود او با عنوان «المحرره»، حیرتی، خاوری ،خیالی ،ذاتی ،رمزی ،روانی، ... سری، سلیمی ،سیرتی ،شعیبا ،شمسی، صادق، عبیدی ،عذاری ،علوی ،عمروی ،فغانی کاتبی، کریمی، مهری ،نجاتی ،نوعی ،نهانی، یوسف؛ خط: نستعلیق، بی کا، تا: قرن ۱۲؛ کاغذ: استنبولی، جلد: تیماج تریاکی، ۸۵گ (۹/۸-۱۸/۳)، ۱۵ سطر ،(7</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۱۱ - ۲۳۳۹]</w:t>
      </w:r>
    </w:p>
    <w:p>
      <w:pPr>
        <w:pStyle w:val="BookText"/>
      </w:pPr>
      <w:r>
        <w:rPr>
          <w:rFonts w:ascii="IRNazanin" w:hAnsi="IRNazanin" w:eastAsia="IRNazanin" w:cs="IRNazanin"/>
          <w:lang w:bidi="fa-IR"/>
          <w:color w:val="111111"/>
          <w:sz w:val="28"/>
          <w:szCs w:val="28"/>
          <w:rtl/>
        </w:rPr>
        <w:t xml:space="preserve">۵۵۹. تهران؛ دانشگاه؛ شماره نسخه: ۲۹۲۵</w:t>
      </w:r>
    </w:p>
    <w:p>
      <w:pPr>
        <w:pStyle w:val="BookText"/>
      </w:pPr>
      <w:r>
        <w:rPr>
          <w:rFonts w:ascii="IRNazanin" w:hAnsi="IRNazanin" w:eastAsia="IRNazanin" w:cs="IRNazanin"/>
          <w:lang w:bidi="fa-IR"/>
          <w:color w:val="111111"/>
          <w:sz w:val="28"/>
          <w:szCs w:val="28"/>
          <w:rtl/>
        </w:rPr>
        <w:t xml:space="preserve">آغاز: دودی که از مطبخ جود تو برآرد *** آماده تر از ابر بود زادن نم را؛ انجام: هرگز نرسد از تو دل من بنوازش *** یا عادت خوبان نبود بنده نوازی</w:t>
      </w:r>
    </w:p>
    <w:p>
      <w:pPr>
        <w:pStyle w:val="BookText"/>
      </w:pPr>
      <w:r>
        <w:rPr>
          <w:rFonts w:ascii="IRNazanin" w:hAnsi="IRNazanin" w:eastAsia="IRNazanin" w:cs="IRNazanin"/>
          <w:lang w:bidi="fa-IR"/>
          <w:color w:val="111111"/>
          <w:sz w:val="28"/>
          <w:szCs w:val="28"/>
          <w:rtl/>
        </w:rPr>
        <w:t xml:space="preserve">شعرهایی است از سرایندگان فارسی به یک قافیه از الف تا یا و نام شاعران در دو طرف صفحه آمده است و بسیار جنگ سودمندی است؛ خط: نستعلیق خوش، بی کا، تا: قرن ۱۲؛ افتادگی: آغاز و انجام؛مجدول؛ کاغذ: سپاهانی آهار مهره، جلد: تیماج تریاکی تیره مقوایی عطف مشکی، ۱۰۰گ، ۱۹ سطر (7/5</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۲۶سم [ف: ۱۰ - ۱۷۸۴]</w:t>
      </w:r>
    </w:p>
    <w:p>
      <w:pPr>
        <w:pStyle w:val="BookText"/>
      </w:pPr>
      <w:r>
        <w:rPr>
          <w:rFonts w:ascii="IRNazanin" w:hAnsi="IRNazanin" w:eastAsia="IRNazanin" w:cs="IRNazanin"/>
          <w:lang w:bidi="fa-IR"/>
          <w:color w:val="111111"/>
          <w:sz w:val="28"/>
          <w:szCs w:val="28"/>
          <w:rtl/>
        </w:rPr>
        <w:t xml:space="preserve">۵۶۰. تهران؛ دانشگاه؛ شماره نسخه: ۵۴۱۴</w:t>
      </w:r>
    </w:p>
    <w:p>
      <w:pPr>
        <w:pStyle w:val="BookText"/>
      </w:pPr>
      <w:r>
        <w:rPr>
          <w:rFonts w:ascii="IRNazanin" w:hAnsi="IRNazanin" w:eastAsia="IRNazanin" w:cs="IRNazanin"/>
          <w:lang w:bidi="fa-IR"/>
          <w:color w:val="111111"/>
          <w:sz w:val="28"/>
          <w:szCs w:val="28"/>
          <w:rtl/>
        </w:rPr>
        <w:t xml:space="preserve">شعرهای فارسی: على رضا تجلى (معراج الخيال)، لمحرره، خليفه سلطان، میر نجات، قصاب ،محتشم ،مولوی، عرفی، اهلی، فغانی، شوکت میرزا ناصر علی ،صایب ،خسرو ،واعظ، اسیر، ساجد، اشرف خان؛ خط: نستعلیق، بی کا، تا: قرن ۱۲؛ افتادگی: آغاز و انجام؛ مجدول؛ کاغذ: سپاهانی، جلد: تیماج مشکی، ۷۰گ، ۱۱ سطر چلیپای دوستونی، قطع: بیاضی، اندازه: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۱۶ – ۴]</w:t>
      </w:r>
    </w:p>
    <w:p>
      <w:pPr>
        <w:pStyle w:val="BookText"/>
      </w:pPr>
      <w:r>
        <w:rPr>
          <w:rFonts w:ascii="IRNazanin" w:hAnsi="IRNazanin" w:eastAsia="IRNazanin" w:cs="IRNazanin"/>
          <w:lang w:bidi="fa-IR"/>
          <w:color w:val="111111"/>
          <w:sz w:val="28"/>
          <w:szCs w:val="28"/>
          <w:rtl/>
        </w:rPr>
        <w:t xml:space="preserve">۵۶۱. تهران؛ دانشگاه؛ شماره نسخه: ۳۸۳۱</w:t>
      </w:r>
    </w:p>
    <w:p>
      <w:pPr>
        <w:pStyle w:val="BookText"/>
      </w:pPr>
      <w:r>
        <w:rPr>
          <w:rFonts w:ascii="IRNazanin" w:hAnsi="IRNazanin" w:eastAsia="IRNazanin" w:cs="IRNazanin"/>
          <w:lang w:bidi="fa-IR"/>
          <w:color w:val="111111"/>
          <w:sz w:val="28"/>
          <w:szCs w:val="28"/>
          <w:rtl/>
        </w:rPr>
        <w:t xml:space="preserve">آغاز: ترجمه قصیده حمیری: بسمله. شرح قصیده سید اسماعیل حمیری در شان حضرت امیرالمؤمنين. بسمله. حمدله ... این رساله در بیان دو حدیث که دلالت می کند بر فضیلت سید اسمعیل حمیری و حفظ کردن قصیده او که مترجم آن .... محمد رضا بن میرزا محمد بن محمد رضا بن اسماعيل القمى الاصل المشهد مولدا و مسكنا ...  لام عمر باللوى مربع *** طامسة اعلامه بلقع / داشت جایی ام عمر اندرلوی *** مانده آثار کهن از... (پاره شده)؛ انجام: الحميرى ماد حكم لم يزل *** ولو تقطع اصبعا  اصبع / حمیری مدح شما گوید مدام ***گر کنند انگشت از انگشتش جدا</w:t>
      </w:r>
    </w:p>
    <w:p>
      <w:pPr>
        <w:pStyle w:val="BookText"/>
      </w:pPr>
      <w:r>
        <w:rPr>
          <w:rFonts w:ascii="IRNazanin" w:hAnsi="IRNazanin" w:eastAsia="IRNazanin" w:cs="IRNazanin"/>
          <w:lang w:bidi="fa-IR"/>
          <w:color w:val="111111"/>
          <w:sz w:val="28"/>
          <w:szCs w:val="28"/>
          <w:rtl/>
        </w:rPr>
        <w:t xml:space="preserve">شعرهای فارسی این سرایندگان است طوفان هزار جریبی ۵،میر حاج ۱۷، محمد رضای قمی مشهدی در ترجمه منظوم قصیده حمیری ۱۸، میرزا داود متولی ۲۸، محتشم کاشی ۲۹، حیرتی33، شانی تکلو ۴۸، کمال اسمعیل ۵۱، ابن حسام ۵۸، نظام استرابادی ۶۱، جامی ۶۳، میر نورالدین محمد کاشی نجیب تخلص ۷۰، شیخ بهایی ۷۳، مولانا جفاکش ۷۸، امتی ۷۹، عرفی ۸۳، مولانا ناسخ شیرازی ۹۰، مولانا والی ۱۱۷، مولانا وحدت به خط محمد حسین بن عبدالحمید حاجی مورخ سنه ۱۱۹ ،میرزا محمد حسین صاحب
</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رقم متخلص به حسن ۱۷۷ تا ۱۹۴ و ۱۳۳، مفلوک تبریزی 146، مولانا لسانی ۱۴۷، ملا وارسته، حشری ۱۵۸ ، جوهری ۱۶۰ ، قدسی ۱۹۴، میرزا طاهر وحید ۲۰۳، راقم مشهدی سعدالدین محمد 202، زاهد تبریزی میرزا قاسم ۲۰۳، نقی کمره ای ۲۰۷، میر فتاح مراغه (قیامت نامه به ترکی) ۲۱۰؛ خط: نسخ و نستعلیق، بی کا، تا: قرن ١٢؛ كاغذ: فرنگی ،جلد: تیماج مشکی ضربی، ۱۱۰گ، سطور چلیپا، ابعاد متن: (8</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۱۱</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۱۷سم [ف : ۱۲ - ۲۸۱۶]</w:t>
      </w:r>
    </w:p>
    <w:p>
      <w:pPr>
        <w:pStyle w:val="BookText"/>
      </w:pPr>
      <w:r>
        <w:rPr>
          <w:rFonts w:ascii="IRNazanin" w:hAnsi="IRNazanin" w:eastAsia="IRNazanin" w:cs="IRNazanin"/>
          <w:lang w:bidi="fa-IR"/>
          <w:color w:val="111111"/>
          <w:sz w:val="28"/>
          <w:szCs w:val="28"/>
          <w:rtl/>
        </w:rPr>
        <w:t xml:space="preserve">۵۶۲. تهران؛ دانشگاه؛ شماره نسخه: ۸۳۷۶</w:t>
      </w:r>
    </w:p>
    <w:p>
      <w:pPr>
        <w:pStyle w:val="BookText"/>
      </w:pPr>
      <w:r>
        <w:rPr>
          <w:rFonts w:ascii="IRNazanin" w:hAnsi="IRNazanin" w:eastAsia="IRNazanin" w:cs="IRNazanin"/>
          <w:lang w:bidi="fa-IR"/>
          <w:color w:val="111111"/>
          <w:sz w:val="28"/>
          <w:szCs w:val="28"/>
          <w:rtl/>
        </w:rPr>
        <w:t xml:space="preserve">شامل: ۱- رباعیات است به ترتیب تهجی (در متن و هامش)،2- اشعار شعرای فارسی با نام آنها به ترتیب تهجی؛ خط: نستعلیق، بی کا، تا: قرن ۱۲؛ افتادگی: آغاز و انجام؛ در متن و هامش، مجدول ؛کاغذ: سپاهانی ،جلد: تیماج سبز تیره ضربی مقوای ،بغلی ،۸۹گ، ۹ سطر ،(۹/۵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۱۷ - 125]</w:t>
      </w:r>
    </w:p>
    <w:p>
      <w:pPr>
        <w:pStyle w:val="BookText"/>
      </w:pPr>
      <w:r>
        <w:rPr>
          <w:rFonts w:ascii="IRNazanin" w:hAnsi="IRNazanin" w:eastAsia="IRNazanin" w:cs="IRNazanin"/>
          <w:lang w:bidi="fa-IR"/>
          <w:color w:val="111111"/>
          <w:sz w:val="28"/>
          <w:szCs w:val="28"/>
          <w:rtl/>
        </w:rPr>
        <w:t xml:space="preserve">۵۶۳. تهران؛ دانشگاه؛ شماره نسخه: ۶۵۲۷</w:t>
      </w:r>
    </w:p>
    <w:p>
      <w:pPr>
        <w:pStyle w:val="BookText"/>
      </w:pPr>
      <w:r>
        <w:rPr>
          <w:rFonts w:ascii="IRNazanin" w:hAnsi="IRNazanin" w:eastAsia="IRNazanin" w:cs="IRNazanin"/>
          <w:lang w:bidi="fa-IR"/>
          <w:color w:val="111111"/>
          <w:sz w:val="28"/>
          <w:szCs w:val="28"/>
          <w:rtl/>
        </w:rPr>
        <w:t xml:space="preserve">ترجیع بندهای از: قاسم انوار ،اوحدی ،عراقی، محمد بن حکیم ترمذی ،عطار، میر حسینی، نعمة الله ولی ،مولوی ،مقربی نعیم الدين، فضل الله یا سید نعیمی، تاج عراقی، ناصر بخاری، ،میرمخدوم، سید مظفر کمال الدین ابوالرضا، حسین خوارزمی؛ خـط: نستعلیق، بی کا، تا: قرن ۱۲؛ افتادگی: آغاز؛ کاغذ: سپاهانی، جـلد: تیماج تریاکی لایی، ۹۵گ، ۱۳ سطر (9</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قطع: ربعی،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۱۶ - ۲۸۵]</w:t>
      </w:r>
    </w:p>
    <w:p>
      <w:pPr>
        <w:pStyle w:val="BookText"/>
      </w:pPr>
      <w:r>
        <w:rPr>
          <w:rFonts w:ascii="IRNazanin" w:hAnsi="IRNazanin" w:eastAsia="IRNazanin" w:cs="IRNazanin"/>
          <w:lang w:bidi="fa-IR"/>
          <w:color w:val="111111"/>
          <w:sz w:val="28"/>
          <w:szCs w:val="28"/>
          <w:rtl/>
        </w:rPr>
        <w:t xml:space="preserve">۵۶۴. تهران؛ دانشگاه؛ شماره نسخه: ۷۴۳۸</w:t>
      </w:r>
    </w:p>
    <w:p>
      <w:pPr>
        <w:pStyle w:val="BookText"/>
      </w:pPr>
      <w:r>
        <w:rPr>
          <w:rFonts w:ascii="IRNazanin" w:hAnsi="IRNazanin" w:eastAsia="IRNazanin" w:cs="IRNazanin"/>
          <w:lang w:bidi="fa-IR"/>
          <w:color w:val="111111"/>
          <w:sz w:val="28"/>
          <w:szCs w:val="28"/>
          <w:rtl/>
        </w:rPr>
        <w:t xml:space="preserve">اشعاری از: میرزا زاهد علی شابندر سخا، آقا حسین خوانساری، محمد کاظم تبریزی، مخلصای کاشانی ،صایب ،مولوی، میرزا محسن، خواجه نصیر طوسی ،وحید، آصف خان، طالب آملی، سلمان ساوجی ،جامی ،وحشی ،زلالی، ابوسعید ابوالخیر، شـیخ بهائی، صفی قلی بیک، شعف ،نصیرا، سحاب، محتشم کاشانی، مراثی محمد شیخای مقبل به خط محمد صادق بن محمد امین گلوادی در ۱  محرم 1147به دستور آقا محمدا در ص1- 35</w:t>
      </w:r>
    </w:p>
    <w:p>
      <w:pPr>
        <w:pStyle w:val="BookText"/>
      </w:pPr>
      <w:r>
        <w:rPr>
          <w:rFonts w:ascii="IRNazanin" w:hAnsi="IRNazanin" w:eastAsia="IRNazanin" w:cs="IRNazanin"/>
          <w:lang w:bidi="fa-IR"/>
          <w:color w:val="111111"/>
          <w:sz w:val="28"/>
          <w:szCs w:val="28"/>
          <w:rtl/>
        </w:rPr>
        <w:t xml:space="preserve">نوشته شده، همچنین منظومه شهادت علی و امامان از مقبل محمد شیخا در ص ۹۹-۳۶؛ خط: نستعلیق،  بی کا، تا: 12قرن ،افتادگی: آغاز و انجام؛ با تاریخ ۱۱۴۷ و ۱۱۶۵، دو رباعی خوبی از شیخ بهائی و آقا حسین خوانساری در هامش ص ۵۲ آمد؛ کاغذ: سپاهانی ،جلد: تیماج مشکی لایی، ۵۹گ، ۱۹ سـطر (۴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قطع: بیاضی، اندازه: 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۱۵/۵سم [ف : ۱۶ - ۵۷۰]</w:t>
      </w:r>
    </w:p>
    <w:p>
      <w:pPr>
        <w:pStyle w:val="BookText"/>
      </w:pPr>
      <w:r>
        <w:rPr>
          <w:rFonts w:ascii="IRNazanin" w:hAnsi="IRNazanin" w:eastAsia="IRNazanin" w:cs="IRNazanin"/>
          <w:lang w:bidi="fa-IR"/>
          <w:color w:val="111111"/>
          <w:sz w:val="28"/>
          <w:szCs w:val="28"/>
          <w:rtl/>
        </w:rPr>
        <w:t xml:space="preserve">۵۶۵. تهران؛ دانشگاه؛ شماره نسخه: ۷۴۷۰/۷</w:t>
      </w:r>
    </w:p>
    <w:p>
      <w:pPr>
        <w:pStyle w:val="BookText"/>
      </w:pPr>
      <w:r>
        <w:rPr>
          <w:rFonts w:ascii="IRNazanin" w:hAnsi="IRNazanin" w:eastAsia="IRNazanin" w:cs="IRNazanin"/>
          <w:lang w:bidi="fa-IR"/>
          <w:color w:val="111111"/>
          <w:sz w:val="28"/>
          <w:szCs w:val="28"/>
          <w:rtl/>
        </w:rPr>
        <w:t xml:space="preserve">شعرهای خودروی شیرازی امی (۱۲۷-۱۲۸)، مخفی (۵) غیرت همدانی ،(۲۷) کمال اسماعیل (۵) وحید (۱۴)، میرزا بدیع اصفهانی نصر آبادی ،(۱۴) شوکت (۱۴)، میرزا محمد مومنا (۵) میرزا سعيد ،(۱۵)، صبا؛ بی کا، تا: قرن ۱۲؛ کاغذ ،سپاهانی، جـلد: اندازه: تیماج قهوه ای مقوایی، ۱۱سطر (۶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قطع: ربعی، اندازه:۱۵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۱۷/۵سم [ف ۱۶ - ۵۸۱]</w:t>
      </w:r>
    </w:p>
    <w:p>
      <w:pPr>
        <w:pStyle w:val="BookText"/>
      </w:pPr>
      <w:r>
        <w:rPr>
          <w:rFonts w:ascii="IRNazanin" w:hAnsi="IRNazanin" w:eastAsia="IRNazanin" w:cs="IRNazanin"/>
          <w:lang w:bidi="fa-IR"/>
          <w:color w:val="111111"/>
          <w:sz w:val="28"/>
          <w:szCs w:val="28"/>
          <w:rtl/>
        </w:rPr>
        <w:t xml:space="preserve">۵۶۶. تهران؛ دانشگاه؛ شماره نسخه: ۷۵۰۸</w:t>
      </w:r>
    </w:p>
    <w:p>
      <w:pPr>
        <w:pStyle w:val="BookText"/>
      </w:pPr>
      <w:r>
        <w:rPr>
          <w:rFonts w:ascii="IRNazanin" w:hAnsi="IRNazanin" w:eastAsia="IRNazanin" w:cs="IRNazanin"/>
          <w:lang w:bidi="fa-IR"/>
          <w:color w:val="111111"/>
          <w:sz w:val="28"/>
          <w:szCs w:val="28"/>
          <w:rtl/>
        </w:rPr>
        <w:t xml:space="preserve">شعرهای فارسی در شش بخش: ۱- انتخاب غزلیات ص ۲،۱- انتخاب قصاید ص ۵۵، ۳- انتخاب قطعات ص ۱۱۱، ۴- انتخاب مثنوی ص ۱۸۳، ۵- انتخاب رباعیات ص ۲۳۹، ۶- انتخاب  معمیات و مفردات ص ۳۰۲ ،در ص ۱۹ انشاء میرزا مهدی خان  است در تعریف بیاض. فهرست نام های ۱۲۹ شاعر که در این جنگ دیده می شود :جامی ۶ ،علی نقی کمره ای، میرزا حبیب الله ۱۶، فرخی سیستانی، فردوسی ۱۸، سید محمد جامه باف ۲۱، مشرقی ،نسبتی، عماد فقیه، وحشی بافقی ۲۲، عطار ۲۸ ،نظری، آصفی پسر خواجه نعمة الله ،۳۸ ،بنائی، حیدری هراتی، صباحی، مخفی رشتی ۴۱، حاجی کوچصفهانی، درویش مقصود، بابا نصیبی، طالب آملی ،شرف الدین، ضمیری اصفهانی ۴۴، میرزا ابوالقاسم، سعدی، عرفی ۵۸ ،ابو علی سینا ۶۳، سیف اسفرنگ، عمعق بخارایی ۶۹، میرزا فتح الله اصفهانی ۷۸ ،داعی خادم ۸۰، صافی ۸۲، طبیب اصفهانی، طوفان هزار جریبی، مشتاق ۹۲، انوری ۹۶، عبدالواسع جبلی ۱۰۲، حکیم سنایی ۱۱۸، وحشی ۱۲۱، ابوالفرج سیستانی، رجائی، میرزا اشرف جان، سعد همدانی، قمری، ضیایی، ۴۷-خسرو دهلوی ۱۲۷، عمادی، فاخری، شیخ نجم الدین ،رافعی، میر حضوری ،۱۳۳ ،نوایی، بابا طاهر ۱۳۷، حافظ ،۱۳۹ خاقانی ،۱۸۹ ، هاتفى ،۱۹۴ اسدی طوسی، ضیاء ۲۰۳، عشرتی، جلال جعفری ،۲۰۹، حکیم سعید خان، انسی، میلی، هاتف اصفهانی ،۲۲۶ ،هلالی ملا عبدالباقی، انوار ۲۴۰، شریف، ،شوقی، ظهوری ،۲۹۱، رشید وطواط سيف اعرج ۲۹۳، عصمت بخارایی، شمس الدین محمد غوری، ابو النصر ۲۴۷، سید حسن غزنوی ،۲۵۳، مختاری ۲۵۷ ،شیونی، باقی ،۲۵۹، سلطان ابوسعید ،خیام، مجدالدین ،۲۹۱، لطف الله ،۲۰۸، امامی هروی ۱۷۳، کمال اسماعیل ۲۷۲، شیخ رباعی، بازاری ۲۷۴، مسعود سعد، راضی، شیخ شاه نظر، حکیم شفائی ،شکیبی، ناصر خسرو۲۷۸، میرزا نظام الدین ۲۹۱، امیدی ،۲۷۹ ،سائل، بابا افضل ،۲۸۴، فیض286 ، مسیح ،زکی، عراقی پور فریدون ،۲۸۸، شیخ ابوالحسن اخرقانی ۲۹۱، مسعود، اشرافی ۲۹۷، سوزنی، خواجه حسن، شيخ فريد الدين شکر گنج ،مهری، مهستی ،۳۰۳، حاجت ۳۰۸، رفیق، آقا محمد صادق ۳۰۹ ،خط: نستعلیق چلیپا، بی کا، تا: قرن ۱۲؛ کاغذ: فرنگی ،جلد: تیماج آلبالویی، ۱۵۵گ، ۱۰ سطر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 قطع: بیاضی،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۱۶ - ۶۰۱]</w:t>
      </w:r>
    </w:p>
    <w:p>
      <w:pPr>
        <w:pStyle w:val="BookText"/>
      </w:pPr>
      <w:r>
        <w:rPr>
          <w:rFonts w:ascii="IRNazanin" w:hAnsi="IRNazanin" w:eastAsia="IRNazanin" w:cs="IRNazanin"/>
          <w:lang w:bidi="fa-IR"/>
          <w:color w:val="111111"/>
          <w:sz w:val="28"/>
          <w:szCs w:val="28"/>
          <w:rtl/>
        </w:rPr>
        <w:t xml:space="preserve">۵۶۷. تهران؛ دانشگاه؛ شماره نسخه: ۷۹۴۵</w:t>
      </w:r>
    </w:p>
    <w:p>
      <w:pPr>
        <w:pStyle w:val="BookText"/>
      </w:pPr>
      <w:r>
        <w:rPr>
          <w:rFonts w:ascii="IRNazanin" w:hAnsi="IRNazanin" w:eastAsia="IRNazanin" w:cs="IRNazanin"/>
          <w:lang w:bidi="fa-IR"/>
          <w:color w:val="111111"/>
          <w:sz w:val="28"/>
          <w:szCs w:val="28"/>
          <w:rtl/>
        </w:rPr>
        <w:t xml:space="preserve">غزل ها است به ترتیب تهجی از: جرآت، متین، صایب، معلوم تبریزی، میرزا ظهیر، توفیق کشمیری، حیا، هلالی، جامی، آصفی شیرازی ،فغانی، جلالی ،آشنا ،مشتاق ،نظیری ،مزین، وفائی، هجری، مشفقی یحیی کاشی، حیدر کلوچ، مجرم، فردی، شفائی، سعدی، عرفی ،سرمد، چاکر گدا ،شیدا، آهی، خجندی، ملهم،  حزین، شاه شرف ،قلند، امیر خسرو ،محتشم، لایح، شاپور، میلی ،صرفی ،وصالی ،کلیم ،عظیم ،ملهم ،حافظ، ناصر علی، حافظ، ،قادری ،انسی ،بیدل عالی ،خان شمس الدین تبریزی ،خورشید،
</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کمال خجندی ،ولی ،ملا حسن ،عشرتی، شاه محمود، قاسـم ،مسکین ،مردانه، میرزا احمد خان ،عاشق ،شوکت، حیدر، حبیبی، فارغ ،رضی ،تنهایی ،لایق، خاقانی، صرفی، لا اعلم، یوسف، فانی ،ثابت ،میرزا ،غنی ،مشتاق ،ناجی ،استاد ،ضیابخش، ساطع، اقدس،خالص، مرب (؟) ،واقف ،گاهی ،وفائی ،قصاب، میرزا؛ سپـس رباعیات سحابی است و مخمس آملی بر غزل حافظ و مخمس بر غزل کمال و مخمس جامی و کمال و مخمس: وزیری بر غزل حافظ، مومن بر غزل خسرو، توفیق و هما بر جامی، رسوا بر صایب، مخمس قصاب، مخمس توفیق بر غزل جامی، مخمـس کلیم و توفیق کشمیری و قصاب و توفیق، مخمس رضا بر غـزل خسرو، جدید بر حسامی، مخمس یکتا و شاه معصوم و مشرب و هلالی، مخمس: خالص بر غزل خسرو، اهلی بر حافظ، جامی بر خسرو، مخمس جامی و مومن و صایب و امیر خسرو و استـاد، مخمس میر عنایت بر غزل جامی (از اینجا نسخه افتاده است)؛سپس غزل ها از: قادری ،حافظ ،فارغ، غنی ،تقی ،طالب، اسیری ،آشنا، لایح ،عظیم ،ظریف، حمید، بیکس، مغربی، مضمون، اثر</w:t>
      </w:r>
    </w:p>
    <w:p>
      <w:pPr>
        <w:pStyle w:val="BookText"/>
      </w:pPr>
      <w:r>
        <w:rPr>
          <w:rFonts w:ascii="IRNazanin" w:hAnsi="IRNazanin" w:eastAsia="IRNazanin" w:cs="IRNazanin"/>
          <w:lang w:bidi="fa-IR"/>
          <w:color w:val="111111"/>
          <w:sz w:val="28"/>
          <w:szCs w:val="28"/>
          <w:rtl/>
        </w:rPr>
        <w:t xml:space="preserve">نظیری ،قدسی ،بیخود ،سیادت ،استغنا، غنیمت، نادم قاسم، نقی ،احسن ،شهادت ،سالمی ،متین ،جرمی ،فغانی، حیرت ،آفرین، راسخ، ،سرخوش ،فایز ،بیخود ،اسد ،منصف، سلمان، سهمی ،خالص ،مولی، رسا، برهمن، بینش ،مفید ،بنائی، صیدی ،افسر ،فیض ،قتیل ،جرمی ،وحید ،نظیری ،مخفی ،شریف، نظامـی ،باذل ،صفی ،علوی، جویا ،همت ،عرفی ،حصاری، فصیحی ،فغانی ،عیدی ،شیدا، میرزا شكر الله ،ملا حسن، ابن یمین، شاهـی، فغانی، مسکین ،محروم ،عطائی ،فخری ،ناظم، فیروز، علوی، فایق، اشرف ،مرتضی ،راهی ،حضرت، خلیق. این بخش به ترتـیب   تهجی است؛ خط: نستعلیق چلیپا، بی کا، تا: قرن ۱۲؛ مجدول،خطی از محمد امین در آدینه ۵ جمادی، نسخه آشفته می ماند؛ کاغذ: فرنگی ،جلد: تیماج سرخ ضربی ،مقوایی، ۱۳۱گ، ۹ سـطر(۸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۱۸/۵سم [ف: ۱۶ – ۷۴۶]</w:t>
      </w:r>
    </w:p>
    <w:p>
      <w:pPr>
        <w:pStyle w:val="BookText"/>
      </w:pPr>
      <w:r>
        <w:rPr>
          <w:rFonts w:ascii="IRNazanin" w:hAnsi="IRNazanin" w:eastAsia="IRNazanin" w:cs="IRNazanin"/>
          <w:lang w:bidi="fa-IR"/>
          <w:color w:val="111111"/>
          <w:sz w:val="28"/>
          <w:szCs w:val="28"/>
          <w:rtl/>
        </w:rPr>
        <w:t xml:space="preserve">۵۶۸. تهران؛ دانشگاه؛ شماره نسخه: ۷۹۸۷</w:t>
      </w:r>
    </w:p>
    <w:p>
      <w:pPr>
        <w:pStyle w:val="BookText"/>
      </w:pPr>
      <w:r>
        <w:rPr>
          <w:rFonts w:ascii="IRNazanin" w:hAnsi="IRNazanin" w:eastAsia="IRNazanin" w:cs="IRNazanin"/>
          <w:lang w:bidi="fa-IR"/>
          <w:color w:val="111111"/>
          <w:sz w:val="28"/>
          <w:szCs w:val="28"/>
          <w:rtl/>
        </w:rPr>
        <w:t xml:space="preserve">غزل های فارسی حرف «د، ر ،ز » با تعیین بحر در برخی جاها از: احمد جام، خواجو ،شاهی ،طوسی، حسن ،عصمت، جامی، آهـی، ،قاسم، حافظ، اویسی، کمال،محرم،سلمان،فارغی، خسرو، بساطی ،سهیلی ،حقیری ،کاتبی ،هلالی ،آصفی ،عراقی، جلال، عارف، همام ،حسن، فدائی ،مایلی، اهلی، نرگسی و حیدر، عـمار و یتیمی، عصمت ،محرم ،بنائی ،عطار، اصیلی ،شهیدی، اوحدی  ،عارف ،موسوی ،ملک ،عماد ،فخری، محمد حاج، عارفی، قایلی، عاشق ،ریاضی، سعدی ،همام، غیاث الدین، صالح، مير حاج،مسیحی، ملا عالم ،نزاری ،طاهر، شوقی، سایلی، حریمی،نامی، شیخی ،نثاری ،حیرتی ،صوفی ،سیفی ،عبید ،کامران، حسـام، نوری ،سید ظهیر ،خاکی ،شریف، مجنون ،محرم ،علمی، فخری ،عیسی ،گلشنی، شاه طاهر ،فریدون، سهيلى، نعمة الله، يعقوب، حیرانی، فراقی ،عبدالواسع ،سوزنی، این طیان، ابن یمین،شاه طاهر، میر افضل ،فیضی ،همایون ،مانی، هلاکی ،ملا میر، ابن مظهر، میر کرمانی، ابن حسام ،مغربی، جتابی، حسن، کامی، مسكين؛ خط: نستعلیق، بی کا، تا: قرن ۱۲، برای میر غلام بیک؛ کاغذ: سپاهانی، جلد: مقوا گرد تیماج سرخ، ۱۲۱گ، ۱۵ سطر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 قطع: وزیری،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 ۱۶ - ۷۵۷]</w:t>
      </w:r>
    </w:p>
    <w:p>
      <w:pPr>
        <w:pStyle w:val="BookText"/>
      </w:pPr>
      <w:r>
        <w:rPr>
          <w:rFonts w:ascii="IRNazanin" w:hAnsi="IRNazanin" w:eastAsia="IRNazanin" w:cs="IRNazanin"/>
          <w:lang w:bidi="fa-IR"/>
          <w:color w:val="111111"/>
          <w:sz w:val="28"/>
          <w:szCs w:val="28"/>
          <w:rtl/>
        </w:rPr>
        <w:t xml:space="preserve">۵۶۹. تهران؛ مینوی؛ شماره نسخه: ۴۲</w:t>
      </w:r>
    </w:p>
    <w:p>
      <w:pPr>
        <w:pStyle w:val="BookText"/>
      </w:pPr>
      <w:r>
        <w:rPr>
          <w:rFonts w:ascii="IRNazanin" w:hAnsi="IRNazanin" w:eastAsia="IRNazanin" w:cs="IRNazanin"/>
          <w:lang w:bidi="fa-IR"/>
          <w:color w:val="111111"/>
          <w:sz w:val="28"/>
          <w:szCs w:val="28"/>
          <w:rtl/>
        </w:rPr>
        <w:t xml:space="preserve">شعرهای مولوی و حافظ و سعدی و ترجیع بند؛ خط: شکسته نستعلیق، بی کا، تا: قرن ۱۲؛ مجدول؛ جلد: تیماج عنابی لایی، قطع: بیاضی [ نشریه ۶ - ۶۴۲]</w:t>
      </w:r>
    </w:p>
    <w:p>
      <w:pPr>
        <w:pStyle w:val="BookText"/>
      </w:pPr>
      <w:r>
        <w:rPr>
          <w:rFonts w:ascii="IRNazanin" w:hAnsi="IRNazanin" w:eastAsia="IRNazanin" w:cs="IRNazanin"/>
          <w:lang w:bidi="fa-IR"/>
          <w:color w:val="111111"/>
          <w:sz w:val="28"/>
          <w:szCs w:val="28"/>
          <w:rtl/>
        </w:rPr>
        <w:t xml:space="preserve">۵۷۰. تهران؛ دانشگاه؛ شماره نسخه: ۴۴۷۶</w:t>
      </w:r>
    </w:p>
    <w:p>
      <w:pPr>
        <w:pStyle w:val="BookText"/>
      </w:pPr>
      <w:r>
        <w:rPr>
          <w:rFonts w:ascii="IRNazanin" w:hAnsi="IRNazanin" w:eastAsia="IRNazanin" w:cs="IRNazanin"/>
          <w:lang w:bidi="fa-IR"/>
          <w:color w:val="111111"/>
          <w:sz w:val="28"/>
          <w:szCs w:val="28"/>
          <w:rtl/>
        </w:rPr>
        <w:t xml:space="preserve">در ص ۱۴۸ شعری است به خط محمد مومن بن محمد صالح مورخ روز سه شنبه ربيع الاول ۱۱۱۸، و در ص ۱۵۲ شعر صفی است به خط محمد اسماعیل سپاهانی که به دستور میرزا علی اصغر پسر میرزا محمد مومن صاحب نسق آستانه مقدسه ۱۱۷۲ درقم نوشته، این جنگ که به خطوط گوناگون است باید به دستور پدر او و خود او گویا در قم گردآوری شده باشد، یکی از دارندگان آن گویا میرزا جعفرقلی بوده است (ص ع) در ص ۶۰ تاریخ تولد لطف الله نامی است در روز سه شنبه ۸ شوال ۱۲۳۸ به خط پدرش؛ چنین است فهرست نام های سرایندگانی که شعر آنها در این جنگ دیده می شود. قصاب در ص ع، ظهوری (ساقی نامه و قصیده) ۱-۲۴، طالب ۲۵، نوعی خبوشانی (سوز و گداز) ۲۵-۴۲، شاملو (محمود و ایاز) ۴۷-۵۹، میرزا داود متولی (سراپا) ۶۱-۶۳، محمد قلى سليم (قضا و قدر) ،۶۵-۷۵، مولوی و بابا فغانی و ملا امیدی و آقا شاپور تهرانی و صائبا و نظامی و اقدسی و قدسی و ملهمی ورشکی و شفائی و ملا اوجی و عرفی ۷۶-۱۰۷، میرزا كاظم تاجر ۱۰۷-۱۰۸، محمد قلی سلیم ۱۰۹-۱۱۳، حکیم رکنا  (قضا و قدر) ،۱۱۵ - ۱۱۷، میرزا فصیحی و نصیرای همدانی ۱۱۸ -۱۲۰، نظیری و ملازکی و واعظ و میرمحمد على مجذوب و محمد قلی سلیم ،۱۳۶-۱۲۳، غزالی مشهدی (نقش بدیع) ۱۳۶- ۱۴۷ ،محرم و میرزا سنجر و نوعی وصفی (بخط محمد اسماعيل سپاهانی در ۱۱۷۳) ۱۴۷ - ۱۵۲، آذر و برهمن هند و میرزا محمد ربیع ۱۵۳-۱۵۸، مجید و میرزا فصیحی و نظیری و مشتاق ۱۵۹-۱۶۶؛ خط: شکسته نستعلیق، بی کا، تا: قرن ۱۲؛ مجدول، با سر لوح؛ کاغذ: سپاهانی رنگارنگ زرپاشی، جلد: تیماج سرخ ضربی، ۸۶گ، سطور چلیپا، ابعاد متن: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 ۱۳ - ۳۴۲۶]</w:t>
      </w:r>
    </w:p>
    <w:p>
      <w:pPr>
        <w:pStyle w:val="BookText"/>
      </w:pPr>
      <w:r>
        <w:rPr>
          <w:rFonts w:ascii="IRNazanin" w:hAnsi="IRNazanin" w:eastAsia="IRNazanin" w:cs="IRNazanin"/>
          <w:lang w:bidi="fa-IR"/>
          <w:color w:val="111111"/>
          <w:sz w:val="28"/>
          <w:szCs w:val="28"/>
          <w:rtl/>
        </w:rPr>
        <w:t xml:space="preserve">۵۷۱. تهران؛ مفتاح؛ شماره نسخه: ۵۷۰</w:t>
      </w:r>
    </w:p>
    <w:p>
      <w:pPr>
        <w:pStyle w:val="BookText"/>
      </w:pPr>
      <w:r>
        <w:rPr>
          <w:rFonts w:ascii="IRNazanin" w:hAnsi="IRNazanin" w:eastAsia="IRNazanin" w:cs="IRNazanin"/>
          <w:lang w:bidi="fa-IR"/>
          <w:color w:val="111111"/>
          <w:sz w:val="28"/>
          <w:szCs w:val="28"/>
          <w:rtl/>
        </w:rPr>
        <w:t xml:space="preserve">شعرهای سنایی ،جمال ،کمال ،معزی، مجد همگر، اثیر الدین ،بدخشانی ،رودکی ،قطران ،عمعق، لامعی، رفیع الدین، شرف شفروه، شهاب الدین مؤید سمرقندی، فرخی شارستانی، ضیاء الدین فارسی، رضی الدین در ستایش سیف الدین باخرزی، اسدی طوسی، ابن یمین، فخرالدین خلد، ابوسلیک گرگانی، بدیع بلخی، طیان بمی ،عطائی، خسروی -سرخسی، فلکی شروانی، ابوالفرج سجزی، جلال جعفری، بهاء الدين بغدادی، بهاءالدين
</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مرغینانی، ناصرالدین کاشانی، ذوالفقار شروانی شاه کبود جامه، حکیم نورالدین صندوقی، کمال الدین زنجانی در ستایش خواجه طوسی، حسن هروی، بدیعی سیفی، ابو العلاء گنجه، رشیدالدین عمادالدین شهریاری، سعدالدین هروی، علی بن حسن باخرزی، ناصر بخاری، نزاری ،قهستانی، همام تبریزی، بدرالدین شاشی، عمادالدین دلاحلى العباسی، امام شهابی سلطانی، فخرالدین هندو شاه، شمس الدين طاهر نحاسی، محمد رافعی، خسروانی، قاضی نظام الدین، ابوسعید بزغش شیرازی، امامی هروی، قطب الدین عتیقی ،تبریزی، جلال طبیب، خطیب گنجه ،خواجو، هـمام الدین صاین، کاتبی، عبدالحمید، همام الدین بخشی، خواجه نصـیر طوسی درباره نظام الملک نظام بی نظام ارکافرم خواند*** چـراغ کذب را نبود فروغی/ مسلمان خوانمش زان رو که نبود/*** مکافات دروغی جز دروغی؛ رافعی قزوینی ،ناصر بجه، ابوعبدالله محمد جندی، عبید زاکانی، شمس طبسی ،نظامی، مرشدی، ابوالفرج بلخی، مسعود ترکمان، علوی تربتی، شاه داعی، مبارک شاه غوری، نظام استرابادی ،اشهری، شاه قلی، مسعود سعد سلمان، امین الدین کازرونی، اوحدی کرمانی؛ خط: نستعلیق، بی کا، قرن ۱۲؛ افتادگی: آغاز؛ در متن و هامش، دو جدولی؛ قطع: ربعی [ نشریه: ۷ - ۱۲۹]</w:t>
      </w:r>
    </w:p>
    <w:p>
      <w:pPr>
        <w:pStyle w:val="BookText"/>
      </w:pPr>
      <w:r>
        <w:rPr>
          <w:rFonts w:ascii="IRNazanin" w:hAnsi="IRNazanin" w:eastAsia="IRNazanin" w:cs="IRNazanin"/>
          <w:lang w:bidi="fa-IR"/>
          <w:color w:val="111111"/>
          <w:sz w:val="28"/>
          <w:szCs w:val="28"/>
          <w:rtl/>
        </w:rPr>
        <w:t xml:space="preserve">۵۷۲. تهران؛ مفتاح؛ شماره نسخه: ۶۰۲</w:t>
      </w:r>
    </w:p>
    <w:p>
      <w:pPr>
        <w:pStyle w:val="BookText"/>
      </w:pPr>
      <w:r>
        <w:rPr>
          <w:rFonts w:ascii="IRNazanin" w:hAnsi="IRNazanin" w:eastAsia="IRNazanin" w:cs="IRNazanin"/>
          <w:lang w:bidi="fa-IR"/>
          <w:color w:val="111111"/>
          <w:sz w:val="28"/>
          <w:szCs w:val="28"/>
          <w:rtl/>
        </w:rPr>
        <w:t xml:space="preserve">شعرهای فارسی به ترتیب تهجی از انوری آغاز تا کمال الدین اسمعیل و تاسلمان ساوجی؛ خط: شکسته نستعلیق، بی کا، تا: قـرن ۱۲، در متن و هامش؛ قطع: ربعی [ نشریه: ۷ - ۱۳۰]</w:t>
      </w:r>
    </w:p>
    <w:p>
      <w:pPr>
        <w:pStyle w:val="BookText"/>
      </w:pPr>
      <w:r>
        <w:rPr>
          <w:rFonts w:ascii="IRNazanin" w:hAnsi="IRNazanin" w:eastAsia="IRNazanin" w:cs="IRNazanin"/>
          <w:lang w:bidi="fa-IR"/>
          <w:color w:val="111111"/>
          <w:sz w:val="28"/>
          <w:szCs w:val="28"/>
          <w:rtl/>
        </w:rPr>
        <w:t xml:space="preserve">۵۷۳. تهران؛ مفتاح؛ شماره نسخه: ۱۱۰۸</w:t>
      </w:r>
    </w:p>
    <w:p>
      <w:pPr>
        <w:pStyle w:val="BookText"/>
      </w:pPr>
      <w:r>
        <w:rPr>
          <w:rFonts w:ascii="IRNazanin" w:hAnsi="IRNazanin" w:eastAsia="IRNazanin" w:cs="IRNazanin"/>
          <w:lang w:bidi="fa-IR"/>
          <w:color w:val="111111"/>
          <w:sz w:val="28"/>
          <w:szCs w:val="28"/>
          <w:rtl/>
        </w:rPr>
        <w:t xml:space="preserve">شعرهای محتشم و عاشق و سعدی و مناجات خواجه عبدالله انصاری؛ خط: شکسته نستعلیق چلیپا ،بی کا، تا: قرن ۱۲؛ مجدول [ نشریه: ۷ - ۱۳۷]</w:t>
      </w:r>
    </w:p>
    <w:p>
      <w:pPr>
        <w:pStyle w:val="BookText"/>
      </w:pPr>
      <w:r>
        <w:rPr>
          <w:rFonts w:ascii="IRNazanin" w:hAnsi="IRNazanin" w:eastAsia="IRNazanin" w:cs="IRNazanin"/>
          <w:lang w:bidi="fa-IR"/>
          <w:color w:val="111111"/>
          <w:sz w:val="28"/>
          <w:szCs w:val="28"/>
          <w:rtl/>
        </w:rPr>
        <w:t xml:space="preserve">۵۷۴. تهران؛ مفتاح؛ شماره نسخه: ۱۲۱۷</w:t>
      </w:r>
    </w:p>
    <w:p>
      <w:pPr>
        <w:pStyle w:val="BookText"/>
      </w:pPr>
      <w:r>
        <w:rPr>
          <w:rFonts w:ascii="IRNazanin" w:hAnsi="IRNazanin" w:eastAsia="IRNazanin" w:cs="IRNazanin"/>
          <w:lang w:bidi="fa-IR"/>
          <w:color w:val="111111"/>
          <w:sz w:val="28"/>
          <w:szCs w:val="28"/>
          <w:rtl/>
        </w:rPr>
        <w:t xml:space="preserve">شعرهای فارسی از عاشق تا سعدی؛ خط: نستعلیق چلیپا، بی کا، تا: قرن ۱۲؛ قطع: بغلی بیاضی [نشریه: ۷ - ۱۳۸]</w:t>
      </w:r>
    </w:p>
    <w:p>
      <w:pPr>
        <w:pStyle w:val="BookText"/>
      </w:pPr>
      <w:r>
        <w:rPr>
          <w:rFonts w:ascii="IRNazanin" w:hAnsi="IRNazanin" w:eastAsia="IRNazanin" w:cs="IRNazanin"/>
          <w:lang w:bidi="fa-IR"/>
          <w:color w:val="111111"/>
          <w:sz w:val="28"/>
          <w:szCs w:val="28"/>
          <w:rtl/>
        </w:rPr>
        <w:t xml:space="preserve">۵۷۵. تهران؛ فیاض؛ شماره نسخه: ۲۱</w:t>
      </w:r>
    </w:p>
    <w:p>
      <w:pPr>
        <w:pStyle w:val="BookText"/>
      </w:pPr>
      <w:r>
        <w:rPr>
          <w:rFonts w:ascii="IRNazanin" w:hAnsi="IRNazanin" w:eastAsia="IRNazanin" w:cs="IRNazanin"/>
          <w:lang w:bidi="fa-IR"/>
          <w:color w:val="111111"/>
          <w:sz w:val="28"/>
          <w:szCs w:val="28"/>
          <w:rtl/>
        </w:rPr>
        <w:t xml:space="preserve">اشعار قرن دوازدهم؛ بی کا، تا: قرن ۱۲ [ نشریه: ۷- ۶۹۶]</w:t>
      </w:r>
    </w:p>
    <w:p>
      <w:pPr>
        <w:pStyle w:val="BookText"/>
      </w:pPr>
      <w:r>
        <w:rPr>
          <w:rFonts w:ascii="IRNazanin" w:hAnsi="IRNazanin" w:eastAsia="IRNazanin" w:cs="IRNazanin"/>
          <w:lang w:bidi="fa-IR"/>
          <w:color w:val="111111"/>
          <w:sz w:val="28"/>
          <w:szCs w:val="28"/>
          <w:rtl/>
        </w:rPr>
        <w:t xml:space="preserve">۵۷۶. تهران؛ دانشگاه؛ شماره نسخه: ۴۳۵۱</w:t>
      </w:r>
    </w:p>
    <w:p>
      <w:pPr>
        <w:pStyle w:val="BookText"/>
      </w:pPr>
      <w:r>
        <w:rPr>
          <w:rFonts w:ascii="IRNazanin" w:hAnsi="IRNazanin" w:eastAsia="IRNazanin" w:cs="IRNazanin"/>
          <w:lang w:bidi="fa-IR"/>
          <w:color w:val="111111"/>
          <w:sz w:val="28"/>
          <w:szCs w:val="28"/>
          <w:rtl/>
        </w:rPr>
        <w:t xml:space="preserve">آغاز: بیا ای ساقی عشق آفرینم *** خط جدم تو سرلوح جبينم...</w:t>
      </w:r>
    </w:p>
    <w:p>
      <w:pPr>
        <w:pStyle w:val="BookText"/>
      </w:pPr>
      <w:r>
        <w:rPr>
          <w:rFonts w:ascii="IRNazanin" w:hAnsi="IRNazanin" w:eastAsia="IRNazanin" w:cs="IRNazanin"/>
          <w:lang w:bidi="fa-IR"/>
          <w:color w:val="111111"/>
          <w:sz w:val="28"/>
          <w:szCs w:val="28"/>
          <w:rtl/>
        </w:rPr>
        <w:t xml:space="preserve">الهی ذره عشقی کرم کن *** چو خورشیدم بسرگرمی علم کن؛</w:t>
      </w:r>
    </w:p>
    <w:p>
      <w:pPr>
        <w:pStyle w:val="BookText"/>
      </w:pPr>
      <w:r>
        <w:rPr>
          <w:rFonts w:ascii="IRNazanin" w:hAnsi="IRNazanin" w:eastAsia="IRNazanin" w:cs="IRNazanin"/>
          <w:lang w:bidi="fa-IR"/>
          <w:color w:val="111111"/>
          <w:sz w:val="28"/>
          <w:szCs w:val="28"/>
          <w:rtl/>
        </w:rPr>
        <w:t xml:space="preserve">انجام: جهان خرم شد از آب زلالش *** ز چرخ آمد لقب چاه وصالش</w:t>
      </w:r>
    </w:p>
    <w:p>
      <w:pPr>
        <w:pStyle w:val="BookText"/>
      </w:pPr>
      <w:r>
        <w:rPr>
          <w:rFonts w:ascii="IRNazanin" w:hAnsi="IRNazanin" w:eastAsia="IRNazanin" w:cs="IRNazanin"/>
          <w:lang w:bidi="fa-IR"/>
          <w:color w:val="111111"/>
          <w:sz w:val="28"/>
          <w:szCs w:val="28"/>
          <w:rtl/>
        </w:rPr>
        <w:t xml:space="preserve">چاه وصال ذره است (۲ پ - ۱۵پ)، هفت بند ملا حسن کاشی، و شعرهای هلالی ،صفی ،برهمن، بابا طاهر ،طوفان، علی نقی، خسـرو شوکت ،رفیق، مشتاق ،عاشق، درویش مجید و دیگران؛ خـط: شکسته نستعلیق، بی کا، تا: قرن ۱۱ و ۱۲؛ مجدول؛ کاغذ: سپاهانی، جلد: تيماج قهوه ای درون پارچه سرخ، ۵۹گ، چلیپا ابعاد مـتن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،اندازه: 9</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سم [ف: ۱۳ - ۳۳۰۶]</w:t>
      </w:r>
    </w:p>
    <w:p>
      <w:pPr>
        <w:pStyle w:val="BookText"/>
      </w:pPr>
      <w:r>
        <w:rPr>
          <w:rFonts w:ascii="IRNazanin" w:hAnsi="IRNazanin" w:eastAsia="IRNazanin" w:cs="IRNazanin"/>
          <w:lang w:bidi="fa-IR"/>
          <w:color w:val="111111"/>
          <w:sz w:val="28"/>
          <w:szCs w:val="28"/>
          <w:rtl/>
        </w:rPr>
        <w:t xml:space="preserve">۵۷۷. مشهد؛ الهیات؛ شماره نسخه: ۱۱۵</w:t>
      </w:r>
    </w:p>
    <w:p>
      <w:pPr>
        <w:pStyle w:val="BookText"/>
      </w:pPr>
      <w:r>
        <w:rPr>
          <w:rFonts w:ascii="IRNazanin" w:hAnsi="IRNazanin" w:eastAsia="IRNazanin" w:cs="IRNazanin"/>
          <w:lang w:bidi="fa-IR"/>
          <w:color w:val="111111"/>
          <w:sz w:val="28"/>
          <w:szCs w:val="28"/>
          <w:rtl/>
        </w:rPr>
        <w:t xml:space="preserve">شامل اشعاری از فیض ،کلیم، صائب، شوکت، حافظ، عرفی نظیر و دیگران؛ خط: نستعلیق، بی کا، تا: قرن ۱۲؛ مجدول به طلا و مشکی؛ کاغذ: ترمه، جلد: تیماج مشکی، ۳۴۹گ،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۲۳/۵سم [ف: ۱ - ۷۵]</w:t>
      </w:r>
    </w:p>
    <w:p>
      <w:pPr>
        <w:pStyle w:val="BookText"/>
      </w:pPr>
      <w:r>
        <w:rPr>
          <w:rFonts w:ascii="IRNazanin" w:hAnsi="IRNazanin" w:eastAsia="IRNazanin" w:cs="IRNazanin"/>
          <w:lang w:bidi="fa-IR"/>
          <w:color w:val="111111"/>
          <w:sz w:val="28"/>
          <w:szCs w:val="28"/>
          <w:rtl/>
        </w:rPr>
        <w:t xml:space="preserve">۵۷۸. مشهد؛ الهیات؛ شماره نسخه: ۲۲۶۹۰</w:t>
      </w:r>
    </w:p>
    <w:p>
      <w:pPr>
        <w:pStyle w:val="BookText"/>
      </w:pPr>
      <w:r>
        <w:rPr>
          <w:rFonts w:ascii="IRNazanin" w:hAnsi="IRNazanin" w:eastAsia="IRNazanin" w:cs="IRNazanin"/>
          <w:lang w:bidi="fa-IR"/>
          <w:color w:val="111111"/>
          <w:sz w:val="28"/>
          <w:szCs w:val="28"/>
          <w:rtl/>
        </w:rPr>
        <w:t xml:space="preserve">شامل اشعاری از فضولی بغدادی در نعت رسول الله (صلّی اللَّهِ علیه وَ آلِهِ وَ سَلَّمَ ) بحر طویل، مجیر بیلغانی، شاه دلشاد، مولانا سلمان در حق چشم خود فرمود، رازی شیرازی ،سحابی،سید محمد عارف ،مجدالدین همگر، مولانا عرفی شیرازی، ساقی نامه فضولی با نشاء هفت جام و مناظره آن، ساقی نامه ملا محمد صوفی، زمانی یزدی، زلالی خوانساری، حکیم سنائی، ابن یمین، ملا نظام ،ولی ،عرفی ،نظیری، قاضی نور ،آصفی، طالب، میرزا فصیحی، قسمی، سهوی، ،سنجر ،فکاری، ابوتراب بیک، علی نقی، اقدسی، مشهدی، عرسی، محتشم کاشی، زکی همدانی، حکیم سنائی، حکیم ازرقی، سیف اسفرنگ، استاد ابوالفرج، مسعود سعد سلمانف خلاق المعاني، كمال الدين، حكيم خاقانی، میر شمس الدين محمد ملک قمر ،فردوسی، مظفر حسین کاشی ،محوی، ملا محمد حايه باب، حسین یزدی ،نعمتی ،زمانی، قاضی نور ،امتی ،جامی، امیر خسرو، عبدالرحمن جامی، ساقی نامه مولانا ملک قمر، خواجه سلطان ساوجی، میر سنجر ولد میر حیدر معمائی ،مولانا عینی کشمیری، از دیوان خواجه حسین ثنائی ابن غیاث الدین محمد مشهدی مورخ ۹۶۷ق، مجدهمگر در حبس قلعه نای گفته، امیر شاه خسرو دهلوی، شیخ عطار، استعفانامه حکیم سنائی به قوام الدین صدرالوزراء ابو القاسم ناصر بن علی به نثر و نظم مولانا بدیعی، میرزا قلی میلی در مدح حضرت رضا(علیه السّلام)، ملا ولی دشت بیاضی، ناصر خسرو ،انوری، کمال الدین اسماعیل اصفهانی، وحشی یزدی، ملک قمی، حکیم خاقانی در ایام حبس شروانشاه، هلالی، کاتبی، شیخ عطار، صرفی ساوجی، فخریه سید حسن غزنوی، بابا فغانی، ،وحشی ،حیرتی نظام استرآبادی ،رازی، کاتبی، رساله گرهر شاهوار از عبدی رکن آبادی، اثیر الدین اخستکی، محمد عبدالرزاق اصفهانی؛ خط: نستعلیق ،چلیپا، بی کا، تا: قرن ۱۲؛ افتادگی: آغاز و انجام؛ اوراق آشفته صحافی شده؛ کاغذ: هندی؛ جلد: گالینگور سرخ، ۲۲۰گ، ۱۷ سطر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۲۴سم [ف ۳ - ۸۳۷]</w:t>
      </w:r>
    </w:p>
    <w:p>
      <w:pPr>
        <w:pStyle w:val="BookText"/>
      </w:pPr>
      <w:r>
        <w:rPr>
          <w:rFonts w:ascii="IRNazanin" w:hAnsi="IRNazanin" w:eastAsia="IRNazanin" w:cs="IRNazanin"/>
          <w:lang w:bidi="fa-IR"/>
          <w:color w:val="111111"/>
          <w:sz w:val="28"/>
          <w:szCs w:val="28"/>
          <w:rtl/>
        </w:rPr>
        <w:t xml:space="preserve">۵۷۹. تهران؛ مجلس؛ شماره نسخه: ۳۲۴/۳ط</w:t>
      </w:r>
    </w:p>
    <w:p>
      <w:pPr>
        <w:pStyle w:val="BookText"/>
      </w:pPr>
      <w:r>
        <w:rPr>
          <w:rFonts w:ascii="IRNazanin" w:hAnsi="IRNazanin" w:eastAsia="IRNazanin" w:cs="IRNazanin"/>
          <w:lang w:bidi="fa-IR"/>
          <w:color w:val="111111"/>
          <w:sz w:val="28"/>
          <w:szCs w:val="28"/>
          <w:rtl/>
        </w:rPr>
        <w:t xml:space="preserve">اشعار از شاعرانی مانند: طرزی ،اوحدی، جامی، فرخی، ابوبکربن محمد واعظ بلخی، سید عبدالله حالی، آقا رضا، حمیدی همدانی ،حافظ، در ص ۱۰۳ این عبارت تحریر شده: «متفرقات شعرایی که اشعار ایشان را کمتر از پنج شعر نوشته بودند در بیاض اصل» و سپس نام این شعرا و اشعارشان به چلیپا تحریر شده (ص۱۰۳- ۱۲۷)؛ خط: نسخ و نستعلیق، بی کا، تا: قرن ۱۱ و ۱۲؛ جلد: تیماج قهوه ای، ۵۲ص (۷۶-۱۲۷)، اندازه: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۲۴/۳ – ۱۵]
</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۵۸۰. تهران؛ مجلس؛ شماره نسخه: ۱۲۶۹/۴ط</w:t>
      </w:r>
    </w:p>
    <w:p>
      <w:pPr>
        <w:pStyle w:val="BookText"/>
      </w:pPr>
      <w:r>
        <w:rPr>
          <w:rFonts w:ascii="IRNazanin" w:hAnsi="IRNazanin" w:eastAsia="IRNazanin" w:cs="IRNazanin"/>
          <w:lang w:bidi="fa-IR"/>
          <w:color w:val="111111"/>
          <w:sz w:val="28"/>
          <w:szCs w:val="28"/>
          <w:rtl/>
        </w:rPr>
        <w:t xml:space="preserve">انجام: طوطی کلک نیاز از هوس قند لبت *** روز و شب شـهد شکر می چکد از منقارش</w:t>
      </w:r>
    </w:p>
    <w:p>
      <w:pPr>
        <w:pStyle w:val="BookText"/>
      </w:pPr>
      <w:r>
        <w:rPr>
          <w:rFonts w:ascii="IRNazanin" w:hAnsi="IRNazanin" w:eastAsia="IRNazanin" w:cs="IRNazanin"/>
          <w:lang w:bidi="fa-IR"/>
          <w:color w:val="111111"/>
          <w:sz w:val="28"/>
          <w:szCs w:val="28"/>
          <w:rtl/>
        </w:rPr>
        <w:t xml:space="preserve">غزل؛ خط: نسخ و نستعلیق ،بی کا، تا: قرن ۱۲؛ جلد: تیماج مشكـی، یک لا، 1ص ،(۸)، قطع: بیاضی، اندازه: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۲۴/۳ - ۴۶ ]</w:t>
      </w:r>
    </w:p>
    <w:p>
      <w:pPr>
        <w:pStyle w:val="BookText"/>
      </w:pPr>
      <w:r>
        <w:rPr>
          <w:rFonts w:ascii="IRNazanin" w:hAnsi="IRNazanin" w:eastAsia="IRNazanin" w:cs="IRNazanin"/>
          <w:lang w:bidi="fa-IR"/>
          <w:color w:val="111111"/>
          <w:sz w:val="28"/>
          <w:szCs w:val="28"/>
          <w:rtl/>
        </w:rPr>
        <w:t xml:space="preserve">۵۸۱. تهران؛ مجلس؛ شماره نسخه: ۱۲۶۹/۱۸ط</w:t>
      </w:r>
    </w:p>
    <w:p>
      <w:pPr>
        <w:pStyle w:val="BookText"/>
      </w:pPr>
      <w:r>
        <w:rPr>
          <w:rFonts w:ascii="IRNazanin" w:hAnsi="IRNazanin" w:eastAsia="IRNazanin" w:cs="IRNazanin"/>
          <w:lang w:bidi="fa-IR"/>
          <w:color w:val="111111"/>
          <w:sz w:val="28"/>
          <w:szCs w:val="28"/>
          <w:rtl/>
        </w:rPr>
        <w:t xml:space="preserve">آغاز: آرزو دارم که باشم خاک راه*** تا که روزی سر نهم در پای او؛ انجام: نرم تر اندام او از اطلس است *** سخت تر زاهن دل خارای او</w:t>
      </w:r>
    </w:p>
    <w:p>
      <w:pPr>
        <w:pStyle w:val="BookText"/>
      </w:pPr>
      <w:r>
        <w:rPr>
          <w:rFonts w:ascii="IRNazanin" w:hAnsi="IRNazanin" w:eastAsia="IRNazanin" w:cs="IRNazanin"/>
          <w:lang w:bidi="fa-IR"/>
          <w:color w:val="111111"/>
          <w:sz w:val="28"/>
          <w:szCs w:val="28"/>
          <w:rtl/>
        </w:rPr>
        <w:t xml:space="preserve">غزلیات؛ بر برخی از ابیات و واژه ها خط کشیده شده واصلاح شده؛ خط: نسخ و نستعلیق ،بی کا، تا: قرن ۱۲، جلد: تیماج مشکی، یک لا، ۴ ص (۲۰۶-۲۰۹) قطع: بیاضی اندازه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  ف: 24/3- 47]</w:t>
      </w:r>
    </w:p>
    <w:p>
      <w:pPr>
        <w:pStyle w:val="BookText"/>
      </w:pPr>
      <w:r>
        <w:rPr>
          <w:rFonts w:ascii="IRNazanin" w:hAnsi="IRNazanin" w:eastAsia="IRNazanin" w:cs="IRNazanin"/>
          <w:lang w:bidi="fa-IR"/>
          <w:color w:val="111111"/>
          <w:sz w:val="28"/>
          <w:szCs w:val="28"/>
          <w:rtl/>
        </w:rPr>
        <w:t xml:space="preserve">۵۸۲. تهران؛ مجلس؛ شماره نسخه: ۱۲۶۹/۲۲ط</w:t>
      </w:r>
    </w:p>
    <w:p>
      <w:pPr>
        <w:pStyle w:val="BookText"/>
      </w:pPr>
      <w:r>
        <w:rPr>
          <w:rFonts w:ascii="IRNazanin" w:hAnsi="IRNazanin" w:eastAsia="IRNazanin" w:cs="IRNazanin"/>
          <w:lang w:bidi="fa-IR"/>
          <w:color w:val="111111"/>
          <w:sz w:val="28"/>
          <w:szCs w:val="28"/>
          <w:rtl/>
        </w:rPr>
        <w:t xml:space="preserve">از جمله رباعی از طراز یزدی در وصف علی (علیه السّلام) و بیتی ازطوفان و اشعاری که نام سرایندگان آنها برده نشده؛ خط: نسخ و نستعلیق، بی کا، تا: قرن ۱۲؛ جلد: تیماج مشکی یک لا، ۵ص (۲۵۸-۶۲)  ، قطع: بیاضی ،اندازه: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۲۴/۳ - ۴۸]</w:t>
      </w:r>
    </w:p>
    <w:p>
      <w:pPr>
        <w:pStyle w:val="BookText"/>
      </w:pPr>
      <w:r>
        <w:rPr>
          <w:rFonts w:ascii="IRNazanin" w:hAnsi="IRNazanin" w:eastAsia="IRNazanin" w:cs="IRNazanin"/>
          <w:lang w:bidi="fa-IR"/>
          <w:color w:val="111111"/>
          <w:sz w:val="28"/>
          <w:szCs w:val="28"/>
          <w:rtl/>
        </w:rPr>
        <w:t xml:space="preserve">۵۸۳. تهران؛ مجلس؛ شماره نسخه: ۱۳۴۶/۳۴ط</w:t>
      </w:r>
    </w:p>
    <w:p>
      <w:pPr>
        <w:pStyle w:val="BookText"/>
      </w:pPr>
      <w:r>
        <w:rPr>
          <w:rFonts w:ascii="IRNazanin" w:hAnsi="IRNazanin" w:eastAsia="IRNazanin" w:cs="IRNazanin"/>
          <w:lang w:bidi="fa-IR"/>
          <w:color w:val="111111"/>
          <w:sz w:val="28"/>
          <w:szCs w:val="28"/>
          <w:rtl/>
        </w:rPr>
        <w:t xml:space="preserve">آغاز: جناب میر محمد حسین آنکه چون ذاتش *** نتافت اختر سعدی ز آسمان فضیلت؛ انجام: رقم زد از پی تاریخ فوت خـامه خادم *** فتاد نخل گل اما ز گلستان فضیلت</w:t>
      </w:r>
    </w:p>
    <w:p>
      <w:pPr>
        <w:pStyle w:val="BookText"/>
      </w:pPr>
      <w:r>
        <w:rPr>
          <w:rFonts w:ascii="IRNazanin" w:hAnsi="IRNazanin" w:eastAsia="IRNazanin" w:cs="IRNazanin"/>
          <w:lang w:bidi="fa-IR"/>
          <w:color w:val="111111"/>
          <w:sz w:val="28"/>
          <w:szCs w:val="28"/>
          <w:rtl/>
        </w:rPr>
        <w:t xml:space="preserve">قصیده ای در وفات میر محمد حسین به تاریخ ۱۱۵۱ق در حاشیه نسخه آمده: «وفات مرحوم والد ماجد قدس سره شهر ذيحجه الحرام ۱۱۵۲ ، وفات مرحوم حسین محرم سنه ۱۱۵۶»؛ خط: نسخ و نستعلیق، کا: ابراهيم بن رحمت الله حسینی نجفی، تا: قرن 11و ۱۲؛ جلد: تیماج سرخ، مجدول، ۱ص (۳۰۱)،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  سم[ ف: ۲۴/۳ - ۸۱]</w:t>
      </w:r>
    </w:p>
    <w:p>
      <w:pPr>
        <w:pStyle w:val="BookText"/>
      </w:pPr>
      <w:r>
        <w:rPr>
          <w:rFonts w:ascii="IRNazanin" w:hAnsi="IRNazanin" w:eastAsia="IRNazanin" w:cs="IRNazanin"/>
          <w:lang w:bidi="fa-IR"/>
          <w:color w:val="111111"/>
          <w:sz w:val="28"/>
          <w:szCs w:val="28"/>
          <w:rtl/>
        </w:rPr>
        <w:t xml:space="preserve">۵۸۴. تهران؛ مجلس؛ شماره نسخه: ۸۹۴۲/۷</w:t>
      </w:r>
    </w:p>
    <w:p>
      <w:pPr>
        <w:pStyle w:val="BookText"/>
      </w:pPr>
      <w:r>
        <w:rPr>
          <w:rFonts w:ascii="IRNazanin" w:hAnsi="IRNazanin" w:eastAsia="IRNazanin" w:cs="IRNazanin"/>
          <w:lang w:bidi="fa-IR"/>
          <w:color w:val="111111"/>
          <w:sz w:val="28"/>
          <w:szCs w:val="28"/>
          <w:rtl/>
        </w:rPr>
        <w:t xml:space="preserve">آغاز :گره شد همچو کو نطفه در پشت *** به لب چسبیده آتـش را سرانگشت / درون خلوتی شد هوش غزنی *** که بودید دسته گل ساغر می؛ انجام: ز بس جوشی که خون از چشم تر زد*** گل اشک از سر تابوت سر زد/ گران می رفت تابوت جهانبان*** زبر دستان به زیرش پای کوبان</w:t>
      </w:r>
    </w:p>
    <w:p>
      <w:pPr>
        <w:pStyle w:val="BookText"/>
      </w:pPr>
      <w:r>
        <w:rPr>
          <w:rFonts w:ascii="IRNazanin" w:hAnsi="IRNazanin" w:eastAsia="IRNazanin" w:cs="IRNazanin"/>
          <w:lang w:bidi="fa-IR"/>
          <w:color w:val="111111"/>
          <w:sz w:val="28"/>
          <w:szCs w:val="28"/>
          <w:rtl/>
        </w:rPr>
        <w:t xml:space="preserve">منظومه ای که از آغاز و انجام ناقص است و بدین دلیل شناخته نشد؛ خط: شکسته نستعلیق، بی کا، تا: قرن ۱۲؛ افتادگی: آغاز انجام؛ کاغذ: نیلی آهار مهره، جلد: میشن قهوه ای ضربی با ترنع  وسرترنج زرین، ۱۶ ص (۳-۱۸ حاشیه)، سطور چلیپا، اندازه: ۱۶/۴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۲۸/۳سم [ف: ۲۹/۱ - ۴۰۵]</w:t>
      </w:r>
    </w:p>
    <w:p>
      <w:pPr>
        <w:pStyle w:val="BookText"/>
      </w:pPr>
      <w:r>
        <w:rPr>
          <w:rFonts w:ascii="IRNazanin" w:hAnsi="IRNazanin" w:eastAsia="IRNazanin" w:cs="IRNazanin"/>
          <w:lang w:bidi="fa-IR"/>
          <w:color w:val="111111"/>
          <w:sz w:val="28"/>
          <w:szCs w:val="28"/>
          <w:rtl/>
        </w:rPr>
        <w:t xml:space="preserve">۵۸۵. تهران؛ مجلس؛ شماره نسخه: ۸۹۴۶/۱۹</w:t>
      </w:r>
    </w:p>
    <w:p>
      <w:pPr>
        <w:pStyle w:val="BookText"/>
      </w:pPr>
      <w:r>
        <w:rPr>
          <w:rFonts w:ascii="IRNazanin" w:hAnsi="IRNazanin" w:eastAsia="IRNazanin" w:cs="IRNazanin"/>
          <w:lang w:bidi="fa-IR"/>
          <w:color w:val="111111"/>
          <w:sz w:val="28"/>
          <w:szCs w:val="28"/>
          <w:rtl/>
        </w:rPr>
        <w:t xml:space="preserve">با سروده هایی از این شعرا: ابن یمین (ص ۴۷۳)، ابوالمؤید خطیب خارزمی (۱۶۳)، انوری (۴۷۳)، جامی (۴۷۳) خواجه نصیرالدین طوسی (۹۷)، شیخ بهایی (۲۳)، فضولی (۴۷۳) مجنون عامـری (۴۷۳)؛ خط: نسخ و نستعلیق تحریری، بی کا، تا: قرن ۱۲؛ کاغذ: فرنگی نخودی آهار مهره، جلد: تیماج قهوه ای مجدول گرهی،  اندازه: ۱۸/۲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۲۹/۱سم [ف: ۲۹/۱ – ۴۳۵]</w:t>
      </w:r>
    </w:p>
    <w:p>
      <w:pPr>
        <w:pStyle w:val="BookText"/>
      </w:pPr>
      <w:r>
        <w:rPr>
          <w:rFonts w:ascii="IRNazanin" w:hAnsi="IRNazanin" w:eastAsia="IRNazanin" w:cs="IRNazanin"/>
          <w:lang w:bidi="fa-IR"/>
          <w:color w:val="111111"/>
          <w:sz w:val="28"/>
          <w:szCs w:val="28"/>
          <w:rtl/>
        </w:rPr>
        <w:t xml:space="preserve">۵۸۶. تهران؛ مجلس؛ شماره نسخه: ۸۹۷۱/۱۴</w:t>
      </w:r>
    </w:p>
    <w:p>
      <w:pPr>
        <w:pStyle w:val="BookText"/>
      </w:pPr>
      <w:r>
        <w:rPr>
          <w:rFonts w:ascii="IRNazanin" w:hAnsi="IRNazanin" w:eastAsia="IRNazanin" w:cs="IRNazanin"/>
          <w:lang w:bidi="fa-IR"/>
          <w:color w:val="111111"/>
          <w:sz w:val="28"/>
          <w:szCs w:val="28"/>
          <w:rtl/>
        </w:rPr>
        <w:t xml:space="preserve">آغاز: عارفی طوف کنان رفت به باغ *** دید در باغ حمامی با زاغ دو مثنوی کوتاه. شامل حکایت زاغ و کبوتر و حکایت پیرزن که از حضرت سؤال کرد؛ خط: نستعلیق، بی کا، تا: قرن ۱۲؛ کاغذ: فرنگی نخودی آهار مهره ،جلد: میشن مشکی، اگ (۴۰ر- ۴۰پ)، ۲۳ سطر(۹/۵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۱۸/۵)،اندازه: ۱۶/۲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۲۶/۱سم [ف: ۲۹/۱-۵۰۳]</w:t>
      </w:r>
    </w:p>
    <w:p>
      <w:pPr>
        <w:pStyle w:val="BookText"/>
      </w:pPr>
      <w:r>
        <w:rPr>
          <w:rFonts w:ascii="IRNazanin" w:hAnsi="IRNazanin" w:eastAsia="IRNazanin" w:cs="IRNazanin"/>
          <w:lang w:bidi="fa-IR"/>
          <w:color w:val="111111"/>
          <w:sz w:val="28"/>
          <w:szCs w:val="28"/>
          <w:rtl/>
        </w:rPr>
        <w:t xml:space="preserve">۵۸۷. تهران؛ مجلس؛ شماره نسخه: ۸۹۷۱/۱۵</w:t>
      </w:r>
    </w:p>
    <w:p>
      <w:pPr>
        <w:pStyle w:val="BookText"/>
      </w:pPr>
      <w:r>
        <w:rPr>
          <w:rFonts w:ascii="IRNazanin" w:hAnsi="IRNazanin" w:eastAsia="IRNazanin" w:cs="IRNazanin"/>
          <w:lang w:bidi="fa-IR"/>
          <w:color w:val="111111"/>
          <w:sz w:val="28"/>
          <w:szCs w:val="28"/>
          <w:rtl/>
        </w:rPr>
        <w:t xml:space="preserve">آغاز: بغداد زیب انجمن هفت کشور است *** زان رو که تخت سلطنت هفت سرور است؛ انجام: وز هفت کشورند به این هفت بی نیاز *** شکر بر وی فضول شده است باز *** این خاک هر دری که فلک خاک این در است</w:t>
      </w:r>
    </w:p>
    <w:p>
      <w:pPr>
        <w:pStyle w:val="BookText"/>
      </w:pPr>
      <w:r>
        <w:rPr>
          <w:rFonts w:ascii="IRNazanin" w:hAnsi="IRNazanin" w:eastAsia="IRNazanin" w:cs="IRNazanin"/>
          <w:lang w:bidi="fa-IR"/>
          <w:color w:val="111111"/>
          <w:sz w:val="28"/>
          <w:szCs w:val="28"/>
          <w:rtl/>
        </w:rPr>
        <w:t xml:space="preserve">ترجیع بند در مدح هفت امام مدفون در عراق؛ خط: نستعلیق، بی کا، تا: قرن ۱۲؛ کاغذ: فرنگی نخودی آهار مهره، جلد: میشن مشکی، ۲گ، (۴۰-۴۱پ)، ۲۳ سطر (۹/۵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 اندازه:  ۱۶/۲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۲۶/۱سم [ف: ۲۹/۱ – ۵۰۳]</w:t>
      </w:r>
    </w:p>
    <w:p>
      <w:pPr>
        <w:pStyle w:val="BookText"/>
      </w:pPr>
      <w:r>
        <w:rPr>
          <w:rFonts w:ascii="IRNazanin" w:hAnsi="IRNazanin" w:eastAsia="IRNazanin" w:cs="IRNazanin"/>
          <w:lang w:bidi="fa-IR"/>
          <w:color w:val="111111"/>
          <w:sz w:val="28"/>
          <w:szCs w:val="28"/>
          <w:rtl/>
        </w:rPr>
        <w:t xml:space="preserve">۵۸۸. تهران؛ مجلس؛ شماره نسخه: ۸۹۷۱/۲۶</w:t>
      </w:r>
    </w:p>
    <w:p>
      <w:pPr>
        <w:pStyle w:val="BookText"/>
      </w:pPr>
      <w:r>
        <w:rPr>
          <w:rFonts w:ascii="IRNazanin" w:hAnsi="IRNazanin" w:eastAsia="IRNazanin" w:cs="IRNazanin"/>
          <w:lang w:bidi="fa-IR"/>
          <w:color w:val="111111"/>
          <w:sz w:val="28"/>
          <w:szCs w:val="28"/>
          <w:rtl/>
        </w:rPr>
        <w:t xml:space="preserve">اشعار ثنایی و فضولی؛ خط: نستعلیق، بی کا، تا: قرن ۱۲؛ کاغذ: فرنگی نخودی آهار مهره ،جلد: میشن مشکی، ۱گ (۵۶پ)، ۲۳ سطر (۱۸/۵۹/۵) اندازه: ۱۶/۲۰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۲۶/۱سم [ف: ۲۹/۱ - ۵۰۴]</w:t>
      </w:r>
    </w:p>
    <w:p>
      <w:pPr>
        <w:pStyle w:val="BookText"/>
      </w:pPr>
      <w:r>
        <w:rPr>
          <w:rFonts w:ascii="IRNazanin" w:hAnsi="IRNazanin" w:eastAsia="IRNazanin" w:cs="IRNazanin"/>
          <w:lang w:bidi="fa-IR"/>
          <w:color w:val="111111"/>
          <w:sz w:val="28"/>
          <w:szCs w:val="28"/>
          <w:rtl/>
        </w:rPr>
        <w:t xml:space="preserve">۵۸۹. تهران؛ مجلس؛ شماره نسخه: ۸۹۷۱/۳۹</w:t>
      </w:r>
    </w:p>
    <w:p>
      <w:pPr>
        <w:pStyle w:val="BookText"/>
      </w:pPr>
      <w:r>
        <w:rPr>
          <w:rFonts w:ascii="IRNazanin" w:hAnsi="IRNazanin" w:eastAsia="IRNazanin" w:cs="IRNazanin"/>
          <w:lang w:bidi="fa-IR"/>
          <w:color w:val="111111"/>
          <w:sz w:val="28"/>
          <w:szCs w:val="28"/>
          <w:rtl/>
        </w:rPr>
        <w:t xml:space="preserve">رباعی. شامل دو رباعی از میر مغیث و ملا سروری کاشی؛ خط: نسخ و نستعلیق، بی کا، تا: قرن ۱۲؛ کاغذ: فرنگی نخودی آهار مهره، جلد: میشن مشکی، ۴گ (۸۶پ-۸۹پ)، ۲۳ سطر (۹/۵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 اندازه: ۱۶/۲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۲۶/۱سم [ف: ۲۹/۱ - ۵۰۵]</w:t>
      </w:r>
    </w:p>
    <w:p>
      <w:pPr>
        <w:pStyle w:val="BookText"/>
      </w:pPr>
      <w:r>
        <w:rPr>
          <w:rFonts w:ascii="IRNazanin" w:hAnsi="IRNazanin" w:eastAsia="IRNazanin" w:cs="IRNazanin"/>
          <w:lang w:bidi="fa-IR"/>
          <w:color w:val="111111"/>
          <w:sz w:val="28"/>
          <w:szCs w:val="28"/>
          <w:rtl/>
        </w:rPr>
        <w:t xml:space="preserve">۵۹۰. تهران؛ مجلس؛ شماره نسخه: ۱۵۱۷۸</w:t>
      </w:r>
    </w:p>
    <w:p>
      <w:pPr>
        <w:pStyle w:val="BookText"/>
      </w:pPr>
      <w:r>
        <w:rPr>
          <w:rFonts w:ascii="IRNazanin" w:hAnsi="IRNazanin" w:eastAsia="IRNazanin" w:cs="IRNazanin"/>
          <w:lang w:bidi="fa-IR"/>
          <w:color w:val="111111"/>
          <w:sz w:val="28"/>
          <w:szCs w:val="28"/>
          <w:rtl/>
        </w:rPr>
        <w:t xml:space="preserve">اشعار و قطعات ادبی. از شاعرانی چون خاقانی، عرفی، طالب آملی، صائب؛ خط: نسخ و نستعلیق، بی کا، تا: قرن ۱۱-۱۲ [ مختصر: ف: - ۲۳۶]</w:t>
      </w:r>
    </w:p>
    <w:p>
      <w:pPr>
        <w:pStyle w:val="BookText"/>
      </w:pPr>
      <w:r>
        <w:rPr>
          <w:rFonts w:ascii="IRNazanin" w:hAnsi="IRNazanin" w:eastAsia="IRNazanin" w:cs="IRNazanin"/>
          <w:lang w:bidi="fa-IR"/>
          <w:color w:val="111111"/>
          <w:sz w:val="28"/>
          <w:szCs w:val="28"/>
          <w:rtl/>
        </w:rPr>
        <w:t xml:space="preserve">۵۹۱. تهران؛ دانشگاه؛ شماره نسخه: ۲۴۵۴/۱۷</w:t>
      </w:r>
    </w:p>
    <w:p>
      <w:pPr>
        <w:pStyle w:val="BookText"/>
      </w:pPr>
      <w:r>
        <w:rPr>
          <w:rFonts w:ascii="IRNazanin" w:hAnsi="IRNazanin" w:eastAsia="IRNazanin" w:cs="IRNazanin"/>
          <w:lang w:bidi="fa-IR"/>
          <w:color w:val="111111"/>
          <w:sz w:val="28"/>
          <w:szCs w:val="28"/>
          <w:rtl/>
        </w:rPr>
        <w:t xml:space="preserve">اشعاری از: نظیری، آقا عبدالوالی ،ذخیری ،عطار ،مولوی، میرزا محمد محقق جانشین قاضی اسدالله، سلطان ابوسعید، نظامی، شیخ محمد على مؤذن، افضل کاشی، قاضی اسد کاشی، شاه قاسم الانوار ،سید شمس، سلطان بایزید در ص۱۷۲-۱۵۶ شعری است از سنائی مورخ ۲۷ ذیحجه ۱۱۰۸ در شیراز؛ خط: شکسته نستعلیق، کا: تحسین، تا: ۲۴ جمادی الاول ۱۱۰۱ق، جا: دارابگرد شیراز؛ کاغذ: سپاهانی، جلد: تیماج تریاکی ضربی گرد مشکی درون سرخ، ۳۸ ص (۱۵۱-۱۸۸) ،۲۵ سطر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۲۴/۵سم [ف: ۹ - ۱۱۸۹]</w:t>
      </w:r>
    </w:p>
    <w:p>
      <w:pPr>
        <w:pStyle w:val="BookText"/>
      </w:pPr>
      <w:r>
        <w:rPr>
          <w:rFonts w:ascii="Amiri" w:hAnsi="Amiri" w:eastAsia="Amiri" w:cs="Amiri"/>
          <w:lang w:bidi="ar-SA"/>
          <w:color w:val="111111"/>
          <w:sz w:val="28"/>
          <w:szCs w:val="28"/>
          <w:rtl/>
        </w:rPr>
        <w:t xml:space="preserve">۵۹۲. تهران؛ دائرة المعارف؛ شماره نسخه: ۱۵۷/۳</w:t>
      </w:r>
    </w:p>
    <w:p>
      <w:pPr>
        <w:pStyle w:val="BookText"/>
      </w:pPr>
      <w:r>
        <w:rPr>
          <w:rFonts w:ascii="IRNazanin" w:hAnsi="IRNazanin" w:eastAsia="IRNazanin" w:cs="IRNazanin"/>
          <w:lang w:bidi="fa-IR"/>
          <w:color w:val="111111"/>
          <w:sz w:val="28"/>
          <w:szCs w:val="28"/>
          <w:rtl/>
        </w:rPr>
        <w:t xml:space="preserve">آغاز: چند نصیحت کنم تا تو شوی هوشیار *** بر عمل حق ترا
</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صدق شود آشکار؛ انجام: یک جو ازین ارض سرخ، بر سر الـف از جسد*** چون فکنی زر شود، تازه زری نامدار</w:t>
      </w:r>
    </w:p>
    <w:p>
      <w:pPr>
        <w:pStyle w:val="BookText"/>
      </w:pPr>
      <w:r>
        <w:rPr>
          <w:rFonts w:ascii="IRNazanin" w:hAnsi="IRNazanin" w:eastAsia="IRNazanin" w:cs="IRNazanin"/>
          <w:lang w:bidi="fa-IR"/>
          <w:color w:val="111111"/>
          <w:sz w:val="28"/>
          <w:szCs w:val="28"/>
          <w:rtl/>
        </w:rPr>
        <w:t xml:space="preserve">قصیدهای است رائیه در ۳۰ بیت و نام سراینده را ندارد، جز آنکه در آن آمده است: لشکر هندوستان، چونکه در آید به روم*** رومیه روم را زود بدیشان سپار. نسخه ای دیگر از این قصیده در کتابخانه شماره ۲ مجلس شورای اسلامی نگاهداری می شود که در فهرست آن از «مولوی رومی» دانسته شده است (سنا ۳۳/۲). در نسخه ها (۶۳۴/۱) از كيميا اثر «مولانا محمد رومی» نشانی داده شده؛ خط: نسخ پخته، بی کا، تا: ۱۱۰۴ق؛ اص (۵۱ر) [ف: ۱ - 210]</w:t>
      </w:r>
    </w:p>
    <w:p>
      <w:pPr>
        <w:pStyle w:val="BookText"/>
      </w:pPr>
      <w:r>
        <w:rPr>
          <w:rFonts w:ascii="IRNazanin" w:hAnsi="IRNazanin" w:eastAsia="IRNazanin" w:cs="IRNazanin"/>
          <w:lang w:bidi="fa-IR"/>
          <w:color w:val="111111"/>
          <w:sz w:val="28"/>
          <w:szCs w:val="28"/>
          <w:rtl/>
        </w:rPr>
        <w:t xml:space="preserve">593.تهران؛ دانشگاه؛ شماره نسخه: ۱۰۹۳۱/۱۵</w:t>
      </w:r>
    </w:p>
    <w:p>
      <w:pPr>
        <w:pStyle w:val="BookText"/>
      </w:pPr>
      <w:r>
        <w:rPr>
          <w:rFonts w:ascii="IRNazanin" w:hAnsi="IRNazanin" w:eastAsia="IRNazanin" w:cs="IRNazanin"/>
          <w:lang w:bidi="fa-IR"/>
          <w:color w:val="111111"/>
          <w:sz w:val="28"/>
          <w:szCs w:val="28"/>
          <w:rtl/>
        </w:rPr>
        <w:t xml:space="preserve">آغاز: دگر از باده تحقیق مستم تا چه پیش آید *** زرنج و مـحنت ایام رستم تا چه پیش آید</w:t>
      </w:r>
    </w:p>
    <w:p>
      <w:pPr>
        <w:pStyle w:val="BookText"/>
      </w:pPr>
      <w:r>
        <w:rPr>
          <w:rFonts w:ascii="IRNazanin" w:hAnsi="IRNazanin" w:eastAsia="IRNazanin" w:cs="IRNazanin"/>
          <w:lang w:bidi="fa-IR"/>
          <w:color w:val="111111"/>
          <w:sz w:val="28"/>
          <w:szCs w:val="28"/>
          <w:rtl/>
        </w:rPr>
        <w:t xml:space="preserve">چند غزل و یک رباعی؛ خط: نستعلیق، بی کا، تا: شعبان ۱۱۰۴ق؛ انجامه: به تاریخ شهر شعبان المعظم سنه ۱۱۰۴ موافق تخاقوی ئیل در قریه سرو (؟) قلمی شد العبد الراجی محمد»  ،نوشته محمد قریه سرو؟؛ جلد: تیماج قهوه ای یک لادو رو، اگ (۸۱پ)، سطور چلیپا ابعاد متن: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20- 514]</w:t>
      </w:r>
    </w:p>
    <w:p>
      <w:pPr>
        <w:pStyle w:val="BookText"/>
      </w:pPr>
      <w:r>
        <w:rPr>
          <w:rFonts w:ascii="IRNazanin" w:hAnsi="IRNazanin" w:eastAsia="IRNazanin" w:cs="IRNazanin"/>
          <w:lang w:bidi="fa-IR"/>
          <w:color w:val="111111"/>
          <w:sz w:val="28"/>
          <w:szCs w:val="28"/>
          <w:rtl/>
        </w:rPr>
        <w:t xml:space="preserve">۵۹۴. قم؛ مرعشی؛ شماره نسخه: ۱۰۸۳۸</w:t>
      </w:r>
    </w:p>
    <w:p>
      <w:pPr>
        <w:pStyle w:val="BookText"/>
      </w:pPr>
      <w:r>
        <w:rPr>
          <w:rFonts w:ascii="IRNazanin" w:hAnsi="IRNazanin" w:eastAsia="IRNazanin" w:cs="IRNazanin"/>
          <w:lang w:bidi="fa-IR"/>
          <w:color w:val="111111"/>
          <w:sz w:val="28"/>
          <w:szCs w:val="28"/>
          <w:rtl/>
        </w:rPr>
        <w:t xml:space="preserve">اشعاری بدون نظم خاص از: ادهم محمد قلی سلیم، بابا افضـل، ميرزا حسن خان الفت و امام ویردی خان، ملا محمد امین استر آبادی، میر غیاث الدین محمد انور، حکیم انوری، اوحدی، اهلی شیرازی، میرزا طاهر وحید، میر عبدالوحيد، ملا ولی، میـرزا هادی، ملا هاشم، محمد زمان همت، ملا هجری، میرزا شجاع همت، میر فاضل همام، میرزا مقیم همت، زین العابدین همـت، سلطان یعقوب ،میر یحیی، محمد صالح رافع، ملا رحمی، میـرزا سعد الدين راقم، رحیم عتیقی، رضا هراتی ،رسوا، ملا رضـی ،آرتیمانی، محمد هادی رمزی، میرزا قاسم زاهد، زایر شوشتری، زایر دامغانی، سید حسن زینتی، میر سالم، فریدون بیک سابق، ملا صحابی نجفی، شیخ ابوسعید ابوالخیر، سعدی شیرازی، میرزا سعید خشتی، خواجه سلیمان، شاه شجاع، سید علی حسینی همدانی، ملاشانی، میر محمد حسین شوقی، شوکت بخارایی، شیخ زاده لاهیجی، ملا محمد صادق نیشابوری، میرزا معصوم صابر، میرزا صادق دستغیب، محمد صالح شیرازی، محمد صالح رضوی، میرزا محمد علی صائب، حاجی صادق صامت، ملا محمد صوفی، صبحى، ملا صدر الدین محمد ،ضمیری ،میر ابوطالب، ملا محـمد طاهر قمی، بابا طاهر عریان، میرزا طاهر قمشه ای ،ظهوری، ظهیرا بروجردی، میرزا عابد شیرازی، عارف رومی، میرزا مهدی عالی، مير منصور عاشق، عجم قلى ذو القدر، شاه عباس ثانی، میرزا عبد الله منشی، عرفی شیرازی، میر عطاء الله، عظیما پیشنماز، فرید الدين عطار، مير عين على؛ خط: نستعلیق خوش، کا: علی حسینی ،تا: ۷ ربیع الاول ۱۱۰۷ق، برای میرزا محمد جعفر اصفهانی، مجدول؛ جلد: روغنی گل و بوته دار ،۴۴گ، مختلف السطر،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۲۷ - ۲۵۴]</w:t>
      </w:r>
    </w:p>
    <w:p>
      <w:pPr>
        <w:pStyle w:val="BookText"/>
      </w:pPr>
      <w:r>
        <w:rPr>
          <w:rFonts w:ascii="IRNazanin" w:hAnsi="IRNazanin" w:eastAsia="IRNazanin" w:cs="IRNazanin"/>
          <w:lang w:bidi="fa-IR"/>
          <w:color w:val="111111"/>
          <w:sz w:val="28"/>
          <w:szCs w:val="28"/>
          <w:rtl/>
        </w:rPr>
        <w:t xml:space="preserve">۵۹۵. تهران؛ مجلس؛ شماره نسخه: ۹۴۶۹/۳۰</w:t>
      </w:r>
    </w:p>
    <w:p>
      <w:pPr>
        <w:pStyle w:val="BookText"/>
      </w:pPr>
      <w:r>
        <w:rPr>
          <w:rFonts w:ascii="IRNazanin" w:hAnsi="IRNazanin" w:eastAsia="IRNazanin" w:cs="IRNazanin"/>
          <w:lang w:bidi="fa-IR"/>
          <w:color w:val="111111"/>
          <w:sz w:val="28"/>
          <w:szCs w:val="28"/>
          <w:rtl/>
        </w:rPr>
        <w:t xml:space="preserve">محمد طاهر راسنجی قزوینی و عبید زاکانی؛ خط: نستعلیق، کا: محمد طاهر راسنجی، تا: ۱۱۰۸ق؛ اص (۳۹) [مختصر: ف: ۵۹]</w:t>
      </w:r>
    </w:p>
    <w:p>
      <w:pPr>
        <w:pStyle w:val="BookText"/>
      </w:pPr>
      <w:r>
        <w:rPr>
          <w:rFonts w:ascii="IRNazanin" w:hAnsi="IRNazanin" w:eastAsia="IRNazanin" w:cs="IRNazanin"/>
          <w:lang w:bidi="fa-IR"/>
          <w:color w:val="111111"/>
          <w:sz w:val="28"/>
          <w:szCs w:val="28"/>
          <w:rtl/>
        </w:rPr>
        <w:t xml:space="preserve">۵۹۶. تهران؛ مجلس؛ شماره نسخه: ۸۸۵۳/۱</w:t>
      </w:r>
    </w:p>
    <w:p>
      <w:pPr>
        <w:pStyle w:val="BookText"/>
      </w:pPr>
      <w:r>
        <w:rPr>
          <w:rFonts w:ascii="IRNazanin" w:hAnsi="IRNazanin" w:eastAsia="IRNazanin" w:cs="IRNazanin"/>
          <w:lang w:bidi="fa-IR"/>
          <w:color w:val="111111"/>
          <w:sz w:val="28"/>
          <w:szCs w:val="28"/>
          <w:rtl/>
        </w:rPr>
        <w:t xml:space="preserve">شامل سروده هایی از: علینقی مظهری کشمیری، محمد قاسم رازی ،آصفی، رفیع مشهدی، میرزا غیاث بیگ، نیشابوری، سلمان ،ساوجی ،ناطق ،خیام ،نصیرا، تاریخ جلوس شاه صفی، تاریخ جلوس شاه اسمعیل از میر حیدر معما، تاریخ فوت شيخ بهاء الدين محمد که مرزا حکیم یزدی گفته، آقا طاهر، عرفی شیرازی، میر عبدالرشید ،مونسی، محمد هادی ،سحابی، نواب ابوالخیر میرزا،میر مهری، ابدال پیر سلطان (به ترکی) ،میرادات یزدی، در کی</w:t>
      </w:r>
    </w:p>
    <w:p>
      <w:pPr>
        <w:pStyle w:val="BookText"/>
      </w:pPr>
      <w:r>
        <w:rPr>
          <w:rFonts w:ascii="IRNazanin" w:hAnsi="IRNazanin" w:eastAsia="IRNazanin" w:cs="IRNazanin"/>
          <w:lang w:bidi="fa-IR"/>
          <w:color w:val="111111"/>
          <w:sz w:val="28"/>
          <w:szCs w:val="28"/>
          <w:rtl/>
        </w:rPr>
        <w:t xml:space="preserve">قمی، مولانا حسن وهمی، طالب آملی، میرزا نوری فتوت، صایب، میرزا ملک مشرقی، میرزا نظام دست غیب، لازم، طالب کلیم، تاریخ عزل روزبهان، نظیری؛ خط: نستعلیق، کا: جعفر بن محمد بدیع، تا: ۱۱۰۹ق ،جا: مشهد؛ افتادگی: آغاز؛ نوشته های این جنگ بسیار ریز و درهم کتابت شده از این جهت در بعضی از بخش ها خط نسخه بسیار سخت خوان می شود، مطالب در متن و حاشیه،نوشته های متن و حاشیه از هم جداست و نسخه تا برگ ۳۰۷ در حاشیه کتابت دارد. در متن بیشتر بخش ها به صورت سه ستون چلیپا و سه ستون تک سطری (بین سطور چلیپا) از پایین به بالا نوشته شده به صورتی که از آغاز سمت راست هر صفحه متن آغاز و پایین سمت چپ مطلب پایان می یابد، کاتب سعی می کرده با این طرز کتاب پردازی و ریز نوشتن کلمات و حروف مطالب بیشتری را در فضایی کم جای دهد، در وسط حاشیه های نسخه از گردش ۹۰ درجه ای قلم و زاویه کتابت مثلث تو خالی کوچکی در همه صفحات شکل گرفته است، در برگ آخر نسخه تاریخ جواب گرفتن در ۲۷ صفر ۱۱۵۸ ق و چند یادداشت معاملاتی به سیاق، پایان هر برگ دو رکابه نوشته شده: یکی مربوط به متن و دیگری حاشیه، رکابه ها معمولا چند کلمه ای است و هر دو عبارت رکابه در کنار هم نوشته شده اند، در حاشیه آخرین سطر بخش روی برگ ها اولین کلمات سطر آغازین صفحه بعدی به مثابه رکابه تکرار شده است، جزوها ۸ برگی؛ مهر: «محمد اشرف است ۱۱۷۴»(مربع)؛ خریداری از باقر ترقی؛ کاغذ: نخودی آهار مهره ،جلد: تیماج قهوه ای ضربی با ترنج و سرترنج عنابی، ۶گ (۱ر-۶پ) [ف: ۲۹/۱-۱۳۱]</w:t>
      </w:r>
    </w:p>
    <w:p>
      <w:pPr>
        <w:pStyle w:val="BookText"/>
      </w:pPr>
      <w:r>
        <w:rPr>
          <w:rFonts w:ascii="IRNazanin" w:hAnsi="IRNazanin" w:eastAsia="IRNazanin" w:cs="IRNazanin"/>
          <w:lang w:bidi="fa-IR"/>
          <w:color w:val="111111"/>
          <w:sz w:val="28"/>
          <w:szCs w:val="28"/>
          <w:rtl/>
        </w:rPr>
        <w:t xml:space="preserve">۵۹۷. تهران؛ مجلس؛ شماره نسخه: ۸۸۵۳/۹</w:t>
      </w:r>
    </w:p>
    <w:p>
      <w:pPr>
        <w:pStyle w:val="BookText"/>
      </w:pPr>
      <w:r>
        <w:rPr>
          <w:rFonts w:ascii="IRNazanin" w:hAnsi="IRNazanin" w:eastAsia="IRNazanin" w:cs="IRNazanin"/>
          <w:lang w:bidi="fa-IR"/>
          <w:color w:val="111111"/>
          <w:sz w:val="28"/>
          <w:szCs w:val="28"/>
          <w:rtl/>
        </w:rPr>
        <w:t xml:space="preserve">از این سرایندگان ملا نظام استر آبادی، عماد شهریاری، خواجه حافظ شیرازی، شیخ نظامی گنجه ای، ملا وحشی، آصفی، اهلی، ابن غیاث ،آزری ،معزی ،شاپور ،نزاری ملا طبعی قزوینی، ملا عبدالرحمن مهنه ای، شیخ ندالی ،قدسی، هلالی، جامی، بحر ،طویل ،فغانی، حکیم سنایی ،صایب، قانعی، محمدقلی سلیم، فارغا، ملاعرفی، ملاحاجی بیگ مشهور به حقیری، ملاعلی نقیف حكيم ركنا؛ خط: نستعلیق، کا: جعفر بن محمد بدیع، تا: ۱۱۰۹ق،
</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 مشهد؛ پس از برگ ۹۳ افتادگی دارد؛ کاغذ: نخودی آهار مهره، جلد: تیماج قهوه ای ضربی با ترنج و سرترنج عنابی، ۱۷گ (۷۶ ر-۹۲ پ) [ف: ۲۹/۱ - ۱۳۵]</w:t>
      </w:r>
    </w:p>
    <w:p>
      <w:pPr>
        <w:pStyle w:val="BookText"/>
      </w:pPr>
      <w:r>
        <w:rPr>
          <w:rFonts w:ascii="IRNazanin" w:hAnsi="IRNazanin" w:eastAsia="IRNazanin" w:cs="IRNazanin"/>
          <w:lang w:bidi="fa-IR"/>
          <w:color w:val="111111"/>
          <w:sz w:val="28"/>
          <w:szCs w:val="28"/>
          <w:rtl/>
        </w:rPr>
        <w:t xml:space="preserve">۵۹۸. تهران؛ مجلس؛ شماره نسخه: ۸۸۵۳/۱۱</w:t>
      </w:r>
    </w:p>
    <w:p>
      <w:pPr>
        <w:pStyle w:val="BookText"/>
      </w:pPr>
      <w:r>
        <w:rPr>
          <w:rFonts w:ascii="IRNazanin" w:hAnsi="IRNazanin" w:eastAsia="IRNazanin" w:cs="IRNazanin"/>
          <w:lang w:bidi="fa-IR"/>
          <w:color w:val="111111"/>
          <w:sz w:val="28"/>
          <w:szCs w:val="28"/>
          <w:rtl/>
        </w:rPr>
        <w:t xml:space="preserve">اشعاری از: ابوالمفاخز رازی ،خاقانی، رشید و طواط، از تـحفة العراقين، انوری، مجد همگر، مولانا حسن کاشی و خواجوی کرمانی؛ خط: نستعلیق، کا: جعفر بن محمد بدیع،تا: ۱۱۰۹ق، جا:مشهد؛ کاغذ: نخودی آهار مهره، جلد: تیماج قهوه ای ضربی با ترنج و سر ترنج عنابی، ۴گ (۱۲۰ر-۱۲۳پ) [ف: ۲۹/۱ - ۱۳۵]</w:t>
      </w:r>
    </w:p>
    <w:p>
      <w:pPr>
        <w:pStyle w:val="BookText"/>
      </w:pPr>
      <w:r>
        <w:rPr>
          <w:rFonts w:ascii="IRNazanin" w:hAnsi="IRNazanin" w:eastAsia="IRNazanin" w:cs="IRNazanin"/>
          <w:lang w:bidi="fa-IR"/>
          <w:color w:val="111111"/>
          <w:sz w:val="28"/>
          <w:szCs w:val="28"/>
          <w:rtl/>
        </w:rPr>
        <w:t xml:space="preserve">۵۹۹. تهران؛ مجلس؛ شماره نسخه: ۸۸۵۳/۵۹</w:t>
      </w:r>
    </w:p>
    <w:p>
      <w:pPr>
        <w:pStyle w:val="BookText"/>
      </w:pPr>
      <w:r>
        <w:rPr>
          <w:rFonts w:ascii="IRNazanin" w:hAnsi="IRNazanin" w:eastAsia="IRNazanin" w:cs="IRNazanin"/>
          <w:lang w:bidi="fa-IR"/>
          <w:color w:val="111111"/>
          <w:sz w:val="28"/>
          <w:szCs w:val="28"/>
          <w:rtl/>
        </w:rPr>
        <w:t xml:space="preserve">انجام: انجامه: «بتاریخ ۲۵ شهر شوال سنه ۱۱۰۸ سمت اتـمام یافت».</w:t>
      </w:r>
    </w:p>
    <w:p>
      <w:pPr>
        <w:pStyle w:val="BookText"/>
      </w:pPr>
      <w:r>
        <w:rPr>
          <w:rFonts w:ascii="IRNazanin" w:hAnsi="IRNazanin" w:eastAsia="IRNazanin" w:cs="IRNazanin"/>
          <w:lang w:bidi="fa-IR"/>
          <w:color w:val="111111"/>
          <w:sz w:val="28"/>
          <w:szCs w:val="28"/>
          <w:rtl/>
        </w:rPr>
        <w:t xml:space="preserve">از این سرایندگان :ناظم ،نامی، محمد قی سلیم، طالب آملی، صانع بالا مرغابی (؟)، ابن یمین، میرزا رفیع منشی، صایب، میرزا سـعد الدین ،طفیلی، میرزا بدیع الزمان، محمد سعيد، خلاق المعانی ،فیضی، ملا مؤمن بن حسین یزدی ؛خط: نستعلیق، کا: جعفر بن محمد بدیع، تا: ۱۱۰۹ق، جا: مشهد؛ کاغذ: نخودی آهار مهـره ،جلد: تيماج قهوه ای ضربی با ترنج و سرترنج عنابی، ۱گ (۲۰۵ر- ۲۰۵پ) [ف: ۲۹/۱ - ۱۴۰]</w:t>
      </w:r>
    </w:p>
    <w:p>
      <w:pPr>
        <w:pStyle w:val="BookText"/>
      </w:pPr>
      <w:r>
        <w:rPr>
          <w:rFonts w:ascii="IRNazanin" w:hAnsi="IRNazanin" w:eastAsia="IRNazanin" w:cs="IRNazanin"/>
          <w:lang w:bidi="fa-IR"/>
          <w:color w:val="111111"/>
          <w:sz w:val="28"/>
          <w:szCs w:val="28"/>
          <w:rtl/>
        </w:rPr>
        <w:t xml:space="preserve">۶۰۰. تهران؛ مجلس؛ شماره نسخه: ۸۸۵۳/۶۱</w:t>
      </w:r>
    </w:p>
    <w:p>
      <w:pPr>
        <w:pStyle w:val="BookText"/>
      </w:pPr>
      <w:r>
        <w:rPr>
          <w:rFonts w:ascii="IRNazanin" w:hAnsi="IRNazanin" w:eastAsia="IRNazanin" w:cs="IRNazanin"/>
          <w:lang w:bidi="fa-IR"/>
          <w:color w:val="111111"/>
          <w:sz w:val="28"/>
          <w:szCs w:val="28"/>
          <w:rtl/>
        </w:rPr>
        <w:t xml:space="preserve">از :تجلی ،صایب، سحابی ،اعجاز ،در کی ،نظیری ،زمانا، اسـیر ،شانی ،فرصت ،میرصیدی ،وحید، سلطانعلی، بیگ، سلیـما ، محمدصالح محمد صالح صوفی، مجذوب، مرزا رضی، آقا رضی، حکیم محمد سعيد قمی، حکیم سنایی، مرزا سید علی، شیخ علينقی، ملاوارسته، شیدا، طالب کلیم، خط: نستعليق، كا: جعفر بن محـمد، بدیع، تا: ۱۱۰۹ق، جا: مشهد؛ کاغذ: نخودی آهار مهره، جلد: تیماج قهوه ای ضربی با ترنج و سر ترنج ،عنابی، ۲گ (223ر- ۲۲۴ ر)[ف: 29/1 - ۱۴۰]</w:t>
      </w:r>
    </w:p>
    <w:p>
      <w:pPr>
        <w:pStyle w:val="BookText"/>
      </w:pPr>
      <w:r>
        <w:rPr>
          <w:rFonts w:ascii="IRNazanin" w:hAnsi="IRNazanin" w:eastAsia="IRNazanin" w:cs="IRNazanin"/>
          <w:lang w:bidi="fa-IR"/>
          <w:color w:val="111111"/>
          <w:sz w:val="28"/>
          <w:szCs w:val="28"/>
          <w:rtl/>
        </w:rPr>
        <w:t xml:space="preserve">۶۰۱. تهران؛ مجلس؛ شماره نسخه: ۸۸۵۳/۶۲</w:t>
      </w:r>
    </w:p>
    <w:p>
      <w:pPr>
        <w:pStyle w:val="BookText"/>
      </w:pPr>
      <w:r>
        <w:rPr>
          <w:rFonts w:ascii="IRNazanin" w:hAnsi="IRNazanin" w:eastAsia="IRNazanin" w:cs="IRNazanin"/>
          <w:lang w:bidi="fa-IR"/>
          <w:color w:val="111111"/>
          <w:sz w:val="28"/>
          <w:szCs w:val="28"/>
          <w:rtl/>
        </w:rPr>
        <w:t xml:space="preserve">اشعاری از: فردوسی، امیر خسرو دهلوی ،کمال ،حقیری ،آصفـی،صبحی ،میلی، فصیحی ،وحدتی ،گیلانی، واعظی همدانی، عرفی ،شمعی ،طیفی، شاه طاهر دکنی ،نرگشی ،امتی ،سایلی، کاتبی ،سیفی ،رستمی، شیخ روزبهان ،هلاکی ،صبوری ،هلالی ، ازمثنوی ،امیدی، شاپور، میرزا حسین طالبی آملی، نظیری، جرات،از اوجی، از قضا و قدر میرزا معصوم، سلیم مهدی، ابوتراب بیگ، صفی قلی بیگ، سبحانی، خلدی(؟)، شیخ شهاب الدین، سعدی، جامی، عماد، شیخ حکیم، حافظ، سوزنی، ریاضی، ناصرخسرو، صوفی ،انوری ،اسدی ،اوحدی ،شوقی ،ساغری ،شاهی، سـید ،عبدالواسع ،آذری ،والهی ،عبدالواحد ،حمید، ژنده پیل، آهـی، شهیدی، خالص، سید کاظمی، مجد همگر، مولوی روم ،یوسف ،میر قاسم ،عاشقی ،شیخی ،فغانی ،خاقانی ،همایون ،خلیل، اسـیر ،ظهوری ،در کی، فضولی، نظامی ؛خط: نستعليق، كا: جعفر بن محمد بدیع، تا: ۱۱۰۹ق، جا: مشهد؛ کاغذ: نخودی آهار مهره،جلد: تيماج قهوه ای ضربی با ترنج و سرترنج عنابی، ۱۶گ (۲۷۸پ-۲۹۳ پ) [ف: 29/1 - ۱۴۱]</w:t>
      </w:r>
    </w:p>
    <w:p>
      <w:pPr>
        <w:pStyle w:val="BookText"/>
      </w:pPr>
      <w:r>
        <w:rPr>
          <w:rFonts w:ascii="IRNazanin" w:hAnsi="IRNazanin" w:eastAsia="IRNazanin" w:cs="IRNazanin"/>
          <w:lang w:bidi="fa-IR"/>
          <w:color w:val="111111"/>
          <w:sz w:val="28"/>
          <w:szCs w:val="28"/>
          <w:rtl/>
        </w:rPr>
        <w:t xml:space="preserve">۶۰۲. تهران؛ مجلس؛ شماره نسخه: ۸۸۵۳/۶۴</w:t>
      </w:r>
    </w:p>
    <w:p>
      <w:pPr>
        <w:pStyle w:val="BookText"/>
      </w:pPr>
      <w:r>
        <w:rPr>
          <w:rFonts w:ascii="IRNazanin" w:hAnsi="IRNazanin" w:eastAsia="IRNazanin" w:cs="IRNazanin"/>
          <w:lang w:bidi="fa-IR"/>
          <w:color w:val="111111"/>
          <w:sz w:val="28"/>
          <w:szCs w:val="28"/>
          <w:rtl/>
        </w:rPr>
        <w:t xml:space="preserve">انجام: بتاریخ شهر محرم الحرام صورت اتمام یافت الهی عاقبت به خیر و ... بوده باشد.</w:t>
      </w:r>
    </w:p>
    <w:p>
      <w:pPr>
        <w:pStyle w:val="BookText"/>
      </w:pPr>
      <w:r>
        <w:rPr>
          <w:rFonts w:ascii="IRNazanin" w:hAnsi="IRNazanin" w:eastAsia="IRNazanin" w:cs="IRNazanin"/>
          <w:lang w:bidi="fa-IR"/>
          <w:color w:val="111111"/>
          <w:sz w:val="28"/>
          <w:szCs w:val="28"/>
          <w:rtl/>
        </w:rPr>
        <w:t xml:space="preserve">شامل ترکیب بند رونقی ،ظهوری ،صافی، اوحدی، بنایی ،خالصی ،ریاضی ،وفایی ،جامی ،سهیلی ،جلال، يوسف، سعدی، ،حمید ،اسیر ،اهلی ،سیفی ،انیسی ،شهیدی، سهیلی ،شاهی، وصالی ،خیالی، میر علیشیر ،کمال، کاتبی؛ خط: نستعلیق، کا: جعفر بن محمد بدیع، تا: ۱۱۰۹ق؛ جا: مشهد؛ ۶۵. من كلام ملا واثق (۲۹۵ ر -۲۹۵پ) ؛کاغذ: نخودی آهار مهره، جلد: تیماج قهوه ای ضربی با ترنج و سرترنج عنابی، (۲گ (۲۹۴ ر-۲۹۵پ) [ف: 29/1- ۱۴۱]</w:t>
      </w:r>
    </w:p>
    <w:p>
      <w:pPr>
        <w:pStyle w:val="BookText"/>
      </w:pPr>
      <w:r>
        <w:rPr>
          <w:rFonts w:ascii="IRNazanin" w:hAnsi="IRNazanin" w:eastAsia="IRNazanin" w:cs="IRNazanin"/>
          <w:lang w:bidi="fa-IR"/>
          <w:color w:val="111111"/>
          <w:sz w:val="28"/>
          <w:szCs w:val="28"/>
          <w:rtl/>
        </w:rPr>
        <w:t xml:space="preserve">۶۰۳. تهران؛ مجلس؛ شماره نسخه: ۸۸۵۳/۸۴</w:t>
      </w:r>
    </w:p>
    <w:p>
      <w:pPr>
        <w:pStyle w:val="BookText"/>
      </w:pPr>
      <w:r>
        <w:rPr>
          <w:rFonts w:ascii="IRNazanin" w:hAnsi="IRNazanin" w:eastAsia="IRNazanin" w:cs="IRNazanin"/>
          <w:lang w:bidi="fa-IR"/>
          <w:color w:val="111111"/>
          <w:sz w:val="28"/>
          <w:szCs w:val="28"/>
          <w:rtl/>
        </w:rPr>
        <w:t xml:space="preserve">آغاز: قصاید ادیب صابر. لب تو طعنه زند گوهر بدخشان را *** رخ تو تیره کند آفتاب تابان را؛ انجام: در کفر میاویز و در ایمان منگر *** تا عزت بار و افتقارم بینی</w:t>
      </w:r>
    </w:p>
    <w:p>
      <w:pPr>
        <w:pStyle w:val="BookText"/>
      </w:pPr>
      <w:r>
        <w:rPr>
          <w:rFonts w:ascii="IRNazanin" w:hAnsi="IRNazanin" w:eastAsia="IRNazanin" w:cs="IRNazanin"/>
          <w:lang w:bidi="fa-IR"/>
          <w:color w:val="111111"/>
          <w:sz w:val="28"/>
          <w:szCs w:val="28"/>
          <w:rtl/>
        </w:rPr>
        <w:t xml:space="preserve">شامل اشعار ادیب صابر، میر سید علی واعظ از متقدمین، شیخ عارف نورالدین، خواجه حافظ شیرازی، رکن صابر، اهلی شیرازی، شیخ الاسلام احمد جامی، بابا فغانی، مولانا محمد شیرین مغربی، سید قاسم انوار، امیر نورالدین نعمت الله اصفهانی، از گلشن راز، از سعادت نامه ف میر مختوم، مولوی رومی؛ خط: نستعليق، كا: جعفر بن محمد بدیع، تا: ۱۱۰۹ق، جا: مشهد؛ کاغذ: نخودی آهار مهره ،جلد: تیماج قهوه ای ضربی با ترنج و سرترنج عنابی، 3 گ (37ر- 39پ حاشیه) [ف: ۲۹/۱ - ۱۴۵]</w:t>
      </w:r>
    </w:p>
    <w:p>
      <w:pPr>
        <w:pStyle w:val="BookText"/>
      </w:pPr>
      <w:r>
        <w:rPr>
          <w:rFonts w:ascii="IRNazanin" w:hAnsi="IRNazanin" w:eastAsia="IRNazanin" w:cs="IRNazanin"/>
          <w:lang w:bidi="fa-IR"/>
          <w:color w:val="111111"/>
          <w:sz w:val="28"/>
          <w:szCs w:val="28"/>
          <w:rtl/>
        </w:rPr>
        <w:t xml:space="preserve">۶۰۴. تهران؛ مجلس؛ شماره نسخه: ۸۸۵۳/۸۶</w:t>
      </w:r>
    </w:p>
    <w:p>
      <w:pPr>
        <w:pStyle w:val="BookText"/>
      </w:pPr>
      <w:r>
        <w:rPr>
          <w:rFonts w:ascii="IRNazanin" w:hAnsi="IRNazanin" w:eastAsia="IRNazanin" w:cs="IRNazanin"/>
          <w:lang w:bidi="fa-IR"/>
          <w:color w:val="111111"/>
          <w:sz w:val="28"/>
          <w:szCs w:val="28"/>
          <w:rtl/>
        </w:rPr>
        <w:t xml:space="preserve">از مولوی معنوی ،نورس ،واهب، مرتضی قلی خان، حیدر قلی خان، میرزا ملک مشرقی، معینی جوینی، معینی کرمانی،خواجه همام ،صایب ظهوری (با این انجامه: «بتاریخ ۱۵ شهر شوال نوشته گردید سنه ۱۱۰۸ الهی عاقبت به خیر «باد»، ۴۷پ)، فیضی، ارشدای صفاهانی، سلطان ابوسعید ابوالخير، ابوالقسم حسینی عرفی ،خواجه امام فخر، ادهم ترکمان، مؤمن حسینی یزدی، میر محبوب، محمد قيل سلیم ،طالب، شانی تکلو، ملا محمد شرفی، وحشی، قاضی نورا، اثیر، صفی قلی بیگ، میرزا فصیحی ،قاسم، میرزا ابوسعید سبزواری ،سعدی ،حضوری، تایب تبریزی، جامی، طالب کلیم ،اقدسی، خواجه حسین ثنایی، خان خانان، میرزا ابراهیم ادهم، میرزا ابوالقاسم جامی، شاپور طهرانی، ملک قمی، اهلی شیرازی، میر محمد معصوم، میرزا رفیع منشی، نزهت، شیخ فریدالدین عطار، قاضی سنجر تونی ،نظیری، میر محمدباقر داماد، شمس تبریزی، میرزا ابوتراب بيضا، میرزا محمد سمیع قاصد، نلا صوفی ،فردوسی ،نوعی ،منصف ،رضایی، زلالی خونساری، خواجه افضل ترکه، ناظم هروی، امتی(؟)، مولانا ابوطالب، كمال اسمعیل ،نوعی ،محوی صانعی، جنال الدین عبدالرازقف طالب
</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آملی، خاقانی، قدسی، آشوب هروی، میرزا سنجر، شیخ علی نقی کمره، میرزا غیاث بیگ، شیخ ابوالحسن فراهانی؛ خط: نستعلیق ،كا: جعفر بن محمد بدیع، تا: ۱۱۰۹ق، جا: مشهد؛ کاغذ: نخودی  آهار مهره، جلد: تیماج قهوه ای ضربی با ترنج و سرترنج عنابی، ۱۵ گ ( ۴۵ ر - ۵۹پ) [ف: ۲۹/۱ - ۱۴۵]</w:t>
      </w:r>
    </w:p>
    <w:p>
      <w:pPr>
        <w:pStyle w:val="BookText"/>
      </w:pPr>
      <w:r>
        <w:rPr>
          <w:rFonts w:ascii="Times New Roman" w:hAnsi="Times New Roman" w:eastAsia="Times New Roman" w:cs="Times New Roman"/>
          <w:lang w:val="en-US" w:bidi="en-US"/>
          <w:color w:val="111111"/>
          <w:sz w:val="28"/>
          <w:szCs w:val="28"/>
          <w:rtl/>
        </w:rPr>
        <w:t xml:space="preserve">605.</w:t>
      </w:r>
    </w:p>
    <w:p>
      <w:pPr>
        <w:pStyle w:val="BookText"/>
      </w:pPr>
      <w:r>
        <w:rPr>
          <w:rFonts w:ascii="IRNazanin" w:hAnsi="IRNazanin" w:eastAsia="IRNazanin" w:cs="IRNazanin"/>
          <w:lang w:bidi="fa-IR"/>
          <w:color w:val="111111"/>
          <w:sz w:val="28"/>
          <w:szCs w:val="28"/>
          <w:rtl/>
        </w:rPr>
        <w:t xml:space="preserve">تهران؛ مجلس؛ شماره نسخه: ۸۸۵۳/۸۹</w:t>
      </w:r>
    </w:p>
    <w:p>
      <w:pPr>
        <w:pStyle w:val="BookText"/>
      </w:pPr>
      <w:r>
        <w:rPr>
          <w:rFonts w:ascii="IRNazanin" w:hAnsi="IRNazanin" w:eastAsia="IRNazanin" w:cs="IRNazanin"/>
          <w:lang w:bidi="fa-IR"/>
          <w:color w:val="111111"/>
          <w:sz w:val="28"/>
          <w:szCs w:val="28"/>
          <w:rtl/>
        </w:rPr>
        <w:t xml:space="preserve">از مرتضی قی خان شاملو، ملا محمد قاسم  مشهدی، حیدر قلی خان،صایب و عرفی؛ خط: نستعلیق، کا: جعفر بن محمد بديع،تا: ۱۱۰۹ق، جا: مشهد ؛کاغذ: نخودی آهار مهره ،جلد: تیماج قهوه ای ضربی با ترنج و سرترنج عنابی، اگ (۱۰۶ر حاشیه) [ف: 29/1- 146]</w:t>
      </w:r>
    </w:p>
    <w:p>
      <w:pPr>
        <w:pStyle w:val="BookText"/>
      </w:pPr>
      <w:r>
        <w:rPr>
          <w:rFonts w:ascii="IRNazanin" w:hAnsi="IRNazanin" w:eastAsia="IRNazanin" w:cs="IRNazanin"/>
          <w:lang w:bidi="fa-IR"/>
          <w:color w:val="111111"/>
          <w:sz w:val="28"/>
          <w:szCs w:val="28"/>
          <w:rtl/>
        </w:rPr>
        <w:t xml:space="preserve">۶۰۶. تهران؛ مجلس؛ شماره نسخه: ۸۸۵۳/۹۱</w:t>
      </w:r>
    </w:p>
    <w:p>
      <w:pPr>
        <w:pStyle w:val="BookText"/>
      </w:pPr>
      <w:r>
        <w:rPr>
          <w:rFonts w:ascii="IRNazanin" w:hAnsi="IRNazanin" w:eastAsia="IRNazanin" w:cs="IRNazanin"/>
          <w:lang w:bidi="fa-IR"/>
          <w:color w:val="111111"/>
          <w:sz w:val="28"/>
          <w:szCs w:val="28"/>
          <w:rtl/>
        </w:rPr>
        <w:t xml:space="preserve">شامل معماها و تک بیت هایی از کاتبی ،صبری ،قدسی، عاشقی ،عبداللطيف ،مدام، عبدالواسع؛ خط: نستعليق، كا: جعفر بن محـمد بدیع، تا: ۱۱۰۹ق، جا: مشهد؛ کاغذ: نخودی آهار مهره، جلد: تیماج قهوه ای ضربی با ترنج و سرترنج ،عنابی اگ (107ر حاشیه) [ف: 29/1 - ۱۴۶]</w:t>
      </w:r>
    </w:p>
    <w:p>
      <w:pPr>
        <w:pStyle w:val="BookText"/>
      </w:pPr>
      <w:r>
        <w:rPr>
          <w:rFonts w:ascii="IRNazanin" w:hAnsi="IRNazanin" w:eastAsia="IRNazanin" w:cs="IRNazanin"/>
          <w:lang w:bidi="fa-IR"/>
          <w:color w:val="111111"/>
          <w:sz w:val="28"/>
          <w:szCs w:val="28"/>
          <w:rtl/>
        </w:rPr>
        <w:t xml:space="preserve">۶۰۷. تهران؛ مجلس؛ شماره نسخه: ۸۸۵۳/۹۳</w:t>
      </w:r>
    </w:p>
    <w:p>
      <w:pPr>
        <w:pStyle w:val="BookText"/>
      </w:pPr>
      <w:r>
        <w:rPr>
          <w:rFonts w:ascii="IRNazanin" w:hAnsi="IRNazanin" w:eastAsia="IRNazanin" w:cs="IRNazanin"/>
          <w:lang w:bidi="fa-IR"/>
          <w:color w:val="111111"/>
          <w:sz w:val="28"/>
          <w:szCs w:val="28"/>
          <w:rtl/>
        </w:rPr>
        <w:t xml:space="preserve">اشعاری از: خواجوی کرمانی، سلمان ساوجی ،ظهیر، انوری، کاتبی، مولانا لطف الله نیشابوری، امیرشاهی ،سبزواری، شـیخ اوحدی، امیر يمين، ابن یمین پسر امیر يمينف امير حاج حسینی جنابدی، مولانا محمد بن حسام، فضولی بغدادی، خواجه همام ،مولوی ،حیرتی، جامی، ثنایی غزنوی، حافظ، ادیب  صابر، صایـب ،عزیز ،والهی ،آصفی، طالب آملی، اعظم ،نظیری ،عرفی، شمـس تبریزی، از شیر و شکر شیخ بهاءالدین ،مغربی، حسین خان شاملو، ناظم  هروی، رفعت، صفی قلی  بیگ، مرتضی قلی خان، آذری، میرزا رضی آرتیمانی، میرزا رفیع منشی، سحابی، مشرقی،میر ظلی، حسن خان شاملو، اشرف، رضا قلی بیگ ،راقم ،رافع، جعـفر ،فغانی ،محتشم، میر محمد مقیم ،امینا ،لامع، ابوتراب، بلبل، والی هندوستان، سعدی ،هلالی ،صبری ،عظیم ،آرام ،نادم، میرزا مـقیم کتابدار، میرزا عبدالله، شفیعا، امیر خسرو ،ملا قزوینی، عشرات ،جلالی ،حیدر، مولاناشانی ؛خط: نستعلیق، كا: جعفر بن محـمد بدیع، تا: ۱۱۰۹ق، جا: مشهد؛کاغذ: نخودی آهار مهره، جلد: تیماج قهوه ای ضربی با ترنج و سرترنج عنابی، ۳۲گ (۱۱۶پ- ۱۴۷ پ حاشیه) [ف: 29/1 - ۱۴۶]</w:t>
      </w:r>
    </w:p>
    <w:p>
      <w:pPr>
        <w:pStyle w:val="BookText"/>
      </w:pPr>
      <w:r>
        <w:rPr>
          <w:rFonts w:ascii="IRNazanin" w:hAnsi="IRNazanin" w:eastAsia="IRNazanin" w:cs="IRNazanin"/>
          <w:lang w:bidi="fa-IR"/>
          <w:color w:val="111111"/>
          <w:sz w:val="28"/>
          <w:szCs w:val="28"/>
          <w:rtl/>
        </w:rPr>
        <w:t xml:space="preserve">۶۰۸. تهران؛ مجلس؛ شماره نسخه: ۸۸۵۳/۹۶</w:t>
      </w:r>
    </w:p>
    <w:p>
      <w:pPr>
        <w:pStyle w:val="BookText"/>
      </w:pPr>
      <w:r>
        <w:rPr>
          <w:rFonts w:ascii="IRNazanin" w:hAnsi="IRNazanin" w:eastAsia="IRNazanin" w:cs="IRNazanin"/>
          <w:lang w:bidi="fa-IR"/>
          <w:color w:val="111111"/>
          <w:sz w:val="28"/>
          <w:szCs w:val="28"/>
          <w:rtl/>
        </w:rPr>
        <w:t xml:space="preserve">از جفایی مشهدی، خواجه حسین ثنایی ،جامی ،حاتم، رباعیات خیام، مولانا امیدی ،حافظ، خاقانی، حکیم انوری ،شانی، حـالی سبزواری، ابن یمین؛ خط: نستعليق، كا: جعفر بن محمد بديع،تا: ۱۱۰۹ق، جا: مشهد؛ سخنی از لقمان حکیم (۱۸۷ ر حاشیه)؛ کاغذ: نخودی آهار مهره ،جلد: تیماج قهوه ای ضربی با ترنج و سرترنج عنابی، ۴گ (۱۸۴ ر - ۱۸۷ پ حاشیه) [ف: ۲۹/۱ - ۱۴۷]</w:t>
      </w:r>
    </w:p>
    <w:p>
      <w:pPr>
        <w:pStyle w:val="BookText"/>
      </w:pPr>
      <w:r>
        <w:rPr>
          <w:rFonts w:ascii="IRNazanin" w:hAnsi="IRNazanin" w:eastAsia="IRNazanin" w:cs="IRNazanin"/>
          <w:lang w:bidi="fa-IR"/>
          <w:color w:val="111111"/>
          <w:sz w:val="28"/>
          <w:szCs w:val="28"/>
          <w:rtl/>
        </w:rPr>
        <w:t xml:space="preserve">۶۰۹. تهران؛ مجلس؛ شماره نسخه: ۸۸۵۳/۱۰۲</w:t>
      </w:r>
    </w:p>
    <w:p>
      <w:pPr>
        <w:pStyle w:val="BookText"/>
      </w:pPr>
      <w:r>
        <w:rPr>
          <w:rFonts w:ascii="IRNazanin" w:hAnsi="IRNazanin" w:eastAsia="IRNazanin" w:cs="IRNazanin"/>
          <w:lang w:bidi="fa-IR"/>
          <w:color w:val="111111"/>
          <w:sz w:val="28"/>
          <w:szCs w:val="28"/>
          <w:rtl/>
        </w:rPr>
        <w:t xml:space="preserve">از صایب، محمد کریم اردبیلی ،مفلوک، سلطان حسین میرزا ،فردوسی، میر صیدی، طالب آملی ،ظهوری، طالب کلیم، فغانی، محمد طاهر، امیر خسرو، مجذوب، میرزا ابراهیم ادهم، میرزا رضی، ملا صالح صوفی؛ خط: نستعلیق، کا: جعفر بن محمد بديع، تا: ۱۱۰۹ق، جا: مشهد؛ کاغذ: نخودی آهار مهره، جلد: تیماج قهوه ای ضربی با ترنج و سرترنج عنابی، ۴گ (۲۳۳ر-۲۳۶رحاشیه) [ف: 29/1 - ۱۴۸]</w:t>
      </w:r>
    </w:p>
    <w:p>
      <w:pPr>
        <w:pStyle w:val="BookText"/>
      </w:pPr>
      <w:r>
        <w:rPr>
          <w:rFonts w:ascii="IRNazanin" w:hAnsi="IRNazanin" w:eastAsia="IRNazanin" w:cs="IRNazanin"/>
          <w:lang w:bidi="fa-IR"/>
          <w:color w:val="111111"/>
          <w:sz w:val="28"/>
          <w:szCs w:val="28"/>
          <w:rtl/>
        </w:rPr>
        <w:t xml:space="preserve">۶۱۰. تهران؛ مجلس؛ شماره نسخه: ۸۸۵۳/۱۰۴</w:t>
      </w:r>
    </w:p>
    <w:p>
      <w:pPr>
        <w:pStyle w:val="BookText"/>
      </w:pPr>
      <w:r>
        <w:rPr>
          <w:rFonts w:ascii="IRNazanin" w:hAnsi="IRNazanin" w:eastAsia="IRNazanin" w:cs="IRNazanin"/>
          <w:lang w:bidi="fa-IR"/>
          <w:color w:val="111111"/>
          <w:sz w:val="28"/>
          <w:szCs w:val="28"/>
          <w:rtl/>
        </w:rPr>
        <w:t xml:space="preserve">از: میرزا بدیع، محمد قاسم قمی ،بزمی، صایب، محمد قلی سلیم، منصف، اهلی، ملک قمی ،شاهدا، امیر خسرو، ظهوری، شفایی، اثیری، خاقانی، ملای روم ،رضایی ،عرفی، شاپور، یوسف بیگ، طفيلی، مير ضياء الحق، شيخ عطار، ابوتراب بیگ، طفیلی، میر ضياء الحق، شیخ عطار، ابوتراب بیگ، شریفا، سنجری، قصیده ترکی خواجه، مثنوی سید هاشمی، میرزا مهدی اعتماد الدولة، سلطان ابوسعید ابوالخیر، حکیم ركنا، قدسی، وحشی، شرف، میرزا معصوم، میرزا رضی ،آرتیمانی ،قطب، باب فغانی، سنایی، طالب، قاضی نور اصفهانی ،عطایی ،واصلی، شاه قاسم، عنصری، حسن خان، شاه سلیمان، میرزا صادق دست غیب، میرزا اشکی، میرزا اشرف، میرسید محمد، خواجه افضل، صادق، قصاب، نزهت، ولی، فصیحی ،محتشم ،ملک، خواجوی کرمانی، نصیرای همدانی، سوری، شیخ مغربی ،صبحی، طایری، حسن بیگ رفیع، شیخ اوحدی، اثیر الدین اخستکی، فردوسی، انوری، ابن نصوح، شمس تبریز، میرزا سنجر، طالب آملی، امام قلی خان، لسانی، حسن خان ،پادشاهنامه، حاجی محمد خان قدسی، سلطانعلی بیگ، تاریخ عراق آمدن فخر سادات میرزا ابوطالب رضوی، ساقی نامه قدسی، ملا نظام استرآبادی، نواب میرزا معصوم، میرزا  ملک مشرقی، امیدی؛ خط: نستعلیق، کا: جعفر بن محمد بدیع، تا: ۱۱۰۹ق، جا: مشهد ؛کاغذ: نخودی آهار مهره، جلد: تیماج قهوه ای ضربی با ترنج و سرترنج عنابی، ۲۸گ (236پ- 263پ حاشیه) [ف: ۲۹/۱ - ۱۴۸]</w:t>
      </w:r>
    </w:p>
    <w:p>
      <w:pPr>
        <w:pStyle w:val="BookText"/>
      </w:pPr>
      <w:r>
        <w:rPr>
          <w:rFonts w:ascii="IRNazanin" w:hAnsi="IRNazanin" w:eastAsia="IRNazanin" w:cs="IRNazanin"/>
          <w:lang w:bidi="fa-IR"/>
          <w:color w:val="111111"/>
          <w:sz w:val="28"/>
          <w:szCs w:val="28"/>
          <w:rtl/>
        </w:rPr>
        <w:t xml:space="preserve">۶۱۱. تهران؛ مجلس؛ شماره نسخه: ۸۸۵۳/۱۱۱</w:t>
      </w:r>
    </w:p>
    <w:p>
      <w:pPr>
        <w:pStyle w:val="BookText"/>
      </w:pPr>
      <w:r>
        <w:rPr>
          <w:rFonts w:ascii="IRNazanin" w:hAnsi="IRNazanin" w:eastAsia="IRNazanin" w:cs="IRNazanin"/>
          <w:lang w:bidi="fa-IR"/>
          <w:color w:val="111111"/>
          <w:sz w:val="28"/>
          <w:szCs w:val="28"/>
          <w:rtl/>
        </w:rPr>
        <w:t xml:space="preserve">از: رجایی ،صایب، نویدی، ملای رومی ،شیخ سعدی شیرازی، مولوی جامی ،نقیب ،معزی، فرهاد و شیرین وحشی، شاه ضیای بدخشی، افجنگی، امیر خسرو دهلوی، از شاه و گدا، ملا صالح، عمر خیام ،طوسی ،شیخ ،عطار ،سعدی، خلقی، وقوعی، انوری، کمال ،اسمعیل، خواجه افضل، ملا حیرتی، میر محمد باقر داماد، مهدی ،آصفی ،جعفری ،عرفی ؛خط: نستعليق، كا: جعفر بن محمد بدیع، تا: ۱۱۰۹ق، جا: مشهد؛ کاغذ: نخودی آهار مهره، جلد: تيماج قهوه ای ضربی با ترنج و سرترنج عنابی، ۲۵گ (۲۶۵ پ - ۲۸۹ پ حاشیه) [ف: ۲۹/۱ - ۱۴۹]</w:t>
      </w:r>
    </w:p>
    <w:p>
      <w:pPr>
        <w:pStyle w:val="BookText"/>
      </w:pPr>
      <w:r>
        <w:rPr>
          <w:rFonts w:ascii="IRNazanin" w:hAnsi="IRNazanin" w:eastAsia="IRNazanin" w:cs="IRNazanin"/>
          <w:lang w:bidi="fa-IR"/>
          <w:color w:val="111111"/>
          <w:sz w:val="28"/>
          <w:szCs w:val="28"/>
          <w:rtl/>
        </w:rPr>
        <w:t xml:space="preserve">۶۱۲ .تهران؛ مجلس؛ شماره نسخه: ۸۸۵۳/۱۱۳</w:t>
      </w:r>
    </w:p>
    <w:p>
      <w:pPr>
        <w:pStyle w:val="BookText"/>
      </w:pPr>
      <w:r>
        <w:rPr>
          <w:rFonts w:ascii="IRNazanin" w:hAnsi="IRNazanin" w:eastAsia="IRNazanin" w:cs="IRNazanin"/>
          <w:lang w:bidi="fa-IR"/>
          <w:color w:val="111111"/>
          <w:sz w:val="28"/>
          <w:szCs w:val="28"/>
          <w:rtl/>
        </w:rPr>
        <w:t xml:space="preserve">از: اوحدی، شیخ  آذری ،عبدالرزاق ،اسیر، میرزا صادق، سعدی، حسن؛ خط: نستعليق، كا: جعفر بن محمد بدیع، تا: ۱۱۰۹ق، جا:
</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مشهد؛ کاغذ: نخودی آهار مهره، جلد: تیماج قهوه ای ضربی با ترنج و سرترنج عنابی، ۲گ (۲۸۹پ- ۲۹۰پ حاشیه) [ف: 29/1- 149]</w:t>
      </w:r>
    </w:p>
    <w:p>
      <w:pPr>
        <w:pStyle w:val="BookText"/>
      </w:pPr>
      <w:r>
        <w:rPr>
          <w:rFonts w:ascii="IRNazanin" w:hAnsi="IRNazanin" w:eastAsia="IRNazanin" w:cs="IRNazanin"/>
          <w:lang w:bidi="fa-IR"/>
          <w:color w:val="111111"/>
          <w:sz w:val="28"/>
          <w:szCs w:val="28"/>
          <w:rtl/>
        </w:rPr>
        <w:t xml:space="preserve">۶۱۳. تهران؛ مجلس؛ شماره نسخه: ۸۸۵۳/۱۱۷</w:t>
      </w:r>
    </w:p>
    <w:p>
      <w:pPr>
        <w:pStyle w:val="BookText"/>
      </w:pPr>
      <w:r>
        <w:rPr>
          <w:rFonts w:ascii="IRNazanin" w:hAnsi="IRNazanin" w:eastAsia="IRNazanin" w:cs="IRNazanin"/>
          <w:lang w:bidi="fa-IR"/>
          <w:color w:val="111111"/>
          <w:sz w:val="28"/>
          <w:szCs w:val="28"/>
          <w:rtl/>
        </w:rPr>
        <w:t xml:space="preserve">انجام: انجامه: «بتاريخ ۲۵ شهر محرم الحرام سنه ۱۱۰۹سمت اتمام یافت. الهی جمله عاقبت به خوبی بوده باشد».</w:t>
      </w:r>
    </w:p>
    <w:p>
      <w:pPr>
        <w:pStyle w:val="BookText"/>
      </w:pPr>
      <w:r>
        <w:rPr>
          <w:rFonts w:ascii="IRNazanin" w:hAnsi="IRNazanin" w:eastAsia="IRNazanin" w:cs="IRNazanin"/>
          <w:lang w:bidi="fa-IR"/>
          <w:color w:val="111111"/>
          <w:sz w:val="28"/>
          <w:szCs w:val="28"/>
          <w:rtl/>
        </w:rPr>
        <w:t xml:space="preserve">بیشتر تک بیت است. از مؤمن ،مسعود، حمید، سید، جامی، ،ابن عماد ،دهکی، یوسف ،حافظ، خسرو، کاتبی، میر علیشیر، حیدر ،حسن ،کمال ،جلال ،هلالی، خالصی؛ خط: نستعليق، كا: جعفر محمد بديع، تا: ۱۱۰۹ق، جا: مشهد؛ کاغذ: نخودی آهار مهـره ،جلد: تيماج قهوه ای ضربی با ترنج وسرترنج عنابی، ۱گ (۲۹۵ر- ۲۹۵ پ حاشیه) [ف: 29/1 - ۱۴۹]</w:t>
      </w:r>
    </w:p>
    <w:p>
      <w:pPr>
        <w:pStyle w:val="BookText"/>
      </w:pPr>
      <w:r>
        <w:rPr>
          <w:rFonts w:ascii="IRNazanin" w:hAnsi="IRNazanin" w:eastAsia="IRNazanin" w:cs="IRNazanin"/>
          <w:lang w:bidi="fa-IR"/>
          <w:color w:val="111111"/>
          <w:sz w:val="28"/>
          <w:szCs w:val="28"/>
          <w:rtl/>
        </w:rPr>
        <w:t xml:space="preserve">۶۱۴. تهران؛ مجلس؛ شماره نسخه: ۸۸۵۳/۱۱۸</w:t>
      </w:r>
    </w:p>
    <w:p>
      <w:pPr>
        <w:pStyle w:val="BookText"/>
      </w:pPr>
      <w:r>
        <w:rPr>
          <w:rFonts w:ascii="IRNazanin" w:hAnsi="IRNazanin" w:eastAsia="IRNazanin" w:cs="IRNazanin"/>
          <w:lang w:bidi="fa-IR"/>
          <w:color w:val="111111"/>
          <w:sz w:val="28"/>
          <w:szCs w:val="28"/>
          <w:rtl/>
        </w:rPr>
        <w:t xml:space="preserve">آغاز: روزی بنما که جهان ظلمت زنگار گرفت *** صیقلی زن که مرا آینه زنگار گرفت</w:t>
      </w:r>
    </w:p>
    <w:p>
      <w:pPr>
        <w:pStyle w:val="BookText"/>
      </w:pPr>
      <w:r>
        <w:rPr>
          <w:rFonts w:ascii="IRNazanin" w:hAnsi="IRNazanin" w:eastAsia="IRNazanin" w:cs="IRNazanin"/>
          <w:lang w:bidi="fa-IR"/>
          <w:color w:val="111111"/>
          <w:sz w:val="28"/>
          <w:szCs w:val="28"/>
          <w:rtl/>
        </w:rPr>
        <w:t xml:space="preserve">از: شاه طاهر دکنی ،فردوسی، از جام جم شیخ اوحدی، کمال اسعمیل، ظهیر فاریابی، غزالی و بیشتر اشعار بدون نام سراینـده؛ خط: نستعليق، كا: جعفر بن محمد بدیع، تا: ۱۱۰۹ق، جا: مشـهد ؛کاغذ: نخودی آهار مهره ،جلد: تیماج قهوه ای ضربی با ترنج سر ترنج عنابی، ۳گ (۲۹۶ر - ۲۹۸ پ حاشیه) [ف: ۲۹/۱ - ۱۴۹]</w:t>
      </w:r>
    </w:p>
    <w:p>
      <w:pPr>
        <w:pStyle w:val="BookText"/>
      </w:pPr>
      <w:r>
        <w:rPr>
          <w:rFonts w:ascii="IRNazanin" w:hAnsi="IRNazanin" w:eastAsia="IRNazanin" w:cs="IRNazanin"/>
          <w:lang w:bidi="fa-IR"/>
          <w:color w:val="111111"/>
          <w:sz w:val="28"/>
          <w:szCs w:val="28"/>
          <w:rtl/>
        </w:rPr>
        <w:t xml:space="preserve">۶۱۵. تهران؛ مجلس؛ شماره نسخه: ۸۸۵۳/۱۲۳</w:t>
      </w:r>
    </w:p>
    <w:p>
      <w:pPr>
        <w:pStyle w:val="BookText"/>
      </w:pPr>
      <w:r>
        <w:rPr>
          <w:rFonts w:ascii="IRNazanin" w:hAnsi="IRNazanin" w:eastAsia="IRNazanin" w:cs="IRNazanin"/>
          <w:lang w:bidi="fa-IR"/>
          <w:color w:val="111111"/>
          <w:sz w:val="28"/>
          <w:szCs w:val="28"/>
          <w:rtl/>
        </w:rPr>
        <w:t xml:space="preserve">از: میرزا طاهر واقعه نویس، صایب تبریزی، میر صیدی، سـعید قصاب، عبدالعظیم سمنانی، عظیماء نیشابوری؛ خط:نستعلیق،کا: جعفر بن محمد بدیع، تا: ۱۱۰۹ق، جا: مشهد؛ ۱۲۴. نسخه مفـرح یاقوتی که به جهت طپش دل عشاق نافع است (۳۰۶ پ حاشیه) ،۱۲۵. دیباچه وکالت نامچه جهت نکاح (۳۰۷ ر - ۳۰۷ پ حاشیـه) ؛کاغذ: نخودی آهار مهره ،جلد: تیماج قهوه ای ضربی با ترنج سر ترنج عنابی، ۲گ (306ر- 307ر حاشیه) [ف: ۲۹/۱ - ۱۵۰]</w:t>
      </w:r>
    </w:p>
    <w:p>
      <w:pPr>
        <w:pStyle w:val="BookText"/>
      </w:pPr>
      <w:r>
        <w:rPr>
          <w:rFonts w:ascii="IRNazanin" w:hAnsi="IRNazanin" w:eastAsia="IRNazanin" w:cs="IRNazanin"/>
          <w:lang w:bidi="fa-IR"/>
          <w:color w:val="111111"/>
          <w:sz w:val="28"/>
          <w:szCs w:val="28"/>
          <w:rtl/>
        </w:rPr>
        <w:t xml:space="preserve">۶۱۶. تهران؛ مجلس؛ شماره نسخه: ۸۸۵۳/۱۲۶</w:t>
      </w:r>
    </w:p>
    <w:p>
      <w:pPr>
        <w:pStyle w:val="BookText"/>
      </w:pPr>
      <w:r>
        <w:rPr>
          <w:rFonts w:ascii="IRNazanin" w:hAnsi="IRNazanin" w:eastAsia="IRNazanin" w:cs="IRNazanin"/>
          <w:lang w:bidi="fa-IR"/>
          <w:color w:val="111111"/>
          <w:sz w:val="28"/>
          <w:szCs w:val="28"/>
          <w:rtl/>
        </w:rPr>
        <w:t xml:space="preserve">انجام: انجامه: «تمت بتاریخ ۲۷ شهر ربیع الثانی ۱۱۰۹ امید که پیوسته زندگانی بوده باشد. بمحمد و آله الامجاد».</w:t>
      </w:r>
    </w:p>
    <w:p>
      <w:pPr>
        <w:pStyle w:val="BookText"/>
      </w:pPr>
      <w:r>
        <w:rPr>
          <w:rFonts w:ascii="IRNazanin" w:hAnsi="IRNazanin" w:eastAsia="IRNazanin" w:cs="IRNazanin"/>
          <w:lang w:bidi="fa-IR"/>
          <w:color w:val="111111"/>
          <w:sz w:val="28"/>
          <w:szCs w:val="28"/>
          <w:rtl/>
        </w:rPr>
        <w:t xml:space="preserve">غزل از مولوی جامی و صایب؛ خط: نستعليق، كا: جعفر بن محـمد بدیع، تا: ۱۱۰۹ق، جا: مشهد؛ کاغذ: نخودی آهار مهره، جـلد: تیماج قهوه ای ضربی با ترنج و سرترنج عنابی، اگ (307پ- حاشیه) (ف: 29/1 - ۱۵۰]</w:t>
      </w:r>
    </w:p>
    <w:p>
      <w:pPr>
        <w:pStyle w:val="BookText"/>
      </w:pPr>
      <w:r>
        <w:rPr>
          <w:rFonts w:ascii="IRNazanin" w:hAnsi="IRNazanin" w:eastAsia="IRNazanin" w:cs="IRNazanin"/>
          <w:lang w:bidi="fa-IR"/>
          <w:color w:val="111111"/>
          <w:sz w:val="28"/>
          <w:szCs w:val="28"/>
          <w:rtl/>
        </w:rPr>
        <w:t xml:space="preserve">۶۱۷. تهران؛ مجلس؛ شماره نسخه: ۱۴۱۹۰/۴۵</w:t>
      </w:r>
    </w:p>
    <w:p>
      <w:pPr>
        <w:pStyle w:val="BookText"/>
      </w:pPr>
      <w:r>
        <w:rPr>
          <w:rFonts w:ascii="IRNazanin" w:hAnsi="IRNazanin" w:eastAsia="IRNazanin" w:cs="IRNazanin"/>
          <w:lang w:bidi="fa-IR"/>
          <w:color w:val="111111"/>
          <w:sz w:val="28"/>
          <w:szCs w:val="28"/>
          <w:rtl/>
        </w:rPr>
        <w:t xml:space="preserve">كاتب = مؤلف، تا: ۱۱۱۰ق، ۲گ (۶۲پ-۶۳ر) [ف: ۳۸ - ۲۵۵]</w:t>
      </w:r>
    </w:p>
    <w:p>
      <w:pPr>
        <w:pStyle w:val="BookText"/>
      </w:pPr>
      <w:r>
        <w:rPr>
          <w:rFonts w:ascii="IRNazanin" w:hAnsi="IRNazanin" w:eastAsia="IRNazanin" w:cs="IRNazanin"/>
          <w:lang w:bidi="fa-IR"/>
          <w:color w:val="111111"/>
          <w:sz w:val="28"/>
          <w:szCs w:val="28"/>
          <w:rtl/>
        </w:rPr>
        <w:t xml:space="preserve">۶۱۸. تهران؛ مجلس؛ شماره نسخه: ۱۴۱۹۰/۹۱</w:t>
      </w:r>
    </w:p>
    <w:p>
      <w:pPr>
        <w:pStyle w:val="BookText"/>
      </w:pPr>
      <w:r>
        <w:rPr>
          <w:rFonts w:ascii="IRNazanin" w:hAnsi="IRNazanin" w:eastAsia="IRNazanin" w:cs="IRNazanin"/>
          <w:lang w:bidi="fa-IR"/>
          <w:color w:val="111111"/>
          <w:sz w:val="28"/>
          <w:szCs w:val="28"/>
          <w:rtl/>
        </w:rPr>
        <w:t xml:space="preserve">از طالع گیلانی؛ کاتب = مؤلف، تا: ۱۱۱۰ق؛ ۲گ (۱۱۷ر- ۱۱۸پ) [ف: ۳۸ - ۲۵۸]</w:t>
      </w:r>
    </w:p>
    <w:p>
      <w:pPr>
        <w:pStyle w:val="BookText"/>
      </w:pPr>
      <w:r>
        <w:rPr>
          <w:rFonts w:ascii="IRNazanin" w:hAnsi="IRNazanin" w:eastAsia="IRNazanin" w:cs="IRNazanin"/>
          <w:lang w:bidi="fa-IR"/>
          <w:color w:val="111111"/>
          <w:sz w:val="28"/>
          <w:szCs w:val="28"/>
          <w:rtl/>
        </w:rPr>
        <w:t xml:space="preserve">۶۱۹. تهران؛ مجلس؛ شماره نسخه: ۱۴۱۹۰/۵۶</w:t>
      </w:r>
    </w:p>
    <w:p>
      <w:pPr>
        <w:pStyle w:val="BookText"/>
      </w:pPr>
      <w:r>
        <w:rPr>
          <w:rFonts w:ascii="IRNazanin" w:hAnsi="IRNazanin" w:eastAsia="IRNazanin" w:cs="IRNazanin"/>
          <w:lang w:bidi="fa-IR"/>
          <w:color w:val="111111"/>
          <w:sz w:val="28"/>
          <w:szCs w:val="28"/>
          <w:rtl/>
        </w:rPr>
        <w:t xml:space="preserve">كاتب = مؤلف، تا: ۱۱۱۱ق؛ ۱ص (۷۷پ [ف: ۳۸ - ۲۵۵]</w:t>
      </w:r>
    </w:p>
    <w:p>
      <w:pPr>
        <w:pStyle w:val="BookText"/>
      </w:pPr>
      <w:r>
        <w:rPr>
          <w:rFonts w:ascii="IRNazanin" w:hAnsi="IRNazanin" w:eastAsia="IRNazanin" w:cs="IRNazanin"/>
          <w:lang w:bidi="fa-IR"/>
          <w:color w:val="111111"/>
          <w:sz w:val="28"/>
          <w:szCs w:val="28"/>
          <w:rtl/>
        </w:rPr>
        <w:t xml:space="preserve">۶۲۰. تهران؛ مجلس؛ شماره نسخه: ۱۴۱۹۰/۶۸</w:t>
      </w:r>
    </w:p>
    <w:p>
      <w:pPr>
        <w:pStyle w:val="BookText"/>
      </w:pPr>
      <w:r>
        <w:rPr>
          <w:rFonts w:ascii="IRNazanin" w:hAnsi="IRNazanin" w:eastAsia="IRNazanin" w:cs="IRNazanin"/>
          <w:lang w:bidi="fa-IR"/>
          <w:color w:val="111111"/>
          <w:sz w:val="28"/>
          <w:szCs w:val="28"/>
          <w:rtl/>
        </w:rPr>
        <w:t xml:space="preserve">از اسماعیل ذبیح؛ کاتب = مؤلف، تا: ۱۱۱۱ق؛ ۲گ (98ر- 99ر)[ف: ۳۸ - ۲۵۷]</w:t>
      </w:r>
    </w:p>
    <w:p>
      <w:pPr>
        <w:pStyle w:val="BookText"/>
      </w:pPr>
      <w:r>
        <w:rPr>
          <w:rFonts w:ascii="IRNazanin" w:hAnsi="IRNazanin" w:eastAsia="IRNazanin" w:cs="IRNazanin"/>
          <w:lang w:bidi="fa-IR"/>
          <w:color w:val="111111"/>
          <w:sz w:val="28"/>
          <w:szCs w:val="28"/>
          <w:rtl/>
        </w:rPr>
        <w:t xml:space="preserve">۶۲۱. تهران؛ مجلس؛ شماره نسخه: ۱۴۱۹۰/۴۲</w:t>
      </w:r>
    </w:p>
    <w:p>
      <w:pPr>
        <w:pStyle w:val="BookText"/>
      </w:pPr>
      <w:r>
        <w:rPr>
          <w:rFonts w:ascii="IRNazanin" w:hAnsi="IRNazanin" w:eastAsia="IRNazanin" w:cs="IRNazanin"/>
          <w:lang w:bidi="fa-IR"/>
          <w:color w:val="111111"/>
          <w:sz w:val="28"/>
          <w:szCs w:val="28"/>
          <w:rtl/>
        </w:rPr>
        <w:t xml:space="preserve">غزل است :نویسنده: سید علی حسینی متخلص به مهری؛ کاتب= مؤلف، تا: ۱۱۱۱ق، جا: اصفهان؛ ۱ص (۶۱ر) [ف: ۳۸ - ۲۵۵]</w:t>
      </w:r>
    </w:p>
    <w:p>
      <w:pPr>
        <w:pStyle w:val="BookText"/>
      </w:pPr>
      <w:r>
        <w:rPr>
          <w:rFonts w:ascii="Times New Roman" w:hAnsi="Times New Roman" w:eastAsia="Times New Roman" w:cs="Times New Roman"/>
          <w:lang w:val="en-US" w:bidi="en-US"/>
          <w:color w:val="111111"/>
          <w:sz w:val="28"/>
          <w:szCs w:val="28"/>
          <w:rtl/>
        </w:rPr>
        <w:t xml:space="preserve">622.</w:t>
      </w:r>
    </w:p>
    <w:p>
      <w:pPr>
        <w:pStyle w:val="BookText"/>
      </w:pPr>
      <w:r>
        <w:rPr>
          <w:rFonts w:ascii="IRNazanin" w:hAnsi="IRNazanin" w:eastAsia="IRNazanin" w:cs="IRNazanin"/>
          <w:lang w:bidi="fa-IR"/>
          <w:color w:val="111111"/>
          <w:sz w:val="28"/>
          <w:szCs w:val="28"/>
          <w:rtl/>
        </w:rPr>
        <w:t xml:space="preserve">تهران؛ دانشگاه؛ شماره نسخه: ۲۳۹۸/۱-ف</w:t>
      </w:r>
    </w:p>
    <w:p>
      <w:pPr>
        <w:pStyle w:val="BookText"/>
      </w:pPr>
      <w:r>
        <w:rPr>
          <w:rFonts w:ascii="IRNazanin" w:hAnsi="IRNazanin" w:eastAsia="IRNazanin" w:cs="IRNazanin"/>
          <w:lang w:bidi="fa-IR"/>
          <w:color w:val="111111"/>
          <w:sz w:val="28"/>
          <w:szCs w:val="28"/>
          <w:rtl/>
        </w:rPr>
        <w:t xml:space="preserve">نسخه اصل: نسخه آقای سید جواد مدرسی یزدی. شعر رجوعا و صایب و سلمان و برهان و ذبیحی؛ بی کا، برهان و ذبیحی؛ بی کا، تا: ۱۱۱۲ق؛ از نویسنده آن با عنوان «المحرره». مورخ ۱۱۱۲ و ۱۱۱۱ (در آغاز و میانه و انجام نسخه) [فیلمها: ۱ – ۶۷۸]</w:t>
      </w:r>
    </w:p>
    <w:p>
      <w:pPr>
        <w:pStyle w:val="BookText"/>
      </w:pPr>
      <w:r>
        <w:rPr>
          <w:rFonts w:ascii="IRNazanin" w:hAnsi="IRNazanin" w:eastAsia="IRNazanin" w:cs="IRNazanin"/>
          <w:lang w:bidi="fa-IR"/>
          <w:color w:val="111111"/>
          <w:sz w:val="28"/>
          <w:szCs w:val="28"/>
          <w:rtl/>
        </w:rPr>
        <w:t xml:space="preserve">۶۲۳. تهران؛ مجلس؛ شماره نسخه: ۸۸۴۱/۷۹</w:t>
      </w:r>
    </w:p>
    <w:p>
      <w:pPr>
        <w:pStyle w:val="BookText"/>
      </w:pPr>
      <w:r>
        <w:rPr>
          <w:rFonts w:ascii="IRNazanin" w:hAnsi="IRNazanin" w:eastAsia="IRNazanin" w:cs="IRNazanin"/>
          <w:lang w:bidi="fa-IR"/>
          <w:color w:val="111111"/>
          <w:sz w:val="28"/>
          <w:szCs w:val="28"/>
          <w:rtl/>
        </w:rPr>
        <w:t xml:space="preserve">شامل: غزلیات سعدی، حضرت زنده فیل احمد جام، حضرت ملا روم، خواجه حافظ شیرازی ،خاقانی ،عرفی، خان خانان عبدالحیم، حکیم شفائی عاقلخان؛ خط: نسخ و نستعليق، كا: جمال الدين محمد حسنی، تا: شنبه ۱۲ ربیع الاول۱۱۱۷ق، جا: مشهد مقدس ؛کاغذ: شرقی نخودی آهار مهره ،جلد: میشین مشکی ساده عطف چرم مشکی، اص (۵۰۰) اندازه: ۲۲/۳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۳۴/۹سم [ف: ۲۹/۱ - ۱۰۰]</w:t>
      </w:r>
    </w:p>
    <w:p>
      <w:pPr>
        <w:pStyle w:val="BookText"/>
      </w:pPr>
      <w:r>
        <w:rPr>
          <w:rFonts w:ascii="IRNazanin" w:hAnsi="IRNazanin" w:eastAsia="IRNazanin" w:cs="IRNazanin"/>
          <w:lang w:bidi="fa-IR"/>
          <w:color w:val="111111"/>
          <w:sz w:val="28"/>
          <w:szCs w:val="28"/>
          <w:rtl/>
        </w:rPr>
        <w:t xml:space="preserve">۶۲۴ .تهران؛ مجلس؛ شماره نسخه: ۸۸۴۱/۹۴</w:t>
      </w:r>
    </w:p>
    <w:p>
      <w:pPr>
        <w:pStyle w:val="BookText"/>
      </w:pPr>
      <w:r>
        <w:rPr>
          <w:rFonts w:ascii="IRNazanin" w:hAnsi="IRNazanin" w:eastAsia="IRNazanin" w:cs="IRNazanin"/>
          <w:lang w:bidi="fa-IR"/>
          <w:color w:val="111111"/>
          <w:sz w:val="28"/>
          <w:szCs w:val="28"/>
          <w:rtl/>
        </w:rPr>
        <w:t xml:space="preserve">اشعاری از: حضرت اقدسی ،شیدا ،شاهپور ،شیخ فیضی، عشرتی ،عرفی، مولوی جامی ،برهمن ،صفی، قلی بیگ میلی، نو الله، طغرای هندی (نوشته شده از نسخه فیاض میان شیخ محمد پیر در فراه در ۱۷ ربیع الاول، ص ۵۴۱ )، فهرست شاه سلیمان صفوی ،آصفی، مسافر، طوطیانوس، از مثنوی فتوح الحرمين تصنيف محیی، مثنوی مولوی، شاه قاسم انوار، نظامی، ابوسعید ابوالخیر، بستان، میر حسینی سادات، مجذوب ،خسرو کاتبی، سنایی، ظهیر، از مظهر آثارهاشمی ،مولانا محمد غفار، نظام، ابوالفرج، نوید، ،سعدی، مثنویات سعیدا هندی، از شاهنامه فردوسی طوسی، محمد جان قدسی، مدرس خواجه حافظ شیرازی، در منقبت امام ضامن (علیه السّلام) و چند قصیده منسوب به او ،نسیمی، امیر خسرو دهلوی، محمد قلى سليم، قصه پیر العلم و جنگ جنیان باامیر المؤمنین(علیه السّلام) از گفتار آتشی ،رازی، رباعیات سعدی (با این انجامه: ۱۶ جمادی الاول سنه ۱۱۱٨ روز پنج شنبه در شهر مقدس بقلم آمد» ص ۵۶۳) فرید الدین عطار (با رقم: «۱۰ جمادى الاول سنه ۱۱۰۸ در قندهار نوشته شد از میر باقر» ص۵۴۵) محمد باقر الهیجانی، شاه شرف بو علی قلندر پانی پتھی، محمد شفیع منشی کشمیری، میرزا شرف، رباعیات خیام حکیم فخر رازی، شیخ شهاب الدین سهروردی، سلطان ابراهیم میرزا ،سلمان، امیر نصیبی، میر عبدالباقی ،فغانی، کمال اسماعیل، سید محمد جامه باف، حضرت شاه میر لاهوری قدس سره، محمد داراشکوه قادری، انوری، سایلی ،عراقی ،مغربی، محمد تقی دهدار، غنوری، سایلی، عراقی، مغربی، محمد تقی دهدار، خواجه ابوالوفاء خوارزمی، سحابی، شیخ روز بهان بقلی ،استاد شیخ ابوالفضل بن حسن سرخسی، شیخ ابولا حسن بستی، جلال الدین رومی، شیخ سیف الدین باخرزی، شیخ رضی الدین عى لالا غزنوی، گهواره، شیخ فیضی
</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فیاضی هندی، حلاج حکیم آذری، حضرت احمد جام زنده فـیل، امیر قاسم، عطار ،شفایی، سلیمان شکوه ولد دارا شکوه ابن شاه جهان پادشاه، نصرتی، فدایی (نوشته شده به خطی مغایر با خط صاحب مجموعه: «این قصیده ... بدست خط بنده درگاه فیـض (؟) الله در شهر دارالسلام بغداد سنه ۱۱۲۵ تحریر یافت» ص 577) ،حسنی، صبری مهری ،پناهی، اوحدی؛ خط: نسخ و نستعلیق، جمال الدین محمد حسنی، تا: پنج شنبه ۱۶ جمادی الاول ۱۱۱۸ق؛ جا: مشهد؛ افتادگی: وسط ؛کاغذ: شرقی نخودی آهار مـهره نازک ،جلد: میشن مشکی، ۵۰ ص (۵۳۶-۵۸۵) اندازه: ۲۲/۳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۳۴/۹سم [ف: ۲۹/۱ - ۱۰۱]</w:t>
      </w:r>
    </w:p>
    <w:p>
      <w:pPr>
        <w:pStyle w:val="BookText"/>
      </w:pPr>
      <w:r>
        <w:rPr>
          <w:rFonts w:ascii="IRNazanin" w:hAnsi="IRNazanin" w:eastAsia="IRNazanin" w:cs="IRNazanin"/>
          <w:lang w:bidi="fa-IR"/>
          <w:color w:val="111111"/>
          <w:sz w:val="28"/>
          <w:szCs w:val="28"/>
          <w:rtl/>
        </w:rPr>
        <w:t xml:space="preserve">۶۲۵. تهران؛ مجلس؛ شماره نسخه: ۸۸۴۱/۱۰۰</w:t>
      </w:r>
    </w:p>
    <w:p>
      <w:pPr>
        <w:pStyle w:val="BookText"/>
      </w:pPr>
      <w:r>
        <w:rPr>
          <w:rFonts w:ascii="IRNazanin" w:hAnsi="IRNazanin" w:eastAsia="IRNazanin" w:cs="IRNazanin"/>
          <w:lang w:bidi="fa-IR"/>
          <w:color w:val="111111"/>
          <w:sz w:val="28"/>
          <w:szCs w:val="28"/>
          <w:rtl/>
        </w:rPr>
        <w:t xml:space="preserve">آغاز: الا ای دنیا شده جسم پرور *** چه شد گر بود طعمه مور لاغر</w:t>
      </w:r>
    </w:p>
    <w:p>
      <w:pPr>
        <w:pStyle w:val="BookText"/>
      </w:pPr>
      <w:r>
        <w:rPr>
          <w:rFonts w:ascii="IRNazanin" w:hAnsi="IRNazanin" w:eastAsia="IRNazanin" w:cs="IRNazanin"/>
          <w:lang w:bidi="fa-IR"/>
          <w:color w:val="111111"/>
          <w:sz w:val="28"/>
          <w:szCs w:val="28"/>
          <w:rtl/>
        </w:rPr>
        <w:t xml:space="preserve">قصیده جنگ خیبر و فتح کردن هفت قلعه خیبر به دست امیر المؤمنين (علیه السّلام)؛ خط: نسخ و نستعلیق، کا: جمال الدین محمد حسنی،تا: یک شنبه ۱۲ جمادی الاول ۱۱۱۸ق؛ کاغذ: شرقی نخودی آهار مهره ،جلد: میشن مشکی، اص (۵۸۴) ،اندازه: ۲۲/۳</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۳۴/۹  سم[ ف: ۲۹/۱ - ۱۲]</w:t>
      </w:r>
    </w:p>
    <w:p>
      <w:pPr>
        <w:pStyle w:val="BookText"/>
      </w:pPr>
      <w:r>
        <w:rPr>
          <w:rFonts w:ascii="IRNazanin" w:hAnsi="IRNazanin" w:eastAsia="IRNazanin" w:cs="IRNazanin"/>
          <w:lang w:bidi="fa-IR"/>
          <w:color w:val="111111"/>
          <w:sz w:val="28"/>
          <w:szCs w:val="28"/>
          <w:rtl/>
        </w:rPr>
        <w:t xml:space="preserve">۶۲۶. تهران؛ مجلس؛ شماره نسخه: ۸۸۴۱/۱۰۱</w:t>
      </w:r>
    </w:p>
    <w:p>
      <w:pPr>
        <w:pStyle w:val="BookText"/>
      </w:pPr>
      <w:r>
        <w:rPr>
          <w:rFonts w:ascii="IRNazanin" w:hAnsi="IRNazanin" w:eastAsia="IRNazanin" w:cs="IRNazanin"/>
          <w:lang w:bidi="fa-IR"/>
          <w:color w:val="111111"/>
          <w:sz w:val="28"/>
          <w:szCs w:val="28"/>
          <w:rtl/>
        </w:rPr>
        <w:t xml:space="preserve">آغاز: ضیافت می کنم یاران عزیزی چند مهمانست *** که جمع آوردن اسباب آن بسیار آسانست</w:t>
      </w:r>
    </w:p>
    <w:p>
      <w:pPr>
        <w:pStyle w:val="BookText"/>
      </w:pPr>
      <w:r>
        <w:rPr>
          <w:rFonts w:ascii="IRNazanin" w:hAnsi="IRNazanin" w:eastAsia="IRNazanin" w:cs="IRNazanin"/>
          <w:lang w:bidi="fa-IR"/>
          <w:color w:val="111111"/>
          <w:sz w:val="28"/>
          <w:szCs w:val="28"/>
          <w:rtl/>
        </w:rPr>
        <w:t xml:space="preserve">شامل مطایبات و هزلیات به صورت ضیافتی که باباغوری به جهـت مهمانی ترتیب داده؛ خط: نسخ و نستعليق، كا: جمال الدين محـمد حسنی، تا: یک شنبه ۱۲ جمادی الاول ۱۱۱۸ق؛ كاغذ: شرقی نخودی آهار مهره نازک، جلد: میشن مشکی، اص (585) ، اندازه: ۲۲/۳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۳۴/۹سم [ف: ۲۹/۱ - ۱۰۲]</w:t>
      </w:r>
    </w:p>
    <w:p>
      <w:pPr>
        <w:pStyle w:val="BookText"/>
      </w:pPr>
      <w:r>
        <w:rPr>
          <w:rFonts w:ascii="IRNazanin" w:hAnsi="IRNazanin" w:eastAsia="IRNazanin" w:cs="IRNazanin"/>
          <w:lang w:bidi="fa-IR"/>
          <w:color w:val="111111"/>
          <w:sz w:val="28"/>
          <w:szCs w:val="28"/>
          <w:rtl/>
        </w:rPr>
        <w:t xml:space="preserve">۶۲۷. تهران؛ ملک؛ شماره نسخه: ۳۰۹۳/۲</w:t>
      </w:r>
    </w:p>
    <w:p>
      <w:pPr>
        <w:pStyle w:val="BookText"/>
      </w:pPr>
      <w:r>
        <w:rPr>
          <w:rFonts w:ascii="IRNazanin" w:hAnsi="IRNazanin" w:eastAsia="IRNazanin" w:cs="IRNazanin"/>
          <w:lang w:bidi="fa-IR"/>
          <w:color w:val="111111"/>
          <w:sz w:val="28"/>
          <w:szCs w:val="28"/>
          <w:rtl/>
        </w:rPr>
        <w:t xml:space="preserve">از شوکت، طالع رشتی میرزا طاهر، حافظ ملا حاجی محمد و برهمن؛ خط: شکسته نستعلیق، بی کا، تا: با تاریخ ۱۱۱۹ق؛ ۲گ (۵۷پ-۵۶ر) [ف: ۶ - ۲۱۰]</w:t>
      </w:r>
    </w:p>
    <w:p>
      <w:pPr>
        <w:pStyle w:val="BookText"/>
      </w:pPr>
      <w:r>
        <w:rPr>
          <w:rFonts w:ascii="IRNazanin" w:hAnsi="IRNazanin" w:eastAsia="IRNazanin" w:cs="IRNazanin"/>
          <w:lang w:bidi="fa-IR"/>
          <w:color w:val="111111"/>
          <w:sz w:val="28"/>
          <w:szCs w:val="28"/>
          <w:rtl/>
        </w:rPr>
        <w:t xml:space="preserve">۶۲۸. تهران؛ مجلس؛ شماره نسخه: ۱۴۳۹۹/۱</w:t>
      </w:r>
    </w:p>
    <w:p>
      <w:pPr>
        <w:pStyle w:val="BookText"/>
      </w:pPr>
      <w:r>
        <w:rPr>
          <w:rFonts w:ascii="IRNazanin" w:hAnsi="IRNazanin" w:eastAsia="IRNazanin" w:cs="IRNazanin"/>
          <w:lang w:bidi="fa-IR"/>
          <w:color w:val="111111"/>
          <w:sz w:val="28"/>
          <w:szCs w:val="28"/>
          <w:rtl/>
        </w:rPr>
        <w:t xml:space="preserve">آغاز: حبذا شاه سواری و خوشا عرش شکاری بفدای شب قدری که چنین مرتبه داری از حضیض کره خاک بدین طارم افلاک بامر ملک قادر باری چودو ثلث از شب تاری بگذشت آمد ازین غرفه مینا بدر حجره آن سید سالار صدای پر جبریل و بیک دسـت سر مرکب صرصر ؛انجام: چه شد نیمه سیبی که برای من از مائده برداشتی ای سید ابرار رسول عربی دید در انگشت علی خاتم خود را که در آنجا با ... داده و بازید علی دست یدالله بجیب و بدر آورد همان نیمه سیبی که نهان گشت درون پرده و گردید بآن نیم دگر ملحق و بگرفت روان راه هوا را - تمام شد در وصف معراج حضرت پیامبر (صلّی اللَّهِ علیه وَ آلِهِ وَ سَلَّمَ )؛ خط: نسخ، بی کا، تا: شعبان ۱۱۲۵ق؛ جلد: مشکی، سوخت، ترنج با سر با نقش گل و بلبل با زمینه مذهب، 1گ (ار-1پ)، ۲۰ سطر، اندازه:۱۷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۲۳/۵سم [ف: ۳۸ - ۵۳۳]</w:t>
      </w:r>
    </w:p>
    <w:p>
      <w:pPr>
        <w:pStyle w:val="BookText"/>
      </w:pPr>
      <w:r>
        <w:rPr>
          <w:rFonts w:ascii="IRNazanin" w:hAnsi="IRNazanin" w:eastAsia="IRNazanin" w:cs="IRNazanin"/>
          <w:lang w:bidi="fa-IR"/>
          <w:color w:val="111111"/>
          <w:sz w:val="28"/>
          <w:szCs w:val="28"/>
          <w:rtl/>
        </w:rPr>
        <w:t xml:space="preserve">629.تهران؛ دانشگاه؛ شماره نسخه: ۸۴۶۵/۱</w:t>
      </w:r>
    </w:p>
    <w:p>
      <w:pPr>
        <w:pStyle w:val="BookText"/>
      </w:pPr>
      <w:r>
        <w:rPr>
          <w:rFonts w:ascii="IRNazanin" w:hAnsi="IRNazanin" w:eastAsia="IRNazanin" w:cs="IRNazanin"/>
          <w:lang w:bidi="fa-IR"/>
          <w:color w:val="111111"/>
          <w:sz w:val="28"/>
          <w:szCs w:val="28"/>
          <w:rtl/>
        </w:rPr>
        <w:t xml:space="preserve">شعرهای فارسی که به دستور خدایگانی الله ويردى بي كا؛ خط: نستعلیق چلیپا، بی کا، تا: ۱۲ صفر ۱۱۲۵ق؛ راسته و چلیپا؛ کاغذ: سپاهانی ،جلد: تیماج آبی ضربی مقوایی، ۵ص (۱-۵)، ۲۷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 قطع: وزیری باریک [ف: ۱۷ - ۱۴۰]</w:t>
      </w:r>
    </w:p>
    <w:p>
      <w:pPr>
        <w:pStyle w:val="BookText"/>
      </w:pPr>
      <w:r>
        <w:rPr>
          <w:rFonts w:ascii="IRNazanin" w:hAnsi="IRNazanin" w:eastAsia="IRNazanin" w:cs="IRNazanin"/>
          <w:lang w:bidi="fa-IR"/>
          <w:color w:val="111111"/>
          <w:sz w:val="28"/>
          <w:szCs w:val="28"/>
          <w:rtl/>
        </w:rPr>
        <w:t xml:space="preserve">۶۳۰. تهران؛ مجلس؛ شماره نسخه: ۹۷۳</w:t>
      </w:r>
    </w:p>
    <w:p>
      <w:pPr>
        <w:pStyle w:val="BookText"/>
      </w:pPr>
      <w:r>
        <w:rPr>
          <w:rFonts w:ascii="IRNazanin" w:hAnsi="IRNazanin" w:eastAsia="IRNazanin" w:cs="IRNazanin"/>
          <w:lang w:bidi="fa-IR"/>
          <w:color w:val="111111"/>
          <w:sz w:val="28"/>
          <w:szCs w:val="28"/>
          <w:rtl/>
        </w:rPr>
        <w:t xml:space="preserve">قصیده در مدح حضرت علی (علیه السّلام) از محمد تقی (محمد تقی مازندرانی معاصر نصر آبادی) ؛خط: شکسته نستعلیق، کاتب= مؤلف ، تا: ۱۱۲۸ق؛ ۸ ص (۵۶-۵۹ و ۶۲-۶۳ و ۷۲-۷۳) [ف: ۳-۲۲۰]</w:t>
      </w:r>
    </w:p>
    <w:p>
      <w:pPr>
        <w:pStyle w:val="BookText"/>
      </w:pPr>
      <w:r>
        <w:rPr>
          <w:rFonts w:ascii="IRNazanin" w:hAnsi="IRNazanin" w:eastAsia="IRNazanin" w:cs="IRNazanin"/>
          <w:lang w:bidi="fa-IR"/>
          <w:color w:val="111111"/>
          <w:sz w:val="28"/>
          <w:szCs w:val="28"/>
          <w:rtl/>
        </w:rPr>
        <w:t xml:space="preserve">۶۳۱. تهران؛ دانشگاه؛ شماره نسخه: ۱۰۸۴۱/۵۶</w:t>
      </w:r>
    </w:p>
    <w:p>
      <w:pPr>
        <w:pStyle w:val="BookText"/>
      </w:pPr>
      <w:r>
        <w:rPr>
          <w:rFonts w:ascii="IRNazanin" w:hAnsi="IRNazanin" w:eastAsia="IRNazanin" w:cs="IRNazanin"/>
          <w:lang w:bidi="fa-IR"/>
          <w:color w:val="111111"/>
          <w:sz w:val="28"/>
          <w:szCs w:val="28"/>
          <w:rtl/>
        </w:rPr>
        <w:t xml:space="preserve">خط: نستعلیق، کا: عبدالعلی بن علی خان طالقانی، تا: شعبان ۱۱۲۹ق؛انجامه:«چون راقم قضا و قدر بر صفحه وجود این احقر خط بطلان کشد و به انقطاع روح ریحانی فرمان دهد یادگاری غیر خط غبار و از نام و نشان بر صفحه روزگار اثری جز بر لوح مزار نماند امید چنان است که جناب معلی القاب اعنى صاحب مجموعه زیدت مفاخره از فقیر حقیر یادآوری نموده به انفاس عیسوی زنده جاوید سازند. به تاریخ شهر شعبان المعظم مرقوم قلم صدق مقال گردید فى سنة ۱۱۲۹ هرزه گرد وادی بطالت و بی حاصلی عبدالعلی بن علی خان طالقانی»؛ جلد: تیماج مشکی یک لا ضربی با ترنج و سرترنج، ۲گ (۱۰۷پ-۱۰۸ر)، مختلف السطر (9</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 قطع: بیاضی،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۲۴/۵سم [ف: ۲۰ – ۳۹۶]</w:t>
      </w:r>
    </w:p>
    <w:p>
      <w:pPr>
        <w:pStyle w:val="BookText"/>
      </w:pPr>
      <w:r>
        <w:rPr>
          <w:rFonts w:ascii="IRNazanin" w:hAnsi="IRNazanin" w:eastAsia="IRNazanin" w:cs="IRNazanin"/>
          <w:lang w:bidi="fa-IR"/>
          <w:color w:val="111111"/>
          <w:sz w:val="28"/>
          <w:szCs w:val="28"/>
          <w:rtl/>
        </w:rPr>
        <w:t xml:space="preserve">۶۳۲. تهران ،فرمانفرمائیان حافظ (دکتر)؛ شماره نسخه: بدون شماره/۷</w:t>
      </w:r>
    </w:p>
    <w:p>
      <w:pPr>
        <w:pStyle w:val="BookText"/>
      </w:pPr>
      <w:r>
        <w:rPr>
          <w:rFonts w:ascii="IRNazanin" w:hAnsi="IRNazanin" w:eastAsia="IRNazanin" w:cs="IRNazanin"/>
          <w:lang w:bidi="fa-IR"/>
          <w:color w:val="111111"/>
          <w:sz w:val="28"/>
          <w:szCs w:val="28"/>
          <w:rtl/>
        </w:rPr>
        <w:t xml:space="preserve">کا: کا: محمد علی، تا: ۱۱۳۰ق، جا: قزوین؛ جلد: تیماج مشکی زرکوب مقوایی، ۱ص ،(۱۷۳ر) قطع: ربعی [نشریه: ۷ - ۵۵۱]</w:t>
      </w:r>
    </w:p>
    <w:p>
      <w:pPr>
        <w:pStyle w:val="BookText"/>
      </w:pPr>
      <w:r>
        <w:rPr>
          <w:rFonts w:ascii="IRNazanin" w:hAnsi="IRNazanin" w:eastAsia="IRNazanin" w:cs="IRNazanin"/>
          <w:lang w:bidi="fa-IR"/>
          <w:color w:val="111111"/>
          <w:sz w:val="28"/>
          <w:szCs w:val="28"/>
          <w:rtl/>
        </w:rPr>
        <w:t xml:space="preserve">۶۳۳. مشهد؛ رضوی؛ شماره نسخه: ۱۰۳۱۴/۴</w:t>
      </w:r>
    </w:p>
    <w:p>
      <w:pPr>
        <w:pStyle w:val="BookText"/>
      </w:pPr>
      <w:r>
        <w:rPr>
          <w:rFonts w:ascii="IRNazanin" w:hAnsi="IRNazanin" w:eastAsia="IRNazanin" w:cs="IRNazanin"/>
          <w:lang w:bidi="fa-IR"/>
          <w:color w:val="111111"/>
          <w:sz w:val="28"/>
          <w:szCs w:val="28"/>
          <w:rtl/>
        </w:rPr>
        <w:t xml:space="preserve">آغاز: بعض از کلمات اجله مشایخ و فرمایشات بعضی از شعراء متقدمین و متأخرين ؛انجام: کو هم نفسی تا بر سلطان برساند *** سطری چون حسین ارمن درویش نویسم</w:t>
      </w:r>
    </w:p>
    <w:p>
      <w:pPr>
        <w:pStyle w:val="BookText"/>
      </w:pPr>
      <w:r>
        <w:rPr>
          <w:rFonts w:ascii="IRNazanin" w:hAnsi="IRNazanin" w:eastAsia="IRNazanin" w:cs="IRNazanin"/>
          <w:lang w:bidi="fa-IR"/>
          <w:color w:val="111111"/>
          <w:sz w:val="28"/>
          <w:szCs w:val="28"/>
          <w:rtl/>
        </w:rPr>
        <w:t xml:space="preserve">منتخباتی است از مثنویات فریدالدین عطار نیشابوری، و قصاید سنائی غزنوی و از سرودههای فارسی ابن سینا، و رباعیات جامی و غزليات مشتاق و مغربی و فروغی و ظهیر الدوله؛ نیز قطعه ای منثور درباره اجماع علمای عصر بر فتوی قتل ميرزا ابوالقاسم سکوت آمده ؛خط: نستعليق ،كا: على اكبر بن میرزا اسماعیل سمنانی، تا: ذيحجة ۱۱۳۰ق، جا: تهران؛ كاغذ: آبی فرنگی، جلد: تیماج مشکی،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۱۸/۵سم [ف: ۹ - ۳۲۲]</w:t>
      </w:r>
    </w:p>
    <w:p>
      <w:pPr>
        <w:pStyle w:val="BookText"/>
      </w:pPr>
      <w:r>
        <w:rPr>
          <w:rFonts w:ascii="IRNazanin" w:hAnsi="IRNazanin" w:eastAsia="IRNazanin" w:cs="IRNazanin"/>
          <w:lang w:bidi="fa-IR"/>
          <w:color w:val="111111"/>
          <w:sz w:val="28"/>
          <w:szCs w:val="28"/>
          <w:rtl/>
        </w:rPr>
        <w:t xml:space="preserve">۶۳۴. مشهد؛ رضوی؛ شماره نسخه: ۱۳۷۰۷</w:t>
      </w:r>
    </w:p>
    <w:p>
      <w:pPr>
        <w:pStyle w:val="BookText"/>
      </w:pPr>
      <w:r>
        <w:rPr>
          <w:rFonts w:ascii="IRNazanin" w:hAnsi="IRNazanin" w:eastAsia="IRNazanin" w:cs="IRNazanin"/>
          <w:lang w:bidi="fa-IR"/>
          <w:color w:val="111111"/>
          <w:sz w:val="28"/>
          <w:szCs w:val="28"/>
          <w:rtl/>
        </w:rPr>
        <w:t xml:space="preserve">آغاز: مرا داغی چنان بر دل نهادند؛ انجام: پاک است در قلب و سره چشم از خطا صراف را.</w:t>
      </w:r>
    </w:p>
    <w:p>
      <w:pPr>
        <w:pStyle w:val="BookText"/>
      </w:pPr>
      <w:r>
        <w:rPr>
          <w:rFonts w:ascii="IRNazanin" w:hAnsi="IRNazanin" w:eastAsia="IRNazanin" w:cs="IRNazanin"/>
          <w:lang w:bidi="fa-IR"/>
          <w:color w:val="111111"/>
          <w:sz w:val="28"/>
          <w:szCs w:val="28"/>
          <w:rtl/>
        </w:rPr>
        <w:t xml:space="preserve">مشتمل بر غزلیات و قصاید و مثنویات و مخمس و اشعار متفرقه از شاعران متقدم و متأخر مانند: سعدی، حافظ، عرفی، ملا ندیم، فطرت، ملا علی رضا تجلی، حیدری، سید علی مهری، ادهم، افجنگی، در مدح علی بن ابی طالب و دیگر ائمه علیهم السلام،
</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قصيده حافظ در مدح شاه منصور مظفری و مطالبی منقول از کشکول شیخ بهایی؛ خط: نستعلیق مخلوط به شکسته ، کا: اسمعیل، تا: ۱۵ ذیحجه ۱۱۳۱ق؛ سطور چلیپا ؛کاغذ: نخودی، جلد: تيماج یک لا، ۷۳گ، مختلف السطر، اندازه: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 ف: 17- 41]</w:t>
      </w:r>
    </w:p>
    <w:p>
      <w:pPr>
        <w:pStyle w:val="BookText"/>
      </w:pPr>
      <w:r>
        <w:rPr>
          <w:rFonts w:ascii="IRNazanin" w:hAnsi="IRNazanin" w:eastAsia="IRNazanin" w:cs="IRNazanin"/>
          <w:lang w:bidi="fa-IR"/>
          <w:color w:val="111111"/>
          <w:sz w:val="28"/>
          <w:szCs w:val="28"/>
          <w:rtl/>
        </w:rPr>
        <w:t xml:space="preserve">۶۳۵. تهران؛ مجلس؛ شماره نسخه: ۸۹۰۸/۴۲</w:t>
      </w:r>
    </w:p>
    <w:p>
      <w:pPr>
        <w:pStyle w:val="BookText"/>
      </w:pPr>
      <w:r>
        <w:rPr>
          <w:rFonts w:ascii="IRNazanin" w:hAnsi="IRNazanin" w:eastAsia="IRNazanin" w:cs="IRNazanin"/>
          <w:lang w:bidi="fa-IR"/>
          <w:color w:val="111111"/>
          <w:sz w:val="28"/>
          <w:szCs w:val="28"/>
          <w:rtl/>
        </w:rPr>
        <w:t xml:space="preserve">اشعار مختلف و پراکنده ای از این سرایندگان است: میر صیدی ،فیاض، عظيما نیشابوری ،وحید ،سعدی، ابوذرجمهر، صايـب، کلیم؛ خط: نستعلیق، کا: محمد علی شریف همدانی، تا: شوال ۱۱۳۵ق، جا: اردبیل در گوشه مسجد؛ نوشته شده با این انجامه: «این دو لکه به تاریخ شهر شوال المکرم سنه ۱۱۳۵کمترین خلق الله محمد على شریف همدانی در گوشی غریبی بیکس مهجور دور از وطن افتاده در دار ارشاد اردبیل در گوشه سجده ؟ به خدمت فضیلت و کمالت ... (پارگی) نوشته گردید .هر که خـاند دوعا طمع دارم زانکه من بنده گنه کارم»، ۴۳.دستورالعمل برای  حاصل شدن حوایج (ص ۴۴۲-۴۴۳) ؛ کاغذ: نخودی آهار مهـره ،جلد: تیماج مشکی با ترنج هشت ضلعی، ۷ ص( 435- 441) ،سطور چلیپا، ابعادمتن: 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 قطع: بیاضی، اندازه: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  سم[ ف: 29/1 - ۳۰۱]</w:t>
      </w:r>
    </w:p>
    <w:p>
      <w:pPr>
        <w:pStyle w:val="BookText"/>
      </w:pPr>
      <w:r>
        <w:rPr>
          <w:rFonts w:ascii="IRNazanin" w:hAnsi="IRNazanin" w:eastAsia="IRNazanin" w:cs="IRNazanin"/>
          <w:lang w:bidi="fa-IR"/>
          <w:color w:val="111111"/>
          <w:sz w:val="28"/>
          <w:szCs w:val="28"/>
          <w:rtl/>
        </w:rPr>
        <w:t xml:space="preserve">۶۳۶. تهران؛ دانشگاه؛ شماره نسخه: ۲۶۱۹/۹</w:t>
      </w:r>
    </w:p>
    <w:p>
      <w:pPr>
        <w:pStyle w:val="BookText"/>
      </w:pPr>
      <w:r>
        <w:rPr>
          <w:rFonts w:ascii="IRNazanin" w:hAnsi="IRNazanin" w:eastAsia="IRNazanin" w:cs="IRNazanin"/>
          <w:lang w:bidi="fa-IR"/>
          <w:color w:val="111111"/>
          <w:sz w:val="28"/>
          <w:szCs w:val="28"/>
          <w:rtl/>
        </w:rPr>
        <w:t xml:space="preserve">آغاز: ششمش ترک خواب باید گفت *** جز بشب اندکی نبـاید خفت؛ انجام: ای حسینی زبان عذر بیار *** دست حاجت ز روی عجز بیار... چو نیند از تو کافران نومید*** چون ندارم برحمـتی امید</w:t>
      </w:r>
    </w:p>
    <w:p>
      <w:pPr>
        <w:pStyle w:val="BookText"/>
      </w:pPr>
      <w:r>
        <w:rPr>
          <w:rFonts w:ascii="IRNazanin" w:hAnsi="IRNazanin" w:eastAsia="IRNazanin" w:cs="IRNazanin"/>
          <w:lang w:bidi="fa-IR"/>
          <w:color w:val="111111"/>
          <w:sz w:val="28"/>
          <w:szCs w:val="28"/>
          <w:rtl/>
        </w:rPr>
        <w:t xml:space="preserve">مثنوی حسینی است، پند است ؛خط: نستعلیق، بی کا، تا: ۸ جما الاول ۱۱۴۰ق، جا: دولت خانه میرزا عیسی خان؛ کاغذ: سپاهانی ،جلد: تیماج قهوه ای ضربی درون عنابی، ۲گ (۴۷۳ر-۴۷۴ر)،  20سطر (7</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۲۴سم [ف: ۹ - ۱۴۹۰]</w:t>
      </w:r>
    </w:p>
    <w:p>
      <w:pPr>
        <w:pStyle w:val="BookText"/>
      </w:pPr>
      <w:r>
        <w:rPr>
          <w:rFonts w:ascii="IRNazanin" w:hAnsi="IRNazanin" w:eastAsia="IRNazanin" w:cs="IRNazanin"/>
          <w:lang w:bidi="fa-IR"/>
          <w:color w:val="111111"/>
          <w:sz w:val="28"/>
          <w:szCs w:val="28"/>
          <w:rtl/>
        </w:rPr>
        <w:t xml:space="preserve">۶۳۷. شیراز ،خلیلی، میرزا محمد؛ شماره نسخه: بدون شماره</w:t>
      </w:r>
    </w:p>
    <w:p>
      <w:pPr>
        <w:pStyle w:val="BookText"/>
      </w:pPr>
      <w:r>
        <w:rPr>
          <w:rFonts w:ascii="IRNazanin" w:hAnsi="IRNazanin" w:eastAsia="IRNazanin" w:cs="IRNazanin"/>
          <w:lang w:bidi="fa-IR"/>
          <w:color w:val="111111"/>
          <w:sz w:val="28"/>
          <w:szCs w:val="28"/>
          <w:rtl/>
        </w:rPr>
        <w:t xml:space="preserve">جنگ اشعار مرشد قلی خان شاملو، میرزا جلال، فصیحی انصاری، اقدسی، خاقانی، عرفی، میرسید محمد پسر شاه قاسم ،رشتی، نجم الدین مسعود، محمد بیک فوقی ،تذروی، محمود اردبیلی، کمال الدین اسماعیل ،قاسم گونابادی (خسرو شیرین) ،ملاعبدی، جلال یزدی ،اسدی ،فردوسی، خالص بختیاری، سید حسن...جامی، مورخ ۱۱۴۰، نوشته ای به مستوفی خراج به تاریخ ۱۱۴۰، سپس شعر حافظ که در باغچه میرزا آقا علی رضای حسینی شیرازی در روز شنبه ۱۲ شوال ۱۳۲۳ نوشته شده است. در ص ع تاریخ ۱۲12 و ۱۳۰۲ دیده می شود؛ بی کا، تا: با تاریخ ۱۱۴۰ق [ نشریه: ۵ - 266]</w:t>
      </w:r>
    </w:p>
    <w:p>
      <w:pPr>
        <w:pStyle w:val="BookText"/>
      </w:pPr>
      <w:r>
        <w:rPr>
          <w:rFonts w:ascii="IRNazanin" w:hAnsi="IRNazanin" w:eastAsia="IRNazanin" w:cs="IRNazanin"/>
          <w:lang w:bidi="fa-IR"/>
          <w:color w:val="111111"/>
          <w:sz w:val="28"/>
          <w:szCs w:val="28"/>
          <w:rtl/>
        </w:rPr>
        <w:t xml:space="preserve">۶۳۸. تهران؛ دانشگاه؛ شماره نسخه: ۲۶۱۹/۱۰</w:t>
      </w:r>
    </w:p>
    <w:p>
      <w:pPr>
        <w:pStyle w:val="BookText"/>
      </w:pPr>
      <w:r>
        <w:rPr>
          <w:rFonts w:ascii="IRNazanin" w:hAnsi="IRNazanin" w:eastAsia="IRNazanin" w:cs="IRNazanin"/>
          <w:lang w:bidi="fa-IR"/>
          <w:color w:val="111111"/>
          <w:sz w:val="28"/>
          <w:szCs w:val="28"/>
          <w:rtl/>
        </w:rPr>
        <w:t xml:space="preserve">آغاز: دو معشوق سراسر عشوه و ناز *** بفن دلبری بودند ممتاز ؛انجام: ز نفس شوم خود دارم شکایت *** خداوندا هدایت کن هدایت</w:t>
      </w:r>
    </w:p>
    <w:p>
      <w:pPr>
        <w:pStyle w:val="BookText"/>
      </w:pPr>
      <w:r>
        <w:rPr>
          <w:rFonts w:ascii="IRNazanin" w:hAnsi="IRNazanin" w:eastAsia="IRNazanin" w:cs="IRNazanin"/>
          <w:lang w:bidi="fa-IR"/>
          <w:color w:val="111111"/>
          <w:sz w:val="28"/>
          <w:szCs w:val="28"/>
          <w:rtl/>
        </w:rPr>
        <w:t xml:space="preserve">مثنوی روشن ضمیر، داستان دو عاشق و دو معشوق است؛ خـط: نستعلیق، بی کا، تا: ۸ جمادی الاول ۱۱۴۰ق، جا: دولت خانه میرزا عیسی خان؛ کاغذ: سپاهانی ،جلد: تیماج قهوه ای ضربی درون عنابی، ۳گ (۴۷۴ر-۴۷۷پ)، ۲۰ سطر (7</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۲۴سم [ف: ۹ - ۱۴۹۰]</w:t>
      </w:r>
    </w:p>
    <w:p>
      <w:pPr>
        <w:pStyle w:val="BookText"/>
      </w:pPr>
      <w:r>
        <w:rPr>
          <w:rFonts w:ascii="IRNazanin" w:hAnsi="IRNazanin" w:eastAsia="IRNazanin" w:cs="IRNazanin"/>
          <w:lang w:bidi="fa-IR"/>
          <w:color w:val="111111"/>
          <w:sz w:val="28"/>
          <w:szCs w:val="28"/>
          <w:rtl/>
        </w:rPr>
        <w:t xml:space="preserve">۶۳۹. تهران؛ دانشگاه؛ شماره نسخه: ۲۶۱۹/۱</w:t>
      </w:r>
    </w:p>
    <w:p>
      <w:pPr>
        <w:pStyle w:val="BookText"/>
      </w:pPr>
      <w:r>
        <w:rPr>
          <w:rFonts w:ascii="IRNazanin" w:hAnsi="IRNazanin" w:eastAsia="IRNazanin" w:cs="IRNazanin"/>
          <w:lang w:bidi="fa-IR"/>
          <w:color w:val="111111"/>
          <w:sz w:val="28"/>
          <w:szCs w:val="28"/>
          <w:rtl/>
        </w:rPr>
        <w:t xml:space="preserve">شعرهای آقا حسن، میرزا کاظم  کاشی، محمد امین، همت، میر سید علی، انصاف ،تابع ،محتشم ،نظری، وحید، زلالی، قدسی (۲۵۷ ر) میرزا صائب (۳۱۷پ) و زندیقی قزوینی در دو بیت (۴۰۱ ر)؛ خط: نستعلیق، بی کا، تا: ۸ جمادی الاول ۱۱۴۰ق، جا: دولت خانه میرزا عیسی خان؛ کاغذ: سپاهانی، جلد: تیماج قهوه ای ضربی درون عنابی، ۲۰ سطر (7</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۲۴سم [ف: ۹- ۱۴۸۶]</w:t>
      </w:r>
    </w:p>
    <w:p>
      <w:pPr>
        <w:pStyle w:val="BookText"/>
      </w:pPr>
      <w:r>
        <w:rPr>
          <w:rFonts w:ascii="IRNazanin" w:hAnsi="IRNazanin" w:eastAsia="IRNazanin" w:cs="IRNazanin"/>
          <w:lang w:bidi="fa-IR"/>
          <w:color w:val="111111"/>
          <w:sz w:val="28"/>
          <w:szCs w:val="28"/>
          <w:rtl/>
        </w:rPr>
        <w:t xml:space="preserve">۶۴۰. تهران؛ مجلس؛ شماره نسخه: ۳۴۵۵/۱۰۸</w:t>
      </w:r>
    </w:p>
    <w:p>
      <w:pPr>
        <w:pStyle w:val="BookText"/>
      </w:pPr>
      <w:r>
        <w:rPr>
          <w:rFonts w:ascii="IRNazanin" w:hAnsi="IRNazanin" w:eastAsia="IRNazanin" w:cs="IRNazanin"/>
          <w:lang w:bidi="fa-IR"/>
          <w:color w:val="111111"/>
          <w:sz w:val="28"/>
          <w:szCs w:val="28"/>
          <w:rtl/>
        </w:rPr>
        <w:t xml:space="preserve">قطعات و رباعیات از وحید ،ناطق ،جوهری، محمد مؤمن، محمد جعفر، حسین منشی و واعظ. این قطعه اول که از وحید و بخط او است که در بالای آن نوشته: «لراقمه وحید: رنگ خجلت را نقاب چهره گلپوش کرد *** قصه بی باکی خود را چو از من گوش کرد /گردش این ساغر خالی که گردون نام اوست *** اهل دولت را نمیدانم چرا بیهوش کرد؛ از واعظ: تا خیال رخ او شمع شب افروز منست *** مهر تابان عرق ناصیه روز منست / بسکه در خانه غیرش نتوانم دیدن» از ناطق: جنون افزا نگاهی کرده از دل غارت هوشم *** که از شوق خدنگش چون کمان بارست آغوشم، از جوهری: چو بر فروخته رخ از شراب می آید *** بسر شبنم من آفتاب می آید، رباعیاتی از محمد مقیم که آغاز آن چنین است: بيدما غم کرد درد او که تنها گرد باش *** سر عشم سر بصحرا داد یعنی فرد باش، از مرد خراسانی که به جهت پادشاه جلال الدین اکبر هند گفته: قتلم آنشوخ خورد کک مکنه *** جان فدایش که  خوش نکک مکنه/ چشمکی میزنه دلم مبره *** چشمکی دیگرش کمک مکنه؛ بی کا، تا: بین ۱۰۶۳ تا ۱۱۴۱ق؛ جلد: تیماج یک لا قرمز، ۵ ص (۹۴-۹۸) ، قطع: بیاضی،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۳۳سم [ف: ۱۰ – ۱۳۴۶]</w:t>
      </w:r>
    </w:p>
    <w:p>
      <w:pPr>
        <w:pStyle w:val="BookText"/>
      </w:pPr>
      <w:r>
        <w:rPr>
          <w:rFonts w:ascii="IRNazanin" w:hAnsi="IRNazanin" w:eastAsia="IRNazanin" w:cs="IRNazanin"/>
          <w:lang w:bidi="fa-IR"/>
          <w:color w:val="111111"/>
          <w:sz w:val="28"/>
          <w:szCs w:val="28"/>
          <w:rtl/>
        </w:rPr>
        <w:t xml:space="preserve">۶۴۱ .تهران؛ مجلس؛ شماره نسخه: ۲۳۲۴</w:t>
      </w:r>
    </w:p>
    <w:p>
      <w:pPr>
        <w:pStyle w:val="BookText"/>
      </w:pPr>
      <w:r>
        <w:rPr>
          <w:rFonts w:ascii="IRNazanin" w:hAnsi="IRNazanin" w:eastAsia="IRNazanin" w:cs="IRNazanin"/>
          <w:lang w:bidi="fa-IR"/>
          <w:color w:val="111111"/>
          <w:sz w:val="28"/>
          <w:szCs w:val="28"/>
          <w:rtl/>
        </w:rPr>
        <w:t xml:space="preserve">آغاز: سازی هزار دستان خوش داستان ز هزار دستانش آهنگی..؛ انجام: قسم هر ناکسی سبک فربه *** قسم من لاغر و كران برخاست</w:t>
      </w:r>
    </w:p>
    <w:p>
      <w:pPr>
        <w:pStyle w:val="BookText"/>
      </w:pPr>
      <w:r>
        <w:rPr>
          <w:rFonts w:ascii="IRNazanin" w:hAnsi="IRNazanin" w:eastAsia="IRNazanin" w:cs="IRNazanin"/>
          <w:lang w:bidi="fa-IR"/>
          <w:color w:val="111111"/>
          <w:sz w:val="28"/>
          <w:szCs w:val="28"/>
          <w:rtl/>
        </w:rPr>
        <w:t xml:space="preserve">گردآورنده محمد حسین نام دارد و محمد مؤمن فیروزآبادی بنا بخواهش او یک مقدمه نثر در شش صفحه بر این جنگ نوشته است و این جنگ شامل منتخبی از شعرای ایران است تا قرن ۱۲ که در متن و حاشیه نوشته شده است آنچه در حاشیه نوشته شده است عبارت است از: ۱- منتخب حدیقه سنایی (۲-۱۲)، ۲- منتخب لیلی و مجنون مکتبی (۱۳-۲۸ و ۱۱۷-۱۲۰)، ۳- از سوز و گداز نوعی خبوشانی (۲۸-۵۱) ۴- از محمود و ایاز انیسی شاملو (۸۲-۵۱) ۵- انتخاب تمرنامه هاتفی (۸۷۸۳، ۶- چند قطعه مثنوی از حکیم رکنا کاشی ،(۸۷-۱۲۰)، ۷- از خسرو شیرین نظامی (۱۲۱-۱۴۹) ،۸ ساقی نامه ظهوری (150- 170و 197-
</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۲۰۰)، ۹- انتخاب خضر خانی و دولرانی امیر خسرو (۲۰۰ - 250)،شعرایی که اشعار آنها در متن آمده عبارت اند از[ در فهرست شماره صفحات آمده است]: قصاید انوری، شیخ فیضی اکره، ولی دشت بیاضی، وحشی بافقی، ابوطالب- حكيم ركنا، علينقى كمـره، محمد يوسف  جرفادقانی ،ظهیر، نظیری نیشابوری، طالب آملی ،ابوالعلاء گنجوی ،فرخی ،عنصری، اشرف سمرقندی، معزی ناصر خسرو، ازرقی، عمعق ،قطران ،مختاری، امیر خسرو، جمال اصفهانی ،آذری ،فیضی هندی ،سعدی، کمال اسمعیل، سلـمان ساوجی، رفيع لنبانی، رضی نیشابوری ،خاقانی، قاضی شرف جهان، محمد عتابی ،ملک ابوالبقاء تفریشی، ابوالحسن فراهانی،  کاتبی، رودکی (از قطران ۹۸ )، عبدالواسع ،سوزنی ،عمادی،امیر ذوالفقار شروانی، جوهری زرگر، ابن حسام، اثیر اومانی، شمس طبسی، کافی سبزواری، قصیده قاضی نور، سنجرکاشی، قصـیده عطار ،قصیده شاپور، لسانی شیرازی، مجد همگر، اوحدی ،  حسن غزنوی، محمد صوفی ،ثنایی، ابوالفرج رونی، محمود بیک، نظام استرآبادی ،سنجری ،امیدی تهرانی، رشید وطواط، قصید و تركيب بند جمال الدین عبدالرزاق، غضایری ،عراقی، عبید، مسمط منوچهری، قصاید کاتبی نیشابوری، قصاید عرفی؛ خـط: نستعلیق خوش، بی کا، تا: ۱۱۴۱ق؛ افتادگی: آغاز و انجام؛ تاریخ تحرير ۱۴۱ (ظاهراً ۱۱۴۱ که در حاشیه صفحه ۲۸ و 200رقم کرده است)، مجدول، مذهب، صفحه اول ؛کاغذ: متن و حاشیه ترمه اصفهانی ،جلد: میشن قهوه ای ترنج و سر ترنج ضربی، ۲۵۲ ص، ۲۰ سطر هر ستون در متن و ۴۴/۵ سطر در حاشیه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۲۶/۵سم [ف: ۸ - ۹]</w:t>
      </w:r>
    </w:p>
    <w:p>
      <w:pPr>
        <w:pStyle w:val="BookText"/>
      </w:pPr>
      <w:r>
        <w:rPr>
          <w:rFonts w:ascii="IRNazanin" w:hAnsi="IRNazanin" w:eastAsia="IRNazanin" w:cs="IRNazanin"/>
          <w:lang w:bidi="fa-IR"/>
          <w:color w:val="111111"/>
          <w:sz w:val="28"/>
          <w:szCs w:val="28"/>
          <w:rtl/>
        </w:rPr>
        <w:t xml:space="preserve">642.تهران؛ مجلس؛ شماره نسخه: ۳۴۵۵/۲۳</w:t>
      </w:r>
    </w:p>
    <w:p>
      <w:pPr>
        <w:pStyle w:val="BookText"/>
      </w:pPr>
      <w:r>
        <w:rPr>
          <w:rFonts w:ascii="IRNazanin" w:hAnsi="IRNazanin" w:eastAsia="IRNazanin" w:cs="IRNazanin"/>
          <w:lang w:bidi="fa-IR"/>
          <w:color w:val="111111"/>
          <w:sz w:val="28"/>
          <w:szCs w:val="28"/>
          <w:rtl/>
        </w:rPr>
        <w:t xml:space="preserve">اشعار از دوانی، صفی قلی بیک؛ بی کا، تا: بین ۱۰۶۳ تا 1141؛ 1ص (۳۰) [ف: ۱۰ – ۱۳۳۷]</w:t>
      </w:r>
    </w:p>
    <w:p>
      <w:pPr>
        <w:pStyle w:val="BookText"/>
      </w:pPr>
      <w:r>
        <w:rPr>
          <w:rFonts w:ascii="IRNazanin" w:hAnsi="IRNazanin" w:eastAsia="IRNazanin" w:cs="IRNazanin"/>
          <w:lang w:bidi="fa-IR"/>
          <w:color w:val="111111"/>
          <w:sz w:val="28"/>
          <w:szCs w:val="28"/>
          <w:rtl/>
        </w:rPr>
        <w:t xml:space="preserve">۶۴۳ .تهران؛ ملی؛ شماره نسخه: ۳۰۴۰</w:t>
      </w:r>
    </w:p>
    <w:p>
      <w:pPr>
        <w:pStyle w:val="BookText"/>
      </w:pPr>
      <w:r>
        <w:rPr>
          <w:rFonts w:ascii="IRNazanin" w:hAnsi="IRNazanin" w:eastAsia="IRNazanin" w:cs="IRNazanin"/>
          <w:lang w:bidi="fa-IR"/>
          <w:color w:val="111111"/>
          <w:sz w:val="28"/>
          <w:szCs w:val="28"/>
          <w:rtl/>
        </w:rPr>
        <w:t xml:space="preserve">آغاز: این صدر ایوان رسل ای شمع جمع انبیاء *** خورشید چـرخ سلطنت جمشید تخت کبریا ؛انجام: گلی بخش از گلستان خلـیلم *** درین ره ساز آتش را دلیلم</w:t>
      </w:r>
    </w:p>
    <w:p>
      <w:pPr>
        <w:pStyle w:val="BookText"/>
      </w:pPr>
      <w:r>
        <w:rPr>
          <w:rFonts w:ascii="IRNazanin" w:hAnsi="IRNazanin" w:eastAsia="IRNazanin" w:cs="IRNazanin"/>
          <w:lang w:bidi="fa-IR"/>
          <w:color w:val="111111"/>
          <w:sz w:val="28"/>
          <w:szCs w:val="28"/>
          <w:rtl/>
        </w:rPr>
        <w:t xml:space="preserve">اشعاری از جامی، نظامی، مولانا غور، فاضل، ناصر علی، اشرف هلالی، مشتاق قاسم دیوانه، محمد سام بیک، مقصود بیک خشتی، میرزا صائب، شوکت بخاری، ناصح، خواجه والی قندهار، خلیفه صادق کاملی، امیر شاهی، ملا وصلی چهار کاری، سالم، کشفی، اهلی شیرازی، امیر همایون، امیر خسرو ،آشنا، تجلی ،خواجه کمال، شرف یزدی، وحید بیک، شاه شرف قلندر ،عشرانی ،کلیم، بیخود ،احسن ،صیدی، اسدالله ،خالص، بلیغ، عالی، طالع ،آصفی ،وحید ،فغانی، بیدل، معالی، کابلی، برید ،اسیر ،طالب ،طغرا ،طوسی ،نظری، مدهوش ،ساقی ،فکار، نعمت الله خان، رحمت، ملا واصل، فائز، فغفور، ملامعين، غنی، ملا بخشی کابلی ،علوی ،زائر، قاسم، حافظ، نورس، میر غلامحسین، محمد عطا ،عرفی ،زاهد، امان الله، عبدالله خـان،</w:t>
      </w:r>
    </w:p>
    <w:p>
      <w:pPr>
        <w:pStyle w:val="BookText"/>
      </w:pPr>
      <w:r>
        <w:rPr>
          <w:rFonts w:ascii="IRNazanin" w:hAnsi="IRNazanin" w:eastAsia="IRNazanin" w:cs="IRNazanin"/>
          <w:lang w:bidi="fa-IR"/>
          <w:color w:val="111111"/>
          <w:sz w:val="28"/>
          <w:szCs w:val="28"/>
          <w:rtl/>
        </w:rPr>
        <w:t xml:space="preserve">آفرین، شاه حسن میرزا ،ماهر ،بساطی ،فخری، میر امان کابلی، شادمان کهگر، برهمن، صابر بیک، علی دانشمند متخلص ياهو، ميرزا ثاقب کابلی، خواجه ادهم، محمد صادق، حيرت، يكتا دانش، فائق، شیخ عطار ولی، اشرف، صیرفی، لسانی، خوشحال، رونق ظریف ،معانی ،عنایت ،لوحی، مستانه، راسخ، اصلی، خالص ،شهید ،عیشی ،هندی ،خسرو، سیوک، حیدر ،نقی، میر معالی ،راضی ،حسین ،امامی ،فارغ ،مظهر، سلطان حسن پیشاوری ،ثنائی ،حسن شهیدی شاپور، صابر تخلص مستانه، میرزا جولی بیک ،قدرت،وفا، صفا، هاشم ،فاضل، عارف، عبداللطیف خان، ،عاقل، میرزا سلطان شاکری کابلی ،آغرخان، نعیمی، ابن یمین، ملارضا، شاه حسین، یوسفی، روش ارابیگم، جویا، تمنا، مفید، ،میرموسی، شاه بلاق ،مانی، شیخ نزاری ،نعیما سعدی، کاتبی ،محتشم ،خلیل، شمس ،آهی ،خادم ،بهلول، قدسی، ملانظام کابلی، فصیحی، سلیم، صانع ، ظریف ،قبیح، آشنا، حمید، آصفی، حاجی نائب، خواجه محمد صدیق بدخشی، علی، فطرت، حیدر، خواجه ،کمال ،جمالی محقی، عصمت ،پناهی، سیادت، عنایت الله شاه شرق، معجز پشاوری، وحشی ،عاجز ،غریب، بینش، حسینی ،عاشق ،زیوری ،شهیدان ،ناصحی، شمس تبریز ،باعث، سحابی ،خاقانی ،اسماعیل، ملا علی حکیم ركنا؛ خط: نستعلیق، بی کا، تا: ۱۱۵۲ق؛ مجدول ؛کاغذ: بخارائی ،جلد: مقوایی رویه مخمل آبی، ابعاد متن: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 ۲۸۹گ، ۱۰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۱۸/۵سم  [ ف: ۶ - ۸۳۷]</w:t>
      </w:r>
    </w:p>
    <w:p>
      <w:pPr>
        <w:pStyle w:val="BookText"/>
      </w:pPr>
      <w:r>
        <w:rPr>
          <w:rFonts w:ascii="Times New Roman" w:hAnsi="Times New Roman" w:eastAsia="Times New Roman" w:cs="Times New Roman"/>
          <w:lang w:val="en-US" w:bidi="en-US"/>
          <w:color w:val="111111"/>
          <w:sz w:val="28"/>
          <w:szCs w:val="28"/>
          <w:rtl/>
        </w:rPr>
        <w:t xml:space="preserve">644.</w:t>
      </w:r>
    </w:p>
    <w:p>
      <w:pPr>
        <w:pStyle w:val="BookText"/>
      </w:pPr>
      <w:r>
        <w:rPr>
          <w:rFonts w:ascii="IRNazanin" w:hAnsi="IRNazanin" w:eastAsia="IRNazanin" w:cs="IRNazanin"/>
          <w:lang w:bidi="fa-IR"/>
          <w:color w:val="111111"/>
          <w:sz w:val="28"/>
          <w:szCs w:val="28"/>
          <w:rtl/>
        </w:rPr>
        <w:t xml:space="preserve">مشهد؛ رضوی؛ شماره نسخه: ۲۴۶۶۰</w:t>
      </w:r>
    </w:p>
    <w:p>
      <w:pPr>
        <w:pStyle w:val="BookText"/>
      </w:pPr>
      <w:r>
        <w:rPr>
          <w:rFonts w:ascii="IRNazanin" w:hAnsi="IRNazanin" w:eastAsia="IRNazanin" w:cs="IRNazanin"/>
          <w:lang w:bidi="fa-IR"/>
          <w:color w:val="111111"/>
          <w:sz w:val="28"/>
          <w:szCs w:val="28"/>
          <w:rtl/>
        </w:rPr>
        <w:t xml:space="preserve">آغاز: بعد از فهرست. بسمله ... از عدم بیرون شد؛ انجام: در حق درد کند آن محبت ساز را ... کردن دل باد بحرمه ... الامجاد</w:t>
      </w:r>
    </w:p>
    <w:p>
      <w:pPr>
        <w:pStyle w:val="BookText"/>
      </w:pPr>
      <w:r>
        <w:rPr>
          <w:rFonts w:ascii="IRNazanin" w:hAnsi="IRNazanin" w:eastAsia="IRNazanin" w:cs="IRNazanin"/>
          <w:lang w:bidi="fa-IR"/>
          <w:color w:val="111111"/>
          <w:sz w:val="28"/>
          <w:szCs w:val="28"/>
          <w:rtl/>
        </w:rPr>
        <w:t xml:space="preserve">خط: نستعلیق شکسته، بی کا، تا: ۱۱۶۱ق [رایانه ]</w:t>
      </w:r>
    </w:p>
    <w:p>
      <w:pPr>
        <w:pStyle w:val="BookText"/>
      </w:pPr>
      <w:r>
        <w:rPr>
          <w:rFonts w:ascii="IRNazanin" w:hAnsi="IRNazanin" w:eastAsia="IRNazanin" w:cs="IRNazanin"/>
          <w:lang w:bidi="fa-IR"/>
          <w:color w:val="111111"/>
          <w:sz w:val="28"/>
          <w:szCs w:val="28"/>
          <w:rtl/>
        </w:rPr>
        <w:t xml:space="preserve">۶۴۵. تهران؛ مفتاح؛ شماره نسخه: ۶۱۱</w:t>
      </w:r>
    </w:p>
    <w:p>
      <w:pPr>
        <w:pStyle w:val="BookText"/>
      </w:pPr>
      <w:r>
        <w:rPr>
          <w:rFonts w:ascii="IRNazanin" w:hAnsi="IRNazanin" w:eastAsia="IRNazanin" w:cs="IRNazanin"/>
          <w:lang w:bidi="fa-IR"/>
          <w:color w:val="111111"/>
          <w:sz w:val="28"/>
          <w:szCs w:val="28"/>
          <w:rtl/>
        </w:rPr>
        <w:t xml:space="preserve">شعرهای فارسی محتشم و ملاحسن کاشی و مقبل همه در مرثیه؛ خط: نستعليق،كا: محمد علی بن محمد حسین، تا: ۱۱۷۸ق، جا: کشمیر؛ افتادگی: آغاز و انجام؛ مجدول؛ قطع: بیاضی وزیری [ نشریه: ۷ - ۱۳۰]</w:t>
      </w:r>
    </w:p>
    <w:p>
      <w:pPr>
        <w:pStyle w:val="BookText"/>
      </w:pPr>
      <w:r>
        <w:rPr>
          <w:rFonts w:ascii="IRNazanin" w:hAnsi="IRNazanin" w:eastAsia="IRNazanin" w:cs="IRNazanin"/>
          <w:lang w:bidi="fa-IR"/>
          <w:color w:val="111111"/>
          <w:sz w:val="28"/>
          <w:szCs w:val="28"/>
          <w:rtl/>
        </w:rPr>
        <w:t xml:space="preserve">۶۴۶ .مشهد؛ الهیات؛ شماره نسخه: ۱۴۸۲۶/۱</w:t>
      </w:r>
    </w:p>
    <w:p>
      <w:pPr>
        <w:pStyle w:val="BookText"/>
      </w:pPr>
      <w:r>
        <w:rPr>
          <w:rFonts w:ascii="IRNazanin" w:hAnsi="IRNazanin" w:eastAsia="IRNazanin" w:cs="IRNazanin"/>
          <w:lang w:bidi="fa-IR"/>
          <w:color w:val="111111"/>
          <w:sz w:val="28"/>
          <w:szCs w:val="28"/>
          <w:rtl/>
        </w:rPr>
        <w:t xml:space="preserve">قصیده ای که میرزا محمد حسین در خصوص دریاچه فرح آباد اصفهان حسب الامر حسنعلی خان بیگلر بیگی سروده است؛ خط: نستعلیق، بی کا، تا: با تاریخ ۱۱۷۹ق؛ کاغذ: سپاهانی، جلد: تیماج مشکی لایه ای ،۴ص،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۱۸/۵سم [ف: ۲ -۱۲۹]</w:t>
      </w:r>
    </w:p>
    <w:p>
      <w:pPr>
        <w:pStyle w:val="BookText"/>
      </w:pPr>
      <w:r>
        <w:rPr>
          <w:rFonts w:ascii="IRNazanin" w:hAnsi="IRNazanin" w:eastAsia="IRNazanin" w:cs="IRNazanin"/>
          <w:lang w:bidi="fa-IR"/>
          <w:color w:val="111111"/>
          <w:sz w:val="28"/>
          <w:szCs w:val="28"/>
          <w:rtl/>
        </w:rPr>
        <w:t xml:space="preserve">۶۴۷. کاشان ؛عاطفی ،افشین؛ شماره نسخه: ۱۳</w:t>
      </w:r>
    </w:p>
    <w:p>
      <w:pPr>
        <w:pStyle w:val="BookText"/>
      </w:pPr>
      <w:r>
        <w:rPr>
          <w:rFonts w:ascii="IRNazanin" w:hAnsi="IRNazanin" w:eastAsia="IRNazanin" w:cs="IRNazanin"/>
          <w:lang w:bidi="fa-IR"/>
          <w:color w:val="111111"/>
          <w:sz w:val="28"/>
          <w:szCs w:val="28"/>
          <w:rtl/>
        </w:rPr>
        <w:t xml:space="preserve">مشتمل بر برخی از ادعیه و اشعاری فارسی از ابوسعید ابوالخیر، شیخ علی، عطار، نعیما، حافظ، سعدی، محتشم، جامی، ابن یمین، ،تستری، آقا محمد عاشق، لطفعلی بیگ آذر، حاجی آقای شیرازی، آقا تقی صهبا، بابا طاهر، سید احمد هاتفی، مشتاق میرزا جعفر ساقی، وحشی، ملای روم، ولی دشت بیاضی، عرفی، روزبهان ؛خط: نستعلیق، بی کا، تا: ۱۱۷۹ق؛ برخی از اشعار به خط
</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زین العابدین به سال ۱۱۷۹، خطوط چلیپا یا راسته ؛جلد: تیماج قهوه ای بدون مقوا، ۳۴گ، مختلف السطر، اندازه: 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  سم[ف: ۱۸]</w:t>
      </w:r>
    </w:p>
    <w:p>
      <w:pPr>
        <w:pStyle w:val="BookText"/>
      </w:pPr>
      <w:r>
        <w:rPr>
          <w:rFonts w:ascii="IRNazanin" w:hAnsi="IRNazanin" w:eastAsia="IRNazanin" w:cs="IRNazanin"/>
          <w:lang w:bidi="fa-IR"/>
          <w:color w:val="111111"/>
          <w:sz w:val="28"/>
          <w:szCs w:val="28"/>
          <w:rtl/>
        </w:rPr>
        <w:t xml:space="preserve">۶۴۸. تهران؛ دانشگاه؛ شماره نسخه: ۴۲۱۴/۴</w:t>
      </w:r>
    </w:p>
    <w:p>
      <w:pPr>
        <w:pStyle w:val="BookText"/>
      </w:pPr>
      <w:r>
        <w:rPr>
          <w:rFonts w:ascii="IRNazanin" w:hAnsi="IRNazanin" w:eastAsia="IRNazanin" w:cs="IRNazanin"/>
          <w:lang w:bidi="fa-IR"/>
          <w:color w:val="111111"/>
          <w:sz w:val="28"/>
          <w:szCs w:val="28"/>
          <w:rtl/>
        </w:rPr>
        <w:t xml:space="preserve">آغاز: وقتی که شکل دایره کن فکان نبود *** جز نقطه حقيقت حق در میان نبود؛ انجام: جاء یزید و قوم یزیدش مراد نیست*** حب علی و آل علی باد بر مزید</w:t>
      </w:r>
    </w:p>
    <w:p>
      <w:pPr>
        <w:pStyle w:val="BookText"/>
      </w:pPr>
      <w:r>
        <w:rPr>
          <w:rFonts w:ascii="IRNazanin" w:hAnsi="IRNazanin" w:eastAsia="IRNazanin" w:cs="IRNazanin"/>
          <w:lang w:bidi="fa-IR"/>
          <w:color w:val="111111"/>
          <w:sz w:val="28"/>
          <w:szCs w:val="28"/>
          <w:rtl/>
        </w:rPr>
        <w:t xml:space="preserve">ترجیع بند در سرگذشت دوازده امام از نظیری؛ کا: ناظر کازرونی، تا: ۱۱۸۳ق؛ مقابله شده؛ کاغذ: سپاهانی ،جلد: تیماج سرخ ضربی، ۴گ(54پ-۵۴پ)، ۱۵ سطر (8</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قطع: بیاضی، اندازه: ۱۱</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۲۴سم [ف : ۱۳ - ۳۱۹۰]</w:t>
      </w:r>
    </w:p>
    <w:p>
      <w:pPr>
        <w:pStyle w:val="BookText"/>
      </w:pPr>
      <w:r>
        <w:rPr>
          <w:rFonts w:ascii="IRNazanin" w:hAnsi="IRNazanin" w:eastAsia="IRNazanin" w:cs="IRNazanin"/>
          <w:lang w:bidi="fa-IR"/>
          <w:color w:val="111111"/>
          <w:sz w:val="28"/>
          <w:szCs w:val="28"/>
          <w:rtl/>
        </w:rPr>
        <w:t xml:space="preserve">۶۴۹ .تهران؛ ملی؛ شماره نسخه: ۱۵۹۲۹</w:t>
      </w:r>
    </w:p>
    <w:p>
      <w:pPr>
        <w:pStyle w:val="BookText"/>
      </w:pPr>
      <w:r>
        <w:rPr>
          <w:rFonts w:ascii="IRNazanin" w:hAnsi="IRNazanin" w:eastAsia="IRNazanin" w:cs="IRNazanin"/>
          <w:lang w:bidi="fa-IR"/>
          <w:color w:val="111111"/>
          <w:sz w:val="28"/>
          <w:szCs w:val="28"/>
          <w:rtl/>
        </w:rPr>
        <w:t xml:space="preserve">اشعاری از هجری، محمد قلی بیک درباره مهمانی حاتم طی، مولانا وحشی و محمد مومن می باشد؛ خط: نستعليق، كا: محـمد على بن ميرزا.. [جوادی؟]، تا: ۱۱۸۸ق؛ انتقالی از سازمان مدارک فرهنگی انقلاب اسلامی؛ کاغذ: فرنگی نخودی، جلد: تیماج قهوه ای، ۲۳گ (59- 37پ)، ۱۴ سطر چلیپا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 قـطع: بیاضی ،اندازه: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[رایانه ]</w:t>
      </w:r>
    </w:p>
    <w:p>
      <w:pPr>
        <w:pStyle w:val="BookText"/>
      </w:pPr>
      <w:r>
        <w:rPr>
          <w:rFonts w:ascii="IRNazanin" w:hAnsi="IRNazanin" w:eastAsia="IRNazanin" w:cs="IRNazanin"/>
          <w:lang w:bidi="fa-IR"/>
          <w:color w:val="111111"/>
          <w:sz w:val="28"/>
          <w:szCs w:val="28"/>
          <w:rtl/>
        </w:rPr>
        <w:t xml:space="preserve">۶۵۰. تهران؛ مجلس؛ شماره نسخه: ۱۴۱۸۱/۴</w:t>
      </w:r>
    </w:p>
    <w:p>
      <w:pPr>
        <w:pStyle w:val="BookText"/>
      </w:pPr>
      <w:r>
        <w:rPr>
          <w:rFonts w:ascii="IRNazanin" w:hAnsi="IRNazanin" w:eastAsia="IRNazanin" w:cs="IRNazanin"/>
          <w:lang w:bidi="fa-IR"/>
          <w:color w:val="111111"/>
          <w:sz w:val="28"/>
          <w:szCs w:val="28"/>
          <w:rtl/>
        </w:rPr>
        <w:t xml:space="preserve">آغاز: ای سرو سهی بر سمندی *** اینت دو جهان بگو به چندی</w:t>
      </w:r>
    </w:p>
    <w:p>
      <w:pPr>
        <w:pStyle w:val="BookText"/>
      </w:pPr>
      <w:r>
        <w:rPr>
          <w:rFonts w:ascii="IRNazanin" w:hAnsi="IRNazanin" w:eastAsia="IRNazanin" w:cs="IRNazanin"/>
          <w:lang w:bidi="fa-IR"/>
          <w:color w:val="111111"/>
          <w:sz w:val="28"/>
          <w:szCs w:val="28"/>
          <w:rtl/>
        </w:rPr>
        <w:t xml:space="preserve">ترجیع بند میر رضی است. بند ترجیع: بنشینم و خو کنم به هجـران ***ورجان برود فدای جانان؛ خط: نستعليق، كا: زين العابدين بن محمد، تا: ۱۴ صفر ۱۱۹۲ق، جا: آستانه شاهچراغ شیراز؛ جـلد: تیماج، قهوه ای ۲گ(۶پ -7پ)، قطع: بیاضی،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  سم [ف: ۳۸ - ۲۳۳]</w:t>
      </w:r>
    </w:p>
    <w:p>
      <w:pPr>
        <w:pStyle w:val="BookText"/>
      </w:pPr>
      <w:r>
        <w:rPr>
          <w:rFonts w:ascii="IRNazanin" w:hAnsi="IRNazanin" w:eastAsia="IRNazanin" w:cs="IRNazanin"/>
          <w:lang w:bidi="fa-IR"/>
          <w:color w:val="111111"/>
          <w:sz w:val="28"/>
          <w:szCs w:val="28"/>
          <w:rtl/>
        </w:rPr>
        <w:t xml:space="preserve">۶۵۱. تهران؛ مجلس؛ شماره نسخه: ۱۴۱۸۱/۵۱</w:t>
      </w:r>
    </w:p>
    <w:p>
      <w:pPr>
        <w:pStyle w:val="BookText"/>
      </w:pPr>
      <w:r>
        <w:rPr>
          <w:rFonts w:ascii="IRNazanin" w:hAnsi="IRNazanin" w:eastAsia="IRNazanin" w:cs="IRNazanin"/>
          <w:lang w:bidi="fa-IR"/>
          <w:color w:val="111111"/>
          <w:sz w:val="28"/>
          <w:szCs w:val="28"/>
          <w:rtl/>
        </w:rPr>
        <w:t xml:space="preserve">نویسنده :وفا ؛خط: نستعليق، كاتب = مؤلف، تا: ۱۱۹۲ق،جا: آستانه شاهچراغ شیراز [ف: ۳۸ - ۲۳۹]</w:t>
      </w:r>
    </w:p>
    <w:p>
      <w:pPr>
        <w:pStyle w:val="BookText"/>
      </w:pPr>
      <w:r>
        <w:rPr>
          <w:rFonts w:ascii="IRNazanin" w:hAnsi="IRNazanin" w:eastAsia="IRNazanin" w:cs="IRNazanin"/>
          <w:lang w:bidi="fa-IR"/>
          <w:color w:val="111111"/>
          <w:sz w:val="28"/>
          <w:szCs w:val="28"/>
          <w:rtl/>
        </w:rPr>
        <w:t xml:space="preserve">۶۵۲. تهران؛ مجلس؛ شماره نسخه: ۱۳۴۷۲</w:t>
      </w:r>
    </w:p>
    <w:p>
      <w:pPr>
        <w:pStyle w:val="BookText"/>
      </w:pPr>
      <w:r>
        <w:rPr>
          <w:rFonts w:ascii="IRNazanin" w:hAnsi="IRNazanin" w:eastAsia="IRNazanin" w:cs="IRNazanin"/>
          <w:lang w:bidi="fa-IR"/>
          <w:color w:val="111111"/>
          <w:sz w:val="28"/>
          <w:szCs w:val="28"/>
          <w:rtl/>
        </w:rPr>
        <w:t xml:space="preserve">خط: شکسته نستعلیق چلیپا ،کا: احمد لاریجانی حسینی شهرستانی (جامع جنگ)، تا: ۱۱۹۴ق؛ در اول نسخه نوشته ای از سید علی طاهری (شیوا) در معرفی این جنگ و فهرست مندرجات آن و نام شعرا که در پنجم تیر ۱۳۲۵ نوشته است ؛جلد: تیماج، مشکـی، لولادار، ۲۴۶گ، ۱۴ سطر،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۲۵/۵سم [ف: ۳۶ - 428]</w:t>
      </w:r>
    </w:p>
    <w:p>
      <w:pPr>
        <w:pStyle w:val="BookText"/>
      </w:pPr>
      <w:r>
        <w:rPr>
          <w:rFonts w:ascii="IRNazanin" w:hAnsi="IRNazanin" w:eastAsia="IRNazanin" w:cs="IRNazanin"/>
          <w:lang w:bidi="fa-IR"/>
          <w:color w:val="111111"/>
          <w:sz w:val="28"/>
          <w:szCs w:val="28"/>
          <w:rtl/>
        </w:rPr>
        <w:t xml:space="preserve">۶۵۳. تهران؛ مجلس؛ شماره نسخه: ۱۳۴۷۲/۲۷</w:t>
      </w:r>
    </w:p>
    <w:p>
      <w:pPr>
        <w:pStyle w:val="BookText"/>
      </w:pPr>
      <w:r>
        <w:rPr>
          <w:rFonts w:ascii="IRNazanin" w:hAnsi="IRNazanin" w:eastAsia="IRNazanin" w:cs="IRNazanin"/>
          <w:lang w:bidi="fa-IR"/>
          <w:color w:val="111111"/>
          <w:sz w:val="28"/>
          <w:szCs w:val="28"/>
          <w:rtl/>
        </w:rPr>
        <w:t xml:space="preserve">آغاز: ای حسن تو برتر از چه و چون *** سبحان الله زحسن بیچون</w:t>
      </w:r>
    </w:p>
    <w:p>
      <w:pPr>
        <w:pStyle w:val="BookText"/>
      </w:pPr>
      <w:r>
        <w:rPr>
          <w:rFonts w:ascii="IRNazanin" w:hAnsi="IRNazanin" w:eastAsia="IRNazanin" w:cs="IRNazanin"/>
          <w:lang w:bidi="fa-IR"/>
          <w:color w:val="111111"/>
          <w:sz w:val="28"/>
          <w:szCs w:val="28"/>
          <w:rtl/>
        </w:rPr>
        <w:t xml:space="preserve">ترجیع بند عرفی و ترجیع بندی دیگر؛ خط: شکسته نستعلیق چلیپا، کا: احمد لاریجانی حسینی شهرستانی، تا: ۱۱۹۴ق؛ جلد: تیماج مشکی لولادار، 1ص (۲۳۷ر)، ۱۴ سطر،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۲۵/۵  سم[ ف: ۳۶ - ۴۳۳]</w:t>
      </w:r>
    </w:p>
    <w:p>
      <w:pPr>
        <w:pStyle w:val="BookText"/>
      </w:pPr>
      <w:r>
        <w:rPr>
          <w:rFonts w:ascii="IRNazanin" w:hAnsi="IRNazanin" w:eastAsia="IRNazanin" w:cs="IRNazanin"/>
          <w:lang w:bidi="fa-IR"/>
          <w:color w:val="111111"/>
          <w:sz w:val="28"/>
          <w:szCs w:val="28"/>
          <w:rtl/>
        </w:rPr>
        <w:t xml:space="preserve">۶۵۴. تهران؛ دانشگاه؛ شماره نسخه: ۱۲۴/۱۶</w:t>
      </w:r>
    </w:p>
    <w:p>
      <w:pPr>
        <w:pStyle w:val="BookText"/>
      </w:pPr>
      <w:r>
        <w:rPr>
          <w:rFonts w:ascii="IRNazanin" w:hAnsi="IRNazanin" w:eastAsia="IRNazanin" w:cs="IRNazanin"/>
          <w:lang w:bidi="fa-IR"/>
          <w:color w:val="111111"/>
          <w:sz w:val="28"/>
          <w:szCs w:val="28"/>
          <w:rtl/>
        </w:rPr>
        <w:t xml:space="preserve">ده بیت فارسی. در ترکیب یک معجون دارو، به بوعلی سینا نسبت داده شده است؛ خط: نسخ، کا: سلیمان قاضی پسر محمد مکری، تا:ربیع یکم و دوم ۱۱۹۵ق؛ کاغذ: فرنگی سفید و نخودی رنگ، جلد: تیماج حنائی دولا بی مقوا، ۱ص (۱۳۷)، ۹-۱۳- سطر، اندازه: ۶/۷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۱۲/۵سم [ف: ۲ - ۲۳۴]</w:t>
      </w:r>
    </w:p>
    <w:p>
      <w:pPr>
        <w:pStyle w:val="BookText"/>
      </w:pPr>
      <w:r>
        <w:rPr>
          <w:rFonts w:ascii="IRNazanin" w:hAnsi="IRNazanin" w:eastAsia="IRNazanin" w:cs="IRNazanin"/>
          <w:lang w:bidi="fa-IR"/>
          <w:color w:val="111111"/>
          <w:sz w:val="28"/>
          <w:szCs w:val="28"/>
          <w:rtl/>
        </w:rPr>
        <w:t xml:space="preserve">۶۵۵. مشهد؛ گوهر شاد؛ شماره نسخه: ۲۰۷۰/۱</w:t>
      </w:r>
    </w:p>
    <w:p>
      <w:pPr>
        <w:pStyle w:val="BookText"/>
      </w:pPr>
      <w:r>
        <w:rPr>
          <w:rFonts w:ascii="IRNazanin" w:hAnsi="IRNazanin" w:eastAsia="IRNazanin" w:cs="IRNazanin"/>
          <w:lang w:bidi="fa-IR"/>
          <w:color w:val="111111"/>
          <w:sz w:val="28"/>
          <w:szCs w:val="28"/>
          <w:rtl/>
        </w:rPr>
        <w:t xml:space="preserve">ابیاتی از شعرای تازی و فارسی، از جمله سلمان فارسی، شهاب الدين محمد النواجي، باخرزی، ابوالحسن علی بن محمد التهامي، صاحب بن عباد، ابوالفتح بستی، ابن خطیب، ابن مشرف المارديني است ؛خط: نستعلیق، بی کا، تا: ۲۴ شوال ۱۱۸۱ و ۱۱۹۵ق؛ واقف: غیاثی، بهمن ۱۳۳۷؛ کاغذ: نخودی آهار مهره، جلد: تیماج یک لا مشکی،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۱۶/۵سم [ف: ۵ - ۴۵۹]</w:t>
      </w:r>
    </w:p>
    <w:p>
      <w:pPr>
        <w:pStyle w:val="BookText"/>
      </w:pPr>
      <w:r>
        <w:rPr>
          <w:rFonts w:ascii="IRNazanin" w:hAnsi="IRNazanin" w:eastAsia="IRNazanin" w:cs="IRNazanin"/>
          <w:lang w:bidi="fa-IR"/>
          <w:color w:val="111111"/>
          <w:sz w:val="28"/>
          <w:szCs w:val="28"/>
          <w:rtl/>
        </w:rPr>
        <w:t xml:space="preserve">۶۵۶. قم؛ گلپایگانی؛ شماره نسخه: 2926- 266/ 29</w:t>
      </w:r>
    </w:p>
    <w:p>
      <w:pPr>
        <w:pStyle w:val="BookText"/>
      </w:pPr>
      <w:r>
        <w:rPr>
          <w:rFonts w:ascii="IRNazanin" w:hAnsi="IRNazanin" w:eastAsia="IRNazanin" w:cs="IRNazanin"/>
          <w:lang w:bidi="fa-IR"/>
          <w:color w:val="111111"/>
          <w:sz w:val="28"/>
          <w:szCs w:val="28"/>
          <w:rtl/>
        </w:rPr>
        <w:t xml:space="preserve">آغاز: چون ابن سعد پای ستم در رکاب کرد *** بهر قتل سبط پیغمبر شتاب کرد ... پلید نخستین زراه ظلم *** برروی عترت شه دین قطع آب کرد؛ انجام: برسر ... پرورده آغوش حسین *** گوئیا برافق چرخ درخشان قمر است / لوحش الله که دو گیسوی خم اندر خم او *** شام یلداست ویانافه... بیاضی است که در آن یکی از مداحان اهل بیت (علیهم السّلام)، مراثی فارسی را برای استفاده خود به صورت نامنظم تحریر نموده است؛ خط: تحریری، بی کا، تا: قرن ۱۳، جلد: تیماج قهوه ای ضربی مجدول گرهی، ۶۸گ، مختلف السطر، قطع: بیاض رقعی، اندازه: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۷ - ۴۲۶۶]</w:t>
      </w:r>
    </w:p>
    <w:p>
      <w:pPr>
        <w:pStyle w:val="BookText"/>
      </w:pPr>
      <w:r>
        <w:rPr>
          <w:rFonts w:ascii="IRNazanin" w:hAnsi="IRNazanin" w:eastAsia="IRNazanin" w:cs="IRNazanin"/>
          <w:lang w:bidi="fa-IR"/>
          <w:color w:val="111111"/>
          <w:sz w:val="28"/>
          <w:szCs w:val="28"/>
          <w:rtl/>
        </w:rPr>
        <w:t xml:space="preserve">۶۵۷. قم؛ گلپایگانی؛ شماره نسخه: 5878/ 218/ 29</w:t>
      </w:r>
    </w:p>
    <w:p>
      <w:pPr>
        <w:pStyle w:val="BookText"/>
      </w:pPr>
      <w:r>
        <w:rPr>
          <w:rFonts w:ascii="IRNazanin" w:hAnsi="IRNazanin" w:eastAsia="IRNazanin" w:cs="IRNazanin"/>
          <w:lang w:bidi="fa-IR"/>
          <w:color w:val="111111"/>
          <w:sz w:val="28"/>
          <w:szCs w:val="28"/>
          <w:rtl/>
        </w:rPr>
        <w:t xml:space="preserve">آغاز: گفت در راه خدا من از وفا*** خورده ام جام بلا در کربلا / گفت این و کرد از روی وفا*** روی جان را سوی عرش کبریا؛ :انجام: اول از نعت رسولی که بود شافع دین ***دویم از مدح علی شیر خدا بسم الله / به حسن بن علی سروردین دردوجهان *** به  حسین شاه شهید شهدا بسم الله</w:t>
      </w:r>
    </w:p>
    <w:p>
      <w:pPr>
        <w:pStyle w:val="BookText"/>
      </w:pPr>
      <w:r>
        <w:rPr>
          <w:rFonts w:ascii="IRNazanin" w:hAnsi="IRNazanin" w:eastAsia="IRNazanin" w:cs="IRNazanin"/>
          <w:lang w:bidi="fa-IR"/>
          <w:color w:val="111111"/>
          <w:sz w:val="28"/>
          <w:szCs w:val="28"/>
          <w:rtl/>
        </w:rPr>
        <w:t xml:space="preserve">بیاضی است شامل مراثی از چند شاعر، که مداحی آنها را جهت استفاده خود در این بیاض به صورت پراکنده تحریر نموده و در آن اشعاری از کفاش و سحاب آمده است؛ خط: تحریری ،بی کا، تا: قرن ۱۳؛ جلد: مقوا با عطف گالینگور قهوه ای، ۳۹گ، مختلف السطر، قطع: بیاض رقعی،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7- 4266]</w:t>
      </w:r>
    </w:p>
    <w:p>
      <w:pPr>
        <w:pStyle w:val="BookText"/>
      </w:pPr>
      <w:r>
        <w:rPr>
          <w:rFonts w:ascii="IRNazanin" w:hAnsi="IRNazanin" w:eastAsia="IRNazanin" w:cs="IRNazanin"/>
          <w:lang w:bidi="fa-IR"/>
          <w:color w:val="111111"/>
          <w:sz w:val="28"/>
          <w:szCs w:val="28"/>
          <w:rtl/>
        </w:rPr>
        <w:t xml:space="preserve">۶۵۸. قم؛ گلپایگانی؛ شماره نسخه: 5118- 208/ 25</w:t>
      </w:r>
    </w:p>
    <w:p>
      <w:pPr>
        <w:pStyle w:val="BookText"/>
      </w:pPr>
      <w:r>
        <w:rPr>
          <w:rFonts w:ascii="IRNazanin" w:hAnsi="IRNazanin" w:eastAsia="IRNazanin" w:cs="IRNazanin"/>
          <w:lang w:bidi="fa-IR"/>
          <w:color w:val="111111"/>
          <w:sz w:val="28"/>
          <w:szCs w:val="28"/>
          <w:rtl/>
        </w:rPr>
        <w:t xml:space="preserve">آغاز: بسمله ایدل غافل دمی هشیار شو *** خواب غفلت تابکی بیدار شو / نیست فکرت غير خواب و خردنت *** غافلی از خواب وقت رفتنت؛ انجام: هر یک نفس که می رود از عمر گوهریست*** كانرا خراج ملک دو عالم بود بها / مپسند کاین خرانه نهی  رایگان زدست *** وانگه که رو بخاک نهی دست بینوا</w:t>
      </w:r>
    </w:p>
    <w:p>
      <w:pPr>
        <w:pStyle w:val="BookText"/>
      </w:pPr>
      <w:r>
        <w:rPr>
          <w:rFonts w:ascii="IRNazanin" w:hAnsi="IRNazanin" w:eastAsia="IRNazanin" w:cs="IRNazanin"/>
          <w:lang w:bidi="fa-IR"/>
          <w:color w:val="111111"/>
          <w:sz w:val="28"/>
          <w:szCs w:val="28"/>
          <w:rtl/>
        </w:rPr>
        <w:t xml:space="preserve">بیاضی است شامل مراثی منظوم ائمه (علیهم السّلام) خصوصاً امام حسین (علیه السّلام) این بیاض به صورت پراکنده تحریر شده و در لابه لای آن برخی حسابها ومطالبات صاحب بیاض به حساب سیاق گردیده؛
</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 تحریری، بی کا، تا :قرن ۱۳؛ ۹۲گ، مختلف السطر،  بیاض رقعی،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۷ - ۴۲۶۴]</w:t>
      </w:r>
    </w:p>
    <w:p>
      <w:pPr>
        <w:pStyle w:val="BookText"/>
      </w:pPr>
      <w:r>
        <w:rPr>
          <w:rFonts w:ascii="IRNazanin" w:hAnsi="IRNazanin" w:eastAsia="IRNazanin" w:cs="IRNazanin"/>
          <w:lang w:bidi="fa-IR"/>
          <w:color w:val="111111"/>
          <w:sz w:val="28"/>
          <w:szCs w:val="28"/>
          <w:rtl/>
        </w:rPr>
        <w:t xml:space="preserve">۶۵۹. قم؛ گلپایگانی؛ شماره نسخه: 3389- 169/ 17</w:t>
      </w:r>
    </w:p>
    <w:p>
      <w:pPr>
        <w:pStyle w:val="BookText"/>
      </w:pPr>
      <w:r>
        <w:rPr>
          <w:rFonts w:ascii="IRNazanin" w:hAnsi="IRNazanin" w:eastAsia="IRNazanin" w:cs="IRNazanin"/>
          <w:lang w:bidi="fa-IR"/>
          <w:color w:val="111111"/>
          <w:sz w:val="28"/>
          <w:szCs w:val="28"/>
          <w:rtl/>
        </w:rPr>
        <w:t xml:space="preserve">آغاز: السلام ای سایه ات خورشید رب العالمين *** آسـمان عزو تمکین افتاب داد و دین / مفتی هر چار دفتر خواجه هر هشـت خلد *** داور هر شش جهت اعظم امیرالمومنین؛ انجام: شفق مگوی که بر سقف کبریا باشد *** که عکس موجه طوفان کر باشد / خوشا کسی که دلش باغم آشنا گردد *** خوشا کسی تنش خاک کربلا گردد</w:t>
      </w:r>
    </w:p>
    <w:p>
      <w:pPr>
        <w:pStyle w:val="BookText"/>
      </w:pPr>
      <w:r>
        <w:rPr>
          <w:rFonts w:ascii="IRNazanin" w:hAnsi="IRNazanin" w:eastAsia="IRNazanin" w:cs="IRNazanin"/>
          <w:lang w:bidi="fa-IR"/>
          <w:color w:val="111111"/>
          <w:sz w:val="28"/>
          <w:szCs w:val="28"/>
          <w:rtl/>
        </w:rPr>
        <w:t xml:space="preserve">بیاض مراثی است در مراثی حضرت سيد الشهداء (علیه السّلام) و يارانش، در آن اشعاری از دوازده بند ملا حسن کاشی، دوازده بند محتـشم، مقبل اصفهانی، ذبیحی، ندیم و دیگر شاعران؛ خط:خط: نسخ، بی کا، تا: قرن ۱۳؛ افتادگی: آغاز و انجام؛ مجدول؛ ۱۲۵گ، ۱۲ -16 سطر، قطع: بیاض رقعی، اندازه: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۷ - ۴۲۶۳]</w:t>
      </w:r>
    </w:p>
    <w:p>
      <w:pPr>
        <w:pStyle w:val="BookText"/>
      </w:pPr>
      <w:r>
        <w:rPr>
          <w:rFonts w:ascii="Times New Roman" w:hAnsi="Times New Roman" w:eastAsia="Times New Roman" w:cs="Times New Roman"/>
          <w:lang w:val="en-US" w:bidi="en-US"/>
          <w:color w:val="111111"/>
          <w:sz w:val="28"/>
          <w:szCs w:val="28"/>
          <w:rtl/>
        </w:rPr>
        <w:t xml:space="preserve">660.</w:t>
      </w:r>
    </w:p>
    <w:p>
      <w:pPr>
        <w:pStyle w:val="BookText"/>
      </w:pPr>
      <w:r>
        <w:rPr>
          <w:rFonts w:ascii="IRNazanin" w:hAnsi="IRNazanin" w:eastAsia="IRNazanin" w:cs="IRNazanin"/>
          <w:lang w:bidi="fa-IR"/>
          <w:color w:val="111111"/>
          <w:sz w:val="28"/>
          <w:szCs w:val="28"/>
          <w:rtl/>
        </w:rPr>
        <w:t xml:space="preserve">قم؛ گلپایگانی؛ شماره نسخه: ۳۱۹۳-۱۶/۲۰۳</w:t>
      </w:r>
    </w:p>
    <w:p>
      <w:pPr>
        <w:pStyle w:val="BookText"/>
      </w:pPr>
      <w:r>
        <w:rPr>
          <w:rFonts w:ascii="IRNazanin" w:hAnsi="IRNazanin" w:eastAsia="IRNazanin" w:cs="IRNazanin"/>
          <w:lang w:bidi="fa-IR"/>
          <w:color w:val="111111"/>
          <w:sz w:val="28"/>
          <w:szCs w:val="28"/>
          <w:rtl/>
        </w:rPr>
        <w:t xml:space="preserve">آغاز: ترویح روح جميع انبیا و اولیا و اتقیا و اصفیا و شـهدا خصوصا روح مقدس مطهر خواجه کونین و فخر عالمین رسـول ثقلین پیشوای قبلتین و سید فریقین صاحب قاب و قوسين مسند نشین؛ انجام: عامى مشو خموش بكن لعن بریزید *** كين بـیتها برای تو اینجا صواب شد/ تا شد جهان به پا احدی این خطا نکـرد *** جز زاده زنا به امامان جفا نکرد</w:t>
      </w:r>
    </w:p>
    <w:p>
      <w:pPr>
        <w:pStyle w:val="BookText"/>
      </w:pPr>
      <w:r>
        <w:rPr>
          <w:rFonts w:ascii="IRNazanin" w:hAnsi="IRNazanin" w:eastAsia="IRNazanin" w:cs="IRNazanin"/>
          <w:lang w:bidi="fa-IR"/>
          <w:color w:val="111111"/>
          <w:sz w:val="28"/>
          <w:szCs w:val="28"/>
          <w:rtl/>
        </w:rPr>
        <w:t xml:space="preserve">بیاضی است که در آن اشعاری از شعرای مختلف درمراثی حضرت سیدالشهداء جمع آوری شده؛ خط: نسخ، بی کا، تا: قرن۱۳؛ جلد: تیماج قهوه ای ۱۸۳گ، ۱۵ سطر، قطع: بياض رقعی،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۷ - ۴۲۶۲]</w:t>
      </w:r>
    </w:p>
    <w:p>
      <w:pPr>
        <w:pStyle w:val="BookText"/>
      </w:pPr>
      <w:r>
        <w:rPr>
          <w:rFonts w:ascii="IRNazanin" w:hAnsi="IRNazanin" w:eastAsia="IRNazanin" w:cs="IRNazanin"/>
          <w:lang w:bidi="fa-IR"/>
          <w:color w:val="111111"/>
          <w:sz w:val="28"/>
          <w:szCs w:val="28"/>
          <w:rtl/>
        </w:rPr>
        <w:t xml:space="preserve">۶۶۱. قم؛ طبسی؛ شماره نسخه: ۷۱۷</w:t>
      </w:r>
    </w:p>
    <w:p>
      <w:pPr>
        <w:pStyle w:val="BookText"/>
      </w:pPr>
      <w:r>
        <w:rPr>
          <w:rFonts w:ascii="IRNazanin" w:hAnsi="IRNazanin" w:eastAsia="IRNazanin" w:cs="IRNazanin"/>
          <w:lang w:bidi="fa-IR"/>
          <w:color w:val="111111"/>
          <w:sz w:val="28"/>
          <w:szCs w:val="28"/>
          <w:rtl/>
        </w:rPr>
        <w:t xml:space="preserve">آغاز: بلب رسیده مرا جان ز حسرت *** خوشاکی که دهانش بـلب رسیده تست؛ انجام: به اختیار خویشتن دواندم بهر طرف ***چه دست دست او بود زهی سعادت شرف</w:t>
      </w:r>
    </w:p>
    <w:p>
      <w:pPr>
        <w:pStyle w:val="BookText"/>
      </w:pPr>
      <w:r>
        <w:rPr>
          <w:rFonts w:ascii="IRNazanin" w:hAnsi="IRNazanin" w:eastAsia="IRNazanin" w:cs="IRNazanin"/>
          <w:lang w:bidi="fa-IR"/>
          <w:color w:val="111111"/>
          <w:sz w:val="28"/>
          <w:szCs w:val="28"/>
          <w:rtl/>
        </w:rPr>
        <w:t xml:space="preserve">بیاض شامل اشعار و قصاید در مراثی و عزای امام حسین (علیه السّلام) است؛ خط: نستعلیق، بی کا، تا: قرن ۱۳؛ مجدول؛ جلد: پارچه ای، ۱۸گ، مختلف السطر، اندازه: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مخ: ۱- ۸۱]</w:t>
      </w:r>
    </w:p>
    <w:p>
      <w:pPr>
        <w:pStyle w:val="BookText"/>
      </w:pPr>
      <w:r>
        <w:rPr>
          <w:rFonts w:ascii="IRNazanin" w:hAnsi="IRNazanin" w:eastAsia="IRNazanin" w:cs="IRNazanin"/>
          <w:lang w:bidi="fa-IR"/>
          <w:color w:val="111111"/>
          <w:sz w:val="28"/>
          <w:szCs w:val="28"/>
          <w:rtl/>
        </w:rPr>
        <w:t xml:space="preserve">۶۶۲. مشهد؛ گوهر شاد؛ شماره نسخه: ۱۴۸۵/۳</w:t>
      </w:r>
    </w:p>
    <w:p>
      <w:pPr>
        <w:pStyle w:val="BookText"/>
      </w:pPr>
      <w:r>
        <w:rPr>
          <w:rFonts w:ascii="IRNazanin" w:hAnsi="IRNazanin" w:eastAsia="IRNazanin" w:cs="IRNazanin"/>
          <w:lang w:bidi="fa-IR"/>
          <w:color w:val="111111"/>
          <w:sz w:val="28"/>
          <w:szCs w:val="28"/>
          <w:rtl/>
        </w:rPr>
        <w:t xml:space="preserve">غزلیاتی است از جامی هلالی کوکبی و عصمت؛ خط: نستعلیق، بی کا، تا: قرن ۱۳؛ افتادگی: آغاز و انجام؛ کاغذ: صیقلی ،جلد: تیماج مشکی، ۱۴ سطر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۴-۲۰۵۵]</w:t>
      </w:r>
    </w:p>
    <w:p>
      <w:pPr>
        <w:pStyle w:val="BookText"/>
      </w:pPr>
      <w:r>
        <w:rPr>
          <w:rFonts w:ascii="IRNazanin" w:hAnsi="IRNazanin" w:eastAsia="IRNazanin" w:cs="IRNazanin"/>
          <w:lang w:bidi="fa-IR"/>
          <w:color w:val="111111"/>
          <w:sz w:val="28"/>
          <w:szCs w:val="28"/>
          <w:rtl/>
        </w:rPr>
        <w:t xml:space="preserve">۶۶۳ .مشهد؛ الهیات شماره نسخه: ۲۲۷۵۵/۲</w:t>
      </w:r>
    </w:p>
    <w:p>
      <w:pPr>
        <w:pStyle w:val="BookText"/>
      </w:pPr>
      <w:r>
        <w:rPr>
          <w:rFonts w:ascii="IRNazanin" w:hAnsi="IRNazanin" w:eastAsia="IRNazanin" w:cs="IRNazanin"/>
          <w:lang w:bidi="fa-IR"/>
          <w:color w:val="111111"/>
          <w:sz w:val="28"/>
          <w:szCs w:val="28"/>
          <w:rtl/>
        </w:rPr>
        <w:t xml:space="preserve">آغاز: بجهت تسخیر قلوب ... رباعی. ای دل بر ما مباش بی دلبر *** یک دلبر ما به که دو صد دل بر ما</w:t>
      </w:r>
    </w:p>
    <w:p>
      <w:pPr>
        <w:pStyle w:val="BookText"/>
      </w:pPr>
      <w:r>
        <w:rPr>
          <w:rFonts w:ascii="IRNazanin" w:hAnsi="IRNazanin" w:eastAsia="IRNazanin" w:cs="IRNazanin"/>
          <w:lang w:bidi="fa-IR"/>
          <w:color w:val="111111"/>
          <w:sz w:val="28"/>
          <w:szCs w:val="28"/>
          <w:rtl/>
        </w:rPr>
        <w:t xml:space="preserve">رباعیات است. در ادعیه و خواص گویا از ابو سعید ابوالخیر باشـد و باید با اشعار او مقایسه شود؛ خط: نسخ و نستعلیق، بی کا، تا: قـرن ۱۳؛افتادگی: انجام؛ کاغذ: فرنگی ،جلد: تیماج عنابی لایه  ای، ۴گ (۹۲-۸۹)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۱۸/۵سم [ف: ۳ - ۸۸۶]</w:t>
      </w:r>
    </w:p>
    <w:p>
      <w:pPr>
        <w:pStyle w:val="BookText"/>
      </w:pPr>
      <w:r>
        <w:rPr>
          <w:rFonts w:ascii="IRNazanin" w:hAnsi="IRNazanin" w:eastAsia="IRNazanin" w:cs="IRNazanin"/>
          <w:lang w:bidi="fa-IR"/>
          <w:color w:val="111111"/>
          <w:sz w:val="28"/>
          <w:szCs w:val="28"/>
          <w:rtl/>
        </w:rPr>
        <w:t xml:space="preserve">۶۶۴. قم؛ گلپایگانی؛ شماره نسخه:9015- 235/ 59</w:t>
      </w:r>
    </w:p>
    <w:p>
      <w:pPr>
        <w:pStyle w:val="BookText"/>
      </w:pPr>
      <w:r>
        <w:rPr>
          <w:rFonts w:ascii="IRNazanin" w:hAnsi="IRNazanin" w:eastAsia="IRNazanin" w:cs="IRNazanin"/>
          <w:lang w:bidi="fa-IR"/>
          <w:color w:val="111111"/>
          <w:sz w:val="28"/>
          <w:szCs w:val="28"/>
          <w:rtl/>
        </w:rPr>
        <w:t xml:space="preserve">آغاز: ای بسا معصیت آلوده بنا فرمانی *** شرم بادت از خدا تا کی از این نادانی</w:t>
      </w:r>
    </w:p>
    <w:p>
      <w:pPr>
        <w:pStyle w:val="BookText"/>
      </w:pPr>
      <w:r>
        <w:rPr>
          <w:rFonts w:ascii="IRNazanin" w:hAnsi="IRNazanin" w:eastAsia="IRNazanin" w:cs="IRNazanin"/>
          <w:lang w:bidi="fa-IR"/>
          <w:color w:val="111111"/>
          <w:sz w:val="28"/>
          <w:szCs w:val="28"/>
          <w:rtl/>
        </w:rPr>
        <w:t xml:space="preserve">بیاضی است حاوی اشعاری در مراثی و نوحه سرایی و سینه زنی و روضه خوانی در مجالس سوگواری امام حسین و شهدای کربلا؛ خط: نستعلیق، بی کا، تا: قرن۱۳؛ ۴۶گ، مختلف السطر،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[ف:۷ - ۴۲۵۹]</w:t>
      </w:r>
    </w:p>
    <w:p>
      <w:pPr>
        <w:pStyle w:val="BookText"/>
      </w:pPr>
      <w:r>
        <w:rPr>
          <w:rFonts w:ascii="IRNazanin" w:hAnsi="IRNazanin" w:eastAsia="IRNazanin" w:cs="IRNazanin"/>
          <w:lang w:bidi="fa-IR"/>
          <w:color w:val="111111"/>
          <w:sz w:val="28"/>
          <w:szCs w:val="28"/>
          <w:rtl/>
        </w:rPr>
        <w:t xml:space="preserve">۶۶۵. قم؛ گلپایگانی؛ شماره نسخه: ۹۰۱۸-۵۹/۲۳۸</w:t>
      </w:r>
    </w:p>
    <w:p>
      <w:pPr>
        <w:pStyle w:val="BookText"/>
      </w:pPr>
      <w:r>
        <w:rPr>
          <w:rFonts w:ascii="IRNazanin" w:hAnsi="IRNazanin" w:eastAsia="IRNazanin" w:cs="IRNazanin"/>
          <w:lang w:bidi="fa-IR"/>
          <w:color w:val="111111"/>
          <w:sz w:val="28"/>
          <w:szCs w:val="28"/>
          <w:rtl/>
        </w:rPr>
        <w:t xml:space="preserve">آغاز: بند ششم ترسم جزای قاتل او چون رقم زنند *** یکباره بر جریده رحمت قلم زنند</w:t>
      </w:r>
    </w:p>
    <w:p>
      <w:pPr>
        <w:pStyle w:val="BookText"/>
      </w:pPr>
      <w:r>
        <w:rPr>
          <w:rFonts w:ascii="IRNazanin" w:hAnsi="IRNazanin" w:eastAsia="IRNazanin" w:cs="IRNazanin"/>
          <w:lang w:bidi="fa-IR"/>
          <w:color w:val="111111"/>
          <w:sz w:val="28"/>
          <w:szCs w:val="28"/>
          <w:rtl/>
        </w:rPr>
        <w:t xml:space="preserve">بیاضی است حاوی اشعاری برای نوحه سرایی و سینه زنی و روضه خوانی در مجالس سوگواری امام حسین و شهدای کربلا، در اول آن دوازده بند محتشم کاشانی تحریر شده؛ خط: نسخ، بی کا، تا: قرن ۱۳؛ افتادگی: آغاز؛ ۱۷۰گ، مختلف السطر،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۷ - ۴۲۵۹]</w:t>
      </w:r>
    </w:p>
    <w:p>
      <w:pPr>
        <w:pStyle w:val="BookText"/>
      </w:pPr>
      <w:r>
        <w:rPr>
          <w:rFonts w:ascii="IRNazanin" w:hAnsi="IRNazanin" w:eastAsia="IRNazanin" w:cs="IRNazanin"/>
          <w:lang w:bidi="fa-IR"/>
          <w:color w:val="111111"/>
          <w:sz w:val="28"/>
          <w:szCs w:val="28"/>
          <w:rtl/>
        </w:rPr>
        <w:t xml:space="preserve">۶۶۶ . مشهد؛ رضوی؛ شماره نسخه: ۱۰۳۷۳/۵</w:t>
      </w:r>
    </w:p>
    <w:p>
      <w:pPr>
        <w:pStyle w:val="BookText"/>
      </w:pPr>
      <w:r>
        <w:rPr>
          <w:rFonts w:ascii="IRNazanin" w:hAnsi="IRNazanin" w:eastAsia="IRNazanin" w:cs="IRNazanin"/>
          <w:lang w:bidi="fa-IR"/>
          <w:color w:val="111111"/>
          <w:sz w:val="28"/>
          <w:szCs w:val="28"/>
          <w:rtl/>
        </w:rPr>
        <w:t xml:space="preserve">آغاز: در ره عشق بتان بسی خطرها بود *** تنت نه گر بردبار بمهرشان دل مبند ؛انجام: گشوده است شام را ز زلف بتاب تاب *** هوا گشته قیرگون شده از آفتاب تاب</w:t>
      </w:r>
    </w:p>
    <w:p>
      <w:pPr>
        <w:pStyle w:val="BookText"/>
      </w:pPr>
      <w:r>
        <w:rPr>
          <w:rFonts w:ascii="IRNazanin" w:hAnsi="IRNazanin" w:eastAsia="IRNazanin" w:cs="IRNazanin"/>
          <w:lang w:bidi="fa-IR"/>
          <w:color w:val="111111"/>
          <w:sz w:val="28"/>
          <w:szCs w:val="28"/>
          <w:rtl/>
        </w:rPr>
        <w:t xml:space="preserve">چند غزل و قصیده از شاعران قرن سیزدهم مانند میرزا آقاخان پرتو اصفهانی (خوش نویس) و آقا کوچک ولد آقا سید صادق شریعتمدار؛ خط: نستعلیق و شکسته نستعلیق،بی کا، تا: قرن ۱۳؛ کاغذ: نخودی آهار مهره ،جلد: مقوایی،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۹ - ۳۱۵]</w:t>
      </w:r>
    </w:p>
    <w:p>
      <w:pPr>
        <w:pStyle w:val="BookText"/>
      </w:pPr>
      <w:r>
        <w:rPr>
          <w:rFonts w:ascii="IRNazanin" w:hAnsi="IRNazanin" w:eastAsia="IRNazanin" w:cs="IRNazanin"/>
          <w:lang w:bidi="fa-IR"/>
          <w:color w:val="111111"/>
          <w:sz w:val="28"/>
          <w:szCs w:val="28"/>
          <w:rtl/>
        </w:rPr>
        <w:t xml:space="preserve">۶۶۷. مشهد؛ رضوی؛ شماره نسخه: ۱۲۷۰۴</w:t>
      </w:r>
    </w:p>
    <w:p>
      <w:pPr>
        <w:pStyle w:val="BookText"/>
      </w:pPr>
      <w:r>
        <w:rPr>
          <w:rFonts w:ascii="IRNazanin" w:hAnsi="IRNazanin" w:eastAsia="IRNazanin" w:cs="IRNazanin"/>
          <w:lang w:bidi="fa-IR"/>
          <w:color w:val="111111"/>
          <w:sz w:val="28"/>
          <w:szCs w:val="28"/>
          <w:rtl/>
        </w:rPr>
        <w:t xml:space="preserve">آغاز: از فهم خرد بعقل باید نگریست *** تا باز نیاید ز پس خنده گریست ؛انجام: نسخه: شکرانه انکه زنده خوش می باش ***کاین عالم بیوفا نماند بکسی</w:t>
      </w:r>
    </w:p>
    <w:p>
      <w:pPr>
        <w:pStyle w:val="BookText"/>
      </w:pPr>
      <w:r>
        <w:rPr>
          <w:rFonts w:ascii="IRNazanin" w:hAnsi="IRNazanin" w:eastAsia="IRNazanin" w:cs="IRNazanin"/>
          <w:lang w:bidi="fa-IR"/>
          <w:color w:val="111111"/>
          <w:sz w:val="28"/>
          <w:szCs w:val="28"/>
          <w:rtl/>
        </w:rPr>
        <w:t xml:space="preserve">شامل رباعیاتی است از شاعران مختلف از جمله خیام (در وصف بابا افضل)، بابا افضل کاشانی در مناجات و پند و اندرز، مخمسی ناقص با این مطلع: «ای دل نماند حشمت محمود غزنوی *** این گیر و دار نکهت آئین خسروی»، مثنوی هایی از فردوسی و هاتفی خرجردی که کاتب و جامع با عناوین غلط یاد کرده است و قطعه ای با این مطلع: «روزی شه دین علی عمران *** برداست چه ذالفقار بران»؛ :خط: نسخ، بی کا، تا: اوایل قرن ۱۳؛ واقف: حسين کی استوان، آبان ۱۳۴۸؛ کاغذ ،نخودی، جلد: مقوا با عطف و گوشه تیماج مشکی ۴۵گ، ۱۱ سطر، اندازه: ۱۰/۷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۱۶/۷سم [ف:17- 266]</w:t>
      </w:r>
    </w:p>
    <w:p>
      <w:pPr>
        <w:pStyle w:val="BookText"/>
      </w:pPr>
      <w:r>
        <w:rPr>
          <w:rFonts w:ascii="IRNazanin" w:hAnsi="IRNazanin" w:eastAsia="IRNazanin" w:cs="IRNazanin"/>
          <w:lang w:bidi="fa-IR"/>
          <w:color w:val="111111"/>
          <w:sz w:val="28"/>
          <w:szCs w:val="28"/>
          <w:rtl/>
        </w:rPr>
        <w:t xml:space="preserve">۶۶۸. مشهد؛ رضوی؛ شماره نسخه: ۱۲۹۶۶/۱</w:t>
      </w:r>
    </w:p>
    <w:p>
      <w:pPr>
        <w:pStyle w:val="BookText"/>
      </w:pPr>
      <w:r>
        <w:rPr>
          <w:rFonts w:ascii="IRNazanin" w:hAnsi="IRNazanin" w:eastAsia="IRNazanin" w:cs="IRNazanin"/>
          <w:lang w:bidi="fa-IR"/>
          <w:color w:val="111111"/>
          <w:sz w:val="28"/>
          <w:szCs w:val="28"/>
          <w:rtl/>
        </w:rPr>
        <w:t xml:space="preserve">آغاز: مطلع قصیده: تا برآمد برنگ احمر گل *** دم زد از آل حب حيدر كل</w:t>
      </w:r>
    </w:p>
    <w:p>
      <w:pPr>
        <w:pStyle w:val="BookText"/>
      </w:pPr>
      <w:r>
        <w:rPr>
          <w:rFonts w:ascii="IRNazanin" w:hAnsi="IRNazanin" w:eastAsia="IRNazanin" w:cs="IRNazanin"/>
          <w:lang w:bidi="fa-IR"/>
          <w:color w:val="111111"/>
          <w:sz w:val="28"/>
          <w:szCs w:val="28"/>
          <w:rtl/>
        </w:rPr>
        <w:t xml:space="preserve">قصیده لامیه است. شامل ۴۷ بین در نعت ائمه اثنى عشر (علیه السّلام)  اثر طبع شاعر متخلص به عتیقی؛ خط: نستعلیق، بی کا، تا: قرن ۱۳؛ کاغذ: نخودی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۲۰/۸سم [ف: ۱۸ - ۱۴۵]
</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۶۶۹. مشهد؛ رضوی؛ شماره نسخه: ۱۶۳۱۱</w:t>
      </w:r>
    </w:p>
    <w:p>
      <w:pPr>
        <w:pStyle w:val="BookText"/>
      </w:pPr>
      <w:r>
        <w:rPr>
          <w:rFonts w:ascii="IRNazanin" w:hAnsi="IRNazanin" w:eastAsia="IRNazanin" w:cs="IRNazanin"/>
          <w:lang w:bidi="fa-IR"/>
          <w:color w:val="111111"/>
          <w:sz w:val="28"/>
          <w:szCs w:val="28"/>
          <w:rtl/>
        </w:rPr>
        <w:t xml:space="preserve">آغاز: بسمله اگر تو فارقی از حال دوستان یارا *** فراغت از تو میسر نمی شود ما را؛ انجام: جانی که ز تن رفته اگر رای کنی*** از نیم رهش بیک سخن باز آری</w:t>
      </w:r>
    </w:p>
    <w:p>
      <w:pPr>
        <w:pStyle w:val="BookText"/>
      </w:pPr>
      <w:r>
        <w:rPr>
          <w:rFonts w:ascii="IRNazanin" w:hAnsi="IRNazanin" w:eastAsia="IRNazanin" w:cs="IRNazanin"/>
          <w:lang w:bidi="fa-IR"/>
          <w:color w:val="111111"/>
          <w:sz w:val="28"/>
          <w:szCs w:val="28"/>
          <w:rtl/>
        </w:rPr>
        <w:t xml:space="preserve">زبده و برگزیده غزلیات و قطعاتی است به ترتیب حروف تهـجی از شاعران مختلف همچون ،عرفی ،نظیری، حزین لاهیجی، جامی، ... که اکثر تضمین غزلیات حافظ و سعدی و مولوی و ... می باشـد، آغاز: «بسمله اگر تو فارقی از حال دوستان یارا *** فراغت از تو میسر نمی شود ما را»، انجام: «تا بکی چشم بره بر سر راه تو نشینم *** بامیدی که ز راهی تو بیایی و نیایی» (ص 1- 178) ،گزیده رباعیات به ترتیب حروف تهجی از خیام، باباطاهر،...صادق  تفرشی و .... آغاز: «بسمله ای عشق تو کشته عارف و عامی را*** سودای تو کم کرده نکو نامی را»، انجام: «جانی که زتن رفته اگر رای کنی *** از نیم رهش بیک سخن باز آری» (ص 178- 250) ؛خط: شکسته نستعلیق خوش، بی کا، تا: قرن ۱۳؛ (در انتها ۲۳۵ق آمده و در حاشیه یکی از صفحات نوشته ای به تاریخ دوشنبه 29جمادی الاول ۱۲۹۸ با امضای میرزا حسین سررشته دار آشتیانی در حاشیه صفحه دیگر تاریخ ۱۲۸۰ نوشته شده است)؛ واگذاری بنیاد مستضعفان در شهریور ماه ۱۳۶۷ ؛کاغذ: شکری آهاری فرنگی، جلد: تیماج مشکی، ۱۲۵ص (۱-۲۵۰)، ۱۴-۱۶ سـطر ،اندازه: ۱۳/۵۰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 ۱۷ - ۳۰۱]</w:t>
      </w:r>
    </w:p>
    <w:p>
      <w:pPr>
        <w:pStyle w:val="BookText"/>
      </w:pPr>
      <w:r>
        <w:rPr>
          <w:rFonts w:ascii="IRNazanin" w:hAnsi="IRNazanin" w:eastAsia="IRNazanin" w:cs="IRNazanin"/>
          <w:lang w:bidi="fa-IR"/>
          <w:color w:val="111111"/>
          <w:sz w:val="28"/>
          <w:szCs w:val="28"/>
          <w:rtl/>
        </w:rPr>
        <w:t xml:space="preserve">۶۷۰. قم؛ معصومیه؛ شماره نسخه: ۶۷۲</w:t>
      </w:r>
    </w:p>
    <w:p>
      <w:pPr>
        <w:pStyle w:val="BookText"/>
      </w:pPr>
      <w:r>
        <w:rPr>
          <w:rFonts w:ascii="IRNazanin" w:hAnsi="IRNazanin" w:eastAsia="IRNazanin" w:cs="IRNazanin"/>
          <w:lang w:bidi="fa-IR"/>
          <w:color w:val="111111"/>
          <w:sz w:val="28"/>
          <w:szCs w:val="28"/>
          <w:rtl/>
        </w:rPr>
        <w:t xml:space="preserve">جنگی است که در آن غزلیات، رباعیات و قطعات، ادبی عرفانی و اخلاقی را از شعرای مختلف جمع آوری شده و شعر را که مؤلف نام برده و از آنها اشعاری آورده عبارتند از: رباعیات بابا طاهر عریان، خواجه حافظ شیرازی، غزلیات شیخ عبد الرحـمن جامی، غزلیات مولانا محتشم کاشی، غزلیات ملا حسین اصفهـانی متخلص به رفیق، غزلیات آقا سید احمد کاشانی متخلص به هاتف، غزلیات آقا محمد اصفهانی متخلص به عاشق، غزلیات مشتاق، غزلیات محمد حسین بیک تفریشی متخلص به ساقی و غزلیات مولانا هلالی هندی؛ خط: نستعلیق زیبا، بی کا، تا: قرن13؛ سطور چلیپا، مجدول؛ جلد: تیماج قهوه ای، ۱۱۲گ، ۱۰ سـطر (7</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 اندازه: ۱۰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۲۰سم [ف: ۲ - ۳۰۹]</w:t>
      </w:r>
    </w:p>
    <w:p>
      <w:pPr>
        <w:pStyle w:val="BookText"/>
      </w:pPr>
      <w:r>
        <w:rPr>
          <w:rFonts w:ascii="IRNazanin" w:hAnsi="IRNazanin" w:eastAsia="IRNazanin" w:cs="IRNazanin"/>
          <w:lang w:bidi="fa-IR"/>
          <w:color w:val="111111"/>
          <w:sz w:val="28"/>
          <w:szCs w:val="28"/>
          <w:rtl/>
        </w:rPr>
        <w:t xml:space="preserve">۶۷۱. تهران؛ ملک؛ شماره نسخه: ۲۲۸۲/۷</w:t>
      </w:r>
    </w:p>
    <w:p>
      <w:pPr>
        <w:pStyle w:val="BookText"/>
      </w:pPr>
      <w:r>
        <w:rPr>
          <w:rFonts w:ascii="IRNazanin" w:hAnsi="IRNazanin" w:eastAsia="IRNazanin" w:cs="IRNazanin"/>
          <w:lang w:bidi="fa-IR"/>
          <w:color w:val="111111"/>
          <w:sz w:val="28"/>
          <w:szCs w:val="28"/>
          <w:rtl/>
        </w:rPr>
        <w:t xml:space="preserve">آغاز: ای ز ذوق نظم و نثرت شهد را صد اضطراب *** لاف غیرت از دغل کاندر خجلت در حجاب؛ انجام: یار خاصیت شمس و طه تاج عصمت بی غرض *** ذوالمنن بادت حفيظ از حادثات انقلاب</w:t>
      </w:r>
    </w:p>
    <w:p>
      <w:pPr>
        <w:pStyle w:val="BookText"/>
      </w:pPr>
      <w:r>
        <w:rPr>
          <w:rFonts w:ascii="IRNazanin" w:hAnsi="IRNazanin" w:eastAsia="IRNazanin" w:cs="IRNazanin"/>
          <w:lang w:bidi="fa-IR"/>
          <w:color w:val="111111"/>
          <w:sz w:val="28"/>
          <w:szCs w:val="28"/>
          <w:rtl/>
        </w:rPr>
        <w:t xml:space="preserve">قصيده جامع الحروف، به نظم هر بیت دارای حروف تهـجی است؛ خط: شکسته نستعلیق، بی کا، تا: قرن ۱۳؛ کاغذ: فرنگی آهار مهره، جلد: میشن لایی قهوه ای، 1گ (۷۴ پ - ۷۵ر) ، ۱۷ سـطر[ ف: ۵ - ۴۵۸]</w:t>
      </w:r>
    </w:p>
    <w:p>
      <w:pPr>
        <w:pStyle w:val="BookText"/>
      </w:pPr>
      <w:r>
        <w:rPr>
          <w:rFonts w:ascii="IRNazanin" w:hAnsi="IRNazanin" w:eastAsia="IRNazanin" w:cs="IRNazanin"/>
          <w:lang w:bidi="fa-IR"/>
          <w:color w:val="111111"/>
          <w:sz w:val="28"/>
          <w:szCs w:val="28"/>
          <w:rtl/>
        </w:rPr>
        <w:t xml:space="preserve">۶۷۲. تهران؛ مجلس؛ شماره نسخه: ۱۱۵۱/۱</w:t>
      </w:r>
    </w:p>
    <w:p>
      <w:pPr>
        <w:pStyle w:val="BookText"/>
      </w:pPr>
      <w:r>
        <w:rPr>
          <w:rFonts w:ascii="IRNazanin" w:hAnsi="IRNazanin" w:eastAsia="IRNazanin" w:cs="IRNazanin"/>
          <w:lang w:bidi="fa-IR"/>
          <w:color w:val="111111"/>
          <w:sz w:val="28"/>
          <w:szCs w:val="28"/>
          <w:rtl/>
        </w:rPr>
        <w:t xml:space="preserve">غزلیات است.با استقبال یکدیگر به ترتیب تهجی از ۵۷۲ شاعر؛ خط: نستعلیق چلیپا، بی کا، تا: قرن ۱۳؛ کاغذ: سفید، جلد: تيماج قهوه ای ضربی یک لا با نقش ترنج، ۴۴۸ص (۱-۴۴۸)، ۱۰ سطر دو ستونی [سنا: ف: ۲ - ۱۴۲]</w:t>
      </w:r>
    </w:p>
    <w:p>
      <w:pPr>
        <w:pStyle w:val="BookText"/>
      </w:pPr>
      <w:r>
        <w:rPr>
          <w:rFonts w:ascii="IRNazanin" w:hAnsi="IRNazanin" w:eastAsia="IRNazanin" w:cs="IRNazanin"/>
          <w:lang w:bidi="fa-IR"/>
          <w:color w:val="111111"/>
          <w:sz w:val="28"/>
          <w:szCs w:val="28"/>
          <w:rtl/>
        </w:rPr>
        <w:t xml:space="preserve">۶۷۳. تهران؛ مجلس؛ شماره نسخه: ۱۱۶۸/۶</w:t>
      </w:r>
    </w:p>
    <w:p>
      <w:pPr>
        <w:pStyle w:val="BookText"/>
      </w:pPr>
      <w:r>
        <w:rPr>
          <w:rFonts w:ascii="IRNazanin" w:hAnsi="IRNazanin" w:eastAsia="IRNazanin" w:cs="IRNazanin"/>
          <w:lang w:bidi="fa-IR"/>
          <w:color w:val="111111"/>
          <w:sz w:val="28"/>
          <w:szCs w:val="28"/>
          <w:rtl/>
        </w:rPr>
        <w:t xml:space="preserve">غزلیات درویش حسرت؛ بی کا، تا: قرن ۱۳؛ کاغذ: سفید، جلد:تیماج قهوه ای ضربی و مقوایی با ترنج، ۲۹ ص (۴۷۹-۵۰۷)، ۱۷ سطر [سنا: ف: ۲ - ۱۵۵]</w:t>
      </w:r>
    </w:p>
    <w:p>
      <w:pPr>
        <w:pStyle w:val="BookText"/>
      </w:pPr>
      <w:r>
        <w:rPr>
          <w:rFonts w:ascii="IRNazanin" w:hAnsi="IRNazanin" w:eastAsia="IRNazanin" w:cs="IRNazanin"/>
          <w:lang w:bidi="fa-IR"/>
          <w:color w:val="111111"/>
          <w:sz w:val="28"/>
          <w:szCs w:val="28"/>
          <w:rtl/>
        </w:rPr>
        <w:t xml:space="preserve">۶۷۴ شیراز؛ علامه طباطبائی؛ شماره نسخه: ۱۴۲۶</w:t>
      </w:r>
    </w:p>
    <w:p>
      <w:pPr>
        <w:pStyle w:val="BookText"/>
      </w:pPr>
      <w:r>
        <w:rPr>
          <w:rFonts w:ascii="IRNazanin" w:hAnsi="IRNazanin" w:eastAsia="IRNazanin" w:cs="IRNazanin"/>
          <w:lang w:bidi="fa-IR"/>
          <w:color w:val="111111"/>
          <w:sz w:val="28"/>
          <w:szCs w:val="28"/>
          <w:rtl/>
        </w:rPr>
        <w:t xml:space="preserve">رباعيات حكيم خیام به همراه منتخبی از اشعار مانند: ترجیع بندهای ناصر خسرو ، شیخ عراقی، نعمت الله، خواجو، هاتف، شمس تبریزی، فقیر نور علی شاه، اشعار میرزا سراج، میرزا علی اكبر طهرانی؛ خط: نستعلیق شکسته، بی کا، تا: قرن ۱۳؛ ۱۳۰گ ،اندازه: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 نسخه پژوهی: ۲ - ۱۶۷]</w:t>
      </w:r>
    </w:p>
    <w:p>
      <w:pPr>
        <w:pStyle w:val="BookText"/>
      </w:pPr>
      <w:r>
        <w:rPr>
          <w:rFonts w:ascii="IRNazanin" w:hAnsi="IRNazanin" w:eastAsia="IRNazanin" w:cs="IRNazanin"/>
          <w:lang w:bidi="fa-IR"/>
          <w:color w:val="111111"/>
          <w:sz w:val="28"/>
          <w:szCs w:val="28"/>
          <w:rtl/>
        </w:rPr>
        <w:t xml:space="preserve">۶۷۵. تهران؛ مجلس؛ شماره نسخه: ۴۸۲۹/۳</w:t>
      </w:r>
    </w:p>
    <w:p>
      <w:pPr>
        <w:pStyle w:val="BookText"/>
      </w:pPr>
      <w:r>
        <w:rPr>
          <w:rFonts w:ascii="IRNazanin" w:hAnsi="IRNazanin" w:eastAsia="IRNazanin" w:cs="IRNazanin"/>
          <w:lang w:bidi="fa-IR"/>
          <w:color w:val="111111"/>
          <w:sz w:val="28"/>
          <w:szCs w:val="28"/>
          <w:rtl/>
        </w:rPr>
        <w:t xml:space="preserve">آغاز: مولوی رومی فرماید؛ انجام: خوش است باده بی غش ز دست ساقی مهوش *** خصوص فصل زمستان بر بخاری آتش</w:t>
      </w:r>
    </w:p>
    <w:p>
      <w:pPr>
        <w:pStyle w:val="BookText"/>
      </w:pPr>
      <w:r>
        <w:rPr>
          <w:rFonts w:ascii="IRNazanin" w:hAnsi="IRNazanin" w:eastAsia="IRNazanin" w:cs="IRNazanin"/>
          <w:lang w:bidi="fa-IR"/>
          <w:color w:val="111111"/>
          <w:sz w:val="28"/>
          <w:szCs w:val="28"/>
          <w:rtl/>
        </w:rPr>
        <w:t xml:space="preserve">غزلیات است از مولوی، خواجه حافظ، همان شیرازی، وصال شیرازی، محتشم و محمد مهدی خان و بعضی ماده تاریخ ها؛ خط: شکسته چلیپا، بی کا، تا: قرن ۱۳ ؛کاغذ: اصفهانی، جلد: تیماج زرد، مختلف السطر، اندازه: ۱۷</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۲۳سم :[ف ۱۳ - ۲۴۶]</w:t>
      </w:r>
    </w:p>
    <w:p>
      <w:pPr>
        <w:pStyle w:val="BookText"/>
      </w:pPr>
      <w:r>
        <w:rPr>
          <w:rFonts w:ascii="IRNazanin" w:hAnsi="IRNazanin" w:eastAsia="IRNazanin" w:cs="IRNazanin"/>
          <w:lang w:bidi="fa-IR"/>
          <w:color w:val="111111"/>
          <w:sz w:val="28"/>
          <w:szCs w:val="28"/>
          <w:rtl/>
        </w:rPr>
        <w:t xml:space="preserve">۶۷۶. تهران؛ مجلس؛ شماره نسخه: ۴۸۳۱/۱</w:t>
      </w:r>
    </w:p>
    <w:p>
      <w:pPr>
        <w:pStyle w:val="BookText"/>
      </w:pPr>
      <w:r>
        <w:rPr>
          <w:rFonts w:ascii="IRNazanin" w:hAnsi="IRNazanin" w:eastAsia="IRNazanin" w:cs="IRNazanin"/>
          <w:lang w:bidi="fa-IR"/>
          <w:color w:val="111111"/>
          <w:sz w:val="28"/>
          <w:szCs w:val="28"/>
          <w:rtl/>
        </w:rPr>
        <w:t xml:space="preserve">آغاز: جبرئیلا ساز راه خویش کن*** سینه را زین سوی بی تشویش کن / هان مرا هر دم فنا اندر فنا است *** این مقام خاصگان اولیاست / جبرئیلا با توأم نبود مجال *** که توئی مستغرق بحر خیال؛ انجام: گاه رنجم گاه راحت راحت گاه بند ***که  فراقم که وثاقم که کمند / گاه موجم گاه دریا گه حباب ***گه بوم پیمانه و گاهی شراب</w:t>
      </w:r>
    </w:p>
    <w:p>
      <w:pPr>
        <w:pStyle w:val="BookText"/>
      </w:pPr>
      <w:r>
        <w:rPr>
          <w:rFonts w:ascii="IRNazanin" w:hAnsi="IRNazanin" w:eastAsia="IRNazanin" w:cs="IRNazanin"/>
          <w:lang w:bidi="fa-IR"/>
          <w:color w:val="111111"/>
          <w:sz w:val="28"/>
          <w:szCs w:val="28"/>
          <w:rtl/>
        </w:rPr>
        <w:t xml:space="preserve">مثنوی جبرئیل نامه است، مثنوی عرفانی در ۵۱۶ بیت؛ خط: نستعلیق خوش، بی کا، تا: قرن ۱۳-۱۴؛ کاغذ: فرنگی، جلد: تیماج مشکی یک لا، ۱۸ ص (۱-۱۸)،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 ف : ۱۳ - ۲۴۹]</w:t>
      </w:r>
    </w:p>
    <w:p>
      <w:pPr>
        <w:pStyle w:val="BookText"/>
      </w:pPr>
      <w:r>
        <w:rPr>
          <w:rFonts w:ascii="IRNazanin" w:hAnsi="IRNazanin" w:eastAsia="IRNazanin" w:cs="IRNazanin"/>
          <w:lang w:bidi="fa-IR"/>
          <w:color w:val="111111"/>
          <w:sz w:val="28"/>
          <w:szCs w:val="28"/>
          <w:rtl/>
        </w:rPr>
        <w:t xml:space="preserve">۶۷۷. تهران؛ مجلس؛ شماره نسخه: ۱۲۰۲/۲۶- طباطبائی</w:t>
      </w:r>
    </w:p>
    <w:p>
      <w:pPr>
        <w:pStyle w:val="BookText"/>
      </w:pPr>
      <w:r>
        <w:rPr>
          <w:rFonts w:ascii="IRNazanin" w:hAnsi="IRNazanin" w:eastAsia="IRNazanin" w:cs="IRNazanin"/>
          <w:lang w:bidi="fa-IR"/>
          <w:color w:val="111111"/>
          <w:sz w:val="28"/>
          <w:szCs w:val="28"/>
          <w:rtl/>
        </w:rPr>
        <w:t xml:space="preserve">از میرزا ابراهیم (گویا همدانی). ما در عرفات معرفت جاکردیم *** قربان گه قرب را تماشا کردیم/ قربانی دوست چون هیم خود بودیم *** در عید وصال خود کشیها کردیم؛ خط: نستعلیق، بی کا، تا: قرن ۱۳؛ ۳۵گ [ف : ۲۳ - ۷۲۳]</w:t>
      </w:r>
    </w:p>
    <w:p>
      <w:pPr>
        <w:pStyle w:val="BookText"/>
      </w:pPr>
      <w:r>
        <w:rPr>
          <w:rFonts w:ascii="IRNazanin" w:hAnsi="IRNazanin" w:eastAsia="IRNazanin" w:cs="IRNazanin"/>
          <w:lang w:bidi="fa-IR"/>
          <w:color w:val="111111"/>
          <w:sz w:val="28"/>
          <w:szCs w:val="28"/>
          <w:rtl/>
        </w:rPr>
        <w:t xml:space="preserve">۶۷۸. تهران؛ مجلس؛ شماره نسخه: ۲۳۹/۱۲-طباطبائی</w:t>
      </w:r>
    </w:p>
    <w:p>
      <w:pPr>
        <w:pStyle w:val="BookText"/>
      </w:pPr>
      <w:r>
        <w:rPr>
          <w:rFonts w:ascii="IRNazanin" w:hAnsi="IRNazanin" w:eastAsia="IRNazanin" w:cs="IRNazanin"/>
          <w:lang w:bidi="fa-IR"/>
          <w:color w:val="111111"/>
          <w:sz w:val="28"/>
          <w:szCs w:val="28"/>
          <w:rtl/>
        </w:rPr>
        <w:t xml:space="preserve">آغاز: حکایت پادشاه شیران با سایر حیوانات که کدام یک از بنی نوع بشر اهل حق می باشند. بود شیران را شهی شارقه نام *** همچو شیر چرخ در صولت تمام/ پای تختش بیشه ای جنب شکوه *** مملکت او را ولی هر دشت و کوه / شاه روزی با اساس سلطنت *** محفلی آراست بهر مشورت / بارقه شهزاده و الاتبار *** جای کرده در کنار شهریار؛ انجام: جذبه حق هر که را قسمت شود ***
</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 الفت این قوم را رفعت شود</w:t>
      </w:r>
    </w:p>
    <w:p>
      <w:pPr>
        <w:pStyle w:val="BookText"/>
      </w:pPr>
      <w:r>
        <w:rPr>
          <w:rFonts w:ascii="IRNazanin" w:hAnsi="IRNazanin" w:eastAsia="IRNazanin" w:cs="IRNazanin"/>
          <w:lang w:bidi="fa-IR"/>
          <w:color w:val="111111"/>
          <w:sz w:val="28"/>
          <w:szCs w:val="28"/>
          <w:rtl/>
        </w:rPr>
        <w:t xml:space="preserve">مثنوی در اندرز است. بررسی اوصاف اصناف و طبقات بشر اسـت در مجلس حیوانات در حضور «شارقه» شاه شیران برای انتخـاب مربی برای فرزندش «بارقه» با طعن بر اهل صورتان عاری از معنی از متشرع و صوفی؛ خط: نسخ و نستعلیق، كا: عبد الخالق خراسانی، تا: قرن ۱۳، جا: مدرسه چهار باغ اصفهان؛ کاغذ: فرنگی  سفید آهار مهره، جلد: تیماج قرمز روشن، ۲۰ گ (۱۳۱-۱۵۱ حاشیـه)، ۱۸ سطر، قطع: رقعی بزرگ،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 ۲۲ - ۸۱]</w:t>
      </w:r>
    </w:p>
    <w:p>
      <w:pPr>
        <w:pStyle w:val="BookText"/>
      </w:pPr>
      <w:r>
        <w:rPr>
          <w:rFonts w:ascii="IRNazanin" w:hAnsi="IRNazanin" w:eastAsia="IRNazanin" w:cs="IRNazanin"/>
          <w:lang w:bidi="fa-IR"/>
          <w:color w:val="111111"/>
          <w:sz w:val="28"/>
          <w:szCs w:val="28"/>
          <w:rtl/>
        </w:rPr>
        <w:t xml:space="preserve">۶۷۹. تهران؛ مجلس؛ شماره نسخه: ۱۲۰۲/۹۸- طباطبائی</w:t>
      </w:r>
    </w:p>
    <w:p>
      <w:pPr>
        <w:pStyle w:val="BookText"/>
      </w:pPr>
      <w:r>
        <w:rPr>
          <w:rFonts w:ascii="IRNazanin" w:hAnsi="IRNazanin" w:eastAsia="IRNazanin" w:cs="IRNazanin"/>
          <w:lang w:bidi="fa-IR"/>
          <w:color w:val="111111"/>
          <w:sz w:val="28"/>
          <w:szCs w:val="28"/>
          <w:rtl/>
        </w:rPr>
        <w:t xml:space="preserve">آغاز: شد چو حسین کشته، دل مصطفى *** از ستم لشکر اعدا شکست</w:t>
      </w:r>
    </w:p>
    <w:p>
      <w:pPr>
        <w:pStyle w:val="BookText"/>
      </w:pPr>
      <w:r>
        <w:rPr>
          <w:rFonts w:ascii="IRNazanin" w:hAnsi="IRNazanin" w:eastAsia="IRNazanin" w:cs="IRNazanin"/>
          <w:lang w:bidi="fa-IR"/>
          <w:color w:val="111111"/>
          <w:sz w:val="28"/>
          <w:szCs w:val="28"/>
          <w:rtl/>
        </w:rPr>
        <w:t xml:space="preserve">قطعه و رباعی و اشعاری چند در نوحه سرایی ؛خط:نستعلـیق، بی کا، تا: قرن ۱۳؛ ۱۰گ ( ۹۰ر - ۹۹پ) [ف: ۲۳ - ۷۴۲]</w:t>
      </w:r>
    </w:p>
    <w:p>
      <w:pPr>
        <w:pStyle w:val="BookText"/>
      </w:pPr>
      <w:r>
        <w:rPr>
          <w:rFonts w:ascii="IRNazanin" w:hAnsi="IRNazanin" w:eastAsia="IRNazanin" w:cs="IRNazanin"/>
          <w:lang w:bidi="fa-IR"/>
          <w:color w:val="111111"/>
          <w:sz w:val="28"/>
          <w:szCs w:val="28"/>
          <w:rtl/>
        </w:rPr>
        <w:t xml:space="preserve">۶۸۰ .تهران؛ مجلس؛ شماره نسخه ۱۲۰۲/۱۰۰-طباطبائی</w:t>
      </w:r>
    </w:p>
    <w:p>
      <w:pPr>
        <w:pStyle w:val="BookText"/>
      </w:pPr>
      <w:r>
        <w:rPr>
          <w:rFonts w:ascii="IRNazanin" w:hAnsi="IRNazanin" w:eastAsia="IRNazanin" w:cs="IRNazanin"/>
          <w:lang w:bidi="fa-IR"/>
          <w:color w:val="111111"/>
          <w:sz w:val="28"/>
          <w:szCs w:val="28"/>
          <w:rtl/>
        </w:rPr>
        <w:t xml:space="preserve">آغاز: بسکه شو کوروه و ره یار من چل مکنم *** کوچهانه همه از اشک چشم گل مکنم</w:t>
      </w:r>
    </w:p>
    <w:p>
      <w:pPr>
        <w:pStyle w:val="BookText"/>
      </w:pPr>
      <w:r>
        <w:rPr>
          <w:rFonts w:ascii="IRNazanin" w:hAnsi="IRNazanin" w:eastAsia="IRNazanin" w:cs="IRNazanin"/>
          <w:lang w:bidi="fa-IR"/>
          <w:color w:val="111111"/>
          <w:sz w:val="28"/>
          <w:szCs w:val="28"/>
          <w:rtl/>
        </w:rPr>
        <w:t xml:space="preserve">غزل به زبان نهاوندی ؛خط: نستعلیق، بی کا، تا: قرن ۱۳؛ ۱ص (۹۷پ) [ف : ۲۳ - ۷۴۳]</w:t>
      </w:r>
    </w:p>
    <w:p>
      <w:pPr>
        <w:pStyle w:val="BookText"/>
      </w:pPr>
      <w:r>
        <w:rPr>
          <w:rFonts w:ascii="IRNazanin" w:hAnsi="IRNazanin" w:eastAsia="IRNazanin" w:cs="IRNazanin"/>
          <w:lang w:bidi="fa-IR"/>
          <w:color w:val="111111"/>
          <w:sz w:val="28"/>
          <w:szCs w:val="28"/>
          <w:rtl/>
        </w:rPr>
        <w:t xml:space="preserve">۶۸۱. تهران؛ مجلس؛ شماره نسخه: ۱۳۳۹۹/۱۷</w:t>
      </w:r>
    </w:p>
    <w:p>
      <w:pPr>
        <w:pStyle w:val="BookText"/>
      </w:pPr>
      <w:r>
        <w:rPr>
          <w:rFonts w:ascii="IRNazanin" w:hAnsi="IRNazanin" w:eastAsia="IRNazanin" w:cs="IRNazanin"/>
          <w:lang w:bidi="fa-IR"/>
          <w:color w:val="111111"/>
          <w:sz w:val="28"/>
          <w:szCs w:val="28"/>
          <w:rtl/>
        </w:rPr>
        <w:t xml:space="preserve">اشعاری از عین القضاة به نقل از مجالس العشاق (۷۵ر) ، قاآنی، شیخ اوحدی کرمانی، صائب (۷۵پ-۷۹ر)، ملا على نقى كمـره، آصفیه (۸۴پ- ۸۹ر)، مولوی ،(89- 96ر) سلمان ساوجی، عاشق اصفهانی ،ضمیری، حیاتی لاهیجی، حسن قمی، رفیق قمی، عاشـق، میرزا اشرف جهان، نصیری گیلانی،قراری گیلانی، هلالی جغتایی، عماد فقیه کرمانی ،مشتاق، امامی همدانی، رضا کاشی ،عباس، داوری کاشی ،محتشم، طیب اصفهانی، شجاع کاشی، میر صالح جغتایی (۹۶ر-۱۰۴پ)، صبوحی بیدگلی (۱۰۵ر)، مولوی، سعدی، نظامی، میرزا حبیب الله قاآنی (۱۰۷ر-۱۱۲پ)؛ خط: شکسته نستعلیق، بی کا، تا: قرن ۱۳، جلد: تیماج قهوه ای [ ف ۳۶ - 335]</w:t>
      </w:r>
    </w:p>
    <w:p>
      <w:pPr>
        <w:pStyle w:val="BookText"/>
      </w:pPr>
      <w:r>
        <w:rPr>
          <w:rFonts w:ascii="IRNazanin" w:hAnsi="IRNazanin" w:eastAsia="IRNazanin" w:cs="IRNazanin"/>
          <w:lang w:bidi="fa-IR"/>
          <w:color w:val="111111"/>
          <w:sz w:val="28"/>
          <w:szCs w:val="28"/>
          <w:rtl/>
        </w:rPr>
        <w:t xml:space="preserve">۶۸۲. تهران؛ مجلس؛ شماره نسخه ۱۵۱۴۴/۳</w:t>
      </w:r>
    </w:p>
    <w:p>
      <w:pPr>
        <w:pStyle w:val="BookText"/>
      </w:pPr>
      <w:r>
        <w:rPr>
          <w:rFonts w:ascii="IRNazanin" w:hAnsi="IRNazanin" w:eastAsia="IRNazanin" w:cs="IRNazanin"/>
          <w:lang w:bidi="fa-IR"/>
          <w:color w:val="111111"/>
          <w:sz w:val="28"/>
          <w:szCs w:val="28"/>
          <w:rtl/>
        </w:rPr>
        <w:t xml:space="preserve">(مثنوی و غزل) از شرار (؟)؛ خط: نستعلیق ،كا: محمد حسـین حسینی اعرجی، تا: قرن ۱۳ ، ۴گ (87پ-۹۱پ) [مختصر: ف: 58]</w:t>
      </w:r>
    </w:p>
    <w:p>
      <w:pPr>
        <w:pStyle w:val="BookText"/>
      </w:pPr>
      <w:r>
        <w:rPr>
          <w:rFonts w:ascii="IRNazanin" w:hAnsi="IRNazanin" w:eastAsia="IRNazanin" w:cs="IRNazanin"/>
          <w:lang w:bidi="fa-IR"/>
          <w:color w:val="111111"/>
          <w:sz w:val="28"/>
          <w:szCs w:val="28"/>
          <w:rtl/>
        </w:rPr>
        <w:t xml:space="preserve">۶۸۳. تهران؛ دانشگاه؛ شماره نسخه: ۲۳۵۴/۷-ف</w:t>
      </w:r>
    </w:p>
    <w:p>
      <w:pPr>
        <w:pStyle w:val="BookText"/>
      </w:pPr>
      <w:r>
        <w:rPr>
          <w:rFonts w:ascii="IRNazanin" w:hAnsi="IRNazanin" w:eastAsia="IRNazanin" w:cs="IRNazanin"/>
          <w:lang w:bidi="fa-IR"/>
          <w:color w:val="111111"/>
          <w:sz w:val="28"/>
          <w:szCs w:val="28"/>
          <w:rtl/>
        </w:rPr>
        <w:t xml:space="preserve">نسخه اصل: یوگسلاوی. غزلهای قاسم؛ بی کا، تا: با تاریخ ۲۰۰ق [ فیلمها: ۱ - ۶۷۵]</w:t>
      </w:r>
    </w:p>
    <w:p>
      <w:pPr>
        <w:pStyle w:val="BookText"/>
      </w:pPr>
      <w:r>
        <w:rPr>
          <w:rFonts w:ascii="IRNazanin" w:hAnsi="IRNazanin" w:eastAsia="IRNazanin" w:cs="IRNazanin"/>
          <w:lang w:bidi="fa-IR"/>
          <w:color w:val="111111"/>
          <w:sz w:val="28"/>
          <w:szCs w:val="28"/>
          <w:rtl/>
        </w:rPr>
        <w:t xml:space="preserve">۶۸۴. تهران؛ مجلس؛ شماره نسخه: ۱۵۴۳۶</w:t>
      </w:r>
    </w:p>
    <w:p>
      <w:pPr>
        <w:pStyle w:val="BookText"/>
      </w:pPr>
      <w:r>
        <w:rPr>
          <w:rFonts w:ascii="IRNazanin" w:hAnsi="IRNazanin" w:eastAsia="IRNazanin" w:cs="IRNazanin"/>
          <w:lang w:bidi="fa-IR"/>
          <w:color w:val="111111"/>
          <w:sz w:val="28"/>
          <w:szCs w:val="28"/>
          <w:rtl/>
        </w:rPr>
        <w:t xml:space="preserve">آغاز: غزلیاتی که بر حسب فرمایش فرمان قدر توأمان نواب مالک رقاب اجل امجد اشرف والا اظل السلطان؛ انجام: شاه مسعود که از فیض زمین بوسش چرخ *** بر سرش هست ز خورشید کلاه عجیبی</w:t>
      </w:r>
    </w:p>
    <w:p>
      <w:pPr>
        <w:pStyle w:val="BookText"/>
      </w:pPr>
      <w:r>
        <w:rPr>
          <w:rFonts w:ascii="IRNazanin" w:hAnsi="IRNazanin" w:eastAsia="IRNazanin" w:cs="IRNazanin"/>
          <w:lang w:bidi="fa-IR"/>
          <w:color w:val="111111"/>
          <w:sz w:val="28"/>
          <w:szCs w:val="28"/>
          <w:rtl/>
        </w:rPr>
        <w:t xml:space="preserve">مسعود ميرزا ظل السلطان حاکم اصفهان به شعرای «انجمن شعرای دار السلطنه اصفهان» دستور داده جواب این بیت شعر که از یکی از شاعران متقدم سروده است بنویسند: «دی گذشت از بر من چشم سیاه عجبی *** او نگاه عجبی کرد و من آه عجبی»، و آنان نیز هر یک غزلی سروده اند که در این مجموعه جمع آوری شده است، اسامی شاعران انجمن که شعرشان درج شده به ترتیب: آقا میرزا آقا جان خوشنویس متخلص به پرتو، سید محمد خوشنویس اصفهانی متخلص به بقا، میرزا حسینعلی اصفهانی متخلص به آشفته، میرزا محمد متخلص به سها فرزند میرزای هما، عباسعلی بیک اهل اصفهان متخلص به خرم، دهقان سامانی (از قریه سامان از توابع اصفهان) غلامرضا متخلص به جوزا از اهل اصفهان، ملا محمد حسین از طلاب علوم دینیه متخلص به صفا، میرزا محمد علی آسوده از طلابعلوم دینیه، آقا سید عبد الکریم از سادات اصفهان متخلص به جلا؛ خط: شکسته نستعلیق، بی کا، تا: قرن ۱۳؛ مجدول؛ جلد: چرم قهوه ای ، ۹گ، ۹ سطر، اندازه: ۱۰/۷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۱۶/۲سم [ ف: ۴۳ - ۸۹ ]</w:t>
      </w:r>
    </w:p>
    <w:p>
      <w:pPr>
        <w:pStyle w:val="BookText"/>
      </w:pPr>
      <w:r>
        <w:rPr>
          <w:rFonts w:ascii="IRNazanin" w:hAnsi="IRNazanin" w:eastAsia="IRNazanin" w:cs="IRNazanin"/>
          <w:lang w:bidi="fa-IR"/>
          <w:color w:val="111111"/>
          <w:sz w:val="28"/>
          <w:szCs w:val="28"/>
          <w:rtl/>
        </w:rPr>
        <w:t xml:space="preserve">۶۸۵. تهران؛ مجلس؛ شماره نسخه: ۹۴۶۴/۲۴</w:t>
      </w:r>
    </w:p>
    <w:p>
      <w:pPr>
        <w:pStyle w:val="BookText"/>
      </w:pPr>
      <w:r>
        <w:rPr>
          <w:rFonts w:ascii="IRNazanin" w:hAnsi="IRNazanin" w:eastAsia="IRNazanin" w:cs="IRNazanin"/>
          <w:lang w:bidi="fa-IR"/>
          <w:color w:val="111111"/>
          <w:sz w:val="28"/>
          <w:szCs w:val="28"/>
          <w:rtl/>
        </w:rPr>
        <w:t xml:space="preserve">رباعی گفتگوی بط و ماهی؛ خط: نستعلیق، بی کا، تا: قرن ۱۳؛  اص (۲۷۹) [مختصر: ف: - ۳۸۶]</w:t>
      </w:r>
    </w:p>
    <w:p>
      <w:pPr>
        <w:pStyle w:val="BookText"/>
      </w:pPr>
      <w:r>
        <w:rPr>
          <w:rFonts w:ascii="IRNazanin" w:hAnsi="IRNazanin" w:eastAsia="IRNazanin" w:cs="IRNazanin"/>
          <w:lang w:bidi="fa-IR"/>
          <w:color w:val="111111"/>
          <w:sz w:val="28"/>
          <w:szCs w:val="28"/>
          <w:rtl/>
        </w:rPr>
        <w:t xml:space="preserve">۶۸۶. تهران؛ دانشگاه؛ شماره نسخه: ۹۲۲۴</w:t>
      </w:r>
    </w:p>
    <w:p>
      <w:pPr>
        <w:pStyle w:val="BookText"/>
      </w:pPr>
      <w:r>
        <w:rPr>
          <w:rFonts w:ascii="IRNazanin" w:hAnsi="IRNazanin" w:eastAsia="IRNazanin" w:cs="IRNazanin"/>
          <w:lang w:bidi="fa-IR"/>
          <w:color w:val="111111"/>
          <w:sz w:val="28"/>
          <w:szCs w:val="28"/>
          <w:rtl/>
        </w:rPr>
        <w:t xml:space="preserve">رباعیات است از: مولانا مرتب به ردیف تهجی قافیه، ابوسعید ابی الخیر ،عبدالله انصاری ،جامی، فیضی هندی ناگوری، سلمان ساوجی، عمر خیام، عرفی شیرازی (از روی نسخه ۹۹۶)، چندین سراینده از سلطان سلیم تا نفعی و طالب، رباعیات ترکی سلطان مرادخان و نفعی و ضیا باشی تا می رسد به غالب دده و محرر خود نسخه؛ خط: نستعلیق،بی کا، تا: قرن ۱۳؛ کاغذ: فرنگی، جلد: مقوا عطف سرخ، ۲۹۰گ، ۱۷ 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 قطع: رحلی،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۱۷ - ۳۲۵]</w:t>
      </w:r>
    </w:p>
    <w:p>
      <w:pPr>
        <w:pStyle w:val="BookText"/>
      </w:pPr>
      <w:r>
        <w:rPr>
          <w:rFonts w:ascii="IRNazanin" w:hAnsi="IRNazanin" w:eastAsia="IRNazanin" w:cs="IRNazanin"/>
          <w:lang w:bidi="fa-IR"/>
          <w:color w:val="111111"/>
          <w:sz w:val="28"/>
          <w:szCs w:val="28"/>
          <w:rtl/>
        </w:rPr>
        <w:t xml:space="preserve">۶۸۷. تهران؛ دانشگاه؛ شماره نسخه: ۷۶۹۸/۱۴</w:t>
      </w:r>
    </w:p>
    <w:p>
      <w:pPr>
        <w:pStyle w:val="BookText"/>
      </w:pPr>
      <w:r>
        <w:rPr>
          <w:rFonts w:ascii="IRNazanin" w:hAnsi="IRNazanin" w:eastAsia="IRNazanin" w:cs="IRNazanin"/>
          <w:lang w:bidi="fa-IR"/>
          <w:color w:val="111111"/>
          <w:sz w:val="28"/>
          <w:szCs w:val="28"/>
          <w:rtl/>
        </w:rPr>
        <w:t xml:space="preserve">غزل سلطان العلماء است با قافیه دال در ۱۴ بیت در معنی خبر «لاجبر و لا تفويض بل امر بین الامرین» بدین گونه: آنچه از نقد عمل قلب مرا حاصل بود*** چون شمردم همگی سکه آن باطل بود/ غرض از کن مکن اظهار لياقتها بود *** زانکه بیننده اسرار نهان عاقل بود؛ خط: نستعلیق، بی کا، تا: قرن ۱۳؛ کاغذ ،فرنگی ،جلد: تيماج مشکی ضربی، ۱۹ سطر (8</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قطع: ربعی،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 ۱۶ - ۶۷۵]</w:t>
      </w:r>
    </w:p>
    <w:p>
      <w:pPr>
        <w:pStyle w:val="BookText"/>
      </w:pPr>
      <w:r>
        <w:rPr>
          <w:rFonts w:ascii="IRNazanin" w:hAnsi="IRNazanin" w:eastAsia="IRNazanin" w:cs="IRNazanin"/>
          <w:lang w:bidi="fa-IR"/>
          <w:color w:val="111111"/>
          <w:sz w:val="28"/>
          <w:szCs w:val="28"/>
          <w:rtl/>
        </w:rPr>
        <w:t xml:space="preserve">۶۸۸. تهران؛ مجلس؛ شماره نسخه: ۸۸۸۵/۳۳</w:t>
      </w:r>
    </w:p>
    <w:p>
      <w:pPr>
        <w:pStyle w:val="BookText"/>
      </w:pPr>
      <w:r>
        <w:rPr>
          <w:rFonts w:ascii="IRNazanin" w:hAnsi="IRNazanin" w:eastAsia="IRNazanin" w:cs="IRNazanin"/>
          <w:lang w:bidi="fa-IR"/>
          <w:color w:val="111111"/>
          <w:sz w:val="28"/>
          <w:szCs w:val="28"/>
          <w:rtl/>
        </w:rPr>
        <w:t xml:space="preserve">خط: نستعلیق و شکسته، بی کا، تا: قرن ۱۳ ؛کاغذ: حنایی آهار مهره ،جلد: میشن زیتونی ساده، مختلف السطر، اندازه: ۱۵/۶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۲۵/۸سم [ف: ۲۹/۱ - ۲۳۳]</w:t>
      </w:r>
    </w:p>
    <w:p>
      <w:pPr>
        <w:pStyle w:val="BookText"/>
      </w:pPr>
      <w:r>
        <w:rPr>
          <w:rFonts w:ascii="IRNazanin" w:hAnsi="IRNazanin" w:eastAsia="IRNazanin" w:cs="IRNazanin"/>
          <w:lang w:bidi="fa-IR"/>
          <w:color w:val="111111"/>
          <w:sz w:val="28"/>
          <w:szCs w:val="28"/>
          <w:rtl/>
        </w:rPr>
        <w:t xml:space="preserve">۶۸۹. تهران؛ ملک؛ شماره نسخه: ۴۶۷۶/۷</w:t>
      </w:r>
    </w:p>
    <w:p>
      <w:pPr>
        <w:pStyle w:val="BookText"/>
      </w:pPr>
      <w:r>
        <w:rPr>
          <w:rFonts w:ascii="IRNazanin" w:hAnsi="IRNazanin" w:eastAsia="IRNazanin" w:cs="IRNazanin"/>
          <w:lang w:bidi="fa-IR"/>
          <w:color w:val="111111"/>
          <w:sz w:val="28"/>
          <w:szCs w:val="28"/>
          <w:rtl/>
        </w:rPr>
        <w:t xml:space="preserve">چند غزل و مثنوی شاید جزو «سراپا» باشد؛ خط: نستعلیق، بی کا، تا: قرن ۱۳ [ف: ۸ - ۱۹]</w:t>
      </w:r>
    </w:p>
    <w:p>
      <w:pPr>
        <w:pStyle w:val="BookText"/>
      </w:pPr>
      <w:r>
        <w:rPr>
          <w:rFonts w:ascii="IRNazanin" w:hAnsi="IRNazanin" w:eastAsia="IRNazanin" w:cs="IRNazanin"/>
          <w:lang w:bidi="fa-IR"/>
          <w:color w:val="111111"/>
          <w:sz w:val="28"/>
          <w:szCs w:val="28"/>
          <w:rtl/>
        </w:rPr>
        <w:t xml:space="preserve">۶۹۰. تهران؛ ملک؛ شماره نسخه: ۴۶۷۶/۱۸</w:t>
      </w:r>
    </w:p>
    <w:p>
      <w:pPr>
        <w:pStyle w:val="BookText"/>
      </w:pPr>
      <w:r>
        <w:rPr>
          <w:rFonts w:ascii="IRNazanin" w:hAnsi="IRNazanin" w:eastAsia="IRNazanin" w:cs="IRNazanin"/>
          <w:lang w:bidi="fa-IR"/>
          <w:color w:val="111111"/>
          <w:sz w:val="28"/>
          <w:szCs w:val="28"/>
          <w:rtl/>
        </w:rPr>
        <w:t xml:space="preserve">غزليات بدون ترتیب؛ خط: نستعلیق، بی کا، تا: قرن ۱۳ [ف: 8- 20]</w:t>
      </w:r>
    </w:p>
    <w:p>
      <w:pPr>
        <w:pStyle w:val="BookText"/>
      </w:pPr>
      <w:r>
        <w:rPr>
          <w:rFonts w:ascii="IRNazanin" w:hAnsi="IRNazanin" w:eastAsia="IRNazanin" w:cs="IRNazanin"/>
          <w:lang w:bidi="fa-IR"/>
          <w:color w:val="111111"/>
          <w:sz w:val="28"/>
          <w:szCs w:val="28"/>
          <w:rtl/>
        </w:rPr>
        <w:t xml:space="preserve">۶۹۱. تهران؛ ملک؛ شماره نسخه: ۴۶۷۶/۱۹
</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 نستعلیق، بی کا، تا: قرن ۱۳ [ف: ۸ - ۲۰]</w:t>
      </w:r>
    </w:p>
    <w:p>
      <w:pPr>
        <w:pStyle w:val="BookText"/>
      </w:pPr>
      <w:r>
        <w:rPr>
          <w:rFonts w:ascii="IRNazanin" w:hAnsi="IRNazanin" w:eastAsia="IRNazanin" w:cs="IRNazanin"/>
          <w:lang w:bidi="fa-IR"/>
          <w:color w:val="111111"/>
          <w:sz w:val="28"/>
          <w:szCs w:val="28"/>
          <w:rtl/>
        </w:rPr>
        <w:t xml:space="preserve">۶۹۲. تهران؛ ملک؛ شماره نسخه: ۵۰۰۵/۱۰</w:t>
      </w:r>
    </w:p>
    <w:p>
      <w:pPr>
        <w:pStyle w:val="BookText"/>
      </w:pPr>
      <w:r>
        <w:rPr>
          <w:rFonts w:ascii="IRNazanin" w:hAnsi="IRNazanin" w:eastAsia="IRNazanin" w:cs="IRNazanin"/>
          <w:lang w:bidi="fa-IR"/>
          <w:color w:val="111111"/>
          <w:sz w:val="28"/>
          <w:szCs w:val="28"/>
          <w:rtl/>
        </w:rPr>
        <w:t xml:space="preserve">چند غزل عرفانی؛ خط: نستعلیق، بی کا، تا: قرن ۱۳ [ف ۸ - ۱۶۲ ]</w:t>
      </w:r>
    </w:p>
    <w:p>
      <w:pPr>
        <w:pStyle w:val="BookText"/>
      </w:pPr>
      <w:r>
        <w:rPr>
          <w:rFonts w:ascii="Times New Roman" w:hAnsi="Times New Roman" w:eastAsia="Times New Roman" w:cs="Times New Roman"/>
          <w:lang w:val="en-US" w:bidi="en-US"/>
          <w:color w:val="111111"/>
          <w:sz w:val="28"/>
          <w:szCs w:val="28"/>
          <w:rtl/>
        </w:rPr>
        <w:t xml:space="preserve">693.</w:t>
      </w:r>
    </w:p>
    <w:p>
      <w:pPr>
        <w:pStyle w:val="BookText"/>
      </w:pPr>
      <w:r>
        <w:rPr>
          <w:rFonts w:ascii="IRNazanin" w:hAnsi="IRNazanin" w:eastAsia="IRNazanin" w:cs="IRNazanin"/>
          <w:lang w:bidi="fa-IR"/>
          <w:color w:val="111111"/>
          <w:sz w:val="28"/>
          <w:szCs w:val="28"/>
          <w:rtl/>
        </w:rPr>
        <w:t xml:space="preserve">تهران؛ ملک؛ شماره نسخه: ۵۰۸۵/۲۹</w:t>
      </w:r>
    </w:p>
    <w:p>
      <w:pPr>
        <w:pStyle w:val="BookText"/>
      </w:pPr>
      <w:r>
        <w:rPr>
          <w:rFonts w:ascii="IRNazanin" w:hAnsi="IRNazanin" w:eastAsia="IRNazanin" w:cs="IRNazanin"/>
          <w:lang w:bidi="fa-IR"/>
          <w:color w:val="111111"/>
          <w:sz w:val="28"/>
          <w:szCs w:val="28"/>
          <w:rtl/>
        </w:rPr>
        <w:t xml:space="preserve">غزلیات از سعدی و جامی و دیگران به ترتیب تهجی؛ خـط: نستعلیق، بی کا، تا: قرن ۱۲ و ۱۳ [ ف : ۸ - ۱۹۵]  ۹۴. تهران؛ ملک؛ شماره نسخه: ۴۰۵۷/۴۶</w:t>
      </w:r>
    </w:p>
    <w:p>
      <w:pPr>
        <w:pStyle w:val="BookText"/>
      </w:pPr>
      <w:r>
        <w:rPr>
          <w:rFonts w:ascii="IRNazanin" w:hAnsi="IRNazanin" w:eastAsia="IRNazanin" w:cs="IRNazanin"/>
          <w:lang w:bidi="fa-IR"/>
          <w:color w:val="111111"/>
          <w:sz w:val="28"/>
          <w:szCs w:val="28"/>
          <w:rtl/>
        </w:rPr>
        <w:t xml:space="preserve">از شیخ بهائی، حسن غزنوی، کمال اسماعیل، و شیخ رضی الدین علی و دیگران ؛خط: شکسته نستعلیق، کا: محمد زمان بن کلبعلی متطبب خراسانی، تا: قرن ۱۳ [ف: ۷ - ۱۸۶]</w:t>
      </w:r>
    </w:p>
    <w:p>
      <w:pPr>
        <w:pStyle w:val="BookText"/>
      </w:pPr>
      <w:r>
        <w:rPr>
          <w:rFonts w:ascii="IRNazanin" w:hAnsi="IRNazanin" w:eastAsia="IRNazanin" w:cs="IRNazanin"/>
          <w:lang w:bidi="fa-IR"/>
          <w:color w:val="111111"/>
          <w:sz w:val="28"/>
          <w:szCs w:val="28"/>
          <w:rtl/>
        </w:rPr>
        <w:t xml:space="preserve">۶۹۵. تهران؛ ملک؛ شماره نسخه: ۴۰۵۷/۱۴۳</w:t>
      </w:r>
    </w:p>
    <w:p>
      <w:pPr>
        <w:pStyle w:val="BookText"/>
      </w:pPr>
      <w:r>
        <w:rPr>
          <w:rFonts w:ascii="IRNazanin" w:hAnsi="IRNazanin" w:eastAsia="IRNazanin" w:cs="IRNazanin"/>
          <w:lang w:bidi="fa-IR"/>
          <w:color w:val="111111"/>
          <w:sz w:val="28"/>
          <w:szCs w:val="28"/>
          <w:rtl/>
        </w:rPr>
        <w:t xml:space="preserve">از نعمة الله ولی و سنائی و امیر قاسم انوار؛ خط: شکسته نستعلیق، کا: محمد زمان بن كلبعلی متطبب خراسانی، تا: قرن ۱۳؛ ۱ص (۲۶۵ پ) [ف: ۷ - ۱۹۴]</w:t>
      </w:r>
    </w:p>
    <w:p>
      <w:pPr>
        <w:pStyle w:val="BookText"/>
      </w:pPr>
      <w:r>
        <w:rPr>
          <w:rFonts w:ascii="IRNazanin" w:hAnsi="IRNazanin" w:eastAsia="IRNazanin" w:cs="IRNazanin"/>
          <w:lang w:bidi="fa-IR"/>
          <w:color w:val="111111"/>
          <w:sz w:val="28"/>
          <w:szCs w:val="28"/>
          <w:rtl/>
        </w:rPr>
        <w:t xml:space="preserve">۶۹۶. تهران؛ مجلس؛ شماره نسخه: ۳۵۱۲/۳</w:t>
      </w:r>
    </w:p>
    <w:p>
      <w:pPr>
        <w:pStyle w:val="BookText"/>
      </w:pPr>
      <w:r>
        <w:rPr>
          <w:rFonts w:ascii="IRNazanin" w:hAnsi="IRNazanin" w:eastAsia="IRNazanin" w:cs="IRNazanin"/>
          <w:lang w:bidi="fa-IR"/>
          <w:color w:val="111111"/>
          <w:sz w:val="28"/>
          <w:szCs w:val="28"/>
          <w:rtl/>
        </w:rPr>
        <w:t xml:space="preserve">غزل است. نویسنده: شیخ عراقی، طبیب اصفهانی؛ بی کا، تا: ۱۲۶۱ - ۱۲۸۳؛ ۱ص (۲۶-۲۷) [ف: ۱۰۳ - ۱۴۶۴]</w:t>
      </w:r>
    </w:p>
    <w:p>
      <w:pPr>
        <w:pStyle w:val="BookText"/>
      </w:pPr>
      <w:r>
        <w:rPr>
          <w:rFonts w:ascii="IRNazanin" w:hAnsi="IRNazanin" w:eastAsia="IRNazanin" w:cs="IRNazanin"/>
          <w:lang w:bidi="fa-IR"/>
          <w:color w:val="111111"/>
          <w:sz w:val="28"/>
          <w:szCs w:val="28"/>
          <w:rtl/>
        </w:rPr>
        <w:t xml:space="preserve">۶۹۷. تهران؛ مجلس؛ شماره نسخه ۱۲۰۲/۱۰۰ط</w:t>
      </w:r>
    </w:p>
    <w:p>
      <w:pPr>
        <w:pStyle w:val="BookText"/>
      </w:pPr>
      <w:r>
        <w:rPr>
          <w:rFonts w:ascii="IRNazanin" w:hAnsi="IRNazanin" w:eastAsia="IRNazanin" w:cs="IRNazanin"/>
          <w:lang w:bidi="fa-IR"/>
          <w:color w:val="111111"/>
          <w:sz w:val="28"/>
          <w:szCs w:val="28"/>
          <w:rtl/>
        </w:rPr>
        <w:t xml:space="preserve">غزل از شیدا به زبان نهاوندی؛ خط: نستعلیق، بی کا، تا: قرن 13؛ اگ (۹۷پ) [ف: ۲۳/۲ - ۷۴۳]</w:t>
      </w:r>
    </w:p>
    <w:p>
      <w:pPr>
        <w:pStyle w:val="BookText"/>
      </w:pPr>
      <w:r>
        <w:rPr>
          <w:rFonts w:ascii="IRNazanin" w:hAnsi="IRNazanin" w:eastAsia="IRNazanin" w:cs="IRNazanin"/>
          <w:lang w:bidi="fa-IR"/>
          <w:color w:val="111111"/>
          <w:sz w:val="28"/>
          <w:szCs w:val="28"/>
          <w:rtl/>
        </w:rPr>
        <w:t xml:space="preserve">۶۹۸ .تهران؛ دانشسرای عالی - کتابخانه میرزا عبد العظيم خان قریب گرکانی؛ شماره نسخه: ۱۳۴/۸</w:t>
      </w:r>
    </w:p>
    <w:p>
      <w:pPr>
        <w:pStyle w:val="BookText"/>
      </w:pPr>
      <w:r>
        <w:rPr>
          <w:rFonts w:ascii="IRNazanin" w:hAnsi="IRNazanin" w:eastAsia="IRNazanin" w:cs="IRNazanin"/>
          <w:lang w:bidi="fa-IR"/>
          <w:color w:val="111111"/>
          <w:sz w:val="28"/>
          <w:szCs w:val="28"/>
          <w:rtl/>
        </w:rPr>
        <w:t xml:space="preserve">قصیده در ستایش سلطان الواعظین؛ بی کا، تا: قرن ۱۳؛ قطع: ربعی [نشریه: ۵ - ۶۴۴]</w:t>
      </w:r>
    </w:p>
    <w:p>
      <w:pPr>
        <w:pStyle w:val="BookText"/>
      </w:pPr>
      <w:r>
        <w:rPr>
          <w:rFonts w:ascii="IRNazanin" w:hAnsi="IRNazanin" w:eastAsia="IRNazanin" w:cs="IRNazanin"/>
          <w:lang w:bidi="fa-IR"/>
          <w:color w:val="111111"/>
          <w:sz w:val="28"/>
          <w:szCs w:val="28"/>
          <w:rtl/>
        </w:rPr>
        <w:t xml:space="preserve">۶۹۹. تهران؛ مفتاح؛ شماره نسخه: ۶۵۸/۱</w:t>
      </w:r>
    </w:p>
    <w:p>
      <w:pPr>
        <w:pStyle w:val="BookText"/>
      </w:pPr>
      <w:r>
        <w:rPr>
          <w:rFonts w:ascii="IRNazanin" w:hAnsi="IRNazanin" w:eastAsia="IRNazanin" w:cs="IRNazanin"/>
          <w:lang w:bidi="fa-IR"/>
          <w:color w:val="111111"/>
          <w:sz w:val="28"/>
          <w:szCs w:val="28"/>
          <w:rtl/>
        </w:rPr>
        <w:t xml:space="preserve">رباعیات است؛ درست مانند رباعیات خیام است؛ خط: شکسته نستعلیق، بی کا، تا: قرن ۱۳ [نشریه: ۷ - ۲۵۱]</w:t>
      </w:r>
    </w:p>
    <w:p>
      <w:pPr>
        <w:pStyle w:val="BookText"/>
      </w:pPr>
      <w:r>
        <w:rPr>
          <w:rFonts w:ascii="IRNazanin" w:hAnsi="IRNazanin" w:eastAsia="IRNazanin" w:cs="IRNazanin"/>
          <w:lang w:bidi="fa-IR"/>
          <w:color w:val="111111"/>
          <w:sz w:val="28"/>
          <w:szCs w:val="28"/>
          <w:rtl/>
        </w:rPr>
        <w:t xml:space="preserve">۷۰۰. تهران؛ مفتاح؛ شماره نسخه: ۶۵۸/۲</w:t>
      </w:r>
    </w:p>
    <w:p>
      <w:pPr>
        <w:pStyle w:val="BookText"/>
      </w:pPr>
      <w:r>
        <w:rPr>
          <w:rFonts w:ascii="IRNazanin" w:hAnsi="IRNazanin" w:eastAsia="IRNazanin" w:cs="IRNazanin"/>
          <w:lang w:bidi="fa-IR"/>
          <w:color w:val="111111"/>
          <w:sz w:val="28"/>
          <w:szCs w:val="28"/>
          <w:rtl/>
        </w:rPr>
        <w:t xml:space="preserve">رباعیات است؛ خط: شکسته نستعلیق، بی کا، تا: قرن ۱۳؛ قـطع: ربعی[ نشریه: ۷ - ۲۵۱]</w:t>
      </w:r>
    </w:p>
    <w:p>
      <w:pPr>
        <w:pStyle w:val="BookText"/>
      </w:pPr>
      <w:r>
        <w:rPr>
          <w:rFonts w:ascii="IRNazanin" w:hAnsi="IRNazanin" w:eastAsia="IRNazanin" w:cs="IRNazanin"/>
          <w:lang w:bidi="fa-IR"/>
          <w:color w:val="111111"/>
          <w:sz w:val="28"/>
          <w:szCs w:val="28"/>
          <w:rtl/>
        </w:rPr>
        <w:t xml:space="preserve">۷۰۱. تهران؛ مفتاح؛ شماره نسخه: ۷۶۳/۱</w:t>
      </w:r>
    </w:p>
    <w:p>
      <w:pPr>
        <w:pStyle w:val="BookText"/>
      </w:pPr>
      <w:r>
        <w:rPr>
          <w:rFonts w:ascii="IRNazanin" w:hAnsi="IRNazanin" w:eastAsia="IRNazanin" w:cs="IRNazanin"/>
          <w:lang w:bidi="fa-IR"/>
          <w:color w:val="111111"/>
          <w:sz w:val="28"/>
          <w:szCs w:val="28"/>
          <w:rtl/>
        </w:rPr>
        <w:t xml:space="preserve">غزل است با تخلص« ...» (که در نسخه سفید گذارده شده است).</w:t>
      </w:r>
    </w:p>
    <w:p>
      <w:pPr>
        <w:pStyle w:val="BookText"/>
      </w:pPr>
      <w:r>
        <w:rPr>
          <w:rFonts w:ascii="IRNazanin" w:hAnsi="IRNazanin" w:eastAsia="IRNazanin" w:cs="IRNazanin"/>
          <w:lang w:bidi="fa-IR"/>
          <w:color w:val="111111"/>
          <w:sz w:val="28"/>
          <w:szCs w:val="28"/>
          <w:rtl/>
        </w:rPr>
        <w:t xml:space="preserve">الهی بلبل گلزار حمدت کن زبانم را ***چو گل لبریز رنگ  وبوی خود گردان دهانم را ... دل ... را گنجینه مهر و محبت کن کمین نام خود گردان زان در فشانم را؛ خط: نستعلیق، بی کا، قرن ۱۳[ نشریه: ۷ - ۲۵۶]</w:t>
      </w:r>
    </w:p>
    <w:p>
      <w:pPr>
        <w:pStyle w:val="BookText"/>
      </w:pPr>
      <w:r>
        <w:rPr>
          <w:rFonts w:ascii="IRNazanin" w:hAnsi="IRNazanin" w:eastAsia="IRNazanin" w:cs="IRNazanin"/>
          <w:lang w:bidi="fa-IR"/>
          <w:color w:val="111111"/>
          <w:sz w:val="28"/>
          <w:szCs w:val="28"/>
          <w:rtl/>
        </w:rPr>
        <w:t xml:space="preserve">۷۰۲. تهران؛ ملک؛ شماره نسخه: ۴۳۴۱/۳۱</w:t>
      </w:r>
    </w:p>
    <w:p>
      <w:pPr>
        <w:pStyle w:val="BookText"/>
      </w:pPr>
      <w:r>
        <w:rPr>
          <w:rFonts w:ascii="IRNazanin" w:hAnsi="IRNazanin" w:eastAsia="IRNazanin" w:cs="IRNazanin"/>
          <w:lang w:bidi="fa-IR"/>
          <w:color w:val="111111"/>
          <w:sz w:val="28"/>
          <w:szCs w:val="28"/>
          <w:rtl/>
        </w:rPr>
        <w:t xml:space="preserve">از طوفان ،فیضی، هلالی، ملا طغرای مشهدی، نقد علی خان ایجاد و شمس مداح؛ خط: نستعلیق، کا: میر علی اکبر ولد مير محـمد محسن زکی حسینی، تا: قرن ۱۳ ،جا: محمد آباد بیدر؛ ۳۳گ ( ۱۳۷ ر-۱۷۰ ر) [ف: ۷ - ۳۶۱]</w:t>
      </w:r>
    </w:p>
    <w:p>
      <w:pPr>
        <w:pStyle w:val="BookText"/>
      </w:pPr>
      <w:r>
        <w:rPr>
          <w:rFonts w:ascii="IRNazanin" w:hAnsi="IRNazanin" w:eastAsia="IRNazanin" w:cs="IRNazanin"/>
          <w:lang w:bidi="fa-IR"/>
          <w:color w:val="111111"/>
          <w:sz w:val="28"/>
          <w:szCs w:val="28"/>
          <w:rtl/>
        </w:rPr>
        <w:t xml:space="preserve">۷۰۳. تهران؛ ملک؛ شماره نسخه: ۵۱۱۲/۱۰</w:t>
      </w:r>
    </w:p>
    <w:p>
      <w:pPr>
        <w:pStyle w:val="BookText"/>
      </w:pPr>
      <w:r>
        <w:rPr>
          <w:rFonts w:ascii="IRNazanin" w:hAnsi="IRNazanin" w:eastAsia="IRNazanin" w:cs="IRNazanin"/>
          <w:lang w:bidi="fa-IR"/>
          <w:color w:val="111111"/>
          <w:sz w:val="28"/>
          <w:szCs w:val="28"/>
          <w:rtl/>
        </w:rPr>
        <w:t xml:space="preserve">رباعیات از قمری؛ خط: شکسته نستعلیق، بی کا، تا: قرن ۱۳[ ف:8- 209]</w:t>
      </w:r>
    </w:p>
    <w:p>
      <w:pPr>
        <w:pStyle w:val="BookText"/>
      </w:pPr>
      <w:r>
        <w:rPr>
          <w:rFonts w:ascii="IRNazanin" w:hAnsi="IRNazanin" w:eastAsia="IRNazanin" w:cs="IRNazanin"/>
          <w:lang w:bidi="fa-IR"/>
          <w:color w:val="111111"/>
          <w:sz w:val="28"/>
          <w:szCs w:val="28"/>
          <w:rtl/>
        </w:rPr>
        <w:t xml:space="preserve">704.تهران؛ ملک؛ شماره نسخه: ۵۱۱۲/۱۲</w:t>
      </w:r>
    </w:p>
    <w:p>
      <w:pPr>
        <w:pStyle w:val="BookText"/>
      </w:pPr>
      <w:r>
        <w:rPr>
          <w:rFonts w:ascii="IRNazanin" w:hAnsi="IRNazanin" w:eastAsia="IRNazanin" w:cs="IRNazanin"/>
          <w:lang w:bidi="fa-IR"/>
          <w:color w:val="111111"/>
          <w:sz w:val="28"/>
          <w:szCs w:val="28"/>
          <w:rtl/>
        </w:rPr>
        <w:t xml:space="preserve">رباعیات مشرب؛ خط: شکسته نستعلیق، بی کا، تا: قرن ۱۳ [ف: ۸ - ۲۰۹]</w:t>
      </w:r>
    </w:p>
    <w:p>
      <w:pPr>
        <w:pStyle w:val="BookText"/>
      </w:pPr>
      <w:r>
        <w:rPr>
          <w:rFonts w:ascii="IRNazanin" w:hAnsi="IRNazanin" w:eastAsia="IRNazanin" w:cs="IRNazanin"/>
          <w:lang w:bidi="fa-IR"/>
          <w:color w:val="111111"/>
          <w:sz w:val="28"/>
          <w:szCs w:val="28"/>
          <w:rtl/>
        </w:rPr>
        <w:t xml:space="preserve">۷۰۵. تهران؛ ملک؛ شماره نسخه: ۵۱۱۲/۱۳</w:t>
      </w:r>
    </w:p>
    <w:p>
      <w:pPr>
        <w:pStyle w:val="BookText"/>
      </w:pPr>
      <w:r>
        <w:rPr>
          <w:rFonts w:ascii="IRNazanin" w:hAnsi="IRNazanin" w:eastAsia="IRNazanin" w:cs="IRNazanin"/>
          <w:lang w:bidi="fa-IR"/>
          <w:color w:val="111111"/>
          <w:sz w:val="28"/>
          <w:szCs w:val="28"/>
          <w:rtl/>
        </w:rPr>
        <w:t xml:space="preserve">رباعیات فدائی؛ خط: شکسته نستعلیق، بی کا، تا: قرن ۱۳ [ف: ۸-۲۰۹]</w:t>
      </w:r>
    </w:p>
    <w:p>
      <w:pPr>
        <w:pStyle w:val="BookText"/>
      </w:pPr>
      <w:r>
        <w:rPr>
          <w:rFonts w:ascii="IRNazanin" w:hAnsi="IRNazanin" w:eastAsia="IRNazanin" w:cs="IRNazanin"/>
          <w:lang w:bidi="fa-IR"/>
          <w:color w:val="111111"/>
          <w:sz w:val="28"/>
          <w:szCs w:val="28"/>
          <w:rtl/>
        </w:rPr>
        <w:t xml:space="preserve">۷۰۶. تهران؛ ملک؛ شماره نسخه: ۵۱۱۲/۱۶</w:t>
      </w:r>
    </w:p>
    <w:p>
      <w:pPr>
        <w:pStyle w:val="BookText"/>
      </w:pPr>
      <w:r>
        <w:rPr>
          <w:rFonts w:ascii="IRNazanin" w:hAnsi="IRNazanin" w:eastAsia="IRNazanin" w:cs="IRNazanin"/>
          <w:lang w:bidi="fa-IR"/>
          <w:color w:val="111111"/>
          <w:sz w:val="28"/>
          <w:szCs w:val="28"/>
          <w:rtl/>
        </w:rPr>
        <w:t xml:space="preserve">رباعيات ابوالفرج؛ خط: شکسته نستعلیق، بی کا، تا: قرن ۱۳ [ف: ۸-۲۰۹]</w:t>
      </w:r>
    </w:p>
    <w:p>
      <w:pPr>
        <w:pStyle w:val="BookText"/>
      </w:pPr>
      <w:r>
        <w:rPr>
          <w:rFonts w:ascii="IRNazanin" w:hAnsi="IRNazanin" w:eastAsia="IRNazanin" w:cs="IRNazanin"/>
          <w:lang w:bidi="fa-IR"/>
          <w:color w:val="111111"/>
          <w:sz w:val="28"/>
          <w:szCs w:val="28"/>
          <w:rtl/>
        </w:rPr>
        <w:t xml:space="preserve">۷۰۷. تهران؛ ملک؛ شماره نسخه: ۵۱۱۲/۱۹</w:t>
      </w:r>
    </w:p>
    <w:p>
      <w:pPr>
        <w:pStyle w:val="BookText"/>
      </w:pPr>
      <w:r>
        <w:rPr>
          <w:rFonts w:ascii="IRNazanin" w:hAnsi="IRNazanin" w:eastAsia="IRNazanin" w:cs="IRNazanin"/>
          <w:lang w:bidi="fa-IR"/>
          <w:color w:val="111111"/>
          <w:sz w:val="28"/>
          <w:szCs w:val="28"/>
          <w:rtl/>
        </w:rPr>
        <w:t xml:space="preserve">رباعیات آذر؛ خط: شکسته نستعلیق، بی کا، تا: قرن ۱۳ [ف: ۸ - ۲۰۹]</w:t>
      </w:r>
    </w:p>
    <w:p>
      <w:pPr>
        <w:pStyle w:val="BookText"/>
      </w:pPr>
      <w:r>
        <w:rPr>
          <w:rFonts w:ascii="IRNazanin" w:hAnsi="IRNazanin" w:eastAsia="IRNazanin" w:cs="IRNazanin"/>
          <w:lang w:bidi="fa-IR"/>
          <w:color w:val="111111"/>
          <w:sz w:val="28"/>
          <w:szCs w:val="28"/>
          <w:rtl/>
        </w:rPr>
        <w:t xml:space="preserve">۷۰۸. تهران؛ ملک؛ شماره نسخه: ۵۱۱۲/۲۰</w:t>
      </w:r>
    </w:p>
    <w:p>
      <w:pPr>
        <w:pStyle w:val="BookText"/>
      </w:pPr>
      <w:r>
        <w:rPr>
          <w:rFonts w:ascii="IRNazanin" w:hAnsi="IRNazanin" w:eastAsia="IRNazanin" w:cs="IRNazanin"/>
          <w:lang w:bidi="fa-IR"/>
          <w:color w:val="111111"/>
          <w:sz w:val="28"/>
          <w:szCs w:val="28"/>
          <w:rtl/>
        </w:rPr>
        <w:t xml:space="preserve">رباعیات صهبا؛ خط: شکسته نستعلیق، بی کا، تا: قرن ۱۳ [ف: ۸ - ۲۰۹]</w:t>
      </w:r>
    </w:p>
    <w:p>
      <w:pPr>
        <w:pStyle w:val="BookText"/>
      </w:pPr>
      <w:r>
        <w:rPr>
          <w:rFonts w:ascii="IRNazanin" w:hAnsi="IRNazanin" w:eastAsia="IRNazanin" w:cs="IRNazanin"/>
          <w:lang w:bidi="fa-IR"/>
          <w:color w:val="111111"/>
          <w:sz w:val="28"/>
          <w:szCs w:val="28"/>
          <w:rtl/>
        </w:rPr>
        <w:t xml:space="preserve">۷۰۹. تهران؛ ملک؛ شماره نسخه: ۵۱۱۲/۲۱</w:t>
      </w:r>
    </w:p>
    <w:p>
      <w:pPr>
        <w:pStyle w:val="BookText"/>
      </w:pPr>
      <w:r>
        <w:rPr>
          <w:rFonts w:ascii="IRNazanin" w:hAnsi="IRNazanin" w:eastAsia="IRNazanin" w:cs="IRNazanin"/>
          <w:lang w:bidi="fa-IR"/>
          <w:color w:val="111111"/>
          <w:sz w:val="28"/>
          <w:szCs w:val="28"/>
          <w:rtl/>
        </w:rPr>
        <w:t xml:space="preserve">رباعیات راهب؛ خط: شکسته نستعلیق، بی کا، تا: قرن ۱۳ [ف: ۸ - ۲۱۰]</w:t>
      </w:r>
    </w:p>
    <w:p>
      <w:pPr>
        <w:pStyle w:val="BookText"/>
      </w:pPr>
      <w:r>
        <w:rPr>
          <w:rFonts w:ascii="IRNazanin" w:hAnsi="IRNazanin" w:eastAsia="IRNazanin" w:cs="IRNazanin"/>
          <w:lang w:bidi="fa-IR"/>
          <w:color w:val="111111"/>
          <w:sz w:val="28"/>
          <w:szCs w:val="28"/>
          <w:rtl/>
        </w:rPr>
        <w:t xml:space="preserve">۷۱۰. تهران؛ ملک؛ شماره نسخه: ۵۱۱۲/۲۳</w:t>
      </w:r>
    </w:p>
    <w:p>
      <w:pPr>
        <w:pStyle w:val="BookText"/>
      </w:pPr>
      <w:r>
        <w:rPr>
          <w:rFonts w:ascii="IRNazanin" w:hAnsi="IRNazanin" w:eastAsia="IRNazanin" w:cs="IRNazanin"/>
          <w:lang w:bidi="fa-IR"/>
          <w:color w:val="111111"/>
          <w:sz w:val="28"/>
          <w:szCs w:val="28"/>
          <w:rtl/>
        </w:rPr>
        <w:t xml:space="preserve">رباعیات و جهی؛ خط: شکسته نستعلیق، بی کا، تا: قرن ۱۳ [ف: ۸ - ۲۱۰] [</w:t>
      </w:r>
    </w:p>
    <w:p>
      <w:pPr>
        <w:pStyle w:val="BookText"/>
      </w:pPr>
      <w:r>
        <w:rPr>
          <w:rFonts w:ascii="IRNazanin" w:hAnsi="IRNazanin" w:eastAsia="IRNazanin" w:cs="IRNazanin"/>
          <w:lang w:bidi="fa-IR"/>
          <w:color w:val="111111"/>
          <w:sz w:val="28"/>
          <w:szCs w:val="28"/>
          <w:rtl/>
        </w:rPr>
        <w:t xml:space="preserve">۷۱۱. تهران؛ ملک؛ شماره نسخه: ۵۱۱۲/۲۴</w:t>
      </w:r>
    </w:p>
    <w:p>
      <w:pPr>
        <w:pStyle w:val="BookText"/>
      </w:pPr>
      <w:r>
        <w:rPr>
          <w:rFonts w:ascii="IRNazanin" w:hAnsi="IRNazanin" w:eastAsia="IRNazanin" w:cs="IRNazanin"/>
          <w:lang w:bidi="fa-IR"/>
          <w:color w:val="111111"/>
          <w:sz w:val="28"/>
          <w:szCs w:val="28"/>
          <w:rtl/>
        </w:rPr>
        <w:t xml:space="preserve">رباعیات جمال؛ خط: شکسته نستعلیق، بی کا ،تا: قرن ۱۳[ ف: ۸ - ۲۱۰]</w:t>
      </w:r>
    </w:p>
    <w:p>
      <w:pPr>
        <w:pStyle w:val="BookText"/>
      </w:pPr>
      <w:r>
        <w:rPr>
          <w:rFonts w:ascii="IRNazanin" w:hAnsi="IRNazanin" w:eastAsia="IRNazanin" w:cs="IRNazanin"/>
          <w:lang w:bidi="fa-IR"/>
          <w:color w:val="111111"/>
          <w:sz w:val="28"/>
          <w:szCs w:val="28"/>
          <w:rtl/>
        </w:rPr>
        <w:t xml:space="preserve">۷۱۲. تهران؛ ملک؛ شماره نسخه: ۵۱۱۲/۲۵</w:t>
      </w:r>
    </w:p>
    <w:p>
      <w:pPr>
        <w:pStyle w:val="BookText"/>
      </w:pPr>
      <w:r>
        <w:rPr>
          <w:rFonts w:ascii="IRNazanin" w:hAnsi="IRNazanin" w:eastAsia="IRNazanin" w:cs="IRNazanin"/>
          <w:lang w:bidi="fa-IR"/>
          <w:color w:val="111111"/>
          <w:sz w:val="28"/>
          <w:szCs w:val="28"/>
          <w:rtl/>
        </w:rPr>
        <w:t xml:space="preserve">رباعیات بزمی است؛ خط: شکسته نستعلیق، بی کا، تا: قرن ۱۳ [ف:  ٨ - ٢١٠ ]</w:t>
      </w:r>
    </w:p>
    <w:p>
      <w:pPr>
        <w:pStyle w:val="BookText"/>
      </w:pPr>
      <w:r>
        <w:rPr>
          <w:rFonts w:ascii="IRNazanin" w:hAnsi="IRNazanin" w:eastAsia="IRNazanin" w:cs="IRNazanin"/>
          <w:lang w:bidi="fa-IR"/>
          <w:color w:val="111111"/>
          <w:sz w:val="28"/>
          <w:szCs w:val="28"/>
          <w:rtl/>
        </w:rPr>
        <w:t xml:space="preserve">۷۱۳. تهران؛ ملک؛ شماره نسخه: ۵۱۱۲/۲۶</w:t>
      </w:r>
    </w:p>
    <w:p>
      <w:pPr>
        <w:pStyle w:val="BookText"/>
      </w:pPr>
      <w:r>
        <w:rPr>
          <w:rFonts w:ascii="IRNazanin" w:hAnsi="IRNazanin" w:eastAsia="IRNazanin" w:cs="IRNazanin"/>
          <w:lang w:bidi="fa-IR"/>
          <w:color w:val="111111"/>
          <w:sz w:val="28"/>
          <w:szCs w:val="28"/>
          <w:rtl/>
        </w:rPr>
        <w:t xml:space="preserve">رباعیات اشرفی؛ خط: شکسته نستعلیق، بی کا، تا: قرن۱۳[ف: ۸ - ۲۱۰]</w:t>
      </w:r>
    </w:p>
    <w:p>
      <w:pPr>
        <w:pStyle w:val="BookText"/>
      </w:pPr>
      <w:r>
        <w:rPr>
          <w:rFonts w:ascii="IRNazanin" w:hAnsi="IRNazanin" w:eastAsia="IRNazanin" w:cs="IRNazanin"/>
          <w:lang w:bidi="fa-IR"/>
          <w:color w:val="111111"/>
          <w:sz w:val="28"/>
          <w:szCs w:val="28"/>
          <w:rtl/>
        </w:rPr>
        <w:t xml:space="preserve">۷۱۴. تهران؛ ملک؛ شماره نسخه: ۵۱۱۲/۲۷</w:t>
      </w:r>
    </w:p>
    <w:p>
      <w:pPr>
        <w:pStyle w:val="BookText"/>
      </w:pPr>
      <w:r>
        <w:rPr>
          <w:rFonts w:ascii="IRNazanin" w:hAnsi="IRNazanin" w:eastAsia="IRNazanin" w:cs="IRNazanin"/>
          <w:lang w:bidi="fa-IR"/>
          <w:color w:val="111111"/>
          <w:sz w:val="28"/>
          <w:szCs w:val="28"/>
          <w:rtl/>
        </w:rPr>
        <w:t xml:space="preserve">رباعیات خواجه علی ؛خط: شکسته نستعلیق، بی کا، تا: قرن ۱۳ [ ف: ۸ - ۲۱۰]</w:t>
      </w:r>
    </w:p>
    <w:p>
      <w:pPr>
        <w:pStyle w:val="BookText"/>
      </w:pPr>
      <w:r>
        <w:rPr>
          <w:rFonts w:ascii="IRNazanin" w:hAnsi="IRNazanin" w:eastAsia="IRNazanin" w:cs="IRNazanin"/>
          <w:lang w:bidi="fa-IR"/>
          <w:color w:val="111111"/>
          <w:sz w:val="28"/>
          <w:szCs w:val="28"/>
          <w:rtl/>
        </w:rPr>
        <w:t xml:space="preserve">۷۱۵. تهران؛ ملک؛ شماره نسخه: ۵۱۱۲/۳۰</w:t>
      </w:r>
    </w:p>
    <w:p>
      <w:pPr>
        <w:pStyle w:val="BookText"/>
      </w:pPr>
      <w:r>
        <w:rPr>
          <w:rFonts w:ascii="IRNazanin" w:hAnsi="IRNazanin" w:eastAsia="IRNazanin" w:cs="IRNazanin"/>
          <w:lang w:bidi="fa-IR"/>
          <w:color w:val="111111"/>
          <w:sz w:val="28"/>
          <w:szCs w:val="28"/>
          <w:rtl/>
        </w:rPr>
        <w:t xml:space="preserve">رباعیات عاشق؛ خط: شکسته نستعلیق، بی کا، تا: قرن ۱۳ [ف: ۸ - ۲۱۰]</w:t>
      </w:r>
    </w:p>
    <w:p>
      <w:pPr>
        <w:pStyle w:val="BookText"/>
      </w:pPr>
      <w:r>
        <w:rPr>
          <w:rFonts w:ascii="IRNazanin" w:hAnsi="IRNazanin" w:eastAsia="IRNazanin" w:cs="IRNazanin"/>
          <w:lang w:bidi="fa-IR"/>
          <w:color w:val="111111"/>
          <w:sz w:val="28"/>
          <w:szCs w:val="28"/>
          <w:rtl/>
        </w:rPr>
        <w:t xml:space="preserve">۷۱۶. تهران؛ ملک؛ شماره نسخه: ۵۱۱۲/۳۱</w:t>
      </w:r>
    </w:p>
    <w:p>
      <w:pPr>
        <w:pStyle w:val="BookText"/>
      </w:pPr>
      <w:r>
        <w:rPr>
          <w:rFonts w:ascii="IRNazanin" w:hAnsi="IRNazanin" w:eastAsia="IRNazanin" w:cs="IRNazanin"/>
          <w:lang w:bidi="fa-IR"/>
          <w:color w:val="111111"/>
          <w:sz w:val="28"/>
          <w:szCs w:val="28"/>
          <w:rtl/>
        </w:rPr>
        <w:t xml:space="preserve">رباعیات رفیق است ؛خط: شکسته نستعلیق، بی کا، تا: قرن ۱۳ [ف: 8- 210]</w:t>
      </w:r>
    </w:p>
    <w:p>
      <w:pPr>
        <w:pStyle w:val="BookText"/>
      </w:pPr>
      <w:r>
        <w:rPr>
          <w:rFonts w:ascii="IRNazanin" w:hAnsi="IRNazanin" w:eastAsia="IRNazanin" w:cs="IRNazanin"/>
          <w:lang w:bidi="fa-IR"/>
          <w:color w:val="111111"/>
          <w:sz w:val="28"/>
          <w:szCs w:val="28"/>
          <w:rtl/>
        </w:rPr>
        <w:t xml:space="preserve">۷۱۷. تهران؛ ملک؛ شماره نسخه: ۵۱۱۲/۳۲</w:t>
      </w:r>
    </w:p>
    <w:p>
      <w:pPr>
        <w:pStyle w:val="BookText"/>
      </w:pPr>
      <w:r>
        <w:rPr>
          <w:rFonts w:ascii="IRNazanin" w:hAnsi="IRNazanin" w:eastAsia="IRNazanin" w:cs="IRNazanin"/>
          <w:lang w:bidi="fa-IR"/>
          <w:color w:val="111111"/>
          <w:sz w:val="28"/>
          <w:szCs w:val="28"/>
          <w:rtl/>
        </w:rPr>
        <w:t xml:space="preserve">رباعیات سید محمد؛ خط: شکسته نستعلیق، بی کا، تا: قرن ۱۳[ف:  8- 210]</w:t>
      </w:r>
    </w:p>
    <w:p>
      <w:pPr>
        <w:pStyle w:val="BookText"/>
      </w:pPr>
      <w:r>
        <w:rPr>
          <w:rFonts w:ascii="IRNazanin" w:hAnsi="IRNazanin" w:eastAsia="IRNazanin" w:cs="IRNazanin"/>
          <w:lang w:bidi="fa-IR"/>
          <w:color w:val="111111"/>
          <w:sz w:val="28"/>
          <w:szCs w:val="28"/>
          <w:rtl/>
        </w:rPr>
        <w:t xml:space="preserve">۷۱۸. تهران؛ ملک؛ شماره نسخه: ۵۱۱۲/۳۵</w:t>
      </w:r>
    </w:p>
    <w:p>
      <w:pPr>
        <w:pStyle w:val="BookText"/>
      </w:pPr>
      <w:r>
        <w:rPr>
          <w:rFonts w:ascii="IRNazanin" w:hAnsi="IRNazanin" w:eastAsia="IRNazanin" w:cs="IRNazanin"/>
          <w:lang w:bidi="fa-IR"/>
          <w:color w:val="111111"/>
          <w:sz w:val="28"/>
          <w:szCs w:val="28"/>
          <w:rtl/>
        </w:rPr>
        <w:t xml:space="preserve">رباعیات عزالدین؛ خط: شکسته نستعلیق، بی کا، تا: قرن ۱۳ [ف: ۸  - 210]</w:t>
      </w:r>
    </w:p>
    <w:p>
      <w:pPr>
        <w:pStyle w:val="BookText"/>
      </w:pPr>
      <w:r>
        <w:rPr>
          <w:rFonts w:ascii="IRNazanin" w:hAnsi="IRNazanin" w:eastAsia="IRNazanin" w:cs="IRNazanin"/>
          <w:lang w:bidi="fa-IR"/>
          <w:color w:val="111111"/>
          <w:sz w:val="28"/>
          <w:szCs w:val="28"/>
          <w:rtl/>
        </w:rPr>
        <w:t xml:space="preserve">۷۱۹. تهران؛ ملک؛ شماره نسخه: ۵۱۱۲/۳۷</w:t>
      </w:r>
    </w:p>
    <w:p>
      <w:pPr>
        <w:pStyle w:val="BookText"/>
      </w:pPr>
      <w:r>
        <w:rPr>
          <w:rFonts w:ascii="IRNazanin" w:hAnsi="IRNazanin" w:eastAsia="IRNazanin" w:cs="IRNazanin"/>
          <w:lang w:bidi="fa-IR"/>
          <w:color w:val="111111"/>
          <w:sz w:val="28"/>
          <w:szCs w:val="28"/>
          <w:rtl/>
        </w:rPr>
        <w:t xml:space="preserve">رباعیات حاجت است ؛خط: شکسته نستعلیق، بی کا، تا: قرن ۱۳[ ف: ۸ - ۲۱۰]</w:t>
      </w:r>
    </w:p>
    <w:p>
      <w:pPr>
        <w:pStyle w:val="BookText"/>
      </w:pPr>
      <w:r>
        <w:rPr>
          <w:rFonts w:ascii="IRNazanin" w:hAnsi="IRNazanin" w:eastAsia="IRNazanin" w:cs="IRNazanin"/>
          <w:lang w:bidi="fa-IR"/>
          <w:color w:val="111111"/>
          <w:sz w:val="28"/>
          <w:szCs w:val="28"/>
          <w:rtl/>
        </w:rPr>
        <w:t xml:space="preserve">۷۲۰. تهران؛ ملک؛ شماره نسخه ۵۱۱۲/۴۰</w:t>
      </w:r>
    </w:p>
    <w:p>
      <w:pPr>
        <w:pStyle w:val="BookText"/>
      </w:pPr>
      <w:r>
        <w:rPr>
          <w:rFonts w:ascii="IRNazanin" w:hAnsi="IRNazanin" w:eastAsia="IRNazanin" w:cs="IRNazanin"/>
          <w:lang w:bidi="fa-IR"/>
          <w:color w:val="111111"/>
          <w:sz w:val="28"/>
          <w:szCs w:val="28"/>
          <w:rtl/>
        </w:rPr>
        <w:t xml:space="preserve">رباعیات هجری؛ خط: شکسته نستعلیق، بی کا، تا: قرن ۱۳[ ف: ۸ - ۲۱۰]</w:t>
      </w:r>
    </w:p>
    <w:p>
      <w:pPr>
        <w:pStyle w:val="BookText"/>
      </w:pPr>
      <w:r>
        <w:rPr>
          <w:rFonts w:ascii="IRNazanin" w:hAnsi="IRNazanin" w:eastAsia="IRNazanin" w:cs="IRNazanin"/>
          <w:lang w:bidi="fa-IR"/>
          <w:color w:val="111111"/>
          <w:sz w:val="28"/>
          <w:szCs w:val="28"/>
          <w:rtl/>
        </w:rPr>
        <w:t xml:space="preserve">۷۲۱. تهران؛ ملک؛ شماره نسخه: ۵۱۱۲/۴۲</w:t>
      </w:r>
    </w:p>
    <w:p>
      <w:pPr>
        <w:pStyle w:val="BookText"/>
      </w:pPr>
      <w:r>
        <w:rPr>
          <w:rFonts w:ascii="IRNazanin" w:hAnsi="IRNazanin" w:eastAsia="IRNazanin" w:cs="IRNazanin"/>
          <w:lang w:bidi="fa-IR"/>
          <w:color w:val="111111"/>
          <w:sz w:val="28"/>
          <w:szCs w:val="28"/>
          <w:rtl/>
        </w:rPr>
        <w:t xml:space="preserve">رباعیات خسرو است؛ خط: شکسته نستعلیق، بی کا، تا: قرن ۱۳
</w:t>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 ۸ - ۲۱۰]</w:t>
      </w:r>
    </w:p>
    <w:p>
      <w:pPr>
        <w:pStyle w:val="BookText"/>
      </w:pPr>
      <w:r>
        <w:rPr>
          <w:rFonts w:ascii="IRNazanin" w:hAnsi="IRNazanin" w:eastAsia="IRNazanin" w:cs="IRNazanin"/>
          <w:lang w:bidi="fa-IR"/>
          <w:color w:val="111111"/>
          <w:sz w:val="28"/>
          <w:szCs w:val="28"/>
          <w:rtl/>
        </w:rPr>
        <w:t xml:space="preserve">۷۲۲. تهران؛ ملک؛ شماره نسخه: ۵۱۱۲/۴۳</w:t>
      </w:r>
    </w:p>
    <w:p>
      <w:pPr>
        <w:pStyle w:val="BookText"/>
      </w:pPr>
      <w:r>
        <w:rPr>
          <w:rFonts w:ascii="IRNazanin" w:hAnsi="IRNazanin" w:eastAsia="IRNazanin" w:cs="IRNazanin"/>
          <w:lang w:bidi="fa-IR"/>
          <w:color w:val="111111"/>
          <w:sz w:val="28"/>
          <w:szCs w:val="28"/>
          <w:rtl/>
        </w:rPr>
        <w:t xml:space="preserve">رباعیات حسن قمی؛ خط: شکسته نستعلیق، بی کا، تا: قرن ۱۳ [  ف: 8- 210]</w:t>
      </w:r>
    </w:p>
    <w:p>
      <w:pPr>
        <w:pStyle w:val="BookText"/>
      </w:pPr>
      <w:r>
        <w:rPr>
          <w:rFonts w:ascii="IRNazanin" w:hAnsi="IRNazanin" w:eastAsia="IRNazanin" w:cs="IRNazanin"/>
          <w:lang w:bidi="fa-IR"/>
          <w:color w:val="111111"/>
          <w:sz w:val="28"/>
          <w:szCs w:val="28"/>
          <w:rtl/>
        </w:rPr>
        <w:t xml:space="preserve">723.تهران؛ ملک؛ شماره نسخه: ۵۱۱۲/۴۷</w:t>
      </w:r>
    </w:p>
    <w:p>
      <w:pPr>
        <w:pStyle w:val="BookText"/>
      </w:pPr>
      <w:r>
        <w:rPr>
          <w:rFonts w:ascii="IRNazanin" w:hAnsi="IRNazanin" w:eastAsia="IRNazanin" w:cs="IRNazanin"/>
          <w:lang w:bidi="fa-IR"/>
          <w:color w:val="111111"/>
          <w:sz w:val="28"/>
          <w:szCs w:val="28"/>
          <w:rtl/>
        </w:rPr>
        <w:t xml:space="preserve">رباعیات صالح؛ خط: شکسته نستعلیق، بی کا، تا: قرن ۱۳ [ ف ۸ - 210]</w:t>
      </w:r>
    </w:p>
    <w:p>
      <w:pPr>
        <w:pStyle w:val="BookText"/>
      </w:pPr>
      <w:r>
        <w:rPr>
          <w:rFonts w:ascii="IRNazanin" w:hAnsi="IRNazanin" w:eastAsia="IRNazanin" w:cs="IRNazanin"/>
          <w:lang w:bidi="fa-IR"/>
          <w:color w:val="111111"/>
          <w:sz w:val="28"/>
          <w:szCs w:val="28"/>
          <w:rtl/>
        </w:rPr>
        <w:t xml:space="preserve">۷۲۴. تهران؛ دانشگاه؛ شماره نسخه: ۲۷۷۶/۱</w:t>
      </w:r>
    </w:p>
    <w:p>
      <w:pPr>
        <w:pStyle w:val="BookText"/>
      </w:pPr>
      <w:r>
        <w:rPr>
          <w:rFonts w:ascii="IRNazanin" w:hAnsi="IRNazanin" w:eastAsia="IRNazanin" w:cs="IRNazanin"/>
          <w:lang w:bidi="fa-IR"/>
          <w:color w:val="111111"/>
          <w:sz w:val="28"/>
          <w:szCs w:val="28"/>
          <w:rtl/>
        </w:rPr>
        <w:t xml:space="preserve">آغاز: در مدح مرحوم نصیر الدوله در وزن و قافیه مطابق قصـیده خود ایشان که در مدح مرحوم میرزا آقاخان صدر اعظم گفته اند و یزدانی تخلص دارند چنانکه در گنج شایگان مرقوم و مطلع آن قصیده  این است: از رای تو ای صدر فلک قدر ملک خو </w:t>
      </w:r>
      <w:r>
        <w:rPr>
          <w:rFonts w:ascii="IRNazanin" w:hAnsi="IRNazanin" w:eastAsia="IRNazanin" w:cs="IRNazanin"/>
          <w:lang w:bidi="fa-IR"/>
          <w:color w:val="111111"/>
          <w:sz w:val="28"/>
          <w:szCs w:val="28"/>
          <w:b w:val="1"/>
          <w:bCs w:val="1"/>
          <w:i w:val="1"/>
          <w:iCs w:val="1"/>
          <w:rtl/>
        </w:rPr>
        <w:t xml:space="preserve">شد ملک شه آراسته چون روضه مینو. و عمده غرض در این قصـیده تظلم و دادخواهی از غم اندیشه جفا پیشه ستم تیشه حاجی علی نقی بوده است بسمله. ای ماه من ای مهر و مهت همچو دو هـندو *** ای شاه من ای چون دو غلامت کی و منکو؛ انجام: طوبی بدعادست بر آورد و همان به</w:t>
      </w:r>
      <w:r>
        <w:rPr>
          <w:rFonts w:ascii="IRNazanin" w:hAnsi="IRNazanin" w:eastAsia="IRNazanin" w:cs="IRNazanin"/>
          <w:lang w:bidi="fa-IR"/>
          <w:color w:val="111111"/>
          <w:sz w:val="28"/>
          <w:szCs w:val="28"/>
          <w:rtl/>
        </w:rPr>
        <w:t xml:space="preserve"> کز لطف خطاهاش کنی یکسره معفو / برمسند عزت بودت جای هماره*** هان تا اثری هست از این طارم نه تو</w:t>
      </w:r>
    </w:p>
    <w:p>
      <w:pPr>
        <w:pStyle w:val="BookText"/>
      </w:pPr>
      <w:r>
        <w:rPr>
          <w:rFonts w:ascii="IRNazanin" w:hAnsi="IRNazanin" w:eastAsia="IRNazanin" w:cs="IRNazanin"/>
          <w:lang w:bidi="fa-IR"/>
          <w:color w:val="111111"/>
          <w:sz w:val="28"/>
          <w:szCs w:val="28"/>
          <w:rtl/>
        </w:rPr>
        <w:t xml:space="preserve">قصیده طوبی در پاسخ قصیده نصیر الدوله در ذریعه از چهار شـاعر طوبی نام یاد شده است؛ خط: نستعلیق، بی کا، تا: قرن ۱۳؛ کاغذ: فرنگی ،جلد: مقوا، ۱۰ص (۱-۱۰) [ف : ۱۰ - ۱۶۳۰]</w:t>
      </w:r>
    </w:p>
    <w:p>
      <w:pPr>
        <w:pStyle w:val="BookText"/>
      </w:pPr>
      <w:r>
        <w:rPr>
          <w:rFonts w:ascii="IRNazanin" w:hAnsi="IRNazanin" w:eastAsia="IRNazanin" w:cs="IRNazanin"/>
          <w:lang w:bidi="fa-IR"/>
          <w:color w:val="111111"/>
          <w:sz w:val="28"/>
          <w:szCs w:val="28"/>
          <w:rtl/>
        </w:rPr>
        <w:t xml:space="preserve">۷۲۵. تهران؛ مجلس؛ شماره نسخه: ۱۸۳۵۲</w:t>
      </w:r>
    </w:p>
    <w:p>
      <w:pPr>
        <w:pStyle w:val="BookText"/>
      </w:pPr>
      <w:r>
        <w:rPr>
          <w:rFonts w:ascii="IRNazanin" w:hAnsi="IRNazanin" w:eastAsia="IRNazanin" w:cs="IRNazanin"/>
          <w:lang w:bidi="fa-IR"/>
          <w:color w:val="111111"/>
          <w:sz w:val="28"/>
          <w:szCs w:val="28"/>
          <w:rtl/>
        </w:rPr>
        <w:t xml:space="preserve">مقتل و نوحه است؛ بی کا، تا: قرن ۱۳ [د.ث. مجلس ]</w:t>
      </w:r>
    </w:p>
    <w:p>
      <w:pPr>
        <w:pStyle w:val="BookText"/>
      </w:pPr>
      <w:r>
        <w:rPr>
          <w:rFonts w:ascii="IRNazanin" w:hAnsi="IRNazanin" w:eastAsia="IRNazanin" w:cs="IRNazanin"/>
          <w:lang w:bidi="fa-IR"/>
          <w:color w:val="111111"/>
          <w:sz w:val="28"/>
          <w:szCs w:val="28"/>
          <w:rtl/>
        </w:rPr>
        <w:t xml:space="preserve">۷۲۶. تهران؛ مجلس؛ شماره نسخه: ۱۰۴۷۵/۳</w:t>
      </w:r>
    </w:p>
    <w:p>
      <w:pPr>
        <w:pStyle w:val="BookText"/>
      </w:pPr>
      <w:r>
        <w:rPr>
          <w:rFonts w:ascii="IRNazanin" w:hAnsi="IRNazanin" w:eastAsia="IRNazanin" w:cs="IRNazanin"/>
          <w:lang w:bidi="fa-IR"/>
          <w:color w:val="111111"/>
          <w:sz w:val="28"/>
          <w:szCs w:val="28"/>
          <w:rtl/>
        </w:rPr>
        <w:t xml:space="preserve">از مولوی، نوری (شاید ملا علی) ،جامی ،نظیری، خط:نستعلیق، بی کا، تا :قرن ۱۳ [مختصر: ف: - ۶۶]</w:t>
      </w:r>
    </w:p>
    <w:p>
      <w:pPr>
        <w:pStyle w:val="BookText"/>
      </w:pPr>
      <w:r>
        <w:rPr>
          <w:rFonts w:ascii="IRNazanin" w:hAnsi="IRNazanin" w:eastAsia="IRNazanin" w:cs="IRNazanin"/>
          <w:lang w:bidi="fa-IR"/>
          <w:color w:val="111111"/>
          <w:sz w:val="28"/>
          <w:szCs w:val="28"/>
          <w:rtl/>
        </w:rPr>
        <w:t xml:space="preserve">۷۲۷. تهران؛ مجلس؛ شماره نسخه: ۹۵۰۶</w:t>
      </w:r>
    </w:p>
    <w:p>
      <w:pPr>
        <w:pStyle w:val="BookText"/>
      </w:pPr>
      <w:r>
        <w:rPr>
          <w:rFonts w:ascii="IRNazanin" w:hAnsi="IRNazanin" w:eastAsia="IRNazanin" w:cs="IRNazanin"/>
          <w:lang w:bidi="fa-IR"/>
          <w:color w:val="111111"/>
          <w:sz w:val="28"/>
          <w:szCs w:val="28"/>
          <w:rtl/>
        </w:rPr>
        <w:t xml:space="preserve">آغاز: گفت بیرونست از حد شمار*** کار من اینست در لیل و نهار ؛انجام: بنشینم و پاکشم بدامان*** تار کار وفا شود بسامان</w:t>
      </w:r>
    </w:p>
    <w:p>
      <w:pPr>
        <w:pStyle w:val="BookText"/>
      </w:pPr>
      <w:r>
        <w:rPr>
          <w:rFonts w:ascii="IRNazanin" w:hAnsi="IRNazanin" w:eastAsia="IRNazanin" w:cs="IRNazanin"/>
          <w:lang w:bidi="fa-IR"/>
          <w:color w:val="111111"/>
          <w:sz w:val="28"/>
          <w:szCs w:val="28"/>
          <w:rtl/>
        </w:rPr>
        <w:t xml:space="preserve">اشعاری از: سعدی، عطار، هاتف ،کاشی، حافظ، عاشق، جامی، مشتـاق، رفیق و نظیری؛ خط: نستعلیق شکسته، بی کا، تا: قرن ۱۳؛ افتادگی: آغاز؛ رکابه دار، در آخر نسخه یادداشتی به تاریخ ۱۲۰۹؛ جـلد: پارچه آبی، ۸۴گ، سطور چلیپا، اندازه: ۶/۵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۳۰ - 179]</w:t>
      </w:r>
    </w:p>
    <w:p>
      <w:pPr>
        <w:pStyle w:val="BookText"/>
      </w:pPr>
      <w:r>
        <w:rPr>
          <w:rFonts w:ascii="IRNazanin" w:hAnsi="IRNazanin" w:eastAsia="IRNazanin" w:cs="IRNazanin"/>
          <w:lang w:bidi="fa-IR"/>
          <w:color w:val="111111"/>
          <w:sz w:val="28"/>
          <w:szCs w:val="28"/>
          <w:rtl/>
        </w:rPr>
        <w:t xml:space="preserve">۷۲۸. تهران؛ مجلس؛ شماره نسخه: ۹۶/۲-فیروز</w:t>
      </w:r>
    </w:p>
    <w:p>
      <w:pPr>
        <w:pStyle w:val="BookText"/>
      </w:pPr>
      <w:r>
        <w:rPr>
          <w:rFonts w:ascii="IRNazanin" w:hAnsi="IRNazanin" w:eastAsia="IRNazanin" w:cs="IRNazanin"/>
          <w:lang w:bidi="fa-IR"/>
          <w:color w:val="111111"/>
          <w:sz w:val="28"/>
          <w:szCs w:val="28"/>
          <w:rtl/>
        </w:rPr>
        <w:t xml:space="preserve">شامل: مثنوی از طوفان هزار جریبی (ص ۲۲۹-۲۳۰)، آغاز: موجود «بهار آمد و گل ز گلبن دمید *** دگر تا به بلبل چه خواهد رسید» پایان: «چه طوفان فرو ریخت بال و پرم *** پریدم ز بس در هوای تو من مثنوی قاصد صبا از طوفان (ص232-۲۳۷) .آغاز: «چند از این طول سخن در مثنوی *** گوش کن طوفان کلام مولوی/ شرح این هجران و این خون جگر *** این زمان بگذار تا وقت دگر»، مثنوی صفات العاشقين هلالى (ص ۲۳۷ -۲۴۰) ،آغاز: «فلک یک قطره از دریای عشق است ***جهان یک خیمه از صحرای عشق است»، قطعه در حكایت اصمعی (ص ۲۴۱ -۲۴۲) دارای ۲۲ بیت، آغاز: «عارف اسرار شیخ المعی *** سالک راه طریقت اصمعی» ،قطعه ای چند از چند مثنوی در عشق (یوسف و زلیخا، لیلی و مجنون و شیرین و فرهاد) از نظامی و اهلی شیرازی (۲۴۲-۲۵۲)، پیر و جوان میرزا نصیر اصفهانی (۲۵۲ -۲۶۰)، مثنوی آذر بیگدلی (۲۶۰-۲۷۱)، قطعه ها و غزلهایی از سعدی ،نظامی، امیر خسرو دهلوی، عاشق، محتشم، ازل، احمد میرزا نیازی، مانی نقاش، ملا حسین رفیق ،هلالی، بابا طاهر (رباعیات ص ۳۱۷-۳۲۶ )،فضولی ،ثنائی ،خیام، آقا حسین مشهور تخلص، آقا حسین الهام، میرزا جعفر راهب، میرزا حیران، فيروز، غیرت، مشتاق ،صافی، خیام (پراکنده) فضل علی بیک، طوفان، هاتف (۲۷۲-۳۳۶)؛ خط: شکسته نستعلیق، کا: میرزا مهدی فراهانی، تا: قرن ۱۳؛ افتادگی: آغاز؛ کاغذ: فرنگی آهار مهره، جلد: روغنی (بیرون و اندرون)، ۱۰۷ ص (۲۲۹-۳۳۶)، قطع : خشتی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۲۱ - ۲۳۱]</w:t>
      </w:r>
    </w:p>
    <w:p>
      <w:pPr>
        <w:pStyle w:val="BookText"/>
      </w:pPr>
      <w:r>
        <w:rPr>
          <w:rFonts w:ascii="IRNazanin" w:hAnsi="IRNazanin" w:eastAsia="IRNazanin" w:cs="IRNazanin"/>
          <w:lang w:bidi="fa-IR"/>
          <w:color w:val="111111"/>
          <w:sz w:val="28"/>
          <w:szCs w:val="28"/>
          <w:rtl/>
        </w:rPr>
        <w:t xml:space="preserve">۷۲۹. تهران؛ مجلس؛ شماره نسخه: ۱۳۶۹۵</w:t>
      </w:r>
    </w:p>
    <w:p>
      <w:pPr>
        <w:pStyle w:val="BookText"/>
      </w:pPr>
      <w:r>
        <w:rPr>
          <w:rFonts w:ascii="IRNazanin" w:hAnsi="IRNazanin" w:eastAsia="IRNazanin" w:cs="IRNazanin"/>
          <w:lang w:bidi="fa-IR"/>
          <w:color w:val="111111"/>
          <w:sz w:val="28"/>
          <w:szCs w:val="28"/>
          <w:rtl/>
        </w:rPr>
        <w:t xml:space="preserve">آغاز: آغاز غزلیات و آغاز جنگ: ترا گر دوستی با ما هیمن بود *** وفاى ما عهد ما همان است / زهی اینک وفای اوست پنهان *** که آن سنگی دل و نامهربانست</w:t>
      </w:r>
    </w:p>
    <w:p>
      <w:pPr>
        <w:pStyle w:val="BookText"/>
      </w:pPr>
      <w:r>
        <w:rPr>
          <w:rFonts w:ascii="IRNazanin" w:hAnsi="IRNazanin" w:eastAsia="IRNazanin" w:cs="IRNazanin"/>
          <w:lang w:bidi="fa-IR"/>
          <w:color w:val="111111"/>
          <w:sz w:val="28"/>
          <w:szCs w:val="28"/>
          <w:rtl/>
        </w:rPr>
        <w:t xml:space="preserve">غزلیات و اشعاری از شاعران: طوفان، محتشم با امضاء «غفرله»، رفیق با امضاء «غفرله»، میرزا صادق نامی، مکتبی، حاجی لطفعلی بیگ آذر ،سعدی، حافظ و جامی (۱ر - ۹۰ر ) و ( ۱۳۰پ-۱۵۴پ)؛ خط: شکسته نستعلیق، بی کا، تا: قرن ۱۳؛ صفحات مجدول مذهب محرر، خط: چلیپایی؛ جلد: تیماج سرخ مجدول، ۱۵۵گ، ۱۰ سطر، قطع: بیاضی، اندازه: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۱۴/۵سم [ف: ۳۷ - ۲۱۹]</w:t>
      </w:r>
    </w:p>
    <w:p>
      <w:pPr>
        <w:pStyle w:val="BookText"/>
      </w:pPr>
      <w:r>
        <w:rPr>
          <w:rFonts w:ascii="IRNazanin" w:hAnsi="IRNazanin" w:eastAsia="IRNazanin" w:cs="IRNazanin"/>
          <w:lang w:bidi="fa-IR"/>
          <w:color w:val="111111"/>
          <w:sz w:val="28"/>
          <w:szCs w:val="28"/>
          <w:rtl/>
        </w:rPr>
        <w:t xml:space="preserve">۷۳۰. تهران؛ مجلس؛ شماره نسخه: ۱۳۴۲۷</w:t>
      </w:r>
    </w:p>
    <w:p>
      <w:pPr>
        <w:pStyle w:val="BookText"/>
      </w:pPr>
      <w:r>
        <w:rPr>
          <w:rFonts w:ascii="IRNazanin" w:hAnsi="IRNazanin" w:eastAsia="IRNazanin" w:cs="IRNazanin"/>
          <w:lang w:bidi="fa-IR"/>
          <w:color w:val="111111"/>
          <w:sz w:val="28"/>
          <w:szCs w:val="28"/>
          <w:rtl/>
        </w:rPr>
        <w:t xml:space="preserve">آغاز: قصيده صباحی در منقبت جناب پیغمبر (صلّی اللَّهِ علیه وَ آلِهِ وَ سَلَّمَ ): شباهنگام چون بنهفت رخ این لاله حمرا *** شگفت از چشم انجم صد هزاران نرگس شهلا؛ انجام: نخست آغاز هر دفتر ستایش پاک یزدان را *** به هیچ و پوچ هستی داد این ...امکان را / همی از فر ... اسب ارواح مکرم زد *** رقم منشور سالاری این ... انسان را</w:t>
      </w:r>
    </w:p>
    <w:p>
      <w:pPr>
        <w:pStyle w:val="BookText"/>
      </w:pPr>
      <w:r>
        <w:rPr>
          <w:rFonts w:ascii="IRNazanin" w:hAnsi="IRNazanin" w:eastAsia="IRNazanin" w:cs="IRNazanin"/>
          <w:lang w:bidi="fa-IR"/>
          <w:color w:val="111111"/>
          <w:sz w:val="28"/>
          <w:szCs w:val="28"/>
          <w:rtl/>
        </w:rPr>
        <w:t xml:space="preserve">اشعاری از: حاج سلیمان صباحی، قصایدی از فتحعلی خان صبا همراه با منظومه تحفة العراقین وی ،سنایی خاقانی، منتخباتی از گنجینه معتمدالدوله نشاط اصفهانی و قصایدی از وی، غزلی از سلطان یوسف میرزا فرزند شاهزاده منوچهر؛ خط: نستعلیق چلیپا، بی کا، تا: قرن ۱۳؛ مجدول مذهب مرصع محرر، در آخر نسخه غزلی به تاریخ ۷ شوال ۱۲۸۴ ؛جلد: تیماج دورو ،زیتونی، ۲۱۵گ ، مختلف السطر، اندازه: ۱۷/۵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۲۹سم [ف: ۳۶ - ۳۶۱]  731.تهران؛ مجلس؛ شماره نسخه: ۹۳۳۵/۱</w:t>
      </w:r>
    </w:p>
    <w:p>
      <w:pPr>
        <w:pStyle w:val="BookText"/>
      </w:pPr>
      <w:r>
        <w:rPr>
          <w:rFonts w:ascii="IRNazanin" w:hAnsi="IRNazanin" w:eastAsia="IRNazanin" w:cs="IRNazanin"/>
          <w:lang w:bidi="fa-IR"/>
          <w:color w:val="111111"/>
          <w:sz w:val="28"/>
          <w:szCs w:val="28"/>
          <w:rtl/>
        </w:rPr>
        <w:t xml:space="preserve">مشتمل بر اشعاری از حافظ ،سعدی ،جامی، ضیاء، رفيق، درویش مجید ،مولانا، میرزا صادق تفرشی ،صافی، عاشق اصفهانی و غیره؛ خط: نستعلیق، بی کا، تا: قرن ۱۳؛ ۱۹۹ ص (۱-۴۸) و (۷۸-۲۲۹)  [ مختصر: ف: ۲۳۴]</w:t>
      </w:r>
    </w:p>
    <w:p>
      <w:pPr>
        <w:pStyle w:val="BookText"/>
      </w:pPr>
      <w:r>
        <w:rPr>
          <w:rFonts w:ascii="IRNazanin" w:hAnsi="IRNazanin" w:eastAsia="IRNazanin" w:cs="IRNazanin"/>
          <w:lang w:bidi="fa-IR"/>
          <w:color w:val="111111"/>
          <w:sz w:val="28"/>
          <w:szCs w:val="28"/>
          <w:rtl/>
        </w:rPr>
        <w:t xml:space="preserve">۷۳۲. تهران؛ مجلس؛ شماره نسخه: ۱۴۸۹۱/۳
</w: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 نستعليق تحریری، بی کا، تا: قرن ۱۳؛ ۱۷گ (108پ- 125ر) [ مختصر: ف: - ۲۳۴]</w:t>
      </w:r>
    </w:p>
    <w:p>
      <w:pPr>
        <w:pStyle w:val="BookText"/>
      </w:pPr>
      <w:r>
        <w:rPr>
          <w:rFonts w:ascii="IRNazanin" w:hAnsi="IRNazanin" w:eastAsia="IRNazanin" w:cs="IRNazanin"/>
          <w:lang w:bidi="fa-IR"/>
          <w:color w:val="111111"/>
          <w:sz w:val="28"/>
          <w:szCs w:val="28"/>
          <w:rtl/>
        </w:rPr>
        <w:t xml:space="preserve">۷۳۳. تهران؛ مجلس؛ شماره نسخه: ۱۴۹۹۴</w:t>
      </w:r>
    </w:p>
    <w:p>
      <w:pPr>
        <w:pStyle w:val="BookText"/>
      </w:pPr>
      <w:r>
        <w:rPr>
          <w:rFonts w:ascii="IRNazanin" w:hAnsi="IRNazanin" w:eastAsia="IRNazanin" w:cs="IRNazanin"/>
          <w:lang w:bidi="fa-IR"/>
          <w:color w:val="111111"/>
          <w:sz w:val="28"/>
          <w:szCs w:val="28"/>
          <w:rtl/>
        </w:rPr>
        <w:t xml:space="preserve">خط: نستعلیق، بی کا، تا: قرن ۱۳ [مختصر: ف: - ۲۳۴]</w:t>
      </w:r>
    </w:p>
    <w:p>
      <w:pPr>
        <w:pStyle w:val="BookText"/>
      </w:pPr>
      <w:r>
        <w:rPr>
          <w:rFonts w:ascii="IRNazanin" w:hAnsi="IRNazanin" w:eastAsia="IRNazanin" w:cs="IRNazanin"/>
          <w:lang w:bidi="fa-IR"/>
          <w:color w:val="111111"/>
          <w:sz w:val="28"/>
          <w:szCs w:val="28"/>
          <w:rtl/>
        </w:rPr>
        <w:t xml:space="preserve">۷۳۴. تهران؛ مجلس؛ شماره نسخه: ۸۱۷۷</w:t>
      </w:r>
    </w:p>
    <w:p>
      <w:pPr>
        <w:pStyle w:val="BookText"/>
      </w:pPr>
      <w:r>
        <w:rPr>
          <w:rFonts w:ascii="IRNazanin" w:hAnsi="IRNazanin" w:eastAsia="IRNazanin" w:cs="IRNazanin"/>
          <w:lang w:bidi="fa-IR"/>
          <w:color w:val="111111"/>
          <w:sz w:val="28"/>
          <w:szCs w:val="28"/>
          <w:rtl/>
        </w:rPr>
        <w:t xml:space="preserve">سفینه ای است که اگر بتوانیم آن را دسته بندی کنیم در سه قـسم تدوین شده :الف: غزلیات ،ب: مخمس، مسدس و غیره،ج- رباعیات و مفردات. احتمالاً از «دبیری» تخلصی که شعرش در مدخل ۷۷ معرفی شده است. این سفینه باید در مناطق ماوراء الـنهر مثل بخارا یا حوالی آن تدوین شده باشد و برخی شاعران آن را اگر در منابع دیگر یافت نشود، باید به این مناطق متعلق دانست.</w:t>
      </w:r>
    </w:p>
    <w:p>
      <w:pPr>
        <w:pStyle w:val="BookText"/>
      </w:pPr>
      <w:r>
        <w:rPr>
          <w:rFonts w:ascii="IRNazanin" w:hAnsi="IRNazanin" w:eastAsia="IRNazanin" w:cs="IRNazanin"/>
          <w:lang w:bidi="fa-IR"/>
          <w:color w:val="111111"/>
          <w:sz w:val="28"/>
          <w:szCs w:val="28"/>
          <w:rtl/>
        </w:rPr>
        <w:t xml:space="preserve">نوع خط و کتاب آرایی نسخه نیز این مدعا را ثابت می کند. زبان غالب فارسی و سپس ترکی خاص ماوراء النهر (جغتایی) اسـت؛ خط: نستعلیق تحریری، بی کا، تا: قرن ۱۳؛ فهرستی تفصیلی در هجده برگ به آغاز نسخه روی کاغذی متفاوت الصاق شده که البته خط و آرایش آن شبیه اصل نسخه است ،مجدول، اوراق دارای رکابه، سرلوح هایی به سبک همان مناطق (که بسیار ساده و بدون قرینه های دقیق است)، روی برگ عنوان نام «ارشادی» با خودکار هست که شاید هدایت ارشادی، کتابفروش سالهای اخیر در تهران باشد، در محل اضافه برگ ۱۰۲ر، تاریخ جلوس جنابخانی با ماده تاریخ «نصر من الله و فتح قریب»، ۱۳۰۳ آمده است، یادداشت غلام رضا میر آخور، صاحب آن مهر بزرگ هم در برگ ۲۰۳ جداگانه هست به تاریخ ۱۳۲۷؛ کاغذ: بسیار نازک کدر، جلد: مقوایی با روکش تیماج، ۲۳۴گ، ۱۱ سطر (راسته) و۱۰ سطر (چلیپا) ،اندازه: ۱۲/۹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۱۹/۸سم [ف: ۲۷/۱ - ۴۰۲]</w:t>
      </w:r>
    </w:p>
    <w:p>
      <w:pPr>
        <w:pStyle w:val="BookText"/>
      </w:pPr>
      <w:r>
        <w:rPr>
          <w:rFonts w:ascii="IRNazanin" w:hAnsi="IRNazanin" w:eastAsia="IRNazanin" w:cs="IRNazanin"/>
          <w:lang w:bidi="fa-IR"/>
          <w:color w:val="111111"/>
          <w:sz w:val="28"/>
          <w:szCs w:val="28"/>
          <w:rtl/>
        </w:rPr>
        <w:t xml:space="preserve">۷۳۵. تهران؛ مجلس؛ شماره نسخه: ۱۵۸۶۲</w:t>
      </w:r>
    </w:p>
    <w:p>
      <w:pPr>
        <w:pStyle w:val="BookText"/>
      </w:pPr>
      <w:r>
        <w:rPr>
          <w:rFonts w:ascii="IRNazanin" w:hAnsi="IRNazanin" w:eastAsia="IRNazanin" w:cs="IRNazanin"/>
          <w:lang w:bidi="fa-IR"/>
          <w:color w:val="111111"/>
          <w:sz w:val="28"/>
          <w:szCs w:val="28"/>
          <w:rtl/>
        </w:rPr>
        <w:t xml:space="preserve">آغاز: شبلی آن پیر طریق ارشاد *** رفت روزی از قضا در بغداد.</w:t>
      </w:r>
    </w:p>
    <w:p>
      <w:pPr>
        <w:pStyle w:val="BookText"/>
      </w:pPr>
      <w:r>
        <w:rPr>
          <w:rFonts w:ascii="IRNazanin" w:hAnsi="IRNazanin" w:eastAsia="IRNazanin" w:cs="IRNazanin"/>
          <w:lang w:bidi="fa-IR"/>
          <w:color w:val="111111"/>
          <w:sz w:val="28"/>
          <w:szCs w:val="28"/>
          <w:rtl/>
        </w:rPr>
        <w:t xml:space="preserve">ترکیب بند در اقتفای ترکیب بند محتشم در مرثیه، از حاج علی فانوس شیرای متخلص به مجنون در شعبان ۱۲۶۳هـ باز این غـریو چیست که در خلق عالمست *** باز این فغان ز چیست که گردون پر از غمست؛ انجام: مجنون خموش باش که دست عقاب حق *** از بهر انتقام شد از آستین برون</w:t>
      </w:r>
    </w:p>
    <w:p>
      <w:pPr>
        <w:pStyle w:val="BookText"/>
      </w:pPr>
      <w:r>
        <w:rPr>
          <w:rFonts w:ascii="IRNazanin" w:hAnsi="IRNazanin" w:eastAsia="IRNazanin" w:cs="IRNazanin"/>
          <w:lang w:bidi="fa-IR"/>
          <w:color w:val="111111"/>
          <w:sz w:val="28"/>
          <w:szCs w:val="28"/>
          <w:rtl/>
        </w:rPr>
        <w:t xml:space="preserve">بیاضی است شامل اشعاری از سعدی ،جامی ،حافظ،طبیب، واله ،محزون ،محتشم، سید محمود در ۱۲۹۱ق و مجنون، مثنوی حکایت شبلی( در اینجا به عنوان بیمارو طبیب) از سامی؛ خـط: نستعليق ،كا:كاتبان مختلف از جمله: سید محمود در ۱۲۹۱ق و مجنون شیرازی در شعبان ۱۲۶۳ق، تا: قرن ۱۳؛ مجدول دوستونی؛ جلد: تیماج مشکی ،۹۵گ، سطور چلیپایی، اندازه: 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ف: ۴۴ - ۱۰۳]</w:t>
      </w:r>
    </w:p>
    <w:p>
      <w:pPr>
        <w:pStyle w:val="BookText"/>
      </w:pPr>
      <w:r>
        <w:rPr>
          <w:rFonts w:ascii="IRNazanin" w:hAnsi="IRNazanin" w:eastAsia="IRNazanin" w:cs="IRNazanin"/>
          <w:lang w:bidi="fa-IR"/>
          <w:color w:val="111111"/>
          <w:sz w:val="28"/>
          <w:szCs w:val="28"/>
          <w:rtl/>
        </w:rPr>
        <w:t xml:space="preserve">۷۳۶. تهران؛ مجلس؛ شماره نسخه: ۱۱۵۹۱</w:t>
      </w:r>
    </w:p>
    <w:p>
      <w:pPr>
        <w:pStyle w:val="BookText"/>
      </w:pPr>
      <w:r>
        <w:rPr>
          <w:rFonts w:ascii="IRNazanin" w:hAnsi="IRNazanin" w:eastAsia="IRNazanin" w:cs="IRNazanin"/>
          <w:lang w:bidi="fa-IR"/>
          <w:color w:val="111111"/>
          <w:sz w:val="28"/>
          <w:szCs w:val="28"/>
          <w:rtl/>
        </w:rPr>
        <w:t xml:space="preserve">آغاز: شادی هر دو جهان نیست جز این پیش طراز *** که شـبی روز کند در غم جان پرور تو</w:t>
      </w:r>
    </w:p>
    <w:p>
      <w:pPr>
        <w:pStyle w:val="BookText"/>
      </w:pPr>
      <w:r>
        <w:rPr>
          <w:rFonts w:ascii="IRNazanin" w:hAnsi="IRNazanin" w:eastAsia="IRNazanin" w:cs="IRNazanin"/>
          <w:lang w:bidi="fa-IR"/>
          <w:color w:val="111111"/>
          <w:sz w:val="28"/>
          <w:szCs w:val="28"/>
          <w:rtl/>
        </w:rPr>
        <w:t xml:space="preserve">جامع ظاهرا از شاهزادگان قجری است. اشعاری از طراز، شهـاب الدین، شاهزاده غلامحسین میرزا قاجار، مجموعه اشعار پراکنده و متفرق از اشعار شاعران پیشین که توسط عده ای از شاهزادگان و دربارنشینان جوان و البته نه چندان خوش خط و بدون ذکر نام کتابت شده؛ خط: نستعلیق نازیبا ،کا: افراد مختلف، تا: قرن ۱۳ ؛جلد: تيماج قهوه ای، ۳۵گ، مختلف السطر، اندازه: ۱۴</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۲۲سم  [ ف: ۳۳/۲ - ۱۸۹]</w:t>
      </w:r>
    </w:p>
    <w:p>
      <w:pPr>
        <w:pStyle w:val="BookText"/>
      </w:pPr>
      <w:r>
        <w:rPr>
          <w:rFonts w:ascii="IRNazanin" w:hAnsi="IRNazanin" w:eastAsia="IRNazanin" w:cs="IRNazanin"/>
          <w:lang w:bidi="fa-IR"/>
          <w:color w:val="111111"/>
          <w:sz w:val="28"/>
          <w:szCs w:val="28"/>
          <w:rtl/>
        </w:rPr>
        <w:t xml:space="preserve">۷۳۷. تهران؛ مجلس شماره نسخه: ۴۴</w:t>
      </w:r>
    </w:p>
    <w:p>
      <w:pPr>
        <w:pStyle w:val="BookText"/>
      </w:pPr>
      <w:r>
        <w:rPr>
          <w:rFonts w:ascii="IRNazanin" w:hAnsi="IRNazanin" w:eastAsia="IRNazanin" w:cs="IRNazanin"/>
          <w:lang w:bidi="fa-IR"/>
          <w:color w:val="111111"/>
          <w:sz w:val="28"/>
          <w:szCs w:val="28"/>
          <w:rtl/>
        </w:rPr>
        <w:t xml:space="preserve">از جوهری در وصف شراب، فخرالدین منوچهر در وصف لاخشه، جمال الدین عبدالرزاق و خواجوی کرمانی در وصف حمام، امامی هروی و جمال الدین سمرقندی و شاعری در رد العجز على الصدر و سید ذوالفقار شروانی در طرد و عکس و بدر جاجرمی و قصیده متشابک موشح مصرع و قصیده و متشابك مصرع مسجع، قصاید دیگر که سه گونه می توان خواند و تقسيمات عبدالواسع جبلی صاین الدین شیرازی، عميد الدين ،لومکی ،عنصری ،فرخی ،معزی ،عسجدی، فلکی شروانی، ادیب طبری ،فرخاری، نصیر ادیب، سیفی نیشابوری، عزالدین مستملی، كمال اسمعیل، سعید هروی، شرف الدین فضل الله قزوینی در ستایش شمس الدين (نزهة الابصار في معرفة بحور الاشعار - محذوف الف)، ركن الدين قمی، ابن خطیب فوشنک خاجابی(؟)،پسر بدر جاجرمی، سوگند نامه های کمال اسمعیل سپاهانی،نجیب الدین گلپایگانی، فلکی شروانی، مجیر بیلقانی، ادیب صابر، سوزنی سمرقندی، بدیعی سیفی «درهزل»، شعرهای صدرالدین على فخر شوشتری، شمس الدین شرفشاه، نجم الدین سمنانی، نجیب گلپایگانی، رفیع الدین لبنانی، منشوری، منصور، منطقی، غضایری، یشکر ،مرغزی ،بدیهی، صدر الدین همدانی، ناصر جعفری ،عبهری، برهانی قادری ،رافعی، ابوالمعالی رازی، جمال الدین اشهری، عمعق بخاری، حکیم ولوالجی (نسخه ولولی) شمالی دهستانی، رضی الدین بابای قزوینی، حسن متکلم، سراج الدین قمری، منوچهری، امامی هروی ،عمادی، مسعود سعد سلمانی ،نظامی ،ارزقی ،اثنراومانی، حکیم طرطری، سعید هروی، خواجه نصیرالدین طوسی، بهاء الدين خجندی، رکن الدین محمود انصاری، عماد الدین حروفی، محمود منور کرمانی؛ خط: نستعلیق، بی کا، تا: قرن ۱۲ و ۱۳؛ افتادگی: انجام؛ در ص ع یادداشت میرزا حسین خان اصفهانی در ۱۳۳۷؛ کاغذ: سفید، جلد: تیماج سرخ و مقوایی، ۲۲۶گ، ۱۵ سطر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[سنا: ف: ۱- ۲۴]</w:t>
      </w:r>
    </w:p>
    <w:p>
      <w:pPr>
        <w:pStyle w:val="BookText"/>
      </w:pPr>
      <w:r>
        <w:rPr>
          <w:rFonts w:ascii="Times New Roman" w:hAnsi="Times New Roman" w:eastAsia="Times New Roman" w:cs="Times New Roman"/>
          <w:lang w:val="en-US" w:bidi="en-US"/>
          <w:color w:val="111111"/>
          <w:sz w:val="28"/>
          <w:szCs w:val="28"/>
          <w:rtl/>
        </w:rPr>
        <w:t xml:space="preserve">738.</w:t>
      </w:r>
    </w:p>
    <w:p>
      <w:pPr>
        <w:pStyle w:val="BookText"/>
      </w:pPr>
      <w:r>
        <w:rPr>
          <w:rFonts w:ascii="IRNazanin" w:hAnsi="IRNazanin" w:eastAsia="IRNazanin" w:cs="IRNazanin"/>
          <w:lang w:bidi="fa-IR"/>
          <w:color w:val="111111"/>
          <w:sz w:val="28"/>
          <w:szCs w:val="28"/>
          <w:rtl/>
        </w:rPr>
        <w:t xml:space="preserve">تهران؛ ملی؛ شماره نسخه :۷۹۴</w:t>
      </w:r>
    </w:p>
    <w:p>
      <w:pPr>
        <w:pStyle w:val="BookText"/>
      </w:pPr>
      <w:r>
        <w:rPr>
          <w:rFonts w:ascii="IRNazanin" w:hAnsi="IRNazanin" w:eastAsia="IRNazanin" w:cs="IRNazanin"/>
          <w:lang w:bidi="fa-IR"/>
          <w:color w:val="111111"/>
          <w:sz w:val="28"/>
          <w:szCs w:val="28"/>
          <w:rtl/>
        </w:rPr>
        <w:t xml:space="preserve">آغاز: فبارك اللهم. عید صیام آمد با فر و شادمانی *** در عیش و خرمی کوش امروز تا توانی؛ انجام: چو محرم از خودی بگذر که گفته است*** بدین شه پرستان خود پرستی</w:t>
      </w:r>
    </w:p>
    <w:p>
      <w:pPr>
        <w:pStyle w:val="BookText"/>
      </w:pPr>
      <w:r>
        <w:rPr>
          <w:rFonts w:ascii="IRNazanin" w:hAnsi="IRNazanin" w:eastAsia="IRNazanin" w:cs="IRNazanin"/>
          <w:lang w:bidi="fa-IR"/>
          <w:color w:val="111111"/>
          <w:sz w:val="28"/>
          <w:szCs w:val="28"/>
          <w:rtl/>
        </w:rPr>
        <w:t xml:space="preserve">از: محتملاً محرم، شامل قصیده ای است در تمجید مهد علیا مادر ناصرالدین شاه که در آن شهزاده اعتضادالسلطنه نیز ستوده شده؛ خط: نسخ، كاتب = مؤلف، تا: قرن ۱۳، جا: محتملاً طهران؛ هر
</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مصرع در یک سطر؛ کاغذ: فرنگی آبی، جلد: تیماج قرمز، اندرون و دور تیماج سیاه دولایی، ۷گ، ۸ سطر (6</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۱۹/۵سم [ف: ۲ - ۳۲۰]</w:t>
      </w:r>
    </w:p>
    <w:p>
      <w:pPr>
        <w:pStyle w:val="BookText"/>
      </w:pPr>
      <w:r>
        <w:rPr>
          <w:rFonts w:ascii="IRNazanin" w:hAnsi="IRNazanin" w:eastAsia="IRNazanin" w:cs="IRNazanin"/>
          <w:lang w:bidi="fa-IR"/>
          <w:color w:val="111111"/>
          <w:sz w:val="28"/>
          <w:szCs w:val="28"/>
          <w:rtl/>
        </w:rPr>
        <w:t xml:space="preserve">۷۳۹. تهران؛ مجلس؛ شماره نسخه: ۱۳۵۶۹/۲۸</w:t>
      </w:r>
    </w:p>
    <w:p>
      <w:pPr>
        <w:pStyle w:val="BookText"/>
      </w:pPr>
      <w:r>
        <w:rPr>
          <w:rFonts w:ascii="Amiri" w:hAnsi="Amiri" w:eastAsia="Amiri" w:cs="Amiri"/>
          <w:lang w:bidi="ar-SA"/>
          <w:color w:val="111111"/>
          <w:sz w:val="28"/>
          <w:szCs w:val="28"/>
          <w:rtl/>
        </w:rPr>
        <w:t xml:space="preserve">كاتب = مؤلف، تا: قرن ۱۳ ۱ص (۱۶۴) [ف: ۳۷ - ۷۷]</w:t>
      </w:r>
    </w:p>
    <w:p>
      <w:pPr>
        <w:pStyle w:val="BookText"/>
      </w:pPr>
      <w:r>
        <w:rPr>
          <w:rFonts w:ascii="IRNazanin" w:hAnsi="IRNazanin" w:eastAsia="IRNazanin" w:cs="IRNazanin"/>
          <w:lang w:bidi="fa-IR"/>
          <w:color w:val="111111"/>
          <w:sz w:val="28"/>
          <w:szCs w:val="28"/>
          <w:rtl/>
        </w:rPr>
        <w:t xml:space="preserve">۷۴۰. تهران؛ مجلس؛ شماره نسخه: ۱۳۵۶۸/۲۳</w:t>
      </w:r>
    </w:p>
    <w:p>
      <w:pPr>
        <w:pStyle w:val="BookText"/>
      </w:pPr>
      <w:r>
        <w:rPr>
          <w:rFonts w:ascii="IRNazanin" w:hAnsi="IRNazanin" w:eastAsia="IRNazanin" w:cs="IRNazanin"/>
          <w:lang w:bidi="fa-IR"/>
          <w:color w:val="111111"/>
          <w:sz w:val="28"/>
          <w:szCs w:val="28"/>
          <w:rtl/>
        </w:rPr>
        <w:t xml:space="preserve">غزل از رفعت کاتب = مؤلف، تا: قرن ۱۳؛ ۲ ص( ۱۵۴ - ۱۵۵) [ ف: ۷۷ - ۳۷]</w:t>
      </w:r>
    </w:p>
    <w:p>
      <w:pPr>
        <w:pStyle w:val="BookText"/>
      </w:pPr>
      <w:r>
        <w:rPr>
          <w:rFonts w:ascii="IRNazanin" w:hAnsi="IRNazanin" w:eastAsia="IRNazanin" w:cs="IRNazanin"/>
          <w:lang w:bidi="fa-IR"/>
          <w:color w:val="111111"/>
          <w:sz w:val="28"/>
          <w:szCs w:val="28"/>
          <w:rtl/>
        </w:rPr>
        <w:t xml:space="preserve">۷۴۱. تهران؛ مجلس؛ شماره نسخه: ۱۳۵۶۸/۳۰</w:t>
      </w:r>
    </w:p>
    <w:p>
      <w:pPr>
        <w:pStyle w:val="BookText"/>
      </w:pPr>
      <w:r>
        <w:rPr>
          <w:rFonts w:ascii="IRNazanin" w:hAnsi="IRNazanin" w:eastAsia="IRNazanin" w:cs="IRNazanin"/>
          <w:lang w:bidi="fa-IR"/>
          <w:color w:val="111111"/>
          <w:sz w:val="28"/>
          <w:szCs w:val="28"/>
          <w:rtl/>
        </w:rPr>
        <w:t xml:space="preserve">غزل از رفعت؛ کاتب = مؤلف، تا: قرن ۱۱۳ ص (۱۷۷) [ف: ۳۷ -  77]</w:t>
      </w:r>
    </w:p>
    <w:p>
      <w:pPr>
        <w:pStyle w:val="BookText"/>
      </w:pPr>
      <w:r>
        <w:rPr>
          <w:rFonts w:ascii="IRNazanin" w:hAnsi="IRNazanin" w:eastAsia="IRNazanin" w:cs="IRNazanin"/>
          <w:lang w:bidi="fa-IR"/>
          <w:color w:val="111111"/>
          <w:sz w:val="28"/>
          <w:szCs w:val="28"/>
          <w:rtl/>
        </w:rPr>
        <w:t xml:space="preserve">742.تهران؛ ملی؛ شماره نسخه: ۸۰۹</w:t>
      </w:r>
    </w:p>
    <w:p>
      <w:pPr>
        <w:pStyle w:val="BookText"/>
      </w:pPr>
      <w:r>
        <w:rPr>
          <w:rFonts w:ascii="IRNazanin" w:hAnsi="IRNazanin" w:eastAsia="IRNazanin" w:cs="IRNazanin"/>
          <w:lang w:bidi="fa-IR"/>
          <w:color w:val="111111"/>
          <w:sz w:val="28"/>
          <w:szCs w:val="28"/>
          <w:rtl/>
        </w:rPr>
        <w:t xml:space="preserve">آغاز: بسمله بنام خداوند بالا و پست *** کز و هست شدغیر او هر چه هست؛ انجام: جهان داورا ظل يزدان تویی*** جهان سراسر جهانبان تویی</w:t>
      </w:r>
    </w:p>
    <w:p>
      <w:pPr>
        <w:pStyle w:val="BookText"/>
      </w:pPr>
      <w:r>
        <w:rPr>
          <w:rFonts w:ascii="IRNazanin" w:hAnsi="IRNazanin" w:eastAsia="IRNazanin" w:cs="IRNazanin"/>
          <w:lang w:bidi="fa-IR"/>
          <w:color w:val="111111"/>
          <w:sz w:val="28"/>
          <w:szCs w:val="28"/>
          <w:rtl/>
        </w:rPr>
        <w:t xml:space="preserve">در این دیوان شاعر پس از حمد خدا و ستایش پیامبر اسلام به مدح فتحعلی شاه می پردازد و سپس در سبب تألیف و نظم کتـاب شعری چند می آورد و در آخر با نصیحتی کتاب را به پایان می آورد؛خط: نستعليق، كاتب = مؤلف، تا: قرن۱۳، جا: محتـملاً تهران؛ با سرلوح مذهب؛ کاغذ: فرنگی، جلد: تیماج قرمز ،مقوایی ۷گ، ۹ سطر (۷/۵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 سم [ ف :2- 345]</w:t>
      </w:r>
    </w:p>
    <w:p>
      <w:pPr>
        <w:pStyle w:val="BookText"/>
      </w:pPr>
      <w:r>
        <w:rPr>
          <w:rFonts w:ascii="IRNazanin" w:hAnsi="IRNazanin" w:eastAsia="IRNazanin" w:cs="IRNazanin"/>
          <w:lang w:bidi="fa-IR"/>
          <w:color w:val="111111"/>
          <w:sz w:val="28"/>
          <w:szCs w:val="28"/>
          <w:rtl/>
        </w:rPr>
        <w:t xml:space="preserve">۷۴۳. تهران؛ ملی؛ شماره نسخه: ۱۴۲۷</w:t>
      </w:r>
    </w:p>
    <w:p>
      <w:pPr>
        <w:pStyle w:val="BookText"/>
      </w:pPr>
      <w:r>
        <w:rPr>
          <w:rFonts w:ascii="IRNazanin" w:hAnsi="IRNazanin" w:eastAsia="IRNazanin" w:cs="IRNazanin"/>
          <w:lang w:bidi="fa-IR"/>
          <w:color w:val="111111"/>
          <w:sz w:val="28"/>
          <w:szCs w:val="28"/>
          <w:rtl/>
        </w:rPr>
        <w:t xml:space="preserve">آغاز: هزار شکرکه شاه زمانه دیگر بار *** بمستقر خلافت زنو گرفت قرار؛ انجام: دعای خسته دلان همره تو با دو رفیق*** خدای عزوجل ناصر تو بو دو معین.</w:t>
      </w:r>
    </w:p>
    <w:p>
      <w:pPr>
        <w:pStyle w:val="BookText"/>
      </w:pPr>
      <w:r>
        <w:rPr>
          <w:rFonts w:ascii="IRNazanin" w:hAnsi="IRNazanin" w:eastAsia="IRNazanin" w:cs="IRNazanin"/>
          <w:lang w:bidi="fa-IR"/>
          <w:color w:val="111111"/>
          <w:sz w:val="28"/>
          <w:szCs w:val="28"/>
          <w:rtl/>
        </w:rPr>
        <w:t xml:space="preserve">شامل چهار قصیده است: ۱- قصیده ای به قافیه «راء» از آن وقار از (ص 1- 6)، ۲- قصیده ای با قافیه (هاء) از آن فرهنگ (7- 11)،3- قصیده ای با قافیه «دال» از وقار ،(۱۳-۱۶)، ۴- قصیده ای با قـافیه (نون) از فرهنگ (۱۷-۲۱) همه این قصائد در نعت ناصر الدین شاه است؛ خط: نستعلیق خوش جلی، کاتب = مؤلف، تا: قرن 13؛ مذهب؛ كاغذ: فرنگی ،جلد: کاغذی، گل و بوته دار طلائی، اندرون و دور تیماج قرمز، ۱۱گ، ۹ سطر (7</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۱۶/۵سم [ف: ۳ - ۴۸۷]</w:t>
      </w:r>
    </w:p>
    <w:p>
      <w:pPr>
        <w:pStyle w:val="BookText"/>
      </w:pPr>
      <w:r>
        <w:rPr>
          <w:rFonts w:ascii="IRNazanin" w:hAnsi="IRNazanin" w:eastAsia="IRNazanin" w:cs="IRNazanin"/>
          <w:lang w:bidi="fa-IR"/>
          <w:color w:val="111111"/>
          <w:sz w:val="28"/>
          <w:szCs w:val="28"/>
          <w:rtl/>
        </w:rPr>
        <w:t xml:space="preserve">۷۴۴. تهران؛ ملی؛ شماره نسخه: ۱۵۱۶</w:t>
      </w:r>
    </w:p>
    <w:p>
      <w:pPr>
        <w:pStyle w:val="BookText"/>
      </w:pPr>
      <w:r>
        <w:rPr>
          <w:rFonts w:ascii="IRNazanin" w:hAnsi="IRNazanin" w:eastAsia="IRNazanin" w:cs="IRNazanin"/>
          <w:lang w:bidi="fa-IR"/>
          <w:color w:val="111111"/>
          <w:sz w:val="28"/>
          <w:szCs w:val="28"/>
          <w:rtl/>
        </w:rPr>
        <w:t xml:space="preserve">آغاز: منتخب تغزلات استاد فرخی: دوستدارم کودک سیمین بر بیجاده لب *** هر کجا ز ایشان یکی بینی مرا آنجا طلب؛ انجـام: تو عاشقان مسلم ندیده ای سعدی که از محبت دوست دشـمن خویشند</w:t>
      </w:r>
    </w:p>
    <w:p>
      <w:pPr>
        <w:pStyle w:val="BookText"/>
      </w:pPr>
      <w:r>
        <w:rPr>
          <w:rFonts w:ascii="IRNazanin" w:hAnsi="IRNazanin" w:eastAsia="IRNazanin" w:cs="IRNazanin"/>
          <w:lang w:bidi="fa-IR"/>
          <w:color w:val="111111"/>
          <w:sz w:val="28"/>
          <w:szCs w:val="28"/>
          <w:rtl/>
        </w:rPr>
        <w:t xml:space="preserve">شامل: منتخبی از غزلیات فرخی (۱-۲۳)، منتخبی از غزلیـات سعدی (۲۴-۳۳)؛ خط: شکسته نستعلیق، كاتب = مؤلف، تا: ۱۳؛ با سرلوح مذهب، مجدول؛ كاغذ: فرنگی ،جلد: تیماج قرمز، قید، دور تيماج سیاه، ۱۷گ، ۱۴ سطر (9/4</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۲۴سم [ف: ۴-۱۲]</w:t>
      </w:r>
    </w:p>
    <w:p>
      <w:pPr>
        <w:pStyle w:val="BookText"/>
      </w:pPr>
      <w:r>
        <w:rPr>
          <w:rFonts w:ascii="IRNazanin" w:hAnsi="IRNazanin" w:eastAsia="IRNazanin" w:cs="IRNazanin"/>
          <w:lang w:bidi="fa-IR"/>
          <w:color w:val="111111"/>
          <w:sz w:val="28"/>
          <w:szCs w:val="28"/>
          <w:rtl/>
        </w:rPr>
        <w:t xml:space="preserve">۷۴۵. تهران؛ مجلس؛ شماره نسخه: ۳۰۶۸</w:t>
      </w:r>
    </w:p>
    <w:p>
      <w:pPr>
        <w:pStyle w:val="BookText"/>
      </w:pPr>
      <w:r>
        <w:rPr>
          <w:rFonts w:ascii="IRNazanin" w:hAnsi="IRNazanin" w:eastAsia="IRNazanin" w:cs="IRNazanin"/>
          <w:lang w:bidi="fa-IR"/>
          <w:color w:val="111111"/>
          <w:sz w:val="28"/>
          <w:szCs w:val="28"/>
          <w:rtl/>
        </w:rPr>
        <w:t xml:space="preserve">فهرست اشعار و نام شاعرانی که ابیاتی از ایشان در این جنگ آمده: طبیب اصفهانی، میرزا صادق اصفهانی، میرزا ابراهیم صفا ،صفا، میرزا عبدالله مازندرانی ،طوفان، مصطفی بیک شامل متخلص به آذر ،موجی ،عطار ،جامی، ملا حسین متخلص به رفیق اصفهانی، وحشی ،کلیم، عاشق اصفهانی، مشتاق، حافظ، جامی، شیخ سعدی ،خیام، بابا طاهر، محتشم کاشانی، طبیب اصفهانی، رباعی از دوریش مجید، میرزا ابوالقاسم تفرشی، رباعی از مخفی، پروانه، رباعی متضاد (از ناشناس)؛ خط: شکسته نستعلیق، بی کا، تا: قرن ۱۳؛ چلیپا، مجدول، مذهب؛ کاغذ: فرنگی آهار مهره دار، جلد: تیماج قهوه ای، ۲۹۳ ص، ۱۶ سطر، قطع : جیبی، اندازه: 8</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سم[ ف: ۱۰ - ۶۱۳]</w:t>
      </w:r>
    </w:p>
    <w:p>
      <w:pPr>
        <w:pStyle w:val="BookText"/>
      </w:pPr>
      <w:r>
        <w:rPr>
          <w:rFonts w:ascii="IRNazanin" w:hAnsi="IRNazanin" w:eastAsia="IRNazanin" w:cs="IRNazanin"/>
          <w:lang w:bidi="fa-IR"/>
          <w:color w:val="111111"/>
          <w:sz w:val="28"/>
          <w:szCs w:val="28"/>
          <w:rtl/>
        </w:rPr>
        <w:t xml:space="preserve">۷۴۶. تهران؛ مجلس؛ شماره نسخه: ۲۹۸۲/۲</w:t>
      </w:r>
    </w:p>
    <w:p>
      <w:pPr>
        <w:pStyle w:val="BookText"/>
      </w:pPr>
      <w:r>
        <w:rPr>
          <w:rFonts w:ascii="IRNazanin" w:hAnsi="IRNazanin" w:eastAsia="IRNazanin" w:cs="IRNazanin"/>
          <w:lang w:bidi="fa-IR"/>
          <w:color w:val="111111"/>
          <w:sz w:val="28"/>
          <w:szCs w:val="28"/>
          <w:rtl/>
        </w:rPr>
        <w:t xml:space="preserve">از شعرای ذیل در این جنگ اشعاری آمده [شماره صفحات در فهرست آمده است]: هاتف، صباحی، حکیم خاقانی، حکیم انوری، حكيم قطران، حکیم ازرقی،اشرف الدین حسن غزنوی، امیر معزی، عبدالواسع جبلی، رشیدالدین وطواط، عبدالرزاق اصفهانی، ادیب صابر، کمال الدین اسمعیل خلاق المعانى، عثمان بن مختار غزنوی، حکیم سنائی، حکیم سوزنی، ظهیر الدین فارابی، فخرالدین رازی، نعمة الله قهستانی، شیخ فرید الدین عطار، ،فرخی، عمعق بخارائی، حکیم عمر خیام، حكيم ناصر خسرو، نظامی گنجه، شیخ سعدی، جامی، صادق تفرشی، حاجی لطفعلی بیک (آذر) ،هاتف، نعمت الله ولی، محتشم خراسانی، سعدی ،حسرت، نظامی گنجه، ملک زاده آذر، طبيب، میرزا سید محمد سحاب ،يغما ،هاتف، عاشق اصفهانی ،مجمر، رودکی، ادیب صابر، جامی، مشتاق، رفیق، برای اکثر شعرای مذکور شرح حال مختصری نوشته شده است؛ خط: شکسته نستعلیق، بی کا، تا: قرن ۱۳؛ کاغذ: فرنگی شکری، جلد: تیماج آلبالوئی پر رنگ، ۴۱۰ص (۴۲۳-۱۳)، ۱۵ سطر، قطع: خشتی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۱۰-۴۳۰]</w:t>
      </w:r>
    </w:p>
    <w:p>
      <w:pPr>
        <w:pStyle w:val="BookText"/>
      </w:pPr>
      <w:r>
        <w:rPr>
          <w:rFonts w:ascii="IRNazanin" w:hAnsi="IRNazanin" w:eastAsia="IRNazanin" w:cs="IRNazanin"/>
          <w:lang w:bidi="fa-IR"/>
          <w:color w:val="111111"/>
          <w:sz w:val="28"/>
          <w:szCs w:val="28"/>
          <w:rtl/>
        </w:rPr>
        <w:t xml:space="preserve">۷۴۷. تهران؛ مجلس؛ شماره نسخه: ۸۵۵۳</w:t>
      </w:r>
    </w:p>
    <w:p>
      <w:pPr>
        <w:pStyle w:val="BookText"/>
      </w:pPr>
      <w:r>
        <w:rPr>
          <w:rFonts w:ascii="IRNazanin" w:hAnsi="IRNazanin" w:eastAsia="IRNazanin" w:cs="IRNazanin"/>
          <w:lang w:bidi="fa-IR"/>
          <w:color w:val="111111"/>
          <w:sz w:val="28"/>
          <w:szCs w:val="28"/>
          <w:rtl/>
        </w:rPr>
        <w:t xml:space="preserve">آغاز: شبی با نوجوانی گفت پیری</w:t>
      </w:r>
    </w:p>
    <w:p>
      <w:pPr>
        <w:pStyle w:val="BookText"/>
      </w:pPr>
      <w:r>
        <w:rPr>
          <w:rFonts w:ascii="IRNazanin" w:hAnsi="IRNazanin" w:eastAsia="IRNazanin" w:cs="IRNazanin"/>
          <w:lang w:bidi="fa-IR"/>
          <w:color w:val="111111"/>
          <w:sz w:val="28"/>
          <w:szCs w:val="28"/>
          <w:rtl/>
        </w:rPr>
        <w:t xml:space="preserve">مشتمل بر اشعار پراکنده ای است با این عناوین: مواد التواريخ محتشم (1پ-39پ)، مثنوی میرزا محمد نصیر اصفهانی و رباعیات وی (۴۱ پ -۵۱ر)، اشعاری از سید احمد هاتف، میرزا صاحب، مایل رشتی، کمال اصفهانی، شرف الدين شفروه، عرفی شیرازی، اثیر اخسیکتی، لوحی مداح، سیف اسفرنگ، مسعود سعد، میر معزی، خلاق المعانی ،مختاری، جهان خواتون، اوحدی، غیاثی، تجلی، فغانی، شیخ علی نقی، ادیب صابر، سید حسن، صادقی بیگ افشار، طالب آملی، حیاتی گیلانی، غزالی، آقا ولایت جرپادقانی، عماد فقیه، رودکی، سلطان حسین میرزا، ابن يمين، سلمان ساوجی، نجیب جرفادقانی، عطار، هاتف، محتشم، مجد همگر،فیضی دکنی، اثیر اومانی، مجیر بیلقانی، سلمان، سنائی، جمال الدین عبدالرزاق ،خاقانی، قاضی مظهر هندی، عبدالواسع جبلی، حسن غزنوی، جسمی همدانی، جامی، عزیز
</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 که خان اعظم، عارف ایجی، حکیم نزاری، حسن دهلوی، شمس الدین طبسی، رضی نیشابوری، ناصر خسرو، ظهیر فاریابی، افضل الدین کرمانی، بهاءالدین بغدادی، ابوالعلاء ،گنجوی، عارف شبانکاره، روحانی سمرقندی، بدیع سیفی، حمیدی اختیاری، خواجو کرمانی، شمالی دهستانی، عزالدین شروانی، فریدالدین فارسی، جلال عضد، ابوالفرج، حكيم قطران، میرزا قلی، مولوی، هجری تفرشی، مخلص کاشی، جوهری زرگرف عظیمت دختر، قاضی سمرقند، میرزا ابراهیم صفا، روحانی ،سوزنی، حاجت شیرازی ،شرعی، میرزا محمد حسین وفا فراهانی، محمد نصیر طبیب اصفهانی ،رضائی، سحابی گوهر، اهلی شیرازی، مانی، اسدالله داعی ،مشرب، داعی دزفولی ،ندیم، دهی یزدی،صـهبا قمی ،آذر، اثر ملا صادق نصیب ،سعدی، میر محمد صادق، شـیخ ابوالقاسم کازرانی، نظام دست غیب، میرزا جانی شیرازی، لطفی شیرازی، محمد مؤمن فیروز آبادی، رجائی کاشانی، فهمی کاشی، شهیدی قمی، ابن الکرخی، طاهر نائینی، حاجی عابد، صفی قمی، عبدالخالق کاشانی، علی شیر خواجه منصور، سید شرف الدین سبزواری طرزی افشار، شیخ بهائی، رهبان، امامی هروی، غزلیات طوفان، حزین لاهیجی، شریف تبریزی، خسرو دهلوی، امیر معزی ،آذری، هاتف، قطعاتی از مثنوى عقد الجواهر اسيـری اصفهانی، رشید وطواط، خاقانی شیروانی، سراج الدین قمری، جدایی عراقی، عبدالباقی طبیب ،عارف ،خادم، هجری تفرشی، حافظ شیرازی، میرزا محمد باقر، سعدی آذربیگدلی، شوکت بخارائی، ولی دشت بیاضی ،خاقانی، وحشی، مینای افشار، نعمت الله ولی، همایون، میرزا حسین، صباحی، منتخب غزلیـات میرزا محمد جعفر صافی، قطعات تواریخ میر مشتاق، ترجیع بند میر مشتاق اصفهانی و رباعیات او، ملامحمد صوفی، ملاحسین مشهور به خلص هلالی جغتائی ،رفیق اصفهانی، صباحی، مشرب عامری ،ناصر، صهبا قمی، سحاب اصفهانی، غزلیات آخر تذکره آتشکده آذر و رباعیات؛ خط: شکسته نستعلیق، بی کا، تا: قرن 13 ؛مصحح، برگ ۱۸۴ یادداشت یادگاری از محمد اسماعیل بن محمدرضا آشتیانی به سال ۱۳۲۶ق؛ جلد: تیماج مشکی بدون مقوا، ۲۳۶گ، مختلف السطر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۲۸ - ۱۱۰ ]</w:t>
      </w:r>
    </w:p>
    <w:p>
      <w:pPr>
        <w:pStyle w:val="BookText"/>
      </w:pPr>
      <w:r>
        <w:rPr>
          <w:rFonts w:ascii="IRNazanin" w:hAnsi="IRNazanin" w:eastAsia="IRNazanin" w:cs="IRNazanin"/>
          <w:lang w:bidi="fa-IR"/>
          <w:color w:val="111111"/>
          <w:sz w:val="28"/>
          <w:szCs w:val="28"/>
          <w:rtl/>
        </w:rPr>
        <w:t xml:space="preserve">۷۴۸. تهران؛ مینوی؛ شماره نسخه: ۳۱</w:t>
      </w:r>
    </w:p>
    <w:p>
      <w:pPr>
        <w:pStyle w:val="BookText"/>
      </w:pPr>
      <w:r>
        <w:rPr>
          <w:rFonts w:ascii="IRNazanin" w:hAnsi="IRNazanin" w:eastAsia="IRNazanin" w:cs="IRNazanin"/>
          <w:lang w:bidi="fa-IR"/>
          <w:color w:val="111111"/>
          <w:sz w:val="28"/>
          <w:szCs w:val="28"/>
          <w:rtl/>
        </w:rPr>
        <w:t xml:space="preserve">اشعاری از: مولوی و عصمت بخاری با نامه حاجی میرزا  آقاسی به آخوند ملا یوسف؛ خط: نستعلیق، بی کا، تا: قرن ۱۲ و ۱۳؛ یادگار آقای میرزا حسین خان نجار زاده کاوسی به آقای مینوی در 1330 در بروجرد؛ قطع: بیاضی [نشریه: ۶ - ۶۴۲]</w:t>
      </w:r>
    </w:p>
    <w:p>
      <w:pPr>
        <w:pStyle w:val="BookText"/>
      </w:pPr>
      <w:r>
        <w:rPr>
          <w:rFonts w:ascii="IRNazanin" w:hAnsi="IRNazanin" w:eastAsia="IRNazanin" w:cs="IRNazanin"/>
          <w:lang w:bidi="fa-IR"/>
          <w:color w:val="111111"/>
          <w:sz w:val="28"/>
          <w:szCs w:val="28"/>
          <w:rtl/>
        </w:rPr>
        <w:t xml:space="preserve">۷۴۹. تهران؛ مجلس؛ شماره نسخه: ۱۱۲۸۸</w:t>
      </w:r>
    </w:p>
    <w:p>
      <w:pPr>
        <w:pStyle w:val="BookText"/>
      </w:pPr>
      <w:r>
        <w:rPr>
          <w:rFonts w:ascii="IRNazanin" w:hAnsi="IRNazanin" w:eastAsia="IRNazanin" w:cs="IRNazanin"/>
          <w:lang w:bidi="fa-IR"/>
          <w:color w:val="111111"/>
          <w:sz w:val="28"/>
          <w:szCs w:val="28"/>
          <w:rtl/>
        </w:rPr>
        <w:t xml:space="preserve">از شاعرانی با تخلص درویش، تاراج و غیره؛ خط: نستعلیق، بی کا، تا: قرن ۱۳ [ مختصر: ف: - ۲۳۹]</w:t>
      </w:r>
    </w:p>
    <w:p>
      <w:pPr>
        <w:pStyle w:val="BookText"/>
      </w:pPr>
      <w:r>
        <w:rPr>
          <w:rFonts w:ascii="IRNazanin" w:hAnsi="IRNazanin" w:eastAsia="IRNazanin" w:cs="IRNazanin"/>
          <w:lang w:bidi="fa-IR"/>
          <w:color w:val="111111"/>
          <w:sz w:val="28"/>
          <w:szCs w:val="28"/>
          <w:rtl/>
        </w:rPr>
        <w:t xml:space="preserve">۷۵۰. تهران؛ مجلس؛ شماره نسخه: ۱۵۸۶۴</w:t>
      </w:r>
    </w:p>
    <w:p>
      <w:pPr>
        <w:pStyle w:val="BookText"/>
      </w:pPr>
      <w:r>
        <w:rPr>
          <w:rFonts w:ascii="IRNazanin" w:hAnsi="IRNazanin" w:eastAsia="IRNazanin" w:cs="IRNazanin"/>
          <w:lang w:bidi="fa-IR"/>
          <w:color w:val="111111"/>
          <w:sz w:val="28"/>
          <w:szCs w:val="28"/>
          <w:rtl/>
        </w:rPr>
        <w:t xml:space="preserve">آغاز: بسمله. حمدله والصلوة على خير خلقه محمد و آله الطاهرین. از نام خوشت ادا کنم بسم الله *** هستی تو علی و نیست مثلث الله؛ انجام: دوشم بسر آمد و همی گفت *** عمرت  بسر آمده است برخیز</w:t>
      </w:r>
    </w:p>
    <w:p>
      <w:pPr>
        <w:pStyle w:val="BookText"/>
      </w:pPr>
      <w:r>
        <w:rPr>
          <w:rFonts w:ascii="IRNazanin" w:hAnsi="IRNazanin" w:eastAsia="IRNazanin" w:cs="IRNazanin"/>
          <w:lang w:bidi="fa-IR"/>
          <w:color w:val="111111"/>
          <w:sz w:val="28"/>
          <w:szCs w:val="28"/>
          <w:rtl/>
        </w:rPr>
        <w:t xml:space="preserve">غزلیات شیخ سعدی، غزلیات ملا جامی، ترجیع بند سعدی، غزلیات ،مشتاق ،طبیب، ازل، رباعیات دانش غفر له، شیخ علی نقی، نظیری؛ خط: نستعلیق شکسته، بی کا، تا: قرن ۱۳؛ تملک: صدر الافاضل لطفعلی خان دانش با مهر وی در ۱۳۱۷ق؛ جلد: گالینگور آبی عطف تیماج قهوه ای، ۵۳گ، سطور چلیپا، اندازه: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۴۴ - ۱۰۴]</w:t>
      </w:r>
    </w:p>
    <w:p>
      <w:pPr>
        <w:pStyle w:val="BookText"/>
      </w:pPr>
      <w:r>
        <w:rPr>
          <w:rFonts w:ascii="IRNazanin" w:hAnsi="IRNazanin" w:eastAsia="IRNazanin" w:cs="IRNazanin"/>
          <w:lang w:bidi="fa-IR"/>
          <w:color w:val="111111"/>
          <w:sz w:val="28"/>
          <w:szCs w:val="28"/>
          <w:rtl/>
        </w:rPr>
        <w:t xml:space="preserve">۷۵۱. تهران؛ مجلس؛ شماره نسخه: ۸۴۵۵</w:t>
      </w:r>
    </w:p>
    <w:p>
      <w:pPr>
        <w:pStyle w:val="BookText"/>
      </w:pPr>
      <w:r>
        <w:rPr>
          <w:rFonts w:ascii="IRNazanin" w:hAnsi="IRNazanin" w:eastAsia="IRNazanin" w:cs="IRNazanin"/>
          <w:lang w:bidi="fa-IR"/>
          <w:color w:val="111111"/>
          <w:sz w:val="28"/>
          <w:szCs w:val="28"/>
          <w:rtl/>
        </w:rPr>
        <w:t xml:space="preserve">گلچینی از اشعار سعدی ،حافظ، و غیره؛ خط: شکسته نستعلیق، بی کا، تا: قرن ۱۳ [مختصر: ف: ۲۴۰]</w:t>
      </w:r>
    </w:p>
    <w:p>
      <w:pPr>
        <w:pStyle w:val="BookText"/>
      </w:pPr>
      <w:r>
        <w:rPr>
          <w:rFonts w:ascii="IRNazanin" w:hAnsi="IRNazanin" w:eastAsia="IRNazanin" w:cs="IRNazanin"/>
          <w:lang w:bidi="fa-IR"/>
          <w:color w:val="111111"/>
          <w:sz w:val="28"/>
          <w:szCs w:val="28"/>
          <w:rtl/>
        </w:rPr>
        <w:t xml:space="preserve">۷۵۲. تهران؛ مجلس؛ شماره نسخه: ۱۶۳۷۷</w:t>
      </w:r>
    </w:p>
    <w:p>
      <w:pPr>
        <w:pStyle w:val="BookText"/>
      </w:pPr>
      <w:r>
        <w:rPr>
          <w:rFonts w:ascii="IRNazanin" w:hAnsi="IRNazanin" w:eastAsia="IRNazanin" w:cs="IRNazanin"/>
          <w:lang w:bidi="fa-IR"/>
          <w:color w:val="111111"/>
          <w:sz w:val="28"/>
          <w:szCs w:val="28"/>
          <w:rtl/>
        </w:rPr>
        <w:t xml:space="preserve">اشعار از حافظ، جامی، محتشم، پیر و جوان نصیر طبیب اصفهانی؛ بی کا، تا: قرن ۱۳ [د.ث. مجلس]</w:t>
      </w:r>
    </w:p>
    <w:p>
      <w:pPr>
        <w:pStyle w:val="BookText"/>
      </w:pPr>
      <w:r>
        <w:rPr>
          <w:rFonts w:ascii="IRNazanin" w:hAnsi="IRNazanin" w:eastAsia="IRNazanin" w:cs="IRNazanin"/>
          <w:lang w:bidi="fa-IR"/>
          <w:color w:val="111111"/>
          <w:sz w:val="28"/>
          <w:szCs w:val="28"/>
          <w:rtl/>
        </w:rPr>
        <w:t xml:space="preserve">۷۵۳. تهران؛ مجلس؛ شماره نسخه: ۵۰۸/۵- طباطبائی</w:t>
      </w:r>
    </w:p>
    <w:p>
      <w:pPr>
        <w:pStyle w:val="BookText"/>
      </w:pPr>
      <w:r>
        <w:rPr>
          <w:rFonts w:ascii="IRNazanin" w:hAnsi="IRNazanin" w:eastAsia="IRNazanin" w:cs="IRNazanin"/>
          <w:lang w:bidi="fa-IR"/>
          <w:color w:val="111111"/>
          <w:sz w:val="28"/>
          <w:szCs w:val="28"/>
          <w:rtl/>
        </w:rPr>
        <w:t xml:space="preserve">قطعات وقصائدی است که برخی از آنها در هجو و یا طنز است.</w:t>
      </w:r>
    </w:p>
    <w:p>
      <w:pPr>
        <w:pStyle w:val="BookText"/>
      </w:pPr>
      <w:r>
        <w:rPr>
          <w:rFonts w:ascii="IRNazanin" w:hAnsi="IRNazanin" w:eastAsia="IRNazanin" w:cs="IRNazanin"/>
          <w:lang w:bidi="fa-IR"/>
          <w:color w:val="111111"/>
          <w:sz w:val="28"/>
          <w:szCs w:val="28"/>
          <w:rtl/>
        </w:rPr>
        <w:t xml:space="preserve">برخی از گویندگان از جمله شاعران غیر معروفند و نام برخی نیز یاد نشده. اسامی شاعرانی که در این بخش شعری یا اشعاری از آنان آورده شده است: مبارک خان ،عاشق، احمد میرزا نیازی، شفائی، بهاء الدين برندق خجندی، مصاحب (در هجو و طنز است) ،آذر، طرزی افشار، صبا (در کنار شعر صبا یک فرمان طنز آلود نیز به نثر نقل شده است)، عصمت بخارائی، لطفعلی آذر، ناصر خسرو، ملا حسین رفیق اصفهانی، عبد الواسع جبلى، واهب، میر ابوالقاسم فندرسکی، کمال اسماعیل، خالصی، مخلص، میر نجات، سید محمد نوریگری کرمانی، فیض، آذر، شاملو، اشرفی سمرقندی، ضیاء الدین خجندی، سید اسرجی مسکری، خاقانی (چند قصیده )،خواجه حافظ ،هلالی ،نظیری، یغما ،خاتون ،عفتی، عظمت، دختر قاضی سمرقند( = عصمت سمرقندی)، مهری، یغما، نیاز، رفیق ،(ملاحسین)، طالع مازندرانی، جامی (چند بیت عربی از دیوان مجنون و غیره بدون ماخذ)، سید غریب، معتمد الدوله، بحر طویل (دو قطعه)؛ بی کا، تا: قرن ۱۳؛ کاغذ: فرنگی سفید،جلد: تیماج قرمز یک لا، ۵۹گ (72- 131)، قطع: رقعی، اندازه: 8</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سم [ف: ۲۲-۲۰۴]</w:t>
      </w:r>
    </w:p>
    <w:p>
      <w:pPr>
        <w:pStyle w:val="BookText"/>
      </w:pPr>
      <w:r>
        <w:rPr>
          <w:rFonts w:ascii="IRNazanin" w:hAnsi="IRNazanin" w:eastAsia="IRNazanin" w:cs="IRNazanin"/>
          <w:lang w:bidi="fa-IR"/>
          <w:color w:val="111111"/>
          <w:sz w:val="28"/>
          <w:szCs w:val="28"/>
          <w:rtl/>
        </w:rPr>
        <w:t xml:space="preserve">۷۵۴. تهران؛ مجلس؛ شماره نسخه: ۱۴۹۹۵</w:t>
      </w:r>
    </w:p>
    <w:p>
      <w:pPr>
        <w:pStyle w:val="BookText"/>
      </w:pPr>
      <w:r>
        <w:rPr>
          <w:rFonts w:ascii="IRNazanin" w:hAnsi="IRNazanin" w:eastAsia="IRNazanin" w:cs="IRNazanin"/>
          <w:lang w:bidi="fa-IR"/>
          <w:color w:val="111111"/>
          <w:sz w:val="28"/>
          <w:szCs w:val="28"/>
          <w:rtl/>
        </w:rPr>
        <w:t xml:space="preserve">اشعاری از جامی ،سعدی ،هاتفی، میرزا طوفان، و نیز مثنوی نان و حلوا از شیخ بهائی؛ خط: نسخ و نستعلیق، بی کا، تا: قرن ۱۳ [مختصر: ف: ۲۳۸]</w:t>
      </w:r>
    </w:p>
    <w:p>
      <w:pPr>
        <w:pStyle w:val="BookText"/>
      </w:pPr>
      <w:r>
        <w:rPr>
          <w:rFonts w:ascii="IRNazanin" w:hAnsi="IRNazanin" w:eastAsia="IRNazanin" w:cs="IRNazanin"/>
          <w:lang w:bidi="fa-IR"/>
          <w:color w:val="111111"/>
          <w:sz w:val="28"/>
          <w:szCs w:val="28"/>
          <w:rtl/>
        </w:rPr>
        <w:t xml:space="preserve">۷۵۵. تهران؛ مجلس؛ شماره نسخه: ۱۴۹۹۶</w:t>
      </w:r>
    </w:p>
    <w:p>
      <w:pPr>
        <w:pStyle w:val="BookText"/>
      </w:pPr>
      <w:r>
        <w:rPr>
          <w:rFonts w:ascii="IRNazanin" w:hAnsi="IRNazanin" w:eastAsia="IRNazanin" w:cs="IRNazanin"/>
          <w:lang w:bidi="fa-IR"/>
          <w:color w:val="111111"/>
          <w:sz w:val="28"/>
          <w:szCs w:val="28"/>
          <w:rtl/>
        </w:rPr>
        <w:t xml:space="preserve">خط: نستعلیق، بی کا، تا: قرن ۱۳ [مختصر: ف: ۲۳۹]</w:t>
      </w:r>
    </w:p>
    <w:p>
      <w:pPr>
        <w:pStyle w:val="BookText"/>
      </w:pPr>
      <w:r>
        <w:rPr>
          <w:rFonts w:ascii="IRNazanin" w:hAnsi="IRNazanin" w:eastAsia="IRNazanin" w:cs="IRNazanin"/>
          <w:lang w:bidi="fa-IR"/>
          <w:color w:val="111111"/>
          <w:sz w:val="28"/>
          <w:szCs w:val="28"/>
          <w:rtl/>
        </w:rPr>
        <w:t xml:space="preserve">۷۵۶. تهران؛ مجلس؛ شماره نسخه: ۱۷۷۶۷</w:t>
      </w:r>
    </w:p>
    <w:p>
      <w:pPr>
        <w:pStyle w:val="BookText"/>
      </w:pPr>
      <w:r>
        <w:rPr>
          <w:rFonts w:ascii="IRNazanin" w:hAnsi="IRNazanin" w:eastAsia="IRNazanin" w:cs="IRNazanin"/>
          <w:lang w:bidi="fa-IR"/>
          <w:color w:val="111111"/>
          <w:sz w:val="28"/>
          <w:szCs w:val="28"/>
          <w:rtl/>
        </w:rPr>
        <w:t xml:space="preserve">شامل قصیده ،قطعه، غزل؛ بی کا، تا: قرن ۱۳ [د.ث. مجلس ]</w:t>
      </w:r>
    </w:p>
    <w:p>
      <w:pPr>
        <w:pStyle w:val="BookText"/>
      </w:pPr>
      <w:r>
        <w:rPr>
          <w:rFonts w:ascii="IRNazanin" w:hAnsi="IRNazanin" w:eastAsia="IRNazanin" w:cs="IRNazanin"/>
          <w:lang w:bidi="fa-IR"/>
          <w:color w:val="111111"/>
          <w:sz w:val="28"/>
          <w:szCs w:val="28"/>
          <w:rtl/>
        </w:rPr>
        <w:t xml:space="preserve">۷۵۷. تهران؛ مجلس؛ شماره نسخه: ۱۱۰۹/۱۰</w:t>
      </w:r>
    </w:p>
    <w:p>
      <w:pPr>
        <w:pStyle w:val="BookText"/>
      </w:pPr>
      <w:r>
        <w:rPr>
          <w:rFonts w:ascii="IRNazanin" w:hAnsi="IRNazanin" w:eastAsia="IRNazanin" w:cs="IRNazanin"/>
          <w:lang w:bidi="fa-IR"/>
          <w:color w:val="111111"/>
          <w:sz w:val="28"/>
          <w:szCs w:val="28"/>
          <w:rtl/>
        </w:rPr>
        <w:t xml:space="preserve">از مولانا جلال الدین و خیام؛ خط: نستعلیق، بی کا، تا: قرن 13؛
</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کاغذ: فرنگی سفید، جلد: گالینگور مشکی عطف تیماج قهوه ای، ۲۱ ص (۱۰۶-۱۲۶) ،۱۳ سطر، قطع: رقعی، اندازه: ۱۱</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۱۶سم [ف: 3- 559]</w:t>
      </w:r>
    </w:p>
    <w:p>
      <w:pPr>
        <w:pStyle w:val="BookText"/>
      </w:pPr>
      <w:r>
        <w:rPr>
          <w:rFonts w:ascii="IRNazanin" w:hAnsi="IRNazanin" w:eastAsia="IRNazanin" w:cs="IRNazanin"/>
          <w:lang w:bidi="fa-IR"/>
          <w:color w:val="111111"/>
          <w:sz w:val="28"/>
          <w:szCs w:val="28"/>
          <w:rtl/>
        </w:rPr>
        <w:t xml:space="preserve">۷۵۸. تهران؛ ملی؛ شماره نسخه: ۱۵۹۳۰</w:t>
      </w:r>
    </w:p>
    <w:p>
      <w:pPr>
        <w:pStyle w:val="BookText"/>
      </w:pPr>
      <w:r>
        <w:rPr>
          <w:rFonts w:ascii="IRNazanin" w:hAnsi="IRNazanin" w:eastAsia="IRNazanin" w:cs="IRNazanin"/>
          <w:lang w:bidi="fa-IR"/>
          <w:color w:val="111111"/>
          <w:sz w:val="28"/>
          <w:szCs w:val="28"/>
          <w:rtl/>
        </w:rPr>
        <w:t xml:space="preserve">انجام: بیدل بکجا رود فدایت*** هر جا که رود غم تو آنجاست</w:t>
      </w:r>
    </w:p>
    <w:p>
      <w:pPr>
        <w:pStyle w:val="BookText"/>
      </w:pPr>
      <w:r>
        <w:rPr>
          <w:rFonts w:ascii="IRNazanin" w:hAnsi="IRNazanin" w:eastAsia="IRNazanin" w:cs="IRNazanin"/>
          <w:lang w:bidi="fa-IR"/>
          <w:color w:val="111111"/>
          <w:sz w:val="28"/>
          <w:szCs w:val="28"/>
          <w:rtl/>
        </w:rPr>
        <w:t xml:space="preserve">شامل غزلیاتی از حافظ ،سعدی ،شوکت ،صحبت ،تراب، كلیم، جامی ،محتشم، مسکین، بخشی از یوسف و زلیخای جامی، خادم ،بیدل ،مخمس، ملا مشفق گله داری ،بخشی از لیلی و مجنـون  نظامی، قطعه جامی، مثنوی میرزا صادق می باشد که کاتب انتخـاب کرده است؛ خط: نستعلیق، کا: ابوالحسن بن محمد کاظم قير،تا: قرن ۱۳؛ کمند اندازی ،مجدول، سطر (چلیپا)، انتقالی از سازمان مدارک فرهنگی انقلاب اسلامی؛ کاغذ: فرنگی نخودی، جـلد: تیماج قهوه ای، ۱۱۳گ، ابعاد متن: ۶/۳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قطع: بیاضی، اندازه:۱۰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[رایانه]</w:t>
      </w:r>
    </w:p>
    <w:p>
      <w:pPr>
        <w:pStyle w:val="BookText"/>
      </w:pPr>
      <w:r>
        <w:rPr>
          <w:rFonts w:ascii="IRNazanin" w:hAnsi="IRNazanin" w:eastAsia="IRNazanin" w:cs="IRNazanin"/>
          <w:lang w:bidi="fa-IR"/>
          <w:color w:val="111111"/>
          <w:sz w:val="28"/>
          <w:szCs w:val="28"/>
          <w:rtl/>
        </w:rPr>
        <w:t xml:space="preserve">۷۵۹. تهران؛ ملی؛ شماره نسخه: ۷۱۰۶</w:t>
      </w:r>
    </w:p>
    <w:p>
      <w:pPr>
        <w:pStyle w:val="BookText"/>
      </w:pPr>
      <w:r>
        <w:rPr>
          <w:rFonts w:ascii="IRNazanin" w:hAnsi="IRNazanin" w:eastAsia="IRNazanin" w:cs="IRNazanin"/>
          <w:lang w:bidi="fa-IR"/>
          <w:color w:val="111111"/>
          <w:sz w:val="28"/>
          <w:szCs w:val="28"/>
          <w:rtl/>
        </w:rPr>
        <w:t xml:space="preserve">آغاز: ای در دریای نجف شیر یزدانی بنگر دمی بر یوسف؛</w:t>
      </w:r>
    </w:p>
    <w:p>
      <w:pPr>
        <w:pStyle w:val="BookText"/>
      </w:pPr>
      <w:r>
        <w:rPr>
          <w:rFonts w:ascii="IRNazanin" w:hAnsi="IRNazanin" w:eastAsia="IRNazanin" w:cs="IRNazanin"/>
          <w:lang w:bidi="fa-IR"/>
          <w:color w:val="111111"/>
          <w:sz w:val="28"/>
          <w:szCs w:val="28"/>
          <w:rtl/>
        </w:rPr>
        <w:t xml:space="preserve">انجام: مدینه سر بسر قربان شدی فلک داد</w:t>
      </w:r>
    </w:p>
    <w:p>
      <w:pPr>
        <w:pStyle w:val="BookText"/>
      </w:pPr>
      <w:r>
        <w:rPr>
          <w:rFonts w:ascii="IRNazanin" w:hAnsi="IRNazanin" w:eastAsia="IRNazanin" w:cs="IRNazanin"/>
          <w:lang w:bidi="fa-IR"/>
          <w:color w:val="111111"/>
          <w:sz w:val="28"/>
          <w:szCs w:val="28"/>
          <w:rtl/>
        </w:rPr>
        <w:t xml:space="preserve">مجموعه ای است از اشعار نوحه خوانی و مرثیه سرایی در رثاء اهل بیت امام حسین(علیه السّلام) با عناوین نوحه سکینه از مدهوش تخلـص استر آبادی الاصل، نوحه ،زینب نوحه مادر علی اکبر، نوحه قاسم، علی اکبر و ... به تاریخ های ۱۲۳۵ق، ۱۲۳۶ق، ۱۲۴۴ق، ۱۲۴۵ق، اولین نوحه به کتابت ملاقاسم ابن حاج آقا موردی حسب خواهش محمد صادق ولد آقا میرزا محمد به تاریخ ۲۴۴ق می باشد ؛خط: شکسته نستعلیق و نسخ، کا: محمد قاسم ابن موردی، تا: قرن ۱۳؛ خرید از صفرپور ؛کاغذ:فرنگی حمایلی،جلد: تيماج مشکی یک لائی ترنج و سرترنج، ۶۴گ، مختلف السطر، اندازه: ۷/۲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[رایانه]</w:t>
      </w:r>
    </w:p>
    <w:p>
      <w:pPr>
        <w:pStyle w:val="BookText"/>
      </w:pPr>
      <w:r>
        <w:rPr>
          <w:rFonts w:ascii="IRNazanin" w:hAnsi="IRNazanin" w:eastAsia="IRNazanin" w:cs="IRNazanin"/>
          <w:lang w:bidi="fa-IR"/>
          <w:color w:val="111111"/>
          <w:sz w:val="28"/>
          <w:szCs w:val="28"/>
          <w:rtl/>
        </w:rPr>
        <w:t xml:space="preserve">۷۶۰. تهران؛ مجلس؛ شماره نسخه: ۱۰۴۹/۲ طباطبائی</w:t>
      </w:r>
    </w:p>
    <w:p>
      <w:pPr>
        <w:pStyle w:val="BookText"/>
      </w:pPr>
      <w:r>
        <w:rPr>
          <w:rFonts w:ascii="IRNazanin" w:hAnsi="IRNazanin" w:eastAsia="IRNazanin" w:cs="IRNazanin"/>
          <w:lang w:bidi="fa-IR"/>
          <w:color w:val="111111"/>
          <w:sz w:val="28"/>
          <w:szCs w:val="28"/>
          <w:rtl/>
        </w:rPr>
        <w:t xml:space="preserve">از شیخ بهائی، شیخ سیف الدین، شیخ ابوسعید؛ خط: نستعليق، بی کا، تا: قرن ۱۳؛ در ضمن جنگ آمده است [ف: ۲۳ - ۳۵۱]</w:t>
      </w:r>
    </w:p>
    <w:p>
      <w:pPr>
        <w:pStyle w:val="BookText"/>
      </w:pPr>
      <w:r>
        <w:rPr>
          <w:rFonts w:ascii="IRNazanin" w:hAnsi="IRNazanin" w:eastAsia="IRNazanin" w:cs="IRNazanin"/>
          <w:lang w:bidi="fa-IR"/>
          <w:color w:val="111111"/>
          <w:sz w:val="28"/>
          <w:szCs w:val="28"/>
          <w:rtl/>
        </w:rPr>
        <w:t xml:space="preserve">۷۶۱. تهران؛ ملی؛ شماره نسخه: ۴۹۰۶</w:t>
      </w:r>
    </w:p>
    <w:p>
      <w:pPr>
        <w:pStyle w:val="BookText"/>
      </w:pPr>
      <w:r>
        <w:rPr>
          <w:rFonts w:ascii="IRNazanin" w:hAnsi="IRNazanin" w:eastAsia="IRNazanin" w:cs="IRNazanin"/>
          <w:lang w:bidi="fa-IR"/>
          <w:color w:val="111111"/>
          <w:sz w:val="28"/>
          <w:szCs w:val="28"/>
          <w:rtl/>
        </w:rPr>
        <w:t xml:space="preserve">مجموعه ای است از چند قصیده فارسی با مضامین مختلف از جمله مدح امیرالمؤمنین (علیه السّلام)؛ خط: نستعلیق خوش، کا: آقا منجم باشی، تا: قرن ۱۳ ؛کاغذ: فرنگی نخودی، جلد: تیماج قهوه ای یک لا، ۷گ (57- 64پ )، ۱۵ سطر (۸/۵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 اندازه: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[رایانه ]</w:t>
      </w:r>
    </w:p>
    <w:p>
      <w:pPr>
        <w:pStyle w:val="BookText"/>
      </w:pPr>
      <w:r>
        <w:rPr>
          <w:rFonts w:ascii="IRNazanin" w:hAnsi="IRNazanin" w:eastAsia="IRNazanin" w:cs="IRNazanin"/>
          <w:lang w:bidi="fa-IR"/>
          <w:color w:val="111111"/>
          <w:sz w:val="28"/>
          <w:szCs w:val="28"/>
          <w:rtl/>
        </w:rPr>
        <w:t xml:space="preserve">۷۶۲. قم؛ معصومیه؛ شماره نسخه: 3- 6285</w:t>
      </w:r>
    </w:p>
    <w:p>
      <w:pPr>
        <w:pStyle w:val="BookText"/>
      </w:pPr>
      <w:r>
        <w:rPr>
          <w:rFonts w:ascii="IRNazanin" w:hAnsi="IRNazanin" w:eastAsia="IRNazanin" w:cs="IRNazanin"/>
          <w:lang w:bidi="fa-IR"/>
          <w:color w:val="111111"/>
          <w:sz w:val="28"/>
          <w:szCs w:val="28"/>
          <w:rtl/>
        </w:rPr>
        <w:t xml:space="preserve">ابیاتی به خط ناظم آن (همان مهدی) در ۱۳۱۹. (در منع صرف و لغت و مطالب دیگر)؛ خط: نسخ، بی کا، تا:قرن ۱۳؛ کاغذ: فرنگی، جلد: مقوا، عطف پارچه، ۲۲ سطر، قطع: ربعی [ آستانه قم: - ۲۲۸  ]</w:t>
      </w:r>
    </w:p>
    <w:p>
      <w:pPr>
        <w:pStyle w:val="BookText"/>
      </w:pPr>
      <w:r>
        <w:rPr>
          <w:rFonts w:ascii="IRNazanin" w:hAnsi="IRNazanin" w:eastAsia="IRNazanin" w:cs="IRNazanin"/>
          <w:lang w:bidi="fa-IR"/>
          <w:color w:val="111111"/>
          <w:sz w:val="28"/>
          <w:szCs w:val="28"/>
          <w:rtl/>
        </w:rPr>
        <w:t xml:space="preserve">۷۶۳. تهران؛ دانشگاه؛ شماره نسخه: ۲۳۵۴/۵-ف</w:t>
      </w:r>
    </w:p>
    <w:p>
      <w:pPr>
        <w:pStyle w:val="BookText"/>
      </w:pPr>
      <w:r>
        <w:rPr>
          <w:rFonts w:ascii="IRNazanin" w:hAnsi="IRNazanin" w:eastAsia="IRNazanin" w:cs="IRNazanin"/>
          <w:lang w:bidi="fa-IR"/>
          <w:color w:val="111111"/>
          <w:sz w:val="28"/>
          <w:szCs w:val="28"/>
          <w:rtl/>
        </w:rPr>
        <w:t xml:space="preserve">نسخه اصل: یوگسلاوی. مثنوی مولانا شمس، هر دو مذهبی اسـت؛</w:t>
      </w:r>
    </w:p>
    <w:p>
      <w:pPr>
        <w:pStyle w:val="BookText"/>
      </w:pPr>
      <w:r>
        <w:rPr>
          <w:rFonts w:ascii="IRNazanin" w:hAnsi="IRNazanin" w:eastAsia="IRNazanin" w:cs="IRNazanin"/>
          <w:lang w:bidi="fa-IR"/>
          <w:color w:val="111111"/>
          <w:sz w:val="28"/>
          <w:szCs w:val="28"/>
          <w:rtl/>
        </w:rPr>
        <w:t xml:space="preserve">بی کا، تا: با تاریخ ۱۲۰۰ق [فیلمها: ۱ - ۶۷۵]</w:t>
      </w:r>
    </w:p>
    <w:p>
      <w:pPr>
        <w:pStyle w:val="BookText"/>
      </w:pPr>
      <w:r>
        <w:rPr>
          <w:rFonts w:ascii="IRNazanin" w:hAnsi="IRNazanin" w:eastAsia="IRNazanin" w:cs="IRNazanin"/>
          <w:lang w:bidi="fa-IR"/>
          <w:color w:val="111111"/>
          <w:sz w:val="28"/>
          <w:szCs w:val="28"/>
          <w:rtl/>
        </w:rPr>
        <w:t xml:space="preserve">۷۶۴. تهران؛ مجلس؛ شماره نسخه: ۱۱۵۱/۲</w:t>
      </w:r>
    </w:p>
    <w:p>
      <w:pPr>
        <w:pStyle w:val="BookText"/>
      </w:pPr>
      <w:r>
        <w:rPr>
          <w:rFonts w:ascii="IRNazanin" w:hAnsi="IRNazanin" w:eastAsia="IRNazanin" w:cs="IRNazanin"/>
          <w:lang w:bidi="fa-IR"/>
          <w:color w:val="111111"/>
          <w:sz w:val="28"/>
          <w:szCs w:val="28"/>
          <w:rtl/>
        </w:rPr>
        <w:t xml:space="preserve">رباعیات: ۱-بدون رعایت قافیه نزدیک ۷۹ رباعی (۴۶۳-۴۴۸)،2-جواب در جواب به ترتیب تهجی نزدیک ۱۵۶ رباعی (۴۶۴- ۴۹۵)؛ خط: نستعلیق چلیپا، بی کا، تا: قرن ۱۳ [سنا: ف: ۲ - ۱۴۲]</w:t>
      </w:r>
    </w:p>
    <w:p>
      <w:pPr>
        <w:pStyle w:val="BookText"/>
      </w:pPr>
      <w:r>
        <w:rPr>
          <w:rFonts w:ascii="IRNazanin" w:hAnsi="IRNazanin" w:eastAsia="IRNazanin" w:cs="IRNazanin"/>
          <w:lang w:bidi="fa-IR"/>
          <w:color w:val="111111"/>
          <w:sz w:val="28"/>
          <w:szCs w:val="28"/>
          <w:rtl/>
        </w:rPr>
        <w:t xml:space="preserve">۷۶۵. تهران؛ مفتاح؛ شماره نسخه: ۱۳۰۸/۴</w:t>
      </w:r>
    </w:p>
    <w:p>
      <w:pPr>
        <w:pStyle w:val="BookText"/>
      </w:pPr>
      <w:r>
        <w:rPr>
          <w:rFonts w:ascii="IRNazanin" w:hAnsi="IRNazanin" w:eastAsia="IRNazanin" w:cs="IRNazanin"/>
          <w:lang w:bidi="fa-IR"/>
          <w:color w:val="111111"/>
          <w:sz w:val="28"/>
          <w:szCs w:val="28"/>
          <w:rtl/>
        </w:rPr>
        <w:t xml:space="preserve">قصیده ای از عطار و شعرهای دیگر؛ خط: نستعلیق، بی کا، تا: قرن ۱۳، قطع: بیاضی وزیری [نشریه: ۷ - ۲۷۷]</w:t>
      </w:r>
    </w:p>
    <w:p>
      <w:pPr>
        <w:pStyle w:val="BookText"/>
      </w:pPr>
      <w:r>
        <w:rPr>
          <w:rFonts w:ascii="Times New Roman" w:hAnsi="Times New Roman" w:eastAsia="Times New Roman" w:cs="Times New Roman"/>
          <w:lang w:val="en-US" w:bidi="en-US"/>
          <w:color w:val="111111"/>
          <w:sz w:val="28"/>
          <w:szCs w:val="28"/>
          <w:rtl/>
        </w:rPr>
        <w:t xml:space="preserve">765.</w:t>
      </w:r>
    </w:p>
    <w:p>
      <w:pPr>
        <w:pStyle w:val="BookText"/>
      </w:pPr>
      <w:r>
        <w:rPr>
          <w:rFonts w:ascii="IRNazanin" w:hAnsi="IRNazanin" w:eastAsia="IRNazanin" w:cs="IRNazanin"/>
          <w:lang w:bidi="fa-IR"/>
          <w:color w:val="111111"/>
          <w:sz w:val="28"/>
          <w:szCs w:val="28"/>
          <w:rtl/>
        </w:rPr>
        <w:t xml:space="preserve">تهران؛ مجلس؛ شماره نسخه: ۷۱۵/۴</w:t>
      </w:r>
    </w:p>
    <w:p>
      <w:pPr>
        <w:pStyle w:val="BookText"/>
      </w:pPr>
      <w:r>
        <w:rPr>
          <w:rFonts w:ascii="IRNazanin" w:hAnsi="IRNazanin" w:eastAsia="IRNazanin" w:cs="IRNazanin"/>
          <w:lang w:bidi="fa-IR"/>
          <w:color w:val="111111"/>
          <w:sz w:val="28"/>
          <w:szCs w:val="28"/>
          <w:rtl/>
        </w:rPr>
        <w:t xml:space="preserve">آغاز: پس از بسمله ... نو بهار است بیا تا طرب از سرگیریم*** سال نو با رغم کهنه ز دل بر گیریم/ چون ربیع و رمضان هر دو بیک بار آیند *** روزه گیریم ولی در مه دیگر گیریم؛ انجام: تازه کردیم من و یار بهم عهد و وفا *** ليك من عهد به دل بستم و آن مه به زبان / سخت سودای من و یار گره خورده شریف *** من گران جانم و ابروی کجش سخت کمان</w:t>
      </w:r>
    </w:p>
    <w:p>
      <w:pPr>
        <w:pStyle w:val="BookText"/>
      </w:pPr>
      <w:r>
        <w:rPr>
          <w:rFonts w:ascii="IRNazanin" w:hAnsi="IRNazanin" w:eastAsia="IRNazanin" w:cs="IRNazanin"/>
          <w:lang w:bidi="fa-IR"/>
          <w:color w:val="111111"/>
          <w:sz w:val="28"/>
          <w:szCs w:val="28"/>
          <w:rtl/>
        </w:rPr>
        <w:t xml:space="preserve">قصاید جلایر است؛ بی کا، تا: قرن ۱۳؛ محشی؛ کاغذ: سفید و آبی ،جلد: تیماج تریاکی ضربی یک لا، ۵۰ص (۸۴-۱۳۳)،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:[سنا: ف: ۲ - ۴۰]</w:t>
      </w:r>
    </w:p>
    <w:p>
      <w:pPr>
        <w:pStyle w:val="BookText"/>
      </w:pPr>
      <w:r>
        <w:rPr>
          <w:rFonts w:ascii="IRNazanin" w:hAnsi="IRNazanin" w:eastAsia="IRNazanin" w:cs="IRNazanin"/>
          <w:lang w:bidi="fa-IR"/>
          <w:color w:val="111111"/>
          <w:sz w:val="28"/>
          <w:szCs w:val="28"/>
          <w:rtl/>
        </w:rPr>
        <w:t xml:space="preserve">۷۶۷. تهران؛ دانشگاه؛ شماره نسخه: ۷۱۵۷</w:t>
      </w:r>
    </w:p>
    <w:p>
      <w:pPr>
        <w:pStyle w:val="BookText"/>
      </w:pPr>
      <w:r>
        <w:rPr>
          <w:rFonts w:ascii="IRNazanin" w:hAnsi="IRNazanin" w:eastAsia="IRNazanin" w:cs="IRNazanin"/>
          <w:lang w:bidi="fa-IR"/>
          <w:color w:val="111111"/>
          <w:sz w:val="28"/>
          <w:szCs w:val="28"/>
          <w:rtl/>
        </w:rPr>
        <w:t xml:space="preserve">قصاید در رثاء و ستایش، حاج شیخ مرتضی از محمد سعید بن شیخ محمود سعيد، حسين بن شيخ احمد قفطان، علی همدانی، شیخ عباس نجل شیخ حسن، میرزا علی و موسی بن جعفر طالقانی، سید صالح رشتی، احمد بن صالح بحرانی، سید محمد على نجل ابوالحسن، مهدی قفطان، «بعض المشتغلين»، محرر نسخه، شیخ جواد محیی الدین، حاج آقای ترک، شیخ حسین کرکی، شیخ محسن بن علی منصوری، شیخ احمد قفطان؛ خط: نسخ، بی کا، تا: قرن ۱۳؛ کاغذ: فرنگی، جلد: تیماج مشکی لایی، ۶۸گ، ۱۲ سطر (۵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 قطع : بغلی ، اندازه:۱۱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۱۵/۵سم [ف: ۱۶-۴۶۸]</w:t>
      </w:r>
    </w:p>
    <w:p>
      <w:pPr>
        <w:pStyle w:val="BookText"/>
      </w:pPr>
      <w:r>
        <w:rPr>
          <w:rFonts w:ascii="IRNazanin" w:hAnsi="IRNazanin" w:eastAsia="IRNazanin" w:cs="IRNazanin"/>
          <w:lang w:bidi="fa-IR"/>
          <w:color w:val="111111"/>
          <w:sz w:val="28"/>
          <w:szCs w:val="28"/>
          <w:rtl/>
        </w:rPr>
        <w:t xml:space="preserve">۷۶۸. مشهد؛ رضوی؛ شماره نسخه: ۱۶۲۲۲/۵</w:t>
      </w:r>
    </w:p>
    <w:p>
      <w:pPr>
        <w:pStyle w:val="BookText"/>
      </w:pPr>
      <w:r>
        <w:rPr>
          <w:rFonts w:ascii="IRNazanin" w:hAnsi="IRNazanin" w:eastAsia="IRNazanin" w:cs="IRNazanin"/>
          <w:lang w:bidi="fa-IR"/>
          <w:color w:val="111111"/>
          <w:sz w:val="28"/>
          <w:szCs w:val="28"/>
          <w:rtl/>
        </w:rPr>
        <w:t xml:space="preserve">آغاز: جان هر کسی بیاد تو ایجان ستان دهد *** من جان برای آنکه بیاد تو جان دهد / طوفان ترا بخفریه گفتن چه احتیاج *** خورشید از آن گذشت که خود را نشان دهد</w:t>
      </w:r>
    </w:p>
    <w:p>
      <w:pPr>
        <w:pStyle w:val="BookText"/>
      </w:pPr>
      <w:r>
        <w:rPr>
          <w:rFonts w:ascii="IRNazanin" w:hAnsi="IRNazanin" w:eastAsia="IRNazanin" w:cs="IRNazanin"/>
          <w:lang w:bidi="fa-IR"/>
          <w:color w:val="111111"/>
          <w:sz w:val="28"/>
          <w:szCs w:val="28"/>
          <w:rtl/>
        </w:rPr>
        <w:t xml:space="preserve">قصاید و مخمس و ترجیع بند، در مدح حضرت علی (علیه السّلام)، حکایت کشتی گرفتن حضرت پیامبر (صلّی اللَّهِ علیه وَ آلِهِ وَ سَلَّمَ ) با امیرالمؤمنین (علیه السّلام)، قصيده در مدح حضرت حجة صاحب الزمان (عجّل الله تعالی فرجه الشریف)، قصايد مختلف در مدح حضرت علی (علیه السّلام) و پیامبر اکرم (صلّی اللَّهِ علیه وَ آلِهِ وَ سَلَّمَ )، از صادق، عرفی شیرازی( قصیده هراس و مماس) ،نشاطی، نظامی، خواجوی کرمانی و شاعران مختلف در مدح حضرت فاطمه زهرا (علیها السّلام) و نیز قصایدی در مدح امام رضا (علیه السّلام) ، قصاید و هفت بند در مدح حضرت صاحب الزمان (علیه السّلام) در عروسی دختر رسول الله حضرت فاطمه زهرا (علیها السّلام) در مدح امام حسین (علیه السّلام) از نصیری طوفان هزار جریبی (-۱۱۹۰ق) ابن حسام ،فدایی، قاآنی؛ خط: نستعلیق، کا: واصف، تا: قرن ۱۳؛ واگذاری بنیاد مستضعفان در شهریور ۱۳۶۷؛ کاغذ: شکری و حنایی آهاری ،جلد: تیماج ضربی ماشی، ۹۳ص
</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(۱۴۴ - ۳۲۹)، ۲۰ سطر، اندازه: ۲۱/۲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۳۴/۶سم [ف: ۱۷ - ۴۷۳]</w:t>
      </w:r>
    </w:p>
    <w:p>
      <w:pPr>
        <w:pStyle w:val="BookText"/>
      </w:pPr>
      <w:r>
        <w:rPr>
          <w:rFonts w:ascii="IRNazanin" w:hAnsi="IRNazanin" w:eastAsia="IRNazanin" w:cs="IRNazanin"/>
          <w:lang w:bidi="fa-IR"/>
          <w:color w:val="111111"/>
          <w:sz w:val="28"/>
          <w:szCs w:val="28"/>
          <w:rtl/>
        </w:rPr>
        <w:t xml:space="preserve">۷۶۹. تهران؛ لغت نامه دهخدا؛ شماره نسخه: ۹۱/۶</w:t>
      </w:r>
    </w:p>
    <w:p>
      <w:pPr>
        <w:pStyle w:val="BookText"/>
      </w:pPr>
      <w:r>
        <w:rPr>
          <w:rFonts w:ascii="IRNazanin" w:hAnsi="IRNazanin" w:eastAsia="IRNazanin" w:cs="IRNazanin"/>
          <w:lang w:bidi="fa-IR"/>
          <w:color w:val="111111"/>
          <w:sz w:val="28"/>
          <w:szCs w:val="28"/>
          <w:rtl/>
        </w:rPr>
        <w:t xml:space="preserve">قصایدی از قاآنی و ناصر خسرو است؛ خط: شکسته نستعلیق، بی کا، تا: قرن ۱۳، جلد: گالینگورعطف تیماج سبز خشتی [ نشریه: 3- 43]</w:t>
      </w:r>
    </w:p>
    <w:p>
      <w:pPr>
        <w:pStyle w:val="BookText"/>
      </w:pPr>
      <w:r>
        <w:rPr>
          <w:rFonts w:ascii="IRNazanin" w:hAnsi="IRNazanin" w:eastAsia="IRNazanin" w:cs="IRNazanin"/>
          <w:lang w:bidi="fa-IR"/>
          <w:color w:val="111111"/>
          <w:sz w:val="28"/>
          <w:szCs w:val="28"/>
          <w:rtl/>
        </w:rPr>
        <w:t xml:space="preserve">۷۷۰. تهران؛ مجلس؛ شماره نسخه: ۱۱۰۹/۱۹</w:t>
      </w:r>
    </w:p>
    <w:p>
      <w:pPr>
        <w:pStyle w:val="BookText"/>
      </w:pPr>
      <w:r>
        <w:rPr>
          <w:rFonts w:ascii="IRNazanin" w:hAnsi="IRNazanin" w:eastAsia="IRNazanin" w:cs="IRNazanin"/>
          <w:lang w:bidi="fa-IR"/>
          <w:color w:val="111111"/>
          <w:sz w:val="28"/>
          <w:szCs w:val="28"/>
          <w:rtl/>
        </w:rPr>
        <w:t xml:space="preserve">قصائد منتخباتی است از حافظ با عنوان «من مقالاته»؛ خـط: نستعلیق، بی کا، تا: قرن ۱۳ ؛کاغذ: فرنگی سفید، جلد: گالینگور مشکی عطف تیماج قهوه ای، ۲۴ص (۲۹۴-۳۱۷)، ۱۳ سطر، قـطع: رقعی،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۳ - ۵۶۲]</w:t>
      </w:r>
    </w:p>
    <w:p>
      <w:pPr>
        <w:pStyle w:val="BookText"/>
      </w:pPr>
      <w:r>
        <w:rPr>
          <w:rFonts w:ascii="IRNazanin" w:hAnsi="IRNazanin" w:eastAsia="IRNazanin" w:cs="IRNazanin"/>
          <w:lang w:bidi="fa-IR"/>
          <w:color w:val="111111"/>
          <w:sz w:val="28"/>
          <w:szCs w:val="28"/>
          <w:rtl/>
        </w:rPr>
        <w:t xml:space="preserve">۷۷۱. تهران؛ دانشگاه؛ شماره نسخه: ۷۴۲۳/۲</w:t>
      </w:r>
    </w:p>
    <w:p>
      <w:pPr>
        <w:pStyle w:val="BookText"/>
      </w:pPr>
      <w:r>
        <w:rPr>
          <w:rFonts w:ascii="IRNazanin" w:hAnsi="IRNazanin" w:eastAsia="IRNazanin" w:cs="IRNazanin"/>
          <w:lang w:bidi="fa-IR"/>
          <w:color w:val="111111"/>
          <w:sz w:val="28"/>
          <w:szCs w:val="28"/>
          <w:rtl/>
        </w:rPr>
        <w:t xml:space="preserve">قصاید است در ستایش علی و امام دیگر از کاشی آملی و عرفی؛ خط: نستعلیق، بی کا، تا: قرن ۱۳؛ کاغذ: فرنگی،جلد: تیماج حنایی مقوایی، ۴۵ ص (۲۱-۶۶)، ۱۲ سطر (۶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۱۱/۵)، قطع : بغلی،اندازه: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۱۷/۵سم [ف : ۱۶ - ۵۵۶]</w:t>
      </w:r>
    </w:p>
    <w:p>
      <w:pPr>
        <w:pStyle w:val="BookText"/>
      </w:pPr>
      <w:r>
        <w:rPr>
          <w:rFonts w:ascii="IRNazanin" w:hAnsi="IRNazanin" w:eastAsia="IRNazanin" w:cs="IRNazanin"/>
          <w:lang w:bidi="fa-IR"/>
          <w:color w:val="111111"/>
          <w:sz w:val="28"/>
          <w:szCs w:val="28"/>
          <w:rtl/>
        </w:rPr>
        <w:t xml:space="preserve">۷۷۲. تهران؛ ملی؛ شماره نسخه: ۱۳۴۴</w:t>
      </w:r>
    </w:p>
    <w:p>
      <w:pPr>
        <w:pStyle w:val="BookText"/>
      </w:pPr>
      <w:r>
        <w:rPr>
          <w:rFonts w:ascii="IRNazanin" w:hAnsi="IRNazanin" w:eastAsia="IRNazanin" w:cs="IRNazanin"/>
          <w:lang w:bidi="fa-IR"/>
          <w:color w:val="111111"/>
          <w:sz w:val="28"/>
          <w:szCs w:val="28"/>
          <w:rtl/>
        </w:rPr>
        <w:t xml:space="preserve">آغاز: مبنددل بسرائی که گور تو بکند *** کفن بپوش که پوسید جامه (یک کلمه پاک شده است)؛ انجام: ختم سخن برده ایم دفتر اول *** مدح شهنشاه دین جلد مهین را.</w:t>
      </w:r>
    </w:p>
    <w:p>
      <w:pPr>
        <w:pStyle w:val="BookText"/>
      </w:pPr>
      <w:r>
        <w:rPr>
          <w:rFonts w:ascii="IRNazanin" w:hAnsi="IRNazanin" w:eastAsia="IRNazanin" w:cs="IRNazanin"/>
          <w:lang w:bidi="fa-IR"/>
          <w:color w:val="111111"/>
          <w:sz w:val="28"/>
          <w:szCs w:val="28"/>
          <w:rtl/>
        </w:rPr>
        <w:t xml:space="preserve">از: حشمت، در این نسخه قصاید حشمت بدون مراعات ترتـیب حروف آخر قوافی آمده؛ خط: شکسته نستعلیق، بی کا، تا: ۱۳؛ افتادگی: آغاز ؛ مجدول؛ کاغذ: فرنگی، جلد: تیماج ، ماشی، مقوا ، ۸۸گ، ۱۷ سطر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۳ - ۴۰۶]</w:t>
      </w:r>
    </w:p>
    <w:p>
      <w:pPr>
        <w:pStyle w:val="BookText"/>
      </w:pPr>
      <w:r>
        <w:rPr>
          <w:rFonts w:ascii="IRNazanin" w:hAnsi="IRNazanin" w:eastAsia="IRNazanin" w:cs="IRNazanin"/>
          <w:lang w:bidi="fa-IR"/>
          <w:color w:val="111111"/>
          <w:sz w:val="28"/>
          <w:szCs w:val="28"/>
          <w:rtl/>
        </w:rPr>
        <w:t xml:space="preserve">۷۷۳. تهران؛ مجلس؛ شماره نسخه: ۵۸۵۱/۱</w:t>
      </w:r>
    </w:p>
    <w:p>
      <w:pPr>
        <w:pStyle w:val="BookText"/>
      </w:pPr>
      <w:r>
        <w:rPr>
          <w:rFonts w:ascii="IRNazanin" w:hAnsi="IRNazanin" w:eastAsia="IRNazanin" w:cs="IRNazanin"/>
          <w:lang w:bidi="fa-IR"/>
          <w:color w:val="111111"/>
          <w:sz w:val="28"/>
          <w:szCs w:val="28"/>
          <w:rtl/>
        </w:rPr>
        <w:t xml:space="preserve">آغاز: که این طریق از اجساد هفتگانه بود *** بوقت طرح درخـت امیدوار ثمر؛ انجام: خواهیش دان یقین و خواه مدان</w:t>
      </w:r>
    </w:p>
    <w:p>
      <w:pPr>
        <w:pStyle w:val="BookText"/>
      </w:pPr>
      <w:r>
        <w:rPr>
          <w:rFonts w:ascii="IRNazanin" w:hAnsi="IRNazanin" w:eastAsia="IRNazanin" w:cs="IRNazanin"/>
          <w:lang w:bidi="fa-IR"/>
          <w:color w:val="111111"/>
          <w:sz w:val="28"/>
          <w:szCs w:val="28"/>
          <w:rtl/>
        </w:rPr>
        <w:t xml:space="preserve">قصائد و منظوماتی است در کیمیا از: ابن ولید، ابن اسمعیل طغرائی ،مولوی رومی، شاه نعمة الله، بدیهی، ابن عمویه، شمس ؛خط: نستعلیق، بی کا، تا: قرن ۱۳ ؛کاغذ: شکری و سفید رنـگ فرنگی مارک دار (با نقش امیر کبیر) ،جلد: تیماج قهوه ای ضربی، ۴۰ ص (۲-۴۲) ،قطع: رقعی، اندازه: 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۱۷ - ۲۵۸]</w:t>
      </w:r>
    </w:p>
    <w:p>
      <w:pPr>
        <w:pStyle w:val="BookText"/>
      </w:pPr>
      <w:r>
        <w:rPr>
          <w:rFonts w:ascii="IRNazanin" w:hAnsi="IRNazanin" w:eastAsia="IRNazanin" w:cs="IRNazanin"/>
          <w:lang w:bidi="fa-IR"/>
          <w:color w:val="111111"/>
          <w:sz w:val="28"/>
          <w:szCs w:val="28"/>
          <w:rtl/>
        </w:rPr>
        <w:t xml:space="preserve">۷۷۴. تهران؛ ملک؛ شماره نسخه: ۴۶۱۵</w:t>
      </w:r>
    </w:p>
    <w:p>
      <w:pPr>
        <w:pStyle w:val="BookText"/>
      </w:pPr>
      <w:r>
        <w:rPr>
          <w:rFonts w:ascii="IRNazanin" w:hAnsi="IRNazanin" w:eastAsia="IRNazanin" w:cs="IRNazanin"/>
          <w:lang w:bidi="fa-IR"/>
          <w:color w:val="111111"/>
          <w:sz w:val="28"/>
          <w:szCs w:val="28"/>
          <w:rtl/>
        </w:rPr>
        <w:t xml:space="preserve">آغاز: قمر اول. ماه اول نعل بر آتش نهاد *** بار ما بر خنگکی سرکش نهاد / صرعیا بگریز که ماه نوشت *** ماه نو پیغمبر  از کیخسروست؛ انجام: این سخن سرست و رمزی من کلان*** گوش فرما تا کنم بهرت بیان / دیدی ار از  سمع حکمت گر کسی *** دان که وی از نطق حق است اخرسی به وزن مثنوی چنانکه در مقدمه آن که به عربی است آمده اسـت، در پنج قمر است ؛خط: نستعلیق، بی کا، تا: قرن ۱۳؛افتادگی: انجام؛ كاغذ: فرنگی آهار مهره، جلد: باسمه ای روغنی، ۳۴۸ گ،۹سطر، اندازه: 11/8</w:t>
      </w:r>
      <w:r>
        <w:rPr>
          <w:rFonts w:ascii="Times New Roman" w:hAnsi="Times New Roman" w:eastAsia="Times New Roman" w:cs="Times New Roman"/>
          <w:lang w:val="en-US" w:bidi="en-US"/>
          <w:color w:val="111111"/>
          <w:sz w:val="28"/>
          <w:szCs w:val="28"/>
          <w:rtl/>
        </w:rPr>
        <w:t xml:space="preserve">×17/7</w:t>
      </w:r>
      <w:r>
        <w:rPr>
          <w:rFonts w:ascii="IRNazanin" w:hAnsi="IRNazanin" w:eastAsia="IRNazanin" w:cs="IRNazanin"/>
          <w:lang w:bidi="fa-IR"/>
          <w:color w:val="111111"/>
          <w:sz w:val="28"/>
          <w:szCs w:val="28"/>
          <w:rtl/>
        </w:rPr>
        <w:t xml:space="preserve">سم [ف: ۳ - ۵۹۰]</w:t>
      </w:r>
    </w:p>
    <w:p>
      <w:pPr>
        <w:pStyle w:val="BookText"/>
      </w:pPr>
      <w:r>
        <w:rPr>
          <w:rFonts w:ascii="IRNazanin" w:hAnsi="IRNazanin" w:eastAsia="IRNazanin" w:cs="IRNazanin"/>
          <w:lang w:bidi="fa-IR"/>
          <w:color w:val="111111"/>
          <w:sz w:val="28"/>
          <w:szCs w:val="28"/>
          <w:rtl/>
        </w:rPr>
        <w:t xml:space="preserve">۷۷۵. تهران؛ مفتاح؛ شماره نسخه: ۶۵۸/۳</w:t>
      </w:r>
    </w:p>
    <w:p>
      <w:pPr>
        <w:pStyle w:val="BookText"/>
      </w:pPr>
      <w:r>
        <w:rPr>
          <w:rFonts w:ascii="IRNazanin" w:hAnsi="IRNazanin" w:eastAsia="IRNazanin" w:cs="IRNazanin"/>
          <w:lang w:bidi="fa-IR"/>
          <w:color w:val="111111"/>
          <w:sz w:val="28"/>
          <w:szCs w:val="28"/>
          <w:rtl/>
        </w:rPr>
        <w:t xml:space="preserve">داستان خواجه عزیز و خواجه خسرو همدانی است به وزن مثنوی؛خط: شکسته نستعلیق، بی کا، تا: قرن ۱۳؛ قطع: ربعی [نشریه: ۷-۲۵۱]</w:t>
      </w:r>
    </w:p>
    <w:p>
      <w:pPr>
        <w:pStyle w:val="BookText"/>
      </w:pPr>
      <w:r>
        <w:rPr>
          <w:rFonts w:ascii="IRNazanin" w:hAnsi="IRNazanin" w:eastAsia="IRNazanin" w:cs="IRNazanin"/>
          <w:lang w:bidi="fa-IR"/>
          <w:color w:val="111111"/>
          <w:sz w:val="28"/>
          <w:szCs w:val="28"/>
          <w:rtl/>
        </w:rPr>
        <w:t xml:space="preserve">۷۷۶. تهران؛ مجلس؛ شماره نسخه: ۸۵۳/۱</w:t>
      </w:r>
    </w:p>
    <w:p>
      <w:pPr>
        <w:pStyle w:val="BookText"/>
      </w:pPr>
      <w:r>
        <w:rPr>
          <w:rFonts w:ascii="IRNazanin" w:hAnsi="IRNazanin" w:eastAsia="IRNazanin" w:cs="IRNazanin"/>
          <w:lang w:bidi="fa-IR"/>
          <w:color w:val="111111"/>
          <w:sz w:val="28"/>
          <w:szCs w:val="28"/>
          <w:rtl/>
        </w:rPr>
        <w:t xml:space="preserve">آغاز: پس از بسمله. حمد مران قادری را کز کرم *** با دو حرف آورد هستی از عدم/ پس ثنا و پس سپاس آن را سزاست *** که ورا نه ابتدا نه انتهاست؛ انجام: چون بدانستم که صاحب شد بکام *** بسته لب کردم بر آن ختم کلام / شکر ایزد را که شد دفتر تمام *** اندران مطلب که بد عین مرام</w:t>
      </w:r>
    </w:p>
    <w:p>
      <w:pPr>
        <w:pStyle w:val="BookText"/>
      </w:pPr>
      <w:r>
        <w:rPr>
          <w:rFonts w:ascii="IRNazanin" w:hAnsi="IRNazanin" w:eastAsia="IRNazanin" w:cs="IRNazanin"/>
          <w:lang w:bidi="fa-IR"/>
          <w:color w:val="111111"/>
          <w:sz w:val="28"/>
          <w:szCs w:val="28"/>
          <w:rtl/>
        </w:rPr>
        <w:t xml:space="preserve">مثنوی گلخن فقراء؛ خط: نستعلیق، بی کا، تا: قرن ۱۳؛ کاغذ: سفید، جلد: تیماج مشکی مقوایی، عطف و دور و دورن تیماج زرد، ۱۲ سطر (۶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[سنا: ف: ۲ - ۷۶]</w:t>
      </w:r>
    </w:p>
    <w:p>
      <w:pPr>
        <w:pStyle w:val="BookText"/>
      </w:pPr>
      <w:r>
        <w:rPr>
          <w:rFonts w:ascii="IRNazanin" w:hAnsi="IRNazanin" w:eastAsia="IRNazanin" w:cs="IRNazanin"/>
          <w:lang w:bidi="fa-IR"/>
          <w:color w:val="111111"/>
          <w:sz w:val="28"/>
          <w:szCs w:val="28"/>
          <w:rtl/>
        </w:rPr>
        <w:t xml:space="preserve">۷۷۷. مشهد؛ رضوی؛ شماره نسخه: ۱۵۸۴۱</w:t>
      </w:r>
    </w:p>
    <w:p>
      <w:pPr>
        <w:pStyle w:val="BookText"/>
      </w:pPr>
      <w:r>
        <w:rPr>
          <w:rFonts w:ascii="IRNazanin" w:hAnsi="IRNazanin" w:eastAsia="IRNazanin" w:cs="IRNazanin"/>
          <w:lang w:bidi="fa-IR"/>
          <w:color w:val="111111"/>
          <w:sz w:val="28"/>
          <w:szCs w:val="28"/>
          <w:rtl/>
        </w:rPr>
        <w:t xml:space="preserve">آغاز: بیا و پهلی سنگ من اندر *** بنه تو سنگ خود ای یار مهتر؛</w:t>
      </w:r>
    </w:p>
    <w:p>
      <w:pPr>
        <w:pStyle w:val="BookText"/>
      </w:pPr>
      <w:r>
        <w:rPr>
          <w:rFonts w:ascii="IRNazanin" w:hAnsi="IRNazanin" w:eastAsia="IRNazanin" w:cs="IRNazanin"/>
          <w:lang w:bidi="fa-IR"/>
          <w:color w:val="111111"/>
          <w:sz w:val="28"/>
          <w:szCs w:val="28"/>
          <w:rtl/>
        </w:rPr>
        <w:t xml:space="preserve">انجام: ز دنیای مزن لاف کذا فی *** پس از دنیا عفافی کفافی شرح احادیثی است از حضرت رسول (صلّی اللَّهِ علیه وَ آلِهِ وَ سَلَّمَ ) که ناظم آن را در قالب مثنوى توأم با حکایات بیان کرده؛ خط: نستعلیق، بی کا، تا: قرن ۱۳؛ افتادگی: آغاز و انجام؛ کاغذ: نخودی، ۳۵گ، ۱۳ سطر،  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 ۱۷ - ۳۸۸]</w:t>
      </w:r>
    </w:p>
    <w:p>
      <w:pPr>
        <w:pStyle w:val="BookText"/>
      </w:pPr>
      <w:r>
        <w:rPr>
          <w:rFonts w:ascii="IRNazanin" w:hAnsi="IRNazanin" w:eastAsia="IRNazanin" w:cs="IRNazanin"/>
          <w:lang w:bidi="fa-IR"/>
          <w:color w:val="111111"/>
          <w:sz w:val="28"/>
          <w:szCs w:val="28"/>
          <w:rtl/>
        </w:rPr>
        <w:t xml:space="preserve">۷۷۸. مشهد؛ رضوی؛ شماره نسخه: ۱۶۷۸۰/۱</w:t>
      </w:r>
    </w:p>
    <w:p>
      <w:pPr>
        <w:pStyle w:val="BookText"/>
      </w:pPr>
      <w:r>
        <w:rPr>
          <w:rFonts w:ascii="IRNazanin" w:hAnsi="IRNazanin" w:eastAsia="IRNazanin" w:cs="IRNazanin"/>
          <w:lang w:bidi="fa-IR"/>
          <w:color w:val="111111"/>
          <w:sz w:val="28"/>
          <w:szCs w:val="28"/>
          <w:rtl/>
        </w:rPr>
        <w:t xml:space="preserve">آغاز: بگفتا بصالح به تند و غضب *** چرا مانده [ای] اینچنین عقب؛انجام: بدیدار هم شاد و خرم شدند *** دل از غم ستردند بی غم شدند ... بر اهل بیتش هزار آفرین *** که هم طیبین اند و هم طاهرين</w:t>
      </w:r>
    </w:p>
    <w:p>
      <w:pPr>
        <w:pStyle w:val="BookText"/>
      </w:pPr>
      <w:r>
        <w:rPr>
          <w:rFonts w:ascii="IRNazanin" w:hAnsi="IRNazanin" w:eastAsia="IRNazanin" w:cs="IRNazanin"/>
          <w:lang w:bidi="fa-IR"/>
          <w:color w:val="111111"/>
          <w:sz w:val="28"/>
          <w:szCs w:val="28"/>
          <w:rtl/>
        </w:rPr>
        <w:t xml:space="preserve">مثنوی است در بحر متقارب درباره معجزات پیامبر اکرم (صلّی اللَّهِ علیه وَ آلِهِ وَ سَلَّمَ ) و حضرت علی (علیه السّلام) ، ماجرای مبارزه طال كافر شاه مغرب زمین با صالح و حضرت علی (علیه السّلام) و ....؛ خط: نستعلیق، بی کا، تا: قرن ۱۳؛ افتادگی: آغاز؛ تاریخ وقف: اسفند ۱۳۶۷؛ کاغذ: نخودی، جلد: تیماج قهوه ای، ۱۵ 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۱۷ – ۴۶۷]</w:t>
      </w:r>
    </w:p>
    <w:p>
      <w:pPr>
        <w:pStyle w:val="BookText"/>
      </w:pPr>
      <w:r>
        <w:rPr>
          <w:rFonts w:ascii="IRNazanin" w:hAnsi="IRNazanin" w:eastAsia="IRNazanin" w:cs="IRNazanin"/>
          <w:lang w:bidi="fa-IR"/>
          <w:color w:val="111111"/>
          <w:sz w:val="28"/>
          <w:szCs w:val="28"/>
          <w:rtl/>
        </w:rPr>
        <w:t xml:space="preserve">۷۷۹. تهران؛ ملک؛ شماره نسخه: ۴۸۱۸/۲</w:t>
      </w:r>
    </w:p>
    <w:p>
      <w:pPr>
        <w:pStyle w:val="BookText"/>
      </w:pPr>
      <w:r>
        <w:rPr>
          <w:rFonts w:ascii="IRNazanin" w:hAnsi="IRNazanin" w:eastAsia="IRNazanin" w:cs="IRNazanin"/>
          <w:lang w:bidi="fa-IR"/>
          <w:color w:val="111111"/>
          <w:sz w:val="28"/>
          <w:szCs w:val="28"/>
          <w:rtl/>
        </w:rPr>
        <w:t xml:space="preserve">آغاز: الهی بمستان میخانه است *** بعقل آفرینان دیوانه ات / بدریا کش لجه كبريا *** که آمد بشأنش فرود انما؛ انجام: شراب شهادت بكامش رسان ***بجد عليه السلامش رسان</w:t>
      </w:r>
    </w:p>
    <w:p>
      <w:pPr>
        <w:pStyle w:val="BookText"/>
      </w:pPr>
      <w:r>
        <w:rPr>
          <w:rFonts w:ascii="IRNazanin" w:hAnsi="IRNazanin" w:eastAsia="IRNazanin" w:cs="IRNazanin"/>
          <w:lang w:bidi="fa-IR"/>
          <w:color w:val="111111"/>
          <w:sz w:val="28"/>
          <w:szCs w:val="28"/>
          <w:rtl/>
        </w:rPr>
        <w:t xml:space="preserve">مثنوی عرفانی است؛ خط: شکسته نستعلیق ، بی کا، تا: قرن 13؛کاغذ: آهار مهره فرنگی، جلد: میشن قرمز ضربی،3گ (156پ- 159)، ۱۶ سطر، اندازه: ۱۴/۲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۲۱/۶سم [ف: ۸ - ۱۰۲]</w:t>
      </w:r>
    </w:p>
    <w:p>
      <w:pPr>
        <w:pStyle w:val="BookText"/>
      </w:pPr>
      <w:r>
        <w:rPr>
          <w:rFonts w:ascii="IRNazanin" w:hAnsi="IRNazanin" w:eastAsia="IRNazanin" w:cs="IRNazanin"/>
          <w:lang w:bidi="fa-IR"/>
          <w:color w:val="111111"/>
          <w:sz w:val="28"/>
          <w:szCs w:val="28"/>
          <w:rtl/>
        </w:rPr>
        <w:t xml:space="preserve">۷۸۰. تهران؛ ملک؛ شماره نسخه: ۵۳۹۵/۳</w:t>
      </w:r>
    </w:p>
    <w:p>
      <w:pPr>
        <w:pStyle w:val="BookText"/>
      </w:pPr>
      <w:r>
        <w:rPr>
          <w:rFonts w:ascii="IRNazanin" w:hAnsi="IRNazanin" w:eastAsia="IRNazanin" w:cs="IRNazanin"/>
          <w:lang w:bidi="fa-IR"/>
          <w:color w:val="111111"/>
          <w:sz w:val="28"/>
          <w:szCs w:val="28"/>
          <w:rtl/>
        </w:rPr>
        <w:t xml:space="preserve">آغاز:( و سه برگ سفید گذارده اند) دل چه باشد قطره دریای قدم *** در شکسته عقل را آنجا قدم؛ انجام: بیش از این با خلق گفتن روی نیست *** بحر را گنجایی اندرجوی نیست / در نیابد حال پخته هیچ خام *** پس سخن گوتاه باید والسلام</w:t>
      </w:r>
    </w:p>
    <w:p>
      <w:pPr>
        <w:pStyle w:val="BookText"/>
      </w:pPr>
      <w:r>
        <w:rPr>
          <w:rFonts w:ascii="IRNazanin" w:hAnsi="IRNazanin" w:eastAsia="IRNazanin" w:cs="IRNazanin"/>
          <w:lang w:bidi="fa-IR"/>
          <w:color w:val="111111"/>
          <w:sz w:val="28"/>
          <w:szCs w:val="28"/>
          <w:rtl/>
        </w:rPr>
        <w:t xml:space="preserve">مثنوی عرفانی پیرامن ۱۹۰۰ بیت. در آن شعرهایی از مثنوی معنوی گواه آورده است. و در آن آمده: چون ز قهر حق نترسی ای سلیم*** گشته ای تو هیزم نار حجیم. جای دیگر حرف حکمت زبان آن لئيم *** حله های عاریت دان ای سلیم؛ خط: نستعلیق،
</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 کا، تا: قرن ۱۳؛ افتادگی: آغاز؛ کاغذ: فرنگی آهار مهره، ۱۰۸گ (96ر- 204)، ۱۱ سطر، اندازه:۱۲/۲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۱۸/۸سم [ف:8- 326]</w:t>
      </w:r>
    </w:p>
    <w:p>
      <w:pPr>
        <w:pStyle w:val="BookText"/>
      </w:pPr>
      <w:r>
        <w:rPr>
          <w:rFonts w:ascii="IRNazanin" w:hAnsi="IRNazanin" w:eastAsia="IRNazanin" w:cs="IRNazanin"/>
          <w:lang w:bidi="fa-IR"/>
          <w:color w:val="111111"/>
          <w:sz w:val="28"/>
          <w:szCs w:val="28"/>
          <w:rtl/>
        </w:rPr>
        <w:t xml:space="preserve">۷۸۱. تهران؛ دانشگاه؛ شماره نسخه: ۹۸۸۳</w:t>
      </w:r>
    </w:p>
    <w:p>
      <w:pPr>
        <w:pStyle w:val="BookText"/>
      </w:pPr>
      <w:r>
        <w:rPr>
          <w:rFonts w:ascii="IRNazanin" w:hAnsi="IRNazanin" w:eastAsia="IRNazanin" w:cs="IRNazanin"/>
          <w:lang w:bidi="fa-IR"/>
          <w:color w:val="111111"/>
          <w:sz w:val="28"/>
          <w:szCs w:val="28"/>
          <w:rtl/>
        </w:rPr>
        <w:t xml:space="preserve">آغاز: نمایم نمایم به نام خدا ابتدا خدایی که نبود و را انتها؛ انجـام: دلبر خود را یگانه دیده اند*** این چنین معشوق را بگزیده اند</w:t>
      </w:r>
    </w:p>
    <w:p>
      <w:pPr>
        <w:pStyle w:val="BookText"/>
      </w:pPr>
      <w:r>
        <w:rPr>
          <w:rFonts w:ascii="IRNazanin" w:hAnsi="IRNazanin" w:eastAsia="IRNazanin" w:cs="IRNazanin"/>
          <w:lang w:bidi="fa-IR"/>
          <w:color w:val="111111"/>
          <w:sz w:val="28"/>
          <w:szCs w:val="28"/>
          <w:rtl/>
        </w:rPr>
        <w:t xml:space="preserve">مثنوی گویا از خود حیرانی با تخلص «حیران»؛ خط: نستعلیق،کا: حیرانی کرمانی، تا: قرن ۱۳ ؛کاغذ: فرنگی ،جلد: مقوا، ۱۵۳گ، ۱۷ سطر (۶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۱۱/۵) ، قطع: بغلی، اندازه: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۱۸/۵سم [ف: ۱۷-  500]</w:t>
      </w:r>
    </w:p>
    <w:p>
      <w:pPr>
        <w:pStyle w:val="BookText"/>
      </w:pPr>
      <w:r>
        <w:rPr>
          <w:rFonts w:ascii="IRNazanin" w:hAnsi="IRNazanin" w:eastAsia="IRNazanin" w:cs="IRNazanin"/>
          <w:lang w:bidi="fa-IR"/>
          <w:color w:val="111111"/>
          <w:sz w:val="28"/>
          <w:szCs w:val="28"/>
          <w:rtl/>
        </w:rPr>
        <w:t xml:space="preserve">۷۸۲. تهران؛ دانشگاه؛ شماره نسخه: ۷۹۷۵/۲</w:t>
      </w:r>
    </w:p>
    <w:p>
      <w:pPr>
        <w:pStyle w:val="BookText"/>
      </w:pPr>
      <w:r>
        <w:rPr>
          <w:rFonts w:ascii="IRNazanin" w:hAnsi="IRNazanin" w:eastAsia="IRNazanin" w:cs="IRNazanin"/>
          <w:lang w:bidi="fa-IR"/>
          <w:color w:val="111111"/>
          <w:sz w:val="28"/>
          <w:szCs w:val="28"/>
          <w:rtl/>
        </w:rPr>
        <w:t xml:space="preserve">مثنوی است با عنوان حکایت؛ خط: نستعلیق، بی کا، تا: قرن 13؛کاغذ: فرنگی کبود ،جلد: تیماج آلبالویی ضربی ،۱۳ سـطر(۶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قطع: ربعی،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۱۶ - ۷۵۳]</w:t>
      </w:r>
    </w:p>
    <w:p>
      <w:pPr>
        <w:pStyle w:val="BookText"/>
      </w:pPr>
      <w:r>
        <w:rPr>
          <w:rFonts w:ascii="IRNazanin" w:hAnsi="IRNazanin" w:eastAsia="IRNazanin" w:cs="IRNazanin"/>
          <w:lang w:bidi="fa-IR"/>
          <w:color w:val="111111"/>
          <w:sz w:val="28"/>
          <w:szCs w:val="28"/>
          <w:rtl/>
        </w:rPr>
        <w:t xml:space="preserve">۷۸۳. تهران؛ مجلس؛ شماره نسخه: ۹۳۳۵/۷</w:t>
      </w:r>
    </w:p>
    <w:p>
      <w:pPr>
        <w:pStyle w:val="BookText"/>
      </w:pPr>
      <w:r>
        <w:rPr>
          <w:rFonts w:ascii="IRNazanin" w:hAnsi="IRNazanin" w:eastAsia="IRNazanin" w:cs="IRNazanin"/>
          <w:lang w:bidi="fa-IR"/>
          <w:color w:val="111111"/>
          <w:sz w:val="28"/>
          <w:szCs w:val="28"/>
          <w:rtl/>
        </w:rPr>
        <w:t xml:space="preserve">مثنویات متفرقه است. از جمله منتخب فرهاد و شیرین وحشی و حکایات بوستان و غیره؛ خط: نستعلیق، بی کا، تا: قرن13،۵۳ ص (۲۹۷-۳۰۲ و ۳۱۳- ۳۶۱) [ مختصر: ف: - ۷۱۲]</w:t>
      </w:r>
    </w:p>
    <w:p>
      <w:pPr>
        <w:pStyle w:val="BookText"/>
      </w:pPr>
      <w:r>
        <w:rPr>
          <w:rFonts w:ascii="IRNazanin" w:hAnsi="IRNazanin" w:eastAsia="IRNazanin" w:cs="IRNazanin"/>
          <w:lang w:bidi="fa-IR"/>
          <w:color w:val="111111"/>
          <w:sz w:val="28"/>
          <w:szCs w:val="28"/>
          <w:rtl/>
        </w:rPr>
        <w:t xml:space="preserve">۷۸۴. تهران؛ دانشگاه؛ شماره نسخه: ۶۱۳۵</w:t>
      </w:r>
    </w:p>
    <w:p>
      <w:pPr>
        <w:pStyle w:val="BookText"/>
      </w:pPr>
      <w:r>
        <w:rPr>
          <w:rFonts w:ascii="IRNazanin" w:hAnsi="IRNazanin" w:eastAsia="IRNazanin" w:cs="IRNazanin"/>
          <w:lang w:bidi="fa-IR"/>
          <w:color w:val="111111"/>
          <w:sz w:val="28"/>
          <w:szCs w:val="28"/>
          <w:rtl/>
        </w:rPr>
        <w:t xml:space="preserve">آغاز: بسمله، خامه رطب اللسان معنی طرازی می کند ***وصف شمشیر محمد شاه غازی می کند / زهی تیغ شاهنشه روزگار *** به قتل عدو همسر ذوالفقار/ به صیقل چو ماه نو آسمان *** سیه تاب چون ابروی دلبران؛ انجام: جهان زیر حکم شه کامکار *** بمـاناد از فضل پروردگار</w:t>
      </w:r>
    </w:p>
    <w:p>
      <w:pPr>
        <w:pStyle w:val="BookText"/>
      </w:pPr>
      <w:r>
        <w:rPr>
          <w:rFonts w:ascii="IRNazanin" w:hAnsi="IRNazanin" w:eastAsia="IRNazanin" w:cs="IRNazanin"/>
          <w:lang w:bidi="fa-IR"/>
          <w:color w:val="111111"/>
          <w:sz w:val="28"/>
          <w:szCs w:val="28"/>
          <w:rtl/>
        </w:rPr>
        <w:t xml:space="preserve">مثنوی تعریف شمشیر محمد شاه غازی است. اثر،تعریف لعل و ياقوت سرخ و زرد و الماس و زمرد و نیلم و گوهر و مرجان و فیروزه هم در آن هست؛ خط: نستعلیق هندی،  بی کا، تا: قرن 13 ،مجدول، با سرلوح؛ مهر: «فدوی پادشاه غازی محمد شاه علی مظفر خان (۱۰۷۳»؛ کاغذ: هندی، جلد: تیماج قهوه ای مقوایی، ۷ سطر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قطع: ربعی، اندازه: ۱۳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۲۳سم [ف : ۱۶ - ۲۰۳]</w:t>
      </w:r>
    </w:p>
    <w:p>
      <w:pPr>
        <w:pStyle w:val="BookText"/>
      </w:pPr>
      <w:r>
        <w:rPr>
          <w:rFonts w:ascii="IRNazanin" w:hAnsi="IRNazanin" w:eastAsia="IRNazanin" w:cs="IRNazanin"/>
          <w:lang w:bidi="fa-IR"/>
          <w:color w:val="111111"/>
          <w:sz w:val="28"/>
          <w:szCs w:val="28"/>
          <w:rtl/>
        </w:rPr>
        <w:t xml:space="preserve">۷۸۵. تهران؛ دانشگاه؛ شماره نسخه: ۸۷۵۵</w:t>
      </w:r>
    </w:p>
    <w:p>
      <w:pPr>
        <w:pStyle w:val="BookText"/>
      </w:pPr>
      <w:r>
        <w:rPr>
          <w:rFonts w:ascii="IRNazanin" w:hAnsi="IRNazanin" w:eastAsia="IRNazanin" w:cs="IRNazanin"/>
          <w:lang w:bidi="fa-IR"/>
          <w:color w:val="111111"/>
          <w:sz w:val="28"/>
          <w:szCs w:val="28"/>
          <w:rtl/>
        </w:rPr>
        <w:t xml:space="preserve">جنگ شعر از مخمس از قول شعراء متاخرین که از خزانه خـیال برآورده» قطعه محمود و ایاز، و از: عطار و حافظ وسعدی ،کلیم ،وحید، شفیعا ،کمال ،عراقی، دیباچه بیاض: «این نسخه آراستگی چون چمن است*** چون صحن چمن پر از گل یاسمن است» ،مولوی، محسن تاثیر، جامی ؛خط: نستعلیق، بی کا، تا: قرن ۱۲ و ۱۳؛ افتادگی: آغاز و انجام؛ سطور چلیپا؛ کاغذ: فرنگی ،جلد: پارچه ای، اگ ،(۲۴۴)، ۱۰ سطر (6</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قـطع: ربعی بیاضی، اندازه: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 ۱۷ - ۲۱۳]</w:t>
      </w:r>
    </w:p>
    <w:p>
      <w:pPr>
        <w:pStyle w:val="BookText"/>
      </w:pPr>
      <w:r>
        <w:rPr>
          <w:rFonts w:ascii="IRNazanin" w:hAnsi="IRNazanin" w:eastAsia="IRNazanin" w:cs="IRNazanin"/>
          <w:lang w:bidi="fa-IR"/>
          <w:color w:val="111111"/>
          <w:sz w:val="28"/>
          <w:szCs w:val="28"/>
          <w:rtl/>
        </w:rPr>
        <w:t xml:space="preserve">۷۸۶. تهران؛ دانشگاه؛ شماره نسخه: ۹۰۰۹</w:t>
      </w:r>
    </w:p>
    <w:p>
      <w:pPr>
        <w:pStyle w:val="BookText"/>
      </w:pPr>
      <w:r>
        <w:rPr>
          <w:rFonts w:ascii="IRNazanin" w:hAnsi="IRNazanin" w:eastAsia="IRNazanin" w:cs="IRNazanin"/>
          <w:lang w:bidi="fa-IR"/>
          <w:color w:val="111111"/>
          <w:sz w:val="28"/>
          <w:szCs w:val="28"/>
          <w:rtl/>
        </w:rPr>
        <w:t xml:space="preserve">شعر از عاشق خسرو ،شاهین، حیرت و فرقت؛ خط: نستعـلیق چلیپا ،کا ،بخارایی، تا: قرن ۱۳ق؛ جلد: تیماج سبز تیره ضربی عطف سرخ درون آراسته، ۶۸گ، قطع: ربعی،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  سم[ ف: ۱۷ - ۲۷۳]</w:t>
      </w:r>
    </w:p>
    <w:p>
      <w:pPr>
        <w:pStyle w:val="BookText"/>
      </w:pPr>
      <w:r>
        <w:rPr>
          <w:rFonts w:ascii="IRNazanin" w:hAnsi="IRNazanin" w:eastAsia="IRNazanin" w:cs="IRNazanin"/>
          <w:lang w:bidi="fa-IR"/>
          <w:color w:val="111111"/>
          <w:sz w:val="28"/>
          <w:szCs w:val="28"/>
          <w:rtl/>
        </w:rPr>
        <w:t xml:space="preserve">۷۸۷. قم؛ گلپایگانی؛ شماره نسخه: 4568- 88/ 23</w:t>
      </w:r>
    </w:p>
    <w:p>
      <w:pPr>
        <w:pStyle w:val="BookText"/>
      </w:pPr>
      <w:r>
        <w:rPr>
          <w:rFonts w:ascii="IRNazanin" w:hAnsi="IRNazanin" w:eastAsia="IRNazanin" w:cs="IRNazanin"/>
          <w:lang w:bidi="fa-IR"/>
          <w:color w:val="111111"/>
          <w:sz w:val="28"/>
          <w:szCs w:val="28"/>
          <w:rtl/>
        </w:rPr>
        <w:t xml:space="preserve">آغاز: به بسم الله اول گشایم زبان *** به تن تامرا هست تاب و توان / کنم حمد خلاق جان آفرین*** کزو هست برپا زمان وزمین؛ انجام: چو سازد شهنشاه با او عتاب *** چنین گوید او پادشه را جواب / که در اصفهان بود غوغا بسی*** نداده است عالیه برمی کسی</w:t>
      </w:r>
    </w:p>
    <w:p>
      <w:pPr>
        <w:pStyle w:val="BookText"/>
      </w:pPr>
      <w:r>
        <w:rPr>
          <w:rFonts w:ascii="IRNazanin" w:hAnsi="IRNazanin" w:eastAsia="IRNazanin" w:cs="IRNazanin"/>
          <w:lang w:bidi="fa-IR"/>
          <w:color w:val="111111"/>
          <w:sz w:val="28"/>
          <w:szCs w:val="28"/>
          <w:rtl/>
        </w:rPr>
        <w:t xml:space="preserve">مثنوی مفصلی است در داستان سپهدار که در سال ۱۲۶۵ از سوی ناصرالدین شاه قاجار والی اصفهان گردیده، در این مثنوی که از انجام ناتمام مانده، شاعر از ظلم و ستم وی و جور و جفایش با مردم اصفهان گله  می کند؛  خط: نستعلیق، بی کا، تا: قرن13؛ افتادگی: انجام ؛جلد: مقوای کرم، ۱۴گ، ۱۲ سطر، اندازه:۱۶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۶ - ۳۵۰۶]</w:t>
      </w:r>
    </w:p>
    <w:p>
      <w:pPr>
        <w:pStyle w:val="BookText"/>
      </w:pPr>
      <w:r>
        <w:rPr>
          <w:rFonts w:ascii="IRNazanin" w:hAnsi="IRNazanin" w:eastAsia="IRNazanin" w:cs="IRNazanin"/>
          <w:lang w:bidi="fa-IR"/>
          <w:color w:val="111111"/>
          <w:sz w:val="28"/>
          <w:szCs w:val="28"/>
          <w:rtl/>
        </w:rPr>
        <w:t xml:space="preserve">۷۸۸. تهران؛ انجمن آثار و مفاخر فرهنگی؛ شماره نسخه: ۱۰۱/۲</w:t>
      </w:r>
    </w:p>
    <w:p>
      <w:pPr>
        <w:pStyle w:val="BookText"/>
      </w:pPr>
      <w:r>
        <w:rPr>
          <w:rFonts w:ascii="IRNazanin" w:hAnsi="IRNazanin" w:eastAsia="IRNazanin" w:cs="IRNazanin"/>
          <w:lang w:bidi="fa-IR"/>
          <w:color w:val="111111"/>
          <w:sz w:val="28"/>
          <w:szCs w:val="28"/>
          <w:rtl/>
        </w:rPr>
        <w:t xml:space="preserve">آغاز: به نام خدایی که جان آفرید *** زبان سخن در دهان آفرید؛</w:t>
      </w:r>
    </w:p>
    <w:p>
      <w:pPr>
        <w:pStyle w:val="BookText"/>
      </w:pPr>
      <w:r>
        <w:rPr>
          <w:rFonts w:ascii="IRNazanin" w:hAnsi="IRNazanin" w:eastAsia="IRNazanin" w:cs="IRNazanin"/>
          <w:lang w:bidi="fa-IR"/>
          <w:color w:val="111111"/>
          <w:sz w:val="28"/>
          <w:szCs w:val="28"/>
          <w:rtl/>
        </w:rPr>
        <w:t xml:space="preserve">انجام: بکن خیر بر هر که افتد ز پای (کذا) *** که دست تو گیرد خدا در جزا</w:t>
      </w:r>
    </w:p>
    <w:p>
      <w:pPr>
        <w:pStyle w:val="BookText"/>
      </w:pPr>
      <w:r>
        <w:rPr>
          <w:rFonts w:ascii="IRNazanin" w:hAnsi="IRNazanin" w:eastAsia="IRNazanin" w:cs="IRNazanin"/>
          <w:lang w:bidi="fa-IR"/>
          <w:color w:val="111111"/>
          <w:sz w:val="28"/>
          <w:szCs w:val="28"/>
          <w:rtl/>
        </w:rPr>
        <w:t xml:space="preserve">این مثنوی شامل مدایحی است درباره فتحعلیشاه و یکی از فرزندانش محمد ولی میرزا که حاکم خراسان و خوارزم و بلخ بوده است؛ خط: نستعلیق، بی کا، تا: اواخر قرن ۱۳؛ کاغذ: فرنگی، جلد: تیماج تریاکی روشن لبه منگنه، ۵۸ص (۴۹-۱۰۶)، ۱۴ سطر (9</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۱۴۰]</w:t>
      </w:r>
    </w:p>
    <w:p>
      <w:pPr>
        <w:pStyle w:val="BookText"/>
      </w:pPr>
      <w:r>
        <w:rPr>
          <w:rFonts w:ascii="IRNazanin" w:hAnsi="IRNazanin" w:eastAsia="IRNazanin" w:cs="IRNazanin"/>
          <w:lang w:bidi="fa-IR"/>
          <w:color w:val="111111"/>
          <w:sz w:val="28"/>
          <w:szCs w:val="28"/>
          <w:rtl/>
        </w:rPr>
        <w:t xml:space="preserve">689.تهران؛ علوم پزشکی؛ شماره نسخه: ۱۷۵/۱۳</w:t>
      </w:r>
    </w:p>
    <w:p>
      <w:pPr>
        <w:pStyle w:val="BookText"/>
      </w:pPr>
      <w:r>
        <w:rPr>
          <w:rFonts w:ascii="IRNazanin" w:hAnsi="IRNazanin" w:eastAsia="IRNazanin" w:cs="IRNazanin"/>
          <w:lang w:bidi="fa-IR"/>
          <w:color w:val="111111"/>
          <w:sz w:val="28"/>
          <w:szCs w:val="28"/>
          <w:rtl/>
        </w:rPr>
        <w:t xml:space="preserve">مثنوی در مذمت بخل و بخیل است؛ خط: نستعلیق، بی کا، تا: قرن ۱۳؛ ۲ ص (۱۰۹-۱۱۱)، ۱۴سطر،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 نشریه: ۳- ۳۲۸]</w:t>
      </w:r>
    </w:p>
    <w:p>
      <w:pPr>
        <w:pStyle w:val="BookText"/>
      </w:pPr>
      <w:r>
        <w:rPr>
          <w:rFonts w:ascii="IRNazanin" w:hAnsi="IRNazanin" w:eastAsia="IRNazanin" w:cs="IRNazanin"/>
          <w:lang w:bidi="fa-IR"/>
          <w:color w:val="111111"/>
          <w:sz w:val="28"/>
          <w:szCs w:val="28"/>
          <w:rtl/>
        </w:rPr>
        <w:t xml:space="preserve">۷۹۰. تهران؛ ملک؛ شماره نسخه: ۵۰۰۵/۵</w:t>
      </w:r>
    </w:p>
    <w:p>
      <w:pPr>
        <w:pStyle w:val="BookText"/>
      </w:pPr>
      <w:r>
        <w:rPr>
          <w:rFonts w:ascii="IRNazanin" w:hAnsi="IRNazanin" w:eastAsia="IRNazanin" w:cs="IRNazanin"/>
          <w:lang w:bidi="fa-IR"/>
          <w:color w:val="111111"/>
          <w:sz w:val="28"/>
          <w:szCs w:val="28"/>
          <w:rtl/>
        </w:rPr>
        <w:t xml:space="preserve">آغاز: مرا در گلشن جان گلعذاریست *** که از عشقش بجانم  خار خاریست / ز رنگ آمیزی گلهای خارش *** فضای سینه ام خوش لاله زاریست؛ انجام: رخ از هر چه جز حق بود تاختند *** رهی پس ز دلها به دل یافتند</w:t>
      </w:r>
    </w:p>
    <w:p>
      <w:pPr>
        <w:pStyle w:val="BookText"/>
      </w:pPr>
      <w:r>
        <w:rPr>
          <w:rFonts w:ascii="IRNazanin" w:hAnsi="IRNazanin" w:eastAsia="IRNazanin" w:cs="IRNazanin"/>
          <w:lang w:bidi="fa-IR"/>
          <w:color w:val="111111"/>
          <w:sz w:val="28"/>
          <w:szCs w:val="28"/>
          <w:rtl/>
        </w:rPr>
        <w:t xml:space="preserve">مثنوی عرفانی است؛ خط: نستعلیق، بی کا ،تا: قرن ۱۳ ؛کاغذ: ترمه ختایی، جلد: میشن قهوه ای ،۱۰ گ (۱۶۶پ-۱۷۶ر)، ۱۵ سطر،  اندازه: ۸/۲۲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۱۴/۷سم [ف: ۸ - ۱۶۰]</w:t>
      </w:r>
    </w:p>
    <w:p>
      <w:pPr>
        <w:pStyle w:val="BookText"/>
      </w:pPr>
      <w:r>
        <w:rPr>
          <w:rFonts w:ascii="IRNazanin" w:hAnsi="IRNazanin" w:eastAsia="IRNazanin" w:cs="IRNazanin"/>
          <w:lang w:bidi="fa-IR"/>
          <w:color w:val="111111"/>
          <w:sz w:val="28"/>
          <w:szCs w:val="28"/>
          <w:rtl/>
        </w:rPr>
        <w:t xml:space="preserve">۷۹۱. تهران؛ ادبیات؛ شماره نسخه: ۱۲۸/۳</w:t>
      </w:r>
    </w:p>
    <w:p>
      <w:pPr>
        <w:pStyle w:val="BookText"/>
      </w:pPr>
      <w:r>
        <w:rPr>
          <w:rFonts w:ascii="IRNazanin" w:hAnsi="IRNazanin" w:eastAsia="IRNazanin" w:cs="IRNazanin"/>
          <w:lang w:bidi="fa-IR"/>
          <w:color w:val="111111"/>
          <w:sz w:val="28"/>
          <w:szCs w:val="28"/>
          <w:rtl/>
        </w:rPr>
        <w:t xml:space="preserve">مثنوی عرفانی است؛ بی کا، تا: قرن ۱۳ [ف ۳ - ۲۹]</w:t>
      </w:r>
    </w:p>
    <w:p>
      <w:pPr>
        <w:pStyle w:val="BookText"/>
      </w:pPr>
      <w:r>
        <w:rPr>
          <w:rFonts w:ascii="IRNazanin" w:hAnsi="IRNazanin" w:eastAsia="IRNazanin" w:cs="IRNazanin"/>
          <w:lang w:bidi="fa-IR"/>
          <w:color w:val="111111"/>
          <w:sz w:val="28"/>
          <w:szCs w:val="28"/>
          <w:rtl/>
        </w:rPr>
        <w:t xml:space="preserve">۷۹۲. تهران؛ مجلس؛ شماره نسخه: ۹۳۵۱</w:t>
      </w:r>
    </w:p>
    <w:p>
      <w:pPr>
        <w:pStyle w:val="BookText"/>
      </w:pPr>
      <w:r>
        <w:rPr>
          <w:rFonts w:ascii="IRNazanin" w:hAnsi="IRNazanin" w:eastAsia="IRNazanin" w:cs="IRNazanin"/>
          <w:lang w:bidi="fa-IR"/>
          <w:color w:val="111111"/>
          <w:sz w:val="28"/>
          <w:szCs w:val="28"/>
          <w:rtl/>
        </w:rPr>
        <w:t xml:space="preserve">آغاز: غیر آبی نیست اندر این جهان*** تا دهم رخسار آن را من  نشان / هر چه می بینید خود آب است و بس *** دور نبود نفس آب از هیچ کس؛ انجام: چون بچشم مال سویش بنگرید *** حس ظن فقر در قلبش پرید</w:t>
      </w:r>
    </w:p>
    <w:p>
      <w:pPr>
        <w:pStyle w:val="BookText"/>
      </w:pPr>
      <w:r>
        <w:rPr>
          <w:rFonts w:ascii="IRNazanin" w:hAnsi="IRNazanin" w:eastAsia="IRNazanin" w:cs="IRNazanin"/>
          <w:lang w:bidi="fa-IR"/>
          <w:color w:val="111111"/>
          <w:sz w:val="28"/>
          <w:szCs w:val="28"/>
          <w:rtl/>
        </w:rPr>
        <w:t xml:space="preserve">مثنوی عرفانی است است به سبک طاقدیس ملا احمد نراقی شامل حکایت ها، شاعر از شخصی به نام «کاظم» بسیار تجلیل می کند: بود کاظم نام آن بحر محیط *** کو فرا بگرفته این ارض بسیط/ بود کاظم نام آن عين الحيات *** كز وجودش ماهیان را بدنجات/ اى ضياء الدين امين الحق راد*** كاظم بن قاسم ای شیخ
</w:t>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جواد/ نیست امیدم بجز الطاف تو *** تکیه گاه من بود اوصاف تو؛ خط: نستعلیق، بی کا، تا: قرن ۱۳؛ افتادگی: آغاز و انجام؛ رکابه دار ؛مهر: کتابخانه جعفر سلطان القرایی؛ جلد: تیماج فرنگی  قهوه ای، ۷۴گ، ۱۲ 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۱۸/۵سم [ف: ۳۰ - ۸۴]</w:t>
      </w:r>
    </w:p>
    <w:p>
      <w:pPr>
        <w:pStyle w:val="BookText"/>
      </w:pPr>
      <w:r>
        <w:rPr>
          <w:rFonts w:ascii="IRNazanin" w:hAnsi="IRNazanin" w:eastAsia="IRNazanin" w:cs="IRNazanin"/>
          <w:lang w:bidi="fa-IR"/>
          <w:color w:val="111111"/>
          <w:sz w:val="28"/>
          <w:szCs w:val="28"/>
          <w:rtl/>
        </w:rPr>
        <w:t xml:space="preserve">۷۹۳. تهران؛ ادبیات؛ شماره نسخه: ۳۵۷/۱۱</w:t>
      </w:r>
    </w:p>
    <w:p>
      <w:pPr>
        <w:pStyle w:val="BookText"/>
      </w:pPr>
      <w:r>
        <w:rPr>
          <w:rFonts w:ascii="IRNazanin" w:hAnsi="IRNazanin" w:eastAsia="IRNazanin" w:cs="IRNazanin"/>
          <w:lang w:bidi="fa-IR"/>
          <w:color w:val="111111"/>
          <w:sz w:val="28"/>
          <w:szCs w:val="28"/>
          <w:rtl/>
        </w:rPr>
        <w:t xml:space="preserve">مثنوی است؛ خط: نستعلیق، بی کا، تا: قرن ۱۳ [ف ۳ - ۵۸]</w:t>
      </w:r>
    </w:p>
    <w:p>
      <w:pPr>
        <w:pStyle w:val="BookText"/>
      </w:pPr>
      <w:r>
        <w:rPr>
          <w:rFonts w:ascii="IRNazanin" w:hAnsi="IRNazanin" w:eastAsia="IRNazanin" w:cs="IRNazanin"/>
          <w:lang w:bidi="fa-IR"/>
          <w:color w:val="111111"/>
          <w:sz w:val="28"/>
          <w:szCs w:val="28"/>
          <w:rtl/>
        </w:rPr>
        <w:t xml:space="preserve">۷۹۴. تهران؛ مفتاح؛ شماره نسخه: ۶۱۲/۸</w:t>
      </w:r>
    </w:p>
    <w:p>
      <w:pPr>
        <w:pStyle w:val="BookText"/>
      </w:pPr>
      <w:r>
        <w:rPr>
          <w:rFonts w:ascii="IRNazanin" w:hAnsi="IRNazanin" w:eastAsia="IRNazanin" w:cs="IRNazanin"/>
          <w:lang w:bidi="fa-IR"/>
          <w:color w:val="111111"/>
          <w:sz w:val="28"/>
          <w:szCs w:val="28"/>
          <w:rtl/>
        </w:rPr>
        <w:t xml:space="preserve">مثنوی فارسی است با شعر عرفی ؛خط: نستعلیق، بی کا، تا: قرن۱۳؛ قطع: بیاضی ربعی [نشریه: ۷ - ۲۴۹]  ۷۹۵. قم؛ مرعشی؛ شماره نسخه: ۱۳۱۵۶/۲</w:t>
      </w:r>
    </w:p>
    <w:p>
      <w:pPr>
        <w:pStyle w:val="BookText"/>
      </w:pPr>
      <w:r>
        <w:rPr>
          <w:rFonts w:ascii="IRNazanin" w:hAnsi="IRNazanin" w:eastAsia="IRNazanin" w:cs="IRNazanin"/>
          <w:lang w:bidi="fa-IR"/>
          <w:color w:val="111111"/>
          <w:sz w:val="28"/>
          <w:szCs w:val="28"/>
          <w:rtl/>
        </w:rPr>
        <w:t xml:space="preserve">آغاز: آغاز سخن بنام آن یار ***کز دیده نمی رسد بدیدار/ موجود بهر کجاست موجود *** معدوم به غیر او است معبود ؛انجام: در کار زمانه لا ابالی *** دل داده به یا لا یزالی.... اسلام برای خوش ... *** در دولت شاه ناصر الدین</w:t>
      </w:r>
    </w:p>
    <w:p>
      <w:pPr>
        <w:pStyle w:val="BookText"/>
      </w:pPr>
      <w:r>
        <w:rPr>
          <w:rFonts w:ascii="IRNazanin" w:hAnsi="IRNazanin" w:eastAsia="IRNazanin" w:cs="IRNazanin"/>
          <w:lang w:bidi="fa-IR"/>
          <w:color w:val="111111"/>
          <w:sz w:val="28"/>
          <w:szCs w:val="28"/>
          <w:rtl/>
        </w:rPr>
        <w:t xml:space="preserve">منظومه ای است در حکایت دختر و پسری به نام «فرخ و گل رخ» که از خردسالی در همسایگی یکدیگر می کردند، سپس دلداه یکدیگر شده و به علت عشق و علاقه بسیار، مورد ملامت مردم قرار گرفته اند، این منظومه در عهد ناصر الدین شاه قاجار سروده شده است، در منابع موجود نامی از سراینده آن نیافتیم؛ بی کا، تا: قرن ۱۳؛ کاغذ: فرنگی ،جلد: مشمع قهوه ای عطف تیماج قهوه ای (۱۹گ (۱۵پ -۳۳پ)، ۱۲ سطر (7</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۳۳ - ۳۰۶]</w:t>
      </w:r>
    </w:p>
    <w:p>
      <w:pPr>
        <w:pStyle w:val="BookText"/>
      </w:pPr>
      <w:r>
        <w:rPr>
          <w:rFonts w:ascii="IRNazanin" w:hAnsi="IRNazanin" w:eastAsia="IRNazanin" w:cs="IRNazanin"/>
          <w:lang w:bidi="fa-IR"/>
          <w:color w:val="111111"/>
          <w:sz w:val="28"/>
          <w:szCs w:val="28"/>
          <w:rtl/>
        </w:rPr>
        <w:t xml:space="preserve">۷۹۶. تهران؛ دانشگاه؛ شماره نسخه: ۳۱۶۵/۳</w:t>
      </w:r>
    </w:p>
    <w:p>
      <w:pPr>
        <w:pStyle w:val="BookText"/>
      </w:pPr>
      <w:r>
        <w:rPr>
          <w:rFonts w:ascii="IRNazanin" w:hAnsi="IRNazanin" w:eastAsia="IRNazanin" w:cs="IRNazanin"/>
          <w:lang w:bidi="fa-IR"/>
          <w:color w:val="111111"/>
          <w:sz w:val="28"/>
          <w:szCs w:val="28"/>
          <w:rtl/>
        </w:rPr>
        <w:t xml:space="preserve">مثنوی مقالات است درباره داستان مامون با امام جواد و یحیی بن اكثم و ام الفضل؛ خط: نستعلیق، بی کا، تا: قرن ۱۳ ؛کاغذ: فرنگـی ،جلد: تیماج قهوه ای ضربی، ۲۰گ (۶۸-۸۸)، ۱۰ سطر (6</w:t>
      </w:r>
      <w:r>
        <w:rPr>
          <w:rFonts w:ascii="Times New Roman" w:hAnsi="Times New Roman" w:eastAsia="Times New Roman" w:cs="Times New Roman"/>
          <w:lang w:val="en-US" w:bidi="en-US"/>
          <w:color w:val="111111"/>
          <w:sz w:val="28"/>
          <w:szCs w:val="28"/>
          <w:rtl/>
        </w:rPr>
        <w:t xml:space="preserve">×105)</w:t>
      </w:r>
      <w:r>
        <w:rPr>
          <w:rFonts w:ascii="IRNazanin" w:hAnsi="IRNazanin" w:eastAsia="IRNazanin" w:cs="IRNazanin"/>
          <w:lang w:bidi="fa-IR"/>
          <w:color w:val="111111"/>
          <w:sz w:val="28"/>
          <w:szCs w:val="28"/>
          <w:rtl/>
        </w:rPr>
        <w:t xml:space="preserve">، 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۱۱ - ۲۱۲۹]</w:t>
      </w:r>
    </w:p>
    <w:p>
      <w:pPr>
        <w:pStyle w:val="BookText"/>
      </w:pPr>
      <w:r>
        <w:rPr>
          <w:rFonts w:ascii="IRNazanin" w:hAnsi="IRNazanin" w:eastAsia="IRNazanin" w:cs="IRNazanin"/>
          <w:lang w:bidi="fa-IR"/>
          <w:color w:val="111111"/>
          <w:sz w:val="28"/>
          <w:szCs w:val="28"/>
          <w:rtl/>
        </w:rPr>
        <w:t xml:space="preserve">۷۹۷. تهران؛ دانشگاه؛ شماره نسخه: ۶۱۶۳/۳</w:t>
      </w:r>
    </w:p>
    <w:p>
      <w:pPr>
        <w:pStyle w:val="BookText"/>
      </w:pPr>
      <w:r>
        <w:rPr>
          <w:rFonts w:ascii="IRNazanin" w:hAnsi="IRNazanin" w:eastAsia="IRNazanin" w:cs="IRNazanin"/>
          <w:lang w:bidi="fa-IR"/>
          <w:color w:val="111111"/>
          <w:sz w:val="28"/>
          <w:szCs w:val="28"/>
          <w:rtl/>
        </w:rPr>
        <w:t xml:space="preserve">آغاز: بنام خداوند دادار فرد *** که از خاک آدم؛ پدیدار کرد؛</w:t>
      </w:r>
    </w:p>
    <w:p>
      <w:pPr>
        <w:pStyle w:val="BookText"/>
      </w:pPr>
      <w:r>
        <w:rPr>
          <w:rFonts w:ascii="IRNazanin" w:hAnsi="IRNazanin" w:eastAsia="IRNazanin" w:cs="IRNazanin"/>
          <w:lang w:bidi="fa-IR"/>
          <w:color w:val="111111"/>
          <w:sz w:val="28"/>
          <w:szCs w:val="28"/>
          <w:rtl/>
        </w:rPr>
        <w:t xml:space="preserve">انجام :ناتمام: تو خود هر زمان سرفرازی به خشم*** همی آب شرمت نیاید به چشم</w:t>
      </w:r>
    </w:p>
    <w:p>
      <w:pPr>
        <w:pStyle w:val="BookText"/>
      </w:pPr>
      <w:r>
        <w:rPr>
          <w:rFonts w:ascii="IRNazanin" w:hAnsi="IRNazanin" w:eastAsia="IRNazanin" w:cs="IRNazanin"/>
          <w:lang w:bidi="fa-IR"/>
          <w:color w:val="111111"/>
          <w:sz w:val="28"/>
          <w:szCs w:val="28"/>
          <w:rtl/>
        </w:rPr>
        <w:t xml:space="preserve">مثنوی «منتخبات غزوات حضرت امیر (علیه السّلام) است؛ خط: نستعلیق، بی کا، تا: قرن ۱۳ ؛کاغذ: فرنگی ،جلد: تیماج تریاکی ترنجی مقوایی، ۲۰۷ ص، ۱۵ سطر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قطع: ربعی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سم [ف: ۱۶ - ۲۰۹]</w:t>
      </w:r>
    </w:p>
    <w:p>
      <w:pPr>
        <w:pStyle w:val="BookText"/>
      </w:pPr>
      <w:r>
        <w:rPr>
          <w:rFonts w:ascii="Amiri" w:hAnsi="Amiri" w:eastAsia="Amiri" w:cs="Amiri"/>
          <w:lang w:bidi="ar-SA"/>
          <w:color w:val="111111"/>
          <w:sz w:val="28"/>
          <w:szCs w:val="28"/>
          <w:rtl/>
        </w:rPr>
        <w:t xml:space="preserve">۷۹۸. تهران؛ دائرة المعارف؛ شماره نسخه: ۸۰۶/۹</w:t>
      </w:r>
    </w:p>
    <w:p>
      <w:pPr>
        <w:pStyle w:val="BookText"/>
      </w:pPr>
      <w:r>
        <w:rPr>
          <w:rFonts w:ascii="IRNazanin" w:hAnsi="IRNazanin" w:eastAsia="IRNazanin" w:cs="IRNazanin"/>
          <w:lang w:bidi="fa-IR"/>
          <w:color w:val="111111"/>
          <w:sz w:val="28"/>
          <w:szCs w:val="28"/>
          <w:rtl/>
        </w:rPr>
        <w:t xml:space="preserve">آغاز: ای مه رخ، سرو قامت من ***ای قامت تو، قیامت من؛</w:t>
      </w:r>
    </w:p>
    <w:p>
      <w:pPr>
        <w:pStyle w:val="BookText"/>
      </w:pPr>
      <w:r>
        <w:rPr>
          <w:rFonts w:ascii="IRNazanin" w:hAnsi="IRNazanin" w:eastAsia="IRNazanin" w:cs="IRNazanin"/>
          <w:lang w:bidi="fa-IR"/>
          <w:color w:val="111111"/>
          <w:sz w:val="28"/>
          <w:szCs w:val="28"/>
          <w:rtl/>
        </w:rPr>
        <w:t xml:space="preserve">انجام: زنهار بکش عنان خود را*** یک بنده تو هم، ببخش او را مثنوی ناشناخته ای است در گله گزاری از دلدار، در ۷۲ بیت؛ خـط: نستعلیق پخته، بی کا، تا: ۱۲۳۴ - ۱۲۳۷ق؛ سطور چلیپا؛ ۲گ (41ر- 42پ) [ف: ۲ - ۲۲۲]</w:t>
      </w:r>
    </w:p>
    <w:p>
      <w:pPr>
        <w:pStyle w:val="BookText"/>
      </w:pPr>
      <w:r>
        <w:rPr>
          <w:rFonts w:ascii="IRNazanin" w:hAnsi="IRNazanin" w:eastAsia="IRNazanin" w:cs="IRNazanin"/>
          <w:lang w:bidi="fa-IR"/>
          <w:color w:val="111111"/>
          <w:sz w:val="28"/>
          <w:szCs w:val="28"/>
          <w:rtl/>
        </w:rPr>
        <w:t xml:space="preserve">799.تهران؛ مجلس؛ شماره نسخه: ۱۷۷/۳- طباطبائی</w:t>
      </w:r>
    </w:p>
    <w:p>
      <w:pPr>
        <w:pStyle w:val="BookText"/>
      </w:pPr>
      <w:r>
        <w:rPr>
          <w:rFonts w:ascii="IRNazanin" w:hAnsi="IRNazanin" w:eastAsia="IRNazanin" w:cs="IRNazanin"/>
          <w:lang w:bidi="fa-IR"/>
          <w:color w:val="111111"/>
          <w:sz w:val="28"/>
          <w:szCs w:val="28"/>
          <w:rtl/>
        </w:rPr>
        <w:t xml:space="preserve">آغاز: فی بیان علم ادوار الموسيقى بالنظم. بنام خالق ارض و سماوات *** کنم تعداد اسماء مقامات / زمن بشنو دمی ای مرد باهوش *** چو بشنیدی مکن دیگر فراموش / نخستین میکنم از راس بنیاد *** که مرد از راستی شد از غم آزاد گ؛ انجام: مطرب بر شه چو نغمه را ساز کند *** نوروز و گذشت و سلمک آغاز /کند گفتا صنما نمای گردانیه را*** پس مایه بگرداند و شه ناز کند</w:t>
      </w:r>
    </w:p>
    <w:p>
      <w:pPr>
        <w:pStyle w:val="BookText"/>
      </w:pPr>
      <w:r>
        <w:rPr>
          <w:rFonts w:ascii="IRNazanin" w:hAnsi="IRNazanin" w:eastAsia="IRNazanin" w:cs="IRNazanin"/>
          <w:lang w:bidi="fa-IR"/>
          <w:color w:val="111111"/>
          <w:sz w:val="28"/>
          <w:szCs w:val="28"/>
          <w:rtl/>
        </w:rPr>
        <w:t xml:space="preserve">رساله ای است منظوم در علم ادوار موسیقی در چهل بیت، با این عنوان ها: در بیان آن که هر مقامی دو شعبه دارد ،در بیان بیت و چهار شعبه دوازده مقام اصل، در بیانآنکه هر آواز را به چه طریق از دو مقام توان یافتن از قول حکما، فصل در نظم بحور اصول، اسامی دوازده مقام اصل، شش آوازه؛ خط: نستعلیق، بی کا، تا: قرن ۱۳؛ کاغذ: فرنگی شکری، جلد: تیماج یک لا نیلی، 2گ (۴۱-۴۳)، قطع: رقعی،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۲۲ - ۴۰]</w:t>
      </w:r>
    </w:p>
    <w:p>
      <w:pPr>
        <w:pStyle w:val="BookText"/>
      </w:pPr>
      <w:r>
        <w:rPr>
          <w:rFonts w:ascii="IRNazanin" w:hAnsi="IRNazanin" w:eastAsia="IRNazanin" w:cs="IRNazanin"/>
          <w:lang w:bidi="fa-IR"/>
          <w:color w:val="111111"/>
          <w:sz w:val="28"/>
          <w:szCs w:val="28"/>
          <w:rtl/>
        </w:rPr>
        <w:t xml:space="preserve">۸۰۰ .قم؛ گلپایگانی؛ شماره نسخه: 3442- 222/ 17</w:t>
      </w:r>
    </w:p>
    <w:p>
      <w:pPr>
        <w:pStyle w:val="BookText"/>
      </w:pPr>
      <w:r>
        <w:rPr>
          <w:rFonts w:ascii="IRNazanin" w:hAnsi="IRNazanin" w:eastAsia="IRNazanin" w:cs="IRNazanin"/>
          <w:lang w:bidi="fa-IR"/>
          <w:color w:val="111111"/>
          <w:sz w:val="28"/>
          <w:szCs w:val="28"/>
          <w:rtl/>
        </w:rPr>
        <w:t xml:space="preserve">آغاز: حاجت موری به علم غیب بداند *** دربن چاهی به زیر صخره صما / جانور از نطفه می کند شکر از نی *** برگ تر از چوب خشک و چشمه زخارا؛ انجام: پاک وصافی شو و از چاه طبیعت بدر آی*** که صفایی ندهد آب تراب آلوده / گفتم ای جان جهان دفتر کل باکی نیست*** که شود فصل بهار از می ناب آلوده</w:t>
      </w:r>
    </w:p>
    <w:p>
      <w:pPr>
        <w:pStyle w:val="BookText"/>
      </w:pPr>
      <w:r>
        <w:rPr>
          <w:rFonts w:ascii="IRNazanin" w:hAnsi="IRNazanin" w:eastAsia="IRNazanin" w:cs="IRNazanin"/>
          <w:lang w:bidi="fa-IR"/>
          <w:color w:val="111111"/>
          <w:sz w:val="28"/>
          <w:szCs w:val="28"/>
          <w:rtl/>
        </w:rPr>
        <w:t xml:space="preserve">در این بیاض اشعار و غزلیاتی اغلب از سعدی شیرازی و در چند مورد از حافظ تحریر شده؛ خط: نستعلیق شکسته زیبا، بی کا، تا: قرن ۱۳؛ افتادگی: آغاز و انجام؛ جلد: تیماج قهوه ای، ۱۱۵گ، ۶ سطر، قطع: بیاض رقعی، اندازه: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۳ - ۱۲۳۵]</w:t>
      </w:r>
    </w:p>
    <w:p>
      <w:pPr>
        <w:pStyle w:val="BookText"/>
      </w:pPr>
      <w:r>
        <w:rPr>
          <w:rFonts w:ascii="IRNazanin" w:hAnsi="IRNazanin" w:eastAsia="IRNazanin" w:cs="IRNazanin"/>
          <w:lang w:bidi="fa-IR"/>
          <w:color w:val="111111"/>
          <w:sz w:val="28"/>
          <w:szCs w:val="28"/>
          <w:rtl/>
        </w:rPr>
        <w:t xml:space="preserve">801.تهران؛ ملی؛ شماره نسخه: ۳۸۹</w:t>
      </w:r>
    </w:p>
    <w:p>
      <w:pPr>
        <w:pStyle w:val="BookText"/>
      </w:pPr>
      <w:r>
        <w:rPr>
          <w:rFonts w:ascii="IRNazanin" w:hAnsi="IRNazanin" w:eastAsia="IRNazanin" w:cs="IRNazanin"/>
          <w:lang w:bidi="fa-IR"/>
          <w:color w:val="111111"/>
          <w:sz w:val="28"/>
          <w:szCs w:val="28"/>
          <w:rtl/>
        </w:rPr>
        <w:t xml:space="preserve">آغاز: بسمله. الا یا ایها الساقی ادر کاسا و ناولها *** که عشق آسان نمود اول ولی افتاد مشکل ها؛ انجام: بنال مطرب مجلس بكوى گفته سعدی ***شراب انس بیاور که من نه مرد نبیذم</w:t>
      </w:r>
    </w:p>
    <w:p>
      <w:pPr>
        <w:pStyle w:val="BookText"/>
      </w:pPr>
      <w:r>
        <w:rPr>
          <w:rFonts w:ascii="IRNazanin" w:hAnsi="IRNazanin" w:eastAsia="IRNazanin" w:cs="IRNazanin"/>
          <w:lang w:bidi="fa-IR"/>
          <w:color w:val="111111"/>
          <w:sz w:val="28"/>
          <w:szCs w:val="28"/>
          <w:rtl/>
        </w:rPr>
        <w:t xml:space="preserve">منتخبی از غزلیات حافظ و سعدی است. سعی گردآورنده آن بیشتر بر این بوده که بهترین غزلیات را برگزیند؛ خط: نستعلیق خوش، بی کا، تا: محتملاً قرن،۱۳، جا: شاید تهران؛ افتادگی: انجام؛ کاغذ: فرنگی ،جلد: تیماج قرمز یک لا، ۶۵گ، ۱۱ سطر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اندازه: ۱۶/۵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۱ - ۳۷۵]</w:t>
      </w:r>
    </w:p>
    <w:p>
      <w:pPr>
        <w:pStyle w:val="BookText"/>
      </w:pPr>
      <w:r>
        <w:rPr>
          <w:rFonts w:ascii="IRNazanin" w:hAnsi="IRNazanin" w:eastAsia="IRNazanin" w:cs="IRNazanin"/>
          <w:lang w:bidi="fa-IR"/>
          <w:color w:val="111111"/>
          <w:sz w:val="28"/>
          <w:szCs w:val="28"/>
          <w:rtl/>
        </w:rPr>
        <w:t xml:space="preserve">۸۰۲ . مشهد؛ رضوی؛ شماره نسخه: ۱۰۲۷۳</w:t>
      </w:r>
    </w:p>
    <w:p>
      <w:pPr>
        <w:pStyle w:val="BookText"/>
      </w:pPr>
      <w:r>
        <w:rPr>
          <w:rFonts w:ascii="IRNazanin" w:hAnsi="IRNazanin" w:eastAsia="IRNazanin" w:cs="IRNazanin"/>
          <w:lang w:bidi="fa-IR"/>
          <w:color w:val="111111"/>
          <w:sz w:val="28"/>
          <w:szCs w:val="28"/>
          <w:rtl/>
        </w:rPr>
        <w:t xml:space="preserve">آغاز: عنوان و بسمله. اول دفتر بنام ایزد دانا *** صانع پروردگار حى توانا ؛انجام: سینه مالامال درد است ای دریغا مرهمی ***جان ز تنهایی بجان آمد خدایا محرمی</w:t>
      </w:r>
    </w:p>
    <w:p>
      <w:pPr>
        <w:pStyle w:val="BookText"/>
      </w:pPr>
      <w:r>
        <w:rPr>
          <w:rFonts w:ascii="IRNazanin" w:hAnsi="IRNazanin" w:eastAsia="IRNazanin" w:cs="IRNazanin"/>
          <w:lang w:bidi="fa-IR"/>
          <w:color w:val="111111"/>
          <w:sz w:val="28"/>
          <w:szCs w:val="28"/>
          <w:rtl/>
        </w:rPr>
        <w:t xml:space="preserve">منتخبات [اشعار] سعدی و حافظ. جامع این نسخه میرزا مهدی نامی است که بر حسب ذوق و سلیقه خود یکصد و چهل و چهار غزل از سعدی به ترتیب قوافی از طیبات و بدایع و خواتیم و غزلیات قدیم انتخاب کرده است، و علت گزینش این عدد را برای درج ،غزلیات معادل عددی حروف «سعدی» دانسته است. از اشعار دیگری که در آن می توان جست: ۱- قطعات منتخبه از
</w: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گلستان چهارصد بیت، ۲- اشعار منتخبه از کتاب بوستان هزار و چهار صد و چهل و چهار بیت،3 - اشعار منتخبه خواجه حافظ هفتصد بیت شامل پنجاه غزل (چهارصد و چهل بیت)، و ابیـات متفرقه دویست و شصت بیت؛ خط: شکسته نستعلیق، تحریری، بی کا، تا: قرن ۱۳؛ این نسخه مصدر به فهرست کامل با ذکر تعـداد ابیات هر غزل به عدد سیاق می باشد، همچنین روی صفحه اول مقدمه ای با خط و انشای گزینشگر درباره علت انتخاب اشـعار نوشته شده، متن و هامش؛کاغذ: حنایی آهار مهره ،جلد: میشن خرمایی ضربی با ترنج و سر ترنج زرین، ۱۱۵گ، ۱۶ 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۱۷/۵سم [ف: ۹ - ۳۴۷]</w:t>
      </w:r>
    </w:p>
    <w:p>
      <w:pPr>
        <w:pStyle w:val="BookText"/>
      </w:pPr>
      <w:r>
        <w:rPr>
          <w:rFonts w:ascii="IRNazanin" w:hAnsi="IRNazanin" w:eastAsia="IRNazanin" w:cs="IRNazanin"/>
          <w:lang w:bidi="fa-IR"/>
          <w:color w:val="111111"/>
          <w:sz w:val="28"/>
          <w:szCs w:val="28"/>
          <w:rtl/>
        </w:rPr>
        <w:t xml:space="preserve">۸۰۳. مشهد؛ رضوی؛ شماره نسخه: ۱۰۳۶۹/۵</w:t>
      </w:r>
    </w:p>
    <w:p>
      <w:pPr>
        <w:pStyle w:val="BookText"/>
      </w:pPr>
      <w:r>
        <w:rPr>
          <w:rFonts w:ascii="IRNazanin" w:hAnsi="IRNazanin" w:eastAsia="IRNazanin" w:cs="IRNazanin"/>
          <w:lang w:bidi="fa-IR"/>
          <w:color w:val="111111"/>
          <w:sz w:val="28"/>
          <w:szCs w:val="28"/>
          <w:rtl/>
        </w:rPr>
        <w:t xml:space="preserve">آغاز: در عرصه زمانه دگر این چه ماتم است *** کاشوب ازان افتاده باركان عالم است؛ انجام:آخر نه ما سلاله پاک پیمبریم*** کافاق بر طهارت دامان ما گواست.</w:t>
      </w:r>
    </w:p>
    <w:p>
      <w:pPr>
        <w:pStyle w:val="BookText"/>
      </w:pPr>
      <w:r>
        <w:rPr>
          <w:rFonts w:ascii="IRNazanin" w:hAnsi="IRNazanin" w:eastAsia="IRNazanin" w:cs="IRNazanin"/>
          <w:lang w:bidi="fa-IR"/>
          <w:color w:val="111111"/>
          <w:sz w:val="28"/>
          <w:szCs w:val="28"/>
          <w:rtl/>
        </w:rPr>
        <w:t xml:space="preserve">ترکیب بندی به پیروی از ترکیب بند محتشم کاشانی در سوگ امام حسین (علیه السّلام) و شهدای کربلا که ده بند از ترکیب بند در ایـنجا آورده شده است ؛خط: نستعلیق، بی کا، تا: قرن ۱۳؛ مجدول، دارای کمند؛ کاغذ: شکری فرنگی ،جلد ،روغنی ۸ ص(487- ۴۹۴) ۱۶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 ۱۷ - ۴۶۵]</w:t>
      </w:r>
    </w:p>
    <w:p>
      <w:pPr>
        <w:pStyle w:val="BookText"/>
      </w:pPr>
      <w:r>
        <w:rPr>
          <w:rFonts w:ascii="IRNazanin" w:hAnsi="IRNazanin" w:eastAsia="IRNazanin" w:cs="IRNazanin"/>
          <w:lang w:bidi="fa-IR"/>
          <w:color w:val="111111"/>
          <w:sz w:val="28"/>
          <w:szCs w:val="28"/>
          <w:rtl/>
        </w:rPr>
        <w:t xml:space="preserve">۸۰۴. مشهد؛ رضوی؛ شماره نسخه: ۱۰۳۶۹/۳</w:t>
      </w:r>
    </w:p>
    <w:p>
      <w:pPr>
        <w:pStyle w:val="BookText"/>
      </w:pPr>
      <w:r>
        <w:rPr>
          <w:rFonts w:ascii="IRNazanin" w:hAnsi="IRNazanin" w:eastAsia="IRNazanin" w:cs="IRNazanin"/>
          <w:lang w:bidi="fa-IR"/>
          <w:color w:val="111111"/>
          <w:sz w:val="28"/>
          <w:szCs w:val="28"/>
          <w:rtl/>
        </w:rPr>
        <w:t xml:space="preserve">ترکیب بندی در چهارده بند با عناوین «در صفت اکلیل شاهی»، «در صفت دارالخلافه»، «صفت بارگاه و جلوس شاه»، «در صفـت بزم عیش و صفت آتشبازی»، «دعا برای ظهیر السلطنه شاهزاده»، «قصیده طولانی در مدح فتحعلی شاه و محمد شاه قاجار»، تعریف شهر یزد و مدح یکی از بزرگان، ماده تاریخ، قصیده در بحر رجز و به پیروی از قصیده لامیه امیر معزی (ای ساربان منزل مکن جز در دیار با من)، آغاز: «لما نزلنا فى الغرى زرنا حبيبا فيه حل*** نادى مناد دوننا من حل فيه ما ارتحل / محمل مبندای  ای ساربان امروز دیگر زین محل*** کز آب چشم عاشقان دل را بود پا در و حل»، انجام: «مپسند کز پی یاوری*** خصمی کند با خاوری/ ان کن که تشریف آوری *** وی را بشر پیش از اجل»؛ خـط: نستعلیق، بی کا، تا: قرن ۱۳؛ مجدول، دارای کمند؛ کاغذ: شكـری فرنگی، جلد: روغنی، ۱۸۸ ص( ۲۷۸-۴۶۵)، ۱۶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 ۱۷ - ۴۶۵]</w:t>
      </w:r>
    </w:p>
    <w:p>
      <w:pPr>
        <w:pStyle w:val="BookText"/>
      </w:pPr>
      <w:r>
        <w:rPr>
          <w:rFonts w:ascii="IRNazanin" w:hAnsi="IRNazanin" w:eastAsia="IRNazanin" w:cs="IRNazanin"/>
          <w:lang w:bidi="fa-IR"/>
          <w:color w:val="111111"/>
          <w:sz w:val="28"/>
          <w:szCs w:val="28"/>
          <w:rtl/>
        </w:rPr>
        <w:t xml:space="preserve">805.تهران؛ ملک؛ شماره نسخه: ۴۶۷۶/۱۶</w:t>
      </w:r>
    </w:p>
    <w:p>
      <w:pPr>
        <w:pStyle w:val="BookText"/>
      </w:pPr>
      <w:r>
        <w:rPr>
          <w:rFonts w:ascii="IRNazanin" w:hAnsi="IRNazanin" w:eastAsia="IRNazanin" w:cs="IRNazanin"/>
          <w:lang w:bidi="fa-IR"/>
          <w:color w:val="111111"/>
          <w:sz w:val="28"/>
          <w:szCs w:val="28"/>
          <w:rtl/>
        </w:rPr>
        <w:t xml:space="preserve">ترکیب بند است از لسانی ،نوعی ،ظهوری ؛خط: نستعلیق، بی کا، تا: قرن ۱۳ [ف: ۸ - ۲۰]</w:t>
      </w:r>
    </w:p>
    <w:p>
      <w:pPr>
        <w:pStyle w:val="BookText"/>
      </w:pPr>
      <w:r>
        <w:rPr>
          <w:rFonts w:ascii="IRNazanin" w:hAnsi="IRNazanin" w:eastAsia="IRNazanin" w:cs="IRNazanin"/>
          <w:lang w:bidi="fa-IR"/>
          <w:color w:val="111111"/>
          <w:sz w:val="28"/>
          <w:szCs w:val="28"/>
          <w:rtl/>
        </w:rPr>
        <w:t xml:space="preserve">۸۰۶. تهران؛ دانشگاه؛ شماره نسخه: ۴۳۱۳/۷</w:t>
      </w:r>
    </w:p>
    <w:p>
      <w:pPr>
        <w:pStyle w:val="BookText"/>
      </w:pPr>
      <w:r>
        <w:rPr>
          <w:rFonts w:ascii="IRNazanin" w:hAnsi="IRNazanin" w:eastAsia="IRNazanin" w:cs="IRNazanin"/>
          <w:lang w:bidi="fa-IR"/>
          <w:color w:val="111111"/>
          <w:sz w:val="28"/>
          <w:szCs w:val="28"/>
          <w:rtl/>
        </w:rPr>
        <w:t xml:space="preserve">ترکیب بند ضیا در پند و اندرز با مردان؛ خط: نستعلیق، بی کا، تا:قرن ۱۳؛ کاغذ: فرنگی ،جلد: تیماج عنابی مقوایی، ۸گ (159- ۱۶۷)، ۱۰ سطر (6</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۱۳ - ۳۲۷۶]</w:t>
      </w:r>
    </w:p>
    <w:p>
      <w:pPr>
        <w:pStyle w:val="BookText"/>
      </w:pPr>
      <w:r>
        <w:rPr>
          <w:rFonts w:ascii="IRNazanin" w:hAnsi="IRNazanin" w:eastAsia="IRNazanin" w:cs="IRNazanin"/>
          <w:lang w:bidi="fa-IR"/>
          <w:color w:val="111111"/>
          <w:sz w:val="28"/>
          <w:szCs w:val="28"/>
          <w:rtl/>
        </w:rPr>
        <w:t xml:space="preserve">۸۰۷. تهران؛ ملک؛ شماره نسخه: ۴۶۷۶/۱۷</w:t>
      </w:r>
    </w:p>
    <w:p>
      <w:pPr>
        <w:pStyle w:val="BookText"/>
      </w:pPr>
      <w:r>
        <w:rPr>
          <w:rFonts w:ascii="IRNazanin" w:hAnsi="IRNazanin" w:eastAsia="IRNazanin" w:cs="IRNazanin"/>
          <w:lang w:bidi="fa-IR"/>
          <w:color w:val="111111"/>
          <w:sz w:val="28"/>
          <w:szCs w:val="28"/>
          <w:rtl/>
        </w:rPr>
        <w:t xml:space="preserve">ترجیع بند مفتون، ملا مغربی ،عرفی ،نوعی ،جامی حافـظ، واقف، سعدى، نيكو، وحشی، عطار؛ خط: نستعلیق، بی کا، تا: قرن  ۱۳ [ف: ۸ - ۲۰]</w:t>
      </w:r>
    </w:p>
    <w:p>
      <w:pPr>
        <w:pStyle w:val="BookText"/>
      </w:pPr>
      <w:r>
        <w:rPr>
          <w:rFonts w:ascii="IRNazanin" w:hAnsi="IRNazanin" w:eastAsia="IRNazanin" w:cs="IRNazanin"/>
          <w:lang w:bidi="fa-IR"/>
          <w:color w:val="111111"/>
          <w:sz w:val="28"/>
          <w:szCs w:val="28"/>
          <w:rtl/>
        </w:rPr>
        <w:t xml:space="preserve">۸۰۸. تهران؛ ملک؛ شماره نسخه: ۵۱۱۲/۵۱</w:t>
      </w:r>
    </w:p>
    <w:p>
      <w:pPr>
        <w:pStyle w:val="BookText"/>
      </w:pPr>
      <w:r>
        <w:rPr>
          <w:rFonts w:ascii="IRNazanin" w:hAnsi="IRNazanin" w:eastAsia="IRNazanin" w:cs="IRNazanin"/>
          <w:lang w:bidi="fa-IR"/>
          <w:color w:val="111111"/>
          <w:sz w:val="28"/>
          <w:szCs w:val="28"/>
          <w:rtl/>
        </w:rPr>
        <w:t xml:space="preserve">آغاز: بنشینم و زار زار گریم *** بر حال دل فکار گریم</w:t>
      </w:r>
    </w:p>
    <w:p>
      <w:pPr>
        <w:pStyle w:val="BookText"/>
      </w:pPr>
      <w:r>
        <w:rPr>
          <w:rFonts w:ascii="IRNazanin" w:hAnsi="IRNazanin" w:eastAsia="IRNazanin" w:cs="IRNazanin"/>
          <w:lang w:bidi="fa-IR"/>
          <w:color w:val="111111"/>
          <w:sz w:val="28"/>
          <w:szCs w:val="28"/>
          <w:rtl/>
        </w:rPr>
        <w:t xml:space="preserve">ترجیع بند است؛ خط: شکسته نستعلیق، بی کا، تا: قرن ۱۳ [ف: ۲۱۱۸]</w:t>
      </w:r>
    </w:p>
    <w:p>
      <w:pPr>
        <w:pStyle w:val="BookText"/>
      </w:pPr>
      <w:r>
        <w:rPr>
          <w:rFonts w:ascii="IRNazanin" w:hAnsi="IRNazanin" w:eastAsia="IRNazanin" w:cs="IRNazanin"/>
          <w:lang w:bidi="fa-IR"/>
          <w:color w:val="111111"/>
          <w:sz w:val="28"/>
          <w:szCs w:val="28"/>
          <w:rtl/>
        </w:rPr>
        <w:t xml:space="preserve">۸۰۹. رشت؛ جمعیت نشر فرهنگ؛ شماره نسخه: ۸۱۱/۱م</w:t>
      </w:r>
    </w:p>
    <w:p>
      <w:pPr>
        <w:pStyle w:val="BookText"/>
      </w:pPr>
      <w:r>
        <w:rPr>
          <w:rFonts w:ascii="IRNazanin" w:hAnsi="IRNazanin" w:eastAsia="IRNazanin" w:cs="IRNazanin"/>
          <w:lang w:bidi="fa-IR"/>
          <w:color w:val="111111"/>
          <w:sz w:val="28"/>
          <w:szCs w:val="28"/>
          <w:rtl/>
        </w:rPr>
        <w:t xml:space="preserve">آغاز: غیر حق را میدهی ره در حریم دل چرا *** می کشی بر صفحه  هستی خط باطل چرا</w:t>
      </w:r>
    </w:p>
    <w:p>
      <w:pPr>
        <w:pStyle w:val="BookText"/>
      </w:pPr>
      <w:r>
        <w:rPr>
          <w:rFonts w:ascii="IRNazanin" w:hAnsi="IRNazanin" w:eastAsia="IRNazanin" w:cs="IRNazanin"/>
          <w:lang w:bidi="fa-IR"/>
          <w:color w:val="111111"/>
          <w:sz w:val="28"/>
          <w:szCs w:val="28"/>
          <w:rtl/>
        </w:rPr>
        <w:t xml:space="preserve">بندی شعر فارسی است؛ بی کا، تا: قرن ۱۳، قطع: ربعی [رشت و همدان: ف: ۱۲۳۱]</w:t>
      </w:r>
    </w:p>
    <w:p>
      <w:pPr>
        <w:pStyle w:val="BookText"/>
      </w:pPr>
      <w:r>
        <w:rPr>
          <w:rFonts w:ascii="IRNazanin" w:hAnsi="IRNazanin" w:eastAsia="IRNazanin" w:cs="IRNazanin"/>
          <w:lang w:bidi="fa-IR"/>
          <w:color w:val="111111"/>
          <w:sz w:val="28"/>
          <w:szCs w:val="28"/>
          <w:rtl/>
        </w:rPr>
        <w:t xml:space="preserve">۸۱۰. اصفهان؛ علامه فانی (ضیاء الدین)؛ شماره نسخه: ۷۶</w:t>
      </w:r>
    </w:p>
    <w:p>
      <w:pPr>
        <w:pStyle w:val="BookText"/>
      </w:pPr>
      <w:r>
        <w:rPr>
          <w:rFonts w:ascii="IRNazanin" w:hAnsi="IRNazanin" w:eastAsia="IRNazanin" w:cs="IRNazanin"/>
          <w:lang w:bidi="fa-IR"/>
          <w:color w:val="111111"/>
          <w:sz w:val="28"/>
          <w:szCs w:val="28"/>
          <w:rtl/>
        </w:rPr>
        <w:t xml:space="preserve">بیاضی شامل اشعاری در مرثیه و موعظه و ...؛ خط: نسخ تحریری، بی کا، تا: قرن ۱۳؛ روی برگ آخر یادداشت یادگاری به تاریخ ۳ محرم ۱۳۴۴؛ جلد: تیماج قهوه ای، ۸۵گ، مختلف السطر [سه کتابخانه اصفهان: ف: ۱۵۴]</w:t>
      </w:r>
    </w:p>
    <w:p>
      <w:pPr>
        <w:pStyle w:val="BookText"/>
      </w:pPr>
      <w:r>
        <w:rPr>
          <w:rFonts w:ascii="IRNazanin" w:hAnsi="IRNazanin" w:eastAsia="IRNazanin" w:cs="IRNazanin"/>
          <w:lang w:bidi="fa-IR"/>
          <w:color w:val="111111"/>
          <w:sz w:val="28"/>
          <w:szCs w:val="28"/>
          <w:rtl/>
        </w:rPr>
        <w:t xml:space="preserve">۸۱۱. تهران؛ ملی؛ شماره نسخه: ۲۸۳۱</w:t>
      </w:r>
    </w:p>
    <w:p>
      <w:pPr>
        <w:pStyle w:val="BookText"/>
      </w:pPr>
      <w:r>
        <w:rPr>
          <w:rFonts w:ascii="IRNazanin" w:hAnsi="IRNazanin" w:eastAsia="IRNazanin" w:cs="IRNazanin"/>
          <w:lang w:bidi="fa-IR"/>
          <w:color w:val="111111"/>
          <w:sz w:val="28"/>
          <w:szCs w:val="28"/>
          <w:rtl/>
        </w:rPr>
        <w:t xml:space="preserve">آغاز: سیری وار کرد علماهی اوجالدیم ولدن *** اشک گلرنگ  تو کوپ خلقه بیله جار قیلوم؛ انجام: وی صید حرم کباب از تو این بیاض که از شعر شاعران بسیار فراهم آمده شامل بسیاری از اشعار سعدی است، در بین اشعار شعرهای ترکی نیز وجود دارد؛ خط: نستعلیق شکسته، بی کا، تا: محتملاً قرن ۱۳؛ مجدول، خطوط پاره ای از صفحات چلیپا و پاره ای دیگر حمایلی؛ کاغذ: فرنگی ،جلد: بياض، عطف و سجاف تیماج مشکی، رویه چیت اق بانو، قرمز و بنفش، ۴۶گ، ۸ سطر (۵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اندازه: 9</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[ف: ۶-۴۷۵]</w:t>
      </w:r>
    </w:p>
    <w:p>
      <w:pPr>
        <w:pStyle w:val="BookText"/>
      </w:pPr>
      <w:r>
        <w:rPr>
          <w:rFonts w:ascii="IRNazanin" w:hAnsi="IRNazanin" w:eastAsia="IRNazanin" w:cs="IRNazanin"/>
          <w:lang w:bidi="fa-IR"/>
          <w:color w:val="111111"/>
          <w:sz w:val="28"/>
          <w:szCs w:val="28"/>
          <w:rtl/>
        </w:rPr>
        <w:t xml:space="preserve">۸۱۲ .تهران؛ ملی؛ شماره نسخه: ۲۸۲۴</w:t>
      </w:r>
    </w:p>
    <w:p>
      <w:pPr>
        <w:pStyle w:val="BookText"/>
      </w:pPr>
      <w:r>
        <w:rPr>
          <w:rFonts w:ascii="IRNazanin" w:hAnsi="IRNazanin" w:eastAsia="IRNazanin" w:cs="IRNazanin"/>
          <w:lang w:bidi="fa-IR"/>
          <w:color w:val="111111"/>
          <w:sz w:val="28"/>
          <w:szCs w:val="28"/>
          <w:rtl/>
        </w:rPr>
        <w:t xml:space="preserve">آغاز: برند از فاقه نزد هر حبیبی*** کنون اهل خرد دست گدائی؛</w:t>
      </w:r>
    </w:p>
    <w:p>
      <w:pPr>
        <w:pStyle w:val="BookText"/>
      </w:pPr>
      <w:r>
        <w:rPr>
          <w:rFonts w:ascii="IRNazanin" w:hAnsi="IRNazanin" w:eastAsia="IRNazanin" w:cs="IRNazanin"/>
          <w:lang w:bidi="fa-IR"/>
          <w:color w:val="111111"/>
          <w:sz w:val="28"/>
          <w:szCs w:val="28"/>
          <w:rtl/>
        </w:rPr>
        <w:t xml:space="preserve">انجام: باشنده قوش فتادی ترک</w:t>
      </w:r>
    </w:p>
    <w:p>
      <w:pPr>
        <w:pStyle w:val="BookText"/>
      </w:pPr>
      <w:r>
        <w:rPr>
          <w:rFonts w:ascii="IRNazanin" w:hAnsi="IRNazanin" w:eastAsia="IRNazanin" w:cs="IRNazanin"/>
          <w:lang w:bidi="fa-IR"/>
          <w:color w:val="111111"/>
          <w:sz w:val="28"/>
          <w:szCs w:val="28"/>
          <w:rtl/>
        </w:rPr>
        <w:t xml:space="preserve">این بیاض مرکب از دو قسمت است: قسمت اول آن کتابی چاپی است و اشعار آن در میان جدولی بصورت حمایلی آمده، قسمت دوم خطی است و اکثر بدون ذکر نام شاعر، اشعار تحریر یافته؛ خط: نستعلیق شکسته، بی کا، تا: محتملاً قرن ۱۳؛ کاغذ: فرنگی (الوان) جلد: مقوایی رویه کاغذی رنگی عطف پارچه، ۳۵گ (۱۰۲-۶۷)، اندازه: 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۶ - ۴۶۴]</w:t>
      </w:r>
    </w:p>
    <w:p>
      <w:pPr>
        <w:pStyle w:val="BookText"/>
      </w:pPr>
      <w:r>
        <w:rPr>
          <w:rFonts w:ascii="IRNazanin" w:hAnsi="IRNazanin" w:eastAsia="IRNazanin" w:cs="IRNazanin"/>
          <w:lang w:bidi="fa-IR"/>
          <w:color w:val="111111"/>
          <w:sz w:val="28"/>
          <w:szCs w:val="28"/>
          <w:rtl/>
        </w:rPr>
        <w:t xml:space="preserve">۸۱۳. تهران؛ مدارک فرهنگی؛ شماره نسخه: ۳۱</w:t>
      </w:r>
    </w:p>
    <w:p>
      <w:pPr>
        <w:pStyle w:val="BookText"/>
      </w:pPr>
      <w:r>
        <w:rPr>
          <w:rFonts w:ascii="IRNazanin" w:hAnsi="IRNazanin" w:eastAsia="IRNazanin" w:cs="IRNazanin"/>
          <w:lang w:bidi="fa-IR"/>
          <w:color w:val="111111"/>
          <w:sz w:val="28"/>
          <w:szCs w:val="28"/>
          <w:rtl/>
        </w:rPr>
        <w:t xml:space="preserve">آغاز: خامه دیری خوش بر آسودی نیاز *** کم خرامیدی بنزهتگاه راز؛ انجام: پای کوبان دست افشان طی کنید *** زان سپس آهنگ ملک ری کنید</w:t>
      </w:r>
    </w:p>
    <w:p>
      <w:pPr>
        <w:pStyle w:val="BookText"/>
      </w:pPr>
      <w:r>
        <w:rPr>
          <w:rFonts w:ascii="IRNazanin" w:hAnsi="IRNazanin" w:eastAsia="IRNazanin" w:cs="IRNazanin"/>
          <w:lang w:bidi="fa-IR"/>
          <w:color w:val="111111"/>
          <w:sz w:val="28"/>
          <w:szCs w:val="28"/>
          <w:rtl/>
        </w:rPr>
        <w:t xml:space="preserve">مضامین اشعار در جواب غلامی زشت رو عیب جوی خود را،در زمین بوسی و گرایش به شکر و سپاس شهریاری، در معاتبت نفس سبب بی آرامی نفس، حکایات لقمان و ارزن کاشتن او بجای کنجد، از نکوهش بخل و مذمت بخیل، بازگشت به اصل مقصود ،حکایت درویشانی که از بسیار خواری به خذلان افتادند، حکایت منعم درویشان و خذلان ایشان، در نکوهش نفس و ... در
</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ستایش ادب و نکوهش بی ادبان، حکایت سلیمان پیغمبر (علیه السّلام) و ملامت گفتن زن او در تهنیت ورود موکب همایون به داراخلافه تهران ؛خط: شکسته نستعلیق ممتاز، بی کا، تا: قرن ۱۳؛ مذهـب ؛کاغذ: فرنگی مایل به حنایی ،جلد: مقوایی روکش کاغذ زرشک، ۲۰گ، ۱۷ سطر ،(۵/۵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۵/۱۳)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[ف:۲۸]</w:t>
      </w:r>
    </w:p>
    <w:p>
      <w:pPr>
        <w:pStyle w:val="BookText"/>
      </w:pPr>
      <w:r>
        <w:rPr>
          <w:rFonts w:ascii="IRNazanin" w:hAnsi="IRNazanin" w:eastAsia="IRNazanin" w:cs="IRNazanin"/>
          <w:lang w:bidi="fa-IR"/>
          <w:color w:val="111111"/>
          <w:sz w:val="28"/>
          <w:szCs w:val="28"/>
          <w:rtl/>
        </w:rPr>
        <w:t xml:space="preserve">۸۱۴. تهران؛ ملک؛ شماره نسخه: ۵۰۸۵/۱۳</w:t>
      </w:r>
    </w:p>
    <w:p>
      <w:pPr>
        <w:pStyle w:val="BookText"/>
      </w:pPr>
      <w:r>
        <w:rPr>
          <w:rFonts w:ascii="IRNazanin" w:hAnsi="IRNazanin" w:eastAsia="IRNazanin" w:cs="IRNazanin"/>
          <w:lang w:bidi="fa-IR"/>
          <w:color w:val="111111"/>
          <w:sz w:val="28"/>
          <w:szCs w:val="28"/>
          <w:rtl/>
        </w:rPr>
        <w:t xml:space="preserve">شعر اشرف در ستایش حضرت علی (علیه السّلام) است؛ خط: نستعلیق، بی کا، تا: قرن ۱۲ و ۱۳[ ف: ۸ - ۱۹۵]</w:t>
      </w:r>
    </w:p>
    <w:p>
      <w:pPr>
        <w:pStyle w:val="BookText"/>
      </w:pPr>
      <w:r>
        <w:rPr>
          <w:rFonts w:ascii="IRNazanin" w:hAnsi="IRNazanin" w:eastAsia="IRNazanin" w:cs="IRNazanin"/>
          <w:lang w:bidi="fa-IR"/>
          <w:color w:val="111111"/>
          <w:sz w:val="28"/>
          <w:szCs w:val="28"/>
          <w:rtl/>
        </w:rPr>
        <w:t xml:space="preserve">۸۱۵. تهران؛ مفتاح؛ شماره نسخه: ۸۰۲/۱</w:t>
      </w:r>
    </w:p>
    <w:p>
      <w:pPr>
        <w:pStyle w:val="BookText"/>
      </w:pPr>
      <w:r>
        <w:rPr>
          <w:rFonts w:ascii="IRNazanin" w:hAnsi="IRNazanin" w:eastAsia="IRNazanin" w:cs="IRNazanin"/>
          <w:lang w:bidi="fa-IR"/>
          <w:color w:val="111111"/>
          <w:sz w:val="28"/>
          <w:szCs w:val="28"/>
          <w:rtl/>
        </w:rPr>
        <w:t xml:space="preserve">خط: نستعلیق، بی کا، تا: قرن ۱۳؛ قطع: خشتی [ نشریه: ۷ - ۲۵۷]</w:t>
      </w:r>
    </w:p>
    <w:p>
      <w:pPr>
        <w:pStyle w:val="BookText"/>
      </w:pPr>
      <w:r>
        <w:rPr>
          <w:rFonts w:ascii="IRNazanin" w:hAnsi="IRNazanin" w:eastAsia="IRNazanin" w:cs="IRNazanin"/>
          <w:lang w:bidi="fa-IR"/>
          <w:color w:val="111111"/>
          <w:sz w:val="28"/>
          <w:szCs w:val="28"/>
          <w:rtl/>
        </w:rPr>
        <w:t xml:space="preserve">۸۱۶. تهران؛ مفتاح؛ شماره نسخه: ۱۲۲۳/۲</w:t>
      </w:r>
    </w:p>
    <w:p>
      <w:pPr>
        <w:pStyle w:val="BookText"/>
      </w:pPr>
      <w:r>
        <w:rPr>
          <w:rFonts w:ascii="IRNazanin" w:hAnsi="IRNazanin" w:eastAsia="IRNazanin" w:cs="IRNazanin"/>
          <w:lang w:bidi="fa-IR"/>
          <w:color w:val="111111"/>
          <w:sz w:val="28"/>
          <w:szCs w:val="28"/>
          <w:rtl/>
        </w:rPr>
        <w:t xml:space="preserve">خط: شکسته نستعلیق، بی کا، تا: قرن ۱۳؛ کاغذ: كبود، قـطع: بیاضی ربعی [نشریه: ۷ -۲۷۱]</w:t>
      </w:r>
    </w:p>
    <w:p>
      <w:pPr>
        <w:pStyle w:val="BookText"/>
      </w:pPr>
      <w:r>
        <w:rPr>
          <w:rFonts w:ascii="IRNazanin" w:hAnsi="IRNazanin" w:eastAsia="IRNazanin" w:cs="IRNazanin"/>
          <w:lang w:bidi="fa-IR"/>
          <w:color w:val="111111"/>
          <w:sz w:val="28"/>
          <w:szCs w:val="28"/>
          <w:rtl/>
        </w:rPr>
        <w:t xml:space="preserve">۸۱۷. تهران؛ مفتاح؛ شماره نسخه: ۸۶۶/۱</w:t>
      </w:r>
    </w:p>
    <w:p>
      <w:pPr>
        <w:pStyle w:val="BookText"/>
      </w:pPr>
      <w:r>
        <w:rPr>
          <w:rFonts w:ascii="IRNazanin" w:hAnsi="IRNazanin" w:eastAsia="IRNazanin" w:cs="IRNazanin"/>
          <w:lang w:bidi="fa-IR"/>
          <w:color w:val="111111"/>
          <w:sz w:val="28"/>
          <w:szCs w:val="28"/>
          <w:rtl/>
        </w:rPr>
        <w:t xml:space="preserve">شعرهای فارسی سعدی ،حافظ ،جامی ،خیام، محتشم (غزل و قصیده و ترجیع و قطعه و رباعی)، (رباعیات)؛ خط: نستعلیق، بی کا، تا: قرن ۱۳؛ جدول زر و لاجورد؛ قطع: بیاضی ربعی [ نشریه: 7- 135]</w:t>
      </w:r>
    </w:p>
    <w:p>
      <w:pPr>
        <w:pStyle w:val="BookText"/>
      </w:pPr>
      <w:r>
        <w:rPr>
          <w:rFonts w:ascii="IRNazanin" w:hAnsi="IRNazanin" w:eastAsia="IRNazanin" w:cs="IRNazanin"/>
          <w:lang w:bidi="fa-IR"/>
          <w:color w:val="111111"/>
          <w:sz w:val="28"/>
          <w:szCs w:val="28"/>
          <w:rtl/>
        </w:rPr>
        <w:t xml:space="preserve">۸۱۸. تهران؛ مجلس؛ شماره نسخه: ۱۲۰۲/۷۷-طباطبائی</w:t>
      </w:r>
    </w:p>
    <w:p>
      <w:pPr>
        <w:pStyle w:val="BookText"/>
      </w:pPr>
      <w:r>
        <w:rPr>
          <w:rFonts w:ascii="IRNazanin" w:hAnsi="IRNazanin" w:eastAsia="IRNazanin" w:cs="IRNazanin"/>
          <w:lang w:bidi="fa-IR"/>
          <w:color w:val="111111"/>
          <w:sz w:val="28"/>
          <w:szCs w:val="28"/>
          <w:rtl/>
        </w:rPr>
        <w:t xml:space="preserve">شعری در بحر ناقوس. ابیاتی است که در صدر آن این نوشته دیده می شود: قطر الميزاب، بحر خبخب و بحر ناقوص گفته میرزا قوم الدين صوت الناقوس اسمع دقا *** حقا حقا حقا / فعلن فعلن فعـلن فعلن *** بحر عذب درا القا؛ خط: نستعلیق، بی کا، تا: قرن ۱ ص (۶۶ر) [ف: ۲۳ - ۷۳۶]</w:t>
      </w:r>
    </w:p>
    <w:p>
      <w:pPr>
        <w:pStyle w:val="BookText"/>
      </w:pPr>
      <w:r>
        <w:rPr>
          <w:rFonts w:ascii="IRNazanin" w:hAnsi="IRNazanin" w:eastAsia="IRNazanin" w:cs="IRNazanin"/>
          <w:lang w:bidi="fa-IR"/>
          <w:color w:val="111111"/>
          <w:sz w:val="28"/>
          <w:szCs w:val="28"/>
          <w:rtl/>
        </w:rPr>
        <w:t xml:space="preserve">۸۱۹. تهران؛ ملی؛ شماره نسخه: ۱۷۲۸</w:t>
      </w:r>
    </w:p>
    <w:p>
      <w:pPr>
        <w:pStyle w:val="BookText"/>
      </w:pPr>
      <w:r>
        <w:rPr>
          <w:rFonts w:ascii="IRNazanin" w:hAnsi="IRNazanin" w:eastAsia="IRNazanin" w:cs="IRNazanin"/>
          <w:lang w:bidi="fa-IR"/>
          <w:color w:val="111111"/>
          <w:sz w:val="28"/>
          <w:szCs w:val="28"/>
          <w:rtl/>
        </w:rPr>
        <w:t xml:space="preserve">آغاز: بسمله ای سران ملک رامش سر کنید*** ملک را آرایـش  و زیور کنید؛ انجام: جای آتشخانه محراب آورند *** هندوانرا سینه در تاب آورند</w:t>
      </w:r>
    </w:p>
    <w:p>
      <w:pPr>
        <w:pStyle w:val="BookText"/>
      </w:pPr>
      <w:r>
        <w:rPr>
          <w:rFonts w:ascii="IRNazanin" w:hAnsi="IRNazanin" w:eastAsia="IRNazanin" w:cs="IRNazanin"/>
          <w:lang w:bidi="fa-IR"/>
          <w:color w:val="111111"/>
          <w:sz w:val="28"/>
          <w:szCs w:val="28"/>
          <w:rtl/>
        </w:rPr>
        <w:t xml:space="preserve">این دیوان که نام سراینده اش به دست نیامد دیوانی است حاوی اشعار به بحر تقارب در نعت پادشاه وقت (که نام او هم معـلوم نگشت و به قرینه می توان فتحعلی شاهقاجار را حدس زد ) با کنایات عرفانی می باشد ؛خط: نستعلیق، بی کا، تا: قرن 13؛مجدول، مذهب؛ مهر: ناصرالدین شاه؛ کاغذ: فرنگی ،جلد: تیماج قرمز مقوایی، ابعاد متن: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 ۹گ، ۱۵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۳۲/۵سم [ف: ۴ - ۱۹۲]</w:t>
      </w:r>
    </w:p>
    <w:p>
      <w:pPr>
        <w:pStyle w:val="BookText"/>
      </w:pPr>
      <w:r>
        <w:rPr>
          <w:rFonts w:ascii="IRNazanin" w:hAnsi="IRNazanin" w:eastAsia="IRNazanin" w:cs="IRNazanin"/>
          <w:lang w:bidi="fa-IR"/>
          <w:color w:val="111111"/>
          <w:sz w:val="28"/>
          <w:szCs w:val="28"/>
          <w:rtl/>
        </w:rPr>
        <w:t xml:space="preserve">۸۲۰. شیراز؛ شاهچراغ؛ شماره نسخه: ۷۶۲</w:t>
      </w:r>
    </w:p>
    <w:p>
      <w:pPr>
        <w:pStyle w:val="BookText"/>
      </w:pPr>
      <w:r>
        <w:rPr>
          <w:rFonts w:ascii="IRNazanin" w:hAnsi="IRNazanin" w:eastAsia="IRNazanin" w:cs="IRNazanin"/>
          <w:lang w:bidi="fa-IR"/>
          <w:color w:val="111111"/>
          <w:sz w:val="28"/>
          <w:szCs w:val="28"/>
          <w:rtl/>
        </w:rPr>
        <w:t xml:space="preserve">آغاز: چو پادشاه جهان گیر عالم بالا *** بفرو خانه سرو وزیر شد تنها</w:t>
      </w:r>
    </w:p>
    <w:p>
      <w:pPr>
        <w:pStyle w:val="BookText"/>
      </w:pPr>
      <w:r>
        <w:rPr>
          <w:rFonts w:ascii="IRNazanin" w:hAnsi="IRNazanin" w:eastAsia="IRNazanin" w:cs="IRNazanin"/>
          <w:lang w:bidi="fa-IR"/>
          <w:color w:val="111111"/>
          <w:sz w:val="28"/>
          <w:szCs w:val="28"/>
          <w:rtl/>
        </w:rPr>
        <w:t xml:space="preserve">دیوان شعر است در تعدادی از ابیات نام «شاه محمد» آمده اسـت؛ خط: نستعلیق، بی کا، تا: قرن ۱۳؛ ۸گ،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۳ -  41]</w:t>
      </w:r>
    </w:p>
    <w:p>
      <w:pPr>
        <w:pStyle w:val="BookText"/>
      </w:pPr>
      <w:r>
        <w:rPr>
          <w:rFonts w:ascii="IRNazanin" w:hAnsi="IRNazanin" w:eastAsia="IRNazanin" w:cs="IRNazanin"/>
          <w:lang w:bidi="fa-IR"/>
          <w:color w:val="111111"/>
          <w:sz w:val="28"/>
          <w:szCs w:val="28"/>
          <w:rtl/>
        </w:rPr>
        <w:t xml:space="preserve">۸۲۱. تهران؛ ملک؛ شماره نسخه: ۴۸۸۹</w:t>
      </w:r>
    </w:p>
    <w:p>
      <w:pPr>
        <w:pStyle w:val="BookText"/>
      </w:pPr>
      <w:r>
        <w:rPr>
          <w:rFonts w:ascii="IRNazanin" w:hAnsi="IRNazanin" w:eastAsia="IRNazanin" w:cs="IRNazanin"/>
          <w:lang w:bidi="fa-IR"/>
          <w:color w:val="111111"/>
          <w:sz w:val="28"/>
          <w:szCs w:val="28"/>
          <w:rtl/>
        </w:rPr>
        <w:t xml:space="preserve">اشعار ادیب صابر، عنصری ،سوزنی، امیر معزی ،ازرقی، ظهیر فاریابی، رشید وطواط ،منوچهری، محمد فلکی شیروانی از مردم شماخی، مختاری غزنوی، سید حسن غزنوی، رودکی، امامی هروی، سلمان ساوجی، مجد همگر، عمادی شهریاری، مسعود سعد سلمان؛ خط: نستعلیق، بی کا، تا: قرن ۱۳ ؛کاغذ: آهار مهره فرنگی، جلد: میشن قهوه ای روشن، ۱۵۹گ، ۱۵ سطر، اندازه: ۱۲/۸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۸ - ۱۱۳]</w:t>
      </w:r>
    </w:p>
    <w:p>
      <w:pPr>
        <w:pStyle w:val="BookText"/>
      </w:pPr>
      <w:r>
        <w:rPr>
          <w:rFonts w:ascii="IRNazanin" w:hAnsi="IRNazanin" w:eastAsia="IRNazanin" w:cs="IRNazanin"/>
          <w:lang w:bidi="fa-IR"/>
          <w:color w:val="111111"/>
          <w:sz w:val="28"/>
          <w:szCs w:val="28"/>
          <w:rtl/>
        </w:rPr>
        <w:t xml:space="preserve">۸۲۲. تهران؛ ملی؛ شماره نسخه: ۹۶۸</w:t>
      </w:r>
    </w:p>
    <w:p>
      <w:pPr>
        <w:pStyle w:val="BookText"/>
      </w:pPr>
      <w:r>
        <w:rPr>
          <w:rFonts w:ascii="IRNazanin" w:hAnsi="IRNazanin" w:eastAsia="IRNazanin" w:cs="IRNazanin"/>
          <w:lang w:bidi="fa-IR"/>
          <w:color w:val="111111"/>
          <w:sz w:val="28"/>
          <w:szCs w:val="28"/>
          <w:rtl/>
        </w:rPr>
        <w:t xml:space="preserve">آغاز: السلام ای سایه ات خورشید رب العالمين *** آسمان عز و تمکین آفتاب داد و دین ؛انجام: کل هم و غم سینجلی *** بولایتک یا علی یا علی یا علی</w:t>
      </w:r>
    </w:p>
    <w:p>
      <w:pPr>
        <w:pStyle w:val="BookText"/>
      </w:pPr>
      <w:r>
        <w:rPr>
          <w:rFonts w:ascii="IRNazanin" w:hAnsi="IRNazanin" w:eastAsia="IRNazanin" w:cs="IRNazanin"/>
          <w:lang w:bidi="fa-IR"/>
          <w:color w:val="111111"/>
          <w:sz w:val="28"/>
          <w:szCs w:val="28"/>
          <w:rtl/>
        </w:rPr>
        <w:t xml:space="preserve">از: کاشی.این مجموعه شامل چند غزل است و به صورت مرقع کتابت شده و مجموع آن ها ۲۱ مرقع است، غزل ها اکثر در مدح و فضایل علی (علیه السّلام) می باشد و در پاره ای از غزلیات شاعر از حافظ در وزن و قافیه تبعیت کرده؛ خط: نستعلیق، کا: کاشی، تا: محتملاً قرن ۱۳، جا: آمل؛ حاوی ۲۱ مرقع بر روی ۲۱ صفحه مقوایی به رنگ های سفید و زرد و بنفش، در هر موقع طلااندازی، هر مصرع بروی یک سطر نوشته شده، حاشیه هر موقع دارای یک نوار کاغذ قرمز است؛ کاغذ: فرنگی ،جلد: تیماج قرمز، مقوایی، ابعاد متن: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۱۱گ، ۹ سطر (7</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۳۱/۵سم [ف: ۲ - ۵۱۷]</w:t>
      </w:r>
    </w:p>
    <w:p>
      <w:pPr>
        <w:pStyle w:val="BookText"/>
      </w:pPr>
      <w:r>
        <w:rPr>
          <w:rFonts w:ascii="IRNazanin" w:hAnsi="IRNazanin" w:eastAsia="IRNazanin" w:cs="IRNazanin"/>
          <w:lang w:bidi="fa-IR"/>
          <w:color w:val="111111"/>
          <w:sz w:val="28"/>
          <w:szCs w:val="28"/>
          <w:rtl/>
        </w:rPr>
        <w:t xml:space="preserve">۸۲۳. تهران؛ انجمن آثار و مفاخر فرهنگی؛ شماره نسخه: ۳۰/۲</w:t>
      </w:r>
    </w:p>
    <w:p>
      <w:pPr>
        <w:pStyle w:val="BookText"/>
      </w:pPr>
      <w:r>
        <w:rPr>
          <w:rFonts w:ascii="IRNazanin" w:hAnsi="IRNazanin" w:eastAsia="IRNazanin" w:cs="IRNazanin"/>
          <w:lang w:bidi="fa-IR"/>
          <w:color w:val="111111"/>
          <w:sz w:val="28"/>
          <w:szCs w:val="28"/>
          <w:rtl/>
        </w:rPr>
        <w:t xml:space="preserve">منتخب اشعار حافظ عصمت بخارائی و عاشق و مجمور و دیگران؛ خط: شکسته نستعلیق، بی کا، تا: قرن ۱۳[ نشریه: ۷ - ۴]</w:t>
      </w:r>
    </w:p>
    <w:p>
      <w:pPr>
        <w:pStyle w:val="BookText"/>
      </w:pPr>
      <w:r>
        <w:rPr>
          <w:rFonts w:ascii="IRNazanin" w:hAnsi="IRNazanin" w:eastAsia="IRNazanin" w:cs="IRNazanin"/>
          <w:lang w:bidi="fa-IR"/>
          <w:color w:val="111111"/>
          <w:sz w:val="28"/>
          <w:szCs w:val="28"/>
          <w:rtl/>
        </w:rPr>
        <w:t xml:space="preserve">۸۲۴. تهران؛ ملک؛ شماره نسخه: ۵۱۰۸</w:t>
      </w:r>
    </w:p>
    <w:p>
      <w:pPr>
        <w:pStyle w:val="BookText"/>
      </w:pPr>
      <w:r>
        <w:rPr>
          <w:rFonts w:ascii="IRNazanin" w:hAnsi="IRNazanin" w:eastAsia="IRNazanin" w:cs="IRNazanin"/>
          <w:lang w:bidi="fa-IR"/>
          <w:color w:val="111111"/>
          <w:sz w:val="28"/>
          <w:szCs w:val="28"/>
          <w:rtl/>
        </w:rPr>
        <w:t xml:space="preserve">جنگ شعر است از بهرامی ،دقیقی ،رودکی، مختاری، مسعود ،سعد ،منوچهری سوزنی سمرقندی، ناصر خسرو ،منطقی، شمالی، رضی بابای قزوینی، میرزا محمد تقی سپهر مستوفی؛ خط: شکسته نستعلیق، بی کا، تا: قرن ۱۳ ؛کاغذ: فرنگی، جلد: رویه میشن یشمی، ۸۴گ، ۱۲ سطر، اندازه: ۱۱/۱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۸ - ۲۰۶]</w:t>
      </w:r>
    </w:p>
    <w:p>
      <w:pPr>
        <w:pStyle w:val="BookText"/>
      </w:pPr>
      <w:r>
        <w:rPr>
          <w:rFonts w:ascii="IRNazanin" w:hAnsi="IRNazanin" w:eastAsia="IRNazanin" w:cs="IRNazanin"/>
          <w:lang w:bidi="fa-IR"/>
          <w:color w:val="111111"/>
          <w:sz w:val="28"/>
          <w:szCs w:val="28"/>
          <w:rtl/>
        </w:rPr>
        <w:t xml:space="preserve">۸۲۵. تهران؛ ملی؛ شماره نسخه: ۲۰۰</w:t>
      </w:r>
    </w:p>
    <w:p>
      <w:pPr>
        <w:pStyle w:val="BookText"/>
      </w:pPr>
      <w:r>
        <w:rPr>
          <w:rFonts w:ascii="IRNazanin" w:hAnsi="IRNazanin" w:eastAsia="IRNazanin" w:cs="IRNazanin"/>
          <w:lang w:bidi="fa-IR"/>
          <w:color w:val="111111"/>
          <w:sz w:val="28"/>
          <w:szCs w:val="28"/>
          <w:rtl/>
        </w:rPr>
        <w:t xml:space="preserve">جنگی است حاوی قصاید و غزلیات و اشعار متفرق از: آملی، بابا فغانی، بهلول، جنید بغدادی، حکیم ابوالفتح دوانی، حکیم رکنا، ،خواری ،خسرو ،سنجر ،سنائی، شیخ تقی، شافی، شیخ ابو سعید، شاه طاهر رکنی ،شبلی ،شوکتی، شیخ قطب، صائب، طالب حکیم، قدوسی، ملا سبحانی، ملا احسنی، میرزا ملک مشرقی، ملا حاجی، ملا طهوری، میرزا جانی عزتی، معروف کرخی، محمد حسین سو آب، مولانا عرفی، ملا ناد، محمد سليم، مير صیدی  طهرانی ،نظیری ،نثاری، یوسف؛ خط: نستعلیق، بی کا، تا: قرن ۱۳؛ افتادگی: آغاز و انجام؛ کاتبان متعدد در صفحه ۹۸ نام یکی از کتاب خواجه علی آمده، صفحات مجدول؛ مهر: ناصرالدین شاه؛ کاغذ: اصفهانی، جلد: تیماج ماشی یک لا، ۱۰۸گ، ۱۲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۲۴/۵سم [ف: ۱ - ۱۹۸]</w:t>
      </w:r>
    </w:p>
    <w:p>
      <w:pPr>
        <w:pStyle w:val="BookText"/>
      </w:pPr>
      <w:r>
        <w:rPr>
          <w:rFonts w:ascii="IRNazanin" w:hAnsi="IRNazanin" w:eastAsia="IRNazanin" w:cs="IRNazanin"/>
          <w:lang w:bidi="fa-IR"/>
          <w:color w:val="111111"/>
          <w:sz w:val="28"/>
          <w:szCs w:val="28"/>
          <w:rtl/>
        </w:rPr>
        <w:t xml:space="preserve">۸۲۶. تهران؛ ملی؛ شماره نسخه: ۲۳۹۰</w:t>
      </w:r>
    </w:p>
    <w:p>
      <w:pPr>
        <w:pStyle w:val="BookText"/>
      </w:pPr>
      <w:r>
        <w:rPr>
          <w:rFonts w:ascii="IRNazanin" w:hAnsi="IRNazanin" w:eastAsia="IRNazanin" w:cs="IRNazanin"/>
          <w:lang w:bidi="fa-IR"/>
          <w:color w:val="111111"/>
          <w:sz w:val="28"/>
          <w:szCs w:val="28"/>
          <w:rtl/>
        </w:rPr>
        <w:t xml:space="preserve">آغاز: که جهان پرتوئی است از رخ دوست *** جمله کاینات سایه دوست؛ انجام: روی چون برداور دادگر *** بدرگاه او نام گردون
</w: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مبر</w:t>
      </w:r>
    </w:p>
    <w:p>
      <w:pPr>
        <w:pStyle w:val="BookText"/>
      </w:pPr>
      <w:r>
        <w:rPr>
          <w:rFonts w:ascii="IRNazanin" w:hAnsi="IRNazanin" w:eastAsia="IRNazanin" w:cs="IRNazanin"/>
          <w:lang w:bidi="fa-IR"/>
          <w:color w:val="111111"/>
          <w:sz w:val="28"/>
          <w:szCs w:val="28"/>
          <w:rtl/>
        </w:rPr>
        <w:t xml:space="preserve">شامل: اشعاری از هاتف به خط حمایلی، دیوان غزلیات طراز ( ص 29- 45)، غزلیات نیاز از الف تا یاء (۴۵-۱۲۲) ، قصايد و مثنوی که در آن مرثيه حسين بن علی (علیه السّلام) آمده (۱۲۲-۶۲)،  ظاهراً این قصاید باید از نیاز باشد؛ خط: شکسته نستعلیق ،بی کا،تا: محتملاً قرن ۱۳؛ کاغذ: فرنگی ،الوان ،جلد: تیماج ماشی یک لا، ۸۲گ، ۱۳ سطر ،(8</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،اندازه: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۵ - ۵۰۷]</w:t>
      </w:r>
    </w:p>
    <w:p>
      <w:pPr>
        <w:pStyle w:val="BookText"/>
      </w:pPr>
      <w:r>
        <w:rPr>
          <w:rFonts w:ascii="IRNazanin" w:hAnsi="IRNazanin" w:eastAsia="IRNazanin" w:cs="IRNazanin"/>
          <w:lang w:bidi="fa-IR"/>
          <w:color w:val="111111"/>
          <w:sz w:val="28"/>
          <w:szCs w:val="28"/>
          <w:rtl/>
        </w:rPr>
        <w:t xml:space="preserve">۸۲۷. تهران؛ ملک؛ شماره نسخه: ۲۰۹۷/۲</w:t>
      </w:r>
    </w:p>
    <w:p>
      <w:pPr>
        <w:pStyle w:val="BookText"/>
      </w:pPr>
      <w:r>
        <w:rPr>
          <w:rFonts w:ascii="IRNazanin" w:hAnsi="IRNazanin" w:eastAsia="IRNazanin" w:cs="IRNazanin"/>
          <w:lang w:bidi="fa-IR"/>
          <w:color w:val="111111"/>
          <w:sz w:val="28"/>
          <w:szCs w:val="28"/>
          <w:rtl/>
        </w:rPr>
        <w:t xml:space="preserve">از لطف الله، لطفی ،نظامی ،فرخی ،اسمعیل ،کمال ،سلیمی، عرفی ،حاجی، مولانا حسن، ملای رومی ،مولاقاسم، شیخ بهائی و چند رباعی فارسی، شعر سعدی و شفائی، جامی و دیگران؛ بی کا،تا: قرن ۱۳؛ كاغذ: فرنگی ،جلد: عطف و گوشه میشن رویه کاغذی، ۲گ (۶ر -۸پ) ،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۵- ۴۲۱]</w:t>
      </w:r>
    </w:p>
    <w:p>
      <w:pPr>
        <w:pStyle w:val="BookText"/>
      </w:pPr>
      <w:r>
        <w:rPr>
          <w:rFonts w:ascii="IRNazanin" w:hAnsi="IRNazanin" w:eastAsia="IRNazanin" w:cs="IRNazanin"/>
          <w:lang w:bidi="fa-IR"/>
          <w:color w:val="111111"/>
          <w:sz w:val="28"/>
          <w:szCs w:val="28"/>
          <w:rtl/>
        </w:rPr>
        <w:t xml:space="preserve">۸۲۸. تهران؛ ملک؛ شماره نسخه: ۲۳۴۴/۵</w:t>
      </w:r>
    </w:p>
    <w:p>
      <w:pPr>
        <w:pStyle w:val="BookText"/>
      </w:pPr>
      <w:r>
        <w:rPr>
          <w:rFonts w:ascii="IRNazanin" w:hAnsi="IRNazanin" w:eastAsia="IRNazanin" w:cs="IRNazanin"/>
          <w:lang w:bidi="fa-IR"/>
          <w:color w:val="111111"/>
          <w:sz w:val="28"/>
          <w:szCs w:val="28"/>
          <w:rtl/>
        </w:rPr>
        <w:t xml:space="preserve">جنگ شعر از ابن سینا (پند) ،نظیری ،انوری ،فردوسی، میرزا عمران ،افغانی ،هاتفی، درباره درخواست موسی که عدل خدا را ببیند و سعدی و میرزا ابراهیم؛ خط: شکسته نستعلیق، بی کا، قرن ۱۳ ؛کاغذ: پسته آبی ،جلد: میشن لایی سیاه، ۳گ (73ر- ۷۶ پ)، ۱۵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۵ - ۴۷۰]</w:t>
      </w:r>
    </w:p>
    <w:p>
      <w:pPr>
        <w:pStyle w:val="BookText"/>
      </w:pPr>
      <w:r>
        <w:rPr>
          <w:rFonts w:ascii="IRNazanin" w:hAnsi="IRNazanin" w:eastAsia="IRNazanin" w:cs="IRNazanin"/>
          <w:lang w:bidi="fa-IR"/>
          <w:color w:val="111111"/>
          <w:sz w:val="28"/>
          <w:szCs w:val="28"/>
          <w:rtl/>
        </w:rPr>
        <w:t xml:space="preserve">۸۲۹. تهران؛ انجمن آثار و مفاخر فرهنگی؛ شماره نسخه: ۱۹</w:t>
      </w:r>
    </w:p>
    <w:p>
      <w:pPr>
        <w:pStyle w:val="BookText"/>
      </w:pPr>
      <w:r>
        <w:rPr>
          <w:rFonts w:ascii="IRNazanin" w:hAnsi="IRNazanin" w:eastAsia="IRNazanin" w:cs="IRNazanin"/>
          <w:lang w:bidi="fa-IR"/>
          <w:color w:val="111111"/>
          <w:sz w:val="28"/>
          <w:szCs w:val="28"/>
          <w:rtl/>
        </w:rPr>
        <w:t xml:space="preserve">آغاز: جزع نمایش شد از شبه گهر آمود *** دیده نم آرد چو گشت خانه پر از دود؛  انجام: ماه خود داد بر تو فرخ باد *** و آفرین باد بر مه خور داد</w:t>
      </w:r>
    </w:p>
    <w:p>
      <w:pPr>
        <w:pStyle w:val="BookText"/>
      </w:pPr>
      <w:r>
        <w:rPr>
          <w:rFonts w:ascii="IRNazanin" w:hAnsi="IRNazanin" w:eastAsia="IRNazanin" w:cs="IRNazanin"/>
          <w:lang w:bidi="fa-IR"/>
          <w:color w:val="111111"/>
          <w:sz w:val="28"/>
          <w:szCs w:val="28"/>
          <w:rtl/>
        </w:rPr>
        <w:t xml:space="preserve">اشعاری به خط حمایلی از این شعرا آمده: يغما (ص ۱) ، عبدالواسع جبلی (۲-۳)، هاتف اصفهانی (۴-۱۱)، رودکی (۱۲-۲۱)، عمعق بخاری (۲۲-۲۷) امیر معزی ،(۲۸-۳۲) فرخی سیستانی (32- 34) خیام و لامعی جرجانی (۳۴-۳۸) سنایی (۳۸-۳۹) حکیم اسدی (۴۳-۴۰) شیخ نظامی و بابا افضل کاشی و ناصر خسرو علوی (۴۴-۴۳) مسعود سعد سلمان ،(۴۴-۴۶) سنایی (۴۶-۵۱) کـمال اسماعیل (۵۱-۵۷) ابوالعلاء گنجی (۵۷-۵۸) اوحدی گنجی (۵۸) حکیم سنایی (۵۸-۶۰)؛ ادیب صابر و میرزا محمد سبزواری ،(۶۰) فرخی سیستانی (۶۰-۶۳) شاه علاء الدوله صوفی (63) شیخ ابوالعباس (۶۴) عبدالواسع جبلی (۶۴-۶۵) ادیب صـابر (۶۶-۷۳) لامعی جرجانی (۷۴-۱۱۶) (در بین اشعار او ابیاتی شاعران دیگر بدون ذکر نام آنها آمده است)، فرخی سیستانی (۱۲۶-۱۱۶) حکیم سنایی (۱۲۷-۱۵۲)، قاآنی (۱۵۲-۶۳) فرخی (۱۶۳ -۲۲۶)؛ خط: نستعلیق شکسته ،خوش، بی کا، تا: قرن ۱۳؛ کاغذ: فرنگی ،جلد: تیماج عنابی یک لا، ابعاد متن: 8</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،226 ص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۴۷]</w:t>
      </w:r>
    </w:p>
    <w:p>
      <w:pPr>
        <w:pStyle w:val="BookText"/>
      </w:pPr>
      <w:r>
        <w:rPr>
          <w:rFonts w:ascii="IRNazanin" w:hAnsi="IRNazanin" w:eastAsia="IRNazanin" w:cs="IRNazanin"/>
          <w:lang w:bidi="fa-IR"/>
          <w:color w:val="111111"/>
          <w:sz w:val="28"/>
          <w:szCs w:val="28"/>
          <w:rtl/>
        </w:rPr>
        <w:t xml:space="preserve">۸۳۰. تهران؛ انجمن آثار و مفاخر فرهنگی؛ شماره نسخه: ۴۴</w:t>
      </w:r>
    </w:p>
    <w:p>
      <w:pPr>
        <w:pStyle w:val="BookText"/>
      </w:pPr>
      <w:r>
        <w:rPr>
          <w:rFonts w:ascii="IRNazanin" w:hAnsi="IRNazanin" w:eastAsia="IRNazanin" w:cs="IRNazanin"/>
          <w:lang w:bidi="fa-IR"/>
          <w:color w:val="111111"/>
          <w:sz w:val="28"/>
          <w:szCs w:val="28"/>
          <w:rtl/>
        </w:rPr>
        <w:t xml:space="preserve">آغاز: بسم الله الرحمن الرحيم  ***  هست کلید در گنج حکـیم؛</w:t>
      </w:r>
    </w:p>
    <w:p>
      <w:pPr>
        <w:pStyle w:val="BookText"/>
      </w:pPr>
      <w:r>
        <w:rPr>
          <w:rFonts w:ascii="IRNazanin" w:hAnsi="IRNazanin" w:eastAsia="IRNazanin" w:cs="IRNazanin"/>
          <w:lang w:bidi="fa-IR"/>
          <w:color w:val="111111"/>
          <w:sz w:val="28"/>
          <w:szCs w:val="28"/>
          <w:rtl/>
        </w:rPr>
        <w:t xml:space="preserve">انجام: بردیم بسر چشمه این بادیه پی را *** از لعل مذابی / در نظم کشی سلسله رشته وی را *** از در خوشابی</w:t>
      </w:r>
    </w:p>
    <w:p>
      <w:pPr>
        <w:pStyle w:val="BookText"/>
      </w:pPr>
      <w:r>
        <w:rPr>
          <w:rFonts w:ascii="IRNazanin" w:hAnsi="IRNazanin" w:eastAsia="IRNazanin" w:cs="IRNazanin"/>
          <w:lang w:bidi="fa-IR"/>
          <w:color w:val="111111"/>
          <w:sz w:val="28"/>
          <w:szCs w:val="28"/>
          <w:rtl/>
        </w:rPr>
        <w:t xml:space="preserve">اشعاری از : نظامی، سعدی، خاقانی، ابن حسام، یغما، زرگر، ،جامی، ثاقب...؛ خط: نستعلیق و شکسته، بی کا، تا: محتملاً قرن ۱۳؛ کاغذ: فرنگی ،جلد: تیماج یک لا مشکی، ۱۰۸ص،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 سم [ف: ۷۵]</w:t>
      </w:r>
    </w:p>
    <w:p>
      <w:pPr>
        <w:pStyle w:val="BookText"/>
      </w:pPr>
      <w:r>
        <w:rPr>
          <w:rFonts w:ascii="IRNazanin" w:hAnsi="IRNazanin" w:eastAsia="IRNazanin" w:cs="IRNazanin"/>
          <w:lang w:bidi="fa-IR"/>
          <w:color w:val="111111"/>
          <w:sz w:val="28"/>
          <w:szCs w:val="28"/>
          <w:rtl/>
        </w:rPr>
        <w:t xml:space="preserve">۸۳۱. تهران؛ نوربخش؛ شماره نسخه: ۶۵۳/۲</w:t>
      </w:r>
    </w:p>
    <w:p>
      <w:pPr>
        <w:pStyle w:val="BookText"/>
      </w:pPr>
      <w:r>
        <w:rPr>
          <w:rFonts w:ascii="IRNazanin" w:hAnsi="IRNazanin" w:eastAsia="IRNazanin" w:cs="IRNazanin"/>
          <w:lang w:bidi="fa-IR"/>
          <w:color w:val="111111"/>
          <w:sz w:val="28"/>
          <w:szCs w:val="28"/>
          <w:rtl/>
        </w:rPr>
        <w:t xml:space="preserve">غزليات و مثنویاتی از عبدالوهاب نشاط، میرزا پرتو ،اسرار، آقا محمد عاشق، میرزا فتح علی خان صبا؛ خط: نستعلیق، بی کا، تا: قرن ۱۳؛ این بخش ناقص است و اوراقی از آن افتاده؛ کاغذ: فرنگی آهار مهره، جلد: تیماج مشکی، ۱۱گ (۴۲ر-۵۳پ)، ۱۰سطر، قطع: رقعی،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 نشریه: ۱۳ – ۴۱]</w:t>
      </w:r>
    </w:p>
    <w:p>
      <w:pPr>
        <w:pStyle w:val="BookText"/>
      </w:pPr>
      <w:r>
        <w:rPr>
          <w:rFonts w:ascii="IRNazanin" w:hAnsi="IRNazanin" w:eastAsia="IRNazanin" w:cs="IRNazanin"/>
          <w:lang w:bidi="fa-IR"/>
          <w:color w:val="111111"/>
          <w:sz w:val="28"/>
          <w:szCs w:val="28"/>
          <w:rtl/>
        </w:rPr>
        <w:t xml:space="preserve">۸۳۲. تهران؛ نوربخش؛ شماره نسخه: ۷۱۶</w:t>
      </w:r>
    </w:p>
    <w:p>
      <w:pPr>
        <w:pStyle w:val="BookText"/>
      </w:pPr>
      <w:r>
        <w:rPr>
          <w:rFonts w:ascii="IRNazanin" w:hAnsi="IRNazanin" w:eastAsia="IRNazanin" w:cs="IRNazanin"/>
          <w:lang w:bidi="fa-IR"/>
          <w:color w:val="111111"/>
          <w:sz w:val="28"/>
          <w:szCs w:val="28"/>
          <w:rtl/>
        </w:rPr>
        <w:t xml:space="preserve">مشتمل بر قصاید در مدح ۱۴ معصوم به ترتیب در معصومین؛ اسامی سرایندگان سید میرحاج (قصیده)، سعدی، شیخ آذری، حسن کاشی، افجنگی ،یوسف، حمزه کوچک، ناصر خسرو، لطف الله نیشابوری، ابن حسام (چند قصیده و مسمط)، حیدرباری ،درویش، حسامی، ابن واله، ساغر (مسمط بهاریه در مدح شاه ولایت)، نظام استرآبادی، حسن سلیمی، شوریده مداح، فطره (چندین قصیده از و) ،حیرتی، ابن حیدر، صافی، بهایی کاشی (قصیده بی نقطه)، کمال غیاث ،موالی، عبدالعلی، شمسک مسکین ،صدقی، صافی اصفهانی ،زاری، اسیر، میرزا شهاب، مشتاق علی شاه، میرزا محمد جعفر آصفی، میرزا حبیب الله دستان ،چارمحالی، شاهین، عابد (قصیده حيدريه)، میرزا سعيد اردستانی ،روشن حیاتی ،وحشی ،طوفان، بابا شجاع الدين، فتح علی خان صبا، محزون، میرزا سرور، تأثیر میرزا عبدالرحیم مسکین افسر تخلص، ملاصادق روشن نقاش، اوحدی، حاج سلیمان صباحی، سپهر؛خط: نستعلیق تحریری، بی کا، تا: قرن ۱۳؛ کاغذ: فرنگی ،جلد: تیماج قهوه ای یک لا، ۳۳۷گ، ۱۴ سطر، قطع: خشتی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 نشریه: ۱۳ - ۹۰]</w:t>
      </w:r>
    </w:p>
    <w:p>
      <w:pPr>
        <w:pStyle w:val="BookText"/>
      </w:pPr>
      <w:r>
        <w:rPr>
          <w:rFonts w:ascii="IRNazanin" w:hAnsi="IRNazanin" w:eastAsia="IRNazanin" w:cs="IRNazanin"/>
          <w:lang w:bidi="fa-IR"/>
          <w:color w:val="111111"/>
          <w:sz w:val="28"/>
          <w:szCs w:val="28"/>
          <w:rtl/>
        </w:rPr>
        <w:t xml:space="preserve">۸۳۳. تهران؛ نوربخش؛ شماره نسخه: ۸۰۱</w:t>
      </w:r>
    </w:p>
    <w:p>
      <w:pPr>
        <w:pStyle w:val="BookText"/>
      </w:pPr>
      <w:r>
        <w:rPr>
          <w:rFonts w:ascii="IRNazanin" w:hAnsi="IRNazanin" w:eastAsia="IRNazanin" w:cs="IRNazanin"/>
          <w:lang w:bidi="fa-IR"/>
          <w:color w:val="111111"/>
          <w:sz w:val="28"/>
          <w:szCs w:val="28"/>
          <w:rtl/>
        </w:rPr>
        <w:t xml:space="preserve">شامل اشعاری است از هاتف ،جامی، خیام (در نسخه خیوم) بابا طاهر، ابوسعید ابوالخير، وحشی بافقی، مینا (در نسخه: خان مینا) غرا، شهید نقاش هدایت ،وصال ،شهرت، صائب، صابر، صباحی ،مصاحب ،هما ،خاقانی ،سعدی ،حافظ، صادق شیرازی، خرم ،قاآنی ،شاهین، بلند اقبال، یغما در حاشیه نیز (از برگ ۲۵ر) اشعاری است با قلم متن (غالبا بدون ذکر نام شاعر) از فروغی، هما ،سائل ،محرم ،ناصر ،مغربی ،شوکت، عصمت، شمسا، شیدا، رضائی، راغب، شاه نعمة الله، حافظ و سعدی و فروغی؛ خط: شکسته نستعلیق متوسط، بی کا، تا: قرن ۱۳؛ کاغذ: فرنگی آبی رنگ، جلد: تیماج قرمز، ،۱۸۵گ، ۲۰ سطر، قطع: وزیری،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[نشریه: ۱۳ – ۱۷۶]</w:t>
      </w:r>
    </w:p>
    <w:p>
      <w:pPr>
        <w:pStyle w:val="BookText"/>
      </w:pPr>
      <w:r>
        <w:rPr>
          <w:rFonts w:ascii="IRNazanin" w:hAnsi="IRNazanin" w:eastAsia="IRNazanin" w:cs="IRNazanin"/>
          <w:lang w:bidi="fa-IR"/>
          <w:color w:val="111111"/>
          <w:sz w:val="28"/>
          <w:szCs w:val="28"/>
          <w:rtl/>
        </w:rPr>
        <w:t xml:space="preserve">۸۳۴. تهران؛ نوربخش؛ شماره نسخه: ۸۱۲</w:t>
      </w:r>
    </w:p>
    <w:p>
      <w:pPr>
        <w:pStyle w:val="BookText"/>
      </w:pPr>
      <w:r>
        <w:rPr>
          <w:rFonts w:ascii="IRNazanin" w:hAnsi="IRNazanin" w:eastAsia="IRNazanin" w:cs="IRNazanin"/>
          <w:lang w:bidi="fa-IR"/>
          <w:color w:val="111111"/>
          <w:sz w:val="28"/>
          <w:szCs w:val="28"/>
          <w:rtl/>
        </w:rPr>
        <w:t xml:space="preserve">اشعاری از: سعدی ،طبیب ،خسرو، سلمان ساوجی، صائب ،سحاب ،هاتف ،عطار، خسرو دهلوی، محمد قلی سلیم، حافظ،
</w:t>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جامی ،وصلی ،عاشق ،صبور ،سائل، افضل شمس الدین، يمين، بابا طاهر عریان ،مشتاق ،حریف ،محتشم، حسن، فضو لی،صباحی ،ضیاء ،کاشی، حاجی سلیمان ،طوفان، بسحاق اطعـمه ؛خط: شکسته نستعلیق، بی کا، تا: قرن ۱۳؛ افتادگی: انجام؛ مجدول، در برخی از صفحات اشعاری به قلم تازه شیخ محمد حسن در تاریخ ۱۳۰۴ق اضافه شده؛ کاغذ: فرنگی آهار مهره شکری، جـلد: تیماج قرمز یک لا، ۵۸گ، ۱۲ سطر در دو ستون به چلیپا، قطع: خشتی،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 نشریه: ۱۳ - ۱۸۷]</w:t>
      </w:r>
    </w:p>
    <w:p>
      <w:pPr>
        <w:pStyle w:val="BookText"/>
      </w:pPr>
      <w:r>
        <w:rPr>
          <w:rFonts w:ascii="IRNazanin" w:hAnsi="IRNazanin" w:eastAsia="IRNazanin" w:cs="IRNazanin"/>
          <w:lang w:bidi="fa-IR"/>
          <w:color w:val="111111"/>
          <w:sz w:val="28"/>
          <w:szCs w:val="28"/>
          <w:rtl/>
        </w:rPr>
        <w:t xml:space="preserve">۸۳۵. تهران؛ نوربخش؛ شماره نسخه: ۸۳۸</w:t>
      </w:r>
    </w:p>
    <w:p>
      <w:pPr>
        <w:pStyle w:val="BookText"/>
      </w:pPr>
      <w:r>
        <w:rPr>
          <w:rFonts w:ascii="IRNazanin" w:hAnsi="IRNazanin" w:eastAsia="IRNazanin" w:cs="IRNazanin"/>
          <w:lang w:bidi="fa-IR"/>
          <w:color w:val="111111"/>
          <w:sz w:val="28"/>
          <w:szCs w:val="28"/>
          <w:rtl/>
        </w:rPr>
        <w:t xml:space="preserve">مجموعه ای است از اشعار: عطار، سعدی، نعیما ،وحشی، ملامحمد باقر فخار ،هاتف ،عاشق ،طوفان ،ضیاء ،مولوی، ابن یمین، میـرزا گلشن ،فضولی ،طبیبی ،شوکت ،مخفی، خانم، واقف (قصیده ای بلند در مدح امیرالمومنین علی با التزام آفتاب) ،عرفی، قصـاب (مثنوی زن زشت صفاهانی او را آورده و نام شاعر را یاد نـمی کند)، سلمان ساوجی، شیخ بهائی، انوری، ابن حسام،میرزا ذبیح، جامی، میرفندرسکی ،محتشم، میرزا محمد تقى، حكيم صفا ،خرد ،نیازی ،فردوسی، میرحاج، نظام، ملامحمد مهرساز متخلـص به مداح، خرم سحبانی و یغما جندقی. در این جنگ اشعاری از محرر است که نام او را نمی دانیم و نیز شعرهایی بدون نام سراینده مانند مثنوی در قحط هندوستان؛ خط: شکسته نستعلـیق، بی کا، تا: قرن ۱۳؛ افتادگی: آغاز و انجام؛ کاغذ: فرنگی سفـید ،جلد: مقوا آبی ،۷۴گ، سطور چلیپا، قطع: خشتی،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سم [ نشریه: ۱۳ - ۲۰۵]</w:t>
      </w:r>
    </w:p>
    <w:p>
      <w:pPr>
        <w:pStyle w:val="BookText"/>
      </w:pPr>
      <w:r>
        <w:rPr>
          <w:rFonts w:ascii="IRNazanin" w:hAnsi="IRNazanin" w:eastAsia="IRNazanin" w:cs="IRNazanin"/>
          <w:lang w:bidi="fa-IR"/>
          <w:color w:val="111111"/>
          <w:sz w:val="28"/>
          <w:szCs w:val="28"/>
          <w:rtl/>
        </w:rPr>
        <w:t xml:space="preserve">۸۳۶. تهران؛ دانشگاه؛ شماره نسخه: ۸۹۱۸/۲</w:t>
      </w:r>
    </w:p>
    <w:p>
      <w:pPr>
        <w:pStyle w:val="BookText"/>
      </w:pPr>
      <w:r>
        <w:rPr>
          <w:rFonts w:ascii="IRNazanin" w:hAnsi="IRNazanin" w:eastAsia="IRNazanin" w:cs="IRNazanin"/>
          <w:lang w:bidi="fa-IR"/>
          <w:color w:val="111111"/>
          <w:sz w:val="28"/>
          <w:szCs w:val="28"/>
          <w:rtl/>
        </w:rPr>
        <w:t xml:space="preserve">جنگ شعر ازبیضا (۵ص نوشته ۱۳۲۴ به خط دیگری)، نیسـتی (۴)، علی اسکر اصفهانی (۲) ،حافظ ،جامی ،سعدی ،سعدی، حزین ،مایل، فریدون؛ خط: نستعلیق چلیپا، بی کا، تا: قرن ۱۳؛ کاغذ: فرنگی، جلد: تیماج مشکی لایی، قطع : بغلی بیاضی [ ف : ۱۷ - 250]</w:t>
      </w:r>
    </w:p>
    <w:p>
      <w:pPr>
        <w:pStyle w:val="BookText"/>
      </w:pPr>
      <w:r>
        <w:rPr>
          <w:rFonts w:ascii="IRNazanin" w:hAnsi="IRNazanin" w:eastAsia="IRNazanin" w:cs="IRNazanin"/>
          <w:lang w:bidi="fa-IR"/>
          <w:color w:val="111111"/>
          <w:sz w:val="28"/>
          <w:szCs w:val="28"/>
          <w:rtl/>
        </w:rPr>
        <w:t xml:space="preserve">۸۳۷. تهران؛ دانشگاه؛ شماره نسخه: ۸۹۲۸</w:t>
      </w:r>
    </w:p>
    <w:p>
      <w:pPr>
        <w:pStyle w:val="BookText"/>
      </w:pPr>
      <w:r>
        <w:rPr>
          <w:rFonts w:ascii="IRNazanin" w:hAnsi="IRNazanin" w:eastAsia="IRNazanin" w:cs="IRNazanin"/>
          <w:lang w:bidi="fa-IR"/>
          <w:color w:val="111111"/>
          <w:sz w:val="28"/>
          <w:szCs w:val="28"/>
          <w:rtl/>
        </w:rPr>
        <w:t xml:space="preserve">اشعاری از: سعدی ،جامی ،محتشم ،کلیم ،عصمت، اسدی، فردوسی، صایب ،هلالی ،نظیری، آذری، محمد قلی سلیم، ضـیاء کفرانی ،انوری ،هاتف ،حافظ ،نظامی، عرفی ،مقبل ،نیازی، کمال ،خجند ،وحشی، رفیق ،عاشق ،شایق، ملاحسن کاشفی،با سرایندگان گمنامی مانند: غرقی، ابراهیم قصاب رهی، ملانعـیم، معتبر، جالب اصفهانی ،فتح ،حمزه ،شکوه، طفیلی، محـمد باقرجان، حيدر نقاش، ذبیحی سلاخ، واضح تهرانی، معرف، ،نبی ولی، سپس پراکنده ها ؛خط: نستعلیق چلیپا، بی کا، تا: قرن13؛ کاغذ: فرنگی ،جلد: تیماج مشکی لایی، ۱۰۵گ، قطع: بیاضی ربعی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۱۷ - ۲۵۲]</w:t>
      </w:r>
    </w:p>
    <w:p>
      <w:pPr>
        <w:pStyle w:val="BookText"/>
      </w:pPr>
      <w:r>
        <w:rPr>
          <w:rFonts w:ascii="IRNazanin" w:hAnsi="IRNazanin" w:eastAsia="IRNazanin" w:cs="IRNazanin"/>
          <w:lang w:bidi="fa-IR"/>
          <w:color w:val="111111"/>
          <w:sz w:val="28"/>
          <w:szCs w:val="28"/>
          <w:rtl/>
        </w:rPr>
        <w:t xml:space="preserve">۸۳۸. تهران؛ دانشگاه؛ شماره نسخه: ۹۸۵۲</w:t>
      </w:r>
    </w:p>
    <w:p>
      <w:pPr>
        <w:pStyle w:val="BookText"/>
      </w:pPr>
      <w:r>
        <w:rPr>
          <w:rFonts w:ascii="IRNazanin" w:hAnsi="IRNazanin" w:eastAsia="IRNazanin" w:cs="IRNazanin"/>
          <w:lang w:bidi="fa-IR"/>
          <w:color w:val="111111"/>
          <w:sz w:val="28"/>
          <w:szCs w:val="28"/>
          <w:rtl/>
        </w:rPr>
        <w:t xml:space="preserve">جنگ شعر است با قافیه الف گویا گزیده ای است از چند دیوان؛ خط: نستعلیق، بی کا، تا: قرن ۱۳؛ افتادگی: آغاز و انجام؛ کاغذ: فرنگی، جلد: تازه، ۸گ، ۱۳ سطر (9</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قطع: ربعی،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 ۱۷ - ۴۹۵]</w:t>
      </w:r>
    </w:p>
    <w:p>
      <w:pPr>
        <w:pStyle w:val="BookText"/>
      </w:pPr>
      <w:r>
        <w:rPr>
          <w:rFonts w:ascii="IRNazanin" w:hAnsi="IRNazanin" w:eastAsia="IRNazanin" w:cs="IRNazanin"/>
          <w:lang w:bidi="fa-IR"/>
          <w:color w:val="111111"/>
          <w:sz w:val="28"/>
          <w:szCs w:val="28"/>
          <w:rtl/>
        </w:rPr>
        <w:t xml:space="preserve">۸۳۹. تهران؛ دانشگاه؛ شماره نسخه: ۱۰۰۲۶</w:t>
      </w:r>
    </w:p>
    <w:p>
      <w:pPr>
        <w:pStyle w:val="BookText"/>
      </w:pPr>
      <w:r>
        <w:rPr>
          <w:rFonts w:ascii="IRNazanin" w:hAnsi="IRNazanin" w:eastAsia="IRNazanin" w:cs="IRNazanin"/>
          <w:lang w:bidi="fa-IR"/>
          <w:color w:val="111111"/>
          <w:sz w:val="28"/>
          <w:szCs w:val="28"/>
          <w:rtl/>
        </w:rPr>
        <w:t xml:space="preserve">شامل: ١-دو غزل، ۲- سرداریه، یغما، رحيم بن ابراهيم قلی، ۳- شعر بیدل، ۴- شعرهای قطران، ۵- جلارنامه، قائم مقام، ابوالقاسم بن عيسى؛ خط: نستعلیق چلیپا، بی کا، تا: قرن ۱۳؛ کاغذ: فرنگی، جلد: تازه بغلی، ۵۶گ، ۸ سطر(7</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قطع: بغلی،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۱۷ - ۵۲۷]</w:t>
      </w:r>
    </w:p>
    <w:p>
      <w:pPr>
        <w:pStyle w:val="BookText"/>
      </w:pPr>
      <w:r>
        <w:rPr>
          <w:rFonts w:ascii="IRNazanin" w:hAnsi="IRNazanin" w:eastAsia="IRNazanin" w:cs="IRNazanin"/>
          <w:lang w:bidi="fa-IR"/>
          <w:color w:val="111111"/>
          <w:sz w:val="28"/>
          <w:szCs w:val="28"/>
          <w:rtl/>
        </w:rPr>
        <w:t xml:space="preserve">۸۴۰. اصفهان؛ دانشگاه؛ شماره نسخه: ۶۲</w:t>
      </w:r>
    </w:p>
    <w:p>
      <w:pPr>
        <w:pStyle w:val="BookText"/>
      </w:pPr>
      <w:r>
        <w:rPr>
          <w:rFonts w:ascii="IRNazanin" w:hAnsi="IRNazanin" w:eastAsia="IRNazanin" w:cs="IRNazanin"/>
          <w:lang w:bidi="fa-IR"/>
          <w:color w:val="111111"/>
          <w:sz w:val="28"/>
          <w:szCs w:val="28"/>
          <w:rtl/>
        </w:rPr>
        <w:t xml:space="preserve">جنگ شعر است؛ خط: نستعلیق، بی کا، تا: قرن ۱۳؛ قطع: بیاضی  [نشریه: ۱۱ - ۸۸۹]</w:t>
      </w:r>
    </w:p>
    <w:p>
      <w:pPr>
        <w:pStyle w:val="BookText"/>
      </w:pPr>
      <w:r>
        <w:rPr>
          <w:rFonts w:ascii="IRNazanin" w:hAnsi="IRNazanin" w:eastAsia="IRNazanin" w:cs="IRNazanin"/>
          <w:lang w:bidi="fa-IR"/>
          <w:color w:val="111111"/>
          <w:sz w:val="28"/>
          <w:szCs w:val="28"/>
          <w:rtl/>
        </w:rPr>
        <w:t xml:space="preserve">841.اصفهان؛ دانشگاه؛ شماره نسخه: ۴۵۷</w:t>
      </w:r>
    </w:p>
    <w:p>
      <w:pPr>
        <w:pStyle w:val="BookText"/>
      </w:pPr>
      <w:r>
        <w:rPr>
          <w:rFonts w:ascii="IRNazanin" w:hAnsi="IRNazanin" w:eastAsia="IRNazanin" w:cs="IRNazanin"/>
          <w:lang w:bidi="fa-IR"/>
          <w:color w:val="111111"/>
          <w:sz w:val="28"/>
          <w:szCs w:val="28"/>
          <w:rtl/>
        </w:rPr>
        <w:t xml:space="preserve">جنگ شعر از ظهیری، شهید، ربیع ،نایب، بهائی و دیگران؛ خط: نستعلیق راسته و چلیپا، بی کا، تا: قرن ۱۳؛ افتادگی: انجام؛ در متن و هامش؛ کاغذ: اصفهانی [ نشریه: ۱۱ - ۸۹۰]</w:t>
      </w:r>
    </w:p>
    <w:p>
      <w:pPr>
        <w:pStyle w:val="BookText"/>
      </w:pPr>
      <w:r>
        <w:rPr>
          <w:rFonts w:ascii="IRNazanin" w:hAnsi="IRNazanin" w:eastAsia="IRNazanin" w:cs="IRNazanin"/>
          <w:lang w:bidi="fa-IR"/>
          <w:color w:val="111111"/>
          <w:sz w:val="28"/>
          <w:szCs w:val="28"/>
          <w:rtl/>
        </w:rPr>
        <w:t xml:space="preserve">۸۴۲. اصفهان؛ دانشگاه؛ شماره نسخه: ۵۲۷</w:t>
      </w:r>
    </w:p>
    <w:p>
      <w:pPr>
        <w:pStyle w:val="BookText"/>
      </w:pPr>
      <w:r>
        <w:rPr>
          <w:rFonts w:ascii="IRNazanin" w:hAnsi="IRNazanin" w:eastAsia="IRNazanin" w:cs="IRNazanin"/>
          <w:lang w:bidi="fa-IR"/>
          <w:color w:val="111111"/>
          <w:sz w:val="28"/>
          <w:szCs w:val="28"/>
          <w:rtl/>
        </w:rPr>
        <w:t xml:space="preserve">جنگ شعر است؛ خط: نستعلیق، بی کا، تا: قرن ۱۳؛ کاغذ: فرنگی  آهار مهره، قطع: بیاضی [ نشریه: ۱۱ – ۸۹۰]</w:t>
      </w:r>
    </w:p>
    <w:p>
      <w:pPr>
        <w:pStyle w:val="BookText"/>
      </w:pPr>
      <w:r>
        <w:rPr>
          <w:rFonts w:ascii="IRNazanin" w:hAnsi="IRNazanin" w:eastAsia="IRNazanin" w:cs="IRNazanin"/>
          <w:lang w:bidi="fa-IR"/>
          <w:color w:val="111111"/>
          <w:sz w:val="28"/>
          <w:szCs w:val="28"/>
          <w:rtl/>
        </w:rPr>
        <w:t xml:space="preserve">843.اصفهان؛ دانشگاه؛ شماره نسخه: ۵۲۸</w:t>
      </w:r>
    </w:p>
    <w:p>
      <w:pPr>
        <w:pStyle w:val="BookText"/>
      </w:pPr>
      <w:r>
        <w:rPr>
          <w:rFonts w:ascii="IRNazanin" w:hAnsi="IRNazanin" w:eastAsia="IRNazanin" w:cs="IRNazanin"/>
          <w:lang w:bidi="fa-IR"/>
          <w:color w:val="111111"/>
          <w:sz w:val="28"/>
          <w:szCs w:val="28"/>
          <w:rtl/>
        </w:rPr>
        <w:t xml:space="preserve">جنگ شعر است؛ خط: نستعلیق، بی کا، تا: قرن ۱۳؛ با مجلس تصویر، با جدول؛ کاغذ: سپاهانی، قطع: بیاضی [نشریه: ۱۱ – ۸۹۰]</w:t>
      </w:r>
    </w:p>
    <w:p>
      <w:pPr>
        <w:pStyle w:val="BookText"/>
      </w:pPr>
      <w:r>
        <w:rPr>
          <w:rFonts w:ascii="IRNazanin" w:hAnsi="IRNazanin" w:eastAsia="IRNazanin" w:cs="IRNazanin"/>
          <w:lang w:bidi="fa-IR"/>
          <w:color w:val="111111"/>
          <w:sz w:val="28"/>
          <w:szCs w:val="28"/>
          <w:rtl/>
        </w:rPr>
        <w:t xml:space="preserve">۸۴۴. اصفهان؛ دانشگاه؛ شماره نسخه: ۵۲۹</w:t>
      </w:r>
    </w:p>
    <w:p>
      <w:pPr>
        <w:pStyle w:val="BookText"/>
      </w:pPr>
      <w:r>
        <w:rPr>
          <w:rFonts w:ascii="IRNazanin" w:hAnsi="IRNazanin" w:eastAsia="IRNazanin" w:cs="IRNazanin"/>
          <w:lang w:bidi="fa-IR"/>
          <w:color w:val="111111"/>
          <w:sz w:val="28"/>
          <w:szCs w:val="28"/>
          <w:rtl/>
        </w:rPr>
        <w:t xml:space="preserve">جنگ شعر است؛ خط: نستعلیق، بی کا، تا: قرن ۱۳؛ با جدول؛ کاغذ: رنگارنگ [ نشریه: ۱۱ - ۸۹۰]</w:t>
      </w:r>
    </w:p>
    <w:p>
      <w:pPr>
        <w:pStyle w:val="BookText"/>
      </w:pPr>
      <w:r>
        <w:rPr>
          <w:rFonts w:ascii="IRNazanin" w:hAnsi="IRNazanin" w:eastAsia="IRNazanin" w:cs="IRNazanin"/>
          <w:lang w:bidi="fa-IR"/>
          <w:color w:val="111111"/>
          <w:sz w:val="28"/>
          <w:szCs w:val="28"/>
          <w:rtl/>
        </w:rPr>
        <w:t xml:space="preserve">۸۴۵. تهران؛ دانشگاه؛ شماره نسخه: ۱۰۰۲۵</w:t>
      </w:r>
    </w:p>
    <w:p>
      <w:pPr>
        <w:pStyle w:val="BookText"/>
      </w:pPr>
      <w:r>
        <w:rPr>
          <w:rFonts w:ascii="IRNazanin" w:hAnsi="IRNazanin" w:eastAsia="IRNazanin" w:cs="IRNazanin"/>
          <w:lang w:bidi="fa-IR"/>
          <w:color w:val="111111"/>
          <w:sz w:val="28"/>
          <w:szCs w:val="28"/>
          <w:rtl/>
        </w:rPr>
        <w:t xml:space="preserve">جنگ شعر است در تعزیه و مقتل و دعا؛ خط: نستعلیق چلیپا، بی کا، تا: قرن ۱۳ ؛کاغذ: فرنگی ،جلد: تازه بغلی، ۷۶گ، ۱۰ سطر (9</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قطع: بغلی،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 ۱۷ - ۵۲۷]</w:t>
      </w:r>
    </w:p>
    <w:p>
      <w:pPr>
        <w:pStyle w:val="BookText"/>
      </w:pPr>
      <w:r>
        <w:rPr>
          <w:rFonts w:ascii="IRNazanin" w:hAnsi="IRNazanin" w:eastAsia="IRNazanin" w:cs="IRNazanin"/>
          <w:lang w:bidi="fa-IR"/>
          <w:color w:val="111111"/>
          <w:sz w:val="28"/>
          <w:szCs w:val="28"/>
          <w:rtl/>
        </w:rPr>
        <w:t xml:space="preserve">۸۴۶. تهران؛ دانشگاه؛ شماره نسخه: ۷۵۵۲</w:t>
      </w:r>
    </w:p>
    <w:p>
      <w:pPr>
        <w:pStyle w:val="BookText"/>
      </w:pPr>
      <w:r>
        <w:rPr>
          <w:rFonts w:ascii="IRNazanin" w:hAnsi="IRNazanin" w:eastAsia="IRNazanin" w:cs="IRNazanin"/>
          <w:lang w:bidi="fa-IR"/>
          <w:color w:val="111111"/>
          <w:sz w:val="28"/>
          <w:szCs w:val="28"/>
          <w:rtl/>
        </w:rPr>
        <w:t xml:space="preserve">جنگ شعرهای سخنوری است سروده چاکری به همین تخلص، در آن از کاروان سالاری و چاوشی و از خبازی و اصطلاحات مربوط بآنها گفتگو می شود؛ خط: نستعلیق، بی کا، تا:قرن ۱۳؛ افتادگی: آغاز و انجام ؛جلد: تیماج مشکی لایی، ۳۲گ، ۱۰ سطر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قطع: بیاضی، 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۱۷/۵سم [ف: ۱۶-۶۲۵]</w:t>
      </w:r>
    </w:p>
    <w:p>
      <w:pPr>
        <w:pStyle w:val="BookText"/>
      </w:pPr>
      <w:r>
        <w:rPr>
          <w:rFonts w:ascii="IRNazanin" w:hAnsi="IRNazanin" w:eastAsia="IRNazanin" w:cs="IRNazanin"/>
          <w:lang w:bidi="fa-IR"/>
          <w:color w:val="111111"/>
          <w:sz w:val="28"/>
          <w:szCs w:val="28"/>
          <w:rtl/>
        </w:rPr>
        <w:t xml:space="preserve">۸۴۷. تهران؛ ادبیات؛ شماره نسخه: ۳۱۷</w:t>
      </w:r>
    </w:p>
    <w:p>
      <w:pPr>
        <w:pStyle w:val="BookText"/>
      </w:pPr>
      <w:r>
        <w:rPr>
          <w:rFonts w:ascii="IRNazanin" w:hAnsi="IRNazanin" w:eastAsia="IRNazanin" w:cs="IRNazanin"/>
          <w:lang w:bidi="fa-IR"/>
          <w:color w:val="111111"/>
          <w:sz w:val="28"/>
          <w:szCs w:val="28"/>
          <w:rtl/>
        </w:rPr>
        <w:t xml:space="preserve">جنگ شعر؛ خط: نستعلیق، بی کا، تا: قرن ۱۳ [ف: ۳ - ۱۴]</w:t>
      </w:r>
    </w:p>
    <w:p>
      <w:pPr>
        <w:pStyle w:val="BookText"/>
      </w:pPr>
      <w:r>
        <w:rPr>
          <w:rFonts w:ascii="IRNazanin" w:hAnsi="IRNazanin" w:eastAsia="IRNazanin" w:cs="IRNazanin"/>
          <w:lang w:bidi="fa-IR"/>
          <w:color w:val="111111"/>
          <w:sz w:val="28"/>
          <w:szCs w:val="28"/>
          <w:rtl/>
        </w:rPr>
        <w:t xml:space="preserve">۸۴۸. تهران؛ ادبیات؛ شماره نسخه: ۳۱۷</w:t>
      </w:r>
    </w:p>
    <w:p>
      <w:pPr>
        <w:pStyle w:val="BookText"/>
      </w:pPr>
      <w:r>
        <w:rPr>
          <w:rFonts w:ascii="IRNazanin" w:hAnsi="IRNazanin" w:eastAsia="IRNazanin" w:cs="IRNazanin"/>
          <w:lang w:bidi="fa-IR"/>
          <w:color w:val="111111"/>
          <w:sz w:val="28"/>
          <w:szCs w:val="28"/>
          <w:rtl/>
        </w:rPr>
        <w:t xml:space="preserve">جنگ شعر ؛خط: نستعلیق، بی کا، تا: قرن ۱۳ [ف: ۳ - ۱۴]</w:t>
      </w:r>
    </w:p>
    <w:p>
      <w:pPr>
        <w:pStyle w:val="BookText"/>
      </w:pPr>
      <w:r>
        <w:rPr>
          <w:rFonts w:ascii="IRNazanin" w:hAnsi="IRNazanin" w:eastAsia="IRNazanin" w:cs="IRNazanin"/>
          <w:lang w:bidi="fa-IR"/>
          <w:color w:val="111111"/>
          <w:sz w:val="28"/>
          <w:szCs w:val="28"/>
          <w:rtl/>
        </w:rPr>
        <w:t xml:space="preserve">۸۴۹. قم؛ مرعشی؛ شماره نسخه: ۸۹۴۳</w:t>
      </w:r>
    </w:p>
    <w:p>
      <w:pPr>
        <w:pStyle w:val="BookText"/>
      </w:pPr>
      <w:r>
        <w:rPr>
          <w:rFonts w:ascii="IRNazanin" w:hAnsi="IRNazanin" w:eastAsia="IRNazanin" w:cs="IRNazanin"/>
          <w:lang w:bidi="fa-IR"/>
          <w:color w:val="111111"/>
          <w:sz w:val="28"/>
          <w:szCs w:val="28"/>
          <w:rtl/>
        </w:rPr>
        <w:t xml:space="preserve">در این جنگ اشعاری نامرتب از این شاعران آمده است :مشتاق، صباحی، محمد قلی ،سلیم، موسوی خان، فایض بروجردی، لطفعلی بیک آذر؛ خط: نستعلیق، بی کا، تا: قرن ۱۳؛ روی برگ اول نشانی التفاتی آقا حسن خان حاکم همدان به نجف علی شاه قطب الفقرا، در صفحه آخر دو یادگار از اسدالله بن ابوالقاسم
</w:t>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آشتیانی به تاریخ ۱۲۸۵ و محمد رحیم قاجار به تاریخ ۱۲۸۵ در تبریز، سطرها چلیپا ؛جلد: دورو تیماج رو سبز پشت قهوه ای ۹۱ گ، مختلف السطر ، اندازه: ۱۸/۵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۱۹/۵سم [ف : ۲۳ - ۱۱۴]</w:t>
      </w:r>
    </w:p>
    <w:p>
      <w:pPr>
        <w:pStyle w:val="BookText"/>
      </w:pPr>
      <w:r>
        <w:rPr>
          <w:rFonts w:ascii="IRNazanin" w:hAnsi="IRNazanin" w:eastAsia="IRNazanin" w:cs="IRNazanin"/>
          <w:lang w:bidi="fa-IR"/>
          <w:color w:val="111111"/>
          <w:sz w:val="28"/>
          <w:szCs w:val="28"/>
          <w:rtl/>
        </w:rPr>
        <w:t xml:space="preserve">۸۵۰. قم؛ مرعشی؛ شماره نسخه: ۱۰۹۹۲</w:t>
      </w:r>
    </w:p>
    <w:p>
      <w:pPr>
        <w:pStyle w:val="BookText"/>
      </w:pPr>
      <w:r>
        <w:rPr>
          <w:rFonts w:ascii="IRNazanin" w:hAnsi="IRNazanin" w:eastAsia="IRNazanin" w:cs="IRNazanin"/>
          <w:lang w:bidi="fa-IR"/>
          <w:color w:val="111111"/>
          <w:sz w:val="28"/>
          <w:szCs w:val="28"/>
          <w:rtl/>
        </w:rPr>
        <w:t xml:space="preserve">آغاز: بسم الله الرحمن الرحيم *** هست کلید در گنج حکیم؛</w:t>
      </w:r>
    </w:p>
    <w:p>
      <w:pPr>
        <w:pStyle w:val="BookText"/>
      </w:pPr>
      <w:r>
        <w:rPr>
          <w:rFonts w:ascii="IRNazanin" w:hAnsi="IRNazanin" w:eastAsia="IRNazanin" w:cs="IRNazanin"/>
          <w:lang w:bidi="fa-IR"/>
          <w:color w:val="111111"/>
          <w:sz w:val="28"/>
          <w:szCs w:val="28"/>
          <w:rtl/>
        </w:rPr>
        <w:t xml:space="preserve">در این مجموعه تک بیتی هائی انتخاب شده است به ترتیب حروف قوافی و در هر حرف به ترتیب بحرهای عروضی با ذکر نام شاعران ابیات جنب آنها و در آغاز چند بیت در قافیه میم وتاء در توحید و نعت پیامبر اکرم (صلّی اللَّهِ علیه وَ آلِهِ وَ سَلَّمَ ) افزوده شده؛ خط: نسخ، بی کا، تا: قرن ۱۳؛ افتادگی: وسط و انجام؛ جلد: مقوایی عطف گالینگور قهوه ای، ۸۰گ، ۲۴ سطر، اندازه: ۳۰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۲۷ - ۴۰۱]</w:t>
      </w:r>
    </w:p>
    <w:p>
      <w:pPr>
        <w:pStyle w:val="BookText"/>
      </w:pPr>
      <w:r>
        <w:rPr>
          <w:rFonts w:ascii="IRNazanin" w:hAnsi="IRNazanin" w:eastAsia="IRNazanin" w:cs="IRNazanin"/>
          <w:lang w:bidi="fa-IR"/>
          <w:color w:val="111111"/>
          <w:sz w:val="28"/>
          <w:szCs w:val="28"/>
          <w:rtl/>
        </w:rPr>
        <w:t xml:space="preserve">۸۵۱. قم؛ مرکز احیاء؛ شماره نسخه: ۷۳۴</w:t>
      </w:r>
    </w:p>
    <w:p>
      <w:pPr>
        <w:pStyle w:val="BookText"/>
      </w:pPr>
      <w:r>
        <w:rPr>
          <w:rFonts w:ascii="IRNazanin" w:hAnsi="IRNazanin" w:eastAsia="IRNazanin" w:cs="IRNazanin"/>
          <w:lang w:bidi="fa-IR"/>
          <w:color w:val="111111"/>
          <w:sz w:val="28"/>
          <w:szCs w:val="28"/>
          <w:rtl/>
        </w:rPr>
        <w:t xml:space="preserve">تک بیتی هایی است گرد آورده شده به ترتیب حروف قوافی آنها و دارنده نسخه آن را «سفينة الاشعار» نامیده است چون آغاز و انجام آن افتاده  و نامی بخصوص در نسخه دیده نمی شود.نام شاعران این مجموعه: آذری ،عذری، بنائی، صهبا قمی، طوفان، درویش مجید، هاتف ،آهی ،حالتی ،مولوی ،عرفی جمـال، ضمیری، میرزا شریف ،عبدالله خان ،جامی، سعدی شیرازی، امیر خسرو، شیخ علی نقی ،عاشق، صباحی ،اشرف ، سمیع، حاجی اردبیلی، کلیم ،کاشی، امیر صالح، مشتاق، قاضی قلندر، حافط شیرازی، بدیع الزمان ،راهب، میرزا اسد الله ،فرصتی، نذیری، خیال ،رفیق ،شاپور، صیدی طهرانی، رفیع کاشانی، بابا فغانی، سراحی، صافی، قدسی، محتشم، ذوقی، غیرت، زکی،شجاع، آصف، امیر شاهی ،قراری ،حسامی، جلالی ،هلالی، همایون، ظهوری، حسین دهلوی ،صادق ،گرامی ،خاقانی، میر نجات،و شاعران دیگر؛ خط: نستعلیق، بی کا، تا: قرن ۱۳؛ افتادگی: آغاز و انجام؛ تملک: سید مصلح الدین مهدوی اصفهانی به تاریخ صفر ۱۳۶۴ در اصفهان؛ جلد: تیماج قهوه ای بدون مقوا، ۹۷ برگ،  15 سطر،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۲ - ۳۹۲]</w:t>
      </w:r>
    </w:p>
    <w:p>
      <w:pPr>
        <w:pStyle w:val="BookText"/>
      </w:pPr>
      <w:r>
        <w:rPr>
          <w:rFonts w:ascii="IRNazanin" w:hAnsi="IRNazanin" w:eastAsia="IRNazanin" w:cs="IRNazanin"/>
          <w:lang w:bidi="fa-IR"/>
          <w:color w:val="111111"/>
          <w:sz w:val="28"/>
          <w:szCs w:val="28"/>
          <w:rtl/>
        </w:rPr>
        <w:t xml:space="preserve">۸۵۲ . قم؛ مرکز احیاء؛ شماره نسخه: ۱۶۱۵</w:t>
      </w:r>
    </w:p>
    <w:p>
      <w:pPr>
        <w:pStyle w:val="BookText"/>
      </w:pPr>
      <w:r>
        <w:rPr>
          <w:rFonts w:ascii="IRNazanin" w:hAnsi="IRNazanin" w:eastAsia="IRNazanin" w:cs="IRNazanin"/>
          <w:lang w:bidi="fa-IR"/>
          <w:color w:val="111111"/>
          <w:sz w:val="28"/>
          <w:szCs w:val="28"/>
          <w:rtl/>
        </w:rPr>
        <w:t xml:space="preserve">اشعار مختلفی است از شعر شاعران بزرگ بدون ذکر نام آن ؛خط: نستعلیق، بی کا، تا: قرن ۱۳؛ روی برگ اول نشانی بخشیـدن بیاض به مشهدی رضا به تاریخ ۱۲۸۵ و در برگ آخر رضا فرزند محمد کاظم در همان تاریخ می نویسد که بیاض را آقا میـرزا محمد ولد میرزا علی رضا بدو بخشیده است با مهر «العبد المذنب رضا بن كاظم»( بیضی) ؛جلد: تیماج قهوه ای بدون مقوا، ۳۳۵گ،  ۱۰ سطر، قطع: بیاضی،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۵ - ۲۱]</w:t>
      </w:r>
    </w:p>
    <w:p>
      <w:pPr>
        <w:pStyle w:val="BookText"/>
      </w:pPr>
      <w:r>
        <w:rPr>
          <w:rFonts w:ascii="IRNazanin" w:hAnsi="IRNazanin" w:eastAsia="IRNazanin" w:cs="IRNazanin"/>
          <w:lang w:bidi="fa-IR"/>
          <w:color w:val="111111"/>
          <w:sz w:val="28"/>
          <w:szCs w:val="28"/>
          <w:rtl/>
        </w:rPr>
        <w:t xml:space="preserve">۸۵۳. یزد؛ صدوقی یزدی؛ شماره نسخه: ۱۵۳</w:t>
      </w:r>
    </w:p>
    <w:p>
      <w:pPr>
        <w:pStyle w:val="BookText"/>
      </w:pPr>
      <w:r>
        <w:rPr>
          <w:rFonts w:ascii="IRNazanin" w:hAnsi="IRNazanin" w:eastAsia="IRNazanin" w:cs="IRNazanin"/>
          <w:lang w:bidi="fa-IR"/>
          <w:color w:val="111111"/>
          <w:sz w:val="28"/>
          <w:szCs w:val="28"/>
          <w:rtl/>
        </w:rPr>
        <w:t xml:space="preserve">در این مجموعه قطعه ای از دفتر اول مثنوی معنوی و چند قصـیده از عنصری بیشتر آنها در مدح سلطان محمود غزنوی می باشـد؛ خط: نستعلیق خوش، بی کا، تا: اواخر قرن ۱۳؛ جلد: تيماج مشكـی، ۷۴گ، مختلف السطر،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۲۶سم [ف: ۱۲۲]</w:t>
      </w:r>
    </w:p>
    <w:p>
      <w:pPr>
        <w:pStyle w:val="BookText"/>
      </w:pPr>
      <w:r>
        <w:rPr>
          <w:rFonts w:ascii="IRNazanin" w:hAnsi="IRNazanin" w:eastAsia="IRNazanin" w:cs="IRNazanin"/>
          <w:lang w:bidi="fa-IR"/>
          <w:color w:val="111111"/>
          <w:sz w:val="28"/>
          <w:szCs w:val="28"/>
          <w:rtl/>
        </w:rPr>
        <w:t xml:space="preserve">۸۵۴. کاشان؛ فرهنگ و ارشاد؛ شماره نسخه: ۱۰۱</w:t>
      </w:r>
    </w:p>
    <w:p>
      <w:pPr>
        <w:pStyle w:val="BookText"/>
      </w:pPr>
      <w:r>
        <w:rPr>
          <w:rFonts w:ascii="IRNazanin" w:hAnsi="IRNazanin" w:eastAsia="IRNazanin" w:cs="IRNazanin"/>
          <w:lang w:bidi="fa-IR"/>
          <w:color w:val="111111"/>
          <w:sz w:val="28"/>
          <w:szCs w:val="28"/>
          <w:rtl/>
        </w:rPr>
        <w:t xml:space="preserve">بیشتر این جنگ به ترتیب بحرهای عروضی است، و نام بعضی از شاعران چنین است: نظیری، جمال الدین عبدالرزاق اصفهانی، رفیع الدین سیستانی و صدری اصفهانی، فسونی تبریزی، ضمیری اصفهانی، فتحی اردستانی، نوری اصفهانی، میرنصیر رازی، سلمان ساوجی، سوزنی ساوجی، قاضی مسیح الدین ساوجی، حسن قمی، حكيم سعيد، سلطان قمی، شهید قمی ،علائی آشتیانی، صائب تبریزی، لسانی، میر مقبول قمی، ملک قمی، هاشمی قمی، حضوری قمی، شرف قزوینی، وحید ادهم کاشی، سلیمی کاشی، رضائی کاشی، رفیق اصفهانی، طهماسب کاشی، واهب اصفهانی ،آذر ،عاشق ،طوقی حاتمی ،عرفی ،جوزی ،هلالی، وحشی، کاکای قزوینی، فارعی قزوینی، شعیب اصفهانی، میلی، محتشم، شفائی، نصیر طهرانی، شیخ علی نقی، روحی اصفهانی، حافظ شیرازی، اهلی شیرازی، عالمی ،دارا بجردی ،شرف جهان، والهی قمی، مسیح کاشی، ولی قمی، جامی، صهبا، سالک یزدی، صاحب استرابادی، ذوقی ترکمان ،طوفی، خیوقی تبریزی، زلالی شیرازی، طالب لاهیجی، طالب آملی، دانش طوسی، کامی سبزواری، ناصر نخعی ،اوحدی، مسعود ترک، فغانی، وحید قزوینی ،حالتی، رشکی همدانی، یوسف قزوینی، یعقوب ساوجی، شجاع کاشی ،مولوی، خسرو، حیرانی قمی، همایون، عجری تبریزی ،شاهی ،ثنائی ،شباب ورامینی، طوفان، انوار همدانی ،عذری ،هجری، صافی، مصلح اصفهانی، رشیدی تبریزی، سنجر کاشی، درویش محمود، حیائی کاشی، درویش مجید، عاری قلندر، صالحی طوسی، فراری گیلانی، عرشی شیرازی ،درکی، فصیحی هروی، فرج الله شوشتری، فوری اصفهانی، نیکی اصفهانی ،برهان، صبوری تبریزی،مانی شیرازی، رحیمی خان خانان، جعفری تبریزی، وردی افشار، فصیحی تبریزی، اوحدی مراغی، فکاری سبزواری، غزالی طوسی، اقدس مشهدی، حیرتی تونی، شعف قمی، صباحی کاشی؛ خط: نستعلیق، بی کا، تا: قرن ۱۳؛ جلد: مقوایی عطف و گوشه ها تیماج مشکی، ۱۸۵گ، ۱۵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۹۳]</w:t>
      </w:r>
    </w:p>
    <w:p>
      <w:pPr>
        <w:pStyle w:val="BookText"/>
      </w:pPr>
      <w:r>
        <w:rPr>
          <w:rFonts w:ascii="IRNazanin" w:hAnsi="IRNazanin" w:eastAsia="IRNazanin" w:cs="IRNazanin"/>
          <w:lang w:bidi="fa-IR"/>
          <w:color w:val="111111"/>
          <w:sz w:val="28"/>
          <w:szCs w:val="28"/>
          <w:rtl/>
        </w:rPr>
        <w:t xml:space="preserve">۸۵۵. بیدگل؛ مجتهد الزمان بیدگلی؛ شماره نسخه: ۳۸</w:t>
      </w:r>
    </w:p>
    <w:p>
      <w:pPr>
        <w:pStyle w:val="BookText"/>
      </w:pPr>
      <w:r>
        <w:rPr>
          <w:rFonts w:ascii="IRNazanin" w:hAnsi="IRNazanin" w:eastAsia="IRNazanin" w:cs="IRNazanin"/>
          <w:lang w:bidi="fa-IR"/>
          <w:color w:val="111111"/>
          <w:sz w:val="28"/>
          <w:szCs w:val="28"/>
          <w:rtl/>
        </w:rPr>
        <w:t xml:space="preserve">آغاز: ای نوجوان همین زن *** کاندر شتر سوار است / این عمه يتيمان *** کلثوم دل فکار است</w:t>
      </w:r>
    </w:p>
    <w:p>
      <w:pPr>
        <w:pStyle w:val="BookText"/>
      </w:pPr>
      <w:r>
        <w:rPr>
          <w:rFonts w:ascii="IRNazanin" w:hAnsi="IRNazanin" w:eastAsia="IRNazanin" w:cs="IRNazanin"/>
          <w:lang w:bidi="fa-IR"/>
          <w:color w:val="111111"/>
          <w:sz w:val="28"/>
          <w:szCs w:val="28"/>
          <w:rtl/>
        </w:rPr>
        <w:t xml:space="preserve">اشعار متفرقه ای است که در مصائب خامس آل عبا سيد الشهداء (علیه السّلام) و اصحاب آن حضرت جهت مراسم سوگواری نگاشته شده است؛ خط: نسخ چلیپا، بی کا، تا: قرن ۱۳؛ راسته و چلیپا؛ جلد: مقوایی، ۱۶گ، مختلف السطر،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۵۵]</w:t>
      </w:r>
    </w:p>
    <w:p>
      <w:pPr>
        <w:pStyle w:val="BookText"/>
      </w:pPr>
      <w:r>
        <w:rPr>
          <w:rFonts w:ascii="IRNazanin" w:hAnsi="IRNazanin" w:eastAsia="IRNazanin" w:cs="IRNazanin"/>
          <w:lang w:bidi="fa-IR"/>
          <w:color w:val="111111"/>
          <w:sz w:val="28"/>
          <w:szCs w:val="28"/>
          <w:rtl/>
        </w:rPr>
        <w:t xml:space="preserve">۸۵۶. تهران؛ ملی؛ شماره نسخه: ۱۹۰۰۱</w:t>
      </w:r>
    </w:p>
    <w:p>
      <w:pPr>
        <w:pStyle w:val="BookText"/>
      </w:pPr>
      <w:r>
        <w:rPr>
          <w:rFonts w:ascii="IRNazanin" w:hAnsi="IRNazanin" w:eastAsia="IRNazanin" w:cs="IRNazanin"/>
          <w:lang w:bidi="fa-IR"/>
          <w:color w:val="111111"/>
          <w:sz w:val="28"/>
          <w:szCs w:val="28"/>
          <w:rtl/>
        </w:rPr>
        <w:t xml:space="preserve">مثنوی در تاریخ اسلام؛ کا: محمد محرم بن میرزا، تا:۱۲۰۰ق؛ انتقالی از کتابخانه پهلوی - مجموعه نوازی؛ ۲۰۰گ، اندازه: ۲۰/۵</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۳۰/۳سم [رایانه ]</w:t>
      </w:r>
    </w:p>
    <w:p>
      <w:pPr>
        <w:pStyle w:val="BookText"/>
      </w:pPr>
      <w:r>
        <w:rPr>
          <w:rFonts w:ascii="IRNazanin" w:hAnsi="IRNazanin" w:eastAsia="IRNazanin" w:cs="IRNazanin"/>
          <w:lang w:bidi="fa-IR"/>
          <w:color w:val="111111"/>
          <w:sz w:val="28"/>
          <w:szCs w:val="28"/>
          <w:rtl/>
        </w:rPr>
        <w:t xml:space="preserve">۸۵۷. تهران؛ مفتاح؛ شماره نسخه: ۵۸۸/۴</w:t>
      </w:r>
    </w:p>
    <w:p>
      <w:pPr>
        <w:pStyle w:val="BookText"/>
      </w:pPr>
      <w:r>
        <w:rPr>
          <w:rFonts w:ascii="IRNazanin" w:hAnsi="IRNazanin" w:eastAsia="IRNazanin" w:cs="IRNazanin"/>
          <w:lang w:bidi="fa-IR"/>
          <w:color w:val="111111"/>
          <w:sz w:val="28"/>
          <w:szCs w:val="28"/>
          <w:rtl/>
        </w:rPr>
        <w:t xml:space="preserve">بندی از مثنوی است؛ خط: نستعلیق، بی کا، تا: قرن ۱۳؛ قطع: ربعی
</w:t>
      </w: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نشریه: ۷ - ۲۴۸]</w:t>
      </w:r>
    </w:p>
    <w:p>
      <w:pPr>
        <w:pStyle w:val="BookText"/>
      </w:pPr>
      <w:r>
        <w:rPr>
          <w:rFonts w:ascii="Times New Roman" w:hAnsi="Times New Roman" w:eastAsia="Times New Roman" w:cs="Times New Roman"/>
          <w:lang w:val="en-US" w:bidi="en-US"/>
          <w:color w:val="111111"/>
          <w:sz w:val="28"/>
          <w:szCs w:val="28"/>
          <w:rtl/>
        </w:rPr>
        <w:t xml:space="preserve">858.</w:t>
      </w:r>
    </w:p>
    <w:p>
      <w:pPr>
        <w:pStyle w:val="BookText"/>
      </w:pPr>
      <w:r>
        <w:rPr>
          <w:rFonts w:ascii="IRNazanin" w:hAnsi="IRNazanin" w:eastAsia="IRNazanin" w:cs="IRNazanin"/>
          <w:lang w:bidi="fa-IR"/>
          <w:color w:val="111111"/>
          <w:sz w:val="28"/>
          <w:szCs w:val="28"/>
          <w:rtl/>
        </w:rPr>
        <w:t xml:space="preserve">تهران؛ مجلس؛ شماره نسخه: ۱۰۴۵/۷-طباطبائی</w:t>
      </w:r>
    </w:p>
    <w:p>
      <w:pPr>
        <w:pStyle w:val="BookText"/>
      </w:pPr>
      <w:r>
        <w:rPr>
          <w:rFonts w:ascii="IRNazanin" w:hAnsi="IRNazanin" w:eastAsia="IRNazanin" w:cs="IRNazanin"/>
          <w:lang w:bidi="fa-IR"/>
          <w:color w:val="111111"/>
          <w:sz w:val="28"/>
          <w:szCs w:val="28"/>
          <w:rtl/>
        </w:rPr>
        <w:t xml:space="preserve">آغاز: بیار آن که قرین را سوی قرین کشدا *** فرشته را از فلـک جانب زمین کشدا؛ انجام: یار لاحول گوی را چکنم*** شیرین عذار بایستی</w:t>
      </w:r>
    </w:p>
    <w:p>
      <w:pPr>
        <w:pStyle w:val="BookText"/>
      </w:pPr>
      <w:r>
        <w:rPr>
          <w:rFonts w:ascii="IRNazanin" w:hAnsi="IRNazanin" w:eastAsia="IRNazanin" w:cs="IRNazanin"/>
          <w:lang w:bidi="fa-IR"/>
          <w:color w:val="111111"/>
          <w:sz w:val="28"/>
          <w:szCs w:val="28"/>
          <w:rtl/>
        </w:rPr>
        <w:t xml:space="preserve">غزل ها و قطعه هایی است در عشق و عرفان. بالای غزل اول نام مولانا... دیده می شود که به درستی خوانده نمی شود؛ کا: محمد بن صادق طباطبائی (سنگلجی) ،تا: قرن ۱۳ ؛کاغذ: فرنگـی ،جلد: تیماج قرمز، ۹ ص ،(۱۵-۲۳)، قطع: رقعی،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سم [ف: ۲۳ - ۳۴۵]</w:t>
      </w:r>
    </w:p>
    <w:p>
      <w:pPr>
        <w:pStyle w:val="BookText"/>
      </w:pPr>
      <w:r>
        <w:rPr>
          <w:rFonts w:ascii="IRNazanin" w:hAnsi="IRNazanin" w:eastAsia="IRNazanin" w:cs="IRNazanin"/>
          <w:lang w:bidi="fa-IR"/>
          <w:color w:val="111111"/>
          <w:sz w:val="28"/>
          <w:szCs w:val="28"/>
          <w:rtl/>
        </w:rPr>
        <w:t xml:space="preserve">۸۵۹. تهران؛ مجلس؛ شماره نسخه: ۴۳/۱۱</w:t>
      </w:r>
    </w:p>
    <w:p>
      <w:pPr>
        <w:pStyle w:val="BookText"/>
      </w:pPr>
      <w:r>
        <w:rPr>
          <w:rFonts w:ascii="IRNazanin" w:hAnsi="IRNazanin" w:eastAsia="IRNazanin" w:cs="IRNazanin"/>
          <w:lang w:bidi="fa-IR"/>
          <w:color w:val="111111"/>
          <w:sz w:val="28"/>
          <w:szCs w:val="28"/>
          <w:rtl/>
        </w:rPr>
        <w:t xml:space="preserve">بلبل، حیدر طوفان، هلالی ،حسرت ،سعدی ،عاشق ،عشرت، شیـدا، صائب، جامی، فتح علی خان صبا ،انوری ؛خط: نستعلیق، بی کا،تا: قرن ۱۳؛ مجدول ؛کاغذ: سفید و زرد و آبی و صورتی، جـلد: تیماج قهوه ای گرد تیماج زرد، ۱۵ ص (۲۲۵-۴۴۰)، ۲۰-۱۰ سـطر(9</w:t>
      </w:r>
      <w:r>
        <w:rPr>
          <w:rFonts w:ascii="Times New Roman" w:hAnsi="Times New Roman" w:eastAsia="Times New Roman" w:cs="Times New Roman"/>
          <w:lang w:val="en-US" w:bidi="en-US"/>
          <w:color w:val="111111"/>
          <w:sz w:val="28"/>
          <w:szCs w:val="28"/>
          <w:rtl/>
        </w:rPr>
        <w:t xml:space="preserve">×4) </w:t>
      </w:r>
      <w:r>
        <w:rPr>
          <w:rFonts w:ascii="IRNazanin" w:hAnsi="IRNazanin" w:eastAsia="IRNazanin" w:cs="IRNazanin"/>
          <w:lang w:bidi="fa-IR"/>
          <w:color w:val="111111"/>
          <w:sz w:val="28"/>
          <w:szCs w:val="28"/>
          <w:rtl/>
        </w:rPr>
        <w:t xml:space="preserve">،اندازه: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[سنا: ف: ۱- ۲۴]</w:t>
      </w:r>
    </w:p>
    <w:p>
      <w:pPr>
        <w:pStyle w:val="BookText"/>
      </w:pPr>
      <w:r>
        <w:rPr>
          <w:rFonts w:ascii="IRNazanin" w:hAnsi="IRNazanin" w:eastAsia="IRNazanin" w:cs="IRNazanin"/>
          <w:lang w:bidi="fa-IR"/>
          <w:color w:val="111111"/>
          <w:sz w:val="28"/>
          <w:szCs w:val="28"/>
          <w:rtl/>
        </w:rPr>
        <w:t xml:space="preserve">۸۶۰. تهران؛ مجلس؛ شماره نسخه: ۵۱۲/۶-طباطبائی</w:t>
      </w:r>
    </w:p>
    <w:p>
      <w:pPr>
        <w:pStyle w:val="BookText"/>
      </w:pPr>
      <w:r>
        <w:rPr>
          <w:rFonts w:ascii="IRNazanin" w:hAnsi="IRNazanin" w:eastAsia="IRNazanin" w:cs="IRNazanin"/>
          <w:lang w:bidi="fa-IR"/>
          <w:color w:val="111111"/>
          <w:sz w:val="28"/>
          <w:szCs w:val="28"/>
          <w:rtl/>
        </w:rPr>
        <w:t xml:space="preserve">آغاز: میکنم باز بیان حمد خداوند جهان داور و دادار کرم گستر و غفار عطا بخش و خطا پوش که از قدرت خود خلق نموده اسـت همه عالم افلاک؛ انجام: که شد منکر اعجاز رسول و علی وآل علی ... زهی مرتبه و جاه و جلالی که خداوند جهان داده به ایشـان ز ره فضل و عطا و کرم و رحمت و احسان</w:t>
      </w:r>
    </w:p>
    <w:p>
      <w:pPr>
        <w:pStyle w:val="BookText"/>
      </w:pPr>
      <w:r>
        <w:rPr>
          <w:rFonts w:ascii="IRNazanin" w:hAnsi="IRNazanin" w:eastAsia="IRNazanin" w:cs="IRNazanin"/>
          <w:lang w:bidi="fa-IR"/>
          <w:color w:val="111111"/>
          <w:sz w:val="28"/>
          <w:szCs w:val="28"/>
          <w:rtl/>
        </w:rPr>
        <w:t xml:space="preserve">قصیده، نخست در خداشناسی و توحید و سپس تا پایان جلوه هـایی از تولی و تبری است؛ بی کا، تا: قرن ۱۳؛ افتادگی: انجام؛ کاغذ: فرنگی نخودی رنگ، جلد: تیماج مشکی، ۴گ( ۲۶۲پ- ۲۶۶ر)، قطع: رقعی، 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 ۲۲ - ۲۲۵]</w:t>
      </w:r>
    </w:p>
    <w:p>
      <w:pPr>
        <w:pStyle w:val="BookText"/>
      </w:pPr>
      <w:r>
        <w:rPr>
          <w:rFonts w:ascii="IRNazanin" w:hAnsi="IRNazanin" w:eastAsia="IRNazanin" w:cs="IRNazanin"/>
          <w:lang w:bidi="fa-IR"/>
          <w:color w:val="111111"/>
          <w:sz w:val="28"/>
          <w:szCs w:val="28"/>
          <w:rtl/>
        </w:rPr>
        <w:t xml:space="preserve">۸۶۱. تهران؛ ملی؛ شماره نسخه: ۱۷۰۳/۱</w:t>
      </w:r>
    </w:p>
    <w:p>
      <w:pPr>
        <w:pStyle w:val="BookText"/>
      </w:pPr>
      <w:r>
        <w:rPr>
          <w:rFonts w:ascii="IRNazanin" w:hAnsi="IRNazanin" w:eastAsia="IRNazanin" w:cs="IRNazanin"/>
          <w:lang w:bidi="fa-IR"/>
          <w:color w:val="111111"/>
          <w:sz w:val="28"/>
          <w:szCs w:val="28"/>
          <w:rtl/>
        </w:rPr>
        <w:t xml:space="preserve">آغاز: اگر چه هست گلت را چون من هزار هزار *** مرا بدسـت نیاید چو تو نگار نگار؛ انجام: روز و شب جز سخا مبادت شـغل *** سال و مه جز طرب مبادت کار</w:t>
      </w:r>
    </w:p>
    <w:p>
      <w:pPr>
        <w:pStyle w:val="BookText"/>
      </w:pPr>
      <w:r>
        <w:rPr>
          <w:rFonts w:ascii="IRNazanin" w:hAnsi="IRNazanin" w:eastAsia="IRNazanin" w:cs="IRNazanin"/>
          <w:lang w:bidi="fa-IR"/>
          <w:color w:val="111111"/>
          <w:sz w:val="28"/>
          <w:szCs w:val="28"/>
          <w:rtl/>
        </w:rPr>
        <w:t xml:space="preserve">در این نسخه تعدادی از قصاید و اشعار آمده که واجد صـنایع بدیعی و عروضی خاص اند. مهمترین این ها قصیده قوام الدین گنجه ای است در قافیه راء، در این نسخه هر صنعت شعری موجود در هر بیت در فوق آن بیت با مرکب قرمز آمده؛ کا: ابوالفضل بن مهدی بن حاجی، تا: قرن ۱۳ ؛کاغذ: فرنگی ،جلد: مقوایی رویه كاغذ قرمز عطف پارچه ای (۲۵ ص ،(۱-۲۵) ۲۱ سطر (6/5</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۱۰سم [ف: ۱۰ - ۲۹۲]</w:t>
      </w:r>
    </w:p>
    <w:p>
      <w:pPr>
        <w:pStyle w:val="BookText"/>
      </w:pPr>
      <w:r>
        <w:rPr>
          <w:rFonts w:ascii="Times New Roman" w:hAnsi="Times New Roman" w:eastAsia="Times New Roman" w:cs="Times New Roman"/>
          <w:lang w:val="en-US" w:bidi="en-US"/>
          <w:color w:val="111111"/>
          <w:sz w:val="28"/>
          <w:szCs w:val="28"/>
          <w:rtl/>
        </w:rPr>
        <w:t xml:space="preserve">862.</w:t>
      </w:r>
    </w:p>
    <w:p>
      <w:pPr>
        <w:pStyle w:val="BookText"/>
      </w:pPr>
      <w:r>
        <w:rPr>
          <w:rFonts w:ascii="IRNazanin" w:hAnsi="IRNazanin" w:eastAsia="IRNazanin" w:cs="IRNazanin"/>
          <w:lang w:bidi="fa-IR"/>
          <w:color w:val="111111"/>
          <w:sz w:val="28"/>
          <w:szCs w:val="28"/>
          <w:rtl/>
        </w:rPr>
        <w:t xml:space="preserve">تهران؛ دانشسرای عالی - کتابخانه میرزا عبدالعظیم خان قریب گرکانی؛ شماره نسخه: ۱۳۴/۶</w:t>
      </w:r>
    </w:p>
    <w:p>
      <w:pPr>
        <w:pStyle w:val="BookText"/>
      </w:pPr>
      <w:r>
        <w:rPr>
          <w:rFonts w:ascii="IRNazanin" w:hAnsi="IRNazanin" w:eastAsia="IRNazanin" w:cs="IRNazanin"/>
          <w:lang w:bidi="fa-IR"/>
          <w:color w:val="111111"/>
          <w:sz w:val="28"/>
          <w:szCs w:val="28"/>
          <w:rtl/>
        </w:rPr>
        <w:t xml:space="preserve">مثنوی است؛ بی کا، تا: قرن ۱۳؛ قطع: ربعی [نشریه: ۵ - ۶۴۴]</w:t>
      </w:r>
    </w:p>
    <w:p>
      <w:pPr>
        <w:pStyle w:val="BookText"/>
      </w:pPr>
      <w:r>
        <w:rPr>
          <w:rFonts w:ascii="IRNazanin" w:hAnsi="IRNazanin" w:eastAsia="IRNazanin" w:cs="IRNazanin"/>
          <w:lang w:bidi="fa-IR"/>
          <w:color w:val="111111"/>
          <w:sz w:val="28"/>
          <w:szCs w:val="28"/>
          <w:rtl/>
        </w:rPr>
        <w:t xml:space="preserve">۸۶۳. تهران؛ دانشگاه؛ شماره نسخه: ۷۰۸۲/۴</w:t>
      </w:r>
    </w:p>
    <w:p>
      <w:pPr>
        <w:pStyle w:val="BookText"/>
      </w:pPr>
      <w:r>
        <w:rPr>
          <w:rFonts w:ascii="IRNazanin" w:hAnsi="IRNazanin" w:eastAsia="IRNazanin" w:cs="IRNazanin"/>
          <w:lang w:bidi="fa-IR"/>
          <w:color w:val="111111"/>
          <w:sz w:val="28"/>
          <w:szCs w:val="28"/>
          <w:rtl/>
        </w:rPr>
        <w:t xml:space="preserve">آغاز: ای منزه پرده دار پرده در*** وی برون از پرده ای در پرده در؛ انجام: حق بود در نزد قلب منکسر *** منکسر بایدکه گردد  منجبر</w:t>
      </w:r>
    </w:p>
    <w:p>
      <w:pPr>
        <w:pStyle w:val="BookText"/>
      </w:pPr>
      <w:r>
        <w:rPr>
          <w:rFonts w:ascii="IRNazanin" w:hAnsi="IRNazanin" w:eastAsia="IRNazanin" w:cs="IRNazanin"/>
          <w:lang w:bidi="fa-IR"/>
          <w:color w:val="111111"/>
          <w:sz w:val="28"/>
          <w:szCs w:val="28"/>
          <w:rtl/>
        </w:rPr>
        <w:t xml:space="preserve">مثنوی عرفانی است؛ بی کا، تا: قرن ۱۳؛ کاغذ: فرنگی، جلد: تیماج مشکی ترنجی مقوایی، ۲۲-۲۷ سطر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قطع: ربعی،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۱۷/۵سم [ف : ۱۶ - ۴۴۶]</w:t>
      </w:r>
    </w:p>
    <w:p>
      <w:pPr>
        <w:pStyle w:val="BookText"/>
      </w:pPr>
      <w:r>
        <w:rPr>
          <w:rFonts w:ascii="IRNazanin" w:hAnsi="IRNazanin" w:eastAsia="IRNazanin" w:cs="IRNazanin"/>
          <w:lang w:bidi="fa-IR"/>
          <w:color w:val="111111"/>
          <w:sz w:val="28"/>
          <w:szCs w:val="28"/>
          <w:rtl/>
        </w:rPr>
        <w:t xml:space="preserve">۸۶۴. تهران؛ ملک؛ شماره نسخه: ۲۳۴۵/۴</w:t>
      </w:r>
    </w:p>
    <w:p>
      <w:pPr>
        <w:pStyle w:val="BookText"/>
      </w:pPr>
      <w:r>
        <w:rPr>
          <w:rFonts w:ascii="IRNazanin" w:hAnsi="IRNazanin" w:eastAsia="IRNazanin" w:cs="IRNazanin"/>
          <w:lang w:bidi="fa-IR"/>
          <w:color w:val="111111"/>
          <w:sz w:val="28"/>
          <w:szCs w:val="28"/>
          <w:rtl/>
        </w:rPr>
        <w:t xml:space="preserve">آغاز: اکوس تلالات بمدم </w:t>
      </w:r>
      <w:r>
        <w:rPr>
          <w:rFonts w:ascii="IRNazanin" w:hAnsi="IRNazanin" w:eastAsia="IRNazanin" w:cs="IRNazanin"/>
          <w:lang w:bidi="fa-IR"/>
          <w:color w:val="111111"/>
          <w:sz w:val="28"/>
          <w:szCs w:val="28"/>
          <w:b w:val="1"/>
          <w:bCs w:val="1"/>
          <w:i w:val="1"/>
          <w:iCs w:val="1"/>
          <w:rtl/>
        </w:rPr>
        <w:t xml:space="preserve">ام شموس تهلک بغمام / از جفای می و لطافت جام</w:t>
      </w:r>
      <w:r>
        <w:rPr>
          <w:rFonts w:ascii="IRNazanin" w:hAnsi="IRNazanin" w:eastAsia="IRNazanin" w:cs="IRNazanin"/>
          <w:lang w:bidi="fa-IR"/>
          <w:color w:val="111111"/>
          <w:sz w:val="28"/>
          <w:szCs w:val="28"/>
          <w:rtl/>
        </w:rPr>
        <w:t xml:space="preserve">   می شده جام و جام گشته مدام/  که همه  اوست هر چه هست یقین *** جان و جانان و دلیر و دل و دین؛</w:t>
      </w:r>
    </w:p>
    <w:p>
      <w:pPr>
        <w:pStyle w:val="BookText"/>
      </w:pPr>
      <w:r>
        <w:rPr>
          <w:rFonts w:ascii="IRNazanin" w:hAnsi="IRNazanin" w:eastAsia="IRNazanin" w:cs="IRNazanin"/>
          <w:lang w:bidi="fa-IR"/>
          <w:color w:val="111111"/>
          <w:sz w:val="28"/>
          <w:szCs w:val="28"/>
          <w:rtl/>
        </w:rPr>
        <w:t xml:space="preserve">انجام: می رسد این صدا به گوش جهان*** از پس پرده ... نهان</w:t>
      </w:r>
    </w:p>
    <w:p>
      <w:pPr>
        <w:pStyle w:val="BookText"/>
      </w:pPr>
      <w:r>
        <w:rPr>
          <w:rFonts w:ascii="IRNazanin" w:hAnsi="IRNazanin" w:eastAsia="IRNazanin" w:cs="IRNazanin"/>
          <w:lang w:bidi="fa-IR"/>
          <w:color w:val="111111"/>
          <w:sz w:val="28"/>
          <w:szCs w:val="28"/>
          <w:rtl/>
        </w:rPr>
        <w:t xml:space="preserve">ترجیع بند است در توحید در ۲۸ بند؛ خط: نستعلیق، بی کا، تا: قرن 13 ؛کاغذ: ترمه ،جلد: میشن قهوه ای لایی، ۱۳ سطر [ف: ۵ - ۴۷۱]</w:t>
      </w:r>
    </w:p>
    <w:p>
      <w:pPr>
        <w:pStyle w:val="BookText"/>
      </w:pPr>
      <w:r>
        <w:rPr>
          <w:rFonts w:ascii="IRNazanin" w:hAnsi="IRNazanin" w:eastAsia="IRNazanin" w:cs="IRNazanin"/>
          <w:lang w:bidi="fa-IR"/>
          <w:color w:val="111111"/>
          <w:sz w:val="28"/>
          <w:szCs w:val="28"/>
          <w:rtl/>
        </w:rPr>
        <w:t xml:space="preserve">۸۶۵. مشهد؛ رضوی؛ شماره نسخه: ۱۰۴۴۷/۳</w:t>
      </w:r>
    </w:p>
    <w:p>
      <w:pPr>
        <w:pStyle w:val="BookText"/>
      </w:pPr>
      <w:r>
        <w:rPr>
          <w:rFonts w:ascii="IRNazanin" w:hAnsi="IRNazanin" w:eastAsia="IRNazanin" w:cs="IRNazanin"/>
          <w:lang w:bidi="fa-IR"/>
          <w:color w:val="111111"/>
          <w:sz w:val="28"/>
          <w:szCs w:val="28"/>
          <w:rtl/>
        </w:rPr>
        <w:t xml:space="preserve">آغاز: پیر مهنه آن کز ارباب شهود *** در شهود حق کسی زان به نبود؛ انجام: نیش ما زاغ یافت نرگس حق بین او *** چونکه بدیده کشید کحل صفاهان عشق</w:t>
      </w:r>
    </w:p>
    <w:p>
      <w:pPr>
        <w:pStyle w:val="BookText"/>
      </w:pPr>
      <w:r>
        <w:rPr>
          <w:rFonts w:ascii="IRNazanin" w:hAnsi="IRNazanin" w:eastAsia="IRNazanin" w:cs="IRNazanin"/>
          <w:lang w:bidi="fa-IR"/>
          <w:color w:val="111111"/>
          <w:sz w:val="28"/>
          <w:szCs w:val="28"/>
          <w:rtl/>
        </w:rPr>
        <w:t xml:space="preserve">منتخباتی از اشعار نورعلیشاه و غزلیاتی از جامی و جلال الدین مولوی و عطار نیشابوری و شاه نعمة الله ولی؛ خط: نستعلیق، بی کا، تا: قرن ۱۳؛ کاغذ: شکری فرنگی ،جلد: میشن، ۱۱سطر ،اندازه: ۱۱</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۱۷سم [ف: ۹ - ۳۲۳]</w:t>
      </w:r>
    </w:p>
    <w:p>
      <w:pPr>
        <w:pStyle w:val="BookText"/>
      </w:pPr>
      <w:r>
        <w:rPr>
          <w:rFonts w:ascii="IRNazanin" w:hAnsi="IRNazanin" w:eastAsia="IRNazanin" w:cs="IRNazanin"/>
          <w:lang w:bidi="fa-IR"/>
          <w:color w:val="111111"/>
          <w:sz w:val="28"/>
          <w:szCs w:val="28"/>
          <w:rtl/>
        </w:rPr>
        <w:t xml:space="preserve">۸۶۶. مشهد؛ رضوی؛ شماره نسخه: ۱۰۲۹۶</w:t>
      </w:r>
    </w:p>
    <w:p>
      <w:pPr>
        <w:pStyle w:val="BookText"/>
      </w:pPr>
      <w:r>
        <w:rPr>
          <w:rFonts w:ascii="IRNazanin" w:hAnsi="IRNazanin" w:eastAsia="IRNazanin" w:cs="IRNazanin"/>
          <w:lang w:bidi="fa-IR"/>
          <w:color w:val="111111"/>
          <w:sz w:val="28"/>
          <w:szCs w:val="28"/>
          <w:rtl/>
        </w:rPr>
        <w:t xml:space="preserve">آغاز: بسمله بزرگوار خدایا هستی تو؛ انجام: اختری برج خسروی و معتمدی جهان آمده ... مژده که سرکار خوا و الارسید</w:t>
      </w:r>
    </w:p>
    <w:p>
      <w:pPr>
        <w:pStyle w:val="BookText"/>
      </w:pPr>
      <w:r>
        <w:rPr>
          <w:rFonts w:ascii="IRNazanin" w:hAnsi="IRNazanin" w:eastAsia="IRNazanin" w:cs="IRNazanin"/>
          <w:lang w:bidi="fa-IR"/>
          <w:color w:val="111111"/>
          <w:sz w:val="28"/>
          <w:szCs w:val="28"/>
          <w:rtl/>
        </w:rPr>
        <w:t xml:space="preserve">قصاید در مدح فرهاد میرزا معتمد الدوله؛ خط: نستعلیق ،بی کا، تا: قرن ۱۳ [الفبائی: ۴۴۵]</w:t>
      </w:r>
    </w:p>
    <w:p>
      <w:pPr>
        <w:pStyle w:val="BookText"/>
      </w:pPr>
      <w:r>
        <w:rPr>
          <w:rFonts w:ascii="IRNazanin" w:hAnsi="IRNazanin" w:eastAsia="IRNazanin" w:cs="IRNazanin"/>
          <w:lang w:bidi="fa-IR"/>
          <w:color w:val="111111"/>
          <w:sz w:val="28"/>
          <w:szCs w:val="28"/>
          <w:rtl/>
        </w:rPr>
        <w:t xml:space="preserve">۸۶۷. تهران؛ سعید نفیسی؛ شماره نسخه: ۲۹</w:t>
      </w:r>
    </w:p>
    <w:p>
      <w:pPr>
        <w:pStyle w:val="BookText"/>
      </w:pPr>
      <w:r>
        <w:rPr>
          <w:rFonts w:ascii="IRNazanin" w:hAnsi="IRNazanin" w:eastAsia="IRNazanin" w:cs="IRNazanin"/>
          <w:lang w:bidi="fa-IR"/>
          <w:color w:val="111111"/>
          <w:sz w:val="28"/>
          <w:szCs w:val="28"/>
          <w:rtl/>
        </w:rPr>
        <w:t xml:space="preserve">جنگ اشعار است؛ بی کا، تا: قرن ۱۳ [ نشریه: ۷ - ۶۸۷]</w:t>
      </w:r>
    </w:p>
    <w:p>
      <w:pPr>
        <w:pStyle w:val="BookText"/>
      </w:pPr>
      <w:r>
        <w:rPr>
          <w:rFonts w:ascii="IRNazanin" w:hAnsi="IRNazanin" w:eastAsia="IRNazanin" w:cs="IRNazanin"/>
          <w:lang w:bidi="fa-IR"/>
          <w:color w:val="111111"/>
          <w:sz w:val="28"/>
          <w:szCs w:val="28"/>
          <w:rtl/>
        </w:rPr>
        <w:t xml:space="preserve">۸۶۸. قم؛ مرعشی؛ شماره نسخه: ۱۱۲۷۳/۱</w:t>
      </w:r>
    </w:p>
    <w:p>
      <w:pPr>
        <w:pStyle w:val="BookText"/>
      </w:pPr>
      <w:r>
        <w:rPr>
          <w:rFonts w:ascii="IRNazanin" w:hAnsi="IRNazanin" w:eastAsia="IRNazanin" w:cs="IRNazanin"/>
          <w:lang w:bidi="fa-IR"/>
          <w:color w:val="111111"/>
          <w:sz w:val="28"/>
          <w:szCs w:val="28"/>
          <w:rtl/>
        </w:rPr>
        <w:t xml:space="preserve">آغاز: ای کبریای ذاتت فارغ از جسم و جوهر *** خلاق ما سوى الله رزاق بنده پرور؛ انجام: زاهد بگشا زبان، ز ساقی پیش ار *** کی غم به ترانه ام به سر باید برد</w:t>
      </w:r>
    </w:p>
    <w:p>
      <w:pPr>
        <w:pStyle w:val="BookText"/>
      </w:pPr>
      <w:r>
        <w:rPr>
          <w:rFonts w:ascii="IRNazanin" w:hAnsi="IRNazanin" w:eastAsia="IRNazanin" w:cs="IRNazanin"/>
          <w:lang w:bidi="fa-IR"/>
          <w:color w:val="111111"/>
          <w:sz w:val="28"/>
          <w:szCs w:val="28"/>
          <w:rtl/>
        </w:rPr>
        <w:t xml:space="preserve">مجموعه مختصری است از دو شاعر: ۱. ابن حسام، شمس الدین محمد جوسقى (- ۸۷۵ ق)، ۲. ثنائی (احتمالاً ثنائى مشهدى) (- ۹۹۶ ق)، قصیده ای که از ابن حسام نقل شده، در برگیرنده داستان تعذيب ابن ملجم به وسیله مرغی است که از قول یک راهب نقل شده؛ خط: نستعلیق، بی کا، تا: قرن ۱۳؛ کاغذ: فرنگی، ۵ص (۱- ۵)، ۱۵ سطر، اندازه: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۱۲/۵سم [ف: ۲۸ - ۴۰۶]</w:t>
      </w:r>
    </w:p>
    <w:p>
      <w:pPr>
        <w:pStyle w:val="BookText"/>
      </w:pPr>
      <w:r>
        <w:rPr>
          <w:rFonts w:ascii="IRNazanin" w:hAnsi="IRNazanin" w:eastAsia="IRNazanin" w:cs="IRNazanin"/>
          <w:lang w:bidi="fa-IR"/>
          <w:color w:val="111111"/>
          <w:sz w:val="28"/>
          <w:szCs w:val="28"/>
          <w:rtl/>
        </w:rPr>
        <w:t xml:space="preserve">۸۶۹. تهران؛ ملک؛ شماره نسخه: ۴۵۸۳/۷</w:t>
      </w:r>
    </w:p>
    <w:p>
      <w:pPr>
        <w:pStyle w:val="BookText"/>
      </w:pPr>
      <w:r>
        <w:rPr>
          <w:rFonts w:ascii="IRNazanin" w:hAnsi="IRNazanin" w:eastAsia="IRNazanin" w:cs="IRNazanin"/>
          <w:lang w:bidi="fa-IR"/>
          <w:color w:val="111111"/>
          <w:sz w:val="28"/>
          <w:szCs w:val="28"/>
          <w:rtl/>
        </w:rPr>
        <w:t xml:space="preserve">اشعار متفرقه در سخنوری است ؛خط: نستعلیق، بی کا، تا: قرن ۱۳ [ ف: ۷ - ۴۳۵]</w:t>
      </w:r>
    </w:p>
    <w:p>
      <w:pPr>
        <w:pStyle w:val="BookText"/>
      </w:pPr>
      <w:r>
        <w:rPr>
          <w:rFonts w:ascii="IRNazanin" w:hAnsi="IRNazanin" w:eastAsia="IRNazanin" w:cs="IRNazanin"/>
          <w:lang w:bidi="fa-IR"/>
          <w:color w:val="111111"/>
          <w:sz w:val="28"/>
          <w:szCs w:val="28"/>
          <w:rtl/>
        </w:rPr>
        <w:t xml:space="preserve">۸۷۰. تهران؛ ملک؛ شماره نسخه: ۳۶۸۳/۲</w:t>
      </w:r>
    </w:p>
    <w:p>
      <w:pPr>
        <w:pStyle w:val="BookText"/>
      </w:pPr>
      <w:r>
        <w:rPr>
          <w:rFonts w:ascii="IRNazanin" w:hAnsi="IRNazanin" w:eastAsia="IRNazanin" w:cs="IRNazanin"/>
          <w:lang w:bidi="fa-IR"/>
          <w:color w:val="111111"/>
          <w:sz w:val="28"/>
          <w:szCs w:val="28"/>
          <w:rtl/>
        </w:rPr>
        <w:t xml:space="preserve">اشعار در مدح سنجر و احمد بن فضل؛ خط: نستعلیق، بی کا، تا:قرن ۱۳؛ ۴گ [ف: ۷ - ۲۴]</w:t>
      </w:r>
    </w:p>
    <w:p>
      <w:pPr>
        <w:pStyle w:val="BookText"/>
      </w:pPr>
      <w:r>
        <w:rPr>
          <w:rFonts w:ascii="IRNazanin" w:hAnsi="IRNazanin" w:eastAsia="IRNazanin" w:cs="IRNazanin"/>
          <w:lang w:bidi="fa-IR"/>
          <w:color w:val="111111"/>
          <w:sz w:val="28"/>
          <w:szCs w:val="28"/>
          <w:rtl/>
        </w:rPr>
        <w:t xml:space="preserve">۸۷۱. قم؛ گلپایگانی؛ شماره نسخه: 7618- 238/ 38
</w:t>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آغاز: ای آنکه تویی در نجف از بهر شفاعت *** یک رو بمن آر و بکن از بهر خداوند / ماها همه مسکین و فقیریم در این شهر*** یک دیده بگردان و بکن بهر خداوند؛ انجام: ای حی قدیم خـالق  بی همتا*** کس را نبود بقدرتت چون و چرا / با بار گنه بدرگهت آمده ایم *** بنگر بگذشت خویش ما را بخشای</w:t>
      </w:r>
    </w:p>
    <w:p>
      <w:pPr>
        <w:pStyle w:val="BookText"/>
      </w:pPr>
      <w:r>
        <w:rPr>
          <w:rFonts w:ascii="IRNazanin" w:hAnsi="IRNazanin" w:eastAsia="IRNazanin" w:cs="IRNazanin"/>
          <w:lang w:bidi="fa-IR"/>
          <w:color w:val="111111"/>
          <w:sz w:val="28"/>
          <w:szCs w:val="28"/>
          <w:rtl/>
        </w:rPr>
        <w:t xml:space="preserve">اشعار پراکنده ای است در مدایح و مراثی و مجالس نوحه خوانی برای ائمه اطهار خصوصاً حضرت سيد الشهداء (علیه السّلام) و اصحـاب باوفای آن حضرت، این بیاض در عصر قاجاریه نوشته شده و برخی از ابیات از ناصرالدین شاه قاجار نامی به میان آمده اسـت ؛خط: نستعلیق، بی کا، تا: قرن ۱۳؛ ۹۳ گ، سطور چلیپا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۲ - ۶۴۶]</w:t>
      </w:r>
    </w:p>
    <w:p>
      <w:pPr>
        <w:pStyle w:val="BookText"/>
      </w:pPr>
      <w:r>
        <w:rPr>
          <w:rFonts w:ascii="IRNazanin" w:hAnsi="IRNazanin" w:eastAsia="IRNazanin" w:cs="IRNazanin"/>
          <w:lang w:bidi="fa-IR"/>
          <w:color w:val="111111"/>
          <w:sz w:val="28"/>
          <w:szCs w:val="28"/>
          <w:rtl/>
        </w:rPr>
        <w:t xml:space="preserve">۸۷۲. تهران؛ انجمن آثار و مفاخر فرهنگی؛ شماره نسخه: ۱</w:t>
      </w:r>
    </w:p>
    <w:p>
      <w:pPr>
        <w:pStyle w:val="BookText"/>
      </w:pPr>
      <w:r>
        <w:rPr>
          <w:rFonts w:ascii="IRNazanin" w:hAnsi="IRNazanin" w:eastAsia="IRNazanin" w:cs="IRNazanin"/>
          <w:lang w:bidi="fa-IR"/>
          <w:color w:val="111111"/>
          <w:sz w:val="28"/>
          <w:szCs w:val="28"/>
          <w:rtl/>
        </w:rPr>
        <w:t xml:space="preserve">بیاض اشعار است حاوی اشعار و یک صفحه مربوط به دوازده مقام موسیقی؛ خط: شکسته نستعلیق، بی کا، تا: قرن ۱۳؛قـطع: بیاضی [نشریه: ۷ - ۱]</w:t>
      </w:r>
    </w:p>
    <w:p>
      <w:pPr>
        <w:pStyle w:val="BookText"/>
      </w:pPr>
      <w:r>
        <w:rPr>
          <w:rFonts w:ascii="IRNazanin" w:hAnsi="IRNazanin" w:eastAsia="IRNazanin" w:cs="IRNazanin"/>
          <w:lang w:bidi="fa-IR"/>
          <w:color w:val="111111"/>
          <w:sz w:val="28"/>
          <w:szCs w:val="28"/>
          <w:rtl/>
        </w:rPr>
        <w:t xml:space="preserve">۸۷۳. تهران؛ انجمن آثار و مفاخر فرهنگی؛ شماره نسخه: ۲</w:t>
      </w:r>
    </w:p>
    <w:p>
      <w:pPr>
        <w:pStyle w:val="BookText"/>
      </w:pPr>
      <w:r>
        <w:rPr>
          <w:rFonts w:ascii="IRNazanin" w:hAnsi="IRNazanin" w:eastAsia="IRNazanin" w:cs="IRNazanin"/>
          <w:lang w:bidi="fa-IR"/>
          <w:color w:val="111111"/>
          <w:sz w:val="28"/>
          <w:szCs w:val="28"/>
          <w:rtl/>
        </w:rPr>
        <w:t xml:space="preserve">بیاض اشعار است؛ خط: شکسته نستعلیق، بی کا، تا: قرن ۱۳؛ قـطع: بیاضی [نشریه: 7-1]</w:t>
      </w:r>
    </w:p>
    <w:p>
      <w:pPr>
        <w:pStyle w:val="BookText"/>
      </w:pPr>
      <w:r>
        <w:rPr>
          <w:rFonts w:ascii="IRNazanin" w:hAnsi="IRNazanin" w:eastAsia="IRNazanin" w:cs="IRNazanin"/>
          <w:lang w:bidi="fa-IR"/>
          <w:color w:val="111111"/>
          <w:sz w:val="28"/>
          <w:szCs w:val="28"/>
          <w:rtl/>
        </w:rPr>
        <w:t xml:space="preserve">۸۷۴. تهران؛ ملی؛ شماره نسخه: ۶۱۴۴</w:t>
      </w:r>
    </w:p>
    <w:p>
      <w:pPr>
        <w:pStyle w:val="BookText"/>
      </w:pPr>
      <w:r>
        <w:rPr>
          <w:rFonts w:ascii="IRNazanin" w:hAnsi="IRNazanin" w:eastAsia="IRNazanin" w:cs="IRNazanin"/>
          <w:lang w:bidi="fa-IR"/>
          <w:color w:val="111111"/>
          <w:sz w:val="28"/>
          <w:szCs w:val="28"/>
          <w:rtl/>
        </w:rPr>
        <w:t xml:space="preserve">آغاز: مکن ایدوست که صاحب نظرانند بیگانه و خ و ش ازپس و ... نگرانند کس نیست که پنهان نظری با تو بدارد من بر سرانم که همه خلق برانند؛ انجام: حسن در خانه زین جلوه دیگر دارد در رنگین خانه نگین جلوه دیگر دارد</w:t>
      </w:r>
    </w:p>
    <w:p>
      <w:pPr>
        <w:pStyle w:val="BookText"/>
      </w:pPr>
      <w:r>
        <w:rPr>
          <w:rFonts w:ascii="IRNazanin" w:hAnsi="IRNazanin" w:eastAsia="IRNazanin" w:cs="IRNazanin"/>
          <w:lang w:bidi="fa-IR"/>
          <w:color w:val="111111"/>
          <w:sz w:val="28"/>
          <w:szCs w:val="28"/>
          <w:rtl/>
        </w:rPr>
        <w:t xml:space="preserve">مجموعه ای است احتمالاً از دو نسخه که به نظر می آید اوراق آن در هم صحافی شده است، بخش عمده کتاب اول دیوان رفیق اصفهانی است و با افتادگی های بسیار و جابه جایی اوراق در وسـط آخر کتاب در صحافی، ترتیب قوافی در آن هم از سوی کاتب و هم از سوی صحاف جابه جا شده است، اشعار با عنوان «له» و «له سلمه» از یکدیگر جدا شده است، همچنین شامل اشعاری از سعدی نفرین نامه ای در گ ۸۵، و الهی نامه ای در گ ۶۷، نامه کوتاهی در گ ۶۶، کتاب دوم در کاغذی اصفهانی و با خـطی دیگر نوشته شده است و اوراق آن در میان برگ های کتاب جابجا صحافی شده است و در بخش عمده آن اشعار صائب تبریزی نوشته شده، همچنین شامل اشعار دیگری از جامی(گ ۶۲)، محتشم (گ ۶۲ و ۶۳ و ۸۲)، کلیم (۶۳ پ)، شوکتی (78پ- و ۸۹)، حکیم رکنا (۸۳ پ و ۱۰۳) میرزا هادی (۱۱۳)، سعدی (گ ۸۷ )،میرزا جعفر (گ ۹۴)، مخمس غزل نواب میرزایی (سلمه الله) (۹۰ پ)، مطالبی به نقل از افلاطون و اشعاری از شـیخ الرئيس منقول از خط شرف الدین حسن متخلص به شفاهی  و وصيتى منقول از خط میرزا رفیع الدین محمد موسوی و مطالبی در درجات عرفان منقول از خط میرداماد و مطالبی منقول از خـط شیخ بهایی و روایتی از امالی صدوق از خط میر رضی الدین محمد حسینی در گ ۷۹ و ۷۹پ، اشعاری با عنوان لراقمه  (۶۳ پ) و لراقمه خیال (۱۱۱ پ) ( به خط شاعر) و لمحررها (گ ۱۱۳)؛ خط: شکسته نستعلیق، کا: عبدالعلی، تا: قرن ۱۳ق؛ بیشتر خطوط حمایلی و چلیپا، صدر گ ۸۰ تاریخ ۱۰۴۰ق دارد بنابراین احتمالاً اشعار در زمان حیات صائب تحریر شده؛ مهر: عبدالعلی بن سید محمد حسین عبدالعلی مورخ ۱۳۴۵؟ ق» (اشکی)، «لا الله الاالله الملك الحق المبين عبده محمد جعفر» (خشتی) با تاریخ ۱۲۲۹ ق، «عبده محمد علی ابن حسین ابوالشريف» (بیضی)، «مهر محمد کریم» (خشتی)، «فاطمه... بنت روح الله الموسوى الحسيني»، «عبده محمد ابراهیم» (بیضی؛ کاغذ: فرنگی شکری الوان و اصفهانی نخودی؛ افتادگی: وسط و انجام ،جلد: تیماج تریاکی یک لا ضربی دارای ترنج و نیم ترنج با نقش گل و بوته،  ۱۲۹گ، مختلف السطر ،اندازه: 9</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سم [رایانه]</w:t>
      </w:r>
    </w:p>
    <w:p>
      <w:pPr>
        <w:pStyle w:val="BookText"/>
      </w:pPr>
      <w:r>
        <w:rPr>
          <w:rFonts w:ascii="IRNazanin" w:hAnsi="IRNazanin" w:eastAsia="IRNazanin" w:cs="IRNazanin"/>
          <w:lang w:bidi="fa-IR"/>
          <w:color w:val="111111"/>
          <w:sz w:val="28"/>
          <w:szCs w:val="28"/>
          <w:rtl/>
        </w:rPr>
        <w:t xml:space="preserve">۸۷۵. مشهد؛ رضوی؛ شماره نسخه: ۱۶۵۱۶</w:t>
      </w:r>
    </w:p>
    <w:p>
      <w:pPr>
        <w:pStyle w:val="BookText"/>
      </w:pPr>
      <w:r>
        <w:rPr>
          <w:rFonts w:ascii="IRNazanin" w:hAnsi="IRNazanin" w:eastAsia="IRNazanin" w:cs="IRNazanin"/>
          <w:lang w:bidi="fa-IR"/>
          <w:color w:val="111111"/>
          <w:sz w:val="28"/>
          <w:szCs w:val="28"/>
          <w:rtl/>
        </w:rPr>
        <w:t xml:space="preserve">آغاز: بسمله ز رخ برداشت امشب ماه من آنزلف شب آسا *** تو اندر پرده شب باش ایمهر جهان آرا؛ انجام: که جز او نیست در سرای وجود *** به حقیقت کس دگر موجود</w:t>
      </w:r>
    </w:p>
    <w:p>
      <w:pPr>
        <w:pStyle w:val="BookText"/>
      </w:pPr>
      <w:r>
        <w:rPr>
          <w:rFonts w:ascii="IRNazanin" w:hAnsi="IRNazanin" w:eastAsia="IRNazanin" w:cs="IRNazanin"/>
          <w:lang w:bidi="fa-IR"/>
          <w:color w:val="111111"/>
          <w:sz w:val="28"/>
          <w:szCs w:val="28"/>
          <w:rtl/>
        </w:rPr>
        <w:t xml:space="preserve">بیاض اشعار است. مشتمل است بر قصاید زیادی از میرزا سعید ارجستانی متخلص به فدا، ادیب صابر، میرزا حبیب قاآنی ،انوری، مثنوی سراپا از ناظمی ناشناخته با این مطلع: «ای نسیم سحر جلوه گری *** ناز پرورده فیض سحری» قصاید و غزلیات و مثنویاتی از سعدی، سرباز در مدح حضرت علی (علیه السّلام)، میرزا رضی، هجران، نصرت، میرزا طوفان، صحبت، فردوسی، فتحعلی خان صبا، فرخی سیستانی، سید حسن نیاز ،ساغر ،جامی ،شوقی ،سعید ،عاشق اصفهانی ،ضابط ،رونق ،شهرت ،رضایی ،نقی، نعیم، صفی، ملت ،واقعی ،نظام، طالب ،نظیری ،پرتو ،مجمر ،طلعت ،نشاط ،صافی ،محتشم طبيب، رهی ،آذر، هلالی جغتایی، مشتاق، نوعی، وحشی، ،بوعلی ،نظامی مجذوب ،عرفی ،قاسم، شاپور، فایض، صفی، ،سیف، صیدی ،رفعت ،تابع ،وحشت ،هادی، مشتاق علی شاه، نور على شاه (ص ۲۶۰-۳۱۰) و (ص (۴۰۴-۴۱۱) ،سید جلال، ابن یمین، خواجه عماد فقیه ،کافی ،اوحدی ،کاتبی ،رضا، سلمان، شیخ جنید، اختیار، کمال، خسرو، علائی، شهاب، قبائی، نسیمی، خواجو، عبید، قاسمی، ناصر، هما، پریشان، اثيم، سند، عباس، پیمان، والهی، اکسیر، سالم، ساری، سلیم، كليم، واله، وصال، مغربی (ص۳۸۱-۴۰۳) ترجیع بند و ترکیب بندهایی از شاعران مختلف مانند: حیاتی، فیضی و مغربی، محتشم، وحشی بافقی، میرزا محمد صالح کشفی، ترجیع بندی با بیت الترجیع: «که علی را کس ار ندارد دوست*** درکات جحیم مسکن اوست» از ناظمی  نامعلوم؛ همچنین مثنوی طولانی درباره منصور حلاج که بعد از هر سی و پنج تا چهل بیت این بیت را تکرار کرده است، «کس از کمان و موم و زه چیزی نخواست *** اینهمه افغان را بهر شماست» که کاتب آن را ترجیع بند از حلاج نام نهاده است؛ خط: نستعلیق، بی کا، تا: اواخر قرن ۱۳؛ واگذاری بنیاد مستضعفان در شهریور ۱۳۶۷؛ کاغذ: نباتی، جلد: تیماج ضربی قهوه ای، ۲۴۰گ،
</w: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 سطر ،اندازه: ۱۱/۴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۲۱/۹سم [ف: ۱۷ - ۵۰]</w:t>
      </w:r>
    </w:p>
    <w:p>
      <w:pPr>
        <w:pStyle w:val="BookText"/>
      </w:pPr>
      <w:r>
        <w:rPr>
          <w:rFonts w:ascii="IRNazanin" w:hAnsi="IRNazanin" w:eastAsia="IRNazanin" w:cs="IRNazanin"/>
          <w:lang w:bidi="fa-IR"/>
          <w:color w:val="111111"/>
          <w:sz w:val="28"/>
          <w:szCs w:val="28"/>
          <w:rtl/>
        </w:rPr>
        <w:t xml:space="preserve">۸۷۶ .تهران؛ ملی؛ شماره نسخه: ۱۴۱۶</w:t>
      </w:r>
    </w:p>
    <w:p>
      <w:pPr>
        <w:pStyle w:val="BookText"/>
      </w:pPr>
      <w:r>
        <w:rPr>
          <w:rFonts w:ascii="IRNazanin" w:hAnsi="IRNazanin" w:eastAsia="IRNazanin" w:cs="IRNazanin"/>
          <w:lang w:bidi="fa-IR"/>
          <w:color w:val="111111"/>
          <w:sz w:val="28"/>
          <w:szCs w:val="28"/>
          <w:rtl/>
        </w:rPr>
        <w:t xml:space="preserve">در این رساله از صفحه ۱ تا ۱۰۵ نام ممدوحان زیر مندرج اسـت: ناصر الدین شاه، خان خانان، محمد شاه غازی ،وليعهد، مهد عـلیا، صاحب الزمان حسین بن علی (علیه السّلام)، علی بن محمد، شاه مردان، شاه رسل، شاه ولایت، شاه دین، حسن العسکری، شاه غریبان،شاه شجاع. از صفحه ۱۰۵ به بعد نام شعرای زیر آمده: انوری، تسلیمی کاشی، ثابت بدخشی، بر نداق بخارائی، جمال الدین عبدالرزاق اصفهانی، خواجه حافظ، خاقانی، امیر خسرو دهلوی، شاهفور بن محمد شاپوری (از اولاد حكيم خيام)، دقیقى سمر قندی، اسـتاد رودکی، روحانی سمرقندی، رشید وطواط، سيد ذوالفقارشیروانی، سراج الدین بلخی، سعدی، خواجه سلمان،سرور قزوینی، شهاب الدین سهروردی ،شهیدی قمی، صائب تبریزی، صباحی کاشی، ضیاء الدین خجندی، میرزا عبدالرزاق، طيب اصفهانی، طبال بمی، ظهیر فاریابی، آقا محمد عاشق اصفهانی، عبید زاکائی، عراقی همدانی، عرفی شیرازی، عماد، عمعق بخاری ،عنصری، غزالی طوسی، غیاثی استر آبادی، غیرت اصفهانی، فردوسی، فرید کاتب، فلکی شروانی، قابوس و شمگـیر ،قطران، حكيم همدانی (؟) لامعی جرجانی، مجدالدین همگر شیرازی، مختاری غزنوی، امیر معزی سمر قندی، مسعود سلمان، منوچهری، مهری (مصاحب گوهر شاد بیگم وزن خواجه عبدالعزيز طبيب میرزا شاهرخ) ،مهستی، ناصر بخاری، ادیب صـابر ،ترمذی، جوهری زرگر بخاری شاگرد ادیب صابر، عالیه سـمر قندی، عفتی اسفراینی ،عسجدی مروزی، فرخی سیستانی، خیام حسین کاشفی، فخر الدین علی، جلال دوانی، فخر الدين فتح الله قزوینی، خواند میر، میر محمد باقر داماد، علاء الدوله سمنانی، عبدالله انصاری، شیخ عطار، عبدالرزاق جیلانی، احمد غزالی،میر عماد خوشنویس، على الخطاط، مير فتاح مراغه، ملا مهدی نراقـی، فخر الدين محمد رازی، ملای رومی، نجم الدیه دایه، نجم الدین كبرى، نصير الدين اصفهانی، بندار رازی؛ نظامی ؛خط: شکـسته نستعلیق چلیپا، بی کا، تا: قرن ۱۳؛ کاغذ ،فرنگی ،جلد: تیماج قهوه ای با گل و بوته کوبیده مقوایی، ابعاد متن: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 ۶۱گ ،[ف: ۳ - ۴۷۱]</w:t>
      </w:r>
    </w:p>
    <w:p>
      <w:pPr>
        <w:pStyle w:val="BookText"/>
      </w:pPr>
      <w:r>
        <w:rPr>
          <w:rFonts w:ascii="IRNazanin" w:hAnsi="IRNazanin" w:eastAsia="IRNazanin" w:cs="IRNazanin"/>
          <w:lang w:bidi="fa-IR"/>
          <w:color w:val="111111"/>
          <w:sz w:val="28"/>
          <w:szCs w:val="28"/>
          <w:rtl/>
        </w:rPr>
        <w:t xml:space="preserve">۸۷۷. تهران؛ سعید نفیسی؛ شماره نسخه: ۱۳</w:t>
      </w:r>
    </w:p>
    <w:p>
      <w:pPr>
        <w:pStyle w:val="BookText"/>
      </w:pPr>
      <w:r>
        <w:rPr>
          <w:rFonts w:ascii="IRNazanin" w:hAnsi="IRNazanin" w:eastAsia="IRNazanin" w:cs="IRNazanin"/>
          <w:lang w:bidi="fa-IR"/>
          <w:color w:val="111111"/>
          <w:sz w:val="28"/>
          <w:szCs w:val="28"/>
          <w:rtl/>
        </w:rPr>
        <w:t xml:space="preserve">جنگ اشعار است؛ بی کا، تا: قرن ۱۳ [ نشریه: ۷ - ۶۸۶]</w:t>
      </w:r>
    </w:p>
    <w:p>
      <w:pPr>
        <w:pStyle w:val="BookText"/>
      </w:pPr>
      <w:r>
        <w:rPr>
          <w:rFonts w:ascii="IRNazanin" w:hAnsi="IRNazanin" w:eastAsia="IRNazanin" w:cs="IRNazanin"/>
          <w:lang w:bidi="fa-IR"/>
          <w:color w:val="111111"/>
          <w:sz w:val="28"/>
          <w:szCs w:val="28"/>
          <w:rtl/>
        </w:rPr>
        <w:t xml:space="preserve">۸۷۸. تهران؛ مجلس؛ شماره نسخه: ۲۳۳۵</w:t>
      </w:r>
    </w:p>
    <w:p>
      <w:pPr>
        <w:pStyle w:val="BookText"/>
      </w:pPr>
      <w:r>
        <w:rPr>
          <w:rFonts w:ascii="IRNazanin" w:hAnsi="IRNazanin" w:eastAsia="IRNazanin" w:cs="IRNazanin"/>
          <w:lang w:bidi="fa-IR"/>
          <w:color w:val="111111"/>
          <w:sz w:val="28"/>
          <w:szCs w:val="28"/>
          <w:rtl/>
        </w:rPr>
        <w:t xml:space="preserve">آغاز اول دفتر بنام ایزد دانا؛ انجام: این بگفت آن ماه و دست از جان فشاند *** نیم حانی داشت بر جانان فشاند</w:t>
      </w:r>
    </w:p>
    <w:p>
      <w:pPr>
        <w:pStyle w:val="BookText"/>
      </w:pPr>
      <w:r>
        <w:rPr>
          <w:rFonts w:ascii="IRNazanin" w:hAnsi="IRNazanin" w:eastAsia="IRNazanin" w:cs="IRNazanin"/>
          <w:lang w:bidi="fa-IR"/>
          <w:color w:val="111111"/>
          <w:sz w:val="28"/>
          <w:szCs w:val="28"/>
          <w:rtl/>
        </w:rPr>
        <w:t xml:space="preserve">مشتمل است بر: فهرست اسامی شعرا و تعداد ابیات (۱ و2)، غزلیات سعدی (۳-۴۷) غزلیات حافظ (۴۸-۶۳) غزلیات نشـاط (۶۶-۶۴) غزلیات مجمر (۷۲-۶۶) غزلیات عاشق اصفهانی (72-۷۴) غزل محتشم (۷۵)، غزل مشتاق و رفیق (۷۶)، غزلیات محـرم (۷۸-۷۶) غزلیات وصال ،(۷۸-۸۵) بوستان سعدی (۸۶- 93)مثنوی میرزا نصیر (۹۴-۱۰۹)، فرهاد و شیرین وحشی (۱۰۹ -۱۲۵) ترجیع بند هاتف (۱۲۵-۱۳۳)، باغ رفتن شیرین از عرفی (۱۳۸-۱۳۳)، ترکیب بند ضیاء اصفهانی (۱۳-۱۴۲)، رباعیات خیام (۱۴۷-۱۴۲) دوبیتی های بابا طاهر ،(۱۴۷-۱۵۲)، میر مرشد همدانی و مطایبه مصاحب نائینی (۱۵۲-۱۵۶) تغزل نوری اصفهانی (۱۵۷) ،قصیده ،مقطعات مطایبات سعدی (۱۵۷-۱۷۵)، غزل طبیب اصفهانی (۱۷۶)، ساقی نامه حافظ (۱۷۶-۱۸۱) حکایت شیخ صنعان عطار (۱۸۲-۲۱۲)؛ خط: شکسته نستعلیق خفی  خوش، بی کا، تا: قرن ۱۳؛ مجدول، مذهب، سرلوح مذهب مرصع کار شیراز صفحه اول؛ مهر: «یا امام حسین»؛ ابعاد متن: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کاغذ: ترمه، جلد: روغنی بوم یشمی زرک درون تیماج قرمز، گل و پرنده، اندازه: ۱۰/۶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۸ - ۴۳]</w:t>
      </w:r>
    </w:p>
    <w:p>
      <w:pPr>
        <w:pStyle w:val="BookText"/>
      </w:pPr>
      <w:r>
        <w:rPr>
          <w:rFonts w:ascii="IRNazanin" w:hAnsi="IRNazanin" w:eastAsia="IRNazanin" w:cs="IRNazanin"/>
          <w:lang w:bidi="fa-IR"/>
          <w:color w:val="111111"/>
          <w:sz w:val="28"/>
          <w:szCs w:val="28"/>
          <w:rtl/>
        </w:rPr>
        <w:t xml:space="preserve">۸۷۹. قم؛ گلپایگانی؛ شماره نسخه: ۳۱۵۷-۱۶/۱۶۷</w:t>
      </w:r>
    </w:p>
    <w:p>
      <w:pPr>
        <w:pStyle w:val="BookText"/>
      </w:pPr>
      <w:r>
        <w:rPr>
          <w:rFonts w:ascii="IRNazanin" w:hAnsi="IRNazanin" w:eastAsia="IRNazanin" w:cs="IRNazanin"/>
          <w:lang w:bidi="fa-IR"/>
          <w:color w:val="111111"/>
          <w:sz w:val="28"/>
          <w:szCs w:val="28"/>
          <w:rtl/>
        </w:rPr>
        <w:t xml:space="preserve">آغاز: اول دفتر بنام ایزد دانا *** صانع وپروردگار وحی وتوانا/ اعظم واكبر خدای عالم و آدم*** صورت خوب آفريد وسيرت زیبا؛ انجام: قطعه. روز عیدی به تماشا سوی بستان رفتم***چه شود کز دل ناشاد غم آید بیرون</w:t>
      </w:r>
    </w:p>
    <w:p>
      <w:pPr>
        <w:pStyle w:val="BookText"/>
      </w:pPr>
      <w:r>
        <w:rPr>
          <w:rFonts w:ascii="IRNazanin" w:hAnsi="IRNazanin" w:eastAsia="IRNazanin" w:cs="IRNazanin"/>
          <w:lang w:bidi="fa-IR"/>
          <w:color w:val="111111"/>
          <w:sz w:val="28"/>
          <w:szCs w:val="28"/>
          <w:rtl/>
        </w:rPr>
        <w:t xml:space="preserve">جنگی فراهم آمده از اشعار: سعدی، جامی، ملاحسین رفیق، رباعیات، ابوسعید ابوالخیر، خواجه محمد نصیر دهدشتی، مخمسی درویشی ،آزاد ،حافظ، نور علی شاه ،همام، بدر، خسرو، پورحسن مقصود ،عماد ،سلمان ،ناصر ،نشاطی ،سید ،عارفی ،شاهی ،طاهر، طوسی ،محتشم ،ازل ،مشتاق ،زهیری، شیر و شکر شیخ بهایی، میرزا امین شیرازی ،فیاض، نظامی، ترجیع عرفی، بدر جاجرمی، قصیده موسوی خان ،شرر، نجات و طوفان؛ خط: نستعلیق شکسته، کا: تا: قرن ۱۳؛ افتادگی: انجام ؛جلد: تیماج قهوه ای با ترنج و سر ترنج ضربی، ۱۰۵گ، ۱۵ سطر،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[ف:۳-۱۲۵۷]</w:t>
      </w:r>
    </w:p>
    <w:p>
      <w:pPr>
        <w:pStyle w:val="BookText"/>
      </w:pPr>
      <w:r>
        <w:rPr>
          <w:rFonts w:ascii="IRNazanin" w:hAnsi="IRNazanin" w:eastAsia="IRNazanin" w:cs="IRNazanin"/>
          <w:lang w:bidi="fa-IR"/>
          <w:color w:val="111111"/>
          <w:sz w:val="28"/>
          <w:szCs w:val="28"/>
          <w:rtl/>
        </w:rPr>
        <w:t xml:space="preserve">۸۸۰. قم؛ گلپایگانی؛ شماره نسخه: ۷۲۰۷-۳۶/۲۰۷</w:t>
      </w:r>
    </w:p>
    <w:p>
      <w:pPr>
        <w:pStyle w:val="BookText"/>
      </w:pPr>
      <w:r>
        <w:rPr>
          <w:rFonts w:ascii="IRNazanin" w:hAnsi="IRNazanin" w:eastAsia="IRNazanin" w:cs="IRNazanin"/>
          <w:lang w:bidi="fa-IR"/>
          <w:color w:val="111111"/>
          <w:sz w:val="28"/>
          <w:szCs w:val="28"/>
          <w:rtl/>
        </w:rPr>
        <w:t xml:space="preserve">آغاز: بسمله رونق عهد شباب است دگر بستان را *** می رسد مژده گل بلبل خوش الحان را / ای صبا گربه جوانان چمن بازرسی *** خدمت از ما برسان سرو گل و ریحان را؛ انجام: کام یزید داده ای از کشتن حسین *** بنگر که را به قتل که دلشاد کرده ای / ای زاده ،زیاد نکردست هیچ یک *** نمرود این عمل که تو شداد کرده ای</w:t>
      </w:r>
    </w:p>
    <w:p>
      <w:pPr>
        <w:pStyle w:val="BookText"/>
      </w:pPr>
      <w:r>
        <w:rPr>
          <w:rFonts w:ascii="IRNazanin" w:hAnsi="IRNazanin" w:eastAsia="IRNazanin" w:cs="IRNazanin"/>
          <w:lang w:bidi="fa-IR"/>
          <w:color w:val="111111"/>
          <w:sz w:val="28"/>
          <w:szCs w:val="28"/>
          <w:rtl/>
        </w:rPr>
        <w:t xml:space="preserve">بیاضی است شامل منتخب اشعار فارسی از حافظ و سعدی و ...؛خط: نستعلیق، بی کا، تا: قرن ۱۳ ،جلد: تیماج قهوه ای،مجدول گرهی، ۶۹گ، سطور چلیپا ،اندازه: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۳ - ۱۲۳۰]</w:t>
      </w:r>
    </w:p>
    <w:p>
      <w:pPr>
        <w:pStyle w:val="BookText"/>
      </w:pPr>
      <w:r>
        <w:rPr>
          <w:rFonts w:ascii="IRNazanin" w:hAnsi="IRNazanin" w:eastAsia="IRNazanin" w:cs="IRNazanin"/>
          <w:lang w:bidi="fa-IR"/>
          <w:color w:val="111111"/>
          <w:sz w:val="28"/>
          <w:szCs w:val="28"/>
          <w:rtl/>
        </w:rPr>
        <w:t xml:space="preserve">۸۸۱. قم؛ گلپایگانی؛ شماره نسخه: ۳۴۳۵-۱۷/۲۱۵</w:t>
      </w:r>
    </w:p>
    <w:p>
      <w:pPr>
        <w:pStyle w:val="BookText"/>
      </w:pPr>
      <w:r>
        <w:rPr>
          <w:rFonts w:ascii="IRNazanin" w:hAnsi="IRNazanin" w:eastAsia="IRNazanin" w:cs="IRNazanin"/>
          <w:lang w:bidi="fa-IR"/>
          <w:color w:val="111111"/>
          <w:sz w:val="28"/>
          <w:szCs w:val="28"/>
          <w:rtl/>
        </w:rPr>
        <w:t xml:space="preserve">آغاز: تا دامن آن تازه گل از دست برون شد *** چون غنچه دلم به سه آغشته به خون شد / گفتم نکنم مثل جوانان چو شوم پیر*** فریاد که چون پیر شدم حرص فزون شد؛ انجام: کامی به صد حسرت نهان آرام جان گیتی / آدم زشوقت درجهان *** رضوان به یادت در جنان</w:t>
      </w:r>
    </w:p>
    <w:p>
      <w:pPr>
        <w:pStyle w:val="BookText"/>
      </w:pPr>
      <w:r>
        <w:rPr>
          <w:rFonts w:ascii="IRNazanin" w:hAnsi="IRNazanin" w:eastAsia="IRNazanin" w:cs="IRNazanin"/>
          <w:lang w:bidi="fa-IR"/>
          <w:color w:val="111111"/>
          <w:sz w:val="28"/>
          <w:szCs w:val="28"/>
          <w:rtl/>
        </w:rPr>
        <w:t xml:space="preserve">اشعاری از: جامی ،حافظ، محتشم ،مشتاق و چند شاعر دیگر؛
</w:t>
      </w: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 شکسته، نستعلیق، بی کا، تا: قرن ۱۳، جلد: گالینگور نارنجی، ۷۰گ ، ۶ - ۸سطر، قطع: بیاض رقعی، اندازه: 7</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سم [ف ۳ - 1230]</w:t>
      </w:r>
    </w:p>
    <w:p>
      <w:pPr>
        <w:pStyle w:val="BookText"/>
      </w:pPr>
      <w:r>
        <w:rPr>
          <w:rFonts w:ascii="IRNazanin" w:hAnsi="IRNazanin" w:eastAsia="IRNazanin" w:cs="IRNazanin"/>
          <w:lang w:bidi="fa-IR"/>
          <w:color w:val="111111"/>
          <w:sz w:val="28"/>
          <w:szCs w:val="28"/>
          <w:rtl/>
        </w:rPr>
        <w:t xml:space="preserve">۸۸۲. قم؛ مسجد اعظم؛ شماره نسخه: ۳۴۷۲/۲</w:t>
      </w:r>
    </w:p>
    <w:p>
      <w:pPr>
        <w:pStyle w:val="BookText"/>
      </w:pPr>
      <w:r>
        <w:rPr>
          <w:rFonts w:ascii="IRNazanin" w:hAnsi="IRNazanin" w:eastAsia="IRNazanin" w:cs="IRNazanin"/>
          <w:lang w:bidi="fa-IR"/>
          <w:color w:val="111111"/>
          <w:sz w:val="28"/>
          <w:szCs w:val="28"/>
          <w:rtl/>
        </w:rPr>
        <w:t xml:space="preserve">آغاز: هر دو با سلطان شود او همنشین ***بر درش شستن بود حيف وغمين / دست بوسش چون رسید از پادشاه ***گر گزیند بوس پا باشد گناه؛ انجام: گر سر ببری به تیغ تیزم *** از کوی وفات بر نخیزم/ ور زانکه کنند زیر ریزم *** من مهره مهرتو نریزم</w:t>
      </w:r>
    </w:p>
    <w:p>
      <w:pPr>
        <w:pStyle w:val="BookText"/>
      </w:pPr>
      <w:r>
        <w:rPr>
          <w:rFonts w:ascii="IRNazanin" w:hAnsi="IRNazanin" w:eastAsia="IRNazanin" w:cs="IRNazanin"/>
          <w:lang w:bidi="fa-IR"/>
          <w:color w:val="111111"/>
          <w:sz w:val="28"/>
          <w:szCs w:val="28"/>
          <w:rtl/>
        </w:rPr>
        <w:t xml:space="preserve">مجموعه اشعار که از دواوين شعرا انتخاب و بدون نام شـعرا به دنبال هم آورده شده؛ خط: نستعلیق ،بی کا، تا: قرن ۱۳؛ افتادگی: آغاز و انجام؛ ۵۲گ، ۱۰ سطر،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مخ: 2- 601]</w:t>
      </w:r>
    </w:p>
    <w:p>
      <w:pPr>
        <w:pStyle w:val="BookText"/>
      </w:pPr>
      <w:r>
        <w:rPr>
          <w:rFonts w:ascii="IRNazanin" w:hAnsi="IRNazanin" w:eastAsia="IRNazanin" w:cs="IRNazanin"/>
          <w:lang w:bidi="fa-IR"/>
          <w:color w:val="111111"/>
          <w:sz w:val="28"/>
          <w:szCs w:val="28"/>
          <w:rtl/>
        </w:rPr>
        <w:t xml:space="preserve">۸۸۳. قم؛ مسجد اعظم؛ شماره نسخه: ۲۵۷۰/۵</w:t>
      </w:r>
    </w:p>
    <w:p>
      <w:pPr>
        <w:pStyle w:val="BookText"/>
      </w:pPr>
      <w:r>
        <w:rPr>
          <w:rFonts w:ascii="IRNazanin" w:hAnsi="IRNazanin" w:eastAsia="IRNazanin" w:cs="IRNazanin"/>
          <w:lang w:bidi="fa-IR"/>
          <w:color w:val="111111"/>
          <w:sz w:val="28"/>
          <w:szCs w:val="28"/>
          <w:rtl/>
        </w:rPr>
        <w:t xml:space="preserve">آغاز: ای نرم از نسیم وصالت بهارها *** گلچین بوستان رخت گلعذارها؛ انجام: عاشقی چیست دمبدم مردن *** تیغ معشوق بر جگر خوردن</w:t>
      </w:r>
    </w:p>
    <w:p>
      <w:pPr>
        <w:pStyle w:val="BookText"/>
      </w:pPr>
      <w:r>
        <w:rPr>
          <w:rFonts w:ascii="IRNazanin" w:hAnsi="IRNazanin" w:eastAsia="IRNazanin" w:cs="IRNazanin"/>
          <w:lang w:bidi="fa-IR"/>
          <w:color w:val="111111"/>
          <w:sz w:val="28"/>
          <w:szCs w:val="28"/>
          <w:rtl/>
        </w:rPr>
        <w:t xml:space="preserve">مجموعه اشعار و سرودهای شاعران بزرگ و معروف است که به شکل چلیپا کتابت شده؛ خط: نستعلیق، بی کا، تا: قرن13؛  ۱۰۳گ،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مخ: ۲ - ۵۹۷]</w:t>
      </w:r>
    </w:p>
    <w:p>
      <w:pPr>
        <w:pStyle w:val="BookText"/>
      </w:pPr>
      <w:r>
        <w:rPr>
          <w:rFonts w:ascii="IRNazanin" w:hAnsi="IRNazanin" w:eastAsia="IRNazanin" w:cs="IRNazanin"/>
          <w:lang w:bidi="fa-IR"/>
          <w:color w:val="111111"/>
          <w:sz w:val="28"/>
          <w:szCs w:val="28"/>
          <w:rtl/>
        </w:rPr>
        <w:t xml:space="preserve">۸۸۴ . قم؛ مسجد اعظم؛ شماره نسخه: ۳۰۹۵</w:t>
      </w:r>
    </w:p>
    <w:p>
      <w:pPr>
        <w:pStyle w:val="BookText"/>
      </w:pPr>
      <w:r>
        <w:rPr>
          <w:rFonts w:ascii="IRNazanin" w:hAnsi="IRNazanin" w:eastAsia="IRNazanin" w:cs="IRNazanin"/>
          <w:lang w:bidi="fa-IR"/>
          <w:color w:val="111111"/>
          <w:sz w:val="28"/>
          <w:szCs w:val="28"/>
          <w:rtl/>
        </w:rPr>
        <w:t xml:space="preserve">آغاز: هستم زفراق دوست گریان همه شب *** ماننده زلف پریشان همه شب / تنها و غریب و دست در گردن خود *** لب بر لب غم نهاد سوزان همه شب؛ انجام: دیده برداشتن از روی تو مستحسن نیست*** که به تصدیق نظر صاحب [...]</w:t>
      </w:r>
    </w:p>
    <w:p>
      <w:pPr>
        <w:pStyle w:val="BookText"/>
      </w:pPr>
      <w:r>
        <w:rPr>
          <w:rFonts w:ascii="IRNazanin" w:hAnsi="IRNazanin" w:eastAsia="IRNazanin" w:cs="IRNazanin"/>
          <w:lang w:bidi="fa-IR"/>
          <w:color w:val="111111"/>
          <w:sz w:val="28"/>
          <w:szCs w:val="28"/>
          <w:rtl/>
        </w:rPr>
        <w:t xml:space="preserve">مجموعه ای از اشعار و غزلیات و رباعیات شعرای معروف؛ خـط: نستعلیق، بی کا، تا: قرن ۱۳؛ سطور چلیپا ،جلد: تیماج قهوه ای مجدول، ۱۴۹گ، ۴-۵ ،سطر، اندازه: 3</w:t>
      </w:r>
      <w:r>
        <w:rPr>
          <w:rFonts w:ascii="Times New Roman" w:hAnsi="Times New Roman" w:eastAsia="Times New Roman" w:cs="Times New Roman"/>
          <w:lang w:val="en-US" w:bidi="en-US"/>
          <w:color w:val="111111"/>
          <w:sz w:val="28"/>
          <w:szCs w:val="28"/>
          <w:rtl/>
        </w:rPr>
        <w:t xml:space="preserve">×8</w:t>
      </w:r>
      <w:r>
        <w:rPr>
          <w:rFonts w:ascii="IRNazanin" w:hAnsi="IRNazanin" w:eastAsia="IRNazanin" w:cs="IRNazanin"/>
          <w:lang w:bidi="fa-IR"/>
          <w:color w:val="111111"/>
          <w:sz w:val="28"/>
          <w:szCs w:val="28"/>
          <w:rtl/>
        </w:rPr>
        <w:t xml:space="preserve">سم [ف مخ: ۲ - ۵۹۹]</w:t>
      </w:r>
    </w:p>
    <w:p>
      <w:pPr>
        <w:pStyle w:val="BookText"/>
      </w:pPr>
      <w:r>
        <w:rPr>
          <w:rFonts w:ascii="IRNazanin" w:hAnsi="IRNazanin" w:eastAsia="IRNazanin" w:cs="IRNazanin"/>
          <w:lang w:bidi="fa-IR"/>
          <w:color w:val="111111"/>
          <w:sz w:val="28"/>
          <w:szCs w:val="28"/>
          <w:rtl/>
        </w:rPr>
        <w:t xml:space="preserve">۸۸۵. مشهد؛ الهیات؛ شماره نسخه: ۲۲۵۵۸</w:t>
      </w:r>
    </w:p>
    <w:p>
      <w:pPr>
        <w:pStyle w:val="BookText"/>
      </w:pPr>
      <w:r>
        <w:rPr>
          <w:rFonts w:ascii="IRNazanin" w:hAnsi="IRNazanin" w:eastAsia="IRNazanin" w:cs="IRNazanin"/>
          <w:lang w:bidi="fa-IR"/>
          <w:color w:val="111111"/>
          <w:sz w:val="28"/>
          <w:szCs w:val="28"/>
          <w:rtl/>
        </w:rPr>
        <w:t xml:space="preserve">اشعاری است در مدایح و مصایب امامان شامل مخمس از جنـتی، مخمسی از کاشی آملی معاصر علامه ،ترجیع بند در مدح رسـول اکرم (صلّی اللَّهِ علیه وَ آلِهِ وَ سَلَّمَ ) از ابن حسام، قطعه ای از خواجو، ۱۴ معصوم کاشی،قطعه ای از ابن حسام ،خواجو، نظام استرآبادی، موالی ابن حسـام، شاه نعمت الله مرتضائی ،ناصر قصیده شتر حجره ،کاتبی، سنائی، در مدح حضرت صاحب (علیه السّلام) از آذری صدقی ،غازی، کمال پارسی ،اشرف ،میرزا ،ضعیفی ،رهی ،سلیمی ،شریف، قاسم ،کاهی ،برهان، حافظ؛خط: نستعلیق، بی کا، تا: قرن ۱۳؛ کاغذ:الوان، جلد: تیماج عنابی، ۱۴۵گ، ۱۴ سطر (۸/۵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۳ - ۷۴۴]</w:t>
      </w:r>
    </w:p>
    <w:p>
      <w:pPr>
        <w:pStyle w:val="BookText"/>
      </w:pPr>
      <w:r>
        <w:rPr>
          <w:rFonts w:ascii="IRNazanin" w:hAnsi="IRNazanin" w:eastAsia="IRNazanin" w:cs="IRNazanin"/>
          <w:lang w:bidi="fa-IR"/>
          <w:color w:val="111111"/>
          <w:sz w:val="28"/>
          <w:szCs w:val="28"/>
          <w:rtl/>
        </w:rPr>
        <w:t xml:space="preserve">۸۸۶ .قم؛ گلپایگانی؛ شماره نسخه: ۹۰۴۲-۵۹/۲۶۲</w:t>
      </w:r>
    </w:p>
    <w:p>
      <w:pPr>
        <w:pStyle w:val="BookText"/>
      </w:pPr>
      <w:r>
        <w:rPr>
          <w:rFonts w:ascii="IRNazanin" w:hAnsi="IRNazanin" w:eastAsia="IRNazanin" w:cs="IRNazanin"/>
          <w:lang w:bidi="fa-IR"/>
          <w:color w:val="111111"/>
          <w:sz w:val="28"/>
          <w:szCs w:val="28"/>
          <w:rtl/>
        </w:rPr>
        <w:t xml:space="preserve">آغاز: جهد کردیم تا نیالاید *** به خرابات جامه پرهیز/ دست بالای عشق زور آورد *** معرفت را نماند جای ستیز</w:t>
      </w:r>
    </w:p>
    <w:p>
      <w:pPr>
        <w:pStyle w:val="BookText"/>
      </w:pPr>
      <w:r>
        <w:rPr>
          <w:rFonts w:ascii="IRNazanin" w:hAnsi="IRNazanin" w:eastAsia="IRNazanin" w:cs="IRNazanin"/>
          <w:lang w:bidi="fa-IR"/>
          <w:color w:val="111111"/>
          <w:sz w:val="28"/>
          <w:szCs w:val="28"/>
          <w:rtl/>
        </w:rPr>
        <w:t xml:space="preserve">جنگی است شامل اشعاری از شاعران پارسی سرا اغلب، اشـعار سعدی است و اشعاری از چند شاعر دیگر که نامشان ذکر نشـده ؛خط: شکسته، نستعلیق، بی کا، تا: قرن ۱۳؛ افتادگی: آغاز؛ ۶۲گ،8 سطر ،چپلیپایی، قطع: بیاض رقعی، اندازه: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۳- ۱۲۲۳]</w:t>
      </w:r>
    </w:p>
    <w:p>
      <w:pPr>
        <w:pStyle w:val="BookText"/>
      </w:pPr>
      <w:r>
        <w:rPr>
          <w:rFonts w:ascii="IRNazanin" w:hAnsi="IRNazanin" w:eastAsia="IRNazanin" w:cs="IRNazanin"/>
          <w:lang w:bidi="fa-IR"/>
          <w:color w:val="111111"/>
          <w:sz w:val="28"/>
          <w:szCs w:val="28"/>
          <w:rtl/>
        </w:rPr>
        <w:t xml:space="preserve">۸۸۷. مشهد؛ رضوی؛ شماره نسخه: ۱۰۹۲۱</w:t>
      </w:r>
    </w:p>
    <w:p>
      <w:pPr>
        <w:pStyle w:val="BookText"/>
      </w:pPr>
      <w:r>
        <w:rPr>
          <w:rFonts w:ascii="IRNazanin" w:hAnsi="IRNazanin" w:eastAsia="IRNazanin" w:cs="IRNazanin"/>
          <w:lang w:bidi="fa-IR"/>
          <w:color w:val="111111"/>
          <w:sz w:val="28"/>
          <w:szCs w:val="28"/>
          <w:rtl/>
        </w:rPr>
        <w:t xml:space="preserve">آغاز: زلیخا آن ز پا افتاده عشق *** زلیخا آن خراب باده عشق؛</w:t>
      </w:r>
    </w:p>
    <w:p>
      <w:pPr>
        <w:pStyle w:val="BookText"/>
      </w:pPr>
      <w:r>
        <w:rPr>
          <w:rFonts w:ascii="IRNazanin" w:hAnsi="IRNazanin" w:eastAsia="IRNazanin" w:cs="IRNazanin"/>
          <w:lang w:bidi="fa-IR"/>
          <w:color w:val="111111"/>
          <w:sz w:val="28"/>
          <w:szCs w:val="28"/>
          <w:rtl/>
        </w:rPr>
        <w:t xml:space="preserve">انجام: گر جان خشکم بدو تر شود *** که نگار گوهر بگوهرشود</w:t>
      </w:r>
    </w:p>
    <w:p>
      <w:pPr>
        <w:pStyle w:val="BookText"/>
      </w:pPr>
      <w:r>
        <w:rPr>
          <w:rFonts w:ascii="IRNazanin" w:hAnsi="IRNazanin" w:eastAsia="IRNazanin" w:cs="IRNazanin"/>
          <w:lang w:bidi="fa-IR"/>
          <w:color w:val="111111"/>
          <w:sz w:val="28"/>
          <w:szCs w:val="28"/>
          <w:rtl/>
        </w:rPr>
        <w:t xml:space="preserve">اشعاری از: آذر ،نظامی میرزا نصیر، عثمان مختاری، ظهوری، مولانا امیدی، سلمان ساوجی، نظامی گنجوی؛خط: نستعلیق، کا: تا: قرن ۱۳؛ مجدول، واقف: محمد ایرانی مجرد؛ جلد: روغنی دو روی با گل و بوته و عطف چرمی، ۳۵گ، ۱۲ سطر، اندازه: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۹ - ۱۰۶]</w:t>
      </w:r>
    </w:p>
    <w:p>
      <w:pPr>
        <w:pStyle w:val="BookText"/>
      </w:pPr>
      <w:r>
        <w:rPr>
          <w:rFonts w:ascii="IRNazanin" w:hAnsi="IRNazanin" w:eastAsia="IRNazanin" w:cs="IRNazanin"/>
          <w:lang w:bidi="fa-IR"/>
          <w:color w:val="111111"/>
          <w:sz w:val="28"/>
          <w:szCs w:val="28"/>
          <w:rtl/>
        </w:rPr>
        <w:t xml:space="preserve">۸۸۸. مشهد؛ رضوی؛ شماره نسخه: ۴۵۱۳</w:t>
      </w:r>
    </w:p>
    <w:p>
      <w:pPr>
        <w:pStyle w:val="BookText"/>
      </w:pPr>
      <w:r>
        <w:rPr>
          <w:rFonts w:ascii="IRNazanin" w:hAnsi="IRNazanin" w:eastAsia="IRNazanin" w:cs="IRNazanin"/>
          <w:lang w:bidi="fa-IR"/>
          <w:color w:val="111111"/>
          <w:sz w:val="28"/>
          <w:szCs w:val="28"/>
          <w:rtl/>
        </w:rPr>
        <w:t xml:space="preserve">آغاز: بستگی دل بغیر دوست زیانست *** بستن با دوست سودهر دو جهانست؛ انجام: شیخم از میکده سرمست بمسجد آورد *** در ثواب عجبی کرد نگاه عجبی</w:t>
      </w:r>
    </w:p>
    <w:p>
      <w:pPr>
        <w:pStyle w:val="BookText"/>
      </w:pPr>
      <w:r>
        <w:rPr>
          <w:rFonts w:ascii="IRNazanin" w:hAnsi="IRNazanin" w:eastAsia="IRNazanin" w:cs="IRNazanin"/>
          <w:lang w:bidi="fa-IR"/>
          <w:color w:val="111111"/>
          <w:sz w:val="28"/>
          <w:szCs w:val="28"/>
          <w:rtl/>
        </w:rPr>
        <w:t xml:space="preserve">غزلیاتی است از قائم مقام، ناصح ،عاشق، نیاز، مجمر، زرگر، پرتو، يغما ،محرم، جامی ،وامق ،نظامی ،کیا، افسر؛ خط: شکسته نستعلیق، بی کا، تا: نیمه دوم قرن ۱۳، واقف: نایینی؛ کاغذ: فرنگی آبی آسمانی ،جلد: پارچه ای، ۸۷گ، ۱۲ سطر (6/2</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 اندازه: ۱۰/۷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۱۷/۳سم [ف: ۷ - ۲۸۶]</w:t>
      </w:r>
    </w:p>
    <w:p>
      <w:pPr>
        <w:pStyle w:val="BookText"/>
      </w:pPr>
      <w:r>
        <w:rPr>
          <w:rFonts w:ascii="IRNazanin" w:hAnsi="IRNazanin" w:eastAsia="IRNazanin" w:cs="IRNazanin"/>
          <w:lang w:bidi="fa-IR"/>
          <w:color w:val="111111"/>
          <w:sz w:val="28"/>
          <w:szCs w:val="28"/>
          <w:rtl/>
        </w:rPr>
        <w:t xml:space="preserve">۸۸۹. مشهد؛ رضوی؛ شماره نسخه: ۹۳۷۸</w:t>
      </w:r>
    </w:p>
    <w:p>
      <w:pPr>
        <w:pStyle w:val="BookText"/>
      </w:pPr>
      <w:r>
        <w:rPr>
          <w:rFonts w:ascii="IRNazanin" w:hAnsi="IRNazanin" w:eastAsia="IRNazanin" w:cs="IRNazanin"/>
          <w:lang w:bidi="fa-IR"/>
          <w:color w:val="111111"/>
          <w:sz w:val="28"/>
          <w:szCs w:val="28"/>
          <w:rtl/>
        </w:rPr>
        <w:t xml:space="preserve">آغاز: ما ظاهر و پنهانیم از علم علی عالی؛ انجام: آشکار از لب خوشبوی جلال الدین است.</w:t>
      </w:r>
    </w:p>
    <w:p>
      <w:pPr>
        <w:pStyle w:val="BookText"/>
      </w:pPr>
      <w:r>
        <w:rPr>
          <w:rFonts w:ascii="IRNazanin" w:hAnsi="IRNazanin" w:eastAsia="IRNazanin" w:cs="IRNazanin"/>
          <w:lang w:bidi="fa-IR"/>
          <w:color w:val="111111"/>
          <w:sz w:val="28"/>
          <w:szCs w:val="28"/>
          <w:rtl/>
        </w:rPr>
        <w:t xml:space="preserve">جنگ اشعار عرفانی از شعرای سلسله ذهبی است در منقبت مولای متقیان و جلال الدین مجد الاشراف قطب سلسله مزبور و قسمت اعظم آن از میرزا ابوالقاسم راز شیرازی است؛ خط: نستعلیق، بی کا، تا: قرن ۱۳؛ واقف: حاج شمس الدین پرویزی، در ۱۳۴۴؛ کاغذ: فرنگی، جلد: تیماج عنابی یک لا، ۱۱۱گ، ۱۴ سطر (۷/۵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۱۵/۳) اندازه: ۱۰/۲۰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۱۷/۳سم [ف: ۷ - ۲۹۵]</w:t>
      </w:r>
    </w:p>
    <w:p>
      <w:pPr>
        <w:pStyle w:val="BookText"/>
      </w:pPr>
      <w:r>
        <w:rPr>
          <w:rFonts w:ascii="IRNazanin" w:hAnsi="IRNazanin" w:eastAsia="IRNazanin" w:cs="IRNazanin"/>
          <w:lang w:bidi="fa-IR"/>
          <w:color w:val="111111"/>
          <w:sz w:val="28"/>
          <w:szCs w:val="28"/>
          <w:rtl/>
        </w:rPr>
        <w:t xml:space="preserve">۸۹۰. تهران؛ ملک؛ شماره نسخه: ۳۷۰۴/۳</w:t>
      </w:r>
    </w:p>
    <w:p>
      <w:pPr>
        <w:pStyle w:val="BookText"/>
      </w:pPr>
      <w:r>
        <w:rPr>
          <w:rFonts w:ascii="IRNazanin" w:hAnsi="IRNazanin" w:eastAsia="IRNazanin" w:cs="IRNazanin"/>
          <w:lang w:bidi="fa-IR"/>
          <w:color w:val="111111"/>
          <w:sz w:val="28"/>
          <w:szCs w:val="28"/>
          <w:rtl/>
        </w:rPr>
        <w:t xml:space="preserve">خط: شکسته نستعلیق، بی کا، تا: قرن ۱۳؛ مجدول؛ کاغذ: پسته ای، جلد: قهوه ای،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۲۱/۷سم [ف: ۷ - ۳۲]</w:t>
      </w:r>
    </w:p>
    <w:p>
      <w:pPr>
        <w:pStyle w:val="BookText"/>
      </w:pPr>
      <w:r>
        <w:rPr>
          <w:rFonts w:ascii="IRNazanin" w:hAnsi="IRNazanin" w:eastAsia="IRNazanin" w:cs="IRNazanin"/>
          <w:lang w:bidi="fa-IR"/>
          <w:color w:val="111111"/>
          <w:sz w:val="28"/>
          <w:szCs w:val="28"/>
          <w:rtl/>
        </w:rPr>
        <w:t xml:space="preserve">۸۹۱. تهران؛ ملک؛ شماره نسخه: ۴۷۱۷</w:t>
      </w:r>
    </w:p>
    <w:p>
      <w:pPr>
        <w:pStyle w:val="BookText"/>
      </w:pPr>
      <w:r>
        <w:rPr>
          <w:rFonts w:ascii="IRNazanin" w:hAnsi="IRNazanin" w:eastAsia="IRNazanin" w:cs="IRNazanin"/>
          <w:lang w:bidi="fa-IR"/>
          <w:color w:val="111111"/>
          <w:sz w:val="28"/>
          <w:szCs w:val="28"/>
          <w:rtl/>
        </w:rPr>
        <w:t xml:space="preserve">آغاز: از قصاید است من حروف الالف. عاشق اصفهانی: بسمله. تاجر عشقم بكف ما یه سودم وفا؛ انجام: آنی تو که حال دل نالان دانی *** احوال دل شکسته نالان دانی (؟)</w:t>
      </w:r>
    </w:p>
    <w:p>
      <w:pPr>
        <w:pStyle w:val="BookText"/>
      </w:pPr>
      <w:r>
        <w:rPr>
          <w:rFonts w:ascii="IRNazanin" w:hAnsi="IRNazanin" w:eastAsia="IRNazanin" w:cs="IRNazanin"/>
          <w:lang w:bidi="fa-IR"/>
          <w:color w:val="111111"/>
          <w:sz w:val="28"/>
          <w:szCs w:val="28"/>
          <w:rtl/>
        </w:rPr>
        <w:t xml:space="preserve">شامل: ۱- قصاید به ترتیب حروف تهجی قافیه ها ،۲- غزلیات، ۳- مقطعات، ۴- رباعیات به ترتیب تهجی چند مورد از تذکره لطفعلی بیگ آذر نقل کرده؛ خط: نستعلیق، بی کا، تا: قرن ۱۳؛ با یادداشتی از محمد رحیم الموسوی که به عنوان مشایعت خدمت مقرب الخاقان خواجه عبدالله خان رسیده بود به تاریخ ۱۲۵۸، در متن و هامش، با یادداشتی به تاریخ ۱۲۵۸ مبنی بر این که این جنگ مسمی به «شعله» است؛ کاغذ: نوعی ترمه، جلد: رویه میشن ضربی سیاه ،۱۸۶گ، مختلف السطر، اندازه: ۱۷/۲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۲۸/۲سم [ف: ۸ - ۶۴]
</w:t>
      </w: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۸۹۲. تهران؛ ملی؛ شماره نسخه: ۲۵۰۷</w:t>
      </w:r>
    </w:p>
    <w:p>
      <w:pPr>
        <w:pStyle w:val="BookText"/>
      </w:pPr>
      <w:r>
        <w:rPr>
          <w:rFonts w:ascii="IRNazanin" w:hAnsi="IRNazanin" w:eastAsia="IRNazanin" w:cs="IRNazanin"/>
          <w:lang w:bidi="fa-IR"/>
          <w:color w:val="111111"/>
          <w:sz w:val="28"/>
          <w:szCs w:val="28"/>
          <w:rtl/>
        </w:rPr>
        <w:t xml:space="preserve">آغاز: ای بند بلا دیده و از بند بجسته*** مردانه شده آمده برصدر نشیته ؛انجام: هر کجا پای نهی زود بران یابی دست ***هر چاه دست زنی زود فرا آری چنگ.</w:t>
      </w:r>
    </w:p>
    <w:p>
      <w:pPr>
        <w:pStyle w:val="BookText"/>
      </w:pPr>
      <w:r>
        <w:rPr>
          <w:rFonts w:ascii="IRNazanin" w:hAnsi="IRNazanin" w:eastAsia="IRNazanin" w:cs="IRNazanin"/>
          <w:lang w:bidi="fa-IR"/>
          <w:color w:val="111111"/>
          <w:sz w:val="28"/>
          <w:szCs w:val="28"/>
          <w:rtl/>
        </w:rPr>
        <w:t xml:space="preserve">جنگی شامل: اشعار رودکی (ص ۱-۲۰)، لیلی و مجنون نامی( قسمتی از آن) (۲۹-۳۳) قصاید حکیم قطران (۳۳-(۴۴) ، اشعاری (قصائد و ترکیب بند و رباعی) از عثمان مختاری (45- 70) اشعاری از فتح الله خان کاشانی متخلص به ابونصر شیبانی (71- ۷۴) اشعاری از لامعی گرگانی (۷۵-۹۹)، اشعاری از شوریده شیرازی فصیح الملک (۱۰۱-۱۹۳)؛ خط: شکسته نستعلیق، بی کا، تا: قرن ۱۳ ؛جا: طهران ؛کاغذ: فرنگی ،جلد: تیماج تریاکی، ۹۷ گ، ۲۱ سطر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۶ - ۷]</w:t>
      </w:r>
    </w:p>
    <w:p>
      <w:pPr>
        <w:pStyle w:val="BookText"/>
      </w:pPr>
      <w:r>
        <w:rPr>
          <w:rFonts w:ascii="IRNazanin" w:hAnsi="IRNazanin" w:eastAsia="IRNazanin" w:cs="IRNazanin"/>
          <w:lang w:bidi="fa-IR"/>
          <w:color w:val="111111"/>
          <w:sz w:val="28"/>
          <w:szCs w:val="28"/>
          <w:rtl/>
        </w:rPr>
        <w:t xml:space="preserve">۸۹۳. تهران؛ ملی؛ شماره نسخه: ۲۲۲۲/۵</w:t>
      </w:r>
    </w:p>
    <w:p>
      <w:pPr>
        <w:pStyle w:val="BookText"/>
      </w:pPr>
      <w:r>
        <w:rPr>
          <w:rFonts w:ascii="IRNazanin" w:hAnsi="IRNazanin" w:eastAsia="IRNazanin" w:cs="IRNazanin"/>
          <w:lang w:bidi="fa-IR"/>
          <w:color w:val="111111"/>
          <w:sz w:val="28"/>
          <w:szCs w:val="28"/>
          <w:rtl/>
        </w:rPr>
        <w:t xml:space="preserve">جنگی شامل: قصاید نظام و مرتب بر حسب ترتيب حروف الفبـایی آخر قوافی از الف تا نون و بیشتر در حمد خدا و نعت اولیاء دین (ص 263-302)، قصیده ای به قافیه میم از حاجی بنان السلطنه دعوای اکراد (۳۰۲-۳۰۴) سه قطعه شعر یکی به ردیف «کشیـده و دیگری به ردیف «را» و سومی به قافیه «شین» (۳۰۵-۳۰۶)؛دو قطعه شعر به خط حمایلی یکی به قافیه «ئیم» و دیگری به ردی «این)) (۳۰۷-۳۰۸)؛ سه ترجیع بند یکی از ناصر خسرو و دیگری عراقی و سومی از شاه نعمت الله ولی (۳۱۱ - ۳۲۵)؛ مناجات شيرین از نظامی گنجوی (۳۲۷-۳۳۰) چند قطعه مثنوی که بعضی از آن از جامی است (۳۳۹-۳۴۵) اشعاری از قاآنی (۳۴۵-۹۳ )،اشعاری که بیشتر مثنوی استظاهراً از «یوسف» نامی (396- ۴۱۲) دوبیتی هایی از بابا طاهر عریان (۴۳۸-۴۴۱)؛ قصایدی انوری ابیوردی (۴۴۱-۴۴۹) اشعاری از خاقانی (۴۴۹-۴۶۲)؛ قصیده از لشکر نویس باشی (۴۶۲-۴۷۰)؛ مثنوی از «سامی» (471- ۴۷۵ )،مثنوی عرفانی در حمد خدا و ناتمام (۴۷۶-۵۱۱)، مثنوی مولانا ملا احمد نراقی (۵۱۳-۵۲۲) مثنوی درباره مناجات موسی(علیه السّلام) قصیده ای در مدح علی (علیه السّلام) (۵۲۴ - 522) مخمسی در منقبت علی (علیه السّلام) (۵۲۵-۵۲۷) ، قصیده ای به قافیه «نون» از شریف ،(۵۲۸-۶۳۴) نصیحت صبای اصفهانی (534- 540) غزلیات و اشعاری از سید السند المهدى النواب (540- 545) اشعاری از دشت بیاضی (۵۴۶-۵۴۷) غزلیاتی از طرزی افشار (۵۵۶-۵۴۸)، منظومه ای ظاهراً از حسینقلی بهادر (566-568)، قصیده ای به قافیه «راء» در مدح علی (علیه السّلام)(۵۶۶-۵۶۸)، قصیده ای عربی از تقی طباطبائی بن ابوالقاسم شیخ الاسلام آذربایگان (۵۸۸-۵۶۹)، مثنوی به زبان عربی و فکاهی (۵۸۹-۵۹۹)، اشعار عربی از مقامات حریری (مقاله سوم) (۵۹۱-۵۹۲) ، اشعاری عربی از قائم مقام فراهانی (۵۹۱-۵۹۴) چند نثر و چند قطعه خط خوش (۶۰۳-۵۹۴)، قطعه ای از محمد حسن لشکر نویس باشی ملقب به مؤيد نظام تفرشی و متخلص به عشقی در مدح علی (علیه السّلام) (590-۶۰۰ )،یک مثنوی عرفانی در عشق الهی (۶۱۹-۶۲۱)؛ خط:  شکسته نستعلیق خوش، بی کا، تا: قرن ۱۳؛ کاغذ: فرنگی (الوان)،جلد: تیماج قرمز، ۳۶۳ ص، ۱۵ سطر (۶/۵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اندازه:۱۳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۵ - ۳۲۶]</w:t>
      </w:r>
    </w:p>
    <w:p>
      <w:pPr>
        <w:pStyle w:val="BookText"/>
      </w:pPr>
      <w:r>
        <w:rPr>
          <w:rFonts w:ascii="IRNazanin" w:hAnsi="IRNazanin" w:eastAsia="IRNazanin" w:cs="IRNazanin"/>
          <w:lang w:bidi="fa-IR"/>
          <w:color w:val="111111"/>
          <w:sz w:val="28"/>
          <w:szCs w:val="28"/>
          <w:rtl/>
        </w:rPr>
        <w:t xml:space="preserve">۸۹۴. تهران؛ ملک؛ شماره نسخه: ۵۱۷۲</w:t>
      </w:r>
    </w:p>
    <w:p>
      <w:pPr>
        <w:pStyle w:val="BookText"/>
      </w:pPr>
      <w:r>
        <w:rPr>
          <w:rFonts w:ascii="IRNazanin" w:hAnsi="IRNazanin" w:eastAsia="IRNazanin" w:cs="IRNazanin"/>
          <w:lang w:bidi="fa-IR"/>
          <w:color w:val="111111"/>
          <w:sz w:val="28"/>
          <w:szCs w:val="28"/>
          <w:rtl/>
        </w:rPr>
        <w:t xml:space="preserve">جنگ شعرهای پراکنده فارسی که نامی از سرایندگان آنها در آن برده نشده است؛ خط: شکسته، بی کا، تا: قرن ۱۳؛ کاغذ: فرنگی ،رنگارنگ، جلد: میشن لایی قهوه ای، ۳۵گ، ۱۳ سطر،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۲۰/۲سم [ف: ۸ - ۲۳۴]</w:t>
      </w:r>
    </w:p>
    <w:p>
      <w:pPr>
        <w:pStyle w:val="BookText"/>
      </w:pPr>
      <w:r>
        <w:rPr>
          <w:rFonts w:ascii="IRNazanin" w:hAnsi="IRNazanin" w:eastAsia="IRNazanin" w:cs="IRNazanin"/>
          <w:lang w:bidi="fa-IR"/>
          <w:color w:val="111111"/>
          <w:sz w:val="28"/>
          <w:szCs w:val="28"/>
          <w:rtl/>
        </w:rPr>
        <w:t xml:space="preserve">۸۹۵. تهران؛ ملی؛ شماره نسخه: ۲۵۷۹/۱</w:t>
      </w:r>
    </w:p>
    <w:p>
      <w:pPr>
        <w:pStyle w:val="BookText"/>
      </w:pPr>
      <w:r>
        <w:rPr>
          <w:rFonts w:ascii="IRNazanin" w:hAnsi="IRNazanin" w:eastAsia="IRNazanin" w:cs="IRNazanin"/>
          <w:lang w:bidi="fa-IR"/>
          <w:color w:val="111111"/>
          <w:sz w:val="28"/>
          <w:szCs w:val="28"/>
          <w:rtl/>
        </w:rPr>
        <w:t xml:space="preserve">آغاز: آیا خلاصه تقدیر در ظهور قدر *** دمی زعالم تحقیق ذات خود بنگر؛ انجام: یا عظیم فرحاً ان نلت مصبها *** بحسن فهم وتدبیر و تنبیه</w:t>
      </w:r>
    </w:p>
    <w:p>
      <w:pPr>
        <w:pStyle w:val="BookText"/>
      </w:pPr>
      <w:r>
        <w:rPr>
          <w:rFonts w:ascii="IRNazanin" w:hAnsi="IRNazanin" w:eastAsia="IRNazanin" w:cs="IRNazanin"/>
          <w:lang w:bidi="fa-IR"/>
          <w:color w:val="111111"/>
          <w:sz w:val="28"/>
          <w:szCs w:val="28"/>
          <w:rtl/>
        </w:rPr>
        <w:t xml:space="preserve">در این جنگ از شاعران زیر شعری و یا قطعه و یا قصیده ای آمده است: بدیعی طوسی، عارف رومی، هر قل هندی، ابن عمویه، حضرت سلطان ولد، مولانا امامی هروی،ابو علی سینا، شاه نعمت الله ولی، فخر رازی، زاهد گیلانی، ذوالنون مصری، حکیم سنائی، خالد بن يزيد؛ خط: نسخ، بی کا، تا: محتملاً قرن ۱۳؛ کاغذ: فرنگی ،جلد: تیماج قهوه ای مقوایی، ۴۵ ص (۱-۴۵)، ۲۰ سطر (8</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۶ - ۱۰۰]</w:t>
      </w:r>
    </w:p>
    <w:p>
      <w:pPr>
        <w:pStyle w:val="BookText"/>
      </w:pPr>
      <w:r>
        <w:rPr>
          <w:rFonts w:ascii="IRNazanin" w:hAnsi="IRNazanin" w:eastAsia="IRNazanin" w:cs="IRNazanin"/>
          <w:lang w:bidi="fa-IR"/>
          <w:color w:val="111111"/>
          <w:sz w:val="28"/>
          <w:szCs w:val="28"/>
          <w:rtl/>
        </w:rPr>
        <w:t xml:space="preserve">۸۹۶. تهران؛ ملی؛ شماره نسخه: ۲۴۵۷/۱۵</w:t>
      </w:r>
    </w:p>
    <w:p>
      <w:pPr>
        <w:pStyle w:val="BookText"/>
      </w:pPr>
      <w:r>
        <w:rPr>
          <w:rFonts w:ascii="IRNazanin" w:hAnsi="IRNazanin" w:eastAsia="IRNazanin" w:cs="IRNazanin"/>
          <w:lang w:bidi="fa-IR"/>
          <w:color w:val="111111"/>
          <w:sz w:val="28"/>
          <w:szCs w:val="28"/>
          <w:rtl/>
        </w:rPr>
        <w:t xml:space="preserve">جنگی شامل ترجیع بند ناصر خسرو به مطلع: «ای رخت آفتاب کشور دل *** تاب زلفت مه منور دل» (۷۷۳-۷۷۶)، ترجیع بند شیخ عراقی به مطلع: «اكوس تلئلات بمدام *** ام شموس تهللت بغمام (۷۷۷-۷۸۱) ترجیع بند شاه نعمت الله ولی به مطلع: «ای ز مهرت دل خراب آباد*** و زغمت جان مستمندان شاد (۷۸۱ -۷۸۵)، ترجیع بند ،خواجو به مطلع: «ای غمت مرغ آشیانه دل ***خال و زلف تو دام و دانه دل» (۷۹۰-۷۸۵)، ترجیع بند هاتف به مطلع: «ای فدای تو همدل و هم جان *** وی نثار رهت همین و همان (۷۹۰-۷۹۷)، اشعاری از شیخ بهاء الدین و قطعه ای در عشق قطعه ای در قناعت (797 - ۸۱۰)؛ خط:نستعلیق، بی کا، تا: محتملا قرن ۱۳؛ کاغذ ،فرنگی ،جلد: تیماج قرمز، ۳۷ ص (۷۷۳-۸۱۰)، ۲۱ سطر (۵/۵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۵ - ۶۱۰]</w:t>
      </w:r>
    </w:p>
    <w:p>
      <w:pPr>
        <w:pStyle w:val="BookText"/>
      </w:pPr>
      <w:r>
        <w:rPr>
          <w:rFonts w:ascii="IRNazanin" w:hAnsi="IRNazanin" w:eastAsia="IRNazanin" w:cs="IRNazanin"/>
          <w:lang w:bidi="fa-IR"/>
          <w:color w:val="111111"/>
          <w:sz w:val="28"/>
          <w:szCs w:val="28"/>
          <w:rtl/>
        </w:rPr>
        <w:t xml:space="preserve">۸۹۷. تهران؛ ملک؛ شماره نسخه: ۵۴۸۱</w:t>
      </w:r>
    </w:p>
    <w:p>
      <w:pPr>
        <w:pStyle w:val="BookText"/>
      </w:pPr>
      <w:r>
        <w:rPr>
          <w:rFonts w:ascii="IRNazanin" w:hAnsi="IRNazanin" w:eastAsia="IRNazanin" w:cs="IRNazanin"/>
          <w:lang w:bidi="fa-IR"/>
          <w:color w:val="111111"/>
          <w:sz w:val="28"/>
          <w:szCs w:val="28"/>
          <w:rtl/>
        </w:rPr>
        <w:t xml:space="preserve">جنگی شامل اشعاری از احمد بن یوسف المنازى، شيخ محمد البلادى، عمر بن أبي ربيعة ،متنبی، سید رضی، اصمعی، تقی الدین بن حجة محمودى، علاقة بن بناته، ابوجعفر المهلبي، ابوجعفر مسعود بن الحسن العباسی، عمر بن ابی ربیعه، احمد بن يحيى النحوى و جز آنها ؛خط: نسخ، بی کا، تا: قرن ۱۳، بی  تاریخ؛ افتادگی: انجام؛ کاغذ: فرنگی، ۲۰گ، ۱۴ سطر، اندازه: ۱۶/۸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۸ - ۴۰۱]</w:t>
      </w:r>
    </w:p>
    <w:p>
      <w:pPr>
        <w:pStyle w:val="BookText"/>
      </w:pPr>
      <w:r>
        <w:rPr>
          <w:rFonts w:ascii="IRNazanin" w:hAnsi="IRNazanin" w:eastAsia="IRNazanin" w:cs="IRNazanin"/>
          <w:lang w:bidi="fa-IR"/>
          <w:color w:val="111111"/>
          <w:sz w:val="28"/>
          <w:szCs w:val="28"/>
          <w:rtl/>
        </w:rPr>
        <w:t xml:space="preserve">۸۹۸. تهران؛ ملک شماره نسخه: ۵۵۵۶</w:t>
      </w:r>
    </w:p>
    <w:p>
      <w:pPr>
        <w:pStyle w:val="BookText"/>
      </w:pPr>
      <w:r>
        <w:rPr>
          <w:rFonts w:ascii="IRNazanin" w:hAnsi="IRNazanin" w:eastAsia="IRNazanin" w:cs="IRNazanin"/>
          <w:lang w:bidi="fa-IR"/>
          <w:color w:val="111111"/>
          <w:sz w:val="28"/>
          <w:szCs w:val="28"/>
          <w:rtl/>
        </w:rPr>
        <w:t xml:space="preserve">شامل گزیده اشعاری از: امیر معزی، کمال الدین اسمعیل، ازرقی هروی؛ خط: نستعلیق و شکسته نستعلیق، بی کا، تا: قرن ۱۳؛ خطوط
</w:t>
      </w:r>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مختلف راسته و چلیپا ؛جلد: میشن قهوه ای لائی بیاضی، ۱۴۷گ، اندازه: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۱۵/۵سم [ف: ۸ - ۴۱۷]</w:t>
      </w:r>
    </w:p>
    <w:p>
      <w:pPr>
        <w:pStyle w:val="BookText"/>
      </w:pPr>
      <w:r>
        <w:rPr>
          <w:rFonts w:ascii="IRNazanin" w:hAnsi="IRNazanin" w:eastAsia="IRNazanin" w:cs="IRNazanin"/>
          <w:lang w:bidi="fa-IR"/>
          <w:color w:val="111111"/>
          <w:sz w:val="28"/>
          <w:szCs w:val="28"/>
          <w:rtl/>
        </w:rPr>
        <w:t xml:space="preserve">899.تهران؛ ملک؛ شماره نسخه: ۵۵۵۷</w:t>
      </w:r>
    </w:p>
    <w:p>
      <w:pPr>
        <w:pStyle w:val="BookText"/>
      </w:pPr>
      <w:r>
        <w:rPr>
          <w:rFonts w:ascii="IRNazanin" w:hAnsi="IRNazanin" w:eastAsia="IRNazanin" w:cs="IRNazanin"/>
          <w:lang w:bidi="fa-IR"/>
          <w:color w:val="111111"/>
          <w:sz w:val="28"/>
          <w:szCs w:val="28"/>
          <w:rtl/>
        </w:rPr>
        <w:t xml:space="preserve">گزیده اشعار و بندهایی است از: عرفی شیرازی ،صائب، جامی، یوسف و زلیخای جامی، تاریخ عمارت جهان نمای هرات، بوستان سعدی ،نظامی، پند و اندرز (به نثر)، گلستان سعدی، آذری، صفی قلی خان، رضی الدین نیشابوری، کلیم کاشانی؛خط: شکسته نستعلیق چلیپا، بی کا، تا: قرن ۱۳ ؛کاغذ: تـرمه اصفهانی، جلد: میشن قهوه ای لائی، ۹۵گ، مختلف السطر ، قطع: بیاض رقعی، اندازه: 9/1</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۱۷سم [ف: ۸ - ۴۱۷]</w:t>
      </w:r>
    </w:p>
    <w:p>
      <w:pPr>
        <w:pStyle w:val="BookText"/>
      </w:pPr>
      <w:r>
        <w:rPr>
          <w:rFonts w:ascii="IRNazanin" w:hAnsi="IRNazanin" w:eastAsia="IRNazanin" w:cs="IRNazanin"/>
          <w:lang w:bidi="fa-IR"/>
          <w:color w:val="111111"/>
          <w:sz w:val="28"/>
          <w:szCs w:val="28"/>
          <w:rtl/>
        </w:rPr>
        <w:t xml:space="preserve">۹۰۰. تهران؛ دانشگاه؛ شماره نسخه: ۱۶۰۸/۴</w:t>
      </w:r>
    </w:p>
    <w:p>
      <w:pPr>
        <w:pStyle w:val="BookText"/>
      </w:pPr>
      <w:r>
        <w:rPr>
          <w:rFonts w:ascii="IRNazanin" w:hAnsi="IRNazanin" w:eastAsia="IRNazanin" w:cs="IRNazanin"/>
          <w:lang w:bidi="fa-IR"/>
          <w:color w:val="111111"/>
          <w:sz w:val="28"/>
          <w:szCs w:val="28"/>
          <w:rtl/>
        </w:rPr>
        <w:t xml:space="preserve">جنگ اشعار نورعلی شاه ،فروغی، صدر الممالك ،وصال، شـیخ زاده، فدایی لاهیجی، عبدالرزاق فیاض لاهیجی، سید معین الدین ،قاسم الانوار تبریزی، ابوطالب کلیم کاشانی، آذی طوسی، امیدی تهرانی، شیخ بهایی ،جامی ،حافظ، فیض کاشانی، شهیدی قمی،شاپور تهرانی، صایب تبریزی، عرفی شیرازی، غزالی مشهدی ؛خط: نستعلیق، بی کا، تا: قرن ۱۳ ؛کاغذ: سپاهانی و نخودی و فرنگی کبود، جلد: تیماج مشکی، ۵۱ص (۱۳-۶۴)، اندازه:</w:t>
      </w:r>
    </w:p>
    <w:p>
      <w:pPr>
        <w:pStyle w:val="BookText"/>
      </w:pPr>
      <w:r>
        <w:rPr>
          <w:rFonts w:ascii="IRNazanin" w:hAnsi="IRNazanin" w:eastAsia="IRNazanin" w:cs="IRNazanin"/>
          <w:lang w:bidi="fa-IR"/>
          <w:color w:val="111111"/>
          <w:sz w:val="28"/>
          <w:szCs w:val="28"/>
          <w:rtl/>
        </w:rPr>
        <w:t xml:space="preserve">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۸ - ۲۰۱]</w:t>
      </w:r>
    </w:p>
    <w:p>
      <w:pPr>
        <w:pStyle w:val="BookText"/>
      </w:pPr>
      <w:r>
        <w:rPr>
          <w:rFonts w:ascii="IRNazanin" w:hAnsi="IRNazanin" w:eastAsia="IRNazanin" w:cs="IRNazanin"/>
          <w:lang w:bidi="fa-IR"/>
          <w:color w:val="111111"/>
          <w:sz w:val="28"/>
          <w:szCs w:val="28"/>
          <w:rtl/>
        </w:rPr>
        <w:t xml:space="preserve">۹۰۱ . شیراز؛ شاهچراغ؛ شماره نسخه: ۲۰۵۲</w:t>
      </w:r>
    </w:p>
    <w:p>
      <w:pPr>
        <w:pStyle w:val="BookText"/>
      </w:pPr>
      <w:r>
        <w:rPr>
          <w:rFonts w:ascii="IRNazanin" w:hAnsi="IRNazanin" w:eastAsia="IRNazanin" w:cs="IRNazanin"/>
          <w:lang w:bidi="fa-IR"/>
          <w:color w:val="111111"/>
          <w:sz w:val="28"/>
          <w:szCs w:val="28"/>
          <w:rtl/>
        </w:rPr>
        <w:t xml:space="preserve">جنگ اشعار است؛ خط: نستعلیق شکسته زیبا، بی کا، تا: قرن 13؛ افتادگی: آغاز و انجام؛ مجدول ؛اندازه: ۶/۵</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۱۴سم [ف: ۳ - 26]</w:t>
      </w:r>
    </w:p>
    <w:p>
      <w:pPr>
        <w:pStyle w:val="BookText"/>
      </w:pPr>
      <w:r>
        <w:rPr>
          <w:rFonts w:ascii="IRNazanin" w:hAnsi="IRNazanin" w:eastAsia="IRNazanin" w:cs="IRNazanin"/>
          <w:lang w:bidi="fa-IR"/>
          <w:color w:val="111111"/>
          <w:sz w:val="28"/>
          <w:szCs w:val="28"/>
          <w:rtl/>
        </w:rPr>
        <w:t xml:space="preserve">۹۰۲ . شیراز؛ شاهچراغ؛ شماره نسخه: ۱۰۲۲</w:t>
      </w:r>
    </w:p>
    <w:p>
      <w:pPr>
        <w:pStyle w:val="BookText"/>
      </w:pPr>
      <w:r>
        <w:rPr>
          <w:rFonts w:ascii="IRNazanin" w:hAnsi="IRNazanin" w:eastAsia="IRNazanin" w:cs="IRNazanin"/>
          <w:lang w:bidi="fa-IR"/>
          <w:color w:val="111111"/>
          <w:sz w:val="28"/>
          <w:szCs w:val="28"/>
          <w:rtl/>
        </w:rPr>
        <w:t xml:space="preserve">جنگ اشعار است؛ خط: نستعلیق، بی کا، تا: قرن ۱۳؛ ۲۴گ،اندازه: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۱۴/۵سم [ف: ۳ - ۲۷]</w:t>
      </w:r>
    </w:p>
    <w:p>
      <w:pPr>
        <w:pStyle w:val="BookText"/>
      </w:pPr>
      <w:r>
        <w:rPr>
          <w:rFonts w:ascii="Times New Roman" w:hAnsi="Times New Roman" w:eastAsia="Times New Roman" w:cs="Times New Roman"/>
          <w:lang w:val="en-US" w:bidi="en-US"/>
          <w:color w:val="111111"/>
          <w:sz w:val="28"/>
          <w:szCs w:val="28"/>
          <w:rtl/>
        </w:rPr>
        <w:t xml:space="preserve">903.</w:t>
      </w:r>
    </w:p>
    <w:p>
      <w:pPr>
        <w:pStyle w:val="BookText"/>
      </w:pPr>
      <w:r>
        <w:rPr>
          <w:rFonts w:ascii="IRNazanin" w:hAnsi="IRNazanin" w:eastAsia="IRNazanin" w:cs="IRNazanin"/>
          <w:lang w:bidi="fa-IR"/>
          <w:color w:val="111111"/>
          <w:sz w:val="28"/>
          <w:szCs w:val="28"/>
          <w:rtl/>
        </w:rPr>
        <w:t xml:space="preserve">تهران؛ ملک؛ شماره نسخه: ۳۷۰۴/۱</w:t>
      </w:r>
    </w:p>
    <w:p>
      <w:pPr>
        <w:pStyle w:val="BookText"/>
      </w:pPr>
      <w:r>
        <w:rPr>
          <w:rFonts w:ascii="IRNazanin" w:hAnsi="IRNazanin" w:eastAsia="IRNazanin" w:cs="IRNazanin"/>
          <w:lang w:bidi="fa-IR"/>
          <w:color w:val="111111"/>
          <w:sz w:val="28"/>
          <w:szCs w:val="28"/>
          <w:rtl/>
        </w:rPr>
        <w:t xml:space="preserve">جنگ اشعار است. پراکنده یک بیتی و گزیده از غزلیات و منظومه ها؛ خط: شکسته نستعلیق، بی کا، تا: قرن ۱۳ [ف: ۷ - ۳۲]</w:t>
      </w:r>
    </w:p>
    <w:p>
      <w:pPr>
        <w:pStyle w:val="BookText"/>
      </w:pPr>
      <w:r>
        <w:rPr>
          <w:rFonts w:ascii="IRNazanin" w:hAnsi="IRNazanin" w:eastAsia="IRNazanin" w:cs="IRNazanin"/>
          <w:lang w:bidi="fa-IR"/>
          <w:color w:val="111111"/>
          <w:sz w:val="28"/>
          <w:szCs w:val="28"/>
          <w:rtl/>
        </w:rPr>
        <w:t xml:space="preserve">۹۰۴ . قم؛ گلپایگانی؛ شماره نسخه: ۳۴۱۵-۱۷/۱۹۵</w:t>
      </w:r>
    </w:p>
    <w:p>
      <w:pPr>
        <w:pStyle w:val="BookText"/>
      </w:pPr>
      <w:r>
        <w:rPr>
          <w:rFonts w:ascii="IRNazanin" w:hAnsi="IRNazanin" w:eastAsia="IRNazanin" w:cs="IRNazanin"/>
          <w:lang w:bidi="fa-IR"/>
          <w:color w:val="111111"/>
          <w:sz w:val="28"/>
          <w:szCs w:val="28"/>
          <w:rtl/>
        </w:rPr>
        <w:t xml:space="preserve">آغاز: دی اسب مرا گفت در اینت چه شک است*** که اصطبل تو از زاویه های فلک است / نه آب در او نه سبزه نه کاه نه جو*** این جای ستور نیست جای ملک است؛ انجام: چون بیفزاید می توفیق را *** قوت می بشکند ابریق را / آب گردد ساقی وهم مست آب *** ختم شد والله اعلم بالصواب</w:t>
      </w:r>
    </w:p>
    <w:p>
      <w:pPr>
        <w:pStyle w:val="BookText"/>
      </w:pPr>
      <w:r>
        <w:rPr>
          <w:rFonts w:ascii="IRNazanin" w:hAnsi="IRNazanin" w:eastAsia="IRNazanin" w:cs="IRNazanin"/>
          <w:lang w:bidi="fa-IR"/>
          <w:color w:val="111111"/>
          <w:sz w:val="28"/>
          <w:szCs w:val="28"/>
          <w:rtl/>
        </w:rPr>
        <w:t xml:space="preserve">شامل اشعاری از: سعدی ،حافظ، ملای روم ،آذر ،عاشق، سحاب، جامی، هاتف، میرزا صادق تفرشی، نظیری و ابوالحسن یغما؛ خـط: نستعلیق ،شکسته بی کا، تا: قرن ۱۳؛ مجدول ؛جلد: تیماج قهوه ای، ۸۶گ، ۱۰-۱۲ سطر،قطع: بیاض رقعی، اندازه: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۳- 1234]</w:t>
      </w:r>
    </w:p>
    <w:p>
      <w:pPr>
        <w:pStyle w:val="BookText"/>
      </w:pPr>
      <w:r>
        <w:rPr>
          <w:rFonts w:ascii="IRNazanin" w:hAnsi="IRNazanin" w:eastAsia="IRNazanin" w:cs="IRNazanin"/>
          <w:lang w:bidi="fa-IR"/>
          <w:color w:val="111111"/>
          <w:sz w:val="28"/>
          <w:szCs w:val="28"/>
          <w:rtl/>
        </w:rPr>
        <w:t xml:space="preserve">۹۰۵. تهران؛ ملک؛ شماره نسخه: ۴۸۱۸/۱</w:t>
      </w:r>
    </w:p>
    <w:p>
      <w:pPr>
        <w:pStyle w:val="BookText"/>
      </w:pPr>
      <w:r>
        <w:rPr>
          <w:rFonts w:ascii="IRNazanin" w:hAnsi="IRNazanin" w:eastAsia="IRNazanin" w:cs="IRNazanin"/>
          <w:lang w:bidi="fa-IR"/>
          <w:color w:val="111111"/>
          <w:sz w:val="28"/>
          <w:szCs w:val="28"/>
          <w:rtl/>
        </w:rPr>
        <w:t xml:space="preserve">اشعاری است عرفانی و نامرتب با تخلص شمس تبریز، خموش، مغربی، سپس گزیده هایی از آن شاعران؛ خط: شکسته نستعلیق، بی کا، تا: قرن ۱۳؛ کاغذ: آهار مهره فرنگی،جلد: میشن قـرمز ضربی، ۱۶ سطر، اندازه: ۱۴/۲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۲۱/۶سم [ف: ۸ - ۱۰۲]</w:t>
      </w:r>
    </w:p>
    <w:p>
      <w:pPr>
        <w:pStyle w:val="BookText"/>
      </w:pPr>
      <w:r>
        <w:rPr>
          <w:rFonts w:ascii="IRNazanin" w:hAnsi="IRNazanin" w:eastAsia="IRNazanin" w:cs="IRNazanin"/>
          <w:lang w:bidi="fa-IR"/>
          <w:color w:val="111111"/>
          <w:sz w:val="28"/>
          <w:szCs w:val="28"/>
          <w:rtl/>
        </w:rPr>
        <w:t xml:space="preserve">۹۰۶ . قم؛ گلپایگانی؛ شماره نسخه: ۲۰۲۰-۱۱/۱۲۰</w:t>
      </w:r>
    </w:p>
    <w:p>
      <w:pPr>
        <w:pStyle w:val="BookText"/>
      </w:pPr>
      <w:r>
        <w:rPr>
          <w:rFonts w:ascii="IRNazanin" w:hAnsi="IRNazanin" w:eastAsia="IRNazanin" w:cs="IRNazanin"/>
          <w:lang w:bidi="fa-IR"/>
          <w:color w:val="111111"/>
          <w:sz w:val="28"/>
          <w:szCs w:val="28"/>
          <w:rtl/>
        </w:rPr>
        <w:t xml:space="preserve">آغاز: زلف او دام دل دیوانه است*** طره طرار او مشک تر است / خال دار دلبری را دانه است *** چین... سواد عنبر است؛ انجام: چون از این منزل فانی رستند *** در ته خاک بهم پیوستند / این جهان خانه اسرار قدیم*** این بود شرط وفا و تسلیم</w:t>
      </w:r>
    </w:p>
    <w:p>
      <w:pPr>
        <w:pStyle w:val="BookText"/>
      </w:pPr>
      <w:r>
        <w:rPr>
          <w:rFonts w:ascii="IRNazanin" w:hAnsi="IRNazanin" w:eastAsia="IRNazanin" w:cs="IRNazanin"/>
          <w:lang w:bidi="fa-IR"/>
          <w:color w:val="111111"/>
          <w:sz w:val="28"/>
          <w:szCs w:val="28"/>
          <w:rtl/>
        </w:rPr>
        <w:t xml:space="preserve">جنگی است فراهم آمده از اشعار شاعران پارسی گوی بدون ذکر نام شاعر اغلب این اشعار عاشقانه و در روابط بین عاشق و معشوق است؛ خط ،شکسته نستعلیق، بی کا، تا: قرن ۱۳؛ افتادگی: آغاز و انجام ؛جلد: تيماج قهوه ای مجدول با ترنج و سرترنج ضربی، ۶۵گ ،۱۳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۳ - ۱۲۳۹]</w:t>
      </w:r>
    </w:p>
    <w:p>
      <w:pPr>
        <w:pStyle w:val="BookText"/>
      </w:pPr>
      <w:r>
        <w:rPr>
          <w:rFonts w:ascii="IRNazanin" w:hAnsi="IRNazanin" w:eastAsia="IRNazanin" w:cs="IRNazanin"/>
          <w:lang w:bidi="fa-IR"/>
          <w:color w:val="111111"/>
          <w:sz w:val="28"/>
          <w:szCs w:val="28"/>
          <w:rtl/>
        </w:rPr>
        <w:t xml:space="preserve">۹۰۷. قم؛ گلپایگانی؛ شماره نسخه: ۲۳۵۲-۱۳/۳۲</w:t>
      </w:r>
    </w:p>
    <w:p>
      <w:pPr>
        <w:pStyle w:val="BookText"/>
      </w:pPr>
      <w:r>
        <w:rPr>
          <w:rFonts w:ascii="IRNazanin" w:hAnsi="IRNazanin" w:eastAsia="IRNazanin" w:cs="IRNazanin"/>
          <w:lang w:bidi="fa-IR"/>
          <w:color w:val="111111"/>
          <w:sz w:val="28"/>
          <w:szCs w:val="28"/>
          <w:rtl/>
        </w:rPr>
        <w:t xml:space="preserve">آغاز: نه همین بر سر ما شور تو شیرین بسو است *** هر که دید آن لب شیرین تواینش بسر است ؛انجام: هست در قرب همه بینم زوال *** نیست در بعد جز امید وصال</w:t>
      </w:r>
    </w:p>
    <w:p>
      <w:pPr>
        <w:pStyle w:val="BookText"/>
      </w:pPr>
      <w:r>
        <w:rPr>
          <w:rFonts w:ascii="IRNazanin" w:hAnsi="IRNazanin" w:eastAsia="IRNazanin" w:cs="IRNazanin"/>
          <w:lang w:bidi="fa-IR"/>
          <w:color w:val="111111"/>
          <w:sz w:val="28"/>
          <w:szCs w:val="28"/>
          <w:rtl/>
        </w:rPr>
        <w:t xml:space="preserve">جنگی شامل اشعاری از:همای شیرازی، زرگر اصفهانی، مایل، فروغی ،سروش ،مجمر ،طوطی، نشاط میرزا آقاسی، حکایت من کلام الله خان افشار قزوین؛ خط: نسخ و نستعلیق، شکسته، بی کا، تا: قرن ۱۳ ؛جلد: گالینگور ،۲۲گ، ۱۵ دوستونی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۳ - ۱۲۴۵]</w:t>
      </w:r>
    </w:p>
    <w:p>
      <w:pPr>
        <w:pStyle w:val="BookText"/>
      </w:pPr>
      <w:r>
        <w:rPr>
          <w:rFonts w:ascii="IRNazanin" w:hAnsi="IRNazanin" w:eastAsia="IRNazanin" w:cs="IRNazanin"/>
          <w:lang w:bidi="fa-IR"/>
          <w:color w:val="111111"/>
          <w:sz w:val="28"/>
          <w:szCs w:val="28"/>
          <w:rtl/>
        </w:rPr>
        <w:t xml:space="preserve">۹۰۸ . قم؛ گلپایگانی؛ شماره نسخه: ۲۴۴۰-۱۳/۱۲۰</w:t>
      </w:r>
    </w:p>
    <w:p>
      <w:pPr>
        <w:pStyle w:val="BookText"/>
      </w:pPr>
      <w:r>
        <w:rPr>
          <w:rFonts w:ascii="IRNazanin" w:hAnsi="IRNazanin" w:eastAsia="IRNazanin" w:cs="IRNazanin"/>
          <w:lang w:bidi="fa-IR"/>
          <w:color w:val="111111"/>
          <w:sz w:val="28"/>
          <w:szCs w:val="28"/>
          <w:rtl/>
        </w:rPr>
        <w:t xml:space="preserve">آغاز: این دهر که بود مدتی منزل ما *** نامد بجز از بلا وغم حاصل ما / افسوس که حل نگشت یک مشکل ما *** رفتیم و هزار حسرت اندر دل ما؛ انجام: تن سیمین خود را کرده پنهان زیر پیراهن *** خدایا چشمه خور زیر ابری من چسان بینم / اگر روزی شوی پنهان و خود از خلق پوشانی***  به جستجوی روی تو امیری را دوران بینم</w:t>
      </w:r>
    </w:p>
    <w:p>
      <w:pPr>
        <w:pStyle w:val="BookText"/>
      </w:pPr>
      <w:r>
        <w:rPr>
          <w:rFonts w:ascii="IRNazanin" w:hAnsi="IRNazanin" w:eastAsia="IRNazanin" w:cs="IRNazanin"/>
          <w:lang w:bidi="fa-IR"/>
          <w:color w:val="111111"/>
          <w:sz w:val="28"/>
          <w:szCs w:val="28"/>
          <w:rtl/>
        </w:rPr>
        <w:t xml:space="preserve">شامل: رباعیات عمر خیام نیشابوری(گ ۱-۹۳)، ترجیع بند هاتف،  ترجیع بند مصطفی بیک باباخان، داستانی به نظم از عطار نیشابوری، ترجیع بند مرشد علی محمد همدانی، مطایبه به نظم از مصاحب نائینی و مناجاتی به نظم؛ خط: شکسته، نستعلیق، بی کا، تا: قرن ۱۳؛ افتادگی: آغاز؛ جلد: تیماج قهوه ای مجدول گرهی، ۱۱۷ برگ، ۷ 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۳ - ۱۲۵۲]</w:t>
      </w:r>
    </w:p>
    <w:p>
      <w:pPr>
        <w:pStyle w:val="BookText"/>
      </w:pPr>
      <w:r>
        <w:rPr>
          <w:rFonts w:ascii="IRNazanin" w:hAnsi="IRNazanin" w:eastAsia="IRNazanin" w:cs="IRNazanin"/>
          <w:lang w:bidi="fa-IR"/>
          <w:color w:val="111111"/>
          <w:sz w:val="28"/>
          <w:szCs w:val="28"/>
          <w:rtl/>
        </w:rPr>
        <w:t xml:space="preserve">۹۰۹ . قم؛ گلپایگانی؛ شماره نسخه: ۲۸۶۷-۱۵/۱۰۷</w:t>
      </w:r>
    </w:p>
    <w:p>
      <w:pPr>
        <w:pStyle w:val="BookText"/>
      </w:pPr>
      <w:r>
        <w:rPr>
          <w:rFonts w:ascii="IRNazanin" w:hAnsi="IRNazanin" w:eastAsia="IRNazanin" w:cs="IRNazanin"/>
          <w:lang w:bidi="fa-IR"/>
          <w:color w:val="111111"/>
          <w:sz w:val="28"/>
          <w:szCs w:val="28"/>
          <w:rtl/>
        </w:rPr>
        <w:t xml:space="preserve">آغاز: ای مرغ چمن بخروش کامد به چمن غنچه *** شد غنچه گل و گل نیز بردند به دامنها / گویند مگو سعدی چندان سخن از عشقش *** می گویم و بعد از من گویند به دستانها؛ انجام: فلاطون عاجز از داغ دل سوز الم افتاد *** به دل صد شعله وبرهان زغم جانانم افتاد/ که گویم ناعلاج اندر پی درمانم افتاد *** زهجران همچو وحشی آتش اندر جانم افتاد</w:t>
      </w:r>
    </w:p>
    <w:p>
      <w:pPr>
        <w:pStyle w:val="BookText"/>
      </w:pPr>
      <w:r>
        <w:rPr>
          <w:rFonts w:ascii="IRNazanin" w:hAnsi="IRNazanin" w:eastAsia="IRNazanin" w:cs="IRNazanin"/>
          <w:lang w:bidi="fa-IR"/>
          <w:color w:val="111111"/>
          <w:sz w:val="28"/>
          <w:szCs w:val="28"/>
          <w:rtl/>
        </w:rPr>
        <w:t xml:space="preserve">این جنگ در دو بخش (غزلیات و رباعیات) وهر دو بخش به ترتیب حروف تهجی تنظیم شده؛ خط: شکسته، نستعلیق، کا: وهاب ساوجی، تا: قرن ۱۳؛ افتادگی: آغاز؛ بعد از پایان جنگ در 9برگ، تفسیر کوتاه سوره یاسین به فارسی در ۵ صفحه و تفسیر
</w:t>
      </w:r>
    </w:p>
    <w:p>
      <w:pPr>
        <w:sectPr>
          <w:footerReference w:type="default" r:id="rId8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سوره غاشیه به فارسی در دو صفحه و اشعاری از اسیدی تحـریر شده؛ جلد: تیماج سرخ عطف تیماج قهوه ای، ۱۴۳گ، ۱۴ - 15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۳ - ۱۲۳۹]</w:t>
      </w:r>
    </w:p>
    <w:p>
      <w:pPr>
        <w:pStyle w:val="BookText"/>
      </w:pPr>
      <w:r>
        <w:rPr>
          <w:rFonts w:ascii="IRNazanin" w:hAnsi="IRNazanin" w:eastAsia="IRNazanin" w:cs="IRNazanin"/>
          <w:lang w:bidi="fa-IR"/>
          <w:color w:val="111111"/>
          <w:sz w:val="28"/>
          <w:szCs w:val="28"/>
          <w:rtl/>
        </w:rPr>
        <w:t xml:space="preserve">۹۱۰ . قم؛ گلپایگانی؛ شماره نسخه: ۵۲۸۵/۱-۲۶/۱۶۵</w:t>
      </w:r>
    </w:p>
    <w:p>
      <w:pPr>
        <w:pStyle w:val="BookText"/>
      </w:pPr>
      <w:r>
        <w:rPr>
          <w:rFonts w:ascii="IRNazanin" w:hAnsi="IRNazanin" w:eastAsia="IRNazanin" w:cs="IRNazanin"/>
          <w:lang w:bidi="fa-IR"/>
          <w:color w:val="111111"/>
          <w:sz w:val="28"/>
          <w:szCs w:val="28"/>
          <w:rtl/>
        </w:rPr>
        <w:t xml:space="preserve">آغاز: یا علی مدد. ایزد از جور و جفا گر نسرشته گل تو *** پـس چرا مهر و وفا هیچ ندارد دل تو؛ انجام: تا شده ای نگار من من مـدح توشد شعار من*** گرچه هماره عار من بوده زشعر وشاعری / من که  زشرح حال خود نزد عیال عاجزم*** پیش سخنوران   سان دم زنم از سخنوری</w:t>
      </w:r>
    </w:p>
    <w:p>
      <w:pPr>
        <w:pStyle w:val="BookText"/>
      </w:pPr>
      <w:r>
        <w:rPr>
          <w:rFonts w:ascii="IRNazanin" w:hAnsi="IRNazanin" w:eastAsia="IRNazanin" w:cs="IRNazanin"/>
          <w:lang w:bidi="fa-IR"/>
          <w:color w:val="111111"/>
          <w:sz w:val="28"/>
          <w:szCs w:val="28"/>
          <w:rtl/>
        </w:rPr>
        <w:t xml:space="preserve">شامل اشعاری از: مسمط مسدی، ترجیع بند ناصر خسرو، ترجیح بند شمس تبریزی، مخمس طغرا، قصیده شتر حجره از ابن حسـام، رباعیات شیخ عطار، مقطعاتی از: سنایی، حیدری و تبریزی ابوالعلای گنجوی، میری جرقادقانی، مشرفی طوسی، سعدی وحشی یزدی ،خاقانی، صادقای کاو، جعفری تبریزی، فاخری تهرانی ،انوری، فرخی ،آذری، برندق بخاری، ابن یمین، شمـس الدین قمی، مخفی رشتی، صفای شیرازی و شعرای دیگر،این مقطعات به ترتیب حروف تهجی تنظیم شده است و چند قصـیده از وفایی شوشتری در مدح ائمه (علیه السّلام)؛ خط: نستعلیق، بی کا، تا: قـرن، ۱۳، جلد: مقوای لایی، عطف تیماج، ۵۶گ، اندازه:11</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۳ - ۱۲۴۸]</w:t>
      </w:r>
    </w:p>
    <w:p>
      <w:pPr>
        <w:pStyle w:val="BookText"/>
      </w:pPr>
      <w:r>
        <w:rPr>
          <w:rFonts w:ascii="IRNazanin" w:hAnsi="IRNazanin" w:eastAsia="IRNazanin" w:cs="IRNazanin"/>
          <w:lang w:bidi="fa-IR"/>
          <w:color w:val="111111"/>
          <w:sz w:val="28"/>
          <w:szCs w:val="28"/>
          <w:rtl/>
        </w:rPr>
        <w:t xml:space="preserve">۹۱۱. تهران؛ دانشگاه؛ شماره نسخه: ۴۴۰۲</w:t>
      </w:r>
    </w:p>
    <w:p>
      <w:pPr>
        <w:pStyle w:val="BookText"/>
      </w:pPr>
      <w:r>
        <w:rPr>
          <w:rFonts w:ascii="IRNazanin" w:hAnsi="IRNazanin" w:eastAsia="IRNazanin" w:cs="IRNazanin"/>
          <w:lang w:bidi="fa-IR"/>
          <w:color w:val="111111"/>
          <w:sz w:val="28"/>
          <w:szCs w:val="28"/>
          <w:rtl/>
        </w:rPr>
        <w:t xml:space="preserve">شامل چند قطعه و رباعی (۱-۸) قطعه ای از ابراهیم خان انور (8- ۱۰) ترجیع بند سعدی و غزل سعدی، قضا و قدر محمد قلی سلـیم،غزل جامی (90- 107) ؛خط: نستعلیق، بی کا، تا: قرن ۱۲ ؛افتادگی: آغاز و انجام؛ مجدول، با شش مجلس تصویر؛ کاغذ: فرنگی، جلد: تیماج سبز ضربی، ۶۷گ، ۷ سطر (6</w:t>
      </w:r>
      <w:r>
        <w:rPr>
          <w:rFonts w:ascii="Times New Roman" w:hAnsi="Times New Roman" w:eastAsia="Times New Roman" w:cs="Times New Roman"/>
          <w:lang w:val="en-US" w:bidi="en-US"/>
          <w:color w:val="111111"/>
          <w:sz w:val="28"/>
          <w:szCs w:val="28"/>
          <w:rtl/>
        </w:rPr>
        <w:t xml:space="preserve">×10)</w:t>
      </w:r>
      <w:r>
        <w:rPr>
          <w:rFonts w:ascii="IRNazanin" w:hAnsi="IRNazanin" w:eastAsia="IRNazanin" w:cs="IRNazanin"/>
          <w:lang w:bidi="fa-IR"/>
          <w:color w:val="111111"/>
          <w:sz w:val="28"/>
          <w:szCs w:val="28"/>
          <w:rtl/>
        </w:rPr>
        <w:t xml:space="preserve">، قـطع:بیاضی، اندازه: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 ۱۳ - ۳۳۶۳]</w:t>
      </w:r>
    </w:p>
    <w:p>
      <w:pPr>
        <w:pStyle w:val="BookText"/>
      </w:pPr>
      <w:r>
        <w:rPr>
          <w:rFonts w:ascii="IRNazanin" w:hAnsi="IRNazanin" w:eastAsia="IRNazanin" w:cs="IRNazanin"/>
          <w:lang w:bidi="fa-IR"/>
          <w:color w:val="111111"/>
          <w:sz w:val="28"/>
          <w:szCs w:val="28"/>
          <w:rtl/>
        </w:rPr>
        <w:t xml:space="preserve">۹۱۲. تهران؛ دانشگاه؛ شماره نسخه: ۴۴۳۰</w:t>
      </w:r>
    </w:p>
    <w:p>
      <w:pPr>
        <w:pStyle w:val="BookText"/>
      </w:pPr>
      <w:r>
        <w:rPr>
          <w:rFonts w:ascii="IRNazanin" w:hAnsi="IRNazanin" w:eastAsia="IRNazanin" w:cs="IRNazanin"/>
          <w:lang w:bidi="fa-IR"/>
          <w:color w:val="111111"/>
          <w:sz w:val="28"/>
          <w:szCs w:val="28"/>
          <w:rtl/>
        </w:rPr>
        <w:t xml:space="preserve">اشعاری از :کاتبی ،ظهیر ،شاهی ،مشتاق ،خسرو ،سایل هلالی ،آصفی، شرار (ص(۹) قصاب عرفان (۱۱) محتشم ،جامی ساغر، حاجی لطفعلی بیک ،(مثنوی) ،طوفان (قاصد صبا) وحشـی ،((مربع) میرزا ابوالقاسم هجری ،((مثنوی) صایب ،((مخمس)، عرفی (مخمس)، نظیری (مخمس) عنوان (مخمس)، حافظ (مخمس) میرزا جانی حکیم (قطعه) آقا لر بیگ برهان (مخمس ۴۲ و 52و ۵۵) تقی( مخمس ص ۵۷) جامی (مخمس)، قصاب (مخمس) نثاری ،(مخمس)، سلیمان خان قاجار عزت (۵۷)، وحشی (مسدس) ميرزا ابو القاسم كاتب انجدانی (۶۹)، معتبر(81) ،سعدی ،جامی، مخلص ،(۹۰) مهری (سراپا ص ۱۱۸)، فيـض (۱۳۷)، مقبول (۱۳۸) ،آذری حیدر ،(۱۳۹)، ابدال (۱۴۲)، نجـات (۱۴۳)، طبیب ،(۱۴۴) مجید (۱۴۵)، رفیق (۱۴۷) ، خیام (رباعيـات ۱۵۱-۱۶۲) بابا طاهر عریان (رباعیات ۱۶۹-۱۷۴)، قاضی شریـف (بیمار طبیب ۲۰۲-۲۰۶)؛ شعرها غزل و مثنوی و مربع و مخمس و مسدس و فردیات (۱۶۲-۱۶۹) و رباعیات ۱۵۱ - ۱۶۲ و ۱۶۹ - 174 و قطعیات ۱۷۵- 202  است؛ خط: نستعلیق، بی کا، تا: قرن ۱۲ و ۱۳؛ مجدول؛ کاغذ: ،فرنگی، جلد: تیماج مشکی عطف ،عنابی ،۱۰۸گ، سطور چلیپا، ابعاد متن: 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قطع: بیاضی، اندازه: 9</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 ۱۳ - ۳۳۹۰]</w:t>
      </w:r>
    </w:p>
    <w:p>
      <w:pPr>
        <w:pStyle w:val="BookText"/>
      </w:pPr>
      <w:r>
        <w:rPr>
          <w:rFonts w:ascii="IRNazanin" w:hAnsi="IRNazanin" w:eastAsia="IRNazanin" w:cs="IRNazanin"/>
          <w:lang w:bidi="fa-IR"/>
          <w:color w:val="111111"/>
          <w:sz w:val="28"/>
          <w:szCs w:val="28"/>
          <w:rtl/>
        </w:rPr>
        <w:t xml:space="preserve">۹۱۳ تهران؛ دانشگاه؛ شماره نسخه: ۴۳۳۱</w:t>
      </w:r>
    </w:p>
    <w:p>
      <w:pPr>
        <w:pStyle w:val="BookText"/>
      </w:pPr>
      <w:r>
        <w:rPr>
          <w:rFonts w:ascii="IRNazanin" w:hAnsi="IRNazanin" w:eastAsia="IRNazanin" w:cs="IRNazanin"/>
          <w:lang w:bidi="fa-IR"/>
          <w:color w:val="111111"/>
          <w:sz w:val="28"/>
          <w:szCs w:val="28"/>
          <w:rtl/>
        </w:rPr>
        <w:t xml:space="preserve">اشعاری از بابا طاهر و محتشم و سعدی و دیگران؛ خط: شکسته نستعلیق، بی کا، تا: قرن ۱۲ و 13؛ مجدول؛ کاغذ: فرنگی آهار مهره، جلد: تيماج سبز درون،پارچه، ۲۱۰گ، ۱۰ سطر (۳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قطع: بیاضی، اندازه:7</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سم [ف: ۱۳ - ۳۲۸۹]</w:t>
      </w:r>
    </w:p>
    <w:p>
      <w:pPr>
        <w:pStyle w:val="BookText"/>
      </w:pPr>
      <w:r>
        <w:rPr>
          <w:rFonts w:ascii="IRNazanin" w:hAnsi="IRNazanin" w:eastAsia="IRNazanin" w:cs="IRNazanin"/>
          <w:lang w:bidi="fa-IR"/>
          <w:color w:val="111111"/>
          <w:sz w:val="28"/>
          <w:szCs w:val="28"/>
          <w:rtl/>
        </w:rPr>
        <w:t xml:space="preserve">۹۱۴. تهران؛ دانشگاه؛ شماره نسخه: ۴۳۸۰</w:t>
      </w:r>
    </w:p>
    <w:p>
      <w:pPr>
        <w:pStyle w:val="BookText"/>
      </w:pPr>
      <w:r>
        <w:rPr>
          <w:rFonts w:ascii="IRNazanin" w:hAnsi="IRNazanin" w:eastAsia="IRNazanin" w:cs="IRNazanin"/>
          <w:lang w:bidi="fa-IR"/>
          <w:color w:val="111111"/>
          <w:sz w:val="28"/>
          <w:szCs w:val="28"/>
          <w:rtl/>
        </w:rPr>
        <w:t xml:space="preserve">آغاز: گفتمش یار بتو نزدیگ است *** یا چو شب روزت از دیار کیست / گفت در خانه اویم همه عمر *** شمع کاشانه او همه عمر؛ انجام: که آن می چاره افسردگانست *** روان بخش دل آزردگانست.</w:t>
      </w:r>
    </w:p>
    <w:p>
      <w:pPr>
        <w:pStyle w:val="BookText"/>
      </w:pPr>
      <w:r>
        <w:rPr>
          <w:rFonts w:ascii="IRNazanin" w:hAnsi="IRNazanin" w:eastAsia="IRNazanin" w:cs="IRNazanin"/>
          <w:lang w:bidi="fa-IR"/>
          <w:color w:val="111111"/>
          <w:sz w:val="28"/>
          <w:szCs w:val="28"/>
          <w:rtl/>
        </w:rPr>
        <w:t xml:space="preserve">مثنوی های فارسی ملا نظری ،قنوتی ،محمود، و غزل جامی ،سعدی، حافظ و سوز و گداز میرزا صادق، یک مثنوی با عنوان محمود و ایاز، و معما و رباعی؛ خط: شکسته نستعلیق، بی کا، تا: قرن ۱۲ و ۱۳؛ افتادگی: آغاز ؛کاغذ: فرنگی رنگارنگ، جلد: تیماج قهوه ای، ۹۸گ، سطور چلیپا، ابعاد متن:۵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قطع: بیاضی اندازه: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۱۳ - ۳۳۴۴]</w:t>
      </w:r>
    </w:p>
    <w:p>
      <w:pPr>
        <w:pStyle w:val="BookText"/>
      </w:pPr>
      <w:r>
        <w:rPr>
          <w:rFonts w:ascii="IRNazanin" w:hAnsi="IRNazanin" w:eastAsia="IRNazanin" w:cs="IRNazanin"/>
          <w:lang w:bidi="fa-IR"/>
          <w:color w:val="111111"/>
          <w:sz w:val="28"/>
          <w:szCs w:val="28"/>
          <w:rtl/>
        </w:rPr>
        <w:t xml:space="preserve">۹۱۵. قم؛ گلپایگانی؛ شماره نسخه: 5101- 191/ 25</w:t>
      </w:r>
    </w:p>
    <w:p>
      <w:pPr>
        <w:pStyle w:val="BookText"/>
      </w:pPr>
      <w:r>
        <w:rPr>
          <w:rFonts w:ascii="IRNazanin" w:hAnsi="IRNazanin" w:eastAsia="IRNazanin" w:cs="IRNazanin"/>
          <w:lang w:bidi="fa-IR"/>
          <w:color w:val="111111"/>
          <w:sz w:val="28"/>
          <w:szCs w:val="28"/>
          <w:rtl/>
        </w:rPr>
        <w:t xml:space="preserve">آغاز: من كلام محتشم علیه الرحمه- ای نثار شام گیسویت خراج مصر و شام *** باشدی خال ترا صد یوسف مصری غلام؛ انجام: که ناگه سحر گاه نقش دگر زد *** که گشت این صور محو زين لوح خضرا / زمیری بشاهی که لشکر کشیدی *** بـــه تسخیری ملک</w:t>
      </w:r>
    </w:p>
    <w:p>
      <w:pPr>
        <w:pStyle w:val="BookText"/>
      </w:pPr>
      <w:r>
        <w:rPr>
          <w:rFonts w:ascii="IRNazanin" w:hAnsi="IRNazanin" w:eastAsia="IRNazanin" w:cs="IRNazanin"/>
          <w:lang w:bidi="fa-IR"/>
          <w:color w:val="111111"/>
          <w:sz w:val="28"/>
          <w:szCs w:val="28"/>
          <w:rtl/>
        </w:rPr>
        <w:t xml:space="preserve">شامل اشعاری از: محتشم، محمد علی مذهب، نیاز، اسودی، ،فغانی ،سلمان، ابن حسام بیدل وفتحعلی خان کاشی؛ خط: نستعلیق، بی کا، تا: قرن ۱۳، ۸۵گ، مختلف السطر، اندازه: 9</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سم [ف: ۳ - ۱۲۵۵]</w:t>
      </w:r>
    </w:p>
    <w:p>
      <w:pPr>
        <w:pStyle w:val="BookText"/>
      </w:pPr>
      <w:r>
        <w:rPr>
          <w:rFonts w:ascii="IRNazanin" w:hAnsi="IRNazanin" w:eastAsia="IRNazanin" w:cs="IRNazanin"/>
          <w:lang w:bidi="fa-IR"/>
          <w:color w:val="111111"/>
          <w:sz w:val="28"/>
          <w:szCs w:val="28"/>
          <w:rtl/>
        </w:rPr>
        <w:t xml:space="preserve">۹۱۶ . قم؛ گلپایگانی؛ شماره نسخه: ۳۳۹۱-۱۷/۱۷۱</w:t>
      </w:r>
    </w:p>
    <w:p>
      <w:pPr>
        <w:pStyle w:val="BookText"/>
      </w:pPr>
      <w:r>
        <w:rPr>
          <w:rFonts w:ascii="IRNazanin" w:hAnsi="IRNazanin" w:eastAsia="IRNazanin" w:cs="IRNazanin"/>
          <w:lang w:bidi="fa-IR"/>
          <w:color w:val="111111"/>
          <w:sz w:val="28"/>
          <w:szCs w:val="28"/>
          <w:rtl/>
        </w:rPr>
        <w:t xml:space="preserve">آغاز: دور از تو چگویم بچه حال است هلالی *** درمانده بدرد دل خونین جگر خود / وه چه واقع شد که ما با خاطر خبرم نماند *** پیش از این گاهی نگاهی داشتی  آن هم نماند؛ انجام: تو ای مادر چرا از اوی چنین پور *** که گشتی در فراقش زار ومهجور/  تو ای مادر چرا در محنت وغم *** مرازادی و سر دادی به عالم</w:t>
      </w:r>
    </w:p>
    <w:p>
      <w:pPr>
        <w:pStyle w:val="BookText"/>
      </w:pPr>
      <w:r>
        <w:rPr>
          <w:rFonts w:ascii="IRNazanin" w:hAnsi="IRNazanin" w:eastAsia="IRNazanin" w:cs="IRNazanin"/>
          <w:lang w:bidi="fa-IR"/>
          <w:color w:val="111111"/>
          <w:sz w:val="28"/>
          <w:szCs w:val="28"/>
          <w:rtl/>
        </w:rPr>
        <w:t xml:space="preserve">اشعاری از: زایر ،حاجی ،طوفان، حافظ، شفیعی، دو فراق نامه به نظم، مخمس طغرا در مدح حضرت علی (علیه السّلام)، مخمس صیدی در مدح علی (علیه السّلام) مخمس ذاکری که شعر خاقانی را تخمیس نموده است ،قصاب ،طایب، نان و حلوای شیخ بهایی، جامی صفا، وحشی ،صایب ،صنعی ،عاکف ،هلالی، اهلی، مرتضی، جنید ،رضی ،ساقی ،رباعیات، مخمس صایب مخمس بهایی، مخمس کاتبی، مخمس ،طباخ ،عاشق ،محتشم، نجات، مخمس تمكين،
</w:t>
      </w:r>
    </w:p>
    <w:p>
      <w:pPr>
        <w:sectPr>
          <w:footerReference w:type="default" r:id="rId8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شاهی ،آصفی، هلالی؛ خط: نسخ، بی کا، تا: قرن ۱۳؛ افتادگی: آغاز و انجام؛ ۶۲گ، ۱۲-۱۴ سطر، قطع: بياض رقعی، اندازه:۱۰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۳ - ۱۲۵۶]</w:t>
      </w:r>
    </w:p>
    <w:p>
      <w:pPr>
        <w:pStyle w:val="BookText"/>
      </w:pPr>
      <w:r>
        <w:rPr>
          <w:rFonts w:ascii="IRNazanin" w:hAnsi="IRNazanin" w:eastAsia="IRNazanin" w:cs="IRNazanin"/>
          <w:lang w:bidi="fa-IR"/>
          <w:color w:val="111111"/>
          <w:sz w:val="28"/>
          <w:szCs w:val="28"/>
          <w:rtl/>
        </w:rPr>
        <w:t xml:space="preserve">۹۱۷. قم؛ گلپایگانی؛ شماره نسخه: ۳۴۲۳-۱۷/۲۰۳</w:t>
      </w:r>
    </w:p>
    <w:p>
      <w:pPr>
        <w:pStyle w:val="BookText"/>
      </w:pPr>
      <w:r>
        <w:rPr>
          <w:rFonts w:ascii="IRNazanin" w:hAnsi="IRNazanin" w:eastAsia="IRNazanin" w:cs="IRNazanin"/>
          <w:lang w:bidi="fa-IR"/>
          <w:color w:val="111111"/>
          <w:sz w:val="28"/>
          <w:szCs w:val="28"/>
          <w:rtl/>
        </w:rPr>
        <w:t xml:space="preserve">آغاز: ایها اللاهى عن العهد القديم *** ايها الساهي عن النهج القويم؛ انجام: اگر دادیم تویی با من وفادار *** که باشی مثل من نه یار اغیار/ مشامم گررسد از باد بویت ***... جان فدا سازم به کویت</w:t>
      </w:r>
    </w:p>
    <w:p>
      <w:pPr>
        <w:pStyle w:val="BookText"/>
      </w:pPr>
      <w:r>
        <w:rPr>
          <w:rFonts w:ascii="IRNazanin" w:hAnsi="IRNazanin" w:eastAsia="IRNazanin" w:cs="IRNazanin"/>
          <w:lang w:bidi="fa-IR"/>
          <w:color w:val="111111"/>
          <w:sz w:val="28"/>
          <w:szCs w:val="28"/>
          <w:rtl/>
        </w:rPr>
        <w:t xml:space="preserve">شامل اشعاری از این شاعران: شیخ بهایی (نان وحلوا وشیر شكر)، سعدی ؛خط: شکسته ،نستعلیق، بی کا، تا: قرن ۱۳، گالینگور نارنجی، ۶۰گ، ۱۰ سطر، قطع: بياض رقعی، اندازه: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۳ - ۱۲۴۹]</w:t>
      </w:r>
    </w:p>
    <w:p>
      <w:pPr>
        <w:pStyle w:val="BookText"/>
      </w:pPr>
      <w:r>
        <w:rPr>
          <w:rFonts w:ascii="IRNazanin" w:hAnsi="IRNazanin" w:eastAsia="IRNazanin" w:cs="IRNazanin"/>
          <w:lang w:bidi="fa-IR"/>
          <w:color w:val="111111"/>
          <w:sz w:val="28"/>
          <w:szCs w:val="28"/>
          <w:rtl/>
        </w:rPr>
        <w:t xml:space="preserve">۹۱۸. قم؛ گلپایگانی؛ شماره نسخه: ۵۹۱۹-۲۹/۲۵۹</w:t>
      </w:r>
    </w:p>
    <w:p>
      <w:pPr>
        <w:pStyle w:val="BookText"/>
      </w:pPr>
      <w:r>
        <w:rPr>
          <w:rFonts w:ascii="IRNazanin" w:hAnsi="IRNazanin" w:eastAsia="IRNazanin" w:cs="IRNazanin"/>
          <w:lang w:bidi="fa-IR"/>
          <w:color w:val="111111"/>
          <w:sz w:val="28"/>
          <w:szCs w:val="28"/>
          <w:rtl/>
        </w:rPr>
        <w:t xml:space="preserve">آغاز: سخن خویش به بیگانه نیارم گفتن *** گله از دوست به دشمن نه طریق ادب است؛ انجام: چو میندیدمت از شوق بی خبر بودم*** کنون که با تو نشستم زذوق بی خبرم</w:t>
      </w:r>
    </w:p>
    <w:p>
      <w:pPr>
        <w:pStyle w:val="BookText"/>
      </w:pPr>
      <w:r>
        <w:rPr>
          <w:rFonts w:ascii="IRNazanin" w:hAnsi="IRNazanin" w:eastAsia="IRNazanin" w:cs="IRNazanin"/>
          <w:lang w:bidi="fa-IR"/>
          <w:color w:val="111111"/>
          <w:sz w:val="28"/>
          <w:szCs w:val="28"/>
          <w:rtl/>
        </w:rPr>
        <w:t xml:space="preserve">در آن اشعاری از سعدی، حافظ و مولانا به چشم می خورد؛ خـط: شکسته ،نستعلیق، بی کا، تا: قرن ۱۳؛ صفحات جدول مذهب دوستونی؛ جلد: تیماج قهوه ای، ۱۶۹گ، ۶ سطر ،چلیپایی، قطع: بیاض رقعی، اندازه: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۳ - ۱۲۴۲]</w:t>
      </w:r>
    </w:p>
    <w:p>
      <w:pPr>
        <w:pStyle w:val="BookText"/>
      </w:pPr>
      <w:r>
        <w:rPr>
          <w:rFonts w:ascii="IRNazanin" w:hAnsi="IRNazanin" w:eastAsia="IRNazanin" w:cs="IRNazanin"/>
          <w:lang w:bidi="fa-IR"/>
          <w:color w:val="111111"/>
          <w:sz w:val="28"/>
          <w:szCs w:val="28"/>
          <w:rtl/>
        </w:rPr>
        <w:t xml:space="preserve">۹۱۹. قم؛ گلپایگانی؛ شماره نسخه: ۵۹۰۹-۲۹/۲۴۹</w:t>
      </w:r>
    </w:p>
    <w:p>
      <w:pPr>
        <w:pStyle w:val="BookText"/>
      </w:pPr>
      <w:r>
        <w:rPr>
          <w:rFonts w:ascii="IRNazanin" w:hAnsi="IRNazanin" w:eastAsia="IRNazanin" w:cs="IRNazanin"/>
          <w:lang w:bidi="fa-IR"/>
          <w:color w:val="111111"/>
          <w:sz w:val="28"/>
          <w:szCs w:val="28"/>
          <w:rtl/>
        </w:rPr>
        <w:t xml:space="preserve">آغاز: بس فتنه که در زمین بپاشد *** از روی چو ماه آسمانت /من در تورسم به جهد هیهات*** کز باد سبق برد عیانت؛ انجام :ای ساقی گلچهره زیبای همه*** ای سرو سهی قامت رعنای همـه / پرکن قدحی که راست خواهی دیدن*** خالی به کنار این چـمن جای همه</w:t>
      </w:r>
    </w:p>
    <w:p>
      <w:pPr>
        <w:pStyle w:val="BookText"/>
      </w:pPr>
      <w:r>
        <w:rPr>
          <w:rFonts w:ascii="IRNazanin" w:hAnsi="IRNazanin" w:eastAsia="IRNazanin" w:cs="IRNazanin"/>
          <w:lang w:bidi="fa-IR"/>
          <w:color w:val="111111"/>
          <w:sz w:val="28"/>
          <w:szCs w:val="28"/>
          <w:rtl/>
        </w:rPr>
        <w:t xml:space="preserve">بیاضی است شامل اشعاری از: غزلیات سعدی، غزلیات جامی، رباعیات بابا طاهر، غزلیات حافظ و غزلیات عاشق؛ خط: شكسـته، نستعلیق، بی کا، تا: قرن ۱۳؛ افتادگی: آغاز وانجام؛ مجدول، دوستونی ،جلد: تیماج قهوه ای، فاقد طبله دوم، ۱۳۸گ، ۸ سـطر، قطع: بیاض رقعی، اندازه: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۳ - ۱۲۴۴]</w:t>
      </w:r>
    </w:p>
    <w:p>
      <w:pPr>
        <w:pStyle w:val="BookText"/>
      </w:pPr>
      <w:r>
        <w:rPr>
          <w:rFonts w:ascii="IRNazanin" w:hAnsi="IRNazanin" w:eastAsia="IRNazanin" w:cs="IRNazanin"/>
          <w:lang w:bidi="fa-IR"/>
          <w:color w:val="111111"/>
          <w:sz w:val="28"/>
          <w:szCs w:val="28"/>
          <w:rtl/>
        </w:rPr>
        <w:t xml:space="preserve">۹۲۰ . قم؛ گلپایگانی؛ شماره نسخه: ۵۹۰۴-۲۹/۲۴۴</w:t>
      </w:r>
    </w:p>
    <w:p>
      <w:pPr>
        <w:pStyle w:val="BookText"/>
      </w:pPr>
      <w:r>
        <w:rPr>
          <w:rFonts w:ascii="IRNazanin" w:hAnsi="IRNazanin" w:eastAsia="IRNazanin" w:cs="IRNazanin"/>
          <w:lang w:bidi="fa-IR"/>
          <w:color w:val="111111"/>
          <w:sz w:val="28"/>
          <w:szCs w:val="28"/>
          <w:rtl/>
        </w:rPr>
        <w:t xml:space="preserve">آغاز: شهی کو به امرش همه ثبت گشته *** عهود ازل عهد در چار دفتر/ تزلزل بر افتد بخیل ملائک *** کشد از میان گرجـسام دو پیکر؛ انجام: سر ز پیکر جدا حسینم *** کشته اشقیا حسینم*** ای به غم مبتلا حسینم</w:t>
      </w:r>
    </w:p>
    <w:p>
      <w:pPr>
        <w:pStyle w:val="BookText"/>
      </w:pPr>
      <w:r>
        <w:rPr>
          <w:rFonts w:ascii="IRNazanin" w:hAnsi="IRNazanin" w:eastAsia="IRNazanin" w:cs="IRNazanin"/>
          <w:lang w:bidi="fa-IR"/>
          <w:color w:val="111111"/>
          <w:sz w:val="28"/>
          <w:szCs w:val="28"/>
          <w:rtl/>
        </w:rPr>
        <w:t xml:space="preserve">جنگ اشعار است بیاضی است. که اغلب برگ های آن سـفید مانده و در چهارده برگ آن اشعاری به فارسی تحریر شده اسـت در این چهارده برگ اشعاری از عارف و دیگران تحریرشده است؛ خط: تحریری، بی کا، تا: قرن ۱۳؛ جلد: تیماج عنابی ضربی مجدول بدون طبله اول، ۶۱گ، مختلف السطر ، قطع: بياض رقعی، اندازه: ۹</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۱۷سم [ف: ۳ - ۱۲۴۳]</w:t>
      </w:r>
    </w:p>
    <w:p>
      <w:pPr>
        <w:pStyle w:val="BookText"/>
      </w:pPr>
      <w:r>
        <w:rPr>
          <w:rFonts w:ascii="IRNazanin" w:hAnsi="IRNazanin" w:eastAsia="IRNazanin" w:cs="IRNazanin"/>
          <w:lang w:bidi="fa-IR"/>
          <w:color w:val="111111"/>
          <w:sz w:val="28"/>
          <w:szCs w:val="28"/>
          <w:rtl/>
        </w:rPr>
        <w:t xml:space="preserve">۹۲۱ . قم؛ گلپایگانی؛ شماره نسخه: ۵۴۷۱/۲-۲۷/۱۴۱</w:t>
      </w:r>
    </w:p>
    <w:p>
      <w:pPr>
        <w:pStyle w:val="BookText"/>
      </w:pPr>
      <w:r>
        <w:rPr>
          <w:rFonts w:ascii="IRNazanin" w:hAnsi="IRNazanin" w:eastAsia="IRNazanin" w:cs="IRNazanin"/>
          <w:lang w:bidi="fa-IR"/>
          <w:color w:val="111111"/>
          <w:sz w:val="28"/>
          <w:szCs w:val="28"/>
          <w:rtl/>
        </w:rPr>
        <w:t xml:space="preserve">آغاز: بسمله بشنو از نی چون حکایت می کند *** از جدائیها شکایت می کند / کز نیستان تا مرا ببریده اند *** از نفیرم مرد وزن نالیده اند؛ انجام: خرقه است پاره است او بکراست *** زانکه نساج او ابوبکر است / پیر نساج شیخ ابوالقاسم *** مرشد عصر ذکر او دایم</w:t>
      </w:r>
    </w:p>
    <w:p>
      <w:pPr>
        <w:pStyle w:val="BookText"/>
      </w:pPr>
      <w:r>
        <w:rPr>
          <w:rFonts w:ascii="IRNazanin" w:hAnsi="IRNazanin" w:eastAsia="IRNazanin" w:cs="IRNazanin"/>
          <w:lang w:bidi="fa-IR"/>
          <w:color w:val="111111"/>
          <w:sz w:val="28"/>
          <w:szCs w:val="28"/>
          <w:rtl/>
        </w:rPr>
        <w:t xml:space="preserve">جنگی است شامل این مطالب: منتخبی از مثنوی مولوی به نقل از لب اللباب کاشفی، مثنوی از حزین لاهیجی اشعاری از فارق، نظر علی، نان و حلوای شیخ بهایی، دو ترجیع بند و مثنوی در مدح معصوم علیشاه و اساتید وی در یک برگ؛ خط: تحریری، بی کا، تا: قرن ۱۳؛ افتادگی: انجام ؛جلد: مقوا، ۴۳گ، ۱۵-۱۷ سطر،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۳ - ۱۲۵۲]</w:t>
      </w:r>
    </w:p>
    <w:p>
      <w:pPr>
        <w:pStyle w:val="BookText"/>
      </w:pPr>
      <w:r>
        <w:rPr>
          <w:rFonts w:ascii="IRNazanin" w:hAnsi="IRNazanin" w:eastAsia="IRNazanin" w:cs="IRNazanin"/>
          <w:lang w:bidi="fa-IR"/>
          <w:color w:val="111111"/>
          <w:sz w:val="28"/>
          <w:szCs w:val="28"/>
          <w:rtl/>
        </w:rPr>
        <w:t xml:space="preserve">۹۲۲ . قم؛ گلپایگانی؛ شماره نسخه: ۳۱۸۲-۱۶/۱۹۲</w:t>
      </w:r>
    </w:p>
    <w:p>
      <w:pPr>
        <w:pStyle w:val="BookText"/>
      </w:pPr>
      <w:r>
        <w:rPr>
          <w:rFonts w:ascii="IRNazanin" w:hAnsi="IRNazanin" w:eastAsia="IRNazanin" w:cs="IRNazanin"/>
          <w:lang w:bidi="fa-IR"/>
          <w:color w:val="111111"/>
          <w:sz w:val="28"/>
          <w:szCs w:val="28"/>
          <w:rtl/>
        </w:rPr>
        <w:t xml:space="preserve">آغاز: شنیدم از خردمندان ناصح*** که در بغداد مردی بود صالح / ز نزدیکان درگاه خدا بود *** ز خود بیگانه با حق آشنا بود؛ انجام: یا رب زکرم دری برویم بگشا*** راهی که ره نجات باشد  بنما / مستغنیم از هر دو جهان می گردان *** از لطف و کرم تو مشکل ما بگشا</w:t>
      </w:r>
    </w:p>
    <w:p>
      <w:pPr>
        <w:pStyle w:val="BookText"/>
      </w:pPr>
      <w:r>
        <w:rPr>
          <w:rFonts w:ascii="IRNazanin" w:hAnsi="IRNazanin" w:eastAsia="IRNazanin" w:cs="IRNazanin"/>
          <w:lang w:bidi="fa-IR"/>
          <w:color w:val="111111"/>
          <w:sz w:val="28"/>
          <w:szCs w:val="28"/>
          <w:rtl/>
        </w:rPr>
        <w:t xml:space="preserve">جنگی شامل: هفت بند مقبل شعری از لامع، غزلیات و رباعیات شیخ بهایی، علاج الامراض، يوسفى هروی (رباعیاتی در پزشکی) لعنيیه یا تبرانامه شیخ حسن، چند نسخه پزشکی به نثر، اشعاری از سعدی؛ خط: نستعلیق شکسته، بی کا، تا: قرن ۱۳؛ جلد: تیماج مشکی ضربی مجدول با ترنج با سر، ۴۲گ، ۱۰-۱۵ سطر سه ستونی ،چلیپایی، قطع: بیاض رقعی،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[ف:۳-۱۲۴۳]</w:t>
      </w:r>
    </w:p>
    <w:p>
      <w:pPr>
        <w:pStyle w:val="BookText"/>
      </w:pPr>
      <w:r>
        <w:rPr>
          <w:rFonts w:ascii="IRNazanin" w:hAnsi="IRNazanin" w:eastAsia="IRNazanin" w:cs="IRNazanin"/>
          <w:lang w:bidi="fa-IR"/>
          <w:color w:val="111111"/>
          <w:sz w:val="28"/>
          <w:szCs w:val="28"/>
          <w:rtl/>
        </w:rPr>
        <w:t xml:space="preserve">۹۲۳. قم؛ گلپایگانی؛ شماره نسخه: ۳۴۵۶-۱۷/۲۳۶</w:t>
      </w:r>
    </w:p>
    <w:p>
      <w:pPr>
        <w:pStyle w:val="BookText"/>
      </w:pPr>
      <w:r>
        <w:rPr>
          <w:rFonts w:ascii="IRNazanin" w:hAnsi="IRNazanin" w:eastAsia="IRNazanin" w:cs="IRNazanin"/>
          <w:lang w:bidi="fa-IR"/>
          <w:color w:val="111111"/>
          <w:sz w:val="28"/>
          <w:szCs w:val="28"/>
          <w:rtl/>
        </w:rPr>
        <w:t xml:space="preserve">آغاز: اول دفتر به نام ایزد دانا *** صانع پرودگار حی توانا / اکبر و اعظم خدای عالم و آدم*** صورت خوب آفرید و سیرت زیبا؛</w:t>
      </w:r>
    </w:p>
    <w:p>
      <w:pPr>
        <w:pStyle w:val="BookText"/>
      </w:pPr>
      <w:r>
        <w:rPr>
          <w:rFonts w:ascii="IRNazanin" w:hAnsi="IRNazanin" w:eastAsia="IRNazanin" w:cs="IRNazanin"/>
          <w:lang w:bidi="fa-IR"/>
          <w:color w:val="111111"/>
          <w:sz w:val="28"/>
          <w:szCs w:val="28"/>
          <w:rtl/>
        </w:rPr>
        <w:t xml:space="preserve">انجام: زصنم چهره گلنار خوش است نی حرفی کنار دجله م م م  م ...بعجایب تو بخوان سعر مرا</w:t>
      </w:r>
    </w:p>
    <w:p>
      <w:pPr>
        <w:pStyle w:val="BookText"/>
      </w:pPr>
      <w:r>
        <w:rPr>
          <w:rFonts w:ascii="IRNazanin" w:hAnsi="IRNazanin" w:eastAsia="IRNazanin" w:cs="IRNazanin"/>
          <w:lang w:bidi="fa-IR"/>
          <w:color w:val="111111"/>
          <w:sz w:val="28"/>
          <w:szCs w:val="28"/>
          <w:rtl/>
        </w:rPr>
        <w:t xml:space="preserve">اشعاری از: سعدی، نظامی ،حافظ ،عاشق، شریف، جامی، محتشم، خاقانی ،رفعت ،نظیری، صایب ،طوفان، هلالی، عاشق، مهری، مخفی ،مخلص ،عرفی ،مکتبی، صیدی تهرانی، مثنوی آذر، صبوری؛ خط: نستعلیق، بی کا، تا: قرن ۱۳؛ دارای سرلوح و کتیبه مذهب مرصع؛ جلد: تیماج سرخ، ۱۶۵گ، ۸ سطر چلیپایی، قطع: بياض ،رقعی، اندازه: 7</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سم [ف: ۳ - ۱۲۴۹]</w:t>
      </w:r>
    </w:p>
    <w:p>
      <w:pPr>
        <w:pStyle w:val="BookText"/>
      </w:pPr>
      <w:r>
        <w:rPr>
          <w:rFonts w:ascii="IRNazanin" w:hAnsi="IRNazanin" w:eastAsia="IRNazanin" w:cs="IRNazanin"/>
          <w:lang w:bidi="fa-IR"/>
          <w:color w:val="111111"/>
          <w:sz w:val="28"/>
          <w:szCs w:val="28"/>
          <w:rtl/>
        </w:rPr>
        <w:t xml:space="preserve">۹۲۴. قم؛ گلپایگانی؛ شماره نسخه: ۳۴۵۸-۱۷/۲۳۸</w:t>
      </w:r>
    </w:p>
    <w:p>
      <w:pPr>
        <w:pStyle w:val="BookText"/>
      </w:pPr>
      <w:r>
        <w:rPr>
          <w:rFonts w:ascii="IRNazanin" w:hAnsi="IRNazanin" w:eastAsia="IRNazanin" w:cs="IRNazanin"/>
          <w:lang w:bidi="fa-IR"/>
          <w:color w:val="111111"/>
          <w:sz w:val="28"/>
          <w:szCs w:val="28"/>
          <w:rtl/>
        </w:rPr>
        <w:t xml:space="preserve">آغاز: شبی با نوجوانی گفت پیری *** کهن دردی کشی صافی ضمیری / چو خم صاحبدلی روشن روانی *** در این دیر کهن پیر مغانی؛ انجام: عمر و دولت عالی جاه معظم اليه برقرار و بنیان عزت و شوکت آن دیوان احسان و عنایت محکم و استوار باد سلخ  شهر جمادی...</w:t>
      </w:r>
    </w:p>
    <w:p>
      <w:pPr>
        <w:pStyle w:val="BookText"/>
      </w:pPr>
      <w:r>
        <w:rPr>
          <w:rFonts w:ascii="IRNazanin" w:hAnsi="IRNazanin" w:eastAsia="IRNazanin" w:cs="IRNazanin"/>
          <w:lang w:bidi="fa-IR"/>
          <w:color w:val="111111"/>
          <w:sz w:val="28"/>
          <w:szCs w:val="28"/>
          <w:rtl/>
        </w:rPr>
        <w:t xml:space="preserve">بیاضی است که در آن سه مثنوی فارسی تحریر شده بدین اسامی: پیر و جوان نصیرای اصفهانی، محمود و ایازامامقلی میرزا ،فرهاد و شیرین وحشی؛ خط: نستعلیق شکسته ریز نویس، كا: علی محمد،
</w:t>
      </w:r>
    </w:p>
    <w:p>
      <w:pPr>
        <w:sectPr>
          <w:footerReference w:type="default" r:id="rId8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سلخ جمادی الثانی قرن ۱۳، جا: تهران، برای میرزا محمد باقر ؛جلد: گالینگور سرمه ای، ۶۱گ، ۶-۹ سطر، قطع: بياض رقعی، اندازه: 7</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سم [ف: ۳ - ۱۲۳۹]</w:t>
      </w:r>
    </w:p>
    <w:p>
      <w:pPr>
        <w:pStyle w:val="BookText"/>
      </w:pPr>
      <w:r>
        <w:rPr>
          <w:rFonts w:ascii="IRNazanin" w:hAnsi="IRNazanin" w:eastAsia="IRNazanin" w:cs="IRNazanin"/>
          <w:lang w:bidi="fa-IR"/>
          <w:color w:val="111111"/>
          <w:sz w:val="28"/>
          <w:szCs w:val="28"/>
          <w:rtl/>
        </w:rPr>
        <w:t xml:space="preserve">۹۲۵. قم؛ گلپایگانی؛ شماره نسخه: ۳۴۱۷-۱۷/۱۹۷</w:t>
      </w:r>
    </w:p>
    <w:p>
      <w:pPr>
        <w:pStyle w:val="BookText"/>
      </w:pPr>
      <w:r>
        <w:rPr>
          <w:rFonts w:ascii="IRNazanin" w:hAnsi="IRNazanin" w:eastAsia="IRNazanin" w:cs="IRNazanin"/>
          <w:lang w:bidi="fa-IR"/>
          <w:color w:val="111111"/>
          <w:sz w:val="28"/>
          <w:szCs w:val="28"/>
          <w:rtl/>
        </w:rPr>
        <w:t xml:space="preserve">آغاز: چون تک ابلق به تمامی رسید *** غاشیه داری به نظامی رسید / شیر و شکر شیخ بهایی ره ای مرکز دایره امکان؛ انجـام: نیاید خوش خداوند جهان را *** که تو از من به این زودی رمیدی/ در این دوران بگو دلبر توبا من *** چرا اندر جهان از من رهیدی</w:t>
      </w:r>
    </w:p>
    <w:p>
      <w:pPr>
        <w:pStyle w:val="BookText"/>
      </w:pPr>
      <w:r>
        <w:rPr>
          <w:rFonts w:ascii="IRNazanin" w:hAnsi="IRNazanin" w:eastAsia="IRNazanin" w:cs="IRNazanin"/>
          <w:lang w:bidi="fa-IR"/>
          <w:color w:val="111111"/>
          <w:sz w:val="28"/>
          <w:szCs w:val="28"/>
          <w:rtl/>
        </w:rPr>
        <w:t xml:space="preserve">شامل اشعاری از: شیر و شکر شیخ بهایی ،منور ،جامی سعدی و دیگران؛ خط: نستعلیق، بی کا، تا: قرن ۱۳؛ افتادگی: آغاز و انجام ؛جلد: طبله پشت تیماج قهوه ای دورو طبله رو مقوای مشکـی، ۱۰۱گ، قطع: بیاض رقعی، اندازه: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۳ - ۱۲۵۰]</w:t>
      </w:r>
    </w:p>
    <w:p>
      <w:pPr>
        <w:pStyle w:val="BookText"/>
      </w:pPr>
      <w:r>
        <w:rPr>
          <w:rFonts w:ascii="IRNazanin" w:hAnsi="IRNazanin" w:eastAsia="IRNazanin" w:cs="IRNazanin"/>
          <w:lang w:bidi="fa-IR"/>
          <w:color w:val="111111"/>
          <w:sz w:val="28"/>
          <w:szCs w:val="28"/>
          <w:rtl/>
        </w:rPr>
        <w:t xml:space="preserve">۹۲۶ . قم؛ گلپایگانی؛ شماره نسخه: ۳۴۱۶-۱۷/۱۹۶</w:t>
      </w:r>
    </w:p>
    <w:p>
      <w:pPr>
        <w:pStyle w:val="BookText"/>
      </w:pPr>
      <w:r>
        <w:rPr>
          <w:rFonts w:ascii="IRNazanin" w:hAnsi="IRNazanin" w:eastAsia="IRNazanin" w:cs="IRNazanin"/>
          <w:lang w:bidi="fa-IR"/>
          <w:color w:val="111111"/>
          <w:sz w:val="28"/>
          <w:szCs w:val="28"/>
          <w:rtl/>
        </w:rPr>
        <w:t xml:space="preserve">آغاز: از من آن رندان صاحب دید را عشق است عشق *** مفردان وادی تجرید را عشق است عشق- بر جمال شیخ استاد نقیب پیشوا؛ انجام: ز حرف ابن سعد از چار جانب لشکر کوفی ***ز کین با حربه هر یک در بر شاه جهان /آمد یکی شمشیر می زد دیگری شمشیر برن دستش *** به جسمش تیر پیاپی در میان...</w:t>
      </w:r>
    </w:p>
    <w:p>
      <w:pPr>
        <w:pStyle w:val="BookText"/>
      </w:pPr>
      <w:r>
        <w:rPr>
          <w:rFonts w:ascii="IRNazanin" w:hAnsi="IRNazanin" w:eastAsia="IRNazanin" w:cs="IRNazanin"/>
          <w:lang w:bidi="fa-IR"/>
          <w:color w:val="111111"/>
          <w:sz w:val="28"/>
          <w:szCs w:val="28"/>
          <w:rtl/>
        </w:rPr>
        <w:t xml:space="preserve">بیاضی است شامل اشعار فارسی (اغلب مخمسات) از: مخمـس محرم، سعدی، حافظ شیرازی و شاعران دیگر که نامشان ذکر نشده است؛ خط: شکسته نستعلیق، تحریری، بی کا، تا: قرن 13؛ افتادگی: آغاز و انجام؛ ۶۲گ، مختلف السطر ، قطع: بياض رقعی، اندازه: 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۳ - ۱۲۴۴]</w:t>
      </w:r>
    </w:p>
    <w:p>
      <w:pPr>
        <w:pStyle w:val="BookText"/>
      </w:pPr>
      <w:r>
        <w:rPr>
          <w:rFonts w:ascii="IRNazanin" w:hAnsi="IRNazanin" w:eastAsia="IRNazanin" w:cs="IRNazanin"/>
          <w:lang w:bidi="fa-IR"/>
          <w:color w:val="111111"/>
          <w:sz w:val="28"/>
          <w:szCs w:val="28"/>
          <w:rtl/>
        </w:rPr>
        <w:t xml:space="preserve">۹۲۷. تهران؛ دانشسرای عالی - کتابخانه میرزا عبد العظيم خان قریب گرکانی؛ شماره نسخه: ۲۸</w:t>
      </w:r>
    </w:p>
    <w:p>
      <w:pPr>
        <w:pStyle w:val="BookText"/>
      </w:pPr>
      <w:r>
        <w:rPr>
          <w:rFonts w:ascii="IRNazanin" w:hAnsi="IRNazanin" w:eastAsia="IRNazanin" w:cs="IRNazanin"/>
          <w:lang w:bidi="fa-IR"/>
          <w:color w:val="111111"/>
          <w:sz w:val="28"/>
          <w:szCs w:val="28"/>
          <w:rtl/>
        </w:rPr>
        <w:t xml:space="preserve">جنگ اشعار فارسی از عنصری تا حسن کاشی آملی؛ خط: نستعلیق، بی کا، تا: قرن ۱۳ و ۱۴؛ قطع: خشتی [نشریه: ۵ – ۶۲۲]</w:t>
      </w:r>
    </w:p>
    <w:p>
      <w:pPr>
        <w:pStyle w:val="BookText"/>
      </w:pPr>
      <w:r>
        <w:rPr>
          <w:rFonts w:ascii="IRNazanin" w:hAnsi="IRNazanin" w:eastAsia="IRNazanin" w:cs="IRNazanin"/>
          <w:lang w:bidi="fa-IR"/>
          <w:color w:val="111111"/>
          <w:sz w:val="28"/>
          <w:szCs w:val="28"/>
          <w:rtl/>
        </w:rPr>
        <w:t xml:space="preserve">۹۲۸. قم ؛گلپایگانی؛ شماره نسخه: ۳۴۳۹-۱۷/۲۱۹</w:t>
      </w:r>
    </w:p>
    <w:p>
      <w:pPr>
        <w:pStyle w:val="BookText"/>
      </w:pPr>
      <w:r>
        <w:rPr>
          <w:rFonts w:ascii="IRNazanin" w:hAnsi="IRNazanin" w:eastAsia="IRNazanin" w:cs="IRNazanin"/>
          <w:lang w:bidi="fa-IR"/>
          <w:color w:val="111111"/>
          <w:sz w:val="28"/>
          <w:szCs w:val="28"/>
          <w:rtl/>
        </w:rPr>
        <w:t xml:space="preserve">آغاز: وینه طاغیان گمراهم نکرد *** ساقی چه خدمت کوتاهم نکرد / توم سبحاكم وهم بی سجده تو ***قامتم خم کرد چـون چوگان چو؛ انجام: کدامین به چشم تو آمد نکو *** زفعل بدو نیک خود بازگو / چو بشنید شیطان زسایل سخن *** به پاسخ گشود آن جفا جودهن</w:t>
      </w:r>
    </w:p>
    <w:p>
      <w:pPr>
        <w:pStyle w:val="BookText"/>
      </w:pPr>
      <w:r>
        <w:rPr>
          <w:rFonts w:ascii="IRNazanin" w:hAnsi="IRNazanin" w:eastAsia="IRNazanin" w:cs="IRNazanin"/>
          <w:lang w:bidi="fa-IR"/>
          <w:color w:val="111111"/>
          <w:sz w:val="28"/>
          <w:szCs w:val="28"/>
          <w:rtl/>
        </w:rPr>
        <w:t xml:space="preserve">شامل اشعاری از: کلیم ،صایب ،عیسی، مخمس هلالی، مخمس ،حاتمی ،مفتون، فغانی، فانی و شیخ شهاب الدین؛ خط: شكسـته، نستعلیق، بی کا، تا: قرن ۱۳؛ جلد: گالینگور قهوه ای با عطف پار چه ای، ۱۱۰گ، ۱۰ سطر، قطع: بیاض رقعی، اندازه: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3- 1258]</w:t>
      </w:r>
    </w:p>
    <w:p>
      <w:pPr>
        <w:pStyle w:val="BookText"/>
      </w:pPr>
      <w:r>
        <w:rPr>
          <w:rFonts w:ascii="IRNazanin" w:hAnsi="IRNazanin" w:eastAsia="IRNazanin" w:cs="IRNazanin"/>
          <w:lang w:bidi="fa-IR"/>
          <w:color w:val="111111"/>
          <w:sz w:val="28"/>
          <w:szCs w:val="28"/>
          <w:rtl/>
        </w:rPr>
        <w:t xml:space="preserve">۹۲۹. قم؛ گلپایگانی؛ شماره نسخه: ۳۰۹۰/۲-۱۶/۱۰۰</w:t>
      </w:r>
    </w:p>
    <w:p>
      <w:pPr>
        <w:pStyle w:val="BookText"/>
      </w:pPr>
      <w:r>
        <w:rPr>
          <w:rFonts w:ascii="IRNazanin" w:hAnsi="IRNazanin" w:eastAsia="IRNazanin" w:cs="IRNazanin"/>
          <w:lang w:bidi="fa-IR"/>
          <w:color w:val="111111"/>
          <w:sz w:val="28"/>
          <w:szCs w:val="28"/>
          <w:rtl/>
        </w:rPr>
        <w:t xml:space="preserve">آغاز: قصیده سرخای خان لکربی - ما للدموع لها في العين طوفان *** وللقلوب لها فى الصدر نيران؛ انجام: فرصت غنیمت اسـت عزیزان در این چمن ***فردا خزان شود همچو گل هم بر باد رفتیم</w:t>
      </w:r>
    </w:p>
    <w:p>
      <w:pPr>
        <w:pStyle w:val="BookText"/>
      </w:pPr>
      <w:r>
        <w:rPr>
          <w:rFonts w:ascii="IRNazanin" w:hAnsi="IRNazanin" w:eastAsia="IRNazanin" w:cs="IRNazanin"/>
          <w:lang w:bidi="fa-IR"/>
          <w:color w:val="111111"/>
          <w:sz w:val="28"/>
          <w:szCs w:val="28"/>
          <w:rtl/>
        </w:rPr>
        <w:t xml:space="preserve">حاوی این مطالب قصیده سوی خان لکزی، قصیده نونیه بستی، مناجات عرفی، شعری از: سعدی، قصیده برده با ترجمه منظوم فارسی، قصیده احمد بن لطفعلی تبریزی در مدح علی (علیه السّلام)، قصیده منسوب به حضرت حجت (علیه السّلام) اشعاری از: صائب، سعدی، جامی، مخفی، عرفی، ساقی نامه ،خاقانی، رحیم، قصيده ملامحمد علی خویی و قصیده ای که وی در مدح میرزا ابوالقاسم قائم مقام گفته است؛ خط: تحریری، بی کا، تا: قرن ۱۳؛ جلد: تیماج مشکی ضربی مجدول، ۵۴گ، ۱۶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۳ - ۱۲۶۰]</w:t>
      </w:r>
    </w:p>
    <w:p>
      <w:pPr>
        <w:pStyle w:val="BookText"/>
      </w:pPr>
      <w:r>
        <w:rPr>
          <w:rFonts w:ascii="IRNazanin" w:hAnsi="IRNazanin" w:eastAsia="IRNazanin" w:cs="IRNazanin"/>
          <w:lang w:bidi="fa-IR"/>
          <w:color w:val="111111"/>
          <w:sz w:val="28"/>
          <w:szCs w:val="28"/>
          <w:rtl/>
        </w:rPr>
        <w:t xml:space="preserve">۹۳۰. تهران؛ مجلس؛ شماره نسخه: ۳۲۵۸</w:t>
      </w:r>
    </w:p>
    <w:p>
      <w:pPr>
        <w:pStyle w:val="BookText"/>
      </w:pPr>
      <w:r>
        <w:rPr>
          <w:rFonts w:ascii="IRNazanin" w:hAnsi="IRNazanin" w:eastAsia="IRNazanin" w:cs="IRNazanin"/>
          <w:lang w:bidi="fa-IR"/>
          <w:color w:val="111111"/>
          <w:sz w:val="28"/>
          <w:szCs w:val="28"/>
          <w:rtl/>
        </w:rPr>
        <w:t xml:space="preserve">آغاز: (اولین بیت قصیده ای از ناصر خسرو): ای قبه گردنده  بی روزن خضرا *** ياقوت فرتوتی و یاقوت برنا - آغاز رباعیات متفرقه: گویند مرو از پی آن سرو بلند *** انگشت نمای خلق بودن تا چند / بیفایده پندم مدهای دانشمند*** من چون نروم چو میبرندم بکمند؛ انجام: (اشعار بابا فغانی): صد مرده زنده کرده  فغانی طبیب شهر *** من از دعای کیست که رنجور مانده ام. پایان جنگ: اگر چشم گشایم به جمال تو خوش است *** ور دیده ببندم بجمال تو خوش است / هیچ از تو بجز فراق تو ناخوش هست *** آن نیز به امید وصال تو خوش است</w:t>
      </w:r>
    </w:p>
    <w:p>
      <w:pPr>
        <w:pStyle w:val="BookText"/>
      </w:pPr>
      <w:r>
        <w:rPr>
          <w:rFonts w:ascii="IRNazanin" w:hAnsi="IRNazanin" w:eastAsia="IRNazanin" w:cs="IRNazanin"/>
          <w:lang w:bidi="fa-IR"/>
          <w:color w:val="111111"/>
          <w:sz w:val="28"/>
          <w:szCs w:val="28"/>
          <w:rtl/>
        </w:rPr>
        <w:t xml:space="preserve">گزیده هایی است از اشعار شعرای متقدم و متأخر. انتخاب کننده اشعار (که نام خود را یاد نکرده) بر روی یک برگ اضافی آغاز جنگ، فهرست اسامی شاعرانی که گزیده اشعارشان در این جنگ آمده یاد کرده و بالای آن چنین نوشته: «از آنچه دیوان آنها مطبوع و موجود و معروف است کمتر ذکر شده که انتخاب آن را خلاف ادب دانسته و از بعضی آنچه یافته نوشته است و انتخاب نکرده و دیوان ایشان را ندیده» گویا منظور از معاریف سعدی و حافظ است که نامشان را نیاورده، در آغاز ذکر منتخبات اشعار عنصری، شرح حال او را در ۵ صفحه و نیم  (۲۹۴-۲۸۹ دفتر) نوشته است و برای دیگر شاعران شرح حال نیاورده است، برخی از شاعران را به تکرار یاد کرده و از ابن سینا یک قصیده آورده اینک اسامی شعراء یاد شده در این جنگ مطابق آغاز دفتر (شماره صفحات در فهرست آمده است): ناصر خسرو، مسعود سعد سلمان، حکیم سنائی، امیر معزی، انوری، حکیم رودکی، حکیم عنصری، منوچهری شصت کلمه در نسخه منوچهری، مختاری غزنوی، سید حسن غزنوی، فرخی خراسانی، عبدالواسع جبلی، غضائری رازی، عنصری در پاسخ عضایری، مسعود سعد در پاسخ  غضائری، جمال الدین اصفهانی، رشید الدین وطواط، ادیب صابر، حکیم قطران تبریزی، لامعی گرگانی، فلکی شیروانی ،اسدی طوسی، رکن الدین دعوی دار، سراج الدین قمری، عسجدی غزنوی، غیاث شیروانی، فریدالدین  احول، فلکی شیروانی ،عمعق بخارائی، کمال الدین اصفهانی، مجد همگر، شیخ ابوعلی سینا، حکیم سوزنی، رضی الدین نیشابوری، بیانی هروی، خواجوی کرمانی، جمال کازرونی، مولانا شمس تبریزی ،نظامی، امیدی ،تهرانی، عمادی غزنوی، عماد شهریاری،
</w:t>
      </w:r>
    </w:p>
    <w:p>
      <w:pPr>
        <w:sectPr>
          <w:footerReference w:type="default" r:id="rId8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عماد فقیه کرمانی، شاه طاهر، شاپور تهرانی، شریف تبریزی،عبید زاکانی، میلی ترک، محتشم کاشانی، ارشد کازرونی، بابا فغانی، از ص ۵۸۱ تا پایان دفتر رباعیات متفرقه است، شعری که از بوعلی سینا آورده یک قصیده است بدین مطلع: «غذای روح بود مـاده رحيق الحق ***که رنگ و بوش کند رنگ و بوی گل رادق/ عقیق پیکر و یاقوت فام و لعل مثال *** همای گردد اگر قطره ای بنده شدبق» ، شعری را که به نام شمس تبریزی آوردی غزلی است از دیوان شمس مولوی رومی که مطلعش این است: «روزها فـکر من این است و همه شب سخنم *** که چرا غافل از احوال دل حویشتنم»؛ خط: نستعلیق، بی کا، تا: قرن ۱۳؛ کاغذ: فرنگی، سفـید،جلد: تیماج قرمز، ۵۸۷ ص، ۲۱ سطر، قطع: خشتی [ف: ۱۰-۸۴۹]</w:t>
      </w:r>
    </w:p>
    <w:p>
      <w:pPr>
        <w:pStyle w:val="BookText"/>
      </w:pPr>
      <w:r>
        <w:rPr>
          <w:rFonts w:ascii="Times New Roman" w:hAnsi="Times New Roman" w:eastAsia="Times New Roman" w:cs="Times New Roman"/>
          <w:lang w:val="en-US" w:bidi="en-US"/>
          <w:color w:val="111111"/>
          <w:sz w:val="28"/>
          <w:szCs w:val="28"/>
          <w:rtl/>
        </w:rPr>
        <w:t xml:space="preserve">931.</w:t>
      </w:r>
    </w:p>
    <w:p>
      <w:pPr>
        <w:pStyle w:val="BookText"/>
      </w:pPr>
      <w:r>
        <w:rPr>
          <w:rFonts w:ascii="IRNazanin" w:hAnsi="IRNazanin" w:eastAsia="IRNazanin" w:cs="IRNazanin"/>
          <w:lang w:bidi="fa-IR"/>
          <w:color w:val="111111"/>
          <w:sz w:val="28"/>
          <w:szCs w:val="28"/>
          <w:rtl/>
        </w:rPr>
        <w:t xml:space="preserve">تهران؛ ملی؛ شماره نسخه: ۹۲۷</w:t>
      </w:r>
    </w:p>
    <w:p>
      <w:pPr>
        <w:pStyle w:val="BookText"/>
      </w:pPr>
      <w:r>
        <w:rPr>
          <w:rFonts w:ascii="IRNazanin" w:hAnsi="IRNazanin" w:eastAsia="IRNazanin" w:cs="IRNazanin"/>
          <w:lang w:bidi="fa-IR"/>
          <w:color w:val="111111"/>
          <w:sz w:val="28"/>
          <w:szCs w:val="28"/>
          <w:rtl/>
        </w:rPr>
        <w:t xml:space="preserve">آغاز: ای زلف نگارای حبشی زاده شبرنگ *** ای اصل تو از نوبه و ای نسل تو از زنگ؛ انجام: یاد ده ما را سخنهای رقیق*** که ترا رحم آورد هان ای رفیق</w:t>
      </w:r>
    </w:p>
    <w:p>
      <w:pPr>
        <w:pStyle w:val="BookText"/>
      </w:pPr>
      <w:r>
        <w:rPr>
          <w:rFonts w:ascii="IRNazanin" w:hAnsi="IRNazanin" w:eastAsia="IRNazanin" w:cs="IRNazanin"/>
          <w:lang w:bidi="fa-IR"/>
          <w:color w:val="111111"/>
          <w:sz w:val="28"/>
          <w:szCs w:val="28"/>
          <w:rtl/>
        </w:rPr>
        <w:t xml:space="preserve">دیوان شعریست بدون نام شاعر حاوی چند قصیده با قافیه هـای کاف و قاف؛ خط: شکسته نستعلیق، بی کا، تا: محتملاً قرن13 ؛کاغذ: فرنگی ،جلد: تیماج قرمز، یک لا، ۲۷گ ۱۰ سطر (۸/۵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۲ - ۴۵۹]</w:t>
      </w:r>
    </w:p>
    <w:p>
      <w:pPr>
        <w:pStyle w:val="BookText"/>
      </w:pPr>
      <w:r>
        <w:rPr>
          <w:rFonts w:ascii="IRNazanin" w:hAnsi="IRNazanin" w:eastAsia="IRNazanin" w:cs="IRNazanin"/>
          <w:lang w:bidi="fa-IR"/>
          <w:color w:val="111111"/>
          <w:sz w:val="28"/>
          <w:szCs w:val="28"/>
          <w:rtl/>
        </w:rPr>
        <w:t xml:space="preserve">۹۳۲ . اصفهان؛ مهدوی، مصلح الدین؛ شماره نسخه: ۱۴۷</w:t>
      </w:r>
    </w:p>
    <w:p>
      <w:pPr>
        <w:pStyle w:val="BookText"/>
      </w:pPr>
      <w:r>
        <w:rPr>
          <w:rFonts w:ascii="IRNazanin" w:hAnsi="IRNazanin" w:eastAsia="IRNazanin" w:cs="IRNazanin"/>
          <w:lang w:bidi="fa-IR"/>
          <w:color w:val="111111"/>
          <w:sz w:val="28"/>
          <w:szCs w:val="28"/>
          <w:rtl/>
        </w:rPr>
        <w:t xml:space="preserve">آغاز: نداند به میدان هم آورد خود *** دو صد مرد چون عمر[و] بن عبدود؛ انجام: بحمد الله از الطاف خداوند *** به پایان آمد این ابيات دلبند / دلم می خواست ز اول تا به آخر *** کن بر دوستان این جمله ظاهر / در اینجا که چه نظمش ناتمام است *** بشـهر چین مصر این قصه عام است</w:t>
      </w:r>
    </w:p>
    <w:p>
      <w:pPr>
        <w:pStyle w:val="BookText"/>
      </w:pPr>
      <w:r>
        <w:rPr>
          <w:rFonts w:ascii="IRNazanin" w:hAnsi="IRNazanin" w:eastAsia="IRNazanin" w:cs="IRNazanin"/>
          <w:lang w:bidi="fa-IR"/>
          <w:color w:val="111111"/>
          <w:sz w:val="28"/>
          <w:szCs w:val="28"/>
          <w:rtl/>
        </w:rPr>
        <w:t xml:space="preserve">خط: نسخ تحریری، بی کا، تا: قرن ۱۳؛ افتادگی: آغاز؛جـلد: تیماج قهوه ای، ۲۳۱گ، ۱۲ 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۱۷/۵سم [ف: 147]</w:t>
      </w:r>
    </w:p>
    <w:p>
      <w:pPr>
        <w:pStyle w:val="BookText"/>
      </w:pPr>
      <w:r>
        <w:rPr>
          <w:rFonts w:ascii="IRNazanin" w:hAnsi="IRNazanin" w:eastAsia="IRNazanin" w:cs="IRNazanin"/>
          <w:lang w:bidi="fa-IR"/>
          <w:color w:val="111111"/>
          <w:sz w:val="28"/>
          <w:szCs w:val="28"/>
          <w:rtl/>
        </w:rPr>
        <w:t xml:space="preserve">۹۳۳. تهران؛ ملی؛ شماره نسخه: ۳۲۱/۴</w:t>
      </w:r>
    </w:p>
    <w:p>
      <w:pPr>
        <w:pStyle w:val="BookText"/>
      </w:pPr>
      <w:r>
        <w:rPr>
          <w:rFonts w:ascii="IRNazanin" w:hAnsi="IRNazanin" w:eastAsia="IRNazanin" w:cs="IRNazanin"/>
          <w:lang w:bidi="fa-IR"/>
          <w:color w:val="111111"/>
          <w:sz w:val="28"/>
          <w:szCs w:val="28"/>
          <w:rtl/>
        </w:rPr>
        <w:t xml:space="preserve">آغاز: بسمله عزیزان دوستان مهر آفرنيان *** شهیدان کشتگان محنت قرینان؛ انجام: در دهر هر آنکه دل بمهر تو نهد *** اینسـت جزاش احسن الله جزاك</w:t>
      </w:r>
    </w:p>
    <w:p>
      <w:pPr>
        <w:pStyle w:val="BookText"/>
      </w:pPr>
      <w:r>
        <w:rPr>
          <w:rFonts w:ascii="IRNazanin" w:hAnsi="IRNazanin" w:eastAsia="IRNazanin" w:cs="IRNazanin"/>
          <w:lang w:bidi="fa-IR"/>
          <w:color w:val="111111"/>
          <w:sz w:val="28"/>
          <w:szCs w:val="28"/>
          <w:rtl/>
        </w:rPr>
        <w:t xml:space="preserve">سفینه اشعار است شامل: یک مثنوی و یک قصیده (۸۴-۹۹)،بحر طويل ،(۹۹-۱۰۲) چند قطعه شعر (۱۰۳-۱۰۸)؛ خط: نسخ نستعلیق، بی کا، تا: قرن ۱۳؛ کاغذ: فرنگی، فستقی ،جلد: تیماج مشکی، ۱۵ سطر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۱ - ۳۱۷]</w:t>
      </w:r>
    </w:p>
    <w:p>
      <w:pPr>
        <w:pStyle w:val="BookText"/>
      </w:pPr>
      <w:r>
        <w:rPr>
          <w:rFonts w:ascii="IRNazanin" w:hAnsi="IRNazanin" w:eastAsia="IRNazanin" w:cs="IRNazanin"/>
          <w:lang w:bidi="fa-IR"/>
          <w:color w:val="111111"/>
          <w:sz w:val="28"/>
          <w:szCs w:val="28"/>
          <w:rtl/>
        </w:rPr>
        <w:t xml:space="preserve">۹۳۴. تهران؛ ملک؛ شماره نسخه: ۴۰۵۷/۱۱۴</w:t>
      </w:r>
    </w:p>
    <w:p>
      <w:pPr>
        <w:pStyle w:val="BookText"/>
      </w:pPr>
      <w:r>
        <w:rPr>
          <w:rFonts w:ascii="IRNazanin" w:hAnsi="IRNazanin" w:eastAsia="IRNazanin" w:cs="IRNazanin"/>
          <w:lang w:bidi="fa-IR"/>
          <w:color w:val="111111"/>
          <w:sz w:val="28"/>
          <w:szCs w:val="28"/>
          <w:rtl/>
        </w:rPr>
        <w:t xml:space="preserve">گلچینی از اشعار عرفانی است؛ خط: شکسته نستعلیق، کا: محـمد زمان بن کلبعلی متطبب خراسانی، تا: قرن ۱۳؛ اگ (۲۱۳ ر و پ[ف: ۷ - ۱۹۲]</w:t>
      </w:r>
    </w:p>
    <w:p>
      <w:pPr>
        <w:pStyle w:val="BookText"/>
      </w:pPr>
      <w:r>
        <w:rPr>
          <w:rFonts w:ascii="IRNazanin" w:hAnsi="IRNazanin" w:eastAsia="IRNazanin" w:cs="IRNazanin"/>
          <w:lang w:bidi="fa-IR"/>
          <w:color w:val="111111"/>
          <w:sz w:val="28"/>
          <w:szCs w:val="28"/>
          <w:rtl/>
        </w:rPr>
        <w:t xml:space="preserve">۹۳۵. تهران؛ سلطنتی؛ شماره نسخه: ۲۹۸۱</w:t>
      </w:r>
    </w:p>
    <w:p>
      <w:pPr>
        <w:pStyle w:val="BookText"/>
      </w:pPr>
      <w:r>
        <w:rPr>
          <w:rFonts w:ascii="IRNazanin" w:hAnsi="IRNazanin" w:eastAsia="IRNazanin" w:cs="IRNazanin"/>
          <w:lang w:bidi="fa-IR"/>
          <w:color w:val="111111"/>
          <w:sz w:val="28"/>
          <w:szCs w:val="28"/>
          <w:rtl/>
        </w:rPr>
        <w:t xml:space="preserve">مشتمل است بر منتخبی از قصاید، مقطعات، ترجیع بند، سـجرحلال، قصيده مصنوع از لامعی جرجانی ،هاتف، اهلی شیرازی، سلمان ساوجی؛ خط: شکسته نستعلیق، کا: میرزا ابراهیم (میـرزا آقا)، تا: ۱۲۷۷-۱۲۷۸؛ پشت صفحه اول: این نسخه در سال ۱۳۰۶ توسط محمد حسن میرزا میر آخور به ناصر الدین شاه هدیه شده، مجدول کمند کشی زرین، سه سرلوح و سه کتیبه مذهب مرصع؛ کاغذ: ترمه آهار مهره ،جلد: مقوای روغنی بوم لیموئی رنگ، ۱۳۹ ص، ۱۲ سطر، قطع: رقعی،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۱۹/۸سم [ف: 4- 1094]</w:t>
      </w:r>
    </w:p>
    <w:p>
      <w:pPr>
        <w:pStyle w:val="BookText"/>
      </w:pPr>
      <w:r>
        <w:rPr>
          <w:rFonts w:ascii="IRNazanin" w:hAnsi="IRNazanin" w:eastAsia="IRNazanin" w:cs="IRNazanin"/>
          <w:lang w:bidi="fa-IR"/>
          <w:color w:val="111111"/>
          <w:sz w:val="28"/>
          <w:szCs w:val="28"/>
          <w:rtl/>
        </w:rPr>
        <w:t xml:space="preserve">۹۳۶. قم؛ مرعشی؛ شماره نسخه: ۱۲۸۵۷/۳</w:t>
      </w:r>
    </w:p>
    <w:p>
      <w:pPr>
        <w:pStyle w:val="BookText"/>
      </w:pPr>
      <w:r>
        <w:rPr>
          <w:rFonts w:ascii="IRNazanin" w:hAnsi="IRNazanin" w:eastAsia="IRNazanin" w:cs="IRNazanin"/>
          <w:lang w:bidi="fa-IR"/>
          <w:color w:val="111111"/>
          <w:sz w:val="28"/>
          <w:szCs w:val="28"/>
          <w:rtl/>
        </w:rPr>
        <w:t xml:space="preserve">آغاز: تبارک خالق بیچون تعالى ربنا الاعلى *** حكيم و عالم قدیم و فرد بی همتا / سخن از واجبات آمد به نام حق ادا کردم *** که نام ذات پاکست اوست مقصود همه اشیاء؛ انجام: هجری از پر گفتنت مقصود چیست *** زین شکایتها که کردی سود چیست / لب ببند از این حکایت لب ببند *** گوش کن قول حکیم هوشمند / شرح این هجران و این خون جگر *** این زمان بگذار تا وقت دگر</w:t>
      </w:r>
    </w:p>
    <w:p>
      <w:pPr>
        <w:pStyle w:val="BookText"/>
      </w:pPr>
      <w:r>
        <w:rPr>
          <w:rFonts w:ascii="IRNazanin" w:hAnsi="IRNazanin" w:eastAsia="IRNazanin" w:cs="IRNazanin"/>
          <w:lang w:bidi="fa-IR"/>
          <w:color w:val="111111"/>
          <w:sz w:val="28"/>
          <w:szCs w:val="28"/>
          <w:rtl/>
        </w:rPr>
        <w:t xml:space="preserve">از: هجری اشعاری عرفانی در حقیقت عشق است، به گونه ای که در مقدمه آمده از عارفی است که در باب عشق حقیقت به رشته نظم در آورده است، نام سراینده یافت نشد لیکن در چند مورد خود را «هجری» خوانده است، و این تخلص افراد بسیاری است؛ خط: شکسته نستعلیق، بی کا، تا: قرن ۱۳؛ محشی، مجدول؛ کاغذ ،فرنگی ،جلد: تیماج سوخت ضربی مجدول و مذهب با ترنج زمینه ،طلا، ۴گ (۲۵۹ر -۲۶۲ر)، ۱۸ سطر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اندازه: ۲۱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۳۰سم[ف: ۳۲ - ۶۲۶]</w:t>
      </w:r>
    </w:p>
    <w:p>
      <w:pPr>
        <w:pStyle w:val="BookText"/>
      </w:pPr>
      <w:r>
        <w:rPr>
          <w:rFonts w:ascii="IRNazanin" w:hAnsi="IRNazanin" w:eastAsia="IRNazanin" w:cs="IRNazanin"/>
          <w:lang w:bidi="fa-IR"/>
          <w:color w:val="111111"/>
          <w:sz w:val="28"/>
          <w:szCs w:val="28"/>
          <w:rtl/>
        </w:rPr>
        <w:t xml:space="preserve">۹۳۷. تهران؛ ملک؛ شماره نسخه: ۴۸۱۸/۶</w:t>
      </w:r>
    </w:p>
    <w:p>
      <w:pPr>
        <w:pStyle w:val="BookText"/>
      </w:pPr>
      <w:r>
        <w:rPr>
          <w:rFonts w:ascii="IRNazanin" w:hAnsi="IRNazanin" w:eastAsia="IRNazanin" w:cs="IRNazanin"/>
          <w:lang w:bidi="fa-IR"/>
          <w:color w:val="111111"/>
          <w:sz w:val="28"/>
          <w:szCs w:val="28"/>
          <w:rtl/>
        </w:rPr>
        <w:t xml:space="preserve">آغاز: مکن در جسم و جان منزل که این دون است و آن والا *** قدم زین هر دو بیرون نه نه اینجا باش و نه آنجا؛ انجام: ... تا مگر یک نفسم بوی تو آرد دم صبح *** همه شب منتظر مرغ سحر خوان بودم / سعدی از جور فراغت همه روز این گوید***عهد بشکستی و من بر سر پیمان بودم</w:t>
      </w:r>
    </w:p>
    <w:p>
      <w:pPr>
        <w:pStyle w:val="BookText"/>
      </w:pPr>
      <w:r>
        <w:rPr>
          <w:rFonts w:ascii="IRNazanin" w:hAnsi="IRNazanin" w:eastAsia="IRNazanin" w:cs="IRNazanin"/>
          <w:lang w:bidi="fa-IR"/>
          <w:color w:val="111111"/>
          <w:sz w:val="28"/>
          <w:szCs w:val="28"/>
          <w:rtl/>
        </w:rPr>
        <w:t xml:space="preserve">منتخبات اشعار عرفانی است قصیده و غزلیاتی از سنائی، حافظ شیرازی، سید نعمت الله کرمانی، سعدی شیرازی؛ خط: شکسته نستعلیق، بی کا، تا: قرن ۱۳؛ کاغذ: آهار مهره فرنگی، جلد: میشن قرمز ضربی، ۱۵گ، (۲۰۹ پ - ۲۲۴ پ)، ۱۶ سطر، اندازه:۱۴/۲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۲۱/۶سم [ف: ۸ - ۱۰۳]</w:t>
      </w:r>
    </w:p>
    <w:p>
      <w:pPr>
        <w:pStyle w:val="BookText"/>
      </w:pPr>
      <w:r>
        <w:rPr>
          <w:rFonts w:ascii="IRNazanin" w:hAnsi="IRNazanin" w:eastAsia="IRNazanin" w:cs="IRNazanin"/>
          <w:lang w:bidi="fa-IR"/>
          <w:color w:val="111111"/>
          <w:sz w:val="28"/>
          <w:szCs w:val="28"/>
          <w:rtl/>
        </w:rPr>
        <w:t xml:space="preserve">۹۳۸. مشهد؛ رضوی؛ شماره نسخه: ۴۵۰۰</w:t>
      </w:r>
    </w:p>
    <w:p>
      <w:pPr>
        <w:pStyle w:val="BookText"/>
      </w:pPr>
      <w:r>
        <w:rPr>
          <w:rFonts w:ascii="IRNazanin" w:hAnsi="IRNazanin" w:eastAsia="IRNazanin" w:cs="IRNazanin"/>
          <w:lang w:bidi="fa-IR"/>
          <w:color w:val="111111"/>
          <w:sz w:val="28"/>
          <w:szCs w:val="28"/>
          <w:rtl/>
        </w:rPr>
        <w:t xml:space="preserve">آغاز: ای بلبلان جان چونی اندر قفس تن ها *** تا چند درین تن ها مانی تو تن تنها؛ انجام: براهل نظر حسن رخش کرد تجلی ***خورشید سراپرده اسرار بر آمد</w:t>
      </w:r>
    </w:p>
    <w:p>
      <w:pPr>
        <w:pStyle w:val="BookText"/>
      </w:pPr>
      <w:r>
        <w:rPr>
          <w:rFonts w:ascii="IRNazanin" w:hAnsi="IRNazanin" w:eastAsia="IRNazanin" w:cs="IRNazanin"/>
          <w:lang w:bidi="fa-IR"/>
          <w:color w:val="111111"/>
          <w:sz w:val="28"/>
          <w:szCs w:val="28"/>
          <w:rtl/>
        </w:rPr>
        <w:t xml:space="preserve">منتخبات مفصل غزلیات است به ترتیب حرف آخر از الف تا یاء، از شمس مغربی، عطار نیشابوری ،مولانای روم، شاه نعمة الله کرمانی، شاه قاسم انوار تبریزی، حافظ شیرازی، عبدالرحمن جامی، ملامحسن فیض کاشی، حزین لاهیجی، به دنبال غزلیات یک مثنوی از شاه نعمة الله است چهار ترجیع بند از شاه قاسم انوار و حافظ و جامی و در آخر غزلی مستزاد از مولانای روم؛خط: شکسته نستعلیق، بی کا، تا: قرن ۱۳؛ افتادگی: انجام؛ واقف نایینی؛
</w:t>
      </w:r>
    </w:p>
    <w:p>
      <w:pPr>
        <w:sectPr>
          <w:footerReference w:type="default" r:id="rId8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كاغذ: سفید فرنگی آهار مهره، جلد: تیماج یشمی، ۳۵۴گ،16 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 اندازه: 16</w:t>
      </w:r>
      <w:r>
        <w:rPr>
          <w:rFonts w:ascii="Times New Roman" w:hAnsi="Times New Roman" w:eastAsia="Times New Roman" w:cs="Times New Roman"/>
          <w:lang w:val="en-US" w:bidi="en-US"/>
          <w:color w:val="111111"/>
          <w:sz w:val="28"/>
          <w:szCs w:val="28"/>
          <w:rtl/>
        </w:rPr>
        <w:t xml:space="preserve">×21/7</w:t>
      </w:r>
      <w:r>
        <w:rPr>
          <w:rFonts w:ascii="IRNazanin" w:hAnsi="IRNazanin" w:eastAsia="IRNazanin" w:cs="IRNazanin"/>
          <w:lang w:bidi="fa-IR"/>
          <w:color w:val="111111"/>
          <w:sz w:val="28"/>
          <w:szCs w:val="28"/>
          <w:rtl/>
        </w:rPr>
        <w:t xml:space="preserve">سم [ف: ۷ - ۵۸۲]</w:t>
      </w:r>
    </w:p>
    <w:p>
      <w:pPr>
        <w:pStyle w:val="BookText"/>
      </w:pPr>
      <w:r>
        <w:rPr>
          <w:rFonts w:ascii="IRNazanin" w:hAnsi="IRNazanin" w:eastAsia="IRNazanin" w:cs="IRNazanin"/>
          <w:lang w:bidi="fa-IR"/>
          <w:color w:val="111111"/>
          <w:sz w:val="28"/>
          <w:szCs w:val="28"/>
          <w:rtl/>
        </w:rPr>
        <w:t xml:space="preserve">۹۳۹. تهران؛ دانشگاه شماره نسخه: ۴۶۶۶/۱۷</w:t>
      </w:r>
    </w:p>
    <w:p>
      <w:pPr>
        <w:pStyle w:val="BookText"/>
      </w:pPr>
      <w:r>
        <w:rPr>
          <w:rFonts w:ascii="IRNazanin" w:hAnsi="IRNazanin" w:eastAsia="IRNazanin" w:cs="IRNazanin"/>
          <w:lang w:bidi="fa-IR"/>
          <w:color w:val="111111"/>
          <w:sz w:val="28"/>
          <w:szCs w:val="28"/>
          <w:rtl/>
        </w:rPr>
        <w:t xml:space="preserve">شامل اشعاری از آذر (۲۲۵)، میرزا ابراهیم صفا (مثنوی)، خـرم، جوهری، صافی (قصیده هفده مرغ) (۲۳۶-۲۶۳)، هاتف، صباحی، وامق، کمال فارسی، فتحعلی خان صبا (۲۸۷-۲۹۷)، خالـص (ترجیع بند بترتيب تهجی در ستایش علی)، شاه نعمة الله (313)؛ خط: نسخ و نستعلیق، بی کا ،تا: قرن ۱۱ و ۱۳؛ راسته و چلیپا؛ کاغذ: سپاهانی، جلد: تیماج سبز ضربی ترنجی، ۸۹ص (۲۲۵-۳۱۳)، 21سطر (8</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۱۴ - ۳۶۱۴]</w:t>
      </w:r>
    </w:p>
    <w:p>
      <w:pPr>
        <w:pStyle w:val="BookText"/>
      </w:pPr>
      <w:r>
        <w:rPr>
          <w:rFonts w:ascii="IRNazanin" w:hAnsi="IRNazanin" w:eastAsia="IRNazanin" w:cs="IRNazanin"/>
          <w:lang w:bidi="fa-IR"/>
          <w:color w:val="111111"/>
          <w:sz w:val="28"/>
          <w:szCs w:val="28"/>
          <w:rtl/>
        </w:rPr>
        <w:t xml:space="preserve">۹۴۰. قم؛ مرعشی؛ شماره نسخه: ۱۳۰۹۲</w:t>
      </w:r>
    </w:p>
    <w:p>
      <w:pPr>
        <w:pStyle w:val="BookText"/>
      </w:pPr>
      <w:r>
        <w:rPr>
          <w:rFonts w:ascii="IRNazanin" w:hAnsi="IRNazanin" w:eastAsia="IRNazanin" w:cs="IRNazanin"/>
          <w:lang w:bidi="fa-IR"/>
          <w:color w:val="111111"/>
          <w:sz w:val="28"/>
          <w:szCs w:val="28"/>
          <w:rtl/>
        </w:rPr>
        <w:t xml:space="preserve">آغاز: شکر و سپاس و منت و عزت خدایرا *** پرودگار خلق و خداوند كبريا / دادار غیب دان و نگهدار آسمان*** رزاق بـنده پرود خلاق رهنما؛ انجام: بی پا و سران دشت خون آشامی*** مردند بحسرت غم ناکامی / محنت زدگان وادی عشق ترا*** هجران کشد و اجل کشد بدنامی</w:t>
      </w:r>
    </w:p>
    <w:p>
      <w:pPr>
        <w:pStyle w:val="BookText"/>
      </w:pPr>
      <w:r>
        <w:rPr>
          <w:rFonts w:ascii="IRNazanin" w:hAnsi="IRNazanin" w:eastAsia="IRNazanin" w:cs="IRNazanin"/>
          <w:lang w:bidi="fa-IR"/>
          <w:color w:val="111111"/>
          <w:sz w:val="28"/>
          <w:szCs w:val="28"/>
          <w:rtl/>
        </w:rPr>
        <w:t xml:space="preserve">مجموعه اشعار نغزی است که از سروده های شاعران گوناگـون انتخاب شده و در چهار بخش جداگانه تنظیم شده است: 1.قصاید عده ای از شاعران که از لحاظ عروضی گروه بندی شده و به ترتیب الفبائی آمده است، ۲. اشعار و غزلیاتی از شاعران گوناگون به ترتیب حروف تهجی، ۳. تک بیتی هائی از هر شـاعر به ترتیب حروف تهجی، ۴. رباعیات مختلف از شاعران گوناگـون حروف تهجی. اسامی برخی از شاعرانی که اشعار آنان آمده بدین</w:t>
      </w:r>
    </w:p>
    <w:p>
      <w:pPr>
        <w:pStyle w:val="BookText"/>
      </w:pPr>
      <w:r>
        <w:rPr>
          <w:rFonts w:ascii="IRNazanin" w:hAnsi="IRNazanin" w:eastAsia="IRNazanin" w:cs="IRNazanin"/>
          <w:lang w:bidi="fa-IR"/>
          <w:color w:val="111111"/>
          <w:sz w:val="28"/>
          <w:szCs w:val="28"/>
          <w:rtl/>
        </w:rPr>
        <w:t xml:space="preserve">شرح است :سعدی، لاادری، عاشق اصفهانی، ابوالفرج، مسعود سعد سلمان، رشیدالدین وطواط، نظام استرآبادی، ابوالعـلاء گنجه ای، عنصری بلخی، جمال الدین اصفهانی خاقانی شروانی، آذر بیگدلی، نظیری نیشابوری، طبیب اصفهانی، عرفی شیرازی، ظهیر قاریابی ،انوری، طوفان هزار جریبی، می مشتاق، عاشـق، زلالی کرمانی، شمس الدین طبی، سلمان ساوجی، میلی ترک، امیدی تهرانی، بنائی هروی، سید ذوالفقار ،شیروانی، دقیقی سـمر قندی، فرخی سیستانی، عبدالواسع جبلی، هروی، کمال اسماعیل ،بخارائی، قطران تبریزی، سوزنی اسماعیل، اهلی شیرزای، طفـیلی جلایر، اثیرالدین، مایلی ،شاملو، فرید احول اصفهانی، اشرقی سمر قندی، مجد همگر شیرزای، مجير الدين بیلقانی، صدقی استر آبادی، محتشم کاشانی، رفیع الدین اصفهانی، ملا عرفی، ابوالعباس، مختار غزنوی، طالب آملی، شهاب الدین غزنوی، عـماد شهریاری، شرف الدین اصفهانی، سنائی، آغاجی بخارا ئی عنصری ،بلخی، سید حسین غزنوی ،سیفی نیشابوری،شـعله اصفهانی، داعی تفرشی ،فریدی شیرازی، امیدی تهرانی، امیر خسرو دهلوی ،مولانا، فطری طوسی، ابوسعید ابوالخیر، مصاحـب، ادیب صابر طوسی ،رودگی سیف الدین اسفراینی، حاجی سلیمان صاحب، ناصر خسرو، فلکی شیروانی، اسیر اصفهانی، هاتف اصفهانی، شجاع کاشی، بابافغانی، غرقی طوسی، وحیدی،آفرین اصفهانی ،حافظ، شرف جهان، صهبای قمی، حزنی نادم گیلانی، درویش مجید، شهیدی قمی، دبیری استر آبادی، مسیح ساوجی، میر نصیر راضی و ...؛ خط: نستعلیق، بی کا، تا: قرن ۱۳؛ مصحح، محشی ،مجدول؛ کاغذ: فرنگی آهار مهره، جلد: تیماج  عنابی ضربی، ۲۸۴گ، ۱۹ سطر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۲۲۷/۵  سم[ ف: ۳۳ - ۱۶۳]</w:t>
      </w:r>
    </w:p>
    <w:p>
      <w:pPr>
        <w:pStyle w:val="BookText"/>
      </w:pPr>
      <w:r>
        <w:rPr>
          <w:rFonts w:ascii="IRNazanin" w:hAnsi="IRNazanin" w:eastAsia="IRNazanin" w:cs="IRNazanin"/>
          <w:lang w:bidi="fa-IR"/>
          <w:color w:val="111111"/>
          <w:sz w:val="28"/>
          <w:szCs w:val="28"/>
          <w:rtl/>
        </w:rPr>
        <w:t xml:space="preserve">۹۴۱. قم؛ مرعشی؛ شماره نسخه: ۱۲۸۵۷/۲</w:t>
      </w:r>
    </w:p>
    <w:p>
      <w:pPr>
        <w:pStyle w:val="BookText"/>
      </w:pPr>
      <w:r>
        <w:rPr>
          <w:rFonts w:ascii="IRNazanin" w:hAnsi="IRNazanin" w:eastAsia="IRNazanin" w:cs="IRNazanin"/>
          <w:lang w:bidi="fa-IR"/>
          <w:color w:val="111111"/>
          <w:sz w:val="28"/>
          <w:szCs w:val="28"/>
          <w:rtl/>
        </w:rPr>
        <w:t xml:space="preserve">آغاز: یا من بدأ جمالك فى كل ما بدا*** بادا هزار جان مقدس ترا فدا ... ای مهر سپهر بی وفائی *** بر هم زن رسم آشنایی؛</w:t>
      </w:r>
    </w:p>
    <w:p>
      <w:pPr>
        <w:pStyle w:val="BookText"/>
      </w:pPr>
      <w:r>
        <w:rPr>
          <w:rFonts w:ascii="IRNazanin" w:hAnsi="IRNazanin" w:eastAsia="IRNazanin" w:cs="IRNazanin"/>
          <w:lang w:bidi="fa-IR"/>
          <w:color w:val="111111"/>
          <w:sz w:val="28"/>
          <w:szCs w:val="28"/>
          <w:rtl/>
        </w:rPr>
        <w:t xml:space="preserve">انجام: عقابت بر زیر خاک است جای ما *** نیست جز زیر زمین مأوای ما / چند پیچی چند بر طول کلام *** مدعا را ختم کردن و السلام</w:t>
      </w:r>
    </w:p>
    <w:p>
      <w:pPr>
        <w:pStyle w:val="BookText"/>
      </w:pPr>
      <w:r>
        <w:rPr>
          <w:rFonts w:ascii="IRNazanin" w:hAnsi="IRNazanin" w:eastAsia="IRNazanin" w:cs="IRNazanin"/>
          <w:lang w:bidi="fa-IR"/>
          <w:color w:val="111111"/>
          <w:sz w:val="28"/>
          <w:szCs w:val="28"/>
          <w:rtl/>
        </w:rPr>
        <w:t xml:space="preserve">دارای چندین غزل و مثنوی عرفانی است؛ خط: شکسته نستعلیق، بی کا، تا: قرن ۱۳؛ محشی، مجدول ؛ کاغذ: فرنگی، ۵گ (۲۵۵ ر - ۲۵۹ ر)، ۱۸ سطر، اندازه: ۱۴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۲۳سم [ف: ۳۲ - ۶۲۵]</w:t>
      </w:r>
    </w:p>
    <w:p>
      <w:pPr>
        <w:pStyle w:val="BookText"/>
      </w:pPr>
      <w:r>
        <w:rPr>
          <w:rFonts w:ascii="IRNazanin" w:hAnsi="IRNazanin" w:eastAsia="IRNazanin" w:cs="IRNazanin"/>
          <w:lang w:bidi="fa-IR"/>
          <w:color w:val="111111"/>
          <w:sz w:val="28"/>
          <w:szCs w:val="28"/>
          <w:rtl/>
        </w:rPr>
        <w:t xml:space="preserve">۹۴۲. قم؛ دار الحدیث؛ شماره نسخه: ۳۲۴</w:t>
      </w:r>
    </w:p>
    <w:p>
      <w:pPr>
        <w:pStyle w:val="BookText"/>
      </w:pPr>
      <w:r>
        <w:rPr>
          <w:rFonts w:ascii="IRNazanin" w:hAnsi="IRNazanin" w:eastAsia="IRNazanin" w:cs="IRNazanin"/>
          <w:lang w:bidi="fa-IR"/>
          <w:color w:val="111111"/>
          <w:sz w:val="28"/>
          <w:szCs w:val="28"/>
          <w:rtl/>
        </w:rPr>
        <w:t xml:space="preserve">آغاز: مگر این بحر بی پایان حریف درد دل گرد که دارد در جگر دریای آتش ... دارد ز راه فیض نتوان دیده امید پوشیدن که باشد کاروان مصر بوی پیرهن دارد؛ انجام: چه بزمبیکران است این که نه چرخ *** حبابی چند از دریای عشق است / برون از شهر بند عشق شهری است*** که در هر کوچه اش غوغای عشق است</w:t>
      </w:r>
    </w:p>
    <w:p>
      <w:pPr>
        <w:pStyle w:val="BookText"/>
      </w:pPr>
      <w:r>
        <w:rPr>
          <w:rFonts w:ascii="IRNazanin" w:hAnsi="IRNazanin" w:eastAsia="IRNazanin" w:cs="IRNazanin"/>
          <w:lang w:bidi="fa-IR"/>
          <w:color w:val="111111"/>
          <w:sz w:val="28"/>
          <w:szCs w:val="28"/>
          <w:rtl/>
        </w:rPr>
        <w:t xml:space="preserve">جنگی است شامل اشعاری از این شاعران: الفت، انجم، جامی، حاجی سلیمان، حزین ،رفیق ،سعدی، شیخ بهایی، طبیب، عاشق، ،محتشم ،مشتاق، مهجور ،نظیری ،نوری میرزا حسین وفا و هاتف؛ خط: شکسته نستعلیق، بی کا، تا: قرن ۱۳؛ افتادگی: آغاز؛ جلد: تیماج قهوه ای سوخت ترنج با سر ترنج ۱۳۹گ، ۱۳ سطر،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 ۱۴۱]</w:t>
      </w:r>
    </w:p>
    <w:p>
      <w:pPr>
        <w:pStyle w:val="BookText"/>
      </w:pPr>
      <w:r>
        <w:rPr>
          <w:rFonts w:ascii="IRNazanin" w:hAnsi="IRNazanin" w:eastAsia="IRNazanin" w:cs="IRNazanin"/>
          <w:lang w:bidi="fa-IR"/>
          <w:color w:val="111111"/>
          <w:sz w:val="28"/>
          <w:szCs w:val="28"/>
          <w:rtl/>
        </w:rPr>
        <w:t xml:space="preserve">۹۴۳ . قم؛ مرعشی؛ شماره نسخه: بدون شماره</w:t>
      </w:r>
    </w:p>
    <w:p>
      <w:pPr>
        <w:pStyle w:val="BookText"/>
      </w:pPr>
      <w:r>
        <w:rPr>
          <w:rFonts w:ascii="IRNazanin" w:hAnsi="IRNazanin" w:eastAsia="IRNazanin" w:cs="IRNazanin"/>
          <w:lang w:bidi="fa-IR"/>
          <w:color w:val="111111"/>
          <w:sz w:val="28"/>
          <w:szCs w:val="28"/>
          <w:rtl/>
        </w:rPr>
        <w:t xml:space="preserve">همای شیرازی و حاج ملا حسین قاینی واعظ؛ بی کا، تا: قرن ۱۳؛ این نسخه را سعید نفیسی در ۲۴ اردیبهشت سال ۱۳۱۵، در اصفهان برای خود خریده است [میراث شهاب: س ۶ش ۱ - ۱۱۱]</w:t>
      </w:r>
    </w:p>
    <w:p>
      <w:pPr>
        <w:pStyle w:val="BookText"/>
      </w:pPr>
      <w:r>
        <w:rPr>
          <w:rFonts w:ascii="IRNazanin" w:hAnsi="IRNazanin" w:eastAsia="IRNazanin" w:cs="IRNazanin"/>
          <w:lang w:bidi="fa-IR"/>
          <w:color w:val="111111"/>
          <w:sz w:val="28"/>
          <w:szCs w:val="28"/>
          <w:rtl/>
        </w:rPr>
        <w:t xml:space="preserve">۹۴۴ . قم؛ مرعشی؛ شماره نسخه: بدون شماره/۳</w:t>
      </w:r>
    </w:p>
    <w:p>
      <w:pPr>
        <w:pStyle w:val="BookText"/>
      </w:pPr>
      <w:r>
        <w:rPr>
          <w:rFonts w:ascii="IRNazanin" w:hAnsi="IRNazanin" w:eastAsia="IRNazanin" w:cs="IRNazanin"/>
          <w:lang w:bidi="fa-IR"/>
          <w:color w:val="111111"/>
          <w:sz w:val="28"/>
          <w:szCs w:val="28"/>
          <w:rtl/>
        </w:rPr>
        <w:t xml:space="preserve">مختلف؛ خط: نستعلیق، بی کا، تا: نیمه نخست قرن ۱۳؛ قطع: جیبی[ میراث شهاب: س ۷ش ۱ - ۲ - ۳۱]</w:t>
      </w:r>
    </w:p>
    <w:p>
      <w:pPr>
        <w:pStyle w:val="BookText"/>
      </w:pPr>
      <w:r>
        <w:rPr>
          <w:rFonts w:ascii="IRNazanin" w:hAnsi="IRNazanin" w:eastAsia="IRNazanin" w:cs="IRNazanin"/>
          <w:lang w:bidi="fa-IR"/>
          <w:color w:val="111111"/>
          <w:sz w:val="28"/>
          <w:szCs w:val="28"/>
          <w:rtl/>
        </w:rPr>
        <w:t xml:space="preserve">۹۴۵. قم؛ مرعشی شماره نسخه: ۱۰۷۹۸/۳</w:t>
      </w:r>
    </w:p>
    <w:p>
      <w:pPr>
        <w:pStyle w:val="BookText"/>
      </w:pPr>
      <w:r>
        <w:rPr>
          <w:rFonts w:ascii="IRNazanin" w:hAnsi="IRNazanin" w:eastAsia="IRNazanin" w:cs="IRNazanin"/>
          <w:lang w:bidi="fa-IR"/>
          <w:color w:val="111111"/>
          <w:sz w:val="28"/>
          <w:szCs w:val="28"/>
          <w:rtl/>
        </w:rPr>
        <w:t xml:space="preserve">اشعار منتخب از شعراء، مجهول؛ خط: نستعلیق تحریری، بی کا، تا: قرن ۱۳؛ قطع: جیبی [میراث شهاب: س ۹ش ۲ - ۲۸]</w:t>
      </w:r>
    </w:p>
    <w:p>
      <w:pPr>
        <w:pStyle w:val="BookText"/>
      </w:pPr>
      <w:r>
        <w:rPr>
          <w:rFonts w:ascii="IRNazanin" w:hAnsi="IRNazanin" w:eastAsia="IRNazanin" w:cs="IRNazanin"/>
          <w:lang w:bidi="fa-IR"/>
          <w:color w:val="111111"/>
          <w:sz w:val="28"/>
          <w:szCs w:val="28"/>
          <w:rtl/>
        </w:rPr>
        <w:t xml:space="preserve">۹۴۶. تهران؛ مجلس؛ شماره نسخه: ۳۷۹/۳- طباطبائی</w:t>
      </w:r>
    </w:p>
    <w:p>
      <w:pPr>
        <w:pStyle w:val="BookText"/>
      </w:pPr>
      <w:r>
        <w:rPr>
          <w:rFonts w:ascii="IRNazanin" w:hAnsi="IRNazanin" w:eastAsia="IRNazanin" w:cs="IRNazanin"/>
          <w:lang w:bidi="fa-IR"/>
          <w:color w:val="111111"/>
          <w:sz w:val="28"/>
          <w:szCs w:val="28"/>
          <w:rtl/>
        </w:rPr>
        <w:t xml:space="preserve">آغاز: نعمت شه کونین رسول عربی مدح علی گو که بود شیر خدا و ولی حضرت یکتا بود روز غزا همچو غضنفر بزند گردن کافر به کرم نیز دهد اشتر پر زر به گدا؛ انجام: دگر از حرمت آن شافع فردای قیامت که گناهان همه شیعه یک رنگ علی را به سر لطف
</w:t>
      </w:r>
    </w:p>
    <w:p>
      <w:pPr>
        <w:sectPr>
          <w:footerReference w:type="default" r:id="rId8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ببخشا بتمامی ز سفید و ز سیه پیر و جوان و زن و مرد و غنی و مفلس و هم شاه و گدا را</w:t>
      </w:r>
    </w:p>
    <w:p>
      <w:pPr>
        <w:pStyle w:val="BookText"/>
      </w:pPr>
      <w:r>
        <w:rPr>
          <w:rFonts w:ascii="IRNazanin" w:hAnsi="IRNazanin" w:eastAsia="IRNazanin" w:cs="IRNazanin"/>
          <w:lang w:bidi="fa-IR"/>
          <w:color w:val="111111"/>
          <w:sz w:val="28"/>
          <w:szCs w:val="28"/>
          <w:rtl/>
        </w:rPr>
        <w:t xml:space="preserve">در مدح حضرت مولی علی؛ خط: نستعلیق متوسط، بی کا، تا: قـرن ۱۳؛ کاغذ: فرنگی آبی رنگ ، جلد: تیماج قرمز یک لا، قـطع: رقعی، 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۱۶/۸سم [ف: ۲۲ - ۳۶۰]</w:t>
      </w:r>
    </w:p>
    <w:p>
      <w:pPr>
        <w:pStyle w:val="BookText"/>
      </w:pPr>
      <w:r>
        <w:rPr>
          <w:rFonts w:ascii="IRNazanin" w:hAnsi="IRNazanin" w:eastAsia="IRNazanin" w:cs="IRNazanin"/>
          <w:lang w:bidi="fa-IR"/>
          <w:color w:val="111111"/>
          <w:sz w:val="28"/>
          <w:szCs w:val="28"/>
          <w:rtl/>
        </w:rPr>
        <w:t xml:space="preserve">۹۴۷. قم؛ مرعشی؛ شماره نسخه: ۱۰۳۹۲/۱۹</w:t>
      </w:r>
    </w:p>
    <w:p>
      <w:pPr>
        <w:pStyle w:val="BookText"/>
      </w:pPr>
      <w:r>
        <w:rPr>
          <w:rFonts w:ascii="IRNazanin" w:hAnsi="IRNazanin" w:eastAsia="IRNazanin" w:cs="IRNazanin"/>
          <w:lang w:bidi="fa-IR"/>
          <w:color w:val="111111"/>
          <w:sz w:val="28"/>
          <w:szCs w:val="28"/>
          <w:rtl/>
        </w:rPr>
        <w:t xml:space="preserve">متفرقات نظم و نثر؛ خط: نستعلیق، بی کا، تا: اوایل قرن ۱۳؛ قطع:ـ رقعی بزرگ [میراث شهاب: س ۸ش ۴ - ۶۱]</w:t>
      </w:r>
    </w:p>
    <w:p>
      <w:pPr>
        <w:pStyle w:val="BookText"/>
      </w:pPr>
      <w:r>
        <w:rPr>
          <w:rFonts w:ascii="IRNazanin" w:hAnsi="IRNazanin" w:eastAsia="IRNazanin" w:cs="IRNazanin"/>
          <w:lang w:bidi="fa-IR"/>
          <w:color w:val="111111"/>
          <w:sz w:val="28"/>
          <w:szCs w:val="28"/>
          <w:rtl/>
        </w:rPr>
        <w:t xml:space="preserve">۹۴۸ . مشهد؛ رضوی؛ شماره نسخه: ۱۶۲۰۹</w:t>
      </w:r>
    </w:p>
    <w:p>
      <w:pPr>
        <w:pStyle w:val="BookText"/>
      </w:pPr>
      <w:r>
        <w:rPr>
          <w:rFonts w:ascii="IRNazanin" w:hAnsi="IRNazanin" w:eastAsia="IRNazanin" w:cs="IRNazanin"/>
          <w:lang w:bidi="fa-IR"/>
          <w:color w:val="111111"/>
          <w:sz w:val="28"/>
          <w:szCs w:val="28"/>
          <w:rtl/>
        </w:rPr>
        <w:t xml:space="preserve">آغاز: مبارکتر شب و خرم ترین روز *** باستقبالم آمد بخـت پیروز؛ انجام: از لطف حق مصقود در کف ***  اوقاتم اوقاتم اشرف الحمد لله</w:t>
      </w:r>
    </w:p>
    <w:p>
      <w:pPr>
        <w:pStyle w:val="BookText"/>
      </w:pPr>
      <w:r>
        <w:rPr>
          <w:rFonts w:ascii="IRNazanin" w:hAnsi="IRNazanin" w:eastAsia="IRNazanin" w:cs="IRNazanin"/>
          <w:lang w:bidi="fa-IR"/>
          <w:color w:val="111111"/>
          <w:sz w:val="28"/>
          <w:szCs w:val="28"/>
          <w:rtl/>
        </w:rPr>
        <w:t xml:space="preserve">مجموعه ای است مفصل مشتمل بر قصاید و غزلیات و مثنویات و قطعات و رباعیات از شاعرانی مانند: فردوسی ،خیام، ناصر خسـرو ،حافظ، جامی، وحشی بافقی، محتشم کاشانی، میرزا طبیب، طوفان هزار جریبی ،شوکت، طبیب اصفهانی، مشتاق، رفیق اصفهانی، کوکبی، زلالی خوانساری، خواجه شاهمراد ،فضولی، و منظومه معروف نان و حلوای شیخ بهایی و ابیاتی به ترکی و کردی که در انتهای نسخه ضمیمه می باشد؛ خط: شکسته نستعلیق خوش،بی کا،  تا: قرن ۱۳؛ واگذاری بنیاد مستضعفان در شهریور ۱۳۶۷؛ کاغذ: حنایی و شکری ،جلد: دو رویه، تیماج و میشن مشکی و خرمایی، ۱۰۲گ، ۱۰ سطر چلیپا،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۱۷-۴۶]</w:t>
      </w:r>
    </w:p>
    <w:p>
      <w:pPr>
        <w:pStyle w:val="BookText"/>
      </w:pPr>
      <w:r>
        <w:rPr>
          <w:rFonts w:ascii="IRNazanin" w:hAnsi="IRNazanin" w:eastAsia="IRNazanin" w:cs="IRNazanin"/>
          <w:lang w:bidi="fa-IR"/>
          <w:color w:val="111111"/>
          <w:sz w:val="28"/>
          <w:szCs w:val="28"/>
          <w:rtl/>
        </w:rPr>
        <w:t xml:space="preserve">۹۴۹. مشهد؛ رضوی؛ شماره نسخه: ۱۳۱۹۷</w:t>
      </w:r>
    </w:p>
    <w:p>
      <w:pPr>
        <w:pStyle w:val="BookText"/>
      </w:pPr>
      <w:r>
        <w:rPr>
          <w:rFonts w:ascii="IRNazanin" w:hAnsi="IRNazanin" w:eastAsia="IRNazanin" w:cs="IRNazanin"/>
          <w:lang w:bidi="fa-IR"/>
          <w:color w:val="111111"/>
          <w:sz w:val="28"/>
          <w:szCs w:val="28"/>
          <w:rtl/>
        </w:rPr>
        <w:t xml:space="preserve">آغاز: مه نیسان شبیخود کرد گوی بر مه کانون *** که گردون گشت ذره پر گرد و صحرا گشت رود خون؛ انجام: سخن حکمتی ای حجت زر خرد است *** زاتش فکرت جز زر خرد مگذار</w:t>
      </w:r>
    </w:p>
    <w:p>
      <w:pPr>
        <w:pStyle w:val="BookText"/>
      </w:pPr>
      <w:r>
        <w:rPr>
          <w:rFonts w:ascii="IRNazanin" w:hAnsi="IRNazanin" w:eastAsia="IRNazanin" w:cs="IRNazanin"/>
          <w:lang w:bidi="fa-IR"/>
          <w:color w:val="111111"/>
          <w:sz w:val="28"/>
          <w:szCs w:val="28"/>
          <w:rtl/>
        </w:rPr>
        <w:t xml:space="preserve">منتخبی است نسبتاً مفصل از قصاید و غزلیات شاعران نامی، مانند: رودکی، ناصر خسرو قبادیانی، حکیم سنائی، جمال الدین عبدالرزاق اصفهانی و پسرش کمال الدین اسماعیل ؛خط: شکـسته نستعلیق خوش، بی کا، تا: قرن ۱۳، واقف: کاظم مدیر شانه چـی، ۱۳۶۲/۸/۴؛ کاغذ: شکری فرنگی، جلد: تیماج قهوه ای، ۱۰۷ گ،۲۴ سطر، اندازه: 6/6</w:t>
      </w:r>
      <w:r>
        <w:rPr>
          <w:rFonts w:ascii="Times New Roman" w:hAnsi="Times New Roman" w:eastAsia="Times New Roman" w:cs="Times New Roman"/>
          <w:lang w:val="en-US" w:bidi="en-US"/>
          <w:color w:val="111111"/>
          <w:sz w:val="28"/>
          <w:szCs w:val="28"/>
          <w:rtl/>
        </w:rPr>
        <w:t xml:space="preserve">×15/4 </w:t>
      </w:r>
      <w:r>
        <w:rPr>
          <w:rFonts w:ascii="IRNazanin" w:hAnsi="IRNazanin" w:eastAsia="IRNazanin" w:cs="IRNazanin"/>
          <w:lang w:bidi="fa-IR"/>
          <w:color w:val="111111"/>
          <w:sz w:val="28"/>
          <w:szCs w:val="28"/>
          <w:rtl/>
        </w:rPr>
        <w:t xml:space="preserve">سم [ف : ۱۷ - ۴۷]</w:t>
      </w:r>
    </w:p>
    <w:p>
      <w:pPr>
        <w:pStyle w:val="BookText"/>
      </w:pPr>
      <w:r>
        <w:rPr>
          <w:rFonts w:ascii="IRNazanin" w:hAnsi="IRNazanin" w:eastAsia="IRNazanin" w:cs="IRNazanin"/>
          <w:lang w:bidi="fa-IR"/>
          <w:color w:val="111111"/>
          <w:sz w:val="28"/>
          <w:szCs w:val="28"/>
          <w:rtl/>
        </w:rPr>
        <w:t xml:space="preserve">۹۵۰ . مشهد؛ رضوی؛ شماره نسخه: ۱۶۶۶۵</w:t>
      </w:r>
    </w:p>
    <w:p>
      <w:pPr>
        <w:pStyle w:val="BookText"/>
      </w:pPr>
      <w:r>
        <w:rPr>
          <w:rFonts w:ascii="IRNazanin" w:hAnsi="IRNazanin" w:eastAsia="IRNazanin" w:cs="IRNazanin"/>
          <w:lang w:bidi="fa-IR"/>
          <w:color w:val="111111"/>
          <w:sz w:val="28"/>
          <w:szCs w:val="28"/>
          <w:rtl/>
        </w:rPr>
        <w:t xml:space="preserve">آغاز: موسا شبی به وادی سینا روانه بود؛ انجام: شد رخ آفتاب چون زرنیخ*** تیغ افتاد از کف مریخ</w:t>
      </w:r>
    </w:p>
    <w:p>
      <w:pPr>
        <w:pStyle w:val="BookText"/>
      </w:pPr>
      <w:r>
        <w:rPr>
          <w:rFonts w:ascii="IRNazanin" w:hAnsi="IRNazanin" w:eastAsia="IRNazanin" w:cs="IRNazanin"/>
          <w:lang w:bidi="fa-IR"/>
          <w:color w:val="111111"/>
          <w:sz w:val="28"/>
          <w:szCs w:val="28"/>
          <w:rtl/>
        </w:rPr>
        <w:t xml:space="preserve">حاوی قصاید، مثنویات و قطعات و رباعیات، ترکیب بند و مخمس است از میرزا احمد شهاب، جامی، میرزا کاظم مهجـور همدانی (مثنوی گل و بلبل)، شیخ بهایی (منتخب نان و حلوا) ،شفیعا ،محتشم، فیاض، وحشی بافقی (ترکیب بند دوستان شـرح پریشانی من گوش کنید)، ملا حسن کاشی (هفت بند) عرفی شیرازی (هراس و مماس)، ابو سعید ابوالخیر (رباعیات) هاشم (مخمس)، بابا طاهر عریان (غزلیات و رباعیات) و مثنوی هـای دیگر از جمله: مکر زن قاضی، مکر زن محتسب، دعوای هبوما، سنگ تراش، دختری از قبیله عاد، قصه جناب علی بن ابی طالب (علیه السّلام) و در انتها، حکایت قاضی بغداد و دزد خونخوار به نثر در پانزده صفحه و مقداری اشعار متفرقه ضمیمه می باشد؛ خط: نستعلیق تحریری، بی کا، تا: قرن ۱۳؛ سطور چلیپا؛ کاغذ: شکری چرکین، جلد: تیماج قهوه ای  یک لا، ۱۴۹گ، مختلف السطر،اندازه: ۹/۸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۱۷ – ۴۷]</w:t>
      </w:r>
    </w:p>
    <w:p>
      <w:pPr>
        <w:pStyle w:val="BookText"/>
      </w:pPr>
      <w:r>
        <w:rPr>
          <w:rFonts w:ascii="IRNazanin" w:hAnsi="IRNazanin" w:eastAsia="IRNazanin" w:cs="IRNazanin"/>
          <w:lang w:bidi="fa-IR"/>
          <w:color w:val="111111"/>
          <w:sz w:val="28"/>
          <w:szCs w:val="28"/>
          <w:rtl/>
        </w:rPr>
        <w:t xml:space="preserve">۹۵۱. مشهد؛ رضوی؛ شماره نسخه: ۱۶۲۱۹</w:t>
      </w:r>
    </w:p>
    <w:p>
      <w:pPr>
        <w:pStyle w:val="BookText"/>
      </w:pPr>
      <w:r>
        <w:rPr>
          <w:rFonts w:ascii="IRNazanin" w:hAnsi="IRNazanin" w:eastAsia="IRNazanin" w:cs="IRNazanin"/>
          <w:lang w:bidi="fa-IR"/>
          <w:color w:val="111111"/>
          <w:sz w:val="28"/>
          <w:szCs w:val="28"/>
          <w:rtl/>
        </w:rPr>
        <w:t xml:space="preserve">آغاز: بسمله، مگر چون من هوای آن بت نامهربان دارد؛ انجام: خزانه دل حافظ بزلف و خال مده*** که کارهای چنین حد هر سیاهی نیست.</w:t>
      </w:r>
    </w:p>
    <w:p>
      <w:pPr>
        <w:pStyle w:val="BookText"/>
      </w:pPr>
      <w:r>
        <w:rPr>
          <w:rFonts w:ascii="IRNazanin" w:hAnsi="IRNazanin" w:eastAsia="IRNazanin" w:cs="IRNazanin"/>
          <w:lang w:bidi="fa-IR"/>
          <w:color w:val="111111"/>
          <w:sz w:val="28"/>
          <w:szCs w:val="28"/>
          <w:rtl/>
        </w:rPr>
        <w:t xml:space="preserve">گزیده ای است از غزلیات وصال شیرازی و سعدی و حافظ؛ خط: شکسته نستعلیق خوش، بی کا، تا: قرن ۱۳؛ افتادگی: وسط؛ مجدول؛ واگذاری بنیاد مستضعفان در شهریور ماه ۱۳۶۷؛ کاغذ: نباتی، جلد: تیماج ماشی، ۲۱گ، ۸ سطر چلیپایی، اندازه:۷/۴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۱۳/۴سم [ف : ۱۷ - ۴۸]</w:t>
      </w:r>
    </w:p>
    <w:p>
      <w:pPr>
        <w:pStyle w:val="BookText"/>
      </w:pPr>
      <w:r>
        <w:rPr>
          <w:rFonts w:ascii="IRNazanin" w:hAnsi="IRNazanin" w:eastAsia="IRNazanin" w:cs="IRNazanin"/>
          <w:lang w:bidi="fa-IR"/>
          <w:color w:val="111111"/>
          <w:sz w:val="28"/>
          <w:szCs w:val="28"/>
          <w:rtl/>
        </w:rPr>
        <w:t xml:space="preserve">۹۵۲. مشهد؛ رضوی؛ شماره نسخه: ۱۶۲۱۷</w:t>
      </w:r>
    </w:p>
    <w:p>
      <w:pPr>
        <w:pStyle w:val="BookText"/>
      </w:pPr>
      <w:r>
        <w:rPr>
          <w:rFonts w:ascii="IRNazanin" w:hAnsi="IRNazanin" w:eastAsia="IRNazanin" w:cs="IRNazanin"/>
          <w:lang w:bidi="fa-IR"/>
          <w:color w:val="111111"/>
          <w:sz w:val="28"/>
          <w:szCs w:val="28"/>
          <w:rtl/>
        </w:rPr>
        <w:t xml:space="preserve">آغاز: گفتی بتو آن مهر فروزنده چها کرد؛ انجام:بجان مضایقه با دوستان مکن سعدی*** که دوستی نبود هر چه ناتمام کنند</w:t>
      </w:r>
    </w:p>
    <w:p>
      <w:pPr>
        <w:pStyle w:val="BookText"/>
      </w:pPr>
      <w:r>
        <w:rPr>
          <w:rFonts w:ascii="IRNazanin" w:hAnsi="IRNazanin" w:eastAsia="IRNazanin" w:cs="IRNazanin"/>
          <w:lang w:bidi="fa-IR"/>
          <w:color w:val="111111"/>
          <w:sz w:val="28"/>
          <w:szCs w:val="28"/>
          <w:rtl/>
        </w:rPr>
        <w:t xml:space="preserve">مشتمل است بر قصاید و غزلیات و مثنویات و ترجیع بند و مخمس و قطعات و رباعیات از شاعران متقدم و متأخر مانند: سعدی، امیر خسرو دهلوی، سلمان ساوجی ،حافظ، هلالی جغتائی، وحشی بافقی، جامی، محتشم کاشانی، مشتاق، طبیب، آقا محمد عاشق اصفهانی ،رفیق، نعمت الله وفا، قصاب، شوکت، میرزا صادق تفرشی، میرزا ابراهیم صفا، نظیری، جواد؛ خط: شکسته نستعلیق خوش، بی کا، تا: قرن ۱۳، چلیپایی؛ واگذاری بنیاد مستضعفان در شهریور ۱۳۶۷؛ جلد: ترمه، ۱۳۴گ، مختلف السطر،اندازه: ۷/۸۲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۱۴/۸سم [ف : ۱۷ - ۴۹]</w:t>
      </w:r>
    </w:p>
    <w:p>
      <w:pPr>
        <w:pStyle w:val="BookText"/>
      </w:pPr>
      <w:r>
        <w:rPr>
          <w:rFonts w:ascii="IRNazanin" w:hAnsi="IRNazanin" w:eastAsia="IRNazanin" w:cs="IRNazanin"/>
          <w:lang w:bidi="fa-IR"/>
          <w:color w:val="111111"/>
          <w:sz w:val="28"/>
          <w:szCs w:val="28"/>
          <w:rtl/>
        </w:rPr>
        <w:t xml:space="preserve">۹۵۳ . مشهد؛ رضوی؛ شماره نسخه: ۱۲۹۲۱</w:t>
      </w:r>
    </w:p>
    <w:p>
      <w:pPr>
        <w:pStyle w:val="BookText"/>
      </w:pPr>
      <w:r>
        <w:rPr>
          <w:rFonts w:ascii="Amiri" w:hAnsi="Amiri" w:eastAsia="Amiri" w:cs="Amiri"/>
          <w:lang w:bidi="ar-SA"/>
          <w:color w:val="111111"/>
          <w:sz w:val="28"/>
          <w:szCs w:val="28"/>
          <w:rtl/>
        </w:rPr>
        <w:t xml:space="preserve">آغاز: بسمله، اللهم انى اسئلك برحمتك التي وسعت كل شي؛</w:t>
      </w:r>
    </w:p>
    <w:p>
      <w:pPr>
        <w:pStyle w:val="BookText"/>
      </w:pPr>
      <w:r>
        <w:rPr>
          <w:rFonts w:ascii="IRNazanin" w:hAnsi="IRNazanin" w:eastAsia="IRNazanin" w:cs="IRNazanin"/>
          <w:lang w:bidi="fa-IR"/>
          <w:color w:val="111111"/>
          <w:sz w:val="28"/>
          <w:szCs w:val="28"/>
          <w:rtl/>
        </w:rPr>
        <w:t xml:space="preserve">انجام: همچو اسمعیل بسیاری فدائی</w:t>
      </w:r>
    </w:p>
    <w:p>
      <w:pPr>
        <w:pStyle w:val="BookText"/>
      </w:pPr>
      <w:r>
        <w:rPr>
          <w:rFonts w:ascii="IRNazanin" w:hAnsi="IRNazanin" w:eastAsia="IRNazanin" w:cs="IRNazanin"/>
          <w:lang w:bidi="fa-IR"/>
          <w:color w:val="111111"/>
          <w:sz w:val="28"/>
          <w:szCs w:val="28"/>
          <w:rtl/>
        </w:rPr>
        <w:t xml:space="preserve">مشتمل است بر قصاید و غزلیات و مثنوی و قطعات و مخمس و ترکیب بند از مولانا، جامی، حکیم سنایی ،کفاش، عرب، مغربی، مثنوی در مدح حضرت مهدی (علیه السّلام) در نیمه شعبان (روز ولادتش) و در مدح حضرت علی (علیه السّلام) و قصیده ای در ۶۹ بیت به این مطلع: «بقاف باختر پر زد این سیمرغ زرین پر نمایان گشت زاین سیمین حصار ابروی زال زر»؛ خط: نسخ و نستعلیق تحریری، بی کا، تا: قرن ۱۳، سطور چلیپا؛ واقف: حسین کی استوان، آبان ۱۳۴۸ ؛کاغذ: حنایی، جلد: تیماج قهوه ای، ۵۲گ، مختلف السطر، اندازه: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 ۱۷ - ۴۹]</w:t>
      </w:r>
    </w:p>
    <w:p>
      <w:pPr>
        <w:pStyle w:val="BookText"/>
      </w:pPr>
      <w:r>
        <w:rPr>
          <w:rFonts w:ascii="IRNazanin" w:hAnsi="IRNazanin" w:eastAsia="IRNazanin" w:cs="IRNazanin"/>
          <w:lang w:bidi="fa-IR"/>
          <w:color w:val="111111"/>
          <w:sz w:val="28"/>
          <w:szCs w:val="28"/>
          <w:rtl/>
        </w:rPr>
        <w:t xml:space="preserve">۹۵۴. مشهد؛ رضوی؛ شماره نسخه : 15032</w:t>
      </w:r>
    </w:p>
    <w:p>
      <w:pPr>
        <w:pStyle w:val="BookText"/>
      </w:pPr>
      <w:r>
        <w:rPr>
          <w:rFonts w:ascii="IRNazanin" w:hAnsi="IRNazanin" w:eastAsia="IRNazanin" w:cs="IRNazanin"/>
          <w:lang w:bidi="fa-IR"/>
          <w:color w:val="111111"/>
          <w:sz w:val="28"/>
          <w:szCs w:val="28"/>
          <w:rtl/>
        </w:rPr>
        <w:t xml:space="preserve">آغاز: من كلام شیخ شیوخ سعدی ... *** اگر تو فارغی از حال دوستان یارا؛ انجام: پیچیده بروی آب دود سیهی *** آتش بمیان
</w:t>
      </w:r>
    </w:p>
    <w:p>
      <w:pPr>
        <w:sectPr>
          <w:footerReference w:type="default" r:id="rId8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آب افتاده مگر.</w:t>
      </w:r>
    </w:p>
    <w:p>
      <w:pPr>
        <w:pStyle w:val="BookText"/>
      </w:pPr>
      <w:r>
        <w:rPr>
          <w:rFonts w:ascii="IRNazanin" w:hAnsi="IRNazanin" w:eastAsia="IRNazanin" w:cs="IRNazanin"/>
          <w:lang w:bidi="fa-IR"/>
          <w:color w:val="111111"/>
          <w:sz w:val="28"/>
          <w:szCs w:val="28"/>
          <w:rtl/>
        </w:rPr>
        <w:t xml:space="preserve">مشتمل است بر منتخباتی از غزلیات و قطعات و رباعیات و ترجیح بند و مثنوی از شاعران متقدم و متأخر مانند: سعدی، جامی، حاجی لطفعلی بیگ آذر، آقاتقی قمی متخلص به صهبا، میـرزا طوفان ،خاقانی، آقا محمد عاشق ،مشتاق ،وحشی، شیخ ابو سـعید ابوالخیر ،مولوی، میرزا عنایت الله، عزت و مثنوی پیر و جوان میرزا محمد نصیرمیرزائی و نیز اشعاری از مشهدی حسین مداح متخلص به اعمی که در انتهای نسخه با خطی مغایر نوشته شـده؛ خط: شکسته نستعلیق چلیپا، بی کا، تا: اواخر قرن ۱۳؛ دوستونه، مجدول؛ واقف: محمد تقی فروزان، مهر ۱۳۶۴؛ کاغذ: حنایی کمرنگ، جلد: اسقاطی ، ۱۲۵گ، اندازه: ۶/۲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۱۳/۸سم [ف: ۱۷  - 53]</w:t>
      </w:r>
    </w:p>
    <w:p>
      <w:pPr>
        <w:pStyle w:val="BookText"/>
      </w:pPr>
      <w:r>
        <w:rPr>
          <w:rFonts w:ascii="IRNazanin" w:hAnsi="IRNazanin" w:eastAsia="IRNazanin" w:cs="IRNazanin"/>
          <w:lang w:bidi="fa-IR"/>
          <w:color w:val="111111"/>
          <w:sz w:val="28"/>
          <w:szCs w:val="28"/>
          <w:rtl/>
        </w:rPr>
        <w:t xml:space="preserve">۹۵۵. کاشان ،عاطفی ،افشین؛ شماره نسخه: ۱۱۵</w:t>
      </w:r>
    </w:p>
    <w:p>
      <w:pPr>
        <w:pStyle w:val="BookText"/>
      </w:pPr>
      <w:r>
        <w:rPr>
          <w:rFonts w:ascii="IRNazanin" w:hAnsi="IRNazanin" w:eastAsia="IRNazanin" w:cs="IRNazanin"/>
          <w:lang w:bidi="fa-IR"/>
          <w:color w:val="111111"/>
          <w:sz w:val="28"/>
          <w:szCs w:val="28"/>
          <w:rtl/>
        </w:rPr>
        <w:t xml:space="preserve">مشتمل بر اشعاری در واقعه کربلا، مثنوی در حکایت مرد زنـبیل باف از عنایت، مثنوی میرزا مؤمن تفرشی در مدح امیرالمؤمـنین (علیه السّلام)، مناجاتی از سعدی، اشعاری از واله و اشعاری در داستان لیلی و مجنون؛ خط: نستعلیق، بی کا، تا: قرن ۱۳؛ برخی از اشعار جهـت حسن علی فیض آبادی به سال ۱۲۱۳ نگاشته شده است، سطرها چلیپا یا راسته؛ ۳۷گ، مختلف السطر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100]</w:t>
      </w:r>
    </w:p>
    <w:p>
      <w:pPr>
        <w:pStyle w:val="BookText"/>
      </w:pPr>
      <w:r>
        <w:rPr>
          <w:rFonts w:ascii="IRNazanin" w:hAnsi="IRNazanin" w:eastAsia="IRNazanin" w:cs="IRNazanin"/>
          <w:lang w:bidi="fa-IR"/>
          <w:color w:val="111111"/>
          <w:sz w:val="28"/>
          <w:szCs w:val="28"/>
          <w:rtl/>
        </w:rPr>
        <w:t xml:space="preserve">۹۵۶. کاشان؛ عاطفی، افشین؛ شماره نسخه: ۱۲۰</w:t>
      </w:r>
    </w:p>
    <w:p>
      <w:pPr>
        <w:pStyle w:val="BookText"/>
      </w:pPr>
      <w:r>
        <w:rPr>
          <w:rFonts w:ascii="IRNazanin" w:hAnsi="IRNazanin" w:eastAsia="IRNazanin" w:cs="IRNazanin"/>
          <w:lang w:bidi="fa-IR"/>
          <w:color w:val="111111"/>
          <w:sz w:val="28"/>
          <w:szCs w:val="28"/>
          <w:rtl/>
        </w:rPr>
        <w:t xml:space="preserve">مشتمل بر اشعاری از :کشوری ،قادر ،الفت ،رضا، طاهر، صباحی، حکاک، ملا حسن کاشی ،فیض، شاه نعمة الله ولی،لطف الله نیشابوری، شمس تبریزی، دعاهای پراکنده و مطالب تفسیری متفرقه؛ خط: نسخ و نستعلیق، بی کا، تا: قرن ۱۳؛ مصحح؛ جـلد: تيماج مشکی بدون  مقوا، رو مقوایی، ۱۰۰گ، مختلف السطر ،اندازه: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۱۶/۵سم [ف: ۱۰۵]</w:t>
      </w:r>
    </w:p>
    <w:p>
      <w:pPr>
        <w:pStyle w:val="BookText"/>
      </w:pPr>
      <w:r>
        <w:rPr>
          <w:rFonts w:ascii="IRNazanin" w:hAnsi="IRNazanin" w:eastAsia="IRNazanin" w:cs="IRNazanin"/>
          <w:lang w:bidi="fa-IR"/>
          <w:color w:val="111111"/>
          <w:sz w:val="28"/>
          <w:szCs w:val="28"/>
          <w:rtl/>
        </w:rPr>
        <w:t xml:space="preserve">۹۵۷. کاشان؛عاطفی، افشین؛ شماره نسخه :۱۳۴</w:t>
      </w:r>
    </w:p>
    <w:p>
      <w:pPr>
        <w:pStyle w:val="BookText"/>
      </w:pPr>
      <w:r>
        <w:rPr>
          <w:rFonts w:ascii="IRNazanin" w:hAnsi="IRNazanin" w:eastAsia="IRNazanin" w:cs="IRNazanin"/>
          <w:lang w:bidi="fa-IR"/>
          <w:color w:val="111111"/>
          <w:sz w:val="28"/>
          <w:szCs w:val="28"/>
          <w:rtl/>
        </w:rPr>
        <w:t xml:space="preserve">مشتمل بر اشعاری در وقایع جانگداز کربلا و شهادت دیگر ائمه علیهم السلام با اشاره مختصری به نثر درباره آن واقعه و چنانچه در برگ اول اشاره شده اشعار از سودایی ازواری کاشـانی می باشد: «بنده سودایی و از واری و سرگردانم *** در فراق  گل رویت همه شب نالانم»؛ خط: نسخ، بی کا، تا: قرن ۱۳؛ ۳۶گ، مختلف السطر،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۱۵/۵سم [ف: ۱۱۳]</w:t>
      </w:r>
    </w:p>
    <w:p>
      <w:pPr>
        <w:pStyle w:val="BookText"/>
      </w:pPr>
      <w:r>
        <w:rPr>
          <w:rFonts w:ascii="IRNazanin" w:hAnsi="IRNazanin" w:eastAsia="IRNazanin" w:cs="IRNazanin"/>
          <w:lang w:bidi="fa-IR"/>
          <w:color w:val="111111"/>
          <w:sz w:val="28"/>
          <w:szCs w:val="28"/>
          <w:rtl/>
        </w:rPr>
        <w:t xml:space="preserve">۹۵۸. اصفهان؛ دانشگاه؛ شماره نسخه: ۲۷۹</w:t>
      </w:r>
    </w:p>
    <w:p>
      <w:pPr>
        <w:pStyle w:val="BookText"/>
      </w:pPr>
      <w:r>
        <w:rPr>
          <w:rFonts w:ascii="IRNazanin" w:hAnsi="IRNazanin" w:eastAsia="IRNazanin" w:cs="IRNazanin"/>
          <w:lang w:bidi="fa-IR"/>
          <w:color w:val="111111"/>
          <w:sz w:val="28"/>
          <w:szCs w:val="28"/>
          <w:rtl/>
        </w:rPr>
        <w:t xml:space="preserve">مشتمل بر اشعاری از شعرای ذیل: صائب، هادی ،شهیدی، قصاب ،سعدی، نقی ،حیرتی ،آزر ،هلالی ،قدسی ،عاشق جامی،سوزی، مولوی و ....؛ خط: شکسته نستعلیق، بی کا، تا: قرن ۱۳؛ مجدول ؛مهر: «عبدالجبار بن اشک آقا» (بیضی)؛ جلد: تیماج مشکی بدون مقوا ،۱۲۶گ، سطور چلیپا، اندازه: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 - ۲۰۷]</w:t>
      </w:r>
    </w:p>
    <w:p>
      <w:pPr>
        <w:pStyle w:val="BookText"/>
      </w:pPr>
      <w:r>
        <w:rPr>
          <w:rFonts w:ascii="IRNazanin" w:hAnsi="IRNazanin" w:eastAsia="IRNazanin" w:cs="IRNazanin"/>
          <w:lang w:bidi="fa-IR"/>
          <w:color w:val="111111"/>
          <w:sz w:val="28"/>
          <w:szCs w:val="28"/>
          <w:rtl/>
        </w:rPr>
        <w:t xml:space="preserve">۹۵۹. کاشان ؛عاطفی ،افشین؛ شماره نسخه: ۹۴</w:t>
      </w:r>
    </w:p>
    <w:p>
      <w:pPr>
        <w:pStyle w:val="BookText"/>
      </w:pPr>
      <w:r>
        <w:rPr>
          <w:rFonts w:ascii="IRNazanin" w:hAnsi="IRNazanin" w:eastAsia="IRNazanin" w:cs="IRNazanin"/>
          <w:lang w:bidi="fa-IR"/>
          <w:color w:val="111111"/>
          <w:sz w:val="28"/>
          <w:szCs w:val="28"/>
          <w:rtl/>
        </w:rPr>
        <w:t xml:space="preserve">مشتمل بر اشعاری از: صائب ،نثاری، زلالی، کمال خجندی، نجیب جربادقانی ،نظامی ،رباعیات ،هویدا، ترجیع بند کلیمی ؛خط: نستعلیق، بی کا، تا: قرن ۱۳؛ سطرها چلیپا یا راسته؛ ۱۸گ، مختلف السطر، اندازه: 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۷۹]</w:t>
      </w:r>
    </w:p>
    <w:p>
      <w:pPr>
        <w:pStyle w:val="BookText"/>
      </w:pPr>
      <w:r>
        <w:rPr>
          <w:rFonts w:ascii="IRNazanin" w:hAnsi="IRNazanin" w:eastAsia="IRNazanin" w:cs="IRNazanin"/>
          <w:lang w:bidi="fa-IR"/>
          <w:color w:val="111111"/>
          <w:sz w:val="28"/>
          <w:szCs w:val="28"/>
          <w:rtl/>
        </w:rPr>
        <w:t xml:space="preserve">۹۶۰. تهران؛ سعید نفیسی؛ شماره نسخه: ۶</w:t>
      </w:r>
    </w:p>
    <w:p>
      <w:pPr>
        <w:pStyle w:val="BookText"/>
      </w:pPr>
      <w:r>
        <w:rPr>
          <w:rFonts w:ascii="IRNazanin" w:hAnsi="IRNazanin" w:eastAsia="IRNazanin" w:cs="IRNazanin"/>
          <w:lang w:bidi="fa-IR"/>
          <w:color w:val="111111"/>
          <w:sz w:val="28"/>
          <w:szCs w:val="28"/>
          <w:rtl/>
        </w:rPr>
        <w:t xml:space="preserve">مجموعه چند قصیده از همای شیرازی و اشعار حاجی ملا حسین قاینی معروف به واعظ؛ خط: نستعلیق، بی کا، تا: قرن ۱۳[ نشریه: 7- 685]</w:t>
      </w:r>
    </w:p>
    <w:p>
      <w:pPr>
        <w:pStyle w:val="BookText"/>
      </w:pPr>
      <w:r>
        <w:rPr>
          <w:rFonts w:ascii="IRNazanin" w:hAnsi="IRNazanin" w:eastAsia="IRNazanin" w:cs="IRNazanin"/>
          <w:lang w:bidi="fa-IR"/>
          <w:color w:val="111111"/>
          <w:sz w:val="28"/>
          <w:szCs w:val="28"/>
          <w:rtl/>
        </w:rPr>
        <w:t xml:space="preserve">۹۶۱. تهران؛ نوربخش؛ شماره نسخه: ۶۵۳/۱</w:t>
      </w:r>
    </w:p>
    <w:p>
      <w:pPr>
        <w:pStyle w:val="BookText"/>
      </w:pPr>
      <w:r>
        <w:rPr>
          <w:rFonts w:ascii="IRNazanin" w:hAnsi="IRNazanin" w:eastAsia="IRNazanin" w:cs="IRNazanin"/>
          <w:lang w:bidi="fa-IR"/>
          <w:color w:val="111111"/>
          <w:sz w:val="28"/>
          <w:szCs w:val="28"/>
          <w:rtl/>
        </w:rPr>
        <w:t xml:space="preserve">ترجیع بندهایی است از ناصر خسرو و با تکرار این بیت: «که جهان پرتوی است از رخ دوست*** جمله کائنات سایه اوست»، از فخرالدین عراقی با تکرار این بیت: «که همه اوست هر چه هست یقین *** جان و جانان و دلبر و دل و دین»، از شاه نعمت الله ولی با تکرار این بیت: «که سراسر جهان و هر چه در اوست *** عکس یک پرتو است از رخ دوست»، از خواجوی کرمانی با این بیت: «که جهان صورت است و معنی دوست *** ور بمعنی نظر کنی همه اوست» از هاتف اصفهانی (ترجیعات معروف او)، شمس الدین مغربی با تکرار این بیت: «که جز او نیست در سرای وجود *** به حقیقت کسی دگر موجود»؛ خط: نستعلیق، بی کا، تا: قرن ۱۳؛کاغذ: فرنگی آهار مهره، جلد: تیماج مشکی، ۴۱گ (۱-۴۲ ر)، ۱۰ سطر، قطع: رقعی،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نشریه: ۱۳ - ۴۱]</w:t>
      </w:r>
    </w:p>
    <w:p>
      <w:pPr>
        <w:pStyle w:val="BookText"/>
      </w:pPr>
      <w:r>
        <w:rPr>
          <w:rFonts w:ascii="IRNazanin" w:hAnsi="IRNazanin" w:eastAsia="IRNazanin" w:cs="IRNazanin"/>
          <w:lang w:bidi="fa-IR"/>
          <w:color w:val="111111"/>
          <w:sz w:val="28"/>
          <w:szCs w:val="28"/>
          <w:rtl/>
        </w:rPr>
        <w:t xml:space="preserve">۹۶۲. تهران؛ دانشگاه؛ شماره نسخه: ۹۹۶۷/۴</w:t>
      </w:r>
    </w:p>
    <w:p>
      <w:pPr>
        <w:pStyle w:val="BookText"/>
      </w:pPr>
      <w:r>
        <w:rPr>
          <w:rFonts w:ascii="IRNazanin" w:hAnsi="IRNazanin" w:eastAsia="IRNazanin" w:cs="IRNazanin"/>
          <w:lang w:bidi="fa-IR"/>
          <w:color w:val="111111"/>
          <w:sz w:val="28"/>
          <w:szCs w:val="28"/>
          <w:rtl/>
        </w:rPr>
        <w:t xml:space="preserve">مثنوی است، تاریخی و عرفانی و مذهبی «تاریخ حب الوطن» با عنوان های بلند و کوتاه به نثر، با ستایش از سید جمال الدین افغانی در ۱۳۱۴ و یاد از کشته شدن ناصرالدین شاه و به تخت نشستن مظفرالدین شاه در ۱۳۱۳) (۱۵۶ص) با برگ های جداگانه ای که هم مثنوی تاریخی است گویا مربوط به همان تاریخ حب الوطن با یک سال شمار تاریخی وقایع شیراز در و یک یادداشت و خود نامه اسماعیل مرآت به اسفندیاری رئیس مجلس درباره تعمیر تکیه علوی تهران در ۱۳۲۰/۳/۱۱ و عکس نامه محمد کاظم خراسانی به رجال ایران در ۹ ع ۱۳۲۷/۲ در اینکه از اتباع بیگانه باید نگه داری نمود با گواهی لفت کرنل قونسل جنرال انگلیس در بغداد به فارسی که اصل آن نزد من است، حاج ذوالریاستین که در دو جا از او یاد شده است شاید ذوالریاستین مونس على شاه حاج میرزا عبدالحسین پسر حاج علی وفا على شاه شیرازی مؤلف جبر و تفویض (۱۲۹۰ق- ۱۳۳۲خ) زنده در1311و ۱۳۱۵ش باشد؛ خط: نستعلیق، بی کا، تا: قرن ۱۳؛ کاغذ ،فرنگی ،جلد: تیماج تریاکی مقوایی، ۱۵۶ص، ابعاد متن: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قطع: خشتی،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۱۷ - ۵۱۶]</w:t>
      </w:r>
    </w:p>
    <w:p>
      <w:pPr>
        <w:pStyle w:val="BookText"/>
      </w:pPr>
      <w:r>
        <w:rPr>
          <w:rFonts w:ascii="IRNazanin" w:hAnsi="IRNazanin" w:eastAsia="IRNazanin" w:cs="IRNazanin"/>
          <w:lang w:bidi="fa-IR"/>
          <w:color w:val="111111"/>
          <w:sz w:val="28"/>
          <w:szCs w:val="28"/>
          <w:rtl/>
        </w:rPr>
        <w:t xml:space="preserve">۹۶۳. تهران؛ مفتاح؛ شماره نسخه: ۶۷۴/۱</w:t>
      </w:r>
    </w:p>
    <w:p>
      <w:pPr>
        <w:pStyle w:val="BookText"/>
      </w:pPr>
      <w:r>
        <w:rPr>
          <w:rFonts w:ascii="IRNazanin" w:hAnsi="IRNazanin" w:eastAsia="IRNazanin" w:cs="IRNazanin"/>
          <w:lang w:bidi="fa-IR"/>
          <w:color w:val="111111"/>
          <w:sz w:val="28"/>
          <w:szCs w:val="28"/>
          <w:rtl/>
        </w:rPr>
        <w:t xml:space="preserve">آغاز: الهی بهرندان دردی کشت*** که مستند از باده می غشت؛</w:t>
      </w:r>
    </w:p>
    <w:p>
      <w:pPr>
        <w:pStyle w:val="BookText"/>
      </w:pPr>
      <w:r>
        <w:rPr>
          <w:rFonts w:ascii="IRNazanin" w:hAnsi="IRNazanin" w:eastAsia="IRNazanin" w:cs="IRNazanin"/>
          <w:lang w:bidi="fa-IR"/>
          <w:color w:val="111111"/>
          <w:sz w:val="28"/>
          <w:szCs w:val="28"/>
          <w:rtl/>
        </w:rPr>
        <w:t xml:space="preserve">انجام: رهد تا تن من ز درماندگی *** به درخواندگی یا ز در راندگی</w:t>
      </w:r>
    </w:p>
    <w:p>
      <w:pPr>
        <w:pStyle w:val="BookText"/>
      </w:pPr>
      <w:r>
        <w:rPr>
          <w:rFonts w:ascii="IRNazanin" w:hAnsi="IRNazanin" w:eastAsia="IRNazanin" w:cs="IRNazanin"/>
          <w:lang w:bidi="fa-IR"/>
          <w:color w:val="111111"/>
          <w:sz w:val="28"/>
          <w:szCs w:val="28"/>
          <w:rtl/>
        </w:rPr>
        <w:t xml:space="preserve">مثنوی است ؛خط: نستعلیق، بی کا، تا: قرن ۱۳؛ ۹ ص در متن و هامش [نشریه: ۷ - ۲۵۲]</w:t>
      </w:r>
    </w:p>
    <w:p>
      <w:pPr>
        <w:pStyle w:val="BookText"/>
      </w:pPr>
      <w:r>
        <w:rPr>
          <w:rFonts w:ascii="IRNazanin" w:hAnsi="IRNazanin" w:eastAsia="IRNazanin" w:cs="IRNazanin"/>
          <w:lang w:bidi="fa-IR"/>
          <w:color w:val="111111"/>
          <w:sz w:val="28"/>
          <w:szCs w:val="28"/>
          <w:rtl/>
        </w:rPr>
        <w:t xml:space="preserve">۹۶۴ .تهران؛ مجلس؛ شماره نسخه: ۲۱/۱۸ معیری
</w:t>
      </w:r>
    </w:p>
    <w:p>
      <w:pPr>
        <w:sectPr>
          <w:footerReference w:type="default" r:id="rId8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آغاز: آن حور که خط مشکبارش پیداست *** اندر لب چو بنفشه زارش پیداست؛ انجام: از جانب معشوقه بود سوز و گداز ***تا در نگرفت شمع پروانه نسوخت</w:t>
      </w:r>
    </w:p>
    <w:p>
      <w:pPr>
        <w:pStyle w:val="BookText"/>
      </w:pPr>
      <w:r>
        <w:rPr>
          <w:rFonts w:ascii="IRNazanin" w:hAnsi="IRNazanin" w:eastAsia="IRNazanin" w:cs="IRNazanin"/>
          <w:lang w:bidi="fa-IR"/>
          <w:color w:val="111111"/>
          <w:sz w:val="28"/>
          <w:szCs w:val="28"/>
          <w:rtl/>
        </w:rPr>
        <w:t xml:space="preserve">۱۰۹ رباعی از شعرای مختلف؛ خط: شکسته نستعلیق، بی کا،تا:قرن ۱۳؛ مهر: اسد الله  بن محمد حسین؛ کاغذ: فرنگی، جلد: تیماج قهوه ای، ۱۶ ص (۲۹۳-۳۰۸)، ۱۱ سطر (6/2</w:t>
      </w:r>
      <w:r>
        <w:rPr>
          <w:rFonts w:ascii="Times New Roman" w:hAnsi="Times New Roman" w:eastAsia="Times New Roman" w:cs="Times New Roman"/>
          <w:lang w:val="en-US" w:bidi="en-US"/>
          <w:color w:val="111111"/>
          <w:sz w:val="28"/>
          <w:szCs w:val="28"/>
          <w:rtl/>
        </w:rPr>
        <w:t xml:space="preserve">×10)</w:t>
      </w:r>
      <w:r>
        <w:rPr>
          <w:rFonts w:ascii="IRNazanin" w:hAnsi="IRNazanin" w:eastAsia="IRNazanin" w:cs="IRNazanin"/>
          <w:lang w:bidi="fa-IR"/>
          <w:color w:val="111111"/>
          <w:sz w:val="28"/>
          <w:szCs w:val="28"/>
          <w:rtl/>
        </w:rPr>
        <w:t xml:space="preserve">، اندازه: ۹/۸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۱۸ - ۳۰]</w:t>
      </w:r>
    </w:p>
    <w:p>
      <w:pPr>
        <w:pStyle w:val="BookText"/>
      </w:pPr>
      <w:r>
        <w:rPr>
          <w:rFonts w:ascii="IRNazanin" w:hAnsi="IRNazanin" w:eastAsia="IRNazanin" w:cs="IRNazanin"/>
          <w:lang w:bidi="fa-IR"/>
          <w:color w:val="111111"/>
          <w:sz w:val="28"/>
          <w:szCs w:val="28"/>
          <w:rtl/>
        </w:rPr>
        <w:t xml:space="preserve">۹۶۵. تهران؛ مجلس؛ شماره نسخه: ۱۱۵۲/۹</w:t>
      </w:r>
    </w:p>
    <w:p>
      <w:pPr>
        <w:pStyle w:val="BookText"/>
      </w:pPr>
      <w:r>
        <w:rPr>
          <w:rFonts w:ascii="IRNazanin" w:hAnsi="IRNazanin" w:eastAsia="IRNazanin" w:cs="IRNazanin"/>
          <w:lang w:bidi="fa-IR"/>
          <w:color w:val="111111"/>
          <w:sz w:val="28"/>
          <w:szCs w:val="28"/>
          <w:rtl/>
        </w:rPr>
        <w:t xml:space="preserve">اشعاری از نعیم، صائب، هاتفی، «نان و حلوا» بهایی، حکیم شفائ، میرزا فصیحی، میرعین علی، ملک شجاع و دیگران؛ ۵۷ص( ۲۰۳ - ۲۱۹) و از (۲۲۶-۲۶۵)؛ بی کا، تا: قرن ۱۳ [ سنا: ف: 2- 143]</w:t>
      </w:r>
    </w:p>
    <w:p>
      <w:pPr>
        <w:pStyle w:val="BookText"/>
      </w:pPr>
      <w:r>
        <w:rPr>
          <w:rFonts w:ascii="IRNazanin" w:hAnsi="IRNazanin" w:eastAsia="IRNazanin" w:cs="IRNazanin"/>
          <w:lang w:bidi="fa-IR"/>
          <w:color w:val="111111"/>
          <w:sz w:val="28"/>
          <w:szCs w:val="28"/>
          <w:rtl/>
        </w:rPr>
        <w:t xml:space="preserve">۹۶۶. تهران؛ مفتاح؛ شماره نسخه: ۸۶۸/۱</w:t>
      </w:r>
    </w:p>
    <w:p>
      <w:pPr>
        <w:pStyle w:val="BookText"/>
      </w:pPr>
      <w:r>
        <w:rPr>
          <w:rFonts w:ascii="IRNazanin" w:hAnsi="IRNazanin" w:eastAsia="IRNazanin" w:cs="IRNazanin"/>
          <w:lang w:bidi="fa-IR"/>
          <w:color w:val="111111"/>
          <w:sz w:val="28"/>
          <w:szCs w:val="28"/>
          <w:rtl/>
        </w:rPr>
        <w:t xml:space="preserve">آغاز: زان قبل هم محمد مداح *** ورد جان ساخت در مسـا و صباح؛</w:t>
      </w:r>
    </w:p>
    <w:p>
      <w:pPr>
        <w:pStyle w:val="BookText"/>
      </w:pPr>
      <w:r>
        <w:rPr>
          <w:rFonts w:ascii="IRNazanin" w:hAnsi="IRNazanin" w:eastAsia="IRNazanin" w:cs="IRNazanin"/>
          <w:lang w:bidi="fa-IR"/>
          <w:color w:val="111111"/>
          <w:sz w:val="28"/>
          <w:szCs w:val="28"/>
          <w:rtl/>
        </w:rPr>
        <w:t xml:space="preserve">مثنوی در معجزات حضرت علی (علیه السّلام) ؛ خط: نسخ معرب، بی کا، تا: قرن ۱۳؛ افتادگی: آغاز؛ مجدول؛ قطع: خشتی [نشریه: ۷ - ۲۶۰]</w:t>
      </w:r>
    </w:p>
    <w:p>
      <w:pPr>
        <w:pStyle w:val="BookText"/>
      </w:pPr>
      <w:r>
        <w:rPr>
          <w:rFonts w:ascii="IRNazanin" w:hAnsi="IRNazanin" w:eastAsia="IRNazanin" w:cs="IRNazanin"/>
          <w:lang w:bidi="fa-IR"/>
          <w:color w:val="111111"/>
          <w:sz w:val="28"/>
          <w:szCs w:val="28"/>
          <w:rtl/>
        </w:rPr>
        <w:t xml:space="preserve">۹۶۷. تهران؛ دانشگاه؛ شماره نسخه: ۹۷۸۷/۳</w:t>
      </w:r>
    </w:p>
    <w:p>
      <w:pPr>
        <w:pStyle w:val="BookText"/>
      </w:pPr>
      <w:r>
        <w:rPr>
          <w:rFonts w:ascii="IRNazanin" w:hAnsi="IRNazanin" w:eastAsia="IRNazanin" w:cs="IRNazanin"/>
          <w:lang w:bidi="fa-IR"/>
          <w:color w:val="111111"/>
          <w:sz w:val="28"/>
          <w:szCs w:val="28"/>
          <w:rtl/>
        </w:rPr>
        <w:t xml:space="preserve">مثنوی است بدین گونه: «بنام آنکه دارای جهان است *** به دل حاضر و از چشمم نهان است»؛ خط: نستعلیق، بی کا، تا: قرن13؛ کاغذ: هندی، جلد: کاغذی، ۵گ (۴۵پ-۵۰ر)، ۲۷ سـطر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 قطع: ربعی،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 ۱۷ - ۴۸۳]</w:t>
      </w:r>
    </w:p>
    <w:p>
      <w:pPr>
        <w:pStyle w:val="BookText"/>
      </w:pPr>
      <w:r>
        <w:rPr>
          <w:rFonts w:ascii="IRNazanin" w:hAnsi="IRNazanin" w:eastAsia="IRNazanin" w:cs="IRNazanin"/>
          <w:lang w:bidi="fa-IR"/>
          <w:color w:val="111111"/>
          <w:sz w:val="28"/>
          <w:szCs w:val="28"/>
          <w:rtl/>
        </w:rPr>
        <w:t xml:space="preserve">۹۶۸. تهران؛ مفتاح؛ شماره نسخه: ۱۲۲۳/۷</w:t>
      </w:r>
    </w:p>
    <w:p>
      <w:pPr>
        <w:pStyle w:val="BookText"/>
      </w:pPr>
      <w:r>
        <w:rPr>
          <w:rFonts w:ascii="IRNazanin" w:hAnsi="IRNazanin" w:eastAsia="IRNazanin" w:cs="IRNazanin"/>
          <w:lang w:bidi="fa-IR"/>
          <w:color w:val="111111"/>
          <w:sz w:val="28"/>
          <w:szCs w:val="28"/>
          <w:rtl/>
        </w:rPr>
        <w:t xml:space="preserve">شعر سعدى و افضل الدین کاشانی و خاقانی و ملک شمس الدین است؛ خط: شکسته نستعلیق، بی کا، تا: قرن ۱۳؛ کاغذ: كبود، قـطع: بیاضی ربعی [نشریه: ۷- ۲۷۱]</w:t>
      </w:r>
    </w:p>
    <w:p>
      <w:pPr>
        <w:pStyle w:val="BookText"/>
      </w:pPr>
      <w:r>
        <w:rPr>
          <w:rFonts w:ascii="IRNazanin" w:hAnsi="IRNazanin" w:eastAsia="IRNazanin" w:cs="IRNazanin"/>
          <w:lang w:bidi="fa-IR"/>
          <w:color w:val="111111"/>
          <w:sz w:val="28"/>
          <w:szCs w:val="28"/>
          <w:rtl/>
        </w:rPr>
        <w:t xml:space="preserve">۹۶۹. تهران؛ مجلس؛ شماره نسخه: ۸۵۳/۲</w:t>
      </w:r>
    </w:p>
    <w:p>
      <w:pPr>
        <w:pStyle w:val="BookText"/>
      </w:pPr>
      <w:r>
        <w:rPr>
          <w:rFonts w:ascii="IRNazanin" w:hAnsi="IRNazanin" w:eastAsia="IRNazanin" w:cs="IRNazanin"/>
          <w:lang w:bidi="fa-IR"/>
          <w:color w:val="111111"/>
          <w:sz w:val="28"/>
          <w:szCs w:val="28"/>
          <w:rtl/>
        </w:rPr>
        <w:t xml:space="preserve">آغاز: پس از بسمله. حمد آن خالق وحی و دود کین همه آثار صنع خود نمود کس نشد آگاه از یک صنع او *** زان چه باشد چیست ز آن مقصود هو؛ انجام: یا رب بحق ثوابت و سیاره***  افکن نظری بسوی این آواره *** افکن را تو خود بکن یک چاوه</w:t>
      </w:r>
    </w:p>
    <w:p>
      <w:pPr>
        <w:pStyle w:val="BookText"/>
      </w:pPr>
      <w:r>
        <w:rPr>
          <w:rFonts w:ascii="IRNazanin" w:hAnsi="IRNazanin" w:eastAsia="IRNazanin" w:cs="IRNazanin"/>
          <w:lang w:bidi="fa-IR"/>
          <w:color w:val="111111"/>
          <w:sz w:val="28"/>
          <w:szCs w:val="28"/>
          <w:rtl/>
        </w:rPr>
        <w:t xml:space="preserve">جنگل مولا (مثنوی)؛ خط: نستعلیق، بی کا، تا: قرن ۱۳؛ کاغذ: سفید، جلد: تیماج مشکی مقوایی، عطف و دور و درون تیماج زرد، ۱۲ سطر (6</w:t>
      </w:r>
      <w:r>
        <w:rPr>
          <w:rFonts w:ascii="Times New Roman" w:hAnsi="Times New Roman" w:eastAsia="Times New Roman" w:cs="Times New Roman"/>
          <w:lang w:val="en-US" w:bidi="en-US"/>
          <w:color w:val="111111"/>
          <w:sz w:val="28"/>
          <w:szCs w:val="28"/>
          <w:rtl/>
        </w:rPr>
        <w:t xml:space="preserve">×10)</w:t>
      </w:r>
      <w:r>
        <w:rPr>
          <w:rFonts w:ascii="IRNazanin" w:hAnsi="IRNazanin" w:eastAsia="IRNazanin" w:cs="IRNazanin"/>
          <w:lang w:bidi="fa-IR"/>
          <w:color w:val="111111"/>
          <w:sz w:val="28"/>
          <w:szCs w:val="28"/>
          <w:rtl/>
        </w:rPr>
        <w:t xml:space="preserve">،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[سنا: ف: ۲ - ۷۶]</w:t>
      </w:r>
    </w:p>
    <w:p>
      <w:pPr>
        <w:pStyle w:val="BookText"/>
      </w:pPr>
      <w:r>
        <w:rPr>
          <w:rFonts w:ascii="IRNazanin" w:hAnsi="IRNazanin" w:eastAsia="IRNazanin" w:cs="IRNazanin"/>
          <w:lang w:bidi="fa-IR"/>
          <w:color w:val="111111"/>
          <w:sz w:val="28"/>
          <w:szCs w:val="28"/>
          <w:rtl/>
        </w:rPr>
        <w:t xml:space="preserve">۹۷۰. تهران؛ دانشسرای عالی - کتابخانه میرزا عبد العظيم خان قریب گرکانی؛ شماره نسخه: ۱۳۷/۴</w:t>
      </w:r>
    </w:p>
    <w:p>
      <w:pPr>
        <w:pStyle w:val="BookText"/>
      </w:pPr>
      <w:r>
        <w:rPr>
          <w:rFonts w:ascii="IRNazanin" w:hAnsi="IRNazanin" w:eastAsia="IRNazanin" w:cs="IRNazanin"/>
          <w:lang w:bidi="fa-IR"/>
          <w:color w:val="111111"/>
          <w:sz w:val="28"/>
          <w:szCs w:val="28"/>
          <w:rtl/>
        </w:rPr>
        <w:t xml:space="preserve">جنگ اشعار است. شعرهای مشتاق و حافظ مغربی و نوربخش و سعدی و جامی و عطار و درویش و خاقانی و قصاب و ذبیحی و رضائی و فریدون و صائب و شفائی و عرفی و وحشی و فانی و صابر و دیگران؛ بی کا، تا: قرن ۱۳؛ قطع: ربعی [نشریه: ۵ - ۶۴۵]</w:t>
      </w:r>
    </w:p>
    <w:p>
      <w:pPr>
        <w:pStyle w:val="BookText"/>
      </w:pPr>
      <w:r>
        <w:rPr>
          <w:rFonts w:ascii="IRNazanin" w:hAnsi="IRNazanin" w:eastAsia="IRNazanin" w:cs="IRNazanin"/>
          <w:lang w:bidi="fa-IR"/>
          <w:color w:val="111111"/>
          <w:sz w:val="28"/>
          <w:szCs w:val="28"/>
          <w:rtl/>
        </w:rPr>
        <w:t xml:space="preserve">۹۷۱. قم؛ مرعشی؛ شماره نسخه: ۱۰۴۱۶/۳</w:t>
      </w:r>
    </w:p>
    <w:p>
      <w:pPr>
        <w:pStyle w:val="BookText"/>
      </w:pPr>
      <w:r>
        <w:rPr>
          <w:rFonts w:ascii="IRNazanin" w:hAnsi="IRNazanin" w:eastAsia="IRNazanin" w:cs="IRNazanin"/>
          <w:lang w:bidi="fa-IR"/>
          <w:color w:val="111111"/>
          <w:sz w:val="28"/>
          <w:szCs w:val="28"/>
          <w:rtl/>
        </w:rPr>
        <w:t xml:space="preserve">دوازده بند ازشاعری به نام آثم که بر وزن و قافیه ۱۲ بند محتـشم کاشانی به فارسی سروده است ؛خط: نستعلیق، بی کا، تا :اواخر قرن ۱۳؛ قطع: رحلی [ [میراث شهاب: س۸ش ۴ - ۶۱]</w:t>
      </w:r>
    </w:p>
    <w:p>
      <w:pPr>
        <w:pStyle w:val="BookText"/>
      </w:pPr>
      <w:r>
        <w:rPr>
          <w:rFonts w:ascii="IRNazanin" w:hAnsi="IRNazanin" w:eastAsia="IRNazanin" w:cs="IRNazanin"/>
          <w:lang w:bidi="fa-IR"/>
          <w:color w:val="111111"/>
          <w:sz w:val="28"/>
          <w:szCs w:val="28"/>
          <w:rtl/>
        </w:rPr>
        <w:t xml:space="preserve">۹۷۲. تهران؛ ملی؛ شماره نسخه: ۱۸۸/۲</w:t>
      </w:r>
    </w:p>
    <w:p>
      <w:pPr>
        <w:pStyle w:val="BookText"/>
      </w:pPr>
      <w:r>
        <w:rPr>
          <w:rFonts w:ascii="IRNazanin" w:hAnsi="IRNazanin" w:eastAsia="IRNazanin" w:cs="IRNazanin"/>
          <w:lang w:bidi="fa-IR"/>
          <w:color w:val="111111"/>
          <w:sz w:val="28"/>
          <w:szCs w:val="28"/>
          <w:rtl/>
        </w:rPr>
        <w:t xml:space="preserve">جنگی شامل: قسمتی از پریشان نامه قا آنی (ص ۳۰-۴۰)، منشآت متعددی از نویسندگان مختلف ،(۱۲۶-۱۴۷) نامه هایی به سلاطین خارجی و امیران و رؤسای ایران و نامه دیگر که اغلب آنهابه انشای میرزا عبدالوهاب نشاط است (۲۲۱-۱۹۱)، نام هفت دریایی که در ربع مسكون قرار دارند با نام خلیج آن دریاها (مآخذ از كتب «عجائب المخلوقات» و «زبدة التواريخ»، «نزهة القلوب» و «صور الاقاليم» و «جامع الحکایات») (۲۲۱-۲۳۴) داستانی مربوط به یک نفر کبوترباز و سنگ پرانی او (۴۵۴-۴۵۶)، انتخابی از لغت نوائی، حدیثی از کتاب «کلام الملوک» (۴۷۵-۴۷۶ در متن و حاشیه)، داستانی (۴۹۳) نامه هایی به اشخاص مختلف: چون میرزا ابو القاسم قائم مقام (۵۷۵-۶۰۵)، رمل و ادعیه (۶۱۱) نامه هایی از ميرزا ابوالقاسم قائم مقام (۶۱۲-۶۲۲)، مطالبی در عروض (۶۲۳- ۶۵۱)، منتخبی از کتاب «بدایع الصنایع» سید عطاءالله مشهدی محمود الحسینی (۷۰۵-۷۱۸)؛ خط: نستعلیق، کا: عباسقلی والد آقا کریم، تا: قرن ۱۳؛ کاغذ: فرنگی شکری، جلد: تیماج سیاه،مقوایی، ۲۰ سطر (۷/۵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۱ - ۱۸۹]</w:t>
      </w:r>
    </w:p>
    <w:p>
      <w:pPr>
        <w:pStyle w:val="BookText"/>
      </w:pPr>
      <w:r>
        <w:rPr>
          <w:rFonts w:ascii="IRNazanin" w:hAnsi="IRNazanin" w:eastAsia="IRNazanin" w:cs="IRNazanin"/>
          <w:lang w:bidi="fa-IR"/>
          <w:color w:val="111111"/>
          <w:sz w:val="28"/>
          <w:szCs w:val="28"/>
          <w:rtl/>
        </w:rPr>
        <w:t xml:space="preserve">۹۷۳. تهران؛ مجلس؛ شماره نسخه: ۳۵۱۲/۱۳</w:t>
      </w:r>
    </w:p>
    <w:p>
      <w:pPr>
        <w:pStyle w:val="BookText"/>
      </w:pPr>
      <w:r>
        <w:rPr>
          <w:rFonts w:ascii="IRNazanin" w:hAnsi="IRNazanin" w:eastAsia="IRNazanin" w:cs="IRNazanin"/>
          <w:lang w:bidi="fa-IR"/>
          <w:color w:val="111111"/>
          <w:sz w:val="28"/>
          <w:szCs w:val="28"/>
          <w:rtl/>
        </w:rPr>
        <w:t xml:space="preserve">در این صفحات اشعاری است از سنائی، محمد مهدی رضوی شاعر (گرد آورنده جنگ)، شیخ بهائی، وصاف، میرزا علی پرتو، عاشق و مشتاق؛ کا: سید محمد رضوی قمی، تا: قرن ۱۳؛ کاغذ: فرنگی ،جلد: تیماج یشمی، ۴ ص (۷۳-۷۶)، قطع: خشتی،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 ۱۰ -۱۴۶۷]</w:t>
      </w:r>
    </w:p>
    <w:p>
      <w:pPr>
        <w:pStyle w:val="BookText"/>
      </w:pPr>
      <w:r>
        <w:rPr>
          <w:rFonts w:ascii="IRNazanin" w:hAnsi="IRNazanin" w:eastAsia="IRNazanin" w:cs="IRNazanin"/>
          <w:lang w:bidi="fa-IR"/>
          <w:color w:val="111111"/>
          <w:sz w:val="28"/>
          <w:szCs w:val="28"/>
          <w:rtl/>
        </w:rPr>
        <w:t xml:space="preserve">۹۷۴. تهران؛ مجلس؛ شماره نسخه: ۳۵۱۲/۷</w:t>
      </w:r>
    </w:p>
    <w:p>
      <w:pPr>
        <w:pStyle w:val="BookText"/>
      </w:pPr>
      <w:r>
        <w:rPr>
          <w:rFonts w:ascii="IRNazanin" w:hAnsi="IRNazanin" w:eastAsia="IRNazanin" w:cs="IRNazanin"/>
          <w:lang w:bidi="fa-IR"/>
          <w:color w:val="111111"/>
          <w:sz w:val="28"/>
          <w:szCs w:val="28"/>
          <w:rtl/>
        </w:rPr>
        <w:t xml:space="preserve">از بابا طاهر و ملارحیم طای جوزی؛ کا: سید محمد رضوی قمی، تا: قرن ۱۳ ؛کاغذ: فرنگی ،جلد، تیماج یشمی، ۵ص (۴۳-۳۹)،قطع: خشتی،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 ۱۰ - ۱۴۶۶]</w:t>
      </w:r>
    </w:p>
    <w:p>
      <w:pPr>
        <w:pStyle w:val="BookText"/>
      </w:pPr>
      <w:r>
        <w:rPr>
          <w:rFonts w:ascii="IRNazanin" w:hAnsi="IRNazanin" w:eastAsia="IRNazanin" w:cs="IRNazanin"/>
          <w:lang w:bidi="fa-IR"/>
          <w:color w:val="111111"/>
          <w:sz w:val="28"/>
          <w:szCs w:val="28"/>
          <w:rtl/>
        </w:rPr>
        <w:t xml:space="preserve">۹۷۵. قم؛ مرعشی؛ شماره نسخه: ۱۱۰۳۰/۱</w:t>
      </w:r>
    </w:p>
    <w:p>
      <w:pPr>
        <w:pStyle w:val="BookText"/>
      </w:pPr>
      <w:r>
        <w:rPr>
          <w:rFonts w:ascii="IRNazanin" w:hAnsi="IRNazanin" w:eastAsia="IRNazanin" w:cs="IRNazanin"/>
          <w:lang w:bidi="fa-IR"/>
          <w:color w:val="111111"/>
          <w:sz w:val="28"/>
          <w:szCs w:val="28"/>
          <w:rtl/>
        </w:rPr>
        <w:t xml:space="preserve">ناشناخته؛ خط: نسخ و نستعلیق شکسته، بی کا، تا: قرن ۱۳، قطع: جیبی [میراث شهاب: س ۹ ش ۲ - ۴۱]  ۹۷۶. تهران؛ ملک؛ شماره نسخه: ۴۸۹۱</w:t>
      </w:r>
    </w:p>
    <w:p>
      <w:pPr>
        <w:pStyle w:val="BookText"/>
      </w:pPr>
      <w:r>
        <w:rPr>
          <w:rFonts w:ascii="IRNazanin" w:hAnsi="IRNazanin" w:eastAsia="IRNazanin" w:cs="IRNazanin"/>
          <w:lang w:bidi="fa-IR"/>
          <w:color w:val="111111"/>
          <w:sz w:val="28"/>
          <w:szCs w:val="28"/>
          <w:rtl/>
        </w:rPr>
        <w:t xml:space="preserve">شامل اشعاری از: سعدی ،خیام، وصال، جامی، مجرم، عاشق، کامل، حکیم قاآنی ،حافظ ،ناظری ،عارف، معتمد، سرباز و جز آنان؛ خط:شکسته نستعلیق، بی کا، تا: قرن ۱۳؛ با یک سرلوح و جدول اکلیلی؛ کاغذ: آهار مهره فرنگی، ۲۲۱گ، مختلف السطر، اندازه: ۱۴/۲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۸ - ۱۱۴]</w:t>
      </w:r>
    </w:p>
    <w:p>
      <w:pPr>
        <w:pStyle w:val="BookText"/>
      </w:pPr>
      <w:r>
        <w:rPr>
          <w:rFonts w:ascii="IRNazanin" w:hAnsi="IRNazanin" w:eastAsia="IRNazanin" w:cs="IRNazanin"/>
          <w:lang w:bidi="fa-IR"/>
          <w:color w:val="111111"/>
          <w:sz w:val="28"/>
          <w:szCs w:val="28"/>
          <w:rtl/>
        </w:rPr>
        <w:t xml:space="preserve">۹۷۷. تهران؛ دانشسرای عالی - کتابخانه میرزا عبدالعظیم خان قریب گر کانی؛ شماره نسخه: ۱۳۴/۴</w:t>
      </w:r>
    </w:p>
    <w:p>
      <w:pPr>
        <w:pStyle w:val="BookText"/>
      </w:pPr>
      <w:r>
        <w:rPr>
          <w:rFonts w:ascii="IRNazanin" w:hAnsi="IRNazanin" w:eastAsia="IRNazanin" w:cs="IRNazanin"/>
          <w:lang w:bidi="fa-IR"/>
          <w:color w:val="111111"/>
          <w:sz w:val="28"/>
          <w:szCs w:val="28"/>
          <w:rtl/>
        </w:rPr>
        <w:t xml:space="preserve">مثنوی است در مناجات؛ بی کا، تا: قرن ۱۳؛ قطع : ربعی [ نشریه: ۵ - ۶۴۴]</w:t>
      </w:r>
    </w:p>
    <w:p>
      <w:pPr>
        <w:pStyle w:val="BookText"/>
      </w:pPr>
      <w:r>
        <w:rPr>
          <w:rFonts w:ascii="IRNazanin" w:hAnsi="IRNazanin" w:eastAsia="IRNazanin" w:cs="IRNazanin"/>
          <w:lang w:bidi="fa-IR"/>
          <w:color w:val="111111"/>
          <w:sz w:val="28"/>
          <w:szCs w:val="28"/>
          <w:rtl/>
        </w:rPr>
        <w:t xml:space="preserve">۹۷۸. تهران؛ مجلس؛ شماره نسخه: ۱۰۱۲۸/۹</w:t>
      </w:r>
    </w:p>
    <w:p>
      <w:pPr>
        <w:pStyle w:val="BookText"/>
      </w:pPr>
      <w:r>
        <w:rPr>
          <w:rFonts w:ascii="IRNazanin" w:hAnsi="IRNazanin" w:eastAsia="IRNazanin" w:cs="IRNazanin"/>
          <w:lang w:bidi="fa-IR"/>
          <w:color w:val="111111"/>
          <w:sz w:val="28"/>
          <w:szCs w:val="28"/>
          <w:rtl/>
        </w:rPr>
        <w:t xml:space="preserve">خط: نستعلیق، بی کا، تا: قرن ۱۳؛ در آخر یادداشتی از سید محمد جزائری به تاریخ ۵ ۲ /ع2/ ۱۳۷۷ ق در نجف اشرف در معرفی این مجموعه؛ کاغذ: ،آبی ،جلد: مقوایی قرمز، ۷ ص (۱۰۰-۱۰۶)،
</w:t>
      </w:r>
    </w:p>
    <w:p>
      <w:pPr>
        <w:sectPr>
          <w:footerReference w:type="default" r:id="rId8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۳۲ - ۱۶۲]</w:t>
      </w:r>
    </w:p>
    <w:p>
      <w:pPr>
        <w:pStyle w:val="BookText"/>
      </w:pPr>
      <w:r>
        <w:rPr>
          <w:rFonts w:ascii="IRNazanin" w:hAnsi="IRNazanin" w:eastAsia="IRNazanin" w:cs="IRNazanin"/>
          <w:lang w:bidi="fa-IR"/>
          <w:color w:val="111111"/>
          <w:sz w:val="28"/>
          <w:szCs w:val="28"/>
          <w:rtl/>
        </w:rPr>
        <w:t xml:space="preserve">۹۷۹. تهران؛ مفتاح؛ شماره نسخه: ۸۱۱</w:t>
      </w:r>
    </w:p>
    <w:p>
      <w:pPr>
        <w:pStyle w:val="BookText"/>
      </w:pPr>
      <w:r>
        <w:rPr>
          <w:rFonts w:ascii="IRNazanin" w:hAnsi="IRNazanin" w:eastAsia="IRNazanin" w:cs="IRNazanin"/>
          <w:lang w:bidi="fa-IR"/>
          <w:color w:val="111111"/>
          <w:sz w:val="28"/>
          <w:szCs w:val="28"/>
          <w:rtl/>
        </w:rPr>
        <w:t xml:space="preserve">آغاز: ای صانع سماک و فرازنده سما *** زیبنده ثنا و فروزنده سنا؛</w:t>
      </w:r>
    </w:p>
    <w:p>
      <w:pPr>
        <w:pStyle w:val="BookText"/>
      </w:pPr>
      <w:r>
        <w:rPr>
          <w:rFonts w:ascii="IRNazanin" w:hAnsi="IRNazanin" w:eastAsia="IRNazanin" w:cs="IRNazanin"/>
          <w:lang w:bidi="fa-IR"/>
          <w:color w:val="111111"/>
          <w:sz w:val="28"/>
          <w:szCs w:val="28"/>
          <w:rtl/>
        </w:rPr>
        <w:t xml:space="preserve">از زمان قاجار، قصاید است و یکی از آنها در کرمان و تهران هر دو سروده شده؛ خط: نستعلیق، بی کا، تا: قرن ۱۳، قطع: ربعی [ نشریه: ۷ - ۱۵۴]</w:t>
      </w:r>
    </w:p>
    <w:p>
      <w:pPr>
        <w:pStyle w:val="BookText"/>
      </w:pPr>
      <w:r>
        <w:rPr>
          <w:rFonts w:ascii="IRNazanin" w:hAnsi="IRNazanin" w:eastAsia="IRNazanin" w:cs="IRNazanin"/>
          <w:lang w:bidi="fa-IR"/>
          <w:color w:val="111111"/>
          <w:sz w:val="28"/>
          <w:szCs w:val="28"/>
          <w:rtl/>
        </w:rPr>
        <w:t xml:space="preserve">۹۸۰. تهران؛ مجلس؛ شماره نسخه: ۱۱۵۱/۹</w:t>
      </w:r>
    </w:p>
    <w:p>
      <w:pPr>
        <w:pStyle w:val="BookText"/>
      </w:pPr>
      <w:r>
        <w:rPr>
          <w:rFonts w:ascii="IRNazanin" w:hAnsi="IRNazanin" w:eastAsia="IRNazanin" w:cs="IRNazanin"/>
          <w:lang w:bidi="fa-IR"/>
          <w:color w:val="111111"/>
          <w:sz w:val="28"/>
          <w:szCs w:val="28"/>
          <w:rtl/>
        </w:rPr>
        <w:t xml:space="preserve">مخمسات:حسینی، قاسم، بینا، عیشی ،رافع، هلالی، امیدی ،امیر خسرو، سید متین، عطاء الله هما، توفيق، شيدا، محرم، عاشق،اوجی ،صایب ،ارشد ؛خط: نستعلیق چلیپا، بی کا، تا: قرن13؛ کاغذ: سفید ،جلد: تیماج قهوه ای ضربی یک لا، ۵۰ ص (762- ۸۱۱)، ۱۰ سطر دوستونی [سنا: ف: ۲ - ۱۴۳]</w:t>
      </w:r>
    </w:p>
    <w:p>
      <w:pPr>
        <w:pStyle w:val="BookText"/>
      </w:pPr>
      <w:r>
        <w:rPr>
          <w:rFonts w:ascii="IRNazanin" w:hAnsi="IRNazanin" w:eastAsia="IRNazanin" w:cs="IRNazanin"/>
          <w:lang w:bidi="fa-IR"/>
          <w:color w:val="111111"/>
          <w:sz w:val="28"/>
          <w:szCs w:val="28"/>
          <w:rtl/>
        </w:rPr>
        <w:t xml:space="preserve">۹۸۱. قم؛ مرکز احیاء؛ شماره نسخه: ۳۴۷۶</w:t>
      </w:r>
    </w:p>
    <w:p>
      <w:pPr>
        <w:pStyle w:val="BookText"/>
      </w:pPr>
      <w:r>
        <w:rPr>
          <w:rFonts w:ascii="IRNazanin" w:hAnsi="IRNazanin" w:eastAsia="IRNazanin" w:cs="IRNazanin"/>
          <w:lang w:bidi="fa-IR"/>
          <w:color w:val="111111"/>
          <w:sz w:val="28"/>
          <w:szCs w:val="28"/>
          <w:rtl/>
        </w:rPr>
        <w:t xml:space="preserve">آغاز: سرتاسر این کتاب که چون مهر و مه جلیست *** توحید و نعت و منقبت مرتضی علیست؛ انجام: زمرده کم نه ای زنده جـهر کن خود را *** ز موج خیز حوادث بیک کنار انداز</w:t>
      </w:r>
    </w:p>
    <w:p>
      <w:pPr>
        <w:pStyle w:val="BookText"/>
      </w:pPr>
      <w:r>
        <w:rPr>
          <w:rFonts w:ascii="IRNazanin" w:hAnsi="IRNazanin" w:eastAsia="IRNazanin" w:cs="IRNazanin"/>
          <w:lang w:bidi="fa-IR"/>
          <w:color w:val="111111"/>
          <w:sz w:val="28"/>
          <w:szCs w:val="28"/>
          <w:rtl/>
        </w:rPr>
        <w:t xml:space="preserve">اشعاری است در مدح مولی امیرالمؤمنین علیه السلام از شعرای ذیل: سلیمی ،خواجوی کرمانی، نظام استرآبادی، ابن حسـام ،عطار، میر خسرو، ،غواصی ،میررازی ،صادق، وصالی اشرف، كمال بن غیاث، میر حاج، نثاری؛ خط: نسخ، بی کا،تا: قرن13؛ كاغذ: الوان، جلد: مقوایی، عطف تیماج مشکی، ۶۲گ، مختلـف السطر، اندازه: ۱۶/۵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 سم [محدث ارموی مخ: ۳ -۱۴۱۵]</w:t>
      </w:r>
    </w:p>
    <w:p>
      <w:pPr>
        <w:pStyle w:val="BookText"/>
      </w:pPr>
      <w:r>
        <w:rPr>
          <w:rFonts w:ascii="Times New Roman" w:hAnsi="Times New Roman" w:eastAsia="Times New Roman" w:cs="Times New Roman"/>
          <w:lang w:val="en-US" w:bidi="en-US"/>
          <w:color w:val="111111"/>
          <w:sz w:val="28"/>
          <w:szCs w:val="28"/>
          <w:rtl/>
        </w:rPr>
        <w:t xml:space="preserve">982.</w:t>
      </w:r>
    </w:p>
    <w:p>
      <w:pPr>
        <w:pStyle w:val="BookText"/>
      </w:pPr>
      <w:r>
        <w:rPr>
          <w:rFonts w:ascii="IRNazanin" w:hAnsi="IRNazanin" w:eastAsia="IRNazanin" w:cs="IRNazanin"/>
          <w:lang w:bidi="fa-IR"/>
          <w:color w:val="111111"/>
          <w:sz w:val="28"/>
          <w:szCs w:val="28"/>
          <w:rtl/>
        </w:rPr>
        <w:t xml:space="preserve">تهران؛ مجلس؛ شماره نسخه: ۳۳۴۵/۲</w:t>
      </w:r>
    </w:p>
    <w:p>
      <w:pPr>
        <w:pStyle w:val="BookText"/>
      </w:pPr>
      <w:r>
        <w:rPr>
          <w:rFonts w:ascii="IRNazanin" w:hAnsi="IRNazanin" w:eastAsia="IRNazanin" w:cs="IRNazanin"/>
          <w:lang w:bidi="fa-IR"/>
          <w:color w:val="111111"/>
          <w:sz w:val="28"/>
          <w:szCs w:val="28"/>
          <w:rtl/>
        </w:rPr>
        <w:t xml:space="preserve">مدایح و مراثی منظوم. قطعات مختلف با وزن های گوناگون اسـت در مدح و مرثیه و روضه خوانی و اولین بیت این است: چرا به بستن خود کعبه اعتراف نکرد*** چرا مطاف خلایق بر او طواف نکرد؛ بی کا، تا: قرن ۱۳ ؛کاغذ: فرنگی ،جلد: گالینگور قهوه ای با عطف و گوشه از تیماج قهوه ای، ۳۵ ص (۱۳۷-۱۷۲)، ۱۶ سـطر، قطع: خشتی،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۱۰ - ۱۱۴۴]</w:t>
      </w:r>
    </w:p>
    <w:p>
      <w:pPr>
        <w:pStyle w:val="BookText"/>
      </w:pPr>
      <w:r>
        <w:rPr>
          <w:rFonts w:ascii="Amiri" w:hAnsi="Amiri" w:eastAsia="Amiri" w:cs="Amiri"/>
          <w:lang w:bidi="ar-SA"/>
          <w:color w:val="111111"/>
          <w:sz w:val="28"/>
          <w:szCs w:val="28"/>
          <w:rtl/>
        </w:rPr>
        <w:t xml:space="preserve">۹۸۳. تهران؛ دائرة المعارف؛ شماره نسخه: ۴۳۶</w:t>
      </w:r>
    </w:p>
    <w:p>
      <w:pPr>
        <w:pStyle w:val="BookText"/>
      </w:pPr>
      <w:r>
        <w:rPr>
          <w:rFonts w:ascii="IRNazanin" w:hAnsi="IRNazanin" w:eastAsia="IRNazanin" w:cs="IRNazanin"/>
          <w:lang w:bidi="fa-IR"/>
          <w:color w:val="111111"/>
          <w:sz w:val="28"/>
          <w:szCs w:val="28"/>
          <w:rtl/>
        </w:rPr>
        <w:t xml:space="preserve">آغاز: ای آب فرات خاک عالم به سرت *** از بهر حسین چرا نسوزد جگرت؛ انجام: اندر غم من مشو با مدعی هم صحبت اما*** معجب نیست با عرفی دل نامهربانش راست</w:t>
      </w:r>
    </w:p>
    <w:p>
      <w:pPr>
        <w:pStyle w:val="BookText"/>
      </w:pPr>
      <w:r>
        <w:rPr>
          <w:rFonts w:ascii="IRNazanin" w:hAnsi="IRNazanin" w:eastAsia="IRNazanin" w:cs="IRNazanin"/>
          <w:lang w:bidi="fa-IR"/>
          <w:color w:val="111111"/>
          <w:sz w:val="28"/>
          <w:szCs w:val="28"/>
          <w:rtl/>
        </w:rPr>
        <w:t xml:space="preserve">دارای مدیحه، مرثیه و نوحه، غزل و منظومه ،نامرتب، از سنایی، قاآنی و کفاش. بیاض نوحه خوانان، پر غلط؛ خط: نستعلیق پخـته، بی کا، تا: قرن ۱۳؛ کاغذ: آهار مهره ،جلد: تیماج مشکی یک لا، ۱۰۶گ، مختلف السطر، 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۱۳/۵سم [ف: ۱ - ۳۷]</w:t>
      </w:r>
    </w:p>
    <w:p>
      <w:pPr>
        <w:pStyle w:val="BookText"/>
      </w:pPr>
      <w:r>
        <w:rPr>
          <w:rFonts w:ascii="IRNazanin" w:hAnsi="IRNazanin" w:eastAsia="IRNazanin" w:cs="IRNazanin"/>
          <w:lang w:bidi="fa-IR"/>
          <w:color w:val="111111"/>
          <w:sz w:val="28"/>
          <w:szCs w:val="28"/>
          <w:rtl/>
        </w:rPr>
        <w:t xml:space="preserve">۹۸۴ . قم؛ گلپایگانی؛ شماره نسخه: ۳۴۱۹-۱۷/۱۹۹</w:t>
      </w:r>
    </w:p>
    <w:p>
      <w:pPr>
        <w:pStyle w:val="BookText"/>
      </w:pPr>
      <w:r>
        <w:rPr>
          <w:rFonts w:ascii="IRNazanin" w:hAnsi="IRNazanin" w:eastAsia="IRNazanin" w:cs="IRNazanin"/>
          <w:lang w:bidi="fa-IR"/>
          <w:color w:val="111111"/>
          <w:sz w:val="28"/>
          <w:szCs w:val="28"/>
          <w:rtl/>
        </w:rPr>
        <w:t xml:space="preserve">آغاز: حضرت یوسف چو به چاه شد اسیر *** دور شد از دیده یعقوب پیر/ دید همین نقش به لوح ضمیر *** خواند همین نقش سراسر دلیر؛ انجام: ز خلاق جهان قادر سبحان رخصت *** س زسر حلقه مردان سخی دان رخصت / ش زشاه نجف آن سرور مردان رخصت *** ص از صدق صدیق ثناخان رخصت</w:t>
      </w:r>
    </w:p>
    <w:p>
      <w:pPr>
        <w:pStyle w:val="BookText"/>
      </w:pPr>
      <w:r>
        <w:rPr>
          <w:rFonts w:ascii="IRNazanin" w:hAnsi="IRNazanin" w:eastAsia="IRNazanin" w:cs="IRNazanin"/>
          <w:lang w:bidi="fa-IR"/>
          <w:color w:val="111111"/>
          <w:sz w:val="28"/>
          <w:szCs w:val="28"/>
          <w:rtl/>
        </w:rPr>
        <w:t xml:space="preserve">بیاضی است که در آن اشعاری در مراثی و مدایح چهارده معصوم و در توحید باری تعالی بدون ذکر نام شاعران تحریر شده؛ خط: تحریری، بی کا، تا: قرن ۱۳؛ افتادگی: آغاز و انجام؛ جلد: طبله رو افتاده، طبله پشت تیماج مشکی، ۵۴گ، ۸-۱۰ سطر، اندازه: 8</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۷ - ۴۲۷۰]</w:t>
      </w:r>
    </w:p>
    <w:p>
      <w:pPr>
        <w:pStyle w:val="BookText"/>
      </w:pPr>
      <w:r>
        <w:rPr>
          <w:rFonts w:ascii="IRNazanin" w:hAnsi="IRNazanin" w:eastAsia="IRNazanin" w:cs="IRNazanin"/>
          <w:lang w:bidi="fa-IR"/>
          <w:color w:val="111111"/>
          <w:sz w:val="28"/>
          <w:szCs w:val="28"/>
          <w:rtl/>
        </w:rPr>
        <w:t xml:space="preserve">۹۸۵. تهران؛ مجلس؛ شماره نسخه: ۱۵۱۶/۳</w:t>
      </w:r>
    </w:p>
    <w:p>
      <w:pPr>
        <w:pStyle w:val="BookText"/>
      </w:pPr>
      <w:r>
        <w:rPr>
          <w:rFonts w:ascii="IRNazanin" w:hAnsi="IRNazanin" w:eastAsia="IRNazanin" w:cs="IRNazanin"/>
          <w:lang w:bidi="fa-IR"/>
          <w:color w:val="111111"/>
          <w:sz w:val="28"/>
          <w:szCs w:val="28"/>
          <w:rtl/>
        </w:rPr>
        <w:t xml:space="preserve">بی کا، تا: قرن ۱۳؛ کاغذ: سفید، جلد: تیماج مشکی یک لایی،٧ ص (٩١-٩٧) [سنا: ف: ۲ - ۳۱۱]</w:t>
      </w:r>
    </w:p>
    <w:p>
      <w:pPr>
        <w:pStyle w:val="BookText"/>
      </w:pPr>
      <w:r>
        <w:rPr>
          <w:rFonts w:ascii="IRNazanin" w:hAnsi="IRNazanin" w:eastAsia="IRNazanin" w:cs="IRNazanin"/>
          <w:lang w:bidi="fa-IR"/>
          <w:color w:val="111111"/>
          <w:sz w:val="28"/>
          <w:szCs w:val="28"/>
          <w:rtl/>
        </w:rPr>
        <w:t xml:space="preserve">۹۸۶. تهران؛ ملک؛ شماره نسخه: ۲۷۲۵/۲</w:t>
      </w:r>
    </w:p>
    <w:p>
      <w:pPr>
        <w:pStyle w:val="BookText"/>
      </w:pPr>
      <w:r>
        <w:rPr>
          <w:rFonts w:ascii="IRNazanin" w:hAnsi="IRNazanin" w:eastAsia="IRNazanin" w:cs="IRNazanin"/>
          <w:lang w:bidi="fa-IR"/>
          <w:color w:val="111111"/>
          <w:sz w:val="28"/>
          <w:szCs w:val="28"/>
          <w:rtl/>
        </w:rPr>
        <w:t xml:space="preserve">منظومه  نصاب مانند؛ خط: نستعلیق، بی کا، تا: قرن ۱۳، 3ص [ف:6- 103]</w:t>
      </w:r>
    </w:p>
    <w:p>
      <w:pPr>
        <w:pStyle w:val="BookText"/>
      </w:pPr>
      <w:r>
        <w:rPr>
          <w:rFonts w:ascii="IRNazanin" w:hAnsi="IRNazanin" w:eastAsia="IRNazanin" w:cs="IRNazanin"/>
          <w:lang w:bidi="fa-IR"/>
          <w:color w:val="111111"/>
          <w:sz w:val="28"/>
          <w:szCs w:val="28"/>
          <w:rtl/>
        </w:rPr>
        <w:t xml:space="preserve">۹۸۷. تهران؛ دانشسرای عالی - کتابخانه میرزا عبدالعظیم خان قریب گرکانی؛ شماره نسخه: ۱۳۷/۳</w:t>
      </w:r>
    </w:p>
    <w:p>
      <w:pPr>
        <w:pStyle w:val="BookText"/>
      </w:pPr>
      <w:r>
        <w:rPr>
          <w:rFonts w:ascii="IRNazanin" w:hAnsi="IRNazanin" w:eastAsia="IRNazanin" w:cs="IRNazanin"/>
          <w:lang w:bidi="fa-IR"/>
          <w:color w:val="111111"/>
          <w:sz w:val="28"/>
          <w:szCs w:val="28"/>
          <w:rtl/>
        </w:rPr>
        <w:t xml:space="preserve">از ظهیری منقبت علی (علیه السّلام)؛ بی کا، تا: قرن ۱۳، قطع: ربعی [نشریه:5- 645]</w:t>
      </w:r>
    </w:p>
    <w:p>
      <w:pPr>
        <w:pStyle w:val="BookText"/>
      </w:pPr>
      <w:r>
        <w:rPr>
          <w:rFonts w:ascii="Times New Roman" w:hAnsi="Times New Roman" w:eastAsia="Times New Roman" w:cs="Times New Roman"/>
          <w:lang w:val="en-US" w:bidi="en-US"/>
          <w:color w:val="111111"/>
          <w:sz w:val="28"/>
          <w:szCs w:val="28"/>
          <w:rtl/>
        </w:rPr>
        <w:t xml:space="preserve">988.</w:t>
      </w:r>
    </w:p>
    <w:p>
      <w:pPr>
        <w:pStyle w:val="BookText"/>
      </w:pPr>
      <w:r>
        <w:rPr>
          <w:rFonts w:ascii="IRNazanin" w:hAnsi="IRNazanin" w:eastAsia="IRNazanin" w:cs="IRNazanin"/>
          <w:lang w:bidi="fa-IR"/>
          <w:color w:val="111111"/>
          <w:sz w:val="28"/>
          <w:szCs w:val="28"/>
          <w:rtl/>
        </w:rPr>
        <w:t xml:space="preserve">تهران؛ علوم پزشکی ؛شماره نسخه: ۲۵۸/۶</w:t>
      </w:r>
    </w:p>
    <w:p>
      <w:pPr>
        <w:pStyle w:val="BookText"/>
      </w:pPr>
      <w:r>
        <w:rPr>
          <w:rFonts w:ascii="IRNazanin" w:hAnsi="IRNazanin" w:eastAsia="IRNazanin" w:cs="IRNazanin"/>
          <w:lang w:bidi="fa-IR"/>
          <w:color w:val="111111"/>
          <w:sz w:val="28"/>
          <w:szCs w:val="28"/>
          <w:rtl/>
        </w:rPr>
        <w:t xml:space="preserve">فتاح خان پدر نویسنده نسخه. نوحه سید الشهداء؛ كا: شير على کردبچه برای شیر محمد خان، تا: قرن ۱۳،3 ص (۵۲۵-۵۲۲)[ نشریه: ۳ - ۳۴۲]</w:t>
      </w:r>
    </w:p>
    <w:p>
      <w:pPr>
        <w:pStyle w:val="BookText"/>
      </w:pPr>
      <w:r>
        <w:rPr>
          <w:rFonts w:ascii="IRNazanin" w:hAnsi="IRNazanin" w:eastAsia="IRNazanin" w:cs="IRNazanin"/>
          <w:lang w:bidi="fa-IR"/>
          <w:color w:val="111111"/>
          <w:sz w:val="28"/>
          <w:szCs w:val="28"/>
          <w:rtl/>
        </w:rPr>
        <w:t xml:space="preserve">۹۸۹ . قم؛ مسجد اعظم؛ شماره نسخه: ۲۴۰۹</w:t>
      </w:r>
    </w:p>
    <w:p>
      <w:pPr>
        <w:pStyle w:val="BookText"/>
      </w:pPr>
      <w:r>
        <w:rPr>
          <w:rFonts w:ascii="IRNazanin" w:hAnsi="IRNazanin" w:eastAsia="IRNazanin" w:cs="IRNazanin"/>
          <w:lang w:bidi="fa-IR"/>
          <w:color w:val="111111"/>
          <w:sz w:val="28"/>
          <w:szCs w:val="28"/>
          <w:rtl/>
        </w:rPr>
        <w:t xml:space="preserve">آغاز: شیرین سخنی بود مرا مونس شبها *** می شست زلوح دل من رنگ تعبها / تا بود بهمراه من آن لعبت شیرین *** بنموده فرار از من بی دل همه غمها ؛انجام: قابل خواندن نیست</w:t>
      </w:r>
    </w:p>
    <w:p>
      <w:pPr>
        <w:pStyle w:val="BookText"/>
      </w:pPr>
      <w:r>
        <w:rPr>
          <w:rFonts w:ascii="IRNazanin" w:hAnsi="IRNazanin" w:eastAsia="IRNazanin" w:cs="IRNazanin"/>
          <w:lang w:bidi="fa-IR"/>
          <w:color w:val="111111"/>
          <w:sz w:val="28"/>
          <w:szCs w:val="28"/>
          <w:rtl/>
        </w:rPr>
        <w:t xml:space="preserve">مجموعه برخی اشعار و ابیات متفرقه که در میان آنها برخی اشعار شاهزاده راجی خانم و صهبای اصفهانی آمده؛ خط: نستعلیق کا: انیس، تا: قرن ۱۳؛ جلد: تیماج سبز مجدول گرهی، ۷۵گ، ۲۰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مخ: ۲- ۵۷۸]</w:t>
      </w:r>
    </w:p>
    <w:p>
      <w:pPr>
        <w:pStyle w:val="BookText"/>
      </w:pPr>
      <w:r>
        <w:rPr>
          <w:rFonts w:ascii="IRNazanin" w:hAnsi="IRNazanin" w:eastAsia="IRNazanin" w:cs="IRNazanin"/>
          <w:lang w:bidi="fa-IR"/>
          <w:color w:val="111111"/>
          <w:sz w:val="28"/>
          <w:szCs w:val="28"/>
          <w:rtl/>
        </w:rPr>
        <w:t xml:space="preserve">۹۹۰ . قم؛ مسجد اعظم؛ شماره نسخه: ۲۴۹۹</w:t>
      </w:r>
    </w:p>
    <w:p>
      <w:pPr>
        <w:pStyle w:val="BookText"/>
      </w:pPr>
      <w:r>
        <w:rPr>
          <w:rFonts w:ascii="IRNazanin" w:hAnsi="IRNazanin" w:eastAsia="IRNazanin" w:cs="IRNazanin"/>
          <w:lang w:bidi="fa-IR"/>
          <w:color w:val="111111"/>
          <w:sz w:val="28"/>
          <w:szCs w:val="28"/>
          <w:rtl/>
        </w:rPr>
        <w:t xml:space="preserve">آغاز: زپیش خویش برافکن نقاب دعوی را *** ببینی بکسوت صورت جمال معنی را؛ انجام: تب را بغلط در تبت افتاده گذر *** مشتی عرق شده چکید از ...</w:t>
      </w:r>
    </w:p>
    <w:p>
      <w:pPr>
        <w:pStyle w:val="BookText"/>
      </w:pPr>
      <w:r>
        <w:rPr>
          <w:rFonts w:ascii="IRNazanin" w:hAnsi="IRNazanin" w:eastAsia="IRNazanin" w:cs="IRNazanin"/>
          <w:lang w:bidi="fa-IR"/>
          <w:color w:val="111111"/>
          <w:sz w:val="28"/>
          <w:szCs w:val="28"/>
          <w:rtl/>
        </w:rPr>
        <w:t xml:space="preserve">دفتری مفصل در اشعار و سرودهای شعرا که بدون ترتیب و ذکر نامی از شعرا گرد آورده شده است؛ خط: نستعلیق، بی کا، تا: قرن ۱۳ ،۳۴۹گ، مختلف السطر،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مخ: ۲ - ۵۷۹]</w:t>
      </w:r>
    </w:p>
    <w:p>
      <w:pPr>
        <w:pStyle w:val="BookText"/>
      </w:pPr>
      <w:r>
        <w:rPr>
          <w:rFonts w:ascii="IRNazanin" w:hAnsi="IRNazanin" w:eastAsia="IRNazanin" w:cs="IRNazanin"/>
          <w:lang w:bidi="fa-IR"/>
          <w:color w:val="111111"/>
          <w:sz w:val="28"/>
          <w:szCs w:val="28"/>
          <w:rtl/>
        </w:rPr>
        <w:t xml:space="preserve">۹۹۱. تهران؛ ملی؛ شماره نسخه: ۱۵۲۷</w:t>
      </w:r>
    </w:p>
    <w:p>
      <w:pPr>
        <w:pStyle w:val="BookText"/>
      </w:pPr>
      <w:r>
        <w:rPr>
          <w:rFonts w:ascii="IRNazanin" w:hAnsi="IRNazanin" w:eastAsia="IRNazanin" w:cs="IRNazanin"/>
          <w:lang w:bidi="fa-IR"/>
          <w:color w:val="111111"/>
          <w:sz w:val="28"/>
          <w:szCs w:val="28"/>
          <w:rtl/>
        </w:rPr>
        <w:t xml:space="preserve">اشعاری از: قاآنی، سرخوش ،قدسی، اوحدی مراغه ای، استاد حسن متكلم، فلکی شروانی، مجیرالدین بیلقانی، مختاری غزنوی، سنائی، سیف الدین اعرج، نجيب الدين، سید ذوالفقار شروانی، عبدالواسع جبلی، فریدالدین احول، بدرالدین جاجرمی، سعید هروی، کمال الدین اسماعيل، حكيم فرخاری، شهاب الدین،رشیدالدین وطواط، ابوالمعالی، در آخر کتاب قصاید و اشعار قائم قام فراهانی است؛ خط: نستعلیق، بی کا، تا: قرن ۱۳؛ کاغذ:
</w:t>
      </w:r>
    </w:p>
    <w:p>
      <w:pPr>
        <w:sectPr>
          <w:footerReference w:type="default" r:id="rId8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فرنگی، جلد: تیماج سیاه با ترنج و نیم ترنج کوبیده مقوایی، ۲۳۵گ، ۱۵ سطر (۹/۵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۴-۲۱]</w:t>
      </w:r>
    </w:p>
    <w:p>
      <w:pPr>
        <w:pStyle w:val="BookText"/>
      </w:pPr>
      <w:r>
        <w:rPr>
          <w:rFonts w:ascii="IRNazanin" w:hAnsi="IRNazanin" w:eastAsia="IRNazanin" w:cs="IRNazanin"/>
          <w:lang w:bidi="fa-IR"/>
          <w:color w:val="111111"/>
          <w:sz w:val="28"/>
          <w:szCs w:val="28"/>
          <w:rtl/>
        </w:rPr>
        <w:t xml:space="preserve">۹۹۲. یزد؛ وزیری شماره نسخه: ۲۵۴۵</w:t>
      </w:r>
    </w:p>
    <w:p>
      <w:pPr>
        <w:pStyle w:val="BookText"/>
      </w:pPr>
      <w:r>
        <w:rPr>
          <w:rFonts w:ascii="IRNazanin" w:hAnsi="IRNazanin" w:eastAsia="IRNazanin" w:cs="IRNazanin"/>
          <w:lang w:bidi="fa-IR"/>
          <w:color w:val="111111"/>
          <w:sz w:val="28"/>
          <w:szCs w:val="28"/>
          <w:rtl/>
        </w:rPr>
        <w:t xml:space="preserve">اشعاری از: جامی ،سعدی ،محتشم، حافظ، فروغی، محمد خان جندقی، امیر خسرو نظیری، اوحدی، باباطاهر و جلال الدین بلخی؛ خط: نستعلیق، بی کا، تا: قرن ۱۳؛ اهدایی: شیخ محمد جـواد علمیه؛ کاغذ: اصفهانی، جلد: تیماج تریاکی، ۱۰۰گ، سطرو اندازه مختلف السطر ،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۴ - ۱۳۳۶]</w:t>
      </w:r>
    </w:p>
    <w:p>
      <w:pPr>
        <w:pStyle w:val="BookText"/>
      </w:pPr>
      <w:r>
        <w:rPr>
          <w:rFonts w:ascii="IRNazanin" w:hAnsi="IRNazanin" w:eastAsia="IRNazanin" w:cs="IRNazanin"/>
          <w:lang w:bidi="fa-IR"/>
          <w:color w:val="111111"/>
          <w:sz w:val="28"/>
          <w:szCs w:val="28"/>
          <w:rtl/>
        </w:rPr>
        <w:t xml:space="preserve">۹۹۳. تهران؛ ملک؛ شماره نسخه: ۴۸۳۳/۵</w:t>
      </w:r>
    </w:p>
    <w:p>
      <w:pPr>
        <w:pStyle w:val="BookText"/>
      </w:pPr>
      <w:r>
        <w:rPr>
          <w:rFonts w:ascii="IRNazanin" w:hAnsi="IRNazanin" w:eastAsia="IRNazanin" w:cs="IRNazanin"/>
          <w:lang w:bidi="fa-IR"/>
          <w:color w:val="111111"/>
          <w:sz w:val="28"/>
          <w:szCs w:val="28"/>
          <w:rtl/>
        </w:rPr>
        <w:t xml:space="preserve">گزیده ای است از شعرهای جامی ،مشتاق ،محتشم ،رفيق، عاشق اصفهانی، زکی همدانی، هاتف اصفهانی، غزالی طوسی، نصیری نیشابوری، قاسمی بخارایی، مهستی گنجوی، صباحی بیدگلی، ظهوری ترشیزی، آذر بیگدلی و جز اینها؛ شعرها و سرایندگان نامرتب آورده شده است؛ خط: شکسته نستعلیق، بی کا، تا: قرن۱۳؛ کاغذ: فرنگی ،جلد: میشن زرد سیر، ۷۶گ (۱۵۷ر-۲۳۳ر) ، اندازه: 13/2</w:t>
      </w:r>
      <w:r>
        <w:rPr>
          <w:rFonts w:ascii="Times New Roman" w:hAnsi="Times New Roman" w:eastAsia="Times New Roman" w:cs="Times New Roman"/>
          <w:lang w:val="en-US" w:bidi="en-US"/>
          <w:color w:val="111111"/>
          <w:sz w:val="28"/>
          <w:szCs w:val="28"/>
          <w:rtl/>
        </w:rPr>
        <w:t xml:space="preserve">×20/7 </w:t>
      </w:r>
      <w:r>
        <w:rPr>
          <w:rFonts w:ascii="IRNazanin" w:hAnsi="IRNazanin" w:eastAsia="IRNazanin" w:cs="IRNazanin"/>
          <w:lang w:bidi="fa-IR"/>
          <w:color w:val="111111"/>
          <w:sz w:val="28"/>
          <w:szCs w:val="28"/>
          <w:rtl/>
        </w:rPr>
        <w:t xml:space="preserve">سم [ف: ۸ - ۱۰۵]</w:t>
      </w:r>
    </w:p>
    <w:p>
      <w:pPr>
        <w:pStyle w:val="BookText"/>
      </w:pPr>
      <w:r>
        <w:rPr>
          <w:rFonts w:ascii="IRNazanin" w:hAnsi="IRNazanin" w:eastAsia="IRNazanin" w:cs="IRNazanin"/>
          <w:lang w:bidi="fa-IR"/>
          <w:color w:val="111111"/>
          <w:sz w:val="28"/>
          <w:szCs w:val="28"/>
          <w:rtl/>
        </w:rPr>
        <w:t xml:space="preserve">۹۹۴. تهران؛ ملک؛ شماره نسخه: ۵۰۰۵/۱</w:t>
      </w:r>
    </w:p>
    <w:p>
      <w:pPr>
        <w:pStyle w:val="BookText"/>
      </w:pPr>
      <w:r>
        <w:rPr>
          <w:rFonts w:ascii="IRNazanin" w:hAnsi="IRNazanin" w:eastAsia="IRNazanin" w:cs="IRNazanin"/>
          <w:lang w:bidi="fa-IR"/>
          <w:color w:val="111111"/>
          <w:sz w:val="28"/>
          <w:szCs w:val="28"/>
          <w:rtl/>
        </w:rPr>
        <w:t xml:space="preserve">گزیده ای از مثنوی مولوی بلخی، از عطار ،جامی، مغربی، نور علی ،شمس ،شاه ،علیشاه ،نشاط ،نسیمی، سعدی، حافظ،بابا طاهر ،عراقی، مشتاق؛ خط: نستعلیق، بی کا، تا: قرن ۱۳؛ کاغذ: ترمه ختائی ،جلد: میشن قهوه ای، ۱۵سطر، اندازه: ۸/۲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۱۴/۷سم [ف: ۸ - ۱۵۹]</w:t>
      </w:r>
    </w:p>
    <w:p>
      <w:pPr>
        <w:pStyle w:val="BookText"/>
      </w:pPr>
      <w:r>
        <w:rPr>
          <w:rFonts w:ascii="IRNazanin" w:hAnsi="IRNazanin" w:eastAsia="IRNazanin" w:cs="IRNazanin"/>
          <w:lang w:bidi="fa-IR"/>
          <w:color w:val="111111"/>
          <w:sz w:val="28"/>
          <w:szCs w:val="28"/>
          <w:rtl/>
        </w:rPr>
        <w:t xml:space="preserve">۹۹۵. تهران؛ ملی؛ شماره نسخه: ۲۲۲۲/۴</w:t>
      </w:r>
    </w:p>
    <w:p>
      <w:pPr>
        <w:pStyle w:val="BookText"/>
      </w:pPr>
      <w:r>
        <w:rPr>
          <w:rFonts w:ascii="IRNazanin" w:hAnsi="IRNazanin" w:eastAsia="IRNazanin" w:cs="IRNazanin"/>
          <w:lang w:bidi="fa-IR"/>
          <w:color w:val="111111"/>
          <w:sz w:val="28"/>
          <w:szCs w:val="28"/>
          <w:rtl/>
        </w:rPr>
        <w:t xml:space="preserve">جنگی شامل: دو قطعه شعر یکی از قاضی فتاح ساوجبلاغی محبس به اتابک میرزا علی اصغرخان، و دیگری از میرزا عـلی اصغر خان اتابک جواب او، در شعر اول قاضی فتاح شکوه زندان و زنجیر کشیدن خود می کند در دومی اتابک جواب او را مبنی بر این که سزاوار عمل بدچنین است می دهد (ص ۲۴۰-۴۱  )،یک رباعی از بابا طاهر و ابیاتی چند از شاعران دیگر (۲۴۱)،یک قطعه از سعدی (۲۴۲) یک قطعه شعر (۲۴۴) دو قطعه شعر به ترکی (۲۴۶-۲۵۰) قطعاتی از شعرای متعدد (۲۵۱-۲۵۲)، غزلی از دیوان شمس (۲۵۳ - ۲۵۴)؛ خط: شکسته نستعلیق خوش، بی کا، تا: قرن ۱۳ ؛کاغذ: فرنگی (الوان)، جلد: تیماج قرمز یک لا، ۱۴ص، ۱۵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۶۵سم [ف: ۵ - ۳۲۵]</w:t>
      </w:r>
    </w:p>
    <w:p>
      <w:pPr>
        <w:pStyle w:val="BookText"/>
      </w:pPr>
      <w:r>
        <w:rPr>
          <w:rFonts w:ascii="IRNazanin" w:hAnsi="IRNazanin" w:eastAsia="IRNazanin" w:cs="IRNazanin"/>
          <w:lang w:bidi="fa-IR"/>
          <w:color w:val="111111"/>
          <w:sz w:val="28"/>
          <w:szCs w:val="28"/>
          <w:rtl/>
        </w:rPr>
        <w:t xml:space="preserve">۹۹۶. تهران؛ ملی؛ شماره نسخه: ۷۷۹/۲</w:t>
      </w:r>
    </w:p>
    <w:p>
      <w:pPr>
        <w:pStyle w:val="BookText"/>
      </w:pPr>
      <w:r>
        <w:rPr>
          <w:rFonts w:ascii="IRNazanin" w:hAnsi="IRNazanin" w:eastAsia="IRNazanin" w:cs="IRNazanin"/>
          <w:lang w:bidi="fa-IR"/>
          <w:color w:val="111111"/>
          <w:sz w:val="28"/>
          <w:szCs w:val="28"/>
          <w:rtl/>
        </w:rPr>
        <w:t xml:space="preserve">آغاز: زن آقا دهد بمهمان دوغ *** چکند نیستش جز این در مشک ؛انجام: بی وعده باز از تو بهر سو *** بشام و سحر خـود تک و تاز دارد</w:t>
      </w:r>
    </w:p>
    <w:p>
      <w:pPr>
        <w:pStyle w:val="BookText"/>
      </w:pPr>
      <w:r>
        <w:rPr>
          <w:rFonts w:ascii="IRNazanin" w:hAnsi="IRNazanin" w:eastAsia="IRNazanin" w:cs="IRNazanin"/>
          <w:lang w:bidi="fa-IR"/>
          <w:color w:val="111111"/>
          <w:sz w:val="28"/>
          <w:szCs w:val="28"/>
          <w:rtl/>
        </w:rPr>
        <w:t xml:space="preserve">در این جنگ قسمتی از هزلیات شاعران زیردرج شده اسـت: سوزنی ،انوری ،شرر ،شهاب، میرزا یغما، سحابی کاشی، منشی الممالک و گروهی دیگر که کاتب نامی از آنان نبرده است؛ خط: شکسته نستعلیق، بی کا، تا: قرن ۱۳؛ کاغذ: فرنگی (الوان)، جلد: مقوایی نقاشی ریخته ساده، ۶ ص (۲۰۳-۲۰۹)، ۸ کامل (۸/۵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۲ - ۳۰۴]</w:t>
      </w:r>
    </w:p>
    <w:p>
      <w:pPr>
        <w:pStyle w:val="BookText"/>
      </w:pPr>
      <w:r>
        <w:rPr>
          <w:rFonts w:ascii="IRNazanin" w:hAnsi="IRNazanin" w:eastAsia="IRNazanin" w:cs="IRNazanin"/>
          <w:lang w:bidi="fa-IR"/>
          <w:color w:val="111111"/>
          <w:sz w:val="28"/>
          <w:szCs w:val="28"/>
          <w:rtl/>
        </w:rPr>
        <w:t xml:space="preserve">۹۹۷. تهران؛ دانشکده الهیات تهران؛ شماره نسخه: ۴۶۴</w:t>
      </w:r>
    </w:p>
    <w:p>
      <w:pPr>
        <w:pStyle w:val="BookText"/>
      </w:pPr>
      <w:r>
        <w:rPr>
          <w:rFonts w:ascii="IRNazanin" w:hAnsi="IRNazanin" w:eastAsia="IRNazanin" w:cs="IRNazanin"/>
          <w:lang w:bidi="fa-IR"/>
          <w:color w:val="111111"/>
          <w:sz w:val="28"/>
          <w:szCs w:val="28"/>
          <w:rtl/>
        </w:rPr>
        <w:t xml:space="preserve">شعرهای فارسی به وزن مثنوی و ترجیع بند و قطعه و غزل و برخی از آن ها از سنایی (یکجا) و فروغی (سه جا)؛ خط: نستعلیق، بی کا، تا: قرن ۱۳؛ کاغذ: فرنگی ،جلد: تیماج سرخ ضربی، ۹۵گ، ۱۵ سطر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۴۳]</w:t>
      </w:r>
    </w:p>
    <w:p>
      <w:pPr>
        <w:pStyle w:val="BookText"/>
      </w:pPr>
      <w:r>
        <w:rPr>
          <w:rFonts w:ascii="IRNazanin" w:hAnsi="IRNazanin" w:eastAsia="IRNazanin" w:cs="IRNazanin"/>
          <w:lang w:bidi="fa-IR"/>
          <w:color w:val="111111"/>
          <w:sz w:val="28"/>
          <w:szCs w:val="28"/>
          <w:rtl/>
        </w:rPr>
        <w:t xml:space="preserve">۹۹۸. تهران؛ دانشکده الهیات تهران؛ شماره نسخه: ۵۷۹</w:t>
      </w:r>
    </w:p>
    <w:p>
      <w:pPr>
        <w:pStyle w:val="BookText"/>
      </w:pPr>
      <w:r>
        <w:rPr>
          <w:rFonts w:ascii="IRNazanin" w:hAnsi="IRNazanin" w:eastAsia="IRNazanin" w:cs="IRNazanin"/>
          <w:lang w:bidi="fa-IR"/>
          <w:color w:val="111111"/>
          <w:sz w:val="28"/>
          <w:szCs w:val="28"/>
          <w:rtl/>
        </w:rPr>
        <w:t xml:space="preserve">آغاز: حبذا. بياض دلارایی که تذرو رنگین بالیست که از جلد نگارین سپهر پر نقش و نگار گشود ... در وصفش همین بس  که حضرت والا منزلت شاه بیت سفینه آفرینش و منتخب مجموعه دانش و بینش شیرازه بند اوراق اهلیت و قابلیت و قدر دانی، دیباچه طراز دولت و جهانبانی شاهزاده آزاده دل بنده پرور بسر پنجه طبع بدایع نگار به تزیین آن پرداخته اند</w:t>
      </w:r>
    </w:p>
    <w:p>
      <w:pPr>
        <w:pStyle w:val="BookText"/>
      </w:pPr>
      <w:r>
        <w:rPr>
          <w:rFonts w:ascii="IRNazanin" w:hAnsi="IRNazanin" w:eastAsia="IRNazanin" w:cs="IRNazanin"/>
          <w:lang w:bidi="fa-IR"/>
          <w:color w:val="111111"/>
          <w:sz w:val="28"/>
          <w:szCs w:val="28"/>
          <w:rtl/>
        </w:rPr>
        <w:t xml:space="preserve">اشعار فارسی: در سه بخش: ۱. غزل هایی منسوب به شعرا، ۲. تک بیت از غزل های شعرا با نوشتن نام سراینده در برابر هر بیت، ۳. قصاید منسوب به شعرا ؛خط: نستعلیق، بی کا، تا: قرن ۱۳؛ با سرلوح با گل و بوته های رنگین، مجدول، در ۲ر تا ۷پ نام سرایندگان به ترتیب حروف تهجی یادداشت شده؛ کاغذ: فرنگی، جلد: تیماج سبز زرکوب مقوایی، ۳۱۰گ، ۱۱ سطر (۵/۶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۱۴/۵سم [ف: ۴۳]</w:t>
      </w:r>
    </w:p>
    <w:p>
      <w:pPr>
        <w:pStyle w:val="BookText"/>
      </w:pPr>
      <w:r>
        <w:rPr>
          <w:rFonts w:ascii="IRNazanin" w:hAnsi="IRNazanin" w:eastAsia="IRNazanin" w:cs="IRNazanin"/>
          <w:lang w:bidi="fa-IR"/>
          <w:color w:val="111111"/>
          <w:sz w:val="28"/>
          <w:szCs w:val="28"/>
          <w:rtl/>
        </w:rPr>
        <w:t xml:space="preserve">۹۹۹. تهران؛ ملی؛ شماره نسخه: ۲۸۱۹/۷</w:t>
      </w:r>
    </w:p>
    <w:p>
      <w:pPr>
        <w:pStyle w:val="BookText"/>
      </w:pPr>
      <w:r>
        <w:rPr>
          <w:rFonts w:ascii="IRNazanin" w:hAnsi="IRNazanin" w:eastAsia="IRNazanin" w:cs="IRNazanin"/>
          <w:lang w:bidi="fa-IR"/>
          <w:color w:val="111111"/>
          <w:sz w:val="28"/>
          <w:szCs w:val="28"/>
          <w:rtl/>
        </w:rPr>
        <w:t xml:space="preserve">جنگی شامل:نصاب گونه ای به قصیده ای در قافیه نون و ناظم آن بعد یعی است (۱۷۶-۱۸۱) قصیده ای به قافیه یاء ترکی (۱۸۱ -۱۸۳)، از ۱۸۴ تا ۱۸۸ اشعاری از شاعران زیر: حاجی شاه باقر کاشانی، شیخ ابوسعید ابوالخیر، میرزا ابوالحسن حامد، میرزا محمد صالح رضوی، عجم قلی بیک ذوالقدر، ملاسجاد بنی نجفی، اهلی ترشیزی، میرزا طاهر تبریزی، از ۱۸۸ به بعد اشعار این شاعران آمده: میرزا زین العابدین قراچه داغی، کمال اسماعیل، ميرزا محمد على تمكين تخلص، عمر خیام، میر علی، خاموش، میرزا محمد مجذوب تبریزی، ملا محسن فیض، غيور، سلمان ساوجی، حاجی میرزا اسماعیل همدانی ناظر، قمری قزوینی، آقا رضی قزوینی، ملامومن یزدی، مولوی معنوی، عرفی شیرازی، میرزا صادق نوری، میرزا نصیر، شیخ ابوالقاسم، حكيم ركنا، آقا حسن وحدت، نجفی بیک ،والی، سالک یزدی، میرزا جعفر منشی، ملاضمیر اصفهانی ،مشهور، میرزا جعفر رونق، بابا افضل کاشانی، میرزا ابو طالب تبریزی، میرزا مهدی مستوفی، ملامیر جعفر کاشانی،ملامومن حسین یزدی، بابا طاهر عریان، خواجه حافظ، ،سعدی، حمزه طوسی، خواجه علی شهابی، ابوالقاسم عنصری، شیخ عطار، امیر مومن، مشتری ،ملامظفر، خواجه علی، شیخ اللقلى، ميرزا هادی، جان بیکم، عبدالمولى، حاجی محمد خان قدسی، ابن یمین، عارف لاهوری، خواجه حسن ثنائی، میرنجات عبد الباقی، حاجی محمدرضا راضی، میرزا طاهر وحيد، اعتماد الدوله، میرزا ابوالحسن وحی، ملامحمد حسین، میرزا ابراهیم
</w:t>
      </w:r>
    </w:p>
    <w:p>
      <w:pPr>
        <w:sectPr>
          <w:footerReference w:type="default" r:id="rId8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قومی، شیخ صفی، بابا فغانی ،میر عطاء الله ،خاور، ملامحمد، سـعید اشراف، غیاثای حلوای، میرسید محمد جامه باف، خالصای استر آبادی، میرزا شاه تقی شیخ، الاسلام مشهد مقدس، رشـید وطواط، نعمت الله خان عالی ،ازرقی ،مهستی، عقربی، طالب آملی، دانش، میرسید علی مهدی جبل عاملی، حکیم انوری، خواجه نصیر طوسی، رفعت نیشابوری ،سامی، دوده مغربی، سلطان حسین میرزا بایقرای، ملامحمد صادق، میرزا نصیر حکیم اصفهانی، میرزا لطفعلی، معزالدین محمد یزدی، میرزا ابوالحـسن کلانتر نیشابور، میر جعفر مکتب دار، ملاهجری قمی، میرزا اشراق مشعله دار باشی، میر کرمانی، میرزا نظام دست غیب، مجدالدین همگر ،جامی ،میرزا عبدالمجید همشیره زاده غیور، صحیفی شیرازی، ملا معصوم داغی، لطف الله نیشابوری، شاه شجاع،باقر کاشانی خورده تخلص، ادهم کاشانی ،ملاضمیری ملانطقی نیشابوری، حکیم خاقانی، میرزا رفیع واعظ قزوینی، کمال خجـند، خالص استر آبادی، میر مغیب محوی، امیر خسرو دهلوی، اسدی طوسی، شکیب ،مستوفی، شیخ مغربی، شیخ بهائی، خواجوی کرمانی، عذری تبریزی، یغما؛ خط: نستعلیق، بی کا، تا: قرن13؛ کاغذ:فرنگی ،جلد: تیماج ماشی یک لا داخل تیماج قرمز، ۶۳ص (۲۳۸-۱۷۶)، ۱۱ سطر (6</w:t>
      </w:r>
      <w:r>
        <w:rPr>
          <w:rFonts w:ascii="Times New Roman" w:hAnsi="Times New Roman" w:eastAsia="Times New Roman" w:cs="Times New Roman"/>
          <w:lang w:val="en-US" w:bidi="en-US"/>
          <w:color w:val="111111"/>
          <w:sz w:val="28"/>
          <w:szCs w:val="28"/>
          <w:rtl/>
        </w:rPr>
        <w:t xml:space="preserve">×10) </w:t>
      </w:r>
      <w:r>
        <w:rPr>
          <w:rFonts w:ascii="IRNazanin" w:hAnsi="IRNazanin" w:eastAsia="IRNazanin" w:cs="IRNazanin"/>
          <w:lang w:bidi="fa-IR"/>
          <w:color w:val="111111"/>
          <w:sz w:val="28"/>
          <w:szCs w:val="28"/>
          <w:rtl/>
        </w:rPr>
        <w:t xml:space="preserve">،اندازه: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۱۴/۵سم [ف: ۶ - 453]</w:t>
      </w:r>
    </w:p>
    <w:p>
      <w:pPr>
        <w:pStyle w:val="BookText"/>
      </w:pPr>
      <w:r>
        <w:rPr>
          <w:rFonts w:ascii="IRNazanin" w:hAnsi="IRNazanin" w:eastAsia="IRNazanin" w:cs="IRNazanin"/>
          <w:lang w:bidi="fa-IR"/>
          <w:color w:val="111111"/>
          <w:sz w:val="28"/>
          <w:szCs w:val="28"/>
          <w:rtl/>
        </w:rPr>
        <w:t xml:space="preserve">1000 .تهران؛ ملی؛ شماره نسخه: ۳۰۵۵</w:t>
      </w:r>
    </w:p>
    <w:p>
      <w:pPr>
        <w:pStyle w:val="BookText"/>
      </w:pPr>
      <w:r>
        <w:rPr>
          <w:rFonts w:ascii="IRNazanin" w:hAnsi="IRNazanin" w:eastAsia="IRNazanin" w:cs="IRNazanin"/>
          <w:lang w:bidi="fa-IR"/>
          <w:color w:val="111111"/>
          <w:sz w:val="28"/>
          <w:szCs w:val="28"/>
          <w:rtl/>
        </w:rPr>
        <w:t xml:space="preserve">آغاز: رو دیده دل بازگشا تا که به بینی *** دل بیت حرم آمد و جان مسجد اقصی؛ انجام: دلم در آتش فکندی و من از غـصه میسوزم *** مبادا بشنود نامحرمی بوی کبابش را</w:t>
      </w:r>
    </w:p>
    <w:p>
      <w:pPr>
        <w:pStyle w:val="BookText"/>
      </w:pPr>
      <w:r>
        <w:rPr>
          <w:rFonts w:ascii="IRNazanin" w:hAnsi="IRNazanin" w:eastAsia="IRNazanin" w:cs="IRNazanin"/>
          <w:lang w:bidi="fa-IR"/>
          <w:color w:val="111111"/>
          <w:sz w:val="28"/>
          <w:szCs w:val="28"/>
          <w:rtl/>
        </w:rPr>
        <w:t xml:space="preserve">جنگی شامل: قسمتی از غزلیات شاه قاسم انوار که برحسب ترتـیب الفبائی پایان نرفته (گ ۱ -۱۲۶) غزلیات شوکت بخاری آن هم غزلیات به قافیه الف (۱۲۷ - ۱۵۰) اشعاری از شاعران زیر (153-۱۶۹): صائب طرزی واقف ،جامی، ظهوری ،نظیری ،فروغی،نور على، ظهير، جويا قدسی ،عندلیب ،بیدل ،حزین ،قصاب، حافط ،سعدی، حیدر ،کمال ،هلالی ،خسرو،کلیم، علی؛ خط: نستعليق، بی کا، تا: محتملاً قرن ۱۳؛ افتادگی: آغاز و انجام؛ کاغذ: فرنگی (الوان)، جلد:مقوایی، گالینگور خاکستری، ۱۶۹گ، ۱۱ سـطر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اندازه: ۱۳۰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۶ - ۸۵۴]</w:t>
      </w:r>
    </w:p>
    <w:p>
      <w:pPr>
        <w:pStyle w:val="BookText"/>
      </w:pPr>
      <w:r>
        <w:rPr>
          <w:rFonts w:ascii="Times New Roman" w:hAnsi="Times New Roman" w:eastAsia="Times New Roman" w:cs="Times New Roman"/>
          <w:lang w:val="en-US" w:bidi="en-US"/>
          <w:color w:val="111111"/>
          <w:sz w:val="28"/>
          <w:szCs w:val="28"/>
          <w:rtl/>
        </w:rPr>
        <w:t xml:space="preserve">1001.</w:t>
      </w:r>
    </w:p>
    <w:p>
      <w:pPr>
        <w:pStyle w:val="BookText"/>
      </w:pPr>
      <w:r>
        <w:rPr>
          <w:rFonts w:ascii="IRNazanin" w:hAnsi="IRNazanin" w:eastAsia="IRNazanin" w:cs="IRNazanin"/>
          <w:lang w:bidi="fa-IR"/>
          <w:color w:val="111111"/>
          <w:sz w:val="28"/>
          <w:szCs w:val="28"/>
          <w:rtl/>
        </w:rPr>
        <w:t xml:space="preserve">تهران؛ مجلس؛ شماره نسخه:2332</w:t>
      </w:r>
    </w:p>
    <w:p>
      <w:pPr>
        <w:pStyle w:val="BookText"/>
      </w:pPr>
      <w:r>
        <w:rPr>
          <w:rFonts w:ascii="IRNazanin" w:hAnsi="IRNazanin" w:eastAsia="IRNazanin" w:cs="IRNazanin"/>
          <w:lang w:bidi="fa-IR"/>
          <w:color w:val="111111"/>
          <w:sz w:val="28"/>
          <w:szCs w:val="28"/>
          <w:rtl/>
        </w:rPr>
        <w:t xml:space="preserve">آغاز: ای دفتر حسن ترا فهرست و خدو خالها *** تفصيل ها پنـهان شده در پرده اجمالها؛ انجام: در زمستان باغ اگر از برگ عریان میشود *** برگ عیش خلق افزون در زمستان میشود</w:t>
      </w:r>
    </w:p>
    <w:p>
      <w:pPr>
        <w:pStyle w:val="BookText"/>
      </w:pPr>
      <w:r>
        <w:rPr>
          <w:rFonts w:ascii="IRNazanin" w:hAnsi="IRNazanin" w:eastAsia="IRNazanin" w:cs="IRNazanin"/>
          <w:lang w:bidi="fa-IR"/>
          <w:color w:val="111111"/>
          <w:sz w:val="28"/>
          <w:szCs w:val="28"/>
          <w:rtl/>
        </w:rPr>
        <w:t xml:space="preserve">شامل غزلیات فارسی و ترکی و مخمس و رباعیات و مفردات است کاتب گاهی نام شاعر را ننوشته و گاهی بخطا نوشته است و اسامی شعرا بدین قرار است: صائب (ص 1- 39) ،طالب جامـی، عرفی (۵۶) کاتبی (۷۶) فهیم، ترکی (۸۰)، شوکت (112 )،خسرو (۱۲۴)، حافظ ،(۱۴۶)، حسن دهلوی، المعى (۱۷۲) غزالی ،آصفی ،محتشم ،هلالی ،اقدس ،نظیری، تجلی (۱۷۹) داعی، ثابت ،مظفر ،محوی، منصور ،رسمی، همایون (۱۸۵) ،سقا، فيضی،</w:t>
      </w:r>
    </w:p>
    <w:p>
      <w:pPr>
        <w:pStyle w:val="BookText"/>
      </w:pPr>
      <w:r>
        <w:rPr>
          <w:rFonts w:ascii="IRNazanin" w:hAnsi="IRNazanin" w:eastAsia="IRNazanin" w:cs="IRNazanin"/>
          <w:lang w:bidi="fa-IR"/>
          <w:color w:val="111111"/>
          <w:sz w:val="28"/>
          <w:szCs w:val="28"/>
          <w:rtl/>
        </w:rPr>
        <w:t xml:space="preserve">شامی ،بزمی ،نسیمی جمال ،(۱۹۰) ،زمان عشرتی، ملک قمی، غباری ،سلمان، تقی، صبوری (۱۹۵) شمس الدین ،مولوی ،بهاءالدین ،دری ،شفایی ،واعظ، حیرانی (۲۰۴)، نظامی، شوقی، مخفی، امانی (۲۱۱) یعقوب، مخمس فیضی، تقی (۲۱۶)، هاشم، ،حشم ،مؤمن ،ابراهیم مظهر ،(۲۲۶) رباعیات بدون عنوان (۲۲۷- ۲۳۳)، افراد بدون عنوان (۲۳۴ -۲۴۲) فضولی، ترکی (۲۴۶- ۲۵۶) اشعار ترکی بدون عنوان (۳۰۰-۳۰۵) قدر، ترکی (۳۰۶) ترکی بدون عنوان (۳۰۸-۳۱۳)؛ خط: نستعلیق، بی کا، تا: قرن ۱۳؛ کاغذ: فرنگی ابری الوان ،جلد: تیماج زرشکی ترنج منگنه، ۳۱۵ ص، ۱۰ سطر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 سم [ف: ۸ - ۳۹]</w:t>
      </w:r>
    </w:p>
    <w:p>
      <w:pPr>
        <w:pStyle w:val="BookText"/>
      </w:pPr>
      <w:r>
        <w:rPr>
          <w:rFonts w:ascii="IRNazanin" w:hAnsi="IRNazanin" w:eastAsia="IRNazanin" w:cs="IRNazanin"/>
          <w:lang w:bidi="fa-IR"/>
          <w:color w:val="111111"/>
          <w:sz w:val="28"/>
          <w:szCs w:val="28"/>
          <w:rtl/>
        </w:rPr>
        <w:t xml:space="preserve">۱۰۰۲. تهران؛ مجلس؛ شماره نسخه: ۲۳۳۴</w:t>
      </w:r>
    </w:p>
    <w:p>
      <w:pPr>
        <w:pStyle w:val="BookText"/>
      </w:pPr>
      <w:r>
        <w:rPr>
          <w:rFonts w:ascii="IRNazanin" w:hAnsi="IRNazanin" w:eastAsia="IRNazanin" w:cs="IRNazanin"/>
          <w:lang w:bidi="fa-IR"/>
          <w:color w:val="111111"/>
          <w:sz w:val="28"/>
          <w:szCs w:val="28"/>
          <w:rtl/>
        </w:rPr>
        <w:t xml:space="preserve">آغاز: شبا هنگام چون بنهفت رخ این لاله حمرا *** شکفت از چشم انجم صد هزاران نرگس شهلا؛ انجام: من ننالم ز احمد محمود *** هر که بکنه بمو فلک نکنه</w:t>
      </w:r>
    </w:p>
    <w:p>
      <w:pPr>
        <w:pStyle w:val="BookText"/>
      </w:pPr>
      <w:r>
        <w:rPr>
          <w:rFonts w:ascii="IRNazanin" w:hAnsi="IRNazanin" w:eastAsia="IRNazanin" w:cs="IRNazanin"/>
          <w:lang w:bidi="fa-IR"/>
          <w:color w:val="111111"/>
          <w:sz w:val="28"/>
          <w:szCs w:val="28"/>
          <w:rtl/>
        </w:rPr>
        <w:t xml:space="preserve">شامل منتخبی از اشعار فارسی و ترکی که مشوش صحافی شده بدین قرار: قصاید صباحی (۱) قصاید انوری (۴) سعدی (۱۸) عرفی شیرازی، سلمان ساوجی (۲۸) نامی اصفهانی (۴۷) ، عاشق اصفهانی (۷۳) مؤمن یزدی (۷۷) رباعیات محوی، بابا طاهر (۸۸) فايض (۹۵) ، حکایتهای بدون عنوان، مضحكات (۱۰۱) مهدی بیک شقاقی (۱۰۹) هجویات فایض، انوری، عالم اصفهانی (۱۱۹) مثنوی درویش، نظیر سیاه (۱۲۶)، فضولی (۱۳۹)، مخمس حسامی، مخمس صادق (۱۴۶)، مخمس محب، مخمس عالم، مخمس حاجت (۱۴۹)، مخمس مؤمن، مخمس خاقانی، مخمس فتح الله (۱۵۳)، مخمس آزاد، حافظ، مخمس اهلی، مخمس کمال الدين (۱۷۸)، مخمس انور سقا، مخمس وزیری، مخمس حسینی، مخمس توفیق و ناصح مخمس عنایت الله (۱۸۴)، مخمس رضایی، مخمس جامع، مخمس جامی، مخمس خسرو، مخمس  استاد و لطفی (۱۹۰)، مخمس باقر و شعاعی، مخمس عاشق، مخمس نامی، مخمس وحشی ،(۱۹۹) غزلیات فايض افشار (۲۰۹)، محمد مهری (۲۴۱) سید حسین رفیق (۲۶۹) محتشم ،وفا، سایل، آقا حسن (۲۸۱) قصاب، نظیری، جامی خراسانی، اوحدالدین کرمانی، حاجی فتوی مقدم (۲۹۱)؛ خط: نستعلیق، بی کا، تا: قرن ۱۳؛ یادداشت های مختلف در صفحه ۸۷ دارد که قدیمترین تاریخ آن ۱۲۷۸ است؛ کاغذ: فرنگی، جلد: تیماج ،قهوه ای ۲۹۸ ص، مختلف السطر ،(۹/۵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w:t>
      </w:r>
    </w:p>
    <w:p>
      <w:pPr>
        <w:pStyle w:val="BookText"/>
      </w:pPr>
      <w:r>
        <w:rPr>
          <w:rFonts w:ascii="IRNazanin" w:hAnsi="IRNazanin" w:eastAsia="IRNazanin" w:cs="IRNazanin"/>
          <w:lang w:bidi="fa-IR"/>
          <w:color w:val="111111"/>
          <w:sz w:val="28"/>
          <w:szCs w:val="28"/>
          <w:rtl/>
        </w:rPr>
        <w:t xml:space="preserve">[ف: ۸ - ۴۲]</w:t>
      </w:r>
    </w:p>
    <w:p>
      <w:pPr>
        <w:pStyle w:val="BookText"/>
      </w:pPr>
      <w:r>
        <w:rPr>
          <w:rFonts w:ascii="IRNazanin" w:hAnsi="IRNazanin" w:eastAsia="IRNazanin" w:cs="IRNazanin"/>
          <w:lang w:bidi="fa-IR"/>
          <w:color w:val="111111"/>
          <w:sz w:val="28"/>
          <w:szCs w:val="28"/>
          <w:rtl/>
        </w:rPr>
        <w:t xml:space="preserve">۱۰۰۳ . رشت؛ جمعیت نشر فرهنگ؛ شماره نسخه: ۸۰۳م</w:t>
      </w:r>
    </w:p>
    <w:p>
      <w:pPr>
        <w:pStyle w:val="BookText"/>
      </w:pPr>
      <w:r>
        <w:rPr>
          <w:rFonts w:ascii="IRNazanin" w:hAnsi="IRNazanin" w:eastAsia="IRNazanin" w:cs="IRNazanin"/>
          <w:lang w:bidi="fa-IR"/>
          <w:color w:val="111111"/>
          <w:sz w:val="28"/>
          <w:szCs w:val="28"/>
          <w:rtl/>
        </w:rPr>
        <w:t xml:space="preserve">شعرهای فارسی عرفی و سلمان و سعدی و سنائی، به نام منتخبات الاشعار؛ خط: نستعلیق، بی کا، تا: قرن ۱۳ [رشت و همدان: ف: ۱۱۰۸]</w:t>
      </w:r>
    </w:p>
    <w:p>
      <w:pPr>
        <w:pStyle w:val="BookText"/>
      </w:pPr>
      <w:r>
        <w:rPr>
          <w:rFonts w:ascii="IRNazanin" w:hAnsi="IRNazanin" w:eastAsia="IRNazanin" w:cs="IRNazanin"/>
          <w:lang w:bidi="fa-IR"/>
          <w:color w:val="111111"/>
          <w:sz w:val="28"/>
          <w:szCs w:val="28"/>
          <w:rtl/>
        </w:rPr>
        <w:t xml:space="preserve">۱۰۰۴ . رشت؛ جمعیت نشر فرهنگ؛ شماره نسخه: ۸۰۶م</w:t>
      </w:r>
    </w:p>
    <w:p>
      <w:pPr>
        <w:pStyle w:val="BookText"/>
      </w:pPr>
      <w:r>
        <w:rPr>
          <w:rFonts w:ascii="IRNazanin" w:hAnsi="IRNazanin" w:eastAsia="IRNazanin" w:cs="IRNazanin"/>
          <w:lang w:bidi="fa-IR"/>
          <w:color w:val="111111"/>
          <w:sz w:val="28"/>
          <w:szCs w:val="28"/>
          <w:rtl/>
        </w:rPr>
        <w:t xml:space="preserve">شعرهای فارسی محتشم و هلالی و عراقی و وحشی، به نام منتخبات اشعار؛ خط: نستعلیق، بی کا، تا: قرن ۱۳، با جدول [رشت و همدان :ف - ۱۱۰۸]
</w:t>
      </w:r>
    </w:p>
    <w:p>
      <w:pPr>
        <w:sectPr>
          <w:footerReference w:type="default" r:id="rId8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۱۰۰۵. رشت؛ جمعیت نشر فرهنگ؛ شماره نسخه: ۸۱۰م</w:t>
      </w:r>
    </w:p>
    <w:p>
      <w:pPr>
        <w:pStyle w:val="BookText"/>
      </w:pPr>
      <w:r>
        <w:rPr>
          <w:rFonts w:ascii="IRNazanin" w:hAnsi="IRNazanin" w:eastAsia="IRNazanin" w:cs="IRNazanin"/>
          <w:lang w:bidi="fa-IR"/>
          <w:color w:val="111111"/>
          <w:sz w:val="28"/>
          <w:szCs w:val="28"/>
          <w:rtl/>
        </w:rPr>
        <w:t xml:space="preserve">شعرهای فارسی درویش توحیدی و کاظم و ابن حسام و جامی و ناظم و حافظ و سعدی و دیگران، به نام منتخب الاشعار؛ خـط: نسخ و نستعلیق و شکسته، بی کا،تا: قرن ۱۳، قطع: بياض رقـعی[ رشت و همدان :ف - ۱۱۰۸]</w:t>
      </w:r>
    </w:p>
    <w:p>
      <w:pPr>
        <w:pStyle w:val="BookText"/>
      </w:pPr>
      <w:r>
        <w:rPr>
          <w:rFonts w:ascii="Times New Roman" w:hAnsi="Times New Roman" w:eastAsia="Times New Roman" w:cs="Times New Roman"/>
          <w:lang w:val="en-US" w:bidi="en-US"/>
          <w:color w:val="111111"/>
          <w:sz w:val="28"/>
          <w:szCs w:val="28"/>
          <w:rtl/>
        </w:rPr>
        <w:t xml:space="preserve">1006.</w:t>
      </w:r>
    </w:p>
    <w:p>
      <w:pPr>
        <w:pStyle w:val="BookText"/>
      </w:pPr>
      <w:r>
        <w:rPr>
          <w:rFonts w:ascii="IRNazanin" w:hAnsi="IRNazanin" w:eastAsia="IRNazanin" w:cs="IRNazanin"/>
          <w:lang w:bidi="fa-IR"/>
          <w:color w:val="111111"/>
          <w:sz w:val="28"/>
          <w:szCs w:val="28"/>
          <w:rtl/>
        </w:rPr>
        <w:t xml:space="preserve">رشت؛ جمعیت نشر فرهنگ؛ شماره نسخه: ۱۰۹۵م</w:t>
      </w:r>
    </w:p>
    <w:p>
      <w:pPr>
        <w:pStyle w:val="BookText"/>
      </w:pPr>
      <w:r>
        <w:rPr>
          <w:rFonts w:ascii="IRNazanin" w:hAnsi="IRNazanin" w:eastAsia="IRNazanin" w:cs="IRNazanin"/>
          <w:lang w:bidi="fa-IR"/>
          <w:color w:val="111111"/>
          <w:sz w:val="28"/>
          <w:szCs w:val="28"/>
          <w:rtl/>
        </w:rPr>
        <w:t xml:space="preserve">شعرهای فارسی ضیاء و دیگران با یک مرتبه، به نام منتخب اشعار ؛خط: نستعلیق، بی کا، تا: قرن ۱۳؛ کاغذ: آبی و گلی و نخودی و سبز و بنفش، قطع: ربعی بیاضی [رشت و همدان: ف: - ۱۱۰۸]</w:t>
      </w:r>
    </w:p>
    <w:p>
      <w:pPr>
        <w:pStyle w:val="BookText"/>
      </w:pPr>
      <w:r>
        <w:rPr>
          <w:rFonts w:ascii="IRNazanin" w:hAnsi="IRNazanin" w:eastAsia="IRNazanin" w:cs="IRNazanin"/>
          <w:lang w:bidi="fa-IR"/>
          <w:color w:val="111111"/>
          <w:sz w:val="28"/>
          <w:szCs w:val="28"/>
          <w:rtl/>
        </w:rPr>
        <w:t xml:space="preserve">۱۰۰۷ . رشت؛ جمعیت نشر فرهنگ؛ شماره نسخه: ۱۵۹۵م</w:t>
      </w:r>
    </w:p>
    <w:p>
      <w:pPr>
        <w:pStyle w:val="BookText"/>
      </w:pPr>
      <w:r>
        <w:rPr>
          <w:rFonts w:ascii="IRNazanin" w:hAnsi="IRNazanin" w:eastAsia="IRNazanin" w:cs="IRNazanin"/>
          <w:lang w:bidi="fa-IR"/>
          <w:color w:val="111111"/>
          <w:sz w:val="28"/>
          <w:szCs w:val="28"/>
          <w:rtl/>
        </w:rPr>
        <w:t xml:space="preserve">شعرهای فارسی کلیم کاشانی و امیر محمد زرگر و عمر خیام و سعدی و دیگران ؛خط: نستعلیق، بی کا، تا: قرن ۱۳؛ مجدول و ستون بندی رنگین؛ قطع: بیاض رقعی [ رشت و همدان: ف: - 1108]</w:t>
      </w:r>
    </w:p>
    <w:p>
      <w:pPr>
        <w:pStyle w:val="BookText"/>
      </w:pPr>
      <w:r>
        <w:rPr>
          <w:rFonts w:ascii="Times New Roman" w:hAnsi="Times New Roman" w:eastAsia="Times New Roman" w:cs="Times New Roman"/>
          <w:lang w:val="en-US" w:bidi="en-US"/>
          <w:color w:val="111111"/>
          <w:sz w:val="28"/>
          <w:szCs w:val="28"/>
          <w:rtl/>
        </w:rPr>
        <w:t xml:space="preserve">1008.</w:t>
      </w:r>
    </w:p>
    <w:p>
      <w:pPr>
        <w:pStyle w:val="BookText"/>
      </w:pPr>
      <w:r>
        <w:rPr>
          <w:rFonts w:ascii="Amiri" w:hAnsi="Amiri" w:eastAsia="Amiri" w:cs="Amiri"/>
          <w:lang w:bidi="ar-SA"/>
          <w:color w:val="111111"/>
          <w:sz w:val="28"/>
          <w:szCs w:val="28"/>
          <w:rtl/>
        </w:rPr>
        <w:t xml:space="preserve">تهران؛ دائرة المعارف؛ شماره نسخه: ۲۸۴</w:t>
      </w:r>
    </w:p>
    <w:p>
      <w:pPr>
        <w:pStyle w:val="BookText"/>
      </w:pPr>
      <w:r>
        <w:rPr>
          <w:rFonts w:ascii="IRNazanin" w:hAnsi="IRNazanin" w:eastAsia="IRNazanin" w:cs="IRNazanin"/>
          <w:lang w:bidi="fa-IR"/>
          <w:color w:val="111111"/>
          <w:sz w:val="28"/>
          <w:szCs w:val="28"/>
          <w:rtl/>
        </w:rPr>
        <w:t xml:space="preserve">مجموعه سروده هایی است بیشتر از متقدمان که به نوشته سلطانی: «ظاهراً به خط حکیم قاآنی شیرازی یا منشی او» است، بیشتر نام کسان نانویس مانده است، سروده هایی که به ترتیب الفبایی گرد آمده است عبارت است: رفیق اصفهانی، ملا محتشم، ما فی ابراهیم، سلمان ساوجی، اثیر اومانی، ادیب صابر، ظهیر فاریابی، رضی الدین نیشابوری، ازرقی هروی، جمال الدین عبدالرزاق، عنصری بلخی، عبدالواسع جبلی، رودکی، شعله اصفهانی، امیر معزی سمرقندی، داعی تفرشی، انوری ابیوردی، فرخی سیستانی، سيد حسن غزنوی، شرر شیرازی، عرفی شیرازی، نویدی شیرازی، خسرو دهلوی، رشید وطواط، طیان بمی، عماری شهریاری، مصاحب نایینی، احوال اصفهانی، رکن الدین دعوی دار، سوزنی، داعی تفرشی، حکیم قطران، قاضی نور، فراغی استرآبادی، فصیحی تبریزی، فاخری رازی، حالی اسفراینی، بدیعی تبریزی، خط: نستعلیق پخته، بی کا، تا: قرن ۱۳؛ کاغذ: نخودی فرنگی، ۱۵۰گ، ۱۹ سطر (۷/۵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۱ - ۷۵]</w:t>
      </w:r>
    </w:p>
    <w:p>
      <w:pPr>
        <w:pStyle w:val="BookText"/>
      </w:pPr>
      <w:r>
        <w:rPr>
          <w:rFonts w:ascii="IRNazanin" w:hAnsi="IRNazanin" w:eastAsia="IRNazanin" w:cs="IRNazanin"/>
          <w:lang w:bidi="fa-IR"/>
          <w:color w:val="111111"/>
          <w:sz w:val="28"/>
          <w:szCs w:val="28"/>
          <w:rtl/>
        </w:rPr>
        <w:t xml:space="preserve">۱۰۰۹. تهران؛ دانشگاه؛ شماره نسخه: ۴۳۱۳</w:t>
      </w:r>
    </w:p>
    <w:p>
      <w:pPr>
        <w:pStyle w:val="BookText"/>
      </w:pPr>
      <w:r>
        <w:rPr>
          <w:rFonts w:ascii="IRNazanin" w:hAnsi="IRNazanin" w:eastAsia="IRNazanin" w:cs="IRNazanin"/>
          <w:lang w:bidi="fa-IR"/>
          <w:color w:val="111111"/>
          <w:sz w:val="28"/>
          <w:szCs w:val="28"/>
          <w:rtl/>
        </w:rPr>
        <w:t xml:space="preserve">خط: نستعلیق،بی کا، تا: قرن ۱۳؛ نسخه در قزوین در ۱۳۰۰ از آن محمد بن عباس قاجار بوده و به ده تومان هم خریده شده؛ کاغذ: فرنگی، جلد: تیماج عنابی مقوایی، ۱۲۹گ، ۱۰ سطر (6</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،اندازه: ۱۱</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۱۷سم [ف: ۱۳ - ۳۲۷۶]</w:t>
      </w:r>
    </w:p>
    <w:p>
      <w:pPr>
        <w:pStyle w:val="BookText"/>
      </w:pPr>
      <w:r>
        <w:rPr>
          <w:rFonts w:ascii="IRNazanin" w:hAnsi="IRNazanin" w:eastAsia="IRNazanin" w:cs="IRNazanin"/>
          <w:lang w:bidi="fa-IR"/>
          <w:color w:val="111111"/>
          <w:sz w:val="28"/>
          <w:szCs w:val="28"/>
          <w:rtl/>
        </w:rPr>
        <w:t xml:space="preserve">۱۰۱۰. تهران؛ دانشگاه؛ شماره نسخه: ۲۲۱۷</w:t>
      </w:r>
    </w:p>
    <w:p>
      <w:pPr>
        <w:pStyle w:val="BookText"/>
      </w:pPr>
      <w:r>
        <w:rPr>
          <w:rFonts w:ascii="IRNazanin" w:hAnsi="IRNazanin" w:eastAsia="IRNazanin" w:cs="IRNazanin"/>
          <w:lang w:bidi="fa-IR"/>
          <w:color w:val="111111"/>
          <w:sz w:val="28"/>
          <w:szCs w:val="28"/>
          <w:rtl/>
        </w:rPr>
        <w:t xml:space="preserve">گزیده ای است از شعرهای سعدی و حافظ؛ خط: نستعلیق، بی کا، تا: قرن ۱۳؛ مجدول زر و لاجورد، با سرلوح زرین و لاجوردی؛ کاغذ: فرنگی ،جلد: تیماج مشکی ضربی زرکوب، ۱۰۶گ،  10سطر (۵/۸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 اندازه: ۱۲</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۲۳سم [ف: ۹ - ۸۹۲]</w:t>
      </w:r>
    </w:p>
    <w:p>
      <w:pPr>
        <w:pStyle w:val="BookText"/>
      </w:pPr>
      <w:r>
        <w:rPr>
          <w:rFonts w:ascii="IRNazanin" w:hAnsi="IRNazanin" w:eastAsia="IRNazanin" w:cs="IRNazanin"/>
          <w:lang w:bidi="fa-IR"/>
          <w:color w:val="111111"/>
          <w:sz w:val="28"/>
          <w:szCs w:val="28"/>
          <w:rtl/>
        </w:rPr>
        <w:t xml:space="preserve">۱۰۱۱. تهران؛ دانشگاه؛ شماره نسخه: ۳۱۰۴</w:t>
      </w:r>
    </w:p>
    <w:p>
      <w:pPr>
        <w:pStyle w:val="BookText"/>
      </w:pPr>
      <w:r>
        <w:rPr>
          <w:rFonts w:ascii="IRNazanin" w:hAnsi="IRNazanin" w:eastAsia="IRNazanin" w:cs="IRNazanin"/>
          <w:lang w:bidi="fa-IR"/>
          <w:color w:val="111111"/>
          <w:sz w:val="28"/>
          <w:szCs w:val="28"/>
          <w:rtl/>
        </w:rPr>
        <w:t xml:space="preserve">آغاز: بسمله. دیباچه کتاب، توحید باری. بنام خداوند خورشید و ماه *** که او داد بر نیک و بد دستگاه؛ انجام: ای سنگدل صیاد من تا چند بر یاد قفص *** سر زیر بال خود کشم در گوشه گلزارها</w:t>
      </w:r>
    </w:p>
    <w:p>
      <w:pPr>
        <w:pStyle w:val="BookText"/>
      </w:pPr>
      <w:r>
        <w:rPr>
          <w:rFonts w:ascii="IRNazanin" w:hAnsi="IRNazanin" w:eastAsia="IRNazanin" w:cs="IRNazanin"/>
          <w:lang w:bidi="fa-IR"/>
          <w:color w:val="111111"/>
          <w:sz w:val="28"/>
          <w:szCs w:val="28"/>
          <w:rtl/>
        </w:rPr>
        <w:t xml:space="preserve">جنگ یا مجموعه ابیات اساتید که در آن شعرهای فارسی سرایندگان فارسی از فردوسی و نظامی و سنایی و اسدی و سعدی و سحاب و مجمر و وحید و دیگران آمده با عنوان های: توحید باری، نامه به پادشاه و سرهنگان و تادیب سرکشان و پند به سرهنگان، فتح نامه و رزمگاه، پند به شاهان، بی وفایی دنیا، ،رباعی فخر و نیاز عاشق به معشوق و گله از نرسیدن نامه و رسیدن نامه و نامه به مسافر، شکایت دوری و انتظار و ناامیدی و عهد و گله از دوستان و وداع و هجران و آمدن دوست، آرزوی وصل وشکایت از معشوق و از دوست و اثر آه سوختگان و دیدار بیمار جفای دوست و معشوق و نامه به ناسزاگوینده و نامه به معشوق عاشق پیشه و پیری و ناتوانی و شکایت از دل و دمیدن خط معشوق و گرفتاری خود؛ خط: نستعلیق، بی کا، تا: قرن ۱۳؛ مجدول زرین و لاجورد، شکر الله کاشانی قریشی نسخه را در بازار تهران در ۱۱ جمادی الاول ۱۳۴۵ به چهار تومان خریده، لطفعلی بن مويد الدوله قاجار در تبریز در رمضان ۱۲۹۱ نسخه را داشته؛ کاغذ: فرنگی آهار مهره، جلد: تیماج مشکی ضربی زرکوب مقوایی، ۱۲۸ گ، ۱۵ سطر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 ف : ۱۱ - ۲۰۵۷]</w:t>
      </w:r>
    </w:p>
    <w:p>
      <w:pPr>
        <w:pStyle w:val="BookText"/>
      </w:pPr>
      <w:r>
        <w:rPr>
          <w:rFonts w:ascii="Times New Roman" w:hAnsi="Times New Roman" w:eastAsia="Times New Roman" w:cs="Times New Roman"/>
          <w:lang w:val="en-US" w:bidi="en-US"/>
          <w:color w:val="111111"/>
          <w:sz w:val="28"/>
          <w:szCs w:val="28"/>
          <w:rtl/>
        </w:rPr>
        <w:t xml:space="preserve">1012.</w:t>
      </w:r>
    </w:p>
    <w:p>
      <w:pPr>
        <w:pStyle w:val="BookText"/>
      </w:pPr>
      <w:r>
        <w:rPr>
          <w:rFonts w:ascii="IRNazanin" w:hAnsi="IRNazanin" w:eastAsia="IRNazanin" w:cs="IRNazanin"/>
          <w:lang w:bidi="fa-IR"/>
          <w:color w:val="111111"/>
          <w:sz w:val="28"/>
          <w:szCs w:val="28"/>
          <w:rtl/>
        </w:rPr>
        <w:t xml:space="preserve">تهران؛ دانشگاه؛ شماره نسخه: ۳۱۶۵/۴</w:t>
      </w:r>
    </w:p>
    <w:p>
      <w:pPr>
        <w:pStyle w:val="BookText"/>
      </w:pPr>
      <w:r>
        <w:rPr>
          <w:rFonts w:ascii="IRNazanin" w:hAnsi="IRNazanin" w:eastAsia="IRNazanin" w:cs="IRNazanin"/>
          <w:lang w:bidi="fa-IR"/>
          <w:color w:val="111111"/>
          <w:sz w:val="28"/>
          <w:szCs w:val="28"/>
          <w:rtl/>
        </w:rPr>
        <w:t xml:space="preserve">شعرهایی از [شماره صفحات در فهرست آمده است]: آصفی، میرزا ابوالقاسم تفرشی، امیر خسرو ،جامی ،حافظ، میرزا داود متولی ،رضایی ،سعدی ،شوکت ،صایب، صادق هجری، طبیب ،طوفان، حاجی عابد سپاهانی، عارض سپاهانی، عاشق، عرفی ،عریان ،قصاب، لمعه خراسانی ،محتشم ،مجید، محترم میرزا رحیم  شیرازی ،مشتاق ،مصاحب، هلالی؛ خط: نستعلیق، بی کا، تا: قرن ۱۳؛ کاغذ: فرنگی ،جلد: تیماج قهوه ای مقوایی، ۱۰ سطر (۶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۱۰/۵)، 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۱۱ - ۲۱۲۹]</w:t>
      </w:r>
    </w:p>
    <w:p>
      <w:pPr>
        <w:pStyle w:val="BookText"/>
      </w:pPr>
      <w:r>
        <w:rPr>
          <w:rFonts w:ascii="IRNazanin" w:hAnsi="IRNazanin" w:eastAsia="IRNazanin" w:cs="IRNazanin"/>
          <w:lang w:bidi="fa-IR"/>
          <w:color w:val="111111"/>
          <w:sz w:val="28"/>
          <w:szCs w:val="28"/>
          <w:rtl/>
        </w:rPr>
        <w:t xml:space="preserve">1013 . تهران؛ دانشگاه؛ شماره نسخه: ۳۵۲۳/۲</w:t>
      </w:r>
    </w:p>
    <w:p>
      <w:pPr>
        <w:pStyle w:val="BookText"/>
      </w:pPr>
      <w:r>
        <w:rPr>
          <w:rFonts w:ascii="IRNazanin" w:hAnsi="IRNazanin" w:eastAsia="IRNazanin" w:cs="IRNazanin"/>
          <w:lang w:bidi="fa-IR"/>
          <w:color w:val="111111"/>
          <w:sz w:val="28"/>
          <w:szCs w:val="28"/>
          <w:rtl/>
        </w:rPr>
        <w:t xml:space="preserve">خط: نستعلیق، بی کا، تا: قرن ۱۳ ؛کاغذ: فرنگی، جلد: مخمل سبز مقوایی، ۳۰ ص( ۵۴-۸۳)، ۱۱ سطر ،(6</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 ف: ۱۲ - ۲۵۳۹]</w:t>
      </w:r>
    </w:p>
    <w:p>
      <w:pPr>
        <w:pStyle w:val="BookText"/>
      </w:pPr>
      <w:r>
        <w:rPr>
          <w:rFonts w:ascii="Times New Roman" w:hAnsi="Times New Roman" w:eastAsia="Times New Roman" w:cs="Times New Roman"/>
          <w:lang w:val="en-US" w:bidi="en-US"/>
          <w:color w:val="111111"/>
          <w:sz w:val="28"/>
          <w:szCs w:val="28"/>
          <w:rtl/>
        </w:rPr>
        <w:t xml:space="preserve">1014.</w:t>
      </w:r>
    </w:p>
    <w:p>
      <w:pPr>
        <w:pStyle w:val="BookText"/>
      </w:pPr>
      <w:r>
        <w:rPr>
          <w:rFonts w:ascii="IRNazanin" w:hAnsi="IRNazanin" w:eastAsia="IRNazanin" w:cs="IRNazanin"/>
          <w:lang w:bidi="fa-IR"/>
          <w:color w:val="111111"/>
          <w:sz w:val="28"/>
          <w:szCs w:val="28"/>
          <w:rtl/>
        </w:rPr>
        <w:t xml:space="preserve">تهران؛ دانشگاه؛ شماره نسخه:2/ 4996</w:t>
      </w:r>
    </w:p>
    <w:p>
      <w:pPr>
        <w:pStyle w:val="BookText"/>
      </w:pPr>
      <w:r>
        <w:rPr>
          <w:rFonts w:ascii="IRNazanin" w:hAnsi="IRNazanin" w:eastAsia="IRNazanin" w:cs="IRNazanin"/>
          <w:lang w:bidi="fa-IR"/>
          <w:color w:val="111111"/>
          <w:sz w:val="28"/>
          <w:szCs w:val="28"/>
          <w:rtl/>
        </w:rPr>
        <w:t xml:space="preserve">شعرهای طوفان و آقا جواد و جامی و میرزا نظام استرابادی و سعدی؛ بی کا، تا: قرن ۱۳؛ با سرلوح گل و بوته دار ؛کاغذ: فرنگی ،جلد: تیماج تریاکی ترنجی مقوایی، ۲۰گ (83پ- 103ر)، ۱۲ سطر چلیپا، قطع: خشتی،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۱۵ – ۴۰۸۱]</w:t>
      </w:r>
    </w:p>
    <w:p>
      <w:pPr>
        <w:pStyle w:val="BookText"/>
      </w:pPr>
      <w:r>
        <w:rPr>
          <w:rFonts w:ascii="IRNazanin" w:hAnsi="IRNazanin" w:eastAsia="IRNazanin" w:cs="IRNazanin"/>
          <w:lang w:bidi="fa-IR"/>
          <w:color w:val="111111"/>
          <w:sz w:val="28"/>
          <w:szCs w:val="28"/>
          <w:rtl/>
        </w:rPr>
        <w:t xml:space="preserve">۱۰۱۵. تهران؛ دانشگاه؛ شماره نسخه: ۲۵۷۷/۱</w:t>
      </w:r>
    </w:p>
    <w:p>
      <w:pPr>
        <w:pStyle w:val="BookText"/>
      </w:pPr>
      <w:r>
        <w:rPr>
          <w:rFonts w:ascii="IRNazanin" w:hAnsi="IRNazanin" w:eastAsia="IRNazanin" w:cs="IRNazanin"/>
          <w:lang w:bidi="fa-IR"/>
          <w:color w:val="111111"/>
          <w:sz w:val="28"/>
          <w:szCs w:val="28"/>
          <w:rtl/>
        </w:rPr>
        <w:t xml:space="preserve">شعرهایی از [شماره صفحات در فهرست آمده است]: آگهی، اهلی ،ادهم ،بهمن، پروانه ،حافظ حامی، حسن، حقانی، حمید، ،حیدر ،حیرتی ،خاقانی ،خسرو ،خسروی، خطایی، خواجو، خواجه ،رستمی ،رقیب، زاهد ،زیرک ،سپاسی، سعدی، سلمان ،شرف ،شفایی ،شهیدی، شوکت ،صادق، صبری، صوفی، طایر، طوفان ،عادل ،عادلی ،عزمی، غوث القطب، فراق ،فخری ،فیضی،
</w:t>
      </w:r>
    </w:p>
    <w:p>
      <w:pPr>
        <w:sectPr>
          <w:footerReference w:type="default" r:id="rId8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قدسی ،کمال، لسانی ،مانی ،محتشم، مدامی، مشرقی، مقرب ،مقری، مومن؛ خط: نستعلیق، بی کا، تا: قرن ۱۳ ؛کاغذ: فرنگـی ،جلد: تیماج تریاکی ضربی مقوایی، ۱۸۹ ص (۱-۱۸۹)، ۱۵ سـطر (۸/۵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۹ - ۱۳۷۷]</w:t>
      </w:r>
    </w:p>
    <w:p>
      <w:pPr>
        <w:pStyle w:val="BookText"/>
      </w:pPr>
      <w:r>
        <w:rPr>
          <w:rFonts w:ascii="IRNazanin" w:hAnsi="IRNazanin" w:eastAsia="IRNazanin" w:cs="IRNazanin"/>
          <w:lang w:bidi="fa-IR"/>
          <w:color w:val="111111"/>
          <w:sz w:val="28"/>
          <w:szCs w:val="28"/>
          <w:rtl/>
        </w:rPr>
        <w:t xml:space="preserve">1016 . تهران؛ دانشگاه؛ شماره نسخه: ۵۰۸۶</w:t>
      </w:r>
    </w:p>
    <w:p>
      <w:pPr>
        <w:pStyle w:val="BookText"/>
      </w:pPr>
      <w:r>
        <w:rPr>
          <w:rFonts w:ascii="IRNazanin" w:hAnsi="IRNazanin" w:eastAsia="IRNazanin" w:cs="IRNazanin"/>
          <w:lang w:bidi="fa-IR"/>
          <w:color w:val="111111"/>
          <w:sz w:val="28"/>
          <w:szCs w:val="28"/>
          <w:rtl/>
        </w:rPr>
        <w:t xml:space="preserve">آغاز: معشر العشاق من اهل الجوى *** اننی آنست نارا بالطوی؛</w:t>
      </w:r>
    </w:p>
    <w:p>
      <w:pPr>
        <w:pStyle w:val="BookText"/>
      </w:pPr>
      <w:r>
        <w:rPr>
          <w:rFonts w:ascii="IRNazanin" w:hAnsi="IRNazanin" w:eastAsia="IRNazanin" w:cs="IRNazanin"/>
          <w:lang w:bidi="fa-IR"/>
          <w:color w:val="111111"/>
          <w:sz w:val="28"/>
          <w:szCs w:val="28"/>
          <w:rtl/>
        </w:rPr>
        <w:t xml:space="preserve">انجام: نیست در عالم کسی ای دوستان *** قدر خود دانید دیگر در جهان سپس شعر میرزا</w:t>
      </w:r>
    </w:p>
    <w:p>
      <w:pPr>
        <w:pStyle w:val="BookText"/>
      </w:pPr>
      <w:r>
        <w:rPr>
          <w:rFonts w:ascii="IRNazanin" w:hAnsi="IRNazanin" w:eastAsia="IRNazanin" w:cs="IRNazanin"/>
          <w:lang w:bidi="fa-IR"/>
          <w:color w:val="111111"/>
          <w:sz w:val="28"/>
          <w:szCs w:val="28"/>
          <w:rtl/>
        </w:rPr>
        <w:t xml:space="preserve">شامل شعرهای فارسی شیخ فیضی دکنی، هاتف، فتح على خان صبا ،انوری ،خاقانی ،شهاب ،عرفی، انوری ،وطواط، فردوسی،عبدالواسع جبلی، ظهیر فاریابی، صباحی ،مجمر، امیر خسرو،با سوز و گداز میرزا محمد صادق تفرشی؛ خط: نسخ و نستعلیق، بی کا، تا: قرن ۱۳؛ افتادگی: انجام؛ با یک سرلوح با گل و بـوته زرین، ربعی ؛تملک: محمد جعفر در ۱ جمادی الاول 1239؛ کاغذ: فرنگی ،جلد: تیماج حنایی ضربی مقوایی، ۱۱۵گ، 12سطر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 اندازه: ۱۲</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۱۳سم [ف: ۱۵ - ۴۱۰۹]</w:t>
      </w:r>
    </w:p>
    <w:p>
      <w:pPr>
        <w:pStyle w:val="BookText"/>
      </w:pPr>
      <w:r>
        <w:rPr>
          <w:rFonts w:ascii="IRNazanin" w:hAnsi="IRNazanin" w:eastAsia="IRNazanin" w:cs="IRNazanin"/>
          <w:lang w:bidi="fa-IR"/>
          <w:color w:val="111111"/>
          <w:sz w:val="28"/>
          <w:szCs w:val="28"/>
          <w:rtl/>
        </w:rPr>
        <w:t xml:space="preserve">۱۰۱۷. تهران؛ دانشگاه؛ شماره نسخه: ۲۶۰۴</w:t>
      </w:r>
    </w:p>
    <w:p>
      <w:pPr>
        <w:pStyle w:val="BookText"/>
      </w:pPr>
      <w:r>
        <w:rPr>
          <w:rFonts w:ascii="IRNazanin" w:hAnsi="IRNazanin" w:eastAsia="IRNazanin" w:cs="IRNazanin"/>
          <w:lang w:bidi="fa-IR"/>
          <w:color w:val="111111"/>
          <w:sz w:val="28"/>
          <w:szCs w:val="28"/>
          <w:rtl/>
        </w:rPr>
        <w:t xml:space="preserve">اشعاری از: حاجی محمد ابراهیم نقش که بیشتر غزل است نزدیک ۷۷۰ بیت به ترتیب تهجی(ص ۱-۲۸) میرزا سنجر، میـرزا محمد علی بیک جم؛ مولوی ،(۲۹)، میرزا طاهر واقعه نویس ،نظیری، میرزا ،کاظم عرفی(۳۰) میرزا محمد سعید (۴۱) سید آملی (۵۷) یغمای جندقی (۶۳) خواجوی کرمانی، هاتف، وحشی بافقی (۷۶) ؛خط: نستعلیق، بی کا، تا: قرن ۱۳؛ کاغذ: فرنگی، جلد: تیماج قهوه ای درون سرخ، ۳۹گ، سطور چلیپا، ابعاد متن: ۵/۱۰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۹ - ۱۴۵۸]</w:t>
      </w:r>
    </w:p>
    <w:p>
      <w:pPr>
        <w:pStyle w:val="BookText"/>
      </w:pPr>
      <w:r>
        <w:rPr>
          <w:rFonts w:ascii="IRNazanin" w:hAnsi="IRNazanin" w:eastAsia="IRNazanin" w:cs="IRNazanin"/>
          <w:lang w:bidi="fa-IR"/>
          <w:color w:val="111111"/>
          <w:sz w:val="28"/>
          <w:szCs w:val="28"/>
          <w:rtl/>
        </w:rPr>
        <w:t xml:space="preserve">۱۰۱۸. تهران؛ دانشگاه؛ شماره نسخه: ۳۷۷۶</w:t>
      </w:r>
    </w:p>
    <w:p>
      <w:pPr>
        <w:pStyle w:val="BookText"/>
      </w:pPr>
      <w:r>
        <w:rPr>
          <w:rFonts w:ascii="IRNazanin" w:hAnsi="IRNazanin" w:eastAsia="IRNazanin" w:cs="IRNazanin"/>
          <w:lang w:bidi="fa-IR"/>
          <w:color w:val="111111"/>
          <w:sz w:val="28"/>
          <w:szCs w:val="28"/>
          <w:rtl/>
        </w:rPr>
        <w:t xml:space="preserve">آغاز: سو با هم سوز می اول ابتدا*** اوندن اوز که ایدرم حقدور خدا / تنکری اوندن و اخی یکرک نوار *** اول آخر اولدور پروردگار. پس ازین دوازده امام است بدینگونه: الهی با عزاز آن چند تن *** که هستند فخر زمین و زمن / بحق تو ای داور آب و خاک*** بدان چارده نام معصوم پاک؛ انجام: بزالوزر جـمله قالوو مالمز *** یا الهی روز قیل ایمایمز. در یوم الثلثا هجدهم شهر رجب المرجب مسوده گردید ۱۲۳۸. هر آن کس که آمین بگوید بجان *** خدایا تو او را بجنت رسان / هزاران درود و هزاران سلام ***ز ما بر محمد محمد علیه السلام / هزاران درود و هزاران هزار ***ز ما باد بر صاحب ذوالفقار</w:t>
      </w:r>
    </w:p>
    <w:p>
      <w:pPr>
        <w:pStyle w:val="BookText"/>
      </w:pPr>
      <w:r>
        <w:rPr>
          <w:rFonts w:ascii="IRNazanin" w:hAnsi="IRNazanin" w:eastAsia="IRNazanin" w:cs="IRNazanin"/>
          <w:lang w:bidi="fa-IR"/>
          <w:color w:val="111111"/>
          <w:sz w:val="28"/>
          <w:szCs w:val="28"/>
          <w:rtl/>
        </w:rPr>
        <w:t xml:space="preserve">ستایش خاندان پیامبر است و سوگواری آنها به نظم فارسی، شامل: ستایش علی در پنج قصیده که دومین آن را وفائی  است، درباره حدیث کسا است آن هم از وفائی، ستایش فاطمه (علیها السّلام) از هـمو، ستایش قاسم بن حسن و اینها همه باید از وفائی باشد، داسـتان حیدر که در آن از قزلباش و قزلباشان یاد شده است، ستایـش پیامبر، ستایش علی، کشته شدن حسین (علیه السّلام)، منظومه ای به ترکی که در آن عنوان شعر گفتن رسول و شعر گفتن ابراهیم دیده می شود؛ خط: نستعلیق، بی کا، تا: قرن ۱۳؛ افتادگی: آغاز؛ کاغذ: فرنگی، ۵۳گ، ۱۲ سطر (7</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[ف:۱۴-۳۷۷۶]</w:t>
      </w:r>
    </w:p>
    <w:p>
      <w:pPr>
        <w:pStyle w:val="BookText"/>
      </w:pPr>
      <w:r>
        <w:rPr>
          <w:rFonts w:ascii="IRNazanin" w:hAnsi="IRNazanin" w:eastAsia="IRNazanin" w:cs="IRNazanin"/>
          <w:lang w:bidi="fa-IR"/>
          <w:color w:val="111111"/>
          <w:sz w:val="28"/>
          <w:szCs w:val="28"/>
          <w:rtl/>
        </w:rPr>
        <w:t xml:space="preserve">۱۰۱۹. تهران؛ دانشگاه؛ شماره نسخه: ۳۷۹۹</w:t>
      </w:r>
    </w:p>
    <w:p>
      <w:pPr>
        <w:pStyle w:val="BookText"/>
      </w:pPr>
      <w:r>
        <w:rPr>
          <w:rFonts w:ascii="IRNazanin" w:hAnsi="IRNazanin" w:eastAsia="IRNazanin" w:cs="IRNazanin"/>
          <w:lang w:bidi="fa-IR"/>
          <w:color w:val="111111"/>
          <w:sz w:val="28"/>
          <w:szCs w:val="28"/>
          <w:rtl/>
        </w:rPr>
        <w:t xml:space="preserve">شعرهای وصال، فارغ، میرزا صادق تفرشی، نظری، محتشم، اوحدی، غرغی (ریشنامه)، آقا محمد جعفر ،عاشق ،ذبیحی، شوقیا ،قصاب ،جامی ،آذر ،نظر ،زره رفیق، قمری. در پایان داستان شیرین و فرهاد است به نظم؛ خط: شکسته نستعلیق، بی کا، تا: قرن ۱۳، جا :تبریز ؛کاغذ: فرنگی ،جلد: تیماج تریاکی مقوایی، ۱۷۰گ، ۱۴ سطر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۱۲ - ۲۷۸۳]</w:t>
      </w:r>
    </w:p>
    <w:p>
      <w:pPr>
        <w:pStyle w:val="BookText"/>
      </w:pPr>
      <w:r>
        <w:rPr>
          <w:rFonts w:ascii="IRNazanin" w:hAnsi="IRNazanin" w:eastAsia="IRNazanin" w:cs="IRNazanin"/>
          <w:lang w:bidi="fa-IR"/>
          <w:color w:val="111111"/>
          <w:sz w:val="28"/>
          <w:szCs w:val="28"/>
          <w:rtl/>
        </w:rPr>
        <w:t xml:space="preserve">۱۰۲۰. تهران؛ دانشگاه؛ شماره نسخه: ۵۴۴۳</w:t>
      </w:r>
    </w:p>
    <w:p>
      <w:pPr>
        <w:pStyle w:val="BookText"/>
      </w:pPr>
      <w:r>
        <w:rPr>
          <w:rFonts w:ascii="IRNazanin" w:hAnsi="IRNazanin" w:eastAsia="IRNazanin" w:cs="IRNazanin"/>
          <w:lang w:bidi="fa-IR"/>
          <w:color w:val="111111"/>
          <w:sz w:val="28"/>
          <w:szCs w:val="28"/>
          <w:rtl/>
        </w:rPr>
        <w:t xml:space="preserve">آغاز: بسمه، باب کاکل: نازم به کاکل تو که چون طره ات کنون *** سر رشته ستم همه چشمت بآن دهد؛ انجام: زمن سؤال نمودی که خوب تری یا من *** قسم بابرویت ای نازنین تو خوبتری</w:t>
      </w:r>
    </w:p>
    <w:p>
      <w:pPr>
        <w:pStyle w:val="BookText"/>
      </w:pPr>
      <w:r>
        <w:rPr>
          <w:rFonts w:ascii="IRNazanin" w:hAnsi="IRNazanin" w:eastAsia="IRNazanin" w:cs="IRNazanin"/>
          <w:lang w:bidi="fa-IR"/>
          <w:color w:val="111111"/>
          <w:sz w:val="28"/>
          <w:szCs w:val="28"/>
          <w:rtl/>
        </w:rPr>
        <w:t xml:space="preserve">قصاید است در موضوعات گل و بلبل، زلف و ابرو، کاکل، لب، خط و خال، چشم و مژگان، جمال، دست و پا، انگشت، زیور، قد و خرام ،کمر، دهن ،زنخدان، هجران و وصل، انتظار، خواجگی و بندگی، دام و دانه، بند و کمند، غم و شادی، خار و گل و بلبل، عقل و عشق، میکده و میخانه و فروش، خانقاه، نظایر، عاشق و معشوق به اسم و جنون و سواری معشوق، خواب و بیداری، ،سگ ،گریبان ،طرب ،مشی ،هوس، ضعف و ناتوانی، آه و ناله، سپاه و لشکر، دل و قفس، اول سفر و وداع، درد بیماری و فرار، عناصر، قاصد و نامه و مکتوب، خانه و بتکده، بیگانه و آشنا، کفن و تابوت، آینه و شکن، شکایت و پیمان، یادگار پشیمانی وندامت، آمدن و رفتن، وفا و جفا، جور و ستم، با عنوان های «باب»، نام شاعران در آغاز نسخه در هامش است؛ خط: نستعلیق،بی کا، تا: قرن ۱۳؛ مهر: فرخ سیر، نیر الدوله ۱۲۰۶، کاغذ: فرنگی ،جلد: تیماج تریاکی لایی گرداگرد و عطف مشکی، ۱۴۷گ، 15سطر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قطع: ربعی،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۱۶ – ۹]</w:t>
      </w:r>
    </w:p>
    <w:p>
      <w:pPr>
        <w:pStyle w:val="BookText"/>
      </w:pPr>
      <w:r>
        <w:rPr>
          <w:rFonts w:ascii="IRNazanin" w:hAnsi="IRNazanin" w:eastAsia="IRNazanin" w:cs="IRNazanin"/>
          <w:lang w:bidi="fa-IR"/>
          <w:color w:val="111111"/>
          <w:sz w:val="28"/>
          <w:szCs w:val="28"/>
          <w:rtl/>
        </w:rPr>
        <w:t xml:space="preserve">۱۰۲۱. تهران؛ دانشگاه؛ شماره نسخه: ۵۴۹۶</w:t>
      </w:r>
    </w:p>
    <w:p>
      <w:pPr>
        <w:pStyle w:val="BookText"/>
      </w:pPr>
      <w:r>
        <w:rPr>
          <w:rFonts w:ascii="IRNazanin" w:hAnsi="IRNazanin" w:eastAsia="IRNazanin" w:cs="IRNazanin"/>
          <w:lang w:bidi="fa-IR"/>
          <w:color w:val="111111"/>
          <w:sz w:val="28"/>
          <w:szCs w:val="28"/>
          <w:rtl/>
        </w:rPr>
        <w:t xml:space="preserve">اشعاری از: رشید وطواط، لامعی، عمعق بخارایی، ابو حنیفه اسکافی، مروزی، ابوالعلاء گنجوی، ابوالحسن نحاس، منجیک؛ خط: نستعلیق خوش، بی کا، تا: قرن ۱۳؛ گویا از دو نویسنده؛ یادداشت فتح علی بن لسان الملک با آوردن شعرهایی از پدرش در تنگوزئیل ۱۳۱۷ در ص ع؛ مهر تملک: «محمد ۱۳۳۵»؛ کاغذ: فرنگی ،جلد: تیماج عنابی ضربی  مقوایی، ۱۵۹گ، ۲۱ سطر (۹/۵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 قطع: وزیری،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۲۷سم [ف: ۱۶ - ۲۱]</w:t>
      </w:r>
    </w:p>
    <w:p>
      <w:pPr>
        <w:pStyle w:val="BookText"/>
      </w:pPr>
      <w:r>
        <w:rPr>
          <w:rFonts w:ascii="IRNazanin" w:hAnsi="IRNazanin" w:eastAsia="IRNazanin" w:cs="IRNazanin"/>
          <w:lang w:bidi="fa-IR"/>
          <w:color w:val="111111"/>
          <w:sz w:val="28"/>
          <w:szCs w:val="28"/>
          <w:rtl/>
        </w:rPr>
        <w:t xml:space="preserve">۱۰۲۲. تهران؛ دانشگاه؛ شماره نسخه: ۵۵۰۰</w:t>
      </w:r>
    </w:p>
    <w:p>
      <w:pPr>
        <w:pStyle w:val="BookText"/>
      </w:pPr>
      <w:r>
        <w:rPr>
          <w:rFonts w:ascii="IRNazanin" w:hAnsi="IRNazanin" w:eastAsia="IRNazanin" w:cs="IRNazanin"/>
          <w:lang w:bidi="fa-IR"/>
          <w:color w:val="111111"/>
          <w:sz w:val="28"/>
          <w:szCs w:val="28"/>
          <w:rtl/>
        </w:rPr>
        <w:t xml:space="preserve">آغاز: کنی از تقویت لطف عرض را جوهر *** کنی از تربیت قهر شفا را بیمار؛ انجام: در سخن سنجی و لطایف شعر *** کاتبی بود افضل الشعراء / هشت صد بیست و چهار هجرت بود ***کز جهان رفت سوی دار بقا</w:t>
      </w:r>
    </w:p>
    <w:p>
      <w:pPr>
        <w:pStyle w:val="BookText"/>
      </w:pPr>
      <w:r>
        <w:rPr>
          <w:rFonts w:ascii="IRNazanin" w:hAnsi="IRNazanin" w:eastAsia="IRNazanin" w:cs="IRNazanin"/>
          <w:lang w:bidi="fa-IR"/>
          <w:color w:val="111111"/>
          <w:sz w:val="28"/>
          <w:szCs w:val="28"/>
          <w:rtl/>
        </w:rPr>
        <w:t xml:space="preserve">شعرهای انوری ،خاقانی ،عرفی ،شیرازی، اسیر، ثنائی، کمال فارسی ،جامی، نسیمی ،رفیع صائب شاه طاهر، هاشم، غبار،
</w:t>
      </w:r>
    </w:p>
    <w:p>
      <w:pPr>
        <w:sectPr>
          <w:footerReference w:type="default" r:id="rId8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کلیم ،عزت، حسن، طالب آملی ،بیدل ،قدسی ،فغانی، موسوی ،قاسم، سابق، واصلی ،عفتی، صبا، عصمت ،نوعی ،حیران، سمیع، واثق ،خازن ،اهلی ،محوی، طاهر کاتبی ،لطیفی ،مجد، فانی، رکنی، محمد قلی سلیم ،مولوی، سعدی، ناصر خسرو، فردوسی ،استاد ،سبحانی، نظامی، ابن یمین ؛خط: نستعلیق چلیپا، بی کا، قرن ۱۳ ،مجدول، پس از کتاب در پنج صفحه آخر رباعی ها در معما؛ کاغذ: فرنگی آب دهده ،جلد: تیماج بنفش نـرم، ۲۱۳گ، ابعاد متن: ۵/۸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 قطع: بیاضی ربعی،اندازه: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۱۶ - ۲۲]</w:t>
      </w:r>
    </w:p>
    <w:p>
      <w:pPr>
        <w:pStyle w:val="BookText"/>
      </w:pPr>
      <w:r>
        <w:rPr>
          <w:rFonts w:ascii="IRNazanin" w:hAnsi="IRNazanin" w:eastAsia="IRNazanin" w:cs="IRNazanin"/>
          <w:lang w:bidi="fa-IR"/>
          <w:color w:val="111111"/>
          <w:sz w:val="28"/>
          <w:szCs w:val="28"/>
          <w:rtl/>
        </w:rPr>
        <w:t xml:space="preserve">۱۰۲۳. تهران؛ دانشگاه؛ شماره نسخه: ۶۰۵۵</w:t>
      </w:r>
    </w:p>
    <w:p>
      <w:pPr>
        <w:pStyle w:val="BookText"/>
      </w:pPr>
      <w:r>
        <w:rPr>
          <w:rFonts w:ascii="IRNazanin" w:hAnsi="IRNazanin" w:eastAsia="IRNazanin" w:cs="IRNazanin"/>
          <w:lang w:bidi="fa-IR"/>
          <w:color w:val="111111"/>
          <w:sz w:val="28"/>
          <w:szCs w:val="28"/>
          <w:rtl/>
        </w:rPr>
        <w:t xml:space="preserve">شعرهای فارسی: فصیح ،قاسم، اسیر ،یوسف ،فغانی، شاپور،دانش ،وحید ،صاحب ،مفید ،سلیم، صائب و عرفی؛ خط: نستعـلیق هندی، بی کا، تا: قرن ۱۳؛ کاغذ: هندی، جلد: گالینگور فرنگـی، ۲۶۰گ، ۱۵ سطر (7</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قطع: ربعی،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۲۳سم [ف: 16- 187]</w:t>
      </w:r>
    </w:p>
    <w:p>
      <w:pPr>
        <w:pStyle w:val="BookText"/>
      </w:pPr>
      <w:r>
        <w:rPr>
          <w:rFonts w:ascii="IRNazanin" w:hAnsi="IRNazanin" w:eastAsia="IRNazanin" w:cs="IRNazanin"/>
          <w:lang w:bidi="fa-IR"/>
          <w:color w:val="111111"/>
          <w:sz w:val="28"/>
          <w:szCs w:val="28"/>
          <w:rtl/>
        </w:rPr>
        <w:t xml:space="preserve">۱۰۲۴. تهران؛ دانشگاه؛ شماره نسخه: ۷۴۸۱/۱</w:t>
      </w:r>
    </w:p>
    <w:p>
      <w:pPr>
        <w:pStyle w:val="BookText"/>
      </w:pPr>
      <w:r>
        <w:rPr>
          <w:rFonts w:ascii="IRNazanin" w:hAnsi="IRNazanin" w:eastAsia="IRNazanin" w:cs="IRNazanin"/>
          <w:lang w:bidi="fa-IR"/>
          <w:color w:val="111111"/>
          <w:sz w:val="28"/>
          <w:szCs w:val="28"/>
          <w:rtl/>
        </w:rPr>
        <w:t xml:space="preserve">شعرهای فارسی مانند: ترجیع بند هاتف (۵)، ترجیع بند نور علی شاه (۱۷)، مثنوی میرزا ابراهیم صفا (۳۲) مثنوی میرزا صادق تفرشی (۳۹) سوز و گداز آذر (۴۷) مثنوی طوفان هزار جریبی. (۵۷) ،۹۱ تخمیس باقرا از غزل شوکت (۶۲) تخمیس مهدی از غزل طلب آملی، تخمیس صبری از غزل جامی (۶۵)، قصـیده فردوسی، قصیده مدح طوفان (۷۰)، قصیده سعدی (۷۴، 113)، قصیده مهمانی کردن علی شاعر ،(۸۵) میراثیه وحشی، قصـیده شیخ رضای کردستانی، نیز غزل های انوری (۸۵) ، مخفی (97) ،محتشم کاشانی، نور علی شاه و کاکلی (۱۱۸) ، طاهرا که به غـلط به قرة العين نسبت داده اند، وحشت زواره ای (۱۰۳) جامی و عراقی، یغما و طالب ،طبیب، سعدی و خالد (۱۰۷) آذر، رفیق (۱۱۱)، کمال غیاث ابن یمین (۱۱۸)؛ خط: نستعلیق، بی کا،تا: قرن ۱۳؛ كاغذ: فرنگی، ۱۵ سطر (9</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،قطع :خشتی،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۱۶ - ۵۸۶]</w:t>
      </w:r>
    </w:p>
    <w:p>
      <w:pPr>
        <w:pStyle w:val="BookText"/>
      </w:pPr>
      <w:r>
        <w:rPr>
          <w:rFonts w:ascii="IRNazanin" w:hAnsi="IRNazanin" w:eastAsia="IRNazanin" w:cs="IRNazanin"/>
          <w:lang w:bidi="fa-IR"/>
          <w:color w:val="111111"/>
          <w:sz w:val="28"/>
          <w:szCs w:val="28"/>
          <w:rtl/>
        </w:rPr>
        <w:t xml:space="preserve">۱۰۲۵ . تهران؛ دانشگاه؛ شماره نسخه: ۷۸۹۹</w:t>
      </w:r>
    </w:p>
    <w:p>
      <w:pPr>
        <w:pStyle w:val="BookText"/>
      </w:pPr>
      <w:r>
        <w:rPr>
          <w:rFonts w:ascii="IRNazanin" w:hAnsi="IRNazanin" w:eastAsia="IRNazanin" w:cs="IRNazanin"/>
          <w:lang w:bidi="fa-IR"/>
          <w:color w:val="111111"/>
          <w:sz w:val="28"/>
          <w:szCs w:val="28"/>
          <w:rtl/>
        </w:rPr>
        <w:t xml:space="preserve">شعرهای جامی و آصفی و قاآنی و نظامی و قائم مقام و نصرتی و محسن ایروانی به خط خود و فخر الادباء ميرزا محمد علی طهرانی؛ خط: نستعلیق ،چلیپا، بی کا، تا: قرن ۱۳؛ افتادگی: آغاز و انجام؛ کاغذ: فرنگی، ۹ ۱۰ سطر (7</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قطع: بياضی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۲۲/۵سم [ف: ۱۶ - ۷۲۷]</w:t>
      </w:r>
    </w:p>
    <w:p>
      <w:pPr>
        <w:pStyle w:val="BookText"/>
      </w:pPr>
      <w:r>
        <w:rPr>
          <w:rFonts w:ascii="IRNazanin" w:hAnsi="IRNazanin" w:eastAsia="IRNazanin" w:cs="IRNazanin"/>
          <w:lang w:bidi="fa-IR"/>
          <w:color w:val="111111"/>
          <w:sz w:val="28"/>
          <w:szCs w:val="28"/>
          <w:rtl/>
        </w:rPr>
        <w:t xml:space="preserve">۱۰۲۶. تهران؛ ملی؛ شماره نسخه: ۱۲۵۰/۵</w:t>
      </w:r>
    </w:p>
    <w:p>
      <w:pPr>
        <w:pStyle w:val="BookText"/>
      </w:pPr>
      <w:r>
        <w:rPr>
          <w:rFonts w:ascii="IRNazanin" w:hAnsi="IRNazanin" w:eastAsia="IRNazanin" w:cs="IRNazanin"/>
          <w:lang w:bidi="fa-IR"/>
          <w:color w:val="111111"/>
          <w:sz w:val="28"/>
          <w:szCs w:val="28"/>
          <w:rtl/>
        </w:rPr>
        <w:t xml:space="preserve">غزلیات جامی و خاکی و حافظ بدین شرح آمده است: غزلیات جامی (ص۱۴۱-۱۵۶) غزلیات خاکی (۱۵۷-۱۶۲)، غزلیـات جامى (ايضاً) (۱۶۳-۱۸۸)، غزلیات حافظ (۱۸۹-۲۰۸)، غزليـات جامی ،(۲۰۸-۲۱۵) غزلیات حافظ (۲۱۶ -۲۲۲)، یک مخمـس (۲۲۴-۲۲۲) چند رباعی (۲۲۵-۲۲۷) چند شعر (۲۲۸-۳۲) ؛خط: نستعلیق، بی کا، تا: قرن ۱۳؛ کاغذ: فرنگی ،جلد: تیماج قهوه ای، گل و بوته کوبیده ،مقوایی، ۱۱ سطر (6</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 اندازه:۱۱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۳ - ۳۰۹ ]</w:t>
      </w:r>
    </w:p>
    <w:p>
      <w:pPr>
        <w:pStyle w:val="BookText"/>
      </w:pPr>
      <w:r>
        <w:rPr>
          <w:rFonts w:ascii="IRNazanin" w:hAnsi="IRNazanin" w:eastAsia="IRNazanin" w:cs="IRNazanin"/>
          <w:lang w:bidi="fa-IR"/>
          <w:color w:val="111111"/>
          <w:sz w:val="28"/>
          <w:szCs w:val="28"/>
          <w:rtl/>
        </w:rPr>
        <w:t xml:space="preserve">۱۰۲۷. تهران؛ دانشگاه؛ شماره نسخه: ۴۲۳۹</w:t>
      </w:r>
    </w:p>
    <w:p>
      <w:pPr>
        <w:pStyle w:val="BookText"/>
      </w:pPr>
      <w:r>
        <w:rPr>
          <w:rFonts w:ascii="IRNazanin" w:hAnsi="IRNazanin" w:eastAsia="IRNazanin" w:cs="IRNazanin"/>
          <w:lang w:bidi="fa-IR"/>
          <w:color w:val="111111"/>
          <w:sz w:val="28"/>
          <w:szCs w:val="28"/>
          <w:rtl/>
        </w:rPr>
        <w:t xml:space="preserve">علاوه بر آثاری که مستقلاً معرفی شده است، شامل: قصیده های داود (۳۲-۳۷)، مخفی (۳۸)، حافظ ،(۱۹-۲۳)، جامی (۲۴ و ۴۲ - ،۴۵)، با یک مثنوی (۴۰-۴۱) دو قصیده هاتف (۴۵-۵۰)؛ خط: شکسته نستعلیق ،کا: مرتضی قلی کرد (۳۹) تا: قرن ۱۳؛ مجدول زر و لاجورد؛ کاغذ: سپاهانی، جلد: تیماج سرخ زرکوب مقوایی، ۴۶گ، چلیپا ابعاد متن: 7</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 ۱۳ - ۳۲۱۰]</w:t>
      </w:r>
    </w:p>
    <w:p>
      <w:pPr>
        <w:pStyle w:val="BookText"/>
      </w:pPr>
      <w:r>
        <w:rPr>
          <w:rFonts w:ascii="IRNazanin" w:hAnsi="IRNazanin" w:eastAsia="IRNazanin" w:cs="IRNazanin"/>
          <w:lang w:bidi="fa-IR"/>
          <w:color w:val="111111"/>
          <w:sz w:val="28"/>
          <w:szCs w:val="28"/>
          <w:rtl/>
        </w:rPr>
        <w:t xml:space="preserve">۱۰۲۸. تهران؛ دانشگاه؛ شماره نسخه: ۴۳۹۴6</w:t>
      </w:r>
    </w:p>
    <w:p>
      <w:pPr>
        <w:pStyle w:val="BookText"/>
      </w:pPr>
      <w:r>
        <w:rPr>
          <w:rFonts w:ascii="IRNazanin" w:hAnsi="IRNazanin" w:eastAsia="IRNazanin" w:cs="IRNazanin"/>
          <w:lang w:bidi="fa-IR"/>
          <w:color w:val="111111"/>
          <w:sz w:val="28"/>
          <w:szCs w:val="28"/>
          <w:rtl/>
        </w:rPr>
        <w:t xml:space="preserve">اشعاری از: سعدی ،صبوحی ،سحاب، نادم لاهیجانی، فیاض لاهیجانی، بابا نصیبی لاهیجانی ،شاطری ،امیر خسرو دهلوی، مقصود کاشی، غریب سپاهانی، مالک سپاهانی، رحمی بهارلو، ارشاد کازرانی ،هلالی ،مصاحب، بنائی هروی، شوقی طوسی، عجزی تبریزی، امیر همایون، ذوقی ارستانی، سراج حکاک، اهلی شیرازی، عماد کرمانی، اوحدی، راغب اردبیلی شیخ علی قلی، هاتف ،مونس ،جامی ،سردار ،وصال، نظری همدانی ،طبیب</w:t>
      </w:r>
    </w:p>
    <w:p>
      <w:pPr>
        <w:pStyle w:val="BookText"/>
      </w:pPr>
      <w:r>
        <w:rPr>
          <w:rFonts w:ascii="IRNazanin" w:hAnsi="IRNazanin" w:eastAsia="IRNazanin" w:cs="IRNazanin"/>
          <w:lang w:bidi="fa-IR"/>
          <w:color w:val="111111"/>
          <w:sz w:val="28"/>
          <w:szCs w:val="28"/>
          <w:rtl/>
        </w:rPr>
        <w:t xml:space="preserve">،مسیح کاشی، اوجی سپاهانی، قاضی یحیی، ضمیری، شوقی یزدی، شاملی کرمانی، میر صیدی تهرانی، کاظم قمی، جانی ،ترکمان ،ناصر ،نجفی، شباب ورامینی، سلیم شاملو، عاشق سپاهانی، امید تهرانی ،مخلص ،محتشم ،خان احمد خان، میلی (؟) ترگ، شرف تبریزی ،ملالی ،منصور ،بیکی، حالتی،ترکمان، قدسی، عاشق، قمی افشار، ضمیری ،عاصمی، مهشور (؟)، آذری، ناجی شیرازی، جعفر تبریزی، قدسی سیستانی ،شهیدی قمی ،خواجو، حسن، خسرو ،اوحدی ،یغما ،هلالی ،ظهوری، فکاری سبزواری ،غیرت، شاهی تبریزی ،آصفی ،هروی، قراری گیلانی، شرف جهان، صفی بخاری ،آهی ،غیرت ،زکی، شجاع کاشی، مسیح ساوجی، محمد صالح سنجر کاشی، شرف جهان قزوینی، قدسی تهرانی، صافی سپاهانی، فغانی شیرازی ،نظری، قمی کاشی، منظر نیشابوری ،سراجی ،فصیحی ،راهب، میرزا اسدالله تبریزی، سپهری زواره ای، قلندر سپاهانی، بدیع الزمانی، جامی، درویش قزوینی، عبدالله خان، مجید طالقانی، شریف تبریزی، عرفی شیرازی، میر حسینی، مولوی سنجی ،راهب سپاهانی، کمال شیرازی، خیالی طوسی، مجید سپاهانی، آذر بیگدلی ،میلی، آهی، قدسی طوسی، صبای قمی ،طوفان، مجید طالقانی ،عتابی ،طری، تقی افشار، عذرا بیک شاملو ،مشتاق، کلیم کاشی، میرزا حاتم، صبوحی، امیر همایون، احمد میرزای نیازی، شیخ علی نقی کمره ای، امیر صالح، نشاط قمی ،عذرا، صالحا ،صبایی، اشرف، صایب تبریزی، اخضر؛ شعرها ،رباعی و قصیده و فرد استو در یکجا آمده «حرره مجنون» یادداشت تاریخ ربیع الثانی ۱۲۹۲ دارد که نزد میرزا سید نصر الله نوشته شده؛ خط: نستعلیق، بی کا، تا: قرن ۱۳ ؛کاغذ:فرنگی، جلد: تیماج عنابی  ضربی ،۱۹۵گ، چلیپا ابعاد متن: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۱۱،قطع: بیاضی؛ اندازه: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۱۳ - ۳۳۵۸]
</w:t>
      </w:r>
    </w:p>
    <w:p>
      <w:pPr>
        <w:sectPr>
          <w:footerReference w:type="default" r:id="rId8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1029 . تهران؛ دانشگاه؛ شماره نسخه: ۹۹۶۷/۳</w:t>
      </w:r>
    </w:p>
    <w:p>
      <w:pPr>
        <w:pStyle w:val="BookText"/>
      </w:pPr>
      <w:r>
        <w:rPr>
          <w:rFonts w:ascii="IRNazanin" w:hAnsi="IRNazanin" w:eastAsia="IRNazanin" w:cs="IRNazanin"/>
          <w:lang w:bidi="fa-IR"/>
          <w:color w:val="111111"/>
          <w:sz w:val="28"/>
          <w:szCs w:val="28"/>
          <w:rtl/>
        </w:rPr>
        <w:t xml:space="preserve">دارای: ترکیب بند یا مولود نامه (۱۰گ)، مولودیه امام دوازدهم از احمد پژوه منشی همایون سروده شب سه شنبه ۱۵ شعـبان اردیبهشت ۱۲۳۰/۱۰/۳۱ (۱ص) ، قصیده نونیه حاج فصیح الملـک شوریده، قصیده شعاع الملک در ستایش همان امام، قصیده میلاد امام حسین، و همان امام، قصیده احمد ناظر زاده کرمانی در 15شعبان ۱۳۵۷ در خانقاه حاج ذوالریاستین در جشن آنجا، قصـیده میرزا ابوالحسن خرم صدر الشعراء شیرازی، قصیده وفائی شوشتری که جواد محمدرضا در روز آدینه ۴ ع ۱۳۴۴/۲ ،نوشته، قصیده ابو القاسم ظهور عماد زاده سروده ۱۳۵۰ (۲۷ شهریور ۱۳۱۹) در خانه حاج ذوالریاستین (۱۱ گ)، قصيده میمیه ستایش امام دوازدهم از میرزا ابوالحسن خرم شیرازی و از اسدالله صـابر همدانی؛ قصیدهای تائیه (۵ص)، یک قصیده رائیه و ترجیعات ستایش امام دوازدهم از رفعت اصفهانی، قصیده میرزا ابوالحـسن خرم صدر الشعراء شیرازی، قصیده آقا میرزا احمد قدسی (۵ ص)، ترکیب بند طبیب خیاط سروده شب چهارشنبه ۱۵ شعبان 1359 (1ص)، قصيده دیگر (۲ص)؛ خط: نستعلیق، بی کا، تا: قرن13؛ کاغذ: فرنگی، جلد: تیماج تریاکی  مقوایی، ابعاد متن: ۸ </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،قطع: خشتی،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۱۷ - ۵۱۶]</w:t>
      </w:r>
    </w:p>
    <w:p>
      <w:pPr>
        <w:pStyle w:val="BookText"/>
      </w:pPr>
      <w:r>
        <w:rPr>
          <w:rFonts w:ascii="IRNazanin" w:hAnsi="IRNazanin" w:eastAsia="IRNazanin" w:cs="IRNazanin"/>
          <w:lang w:bidi="fa-IR"/>
          <w:color w:val="111111"/>
          <w:sz w:val="28"/>
          <w:szCs w:val="28"/>
          <w:rtl/>
        </w:rPr>
        <w:t xml:space="preserve">۱۰۳۰. تهران؛ دانشگاه؛ شماره نسخه: ۷۸۴۹</w:t>
      </w:r>
    </w:p>
    <w:p>
      <w:pPr>
        <w:pStyle w:val="BookText"/>
      </w:pPr>
      <w:r>
        <w:rPr>
          <w:rFonts w:ascii="IRNazanin" w:hAnsi="IRNazanin" w:eastAsia="IRNazanin" w:cs="IRNazanin"/>
          <w:lang w:bidi="fa-IR"/>
          <w:color w:val="111111"/>
          <w:sz w:val="28"/>
          <w:szCs w:val="28"/>
          <w:rtl/>
        </w:rPr>
        <w:t xml:space="preserve">دارای قصیده ای که در آن آمده که سراینده آن در ۱۲۹۷  از تبریز به گرگان رفته است، مسمط تهنیت، قصیده تهنیت نوروز درگرگان رود ،قصیده رخصت انصارف به تبریز در ۱۱۹۸، در پایان عنوان «قصيده تهنیت نوروز» در ۱۳۰۷ که ممدوح آن از استرآباد به تهران آمده بود ؛خط: نستعلیق، بی کا، تا: قرن ۱۳؛ کاغذ:فرنگی ،جلد: مقوا، ۱۴گ، ۱۱ سطر (5/6</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سطر، قطع: ربعـی،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۱۶ - ۷۱۹]</w:t>
      </w:r>
    </w:p>
    <w:p>
      <w:pPr>
        <w:pStyle w:val="BookText"/>
      </w:pPr>
      <w:r>
        <w:rPr>
          <w:rFonts w:ascii="IRNazanin" w:hAnsi="IRNazanin" w:eastAsia="IRNazanin" w:cs="IRNazanin"/>
          <w:lang w:bidi="fa-IR"/>
          <w:color w:val="111111"/>
          <w:sz w:val="28"/>
          <w:szCs w:val="28"/>
          <w:rtl/>
        </w:rPr>
        <w:t xml:space="preserve">۱۰۳۱. تهران؛ مفتاح؛ شماره نسخه: ۶۶۲</w:t>
      </w:r>
    </w:p>
    <w:p>
      <w:pPr>
        <w:pStyle w:val="BookText"/>
      </w:pPr>
      <w:r>
        <w:rPr>
          <w:rFonts w:ascii="IRNazanin" w:hAnsi="IRNazanin" w:eastAsia="IRNazanin" w:cs="IRNazanin"/>
          <w:lang w:bidi="fa-IR"/>
          <w:color w:val="111111"/>
          <w:sz w:val="28"/>
          <w:szCs w:val="28"/>
          <w:rtl/>
        </w:rPr>
        <w:t xml:space="preserve">شعرهای شمس تبریزی و مغربی و سعدی و فیض و حافظ و سنائی و شاه نعمة الله ؛خط: نستعلیق، بی کا، تا: قرن ۱۳؛ افتادگی: آغاز: قطع: ربعی [ نشریه: ۷ - ۱۳۱]</w:t>
      </w:r>
    </w:p>
    <w:p>
      <w:pPr>
        <w:pStyle w:val="BookText"/>
      </w:pPr>
      <w:r>
        <w:rPr>
          <w:rFonts w:ascii="IRNazanin" w:hAnsi="IRNazanin" w:eastAsia="IRNazanin" w:cs="IRNazanin"/>
          <w:lang w:bidi="fa-IR"/>
          <w:color w:val="111111"/>
          <w:sz w:val="28"/>
          <w:szCs w:val="28"/>
          <w:rtl/>
        </w:rPr>
        <w:t xml:space="preserve">۱۰۳۲. تهران؛ مفتاح؛ شماره نسخه: ۷۴۸</w:t>
      </w:r>
    </w:p>
    <w:p>
      <w:pPr>
        <w:pStyle w:val="BookText"/>
      </w:pPr>
      <w:r>
        <w:rPr>
          <w:rFonts w:ascii="IRNazanin" w:hAnsi="IRNazanin" w:eastAsia="IRNazanin" w:cs="IRNazanin"/>
          <w:lang w:bidi="fa-IR"/>
          <w:color w:val="111111"/>
          <w:sz w:val="28"/>
          <w:szCs w:val="28"/>
          <w:rtl/>
        </w:rPr>
        <w:t xml:space="preserve">دارای فرد و غزل و رباعی؛ خط: نستعلیق، بی کا، تا: قرن ۱۳؛ قطع: بیاضی [ نشریه: ۷ - ۱۳۲]</w:t>
      </w:r>
    </w:p>
    <w:p>
      <w:pPr>
        <w:pStyle w:val="BookText"/>
      </w:pPr>
      <w:r>
        <w:rPr>
          <w:rFonts w:ascii="IRNazanin" w:hAnsi="IRNazanin" w:eastAsia="IRNazanin" w:cs="IRNazanin"/>
          <w:lang w:bidi="fa-IR"/>
          <w:color w:val="111111"/>
          <w:sz w:val="28"/>
          <w:szCs w:val="28"/>
          <w:rtl/>
        </w:rPr>
        <w:t xml:space="preserve">۱۰۳۳. تهران؛ مفتاح؛ شماره نسخه: ۱۲۲۹</w:t>
      </w:r>
    </w:p>
    <w:p>
      <w:pPr>
        <w:pStyle w:val="BookText"/>
      </w:pPr>
      <w:r>
        <w:rPr>
          <w:rFonts w:ascii="IRNazanin" w:hAnsi="IRNazanin" w:eastAsia="IRNazanin" w:cs="IRNazanin"/>
          <w:lang w:bidi="fa-IR"/>
          <w:color w:val="111111"/>
          <w:sz w:val="28"/>
          <w:szCs w:val="28"/>
          <w:rtl/>
        </w:rPr>
        <w:t xml:space="preserve">شعرهای: شایق، مقصود ،زایر، زاهر و محرم؛ خط: نستعلیق، بی کا،تا: قرن ۱۳، قطع: بیاضی ربعی [نشریه: ۷ - ۱۳۸]</w:t>
      </w:r>
    </w:p>
    <w:p>
      <w:pPr>
        <w:pStyle w:val="BookText"/>
      </w:pPr>
      <w:r>
        <w:rPr>
          <w:rFonts w:ascii="IRNazanin" w:hAnsi="IRNazanin" w:eastAsia="IRNazanin" w:cs="IRNazanin"/>
          <w:lang w:bidi="fa-IR"/>
          <w:color w:val="111111"/>
          <w:sz w:val="28"/>
          <w:szCs w:val="28"/>
          <w:rtl/>
        </w:rPr>
        <w:t xml:space="preserve">۱۰۳۴. مشهد؛ گوهر شاد؛ شماره نسخه ۱۸۱۰/۲</w:t>
      </w:r>
    </w:p>
    <w:p>
      <w:pPr>
        <w:pStyle w:val="BookText"/>
      </w:pPr>
      <w:r>
        <w:rPr>
          <w:rFonts w:ascii="IRNazanin" w:hAnsi="IRNazanin" w:eastAsia="IRNazanin" w:cs="IRNazanin"/>
          <w:lang w:bidi="fa-IR"/>
          <w:color w:val="111111"/>
          <w:sz w:val="28"/>
          <w:szCs w:val="28"/>
          <w:rtl/>
        </w:rPr>
        <w:t xml:space="preserve">شعرهای: بهائی ،عطار ،شمس تبریزی ،خیام ،مولوی، نان و حلوا و شیر و شکر؛ خط: نسخ خوش، بی کا، تا: قرن ۱۳؛ ۱۹ سطر، قـطع: بیاضی جیبی [چهار کتابخانه مشهد -ف: - ۱۰۴]</w:t>
      </w:r>
    </w:p>
    <w:p>
      <w:pPr>
        <w:pStyle w:val="BookText"/>
      </w:pPr>
      <w:r>
        <w:rPr>
          <w:rFonts w:ascii="IRNazanin" w:hAnsi="IRNazanin" w:eastAsia="IRNazanin" w:cs="IRNazanin"/>
          <w:lang w:bidi="fa-IR"/>
          <w:color w:val="111111"/>
          <w:sz w:val="28"/>
          <w:szCs w:val="28"/>
          <w:rtl/>
        </w:rPr>
        <w:t xml:space="preserve">۱۰۳۵ .مشهد؛ گوهر شاد؛ شماره نسخه: ۱۸۱۰/۴</w:t>
      </w:r>
    </w:p>
    <w:p>
      <w:pPr>
        <w:pStyle w:val="BookText"/>
      </w:pPr>
      <w:r>
        <w:rPr>
          <w:rFonts w:ascii="IRNazanin" w:hAnsi="IRNazanin" w:eastAsia="IRNazanin" w:cs="IRNazanin"/>
          <w:lang w:bidi="fa-IR"/>
          <w:color w:val="111111"/>
          <w:sz w:val="28"/>
          <w:szCs w:val="28"/>
          <w:rtl/>
        </w:rPr>
        <w:t xml:space="preserve">شعرهای حافظ و سعدی و عطار و بابا طاهر و دیگران؛خط:شکسته نستعلیق چلیپا، بی کا، تا: قرن ۱۳، قطع: بیاضی جیبی [چهارکتابخانه مشهد -ف: - ۱۰۵]</w:t>
      </w:r>
    </w:p>
    <w:p>
      <w:pPr>
        <w:pStyle w:val="BookText"/>
      </w:pPr>
      <w:r>
        <w:rPr>
          <w:rFonts w:ascii="IRNazanin" w:hAnsi="IRNazanin" w:eastAsia="IRNazanin" w:cs="IRNazanin"/>
          <w:lang w:bidi="fa-IR"/>
          <w:color w:val="111111"/>
          <w:sz w:val="28"/>
          <w:szCs w:val="28"/>
          <w:rtl/>
        </w:rPr>
        <w:t xml:space="preserve">۱۰۳۶. تهران؛ مفتاح؛ شماره نسخه: ۷۰۳</w:t>
      </w:r>
    </w:p>
    <w:p>
      <w:pPr>
        <w:pStyle w:val="BookText"/>
      </w:pPr>
      <w:r>
        <w:rPr>
          <w:rFonts w:ascii="IRNazanin" w:hAnsi="IRNazanin" w:eastAsia="IRNazanin" w:cs="IRNazanin"/>
          <w:lang w:bidi="fa-IR"/>
          <w:color w:val="111111"/>
          <w:sz w:val="28"/>
          <w:szCs w:val="28"/>
          <w:rtl/>
        </w:rPr>
        <w:t xml:space="preserve">شعرهای فارسی مفلوک و قاسم تا میرسد به طوفان؛ خط: نستعلیق چلیپا، بی کا، تا: قرن ۱۳، قطع: ربعی [ نشریه: ۷ - ۱۳۲]</w:t>
      </w:r>
    </w:p>
    <w:p>
      <w:pPr>
        <w:pStyle w:val="BookText"/>
      </w:pPr>
      <w:r>
        <w:rPr>
          <w:rFonts w:ascii="IRNazanin" w:hAnsi="IRNazanin" w:eastAsia="IRNazanin" w:cs="IRNazanin"/>
          <w:lang w:bidi="fa-IR"/>
          <w:color w:val="111111"/>
          <w:sz w:val="28"/>
          <w:szCs w:val="28"/>
          <w:rtl/>
        </w:rPr>
        <w:t xml:space="preserve">۱۰۳۷. قم؛ مسجد اعظم؛ شماره نسخه: ۳۲۴۸/۲</w:t>
      </w:r>
    </w:p>
    <w:p>
      <w:pPr>
        <w:pStyle w:val="BookText"/>
      </w:pPr>
      <w:r>
        <w:rPr>
          <w:rFonts w:ascii="IRNazanin" w:hAnsi="IRNazanin" w:eastAsia="IRNazanin" w:cs="IRNazanin"/>
          <w:lang w:bidi="fa-IR"/>
          <w:color w:val="111111"/>
          <w:sz w:val="28"/>
          <w:szCs w:val="28"/>
          <w:rtl/>
        </w:rPr>
        <w:t xml:space="preserve">آغاز: ای فلک کجرو ... پسند *** ... خورچند / چشم خورچند / چشم گشا درنگر ای سرنگون ***  چشم مرا .... پرزخون؛ انجام: اندام تواز نرمی</w:t>
      </w:r>
    </w:p>
    <w:p>
      <w:pPr>
        <w:pStyle w:val="BookText"/>
      </w:pPr>
      <w:r>
        <w:rPr>
          <w:rFonts w:ascii="IRNazanin" w:hAnsi="IRNazanin" w:eastAsia="IRNazanin" w:cs="IRNazanin"/>
          <w:lang w:bidi="fa-IR"/>
          <w:color w:val="111111"/>
          <w:sz w:val="28"/>
          <w:szCs w:val="28"/>
          <w:rtl/>
        </w:rPr>
        <w:t xml:space="preserve">دیبای لطیف است*** وان موی میان تو از آن ... است</w:t>
      </w:r>
    </w:p>
    <w:p>
      <w:pPr>
        <w:pStyle w:val="BookText"/>
      </w:pPr>
      <w:r>
        <w:rPr>
          <w:rFonts w:ascii="IRNazanin" w:hAnsi="IRNazanin" w:eastAsia="IRNazanin" w:cs="IRNazanin"/>
          <w:lang w:bidi="fa-IR"/>
          <w:color w:val="111111"/>
          <w:sz w:val="28"/>
          <w:szCs w:val="28"/>
          <w:rtl/>
        </w:rPr>
        <w:t xml:space="preserve">اشعاری از: میرزا فتحعلی خان صبا، محجوب ترشیزی، شهاب ترشیزی، میرزا معصوم محیط، محمد تقی سپهر کاشانی،فضل الله خاوری، فاضل خان راوی، محمد رضا مونس بارفروشی، میرزا محمد تقی نوایی، میرزا عباس بساطی هزارجریبی، میرزا محمد تقی علی آبادی صاحب، محمود خان خاور، رضا قلیخان هدایت، میرزا ابوالقاسم قایم مقام، میرزا طاهر سبزواری، وصال شیرازی، میرزا صادق هما مروزی، سلمان ساوجی (قصیده بی نقطه)، قطران تبریزی، امیر معزی سمرقندی، عبدالواسع جبلی، جمال الدين اصفهانی، رشید الدین وطواط، حکیم سنایی، اسدی طوسی، عمادی غزنوی، هدایت دامغانی، رودکی سمرقندی، محمد مکنون کازرونی، یغما جندقی، سحاب نشاط اصفهانی، انیس اصفهانی، حسن قمی ،منصف ،صهباقمی، آذر بیگدلی ،شقایی ،بحر، راوی گروسی، میرزا رحیم بیدل، محیط، طایر شیرازی، مسکین، نصرت طالشی، فکرت لاهیجی، ملامجد ساوری، ذوقی، مجمر، قابل ایروانی، هلالی جغتایی، سید محمد ضیایی کازرونی ،عسجدی، عنصری ،بخارایی، مکنون کازورنی، رونقی بخارایی، لسانی شیرازی، مشرف الدین، اهلی شیرازی، صاحب مازندرانی، میرزا ابوالقاسم همدانی،میرزا محمد حیرت؛ خط: نستعلیق،شکسته، بی کا، تا: قرن ۱۳؛ مهر: «شعاع» (بیضی)؛ سطور چلیپا چهار سطری؛ ۲۲گ، ۸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مخ: ۲ - ۵۸۴]</w:t>
      </w:r>
    </w:p>
    <w:p>
      <w:pPr>
        <w:pStyle w:val="BookText"/>
      </w:pPr>
      <w:r>
        <w:rPr>
          <w:rFonts w:ascii="IRNazanin" w:hAnsi="IRNazanin" w:eastAsia="IRNazanin" w:cs="IRNazanin"/>
          <w:lang w:bidi="fa-IR"/>
          <w:color w:val="111111"/>
          <w:sz w:val="28"/>
          <w:szCs w:val="28"/>
          <w:rtl/>
        </w:rPr>
        <w:t xml:space="preserve">۱۰۳۸ .قم؛ گلپایگانی؛ شماره نسخه: ۳۳۸۸-۱۷/۱۶۸</w:t>
      </w:r>
    </w:p>
    <w:p>
      <w:pPr>
        <w:pStyle w:val="BookText"/>
      </w:pPr>
      <w:r>
        <w:rPr>
          <w:rFonts w:ascii="IRNazanin" w:hAnsi="IRNazanin" w:eastAsia="IRNazanin" w:cs="IRNazanin"/>
          <w:lang w:bidi="fa-IR"/>
          <w:color w:val="111111"/>
          <w:sz w:val="28"/>
          <w:szCs w:val="28"/>
          <w:rtl/>
        </w:rPr>
        <w:t xml:space="preserve">آغاز: یار توام ای پسر پیش تو ام ای پسر *** جان تو ام ای پسر پای تو بر چشم من - من به تو جور و جفا از چه جهت می کنم؛ انجام: من به فدایت شوم باز فدایت شوم *** جان به فدایت شوم</w:t>
      </w:r>
    </w:p>
    <w:p>
      <w:pPr>
        <w:pStyle w:val="BookText"/>
      </w:pPr>
      <w:r>
        <w:rPr>
          <w:rFonts w:ascii="IRNazanin" w:hAnsi="IRNazanin" w:eastAsia="IRNazanin" w:cs="IRNazanin"/>
          <w:lang w:bidi="fa-IR"/>
          <w:color w:val="111111"/>
          <w:sz w:val="28"/>
          <w:szCs w:val="28"/>
          <w:rtl/>
        </w:rPr>
        <w:t xml:space="preserve">قربان خاک پایت شوم- این همه جور وستم بر من مسکین مکن</w:t>
      </w:r>
    </w:p>
    <w:p>
      <w:pPr>
        <w:pStyle w:val="BookText"/>
      </w:pPr>
      <w:r>
        <w:rPr>
          <w:rFonts w:ascii="IRNazanin" w:hAnsi="IRNazanin" w:eastAsia="IRNazanin" w:cs="IRNazanin"/>
          <w:lang w:bidi="fa-IR"/>
          <w:color w:val="111111"/>
          <w:sz w:val="28"/>
          <w:szCs w:val="28"/>
          <w:rtl/>
        </w:rPr>
        <w:t xml:space="preserve">بیاضی است شامل مدایح ائمه ((علیهم السّلام) از شعرای مختلف؛ خط: تحریری، بی کا، تا: قرن ۱۳؛ ۸۰گ، ۱۰-۱۲ سطر، قطع: بياض  رقعی، اندازه: 7</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سم [ف: ۳ - ۱۲۷۷]</w:t>
      </w:r>
    </w:p>
    <w:p>
      <w:pPr>
        <w:pStyle w:val="BookText"/>
      </w:pPr>
      <w:r>
        <w:rPr>
          <w:rFonts w:ascii="IRNazanin" w:hAnsi="IRNazanin" w:eastAsia="IRNazanin" w:cs="IRNazanin"/>
          <w:lang w:bidi="fa-IR"/>
          <w:color w:val="111111"/>
          <w:sz w:val="28"/>
          <w:szCs w:val="28"/>
          <w:rtl/>
        </w:rPr>
        <w:t xml:space="preserve">۱۰۳۹. تهران؛ ملک؛ شماره نسخه: ۴۷۶۳</w:t>
      </w:r>
    </w:p>
    <w:p>
      <w:pPr>
        <w:pStyle w:val="BookText"/>
      </w:pPr>
      <w:r>
        <w:rPr>
          <w:rFonts w:ascii="IRNazanin" w:hAnsi="IRNazanin" w:eastAsia="IRNazanin" w:cs="IRNazanin"/>
          <w:lang w:bidi="fa-IR"/>
          <w:color w:val="111111"/>
          <w:sz w:val="28"/>
          <w:szCs w:val="28"/>
          <w:rtl/>
        </w:rPr>
        <w:t xml:space="preserve">آغاز: ز تشریف حسام سلطنت شبل مظفر را *** همان فال است و فر کزیال و برجنگی عضنفر را؛ انجام: لقد شهدت ائمة كل فضل *** بانك بينها العلم العليم</w:t>
      </w:r>
    </w:p>
    <w:p>
      <w:pPr>
        <w:pStyle w:val="BookText"/>
      </w:pPr>
      <w:r>
        <w:rPr>
          <w:rFonts w:ascii="IRNazanin" w:hAnsi="IRNazanin" w:eastAsia="IRNazanin" w:cs="IRNazanin"/>
          <w:lang w:bidi="fa-IR"/>
          <w:color w:val="111111"/>
          <w:sz w:val="28"/>
          <w:szCs w:val="28"/>
          <w:rtl/>
        </w:rPr>
        <w:t xml:space="preserve">حاوی اشعار متفرق در مدح حسینقلی خان نظام السلطنه از شهاب اصفهانی و شعرای دیگر عصر ممدوح؛ خط: نستعلیق خوش،
</w:t>
      </w:r>
    </w:p>
    <w:p>
      <w:pPr>
        <w:sectPr>
          <w:footerReference w:type="default" r:id="rId8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 کا، تا: قرن ۱۳؛ کاغذ: کاغذ آهار مهره ،جلد: میشن قرمز نو، ۱۴۲گ، ۱۵ 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۲۷/۱سم [ف: ۲ - ۱۹۰]</w:t>
      </w:r>
    </w:p>
    <w:p>
      <w:pPr>
        <w:pStyle w:val="BookText"/>
      </w:pPr>
      <w:r>
        <w:rPr>
          <w:rFonts w:ascii="Times New Roman" w:hAnsi="Times New Roman" w:eastAsia="Times New Roman" w:cs="Times New Roman"/>
          <w:lang w:val="en-US" w:bidi="en-US"/>
          <w:color w:val="111111"/>
          <w:sz w:val="28"/>
          <w:szCs w:val="28"/>
          <w:rtl/>
        </w:rPr>
        <w:t xml:space="preserve">1040.</w:t>
      </w:r>
    </w:p>
    <w:p>
      <w:pPr>
        <w:pStyle w:val="BookText"/>
      </w:pPr>
      <w:r>
        <w:rPr>
          <w:rFonts w:ascii="IRNazanin" w:hAnsi="IRNazanin" w:eastAsia="IRNazanin" w:cs="IRNazanin"/>
          <w:lang w:bidi="fa-IR"/>
          <w:color w:val="111111"/>
          <w:sz w:val="28"/>
          <w:szCs w:val="28"/>
          <w:rtl/>
        </w:rPr>
        <w:t xml:space="preserve">تهران؛ ملک؛ شماره نسخه: ۶۲۶۰/۱</w:t>
      </w:r>
    </w:p>
    <w:p>
      <w:pPr>
        <w:pStyle w:val="BookText"/>
      </w:pPr>
      <w:r>
        <w:rPr>
          <w:rFonts w:ascii="IRNazanin" w:hAnsi="IRNazanin" w:eastAsia="IRNazanin" w:cs="IRNazanin"/>
          <w:lang w:bidi="fa-IR"/>
          <w:color w:val="111111"/>
          <w:sz w:val="28"/>
          <w:szCs w:val="28"/>
          <w:rtl/>
        </w:rPr>
        <w:t xml:space="preserve">آغاز: نزد ارباب دولت و حشمت *** شصت چیز است مایه نکبت؛ انجام: نقل از شیخ بوعلی سیناست*** که روایات او همه زیباست / این نصایح که راحت جانست *** زندگی بخش روح انسانست</w:t>
      </w:r>
    </w:p>
    <w:p>
      <w:pPr>
        <w:pStyle w:val="BookText"/>
      </w:pPr>
      <w:r>
        <w:rPr>
          <w:rFonts w:ascii="IRNazanin" w:hAnsi="IRNazanin" w:eastAsia="IRNazanin" w:cs="IRNazanin"/>
          <w:lang w:bidi="fa-IR"/>
          <w:color w:val="111111"/>
          <w:sz w:val="28"/>
          <w:szCs w:val="28"/>
          <w:rtl/>
        </w:rPr>
        <w:t xml:space="preserve">منظومه ای در آنچه نکبت بار است به نقل از ابن سینا، در پنجا پنج بیت؛ بی کا، تا: قرن ۱۳؛ کاغذ: رنگارنگ، جلد: میشن مشـکی[ ف: ۹ - ۲۹۷]</w:t>
      </w:r>
    </w:p>
    <w:p>
      <w:pPr>
        <w:pStyle w:val="BookText"/>
      </w:pPr>
      <w:r>
        <w:rPr>
          <w:rFonts w:ascii="IRNazanin" w:hAnsi="IRNazanin" w:eastAsia="IRNazanin" w:cs="IRNazanin"/>
          <w:lang w:bidi="fa-IR"/>
          <w:color w:val="111111"/>
          <w:sz w:val="28"/>
          <w:szCs w:val="28"/>
          <w:rtl/>
        </w:rPr>
        <w:t xml:space="preserve">۱۰۴۱. تهران؛ دانشگاه؛ شماره نسخه: ۸۰۰۶</w:t>
      </w:r>
    </w:p>
    <w:p>
      <w:pPr>
        <w:pStyle w:val="BookText"/>
      </w:pPr>
      <w:r>
        <w:rPr>
          <w:rFonts w:ascii="IRNazanin" w:hAnsi="IRNazanin" w:eastAsia="IRNazanin" w:cs="IRNazanin"/>
          <w:lang w:bidi="fa-IR"/>
          <w:color w:val="111111"/>
          <w:sz w:val="28"/>
          <w:szCs w:val="28"/>
          <w:rtl/>
        </w:rPr>
        <w:t xml:space="preserve">علاوه بر رساله هایی که مستقل معرفی شده است، شامل شعرهـای وحشی ،مایل، ترکیب بند درنه بند، غزل و شعر صائب،غزل محمد قلی سلیم، شعر خلیفه ابراهیم وصال و میرزا وحيدا و طالب آملی؛ خط: شکسته نستعلیق چلیپا، بی کا، تا: قرن ۱۱ و ۱۲ و 13؛ برگ های پراکنده ای بود که حاشیه کرده و به همدیگر چسباندند؛ کاغذ: هندی، جلد: گالینگور عطف تیماج سرخ نو، ۷۷گ، 10سطر (۵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قطع: خشتی، اندازه: ۱۶/۵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 ۱۷ - ۵]</w:t>
      </w:r>
    </w:p>
    <w:p>
      <w:pPr>
        <w:pStyle w:val="BookText"/>
      </w:pPr>
      <w:r>
        <w:rPr>
          <w:rFonts w:ascii="IRNazanin" w:hAnsi="IRNazanin" w:eastAsia="IRNazanin" w:cs="IRNazanin"/>
          <w:lang w:bidi="fa-IR"/>
          <w:color w:val="111111"/>
          <w:sz w:val="28"/>
          <w:szCs w:val="28"/>
          <w:rtl/>
        </w:rPr>
        <w:t xml:space="preserve">۱۰۴۲. تهران؛ مجلس؛ شماره نسخه: ۹۷۹۹/۴</w:t>
      </w:r>
    </w:p>
    <w:p>
      <w:pPr>
        <w:pStyle w:val="BookText"/>
      </w:pPr>
      <w:r>
        <w:rPr>
          <w:rFonts w:ascii="IRNazanin" w:hAnsi="IRNazanin" w:eastAsia="IRNazanin" w:cs="IRNazanin"/>
          <w:lang w:bidi="fa-IR"/>
          <w:color w:val="111111"/>
          <w:sz w:val="28"/>
          <w:szCs w:val="28"/>
          <w:rtl/>
        </w:rPr>
        <w:t xml:space="preserve">اشعاری از سید ماجد بن هاشم بحرانی و ابن المعلم؛ خـط: نستعلیق، بی کا، تا: قرن ۱۳؛ جلد: تیماج قهوه ای اگ (۸۶پ- ۸۷ر)، ۱۵ سطر،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۳۱ - ۹۴]</w:t>
      </w:r>
    </w:p>
    <w:p>
      <w:pPr>
        <w:pStyle w:val="BookText"/>
      </w:pPr>
      <w:r>
        <w:rPr>
          <w:rFonts w:ascii="IRNazanin" w:hAnsi="IRNazanin" w:eastAsia="IRNazanin" w:cs="IRNazanin"/>
          <w:lang w:bidi="fa-IR"/>
          <w:color w:val="111111"/>
          <w:sz w:val="28"/>
          <w:szCs w:val="28"/>
          <w:rtl/>
        </w:rPr>
        <w:t xml:space="preserve">۱۰۴۳. تهران؛ مجلس؛ شماره نسخه ۴۳۲/۱۶ کر</w:t>
      </w:r>
    </w:p>
    <w:p>
      <w:pPr>
        <w:pStyle w:val="BookText"/>
      </w:pPr>
      <w:r>
        <w:rPr>
          <w:rFonts w:ascii="IRNazanin" w:hAnsi="IRNazanin" w:eastAsia="IRNazanin" w:cs="IRNazanin"/>
          <w:lang w:bidi="fa-IR"/>
          <w:color w:val="111111"/>
          <w:sz w:val="28"/>
          <w:szCs w:val="28"/>
          <w:rtl/>
        </w:rPr>
        <w:t xml:space="preserve">آغاز: شبی بوقت خوشی گفت با زنی مردی *** ای ز آتـش تو دیگ شهوتم روشن؛ انجام: که برای صواب باید خورم*** آنچه آید ز رافضی در دست</w:t>
      </w:r>
    </w:p>
    <w:p>
      <w:pPr>
        <w:pStyle w:val="BookText"/>
      </w:pPr>
      <w:r>
        <w:rPr>
          <w:rFonts w:ascii="IRNazanin" w:hAnsi="IRNazanin" w:eastAsia="IRNazanin" w:cs="IRNazanin"/>
          <w:lang w:bidi="fa-IR"/>
          <w:color w:val="111111"/>
          <w:sz w:val="28"/>
          <w:szCs w:val="28"/>
          <w:rtl/>
        </w:rPr>
        <w:t xml:space="preserve">مقطعات هزلی، ۷ قطعه از هزلیات برخی شعرا، همچون مصـلح الدین عبدالله سعدی شیرازی و اوحدالدین علی بن محمد انوری ابیوردی خراسانی است که با این مطلع ها آمده است: ۱. شـبی بوقت خوشی گفت با زنی، مردی *** که ای ز آتش تو دیـگ شهوتم ،روشن ،۲. روزی از بهر تماشای سوی دشت *** چند زن بیرون شدند از مهتران،3 . دوش در بزم چند دخترکی *** از... ذکر درمان آمد، ۴. دوستان و معاشران مرا *** همه را کار دلپذیر افتاد، ۵. بدیدم یکی ترکمان بچه </w:t>
      </w:r>
      <w:r>
        <w:rPr>
          <w:rFonts w:ascii="IRNazanin" w:hAnsi="IRNazanin" w:eastAsia="IRNazanin" w:cs="IRNazanin"/>
          <w:lang w:bidi="fa-IR"/>
          <w:color w:val="111111"/>
          <w:sz w:val="28"/>
          <w:szCs w:val="28"/>
          <w:b w:val="1"/>
          <w:bCs w:val="1"/>
          <w:i w:val="1"/>
          <w:iCs w:val="1"/>
          <w:rtl/>
        </w:rPr>
        <w:t xml:space="preserve">ببغداد روزی من گفت قم، ۶.دوش گفتم با زن خواجه فلان</w:t>
      </w:r>
      <w:r>
        <w:rPr>
          <w:rFonts w:ascii="IRNazanin" w:hAnsi="IRNazanin" w:eastAsia="IRNazanin" w:cs="IRNazanin"/>
          <w:lang w:bidi="fa-IR"/>
          <w:color w:val="111111"/>
          <w:sz w:val="28"/>
          <w:szCs w:val="28"/>
          <w:rtl/>
        </w:rPr>
        <w:t xml:space="preserve"> کی ...حاجتی خلقی رو،7. امرد طرف دو چارم شد *** در شبی کز شراب بودم مست؛ خـط: شکسته نستعلیق، بی کا، تا: قرن ۱۳؛ مجدول، با کمند کشی؛ کاغذ: ترمه نازک سبز مغز پسته ای، ۳گ (۹۱پ -۱۹۳ر) ۱۲ سـطر ،اندازه: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۱۳/۵سم [ف: ۴۰/۲ - ۱۳۴]</w:t>
      </w:r>
    </w:p>
    <w:p>
      <w:pPr>
        <w:pStyle w:val="BookText"/>
      </w:pPr>
      <w:r>
        <w:rPr>
          <w:rFonts w:ascii="IRNazanin" w:hAnsi="IRNazanin" w:eastAsia="IRNazanin" w:cs="IRNazanin"/>
          <w:lang w:bidi="fa-IR"/>
          <w:color w:val="111111"/>
          <w:sz w:val="28"/>
          <w:szCs w:val="28"/>
          <w:rtl/>
        </w:rPr>
        <w:t xml:space="preserve">۱۰۴۴. تهران؛ مجلس؛ شماره نسخه: ۸۰۱۲/۵</w:t>
      </w:r>
    </w:p>
    <w:p>
      <w:pPr>
        <w:pStyle w:val="BookText"/>
      </w:pPr>
      <w:r>
        <w:rPr>
          <w:rFonts w:ascii="IRNazanin" w:hAnsi="IRNazanin" w:eastAsia="IRNazanin" w:cs="IRNazanin"/>
          <w:lang w:bidi="fa-IR"/>
          <w:color w:val="111111"/>
          <w:sz w:val="28"/>
          <w:szCs w:val="28"/>
          <w:rtl/>
        </w:rPr>
        <w:t xml:space="preserve">اشعاری پراکنده که در ذیل مدخل خاص قرار نمی گرفت بدون عنوان شاعر در این برگ ها (هامش): ۲۸ر، ۲۸پ، ۴۰پ، ۵۶پ- ۵۷ر - ۵۸پ، ۷۶ر - ۷۷ر، ۸۰ر - ۸۰ ر؛ خط: شکسته نستعلیق بدخـط، کا، تا: قرن ۱۳؛ مجدول، دارای رکابه؛ مهر: «کتابخانه باقر ترقی»؛ اندازه: 19/9</w:t>
      </w:r>
      <w:r>
        <w:rPr>
          <w:rFonts w:ascii="Times New Roman" w:hAnsi="Times New Roman" w:eastAsia="Times New Roman" w:cs="Times New Roman"/>
          <w:lang w:val="en-US" w:bidi="en-US"/>
          <w:color w:val="111111"/>
          <w:sz w:val="28"/>
          <w:szCs w:val="28"/>
          <w:rtl/>
        </w:rPr>
        <w:t xml:space="preserve">×301</w:t>
      </w:r>
      <w:r>
        <w:rPr>
          <w:rFonts w:ascii="IRNazanin" w:hAnsi="IRNazanin" w:eastAsia="IRNazanin" w:cs="IRNazanin"/>
          <w:lang w:bidi="fa-IR"/>
          <w:color w:val="111111"/>
          <w:sz w:val="28"/>
          <w:szCs w:val="28"/>
          <w:rtl/>
        </w:rPr>
        <w:t xml:space="preserve">سم [ف: 27/1 - ۳۵]</w:t>
      </w:r>
    </w:p>
    <w:p>
      <w:pPr>
        <w:pStyle w:val="BookText"/>
      </w:pPr>
      <w:r>
        <w:rPr>
          <w:rFonts w:ascii="IRNazanin" w:hAnsi="IRNazanin" w:eastAsia="IRNazanin" w:cs="IRNazanin"/>
          <w:lang w:bidi="fa-IR"/>
          <w:color w:val="111111"/>
          <w:sz w:val="28"/>
          <w:szCs w:val="28"/>
          <w:rtl/>
        </w:rPr>
        <w:t xml:space="preserve">۱۰۴۵. تهران؛ مجلس؛ شماره نسخه: ۱۴۵۸۲/۹</w:t>
      </w:r>
    </w:p>
    <w:p>
      <w:pPr>
        <w:pStyle w:val="BookText"/>
      </w:pPr>
      <w:r>
        <w:rPr>
          <w:rFonts w:ascii="IRNazanin" w:hAnsi="IRNazanin" w:eastAsia="IRNazanin" w:cs="IRNazanin"/>
          <w:lang w:bidi="fa-IR"/>
          <w:color w:val="111111"/>
          <w:sz w:val="28"/>
          <w:szCs w:val="28"/>
          <w:rtl/>
        </w:rPr>
        <w:t xml:space="preserve">از عصمت بخارائی ،محتشم کاشانی، ملا عبدالله بیگ و والی؛ خط: نستعلیق، بی کا، تا: قرن ۱۳؛ ۱۴ ص( ۶۹-۸۲)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۴۱ - ۶۰]</w:t>
      </w:r>
    </w:p>
    <w:p>
      <w:pPr>
        <w:pStyle w:val="BookText"/>
      </w:pPr>
      <w:r>
        <w:rPr>
          <w:rFonts w:ascii="IRNazanin" w:hAnsi="IRNazanin" w:eastAsia="IRNazanin" w:cs="IRNazanin"/>
          <w:lang w:bidi="fa-IR"/>
          <w:color w:val="111111"/>
          <w:sz w:val="28"/>
          <w:szCs w:val="28"/>
          <w:rtl/>
        </w:rPr>
        <w:t xml:space="preserve">۱۰۴۶. تهران؛ مجلس؛ شماره نسخه: ۸۱۷۷/۱</w:t>
      </w:r>
    </w:p>
    <w:p>
      <w:pPr>
        <w:pStyle w:val="BookText"/>
      </w:pPr>
      <w:r>
        <w:rPr>
          <w:rFonts w:ascii="IRNazanin" w:hAnsi="IRNazanin" w:eastAsia="IRNazanin" w:cs="IRNazanin"/>
          <w:lang w:bidi="fa-IR"/>
          <w:color w:val="111111"/>
          <w:sz w:val="28"/>
          <w:szCs w:val="28"/>
          <w:rtl/>
        </w:rPr>
        <w:t xml:space="preserve">اشعار افتتاح سفینه شماره ۸۱۷۷ است چند بیت از مثنوی های مختلف است که مصرع نخست همه «بسم الله الرحمن الرحيم» است مانند: بسم الله الرحمن الرحيم </w:t>
      </w:r>
      <w:r>
        <w:rPr>
          <w:rFonts w:ascii="IRNazanin" w:hAnsi="IRNazanin" w:eastAsia="IRNazanin" w:cs="IRNazanin"/>
          <w:lang w:bidi="fa-IR"/>
          <w:color w:val="111111"/>
          <w:sz w:val="28"/>
          <w:szCs w:val="28"/>
          <w:b w:val="1"/>
          <w:bCs w:val="1"/>
          <w:i w:val="1"/>
          <w:iCs w:val="1"/>
          <w:rtl/>
        </w:rPr>
        <w:t xml:space="preserve">هست صلای سر خوان كريم / بسم الله الرحمن الرحيم</w:t>
      </w:r>
      <w:r>
        <w:rPr>
          <w:rFonts w:ascii="IRNazanin" w:hAnsi="IRNazanin" w:eastAsia="IRNazanin" w:cs="IRNazanin"/>
          <w:lang w:bidi="fa-IR"/>
          <w:color w:val="111111"/>
          <w:sz w:val="28"/>
          <w:szCs w:val="28"/>
          <w:rtl/>
        </w:rPr>
        <w:t xml:space="preserve"> هست کلید در گنج حکیم؛ خط: نستعلیق تحریری ماوراء النهری، بی کا، تا: قرن ۱۳؛ مجدول، دارای رکابه ،کاغذ: بسیار نازک کدر ،جلد: مقوایی با روکش تیماج ساده ۱گ (۱۹پ) ، اندازه: ۱۲/۹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۱۹/۸سم [ف: 27/1- 402]</w:t>
      </w:r>
    </w:p>
    <w:p>
      <w:pPr>
        <w:pStyle w:val="BookText"/>
      </w:pPr>
      <w:r>
        <w:rPr>
          <w:rFonts w:ascii="IRNazanin" w:hAnsi="IRNazanin" w:eastAsia="IRNazanin" w:cs="IRNazanin"/>
          <w:lang w:bidi="fa-IR"/>
          <w:color w:val="111111"/>
          <w:sz w:val="28"/>
          <w:szCs w:val="28"/>
          <w:rtl/>
        </w:rPr>
        <w:t xml:space="preserve">۱۰۴۷ . تهران؛ مجلس؛ شماره نسخه: ۸۱۷۷/۵۵</w:t>
      </w:r>
    </w:p>
    <w:p>
      <w:pPr>
        <w:pStyle w:val="BookText"/>
      </w:pPr>
      <w:r>
        <w:rPr>
          <w:rFonts w:ascii="IRNazanin" w:hAnsi="IRNazanin" w:eastAsia="IRNazanin" w:cs="IRNazanin"/>
          <w:lang w:bidi="fa-IR"/>
          <w:color w:val="111111"/>
          <w:sz w:val="28"/>
          <w:szCs w:val="28"/>
          <w:rtl/>
        </w:rPr>
        <w:t xml:space="preserve">آغاز: ز آستین بندم بلورین دست بیرون کرده ای *** وز حنا رنگ خجالت بر دل خون کرده ای؛ انجام: حق نگه دارد ترا در پرده عصمت قرین ***سرمه در حکم حیا ز انگشت حیرت کرده ای</w:t>
      </w:r>
    </w:p>
    <w:p>
      <w:pPr>
        <w:pStyle w:val="BookText"/>
      </w:pPr>
      <w:r>
        <w:rPr>
          <w:rFonts w:ascii="IRNazanin" w:hAnsi="IRNazanin" w:eastAsia="IRNazanin" w:cs="IRNazanin"/>
          <w:lang w:bidi="fa-IR"/>
          <w:color w:val="111111"/>
          <w:sz w:val="28"/>
          <w:szCs w:val="28"/>
          <w:rtl/>
        </w:rPr>
        <w:t xml:space="preserve">غزلی با عنوان «بیت آستین» که مشخص نیست از همان شاعر قبلی است یا نه، شعر تخلص ندارد؛ خط: نستعلیق تحریری، بی کا، تا: قرن ۱۳ ،مجدول، دارای رکابه؛ کاغذ:بسیار نازک کدر، جلد: مقوایی با روکش تیماج، اگ (۹۸پ)، اندازه: ۱۲/۹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۱۹/۸سم [ ف: 27/1 - ۴۱۵]</w:t>
      </w:r>
    </w:p>
    <w:p>
      <w:pPr>
        <w:pStyle w:val="BookText"/>
      </w:pPr>
      <w:r>
        <w:rPr>
          <w:rFonts w:ascii="IRNazanin" w:hAnsi="IRNazanin" w:eastAsia="IRNazanin" w:cs="IRNazanin"/>
          <w:lang w:bidi="fa-IR"/>
          <w:color w:val="111111"/>
          <w:sz w:val="28"/>
          <w:szCs w:val="28"/>
          <w:rtl/>
        </w:rPr>
        <w:t xml:space="preserve">۱۰۴۸. تهران؛ مجلس؛ شماره نسخه: ۸۱۷۷/۱۰۶</w:t>
      </w:r>
    </w:p>
    <w:p>
      <w:pPr>
        <w:pStyle w:val="BookText"/>
      </w:pPr>
      <w:r>
        <w:rPr>
          <w:rFonts w:ascii="IRNazanin" w:hAnsi="IRNazanin" w:eastAsia="IRNazanin" w:cs="IRNazanin"/>
          <w:lang w:bidi="fa-IR"/>
          <w:color w:val="111111"/>
          <w:sz w:val="28"/>
          <w:szCs w:val="28"/>
          <w:rtl/>
        </w:rPr>
        <w:t xml:space="preserve">آغاز: الهی صاحب این بر کمال است*** فلاطون خاطر نازک خیال است / که زیب زینت حسن جمال است *** عجب روپاکچه چیده خیال است - بدست دلبر شکر مقال است</w:t>
      </w:r>
    </w:p>
    <w:p>
      <w:pPr>
        <w:pStyle w:val="BookText"/>
      </w:pPr>
      <w:r>
        <w:rPr>
          <w:rFonts w:ascii="IRNazanin" w:hAnsi="IRNazanin" w:eastAsia="IRNazanin" w:cs="IRNazanin"/>
          <w:lang w:bidi="fa-IR"/>
          <w:color w:val="111111"/>
          <w:sz w:val="28"/>
          <w:szCs w:val="28"/>
          <w:rtl/>
        </w:rPr>
        <w:t xml:space="preserve">مخمسی است با عنوان روپا کچه که گویا منظور از آن نوعی پارچه است که در مناطق شرقی (مانند افغانستان) استفاده می شود؛ خط: نستعلیق تحریری، بی کا، تا: قرن ۱۳؛ مجدول، دارای رکابه؛ کاغذ: بسیار نازک کدر، جلد: مقوایی با روکش تیماج، اگ (۲۰۱ر-۲۰۰ر)، اندازه: ۱۲/۹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۱۹/۸سم [ف: 27/1 - ۴۲۷]</w:t>
      </w:r>
    </w:p>
    <w:p>
      <w:pPr>
        <w:pStyle w:val="BookText"/>
      </w:pPr>
      <w:r>
        <w:rPr>
          <w:rFonts w:ascii="IRNazanin" w:hAnsi="IRNazanin" w:eastAsia="IRNazanin" w:cs="IRNazanin"/>
          <w:lang w:bidi="fa-IR"/>
          <w:color w:val="111111"/>
          <w:sz w:val="28"/>
          <w:szCs w:val="28"/>
          <w:rtl/>
        </w:rPr>
        <w:t xml:space="preserve">۱۰۴۹. تهران؛ مجلس؛ شماره نسخه: ۸۱۷۷/۱۰۷</w:t>
      </w:r>
    </w:p>
    <w:p>
      <w:pPr>
        <w:pStyle w:val="BookText"/>
      </w:pPr>
      <w:r>
        <w:rPr>
          <w:rFonts w:ascii="IRNazanin" w:hAnsi="IRNazanin" w:eastAsia="IRNazanin" w:cs="IRNazanin"/>
          <w:lang w:bidi="fa-IR"/>
          <w:color w:val="111111"/>
          <w:sz w:val="28"/>
          <w:szCs w:val="28"/>
          <w:rtl/>
        </w:rPr>
        <w:t xml:space="preserve">آغاز: چهار باغ دهر دیدم یک یک ایام بهار *** جز قدش سروی ندیدم کاورد زین گونه بار</w:t>
      </w:r>
    </w:p>
    <w:p>
      <w:pPr>
        <w:pStyle w:val="BookText"/>
      </w:pPr>
      <w:r>
        <w:rPr>
          <w:rFonts w:ascii="IRNazanin" w:hAnsi="IRNazanin" w:eastAsia="IRNazanin" w:cs="IRNazanin"/>
          <w:lang w:bidi="fa-IR"/>
          <w:color w:val="111111"/>
          <w:sz w:val="28"/>
          <w:szCs w:val="28"/>
          <w:rtl/>
        </w:rPr>
        <w:t xml:space="preserve">مخمسی بدون نام شاعر که معلوم نشد از کیست و طبق بند آخر، شاید گروهی سروده شده باشد؛ خط: نستعلیق تحریری ماوراء النهرى، بی کا، تا: قرن ۱۳ ،مجدول، دارای ركابه؛ کاغذ: بسیار نازک کدر، جلد: مقوایی با روکش تیماج ساده، اگ (۲۰۶ر- ۲۰۶پ)، اندازه: ۱۲/۹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۱۹/۸سم [ف: 27/1 - ۴۲۷]</w:t>
      </w:r>
    </w:p>
    <w:p>
      <w:pPr>
        <w:pStyle w:val="BookText"/>
      </w:pPr>
      <w:r>
        <w:rPr>
          <w:rFonts w:ascii="IRNazanin" w:hAnsi="IRNazanin" w:eastAsia="IRNazanin" w:cs="IRNazanin"/>
          <w:lang w:bidi="fa-IR"/>
          <w:color w:val="111111"/>
          <w:sz w:val="28"/>
          <w:szCs w:val="28"/>
          <w:rtl/>
        </w:rPr>
        <w:t xml:space="preserve">۱۰۵۰ . مشهد؛ مدرسه آیة الله خوئی؛ شماره نسخه: ۲۸۱</w:t>
      </w:r>
    </w:p>
    <w:p>
      <w:pPr>
        <w:pStyle w:val="BookText"/>
      </w:pPr>
      <w:r>
        <w:rPr>
          <w:rFonts w:ascii="IRNazanin" w:hAnsi="IRNazanin" w:eastAsia="IRNazanin" w:cs="IRNazanin"/>
          <w:lang w:bidi="fa-IR"/>
          <w:color w:val="111111"/>
          <w:sz w:val="28"/>
          <w:szCs w:val="28"/>
          <w:rtl/>
        </w:rPr>
        <w:t xml:space="preserve">اشعار فارسی است با تخلص حیران، و بیشتر اشعار در ستایش امامان معصوم (علیه السّلام) احتمالاً به خط سرایشگر؛ تا: قرن ۱۳ [اوراق
</w:t>
      </w:r>
    </w:p>
    <w:p>
      <w:pPr>
        <w:sectPr>
          <w:footerReference w:type="default" r:id="rId8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عتیق: ۱ - ۲۴۵]</w:t>
      </w:r>
    </w:p>
    <w:p>
      <w:pPr>
        <w:pStyle w:val="BookText"/>
      </w:pPr>
      <w:r>
        <w:rPr>
          <w:rFonts w:ascii="IRNazanin" w:hAnsi="IRNazanin" w:eastAsia="IRNazanin" w:cs="IRNazanin"/>
          <w:lang w:bidi="fa-IR"/>
          <w:color w:val="111111"/>
          <w:sz w:val="28"/>
          <w:szCs w:val="28"/>
          <w:rtl/>
        </w:rPr>
        <w:t xml:space="preserve">۱۰۵۱. تهران؛ مجلس؛ شماره نسخه: ۱۵۳۴۴۴</w:t>
      </w:r>
    </w:p>
    <w:p>
      <w:pPr>
        <w:pStyle w:val="BookText"/>
      </w:pPr>
      <w:r>
        <w:rPr>
          <w:rFonts w:ascii="IRNazanin" w:hAnsi="IRNazanin" w:eastAsia="IRNazanin" w:cs="IRNazanin"/>
          <w:lang w:bidi="fa-IR"/>
          <w:color w:val="111111"/>
          <w:sz w:val="28"/>
          <w:szCs w:val="28"/>
          <w:rtl/>
        </w:rPr>
        <w:t xml:space="preserve">آغاز: در آب دو دیده از تو غرقم *** امید لب کنار دارم؛ انجـام: گر چشم بروی دگری باز کنم *** حق نمک چشم تو کورم سازد</w:t>
      </w:r>
    </w:p>
    <w:p>
      <w:pPr>
        <w:pStyle w:val="BookText"/>
      </w:pPr>
      <w:r>
        <w:rPr>
          <w:rFonts w:ascii="IRNazanin" w:hAnsi="IRNazanin" w:eastAsia="IRNazanin" w:cs="IRNazanin"/>
          <w:lang w:bidi="fa-IR"/>
          <w:color w:val="111111"/>
          <w:sz w:val="28"/>
          <w:szCs w:val="28"/>
          <w:rtl/>
        </w:rPr>
        <w:t xml:space="preserve">بیشتر در مدایح و مراثی اهل بیت (علیه السّلام) است؛ خط: نستعلیق، بی کا، تا: قرن ۱۳؛ چند شعر به خط دیگر، مجدول؛ کاغذ: الوان، جـلد: تیماج تریاکی ضربی گرده دار، ۱۰۱گ، ۸ سطر، قطع: بیاضی، اندازه: 7/2</w:t>
      </w:r>
      <w:r>
        <w:rPr>
          <w:rFonts w:ascii="Times New Roman" w:hAnsi="Times New Roman" w:eastAsia="Times New Roman" w:cs="Times New Roman"/>
          <w:lang w:val="en-US" w:bidi="en-US"/>
          <w:color w:val="111111"/>
          <w:sz w:val="28"/>
          <w:szCs w:val="28"/>
          <w:rtl/>
        </w:rPr>
        <w:t xml:space="preserve">×15/2</w:t>
      </w:r>
      <w:r>
        <w:rPr>
          <w:rFonts w:ascii="IRNazanin" w:hAnsi="IRNazanin" w:eastAsia="IRNazanin" w:cs="IRNazanin"/>
          <w:lang w:bidi="fa-IR"/>
          <w:color w:val="111111"/>
          <w:sz w:val="28"/>
          <w:szCs w:val="28"/>
          <w:rtl/>
        </w:rPr>
        <w:t xml:space="preserve">سم [ف: ۴۳ - ۳۵]</w:t>
      </w:r>
    </w:p>
    <w:p>
      <w:pPr>
        <w:pStyle w:val="BookText"/>
      </w:pPr>
      <w:r>
        <w:rPr>
          <w:rFonts w:ascii="IRNazanin" w:hAnsi="IRNazanin" w:eastAsia="IRNazanin" w:cs="IRNazanin"/>
          <w:lang w:bidi="fa-IR"/>
          <w:color w:val="111111"/>
          <w:sz w:val="28"/>
          <w:szCs w:val="28"/>
          <w:rtl/>
        </w:rPr>
        <w:t xml:space="preserve">۱۰۵۲ . قم؛ مرعشی؛ شماره نسخه: ۱۵۰۷۸/۳</w:t>
      </w:r>
    </w:p>
    <w:p>
      <w:pPr>
        <w:pStyle w:val="BookText"/>
      </w:pPr>
      <w:r>
        <w:rPr>
          <w:rFonts w:ascii="IRNazanin" w:hAnsi="IRNazanin" w:eastAsia="IRNazanin" w:cs="IRNazanin"/>
          <w:lang w:bidi="fa-IR"/>
          <w:color w:val="111111"/>
          <w:sz w:val="28"/>
          <w:szCs w:val="28"/>
          <w:rtl/>
        </w:rPr>
        <w:t xml:space="preserve">آغاز: ای مقیدهای دام این وجود *** تاکیید اندر قیام و در قعود/ حق شناسی از نماز و روزه نیست *** آب حیوانست و درهر کوزه نیست؛ انجام: هر که این اسرار خواند يكورق *** رسم احسـانرا بیاموزد ز حق.</w:t>
      </w:r>
    </w:p>
    <w:p>
      <w:pPr>
        <w:pStyle w:val="BookText"/>
      </w:pPr>
      <w:r>
        <w:rPr>
          <w:rFonts w:ascii="IRNazanin" w:hAnsi="IRNazanin" w:eastAsia="IRNazanin" w:cs="IRNazanin"/>
          <w:lang w:bidi="fa-IR"/>
          <w:color w:val="111111"/>
          <w:sz w:val="28"/>
          <w:szCs w:val="28"/>
          <w:rtl/>
        </w:rPr>
        <w:t xml:space="preserve">گویا از شاعری متخلص به شاهد؛ مثنوی عرفانی نیکویی اسـت پیرامون ۱۵۰ بیت، در این مثنوی به مقام حضرت امام حسین  بن على (علیه السّلام)  و مصائب آن حضرت نیز در چند مورد اشاره شده؛ برگ ۲۹ ب گوید: «مرشدی نبود بغیر از هشت و چهار *** قـصه کوته شد ز شاهد یاد دار»، از این بیت ظاهراً می توان پنداشت که تخلص وی «شاهد» بوده است؛ خط: نستعلیق، بی کا، تا: قرن 13؛کاغذ: فرنگی، ۶گ (۲۵-۳۰)، ۱۰-۱۲ (مورب) سطر، اندازه: 7</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سم [ف: ۳۸ - ۱۹۳]</w:t>
      </w:r>
    </w:p>
    <w:p>
      <w:pPr>
        <w:pStyle w:val="BookText"/>
      </w:pPr>
      <w:r>
        <w:rPr>
          <w:rFonts w:ascii="IRNazanin" w:hAnsi="IRNazanin" w:eastAsia="IRNazanin" w:cs="IRNazanin"/>
          <w:lang w:bidi="fa-IR"/>
          <w:color w:val="111111"/>
          <w:sz w:val="28"/>
          <w:szCs w:val="28"/>
          <w:rtl/>
        </w:rPr>
        <w:t xml:space="preserve">۱۰۵۳. مشهد؛ گوهر شاد؛ شماره نسخه: ۱۸۰۹/۲</w:t>
      </w:r>
    </w:p>
    <w:p>
      <w:pPr>
        <w:pStyle w:val="BookText"/>
      </w:pPr>
      <w:r>
        <w:rPr>
          <w:rFonts w:ascii="IRNazanin" w:hAnsi="IRNazanin" w:eastAsia="IRNazanin" w:cs="IRNazanin"/>
          <w:lang w:bidi="fa-IR"/>
          <w:color w:val="111111"/>
          <w:sz w:val="28"/>
          <w:szCs w:val="28"/>
          <w:rtl/>
        </w:rPr>
        <w:t xml:space="preserve">آغاز: نوح و آدم را زیارت کرده اند از روی نیاز *** در نماز ودر دعا بودیم هر صبح و مسا؛ انجام: رفت بایدتا بکام دل رسی*** شب نشینش باز آید آفتاب</w:t>
      </w:r>
    </w:p>
    <w:p>
      <w:pPr>
        <w:pStyle w:val="BookText"/>
      </w:pPr>
      <w:r>
        <w:rPr>
          <w:rFonts w:ascii="IRNazanin" w:hAnsi="IRNazanin" w:eastAsia="IRNazanin" w:cs="IRNazanin"/>
          <w:lang w:bidi="fa-IR"/>
          <w:color w:val="111111"/>
          <w:sz w:val="28"/>
          <w:szCs w:val="28"/>
          <w:rtl/>
        </w:rPr>
        <w:t xml:space="preserve">اشعار و غزل هایی از وحشی بافقی، سعدی ،حافظ، محتشم و برخی دیگر از ابیات در رثای امام حسین (علیه السّلام)؛ خط: نسخ  نستعلیق، بی کا، تا: قرن ۱۲ و ۱۳؛ واقف: سيد سعيد طباطبایی، ۱۳۳۲؛ کاغذ: بیاضی  شکری ،جلد: تیماج یک لای قهوه ای، اندازه: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۵ - ۲۲۵]</w:t>
      </w:r>
    </w:p>
    <w:p>
      <w:pPr>
        <w:pStyle w:val="BookText"/>
      </w:pPr>
      <w:r>
        <w:rPr>
          <w:rFonts w:ascii="IRNazanin" w:hAnsi="IRNazanin" w:eastAsia="IRNazanin" w:cs="IRNazanin"/>
          <w:lang w:bidi="fa-IR"/>
          <w:color w:val="111111"/>
          <w:sz w:val="28"/>
          <w:szCs w:val="28"/>
          <w:rtl/>
        </w:rPr>
        <w:t xml:space="preserve">۱۰۵۴. تهران؛ مجلس؛ شماره نسخه: ۸۸۹۱/۱۰</w:t>
      </w:r>
    </w:p>
    <w:p>
      <w:pPr>
        <w:pStyle w:val="BookText"/>
      </w:pPr>
      <w:r>
        <w:rPr>
          <w:rFonts w:ascii="IRNazanin" w:hAnsi="IRNazanin" w:eastAsia="IRNazanin" w:cs="IRNazanin"/>
          <w:lang w:bidi="fa-IR"/>
          <w:color w:val="111111"/>
          <w:sz w:val="28"/>
          <w:szCs w:val="28"/>
          <w:rtl/>
        </w:rPr>
        <w:t xml:space="preserve">از میرزا عبدالحميد ،عطار و سعدی؛ خط: نستعلیق و شکسـته، بی کا، تا: قرن ۱۳ ؛کاغذ: فرنگی نخودی و شکری آهار مهر ،جلد: میشن قهوه ای ضربی با ترنج و جدول، ۵ص (۵۰۴، 505، ۵۳۴، ۵۳۷ ،۵۳۸)، ۱۷-۱۵ سطر (9</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۲۲/۴سم [ف: 29/1- 248]</w:t>
      </w:r>
    </w:p>
    <w:p>
      <w:pPr>
        <w:pStyle w:val="BookText"/>
      </w:pPr>
      <w:r>
        <w:rPr>
          <w:rFonts w:ascii="IRNazanin" w:hAnsi="IRNazanin" w:eastAsia="IRNazanin" w:cs="IRNazanin"/>
          <w:lang w:bidi="fa-IR"/>
          <w:color w:val="111111"/>
          <w:sz w:val="28"/>
          <w:szCs w:val="28"/>
          <w:rtl/>
        </w:rPr>
        <w:t xml:space="preserve">۱۰۵۵. تهران؛ مجلس؛ شماره نسخه: ۸۸۶۲/۲۰</w:t>
      </w:r>
    </w:p>
    <w:p>
      <w:pPr>
        <w:pStyle w:val="BookText"/>
      </w:pPr>
      <w:r>
        <w:rPr>
          <w:rFonts w:ascii="IRNazanin" w:hAnsi="IRNazanin" w:eastAsia="IRNazanin" w:cs="IRNazanin"/>
          <w:lang w:bidi="fa-IR"/>
          <w:color w:val="111111"/>
          <w:sz w:val="28"/>
          <w:szCs w:val="28"/>
          <w:rtl/>
        </w:rPr>
        <w:t xml:space="preserve">اشعارمختلفی که در متن و حاشیه جنگ نوشته شده [ شمـاره صفحات در فهرست آمده است]: آصفی، ابن یمین، ابوالقاسم دماوندی، میرزا ادهم، اسیر، امیر خسرو، امیر شاهی، اوحدی، اهلی خراسانی ،بصیری، بنای خراسانی، شیخ بهاءالدین محمد ،بیگانه، شیخ ثنایی ،جامی، میر جعفر کاشی، حافظ، خواجه حـسن ثنایی ،خواجه، حسن خان شاملو، حسن کاشفی، سید حسـین خالص، حسین لاهیجی، حیرتی کاشی، خان خانان، دانش، حکیم رکنا ،سعدی، امیر سنجر کاشی ،شاپور، صایب، صفی قلی بیک، طالب آملی ،طالع، ظهوری، عرشی یزدی، عرفی، عطار، عظیمای نیشابوری، علی رضا تجلی، علی نقی کمره ای ،غزالی، غنی کشمیری ،فردوسی، فرید شیرازی، فضولی غدادی، فغانی، فهمی کاشی ،قدسی،کمال، محتشم کاشی، محمد حسین زرویی، به خط خودش در رجب ۱۱۳۳ق (ص۱۵)، محمد سميع، ، به خط خودش، ملا محمد مازندرانی، مرتضی فی سلطان شاملو، مسكين،</w:t>
      </w:r>
    </w:p>
    <w:p>
      <w:pPr>
        <w:pStyle w:val="BookText"/>
      </w:pPr>
      <w:r>
        <w:rPr>
          <w:rFonts w:ascii="IRNazanin" w:hAnsi="IRNazanin" w:eastAsia="IRNazanin" w:cs="IRNazanin"/>
          <w:lang w:bidi="fa-IR"/>
          <w:color w:val="111111"/>
          <w:sz w:val="28"/>
          <w:szCs w:val="28"/>
          <w:rtl/>
        </w:rPr>
        <w:t xml:space="preserve">مومن حسین یزدی، ناطق ،نسیمی، نصیرا همدانی، نظام الملک ،نظامی ،نظیری، میرزا نورس ،نوعی ،والهی، وحشی، ولی دشت بیاضی ،هاتفی؛ خط: نستعلیق و شکسته، بی کا، تا: قرن ۱۲ و ۱۳؛ سطور چلیپا و معمولی ،مجدول، در حاشیه ص ۱۶۹ حکایتی از شبلی به خط محمدعلی حسینی؛ مهر: «عبده الراجي عباس قلى الحسینی» (چهارگوش)، «العبد محمد طاهر (؟)) (بیضی)، «محمد رحيم بن ابوطالب الرضوى» (بيضى)، كاغذ: نخودی آهار مهره، جلد: میشن قهوه ای ضربی با ترنج بزرگ در وسط، اندازه: ۱۳/۳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۲۵/۸سم [ف: ۲۹/۱ - ۱۶۵]</w:t>
      </w:r>
    </w:p>
    <w:p>
      <w:pPr>
        <w:pStyle w:val="BookText"/>
      </w:pPr>
      <w:r>
        <w:rPr>
          <w:rFonts w:ascii="IRNazanin" w:hAnsi="IRNazanin" w:eastAsia="IRNazanin" w:cs="IRNazanin"/>
          <w:lang w:bidi="fa-IR"/>
          <w:color w:val="111111"/>
          <w:sz w:val="28"/>
          <w:szCs w:val="28"/>
          <w:rtl/>
        </w:rPr>
        <w:t xml:space="preserve">۱۰۵۶ . تهران؛ مجلس؛ شماره نسخه: ۸۸۶۸/۱۶</w:t>
      </w:r>
    </w:p>
    <w:p>
      <w:pPr>
        <w:pStyle w:val="BookText"/>
      </w:pPr>
      <w:r>
        <w:rPr>
          <w:rFonts w:ascii="IRNazanin" w:hAnsi="IRNazanin" w:eastAsia="IRNazanin" w:cs="IRNazanin"/>
          <w:lang w:bidi="fa-IR"/>
          <w:color w:val="111111"/>
          <w:sz w:val="28"/>
          <w:szCs w:val="28"/>
          <w:rtl/>
        </w:rPr>
        <w:t xml:space="preserve">آغاز: از قول مربای سیب مجلس مرحوم ميرزا محمد علی خان کاشانی وزیر دارالخلافه طهران فرمایند؛ انجام: من که پرورده طعم آیم*** از چه با همت شهد نایم. / دستها سجده به سویم آرند/ به مثالی که مگر محرابم</w:t>
      </w:r>
    </w:p>
    <w:p>
      <w:pPr>
        <w:pStyle w:val="BookText"/>
      </w:pPr>
      <w:r>
        <w:rPr>
          <w:rFonts w:ascii="IRNazanin" w:hAnsi="IRNazanin" w:eastAsia="IRNazanin" w:cs="IRNazanin"/>
          <w:lang w:bidi="fa-IR"/>
          <w:color w:val="111111"/>
          <w:sz w:val="28"/>
          <w:szCs w:val="28"/>
          <w:rtl/>
        </w:rPr>
        <w:t xml:space="preserve">غزل؛ خط: نستعلیق و شکسته ، بی کا، تا: قرن ۱۳؛ کاغذ: صنعتی نخودی و نیلی آهار مهره، با ته نقش شیر و خورش، جلد: مقوای سفید، عطف میشن زیتونی، ۱ص (۷۴ر)،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۲۱/۴سم [ف: 29/1- 181]</w:t>
      </w:r>
    </w:p>
    <w:p>
      <w:pPr>
        <w:pStyle w:val="BookText"/>
      </w:pPr>
      <w:r>
        <w:rPr>
          <w:rFonts w:ascii="IRNazanin" w:hAnsi="IRNazanin" w:eastAsia="IRNazanin" w:cs="IRNazanin"/>
          <w:lang w:bidi="fa-IR"/>
          <w:color w:val="111111"/>
          <w:sz w:val="28"/>
          <w:szCs w:val="28"/>
          <w:rtl/>
        </w:rPr>
        <w:t xml:space="preserve">۱۰۵۷. تهران؛ مجلس؛ شماره نسخه: ۸۸۶۸/۲۲</w:t>
      </w:r>
    </w:p>
    <w:p>
      <w:pPr>
        <w:pStyle w:val="BookText"/>
      </w:pPr>
      <w:r>
        <w:rPr>
          <w:rFonts w:ascii="IRNazanin" w:hAnsi="IRNazanin" w:eastAsia="IRNazanin" w:cs="IRNazanin"/>
          <w:lang w:bidi="fa-IR"/>
          <w:color w:val="111111"/>
          <w:sz w:val="28"/>
          <w:szCs w:val="28"/>
          <w:rtl/>
        </w:rPr>
        <w:t xml:space="preserve">خط: نستعلیق و شکسته، بی کا، تا: قرن ۱۳؛ افتادگی: آغاز؛ کاغذ: صنعتی نخودی و نیلی آهار مهره، با ته نقش شیر و خورش ،جلد: مقوای سفید، عطف میشن زیتونی، ٣گ (۷۷ر-۷۹ر)،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۲۱/۴سم [ف: ۲۹/۱ - ۱۸۱]</w:t>
      </w:r>
    </w:p>
    <w:p>
      <w:pPr>
        <w:pStyle w:val="BookText"/>
      </w:pPr>
      <w:r>
        <w:rPr>
          <w:rFonts w:ascii="IRNazanin" w:hAnsi="IRNazanin" w:eastAsia="IRNazanin" w:cs="IRNazanin"/>
          <w:lang w:bidi="fa-IR"/>
          <w:color w:val="111111"/>
          <w:sz w:val="28"/>
          <w:szCs w:val="28"/>
          <w:rtl/>
        </w:rPr>
        <w:t xml:space="preserve">۱۰۵۸. تهران؛ مجلس؛ شماره نسخه: ۸۸۶۸/۲۴</w:t>
      </w:r>
    </w:p>
    <w:p>
      <w:pPr>
        <w:pStyle w:val="BookText"/>
      </w:pPr>
      <w:r>
        <w:rPr>
          <w:rFonts w:ascii="IRNazanin" w:hAnsi="IRNazanin" w:eastAsia="IRNazanin" w:cs="IRNazanin"/>
          <w:lang w:bidi="fa-IR"/>
          <w:color w:val="111111"/>
          <w:sz w:val="28"/>
          <w:szCs w:val="28"/>
          <w:rtl/>
        </w:rPr>
        <w:t xml:space="preserve">آغاز: این قصیده را مرحوم آقای میرزا تقی در مرثیه مرحوم میرزا معصوم پسر کوچک مرحوم میرزا بزرگ قایم مقام که وکیل نایب السلطنه مبرور بودند گفته اند و به آذربایجان فرستادند.باد سحر ای شب هجران*** تیره تر از آه من ز هجر حسبیبان؛ انجام: هم تو گویم که خاطرات بپذیرد*** خاطر ویران نگوید الا ویران قصیده؛ خط: نستعلیق و شکسته، بی کا، تا: قرن ۱۳؛ کاغذ: صنعتی نخودی و نیلی آهار مهره، با ته نقش شیر و خورش، جلد: مقوای سفید، عطف میشن ،زیتونی ۲گ (۸۳ر -۸۴)،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۲۱/۴سم [ف: 29/1- 181]</w:t>
      </w:r>
    </w:p>
    <w:p>
      <w:pPr>
        <w:pStyle w:val="BookText"/>
      </w:pPr>
      <w:r>
        <w:rPr>
          <w:rFonts w:ascii="IRNazanin" w:hAnsi="IRNazanin" w:eastAsia="IRNazanin" w:cs="IRNazanin"/>
          <w:lang w:bidi="fa-IR"/>
          <w:color w:val="111111"/>
          <w:sz w:val="28"/>
          <w:szCs w:val="28"/>
          <w:rtl/>
        </w:rPr>
        <w:t xml:space="preserve">۱۰۵۹. تهران؛ مجلس؛ شماره نسخه: ۸۸۶۸/۲۵</w:t>
      </w:r>
    </w:p>
    <w:p>
      <w:pPr>
        <w:pStyle w:val="BookText"/>
      </w:pPr>
      <w:r>
        <w:rPr>
          <w:rFonts w:ascii="IRNazanin" w:hAnsi="IRNazanin" w:eastAsia="IRNazanin" w:cs="IRNazanin"/>
          <w:lang w:bidi="fa-IR"/>
          <w:color w:val="111111"/>
          <w:sz w:val="28"/>
          <w:szCs w:val="28"/>
          <w:rtl/>
        </w:rPr>
        <w:t xml:space="preserve">آغاز: قصیده از مرحوم آقای میرزا تقی رحمة الله عليه است. وزید
</w:t>
      </w:r>
    </w:p>
    <w:p>
      <w:pPr>
        <w:sectPr>
          <w:footerReference w:type="default" r:id="rId8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باد بهاری به اعتدال مزاج ***که باغ سخت علیل است و راغ صعب علاج؛ انجام: بجمله رسته گیتی بگشتم و دیدم *** سخن فساد متاع و هنر کساد رواج</w:t>
      </w:r>
    </w:p>
    <w:p>
      <w:pPr>
        <w:pStyle w:val="BookText"/>
      </w:pPr>
      <w:r>
        <w:rPr>
          <w:rFonts w:ascii="IRNazanin" w:hAnsi="IRNazanin" w:eastAsia="IRNazanin" w:cs="IRNazanin"/>
          <w:lang w:bidi="fa-IR"/>
          <w:color w:val="111111"/>
          <w:sz w:val="28"/>
          <w:szCs w:val="28"/>
          <w:rtl/>
        </w:rPr>
        <w:t xml:space="preserve">قصیده؛ خط: نستعلیق و شکسته، بی کا، تا: قرن ۱۳؛ کاغذ: صنعتی نخودی و نیلی آهار مهره، با ته نقش شیر و خورش ،جلد: مقوای سفید، عطف میشن زیتونی، ۲گ (۸۴ پ-۸۵پ)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۲۱/۴ سم [ف: ۲۹/۱ - ۱۸۲]</w:t>
      </w:r>
    </w:p>
    <w:p>
      <w:pPr>
        <w:pStyle w:val="BookText"/>
      </w:pPr>
      <w:r>
        <w:rPr>
          <w:rFonts w:ascii="Times New Roman" w:hAnsi="Times New Roman" w:eastAsia="Times New Roman" w:cs="Times New Roman"/>
          <w:lang w:val="en-US" w:bidi="en-US"/>
          <w:color w:val="111111"/>
          <w:sz w:val="28"/>
          <w:szCs w:val="28"/>
          <w:rtl/>
        </w:rPr>
        <w:t xml:space="preserve">1060.</w:t>
      </w:r>
    </w:p>
    <w:p>
      <w:pPr>
        <w:pStyle w:val="BookText"/>
      </w:pPr>
      <w:r>
        <w:rPr>
          <w:rFonts w:ascii="IRNazanin" w:hAnsi="IRNazanin" w:eastAsia="IRNazanin" w:cs="IRNazanin"/>
          <w:lang w:bidi="fa-IR"/>
          <w:color w:val="111111"/>
          <w:sz w:val="28"/>
          <w:szCs w:val="28"/>
          <w:rtl/>
        </w:rPr>
        <w:t xml:space="preserve">مشهد؛ گوهر شاد؛ شماره نسخه: ۱۱۲۳/۱</w:t>
      </w:r>
    </w:p>
    <w:p>
      <w:pPr>
        <w:pStyle w:val="BookText"/>
      </w:pPr>
      <w:r>
        <w:rPr>
          <w:rFonts w:ascii="IRNazanin" w:hAnsi="IRNazanin" w:eastAsia="IRNazanin" w:cs="IRNazanin"/>
          <w:lang w:bidi="fa-IR"/>
          <w:color w:val="111111"/>
          <w:sz w:val="28"/>
          <w:szCs w:val="28"/>
          <w:rtl/>
        </w:rPr>
        <w:t xml:space="preserve">ابیاتی است گزین شده از سعدی، نظیری نیشابوری، نشاط اصفهانی، آصفی هروی، جمال الدین، میرصدر طهرانی، ضمیری اصفهانی، فتحی اردستانی، نوائی اصفهانی، علینقی کمره فهیـمی طوسی، سلمان ساوجی، قاضی شیخ الدین ساوجی، حسن قمی، حکیم سعیدخان قمی، سلطان قمی، صائب، میر مقبول قمی، شرف قزوینی، هلالی جغتائی ،عاشق ،حافظ ،عبرت، رفیعی کاشـی، داعی اصفهانی،مولوی، وحشی بافقی و ....؛ خط: شکسته نستعـلیق خوش، بی کا ،تا: قرن ۱۳؛ بدون خطبه و خاتمه؛ کاغذ: هندی ،جلد: تيماج لایه ای قهوه ای، ۱۵گ (۱-۱۵)، ۱۳ سطر (6</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۱۷/۵سم [ف: ۳ - ۱۵۶۲]</w:t>
      </w:r>
    </w:p>
    <w:p>
      <w:pPr>
        <w:pStyle w:val="BookText"/>
      </w:pPr>
      <w:r>
        <w:rPr>
          <w:rFonts w:ascii="IRNazanin" w:hAnsi="IRNazanin" w:eastAsia="IRNazanin" w:cs="IRNazanin"/>
          <w:lang w:bidi="fa-IR"/>
          <w:color w:val="111111"/>
          <w:sz w:val="28"/>
          <w:szCs w:val="28"/>
          <w:rtl/>
        </w:rPr>
        <w:t xml:space="preserve">۱۰۶۱. تهران؛ مجلس؛ شماره نسخه: ۱۰۱۰۳/۱۰</w:t>
      </w:r>
    </w:p>
    <w:p>
      <w:pPr>
        <w:pStyle w:val="BookText"/>
      </w:pPr>
      <w:r>
        <w:rPr>
          <w:rFonts w:ascii="IRNazanin" w:hAnsi="IRNazanin" w:eastAsia="IRNazanin" w:cs="IRNazanin"/>
          <w:lang w:bidi="fa-IR"/>
          <w:color w:val="111111"/>
          <w:sz w:val="28"/>
          <w:szCs w:val="28"/>
          <w:rtl/>
        </w:rPr>
        <w:t xml:space="preserve">آغاز: آغاز غزل: ذاتی که نه پنهان نه پدیدار بر آمد *** مدرک نه به چشم و نه به پندار بر آمد / بی نام و نشان شد ***نی جسم نه جان شد؛ انجام: در حاشیه ... فسواه من تباكى او بكى عندهـا اذ وصلها من جاذبة</w:t>
      </w:r>
    </w:p>
    <w:p>
      <w:pPr>
        <w:pStyle w:val="BookText"/>
      </w:pPr>
      <w:r>
        <w:rPr>
          <w:rFonts w:ascii="IRNazanin" w:hAnsi="IRNazanin" w:eastAsia="IRNazanin" w:cs="IRNazanin"/>
          <w:lang w:bidi="fa-IR"/>
          <w:color w:val="111111"/>
          <w:sz w:val="28"/>
          <w:szCs w:val="28"/>
          <w:rtl/>
        </w:rPr>
        <w:t xml:space="preserve">اشعاری در رد اشعار شیخ عطار. در نسخه حاضر آمده: غزلی که جناب استادی آقا میرزا حسین ... (ناخواناست) سلمه الله تعالى در رد عزل شیخ عطار فرموده بنابر استدعای حاجی صادق خیالی که از مشاهیر جهله صوفیه بود؛ خط: نستعلیق، بی کا، تا: قرن ۱۳، ۴ص (۲۸-۲۵)،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۳۲ - ۱۲۶]</w:t>
      </w:r>
    </w:p>
    <w:p>
      <w:pPr>
        <w:pStyle w:val="BookText"/>
      </w:pPr>
      <w:r>
        <w:rPr>
          <w:rFonts w:ascii="IRNazanin" w:hAnsi="IRNazanin" w:eastAsia="IRNazanin" w:cs="IRNazanin"/>
          <w:lang w:bidi="fa-IR"/>
          <w:color w:val="111111"/>
          <w:sz w:val="28"/>
          <w:szCs w:val="28"/>
          <w:rtl/>
        </w:rPr>
        <w:t xml:space="preserve">۱۰۶۲ . قم؛ مرکز احیاء؛ شماره نسخه: ۳۷۸۴</w:t>
      </w:r>
    </w:p>
    <w:p>
      <w:pPr>
        <w:pStyle w:val="BookText"/>
      </w:pPr>
      <w:r>
        <w:rPr>
          <w:rFonts w:ascii="IRNazanin" w:hAnsi="IRNazanin" w:eastAsia="IRNazanin" w:cs="IRNazanin"/>
          <w:lang w:bidi="fa-IR"/>
          <w:color w:val="111111"/>
          <w:sz w:val="28"/>
          <w:szCs w:val="28"/>
          <w:rtl/>
        </w:rPr>
        <w:t xml:space="preserve">آغاز: چون در بیان کار تکلم کنی دلا *** اول بنام حضرت بیچـون كن ابتدا / آن خالقی که هر دو جهان را نثار کرد*** برخاک پای سيد كونين مصطفى؛ انجام: حشر ما کن اندر آن عالی مقام*** بارسول و آل پاکش و السلام</w:t>
      </w:r>
    </w:p>
    <w:p>
      <w:pPr>
        <w:pStyle w:val="BookText"/>
      </w:pPr>
      <w:r>
        <w:rPr>
          <w:rFonts w:ascii="IRNazanin" w:hAnsi="IRNazanin" w:eastAsia="IRNazanin" w:cs="IRNazanin"/>
          <w:lang w:bidi="fa-IR"/>
          <w:color w:val="111111"/>
          <w:sz w:val="28"/>
          <w:szCs w:val="28"/>
          <w:rtl/>
        </w:rPr>
        <w:t xml:space="preserve">دارای اشعاری که بیشتر در مدح ائمه (علیهم السّلام) سروده شده است از شاعرانی بنام: ثنائی آتشی ،شوقی، ولایت نامه ،نسیمی، حافظ، رضا ،انوری ،سلیمی ،نعمتی ؛خط: نستعلیق، بی کا، تا: قرن 12و ۱۳ق؛ ۴۷گ، ۱۶ سطر، اندازه: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[محدث ارموی مخ: 1- 516]</w:t>
      </w:r>
    </w:p>
    <w:p>
      <w:pPr>
        <w:pStyle w:val="BookText"/>
      </w:pPr>
      <w:r>
        <w:rPr>
          <w:rFonts w:ascii="IRNazanin" w:hAnsi="IRNazanin" w:eastAsia="IRNazanin" w:cs="IRNazanin"/>
          <w:lang w:bidi="fa-IR"/>
          <w:color w:val="111111"/>
          <w:sz w:val="28"/>
          <w:szCs w:val="28"/>
          <w:rtl/>
        </w:rPr>
        <w:t xml:space="preserve">۱۰۶۳ . مشهد؛ رضوی؛ شماره نسخه: ۲۵۸۶۷</w:t>
      </w:r>
    </w:p>
    <w:p>
      <w:pPr>
        <w:pStyle w:val="BookText"/>
      </w:pPr>
      <w:r>
        <w:rPr>
          <w:rFonts w:ascii="IRNazanin" w:hAnsi="IRNazanin" w:eastAsia="IRNazanin" w:cs="IRNazanin"/>
          <w:lang w:bidi="fa-IR"/>
          <w:color w:val="111111"/>
          <w:sz w:val="28"/>
          <w:szCs w:val="28"/>
          <w:rtl/>
        </w:rPr>
        <w:t xml:space="preserve">آغاز: چوشام حجر صبحم گشته است؛ انجام: مغز بادام  به می غلطیده</w:t>
      </w:r>
    </w:p>
    <w:p>
      <w:pPr>
        <w:pStyle w:val="BookText"/>
      </w:pPr>
      <w:r>
        <w:rPr>
          <w:rFonts w:ascii="IRNazanin" w:hAnsi="IRNazanin" w:eastAsia="IRNazanin" w:cs="IRNazanin"/>
          <w:lang w:bidi="fa-IR"/>
          <w:color w:val="111111"/>
          <w:sz w:val="28"/>
          <w:szCs w:val="28"/>
          <w:rtl/>
        </w:rPr>
        <w:t xml:space="preserve">ناظم: تفرشی (مولوی)، صادق و دیگران؛ خط: نستعلیق شکسـته، بی کا، تا: قرن ۱۳؛ کاغذ: نخودی؛ سرخی ،جلد: تیماج یکلا [رایانه]</w:t>
      </w:r>
    </w:p>
    <w:p>
      <w:pPr>
        <w:pStyle w:val="BookText"/>
      </w:pPr>
      <w:r>
        <w:rPr>
          <w:rFonts w:ascii="IRNazanin" w:hAnsi="IRNazanin" w:eastAsia="IRNazanin" w:cs="IRNazanin"/>
          <w:lang w:bidi="fa-IR"/>
          <w:color w:val="111111"/>
          <w:sz w:val="28"/>
          <w:szCs w:val="28"/>
          <w:rtl/>
        </w:rPr>
        <w:t xml:space="preserve">۱۰۶۴. مشهد؛ رضوی؛ شماره نسخه: ۱۶۲۱۶</w:t>
      </w:r>
    </w:p>
    <w:p>
      <w:pPr>
        <w:pStyle w:val="BookText"/>
      </w:pPr>
      <w:r>
        <w:rPr>
          <w:rFonts w:ascii="IRNazanin" w:hAnsi="IRNazanin" w:eastAsia="IRNazanin" w:cs="IRNazanin"/>
          <w:lang w:bidi="fa-IR"/>
          <w:color w:val="111111"/>
          <w:sz w:val="28"/>
          <w:szCs w:val="28"/>
          <w:rtl/>
        </w:rPr>
        <w:t xml:space="preserve">آغاز: هو الله سبحانه و تعالی، پس بگردید و بگردد روزگار؛</w:t>
      </w:r>
    </w:p>
    <w:p>
      <w:pPr>
        <w:pStyle w:val="BookText"/>
      </w:pPr>
      <w:r>
        <w:rPr>
          <w:rFonts w:ascii="IRNazanin" w:hAnsi="IRNazanin" w:eastAsia="IRNazanin" w:cs="IRNazanin"/>
          <w:lang w:bidi="fa-IR"/>
          <w:color w:val="111111"/>
          <w:sz w:val="28"/>
          <w:szCs w:val="28"/>
          <w:rtl/>
        </w:rPr>
        <w:t xml:space="preserve">انجام: تا جفا با عاشقان کمتر کنند ،با وفا کیشان بهتر سر کنند.</w:t>
      </w:r>
    </w:p>
    <w:p>
      <w:pPr>
        <w:pStyle w:val="BookText"/>
      </w:pPr>
      <w:r>
        <w:rPr>
          <w:rFonts w:ascii="IRNazanin" w:hAnsi="IRNazanin" w:eastAsia="IRNazanin" w:cs="IRNazanin"/>
          <w:lang w:bidi="fa-IR"/>
          <w:color w:val="111111"/>
          <w:sz w:val="28"/>
          <w:szCs w:val="28"/>
          <w:rtl/>
        </w:rPr>
        <w:t xml:space="preserve">نسخه ای است بی سر و ته مشتمل بر مثنوی و غزلیات و قطعه و رباعی و مراثی در سوگ شهدای عاشورا،از سعدی، جامی، محتشم ،ساکت، میرزا صادقی و شوقی؛ خط: شکسته نستعلیق خوش، بی کا، تا: اواخر قرن ۱۲ و اوایل قرن ۱۳؛ واگذاری بنیاد مستضعفان در شهریور ماه ۱۳۶۷ ،۴۵گ مختلف السطر، اندازه: 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۱۷ - ۴۵]</w:t>
      </w:r>
    </w:p>
    <w:p>
      <w:pPr>
        <w:pStyle w:val="BookText"/>
      </w:pPr>
      <w:r>
        <w:rPr>
          <w:rFonts w:ascii="IRNazanin" w:hAnsi="IRNazanin" w:eastAsia="IRNazanin" w:cs="IRNazanin"/>
          <w:lang w:bidi="fa-IR"/>
          <w:color w:val="111111"/>
          <w:sz w:val="28"/>
          <w:szCs w:val="28"/>
          <w:rtl/>
        </w:rPr>
        <w:t xml:space="preserve">۱۰۶۵ . مشهد؛ رضوی؛ شماره نسخه: ۲۳۰۷۹</w:t>
      </w:r>
    </w:p>
    <w:p>
      <w:pPr>
        <w:pStyle w:val="BookText"/>
      </w:pPr>
      <w:r>
        <w:rPr>
          <w:rFonts w:ascii="IRNazanin" w:hAnsi="IRNazanin" w:eastAsia="IRNazanin" w:cs="IRNazanin"/>
          <w:lang w:bidi="fa-IR"/>
          <w:color w:val="111111"/>
          <w:sz w:val="28"/>
          <w:szCs w:val="28"/>
          <w:rtl/>
        </w:rPr>
        <w:t xml:space="preserve">آغاز: برندارم دل ز مهرت دلبرا تا زنده ام؛ انجام: نظری از لطف سوی ما باید کرد</w:t>
      </w:r>
    </w:p>
    <w:p>
      <w:pPr>
        <w:pStyle w:val="BookText"/>
      </w:pPr>
      <w:r>
        <w:rPr>
          <w:rFonts w:ascii="IRNazanin" w:hAnsi="IRNazanin" w:eastAsia="IRNazanin" w:cs="IRNazanin"/>
          <w:lang w:bidi="fa-IR"/>
          <w:color w:val="111111"/>
          <w:sz w:val="28"/>
          <w:szCs w:val="28"/>
          <w:rtl/>
        </w:rPr>
        <w:t xml:space="preserve">گزیده اشعاری است که ظاهراً برای استفاده شخصی در دفتر یادداشت نوشته شده است. بسیاری از اشعار از حافظ و سعدی اند و بقیه بیشتر تک بیت هایی از دیگر شاعران. کاتب به نام همه شاعران اشاره نکرده و به نام این شعراء اشاره شده است: قطاری،فطرت ،فنایی ،مشرقی، نزاری ،بیانی ،خواجو، عماد فقيه، وحشی ،ناصری ،همایی، رضی الدین ،شاهدی، صفی، بنایی، عطار، ،نظیری ،آصفی، حیدر ،قتالی ،طلحه ،خیام؛ خط: نستعلیق شکسته، بی کا، تا: قرن ۱۳؛ افتادگی: آغاز و انجام؛ كاغذ: الوان، جلد: کالینگور [رایانه ]</w:t>
      </w:r>
    </w:p>
    <w:p>
      <w:pPr>
        <w:pStyle w:val="BookText"/>
      </w:pPr>
      <w:r>
        <w:rPr>
          <w:rFonts w:ascii="IRNazanin" w:hAnsi="IRNazanin" w:eastAsia="IRNazanin" w:cs="IRNazanin"/>
          <w:lang w:bidi="fa-IR"/>
          <w:color w:val="111111"/>
          <w:sz w:val="28"/>
          <w:szCs w:val="28"/>
          <w:rtl/>
        </w:rPr>
        <w:t xml:space="preserve">۱۰۶۶ . تهران؛ دانشگاه؛ شماره نسخه: ۱۰۶۹۸</w:t>
      </w:r>
    </w:p>
    <w:p>
      <w:pPr>
        <w:pStyle w:val="BookText"/>
      </w:pPr>
      <w:r>
        <w:rPr>
          <w:rFonts w:ascii="IRNazanin" w:hAnsi="IRNazanin" w:eastAsia="IRNazanin" w:cs="IRNazanin"/>
          <w:lang w:bidi="fa-IR"/>
          <w:color w:val="111111"/>
          <w:sz w:val="28"/>
          <w:szCs w:val="28"/>
          <w:rtl/>
        </w:rPr>
        <w:t xml:space="preserve">اشعار مختلفی در قالب های مثنوی و قطعه و غزل و قصیده و رباعیات و فرد ... و از شاعران متفاوتی است که نام آنها  در پی خواهد آمد. از آن جا که در بخشی از این جنگ شاعران به ترتیب شهرها مرتب شده اند احتمال دارد تذکره ای باشد اما به خاطر افتادگی های فراوان نسخه با وجود جستجو و مقابله فراوان به نتیجه ای نرسید. اشعار متن: بخشی از فرهاد و شیرین وحشی بافقی (۳ ر - ۱۴پ) ،آغاز: «بیا ای کوهکن با تیشه تیز *** که دارد کار شیرین شکرریز / چه شیرینی ترا شد کارفرمای *** بیاخوش پای کوبان پیش نه پای/ چه میلی کز درش سیلی درآمد *** از آن نامش به جان میلی در آمد/ از آن سیلش که در رفت از ره گوش*** نگون شد سقف طاق خانه موش»، بیرام خان، سلطان ابویزید (۱۵ر)، انیسی (مثنوی ،۱۵ ر-۱۶پ) ،سلیم، شاه شجاع، شانی ابويماق، محمد مؤمن ميرزا خلف بدیع الزمان (17پ-۱۸ر متن و حاشیه)، قسمت نامه میراث پدر با همشیره به عنوان مطایبه از میلی (۱۸ پ -۱۹ر)، آغاز: «همشیره خرج ماتم بابا از آن تو *** صبر از من و تردد و غوقا از آن»،تو هجو از وحشی (۱۹ر-۱۹پ) خاقانی (۲۶ ر -۲۷ر ) هجویات انوری، اشعار جامی شامل ابیات مختلف او به همراه گزیده ای از مثنوی های سبحة الابرار، جام جم، يوسف و زلیخا، سلسلة الذهب، تحفة الابرار، سلامان و ابسال، خردنامه اسکندری (۱۹پ - ۲۵پ و ۲۹پ-۷۵ر)، مثنوی در هزل از اثر شیرازی (۷۵ ر - ۷۶ پ)، ابن نصوح، مولانا اهلی، پرتوی،
</w:t>
      </w:r>
    </w:p>
    <w:p>
      <w:pPr>
        <w:sectPr>
          <w:footerReference w:type="default" r:id="rId8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بسحق، پور فریدون ،بیکسی ،تجلی ،زمانی، اشعار سعدی (۷۸پ -۱۰۱پ)، شامل: اشعار پراکنده، قطعات گلستان، از غزلیات و قطعات سعدی، منتخب از بوستان، طرزی افشار (۱۰۴ر - ۱۰۶ر)، عرفی، بیگدلی ،افشار، قدسی طوسی ،کلیم، حافظ، خاقانی، امیر صالح،ملک جامی ،بیگلدلی ،اصفهانی ،شفای، فیضی دکنی،  صاحب شیرازی ،آزر، دامی اصفهانی (۱۰۷ر) ،حافظ، صیقلی، شاه شجاع، کلیم، نظم و نثر از کلام میرزا فصیحی (111ر- ۱۱۳ر)، حاشیه: خطائی، اکبر شاه (۱۵ر)، امیر صالح ،عرشی، فنایی (۱۶ر)، ملا وارسته چکنی ،جلالی، خواری تبریزی ،شریف تبریزی (۱۸ر) ،صایب ،طوفی، صبوری، بیرام خان ،جاهی، آهـی، انیسی ابن یمین، عماد لر ،میلی ،وفایی ،هلالی، راغب، قاسم انوار، ملاعبدالباقی (۲۰پ) ،کاظما ،مغربی ،فنایی ،مقیمی، همایی ،عاشق ،کلیم، کمال اسمعیل، مشتاق (۲۲ پ -۲۴ پ)، مشرب ،محتشم ،سعدی ،میرداماد ،وحشی ،شوقی، فردوسی، خاقان، سلطان یا یزید، شیخ ابوالحسن (۲۷ ر) ، وصالی ،ظهوری، بیخودی ،بدرالدین، کاتبی ابوالفرج سجزی (۴۰ پ)، رکن الدین، شاه عـلاء الدوله ،یمینی، میرزا محمد سبزواری ،کمالی ،فگاری، حیدری ،شاهی، میرزا بدیع الزمان، میرزا حیرت الله، عمادالدین فقـیه، قاسمی، فلک، سیف الدین ،نوعی تاج الدین، شاه سنجاق، مولانا هاتفی، شیخ آذری ،حالی ،عاشقی، فردوسی، فرخی، عنصری، عسجدی، انوری، نظامی، سعدی، فردوسی، قصاید اسدی در مدح حضرت امیر ،فنایی، قدسی (۴۸)ر)، رباعیات سید محمد جامه باف، میر محمدمحسن، مشرقی، سید حسن ،(۴۹ ر) سنایی، شیونی از قاین، ولی از قاین، از منتخبات مولانا اوحدی از غزل و رباعی و فرد و قصیده، مثنوی مصباح الارواح، ابوبکر (۵۲ پ)، شـیخ ابو حامد ،باقی بیانی، خاجو (خواجو) ،رشدی، رفیع الدین ، سید شاه نعمت الله، مولانا شرف الدين طيان ،(۵۴ر)، عماد فقیه، مظفر، مولانا وحشی کرمانی، مثنوی خلد برین، هاشمی از مثنوی مظهر الآثار ،عسجدی، طلحه؛ رباعیات ابوسعید ابوالخیر (۵۸ر) ، ابوالفـرج رونی، ناصری خیام (۵۹ر) ،حیدر کلیچه ،پز ،خالدی، زلالی ،(۶۸ر) ،صبوحی ،طاهری ،غزالی ،مظفر ،نادی، کمال اسمعيل، درویش مقصود تیرگر مشهور به شیخ الرباعی ،ناظم، وصفی، بزمی ،حزینی ،روغنی ،سیری ،سبحانی ،صدقی ،میر عبدالحق مروی، غیاثی، میرابوالقاسم فندرسکی، میرمحمد مؤمن، میرمرادی ،نظام، فخرالدین اسعد، لامعی (۷۱ر)، پسر لامعی، یوسف، شهودی لاهیجانی، طالب لاهیجانی، فخرالدوله عمیدالدین، فدائی لاهیجانی، میر فغفور لاهیجانی، فیاض لاهیجانی، قراری گیلانی، قامتی گیلانی، مفخی رشتی، نادم لاهیجان، بابا نصیبی گیلانی، قاضی یحیی، ابویزید محمد الغضایری، طبعی قزوینی (۷۴ پ)، ملا پیر جمال اردستانی، تأثیر اصفهانی، امیرتقی شهیر به میرشاه اصفهانی، امینای نجفی، شمس الدین محمد، فضولی، سید محـمد نجفی، شیخ محمد جبل عامل (۷۵ر)، آن چه از شعرای اصفهان نوشته می شود و شعرای آن جا هفتاد و هفت نفر می باشند: ابدال، آیتی، اسیر، امیر بک ماربین، فوجی اصفهانی، میرزا باقر از سادات اصفهان، ملاپیر جمال الدین اردستانی (۷۵پ) ،خواجه جلال ورکانی، خواجه حبیب الله حزنی، حسابی (؟)، حلمی، خاتمی ،داعی، ذوقی اردستانی ،راضی نقاش، رجایی از سلسله کمال اسمعیل ،(۷۸ر)، رضی، میرزا سیدرضا، محمدرضا پاشاه، رفیع الدین لنبانی، ساقی ،یزدی ،سالک، سپهری اردستانی ،سراج، حکاک، سعدای اردستانی، میرزا سلمان (۷۹ر)، آن چه از شعرای فارس نوشته می شود ان شاء الله تعالى و تقدس (۷۷ر)، آن چه افراد متفرقه نوشته می شود ان شاء الله از شیراز و ولایت های دیگر (۷۹ پ)، آقا شاهکی از قریه در زنان، شاه نظر قمشه ای متولی روضه شاه رضا، شجاع الدین محمود، قیدی شیرازی، لسانی شیرازی، شرف الدین فضل الله (۷۹ پ)، شعیب میمه ای از قری جوشقان، شفایی، مجدالدین همگر ،الهی، انوار، میر عقیل بزمی، محسن بک رشکی، برندق بخارایی، عمعق بخارایی ،شکیبی، شوکتی، صادقا، صبری زواره ای ،اردستانی، میر صبر، ملا محمد صوفی، ضمیری ،(۸۳ر) ،میرزا نور الله ضیاء از قریه کفران روی دشتين من بلوكات اصفهان، طاهر از ناین (۸۵پ)، ظهیرالدین، عشرتی ماربین، قاضی قلندر اصفهانی، فتحی اردستانی، فریدالدین احوال اصفهانی، محمدرضا بیگ فکری، قاسمی اردستانی، میر شاه قوام الدین، میرزا ابوالقاسم کامی از سادات گلستانه، کلامی، کمال الدین اسماعیل ،شرمی، ملا عبدالله شهابی، شیخ شهاب سهروردی، صغیری ولد مولانا ملک دیلمی، میرزا یوسف ضیاء، طبعی (۹۱پ)، عزیزی تبریزی، عبید زاکانی ،فروغی، کاکا ،نرگسی، مالک اصلش از دیلمان ،ملامراد، واعظ ميرزا رفیع الدین محمد، میرزا محمد طاهر وحید، پارک، میرزا محمد یوسف برادر ميرزا طاهر وحید (۹۳پ)، دارالمؤمنین [کاشان] از اقلیم چهارم آنچه از شعرای آن جا نوشته می شود چهل و سه نفر می باشد: ادهم، قاضی اسد، بابا افضل، خواجه نصیر (۹۴ر)، خواجه محمد امین کوسج، باقر مشهور به باقر خواجه، باقی کاشانی، تجلی کاشانی، تسلیمی، میرزا علی تشبیهی، حاتم میر حسینی طباطبایی، ملا مقيم حلمی ،حیاتی، حیدر طهماسبی، خصالی، میر هادی رمزی، میر محمد علی سالک، عبدالغفار سالم، مير محمد هاشم سنجر، شجاع (۹۷پ)، مصاحب نایینی (۹۹پ)، نیکی زین الدین خلف على حلاج اصفهانی (۱۰۱ر) ، واحد ميرزا شاه نقى، واهب میرزا حسن ،شریف ،شعوری، ضیاء الدین محمد، عز الدين محمود ،عشقی ،عروزی ،فخری ،فهمی، ملا محسن فیض کاشانی، ابوطالب کلیم کاشانی، مایلی کاشانی، محتشم کاشانی، عتابی، نجیب الدین جربادقانی، تصنیفی خوانساری، آقا حسین خوانساری، خضری خوانساری، زلالی خوانساری، شوخی، حسین صبوحی، شیخ علی نقی کمره ای کاشانی (۱۰۵ر) آن چه از شعرای ری نوشته می شود ان شاء الله تعالى به شرط حیات: امیدی طهرانی (۱۰۶پ)، ابوالمفاخر فاخری، امام فخر رازی، فکری ،فهمی ،قربی، کمال الدین بندار، لطفی طهرانی، میر نصیر، شیخ
</w:t>
      </w:r>
    </w:p>
    <w:p>
      <w:pPr>
        <w:sectPr>
          <w:footerReference w:type="default" r:id="rId8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نجم الدین دايه، محمد شریف هجری (۱۰۸ر)، آن چه از شعرای ساوه می شود، شعرای آن جا چهارده نفر می باشند: آفتابی، جدایی ،حریفی ،جعفری، امیر زنده دل، سلمان ساوجی، سوزی، میر مستوفی، صلاح الدین صرفی، ظریفی، عهدی، قاضی مسـیح الدین ،مقصدی، شیخ نجم الدين يعقوب (۱۱۱ پ)، دارالمؤمنین قم. شعرای آن جا شش (؟) نفرند: میر محمود اصلی، انصاری ،ثابت تفرشی، جلال جعفر فراهانی ،(۱۱۲ر)، میر حضوری، حیرانی قمی، حسن، میرزا ابوالحسن فراهانی، حکیم سعید خان، داعی انجدانی، در کی، قاضی رکن الدین، سلطان محمد قمی، شاه میرتقی، بابا شهیدی، شمس الدین (۱۱۵ر) ،شمسای صفیر،شاه طـاهر انجدانی، علائی آشتیانی ،غضنفر، میر عبدالغنی تفرشی، ابوتراب انجدانی فرقتی، کاظم قمی، گلخنی قمی، لوائی مشهور به بابا سلطان (۱۱۷ر)، خلقی میر محمد یوسف، شاه رضا خلف شاه بـهاء الدوله ،سایل، شاه پور از اولاد مولانا امیدی (۱۱۹پ)، میر والـی ،وکیل ،هاشمی هجری (۱۲۱ر)، آن چه از شعرای قزوین نوشته می شود آن چهل نفر می باشند: ابو عمر ابهری، میرزا محمد، قاضـی احمد، ادهم بیگ ولد خواجه بیگ، میرزا اسد بیگ، اسیـری اسمش قاضی خلف قاضی مسعود (۱۲۱پ)؛ خط: نستعلیق، بی کا، تا: قرن ۱۳؛ افتادگی: آغاز و وسط و انجام؛ به خط چندین نفر، در متن و حاشیه نوشته شده، در برگ آغاز و برگ ۹۲ر و ۱۲۲ر چند نقاشی با مداد، دو برگ اول چند داستان و حکایت که یکی از آنها به خط میرزا ابراهیم است، متن برگ های ۹۰پ-۹۷پ را بعد از حاشیه های نسخه نوشته اند، در حاشیه بعضی از برگ ها مانند ۲۸ پ و ۶۸ پ نظرات انتقادی جالبی از کاتب نسخه نوشته شـده است؛ جلد: مقوای آبی، عطف مشکی، گوشه ها سرخ،۱۲۲گ، مختلف السطر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۲۰ - ۲۰۸]</w:t>
      </w:r>
    </w:p>
    <w:p>
      <w:pPr>
        <w:pStyle w:val="BookText"/>
      </w:pPr>
      <w:r>
        <w:rPr>
          <w:rFonts w:ascii="IRNazanin" w:hAnsi="IRNazanin" w:eastAsia="IRNazanin" w:cs="IRNazanin"/>
          <w:lang w:bidi="fa-IR"/>
          <w:color w:val="111111"/>
          <w:sz w:val="28"/>
          <w:szCs w:val="28"/>
          <w:rtl/>
        </w:rPr>
        <w:t xml:space="preserve">۱۰۶۷. تهران؛ مجلس؛ شماره نسخه: ۴۳۲/۷ کر</w:t>
      </w:r>
    </w:p>
    <w:p>
      <w:pPr>
        <w:pStyle w:val="BookText"/>
      </w:pPr>
      <w:r>
        <w:rPr>
          <w:rFonts w:ascii="IRNazanin" w:hAnsi="IRNazanin" w:eastAsia="IRNazanin" w:cs="IRNazanin"/>
          <w:lang w:bidi="fa-IR"/>
          <w:color w:val="111111"/>
          <w:sz w:val="28"/>
          <w:szCs w:val="28"/>
          <w:rtl/>
        </w:rPr>
        <w:t xml:space="preserve">آغاز: گر دهدم داور دادار دم*** در رسد عطر عطا و کرم / گر مدام احمد مرسل دهد *** او دهدم مدح امام امم؛ انجام: مادح ار اصل و حور طهور </w:t>
      </w:r>
      <w:r>
        <w:rPr>
          <w:rFonts w:ascii="IRNazanin" w:hAnsi="IRNazanin" w:eastAsia="IRNazanin" w:cs="IRNazanin"/>
          <w:lang w:bidi="fa-IR"/>
          <w:color w:val="111111"/>
          <w:sz w:val="28"/>
          <w:szCs w:val="28"/>
          <w:b w:val="1"/>
          <w:bCs w:val="1"/>
          <w:i w:val="1"/>
          <w:iCs w:val="1"/>
          <w:rtl/>
        </w:rPr>
        <w:t xml:space="preserve">حاسد او همدم درد و الم / دهم او را در عدد سال او</w:t>
      </w:r>
      <w:r>
        <w:rPr>
          <w:rFonts w:ascii="IRNazanin" w:hAnsi="IRNazanin" w:eastAsia="IRNazanin" w:cs="IRNazanin"/>
          <w:lang w:bidi="fa-IR"/>
          <w:color w:val="111111"/>
          <w:sz w:val="28"/>
          <w:szCs w:val="28"/>
          <w:rtl/>
        </w:rPr>
        <w:t xml:space="preserve"> کرده که ده صد دو ده و سه سه كم</w:t>
      </w:r>
    </w:p>
    <w:p>
      <w:pPr>
        <w:pStyle w:val="BookText"/>
      </w:pPr>
      <w:r>
        <w:rPr>
          <w:rFonts w:ascii="IRNazanin" w:hAnsi="IRNazanin" w:eastAsia="IRNazanin" w:cs="IRNazanin"/>
          <w:lang w:bidi="fa-IR"/>
          <w:color w:val="111111"/>
          <w:sz w:val="28"/>
          <w:szCs w:val="28"/>
          <w:rtl/>
        </w:rPr>
        <w:t xml:space="preserve">قصیده میمیه بی نقطه ای در مدح و مولی الموحدین حضر اميرالمؤمنین علی بن ابی طالب (علیه السّلام) است که در ۲۴ بیت، بر اساس ماده تاریخ: «وهم ادا در عدد سال او *** کرده، که ده صد دو ده و سه سه کم» در سال ۱۰۱۱ق از سوی شاعر گمنام عـصر حکومت شاه عباس صفوی سروده شده است؛ خط: شکـسته نستعلیق، بی کا، تا: نیمه ی قرن ۱۳؛ مجدول؛ کاغذ: ترمه نازک سبز مغز پسته ای، ۲گ (۱۴ر - ۱۵ر)، ۱۲ سطر، اندازه: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سم(ف: ۴۰/۲ - ۱۲۶]</w:t>
      </w:r>
    </w:p>
    <w:p>
      <w:pPr>
        <w:pStyle w:val="BookText"/>
      </w:pPr>
      <w:r>
        <w:rPr>
          <w:rFonts w:ascii="IRNazanin" w:hAnsi="IRNazanin" w:eastAsia="IRNazanin" w:cs="IRNazanin"/>
          <w:lang w:bidi="fa-IR"/>
          <w:color w:val="111111"/>
          <w:sz w:val="28"/>
          <w:szCs w:val="28"/>
          <w:rtl/>
        </w:rPr>
        <w:t xml:space="preserve">۱۰۶۸. تهران؛ مجلس؛ شماره نسخه: ۴۳۲/۶ کر</w:t>
      </w:r>
    </w:p>
    <w:p>
      <w:pPr>
        <w:pStyle w:val="BookText"/>
      </w:pPr>
      <w:r>
        <w:rPr>
          <w:rFonts w:ascii="IRNazanin" w:hAnsi="IRNazanin" w:eastAsia="IRNazanin" w:cs="IRNazanin"/>
          <w:lang w:bidi="fa-IR"/>
          <w:color w:val="111111"/>
          <w:sz w:val="28"/>
          <w:szCs w:val="28"/>
          <w:rtl/>
        </w:rPr>
        <w:t xml:space="preserve">آغاز: که داردچون تو یاری نازنین و مهوش و دلبر گل اندام دل آرام و می آشام و پری پیکر لب و دیدار و قر و زلف و لفظ خوب گفتارت شراب و شاهر و شمع و شب و شیرینی و شکر؛ انجام:الا تا بگذرد سال و مه و روز و شب هفته *** بکام و خواهش و طبع و مراد و آرزو یکسر/ ترا هر سال و ماه و روز و شام و هفته با *** بقاء دولت و اقبال و ملک آرائی و کشور</w:t>
      </w:r>
    </w:p>
    <w:p>
      <w:pPr>
        <w:pStyle w:val="BookText"/>
      </w:pPr>
      <w:r>
        <w:rPr>
          <w:rFonts w:ascii="IRNazanin" w:hAnsi="IRNazanin" w:eastAsia="IRNazanin" w:cs="IRNazanin"/>
          <w:lang w:bidi="fa-IR"/>
          <w:color w:val="111111"/>
          <w:sz w:val="28"/>
          <w:szCs w:val="28"/>
          <w:rtl/>
        </w:rPr>
        <w:t xml:space="preserve">قصیده ای رائیه در مدح مولی الموحدین حضرت امیرالمؤمنين علی بن ابی طالب ((علیه السّلام) است که در ۲۹ بیت سروده شده است. شاعر در بخشی از قصیده خود آورده است: «همیشه یاورت بادا همیشه رهبرت بادا ***شه اژدر در صفدر امیرالمؤمنین حیدر/ شهی کز آدم و نوح و خلیل و عیسی و موسی *** ز قدر و رفعت و جاه و ز عز و شأن بود برتر»؛ خط: شکسته نستعلیق، بی کا، تا: نیمه قرن ۱۳؛ مجدول به طلا ؛کاغذ: ترمه نازک سبز مغز پسته ای ،3گ (۱۲ پ -۱۴ر) ،۱۲ سطر، اندازه: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۱۳/۵سم [ف: ۴۰/۲ - ۱۲۶]</w:t>
      </w:r>
    </w:p>
    <w:p>
      <w:pPr>
        <w:pStyle w:val="BookText"/>
      </w:pPr>
      <w:r>
        <w:rPr>
          <w:rFonts w:ascii="IRNazanin" w:hAnsi="IRNazanin" w:eastAsia="IRNazanin" w:cs="IRNazanin"/>
          <w:lang w:bidi="fa-IR"/>
          <w:color w:val="111111"/>
          <w:sz w:val="28"/>
          <w:szCs w:val="28"/>
          <w:rtl/>
        </w:rPr>
        <w:t xml:space="preserve">۱۰۶۹. یزد؛ کاظمینی؛ شماره نسخه: ۵۴۶</w:t>
      </w:r>
    </w:p>
    <w:p>
      <w:pPr>
        <w:pStyle w:val="BookText"/>
      </w:pPr>
      <w:r>
        <w:rPr>
          <w:rFonts w:ascii="IRNazanin" w:hAnsi="IRNazanin" w:eastAsia="IRNazanin" w:cs="IRNazanin"/>
          <w:lang w:bidi="fa-IR"/>
          <w:color w:val="111111"/>
          <w:sz w:val="28"/>
          <w:szCs w:val="28"/>
          <w:rtl/>
        </w:rPr>
        <w:t xml:space="preserve">در این جنگ اشعاری از شعرای بزرگ آمده بدین عناوین: فروغی ،هادی ،مغربی ،عطار ،عراقی، قاسمی، فیض، مولوی، شمس تبریزی ،مسکین ،قاسم ،محمود، اسد، نعیمی، نجات، بھائی، نسیمی، جعفر، طالب، محقق، بابا کوهی، سعدی، ابوسعید ابوالخیر، حافظ، سید، رضی آرتیمانی ،فقیر؛ خط: نسخ و نستعلیق شکسته نستعلیق، بی کا، تا: قرن ۱۲ و ۱۳؛ خطوط مختلف، سطور چلیپا و راسته، نیمه دوم کتاب مجدول؛ جلد: تیماج مشکی بدون مقوا، ۱۱۱گ مختلف السطر،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۲ - ۲۲۷]</w:t>
      </w:r>
    </w:p>
    <w:p>
      <w:pPr>
        <w:pStyle w:val="BookText"/>
      </w:pPr>
      <w:r>
        <w:rPr>
          <w:rFonts w:ascii="IRNazanin" w:hAnsi="IRNazanin" w:eastAsia="IRNazanin" w:cs="IRNazanin"/>
          <w:lang w:bidi="fa-IR"/>
          <w:color w:val="111111"/>
          <w:sz w:val="28"/>
          <w:szCs w:val="28"/>
          <w:rtl/>
        </w:rPr>
        <w:t xml:space="preserve">۱۰۷۰ . قم؛ مرعشی؛ شماره نسخه: ۱۵۱۰۸/۲</w:t>
      </w:r>
    </w:p>
    <w:p>
      <w:pPr>
        <w:pStyle w:val="BookText"/>
      </w:pPr>
      <w:r>
        <w:rPr>
          <w:rFonts w:ascii="IRNazanin" w:hAnsi="IRNazanin" w:eastAsia="IRNazanin" w:cs="IRNazanin"/>
          <w:lang w:bidi="fa-IR"/>
          <w:color w:val="111111"/>
          <w:sz w:val="28"/>
          <w:szCs w:val="28"/>
          <w:rtl/>
        </w:rPr>
        <w:t xml:space="preserve">آغاز: ای سید مشکل گشا فریاد رس یا مصطفی*** ای خواجه هر دوسرا فریاد رس یا مصطفی؛ انجام: بیچاره و عاصی که افتاده در خوف و رجا ***دارم همیشه التجا فريادرس يا مصطفى.</w:t>
      </w:r>
    </w:p>
    <w:p>
      <w:pPr>
        <w:pStyle w:val="BookText"/>
      </w:pPr>
      <w:r>
        <w:rPr>
          <w:rFonts w:ascii="IRNazanin" w:hAnsi="IRNazanin" w:eastAsia="IRNazanin" w:cs="IRNazanin"/>
          <w:lang w:bidi="fa-IR"/>
          <w:color w:val="111111"/>
          <w:sz w:val="28"/>
          <w:szCs w:val="28"/>
          <w:rtl/>
        </w:rPr>
        <w:t xml:space="preserve">قصیده ای است در ۲۵ بیت در استغاثه و التجا به پیشگاه پیامبر اسلام (صلّی اللَّهِ علیه وَ آلِهِ وَ سَلَّمَ ). ناظم این قصیده از اهل سنت بوده است: «مهر ابوبکر و عمر عثمان على المرتضى دارم *** من از صدق (و) صفا فریادرس یا مصطفی». طبق بیت پایانی ممکن است، تخلص سراینده «عاصی» باشد، در آغاز نسخه به عنوان «مناجات حضرت رسالت پناه» آمده ؛خط: نستعلیق، کا: ملانور، تا: قرن ۱۳؛ کاغذ: شرقی، ۲گ (۱-۲) ۱۰ سطر مورب، اندازه: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۳۸ - ۲۷۶]</w:t>
      </w:r>
    </w:p>
    <w:p>
      <w:pPr>
        <w:pStyle w:val="BookText"/>
      </w:pPr>
      <w:r>
        <w:rPr>
          <w:rFonts w:ascii="IRNazanin" w:hAnsi="IRNazanin" w:eastAsia="IRNazanin" w:cs="IRNazanin"/>
          <w:lang w:bidi="fa-IR"/>
          <w:color w:val="111111"/>
          <w:sz w:val="28"/>
          <w:szCs w:val="28"/>
          <w:rtl/>
        </w:rPr>
        <w:t xml:space="preserve">۱۰۷۱. تهران؛ مجلس؛ شماره نسخه: ۸۹۹۰/۲۶</w:t>
      </w:r>
    </w:p>
    <w:p>
      <w:pPr>
        <w:pStyle w:val="BookText"/>
      </w:pPr>
      <w:r>
        <w:rPr>
          <w:rFonts w:ascii="IRNazanin" w:hAnsi="IRNazanin" w:eastAsia="IRNazanin" w:cs="IRNazanin"/>
          <w:lang w:bidi="fa-IR"/>
          <w:color w:val="111111"/>
          <w:sz w:val="28"/>
          <w:szCs w:val="28"/>
          <w:rtl/>
        </w:rPr>
        <w:t xml:space="preserve">با سروده هایی از این شعرا: جامی، ذره ناکام، سعدی، سلمانعلی بیگ شاملو متخلص به تایپ که در عصر مرحوم لطفعلی خان آمده در اقلید متوطن شده یکه و تنها بود، در اینجا وفات یافت، زیاده ازین از حالش خبردار نیستم، شاه اسمعیل صفوی، فرخ خلیخالی (ص ۸، به خط خودش در شب یک شنبه اول چله بزرگ چهار ساعت از شب رفته ۲۸ ربيع الثانى [137[1307])، فصیحی انصاری ،مجنون، محمد علی میرزا شاهزاده، مشتاق، وفا؛ خط: نستعلیق و شکسته، بی کا، تا: قرن ۱۳؛ کاغذ: فرنگی نخودی آهار مهره، جلد: مخملی بنفش با نقوش فرنگی و جدول درون کاغذ ابرو باد، سطور چلیپا، ابعاد متن: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 ، اندازه: ۱۳/۹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۲۹/۱ - ۵۷۲]
</w:t>
      </w:r>
    </w:p>
    <w:p>
      <w:pPr>
        <w:sectPr>
          <w:footerReference w:type="default" r:id="rId8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۱۰۷۲. تهران؛ سلطنتی؛ شماره نسخه: ۶۹۲</w:t>
      </w:r>
    </w:p>
    <w:p>
      <w:pPr>
        <w:pStyle w:val="BookText"/>
      </w:pPr>
      <w:r>
        <w:rPr>
          <w:rFonts w:ascii="IRNazanin" w:hAnsi="IRNazanin" w:eastAsia="IRNazanin" w:cs="IRNazanin"/>
          <w:lang w:bidi="fa-IR"/>
          <w:color w:val="111111"/>
          <w:sz w:val="28"/>
          <w:szCs w:val="28"/>
          <w:rtl/>
        </w:rPr>
        <w:t xml:space="preserve">آغاز: شیخ سعدی رحمه الله تعالی: اگر تو فارغی از حال دوستان يارا *** فراغت از تو میسر نمی شود ما را؛ انجام: می ریزد خاک بر سر و می گوید *** خاکم بر سر که بی توام زنده هنوز. هجـری تفرشی: بجهت سرکار بندگان ... جعفر قلی خان ادام الله ... بتاریخ شهر شوال المكرم سنه ۱۲۰۳ تحریر و شرف اتمام یافت حرره العبد میرزا کوچک عفى الله عنه</w:t>
      </w:r>
    </w:p>
    <w:p>
      <w:pPr>
        <w:pStyle w:val="BookText"/>
      </w:pPr>
      <w:r>
        <w:rPr>
          <w:rFonts w:ascii="IRNazanin" w:hAnsi="IRNazanin" w:eastAsia="IRNazanin" w:cs="IRNazanin"/>
          <w:lang w:bidi="fa-IR"/>
          <w:color w:val="111111"/>
          <w:sz w:val="28"/>
          <w:szCs w:val="28"/>
          <w:rtl/>
        </w:rPr>
        <w:t xml:space="preserve">مجموعه ای است از منتخب اشعار شعرای متقدمین تا زمان کاتب و حاوی مثنوی، غزل، رباعی و قطعات می باشد که به خط زیبای میرزا کوچک اصفهانی شاگرد عبدالمجيد درويش كتابت شـده است. نام شعرا عبارت است از: شیخ سعدی شیرازی، خواجه حافظ شیرازی ،مشتاق، مولانا جامی - عاشق اصفهانی، شیخ محمد علی حزين، ملاحسین رفیق، محتشم کاشی، احمد میرزا نیازی ، آذر بیکدلی، افرین اصفهانی، بابا افضل کاشی ،اهلی، امیر همایون، آمیری اصفهانی، امیر فخرالدین مسعود، امیدی اصفهانی، بایزید بسطامی ،بیاضی ،بزمی ،بومی، تاثیر اصفهانی ،تمنائی، حاجت شیرازی، حاجبی گیلانی ،میروالهی قمی، زکی همدانی، ابوسعید ،صابر طوسی ،واهب ،وحشی ،عبدالعلی، عرشی تكلو، هلالی، طوفان، يحيى لاهیجی ،نظیری، مسیح کاشانی، فیض دکنی، سـیلی ترک، فصیحی تبریزی ،غزالی، صهبا قمی، صابر طوسی، فدائی گیلانی، شریف کاشی، عبید زاکانی ،صادقی ،صبری، صافی، هاتف، مقصود، عرفی، نشاط، وصاف ،بیاضی، میرمومن استرآبادی، عمادی شهریاری، فهمی قائتی، کمال الدين اسمعيـل، حسین دهلوی، هجری تفرشی، مجد همگر، غضنفر، عمادی شهریاری ،مقصود ،میرحمیدی، میر فغفور لاهیجی، عذری بیکدلی، عصمت الله ،واهب، درویش عبدالمجید، حسابی، دردری سمرقندی ،خیام، سوزی ساوجی ،سهیلی ،ملاطبری، ضیاء قمـی، هجری تفرشی؛ خط: شکسته نستعلیق، کا: میرزا کوچک اصفهانی، تا: ۱۲۰۳ق؛ این نسخه در ربیع الاول سال ۱۲۳۲ از عرض کتابخانه فتعلیشاه قاجار گذشته؛ صفحات مجدول و کمندکشی زرین، مذهب، یک سرلوح مذهب مرصع مزدوج بسیار عالی؛ کاغذ: ترمه ،جلد: پارچه قلمکار روغنی بوته گل ماشی رنگ مذهب، اندرون تیماج تریاکی حاشیه کمند دندان موشی طلائی، ۱۶۸ص، ۲۴ مصرع کتابت دارد ،قطع: بياضی، اندازه: 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۱۷/۵سم [ف: ۳ - ۳۶۴]</w:t>
      </w:r>
    </w:p>
    <w:p>
      <w:pPr>
        <w:pStyle w:val="BookText"/>
      </w:pPr>
      <w:r>
        <w:rPr>
          <w:rFonts w:ascii="IRNazanin" w:hAnsi="IRNazanin" w:eastAsia="IRNazanin" w:cs="IRNazanin"/>
          <w:lang w:bidi="fa-IR"/>
          <w:color w:val="111111"/>
          <w:sz w:val="28"/>
          <w:szCs w:val="28"/>
          <w:rtl/>
        </w:rPr>
        <w:t xml:space="preserve">1073.تهران؛ مجلس؛ شماره نسخه: ۴۴/۸ سرود</w:t>
      </w:r>
    </w:p>
    <w:p>
      <w:pPr>
        <w:pStyle w:val="BookText"/>
      </w:pPr>
      <w:r>
        <w:rPr>
          <w:rFonts w:ascii="IRNazanin" w:hAnsi="IRNazanin" w:eastAsia="IRNazanin" w:cs="IRNazanin"/>
          <w:lang w:bidi="fa-IR"/>
          <w:color w:val="111111"/>
          <w:sz w:val="28"/>
          <w:szCs w:val="28"/>
          <w:rtl/>
        </w:rPr>
        <w:t xml:space="preserve">قصائد و غزلیات منصور؛ خط: نستعلیق، بی کا، تا: با تاریخ ۱۲۰۴ق؛ حاشیه [نشریه: ۱۳ - ۴۱۹]</w:t>
      </w:r>
    </w:p>
    <w:p>
      <w:pPr>
        <w:pStyle w:val="BookText"/>
      </w:pPr>
      <w:r>
        <w:rPr>
          <w:rFonts w:ascii="IRNazanin" w:hAnsi="IRNazanin" w:eastAsia="IRNazanin" w:cs="IRNazanin"/>
          <w:lang w:bidi="fa-IR"/>
          <w:color w:val="111111"/>
          <w:sz w:val="28"/>
          <w:szCs w:val="28"/>
          <w:rtl/>
        </w:rPr>
        <w:t xml:space="preserve">۱۰۷۴. تهران؛ دانشگاه؛ شماره نسخه: ۱۲۳۶/۴۸-ف</w:t>
      </w:r>
    </w:p>
    <w:p>
      <w:pPr>
        <w:pStyle w:val="BookText"/>
      </w:pPr>
      <w:r>
        <w:rPr>
          <w:rFonts w:ascii="IRNazanin" w:hAnsi="IRNazanin" w:eastAsia="IRNazanin" w:cs="IRNazanin"/>
          <w:lang w:bidi="fa-IR"/>
          <w:color w:val="111111"/>
          <w:sz w:val="28"/>
          <w:szCs w:val="28"/>
          <w:rtl/>
        </w:rPr>
        <w:t xml:space="preserve">نسخه اصل: بادلیان 69 </w:t>
      </w:r>
      <w:r>
        <w:rPr>
          <w:rFonts w:ascii="Times New Roman" w:hAnsi="Times New Roman" w:eastAsia="Times New Roman" w:cs="Times New Roman"/>
          <w:lang w:val="en-US" w:bidi="en-US"/>
          <w:color w:val="111111"/>
          <w:sz w:val="28"/>
          <w:szCs w:val="28"/>
          <w:rtl/>
        </w:rPr>
        <w:t xml:space="preserve">Add </w:t>
      </w:r>
      <w:r>
        <w:rPr>
          <w:rFonts w:ascii="IRNazanin" w:hAnsi="IRNazanin" w:eastAsia="IRNazanin" w:cs="IRNazanin"/>
          <w:lang w:bidi="fa-IR"/>
          <w:color w:val="111111"/>
          <w:sz w:val="28"/>
          <w:szCs w:val="28"/>
          <w:rtl/>
        </w:rPr>
        <w:t xml:space="preserve">اوزلی (ش ۱۲۴۱). مثنوی در قـیافه است با عنوان نسخه سمندر کهه </w:t>
      </w:r>
      <w:r>
        <w:rPr>
          <w:rFonts w:ascii="Times New Roman" w:hAnsi="Times New Roman" w:eastAsia="Times New Roman" w:cs="Times New Roman"/>
          <w:lang w:val="en-US" w:bidi="en-US"/>
          <w:color w:val="111111"/>
          <w:sz w:val="28"/>
          <w:szCs w:val="28"/>
          <w:rtl/>
        </w:rPr>
        <w:t xml:space="preserve">samudrak </w:t>
      </w:r>
      <w:r>
        <w:rPr>
          <w:rFonts w:ascii="IRNazanin" w:hAnsi="IRNazanin" w:eastAsia="IRNazanin" w:cs="IRNazanin"/>
          <w:lang w:bidi="fa-IR"/>
          <w:color w:val="111111"/>
          <w:sz w:val="28"/>
          <w:szCs w:val="28"/>
          <w:rtl/>
        </w:rPr>
        <w:t xml:space="preserve">بی کا، تا: 24 رجب ،۱۲۰۴ق، جا: بنارس [ فیلمها: ۱ - ۵۸۷]</w:t>
      </w:r>
    </w:p>
    <w:p>
      <w:pPr>
        <w:pStyle w:val="BookText"/>
      </w:pPr>
      <w:r>
        <w:rPr>
          <w:rFonts w:ascii="IRNazanin" w:hAnsi="IRNazanin" w:eastAsia="IRNazanin" w:cs="IRNazanin"/>
          <w:lang w:bidi="fa-IR"/>
          <w:color w:val="111111"/>
          <w:sz w:val="28"/>
          <w:szCs w:val="28"/>
          <w:rtl/>
        </w:rPr>
        <w:t xml:space="preserve">۱۰۷۵. تهران؛ دانشگاه؛ شماره نسخه: ۹۹۴۴</w:t>
      </w:r>
    </w:p>
    <w:p>
      <w:pPr>
        <w:pStyle w:val="BookText"/>
      </w:pPr>
      <w:r>
        <w:rPr>
          <w:rFonts w:ascii="IRNazanin" w:hAnsi="IRNazanin" w:eastAsia="IRNazanin" w:cs="IRNazanin"/>
          <w:lang w:bidi="fa-IR"/>
          <w:color w:val="111111"/>
          <w:sz w:val="28"/>
          <w:szCs w:val="28"/>
          <w:rtl/>
        </w:rPr>
        <w:t xml:space="preserve">شعرهای سعدی و حافظ و خیام و مشتاق، محمد مومن کاشی خراسانی آن را به درخواست سید محمد ظهیر بیک در دیوان خانه معتمدالدوله منوچهرخان در ع۱۲۰۵/۱ (۱۱۶پ) نوشته با تاریخ شب یک شنبه ۵ ج ۱۳۲۳/۱ و شب دوشنبه ۱۴ شوال ۱۳۲۳ (۹۰ پ و ۹۳پ)؛ خط: نستعلیق چلیپا، بی کا، تا: ۱۲۰۵ق؛ افتادگی: آغاز و انجام؛ کاغذ: فرنگی ،۱۵۷گ، قطع: بیاضی ربعی، اندازه: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۱۷ - ۵۰۸]</w:t>
      </w:r>
    </w:p>
    <w:p>
      <w:pPr>
        <w:pStyle w:val="BookText"/>
      </w:pPr>
      <w:r>
        <w:rPr>
          <w:rFonts w:ascii="IRNazanin" w:hAnsi="IRNazanin" w:eastAsia="IRNazanin" w:cs="IRNazanin"/>
          <w:lang w:bidi="fa-IR"/>
          <w:color w:val="111111"/>
          <w:sz w:val="28"/>
          <w:szCs w:val="28"/>
          <w:rtl/>
        </w:rPr>
        <w:t xml:space="preserve">۱۰۷۶ . قم؛ معصومیه؛ شماره نسخه: ۶۸۴</w:t>
      </w:r>
    </w:p>
    <w:p>
      <w:pPr>
        <w:pStyle w:val="BookText"/>
      </w:pPr>
      <w:r>
        <w:rPr>
          <w:rFonts w:ascii="IRNazanin" w:hAnsi="IRNazanin" w:eastAsia="IRNazanin" w:cs="IRNazanin"/>
          <w:lang w:bidi="fa-IR"/>
          <w:color w:val="111111"/>
          <w:sz w:val="28"/>
          <w:szCs w:val="28"/>
          <w:rtl/>
        </w:rPr>
        <w:t xml:space="preserve">آغاز: الهی در این بساط پیاده مانده ایم رخ بهر که می نهیم اسب تغلب بر ما میراند بعلت اینکه فرزین طاعت ما کج می رود؛ انجام: بآبروی قناعت بذلت خواهش *** بکامرانی فرصت بدولت دیدار/ بداغ پهلوی بیمار ممتنع حرکت *** بدرد زانوی جویای ممتنع رفتار</w:t>
      </w:r>
    </w:p>
    <w:p>
      <w:pPr>
        <w:pStyle w:val="BookText"/>
      </w:pPr>
      <w:r>
        <w:rPr>
          <w:rFonts w:ascii="IRNazanin" w:hAnsi="IRNazanin" w:eastAsia="IRNazanin" w:cs="IRNazanin"/>
          <w:lang w:bidi="fa-IR"/>
          <w:color w:val="111111"/>
          <w:sz w:val="28"/>
          <w:szCs w:val="28"/>
          <w:rtl/>
        </w:rPr>
        <w:t xml:space="preserve">غزلیات و رباعیات و قطعات گوناگونی از شعرای مختلف جمع آوری شده است، و در آغاز دو صفحه از مناجات خواجه عبدالله انصاری ذکر شده است، شعرایی که اشعار آنها در این جنگ آمده عبارتند از :از ابوتراب بیک ،اوجی، حسن دهلوی، امین،حافظ ، خسرو ،سالک یزدی، طالب آملی، ظهوری، عباسعلی بیک ،فغانی، مرتضی قلی سلطانی، میر معصوم، گنجی سعید، اهلی ،اقدس ،آصفی، امیر اخستکی، بهاری، شاپور، صایب،</w:t>
      </w:r>
    </w:p>
    <w:p>
      <w:pPr>
        <w:pStyle w:val="BookText"/>
      </w:pPr>
      <w:r>
        <w:rPr>
          <w:rFonts w:ascii="IRNazanin" w:hAnsi="IRNazanin" w:eastAsia="IRNazanin" w:cs="IRNazanin"/>
          <w:lang w:bidi="fa-IR"/>
          <w:color w:val="111111"/>
          <w:sz w:val="28"/>
          <w:szCs w:val="28"/>
          <w:rtl/>
        </w:rPr>
        <w:t xml:space="preserve">ضمیری عزتی ،عنصری ،عاشق، غیاثای حلوالی ،غزالی ،فصیحی ،لسانی ،نظیری ،نظام ،نادم، شیخ علینقی کمره، جامی، خواجه شعیب، کمال اسماعیل، خواجه حسنعلی، خرد، سنجر، شفائی، خواجه شعیب، عرفی ،قدسی ،کلیم، وحشی، حسنعلی یزدی، حیرتی، ذوقی، امیر شاهی ،عرفی،فیضی، قاضی، صفی، حکیم ابوالقاسم، مير عطار حکیم رکنا، شکوهی، مستی، میر مشرب، ،شاپور ،حاکان ،قنائی، میر و الهی، میر محمد باقر، خلیلا، ارزقی ،اشرفی، رشید الدین، سلمان ساوجی ،قاضی، مولوی، نعمت الله، شیخ محمود میر خسرو، صفی قلی، کمال اسماعیل، خاقانی ،ولی ،ابولا فرج ،سپهری، امیر خسرو ،جدائی، ناصر خسرو، نظامی، مانی کاسه گر، حاجی شریف، میرزا رضی، میرزا حریف، طوفان ،مشتاق، رودکی، دقیق، نقی کرمانی، خضری ،دانشی، زکی، شعیب، شمس الدین محمد ،تولیت، ملا عبدالله، سیف الدین ،عاشق، محسنا، شیخ بهائی ،شانی ،صباحی، مهستی، مشرب، مولی،  بابا نصیبی،عطا ،سنجر، میرزا ،همایون، میرزا جعفر ،رسوائی، سالک، سلیم، عنائی، رونقی، منصف، صفا، صافی، کلامی، مولانا نوری ،نشاط ،آذر، عمعق بخارائی، ملا جلال ،سفیدی، ساحری ،شرقی ،ولی، مشکی تبریزی ،اوحدی، قاتلی شیرازری ،عفتی، کلامی، زمانی همدانی، هاتف، سنائی، غیرتی شیرازی، شجاع، قاضی اسد کاشی، ابن حسام، ولی دشت بیاضی، مانی کرمانی، عماد الدین قزوینی، مسیح کاشی ،عالم، من كلام خاقان مغفور فتحعلی شاه، صهبا، آقا محمد عاشق، صباحی وحشی؛ خط: نستعليق، كا: علی اكبر موسوی تبریزی، تا: ۱۲۱۰ق؛ جلد: تیماج
</w:t>
      </w:r>
    </w:p>
    <w:p>
      <w:pPr>
        <w:sectPr>
          <w:footerReference w:type="default" r:id="rId8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مشکی، ۹۲گ، مختلف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 - 323]</w:t>
      </w:r>
    </w:p>
    <w:p>
      <w:pPr>
        <w:pStyle w:val="BookText"/>
      </w:pPr>
      <w:r>
        <w:rPr>
          <w:rFonts w:ascii="IRNazanin" w:hAnsi="IRNazanin" w:eastAsia="IRNazanin" w:cs="IRNazanin"/>
          <w:lang w:bidi="fa-IR"/>
          <w:color w:val="111111"/>
          <w:sz w:val="28"/>
          <w:szCs w:val="28"/>
          <w:rtl/>
        </w:rPr>
        <w:t xml:space="preserve">۱۰۷۷. شیراز؛ علامه طباطبائی؛ شماره نسخه: ۱۷۰۸</w:t>
      </w:r>
    </w:p>
    <w:p>
      <w:pPr>
        <w:pStyle w:val="BookText"/>
      </w:pPr>
      <w:r>
        <w:rPr>
          <w:rFonts w:ascii="IRNazanin" w:hAnsi="IRNazanin" w:eastAsia="IRNazanin" w:cs="IRNazanin"/>
          <w:lang w:bidi="fa-IR"/>
          <w:color w:val="111111"/>
          <w:sz w:val="28"/>
          <w:szCs w:val="28"/>
          <w:rtl/>
        </w:rPr>
        <w:t xml:space="preserve">آغاز: به هر چیز دارد خرد دسترس *** دلیل خداوندی تست و بس / نخوانم ترا آسمان و زمین*** تویی جمله اما نه آنی نه این؛ انجام: بحمدالله این نامه دلفریب *** ز تحریر و عنوان پذیریف زیب ... الهی چو این نقش فرخ نهاد *** به آخر رسید آخرش  خیرباد</w:t>
      </w:r>
    </w:p>
    <w:p>
      <w:pPr>
        <w:pStyle w:val="BookText"/>
      </w:pPr>
      <w:r>
        <w:rPr>
          <w:rFonts w:ascii="IRNazanin" w:hAnsi="IRNazanin" w:eastAsia="IRNazanin" w:cs="IRNazanin"/>
          <w:lang w:bidi="fa-IR"/>
          <w:color w:val="111111"/>
          <w:sz w:val="28"/>
          <w:szCs w:val="28"/>
          <w:rtl/>
        </w:rPr>
        <w:t xml:space="preserve">دیوان شعر است؛ خط: نستعلیق، بی کا، تا: یک شنبه ۱۳ ذیحـجه ۱۲۱۱ق؛ جا: شهر لار ؛اندازه: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 نسخه پژوهی ۲ - 161]</w:t>
      </w:r>
    </w:p>
    <w:p>
      <w:pPr>
        <w:pStyle w:val="BookText"/>
      </w:pPr>
      <w:r>
        <w:rPr>
          <w:rFonts w:ascii="IRNazanin" w:hAnsi="IRNazanin" w:eastAsia="IRNazanin" w:cs="IRNazanin"/>
          <w:lang w:bidi="fa-IR"/>
          <w:color w:val="111111"/>
          <w:sz w:val="28"/>
          <w:szCs w:val="28"/>
          <w:rtl/>
        </w:rPr>
        <w:t xml:space="preserve">۱۰۷۸. یزد؛ کاظمینی؛ شماره نسخه: ۱۳۰</w:t>
      </w:r>
    </w:p>
    <w:p>
      <w:pPr>
        <w:pStyle w:val="BookText"/>
      </w:pPr>
      <w:r>
        <w:rPr>
          <w:rFonts w:ascii="IRNazanin" w:hAnsi="IRNazanin" w:eastAsia="IRNazanin" w:cs="IRNazanin"/>
          <w:lang w:bidi="fa-IR"/>
          <w:color w:val="111111"/>
          <w:sz w:val="28"/>
          <w:szCs w:val="28"/>
          <w:rtl/>
        </w:rPr>
        <w:t xml:space="preserve">در این مجموعه نان و حلوای شیخ بهایی و لیلی و مجنون آمـده است؛ خط: شکسته نستعلیق، بی کا، تا: سلخ ربیع الاول ۱۲۱۱ق؛ مجدول به زر و مشکی، حاشیه صفحات نقش گل و بوته در زمینه ای با نقطه های قرمز، در برگ آخر یادداشتی «سید احـمد حسنی بهان آبادی» به سال ۱۳۰۳ (یا ۱۳۳۰) آمده است؛ ۲۳ گ، سطور چلیپا، 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۲۲/۵سم [ف: ۱ - ۱۱۹]</w:t>
      </w:r>
    </w:p>
    <w:p>
      <w:pPr>
        <w:pStyle w:val="BookText"/>
      </w:pPr>
      <w:r>
        <w:rPr>
          <w:rFonts w:ascii="IRNazanin" w:hAnsi="IRNazanin" w:eastAsia="IRNazanin" w:cs="IRNazanin"/>
          <w:lang w:bidi="fa-IR"/>
          <w:color w:val="111111"/>
          <w:sz w:val="28"/>
          <w:szCs w:val="28"/>
          <w:rtl/>
        </w:rPr>
        <w:t xml:space="preserve">۱۰۷۹. تبریز؛ تربیت؛ شماره نسخه: 45ض/ 3</w:t>
      </w:r>
    </w:p>
    <w:p>
      <w:pPr>
        <w:pStyle w:val="BookText"/>
      </w:pPr>
      <w:r>
        <w:rPr>
          <w:rFonts w:ascii="IRNazanin" w:hAnsi="IRNazanin" w:eastAsia="IRNazanin" w:cs="IRNazanin"/>
          <w:lang w:bidi="fa-IR"/>
          <w:color w:val="111111"/>
          <w:sz w:val="28"/>
          <w:szCs w:val="28"/>
          <w:rtl/>
        </w:rPr>
        <w:t xml:space="preserve">تضمین قصیده میر ابوالقاسم فندرسکی از تجرید که آن قصـیده مشهور و اول آن (چرخ با این اختران نغزخوش زیباستی) می باشد؛ بی کا، تا: ۱۲۱۲ق [ف: ۱۷۴]</w:t>
      </w:r>
    </w:p>
    <w:p>
      <w:pPr>
        <w:pStyle w:val="BookText"/>
      </w:pPr>
      <w:r>
        <w:rPr>
          <w:rFonts w:ascii="IRNazanin" w:hAnsi="IRNazanin" w:eastAsia="IRNazanin" w:cs="IRNazanin"/>
          <w:lang w:bidi="fa-IR"/>
          <w:color w:val="111111"/>
          <w:sz w:val="28"/>
          <w:szCs w:val="28"/>
          <w:rtl/>
        </w:rPr>
        <w:t xml:space="preserve">۱۰۸۰ . مشهد؛ رضوی؛ شماره نسخه: ۲۴۷۶۴</w:t>
      </w:r>
    </w:p>
    <w:p>
      <w:pPr>
        <w:pStyle w:val="BookText"/>
      </w:pPr>
      <w:r>
        <w:rPr>
          <w:rFonts w:ascii="IRNazanin" w:hAnsi="IRNazanin" w:eastAsia="IRNazanin" w:cs="IRNazanin"/>
          <w:lang w:bidi="fa-IR"/>
          <w:color w:val="111111"/>
          <w:sz w:val="28"/>
          <w:szCs w:val="28"/>
          <w:rtl/>
        </w:rPr>
        <w:t xml:space="preserve">آغاز: اوم ذاتی که عیان است و نهان؛ انجام: نام این نامه بود محیط .... و تحریر با تمام رسید</w:t>
      </w:r>
    </w:p>
    <w:p>
      <w:pPr>
        <w:pStyle w:val="BookText"/>
      </w:pPr>
      <w:r>
        <w:rPr>
          <w:rFonts w:ascii="IRNazanin" w:hAnsi="IRNazanin" w:eastAsia="IRNazanin" w:cs="IRNazanin"/>
          <w:lang w:bidi="fa-IR"/>
          <w:color w:val="111111"/>
          <w:sz w:val="28"/>
          <w:szCs w:val="28"/>
          <w:rtl/>
        </w:rPr>
        <w:t xml:space="preserve">مثنوی بحر محیط؛ خط: نستعلیق شکسته، بی کا، تا: ۱۲۱۲ق؛ کاغذ: نخودی، جلد: تیماج ضربی [رایانه]</w:t>
      </w:r>
    </w:p>
    <w:p>
      <w:pPr>
        <w:pStyle w:val="BookText"/>
      </w:pPr>
      <w:r>
        <w:rPr>
          <w:rFonts w:ascii="IRNazanin" w:hAnsi="IRNazanin" w:eastAsia="IRNazanin" w:cs="IRNazanin"/>
          <w:lang w:bidi="fa-IR"/>
          <w:color w:val="111111"/>
          <w:sz w:val="28"/>
          <w:szCs w:val="28"/>
          <w:rtl/>
        </w:rPr>
        <w:t xml:space="preserve">۱۰۸۱ . مشهد؛ گوهر شاد؛ شماره نسخه: ۲۴۳۲/۳</w:t>
      </w:r>
    </w:p>
    <w:p>
      <w:pPr>
        <w:pStyle w:val="BookText"/>
      </w:pPr>
      <w:r>
        <w:rPr>
          <w:rFonts w:ascii="IRNazanin" w:hAnsi="IRNazanin" w:eastAsia="IRNazanin" w:cs="IRNazanin"/>
          <w:lang w:bidi="fa-IR"/>
          <w:color w:val="111111"/>
          <w:sz w:val="28"/>
          <w:szCs w:val="28"/>
          <w:rtl/>
        </w:rPr>
        <w:t xml:space="preserve">خط: نستعلیق، کا: محمد علی هراتی، تا: ۱۲ شوال ۱۲۱۲ق، کا: عریضه نویس صحن مشهد مقدس رضوی به دستور آقا محمدرضا بن استاد بخشی طباخ؛ واقف: محمد عاملی، شهر ۱۳۷۶؛ کاغذ: نخودی بیاضی، جلد: تیماج یک لای مشکی، اغـلب ۱۷ سطری، اندازه: 7</w:t>
      </w:r>
      <w:r>
        <w:rPr>
          <w:rFonts w:ascii="Times New Roman" w:hAnsi="Times New Roman" w:eastAsia="Times New Roman" w:cs="Times New Roman"/>
          <w:lang w:val="en-US" w:bidi="en-US"/>
          <w:color w:val="111111"/>
          <w:sz w:val="28"/>
          <w:szCs w:val="28"/>
          <w:rtl/>
        </w:rPr>
        <w:t xml:space="preserve">×14/7</w:t>
      </w:r>
      <w:r>
        <w:rPr>
          <w:rFonts w:ascii="IRNazanin" w:hAnsi="IRNazanin" w:eastAsia="IRNazanin" w:cs="IRNazanin"/>
          <w:lang w:bidi="fa-IR"/>
          <w:color w:val="111111"/>
          <w:sz w:val="28"/>
          <w:szCs w:val="28"/>
          <w:rtl/>
        </w:rPr>
        <w:t xml:space="preserve">سم [ف: ۵ - ۷۵۵]</w:t>
      </w:r>
    </w:p>
    <w:p>
      <w:pPr>
        <w:pStyle w:val="BookText"/>
      </w:pPr>
      <w:r>
        <w:rPr>
          <w:rFonts w:ascii="IRNazanin" w:hAnsi="IRNazanin" w:eastAsia="IRNazanin" w:cs="IRNazanin"/>
          <w:lang w:bidi="fa-IR"/>
          <w:color w:val="111111"/>
          <w:sz w:val="28"/>
          <w:szCs w:val="28"/>
          <w:rtl/>
        </w:rPr>
        <w:t xml:space="preserve">۱۰۸۲ یزد؛ وزیری؛ شماره نسخه: ۲۷۰۸/۸</w:t>
      </w:r>
    </w:p>
    <w:p>
      <w:pPr>
        <w:pStyle w:val="BookText"/>
      </w:pPr>
      <w:r>
        <w:rPr>
          <w:rFonts w:ascii="IRNazanin" w:hAnsi="IRNazanin" w:eastAsia="IRNazanin" w:cs="IRNazanin"/>
          <w:lang w:bidi="fa-IR"/>
          <w:color w:val="111111"/>
          <w:sz w:val="28"/>
          <w:szCs w:val="28"/>
          <w:rtl/>
        </w:rPr>
        <w:t xml:space="preserve">آغاز: بسمله مرحبا ای بلبل باغ کهن *** از گل رعنا بگو با سخن؛ انجام: روز محشر دار با آل رسول *** وز طفیل مقتلان گردان قبول</w:t>
      </w:r>
    </w:p>
    <w:p>
      <w:pPr>
        <w:pStyle w:val="BookText"/>
      </w:pPr>
      <w:r>
        <w:rPr>
          <w:rFonts w:ascii="IRNazanin" w:hAnsi="IRNazanin" w:eastAsia="IRNazanin" w:cs="IRNazanin"/>
          <w:lang w:bidi="fa-IR"/>
          <w:color w:val="111111"/>
          <w:sz w:val="28"/>
          <w:szCs w:val="28"/>
          <w:rtl/>
        </w:rPr>
        <w:t xml:space="preserve">خط: نستعلیق، بی کا، تا: ۱۲۱۳ق؛ اهدایی نواب؛ کاغذ: سمرقندی ،جلد: مقوایی با تیماج مشکی، ۱۰گ (۱۱۴-۱۲۴)، 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۴ - ۱۳۹۹]</w:t>
      </w:r>
    </w:p>
    <w:p>
      <w:pPr>
        <w:pStyle w:val="BookText"/>
      </w:pPr>
      <w:r>
        <w:rPr>
          <w:rFonts w:ascii="IRNazanin" w:hAnsi="IRNazanin" w:eastAsia="IRNazanin" w:cs="IRNazanin"/>
          <w:lang w:bidi="fa-IR"/>
          <w:color w:val="111111"/>
          <w:sz w:val="28"/>
          <w:szCs w:val="28"/>
          <w:rtl/>
        </w:rPr>
        <w:t xml:space="preserve">۱۰۸۳. تهران؛ ملک؛ شماره نسخه: ۷۷۷/۱۸</w:t>
      </w:r>
    </w:p>
    <w:p>
      <w:pPr>
        <w:pStyle w:val="BookText"/>
      </w:pPr>
      <w:r>
        <w:rPr>
          <w:rFonts w:ascii="IRNazanin" w:hAnsi="IRNazanin" w:eastAsia="IRNazanin" w:cs="IRNazanin"/>
          <w:lang w:bidi="fa-IR"/>
          <w:color w:val="111111"/>
          <w:sz w:val="28"/>
          <w:szCs w:val="28"/>
          <w:rtl/>
        </w:rPr>
        <w:t xml:space="preserve">شعر فیض کاشانی و میهنی و خاقانی و هلاکی همدانی و سلمان ساوجی، مرهمای درمانی، دعای صنمی قریشی، شب پیامبر تا آدم؛ خط: نستعلیق، کا: عبدالعظیم ابن محمد محسن رشتی،تا: دوشنبه پایان رجب ۱۲۱۳ق؛ با دو سرلوح رنگارنگ، به سفیداب در کاغذ کبود نوشته عبدالعظیم ابن محمد محسن رشتی در دوشنبه پایان رجب ۱۲۱۳ ؛کاغذ: پسته ای ،جلد: میشن قرمزضربی، ۱۳گ (۱۸۷-۱۷۴ر)، ۱۶ سطر [ف: ۵ - ۱۷۵]</w:t>
      </w:r>
    </w:p>
    <w:p>
      <w:pPr>
        <w:pStyle w:val="BookText"/>
      </w:pPr>
      <w:r>
        <w:rPr>
          <w:rFonts w:ascii="IRNazanin" w:hAnsi="IRNazanin" w:eastAsia="IRNazanin" w:cs="IRNazanin"/>
          <w:lang w:bidi="fa-IR"/>
          <w:color w:val="111111"/>
          <w:sz w:val="28"/>
          <w:szCs w:val="28"/>
          <w:rtl/>
        </w:rPr>
        <w:t xml:space="preserve">۱۰۸۴. تهران؛ سلطنتی؛ شماره نسخه: ۵۳۵</w:t>
      </w:r>
    </w:p>
    <w:p>
      <w:pPr>
        <w:pStyle w:val="BookText"/>
      </w:pPr>
      <w:r>
        <w:rPr>
          <w:rFonts w:ascii="IRNazanin" w:hAnsi="IRNazanin" w:eastAsia="IRNazanin" w:cs="IRNazanin"/>
          <w:lang w:bidi="fa-IR"/>
          <w:color w:val="111111"/>
          <w:sz w:val="28"/>
          <w:szCs w:val="28"/>
          <w:rtl/>
        </w:rPr>
        <w:t xml:space="preserve">آغاز: هو المنة الله که ز هستی رستم *** با نقد بقا ز تنگدستی رستم / یعنی که غنی شدم بمعشوق ازل *** از ننگ خودی و خود پرستی رستم؛ انجام: بضاعت نیاوردم الى اميد *** خدایا ز عفوم مکن ناامید. حسب الاشاره مستلزم البشاره عالیجاه رفيع جایگاه ... قبله گاهی فتحعلی خان ... در دار السلطنه اصفهان...بتاریخ یوم الجمعه شهر شوال المكرم ۱۲۱۴ سمت تحریر یافت امید که منظور نظر فیض نظر بندگان ...برسم پیشکش قبول  فرماید. نمقه العبد الاقل الاحقر الجانى على اصغر الهمدانی سنه ۱۲۱۴، در ذیل صفحه آخر چنین رقم رفته است (هو الله سبحانه تعالی. از آنجا که هر چیزی را نصیبی و بهره ایست و هیچکس را قدرت در بهره کسی نمی باشد مهدیعلی خان بهادر خراسانی که از جانب وزیر پادشاه فرنگ به ایلچی گری ایران آمده بود خواهشمند این مجموعه گردید کمترین بیاض را بنام او رقم نموده چون قابلیت شرط بوده و مشار و الیه بهیچ گونه نداشت نام او را محمود نموده بنام نامی بندگان ذی شوکت و شان مخلصان امیدگاه زید الله تعالى عزه العالی نمود. علی اصغر الهمداني.</w:t>
      </w:r>
    </w:p>
    <w:p>
      <w:pPr>
        <w:pStyle w:val="BookText"/>
      </w:pPr>
      <w:r>
        <w:rPr>
          <w:rFonts w:ascii="IRNazanin" w:hAnsi="IRNazanin" w:eastAsia="IRNazanin" w:cs="IRNazanin"/>
          <w:lang w:bidi="fa-IR"/>
          <w:color w:val="111111"/>
          <w:sz w:val="28"/>
          <w:szCs w:val="28"/>
          <w:rtl/>
        </w:rPr>
        <w:t xml:space="preserve">مجموعه از: محمد نصیر اصفهانی، بابا فغانی، قاضی نور، ظهوری، میرزا فصیحی، میرزا حسابی، نظام، حافظ، میر جعفر، روزبه، بهشتی، میر سنجر، شیخ سعدی، مظفر حسین، مومن حسین، ،سبحانی ،میر ظلی ،عرفی ،خلیل، صالح قلندر، روحانی، شانی تكلو، صائب ،رونق ،عوجی ،زلالی، سلیم، میر عطا، سالک قزوینی ،آصفی، غیابا حلوائی، شاه محمود اهلی، شریف تبریزی، عبد الرزاق عرفی، عصمت نجاری، علی اصغر همدانی، علی قلی بیک ،غیاثا آوجی، نسیم شاملو، ملا ملک قمی، میر شاهمیر، نادمن، مولانا جلال الدين، هلالی جغتائی، مسعود سعد سلمان، مشتاق، عماد لر، مشرفی ،ممتاز ،منصور مهستی ،نظیری ،نگاری، محمد صادق بیک، امیر علیشیر نوائی، شاه طهماسب، فصیحی ،فضولی، میرزا طاهر وحید واقع نویس، نور جهان بیگم، نوعی، وارث ،واهب ،همایونشاه، قیصر ترکمن ،فهمی، درکی، کامران بیک، مجد همگر ،محتشم، درویش عبدالمجيد، مكتبى، حكيم سنائی، اوحدی ،مخفی، خان خانان خسرو، جامی قریبی، در این مجموعه منتخبی از اشعار شعرای نامبرده و شرح مختصری از احوال بعضی از شعرای گمنام و نیز معدودی از برگزیده آثار منثور را در ضمن اشعار نقل کرده اند؛ خط: شکسته نستعلیق، کا: على اصغر همدانی، تا: ۱۲۱۴ق، جا: دار السلطنه اصفهان، به دستور فتحعلی خان؛ پشت صفحه اول «این نسخه در سال ۱۲۸۲ و ۱۳۲۲ از عرض کتابخانه مبارکه گذشته»، مجدول زرین، با یک سرلوح مذهب مرصع عالی؛ مهر: ناصر الدین شاه قاجار ۱۲۷۴، میرزا محمود وزیر «عسى ان يبعثك ربك مقاما محموددا ۱۲۳۶»؛
</w:t>
      </w:r>
    </w:p>
    <w:p>
      <w:pPr>
        <w:sectPr>
          <w:footerReference w:type="default" r:id="rId8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کاغذ: فرنگی الوان غبار زرافشان، جلد: تیماج دو لائی ابره لاکی سجاف ماشی ساده جدول منگنه مذهب اندرون تیماج ماشی رنگ ،۱۳۸ص، بین ۱۶ - ۱۲ – ۲۴ سطر چلیپا [ف: ۴ - ۱۱۱۸]</w:t>
      </w:r>
    </w:p>
    <w:p>
      <w:pPr>
        <w:pStyle w:val="BookText"/>
      </w:pPr>
      <w:r>
        <w:rPr>
          <w:rFonts w:ascii="IRNazanin" w:hAnsi="IRNazanin" w:eastAsia="IRNazanin" w:cs="IRNazanin"/>
          <w:lang w:bidi="fa-IR"/>
          <w:color w:val="111111"/>
          <w:sz w:val="28"/>
          <w:szCs w:val="28"/>
          <w:rtl/>
        </w:rPr>
        <w:t xml:space="preserve">۱۰۸۵ . قم گلپایگانی؛ شماره نسخه: ۷۵۹۹/۱-۳۸/۲۱۹</w:t>
      </w:r>
    </w:p>
    <w:p>
      <w:pPr>
        <w:pStyle w:val="BookText"/>
      </w:pPr>
      <w:r>
        <w:rPr>
          <w:rFonts w:ascii="IRNazanin" w:hAnsi="IRNazanin" w:eastAsia="IRNazanin" w:cs="IRNazanin"/>
          <w:lang w:bidi="fa-IR"/>
          <w:color w:val="111111"/>
          <w:sz w:val="28"/>
          <w:szCs w:val="28"/>
          <w:rtl/>
        </w:rPr>
        <w:t xml:space="preserve">آغاز: تشریف هر چه کردی انعام هر چه دادی *** خازن نداد آنرا حاکم نداد این را؛ انجام: بیار باده بخور آنکه پیر میکده دوش*** بسی حدیث عفور و رحیم و رحمان گفت</w:t>
      </w:r>
    </w:p>
    <w:p>
      <w:pPr>
        <w:pStyle w:val="BookText"/>
      </w:pPr>
      <w:r>
        <w:rPr>
          <w:rFonts w:ascii="IRNazanin" w:hAnsi="IRNazanin" w:eastAsia="IRNazanin" w:cs="IRNazanin"/>
          <w:lang w:bidi="fa-IR"/>
          <w:color w:val="111111"/>
          <w:sz w:val="28"/>
          <w:szCs w:val="28"/>
          <w:rtl/>
        </w:rPr>
        <w:t xml:space="preserve">منتخبی است از اشعار حبیب الله قاآنی و گزیده ای از «تـنبیه الغافلين» عطار، و اشعاری در نصایح و مواعظ و مناجات نامه غزلیاتی از حافظ؛ خط: نسخ و نستعلیق، بی کا، تا: ۱۲۱۵ق؛ افتادگی: آغاز ؛جلد: مقوا عطف گالینگور، ۴۳گ، ۱۴ سـطر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[گلپایگانی ف: ۳ - ۱۲۲۶]</w:t>
      </w:r>
    </w:p>
    <w:p>
      <w:pPr>
        <w:pStyle w:val="BookText"/>
      </w:pPr>
      <w:r>
        <w:rPr>
          <w:rFonts w:ascii="IRNazanin" w:hAnsi="IRNazanin" w:eastAsia="IRNazanin" w:cs="IRNazanin"/>
          <w:lang w:bidi="fa-IR"/>
          <w:color w:val="111111"/>
          <w:sz w:val="28"/>
          <w:szCs w:val="28"/>
          <w:rtl/>
        </w:rPr>
        <w:t xml:space="preserve">۱۰۸۶. قم؛ گلپایگانی؛ شماره نسخه: ۵۹۱۳-۲۹/۲۵۳</w:t>
      </w:r>
    </w:p>
    <w:p>
      <w:pPr>
        <w:pStyle w:val="BookText"/>
      </w:pPr>
      <w:r>
        <w:rPr>
          <w:rFonts w:ascii="IRNazanin" w:hAnsi="IRNazanin" w:eastAsia="IRNazanin" w:cs="IRNazanin"/>
          <w:lang w:bidi="fa-IR"/>
          <w:color w:val="111111"/>
          <w:sz w:val="28"/>
          <w:szCs w:val="28"/>
          <w:rtl/>
        </w:rPr>
        <w:t xml:space="preserve">آغاز: ... و هم باز خون بهای فراق البته تا هنگام دریافت ملاقات كثير البركات همه روزه ... بسمله به عرض مقدس عالی میرساند به خدمت با رفعت سراسر سعادت؛ انجام: فراق را به فراق تو مـبتلا سازم *** چنانکه خون بچکانم زدیده های فراق</w:t>
      </w:r>
    </w:p>
    <w:p>
      <w:pPr>
        <w:pStyle w:val="BookText"/>
      </w:pPr>
      <w:r>
        <w:rPr>
          <w:rFonts w:ascii="IRNazanin" w:hAnsi="IRNazanin" w:eastAsia="IRNazanin" w:cs="IRNazanin"/>
          <w:lang w:bidi="fa-IR"/>
          <w:color w:val="111111"/>
          <w:sz w:val="28"/>
          <w:szCs w:val="28"/>
          <w:rtl/>
        </w:rPr>
        <w:t xml:space="preserve">بیاضی است که است که در آن اشعاری از شاعران پارسی گوی، اغلب از سعدی شیرازی تحریر شده و نام دیگر شاعران ذکر نشده اسـت؛</w:t>
      </w:r>
    </w:p>
    <w:p>
      <w:pPr>
        <w:pStyle w:val="BookText"/>
      </w:pPr>
      <w:r>
        <w:rPr>
          <w:rFonts w:ascii="IRNazanin" w:hAnsi="IRNazanin" w:eastAsia="IRNazanin" w:cs="IRNazanin"/>
          <w:lang w:bidi="fa-IR"/>
          <w:color w:val="111111"/>
          <w:sz w:val="28"/>
          <w:szCs w:val="28"/>
          <w:rtl/>
        </w:rPr>
        <w:t xml:space="preserve">خط: تحریری، بی کا، تا: ۱۲۱۹ق؛ افتادگی: آغاز و انجام؛ ۴۶گ، مختلف السطر، قطع: بیاض رقعی، اندازه: ۷</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۱۲سم [ف: ۳ - 1248]</w:t>
      </w:r>
    </w:p>
    <w:p>
      <w:pPr>
        <w:pStyle w:val="BookText"/>
      </w:pPr>
      <w:r>
        <w:rPr>
          <w:rFonts w:ascii="IRNazanin" w:hAnsi="IRNazanin" w:eastAsia="IRNazanin" w:cs="IRNazanin"/>
          <w:lang w:bidi="fa-IR"/>
          <w:color w:val="111111"/>
          <w:sz w:val="28"/>
          <w:szCs w:val="28"/>
          <w:rtl/>
        </w:rPr>
        <w:t xml:space="preserve">۱۰۸۷. تهران؛ دانشگاه؛ شماره نسخه: ۳۶۵۵</w:t>
      </w:r>
    </w:p>
    <w:p>
      <w:pPr>
        <w:pStyle w:val="BookText"/>
      </w:pPr>
      <w:r>
        <w:rPr>
          <w:rFonts w:ascii="IRNazanin" w:hAnsi="IRNazanin" w:eastAsia="IRNazanin" w:cs="IRNazanin"/>
          <w:lang w:bidi="fa-IR"/>
          <w:color w:val="111111"/>
          <w:sz w:val="28"/>
          <w:szCs w:val="28"/>
          <w:rtl/>
        </w:rPr>
        <w:t xml:space="preserve">شعرهایی از سعدی شیرازی ،(۸ر) ، جامی (۱۳ر) ، وحشی (۲۰ر) مهدی بیک شقاقی، محتشم کاشانی، ابراهیم خان، میر سید محـمد مشتاق (۲۶پ) میرزا محمد تقی حسرت همدانی، آقا محـمد عاشق رفیق (۳۱پ) شرف الدین علی یزدی، ملا محمد حسـین مشهور، محمد قلی سلیم شاملوی ترکمان، شرف (۳۵ ر) ، صـفی قلی بیک دیوانه، نوری، علیخان بیک کوکب، میرزا عبدالحمـید قربی (۳۹پ) طرزی افشار، ابو طالب کلیم همدانی (۴۳ر) ، حافـظ؛ خط: نستعلیق و شکسته، بی کا، تا: دوشنبه و سه شنبه جمادی الاول ۱۲۱۹ق؛ افتادگی: وسط ؛کاغذ: فرنگی ،جلد: پارچه مقوایی عطف و گوشه ها تیماج سرخ، ۴۴گ، ۲۵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 اندازه: ۲۲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 سم [ف: ۱۲ - ۲۶۶۶]</w:t>
      </w:r>
    </w:p>
    <w:p>
      <w:pPr>
        <w:pStyle w:val="BookText"/>
      </w:pPr>
      <w:r>
        <w:rPr>
          <w:rFonts w:ascii="IRNazanin" w:hAnsi="IRNazanin" w:eastAsia="IRNazanin" w:cs="IRNazanin"/>
          <w:lang w:bidi="fa-IR"/>
          <w:color w:val="111111"/>
          <w:sz w:val="28"/>
          <w:szCs w:val="28"/>
          <w:rtl/>
        </w:rPr>
        <w:t xml:space="preserve">۱۰۸۸. تهران؛ دانشگاه؛ شماره نسخه: ۳۶۳۹/۴-ف</w:t>
      </w:r>
    </w:p>
    <w:p>
      <w:pPr>
        <w:pStyle w:val="BookText"/>
      </w:pPr>
      <w:r>
        <w:rPr>
          <w:rFonts w:ascii="IRNazanin" w:hAnsi="IRNazanin" w:eastAsia="IRNazanin" w:cs="IRNazanin"/>
          <w:lang w:bidi="fa-IR"/>
          <w:color w:val="111111"/>
          <w:sz w:val="28"/>
          <w:szCs w:val="28"/>
          <w:rtl/>
        </w:rPr>
        <w:t xml:space="preserve">دو بند شعر فارسی؛ کا: محمد قاسم، تا: ۱۲۲۰ق به خواهـش ملا ابو طالب در قاسم آباد [فیلمها: ۲ - ۲۰۸]</w:t>
      </w:r>
    </w:p>
    <w:p>
      <w:pPr>
        <w:pStyle w:val="BookText"/>
      </w:pPr>
      <w:r>
        <w:rPr>
          <w:rFonts w:ascii="IRNazanin" w:hAnsi="IRNazanin" w:eastAsia="IRNazanin" w:cs="IRNazanin"/>
          <w:lang w:bidi="fa-IR"/>
          <w:color w:val="111111"/>
          <w:sz w:val="28"/>
          <w:szCs w:val="28"/>
          <w:rtl/>
        </w:rPr>
        <w:t xml:space="preserve">۱۰۸۹. تهران؛ مفتاح؛ شماره نسخه: ۸۵۵/۳</w:t>
      </w:r>
    </w:p>
    <w:p>
      <w:pPr>
        <w:pStyle w:val="BookText"/>
      </w:pPr>
      <w:r>
        <w:rPr>
          <w:rFonts w:ascii="IRNazanin" w:hAnsi="IRNazanin" w:eastAsia="IRNazanin" w:cs="IRNazanin"/>
          <w:lang w:bidi="fa-IR"/>
          <w:color w:val="111111"/>
          <w:sz w:val="28"/>
          <w:szCs w:val="28"/>
          <w:rtl/>
        </w:rPr>
        <w:t xml:space="preserve">شعرهای سرایندگان دیرینه و نو؛ کا: عبدالرحيم بن كريم قـمی ،کهکی، تا: ۱۲۲۰ق، جا: شیراز و مشهد [نشریه: ۷ - ۱۳۴]</w:t>
      </w:r>
    </w:p>
    <w:p>
      <w:pPr>
        <w:pStyle w:val="BookText"/>
      </w:pPr>
      <w:r>
        <w:rPr>
          <w:rFonts w:ascii="IRNazanin" w:hAnsi="IRNazanin" w:eastAsia="IRNazanin" w:cs="IRNazanin"/>
          <w:lang w:bidi="fa-IR"/>
          <w:color w:val="111111"/>
          <w:sz w:val="28"/>
          <w:szCs w:val="28"/>
          <w:rtl/>
        </w:rPr>
        <w:t xml:space="preserve">۱۰۹۰ . مشهد؛ رضوی؛ شماره نسخه: ۱۰۰۶۱</w:t>
      </w:r>
    </w:p>
    <w:p>
      <w:pPr>
        <w:pStyle w:val="BookText"/>
      </w:pPr>
      <w:r>
        <w:rPr>
          <w:rFonts w:ascii="IRNazanin" w:hAnsi="IRNazanin" w:eastAsia="IRNazanin" w:cs="IRNazanin"/>
          <w:lang w:bidi="fa-IR"/>
          <w:color w:val="111111"/>
          <w:sz w:val="28"/>
          <w:szCs w:val="28"/>
          <w:rtl/>
        </w:rPr>
        <w:t xml:space="preserve">آغاز: اول دفتر بنام خالق یکتا *** صانع پروردگار حی توانا ؛</w:t>
      </w:r>
    </w:p>
    <w:p>
      <w:pPr>
        <w:pStyle w:val="BookText"/>
      </w:pPr>
      <w:r>
        <w:rPr>
          <w:rFonts w:ascii="IRNazanin" w:hAnsi="IRNazanin" w:eastAsia="IRNazanin" w:cs="IRNazanin"/>
          <w:lang w:bidi="fa-IR"/>
          <w:color w:val="111111"/>
          <w:sz w:val="28"/>
          <w:szCs w:val="28"/>
          <w:rtl/>
        </w:rPr>
        <w:t xml:space="preserve">انجام: شرح این هجران و این خون جگر *** این زمان بگذار تا وقت دگر</w:t>
      </w:r>
    </w:p>
    <w:p>
      <w:pPr>
        <w:pStyle w:val="BookText"/>
      </w:pPr>
      <w:r>
        <w:rPr>
          <w:rFonts w:ascii="IRNazanin" w:hAnsi="IRNazanin" w:eastAsia="IRNazanin" w:cs="IRNazanin"/>
          <w:lang w:bidi="fa-IR"/>
          <w:color w:val="111111"/>
          <w:sz w:val="28"/>
          <w:szCs w:val="28"/>
          <w:rtl/>
        </w:rPr>
        <w:t xml:space="preserve">جنگی است بیاضی شامل مقداری از اشعار بابا طاهر عریان، عمر خیام ،سعدی، سلمان ساوجی ،حافظ، جلال الدین محمد مولوی، وحشی بافقی، نورالدین عبدالرحمن جامی، عاشق اصفهانی، محتشم کاشانی، نظیری، کلیم و حیدر؛ خط: نستعلیق ممتاز، بی کا، تا: ۱۲۲۰ق؛ سطور چلیپا، مجدول به زر؛ واقف: جلال بقائی نائینی ؛کاغذ: نخودی آهار مهره، جلد: تیماج، ۲۲۶گ، قطع: بیاضی، اندازه: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۹ - ۱۰۸]</w:t>
      </w:r>
    </w:p>
    <w:p>
      <w:pPr>
        <w:pStyle w:val="BookText"/>
      </w:pPr>
      <w:r>
        <w:rPr>
          <w:rFonts w:ascii="Times New Roman" w:hAnsi="Times New Roman" w:eastAsia="Times New Roman" w:cs="Times New Roman"/>
          <w:lang w:val="en-US" w:bidi="en-US"/>
          <w:color w:val="111111"/>
          <w:sz w:val="28"/>
          <w:szCs w:val="28"/>
          <w:rtl/>
        </w:rPr>
        <w:t xml:space="preserve">1091.</w:t>
      </w:r>
    </w:p>
    <w:p>
      <w:pPr>
        <w:pStyle w:val="BookText"/>
      </w:pPr>
      <w:r>
        <w:rPr>
          <w:rFonts w:ascii="IRNazanin" w:hAnsi="IRNazanin" w:eastAsia="IRNazanin" w:cs="IRNazanin"/>
          <w:lang w:bidi="fa-IR"/>
          <w:color w:val="111111"/>
          <w:sz w:val="28"/>
          <w:szCs w:val="28"/>
          <w:rtl/>
        </w:rPr>
        <w:t xml:space="preserve">تهران؛ مفتاح شماره نسخه: ۸۵۵/۱۸</w:t>
      </w:r>
    </w:p>
    <w:p>
      <w:pPr>
        <w:pStyle w:val="BookText"/>
      </w:pPr>
      <w:r>
        <w:rPr>
          <w:rFonts w:ascii="IRNazanin" w:hAnsi="IRNazanin" w:eastAsia="IRNazanin" w:cs="IRNazanin"/>
          <w:lang w:bidi="fa-IR"/>
          <w:color w:val="111111"/>
          <w:sz w:val="28"/>
          <w:szCs w:val="28"/>
          <w:rtl/>
        </w:rPr>
        <w:t xml:space="preserve">خط: نستعلیق، کا: عبدالرحیم بن کریم قمی کهکی، تا: ۱۲۲۱ق،جا: مدرسه نواب [نشریه: ۷ - ۱۳۴]</w:t>
      </w:r>
    </w:p>
    <w:p>
      <w:pPr>
        <w:pStyle w:val="BookText"/>
      </w:pPr>
      <w:r>
        <w:rPr>
          <w:rFonts w:ascii="IRNazanin" w:hAnsi="IRNazanin" w:eastAsia="IRNazanin" w:cs="IRNazanin"/>
          <w:lang w:bidi="fa-IR"/>
          <w:color w:val="111111"/>
          <w:sz w:val="28"/>
          <w:szCs w:val="28"/>
          <w:rtl/>
        </w:rPr>
        <w:t xml:space="preserve">۱۰۹۲ . تهران؛ مجلس؛ شماره نسخه: ۱۳۷۵۲</w:t>
      </w:r>
    </w:p>
    <w:p>
      <w:pPr>
        <w:pStyle w:val="BookText"/>
      </w:pPr>
      <w:r>
        <w:rPr>
          <w:rFonts w:ascii="IRNazanin" w:hAnsi="IRNazanin" w:eastAsia="IRNazanin" w:cs="IRNazanin"/>
          <w:lang w:bidi="fa-IR"/>
          <w:color w:val="111111"/>
          <w:sz w:val="28"/>
          <w:szCs w:val="28"/>
          <w:rtl/>
        </w:rPr>
        <w:t xml:space="preserve">آغاز: سجود خاک درت بردنم تمنا بود *** به خاک می برم امروز این تمنا را / یار اگر طعن فراموش کاریم زد دور نیست *** زانکه با یادش فراموش کرده ام اغیار را؛ انجام: بود دایم آئینه اش در نظر *** که از چشم من دیده خود را مگر/ خبر دل داد از چهره زرد من*** که در عشق خوش است هم درد من</w:t>
      </w:r>
    </w:p>
    <w:p>
      <w:pPr>
        <w:pStyle w:val="BookText"/>
      </w:pPr>
      <w:r>
        <w:rPr>
          <w:rFonts w:ascii="IRNazanin" w:hAnsi="IRNazanin" w:eastAsia="IRNazanin" w:cs="IRNazanin"/>
          <w:lang w:bidi="fa-IR"/>
          <w:color w:val="111111"/>
          <w:sz w:val="28"/>
          <w:szCs w:val="28"/>
          <w:rtl/>
        </w:rPr>
        <w:t xml:space="preserve">علاوه بر رساله هایی که به طور مستقل معرفی شده است، شامل: در ذکر اشعار پادشاهان و خوانین و سایر اشعار ازمتقربين سلطان حسین میرزا (ص ۳۲۳-۳۳۷) اشعار و رباعیات و تک بیتی هایی از: حافظ ،عاشق، میرزا صادق نامی بابا طاهر (ص ۳۶۱-۳۶۸ )،بیتی از قصیده ای که میرزا حریف در مدح جعفر قلی خان دنبلی سروده و پنجاه تومان صله گرفته است (ص۳۶۹) اشعاری از هاتف، محتشم ،وحشی، خواجه نصیر، میرزا عبدالغنی، هلالی، میرحیدر ملک طیفور، قدسی مشهدی ،نظامی، فردوسی، سعدی، مقدم، حاجی لطفعلی بیک، ابن یمین، امیر خسرو، مهدی بیک، طوفان، امیر معزی، آقا محمد اشرف شیرازی، چند بیت از قصیده ای در مدح علی نقی خان زند ،مغربی ،خواجو، راجی (۳۹۶-۴۰۶) اشعاری از شاهنامه فردوسی (ص ۴۲۹-۴۳۴ و ۴۳۸-۴۴۰)؛ خط: شکسته نستعلیق چلیپا ،کا: عبدالله دنبلی خویی بن کبیر، تا: چهارشنبه ۱۲ رجب ۱۲۲۲ق، جا: مسجد پدرش آقا کبیر (ص ۱) و26 ربيع الاول ۱۲۲۵ ،در خانه آقا کبیر سلمه الله (ص ۳۲۲)؛ مهر: «قال انى عبدالله» (بیضی)؛ جلد: تیماج قهوه ای، ۲۲۴گ، مختلف</w:t>
      </w:r>
    </w:p>
    <w:p>
      <w:pPr>
        <w:pStyle w:val="BookText"/>
      </w:pPr>
      <w:r>
        <w:rPr>
          <w:rFonts w:ascii="IRNazanin" w:hAnsi="IRNazanin" w:eastAsia="IRNazanin" w:cs="IRNazanin"/>
          <w:lang w:bidi="fa-IR"/>
          <w:color w:val="111111"/>
          <w:sz w:val="28"/>
          <w:szCs w:val="28"/>
          <w:rtl/>
        </w:rPr>
        <w:t xml:space="preserve">السطر، قطع: بیاضی،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۳۷ – ۲۸۶]</w:t>
      </w:r>
    </w:p>
    <w:p>
      <w:pPr>
        <w:pStyle w:val="BookText"/>
      </w:pPr>
      <w:r>
        <w:rPr>
          <w:rFonts w:ascii="IRNazanin" w:hAnsi="IRNazanin" w:eastAsia="IRNazanin" w:cs="IRNazanin"/>
          <w:lang w:bidi="fa-IR"/>
          <w:color w:val="111111"/>
          <w:sz w:val="28"/>
          <w:szCs w:val="28"/>
          <w:rtl/>
        </w:rPr>
        <w:t xml:space="preserve">۱۰۹۳. تهران؛ دانشگاه؛ شماره نسخه: ۳۸۰۰/۷-ف</w:t>
      </w:r>
    </w:p>
    <w:p>
      <w:pPr>
        <w:pStyle w:val="BookText"/>
      </w:pPr>
      <w:r>
        <w:rPr>
          <w:rFonts w:ascii="IRNazanin" w:hAnsi="IRNazanin" w:eastAsia="IRNazanin" w:cs="IRNazanin"/>
          <w:lang w:bidi="fa-IR"/>
          <w:color w:val="111111"/>
          <w:sz w:val="28"/>
          <w:szCs w:val="28"/>
          <w:rtl/>
        </w:rPr>
        <w:t xml:space="preserve">خط: نستعلیق، کا: ابوالقاسم انجوی شیرازی، تا: ۱۲۲۲ق [ فیلمها: ۲ - 250]</w:t>
      </w:r>
    </w:p>
    <w:p>
      <w:pPr>
        <w:pStyle w:val="BookText"/>
      </w:pPr>
      <w:r>
        <w:rPr>
          <w:rFonts w:ascii="IRNazanin" w:hAnsi="IRNazanin" w:eastAsia="IRNazanin" w:cs="IRNazanin"/>
          <w:lang w:bidi="fa-IR"/>
          <w:color w:val="111111"/>
          <w:sz w:val="28"/>
          <w:szCs w:val="28"/>
          <w:rtl/>
        </w:rPr>
        <w:t xml:space="preserve">۱۰۹۴. تهران؛ دانشسرای عالی - کتابخانه میرزا عبدالعظیم خان قریب گر کانی؛ شماره نسخه: ۸۸/۹</w:t>
      </w:r>
    </w:p>
    <w:p>
      <w:pPr>
        <w:pStyle w:val="BookText"/>
      </w:pPr>
      <w:r>
        <w:rPr>
          <w:rFonts w:ascii="IRNazanin" w:hAnsi="IRNazanin" w:eastAsia="IRNazanin" w:cs="IRNazanin"/>
          <w:lang w:bidi="fa-IR"/>
          <w:color w:val="111111"/>
          <w:sz w:val="28"/>
          <w:szCs w:val="28"/>
          <w:rtl/>
        </w:rPr>
        <w:t xml:space="preserve">مثنوی میرزا جعفر عذب؛ بی کا، تا: ۲۴ ذیحجه ۱۲۲۳ق؛ کاغذ: کبود، قطع: بغلی بیاضی [ نشریه: ۵ - ۶۲۲]</w:t>
      </w:r>
    </w:p>
    <w:p>
      <w:pPr>
        <w:pStyle w:val="BookText"/>
      </w:pPr>
      <w:r>
        <w:rPr>
          <w:rFonts w:ascii="IRNazanin" w:hAnsi="IRNazanin" w:eastAsia="IRNazanin" w:cs="IRNazanin"/>
          <w:lang w:bidi="fa-IR"/>
          <w:color w:val="111111"/>
          <w:sz w:val="28"/>
          <w:szCs w:val="28"/>
          <w:rtl/>
        </w:rPr>
        <w:t xml:space="preserve">۱۰۹۵. تهران؛ دانشگاه؛ شماره نسخه: ۴۴۲۱</w:t>
      </w:r>
    </w:p>
    <w:p>
      <w:pPr>
        <w:pStyle w:val="BookText"/>
      </w:pPr>
      <w:r>
        <w:rPr>
          <w:rFonts w:ascii="IRNazanin" w:hAnsi="IRNazanin" w:eastAsia="IRNazanin" w:cs="IRNazanin"/>
          <w:lang w:bidi="fa-IR"/>
          <w:color w:val="111111"/>
          <w:sz w:val="28"/>
          <w:szCs w:val="28"/>
          <w:rtl/>
        </w:rPr>
        <w:t xml:space="preserve">شعرهای فارسی :محتشم ،فیض،عاشق، سعدی، حافظ و سها به خط خود او (ص ۲۴) هاتف (ترجیع بند)، شایق، شیخ بهائی
</w:t>
      </w:r>
    </w:p>
    <w:p>
      <w:pPr>
        <w:sectPr>
          <w:footerReference w:type="default" r:id="rId8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(نان و حلوا)، سعدی اصفهانی ،حالتی، مشتاق، طوبی، قمی،میر صیدی، میرمفتون، عاشق ،کمال ،میلی، جعفر لاهیجی، میر مردان استرآبادی، عرب اصفهانی ،نظری ،آذر، ضیاء الدین، خسـرو، خواجه امیر کاشی، هلالی، جدایی قمی ،عذری ،نوری، نصیب اصفهانی ،رفیق ،عرفی، مرتضی قلی بیک، همایون و زاری اسـت؛ خط: نستعلیق، بی کا، تا: شب شنبه جمادی الثانی ۱۲۲۴ق، (ص48) ، و ۱ رمضان ۱۲۳۸ (ص۱۳۷)؛ مجدول، چند تصویر ساده؛ کاغذ: فرنگی  رنگارنگ، جلد: تیماج عنابی عطف زرد، ۱۳۷گ، سطور، چـلیپا ابعاد متن: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قطع: بیاضی،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۱۳ - 3384]</w:t>
      </w:r>
    </w:p>
    <w:p>
      <w:pPr>
        <w:pStyle w:val="BookText"/>
      </w:pPr>
      <w:r>
        <w:rPr>
          <w:rFonts w:ascii="IRNazanin" w:hAnsi="IRNazanin" w:eastAsia="IRNazanin" w:cs="IRNazanin"/>
          <w:lang w:bidi="fa-IR"/>
          <w:color w:val="111111"/>
          <w:sz w:val="28"/>
          <w:szCs w:val="28"/>
          <w:rtl/>
        </w:rPr>
        <w:t xml:space="preserve">۱۰۹۶ تهران؛ ملی؛ شماره نسخه: ۲۰۶۵/۵</w:t>
      </w:r>
    </w:p>
    <w:p>
      <w:pPr>
        <w:pStyle w:val="BookText"/>
      </w:pPr>
      <w:r>
        <w:rPr>
          <w:rFonts w:ascii="IRNazanin" w:hAnsi="IRNazanin" w:eastAsia="IRNazanin" w:cs="IRNazanin"/>
          <w:lang w:bidi="fa-IR"/>
          <w:color w:val="111111"/>
          <w:sz w:val="28"/>
          <w:szCs w:val="28"/>
          <w:rtl/>
        </w:rPr>
        <w:t xml:space="preserve">جنگی شامل اشعاری از: ۱- مولانا حاجی سلیمان (در منقبت امیرالمومنين علی (علیه السّلام)، ۲- آذر بیگدلی یک قصیده به قافیه نون،3- فاخزى ابو المفاخر یک قصیده به قافیه نون، ۴- حکیم انوری یـک قصیده به قافیه تاء، ۵- فتحعلی خان ملک الشعرای صبا يـک قصیده به قافیه نون، ۶- قصیده ای از صباحی به قافیه یاء،7- محتشم کاشانی یک قصیده به قافیه دال و به آخر یک مثنوی؛ خط: نستعلیق، کا: علینقی رازی، تا: ۱۲۲۵ق؛ کاغذ: فرنگی، جـلد: تيماج سياه، ترنج و نیم ترنج ،کوبیده ،مقوایی، ۲۵ ص ۱۵ سـطر (8</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۲۹/۵سم [ف: ۵ - ۷۴]</w:t>
      </w:r>
    </w:p>
    <w:p>
      <w:pPr>
        <w:pStyle w:val="BookText"/>
      </w:pPr>
      <w:r>
        <w:rPr>
          <w:rFonts w:ascii="IRNazanin" w:hAnsi="IRNazanin" w:eastAsia="IRNazanin" w:cs="IRNazanin"/>
          <w:lang w:bidi="fa-IR"/>
          <w:color w:val="111111"/>
          <w:sz w:val="28"/>
          <w:szCs w:val="28"/>
          <w:rtl/>
        </w:rPr>
        <w:t xml:space="preserve">۱۰۹۷ . تهران؛ ملی؛ شماره نسخه: ۲۰۶۵/۸</w:t>
      </w:r>
    </w:p>
    <w:p>
      <w:pPr>
        <w:pStyle w:val="BookText"/>
      </w:pPr>
      <w:r>
        <w:rPr>
          <w:rFonts w:ascii="IRNazanin" w:hAnsi="IRNazanin" w:eastAsia="IRNazanin" w:cs="IRNazanin"/>
          <w:lang w:bidi="fa-IR"/>
          <w:color w:val="111111"/>
          <w:sz w:val="28"/>
          <w:szCs w:val="28"/>
          <w:rtl/>
        </w:rPr>
        <w:t xml:space="preserve">جنگی شامل اشعاری از: سید احمد هاتف، حاجی سلیمان صباحی ،فیضی، میرزا صادق تفرشی، مولانا ميرزا طوفان (مثنوی صبانامه)، مولانا میر سید علی مهری ،مولانا وحشی، شریفای طبیب اصفهانی، محتشم ((مرثیه) ،مولانا امیدی، سلمان، ساوجی، عبدالرحمن جامی، ظهیر الدین فاریابی، میرزا نصیر طبـیب اصفهانی، مولانا موجی، مولانا انیس شاملو، مولانا مصاحب اصفهانی، نشاط اصفهانی (حاوی غزلیات، قطعات،رباعيات) ؛خط: نستعلیق، کا: علینقی رازی، تا: ۱۲۲۵ق؛ کاغذ: فرنگی، جـلد: تیماج سیاه با ترنج و نیم ترنج کوبیده مقوایی، ۱۳ص (۱۹۲-503 حاشیه)، ۱۵ سطر (8</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۲۹/۵سم [ف: ۵ - ۷۵]</w:t>
      </w:r>
    </w:p>
    <w:p>
      <w:pPr>
        <w:pStyle w:val="BookText"/>
      </w:pPr>
      <w:r>
        <w:rPr>
          <w:rFonts w:ascii="IRNazanin" w:hAnsi="IRNazanin" w:eastAsia="IRNazanin" w:cs="IRNazanin"/>
          <w:lang w:bidi="fa-IR"/>
          <w:color w:val="111111"/>
          <w:sz w:val="28"/>
          <w:szCs w:val="28"/>
          <w:rtl/>
        </w:rPr>
        <w:t xml:space="preserve">۱۰۹۸. تهران؛ سپهسالار؛ شماره نسخه: ۷۱۰۶</w:t>
      </w:r>
    </w:p>
    <w:p>
      <w:pPr>
        <w:pStyle w:val="BookText"/>
      </w:pPr>
      <w:r>
        <w:rPr>
          <w:rFonts w:ascii="IRNazanin" w:hAnsi="IRNazanin" w:eastAsia="IRNazanin" w:cs="IRNazanin"/>
          <w:lang w:bidi="fa-IR"/>
          <w:color w:val="111111"/>
          <w:sz w:val="28"/>
          <w:szCs w:val="28"/>
          <w:rtl/>
        </w:rPr>
        <w:t xml:space="preserve">شعر فارسی است در دو بخش به ترتیب حروف تهجی درقافیه اشعار. هر بند که وزن و قافیه ویژه دارد مشتمل بر اشعار شاعرانی چند می باشد، و در پایان رباعیات شعرای مختلف است؛ خـط: نستعلیق، کا: محمد مسیح بن محمد صالح ساوجی، تا: ۱۲۲۵ق، جا: مدرسه جانی خان قم؛ افتادگی: آغاز؛ کاغذ: فرنگی، جـلد: مقوایی، ۱۱۰گ، ۲۰ سطر (20</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۱۵/۵سم [ف: ۴  - 94]</w:t>
      </w:r>
    </w:p>
    <w:p>
      <w:pPr>
        <w:pStyle w:val="BookText"/>
      </w:pPr>
      <w:r>
        <w:rPr>
          <w:rFonts w:ascii="IRNazanin" w:hAnsi="IRNazanin" w:eastAsia="IRNazanin" w:cs="IRNazanin"/>
          <w:lang w:bidi="fa-IR"/>
          <w:color w:val="111111"/>
          <w:sz w:val="28"/>
          <w:szCs w:val="28"/>
          <w:rtl/>
        </w:rPr>
        <w:t xml:space="preserve">۱۰۹۹. تهران؛ ملی؛ شماره نسخه: ۱۸۸۱۳</w:t>
      </w:r>
    </w:p>
    <w:p>
      <w:pPr>
        <w:pStyle w:val="BookText"/>
      </w:pPr>
      <w:r>
        <w:rPr>
          <w:rFonts w:ascii="IRNazanin" w:hAnsi="IRNazanin" w:eastAsia="IRNazanin" w:cs="IRNazanin"/>
          <w:lang w:bidi="fa-IR"/>
          <w:color w:val="111111"/>
          <w:sz w:val="28"/>
          <w:szCs w:val="28"/>
          <w:rtl/>
        </w:rPr>
        <w:t xml:space="preserve">مجموعه شعر؛ کا: ملا علی رضا، تا: ۱۲۲۶ق؛ انتقالی از کتابخانه پهلوی -مجموعه نوازی؛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۲۰/۷سم [رایانه]</w:t>
      </w:r>
    </w:p>
    <w:p>
      <w:pPr>
        <w:pStyle w:val="BookText"/>
      </w:pPr>
      <w:r>
        <w:rPr>
          <w:rFonts w:ascii="Times New Roman" w:hAnsi="Times New Roman" w:eastAsia="Times New Roman" w:cs="Times New Roman"/>
          <w:lang w:val="en-US" w:bidi="en-US"/>
          <w:color w:val="111111"/>
          <w:sz w:val="28"/>
          <w:szCs w:val="28"/>
          <w:rtl/>
        </w:rPr>
        <w:t xml:space="preserve">1100.</w:t>
      </w:r>
    </w:p>
    <w:p>
      <w:pPr>
        <w:pStyle w:val="BookText"/>
      </w:pPr>
      <w:r>
        <w:rPr>
          <w:rFonts w:ascii="IRNazanin" w:hAnsi="IRNazanin" w:eastAsia="IRNazanin" w:cs="IRNazanin"/>
          <w:lang w:bidi="fa-IR"/>
          <w:color w:val="111111"/>
          <w:sz w:val="28"/>
          <w:szCs w:val="28"/>
          <w:rtl/>
        </w:rPr>
        <w:t xml:space="preserve">تهران؛ دانشگاه؛ شماره نسخه: ۲۴۶۶/۲۴</w:t>
      </w:r>
    </w:p>
    <w:p>
      <w:pPr>
        <w:pStyle w:val="BookText"/>
      </w:pPr>
      <w:r>
        <w:rPr>
          <w:rFonts w:ascii="IRNazanin" w:hAnsi="IRNazanin" w:eastAsia="IRNazanin" w:cs="IRNazanin"/>
          <w:lang w:bidi="fa-IR"/>
          <w:color w:val="111111"/>
          <w:sz w:val="28"/>
          <w:szCs w:val="28"/>
          <w:rtl/>
        </w:rPr>
        <w:t xml:space="preserve">شعرهای علی اصغر بن حاجی کاظم است؛ خط: نستعلیق، بی کا، تا: ۱۲۲۶ق؛ کاغذ: سپاهانی، جلد: تیماج قهوه ای ضربی زرکوب مقوایی با لولا، 1ص (۸۱۹)، ابعاد متن: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۳۲سم[ف: ۹ - ۱۲۳۵]</w:t>
      </w:r>
    </w:p>
    <w:p>
      <w:pPr>
        <w:pStyle w:val="BookText"/>
      </w:pPr>
      <w:r>
        <w:rPr>
          <w:rFonts w:ascii="IRNazanin" w:hAnsi="IRNazanin" w:eastAsia="IRNazanin" w:cs="IRNazanin"/>
          <w:lang w:bidi="fa-IR"/>
          <w:color w:val="111111"/>
          <w:sz w:val="28"/>
          <w:szCs w:val="28"/>
          <w:rtl/>
        </w:rPr>
        <w:t xml:space="preserve">1101 . خوی؛ نمازی؛ شماره نسخه: ۲۳۱/۲</w:t>
      </w:r>
    </w:p>
    <w:p>
      <w:pPr>
        <w:pStyle w:val="BookText"/>
      </w:pPr>
      <w:r>
        <w:rPr>
          <w:rFonts w:ascii="IRNazanin" w:hAnsi="IRNazanin" w:eastAsia="IRNazanin" w:cs="IRNazanin"/>
          <w:lang w:bidi="fa-IR"/>
          <w:color w:val="111111"/>
          <w:sz w:val="28"/>
          <w:szCs w:val="28"/>
          <w:rtl/>
        </w:rPr>
        <w:t xml:space="preserve">مجموعه غزلیات عرفانی جمع آوری شده از شعرای مختلف؛ خط: نستعلیق، کا: علیقلی بن رضا، تا: ۱۲۲۷ق، جا: لورجان؛ جلد: تیماج مشکی ضربی با ترنج باسر،۱۵ سطر، اندازه: ۱۷/۵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۲۸سم  [ ف: ۱۱۸]</w:t>
      </w:r>
    </w:p>
    <w:p>
      <w:pPr>
        <w:pStyle w:val="BookText"/>
      </w:pPr>
      <w:r>
        <w:rPr>
          <w:rFonts w:ascii="IRNazanin" w:hAnsi="IRNazanin" w:eastAsia="IRNazanin" w:cs="IRNazanin"/>
          <w:lang w:bidi="fa-IR"/>
          <w:color w:val="111111"/>
          <w:sz w:val="28"/>
          <w:szCs w:val="28"/>
          <w:rtl/>
        </w:rPr>
        <w:t xml:space="preserve">۱۱۰۲ . شیراز؛ شاهچراغ؛ شماره نسخه: ۷۷۱/۳</w:t>
      </w:r>
    </w:p>
    <w:p>
      <w:pPr>
        <w:pStyle w:val="BookText"/>
      </w:pPr>
      <w:r>
        <w:rPr>
          <w:rFonts w:ascii="IRNazanin" w:hAnsi="IRNazanin" w:eastAsia="IRNazanin" w:cs="IRNazanin"/>
          <w:lang w:bidi="fa-IR"/>
          <w:color w:val="111111"/>
          <w:sz w:val="28"/>
          <w:szCs w:val="28"/>
          <w:rtl/>
        </w:rPr>
        <w:t xml:space="preserve">آغاز: سزاوار ستایش نیست جز حق *** چه حق آمد به حق فیاض مطلق / احب اكبر و ارکان دینست *** سخن كان حمد رب العالمین است؛</w:t>
      </w:r>
    </w:p>
    <w:p>
      <w:pPr>
        <w:pStyle w:val="BookText"/>
      </w:pPr>
      <w:r>
        <w:rPr>
          <w:rFonts w:ascii="IRNazanin" w:hAnsi="IRNazanin" w:eastAsia="IRNazanin" w:cs="IRNazanin"/>
          <w:lang w:bidi="fa-IR"/>
          <w:color w:val="111111"/>
          <w:sz w:val="28"/>
          <w:szCs w:val="28"/>
          <w:rtl/>
        </w:rPr>
        <w:t xml:space="preserve">مثنوی در اصول دین؛ خط: نسخ، کا: ابوالقاسم بن محمد حسین قزوینی، تا: شنبه ۲۴ محرم ۱۲۲۷ق؛ ۱۸گ (۵۷-۷۵ر)،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۳ – ۱۱۵]</w:t>
      </w:r>
    </w:p>
    <w:p>
      <w:pPr>
        <w:pStyle w:val="BookText"/>
      </w:pPr>
      <w:r>
        <w:rPr>
          <w:rFonts w:ascii="IRNazanin" w:hAnsi="IRNazanin" w:eastAsia="IRNazanin" w:cs="IRNazanin"/>
          <w:lang w:bidi="fa-IR"/>
          <w:color w:val="111111"/>
          <w:sz w:val="28"/>
          <w:szCs w:val="28"/>
          <w:rtl/>
        </w:rPr>
        <w:t xml:space="preserve">۱۱۰۳ . قم؛ گلپایگانی؛ شماره نسخه: ۵۹۰۱-۲۹/۲۴۱</w:t>
      </w:r>
    </w:p>
    <w:p>
      <w:pPr>
        <w:pStyle w:val="BookText"/>
      </w:pPr>
      <w:r>
        <w:rPr>
          <w:rFonts w:ascii="IRNazanin" w:hAnsi="IRNazanin" w:eastAsia="IRNazanin" w:cs="IRNazanin"/>
          <w:lang w:bidi="fa-IR"/>
          <w:color w:val="111111"/>
          <w:sz w:val="28"/>
          <w:szCs w:val="28"/>
          <w:rtl/>
        </w:rPr>
        <w:t xml:space="preserve">آغاز: نامش چه آرم به زبان همه اعضاء من چه قلم گردد غزل.</w:t>
      </w:r>
    </w:p>
    <w:p>
      <w:pPr>
        <w:pStyle w:val="BookText"/>
      </w:pPr>
      <w:r>
        <w:rPr>
          <w:rFonts w:ascii="IRNazanin" w:hAnsi="IRNazanin" w:eastAsia="IRNazanin" w:cs="IRNazanin"/>
          <w:lang w:bidi="fa-IR"/>
          <w:color w:val="111111"/>
          <w:sz w:val="28"/>
          <w:szCs w:val="28"/>
          <w:rtl/>
        </w:rPr>
        <w:t xml:space="preserve">زدوری تو لب خشک دو دیده تر دارم *** هزار شعله جان سوز در جگر دارم؛ انجام: شده از خلقت چون تو صنمی *** وصف بینی زنخستین قلمی/ لب لعلت که عقیق ناز است ***بی غلط برگ گل شادانست</w:t>
      </w:r>
    </w:p>
    <w:p>
      <w:pPr>
        <w:pStyle w:val="BookText"/>
      </w:pPr>
      <w:r>
        <w:rPr>
          <w:rFonts w:ascii="IRNazanin" w:hAnsi="IRNazanin" w:eastAsia="IRNazanin" w:cs="IRNazanin"/>
          <w:lang w:bidi="fa-IR"/>
          <w:color w:val="111111"/>
          <w:sz w:val="28"/>
          <w:szCs w:val="28"/>
          <w:rtl/>
        </w:rPr>
        <w:t xml:space="preserve">بیاضی است شامل اشعاری فارسی از این شاعران: مخمس فتح الله، غزل بیست و نه حروف ،جامی ،حافظ، سعدی، نیازی، رفیق زشت وزیبا ،عرفی، نوائی و رباعیات و قطعاتی از شعرایی که نامشان ذکر نشده؛ خط: نستعلیق شکسته ،کا: محمد نبی مشهور به آقا بزرگ فرزند محمد کریم، تا: برای سید عبدالله بن سید معصوم ۱۲۲۸ق؛ افتادگی: آغاز و انجام ؛جلد: تیماج مشکی، ۱۲۹ گ، ۶ سطر، قطع: بیاض رقعی، اندازه: 9</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سم [ف: ۳ - ۱۲۵۶]</w:t>
      </w:r>
    </w:p>
    <w:p>
      <w:pPr>
        <w:pStyle w:val="BookText"/>
      </w:pPr>
      <w:r>
        <w:rPr>
          <w:rFonts w:ascii="IRNazanin" w:hAnsi="IRNazanin" w:eastAsia="IRNazanin" w:cs="IRNazanin"/>
          <w:lang w:bidi="fa-IR"/>
          <w:color w:val="111111"/>
          <w:sz w:val="28"/>
          <w:szCs w:val="28"/>
          <w:rtl/>
        </w:rPr>
        <w:t xml:space="preserve">۱۱۰۴ . مشهد؛ رضوی؛ شماره نسخه: ۱۳۶۹۷</w:t>
      </w:r>
    </w:p>
    <w:p>
      <w:pPr>
        <w:pStyle w:val="BookText"/>
      </w:pPr>
      <w:r>
        <w:rPr>
          <w:rFonts w:ascii="IRNazanin" w:hAnsi="IRNazanin" w:eastAsia="IRNazanin" w:cs="IRNazanin"/>
          <w:lang w:bidi="fa-IR"/>
          <w:color w:val="111111"/>
          <w:sz w:val="28"/>
          <w:szCs w:val="28"/>
          <w:rtl/>
        </w:rPr>
        <w:t xml:space="preserve">آغاز: علی محمد و آله اجمعین، مخترع اینحکایت که در یونان زمین پادشاهی .... و او از هیچ مراد در دل بندی نداشت؛ انجام: گر بگردانند او را آن نه اوست ذره ایست از چشمه رخسار دوست</w:t>
      </w:r>
    </w:p>
    <w:p>
      <w:pPr>
        <w:pStyle w:val="BookText"/>
      </w:pPr>
      <w:r>
        <w:rPr>
          <w:rFonts w:ascii="IRNazanin" w:hAnsi="IRNazanin" w:eastAsia="IRNazanin" w:cs="IRNazanin"/>
          <w:lang w:bidi="fa-IR"/>
          <w:color w:val="111111"/>
          <w:sz w:val="28"/>
          <w:szCs w:val="28"/>
          <w:rtl/>
        </w:rPr>
        <w:t xml:space="preserve">گزیده ای است از مثنویات و قصاید و غزلیات، قطعات، رباعیات و ترجیع بند و ساقی نامه. از شاعران مختلف، از جمله: شمس تبریزی، خاقانی ،حافظ، جامی، صائب، محتشم کاشانی، آقا محمد عاشق اصفهانی، میرزا جعفر غیرت. قصاب، وحشی بافقی، نظیری، میر محمد معصوم کاشی، میرزا طاهر واقعه نویس، ملا عبد الرزاق فیاض و نظامی و نیز داستانی به نثر از حاجی [فتاحی] نیشابوری  و ترجیع بند معروف هاتف اصفهانی، مرآت الجمال صائب تبریزی، ترکیب بندهای مشهور وحشی بافقی، مثنویهای پیر و جوان میرزا نصیر و قضا و قدر محمد قلی سلیم و فرهاد و شیرین، مناجات نامه و مطالع ابرو و چشم و چین ابرو؛ خط: نستعلیق مخلوط به شکسته ،کا: علی اکبر زنجانی، تا: ۱۲۲۹ق؛
</w:t>
      </w:r>
    </w:p>
    <w:p>
      <w:pPr>
        <w:sectPr>
          <w:footerReference w:type="default" r:id="rId8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سطور چلیپا، که در انتهای داستان ضبط شده است ؛کاغذ: آبی ،جلد: تیماج یک لا دارچینی، ۱۵۰گ، مختلف السطر، اندازه:۱۰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۱۷ - ۴۵]</w:t>
      </w:r>
    </w:p>
    <w:p>
      <w:pPr>
        <w:pStyle w:val="BookText"/>
      </w:pPr>
      <w:r>
        <w:rPr>
          <w:rFonts w:ascii="IRNazanin" w:hAnsi="IRNazanin" w:eastAsia="IRNazanin" w:cs="IRNazanin"/>
          <w:lang w:bidi="fa-IR"/>
          <w:color w:val="111111"/>
          <w:sz w:val="28"/>
          <w:szCs w:val="28"/>
          <w:rtl/>
        </w:rPr>
        <w:t xml:space="preserve">۱۱۰۵. تهران؛ دانشگاه؛ شماره نسخه: ۷۵۷۶/۱۹</w:t>
      </w:r>
    </w:p>
    <w:p>
      <w:pPr>
        <w:pStyle w:val="BookText"/>
      </w:pPr>
      <w:r>
        <w:rPr>
          <w:rFonts w:ascii="IRNazanin" w:hAnsi="IRNazanin" w:eastAsia="IRNazanin" w:cs="IRNazanin"/>
          <w:lang w:bidi="fa-IR"/>
          <w:color w:val="111111"/>
          <w:sz w:val="28"/>
          <w:szCs w:val="28"/>
          <w:rtl/>
        </w:rPr>
        <w:t xml:space="preserve">قصيده مدحیه بهاریه است. اثر طبع عباس متخلص به آصفی درباره دوست علی خان معیرالممالک مورخ به ۱۳۳۲؛ خـط: نستعلیق، کا: محمد کاظم بن ابن هاشم، تا: ۱۲۳۲ق؛ کاغذ: فرنگی ،اندازه: ۲۶/۵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۴۴سم [ف : ۱۶ - ۶۳۶]</w:t>
      </w:r>
    </w:p>
    <w:p>
      <w:pPr>
        <w:pStyle w:val="BookText"/>
      </w:pPr>
      <w:r>
        <w:rPr>
          <w:rFonts w:ascii="IRNazanin" w:hAnsi="IRNazanin" w:eastAsia="IRNazanin" w:cs="IRNazanin"/>
          <w:lang w:bidi="fa-IR"/>
          <w:color w:val="111111"/>
          <w:sz w:val="28"/>
          <w:szCs w:val="28"/>
          <w:rtl/>
        </w:rPr>
        <w:t xml:space="preserve">۱۱۰۶. تهران؛ ملی؛ شماره نسخه: ۱۸۳۶۳</w:t>
      </w:r>
    </w:p>
    <w:p>
      <w:pPr>
        <w:pStyle w:val="BookText"/>
      </w:pPr>
      <w:r>
        <w:rPr>
          <w:rFonts w:ascii="IRNazanin" w:hAnsi="IRNazanin" w:eastAsia="IRNazanin" w:cs="IRNazanin"/>
          <w:lang w:bidi="fa-IR"/>
          <w:color w:val="111111"/>
          <w:sz w:val="28"/>
          <w:szCs w:val="28"/>
          <w:rtl/>
        </w:rPr>
        <w:t xml:space="preserve">بی کا، تا: ۱۲۳۲ق؛ انتقالی از کتابخانه پهلوی - مجموعه نوازی؛ ۵۸گ،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۱۶/۴سم [رایانه]</w:t>
      </w:r>
    </w:p>
    <w:p>
      <w:pPr>
        <w:pStyle w:val="BookText"/>
      </w:pPr>
      <w:r>
        <w:rPr>
          <w:rFonts w:ascii="IRNazanin" w:hAnsi="IRNazanin" w:eastAsia="IRNazanin" w:cs="IRNazanin"/>
          <w:lang w:bidi="fa-IR"/>
          <w:color w:val="111111"/>
          <w:sz w:val="28"/>
          <w:szCs w:val="28"/>
          <w:rtl/>
        </w:rPr>
        <w:t xml:space="preserve">۱۱۰۷. تهران؛ ملک؛ شماره نسخه: ۵۰۹۱/۱</w:t>
      </w:r>
    </w:p>
    <w:p>
      <w:pPr>
        <w:pStyle w:val="BookText"/>
      </w:pPr>
      <w:r>
        <w:rPr>
          <w:rFonts w:ascii="IRNazanin" w:hAnsi="IRNazanin" w:eastAsia="IRNazanin" w:cs="IRNazanin"/>
          <w:lang w:bidi="fa-IR"/>
          <w:color w:val="111111"/>
          <w:sz w:val="28"/>
          <w:szCs w:val="28"/>
          <w:rtl/>
        </w:rPr>
        <w:t xml:space="preserve">جنگ شعر از جامی ،حافظ، وفای خوارزمی، امیر شاهی، میـرزا محمد ،جرأت، میرزا اعجاز، میرزا محمد نوید، میرزا آفرین ،میرزا محمد توفیق کشمیری، میرزا هجری، میرزا محمد حزین، میرزا نظیری، هلالی سبزواری، میرزا محمد متین، مشتاق صفاهانی ،ملامشفقی ،ملا فوجی، نورالعین واقف، میرزا سخا، میرزاصائب صفاهانی، امیر همایون، ملا ظهوری ،مولانا قاسم، میرزا محـمد در کی، کلیم صفاهانی، میرزا حضوری، میرزا آشنا، میرزا حسـن، میرزا محمد معدوم، میرزا یحیی کاشی، میرزا محمد مشفقی ،وحشی، جامی، قاسم انوار، هلالی سبزواری، سلمان ساوجی، اهـلی شیرازی، امیر خسرو دهلوی، کمال خجندی، ملا محتشم کاشی، میرزا محمد فغانی، میرزا شریف، میرزا فایز، میر الهی، عاشق صفاهانی، میرزا محمد فردی، حکیم شفایی، میرزا نافع، مولانا سقا، یکتای ،کشمیری، میرزا قلندر، میرزا محمد فانی، میـرزا محرمی، میرزا محمد عاجز، میرزا محمد صفی، میرزا سهمی، میرزا سهیلی، قدسی مشهدی، امیر همایون، ابن یمین، میرزا محـمد لسانی، استاد لا أعلم، میر نجات، میرزا محمد طوسی، شیخ یعقوب، میرزا محمد جرمی، میرزا حسین معلوم، ضمیری صفاهانی، میرزا محمد امید، میرزا محمد وحید ،کاتبی، احمد شـاه، امانی مازندرانی ،مولوی طاهری، خواجه همام، نعمت خان ، سید صلابت خان، طاهر سخنور، میرزا محمد آهی، خواجه عصمت بخاری، میرزا محمد صافی، میرزا محب، میرزا محمد مقبول، میرزا محمد مفتون، میرزا محمد واضح،میرزا بینوا، میرزا نخستین، میرزا ،رابط ،سعدالدین، میرزا عطایی ؛خط: نستعلیق، بی کا، تا: جمادى الثانى ۱۲۳۳ق؛ کاغذ: نوعی ترمه، جلد: روغنی گل بوته درون گل نرگس، ۸ سطر ،اندازه: ۱۳/۶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۲۰/۸سم[ف:8- 201]</w:t>
      </w:r>
    </w:p>
    <w:p>
      <w:pPr>
        <w:pStyle w:val="BookText"/>
      </w:pPr>
      <w:r>
        <w:rPr>
          <w:rFonts w:ascii="IRNazanin" w:hAnsi="IRNazanin" w:eastAsia="IRNazanin" w:cs="IRNazanin"/>
          <w:lang w:bidi="fa-IR"/>
          <w:color w:val="111111"/>
          <w:sz w:val="28"/>
          <w:szCs w:val="28"/>
          <w:rtl/>
        </w:rPr>
        <w:t xml:space="preserve">۱۱۰۸. خوانسار؛ فاضل؛ شماره نسخه: ۲۰۴/۵</w:t>
      </w:r>
    </w:p>
    <w:p>
      <w:pPr>
        <w:pStyle w:val="BookText"/>
      </w:pPr>
      <w:r>
        <w:rPr>
          <w:rFonts w:ascii="IRNazanin" w:hAnsi="IRNazanin" w:eastAsia="IRNazanin" w:cs="IRNazanin"/>
          <w:lang w:bidi="fa-IR"/>
          <w:color w:val="111111"/>
          <w:sz w:val="28"/>
          <w:szCs w:val="28"/>
          <w:rtl/>
        </w:rPr>
        <w:t xml:space="preserve">اشعار فارسی در جستن اعضاء و اختلاجات به نقل از ذو القرنين؛ خط: نسخ و نستعلیق، بی کا، تا: رجب ۱۲۳۳ق، جا: اصفهان؛ کاغذ: آهار مهره؛ جلد: تیماج مشکی ضربی عطف تیماج مشکی،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 - ۱۵۴]</w:t>
      </w:r>
    </w:p>
    <w:p>
      <w:pPr>
        <w:pStyle w:val="BookText"/>
      </w:pPr>
      <w:r>
        <w:rPr>
          <w:rFonts w:ascii="IRNazanin" w:hAnsi="IRNazanin" w:eastAsia="IRNazanin" w:cs="IRNazanin"/>
          <w:lang w:bidi="fa-IR"/>
          <w:color w:val="111111"/>
          <w:sz w:val="28"/>
          <w:szCs w:val="28"/>
          <w:rtl/>
        </w:rPr>
        <w:t xml:space="preserve">۱۱۰۹. خوانسار؛ فاضل؛ شماره نسخه: ۲۰۴/۴</w:t>
      </w:r>
    </w:p>
    <w:p>
      <w:pPr>
        <w:pStyle w:val="BookText"/>
      </w:pPr>
      <w:r>
        <w:rPr>
          <w:rFonts w:ascii="IRNazanin" w:hAnsi="IRNazanin" w:eastAsia="IRNazanin" w:cs="IRNazanin"/>
          <w:lang w:bidi="fa-IR"/>
          <w:color w:val="111111"/>
          <w:sz w:val="28"/>
          <w:szCs w:val="28"/>
          <w:rtl/>
        </w:rPr>
        <w:t xml:space="preserve">جنگ اشعار از عارف؛ خط: نسخ و نستعلیق، بی کا، تا: رجب ۱۲۳۳ق، جا: اصفهان؛ کاغذ: آهار مهره؛ جلد: تیماج مشکی ضربی، عطف تیماج مشکی،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 - ۱۵۴]</w:t>
      </w:r>
    </w:p>
    <w:p>
      <w:pPr>
        <w:pStyle w:val="BookText"/>
      </w:pPr>
      <w:r>
        <w:rPr>
          <w:rFonts w:ascii="Times New Roman" w:hAnsi="Times New Roman" w:eastAsia="Times New Roman" w:cs="Times New Roman"/>
          <w:lang w:val="en-US" w:bidi="en-US"/>
          <w:color w:val="111111"/>
          <w:sz w:val="28"/>
          <w:szCs w:val="28"/>
          <w:rtl/>
        </w:rPr>
        <w:t xml:space="preserve">1110.</w:t>
      </w:r>
    </w:p>
    <w:p>
      <w:pPr>
        <w:pStyle w:val="BookText"/>
      </w:pPr>
      <w:r>
        <w:rPr>
          <w:rFonts w:ascii="IRNazanin" w:hAnsi="IRNazanin" w:eastAsia="IRNazanin" w:cs="IRNazanin"/>
          <w:lang w:bidi="fa-IR"/>
          <w:color w:val="111111"/>
          <w:sz w:val="28"/>
          <w:szCs w:val="28"/>
          <w:rtl/>
        </w:rPr>
        <w:t xml:space="preserve">خوانسار؛ فاضل؛ شماره نسخه ۲۰۴/۸</w:t>
      </w:r>
    </w:p>
    <w:p>
      <w:pPr>
        <w:pStyle w:val="BookText"/>
      </w:pPr>
      <w:r>
        <w:rPr>
          <w:rFonts w:ascii="IRNazanin" w:hAnsi="IRNazanin" w:eastAsia="IRNazanin" w:cs="IRNazanin"/>
          <w:lang w:bidi="fa-IR"/>
          <w:color w:val="111111"/>
          <w:sz w:val="28"/>
          <w:szCs w:val="28"/>
          <w:rtl/>
        </w:rPr>
        <w:t xml:space="preserve">جنگ اشعار مختلفی است در موضوعات مختلف از شعرائی همچون: طالب آملی، قاضی اسدالله کاشانی و میرزا همت؛ خط: نسخ و نستعلیق، بی کا، تا: رجب ۱۲۳۳ق، جا: اصفهان؛ کاغذ: آهار مهره؛ جلد: تيماج مشکی ضربی عطف تیماج مشکی،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 - ۱۵۴]</w:t>
      </w:r>
    </w:p>
    <w:p>
      <w:pPr>
        <w:pStyle w:val="BookText"/>
      </w:pPr>
      <w:r>
        <w:rPr>
          <w:rFonts w:ascii="IRNazanin" w:hAnsi="IRNazanin" w:eastAsia="IRNazanin" w:cs="IRNazanin"/>
          <w:lang w:bidi="fa-IR"/>
          <w:color w:val="111111"/>
          <w:sz w:val="28"/>
          <w:szCs w:val="28"/>
          <w:rtl/>
        </w:rPr>
        <w:t xml:space="preserve">1۱۱۱. خوانسار؛ فاضل؛ شماره نسخه: ۲۰۴/۱۴</w:t>
      </w:r>
    </w:p>
    <w:p>
      <w:pPr>
        <w:pStyle w:val="BookText"/>
      </w:pPr>
      <w:r>
        <w:rPr>
          <w:rFonts w:ascii="IRNazanin" w:hAnsi="IRNazanin" w:eastAsia="IRNazanin" w:cs="IRNazanin"/>
          <w:lang w:bidi="fa-IR"/>
          <w:color w:val="111111"/>
          <w:sz w:val="28"/>
          <w:szCs w:val="28"/>
          <w:rtl/>
        </w:rPr>
        <w:t xml:space="preserve">جنگ اشعار مختلفی در موضوعات مختلف از شعرائی چون: شیخ آذری، میرزا همت ،قطب، سعدی افرنکی، میر صیدی همدانی و ملا عرفی، ملا لطف الله لاهیجی طالب آملی، کمال اسمعیل و .... ؛خط: نسخ و نستعلیق، بی کا، تا: رجب ۱۲۳۳ق، جا: اصفهان؛ کاغذ: آهار مهره ،جلد: تیماج مشکی ضربی عطف تیماج مشکی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 ۱۵۵]</w:t>
      </w:r>
    </w:p>
    <w:p>
      <w:pPr>
        <w:pStyle w:val="BookText"/>
      </w:pPr>
      <w:r>
        <w:rPr>
          <w:rFonts w:ascii="IRNazanin" w:hAnsi="IRNazanin" w:eastAsia="IRNazanin" w:cs="IRNazanin"/>
          <w:lang w:bidi="fa-IR"/>
          <w:color w:val="111111"/>
          <w:sz w:val="28"/>
          <w:szCs w:val="28"/>
          <w:rtl/>
        </w:rPr>
        <w:t xml:space="preserve">۱۱۱۲. خوانسار؛ فاضل شماره نسخه: ۲۰۴/۲۰</w:t>
      </w:r>
    </w:p>
    <w:p>
      <w:pPr>
        <w:pStyle w:val="BookText"/>
      </w:pPr>
      <w:r>
        <w:rPr>
          <w:rFonts w:ascii="IRNazanin" w:hAnsi="IRNazanin" w:eastAsia="IRNazanin" w:cs="IRNazanin"/>
          <w:lang w:bidi="fa-IR"/>
          <w:color w:val="111111"/>
          <w:sz w:val="28"/>
          <w:szCs w:val="28"/>
          <w:rtl/>
        </w:rPr>
        <w:t xml:space="preserve">جنگ اشعاری است از: هلالی ،نظری ،بوذرجمهر و ..... ؛خط: نسخ  و نستعلیق، بی کا ،تا: رجب ۱۲۳۳ق، جا: اصفهان؛ کاغذ: آهار مهره، جلد: تیماج مشکی ضربی، عطف تیماج مشکی،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 - ۱۵۶]</w:t>
      </w:r>
    </w:p>
    <w:p>
      <w:pPr>
        <w:pStyle w:val="BookText"/>
      </w:pPr>
      <w:r>
        <w:rPr>
          <w:rFonts w:ascii="IRNazanin" w:hAnsi="IRNazanin" w:eastAsia="IRNazanin" w:cs="IRNazanin"/>
          <w:lang w:bidi="fa-IR"/>
          <w:color w:val="111111"/>
          <w:sz w:val="28"/>
          <w:szCs w:val="28"/>
          <w:rtl/>
        </w:rPr>
        <w:t xml:space="preserve">۱۱۱۳. تبریز؛ ملی؛ شماره نسخه: ۲۷۲۳</w:t>
      </w:r>
    </w:p>
    <w:p>
      <w:pPr>
        <w:pStyle w:val="BookText"/>
      </w:pPr>
      <w:r>
        <w:rPr>
          <w:rFonts w:ascii="IRNazanin" w:hAnsi="IRNazanin" w:eastAsia="IRNazanin" w:cs="IRNazanin"/>
          <w:lang w:bidi="fa-IR"/>
          <w:color w:val="111111"/>
          <w:sz w:val="28"/>
          <w:szCs w:val="28"/>
          <w:rtl/>
        </w:rPr>
        <w:t xml:space="preserve">مجموعه اشعار منتخب است ؛خط: تعلیق، کا: سید احمد مازندرانی نامی، تا: ۱۲۳۳ق؛ جلد: چرمی سیاه،۱۲۲گ، ۱۴ سطر  [ ف: ۱ - ۳۴۲]</w:t>
      </w:r>
    </w:p>
    <w:p>
      <w:pPr>
        <w:pStyle w:val="BookText"/>
      </w:pPr>
      <w:r>
        <w:rPr>
          <w:rFonts w:ascii="IRNazanin" w:hAnsi="IRNazanin" w:eastAsia="IRNazanin" w:cs="IRNazanin"/>
          <w:lang w:bidi="fa-IR"/>
          <w:color w:val="111111"/>
          <w:sz w:val="28"/>
          <w:szCs w:val="28"/>
          <w:rtl/>
        </w:rPr>
        <w:t xml:space="preserve">۱۱۱۴. تهران؛ دانشگاه؛ شماره نسخه: ۲۹۳۱/۱</w:t>
      </w:r>
    </w:p>
    <w:p>
      <w:pPr>
        <w:pStyle w:val="BookText"/>
      </w:pPr>
      <w:r>
        <w:rPr>
          <w:rFonts w:ascii="IRNazanin" w:hAnsi="IRNazanin" w:eastAsia="IRNazanin" w:cs="IRNazanin"/>
          <w:lang w:bidi="fa-IR"/>
          <w:color w:val="111111"/>
          <w:sz w:val="28"/>
          <w:szCs w:val="28"/>
          <w:rtl/>
        </w:rPr>
        <w:t xml:space="preserve">جنگ شعر است از وحشی ،(1متن) حسین ثنایی (۶)، مجیر بیلقانی (۱۱)، ظهیر فاریابی، قاضی نور اصفهانی (۱۴)، ملک قمی، نفیس (۱۷) ، عصمت بخارایی، بنایی هروی (۱۷ و ۲۰)، شیخ نظامی ،(۲۲) تموزیه میرزا قلی هیلی، غیرتی شیرازی، عرفی و نثاری (۲۵)، سلمان ساوجی عرفی شیرازی، محتشم کاشی، فتحعلیخان صبا (۳۲) سید محمد شعله ،خرد ،جامی، میرزا رضی دانش (۳۶) شیخ بهایی خادم (۲ سر صفحه) هاتف، كمال (۷)، مجمر(14) با بافغانی شیرازی، لسانی (۱۷) و ۴۷) مسیح کاشی، شهید ،قاضی احمد فگاری (۱۸) امیر ،خسرو ،عنصری، اشهری نیشابوری (۲۱)، ابن سينا (۲۸) مغربی عربی و فارسی (۳۲) مشتاق (۴۳) کل سیستانی ،شکیبی، رضی همدانی (۴۸) ادهم، امیر معصوم، میر محسن سیستانی، اوجی نطنزی، آقا رضی اصفهانی، بهشتی هراتی (۵۰)، میر برهان ابرقویی، رونقی همدانی (۵۶)، اسمعیل بیک انسی، محوی اردبیلی، لطیفای اردبیلی، اوحدی اصفهانی، کلیم، ،نصرت، ابوالفرج ،((۶۰) کمال خجندی، مشفقی بخاری، شریف تبریز، خان احمد گیلانی، سلطان حسین میرزا، تکش خان (۶۴) مجدالدین ابوسنجر ،فخرالدین، ظهیرالدین اصفهانی و شیخ
</w:t>
      </w:r>
    </w:p>
    <w:p>
      <w:pPr>
        <w:sectPr>
          <w:footerReference w:type="default" r:id="rId8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ابوسعید ابوالخیر، حافظ مجیب علی درباره عشق باقی خان اوزبک، احمد جامی، مسعود سعد (۶۷) فتحعلیخان صبا در پاسخ لغزی به نام خربزه، خیام (۱۲۷-۱۲۸)، شعرهای دیگر هم درآن هست نیز سه بند به نثر ؛خط: نستعلیق، کا: محمود بن میرزا ابوالقاسم خویی، تا: رجب ۱۲۳۴ق؛ کاغذ: فرنگی، جلد: مقوا،28 سطر و چلیپا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۳۸سم [ف : ۱۰ - ۱۷۹۲]</w:t>
      </w:r>
    </w:p>
    <w:p>
      <w:pPr>
        <w:pStyle w:val="BookText"/>
      </w:pPr>
      <w:r>
        <w:rPr>
          <w:rFonts w:ascii="IRNazanin" w:hAnsi="IRNazanin" w:eastAsia="IRNazanin" w:cs="IRNazanin"/>
          <w:lang w:bidi="fa-IR"/>
          <w:color w:val="111111"/>
          <w:sz w:val="28"/>
          <w:szCs w:val="28"/>
          <w:rtl/>
        </w:rPr>
        <w:t xml:space="preserve">۱۱۱۵. تهران؛ مفتاح؛ شماره نسخه: ۶۲۰/۲</w:t>
      </w:r>
    </w:p>
    <w:p>
      <w:pPr>
        <w:pStyle w:val="BookText"/>
      </w:pPr>
      <w:r>
        <w:rPr>
          <w:rFonts w:ascii="IRNazanin" w:hAnsi="IRNazanin" w:eastAsia="IRNazanin" w:cs="IRNazanin"/>
          <w:lang w:bidi="fa-IR"/>
          <w:color w:val="111111"/>
          <w:sz w:val="28"/>
          <w:szCs w:val="28"/>
          <w:rtl/>
        </w:rPr>
        <w:t xml:space="preserve">چند ترجیع بند؛ خط: نستعلیق، بی کا، تا: شوال ۱۲۳۴ق؛ در متن و هامش، با تاریخ ۱۶ رمضان ۱۲۲۳ از رجب علی سمسار کرمانی پسر علی اکبر سلطان خراسانی، در میانه تاریخ رمضان 1332؛ قطع: ربعی [ نشریه: ۷ - ۲۵۰]</w:t>
      </w:r>
    </w:p>
    <w:p>
      <w:pPr>
        <w:pStyle w:val="BookText"/>
      </w:pPr>
      <w:r>
        <w:rPr>
          <w:rFonts w:ascii="IRNazanin" w:hAnsi="IRNazanin" w:eastAsia="IRNazanin" w:cs="IRNazanin"/>
          <w:lang w:bidi="fa-IR"/>
          <w:color w:val="111111"/>
          <w:sz w:val="28"/>
          <w:szCs w:val="28"/>
          <w:rtl/>
        </w:rPr>
        <w:t xml:space="preserve">۱۱۱۶. تهران؛ دانشگاه؛ شماره نسخه: ۶۴۹۲/۵</w:t>
      </w:r>
    </w:p>
    <w:p>
      <w:pPr>
        <w:pStyle w:val="BookText"/>
      </w:pPr>
      <w:r>
        <w:rPr>
          <w:rFonts w:ascii="IRNazanin" w:hAnsi="IRNazanin" w:eastAsia="IRNazanin" w:cs="IRNazanin"/>
          <w:lang w:bidi="fa-IR"/>
          <w:color w:val="111111"/>
          <w:sz w:val="28"/>
          <w:szCs w:val="28"/>
          <w:rtl/>
        </w:rPr>
        <w:t xml:space="preserve">قطعه منسوب به ناصر خسرو؛ خط: نستعلیق، کا: رضا قلی، تا: ربیع الاول ۱۲۳۴ق؛ کاغذ: فرنگی ،جلد: تیماج عنابی ضربی مقوایی، ۱۵ سطر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قطع: ربعی،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۱۶ - 278]</w:t>
      </w:r>
    </w:p>
    <w:p>
      <w:pPr>
        <w:pStyle w:val="BookText"/>
      </w:pPr>
      <w:r>
        <w:rPr>
          <w:rFonts w:ascii="IRNazanin" w:hAnsi="IRNazanin" w:eastAsia="IRNazanin" w:cs="IRNazanin"/>
          <w:lang w:bidi="fa-IR"/>
          <w:color w:val="111111"/>
          <w:sz w:val="28"/>
          <w:szCs w:val="28"/>
          <w:rtl/>
        </w:rPr>
        <w:t xml:space="preserve">۱۱۱۷. تهران؛ سلطنتی؛ شماره نسخه: ۵۴۱</w:t>
      </w:r>
    </w:p>
    <w:p>
      <w:pPr>
        <w:pStyle w:val="BookText"/>
      </w:pPr>
      <w:r>
        <w:rPr>
          <w:rFonts w:ascii="IRNazanin" w:hAnsi="IRNazanin" w:eastAsia="IRNazanin" w:cs="IRNazanin"/>
          <w:lang w:bidi="fa-IR"/>
          <w:color w:val="111111"/>
          <w:sz w:val="28"/>
          <w:szCs w:val="28"/>
          <w:rtl/>
        </w:rPr>
        <w:t xml:space="preserve">آغاز: آن روی بین که حسن بپوشیده ماه را *** وان دام زلف و دانه و خال سیاه را ؛انجام: سر خوش از غفلت این بی خبران اسـت نشاط *** ورنه با زحمت نادان نزید دانائی / سنگ طفلان بردش جانب شهر ار به کجا *** دل دیوانه کشد جز بسوی صحرائی</w:t>
      </w:r>
    </w:p>
    <w:p>
      <w:pPr>
        <w:pStyle w:val="BookText"/>
      </w:pPr>
      <w:r>
        <w:rPr>
          <w:rFonts w:ascii="IRNazanin" w:hAnsi="IRNazanin" w:eastAsia="IRNazanin" w:cs="IRNazanin"/>
          <w:lang w:bidi="fa-IR"/>
          <w:color w:val="111111"/>
          <w:sz w:val="28"/>
          <w:szCs w:val="28"/>
          <w:rtl/>
        </w:rPr>
        <w:t xml:space="preserve">اشعار از: شیخ سعدی شیرازی ،حافظ، نشاط، که دارای یک قـافیه و به استقبال از یکدیگر سروده شده است به ترتیب قوافی جـمع آوری شده است؛ خط: نستعلیق شکسته، کا: زین العابدین،تا: ۱۲۳۴ق؛ مجدول ،مذهب، کمند کشی، با یک سرلوح در پیشـانی صفحه اول که مذهب مرصع مزدوج و بسیار پر کار است؛ مـهر: ناصر الدین شاه قاجار ۱۲۷۴؛ کاغذ: ترمه ضخیم آهار مهره، جـلد: مقوای روغنی بوم گلی رنگ نقده نشان منقش به انواع گل برگ های تزئینی، اندرون بوم ماشی رنگ وسط یک شاخه نرگس و دو شاخه گل مینا و دو پروانه، ۹۴ص، ۱۱سطر، قطع: وزیری، اندازه: ۱۶/۶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۲۶/۵سم [ف: ۴ - ۱۰۳۸]</w:t>
      </w:r>
    </w:p>
    <w:p>
      <w:pPr>
        <w:pStyle w:val="BookText"/>
      </w:pPr>
      <w:r>
        <w:rPr>
          <w:rFonts w:ascii="IRNazanin" w:hAnsi="IRNazanin" w:eastAsia="IRNazanin" w:cs="IRNazanin"/>
          <w:lang w:bidi="fa-IR"/>
          <w:color w:val="111111"/>
          <w:sz w:val="28"/>
          <w:szCs w:val="28"/>
          <w:rtl/>
        </w:rPr>
        <w:t xml:space="preserve">۱۱۱۸. تهران؛ مجلس؛ شماره نسخه: ۱۸۶۴۱ ض</w:t>
      </w:r>
    </w:p>
    <w:p>
      <w:pPr>
        <w:pStyle w:val="BookText"/>
      </w:pPr>
      <w:r>
        <w:rPr>
          <w:rFonts w:ascii="IRNazanin" w:hAnsi="IRNazanin" w:eastAsia="IRNazanin" w:cs="IRNazanin"/>
          <w:lang w:bidi="fa-IR"/>
          <w:color w:val="111111"/>
          <w:sz w:val="28"/>
          <w:szCs w:val="28"/>
          <w:rtl/>
        </w:rPr>
        <w:t xml:space="preserve">قصیده بی نقطه ای است ؛خط: نستعلیق، بی کا، تا: ۱۲۳۵ق [د.ث.مجلس ]</w:t>
      </w:r>
    </w:p>
    <w:p>
      <w:pPr>
        <w:pStyle w:val="BookText"/>
      </w:pPr>
      <w:r>
        <w:rPr>
          <w:rFonts w:ascii="IRNazanin" w:hAnsi="IRNazanin" w:eastAsia="IRNazanin" w:cs="IRNazanin"/>
          <w:lang w:bidi="fa-IR"/>
          <w:color w:val="111111"/>
          <w:sz w:val="28"/>
          <w:szCs w:val="28"/>
          <w:rtl/>
        </w:rPr>
        <w:t xml:space="preserve">۱۱۱۹. تهران؛ ملی؛ شماره نسخه: ۱۷۳۷۸</w:t>
      </w:r>
    </w:p>
    <w:p>
      <w:pPr>
        <w:pStyle w:val="BookText"/>
      </w:pPr>
      <w:r>
        <w:rPr>
          <w:rFonts w:ascii="IRNazanin" w:hAnsi="IRNazanin" w:eastAsia="IRNazanin" w:cs="IRNazanin"/>
          <w:lang w:bidi="fa-IR"/>
          <w:color w:val="111111"/>
          <w:sz w:val="28"/>
          <w:szCs w:val="28"/>
          <w:rtl/>
        </w:rPr>
        <w:t xml:space="preserve">جنگ اشعار؛ بی کا، تا: ۱۲۳۵ق، خریداری از مصطفی حسینی؛ ۲۶گ، اندازه: ۱۵/۷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۲۲/۵سم [رایانه]</w:t>
      </w:r>
    </w:p>
    <w:p>
      <w:pPr>
        <w:pStyle w:val="BookText"/>
      </w:pPr>
      <w:r>
        <w:rPr>
          <w:rFonts w:ascii="Times New Roman" w:hAnsi="Times New Roman" w:eastAsia="Times New Roman" w:cs="Times New Roman"/>
          <w:lang w:val="en-US" w:bidi="en-US"/>
          <w:color w:val="111111"/>
          <w:sz w:val="28"/>
          <w:szCs w:val="28"/>
          <w:rtl/>
        </w:rPr>
        <w:t xml:space="preserve">1120.</w:t>
      </w:r>
    </w:p>
    <w:p>
      <w:pPr>
        <w:pStyle w:val="BookText"/>
      </w:pPr>
      <w:r>
        <w:rPr>
          <w:rFonts w:ascii="IRNazanin" w:hAnsi="IRNazanin" w:eastAsia="IRNazanin" w:cs="IRNazanin"/>
          <w:lang w:bidi="fa-IR"/>
          <w:color w:val="111111"/>
          <w:sz w:val="28"/>
          <w:szCs w:val="28"/>
          <w:rtl/>
        </w:rPr>
        <w:t xml:space="preserve">تهران؛ ملک؛ شماره نسخه: ۲۷۵۰/۳</w:t>
      </w:r>
    </w:p>
    <w:p>
      <w:pPr>
        <w:pStyle w:val="BookText"/>
      </w:pPr>
      <w:r>
        <w:rPr>
          <w:rFonts w:ascii="IRNazanin" w:hAnsi="IRNazanin" w:eastAsia="IRNazanin" w:cs="IRNazanin"/>
          <w:lang w:bidi="fa-IR"/>
          <w:color w:val="111111"/>
          <w:sz w:val="28"/>
          <w:szCs w:val="28"/>
          <w:rtl/>
        </w:rPr>
        <w:t xml:space="preserve">قصاید فارسی در ستایش شاه محمود افغان و نکوهش اسمعیل مستوفی، و عبدالشکور خان و حاجی الله وردی خباز و میـرزا صالح انباردار و هجوهای کسان دیگر مانند میرزا الله بخش کلانتر غوریان و میرزا جمعه اوکلی و آقا یوسف و جانی خان غلجائی و جانی دواتگر، آقا یوسف، آقا رضا غوغائی، عثمان خان بارکزائی و سلیمان خان چنگیزی و حسن خان برادر قلیچ خان، ستایش شاه محمود، شعرها از یکی از شعرای افغانی است؛ خط: نستعلیق، کا: احمد بیات نیشابوری، تا: ۱۲۳۵ق؛ کاغذ: ترمه، جلد: میشن سیاه لبه دار، ۱۶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۳۰سم [ف: ۶ - ۱۰۴]</w:t>
      </w:r>
    </w:p>
    <w:p>
      <w:pPr>
        <w:pStyle w:val="BookText"/>
      </w:pPr>
      <w:r>
        <w:rPr>
          <w:rFonts w:ascii="IRNazanin" w:hAnsi="IRNazanin" w:eastAsia="IRNazanin" w:cs="IRNazanin"/>
          <w:lang w:bidi="fa-IR"/>
          <w:color w:val="111111"/>
          <w:sz w:val="28"/>
          <w:szCs w:val="28"/>
          <w:rtl/>
        </w:rPr>
        <w:t xml:space="preserve">۱۱۲۱. تهران؛ مجلس؛ شماره نسخه: ۱۳۱۵۸/۱۶</w:t>
      </w:r>
    </w:p>
    <w:p>
      <w:pPr>
        <w:pStyle w:val="BookText"/>
      </w:pPr>
      <w:r>
        <w:rPr>
          <w:rFonts w:ascii="IRNazanin" w:hAnsi="IRNazanin" w:eastAsia="IRNazanin" w:cs="IRNazanin"/>
          <w:lang w:bidi="fa-IR"/>
          <w:color w:val="111111"/>
          <w:sz w:val="28"/>
          <w:szCs w:val="28"/>
          <w:rtl/>
        </w:rPr>
        <w:t xml:space="preserve">آغاز: چند گویی چو فاخته کوکو *** عاشقان لا اله الا هو</w:t>
      </w:r>
    </w:p>
    <w:p>
      <w:pPr>
        <w:pStyle w:val="BookText"/>
      </w:pPr>
      <w:r>
        <w:rPr>
          <w:rFonts w:ascii="IRNazanin" w:hAnsi="IRNazanin" w:eastAsia="IRNazanin" w:cs="IRNazanin"/>
          <w:lang w:bidi="fa-IR"/>
          <w:color w:val="111111"/>
          <w:sz w:val="28"/>
          <w:szCs w:val="28"/>
          <w:rtl/>
        </w:rPr>
        <w:t xml:space="preserve">ترجیع بند ملا رفیع است؛ خط: شکسته نستعلیق چلیپا، کا: محمد ولی، تا: ۱۲۳۵ق؛ مجدول مذهب مرصع؛ جلد: تیماج قرمز، ۶گ( ۱۲۸ ر - ۱۳۴پ) [ف: ۳۶ - ۲۳۹]</w:t>
      </w:r>
    </w:p>
    <w:p>
      <w:pPr>
        <w:pStyle w:val="BookText"/>
      </w:pPr>
      <w:r>
        <w:rPr>
          <w:rFonts w:ascii="IRNazanin" w:hAnsi="IRNazanin" w:eastAsia="IRNazanin" w:cs="IRNazanin"/>
          <w:lang w:bidi="fa-IR"/>
          <w:color w:val="111111"/>
          <w:sz w:val="28"/>
          <w:szCs w:val="28"/>
          <w:rtl/>
        </w:rPr>
        <w:t xml:space="preserve">۱۱۲۲. تهران؛ مجلس؛ شماره نسخه ۱۳۹۳۹/۲</w:t>
      </w:r>
    </w:p>
    <w:p>
      <w:pPr>
        <w:pStyle w:val="BookText"/>
      </w:pPr>
      <w:r>
        <w:rPr>
          <w:rFonts w:ascii="IRNazanin" w:hAnsi="IRNazanin" w:eastAsia="IRNazanin" w:cs="IRNazanin"/>
          <w:lang w:bidi="fa-IR"/>
          <w:color w:val="111111"/>
          <w:sz w:val="28"/>
          <w:szCs w:val="28"/>
          <w:rtl/>
        </w:rPr>
        <w:t xml:space="preserve">آغاز: در روز جوانی چه کنی یاد شب او *** شب رفت دگر آمد شد عمر یکی کو / کو آن بط سیمین بر و شکر لب مه رو *** کو سبز و بستان ریاحین و لب جو؛ انجام: تا چشم بهم میزنی ای خواجه تباهیم *** ما جمله در این بادیه سوزان گناهیم / کوکو همه این گفته و ما نیز گواهیم *** آن رفت که دیدی حالا کوکو  حالا كوكو</w:t>
      </w:r>
    </w:p>
    <w:p>
      <w:pPr>
        <w:pStyle w:val="BookText"/>
      </w:pPr>
      <w:r>
        <w:rPr>
          <w:rFonts w:ascii="IRNazanin" w:hAnsi="IRNazanin" w:eastAsia="IRNazanin" w:cs="IRNazanin"/>
          <w:lang w:bidi="fa-IR"/>
          <w:color w:val="111111"/>
          <w:sz w:val="28"/>
          <w:szCs w:val="28"/>
          <w:rtl/>
        </w:rPr>
        <w:t xml:space="preserve">ترکیب بندی است موسوم به «کوکو»، ترجیع بند دیگری از ملا رفیع در شماره [قبلی] با قافیه «کوکو» با عنوان «ترجیع بند ملا رفیع» معرفی گردید و گویا ترکیب بند حاضر نیز از اوست؛ خط: نستعلیق، بی کا، بی تا :جلد: تیماج مشکی مجدول گرهی، اگ (۲۵ر - ۲۶پ) [ف: ۳۷ - ۵۲۹]</w:t>
      </w:r>
    </w:p>
    <w:p>
      <w:pPr>
        <w:pStyle w:val="BookText"/>
      </w:pPr>
      <w:r>
        <w:rPr>
          <w:rFonts w:ascii="IRNazanin" w:hAnsi="IRNazanin" w:eastAsia="IRNazanin" w:cs="IRNazanin"/>
          <w:lang w:bidi="fa-IR"/>
          <w:color w:val="111111"/>
          <w:sz w:val="28"/>
          <w:szCs w:val="28"/>
          <w:rtl/>
        </w:rPr>
        <w:t xml:space="preserve">۱۱۲۳ . مشهد؛ رضوی؛ شماره نسخه: ۸۳۴۴</w:t>
      </w:r>
    </w:p>
    <w:p>
      <w:pPr>
        <w:pStyle w:val="BookText"/>
      </w:pPr>
      <w:r>
        <w:rPr>
          <w:rFonts w:ascii="IRNazanin" w:hAnsi="IRNazanin" w:eastAsia="IRNazanin" w:cs="IRNazanin"/>
          <w:lang w:bidi="fa-IR"/>
          <w:color w:val="111111"/>
          <w:sz w:val="28"/>
          <w:szCs w:val="28"/>
          <w:rtl/>
        </w:rPr>
        <w:t xml:space="preserve">مشتمل است بر چند مثنوی کوتاه و چندین قصیده و غزل و قطعه و رباعی از شعرای مختلف: ۱- آتشکده، ۲- مثنوی آذر، ۳- بهاریه= پیر و جوان، ۴- مثنوی طوفان، ۵- مثنوی صفا، ۶- متفرقات؛ خط: شکسته نستعلیق، بی کا، تا: ۱۲۳۵ق؛ واقف: سردار کل یار محمد خان افشار، ۲۵ خرداد ۱۳۳۲ق؛ مجدول، چلیپا و دو ستونی؛ کاغذ: فرنگی الوان و آهار مهره، جلد: تیماج یک لا، ۹۶گ، ۸ سطر (۵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۸/۹) ، اندازه: ۷/۸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۱۴م [ف: ۷ - ۲۲۲]</w:t>
      </w:r>
    </w:p>
    <w:p>
      <w:pPr>
        <w:pStyle w:val="BookText"/>
      </w:pPr>
      <w:r>
        <w:rPr>
          <w:rFonts w:ascii="IRNazanin" w:hAnsi="IRNazanin" w:eastAsia="IRNazanin" w:cs="IRNazanin"/>
          <w:lang w:bidi="fa-IR"/>
          <w:color w:val="111111"/>
          <w:sz w:val="28"/>
          <w:szCs w:val="28"/>
          <w:rtl/>
        </w:rPr>
        <w:t xml:space="preserve">۱۱۲۴ . قم؛ طبسی؛ شماره نسخه: ۸۰۱</w:t>
      </w:r>
    </w:p>
    <w:p>
      <w:pPr>
        <w:pStyle w:val="BookText"/>
      </w:pPr>
      <w:r>
        <w:rPr>
          <w:rFonts w:ascii="IRNazanin" w:hAnsi="IRNazanin" w:eastAsia="IRNazanin" w:cs="IRNazanin"/>
          <w:lang w:bidi="fa-IR"/>
          <w:color w:val="111111"/>
          <w:sz w:val="28"/>
          <w:szCs w:val="28"/>
          <w:rtl/>
        </w:rPr>
        <w:t xml:space="preserve">آغاز: سميع است و علیم است و قدیر است *** ... حی مرید است واحد است؛ انجام: الغرض يا رسول حق بتول *** بنما التجاى بنده قبول/ هزاران درود و هزاران سلام *** زما بر محمد علیه السلام</w:t>
      </w:r>
    </w:p>
    <w:p>
      <w:pPr>
        <w:pStyle w:val="BookText"/>
      </w:pPr>
      <w:r>
        <w:rPr>
          <w:rFonts w:ascii="IRNazanin" w:hAnsi="IRNazanin" w:eastAsia="IRNazanin" w:cs="IRNazanin"/>
          <w:lang w:bidi="fa-IR"/>
          <w:color w:val="111111"/>
          <w:sz w:val="28"/>
          <w:szCs w:val="28"/>
          <w:rtl/>
        </w:rPr>
        <w:t xml:space="preserve">مجموعه ای است از اشعار فارسی، از جمله منظومه ای در بیان اصول عقاید و فروع شیعی ساخته برای تعلیم بچه های مکتب خانه از شاعری با تخلص (واحد) به عرض دوستان غيب شاهد *** مر این را می رساند بنده واحد/ که آنچه در این منظومه گفتم ... / تمامی هست در تفسیر قرآن *** دیگر قول نبی و هم امامان/ بود لازم که این منظومه ام را *** بگویند و بخوانندش بهر جا، پس از آن منظومه ای است به نام «معراج نامه» با مطلع: «ای خدا نطق بسته ام واکن *** در ثنای رسول گویا کن/ دل شوریده را صفایی ده *** سینه را صیقل جلائی ده»، تخلص شاعر «صالح» است صالحت را</w:t>
      </w:r>
    </w:p>
    <w:p>
      <w:pPr>
        <w:pStyle w:val="BookText"/>
      </w:pPr>
      <w:r>
        <w:rPr>
          <w:rFonts w:ascii="IRNazanin" w:hAnsi="IRNazanin" w:eastAsia="IRNazanin" w:cs="IRNazanin"/>
          <w:lang w:bidi="fa-IR"/>
          <w:color w:val="111111"/>
          <w:sz w:val="28"/>
          <w:szCs w:val="28"/>
          <w:rtl/>
        </w:rPr>
        <w:t xml:space="preserve">از عطا دریاب *** تا نباشد خفیف در هر باب؛ خط: نستعلیق، بی کا، تا: پنج شنبه ۴ ذیقعده ۱۲۳۶ق؛ جلد: تیماج مشکی،
</w:t>
      </w:r>
    </w:p>
    <w:p>
      <w:pPr>
        <w:sectPr>
          <w:footerReference w:type="default" r:id="rId8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۱۴۰گ ۱۰ سطر، 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مخ: ۱ - ۱۶۱]</w:t>
      </w:r>
    </w:p>
    <w:p>
      <w:pPr>
        <w:pStyle w:val="BookText"/>
      </w:pPr>
      <w:r>
        <w:rPr>
          <w:rFonts w:ascii="IRNazanin" w:hAnsi="IRNazanin" w:eastAsia="IRNazanin" w:cs="IRNazanin"/>
          <w:lang w:bidi="fa-IR"/>
          <w:color w:val="111111"/>
          <w:sz w:val="28"/>
          <w:szCs w:val="28"/>
          <w:rtl/>
        </w:rPr>
        <w:t xml:space="preserve">۱۱۲۵. اراک؛ دهگان؛ شماره نسخه: ۳۱/۵</w:t>
      </w:r>
    </w:p>
    <w:p>
      <w:pPr>
        <w:pStyle w:val="BookText"/>
      </w:pPr>
      <w:r>
        <w:rPr>
          <w:rFonts w:ascii="IRNazanin" w:hAnsi="IRNazanin" w:eastAsia="IRNazanin" w:cs="IRNazanin"/>
          <w:lang w:bidi="fa-IR"/>
          <w:color w:val="111111"/>
          <w:sz w:val="28"/>
          <w:szCs w:val="28"/>
          <w:rtl/>
        </w:rPr>
        <w:t xml:space="preserve">در مدح حضرت ختمی مرتبت و حضرت علی (علیه السّلام) و ذم عثمان و ... خط: نستعلیق تحریری، کا: علی محمد ابن میرزا محـمد سنجانی، تا: پنج شنبه ۱۹ جمادی الاول ۱۲۳۶ق؛ كاغذ: شكری ،جلد: مقوا با کاغذ الگو، ص ۳۷، قطع: وزیری،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 سم [ف: ۱ - ۴۸]</w:t>
      </w:r>
    </w:p>
    <w:p>
      <w:pPr>
        <w:pStyle w:val="BookText"/>
      </w:pPr>
      <w:r>
        <w:rPr>
          <w:rFonts w:ascii="IRNazanin" w:hAnsi="IRNazanin" w:eastAsia="IRNazanin" w:cs="IRNazanin"/>
          <w:lang w:bidi="fa-IR"/>
          <w:color w:val="111111"/>
          <w:sz w:val="28"/>
          <w:szCs w:val="28"/>
          <w:rtl/>
        </w:rPr>
        <w:t xml:space="preserve">۱۱۲۶. شیراز ،بغایری، عبد الرزاق؛ شماره نسخه: بدون شماره /۳</w:t>
      </w:r>
    </w:p>
    <w:p>
      <w:pPr>
        <w:pStyle w:val="BookText"/>
      </w:pPr>
      <w:r>
        <w:rPr>
          <w:rFonts w:ascii="IRNazanin" w:hAnsi="IRNazanin" w:eastAsia="IRNazanin" w:cs="IRNazanin"/>
          <w:lang w:bidi="fa-IR"/>
          <w:color w:val="111111"/>
          <w:sz w:val="28"/>
          <w:szCs w:val="28"/>
          <w:rtl/>
        </w:rPr>
        <w:t xml:space="preserve">از شاه نعمة الله؛ بی کا، تا: ۱۲۳۷ق[ میراث اسلامی ۵ - ۵۷۵]</w:t>
      </w:r>
    </w:p>
    <w:p>
      <w:pPr>
        <w:pStyle w:val="BookText"/>
      </w:pPr>
      <w:r>
        <w:rPr>
          <w:rFonts w:ascii="IRNazanin" w:hAnsi="IRNazanin" w:eastAsia="IRNazanin" w:cs="IRNazanin"/>
          <w:lang w:bidi="fa-IR"/>
          <w:color w:val="111111"/>
          <w:sz w:val="28"/>
          <w:szCs w:val="28"/>
          <w:rtl/>
        </w:rPr>
        <w:t xml:space="preserve">۱۱۲۷. اراک؛ دهگان؛ شماره نسخه: ۱۳۵/۲۷</w:t>
      </w:r>
    </w:p>
    <w:p>
      <w:pPr>
        <w:pStyle w:val="BookText"/>
      </w:pPr>
      <w:r>
        <w:rPr>
          <w:rFonts w:ascii="IRNazanin" w:hAnsi="IRNazanin" w:eastAsia="IRNazanin" w:cs="IRNazanin"/>
          <w:lang w:bidi="fa-IR"/>
          <w:color w:val="111111"/>
          <w:sz w:val="28"/>
          <w:szCs w:val="28"/>
          <w:rtl/>
        </w:rPr>
        <w:t xml:space="preserve">آغاز: بیدلی شاعرم، مادح آل علی *** طبع مرا در سخن کذب نباشد شعار</w:t>
      </w:r>
    </w:p>
    <w:p>
      <w:pPr>
        <w:pStyle w:val="BookText"/>
      </w:pPr>
      <w:r>
        <w:rPr>
          <w:rFonts w:ascii="IRNazanin" w:hAnsi="IRNazanin" w:eastAsia="IRNazanin" w:cs="IRNazanin"/>
          <w:lang w:bidi="fa-IR"/>
          <w:color w:val="111111"/>
          <w:sz w:val="28"/>
          <w:szCs w:val="28"/>
          <w:rtl/>
        </w:rPr>
        <w:t xml:space="preserve">در مدح و منقبت حضرت علی (علیه السّلام) و حضرت فاطمه زهرا (علیها السّلام)، ۷۰ بيت حاشیه؛ خط: نستعلیق، کا: محمد باقر، تا: محرم ۱۲۳۷ق، اشعار سه ستونی؛ کاغذ: نخودی آسمانی بعضی از رساله ها آهار مهره، جلد: تیماج مشکی مقوایی، ۶گ (۶۴۴پ-۶۴۹ر)، قـطع: وزیری،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۱ - ۱۶۱]</w:t>
      </w:r>
    </w:p>
    <w:p>
      <w:pPr>
        <w:pStyle w:val="BookText"/>
      </w:pPr>
      <w:r>
        <w:rPr>
          <w:rFonts w:ascii="IRNazanin" w:hAnsi="IRNazanin" w:eastAsia="IRNazanin" w:cs="IRNazanin"/>
          <w:lang w:bidi="fa-IR"/>
          <w:color w:val="111111"/>
          <w:sz w:val="28"/>
          <w:szCs w:val="28"/>
          <w:rtl/>
        </w:rPr>
        <w:t xml:space="preserve">۱۱۲۸. تهران؛ سلطنتی؛ شماره نسخه: ۱۹۵۳</w:t>
      </w:r>
    </w:p>
    <w:p>
      <w:pPr>
        <w:pStyle w:val="BookText"/>
      </w:pPr>
      <w:r>
        <w:rPr>
          <w:rFonts w:ascii="IRNazanin" w:hAnsi="IRNazanin" w:eastAsia="IRNazanin" w:cs="IRNazanin"/>
          <w:lang w:bidi="fa-IR"/>
          <w:color w:val="111111"/>
          <w:sz w:val="28"/>
          <w:szCs w:val="28"/>
          <w:rtl/>
        </w:rPr>
        <w:t xml:space="preserve">آغاز: بسمله. رحمی بده خدایا آنسنگدل جوان را *** یا طاقتی و صبری این پیر ناتوان را؛ انجام: این باده برای بزم ایام ***دل کشت صراحی و فلک جام</w:t>
      </w:r>
    </w:p>
    <w:p>
      <w:pPr>
        <w:pStyle w:val="BookText"/>
      </w:pPr>
      <w:r>
        <w:rPr>
          <w:rFonts w:ascii="IRNazanin" w:hAnsi="IRNazanin" w:eastAsia="IRNazanin" w:cs="IRNazanin"/>
          <w:lang w:bidi="fa-IR"/>
          <w:color w:val="111111"/>
          <w:sz w:val="28"/>
          <w:szCs w:val="28"/>
          <w:rtl/>
        </w:rPr>
        <w:t xml:space="preserve">شامل منتخبی از غزلیات جامی ،سعدی، عاشق و لیلی و مجنـون مکتبی است ؛خط: نستعلیق جلی و خفی، کا: زین العابدین ابن علی همدانی، تا: ۱۲۳۷ق؛ دارای بیست و پنج مجلس کوچک و بزرگ نقاشی آب و رنگ ،مجدول، با سرلوح مذهب؛ مهر: ناصرالدین شاه قاجار ،مشیر السلطنه، کتابداران وقت؛ کاغذ:فستقی، جلد: مقوای روکش تیماج لاکی وسط ترنج منگنه ای، اندرون كاغذ سفید، ۶۵۴ ص، ۱۵ سطر در متن و ۳۰ نیم سطر در حاشیه متصل به متن و ۱ سطر ،قطع: وزیری ،اندازه: ۲۰/۵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  سم[ ف: ۳ - ۳۶۹]</w:t>
      </w:r>
    </w:p>
    <w:p>
      <w:pPr>
        <w:pStyle w:val="BookText"/>
      </w:pPr>
      <w:r>
        <w:rPr>
          <w:rFonts w:ascii="IRNazanin" w:hAnsi="IRNazanin" w:eastAsia="IRNazanin" w:cs="IRNazanin"/>
          <w:lang w:bidi="fa-IR"/>
          <w:color w:val="111111"/>
          <w:sz w:val="28"/>
          <w:szCs w:val="28"/>
          <w:rtl/>
        </w:rPr>
        <w:t xml:space="preserve">۱۱۲۹. تهران؛ ملک؛ شماره نسخه: ۲۳۰۵</w:t>
      </w:r>
    </w:p>
    <w:p>
      <w:pPr>
        <w:pStyle w:val="BookText"/>
      </w:pPr>
      <w:r>
        <w:rPr>
          <w:rFonts w:ascii="IRNazanin" w:hAnsi="IRNazanin" w:eastAsia="IRNazanin" w:cs="IRNazanin"/>
          <w:lang w:bidi="fa-IR"/>
          <w:color w:val="111111"/>
          <w:sz w:val="28"/>
          <w:szCs w:val="28"/>
          <w:rtl/>
        </w:rPr>
        <w:t xml:space="preserve">جنگ شعر از انوری تا مهستی، قصاید و متقطعات و رباعیات است هر یک به ترتیب تهجی قافیه ها؛ خط: نستعلیق،بی کا، تا: جمادی الثانی ۱۲۳۸ق؛ مجدول ؛ کاغذ: پسته ای ،جلد: میشن لاجوردی، ۱۶۰گ، ۱۵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۵ – ۴۶۲]</w:t>
      </w:r>
    </w:p>
    <w:p>
      <w:pPr>
        <w:pStyle w:val="BookText"/>
      </w:pPr>
      <w:r>
        <w:rPr>
          <w:rFonts w:ascii="IRNazanin" w:hAnsi="IRNazanin" w:eastAsia="IRNazanin" w:cs="IRNazanin"/>
          <w:lang w:bidi="fa-IR"/>
          <w:color w:val="111111"/>
          <w:sz w:val="28"/>
          <w:szCs w:val="28"/>
          <w:rtl/>
        </w:rPr>
        <w:t xml:space="preserve">۱۱۳۰ . قم؛ مرعشی؛ شماره نسخه: ۱۴۰۲۵/۲</w:t>
      </w:r>
    </w:p>
    <w:p>
      <w:pPr>
        <w:pStyle w:val="BookText"/>
      </w:pPr>
      <w:r>
        <w:rPr>
          <w:rFonts w:ascii="IRNazanin" w:hAnsi="IRNazanin" w:eastAsia="IRNazanin" w:cs="IRNazanin"/>
          <w:lang w:bidi="fa-IR"/>
          <w:color w:val="111111"/>
          <w:sz w:val="28"/>
          <w:szCs w:val="28"/>
          <w:rtl/>
        </w:rPr>
        <w:t xml:space="preserve">آغاز: یا اخی قد جمعت فى هذا الكتاب ما هو لب الحكمة واس اساس المعرفة... بشنوید ایطالبان ایصادقان *** این مناجات از کلام عاشقان؛ انجام: بشنو این تحقیق از آن بحر علوم *** قدوه عشاق مولانای روم .... عشق آن شعله است کان چون برفروخت *** هر چه جز معشوق باقی جمله سوخت. مجموعه ای است مشتمل بر ۱۲۹ بیت شعر عرفانی که برخی از آنها به طور قطع از مثنوی معنوی ملای رومی است و این که همه  آنها از مثنوی معنوی ملای رومی است محرز نگردید؛ خط: نسخ زیبا، بی کا، تا: ۱۲۳۸ق؛ ابیات در چهار ستون مجزی به طلا، برگ ها مجدول؛ کاغذ: شرقی، نوع جلد: تیماج قهوه ای با ترنج ، ۲گ،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 [ف: ۳۵ - ۴۹۵]</w:t>
      </w:r>
    </w:p>
    <w:p>
      <w:pPr>
        <w:pStyle w:val="BookText"/>
      </w:pPr>
      <w:r>
        <w:rPr>
          <w:rFonts w:ascii="IRNazanin" w:hAnsi="IRNazanin" w:eastAsia="IRNazanin" w:cs="IRNazanin"/>
          <w:lang w:bidi="fa-IR"/>
          <w:color w:val="111111"/>
          <w:sz w:val="28"/>
          <w:szCs w:val="28"/>
          <w:rtl/>
        </w:rPr>
        <w:t xml:space="preserve">۱۱۳۱. تهران؛ مجلس؛ شماره نسخه: ۱۰۵۳۵/۴</w:t>
      </w:r>
    </w:p>
    <w:p>
      <w:pPr>
        <w:pStyle w:val="BookText"/>
      </w:pPr>
      <w:r>
        <w:rPr>
          <w:rFonts w:ascii="IRNazanin" w:hAnsi="IRNazanin" w:eastAsia="IRNazanin" w:cs="IRNazanin"/>
          <w:lang w:bidi="fa-IR"/>
          <w:color w:val="111111"/>
          <w:sz w:val="28"/>
          <w:szCs w:val="28"/>
          <w:rtl/>
        </w:rPr>
        <w:t xml:space="preserve">رباعی خیام و جواب میرزا عبدالرسول از میرزا عبدالرسول (قرن ۱۳)؟؛ خط: نستعلیق، بی کا، تا: ۱۳ رجب ۱۲۳۹ق؛ اگ (۲۴پ همان) (مختصر: ف: - ۳۸۸]</w:t>
      </w:r>
    </w:p>
    <w:p>
      <w:pPr>
        <w:pStyle w:val="BookText"/>
      </w:pPr>
      <w:r>
        <w:rPr>
          <w:rFonts w:ascii="IRNazanin" w:hAnsi="IRNazanin" w:eastAsia="IRNazanin" w:cs="IRNazanin"/>
          <w:lang w:bidi="fa-IR"/>
          <w:color w:val="111111"/>
          <w:sz w:val="28"/>
          <w:szCs w:val="28"/>
          <w:rtl/>
        </w:rPr>
        <w:t xml:space="preserve">۱۱۳۲. تهران؛ مجلس؛ شماره نسخه: ۲۶۷۲/۳</w:t>
      </w:r>
    </w:p>
    <w:p>
      <w:pPr>
        <w:pStyle w:val="BookText"/>
      </w:pPr>
      <w:r>
        <w:rPr>
          <w:rFonts w:ascii="IRNazanin" w:hAnsi="IRNazanin" w:eastAsia="IRNazanin" w:cs="IRNazanin"/>
          <w:lang w:bidi="fa-IR"/>
          <w:color w:val="111111"/>
          <w:sz w:val="28"/>
          <w:szCs w:val="28"/>
          <w:rtl/>
        </w:rPr>
        <w:t xml:space="preserve">قصه مطایبه مثنوی. داستان سه لر است در ۱۰ بیت؛ خط: نسخ کتابتی، بی کا، تا: ۱۲۳۹ق؛ کاغذ: فرنگی، جلد: روغنی بوم قهوه ای، ترنج و سر ترنج و لچکیگل کوکب، ۱گ (۳۴۳- ۳۴۴)، ۱۳ سطر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۸ - ۴۳۴]</w:t>
      </w:r>
    </w:p>
    <w:p>
      <w:pPr>
        <w:pStyle w:val="BookText"/>
      </w:pPr>
      <w:r>
        <w:rPr>
          <w:rFonts w:ascii="IRNazanin" w:hAnsi="IRNazanin" w:eastAsia="IRNazanin" w:cs="IRNazanin"/>
          <w:lang w:bidi="fa-IR"/>
          <w:color w:val="111111"/>
          <w:sz w:val="28"/>
          <w:szCs w:val="28"/>
          <w:rtl/>
        </w:rPr>
        <w:t xml:space="preserve">۱۱۳۳. کاشان ،عاطفی ،افشین، شماره نسخه :۱۳۳</w:t>
      </w:r>
    </w:p>
    <w:p>
      <w:pPr>
        <w:pStyle w:val="BookText"/>
      </w:pPr>
      <w:r>
        <w:rPr>
          <w:rFonts w:ascii="IRNazanin" w:hAnsi="IRNazanin" w:eastAsia="IRNazanin" w:cs="IRNazanin"/>
          <w:lang w:bidi="fa-IR"/>
          <w:color w:val="111111"/>
          <w:sz w:val="28"/>
          <w:szCs w:val="28"/>
          <w:rtl/>
        </w:rPr>
        <w:t xml:space="preserve">آغاز: هست مروی که شهنشاه عرب ***گشت چون وارد میدان ز غضب ؛انجام: گشت رضوانی از این غم شب و روز *** در شبستان عزا شمع فروز.</w:t>
      </w:r>
    </w:p>
    <w:p>
      <w:pPr>
        <w:pStyle w:val="BookText"/>
      </w:pPr>
      <w:r>
        <w:rPr>
          <w:rFonts w:ascii="IRNazanin" w:hAnsi="IRNazanin" w:eastAsia="IRNazanin" w:cs="IRNazanin"/>
          <w:lang w:bidi="fa-IR"/>
          <w:color w:val="111111"/>
          <w:sz w:val="28"/>
          <w:szCs w:val="28"/>
          <w:rtl/>
        </w:rPr>
        <w:t xml:space="preserve">مشتمل بر اشعاری در وقایع کربلا تا تخلص «رضوانی»؛ خط: نسخ، بی کا، تا: ۱۲۳۹ق؛ ظاهراً توسط ناظم تصحیح شده؛ ۷گ، مختلف السطر، قطع: بیاضی،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۱۱۲]</w:t>
      </w:r>
    </w:p>
    <w:p>
      <w:pPr>
        <w:pStyle w:val="BookText"/>
      </w:pPr>
      <w:r>
        <w:rPr>
          <w:rFonts w:ascii="IRNazanin" w:hAnsi="IRNazanin" w:eastAsia="IRNazanin" w:cs="IRNazanin"/>
          <w:lang w:bidi="fa-IR"/>
          <w:color w:val="111111"/>
          <w:sz w:val="28"/>
          <w:szCs w:val="28"/>
          <w:rtl/>
        </w:rPr>
        <w:t xml:space="preserve">۱۱۳۴. تهران؛ سلطنتی؛ شماره نسخه: ۱۲۳/۶</w:t>
      </w:r>
    </w:p>
    <w:p>
      <w:pPr>
        <w:pStyle w:val="BookText"/>
      </w:pPr>
      <w:r>
        <w:rPr>
          <w:rFonts w:ascii="IRNazanin" w:hAnsi="IRNazanin" w:eastAsia="IRNazanin" w:cs="IRNazanin"/>
          <w:lang w:bidi="fa-IR"/>
          <w:color w:val="111111"/>
          <w:sz w:val="28"/>
          <w:szCs w:val="28"/>
          <w:rtl/>
        </w:rPr>
        <w:t xml:space="preserve">آغاز: بسمله. بدان خود که گفتی سپاس و درود *** که در فن طب است این قطعها... بشنو از یوسفی بسمع رضا *** حفظ صحت یکی از آن باشد ... شد سفیدی علامت بلغم *** تیرگی هم علامت سودا ... الى آخر؛ انجام: ... طریقه خوردن شیر شتر روز اول نیم دفعه و دویم  یکدفعه و چهارم یک چارک   تازه دوشیده با نبات سفید پنج مثقال بیاشامند و چند قدمی حرکت نمایند بتانی و غذا ظهر تر حلوا دارچینی یا گز انگبین یا شربت گلاب و شب تر پلو است با گوشت بره پخته و از حبوبات و بقولات و لبنيات</w:t>
      </w:r>
    </w:p>
    <w:p>
      <w:pPr>
        <w:pStyle w:val="BookText"/>
      </w:pPr>
      <w:r>
        <w:rPr>
          <w:rFonts w:ascii="IRNazanin" w:hAnsi="IRNazanin" w:eastAsia="IRNazanin" w:cs="IRNazanin"/>
          <w:lang w:bidi="fa-IR"/>
          <w:color w:val="111111"/>
          <w:sz w:val="28"/>
          <w:szCs w:val="28"/>
          <w:rtl/>
        </w:rPr>
        <w:t xml:space="preserve">قصيده طب یوسفی فوائد متفرقه در علم طب. ایکه خواهی تندرستی از در حکمت آ در *** تا بعلتهای گوناگون نگردی مبتلا؛ خط: نستعلیق، کا: ابوالخیر حسنی، تا: ۱۲۴۰ق؛ در حاشیه، محمد اسمعيل الموسوى العريضي اليزدى به سال ۱۲۵۰ق؛ کاغذ: فستقی آهار مهره، جلد: مقوای روکش تیماج گلی رنگ وسط و حواشی گل ترنج سازی ضربی طلائی و گل و برگ برجسته نیلی اندرون کاغذ نیلی، قطع: ربعی،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۷ - ۱۹۳]</w:t>
      </w:r>
    </w:p>
    <w:p>
      <w:pPr>
        <w:pStyle w:val="BookText"/>
      </w:pPr>
      <w:r>
        <w:rPr>
          <w:rFonts w:ascii="IRNazanin" w:hAnsi="IRNazanin" w:eastAsia="IRNazanin" w:cs="IRNazanin"/>
          <w:lang w:bidi="fa-IR"/>
          <w:color w:val="111111"/>
          <w:sz w:val="28"/>
          <w:szCs w:val="28"/>
          <w:rtl/>
        </w:rPr>
        <w:t xml:space="preserve">۱۱۳۵. تهران؛ مجلس؛ شماره نسخه: ۱۳۸۵۸</w:t>
      </w:r>
    </w:p>
    <w:p>
      <w:pPr>
        <w:pStyle w:val="BookText"/>
      </w:pPr>
      <w:r>
        <w:rPr>
          <w:rFonts w:ascii="IRNazanin" w:hAnsi="IRNazanin" w:eastAsia="IRNazanin" w:cs="IRNazanin"/>
          <w:lang w:bidi="fa-IR"/>
          <w:color w:val="111111"/>
          <w:sz w:val="28"/>
          <w:szCs w:val="28"/>
          <w:rtl/>
        </w:rPr>
        <w:t xml:space="preserve">علاوه بر رساله هایی که مستقلاً معرفی شده است، شامل چهار بیت از میر یحیی کاشانی شیرازی و چهار بیت از شاعری دیگر که در آن کاشانی و قمی بودن میر یحیی را نفی نموده و وی را شیرازی دانسته است(۴۳۰پ)؛ خط: نستعلیق، بی کا، تا: ۱۲۴۰ق؛جلد: گالینگور قهوه ای، ۴۳۰گ ۱۶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۲۳سم [ف: ۳۷ - ۴۲۱]
</w:t>
      </w:r>
    </w:p>
    <w:p>
      <w:pPr>
        <w:sectPr>
          <w:footerReference w:type="default" r:id="rId8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۱۱۳۶. یزد؛ وزیری؛ شماره نسخه: ۲۰۴۹/۳</w:t>
      </w:r>
    </w:p>
    <w:p>
      <w:pPr>
        <w:pStyle w:val="BookText"/>
      </w:pPr>
      <w:r>
        <w:rPr>
          <w:rFonts w:ascii="IRNazanin" w:hAnsi="IRNazanin" w:eastAsia="IRNazanin" w:cs="IRNazanin"/>
          <w:lang w:bidi="fa-IR"/>
          <w:color w:val="111111"/>
          <w:sz w:val="28"/>
          <w:szCs w:val="28"/>
          <w:rtl/>
        </w:rPr>
        <w:t xml:space="preserve">پراکنده هایی از اشعار مذهبی؛ خط: نسخ ،بی کا، تا: رجب ۱۲۴۰ق؛ متن تحریر ساده و چلیپا؛ جلد: تیماج مقوایی، ۳۲گ (83- 115). ۱۳ 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۴ - ۱۱۴۰]</w:t>
      </w:r>
    </w:p>
    <w:p>
      <w:pPr>
        <w:pStyle w:val="BookText"/>
      </w:pPr>
      <w:r>
        <w:rPr>
          <w:rFonts w:ascii="IRNazanin" w:hAnsi="IRNazanin" w:eastAsia="IRNazanin" w:cs="IRNazanin"/>
          <w:lang w:bidi="fa-IR"/>
          <w:color w:val="111111"/>
          <w:sz w:val="28"/>
          <w:szCs w:val="28"/>
          <w:rtl/>
        </w:rPr>
        <w:t xml:space="preserve">۱۱۳۷ . قم؛ گلپایگانی؛ شماره نسخه: ۵۹۲۲-۲۹/۲۶۲</w:t>
      </w:r>
    </w:p>
    <w:p>
      <w:pPr>
        <w:pStyle w:val="BookText"/>
      </w:pPr>
      <w:r>
        <w:rPr>
          <w:rFonts w:ascii="IRNazanin" w:hAnsi="IRNazanin" w:eastAsia="IRNazanin" w:cs="IRNazanin"/>
          <w:lang w:bidi="fa-IR"/>
          <w:color w:val="111111"/>
          <w:sz w:val="28"/>
          <w:szCs w:val="28"/>
          <w:rtl/>
        </w:rPr>
        <w:t xml:space="preserve">آغاز: رنگ حناست بر کف پای مبارکت *** یا خون عاشـقی است که پامال کرده ای؛ انجام: هان ای دل عبرت بین از دیده نگه کن هان*** ایوان مداین را آیینه عبرت دان / یک ره زره دجله منزل به مداین کن *** و زدیده دویم دجله برخاک مداین ران</w:t>
      </w:r>
    </w:p>
    <w:p>
      <w:pPr>
        <w:pStyle w:val="BookText"/>
      </w:pPr>
      <w:r>
        <w:rPr>
          <w:rFonts w:ascii="IRNazanin" w:hAnsi="IRNazanin" w:eastAsia="IRNazanin" w:cs="IRNazanin"/>
          <w:lang w:bidi="fa-IR"/>
          <w:color w:val="111111"/>
          <w:sz w:val="28"/>
          <w:szCs w:val="28"/>
          <w:rtl/>
        </w:rPr>
        <w:t xml:space="preserve">بیاضی است که در آن اشعاری از شاعران مشهور خصوصاً حافظ و سعدی در موارد متعدد جمع شده، نام شاعران چنین است: حافظ ،عرفی ،رفیق ،سعدی ،کشفی ،کلیم، سراپای مهری عاملی، مجموعه راز از میر محمد صالح متخلص به کشفی ،نیازی، جامـی ،سعدی ،شانی ،سایل ،کلیم ،محتشم، وحشی، مثنوی ابراهیم صـفا: «ای مهر سپهر بیوفائی *** به هم زن رسم آشنایی»، مثنوی نظیر زنگنه: «ای زرسم و راه یاری بی خبر *** داد از دست تو ای بیدادگر»، مثنوی میرزا صادق تفرشی: «آتشی می بینم از یاران زدور *** گرم می آید زچشمم نخل طور»، مثنوی میرزا طوفان: «بهار آمد و گل زگلبن دمید *** دگر تا به بلبل چه خواهد رسید».</w:t>
      </w:r>
    </w:p>
    <w:p>
      <w:pPr>
        <w:pStyle w:val="BookText"/>
      </w:pPr>
      <w:r>
        <w:rPr>
          <w:rFonts w:ascii="IRNazanin" w:hAnsi="IRNazanin" w:eastAsia="IRNazanin" w:cs="IRNazanin"/>
          <w:lang w:bidi="fa-IR"/>
          <w:color w:val="111111"/>
          <w:sz w:val="28"/>
          <w:szCs w:val="28"/>
          <w:rtl/>
        </w:rPr>
        <w:t xml:space="preserve">غزلیات شیخ سعدی (منتخب به ترتیب حروف تهجی)، اشعاری ازجامی، غزلیات هاتف، غزلیات مشتاق، عاشق،احمد؛ خط: نسـخ، بی کا، تا: ۱۲۴۰ق، جلد: تیماج عنابی، ۲۳۷گ، ۶ سطر، قـطع: بیاض رقعی، اندازه: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۳ - ۱۲۴۶]</w:t>
      </w:r>
    </w:p>
    <w:p>
      <w:pPr>
        <w:pStyle w:val="BookText"/>
      </w:pPr>
      <w:r>
        <w:rPr>
          <w:rFonts w:ascii="IRNazanin" w:hAnsi="IRNazanin" w:eastAsia="IRNazanin" w:cs="IRNazanin"/>
          <w:lang w:bidi="fa-IR"/>
          <w:color w:val="111111"/>
          <w:sz w:val="28"/>
          <w:szCs w:val="28"/>
          <w:rtl/>
        </w:rPr>
        <w:t xml:space="preserve">۱۱۳۸. تهران؛ مفتاح؛ شماره نسخه: ۱۰۵۸</w:t>
      </w:r>
    </w:p>
    <w:p>
      <w:pPr>
        <w:pStyle w:val="BookText"/>
      </w:pPr>
      <w:r>
        <w:rPr>
          <w:rFonts w:ascii="IRNazanin" w:hAnsi="IRNazanin" w:eastAsia="IRNazanin" w:cs="IRNazanin"/>
          <w:lang w:bidi="fa-IR"/>
          <w:color w:val="111111"/>
          <w:sz w:val="28"/>
          <w:szCs w:val="28"/>
          <w:rtl/>
        </w:rPr>
        <w:t xml:space="preserve">شعرهای سعدی و محتشم و عاشق و جامی و اختر؛ خط: شکسته نستعلیق، کا: میرزا محمد ناظم تبریزی، تا: ۱۲۴۰ق، برای شاه زاده کیخسرو میرزا؛ سطور چلیپا در متن و راسته در هامش، با سرلوح، مجدول زر، کمند زنگار؛ با تاریخ تولد کلثوم دختر همین شاه زاده درع ۱۲۴۶/۱ در برگ یکم؛ قطع: ربعی [ نشریه: ۷ - ۱۳۷]</w:t>
      </w:r>
    </w:p>
    <w:p>
      <w:pPr>
        <w:pStyle w:val="BookText"/>
      </w:pPr>
      <w:r>
        <w:rPr>
          <w:rFonts w:ascii="IRNazanin" w:hAnsi="IRNazanin" w:eastAsia="IRNazanin" w:cs="IRNazanin"/>
          <w:lang w:bidi="fa-IR"/>
          <w:color w:val="111111"/>
          <w:sz w:val="28"/>
          <w:szCs w:val="28"/>
          <w:rtl/>
        </w:rPr>
        <w:t xml:space="preserve">۱۱۳۹. قم؛ مرعشی؛ شماره نسخه: ۴۱۶/۱</w:t>
      </w:r>
    </w:p>
    <w:p>
      <w:pPr>
        <w:pStyle w:val="BookText"/>
      </w:pPr>
      <w:r>
        <w:rPr>
          <w:rFonts w:ascii="IRNazanin" w:hAnsi="IRNazanin" w:eastAsia="IRNazanin" w:cs="IRNazanin"/>
          <w:lang w:bidi="fa-IR"/>
          <w:color w:val="111111"/>
          <w:sz w:val="28"/>
          <w:szCs w:val="28"/>
          <w:rtl/>
        </w:rPr>
        <w:t xml:space="preserve">آغاز: ايها اللاهى عن العهد القديم *** ايها الساهى عن النـهج القويم؛ انجام: هر چند بیکسی بسی نیست مرا *** بیکس نبود هر آنکه او را تو بسی</w:t>
      </w:r>
    </w:p>
    <w:p>
      <w:pPr>
        <w:pStyle w:val="BookText"/>
      </w:pPr>
      <w:r>
        <w:rPr>
          <w:rFonts w:ascii="IRNazanin" w:hAnsi="IRNazanin" w:eastAsia="IRNazanin" w:cs="IRNazanin"/>
          <w:lang w:bidi="fa-IR"/>
          <w:color w:val="111111"/>
          <w:sz w:val="28"/>
          <w:szCs w:val="28"/>
          <w:rtl/>
        </w:rPr>
        <w:t xml:space="preserve">چند قصیده متفرق است در پند و اندرز و مناجاة ومدح حضر پیغمبر(صلّی اللَّهِ علیه وَ آلِهِ وَ سَلَّمَ ) از شیخ بهائی و ابوسعید و قرشی و خاقانی و قطب الدین بختیار کاکی و شاه شرف بو علی قلندر؛ خط: نسخ،کا: احمد علیخان بن انور علیخان بهادر، تا: سه شنبه ۲۰ ذیقعده ۱۲۴۱ق؛ جلد: تیماج قرمز، ۸گ (۲ر-۹پ) ، اندازه:13/5</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سم[ ف: ۲ - ۱۶]</w:t>
      </w:r>
    </w:p>
    <w:p>
      <w:pPr>
        <w:pStyle w:val="BookText"/>
      </w:pPr>
      <w:r>
        <w:rPr>
          <w:rFonts w:ascii="IRNazanin" w:hAnsi="IRNazanin" w:eastAsia="IRNazanin" w:cs="IRNazanin"/>
          <w:lang w:bidi="fa-IR"/>
          <w:color w:val="111111"/>
          <w:sz w:val="28"/>
          <w:szCs w:val="28"/>
          <w:rtl/>
        </w:rPr>
        <w:t xml:space="preserve">۱۱۴۰. تهران؛ مجلس؛ شماره نسخه: ۹۴۶۷/۱۲۲</w:t>
      </w:r>
    </w:p>
    <w:p>
      <w:pPr>
        <w:pStyle w:val="BookText"/>
      </w:pPr>
      <w:r>
        <w:rPr>
          <w:rFonts w:ascii="IRNazanin" w:hAnsi="IRNazanin" w:eastAsia="IRNazanin" w:cs="IRNazanin"/>
          <w:lang w:bidi="fa-IR"/>
          <w:color w:val="111111"/>
          <w:sz w:val="28"/>
          <w:szCs w:val="28"/>
          <w:rtl/>
        </w:rPr>
        <w:t xml:space="preserve">غزلیاتی از ملا عبدالرحیم مراغی، میرزا حسن فانی خوئی، حاجی سلیمان صباحی، حکیم شفائی، شیخ بهائی، یاری، میر سید علی عرب ،نظیری ،عاشق، حسینی، میر سید علی مشتاق، جامی؛ خط: نستعليق، كا: محمد بن جمشسید مراغی، تا: ۱۲۴۱ق؛ ۳گ (۲۵۱ر - ۲۵۴ر) [مختصر : ف: - ۵۷۲]</w:t>
      </w:r>
    </w:p>
    <w:p>
      <w:pPr>
        <w:pStyle w:val="BookText"/>
      </w:pPr>
      <w:r>
        <w:rPr>
          <w:rFonts w:ascii="IRNazanin" w:hAnsi="IRNazanin" w:eastAsia="IRNazanin" w:cs="IRNazanin"/>
          <w:lang w:bidi="fa-IR"/>
          <w:color w:val="111111"/>
          <w:sz w:val="28"/>
          <w:szCs w:val="28"/>
          <w:rtl/>
        </w:rPr>
        <w:t xml:space="preserve">۱۱۴۱. تهران؛ دانشگاه؛ شماره نسخه: ۹۶۴۶/۱</w:t>
      </w:r>
    </w:p>
    <w:p>
      <w:pPr>
        <w:pStyle w:val="BookText"/>
      </w:pPr>
      <w:r>
        <w:rPr>
          <w:rFonts w:ascii="IRNazanin" w:hAnsi="IRNazanin" w:eastAsia="IRNazanin" w:cs="IRNazanin"/>
          <w:lang w:bidi="fa-IR"/>
          <w:color w:val="111111"/>
          <w:sz w:val="28"/>
          <w:szCs w:val="28"/>
          <w:rtl/>
        </w:rPr>
        <w:t xml:space="preserve">رباعیات مرتب از الف تا یاء است؛ خط: نستعلیق، بی کا، تا: ۷ رجب ۱۲۴۱ق، برای پسرش فتح محمد؛ کاغذ: هندی کبود، جلد: تیماج مشکی لایی، ۴۱گ (۲پ- ۴۳پ)، ۱۰ سطر (6</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قطع: ربعی،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 ۱۷ - ۴۴۳]</w:t>
      </w:r>
    </w:p>
    <w:p>
      <w:pPr>
        <w:pStyle w:val="BookText"/>
      </w:pPr>
      <w:r>
        <w:rPr>
          <w:rFonts w:ascii="IRNazanin" w:hAnsi="IRNazanin" w:eastAsia="IRNazanin" w:cs="IRNazanin"/>
          <w:lang w:bidi="fa-IR"/>
          <w:color w:val="111111"/>
          <w:sz w:val="28"/>
          <w:szCs w:val="28"/>
          <w:rtl/>
        </w:rPr>
        <w:t xml:space="preserve">۱۱۴۲. تهران؛ ملی؛ شماره نسخه: ۱۶۸۴۳</w:t>
      </w:r>
    </w:p>
    <w:p>
      <w:pPr>
        <w:pStyle w:val="BookText"/>
      </w:pPr>
      <w:r>
        <w:rPr>
          <w:rFonts w:ascii="IRNazanin" w:hAnsi="IRNazanin" w:eastAsia="IRNazanin" w:cs="IRNazanin"/>
          <w:lang w:bidi="fa-IR"/>
          <w:color w:val="111111"/>
          <w:sz w:val="28"/>
          <w:szCs w:val="28"/>
          <w:rtl/>
        </w:rPr>
        <w:t xml:space="preserve">مثنوی؛ بی کا، تا: ۱۲۴۱ق؛ انتقالی از کتابخانه پهلوی - مجموعه نوازی؛ ۳۱۸گ، اندازه: ۱۹/۵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۳۰/۴سم [رایانه]</w:t>
      </w:r>
    </w:p>
    <w:p>
      <w:pPr>
        <w:pStyle w:val="BookText"/>
      </w:pPr>
      <w:r>
        <w:rPr>
          <w:rFonts w:ascii="IRNazanin" w:hAnsi="IRNazanin" w:eastAsia="IRNazanin" w:cs="IRNazanin"/>
          <w:lang w:bidi="fa-IR"/>
          <w:color w:val="111111"/>
          <w:sz w:val="28"/>
          <w:szCs w:val="28"/>
          <w:rtl/>
        </w:rPr>
        <w:t xml:space="preserve">۱۱۴۳. مشهد؛ رضوی؛ شماره نسخه: ۱۶۶۶۶/۳</w:t>
      </w:r>
    </w:p>
    <w:p>
      <w:pPr>
        <w:pStyle w:val="BookText"/>
      </w:pPr>
      <w:r>
        <w:rPr>
          <w:rFonts w:ascii="IRNazanin" w:hAnsi="IRNazanin" w:eastAsia="IRNazanin" w:cs="IRNazanin"/>
          <w:lang w:bidi="fa-IR"/>
          <w:color w:val="111111"/>
          <w:sz w:val="28"/>
          <w:szCs w:val="28"/>
          <w:rtl/>
        </w:rPr>
        <w:t xml:space="preserve">آغاز: از آنچه دادی [و] بخوردی *** بگو غیر از کفن دیگر چه انداخت خانمان ها را *** گوش کن تا بگویم آنها را؛  انجام: مرا هم فرح باشد هم ذکر ای شاه اژدر در. در خاتمه می گوید: بعرض دوستان غیب شاهد *** مراین را میرساند عید واحد/ که آنچه اندر این منظومه گفتم***یکی را پیش خود اصلا نگفتم / تمامی هست از نص قرآن *** دیگر قول نبی و هم امامان.</w:t>
      </w:r>
    </w:p>
    <w:p>
      <w:pPr>
        <w:pStyle w:val="BookText"/>
      </w:pPr>
      <w:r>
        <w:rPr>
          <w:rFonts w:ascii="IRNazanin" w:hAnsi="IRNazanin" w:eastAsia="IRNazanin" w:cs="IRNazanin"/>
          <w:lang w:bidi="fa-IR"/>
          <w:color w:val="111111"/>
          <w:sz w:val="28"/>
          <w:szCs w:val="28"/>
          <w:rtl/>
        </w:rPr>
        <w:t xml:space="preserve">مثنوی است از غریب لاری، در بحر هزج (مفاعیلن ...) در بیان مطالب اخلاقی از جمله: سلوک با خلق، عیب پوشیدن، در سلوک با عیال؛ اشعار آن از استحکام برخوردار نیست؛ خط: نستعلیق و شکسته نستعلیق کتابتی، بی کا، تا: جمادی الاول تا جمادی الثانی ۱۲۴۱ق؛ افتادگی: آغاز؛ در انتهای نسخه منظومه ای چاپی و مصور از بابا غیبی به نام «فردوسی مشروطه»ضمیمه است؛ کاغذ: نخودی و مشقی خط دار ۱۷ ص (۹۳-۱۲۶)، 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۱۷/۵سم [ف : ۱۷ - ۴۳۷]</w:t>
      </w:r>
    </w:p>
    <w:p>
      <w:pPr>
        <w:pStyle w:val="BookText"/>
      </w:pPr>
      <w:r>
        <w:rPr>
          <w:rFonts w:ascii="IRNazanin" w:hAnsi="IRNazanin" w:eastAsia="IRNazanin" w:cs="IRNazanin"/>
          <w:lang w:bidi="fa-IR"/>
          <w:color w:val="111111"/>
          <w:sz w:val="28"/>
          <w:szCs w:val="28"/>
          <w:rtl/>
        </w:rPr>
        <w:t xml:space="preserve">۱۱۴۴ تهران؛ مجلس؛ شماره نسخه: ۹۴۶۷/۱۰۱</w:t>
      </w:r>
    </w:p>
    <w:p>
      <w:pPr>
        <w:pStyle w:val="BookText"/>
      </w:pPr>
      <w:r>
        <w:rPr>
          <w:rFonts w:ascii="IRNazanin" w:hAnsi="IRNazanin" w:eastAsia="IRNazanin" w:cs="IRNazanin"/>
          <w:lang w:bidi="fa-IR"/>
          <w:color w:val="111111"/>
          <w:sz w:val="28"/>
          <w:szCs w:val="28"/>
          <w:rtl/>
        </w:rPr>
        <w:t xml:space="preserve">ترجیع بند مقطع شیخ عراقی در مدح امیرالمؤمنين (علیه السّلام)؛ خط: نستعليق، كا: محمد بن جمشید نراغی، تا: ۱۲۴۱ق؛ ۲گ ۱۷۶ ر-  ۱۷۷ر) (مختصر: ف: - ۱۷۴]</w:t>
      </w:r>
    </w:p>
    <w:p>
      <w:pPr>
        <w:pStyle w:val="BookText"/>
      </w:pPr>
      <w:r>
        <w:rPr>
          <w:rFonts w:ascii="IRNazanin" w:hAnsi="IRNazanin" w:eastAsia="IRNazanin" w:cs="IRNazanin"/>
          <w:lang w:bidi="fa-IR"/>
          <w:color w:val="111111"/>
          <w:sz w:val="28"/>
          <w:szCs w:val="28"/>
          <w:rtl/>
        </w:rPr>
        <w:t xml:space="preserve">۱۱۴۵ . قم؛ مسجد اعظم؛ شماره نسخه: ۱۵۷۳/۲</w:t>
      </w:r>
    </w:p>
    <w:p>
      <w:pPr>
        <w:pStyle w:val="BookText"/>
      </w:pPr>
      <w:r>
        <w:rPr>
          <w:rFonts w:ascii="IRNazanin" w:hAnsi="IRNazanin" w:eastAsia="IRNazanin" w:cs="IRNazanin"/>
          <w:lang w:bidi="fa-IR"/>
          <w:color w:val="111111"/>
          <w:sz w:val="28"/>
          <w:szCs w:val="28"/>
          <w:rtl/>
        </w:rPr>
        <w:t xml:space="preserve">آغاز: هر سحر که بوی جان آید همی</w:t>
      </w:r>
      <w:r>
        <w:rPr>
          <w:rFonts w:ascii="IRNazanin" w:hAnsi="IRNazanin" w:eastAsia="IRNazanin" w:cs="IRNazanin"/>
          <w:lang w:bidi="fa-IR"/>
          <w:color w:val="111111"/>
          <w:sz w:val="28"/>
          <w:szCs w:val="28"/>
          <w:b w:val="1"/>
          <w:bCs w:val="1"/>
          <w:i w:val="1"/>
          <w:iCs w:val="1"/>
          <w:rtl/>
        </w:rPr>
        <w:t xml:space="preserve">بوی جان امر[...]آید[همی] جان فزا دلکش نسیمی از بهشت *** سوی اصفاهان نهان آید همی؛ انجام: ارمس پاره مولود رضوان علام *** سراس بهتر است حرم [...] - محمدرضا ام [...] کیست حسن کرد لطف ازل اقتضا</w:t>
      </w:r>
      <w:r>
        <w:rPr>
          <w:rFonts w:ascii="IRNazanin" w:hAnsi="IRNazanin" w:eastAsia="IRNazanin" w:cs="IRNazanin"/>
          <w:lang w:bidi="fa-IR"/>
          <w:color w:val="111111"/>
          <w:sz w:val="28"/>
          <w:szCs w:val="28"/>
          <w:rtl/>
        </w:rPr>
        <w:t xml:space="preserve"> طلب کردم از رسحه یا ریح گفت *** بگو جان فدای محمدرضا</w:t>
      </w:r>
    </w:p>
    <w:p>
      <w:pPr>
        <w:pStyle w:val="BookText"/>
      </w:pPr>
      <w:r>
        <w:rPr>
          <w:rFonts w:ascii="IRNazanin" w:hAnsi="IRNazanin" w:eastAsia="IRNazanin" w:cs="IRNazanin"/>
          <w:lang w:bidi="fa-IR"/>
          <w:color w:val="111111"/>
          <w:sz w:val="28"/>
          <w:szCs w:val="28"/>
          <w:rtl/>
        </w:rPr>
        <w:t xml:space="preserve">مجموعه ای است از اشعار فارسی که گویا «رشحه» تخلص شاعر آن باشد ؛خط: نستعلیق، بی کا، تا :۱۲۴۲ق؛ در میان اشعار سطوری چند به نثر که در عشق است؛ جلد: تیماج قهوه ای بدون مقوا،  6گ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مخ: ۲ - ۶۱۰]</w:t>
      </w:r>
    </w:p>
    <w:p>
      <w:pPr>
        <w:pStyle w:val="BookText"/>
      </w:pPr>
      <w:r>
        <w:rPr>
          <w:rFonts w:ascii="IRNazanin" w:hAnsi="IRNazanin" w:eastAsia="IRNazanin" w:cs="IRNazanin"/>
          <w:lang w:bidi="fa-IR"/>
          <w:color w:val="111111"/>
          <w:sz w:val="28"/>
          <w:szCs w:val="28"/>
          <w:rtl/>
        </w:rPr>
        <w:t xml:space="preserve">۱۱۴۶ . اراک دهگان؛ شماره نسخه: ۱۳۶/۱۰</w:t>
      </w:r>
    </w:p>
    <w:p>
      <w:pPr>
        <w:pStyle w:val="BookText"/>
      </w:pPr>
      <w:r>
        <w:rPr>
          <w:rFonts w:ascii="IRNazanin" w:hAnsi="IRNazanin" w:eastAsia="IRNazanin" w:cs="IRNazanin"/>
          <w:lang w:bidi="fa-IR"/>
          <w:color w:val="111111"/>
          <w:sz w:val="28"/>
          <w:szCs w:val="28"/>
          <w:rtl/>
        </w:rPr>
        <w:t xml:space="preserve">آغاز صدف دار کردم ز فرخندگی *** بکوش سخن گوهر
</w:t>
      </w:r>
    </w:p>
    <w:p>
      <w:pPr>
        <w:sectPr>
          <w:footerReference w:type="default" r:id="rId8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بندگی؛ انجام: ز یاقوت عمرش گرانمایه کن *** بحفظ خودش نیز همسایه کن</w:t>
      </w:r>
    </w:p>
    <w:p>
      <w:pPr>
        <w:pStyle w:val="BookText"/>
      </w:pPr>
      <w:r>
        <w:rPr>
          <w:rFonts w:ascii="IRNazanin" w:hAnsi="IRNazanin" w:eastAsia="IRNazanin" w:cs="IRNazanin"/>
          <w:lang w:bidi="fa-IR"/>
          <w:color w:val="111111"/>
          <w:sz w:val="28"/>
          <w:szCs w:val="28"/>
          <w:rtl/>
        </w:rPr>
        <w:t xml:space="preserve">منظومه ای است حدود ۱۵۳ بیت در حاشیه و متن، در زمان شاه سلطان حسین سروده شده؛ خط: نستعلیق، بی کا، تا: سه شنبه 22صفر ۱۲۴۲ق؛ کاغذ: لیمویی ،جلد: مقوای ساده، 1ص (۹۳) ، قـطع: وزیری،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۱ - ۱۶۷]</w:t>
      </w:r>
    </w:p>
    <w:p>
      <w:pPr>
        <w:pStyle w:val="BookText"/>
      </w:pPr>
      <w:r>
        <w:rPr>
          <w:rFonts w:ascii="IRNazanin" w:hAnsi="IRNazanin" w:eastAsia="IRNazanin" w:cs="IRNazanin"/>
          <w:lang w:bidi="fa-IR"/>
          <w:color w:val="111111"/>
          <w:sz w:val="28"/>
          <w:szCs w:val="28"/>
          <w:rtl/>
        </w:rPr>
        <w:t xml:space="preserve">۱۱۴۷. خوی؛ نمازی؛ شماره نسخه: ۳۱۷/۴</w:t>
      </w:r>
    </w:p>
    <w:p>
      <w:pPr>
        <w:pStyle w:val="BookText"/>
      </w:pPr>
      <w:r>
        <w:rPr>
          <w:rFonts w:ascii="IRNazanin" w:hAnsi="IRNazanin" w:eastAsia="IRNazanin" w:cs="IRNazanin"/>
          <w:lang w:bidi="fa-IR"/>
          <w:color w:val="111111"/>
          <w:sz w:val="28"/>
          <w:szCs w:val="28"/>
          <w:rtl/>
        </w:rPr>
        <w:t xml:space="preserve">قصيده ابوالفتح لاهجی است در ۲۵ بیت مدت عمر هر یک از ائمه دوازده گانه را با حروف ابجد از نام مبارک امیرالمؤمـنین «علی کرار» (علیه السّلام) استخراج کرده است. مطلع قصیده: از علی گردد جلی تاریخ جمله اولیا ***هم  ولادت هم زمان عمر و هم فوت  وفنا؛ خط: نسخ، كا: اسماعیل بن محمد حسن حسینی زنوی خویی، تا: ۱۲۴۳ق ،واقف: شهید ،جلد: تیماج ضربی با ترنج با سر لچکی مجدول،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۱۵۷]</w:t>
      </w:r>
    </w:p>
    <w:p>
      <w:pPr>
        <w:pStyle w:val="BookText"/>
      </w:pPr>
      <w:r>
        <w:rPr>
          <w:rFonts w:ascii="IRNazanin" w:hAnsi="IRNazanin" w:eastAsia="IRNazanin" w:cs="IRNazanin"/>
          <w:lang w:bidi="fa-IR"/>
          <w:color w:val="111111"/>
          <w:sz w:val="28"/>
          <w:szCs w:val="28"/>
          <w:rtl/>
        </w:rPr>
        <w:t xml:space="preserve">۱۱۴۸. تهران؛ ملی؛ شماره نسخه: ۱۶۸۳۰</w:t>
      </w:r>
    </w:p>
    <w:p>
      <w:pPr>
        <w:pStyle w:val="BookText"/>
      </w:pPr>
      <w:r>
        <w:rPr>
          <w:rFonts w:ascii="IRNazanin" w:hAnsi="IRNazanin" w:eastAsia="IRNazanin" w:cs="IRNazanin"/>
          <w:lang w:bidi="fa-IR"/>
          <w:color w:val="111111"/>
          <w:sz w:val="28"/>
          <w:szCs w:val="28"/>
          <w:rtl/>
        </w:rPr>
        <w:t xml:space="preserve">اشعار بیاض شعر؛ بی کا، تا: ۱۲۴۳ق؛ انتقالی از کتابخانه پهلوی- مجموعه نوازی؛ ۱۶۰گ، اندازه: ۱۴/۱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۱۷/۱سم [رایانه]</w:t>
      </w:r>
    </w:p>
    <w:p>
      <w:pPr>
        <w:pStyle w:val="BookText"/>
      </w:pPr>
      <w:r>
        <w:rPr>
          <w:rFonts w:ascii="IRNazanin" w:hAnsi="IRNazanin" w:eastAsia="IRNazanin" w:cs="IRNazanin"/>
          <w:lang w:bidi="fa-IR"/>
          <w:color w:val="111111"/>
          <w:sz w:val="28"/>
          <w:szCs w:val="28"/>
          <w:rtl/>
        </w:rPr>
        <w:t xml:space="preserve">۱۱۴۹. تهران؛ ملک؛ شماره نسخه: ۵۲۸۷</w:t>
      </w:r>
    </w:p>
    <w:p>
      <w:pPr>
        <w:pStyle w:val="BookText"/>
      </w:pPr>
      <w:r>
        <w:rPr>
          <w:rFonts w:ascii="IRNazanin" w:hAnsi="IRNazanin" w:eastAsia="IRNazanin" w:cs="IRNazanin"/>
          <w:lang w:bidi="fa-IR"/>
          <w:color w:val="111111"/>
          <w:sz w:val="28"/>
          <w:szCs w:val="28"/>
          <w:rtl/>
        </w:rPr>
        <w:t xml:space="preserve">در آغاز قصاید است به ترتیب تهجی، سپس قطعات و مضحکات، سپس رباعیات بدنبال هم در صفحه های جدول بندی شده به زر و در کنار برگ ها نام شاعران آمده: عاشق اصفهانی، شاپور طهران، خاقانی، آذر بیگدلی ،انوری، ابوالفرج رونی، نظیری، نیشابوری، طبیب اصفهانی، عرفی شیرازی، عصمت بخارایی ،نهایی، مسـعود  سعد سلمان ،وطواط ،ابوالعلاءگنجه ای، عبدالواسع جبلی جبلی،جمال الدین اصفهانی، میر سید علی مشتاق اصفهانی ،طوفان، آقا محـمد عاشق، زلالی کرمانی، وحشی بافقی، شمس الدین طوسی، آذر شاملو و جز آنها؛ خط: شکسته نستعلیق، بی کا، تا: یک شنبه 12جمادى الاول ۱۲۴۳ق؛ کمند و جدول بندی شده به زر و رنگ ها، با یادداشتی مبنی بر این که علی کاتب تذکره رباعی را از این مجموعه سرقت کرده است؛ کاغذ: فستقی ،جلد: میشن قرمز ،مجدول، ۱۷۰ گ، ۱۷ سطر، اندازه: ۱۴/۲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۲۰/۶سم [ف: ۸ - ۲۵۶ ]</w:t>
      </w:r>
    </w:p>
    <w:p>
      <w:pPr>
        <w:pStyle w:val="BookText"/>
      </w:pPr>
      <w:r>
        <w:rPr>
          <w:rFonts w:ascii="Times New Roman" w:hAnsi="Times New Roman" w:eastAsia="Times New Roman" w:cs="Times New Roman"/>
          <w:lang w:val="en-US" w:bidi="en-US"/>
          <w:color w:val="111111"/>
          <w:sz w:val="28"/>
          <w:szCs w:val="28"/>
          <w:rtl/>
        </w:rPr>
        <w:t xml:space="preserve">1150.</w:t>
      </w:r>
    </w:p>
    <w:p>
      <w:pPr>
        <w:pStyle w:val="BookText"/>
      </w:pPr>
      <w:r>
        <w:rPr>
          <w:rFonts w:ascii="IRNazanin" w:hAnsi="IRNazanin" w:eastAsia="IRNazanin" w:cs="IRNazanin"/>
          <w:lang w:bidi="fa-IR"/>
          <w:color w:val="111111"/>
          <w:sz w:val="28"/>
          <w:szCs w:val="28"/>
          <w:rtl/>
        </w:rPr>
        <w:t xml:space="preserve">شیراز؛ علامه طباطبائی؛ شماره نسخه: ۱۴۶۱/۵</w:t>
      </w:r>
    </w:p>
    <w:p>
      <w:pPr>
        <w:pStyle w:val="BookText"/>
      </w:pPr>
      <w:r>
        <w:rPr>
          <w:rFonts w:ascii="IRNazanin" w:hAnsi="IRNazanin" w:eastAsia="IRNazanin" w:cs="IRNazanin"/>
          <w:lang w:bidi="fa-IR"/>
          <w:color w:val="111111"/>
          <w:sz w:val="28"/>
          <w:szCs w:val="28"/>
          <w:rtl/>
        </w:rPr>
        <w:t xml:space="preserve">فهرست مفصل جنگ اشعار در برگ های اول نسخه؛ خـط: نستعليق، كا: حسين بن گنجعلی، تا: ذیقعده ۱۲۴۳ق؛ ۶۹گ (95-164)،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۳۱سم [نسخه پژوهی: ۳ - ۱۴۸]</w:t>
      </w:r>
    </w:p>
    <w:p>
      <w:pPr>
        <w:pStyle w:val="BookText"/>
      </w:pPr>
      <w:r>
        <w:rPr>
          <w:rFonts w:ascii="IRNazanin" w:hAnsi="IRNazanin" w:eastAsia="IRNazanin" w:cs="IRNazanin"/>
          <w:lang w:bidi="fa-IR"/>
          <w:color w:val="111111"/>
          <w:sz w:val="28"/>
          <w:szCs w:val="28"/>
          <w:rtl/>
        </w:rPr>
        <w:t xml:space="preserve">۱۱۵۱. تهران؛ دائرة المعارف؛ شماره نسخه: ۱۷۲۳/۱-عکسی</w:t>
      </w:r>
    </w:p>
    <w:p>
      <w:pPr>
        <w:pStyle w:val="BookText"/>
      </w:pPr>
      <w:r>
        <w:rPr>
          <w:rFonts w:ascii="IRNazanin" w:hAnsi="IRNazanin" w:eastAsia="IRNazanin" w:cs="IRNazanin"/>
          <w:lang w:bidi="fa-IR"/>
          <w:color w:val="111111"/>
          <w:sz w:val="28"/>
          <w:szCs w:val="28"/>
          <w:rtl/>
        </w:rPr>
        <w:t xml:space="preserve">آغاز: ماهی که از وفور غم او را مثال نیست *** شادی در او شـعار به جز بدسکال نیست؛ انجام: هرگز به پا به دهر عزایی چنین نکرد***تا چرخ  سفله بود، خطایی این چنین نکرد *** با هیچ آفریده جفایی چنین نکرد</w:t>
      </w:r>
    </w:p>
    <w:p>
      <w:pPr>
        <w:pStyle w:val="BookText"/>
      </w:pPr>
      <w:r>
        <w:rPr>
          <w:rFonts w:ascii="IRNazanin" w:hAnsi="IRNazanin" w:eastAsia="IRNazanin" w:cs="IRNazanin"/>
          <w:lang w:bidi="fa-IR"/>
          <w:color w:val="111111"/>
          <w:sz w:val="28"/>
          <w:szCs w:val="28"/>
          <w:rtl/>
        </w:rPr>
        <w:t xml:space="preserve">تضمین دوازده بند محتشم، کاشانی، تخمیس، گویا از «خرم» که در پایان آن آمده: چون نظم یافت ماتم سبط شه، حسین *** افکند شور و غلغله در خلق عالمین/ «خرم» خروش برکش و بر گو بشور و شین *** خاموش «محتشم» که ز ذکر غم حسین؛ خط: نستعليق خوش، بی کا، تا: ۱۲۴۳ق؛ افتادگی: آغاز؛ ۱۸ ص (ص ۱-۱۸) [عکسی ف: ۱- ۷۴]</w:t>
      </w:r>
    </w:p>
    <w:p>
      <w:pPr>
        <w:pStyle w:val="BookText"/>
      </w:pPr>
      <w:r>
        <w:rPr>
          <w:rFonts w:ascii="IRNazanin" w:hAnsi="IRNazanin" w:eastAsia="IRNazanin" w:cs="IRNazanin"/>
          <w:lang w:bidi="fa-IR"/>
          <w:color w:val="111111"/>
          <w:sz w:val="28"/>
          <w:szCs w:val="28"/>
          <w:rtl/>
        </w:rPr>
        <w:t xml:space="preserve">۱۱۵۲ . کرمانشاه؛ جلیلی؛ شماره نسخه: ۱۳۹</w:t>
      </w:r>
    </w:p>
    <w:p>
      <w:pPr>
        <w:pStyle w:val="BookText"/>
      </w:pPr>
      <w:r>
        <w:rPr>
          <w:rFonts w:ascii="IRNazanin" w:hAnsi="IRNazanin" w:eastAsia="IRNazanin" w:cs="IRNazanin"/>
          <w:lang w:bidi="fa-IR"/>
          <w:color w:val="111111"/>
          <w:sz w:val="28"/>
          <w:szCs w:val="28"/>
          <w:rtl/>
        </w:rPr>
        <w:t xml:space="preserve">آغاز: هوا شد تیره و گریان بسان دیده وامق *** زمین شده تازه و خندان بسان چهره عذرا؛ انجام: چون نیک ببانک دف و نی کردم گوش *** نقل غم من بود و حدیث رخ وی</w:t>
      </w:r>
    </w:p>
    <w:p>
      <w:pPr>
        <w:pStyle w:val="BookText"/>
      </w:pPr>
      <w:r>
        <w:rPr>
          <w:rFonts w:ascii="IRNazanin" w:hAnsi="IRNazanin" w:eastAsia="IRNazanin" w:cs="IRNazanin"/>
          <w:lang w:bidi="fa-IR"/>
          <w:color w:val="111111"/>
          <w:sz w:val="28"/>
          <w:szCs w:val="28"/>
          <w:rtl/>
        </w:rPr>
        <w:t xml:space="preserve">شامل انتخاب اشعار شعرای متقدم و متأخر به تفکیک و ترتیب: «قصاید، قطعات، غزلیات و رباعیات» جامع به ترتیب حروف قافیه ابيات منتخب شاعران را منظم کرده است. مثلاً در قافیه الف در بخش غزلیات ۵ بیت از سعدی، یک بیت از حافظ، از فیضی دکنی، مظهری کشمیری ... الخ آورده است الخ آورده است سپس قافیه ب به همان سبک و شیوه، نسخه باید «تذكرة اسحق» تألیفی اسحق بیگ عذری بیگدلی (قرن (۱۲) برادر آذر بیگدلی صاحب «آتشکده آذر» باشد که بایدمطابقت شود؛ خط: نستعليق مخلوط شکسته، بی کا، تا:  پنج شنبه ۱۰ربیع الاول ۱۲۴۳ق؛ کاغذ: شکری آهار</w:t>
      </w:r>
    </w:p>
    <w:p>
      <w:pPr>
        <w:pStyle w:val="BookText"/>
      </w:pPr>
      <w:r>
        <w:rPr>
          <w:rFonts w:ascii="IRNazanin" w:hAnsi="IRNazanin" w:eastAsia="IRNazanin" w:cs="IRNazanin"/>
          <w:lang w:bidi="fa-IR"/>
          <w:color w:val="111111"/>
          <w:sz w:val="28"/>
          <w:szCs w:val="28"/>
          <w:rtl/>
        </w:rPr>
        <w:t xml:space="preserve">مهره فرنگی ،جلد: مقوا، عطف تیماج خرمایی ۱۱۴گ، ۱۸ سطر،اندازه: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۲۴/۵سم [ف: ۷۱]</w:t>
      </w:r>
    </w:p>
    <w:p>
      <w:pPr>
        <w:pStyle w:val="BookText"/>
      </w:pPr>
      <w:r>
        <w:rPr>
          <w:rFonts w:ascii="IRNazanin" w:hAnsi="IRNazanin" w:eastAsia="IRNazanin" w:cs="IRNazanin"/>
          <w:lang w:bidi="fa-IR"/>
          <w:color w:val="111111"/>
          <w:sz w:val="28"/>
          <w:szCs w:val="28"/>
          <w:rtl/>
        </w:rPr>
        <w:t xml:space="preserve">۱۱۵۳. تهران؛ مجلس؛ شماره نسخه: ۱۸۲۹۵</w:t>
      </w:r>
    </w:p>
    <w:p>
      <w:pPr>
        <w:pStyle w:val="BookText"/>
      </w:pPr>
      <w:r>
        <w:rPr>
          <w:rFonts w:ascii="IRNazanin" w:hAnsi="IRNazanin" w:eastAsia="IRNazanin" w:cs="IRNazanin"/>
          <w:lang w:bidi="fa-IR"/>
          <w:color w:val="111111"/>
          <w:sz w:val="28"/>
          <w:szCs w:val="28"/>
          <w:rtl/>
        </w:rPr>
        <w:t xml:space="preserve">از بیدل ،جامی، هلالی؛ بی کا، تا: ۱۲۴۴ق [د.ث. مجلس]</w:t>
      </w:r>
    </w:p>
    <w:p>
      <w:pPr>
        <w:pStyle w:val="BookText"/>
      </w:pPr>
      <w:r>
        <w:rPr>
          <w:rFonts w:ascii="IRNazanin" w:hAnsi="IRNazanin" w:eastAsia="IRNazanin" w:cs="IRNazanin"/>
          <w:lang w:bidi="fa-IR"/>
          <w:color w:val="111111"/>
          <w:sz w:val="28"/>
          <w:szCs w:val="28"/>
          <w:rtl/>
        </w:rPr>
        <w:t xml:space="preserve">۱۱۵۴. تهران؛ دانشگاه؛ شماره نسخه: ۳۴۳۷</w:t>
      </w:r>
    </w:p>
    <w:p>
      <w:pPr>
        <w:pStyle w:val="BookText"/>
      </w:pPr>
      <w:r>
        <w:rPr>
          <w:rFonts w:ascii="IRNazanin" w:hAnsi="IRNazanin" w:eastAsia="IRNazanin" w:cs="IRNazanin"/>
          <w:lang w:bidi="fa-IR"/>
          <w:color w:val="111111"/>
          <w:sz w:val="28"/>
          <w:szCs w:val="28"/>
          <w:rtl/>
        </w:rPr>
        <w:t xml:space="preserve">شعرهای فارسی: بهائی در نان و حلوا ،مطبوع، مجرم، مهری جبل عاملی، وحشی، سعدی ،دری ،نظیری، غیرت، محتشم ،سایل، شوکت، صحبت لاری ،رفیق ،عاشق، جامی، فارغ، طوفان، میرزا صادق هجری، بیدل ،پریشان ،مایلی ،منشی، مشفق گله داری، ابن عماد در روضة المحبين، مشتاق ،رفعت ؛خط: نستعلیق، بی کا، تا: ۲ ذیقعده ۱۲۴۲ و ۲۳ شعبان۱۲۴۴؛ مهر: «شعاع»؛ کاغذ: فرنگی، جلد: تیماج مشکی، ۹۷گ، ۱۰ سطر (5</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 ف : ۱۱ - ۲۴۴۹]</w:t>
      </w:r>
    </w:p>
    <w:p>
      <w:pPr>
        <w:pStyle w:val="BookText"/>
      </w:pPr>
      <w:r>
        <w:rPr>
          <w:rFonts w:ascii="IRNazanin" w:hAnsi="IRNazanin" w:eastAsia="IRNazanin" w:cs="IRNazanin"/>
          <w:lang w:bidi="fa-IR"/>
          <w:color w:val="111111"/>
          <w:sz w:val="28"/>
          <w:szCs w:val="28"/>
          <w:rtl/>
        </w:rPr>
        <w:t xml:space="preserve">۱۱۵۵. تهران؛ ملی؛ شماره نسخه: ۱۷۱/۱</w:t>
      </w:r>
    </w:p>
    <w:p>
      <w:pPr>
        <w:pStyle w:val="BookText"/>
      </w:pPr>
      <w:r>
        <w:rPr>
          <w:rFonts w:ascii="IRNazanin" w:hAnsi="IRNazanin" w:eastAsia="IRNazanin" w:cs="IRNazanin"/>
          <w:lang w:bidi="fa-IR"/>
          <w:color w:val="111111"/>
          <w:sz w:val="28"/>
          <w:szCs w:val="28"/>
          <w:rtl/>
        </w:rPr>
        <w:t xml:space="preserve">آغاز: هذا دیوان استاد رودکی ابوالحسن علیه الرحمه. بسمله و به نستعين واليه (= عليه التكلان. ای بنده بلا دیده و از بند بجسته *** مردانه شده آمده بر شهر نشسته؛ انجام: نخواستم ز تمنا مگر که دستوری*** نیافتم ز عطاها مگر پشیمانی</w:t>
      </w:r>
    </w:p>
    <w:p>
      <w:pPr>
        <w:pStyle w:val="BookText"/>
      </w:pPr>
      <w:r>
        <w:rPr>
          <w:rFonts w:ascii="IRNazanin" w:hAnsi="IRNazanin" w:eastAsia="IRNazanin" w:cs="IRNazanin"/>
          <w:lang w:bidi="fa-IR"/>
          <w:color w:val="111111"/>
          <w:sz w:val="28"/>
          <w:szCs w:val="28"/>
          <w:rtl/>
        </w:rPr>
        <w:t xml:space="preserve">از ص ۱ تا ص ۵۰ اصل مجموعه است و مشتمل بر اشعار رودکی و قطران می باشد، در ضبط قصاید نیز رعایت ترتیب حروف الفبائی قوافی نشده؛ خط: شکسته نستعلیق، بی کا، تا: جمادی الاول ۱۲۴۵ق، جا: دارالسلطنه تبریز ؛کاغذ: فرنگی فستقی، جلد: تیماج قرمز با ترنج و نیم ترنج ضربی مقوایی، ۵۰ ص (۱-۵۰)، ۲۱ سطر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۱ – ۱۷۵]</w:t>
      </w:r>
    </w:p>
    <w:p>
      <w:pPr>
        <w:pStyle w:val="BookText"/>
      </w:pPr>
      <w:r>
        <w:rPr>
          <w:rFonts w:ascii="IRNazanin" w:hAnsi="IRNazanin" w:eastAsia="IRNazanin" w:cs="IRNazanin"/>
          <w:lang w:bidi="fa-IR"/>
          <w:color w:val="111111"/>
          <w:sz w:val="28"/>
          <w:szCs w:val="28"/>
          <w:rtl/>
        </w:rPr>
        <w:t xml:space="preserve">۱۱۵۶ . یزد؛ کاظمینی؛ شماره نسخه: ۴۴۵</w:t>
      </w:r>
    </w:p>
    <w:p>
      <w:pPr>
        <w:pStyle w:val="BookText"/>
      </w:pPr>
      <w:r>
        <w:rPr>
          <w:rFonts w:ascii="IRNazanin" w:hAnsi="IRNazanin" w:eastAsia="IRNazanin" w:cs="IRNazanin"/>
          <w:lang w:bidi="fa-IR"/>
          <w:color w:val="111111"/>
          <w:sz w:val="28"/>
          <w:szCs w:val="28"/>
          <w:rtl/>
        </w:rPr>
        <w:t xml:space="preserve">مشتمل بر منشآتی در موضوعات مختلف بعضاً از صادق بن فضل الله علوی به سال ۱۲۴۴ و ۱۲۵۴ در طوس، رباعیات ابوسعید
</w:t>
      </w:r>
    </w:p>
    <w:p>
      <w:pPr>
        <w:sectPr>
          <w:footerReference w:type="default" r:id="rId8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ابوالخیر، اشعاری به فارسی از داعی، طرازی ،مؤمن، آقا سید صادق، فرسنامه منظوم، مثنوی میرزا ابوالقاسم هجری و دیـگر متفرقات؛ خط: نستعلیق، بی کا، تا: ۱۳ شعبان ۱۲۴۵ق؛ در دو بر آخر چند یادداشت تاریخی به سال ۱۲۴۶ و ۱۲۴۸ و 1249و متفرقاتی دیگر؛ کاغذ: الوان ،جلد: تیماج قهوه ای بدون مقـوا، ۱۵۶گ،سطور چلیپا و راسته،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۲ - ۱۳۳]</w:t>
      </w:r>
    </w:p>
    <w:p>
      <w:pPr>
        <w:pStyle w:val="BookText"/>
      </w:pPr>
      <w:r>
        <w:rPr>
          <w:rFonts w:ascii="IRNazanin" w:hAnsi="IRNazanin" w:eastAsia="IRNazanin" w:cs="IRNazanin"/>
          <w:lang w:bidi="fa-IR"/>
          <w:color w:val="111111"/>
          <w:sz w:val="28"/>
          <w:szCs w:val="28"/>
          <w:rtl/>
        </w:rPr>
        <w:t xml:space="preserve">۱۱۵۷. تهران؛ دانشکده الهیات تهران؛ شماره نسخه: ۳۷۲/۳</w:t>
      </w:r>
    </w:p>
    <w:p>
      <w:pPr>
        <w:pStyle w:val="BookText"/>
      </w:pPr>
      <w:r>
        <w:rPr>
          <w:rFonts w:ascii="IRNazanin" w:hAnsi="IRNazanin" w:eastAsia="IRNazanin" w:cs="IRNazanin"/>
          <w:lang w:bidi="fa-IR"/>
          <w:color w:val="111111"/>
          <w:sz w:val="28"/>
          <w:szCs w:val="28"/>
          <w:rtl/>
        </w:rPr>
        <w:t xml:space="preserve">چند قصیده است؛ خط: نستعلیق، بی کا، تا: جمعه ۱ شعـبان ۱۲۴۶ق؛ کاغذ: فرنگی، جلد: تیماج قهوه ای ضربی، ۳گ (۵۸ر- ۶۰ پ)، ۱۴) سطر (7</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 اندازه: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۱۶/۵سم [ف: ۲۸۸]</w:t>
      </w:r>
    </w:p>
    <w:p>
      <w:pPr>
        <w:pStyle w:val="BookText"/>
      </w:pPr>
      <w:r>
        <w:rPr>
          <w:rFonts w:ascii="IRNazanin" w:hAnsi="IRNazanin" w:eastAsia="IRNazanin" w:cs="IRNazanin"/>
          <w:lang w:bidi="fa-IR"/>
          <w:color w:val="111111"/>
          <w:sz w:val="28"/>
          <w:szCs w:val="28"/>
          <w:rtl/>
        </w:rPr>
        <w:t xml:space="preserve">۱۱۵۸. شیراز ،بغایری، عبد الرزاق؛ شماره نسخه: بدون شماره/ ۴</w:t>
      </w:r>
    </w:p>
    <w:p>
      <w:pPr>
        <w:pStyle w:val="BookText"/>
      </w:pPr>
      <w:r>
        <w:rPr>
          <w:rFonts w:ascii="IRNazanin" w:hAnsi="IRNazanin" w:eastAsia="IRNazanin" w:cs="IRNazanin"/>
          <w:lang w:bidi="fa-IR"/>
          <w:color w:val="111111"/>
          <w:sz w:val="28"/>
          <w:szCs w:val="28"/>
          <w:rtl/>
        </w:rPr>
        <w:t xml:space="preserve">بی کا، تا: ۱۲۴۶ق[ میراث اسلامی: ۵ - ۵۷۱]</w:t>
      </w:r>
    </w:p>
    <w:p>
      <w:pPr>
        <w:pStyle w:val="BookText"/>
      </w:pPr>
      <w:r>
        <w:rPr>
          <w:rFonts w:ascii="IRNazanin" w:hAnsi="IRNazanin" w:eastAsia="IRNazanin" w:cs="IRNazanin"/>
          <w:lang w:bidi="fa-IR"/>
          <w:color w:val="111111"/>
          <w:sz w:val="28"/>
          <w:szCs w:val="28"/>
          <w:rtl/>
        </w:rPr>
        <w:t xml:space="preserve">۱۱۵۹. تهران؛ ملک؛ شماره نسخه: ۵۰۷۶/۴</w:t>
      </w:r>
    </w:p>
    <w:p>
      <w:pPr>
        <w:pStyle w:val="BookText"/>
      </w:pPr>
      <w:r>
        <w:rPr>
          <w:rFonts w:ascii="IRNazanin" w:hAnsi="IRNazanin" w:eastAsia="IRNazanin" w:cs="IRNazanin"/>
          <w:lang w:bidi="fa-IR"/>
          <w:color w:val="111111"/>
          <w:sz w:val="28"/>
          <w:szCs w:val="28"/>
          <w:rtl/>
        </w:rPr>
        <w:t xml:space="preserve">قصیده در جواب انوری؛ خط: نستعلیق، کا: ابو القاسم بن عبدالرضا قزوینی شیرازی، تا: ۱۲۴۷ق [ف: ۸ - ۱۸۷]</w:t>
      </w:r>
    </w:p>
    <w:p>
      <w:pPr>
        <w:pStyle w:val="BookText"/>
      </w:pPr>
      <w:r>
        <w:rPr>
          <w:rFonts w:ascii="IRNazanin" w:hAnsi="IRNazanin" w:eastAsia="IRNazanin" w:cs="IRNazanin"/>
          <w:lang w:bidi="fa-IR"/>
          <w:color w:val="111111"/>
          <w:sz w:val="28"/>
          <w:szCs w:val="28"/>
          <w:rtl/>
        </w:rPr>
        <w:t xml:space="preserve">۱۱۶۰. تهران؛ مجلس؛ شماره نسخه: ۴۳۴۳/۹</w:t>
      </w:r>
    </w:p>
    <w:p>
      <w:pPr>
        <w:pStyle w:val="BookText"/>
      </w:pPr>
      <w:r>
        <w:rPr>
          <w:rFonts w:ascii="IRNazanin" w:hAnsi="IRNazanin" w:eastAsia="IRNazanin" w:cs="IRNazanin"/>
          <w:lang w:bidi="fa-IR"/>
          <w:color w:val="111111"/>
          <w:sz w:val="28"/>
          <w:szCs w:val="28"/>
          <w:rtl/>
        </w:rPr>
        <w:t xml:space="preserve">آغاز: افتتاح دیوان سخن ذکر عظمت پادشاهی/؛ انجام: کشتی ز نگاهی و جهانی دادی*** لا حول ولا قوة الا بالله.</w:t>
      </w:r>
    </w:p>
    <w:p>
      <w:pPr>
        <w:pStyle w:val="BookText"/>
      </w:pPr>
      <w:r>
        <w:rPr>
          <w:rFonts w:ascii="IRNazanin" w:hAnsi="IRNazanin" w:eastAsia="IRNazanin" w:cs="IRNazanin"/>
          <w:lang w:bidi="fa-IR"/>
          <w:color w:val="111111"/>
          <w:sz w:val="28"/>
          <w:szCs w:val="28"/>
          <w:rtl/>
        </w:rPr>
        <w:t xml:space="preserve">از حیاتی. شاید همان نقطوی مذکور در ذریعه ۹/۲۶۸-۲۶۹ باشـد؛ خط: نستعلیق، کا: محمد تقی طبیب بن عليرضا متطبب،تا: یک شنبه ۳ ربیع الثانی ۱۲۴۷ق، یادداشتی در برگ ماقبل آخر کتاب به نام محمد کاظم آمده؛ کاغذ: فرنگی ،جلد: تیماج مشکـی، ۳۲گ (۲۱۱-۲۴۳) ،۱۷ سطر (۷/۵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12- 51]</w:t>
      </w:r>
    </w:p>
    <w:p>
      <w:pPr>
        <w:pStyle w:val="BookText"/>
      </w:pPr>
      <w:r>
        <w:rPr>
          <w:rFonts w:ascii="IRNazanin" w:hAnsi="IRNazanin" w:eastAsia="IRNazanin" w:cs="IRNazanin"/>
          <w:lang w:bidi="fa-IR"/>
          <w:color w:val="111111"/>
          <w:sz w:val="28"/>
          <w:szCs w:val="28"/>
          <w:rtl/>
        </w:rPr>
        <w:t xml:space="preserve">۱۱۶۱. تهران؛ ملک؛ شماره نسخه: ۵۰۷۶/۶</w:t>
      </w:r>
    </w:p>
    <w:p>
      <w:pPr>
        <w:pStyle w:val="BookText"/>
      </w:pPr>
      <w:r>
        <w:rPr>
          <w:rFonts w:ascii="IRNazanin" w:hAnsi="IRNazanin" w:eastAsia="IRNazanin" w:cs="IRNazanin"/>
          <w:lang w:bidi="fa-IR"/>
          <w:color w:val="111111"/>
          <w:sz w:val="28"/>
          <w:szCs w:val="28"/>
          <w:rtl/>
        </w:rPr>
        <w:t xml:space="preserve">قصاید است از محمد رموزی، علی نویدی ،بیرم خان، مرشدی، میرزا قلی میلی، محمد هاشم مردمی، و جز آنها؛ خط: نستعلیق، كا: ابو القاسم بن عبدالرضا قزوینی شیرازی، تا: ۱۲۴۷ق [ف: ۸ - 187]</w:t>
      </w:r>
    </w:p>
    <w:p>
      <w:pPr>
        <w:pStyle w:val="BookText"/>
      </w:pPr>
      <w:r>
        <w:rPr>
          <w:rFonts w:ascii="IRNazanin" w:hAnsi="IRNazanin" w:eastAsia="IRNazanin" w:cs="IRNazanin"/>
          <w:lang w:bidi="fa-IR"/>
          <w:color w:val="111111"/>
          <w:sz w:val="28"/>
          <w:szCs w:val="28"/>
          <w:rtl/>
        </w:rPr>
        <w:t xml:space="preserve">۱۱۶۲. تهران؛ مجلس؛ شماره نسخه: ۱۳۴۲۹</w:t>
      </w:r>
    </w:p>
    <w:p>
      <w:pPr>
        <w:pStyle w:val="BookText"/>
      </w:pPr>
      <w:r>
        <w:rPr>
          <w:rFonts w:ascii="IRNazanin" w:hAnsi="IRNazanin" w:eastAsia="IRNazanin" w:cs="IRNazanin"/>
          <w:lang w:bidi="fa-IR"/>
          <w:color w:val="111111"/>
          <w:sz w:val="28"/>
          <w:szCs w:val="28"/>
          <w:rtl/>
        </w:rPr>
        <w:t xml:space="preserve">آغاز: رخ سرخش شده ماننده کاه *** کشیدی دمبدم آه از جگرگاه/ دهانش خشک هر دو دیده اش تر *** مناجات کرد گفت الله اکبر؛ انجام: نوشتم خط بدین دیوارخانه *** بماند بر  من مسکین نشانه / اگر گویند این مسکین کجا رفت *** بـگو بگریخت از جور زمانه</w:t>
      </w:r>
    </w:p>
    <w:p>
      <w:pPr>
        <w:pStyle w:val="BookText"/>
      </w:pPr>
      <w:r>
        <w:rPr>
          <w:rFonts w:ascii="IRNazanin" w:hAnsi="IRNazanin" w:eastAsia="IRNazanin" w:cs="IRNazanin"/>
          <w:lang w:bidi="fa-IR"/>
          <w:color w:val="111111"/>
          <w:sz w:val="28"/>
          <w:szCs w:val="28"/>
          <w:rtl/>
        </w:rPr>
        <w:t xml:space="preserve">مثنوی ابراهیم است. مثنوی کوتاهی است که در آن شاعر چند قصه را به نظم کشیده است، از جمله قصه شیخ حداد و حضرت موسی، ، سنگ تراش، قصه صالح بغدادی. شاعر نام خود را در اشعارش ابراهیم ذکر می کند؛ خط: نستعلیق نازیبا، کا: ملاگـلنار بن ملا صالح کوربی، تا: ۱۲۴۷ق، برای ملا عزیز الله؛ جلد: میشـین ،آبی، ۲۲گ، ۱۲ سطر،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۳۶ - ۳۶۲]</w:t>
      </w:r>
    </w:p>
    <w:p>
      <w:pPr>
        <w:pStyle w:val="BookText"/>
      </w:pPr>
      <w:r>
        <w:rPr>
          <w:rFonts w:ascii="IRNazanin" w:hAnsi="IRNazanin" w:eastAsia="IRNazanin" w:cs="IRNazanin"/>
          <w:lang w:bidi="fa-IR"/>
          <w:color w:val="111111"/>
          <w:sz w:val="28"/>
          <w:szCs w:val="28"/>
          <w:rtl/>
        </w:rPr>
        <w:t xml:space="preserve">۱۱۶۳. تهران؛ ملک؛ شماره نسخه: ۵۰۷۶/۱</w:t>
      </w:r>
    </w:p>
    <w:p>
      <w:pPr>
        <w:pStyle w:val="BookText"/>
      </w:pPr>
      <w:r>
        <w:rPr>
          <w:rFonts w:ascii="IRNazanin" w:hAnsi="IRNazanin" w:eastAsia="IRNazanin" w:cs="IRNazanin"/>
          <w:lang w:bidi="fa-IR"/>
          <w:color w:val="111111"/>
          <w:sz w:val="28"/>
          <w:szCs w:val="28"/>
          <w:rtl/>
        </w:rPr>
        <w:t xml:space="preserve">حاوی رباعی و مفردات و مثنوی. مفردات به ترتیب حروف قافیه است از الف تا یاء بدون یادی از سرایندگان، سپس مثنوی ها در بحر مثنوی معنوی و بحر مخزن الاسرار، آنگاه رباعی ها: سحابی، مثنوی از مؤمن حسین یزدی، غزلیات از مسیحی، رفیعی، نعمتی ،مداح ،گلشنی ،مولانا شجاع ،عبدالغفار، مولانا مقصود، مولانا محمد قاسم رازی ،شکیبی ،غازی،صرفی، عهدی، سلطان محمد فروغی، وحشی، قاسم بیک، میر مجدی ،قیدی، یادگار بیگ، هلاکی ،شمسی، ولی دشت بیاضی، خواجه محمد حسین، قاضی احمد فکاری، خواجه احمد میرک ،عبدی، محمد امین، چنبک، ادهم، نورالدین محمد، خواجه محمد ترکه، میر جلال الدین حسن، فکر، حشمتی، ناطقی ،فایضی، شیخ بهایی؛ خط: نستعلیق، كا: ابوالقاسم بن عبدالرضا قزوینی شیرازی ،تا: ۱۲۴۷ق؛ کاغذ: فستقی ،جلد: میشن سیاه ضربی، ۱۴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۳۱/۲سم  [ ف: ۸ - ۱۸۶]</w:t>
      </w:r>
    </w:p>
    <w:p>
      <w:pPr>
        <w:pStyle w:val="BookText"/>
      </w:pPr>
      <w:r>
        <w:rPr>
          <w:rFonts w:ascii="IRNazanin" w:hAnsi="IRNazanin" w:eastAsia="IRNazanin" w:cs="IRNazanin"/>
          <w:lang w:bidi="fa-IR"/>
          <w:color w:val="111111"/>
          <w:sz w:val="28"/>
          <w:szCs w:val="28"/>
          <w:rtl/>
        </w:rPr>
        <w:t xml:space="preserve">۱۱۶۴. قم؛ گلپایگانی؛ شماره نسخه: ۳۴۰۳-۱۷/۱۸۳</w:t>
      </w:r>
    </w:p>
    <w:p>
      <w:pPr>
        <w:pStyle w:val="BookText"/>
      </w:pPr>
      <w:r>
        <w:rPr>
          <w:rFonts w:ascii="IRNazanin" w:hAnsi="IRNazanin" w:eastAsia="IRNazanin" w:cs="IRNazanin"/>
          <w:lang w:bidi="fa-IR"/>
          <w:color w:val="111111"/>
          <w:sz w:val="28"/>
          <w:szCs w:val="28"/>
          <w:rtl/>
        </w:rPr>
        <w:t xml:space="preserve">آغاز: هر ملک يک طبق زنور دگر *** همه گردند نثار پيغمبر/ تو زموی سرش کنون بشمار*** که دوازده هزار و سیصد تار؛</w:t>
      </w:r>
    </w:p>
    <w:p>
      <w:pPr>
        <w:pStyle w:val="BookText"/>
      </w:pPr>
      <w:r>
        <w:rPr>
          <w:rFonts w:ascii="IRNazanin" w:hAnsi="IRNazanin" w:eastAsia="IRNazanin" w:cs="IRNazanin"/>
          <w:lang w:bidi="fa-IR"/>
          <w:color w:val="111111"/>
          <w:sz w:val="28"/>
          <w:szCs w:val="28"/>
          <w:rtl/>
        </w:rPr>
        <w:t xml:space="preserve">انجام: بسمله الحمد لله رب العالمين يا حي يا قيوم اجب یا رو  قيائيل سميعا مطيعاً بحق الحمد لله رب العالمين ... بقائمة العرش طيكل بود الاربعا ایاک نعبد و ایاک نستعین یا سریع یا قریب یا مکائیل یا جبرئیل</w:t>
      </w:r>
    </w:p>
    <w:p>
      <w:pPr>
        <w:pStyle w:val="BookText"/>
      </w:pPr>
      <w:r>
        <w:rPr>
          <w:rFonts w:ascii="IRNazanin" w:hAnsi="IRNazanin" w:eastAsia="IRNazanin" w:cs="IRNazanin"/>
          <w:lang w:bidi="fa-IR"/>
          <w:color w:val="111111"/>
          <w:sz w:val="28"/>
          <w:szCs w:val="28"/>
          <w:rtl/>
        </w:rPr>
        <w:t xml:space="preserve">جنگی است پراکنده شامل اشعاری از شاعران زیر: دوازده بند محتشم، هاتف در مدح علی (علیه السّلام) دوازده امام به ترتیب حروف تهجی، سرباز ،سعدی، هفت بند ملا حسن، اشعاری در مدح علی (علیه السّلام)، نشاط و اشعاری از شعرای دیگر؛ بی کا، تا: ۱۲۴۷ق، جا: قریه حصار همایون از دهات شمیرانات؛ ۷۳گ، ۶-۱۲ سطر، قطع: بیاض رقعی،اندازه: 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۹سم [ف: ۳ - ۱۲۵۷]</w:t>
      </w:r>
    </w:p>
    <w:p>
      <w:pPr>
        <w:pStyle w:val="BookText"/>
      </w:pPr>
      <w:r>
        <w:rPr>
          <w:rFonts w:ascii="IRNazanin" w:hAnsi="IRNazanin" w:eastAsia="IRNazanin" w:cs="IRNazanin"/>
          <w:lang w:bidi="fa-IR"/>
          <w:color w:val="111111"/>
          <w:sz w:val="28"/>
          <w:szCs w:val="28"/>
          <w:rtl/>
        </w:rPr>
        <w:t xml:space="preserve">۱۱۶۵. تهران؛ مجلس؛ شماره نسخه: ۱۸۳۸۰</w:t>
      </w:r>
    </w:p>
    <w:p>
      <w:pPr>
        <w:pStyle w:val="BookText"/>
      </w:pPr>
      <w:r>
        <w:rPr>
          <w:rFonts w:ascii="IRNazanin" w:hAnsi="IRNazanin" w:eastAsia="IRNazanin" w:cs="IRNazanin"/>
          <w:lang w:bidi="fa-IR"/>
          <w:color w:val="111111"/>
          <w:sz w:val="28"/>
          <w:szCs w:val="28"/>
          <w:rtl/>
        </w:rPr>
        <w:t xml:space="preserve">شامل اشعار حافظ، سعدی، مثنوی میرزا صادق تفرشی، بخش هایی از گنجینه نشاط، شهنشاهنامه صبا؛ بی کا، تا: ۱۲۴۷ق [د.ث. مجلس]</w:t>
      </w:r>
    </w:p>
    <w:p>
      <w:pPr>
        <w:pStyle w:val="BookText"/>
      </w:pPr>
      <w:r>
        <w:rPr>
          <w:rFonts w:ascii="IRNazanin" w:hAnsi="IRNazanin" w:eastAsia="IRNazanin" w:cs="IRNazanin"/>
          <w:lang w:bidi="fa-IR"/>
          <w:color w:val="111111"/>
          <w:sz w:val="28"/>
          <w:szCs w:val="28"/>
          <w:rtl/>
        </w:rPr>
        <w:t xml:space="preserve">۱۱۶۶. تهران؛ ملک؛ شماره نسخه: ۵۰۷۹/۲</w:t>
      </w:r>
    </w:p>
    <w:p>
      <w:pPr>
        <w:pStyle w:val="BookText"/>
      </w:pPr>
      <w:r>
        <w:rPr>
          <w:rFonts w:ascii="IRNazanin" w:hAnsi="IRNazanin" w:eastAsia="IRNazanin" w:cs="IRNazanin"/>
          <w:lang w:bidi="fa-IR"/>
          <w:color w:val="111111"/>
          <w:sz w:val="28"/>
          <w:szCs w:val="28"/>
          <w:rtl/>
        </w:rPr>
        <w:t xml:space="preserve">گزیده هایی از مثنوی معنوی و بوستان؛ خط: نستعلیق، کا: ابو القاسم بن عبدالرضا قزوینی شیرازی، تا: ۱۲۴۷ق [ف: ۸ - ۱۸۷]</w:t>
      </w:r>
    </w:p>
    <w:p>
      <w:pPr>
        <w:pStyle w:val="BookText"/>
      </w:pPr>
      <w:r>
        <w:rPr>
          <w:rFonts w:ascii="IRNazanin" w:hAnsi="IRNazanin" w:eastAsia="IRNazanin" w:cs="IRNazanin"/>
          <w:lang w:bidi="fa-IR"/>
          <w:color w:val="111111"/>
          <w:sz w:val="28"/>
          <w:szCs w:val="28"/>
          <w:rtl/>
        </w:rPr>
        <w:t xml:space="preserve">۱۱۶۷. تهران؛ مجلس؛ شماره نسخه: ۶۱۳/۱</w:t>
      </w:r>
    </w:p>
    <w:p>
      <w:pPr>
        <w:pStyle w:val="BookText"/>
      </w:pPr>
      <w:r>
        <w:rPr>
          <w:rFonts w:ascii="IRNazanin" w:hAnsi="IRNazanin" w:eastAsia="IRNazanin" w:cs="IRNazanin"/>
          <w:lang w:bidi="fa-IR"/>
          <w:color w:val="111111"/>
          <w:sz w:val="28"/>
          <w:szCs w:val="28"/>
          <w:rtl/>
        </w:rPr>
        <w:t xml:space="preserve">به طرز نصاب که اشعار آن بالتزام تجنیس و تصنعات لفظی سروده شده چنان که وزن شعر مصر شهر: و شهر ماه و ماه آب و خوف سهم*** سهیم تر و اجنحه چون بال باشد بال جان؛ خط: نستعلیق، بی کا، تا: ۱۲۴۷ق؛ ۱۴ سطر، قطع: خشتی،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۲ - ۳۶۶]</w:t>
      </w:r>
    </w:p>
    <w:p>
      <w:pPr>
        <w:pStyle w:val="BookText"/>
      </w:pPr>
      <w:r>
        <w:rPr>
          <w:rFonts w:ascii="IRNazanin" w:hAnsi="IRNazanin" w:eastAsia="IRNazanin" w:cs="IRNazanin"/>
          <w:lang w:bidi="fa-IR"/>
          <w:color w:val="111111"/>
          <w:sz w:val="28"/>
          <w:szCs w:val="28"/>
          <w:rtl/>
        </w:rPr>
        <w:t xml:space="preserve">۱۱۶۸. تهران؛ ملی؛ شماره نسخه: ۷۳۱۲</w:t>
      </w:r>
    </w:p>
    <w:p>
      <w:pPr>
        <w:pStyle w:val="BookText"/>
      </w:pPr>
      <w:r>
        <w:rPr>
          <w:rFonts w:ascii="IRNazanin" w:hAnsi="IRNazanin" w:eastAsia="IRNazanin" w:cs="IRNazanin"/>
          <w:lang w:bidi="fa-IR"/>
          <w:color w:val="111111"/>
          <w:sz w:val="28"/>
          <w:szCs w:val="28"/>
          <w:rtl/>
        </w:rPr>
        <w:t xml:space="preserve">آغاز: بنام خدا تا جهانرا بقاست *** همه فیض جاری بنام خداست/ حکیمی که نقش دو عالم کشید*** کریمی کز و کس نشد نا امید؛ انجام: سرآغاز هر کار از خیر و شر </w:t>
      </w:r>
      <w:r>
        <w:rPr>
          <w:rFonts w:ascii="IRNazanin" w:hAnsi="IRNazanin" w:eastAsia="IRNazanin" w:cs="IRNazanin"/>
          <w:lang w:bidi="fa-IR"/>
          <w:color w:val="111111"/>
          <w:sz w:val="28"/>
          <w:szCs w:val="28"/>
          <w:b w:val="1"/>
          <w:bCs w:val="1"/>
          <w:i w:val="1"/>
          <w:iCs w:val="1"/>
          <w:rtl/>
        </w:rPr>
        <w:t xml:space="preserve">ببار از سرانجام دارد ثمر / شود اول هر چه ز آخر دید</w:t>
      </w:r>
      <w:r>
        <w:rPr>
          <w:rFonts w:ascii="IRNazanin" w:hAnsi="IRNazanin" w:eastAsia="IRNazanin" w:cs="IRNazanin"/>
          <w:lang w:bidi="fa-IR"/>
          <w:color w:val="111111"/>
          <w:sz w:val="28"/>
          <w:szCs w:val="28"/>
          <w:rtl/>
        </w:rPr>
        <w:t xml:space="preserve"> کسی آخر آخر ز اول ندید.
</w:t>
      </w:r>
    </w:p>
    <w:p>
      <w:pPr>
        <w:sectPr>
          <w:footerReference w:type="default" r:id="rId8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انجامه: تم فى يوم الثبت من وجه نسخه الى كتب من حفظ الناظم ابقاه الرساله احدى و عشرين من شهر جمادی الاولی 1249و محررها الحقير والاحقر ابن محمد مهدى الثقفى عفى .... كرمه.</w:t>
      </w:r>
    </w:p>
    <w:p>
      <w:pPr>
        <w:pStyle w:val="BookText"/>
      </w:pPr>
      <w:r>
        <w:rPr>
          <w:rFonts w:ascii="IRNazanin" w:hAnsi="IRNazanin" w:eastAsia="IRNazanin" w:cs="IRNazanin"/>
          <w:lang w:bidi="fa-IR"/>
          <w:color w:val="111111"/>
          <w:sz w:val="28"/>
          <w:szCs w:val="28"/>
          <w:rtl/>
        </w:rPr>
        <w:t xml:space="preserve">مشتمل بر اشعاری در ستایش خداوند، نبوت و نعت رسول الله، و خلافت امیرالمؤمنین علی (علیه السّلام) در ۴ منقبت، توسل به دوازده امام (علیه السّلام)، منقبت خاص امام زمان صلوات الله عليه مناجـات و توسلات، نصیحت، مقدمه خطبه فدک در احتجاج، اشـعار مذهبی؛ خط: نسخ خوش، بی کا، مهدی بن محمد ثقفی،تا: ۱۲۴۹ق؛ کاغذ: فرنگی شکری آهار مهره ،جلد: مقوایی با روکش تیماج تریاکی سوخته، ترنج و سرترنج با نقش گل و بوته مجدول با حاشیه بند ریس های ضربی، ۴۲گ (۲۲۱ پ -۲۶۳ر)، ۱۷ سـطر (۸/۲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۱۳/۶)،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[رایانه]</w:t>
      </w:r>
    </w:p>
    <w:p>
      <w:pPr>
        <w:pStyle w:val="BookText"/>
      </w:pPr>
      <w:r>
        <w:rPr>
          <w:rFonts w:ascii="IRNazanin" w:hAnsi="IRNazanin" w:eastAsia="IRNazanin" w:cs="IRNazanin"/>
          <w:lang w:bidi="fa-IR"/>
          <w:color w:val="111111"/>
          <w:sz w:val="28"/>
          <w:szCs w:val="28"/>
          <w:rtl/>
        </w:rPr>
        <w:t xml:space="preserve">۱۱۶۹. تهران؛ دانشگاه؛ شماره نسخه: ۶۰۹۷/۳</w:t>
      </w:r>
    </w:p>
    <w:p>
      <w:pPr>
        <w:pStyle w:val="BookText"/>
      </w:pPr>
      <w:r>
        <w:rPr>
          <w:rFonts w:ascii="IRNazanin" w:hAnsi="IRNazanin" w:eastAsia="IRNazanin" w:cs="IRNazanin"/>
          <w:lang w:bidi="fa-IR"/>
          <w:color w:val="111111"/>
          <w:sz w:val="28"/>
          <w:szCs w:val="28"/>
          <w:rtl/>
        </w:rPr>
        <w:t xml:space="preserve">اشعار پراکنده چند رباعی، شعر سعدی و حسینی و جامی و عاشق و وحشی و ناظم و اختر و حاجب و حافظ و محتشم و درویش مجید و طوفان و مسعود سعد سلمان؛ خط: نستعلیق، بی کا،تا: ۱۲۴۹ق؛ کاغذ: فرنگی ،جلد: تیماج سبز تیره ضربی لایی، ۱۳گ (۷۳پ-۶۰ پ)، ۱۴ سطر (7</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 قطع: ربعی، اندازه: 13</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۱۶ - ۱۹۷]</w:t>
      </w:r>
    </w:p>
    <w:p>
      <w:pPr>
        <w:pStyle w:val="BookText"/>
      </w:pPr>
      <w:r>
        <w:rPr>
          <w:rFonts w:ascii="IRNazanin" w:hAnsi="IRNazanin" w:eastAsia="IRNazanin" w:cs="IRNazanin"/>
          <w:lang w:bidi="fa-IR"/>
          <w:color w:val="111111"/>
          <w:sz w:val="28"/>
          <w:szCs w:val="28"/>
          <w:rtl/>
        </w:rPr>
        <w:t xml:space="preserve">۱۱۷۰ . قم؛ گلپایگانی؛ شماره نسخه: ۳۴۱۳-۱۷/۱۹۳</w:t>
      </w:r>
    </w:p>
    <w:p>
      <w:pPr>
        <w:pStyle w:val="BookText"/>
      </w:pPr>
      <w:r>
        <w:rPr>
          <w:rFonts w:ascii="IRNazanin" w:hAnsi="IRNazanin" w:eastAsia="IRNazanin" w:cs="IRNazanin"/>
          <w:lang w:bidi="fa-IR"/>
          <w:color w:val="111111"/>
          <w:sz w:val="28"/>
          <w:szCs w:val="28"/>
          <w:rtl/>
        </w:rPr>
        <w:t xml:space="preserve">آغاز: طبل رحیلش چه زد این اوستاد *** نوبت اورنگ به جمـشید داد / کوه سرافکنده تمکین کند ***... [پاک شده]؛ انجام: مخدوم مهربان من. ایام جوانی که هنگام کامرانی بود در کار گذشتن است و قبل ان يرتد طرفک پیری و عنا می رسد و نوبت فنا خواهد رسید.</w:t>
      </w:r>
    </w:p>
    <w:p>
      <w:pPr>
        <w:pStyle w:val="BookText"/>
      </w:pPr>
      <w:r>
        <w:rPr>
          <w:rFonts w:ascii="IRNazanin" w:hAnsi="IRNazanin" w:eastAsia="IRNazanin" w:cs="IRNazanin"/>
          <w:lang w:bidi="fa-IR"/>
          <w:color w:val="111111"/>
          <w:sz w:val="28"/>
          <w:szCs w:val="28"/>
          <w:rtl/>
        </w:rPr>
        <w:t xml:space="preserve">جنگی است به قطع بیاضی شامل: مناجات خواجه عبدالله انصاری، مثنوی معراج خیال تجلی شیرازی، مثنوی سومنات (یک صفحـه با این سرآغاز: آن میکده کز صفا تمامش کردم *** و زآتش باده به جامش کردم)، اشعاری از صائب ،حافظ، سعدی و باباطاهر، شاهنامه منظوم در تاریخ سلاطین ایران قبل از اسلام و پس از اسلام تا حجاج؛ خط: نستعلیق شکسته، بی کا، تا: 1247- 1249؛ جلد: تیماج قهوه ای، ۱۶۲گ، ابعاد متن: 5</w:t>
      </w:r>
      <w:r>
        <w:rPr>
          <w:rFonts w:ascii="Times New Roman" w:hAnsi="Times New Roman" w:eastAsia="Times New Roman" w:cs="Times New Roman"/>
          <w:lang w:val="en-US" w:bidi="en-US"/>
          <w:color w:val="111111"/>
          <w:sz w:val="28"/>
          <w:szCs w:val="28"/>
          <w:rtl/>
        </w:rPr>
        <w:t xml:space="preserve">×8</w:t>
      </w:r>
      <w:r>
        <w:rPr>
          <w:rFonts w:ascii="IRNazanin" w:hAnsi="IRNazanin" w:eastAsia="IRNazanin" w:cs="IRNazanin"/>
          <w:lang w:bidi="fa-IR"/>
          <w:color w:val="111111"/>
          <w:sz w:val="28"/>
          <w:szCs w:val="28"/>
          <w:rtl/>
        </w:rPr>
        <w:t xml:space="preserve">، قطع: بياض رقعی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۳ - ۱۲۵۳]</w:t>
      </w:r>
    </w:p>
    <w:p>
      <w:pPr>
        <w:pStyle w:val="BookText"/>
      </w:pPr>
      <w:r>
        <w:rPr>
          <w:rFonts w:ascii="IRNazanin" w:hAnsi="IRNazanin" w:eastAsia="IRNazanin" w:cs="IRNazanin"/>
          <w:lang w:bidi="fa-IR"/>
          <w:color w:val="111111"/>
          <w:sz w:val="28"/>
          <w:szCs w:val="28"/>
          <w:rtl/>
        </w:rPr>
        <w:t xml:space="preserve">۱۱۷۱. تهران؛ مجلس؛ شماره نسخه: ۱۵۷۰۳</w:t>
      </w:r>
    </w:p>
    <w:p>
      <w:pPr>
        <w:pStyle w:val="BookText"/>
      </w:pPr>
      <w:r>
        <w:rPr>
          <w:rFonts w:ascii="IRNazanin" w:hAnsi="IRNazanin" w:eastAsia="IRNazanin" w:cs="IRNazanin"/>
          <w:lang w:bidi="fa-IR"/>
          <w:color w:val="111111"/>
          <w:sz w:val="28"/>
          <w:szCs w:val="28"/>
          <w:rtl/>
        </w:rPr>
        <w:t xml:space="preserve">آغاز: سوی ویرانه ام سحری جلوه کنان *** بهر پرسیدن بیـمار خود آن سرو روان؛ انجام: از زلف و رخ دوست عجب صبحی و شامی</w:t>
      </w:r>
    </w:p>
    <w:p>
      <w:pPr>
        <w:pStyle w:val="BookText"/>
      </w:pPr>
      <w:r>
        <w:rPr>
          <w:rFonts w:ascii="IRNazanin" w:hAnsi="IRNazanin" w:eastAsia="IRNazanin" w:cs="IRNazanin"/>
          <w:lang w:bidi="fa-IR"/>
          <w:color w:val="111111"/>
          <w:sz w:val="28"/>
          <w:szCs w:val="28"/>
          <w:rtl/>
        </w:rPr>
        <w:t xml:space="preserve">بیاضی است که در آن گزیده ای از اشعار جمعی از شعرای فارسی سرا درج شده، ازجمله: منظومه بیمار و طبیب، قاضـی شریف، مكتوب جناب مقصدی، اشعار عاشق، چند غزل ازحافط شیرازی، قصیده از حاجی سلمان صباحی کاشانی، اشعار باباطاهر عریان، ابیاتی از مثنوی مولوی، قصیده در نعت نبی، قصیده در بهشت، اشعاری از میرزا رضی تبریزی، اشعاری ازمیرزا عبدالوهاب معتمدالدوله ،(نشاط) اشعار میرزا محمد متخلص به سحاب، اشعار سید حسن متخلص به مجمر، اشعار میرزا صادق متخلص به ناطق، اشعار میرزا ابراهیم متخلص به اخگر، از رباعیات خيام، طريقه صیغه ،متعه، قصه مجعوله، قصایدی بدون نام شاعر، اشعار عاشق اصفهانی، اشعار کمال اسمعیل، اشعار عصمت بخارایی، اشعار انوری، اشعار مولانا وحشی، ترکیب بند ضیاء، اشعار حضوری، اشعار ظهیر الدین فارابی، اشعار رجایی، قضا و قدر، میرزا محمد قلی سلیم، قطعاتی از میرزا محمد علی شیرین کلام؛ خط: نستعلیق، بی کا، تا: ۱۲۴۹ق؛ مجدول، در ابتدای نسخه یادداشتی از مالک آن (گویا باستانی راد) درباره اهمیت نسخه؛ جلد: تیماج قهوه ای، ۷۱گ، سطور چلیپایی،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۱۷/۵سم[ ف: ۴۴ - ۱۰]</w:t>
      </w:r>
    </w:p>
    <w:p>
      <w:pPr>
        <w:pStyle w:val="BookText"/>
      </w:pPr>
      <w:r>
        <w:rPr>
          <w:rFonts w:ascii="IRNazanin" w:hAnsi="IRNazanin" w:eastAsia="IRNazanin" w:cs="IRNazanin"/>
          <w:lang w:bidi="fa-IR"/>
          <w:color w:val="111111"/>
          <w:sz w:val="28"/>
          <w:szCs w:val="28"/>
          <w:rtl/>
        </w:rPr>
        <w:t xml:space="preserve">۱۱۷۲. تهران؛ ملک؛ شماره نسخه: ۵۱۱۴</w:t>
      </w:r>
    </w:p>
    <w:p>
      <w:pPr>
        <w:pStyle w:val="BookText"/>
      </w:pPr>
      <w:r>
        <w:rPr>
          <w:rFonts w:ascii="IRNazanin" w:hAnsi="IRNazanin" w:eastAsia="IRNazanin" w:cs="IRNazanin"/>
          <w:lang w:bidi="fa-IR"/>
          <w:color w:val="111111"/>
          <w:sz w:val="28"/>
          <w:szCs w:val="28"/>
          <w:rtl/>
        </w:rPr>
        <w:t xml:space="preserve">اشعاری از: جامی، کمال الدین اسماعیل، سوزنی، نظام استر آبادی ،سنایی،نظامی ،قمی ،سعدی، ادیب صابر، شیخ عطار، مثنوی «سرتاپای» از مهری عرب، اشعاری از انوری؛ خط: شکسته نستعلیق، بی کا، تا: ۱۲۵۰ق؛ کاغذ: فستقی، جلد: میشن قهوه ای یک لائی مجدول، ۱۸۳گ، اندازه: ۱۳/۹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۲۱/۴سم [ف: ۸ - ۲۱۱]</w:t>
      </w:r>
    </w:p>
    <w:p>
      <w:pPr>
        <w:pStyle w:val="BookText"/>
      </w:pPr>
      <w:r>
        <w:rPr>
          <w:rFonts w:ascii="IRNazanin" w:hAnsi="IRNazanin" w:eastAsia="IRNazanin" w:cs="IRNazanin"/>
          <w:lang w:bidi="fa-IR"/>
          <w:color w:val="111111"/>
          <w:sz w:val="28"/>
          <w:szCs w:val="28"/>
          <w:rtl/>
        </w:rPr>
        <w:t xml:space="preserve">۱۱۷۳ . مشهد؛ رضوی؛ شماره نسخه: ۱۶۴۱۵/۳</w:t>
      </w:r>
    </w:p>
    <w:p>
      <w:pPr>
        <w:pStyle w:val="BookText"/>
      </w:pPr>
      <w:r>
        <w:rPr>
          <w:rFonts w:ascii="IRNazanin" w:hAnsi="IRNazanin" w:eastAsia="IRNazanin" w:cs="IRNazanin"/>
          <w:lang w:bidi="fa-IR"/>
          <w:color w:val="111111"/>
          <w:sz w:val="28"/>
          <w:szCs w:val="28"/>
          <w:rtl/>
        </w:rPr>
        <w:t xml:space="preserve">آغاز: بسمله، ای که ذاتت در دو گیتی مظهر اسماستی *** جوهری دهر را تو لؤلؤ لالاستی؛ انجام: دست او امداد دست سید داناستی</w:t>
      </w:r>
    </w:p>
    <w:p>
      <w:pPr>
        <w:pStyle w:val="BookText"/>
      </w:pPr>
      <w:r>
        <w:rPr>
          <w:rFonts w:ascii="IRNazanin" w:hAnsi="IRNazanin" w:eastAsia="IRNazanin" w:cs="IRNazanin"/>
          <w:lang w:bidi="fa-IR"/>
          <w:color w:val="111111"/>
          <w:sz w:val="28"/>
          <w:szCs w:val="28"/>
          <w:rtl/>
        </w:rPr>
        <w:t xml:space="preserve">مخمس قصیده پائیه میرفندرسکی است؛ خط: شکسته نستعلیق، كا: احمد بن علی محمد رشتی، تا: ۱۲۵۰ق؛ اشعار عربی به خط نسخ؛ واگذاری بنیاد مستضعفان در شهریور ماه ۱۳۶۷؛ کاغذ:شکری آهاری ،جلد: تیماج ،مشکی ۴ص (۹۱-۹۹)، اندازه: ۱۳/۷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 ۱۷ - ۳۸۲]</w:t>
      </w:r>
    </w:p>
    <w:p>
      <w:pPr>
        <w:pStyle w:val="BookText"/>
      </w:pPr>
      <w:r>
        <w:rPr>
          <w:rFonts w:ascii="IRNazanin" w:hAnsi="IRNazanin" w:eastAsia="IRNazanin" w:cs="IRNazanin"/>
          <w:lang w:bidi="fa-IR"/>
          <w:color w:val="111111"/>
          <w:sz w:val="28"/>
          <w:szCs w:val="28"/>
          <w:rtl/>
        </w:rPr>
        <w:t xml:space="preserve">۱۱۷۴. تهران؛ دانشگاه؛ شماره نسخه: ۴۷۲۴/۱۰</w:t>
      </w:r>
    </w:p>
    <w:p>
      <w:pPr>
        <w:pStyle w:val="BookText"/>
      </w:pPr>
      <w:r>
        <w:rPr>
          <w:rFonts w:ascii="IRNazanin" w:hAnsi="IRNazanin" w:eastAsia="IRNazanin" w:cs="IRNazanin"/>
          <w:lang w:bidi="fa-IR"/>
          <w:color w:val="111111"/>
          <w:sz w:val="28"/>
          <w:szCs w:val="28"/>
          <w:rtl/>
        </w:rPr>
        <w:t xml:space="preserve">آغاز: کوکبه خسرو و نوشیروان *** شد چه جهان گیر کران تا کران؛ انجام: شاه ازان کورزن آیین گرفت *** ترک هوس کرده ره دین گرفت</w:t>
      </w:r>
    </w:p>
    <w:p>
      <w:pPr>
        <w:pStyle w:val="BookText"/>
      </w:pPr>
      <w:r>
        <w:rPr>
          <w:rFonts w:ascii="IRNazanin" w:hAnsi="IRNazanin" w:eastAsia="IRNazanin" w:cs="IRNazanin"/>
          <w:lang w:bidi="fa-IR"/>
          <w:color w:val="111111"/>
          <w:sz w:val="28"/>
          <w:szCs w:val="28"/>
          <w:rtl/>
        </w:rPr>
        <w:t xml:space="preserve">مثنوی خلیل زرگر. داستان شیفته شدن انوشیروان به زن زیبایی و کور کردن او چشمان خود را؛ خط: نستعلیق، بی کا، تا: ۱۲۵۱ق؛ :کاغذ: فرنگی ،جلد: شميز قهوه ای عطف پارچه سبز، ۴ ص (۵۰- ۵۳)، ۱۵ سطر (9</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۱۴ – ۳۶۷۱]</w:t>
      </w:r>
    </w:p>
    <w:p>
      <w:pPr>
        <w:pStyle w:val="BookText"/>
      </w:pPr>
      <w:r>
        <w:rPr>
          <w:rFonts w:ascii="IRNazanin" w:hAnsi="IRNazanin" w:eastAsia="IRNazanin" w:cs="IRNazanin"/>
          <w:lang w:bidi="fa-IR"/>
          <w:color w:val="111111"/>
          <w:sz w:val="28"/>
          <w:szCs w:val="28"/>
          <w:rtl/>
        </w:rPr>
        <w:t xml:space="preserve">۱۱۷۵. تهران؛ دانشگاه؛ شماره نسخه: ۴۷۲۴/۱۳</w:t>
      </w:r>
    </w:p>
    <w:p>
      <w:pPr>
        <w:pStyle w:val="BookText"/>
      </w:pPr>
      <w:r>
        <w:rPr>
          <w:rFonts w:ascii="IRNazanin" w:hAnsi="IRNazanin" w:eastAsia="IRNazanin" w:cs="IRNazanin"/>
          <w:lang w:bidi="fa-IR"/>
          <w:color w:val="111111"/>
          <w:sz w:val="28"/>
          <w:szCs w:val="28"/>
          <w:rtl/>
        </w:rPr>
        <w:t xml:space="preserve">آغاز: روزی از روزها نکومردی*** بی نظیری یگانه فردی؛</w:t>
      </w:r>
    </w:p>
    <w:p>
      <w:pPr>
        <w:pStyle w:val="BookText"/>
      </w:pPr>
      <w:r>
        <w:rPr>
          <w:rFonts w:ascii="IRNazanin" w:hAnsi="IRNazanin" w:eastAsia="IRNazanin" w:cs="IRNazanin"/>
          <w:lang w:bidi="fa-IR"/>
          <w:color w:val="111111"/>
          <w:sz w:val="28"/>
          <w:szCs w:val="28"/>
          <w:rtl/>
        </w:rPr>
        <w:t xml:space="preserve">انجام: بسیار از چنین بلا مشهور *** خویشتن را بکردگار غفور</w:t>
      </w:r>
    </w:p>
    <w:p>
      <w:pPr>
        <w:pStyle w:val="BookText"/>
      </w:pPr>
      <w:r>
        <w:rPr>
          <w:rFonts w:ascii="IRNazanin" w:hAnsi="IRNazanin" w:eastAsia="IRNazanin" w:cs="IRNazanin"/>
          <w:lang w:bidi="fa-IR"/>
          <w:color w:val="111111"/>
          <w:sz w:val="28"/>
          <w:szCs w:val="28"/>
          <w:rtl/>
        </w:rPr>
        <w:t xml:space="preserve">مثنوی است /داستان زن گرفتن مسافری است و دچار شدن او بازنی زشت؛ خط: نستعلیق، بی کا، تا: ۱۲۵۱ق؛ کاغذ: فرنگی ،جلد: شمیز قهوه ای عطف پارچه سبز، ۳ ص (۷۹-۸۱) ، ۱۵ سطر (9</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۱۴ – ۳۶۷۲]</w:t>
      </w:r>
    </w:p>
    <w:p>
      <w:pPr>
        <w:pStyle w:val="BookText"/>
      </w:pPr>
      <w:r>
        <w:rPr>
          <w:rFonts w:ascii="IRNazanin" w:hAnsi="IRNazanin" w:eastAsia="IRNazanin" w:cs="IRNazanin"/>
          <w:lang w:bidi="fa-IR"/>
          <w:color w:val="111111"/>
          <w:sz w:val="28"/>
          <w:szCs w:val="28"/>
          <w:rtl/>
        </w:rPr>
        <w:t xml:space="preserve">۱۱۷۶. قم؛ طبسی؛ شماره نسخه: ۸۰۶
</w:t>
      </w:r>
    </w:p>
    <w:p>
      <w:pPr>
        <w:sectPr>
          <w:footerReference w:type="default" r:id="rId8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آغاز: ايها المفتون فى عمر القصير *** ايها النائى على المولی الكبير؛ انجام: چون کلامم سربسر ماتم بود *** سال تاریخش بـهار غم بود ۱۲۵۱ ... تابنام من السلوا نظم کرد این ... *** مؤمنین را  زاد راه و منزل عقبا رسید</w:t>
      </w:r>
    </w:p>
    <w:p>
      <w:pPr>
        <w:pStyle w:val="BookText"/>
      </w:pPr>
      <w:r>
        <w:rPr>
          <w:rFonts w:ascii="IRNazanin" w:hAnsi="IRNazanin" w:eastAsia="IRNazanin" w:cs="IRNazanin"/>
          <w:lang w:bidi="fa-IR"/>
          <w:color w:val="111111"/>
          <w:sz w:val="28"/>
          <w:szCs w:val="28"/>
          <w:rtl/>
        </w:rPr>
        <w:t xml:space="preserve">اشعاری است در مواعظ و پند و اندرز به جوانان و نیز بیان فضـائل و مصائب ائمه اطهار (علیهم السّلام) در اول نسخه با عنوان «نجات العـباد» معرفی شده و در پایان اشعار تاریخ نظم آن ۱۲۵۱ق آمده، تخلصی در اشعار دیده نشده، گویا جمع آوری اشعار شعرای مختلف اسـت؛ خط: تحریری ناخوانا، بی کا، تا: ۱۲۵۱ق؛ جلد: مقوا عطف وگوشه تیماج سرخ، ۹۰گ، ۱۱ سطر،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[مخ: ۱ - ۶۰  ]</w:t>
      </w:r>
    </w:p>
    <w:p>
      <w:pPr>
        <w:pStyle w:val="BookText"/>
      </w:pPr>
      <w:r>
        <w:rPr>
          <w:rFonts w:ascii="IRNazanin" w:hAnsi="IRNazanin" w:eastAsia="IRNazanin" w:cs="IRNazanin"/>
          <w:lang w:bidi="fa-IR"/>
          <w:color w:val="111111"/>
          <w:sz w:val="28"/>
          <w:szCs w:val="28"/>
          <w:rtl/>
        </w:rPr>
        <w:t xml:space="preserve">۱۱۷۷. تهران؛ مجلس؛ شماره نسخه: ۷۹۶۷</w:t>
      </w:r>
    </w:p>
    <w:p>
      <w:pPr>
        <w:pStyle w:val="BookText"/>
      </w:pPr>
      <w:r>
        <w:rPr>
          <w:rFonts w:ascii="IRNazanin" w:hAnsi="IRNazanin" w:eastAsia="IRNazanin" w:cs="IRNazanin"/>
          <w:lang w:bidi="fa-IR"/>
          <w:color w:val="111111"/>
          <w:sz w:val="28"/>
          <w:szCs w:val="28"/>
          <w:rtl/>
        </w:rPr>
        <w:t xml:space="preserve">آغاز: که غراس آنها آه در ریاض پرورید شکوفه غیر از داغ و باری جز اشک نداشت حاصل کلام آنکه چون روز عاشـورا خورشید جگر سوزی از مشرق غم؛ انجام: همین زمان که بود ظهر عاشورا *** به حکم ابن زیاد و یزید بی پروا</w:t>
      </w:r>
    </w:p>
    <w:p>
      <w:pPr>
        <w:pStyle w:val="BookText"/>
      </w:pPr>
      <w:r>
        <w:rPr>
          <w:rFonts w:ascii="IRNazanin" w:hAnsi="IRNazanin" w:eastAsia="IRNazanin" w:cs="IRNazanin"/>
          <w:lang w:bidi="fa-IR"/>
          <w:color w:val="111111"/>
          <w:sz w:val="28"/>
          <w:szCs w:val="28"/>
          <w:rtl/>
        </w:rPr>
        <w:t xml:space="preserve">بیاضی است شامل اشعاری در مرثیه امام حسین (علیه السّلام)؛ خـط: نستعلیق، بی کا، تا: ۶ صفر ۱۲۵۱ق؛ جلد: مقوا قهوه ای، عطف تیماج، ۱۲۶گ، مختلف السطر ، قطع: بیاضی، 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  سم[ف: ۲۶ - ۴۴۶]</w:t>
      </w:r>
    </w:p>
    <w:p>
      <w:pPr>
        <w:pStyle w:val="BookText"/>
      </w:pPr>
      <w:r>
        <w:rPr>
          <w:rFonts w:ascii="IRNazanin" w:hAnsi="IRNazanin" w:eastAsia="IRNazanin" w:cs="IRNazanin"/>
          <w:lang w:bidi="fa-IR"/>
          <w:color w:val="111111"/>
          <w:sz w:val="28"/>
          <w:szCs w:val="28"/>
          <w:rtl/>
        </w:rPr>
        <w:t xml:space="preserve">۱۱۷۸. تهران؛ مجلس؛ شماره نسخه: ۱۴۶۹۰/۲</w:t>
      </w:r>
    </w:p>
    <w:p>
      <w:pPr>
        <w:pStyle w:val="BookText"/>
      </w:pPr>
      <w:r>
        <w:rPr>
          <w:rFonts w:ascii="IRNazanin" w:hAnsi="IRNazanin" w:eastAsia="IRNazanin" w:cs="IRNazanin"/>
          <w:lang w:bidi="fa-IR"/>
          <w:color w:val="111111"/>
          <w:sz w:val="28"/>
          <w:szCs w:val="28"/>
          <w:rtl/>
        </w:rPr>
        <w:t xml:space="preserve">اشعار گوناگون بدون ترتیب از شاعران مختلف نظیر میر طغرا، کاتبی نیشابوری در مدح و منقبت حضرات معصومین (علیه السّلام) و غیـره، و نیز اشعاری که به صورت ذکر جهت بر آورده شدن حاجـات پیشنهاد شده؛ خط: نستعلیق، بی کا، تا: ۱۲۵۱ق؛ سطور راستا و چلیپا یا عمودی ؛جلد: تیماج تریاکی ضربی ساده عطف چرم قهوه ای، ۴۴گ (۱۱۱پ-۱۵۴پ)، ۱۴ سطر، اندازه: 15</w:t>
      </w:r>
      <w:r>
        <w:rPr>
          <w:rFonts w:ascii="Times New Roman" w:hAnsi="Times New Roman" w:eastAsia="Times New Roman" w:cs="Times New Roman"/>
          <w:lang w:val="en-US" w:bidi="en-US"/>
          <w:color w:val="111111"/>
          <w:sz w:val="28"/>
          <w:szCs w:val="28"/>
          <w:rtl/>
        </w:rPr>
        <w:t xml:space="preserve">×20/7</w:t>
      </w:r>
      <w:r>
        <w:rPr>
          <w:rFonts w:ascii="IRNazanin" w:hAnsi="IRNazanin" w:eastAsia="IRNazanin" w:cs="IRNazanin"/>
          <w:lang w:bidi="fa-IR"/>
          <w:color w:val="111111"/>
          <w:sz w:val="28"/>
          <w:szCs w:val="28"/>
          <w:rtl/>
        </w:rPr>
        <w:t xml:space="preserve">سم[ ف: ۴۱ - ۱۶۱]</w:t>
      </w:r>
    </w:p>
    <w:p>
      <w:pPr>
        <w:pStyle w:val="BookText"/>
      </w:pPr>
      <w:r>
        <w:rPr>
          <w:rFonts w:ascii="IRNazanin" w:hAnsi="IRNazanin" w:eastAsia="IRNazanin" w:cs="IRNazanin"/>
          <w:lang w:bidi="fa-IR"/>
          <w:color w:val="111111"/>
          <w:sz w:val="28"/>
          <w:szCs w:val="28"/>
          <w:rtl/>
        </w:rPr>
        <w:t xml:space="preserve">۱۱۷۹. تهران؛ انجمن آثار و مفاخر فرهنگی؛ شماره نسخه: ۱۶/۴</w:t>
      </w:r>
    </w:p>
    <w:p>
      <w:pPr>
        <w:pStyle w:val="BookText"/>
      </w:pPr>
      <w:r>
        <w:rPr>
          <w:rFonts w:ascii="IRNazanin" w:hAnsi="IRNazanin" w:eastAsia="IRNazanin" w:cs="IRNazanin"/>
          <w:lang w:bidi="fa-IR"/>
          <w:color w:val="111111"/>
          <w:sz w:val="28"/>
          <w:szCs w:val="28"/>
          <w:rtl/>
        </w:rPr>
        <w:t xml:space="preserve">جنگی شامل: اشعار محتشم (ص۱۷۶-۱۷۷)، غزلیات منتخب از جامی (۱۷۷-۱۸۴) غزلیاتی از سعدی (۱۸۴-۱۹۷)، مخمـس ندیمی با تضمین غزل حافظ (غزلی به مطلع: «بلبل به شاخ سرو گلبانگ پهلوی» (۱۹۸)، مخمس عرفی با تضمین غزل حافظ (غزلی به مطلع: «یوسف گم گشته باز آید به کنعان غم مخو») (۲۰۱-۲۰۰)، مخمسی از عرفی است با تضمين غزل حافظ (غزلی به مطلع: «دوش دیدم که ملائک در میخانه زدند») (201- 202) سه مخمس از جامی (۲۰۳-۲۰۶)، مخمسی از «کلام رضا» (206- ۲۰۸) مخمسی از صائب (۲۰۸-۲۰۹)، مخمسی «با تضمین غـزل محتشم» از علوی (۲۰۹-۲۱۰)، مخمسی از عرفی (210- 211)، مخمسی که شاعر آن خود را معرفی نکرده است (211- 212) ،مخمسی از حسرتی (۲۱۲-۲۱۳)، مخمس جامی (۲۱۳)، مخمـس سعدی (۲۱۴)، مخمس مداح (۲۱۵)، مخمسی از عراقی (216- ۲۱۸)؛ بی کا، تا: ۱۲۵۲ق؛ کاغذ: فرنگی، جلد: تیماج مقوایی تریاکی با ترنج و سرترنج، حواشی منگنه، ۴۶ص (۱۷۶-۲۱۸)، 14 سطر (۶/۵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اندازه: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۱۹/۵سم [ف: ۴۴]</w:t>
      </w:r>
    </w:p>
    <w:p>
      <w:pPr>
        <w:pStyle w:val="BookText"/>
      </w:pPr>
      <w:r>
        <w:rPr>
          <w:rFonts w:ascii="IRNazanin" w:hAnsi="IRNazanin" w:eastAsia="IRNazanin" w:cs="IRNazanin"/>
          <w:lang w:bidi="fa-IR"/>
          <w:color w:val="111111"/>
          <w:sz w:val="28"/>
          <w:szCs w:val="28"/>
          <w:rtl/>
        </w:rPr>
        <w:t xml:space="preserve">۱۱۸۰. تهران؛ ملی؛ شماره نسخه: ۲۴۲۰</w:t>
      </w:r>
    </w:p>
    <w:p>
      <w:pPr>
        <w:pStyle w:val="BookText"/>
      </w:pPr>
      <w:r>
        <w:rPr>
          <w:rFonts w:ascii="IRNazanin" w:hAnsi="IRNazanin" w:eastAsia="IRNazanin" w:cs="IRNazanin"/>
          <w:lang w:bidi="fa-IR"/>
          <w:color w:val="111111"/>
          <w:sz w:val="28"/>
          <w:szCs w:val="28"/>
          <w:rtl/>
        </w:rPr>
        <w:t xml:space="preserve">بياض اشعار است. در این بیاض اشعاری است از: آذری، شاه عباس الحسینی ،کمال، سعدی، جامی، شوکت، حافظ، صایب، مقصدی ،مشتاق ،هلالی ،عاشق ،شاپور، قدسی ،وفائی ،هاتف، اهلی شیرازی، عرفی شیرازی، جامی اردبیلی، نشاط قمی، امیر همایون، علی نقی ،شهری ،آذر، میر صیدی، شجاع کاشی، ،نظیری ،صافی ،محتشم، حکیم سعید، محمد صالح، نادم گیلانی، سنجر کاشی وقوعی تبریزی ،غیرت، کلیم کاشی، امیر شاهی، شرف جهان، امیر زنده دل، سیفی بخاری، شرف جهان، صافی، طبيب ،فکاری، کمال خجندی ،حالتی، حسن دهلوی ،مینائی، میرزا احمد ،حیدر ،فصیحی، انوری ،حسن نورعلی شاه، آقا سید باقر طباطبائی ؛خط: نستعلیق شکسته ،کا: محمد موسی، تا: ۱۲۵۲ق؛ مجدول، بعضی از صفحات خطوط حمایلی؛ کاغذ: فرنگی ،جلد: تیماج، قرمز، یک لا، ۱۱۸گ ۱۰ سطر (۶/۵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۱۱/۵)، اندازه: ۹۰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۱۶/۵سم [ف: ۵ - ۵۶۲]</w:t>
      </w:r>
    </w:p>
    <w:p>
      <w:pPr>
        <w:pStyle w:val="BookText"/>
      </w:pPr>
      <w:r>
        <w:rPr>
          <w:rFonts w:ascii="IRNazanin" w:hAnsi="IRNazanin" w:eastAsia="IRNazanin" w:cs="IRNazanin"/>
          <w:lang w:bidi="fa-IR"/>
          <w:color w:val="111111"/>
          <w:sz w:val="28"/>
          <w:szCs w:val="28"/>
          <w:rtl/>
        </w:rPr>
        <w:t xml:space="preserve">۱۱۸۱. خوانسار؛ فاضل؛ شماره نسخه: ۲۶۴/۵</w:t>
      </w:r>
    </w:p>
    <w:p>
      <w:pPr>
        <w:pStyle w:val="BookText"/>
      </w:pPr>
      <w:r>
        <w:rPr>
          <w:rFonts w:ascii="IRNazanin" w:hAnsi="IRNazanin" w:eastAsia="IRNazanin" w:cs="IRNazanin"/>
          <w:lang w:bidi="fa-IR"/>
          <w:color w:val="111111"/>
          <w:sz w:val="28"/>
          <w:szCs w:val="28"/>
          <w:rtl/>
        </w:rPr>
        <w:t xml:space="preserve">قصائدی متفرقه است؛ خط: نستعلیق، بی کا، تا: پنج شنبه ۲۵ شوال ۱۲۵۳ق؛ افتادگی: آغاز؛ جلد: تیماج قهوه ای فرسوده، بدون مقوا، 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 - ۲۴۱]</w:t>
      </w:r>
    </w:p>
    <w:p>
      <w:pPr>
        <w:pStyle w:val="BookText"/>
      </w:pPr>
      <w:r>
        <w:rPr>
          <w:rFonts w:ascii="IRNazanin" w:hAnsi="IRNazanin" w:eastAsia="IRNazanin" w:cs="IRNazanin"/>
          <w:lang w:bidi="fa-IR"/>
          <w:color w:val="111111"/>
          <w:sz w:val="28"/>
          <w:szCs w:val="28"/>
          <w:rtl/>
        </w:rPr>
        <w:t xml:space="preserve">۱۱۸۲. تهران؛ دانشگاه؛ شماره نسخه: ۳۵۱۳</w:t>
      </w:r>
    </w:p>
    <w:p>
      <w:pPr>
        <w:pStyle w:val="BookText"/>
      </w:pPr>
      <w:r>
        <w:rPr>
          <w:rFonts w:ascii="IRNazanin" w:hAnsi="IRNazanin" w:eastAsia="IRNazanin" w:cs="IRNazanin"/>
          <w:lang w:bidi="fa-IR"/>
          <w:color w:val="111111"/>
          <w:sz w:val="28"/>
          <w:szCs w:val="28"/>
          <w:rtl/>
        </w:rPr>
        <w:t xml:space="preserve">آغاز: باز این چه فتنه بود که از سر گرفت جنگ *** شد آشنا بشیشه دلها دوباره سنگ؛ انجام: بگریه گفت که در خاک آستانه ما *** بسان خاکی خونبار صد هزار نگر</w:t>
      </w:r>
    </w:p>
    <w:p>
      <w:pPr>
        <w:pStyle w:val="BookText"/>
      </w:pPr>
      <w:r>
        <w:rPr>
          <w:rFonts w:ascii="IRNazanin" w:hAnsi="IRNazanin" w:eastAsia="IRNazanin" w:cs="IRNazanin"/>
          <w:lang w:bidi="fa-IR"/>
          <w:color w:val="111111"/>
          <w:sz w:val="28"/>
          <w:szCs w:val="28"/>
          <w:rtl/>
        </w:rPr>
        <w:t xml:space="preserve">مرثیه است و سوگواری خاندان پیغمبر (ترجیع بند و نوحه و رباعیات و مناجات و منقبت و حدیث منظوم و مخمس در غصب خلافت) و نامه ای به نظم در پاسخ سید محمد در بندی به طریق تغزل و ترجیع بند مورخ ۱۲۵۳ و قصیده در ستایش امام رضا و تخمیس مرثیه صباحی در چهارده بند و تخمیس دوازده بند محتشم؛ خط: نستعلیق، کاتب = مؤلف، تا: پایان جمادی الاول ۱۲۵۴ق به خواهش جعفر بیکا پسر علی خاص بیک؛ در پایان شعر میرزا حسین فرزند خاکی است در ۴۷ بیت در مرثیه به خط پدر که از خواننده می خواهد که برای پسرش دعا کنند مورخ ۱۲۶۰؛ کاغذ: فرنگی ،جلد: تیماج مشکی ضربی، ۷۶گ، ۱۵ سطر ،(7</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۱۲ - ۲۵۲۰]</w:t>
      </w:r>
    </w:p>
    <w:p>
      <w:pPr>
        <w:pStyle w:val="BookText"/>
      </w:pPr>
      <w:r>
        <w:rPr>
          <w:rFonts w:ascii="IRNazanin" w:hAnsi="IRNazanin" w:eastAsia="IRNazanin" w:cs="IRNazanin"/>
          <w:lang w:bidi="fa-IR"/>
          <w:color w:val="111111"/>
          <w:sz w:val="28"/>
          <w:szCs w:val="28"/>
          <w:rtl/>
        </w:rPr>
        <w:t xml:space="preserve">1183.تهران؛ ملی؛ شماره نسخه: ۱۶۷۹۴</w:t>
      </w:r>
    </w:p>
    <w:p>
      <w:pPr>
        <w:pStyle w:val="BookText"/>
      </w:pPr>
      <w:r>
        <w:rPr>
          <w:rFonts w:ascii="IRNazanin" w:hAnsi="IRNazanin" w:eastAsia="IRNazanin" w:cs="IRNazanin"/>
          <w:lang w:bidi="fa-IR"/>
          <w:color w:val="111111"/>
          <w:sz w:val="28"/>
          <w:szCs w:val="28"/>
          <w:rtl/>
        </w:rPr>
        <w:t xml:space="preserve">اشعاری از میرزا ابراهیم ،ادهم ،ظهوری، مير عين على و ...؛ كا: علی بن ...کاظم، تا: ۱۲۵۴ق؛ انتقالی از کتابخانه پهلوی - مجموعه نوازی؛ ۷۱گ، اندازه: ۱۲/۲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۲۱/۶سم [رایانه]</w:t>
      </w:r>
    </w:p>
    <w:p>
      <w:pPr>
        <w:pStyle w:val="BookText"/>
      </w:pPr>
      <w:r>
        <w:rPr>
          <w:rFonts w:ascii="IRNazanin" w:hAnsi="IRNazanin" w:eastAsia="IRNazanin" w:cs="IRNazanin"/>
          <w:lang w:bidi="fa-IR"/>
          <w:color w:val="111111"/>
          <w:sz w:val="28"/>
          <w:szCs w:val="28"/>
          <w:rtl/>
        </w:rPr>
        <w:t xml:space="preserve">۱۱۸۴. تهران؛ ملی؛ شماره نسخه: ۱۶۸۰۰</w:t>
      </w:r>
    </w:p>
    <w:p>
      <w:pPr>
        <w:pStyle w:val="BookText"/>
      </w:pPr>
      <w:r>
        <w:rPr>
          <w:rFonts w:ascii="IRNazanin" w:hAnsi="IRNazanin" w:eastAsia="IRNazanin" w:cs="IRNazanin"/>
          <w:lang w:bidi="fa-IR"/>
          <w:color w:val="111111"/>
          <w:sz w:val="28"/>
          <w:szCs w:val="28"/>
          <w:rtl/>
        </w:rPr>
        <w:t xml:space="preserve">مجموعه شعر به مثنوی؛ کا: محمد ربیع، تا: ۱۲۵۴ق؛ ۱۰۰گ، اندازه: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۱۱/۲سم [رایانه]</w:t>
      </w:r>
    </w:p>
    <w:p>
      <w:pPr>
        <w:pStyle w:val="BookText"/>
      </w:pPr>
      <w:r>
        <w:rPr>
          <w:rFonts w:ascii="IRNazanin" w:hAnsi="IRNazanin" w:eastAsia="IRNazanin" w:cs="IRNazanin"/>
          <w:lang w:bidi="fa-IR"/>
          <w:color w:val="111111"/>
          <w:sz w:val="28"/>
          <w:szCs w:val="28"/>
          <w:rtl/>
        </w:rPr>
        <w:t xml:space="preserve">۱۱۸۵. تهران؛ مفتاح؛ شماره نسخه: ۱۶۵/۴
</w:t>
      </w:r>
    </w:p>
    <w:p>
      <w:pPr>
        <w:sectPr>
          <w:footerReference w:type="default" r:id="rId8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آغاز: زد علم بر قبه عرش عظم *** نام بسم الله الرحمن الرحـیم؛</w:t>
      </w:r>
    </w:p>
    <w:p>
      <w:pPr>
        <w:pStyle w:val="BookText"/>
      </w:pPr>
      <w:r>
        <w:rPr>
          <w:rFonts w:ascii="IRNazanin" w:hAnsi="IRNazanin" w:eastAsia="IRNazanin" w:cs="IRNazanin"/>
          <w:lang w:bidi="fa-IR"/>
          <w:color w:val="111111"/>
          <w:sz w:val="28"/>
          <w:szCs w:val="28"/>
          <w:rtl/>
        </w:rPr>
        <w:t xml:space="preserve">انجام: در طریقت بعد ازین از امتحان ***شیر یزدان را دیگر کودک مخوان</w:t>
      </w:r>
    </w:p>
    <w:p>
      <w:pPr>
        <w:pStyle w:val="BookText"/>
      </w:pPr>
      <w:r>
        <w:rPr>
          <w:rFonts w:ascii="IRNazanin" w:hAnsi="IRNazanin" w:eastAsia="IRNazanin" w:cs="IRNazanin"/>
          <w:lang w:bidi="fa-IR"/>
          <w:color w:val="111111"/>
          <w:sz w:val="28"/>
          <w:szCs w:val="28"/>
          <w:rtl/>
        </w:rPr>
        <w:t xml:space="preserve">مثنوی است؛ خط: نستعلیق، بی کا، تا: ۱۲۵۴ق؛ ۶ ص [ نشریه: ۷ - 225]</w:t>
      </w:r>
    </w:p>
    <w:p>
      <w:pPr>
        <w:pStyle w:val="BookText"/>
      </w:pPr>
      <w:r>
        <w:rPr>
          <w:rFonts w:ascii="IRNazanin" w:hAnsi="IRNazanin" w:eastAsia="IRNazanin" w:cs="IRNazanin"/>
          <w:lang w:bidi="fa-IR"/>
          <w:color w:val="111111"/>
          <w:sz w:val="28"/>
          <w:szCs w:val="28"/>
          <w:rtl/>
        </w:rPr>
        <w:t xml:space="preserve">۱۱۸۶. تهران؛ مجلس؛ شماره نسخه: ۱۴۱۸۵/۴</w:t>
      </w:r>
    </w:p>
    <w:p>
      <w:pPr>
        <w:pStyle w:val="BookText"/>
      </w:pPr>
      <w:r>
        <w:rPr>
          <w:rFonts w:ascii="IRNazanin" w:hAnsi="IRNazanin" w:eastAsia="IRNazanin" w:cs="IRNazanin"/>
          <w:lang w:bidi="fa-IR"/>
          <w:color w:val="111111"/>
          <w:sz w:val="28"/>
          <w:szCs w:val="28"/>
          <w:rtl/>
        </w:rPr>
        <w:t xml:space="preserve">شامل اشعاری از شاعران زیر: سعدی، شمس تبریزی، انوری، نشاط، محرم، یغما، نور علی، قاسم انوار ،حسن، عاشق، خاقانی، شیخ بهائی ،عرفی ،شفائی ،سالک، حریف، محتشم، جامی، ملا حسین رفیق، محجوب، سرو، حافظ، خط: شکسته نستعلیق، بی کا، تا: ۱۱ شوال ۱۲۵۵ق؛ مجدول زرین و لاجوردی؛ مهر: «عبده آقا خان» (بیضی)؛ جلد: تیماج ،سرخ، مجدول، ۴۳گ (۸۰پ- ۱۲۲ر)، ۶ سطر ،چلیپایی، قطع: بیاضی، اندازه: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38- 246]</w:t>
      </w:r>
    </w:p>
    <w:p>
      <w:pPr>
        <w:pStyle w:val="BookText"/>
      </w:pPr>
      <w:r>
        <w:rPr>
          <w:rFonts w:ascii="IRNazanin" w:hAnsi="IRNazanin" w:eastAsia="IRNazanin" w:cs="IRNazanin"/>
          <w:lang w:bidi="fa-IR"/>
          <w:color w:val="111111"/>
          <w:sz w:val="28"/>
          <w:szCs w:val="28"/>
          <w:rtl/>
        </w:rPr>
        <w:t xml:space="preserve">۱۱۸۷. تهران؛ ملی؛ شماره نسخه: ۱۸۶۶۵</w:t>
      </w:r>
    </w:p>
    <w:p>
      <w:pPr>
        <w:pStyle w:val="BookText"/>
      </w:pPr>
      <w:r>
        <w:rPr>
          <w:rFonts w:ascii="IRNazanin" w:hAnsi="IRNazanin" w:eastAsia="IRNazanin" w:cs="IRNazanin"/>
          <w:lang w:bidi="fa-IR"/>
          <w:color w:val="111111"/>
          <w:sz w:val="28"/>
          <w:szCs w:val="28"/>
          <w:rtl/>
        </w:rPr>
        <w:t xml:space="preserve">جنگ (بیاض) شعر ؛ كا: عباس بن محمد، تا: ۱۲۵۵ق؛ . انتقالی از کتابخانه پهلوی - مجموعه نوازی؛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[رایانه]</w:t>
      </w:r>
    </w:p>
    <w:p>
      <w:pPr>
        <w:pStyle w:val="BookText"/>
      </w:pPr>
      <w:r>
        <w:rPr>
          <w:rFonts w:ascii="IRNazanin" w:hAnsi="IRNazanin" w:eastAsia="IRNazanin" w:cs="IRNazanin"/>
          <w:lang w:bidi="fa-IR"/>
          <w:color w:val="111111"/>
          <w:sz w:val="28"/>
          <w:szCs w:val="28"/>
          <w:rtl/>
        </w:rPr>
        <w:t xml:space="preserve">۱۱۸۸ . مشهد؛ الهیات؛ شماره نسخه: ۵۷۴/۲۴</w:t>
      </w:r>
    </w:p>
    <w:p>
      <w:pPr>
        <w:pStyle w:val="BookText"/>
      </w:pPr>
      <w:r>
        <w:rPr>
          <w:rFonts w:ascii="IRNazanin" w:hAnsi="IRNazanin" w:eastAsia="IRNazanin" w:cs="IRNazanin"/>
          <w:lang w:bidi="fa-IR"/>
          <w:color w:val="111111"/>
          <w:sz w:val="28"/>
          <w:szCs w:val="28"/>
          <w:rtl/>
        </w:rPr>
        <w:t xml:space="preserve">اشعاری از سعدی حافظ، سلمان ساوجی، میرزا محمد علی خوئی ،خاقانی ،فضولی، نوائی، شبستری در حق زلف، خال، روی ف قامت ف چشم و ابرو؛ خط: نستعلیق، بی کا، تا: ۱۲۵۵ق؛ جـلد: تیماج عنابی ،9ص ،۲۱ سطر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 سم[ ف: ۱ - ۵۲۳]</w:t>
      </w:r>
    </w:p>
    <w:p>
      <w:pPr>
        <w:pStyle w:val="BookText"/>
      </w:pPr>
      <w:r>
        <w:rPr>
          <w:rFonts w:ascii="IRNazanin" w:hAnsi="IRNazanin" w:eastAsia="IRNazanin" w:cs="IRNazanin"/>
          <w:lang w:bidi="fa-IR"/>
          <w:color w:val="111111"/>
          <w:sz w:val="28"/>
          <w:szCs w:val="28"/>
          <w:rtl/>
        </w:rPr>
        <w:t xml:space="preserve">۱۱۸۹ . قم؛ گلپایگانی؛ شماره نسخه: ۷۹۰۴-۳۹/۲۸۴</w:t>
      </w:r>
    </w:p>
    <w:p>
      <w:pPr>
        <w:pStyle w:val="BookText"/>
      </w:pPr>
      <w:r>
        <w:rPr>
          <w:rFonts w:ascii="IRNazanin" w:hAnsi="IRNazanin" w:eastAsia="IRNazanin" w:cs="IRNazanin"/>
          <w:lang w:bidi="fa-IR"/>
          <w:color w:val="111111"/>
          <w:sz w:val="28"/>
          <w:szCs w:val="28"/>
          <w:rtl/>
        </w:rPr>
        <w:t xml:space="preserve">آغاز: تو بحال من مسکین بجفا می نگری*** من بحال کف پایت بوفا می نگرم / آفتابی تو و من ذره مسكين وحقير *** تو کجا و من سر گشته کجا می نگرم؛ انجام :ببین مشتاق چون آخر هلاکم*** زشوق مقدم جانانه کردند / زکویش مژده و مسلم رساندند ***مرا در خواب از آن افسانه کردند</w:t>
      </w:r>
    </w:p>
    <w:p>
      <w:pPr>
        <w:pStyle w:val="BookText"/>
      </w:pPr>
      <w:r>
        <w:rPr>
          <w:rFonts w:ascii="IRNazanin" w:hAnsi="IRNazanin" w:eastAsia="IRNazanin" w:cs="IRNazanin"/>
          <w:lang w:bidi="fa-IR"/>
          <w:color w:val="111111"/>
          <w:sz w:val="28"/>
          <w:szCs w:val="28"/>
          <w:rtl/>
        </w:rPr>
        <w:t xml:space="preserve">بیاضی است شامل اشعار فارسی از شعرای مختلف از جـمله محتشم، ندیم شیرازی، یغما، سعدی و ...؛ خط: نسخ و نستعلیق، بی کا، تا: جمادی الاول ۱۲۵۵ق، جلد: مقوا عطف گالینگور قهوه ای، ۱۲۵گ، سطور چلیپایی، اندازه: 9</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[ف: ۳ - 1230]</w:t>
      </w:r>
    </w:p>
    <w:p>
      <w:pPr>
        <w:pStyle w:val="BookText"/>
      </w:pPr>
      <w:r>
        <w:rPr>
          <w:rFonts w:ascii="IRNazanin" w:hAnsi="IRNazanin" w:eastAsia="IRNazanin" w:cs="IRNazanin"/>
          <w:lang w:bidi="fa-IR"/>
          <w:color w:val="111111"/>
          <w:sz w:val="28"/>
          <w:szCs w:val="28"/>
          <w:rtl/>
        </w:rPr>
        <w:t xml:space="preserve">1190.تهران؛ لغت نامه دهخدا ؛شماره نسخه: ۳۹/۲</w:t>
      </w:r>
    </w:p>
    <w:p>
      <w:pPr>
        <w:pStyle w:val="BookText"/>
      </w:pPr>
      <w:r>
        <w:rPr>
          <w:rFonts w:ascii="IRNazanin" w:hAnsi="IRNazanin" w:eastAsia="IRNazanin" w:cs="IRNazanin"/>
          <w:lang w:bidi="fa-IR"/>
          <w:color w:val="111111"/>
          <w:sz w:val="28"/>
          <w:szCs w:val="28"/>
          <w:rtl/>
        </w:rPr>
        <w:t xml:space="preserve">آغاز: در جویبارها که نوشت این نگارها *** کایدون پر از نگار شد این جویبارها - میانه: بندم عماری برهیون آیم ازین ویران  برون گیرد بویران اندرون کس جای هر گزچون جعل؛ انجام:تا بامداد سوی رز آمد خزان خزان *** شد مثال دشت بریشم از ان وزان / از بهر خدمت تو شب و روز بر زمین *** گردون نهاده کردن و بوسه دهان دهان</w:t>
      </w:r>
    </w:p>
    <w:p>
      <w:pPr>
        <w:pStyle w:val="BookText"/>
      </w:pPr>
      <w:r>
        <w:rPr>
          <w:rFonts w:ascii="IRNazanin" w:hAnsi="IRNazanin" w:eastAsia="IRNazanin" w:cs="IRNazanin"/>
          <w:lang w:bidi="fa-IR"/>
          <w:color w:val="111111"/>
          <w:sz w:val="28"/>
          <w:szCs w:val="28"/>
          <w:rtl/>
        </w:rPr>
        <w:t xml:space="preserve">شعری است که به فرموده فرج الله خان نوشته شده؛ خط: نستعـلیق ریز، کا: جعفر قلی ،تا: دوشنبه ۱۳ محرم ۱۲۵۶ق، جلد: تیماج سبز با ترنج سر ترنج مقوایی درون قهوه ای ربعی [ نشریه: ۳ - ۳۵]</w:t>
      </w:r>
    </w:p>
    <w:p>
      <w:pPr>
        <w:pStyle w:val="BookText"/>
      </w:pPr>
      <w:r>
        <w:rPr>
          <w:rFonts w:ascii="IRNazanin" w:hAnsi="IRNazanin" w:eastAsia="IRNazanin" w:cs="IRNazanin"/>
          <w:lang w:bidi="fa-IR"/>
          <w:color w:val="111111"/>
          <w:sz w:val="28"/>
          <w:szCs w:val="28"/>
          <w:rtl/>
        </w:rPr>
        <w:t xml:space="preserve">۱۱۹۱. تهران؛ مجلس؛ شماره نسخه: ۷۸۱۶/۲</w:t>
      </w:r>
    </w:p>
    <w:p>
      <w:pPr>
        <w:pStyle w:val="BookText"/>
      </w:pPr>
      <w:r>
        <w:rPr>
          <w:rFonts w:ascii="IRNazanin" w:hAnsi="IRNazanin" w:eastAsia="IRNazanin" w:cs="IRNazanin"/>
          <w:lang w:bidi="fa-IR"/>
          <w:color w:val="111111"/>
          <w:sz w:val="28"/>
          <w:szCs w:val="28"/>
          <w:rtl/>
        </w:rPr>
        <w:t xml:space="preserve">قصاید نوائی. سه قصیده است که در آخر نسخه آمده و شاعر در آخر قصاید تخلص خود را «نوائی» ذکر نموده است. عنوان قصائید چنین است: قصیده فریده در شکایت از روزگار و توسل به پیامبر (صلّی اللَّهِ علیه وَ آلِهِ وَ سَلَّمَ ) و اولاد اطهار (علیهم السّلام) مطلع: «ای چرخ چند رنجد ز تو جانم*** زین بیش شرم دار و مرنجانم/ قصیده خزانیه در مدح محمد شاه قاجار *** قصیده بهاریه در مدح محمد شاه قاجار»؛ خط: نستعلیق، بی کا، تا: ۱۲۵۶ق؛ جلد: تیماج قهوه ای، ۱۰۳گ، ۱۷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۲۶ - ۲۹۸]</w:t>
      </w:r>
    </w:p>
    <w:p>
      <w:pPr>
        <w:pStyle w:val="BookText"/>
      </w:pPr>
      <w:r>
        <w:rPr>
          <w:rFonts w:ascii="IRNazanin" w:hAnsi="IRNazanin" w:eastAsia="IRNazanin" w:cs="IRNazanin"/>
          <w:lang w:bidi="fa-IR"/>
          <w:color w:val="111111"/>
          <w:sz w:val="28"/>
          <w:szCs w:val="28"/>
          <w:rtl/>
        </w:rPr>
        <w:t xml:space="preserve">۱۱۹۲ . مشهد؛ الهیات؛ شماره نسخه: ۱۹۶</w:t>
      </w:r>
    </w:p>
    <w:p>
      <w:pPr>
        <w:pStyle w:val="BookText"/>
      </w:pPr>
      <w:r>
        <w:rPr>
          <w:rFonts w:ascii="IRNazanin" w:hAnsi="IRNazanin" w:eastAsia="IRNazanin" w:cs="IRNazanin"/>
          <w:lang w:bidi="fa-IR"/>
          <w:color w:val="111111"/>
          <w:sz w:val="28"/>
          <w:szCs w:val="28"/>
          <w:rtl/>
        </w:rPr>
        <w:t xml:space="preserve">شامل اشعاری از مختاری غزنوی، قصائد رودکی و قصاید مسعود سعد سلمان؛ خط: نستعلیق، بی کا، تا: ۱۲۵۶ق؛ مجدول و کمند قرمز ؛ جلد: تیماج مشکی، ۱۵۶گ، ۲۰-۲۱ سطر (9</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۱ - ۶۹]</w:t>
      </w:r>
    </w:p>
    <w:p>
      <w:pPr>
        <w:pStyle w:val="BookText"/>
      </w:pPr>
      <w:r>
        <w:rPr>
          <w:rFonts w:ascii="IRNazanin" w:hAnsi="IRNazanin" w:eastAsia="IRNazanin" w:cs="IRNazanin"/>
          <w:lang w:bidi="fa-IR"/>
          <w:color w:val="111111"/>
          <w:sz w:val="28"/>
          <w:szCs w:val="28"/>
          <w:rtl/>
        </w:rPr>
        <w:t xml:space="preserve">۱۱۹۳. تهران؛ دانشگاه؛ شماره نسخه: ۶۱۱۳/۳</w:t>
      </w:r>
    </w:p>
    <w:p>
      <w:pPr>
        <w:pStyle w:val="BookText"/>
      </w:pPr>
      <w:r>
        <w:rPr>
          <w:rFonts w:ascii="IRNazanin" w:hAnsi="IRNazanin" w:eastAsia="IRNazanin" w:cs="IRNazanin"/>
          <w:lang w:bidi="fa-IR"/>
          <w:color w:val="111111"/>
          <w:sz w:val="28"/>
          <w:szCs w:val="28"/>
          <w:rtl/>
        </w:rPr>
        <w:t xml:space="preserve">مثنوی شکار فیلان و جز آنها از نواب آصف الدوله؛ خط: نستعليق هندی، کا: سیدمحمد عسکری، تا: ۱۹ ربیع الثانی ۱۲۵۷ق؛ کاغذ: فرنگی، جلد: پارچه مقوایی، ۹ سطر (7</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قطع: جیبی، اندازه:۱۱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۱۶- ۱۹۹]</w:t>
      </w:r>
    </w:p>
    <w:p>
      <w:pPr>
        <w:pStyle w:val="BookText"/>
      </w:pPr>
      <w:r>
        <w:rPr>
          <w:rFonts w:ascii="IRNazanin" w:hAnsi="IRNazanin" w:eastAsia="IRNazanin" w:cs="IRNazanin"/>
          <w:lang w:bidi="fa-IR"/>
          <w:color w:val="111111"/>
          <w:sz w:val="28"/>
          <w:szCs w:val="28"/>
          <w:rtl/>
        </w:rPr>
        <w:t xml:space="preserve">۱۱۹۴ . ساری؛ عمومی؛ شماره نسخه: ۱۵۴/۳</w:t>
      </w:r>
    </w:p>
    <w:p>
      <w:pPr>
        <w:pStyle w:val="BookText"/>
      </w:pPr>
      <w:r>
        <w:rPr>
          <w:rFonts w:ascii="IRNazanin" w:hAnsi="IRNazanin" w:eastAsia="IRNazanin" w:cs="IRNazanin"/>
          <w:lang w:bidi="fa-IR"/>
          <w:color w:val="111111"/>
          <w:sz w:val="28"/>
          <w:szCs w:val="28"/>
          <w:rtl/>
        </w:rPr>
        <w:t xml:space="preserve">قطعه در مذمت دنیاست با مطلع: «مکش زال جهان را تنگ در بر»؛ خط: نسخ، بی کا، تا: ربیع الثانی ۱۲۵۷ق؛ کاغذ: آهار مهره ،جلد: تیماج قهوه ای ضربی، ۱۲ سطر (4</w:t>
      </w:r>
      <w:r>
        <w:rPr>
          <w:rFonts w:ascii="Times New Roman" w:hAnsi="Times New Roman" w:eastAsia="Times New Roman" w:cs="Times New Roman"/>
          <w:lang w:val="en-US" w:bidi="en-US"/>
          <w:color w:val="111111"/>
          <w:sz w:val="28"/>
          <w:szCs w:val="28"/>
          <w:rtl/>
        </w:rPr>
        <w:t xml:space="preserve">×5/8)</w:t>
      </w:r>
      <w:r>
        <w:rPr>
          <w:rFonts w:ascii="IRNazanin" w:hAnsi="IRNazanin" w:eastAsia="IRNazanin" w:cs="IRNazanin"/>
          <w:lang w:bidi="fa-IR"/>
          <w:color w:val="111111"/>
          <w:sz w:val="28"/>
          <w:szCs w:val="28"/>
          <w:rtl/>
        </w:rPr>
        <w:t xml:space="preserve">، اندازه: 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 عمومی ساری و تنکابن: ف: - ۱۲۰]</w:t>
      </w:r>
    </w:p>
    <w:p>
      <w:pPr>
        <w:pStyle w:val="BookText"/>
      </w:pPr>
      <w:r>
        <w:rPr>
          <w:rFonts w:ascii="IRNazanin" w:hAnsi="IRNazanin" w:eastAsia="IRNazanin" w:cs="IRNazanin"/>
          <w:lang w:bidi="fa-IR"/>
          <w:color w:val="111111"/>
          <w:sz w:val="28"/>
          <w:szCs w:val="28"/>
          <w:rtl/>
        </w:rPr>
        <w:t xml:space="preserve">۱۱۹۵ . قم؛ مسجد اعظم؛ شماره نسخه: ۳۳۸۹</w:t>
      </w:r>
    </w:p>
    <w:p>
      <w:pPr>
        <w:pStyle w:val="BookText"/>
      </w:pPr>
      <w:r>
        <w:rPr>
          <w:rFonts w:ascii="IRNazanin" w:hAnsi="IRNazanin" w:eastAsia="IRNazanin" w:cs="IRNazanin"/>
          <w:lang w:bidi="fa-IR"/>
          <w:color w:val="111111"/>
          <w:sz w:val="28"/>
          <w:szCs w:val="28"/>
          <w:rtl/>
        </w:rPr>
        <w:t xml:space="preserve">آغاز: جان من رنجور و بیمار توام *** عاشق دلخسته زار توام / دارم از درد فراقت روز و شب *** درد بیتابی و بی خوابی و تب؛ :انجام: سر بی یار کی آید به بالین *** از آن ساعت که دیدم   گوشوارش</w:t>
      </w:r>
    </w:p>
    <w:p>
      <w:pPr>
        <w:pStyle w:val="BookText"/>
      </w:pPr>
      <w:r>
        <w:rPr>
          <w:rFonts w:ascii="IRNazanin" w:hAnsi="IRNazanin" w:eastAsia="IRNazanin" w:cs="IRNazanin"/>
          <w:lang w:bidi="fa-IR"/>
          <w:color w:val="111111"/>
          <w:sz w:val="28"/>
          <w:szCs w:val="28"/>
          <w:rtl/>
        </w:rPr>
        <w:t xml:space="preserve">مجموعه اشعار و سرودهایی از شعرای معروف و غیره است که در یک دفتر جمع آوری شده، شاعران عبارتند از: شیخ باخرزی رئيس العارفين، نور علیشاه (ترجیع بند)، حافظ، سعدی، جامی، ظهیر الدین فاریابی ،مولانا محشتم ،خلیل، ضیایی، وحشی، یغما، شاه نعمة الله ولی، مولانا رفعت ،هلالی، عاشق اصفهانی، شمس تبریزی ،باباطاهر، مشتاق، شیخ بهایی ،خواجه عبدالله انصاری ،صفی، شعله اصفهانی ،پریشان، ابن حسام، جوشقی؛ خط: نستعلیق،بی کا، تا: ۱۲۵۷ق؛ مهر: «یوسفعلی ۱۲۶۲»( بیضی)؛ مجدول؛ جلد: تیماج قهوه ای، ۱۰۳گ، سطور چلیپا،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مخ: ۲ -600]</w:t>
      </w:r>
    </w:p>
    <w:p>
      <w:pPr>
        <w:pStyle w:val="BookText"/>
      </w:pPr>
      <w:r>
        <w:rPr>
          <w:rFonts w:ascii="IRNazanin" w:hAnsi="IRNazanin" w:eastAsia="IRNazanin" w:cs="IRNazanin"/>
          <w:lang w:bidi="fa-IR"/>
          <w:color w:val="111111"/>
          <w:sz w:val="28"/>
          <w:szCs w:val="28"/>
          <w:rtl/>
        </w:rPr>
        <w:t xml:space="preserve">۱۱۹۶. تهران؛ مجلس؛ شماره نسخه: ۱۳۴۷۵/۱</w:t>
      </w:r>
    </w:p>
    <w:p>
      <w:pPr>
        <w:pStyle w:val="BookText"/>
      </w:pPr>
      <w:r>
        <w:rPr>
          <w:rFonts w:ascii="IRNazanin" w:hAnsi="IRNazanin" w:eastAsia="IRNazanin" w:cs="IRNazanin"/>
          <w:lang w:bidi="fa-IR"/>
          <w:color w:val="111111"/>
          <w:sz w:val="28"/>
          <w:szCs w:val="28"/>
          <w:rtl/>
        </w:rPr>
        <w:t xml:space="preserve">آغاز: قد تو سرو چمن عارض تو یاسمنست *** عارضت یاسمن و قد تو سرو چمنست / نه عیان قاتل و نه تیغ هويدا اما *** هر کجا می نگری کشته خونین کفن است</w:t>
      </w:r>
    </w:p>
    <w:p>
      <w:pPr>
        <w:pStyle w:val="BookText"/>
      </w:pPr>
      <w:r>
        <w:rPr>
          <w:rFonts w:ascii="IRNazanin" w:hAnsi="IRNazanin" w:eastAsia="IRNazanin" w:cs="IRNazanin"/>
          <w:lang w:bidi="fa-IR"/>
          <w:color w:val="111111"/>
          <w:sz w:val="28"/>
          <w:szCs w:val="28"/>
          <w:rtl/>
        </w:rPr>
        <w:t xml:space="preserve">غزلیات فارسی بهترتیب حروف آخر قوافی؛ خط: نستعلیق، کا: محمد تقی بن شیخ محمد بحرینی، تا: جمادی الاول ۱۲۵۷ق، جا:
</w:t>
      </w:r>
    </w:p>
    <w:p>
      <w:pPr>
        <w:sectPr>
          <w:footerReference w:type="default" r:id="rId8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زنجان؛ جلد: تیماج سبز ، ۱۸۵گ (۱پ-۱۸۵ر)، ۱۵ سطر [ف: 36- 435]</w:t>
      </w:r>
    </w:p>
    <w:p>
      <w:pPr>
        <w:pStyle w:val="BookText"/>
      </w:pPr>
      <w:r>
        <w:rPr>
          <w:rFonts w:ascii="IRNazanin" w:hAnsi="IRNazanin" w:eastAsia="IRNazanin" w:cs="IRNazanin"/>
          <w:lang w:bidi="fa-IR"/>
          <w:color w:val="111111"/>
          <w:sz w:val="28"/>
          <w:szCs w:val="28"/>
          <w:rtl/>
        </w:rPr>
        <w:t xml:space="preserve">۱۱۹۷ . اصفهان؛ دانشگاه؛ شماره نسخه: ۷۸۶</w:t>
      </w:r>
    </w:p>
    <w:p>
      <w:pPr>
        <w:pStyle w:val="BookText"/>
      </w:pPr>
      <w:r>
        <w:rPr>
          <w:rFonts w:ascii="IRNazanin" w:hAnsi="IRNazanin" w:eastAsia="IRNazanin" w:cs="IRNazanin"/>
          <w:lang w:bidi="fa-IR"/>
          <w:color w:val="111111"/>
          <w:sz w:val="28"/>
          <w:szCs w:val="28"/>
          <w:rtl/>
        </w:rPr>
        <w:t xml:space="preserve">مشتمل بر اشعاری از نظامی ،سعدی، عاشق ،محزون، سالک، حسن خان شاملو و اشعاری پراکنده و منشآتی بدون نام؛ خـط: نستعلیق، کا: ملا نعمت، تا: ۱۲۵۷ق، بعد از مراجعت از نهاوند؛ كاغذ: الوان ،جلد: تیماج مشکی مجدول ضربى بدون مقوا، ۶۲گ، مختلف السطر، اندازه: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 - ۵۹۹]</w:t>
      </w:r>
    </w:p>
    <w:p>
      <w:pPr>
        <w:pStyle w:val="BookText"/>
      </w:pPr>
      <w:r>
        <w:rPr>
          <w:rFonts w:ascii="IRNazanin" w:hAnsi="IRNazanin" w:eastAsia="IRNazanin" w:cs="IRNazanin"/>
          <w:lang w:bidi="fa-IR"/>
          <w:color w:val="111111"/>
          <w:sz w:val="28"/>
          <w:szCs w:val="28"/>
          <w:rtl/>
        </w:rPr>
        <w:t xml:space="preserve">۱۱۹۸. تهران؛ مجلس؛ شماره نسخه: ۱۱۴۹/۳- طباطبائی</w:t>
      </w:r>
    </w:p>
    <w:p>
      <w:pPr>
        <w:pStyle w:val="BookText"/>
      </w:pPr>
      <w:r>
        <w:rPr>
          <w:rFonts w:ascii="IRNazanin" w:hAnsi="IRNazanin" w:eastAsia="IRNazanin" w:cs="IRNazanin"/>
          <w:lang w:bidi="fa-IR"/>
          <w:color w:val="111111"/>
          <w:sz w:val="28"/>
          <w:szCs w:val="28"/>
          <w:rtl/>
        </w:rPr>
        <w:t xml:space="preserve">انجام: منم عارف ثناگوی تو شاها کاندرین گلشن *** به رنـگ برگهای غنچه دارم صد زبان با هم/ مرا باشد زفیض آبروی گوهر مدحت *** نهان در قطره دل بحرهای بیکران با هم / دری غیر از درت نشناسم و زین در طمع دارم *** حصول مدعای این جهان و آن جهان با هم / مصفی باد دل از گرد کلفت دوستانت را *** و مهرند تا آئینه پرواز جهان با هم</w:t>
      </w:r>
    </w:p>
    <w:p>
      <w:pPr>
        <w:pStyle w:val="BookText"/>
      </w:pPr>
      <w:r>
        <w:rPr>
          <w:rFonts w:ascii="IRNazanin" w:hAnsi="IRNazanin" w:eastAsia="IRNazanin" w:cs="IRNazanin"/>
          <w:lang w:bidi="fa-IR"/>
          <w:color w:val="111111"/>
          <w:sz w:val="28"/>
          <w:szCs w:val="28"/>
          <w:rtl/>
        </w:rPr>
        <w:t xml:space="preserve">قصیده در مدح امیر المومنین (علیه السّلام)، از شاعری است با تخلص عارف دارای قدرت طبع و ذوق و دانش. در مقدمه قصیده سخن درباره توحید و قدرت طبع شاعر و نیز اشارات فلسفی - اخلاقی دارد و پس از بیت سی ام به مدح مولی می پردازد. اینک نمـونه اشعار از آغاز قصیده و دیگر ابیات: «من و دل فارغ از کلفت نشستیم آن زمان با هم*** که بر خیزند و ننشینند دیگر جسم و  جان با هم/ بود نور ظهور او حجاب طلعت خوبان *** که نتوان دید خورشید و کواکب راعیان با هم/ جهان دریا و تن کشتی و دانش خوبان *** دل و جان در حقیقت لنگراند و بادبان با هم/... به درگاه شهی آریم رو کانجا سرافرازان *** بسان بندگان دارند آستان با هم / علی مرتضی کز بندگان بر استان او فرو آرند بهر سجده سر، گردن کشان با هم / غلط کر گویمش ممکن خطا گر گویمش واجب ***کز او باشد صفات ممكن و واجب عيال با هم»؛ خط: نستعليق، كا: محمد علی بن رضا حسینی، تا: ۱۲۵۸ق، 3گ (۴۳-۴۵)، قطع : خشتی، اندازه: ۱۶/۵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[ف:23- 623]</w:t>
      </w:r>
    </w:p>
    <w:p>
      <w:pPr>
        <w:pStyle w:val="BookText"/>
      </w:pPr>
      <w:r>
        <w:rPr>
          <w:rFonts w:ascii="IRNazanin" w:hAnsi="IRNazanin" w:eastAsia="IRNazanin" w:cs="IRNazanin"/>
          <w:lang w:bidi="fa-IR"/>
          <w:color w:val="111111"/>
          <w:sz w:val="28"/>
          <w:szCs w:val="28"/>
          <w:rtl/>
        </w:rPr>
        <w:t xml:space="preserve">۱۱۹۹ . آشتیان؛ حوزه علمیه؛ شماره نسخه: ۱ بخش دوم</w:t>
      </w:r>
    </w:p>
    <w:p>
      <w:pPr>
        <w:pStyle w:val="BookText"/>
      </w:pPr>
      <w:r>
        <w:rPr>
          <w:rFonts w:ascii="IRNazanin" w:hAnsi="IRNazanin" w:eastAsia="IRNazanin" w:cs="IRNazanin"/>
          <w:lang w:bidi="fa-IR"/>
          <w:color w:val="111111"/>
          <w:sz w:val="28"/>
          <w:szCs w:val="28"/>
          <w:rtl/>
        </w:rPr>
        <w:t xml:space="preserve">آغاز: غیر از این ندارم چاره*** تا چند گریان و زاریم / تا کی چشم بد خوازیم *** ادخوای واد خوازیم؛ انجام: دیده چو مجنـون خویشتنم *** عاشق چو مجنون خویشتنم / بخت برگشته خویشتنم*** کشتی نشسته خویشتنم</w:t>
      </w:r>
    </w:p>
    <w:p>
      <w:pPr>
        <w:pStyle w:val="BookText"/>
      </w:pPr>
      <w:r>
        <w:rPr>
          <w:rFonts w:ascii="IRNazanin" w:hAnsi="IRNazanin" w:eastAsia="IRNazanin" w:cs="IRNazanin"/>
          <w:lang w:bidi="fa-IR"/>
          <w:color w:val="111111"/>
          <w:sz w:val="28"/>
          <w:szCs w:val="28"/>
          <w:rtl/>
        </w:rPr>
        <w:t xml:space="preserve">بیاضی است حاوی غزلیات به گویش محلی آشتیان و ۶۷ دوبـیتی باباطاهر و هشت مثنوی و اشعاری از سروده های شاعری به نام امین، نسخه موجود دارای عناوین ذیل است: جواب از جانب استاد حسین کفشدوز، در فراق شریفه، از جانب بلبل به مادر،از جانب مادر به بلبل، نامه استاد حسین کفشدوز، با چندین سوزو گداز و غزل های شماره ،۵، ۶، ۱۰، ۱۱، ۱۲، ۱۴ و چندین ناخوانا ؛خط: نستعلیق شکسته ،کا: محمد جعفر آهویی نخعی، تا: جمعه ۲۰ صفر ۱۲۵۸ق، جا: روستای آهو؛ در پایان دعای چله بندی زنان و منقولاتی از امیرمؤمنان حضرت علی (علیه السّلام) در این که چه روزی شخص بیمار شود با طریقه اعمال و لوح محفوظ، کاتب در چند موضع نسخه یادداشت نوشته، از جمله: «تمت الشعر آشتیان من كلام متخلص به بلبل، ۱۲ ربیع الثانی ۱۲۲۶» و «تمت البياض ... پنجم محرم الحرام ۱۲۲۶»، و یادداشت: «فى يوم الجمعه بیستم شهر صفر المظفر در تکیه حزن و اندوه آهو حسب الخواهش نور چشم عزیز آقا بزرگ که دائم الانات در فکر غزلیات عاشقی می بود که بنویسد و دماغی داشت، قلمی مسوده گردید، حرره  العبد...  محمد جعفر اهویی نخعی ۱۲۵۸ق»؛ مهر: «عين محمد حسین» (بیضی) و «قلمی شد در نهایت پریشانی، ربیع الثانی ۱۲۲۶؛ کاغذ: نخودی، جلد: چرم قهوه ای سیر ، ضربی، ۱۳۹گ، مختلف السطر، قطع: جانمازی، اندازه: 5</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سم [ف: ۱۴۵]</w:t>
      </w:r>
    </w:p>
    <w:p>
      <w:pPr>
        <w:pStyle w:val="BookText"/>
      </w:pPr>
      <w:r>
        <w:rPr>
          <w:rFonts w:ascii="IRNazanin" w:hAnsi="IRNazanin" w:eastAsia="IRNazanin" w:cs="IRNazanin"/>
          <w:lang w:bidi="fa-IR"/>
          <w:color w:val="111111"/>
          <w:sz w:val="28"/>
          <w:szCs w:val="28"/>
          <w:rtl/>
        </w:rPr>
        <w:t xml:space="preserve">۱۲۰۰ . قم؛ مدرسه رضویه؛ شماره نسخه: ۸۵/۴</w:t>
      </w:r>
    </w:p>
    <w:p>
      <w:pPr>
        <w:pStyle w:val="BookText"/>
      </w:pPr>
      <w:r>
        <w:rPr>
          <w:rFonts w:ascii="IRNazanin" w:hAnsi="IRNazanin" w:eastAsia="IRNazanin" w:cs="IRNazanin"/>
          <w:lang w:bidi="fa-IR"/>
          <w:color w:val="111111"/>
          <w:sz w:val="28"/>
          <w:szCs w:val="28"/>
          <w:rtl/>
        </w:rPr>
        <w:t xml:space="preserve">قصاید است از شیخ ابی عاتم مقدسی در رثاء امام حسین، و از شيخ عثمان بن شيخ يوسف، و شیخ محمد وبری در ستایش پیامبر و مناجات، و غزلیاتی از سرایندهای با تخلص «دولت» به فارسی، قطعه ای از مغربی به عربی، و قصیده ای چند در ستایش امام هشتم، و قصیده ای از حمیری در ستایش امیر مومنان و قصیده ای به عربی در ستایش پیشوایان دوازده گانه؛ خط: نستعلیق، بی کا، تا: جمادى الثانی ،۱۲۵۸ق؛ کاغذ: آبی ۱۶گ (۵۷ر-۷۳ر)، ۱۷</w:t>
      </w:r>
    </w:p>
    <w:p>
      <w:pPr>
        <w:pStyle w:val="BookText"/>
      </w:pPr>
      <w:r>
        <w:rPr>
          <w:rFonts w:ascii="IRNazanin" w:hAnsi="IRNazanin" w:eastAsia="IRNazanin" w:cs="IRNazanin"/>
          <w:lang w:bidi="fa-IR"/>
          <w:color w:val="111111"/>
          <w:sz w:val="28"/>
          <w:szCs w:val="28"/>
          <w:rtl/>
        </w:rPr>
        <w:t xml:space="preserve">سطر، قطع: بیاض رقعی [چند نسخه- ف: - ۵۴]</w:t>
      </w:r>
    </w:p>
    <w:p>
      <w:pPr>
        <w:pStyle w:val="BookText"/>
      </w:pPr>
      <w:r>
        <w:rPr>
          <w:rFonts w:ascii="IRNazanin" w:hAnsi="IRNazanin" w:eastAsia="IRNazanin" w:cs="IRNazanin"/>
          <w:lang w:bidi="fa-IR"/>
          <w:color w:val="111111"/>
          <w:sz w:val="28"/>
          <w:szCs w:val="28"/>
          <w:rtl/>
        </w:rPr>
        <w:t xml:space="preserve">۱۲۰۱. تهران؛ مجلس؛ شماره نسخه: ۱۱۴۹/۵- طباطبائی</w:t>
      </w:r>
    </w:p>
    <w:p>
      <w:pPr>
        <w:pStyle w:val="BookText"/>
      </w:pPr>
      <w:r>
        <w:rPr>
          <w:rFonts w:ascii="IRNazanin" w:hAnsi="IRNazanin" w:eastAsia="IRNazanin" w:cs="IRNazanin"/>
          <w:lang w:bidi="fa-IR"/>
          <w:color w:val="111111"/>
          <w:sz w:val="28"/>
          <w:szCs w:val="28"/>
          <w:rtl/>
        </w:rPr>
        <w:t xml:space="preserve">آغاز: گنج اسرار الهی حرف است*** گوهر مخزن شاهی حرف است / الف و یک نام که دارد جبار *** هر یکی فایده ای را در کار / لیک از آن داشت یکی پیغمبر *** پدر مادر موسی از بر /  مادر حضرت موسی چون زاد *** پدر آن اسم به دختر بنهاد.../  داد او را پسری رب جلیل*** که زد او جامه فرعون به نیل ... / یوخابد خواند حق اندر توراة *** در صحف خواند خدابش عورات / دیلمی کرد رقم کافلنا *** باز جمع دگرش شد خلنا ... / سال عمرم به صدو یک چو رسید *** فکر من پرده از این رمز کشید / من در این اسم بسی بردم رنج *** که طلسمات گشودم زین گنج / ای بهایی توچه این کشف کنوز *** کردی و یافتی این قدر رموز / بیش از این کاشف اسرار مباش *** دم مزن دیگر و غماز مباش / باید ارباب طلب را این فن *** چون بیاید به طریق روشن / بر بهایی ز سر و صدق و صفا *** بکند از سر اخلاص دعا حل رمز نام مادر موسی در این مثنوی درباره وصف نام مادر موسی و خواص آن بگونه خلاصه چنین آمده است: پدر مادر موسی یکی از نام های الهی را بر دختر خویش نهاد که چهارده خاصیت دارد: این نام در تورات: یوخابد، در صحف: عورات، در انجیل: جنه و در قرآن رمز دیگر است به این گونه: عددش با سور قرآنی *** متساویست اگر میدانی/ طی بود آخر شش حرف دروا</w:t>
      </w:r>
      <w:r>
        <w:rPr>
          <w:rFonts w:ascii="IRNazanin" w:hAnsi="IRNazanin" w:eastAsia="IRNazanin" w:cs="IRNazanin"/>
          <w:lang w:bidi="fa-IR"/>
          <w:color w:val="111111"/>
          <w:sz w:val="28"/>
          <w:szCs w:val="28"/>
          <w:b w:val="1"/>
          <w:bCs w:val="1"/>
          <w:i w:val="1"/>
          <w:iCs w:val="1"/>
          <w:rtl/>
        </w:rPr>
        <w:t xml:space="preserve">نکته  سنجی که بفهمد نيكو / عدد بینه اش هفتاد است *** این همه قاعده از استاد است ... / هشت حرف است به ترتیب نظام</w:t>
      </w:r>
    </w:p>
    <w:p>
      <w:pPr>
        <w:sectPr>
          <w:footerReference w:type="default" r:id="rId8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بسط حرفش به چهل گشت تمام / دومش میم و چهارم لام اسـت *** سیمش شهر در این ایام است / از سه جا مصدر اسمش  دال است***در سر آیه ای از انفال است/ اولش هفده و آخر سین است *** متصل در وسط پس است / که در زبان اهل اسرار و کارشناسان علم حروف واعداد و اصحاب کیمیا اهمیت شگرف دارد. نام گوینده این مثنوی در بالای نسخه و نیز در ابیات آخر مثنوی شیخ بهائی است اما در ابیات  پیش از آن گوینده خود  را دیلمی می خواند و می گوید سال عمرم چون به صد و یک رسید «فکر من پرده از این رمز کشید»؛ خط: نستعليق، كا: محمد على بن رضا حسینی، تا: ۱۲۵۸ق، ۲گ (۵۶-۵۷)، قطع: خشتی، اندازه: ۱۶/۵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 ۲۳ - ۶۲۴]</w:t>
      </w:r>
    </w:p>
    <w:p>
      <w:pPr>
        <w:pStyle w:val="BookText"/>
      </w:pPr>
      <w:r>
        <w:rPr>
          <w:rFonts w:ascii="Times New Roman" w:hAnsi="Times New Roman" w:eastAsia="Times New Roman" w:cs="Times New Roman"/>
          <w:lang w:val="en-US" w:bidi="en-US"/>
          <w:color w:val="111111"/>
          <w:sz w:val="28"/>
          <w:szCs w:val="28"/>
          <w:rtl/>
        </w:rPr>
        <w:t xml:space="preserve">1202.</w:t>
      </w:r>
    </w:p>
    <w:p>
      <w:pPr>
        <w:pStyle w:val="BookText"/>
      </w:pPr>
      <w:r>
        <w:rPr>
          <w:rFonts w:ascii="IRNazanin" w:hAnsi="IRNazanin" w:eastAsia="IRNazanin" w:cs="IRNazanin"/>
          <w:lang w:bidi="fa-IR"/>
          <w:color w:val="111111"/>
          <w:sz w:val="28"/>
          <w:szCs w:val="28"/>
          <w:rtl/>
        </w:rPr>
        <w:t xml:space="preserve">تهران؛ مجلس؛ شماره نسخه: ۹۲۸۹/۷</w:t>
      </w:r>
    </w:p>
    <w:p>
      <w:pPr>
        <w:pStyle w:val="BookText"/>
      </w:pPr>
      <w:r>
        <w:rPr>
          <w:rFonts w:ascii="IRNazanin" w:hAnsi="IRNazanin" w:eastAsia="IRNazanin" w:cs="IRNazanin"/>
          <w:lang w:bidi="fa-IR"/>
          <w:color w:val="111111"/>
          <w:sz w:val="28"/>
          <w:szCs w:val="28"/>
          <w:rtl/>
        </w:rPr>
        <w:t xml:space="preserve">قصایدی در مدح اهل بیت از سید مهدی طباطبائی و دیگران؛ بی کا، تا: ۱۲۵۸ق، جلد: تیماج مشکی، ۴گ (۶۶ر - ۷۰ر)، اندازه: ۱۶/۵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۳۰ - ۵۵]</w:t>
      </w:r>
    </w:p>
    <w:p>
      <w:pPr>
        <w:pStyle w:val="BookText"/>
      </w:pPr>
      <w:r>
        <w:rPr>
          <w:rFonts w:ascii="IRNazanin" w:hAnsi="IRNazanin" w:eastAsia="IRNazanin" w:cs="IRNazanin"/>
          <w:lang w:bidi="fa-IR"/>
          <w:color w:val="111111"/>
          <w:sz w:val="28"/>
          <w:szCs w:val="28"/>
          <w:rtl/>
        </w:rPr>
        <w:t xml:space="preserve">۱۲۰۳ تهران؛ ملی؛ شماره نسخه: ۱۸۸۲۵</w:t>
      </w:r>
    </w:p>
    <w:p>
      <w:pPr>
        <w:pStyle w:val="BookText"/>
      </w:pPr>
      <w:r>
        <w:rPr>
          <w:rFonts w:ascii="IRNazanin" w:hAnsi="IRNazanin" w:eastAsia="IRNazanin" w:cs="IRNazanin"/>
          <w:lang w:bidi="fa-IR"/>
          <w:color w:val="111111"/>
          <w:sz w:val="28"/>
          <w:szCs w:val="28"/>
          <w:rtl/>
        </w:rPr>
        <w:t xml:space="preserve">مجموعه شعر؛ بی کا ،تا: ۱۲۵۹ق؛ انتقالی از کتابخانه پهلوی - مجموعه نوازی؛ ۱۷۷گ، اندازه: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[رایانه]</w:t>
      </w:r>
    </w:p>
    <w:p>
      <w:pPr>
        <w:pStyle w:val="BookText"/>
      </w:pPr>
      <w:r>
        <w:rPr>
          <w:rFonts w:ascii="Times New Roman" w:hAnsi="Times New Roman" w:eastAsia="Times New Roman" w:cs="Times New Roman"/>
          <w:lang w:val="en-US" w:bidi="en-US"/>
          <w:color w:val="111111"/>
          <w:sz w:val="28"/>
          <w:szCs w:val="28"/>
          <w:rtl/>
        </w:rPr>
        <w:t xml:space="preserve">1204.</w:t>
      </w:r>
    </w:p>
    <w:p>
      <w:pPr>
        <w:pStyle w:val="BookText"/>
      </w:pPr>
      <w:r>
        <w:rPr>
          <w:rFonts w:ascii="IRNazanin" w:hAnsi="IRNazanin" w:eastAsia="IRNazanin" w:cs="IRNazanin"/>
          <w:lang w:bidi="fa-IR"/>
          <w:color w:val="111111"/>
          <w:sz w:val="28"/>
          <w:szCs w:val="28"/>
          <w:rtl/>
        </w:rPr>
        <w:t xml:space="preserve">تهران؛ مجلس؛ شماره نسخه: ۵۱۵۹/۴</w:t>
      </w:r>
    </w:p>
    <w:p>
      <w:pPr>
        <w:pStyle w:val="BookText"/>
      </w:pPr>
      <w:r>
        <w:rPr>
          <w:rFonts w:ascii="IRNazanin" w:hAnsi="IRNazanin" w:eastAsia="IRNazanin" w:cs="IRNazanin"/>
          <w:lang w:bidi="fa-IR"/>
          <w:color w:val="111111"/>
          <w:sz w:val="28"/>
          <w:szCs w:val="28"/>
          <w:rtl/>
        </w:rPr>
        <w:t xml:space="preserve">آغاز: ای پر هنر خجسته کردار *** یک لحظه تو گوش سوی  من دار / تا من من سر داستان گشایم *** شیرین سخنی بیان نمایم؛ انجـام: این نکته زمن بیادگاری *** باید که بگوش خویش داری/ ... اگز ز عاقلانی *** از وی بگریز تا توانی</w:t>
      </w:r>
    </w:p>
    <w:p>
      <w:pPr>
        <w:pStyle w:val="BookText"/>
      </w:pPr>
      <w:r>
        <w:rPr>
          <w:rFonts w:ascii="IRNazanin" w:hAnsi="IRNazanin" w:eastAsia="IRNazanin" w:cs="IRNazanin"/>
          <w:lang w:bidi="fa-IR"/>
          <w:color w:val="111111"/>
          <w:sz w:val="28"/>
          <w:szCs w:val="28"/>
          <w:rtl/>
        </w:rPr>
        <w:t xml:space="preserve">مثنوی گرگ و روباه است در ۱۶۳ بیت؛ خط: نستعلیق، بی کا،تا: چهارشنبه ۵ ذیحجه ۱۲۵۹ق، جا: مشهد؛ چهارستونی به صورت چلیپا؛ ۴گ (۹۲پ- ۹۵پ) [ف: ۱۵ - ۲۴۲]</w:t>
      </w:r>
    </w:p>
    <w:p>
      <w:pPr>
        <w:pStyle w:val="BookText"/>
      </w:pPr>
      <w:r>
        <w:rPr>
          <w:rFonts w:ascii="IRNazanin" w:hAnsi="IRNazanin" w:eastAsia="IRNazanin" w:cs="IRNazanin"/>
          <w:lang w:bidi="fa-IR"/>
          <w:color w:val="111111"/>
          <w:sz w:val="28"/>
          <w:szCs w:val="28"/>
          <w:rtl/>
        </w:rPr>
        <w:t xml:space="preserve">۱۲۰۵. مشهد؛ رضوی؛ شماره نسخه: ۱۶۲۴۵</w:t>
      </w:r>
    </w:p>
    <w:p>
      <w:pPr>
        <w:pStyle w:val="BookText"/>
      </w:pPr>
      <w:r>
        <w:rPr>
          <w:rFonts w:ascii="IRNazanin" w:hAnsi="IRNazanin" w:eastAsia="IRNazanin" w:cs="IRNazanin"/>
          <w:lang w:bidi="fa-IR"/>
          <w:color w:val="111111"/>
          <w:sz w:val="28"/>
          <w:szCs w:val="28"/>
          <w:rtl/>
        </w:rPr>
        <w:t xml:space="preserve">آغاز: بدان داد پانصد سوار عرب *** بگفتا که نه روز بین و نه شب؛ انجام: چه زد نعره املاق بیداد شد *** دوان تا برون سپهـدار شد</w:t>
      </w:r>
    </w:p>
    <w:p>
      <w:pPr>
        <w:pStyle w:val="BookText"/>
      </w:pPr>
      <w:r>
        <w:rPr>
          <w:rFonts w:ascii="IRNazanin" w:hAnsi="IRNazanin" w:eastAsia="IRNazanin" w:cs="IRNazanin"/>
          <w:lang w:bidi="fa-IR"/>
          <w:color w:val="111111"/>
          <w:sz w:val="28"/>
          <w:szCs w:val="28"/>
          <w:rtl/>
        </w:rPr>
        <w:t xml:space="preserve">مجموعه ای است از اشعار حماسی دینی، از ناظمی ناشناس و مشتمل است بر: ۱- مثنوی در بحر تقارب، داستان اسارت حضرت امام حسن و امام حسین (علیه السّلام) در کودکی به دست مالک گبر و جنگ حضرت علی (علیه السّلام) با مالک و حارث و سهیل مسلمان شدن آنها، ۲ -مثنوی داستان انتقام خون امام حسین (علیه السّلام) به وسیله ضریر خزاعی از یزید علیه اللعنه و جنگ محمدحنفیه و ابراهیم مالک با یزید و عمر بن علی با فضل جعفر با ابن زیاد،3- مثنوی در بحر خفیف مخبون محذوف، داستان فتح قلعه خیبر به دست حضرت علی (علیه السّلام)، ۴- مثنوی در بحر خفیف مخون، داستان حضرت علی (علیه السّلام) با عمرو بن عبدود، ۵- قصایدی در معراج حضرت علی (علیه السّلام) ، رفتن حضرت علی (علیه السّلام) به چاه جنیان و جنگ با آنها و مسلمان شدن آنها، ۶. مثنوی در بحر تقارب، داستان جنگ محمد حنفیه با قطران بن منذر که ناتمام مانده اسـت</w:t>
      </w:r>
    </w:p>
    <w:p>
      <w:pPr>
        <w:pStyle w:val="BookText"/>
      </w:pPr>
      <w:r>
        <w:rPr>
          <w:rFonts w:ascii="IRNazanin" w:hAnsi="IRNazanin" w:eastAsia="IRNazanin" w:cs="IRNazanin"/>
          <w:lang w:bidi="fa-IR"/>
          <w:color w:val="111111"/>
          <w:sz w:val="28"/>
          <w:szCs w:val="28"/>
          <w:rtl/>
        </w:rPr>
        <w:t xml:space="preserve">[در شناسنامه نسخه به نام «دیوان معین» ضبط شده که اشتباه است و نام ناظم با بررسی و تحقیقی که به عمل آمد بدست نیامد.]؛ خط: نسخ تحریری، کا: ملا آزار قناة غسانی (ثمانی)، تا: صفر ۱۲۵۹ق، جا: قریه محیاباد؛ افتادگی: آغاز و انجام؛ واگذاری بنیاد مستضعفان در شهریور ۱۳۶۷؛ کاغذ: نخودی، جلد: تیماج قهوه ای یک لا، ۷۵گ ، ۱۷-۲۴ سطر مغلوط،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۲۹سم [ف: ۱۷-۱۹۲]</w:t>
      </w:r>
    </w:p>
    <w:p>
      <w:pPr>
        <w:pStyle w:val="BookText"/>
      </w:pPr>
      <w:r>
        <w:rPr>
          <w:rFonts w:ascii="IRNazanin" w:hAnsi="IRNazanin" w:eastAsia="IRNazanin" w:cs="IRNazanin"/>
          <w:lang w:bidi="fa-IR"/>
          <w:color w:val="111111"/>
          <w:sz w:val="28"/>
          <w:szCs w:val="28"/>
          <w:rtl/>
        </w:rPr>
        <w:t xml:space="preserve">۱۲۰۶. تهران؛ عبد العظیم؛ شماره نسخه: ۳۸۸</w:t>
      </w:r>
    </w:p>
    <w:p>
      <w:pPr>
        <w:pStyle w:val="BookText"/>
      </w:pPr>
      <w:r>
        <w:rPr>
          <w:rFonts w:ascii="IRNazanin" w:hAnsi="IRNazanin" w:eastAsia="IRNazanin" w:cs="IRNazanin"/>
          <w:lang w:bidi="fa-IR"/>
          <w:color w:val="111111"/>
          <w:sz w:val="28"/>
          <w:szCs w:val="28"/>
          <w:rtl/>
        </w:rPr>
        <w:t xml:space="preserve">آغاز: شب فراق که داند که تا سحر چند است *** مگر کسی که بزنجیر عشق در بند است / قسم بجان تو خوردن طريق عزت نیست *** بخاک پای تو سوگند که آنهم عظیم سوگند است؛</w:t>
      </w:r>
    </w:p>
    <w:p>
      <w:pPr>
        <w:pStyle w:val="BookText"/>
      </w:pPr>
      <w:r>
        <w:rPr>
          <w:rFonts w:ascii="IRNazanin" w:hAnsi="IRNazanin" w:eastAsia="IRNazanin" w:cs="IRNazanin"/>
          <w:lang w:bidi="fa-IR"/>
          <w:color w:val="111111"/>
          <w:sz w:val="28"/>
          <w:szCs w:val="28"/>
          <w:rtl/>
        </w:rPr>
        <w:t xml:space="preserve">انجام: این گفت و بسوی خانه برگشت *** وان مرغ به آشیانه برگشت</w:t>
      </w:r>
    </w:p>
    <w:p>
      <w:pPr>
        <w:pStyle w:val="BookText"/>
      </w:pPr>
      <w:r>
        <w:rPr>
          <w:rFonts w:ascii="IRNazanin" w:hAnsi="IRNazanin" w:eastAsia="IRNazanin" w:cs="IRNazanin"/>
          <w:lang w:bidi="fa-IR"/>
          <w:color w:val="111111"/>
          <w:sz w:val="28"/>
          <w:szCs w:val="28"/>
          <w:rtl/>
        </w:rPr>
        <w:t xml:space="preserve">بیاضی است شامل اشعار مختلف از شعرای پارسی سرای، همچون: غزلیات سعدی، مثنوی آذر با مطلع: «بشنوید ای مشعر آزادگان*** این حکایت از دل کف دادگان»، مثنوی ساده دل یا حمار نامه از سلیم تهرانی با مطلع: «ساده دلی را ز پی راه دور *** گشت خری چون خر عیسی ضرور»؛ خط: نستعلیق، بی کا، تا: یک شنبه ۱۰ شوال ۱۲۵۹ق، حسب الامر ميرزا علی محمد بن میرزا اسماعیل مستوفی؛ بهای نسخه در ابتدای آن ۲۵۰ ریال ثبت شده ؛جلد: تیماج قهوه ای با روکش پارچه ترمه، ۱۱۷گ، ۱۰ سطر ،چلیپایی، اندازه: 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۱۴/۵سم [ف: ۱ - ۱۸۰]</w:t>
      </w:r>
    </w:p>
    <w:p>
      <w:pPr>
        <w:pStyle w:val="BookText"/>
      </w:pPr>
      <w:r>
        <w:rPr>
          <w:rFonts w:ascii="IRNazanin" w:hAnsi="IRNazanin" w:eastAsia="IRNazanin" w:cs="IRNazanin"/>
          <w:lang w:bidi="fa-IR"/>
          <w:color w:val="111111"/>
          <w:sz w:val="28"/>
          <w:szCs w:val="28"/>
          <w:rtl/>
        </w:rPr>
        <w:t xml:space="preserve">۱۲۰۷. تهران؛ دانشگاه؛ شماره نسخه: ۷۸۲۲</w:t>
      </w:r>
    </w:p>
    <w:p>
      <w:pPr>
        <w:pStyle w:val="BookText"/>
      </w:pPr>
      <w:r>
        <w:rPr>
          <w:rFonts w:ascii="IRNazanin" w:hAnsi="IRNazanin" w:eastAsia="IRNazanin" w:cs="IRNazanin"/>
          <w:lang w:bidi="fa-IR"/>
          <w:color w:val="111111"/>
          <w:sz w:val="28"/>
          <w:szCs w:val="28"/>
          <w:rtl/>
        </w:rPr>
        <w:t xml:space="preserve">شعرهای اثیر اخسیکتی و ابوالفرج رونی و امیر معزی؛ خط:نستعلیق، بی کا، تا: ۱۲۵۹ق؛ با یادداشت «خطائی» از سادات تفرشی در حسب حال خود او به خط شکسته در آغاز، از کتاب های اهدایی آقای حسن علی غفاری معاون الدوله کاشانی است؛ کاغذ: فرنگی ،جلد: تیماج عنابی لایی [ف: ۱۶ – ۷۱۵]</w:t>
      </w:r>
    </w:p>
    <w:p>
      <w:pPr>
        <w:pStyle w:val="BookText"/>
      </w:pPr>
      <w:r>
        <w:rPr>
          <w:rFonts w:ascii="IRNazanin" w:hAnsi="IRNazanin" w:eastAsia="IRNazanin" w:cs="IRNazanin"/>
          <w:lang w:bidi="fa-IR"/>
          <w:color w:val="111111"/>
          <w:sz w:val="28"/>
          <w:szCs w:val="28"/>
          <w:rtl/>
        </w:rPr>
        <w:t xml:space="preserve">۱۲۰۸. تهران؛ مجلس؛ شماره نسخه: ۱۸۴/۳-طباطبائی</w:t>
      </w:r>
    </w:p>
    <w:p>
      <w:pPr>
        <w:pStyle w:val="BookText"/>
      </w:pPr>
      <w:r>
        <w:rPr>
          <w:rFonts w:ascii="IRNazanin" w:hAnsi="IRNazanin" w:eastAsia="IRNazanin" w:cs="IRNazanin"/>
          <w:lang w:bidi="fa-IR"/>
          <w:color w:val="111111"/>
          <w:sz w:val="28"/>
          <w:szCs w:val="28"/>
          <w:rtl/>
        </w:rPr>
        <w:t xml:space="preserve">اشعاری از: صفی حلی، شریف رضی، ابن خفاجة، ابن المعلم الواسطى، جمال الدين جریر، امام علی بن ابی طالب (علیه السّلام) و علی بن الحسين (كاتب در صدر اشعار او می نویسد: للوالد العلامه في ولده يحيى يرثيه)، شیخ عبدالله بن محمد الشبراوى المصرى (قصيدة في الاستغاثه بالامام الحسين عليه السلام)، بعض الصالحين متعزلا بالکعبه. در پایان مجموعه صفحه اول دیوان مجنون عامری است( به روایت ابو بکر والبی) که دنباله آن افتاده و قسمتی از این برگ نیز پاره است؛ خط: نسخ، بی کا، تا: ۱۲۶۰ق؛ افتادگی: انجام؛ کاغذ: فرنگی ،جلد: تیماج قرمز با ترنج و نیم ترنج، ۱۴گ (144پ- 158)، ۱۷ سطر، قطع: خشتی،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۲۰سم[ف: ۲۲ – ۶۷]</w:t>
      </w:r>
    </w:p>
    <w:p>
      <w:pPr>
        <w:pStyle w:val="BookText"/>
      </w:pPr>
      <w:r>
        <w:rPr>
          <w:rFonts w:ascii="IRNazanin" w:hAnsi="IRNazanin" w:eastAsia="IRNazanin" w:cs="IRNazanin"/>
          <w:lang w:bidi="fa-IR"/>
          <w:color w:val="111111"/>
          <w:sz w:val="28"/>
          <w:szCs w:val="28"/>
          <w:rtl/>
        </w:rPr>
        <w:t xml:space="preserve">۱۲۰۹. تهران؛ ملی؛ شماره نسخه: ۱۶۸۷۰</w:t>
      </w:r>
    </w:p>
    <w:p>
      <w:pPr>
        <w:pStyle w:val="BookText"/>
      </w:pPr>
      <w:r>
        <w:rPr>
          <w:rFonts w:ascii="IRNazanin" w:hAnsi="IRNazanin" w:eastAsia="IRNazanin" w:cs="IRNazanin"/>
          <w:lang w:bidi="fa-IR"/>
          <w:color w:val="111111"/>
          <w:sz w:val="28"/>
          <w:szCs w:val="28"/>
          <w:rtl/>
        </w:rPr>
        <w:t xml:space="preserve">جنگ شعر؛ بی کا، تا: ۱۲۶۰ق؛ انتقالی از کتابخانه پهلوی- مجموعه نوازی؛ ۸۱گ، اندازه: 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۱۳/۵سم [رایانه]</w:t>
      </w:r>
    </w:p>
    <w:p>
      <w:pPr>
        <w:pStyle w:val="BookText"/>
      </w:pPr>
      <w:r>
        <w:rPr>
          <w:rFonts w:ascii="IRNazanin" w:hAnsi="IRNazanin" w:eastAsia="IRNazanin" w:cs="IRNazanin"/>
          <w:lang w:bidi="fa-IR"/>
          <w:color w:val="111111"/>
          <w:sz w:val="28"/>
          <w:szCs w:val="28"/>
          <w:rtl/>
        </w:rPr>
        <w:t xml:space="preserve">۱۲۱۰. قم؛ مرعشی؛ شماره نسخه: ۱۰۳۳۸</w:t>
      </w:r>
    </w:p>
    <w:p>
      <w:pPr>
        <w:pStyle w:val="BookText"/>
      </w:pPr>
      <w:r>
        <w:rPr>
          <w:rFonts w:ascii="IRNazanin" w:hAnsi="IRNazanin" w:eastAsia="IRNazanin" w:cs="IRNazanin"/>
          <w:lang w:bidi="fa-IR"/>
          <w:color w:val="111111"/>
          <w:sz w:val="28"/>
          <w:szCs w:val="28"/>
          <w:rtl/>
        </w:rPr>
        <w:t xml:space="preserve">در این مجموعه اشعار مختلفی بدون تنظيم مخصوص  آمده و
</w:t>
      </w:r>
    </w:p>
    <w:p>
      <w:pPr>
        <w:sectPr>
          <w:footerReference w:type="default" r:id="rId8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اكثراً نام شاعران ذکر نشده است. به نام این شاعران تصریح شده است: لاله خواتون، سعدی شیرازی ،محتشم، مشتاق؛ خـط: نستعلیق، بی کا، تا: ۱۲۶۰ق؛ مجدول، صفحه اول با سرلوح، سطرها راسته و چلیپا؛ جلد: مقوایی عطف تیماج مشکی، ۲۱۶گ،مختلف السطر، اندازه: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۲۶ - ۲۸۰]</w:t>
      </w:r>
    </w:p>
    <w:p>
      <w:pPr>
        <w:pStyle w:val="BookText"/>
      </w:pPr>
      <w:r>
        <w:rPr>
          <w:rFonts w:ascii="IRNazanin" w:hAnsi="IRNazanin" w:eastAsia="IRNazanin" w:cs="IRNazanin"/>
          <w:lang w:bidi="fa-IR"/>
          <w:color w:val="111111"/>
          <w:sz w:val="28"/>
          <w:szCs w:val="28"/>
          <w:rtl/>
        </w:rPr>
        <w:t xml:space="preserve">۱۲۱۱ . مشهد؛ گوهر شاد؛ شماره نسخه: ۸۹۲/۳</w:t>
      </w:r>
    </w:p>
    <w:p>
      <w:pPr>
        <w:pStyle w:val="BookText"/>
      </w:pPr>
      <w:r>
        <w:rPr>
          <w:rFonts w:ascii="IRNazanin" w:hAnsi="IRNazanin" w:eastAsia="IRNazanin" w:cs="IRNazanin"/>
          <w:lang w:bidi="fa-IR"/>
          <w:color w:val="111111"/>
          <w:sz w:val="28"/>
          <w:szCs w:val="28"/>
          <w:rtl/>
        </w:rPr>
        <w:t xml:space="preserve">گزینه ای است از غزلیات میرزا ابوالحسن يغما جندقی و حـاج محمد ابراهیم؛ خط: شکسته نستعلیق، کا: محمد ابراهيم بن حـاج محمد علی اصفهانی، تا: ذیقعده ۱۲۶۰ و ۲۶ صفر ۱۲۷۰ ،مجدول، دارای کمند؛ مهر: حاج سید سعید؛ كاغذ: الوان، جـلد: تیماج قهوه ئی، ۲۳گ (۶۷-۸۰)، ۱۹ سطر (9</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۳ - ۱۲۱۱]</w:t>
      </w:r>
    </w:p>
    <w:p>
      <w:pPr>
        <w:pStyle w:val="BookText"/>
      </w:pPr>
      <w:r>
        <w:rPr>
          <w:rFonts w:ascii="IRNazanin" w:hAnsi="IRNazanin" w:eastAsia="IRNazanin" w:cs="IRNazanin"/>
          <w:lang w:bidi="fa-IR"/>
          <w:color w:val="111111"/>
          <w:sz w:val="28"/>
          <w:szCs w:val="28"/>
          <w:rtl/>
        </w:rPr>
        <w:t xml:space="preserve">۱۲۱۲. تهران؛ مجلس؛ شماره نسخه: ۲۳۳۳</w:t>
      </w:r>
    </w:p>
    <w:p>
      <w:pPr>
        <w:pStyle w:val="BookText"/>
      </w:pPr>
      <w:r>
        <w:rPr>
          <w:rFonts w:ascii="IRNazanin" w:hAnsi="IRNazanin" w:eastAsia="IRNazanin" w:cs="IRNazanin"/>
          <w:lang w:bidi="fa-IR"/>
          <w:color w:val="111111"/>
          <w:sz w:val="28"/>
          <w:szCs w:val="28"/>
          <w:rtl/>
        </w:rPr>
        <w:t xml:space="preserve">آغاز: تا کی وری دریغ زبر نایی *** زین چاه آرزو ز چه بر نایی ؛</w:t>
      </w:r>
    </w:p>
    <w:p>
      <w:pPr>
        <w:pStyle w:val="BookText"/>
      </w:pPr>
      <w:r>
        <w:rPr>
          <w:rFonts w:ascii="IRNazanin" w:hAnsi="IRNazanin" w:eastAsia="IRNazanin" w:cs="IRNazanin"/>
          <w:lang w:bidi="fa-IR"/>
          <w:color w:val="111111"/>
          <w:sz w:val="28"/>
          <w:szCs w:val="28"/>
          <w:rtl/>
        </w:rPr>
        <w:t xml:space="preserve">انجام: هر چه از این طورها بینی چو نیکو بنگری تو ***بر مـراد چاکران خسرو قاجار دارد</w:t>
      </w:r>
    </w:p>
    <w:p>
      <w:pPr>
        <w:pStyle w:val="BookText"/>
      </w:pPr>
      <w:r>
        <w:rPr>
          <w:rFonts w:ascii="IRNazanin" w:hAnsi="IRNazanin" w:eastAsia="IRNazanin" w:cs="IRNazanin"/>
          <w:lang w:bidi="fa-IR"/>
          <w:color w:val="111111"/>
          <w:sz w:val="28"/>
          <w:szCs w:val="28"/>
          <w:rtl/>
        </w:rPr>
        <w:t xml:space="preserve">کاتب به دستور میرزا علی اکبر پسر حاج میرزا حسن گردآورده است و منتخبی است از اشعارشعرای ایران بدین قرار: ناصر خسر ۱۵۵۵ بیت ،(۱-۸۹) امیر معزی (۸۹-۱۲۹ )،۶۸۸ ،بیت رودکی و قطران (۱۲۹-۱۵۵) ۴۴۰ بیت، قطران بلخی (۱۵۵-۱۶۴) ۱۴۹ بیـت، ابوالقاسم همدانی (۱۶۶-۱۶۴) ۴۹ بیت، جمال الدین عبدالرزاق (۱۶۸-۱۶۶) ۲۲ بیت، سؤال فاضل کاشان در ترجیع انوری و ظهیر (۱۶۸) ۵ بیت، جواب مجد (۱۶۸ و ۱۶۹) ۲۱ بیت، عثمان مختاری (۱۶۹ تا ۱۷۲) ۴۹ بیت، منوچهر شصت کله (۱۷۲) ۱۷ بيت، عمـعق (۱۷۳) ۳۱ بیت، قاآنی (۱۷۵) ۷۰ بیت، ظهیر (۱۷۹-۲۰۵) 444 بیت، ادیب صابر (۲۰۵ - ۲۱۹) ۲۵۴ بیت، سوزنی (۲۲۰-۲۳۵) 266بیت، سنایی (۲۳۵-۲۴۱) ۱۰۲ بیت، عنصری (۲۴۱) ۴۲ بیت انوری (۲۴۴-۲۶۴) ۳۴۴ بیت، مسعود سعد سلمان (264- 293) ۵۰۸ بیت، عبدالواسع جبلی (۲۹۳) ۱۰ بیت، ایرج میرزا (۲۹۴) 2بيت، على حسین در مدح میرزا سنگلاخ (۲۹۶)، عثمان مختاری(۲۹۹) ۴۴ بیت، قاآنی (۲۹۹) ۹ بیت، میرزا تقی کرمانی (۳۰۱) 29 بیت، مثنوی پیر و جوان نصیر خراسانی (۳۰۱-۳۱۳) ۲۲۰ بیت، قصاید سعدی (۳۱۴) ۲۱۱ بیت، لامعی (۳۲۶ - ۳۴۳) ۳۰۱ بیـت، قایم مقام (۳۶۹-۳۴۳) ۴۹ بیت؛ خط: نستعلیق خوش، کا: محـمد کاظم، تا: ۱۲۶۰ق؛ مجدول؛ کاغذ: فرنگی ،جلد: تیماج آلبالوئی، ۳۶۹ ص، ۱۸ سطر (8/5</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 سم [ف: ۸ - ۴۰]</w:t>
      </w:r>
    </w:p>
    <w:p>
      <w:pPr>
        <w:pStyle w:val="BookText"/>
      </w:pPr>
      <w:r>
        <w:rPr>
          <w:rFonts w:ascii="IRNazanin" w:hAnsi="IRNazanin" w:eastAsia="IRNazanin" w:cs="IRNazanin"/>
          <w:lang w:bidi="fa-IR"/>
          <w:color w:val="111111"/>
          <w:sz w:val="28"/>
          <w:szCs w:val="28"/>
          <w:rtl/>
        </w:rPr>
        <w:t xml:space="preserve">۱۲۱۳. تهران؛ ملی؛ شماره نسخه: ۱۹۶۲۳</w:t>
      </w:r>
    </w:p>
    <w:p>
      <w:pPr>
        <w:pStyle w:val="BookText"/>
      </w:pPr>
      <w:r>
        <w:rPr>
          <w:rFonts w:ascii="IRNazanin" w:hAnsi="IRNazanin" w:eastAsia="IRNazanin" w:cs="IRNazanin"/>
          <w:lang w:bidi="fa-IR"/>
          <w:color w:val="111111"/>
          <w:sz w:val="28"/>
          <w:szCs w:val="28"/>
          <w:rtl/>
        </w:rPr>
        <w:t xml:space="preserve">کا: مهدی، تا: ۱۲۶۱ق؛ خریداری از محمد حسین علوی [ رایانه]</w:t>
      </w:r>
    </w:p>
    <w:p>
      <w:pPr>
        <w:pStyle w:val="BookText"/>
      </w:pPr>
      <w:r>
        <w:rPr>
          <w:rFonts w:ascii="IRNazanin" w:hAnsi="IRNazanin" w:eastAsia="IRNazanin" w:cs="IRNazanin"/>
          <w:lang w:bidi="fa-IR"/>
          <w:color w:val="111111"/>
          <w:sz w:val="28"/>
          <w:szCs w:val="28"/>
          <w:rtl/>
        </w:rPr>
        <w:t xml:space="preserve">۱۲۱۴. تهران؛ ملی؛ شماره نسخه: ۱۶۲۲/۴</w:t>
      </w:r>
    </w:p>
    <w:p>
      <w:pPr>
        <w:pStyle w:val="BookText"/>
      </w:pPr>
      <w:r>
        <w:rPr>
          <w:rFonts w:ascii="IRNazanin" w:hAnsi="IRNazanin" w:eastAsia="IRNazanin" w:cs="IRNazanin"/>
          <w:lang w:bidi="fa-IR"/>
          <w:color w:val="111111"/>
          <w:sz w:val="28"/>
          <w:szCs w:val="28"/>
          <w:rtl/>
        </w:rPr>
        <w:t xml:space="preserve">جنگ شعر است. این جنگ بدین شرح تدوین یافته اسـت: اشعاری از محمد باقر متخلص به فاضل فرزند فتح اله تبریـزی درنعت علی (علیه السّلام) و مسائل دیگر (ص ۱۱۱-۱۱۸)، قصیده ای به قـافیه همزه به این مطلع: «من يبلغن حمامات ببطحاء *** ممتعات بسلسـال و خضراء»، منسوب به صاحب بن عباد با شرح آن (۱۲۰-۱۵۸)، قصیده ای اهداء شده به حضرت امیر (علیه السّلام) به فارسی، قصیده ای به عربی باز اهداء شده به وی در روز تاسوعا به عربی و دو قصیده اهداء شده به امام حسین (علیه السّلام) به عربی و قصیده ای به فارسی در مدح حضرت امام رضا (۱۵۹-۱۶۵)، دو قصیده از هفت قصیده عزالدين عبدالحميد بن ابی الحدیدی که نخستین آنها در فتح خیبر در هفتاد بیت و دومین در فتح مکه در پنجاه و دو بیت به قافیه الف مقصوره (۱۶۶-۱۸۸)؛ بی کا، تا: ۱۲۶۱ق ،کاغذ: فرنگی ،جلد: تیماج ،۷۷ ص (۱۱۱-۱۸۸)، ۲۲ سطر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ف: ۱۰- ۱۷۷]</w:t>
      </w:r>
    </w:p>
    <w:p>
      <w:pPr>
        <w:pStyle w:val="BookText"/>
      </w:pPr>
      <w:r>
        <w:rPr>
          <w:rFonts w:ascii="IRNazanin" w:hAnsi="IRNazanin" w:eastAsia="IRNazanin" w:cs="IRNazanin"/>
          <w:lang w:bidi="fa-IR"/>
          <w:color w:val="111111"/>
          <w:sz w:val="28"/>
          <w:szCs w:val="28"/>
          <w:rtl/>
        </w:rPr>
        <w:t xml:space="preserve">۱۲۱۵ . مشهد؛ رضوی؛ شماره نسخه: ۱۴۲۵۹</w:t>
      </w:r>
    </w:p>
    <w:p>
      <w:pPr>
        <w:pStyle w:val="BookText"/>
      </w:pPr>
      <w:r>
        <w:rPr>
          <w:rFonts w:ascii="IRNazanin" w:hAnsi="IRNazanin" w:eastAsia="IRNazanin" w:cs="IRNazanin"/>
          <w:lang w:bidi="fa-IR"/>
          <w:color w:val="111111"/>
          <w:sz w:val="28"/>
          <w:szCs w:val="28"/>
          <w:rtl/>
        </w:rPr>
        <w:t xml:space="preserve">آغاز: ای فدای تو هم دل و هم جان*** وی نثار توست همین و همان؛ انجام: کس نیست که سوزد دلش از بهر دلم *** سوزد دل من مگر برای دل مشتمل است بر ترجیع بندهای هاتف و نور علی شاه با مطلع زیر: «بزم ما بزم عاشقان باشد *** نقل ما نقل عارفان باشد/ ای آنکه طلب کنی خدا را*** آئینه حق شناس ما را» شاه نعمت الله با مطلع زیر: «ای ز مهرت دل خراب آباد *** و زعمت جان مستمندان شاد»، جامی با مطالع: «ای روی تو ماه عالم آرا *** چون ماه زپرده روی بنمای، ای بروی تو چشم جان روشن *** وز فروغ رخت جهان روشن، صبحدم باده شبانه زدیم *** ساغر عيش جاودانه زدیم»، و قدسی، و همچنین مثنویات و قطعات و غزلیات و رباعیاتی از نور علی شاه، حاجی لطفعلی بیگ آذر (مثنوی گل و بلبل)، سید حسین تجلی ،جامی ،سعدی ،شرر، باباطاهر، رفیق ،ذبیحی ،فروغی ،سرباز، مشتاق، قاضی شریف (بیمار وطبيب)، بیدل (قطعه ای در خصوص طلبیدن شواهد قریش جناب خير النساء زهرا عليها السلام را به عروسی را به عروسی ...)، میر ابوالفتح متخلص به اشراق (در تسلی دل) ،کامی، هلالی، خرم، سروری، فايض، كليم، و غیره؛ خط: نستعلیق شکسته، کا: فتح الله، تا: ۱۲۶۱ق، کاتب و جامع فتح الله مجدول، دوستونه؛ واقف: سيد محمد باقر مولوی عربشاهی سبزواری،محرم ۱۴۰۵؛ کاغذ:شکری، جلد: تیماج ضربی قهوه ای، ۱۳۰گ، ۸ 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۱۷/۵سم [ف: ۱۷ - ۸۶]</w:t>
      </w:r>
    </w:p>
    <w:p>
      <w:pPr>
        <w:pStyle w:val="BookText"/>
      </w:pPr>
      <w:r>
        <w:rPr>
          <w:rFonts w:ascii="IRNazanin" w:hAnsi="IRNazanin" w:eastAsia="IRNazanin" w:cs="IRNazanin"/>
          <w:lang w:bidi="fa-IR"/>
          <w:color w:val="111111"/>
          <w:sz w:val="28"/>
          <w:szCs w:val="28"/>
          <w:rtl/>
        </w:rPr>
        <w:t xml:space="preserve">۱۲۱۶ . مشهد؛ رضوی؛ شماره نسخه: ۱۵۲۳۶</w:t>
      </w:r>
    </w:p>
    <w:p>
      <w:pPr>
        <w:pStyle w:val="BookText"/>
      </w:pPr>
      <w:r>
        <w:rPr>
          <w:rFonts w:ascii="IRNazanin" w:hAnsi="IRNazanin" w:eastAsia="IRNazanin" w:cs="IRNazanin"/>
          <w:lang w:bidi="fa-IR"/>
          <w:color w:val="111111"/>
          <w:sz w:val="28"/>
          <w:szCs w:val="28"/>
          <w:rtl/>
        </w:rPr>
        <w:t xml:space="preserve">آغاز:گر کسی سرو شنید است برفتست این است (کذا)؛ انجام: گفتا بده اندکی بیاید کز وی در عیش میگشاید.</w:t>
      </w:r>
    </w:p>
    <w:p>
      <w:pPr>
        <w:pStyle w:val="BookText"/>
      </w:pPr>
      <w:r>
        <w:rPr>
          <w:rFonts w:ascii="IRNazanin" w:hAnsi="IRNazanin" w:eastAsia="IRNazanin" w:cs="IRNazanin"/>
          <w:lang w:bidi="fa-IR"/>
          <w:color w:val="111111"/>
          <w:sz w:val="28"/>
          <w:szCs w:val="28"/>
          <w:rtl/>
        </w:rPr>
        <w:t xml:space="preserve">گزیده ای است از غزلیات سعدی ،حافظ، نور علی شاه، جامی و اشعار متفرقه؛ خط: شکسته نستعلیق بدخط، بی کا، تا: 62- 1261ق؛ کاغذ: حنایی و نخودی، جلد: تیماج قهوه ای، ۶۹گ،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۱۵/۷سم [ف : ۱۷ - ۴۶]</w:t>
      </w:r>
    </w:p>
    <w:p>
      <w:pPr>
        <w:pStyle w:val="BookText"/>
      </w:pPr>
      <w:r>
        <w:rPr>
          <w:rFonts w:ascii="IRNazanin" w:hAnsi="IRNazanin" w:eastAsia="IRNazanin" w:cs="IRNazanin"/>
          <w:lang w:bidi="fa-IR"/>
          <w:color w:val="111111"/>
          <w:sz w:val="28"/>
          <w:szCs w:val="28"/>
          <w:rtl/>
        </w:rPr>
        <w:t xml:space="preserve">۱۲۱۷. تهران؛ ملک؛ شماره نسخه: ۴۸۹۹/۱</w:t>
      </w:r>
    </w:p>
    <w:p>
      <w:pPr>
        <w:pStyle w:val="BookText"/>
      </w:pPr>
      <w:r>
        <w:rPr>
          <w:rFonts w:ascii="IRNazanin" w:hAnsi="IRNazanin" w:eastAsia="IRNazanin" w:cs="IRNazanin"/>
          <w:lang w:bidi="fa-IR"/>
          <w:color w:val="111111"/>
          <w:sz w:val="28"/>
          <w:szCs w:val="28"/>
          <w:rtl/>
        </w:rPr>
        <w:t xml:space="preserve">ترجیع بند و قصیده و ترکیب بند و مثنوی از: هاتف، محتشم، شاه نعمت الله ولی ،وحشی ،ضیا ،عرفی، جامی، صباحی، میرزا ابراهیم
</w:t>
      </w:r>
    </w:p>
    <w:p>
      <w:pPr>
        <w:sectPr>
          <w:footerReference w:type="default" r:id="rId8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صفا، گوهری، میرزا محمد سعید حکیم ،شوکت ،صباحی، کلیم، خاقانی، عصمت، عبدالواسع جبلی، شافی، قاآنی، فروغی، قائم مقام، فريدون. طوفان؛ خط: شکسته نستعلیق، بی کا، تا: ۱۲۶۲ق، جا: یزد ؛کاغذ: ترمه اصفهانی ،جلد: میشن آلبالویی، ۱۲ سـطر، اندازه: 11/9</w:t>
      </w:r>
      <w:r>
        <w:rPr>
          <w:rFonts w:ascii="Times New Roman" w:hAnsi="Times New Roman" w:eastAsia="Times New Roman" w:cs="Times New Roman"/>
          <w:lang w:val="en-US" w:bidi="en-US"/>
          <w:color w:val="111111"/>
          <w:sz w:val="28"/>
          <w:szCs w:val="28"/>
          <w:rtl/>
        </w:rPr>
        <w:t xml:space="preserve">×19/2</w:t>
      </w:r>
      <w:r>
        <w:rPr>
          <w:rFonts w:ascii="IRNazanin" w:hAnsi="IRNazanin" w:eastAsia="IRNazanin" w:cs="IRNazanin"/>
          <w:lang w:bidi="fa-IR"/>
          <w:color w:val="111111"/>
          <w:sz w:val="28"/>
          <w:szCs w:val="28"/>
          <w:rtl/>
        </w:rPr>
        <w:t xml:space="preserve">سم [ف: ۸ - ۱۱۴]</w:t>
      </w:r>
    </w:p>
    <w:p>
      <w:pPr>
        <w:pStyle w:val="BookText"/>
      </w:pPr>
      <w:r>
        <w:rPr>
          <w:rFonts w:ascii="IRNazanin" w:hAnsi="IRNazanin" w:eastAsia="IRNazanin" w:cs="IRNazanin"/>
          <w:lang w:bidi="fa-IR"/>
          <w:color w:val="111111"/>
          <w:sz w:val="28"/>
          <w:szCs w:val="28"/>
          <w:rtl/>
        </w:rPr>
        <w:t xml:space="preserve">۱۲۱۸. تهران؛ ملک؛ شماره نسخه: ۴۸۹۹/۳</w:t>
      </w:r>
    </w:p>
    <w:p>
      <w:pPr>
        <w:pStyle w:val="BookText"/>
      </w:pPr>
      <w:r>
        <w:rPr>
          <w:rFonts w:ascii="IRNazanin" w:hAnsi="IRNazanin" w:eastAsia="IRNazanin" w:cs="IRNazanin"/>
          <w:lang w:bidi="fa-IR"/>
          <w:color w:val="111111"/>
          <w:sz w:val="28"/>
          <w:szCs w:val="28"/>
          <w:rtl/>
        </w:rPr>
        <w:t xml:space="preserve">آغاز: بسمله. حمد و سپاسی که رخسار عروس صفحه را به نیکوترین صورتی؛ انجام: تمت بعون الله في عاشر شهر شعبان فی محروسة دار العبادة يزد و بعد ... پاک کرده اند) ... فی ۱۲۶۲ من الهجرة النبوية.</w:t>
      </w:r>
    </w:p>
    <w:p>
      <w:pPr>
        <w:pStyle w:val="BookText"/>
      </w:pPr>
      <w:r>
        <w:rPr>
          <w:rFonts w:ascii="IRNazanin" w:hAnsi="IRNazanin" w:eastAsia="IRNazanin" w:cs="IRNazanin"/>
          <w:lang w:bidi="fa-IR"/>
          <w:color w:val="111111"/>
          <w:sz w:val="28"/>
          <w:szCs w:val="28"/>
          <w:rtl/>
        </w:rPr>
        <w:t xml:space="preserve">غزلیات از: صبا ،سعدی، علی نقی کمره ای، حافظ، هاتف، حسین یزدجردی ،جامی، عامل اصفهانی ،مهری، جلالی ،مجنون، صحبت لاری، وامق اصفهانی، رشحه ،عزلتی، آقا محـمد کرمانی متخلص به شمس، عبدالرحیم قضایی یزدی، میرزا محـمد صادق آرام، درویش محمد ،شایق، میرزا محمد علی ساقی فدائی کرمانی، امیر خسرو دهلوی، طراز یزدی، احمد سحاب، رياحی، میرزا عبدالوهاب نشاط ،نیازی ،محجوب، اهلی شیراز، میر عمـاد، عاشق اصفهانی، شاه عباس ،یغما، حسینعلی بیگ شرر، یغـما ،دولت، فوقی یزدی ،مؤمن، ابوالفرج یزدی، سروش، سلطان ابوسعید ،مجمر ،راهب، وصال شیرازی، صهبائی قمی، حیران رشتی، خواجه علی استرآبادی؛ خط: شکسته نستعلیق، بی کا، تا: ۱۲۶۲ق، جا: یزد ،کاغذ:ترمه اصفهانی ،جلد: میشن آلبالویی، ۱۲ سـطر ،اندازه: ۱۱/۹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۱۹/۲سم [ف: ۸ - ۱۱۵]</w:t>
      </w:r>
    </w:p>
    <w:p>
      <w:pPr>
        <w:pStyle w:val="BookText"/>
      </w:pPr>
      <w:r>
        <w:rPr>
          <w:rFonts w:ascii="IRNazanin" w:hAnsi="IRNazanin" w:eastAsia="IRNazanin" w:cs="IRNazanin"/>
          <w:lang w:bidi="fa-IR"/>
          <w:color w:val="111111"/>
          <w:sz w:val="28"/>
          <w:szCs w:val="28"/>
          <w:rtl/>
        </w:rPr>
        <w:t xml:space="preserve">۱۲۱۹ . شیراز؛ علامه طباطبائی؛ شماره نسخه: ۱۶۰۱</w:t>
      </w:r>
    </w:p>
    <w:p>
      <w:pPr>
        <w:pStyle w:val="BookText"/>
      </w:pPr>
      <w:r>
        <w:rPr>
          <w:rFonts w:ascii="IRNazanin" w:hAnsi="IRNazanin" w:eastAsia="IRNazanin" w:cs="IRNazanin"/>
          <w:lang w:bidi="fa-IR"/>
          <w:color w:val="111111"/>
          <w:sz w:val="28"/>
          <w:szCs w:val="28"/>
          <w:rtl/>
        </w:rPr>
        <w:t xml:space="preserve">جنگی از اشعار میرزا بیدل ،جامی، حافظ، مخمس ميرزا صادق نواهی ،صائب، فضولی و جلالی؛ خط: نستعلیق دو ستونی، بی کا، تا: جمادی الثانی ۱۲۶۲ق؛ مجدول؛ ۱۰۶گ، اندازه: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 سم[نسخه پژوهی: ۲ - ۱۴۱]</w:t>
      </w:r>
    </w:p>
    <w:p>
      <w:pPr>
        <w:pStyle w:val="BookText"/>
      </w:pPr>
      <w:r>
        <w:rPr>
          <w:rFonts w:ascii="IRNazanin" w:hAnsi="IRNazanin" w:eastAsia="IRNazanin" w:cs="IRNazanin"/>
          <w:lang w:bidi="fa-IR"/>
          <w:color w:val="111111"/>
          <w:sz w:val="28"/>
          <w:szCs w:val="28"/>
          <w:rtl/>
        </w:rPr>
        <w:t xml:space="preserve">۱۲۲۰. تهران؛ ملک؛ شماره نسخه: ۴۸۹۹/۲</w:t>
      </w:r>
    </w:p>
    <w:p>
      <w:pPr>
        <w:pStyle w:val="BookText"/>
      </w:pPr>
      <w:r>
        <w:rPr>
          <w:rFonts w:ascii="IRNazanin" w:hAnsi="IRNazanin" w:eastAsia="IRNazanin" w:cs="IRNazanin"/>
          <w:lang w:bidi="fa-IR"/>
          <w:color w:val="111111"/>
          <w:sz w:val="28"/>
          <w:szCs w:val="28"/>
          <w:rtl/>
        </w:rPr>
        <w:t xml:space="preserve">مخمسات :از: طوفان ،رضوان، عبید زاکانی ،مخزون، صـهبا، سعدی ،سحاب ،فیض، فتحعلیشاه ،جامی، حسینی یزدی، مشتـاق، مقیمی ،خلقی ،نظیری ،عاشق ،رفیق ،جامی، محمد حسینی، شیدا، لطفعلی آذر ،ندیمی، قصاب؛ خط: شکسته نستعلیق، بی کا،تا: ۱۲۶۲ق، جا: یزد ؛کاغذ: ترمه اصفهانی، جلد: میشن آلبالویی ،12سطر ،اندازه: 11/9</w:t>
      </w:r>
      <w:r>
        <w:rPr>
          <w:rFonts w:ascii="Times New Roman" w:hAnsi="Times New Roman" w:eastAsia="Times New Roman" w:cs="Times New Roman"/>
          <w:lang w:val="en-US" w:bidi="en-US"/>
          <w:color w:val="111111"/>
          <w:sz w:val="28"/>
          <w:szCs w:val="28"/>
          <w:rtl/>
        </w:rPr>
        <w:t xml:space="preserve">×19/2 </w:t>
      </w:r>
      <w:r>
        <w:rPr>
          <w:rFonts w:ascii="IRNazanin" w:hAnsi="IRNazanin" w:eastAsia="IRNazanin" w:cs="IRNazanin"/>
          <w:lang w:bidi="fa-IR"/>
          <w:color w:val="111111"/>
          <w:sz w:val="28"/>
          <w:szCs w:val="28"/>
          <w:rtl/>
        </w:rPr>
        <w:t xml:space="preserve">سم [ف: ۸ - ۱۱۵]</w:t>
      </w:r>
    </w:p>
    <w:p>
      <w:pPr>
        <w:pStyle w:val="BookText"/>
      </w:pPr>
      <w:r>
        <w:rPr>
          <w:rFonts w:ascii="IRNazanin" w:hAnsi="IRNazanin" w:eastAsia="IRNazanin" w:cs="IRNazanin"/>
          <w:lang w:bidi="fa-IR"/>
          <w:color w:val="111111"/>
          <w:sz w:val="28"/>
          <w:szCs w:val="28"/>
          <w:rtl/>
        </w:rPr>
        <w:t xml:space="preserve">۱۲۲۱. همدان؛ مدرسه غرب؛ شماره نسخه: ۴۸۰۶/۳</w:t>
      </w:r>
    </w:p>
    <w:p>
      <w:pPr>
        <w:pStyle w:val="BookText"/>
      </w:pPr>
      <w:r>
        <w:rPr>
          <w:rFonts w:ascii="IRNazanin" w:hAnsi="IRNazanin" w:eastAsia="IRNazanin" w:cs="IRNazanin"/>
          <w:lang w:bidi="fa-IR"/>
          <w:color w:val="111111"/>
          <w:sz w:val="28"/>
          <w:szCs w:val="28"/>
          <w:rtl/>
        </w:rPr>
        <w:t xml:space="preserve">آغاز:کنم نعت معبود حی قدیم *** که باشد رئوف و رحـیم و كريم / بدوران ندارد کسی آن گمان *** که گوید ترا نعت ذو الجلال... حمد بيحد کریمی را سزا است که جهان و جهانیان از پرتو صنع او اثری است؛ انجام: که بی خور و خواب از فضـل خالق رئوف وهاب مستانه نظما و نثرا بتالیف این مختصر کتـاب پرداخت... عذرخواهی نموده و بچشم عنایت نظر نموده عفو فرمایند و بنقص این حقیره حمال نموده و بچشم عنایت نظر نموده</w:t>
      </w:r>
    </w:p>
    <w:p>
      <w:pPr>
        <w:pStyle w:val="BookText"/>
      </w:pPr>
      <w:r>
        <w:rPr>
          <w:rFonts w:ascii="IRNazanin" w:hAnsi="IRNazanin" w:eastAsia="IRNazanin" w:cs="IRNazanin"/>
          <w:lang w:bidi="fa-IR"/>
          <w:color w:val="111111"/>
          <w:sz w:val="28"/>
          <w:szCs w:val="28"/>
          <w:rtl/>
        </w:rPr>
        <w:t xml:space="preserve">عفو فرمایند و بنقص این حقیره حمل نموده در اصلاح آن کوشند (بسیاری از قصائد و غزلیات آشفته و جابجا صحافی شده است)</w:t>
      </w:r>
    </w:p>
    <w:p>
      <w:pPr>
        <w:pStyle w:val="BookText"/>
      </w:pPr>
      <w:r>
        <w:rPr>
          <w:rFonts w:ascii="IRNazanin" w:hAnsi="IRNazanin" w:eastAsia="IRNazanin" w:cs="IRNazanin"/>
          <w:lang w:bidi="fa-IR"/>
          <w:color w:val="111111"/>
          <w:sz w:val="28"/>
          <w:szCs w:val="28"/>
          <w:rtl/>
        </w:rPr>
        <w:t xml:space="preserve">رساله منظوم و منثور در مدائح و مراثی و غزلیات وقصیده. از خانمی ناشناخته؛ خط: شکسته نستعلیق، بی کا، تا: ۱۲۶۳ق؛ قطع: بیاض رقعی[ رشت و همدان: ف: - ۱۵۶۴]</w:t>
      </w:r>
    </w:p>
    <w:p>
      <w:pPr>
        <w:pStyle w:val="BookText"/>
      </w:pPr>
      <w:r>
        <w:rPr>
          <w:rFonts w:ascii="IRNazanin" w:hAnsi="IRNazanin" w:eastAsia="IRNazanin" w:cs="IRNazanin"/>
          <w:lang w:bidi="fa-IR"/>
          <w:color w:val="111111"/>
          <w:sz w:val="28"/>
          <w:szCs w:val="28"/>
          <w:rtl/>
        </w:rPr>
        <w:t xml:space="preserve">۱۲۲۲. مشهد؛ گوهر شاد؛ شماره نسخه: ۶۷۷/۴</w:t>
      </w:r>
    </w:p>
    <w:p>
      <w:pPr>
        <w:pStyle w:val="BookText"/>
      </w:pPr>
      <w:r>
        <w:rPr>
          <w:rFonts w:ascii="IRNazanin" w:hAnsi="IRNazanin" w:eastAsia="IRNazanin" w:cs="IRNazanin"/>
          <w:lang w:bidi="fa-IR"/>
          <w:color w:val="111111"/>
          <w:sz w:val="28"/>
          <w:szCs w:val="28"/>
          <w:rtl/>
        </w:rPr>
        <w:t xml:space="preserve">انجام: حیرت دگر ز نوحه بگیتی خموش باش *** با قدسیان بیزم فلک در خروش باش...</w:t>
      </w:r>
    </w:p>
    <w:p>
      <w:pPr>
        <w:pStyle w:val="BookText"/>
      </w:pPr>
      <w:r>
        <w:rPr>
          <w:rFonts w:ascii="IRNazanin" w:hAnsi="IRNazanin" w:eastAsia="IRNazanin" w:cs="IRNazanin"/>
          <w:lang w:bidi="fa-IR"/>
          <w:color w:val="111111"/>
          <w:sz w:val="28"/>
          <w:szCs w:val="28"/>
          <w:rtl/>
        </w:rPr>
        <w:t xml:space="preserve">چند قطعه که آخرین آنها دوازده بندی است از حیرت با مطلع: «ای آسمان چه شد که چنین قد خمیده ای *** بر گو بدوش بارچه محنت کشیده ای»، در میان این اشعار،چهار صفحه شامل قصه مسجد ضرار و ابوعامر و در آخر هم هفت برگ در احوال انسان و شهادت طفلان مسلم و شفاعت روز قیامت و جبر و تفویض که گویا از روضه خوانی بوده است؛ خط: نسخ، كا: احمد بن حاج شيخ محمد حسن واعظ، تا: ۱۲۶۳ق؛ مهر: حاج سيد سعيد؛ کاغذ: آهار مهره، جلد: تیماج مشکی لایه ای، ۲۲ سطر(۵/۹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[ف: ۲ - 787]</w:t>
      </w:r>
    </w:p>
    <w:p>
      <w:pPr>
        <w:pStyle w:val="BookText"/>
      </w:pPr>
      <w:r>
        <w:rPr>
          <w:rFonts w:ascii="IRNazanin" w:hAnsi="IRNazanin" w:eastAsia="IRNazanin" w:cs="IRNazanin"/>
          <w:lang w:bidi="fa-IR"/>
          <w:color w:val="111111"/>
          <w:sz w:val="28"/>
          <w:szCs w:val="28"/>
          <w:rtl/>
        </w:rPr>
        <w:t xml:space="preserve">۱۲۲۳ . مشهد؛ گوهر شاد؛ شماره نسخه: ۶۷۷/۳</w:t>
      </w:r>
    </w:p>
    <w:p>
      <w:pPr>
        <w:pStyle w:val="BookText"/>
      </w:pPr>
      <w:r>
        <w:rPr>
          <w:rFonts w:ascii="IRNazanin" w:hAnsi="IRNazanin" w:eastAsia="IRNazanin" w:cs="IRNazanin"/>
          <w:lang w:bidi="fa-IR"/>
          <w:color w:val="111111"/>
          <w:sz w:val="28"/>
          <w:szCs w:val="28"/>
          <w:rtl/>
        </w:rPr>
        <w:t xml:space="preserve">آغاز: بجنگ کرد شه دین چه سخت بازو را *** شکست پشت عدو چون ز شیر آهو را</w:t>
      </w:r>
    </w:p>
    <w:p>
      <w:pPr>
        <w:pStyle w:val="BookText"/>
      </w:pPr>
      <w:r>
        <w:rPr>
          <w:rFonts w:ascii="IRNazanin" w:hAnsi="IRNazanin" w:eastAsia="IRNazanin" w:cs="IRNazanin"/>
          <w:lang w:bidi="fa-IR"/>
          <w:color w:val="111111"/>
          <w:sz w:val="28"/>
          <w:szCs w:val="28"/>
          <w:rtl/>
        </w:rPr>
        <w:t xml:space="preserve">ده بند است به وزن دوازده بند محتشم کاشانی که کاتب آن را گذاشته؛ خط: نسخ، کا: احمد بن حاج شيخ محمد حسن واعظ، تا: ۱۲۶۳ق؛ مهر: حاج سيد سعيد؛ کاغذ: آهار مهره، جلد: تیماج مشکی لایه ای، ۲۲ سطر (۵/۹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سطر [ف: ۲ - ۷۸۷]</w:t>
      </w:r>
    </w:p>
    <w:p>
      <w:pPr>
        <w:pStyle w:val="BookText"/>
      </w:pPr>
      <w:r>
        <w:rPr>
          <w:rFonts w:ascii="IRNazanin" w:hAnsi="IRNazanin" w:eastAsia="IRNazanin" w:cs="IRNazanin"/>
          <w:lang w:bidi="fa-IR"/>
          <w:color w:val="111111"/>
          <w:sz w:val="28"/>
          <w:szCs w:val="28"/>
          <w:rtl/>
        </w:rPr>
        <w:t xml:space="preserve">۱۲۲۴. تهران؛ دانشگاه؛ شماره نسخه: ۹۸۸۲/۱</w:t>
      </w:r>
    </w:p>
    <w:p>
      <w:pPr>
        <w:pStyle w:val="BookText"/>
      </w:pPr>
      <w:r>
        <w:rPr>
          <w:rFonts w:ascii="IRNazanin" w:hAnsi="IRNazanin" w:eastAsia="IRNazanin" w:cs="IRNazanin"/>
          <w:lang w:bidi="fa-IR"/>
          <w:color w:val="111111"/>
          <w:sz w:val="28"/>
          <w:szCs w:val="28"/>
          <w:rtl/>
        </w:rPr>
        <w:t xml:space="preserve">خط: نستعليق، كا: لطف علی پسر خواجه صدر، تا: شنبه ۲۱ محرم ۱۲۶۳ق، به خواهش حسین قمی؛ در ۶۸ - ۷۴ر چند رباعی است و ملمعات شاید از سنجر نوشته همان لطف علی در روز شنبه 21محرم 1263؛کاغذ: فرنگی،جلد: تیماج سیاه مقوایی، ۶۷گ (۱ر-۶۷ پ)، ۱۲ سطر (۶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۱۰/۵)، قطع: بغلی، اندازه: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۱۴/۵سم  [ ف: 17- 500]</w:t>
      </w:r>
    </w:p>
    <w:p>
      <w:pPr>
        <w:pStyle w:val="BookText"/>
      </w:pPr>
      <w:r>
        <w:rPr>
          <w:rFonts w:ascii="IRNazanin" w:hAnsi="IRNazanin" w:eastAsia="IRNazanin" w:cs="IRNazanin"/>
          <w:lang w:bidi="fa-IR"/>
          <w:color w:val="111111"/>
          <w:sz w:val="28"/>
          <w:szCs w:val="28"/>
          <w:rtl/>
        </w:rPr>
        <w:t xml:space="preserve">۱۲۲۵ . مشهد؛ ادبیات؛ شماره نسخه: ۷۵/۱۰ فرخ</w:t>
      </w:r>
    </w:p>
    <w:p>
      <w:pPr>
        <w:pStyle w:val="BookText"/>
      </w:pPr>
      <w:r>
        <w:rPr>
          <w:rFonts w:ascii="IRNazanin" w:hAnsi="IRNazanin" w:eastAsia="IRNazanin" w:cs="IRNazanin"/>
          <w:lang w:bidi="fa-IR"/>
          <w:color w:val="111111"/>
          <w:sz w:val="28"/>
          <w:szCs w:val="28"/>
          <w:rtl/>
        </w:rPr>
        <w:t xml:space="preserve">اشعاری به وزن نان و حلوا و شش غزل از پرتو؛ خط: نستعلیق، بی کا، تا: ۱۴ محرم ۱۲۶۴ق؛ کاغذ: فرنگی آهار مهره، جلد: تیماج سبز، ۱۷ سطر (13</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،قطع: پستی ،اندازه: ۲۰/۵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۱۹۹]</w:t>
      </w:r>
    </w:p>
    <w:p>
      <w:pPr>
        <w:pStyle w:val="BookText"/>
      </w:pPr>
      <w:r>
        <w:rPr>
          <w:rFonts w:ascii="IRNazanin" w:hAnsi="IRNazanin" w:eastAsia="IRNazanin" w:cs="IRNazanin"/>
          <w:lang w:bidi="fa-IR"/>
          <w:color w:val="111111"/>
          <w:sz w:val="28"/>
          <w:szCs w:val="28"/>
          <w:rtl/>
        </w:rPr>
        <w:t xml:space="preserve">۱۲۲۶. تهران؛ مهدوی؛ شماره نسخه: ۳۳۱/۵</w:t>
      </w:r>
    </w:p>
    <w:p>
      <w:pPr>
        <w:pStyle w:val="BookText"/>
      </w:pPr>
      <w:r>
        <w:rPr>
          <w:rFonts w:ascii="IRNazanin" w:hAnsi="IRNazanin" w:eastAsia="IRNazanin" w:cs="IRNazanin"/>
          <w:lang w:bidi="fa-IR"/>
          <w:color w:val="111111"/>
          <w:sz w:val="28"/>
          <w:szCs w:val="28"/>
          <w:rtl/>
        </w:rPr>
        <w:t xml:space="preserve">قصیده ربیعی؛ کا: محمد علی بن آخوند ملا احمد، تا: چهارشنبه ۲۹ رمضان ۱۲۶۴ق، جا: قم؛ [نشریه: ۲ - ۱۱۲]</w:t>
      </w:r>
    </w:p>
    <w:p>
      <w:pPr>
        <w:pStyle w:val="BookText"/>
      </w:pPr>
      <w:r>
        <w:rPr>
          <w:rFonts w:ascii="IRNazanin" w:hAnsi="IRNazanin" w:eastAsia="IRNazanin" w:cs="IRNazanin"/>
          <w:lang w:bidi="fa-IR"/>
          <w:color w:val="111111"/>
          <w:sz w:val="28"/>
          <w:szCs w:val="28"/>
          <w:rtl/>
        </w:rPr>
        <w:t xml:space="preserve">۱۲۲۷ . یزد؛ کاظمینی؛ شماره نسخه: ۴۵۰/۳</w:t>
      </w:r>
    </w:p>
    <w:p>
      <w:pPr>
        <w:pStyle w:val="BookText"/>
      </w:pPr>
      <w:r>
        <w:rPr>
          <w:rFonts w:ascii="IRNazanin" w:hAnsi="IRNazanin" w:eastAsia="IRNazanin" w:cs="IRNazanin"/>
          <w:lang w:bidi="fa-IR"/>
          <w:color w:val="111111"/>
          <w:sz w:val="28"/>
          <w:szCs w:val="28"/>
          <w:rtl/>
        </w:rPr>
        <w:t xml:space="preserve">مشتمل بر اشعار: قصیده ای در مدح امیرالمؤمنین (علیه السّلام) (۳۸ پ -۴۷پ)، با سرآغاز: «ای شاه جسم و جان علی مستان سلامت می کنند*** ای ظاهر و پنهان علی مستان سلامت می کنند»، جنگ
</w:t>
      </w:r>
    </w:p>
    <w:p>
      <w:pPr>
        <w:sectPr>
          <w:footerReference w:type="default" r:id="rId8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نامه امیرالمؤمنین (علیه السّلام) از فارغ (۴۷پ -۵۳ر) با سر آغاز: «صد هزاران هزار شکر خدا *** که شدم در ازل به صدق و صـفا»، دوازده بند محتشم کاشانی (۵۳پ - ۵۷پ)، هفت بند ملاحـسن کاشی (۵۷پ-۶۲ پ) حکایت نامه تسکین که به سال ۱۳۸۱ آمده (۶۲پ -۶۶پ) سر آغاز: «هدایت نامی از اهل خراس *** رفیقم گشت روزی از دل و جان» قربان نامه اسماعیل (۶۶پ- ۷۲ر) با سر آغاز: «بنام پادشاه فرد اعظم *** کریم و خالق و دانای عالم»، حکایت سلطان جمجمه و معجزه حضرت عیسی(علیه السّلام) (۷۲ پ- ۷۶ر) با سر آغاز: «ناگهان روزی به تقدیر خدا ***  کار ساز و صانع و عرض و سرا» اشعاری در وقایع کربلا و مراثی اهل بیت (علیهم السّلام) ظاهراً از عمان سامانی (۷۶پ-۸۹پ) با سرآغاز: «چون شد جهان به عزم جهان آفرین پدید*** بر حجتش نخست بلائی آفرید»، ضامن آهو از حسن (۹۰ر-۱۹۲ر) معراج نامه پیامبر (صلّی اللَّهِ علیه وَ آلِهِ وَ سَلَّمَ ) (۹۲ ر - ۱۰۶ر) با سر آغاز: «بیا بشنو ای مؤمن با ادب *** ز معراج آن افتخار عرب، اشعاری در مصائب امام حسین (علیه السّلام) با تخلص محـرم (۱۰۶ر-۱۲۱(پ)، سروده شده به سال ۱۱۸۸؛ خط: نستعلیق، بی کا،تا: ربیع الاول ۱۲۶۴ق؛ افتادگی: آغاز؛جلد: مقوایی، عطف وگوشه ها پارچه ای، ۱۷گ (۱۳۸ پ - ۱۲۱پ)، سطور چلیپا و راسـته، 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۲ - ۱۳۶]</w:t>
      </w:r>
    </w:p>
    <w:p>
      <w:pPr>
        <w:pStyle w:val="BookText"/>
      </w:pPr>
      <w:r>
        <w:rPr>
          <w:rFonts w:ascii="IRNazanin" w:hAnsi="IRNazanin" w:eastAsia="IRNazanin" w:cs="IRNazanin"/>
          <w:lang w:bidi="fa-IR"/>
          <w:color w:val="111111"/>
          <w:sz w:val="28"/>
          <w:szCs w:val="28"/>
          <w:rtl/>
        </w:rPr>
        <w:t xml:space="preserve">۱۲۲۸. مشهد؛ رضوی؛ شماره نسخه: ۴۹۷۹</w:t>
      </w:r>
    </w:p>
    <w:p>
      <w:pPr>
        <w:pStyle w:val="BookText"/>
      </w:pPr>
      <w:r>
        <w:rPr>
          <w:rFonts w:ascii="IRNazanin" w:hAnsi="IRNazanin" w:eastAsia="IRNazanin" w:cs="IRNazanin"/>
          <w:lang w:bidi="fa-IR"/>
          <w:color w:val="111111"/>
          <w:sz w:val="28"/>
          <w:szCs w:val="28"/>
          <w:rtl/>
        </w:rPr>
        <w:t xml:space="preserve">آغاز: مناسب طبل جنگ زدن، زدند آنچنان چوب بر طبل جنـگ***که رم کرد در بحر عمان نهنگ؛ انجام: حجت الله عقـلت هوش دار *** تانیاری هیچ عذر روزگار</w:t>
      </w:r>
    </w:p>
    <w:p>
      <w:pPr>
        <w:pStyle w:val="BookText"/>
      </w:pPr>
      <w:r>
        <w:rPr>
          <w:rFonts w:ascii="IRNazanin" w:hAnsi="IRNazanin" w:eastAsia="IRNazanin" w:cs="IRNazanin"/>
          <w:lang w:bidi="fa-IR"/>
          <w:color w:val="111111"/>
          <w:sz w:val="28"/>
          <w:szCs w:val="28"/>
          <w:rtl/>
        </w:rPr>
        <w:t xml:space="preserve">مجموعه ای است از انواع شعر در موضوعات مختلف، و در آن از جامع و صاحبان اشعار ذکری نرفته است؛ خط: شکسته نستعلیق، بی کا، تا: ۴ ربيع الاول ۱۲۶۴ق؛ واقف: نایینی؛ کاغذ: فرنگی آهار مهره ،جلد: تیماج مشکی، ۱۱۷گ، ۱۷ سـطر (۶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 ۷ - ۸۵۰]</w:t>
      </w:r>
    </w:p>
    <w:p>
      <w:pPr>
        <w:pStyle w:val="BookText"/>
      </w:pPr>
      <w:r>
        <w:rPr>
          <w:rFonts w:ascii="IRNazanin" w:hAnsi="IRNazanin" w:eastAsia="IRNazanin" w:cs="IRNazanin"/>
          <w:lang w:bidi="fa-IR"/>
          <w:color w:val="111111"/>
          <w:sz w:val="28"/>
          <w:szCs w:val="28"/>
          <w:rtl/>
        </w:rPr>
        <w:t xml:space="preserve">۱۲۲۹. شیراز؛ علامه طباطبائی؛ شماره نسخه: ۱۶۱۴/۳</w:t>
      </w:r>
    </w:p>
    <w:p>
      <w:pPr>
        <w:pStyle w:val="BookText"/>
      </w:pPr>
      <w:r>
        <w:rPr>
          <w:rFonts w:ascii="IRNazanin" w:hAnsi="IRNazanin" w:eastAsia="IRNazanin" w:cs="IRNazanin"/>
          <w:lang w:bidi="fa-IR"/>
          <w:color w:val="111111"/>
          <w:sz w:val="28"/>
          <w:szCs w:val="28"/>
          <w:rtl/>
        </w:rPr>
        <w:t xml:space="preserve">آغاز: مکن در جسم و جان منزل *** که این دونست و آن والا/ قدم زین هر دو بیرون نه *** نه اینجا باش و نه آنجا؛</w:t>
      </w:r>
    </w:p>
    <w:p>
      <w:pPr>
        <w:pStyle w:val="BookText"/>
      </w:pPr>
      <w:r>
        <w:rPr>
          <w:rFonts w:ascii="IRNazanin" w:hAnsi="IRNazanin" w:eastAsia="IRNazanin" w:cs="IRNazanin"/>
          <w:lang w:bidi="fa-IR"/>
          <w:color w:val="111111"/>
          <w:sz w:val="28"/>
          <w:szCs w:val="28"/>
          <w:rtl/>
        </w:rPr>
        <w:t xml:space="preserve">اشعاری از حکیم سنایی و گلشن راز؛ خط: نستعلیق، کا: محـمد كاظم بن حاج میرزا احمد نوری، تا: ربیع الثانی ۱۲۶۵ق، دارالخلافه طهران؛ ۴۱گ (۱۴-۵۵)، 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[نسـخه پژوهی: ۳ - ۱۵۳]</w:t>
      </w:r>
    </w:p>
    <w:p>
      <w:pPr>
        <w:pStyle w:val="BookText"/>
      </w:pPr>
      <w:r>
        <w:rPr>
          <w:rFonts w:ascii="IRNazanin" w:hAnsi="IRNazanin" w:eastAsia="IRNazanin" w:cs="IRNazanin"/>
          <w:lang w:bidi="fa-IR"/>
          <w:color w:val="111111"/>
          <w:sz w:val="28"/>
          <w:szCs w:val="28"/>
          <w:rtl/>
        </w:rPr>
        <w:t xml:space="preserve">۱۲۳۰. تهران؛ ملک؛ شماره نسخه: ۵۴۷۷</w:t>
      </w:r>
    </w:p>
    <w:p>
      <w:pPr>
        <w:pStyle w:val="BookText"/>
      </w:pPr>
      <w:r>
        <w:rPr>
          <w:rFonts w:ascii="IRNazanin" w:hAnsi="IRNazanin" w:eastAsia="IRNazanin" w:cs="IRNazanin"/>
          <w:lang w:bidi="fa-IR"/>
          <w:color w:val="111111"/>
          <w:sz w:val="28"/>
          <w:szCs w:val="28"/>
          <w:rtl/>
        </w:rPr>
        <w:t xml:space="preserve">جنگی شامل اشعاری از: ابو تمام ،ابو العلاء معری، سید رضـی، ابو محمد خازن، بحتری ،ابوفراس، على بن جهم، ابوسعيد به ترتیب تهجی از الف تا یاء، قصیده ستایش پیامبر از ملا کاظم ازری ،خط: نسخ، بی کا، تا: ۲۲ رجب ۱۲۶۵ق؛ مجدول؛ کاغذ: فرنگی ،جلد: میشن سبز، ۱۱۲گ، ۲۳ سطر، اندازه: ۱۴/۲</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۲۲/۳سم [ف: ۸ - ۴۰۰]</w:t>
      </w:r>
    </w:p>
    <w:p>
      <w:pPr>
        <w:pStyle w:val="BookText"/>
      </w:pPr>
      <w:r>
        <w:rPr>
          <w:rFonts w:ascii="IRNazanin" w:hAnsi="IRNazanin" w:eastAsia="IRNazanin" w:cs="IRNazanin"/>
          <w:lang w:bidi="fa-IR"/>
          <w:color w:val="111111"/>
          <w:sz w:val="28"/>
          <w:szCs w:val="28"/>
          <w:rtl/>
        </w:rPr>
        <w:t xml:space="preserve">۱۲۳۱. تهران؛ مجلس؛ شماره نسخه: ۹۲۳۸/۴</w:t>
      </w:r>
    </w:p>
    <w:p>
      <w:pPr>
        <w:pStyle w:val="BookText"/>
      </w:pPr>
      <w:r>
        <w:rPr>
          <w:rFonts w:ascii="IRNazanin" w:hAnsi="IRNazanin" w:eastAsia="IRNazanin" w:cs="IRNazanin"/>
          <w:lang w:bidi="fa-IR"/>
          <w:color w:val="111111"/>
          <w:sz w:val="28"/>
          <w:szCs w:val="28"/>
          <w:rtl/>
        </w:rPr>
        <w:t xml:space="preserve">ترجیع بند است. بیت ترجیع بند: «بلغ العلى بكماله كشف الدجى بجماله»؛ خط: تحریری، بی کا، تا: ربیع الثانی ۱۲۶۶ق؛ جلد: تیماج سرخ، ۶گ (۴۶ ر - ۵۲ر) ، ۱۳ سطر، 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۳۰-۲۹]</w:t>
      </w:r>
    </w:p>
    <w:p>
      <w:pPr>
        <w:pStyle w:val="BookText"/>
      </w:pPr>
      <w:r>
        <w:rPr>
          <w:rFonts w:ascii="IRNazanin" w:hAnsi="IRNazanin" w:eastAsia="IRNazanin" w:cs="IRNazanin"/>
          <w:lang w:bidi="fa-IR"/>
          <w:color w:val="111111"/>
          <w:sz w:val="28"/>
          <w:szCs w:val="28"/>
          <w:rtl/>
        </w:rPr>
        <w:t xml:space="preserve">۱۲۳۲. همدان؛ مدرسه غرب؛ شماره نسخه: ۱۷۶۴/۳</w:t>
      </w:r>
    </w:p>
    <w:p>
      <w:pPr>
        <w:pStyle w:val="BookText"/>
      </w:pPr>
      <w:r>
        <w:rPr>
          <w:rFonts w:ascii="IRNazanin" w:hAnsi="IRNazanin" w:eastAsia="IRNazanin" w:cs="IRNazanin"/>
          <w:lang w:bidi="fa-IR"/>
          <w:color w:val="111111"/>
          <w:sz w:val="28"/>
          <w:szCs w:val="28"/>
          <w:rtl/>
        </w:rPr>
        <w:t xml:space="preserve">آغاز: کس را بحقیقتش گذر نیست </w:t>
      </w:r>
      <w:r>
        <w:rPr>
          <w:rFonts w:ascii="IRNazanin" w:hAnsi="IRNazanin" w:eastAsia="IRNazanin" w:cs="IRNazanin"/>
          <w:lang w:bidi="fa-IR"/>
          <w:color w:val="111111"/>
          <w:sz w:val="28"/>
          <w:szCs w:val="28"/>
          <w:b w:val="1"/>
          <w:bCs w:val="1"/>
          <w:i w:val="1"/>
          <w:iCs w:val="1"/>
          <w:rtl/>
        </w:rPr>
        <w:t xml:space="preserve">وز رفتی و آمدن خبر نیست / ما هیچ کسان هیچ کاریم *** وز هیچ کمیم اگر شماریم / چون هیچ نه ایم پس بدین هیچ *** این واقعه چیست پیچ در پیچ ... موسی ز می فراق مخمور *** مستانه دوید بر سر طور / گفت ای ز تو بوده هر چه بوده *** ما را بتو هم ره نموده ... صاحبنظری مگر سفر کرد *** بر خلوت راهبی گذر کرد / دید از دو جهان بریده مردی</w:t>
      </w:r>
      <w:r>
        <w:rPr>
          <w:rFonts w:ascii="IRNazanin" w:hAnsi="IRNazanin" w:eastAsia="IRNazanin" w:cs="IRNazanin"/>
          <w:lang w:bidi="fa-IR"/>
          <w:color w:val="111111"/>
          <w:sz w:val="28"/>
          <w:szCs w:val="28"/>
          <w:rtl/>
        </w:rPr>
        <w:t xml:space="preserve"> بر چهره او نشان وردی ؛انجام: ای سایه نشین هر درختی*** بر خور ز نهال خویش لختی / ای خسته درون تو نها لیست*** کز میوه او ترا کمالیست / تخمی که ز خوشه توریزد *** از قوت این هوا نخیزد / این دسته گل که مینمایی *** از باغ طبیعت ... ... هوایی</w:t>
      </w:r>
    </w:p>
    <w:p>
      <w:pPr>
        <w:pStyle w:val="BookText"/>
      </w:pPr>
      <w:r>
        <w:rPr>
          <w:rFonts w:ascii="IRNazanin" w:hAnsi="IRNazanin" w:eastAsia="IRNazanin" w:cs="IRNazanin"/>
          <w:lang w:bidi="fa-IR"/>
          <w:color w:val="111111"/>
          <w:sz w:val="28"/>
          <w:szCs w:val="28"/>
          <w:rtl/>
        </w:rPr>
        <w:t xml:space="preserve">مثنوی اخلاقی و عرفانی است؛ خط: نستعليق، كا: فتح الله بن ملا عبد الكريم، تا: ۱۲۶۶ق، برای سید عبدالغفور؛ قطع: ربعی[ رشت و همدان: ف: - ۱۴۹۳]</w:t>
      </w:r>
    </w:p>
    <w:p>
      <w:pPr>
        <w:pStyle w:val="BookText"/>
      </w:pPr>
      <w:r>
        <w:rPr>
          <w:rFonts w:ascii="Times New Roman" w:hAnsi="Times New Roman" w:eastAsia="Times New Roman" w:cs="Times New Roman"/>
          <w:lang w:val="en-US" w:bidi="en-US"/>
          <w:color w:val="111111"/>
          <w:sz w:val="28"/>
          <w:szCs w:val="28"/>
          <w:rtl/>
        </w:rPr>
        <w:t xml:space="preserve">1233.</w:t>
      </w:r>
    </w:p>
    <w:p>
      <w:pPr>
        <w:pStyle w:val="BookText"/>
      </w:pPr>
      <w:r>
        <w:rPr>
          <w:rFonts w:ascii="IRNazanin" w:hAnsi="IRNazanin" w:eastAsia="IRNazanin" w:cs="IRNazanin"/>
          <w:lang w:bidi="fa-IR"/>
          <w:color w:val="111111"/>
          <w:sz w:val="28"/>
          <w:szCs w:val="28"/>
          <w:rtl/>
        </w:rPr>
        <w:t xml:space="preserve">تهران؛ نوربخش؛ شماره نسخه: ۹۰/۳</w:t>
      </w:r>
    </w:p>
    <w:p>
      <w:pPr>
        <w:pStyle w:val="BookText"/>
      </w:pPr>
      <w:r>
        <w:rPr>
          <w:rFonts w:ascii="IRNazanin" w:hAnsi="IRNazanin" w:eastAsia="IRNazanin" w:cs="IRNazanin"/>
          <w:lang w:bidi="fa-IR"/>
          <w:color w:val="111111"/>
          <w:sz w:val="28"/>
          <w:szCs w:val="28"/>
          <w:rtl/>
        </w:rPr>
        <w:t xml:space="preserve">آغاز: ای امان حق حسام الدین دل*** ای معرا ذات تو زین آب و گل / چونکه تو از خویش خالی گشته ای *** آب گل پست و تو عالی گشته ای؛ انجام: دل به دلدار بند و دلبر شو *** سر به پایش گذار و سرور شو</w:t>
      </w:r>
    </w:p>
    <w:p>
      <w:pPr>
        <w:pStyle w:val="BookText"/>
      </w:pPr>
      <w:r>
        <w:rPr>
          <w:rFonts w:ascii="IRNazanin" w:hAnsi="IRNazanin" w:eastAsia="IRNazanin" w:cs="IRNazanin"/>
          <w:lang w:bidi="fa-IR"/>
          <w:color w:val="111111"/>
          <w:sz w:val="28"/>
          <w:szCs w:val="28"/>
          <w:rtl/>
        </w:rPr>
        <w:t xml:space="preserve">مثنوی است در میان و در پایان آن نام و تخلص «نصرت شه» و «نصرت شاه» آمده؛ خط: نستعلیق، کا: محمد نصیر، تا: ۱۲۶۷ق؛ کاغذ: ایرانی، جلد: تیماج مشکی،۶۳ ص (۲۶۳-۳۲۶)، ۱۲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 - ۱۱۵]</w:t>
      </w:r>
    </w:p>
    <w:p>
      <w:pPr>
        <w:pStyle w:val="BookText"/>
      </w:pPr>
      <w:r>
        <w:rPr>
          <w:rFonts w:ascii="IRNazanin" w:hAnsi="IRNazanin" w:eastAsia="IRNazanin" w:cs="IRNazanin"/>
          <w:lang w:bidi="fa-IR"/>
          <w:color w:val="111111"/>
          <w:sz w:val="28"/>
          <w:szCs w:val="28"/>
          <w:rtl/>
        </w:rPr>
        <w:t xml:space="preserve">۱۲۳۴. شیراز؛ بنیاد فارس شناسی؛ شماره نسخه: ۶۵/۷</w:t>
      </w:r>
    </w:p>
    <w:p>
      <w:pPr>
        <w:pStyle w:val="BookText"/>
      </w:pPr>
      <w:r>
        <w:rPr>
          <w:rFonts w:ascii="IRNazanin" w:hAnsi="IRNazanin" w:eastAsia="IRNazanin" w:cs="IRNazanin"/>
          <w:lang w:bidi="fa-IR"/>
          <w:color w:val="111111"/>
          <w:sz w:val="28"/>
          <w:szCs w:val="28"/>
          <w:rtl/>
        </w:rPr>
        <w:t xml:space="preserve">انجام: انجامه: حسب الخواهش دوست عزيز الوجود آقا محمد ابراهیم سمت اختتام پذیرفت على يد الحقير الفقير كثير التقصير تراب اقدام الفقراء السالكين و المساكين ابن محمد محمد كاظم المتخلص بناظم غفر الله لهما سنه ۱۲۶۷. مهر بيضى «الكاظمين الغيظ»</w:t>
      </w:r>
    </w:p>
    <w:p>
      <w:pPr>
        <w:pStyle w:val="BookText"/>
      </w:pPr>
      <w:r>
        <w:rPr>
          <w:rFonts w:ascii="IRNazanin" w:hAnsi="IRNazanin" w:eastAsia="IRNazanin" w:cs="IRNazanin"/>
          <w:lang w:bidi="fa-IR"/>
          <w:color w:val="111111"/>
          <w:sz w:val="28"/>
          <w:szCs w:val="28"/>
          <w:rtl/>
        </w:rPr>
        <w:t xml:space="preserve">جنگ اشعار شامل: غزل معزی، قطعه از ادهم، غزل شیخ عطار، شیخ هائی، ساقی نامه میر رضی، قصیده و غزل از میر رضی، ترجیع بند هاتف، شیخ نوربخش سید میر حسینی؛ خط: نستعلیق زیبا، کا: محمد كاظم بن محمد متخلص به ناظم، تا: ۱۲۶۷ق؛ مجدول؛ ۱۸گ (۱۲۳-۱۴۱)،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۸۸]</w:t>
      </w:r>
    </w:p>
    <w:p>
      <w:pPr>
        <w:pStyle w:val="BookText"/>
      </w:pPr>
      <w:r>
        <w:rPr>
          <w:rFonts w:ascii="IRNazanin" w:hAnsi="IRNazanin" w:eastAsia="IRNazanin" w:cs="IRNazanin"/>
          <w:lang w:bidi="fa-IR"/>
          <w:color w:val="111111"/>
          <w:sz w:val="28"/>
          <w:szCs w:val="28"/>
          <w:rtl/>
        </w:rPr>
        <w:t xml:space="preserve">۱۲۳۵. تهران؛ مفتاح؛ شماره نسخه: ۱۲۶۱/۴</w:t>
      </w:r>
    </w:p>
    <w:p>
      <w:pPr>
        <w:pStyle w:val="BookText"/>
      </w:pPr>
      <w:r>
        <w:rPr>
          <w:rFonts w:ascii="IRNazanin" w:hAnsi="IRNazanin" w:eastAsia="IRNazanin" w:cs="IRNazanin"/>
          <w:lang w:bidi="fa-IR"/>
          <w:color w:val="111111"/>
          <w:sz w:val="28"/>
          <w:szCs w:val="28"/>
          <w:rtl/>
        </w:rPr>
        <w:t xml:space="preserve">شعر مولوی و مغربی است ؛خط: نستعلیق، کا: علی بن احمد بن حسین موسوی همدانی، تا: چهارشنبه ۶ شعبان ۱۲۶۸ق، جا: خانه خود؛ در دو ماه و پنج روز از بهار که نزدیک به یک سال و نیم از فرمان روایی شاهزاده سیف الله میرزا گذشته [نشریه: ۷ - ۲۷۴]
</w:t>
      </w:r>
    </w:p>
    <w:p>
      <w:pPr>
        <w:sectPr>
          <w:footerReference w:type="default" r:id="rId8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۱۲۳۶. مشهد؛ ادبیات؛ شماره نسخه: ۱۸۵/۴فرخ</w:t>
      </w:r>
    </w:p>
    <w:p>
      <w:pPr>
        <w:pStyle w:val="BookText"/>
      </w:pPr>
      <w:r>
        <w:rPr>
          <w:rFonts w:ascii="IRNazanin" w:hAnsi="IRNazanin" w:eastAsia="IRNazanin" w:cs="IRNazanin"/>
          <w:lang w:bidi="fa-IR"/>
          <w:color w:val="111111"/>
          <w:sz w:val="28"/>
          <w:szCs w:val="28"/>
          <w:rtl/>
        </w:rPr>
        <w:t xml:space="preserve">مثنوی در معجزات حضرت علی (علیه السّلام) ؛ خط: نستعلیق، بی کا،تا:ربیع الاول ۱۲۶۸ق؛ مجدول ؛ کاغذ: نخودی رنگ ،جلد: تیماج قهوه ای، ۲۱ ص (۱۲۰-۱۴۱)، ۱۵-۲۰ سطر (۱۳/۵)، قطع: جيبی،اندازه: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۱۹/۵سم [ف: ۱۸۵]</w:t>
      </w:r>
    </w:p>
    <w:p>
      <w:pPr>
        <w:pStyle w:val="BookText"/>
      </w:pPr>
      <w:r>
        <w:rPr>
          <w:rFonts w:ascii="IRNazanin" w:hAnsi="IRNazanin" w:eastAsia="IRNazanin" w:cs="IRNazanin"/>
          <w:lang w:bidi="fa-IR"/>
          <w:color w:val="111111"/>
          <w:sz w:val="28"/>
          <w:szCs w:val="28"/>
          <w:rtl/>
        </w:rPr>
        <w:t xml:space="preserve">۱۲۳۷. مشهد؛ ادبیات؛ شماره نسخه: ۱۸۵/۵ فرخ</w:t>
      </w:r>
    </w:p>
    <w:p>
      <w:pPr>
        <w:pStyle w:val="BookText"/>
      </w:pPr>
      <w:r>
        <w:rPr>
          <w:rFonts w:ascii="IRNazanin" w:hAnsi="IRNazanin" w:eastAsia="IRNazanin" w:cs="IRNazanin"/>
          <w:lang w:bidi="fa-IR"/>
          <w:color w:val="111111"/>
          <w:sz w:val="28"/>
          <w:szCs w:val="28"/>
          <w:rtl/>
        </w:rPr>
        <w:t xml:space="preserve">مثنوی در معجزات حضرت علی (علیه السّلام) ؛ خط: نستعلیق، بی کا،تا: ربیع الاول ۱۲۶۸ق؛ مجدول؛ کاغذ: نخودی رنگ؛ کاغذ: نخودی رنگ، جلد: تیماج قهوه ای، ۳۸ص (۱۴۱-۱۷۹)، ۱۵-۲۰ سـطر (۱۳/۵) ،قطع: جیبی،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۱۹/۵سم [ف: ۱۸۵]</w:t>
      </w:r>
    </w:p>
    <w:p>
      <w:pPr>
        <w:pStyle w:val="BookText"/>
      </w:pPr>
      <w:r>
        <w:rPr>
          <w:rFonts w:ascii="IRNazanin" w:hAnsi="IRNazanin" w:eastAsia="IRNazanin" w:cs="IRNazanin"/>
          <w:lang w:bidi="fa-IR"/>
          <w:color w:val="111111"/>
          <w:sz w:val="28"/>
          <w:szCs w:val="28"/>
          <w:rtl/>
        </w:rPr>
        <w:t xml:space="preserve">۱۲۳۸. تهران؛ مجلس؛ شماره نسخه: ۱۰۸۵/۵</w:t>
      </w:r>
    </w:p>
    <w:p>
      <w:pPr>
        <w:pStyle w:val="BookText"/>
      </w:pPr>
      <w:r>
        <w:rPr>
          <w:rFonts w:ascii="IRNazanin" w:hAnsi="IRNazanin" w:eastAsia="IRNazanin" w:cs="IRNazanin"/>
          <w:lang w:bidi="fa-IR"/>
          <w:color w:val="111111"/>
          <w:sz w:val="28"/>
          <w:szCs w:val="28"/>
          <w:rtl/>
        </w:rPr>
        <w:t xml:space="preserve">قطعه ای از یغماست؛ بی کا، تا: ۱۲۶۸ق؛ اص (۳۰۱) [ ف : ۳ - 330]</w:t>
      </w:r>
    </w:p>
    <w:p>
      <w:pPr>
        <w:pStyle w:val="BookText"/>
      </w:pPr>
      <w:r>
        <w:rPr>
          <w:rFonts w:ascii="IRNazanin" w:hAnsi="IRNazanin" w:eastAsia="IRNazanin" w:cs="IRNazanin"/>
          <w:lang w:bidi="fa-IR"/>
          <w:color w:val="111111"/>
          <w:sz w:val="28"/>
          <w:szCs w:val="28"/>
          <w:rtl/>
        </w:rPr>
        <w:t xml:space="preserve">۱۲۳۹. تهران؛ مجلس؛ شماره نسخه: ۱۶-فیروز</w:t>
      </w:r>
    </w:p>
    <w:p>
      <w:pPr>
        <w:pStyle w:val="BookText"/>
      </w:pPr>
      <w:r>
        <w:rPr>
          <w:rFonts w:ascii="IRNazanin" w:hAnsi="IRNazanin" w:eastAsia="IRNazanin" w:cs="IRNazanin"/>
          <w:lang w:bidi="fa-IR"/>
          <w:color w:val="111111"/>
          <w:sz w:val="28"/>
          <w:szCs w:val="28"/>
          <w:rtl/>
        </w:rPr>
        <w:t xml:space="preserve">در این جنگ اشعاری است (قطعات و غزلیات و رباعیاتی) از: خيام (ص ۱-۱۰۰ و ۱۲۷-۱۶۹)، بابا طاهر، فیض کاشی، امیر مغيث الدين محوی( رباعیات ص ۱۲۶-۱۱۴  و۱۷۵-۱۷۰  )، رضا قلی هدایت (مسمط) میرزا محمد علی مطلق تخلص (مطایبه منظوم) و شیرین و فرهاد وحشی؛ خط: شکسته نستعلیق، بی کا،تا: رمضان ۱۲۶۸ق، (کاتب، تاریخ کتابت را در برگ آخر 1228و در برگ ما قبل آخر ۱۲۶۸ نگاشته)؛ کاغذ: فرنگی شکری، جـلد: تیماج قهوه ای سیر، ۳۰۶ ص، ۱۰ سطر، قطع: رقعی، 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۲۱ - ۱۸۱]</w:t>
      </w:r>
    </w:p>
    <w:p>
      <w:pPr>
        <w:pStyle w:val="BookText"/>
      </w:pPr>
      <w:r>
        <w:rPr>
          <w:rFonts w:ascii="IRNazanin" w:hAnsi="IRNazanin" w:eastAsia="IRNazanin" w:cs="IRNazanin"/>
          <w:lang w:bidi="fa-IR"/>
          <w:color w:val="111111"/>
          <w:sz w:val="28"/>
          <w:szCs w:val="28"/>
          <w:rtl/>
        </w:rPr>
        <w:t xml:space="preserve">۱۲۴۰ . مشهد؛ رضوی؛ شماره نسخه: ۲۷۳۵۴</w:t>
      </w:r>
    </w:p>
    <w:p>
      <w:pPr>
        <w:pStyle w:val="BookText"/>
      </w:pPr>
      <w:r>
        <w:rPr>
          <w:rFonts w:ascii="IRNazanin" w:hAnsi="IRNazanin" w:eastAsia="IRNazanin" w:cs="IRNazanin"/>
          <w:lang w:bidi="fa-IR"/>
          <w:color w:val="111111"/>
          <w:sz w:val="28"/>
          <w:szCs w:val="28"/>
          <w:rtl/>
        </w:rPr>
        <w:t xml:space="preserve">آغاز: و به نستعین محرم نامه ... قطب الدین راوندی درکتـاب قصص الانبياء روايت کرده است؛ انجام: کوچک به رنگ بزرگ بعرض می رساند بخدمت صاحب ... دولت</w:t>
      </w:r>
    </w:p>
    <w:p>
      <w:pPr>
        <w:pStyle w:val="BookText"/>
      </w:pPr>
      <w:r>
        <w:rPr>
          <w:rFonts w:ascii="IRNazanin" w:hAnsi="IRNazanin" w:eastAsia="IRNazanin" w:cs="IRNazanin"/>
          <w:lang w:bidi="fa-IR"/>
          <w:color w:val="111111"/>
          <w:sz w:val="28"/>
          <w:szCs w:val="28"/>
          <w:rtl/>
        </w:rPr>
        <w:t xml:space="preserve">گزیده اشعاری است که ظاهراً برای استفاده شخصی در دفتر یادداشت نوشته شده، بسیاری از اشعار از حافظ و سعدی اند و بقیه بیشتر تک بیت هایی از دیگر شاعران؛ کاتب به نام  همه شاعران اشاره نکرده و اینها شعرایی اند که به نامشان اشاره شـده: قطاری ،فطرت ،فنایی ،مشرقی ،نزاری ،بیانی ،خواجو، عماد فقـیه، وحشی ،ناصری ،همایی، رضی الدین، شاهدی ،صفی، بنایی ،عطار ،نظیری ،آصفی ،حیدر ،قتالی، طلحه، خیام؛ خط: نستعلیق، بی کا،تا: ۱۲۶۸ق؛ افتادگی: آغاز و انجام؛ کاغذ: حنایی، جـلد: میشن [رایانه ]</w:t>
      </w:r>
    </w:p>
    <w:p>
      <w:pPr>
        <w:pStyle w:val="BookText"/>
      </w:pPr>
      <w:r>
        <w:rPr>
          <w:rFonts w:ascii="IRNazanin" w:hAnsi="IRNazanin" w:eastAsia="IRNazanin" w:cs="IRNazanin"/>
          <w:lang w:bidi="fa-IR"/>
          <w:color w:val="111111"/>
          <w:sz w:val="28"/>
          <w:szCs w:val="28"/>
          <w:rtl/>
        </w:rPr>
        <w:t xml:space="preserve">۱۲۴۱. تهران؛ دانشگاه؛ شماره نسخه: ۴۲۴۳/۸</w:t>
      </w:r>
    </w:p>
    <w:p>
      <w:pPr>
        <w:pStyle w:val="BookText"/>
      </w:pPr>
      <w:r>
        <w:rPr>
          <w:rFonts w:ascii="IRNazanin" w:hAnsi="IRNazanin" w:eastAsia="IRNazanin" w:cs="IRNazanin"/>
          <w:lang w:bidi="fa-IR"/>
          <w:color w:val="111111"/>
          <w:sz w:val="28"/>
          <w:szCs w:val="28"/>
          <w:rtl/>
        </w:rPr>
        <w:t xml:space="preserve">از ابن غیاث و در ستایش پیامبر ؛خط: نستعلیق، بی کا، تا: ۱۲۶۹ق؛ کاغذ: فرنگی ،جلد: تیماج تریاکی، ۳گ (۹۷-۱۰۰)، ۱۱ سـطر (6</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 ۱۳ - ۳۲۱۴]</w:t>
      </w:r>
    </w:p>
    <w:p>
      <w:pPr>
        <w:pStyle w:val="BookText"/>
      </w:pPr>
      <w:r>
        <w:rPr>
          <w:rFonts w:ascii="IRNazanin" w:hAnsi="IRNazanin" w:eastAsia="IRNazanin" w:cs="IRNazanin"/>
          <w:lang w:bidi="fa-IR"/>
          <w:color w:val="111111"/>
          <w:sz w:val="28"/>
          <w:szCs w:val="28"/>
          <w:rtl/>
        </w:rPr>
        <w:t xml:space="preserve">۱۲۴۲. تهران؛ دانشگاه؛ شماره نسخه: ۴۲۴۳/۱۷</w:t>
      </w:r>
    </w:p>
    <w:p>
      <w:pPr>
        <w:pStyle w:val="BookText"/>
      </w:pPr>
      <w:r>
        <w:rPr>
          <w:rFonts w:ascii="IRNazanin" w:hAnsi="IRNazanin" w:eastAsia="IRNazanin" w:cs="IRNazanin"/>
          <w:lang w:bidi="fa-IR"/>
          <w:color w:val="111111"/>
          <w:sz w:val="28"/>
          <w:szCs w:val="28"/>
          <w:rtl/>
        </w:rPr>
        <w:t xml:space="preserve">آغاز: هامسران نسب *** محبوبیم هس شاه عالی نسب / اسمش محمد قرشی و عرب *** اداش آینه کنا چه دهب / تمام عمرش شصت و سه سالن *** بابو بابیرش بی طرز و حالن؛ انجام: سابای تشریف ای برگزیدم *** چه روی مردمی جا گزیدم (تمت شد یا الله یا محمد یا پیر)</w:t>
      </w:r>
    </w:p>
    <w:p>
      <w:pPr>
        <w:pStyle w:val="BookText"/>
      </w:pPr>
      <w:r>
        <w:rPr>
          <w:rFonts w:ascii="IRNazanin" w:hAnsi="IRNazanin" w:eastAsia="IRNazanin" w:cs="IRNazanin"/>
          <w:lang w:bidi="fa-IR"/>
          <w:color w:val="111111"/>
          <w:sz w:val="28"/>
          <w:szCs w:val="28"/>
          <w:rtl/>
        </w:rPr>
        <w:t xml:space="preserve">مثنوی است بزبان بومی در سرگذشت پیامبر؛ خط: نستعلیق، بی کا، تا: ۱۲۶۹ق؛ کاغذ: فرنگی ،جلد: تیماج تریاکی، ۱گ (۱۹۳- ۱۹۴)، ۱۱ سطر (6</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 ۱۳ - ۳۲۱۵]</w:t>
      </w:r>
    </w:p>
    <w:p>
      <w:pPr>
        <w:pStyle w:val="BookText"/>
      </w:pPr>
      <w:r>
        <w:rPr>
          <w:rFonts w:ascii="Times New Roman" w:hAnsi="Times New Roman" w:eastAsia="Times New Roman" w:cs="Times New Roman"/>
          <w:lang w:val="en-US" w:bidi="en-US"/>
          <w:color w:val="111111"/>
          <w:sz w:val="28"/>
          <w:szCs w:val="28"/>
          <w:rtl/>
        </w:rPr>
        <w:t xml:space="preserve">1243.</w:t>
      </w:r>
    </w:p>
    <w:p>
      <w:pPr>
        <w:pStyle w:val="BookText"/>
      </w:pPr>
      <w:r>
        <w:rPr>
          <w:rFonts w:ascii="IRNazanin" w:hAnsi="IRNazanin" w:eastAsia="IRNazanin" w:cs="IRNazanin"/>
          <w:lang w:bidi="fa-IR"/>
          <w:color w:val="111111"/>
          <w:sz w:val="28"/>
          <w:szCs w:val="28"/>
          <w:rtl/>
        </w:rPr>
        <w:t xml:space="preserve">تهران؛ دانشگاه؛ شماره نسخه: ۴۲۴۳/۱۶</w:t>
      </w:r>
    </w:p>
    <w:p>
      <w:pPr>
        <w:pStyle w:val="BookText"/>
      </w:pPr>
      <w:r>
        <w:rPr>
          <w:rFonts w:ascii="IRNazanin" w:hAnsi="IRNazanin" w:eastAsia="IRNazanin" w:cs="IRNazanin"/>
          <w:lang w:bidi="fa-IR"/>
          <w:color w:val="111111"/>
          <w:sz w:val="28"/>
          <w:szCs w:val="28"/>
          <w:rtl/>
        </w:rPr>
        <w:t xml:space="preserve">قصیده یائی فارسی مولانا خالد؛ خط: نستعلیق، بی کا، تا: ۱۲۶۹ق؛ کاغذ: فرنگی، جلد: تیماج تریاکی، ۵گ (۱۸۸-۱۹۳)، ۱۱ سطر (6</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۱۳ - ۳۲۱۵]</w:t>
      </w:r>
    </w:p>
    <w:p>
      <w:pPr>
        <w:pStyle w:val="BookText"/>
      </w:pPr>
      <w:r>
        <w:rPr>
          <w:rFonts w:ascii="IRNazanin" w:hAnsi="IRNazanin" w:eastAsia="IRNazanin" w:cs="IRNazanin"/>
          <w:lang w:bidi="fa-IR"/>
          <w:color w:val="111111"/>
          <w:sz w:val="28"/>
          <w:szCs w:val="28"/>
          <w:rtl/>
        </w:rPr>
        <w:t xml:space="preserve">۱۲۴۴. تهران؛ دانشگاه؛ شماره نسخه: ۴۲۴۳/۲۲</w:t>
      </w:r>
    </w:p>
    <w:p>
      <w:pPr>
        <w:pStyle w:val="BookText"/>
      </w:pPr>
      <w:r>
        <w:rPr>
          <w:rFonts w:ascii="IRNazanin" w:hAnsi="IRNazanin" w:eastAsia="IRNazanin" w:cs="IRNazanin"/>
          <w:lang w:bidi="fa-IR"/>
          <w:color w:val="111111"/>
          <w:sz w:val="28"/>
          <w:szCs w:val="28"/>
          <w:rtl/>
        </w:rPr>
        <w:t xml:space="preserve">ترجیع بند است از سید احمد؛ خط: نستعلیق، بی کا، تا: ۱۲۶۹ق؛ کاغذ: فرنگی، جلد: تیماج تریاکی، ۵گ (۲۰۲-۲۰۷)، ۱۱ سطر (6</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۱۳ – ۳۲۱۵]</w:t>
      </w:r>
    </w:p>
    <w:p>
      <w:pPr>
        <w:pStyle w:val="BookText"/>
      </w:pPr>
      <w:r>
        <w:rPr>
          <w:rFonts w:ascii="IRNazanin" w:hAnsi="IRNazanin" w:eastAsia="IRNazanin" w:cs="IRNazanin"/>
          <w:lang w:bidi="fa-IR"/>
          <w:color w:val="111111"/>
          <w:sz w:val="28"/>
          <w:szCs w:val="28"/>
          <w:rtl/>
        </w:rPr>
        <w:t xml:space="preserve">۱۲۴۵. تهران؛ ملی؛ شماره نسخه: ۲۹۶۳</w:t>
      </w:r>
    </w:p>
    <w:p>
      <w:pPr>
        <w:pStyle w:val="BookText"/>
      </w:pPr>
      <w:r>
        <w:rPr>
          <w:rFonts w:ascii="IRNazanin" w:hAnsi="IRNazanin" w:eastAsia="IRNazanin" w:cs="IRNazanin"/>
          <w:lang w:bidi="fa-IR"/>
          <w:color w:val="111111"/>
          <w:sz w:val="28"/>
          <w:szCs w:val="28"/>
          <w:rtl/>
        </w:rPr>
        <w:t xml:space="preserve">بیاضی شامل: دوبیتی های بابا طاهر عریان (۹-۳۱)، ترجیع بند ملاطاهر (۳۱-۴۰) مثنوی میرزا صادق ... شی ( ۴۰-۵۴)، مثنوی میرزا ابوالقاسم تفرشی متخلص به هجری (۵۴-۶۸)، مثنوی نظیری (۸۷-۸۱) مثنوی هجری تفرشی (۸۷-۹۴) مثنوی هدیه الاحباب (این مثنوی درین بیاض بیشتر از چند بیت ندارد) (۹۴-۱۰۰)، غزلیات طرزی (۱۰۹-۱۱۰) یک مثنوی که ابتدای آن افتاده (۱۱۱ -۱۲۲) مثنوی طوفان (۱۲۲-۱۲۷)، مثنوی میرزا محمد ابراهیم متخلص به صفا (۱۲۷-۱۳۵)، یک مثنوی که نام نویسنده آن لا یقرء است (۱۳۶ -۱۴۵) مثنوی محمد ابراهيم متخلص بصفا (۱۴۵ - ۲۰۰) (این شماره گذاری اشتباه است و چون آن از سابق بوده تصحیح نشد چه بین ۱۴۵ تا ۲۰۰ فقط شش ۱۴۵ تا ۲۰۰ فقط شش صفحه در جنگ است و شماره به غلط تا ۲۰۰ خورده)، مخمس تسلیم (۲۰۰ -۲۰۲) دو قطعه شعر مسدس وحشی (۲۰۴-۲۱۰)، مربع وحشى (۲۱۴-۲۱۱)، غزلیات حافظ (۲۱۵-۲۱۹)، کلام مجلسی (۲۲۰ -۲۲۳) ترجیع بند میر مشتاق (۲۲۳-۲۲۸)،ترجیع بند سعدی (۲۲۸- ۲۳۰)، غزلیات محتشم کاشانی (۲۳۱-۲۵۱)، غزلیات جامی (۲۶۸-۲۶۶) غزلیات حافظ غزلیات ،فیض، از ۲۷۲ نام شاعران زیر با قطعه ای از آنها آمده طفیلی ،عاشق، طوفان، حمیدی، نظیر ،جاهل ،سعدی ،حافظ ،فیضی ،مغربی ،عطار، ناصح، نظامی، شاه قاسم انوار، شمس تبریزی، ابن یمین ،عابد؛ خط: نستعلیق، کا: حسین بن میرزا مهدی، تا: ۱۲۶۹ق، جا: طهران؛ افتادگی: آغاز؛ اغلب صفحات خطوط حمایلی و چلیپا؛ کاغذ: فرنگی، جلد: تیماج قهوه ای ،یک لا، ۳۷۲گ، ۱۲ سطر (۵/۵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اندازه: 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۱۷/۵سم [ف: ۶ - ۷۱۴]</w:t>
      </w:r>
    </w:p>
    <w:p>
      <w:pPr>
        <w:pStyle w:val="BookText"/>
      </w:pPr>
      <w:r>
        <w:rPr>
          <w:rFonts w:ascii="Times New Roman" w:hAnsi="Times New Roman" w:eastAsia="Times New Roman" w:cs="Times New Roman"/>
          <w:lang w:val="en-US" w:bidi="en-US"/>
          <w:color w:val="111111"/>
          <w:sz w:val="28"/>
          <w:szCs w:val="28"/>
          <w:rtl/>
        </w:rPr>
        <w:t xml:space="preserve">1246.</w:t>
      </w:r>
    </w:p>
    <w:p>
      <w:pPr>
        <w:pStyle w:val="BookText"/>
      </w:pPr>
      <w:r>
        <w:rPr>
          <w:rFonts w:ascii="IRNazanin" w:hAnsi="IRNazanin" w:eastAsia="IRNazanin" w:cs="IRNazanin"/>
          <w:lang w:bidi="fa-IR"/>
          <w:color w:val="111111"/>
          <w:sz w:val="28"/>
          <w:szCs w:val="28"/>
          <w:rtl/>
        </w:rPr>
        <w:t xml:space="preserve">قم؛ گلپایگانی؛ شماره نسخه: ۳۰۸۲/۱-۱۶/۹۲</w:t>
      </w:r>
    </w:p>
    <w:p>
      <w:pPr>
        <w:pStyle w:val="BookText"/>
      </w:pPr>
      <w:r>
        <w:rPr>
          <w:rFonts w:ascii="IRNazanin" w:hAnsi="IRNazanin" w:eastAsia="IRNazanin" w:cs="IRNazanin"/>
          <w:lang w:bidi="fa-IR"/>
          <w:color w:val="111111"/>
          <w:sz w:val="28"/>
          <w:szCs w:val="28"/>
          <w:rtl/>
        </w:rPr>
        <w:t xml:space="preserve">آغاز: شبا هنگام چون بنهفت رخ این لاله حمرا *** شگفت از چشم انجم صد هزاران نرگس شهلا / نهان شد زیر دامان زمین این سدین مجمر *** هوا پر مشک اذفر شد زمین پر عنبر سارا؛</w:t>
      </w:r>
    </w:p>
    <w:p>
      <w:pPr>
        <w:pStyle w:val="BookText"/>
      </w:pPr>
      <w:r>
        <w:rPr>
          <w:rFonts w:ascii="IRNazanin" w:hAnsi="IRNazanin" w:eastAsia="IRNazanin" w:cs="IRNazanin"/>
          <w:lang w:bidi="fa-IR"/>
          <w:color w:val="111111"/>
          <w:sz w:val="28"/>
          <w:szCs w:val="28"/>
          <w:rtl/>
        </w:rPr>
        <w:t xml:space="preserve">انجام: جان داده ام که گشته میسر وصال دوست *** بی درد را
</w:t>
      </w:r>
    </w:p>
    <w:p>
      <w:pPr>
        <w:sectPr>
          <w:footerReference w:type="default" r:id="rId8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خیال که آسان برآمده/ از هر چمن که گفت فغانی سرود عـشق *** افغان ز بلبلان خوش الحان برآمده</w:t>
      </w:r>
    </w:p>
    <w:p>
      <w:pPr>
        <w:pStyle w:val="BookText"/>
      </w:pPr>
      <w:r>
        <w:rPr>
          <w:rFonts w:ascii="IRNazanin" w:hAnsi="IRNazanin" w:eastAsia="IRNazanin" w:cs="IRNazanin"/>
          <w:lang w:bidi="fa-IR"/>
          <w:color w:val="111111"/>
          <w:sz w:val="28"/>
          <w:szCs w:val="28"/>
          <w:rtl/>
        </w:rPr>
        <w:t xml:space="preserve">اشعاری از: حاجی سلیمان صباحی ،طوفان ،انوری ،هاتف، سلـمان ساوجی، سعدی ،محتشم، کلیم و جامی؛ خط: نستعلیق، کا: لوکک بن مشهدی حسن کلافی باف، تا: چهارشنبه ۷ صفر ۱۲۶۹ق؛ جلد: تیماج قهوه ای ،روکش کاغذ سرخ، ۷۳گ، ۱۴- 16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۳ - ۱۲۴۶]</w:t>
      </w:r>
    </w:p>
    <w:p>
      <w:pPr>
        <w:pStyle w:val="BookText"/>
      </w:pPr>
      <w:r>
        <w:rPr>
          <w:rFonts w:ascii="IRNazanin" w:hAnsi="IRNazanin" w:eastAsia="IRNazanin" w:cs="IRNazanin"/>
          <w:lang w:bidi="fa-IR"/>
          <w:color w:val="111111"/>
          <w:sz w:val="28"/>
          <w:szCs w:val="28"/>
          <w:rtl/>
        </w:rPr>
        <w:t xml:space="preserve">۱۲۴۷. تهران؛ ملک؛ شماره نسخه: ۵۴۰۰</w:t>
      </w:r>
    </w:p>
    <w:p>
      <w:pPr>
        <w:pStyle w:val="BookText"/>
      </w:pPr>
      <w:r>
        <w:rPr>
          <w:rFonts w:ascii="IRNazanin" w:hAnsi="IRNazanin" w:eastAsia="IRNazanin" w:cs="IRNazanin"/>
          <w:lang w:bidi="fa-IR"/>
          <w:color w:val="111111"/>
          <w:sz w:val="28"/>
          <w:szCs w:val="28"/>
          <w:rtl/>
        </w:rPr>
        <w:t xml:space="preserve">اشعار از: سراینده ای با تخلص هاشم، شمس تبریزی (ملای روم)، نظام استرآبادی، حمزه کوچک ،انوری ،عرفی ،طالب، کمال اصفهانی ،همت، شوقی ،صبا ،قاآنی، سلمان ساوجی، حسـام ،طوسی ،ثنایی ،زاهد، بداق خان، میر حاج ،مجیب، خموش، سعدی ،نورعلیشاه، جامی ،باباطاهر، خاقانی ،عاشق ،مجذوب، حشمت، جوهری؛ خط: نستعليق، كا: محمد على ولد محمد تقی شماعی، تا: چهارشنبه ۲۵ رجب ۱۲۶۹ق؛ کاغذ: فستقی ،جلد: میشن قهوه ای، ۲۳۸گ، ۱۸ سطر،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۲۱/۶سم [ف: ۸ -330]</w:t>
      </w:r>
    </w:p>
    <w:p>
      <w:pPr>
        <w:pStyle w:val="BookText"/>
      </w:pPr>
      <w:r>
        <w:rPr>
          <w:rFonts w:ascii="IRNazanin" w:hAnsi="IRNazanin" w:eastAsia="IRNazanin" w:cs="IRNazanin"/>
          <w:lang w:bidi="fa-IR"/>
          <w:color w:val="111111"/>
          <w:sz w:val="28"/>
          <w:szCs w:val="28"/>
          <w:rtl/>
        </w:rPr>
        <w:t xml:space="preserve">۱۲۴۸. تهران؛ مؤسسه مطالعات اسلامی؛ شماره نسخه: ۱۰۸</w:t>
      </w:r>
    </w:p>
    <w:p>
      <w:pPr>
        <w:pStyle w:val="BookText"/>
      </w:pPr>
      <w:r>
        <w:rPr>
          <w:rFonts w:ascii="IRNazanin" w:hAnsi="IRNazanin" w:eastAsia="IRNazanin" w:cs="IRNazanin"/>
          <w:lang w:bidi="fa-IR"/>
          <w:color w:val="111111"/>
          <w:sz w:val="28"/>
          <w:szCs w:val="28"/>
          <w:rtl/>
        </w:rPr>
        <w:t xml:space="preserve">آغاز: ذات او نقش تحسین است در كلك وجود *** او چون  بیرنک است بر وی رنگها را شد قرار؛ انجام: بر من منکر که باده بر دست منست *** بر آنکه دهد باده بدستم بخشا</w:t>
      </w:r>
    </w:p>
    <w:p>
      <w:pPr>
        <w:pStyle w:val="BookText"/>
      </w:pPr>
      <w:r>
        <w:rPr>
          <w:rFonts w:ascii="IRNazanin" w:hAnsi="IRNazanin" w:eastAsia="IRNazanin" w:cs="IRNazanin"/>
          <w:lang w:bidi="fa-IR"/>
          <w:color w:val="111111"/>
          <w:sz w:val="28"/>
          <w:szCs w:val="28"/>
          <w:rtl/>
        </w:rPr>
        <w:t xml:space="preserve">اشعار مدیحه از گویندگان مختلف قصاید و اشعاری است از شاعرانی چون میرزا زین العابدین نجم، میرزا محمد علی متخلـص به مسکین، میرزا شهاب الدین ملقب به تاج الشعرا، میرزا فرج الله منشی متخلص به طرفه و دیگران در مدح سرکار عظمت مدار؛ خط: شکسته نستعلیق، بی کا، تا: ۱۲۶۹ق؛ در یک صفحه در پایان در ۲۱ ذیحجه ۱۲۷۴ در عهد پادشاهی ناصرالدین شاه و وزارت سپهسالار اعظم میرزا محمد خان «محمود» یادداشتی به نام سپهـدار تحریر کرده؛کاغذ: الوان ،جلد: میشن سبز نرم جدا شده، ۵۰گ، ۱۳ سطر (7</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۸۶]</w:t>
      </w:r>
    </w:p>
    <w:p>
      <w:pPr>
        <w:pStyle w:val="BookText"/>
      </w:pPr>
      <w:r>
        <w:rPr>
          <w:rFonts w:ascii="IRNazanin" w:hAnsi="IRNazanin" w:eastAsia="IRNazanin" w:cs="IRNazanin"/>
          <w:lang w:bidi="fa-IR"/>
          <w:color w:val="111111"/>
          <w:sz w:val="28"/>
          <w:szCs w:val="28"/>
          <w:rtl/>
        </w:rPr>
        <w:t xml:space="preserve">۱۲۴۹ . مشهد؛ رضوی؛ شماره نسخه: ۱۱۰۶۴/۶</w:t>
      </w:r>
    </w:p>
    <w:p>
      <w:pPr>
        <w:pStyle w:val="BookText"/>
      </w:pPr>
      <w:r>
        <w:rPr>
          <w:rFonts w:ascii="IRNazanin" w:hAnsi="IRNazanin" w:eastAsia="IRNazanin" w:cs="IRNazanin"/>
          <w:lang w:bidi="fa-IR"/>
          <w:color w:val="111111"/>
          <w:sz w:val="28"/>
          <w:szCs w:val="28"/>
          <w:rtl/>
        </w:rPr>
        <w:t xml:space="preserve">آغاز: ای یگانه چند ازین نفس دویی *** طالب خود شو که این جمله توئی؛ انجام: چون بدانستم که حسرت در ره است*** پـس یقینم شد که خواموشی به است.</w:t>
      </w:r>
    </w:p>
    <w:p>
      <w:pPr>
        <w:pStyle w:val="BookText"/>
      </w:pPr>
      <w:r>
        <w:rPr>
          <w:rFonts w:ascii="IRNazanin" w:hAnsi="IRNazanin" w:eastAsia="IRNazanin" w:cs="IRNazanin"/>
          <w:lang w:bidi="fa-IR"/>
          <w:color w:val="111111"/>
          <w:sz w:val="28"/>
          <w:szCs w:val="28"/>
          <w:rtl/>
        </w:rPr>
        <w:t xml:space="preserve">مثنوی عرفانی است بر وزن مثنوی مولوی (بحر رمل مسدس مقصور یا محذوف) با حکایاتی پند آموز و مضامین بیان نفس ،روح، عقل ،تصوف ،عشق، مقام ،توبه ،ورع، رضا و تسلـیم،  ،توکل، صحبت بیان انس، قبض و بسط، فنا و بقا، جمع و تفرقه، تجرید و تفرید، سهو و سکر»، که با توجه به این خصوصیات احتمالاً مثنوى «کنز الرموز» بوده که از سید رکن الدین حسین بن  عالم بن حسن حسینی غوری هروی معروف به امیر حسینی یا سادات حسینی از بزرگان عرفای سده هفتم و هشتم و از جـمله شاعران و نویسندگان معروف پارسی گوی با تخلص شعـری «حسینی» می باشد؛ خط: نسخ و نستعلیق، كا: محمد حسن، تا:۱۲۷۰ق، عناوین به سرخی؛ کاغذ: نباتی، جلد: تیماج یک لا خرمایی، ۴۴ص (۱۰۲-۱۴۵)، 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۱۷ – ۴۴۹]</w:t>
      </w:r>
    </w:p>
    <w:p>
      <w:pPr>
        <w:pStyle w:val="BookText"/>
      </w:pPr>
      <w:r>
        <w:rPr>
          <w:rFonts w:ascii="IRNazanin" w:hAnsi="IRNazanin" w:eastAsia="IRNazanin" w:cs="IRNazanin"/>
          <w:lang w:bidi="fa-IR"/>
          <w:color w:val="111111"/>
          <w:sz w:val="28"/>
          <w:szCs w:val="28"/>
          <w:rtl/>
        </w:rPr>
        <w:t xml:space="preserve">۱۲۵۰ . مشهد؛ رضوی؛ شماره نسخه: ۱۱۷۶۳</w:t>
      </w:r>
    </w:p>
    <w:p>
      <w:pPr>
        <w:pStyle w:val="BookText"/>
      </w:pPr>
      <w:r>
        <w:rPr>
          <w:rFonts w:ascii="IRNazanin" w:hAnsi="IRNazanin" w:eastAsia="IRNazanin" w:cs="IRNazanin"/>
          <w:lang w:bidi="fa-IR"/>
          <w:color w:val="111111"/>
          <w:sz w:val="28"/>
          <w:szCs w:val="28"/>
          <w:rtl/>
        </w:rPr>
        <w:t xml:space="preserve">آغاز: بکدامین طرفای سیل روانی تو که دیگر *** خانه ای نیست که بنیاد وی از بیخ نکندی؛ انجام: فرداست رهی گشته در آن شارع و اکفاه*** این قصه در افواه خواص است و عوام است گزیده ای است از اشعار شاعران پیشین و متأخر مانند ابوعلی سینا،بابا طاهر عریان ،سعدی، حافظ ،هاتف ،مجمر، مشتاق اصفهانی، ميرزا ابوالحسن یغما، میرزا محمد سعید، پرتو و قاآنی. جامع – که کاتب نسخه نیز هست- آنگاه که شعر قاآنی را نقل می کند جمله دعائيه «طول الله عمره» را می آورد، لذا انتخاب اشعار بیاض مزبور را در زمان حیات قاآنی یعنی نیمه اول قرن سیزدهم صورت پذیرفته است؛ خط: نستعلیق ،شکسته، بی کا، تا: ۱۲۷۰ق؛ افتادگی: آغاز؛ سطور چلیپا، سال کتابت ظاهراً قبل از سال ۱۲۷۰ هجری که سال وفات قاآنی است؛ واقف: باقر کتابچی؛ کاغذ: نباتی آهار مهره ،جلد: تیماج، ۱۴۱گ، اندازه: 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۹ - ۹۵]</w:t>
      </w:r>
    </w:p>
    <w:p>
      <w:pPr>
        <w:pStyle w:val="BookText"/>
      </w:pPr>
      <w:r>
        <w:rPr>
          <w:rFonts w:ascii="IRNazanin" w:hAnsi="IRNazanin" w:eastAsia="IRNazanin" w:cs="IRNazanin"/>
          <w:lang w:bidi="fa-IR"/>
          <w:color w:val="111111"/>
          <w:sz w:val="28"/>
          <w:szCs w:val="28"/>
          <w:rtl/>
        </w:rPr>
        <w:t xml:space="preserve">۱۲۵۱. تهران؛ دانشگاه؛ شماره نسخه: ۲۰۷۲/۱</w:t>
      </w:r>
    </w:p>
    <w:p>
      <w:pPr>
        <w:pStyle w:val="BookText"/>
      </w:pPr>
      <w:r>
        <w:rPr>
          <w:rFonts w:ascii="IRNazanin" w:hAnsi="IRNazanin" w:eastAsia="IRNazanin" w:cs="IRNazanin"/>
          <w:lang w:bidi="fa-IR"/>
          <w:color w:val="111111"/>
          <w:sz w:val="28"/>
          <w:szCs w:val="28"/>
          <w:rtl/>
        </w:rPr>
        <w:t xml:space="preserve">آغاز: ای آنکه فوق عرش قدمگاه پست تست *** بر مسند دنی فتدلی نشست تست؛ انجام: چند برین غمکده باشم مكين *** صحبت ازین حجره بر آویین</w:t>
      </w:r>
    </w:p>
    <w:p>
      <w:pPr>
        <w:pStyle w:val="BookText"/>
      </w:pPr>
      <w:r>
        <w:rPr>
          <w:rFonts w:ascii="IRNazanin" w:hAnsi="IRNazanin" w:eastAsia="IRNazanin" w:cs="IRNazanin"/>
          <w:lang w:bidi="fa-IR"/>
          <w:color w:val="111111"/>
          <w:sz w:val="28"/>
          <w:szCs w:val="28"/>
          <w:rtl/>
        </w:rPr>
        <w:t xml:space="preserve">اشعاری از میرزا رضی ارتیمانی، میرزا محمد على محرم، ملک الشعراء، جوهری، حکیم الممالک کشمیری، صباحی، میرزا معز فطرت و خموش؛ خط: نستعلیق ،چلیپا، بی کا، تا: ۲۹ ربيع الثاني ۱۲۷۰ق؛ کاغذ: سپاهانی ،جلد: تیماج سبز با ترنج سرخ و مقوایی، ۲۰ گ (۱ر-۲۰ ر) ، اندازه: ۱۵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۲۵سم [ف: ۸ - ۶۹۸]</w:t>
      </w:r>
    </w:p>
    <w:p>
      <w:pPr>
        <w:pStyle w:val="BookText"/>
      </w:pPr>
      <w:r>
        <w:rPr>
          <w:rFonts w:ascii="IRNazanin" w:hAnsi="IRNazanin" w:eastAsia="IRNazanin" w:cs="IRNazanin"/>
          <w:lang w:bidi="fa-IR"/>
          <w:color w:val="111111"/>
          <w:sz w:val="28"/>
          <w:szCs w:val="28"/>
          <w:rtl/>
        </w:rPr>
        <w:t xml:space="preserve">۱۲۵۲. همدان؛ همراه رضا؛ شماره نسخه: ۴۶</w:t>
      </w:r>
    </w:p>
    <w:p>
      <w:pPr>
        <w:pStyle w:val="BookText"/>
      </w:pPr>
      <w:r>
        <w:rPr>
          <w:rFonts w:ascii="IRNazanin" w:hAnsi="IRNazanin" w:eastAsia="IRNazanin" w:cs="IRNazanin"/>
          <w:lang w:bidi="fa-IR"/>
          <w:color w:val="111111"/>
          <w:sz w:val="28"/>
          <w:szCs w:val="28"/>
          <w:rtl/>
        </w:rPr>
        <w:t xml:space="preserve">آغاز: بر آشفت از و مرد جنگ آزما *** بحسب اسب اندر آورد پا *** وزان پس به پاسخ بدو کرد رو؛ انجام: الهی چنان کن سر انجام کار *** تو خشنود باشی و ما رستگار</w:t>
      </w:r>
    </w:p>
    <w:p>
      <w:pPr>
        <w:pStyle w:val="BookText"/>
      </w:pPr>
      <w:r>
        <w:rPr>
          <w:rFonts w:ascii="IRNazanin" w:hAnsi="IRNazanin" w:eastAsia="IRNazanin" w:cs="IRNazanin"/>
          <w:lang w:bidi="fa-IR"/>
          <w:color w:val="111111"/>
          <w:sz w:val="28"/>
          <w:szCs w:val="28"/>
          <w:rtl/>
        </w:rPr>
        <w:t xml:space="preserve">خط: نستعلیق، بی کا :تا: سه شنبه ۱ جمادی الاول ۱۲۷۱ق؛ افتادگی: آغاز؛ کاغذ: فرنگی،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۳۰سم [رشت و همدان: ف ۱۷۰۰]</w:t>
      </w:r>
    </w:p>
    <w:p>
      <w:pPr>
        <w:pStyle w:val="BookText"/>
      </w:pPr>
      <w:r>
        <w:rPr>
          <w:rFonts w:ascii="IRNazanin" w:hAnsi="IRNazanin" w:eastAsia="IRNazanin" w:cs="IRNazanin"/>
          <w:lang w:bidi="fa-IR"/>
          <w:color w:val="111111"/>
          <w:sz w:val="28"/>
          <w:szCs w:val="28"/>
          <w:rtl/>
        </w:rPr>
        <w:t xml:space="preserve">۱۲۵۳ . قم؛ مرکز احیاء؛ شماره نسخه: ۲۲۶۳</w:t>
      </w:r>
    </w:p>
    <w:p>
      <w:pPr>
        <w:pStyle w:val="BookText"/>
      </w:pPr>
      <w:r>
        <w:rPr>
          <w:rFonts w:ascii="IRNazanin" w:hAnsi="IRNazanin" w:eastAsia="IRNazanin" w:cs="IRNazanin"/>
          <w:lang w:bidi="fa-IR"/>
          <w:color w:val="111111"/>
          <w:sz w:val="28"/>
          <w:szCs w:val="28"/>
          <w:rtl/>
        </w:rPr>
        <w:t xml:space="preserve">نسخه اصل: کتابخانه گنج بخش - پاکستان ۴۵۹. جنگ اشعار است. از ندیم؟ مشتمل بر اشعاری از شعرای ذیل: ندیم، جامی ،عمر ،نادر، بیدل، ضیای نخشبی ،خیام ،پهلوان ،فایز ،نظیری، میرزا عبد الله مسکین، جلال اسیر ،آصفی ،مشتاق، واقف، بيضا، يغما، ،عرفی ،رفیعی ،تایب، عراقی (که کاتب او را استاد خود خوانده است)، سالم (که او را نیز به استادی خوانده است)، فیضی، انتخابی از دیوان محمد طاهر غنی کشمیری (۴۰۶-۴۲۵)، مشتمل بر غزلیات به ترتیب الف تا یاء و رباعی و قطعه، و در پایان رساله ای مشتمل بر ۱۵ باب هر یک در فصولی چند در موضوعات مختلف که بیشتر در منشئات و نامه نگاری ها به کار
</w:t>
      </w:r>
    </w:p>
    <w:p>
      <w:pPr>
        <w:sectPr>
          <w:footerReference w:type="default" r:id="rId8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آید آمده است که در آن اشعاری از شاعران در هر موضوع گرد آمده است (۳۱۲-۴۰۵)؛ خط: نستعليق، كاتب = مؤلف، تا: 18 شعبان ۱۲۷۱ق؛ مصحح، مجدول، در برخی از صفحات یادداشت هایی به نثر و نظم فارسی و اشعار پراکنده به خط نگارنده ای با تخلص ادا آمده در حاشیه ص ۳۴۷ - ۳۴۹ قصيده ای در تعلیم خط دیده می شود؛ ۴۳۰ ص [عکسی ف: ۶ - ۳۰۷]</w:t>
      </w:r>
    </w:p>
    <w:p>
      <w:pPr>
        <w:pStyle w:val="BookText"/>
      </w:pPr>
      <w:r>
        <w:rPr>
          <w:rFonts w:ascii="IRNazanin" w:hAnsi="IRNazanin" w:eastAsia="IRNazanin" w:cs="IRNazanin"/>
          <w:lang w:bidi="fa-IR"/>
          <w:color w:val="111111"/>
          <w:sz w:val="28"/>
          <w:szCs w:val="28"/>
          <w:rtl/>
        </w:rPr>
        <w:t xml:space="preserve">۱۲۵۴. مشهد؛ رضوی؛ شماره نسخه: ۱۲۶۸۱/۵</w:t>
      </w:r>
    </w:p>
    <w:p>
      <w:pPr>
        <w:pStyle w:val="BookText"/>
      </w:pPr>
      <w:r>
        <w:rPr>
          <w:rFonts w:ascii="IRNazanin" w:hAnsi="IRNazanin" w:eastAsia="IRNazanin" w:cs="IRNazanin"/>
          <w:lang w:bidi="fa-IR"/>
          <w:color w:val="111111"/>
          <w:sz w:val="28"/>
          <w:szCs w:val="28"/>
          <w:rtl/>
        </w:rPr>
        <w:t xml:space="preserve">اشعاری منتخب از مولوی و جامی؛ خط: نسخ و نستعلیق شکسته، كا: محمد بن حاج رجبعلی یزدی اردکانی، تا: ۱۲۷۱ق،جا: اصفهان؛ کاغذ ،نخودی، جلد: تیماج اسقاطی، ۶ ص (۱۲۸-۳۳)، ۱۶-۱۵ سطر چلیپایی، 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۱۷/۲سم [ف : ۱۷ - ۴۵۲]</w:t>
      </w:r>
    </w:p>
    <w:p>
      <w:pPr>
        <w:pStyle w:val="BookText"/>
      </w:pPr>
      <w:r>
        <w:rPr>
          <w:rFonts w:ascii="IRNazanin" w:hAnsi="IRNazanin" w:eastAsia="IRNazanin" w:cs="IRNazanin"/>
          <w:lang w:bidi="fa-IR"/>
          <w:color w:val="111111"/>
          <w:sz w:val="28"/>
          <w:szCs w:val="28"/>
          <w:rtl/>
        </w:rPr>
        <w:t xml:space="preserve">۱۲۵۵. تهران؛ ادبیات؛ شماره نسخه: ۱۲۲ ـ د</w:t>
      </w:r>
    </w:p>
    <w:p>
      <w:pPr>
        <w:pStyle w:val="BookText"/>
      </w:pPr>
      <w:r>
        <w:rPr>
          <w:rFonts w:ascii="IRNazanin" w:hAnsi="IRNazanin" w:eastAsia="IRNazanin" w:cs="IRNazanin"/>
          <w:lang w:bidi="fa-IR"/>
          <w:color w:val="111111"/>
          <w:sz w:val="28"/>
          <w:szCs w:val="28"/>
          <w:rtl/>
        </w:rPr>
        <w:t xml:space="preserve">آغاز: از گردشروزگار و دور گردون *** دیوان من از ردیف گردید برون / آشفته تر از شکنج زلف لیلا *** ژولیده تر از مـقال حال مجنون؛ انجام: عصیان مرا دو حصه کن در عرصات*** نصفش به حسن ببخش و نصفش به حسین</w:t>
      </w:r>
    </w:p>
    <w:p>
      <w:pPr>
        <w:pStyle w:val="BookText"/>
      </w:pPr>
      <w:r>
        <w:rPr>
          <w:rFonts w:ascii="IRNazanin" w:hAnsi="IRNazanin" w:eastAsia="IRNazanin" w:cs="IRNazanin"/>
          <w:lang w:bidi="fa-IR"/>
          <w:color w:val="111111"/>
          <w:sz w:val="28"/>
          <w:szCs w:val="28"/>
          <w:rtl/>
        </w:rPr>
        <w:t xml:space="preserve">شعرهای نایی و منصور و حکیم و لامعی است؛ خط: نستعلیق، بی کا، تا: ۲ ذیحجه ۱۲۷۱ق ،مجدول؛ کاغذ: فرنگی رنگارنگ ،جلد: تيماج عنابی ضربی، ۷۳گ، ۱۲ سطر (۶/۵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۱ - ۱۸۳]</w:t>
      </w:r>
    </w:p>
    <w:p>
      <w:pPr>
        <w:pStyle w:val="BookText"/>
      </w:pPr>
      <w:r>
        <w:rPr>
          <w:rFonts w:ascii="IRNazanin" w:hAnsi="IRNazanin" w:eastAsia="IRNazanin" w:cs="IRNazanin"/>
          <w:lang w:bidi="fa-IR"/>
          <w:color w:val="111111"/>
          <w:sz w:val="28"/>
          <w:szCs w:val="28"/>
          <w:rtl/>
        </w:rPr>
        <w:t xml:space="preserve">۱۲۵۶. تهران؛ مجلس؛ شماره نسخه: ۸۹۱۹/۲۲</w:t>
      </w:r>
    </w:p>
    <w:p>
      <w:pPr>
        <w:pStyle w:val="BookText"/>
      </w:pPr>
      <w:r>
        <w:rPr>
          <w:rFonts w:ascii="IRNazanin" w:hAnsi="IRNazanin" w:eastAsia="IRNazanin" w:cs="IRNazanin"/>
          <w:lang w:bidi="fa-IR"/>
          <w:color w:val="111111"/>
          <w:sz w:val="28"/>
          <w:szCs w:val="28"/>
          <w:rtl/>
        </w:rPr>
        <w:t xml:space="preserve">از امیر المؤمنین، عبدالباقی بغدادی، قلندر شاه، حکیم خویی و شیخ عزیز؛ خط: نستعلیق و شکسته، كا: محمود بن جلال الدین محمد نصیر قلندرشاه خویی، تا: طلوع فجر ربیع الثانی ۱۲۷۲ق، جا:دارالخلافه طهران؛ کاغذ: فرنگی نازک، جلد: میشن قهوه ای ضربی، با ترنج و سرترنج و جدول، پشت هر دو دفه جلد اشعاری، از قاآنی و مولوی نوشته شده، اگ (۶۴ر-۶۴ پ)، اندازه: ۱۲/۸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۲۹/۱ - ۳۳۲]</w:t>
      </w:r>
    </w:p>
    <w:p>
      <w:pPr>
        <w:pStyle w:val="BookText"/>
      </w:pPr>
      <w:r>
        <w:rPr>
          <w:rFonts w:ascii="IRNazanin" w:hAnsi="IRNazanin" w:eastAsia="IRNazanin" w:cs="IRNazanin"/>
          <w:lang w:bidi="fa-IR"/>
          <w:color w:val="111111"/>
          <w:sz w:val="28"/>
          <w:szCs w:val="28"/>
          <w:rtl/>
        </w:rPr>
        <w:t xml:space="preserve">۱۲۵۷ ،کاشان؛ عاطفی حسن؛ شماره نسخه: بدون شماره/ ۴</w:t>
      </w:r>
    </w:p>
    <w:p>
      <w:pPr>
        <w:pStyle w:val="BookText"/>
      </w:pPr>
      <w:r>
        <w:rPr>
          <w:rFonts w:ascii="IRNazanin" w:hAnsi="IRNazanin" w:eastAsia="IRNazanin" w:cs="IRNazanin"/>
          <w:lang w:bidi="fa-IR"/>
          <w:color w:val="111111"/>
          <w:sz w:val="28"/>
          <w:szCs w:val="28"/>
          <w:rtl/>
        </w:rPr>
        <w:t xml:space="preserve">مثنوی است به بحر متقارب - در تاریخ پیغمبر در حدود7000 بیت ؛خط: نستعلیق بد ،کا: ملا حسن بن علی، تا: ۶ شعـبان ۱۲۷۲ق؛ کاغذ: فرنگی سفید، جلد: چرم قهوه ای نرم،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 نشریه: ۷ - ۷۴۹]</w:t>
      </w:r>
    </w:p>
    <w:p>
      <w:pPr>
        <w:pStyle w:val="BookText"/>
      </w:pPr>
      <w:r>
        <w:rPr>
          <w:rFonts w:ascii="IRNazanin" w:hAnsi="IRNazanin" w:eastAsia="IRNazanin" w:cs="IRNazanin"/>
          <w:lang w:bidi="fa-IR"/>
          <w:color w:val="111111"/>
          <w:sz w:val="28"/>
          <w:szCs w:val="28"/>
          <w:rtl/>
        </w:rPr>
        <w:t xml:space="preserve">۱۲۵۸. تهران؛ ملی؛ شماره نسخه: ۱۶۷۶۴</w:t>
      </w:r>
    </w:p>
    <w:p>
      <w:pPr>
        <w:pStyle w:val="BookText"/>
      </w:pPr>
      <w:r>
        <w:rPr>
          <w:rFonts w:ascii="IRNazanin" w:hAnsi="IRNazanin" w:eastAsia="IRNazanin" w:cs="IRNazanin"/>
          <w:lang w:bidi="fa-IR"/>
          <w:color w:val="111111"/>
          <w:sz w:val="28"/>
          <w:szCs w:val="28"/>
          <w:rtl/>
        </w:rPr>
        <w:t xml:space="preserve">اشعاری از خواجوی کرمانی انوری و ...؛ بی کا، تا: ۱۲۷۳ق؛ انتقالی از کتابخانه پهلوی مجموعه نوازی؛ ۲۸۶گ، اندازه: ۱۳/۴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۲۱/۶سم [رایانه]</w:t>
      </w:r>
    </w:p>
    <w:p>
      <w:pPr>
        <w:pStyle w:val="BookText"/>
      </w:pPr>
      <w:r>
        <w:rPr>
          <w:rFonts w:ascii="IRNazanin" w:hAnsi="IRNazanin" w:eastAsia="IRNazanin" w:cs="IRNazanin"/>
          <w:lang w:bidi="fa-IR"/>
          <w:color w:val="111111"/>
          <w:sz w:val="28"/>
          <w:szCs w:val="28"/>
          <w:rtl/>
        </w:rPr>
        <w:t xml:space="preserve">۱۲۵۹. تهران؛ ملک؛ شماره نسخه: ۵۲۰/۷</w:t>
      </w:r>
    </w:p>
    <w:p>
      <w:pPr>
        <w:pStyle w:val="BookText"/>
      </w:pPr>
      <w:r>
        <w:rPr>
          <w:rFonts w:ascii="IRNazanin" w:hAnsi="IRNazanin" w:eastAsia="IRNazanin" w:cs="IRNazanin"/>
          <w:lang w:bidi="fa-IR"/>
          <w:color w:val="111111"/>
          <w:sz w:val="28"/>
          <w:szCs w:val="28"/>
          <w:rtl/>
        </w:rPr>
        <w:t xml:space="preserve">آغاز .بسمله. ای منزه پرده دار پرده در *** وی بهر پرده در و از پرده در / چون سرایم من سپاست کان سپاس *** در قیاس است و تو بیرون از قیاس؛ انجام: مجملا هر چت که باشد غیر حق*** پرده است و هست بر چشمت طبق / تا نسازی هتک این استاد را *** کی توانی دید آن اسرار را</w:t>
      </w:r>
    </w:p>
    <w:p>
      <w:pPr>
        <w:pStyle w:val="BookText"/>
      </w:pPr>
      <w:r>
        <w:rPr>
          <w:rFonts w:ascii="IRNazanin" w:hAnsi="IRNazanin" w:eastAsia="IRNazanin" w:cs="IRNazanin"/>
          <w:lang w:bidi="fa-IR"/>
          <w:color w:val="111111"/>
          <w:sz w:val="28"/>
          <w:szCs w:val="28"/>
          <w:rtl/>
        </w:rPr>
        <w:t xml:space="preserve">مثنوی است؛ خط: نستعلیق، بی کا، تا: یک شنبه ۲۳ محرم 1273ق؛کاغذ: آهار مهره فرنگی ،جلد: میشن مشکی ضربی، ۱۵۲ ص  (۵۵۶-۴۰۴) ۱۴ سطر، اندازه: ۱۸/۳</w:t>
      </w:r>
      <w:r>
        <w:rPr>
          <w:rFonts w:ascii="Times New Roman" w:hAnsi="Times New Roman" w:eastAsia="Times New Roman" w:cs="Times New Roman"/>
          <w:lang w:val="en-US" w:bidi="en-US"/>
          <w:color w:val="111111"/>
          <w:sz w:val="28"/>
          <w:szCs w:val="28"/>
          <w:rtl/>
        </w:rPr>
        <w:t xml:space="preserve">x</w:t>
      </w:r>
      <w:r>
        <w:rPr>
          <w:rFonts w:ascii="IRNazanin" w:hAnsi="IRNazanin" w:eastAsia="IRNazanin" w:cs="IRNazanin"/>
          <w:lang w:bidi="fa-IR"/>
          <w:color w:val="111111"/>
          <w:sz w:val="28"/>
          <w:szCs w:val="28"/>
          <w:rtl/>
        </w:rPr>
        <w:t xml:space="preserve">۱۱سم [ف: ۵ - ۵۵]</w:t>
      </w:r>
    </w:p>
    <w:p>
      <w:pPr>
        <w:pStyle w:val="BookText"/>
      </w:pPr>
      <w:r>
        <w:rPr>
          <w:rFonts w:ascii="IRNazanin" w:hAnsi="IRNazanin" w:eastAsia="IRNazanin" w:cs="IRNazanin"/>
          <w:lang w:bidi="fa-IR"/>
          <w:color w:val="111111"/>
          <w:sz w:val="28"/>
          <w:szCs w:val="28"/>
          <w:rtl/>
        </w:rPr>
        <w:t xml:space="preserve">۱۲۶۰. تهران؛ مجلس؛ شماره نسخه: ۳/۹ معیری</w:t>
      </w:r>
    </w:p>
    <w:p>
      <w:pPr>
        <w:pStyle w:val="BookText"/>
      </w:pPr>
      <w:r>
        <w:rPr>
          <w:rFonts w:ascii="IRNazanin" w:hAnsi="IRNazanin" w:eastAsia="IRNazanin" w:cs="IRNazanin"/>
          <w:lang w:bidi="fa-IR"/>
          <w:color w:val="111111"/>
          <w:sz w:val="28"/>
          <w:szCs w:val="28"/>
          <w:rtl/>
        </w:rPr>
        <w:t xml:space="preserve">قطعه ملا پشم الدین است؛ کا: سید محمد، تا: ۱۲۷۳ق [ف: ۱۸- ۹]</w:t>
      </w:r>
    </w:p>
    <w:p>
      <w:pPr>
        <w:pStyle w:val="BookText"/>
      </w:pPr>
      <w:r>
        <w:rPr>
          <w:rFonts w:ascii="IRNazanin" w:hAnsi="IRNazanin" w:eastAsia="IRNazanin" w:cs="IRNazanin"/>
          <w:lang w:bidi="fa-IR"/>
          <w:color w:val="111111"/>
          <w:sz w:val="28"/>
          <w:szCs w:val="28"/>
          <w:rtl/>
        </w:rPr>
        <w:t xml:space="preserve">۱۲۶۱ . قم؛ مسجد اعظم؛ شماره نسخه: ۲۷۷۷</w:t>
      </w:r>
    </w:p>
    <w:p>
      <w:pPr>
        <w:pStyle w:val="BookText"/>
      </w:pPr>
      <w:r>
        <w:rPr>
          <w:rFonts w:ascii="IRNazanin" w:hAnsi="IRNazanin" w:eastAsia="IRNazanin" w:cs="IRNazanin"/>
          <w:lang w:bidi="fa-IR"/>
          <w:color w:val="111111"/>
          <w:sz w:val="28"/>
          <w:szCs w:val="28"/>
          <w:rtl/>
        </w:rPr>
        <w:t xml:space="preserve">آغاز: بگفت ای مرامایه زندگی ***گرامی تر از جان بفرخندگی /کسی کو به هستی برارد نفس *** بناچار باید شدن باز پس؛ انجام: از باد یکی پشه بخاشاک بجنبد ***وز زلزله یک خشت زویرانه نیفتاد</w:t>
      </w:r>
    </w:p>
    <w:p>
      <w:pPr>
        <w:pStyle w:val="BookText"/>
      </w:pPr>
      <w:r>
        <w:rPr>
          <w:rFonts w:ascii="IRNazanin" w:hAnsi="IRNazanin" w:eastAsia="IRNazanin" w:cs="IRNazanin"/>
          <w:lang w:bidi="fa-IR"/>
          <w:color w:val="111111"/>
          <w:sz w:val="28"/>
          <w:szCs w:val="28"/>
          <w:rtl/>
        </w:rPr>
        <w:t xml:space="preserve">مجموعه اشعار ،قصاید، غزلیات، رباعيات متفرقه و پراکنده که سراینده برخی مشخص وعده ای نامشخص مانده است، این جنگ شامل قطعه ای از شاهنامه، داستان منثور و منظوم ابولؤلؤ و کشتن عمر، نان و حلوا شیخ بهایی، مناجات عبدالله انصاری است، و اشعاری از نورحسن سغرایی، ملاعلی اصغر بروجردی، عرفی، سعدی، هاتف ،اصفهانی جلالی ،هراتی، میرزا صادق، راهب ،نجات ،فرخی، شیخ بهایی جوهری آمده است؛ خط: نستعلیق بی کا، تا :۲۴ربیع الثانى ۱۲۷۳ق؛ جلد: تيماج سیاه، کناره و عطف قهوه ای، ۱۳۱گ، ۱۷ سطر، اندازه: ۱۱</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۱۷سم [ف مخ: ۲ - ۵۹۸]</w:t>
      </w:r>
    </w:p>
    <w:p>
      <w:pPr>
        <w:pStyle w:val="BookText"/>
      </w:pPr>
      <w:r>
        <w:rPr>
          <w:rFonts w:ascii="IRNazanin" w:hAnsi="IRNazanin" w:eastAsia="IRNazanin" w:cs="IRNazanin"/>
          <w:lang w:bidi="fa-IR"/>
          <w:color w:val="111111"/>
          <w:sz w:val="28"/>
          <w:szCs w:val="28"/>
          <w:rtl/>
        </w:rPr>
        <w:t xml:space="preserve">۱۲۶۲. قوچان؛ سلطان ابراهیم؛ شماره نسخه: ۴۸/۱</w:t>
      </w:r>
    </w:p>
    <w:p>
      <w:pPr>
        <w:pStyle w:val="BookText"/>
      </w:pPr>
      <w:r>
        <w:rPr>
          <w:rFonts w:ascii="IRNazanin" w:hAnsi="IRNazanin" w:eastAsia="IRNazanin" w:cs="IRNazanin"/>
          <w:lang w:bidi="fa-IR"/>
          <w:color w:val="111111"/>
          <w:sz w:val="28"/>
          <w:szCs w:val="28"/>
          <w:rtl/>
        </w:rPr>
        <w:t xml:space="preserve">آغاز: قرآن که مهین کلام خوانند او را *** که کاه [...] برد وام خوانند او را / در خط پیاله آیتی روشنی است *** کاندر همه جا مدام خواهند او را ؛انجام: تا کی بهوای نفس دون بشتابی *** هرچه آن که خلاف عقل و دین درمانی / آخر نفسی بکش مگسهات بران *** معلوم شود که مرده یا در خوابی</w:t>
      </w:r>
    </w:p>
    <w:p>
      <w:pPr>
        <w:pStyle w:val="BookText"/>
      </w:pPr>
      <w:r>
        <w:rPr>
          <w:rFonts w:ascii="IRNazanin" w:hAnsi="IRNazanin" w:eastAsia="IRNazanin" w:cs="IRNazanin"/>
          <w:lang w:bidi="fa-IR"/>
          <w:color w:val="111111"/>
          <w:sz w:val="28"/>
          <w:szCs w:val="28"/>
          <w:rtl/>
        </w:rPr>
        <w:t xml:space="preserve">مؤلف رباعیات از خیام و عطار و بابا طاهر را به دلخواه خود گردآوری نموده؛ خط: نستعلیق، بی کا، تا: ۱۲۷۴ق؛ افتادگی: آغاز؛ مجدول شنگرف؛ جلد: تیماج قهوه ای، ضربی، ترنج با سر، مجدول، ۶۹گ (۱ر-۶۹ر)، ۱۴ سطر،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مخ]</w:t>
      </w:r>
    </w:p>
    <w:p>
      <w:pPr>
        <w:pStyle w:val="BookText"/>
      </w:pPr>
      <w:r>
        <w:rPr>
          <w:rFonts w:ascii="IRNazanin" w:hAnsi="IRNazanin" w:eastAsia="IRNazanin" w:cs="IRNazanin"/>
          <w:lang w:bidi="fa-IR"/>
          <w:color w:val="111111"/>
          <w:sz w:val="28"/>
          <w:szCs w:val="28"/>
          <w:rtl/>
        </w:rPr>
        <w:t xml:space="preserve">۱۲۶۳ . قوچان؛ سلطان ابراهیم؛ شماره نسخه: ۴۸/۲</w:t>
      </w:r>
    </w:p>
    <w:p>
      <w:pPr>
        <w:pStyle w:val="BookText"/>
      </w:pPr>
      <w:r>
        <w:rPr>
          <w:rFonts w:ascii="IRNazanin" w:hAnsi="IRNazanin" w:eastAsia="IRNazanin" w:cs="IRNazanin"/>
          <w:lang w:bidi="fa-IR"/>
          <w:color w:val="111111"/>
          <w:sz w:val="28"/>
          <w:szCs w:val="28"/>
          <w:rtl/>
        </w:rPr>
        <w:t xml:space="preserve">آغاز: محرمی کو که راز خود آرم*** پرده از روی کار بردارم / ذره وا نمایم از خورشید *** ذره در حجاب نگذارم؛ انجام: باده نوشان درآمدند بجوش *** در و دیوار بر کشیدندی / که جهان پرتویست از رخ دوست*** جمله کاینات سایه اوست.</w:t>
      </w:r>
    </w:p>
    <w:p>
      <w:pPr>
        <w:pStyle w:val="BookText"/>
      </w:pPr>
      <w:r>
        <w:rPr>
          <w:rFonts w:ascii="IRNazanin" w:hAnsi="IRNazanin" w:eastAsia="IRNazanin" w:cs="IRNazanin"/>
          <w:lang w:bidi="fa-IR"/>
          <w:color w:val="111111"/>
          <w:sz w:val="28"/>
          <w:szCs w:val="28"/>
          <w:rtl/>
        </w:rPr>
        <w:t xml:space="preserve">ترجیع بند مولانا شمس تبریزی است؛ خط: نستعليق، كا: نواب شاهزاده سنجر میرزا، تا: ۱۲۷۴ق؛ افتادگی: آغاز؛ مجدول؛ جلد: تیماج قهوه ای ضربی با ترنج با سر، مجدول، ۹گ (۶۹پ-۷۸پ)، ۱۱ سطر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مخ]</w:t>
      </w:r>
    </w:p>
    <w:p>
      <w:pPr>
        <w:pStyle w:val="BookText"/>
      </w:pPr>
      <w:r>
        <w:rPr>
          <w:rFonts w:ascii="IRNazanin" w:hAnsi="IRNazanin" w:eastAsia="IRNazanin" w:cs="IRNazanin"/>
          <w:lang w:bidi="fa-IR"/>
          <w:color w:val="111111"/>
          <w:sz w:val="28"/>
          <w:szCs w:val="28"/>
          <w:rtl/>
        </w:rPr>
        <w:t xml:space="preserve">۱۲۶۴ . مشهد؛ رضوی؛ شماره نسخه: ۱۰۷۴۹/۲</w:t>
      </w:r>
    </w:p>
    <w:p>
      <w:pPr>
        <w:pStyle w:val="BookText"/>
      </w:pPr>
      <w:r>
        <w:rPr>
          <w:rFonts w:ascii="IRNazanin" w:hAnsi="IRNazanin" w:eastAsia="IRNazanin" w:cs="IRNazanin"/>
          <w:lang w:bidi="fa-IR"/>
          <w:color w:val="111111"/>
          <w:sz w:val="28"/>
          <w:szCs w:val="28"/>
          <w:rtl/>
        </w:rPr>
        <w:t xml:space="preserve">آغاز: یادم آمد قصه ای ... بوالفضول *** در زمان دولت زوج بتول ؛انجام: هر دو با هم در نزاع و در قتال *** قصد هم کردند و در عین جدال».</w:t>
      </w:r>
    </w:p>
    <w:p>
      <w:pPr>
        <w:pStyle w:val="BookText"/>
      </w:pPr>
      <w:r>
        <w:rPr>
          <w:rFonts w:ascii="IRNazanin" w:hAnsi="IRNazanin" w:eastAsia="IRNazanin" w:cs="IRNazanin"/>
          <w:lang w:bidi="fa-IR"/>
          <w:color w:val="111111"/>
          <w:sz w:val="28"/>
          <w:szCs w:val="28"/>
          <w:rtl/>
        </w:rPr>
        <w:t xml:space="preserve">مثنوی اخلاقی احتمالاً از ملا عبدالرحمن جامی؛ خط: نستعلیق،
</w:t>
      </w:r>
    </w:p>
    <w:p>
      <w:pPr>
        <w:sectPr>
          <w:footerReference w:type="default" r:id="rId8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  کا، تا: ۱۲۷۴ق؛ کاغذ: نخودی آهاری، جلد: تیماج خرمایی یک لا، ۲۱ ص (۱۰۰-۱۲۰)، ۱۱ سطر، اندازه: ۱۰/۴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۱۷ - 455]</w:t>
      </w:r>
    </w:p>
    <w:p>
      <w:pPr>
        <w:pStyle w:val="BookText"/>
      </w:pPr>
      <w:r>
        <w:rPr>
          <w:rFonts w:ascii="IRNazanin" w:hAnsi="IRNazanin" w:eastAsia="IRNazanin" w:cs="IRNazanin"/>
          <w:lang w:bidi="fa-IR"/>
          <w:color w:val="111111"/>
          <w:sz w:val="28"/>
          <w:szCs w:val="28"/>
          <w:rtl/>
        </w:rPr>
        <w:t xml:space="preserve">۱۲۶۵. تهران؛ ملک؛ شماره نسخه: ۵۲۰/۸</w:t>
      </w:r>
    </w:p>
    <w:p>
      <w:pPr>
        <w:pStyle w:val="BookText"/>
      </w:pPr>
      <w:r>
        <w:rPr>
          <w:rFonts w:ascii="IRNazanin" w:hAnsi="IRNazanin" w:eastAsia="IRNazanin" w:cs="IRNazanin"/>
          <w:lang w:bidi="fa-IR"/>
          <w:color w:val="111111"/>
          <w:sz w:val="28"/>
          <w:szCs w:val="28"/>
          <w:rtl/>
        </w:rPr>
        <w:t xml:space="preserve">اشعار نورعلیشاه و مولوی است نور علیشاه: «تا دلم گشت مخـزن اسرار *** پر زیار است خالی از اغیار ...» مولوی: «محرمی کو که راز بگزارم *** پرده از روی کار بردارم»؛ خط: نستعلیق چلیپا، بی کا، تا: پنج شنبه ۹ محرم ۱۲۷۴ق؛ کاغذ: آهار مهره فرنگی ،جلد: میشن مشکی ضربی، ۱۲ ص (۵۵۷-۵۶۹)، ۱۴سطر، اندازه: ۱۱</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۱۸/۳سم [ف: ۵ - ۵۵]</w:t>
      </w:r>
    </w:p>
    <w:p>
      <w:pPr>
        <w:pStyle w:val="BookText"/>
      </w:pPr>
      <w:r>
        <w:rPr>
          <w:rFonts w:ascii="IRNazanin" w:hAnsi="IRNazanin" w:eastAsia="IRNazanin" w:cs="IRNazanin"/>
          <w:lang w:bidi="fa-IR"/>
          <w:color w:val="111111"/>
          <w:sz w:val="28"/>
          <w:szCs w:val="28"/>
          <w:rtl/>
        </w:rPr>
        <w:t xml:space="preserve">۱۲۶۶. شیراز ،بغایری عبد الرزاق؛ شماره نسخه: بدون شماره/ ۱</w:t>
      </w:r>
    </w:p>
    <w:p>
      <w:pPr>
        <w:pStyle w:val="BookText"/>
      </w:pPr>
      <w:r>
        <w:rPr>
          <w:rFonts w:ascii="IRNazanin" w:hAnsi="IRNazanin" w:eastAsia="IRNazanin" w:cs="IRNazanin"/>
          <w:lang w:bidi="fa-IR"/>
          <w:color w:val="111111"/>
          <w:sz w:val="28"/>
          <w:szCs w:val="28"/>
          <w:rtl/>
        </w:rPr>
        <w:t xml:space="preserve">از ساقی است؛ بی کا، تا: ۱۲۷۴ق [ میراث اسلامی: ۵ - ۵۷۳]</w:t>
      </w:r>
    </w:p>
    <w:p>
      <w:pPr>
        <w:pStyle w:val="BookText"/>
      </w:pPr>
      <w:r>
        <w:rPr>
          <w:rFonts w:ascii="IRNazanin" w:hAnsi="IRNazanin" w:eastAsia="IRNazanin" w:cs="IRNazanin"/>
          <w:lang w:bidi="fa-IR"/>
          <w:color w:val="111111"/>
          <w:sz w:val="28"/>
          <w:szCs w:val="28"/>
          <w:rtl/>
        </w:rPr>
        <w:t xml:space="preserve">۱۲۶۷. یزد؛ وزیری؛ شماره نسخه: ۲۵۷۳</w:t>
      </w:r>
    </w:p>
    <w:p>
      <w:pPr>
        <w:pStyle w:val="BookText"/>
      </w:pPr>
      <w:r>
        <w:rPr>
          <w:rFonts w:ascii="IRNazanin" w:hAnsi="IRNazanin" w:eastAsia="IRNazanin" w:cs="IRNazanin"/>
          <w:lang w:bidi="fa-IR"/>
          <w:color w:val="111111"/>
          <w:sz w:val="28"/>
          <w:szCs w:val="28"/>
          <w:rtl/>
        </w:rPr>
        <w:t xml:space="preserve">آغاز: ما راز ره کرم ببخشای؛</w:t>
      </w:r>
    </w:p>
    <w:p>
      <w:pPr>
        <w:pStyle w:val="BookText"/>
      </w:pPr>
      <w:r>
        <w:rPr>
          <w:rFonts w:ascii="IRNazanin" w:hAnsi="IRNazanin" w:eastAsia="IRNazanin" w:cs="IRNazanin"/>
          <w:lang w:bidi="fa-IR"/>
          <w:color w:val="111111"/>
          <w:sz w:val="28"/>
          <w:szCs w:val="28"/>
          <w:rtl/>
        </w:rPr>
        <w:t xml:space="preserve">مشتمل بر اشعار: از زرگر ،یغما ،ضیاء، سقا ،انوری، بهجت و شمس تبریزی؛ خط: نستعلیق تحریری، کا: غلامرضا ولد ملا عبد الرحيم، تا: جمادی الثانی ۱۲۷۵ق؛ افتادگی: آغاز؛ مجدول؛ اهدایی: ورثه حاج میرزا نصر الله رشتی؛ کاغذ: فرنگی، جلد: تیماج قرمز، ۱۱۶گ، ۶ سطر (5</w:t>
      </w:r>
      <w:r>
        <w:rPr>
          <w:rFonts w:ascii="Times New Roman" w:hAnsi="Times New Roman" w:eastAsia="Times New Roman" w:cs="Times New Roman"/>
          <w:lang w:val="en-US" w:bidi="en-US"/>
          <w:color w:val="111111"/>
          <w:sz w:val="28"/>
          <w:szCs w:val="28"/>
          <w:rtl/>
        </w:rPr>
        <w:t xml:space="preserve">×8)</w:t>
      </w:r>
      <w:r>
        <w:rPr>
          <w:rFonts w:ascii="IRNazanin" w:hAnsi="IRNazanin" w:eastAsia="IRNazanin" w:cs="IRNazanin"/>
          <w:lang w:bidi="fa-IR"/>
          <w:color w:val="111111"/>
          <w:sz w:val="28"/>
          <w:szCs w:val="28"/>
          <w:rtl/>
        </w:rPr>
        <w:t xml:space="preserve">، اندازه: 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۴-۱۳۴۸]</w:t>
      </w:r>
    </w:p>
    <w:p>
      <w:pPr>
        <w:pStyle w:val="BookText"/>
      </w:pPr>
      <w:r>
        <w:rPr>
          <w:rFonts w:ascii="IRNazanin" w:hAnsi="IRNazanin" w:eastAsia="IRNazanin" w:cs="IRNazanin"/>
          <w:lang w:bidi="fa-IR"/>
          <w:color w:val="111111"/>
          <w:sz w:val="28"/>
          <w:szCs w:val="28"/>
          <w:rtl/>
        </w:rPr>
        <w:t xml:space="preserve">۱۲۶۸ . تهران؛ مجلس؛ شماره نسخه: ۲ معیری</w:t>
      </w:r>
    </w:p>
    <w:p>
      <w:pPr>
        <w:pStyle w:val="BookText"/>
      </w:pPr>
      <w:r>
        <w:rPr>
          <w:rFonts w:ascii="IRNazanin" w:hAnsi="IRNazanin" w:eastAsia="IRNazanin" w:cs="IRNazanin"/>
          <w:lang w:bidi="fa-IR"/>
          <w:color w:val="111111"/>
          <w:sz w:val="28"/>
          <w:szCs w:val="28"/>
          <w:rtl/>
        </w:rPr>
        <w:t xml:space="preserve">آغاز: چون صبح برکشد علم ساده پرنیان *** باید کشید رایت عشرت بر آسمان؛ انجام: بر لوح مدح تو قلمی را ندم که عقل*** هرگز ندیده است و نبیند چنان قلم</w:t>
      </w:r>
    </w:p>
    <w:p>
      <w:pPr>
        <w:pStyle w:val="BookText"/>
      </w:pPr>
      <w:r>
        <w:rPr>
          <w:rFonts w:ascii="IRNazanin" w:hAnsi="IRNazanin" w:eastAsia="IRNazanin" w:cs="IRNazanin"/>
          <w:lang w:bidi="fa-IR"/>
          <w:color w:val="111111"/>
          <w:sz w:val="28"/>
          <w:szCs w:val="28"/>
          <w:rtl/>
        </w:rPr>
        <w:t xml:space="preserve">مجمع  الاشعار قصایدی از شعرای ایران. این نسخه آغاز ندارد و مشتمل است بر قصایدی از شعرای ایران که گرد آورنده برحسب صنایع شعری و اقسام شعر، آنها را به شانزده «باب» تقسـیم کرده است. نسخه از اواسط باب پنجم شروع می شود و باب هـای هشتم و دهم و پانزدهم را ندارد فهرست ابواب و اسامی شـعرا به قرار زیر است: ۱- قسمتی از باب پنجم شامل (۱-۴۳): قصـیده جوهری زرگر در وصف شراب، منوچهری، جمال الدین عبد الرزاق در وصف حمام، خواجوی کرمانی در وصف حمام، امامی هروی، قصیده ذوبجرین، جمال الدین سمرقندی، قصیده متقاطع، سيد ذو الفقار شروانی در صفت تردد عکس، قوامی گنجه ای در اسامى الصناعات فى حدايق السحر، بدرالدین جاجرمی، قصـیده متقاطع، ۲- باب ششم در تقسیمات (۴۴-۶۰) عبد الواسع جبلی، فریدالدین احول، بدرالدین جاجرمی، عبد الواسع جبلی، صـاین الدین شیرازی، ۳- باب هفتم در ذکرسؤال و جواب (60-74):بدرالدین جاجرمی، ۴- باب نهم در ذکر مسمطات (74- 100): حکیم فرخاری، نصیر ادیب، بدر الدین جاجرمی ،سیفی، لازم وسنگ و سيم عزالدین مشتملی، لازم چشم و لب بادام و شـکر، كمال الدين اسمعیل، سعید هروی، لازم  موی، ۵- باب یازدهم در ذکر توشیحات و محذوفات (۱۰۰-۱۳۳): بدر الدین جاجرمـی، شرف الدين فضل الله قزوینی از نزهت الابصار ، فصيح الدين، سید عز الدين - فخر الدين کندانی، دختر کعب، مجير الدين بيلقانی،شرف الدين فضل الله قزوینی، شهاب الدين مهم، رشيد الدين وطواط، محذوف الالف، ۶- باب دوازدهم در مربعات (۱۳۴- ۱۶۰): رکن الدین قمی، فریدالدین احول اسفراینی، ابن خطیب، اوحدی، خاقانی، بدرالدین جاجرمی، ۷ - باب سیزدهم در سوگند (۱۹۷-۱۶۰) کمال الدين اسمعيل، نجیب الدین جرپادقانی، فلکی شروانی، مجیر الدین بیلقانی ،سوزنی، ملک بدیعی سیفی، ۸- باب چهاردهم در تشبیهات (۱۹۸-۳۰۷): عنصری، مختاری غزنوی ،سنایی، سیف الدین اعرج ،صدر الدین علی فخر شوشتری، شمس الدین شرفشاه، نجم الدین سمنانی، نجیب الدین جرپادقانی، رفیع الدین لنبانی، نجیب الدین جرپادقانی، منشوری، منصور منطقی، غضایری، بشکر مرغزی ،بدیهی، صدر الدین همدانی، ناصر جعفری، عبهری ،قادری ،رافعی، ابوالمعالی رازی، جمال الدین اشهری، عمعق بخاری، حکیم ولولی، شمال دهستانی، صاحب سعيد رضى الدين قزوینی، حسن متكلم، سراج الدين قمرى، مجیرالدین بیلقانی، منوچهری، کمال الدین اسمعیل، عمادی، مسعود سعد سلمان؛ ۹- باب شانزدهم اشعار معروف (۳۰۷-۳۵۱): كمال الدين اسمعيل، حکیم طرطری، نجیب الدین جرپادقانی، رفیع الدین لنبانی، سعید مروی؛ خط: شکسته نستعلیق خفی خوش،بی کا، تا: ۱۲۷۵ق؛ کاغذ: فرنگی ،جلد: میشن عنابی، ترنج و سرترنج سوخت مطلا، ۳۵۱ ص، ۱۲ سطر (7</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 ۱۸ - ۶]</w:t>
      </w:r>
    </w:p>
    <w:p>
      <w:pPr>
        <w:pStyle w:val="BookText"/>
      </w:pPr>
      <w:r>
        <w:rPr>
          <w:rFonts w:ascii="IRNazanin" w:hAnsi="IRNazanin" w:eastAsia="IRNazanin" w:cs="IRNazanin"/>
          <w:lang w:bidi="fa-IR"/>
          <w:color w:val="111111"/>
          <w:sz w:val="28"/>
          <w:szCs w:val="28"/>
          <w:rtl/>
        </w:rPr>
        <w:t xml:space="preserve">۱۲۶۹. تهران؛ مجلس؛ شماره نسخه: ۲۳۲۹</w:t>
      </w:r>
    </w:p>
    <w:p>
      <w:pPr>
        <w:pStyle w:val="BookText"/>
      </w:pPr>
      <w:r>
        <w:rPr>
          <w:rFonts w:ascii="IRNazanin" w:hAnsi="IRNazanin" w:eastAsia="IRNazanin" w:cs="IRNazanin"/>
          <w:lang w:bidi="fa-IR"/>
          <w:color w:val="111111"/>
          <w:sz w:val="28"/>
          <w:szCs w:val="28"/>
          <w:rtl/>
        </w:rPr>
        <w:t xml:space="preserve">این نسخه برای عبد الكريم سلطان بن محمد زمان سلطان متخلص به کریمی حکمران بانه گردآوری شده و اشعار خود او نیز به خط او در این جنگ هست این جنگ مشتمل بر منتخبی از اشعار و منظومه های شعرای ایران تا قرن ۱۳ است، و علاوه بر ۷۶ رساله ای که مستقلاً معرفی شده است، شامل است بر اشعار پراکنده از [شماره صفحات در فهرست آمده است]: عاشق، يغما، قصاب،سنایی، مولوی، صالح، الفت، سلمان ساوجی، فردوسی، عطار، خسرو، حسن دهلوی، اسیر ،صایب ،صفر، شیدا، فانی، طالب آملی، عنصری، شاهی ،عزت ،بیدل، حیرت، خادم، قصاب، ظهیر، عرفی ،فغانی ،سوزنی، مجد همگر ،بهایی، میر الهی، نشاط، قاضی نوری سپاهانی، سراپا ،عطار ،عبدالسلام، آصفی، شاپور، تهرانی، شفایی (رباعیات)، اوحدالدین کرمانی، انیسی شاملو، طالب آملی، شیخ امان الله، میرزا امام الله ،خانه زادخان، ملک قزوینی، پهلوان محمود (قتالی خوارزمی)، زین العابدین حمزه میرزا، خان خانان، عبد الله یزدی ،شهیدی ،جامعی، داخل قمر، محسنی شاملو صالح، شجاع کاشی، نجف گنجه ای ،مجرم، محمد امین کشمیری، نجم الدین کبری، سحابی نجفی، محمد بیک، فیض، بابا افضل، خیام، محمود حسینی همدانی، نصیر همدانی، خان احمد گیلانی، شاه طهماسب، شوریده مداح، باقر خان، حکیم عارف، جعفر اصفهانی، محمد اشرف توپی، عبدالغنی تفریشی، میلی مشهدی،حسابی، نظیری نیشابوری، میر حضوری قمی ،امیدی ،شیرین، ملا
</w:t>
      </w:r>
    </w:p>
    <w:p>
      <w:pPr>
        <w:sectPr>
          <w:footerReference w:type="default" r:id="rId8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نسبتی، ولی دشت بیاضی، قزلاش خان، بدیع قزوینی، میر برهان محمد حسین سری ،عارف ،میرزا ابراهیم، سلیم تهرانی، محـمد مؤمن یزدی میرزا غازی،عرشی، کمال اسمعیل ،ابوالبقاء میـرزا مظفر میرزا عسکری، محمد امین مستغنی ،شهابی، زکی همدانی، عبدالله وصفی مشگین قلم، اهلی ،نظر ،مظهوری، مشربی، ابراهیم، سوکی اصفهانی، رضا شوشتری، اوجی اصفهانی، مستور خـان، فصیح هراتی، وحشی، عبید زاکانی، اوحدی، بوعلی سینا، نوایی، جلال جعفر فراهانی، جعفر غیرت ،رفیق سلیم اردلانی، طوفان، محمد شریف مغربی، بلا کش ،امیدی، تقی صهبا هلالی، عصمت دختر قاضی سمرقند ،خاتون، عفتی اسفرائینی، عایشه خاتون سمرقندی، مهری بیگم زوجه خواجه عبدالعزیز، مهستی د خترميرزا عبدالصمد، نور جهان بیگم زوجه جهانگیر شاه، مطربه خاتون کنیز طغانشاه، لاله خاتون، عصمت الدین شاه دختر سلطـان جلال الدین، فتحعلیشاه، زینب نسابیگم مخفی، محتشم، نظیری، خاقانی، شیخ عبدالله مردوخه ،فردوسی، شمس تبریزی، انوری، سنجری ،عرفی، ملا میرزا ،نظامی، درویش اظهر، مدح کتاب و خاتمه؛خط: نستعلیق، کا: محمود و عبدالکریم سلطان بانه،تا: ۱۲۷۴ و ۱۲۷۵ق؛ کاغذ: فرنگی الوان، جلد: میشن قهوه ای ترنج و نیم ترنج و سر ترنج ضربی، ۹۸۵ ص، ۱۶ سطر (7</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،اندازه: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۸ - ۲۲]</w:t>
      </w:r>
    </w:p>
    <w:p>
      <w:pPr>
        <w:pStyle w:val="BookText"/>
      </w:pPr>
      <w:r>
        <w:rPr>
          <w:rFonts w:ascii="IRNazanin" w:hAnsi="IRNazanin" w:eastAsia="IRNazanin" w:cs="IRNazanin"/>
          <w:lang w:bidi="fa-IR"/>
          <w:color w:val="111111"/>
          <w:sz w:val="28"/>
          <w:szCs w:val="28"/>
          <w:rtl/>
        </w:rPr>
        <w:t xml:space="preserve">۱۲۷۰. تهران؛ سپهسالار؛ شماره نسخه: ۱۴۸/۴</w:t>
      </w:r>
    </w:p>
    <w:p>
      <w:pPr>
        <w:pStyle w:val="BookText"/>
      </w:pPr>
      <w:r>
        <w:rPr>
          <w:rFonts w:ascii="IRNazanin" w:hAnsi="IRNazanin" w:eastAsia="IRNazanin" w:cs="IRNazanin"/>
          <w:lang w:bidi="fa-IR"/>
          <w:color w:val="111111"/>
          <w:sz w:val="28"/>
          <w:szCs w:val="28"/>
          <w:rtl/>
        </w:rPr>
        <w:t xml:space="preserve">رباعیات است. منسوب به خواجه طوسی؛ خط: نستعلیق،کا: ثریای کاشانی سید حسن پسر احمد حسینی، تا: ۱۲۷۶ق،جا: تهران؛ کاغذ: فرنگی آهار مهره ،جلد: تیماج سرخ ضربی، ۸گ (۴۵-۳۷) [ف: ۵ - ۱]</w:t>
      </w:r>
    </w:p>
    <w:p>
      <w:pPr>
        <w:pStyle w:val="BookText"/>
      </w:pPr>
      <w:r>
        <w:rPr>
          <w:rFonts w:ascii="IRNazanin" w:hAnsi="IRNazanin" w:eastAsia="IRNazanin" w:cs="IRNazanin"/>
          <w:lang w:bidi="fa-IR"/>
          <w:color w:val="111111"/>
          <w:sz w:val="28"/>
          <w:szCs w:val="28"/>
          <w:rtl/>
        </w:rPr>
        <w:t xml:space="preserve">۱۲۷۱. تهران؛ مجلس؛ شماره نسخه: ۱۳۲۱۸/۸</w:t>
      </w:r>
    </w:p>
    <w:p>
      <w:pPr>
        <w:pStyle w:val="BookText"/>
      </w:pPr>
      <w:r>
        <w:rPr>
          <w:rFonts w:ascii="IRNazanin" w:hAnsi="IRNazanin" w:eastAsia="IRNazanin" w:cs="IRNazanin"/>
          <w:lang w:bidi="fa-IR"/>
          <w:color w:val="111111"/>
          <w:sz w:val="28"/>
          <w:szCs w:val="28"/>
          <w:rtl/>
        </w:rPr>
        <w:t xml:space="preserve">غزلی از قانع؛ خط: نستعليق، كا: علی اکبر، تا: ۱۲۷۶ق،جا: کرمان؛ جلد: تیماج قهوه ای مجدول، ۱ص (۱۴۴ر) [ف: ۳۶ - 286]</w:t>
      </w:r>
    </w:p>
    <w:p>
      <w:pPr>
        <w:pStyle w:val="BookText"/>
      </w:pPr>
      <w:r>
        <w:rPr>
          <w:rFonts w:ascii="IRNazanin" w:hAnsi="IRNazanin" w:eastAsia="IRNazanin" w:cs="IRNazanin"/>
          <w:lang w:bidi="fa-IR"/>
          <w:color w:val="111111"/>
          <w:sz w:val="28"/>
          <w:szCs w:val="28"/>
          <w:rtl/>
        </w:rPr>
        <w:t xml:space="preserve">1272.تهران؛ مجلس؛ شماره نسخه: ۵۶۳۳/۴</w:t>
      </w:r>
    </w:p>
    <w:p>
      <w:pPr>
        <w:pStyle w:val="BookText"/>
      </w:pPr>
      <w:r>
        <w:rPr>
          <w:rFonts w:ascii="IRNazanin" w:hAnsi="IRNazanin" w:eastAsia="IRNazanin" w:cs="IRNazanin"/>
          <w:lang w:bidi="fa-IR"/>
          <w:color w:val="111111"/>
          <w:sz w:val="28"/>
          <w:szCs w:val="28"/>
          <w:rtl/>
        </w:rPr>
        <w:t xml:space="preserve">از میرزای داوری؛ خط: شکسته نستعلیق، کا: نعیم الدین. ،آقا محمد، تا: ۱۲۷۶ق؛ ۲ ص( ۸-۹) [ف: ۱۷-۸۲]</w:t>
      </w:r>
    </w:p>
    <w:p>
      <w:pPr>
        <w:pStyle w:val="BookText"/>
      </w:pPr>
      <w:r>
        <w:rPr>
          <w:rFonts w:ascii="IRNazanin" w:hAnsi="IRNazanin" w:eastAsia="IRNazanin" w:cs="IRNazanin"/>
          <w:lang w:bidi="fa-IR"/>
          <w:color w:val="111111"/>
          <w:sz w:val="28"/>
          <w:szCs w:val="28"/>
          <w:rtl/>
        </w:rPr>
        <w:t xml:space="preserve">۱۲۷۳. تهران؛ مجلس؛ شماره نسخه: ۱۳۲۱۴/۸</w:t>
      </w:r>
    </w:p>
    <w:p>
      <w:pPr>
        <w:pStyle w:val="BookText"/>
      </w:pPr>
      <w:r>
        <w:rPr>
          <w:rFonts w:ascii="IRNazanin" w:hAnsi="IRNazanin" w:eastAsia="IRNazanin" w:cs="IRNazanin"/>
          <w:lang w:bidi="fa-IR"/>
          <w:color w:val="111111"/>
          <w:sz w:val="28"/>
          <w:szCs w:val="28"/>
          <w:rtl/>
        </w:rPr>
        <w:t xml:space="preserve">غزلی از قانع؛ خط: نستعليق، كا: علی اکبر، تا: ۱۲۷۶ق،جا: کرمان، برای فرزندش آقا شیخ محمد؛ در برگ ۱۵ یادداشتی از عمیدالدین قاجار که شب دوشنبه ۱۲ ربیع الاول ۱۳۲۴ در طهـران نوشته؛ مهر: «نصیبه ۱۲۷۷» (بیضی)؛ جلد: تیماج قهوه ای، مجدول، اگ (۱۴۴ر)،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۳۶ - ۲۸۵]</w:t>
      </w:r>
    </w:p>
    <w:p>
      <w:pPr>
        <w:pStyle w:val="BookText"/>
      </w:pPr>
      <w:r>
        <w:rPr>
          <w:rFonts w:ascii="IRNazanin" w:hAnsi="IRNazanin" w:eastAsia="IRNazanin" w:cs="IRNazanin"/>
          <w:lang w:bidi="fa-IR"/>
          <w:color w:val="111111"/>
          <w:sz w:val="28"/>
          <w:szCs w:val="28"/>
          <w:rtl/>
        </w:rPr>
        <w:t xml:space="preserve">۱۲۷۴ . شیراز؛ شاهچراغ؛ شماره نسخه: ۱۵۱/۷</w:t>
      </w:r>
    </w:p>
    <w:p>
      <w:pPr>
        <w:pStyle w:val="BookText"/>
      </w:pPr>
      <w:r>
        <w:rPr>
          <w:rFonts w:ascii="IRNazanin" w:hAnsi="IRNazanin" w:eastAsia="IRNazanin" w:cs="IRNazanin"/>
          <w:lang w:bidi="fa-IR"/>
          <w:color w:val="111111"/>
          <w:sz w:val="28"/>
          <w:szCs w:val="28"/>
          <w:rtl/>
        </w:rPr>
        <w:t xml:space="preserve">آغاز: اشعار عرفانی .بسمله حمد پاک از جان پاک آن پاک را ***کو خلافت داد مشتی خاک را؛ انجام: اشعار عرفانی: شوخی و بی شرمی ما در گذار *** شوخی ما پیش چشم ما میار</w:t>
      </w:r>
    </w:p>
    <w:p>
      <w:pPr>
        <w:pStyle w:val="BookText"/>
      </w:pPr>
      <w:r>
        <w:rPr>
          <w:rFonts w:ascii="IRNazanin" w:hAnsi="IRNazanin" w:eastAsia="IRNazanin" w:cs="IRNazanin"/>
          <w:lang w:bidi="fa-IR"/>
          <w:color w:val="111111"/>
          <w:sz w:val="28"/>
          <w:szCs w:val="28"/>
          <w:rtl/>
        </w:rPr>
        <w:t xml:space="preserve">در ابتدای این قسمت قصیده ابوالمفاخر رازی که در مدح امام حسین (علیه السّلام) است نوشته شده، سپس اشعار مفصلی است در توحید و عرفان که احمد ادیب در پایان آن نوشته است که: «این را از خط محمود بن سلطان نامی که در تاریخ هشتصد و نود و هشت نوشته بود .نوشتم. در تاریخ ... هزار و دویست و هفتاد و شش... انا العبد احمد الاديب و حال که سن من از هشتاد تجاوز دارد ... سنه ،۱۲۷۶»، بعد از این اشعار از مصیب نامه «عطار» نقل شده است؛ خط: نستعليق، كا: احمد ادیب، تا: ۱۲۷۶ق؛ کاغذ: سفید ، جلد: مقوا با کاغذ سبز، ۱۷ص،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 ف : ۲ - ۳۹۱]</w:t>
      </w:r>
    </w:p>
    <w:p>
      <w:pPr>
        <w:pStyle w:val="BookText"/>
      </w:pPr>
      <w:r>
        <w:rPr>
          <w:rFonts w:ascii="IRNazanin" w:hAnsi="IRNazanin" w:eastAsia="IRNazanin" w:cs="IRNazanin"/>
          <w:lang w:bidi="fa-IR"/>
          <w:color w:val="111111"/>
          <w:sz w:val="28"/>
          <w:szCs w:val="28"/>
          <w:rtl/>
        </w:rPr>
        <w:t xml:space="preserve">۱۲۷۵. تهران؛ ملی؛ شماره نسخه: ۱۴۲۴/۳</w:t>
      </w:r>
    </w:p>
    <w:p>
      <w:pPr>
        <w:pStyle w:val="BookText"/>
      </w:pPr>
      <w:r>
        <w:rPr>
          <w:rFonts w:ascii="IRNazanin" w:hAnsi="IRNazanin" w:eastAsia="IRNazanin" w:cs="IRNazanin"/>
          <w:lang w:bidi="fa-IR"/>
          <w:color w:val="111111"/>
          <w:sz w:val="28"/>
          <w:szCs w:val="28"/>
          <w:rtl/>
        </w:rPr>
        <w:t xml:space="preserve">آغاز: این قصیده ای است از ابواشرف ناصح بن ظفر بن سعد منشی جرفادقانی؛ انجام: صلى الا له عليكم مار تحت *** ريح الصبا غصناً وغرد بلبل.</w:t>
      </w:r>
    </w:p>
    <w:p>
      <w:pPr>
        <w:pStyle w:val="BookText"/>
      </w:pPr>
      <w:r>
        <w:rPr>
          <w:rFonts w:ascii="IRNazanin" w:hAnsi="IRNazanin" w:eastAsia="IRNazanin" w:cs="IRNazanin"/>
          <w:lang w:bidi="fa-IR"/>
          <w:color w:val="111111"/>
          <w:sz w:val="28"/>
          <w:szCs w:val="28"/>
          <w:rtl/>
        </w:rPr>
        <w:t xml:space="preserve">چهار قصیده: 1. قصیده ای از ابو شرف ناصر بن ظفر بن سعد منشی جر فادقانی در تهنیت ابو القاسم بن على بن حسن بن ابوالقاسم بن ابی حنیفه به قافیه الف از (ص۱۹۱-۱۹۴)، ۲. قصیده ای از ابوبکر محمد بن عباس ملقب به خوارزمی به قافیه راء (ص ۱۹۴-۱۹۶)، . قصیده ای از ابوالفضل همدانی ملقب به بدیع المزمان به قافیه الف (۱۹۶-۱۹۸) ۴. قصیده ای به قافیه لام از عبدالباقی افندی (۲۰۱-۱۹۸)؛ خط: نسخ، کا: حبیب الدین ابی یعقوب محمد بن علی اصغر بحر پادقانی، تا: ۱۲۷۷ق؛ کاغذ: فرنگی، جلد: تیماج، قرمز ،یک لا، ۱۰ ص ۲۷ سطر (6</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در بعضی از صفحات،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۳ - ۴۸۳]</w:t>
      </w:r>
    </w:p>
    <w:p>
      <w:pPr>
        <w:pStyle w:val="BookText"/>
      </w:pPr>
      <w:r>
        <w:rPr>
          <w:rFonts w:ascii="IRNazanin" w:hAnsi="IRNazanin" w:eastAsia="IRNazanin" w:cs="IRNazanin"/>
          <w:lang w:bidi="fa-IR"/>
          <w:color w:val="111111"/>
          <w:sz w:val="28"/>
          <w:szCs w:val="28"/>
          <w:rtl/>
        </w:rPr>
        <w:t xml:space="preserve">۱۲۷۶. تهران؛ ملک؛ شماره نسخه: ۵۰۴۵/۲</w:t>
      </w:r>
    </w:p>
    <w:p>
      <w:pPr>
        <w:pStyle w:val="BookText"/>
      </w:pPr>
      <w:r>
        <w:rPr>
          <w:rFonts w:ascii="IRNazanin" w:hAnsi="IRNazanin" w:eastAsia="IRNazanin" w:cs="IRNazanin"/>
          <w:lang w:bidi="fa-IR"/>
          <w:color w:val="111111"/>
          <w:sz w:val="28"/>
          <w:szCs w:val="28"/>
          <w:rtl/>
        </w:rPr>
        <w:t xml:space="preserve">شاعر می گوید: «این چند غزل را هنگامی که در میان تراکمه گرفتار بند و به درد مهاجرت و مفارقت احباب گرفتار، سروده بودم». در اینجا از لطفعلی خان ولد مصطفی قلی خان بخوبی یاد می کند؛ خط: شکسته نستعلیق، بی کا، تا: ربیع الثانی ۱۲۷۷ق [ف: ۸-177]</w:t>
      </w:r>
    </w:p>
    <w:p>
      <w:pPr>
        <w:pStyle w:val="BookText"/>
      </w:pPr>
      <w:r>
        <w:rPr>
          <w:rFonts w:ascii="IRNazanin" w:hAnsi="IRNazanin" w:eastAsia="IRNazanin" w:cs="IRNazanin"/>
          <w:lang w:bidi="fa-IR"/>
          <w:color w:val="111111"/>
          <w:sz w:val="28"/>
          <w:szCs w:val="28"/>
          <w:rtl/>
        </w:rPr>
        <w:t xml:space="preserve">۱۲۷۷ . مشهد؛ الهیات؛ شماره نسخه: ۱۴۸۳۸/۴</w:t>
      </w:r>
    </w:p>
    <w:p>
      <w:pPr>
        <w:pStyle w:val="BookText"/>
      </w:pPr>
      <w:r>
        <w:rPr>
          <w:rFonts w:ascii="IRNazanin" w:hAnsi="IRNazanin" w:eastAsia="IRNazanin" w:cs="IRNazanin"/>
          <w:lang w:bidi="fa-IR"/>
          <w:color w:val="111111"/>
          <w:sz w:val="28"/>
          <w:szCs w:val="28"/>
          <w:rtl/>
        </w:rPr>
        <w:t xml:space="preserve">سرودهای در زلف ،لب، خال و ...؛ خط: شکسته، نستعلیق، کا: عبدالوهاب بن میرزا اشرف، تا: ذیحجه ۱۲۷۷ق؛ با سه سرلوح زمینه طلا ،مجدول؛ کاغذ: الوان، جلد: روغنی در قسمت داخلی جلد در زمینه لاکی یک شاخه گل، ۱۱ سطر (۸/۵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۲ - ۱۴۱]</w:t>
      </w:r>
    </w:p>
    <w:p>
      <w:pPr>
        <w:pStyle w:val="BookText"/>
      </w:pPr>
      <w:r>
        <w:rPr>
          <w:rFonts w:ascii="IRNazanin" w:hAnsi="IRNazanin" w:eastAsia="IRNazanin" w:cs="IRNazanin"/>
          <w:lang w:bidi="fa-IR"/>
          <w:color w:val="111111"/>
          <w:sz w:val="28"/>
          <w:szCs w:val="28"/>
          <w:rtl/>
        </w:rPr>
        <w:t xml:space="preserve">۱۲۷۸. تهران؛ ملک؛ شماره نسخه: ۳۶۹۳/۹</w:t>
      </w:r>
    </w:p>
    <w:p>
      <w:pPr>
        <w:pStyle w:val="BookText"/>
      </w:pPr>
      <w:r>
        <w:rPr>
          <w:rFonts w:ascii="IRNazanin" w:hAnsi="IRNazanin" w:eastAsia="IRNazanin" w:cs="IRNazanin"/>
          <w:lang w:bidi="fa-IR"/>
          <w:color w:val="111111"/>
          <w:sz w:val="28"/>
          <w:szCs w:val="28"/>
          <w:rtl/>
        </w:rPr>
        <w:t xml:space="preserve">جنگ اشعار است به صورت نامرتب از نشاط، عنصری، معزی، مایل؛ خط: شکسته نستعلیق، بی کا، تا: ۱۲۷۷ق [ف: ۷ - ۲۷]</w:t>
      </w:r>
    </w:p>
    <w:p>
      <w:pPr>
        <w:pStyle w:val="BookText"/>
      </w:pPr>
      <w:r>
        <w:rPr>
          <w:rFonts w:ascii="IRNazanin" w:hAnsi="IRNazanin" w:eastAsia="IRNazanin" w:cs="IRNazanin"/>
          <w:lang w:bidi="fa-IR"/>
          <w:color w:val="111111"/>
          <w:sz w:val="28"/>
          <w:szCs w:val="28"/>
          <w:rtl/>
        </w:rPr>
        <w:t xml:space="preserve">۱۲۷۹. تهران؛ ملک؛ شماره نسخه: ۵۰۴۵/۴</w:t>
      </w:r>
    </w:p>
    <w:p>
      <w:pPr>
        <w:pStyle w:val="BookText"/>
      </w:pPr>
      <w:r>
        <w:rPr>
          <w:rFonts w:ascii="IRNazanin" w:hAnsi="IRNazanin" w:eastAsia="IRNazanin" w:cs="IRNazanin"/>
          <w:lang w:bidi="fa-IR"/>
          <w:color w:val="111111"/>
          <w:sz w:val="28"/>
          <w:szCs w:val="28"/>
          <w:rtl/>
        </w:rPr>
        <w:t xml:space="preserve">بحر طویل؛ خط: شکسته نستعلیق، بی کا، تا: حدود ۱۲۷۷ق [ف: 8- 177]</w:t>
      </w:r>
    </w:p>
    <w:p>
      <w:pPr>
        <w:pStyle w:val="BookText"/>
      </w:pPr>
      <w:r>
        <w:rPr>
          <w:rFonts w:ascii="IRNazanin" w:hAnsi="IRNazanin" w:eastAsia="IRNazanin" w:cs="IRNazanin"/>
          <w:lang w:bidi="fa-IR"/>
          <w:color w:val="111111"/>
          <w:sz w:val="28"/>
          <w:szCs w:val="28"/>
          <w:rtl/>
        </w:rPr>
        <w:t xml:space="preserve">۱۲۸۰. تهران؛ ملک؛ شماره نسخه: ۵۰۴۵/۳</w:t>
      </w:r>
    </w:p>
    <w:p>
      <w:pPr>
        <w:pStyle w:val="BookText"/>
      </w:pPr>
      <w:r>
        <w:rPr>
          <w:rFonts w:ascii="IRNazanin" w:hAnsi="IRNazanin" w:eastAsia="IRNazanin" w:cs="IRNazanin"/>
          <w:lang w:bidi="fa-IR"/>
          <w:color w:val="111111"/>
          <w:sz w:val="28"/>
          <w:szCs w:val="28"/>
          <w:rtl/>
        </w:rPr>
        <w:t xml:space="preserve">خط: شکسته نستعلیق، بی کا، تا: حدود ۱۲۷۷ق [ف: ۸ - ۱۷۷]</w:t>
      </w:r>
    </w:p>
    <w:p>
      <w:pPr>
        <w:pStyle w:val="BookText"/>
      </w:pPr>
      <w:r>
        <w:rPr>
          <w:rFonts w:ascii="IRNazanin" w:hAnsi="IRNazanin" w:eastAsia="IRNazanin" w:cs="IRNazanin"/>
          <w:lang w:bidi="fa-IR"/>
          <w:color w:val="111111"/>
          <w:sz w:val="28"/>
          <w:szCs w:val="28"/>
          <w:rtl/>
        </w:rPr>
        <w:t xml:space="preserve">۱۲۸۱. تهران؛ دانشگاه؛ شماره نسخه: ۳۶۷۲</w:t>
      </w:r>
    </w:p>
    <w:p>
      <w:pPr>
        <w:pStyle w:val="BookText"/>
      </w:pPr>
      <w:r>
        <w:rPr>
          <w:rFonts w:ascii="IRNazanin" w:hAnsi="IRNazanin" w:eastAsia="IRNazanin" w:cs="IRNazanin"/>
          <w:lang w:bidi="fa-IR"/>
          <w:color w:val="111111"/>
          <w:sz w:val="28"/>
          <w:szCs w:val="28"/>
          <w:rtl/>
        </w:rPr>
        <w:t xml:space="preserve">شعرهای: سعدی و حافظ و مجرم همدانی و فروغی بسطامی و
</w:t>
      </w:r>
    </w:p>
    <w:p>
      <w:pPr>
        <w:sectPr>
          <w:footerReference w:type="default" r:id="rId8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جلال الدين ميرزا متخلص به جلال و پریشان و قاآنی و رفیق سپاهانی و سامانی و صباحی است و بیشتر آن شعرهای قاآنی و حافظ است؛ خط: شکسته نستعلیق، بی کا، تا: پنج شنبه ۱۵ جمادی الاول ۱۲۷۷ق، جا: روستای مهاجران ؛کاغذ: فرنگی ،جلد: تیماج مشکی ضربی، ۱۱۸گ، ۱۲ سطر (7</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 ف: 12- 2679]</w:t>
      </w:r>
    </w:p>
    <w:p>
      <w:pPr>
        <w:pStyle w:val="BookText"/>
      </w:pPr>
      <w:r>
        <w:rPr>
          <w:rFonts w:ascii="Times New Roman" w:hAnsi="Times New Roman" w:eastAsia="Times New Roman" w:cs="Times New Roman"/>
          <w:lang w:val="en-US" w:bidi="en-US"/>
          <w:color w:val="111111"/>
          <w:sz w:val="28"/>
          <w:szCs w:val="28"/>
          <w:rtl/>
        </w:rPr>
        <w:t xml:space="preserve">1282.</w:t>
      </w:r>
    </w:p>
    <w:p>
      <w:pPr>
        <w:pStyle w:val="BookText"/>
      </w:pPr>
      <w:r>
        <w:rPr>
          <w:rFonts w:ascii="IRNazanin" w:hAnsi="IRNazanin" w:eastAsia="IRNazanin" w:cs="IRNazanin"/>
          <w:lang w:bidi="fa-IR"/>
          <w:color w:val="111111"/>
          <w:sz w:val="28"/>
          <w:szCs w:val="28"/>
          <w:rtl/>
        </w:rPr>
        <w:t xml:space="preserve">تهران؛ ملی؛ شماره نسخه: ۸۶۳</w:t>
      </w:r>
    </w:p>
    <w:p>
      <w:pPr>
        <w:pStyle w:val="BookText"/>
      </w:pPr>
      <w:r>
        <w:rPr>
          <w:rFonts w:ascii="IRNazanin" w:hAnsi="IRNazanin" w:eastAsia="IRNazanin" w:cs="IRNazanin"/>
          <w:lang w:bidi="fa-IR"/>
          <w:color w:val="111111"/>
          <w:sz w:val="28"/>
          <w:szCs w:val="28"/>
          <w:rtl/>
        </w:rPr>
        <w:t xml:space="preserve">آغاز: بسمله، یا علی سردفتر امکان توئی </w:t>
      </w:r>
      <w:r>
        <w:rPr>
          <w:rFonts w:ascii="IRNazanin" w:hAnsi="IRNazanin" w:eastAsia="IRNazanin" w:cs="IRNazanin"/>
          <w:lang w:bidi="fa-IR"/>
          <w:color w:val="111111"/>
          <w:sz w:val="28"/>
          <w:szCs w:val="28"/>
          <w:b w:val="1"/>
          <w:bCs w:val="1"/>
          <w:i w:val="1"/>
          <w:iCs w:val="1"/>
          <w:rtl/>
        </w:rPr>
        <w:t xml:space="preserve">آنچه در امکان نگنجد آن تویی؛ انجام: عذر خواه این گناهان پیر ماست</w:t>
      </w:r>
      <w:r>
        <w:rPr>
          <w:rFonts w:ascii="IRNazanin" w:hAnsi="IRNazanin" w:eastAsia="IRNazanin" w:cs="IRNazanin"/>
          <w:lang w:bidi="fa-IR"/>
          <w:color w:val="111111"/>
          <w:sz w:val="28"/>
          <w:szCs w:val="28"/>
          <w:rtl/>
        </w:rPr>
        <w:t xml:space="preserve"> چاکر تدبیر او تدبیر ماست. پایان نسخه: تمام شد کتاب بامر ملـک وهاب در روز شنبه نوزدهم شوال المکرم سنه ۱۲۷۸.</w:t>
      </w:r>
    </w:p>
    <w:p>
      <w:pPr>
        <w:pStyle w:val="BookText"/>
      </w:pPr>
      <w:r>
        <w:rPr>
          <w:rFonts w:ascii="IRNazanin" w:hAnsi="IRNazanin" w:eastAsia="IRNazanin" w:cs="IRNazanin"/>
          <w:lang w:bidi="fa-IR"/>
          <w:color w:val="111111"/>
          <w:sz w:val="28"/>
          <w:szCs w:val="28"/>
          <w:rtl/>
        </w:rPr>
        <w:t xml:space="preserve">این دیوان ابتداء با مدح علی بن ابیطالب آغاز می شود و در ضـمن آن مباحث عرفانی زیبائی طرح می گردد و سپس به مدح حسین بن علی می پردازد و از ماجرای کربلا سخن می گوید. شاعر همه این گفتارها خود به شیوه شاعران صوفی از کلمات عارفان و عشق و سوز و گلدازصوفیان ناله ها سر می دهد ولی متأسفانه نام او نه از این اشعار و نه از مواضع دیگر به دست نیامد؛ خـط: نستعليق، كاتب = مؤلف ،تا: شنبه ۱۹ شوال ۱۲۷۸ق، جا: محتـملاً طهران؛ کاغذ: فرنگی، الوان، جلد: تیماج قرمز یک لا، ۲۸گ، 11سطر (۸/۵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۲ - ۳۹۷]</w:t>
      </w:r>
    </w:p>
    <w:p>
      <w:pPr>
        <w:pStyle w:val="BookText"/>
      </w:pPr>
      <w:r>
        <w:rPr>
          <w:rFonts w:ascii="IRNazanin" w:hAnsi="IRNazanin" w:eastAsia="IRNazanin" w:cs="IRNazanin"/>
          <w:lang w:bidi="fa-IR"/>
          <w:color w:val="111111"/>
          <w:sz w:val="28"/>
          <w:szCs w:val="28"/>
          <w:rtl/>
        </w:rPr>
        <w:t xml:space="preserve">۱۲۸۳. تهران؛ مجلس؛ شماره نسخه: ۱۳۶۱۰/۱</w:t>
      </w:r>
    </w:p>
    <w:p>
      <w:pPr>
        <w:pStyle w:val="BookText"/>
      </w:pPr>
      <w:r>
        <w:rPr>
          <w:rFonts w:ascii="IRNazanin" w:hAnsi="IRNazanin" w:eastAsia="IRNazanin" w:cs="IRNazanin"/>
          <w:lang w:bidi="fa-IR"/>
          <w:color w:val="111111"/>
          <w:sz w:val="28"/>
          <w:szCs w:val="28"/>
          <w:rtl/>
        </w:rPr>
        <w:t xml:space="preserve">اشعاری است از زرگر اصفهانی به خط عبدالمطلب کنی تحریر شده در ۸ جمادی الثانی ۱۲۷۹؛ خط: نستعليق، كاتب = مؤلف،تا: ۱۰۹۱ق؛ جلد: مقوا، عطف و گوشه ها تیماج قهوه ای، ۲گ (۱ر- 2پ)،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۲۸/۵سم [ف : ۳۷ - ۱۳۱]</w:t>
      </w:r>
    </w:p>
    <w:p>
      <w:pPr>
        <w:pStyle w:val="BookText"/>
      </w:pPr>
      <w:r>
        <w:rPr>
          <w:rFonts w:ascii="IRNazanin" w:hAnsi="IRNazanin" w:eastAsia="IRNazanin" w:cs="IRNazanin"/>
          <w:lang w:bidi="fa-IR"/>
          <w:color w:val="111111"/>
          <w:sz w:val="28"/>
          <w:szCs w:val="28"/>
          <w:rtl/>
        </w:rPr>
        <w:t xml:space="preserve">۱۲۸۴. یزد؛ وزیری؛ شماره نسخه: ۲۹۵۱</w:t>
      </w:r>
    </w:p>
    <w:p>
      <w:pPr>
        <w:pStyle w:val="BookText"/>
      </w:pPr>
      <w:r>
        <w:rPr>
          <w:rFonts w:ascii="IRNazanin" w:hAnsi="IRNazanin" w:eastAsia="IRNazanin" w:cs="IRNazanin"/>
          <w:lang w:bidi="fa-IR"/>
          <w:color w:val="111111"/>
          <w:sz w:val="28"/>
          <w:szCs w:val="28"/>
          <w:rtl/>
        </w:rPr>
        <w:t xml:space="preserve">مشتمل است بر اشعاری از: سعدی ،مشتاق ،حافظ، قاآنی، محتشـم، فيض، ملا علی بمان کرمانی، جامی، جوهری ،یغما ،طوفان، كلـیم، غواص، كريم ،نظیری ،طراز ،مصاحب، فردوسی، ملای روم ،هلالی ،واعظ، آشفته ،وحشی ،هاتفی، بابا طاهر ،آصفی، رودکی ،انوری ،تائب ،قضائی، رفیق اصفهانی، طفرا ،مهدی، شریف ،سنائی ،خلیل، شاه نعمت الله ،نظامی، شیخ عطار، نور علیشاه، هاتف، رشحه، عاشق اصفهانی، وصال شیرازی، همای شیرازی ،ادهم ،کامی، بابا رحمت ،اخلاص ،قاسم، امامی ،حمزه، افسری ،معانی ،کمالی ،دوانی ،میرصدر ،تاج، صالح ،مظفر، محمد، نظر ،صدر ،ادریس ،شاه ،امین ،کامران ،نظری ،صادق ،مومن، دلاور ،صابر، عجائب، شاه یوسف ،توکل، میر اسد ،نقی ،ملا شاه، میرزا رفیع، ملا محمد خطاب، مکتبی، صباحی؛ خط:نستعلیق، بی کا،تا:محرم ۱۲۷۹ق؛ نام های شعراء در برگ اول و دوم فهرست شـده ؛اهدایی: حاج میرزا تقی رسولیان؛ کاغذ: فرنگی، جلد: تیماج مشکی ضربی، ۳۹۴گ، مختلف السطر، اندازه: ۱۶/۵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 سم[ ف: ۴ - ۱۴۸۳]</w:t>
      </w:r>
    </w:p>
    <w:p>
      <w:pPr>
        <w:pStyle w:val="BookText"/>
      </w:pPr>
      <w:r>
        <w:rPr>
          <w:rFonts w:ascii="IRNazanin" w:hAnsi="IRNazanin" w:eastAsia="IRNazanin" w:cs="IRNazanin"/>
          <w:lang w:bidi="fa-IR"/>
          <w:color w:val="111111"/>
          <w:sz w:val="28"/>
          <w:szCs w:val="28"/>
          <w:rtl/>
        </w:rPr>
        <w:t xml:space="preserve">۱۲۸۵. قم؛ گلپایگانی؛ شماره نسخه: ۷۶۰۲-۳۸/۲۲۲</w:t>
      </w:r>
    </w:p>
    <w:p>
      <w:pPr>
        <w:pStyle w:val="BookText"/>
      </w:pPr>
      <w:r>
        <w:rPr>
          <w:rFonts w:ascii="IRNazanin" w:hAnsi="IRNazanin" w:eastAsia="IRNazanin" w:cs="IRNazanin"/>
          <w:lang w:bidi="fa-IR"/>
          <w:color w:val="111111"/>
          <w:sz w:val="28"/>
          <w:szCs w:val="28"/>
          <w:rtl/>
        </w:rPr>
        <w:t xml:space="preserve">آغاز: بسمله حمد له ... بهترین همدمی که عارفان معارف ربانی را انیس تواند بود نیکوترین انیسی که سالکان مسالک روحانی را جلیس تواند آمد ... یک دهان خواهم به پهنای فلک *** تا بگویم آن رشک ملک؛ انجام: تا کامل نشوی روزی از خدای تعالی میدان تا کافر نشوی تمت مقالات خواجه عبدالله انصاری.</w:t>
      </w:r>
    </w:p>
    <w:p>
      <w:pPr>
        <w:pStyle w:val="BookText"/>
      </w:pPr>
      <w:r>
        <w:rPr>
          <w:rFonts w:ascii="IRNazanin" w:hAnsi="IRNazanin" w:eastAsia="IRNazanin" w:cs="IRNazanin"/>
          <w:lang w:bidi="fa-IR"/>
          <w:color w:val="111111"/>
          <w:sz w:val="28"/>
          <w:szCs w:val="28"/>
          <w:rtl/>
        </w:rPr>
        <w:t xml:space="preserve">جنگ شعری است شامل اشعاری از خطایی قاآنی، محتشم کاشانی، و رباعیات خیام نیشابوری، بابا طاهر عریان، ابو سعید ابو الخير و نیز اشعار فروغی، جمال الدین بروجردی و در پایان مناجات منظوم و مثنوی خواجه عبدالله انصاری؛ خط: نستعلیق، بی کا، تا: ۱۲۷۹ق؛ جلد: تیماج قهوه ای مجدول، ۳۲۴گ، ۱۳ سطر،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۳ - ۱۲۲۷]</w:t>
      </w:r>
    </w:p>
    <w:p>
      <w:pPr>
        <w:pStyle w:val="BookText"/>
      </w:pPr>
      <w:r>
        <w:rPr>
          <w:rFonts w:ascii="IRNazanin" w:hAnsi="IRNazanin" w:eastAsia="IRNazanin" w:cs="IRNazanin"/>
          <w:lang w:bidi="fa-IR"/>
          <w:color w:val="111111"/>
          <w:sz w:val="28"/>
          <w:szCs w:val="28"/>
          <w:rtl/>
        </w:rPr>
        <w:t xml:space="preserve">۱۲۸۶. تهران؛ مفتاح؛ شماره نسخه: ۸۱۸/۲</w:t>
      </w:r>
    </w:p>
    <w:p>
      <w:pPr>
        <w:pStyle w:val="BookText"/>
      </w:pPr>
      <w:r>
        <w:rPr>
          <w:rFonts w:ascii="IRNazanin" w:hAnsi="IRNazanin" w:eastAsia="IRNazanin" w:cs="IRNazanin"/>
          <w:lang w:bidi="fa-IR"/>
          <w:color w:val="111111"/>
          <w:sz w:val="28"/>
          <w:szCs w:val="28"/>
          <w:rtl/>
        </w:rPr>
        <w:t xml:space="preserve">آغاز: ای امیر منتظرای مقتدا*** ای میان از روی تو نور خدا</w:t>
      </w:r>
    </w:p>
    <w:p>
      <w:pPr>
        <w:pStyle w:val="BookText"/>
      </w:pPr>
      <w:r>
        <w:rPr>
          <w:rFonts w:ascii="IRNazanin" w:hAnsi="IRNazanin" w:eastAsia="IRNazanin" w:cs="IRNazanin"/>
          <w:lang w:bidi="fa-IR"/>
          <w:color w:val="111111"/>
          <w:sz w:val="28"/>
          <w:szCs w:val="28"/>
          <w:rtl/>
        </w:rPr>
        <w:t xml:space="preserve">مثنوی است؛ خط: شکسته نستعلیق، بی کا، تا: ۱۴ شوال ۱۲۷۹ق، به فرمایش میرزا محمد علی؛ قطع: ربعی [ نشریه: ۷ - ۲۵۸]</w:t>
      </w:r>
    </w:p>
    <w:p>
      <w:pPr>
        <w:pStyle w:val="BookText"/>
      </w:pPr>
      <w:r>
        <w:rPr>
          <w:rFonts w:ascii="IRNazanin" w:hAnsi="IRNazanin" w:eastAsia="IRNazanin" w:cs="IRNazanin"/>
          <w:lang w:bidi="fa-IR"/>
          <w:color w:val="111111"/>
          <w:sz w:val="28"/>
          <w:szCs w:val="28"/>
          <w:rtl/>
        </w:rPr>
        <w:t xml:space="preserve">۱۲۸۷. تهران؛ دانشگاه؛ شماره نسخه: ۳۲۴۵/۲</w:t>
      </w:r>
    </w:p>
    <w:p>
      <w:pPr>
        <w:pStyle w:val="BookText"/>
      </w:pPr>
      <w:r>
        <w:rPr>
          <w:rFonts w:ascii="IRNazanin" w:hAnsi="IRNazanin" w:eastAsia="IRNazanin" w:cs="IRNazanin"/>
          <w:lang w:bidi="fa-IR"/>
          <w:color w:val="111111"/>
          <w:sz w:val="28"/>
          <w:szCs w:val="28"/>
          <w:rtl/>
        </w:rPr>
        <w:t xml:space="preserve">آغاز: می کنم حمد خدایی که مرا داده تولا و تبرا که کنم لعن ز  بیداد؛ انجام: لیک کهنه حریفی بود او هم عزب های جهان را.</w:t>
      </w:r>
    </w:p>
    <w:p>
      <w:pPr>
        <w:pStyle w:val="BookText"/>
      </w:pPr>
      <w:r>
        <w:rPr>
          <w:rFonts w:ascii="IRNazanin" w:hAnsi="IRNazanin" w:eastAsia="IRNazanin" w:cs="IRNazanin"/>
          <w:lang w:bidi="fa-IR"/>
          <w:color w:val="111111"/>
          <w:sz w:val="28"/>
          <w:szCs w:val="28"/>
          <w:rtl/>
        </w:rPr>
        <w:t xml:space="preserve">بحر طويل. لعن بر خلفا و بنی امیه است؛ خط: نستعلیق چلیپا،بی کا، تا: ۱۱ ربیع الاول ۱۲۸۰ق؛ کاغذ: فرنگی، جلد: تیماج تریاکی ،ضربی، ۲گ (۱۰۶-۱۰۸)، ۱۳ سطر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۱۷/۵سم [ف : ۱۱ - ۲۲۰۳]</w:t>
      </w:r>
    </w:p>
    <w:p>
      <w:pPr>
        <w:pStyle w:val="BookText"/>
      </w:pPr>
      <w:r>
        <w:rPr>
          <w:rFonts w:ascii="IRNazanin" w:hAnsi="IRNazanin" w:eastAsia="IRNazanin" w:cs="IRNazanin"/>
          <w:lang w:bidi="fa-IR"/>
          <w:color w:val="111111"/>
          <w:sz w:val="28"/>
          <w:szCs w:val="28"/>
          <w:rtl/>
        </w:rPr>
        <w:t xml:space="preserve">۱۲۸۸ . مشهد؛ رضوی؛ شماره نسخه: ۹۳۱۱/۱۵</w:t>
      </w:r>
    </w:p>
    <w:p>
      <w:pPr>
        <w:pStyle w:val="BookText"/>
      </w:pPr>
      <w:r>
        <w:rPr>
          <w:rFonts w:ascii="IRNazanin" w:hAnsi="IRNazanin" w:eastAsia="IRNazanin" w:cs="IRNazanin"/>
          <w:lang w:bidi="fa-IR"/>
          <w:color w:val="111111"/>
          <w:sz w:val="28"/>
          <w:szCs w:val="28"/>
          <w:rtl/>
        </w:rPr>
        <w:t xml:space="preserve">دو قصیده از ادیب صابر ترمذی و غزلیاتی از نشاط اصفهانی و همای شیرازی و یغمای جندقی و وصال شیرازی و چند قصیده و قطعه از منوچهری و انوری و ظهیر فاریابی و غزلیات و رباعیات از قائم مقام و يغما و قاآنی، و ابیاتی از فردوسی و نور علیشاه اصفهانی؛ خط: شکسته نستعلیق خوش، کا: محمد رضا افشار، تا: ۱۲۸۰ق؛ کاغذ: نوعی ترمه ،جلد: مقوایی، عطف و گوشه چرمی، ۱۲ ص (۶۲-۷۴)،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۲۵/۵سم [ف: ۷ - ۷۹۱]</w:t>
      </w:r>
    </w:p>
    <w:p>
      <w:pPr>
        <w:pStyle w:val="BookText"/>
      </w:pPr>
      <w:r>
        <w:rPr>
          <w:rFonts w:ascii="IRNazanin" w:hAnsi="IRNazanin" w:eastAsia="IRNazanin" w:cs="IRNazanin"/>
          <w:lang w:bidi="fa-IR"/>
          <w:color w:val="111111"/>
          <w:sz w:val="28"/>
          <w:szCs w:val="28"/>
          <w:rtl/>
        </w:rPr>
        <w:t xml:space="preserve">۱۲۸۹. تبریز؛ ملی؛ شماره نسخه: ۲۹۰۰</w:t>
      </w:r>
    </w:p>
    <w:p>
      <w:pPr>
        <w:pStyle w:val="BookText"/>
      </w:pPr>
      <w:r>
        <w:rPr>
          <w:rFonts w:ascii="IRNazanin" w:hAnsi="IRNazanin" w:eastAsia="IRNazanin" w:cs="IRNazanin"/>
          <w:lang w:bidi="fa-IR"/>
          <w:color w:val="111111"/>
          <w:sz w:val="28"/>
          <w:szCs w:val="28"/>
          <w:rtl/>
        </w:rPr>
        <w:t xml:space="preserve">آغاز: بزم ما بزم عاشقان باشد *** نقل ما نقل عارفان باشد ... که همه فانیند و باقی یار *** ليس في الدار غيره دیار؛ انجام: هر چه غیر از یار دارم در درون*** خون کن و از دیدگانم کن برون / کن عنایت دیده کامل عیار *** تا به بینم یار را با چشم یار  / می بکن شان پرده پندار را ***آشکارا کن حجاب یار را</w:t>
      </w:r>
    </w:p>
    <w:p>
      <w:pPr>
        <w:pStyle w:val="BookText"/>
      </w:pPr>
      <w:r>
        <w:rPr>
          <w:rFonts w:ascii="IRNazanin" w:hAnsi="IRNazanin" w:eastAsia="IRNazanin" w:cs="IRNazanin"/>
          <w:lang w:bidi="fa-IR"/>
          <w:color w:val="111111"/>
          <w:sz w:val="28"/>
          <w:szCs w:val="28"/>
          <w:rtl/>
        </w:rPr>
        <w:t xml:space="preserve">این جنگ مجموعه منتخبی از آثار نور علیشاه، رحمت علیشاه، بابا طاهر، ابوسعید ابوالخیر ،خواجه عبدالله انصاری، شیخ بهائی و شاه قاسم انوار می باشد دیوان نور علیشاه تقریباً کامل و بیشتر از نسخه چاپی کتابفروشی میر کمالی است؛ خط: نستعلیق، بی کا، تا: ۱۲۸۰ق؛ کاغذ: فرنگی ،جلد: بدون جلد ۵/۲۲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 ۴۹گ، ۲۶ سطر متن و حاشیه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۲۲/۵سم [ف: ۱ - ۳۶۴]</w:t>
      </w:r>
    </w:p>
    <w:p>
      <w:pPr>
        <w:pStyle w:val="BookText"/>
      </w:pPr>
      <w:r>
        <w:rPr>
          <w:rFonts w:ascii="IRNazanin" w:hAnsi="IRNazanin" w:eastAsia="IRNazanin" w:cs="IRNazanin"/>
          <w:lang w:bidi="fa-IR"/>
          <w:color w:val="111111"/>
          <w:sz w:val="28"/>
          <w:szCs w:val="28"/>
          <w:rtl/>
        </w:rPr>
        <w:t xml:space="preserve">۱۲۹۰ تهران؛ مجلس؛ شماره نسخه: ۲۷۹۲/۲
</w:t>
      </w:r>
    </w:p>
    <w:p>
      <w:pPr>
        <w:sectPr>
          <w:footerReference w:type="default" r:id="rId8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آغاز: آغاز وصیت نامه: وصیت میکنم روح دو گمرا *** پـس آنگه زوجه مادر سگم را. آغاز رباعیات: الاله کوهساران هفته بی ***بنفشه جو کناران هفته بی؛ انجام: انجام وصیت نامه: بجز گر طعام آنجا بنوشی *** لباس عافیت هرگز نپوشی. انجام رباعیات: از آن ترسم که غافل پانهی تو *** نشیند خار مژگـانم بپایت</w:t>
      </w:r>
    </w:p>
    <w:p>
      <w:pPr>
        <w:pStyle w:val="BookText"/>
      </w:pPr>
      <w:r>
        <w:rPr>
          <w:rFonts w:ascii="IRNazanin" w:hAnsi="IRNazanin" w:eastAsia="IRNazanin" w:cs="IRNazanin"/>
          <w:lang w:bidi="fa-IR"/>
          <w:color w:val="111111"/>
          <w:sz w:val="28"/>
          <w:szCs w:val="28"/>
          <w:rtl/>
        </w:rPr>
        <w:t xml:space="preserve">نخست وصیت نامه ای است از مردی به همسر خود و پس از آن پاره ای از رباعیات بابا طاهر است؛ خط:نستعلیق، بی کا، تا: نوروز ۱۲۸۱ق، جا ،تهران منزل میرزا سید ابوطالب؛ كاغذ: سفيد فرنگی، بدون آهار، جلد: تیماج  زرد ،۵ ص (۲۵۷-۲۶۱)، ۱۶ سطر، قـطع: وزیری ،کوچک،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۱۰ - ۴۷]</w:t>
      </w:r>
    </w:p>
    <w:p>
      <w:pPr>
        <w:pStyle w:val="BookText"/>
      </w:pPr>
      <w:r>
        <w:rPr>
          <w:rFonts w:ascii="IRNazanin" w:hAnsi="IRNazanin" w:eastAsia="IRNazanin" w:cs="IRNazanin"/>
          <w:lang w:bidi="fa-IR"/>
          <w:color w:val="111111"/>
          <w:sz w:val="28"/>
          <w:szCs w:val="28"/>
          <w:rtl/>
        </w:rPr>
        <w:t xml:space="preserve">۱۲۹۱ . قم؛ گلپایگانی؛ شماره نسخه: ۳۲۰۹-۱۶/۲۱۹</w:t>
      </w:r>
    </w:p>
    <w:p>
      <w:pPr>
        <w:pStyle w:val="BookText"/>
      </w:pPr>
      <w:r>
        <w:rPr>
          <w:rFonts w:ascii="IRNazanin" w:hAnsi="IRNazanin" w:eastAsia="IRNazanin" w:cs="IRNazanin"/>
          <w:lang w:bidi="fa-IR"/>
          <w:color w:val="111111"/>
          <w:sz w:val="28"/>
          <w:szCs w:val="28"/>
          <w:rtl/>
        </w:rPr>
        <w:t xml:space="preserve">آغاز: من كلام طبيب. قسمتم کاش بدان کوی کشد دیگر بار*** که از آن مرحله من دل نگران بستم بار؛ انجام: من كجا ونصيحت کنان بيهده گوی*** کلیم را نرسد که خدایی بهلول / حدیث عشق به گفتن نمی توان آموخت *** مگر کسی که  بود درر طبیعتش مجبول</w:t>
      </w:r>
    </w:p>
    <w:p>
      <w:pPr>
        <w:pStyle w:val="BookText"/>
      </w:pPr>
      <w:r>
        <w:rPr>
          <w:rFonts w:ascii="IRNazanin" w:hAnsi="IRNazanin" w:eastAsia="IRNazanin" w:cs="IRNazanin"/>
          <w:lang w:bidi="fa-IR"/>
          <w:color w:val="111111"/>
          <w:sz w:val="28"/>
          <w:szCs w:val="28"/>
          <w:rtl/>
        </w:rPr>
        <w:t xml:space="preserve">جنگ اشعار طیب، رباعیات بابا طاهر عریان، حافظ نواب محسن میرزا ،نشاط، عاشق حزنی ،سعدی، نورعلی شاه، هادی خان بروجردی، مستور، سلطان محمد میرزا فروغی، قاآنی، انجم، نواب ميرزا، من منشآت میرزا شوکت ،ناصر، حسینعلی دنبلی متخلص به مضطر، میرزا خرم، حکیم ریاضی، میرزا خلیل اردبیلی، لامعی، طبيب، رباعیات زینت گنجوی متخلص به جهتی، مشتاق، طوفان قصاب، قادر، بنایی ،عادلی ،معروف، گوهر نظام؛ خط: نستعـلیق ،شکسته، بی کا، تا: ۱۲۷۷-۱۲۸۱، جا: دولت آباد ؛جلد: تیماج قرمز، ۹۲گ، مختلف السطر، قطع: بیاض رقعی،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۱۸سم[ف: ۳ - ۱۲۴۴]</w:t>
      </w:r>
    </w:p>
    <w:p>
      <w:pPr>
        <w:pStyle w:val="BookText"/>
      </w:pPr>
      <w:r>
        <w:rPr>
          <w:rFonts w:ascii="IRNazanin" w:hAnsi="IRNazanin" w:eastAsia="IRNazanin" w:cs="IRNazanin"/>
          <w:lang w:bidi="fa-IR"/>
          <w:color w:val="111111"/>
          <w:sz w:val="28"/>
          <w:szCs w:val="28"/>
          <w:rtl/>
        </w:rPr>
        <w:t xml:space="preserve">۱۲۹۲. تهران؛ مجلس؛ شماره نسخه: ۲۷۹۲/۴</w:t>
      </w:r>
    </w:p>
    <w:p>
      <w:pPr>
        <w:pStyle w:val="BookText"/>
      </w:pPr>
      <w:r>
        <w:rPr>
          <w:rFonts w:ascii="IRNazanin" w:hAnsi="IRNazanin" w:eastAsia="IRNazanin" w:cs="IRNazanin"/>
          <w:lang w:bidi="fa-IR"/>
          <w:color w:val="111111"/>
          <w:sz w:val="28"/>
          <w:szCs w:val="28"/>
          <w:rtl/>
        </w:rPr>
        <w:t xml:space="preserve">آغاز: ایدل خلقی بر روی تو شیدا *** آفت دلها شدی بر دلارا؛ انجام: بر کاغذ سحاب که منشور خرمن است *** قوس و قزح علامت طغرا همی کشد</w:t>
      </w:r>
    </w:p>
    <w:p>
      <w:pPr>
        <w:pStyle w:val="BookText"/>
      </w:pPr>
      <w:r>
        <w:rPr>
          <w:rFonts w:ascii="IRNazanin" w:hAnsi="IRNazanin" w:eastAsia="IRNazanin" w:cs="IRNazanin"/>
          <w:lang w:bidi="fa-IR"/>
          <w:color w:val="111111"/>
          <w:sz w:val="28"/>
          <w:szCs w:val="28"/>
          <w:rtl/>
        </w:rPr>
        <w:t xml:space="preserve">اشعاری است از: میرزا وصال شیرازی، ملا محمد صادق روشن، رشیدا اسفزاری جمال الدین عبدالرزاق و همام تبریزی؛ خـط: نستعلیق، بی کا، تا: ۱۲۸۱ق؛ کاغذ: سفید فرنگی بدون آهار، جـلد: تیماج زرد، ۱۶گ (۳۱۴-۳۲۹)، ۱۶ سطر، قطع: وزیری کوچک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۱۰ - ۴۸]</w:t>
      </w:r>
    </w:p>
    <w:p>
      <w:pPr>
        <w:pStyle w:val="BookText"/>
      </w:pPr>
      <w:r>
        <w:rPr>
          <w:rFonts w:ascii="IRNazanin" w:hAnsi="IRNazanin" w:eastAsia="IRNazanin" w:cs="IRNazanin"/>
          <w:lang w:bidi="fa-IR"/>
          <w:color w:val="111111"/>
          <w:sz w:val="28"/>
          <w:szCs w:val="28"/>
          <w:rtl/>
        </w:rPr>
        <w:t xml:space="preserve">۱۲۹۳. تهران؛ دانشگاه؛ شماره نسخه ۷۸۴۳</w:t>
      </w:r>
    </w:p>
    <w:p>
      <w:pPr>
        <w:pStyle w:val="BookText"/>
      </w:pPr>
      <w:r>
        <w:rPr>
          <w:rFonts w:ascii="IRNazanin" w:hAnsi="IRNazanin" w:eastAsia="IRNazanin" w:cs="IRNazanin"/>
          <w:lang w:bidi="fa-IR"/>
          <w:color w:val="111111"/>
          <w:sz w:val="28"/>
          <w:szCs w:val="28"/>
          <w:rtl/>
        </w:rPr>
        <w:t xml:space="preserve">آغاز: بسمله الحمد الله لمن عرشه الحمد *** ان الله غفور رحیم (دیباچه عربی) بسمله. ای سراج المله يا روح الوجود *** دفترسیوم بیاور زود زود؛ انجام: هفت دیگر دید چون هفت انجـمن ***  هفت مردم از برای مردمند</w:t>
      </w:r>
    </w:p>
    <w:p>
      <w:pPr>
        <w:pStyle w:val="BookText"/>
      </w:pPr>
      <w:r>
        <w:rPr>
          <w:rFonts w:ascii="IRNazanin" w:hAnsi="IRNazanin" w:eastAsia="IRNazanin" w:cs="IRNazanin"/>
          <w:lang w:bidi="fa-IR"/>
          <w:color w:val="111111"/>
          <w:sz w:val="28"/>
          <w:szCs w:val="28"/>
          <w:rtl/>
        </w:rPr>
        <w:t xml:space="preserve">مثنوی است از فخرالدین محمد که بنام ناصر الدین شاه در1281 سروده است؛خط: نسخ، بی کا، تا: ۱۲۸۱ق؛ افتادگی: انجـام؛ مجدول، با سرلوح، از کتاب های اهدایی آقای حسن علی غفاری معاون الدوله کاشانی؛ کاغذ: فرنگی، جلد: تیماج يشمى ضربی، ۱۶۸گ، ۱۹ سطر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 ۱۶ - ۷۱۸]</w:t>
      </w:r>
    </w:p>
    <w:p>
      <w:pPr>
        <w:pStyle w:val="BookText"/>
      </w:pPr>
      <w:r>
        <w:rPr>
          <w:rFonts w:ascii="IRNazanin" w:hAnsi="IRNazanin" w:eastAsia="IRNazanin" w:cs="IRNazanin"/>
          <w:lang w:bidi="fa-IR"/>
          <w:color w:val="111111"/>
          <w:sz w:val="28"/>
          <w:szCs w:val="28"/>
          <w:rtl/>
        </w:rPr>
        <w:t xml:space="preserve">۱۲۹۴. تهران؛ دانشگاه؛ شماره نسخه: ۵۲۱۴/۱</w:t>
      </w:r>
    </w:p>
    <w:p>
      <w:pPr>
        <w:pStyle w:val="BookText"/>
      </w:pPr>
      <w:r>
        <w:rPr>
          <w:rFonts w:ascii="IRNazanin" w:hAnsi="IRNazanin" w:eastAsia="IRNazanin" w:cs="IRNazanin"/>
          <w:lang w:bidi="fa-IR"/>
          <w:color w:val="111111"/>
          <w:sz w:val="28"/>
          <w:szCs w:val="28"/>
          <w:rtl/>
        </w:rPr>
        <w:t xml:space="preserve">ترکیب بند وصال است؛ کا: حسینعلی بن محمد شریف خان مافی، تا: ۱۲۸۱ق؛ کاغذ: فرنگی رنگارنگ، جلد: تیماج حنایی ضربی مقوایی، ۱ص (۱) ابعاد متن: 7</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[ف:15- 4154]</w:t>
      </w:r>
    </w:p>
    <w:p>
      <w:pPr>
        <w:pStyle w:val="BookText"/>
      </w:pPr>
      <w:r>
        <w:rPr>
          <w:rFonts w:ascii="IRNazanin" w:hAnsi="IRNazanin" w:eastAsia="IRNazanin" w:cs="IRNazanin"/>
          <w:lang w:bidi="fa-IR"/>
          <w:color w:val="111111"/>
          <w:sz w:val="28"/>
          <w:szCs w:val="28"/>
          <w:rtl/>
        </w:rPr>
        <w:t xml:space="preserve">۱۲۹۵. تهران؛ دانشگاه؛ شماره نسخه: ۴۷۱۶/۹</w:t>
      </w:r>
    </w:p>
    <w:p>
      <w:pPr>
        <w:pStyle w:val="BookText"/>
      </w:pPr>
      <w:r>
        <w:rPr>
          <w:rFonts w:ascii="IRNazanin" w:hAnsi="IRNazanin" w:eastAsia="IRNazanin" w:cs="IRNazanin"/>
          <w:lang w:bidi="fa-IR"/>
          <w:color w:val="111111"/>
          <w:sz w:val="28"/>
          <w:szCs w:val="28"/>
          <w:rtl/>
        </w:rPr>
        <w:t xml:space="preserve">ترجیع بند هاتف است ؛خط: نستعلیق، کا: صادق شیرازی، تا: ۱۲۸۱ق؛ مجدول؛ کاغذ: فرنگی ،جلد: تیماج عنابی ضربی، ۱۲ص (۱۹۶-۱۸۵)، ۹ سطر (5</w:t>
      </w:r>
      <w:r>
        <w:rPr>
          <w:rFonts w:ascii="Times New Roman" w:hAnsi="Times New Roman" w:eastAsia="Times New Roman" w:cs="Times New Roman"/>
          <w:lang w:val="en-US" w:bidi="en-US"/>
          <w:color w:val="111111"/>
          <w:sz w:val="28"/>
          <w:szCs w:val="28"/>
          <w:rtl/>
        </w:rPr>
        <w:t xml:space="preserve">×9) </w:t>
      </w:r>
      <w:r>
        <w:rPr>
          <w:rFonts w:ascii="IRNazanin" w:hAnsi="IRNazanin" w:eastAsia="IRNazanin" w:cs="IRNazanin"/>
          <w:lang w:bidi="fa-IR"/>
          <w:color w:val="111111"/>
          <w:sz w:val="28"/>
          <w:szCs w:val="28"/>
          <w:rtl/>
        </w:rPr>
        <w:t xml:space="preserve">،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۱۴ – ۳۶۶۴]</w:t>
      </w:r>
    </w:p>
    <w:p>
      <w:pPr>
        <w:pStyle w:val="BookText"/>
      </w:pPr>
      <w:r>
        <w:rPr>
          <w:rFonts w:ascii="IRNazanin" w:hAnsi="IRNazanin" w:eastAsia="IRNazanin" w:cs="IRNazanin"/>
          <w:lang w:bidi="fa-IR"/>
          <w:color w:val="111111"/>
          <w:sz w:val="28"/>
          <w:szCs w:val="28"/>
          <w:rtl/>
        </w:rPr>
        <w:t xml:space="preserve">۱۲۹۶ . تهران؛ ملک؛ شماره نسخه: ۵۰۱۵</w:t>
      </w:r>
    </w:p>
    <w:p>
      <w:pPr>
        <w:pStyle w:val="BookText"/>
      </w:pPr>
      <w:r>
        <w:rPr>
          <w:rFonts w:ascii="IRNazanin" w:hAnsi="IRNazanin" w:eastAsia="IRNazanin" w:cs="IRNazanin"/>
          <w:lang w:bidi="fa-IR"/>
          <w:color w:val="111111"/>
          <w:sz w:val="28"/>
          <w:szCs w:val="28"/>
          <w:rtl/>
        </w:rPr>
        <w:t xml:space="preserve">جنگ اشعار از: ملا محمد صوفی، طرازی ،رفیق، نعیمای اصفهانی، عاشق اصفهانی، ذکر خلافت ابوبکر، پورحسن اسفراینی ،بوعلی سینا ،سوزنی، قائم مقام، ناصر خسرو، هاتف کاشی ،خاقانی، ابوالعلاء گنجه ای ،سنائی ،وحشی، بنائی، سرائی، سلمان ساوجی، جلال جعفر فراهانی، وحشی کرمانی، مولوی رومی ،خیام ،ابوسعید ابوالخیر ،عطار، هاتفی خراسانی، با دیباچه ای در سر گذشت ابن یمین، رشیدالدین وطواط، بدرالدین</w:t>
      </w:r>
    </w:p>
    <w:p>
      <w:pPr>
        <w:pStyle w:val="BookText"/>
      </w:pPr>
      <w:r>
        <w:rPr>
          <w:rFonts w:ascii="IRNazanin" w:hAnsi="IRNazanin" w:eastAsia="IRNazanin" w:cs="IRNazanin"/>
          <w:lang w:bidi="fa-IR"/>
          <w:color w:val="111111"/>
          <w:sz w:val="28"/>
          <w:szCs w:val="28"/>
          <w:rtl/>
        </w:rPr>
        <w:t xml:space="preserve">جامی، شاه طاهر قمی، غضنفر قمی ،عصمت ،نورعلیشاه، میرزا تقی نوری، لعن نامه منسوب به خواجه نصیر، مناظره گل و مل ،حکایت، سرگذشت مولوی، سر گذشت عطار، شاهنامه؛ خط: شکسته نستعلیق، بی کا، تا: ۱۲۸۱ق؛ کاغذ: فرنگی آهار مهره، جلد: میشن قهوه ای لایی، ۱۵۳گ، ۱۰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۲۱/۴سم  [ف: ۸ - ۱۶۸]</w:t>
      </w:r>
    </w:p>
    <w:p>
      <w:pPr>
        <w:pStyle w:val="BookText"/>
      </w:pPr>
      <w:r>
        <w:rPr>
          <w:rFonts w:ascii="IRNazanin" w:hAnsi="IRNazanin" w:eastAsia="IRNazanin" w:cs="IRNazanin"/>
          <w:lang w:bidi="fa-IR"/>
          <w:color w:val="111111"/>
          <w:sz w:val="28"/>
          <w:szCs w:val="28"/>
          <w:rtl/>
        </w:rPr>
        <w:t xml:space="preserve">۱۲۹۷. تهران؛ موزه آستان حضرت عبدالعظیم؛ شماره نسخه: ۳۶/۴</w:t>
      </w:r>
    </w:p>
    <w:p>
      <w:pPr>
        <w:pStyle w:val="BookText"/>
      </w:pPr>
      <w:r>
        <w:rPr>
          <w:rFonts w:ascii="IRNazanin" w:hAnsi="IRNazanin" w:eastAsia="IRNazanin" w:cs="IRNazanin"/>
          <w:lang w:bidi="fa-IR"/>
          <w:color w:val="111111"/>
          <w:sz w:val="28"/>
          <w:szCs w:val="28"/>
          <w:rtl/>
        </w:rPr>
        <w:t xml:space="preserve">از قاسم انوار و شیخ بهایی؛ خط: نستعلیق، كا: على موركانی ،لنجانی ،تا: با تاریخ ۱۲۸۲ق؛ جلد: تیماج روغنی دورو، روی جلد زمینه قهوه ای با جدول زر و نقش گل و بوته و پرنده مذهب و رنگین، داخل جلد زمینه سرخ با نقش گل نرگس، ۳گ (۴۸پ-50)،  ۱۵ 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۱۷/۵سم [ف: ۱۳۸]</w:t>
      </w:r>
    </w:p>
    <w:p>
      <w:pPr>
        <w:pStyle w:val="BookText"/>
      </w:pPr>
      <w:r>
        <w:rPr>
          <w:rFonts w:ascii="IRNazanin" w:hAnsi="IRNazanin" w:eastAsia="IRNazanin" w:cs="IRNazanin"/>
          <w:lang w:bidi="fa-IR"/>
          <w:color w:val="111111"/>
          <w:sz w:val="28"/>
          <w:szCs w:val="28"/>
          <w:rtl/>
        </w:rPr>
        <w:t xml:space="preserve">۱۲۹۸. تهران؛ مجلس؛ شماره نسخه :۷۱۲۰</w:t>
      </w:r>
    </w:p>
    <w:p>
      <w:pPr>
        <w:pStyle w:val="BookText"/>
      </w:pPr>
      <w:r>
        <w:rPr>
          <w:rFonts w:ascii="IRNazanin" w:hAnsi="IRNazanin" w:eastAsia="IRNazanin" w:cs="IRNazanin"/>
          <w:lang w:bidi="fa-IR"/>
          <w:color w:val="111111"/>
          <w:sz w:val="28"/>
          <w:szCs w:val="28"/>
          <w:rtl/>
        </w:rPr>
        <w:t xml:space="preserve">آغاز: چرا بدون سبب با منت سروکین است... انجام: داده جابر گرد عارض***جای خطشان مورمار</w:t>
      </w:r>
    </w:p>
    <w:p>
      <w:pPr>
        <w:pStyle w:val="BookText"/>
      </w:pPr>
      <w:r>
        <w:rPr>
          <w:rFonts w:ascii="IRNazanin" w:hAnsi="IRNazanin" w:eastAsia="IRNazanin" w:cs="IRNazanin"/>
          <w:lang w:bidi="fa-IR"/>
          <w:color w:val="111111"/>
          <w:sz w:val="28"/>
          <w:szCs w:val="28"/>
          <w:rtl/>
        </w:rPr>
        <w:t xml:space="preserve">اشعار مختلفی را در موضوعات گوناگون از سعدی ،مولوی یغما و  قاآنی جمع  آوری نموده؛ خط: نستعلیق، چلیپا، بی کا، تا: ۲۶ ربیع الثانی ۱۲۸۲ق؛ افتادگی: آغاز و انجام؛ مجدول؛ جلد: تيماج قهوه ای، ۱۳۴گ ۶ سطر، 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۲۵ - ۱۳۲]</w:t>
      </w:r>
    </w:p>
    <w:p>
      <w:pPr>
        <w:pStyle w:val="BookText"/>
      </w:pPr>
      <w:r>
        <w:rPr>
          <w:rFonts w:ascii="IRNazanin" w:hAnsi="IRNazanin" w:eastAsia="IRNazanin" w:cs="IRNazanin"/>
          <w:lang w:bidi="fa-IR"/>
          <w:color w:val="111111"/>
          <w:sz w:val="28"/>
          <w:szCs w:val="28"/>
          <w:rtl/>
        </w:rPr>
        <w:t xml:space="preserve">۱۲۹۹. تهران؛ ملی؛ شماره نسخه: ۲۴۶۹/۷</w:t>
      </w:r>
    </w:p>
    <w:p>
      <w:pPr>
        <w:pStyle w:val="BookText"/>
      </w:pPr>
      <w:r>
        <w:rPr>
          <w:rFonts w:ascii="IRNazanin" w:hAnsi="IRNazanin" w:eastAsia="IRNazanin" w:cs="IRNazanin"/>
          <w:lang w:bidi="fa-IR"/>
          <w:color w:val="111111"/>
          <w:sz w:val="28"/>
          <w:szCs w:val="28"/>
          <w:rtl/>
        </w:rPr>
        <w:t xml:space="preserve">جنگی شامل: ساقی نامه از والیه، چند غزل از والیه، قصیده ای به قافیه میم از جامی، مثنوی در بیان گفتگوی کنیزک چینی با اسکندر رومی، قطعات و رباعیاتی از یغما، قاآنی ،عبید، شهاب،
</w:t>
      </w:r>
    </w:p>
    <w:p>
      <w:pPr>
        <w:sectPr>
          <w:footerReference w:type="default" r:id="rId8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شرر، انوری؛ خط: شکسته نستعلیق، کا: ابراهیم کرمانی،تا: ۱۲۸۳ق؛ کاغذ: فرنگی (آبی) ،جلد: تیماج مشکی با ترنج نیم ترنج کوبیده  مقوایی، ۱۱ص (۱۷۸-۱۸۹)، ۱۵سطر (۶/۵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۱۱/۵)،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۱۷/۵سم [ف: ۵ - ۶۴۴]</w:t>
      </w:r>
    </w:p>
    <w:p>
      <w:pPr>
        <w:pStyle w:val="BookText"/>
      </w:pPr>
      <w:r>
        <w:rPr>
          <w:rFonts w:ascii="IRNazanin" w:hAnsi="IRNazanin" w:eastAsia="IRNazanin" w:cs="IRNazanin"/>
          <w:lang w:bidi="fa-IR"/>
          <w:color w:val="111111"/>
          <w:sz w:val="28"/>
          <w:szCs w:val="28"/>
          <w:rtl/>
        </w:rPr>
        <w:t xml:space="preserve">۱۳۰۰. تهران؛ ملی؛ شماره نسخه: ۲۴۶۹/۵</w:t>
      </w:r>
    </w:p>
    <w:p>
      <w:pPr>
        <w:pStyle w:val="BookText"/>
      </w:pPr>
      <w:r>
        <w:rPr>
          <w:rFonts w:ascii="IRNazanin" w:hAnsi="IRNazanin" w:eastAsia="IRNazanin" w:cs="IRNazanin"/>
          <w:lang w:bidi="fa-IR"/>
          <w:color w:val="111111"/>
          <w:sz w:val="28"/>
          <w:szCs w:val="28"/>
          <w:rtl/>
        </w:rPr>
        <w:t xml:space="preserve">آغاز: ای ز مهرت دل خراب آباد*** وزغمت جان مستمندان شاد ؛انجام: همین وعده گری امروز فردا *** نمیدونم که فردای تو کی بی</w:t>
      </w:r>
    </w:p>
    <w:p>
      <w:pPr>
        <w:pStyle w:val="BookText"/>
      </w:pPr>
      <w:r>
        <w:rPr>
          <w:rFonts w:ascii="IRNazanin" w:hAnsi="IRNazanin" w:eastAsia="IRNazanin" w:cs="IRNazanin"/>
          <w:lang w:bidi="fa-IR"/>
          <w:color w:val="111111"/>
          <w:sz w:val="28"/>
          <w:szCs w:val="28"/>
          <w:rtl/>
        </w:rPr>
        <w:t xml:space="preserve">شامل: ۱- ترجیع بند شاه نعمت اله ولی، ۲- ترجیع بند از نور علی شاه که ترجیع آن این بیت است: «آن گه همه فانی اند و باقی یار ***ليس فى الدار غيره دیار»،3 - ظهیر فاریابی، ۴- مثنوی سامی، ۵- قصیده ای از انوری با قافیه لام، ۶- رباعيات بابا طاهر عریان ؛خط: شکسته نستعلیق، کا: ابراهیم کرمانی، تا: ۱۲۸۳ق؛ کاغذ: فرنگی (آبی)، جلد: تیماج مشکی با ترنج و نیم ترنج کوبیده مقوایی، ۲۴ ص (۱۲۲ -۱۴۶)، ۱۵ سطر (۶/۵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۱۱/۵)،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۱۷/۵سم [ف: ۵ - ۶۴۳]</w:t>
      </w:r>
    </w:p>
    <w:p>
      <w:pPr>
        <w:pStyle w:val="BookText"/>
      </w:pPr>
      <w:r>
        <w:rPr>
          <w:rFonts w:ascii="IRNazanin" w:hAnsi="IRNazanin" w:eastAsia="IRNazanin" w:cs="IRNazanin"/>
          <w:lang w:bidi="fa-IR"/>
          <w:color w:val="111111"/>
          <w:sz w:val="28"/>
          <w:szCs w:val="28"/>
          <w:rtl/>
        </w:rPr>
        <w:t xml:space="preserve">۱۳۰۱. تهران؛ ملک؛ شماره نسخه: ۴۹۷۸/۱۰</w:t>
      </w:r>
    </w:p>
    <w:p>
      <w:pPr>
        <w:pStyle w:val="BookText"/>
      </w:pPr>
      <w:r>
        <w:rPr>
          <w:rFonts w:ascii="IRNazanin" w:hAnsi="IRNazanin" w:eastAsia="IRNazanin" w:cs="IRNazanin"/>
          <w:lang w:bidi="fa-IR"/>
          <w:color w:val="111111"/>
          <w:sz w:val="28"/>
          <w:szCs w:val="28"/>
          <w:rtl/>
        </w:rPr>
        <w:t xml:space="preserve">قصیده خاوری است؛ خط: شکسته نستعلیق، بی کا، تا: ۱۲۸۴ق، جا: تفلیس [ف: ۸ - ۱۵۳]</w:t>
      </w:r>
    </w:p>
    <w:p>
      <w:pPr>
        <w:pStyle w:val="BookText"/>
      </w:pPr>
      <w:r>
        <w:rPr>
          <w:rFonts w:ascii="IRNazanin" w:hAnsi="IRNazanin" w:eastAsia="IRNazanin" w:cs="IRNazanin"/>
          <w:lang w:bidi="fa-IR"/>
          <w:color w:val="111111"/>
          <w:sz w:val="28"/>
          <w:szCs w:val="28"/>
          <w:rtl/>
        </w:rPr>
        <w:t xml:space="preserve">۱۳۰۲. تهران؛ ملک؛ شماره نسخه: ۴۹۷۸/۷</w:t>
      </w:r>
    </w:p>
    <w:p>
      <w:pPr>
        <w:pStyle w:val="BookText"/>
      </w:pPr>
      <w:r>
        <w:rPr>
          <w:rFonts w:ascii="IRNazanin" w:hAnsi="IRNazanin" w:eastAsia="IRNazanin" w:cs="IRNazanin"/>
          <w:lang w:bidi="fa-IR"/>
          <w:color w:val="111111"/>
          <w:sz w:val="28"/>
          <w:szCs w:val="28"/>
          <w:rtl/>
        </w:rPr>
        <w:t xml:space="preserve">قصیده ناصری؛ خط: شکسته نستعلیق، بی کا، تا: ۱۲۸۴ق،جا: تفلیس [ف: ۸ - ۱۵۲]</w:t>
      </w:r>
    </w:p>
    <w:p>
      <w:pPr>
        <w:pStyle w:val="BookText"/>
      </w:pPr>
      <w:r>
        <w:rPr>
          <w:rFonts w:ascii="IRNazanin" w:hAnsi="IRNazanin" w:eastAsia="IRNazanin" w:cs="IRNazanin"/>
          <w:lang w:bidi="fa-IR"/>
          <w:color w:val="111111"/>
          <w:sz w:val="28"/>
          <w:szCs w:val="28"/>
          <w:rtl/>
        </w:rPr>
        <w:t xml:space="preserve">۱۳۰۳. تهران؛ ملک؛ شماره نسخه: ۴۹۷۸/۱</w:t>
      </w:r>
    </w:p>
    <w:p>
      <w:pPr>
        <w:pStyle w:val="BookText"/>
      </w:pPr>
      <w:r>
        <w:rPr>
          <w:rFonts w:ascii="IRNazanin" w:hAnsi="IRNazanin" w:eastAsia="IRNazanin" w:cs="IRNazanin"/>
          <w:lang w:bidi="fa-IR"/>
          <w:color w:val="111111"/>
          <w:sz w:val="28"/>
          <w:szCs w:val="28"/>
          <w:rtl/>
        </w:rPr>
        <w:t xml:space="preserve">قصاید است؛ خط: نستعلیق، بی کا، تا: ۱۲۸۴ق، جا: تفلیس [ف: 8- 152]</w:t>
      </w:r>
    </w:p>
    <w:p>
      <w:pPr>
        <w:pStyle w:val="BookText"/>
      </w:pPr>
      <w:r>
        <w:rPr>
          <w:rFonts w:ascii="Times New Roman" w:hAnsi="Times New Roman" w:eastAsia="Times New Roman" w:cs="Times New Roman"/>
          <w:lang w:val="en-US" w:bidi="en-US"/>
          <w:color w:val="111111"/>
          <w:sz w:val="28"/>
          <w:szCs w:val="28"/>
          <w:rtl/>
        </w:rPr>
        <w:t xml:space="preserve">1304.</w:t>
      </w:r>
    </w:p>
    <w:p>
      <w:pPr>
        <w:pStyle w:val="BookText"/>
      </w:pPr>
      <w:r>
        <w:rPr>
          <w:rFonts w:ascii="IRNazanin" w:hAnsi="IRNazanin" w:eastAsia="IRNazanin" w:cs="IRNazanin"/>
          <w:lang w:bidi="fa-IR"/>
          <w:color w:val="111111"/>
          <w:sz w:val="28"/>
          <w:szCs w:val="28"/>
          <w:rtl/>
        </w:rPr>
        <w:t xml:space="preserve">تهران؛ ملک؛ شماره نسخه: ۵۱۷۸</w:t>
      </w:r>
    </w:p>
    <w:p>
      <w:pPr>
        <w:pStyle w:val="BookText"/>
      </w:pPr>
      <w:r>
        <w:rPr>
          <w:rFonts w:ascii="IRNazanin" w:hAnsi="IRNazanin" w:eastAsia="IRNazanin" w:cs="IRNazanin"/>
          <w:lang w:bidi="fa-IR"/>
          <w:color w:val="111111"/>
          <w:sz w:val="28"/>
          <w:szCs w:val="28"/>
          <w:rtl/>
        </w:rPr>
        <w:t xml:space="preserve">آغاز: بسمله. آغاز قصه مرتشی. قصه ای گویم به سبک مثنوی*** گوش دل را بازکن تا بشنوی / شه وظیفت داد نه تن را ز لطف *** دیگری تنصیف کرد آن را به عنف؛ انجام: در مدیحت داد معنی دادمی *** غیر از این منطق لبی نگشادمی</w:t>
      </w:r>
    </w:p>
    <w:p>
      <w:pPr>
        <w:pStyle w:val="BookText"/>
      </w:pPr>
      <w:r>
        <w:rPr>
          <w:rFonts w:ascii="IRNazanin" w:hAnsi="IRNazanin" w:eastAsia="IRNazanin" w:cs="IRNazanin"/>
          <w:lang w:bidi="fa-IR"/>
          <w:color w:val="111111"/>
          <w:sz w:val="28"/>
          <w:szCs w:val="28"/>
          <w:rtl/>
        </w:rPr>
        <w:t xml:space="preserve">مثنوی مرتشی، اخلاقی است در نکوهش از رشوه خواری، آغاز و انجام آن از ناصرالدین شاه ستایش شده و نزدیک به 95بیت دارد؛ خط: نستعلیق خوش، بی کا، تا: یک شنبه ۹ رمضـان ۱۲۸۴ق؛ کاغذ: فستقی، جلد:رویه کاغذ فرنگی زرشکی، 6گ، 10 سطر، اندازه: ۱۲/۷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۴ - ۷۲۲]</w:t>
      </w:r>
    </w:p>
    <w:p>
      <w:pPr>
        <w:pStyle w:val="BookText"/>
      </w:pPr>
      <w:r>
        <w:rPr>
          <w:rFonts w:ascii="IRNazanin" w:hAnsi="IRNazanin" w:eastAsia="IRNazanin" w:cs="IRNazanin"/>
          <w:lang w:bidi="fa-IR"/>
          <w:color w:val="111111"/>
          <w:sz w:val="28"/>
          <w:szCs w:val="28"/>
          <w:rtl/>
        </w:rPr>
        <w:t xml:space="preserve">۱۳۰۵. تهران؛ ملک؛ شماره نسخه: ۴۹۷۸/۲</w:t>
      </w:r>
    </w:p>
    <w:p>
      <w:pPr>
        <w:pStyle w:val="BookText"/>
      </w:pPr>
      <w:r>
        <w:rPr>
          <w:rFonts w:ascii="IRNazanin" w:hAnsi="IRNazanin" w:eastAsia="IRNazanin" w:cs="IRNazanin"/>
          <w:lang w:bidi="fa-IR"/>
          <w:color w:val="111111"/>
          <w:sz w:val="28"/>
          <w:szCs w:val="28"/>
          <w:rtl/>
        </w:rPr>
        <w:t xml:space="preserve">ترجیع بند است ؛خط: شکسته نستعلیق، بی کا، تا: ۱۲۸۴ق، جا: تفلیس [ف: ۸ - ۱۵۲]</w:t>
      </w:r>
    </w:p>
    <w:p>
      <w:pPr>
        <w:pStyle w:val="BookText"/>
      </w:pPr>
      <w:r>
        <w:rPr>
          <w:rFonts w:ascii="IRNazanin" w:hAnsi="IRNazanin" w:eastAsia="IRNazanin" w:cs="IRNazanin"/>
          <w:lang w:bidi="fa-IR"/>
          <w:color w:val="111111"/>
          <w:sz w:val="28"/>
          <w:szCs w:val="28"/>
          <w:rtl/>
        </w:rPr>
        <w:t xml:space="preserve">۱۳۰۶. تهران؛ ملک؛ شماره نسخه: ۴۹۷۸/۶</w:t>
      </w:r>
    </w:p>
    <w:p>
      <w:pPr>
        <w:pStyle w:val="BookText"/>
      </w:pPr>
      <w:r>
        <w:rPr>
          <w:rFonts w:ascii="IRNazanin" w:hAnsi="IRNazanin" w:eastAsia="IRNazanin" w:cs="IRNazanin"/>
          <w:lang w:bidi="fa-IR"/>
          <w:color w:val="111111"/>
          <w:sz w:val="28"/>
          <w:szCs w:val="28"/>
          <w:rtl/>
        </w:rPr>
        <w:t xml:space="preserve">از امير الشعراء؛ خط: شکسته نستعلیق، بی کا، تا: ۱۲۸۴ق، جا: تفلیس [ف: ۸ - ۱۵۲]</w:t>
      </w:r>
    </w:p>
    <w:p>
      <w:pPr>
        <w:pStyle w:val="BookText"/>
      </w:pPr>
      <w:r>
        <w:rPr>
          <w:rFonts w:ascii="IRNazanin" w:hAnsi="IRNazanin" w:eastAsia="IRNazanin" w:cs="IRNazanin"/>
          <w:lang w:bidi="fa-IR"/>
          <w:color w:val="111111"/>
          <w:sz w:val="28"/>
          <w:szCs w:val="28"/>
          <w:rtl/>
        </w:rPr>
        <w:t xml:space="preserve">۱۳۰۷. تهران؛ ملک؛ شماره نسخه: ۴۹۷۸/۱۱</w:t>
      </w:r>
    </w:p>
    <w:p>
      <w:pPr>
        <w:pStyle w:val="BookText"/>
      </w:pPr>
      <w:r>
        <w:rPr>
          <w:rFonts w:ascii="IRNazanin" w:hAnsi="IRNazanin" w:eastAsia="IRNazanin" w:cs="IRNazanin"/>
          <w:lang w:bidi="fa-IR"/>
          <w:color w:val="111111"/>
          <w:sz w:val="28"/>
          <w:szCs w:val="28"/>
          <w:rtl/>
        </w:rPr>
        <w:t xml:space="preserve">اشعار از بهمن است؛ خط: شکسته نستعلیق، بی کا، تا: ۱۲۸۴ق،جا:تفلیس [ف: ۸ - ۱۵۳]</w:t>
      </w:r>
    </w:p>
    <w:p>
      <w:pPr>
        <w:pStyle w:val="BookText"/>
      </w:pPr>
      <w:r>
        <w:rPr>
          <w:rFonts w:ascii="IRNazanin" w:hAnsi="IRNazanin" w:eastAsia="IRNazanin" w:cs="IRNazanin"/>
          <w:lang w:bidi="fa-IR"/>
          <w:color w:val="111111"/>
          <w:sz w:val="28"/>
          <w:szCs w:val="28"/>
          <w:rtl/>
        </w:rPr>
        <w:t xml:space="preserve">۱۳۰۸. تهران؛ ملک؛ شماره نسخه: ۴۹۷۸/۵</w:t>
      </w:r>
    </w:p>
    <w:p>
      <w:pPr>
        <w:pStyle w:val="BookText"/>
      </w:pPr>
      <w:r>
        <w:rPr>
          <w:rFonts w:ascii="IRNazanin" w:hAnsi="IRNazanin" w:eastAsia="IRNazanin" w:cs="IRNazanin"/>
          <w:lang w:bidi="fa-IR"/>
          <w:color w:val="111111"/>
          <w:sz w:val="28"/>
          <w:szCs w:val="28"/>
          <w:rtl/>
        </w:rPr>
        <w:t xml:space="preserve">اشعار از محمد حسین است ؛خط: شکسته نستعلیق، بی کا، تا: ۱۲۸۴ق، جا: تفلیس؛ [ف: ۸ - ۱۵۲]</w:t>
      </w:r>
    </w:p>
    <w:p>
      <w:pPr>
        <w:pStyle w:val="BookText"/>
      </w:pPr>
      <w:r>
        <w:rPr>
          <w:rFonts w:ascii="IRNazanin" w:hAnsi="IRNazanin" w:eastAsia="IRNazanin" w:cs="IRNazanin"/>
          <w:lang w:bidi="fa-IR"/>
          <w:color w:val="111111"/>
          <w:sz w:val="28"/>
          <w:szCs w:val="28"/>
          <w:rtl/>
        </w:rPr>
        <w:t xml:space="preserve">۱۳۰۹ . قم؛ مسجد اعظم؛ شماره نسخه: ۷۳۲/۲</w:t>
      </w:r>
    </w:p>
    <w:p>
      <w:pPr>
        <w:pStyle w:val="BookText"/>
      </w:pPr>
      <w:r>
        <w:rPr>
          <w:rFonts w:ascii="IRNazanin" w:hAnsi="IRNazanin" w:eastAsia="IRNazanin" w:cs="IRNazanin"/>
          <w:lang w:bidi="fa-IR"/>
          <w:color w:val="111111"/>
          <w:sz w:val="28"/>
          <w:szCs w:val="28"/>
          <w:rtl/>
        </w:rPr>
        <w:t xml:space="preserve">آغاز: آن که به کیهان عقل را میراست*** هر تصور بدش تصویر است / جان دوستش عالم نور است*** اگه از علت است و تغییر است ؛انجام: همیشه تا که ز آقام هست نام گیتی *** مدام تا که به دوران بود رود سخن زلیالی / همش چنان شب دیجور باد صبح مخالف *** همش چو صبحدم عبد باد شام مولی</w:t>
      </w:r>
    </w:p>
    <w:p>
      <w:pPr>
        <w:pStyle w:val="BookText"/>
      </w:pPr>
      <w:r>
        <w:rPr>
          <w:rFonts w:ascii="IRNazanin" w:hAnsi="IRNazanin" w:eastAsia="IRNazanin" w:cs="IRNazanin"/>
          <w:lang w:bidi="fa-IR"/>
          <w:color w:val="111111"/>
          <w:sz w:val="28"/>
          <w:szCs w:val="28"/>
          <w:rtl/>
        </w:rPr>
        <w:t xml:space="preserve">جنگ شعر است مشتمل بر اشعاری از صبا ونير ومثنوی درمدح  رجال دولت و وصف قمر خورشید شاه و تاریخ بنای برج الله  یارخان اراک؛ خط: نستعلیق، بی کا، تا: ۱۷ جمادی الثانی ۱۲۸۵ق؛ جلد: گالینگور سبز، عطف تیماج زرشکی، ۱۷۳گ، مختلف السطر،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مخ: ۲ - ۶۰۸]</w:t>
      </w:r>
    </w:p>
    <w:p>
      <w:pPr>
        <w:pStyle w:val="BookText"/>
      </w:pPr>
      <w:r>
        <w:rPr>
          <w:rFonts w:ascii="IRNazanin" w:hAnsi="IRNazanin" w:eastAsia="IRNazanin" w:cs="IRNazanin"/>
          <w:lang w:bidi="fa-IR"/>
          <w:color w:val="111111"/>
          <w:sz w:val="28"/>
          <w:szCs w:val="28"/>
          <w:rtl/>
        </w:rPr>
        <w:t xml:space="preserve">۱۳۱۰. تهران؛ ملک؛ شماره نسخه: ۵۴۶۴</w:t>
      </w:r>
    </w:p>
    <w:p>
      <w:pPr>
        <w:pStyle w:val="BookText"/>
      </w:pPr>
      <w:r>
        <w:rPr>
          <w:rFonts w:ascii="IRNazanin" w:hAnsi="IRNazanin" w:eastAsia="IRNazanin" w:cs="IRNazanin"/>
          <w:lang w:bidi="fa-IR"/>
          <w:color w:val="111111"/>
          <w:sz w:val="28"/>
          <w:szCs w:val="28"/>
          <w:rtl/>
        </w:rPr>
        <w:t xml:space="preserve">شامل: اشعاری از فتحعلی خان صبا و هاتف دوازده بند وصال شیرازی، رباعیات سعدی، اشعاری از میرزا محمد حسین یاری؛ خط: نستعلیق، کا: محمد علی، تا: ۱۲۸۵ق؛ سطور راسته و چلیپا؛ کاغذ: فرنگی، جلد: کاغذ ابری عطف و گوشه میشن، ۲۶گ، مختلف السطر، اندازه 17/3</w:t>
      </w:r>
      <w:r>
        <w:rPr>
          <w:rFonts w:ascii="Times New Roman" w:hAnsi="Times New Roman" w:eastAsia="Times New Roman" w:cs="Times New Roman"/>
          <w:lang w:val="en-US" w:bidi="en-US"/>
          <w:color w:val="111111"/>
          <w:sz w:val="28"/>
          <w:szCs w:val="28"/>
          <w:rtl/>
        </w:rPr>
        <w:t xml:space="preserve">×22/3</w:t>
      </w:r>
      <w:r>
        <w:rPr>
          <w:rFonts w:ascii="IRNazanin" w:hAnsi="IRNazanin" w:eastAsia="IRNazanin" w:cs="IRNazanin"/>
          <w:lang w:bidi="fa-IR"/>
          <w:color w:val="111111"/>
          <w:sz w:val="28"/>
          <w:szCs w:val="28"/>
          <w:rtl/>
        </w:rPr>
        <w:t xml:space="preserve">سم [ ف : ۱۸ - ۳۹۳]</w:t>
      </w:r>
    </w:p>
    <w:p>
      <w:pPr>
        <w:pStyle w:val="BookText"/>
      </w:pPr>
      <w:r>
        <w:rPr>
          <w:rFonts w:ascii="IRNazanin" w:hAnsi="IRNazanin" w:eastAsia="IRNazanin" w:cs="IRNazanin"/>
          <w:lang w:bidi="fa-IR"/>
          <w:color w:val="111111"/>
          <w:sz w:val="28"/>
          <w:szCs w:val="28"/>
          <w:rtl/>
        </w:rPr>
        <w:t xml:space="preserve">۱۳۱۱. تهران؛ ملی؛ شماره نسخه: ۱۸۷۲/۱۹</w:t>
      </w:r>
    </w:p>
    <w:p>
      <w:pPr>
        <w:pStyle w:val="BookText"/>
      </w:pPr>
      <w:r>
        <w:rPr>
          <w:rFonts w:ascii="IRNazanin" w:hAnsi="IRNazanin" w:eastAsia="IRNazanin" w:cs="IRNazanin"/>
          <w:lang w:bidi="fa-IR"/>
          <w:color w:val="111111"/>
          <w:sz w:val="28"/>
          <w:szCs w:val="28"/>
          <w:rtl/>
        </w:rPr>
        <w:t xml:space="preserve">آغاز: بسمله، در کمال حسن رویش چون جمال آمد جبین*** از صباح روى او فى الحى نادوا مصبحين؛ انجام: گر تو خواهی تا  بهشت خلد بینی های به بین </w:t>
      </w:r>
      <w:r>
        <w:rPr>
          <w:rFonts w:ascii="IRNazanin" w:hAnsi="IRNazanin" w:eastAsia="IRNazanin" w:cs="IRNazanin"/>
          <w:lang w:bidi="fa-IR"/>
          <w:color w:val="111111"/>
          <w:sz w:val="28"/>
          <w:szCs w:val="28"/>
          <w:b w:val="1"/>
          <w:bCs w:val="1"/>
          <w:i w:val="1"/>
          <w:iCs w:val="1"/>
          <w:rtl/>
        </w:rPr>
        <w:t xml:space="preserve">هذه جنات عدن فادخلوها خالدین قصیده خولیه است. این قصیده نونیه فارسی که پس از حمد خدا در مسائل کیمیا و عمل اکسیر است بنا بر قول سراینده آن: «بیت آخر از آن داعی نیست حکایت این بیت عجب بود روزی بر سر تربت شیخ سعد الدین در ولیان کوه در شهر تبریز ... نشسته بودم و این قصیده را درین بیت ختم کرده بودم: ملک توران ملک شد کیخسرو آمد بر سریر</w:t>
      </w:r>
      <w:r>
        <w:rPr>
          <w:rFonts w:ascii="IRNazanin" w:hAnsi="IRNazanin" w:eastAsia="IRNazanin" w:cs="IRNazanin"/>
          <w:lang w:bidi="fa-IR"/>
          <w:color w:val="111111"/>
          <w:sz w:val="28"/>
          <w:szCs w:val="28"/>
          <w:rtl/>
        </w:rPr>
        <w:t xml:space="preserve"> کین خلف آمد زمن در کشور ایران زمین. شخصی را نشسته دیدم چنانکه می فرماید رب اشعث اغبر . ... سر از گریبان برآورده گفت چون این قصیده را شرحی خواهد بود برین بیت ختم آن: گر تو خواهی تا بهشت خلد بینی هان ببین *** هذه جنات عدن فادخلواها خالدین. اکنون من نمیدانم این بیت از آن وی بود یا وی را در حفظ بود و در این حیرتم که مرا با وی سابقه سخنی نبود و با وی معرفتی نداشتم وی چه دانست که من قصيده گفته ام یا شوخی خواهم کرد که چنین بیتی که  لایق این وضع باشد بگوید یا بگوید که درشرح شروع می باید کردن و در این امریست که میفرماید هذه جنات عدن فادخلوها خالدین زیرا که بهشت مطلق این سخن شرح ویست قصیده چندانی نیست که این بیت را سزاوار باشد، خالدین در پایان این بیت امریست در مطالعه کردن شرح»؛ خط: نستعليق، كا: محمد
</w:t>
      </w:r>
    </w:p>
    <w:p>
      <w:pPr>
        <w:sectPr>
          <w:footerReference w:type="default" r:id="rId8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جعفر بن محمد علی سواد کوه را مکوهی، تا: دوشنبه ۶ ذیقعـده ۱۲۸۶ق؛ کاغذ ،فرنگی ،جلد: مقوایی، تیماج  تریاکی ترنج و نیم ترنج  دار، ۵ ص ،(۲۰۱ - ۲۰۶)، ۱۵ سطر ،(8</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۱۰ - ۵۰۴]</w:t>
      </w:r>
    </w:p>
    <w:p>
      <w:pPr>
        <w:pStyle w:val="BookText"/>
      </w:pPr>
      <w:r>
        <w:rPr>
          <w:rFonts w:ascii="IRNazanin" w:hAnsi="IRNazanin" w:eastAsia="IRNazanin" w:cs="IRNazanin"/>
          <w:lang w:bidi="fa-IR"/>
          <w:color w:val="111111"/>
          <w:sz w:val="28"/>
          <w:szCs w:val="28"/>
          <w:rtl/>
        </w:rPr>
        <w:t xml:space="preserve">۱۳۱۲. تهران؛ مجلس؛ شماره نسخه: ۱۱۳۴/۸</w:t>
      </w:r>
    </w:p>
    <w:p>
      <w:pPr>
        <w:pStyle w:val="BookText"/>
      </w:pPr>
      <w:r>
        <w:rPr>
          <w:rFonts w:ascii="IRNazanin" w:hAnsi="IRNazanin" w:eastAsia="IRNazanin" w:cs="IRNazanin"/>
          <w:lang w:bidi="fa-IR"/>
          <w:color w:val="111111"/>
          <w:sz w:val="28"/>
          <w:szCs w:val="28"/>
          <w:rtl/>
        </w:rPr>
        <w:t xml:space="preserve">انتخابی است از چند مثنوی منسوب به عطار (جواهر الذات، لـسان الغیب و بی سرنامه)، بدون تصریح به دو عنوان اخیر در نسخه؛ کا:میرزا اسماعیل فرزند میرزا معصوم تفرشی، تا: ۱۲۸۶ق؛ غالب صفحات آخر این بخش به خط محمد حسن میرزا پسر شاهزاده ملک آراست و او در ذیل منتخبات لسان الغیب چنین رقم داده:« بر حسب خواهش سرور مکرم میرزادائی آقا میرزا اسماعیل نوشته شد کتاب جوهر ذات شيخ عطار عليه الرحمة در آخرماه شعبان المعظم في سنه ۱۲۷۹ راقم الحروف محمد حسن شاهزاده ملک آراحاجی کیومرث میرزا ابوالملوک بن فتحعلی شاه مرحوم»؛ کاغذ: فرنگی سفید آهار مهره، جلد: میشن قهوه ای،۳۶۰ ص (۱۳۴-۴۹۳)، 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۱۷/۵سم [ف: ۳ - ۵۷۴]</w:t>
      </w:r>
    </w:p>
    <w:p>
      <w:pPr>
        <w:pStyle w:val="BookText"/>
      </w:pPr>
      <w:r>
        <w:rPr>
          <w:rFonts w:ascii="IRNazanin" w:hAnsi="IRNazanin" w:eastAsia="IRNazanin" w:cs="IRNazanin"/>
          <w:lang w:bidi="fa-IR"/>
          <w:color w:val="111111"/>
          <w:sz w:val="28"/>
          <w:szCs w:val="28"/>
          <w:rtl/>
        </w:rPr>
        <w:t xml:space="preserve">۱۳۱۳. تهران؛ مجلس؛ شماره نسخه: ۸۹۱۹/۴۸</w:t>
      </w:r>
    </w:p>
    <w:p>
      <w:pPr>
        <w:pStyle w:val="BookText"/>
      </w:pPr>
      <w:r>
        <w:rPr>
          <w:rFonts w:ascii="IRNazanin" w:hAnsi="IRNazanin" w:eastAsia="IRNazanin" w:cs="IRNazanin"/>
          <w:lang w:bidi="fa-IR"/>
          <w:color w:val="111111"/>
          <w:sz w:val="28"/>
          <w:szCs w:val="28"/>
          <w:rtl/>
        </w:rPr>
        <w:t xml:space="preserve">آغاز: ای مبارک جنبش کلک وجود*** ای همیون موچه دریای جود / ای یگانه گوهر بحر قدم *** در تو پیدا معنی نون و القـلم ؛انجام: رنجها را از وجودش دور دار *** گنجها از بذل جودش عور دار/ تا جهان باشد جهان را شاه باد *** دست غیر از ملک او کوتاه باد. انجامه: «بتاریخ چهارم شهر رجب 1286 در آستانه مطهره امامزاده علی اکبر در قریه چیذر شمیران واقعست عالم وحدت و تنهایی با تمام رسید».</w:t>
      </w:r>
    </w:p>
    <w:p>
      <w:pPr>
        <w:pStyle w:val="BookText"/>
      </w:pPr>
      <w:r>
        <w:rPr>
          <w:rFonts w:ascii="IRNazanin" w:hAnsi="IRNazanin" w:eastAsia="IRNazanin" w:cs="IRNazanin"/>
          <w:lang w:bidi="fa-IR"/>
          <w:color w:val="111111"/>
          <w:sz w:val="28"/>
          <w:szCs w:val="28"/>
          <w:rtl/>
        </w:rPr>
        <w:t xml:space="preserve">شاعر از بدی زنش شکوه می کند و ظاهراً این مثنوی را در این باره سروده و شاید مرادش از هفت سال در زندان بودن، هفـت سال زندگی زناشویی اش است: «هفت سال است این که در زندان درم*** زیر پتک چرخ چون سندان درم» (۴۰۰پ)، وی چند حکایت در همین موضوع آورده است، در اواسط منظومه نشاط (۴۰۱ر) و در پایان از محمد شاه غازی (۱۲۵۰-۱۲۶۴ق)  یاد کرده و او را ستوده است (۴۰۳ پ)؛ خط: نستعلیق و شکسته،کا: محمود بن جلال الدین محمد نصیر قلندرشاه خویی، تا: ۴ رجـب ۱۲۸۶ق ،جا: آستانه مطهره امامزاده علی اکبر در قریه چیـذر شمیران؛ در نسخه با نام «مثنوی مرحوم میرزا مهدی اعلی الله مقامه»؛ کاغذ: فرنگی نازک الوان ،جلد: میشن قهوه ای ضربی،با ترنج و سرترنج و جدول، پشت هر دو دفه جلد اشعاری از قاآنی و مولوی نوشته شده، ۵گ (۳۹۹ر-۴۰۳ پ)، اندازه: ۱۲/۸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 سم[ ف: ۲۹/۱۸ - ۳۳۶]</w:t>
      </w:r>
    </w:p>
    <w:p>
      <w:pPr>
        <w:pStyle w:val="BookText"/>
      </w:pPr>
      <w:r>
        <w:rPr>
          <w:rFonts w:ascii="IRNazanin" w:hAnsi="IRNazanin" w:eastAsia="IRNazanin" w:cs="IRNazanin"/>
          <w:lang w:bidi="fa-IR"/>
          <w:color w:val="111111"/>
          <w:sz w:val="28"/>
          <w:szCs w:val="28"/>
          <w:rtl/>
        </w:rPr>
        <w:t xml:space="preserve">۱۳۱۴. تهران؛ مجلس؛ شماره نسخه: ۸۹۱۹/۴۹</w:t>
      </w:r>
    </w:p>
    <w:p>
      <w:pPr>
        <w:pStyle w:val="BookText"/>
      </w:pPr>
      <w:r>
        <w:rPr>
          <w:rFonts w:ascii="IRNazanin" w:hAnsi="IRNazanin" w:eastAsia="IRNazanin" w:cs="IRNazanin"/>
          <w:lang w:bidi="fa-IR"/>
          <w:color w:val="111111"/>
          <w:sz w:val="28"/>
          <w:szCs w:val="28"/>
          <w:rtl/>
        </w:rPr>
        <w:t xml:space="preserve">آغاز: تاجری بود از گروه راستان*** کرد عزم خطه هندوستان/ خواجه صاحب مال و ثروت بد بسی *** در فتوت هم نبد چون او کسی؛ انجام: گریه است و آن خدائی مشتری است*** که ز هر نقصی وجود او بری است/ با خدا سودا کن و گنجی بیاب***گفتمت و الله يجزيك الثواب</w:t>
      </w:r>
    </w:p>
    <w:p>
      <w:pPr>
        <w:pStyle w:val="BookText"/>
      </w:pPr>
      <w:r>
        <w:rPr>
          <w:rFonts w:ascii="IRNazanin" w:hAnsi="IRNazanin" w:eastAsia="IRNazanin" w:cs="IRNazanin"/>
          <w:lang w:bidi="fa-IR"/>
          <w:color w:val="111111"/>
          <w:sz w:val="28"/>
          <w:szCs w:val="28"/>
          <w:rtl/>
        </w:rPr>
        <w:t xml:space="preserve">به تقلید از مقنوی مولوی سروده شده است ؛خط: نستعلیق و شکسته ،کا: محمود بن جلال الدین محمد نصیر قلندرشاه خویی، تا: با تاریخ ۱۲۸۶ق، جا: آستانه مطهره جناب امامزاده علی اکبر در قریه چیذر شمیران ؛کاغذ: فرنگی نازک، جلد: میشن قهوه ای ضربی، با ترنج و سرترنج و جدول، ۶گ (۴۰۴ر-۴۰۹پ)، اندازه: ۱۲/۸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۲۹/۱ - ۳۳۷]</w:t>
      </w:r>
    </w:p>
    <w:p>
      <w:pPr>
        <w:pStyle w:val="BookText"/>
      </w:pPr>
      <w:r>
        <w:rPr>
          <w:rFonts w:ascii="IRNazanin" w:hAnsi="IRNazanin" w:eastAsia="IRNazanin" w:cs="IRNazanin"/>
          <w:lang w:bidi="fa-IR"/>
          <w:color w:val="111111"/>
          <w:sz w:val="28"/>
          <w:szCs w:val="28"/>
          <w:rtl/>
        </w:rPr>
        <w:t xml:space="preserve">۱۳۱۵. تهران؛ مجلس؛ شماره نسخه: ۸۹۱۹/۵۰</w:t>
      </w:r>
    </w:p>
    <w:p>
      <w:pPr>
        <w:pStyle w:val="BookText"/>
      </w:pPr>
      <w:r>
        <w:rPr>
          <w:rFonts w:ascii="IRNazanin" w:hAnsi="IRNazanin" w:eastAsia="IRNazanin" w:cs="IRNazanin"/>
          <w:lang w:bidi="fa-IR"/>
          <w:color w:val="111111"/>
          <w:sz w:val="28"/>
          <w:szCs w:val="28"/>
          <w:rtl/>
        </w:rPr>
        <w:t xml:space="preserve">آغاز: ای خداوندی که مانندیت نیست *** شرکتی اندر خداوندیت نیست / در خداوندی ترا انباز نیست *** مر ترا انجام چون آغاز نیست؛ انجام: گنج اندر خانه داری ای پسر *** تو روانی از پی آن در بدر / همچو آن ماهی که آبش در کنار ***وان پی ابست دایم بی قرار</w:t>
      </w:r>
    </w:p>
    <w:p>
      <w:pPr>
        <w:pStyle w:val="BookText"/>
      </w:pPr>
      <w:r>
        <w:rPr>
          <w:rFonts w:ascii="IRNazanin" w:hAnsi="IRNazanin" w:eastAsia="IRNazanin" w:cs="IRNazanin"/>
          <w:lang w:bidi="fa-IR"/>
          <w:color w:val="111111"/>
          <w:sz w:val="28"/>
          <w:szCs w:val="28"/>
          <w:rtl/>
        </w:rPr>
        <w:t xml:space="preserve">خط: نستعلیق و شکسته ،كا: محمود بن جلال الدين محمد نصیر قلندرشاه خویی، تا: با تاریخ ۱۲۸۶ق؛ کاغذ: فرنگی نازک، جلد: میشن قهوه ای ضربی، با ترنج و سرترنج و جدول، ۵گ (۴۱۰پ-  ۴۱۴ر)، اندازه: ۱۲/۸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۲۹/۱ - ۳۳۷]</w:t>
      </w:r>
    </w:p>
    <w:p>
      <w:pPr>
        <w:pStyle w:val="BookText"/>
      </w:pPr>
      <w:r>
        <w:rPr>
          <w:rFonts w:ascii="IRNazanin" w:hAnsi="IRNazanin" w:eastAsia="IRNazanin" w:cs="IRNazanin"/>
          <w:lang w:bidi="fa-IR"/>
          <w:color w:val="111111"/>
          <w:sz w:val="28"/>
          <w:szCs w:val="28"/>
          <w:rtl/>
        </w:rPr>
        <w:t xml:space="preserve">۱۳۱۶. همدان؛ دانشگاه؛ بوعلی؛ شماره نسخه: ۳۳۶/۸</w:t>
      </w:r>
    </w:p>
    <w:p>
      <w:pPr>
        <w:pStyle w:val="BookText"/>
      </w:pPr>
      <w:r>
        <w:rPr>
          <w:rFonts w:ascii="IRNazanin" w:hAnsi="IRNazanin" w:eastAsia="IRNazanin" w:cs="IRNazanin"/>
          <w:lang w:bidi="fa-IR"/>
          <w:color w:val="111111"/>
          <w:sz w:val="28"/>
          <w:szCs w:val="28"/>
          <w:rtl/>
        </w:rPr>
        <w:t xml:space="preserve">مثنوی است؛ خط: نستعلیق، بی کا، تا: پنج شنبه ۷ رمضان ۱۲۸۷ق؛ جلد: تیماج قهوه ای بدون مقوا، ۲گ (۵۸ - ۶۰ر)، ۱۶ سطر [ف: ۱۸۱]</w:t>
      </w:r>
    </w:p>
    <w:p>
      <w:pPr>
        <w:pStyle w:val="BookText"/>
      </w:pPr>
      <w:r>
        <w:rPr>
          <w:rFonts w:ascii="IRNazanin" w:hAnsi="IRNazanin" w:eastAsia="IRNazanin" w:cs="IRNazanin"/>
          <w:lang w:bidi="fa-IR"/>
          <w:color w:val="111111"/>
          <w:sz w:val="28"/>
          <w:szCs w:val="28"/>
          <w:rtl/>
        </w:rPr>
        <w:t xml:space="preserve">۱۳۱۷. تهران؛ انجمن آثار و مفاخر فرهنگی؛ شماره نسخه: ۳۷/۲</w:t>
      </w:r>
    </w:p>
    <w:p>
      <w:pPr>
        <w:pStyle w:val="BookText"/>
      </w:pPr>
      <w:r>
        <w:rPr>
          <w:rFonts w:ascii="IRNazanin" w:hAnsi="IRNazanin" w:eastAsia="IRNazanin" w:cs="IRNazanin"/>
          <w:lang w:bidi="fa-IR"/>
          <w:color w:val="111111"/>
          <w:sz w:val="28"/>
          <w:szCs w:val="28"/>
          <w:rtl/>
        </w:rPr>
        <w:t xml:space="preserve">آغاز: بسمله – من كلام خواجه عليه الرحمه: دانی که چنگ و عود چه تقریر می کنند؛ انجام: پیش تو سجود آرد و بر خاک نهد سر ***  هر سنگدلی سیمبری گشته مسخر</w:t>
      </w:r>
    </w:p>
    <w:p>
      <w:pPr>
        <w:pStyle w:val="BookText"/>
      </w:pPr>
      <w:r>
        <w:rPr>
          <w:rFonts w:ascii="IRNazanin" w:hAnsi="IRNazanin" w:eastAsia="IRNazanin" w:cs="IRNazanin"/>
          <w:lang w:bidi="fa-IR"/>
          <w:color w:val="111111"/>
          <w:sz w:val="28"/>
          <w:szCs w:val="28"/>
          <w:rtl/>
        </w:rPr>
        <w:t xml:space="preserve">اشعاری از: حافظ عصمت بخارایی، عاشق اصفهانی، مولوی، ،جامی، یغما، قاآنی ،محتشم ،انوری ،مجمر، هلالی، سعدی، ثنایی،( شاید سنائی ؟)، هاتف عراقی ؛کا: محمد جعفر قزوینی بن محمد باقر خان، تا: ۱۲۸۷ق؛ در بعضی از صفحات اشعار به صورت حمایلی؛ کاغذ ،فرنگی ،جلد: تیماج مقوایی تریاکی، ۱۱۸ص (۲۶۵-۱۴۷)، ۱۲) سطر (7</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۱۷/۵سم [ف: ۷۰]</w:t>
      </w:r>
    </w:p>
    <w:p>
      <w:pPr>
        <w:pStyle w:val="BookText"/>
      </w:pPr>
      <w:r>
        <w:rPr>
          <w:rFonts w:ascii="IRNazanin" w:hAnsi="IRNazanin" w:eastAsia="IRNazanin" w:cs="IRNazanin"/>
          <w:lang w:bidi="fa-IR"/>
          <w:color w:val="111111"/>
          <w:sz w:val="28"/>
          <w:szCs w:val="28"/>
          <w:rtl/>
        </w:rPr>
        <w:t xml:space="preserve">۱۳۱۸. مشهد؛ رضوی؛ شماره نسخه: ۱۰۳۷۹/۱</w:t>
      </w:r>
    </w:p>
    <w:p>
      <w:pPr>
        <w:pStyle w:val="BookText"/>
      </w:pPr>
      <w:r>
        <w:rPr>
          <w:rFonts w:ascii="IRNazanin" w:hAnsi="IRNazanin" w:eastAsia="IRNazanin" w:cs="IRNazanin"/>
          <w:lang w:bidi="fa-IR"/>
          <w:color w:val="111111"/>
          <w:sz w:val="28"/>
          <w:szCs w:val="28"/>
          <w:rtl/>
        </w:rPr>
        <w:t xml:space="preserve">آغاز: گاه در طور لن ترانی گفت *** یعنی اندر حجاب عزت شد؛ انجام: که چون گل تازه میدارد نسیم وصل جانانت</w:t>
      </w:r>
    </w:p>
    <w:p>
      <w:pPr>
        <w:pStyle w:val="BookText"/>
      </w:pPr>
      <w:r>
        <w:rPr>
          <w:rFonts w:ascii="IRNazanin" w:hAnsi="IRNazanin" w:eastAsia="IRNazanin" w:cs="IRNazanin"/>
          <w:lang w:bidi="fa-IR"/>
          <w:color w:val="111111"/>
          <w:sz w:val="28"/>
          <w:szCs w:val="28"/>
          <w:rtl/>
        </w:rPr>
        <w:t xml:space="preserve">اشعار سنائی سوستانی و حیرت مشتمل بر دو ترجیع بند وچند غزل عارفانه؛ خط: نستعلیق، بی کا ،تا: جمادی الثانی ۱۲۸۷ق؛ افتادگی: آغاز؛ کاغذ: الوان فرنگی، جلد: مقوایی با روکش مشمایی،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۹ - ۳۰۹]</w:t>
      </w:r>
    </w:p>
    <w:p>
      <w:pPr>
        <w:pStyle w:val="BookText"/>
      </w:pPr>
      <w:r>
        <w:rPr>
          <w:rFonts w:ascii="IRNazanin" w:hAnsi="IRNazanin" w:eastAsia="IRNazanin" w:cs="IRNazanin"/>
          <w:lang w:bidi="fa-IR"/>
          <w:color w:val="111111"/>
          <w:sz w:val="28"/>
          <w:szCs w:val="28"/>
          <w:rtl/>
        </w:rPr>
        <w:t xml:space="preserve">۱۳۱۹. مشهد؛ رضوی؛ شماره نسخه: ۱۰۳۷۹/۳</w:t>
      </w:r>
    </w:p>
    <w:p>
      <w:pPr>
        <w:pStyle w:val="BookText"/>
      </w:pPr>
      <w:r>
        <w:rPr>
          <w:rFonts w:ascii="IRNazanin" w:hAnsi="IRNazanin" w:eastAsia="IRNazanin" w:cs="IRNazanin"/>
          <w:lang w:bidi="fa-IR"/>
          <w:color w:val="111111"/>
          <w:sz w:val="28"/>
          <w:szCs w:val="28"/>
          <w:rtl/>
        </w:rPr>
        <w:t xml:space="preserve">آغاز: بسکه از جور فلک خونین دل و آشفته حالم *** بوی خون اندر مشامت آید ارخوانی مقالم ؛انجام: همیشه منزل احباب تو بود جنت *** مدام منزل اعدای تو بود سکران</w:t>
      </w:r>
    </w:p>
    <w:p>
      <w:pPr>
        <w:pStyle w:val="BookText"/>
      </w:pPr>
      <w:r>
        <w:rPr>
          <w:rFonts w:ascii="IRNazanin" w:hAnsi="IRNazanin" w:eastAsia="IRNazanin" w:cs="IRNazanin"/>
          <w:lang w:bidi="fa-IR"/>
          <w:color w:val="111111"/>
          <w:sz w:val="28"/>
          <w:szCs w:val="28"/>
          <w:rtl/>
        </w:rPr>
        <w:t xml:space="preserve">شامل غزلیات حیرت یزدی، مثنوی عبرت نامه ملك الشعراء صبا، مثنوى تحفة العراقین در هجو محمد حسین خان صدر اصفهانی،
</w:t>
      </w:r>
    </w:p>
    <w:p>
      <w:pPr>
        <w:sectPr>
          <w:footerReference w:type="default" r:id="rId8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چند لغز از ملک الشعراء صبا، لغز عبدالوهاب طراز یزدی،لغز عبدالرحيم قضائى، هجویه ملک الشعراء صبا درباره مردم قم،مثنوی کوتاه میرزا سید محمد سحاب، مثنوی کوتاه مهدی، قصیده بیمار و طبیب شریف، مخمسی در مورد پیشه ها خواهشهای اهل حرف (نظیر شهر آشوبهای منظوم است)، ترجیع بند میرزا احمد تقی کرمانی و غزلیات و قصایدی از سوزنی سمرقندی، لطف الله نیشابوری، امیدی طهرانی، امیر خسـرو دهلوی، عبدالواسع جبلی، حمید قلندر، میرزا رفیع خان واعظ قزوینی، کمال الدین اصفهانی؛ خط: نستعلیق، بی کا، تا: جمادی الثانى ۱۲۸۷ق؛ کاغذ: الوان فرنگی ،جلد: مقوایی با روکش  مشمایی، مختلف السطر،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۹ - ۳۱۰]</w:t>
      </w:r>
    </w:p>
    <w:p>
      <w:pPr>
        <w:pStyle w:val="BookText"/>
      </w:pPr>
      <w:r>
        <w:rPr>
          <w:rFonts w:ascii="IRNazanin" w:hAnsi="IRNazanin" w:eastAsia="IRNazanin" w:cs="IRNazanin"/>
          <w:lang w:bidi="fa-IR"/>
          <w:color w:val="111111"/>
          <w:sz w:val="28"/>
          <w:szCs w:val="28"/>
          <w:rtl/>
        </w:rPr>
        <w:t xml:space="preserve">۱۳۲۰. تهران؛ مجلس؛ شماره نسخه: ۹۵۴۱/۲</w:t>
      </w:r>
    </w:p>
    <w:p>
      <w:pPr>
        <w:pStyle w:val="BookText"/>
      </w:pPr>
      <w:r>
        <w:rPr>
          <w:rFonts w:ascii="IRNazanin" w:hAnsi="IRNazanin" w:eastAsia="IRNazanin" w:cs="IRNazanin"/>
          <w:lang w:bidi="fa-IR"/>
          <w:color w:val="111111"/>
          <w:sz w:val="28"/>
          <w:szCs w:val="28"/>
          <w:rtl/>
        </w:rPr>
        <w:t xml:space="preserve">آغاز: تویی چو یوسف معنی جهان اعمی را *** زمصر برده برون آو دیده ده ما را؛ انجام: ناصرش بر جمله اعدا باد لطف ذوالجلال *** حافظ ملکش پیمبر باد سلطان نجف</w:t>
      </w:r>
    </w:p>
    <w:p>
      <w:pPr>
        <w:pStyle w:val="BookText"/>
      </w:pPr>
      <w:r>
        <w:rPr>
          <w:rFonts w:ascii="IRNazanin" w:hAnsi="IRNazanin" w:eastAsia="IRNazanin" w:cs="IRNazanin"/>
          <w:lang w:bidi="fa-IR"/>
          <w:color w:val="111111"/>
          <w:sz w:val="28"/>
          <w:szCs w:val="28"/>
          <w:rtl/>
        </w:rPr>
        <w:t xml:space="preserve">اشعاری است بیشتر در مدح سلطان محمد قطب شاه و عبدالله قطب شاه از شاعری با تخلص «عاملی»؛ خط: نستعلـیق، بی کا، تا: ۱۲۸۷ق، جلد: تیماج قهوه ای، ۷گ (۲۲پ-۲۹پ)،  21سطر،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۳۵سم [ف: ۳۰ - ۲۰۶]</w:t>
      </w:r>
    </w:p>
    <w:p>
      <w:pPr>
        <w:pStyle w:val="BookText"/>
      </w:pPr>
      <w:r>
        <w:rPr>
          <w:rFonts w:ascii="IRNazanin" w:hAnsi="IRNazanin" w:eastAsia="IRNazanin" w:cs="IRNazanin"/>
          <w:lang w:bidi="fa-IR"/>
          <w:color w:val="111111"/>
          <w:sz w:val="28"/>
          <w:szCs w:val="28"/>
          <w:rtl/>
        </w:rPr>
        <w:t xml:space="preserve">۱۳۲۱. تهران؛ دانشگاه؛ شماره نسخه: ۴۷۸۸</w:t>
      </w:r>
    </w:p>
    <w:p>
      <w:pPr>
        <w:pStyle w:val="BookText"/>
      </w:pPr>
      <w:r>
        <w:rPr>
          <w:rFonts w:ascii="IRNazanin" w:hAnsi="IRNazanin" w:eastAsia="IRNazanin" w:cs="IRNazanin"/>
          <w:lang w:bidi="fa-IR"/>
          <w:color w:val="111111"/>
          <w:sz w:val="28"/>
          <w:szCs w:val="28"/>
          <w:rtl/>
        </w:rPr>
        <w:t xml:space="preserve">آغاز: فدایت جسمی... و جميع جوارحى بالتمام .... این شکنی و آن شکنی. بسمله</w:t>
      </w:r>
    </w:p>
    <w:p>
      <w:pPr>
        <w:pStyle w:val="BookText"/>
      </w:pPr>
      <w:r>
        <w:rPr>
          <w:rFonts w:ascii="IRNazanin" w:hAnsi="IRNazanin" w:eastAsia="IRNazanin" w:cs="IRNazanin"/>
          <w:lang w:bidi="fa-IR"/>
          <w:color w:val="111111"/>
          <w:sz w:val="28"/>
          <w:szCs w:val="28"/>
          <w:rtl/>
        </w:rPr>
        <w:t xml:space="preserve">اول دفتر بنام خالق دانا *** صانع پروردگار حی توانا؛ انجـام: نظری گر بمن آن گلرخ مه پاره کند *** گر بجباره بود درد دلم چاره کند</w:t>
      </w:r>
    </w:p>
    <w:p>
      <w:pPr>
        <w:pStyle w:val="BookText"/>
      </w:pPr>
      <w:r>
        <w:rPr>
          <w:rFonts w:ascii="IRNazanin" w:hAnsi="IRNazanin" w:eastAsia="IRNazanin" w:cs="IRNazanin"/>
          <w:lang w:bidi="fa-IR"/>
          <w:color w:val="111111"/>
          <w:sz w:val="28"/>
          <w:szCs w:val="28"/>
          <w:rtl/>
        </w:rPr>
        <w:t xml:space="preserve">در میانه نسخه شعرهایی است با تخلص «مرصع» و گویا نام شـاعر «حسینعلی خان» باشد و درباره معشوقه خویش «زهرا» سروده است، آغاز دفتر دیباچه ایست منثور در مغازله همو با او و سپـس شعرهای: صفا است (هجونامه صفا [ درباره] مطلوب خود) و اثـرو صیدی و منظر (مثنوی) و مستور (مثنوی) و رفیق و مشتاق و طبـیب و منصف و تاریخ شب چهارشنبه ۲۷شعبان ۱۲۸۷ دارد؛ خـط: نستعليق بد، کاتب = مؤلف، تا: ۱۲۸۷ق؛ کاغذ: فرنگی، جـلد: تیماج قهوه ای ضربی، ۱۴۰گ، چلیپا، قطع: بیاضی،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۱۴ - ۳۸۲۹]</w:t>
      </w:r>
    </w:p>
    <w:p>
      <w:pPr>
        <w:pStyle w:val="BookText"/>
      </w:pPr>
      <w:r>
        <w:rPr>
          <w:rFonts w:ascii="IRNazanin" w:hAnsi="IRNazanin" w:eastAsia="IRNazanin" w:cs="IRNazanin"/>
          <w:lang w:bidi="fa-IR"/>
          <w:color w:val="111111"/>
          <w:sz w:val="28"/>
          <w:szCs w:val="28"/>
          <w:rtl/>
        </w:rPr>
        <w:t xml:space="preserve">۱۳۲۲. تهران؛ مجلس؛ شماره نسخه: ۹۵۴۱/۳۴</w:t>
      </w:r>
    </w:p>
    <w:p>
      <w:pPr>
        <w:pStyle w:val="BookText"/>
      </w:pPr>
      <w:r>
        <w:rPr>
          <w:rFonts w:ascii="IRNazanin" w:hAnsi="IRNazanin" w:eastAsia="IRNazanin" w:cs="IRNazanin"/>
          <w:lang w:bidi="fa-IR"/>
          <w:color w:val="111111"/>
          <w:sz w:val="28"/>
          <w:szCs w:val="28"/>
          <w:rtl/>
        </w:rPr>
        <w:t xml:space="preserve">اشعاری از مخزن الاسرار نظامی و دیگران ؛خط: نستعلیق، بی کا، تا: ۱۲۸۷ق، جلد: تیماج قهوه ای، ۲۵گ (۶۰۵ر-۶۳۰پ)،21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۳۵سم [ف: ۳۰ - ۲۱۱]</w:t>
      </w:r>
    </w:p>
    <w:p>
      <w:pPr>
        <w:pStyle w:val="BookText"/>
      </w:pPr>
      <w:r>
        <w:rPr>
          <w:rFonts w:ascii="IRNazanin" w:hAnsi="IRNazanin" w:eastAsia="IRNazanin" w:cs="IRNazanin"/>
          <w:lang w:bidi="fa-IR"/>
          <w:color w:val="111111"/>
          <w:sz w:val="28"/>
          <w:szCs w:val="28"/>
          <w:rtl/>
        </w:rPr>
        <w:t xml:space="preserve">۱۳۲۳ . قم؛ مرعشی؛ شماره نسخه: ۱۴۵۹۱</w:t>
      </w:r>
    </w:p>
    <w:p>
      <w:pPr>
        <w:pStyle w:val="BookText"/>
      </w:pPr>
      <w:r>
        <w:rPr>
          <w:rFonts w:ascii="IRNazanin" w:hAnsi="IRNazanin" w:eastAsia="IRNazanin" w:cs="IRNazanin"/>
          <w:lang w:bidi="fa-IR"/>
          <w:color w:val="111111"/>
          <w:sz w:val="28"/>
          <w:szCs w:val="28"/>
          <w:rtl/>
        </w:rPr>
        <w:t xml:space="preserve">آغاز: کجاست در همه ملک جهان سلیمانی*** که مهردل نسپارد بدست شیطانی / به امر ناقد چون باد را دهد فرمان *** چرا نه دیو هوارا دهد بزندانی؛ انجام: در خواب شبی هم نفس شدم *** او را نفسی محرم اسرار شدم / روئی که بر آن روی نهـادم به طرب *** بر روی زمین بود چو بیدار شدم.</w:t>
      </w:r>
    </w:p>
    <w:p>
      <w:pPr>
        <w:pStyle w:val="BookText"/>
      </w:pPr>
      <w:r>
        <w:rPr>
          <w:rFonts w:ascii="IRNazanin" w:hAnsi="IRNazanin" w:eastAsia="IRNazanin" w:cs="IRNazanin"/>
          <w:lang w:bidi="fa-IR"/>
          <w:color w:val="111111"/>
          <w:sz w:val="28"/>
          <w:szCs w:val="28"/>
          <w:rtl/>
        </w:rPr>
        <w:t xml:space="preserve">مجموعه اشعاری است از چند شاعر که بخشی از دیوان شعر آنها را مؤلف در این مجموعه گردآوری نموده، محتویات جنگ چنین است: ۱. بخشی از دیوان مجدالدین همگو، ۲. بخشی از دیوان لامعی جرجانی، ۳. بخشی از اشعار عمیق بخارائی، ۴. بخشی از اشعار شهاب اصفهانی، ۵. بخشی از اشعار اثیرالدین فرغانی؛ خط: نستعلیق ،ممتاز، کا: فتح الله، تا:۱۲۸۷ق، جا: دارالسلطنه تبریز؛ افزودگی هایی از ناصر خسرو قبادیانی علوی و  قصیده ای بی نقطه پس از پایان از پایان نگاشته شده، دستخط فرزند کاتب به سال ۱۲۹۱هـ در پایان نسخه؛ مهر: «یا ابوالقاسم» (بیضی)، «عبده فتح الله ۱۲۸۶» (مربع) کاغذ: فرنگی، جلد: تیماج مشکی ضربی مجدول، ۱۴۷ برگ، ۱۲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 اندازه: 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۱۲/۵سم [ف:36- 658]</w:t>
      </w:r>
    </w:p>
    <w:p>
      <w:pPr>
        <w:pStyle w:val="BookText"/>
      </w:pPr>
      <w:r>
        <w:rPr>
          <w:rFonts w:ascii="IRNazanin" w:hAnsi="IRNazanin" w:eastAsia="IRNazanin" w:cs="IRNazanin"/>
          <w:lang w:bidi="fa-IR"/>
          <w:color w:val="111111"/>
          <w:sz w:val="28"/>
          <w:szCs w:val="28"/>
          <w:rtl/>
        </w:rPr>
        <w:t xml:space="preserve">۱۳۲۴ . قم؛ مرعشی؛ شماره نسخه: ۱۱۰۵۲/۲</w:t>
      </w:r>
    </w:p>
    <w:p>
      <w:pPr>
        <w:pStyle w:val="BookText"/>
      </w:pPr>
      <w:r>
        <w:rPr>
          <w:rFonts w:ascii="IRNazanin" w:hAnsi="IRNazanin" w:eastAsia="IRNazanin" w:cs="IRNazanin"/>
          <w:lang w:bidi="fa-IR"/>
          <w:color w:val="111111"/>
          <w:sz w:val="28"/>
          <w:szCs w:val="28"/>
          <w:rtl/>
        </w:rPr>
        <w:t xml:space="preserve">مثنوی؛ خط: نستعلیق، بی کا، تا: ۱۲۸۸ق؛ قطع: جانمازی [ میراث شهاب: س ۹ ش ۲ - ۲۹]</w:t>
      </w:r>
    </w:p>
    <w:p>
      <w:pPr>
        <w:pStyle w:val="BookText"/>
      </w:pPr>
      <w:r>
        <w:rPr>
          <w:rFonts w:ascii="IRNazanin" w:hAnsi="IRNazanin" w:eastAsia="IRNazanin" w:cs="IRNazanin"/>
          <w:lang w:bidi="fa-IR"/>
          <w:color w:val="111111"/>
          <w:sz w:val="28"/>
          <w:szCs w:val="28"/>
          <w:rtl/>
        </w:rPr>
        <w:t xml:space="preserve">۱۳۲۵. تهران؛ فرمانفرمائیان، (حافظ دکتر)؛ شماره نسخه: بدون  شماره/ ۳۲</w:t>
      </w:r>
    </w:p>
    <w:p>
      <w:pPr>
        <w:pStyle w:val="BookText"/>
      </w:pPr>
      <w:r>
        <w:rPr>
          <w:rFonts w:ascii="IRNazanin" w:hAnsi="IRNazanin" w:eastAsia="IRNazanin" w:cs="IRNazanin"/>
          <w:lang w:bidi="fa-IR"/>
          <w:color w:val="111111"/>
          <w:sz w:val="28"/>
          <w:szCs w:val="28"/>
          <w:rtl/>
        </w:rPr>
        <w:t xml:space="preserve">شعری به خط است؛ کا: محمد بن عبدالکریم اصفهانی، تا: ۱۲۸۹ق؛ جلد: تیماج مشکی زرکوب مقوایی، ۱ص (۲۱۶ر)، قطع: ربعی [نشریه: 7- 552]</w:t>
      </w:r>
    </w:p>
    <w:p>
      <w:pPr>
        <w:pStyle w:val="BookText"/>
      </w:pPr>
      <w:r>
        <w:rPr>
          <w:rFonts w:ascii="IRNazanin" w:hAnsi="IRNazanin" w:eastAsia="IRNazanin" w:cs="IRNazanin"/>
          <w:lang w:bidi="fa-IR"/>
          <w:color w:val="111111"/>
          <w:sz w:val="28"/>
          <w:szCs w:val="28"/>
          <w:rtl/>
        </w:rPr>
        <w:t xml:space="preserve">۱۳۲۶ . قم؛ گلپایگانی؛ شماره نسخه: ۹۰۴۹-۵۹/۲۶۹</w:t>
      </w:r>
    </w:p>
    <w:p>
      <w:pPr>
        <w:pStyle w:val="BookText"/>
      </w:pPr>
      <w:r>
        <w:rPr>
          <w:rFonts w:ascii="IRNazanin" w:hAnsi="IRNazanin" w:eastAsia="IRNazanin" w:cs="IRNazanin"/>
          <w:lang w:bidi="fa-IR"/>
          <w:color w:val="111111"/>
          <w:sz w:val="28"/>
          <w:szCs w:val="28"/>
          <w:rtl/>
        </w:rPr>
        <w:t xml:space="preserve">آغاز: ز دو هزار فزون دل ربود از کف ماهی *** ربود از کف من بولهوس چسان به نگاهی / منم گدای تو ای پادشه بگو که دهد ره *** گدای همچو منی را به بزم همچو تو شاهی</w:t>
      </w:r>
    </w:p>
    <w:p>
      <w:pPr>
        <w:pStyle w:val="BookText"/>
      </w:pPr>
      <w:r>
        <w:rPr>
          <w:rFonts w:ascii="IRNazanin" w:hAnsi="IRNazanin" w:eastAsia="IRNazanin" w:cs="IRNazanin"/>
          <w:lang w:bidi="fa-IR"/>
          <w:color w:val="111111"/>
          <w:sz w:val="28"/>
          <w:szCs w:val="28"/>
          <w:rtl/>
        </w:rPr>
        <w:t xml:space="preserve">بیاضی است شامل اشعاری در غزل و مدح و مراثی که اغلب نام شاعران درج نشده است، اسامی شاعران که نوشته شده عبارتند از: ،سعدی ،مولوی ،شورش، بهاراصفهانی ،پیغام، سنایی ،نظری، شوم و رضای گرگانی ؛خط: شکسته، نستعلیق، بی کا، تا: ۱۲۸۹ق؛ افتادگی: آغاز و انجام؛ ۹۳گ، مختلف السطر، اندازه: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 ف: ۳ - ۱۲۲۴]</w:t>
      </w:r>
    </w:p>
    <w:p>
      <w:pPr>
        <w:pStyle w:val="BookText"/>
      </w:pPr>
      <w:r>
        <w:rPr>
          <w:rFonts w:ascii="IRNazanin" w:hAnsi="IRNazanin" w:eastAsia="IRNazanin" w:cs="IRNazanin"/>
          <w:lang w:bidi="fa-IR"/>
          <w:color w:val="111111"/>
          <w:sz w:val="28"/>
          <w:szCs w:val="28"/>
          <w:rtl/>
        </w:rPr>
        <w:t xml:space="preserve">۱۳۲۷. تهران؛ ملک؛ شماره نسخه: ۶۴۵۸</w:t>
      </w:r>
    </w:p>
    <w:p>
      <w:pPr>
        <w:pStyle w:val="BookText"/>
      </w:pPr>
      <w:r>
        <w:rPr>
          <w:rFonts w:ascii="IRNazanin" w:hAnsi="IRNazanin" w:eastAsia="IRNazanin" w:cs="IRNazanin"/>
          <w:lang w:bidi="fa-IR"/>
          <w:color w:val="111111"/>
          <w:sz w:val="28"/>
          <w:szCs w:val="28"/>
          <w:rtl/>
        </w:rPr>
        <w:t xml:space="preserve">شامل: شش قصیده از دیوان ابن حسام، اشعاری از شعرای گمنام و وصال شیرازی، چند بند از چهارده بند از صباحی، تضمین غزل سعدی: از وصال شیرازی؛ خط: نستعلیق و شکسته نستعلیق، کا: محمد ابراهيم متخلص به گوهری، تا: پنج شنبه ۱۶ صفر ۱۲۸۹؛ کاغذ: فرنگی، جلد: میشن قرمز لائی، ۸۳گ،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۲۱سم[ف: ۹ - ۴۱۳]</w:t>
      </w:r>
    </w:p>
    <w:p>
      <w:pPr>
        <w:pStyle w:val="BookText"/>
      </w:pPr>
      <w:r>
        <w:rPr>
          <w:rFonts w:ascii="IRNazanin" w:hAnsi="IRNazanin" w:eastAsia="IRNazanin" w:cs="IRNazanin"/>
          <w:lang w:bidi="fa-IR"/>
          <w:color w:val="111111"/>
          <w:sz w:val="28"/>
          <w:szCs w:val="28"/>
          <w:rtl/>
        </w:rPr>
        <w:t xml:space="preserve">۱۳۲۸. تهران؛ مجلس؛ شماره نسخه: ۸۹۱۹/۲۹</w:t>
      </w:r>
    </w:p>
    <w:p>
      <w:pPr>
        <w:pStyle w:val="BookText"/>
      </w:pPr>
      <w:r>
        <w:rPr>
          <w:rFonts w:ascii="IRNazanin" w:hAnsi="IRNazanin" w:eastAsia="IRNazanin" w:cs="IRNazanin"/>
          <w:lang w:bidi="fa-IR"/>
          <w:color w:val="111111"/>
          <w:sz w:val="28"/>
          <w:szCs w:val="28"/>
          <w:rtl/>
        </w:rPr>
        <w:t xml:space="preserve">بدون نام سراینده به همراه گفته ای از امام فخر الدین رازی؛ خط: نستعلیق و شکسته ،کا: محمود بن جلال الدین محمد نصیر قلندرشاه خویی، تا: صفر ۱۲۸۹ق؛ کاغذ: فرنگی نازک، جلد: میشن قهوه ای ضربی با ترنج و سرترنج و جدول، ۲گ (۲۱۸پ-
</w:t>
      </w:r>
    </w:p>
    <w:p>
      <w:pPr>
        <w:sectPr>
          <w:footerReference w:type="default" r:id="rId8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۲۱۹ ر) ،اندازه: ۱۲/۸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۲۹/۱ - ۳۳۳]</w:t>
      </w:r>
    </w:p>
    <w:p>
      <w:pPr>
        <w:pStyle w:val="BookText"/>
      </w:pPr>
      <w:r>
        <w:rPr>
          <w:rFonts w:ascii="IRNazanin" w:hAnsi="IRNazanin" w:eastAsia="IRNazanin" w:cs="IRNazanin"/>
          <w:lang w:bidi="fa-IR"/>
          <w:color w:val="111111"/>
          <w:sz w:val="28"/>
          <w:szCs w:val="28"/>
          <w:rtl/>
        </w:rPr>
        <w:t xml:space="preserve">۱۳۲۹ . قم؛ مرکز مطالعات؛ شماره نسخه: ۸۷۵/۱</w:t>
      </w:r>
    </w:p>
    <w:p>
      <w:pPr>
        <w:pStyle w:val="BookText"/>
      </w:pPr>
      <w:r>
        <w:rPr>
          <w:rFonts w:ascii="IRNazanin" w:hAnsi="IRNazanin" w:eastAsia="IRNazanin" w:cs="IRNazanin"/>
          <w:lang w:bidi="fa-IR"/>
          <w:color w:val="111111"/>
          <w:sz w:val="28"/>
          <w:szCs w:val="28"/>
          <w:rtl/>
        </w:rPr>
        <w:t xml:space="preserve">چند قطعه شعر اخلاقی؛ خط: نسخ، کا: محمد بن سید اسماعیل موصلی قاضی، تا: ۱۲۹۱ق ،جا: کردستان؛ جلد: گالینگور سبز ضربی مجدول، ۷گ (۱پ -۸پ) ،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2- 131]</w:t>
      </w:r>
    </w:p>
    <w:p>
      <w:pPr>
        <w:pStyle w:val="BookText"/>
      </w:pPr>
      <w:r>
        <w:rPr>
          <w:rFonts w:ascii="IRNazanin" w:hAnsi="IRNazanin" w:eastAsia="IRNazanin" w:cs="IRNazanin"/>
          <w:lang w:bidi="fa-IR"/>
          <w:color w:val="111111"/>
          <w:sz w:val="28"/>
          <w:szCs w:val="28"/>
          <w:rtl/>
        </w:rPr>
        <w:t xml:space="preserve">۱۳۳۰. قم؛ گلپایگانی؛ شماره نسخه: ۹۰۱۷-۵۹/۲۳۷</w:t>
      </w:r>
    </w:p>
    <w:p>
      <w:pPr>
        <w:pStyle w:val="BookText"/>
      </w:pPr>
      <w:r>
        <w:rPr>
          <w:rFonts w:ascii="IRNazanin" w:hAnsi="IRNazanin" w:eastAsia="IRNazanin" w:cs="IRNazanin"/>
          <w:lang w:bidi="fa-IR"/>
          <w:color w:val="111111"/>
          <w:sz w:val="28"/>
          <w:szCs w:val="28"/>
          <w:rtl/>
        </w:rPr>
        <w:t xml:space="preserve">آغاز: دوندی اوره کیم قانه غمینکدن یا نه یا نه ***یوخده سـسن او یانه شهید اغلم کفن سنه</w:t>
      </w:r>
    </w:p>
    <w:p>
      <w:pPr>
        <w:pStyle w:val="BookText"/>
      </w:pPr>
      <w:r>
        <w:rPr>
          <w:rFonts w:ascii="IRNazanin" w:hAnsi="IRNazanin" w:eastAsia="IRNazanin" w:cs="IRNazanin"/>
          <w:lang w:bidi="fa-IR"/>
          <w:color w:val="111111"/>
          <w:sz w:val="28"/>
          <w:szCs w:val="28"/>
          <w:rtl/>
        </w:rPr>
        <w:t xml:space="preserve">مراثی امام حسین (علیه السّلام)؛ خط: تحریری، بی کا، تا: ۱۲۹۲ق، ۷۰گ، مختلف السطر،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۷ - ۴۲۶۱]</w:t>
      </w:r>
    </w:p>
    <w:p>
      <w:pPr>
        <w:pStyle w:val="BookText"/>
      </w:pPr>
      <w:r>
        <w:rPr>
          <w:rFonts w:ascii="IRNazanin" w:hAnsi="IRNazanin" w:eastAsia="IRNazanin" w:cs="IRNazanin"/>
          <w:lang w:bidi="fa-IR"/>
          <w:color w:val="111111"/>
          <w:sz w:val="28"/>
          <w:szCs w:val="28"/>
          <w:rtl/>
        </w:rPr>
        <w:t xml:space="preserve">۱۳۳۱ . مشهد؛ رضوی؛ شماره نسخه: ۱۳۲۰۷</w:t>
      </w:r>
    </w:p>
    <w:p>
      <w:pPr>
        <w:pStyle w:val="BookText"/>
      </w:pPr>
      <w:r>
        <w:rPr>
          <w:rFonts w:ascii="IRNazanin" w:hAnsi="IRNazanin" w:eastAsia="IRNazanin" w:cs="IRNazanin"/>
          <w:lang w:bidi="fa-IR"/>
          <w:color w:val="111111"/>
          <w:sz w:val="28"/>
          <w:szCs w:val="28"/>
          <w:rtl/>
        </w:rPr>
        <w:t xml:space="preserve">آغاز: تکیه اول بصبر کن ایدل *** صبر را گیر و زاضطراب گسـل ؛انجام: گر بخود ره نمی توانی رفت ***گیر دامان عارفی استاد</w:t>
      </w:r>
    </w:p>
    <w:p>
      <w:pPr>
        <w:pStyle w:val="BookText"/>
      </w:pPr>
      <w:r>
        <w:rPr>
          <w:rFonts w:ascii="IRNazanin" w:hAnsi="IRNazanin" w:eastAsia="IRNazanin" w:cs="IRNazanin"/>
          <w:lang w:bidi="fa-IR"/>
          <w:color w:val="111111"/>
          <w:sz w:val="28"/>
          <w:szCs w:val="28"/>
          <w:rtl/>
        </w:rPr>
        <w:t xml:space="preserve">ترجیع بندی است از میرزا آقا، با بیت الترجيع: «کانچه اندر تصـور آید لاست*** بعد لا هر چه باقی است الاست»؛ خط: نستعـلیق خوش، کا: محمودبن میرزا بابای مستوفی الکرکانی، تا: چهارشنبه ۹ صفر ۱۲۹۲ق؛ این نسخه مصدر است به جغرافیای جهان ترجمه شده از فرانسه به فارسی می باشد که شامل هفتاد فصل؛ کاغذ: آبی، جلد: تیماج ماشی، ۷۷ ص (۱۲۴-۱۳۷)، اندازه: ۱۰/۲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۱۵/۷سم [ف: ۱۷ - ۷۳]</w:t>
      </w:r>
    </w:p>
    <w:p>
      <w:pPr>
        <w:pStyle w:val="BookText"/>
      </w:pPr>
      <w:r>
        <w:rPr>
          <w:rFonts w:ascii="IRNazanin" w:hAnsi="IRNazanin" w:eastAsia="IRNazanin" w:cs="IRNazanin"/>
          <w:lang w:bidi="fa-IR"/>
          <w:color w:val="111111"/>
          <w:sz w:val="28"/>
          <w:szCs w:val="28"/>
          <w:rtl/>
        </w:rPr>
        <w:t xml:space="preserve">۱۳۳۲ . مشهد؛ رضوی؛ شماره نسخه: ۱۰۹۲۱/۷</w:t>
      </w:r>
    </w:p>
    <w:p>
      <w:pPr>
        <w:pStyle w:val="BookText"/>
      </w:pPr>
      <w:r>
        <w:rPr>
          <w:rFonts w:ascii="IRNazanin" w:hAnsi="IRNazanin" w:eastAsia="IRNazanin" w:cs="IRNazanin"/>
          <w:lang w:bidi="fa-IR"/>
          <w:color w:val="111111"/>
          <w:sz w:val="28"/>
          <w:szCs w:val="28"/>
          <w:rtl/>
        </w:rPr>
        <w:t xml:space="preserve">آغاز: گرنه نور علی در آدم بود *** مشت خاکی کجا شدی مسجود ؛انجام: ای مدیح تو ذات بی همتا*** ای عدیل تو احـمد محمود</w:t>
      </w:r>
    </w:p>
    <w:p>
      <w:pPr>
        <w:pStyle w:val="BookText"/>
      </w:pPr>
      <w:r>
        <w:rPr>
          <w:rFonts w:ascii="IRNazanin" w:hAnsi="IRNazanin" w:eastAsia="IRNazanin" w:cs="IRNazanin"/>
          <w:lang w:bidi="fa-IR"/>
          <w:color w:val="111111"/>
          <w:sz w:val="28"/>
          <w:szCs w:val="28"/>
          <w:rtl/>
        </w:rPr>
        <w:t xml:space="preserve">قطعه در مدح جناب امیرالمؤمنین است؛ خط: نستعلیق،ریز متوسط، کا: فرج الله، تا: ۱۲۹۲ق؛ کاغذ: شکری آهار مهره، جـلد: دو رویه، رو گل و بوته رنگ و روغنی، داخل گل و برگ هـای اسلیمی بر روی زمینه لاکی، ۱۲سطر،اندازه:۸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۹ - 259]</w:t>
      </w:r>
    </w:p>
    <w:p>
      <w:pPr>
        <w:pStyle w:val="BookText"/>
      </w:pPr>
      <w:r>
        <w:rPr>
          <w:rFonts w:ascii="Times New Roman" w:hAnsi="Times New Roman" w:eastAsia="Times New Roman" w:cs="Times New Roman"/>
          <w:lang w:val="en-US" w:bidi="en-US"/>
          <w:color w:val="111111"/>
          <w:sz w:val="28"/>
          <w:szCs w:val="28"/>
          <w:rtl/>
        </w:rPr>
        <w:t xml:space="preserve">1333.</w:t>
      </w:r>
    </w:p>
    <w:p>
      <w:pPr>
        <w:pStyle w:val="BookText"/>
      </w:pPr>
      <w:r>
        <w:rPr>
          <w:rFonts w:ascii="IRNazanin" w:hAnsi="IRNazanin" w:eastAsia="IRNazanin" w:cs="IRNazanin"/>
          <w:lang w:bidi="fa-IR"/>
          <w:color w:val="111111"/>
          <w:sz w:val="28"/>
          <w:szCs w:val="28"/>
          <w:rtl/>
        </w:rPr>
        <w:t xml:space="preserve">مشهد؛ رضوی؛ شماره نسخه: ۱۱۷۵۸</w:t>
      </w:r>
    </w:p>
    <w:p>
      <w:pPr>
        <w:pStyle w:val="BookText"/>
      </w:pPr>
      <w:r>
        <w:rPr>
          <w:rFonts w:ascii="IRNazanin" w:hAnsi="IRNazanin" w:eastAsia="IRNazanin" w:cs="IRNazanin"/>
          <w:lang w:bidi="fa-IR"/>
          <w:color w:val="111111"/>
          <w:sz w:val="28"/>
          <w:szCs w:val="28"/>
          <w:rtl/>
        </w:rPr>
        <w:t xml:space="preserve">آغاز: وقت رکوع شه دین خاتم خود؛ انجام: خداوند بیامرزد پدر و مادر کسی را که این بیاض را که میخواند، او هم بگوید خدا بیامرزد پدر و مادر نویسنده را</w:t>
      </w:r>
    </w:p>
    <w:p>
      <w:pPr>
        <w:pStyle w:val="BookText"/>
      </w:pPr>
      <w:r>
        <w:rPr>
          <w:rFonts w:ascii="IRNazanin" w:hAnsi="IRNazanin" w:eastAsia="IRNazanin" w:cs="IRNazanin"/>
          <w:lang w:bidi="fa-IR"/>
          <w:color w:val="111111"/>
          <w:sz w:val="28"/>
          <w:szCs w:val="28"/>
          <w:rtl/>
        </w:rPr>
        <w:t xml:space="preserve">شعر شاعرانی چون جوهری، کلیم کاشانی و محتشم کاشی، همراه با مقدمه ای ناتمام از گردآورنده نامعلوم؛ خط: شکسته نستعلیق، بی کا، تا: ۱۲۹۲ق، ظاهراً بخط جامع؛ واقف:باقر کتابچی؛ کاغذ: نخودی و قرمز و آبی آهار مهره ،جلد: میشن ضربی،۱۳۰گ، مختلف السطر، اندازه: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۹ - ۹۶]</w:t>
      </w:r>
    </w:p>
    <w:p>
      <w:pPr>
        <w:pStyle w:val="BookText"/>
      </w:pPr>
      <w:r>
        <w:rPr>
          <w:rFonts w:ascii="IRNazanin" w:hAnsi="IRNazanin" w:eastAsia="IRNazanin" w:cs="IRNazanin"/>
          <w:lang w:bidi="fa-IR"/>
          <w:color w:val="111111"/>
          <w:sz w:val="28"/>
          <w:szCs w:val="28"/>
          <w:rtl/>
        </w:rPr>
        <w:t xml:space="preserve">۱۳۳۴. تهران؛ مجلس؛ شماره نسخه: ۱۳۸۴۰/۱</w:t>
      </w:r>
    </w:p>
    <w:p>
      <w:pPr>
        <w:pStyle w:val="BookText"/>
      </w:pPr>
      <w:r>
        <w:rPr>
          <w:rFonts w:ascii="IRNazanin" w:hAnsi="IRNazanin" w:eastAsia="IRNazanin" w:cs="IRNazanin"/>
          <w:lang w:bidi="fa-IR"/>
          <w:color w:val="111111"/>
          <w:sz w:val="28"/>
          <w:szCs w:val="28"/>
          <w:rtl/>
        </w:rPr>
        <w:t xml:space="preserve">آغاز: المد لله الاحد الصمد لم يلد ولم يولد و لم يكن له كـفوا احمد والصلوة والسلام على رسوله وحبيبه الامجد فى السـماء احمد و في الارض محمد ... آغاز نظم: ترانه سخن من چو  اندرمن شنید *** به وجد آمده چون بسملان به خاک طپید / مهیس وار کفی بر سر و کفی بسرین *** ز غایت طرب و انبساط دل رقصید</w:t>
      </w:r>
    </w:p>
    <w:p>
      <w:pPr>
        <w:pStyle w:val="BookText"/>
      </w:pPr>
      <w:r>
        <w:rPr>
          <w:rFonts w:ascii="IRNazanin" w:hAnsi="IRNazanin" w:eastAsia="IRNazanin" w:cs="IRNazanin"/>
          <w:lang w:bidi="fa-IR"/>
          <w:color w:val="111111"/>
          <w:sz w:val="28"/>
          <w:szCs w:val="28"/>
          <w:rtl/>
        </w:rPr>
        <w:t xml:space="preserve">از عبید الله. قصایدی در تعریف اندر من و بیان عقاید هنود نو و كهن. قصایدی است در بیان اعتراضات الندمن و بیان جواب آنها به شعر فارسی و اردو، در آغاز این قصاید مقدمه نثری در دو صفحه درباره کتاب اندر من هندی و جواب مولا بت شكن بخاری آمده؛ خط: نستعلیق، کا: احمد علی، تا: ۱۲۹۲ق؛ جلد: مقوایی، عطف و گوشه پارچه ای، ۴۸ص (۱-۴۸)، ۱۹ سطر [ف:37- 401]</w:t>
      </w:r>
    </w:p>
    <w:p>
      <w:pPr>
        <w:pStyle w:val="BookText"/>
      </w:pPr>
      <w:r>
        <w:rPr>
          <w:rFonts w:ascii="IRNazanin" w:hAnsi="IRNazanin" w:eastAsia="IRNazanin" w:cs="IRNazanin"/>
          <w:lang w:bidi="fa-IR"/>
          <w:color w:val="111111"/>
          <w:sz w:val="28"/>
          <w:szCs w:val="28"/>
          <w:rtl/>
        </w:rPr>
        <w:t xml:space="preserve">۱۳۳۵. تهران؛ مجلس؛ شماره نسخه: ۲۳۳۸</w:t>
      </w:r>
    </w:p>
    <w:p>
      <w:pPr>
        <w:pStyle w:val="BookText"/>
      </w:pPr>
      <w:r>
        <w:rPr>
          <w:rFonts w:ascii="IRNazanin" w:hAnsi="IRNazanin" w:eastAsia="IRNazanin" w:cs="IRNazanin"/>
          <w:lang w:bidi="fa-IR"/>
          <w:color w:val="111111"/>
          <w:sz w:val="28"/>
          <w:szCs w:val="28"/>
          <w:rtl/>
        </w:rPr>
        <w:t xml:space="preserve">آغاز: ساز آباد خدایا دل ویرانی را *** یا مده مهر بتان هیچ مسلمانی را؛ انجام: ای شعله آه خانه روشن کردی *** ای غم تو خوش آمدی صفا آوردی شامل منتخبی از اشعار شعرای ایران تا قرن ۱۱ که برای شیخ علی عرب نوشته شده است، شامل اشعاری از: آصفی خراسانی (۱)، امیر همایون خراسانی، میرزا قلی میلی ،(۷) فصیحی هروی (۱۰) نظر مشهدی، اهلی خراسانی (۱۴) هلالی خراسانی (۱۶) حیدر كلوج (۲۰) حیرانی خراسانی، بنایی خراسانی، ولی دشت بیاضی (۲۵) محمد جان قدسی (۲۹) اقدس مشهدی (۳۲)، محمد میرک، صالحی خراسانی، کمال خجندی، نظیری نیشابوری (۳۵)، كاتب نیشابوری (۴۴) محمد صوفی ،(۵۳) طالب آملی (۶۲)، زکی همدانی (۷۱) رشکی همدانی، رونقی همدانی، نصیرا همدانی (۷۹) شکوهی همدانی (۸۵) مسیحی همدانی، علینقی کمره (۹۱)، اوحدی محتشم (۹۹) امیر روزبهان، صبری صفاهانی (۱۰۵)، عزمی صفاهانی، بیکس صفاهانی (۱۱۱) شفایی صفاهانی، وحشتی کاشی (۱۲۱) باقر خورده، آذری (۱۲۹)، نصیر ،(۱۳۴) امتی تربتی ،(۲۲۷) مستعد خان، کامی سبزواری (۲۳۵) ،شاپور فریبی تهرانی ،(۲۳۹) خیام ،(۲۶۲) غزل سعدی (۲۶۵)، غياثا، حلوایی (۲۷۵) نصیرا همدانی (۲۸۶) حافظ (۳۰۴)، صادق دست غیب ،(۳۳۷) فدایی ،نوربخش محمد میرک اصفهانی (۳۴۳) رضی اصفهانی، حزنی اصفهانی، ضمیری اصفهانی (۳۵۰) رباعیات سحابی (((۳۷۰) ؛ خط: نستعلیق و شکسته نستعلیق، کا: محمد رضا نوری ،تا: ۱۲۹۲ق؛ در سه ستون (صفحه ۲۶۵ با خط تازه تر از خطوط دیگر نسخه) ؛کاغذ: متن اصفهانی الوان حاشیه فرنگی ،جلد: تیماج سیاه زرکوب، ۳۸۱ص، ۱۰ سطر (9</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۲۶/۵سم [ف: ۸ - ۴۷]</w:t>
      </w:r>
    </w:p>
    <w:p>
      <w:pPr>
        <w:pStyle w:val="BookText"/>
      </w:pPr>
      <w:r>
        <w:rPr>
          <w:rFonts w:ascii="IRNazanin" w:hAnsi="IRNazanin" w:eastAsia="IRNazanin" w:cs="IRNazanin"/>
          <w:lang w:bidi="fa-IR"/>
          <w:color w:val="111111"/>
          <w:sz w:val="28"/>
          <w:szCs w:val="28"/>
          <w:rtl/>
        </w:rPr>
        <w:t xml:space="preserve">۱۳۳۶. تبریز؛ قاضی طباطبائی؛ شماره نسخه: بدون شماره</w:t>
      </w:r>
    </w:p>
    <w:p>
      <w:pPr>
        <w:pStyle w:val="BookText"/>
      </w:pPr>
      <w:r>
        <w:rPr>
          <w:rFonts w:ascii="IRNazanin" w:hAnsi="IRNazanin" w:eastAsia="IRNazanin" w:cs="IRNazanin"/>
          <w:lang w:bidi="fa-IR"/>
          <w:color w:val="111111"/>
          <w:sz w:val="28"/>
          <w:szCs w:val="28"/>
          <w:rtl/>
        </w:rPr>
        <w:t xml:space="preserve">آغاز: نخست آفرین مر خداوند پاک*** که افراشت و بگذاشت خاک</w:t>
      </w:r>
    </w:p>
    <w:p>
      <w:pPr>
        <w:pStyle w:val="BookText"/>
      </w:pPr>
      <w:r>
        <w:rPr>
          <w:rFonts w:ascii="IRNazanin" w:hAnsi="IRNazanin" w:eastAsia="IRNazanin" w:cs="IRNazanin"/>
          <w:lang w:bidi="fa-IR"/>
          <w:color w:val="111111"/>
          <w:sz w:val="28"/>
          <w:szCs w:val="28"/>
          <w:rtl/>
        </w:rPr>
        <w:t xml:space="preserve">منظومه به نام مظفرالدین شاه در تبریز در ۱۲۹۲ سروده شده و شاعر داستان شکار رفتن او را به نظم درآورده است؛ شاعر گویا تیمور بن غلام حسین میرزا صدر الشعراء باشد و گویا نسخه اصل؛ كاتب = مؤلف، تا: ۱۲۹۲ق ؛جا: تبریز [ نشریه: ۷ - ۵۱۸]</w:t>
      </w:r>
    </w:p>
    <w:p>
      <w:pPr>
        <w:pStyle w:val="BookText"/>
      </w:pPr>
      <w:r>
        <w:rPr>
          <w:rFonts w:ascii="IRNazanin" w:hAnsi="IRNazanin" w:eastAsia="IRNazanin" w:cs="IRNazanin"/>
          <w:lang w:bidi="fa-IR"/>
          <w:color w:val="111111"/>
          <w:sz w:val="28"/>
          <w:szCs w:val="28"/>
          <w:rtl/>
        </w:rPr>
        <w:t xml:space="preserve">۱۳۳۷. تهران؛ مجلس؛ شماره نسخه: ۵۸۴/۴
</w:t>
      </w:r>
    </w:p>
    <w:p>
      <w:pPr>
        <w:sectPr>
          <w:footerReference w:type="default" r:id="rId8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آغاز: اگر معلم توفیق گرددم دم ساز *** شود معنی کلکم دگر نوا پرداز؛ انجام: به روح او که امام زمان خود نشناخت *** و گر شناخت مطیعش نشد به عجز و نیاز</w:t>
      </w:r>
    </w:p>
    <w:p>
      <w:pPr>
        <w:pStyle w:val="BookText"/>
      </w:pPr>
      <w:r>
        <w:rPr>
          <w:rFonts w:ascii="IRNazanin" w:hAnsi="IRNazanin" w:eastAsia="IRNazanin" w:cs="IRNazanin"/>
          <w:lang w:bidi="fa-IR"/>
          <w:color w:val="111111"/>
          <w:sz w:val="28"/>
          <w:szCs w:val="28"/>
          <w:rtl/>
        </w:rPr>
        <w:t xml:space="preserve">قصیده است؛ خط: نستعلیق، کا: محمد باقر، تا: در ربیع الاول ۱۲۹۳ق، جا: تهران؛ مجدول؛ کاغذ: سفید ،جلد: تیماج سبز ضربی مقوایی، ۱۰ سطر (6</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[سنا: ف: ۱ - ۳۷۵]</w:t>
      </w:r>
    </w:p>
    <w:p>
      <w:pPr>
        <w:pStyle w:val="BookText"/>
      </w:pPr>
      <w:r>
        <w:rPr>
          <w:rFonts w:ascii="IRNazanin" w:hAnsi="IRNazanin" w:eastAsia="IRNazanin" w:cs="IRNazanin"/>
          <w:lang w:bidi="fa-IR"/>
          <w:color w:val="111111"/>
          <w:sz w:val="28"/>
          <w:szCs w:val="28"/>
          <w:rtl/>
        </w:rPr>
        <w:t xml:space="preserve">۱۳۳۸. تهران؛ مجلس؛ شماره نسخه: ۵۸۴/۵</w:t>
      </w:r>
    </w:p>
    <w:p>
      <w:pPr>
        <w:pStyle w:val="BookText"/>
      </w:pPr>
      <w:r>
        <w:rPr>
          <w:rFonts w:ascii="IRNazanin" w:hAnsi="IRNazanin" w:eastAsia="IRNazanin" w:cs="IRNazanin"/>
          <w:lang w:bidi="fa-IR"/>
          <w:color w:val="111111"/>
          <w:sz w:val="28"/>
          <w:szCs w:val="28"/>
          <w:rtl/>
        </w:rPr>
        <w:t xml:space="preserve">آغاز: عمر آن عامر دیر خطاب *** که از و کعبه دین کشته  خراب؛ انجام: که از قبح عمل خود غافل *** طعنه زن گشت به آن صاحب دل</w:t>
      </w:r>
    </w:p>
    <w:p>
      <w:pPr>
        <w:pStyle w:val="BookText"/>
      </w:pPr>
      <w:r>
        <w:rPr>
          <w:rFonts w:ascii="IRNazanin" w:hAnsi="IRNazanin" w:eastAsia="IRNazanin" w:cs="IRNazanin"/>
          <w:lang w:bidi="fa-IR"/>
          <w:color w:val="111111"/>
          <w:sz w:val="28"/>
          <w:szCs w:val="28"/>
          <w:rtl/>
        </w:rPr>
        <w:t xml:space="preserve">مثنوی ؛خط: نستعلیق، کا: محمد باقر، تا: ربیع الاول ۱۲۹۳ق ،جا: تهران؛ مجدول؛ کاغذ: سفید، جلد: تیماج سبز ضربی مقوایی، 10 سطر (6</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[سنا: ف: ۱ - ۳۷۵]</w:t>
      </w:r>
    </w:p>
    <w:p>
      <w:pPr>
        <w:pStyle w:val="BookText"/>
      </w:pPr>
      <w:r>
        <w:rPr>
          <w:rFonts w:ascii="IRNazanin" w:hAnsi="IRNazanin" w:eastAsia="IRNazanin" w:cs="IRNazanin"/>
          <w:lang w:bidi="fa-IR"/>
          <w:color w:val="111111"/>
          <w:sz w:val="28"/>
          <w:szCs w:val="28"/>
          <w:rtl/>
        </w:rPr>
        <w:t xml:space="preserve">۱۳۳۹. تهران؛ مجلس؛ شماره نسخه: ۵۸۴/۶</w:t>
      </w:r>
    </w:p>
    <w:p>
      <w:pPr>
        <w:pStyle w:val="BookText"/>
      </w:pPr>
      <w:r>
        <w:rPr>
          <w:rFonts w:ascii="IRNazanin" w:hAnsi="IRNazanin" w:eastAsia="IRNazanin" w:cs="IRNazanin"/>
          <w:lang w:bidi="fa-IR"/>
          <w:color w:val="111111"/>
          <w:sz w:val="28"/>
          <w:szCs w:val="28"/>
          <w:rtl/>
        </w:rPr>
        <w:t xml:space="preserve">آغاز: امت از حسرت رویت به دو صد فکر و خیال *** دل ز غم لب به لب و دیده ز خون مالا مال؛ انجام: یار اگر لطف کند جانب دری نگرد *** به ازین طالع و فیروزی و این جاه و جلال</w:t>
      </w:r>
    </w:p>
    <w:p>
      <w:pPr>
        <w:pStyle w:val="BookText"/>
      </w:pPr>
      <w:r>
        <w:rPr>
          <w:rFonts w:ascii="IRNazanin" w:hAnsi="IRNazanin" w:eastAsia="IRNazanin" w:cs="IRNazanin"/>
          <w:lang w:bidi="fa-IR"/>
          <w:color w:val="111111"/>
          <w:sz w:val="28"/>
          <w:szCs w:val="28"/>
          <w:rtl/>
        </w:rPr>
        <w:t xml:space="preserve">قصيدة؛ خط: نستعلیق ،کا: محمد باقر، تا: ربیع الاول ۱۲۹۳ق، تهران؛ مجدول؛ کاغذ: سفید، جلد: تیماج سبز ضربی مقوایی، 10سطر (۶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[سنا: ف: ۱ – ۳۷۵]</w:t>
      </w:r>
    </w:p>
    <w:p>
      <w:pPr>
        <w:pStyle w:val="BookText"/>
      </w:pPr>
      <w:r>
        <w:rPr>
          <w:rFonts w:ascii="IRNazanin" w:hAnsi="IRNazanin" w:eastAsia="IRNazanin" w:cs="IRNazanin"/>
          <w:lang w:bidi="fa-IR"/>
          <w:color w:val="111111"/>
          <w:sz w:val="28"/>
          <w:szCs w:val="28"/>
          <w:rtl/>
        </w:rPr>
        <w:t xml:space="preserve">۱۳۴۰ . قم؛ گلپایگانی؛ شماره نسخه: ۱۸۱۵-۱۰/۱۲۵</w:t>
      </w:r>
    </w:p>
    <w:p>
      <w:pPr>
        <w:pStyle w:val="BookText"/>
      </w:pPr>
      <w:r>
        <w:rPr>
          <w:rFonts w:ascii="IRNazanin" w:hAnsi="IRNazanin" w:eastAsia="IRNazanin" w:cs="IRNazanin"/>
          <w:lang w:bidi="fa-IR"/>
          <w:color w:val="111111"/>
          <w:sz w:val="28"/>
          <w:szCs w:val="28"/>
          <w:rtl/>
        </w:rPr>
        <w:t xml:space="preserve">آغاز: بسمله چون شاه روم رو به سوی قیروان کنند *** پشـت هزیمت از طرف هندوان کنند/ چشمه آفتاب که گردان سر اوست *** بر اوج چونش تاج مرصع نهان کنند؛ انجام: چشم مرا تا بخواب دید جمالش *** خواب نگیرد مگر خیال محمد / سعدی اگر عاشقی کنی وجوانی ***عشق محمد بس است و آل محمد</w:t>
      </w:r>
    </w:p>
    <w:p>
      <w:pPr>
        <w:pStyle w:val="BookText"/>
      </w:pPr>
      <w:r>
        <w:rPr>
          <w:rFonts w:ascii="IRNazanin" w:hAnsi="IRNazanin" w:eastAsia="IRNazanin" w:cs="IRNazanin"/>
          <w:lang w:bidi="fa-IR"/>
          <w:color w:val="111111"/>
          <w:sz w:val="28"/>
          <w:szCs w:val="28"/>
          <w:rtl/>
        </w:rPr>
        <w:t xml:space="preserve">منتخبی از اشعار شاعران است شامل: قصیده در مدح امیرالمؤمـنین (علیه السّلام) از ابن حسام قصیده دیگری در مدح حضرت از همو، ،دیگر غزلیاتی از سعدی، شعر در مدح امام حسین (علیه السّلام) ، غزلیاتی از حافظ، قصیده در مدح علی (علیه السّلام) از ابن حسام، قصیده ای از سعدی، دو مخمس و شعری در منقبت پیامبر اکرم (صلّی اللَّهِ علیه وَ آلِهِ وَ سَلَّمَ ) ؛ خـط: نستعلیق ،کا: عبدالباقی بن میرزا یوسف حسینی همدانی،تا: دوشنبه ۲۲ صفر ۱۲۹۳ق؛ تملک: ابراهیم همدانی؛ جلد: تیماج  زیتونی،۳۶گ، ۱۱ سطر، اندازه: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۳ - ۱۲۳۴]</w:t>
      </w:r>
    </w:p>
    <w:p>
      <w:pPr>
        <w:pStyle w:val="BookText"/>
      </w:pPr>
      <w:r>
        <w:rPr>
          <w:rFonts w:ascii="IRNazanin" w:hAnsi="IRNazanin" w:eastAsia="IRNazanin" w:cs="IRNazanin"/>
          <w:lang w:bidi="fa-IR"/>
          <w:color w:val="111111"/>
          <w:sz w:val="28"/>
          <w:szCs w:val="28"/>
          <w:rtl/>
        </w:rPr>
        <w:t xml:space="preserve">۱۳۴۱. قم؛ گلپایگانی؛ شماره نسخه: ۲۳۰۰/۲-۱۲/۱۹۰</w:t>
      </w:r>
    </w:p>
    <w:p>
      <w:pPr>
        <w:pStyle w:val="BookText"/>
      </w:pPr>
      <w:r>
        <w:rPr>
          <w:rFonts w:ascii="IRNazanin" w:hAnsi="IRNazanin" w:eastAsia="IRNazanin" w:cs="IRNazanin"/>
          <w:lang w:bidi="fa-IR"/>
          <w:color w:val="111111"/>
          <w:sz w:val="28"/>
          <w:szCs w:val="28"/>
          <w:rtl/>
        </w:rPr>
        <w:t xml:space="preserve">آغاز: فردا است: زیبا پسر عجب به ضمیرم نشسته ای ***گر غایبی به دیده به دل نقش بسته ای؛ انجام: آب گرم لؤلؤتر سـنبل گل یا گلاب *** یا عرق از موج شرم عارضش عذر است این/ غنچه باغ بیان گل دسته گلزار فکر *** شعر صادق یا بهای لـؤ لؤ لالاست این</w:t>
      </w:r>
    </w:p>
    <w:p>
      <w:pPr>
        <w:pStyle w:val="BookText"/>
      </w:pPr>
      <w:r>
        <w:rPr>
          <w:rFonts w:ascii="IRNazanin" w:hAnsi="IRNazanin" w:eastAsia="IRNazanin" w:cs="IRNazanin"/>
          <w:lang w:bidi="fa-IR"/>
          <w:color w:val="111111"/>
          <w:sz w:val="28"/>
          <w:szCs w:val="28"/>
          <w:rtl/>
        </w:rPr>
        <w:t xml:space="preserve">اشعاری از: قائم مقام فراهانی ،سعدی، جامی، طالب، ظهوری ،اوجی ،وصال، هاتف میرزا، حافظ و مذنب ؛خط: شکسـته، نستعلیق، بی کا، تا: ۱۲۹۳ق، جلد: تیماج قهوه ای، ۴۶گ، مختلـف السطر،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۳ - ۱۲۴۰]</w:t>
      </w:r>
    </w:p>
    <w:p>
      <w:pPr>
        <w:pStyle w:val="BookText"/>
      </w:pPr>
      <w:r>
        <w:rPr>
          <w:rFonts w:ascii="IRNazanin" w:hAnsi="IRNazanin" w:eastAsia="IRNazanin" w:cs="IRNazanin"/>
          <w:lang w:bidi="fa-IR"/>
          <w:color w:val="111111"/>
          <w:sz w:val="28"/>
          <w:szCs w:val="28"/>
          <w:rtl/>
        </w:rPr>
        <w:t xml:space="preserve">۱۳۴۲. تهران؛ دانشگاه؛ شماره نسخه: ۴۶۹۷</w:t>
      </w:r>
    </w:p>
    <w:p>
      <w:pPr>
        <w:pStyle w:val="BookText"/>
      </w:pPr>
      <w:r>
        <w:rPr>
          <w:rFonts w:ascii="IRNazanin" w:hAnsi="IRNazanin" w:eastAsia="IRNazanin" w:cs="IRNazanin"/>
          <w:lang w:bidi="fa-IR"/>
          <w:color w:val="111111"/>
          <w:sz w:val="28"/>
          <w:szCs w:val="28"/>
          <w:rtl/>
        </w:rPr>
        <w:t xml:space="preserve">شعر فارسی در ستایش محمدشاه مورخ ۱۲۵۰ و شعر قاآنی و بابا طاهر و سید احمد و تاریخ ذیحجه ۱۲۹۳ با نامه دوستانه مسجع فارسی؛ خط: شکسته نستعلیق، بی کا، تا: ۱۲۹۳ق؛ کاغذ: فرنگی سفید و آبی، جلد: تیماج سبز تیره، ۷۳گ، سطور چلیپا، ابعاد متن: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9</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سم [ف: ۱۴ – ۳۶۴۳]</w:t>
      </w:r>
    </w:p>
    <w:p>
      <w:pPr>
        <w:pStyle w:val="BookText"/>
      </w:pPr>
      <w:r>
        <w:rPr>
          <w:rFonts w:ascii="IRNazanin" w:hAnsi="IRNazanin" w:eastAsia="IRNazanin" w:cs="IRNazanin"/>
          <w:lang w:bidi="fa-IR"/>
          <w:color w:val="111111"/>
          <w:sz w:val="28"/>
          <w:szCs w:val="28"/>
          <w:rtl/>
        </w:rPr>
        <w:t xml:space="preserve">۱۳۴۳. تهران؛ مینوی؛ شماره نسخه: ۸</w:t>
      </w:r>
    </w:p>
    <w:p>
      <w:pPr>
        <w:pStyle w:val="BookText"/>
      </w:pPr>
      <w:r>
        <w:rPr>
          <w:rFonts w:ascii="IRNazanin" w:hAnsi="IRNazanin" w:eastAsia="IRNazanin" w:cs="IRNazanin"/>
          <w:lang w:bidi="fa-IR"/>
          <w:color w:val="111111"/>
          <w:sz w:val="28"/>
          <w:szCs w:val="28"/>
          <w:rtl/>
        </w:rPr>
        <w:t xml:space="preserve">شعرهای نشاط و وحشی و محتشم؛ خط: شکسته نستعلیق، بی کا، تا: ۱۲۹۳ق؛ کاغذ: رنگارنگ، قطع: ربعی [نشریه: ۶ - ۴۲]</w:t>
      </w:r>
    </w:p>
    <w:p>
      <w:pPr>
        <w:pStyle w:val="BookText"/>
      </w:pPr>
      <w:r>
        <w:rPr>
          <w:rFonts w:ascii="IRNazanin" w:hAnsi="IRNazanin" w:eastAsia="IRNazanin" w:cs="IRNazanin"/>
          <w:lang w:bidi="fa-IR"/>
          <w:color w:val="111111"/>
          <w:sz w:val="28"/>
          <w:szCs w:val="28"/>
          <w:rtl/>
        </w:rPr>
        <w:t xml:space="preserve">۱۳۴۴. تهران؛ مجلس؛ شماره نسخه: ۲۹۹۲/۳</w:t>
      </w:r>
    </w:p>
    <w:p>
      <w:pPr>
        <w:pStyle w:val="BookText"/>
      </w:pPr>
      <w:r>
        <w:rPr>
          <w:rFonts w:ascii="IRNazanin" w:hAnsi="IRNazanin" w:eastAsia="IRNazanin" w:cs="IRNazanin"/>
          <w:lang w:bidi="fa-IR"/>
          <w:color w:val="111111"/>
          <w:sz w:val="28"/>
          <w:szCs w:val="28"/>
          <w:rtl/>
        </w:rPr>
        <w:t xml:space="preserve">آغاز: شیخ ابوالپشم مرد ملایی*** داشت در کنج مدرسه جایی / روز در فکر طالب مجهول *** شب بتكرار فاعل و مفعول؛انجام: با چنین علم و فضل و جوش و کمال *** قوت و جانه نیافتم یکسال</w:t>
      </w:r>
    </w:p>
    <w:p>
      <w:pPr>
        <w:pStyle w:val="BookText"/>
      </w:pPr>
      <w:r>
        <w:rPr>
          <w:rFonts w:ascii="IRNazanin" w:hAnsi="IRNazanin" w:eastAsia="IRNazanin" w:cs="IRNazanin"/>
          <w:lang w:bidi="fa-IR"/>
          <w:color w:val="111111"/>
          <w:sz w:val="28"/>
          <w:szCs w:val="28"/>
          <w:rtl/>
        </w:rPr>
        <w:t xml:space="preserve">مثنوی مطایبه. قطعه مطالعه ای است بر این و ظاهراً از یکی از شعراء متاخر به زبان هزل در بیهوده دانش و هنر سروده؛ کا: میرزا ابراهیم مشتری (شاعر عصر ناصری)، تا: ۱۲۹۴ق؛ کاغذ: فرنگی، جلد: تيماج قرمز کتایونی بدون مقوا، ۴ ص (۱۵۱-۱۵۴)، قطع : رقعی، اندازه: 10/5</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 [ف : ۱۰ - ۴۳۹]</w:t>
      </w:r>
    </w:p>
    <w:p>
      <w:pPr>
        <w:pStyle w:val="BookText"/>
      </w:pPr>
      <w:r>
        <w:rPr>
          <w:rFonts w:ascii="IRNazanin" w:hAnsi="IRNazanin" w:eastAsia="IRNazanin" w:cs="IRNazanin"/>
          <w:lang w:bidi="fa-IR"/>
          <w:color w:val="111111"/>
          <w:sz w:val="28"/>
          <w:szCs w:val="28"/>
          <w:rtl/>
        </w:rPr>
        <w:t xml:space="preserve">۱۳۴۵. تبریز؛ ملی؛ شماره نسخه: ۲۶۶۷</w:t>
      </w:r>
    </w:p>
    <w:p>
      <w:pPr>
        <w:pStyle w:val="BookText"/>
      </w:pPr>
      <w:r>
        <w:rPr>
          <w:rFonts w:ascii="IRNazanin" w:hAnsi="IRNazanin" w:eastAsia="IRNazanin" w:cs="IRNazanin"/>
          <w:lang w:bidi="fa-IR"/>
          <w:color w:val="111111"/>
          <w:sz w:val="28"/>
          <w:szCs w:val="28"/>
          <w:rtl/>
        </w:rPr>
        <w:t xml:space="preserve">از: سنائی، بیان الملک، میرزا مهدی خان نثار، نشاط، نور على شاه،وصال شیرازی، عباسعلی خان مظهر، صهبا، درویش خاکی، مظهری کشمیری، صحبت کرمانی، درویش مجید، طیری زرگر ، میرزا حسن فانی، صهبای قمی ،قدسی ،کمال ،هلالی ،عذری ،صادق ،کلیم، جامی، صافی، نادم گیلانی ،آصفی، ملا جلال ،عاشق ،وحشی ،لسانی، خواجه زاده ،غیاثی ،ساغر، عرفی، حریف ،مولوی ،غضنفر ،صافی، خاقانی، خواجوی کرمانی، رشید، وحید، طبیب اصفهانی، روضة الاسرار سروش در وقایع کربلا، میرزا کوچک، خانخان شاملو، حاج میرزا اسماعیل تاجر همدانی و ....؛ خط: نستعلیق، کا: ابو القاسم بن کربلایی محمد رضا خویی، تا: ۱۵ رمضان ۱۲۹۴ق؛ از روی نسخه میرزا محمد علی تبریزی جهت آقا رضا دائی در دارالسلطنه تبریز (ص۱۳۷)، همو در ۲۵ شوال ۱۲۹۴ (ص۲۰۳)، مجدول؛ کاغذ: فرنگی، جلد: چرمی ضربی، خطوط راسته و چلیپا؛ کاغذ: فرنگی ،جلد: چرمی ضربی، ۶۶گ، ۸-۷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۲۷سم [ف: ۱ - ۳۴۱]</w:t>
      </w:r>
    </w:p>
    <w:p>
      <w:pPr>
        <w:pStyle w:val="BookText"/>
      </w:pPr>
      <w:r>
        <w:rPr>
          <w:rFonts w:ascii="IRNazanin" w:hAnsi="IRNazanin" w:eastAsia="IRNazanin" w:cs="IRNazanin"/>
          <w:lang w:bidi="fa-IR"/>
          <w:color w:val="111111"/>
          <w:sz w:val="28"/>
          <w:szCs w:val="28"/>
          <w:rtl/>
        </w:rPr>
        <w:t xml:space="preserve">6۱۳۴۶ . قم؛ مرکز احیاء؛ شماره نسخه: ۲۳۶۴</w:t>
      </w:r>
    </w:p>
    <w:p>
      <w:pPr>
        <w:pStyle w:val="BookText"/>
      </w:pPr>
      <w:r>
        <w:rPr>
          <w:rFonts w:ascii="Amiri" w:hAnsi="Amiri" w:eastAsia="Amiri" w:cs="Amiri"/>
          <w:lang w:bidi="ar-SA"/>
          <w:color w:val="111111"/>
          <w:sz w:val="28"/>
          <w:szCs w:val="28"/>
          <w:rtl/>
        </w:rPr>
        <w:t xml:space="preserve">آغاز: الحمد لله الذي خلق الوجود من العدم *** فبدت على صفحاته انوار اسرار القدم</w:t>
      </w:r>
    </w:p>
    <w:p>
      <w:pPr>
        <w:pStyle w:val="BookText"/>
      </w:pPr>
      <w:r>
        <w:rPr>
          <w:rFonts w:ascii="IRNazanin" w:hAnsi="IRNazanin" w:eastAsia="IRNazanin" w:cs="IRNazanin"/>
          <w:lang w:bidi="fa-IR"/>
          <w:color w:val="111111"/>
          <w:sz w:val="28"/>
          <w:szCs w:val="28"/>
          <w:rtl/>
        </w:rPr>
        <w:t xml:space="preserve">نسخه اصل: همان نسخه بالا [ف: ۶ - ۴۶۳]</w:t>
      </w:r>
    </w:p>
    <w:p>
      <w:pPr>
        <w:pStyle w:val="BookText"/>
      </w:pPr>
      <w:r>
        <w:rPr>
          <w:rFonts w:ascii="IRNazanin" w:hAnsi="IRNazanin" w:eastAsia="IRNazanin" w:cs="IRNazanin"/>
          <w:lang w:bidi="fa-IR"/>
          <w:color w:val="111111"/>
          <w:sz w:val="28"/>
          <w:szCs w:val="28"/>
          <w:rtl/>
        </w:rPr>
        <w:t xml:space="preserve">۱۳۴۷. تهران؛ مجلس؛ شماره نسخه: ۱۳۴۹۲/۲</w:t>
      </w:r>
    </w:p>
    <w:p>
      <w:pPr>
        <w:pStyle w:val="BookText"/>
      </w:pPr>
      <w:r>
        <w:rPr>
          <w:rFonts w:ascii="IRNazanin" w:hAnsi="IRNazanin" w:eastAsia="IRNazanin" w:cs="IRNazanin"/>
          <w:lang w:bidi="fa-IR"/>
          <w:color w:val="111111"/>
          <w:sz w:val="28"/>
          <w:szCs w:val="28"/>
          <w:rtl/>
        </w:rPr>
        <w:t xml:space="preserve">آغاز: دیباچه به اردو: بهیه کلام کس پادشاه کاتحصین کس امیر کاتحصين كس شيخ بنیاد کاتحصين ... اشعار: قسمت من لقمه ای
</w:t>
      </w:r>
    </w:p>
    <w:p>
      <w:pPr>
        <w:sectPr>
          <w:footerReference w:type="default" r:id="rId8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زین هفت خوان کرد آسمان*** تا رسد در کام آن هم استخوان کرد آسمان / غالباً بودش نظر بر رنج روزافزون من ***گر نصیب من حيات جاودان کرد آسمان ؛انجام: گویند اطبا بمساس و به فشار ***كز تختم ترنج زر پرویز است آن</w:t>
      </w:r>
    </w:p>
    <w:p>
      <w:pPr>
        <w:pStyle w:val="BookText"/>
      </w:pPr>
      <w:r>
        <w:rPr>
          <w:rFonts w:ascii="IRNazanin" w:hAnsi="IRNazanin" w:eastAsia="IRNazanin" w:cs="IRNazanin"/>
          <w:lang w:bidi="fa-IR"/>
          <w:color w:val="111111"/>
          <w:sz w:val="28"/>
          <w:szCs w:val="28"/>
          <w:rtl/>
        </w:rPr>
        <w:t xml:space="preserve">شامل قصاید ،قطعات، غزلیات و رباعیات شاعر است؛ خـط: نستعلیق ناخوانا، بی کا، تا: ۱۵ رمضان ۱۲۹۴ق؛ جلد: مقوایی، عطف و گوشه پارچه، ۳گ (۹۸پ-۴۶پ)، ۱۱ سطر [ف: 449]</w:t>
      </w:r>
    </w:p>
    <w:p>
      <w:pPr>
        <w:pStyle w:val="BookText"/>
      </w:pPr>
      <w:r>
        <w:rPr>
          <w:rFonts w:ascii="IRNazanin" w:hAnsi="IRNazanin" w:eastAsia="IRNazanin" w:cs="IRNazanin"/>
          <w:lang w:bidi="fa-IR"/>
          <w:color w:val="111111"/>
          <w:sz w:val="28"/>
          <w:szCs w:val="28"/>
          <w:rtl/>
        </w:rPr>
        <w:t xml:space="preserve">۱۳۴۸. تهران؛ مجلس؛ شماره نسخه :۲۹۸/۶-فیروز</w:t>
      </w:r>
    </w:p>
    <w:p>
      <w:pPr>
        <w:pStyle w:val="BookText"/>
      </w:pPr>
      <w:r>
        <w:rPr>
          <w:rFonts w:ascii="IRNazanin" w:hAnsi="IRNazanin" w:eastAsia="IRNazanin" w:cs="IRNazanin"/>
          <w:lang w:bidi="fa-IR"/>
          <w:color w:val="111111"/>
          <w:sz w:val="28"/>
          <w:szCs w:val="28"/>
          <w:rtl/>
        </w:rPr>
        <w:t xml:space="preserve">اشعار در سلوک و عرفان، چند غزل از شیخ بهائی، رباعیات، بابا طاهر و شاه نعمة الله و صفی علیشاه؛ خط: شکسته نستعلیق،کا: محمد ابراهیم بن زین العابدین اصفهانی، تا: ۱۲۹۴ق؛ کاغذ: فرنگی خط دار ،جلد: مخمل بنفش با ترنج و حاشیه درون ابری، ۱۶ص (حاشیه ص258-292و  متن ص ۲۹۲ - ۳۰۷) ، ۱۲ سـطر ، قطع: خشتی، اندازه: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۲۱ - ۲۸۵]</w:t>
      </w:r>
    </w:p>
    <w:p>
      <w:pPr>
        <w:pStyle w:val="BookText"/>
      </w:pPr>
      <w:r>
        <w:rPr>
          <w:rFonts w:ascii="IRNazanin" w:hAnsi="IRNazanin" w:eastAsia="IRNazanin" w:cs="IRNazanin"/>
          <w:lang w:bidi="fa-IR"/>
          <w:color w:val="111111"/>
          <w:sz w:val="28"/>
          <w:szCs w:val="28"/>
          <w:rtl/>
        </w:rPr>
        <w:t xml:space="preserve">۱۳۴۹. تهران؛ دانشگاه؛ شماره نسخه: ۳۶۷۴/۴</w:t>
      </w:r>
    </w:p>
    <w:p>
      <w:pPr>
        <w:pStyle w:val="BookText"/>
      </w:pPr>
      <w:r>
        <w:rPr>
          <w:rFonts w:ascii="IRNazanin" w:hAnsi="IRNazanin" w:eastAsia="IRNazanin" w:cs="IRNazanin"/>
          <w:lang w:bidi="fa-IR"/>
          <w:color w:val="111111"/>
          <w:sz w:val="28"/>
          <w:szCs w:val="28"/>
          <w:rtl/>
        </w:rPr>
        <w:t xml:space="preserve">شعرهای میرزا محمد سعید اردستانی و قاآنی و بسمل شهر بابکی( از روی کتاب و رساله معتمدیه نوشته شب ۱ محرم ۱۲۹۵) و شـعر فارسی نوشته علی رضا بن مهدی در ۱۲۹۴؛ خط: شکسته نستعلیق، كا: على رضا بن مهدی شریف شهر بابکی، تا: ۱۲۹۴ق؛ کا: فرنگی، جلد: تیماج قهوه ای ضربی زرکوب، ۵گ (۱۴۷-۱۵۱)، 10سطر از چپ به راست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اندازه: ۱۷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۲۲سم [ف : ۱۲ -2683]</w:t>
      </w:r>
    </w:p>
    <w:p>
      <w:pPr>
        <w:pStyle w:val="BookText"/>
      </w:pPr>
      <w:r>
        <w:rPr>
          <w:rFonts w:ascii="IRNazanin" w:hAnsi="IRNazanin" w:eastAsia="IRNazanin" w:cs="IRNazanin"/>
          <w:lang w:bidi="fa-IR"/>
          <w:color w:val="111111"/>
          <w:sz w:val="28"/>
          <w:szCs w:val="28"/>
          <w:rtl/>
        </w:rPr>
        <w:t xml:space="preserve">۱۳۵۰. یزد؛ وزیری؛ شماره نسخه: ۲۲۵۸/۳</w:t>
      </w:r>
    </w:p>
    <w:p>
      <w:pPr>
        <w:pStyle w:val="BookText"/>
      </w:pPr>
      <w:r>
        <w:rPr>
          <w:rFonts w:ascii="IRNazanin" w:hAnsi="IRNazanin" w:eastAsia="IRNazanin" w:cs="IRNazanin"/>
          <w:lang w:bidi="fa-IR"/>
          <w:color w:val="111111"/>
          <w:sz w:val="28"/>
          <w:szCs w:val="28"/>
          <w:rtl/>
        </w:rPr>
        <w:t xml:space="preserve">جنگ اشعار متفرقه از خاطی، قضائی یزدی، هاتف اصفهانی ،مجرم، مجذوب، جمیل و غیره؛ خط: نسخ، کا: اسد بن محـمد صادق الصفار یزدی ،تا: شعبان ۱۲۹۵ق؛ کاغذ: سمرقندی، جـلد:مقوایی روکش کاغذ ابری عطف تیماج قرمز، ۶۰ ص (106- ۱۶۶)، ۱۷ سطر (7</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 اندازه: ۱۲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۴ - ۱۲۲۱]</w:t>
      </w:r>
    </w:p>
    <w:p>
      <w:pPr>
        <w:pStyle w:val="BookText"/>
      </w:pPr>
      <w:r>
        <w:rPr>
          <w:rFonts w:ascii="IRNazanin" w:hAnsi="IRNazanin" w:eastAsia="IRNazanin" w:cs="IRNazanin"/>
          <w:lang w:bidi="fa-IR"/>
          <w:color w:val="111111"/>
          <w:sz w:val="28"/>
          <w:szCs w:val="28"/>
          <w:rtl/>
        </w:rPr>
        <w:t xml:space="preserve">۱۳۵۱. مشهد؛ رضوی؛ شماره نسخه: ۱۰۸۸۰</w:t>
      </w:r>
    </w:p>
    <w:p>
      <w:pPr>
        <w:pStyle w:val="BookText"/>
      </w:pPr>
      <w:r>
        <w:rPr>
          <w:rFonts w:ascii="IRNazanin" w:hAnsi="IRNazanin" w:eastAsia="IRNazanin" w:cs="IRNazanin"/>
          <w:lang w:bidi="fa-IR"/>
          <w:color w:val="111111"/>
          <w:sz w:val="28"/>
          <w:szCs w:val="28"/>
          <w:rtl/>
        </w:rPr>
        <w:t xml:space="preserve">آغاز: حمد و سپاس کریمی را که حله خلقتش زیوریست زیبنـده ؛</w:t>
      </w:r>
    </w:p>
    <w:p>
      <w:pPr>
        <w:pStyle w:val="BookText"/>
      </w:pPr>
      <w:r>
        <w:rPr>
          <w:rFonts w:ascii="IRNazanin" w:hAnsi="IRNazanin" w:eastAsia="IRNazanin" w:cs="IRNazanin"/>
          <w:lang w:bidi="fa-IR"/>
          <w:color w:val="111111"/>
          <w:sz w:val="28"/>
          <w:szCs w:val="28"/>
          <w:rtl/>
        </w:rPr>
        <w:t xml:space="preserve">انجام: معشوقه بعاریت نداده بکسی</w:t>
      </w:r>
    </w:p>
    <w:p>
      <w:pPr>
        <w:pStyle w:val="BookText"/>
      </w:pPr>
      <w:r>
        <w:rPr>
          <w:rFonts w:ascii="IRNazanin" w:hAnsi="IRNazanin" w:eastAsia="IRNazanin" w:cs="IRNazanin"/>
          <w:lang w:bidi="fa-IR"/>
          <w:color w:val="111111"/>
          <w:sz w:val="28"/>
          <w:szCs w:val="28"/>
          <w:rtl/>
        </w:rPr>
        <w:t xml:space="preserve">مجموعه ای است از غزلیات و قصاید و رباعیات شاعرانی چـون میرزا شریف اصفهانی ،عرفی، جلال الدین بلخی، سعدی شیرازی، مغربی، وحشی بافقی، حزین لاهیجی، میرزا عبدالرزاق نشاء و نشاط اصفهانی، نسخه ما حاوی مقدمه ای است از جامع که بخـشی از آن افتاده است؛ خط: نستعلیق وشکسته، بی کا، تا: ۱۲۹۵ق؛ واقف: محمد ایرانی مجرد ؛کاغذ: نباتی آهار مهره ،جلد: میشـن، ۲۵۳گ، مختلف السطر ، اندازه: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۹ - ۱۰۵]</w:t>
      </w:r>
    </w:p>
    <w:p>
      <w:pPr>
        <w:pStyle w:val="BookText"/>
      </w:pPr>
      <w:r>
        <w:rPr>
          <w:rFonts w:ascii="IRNazanin" w:hAnsi="IRNazanin" w:eastAsia="IRNazanin" w:cs="IRNazanin"/>
          <w:lang w:bidi="fa-IR"/>
          <w:color w:val="111111"/>
          <w:sz w:val="28"/>
          <w:szCs w:val="28"/>
          <w:rtl/>
        </w:rPr>
        <w:t xml:space="preserve">۱۳۵۲ .تهران؛ موزه آستان حضرت عبدالعظیم؛ شماره نسخه: ۳۷/۸</w:t>
      </w:r>
    </w:p>
    <w:p>
      <w:pPr>
        <w:pStyle w:val="BookText"/>
      </w:pPr>
      <w:r>
        <w:rPr>
          <w:rFonts w:ascii="IRNazanin" w:hAnsi="IRNazanin" w:eastAsia="IRNazanin" w:cs="IRNazanin"/>
          <w:lang w:bidi="fa-IR"/>
          <w:color w:val="111111"/>
          <w:sz w:val="28"/>
          <w:szCs w:val="28"/>
          <w:rtl/>
        </w:rPr>
        <w:t xml:space="preserve">آغاز: ای که دوش از مهر خوابت دیده ام *** نیمه شب چون آفتاب دیده ام</w:t>
      </w:r>
    </w:p>
    <w:p>
      <w:pPr>
        <w:pStyle w:val="BookText"/>
      </w:pPr>
      <w:r>
        <w:rPr>
          <w:rFonts w:ascii="IRNazanin" w:hAnsi="IRNazanin" w:eastAsia="IRNazanin" w:cs="IRNazanin"/>
          <w:lang w:bidi="fa-IR"/>
          <w:color w:val="111111"/>
          <w:sz w:val="28"/>
          <w:szCs w:val="28"/>
          <w:rtl/>
        </w:rPr>
        <w:t xml:space="preserve">چهار غزل از میرزا حبیب الله محلاتی خاقانی، شاعر این غزلیات را بخاک پای ملا محمد حسن عرضه کرده است؛ خط: نستعلیق ،کا: سید شكر الله بن محمد باقر طباطبایی بیدگلی، تا: ۱۲۹۵ق؛جلد: تیماج روغنی دورو، روی جلد زمینه زرین مجدول با نقش گل و بوته و پرنده مذهب و رنگین، داخل جلد زمینه سرخ با نقش گل نرگس، ۲گ (۳۲۲ پ -۳۲۳پ)، اندازه: ۱۶/۵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۱۳۹]</w:t>
      </w:r>
    </w:p>
    <w:p>
      <w:pPr>
        <w:pStyle w:val="BookText"/>
      </w:pPr>
      <w:r>
        <w:rPr>
          <w:rFonts w:ascii="IRNazanin" w:hAnsi="IRNazanin" w:eastAsia="IRNazanin" w:cs="IRNazanin"/>
          <w:lang w:bidi="fa-IR"/>
          <w:color w:val="111111"/>
          <w:sz w:val="28"/>
          <w:szCs w:val="28"/>
          <w:rtl/>
        </w:rPr>
        <w:t xml:space="preserve">۱۳۵۳. دامغان؛ قمر بنی هاشم (علیه السّلام)؛ شماره نسخه: ۲۲۳</w:t>
      </w:r>
    </w:p>
    <w:p>
      <w:pPr>
        <w:pStyle w:val="BookText"/>
      </w:pPr>
      <w:r>
        <w:rPr>
          <w:rFonts w:ascii="IRNazanin" w:hAnsi="IRNazanin" w:eastAsia="IRNazanin" w:cs="IRNazanin"/>
          <w:lang w:bidi="fa-IR"/>
          <w:color w:val="111111"/>
          <w:sz w:val="28"/>
          <w:szCs w:val="28"/>
          <w:rtl/>
        </w:rPr>
        <w:t xml:space="preserve">آغاز: در پای نیره ناله افغان ز آن من*** بر روی نیزه خواندن قرآن از آن تو؛ انجام: این تعزیت به کعبه بگوییم یا حطیم*** زین داوری به رکن بنالیم یا مقام</w:t>
      </w:r>
    </w:p>
    <w:p>
      <w:pPr>
        <w:pStyle w:val="BookText"/>
      </w:pPr>
      <w:r>
        <w:rPr>
          <w:rFonts w:ascii="IRNazanin" w:hAnsi="IRNazanin" w:eastAsia="IRNazanin" w:cs="IRNazanin"/>
          <w:lang w:bidi="fa-IR"/>
          <w:color w:val="111111"/>
          <w:sz w:val="28"/>
          <w:szCs w:val="28"/>
          <w:rtl/>
        </w:rPr>
        <w:t xml:space="preserve">اشعاری است در مدایح و مراثی و بعضاً از یغمایی؛ خط: نستعلیق، بی کا، تا: ۷ صفر ۱۲۹۶ق، جا: مدرسه آخوند صفر علی؛ بعضی اوراق را ملا ابراهیم روضه خان شاهرودی در سال ۱۳۱۰ جهت عندليب الذاکرین آقا شیخ علی کتابت نموده؛ جلد: تیماج مشکی فرسوده، ۸۰گ، مختلف السطر، 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۲۶]</w:t>
      </w:r>
    </w:p>
    <w:p>
      <w:pPr>
        <w:pStyle w:val="BookText"/>
      </w:pPr>
      <w:r>
        <w:rPr>
          <w:rFonts w:ascii="IRNazanin" w:hAnsi="IRNazanin" w:eastAsia="IRNazanin" w:cs="IRNazanin"/>
          <w:lang w:bidi="fa-IR"/>
          <w:color w:val="111111"/>
          <w:sz w:val="28"/>
          <w:szCs w:val="28"/>
          <w:rtl/>
        </w:rPr>
        <w:t xml:space="preserve">۱۳۵۴. مشهد؛ رضوی؛ شماره نسخه: ۴۴۹۷/۵</w:t>
      </w:r>
    </w:p>
    <w:p>
      <w:pPr>
        <w:pStyle w:val="BookText"/>
      </w:pPr>
      <w:r>
        <w:rPr>
          <w:rFonts w:ascii="IRNazanin" w:hAnsi="IRNazanin" w:eastAsia="IRNazanin" w:cs="IRNazanin"/>
          <w:lang w:bidi="fa-IR"/>
          <w:color w:val="111111"/>
          <w:sz w:val="28"/>
          <w:szCs w:val="28"/>
          <w:rtl/>
        </w:rPr>
        <w:t xml:space="preserve">غزل و قصیده و رباعی و قطعه است از شعرای: سید جلال عضد یزدی، بابا طاهر همدانی، فردوسی طوسی ،آذربیگدلی، سحاب اصفهانی، شانی تكلو، جلال الدین طالقانی، رزمی رومی، ثنائى مشهدی، جلال الدین آذربایجانی، میرزا تقی صاحب على آبادی، مؤمن حسین یزدی، عبدالرحمن جامی، صافی اصفهانی، شیخ محمود شبستری، قاآنی شیرازی، یغمای جندقی، محمد شیرین مغربی، سوزنی سمرقندی، خیام نیشابوری، شیخ بهائی، سعدی شیرازی و سید ابوالقاسم قزوینی متخلص به «سید» و «مجرد» بامقداری ادعیه و طلسمات و متفرقاتی به خطوط مختلف، در متن و حواشی؛ خط: نسخ و نستعلیق شکسته، کا: سید قزوینی، تا: اواخر ۱۲۹۶ق؛ کاغذ: آبی فرنگی آهار مهره، جلد: تیماج ضربی قهوه ای،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۷ - ۷۳۰]</w:t>
      </w:r>
    </w:p>
    <w:p>
      <w:pPr>
        <w:pStyle w:val="BookText"/>
      </w:pPr>
      <w:r>
        <w:rPr>
          <w:rFonts w:ascii="IRNazanin" w:hAnsi="IRNazanin" w:eastAsia="IRNazanin" w:cs="IRNazanin"/>
          <w:lang w:bidi="fa-IR"/>
          <w:color w:val="111111"/>
          <w:sz w:val="28"/>
          <w:szCs w:val="28"/>
          <w:rtl/>
        </w:rPr>
        <w:t xml:space="preserve">۱۳۵۵ . مشهد؛ رضوی؛ شماره نسخه: ۴۴۹۷/۴</w:t>
      </w:r>
    </w:p>
    <w:p>
      <w:pPr>
        <w:pStyle w:val="BookText"/>
      </w:pPr>
      <w:r>
        <w:rPr>
          <w:rFonts w:ascii="IRNazanin" w:hAnsi="IRNazanin" w:eastAsia="IRNazanin" w:cs="IRNazanin"/>
          <w:lang w:bidi="fa-IR"/>
          <w:color w:val="111111"/>
          <w:sz w:val="28"/>
          <w:szCs w:val="28"/>
          <w:rtl/>
        </w:rPr>
        <w:t xml:space="preserve">آغاز: بسمله، در توحید ذات واجب الوجود که ذاب انسانی کلی است از کل؛ انجام: قدحی نه به و داعش که روان خواهد شد</w:t>
      </w:r>
    </w:p>
    <w:p>
      <w:pPr>
        <w:pStyle w:val="BookText"/>
      </w:pPr>
      <w:r>
        <w:rPr>
          <w:rFonts w:ascii="IRNazanin" w:hAnsi="IRNazanin" w:eastAsia="IRNazanin" w:cs="IRNazanin"/>
          <w:lang w:bidi="fa-IR"/>
          <w:color w:val="111111"/>
          <w:sz w:val="28"/>
          <w:szCs w:val="28"/>
          <w:rtl/>
        </w:rPr>
        <w:t xml:space="preserve">ترجیعات: از شعرای: ناصر خسرو علوی (ص ۲۵۲)، شیخ فخرالدین عراقی (ص۲۵۸) شاه نعمة الله ولی (ص۲۶۴)، خواجوی کرمانی (ص ۲۷۰)، هاتف اصفهانی (ص (۲۷۸)؛ خط: نسخ و نستعلیق شکسته، کا: سید قزوینی، تا: اواخر ۱۲۹۶ق؛ کاغذ: آبی فرنگی آهار مهره، جلد: تیماج ضربی قهوه ای،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۷ - ۷۲۹]</w:t>
      </w:r>
    </w:p>
    <w:p>
      <w:pPr>
        <w:pStyle w:val="BookText"/>
      </w:pPr>
      <w:r>
        <w:rPr>
          <w:rFonts w:ascii="IRNazanin" w:hAnsi="IRNazanin" w:eastAsia="IRNazanin" w:cs="IRNazanin"/>
          <w:lang w:bidi="fa-IR"/>
          <w:color w:val="111111"/>
          <w:sz w:val="28"/>
          <w:szCs w:val="28"/>
          <w:rtl/>
        </w:rPr>
        <w:t xml:space="preserve">۱۳۵۶. تهران؛ ملی؛ شماره نسخه: ۲۷۱۳</w:t>
      </w:r>
    </w:p>
    <w:p>
      <w:pPr>
        <w:pStyle w:val="BookText"/>
      </w:pPr>
      <w:r>
        <w:rPr>
          <w:rFonts w:ascii="IRNazanin" w:hAnsi="IRNazanin" w:eastAsia="IRNazanin" w:cs="IRNazanin"/>
          <w:lang w:bidi="fa-IR"/>
          <w:color w:val="111111"/>
          <w:sz w:val="28"/>
          <w:szCs w:val="28"/>
          <w:rtl/>
        </w:rPr>
        <w:t xml:space="preserve">آغاز: چشم از پی آن باید تا چیز عجب بیند*** جان ازپی آن باید تا عیش و طرب بیند؛ انجام: نه تنها شد پرشان در عزای او مصیب گر</w:t>
      </w:r>
    </w:p>
    <w:p>
      <w:pPr>
        <w:pStyle w:val="BookText"/>
      </w:pPr>
      <w:r>
        <w:rPr>
          <w:rFonts w:ascii="IRNazanin" w:hAnsi="IRNazanin" w:eastAsia="IRNazanin" w:cs="IRNazanin"/>
          <w:lang w:bidi="fa-IR"/>
          <w:color w:val="111111"/>
          <w:sz w:val="28"/>
          <w:szCs w:val="28"/>
          <w:rtl/>
        </w:rPr>
        <w:t xml:space="preserve">اشعاری از :مولانا در وصف شمس، مولانا نور علی شاه، قصیده در مدح میزرا ابوالحسن خان حاکم شیروان، قصیده در مولود جناب صاحب امر، قصیده در مولود جناب رسول الله، قصیده در مدح جناب مولا (علیه السّلام)، قصیده در مدح غریب طوس، قصیده در مدح محمد حاجی محمد باقرخان عمادالملک حاکم طبس،
</w:t>
      </w:r>
    </w:p>
    <w:p>
      <w:pPr>
        <w:sectPr>
          <w:footerReference w:type="default" r:id="rId8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قصیده در مدح محمد حسین پسر عمادالملک، غزلی چند ، درمناجات ،رباعی، قصیده در مدح محمد خان والی، در مدح محـمد رضا خان، در مدح مرتضی قلی خان ؛خط: شکسته نستعلیق،بی کا، تا: ۱۲۹۶ق؛ کاغذ: فرنگی، ۴۳گ، ۱۱ سطر (۷</w:t>
      </w:r>
      <w:r>
        <w:rPr>
          <w:rFonts w:ascii="Times New Roman" w:hAnsi="Times New Roman" w:eastAsia="Times New Roman" w:cs="Times New Roman"/>
          <w:lang w:val="en-US" w:bidi="en-US"/>
          <w:color w:val="111111"/>
          <w:sz w:val="28"/>
          <w:szCs w:val="28"/>
          <w:rtl/>
        </w:rPr>
        <w:t xml:space="preserve">×13/5)</w:t>
      </w:r>
      <w:r>
        <w:rPr>
          <w:rFonts w:ascii="IRNazanin" w:hAnsi="IRNazanin" w:eastAsia="IRNazanin" w:cs="IRNazanin"/>
          <w:lang w:bidi="fa-IR"/>
          <w:color w:val="111111"/>
          <w:sz w:val="28"/>
          <w:szCs w:val="28"/>
          <w:rtl/>
        </w:rPr>
        <w:t xml:space="preserve">،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۶ - ۳۲۲]</w:t>
      </w:r>
    </w:p>
    <w:p>
      <w:pPr>
        <w:pStyle w:val="BookText"/>
      </w:pPr>
      <w:r>
        <w:rPr>
          <w:rFonts w:ascii="IRNazanin" w:hAnsi="IRNazanin" w:eastAsia="IRNazanin" w:cs="IRNazanin"/>
          <w:lang w:bidi="fa-IR"/>
          <w:color w:val="111111"/>
          <w:sz w:val="28"/>
          <w:szCs w:val="28"/>
          <w:rtl/>
        </w:rPr>
        <w:t xml:space="preserve">۱۳۵۷. تهران؛ مجلس؛ شماره نسخه: ۱۰۸۶/۳</w:t>
      </w:r>
    </w:p>
    <w:p>
      <w:pPr>
        <w:pStyle w:val="BookText"/>
      </w:pPr>
      <w:r>
        <w:rPr>
          <w:rFonts w:ascii="IRNazanin" w:hAnsi="IRNazanin" w:eastAsia="IRNazanin" w:cs="IRNazanin"/>
          <w:lang w:bidi="fa-IR"/>
          <w:color w:val="111111"/>
          <w:sz w:val="28"/>
          <w:szCs w:val="28"/>
          <w:rtl/>
        </w:rPr>
        <w:t xml:space="preserve">غزل است. نویسنده: محمد علی میرزا؛ خط: شکسته نستعلیق،کا: محمد علی  قزوینی، تا: ۱۲۹۷ق؛ ۲ ص (۶۵-۶۶) [ف: ۳ - ۳۳۲]</w:t>
      </w:r>
    </w:p>
    <w:p>
      <w:pPr>
        <w:pStyle w:val="BookText"/>
      </w:pPr>
      <w:r>
        <w:rPr>
          <w:rFonts w:ascii="IRNazanin" w:hAnsi="IRNazanin" w:eastAsia="IRNazanin" w:cs="IRNazanin"/>
          <w:lang w:bidi="fa-IR"/>
          <w:color w:val="111111"/>
          <w:sz w:val="28"/>
          <w:szCs w:val="28"/>
          <w:rtl/>
        </w:rPr>
        <w:t xml:space="preserve">۱۳۵۸. مشهد؛ شیخ علی حیدر؛ شماره نسخه: ۱۱۴۸/۲</w:t>
      </w:r>
    </w:p>
    <w:p>
      <w:pPr>
        <w:pStyle w:val="BookText"/>
      </w:pPr>
      <w:r>
        <w:rPr>
          <w:rFonts w:ascii="IRNazanin" w:hAnsi="IRNazanin" w:eastAsia="IRNazanin" w:cs="IRNazanin"/>
          <w:lang w:bidi="fa-IR"/>
          <w:color w:val="111111"/>
          <w:sz w:val="28"/>
          <w:szCs w:val="28"/>
          <w:rtl/>
        </w:rPr>
        <w:t xml:space="preserve">آغاز: لقد نسيت المشوق ذهلاً *** که هست هر شب ز درد نالان ؛</w:t>
      </w:r>
    </w:p>
    <w:p>
      <w:pPr>
        <w:pStyle w:val="BookText"/>
      </w:pPr>
      <w:r>
        <w:rPr>
          <w:rFonts w:ascii="IRNazanin" w:hAnsi="IRNazanin" w:eastAsia="IRNazanin" w:cs="IRNazanin"/>
          <w:lang w:bidi="fa-IR"/>
          <w:color w:val="111111"/>
          <w:sz w:val="28"/>
          <w:szCs w:val="28"/>
          <w:rtl/>
        </w:rPr>
        <w:t xml:space="preserve">انجام: براری امید مرا در جهان*** که نزهت بگلزار ایمان دهد»</w:t>
      </w:r>
    </w:p>
    <w:p>
      <w:pPr>
        <w:pStyle w:val="BookText"/>
      </w:pPr>
      <w:r>
        <w:rPr>
          <w:rFonts w:ascii="IRNazanin" w:hAnsi="IRNazanin" w:eastAsia="IRNazanin" w:cs="IRNazanin"/>
          <w:lang w:bidi="fa-IR"/>
          <w:color w:val="111111"/>
          <w:sz w:val="28"/>
          <w:szCs w:val="28"/>
          <w:rtl/>
        </w:rPr>
        <w:t xml:space="preserve">قصیده های صوفیه از شعرای مختلف، چند قصیده است که قصـیده اول مرکبی است از فارسی و عربی و اردو؛ خط: نستعلیق،کا: عبدالرحیم خان، تا:  ۱۶ ربیع الاول ۱۲۹۷ق؛ ۶گ (87ر-۸۳ر)،18سطر، اندازه: ۱۳/۵</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۲۰/۵سم [مؤيد: ۳ - ۱۳۰]</w:t>
      </w:r>
    </w:p>
    <w:p>
      <w:pPr>
        <w:pStyle w:val="BookText"/>
      </w:pPr>
      <w:r>
        <w:rPr>
          <w:rFonts w:ascii="IRNazanin" w:hAnsi="IRNazanin" w:eastAsia="IRNazanin" w:cs="IRNazanin"/>
          <w:lang w:bidi="fa-IR"/>
          <w:color w:val="111111"/>
          <w:sz w:val="28"/>
          <w:szCs w:val="28"/>
          <w:rtl/>
        </w:rPr>
        <w:t xml:space="preserve">۱۳۵۹. تهران؛ مجلس؛ شماره نسخه: ۳۳۲۳/۱۷</w:t>
      </w:r>
    </w:p>
    <w:p>
      <w:pPr>
        <w:pStyle w:val="BookText"/>
      </w:pPr>
      <w:r>
        <w:rPr>
          <w:rFonts w:ascii="IRNazanin" w:hAnsi="IRNazanin" w:eastAsia="IRNazanin" w:cs="IRNazanin"/>
          <w:lang w:bidi="fa-IR"/>
          <w:color w:val="111111"/>
          <w:sz w:val="28"/>
          <w:szCs w:val="28"/>
          <w:rtl/>
        </w:rPr>
        <w:t xml:space="preserve">آغاز: بار دیگر ز هوش رفتم باز *** نه بسر هوش نه بلب آواز/ چون بهوش آمدم ز بیهوشی *** کوش زو شد نوای خاموشی؛</w:t>
      </w:r>
    </w:p>
    <w:p>
      <w:pPr>
        <w:pStyle w:val="BookText"/>
      </w:pPr>
      <w:r>
        <w:rPr>
          <w:rFonts w:ascii="IRNazanin" w:hAnsi="IRNazanin" w:eastAsia="IRNazanin" w:cs="IRNazanin"/>
          <w:lang w:bidi="fa-IR"/>
          <w:color w:val="111111"/>
          <w:sz w:val="28"/>
          <w:szCs w:val="28"/>
          <w:rtl/>
        </w:rPr>
        <w:t xml:space="preserve">انجام:گفت منم نامم علی ابی طالب*** در همه چیز بر همه غالب/ منم آن آفتاب عالم تاب *** که ندید است روی پوش سحاب/ پرده سوز است پرتو چهرم *** نیست یکذره خالی از مهرم / چـون بگوشم رسید نام علی *** مهر او گشت در دلم ازلی</w:t>
      </w:r>
    </w:p>
    <w:p>
      <w:pPr>
        <w:pStyle w:val="BookText"/>
      </w:pPr>
      <w:r>
        <w:rPr>
          <w:rFonts w:ascii="IRNazanin" w:hAnsi="IRNazanin" w:eastAsia="IRNazanin" w:cs="IRNazanin"/>
          <w:lang w:bidi="fa-IR"/>
          <w:color w:val="111111"/>
          <w:sz w:val="28"/>
          <w:szCs w:val="28"/>
          <w:rtl/>
        </w:rPr>
        <w:t xml:space="preserve">بخشی از یک مثنوی است در مدح علی (علیه السّلام)؛ خط: نسخ، بی کا، تا: ۱۲۹۷ق؛ کاغذ: فرنگی مارک دار سفید و کرمی رنگ، جـلد: تیماج نارنجی دور منگنه، ۲ ص (۳۶۵-۳۶۶) اندازه: 17/5</w:t>
      </w:r>
      <w:r>
        <w:rPr>
          <w:rFonts w:ascii="Times New Roman" w:hAnsi="Times New Roman" w:eastAsia="Times New Roman" w:cs="Times New Roman"/>
          <w:lang w:val="en-US" w:bidi="en-US"/>
          <w:color w:val="111111"/>
          <w:sz w:val="28"/>
          <w:szCs w:val="28"/>
          <w:rtl/>
        </w:rPr>
        <w:t xml:space="preserve">×32</w:t>
      </w:r>
      <w:r>
        <w:rPr>
          <w:rFonts w:ascii="IRNazanin" w:hAnsi="IRNazanin" w:eastAsia="IRNazanin" w:cs="IRNazanin"/>
          <w:lang w:bidi="fa-IR"/>
          <w:color w:val="111111"/>
          <w:sz w:val="28"/>
          <w:szCs w:val="28"/>
          <w:rtl/>
        </w:rPr>
        <w:t xml:space="preserve">سم [ف: ۱۰ - ۱۰۹۶]</w:t>
      </w:r>
    </w:p>
    <w:p>
      <w:pPr>
        <w:pStyle w:val="BookText"/>
      </w:pPr>
      <w:r>
        <w:rPr>
          <w:rFonts w:ascii="IRNazanin" w:hAnsi="IRNazanin" w:eastAsia="IRNazanin" w:cs="IRNazanin"/>
          <w:lang w:bidi="fa-IR"/>
          <w:color w:val="111111"/>
          <w:sz w:val="28"/>
          <w:szCs w:val="28"/>
          <w:rtl/>
        </w:rPr>
        <w:t xml:space="preserve">۱۳۶۰. تهران؛ مجلس؛ شماره نسخه: ۳۳۲۳/۱۸</w:t>
      </w:r>
    </w:p>
    <w:p>
      <w:pPr>
        <w:pStyle w:val="BookText"/>
      </w:pPr>
      <w:r>
        <w:rPr>
          <w:rFonts w:ascii="IRNazanin" w:hAnsi="IRNazanin" w:eastAsia="IRNazanin" w:cs="IRNazanin"/>
          <w:lang w:bidi="fa-IR"/>
          <w:color w:val="111111"/>
          <w:sz w:val="28"/>
          <w:szCs w:val="28"/>
          <w:rtl/>
        </w:rPr>
        <w:t xml:space="preserve">آغاز: بسم الله الرحمن الرحیم *** پیش نهالی است ز باغ حکیم/نخل سرافراز گلستان قدس *** مصرع برجسته دیوان قدس ؛</w:t>
      </w:r>
    </w:p>
    <w:p>
      <w:pPr>
        <w:pStyle w:val="BookText"/>
      </w:pPr>
      <w:r>
        <w:rPr>
          <w:rFonts w:ascii="IRNazanin" w:hAnsi="IRNazanin" w:eastAsia="IRNazanin" w:cs="IRNazanin"/>
          <w:lang w:bidi="fa-IR"/>
          <w:color w:val="111111"/>
          <w:sz w:val="28"/>
          <w:szCs w:val="28"/>
          <w:rtl/>
        </w:rPr>
        <w:t xml:space="preserve">انجام: لیک نه در خورد تمنای این *** سود بهم بر زن و سـود است این / گوهر مقصود که زین بحر بود *** بر سر این چشمه سیراب مرد</w:t>
      </w:r>
    </w:p>
    <w:p>
      <w:pPr>
        <w:pStyle w:val="BookText"/>
      </w:pPr>
      <w:r>
        <w:rPr>
          <w:rFonts w:ascii="IRNazanin" w:hAnsi="IRNazanin" w:eastAsia="IRNazanin" w:cs="IRNazanin"/>
          <w:lang w:bidi="fa-IR"/>
          <w:color w:val="111111"/>
          <w:sz w:val="28"/>
          <w:szCs w:val="28"/>
          <w:rtl/>
        </w:rPr>
        <w:t xml:space="preserve">بخش اول یک مثنوی است در تفسیر بسمله؛ خط: نسخ، بی کا،تا: ۱۲۹۷ق؛ كاغذ: فرنگی مارک دار سفید و کرمی رنگ، جـلد: تیماج نارنجی دور منگنه، ۱ص (۳۶۷)، اندازه: ۱۷/۵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۳۲سم [ف: 10- 1096]</w:t>
      </w:r>
    </w:p>
    <w:p>
      <w:pPr>
        <w:pStyle w:val="BookText"/>
      </w:pPr>
      <w:r>
        <w:rPr>
          <w:rFonts w:ascii="IRNazanin" w:hAnsi="IRNazanin" w:eastAsia="IRNazanin" w:cs="IRNazanin"/>
          <w:lang w:bidi="fa-IR"/>
          <w:color w:val="111111"/>
          <w:sz w:val="28"/>
          <w:szCs w:val="28"/>
          <w:rtl/>
        </w:rPr>
        <w:t xml:space="preserve">۱۳۶۱. تهران؛ مجلس؛ شماره نسخه: ۷۳۵۳/۶</w:t>
      </w:r>
    </w:p>
    <w:p>
      <w:pPr>
        <w:pStyle w:val="BookText"/>
      </w:pPr>
      <w:r>
        <w:rPr>
          <w:rFonts w:ascii="IRNazanin" w:hAnsi="IRNazanin" w:eastAsia="IRNazanin" w:cs="IRNazanin"/>
          <w:lang w:bidi="fa-IR"/>
          <w:color w:val="111111"/>
          <w:sz w:val="28"/>
          <w:szCs w:val="28"/>
          <w:rtl/>
        </w:rPr>
        <w:t xml:space="preserve">اشعار نورعلیشاه است؛ خط: نستعليق، كا: حاجی ملا محمد نعمت اللهی، تا: ۱۲۹۷ق؛ جلد: تیماج قهوه ای، ۷گ (۲۷۳-۲۸۰ ر)،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۲۵ - ۳۳۲]</w:t>
      </w:r>
    </w:p>
    <w:p>
      <w:pPr>
        <w:pStyle w:val="BookText"/>
      </w:pPr>
      <w:r>
        <w:rPr>
          <w:rFonts w:ascii="IRNazanin" w:hAnsi="IRNazanin" w:eastAsia="IRNazanin" w:cs="IRNazanin"/>
          <w:lang w:bidi="fa-IR"/>
          <w:color w:val="111111"/>
          <w:sz w:val="28"/>
          <w:szCs w:val="28"/>
          <w:rtl/>
        </w:rPr>
        <w:t xml:space="preserve">۱۳۶۲ .تهران؛ چهل ستون؛ شماره نسخه: ۱۹۹</w:t>
      </w:r>
    </w:p>
    <w:p>
      <w:pPr>
        <w:pStyle w:val="BookText"/>
      </w:pPr>
      <w:r>
        <w:rPr>
          <w:rFonts w:ascii="IRNazanin" w:hAnsi="IRNazanin" w:eastAsia="IRNazanin" w:cs="IRNazanin"/>
          <w:lang w:bidi="fa-IR"/>
          <w:color w:val="111111"/>
          <w:sz w:val="28"/>
          <w:szCs w:val="28"/>
          <w:rtl/>
        </w:rPr>
        <w:t xml:space="preserve">اشعار پراکنده در مراثی و مدایح و جز آن؛ خط: نستعلیق، بی کا، تا: ۱۲۹۷ق [ چند نسخه- ف: - ۳۴۵]</w:t>
      </w:r>
    </w:p>
    <w:p>
      <w:pPr>
        <w:pStyle w:val="BookText"/>
      </w:pPr>
      <w:r>
        <w:rPr>
          <w:rFonts w:ascii="IRNazanin" w:hAnsi="IRNazanin" w:eastAsia="IRNazanin" w:cs="IRNazanin"/>
          <w:lang w:bidi="fa-IR"/>
          <w:color w:val="111111"/>
          <w:sz w:val="28"/>
          <w:szCs w:val="28"/>
          <w:rtl/>
        </w:rPr>
        <w:t xml:space="preserve">۱۳۶۳. تهران؛ دانشگاه؛ شماره نسخه: ۴۷۳۴/۳۵</w:t>
      </w:r>
    </w:p>
    <w:p>
      <w:pPr>
        <w:pStyle w:val="BookText"/>
      </w:pPr>
      <w:r>
        <w:rPr>
          <w:rFonts w:ascii="IRNazanin" w:hAnsi="IRNazanin" w:eastAsia="IRNazanin" w:cs="IRNazanin"/>
          <w:lang w:bidi="fa-IR"/>
          <w:color w:val="111111"/>
          <w:sz w:val="28"/>
          <w:szCs w:val="28"/>
          <w:rtl/>
        </w:rPr>
        <w:t xml:space="preserve">رباعیات بدیهیه دانش، گرد آورده میرزا آقای زنجانی پسر بابا بیک در ۱۳۱۸ برای میرزا عبدالغفار؛ بی کا، تا: ۱۲۹۸ق؛ کاغذ: فرنگی ،جلد: روغنی زمینه سبز با گل و بوته و زرد و زرین و عطف تیماج سرخ، ۸ص (۶۸۲-۶۸۹)، ۱۱ سطر (6</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۱۴ - ۳۶۹۱]</w:t>
      </w:r>
    </w:p>
    <w:p>
      <w:pPr>
        <w:pStyle w:val="BookText"/>
      </w:pPr>
      <w:r>
        <w:rPr>
          <w:rFonts w:ascii="IRNazanin" w:hAnsi="IRNazanin" w:eastAsia="IRNazanin" w:cs="IRNazanin"/>
          <w:lang w:bidi="fa-IR"/>
          <w:color w:val="111111"/>
          <w:sz w:val="28"/>
          <w:szCs w:val="28"/>
          <w:rtl/>
        </w:rPr>
        <w:t xml:space="preserve">۱۳۶۴. تهران؛ ملی؛ شماره نسخه: ۲۶۳۷</w:t>
      </w:r>
    </w:p>
    <w:p>
      <w:pPr>
        <w:pStyle w:val="BookText"/>
      </w:pPr>
      <w:r>
        <w:rPr>
          <w:rFonts w:ascii="IRNazanin" w:hAnsi="IRNazanin" w:eastAsia="IRNazanin" w:cs="IRNazanin"/>
          <w:lang w:bidi="fa-IR"/>
          <w:color w:val="111111"/>
          <w:sz w:val="28"/>
          <w:szCs w:val="28"/>
          <w:rtl/>
        </w:rPr>
        <w:t xml:space="preserve">شامل: قطعه ای از قصیده «لمعات و جهک اشرقت»، ترجیع بند معروف هاتف (۹۷-۱۱۵)، قصیده ای از قاآنی با مطلع: «خیمه زر به بفت زد بر چرخ نیلی آفتاب *** از پرده نیلگون آویخت بس زرین طناب» (۱۲۶-۱۱۶) پاره ای از اشعار شعرای دوره قاجار به خط حمایلی و نیز مطالب نثری چند (۱۲۷-۱۳۶)؛ خط: نستعلیق، بی کا، تا: ۱۲۷۹ و ۱۲۹۸؛ از صفحه ۲ تا ۹۱ رساله چاپی؛ کاغذ: فرنگی، جلد: تیماج قهوه ای یک لا ،۶۸گ، ۱۴ سطر، اندازه: 7</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 [ف: ۶ - ۱۹۶]</w:t>
      </w:r>
    </w:p>
    <w:p>
      <w:pPr>
        <w:pStyle w:val="BookText"/>
      </w:pPr>
      <w:r>
        <w:rPr>
          <w:rFonts w:ascii="IRNazanin" w:hAnsi="IRNazanin" w:eastAsia="IRNazanin" w:cs="IRNazanin"/>
          <w:lang w:bidi="fa-IR"/>
          <w:color w:val="111111"/>
          <w:sz w:val="28"/>
          <w:szCs w:val="28"/>
          <w:rtl/>
        </w:rPr>
        <w:t xml:space="preserve">۱۳۶۵. تهران؛ نوربخش؛ شماره نسخه: ۶۰۲/۹</w:t>
      </w:r>
    </w:p>
    <w:p>
      <w:pPr>
        <w:pStyle w:val="BookText"/>
      </w:pPr>
      <w:r>
        <w:rPr>
          <w:rFonts w:ascii="IRNazanin" w:hAnsi="IRNazanin" w:eastAsia="IRNazanin" w:cs="IRNazanin"/>
          <w:lang w:bidi="fa-IR"/>
          <w:color w:val="111111"/>
          <w:sz w:val="28"/>
          <w:szCs w:val="28"/>
          <w:rtl/>
        </w:rPr>
        <w:t xml:space="preserve">آغاز: ای ولی مهیمن غفار*** ای وصی محمد مختار؛ انجام: ختم شد شد و الله الله اعلم بالصواب.</w:t>
      </w:r>
    </w:p>
    <w:p>
      <w:pPr>
        <w:pStyle w:val="BookText"/>
      </w:pPr>
      <w:r>
        <w:rPr>
          <w:rFonts w:ascii="IRNazanin" w:hAnsi="IRNazanin" w:eastAsia="IRNazanin" w:cs="IRNazanin"/>
          <w:lang w:bidi="fa-IR"/>
          <w:color w:val="111111"/>
          <w:sz w:val="28"/>
          <w:szCs w:val="28"/>
          <w:rtl/>
        </w:rPr>
        <w:t xml:space="preserve">اشعار متفرقه است از: شاه نعمت الله کرمانی و غیره؛ خط: نستعلیق، بی کا، تا: ۳ شعبان ۱۲۹۸ق؛ کاغذ: فرنگی، جلد: تیماج زرد، ،مقوایی، ۱۱۹ ص (۳۳۸-۴۵۷) ،اندازه: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۲ - ۲۴۷]</w:t>
      </w:r>
    </w:p>
    <w:p>
      <w:pPr>
        <w:pStyle w:val="BookText"/>
      </w:pPr>
      <w:r>
        <w:rPr>
          <w:rFonts w:ascii="IRNazanin" w:hAnsi="IRNazanin" w:eastAsia="IRNazanin" w:cs="IRNazanin"/>
          <w:lang w:bidi="fa-IR"/>
          <w:color w:val="111111"/>
          <w:sz w:val="28"/>
          <w:szCs w:val="28"/>
          <w:rtl/>
        </w:rPr>
        <w:t xml:space="preserve">۱۳۶۶. تهران؛ مفتاح؛ شماره نسخه: ۱۱۸۴</w:t>
      </w:r>
    </w:p>
    <w:p>
      <w:pPr>
        <w:pStyle w:val="BookText"/>
      </w:pPr>
      <w:r>
        <w:rPr>
          <w:rFonts w:ascii="IRNazanin" w:hAnsi="IRNazanin" w:eastAsia="IRNazanin" w:cs="IRNazanin"/>
          <w:lang w:bidi="fa-IR"/>
          <w:color w:val="111111"/>
          <w:sz w:val="28"/>
          <w:szCs w:val="28"/>
          <w:rtl/>
        </w:rPr>
        <w:t xml:space="preserve">دارای غزل محمد (نوشته شعبان ۱۲۹۸)، و رباعیات خیام (بهمین خط)، و در پایان چند فرد است، و یک مثنوی در وصف طایفه «اناس» (نوشته پسر میرزا تقی جهرمی در ۱۲۹۸)، پس از آن غزل ناصرالدین شاه است ؛خط: شکسته نستعلیق، کا: همان جهرمی،تا: ۱۲۹۸ق؛ در پایان کتاب رباعیات نامیده شده است؛ قطع: ربعی [ نشریه: ۷ - ۱۳۷]</w:t>
      </w:r>
    </w:p>
    <w:p>
      <w:pPr>
        <w:pStyle w:val="BookText"/>
      </w:pPr>
      <w:r>
        <w:rPr>
          <w:rFonts w:ascii="IRNazanin" w:hAnsi="IRNazanin" w:eastAsia="IRNazanin" w:cs="IRNazanin"/>
          <w:lang w:bidi="fa-IR"/>
          <w:color w:val="111111"/>
          <w:sz w:val="28"/>
          <w:szCs w:val="28"/>
          <w:rtl/>
        </w:rPr>
        <w:t xml:space="preserve">۱۳۶۷ . قم؛ حافظیان ابوالفضل؛ شماره نسخه: ۱۶</w:t>
      </w:r>
    </w:p>
    <w:p>
      <w:pPr>
        <w:pStyle w:val="BookText"/>
      </w:pPr>
      <w:r>
        <w:rPr>
          <w:rFonts w:ascii="IRNazanin" w:hAnsi="IRNazanin" w:eastAsia="IRNazanin" w:cs="IRNazanin"/>
          <w:lang w:bidi="fa-IR"/>
          <w:color w:val="111111"/>
          <w:sz w:val="28"/>
          <w:szCs w:val="28"/>
          <w:rtl/>
        </w:rPr>
        <w:t xml:space="preserve">آغاز: بسمله من كلام شیخ سعدی: ماه فروماند از جمال محمد *** سرو نروید باعتدال محمد؛ انجام: گفتا می خور که همچو ما بسیاری*** رفتند و کسی باز نیامد باری</w:t>
      </w:r>
    </w:p>
    <w:p>
      <w:pPr>
        <w:pStyle w:val="BookText"/>
      </w:pPr>
      <w:r>
        <w:rPr>
          <w:rFonts w:ascii="IRNazanin" w:hAnsi="IRNazanin" w:eastAsia="IRNazanin" w:cs="IRNazanin"/>
          <w:lang w:bidi="fa-IR"/>
          <w:color w:val="111111"/>
          <w:sz w:val="28"/>
          <w:szCs w:val="28"/>
          <w:rtl/>
        </w:rPr>
        <w:t xml:space="preserve">اشعاری از سعدی شیرازی در این بیاض گردآوری شده است؛ خط: نستعلیق شکسته ،کا: علی، تا: ۱۸ جمادی الثانی ۱۲۹۹ق، جا: قریه حیدر آباد؛ جلد: تیماج مشکی مجدول، ۷۰گ، ۱۰ چلیپایی سطر، اندازه: 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w:t>
      </w:r>
    </w:p>
    <w:p>
      <w:pPr>
        <w:pStyle w:val="BookText"/>
      </w:pPr>
      <w:r>
        <w:rPr>
          <w:rFonts w:ascii="IRNazanin" w:hAnsi="IRNazanin" w:eastAsia="IRNazanin" w:cs="IRNazanin"/>
          <w:lang w:bidi="fa-IR"/>
          <w:color w:val="111111"/>
          <w:sz w:val="28"/>
          <w:szCs w:val="28"/>
          <w:rtl/>
        </w:rPr>
        <w:t xml:space="preserve">۱۳۶۸ . مشهد؛ رضوی؛ شماره نسخه: ۱۶۳۹۸</w:t>
      </w:r>
    </w:p>
    <w:p>
      <w:pPr>
        <w:pStyle w:val="BookText"/>
      </w:pPr>
      <w:r>
        <w:rPr>
          <w:rFonts w:ascii="IRNazanin" w:hAnsi="IRNazanin" w:eastAsia="IRNazanin" w:cs="IRNazanin"/>
          <w:lang w:bidi="fa-IR"/>
          <w:color w:val="111111"/>
          <w:sz w:val="28"/>
          <w:szCs w:val="28"/>
          <w:rtl/>
        </w:rPr>
        <w:t xml:space="preserve">مجموعه ای است مشتمل بر: ۱- رباعیات بابا طاهر عریان در دو برگ، آغاز: «ز کشت خاطرم جز غم نروئی *** زباغم جز گل ماتم نروئی»، انجام: «اگر چشمان نکردی دیده نانی *** چه دانستی دلم خوبان کجائی»، ۲- ترجیع بند منتسب به ناصر خسرو قبادیانی در نه بند، در مقدمه دیوان چاپی تصحیح نصرالله تقوی و نیز ژوکوفسکی هفت بند را به ناصر خسرو نسبت داده است. با بیت
</w:t>
      </w:r>
    </w:p>
    <w:p>
      <w:pPr>
        <w:sectPr>
          <w:footerReference w:type="default" r:id="rId8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الترجيع : «که جهان پرتویست از رخ دوست *** جمله کاینات سایه اوست»،3 - رباعیات ایرج میرزا بن فتحعلی شاه قاجار متخلص به انصاف (و. ۱۲۲۲ ق.) در دو برگ، آغاز: «بسمله از نافه مشک تن خرابست مرا»، انجام: «معلوم شود که مرده ای یا در خوابی»، ۴- رباعیات شیخ عطار نیشابوری در ۲ برگ در دیوان چاپی وی مشاهده نشد، آغاز: «بسمله، ای عین بقا در چه بقائی که نه *** ارجای نه و کدام جائی که نه»، انجام: «چون روح تو مطهر حق حق پوشید *** انداز ترا بجامه جسمانی»، ۵- پند لقمان حکیم ،آغاز: «بسمله، اما بعد ای فرزند خدای عزو وجل را بشناس هر چه گوئی از پند و نصیحت نخست آن کار کن»، انجام: «در خانه اگر کس است یک حرف بس است و السلام»، خط: نستعليق خوب، بی کا، تا: شوال ۱۲۹۹ق، به دستور یکی از شاهزادگان قاجار؛ واگذاری بنیاد مستضعفان در شهریور 1367؛ کاغذ: آبی فرنگی ،جلد: تیماج، ۱۲گ، ۱۳ سطر، اندازه:</w:t>
      </w:r>
    </w:p>
    <w:p>
      <w:pPr>
        <w:pStyle w:val="BookText"/>
      </w:pPr>
      <w:r>
        <w:rPr>
          <w:rFonts w:ascii="IRNazanin" w:hAnsi="IRNazanin" w:eastAsia="IRNazanin" w:cs="IRNazanin"/>
          <w:lang w:bidi="fa-IR"/>
          <w:color w:val="111111"/>
          <w:sz w:val="28"/>
          <w:szCs w:val="28"/>
          <w:rtl/>
        </w:rPr>
        <w:t xml:space="preserve">۱۲/۸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۱۹/۶سم [ف : ۱۷ - ۲۶۴]</w:t>
      </w:r>
    </w:p>
    <w:p>
      <w:pPr>
        <w:pStyle w:val="BookText"/>
      </w:pPr>
      <w:r>
        <w:rPr>
          <w:rFonts w:ascii="IRNazanin" w:hAnsi="IRNazanin" w:eastAsia="IRNazanin" w:cs="IRNazanin"/>
          <w:lang w:bidi="fa-IR"/>
          <w:color w:val="111111"/>
          <w:sz w:val="28"/>
          <w:szCs w:val="28"/>
          <w:rtl/>
        </w:rPr>
        <w:t xml:space="preserve">۱۳۶۹. تهران؛ مجلس؛ شماره نسخه: ۱۶۵۳۴</w:t>
      </w:r>
    </w:p>
    <w:p>
      <w:pPr>
        <w:pStyle w:val="BookText"/>
      </w:pPr>
      <w:r>
        <w:rPr>
          <w:rFonts w:ascii="IRNazanin" w:hAnsi="IRNazanin" w:eastAsia="IRNazanin" w:cs="IRNazanin"/>
          <w:lang w:bidi="fa-IR"/>
          <w:color w:val="111111"/>
          <w:sz w:val="28"/>
          <w:szCs w:val="28"/>
          <w:rtl/>
        </w:rPr>
        <w:t xml:space="preserve">از لامعی جرجانی، هاتف ضياء و .... ؛كا: عبدالعلی بن مرحـوم حاجی میرزا حسین نائینی الاصل، تا: ۱۲۹۹ق [د.ث. مجلس ]</w:t>
      </w:r>
    </w:p>
    <w:p>
      <w:pPr>
        <w:pStyle w:val="BookText"/>
      </w:pPr>
      <w:r>
        <w:rPr>
          <w:rFonts w:ascii="IRNazanin" w:hAnsi="IRNazanin" w:eastAsia="IRNazanin" w:cs="IRNazanin"/>
          <w:lang w:bidi="fa-IR"/>
          <w:color w:val="111111"/>
          <w:sz w:val="28"/>
          <w:szCs w:val="28"/>
          <w:rtl/>
        </w:rPr>
        <w:t xml:space="preserve">۱۳۷۰. تهران؛ مروی؛ شماره نسخه: ۱۰۴۱/۲</w:t>
      </w:r>
    </w:p>
    <w:p>
      <w:pPr>
        <w:pStyle w:val="BookText"/>
      </w:pPr>
      <w:r>
        <w:rPr>
          <w:rFonts w:ascii="IRNazanin" w:hAnsi="IRNazanin" w:eastAsia="IRNazanin" w:cs="IRNazanin"/>
          <w:lang w:bidi="fa-IR"/>
          <w:color w:val="111111"/>
          <w:sz w:val="28"/>
          <w:szCs w:val="28"/>
          <w:rtl/>
        </w:rPr>
        <w:t xml:space="preserve">قصائد الاعياد است ،ناقص؛ بی کا، تا: ۱۲۹۹ق؛ ۱۵گ، قطع: رقـعی[ ف: ۳۳۴]</w:t>
      </w:r>
    </w:p>
    <w:p>
      <w:pPr>
        <w:pStyle w:val="BookText"/>
      </w:pPr>
      <w:r>
        <w:rPr>
          <w:rFonts w:ascii="IRNazanin" w:hAnsi="IRNazanin" w:eastAsia="IRNazanin" w:cs="IRNazanin"/>
          <w:lang w:bidi="fa-IR"/>
          <w:color w:val="111111"/>
          <w:sz w:val="28"/>
          <w:szCs w:val="28"/>
          <w:rtl/>
        </w:rPr>
        <w:t xml:space="preserve">۱۳۷۱. تهران؛ مینوی؛ شماره نسخه :۳۳</w:t>
      </w:r>
    </w:p>
    <w:p>
      <w:pPr>
        <w:pStyle w:val="BookText"/>
      </w:pPr>
      <w:r>
        <w:rPr>
          <w:rFonts w:ascii="IRNazanin" w:hAnsi="IRNazanin" w:eastAsia="IRNazanin" w:cs="IRNazanin"/>
          <w:lang w:bidi="fa-IR"/>
          <w:color w:val="111111"/>
          <w:sz w:val="28"/>
          <w:szCs w:val="28"/>
          <w:rtl/>
        </w:rPr>
        <w:t xml:space="preserve">آغاز: هر که که بینم عاشق رخسار تو است </w:t>
      </w:r>
      <w:r>
        <w:rPr>
          <w:rFonts w:ascii="IRNazanin" w:hAnsi="IRNazanin" w:eastAsia="IRNazanin" w:cs="IRNazanin"/>
          <w:lang w:bidi="fa-IR"/>
          <w:color w:val="111111"/>
          <w:sz w:val="28"/>
          <w:szCs w:val="28"/>
          <w:b w:val="1"/>
          <w:bCs w:val="1"/>
          <w:i w:val="1"/>
          <w:iCs w:val="1"/>
          <w:rtl/>
        </w:rPr>
        <w:t xml:space="preserve">گر چه خود محجوب از دیدار توست؛ انجام: مجملا هر چت که باشد غیر حق *** پرده است و هست بر حشمت طبق. باز هم هشت صفحه ایست به وزن شعری: از خدا خواهم بس آه دردناک</w:t>
      </w:r>
      <w:r>
        <w:rPr>
          <w:rFonts w:ascii="IRNazanin" w:hAnsi="IRNazanin" w:eastAsia="IRNazanin" w:cs="IRNazanin"/>
          <w:lang w:bidi="fa-IR"/>
          <w:color w:val="111111"/>
          <w:sz w:val="28"/>
          <w:szCs w:val="28"/>
          <w:rtl/>
        </w:rPr>
        <w:t xml:space="preserve"> سینه یی از خنجرغم  چاک چاک ... هر که خواهد سوی مصر جان شدن *** گو برون نه پا ز کنعان بدن</w:t>
      </w:r>
    </w:p>
    <w:p>
      <w:pPr>
        <w:pStyle w:val="BookText"/>
      </w:pPr>
      <w:r>
        <w:rPr>
          <w:rFonts w:ascii="IRNazanin" w:hAnsi="IRNazanin" w:eastAsia="IRNazanin" w:cs="IRNazanin"/>
          <w:lang w:bidi="fa-IR"/>
          <w:color w:val="111111"/>
          <w:sz w:val="28"/>
          <w:szCs w:val="28"/>
          <w:rtl/>
        </w:rPr>
        <w:t xml:space="preserve">مثنوی عرفانی است؛ خط: نستعلیق، بی کا، تا: ۱۲۹۹ق؛ افتادگی: آغاز؛ جلد: تیماج تریاکی ،قطع: بغلی [نشریه: ۶ - ۶۵۹]</w:t>
      </w:r>
    </w:p>
    <w:p>
      <w:pPr>
        <w:pStyle w:val="BookText"/>
      </w:pPr>
      <w:r>
        <w:rPr>
          <w:rFonts w:ascii="IRNazanin" w:hAnsi="IRNazanin" w:eastAsia="IRNazanin" w:cs="IRNazanin"/>
          <w:lang w:bidi="fa-IR"/>
          <w:color w:val="111111"/>
          <w:sz w:val="28"/>
          <w:szCs w:val="28"/>
          <w:rtl/>
        </w:rPr>
        <w:t xml:space="preserve">۱۳۷۲. شیراز؛ علامه طباطبائی؛ شماره نسخه: ۱۶۲۹</w:t>
      </w:r>
    </w:p>
    <w:p>
      <w:pPr>
        <w:pStyle w:val="BookText"/>
      </w:pPr>
      <w:r>
        <w:rPr>
          <w:rFonts w:ascii="IRNazanin" w:hAnsi="IRNazanin" w:eastAsia="IRNazanin" w:cs="IRNazanin"/>
          <w:lang w:bidi="fa-IR"/>
          <w:color w:val="111111"/>
          <w:sz w:val="28"/>
          <w:szCs w:val="28"/>
          <w:rtl/>
        </w:rPr>
        <w:t xml:space="preserve">جنگ اشعار است؛ خط: نستعلیق شکسته زیبا ،کا: سید نصرالله حسینی ابن میرزا محمد رفیع شکار و تحویلدار حسینی نائینی،تا:محرم ۱۲۹۹ق،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[نسخه پژوهی: ۲ - ۱۴۱]</w:t>
      </w:r>
    </w:p>
    <w:p>
      <w:pPr>
        <w:pStyle w:val="BookText"/>
      </w:pPr>
      <w:r>
        <w:rPr>
          <w:rFonts w:ascii="IRNazanin" w:hAnsi="IRNazanin" w:eastAsia="IRNazanin" w:cs="IRNazanin"/>
          <w:lang w:bidi="fa-IR"/>
          <w:color w:val="111111"/>
          <w:sz w:val="28"/>
          <w:szCs w:val="28"/>
          <w:rtl/>
        </w:rPr>
        <w:t xml:space="preserve">۱۳۷۳. قم؛ گلپایگانی؛ شماره نسخه: ۳۴۱۴-۱۷/۱۹۴</w:t>
      </w:r>
    </w:p>
    <w:p>
      <w:pPr>
        <w:pStyle w:val="BookText"/>
      </w:pPr>
      <w:r>
        <w:rPr>
          <w:rFonts w:ascii="IRNazanin" w:hAnsi="IRNazanin" w:eastAsia="IRNazanin" w:cs="IRNazanin"/>
          <w:lang w:bidi="fa-IR"/>
          <w:color w:val="111111"/>
          <w:sz w:val="28"/>
          <w:szCs w:val="28"/>
          <w:rtl/>
        </w:rPr>
        <w:t xml:space="preserve">آغاز: بسکه خوردیم غم و غصه زجان سیر شدیم *** بجوانی زغم لاله رخان پیر شدیم / هیچ پیری نشد ایام جوانی دلگیر *** زیربار غم زلف تو صنم پیرشدیم ؛انجام: کرده ای تا در بر اغیار جـا از دست اشک ***جامه صبر مرا صد چاک در بر کرده ای / پـس گرفتی سیم و زر اندر بهای بوسه ای *** زرگر بیچاره را بی سیـم بی زر کرده ای</w:t>
      </w:r>
    </w:p>
    <w:p>
      <w:pPr>
        <w:pStyle w:val="BookText"/>
      </w:pPr>
      <w:r>
        <w:rPr>
          <w:rFonts w:ascii="IRNazanin" w:hAnsi="IRNazanin" w:eastAsia="IRNazanin" w:cs="IRNazanin"/>
          <w:lang w:bidi="fa-IR"/>
          <w:color w:val="111111"/>
          <w:sz w:val="28"/>
          <w:szCs w:val="28"/>
          <w:rtl/>
        </w:rPr>
        <w:t xml:space="preserve">بیاض مفصلی است در اشعار شاعران فارسی اغلب در مدایح و مراثی، از این شاعران: قاآنی، میرزا افسر قزوینی، مولوی رومـی، سحاب، میرزا محمد علیخان شمس الشعراء و شاعران دیگر؛ خط: تحریری، بی کا، تا: ۱۲۹۹ق؛ افتادگی: انجام؛ جلد: تیماج قهوه ای، ۱۹۰گ، مختلف السطر ، قطع: بياض رقعی، اندازه: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3- 1258]</w:t>
      </w:r>
    </w:p>
    <w:p>
      <w:pPr>
        <w:pStyle w:val="BookText"/>
      </w:pPr>
      <w:r>
        <w:rPr>
          <w:rFonts w:ascii="IRNazanin" w:hAnsi="IRNazanin" w:eastAsia="IRNazanin" w:cs="IRNazanin"/>
          <w:lang w:bidi="fa-IR"/>
          <w:color w:val="111111"/>
          <w:sz w:val="28"/>
          <w:szCs w:val="28"/>
          <w:rtl/>
        </w:rPr>
        <w:t xml:space="preserve">۱۳۷۴. تهران؛ مجلس؛ شماره نسخه: ۱۴۶۸۳</w:t>
      </w:r>
    </w:p>
    <w:p>
      <w:pPr>
        <w:pStyle w:val="BookText"/>
      </w:pPr>
      <w:r>
        <w:rPr>
          <w:rFonts w:ascii="IRNazanin" w:hAnsi="IRNazanin" w:eastAsia="IRNazanin" w:cs="IRNazanin"/>
          <w:lang w:bidi="fa-IR"/>
          <w:color w:val="111111"/>
          <w:sz w:val="28"/>
          <w:szCs w:val="28"/>
          <w:rtl/>
        </w:rPr>
        <w:t xml:space="preserve">اشعاری است که بیشتر بکار مداحان می آید تا در مجالس سوگواری ائمه اطهار خصوصاً سيد الشهداء عليهم السلام و شهدای کربلا بخوانند. علاوه بر آن مدایح زیادی از آل عبا (علیه السّلام) را نیز نقل کرده از جمله اشعار مخمسی است از غمناک بدین مطلع: «بشنوید ای شیعیان پاکزاد از خاص و عام *** این حدیث گریه خیز از من بگوش جان تمام»؛ خط: نستعلیق، بی کا، تا: ۱۸ صفر ۱۲۹۹ق؛ صلح نامه ای از میرزا محمد جواد کاشی درباره ارث پدری مورخ ۲۶ ذیقعده ۱۳۲۶؛ جلد: تیماج مشکی ضربی بدون مقوا، ۷۷گ، مختلف السطر، 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۴۱ - ۱۵۶]</w:t>
      </w:r>
    </w:p>
    <w:p>
      <w:pPr>
        <w:pStyle w:val="BookText"/>
      </w:pPr>
      <w:r>
        <w:rPr>
          <w:rFonts w:ascii="IRNazanin" w:hAnsi="IRNazanin" w:eastAsia="IRNazanin" w:cs="IRNazanin"/>
          <w:lang w:bidi="fa-IR"/>
          <w:color w:val="111111"/>
          <w:sz w:val="28"/>
          <w:szCs w:val="28"/>
          <w:rtl/>
        </w:rPr>
        <w:t xml:space="preserve">۱۳۷۵. قم؛ گلپایگانی؛ شماره نسخه: ۵۸۸۷-۲۹/۲۲۷</w:t>
      </w:r>
    </w:p>
    <w:p>
      <w:pPr>
        <w:pStyle w:val="BookText"/>
      </w:pPr>
      <w:r>
        <w:rPr>
          <w:rFonts w:ascii="IRNazanin" w:hAnsi="IRNazanin" w:eastAsia="IRNazanin" w:cs="IRNazanin"/>
          <w:lang w:bidi="fa-IR"/>
          <w:color w:val="111111"/>
          <w:sz w:val="28"/>
          <w:szCs w:val="28"/>
          <w:rtl/>
        </w:rPr>
        <w:t xml:space="preserve">آغاز: ام لیلا گفت با علی اکبر *** ترک میدان کن یک دم ای مادر / می روی جانا سوی قربانگاه ه *** غافلی گویا از دل مادر؛</w:t>
      </w:r>
    </w:p>
    <w:p>
      <w:pPr>
        <w:pStyle w:val="BookText"/>
      </w:pPr>
      <w:r>
        <w:rPr>
          <w:rFonts w:ascii="IRNazanin" w:hAnsi="IRNazanin" w:eastAsia="IRNazanin" w:cs="IRNazanin"/>
          <w:lang w:bidi="fa-IR"/>
          <w:color w:val="111111"/>
          <w:sz w:val="28"/>
          <w:szCs w:val="28"/>
          <w:rtl/>
        </w:rPr>
        <w:t xml:space="preserve">انجام: دیگر چه حاصل زين قدوقامت *** زادی مرا تو بهر شهادت / بر تربت من مادر تو بنشین *** رویم نبینی جز در قیامت بیاضی است از آن یکی از نوحه خوانان و مداحان اهل بیت (علیه السّلام) که در آن اشعاری را در مراثی به صورت پراکنده تحریر نموده است؛ خط: نسخ و تحریری، بی کا، تا: قرن ۱۴؛ جلد: مقوا با عطف گالینگور قهوه ای، ۸۲گ، ۱۱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[ف:7- 4263]</w:t>
      </w:r>
    </w:p>
    <w:p>
      <w:pPr>
        <w:pStyle w:val="BookText"/>
      </w:pPr>
      <w:r>
        <w:rPr>
          <w:rFonts w:ascii="IRNazanin" w:hAnsi="IRNazanin" w:eastAsia="IRNazanin" w:cs="IRNazanin"/>
          <w:lang w:bidi="fa-IR"/>
          <w:color w:val="111111"/>
          <w:sz w:val="28"/>
          <w:szCs w:val="28"/>
          <w:rtl/>
        </w:rPr>
        <w:t xml:space="preserve">۱۳۷۶. قم؛ گلپایگانی؛ شماره نسخه: ۵۸۷۴-۲۹/۲۱۴</w:t>
      </w:r>
    </w:p>
    <w:p>
      <w:pPr>
        <w:pStyle w:val="BookText"/>
      </w:pPr>
      <w:r>
        <w:rPr>
          <w:rFonts w:ascii="IRNazanin" w:hAnsi="IRNazanin" w:eastAsia="IRNazanin" w:cs="IRNazanin"/>
          <w:lang w:bidi="fa-IR"/>
          <w:color w:val="111111"/>
          <w:sz w:val="28"/>
          <w:szCs w:val="28"/>
          <w:rtl/>
        </w:rPr>
        <w:t xml:space="preserve">آغاز: کسی که گریه کند از برای همچون کس*** زدیده آب بر آید بقدر پرمگس / دهد خدای دو عالم در او برات نجات *** بدست گیری او بگذر به پل صراط؛ انجام: آه واويلا وامصیبتا آن هنگام بود که همگی شربت شهادت چشیده وبدن پاره پاره ... به خون خود غلطیده بودند پس حضرت امام حسین (علیه السّلام) بعد ازمطالعه نامه بر سر نعش هر یک</w:t>
      </w:r>
    </w:p>
    <w:p>
      <w:pPr>
        <w:pStyle w:val="BookText"/>
      </w:pPr>
      <w:r>
        <w:rPr>
          <w:rFonts w:ascii="IRNazanin" w:hAnsi="IRNazanin" w:eastAsia="IRNazanin" w:cs="IRNazanin"/>
          <w:lang w:bidi="fa-IR"/>
          <w:color w:val="111111"/>
          <w:sz w:val="28"/>
          <w:szCs w:val="28"/>
          <w:rtl/>
        </w:rPr>
        <w:t xml:space="preserve">بیاضی است از آن یکی از مرثیه سرایان شیعی سده چهاردهم، که در آن اشعاری را در مرثیه امام حسین (علیه السّلام) و یارانش، برای استفاده خود، تحریر نموده است؛ خط: تحریری، بی کا، تا: قرن ۱۴، جلد: مقوا با عطف گالینگور قهوه ای، ۵۱گ، مختلف السطر، قطع: بیاض رقعی،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۷ - ۴۲۶۳]</w:t>
      </w:r>
    </w:p>
    <w:p>
      <w:pPr>
        <w:pStyle w:val="BookText"/>
      </w:pPr>
      <w:r>
        <w:rPr>
          <w:rFonts w:ascii="IRNazanin" w:hAnsi="IRNazanin" w:eastAsia="IRNazanin" w:cs="IRNazanin"/>
          <w:lang w:bidi="fa-IR"/>
          <w:color w:val="111111"/>
          <w:sz w:val="28"/>
          <w:szCs w:val="28"/>
          <w:rtl/>
        </w:rPr>
        <w:t xml:space="preserve">۱۳۷۷. تهران؛ دانشگاه؛ شماره نسخه: ۱۰۸۲۴</w:t>
      </w:r>
    </w:p>
    <w:p>
      <w:pPr>
        <w:pStyle w:val="BookText"/>
      </w:pPr>
      <w:r>
        <w:rPr>
          <w:rFonts w:ascii="IRNazanin" w:hAnsi="IRNazanin" w:eastAsia="IRNazanin" w:cs="IRNazanin"/>
          <w:lang w:bidi="fa-IR"/>
          <w:color w:val="111111"/>
          <w:sz w:val="28"/>
          <w:szCs w:val="28"/>
          <w:rtl/>
        </w:rPr>
        <w:t xml:space="preserve">شامل: ۱. قصيده عربی در موضوع آتش گرفتن دختر مرحوم نصیر الدوله از مرحوم وقار طاب ثراه [۲پ] مطلع: «اجمعوا أن فرقة الاولاد *** قد تؤدى بحرقة الاكباد»، ۲. قصیده عربی [۳پ]: آغاز: «اليوم حق يقصر جسم المفخر *** اذ عاد فيه الجم و الاسكندر»،3 . قصیده فارسی [۵ر] :مطلع: «تا به کی فارغ ز جان اندیشه تن داشتن*** ساز خورن کردن و پروای خفتن داشتن»، ۴.
</w:t>
      </w:r>
    </w:p>
    <w:p>
      <w:pPr>
        <w:sectPr>
          <w:footerReference w:type="default" r:id="rId8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قصیده از مرحوم ابوالقاسم فرهنگ چهارمین اولاد مرحوم وصال [۶پ]: مطلع: «لقد اكثروا فى ملامى العواذل *** أما للعواذل فی الحب عاذل»، 5.اشعار از مرحوم فرهنگ است که به بحر شاهنامه در تعزیت فوت مرحوم حسام السلطنه و تسلیت به مرحوم حاج معتمدالدوله سروده اند [۱۰ر] ۶. مسمط از مرحوم ابوالقاسم فرهنگ [۱۲ر] :مطلع :«صد شکر کهتابستان زین شهر به در شد *** یک باره از این شهر سوی شهر دگر شد»، ۷. دو رباعی مظفر ،[۱۵پ]، ۸. مخمس ذیل که غزل خواجه حافظ تضمین شده از مرحوم اورنگ وقار السلطنه است [۱۶ر]. مطـلع:«اگر چه از روش چرخ جای فریاد است *** تنم ز رنج سفر خـسته خاطرم شاد است»، ۹. و له ايضاً [۱۷ر]. مطلع: «گر چه هر روز عدو بذل و نثاری بکند*** خائنی را طلبد مصدر كار بكند»، ۱۰. از آقای عشرت وصال است .[۱۸پ]، مطلع: «ای خوش از روزی که من مالی و جاهی داشتم *** بر تن قبایی داشتم بر سر کلاهی داشتم»، ۱۱. قطعه ای است که در موضوع تقاضای پوستین از مرحوم عباسقلی خان نواب سروده اند [۱۹ر]. مطلع: «شد موسم سرما و بشد فصل زمستان *** باید که کشم رخت خود اکنون به شبستان»، ۱۲. قطعه ای است که در شب جشن رفع حجاب که کارمندان اداره طرق در بنده منزل بودند سروده شده [۱۹پ]. مطلع: «كون اندر ترقی است امروز *** هست امشب بسی شـبی فیروز»، ۱۳. ۴ رباعی در موضوع رفع حجاب که به جهت آقـای ابوالقاسم آزاد رئیس دفتر طرق فارس سروده شده [۲۰ر]،14. قطعه در وصف حال قورباغه گفته شده [۲۰پ]، ۱۵. غزل (از حافظ) [۲۰ پ]. مطلع: «مدتی گشت که از جور فلک خاموشیم *** باور خلق چنین گشته که بس بیهوشیم»؛ خط: شکسته نستعلیق،  بی کا، تا: قرن ۱۴؛ برگ آخر نسخه حکایت کوتاهی از حسین خان نظام الدوله درباره قصیده ای کهمرحوم داوری سرود و مطلع آن این است: «آن ترک خارکش ز چه دارد زخار بار»؛از مجموعه اهدایی علی اصغر حکمت به دانشکده ادبیات در ۱۳۴۰ش، شماره ۸۱ ؛جلد: مقوای سرمه ای، عطف تیماج مشکی، ۲۲گ، ۱۲ سطر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 ۲۰ - ۳۵۲]</w:t>
      </w:r>
    </w:p>
    <w:p>
      <w:pPr>
        <w:pStyle w:val="BookText"/>
      </w:pPr>
      <w:r>
        <w:rPr>
          <w:rFonts w:ascii="IRNazanin" w:hAnsi="IRNazanin" w:eastAsia="IRNazanin" w:cs="IRNazanin"/>
          <w:lang w:bidi="fa-IR"/>
          <w:color w:val="111111"/>
          <w:sz w:val="28"/>
          <w:szCs w:val="28"/>
          <w:rtl/>
        </w:rPr>
        <w:t xml:space="preserve">۱۳۷۸. تهران؛ ملی؛ شماره نسخه: ۶۴۴</w:t>
      </w:r>
    </w:p>
    <w:p>
      <w:pPr>
        <w:pStyle w:val="BookText"/>
      </w:pPr>
      <w:r>
        <w:rPr>
          <w:rFonts w:ascii="IRNazanin" w:hAnsi="IRNazanin" w:eastAsia="IRNazanin" w:cs="IRNazanin"/>
          <w:lang w:bidi="fa-IR"/>
          <w:color w:val="111111"/>
          <w:sz w:val="28"/>
          <w:szCs w:val="28"/>
          <w:rtl/>
        </w:rPr>
        <w:t xml:space="preserve">آغاز: بسمله، بتی دارم که بر مه طعنه دارد چهر تابانش *** هـمانا تافته خورشید از چاک گریبانش؛ انجام: هواخواه تو در هر فصل چون ایام فروردین*** بود خوش حال و میمون فال از باد بهارانش اشعار از: رفیقی، هجویات مطربا ،سعدی ،محتشم ،جامی، مشتاق ،واعظ ،هلالی ،مجرم ،صائب ،بیدل، رباعیات در مرثیه، میرزا شهاب. در این قصیده ابتدا شاعر به مدح حسین بن علی (علیه السّلام) پرداخته و سپس مظفرالدین شاه را مدح کرده است؛ خـط: شکسته نستعلیق، کا: محتملاً سراینده شعر، تا: اوایل قرن ۱۴، تهران؛ در هر سطر یک بیت ؛کاغذ: فرنگی ،جلد: مخمل آبی مقوایی، ۲گ، ۱۵ سطر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۲ - 150]</w:t>
      </w:r>
    </w:p>
    <w:p>
      <w:pPr>
        <w:pStyle w:val="BookText"/>
      </w:pPr>
      <w:r>
        <w:rPr>
          <w:rFonts w:ascii="IRNazanin" w:hAnsi="IRNazanin" w:eastAsia="IRNazanin" w:cs="IRNazanin"/>
          <w:lang w:bidi="fa-IR"/>
          <w:color w:val="111111"/>
          <w:sz w:val="28"/>
          <w:szCs w:val="28"/>
          <w:rtl/>
        </w:rPr>
        <w:t xml:space="preserve">۱۳۷۹. تهران؛ ملک؛ شماره نسخه: ۵۵۶۶/۱</w:t>
      </w:r>
    </w:p>
    <w:p>
      <w:pPr>
        <w:pStyle w:val="BookText"/>
      </w:pPr>
      <w:r>
        <w:rPr>
          <w:rFonts w:ascii="IRNazanin" w:hAnsi="IRNazanin" w:eastAsia="IRNazanin" w:cs="IRNazanin"/>
          <w:lang w:bidi="fa-IR"/>
          <w:color w:val="111111"/>
          <w:sz w:val="28"/>
          <w:szCs w:val="28"/>
          <w:rtl/>
        </w:rPr>
        <w:t xml:space="preserve">آغاز: اول دفتر عنبر شمیم *** هست بسم الله الرحمن الرحيم / شاه دین مولای مردان شیر حق*** سر به چه بنمود از بهر نطق؛ انجام: ... (ناقص است) عمرت ارمن بعد اینسان بگذرد *** خاک تیره بر سرت می آورد</w:t>
      </w:r>
    </w:p>
    <w:p>
      <w:pPr>
        <w:pStyle w:val="BookText"/>
      </w:pPr>
      <w:r>
        <w:rPr>
          <w:rFonts w:ascii="IRNazanin" w:hAnsi="IRNazanin" w:eastAsia="IRNazanin" w:cs="IRNazanin"/>
          <w:lang w:bidi="fa-IR"/>
          <w:color w:val="111111"/>
          <w:sz w:val="28"/>
          <w:szCs w:val="28"/>
          <w:rtl/>
        </w:rPr>
        <w:t xml:space="preserve">خط: شکسته نستعلیق، بی کا، تا: اوایل قرن ۱۴؛ افتادگی: انجام؛ کاغذ: فرنگی آهار مهره ،جلد: میشن سیاه، ۵۸گ (۱پ -۵۹ر)،۱۴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۸ – ۴۲۲]</w:t>
      </w:r>
    </w:p>
    <w:p>
      <w:pPr>
        <w:pStyle w:val="BookText"/>
      </w:pPr>
      <w:r>
        <w:rPr>
          <w:rFonts w:ascii="IRNazanin" w:hAnsi="IRNazanin" w:eastAsia="IRNazanin" w:cs="IRNazanin"/>
          <w:lang w:bidi="fa-IR"/>
          <w:color w:val="111111"/>
          <w:sz w:val="28"/>
          <w:szCs w:val="28"/>
          <w:rtl/>
        </w:rPr>
        <w:t xml:space="preserve">۱۳۸۰. تهران؛ مجلس؛ شماره نسخه: ۵۷/۷-فیروز</w:t>
      </w:r>
    </w:p>
    <w:p>
      <w:pPr>
        <w:pStyle w:val="BookText"/>
      </w:pPr>
      <w:r>
        <w:rPr>
          <w:rFonts w:ascii="IRNazanin" w:hAnsi="IRNazanin" w:eastAsia="IRNazanin" w:cs="IRNazanin"/>
          <w:lang w:bidi="fa-IR"/>
          <w:color w:val="111111"/>
          <w:sz w:val="28"/>
          <w:szCs w:val="28"/>
          <w:rtl/>
        </w:rPr>
        <w:t xml:space="preserve">آغاز: خواست تا شیشه عمرش زند ایام به سنگ ***ریخت در ساغر عيشش عوض شهد شرنگ</w:t>
      </w:r>
    </w:p>
    <w:p>
      <w:pPr>
        <w:pStyle w:val="BookText"/>
      </w:pPr>
      <w:r>
        <w:rPr>
          <w:rFonts w:ascii="IRNazanin" w:hAnsi="IRNazanin" w:eastAsia="IRNazanin" w:cs="IRNazanin"/>
          <w:lang w:bidi="fa-IR"/>
          <w:color w:val="111111"/>
          <w:sz w:val="28"/>
          <w:szCs w:val="28"/>
          <w:rtl/>
        </w:rPr>
        <w:t xml:space="preserve">قصیده در هجو فارس در عنوان قصیده آمده: «در هجو فارس گفته اند». این قصیده ۱۶ بیت دارد و به نوشته کاتب (در ذیل قصیده) آن را از کتاب میرزا افلاطون لشکر نویس در ماموریت ملایر و نهاوند رونویسی کرده ؛کا: میر سید علی تفرشی لشكر نویس ملقب به موثق لشکر، تا: قرن ۱۴؛ کاغذ: فرنگی، جلد: تیماج قرمز، ۱ص (۱۲۰-۱۲۱)، قطع: نیم خشتی،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 ف: ۲۱ - ۲۰۴]</w:t>
      </w:r>
    </w:p>
    <w:p>
      <w:pPr>
        <w:pStyle w:val="BookText"/>
      </w:pPr>
      <w:r>
        <w:rPr>
          <w:rFonts w:ascii="IRNazanin" w:hAnsi="IRNazanin" w:eastAsia="IRNazanin" w:cs="IRNazanin"/>
          <w:lang w:bidi="fa-IR"/>
          <w:color w:val="111111"/>
          <w:sz w:val="28"/>
          <w:szCs w:val="28"/>
          <w:rtl/>
        </w:rPr>
        <w:t xml:space="preserve">1381.تهران؛ مجلس؛ شماره نسخه ۵۷/۱۶-فیروز</w:t>
      </w:r>
    </w:p>
    <w:p>
      <w:pPr>
        <w:pStyle w:val="BookText"/>
      </w:pPr>
      <w:r>
        <w:rPr>
          <w:rFonts w:ascii="IRNazanin" w:hAnsi="IRNazanin" w:eastAsia="IRNazanin" w:cs="IRNazanin"/>
          <w:lang w:bidi="fa-IR"/>
          <w:color w:val="111111"/>
          <w:sz w:val="28"/>
          <w:szCs w:val="28"/>
          <w:rtl/>
        </w:rPr>
        <w:t xml:space="preserve">غزلی است با تخلص ناصح در هفت بیت با این مطلع: «ما به میخانه ندیدیم بجز ساقی کس *** ما بقی هر چه سخن رفت هوا  بود و هوس»؛ کا: میر سید علی تفرشی لشکر نویس ملقب به موثق لشکر، تا: قرن ۱۴؛ کاغذ: فرنگی، جلد: تیماج قرمز، ۱ص (۱۳۷)، قطع: نیم خشتی،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۲۱ - ۲۰۶]</w:t>
      </w:r>
    </w:p>
    <w:p>
      <w:pPr>
        <w:pStyle w:val="BookText"/>
      </w:pPr>
      <w:r>
        <w:rPr>
          <w:rFonts w:ascii="IRNazanin" w:hAnsi="IRNazanin" w:eastAsia="IRNazanin" w:cs="IRNazanin"/>
          <w:lang w:bidi="fa-IR"/>
          <w:color w:val="111111"/>
          <w:sz w:val="28"/>
          <w:szCs w:val="28"/>
          <w:rtl/>
        </w:rPr>
        <w:t xml:space="preserve">۱۳۸۲. تهران؛ مجلس؛ شماره نسخه: ۵۷/۲۰-فیروز</w:t>
      </w:r>
    </w:p>
    <w:p>
      <w:pPr>
        <w:pStyle w:val="BookText"/>
      </w:pPr>
      <w:r>
        <w:rPr>
          <w:rFonts w:ascii="IRNazanin" w:hAnsi="IRNazanin" w:eastAsia="IRNazanin" w:cs="IRNazanin"/>
          <w:lang w:bidi="fa-IR"/>
          <w:color w:val="111111"/>
          <w:sz w:val="28"/>
          <w:szCs w:val="28"/>
          <w:rtl/>
        </w:rPr>
        <w:t xml:space="preserve">این مخمس (که چهار بند آن در این دفتر است) به خط پسر سید على تفرشی موثق لشکر (کاتب و گردآورنده مجموعه حاضر)  است و او در حاشیه صفحه نوشته: «در یوم سه شنبه ۱۵ ذیقعده ۱۳۴۵ سال پنجم فوت مرحوم مغفور ابوی که در دکان سقط فروشی بازار گلوبندک در عین گرمای تابستان نشسته بودم و انتظار آتیه را می کشیدم این اشعار به فرموده آقا سید اسماعیل قمی دوست صمیمی تقیید شد  ...  ابن مرحوم موثق لشکر» اینک بند</w:t>
      </w:r>
    </w:p>
    <w:p>
      <w:pPr>
        <w:pStyle w:val="BookText"/>
      </w:pPr>
      <w:r>
        <w:rPr>
          <w:rFonts w:ascii="IRNazanin" w:hAnsi="IRNazanin" w:eastAsia="IRNazanin" w:cs="IRNazanin"/>
          <w:lang w:bidi="fa-IR"/>
          <w:color w:val="111111"/>
          <w:sz w:val="28"/>
          <w:szCs w:val="28"/>
          <w:rtl/>
        </w:rPr>
        <w:t xml:space="preserve">نخستین مخمس: «خوش بود از استخوان خويش بتراشم قلم *** کاغذی از پرده دل گیرم از بهر رقم / نامه بنویسم ز  اشک چشم *** آخر ای آرام جان تا کی جفا تا کی ستم *** من که مردم مردم از غمت تا چند سازم حوصله»؛ کا:میر سید علی تفرشی لشکر نویس ملقب به موثق لشکر، تا: قرن ۱۴؛ کاغذ : فرنگی، جلد: تيماج قرمز، ص ۱۴۲، قطع: نیم خشتی،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۲۱ - ۲۰۷]</w:t>
      </w:r>
    </w:p>
    <w:p>
      <w:pPr>
        <w:pStyle w:val="BookText"/>
      </w:pPr>
      <w:r>
        <w:rPr>
          <w:rFonts w:ascii="IRNazanin" w:hAnsi="IRNazanin" w:eastAsia="IRNazanin" w:cs="IRNazanin"/>
          <w:lang w:bidi="fa-IR"/>
          <w:color w:val="111111"/>
          <w:sz w:val="28"/>
          <w:szCs w:val="28"/>
          <w:rtl/>
        </w:rPr>
        <w:t xml:space="preserve">۱۳۸۳. تهران؛ مجلس؛ شماره نسخه: ۵۷/۲۱ -فیروز</w:t>
      </w:r>
    </w:p>
    <w:p>
      <w:pPr>
        <w:pStyle w:val="BookText"/>
      </w:pPr>
      <w:r>
        <w:rPr>
          <w:rFonts w:ascii="IRNazanin" w:hAnsi="IRNazanin" w:eastAsia="IRNazanin" w:cs="IRNazanin"/>
          <w:lang w:bidi="fa-IR"/>
          <w:color w:val="111111"/>
          <w:sz w:val="28"/>
          <w:szCs w:val="28"/>
          <w:rtl/>
        </w:rPr>
        <w:t xml:space="preserve">چند بیت است به خط نصر الله قاییلو افشار تبریزی پسر اسدالله خان صندوق دار همایونی و در همان تاریخ مخمس نوشته؛ کا: میر سید علی تفرشی لشکر نویس ملقب به موثق لشکر، تا: قرن ۱۴ ؛کاغذ: فرنگی ،جلد: تیماج قرمز، ۱ص (۱۴۲)، قطع: نیم خشتی،
</w:t>
      </w:r>
    </w:p>
    <w:p>
      <w:pPr>
        <w:sectPr>
          <w:footerReference w:type="default" r:id="rId8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۲۱ - ۲۰۷]</w:t>
      </w:r>
    </w:p>
    <w:p>
      <w:pPr>
        <w:pStyle w:val="BookText"/>
      </w:pPr>
      <w:r>
        <w:rPr>
          <w:rFonts w:ascii="IRNazanin" w:hAnsi="IRNazanin" w:eastAsia="IRNazanin" w:cs="IRNazanin"/>
          <w:lang w:bidi="fa-IR"/>
          <w:color w:val="111111"/>
          <w:sz w:val="28"/>
          <w:szCs w:val="28"/>
          <w:rtl/>
        </w:rPr>
        <w:t xml:space="preserve">۱۳۸۴. تهران؛ مجلس؛ شماره نسخه: ۸۹/۳-فیروز</w:t>
      </w:r>
    </w:p>
    <w:p>
      <w:pPr>
        <w:pStyle w:val="BookText"/>
      </w:pPr>
      <w:r>
        <w:rPr>
          <w:rFonts w:ascii="IRNazanin" w:hAnsi="IRNazanin" w:eastAsia="IRNazanin" w:cs="IRNazanin"/>
          <w:lang w:bidi="fa-IR"/>
          <w:color w:val="111111"/>
          <w:sz w:val="28"/>
          <w:szCs w:val="28"/>
          <w:rtl/>
        </w:rPr>
        <w:t xml:space="preserve">قصیده در مدح مولی علی (علیه السّلام) با این مطلع: «ای شاه جسم و جان علی مستان سلامت می کنند***  ای ظاهر و پنهان علی مستان کنند»؛ خط: نستعليق، كا: لطف الله بن محمود، تا: قرن ۱۴؛ کاغذ: فرنگی چند رنگ ،جلد: تیماج قرمز، ۴ص (74-78)؛15سطر، قطع: نیم خشتی،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۲۱ - ۲۲۶]</w:t>
      </w:r>
    </w:p>
    <w:p>
      <w:pPr>
        <w:pStyle w:val="BookText"/>
      </w:pPr>
      <w:r>
        <w:rPr>
          <w:rFonts w:ascii="IRNazanin" w:hAnsi="IRNazanin" w:eastAsia="IRNazanin" w:cs="IRNazanin"/>
          <w:lang w:bidi="fa-IR"/>
          <w:color w:val="111111"/>
          <w:sz w:val="28"/>
          <w:szCs w:val="28"/>
          <w:rtl/>
        </w:rPr>
        <w:t xml:space="preserve">۱۳۸۵. تهران؛ مجلس؛ شماره نسخه: ۲۲۱/۱ فیروز</w:t>
      </w:r>
    </w:p>
    <w:p>
      <w:pPr>
        <w:pStyle w:val="BookText"/>
      </w:pPr>
      <w:r>
        <w:rPr>
          <w:rFonts w:ascii="IRNazanin" w:hAnsi="IRNazanin" w:eastAsia="IRNazanin" w:cs="IRNazanin"/>
          <w:lang w:bidi="fa-IR"/>
          <w:color w:val="111111"/>
          <w:sz w:val="28"/>
          <w:szCs w:val="28"/>
          <w:rtl/>
        </w:rPr>
        <w:t xml:space="preserve">قصائدی از ابوحنیفه اسکافی ،خاقانی، میرزا ابو الحسن جلوه (در رثاء آصف الدوله) ادیب الممالک فراهانی ؛خط: شکـسته نستعلیق، بی کا، تا: قرن ۱۴؛ کاغذ: فرنگی الوان، جلد: تیماج زرد، قطع: رحلی،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۳۹سم [ف: ۲۱ - ۲۶۷]</w:t>
      </w:r>
    </w:p>
    <w:p>
      <w:pPr>
        <w:pStyle w:val="BookText"/>
      </w:pPr>
      <w:r>
        <w:rPr>
          <w:rFonts w:ascii="IRNazanin" w:hAnsi="IRNazanin" w:eastAsia="IRNazanin" w:cs="IRNazanin"/>
          <w:lang w:bidi="fa-IR"/>
          <w:color w:val="111111"/>
          <w:sz w:val="28"/>
          <w:szCs w:val="28"/>
          <w:rtl/>
        </w:rPr>
        <w:t xml:space="preserve">۱۳۸۶. تهران؛ مجلس؛ شماره نسخه: ۱۵۷۹۱/۴</w:t>
      </w:r>
    </w:p>
    <w:p>
      <w:pPr>
        <w:pStyle w:val="BookText"/>
      </w:pPr>
      <w:r>
        <w:rPr>
          <w:rFonts w:ascii="IRNazanin" w:hAnsi="IRNazanin" w:eastAsia="IRNazanin" w:cs="IRNazanin"/>
          <w:lang w:bidi="fa-IR"/>
          <w:color w:val="111111"/>
          <w:sz w:val="28"/>
          <w:szCs w:val="28"/>
          <w:rtl/>
        </w:rPr>
        <w:t xml:space="preserve">دو قطعه شعر با تخلص فتوحی و شیدا؛ خط: نستعلیق تحریری، بی کا، تا: قرن ۱۴، ۲گ (۱۴۲پ- ۱۴۳ر) [مختصر: ف: - ۵۷]</w:t>
      </w:r>
    </w:p>
    <w:p>
      <w:pPr>
        <w:pStyle w:val="BookText"/>
      </w:pPr>
      <w:r>
        <w:rPr>
          <w:rFonts w:ascii="IRNazanin" w:hAnsi="IRNazanin" w:eastAsia="IRNazanin" w:cs="IRNazanin"/>
          <w:lang w:bidi="fa-IR"/>
          <w:color w:val="111111"/>
          <w:sz w:val="28"/>
          <w:szCs w:val="28"/>
          <w:rtl/>
        </w:rPr>
        <w:t xml:space="preserve">۱۳۸۷. تهران؛ مجلس؛ شماره نسخه: ۸۷۸۳/۷</w:t>
      </w:r>
    </w:p>
    <w:p>
      <w:pPr>
        <w:pStyle w:val="BookText"/>
      </w:pPr>
      <w:r>
        <w:rPr>
          <w:rFonts w:ascii="IRNazanin" w:hAnsi="IRNazanin" w:eastAsia="IRNazanin" w:cs="IRNazanin"/>
          <w:lang w:bidi="fa-IR"/>
          <w:color w:val="111111"/>
          <w:sz w:val="28"/>
          <w:szCs w:val="28"/>
          <w:rtl/>
        </w:rPr>
        <w:t xml:space="preserve">منتخبی از غزلیات راجی تبریزی و نیز چند غزل از حافظ؛ خـط: نستعلیق تحریری، بی کا، تا: قرن ۱۳ و ۱۴؛ ۹۲ ص( ۱۰۴ - 196) [ مختصر: ف: - ۵۷۲]</w:t>
      </w:r>
    </w:p>
    <w:p>
      <w:pPr>
        <w:pStyle w:val="BookText"/>
      </w:pPr>
      <w:r>
        <w:rPr>
          <w:rFonts w:ascii="IRNazanin" w:hAnsi="IRNazanin" w:eastAsia="IRNazanin" w:cs="IRNazanin"/>
          <w:lang w:bidi="fa-IR"/>
          <w:color w:val="111111"/>
          <w:sz w:val="28"/>
          <w:szCs w:val="28"/>
          <w:rtl/>
        </w:rPr>
        <w:t xml:space="preserve">۱۳۸۸. تهران؛ مجلس؛ شماره نسخه: ۹۴۵۱/۹</w:t>
      </w:r>
    </w:p>
    <w:p>
      <w:pPr>
        <w:pStyle w:val="BookText"/>
      </w:pPr>
      <w:r>
        <w:rPr>
          <w:rFonts w:ascii="IRNazanin" w:hAnsi="IRNazanin" w:eastAsia="IRNazanin" w:cs="IRNazanin"/>
          <w:lang w:bidi="fa-IR"/>
          <w:color w:val="111111"/>
          <w:sz w:val="28"/>
          <w:szCs w:val="28"/>
          <w:rtl/>
        </w:rPr>
        <w:t xml:space="preserve">قصیده در هجو وزیر نظام وزیر طهران بر وزن موش و گربه؛ خـط: تحریری، بی کا، تا: قرن ۱۳ و ۱۴؛ ۱۲ ص (۱۱۱۶-۱۱۲۸) [ مختصـر:ف - ۶۲۵  ]</w:t>
      </w:r>
    </w:p>
    <w:p>
      <w:pPr>
        <w:pStyle w:val="BookText"/>
      </w:pPr>
      <w:r>
        <w:rPr>
          <w:rFonts w:ascii="IRNazanin" w:hAnsi="IRNazanin" w:eastAsia="IRNazanin" w:cs="IRNazanin"/>
          <w:lang w:bidi="fa-IR"/>
          <w:color w:val="111111"/>
          <w:sz w:val="28"/>
          <w:szCs w:val="28"/>
          <w:rtl/>
        </w:rPr>
        <w:t xml:space="preserve">۱۳۸۹. تهران؛ مهدوی؛ شماره نسخه: ۵۴۸</w:t>
      </w:r>
    </w:p>
    <w:p>
      <w:pPr>
        <w:pStyle w:val="BookText"/>
      </w:pPr>
      <w:r>
        <w:rPr>
          <w:rFonts w:ascii="IRNazanin" w:hAnsi="IRNazanin" w:eastAsia="IRNazanin" w:cs="IRNazanin"/>
          <w:lang w:bidi="fa-IR"/>
          <w:color w:val="111111"/>
          <w:sz w:val="28"/>
          <w:szCs w:val="28"/>
          <w:rtl/>
        </w:rPr>
        <w:t xml:space="preserve">آغاز: در اقصای عالم بکشتم بسی *** هوادار سلطان ندیدم کسی ؛</w:t>
      </w:r>
    </w:p>
    <w:p>
      <w:pPr>
        <w:pStyle w:val="BookText"/>
      </w:pPr>
      <w:r>
        <w:rPr>
          <w:rFonts w:ascii="IRNazanin" w:hAnsi="IRNazanin" w:eastAsia="IRNazanin" w:cs="IRNazanin"/>
          <w:lang w:bidi="fa-IR"/>
          <w:color w:val="111111"/>
          <w:sz w:val="28"/>
          <w:szCs w:val="28"/>
          <w:rtl/>
        </w:rPr>
        <w:t xml:space="preserve">انجام: بهار است باران بوجه الحسن*** بگلزار شد بارد اندر چـمن شعر فارسی زمان قاجار است و در آن از وضع زمان یاد شـده است؛ خط: نستعلیق، بی کا، تا: قرن ۱۳ و ۱۴[ نشریه: ۲ - ۷۵]</w:t>
      </w:r>
    </w:p>
    <w:p>
      <w:pPr>
        <w:pStyle w:val="BookText"/>
      </w:pPr>
      <w:r>
        <w:rPr>
          <w:rFonts w:ascii="IRNazanin" w:hAnsi="IRNazanin" w:eastAsia="IRNazanin" w:cs="IRNazanin"/>
          <w:lang w:bidi="fa-IR"/>
          <w:color w:val="111111"/>
          <w:sz w:val="28"/>
          <w:szCs w:val="28"/>
          <w:rtl/>
        </w:rPr>
        <w:t xml:space="preserve">۱۳۹۰. تهران؛ ملک؛ شماره نسخه: ۲۵۳۰/۲</w:t>
      </w:r>
    </w:p>
    <w:p>
      <w:pPr>
        <w:pStyle w:val="BookText"/>
      </w:pPr>
      <w:r>
        <w:rPr>
          <w:rFonts w:ascii="IRNazanin" w:hAnsi="IRNazanin" w:eastAsia="IRNazanin" w:cs="IRNazanin"/>
          <w:lang w:bidi="fa-IR"/>
          <w:color w:val="111111"/>
          <w:sz w:val="28"/>
          <w:szCs w:val="28"/>
          <w:rtl/>
        </w:rPr>
        <w:t xml:space="preserve">خط: نسخ و نستعلیق، بی کا، تا: قرن ۱۴ [ف: ۶ - ۳۴]</w:t>
      </w:r>
    </w:p>
    <w:p>
      <w:pPr>
        <w:pStyle w:val="BookText"/>
      </w:pPr>
      <w:r>
        <w:rPr>
          <w:rFonts w:ascii="IRNazanin" w:hAnsi="IRNazanin" w:eastAsia="IRNazanin" w:cs="IRNazanin"/>
          <w:lang w:bidi="fa-IR"/>
          <w:color w:val="111111"/>
          <w:sz w:val="28"/>
          <w:szCs w:val="28"/>
          <w:rtl/>
        </w:rPr>
        <w:t xml:space="preserve">۱۳۹۱. همدان؛ برنا ،قاسم؛ شماره نسخه: ۴۰/۴</w:t>
      </w:r>
    </w:p>
    <w:p>
      <w:pPr>
        <w:pStyle w:val="BookText"/>
      </w:pPr>
      <w:r>
        <w:rPr>
          <w:rFonts w:ascii="IRNazanin" w:hAnsi="IRNazanin" w:eastAsia="IRNazanin" w:cs="IRNazanin"/>
          <w:lang w:bidi="fa-IR"/>
          <w:color w:val="111111"/>
          <w:sz w:val="28"/>
          <w:szCs w:val="28"/>
          <w:rtl/>
        </w:rPr>
        <w:t xml:space="preserve">قصیده در ستایش علی (علیه السّلام)؛ خط: نستعلیق، بی کا، تا: قرن14 [نشریه: ۵ - ۳۷۷]</w:t>
      </w:r>
    </w:p>
    <w:p>
      <w:pPr>
        <w:pStyle w:val="BookText"/>
      </w:pPr>
      <w:r>
        <w:rPr>
          <w:rFonts w:ascii="IRNazanin" w:hAnsi="IRNazanin" w:eastAsia="IRNazanin" w:cs="IRNazanin"/>
          <w:lang w:bidi="fa-IR"/>
          <w:color w:val="111111"/>
          <w:sz w:val="28"/>
          <w:szCs w:val="28"/>
          <w:rtl/>
        </w:rPr>
        <w:t xml:space="preserve">۱۳۹۲. تهران؛ مفتاح؛ شماره نسخه: ۶۱۴/۴</w:t>
      </w:r>
    </w:p>
    <w:p>
      <w:pPr>
        <w:pStyle w:val="BookText"/>
      </w:pPr>
      <w:r>
        <w:rPr>
          <w:rFonts w:ascii="IRNazanin" w:hAnsi="IRNazanin" w:eastAsia="IRNazanin" w:cs="IRNazanin"/>
          <w:lang w:bidi="fa-IR"/>
          <w:color w:val="111111"/>
          <w:sz w:val="28"/>
          <w:szCs w:val="28"/>
          <w:rtl/>
        </w:rPr>
        <w:t xml:space="preserve">غزل جامی و مجلس؛ خط: نستعلیق، بی کا، تا: قرن ۱۴؛ با یادداشت ۱۳۴۷؛ قطع: ربعی [نشریه: ۷ - ۲۴۹]</w:t>
      </w:r>
    </w:p>
    <w:p>
      <w:pPr>
        <w:pStyle w:val="BookText"/>
      </w:pPr>
      <w:r>
        <w:rPr>
          <w:rFonts w:ascii="IRNazanin" w:hAnsi="IRNazanin" w:eastAsia="IRNazanin" w:cs="IRNazanin"/>
          <w:lang w:bidi="fa-IR"/>
          <w:color w:val="111111"/>
          <w:sz w:val="28"/>
          <w:szCs w:val="28"/>
          <w:rtl/>
        </w:rPr>
        <w:t xml:space="preserve">۱۳۹۳. تهران؛ مجلس؛ شماره نسخه: ۵۷/۲۴-فیروز</w:t>
      </w:r>
    </w:p>
    <w:p>
      <w:pPr>
        <w:pStyle w:val="BookText"/>
      </w:pPr>
      <w:r>
        <w:rPr>
          <w:rFonts w:ascii="IRNazanin" w:hAnsi="IRNazanin" w:eastAsia="IRNazanin" w:cs="IRNazanin"/>
          <w:lang w:bidi="fa-IR"/>
          <w:color w:val="111111"/>
          <w:sz w:val="28"/>
          <w:szCs w:val="28"/>
          <w:rtl/>
        </w:rPr>
        <w:t xml:space="preserve">غزل از ناصح الممالک، غزلی دیگر با عنوان «ادبیات» از جنـت، چند قطعه از صادق بروجردی، غزل ۱۳ بیتی از ایرج میرزا ؛میر سید علی تفرشی لشکر نویس ملقب به موثق لشکر، تا: قـرن ۱۴؛ اشعار پراکنده ای است به قلم موثق لشکر و فرزندش در ذیل غزل ایرج می نویسد:« در صبح سه شنبه ۱۳۴۶ صبح خیلی زود دکان را باز کرده بودم از روی روزنامه زنان آزاد شماره 29 مورخه پنج شنبه ۱۳۳۵ نوشتم»، چند قطعه و غزل از ملک الشعراء بهار، غزل از سید ..... پسر میرزا سید علی خان موثق لشکر و یادداشت او حاک از این که غزل را در ۲۳ سالگی و پس از پنج سال از درگذشت پدرش (موثق لشکر صاحب جنگ) در شکایت از ستمکاری های میرزا محمد علی خان مستوفی سروده و مدیر لشکر پس از خواندن این غزل تخلص «صفا» به او داده است، قصيده «تاریخ افتتاح پارلمان» از محمد علی عبرت، قصیده از ابوالقاسم فرهی در ستایش خداوند و مدح پیامبر (صلّی اللَّهِ علیه وَ آلِهِ وَ سَلَّمَ ) با این مطلع: «ای بال و پر از سپهر بر کرده*** اختر همه را به زیر پر کرده»، قصیده وطنی که در عنوانش نوشته:« در خصوص ایران وطن شریف ما که به باد رفته» با این مطلع: «وطن ای مرا روح بخشای تن *** فدای تو بادا هزاران چو من»، قصیده از فوزی درباره ایران که اصطلاحات و لغات خارجی و نام پاره ای ازکشورهایی اروپایی در آن آمده، با این مطلع: «نوروز شد و عید و بهار این چه بهار است *** کاغشته به گل هر گل و خونین دل و خوار است»، قصیده مستزاد از رضوان با تکرار «دیدی که چطور شد با مصراع دوم هر بیت. مطلع قصیده این است: «افسوس که عمر تو چو کشت تو درو شد*** دیدی که چطور شد / خسبیدی و آخر به چه سان روز تو شو شد *** دیدی که چطور شد»؛ کاغذ: فرنگی ،جلد: تیماج قرمز، ۲۵ ص (۱۶۷-۱۹۲)، قطع: نیم خشتی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۲۱ - ۲۰۹]</w:t>
      </w:r>
    </w:p>
    <w:p>
      <w:pPr>
        <w:pStyle w:val="BookText"/>
      </w:pPr>
      <w:r>
        <w:rPr>
          <w:rFonts w:ascii="IRNazanin" w:hAnsi="IRNazanin" w:eastAsia="IRNazanin" w:cs="IRNazanin"/>
          <w:lang w:bidi="fa-IR"/>
          <w:color w:val="111111"/>
          <w:sz w:val="28"/>
          <w:szCs w:val="28"/>
          <w:rtl/>
        </w:rPr>
        <w:t xml:space="preserve">۱۳۹۴. تهران؛ مجلس؛ شماره نسخه: ۵۷/۲۲-فیروز</w:t>
      </w:r>
    </w:p>
    <w:p>
      <w:pPr>
        <w:pStyle w:val="BookText"/>
      </w:pPr>
      <w:r>
        <w:rPr>
          <w:rFonts w:ascii="IRNazanin" w:hAnsi="IRNazanin" w:eastAsia="IRNazanin" w:cs="IRNazanin"/>
          <w:lang w:bidi="fa-IR"/>
          <w:color w:val="111111"/>
          <w:sz w:val="28"/>
          <w:szCs w:val="28"/>
          <w:rtl/>
        </w:rPr>
        <w:t xml:space="preserve">اشعاری برگزیده است (به قلم موثق لشکر تفرشی) در موضوع ها و وزن های مختلف و از آن جمله است: غزلی از شوکت با این مطلع: «گرفتارم به دام چین زلف عنبرین مویی *** فرنگی زاده خوبی کافری زنار گیسویی»، قصیده فکاهی که در عنوان آن  آمده: «قصیده ایست که جناب سیادت احمد خان خلف آقا میرزا سید رضا تفرشی از تهران در زمان ماموریت لشکر نویسی این بنده ... موثق لشکر به استرآباد برای میرزا هادی خان سر رشته دار پسر مرحوم میرزا علی محمد و وثوق السلطنه پسر مرحوم میرزا موسى وزير لشكر، لشکر نویس سنه ماضيه استرآباد نوشته بود در تاریخ ۱۳۲۶ در حضور ... سر رشته دار و لشکر نویس سنه ماضيه» این قصیده پانزده بیت است و چنین آغاز می گردد: «حضرت سر رشته دارای که در دیوان مهر *** هر کجا حرفی ز نسیان است امضا می کنی»، شعری از شاعری شیرازی، رباعی از علامه، قصیده در هجو سید عبدالله بهبهانی با التزام «احسنت ای جناب» سراینده در آغاز قصیده سخنی نیز به نثر دارد که کاتب نقل می کند، قصیده از کمالی که مفصل است با مضامین وطنی تمام صفحه ۱۵۹ را فرا گرفته، دنباله آن چند بیت در صفحه ۱۵۸ و تتمه آن در ۱۵۷ است، مطلع قصیده این است: «به چهره یار نظر تا به چند وطره آن *** یکی بباش به روز سیاه خود نگران»؛ کا: میر سید علی تفرشی لشکر نویس ملقب به موثق لشکر، تا: قرن ۱۴؛ کاغذ: فرنگی ،جلد: تیماج قرمز، ۱ص (۱۴۸-۱۴۹)، قطع: نیم خشتی،
</w:t>
      </w:r>
    </w:p>
    <w:p>
      <w:pPr>
        <w:sectPr>
          <w:footerReference w:type="default" r:id="rId8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۲۱ - ۲۰۸]</w:t>
      </w:r>
    </w:p>
    <w:p>
      <w:pPr>
        <w:pStyle w:val="BookText"/>
      </w:pPr>
      <w:r>
        <w:rPr>
          <w:rFonts w:ascii="IRNazanin" w:hAnsi="IRNazanin" w:eastAsia="IRNazanin" w:cs="IRNazanin"/>
          <w:lang w:bidi="fa-IR"/>
          <w:color w:val="111111"/>
          <w:sz w:val="28"/>
          <w:szCs w:val="28"/>
          <w:rtl/>
        </w:rPr>
        <w:t xml:space="preserve">۱۳۹۵. تهران؛ مجلس؛ شماره نسخه ۸۹/۴-فیروز</w:t>
      </w:r>
    </w:p>
    <w:p>
      <w:pPr>
        <w:pStyle w:val="BookText"/>
      </w:pPr>
      <w:r>
        <w:rPr>
          <w:rFonts w:ascii="IRNazanin" w:hAnsi="IRNazanin" w:eastAsia="IRNazanin" w:cs="IRNazanin"/>
          <w:lang w:bidi="fa-IR"/>
          <w:color w:val="111111"/>
          <w:sz w:val="28"/>
          <w:szCs w:val="28"/>
          <w:rtl/>
        </w:rPr>
        <w:t xml:space="preserve">دو غزل است یکی از شیخ محمد رشتی متخلص به دانش و دیگری از قدسی در مدح جلال الدين مجد الاشراف (گویا از مجموعه جلالیه)؛ خط: نستعليق، كا: لطف الله بن محمود،تا: قرن ۱۴؛ کاغذ: فرنگی چند رنگ، جلد: تیماج قرمز، ٢ ص (78- ۸۰)، ۱۵ سطر، قطع: نیم  خشتی،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۲۱-۶</w:t>
      </w:r>
    </w:p>
    <w:p>
      <w:pPr>
        <w:pStyle w:val="BookText"/>
      </w:pPr>
      <w:r>
        <w:rPr>
          <w:rFonts w:ascii="IRNazanin" w:hAnsi="IRNazanin" w:eastAsia="IRNazanin" w:cs="IRNazanin"/>
          <w:lang w:bidi="fa-IR"/>
          <w:color w:val="111111"/>
          <w:sz w:val="28"/>
          <w:szCs w:val="28"/>
          <w:rtl/>
        </w:rPr>
        <w:t xml:space="preserve">۱۳۹۶. تهران؛ مجلس؛ شماره نسخه: ۱۵۸۷۸</w:t>
      </w:r>
    </w:p>
    <w:p>
      <w:pPr>
        <w:pStyle w:val="BookText"/>
      </w:pPr>
      <w:r>
        <w:rPr>
          <w:rFonts w:ascii="IRNazanin" w:hAnsi="IRNazanin" w:eastAsia="IRNazanin" w:cs="IRNazanin"/>
          <w:lang w:bidi="fa-IR"/>
          <w:color w:val="111111"/>
          <w:sz w:val="28"/>
          <w:szCs w:val="28"/>
          <w:rtl/>
        </w:rPr>
        <w:t xml:space="preserve">آغاز: ... به پنهانی </w:t>
      </w:r>
      <w:r>
        <w:rPr>
          <w:rFonts w:ascii="IRNazanin" w:hAnsi="IRNazanin" w:eastAsia="IRNazanin" w:cs="IRNazanin"/>
          <w:lang w:bidi="fa-IR"/>
          <w:color w:val="111111"/>
          <w:sz w:val="28"/>
          <w:szCs w:val="28"/>
          <w:b w:val="1"/>
          <w:bCs w:val="1"/>
          <w:i w:val="1"/>
          <w:iCs w:val="1"/>
          <w:rtl/>
        </w:rPr>
        <w:t xml:space="preserve">کز درم در آید یار با جمال نورانی / گـفتم این سخن هر دم نزد دلبر جانی *** ساقیا بده جامی زان شراب روحانی؛ انجام: امام اول من شه جوان مردان</w:t>
      </w:r>
      <w:r>
        <w:rPr>
          <w:rFonts w:ascii="IRNazanin" w:hAnsi="IRNazanin" w:eastAsia="IRNazanin" w:cs="IRNazanin"/>
          <w:lang w:bidi="fa-IR"/>
          <w:color w:val="111111"/>
          <w:sz w:val="28"/>
          <w:szCs w:val="28"/>
          <w:rtl/>
        </w:rPr>
        <w:t xml:space="preserve"> علی عالی اغلا وصی پیغمبر</w:t>
      </w:r>
    </w:p>
    <w:p>
      <w:pPr>
        <w:pStyle w:val="BookText"/>
      </w:pPr>
      <w:r>
        <w:rPr>
          <w:rFonts w:ascii="IRNazanin" w:hAnsi="IRNazanin" w:eastAsia="IRNazanin" w:cs="IRNazanin"/>
          <w:lang w:bidi="fa-IR"/>
          <w:color w:val="111111"/>
          <w:sz w:val="28"/>
          <w:szCs w:val="28"/>
          <w:rtl/>
        </w:rPr>
        <w:t xml:space="preserve">بیاضی است شامل اشعار عرفانی و مدایح ائمه و مدح ناصرالدین شاه قاجار و از شعرای مختلف همچون: شیخ بهایی، محتشـم، سعدی ،نظامی ،جامی ،قاصر ،اهلی ،صفی، سلمان ساوجی، طبـیب اصفهانی ،هاتف ،چاپار، میرزا محمد علی روضه خوان بن ملا محمد قاینی روضه خوان و ... از جمله مندرجات این جنگ اسـت: ترجيع بند ما مریدان سلمان ساوجی؛ مثنوی پیر و جوان محـمد نصیر طبیب اصفهانی؛ زشت و زیبا از قاصر؛ خط: نستعلیق، بی کا،تا: قرن ۱۳ و ۱۴؛ جلد: تیماج یک لا، ۱۲۷گ، سطور چلیپایی، اندازه: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۴۴ - ۱۱۳]</w:t>
      </w:r>
    </w:p>
    <w:p>
      <w:pPr>
        <w:pStyle w:val="BookText"/>
      </w:pPr>
      <w:r>
        <w:rPr>
          <w:rFonts w:ascii="IRNazanin" w:hAnsi="IRNazanin" w:eastAsia="IRNazanin" w:cs="IRNazanin"/>
          <w:lang w:bidi="fa-IR"/>
          <w:color w:val="111111"/>
          <w:sz w:val="28"/>
          <w:szCs w:val="28"/>
          <w:rtl/>
        </w:rPr>
        <w:t xml:space="preserve">۱۳۹۷. تهران؛ مجلس؛ شماره نسخه: ۱۶۶۱۷</w:t>
      </w:r>
    </w:p>
    <w:p>
      <w:pPr>
        <w:pStyle w:val="BookText"/>
      </w:pPr>
      <w:r>
        <w:rPr>
          <w:rFonts w:ascii="IRNazanin" w:hAnsi="IRNazanin" w:eastAsia="IRNazanin" w:cs="IRNazanin"/>
          <w:lang w:bidi="fa-IR"/>
          <w:color w:val="111111"/>
          <w:sz w:val="28"/>
          <w:szCs w:val="28"/>
          <w:rtl/>
        </w:rPr>
        <w:t xml:space="preserve">از شریعتمدار استرآبادی و غیره؛ بی کا، تا: قرن ۱۳ و ۱۴ [د.ث. مجلس ]</w:t>
      </w:r>
    </w:p>
    <w:p>
      <w:pPr>
        <w:pStyle w:val="BookText"/>
      </w:pPr>
      <w:r>
        <w:rPr>
          <w:rFonts w:ascii="IRNazanin" w:hAnsi="IRNazanin" w:eastAsia="IRNazanin" w:cs="IRNazanin"/>
          <w:lang w:bidi="fa-IR"/>
          <w:color w:val="111111"/>
          <w:sz w:val="28"/>
          <w:szCs w:val="28"/>
          <w:rtl/>
        </w:rPr>
        <w:t xml:space="preserve">۱۳۹۸. تهران؛ مجلس؛ شماره نسخه: ۸۱۴۹</w:t>
      </w:r>
    </w:p>
    <w:p>
      <w:pPr>
        <w:pStyle w:val="BookText"/>
      </w:pPr>
      <w:r>
        <w:rPr>
          <w:rFonts w:ascii="IRNazanin" w:hAnsi="IRNazanin" w:eastAsia="IRNazanin" w:cs="IRNazanin"/>
          <w:lang w:bidi="fa-IR"/>
          <w:color w:val="111111"/>
          <w:sz w:val="28"/>
          <w:szCs w:val="28"/>
          <w:rtl/>
        </w:rPr>
        <w:t xml:space="preserve">در قسمت اصلی بیاض برگ های ۴۳ تا ۹۹ اشعاری از این سرایندگان به ترتیب آمده است: سعدی، سلمان (ای چین سر زلفت مأواى دل سلمان ...) سعدی، چند بیت فرد ،کلیم، سعدی، بابا طاهر (چند دوبیتی)، احمد میرزا (یک تک بیت: به یـک کرشمه زلیخاوشی دل ما را*** چنان ربود که یوسف دل زلـیخا را)، درویش مجید (غزلی به مطلع: چه جلوه است و خرام آن جوان رعنا را </w:t>
      </w:r>
      <w:r>
        <w:rPr>
          <w:rFonts w:ascii="IRNazanin" w:hAnsi="IRNazanin" w:eastAsia="IRNazanin" w:cs="IRNazanin"/>
          <w:lang w:bidi="fa-IR"/>
          <w:color w:val="111111"/>
          <w:sz w:val="28"/>
          <w:szCs w:val="28"/>
          <w:b w:val="1"/>
          <w:bCs w:val="1"/>
          <w:i w:val="1"/>
          <w:iCs w:val="1"/>
          <w:rtl/>
        </w:rPr>
        <w:t xml:space="preserve">«که دل ربود جوانان سرو بالا را)، یک رباعی بدون نام سراینده: «ای ز آتش عشقت بدلم سوز امروز *** وی ... جان غم افروز امروز/ گفتی که مدام روز خونت ریزم *** گر مصلحت من است امروز امروز»، و چند رباعی بدون عنوان دیگر ،حافظ، قطعه ای گویا از «خاوی» با سرآغاز: «لوحش الله زین بلند ایوان که هست</w:t>
      </w:r>
      <w:r>
        <w:rPr>
          <w:rFonts w:ascii="IRNazanin" w:hAnsi="IRNazanin" w:eastAsia="IRNazanin" w:cs="IRNazanin"/>
          <w:lang w:bidi="fa-IR"/>
          <w:color w:val="111111"/>
          <w:sz w:val="28"/>
          <w:szCs w:val="28"/>
          <w:rtl/>
        </w:rPr>
        <w:t xml:space="preserve"> بارگاه عشرت و مأوای عیش»، با تاریخ 1195 که شاید ماده تاریخ بیت پایانی باشد و ربطی به رقم کاتب ندارد، دو بیت در مدح علی (علیه السّلام) محتشم، یک تک بیت، طوفان، سعدی، چند رباعی بدون نام سراینده، غزلی از حافظ، یک رباعی که در منابع به خیام منسوب است (چون می گذرد عمر چه بغـداد و چه بلخ)، چند بیت پراکنده که یکی از آنها چنین است: «آقـای حکیم دوش در خدمت تو *** حب خودم و فارغ شدم از صحبت تو»، محتشم، میرزا عنایت الله اصفهانی (غزلی به مطلع): «دیشب من ناامید از زاریها *** یاد آمدم از عهد وفاداریها»، رباعی (هنگام سفیده دم خروس سحری ...)، محتشم (چندین غزل)، آذر (چند رباعی)، محتشم (چندین غزل و فرد)، رباعی از خود کاتب با عنوان «المحرره»: «هجران تو بر ... آتش افروز شود *** فزون این غم جان سوز شود / هر روز بناله ام که کی گردد شب *** هر شب بفغان که کی دگر روز شود»، محتشم (دو غزل)، قطعه ای دوبیتی بدون نام شاعر، سعدی (چهار بیت که از بوستان است) ،حافظ ،بوستان هلاکی [همدانی] (تک بیت): «تو درد من همه دانی و بگذری ز هلاکی *** هلاک نام تو گردد هلاکی همدانی»، یک رباعی (دشمن ز تو نا امیدی من می خواست ...)، تک بیت یک ناله مستانه ز جایی نشنیدیم *** ویران شود آن شهر که میخانه ندارد»، قطعه (در واقع مثنوی است): «در میان باغ در طرف چمن *** بلبلی می گفت با جفت این سخن ...»، محتشم (یک قصیده و یک غزل)، سعدی (هشت غزل)، چند رباعی و فرد، یک رباعی «آراسته آمد و چه آراستنی *** می خواست بعشوه ای و چه خواستنی»، سعدی (غزل و چند بیت از بوستان)، چند بیت فرد و رباعی، غزلی از خاقانی (ای صبحدم ببین بکجا می فرستمت.. )،یک رباعی: «دوشینه سحر دلبر تبریزی من / آمد بس راه بخونریزی من / عریان زلباس عاریت ساخت مرا / این بود نتیجه سحر خیزی من». رباعی ای دیگر، یک غزل به مطلع: «رفتی تو و رفت تا ماهی و ماه *** از دیده ام اشک از سینه ام آه»، حافظ، محتشم، سعدی، چند رباعی و فرد و قطعه، سعدی (چند غزل)، چند رباعی و فرد، غزلی از سعدی، چندین مورد فرد و برگزیده غزل و غیره، رباعی و فرد، لآقا تقی صهبا (قطعه ای سه بیتی): «شنیدم که دوشینه در بزم غیر *** می لعل از جام زر خورده ای / ندانم در آن بزم پر شور و شر *** دو پیمانه یا بیشتر خورده ای / غرض آنکه در شهر آوازه ای است *** بجز باده چیز دگر خورده ای»، چند رباعی و فرد بدون نام سراینده، سعدی (چند غزل و مطلع غزل و فرد)، چند رباعی و فرد بدون نام شاعر، چند بیت مثنوی، چند بیت مثنوی، با آغاز: «الهی روز خوش گردون نبیند *** بلب جز ساغر پر خون نبیند، ابیات متفرقه و فرد بدون نام شاعر»، جامی (یک غزل)، قطعه ای دوبیتی از خود کاتب با عنوان «المحرره»: «هر کسی مشغول کار خویشتن *** ما و دردعشق یار خویشتن / گریه از ناسازگاریهای دهر *** میکنم بر روزگار خویشتن»، چند بیت متفرقه، کلیم و چند بیت متفرقه، در ادامه (برگ های ۱۰۰ر و ۱۰۸ر)، اوراقی مجدول الحاقی شده با اشعاری به خط شکسته متوسط شامل این موارد : غزلیاتی از سعدی، غزلیاتی از حافظ، غزلی از فرخی، غزلی از مظهر به مطلع: «کشت از یک نگهی دیده خونبار مرا *** زنده کرد از سخنی نقل شکر بار مرا»، چند شعر از خاقان مغفور (با تخلص «خاقان» که گویا فتحعلی شاه باشد)، غزلیات حافظ و قطعه ای سه بیتی بدون نام شاعر به این صورت: «بگوش هوش شبی ... ندا در داد *** ز
</w:t>
      </w:r>
    </w:p>
    <w:p>
      <w:pPr>
        <w:sectPr>
          <w:footerReference w:type="default" r:id="rId8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احدى لا اله الا الله / که ای عزیز کسی را که خاریس نصيب *** يقين بدان که نیابد بروز منصب و جاه / بآب کوثر و زمزم سفید نتوان کرد*** گلیم بخت کسی را که بافتند سیاه»، آغاز نسخه و در پایان آن به خط تحریری عامیانه ای اشعار نوشته شده است، به نظر می رسد کاتب این برگ ها را به نسـخه الحاق کرده و یا آنها را در اوراق سفیدی که در آن موجود به نگاشته است، در آغاز نسخه یادداشت مهمی در مورد نگارنده بخش دیده می شود: «یا حافظ - این بیاز (صحیح آن: بیاض) از... (؟) مقرب الحضرت العلیه آقا میرزا غلامحسین سرایدار باشی و پیشخدمت حضرت اقدس والا وليعهد روحنا [فداه] می باشد. کس طمع کند یا پیدا کند، ندهد بلعنت خدا و نفرین رسـول گرفتار شود. بتاريخ يوم ۲ شنبه ۲۰ شهر ذیقعده سنه ۱۳۲[ =132]»، مطالب این قسمت اشعاری است از این شاعران: حافظ، سعدى،وحشى، محتشم و متفرقاتی به خط بد بدون نام سراینـده، چند شعر از «عشقی» و گویا به خط «مرتضی» باشد. مطلع اشـعار عشقی چنین است: «خلقت من در جهان یک وصله ناجور بود*** از طبیعت خلقتی اینگونه حقا دور بود / من که خندم نه بر اوضاع کنون می خندم *** من باین گنبد بی سقف و ستون می خندم»،در برگ های پایانی نسخه نیز مطالبی به همین خط هست که باید آن همین فرد باشد شامل این موارد: رباعیات (بدون نام شاعر)، ابیات فرد و منتخاب غزلیات و غیره وصال، عارف (شوریده دلی دارم دیوانه چنین باید ...)، جامی و چندین شعر از سعدی ،اشعاری بخط شکسته خوش «مرتضی»، این بخش چهار صفحه بیش نیسـت و شامل این موارد است: منوچهری (ای باد فدای تو همه جان و تن من ...)، لامعی جرجانی (هر روز دلبرم سخن دلبر آورد... )، قاآنی (یار کی هست مرا بلطافت ملكو ***حلاوت شكر بملاحت نمكو ...) و دو بیت فرد؛ خط: شکسته نستعلیق، بی کا،تا: قرن ۱۳ و ۱۴؛ افتادگی: آغاز؛ بیاضی که احتمالاًدر عهد ولایت عهدی مظفرالدین شاه به سال ۱۳۰۲ق از آن میرزا غلامحسین خان سرایدار باشی و پیشخدمت ولیعهد بوده است، در چهار صفحه از اوراق سفید نسخه شخصی به نام «مرتضی» که خود پیشخدمت سرکاری» خوانده به سال ۱۳۰۶ اشعاری به خط شکسته خوش در تهران نوشته، همچنین یکی از نزدیکان میرزا غلامحسین خان در دوشنبه ۲۰ ذیقعده ۱۳۰۲ق مطلبی در آغاز نسخه نوشته که نشانگر نام مالک (غلامحسین خان) است، مطالبی به خط عامیانه و مغلوط این فرد در برگ های آغاز و انجام نسـخه هست، اشعار به صورت چلیپا به خط شکسته خوش. رقم هـای موجود در این بخش که قسمت اصلی بیاض است چنین اسـت: برگ ۴۸ر:« کمترین حقیر یعنی اقل الطلبه لطفعلی در روزگار تمثل (؟) این بیاض کاغذ بر (؟) قلمی ترتیب داد»، برگ ۴۸پ: «حرره محمد مهدی ابن آقا محمد تقی تاجر .... کاشان» (که پس از دو بیت شعر به خط ریزتری نوشته شده)، برگ ۷۰ر: «حقیر اقل الطلاب میر سید علی در دارالسلطنه تبریز تحریر پذیرفت مستعجلا» در آغاز و انجام نسخه برگ هایی اختصاص یافته به نوشته های بد خط شخصی که خود را مقرب آقا میرزا غلامحسین خان خوانده است، در برگ ۱۵پ تا ۱۷ر نیز شخصی موسوم به مرتضی، به درخواست میرزا غلامحسین چنین اشعاری نوشته و در پایان رقم زده است: «جهة بخواهش [کذا] دوست و مخدوم مکرم خان سرایدار باشی نوشته شد در دارالخلافه طهران شب جمعه هزار و سیصد و شش سنه ۱۳۶ [=۱۳۰۶] حرره مرتضی پیشخدمت سرکاری»، پشت برگ بدرقه انتهای نسخه سه بیت شعر با امضای «رضا شیرازی» به چشم می خورد که شاید همان شخص مقرب غلامحسین خان باشد، نام «ارشادی» هم در محل آستر پشت جلد دیده می شود که شاید منظور «هدایت ارشادی» نسخه بازو کتابفروش تهرانی باشد؛ جلد: تیماج قهوه ای دارای جدول ساده و علامت ضربدری در وسط، ۱۵۴گ، مختلف السطر، اندازه:</w:t>
      </w:r>
    </w:p>
    <w:p>
      <w:pPr>
        <w:pStyle w:val="BookText"/>
      </w:pPr>
      <w:r>
        <w:rPr>
          <w:rFonts w:ascii="IRNazanin" w:hAnsi="IRNazanin" w:eastAsia="IRNazanin" w:cs="IRNazanin"/>
          <w:lang w:bidi="fa-IR"/>
          <w:color w:val="111111"/>
          <w:sz w:val="28"/>
          <w:szCs w:val="28"/>
          <w:rtl/>
        </w:rPr>
        <w:t xml:space="preserve">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۱۸/۸سم [مختصر: ف: ۱۱۳]</w:t>
      </w:r>
    </w:p>
    <w:p>
      <w:pPr>
        <w:pStyle w:val="BookText"/>
      </w:pPr>
      <w:r>
        <w:rPr>
          <w:rFonts w:ascii="IRNazanin" w:hAnsi="IRNazanin" w:eastAsia="IRNazanin" w:cs="IRNazanin"/>
          <w:lang w:bidi="fa-IR"/>
          <w:color w:val="111111"/>
          <w:sz w:val="28"/>
          <w:szCs w:val="28"/>
          <w:rtl/>
        </w:rPr>
        <w:t xml:space="preserve">۱۳۹۹. تهران؛ مجلس؛ شماره نسخه: ۵۷/۱۳-فیروز</w:t>
      </w:r>
    </w:p>
    <w:p>
      <w:pPr>
        <w:pStyle w:val="BookText"/>
      </w:pPr>
      <w:r>
        <w:rPr>
          <w:rFonts w:ascii="IRNazanin" w:hAnsi="IRNazanin" w:eastAsia="IRNazanin" w:cs="IRNazanin"/>
          <w:lang w:bidi="fa-IR"/>
          <w:color w:val="111111"/>
          <w:sz w:val="28"/>
          <w:szCs w:val="28"/>
          <w:rtl/>
        </w:rPr>
        <w:t xml:space="preserve">چند رباعی به خط سید علی تفرشی موثق لشكر (كاتب)؛ كا: مير سید علی تفرشی لشکر نویس ملقب به موثق لشکر، تا: قرن ۱۴؛ کاغذ: فرنگی ،جلد: تیماج قرمز، ۱ص (۱۳۳)، قطع: نیم خشتی،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۲۱ - ۲۰۶]</w:t>
      </w:r>
    </w:p>
    <w:p>
      <w:pPr>
        <w:pStyle w:val="BookText"/>
      </w:pPr>
      <w:r>
        <w:rPr>
          <w:rFonts w:ascii="IRNazanin" w:hAnsi="IRNazanin" w:eastAsia="IRNazanin" w:cs="IRNazanin"/>
          <w:lang w:bidi="fa-IR"/>
          <w:color w:val="111111"/>
          <w:sz w:val="28"/>
          <w:szCs w:val="28"/>
          <w:rtl/>
        </w:rPr>
        <w:t xml:space="preserve">۱۴۰۰. تهران؛ مجلس؛ شماره نسخه: ۸۷۸۳/۶</w:t>
      </w:r>
    </w:p>
    <w:p>
      <w:pPr>
        <w:pStyle w:val="BookText"/>
      </w:pPr>
      <w:r>
        <w:rPr>
          <w:rFonts w:ascii="IRNazanin" w:hAnsi="IRNazanin" w:eastAsia="IRNazanin" w:cs="IRNazanin"/>
          <w:lang w:bidi="fa-IR"/>
          <w:color w:val="111111"/>
          <w:sz w:val="28"/>
          <w:szCs w:val="28"/>
          <w:rtl/>
        </w:rPr>
        <w:t xml:space="preserve">تقریبا هشتاد رباعی از شعرا بدون نام شاعر ؛ خط: نستعلیق تحریری، بی کا، تا: قرن ۱۳ و ۱۴؛ ۲۵ ص (۷۹-۱۰۴) [مختصر: ف: ۳۸۶]</w:t>
      </w:r>
    </w:p>
    <w:p>
      <w:pPr>
        <w:pStyle w:val="BookText"/>
      </w:pPr>
      <w:r>
        <w:rPr>
          <w:rFonts w:ascii="IRNazanin" w:hAnsi="IRNazanin" w:eastAsia="IRNazanin" w:cs="IRNazanin"/>
          <w:lang w:bidi="fa-IR"/>
          <w:color w:val="111111"/>
          <w:sz w:val="28"/>
          <w:szCs w:val="28"/>
          <w:rtl/>
        </w:rPr>
        <w:t xml:space="preserve">۱۴۰۱. تهران؛ ملی؛ شماره نسخه: ۱۵۹۲۸</w:t>
      </w:r>
    </w:p>
    <w:p>
      <w:pPr>
        <w:pStyle w:val="BookText"/>
      </w:pPr>
      <w:r>
        <w:rPr>
          <w:rFonts w:ascii="IRNazanin" w:hAnsi="IRNazanin" w:eastAsia="IRNazanin" w:cs="IRNazanin"/>
          <w:lang w:bidi="fa-IR"/>
          <w:color w:val="111111"/>
          <w:sz w:val="28"/>
          <w:szCs w:val="28"/>
          <w:rtl/>
        </w:rPr>
        <w:t xml:space="preserve">آغاز: ضرب غبار نقد جهانرا تونى عرض *** ... خلق كون مكانرا تونی ... عرض...؛ انجام: رسید قاصدی و آورد نامه از بریار *** ز دیدنش دل غم دیده گشت برخوردار</w:t>
      </w:r>
    </w:p>
    <w:p>
      <w:pPr>
        <w:pStyle w:val="BookText"/>
      </w:pPr>
      <w:r>
        <w:rPr>
          <w:rFonts w:ascii="IRNazanin" w:hAnsi="IRNazanin" w:eastAsia="IRNazanin" w:cs="IRNazanin"/>
          <w:lang w:bidi="fa-IR"/>
          <w:color w:val="111111"/>
          <w:sz w:val="28"/>
          <w:szCs w:val="28"/>
          <w:rtl/>
        </w:rPr>
        <w:t xml:space="preserve">مجموعه ای از اشعار منتخب از محمد تقی کلاهدوز، باقی گلچین جامع الحسنات ملا عباس شوشتری متخلص به شباب، حکیم قاآنی (خلاق المعانی)، کلیم گلچین انوری، مخمس مستزاد، در تعریف،عمارتی، صائب، مخمس دوازده بند محتشم از شباب، خسروی صبا، ترجیع بند هاتف، گلچین دیوان حکیم عنصری، گلچین سلیمانیه (۱۳۲۳ در عهد مظفر شاه) گلچین صادق ملا رجب می باشد؛ بی کا ،تا: قرن ۱۴؛ انتقالی از سازمان مدارک فرهنگی انقلاب اسلامی؛ جلد: تیماج مشکی، یک لا، اندرون جلد آستر تیماج نخودی، ۱۳۳گ، سطور متغیر چلیپا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 قطع:</w:t>
      </w:r>
    </w:p>
    <w:p>
      <w:pPr>
        <w:pStyle w:val="BookText"/>
      </w:pPr>
      <w:r>
        <w:rPr>
          <w:rFonts w:ascii="IRNazanin" w:hAnsi="IRNazanin" w:eastAsia="IRNazanin" w:cs="IRNazanin"/>
          <w:lang w:bidi="fa-IR"/>
          <w:color w:val="111111"/>
          <w:sz w:val="28"/>
          <w:szCs w:val="28"/>
          <w:rtl/>
        </w:rPr>
        <w:t xml:space="preserve">بیاضی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[رایانه]</w:t>
      </w:r>
    </w:p>
    <w:p>
      <w:pPr>
        <w:pStyle w:val="BookText"/>
      </w:pPr>
      <w:r>
        <w:rPr>
          <w:rFonts w:ascii="IRNazanin" w:hAnsi="IRNazanin" w:eastAsia="IRNazanin" w:cs="IRNazanin"/>
          <w:lang w:bidi="fa-IR"/>
          <w:color w:val="111111"/>
          <w:sz w:val="28"/>
          <w:szCs w:val="28"/>
          <w:rtl/>
        </w:rPr>
        <w:t xml:space="preserve">۱۴۰۲. تهران؛ فیاض؛ شماره نسخه: ۴۵</w:t>
      </w:r>
    </w:p>
    <w:p>
      <w:pPr>
        <w:pStyle w:val="BookText"/>
      </w:pPr>
      <w:r>
        <w:rPr>
          <w:rFonts w:ascii="IRNazanin" w:hAnsi="IRNazanin" w:eastAsia="IRNazanin" w:cs="IRNazanin"/>
          <w:lang w:bidi="fa-IR"/>
          <w:color w:val="111111"/>
          <w:sz w:val="28"/>
          <w:szCs w:val="28"/>
          <w:rtl/>
        </w:rPr>
        <w:t xml:space="preserve">قصاید شعرای ارض اقدس در مدح مستشار الملک؛ خط: نستعلیق، بی کا، تا: قرن ۱۴ [نشریه: ۷ - ۶۹۸]</w:t>
      </w:r>
    </w:p>
    <w:p>
      <w:pPr>
        <w:pStyle w:val="BookText"/>
      </w:pPr>
      <w:r>
        <w:rPr>
          <w:rFonts w:ascii="IRNazanin" w:hAnsi="IRNazanin" w:eastAsia="IRNazanin" w:cs="IRNazanin"/>
          <w:lang w:bidi="fa-IR"/>
          <w:color w:val="111111"/>
          <w:sz w:val="28"/>
          <w:szCs w:val="28"/>
          <w:rtl/>
        </w:rPr>
        <w:t xml:space="preserve">۱۴۰۳. تهران؛ مفتاح؛ شماره نسخه: ۶۴۲</w:t>
      </w:r>
    </w:p>
    <w:p>
      <w:pPr>
        <w:pStyle w:val="BookText"/>
      </w:pPr>
      <w:r>
        <w:rPr>
          <w:rFonts w:ascii="IRNazanin" w:hAnsi="IRNazanin" w:eastAsia="IRNazanin" w:cs="IRNazanin"/>
          <w:lang w:bidi="fa-IR"/>
          <w:color w:val="111111"/>
          <w:sz w:val="28"/>
          <w:szCs w:val="28"/>
          <w:rtl/>
        </w:rPr>
        <w:t xml:space="preserve">مثنوی است؛ خط: نستعلیق، بی کا، تا: قرن ۱۴؛ افتادگی:انجام؛ قطع [ربعی نشریه: ۷ - ۲۱۷] [</w:t>
      </w:r>
    </w:p>
    <w:p>
      <w:pPr>
        <w:pStyle w:val="BookText"/>
      </w:pPr>
      <w:r>
        <w:rPr>
          <w:rFonts w:ascii="IRNazanin" w:hAnsi="IRNazanin" w:eastAsia="IRNazanin" w:cs="IRNazanin"/>
          <w:lang w:bidi="fa-IR"/>
          <w:color w:val="111111"/>
          <w:sz w:val="28"/>
          <w:szCs w:val="28"/>
          <w:rtl/>
        </w:rPr>
        <w:t xml:space="preserve">۱۴۰۴. تهران؛ دانشگاه؛ شماره نسخه: ۸۹۲۱
</w:t>
      </w:r>
    </w:p>
    <w:p>
      <w:pPr>
        <w:sectPr>
          <w:footerReference w:type="default" r:id="rId8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مثنوی عرفانی مانند مثنوی معنوی مولوی ؛خط: نستعلیق، بی کا،تا: قرن ۱۴؛ افتادگی: آغاز و انجام؛ کاغذ: کبود فرنگی ،جلد: مقوا ،بغلی، ۶۷گ، ۱۱ سطر (7</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۱۷ - 250]</w:t>
      </w:r>
    </w:p>
    <w:p>
      <w:pPr>
        <w:pStyle w:val="BookText"/>
      </w:pPr>
      <w:r>
        <w:rPr>
          <w:rFonts w:ascii="IRNazanin" w:hAnsi="IRNazanin" w:eastAsia="IRNazanin" w:cs="IRNazanin"/>
          <w:lang w:bidi="fa-IR"/>
          <w:color w:val="111111"/>
          <w:sz w:val="28"/>
          <w:szCs w:val="28"/>
          <w:rtl/>
        </w:rPr>
        <w:t xml:space="preserve">۱۴۰۵. رشت؛ جمعیت نشر فرهنگ؛ شماره نسخه: ۳۷۲ت</w:t>
      </w:r>
    </w:p>
    <w:p>
      <w:pPr>
        <w:pStyle w:val="BookText"/>
      </w:pPr>
      <w:r>
        <w:rPr>
          <w:rFonts w:ascii="IRNazanin" w:hAnsi="IRNazanin" w:eastAsia="IRNazanin" w:cs="IRNazanin"/>
          <w:lang w:bidi="fa-IR"/>
          <w:color w:val="111111"/>
          <w:sz w:val="28"/>
          <w:szCs w:val="28"/>
          <w:rtl/>
        </w:rPr>
        <w:t xml:space="preserve">آغاز: ای پسر این قدر به خویش مناز *** با من آن قدر نرد کینه مباز / من که با حالت تو ساخته ام *** تو هم آخر به من ز مهر بساز / آن قدر جان من به هجر مسوز *** بیش از اینم پدر به غم مگذار .../ تندی و سر کشی ز سر بگذار *** بدی و بد سری کنار انداز /ملتفت شو که ریش میاید *** میرود نوش و نیش می آید ؛انجام: بارها گفتمت که این گردون *** این چنین کار و بارها دارد / نشنیدی بکار افتادی*** تا بدین روزگار افتادی</w:t>
      </w:r>
    </w:p>
    <w:p>
      <w:pPr>
        <w:pStyle w:val="BookText"/>
      </w:pPr>
      <w:r>
        <w:rPr>
          <w:rFonts w:ascii="IRNazanin" w:hAnsi="IRNazanin" w:eastAsia="IRNazanin" w:cs="IRNazanin"/>
          <w:lang w:bidi="fa-IR"/>
          <w:color w:val="111111"/>
          <w:sz w:val="28"/>
          <w:szCs w:val="28"/>
          <w:rtl/>
        </w:rPr>
        <w:t xml:space="preserve">ترجیع بند در باره ریش؛ خط: نستعلیق، بی کا، تا: قرن ۱۴؛ قطع: خشتی باریک [رشت و همدان :ف - ۱۱۰۱]</w:t>
      </w:r>
    </w:p>
    <w:p>
      <w:pPr>
        <w:pStyle w:val="BookText"/>
      </w:pPr>
      <w:r>
        <w:rPr>
          <w:rFonts w:ascii="IRNazanin" w:hAnsi="IRNazanin" w:eastAsia="IRNazanin" w:cs="IRNazanin"/>
          <w:lang w:bidi="fa-IR"/>
          <w:color w:val="111111"/>
          <w:sz w:val="28"/>
          <w:szCs w:val="28"/>
          <w:rtl/>
        </w:rPr>
        <w:t xml:space="preserve">1406.تهران؛ مجلس؛ شماره نسخه: ۸۷۸۳/۵</w:t>
      </w:r>
    </w:p>
    <w:p>
      <w:pPr>
        <w:pStyle w:val="BookText"/>
      </w:pPr>
      <w:r>
        <w:rPr>
          <w:rFonts w:ascii="IRNazanin" w:hAnsi="IRNazanin" w:eastAsia="IRNazanin" w:cs="IRNazanin"/>
          <w:lang w:bidi="fa-IR"/>
          <w:color w:val="111111"/>
          <w:sz w:val="28"/>
          <w:szCs w:val="28"/>
          <w:rtl/>
        </w:rPr>
        <w:t xml:space="preserve">مشتمل بر چند ترجیع بند از جمله ترجیع بند هاتف اصفهانی(م ۱۱۹۸)؛ خط: نستعلیق تحریری، بی کا، تا: قرن ۱۳ وقرن14 [مختصر: ف: - ۱۷۱]</w:t>
      </w:r>
    </w:p>
    <w:p>
      <w:pPr>
        <w:pStyle w:val="BookText"/>
      </w:pPr>
      <w:r>
        <w:rPr>
          <w:rFonts w:ascii="IRNazanin" w:hAnsi="IRNazanin" w:eastAsia="IRNazanin" w:cs="IRNazanin"/>
          <w:lang w:bidi="fa-IR"/>
          <w:color w:val="111111"/>
          <w:sz w:val="28"/>
          <w:szCs w:val="28"/>
          <w:rtl/>
        </w:rPr>
        <w:t xml:space="preserve">۱۴۰۷. کاشان ،عاطفی ،افشین؛ شماره نسخه: ۹۳</w:t>
      </w:r>
    </w:p>
    <w:p>
      <w:pPr>
        <w:pStyle w:val="BookText"/>
      </w:pPr>
      <w:r>
        <w:rPr>
          <w:rFonts w:ascii="IRNazanin" w:hAnsi="IRNazanin" w:eastAsia="IRNazanin" w:cs="IRNazanin"/>
          <w:lang w:bidi="fa-IR"/>
          <w:color w:val="111111"/>
          <w:sz w:val="28"/>
          <w:szCs w:val="28"/>
          <w:rtl/>
        </w:rPr>
        <w:t xml:space="preserve">بیاضی مشتمل بر اشعاری بیشتری بیشتر در مدایح ائمه (علیهم السّلام) با تخلص «هادی»؛ خط: نسخ، بی کا، تا: قرن ۱۴، جلد: آبی رنگ، 8گ، مختلف السطر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۱۸/۵سم [ف: ۷۹]</w:t>
      </w:r>
    </w:p>
    <w:p>
      <w:pPr>
        <w:pStyle w:val="BookText"/>
      </w:pPr>
      <w:r>
        <w:rPr>
          <w:rFonts w:ascii="IRNazanin" w:hAnsi="IRNazanin" w:eastAsia="IRNazanin" w:cs="IRNazanin"/>
          <w:lang w:bidi="fa-IR"/>
          <w:color w:val="111111"/>
          <w:sz w:val="28"/>
          <w:szCs w:val="28"/>
          <w:rtl/>
        </w:rPr>
        <w:t xml:space="preserve">۱۴۰۸. تهران؛ مفتاح؛ شماره نسخه: ۶۱۴/۸</w:t>
      </w:r>
    </w:p>
    <w:p>
      <w:pPr>
        <w:pStyle w:val="BookText"/>
      </w:pPr>
      <w:r>
        <w:rPr>
          <w:rFonts w:ascii="IRNazanin" w:hAnsi="IRNazanin" w:eastAsia="IRNazanin" w:cs="IRNazanin"/>
          <w:lang w:bidi="fa-IR"/>
          <w:color w:val="111111"/>
          <w:sz w:val="28"/>
          <w:szCs w:val="28"/>
          <w:rtl/>
        </w:rPr>
        <w:t xml:space="preserve">شعر مجلسی و ضیاء اصفهانی و دیگران ؛خط: نستعلیق، بی کا، تا: قرن ۱۴؛ قطع: ربعی [ نشریه: ۷ - ۲۵۰]</w:t>
      </w:r>
    </w:p>
    <w:p>
      <w:pPr>
        <w:pStyle w:val="BookText"/>
      </w:pPr>
      <w:r>
        <w:rPr>
          <w:rFonts w:ascii="IRNazanin" w:hAnsi="IRNazanin" w:eastAsia="IRNazanin" w:cs="IRNazanin"/>
          <w:lang w:bidi="fa-IR"/>
          <w:color w:val="111111"/>
          <w:sz w:val="28"/>
          <w:szCs w:val="28"/>
          <w:rtl/>
        </w:rPr>
        <w:t xml:space="preserve">۱۴۰۹. تهران؛ مفتاح؛ شماره نسخه: ۶۱۵/۵</w:t>
      </w:r>
    </w:p>
    <w:p>
      <w:pPr>
        <w:pStyle w:val="BookText"/>
      </w:pPr>
      <w:r>
        <w:rPr>
          <w:rFonts w:ascii="IRNazanin" w:hAnsi="IRNazanin" w:eastAsia="IRNazanin" w:cs="IRNazanin"/>
          <w:lang w:bidi="fa-IR"/>
          <w:color w:val="111111"/>
          <w:sz w:val="28"/>
          <w:szCs w:val="28"/>
          <w:rtl/>
        </w:rPr>
        <w:t xml:space="preserve">شعرهای فارسی مجلسی و ضیاء اصفهانی؛ خط: نستعلیق، بی کا، تا: قرن ۱۴؛ قطع: ربعی [ نشریه: ۷ - ۲۵۰]</w:t>
      </w:r>
    </w:p>
    <w:p>
      <w:pPr>
        <w:pStyle w:val="BookText"/>
      </w:pPr>
      <w:r>
        <w:rPr>
          <w:rFonts w:ascii="IRNazanin" w:hAnsi="IRNazanin" w:eastAsia="IRNazanin" w:cs="IRNazanin"/>
          <w:lang w:bidi="fa-IR"/>
          <w:color w:val="111111"/>
          <w:sz w:val="28"/>
          <w:szCs w:val="28"/>
          <w:rtl/>
        </w:rPr>
        <w:t xml:space="preserve">۱۴۱۰. تهران؛ مفتاح؛ شماره نسخه: ۶۱۵/۶</w:t>
      </w:r>
    </w:p>
    <w:p>
      <w:pPr>
        <w:pStyle w:val="BookText"/>
      </w:pPr>
      <w:r>
        <w:rPr>
          <w:rFonts w:ascii="IRNazanin" w:hAnsi="IRNazanin" w:eastAsia="IRNazanin" w:cs="IRNazanin"/>
          <w:lang w:bidi="fa-IR"/>
          <w:color w:val="111111"/>
          <w:sz w:val="28"/>
          <w:szCs w:val="28"/>
          <w:rtl/>
        </w:rPr>
        <w:t xml:space="preserve">شعرهای فارسی ناصر خسرو خاقانی و عرفی و هاتف است؛ خـط: نستعلیق، بی کا، تا: قرن ۱۴، قطع: ربعی [نشریه: ۷ - ۲۵۰]</w:t>
      </w:r>
    </w:p>
    <w:p>
      <w:pPr>
        <w:pStyle w:val="BookText"/>
      </w:pPr>
      <w:r>
        <w:rPr>
          <w:rFonts w:ascii="IRNazanin" w:hAnsi="IRNazanin" w:eastAsia="IRNazanin" w:cs="IRNazanin"/>
          <w:lang w:bidi="fa-IR"/>
          <w:color w:val="111111"/>
          <w:sz w:val="28"/>
          <w:szCs w:val="28"/>
          <w:rtl/>
        </w:rPr>
        <w:t xml:space="preserve">۱۴۱۱. تهران؛ دانشگاه؛ شماره نسخه: ۳۶۶۹/۱۰</w:t>
      </w:r>
    </w:p>
    <w:p>
      <w:pPr>
        <w:pStyle w:val="BookText"/>
      </w:pPr>
      <w:r>
        <w:rPr>
          <w:rFonts w:ascii="IRNazanin" w:hAnsi="IRNazanin" w:eastAsia="IRNazanin" w:cs="IRNazanin"/>
          <w:lang w:bidi="fa-IR"/>
          <w:color w:val="111111"/>
          <w:sz w:val="28"/>
          <w:szCs w:val="28"/>
          <w:rtl/>
        </w:rPr>
        <w:t xml:space="preserve">شعرهای معما و لغز؛ بی کا، تا: قرن ۱۴ ؛کاغذ: فرنگی ،جلد:مقـوا، ۲ ص (92- 93) ،۱۵ سطر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 ف: 7- 2678]</w:t>
      </w:r>
    </w:p>
    <w:p>
      <w:pPr>
        <w:pStyle w:val="BookText"/>
      </w:pPr>
      <w:r>
        <w:rPr>
          <w:rFonts w:ascii="IRNazanin" w:hAnsi="IRNazanin" w:eastAsia="IRNazanin" w:cs="IRNazanin"/>
          <w:lang w:bidi="fa-IR"/>
          <w:color w:val="111111"/>
          <w:sz w:val="28"/>
          <w:szCs w:val="28"/>
          <w:rtl/>
        </w:rPr>
        <w:t xml:space="preserve">۱۴۱۲. اصفهان؛ دانشگاه؛ شماره نسخه: ۳۷۶/۱</w:t>
      </w:r>
    </w:p>
    <w:p>
      <w:pPr>
        <w:pStyle w:val="BookText"/>
      </w:pPr>
      <w:r>
        <w:rPr>
          <w:rFonts w:ascii="IRNazanin" w:hAnsi="IRNazanin" w:eastAsia="IRNazanin" w:cs="IRNazanin"/>
          <w:lang w:bidi="fa-IR"/>
          <w:color w:val="111111"/>
          <w:sz w:val="28"/>
          <w:szCs w:val="28"/>
          <w:rtl/>
        </w:rPr>
        <w:t xml:space="preserve">شعرهای ملامحمد مهدی اشرفی در ستایش سردار مجد السلطنه ؛خط: نستعلیق، بی کا، تا: قرن ۱۴ [ نشریه: ۱۱ - ۹۴۳]</w:t>
      </w:r>
    </w:p>
    <w:p>
      <w:pPr>
        <w:pStyle w:val="BookText"/>
      </w:pPr>
      <w:r>
        <w:rPr>
          <w:rFonts w:ascii="IRNazanin" w:hAnsi="IRNazanin" w:eastAsia="IRNazanin" w:cs="IRNazanin"/>
          <w:lang w:bidi="fa-IR"/>
          <w:color w:val="111111"/>
          <w:sz w:val="28"/>
          <w:szCs w:val="28"/>
          <w:rtl/>
        </w:rPr>
        <w:t xml:space="preserve">۱۴۱۳. تهران؛ دانشگاه؛ شماره نسخه: ۳۶۶۹/۹</w:t>
      </w:r>
    </w:p>
    <w:p>
      <w:pPr>
        <w:pStyle w:val="BookText"/>
      </w:pPr>
      <w:r>
        <w:rPr>
          <w:rFonts w:ascii="IRNazanin" w:hAnsi="IRNazanin" w:eastAsia="IRNazanin" w:cs="IRNazanin"/>
          <w:lang w:bidi="fa-IR"/>
          <w:color w:val="111111"/>
          <w:sz w:val="28"/>
          <w:szCs w:val="28"/>
          <w:rtl/>
        </w:rPr>
        <w:t xml:space="preserve">شعری از پسر آقا رضاخان فراهان در شکایت از مستوفی عراق؛ بی کا، تا: قرن ۱۴ ؛کاغذ: فرنگی ،جلد: مقوا، ۱ص (۹۱) ، ۱۵ سـطر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۱۲ - (۲۶۷۸]</w:t>
      </w:r>
    </w:p>
    <w:p>
      <w:pPr>
        <w:pStyle w:val="BookText"/>
      </w:pPr>
      <w:r>
        <w:rPr>
          <w:rFonts w:ascii="IRNazanin" w:hAnsi="IRNazanin" w:eastAsia="IRNazanin" w:cs="IRNazanin"/>
          <w:lang w:bidi="fa-IR"/>
          <w:color w:val="111111"/>
          <w:sz w:val="28"/>
          <w:szCs w:val="28"/>
          <w:rtl/>
        </w:rPr>
        <w:t xml:space="preserve">۱۴۱۴ . قم؛ مسجد اعظم؛ شماره نسخه: ۲۹۳۹</w:t>
      </w:r>
    </w:p>
    <w:p>
      <w:pPr>
        <w:pStyle w:val="BookText"/>
      </w:pPr>
      <w:r>
        <w:rPr>
          <w:rFonts w:ascii="IRNazanin" w:hAnsi="IRNazanin" w:eastAsia="IRNazanin" w:cs="IRNazanin"/>
          <w:lang w:bidi="fa-IR"/>
          <w:color w:val="111111"/>
          <w:sz w:val="28"/>
          <w:szCs w:val="28"/>
          <w:rtl/>
        </w:rPr>
        <w:t xml:space="preserve">آغاز: درخواب من مجنون*** مانند یار بی چون؛ انجام: زندگی یاردگر جز تو نگیرم *** زیرا که من درغم عشقت اسیرم مجموعه برخی اشعار سست و ضعیف که شخصی تهرانی برای محبوب خیالی خود سروده؛ خط: نستعلیق، بی کا، تا: قرن ۱۴؛ جلد: گالینگور سرخ مجدول، ۲۵گ،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مخ: ۴  - 1568]</w:t>
      </w:r>
    </w:p>
    <w:p>
      <w:pPr>
        <w:pStyle w:val="BookText"/>
      </w:pPr>
      <w:r>
        <w:rPr>
          <w:rFonts w:ascii="IRNazanin" w:hAnsi="IRNazanin" w:eastAsia="IRNazanin" w:cs="IRNazanin"/>
          <w:lang w:bidi="fa-IR"/>
          <w:color w:val="111111"/>
          <w:sz w:val="28"/>
          <w:szCs w:val="28"/>
          <w:rtl/>
        </w:rPr>
        <w:t xml:space="preserve">۱۴۱۵. شیراز؛ شاهچراغ؛ شماره نسخه: ۷۸۴</w:t>
      </w:r>
    </w:p>
    <w:p>
      <w:pPr>
        <w:pStyle w:val="BookText"/>
      </w:pPr>
      <w:r>
        <w:rPr>
          <w:rFonts w:ascii="IRNazanin" w:hAnsi="IRNazanin" w:eastAsia="IRNazanin" w:cs="IRNazanin"/>
          <w:lang w:bidi="fa-IR"/>
          <w:color w:val="111111"/>
          <w:sz w:val="28"/>
          <w:szCs w:val="28"/>
          <w:rtl/>
        </w:rPr>
        <w:t xml:space="preserve">مجموعه اشعاری که در وصف و تمجید مجد الاشراف سروده شده؛ خط: نسخ ریز، بی کا، تا: قرن ۱۴؛ افتادگی: آغاز و انجام؛ :۳۰۸گ، اندازه: 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۳ - ۳۶]</w:t>
      </w:r>
    </w:p>
    <w:p>
      <w:pPr>
        <w:pStyle w:val="BookText"/>
      </w:pPr>
      <w:r>
        <w:rPr>
          <w:rFonts w:ascii="IRNazanin" w:hAnsi="IRNazanin" w:eastAsia="IRNazanin" w:cs="IRNazanin"/>
          <w:lang w:bidi="fa-IR"/>
          <w:color w:val="111111"/>
          <w:sz w:val="28"/>
          <w:szCs w:val="28"/>
          <w:rtl/>
        </w:rPr>
        <w:t xml:space="preserve">۱۴۱۶. تهران؛ دانشگاه؛ شماره نسخه: ۹۴۵۰</w:t>
      </w:r>
    </w:p>
    <w:p>
      <w:pPr>
        <w:pStyle w:val="BookText"/>
      </w:pPr>
      <w:r>
        <w:rPr>
          <w:rFonts w:ascii="IRNazanin" w:hAnsi="IRNazanin" w:eastAsia="IRNazanin" w:cs="IRNazanin"/>
          <w:lang w:bidi="fa-IR"/>
          <w:color w:val="111111"/>
          <w:sz w:val="28"/>
          <w:szCs w:val="28"/>
          <w:rtl/>
        </w:rPr>
        <w:t xml:space="preserve">جنگ شعر است از صایب تا وحدت؛ خط: نستعلیق، بی کا، تا: قرن ۱۴؛ کاغذ: فرنگی ،جلد: تیماج تریاکی ضربی مقوایی، ۱۱۲گ، ابعاد متن: 9</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،قطع: ربعی بیاضی، اندازه: 9/5</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۱۷ - ۳۷۱  ]</w:t>
      </w:r>
    </w:p>
    <w:p>
      <w:pPr>
        <w:pStyle w:val="BookText"/>
      </w:pPr>
      <w:r>
        <w:rPr>
          <w:rFonts w:ascii="IRNazanin" w:hAnsi="IRNazanin" w:eastAsia="IRNazanin" w:cs="IRNazanin"/>
          <w:lang w:bidi="fa-IR"/>
          <w:color w:val="111111"/>
          <w:sz w:val="28"/>
          <w:szCs w:val="28"/>
          <w:rtl/>
        </w:rPr>
        <w:t xml:space="preserve">۱۴۱۷. تهران؛ دانشگاه؛ شماره نسخه: ۸۶۴۲</w:t>
      </w:r>
    </w:p>
    <w:p>
      <w:pPr>
        <w:pStyle w:val="BookText"/>
      </w:pPr>
      <w:r>
        <w:rPr>
          <w:rFonts w:ascii="IRNazanin" w:hAnsi="IRNazanin" w:eastAsia="IRNazanin" w:cs="IRNazanin"/>
          <w:lang w:bidi="fa-IR"/>
          <w:color w:val="111111"/>
          <w:sz w:val="28"/>
          <w:szCs w:val="28"/>
          <w:rtl/>
        </w:rPr>
        <w:t xml:space="preserve">جنگ شعر امامی با مسمطی از او با قطعات و با حساب های شخصی و یادداشت ۱ ۱ محرم ۱۳۳۲؛ خط: نستعلیق، بی کا، تا: قرن ۱۴؛ کاغذ: فرنگی، جلد: تیماج قهوه ای لایی، بیاضی کوچک حبیبی، ۲۹گ، ۲۲ سطر (۵/۷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اندازه: 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 ۱۷ - ۱۸۶]</w:t>
      </w:r>
    </w:p>
    <w:p>
      <w:pPr>
        <w:pStyle w:val="BookText"/>
      </w:pPr>
      <w:r>
        <w:rPr>
          <w:rFonts w:ascii="IRNazanin" w:hAnsi="IRNazanin" w:eastAsia="IRNazanin" w:cs="IRNazanin"/>
          <w:lang w:bidi="fa-IR"/>
          <w:color w:val="111111"/>
          <w:sz w:val="28"/>
          <w:szCs w:val="28"/>
          <w:rtl/>
        </w:rPr>
        <w:t xml:space="preserve">۱۴۱۸. قم؛ مرکز احیاء؛ شماره نسخه: ۸۶۵</w:t>
      </w:r>
    </w:p>
    <w:p>
      <w:pPr>
        <w:pStyle w:val="BookText"/>
      </w:pPr>
      <w:r>
        <w:rPr>
          <w:rFonts w:ascii="IRNazanin" w:hAnsi="IRNazanin" w:eastAsia="IRNazanin" w:cs="IRNazanin"/>
          <w:lang w:bidi="fa-IR"/>
          <w:color w:val="111111"/>
          <w:sz w:val="28"/>
          <w:szCs w:val="28"/>
          <w:rtl/>
        </w:rPr>
        <w:t xml:space="preserve">آغاز: نماز شام گرفتم چو راه لشکر گاه *** نگار سرو قد من گرفت برمن راه</w:t>
      </w:r>
    </w:p>
    <w:p>
      <w:pPr>
        <w:pStyle w:val="BookText"/>
      </w:pPr>
      <w:r>
        <w:rPr>
          <w:rFonts w:ascii="IRNazanin" w:hAnsi="IRNazanin" w:eastAsia="IRNazanin" w:cs="IRNazanin"/>
          <w:lang w:bidi="fa-IR"/>
          <w:color w:val="111111"/>
          <w:sz w:val="28"/>
          <w:szCs w:val="28"/>
          <w:rtl/>
        </w:rPr>
        <w:t xml:space="preserve">بیشتر این جنگ اشعار شمس الشعرا محمد علی بن قنبر على سروش اصفهانی است در مدح ناصرالدین شاه قاجار، شاعران دیگر این مجموعه: خلیفه صادق ،قدسی، شمس تبریزی، صائب، واقف لاهوری ،جامی، امیر خسرو،نظیری، نصرتی، اهلی شفائی؛ خط: نستعلیق، بی کا، تا: قرن ۱۴؛ جلد: دو رو تیماج رو قهوه ای پشت مشکی و عطف و حواشی مشکی، ۴۷گ، ۱۱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۳ - ۸۲]</w:t>
      </w:r>
    </w:p>
    <w:p>
      <w:pPr>
        <w:pStyle w:val="BookText"/>
      </w:pPr>
      <w:r>
        <w:rPr>
          <w:rFonts w:ascii="IRNazanin" w:hAnsi="IRNazanin" w:eastAsia="IRNazanin" w:cs="IRNazanin"/>
          <w:lang w:bidi="fa-IR"/>
          <w:color w:val="111111"/>
          <w:sz w:val="28"/>
          <w:szCs w:val="28"/>
          <w:rtl/>
        </w:rPr>
        <w:t xml:space="preserve">۱۴۱۹. کرمانشاه؛ مدرسه آیة الله بروجردی؛ شماره نسخه: ۱۰۶</w:t>
      </w:r>
    </w:p>
    <w:p>
      <w:pPr>
        <w:pStyle w:val="BookText"/>
      </w:pPr>
      <w:r>
        <w:rPr>
          <w:rFonts w:ascii="IRNazanin" w:hAnsi="IRNazanin" w:eastAsia="IRNazanin" w:cs="IRNazanin"/>
          <w:lang w:bidi="fa-IR"/>
          <w:color w:val="111111"/>
          <w:sz w:val="28"/>
          <w:szCs w:val="28"/>
          <w:rtl/>
        </w:rPr>
        <w:t xml:space="preserve">در این مجموعه که گویا از یکی از منبریان باشد، اشعار مربوط به واقعه کربلا و شهادت امام حسین علیه السلام گرد آورده شده؛ خط: نسخ، بی کا، تا: قرن ۱۴؛ افتادگی: آغاز وانجام؛ جلد: تیماج مشکی بدون مقوا، ۱۵۴گ، مختلف السطر، قطع: بیاضی، اندازه: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۷۹]</w:t>
      </w:r>
    </w:p>
    <w:p>
      <w:pPr>
        <w:pStyle w:val="BookText"/>
      </w:pPr>
      <w:r>
        <w:rPr>
          <w:rFonts w:ascii="IRNazanin" w:hAnsi="IRNazanin" w:eastAsia="IRNazanin" w:cs="IRNazanin"/>
          <w:lang w:bidi="fa-IR"/>
          <w:color w:val="111111"/>
          <w:sz w:val="28"/>
          <w:szCs w:val="28"/>
          <w:rtl/>
        </w:rPr>
        <w:t xml:space="preserve">۱۴۲۰ . مشهد؛ میبدی؛ شماره نسخه: ۱۵۴</w:t>
      </w:r>
    </w:p>
    <w:p>
      <w:pPr>
        <w:pStyle w:val="BookText"/>
      </w:pPr>
      <w:r>
        <w:rPr>
          <w:rFonts w:ascii="IRNazanin" w:hAnsi="IRNazanin" w:eastAsia="IRNazanin" w:cs="IRNazanin"/>
          <w:lang w:bidi="fa-IR"/>
          <w:color w:val="111111"/>
          <w:sz w:val="28"/>
          <w:szCs w:val="28"/>
          <w:rtl/>
        </w:rPr>
        <w:t xml:space="preserve">بیشتر این جنگ درمدایح و مراثی اهل بیت (علیهم السّلام) و گاهی اشعاری اخلاقی با عرفانی و غزلیات می باشد. شاعرانی که نام آنها را یافتیم: رجائی ،صاعد ،نظامی، فانی قصری، مضطر کرمانشاهی، ناصر الدین شاه قاجار، بابا ذاکر کرمانشاهی، جودی، یحیی ،اصفهانی، اعمی بهبهانی ،مقبل، سعدی شیرازی ،مؤمن، جوهری ،هاتف ،خلیل کرمانشاهی، ناصر خسرو، صائب، صدقی، شایق کرمانشاهی، پروین مهرانی، حیران کرمانشاهی، دره، وفائی شوشتری ،عامی ،جامی ،مفلوک ظهیر اصفهانی، سالم میرزا
</w:t>
      </w:r>
    </w:p>
    <w:p>
      <w:pPr>
        <w:sectPr>
          <w:footerReference w:type="default" r:id="rId8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گلچین؛ خط: نستعلیق، بی کا، تا: قرن ۱۴؛ جلد: گالینگور مشکـی، ۱۰۱گ، ۱۹ سطر،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۱ -۱۲۷]</w:t>
      </w:r>
    </w:p>
    <w:p>
      <w:pPr>
        <w:pStyle w:val="BookText"/>
      </w:pPr>
      <w:r>
        <w:rPr>
          <w:rFonts w:ascii="IRNazanin" w:hAnsi="IRNazanin" w:eastAsia="IRNazanin" w:cs="IRNazanin"/>
          <w:lang w:bidi="fa-IR"/>
          <w:color w:val="111111"/>
          <w:sz w:val="28"/>
          <w:szCs w:val="28"/>
          <w:rtl/>
        </w:rPr>
        <w:t xml:space="preserve">۱۴۲۱. تهران؛ دانشگاه؛ شماره نسخه: ۸۶۴۲</w:t>
      </w:r>
    </w:p>
    <w:p>
      <w:pPr>
        <w:pStyle w:val="BookText"/>
      </w:pPr>
      <w:r>
        <w:rPr>
          <w:rFonts w:ascii="IRNazanin" w:hAnsi="IRNazanin" w:eastAsia="IRNazanin" w:cs="IRNazanin"/>
          <w:lang w:bidi="fa-IR"/>
          <w:color w:val="111111"/>
          <w:sz w:val="28"/>
          <w:szCs w:val="28"/>
          <w:rtl/>
        </w:rPr>
        <w:t xml:space="preserve">جنگ شعر از امامی با مسمطی از او و با قطعات و با حساب هـای شخصی و یادداشت ۱ محرم ۱۳۳۲؛ خط: نستعلیق، بی کا، تا: قـرن ۱۴؛ کاغذ: فرنگی، جلد: تیماج قهوه ای  لایی، ۲۹گ، ۲۲ سـطر (5/7</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قطع: بیاضی کوچک جیبی، اندازه: 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17- 186]</w:t>
      </w:r>
    </w:p>
    <w:p>
      <w:pPr>
        <w:pStyle w:val="BookText"/>
      </w:pPr>
      <w:r>
        <w:rPr>
          <w:rFonts w:ascii="IRNazanin" w:hAnsi="IRNazanin" w:eastAsia="IRNazanin" w:cs="IRNazanin"/>
          <w:lang w:bidi="fa-IR"/>
          <w:color w:val="111111"/>
          <w:sz w:val="28"/>
          <w:szCs w:val="28"/>
          <w:rtl/>
        </w:rPr>
        <w:t xml:space="preserve">۱۴۲۲. قم؛ طبسی؛ شماره نسخه: ۷۲۴</w:t>
      </w:r>
    </w:p>
    <w:p>
      <w:pPr>
        <w:pStyle w:val="BookText"/>
      </w:pPr>
      <w:r>
        <w:rPr>
          <w:rFonts w:ascii="IRNazanin" w:hAnsi="IRNazanin" w:eastAsia="IRNazanin" w:cs="IRNazanin"/>
          <w:lang w:bidi="fa-IR"/>
          <w:color w:val="111111"/>
          <w:sz w:val="28"/>
          <w:szCs w:val="28"/>
          <w:rtl/>
        </w:rPr>
        <w:t xml:space="preserve">آغاز: یزید را هر آن ای خدا عذابش کن *** چه مس گداخته ساز دوباره آبش کن؛ انجام: ای ملجأ جن وبشر ادركنى ***بر اهل بیت خود نگر ادرکنی اشعاری در مصایب سيد الشهداء (علیه السّلام) و حضرت ابوالفضل (علیه السّلام) و نوحه های سینه زنی و پیش خوانی ؛خط: نستعلیق، بی کا، تا: قـ،رن۱۴؛ جلد: تیماج قهوه ای ،ضربی ،مجدول، ۱۱۱گ، مختلف السطر،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مخ: ۱- ۸۱]</w:t>
      </w:r>
    </w:p>
    <w:p>
      <w:pPr>
        <w:pStyle w:val="BookText"/>
      </w:pPr>
      <w:r>
        <w:rPr>
          <w:rFonts w:ascii="IRNazanin" w:hAnsi="IRNazanin" w:eastAsia="IRNazanin" w:cs="IRNazanin"/>
          <w:lang w:bidi="fa-IR"/>
          <w:color w:val="111111"/>
          <w:sz w:val="28"/>
          <w:szCs w:val="28"/>
          <w:rtl/>
        </w:rPr>
        <w:t xml:space="preserve">۱۴۲۳. تهران؛ مجلس؛ شماره نسخه: ۱۴۹۱/۶</w:t>
      </w:r>
    </w:p>
    <w:p>
      <w:pPr>
        <w:pStyle w:val="BookText"/>
      </w:pPr>
      <w:r>
        <w:rPr>
          <w:rFonts w:ascii="IRNazanin" w:hAnsi="IRNazanin" w:eastAsia="IRNazanin" w:cs="IRNazanin"/>
          <w:lang w:bidi="fa-IR"/>
          <w:color w:val="111111"/>
          <w:sz w:val="28"/>
          <w:szCs w:val="28"/>
          <w:rtl/>
        </w:rPr>
        <w:t xml:space="preserve">آغاز: گر تو دانا دلی و گر بینا *** بشنو پتند مردم دانا / بشنو مفتیان عالم شرع *** سخن احمد از کلام خدا؛ انجام: قرص اسکندریش میخوانند*** خوانده اندش بلقمه حکما/ پیرزن پیش تو نماید شب *** بهتر از دلبران چین و خطا</w:t>
      </w:r>
    </w:p>
    <w:p>
      <w:pPr>
        <w:pStyle w:val="BookText"/>
      </w:pPr>
      <w:r>
        <w:rPr>
          <w:rFonts w:ascii="IRNazanin" w:hAnsi="IRNazanin" w:eastAsia="IRNazanin" w:cs="IRNazanin"/>
          <w:lang w:bidi="fa-IR"/>
          <w:color w:val="111111"/>
          <w:sz w:val="28"/>
          <w:szCs w:val="28"/>
          <w:rtl/>
        </w:rPr>
        <w:t xml:space="preserve">ترکیب اسکندری به قصیده ای طبی و فارسی است؛ خط: نستعلیق، بی کا، تا: قرن ۱۴؛ متن و هامش؛ کاغذ: سفيد، جلد: تيماج ضربی و مقوایی با ترنج رنگین، ۲ص (۱۵۱-۱۵۲) [سنا: ف:2- 299]</w:t>
      </w:r>
    </w:p>
    <w:p>
      <w:pPr>
        <w:pStyle w:val="BookText"/>
      </w:pPr>
      <w:r>
        <w:rPr>
          <w:rFonts w:ascii="IRNazanin" w:hAnsi="IRNazanin" w:eastAsia="IRNazanin" w:cs="IRNazanin"/>
          <w:lang w:bidi="fa-IR"/>
          <w:color w:val="111111"/>
          <w:sz w:val="28"/>
          <w:szCs w:val="28"/>
          <w:rtl/>
        </w:rPr>
        <w:t xml:space="preserve">۱۴۲۴ . قم گلپایگانی؛ شماره :نسخه: ۵۰۸۶/۲-۲۵/۱۷۶</w:t>
      </w:r>
    </w:p>
    <w:p>
      <w:pPr>
        <w:pStyle w:val="BookText"/>
      </w:pPr>
      <w:r>
        <w:rPr>
          <w:rFonts w:ascii="IRNazanin" w:hAnsi="IRNazanin" w:eastAsia="IRNazanin" w:cs="IRNazanin"/>
          <w:lang w:bidi="fa-IR"/>
          <w:color w:val="111111"/>
          <w:sz w:val="28"/>
          <w:szCs w:val="28"/>
          <w:rtl/>
        </w:rPr>
        <w:t xml:space="preserve">آغاز:بسمله ای که از هستت بپاشد هست و نیست *** غیر هسـتت در حقیقت هست نیست/ با وجود تواست هستیها وجود *** ورنه اعدامند یکسر در شهود؛ انجام: دردمندان را دواها زو بود *** بی نوایان را نواها زو بود / بارالها با چنین جاه وجلال *** هر یکی را بود صد رنج و ملال</w:t>
      </w:r>
    </w:p>
    <w:p>
      <w:pPr>
        <w:pStyle w:val="BookText"/>
      </w:pPr>
      <w:r>
        <w:rPr>
          <w:rFonts w:ascii="IRNazanin" w:hAnsi="IRNazanin" w:eastAsia="IRNazanin" w:cs="IRNazanin"/>
          <w:lang w:bidi="fa-IR"/>
          <w:color w:val="111111"/>
          <w:sz w:val="28"/>
          <w:szCs w:val="28"/>
          <w:rtl/>
        </w:rPr>
        <w:t xml:space="preserve">مثنوی است از یکی از شعرای سده چهاردهم (گویا اهل اصفهان)، او در آن مطالبی در اخلاق و موعظه و چند حدیث جمله حدیث کسا را به نظم کشیده و در یکی از ابیات گوید که ۴۸ سال دارد این مثنوی از انجام ناتمام مانده است؛ خط: نسـخ، بی کا، تا: قرن ۱۴؛ جلد: مقوا، ۳۰گ، ۱۲ سطر، قطع: بیاض رقعی،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۶ - ۳۵۰۶]</w:t>
      </w:r>
    </w:p>
    <w:p>
      <w:pPr>
        <w:pStyle w:val="BookText"/>
      </w:pPr>
      <w:r>
        <w:rPr>
          <w:rFonts w:ascii="IRNazanin" w:hAnsi="IRNazanin" w:eastAsia="IRNazanin" w:cs="IRNazanin"/>
          <w:lang w:bidi="fa-IR"/>
          <w:color w:val="111111"/>
          <w:sz w:val="28"/>
          <w:szCs w:val="28"/>
          <w:rtl/>
        </w:rPr>
        <w:t xml:space="preserve">۱۴۲۵ . مشهد؛ رضوی؛ شماره نسخه: ۱۶۰۸۵</w:t>
      </w:r>
    </w:p>
    <w:p>
      <w:pPr>
        <w:pStyle w:val="BookText"/>
      </w:pPr>
      <w:r>
        <w:rPr>
          <w:rFonts w:ascii="IRNazanin" w:hAnsi="IRNazanin" w:eastAsia="IRNazanin" w:cs="IRNazanin"/>
          <w:lang w:bidi="fa-IR"/>
          <w:color w:val="111111"/>
          <w:sz w:val="28"/>
          <w:szCs w:val="28"/>
          <w:rtl/>
        </w:rPr>
        <w:t xml:space="preserve">آغاز: برخاست به آئین کهن مرغ شب آویز *** ای ترک خطا خیز و به طبع طرب انگیز؛ انجام: آسمان کرد سیه روز و پریشان ما را *** که چرا در خم گیسوی بتان دست زدیم.</w:t>
      </w:r>
    </w:p>
    <w:p>
      <w:pPr>
        <w:pStyle w:val="BookText"/>
      </w:pPr>
      <w:r>
        <w:rPr>
          <w:rFonts w:ascii="IRNazanin" w:hAnsi="IRNazanin" w:eastAsia="IRNazanin" w:cs="IRNazanin"/>
          <w:lang w:bidi="fa-IR"/>
          <w:color w:val="111111"/>
          <w:sz w:val="28"/>
          <w:szCs w:val="28"/>
          <w:rtl/>
        </w:rPr>
        <w:t xml:space="preserve">منتخب اشعار است شامل شش غزل و یک مسمط نسبتاً طولانی در نعت صدیقه کبری فاطمه زهرا (علیها السّلام) از صفای اصفهـانی (۱۳۲۲-۱۲۶۹ق) و دو غزل از میرزا ابوالحسن جلوه( 1238-۱۳۱۴ق) و عاشق اصفهانی (1111- 1181ق) و یک غزل از حاج ملاهادی سبزواری ،خواجوی کرمانی، شیخ بهایی، نشاط اصفهانی، صائب تبریزی، فخرالدین طلوعی عراقی؛ خط: نستعلیق ،كا: عبدالحسین بیات، تا: قرن ۱۴، برای آقای عندلیب؛ واگذاری بنیاد مستضعفان در شهریور ماه ۱۳۶۷؛ کاغذ: حنایی، ۶گ، ۲۱ سطر ،اندازه: ۱۳/۲۲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 ۱۷ - ۵۱۳]</w:t>
      </w:r>
    </w:p>
    <w:p>
      <w:pPr>
        <w:pStyle w:val="BookText"/>
      </w:pPr>
      <w:r>
        <w:rPr>
          <w:rFonts w:ascii="IRNazanin" w:hAnsi="IRNazanin" w:eastAsia="IRNazanin" w:cs="IRNazanin"/>
          <w:lang w:bidi="fa-IR"/>
          <w:color w:val="111111"/>
          <w:sz w:val="28"/>
          <w:szCs w:val="28"/>
          <w:rtl/>
        </w:rPr>
        <w:t xml:space="preserve">۱۴۲۶. یزد؛ کاظمینی؛ شماره نسخه: ۲۱۱</w:t>
      </w:r>
    </w:p>
    <w:p>
      <w:pPr>
        <w:pStyle w:val="BookText"/>
      </w:pPr>
      <w:r>
        <w:rPr>
          <w:rFonts w:ascii="IRNazanin" w:hAnsi="IRNazanin" w:eastAsia="IRNazanin" w:cs="IRNazanin"/>
          <w:lang w:bidi="fa-IR"/>
          <w:color w:val="111111"/>
          <w:sz w:val="28"/>
          <w:szCs w:val="28"/>
          <w:rtl/>
        </w:rPr>
        <w:t xml:space="preserve">آغاز: شورش محشر به پا سرو علن *** روز و شب نالان و گریان مرد و زن / اول آن شه را بسی تعجیل بود *** دیده ها گریان چو رود نیل بود؛ انجام: فاشربوا في الحب اكواب البلا *** شرب غفار البها روح الولا</w:t>
      </w:r>
    </w:p>
    <w:p>
      <w:pPr>
        <w:pStyle w:val="BookText"/>
      </w:pPr>
      <w:r>
        <w:rPr>
          <w:rFonts w:ascii="IRNazanin" w:hAnsi="IRNazanin" w:eastAsia="IRNazanin" w:cs="IRNazanin"/>
          <w:lang w:bidi="fa-IR"/>
          <w:color w:val="111111"/>
          <w:sz w:val="28"/>
          <w:szCs w:val="28"/>
          <w:rtl/>
        </w:rPr>
        <w:t xml:space="preserve">اشعار بهائیت است. مسافرت حسینعلی بهاء الله از بغداد و نزول در فریجان و نیز مثنوی نبیل در مسافرت بهاء از بلاد نور و مسافرتش به ترکیه و ادرنه به سال ۱۲۸۵ و دیگر شرح گرفتارهای او؛ خط: نستعلیق، بی کا، تا: قرن ۱۴؛ افتادگی: آغاز؛ جلد: مقوایی، عطف گوشه هاپارچه ای قرمز، ۳۰گ، مختلف السطر،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۱ - ۱۸۴]</w:t>
      </w:r>
    </w:p>
    <w:p>
      <w:pPr>
        <w:pStyle w:val="BookText"/>
      </w:pPr>
      <w:r>
        <w:rPr>
          <w:rFonts w:ascii="IRNazanin" w:hAnsi="IRNazanin" w:eastAsia="IRNazanin" w:cs="IRNazanin"/>
          <w:lang w:bidi="fa-IR"/>
          <w:color w:val="111111"/>
          <w:sz w:val="28"/>
          <w:szCs w:val="28"/>
          <w:rtl/>
        </w:rPr>
        <w:t xml:space="preserve">۱۴۲۷. قم؛ گلپایگانی؛ شماره نسخه: ۳۲۰۵-۱۶/۲۱۵</w:t>
      </w:r>
    </w:p>
    <w:p>
      <w:pPr>
        <w:pStyle w:val="BookText"/>
      </w:pPr>
      <w:r>
        <w:rPr>
          <w:rFonts w:ascii="IRNazanin" w:hAnsi="IRNazanin" w:eastAsia="IRNazanin" w:cs="IRNazanin"/>
          <w:lang w:bidi="fa-IR"/>
          <w:color w:val="111111"/>
          <w:sz w:val="28"/>
          <w:szCs w:val="28"/>
          <w:rtl/>
        </w:rPr>
        <w:t xml:space="preserve">آغاز: مرغ صید توام افتاده ام در دام عشق *** یا بکش با دانه ای یا از قفس آزاد کن / ای لعل لبت پسته خندان کسی *** وی نخل قدت سرو خرامان کسی؛ انجام: قدح پرکن که من از دولت عشق *** جوانبخت جهانم گرچه پیرم/ مبادا جز حساب مطرب و می*** که ذکر غیر گم شد از ضمیرم بیاضی است که برگ های آن به دوستون جدول کشی و هر ستون به سطرهایی به صورت چلیپایی تقسیم شده ولی اغلب برگ های جنگ بعد از جدول کشی سفید مانده و فقط چند برگ آغاز و انجام آن تحریر تحریر شده است در آن سؤال و جواب لیلی، مخمس شیخ بهایی و اشعاری از چند شاعر دیگر که نامشان ذکر نشده؛ خط: نستعلیق شکسته، بی کا، تا: قرن ۱۴؛ جلد: تیماج قهوه ای ضربی مجدول با حاشیه و عطف مجدول گرهی ضربی، ۲۴گ، ۱۲-۹ سطر، قطع: بیاض رقعی،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۳ - ۱۲۵۰]</w:t>
      </w:r>
    </w:p>
    <w:p>
      <w:pPr>
        <w:pStyle w:val="BookText"/>
      </w:pPr>
      <w:r>
        <w:rPr>
          <w:rFonts w:ascii="IRNazanin" w:hAnsi="IRNazanin" w:eastAsia="IRNazanin" w:cs="IRNazanin"/>
          <w:lang w:bidi="fa-IR"/>
          <w:color w:val="111111"/>
          <w:sz w:val="28"/>
          <w:szCs w:val="28"/>
          <w:rtl/>
        </w:rPr>
        <w:t xml:space="preserve">۱۴۲۸. قم؛ گلپایگانی؛ شماره نسخه: ۳۴۷۱-۱۷/۲۵۱</w:t>
      </w:r>
    </w:p>
    <w:p>
      <w:pPr>
        <w:pStyle w:val="BookText"/>
      </w:pPr>
      <w:r>
        <w:rPr>
          <w:rFonts w:ascii="IRNazanin" w:hAnsi="IRNazanin" w:eastAsia="IRNazanin" w:cs="IRNazanin"/>
          <w:lang w:bidi="fa-IR"/>
          <w:color w:val="111111"/>
          <w:sz w:val="28"/>
          <w:szCs w:val="28"/>
          <w:rtl/>
        </w:rPr>
        <w:t xml:space="preserve">آغاز: بس رنجها به یاد کشیدم خدا دلم *** آخر به کام دل نرسیدم خدا دلم / بس رنجها به پای خریدم خدا دلم *** یک گل زعارض تو نچیدم خدا دلم؛ انجام: من از تو سیر نگردم اگر ترش کنی ابرو*** جواب تلخ زشیرین مقابل شکر آید</w:t>
      </w:r>
    </w:p>
    <w:p>
      <w:pPr>
        <w:pStyle w:val="BookText"/>
      </w:pPr>
      <w:r>
        <w:rPr>
          <w:rFonts w:ascii="IRNazanin" w:hAnsi="IRNazanin" w:eastAsia="IRNazanin" w:cs="IRNazanin"/>
          <w:lang w:bidi="fa-IR"/>
          <w:color w:val="111111"/>
          <w:sz w:val="28"/>
          <w:szCs w:val="28"/>
          <w:rtl/>
        </w:rPr>
        <w:t xml:space="preserve">بیاضی است شامل اشعار و غزلیاتی از شاعران پارسی گوی که نامشان ذکر نشده است ؛خط:شکسته، نستعلیق، بی کا، تا: قرن ۱۴؛ افتادگی: انجام ؛جلد: تیماج آلبالویی جدول دار ضربی عطف تيماج مشكى فاقد طبله ی اول ۹۳گ ۱۰ سطر چلیپایی و ساده، قطع: بیاض ،رقعی، اندازه: 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۱۰سم [ف: ۳ - ۱۲۵۳]</w:t>
      </w:r>
    </w:p>
    <w:p>
      <w:pPr>
        <w:pStyle w:val="BookText"/>
      </w:pPr>
      <w:r>
        <w:rPr>
          <w:rFonts w:ascii="IRNazanin" w:hAnsi="IRNazanin" w:eastAsia="IRNazanin" w:cs="IRNazanin"/>
          <w:lang w:bidi="fa-IR"/>
          <w:color w:val="111111"/>
          <w:sz w:val="28"/>
          <w:szCs w:val="28"/>
          <w:rtl/>
        </w:rPr>
        <w:t xml:space="preserve">۱۴۲۹ . قم؛ گلپایگانی؛ شماره نسخه: ۳۴۷۰-۱۷/۲۵۰</w:t>
      </w:r>
    </w:p>
    <w:p>
      <w:pPr>
        <w:pStyle w:val="BookText"/>
      </w:pPr>
      <w:r>
        <w:rPr>
          <w:rFonts w:ascii="IRNazanin" w:hAnsi="IRNazanin" w:eastAsia="IRNazanin" w:cs="IRNazanin"/>
          <w:lang w:bidi="fa-IR"/>
          <w:color w:val="111111"/>
          <w:sz w:val="28"/>
          <w:szCs w:val="28"/>
          <w:rtl/>
        </w:rPr>
        <w:t xml:space="preserve">آغاز: آن شود یارب به دیدارت رسانم دیده را *** شادمان سازم
</w:t>
      </w:r>
    </w:p>
    <w:p>
      <w:pPr>
        <w:sectPr>
          <w:footerReference w:type="default" r:id="rId8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زمانی این دل غمدیده را؛ انجام: گرمسلمانی از این است حافظ دارد *** آه اگر از پس امروز بود فردایی / ناگهان پرده برانداخته ای یعنی چه *** مست از خانه برون تاخته ای یعنی چه</w:t>
      </w:r>
    </w:p>
    <w:p>
      <w:pPr>
        <w:pStyle w:val="BookText"/>
      </w:pPr>
      <w:r>
        <w:rPr>
          <w:rFonts w:ascii="IRNazanin" w:hAnsi="IRNazanin" w:eastAsia="IRNazanin" w:cs="IRNazanin"/>
          <w:lang w:bidi="fa-IR"/>
          <w:color w:val="111111"/>
          <w:sz w:val="28"/>
          <w:szCs w:val="28"/>
          <w:rtl/>
        </w:rPr>
        <w:t xml:space="preserve">بیاضی است شامل اشعار و غزلیاتی از: حافظ ،جامی ،هما، سعدی ،عامی، میرزا شهاب ،مخلص ،تاراج، عاشق و انوری؛ خط: نسح تحریری، بی کا، تا: قرن ۱۴؛ افتادگی: آغاز و انجام؛ جلد: تیماج قهوه ای ضربی ،مجدول، ۱۳۵گ، مختلف السطر، قطع: بياض رقعی، اندازه: 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۱۰سم [ف: ۳ - ۱۲۴۳]</w:t>
      </w:r>
    </w:p>
    <w:p>
      <w:pPr>
        <w:pStyle w:val="BookText"/>
      </w:pPr>
      <w:r>
        <w:rPr>
          <w:rFonts w:ascii="IRNazanin" w:hAnsi="IRNazanin" w:eastAsia="IRNazanin" w:cs="IRNazanin"/>
          <w:lang w:bidi="fa-IR"/>
          <w:color w:val="111111"/>
          <w:sz w:val="28"/>
          <w:szCs w:val="28"/>
          <w:rtl/>
        </w:rPr>
        <w:t xml:space="preserve">۱۴۳۰. قم؛ گلپایگانی؛ شماره نسخه: ۴۶۷۹-۲۳/۱۹۹</w:t>
      </w:r>
    </w:p>
    <w:p>
      <w:pPr>
        <w:pStyle w:val="BookText"/>
      </w:pPr>
      <w:r>
        <w:rPr>
          <w:rFonts w:ascii="IRNazanin" w:hAnsi="IRNazanin" w:eastAsia="IRNazanin" w:cs="IRNazanin"/>
          <w:lang w:bidi="fa-IR"/>
          <w:color w:val="111111"/>
          <w:sz w:val="28"/>
          <w:szCs w:val="28"/>
          <w:rtl/>
        </w:rPr>
        <w:t xml:space="preserve">آغاز: زبان گردش کند اندر دهانم*** برم نام خداوند جهانم / خداوندی که حی و هم قدیر است *** به هر چیز توانی بی نظیر است؛ انجام: راز از همه ناکسان نهان باید داشت *** اسرار نهان را پنهان باید داشت / بنگر که به جای مردمان می چه کنی *** چشم از همه مردمان نهان باید داشت جنگی است متفرقه که در آن اشعاری از مثنوی و سعدی و حافظ و چند شاعر دیگر جمع آوری شده؛ خط: شکسته، تحریری،بی کا، تا: قرن ۱۴، جلد: تیماج و عطف تیماج مشکی، ۲۴گ،16 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۳ - ۱۲۵۱]</w:t>
      </w:r>
    </w:p>
    <w:p>
      <w:pPr>
        <w:pStyle w:val="BookText"/>
      </w:pPr>
      <w:r>
        <w:rPr>
          <w:rFonts w:ascii="IRNazanin" w:hAnsi="IRNazanin" w:eastAsia="IRNazanin" w:cs="IRNazanin"/>
          <w:lang w:bidi="fa-IR"/>
          <w:color w:val="111111"/>
          <w:sz w:val="28"/>
          <w:szCs w:val="28"/>
          <w:rtl/>
        </w:rPr>
        <w:t xml:space="preserve">۱۴۳۱. قم؛ طبسی؛ شماره نسخه: ۶۷۵</w:t>
      </w:r>
    </w:p>
    <w:p>
      <w:pPr>
        <w:pStyle w:val="BookText"/>
      </w:pPr>
      <w:r>
        <w:rPr>
          <w:rFonts w:ascii="IRNazanin" w:hAnsi="IRNazanin" w:eastAsia="IRNazanin" w:cs="IRNazanin"/>
          <w:lang w:bidi="fa-IR"/>
          <w:color w:val="111111"/>
          <w:sz w:val="28"/>
          <w:szCs w:val="28"/>
          <w:rtl/>
        </w:rPr>
        <w:t xml:space="preserve">آغاز: قصيده في مدح النبي وفاطمه - آفتاب وجود اهل صفا*** وان امام مبين والی خدا / آن امامین که قایم است بحق *** در زمین و زمان ارض و سماء؛ انجام: ز آتش کر امان خواهی و عـمر جاودان خواهی *** بهشت و حوریان خواهی بکو صلوات پیغمبر</w:t>
      </w:r>
    </w:p>
    <w:p>
      <w:pPr>
        <w:pStyle w:val="BookText"/>
      </w:pPr>
      <w:r>
        <w:rPr>
          <w:rFonts w:ascii="IRNazanin" w:hAnsi="IRNazanin" w:eastAsia="IRNazanin" w:cs="IRNazanin"/>
          <w:lang w:bidi="fa-IR"/>
          <w:color w:val="111111"/>
          <w:sz w:val="28"/>
          <w:szCs w:val="28"/>
          <w:rtl/>
        </w:rPr>
        <w:t xml:space="preserve">بیاضی است شامل اشعار مدایح و مراثی ائمه اطهار و حضر زهرا (علیها السّلام) و پیامبر اکرم (صلّی اللَّهِ علیه وَ آلِهِ وَ سَلَّمَ ) خصوصاً درباره حضرت امام حسین (علیه السّلام) برگرفته از شعرای مختلف؛ خط: نستعلیق، بی کا،تا: قرن ۱۴؛ جلد: تیماج قهوه ای ضربی با ترنج مجدول گرهی، ۱۷۵گ، ۱۷ سطر، اندازه ۱۰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۲۰سم [مخ: ۱ - ۸۳] ،</w:t>
      </w:r>
    </w:p>
    <w:p>
      <w:pPr>
        <w:pStyle w:val="BookText"/>
      </w:pPr>
      <w:r>
        <w:rPr>
          <w:rFonts w:ascii="IRNazanin" w:hAnsi="IRNazanin" w:eastAsia="IRNazanin" w:cs="IRNazanin"/>
          <w:lang w:bidi="fa-IR"/>
          <w:color w:val="111111"/>
          <w:sz w:val="28"/>
          <w:szCs w:val="28"/>
          <w:rtl/>
        </w:rPr>
        <w:t xml:space="preserve">۱۴۳۲. تهران؛ ملک؛ شماره نسخه: ۶۴۴۹/۹</w:t>
      </w:r>
    </w:p>
    <w:p>
      <w:pPr>
        <w:pStyle w:val="BookText"/>
      </w:pPr>
      <w:r>
        <w:rPr>
          <w:rFonts w:ascii="IRNazanin" w:hAnsi="IRNazanin" w:eastAsia="IRNazanin" w:cs="IRNazanin"/>
          <w:lang w:bidi="fa-IR"/>
          <w:color w:val="111111"/>
          <w:sz w:val="28"/>
          <w:szCs w:val="28"/>
          <w:rtl/>
        </w:rPr>
        <w:t xml:space="preserve">اشعار منسوب به امیرالمؤمنین از گوهری منظوم: حسن الی من شئت تكن امیره ... ؛خط: نستعلیق، کا: محمد ابراهیم گوهری،تا: قرن ۱۴؛ جدول شنگرف ،کاغذ: فرنگی ،جلد: میشن قرمز ضربی [ ف: ۹ - ۳۹۷]</w:t>
      </w:r>
    </w:p>
    <w:p>
      <w:pPr>
        <w:pStyle w:val="BookText"/>
      </w:pPr>
      <w:r>
        <w:rPr>
          <w:rFonts w:ascii="IRNazanin" w:hAnsi="IRNazanin" w:eastAsia="IRNazanin" w:cs="IRNazanin"/>
          <w:lang w:bidi="fa-IR"/>
          <w:color w:val="111111"/>
          <w:sz w:val="28"/>
          <w:szCs w:val="28"/>
          <w:rtl/>
        </w:rPr>
        <w:t xml:space="preserve">۱۴۳۳. خوانسار؛ فاضل؛ شماره نسخه: ۴۸۳</w:t>
      </w:r>
    </w:p>
    <w:p>
      <w:pPr>
        <w:pStyle w:val="BookText"/>
      </w:pPr>
      <w:r>
        <w:rPr>
          <w:rFonts w:ascii="IRNazanin" w:hAnsi="IRNazanin" w:eastAsia="IRNazanin" w:cs="IRNazanin"/>
          <w:lang w:bidi="fa-IR"/>
          <w:color w:val="111111"/>
          <w:sz w:val="28"/>
          <w:szCs w:val="28"/>
          <w:rtl/>
        </w:rPr>
        <w:t xml:space="preserve">در این مجموعه اشعار مختلفی از شعرای قدیم نظیر سنائی و شمس و شعرای جدید نظیر آمیرزا یحیی ،کاتب، صامت، عبرت، نور علی شاه، شاه طاهر و ... گرد آمده است؛ خط: نستعلیق، کا: رجبعلی، تا: قرن ۱۴؛ بعضی از اشعار تصحیح شده، در برگ  اول چند تاریخ تولد به سال های ۱۳۱۰، ۱۳۱۷، ۱۳۳۲ و غیره دیده می شود؛ جلد: تیماج قهوه ای مجدول، ۸۹گ، مختلف السطر ،اندازه: ۱۷</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۲۲سم [ف: ۲ - ۱۳۳]</w:t>
      </w:r>
    </w:p>
    <w:p>
      <w:pPr>
        <w:pStyle w:val="BookText"/>
      </w:pPr>
      <w:r>
        <w:rPr>
          <w:rFonts w:ascii="IRNazanin" w:hAnsi="IRNazanin" w:eastAsia="IRNazanin" w:cs="IRNazanin"/>
          <w:lang w:bidi="fa-IR"/>
          <w:color w:val="111111"/>
          <w:sz w:val="28"/>
          <w:szCs w:val="28"/>
          <w:rtl/>
        </w:rPr>
        <w:t xml:space="preserve">۱۴۳۴. قم؛ گلپایگانی؛ شماره نسخه: ۲۰۷۲-۱۱/۱۷۲</w:t>
      </w:r>
    </w:p>
    <w:p>
      <w:pPr>
        <w:pStyle w:val="BookText"/>
      </w:pPr>
      <w:r>
        <w:rPr>
          <w:rFonts w:ascii="IRNazanin" w:hAnsi="IRNazanin" w:eastAsia="IRNazanin" w:cs="IRNazanin"/>
          <w:lang w:bidi="fa-IR"/>
          <w:color w:val="111111"/>
          <w:sz w:val="28"/>
          <w:szCs w:val="28"/>
          <w:rtl/>
        </w:rPr>
        <w:t xml:space="preserve">آغاز: بنام خداوند جان آفرین *** حکیم سخن در زبان آفرین؛</w:t>
      </w:r>
    </w:p>
    <w:p>
      <w:pPr>
        <w:pStyle w:val="BookText"/>
      </w:pPr>
      <w:r>
        <w:rPr>
          <w:rFonts w:ascii="IRNazanin" w:hAnsi="IRNazanin" w:eastAsia="IRNazanin" w:cs="IRNazanin"/>
          <w:lang w:bidi="fa-IR"/>
          <w:color w:val="111111"/>
          <w:sz w:val="28"/>
          <w:szCs w:val="28"/>
          <w:rtl/>
        </w:rPr>
        <w:t xml:space="preserve">انجام: دوستی از دشمن معنی مجوی *** آب حیات ازدم افعی مجوی</w:t>
      </w:r>
    </w:p>
    <w:p>
      <w:pPr>
        <w:pStyle w:val="BookText"/>
      </w:pPr>
      <w:r>
        <w:rPr>
          <w:rFonts w:ascii="IRNazanin" w:hAnsi="IRNazanin" w:eastAsia="IRNazanin" w:cs="IRNazanin"/>
          <w:lang w:bidi="fa-IR"/>
          <w:color w:val="111111"/>
          <w:sz w:val="28"/>
          <w:szCs w:val="28"/>
          <w:rtl/>
        </w:rPr>
        <w:t xml:space="preserve">جنگی است فراهم آمده از اشعار شاعران پارسی گوی، از جمله: فردوسی، سعدی، فتحعلی خان صبا، جلال الدین فراهانی، شیخ عطار، امیر خسرو دهلوی، اسدی طوسی، افضل کاشی و نظامی؛ خط: نستعلیق، بی کا، تا: قرن ۱۴؛ ۲۶گ، ۱۱ 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٣ - ١٢٣١]</w:t>
      </w:r>
    </w:p>
    <w:p>
      <w:pPr>
        <w:pStyle w:val="BookText"/>
      </w:pPr>
      <w:r>
        <w:rPr>
          <w:rFonts w:ascii="IRNazanin" w:hAnsi="IRNazanin" w:eastAsia="IRNazanin" w:cs="IRNazanin"/>
          <w:lang w:bidi="fa-IR"/>
          <w:color w:val="111111"/>
          <w:sz w:val="28"/>
          <w:szCs w:val="28"/>
          <w:rtl/>
        </w:rPr>
        <w:t xml:space="preserve">۱۴۳۵. قم گلپایگانی؛ شماره نسخه: ۲۲۷۵-۱۲/۱۶۵</w:t>
      </w:r>
    </w:p>
    <w:p>
      <w:pPr>
        <w:pStyle w:val="BookText"/>
      </w:pPr>
      <w:r>
        <w:rPr>
          <w:rFonts w:ascii="IRNazanin" w:hAnsi="IRNazanin" w:eastAsia="IRNazanin" w:cs="IRNazanin"/>
          <w:lang w:bidi="fa-IR"/>
          <w:color w:val="111111"/>
          <w:sz w:val="28"/>
          <w:szCs w:val="28"/>
          <w:rtl/>
        </w:rPr>
        <w:t xml:space="preserve">آغاز: ای ز مهرت دل خراب آباد *** وزغمت جان مستمندان شاد /طاق ابروت قبله خسرو *** چشم جادوت فتنه فرهاد؛ انجام: گوی وفا بمالک اشتر نمیدهم *** در بندگی خراج بقنبر نمیدهم *** هستم امیدوار که یاور کند علی.</w:t>
      </w:r>
    </w:p>
    <w:p>
      <w:pPr>
        <w:pStyle w:val="BookText"/>
      </w:pPr>
      <w:r>
        <w:rPr>
          <w:rFonts w:ascii="IRNazanin" w:hAnsi="IRNazanin" w:eastAsia="IRNazanin" w:cs="IRNazanin"/>
          <w:lang w:bidi="fa-IR"/>
          <w:color w:val="111111"/>
          <w:sz w:val="28"/>
          <w:szCs w:val="28"/>
          <w:rtl/>
        </w:rPr>
        <w:t xml:space="preserve">جنگی است که در قرن ۱۴ تنظیم شده شامل این مطالب: ترجیع بند شاه نعمت الله ولی، منقبت من كلام ابن حسام، مخمس مولد من کلام ابن حسام در مدح علی (علیه السّلام)؛ خط: نستعلیق، بی کا، تا: قرن ۱۴؛ جلد: تیماج قهوه ای، ۲۳گ، ۱۱ سطر،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[ف:3- 1226]</w:t>
      </w:r>
    </w:p>
    <w:p>
      <w:pPr>
        <w:pStyle w:val="BookText"/>
      </w:pPr>
      <w:r>
        <w:rPr>
          <w:rFonts w:ascii="IRNazanin" w:hAnsi="IRNazanin" w:eastAsia="IRNazanin" w:cs="IRNazanin"/>
          <w:lang w:bidi="fa-IR"/>
          <w:color w:val="111111"/>
          <w:sz w:val="28"/>
          <w:szCs w:val="28"/>
          <w:rtl/>
        </w:rPr>
        <w:t xml:space="preserve">۱۴۳۶ . قم؛ گلپایگانی؛ شماره نسخه: ۷۷۳۴-۳۹/۱۱۴</w:t>
      </w:r>
    </w:p>
    <w:p>
      <w:pPr>
        <w:pStyle w:val="BookText"/>
      </w:pPr>
      <w:r>
        <w:rPr>
          <w:rFonts w:ascii="IRNazanin" w:hAnsi="IRNazanin" w:eastAsia="IRNazanin" w:cs="IRNazanin"/>
          <w:lang w:bidi="fa-IR"/>
          <w:color w:val="111111"/>
          <w:sz w:val="28"/>
          <w:szCs w:val="28"/>
          <w:rtl/>
        </w:rPr>
        <w:t xml:space="preserve">آغاز: چون بلبل مست راه در بستان یافت *** روی گل و جام باده را خندان یافت؛ انجام: گر توای قارون گدای درگه اونیستی *** از کجا این گنجهای شایگان آورده ای / بود چون قاصر زبان در مدحت اوزان سبب *** زرگرا ذکر دعایش در زبان آورده ای</w:t>
      </w:r>
    </w:p>
    <w:p>
      <w:pPr>
        <w:pStyle w:val="BookText"/>
      </w:pPr>
      <w:r>
        <w:rPr>
          <w:rFonts w:ascii="IRNazanin" w:hAnsi="IRNazanin" w:eastAsia="IRNazanin" w:cs="IRNazanin"/>
          <w:lang w:bidi="fa-IR"/>
          <w:color w:val="111111"/>
          <w:sz w:val="28"/>
          <w:szCs w:val="28"/>
          <w:rtl/>
        </w:rPr>
        <w:t xml:space="preserve">جنگی است شامل رباعیات باباطاهر و خیام و دیگران و یادداشت های پراکنده تاریخی، نظم و ترتیب خاصی ندارد؛ خط: نستعلیق، بی کا، تا: قرن ۱۴؛ جلد: مقوا عطف گالینگور، ۵۰گ، ۲۴ سطر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۳ - ۱۲۳۲]</w:t>
      </w:r>
    </w:p>
    <w:p>
      <w:pPr>
        <w:pStyle w:val="BookText"/>
      </w:pPr>
      <w:r>
        <w:rPr>
          <w:rFonts w:ascii="IRNazanin" w:hAnsi="IRNazanin" w:eastAsia="IRNazanin" w:cs="IRNazanin"/>
          <w:lang w:bidi="fa-IR"/>
          <w:color w:val="111111"/>
          <w:sz w:val="28"/>
          <w:szCs w:val="28"/>
          <w:rtl/>
        </w:rPr>
        <w:t xml:space="preserve">۱۴۳۷ . مشهد؛ رضوی؛ شماره نسخه: ۴۵۱۴</w:t>
      </w:r>
    </w:p>
    <w:p>
      <w:pPr>
        <w:pStyle w:val="BookText"/>
      </w:pPr>
      <w:r>
        <w:rPr>
          <w:rFonts w:ascii="IRNazanin" w:hAnsi="IRNazanin" w:eastAsia="IRNazanin" w:cs="IRNazanin"/>
          <w:lang w:bidi="fa-IR"/>
          <w:color w:val="111111"/>
          <w:sz w:val="28"/>
          <w:szCs w:val="28"/>
          <w:rtl/>
        </w:rPr>
        <w:t xml:space="preserve">آغاز: این کتابچه ایست که در او از شعرهای خوب و ابیات مرغوب نوشته می شود ؛انجام: نه طاقت هجران و نه امید وصال *** نه فایده ازناله نه... منتخباتی است از شعرای مختلف و قسمتی از آن اشعاری است از میرزا رضا خان نایینی متخلص به رضوان به خط خود او؛ خط: شکسته نستعلیق، بی کا، تا: قرن ۱۴؛ واقف: نایینی؛ کاغذ: سفید فرنگی ،جلد: پارچه ای، ۸۰گ، مختلف السطر، 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۱۶/۵سم [ف: ۷ - ۲۸۶]</w:t>
      </w:r>
    </w:p>
    <w:p>
      <w:pPr>
        <w:pStyle w:val="BookText"/>
      </w:pPr>
      <w:r>
        <w:rPr>
          <w:rFonts w:ascii="IRNazanin" w:hAnsi="IRNazanin" w:eastAsia="IRNazanin" w:cs="IRNazanin"/>
          <w:lang w:bidi="fa-IR"/>
          <w:color w:val="111111"/>
          <w:sz w:val="28"/>
          <w:szCs w:val="28"/>
          <w:rtl/>
        </w:rPr>
        <w:t xml:space="preserve">۱۴۳۸. مشهد؛ رضوی؛ شماره نسخه: ۴۹۰۰</w:t>
      </w:r>
    </w:p>
    <w:p>
      <w:pPr>
        <w:pStyle w:val="BookText"/>
      </w:pPr>
      <w:r>
        <w:rPr>
          <w:rFonts w:ascii="IRNazanin" w:hAnsi="IRNazanin" w:eastAsia="IRNazanin" w:cs="IRNazanin"/>
          <w:lang w:bidi="fa-IR"/>
          <w:color w:val="111111"/>
          <w:sz w:val="28"/>
          <w:szCs w:val="28"/>
          <w:rtl/>
        </w:rPr>
        <w:t xml:space="preserve">آغاز: الحمد لله رب العالمين والصلوة والسلام على محمد؛ انجام: تامرا یکباره چون مجنون کند*** خورد و خواب از خاطرم بیرون کند.</w:t>
      </w:r>
    </w:p>
    <w:p>
      <w:pPr>
        <w:pStyle w:val="BookText"/>
      </w:pPr>
      <w:r>
        <w:rPr>
          <w:rFonts w:ascii="IRNazanin" w:hAnsi="IRNazanin" w:eastAsia="IRNazanin" w:cs="IRNazanin"/>
          <w:lang w:bidi="fa-IR"/>
          <w:color w:val="111111"/>
          <w:sz w:val="28"/>
          <w:szCs w:val="28"/>
          <w:rtl/>
        </w:rPr>
        <w:t xml:space="preserve">مشتمل بر سه قطعه از رفعت و دو قصیده و یک مثنوی که به تقلید نان و حلوای شیخ بهائی گفته شده و موسوم به سوانح ایام فراق از صبا و هفت بیت مثنوی و یک غزل از رفعت، صبای مزبور غیر از صبای کاشی و رفعت نیز غیر از رفعت سمنانی است، آغاز: «تا
</w:t>
      </w:r>
    </w:p>
    <w:p>
      <w:pPr>
        <w:sectPr>
          <w:footerReference w:type="default" r:id="rId8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رخی عروسی بندگان خدایگان مقرب الخاقانی آصفجاهی میـرزا محمد يوسف دام اقباله العالی. بشارت باد ایدل کاندرین دیرکهن از نو ***کنون صاحب شکوهی شد بساط خرمی گستر»، انجـام: «اسیر ناوک ناز تو قدسیان به ازل *** قتیل غمزه قهر تو عاشقان به الست»؛ خط: نسخ و شکسته نستعلیق خوش، بی کا، تا: قرن 14؛ مجدول؛ واقف: نایینی ،کاغذ: نوعی ترمه، جلد: پارچه ای، ۲۳گ، ۱۵ سطر (۷/۶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۸/۱۳) ، اندازه: ۱۳/۶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۷ - ۲۸۸]</w:t>
      </w:r>
    </w:p>
    <w:p>
      <w:pPr>
        <w:pStyle w:val="BookText"/>
      </w:pPr>
      <w:r>
        <w:rPr>
          <w:rFonts w:ascii="IRNazanin" w:hAnsi="IRNazanin" w:eastAsia="IRNazanin" w:cs="IRNazanin"/>
          <w:lang w:bidi="fa-IR"/>
          <w:color w:val="111111"/>
          <w:sz w:val="28"/>
          <w:szCs w:val="28"/>
          <w:rtl/>
        </w:rPr>
        <w:t xml:space="preserve">۱۴۳۹ . شیراز؛ شاهچراغ؛ شماره نسخه: ۲۶۶</w:t>
      </w:r>
    </w:p>
    <w:p>
      <w:pPr>
        <w:pStyle w:val="BookText"/>
      </w:pPr>
      <w:r>
        <w:rPr>
          <w:rFonts w:ascii="IRNazanin" w:hAnsi="IRNazanin" w:eastAsia="IRNazanin" w:cs="IRNazanin"/>
          <w:lang w:bidi="fa-IR"/>
          <w:color w:val="111111"/>
          <w:sz w:val="28"/>
          <w:szCs w:val="28"/>
          <w:rtl/>
        </w:rPr>
        <w:t xml:space="preserve">اشعاری درمدح و مصائب اهل بیت (علیه السّلام) از: اختر طوسی، جیحون، سامعی ،شکوهی، راقب (راغب) ،مظهر، فدائی، طالعـی، عرفی، شایق، خاکسار و پروین؛ خط: نستعلیق، بی کا، تا: قرن14؛ ۴۰گ،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۳ - ۲۷]</w:t>
      </w:r>
    </w:p>
    <w:p>
      <w:pPr>
        <w:pStyle w:val="BookText"/>
      </w:pPr>
      <w:r>
        <w:rPr>
          <w:rFonts w:ascii="IRNazanin" w:hAnsi="IRNazanin" w:eastAsia="IRNazanin" w:cs="IRNazanin"/>
          <w:lang w:bidi="fa-IR"/>
          <w:color w:val="111111"/>
          <w:sz w:val="28"/>
          <w:szCs w:val="28"/>
          <w:rtl/>
        </w:rPr>
        <w:t xml:space="preserve">۱۴۴۰ . مشهد؛ مدیر شانه چی؛ شماره نسخه: ۸</w:t>
      </w:r>
    </w:p>
    <w:p>
      <w:pPr>
        <w:pStyle w:val="BookText"/>
      </w:pPr>
      <w:r>
        <w:rPr>
          <w:rFonts w:ascii="IRNazanin" w:hAnsi="IRNazanin" w:eastAsia="IRNazanin" w:cs="IRNazanin"/>
          <w:lang w:bidi="fa-IR"/>
          <w:color w:val="111111"/>
          <w:sz w:val="28"/>
          <w:szCs w:val="28"/>
          <w:rtl/>
        </w:rPr>
        <w:t xml:space="preserve">جنگ شعرهای فارسی صفاعلی شاه و صاحب ؛خط: نستعليق، بی کا، تا: قرن ۱۴؛ نستعلیق مانند نسخ؛ قطع: ربعی[ نشریه: ۵ - 585]</w:t>
      </w:r>
    </w:p>
    <w:p>
      <w:pPr>
        <w:pStyle w:val="BookText"/>
      </w:pPr>
      <w:r>
        <w:rPr>
          <w:rFonts w:ascii="IRNazanin" w:hAnsi="IRNazanin" w:eastAsia="IRNazanin" w:cs="IRNazanin"/>
          <w:lang w:bidi="fa-IR"/>
          <w:color w:val="111111"/>
          <w:sz w:val="28"/>
          <w:szCs w:val="28"/>
          <w:rtl/>
        </w:rPr>
        <w:t xml:space="preserve">۱۴۴۱. قم؛ گلپایگانی؛ شماره نسخه: ۲۹۷۷-۱۵/۲۱۷</w:t>
      </w:r>
    </w:p>
    <w:p>
      <w:pPr>
        <w:pStyle w:val="BookText"/>
      </w:pPr>
      <w:r>
        <w:rPr>
          <w:rFonts w:ascii="IRNazanin" w:hAnsi="IRNazanin" w:eastAsia="IRNazanin" w:cs="IRNazanin"/>
          <w:lang w:bidi="fa-IR"/>
          <w:color w:val="111111"/>
          <w:sz w:val="28"/>
          <w:szCs w:val="28"/>
          <w:rtl/>
        </w:rPr>
        <w:t xml:space="preserve">آغاز: به کوی یار مرا بار به گل افتاده *** فتاده بار من امـا به منزل افتاده / گمان مدار خلاصی دل از آن سرزلف *** كـه با هزار جنون در سلاسل افتاده؛ انجام: صفحه دیگری را با قلم نارسای خود بیارایم و بیت این است: دور دستان را به احسـان یاد کردن همت است *** ورنه هر نخلی به پای خود ثمر می افکند</w:t>
      </w:r>
    </w:p>
    <w:p>
      <w:pPr>
        <w:pStyle w:val="BookText"/>
      </w:pPr>
      <w:r>
        <w:rPr>
          <w:rFonts w:ascii="IRNazanin" w:hAnsi="IRNazanin" w:eastAsia="IRNazanin" w:cs="IRNazanin"/>
          <w:lang w:bidi="fa-IR"/>
          <w:color w:val="111111"/>
          <w:sz w:val="28"/>
          <w:szCs w:val="28"/>
          <w:rtl/>
        </w:rPr>
        <w:t xml:space="preserve">جنگی است در دو بخش ،بخش اول آن قطعات و غزل هایی اسـت که جمع آورنده جنگ از اشعار شاعران انتخاب و بدون ذکر نام پشت سرهم، تحریر نموده است، بخش دوم اشعاری است که تعدادی از شخصیت های عصر نیمه اول قرن ۱۴ هجری به درخواست صاحب جنگ به خط خود نوشته اند، اسامی کسانی که یادداشت در این بخش نوشته اند عبارتند از: فقیر معتمد، شمـس الملوک ۱۳۳۴ق، حسن صدرائی، حجة الاسلام ،ميرزا علی عنقایی ۱۳۳۷ق، هاشم حیدری ملقب به اعتضاد، سید فضل  الله واعظ شیرازی، عبدالکریم شمسا و چند نام ناخوانا؛ خط: شکسته، نستعلیق، بی کا، تا: قرن ۱۴؛ جلد: تیماج قهوه ای، ۷۸گ، ۱۵  - 16 سطر،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۳ - ۱۲۵۴]</w:t>
      </w:r>
    </w:p>
    <w:p>
      <w:pPr>
        <w:pStyle w:val="BookText"/>
      </w:pPr>
      <w:r>
        <w:rPr>
          <w:rFonts w:ascii="IRNazanin" w:hAnsi="IRNazanin" w:eastAsia="IRNazanin" w:cs="IRNazanin"/>
          <w:lang w:bidi="fa-IR"/>
          <w:color w:val="111111"/>
          <w:sz w:val="28"/>
          <w:szCs w:val="28"/>
          <w:rtl/>
        </w:rPr>
        <w:t xml:space="preserve">۱۴۴۲ . دامغان؛ قمر بنی هاشم (علیه السّلام)؛ شماره نسخه: ۲۲۲</w:t>
      </w:r>
    </w:p>
    <w:p>
      <w:pPr>
        <w:pStyle w:val="BookText"/>
      </w:pPr>
      <w:r>
        <w:rPr>
          <w:rFonts w:ascii="IRNazanin" w:hAnsi="IRNazanin" w:eastAsia="IRNazanin" w:cs="IRNazanin"/>
          <w:lang w:bidi="fa-IR"/>
          <w:color w:val="111111"/>
          <w:sz w:val="28"/>
          <w:szCs w:val="28"/>
          <w:rtl/>
        </w:rPr>
        <w:t xml:space="preserve">آغاز: هر لحظه با قلب فکار چشم خون بار *** دو جانب بطحا با آه غم افزا؛ انجام: شایق برای فاطم این نوحه جانسوز *** کردی بیان بچشم ترحال پریشان</w:t>
      </w:r>
    </w:p>
    <w:p>
      <w:pPr>
        <w:pStyle w:val="BookText"/>
      </w:pPr>
      <w:r>
        <w:rPr>
          <w:rFonts w:ascii="IRNazanin" w:hAnsi="IRNazanin" w:eastAsia="IRNazanin" w:cs="IRNazanin"/>
          <w:lang w:bidi="fa-IR"/>
          <w:color w:val="111111"/>
          <w:sz w:val="28"/>
          <w:szCs w:val="28"/>
          <w:rtl/>
        </w:rPr>
        <w:t xml:space="preserve">مشتمل بر اشعاری از مخلص ،تاراج، يغما، جودی و ...در موضوعات مختلف و اکثر در مدایح و مراثی ائمه (علیهم السّلام) ؛ خط: نـسخ و نستعلیق، بی کا، تا: قرن ۱۴ ؛جلد: تیماج قهوه ای بدون مقـوا، ۷۵گ، مختلف السطر، 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۱۷/۵سم [ف: ۲۵]</w:t>
      </w:r>
    </w:p>
    <w:p>
      <w:pPr>
        <w:pStyle w:val="BookText"/>
      </w:pPr>
      <w:r>
        <w:rPr>
          <w:rFonts w:ascii="IRNazanin" w:hAnsi="IRNazanin" w:eastAsia="IRNazanin" w:cs="IRNazanin"/>
          <w:lang w:bidi="fa-IR"/>
          <w:color w:val="111111"/>
          <w:sz w:val="28"/>
          <w:szCs w:val="28"/>
          <w:rtl/>
        </w:rPr>
        <w:t xml:space="preserve">۱۴۴۳. مشهد؛ رضوی؛ شماره نسخه: ۱۳۱۹۸</w:t>
      </w:r>
    </w:p>
    <w:p>
      <w:pPr>
        <w:pStyle w:val="BookText"/>
      </w:pPr>
      <w:r>
        <w:rPr>
          <w:rFonts w:ascii="IRNazanin" w:hAnsi="IRNazanin" w:eastAsia="IRNazanin" w:cs="IRNazanin"/>
          <w:lang w:bidi="fa-IR"/>
          <w:color w:val="111111"/>
          <w:sz w:val="28"/>
          <w:szCs w:val="28"/>
          <w:rtl/>
        </w:rPr>
        <w:t xml:space="preserve">آغاز: ایدل ار خواهی که حق بنده ز نیکان؛ انجام: کمین زیر خاک کرده کمند.</w:t>
      </w:r>
    </w:p>
    <w:p>
      <w:pPr>
        <w:pStyle w:val="BookText"/>
      </w:pPr>
      <w:r>
        <w:rPr>
          <w:rFonts w:ascii="IRNazanin" w:hAnsi="IRNazanin" w:eastAsia="IRNazanin" w:cs="IRNazanin"/>
          <w:lang w:bidi="fa-IR"/>
          <w:color w:val="111111"/>
          <w:sz w:val="28"/>
          <w:szCs w:val="28"/>
          <w:rtl/>
        </w:rPr>
        <w:t xml:space="preserve">مشتمل است بر اشعاری در مصائب اهل بیت (علیهم السّلام)، غزلیات و قصیده ای از صفا علی شاه در مدح مولای متقیان امیر مؤمنان علی (علیه السّلام) و نیز قصیده ای در مولود خامس آل عبا، مناجات نامه و ترکیب بندی در مصیبت امام حسین(علیه السّلام) و در انتها غزلیاتی از صاحب و مثنوی حکایت حسن بصری و غیره ذکر شده است؛ خط: نستعلیق شکسته، بی کا، تا: قرن ۱۴؛ کاغذ: نخودی، جلد: تیماج قهوه ای ،یک لا ،۹۱گ، ۸ سطر اندازه: ۸/۴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۱۳/۶سم [ف:17- 55]</w:t>
      </w:r>
    </w:p>
    <w:p>
      <w:pPr>
        <w:pStyle w:val="BookText"/>
      </w:pPr>
      <w:r>
        <w:rPr>
          <w:rFonts w:ascii="IRNazanin" w:hAnsi="IRNazanin" w:eastAsia="IRNazanin" w:cs="IRNazanin"/>
          <w:lang w:bidi="fa-IR"/>
          <w:color w:val="111111"/>
          <w:sz w:val="28"/>
          <w:szCs w:val="28"/>
          <w:rtl/>
        </w:rPr>
        <w:t xml:space="preserve">۱۴۴۴ . مشهد؛ رضوی؛ شماره نسخه: ۱۴۶۴۶</w:t>
      </w:r>
    </w:p>
    <w:p>
      <w:pPr>
        <w:pStyle w:val="BookText"/>
      </w:pPr>
      <w:r>
        <w:rPr>
          <w:rFonts w:ascii="IRNazanin" w:hAnsi="IRNazanin" w:eastAsia="IRNazanin" w:cs="IRNazanin"/>
          <w:lang w:bidi="fa-IR"/>
          <w:color w:val="111111"/>
          <w:sz w:val="28"/>
          <w:szCs w:val="28"/>
          <w:rtl/>
        </w:rPr>
        <w:t xml:space="preserve">آغاز: دوام و صحت جسم تو پایدار بود؛ انجام: جمله چون شیر ژیانی و نکردند خلاف.</w:t>
      </w:r>
    </w:p>
    <w:p>
      <w:pPr>
        <w:pStyle w:val="BookText"/>
      </w:pPr>
      <w:r>
        <w:rPr>
          <w:rFonts w:ascii="IRNazanin" w:hAnsi="IRNazanin" w:eastAsia="IRNazanin" w:cs="IRNazanin"/>
          <w:lang w:bidi="fa-IR"/>
          <w:color w:val="111111"/>
          <w:sz w:val="28"/>
          <w:szCs w:val="28"/>
          <w:rtl/>
        </w:rPr>
        <w:t xml:space="preserve">نسخه ای است بی سر و ته و در هم مشتمل بر قصاید و غزل و مثنوی، از یکی از شعرای قرن چهاردهم که تخلصش پریشان باشد. (فاضل هاشمی)؛ خط: نسخ چلیپا، بی کا، تا: قرن ۱۴؛ كاتب احتمالاً ناظم؛ واقف: سيد محمد باقر مولوی عربشاهی سبزواری، محرم ۱۴۰۵ ؛کاغذ: فرنگی نباتی، ۵۹گ، مختلف السطر، اندازه: ۹/۸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۱۷ - ۵۶]</w:t>
      </w:r>
    </w:p>
    <w:p>
      <w:pPr>
        <w:pStyle w:val="BookText"/>
      </w:pPr>
      <w:r>
        <w:rPr>
          <w:rFonts w:ascii="IRNazanin" w:hAnsi="IRNazanin" w:eastAsia="IRNazanin" w:cs="IRNazanin"/>
          <w:lang w:bidi="fa-IR"/>
          <w:color w:val="111111"/>
          <w:sz w:val="28"/>
          <w:szCs w:val="28"/>
          <w:rtl/>
        </w:rPr>
        <w:t xml:space="preserve">۱۴۴۵. مشهد؛ رضوی؛ شماره نسخه: ۱۵۱۲۸</w:t>
      </w:r>
    </w:p>
    <w:p>
      <w:pPr>
        <w:pStyle w:val="BookText"/>
      </w:pPr>
      <w:r>
        <w:rPr>
          <w:rFonts w:ascii="IRNazanin" w:hAnsi="IRNazanin" w:eastAsia="IRNazanin" w:cs="IRNazanin"/>
          <w:lang w:bidi="fa-IR"/>
          <w:color w:val="111111"/>
          <w:sz w:val="28"/>
          <w:szCs w:val="28"/>
          <w:rtl/>
        </w:rPr>
        <w:t xml:space="preserve">آغاز: قضا و قدر حکیم رکنا، شنیدم روزی از پاکیزه رای؛ انجام: بر مهر جهانتاب فلک دام دهد نور.</w:t>
      </w:r>
    </w:p>
    <w:p>
      <w:pPr>
        <w:pStyle w:val="BookText"/>
      </w:pPr>
      <w:r>
        <w:rPr>
          <w:rFonts w:ascii="IRNazanin" w:hAnsi="IRNazanin" w:eastAsia="IRNazanin" w:cs="IRNazanin"/>
          <w:lang w:bidi="fa-IR"/>
          <w:color w:val="111111"/>
          <w:sz w:val="28"/>
          <w:szCs w:val="28"/>
          <w:rtl/>
        </w:rPr>
        <w:t xml:space="preserve">مشتمل است بر مثنوی های قضا و قدر حکیم رکنا و محمد قلی سلیم و میرزا عبدالرزاق و معراج الخيال میرزا علی رضا تجلی و مثنوی میرزا ابراهیم صفا و نگارستان چین ناصر علی هندی، قصیده هراس و مماس در مدح امیرالمؤمنین (علیه السّلام) از عرفی، مثنوی حکایت عرب بادیه گرد از قبول، مثنوی یوسف و زلیخای حاجی لطفعلی بیگ آذر، غزلیات میر مشتاق، طوفان، رفیق، کلیم ،محتشم ،ناطق ،هلالی ،صائب، میرزا نصیر مظهر مراغه ای و رباعیات بابا طاهر عریان؛ خط: نستعلیق تحریری، بی کا، تا: قرن ۱۴، واقف: مكتبة الامام اميرالمؤمنين (علیه السّلام)، اردیبهشت ۱۳۶۵؛ کاغذ: حنایی کمرنگ ،جلد: تیماج قهوه ای یک لا ضربی، ۱۰۵گ، چلیپائی سطر،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 ۱۷ - ۵۸]</w:t>
      </w:r>
    </w:p>
    <w:p>
      <w:pPr>
        <w:pStyle w:val="BookText"/>
      </w:pPr>
      <w:r>
        <w:rPr>
          <w:rFonts w:ascii="IRNazanin" w:hAnsi="IRNazanin" w:eastAsia="IRNazanin" w:cs="IRNazanin"/>
          <w:lang w:bidi="fa-IR"/>
          <w:color w:val="111111"/>
          <w:sz w:val="28"/>
          <w:szCs w:val="28"/>
          <w:rtl/>
        </w:rPr>
        <w:t xml:space="preserve">۱۴۴۶ . مشهد؛ رضوی؛ شماره نسخه: ۱۶۲۰۵</w:t>
      </w:r>
    </w:p>
    <w:p>
      <w:pPr>
        <w:pStyle w:val="BookText"/>
      </w:pPr>
      <w:r>
        <w:rPr>
          <w:rFonts w:ascii="IRNazanin" w:hAnsi="IRNazanin" w:eastAsia="IRNazanin" w:cs="IRNazanin"/>
          <w:lang w:bidi="fa-IR"/>
          <w:color w:val="111111"/>
          <w:sz w:val="28"/>
          <w:szCs w:val="28"/>
          <w:rtl/>
        </w:rPr>
        <w:t xml:space="preserve">آغاز: مکن قصاص که آن جسم پاک رنجور است؛ انجام: فدای چشم تو گردم مگر بخوابی تو.</w:t>
      </w:r>
    </w:p>
    <w:p>
      <w:pPr>
        <w:pStyle w:val="BookText"/>
      </w:pPr>
      <w:r>
        <w:rPr>
          <w:rFonts w:ascii="IRNazanin" w:hAnsi="IRNazanin" w:eastAsia="IRNazanin" w:cs="IRNazanin"/>
          <w:lang w:bidi="fa-IR"/>
          <w:color w:val="111111"/>
          <w:sz w:val="28"/>
          <w:szCs w:val="28"/>
          <w:rtl/>
        </w:rPr>
        <w:t xml:space="preserve">مشتمل است بر مثنوی طولانی در سوگ حضرت رسول (صلّی اللَّهِ علیه وَ آلِهِ وَ سَلَّمَ ) و ائمه اطهار (علیهم السّلام) و وقایع روز عاشورا از ملا علی نقی و همچنین اشعاری توأم با نثر در مورد وقایع بعد از شهادت حضرت امام حسین (علیه السّلام)، سرنوشت ذوالجناح تا مجلس بازخواستیزید از اهل بیت (علیه السّلام) که گویا مخصوص مراسم شبیه خوانی بوده است؛ خط: نسخ و نستعلیق، بی کا، تا: قرن ۱۴؛ واگذاری بنیاد مستضعفان در شهریور ۱۳۶۷؛ کاغذ: آبی و نخودی، جلد: تیماج یک لا ،۱۰۰گ، مختلف السطر ، اندازه: ۱۰/۷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۱۹/۶سم [ف: ۱۷ – ۵۹]</w:t>
      </w:r>
    </w:p>
    <w:p>
      <w:pPr>
        <w:pStyle w:val="BookText"/>
      </w:pPr>
      <w:r>
        <w:rPr>
          <w:rFonts w:ascii="IRNazanin" w:hAnsi="IRNazanin" w:eastAsia="IRNazanin" w:cs="IRNazanin"/>
          <w:lang w:bidi="fa-IR"/>
          <w:color w:val="111111"/>
          <w:sz w:val="28"/>
          <w:szCs w:val="28"/>
          <w:rtl/>
        </w:rPr>
        <w:t xml:space="preserve">۱۴۴۷ . مشهد؛ رضوی؛ شماره نسخه: ۱۵۱۸۵
</w:t>
      </w:r>
    </w:p>
    <w:p>
      <w:pPr>
        <w:sectPr>
          <w:footerReference w:type="default" r:id="rId8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آغاز: در سینه گلبنت چه بنشست *** باری مدهش بشاخ گل دست؛ انجام: مهر مه و مریخ زحل آدم حوا *** نه هفت سما  بود و نه سدره طوبی</w:t>
      </w:r>
    </w:p>
    <w:p>
      <w:pPr>
        <w:pStyle w:val="BookText"/>
      </w:pPr>
      <w:r>
        <w:rPr>
          <w:rFonts w:ascii="IRNazanin" w:hAnsi="IRNazanin" w:eastAsia="IRNazanin" w:cs="IRNazanin"/>
          <w:lang w:bidi="fa-IR"/>
          <w:color w:val="111111"/>
          <w:sz w:val="28"/>
          <w:szCs w:val="28"/>
          <w:rtl/>
        </w:rPr>
        <w:t xml:space="preserve">مجموعه ای است از مثنوی و غزلیات و قطعات و رباعيات مخمس و ترجیع بند از شیدا ،حافظ ،سعدی ،جامی، محتشم ،مطرب شمس تبریزی، ،مهجور،مشتاق، عاشق، میرزا طوفان،و همچنین مخمس غزل عراقی و دوازده بند محتشم، ترجیع بندی از غفار، رباعيات باباطاهر، لیلی و مجنون مکتبی شیرازی، چند نوحه در سوگ امام حسین (علیه السّلام) و حضرت زهرا (علیها السّلام) و امام حسن مجـتبی (علیه السّلام)؛ خط: نستعلیق چلیپا، بی کا، تا: قرن ۱۴؛ واقف: میر سید حسین مدنی مترجم نظام، آذر ماه ۱۳۶۵؛ کاغذ: نباتی، جلد: مشمع آبی، ۱۲۲گ، اندازه: ۹/۸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۱۷ – ۶۱]</w:t>
      </w:r>
    </w:p>
    <w:p>
      <w:pPr>
        <w:pStyle w:val="BookText"/>
      </w:pPr>
      <w:r>
        <w:rPr>
          <w:rFonts w:ascii="IRNazanin" w:hAnsi="IRNazanin" w:eastAsia="IRNazanin" w:cs="IRNazanin"/>
          <w:lang w:bidi="fa-IR"/>
          <w:color w:val="111111"/>
          <w:sz w:val="28"/>
          <w:szCs w:val="28"/>
          <w:rtl/>
        </w:rPr>
        <w:t xml:space="preserve">۱۴۴۸. یزد؛ کاظمینی؛ شماره نسخه: ۶۷</w:t>
      </w:r>
    </w:p>
    <w:p>
      <w:pPr>
        <w:pStyle w:val="BookText"/>
      </w:pPr>
      <w:r>
        <w:rPr>
          <w:rFonts w:ascii="IRNazanin" w:hAnsi="IRNazanin" w:eastAsia="IRNazanin" w:cs="IRNazanin"/>
          <w:lang w:bidi="fa-IR"/>
          <w:color w:val="111111"/>
          <w:sz w:val="28"/>
          <w:szCs w:val="28"/>
          <w:rtl/>
        </w:rPr>
        <w:t xml:space="preserve">اشعاری است درنوحه و مراثی امام حسین (علیه السّلام) و فرزندان گرامی و اصحاب ایشان که به انتخاب کاتب جمع آوری شده است؛ خـط: نستعلیق نازیبا، بی کا، تا: قرن ۱۴، جلد: تیماج مشکی بدون مقوا، ۱۳۳گ، مختلف السطر و چلیپا، اندازه: 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۱۶/۵سم [ف: ۱ -73]</w:t>
      </w:r>
    </w:p>
    <w:p>
      <w:pPr>
        <w:pStyle w:val="BookText"/>
      </w:pPr>
      <w:r>
        <w:rPr>
          <w:rFonts w:ascii="IRNazanin" w:hAnsi="IRNazanin" w:eastAsia="IRNazanin" w:cs="IRNazanin"/>
          <w:lang w:bidi="fa-IR"/>
          <w:color w:val="111111"/>
          <w:sz w:val="28"/>
          <w:szCs w:val="28"/>
          <w:rtl/>
        </w:rPr>
        <w:t xml:space="preserve">۱۴۴۹. یزد؛ کاظمینی؛ شماره نسخه: ۲۷۰</w:t>
      </w:r>
    </w:p>
    <w:p>
      <w:pPr>
        <w:pStyle w:val="BookText"/>
      </w:pPr>
      <w:r>
        <w:rPr>
          <w:rFonts w:ascii="IRNazanin" w:hAnsi="IRNazanin" w:eastAsia="IRNazanin" w:cs="IRNazanin"/>
          <w:lang w:bidi="fa-IR"/>
          <w:color w:val="111111"/>
          <w:sz w:val="28"/>
          <w:szCs w:val="28"/>
          <w:rtl/>
        </w:rPr>
        <w:t xml:space="preserve">مشتمل بر اشعاری در مدایح و مراثی ائمه عليهم السلام خصوصاً وقایع کربلا با تخلص سراج ،ذاکر ، معلم ،عاصی، شکوهی؛ خـط: نستعلیق، بی کا، تا: قرن ۱۴؛ جلد: تیماج قهوه ای سوخته بدون مقـوا، ۲۰۴گ ، مختلف السطر و چلیپا، 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 - 232]</w:t>
      </w:r>
    </w:p>
    <w:p>
      <w:pPr>
        <w:pStyle w:val="BookText"/>
      </w:pPr>
      <w:r>
        <w:rPr>
          <w:rFonts w:ascii="IRNazanin" w:hAnsi="IRNazanin" w:eastAsia="IRNazanin" w:cs="IRNazanin"/>
          <w:lang w:bidi="fa-IR"/>
          <w:color w:val="111111"/>
          <w:sz w:val="28"/>
          <w:szCs w:val="28"/>
          <w:rtl/>
        </w:rPr>
        <w:t xml:space="preserve">مشتمل بر اشعاری از سعدی، میرزا حسین یزدی ،جامی، حافظ: شانی ،مشتاق، ترجیع بند هاتف، فتحعلی شاه؛ خط: نستعلیق، بی کا، تا: قرن ۱۴؛ خطوط چلیپا ،مجدول، دارای مینیاتور ضعیف؛ جـلد: تيماج مشکی ضربی بدون مقوا، دور و عطفتیماج قهوه ای، ۳۵گ، مختلف السطر، اندازه: 9</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سم [ف: ۲ - ۹]</w:t>
      </w:r>
    </w:p>
    <w:p>
      <w:pPr>
        <w:pStyle w:val="BookText"/>
      </w:pPr>
      <w:r>
        <w:rPr>
          <w:rFonts w:ascii="IRNazanin" w:hAnsi="IRNazanin" w:eastAsia="IRNazanin" w:cs="IRNazanin"/>
          <w:lang w:bidi="fa-IR"/>
          <w:color w:val="111111"/>
          <w:sz w:val="28"/>
          <w:szCs w:val="28"/>
          <w:rtl/>
        </w:rPr>
        <w:t xml:space="preserve">۱۴۵۱. یزد؛ کاظمینی؛ شماره نسخه: ۵۴۸</w:t>
      </w:r>
    </w:p>
    <w:p>
      <w:pPr>
        <w:pStyle w:val="BookText"/>
      </w:pPr>
      <w:r>
        <w:rPr>
          <w:rFonts w:ascii="IRNazanin" w:hAnsi="IRNazanin" w:eastAsia="IRNazanin" w:cs="IRNazanin"/>
          <w:lang w:bidi="fa-IR"/>
          <w:color w:val="111111"/>
          <w:sz w:val="28"/>
          <w:szCs w:val="28"/>
          <w:rtl/>
        </w:rPr>
        <w:t xml:space="preserve">مشتمل بر اشعاری در مدایح و مراثی ائمه (علیهم السّلام) و اشعاری متفرقه از شعرائی چون: میرزا جعفر ساغر ، معتمد الدوله نشاط، محقر، عطـار، عاشق، سرباز، عالی و دیگران؛ خط: نستعلیق، بی کا، تا: قرن14؛ خطوط چلیپا و راسته ؛جلد: تیماج قهوه ای بدون مقوا، ۸۸ گ، چلیپا 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۲ - (۲۳۴]</w:t>
      </w:r>
    </w:p>
    <w:p>
      <w:pPr>
        <w:pStyle w:val="BookText"/>
      </w:pPr>
      <w:r>
        <w:rPr>
          <w:rFonts w:ascii="IRNazanin" w:hAnsi="IRNazanin" w:eastAsia="IRNazanin" w:cs="IRNazanin"/>
          <w:lang w:bidi="fa-IR"/>
          <w:color w:val="111111"/>
          <w:sz w:val="28"/>
          <w:szCs w:val="28"/>
          <w:rtl/>
        </w:rPr>
        <w:t xml:space="preserve">۱۴۵۲ . ساری؛ عمومی؛ شماره نسخه: ۱۸۰</w:t>
      </w:r>
    </w:p>
    <w:p>
      <w:pPr>
        <w:pStyle w:val="BookText"/>
      </w:pPr>
      <w:r>
        <w:rPr>
          <w:rFonts w:ascii="IRNazanin" w:hAnsi="IRNazanin" w:eastAsia="IRNazanin" w:cs="IRNazanin"/>
          <w:lang w:bidi="fa-IR"/>
          <w:color w:val="111111"/>
          <w:sz w:val="28"/>
          <w:szCs w:val="28"/>
          <w:rtl/>
        </w:rPr>
        <w:t xml:space="preserve">بیاضی است شامل اشعار مصیبت و مجالس روضه خوانی،با گفتارهایی سست و ضعیف؛ خط: نستعلیق، بی کا، تا: قرن 14؛ جلد: تیماج مشکی لایه ای، ۱۰۱گ، مختلف السطر، قطع: بغلی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[عمومی ساری و تنکابن: ف: - ۱۳۹]</w:t>
      </w:r>
    </w:p>
    <w:p>
      <w:pPr>
        <w:pStyle w:val="BookText"/>
      </w:pPr>
      <w:r>
        <w:rPr>
          <w:rFonts w:ascii="IRNazanin" w:hAnsi="IRNazanin" w:eastAsia="IRNazanin" w:cs="IRNazanin"/>
          <w:lang w:bidi="fa-IR"/>
          <w:color w:val="111111"/>
          <w:sz w:val="28"/>
          <w:szCs w:val="28"/>
          <w:rtl/>
        </w:rPr>
        <w:t xml:space="preserve">۱۴۵۳ . مشهد؛ رضوی؛ شماره نسخه: ۱۴۹۸۸</w:t>
      </w:r>
    </w:p>
    <w:p>
      <w:pPr>
        <w:pStyle w:val="BookText"/>
      </w:pPr>
      <w:r>
        <w:rPr>
          <w:rFonts w:ascii="IRNazanin" w:hAnsi="IRNazanin" w:eastAsia="IRNazanin" w:cs="IRNazanin"/>
          <w:lang w:bidi="fa-IR"/>
          <w:color w:val="111111"/>
          <w:sz w:val="28"/>
          <w:szCs w:val="28"/>
          <w:rtl/>
        </w:rPr>
        <w:t xml:space="preserve">آغاز: هر کجا طفلی که مادر زایدش؛ انجام: فقام دعبل الشاعـر و انشد *** اصبح وجه الزمان قد ضحكا *** برد مامون هاشم فدكا.</w:t>
      </w:r>
    </w:p>
    <w:p>
      <w:pPr>
        <w:pStyle w:val="BookText"/>
      </w:pPr>
      <w:r>
        <w:rPr>
          <w:rFonts w:ascii="IRNazanin" w:hAnsi="IRNazanin" w:eastAsia="IRNazanin" w:cs="IRNazanin"/>
          <w:lang w:bidi="fa-IR"/>
          <w:color w:val="111111"/>
          <w:sz w:val="28"/>
          <w:szCs w:val="28"/>
          <w:rtl/>
        </w:rPr>
        <w:t xml:space="preserve">مشتمل است اشعار متفرقه، غزلیات مثنوی در مبدأ و معاد</w:t>
      </w:r>
    </w:p>
    <w:p>
      <w:pPr>
        <w:pStyle w:val="BookText"/>
      </w:pPr>
      <w:r>
        <w:rPr>
          <w:rFonts w:ascii="IRNazanin" w:hAnsi="IRNazanin" w:eastAsia="IRNazanin" w:cs="IRNazanin"/>
          <w:lang w:bidi="fa-IR"/>
          <w:color w:val="111111"/>
          <w:sz w:val="28"/>
          <w:szCs w:val="28"/>
          <w:rtl/>
        </w:rPr>
        <w:t xml:space="preserve">انسان، ترجیع بند معروف هاتف اصفهانی و احادیث و اخباری چند منقول از بحار الانوار؛ خط: نستعلیق، بی کا، تا: قرن ۱۴؛ واقف: حاج میرزا علی اصغر طوسی، اردیبهشت ۱۳۶۴؛ کاغذ: شکری ،جلد: میشن عنابی، ۹۶گ، مختلف السطر، اندازه: ۱۶/۴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۱۰سم [ف : ۱۷ - ۵۸]</w:t>
      </w:r>
    </w:p>
    <w:p>
      <w:pPr>
        <w:pStyle w:val="BookText"/>
      </w:pPr>
      <w:r>
        <w:rPr>
          <w:rFonts w:ascii="IRNazanin" w:hAnsi="IRNazanin" w:eastAsia="IRNazanin" w:cs="IRNazanin"/>
          <w:lang w:bidi="fa-IR"/>
          <w:color w:val="111111"/>
          <w:sz w:val="28"/>
          <w:szCs w:val="28"/>
          <w:rtl/>
        </w:rPr>
        <w:t xml:space="preserve">۱۴۵۴. تهران؛ ملی؛ شماره نسخه: ۶۲۳۱</w:t>
      </w:r>
    </w:p>
    <w:p>
      <w:pPr>
        <w:pStyle w:val="BookText"/>
      </w:pPr>
      <w:r>
        <w:rPr>
          <w:rFonts w:ascii="IRNazanin" w:hAnsi="IRNazanin" w:eastAsia="IRNazanin" w:cs="IRNazanin"/>
          <w:lang w:bidi="fa-IR"/>
          <w:color w:val="111111"/>
          <w:sz w:val="28"/>
          <w:szCs w:val="28"/>
          <w:rtl/>
        </w:rPr>
        <w:t xml:space="preserve">آغاز: و حمل الزاد اقبح كل شيء *** اذا كان الوفود على الکریمی/ ز بر گل تنگ دل ای غنچه رعنا چونی *** بی تو ما قرغه [غرقه] بخونیم و تو بی ما چونی؛ انجام: چوب و شلاق بایدش خوردن *** که رخ او زگریه تر گردد / هر چه زحمت کشد بمكتب او *** زحمتش نخل بی ثمر گردد.</w:t>
      </w:r>
    </w:p>
    <w:p>
      <w:pPr>
        <w:pStyle w:val="BookText"/>
      </w:pPr>
      <w:r>
        <w:rPr>
          <w:rFonts w:ascii="IRNazanin" w:hAnsi="IRNazanin" w:eastAsia="IRNazanin" w:cs="IRNazanin"/>
          <w:lang w:bidi="fa-IR"/>
          <w:color w:val="111111"/>
          <w:sz w:val="28"/>
          <w:szCs w:val="28"/>
          <w:rtl/>
        </w:rPr>
        <w:t xml:space="preserve">نوحه ها و مراثی و مدایح و اشعاری است و بیشتر در بیان وقایع عاشورا از شعرایی با تخلص فیاض (گ ۷-۸)، مهدی (۸پ- ۱۰پ)، خادم (۱۱-۱۱پ)، عاجز ،(۱۲-۱۸)، ذاکر (۲۵پ -۲۶)، شایق (۲۴ و ۲۴پ)، شوقی (۲۹ - ۳۰پ) و شعرایی بدون تخلص؛ به دفتر واعظان و نوحه خوانان می ماند در اندرون جلد آمده: «کتاب اشعار دیوان خزائن الاشعار من افكار سید عباس از برای روضه خوانی خوب است»، در مقابله با کتاب «خزائن الاشعار» سید عباس حسینی ملقب به جوهری و متخلص به ذاکر این نسخه تنها چند قطعه شعر از این دیوان را داراست، در الذریعه (۹ :۶۶۲) به شعرایی با تخلص خادم و (۹ :۸۵۲) به شعرایی با تخلص فیاض و (۹: ۳۳۷) به شعرایی با تخلص ذاکر (۹: 548- 550) و به شعرایی با تخلص شوقی اشاره شده است و بعضی از این شاعران اشعاری در مدایح و مراثی دارند، در برگ ۳۱ نسخه عاجز خود را مداح خطاب می کند (این عاجز مداح) بیشتر اشعار این دفتر از همین عاجز است، گردآورنده از این اشعار با عنوان (پاسنگی) یاد می کند؛ خط: تحریری، بی کا، تا: قرن ۱۴؛ کاغذ: فرنگی خط دار ،جلد: مقوایی روکش کاغذی، عطف پارچه قهوه ای، ۵۹گ ۱۴ - ۲۴ سطر، (۸/۵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و (9/7</w:t>
      </w:r>
      <w:r>
        <w:rPr>
          <w:rFonts w:ascii="Times New Roman" w:hAnsi="Times New Roman" w:eastAsia="Times New Roman" w:cs="Times New Roman"/>
          <w:lang w:val="en-US" w:bidi="en-US"/>
          <w:color w:val="111111"/>
          <w:sz w:val="28"/>
          <w:szCs w:val="28"/>
          <w:rtl/>
        </w:rPr>
        <w:t xml:space="preserve">×15/6) </w:t>
      </w:r>
      <w:r>
        <w:rPr>
          <w:rFonts w:ascii="IRNazanin" w:hAnsi="IRNazanin" w:eastAsia="IRNazanin" w:cs="IRNazanin"/>
          <w:lang w:bidi="fa-IR"/>
          <w:color w:val="111111"/>
          <w:sz w:val="28"/>
          <w:szCs w:val="28"/>
          <w:rtl/>
        </w:rPr>
        <w:t xml:space="preserve">، اندازه: ۱۰/۲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۱۶/۵سم[ رایانه ]</w:t>
      </w:r>
    </w:p>
    <w:p>
      <w:pPr>
        <w:pStyle w:val="BookText"/>
      </w:pPr>
      <w:r>
        <w:rPr>
          <w:rFonts w:ascii="IRNazanin" w:hAnsi="IRNazanin" w:eastAsia="IRNazanin" w:cs="IRNazanin"/>
          <w:lang w:bidi="fa-IR"/>
          <w:color w:val="111111"/>
          <w:sz w:val="28"/>
          <w:szCs w:val="28"/>
          <w:rtl/>
        </w:rPr>
        <w:t xml:space="preserve">۱۴۵۵. تهران؛ دانشگاه؛ شماره نسخه: ۸۴۹۴</w:t>
      </w:r>
    </w:p>
    <w:p>
      <w:pPr>
        <w:pStyle w:val="BookText"/>
      </w:pPr>
      <w:r>
        <w:rPr>
          <w:rFonts w:ascii="IRNazanin" w:hAnsi="IRNazanin" w:eastAsia="IRNazanin" w:cs="IRNazanin"/>
          <w:lang w:bidi="fa-IR"/>
          <w:color w:val="111111"/>
          <w:sz w:val="28"/>
          <w:szCs w:val="28"/>
          <w:rtl/>
        </w:rPr>
        <w:t xml:space="preserve">تعزیه خوانی ۷۲ تن در کربلا به نظم؛ خط: نستعلیق، بی کا، تا: قرن ۱۴؛ افتادگی: آغاز؛ کاغذ: ربعی ،بیاضی، فرنگی، جلد: تازه، ۲۶، ۱۸ 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۱۷ - ۱۴۷]</w:t>
      </w:r>
    </w:p>
    <w:p>
      <w:pPr>
        <w:pStyle w:val="BookText"/>
      </w:pPr>
      <w:r>
        <w:rPr>
          <w:rFonts w:ascii="IRNazanin" w:hAnsi="IRNazanin" w:eastAsia="IRNazanin" w:cs="IRNazanin"/>
          <w:lang w:bidi="fa-IR"/>
          <w:color w:val="111111"/>
          <w:sz w:val="28"/>
          <w:szCs w:val="28"/>
          <w:rtl/>
        </w:rPr>
        <w:t xml:space="preserve">۱۴۵۶. تهران؛ ملی؛ شماره نسخه: ۸۱۸</w:t>
      </w:r>
    </w:p>
    <w:p>
      <w:pPr>
        <w:pStyle w:val="BookText"/>
      </w:pPr>
      <w:r>
        <w:rPr>
          <w:rFonts w:ascii="IRNazanin" w:hAnsi="IRNazanin" w:eastAsia="IRNazanin" w:cs="IRNazanin"/>
          <w:lang w:bidi="fa-IR"/>
          <w:color w:val="111111"/>
          <w:sz w:val="28"/>
          <w:szCs w:val="28"/>
          <w:rtl/>
        </w:rPr>
        <w:t xml:space="preserve">آغاز: مه شعبان شد ای ماه بدایع تمثال *** آمد آن مه که بود فخر تمام مه و سال؛ انجام: که صلت ها برم از شاه شه از شاه شهان *** شکر الله که نکوتر بود امسال بفال</w:t>
      </w:r>
    </w:p>
    <w:p>
      <w:pPr>
        <w:pStyle w:val="BookText"/>
      </w:pPr>
      <w:r>
        <w:rPr>
          <w:rFonts w:ascii="IRNazanin" w:hAnsi="IRNazanin" w:eastAsia="IRNazanin" w:cs="IRNazanin"/>
          <w:lang w:bidi="fa-IR"/>
          <w:color w:val="111111"/>
          <w:sz w:val="28"/>
          <w:szCs w:val="28"/>
          <w:rtl/>
        </w:rPr>
        <w:t xml:space="preserve">مخمسی در مدح مظفرالدین شاه در این مخمس پس از تجلیل از ماه شعبان و بزرگداشت ائمه اطهار و مدح مظفرالدین شاه گوینده از او تقاضای صله و پاداش می کند؛ خط: شکسته نستعلیق، کا: شاید گوینده، تا: قرن ۱۴، جا: طهران؛ کاغذ: فرنگی، جلد: مخمل قرمز حاشیه ضربی مقوایی، ۳گ، ۱۵ سطر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اندازه:
</w:t>
      </w:r>
    </w:p>
    <w:p>
      <w:pPr>
        <w:sectPr>
          <w:footerReference w:type="default" r:id="rId8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۲ - ۳۵۴]</w:t>
      </w:r>
    </w:p>
    <w:p>
      <w:pPr>
        <w:pStyle w:val="BookText"/>
      </w:pPr>
      <w:r>
        <w:rPr>
          <w:rFonts w:ascii="IRNazanin" w:hAnsi="IRNazanin" w:eastAsia="IRNazanin" w:cs="IRNazanin"/>
          <w:lang w:bidi="fa-IR"/>
          <w:color w:val="111111"/>
          <w:sz w:val="28"/>
          <w:szCs w:val="28"/>
          <w:rtl/>
        </w:rPr>
        <w:t xml:space="preserve">۱۴۵۷ . مشهد؛ الهیات؛ شماره نسخه: ۲۲۷۴۸/۴</w:t>
      </w:r>
    </w:p>
    <w:p>
      <w:pPr>
        <w:pStyle w:val="BookText"/>
      </w:pPr>
      <w:r>
        <w:rPr>
          <w:rFonts w:ascii="IRNazanin" w:hAnsi="IRNazanin" w:eastAsia="IRNazanin" w:cs="IRNazanin"/>
          <w:lang w:bidi="fa-IR"/>
          <w:color w:val="111111"/>
          <w:sz w:val="28"/>
          <w:szCs w:val="28"/>
          <w:rtl/>
        </w:rPr>
        <w:t xml:space="preserve">اشعاری است از «ممکن» در مرثیه حضرت سید الشهداء و حضرت علی اکبر؛ خط: نسخ ،بی کا، تا: اواخر قرن ۱۳ و یا اوایل قرن ۱۴؛ کاغذ: فرنگی ،جلد: تیماج  مشکی، ۱۴گ (180- 193)، 17- 22 سطر (۶/۵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اندازه: ۱۰/۵</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۱۷سم [ف: ۳ - ۸۸۱]</w:t>
      </w:r>
    </w:p>
    <w:p>
      <w:pPr>
        <w:pStyle w:val="BookText"/>
      </w:pPr>
      <w:r>
        <w:rPr>
          <w:rFonts w:ascii="IRNazanin" w:hAnsi="IRNazanin" w:eastAsia="IRNazanin" w:cs="IRNazanin"/>
          <w:lang w:bidi="fa-IR"/>
          <w:color w:val="111111"/>
          <w:sz w:val="28"/>
          <w:szCs w:val="28"/>
          <w:rtl/>
        </w:rPr>
        <w:t xml:space="preserve">۱۴۵۸ . قم؛ گلپایگانی؛ شماره نسخه: ۳۱۸۴-۱۶/۱۹۴</w:t>
      </w:r>
    </w:p>
    <w:p>
      <w:pPr>
        <w:pStyle w:val="BookText"/>
      </w:pPr>
      <w:r>
        <w:rPr>
          <w:rFonts w:ascii="IRNazanin" w:hAnsi="IRNazanin" w:eastAsia="IRNazanin" w:cs="IRNazanin"/>
          <w:lang w:bidi="fa-IR"/>
          <w:color w:val="111111"/>
          <w:sz w:val="28"/>
          <w:szCs w:val="28"/>
          <w:rtl/>
        </w:rPr>
        <w:t xml:space="preserve">آغاز: باز جاری گشت یاران بر زبانم نام آب *** دامنم شد رشک جیحون از سرشک بی حساب / شد سکینه نزد عمو گفت کای جان عمو *** جرعه آبی که شد از تشنگی جانم کباب؛ انجـام: منزل خاصان بود دل مسکن اغیار یار *** فرصتی خواهم که این بیگانه را بیرون کنم / چون نهان شد پسته خندان لعلش زیرزلف *** سنگ بر سر می زنم کز پرده اش بیرون کنم</w:t>
      </w:r>
    </w:p>
    <w:p>
      <w:pPr>
        <w:pStyle w:val="BookText"/>
      </w:pPr>
      <w:r>
        <w:rPr>
          <w:rFonts w:ascii="IRNazanin" w:hAnsi="IRNazanin" w:eastAsia="IRNazanin" w:cs="IRNazanin"/>
          <w:lang w:bidi="fa-IR"/>
          <w:color w:val="111111"/>
          <w:sz w:val="28"/>
          <w:szCs w:val="28"/>
          <w:rtl/>
        </w:rPr>
        <w:t xml:space="preserve">بیاضی است بهنظم که در آن مداحی، مراثی امام حسین و وقـایع کربلا را جمع آوری شده؛ خط: شکسته، نستعلیق، بی کا، تا: قـرن ۱۴؛ جلد: تیماج مشکی ۷۱گ، ۱۰-۱۴ 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  سم[ ف: ۷ - ۴۲۶۲]</w:t>
      </w:r>
    </w:p>
    <w:p>
      <w:pPr>
        <w:pStyle w:val="BookText"/>
      </w:pPr>
      <w:r>
        <w:rPr>
          <w:rFonts w:ascii="IRNazanin" w:hAnsi="IRNazanin" w:eastAsia="IRNazanin" w:cs="IRNazanin"/>
          <w:lang w:bidi="fa-IR"/>
          <w:color w:val="111111"/>
          <w:sz w:val="28"/>
          <w:szCs w:val="28"/>
          <w:rtl/>
        </w:rPr>
        <w:t xml:space="preserve">۱۴۵۹. تهران؛ ملک؛ شماره نسخه: ۴۹۲۷/۱</w:t>
      </w:r>
    </w:p>
    <w:p>
      <w:pPr>
        <w:pStyle w:val="BookText"/>
      </w:pPr>
      <w:r>
        <w:rPr>
          <w:rFonts w:ascii="IRNazanin" w:hAnsi="IRNazanin" w:eastAsia="IRNazanin" w:cs="IRNazanin"/>
          <w:lang w:bidi="fa-IR"/>
          <w:color w:val="111111"/>
          <w:sz w:val="28"/>
          <w:szCs w:val="28"/>
          <w:rtl/>
        </w:rPr>
        <w:t xml:space="preserve">آغاز: بنام آنکه جان فکرت اندیش *** بود کمتر عطای او به درویش / بداد او ملک دل ما را مسلم *** که گم شد اندر و صد عرش اعظم؛ انجام: علی مرتضی نیست *** جز او کس لایق مدح و ثنا نیست</w:t>
      </w:r>
    </w:p>
    <w:p>
      <w:pPr>
        <w:pStyle w:val="BookText"/>
      </w:pPr>
      <w:r>
        <w:rPr>
          <w:rFonts w:ascii="IRNazanin" w:hAnsi="IRNazanin" w:eastAsia="IRNazanin" w:cs="IRNazanin"/>
          <w:lang w:bidi="fa-IR"/>
          <w:color w:val="111111"/>
          <w:sz w:val="28"/>
          <w:szCs w:val="28"/>
          <w:rtl/>
        </w:rPr>
        <w:t xml:space="preserve">خط: نسخ و نستعلیق، بی کا، تا: قرن ۱۴؛ کاغذ: فرنگی، جلد: رویه میشن سیاه ۵ص (۱-۵)،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۱۷/۹سم [ف: ۸ - ۱۲۶]</w:t>
      </w:r>
    </w:p>
    <w:p>
      <w:pPr>
        <w:pStyle w:val="BookText"/>
      </w:pPr>
      <w:r>
        <w:rPr>
          <w:rFonts w:ascii="IRNazanin" w:hAnsi="IRNazanin" w:eastAsia="IRNazanin" w:cs="IRNazanin"/>
          <w:lang w:bidi="fa-IR"/>
          <w:color w:val="111111"/>
          <w:sz w:val="28"/>
          <w:szCs w:val="28"/>
          <w:rtl/>
        </w:rPr>
        <w:t xml:space="preserve">۱۴۶۰ . اصفهان؛ مدرسه صدر بازار؛ شماره نسخه: ۱۳۱</w:t>
      </w:r>
    </w:p>
    <w:p>
      <w:pPr>
        <w:pStyle w:val="BookText"/>
      </w:pPr>
      <w:r>
        <w:rPr>
          <w:rFonts w:ascii="IRNazanin" w:hAnsi="IRNazanin" w:eastAsia="IRNazanin" w:cs="IRNazanin"/>
          <w:lang w:bidi="fa-IR"/>
          <w:color w:val="111111"/>
          <w:sz w:val="28"/>
          <w:szCs w:val="28"/>
          <w:rtl/>
        </w:rPr>
        <w:t xml:space="preserve">آغاز: چگویم شها من ز قدرت دریغ *** که از خاک چون خور نهفتی به میغ؛ انجام: بگفتا تو دیدی که امروز کار *** چه آمد ما در صف کارزار وقایع منظوم کربلا ؛خط: نستعلیق، بی کا، تا: قرن ۱۳ یا 14؛ افتادگی: آغاز و انجام؛ ۱۷۸گ، مختلف السطر،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۱ - ۹۸]</w:t>
      </w:r>
    </w:p>
    <w:p>
      <w:pPr>
        <w:pStyle w:val="BookText"/>
      </w:pPr>
      <w:r>
        <w:rPr>
          <w:rFonts w:ascii="IRNazanin" w:hAnsi="IRNazanin" w:eastAsia="IRNazanin" w:cs="IRNazanin"/>
          <w:lang w:bidi="fa-IR"/>
          <w:color w:val="111111"/>
          <w:sz w:val="28"/>
          <w:szCs w:val="28"/>
          <w:rtl/>
        </w:rPr>
        <w:t xml:space="preserve">۱۴۶۱. مشهد؛ گوهرشاد؛ شماره نسخه: ۱۰۵۵</w:t>
      </w:r>
    </w:p>
    <w:p>
      <w:pPr>
        <w:pStyle w:val="BookText"/>
      </w:pPr>
      <w:r>
        <w:rPr>
          <w:rFonts w:ascii="IRNazanin" w:hAnsi="IRNazanin" w:eastAsia="IRNazanin" w:cs="IRNazanin"/>
          <w:lang w:bidi="fa-IR"/>
          <w:color w:val="111111"/>
          <w:sz w:val="28"/>
          <w:szCs w:val="28"/>
          <w:rtl/>
        </w:rPr>
        <w:t xml:space="preserve">آغاز :مکن در جسم و جان منزل*** که این دون است و آن والا ؛</w:t>
      </w:r>
    </w:p>
    <w:p>
      <w:pPr>
        <w:pStyle w:val="BookText"/>
      </w:pPr>
      <w:r>
        <w:rPr>
          <w:rFonts w:ascii="IRNazanin" w:hAnsi="IRNazanin" w:eastAsia="IRNazanin" w:cs="IRNazanin"/>
          <w:lang w:bidi="fa-IR"/>
          <w:color w:val="111111"/>
          <w:sz w:val="28"/>
          <w:szCs w:val="28"/>
          <w:rtl/>
        </w:rPr>
        <w:t xml:space="preserve">انجام: کشور دل تا دگر آباد کی خواهد شدن *** گر لگد کوب سپاه غم مراتب دیدمی</w:t>
      </w:r>
    </w:p>
    <w:p>
      <w:pPr>
        <w:pStyle w:val="BookText"/>
      </w:pPr>
      <w:r>
        <w:rPr>
          <w:rFonts w:ascii="IRNazanin" w:hAnsi="IRNazanin" w:eastAsia="IRNazanin" w:cs="IRNazanin"/>
          <w:lang w:bidi="fa-IR"/>
          <w:color w:val="111111"/>
          <w:sz w:val="28"/>
          <w:szCs w:val="28"/>
          <w:rtl/>
        </w:rPr>
        <w:t xml:space="preserve">شامل قطعاتی از سنائی ،عطار ،سعدی، شبستری و ....؛ خـط: شکسته نستعلیق، بی کا، تا: قرن ۱۴؛ کاغذ: فستقی و سفید، جـلد: تیماج لایه ای عنابی، ۱۵ سطر ،۵/۶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۱۳،اندازه: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 ف: 3- 1445]</w:t>
      </w:r>
    </w:p>
    <w:p>
      <w:pPr>
        <w:pStyle w:val="BookText"/>
      </w:pPr>
      <w:r>
        <w:rPr>
          <w:rFonts w:ascii="IRNazanin" w:hAnsi="IRNazanin" w:eastAsia="IRNazanin" w:cs="IRNazanin"/>
          <w:lang w:bidi="fa-IR"/>
          <w:color w:val="111111"/>
          <w:sz w:val="28"/>
          <w:szCs w:val="28"/>
          <w:rtl/>
        </w:rPr>
        <w:t xml:space="preserve">۱۴۶۲ . مشهد؛ رضوی؛ شماره نسخه: ۴۵۰۷</w:t>
      </w:r>
    </w:p>
    <w:p>
      <w:pPr>
        <w:pStyle w:val="BookText"/>
      </w:pPr>
      <w:r>
        <w:rPr>
          <w:rFonts w:ascii="IRNazanin" w:hAnsi="IRNazanin" w:eastAsia="IRNazanin" w:cs="IRNazanin"/>
          <w:lang w:bidi="fa-IR"/>
          <w:color w:val="111111"/>
          <w:sz w:val="28"/>
          <w:szCs w:val="28"/>
          <w:rtl/>
        </w:rPr>
        <w:t xml:space="preserve">آغاز: ز آنچه اوهم نوست و هم کهنست *** سخنست و درین سخن سخنست؛ انجام: در جادوی معلم پیران بابلی*** در نیکو مقدم ترکان خلخی</w:t>
      </w:r>
    </w:p>
    <w:p>
      <w:pPr>
        <w:pStyle w:val="BookText"/>
      </w:pPr>
      <w:r>
        <w:rPr>
          <w:rFonts w:ascii="IRNazanin" w:hAnsi="IRNazanin" w:eastAsia="IRNazanin" w:cs="IRNazanin"/>
          <w:lang w:bidi="fa-IR"/>
          <w:color w:val="111111"/>
          <w:sz w:val="28"/>
          <w:szCs w:val="28"/>
          <w:rtl/>
        </w:rPr>
        <w:t xml:space="preserve">منتخباتی است از اشعار نظامی گنجوی، ظهیر فاریابی، منوچهری دامغانی ،غضایری رازی، عنصری بلخی، فرخی سیستانی؛ خط: نستعلیق، بی کا، تا: قرن ۱۴؛ واقف نایینی؛ کاغذ: شکری فرنگی ،جلد: مقوایی، ۸۱گ، ۱۳ سطر (9/5</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اندازه: ۱۴/۸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۲۰/۸سم[ ف: ۷ - ۲۸۲]</w:t>
      </w:r>
    </w:p>
    <w:p>
      <w:pPr>
        <w:pStyle w:val="BookText"/>
      </w:pPr>
      <w:r>
        <w:rPr>
          <w:rFonts w:ascii="IRNazanin" w:hAnsi="IRNazanin" w:eastAsia="IRNazanin" w:cs="IRNazanin"/>
          <w:lang w:bidi="fa-IR"/>
          <w:color w:val="111111"/>
          <w:sz w:val="28"/>
          <w:szCs w:val="28"/>
          <w:rtl/>
        </w:rPr>
        <w:t xml:space="preserve">۱۴۶۳. تهران؛ دانشگاه؛ شماره نسخه: ۴۴۳۱</w:t>
      </w:r>
    </w:p>
    <w:p>
      <w:pPr>
        <w:pStyle w:val="BookText"/>
      </w:pPr>
      <w:r>
        <w:rPr>
          <w:rFonts w:ascii="IRNazanin" w:hAnsi="IRNazanin" w:eastAsia="IRNazanin" w:cs="IRNazanin"/>
          <w:lang w:bidi="fa-IR"/>
          <w:color w:val="111111"/>
          <w:sz w:val="28"/>
          <w:szCs w:val="28"/>
          <w:rtl/>
        </w:rPr>
        <w:t xml:space="preserve">اشعاری از: پیروی، حاجی بهرام بنیش، محمد باقر تابع، تسلى شیرازی، حکیم سعید، محمد ثبات، سید جلال الدین، قاضی روح الله ،رجالی، حسین زینتی، سلمان ساوجی، میرزا قلی میلی ،سابق، كليم، تقى الدين، علی نقی کمره ای، شهید قمی، حزین، میر هاشم، فصیحی انصاری، قاسم اردستانی، کمال اسماعیل، قاسم کاهی کابلی، لسانی شیرازی، مولا جلال، ملا مجلسی، مفید بلخی، هلالی سبزواری، مولوی سیستانی، نامی، نیکی، نعیم خیاط قزوینی، علی قلیخان واله، ولی قلندر قریشی (؟) هروی، وحشی یزدی ،واصفی، شمسای صغیر ،آهی ،فیاض، سحابی نجفی، پیر دهقان، صایب ،ملک مشرقی، رجایی، سید احمد خان، عشق الله، حشمت، حاتم، جامی، حکیم الله، فخر رازی، ناصح، مولوی روم، شیخ بهائی ،اوجی ،حافظ، ظهوری ترشیزی، بابا افضل کاشی، غزالی، شاه تهماسب، شیخ نجم الدین کبری، نجم الدین رازی، ،رابط، احمد یار خان یکتا ،عرفی، شاه عباس، نظیری،سید آقای اعظم پسر شیخ الاسلام، شاه درویش، زاهد على سخا، شوکت، ابو سعید ابو الخیر ،اهلی، آقا حسین خوانساری، سلطان المشايخ ،عماد اکرم، شاه نعمت الله ولی، قاضی رکن الدین، ابوتراب بیگ، عبدالباقی نهاوندی ،خیام، خسرو دهلوی، حاجی محمد خان قدسی ،طغرا، قاسم مشهدی، نعمت خان عالی، شاه طاهر دکنی، واله اردبیلی ،کاتبی، میرزا قلی میلی، میرزا ملک قمی، نادم گیلانی ،غنی، مهدی قلی سلیم، نسبتی، باذل، شهرت، ،ضمیری ،شایق، صیدی تهرانی، حامی سبزواری ،غزالی، شانی تكلو ،سعدی، خواجوی کرمانی، لسانی شیرازی، زکی همدانی، غياثا، ذوقی اردستانی، خایر مانی امانی (؟)، قزلباش خان امید، میر تشبیهی، حکیمی شفایی، میرزا جعفر واهب، حسن بيك رفيع، رضای کاشی ،شاکر تهرانی، حکیم سعید تنها، اقدسی، ایمنی نجفی، علی رضای تجلی، راقم، تقى الدين حربی، شمسای صفیر، آصفی، باقر، عهدی ساوجی، الله قلی، اوحدی مراغه ای، میر حاج انسی، فاطمه قواله، شاه رضی ،مظهر، نجف قلی بیک زنگنه، اغورلوخان زهرا اغلی، شادمان بیک ،کهکر، وحشی جوشقانی، آذری، عاری قلندر، ،ادانی، امدبیک قزوینی، طارکیان لاری ،حاکم، رشیدای قزوینی، میر ری شیرازی،اسمی هروی، اسماعیل میرزا انسی (؟) ،باندربیک، میرنجات، شرف الدین قلی نیام (؟)، ،مولانا کاشی ،فریبی، اعجاز ماندرانی ،اغورلوجان زیاداغلی، صهبا، حكيم، والهی قزوینی ،نظامی، اوحدی کرمانی، مظفر کرمانی ،نظری ضیایی ،اصفهانی ،صباحی، مهری ،(سراپا) میرزا ابوالقاسم اصفهانی ،نظیری، عنوان «من جامع هم دارد؛ خط:
</w:t>
      </w:r>
    </w:p>
    <w:p>
      <w:pPr>
        <w:sectPr>
          <w:footerReference w:type="default" r:id="rId8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نستعلیق، بی کا، تا: قرن ۱۳ و ۱۴؛ کاغذ: فرنگی ، جلد: تیماج مشکی، ۱۰۵گ، سطور چلیپا، ابعاد متن: 4</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 قطع: بياضی،  اندازه: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۱۳ - ۳۳۹۱]</w:t>
      </w:r>
    </w:p>
    <w:p>
      <w:pPr>
        <w:pStyle w:val="BookText"/>
      </w:pPr>
      <w:r>
        <w:rPr>
          <w:rFonts w:ascii="IRNazanin" w:hAnsi="IRNazanin" w:eastAsia="IRNazanin" w:cs="IRNazanin"/>
          <w:lang w:bidi="fa-IR"/>
          <w:color w:val="111111"/>
          <w:sz w:val="28"/>
          <w:szCs w:val="28"/>
          <w:rtl/>
        </w:rPr>
        <w:t xml:space="preserve">۱۴۶۴. تهران؛ دانشگاه؛ شماره نسخه: ۳۵۹۰</w:t>
      </w:r>
    </w:p>
    <w:p>
      <w:pPr>
        <w:pStyle w:val="BookText"/>
      </w:pPr>
      <w:r>
        <w:rPr>
          <w:rFonts w:ascii="IRNazanin" w:hAnsi="IRNazanin" w:eastAsia="IRNazanin" w:cs="IRNazanin"/>
          <w:lang w:bidi="fa-IR"/>
          <w:color w:val="111111"/>
          <w:sz w:val="28"/>
          <w:szCs w:val="28"/>
          <w:rtl/>
        </w:rPr>
        <w:t xml:space="preserve">ترجیع بند ساقی نامه خطایی که در آن از حاجی ستایش شـده است و «لب مثنوی ملای روم به دست رنج عبد خاطی خطایی» است؛ خط: نستعلیق، بی کا، تا: قرن ۱۳ و ۱۴ ؛کاغذ: فرنگی،جلد: تیماج مشکی مقوایی، ۹۷گ، ۱۲ سطر (۵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سم[ ف: ۱۲ - ۲۶۰۲]</w:t>
      </w:r>
    </w:p>
    <w:p>
      <w:pPr>
        <w:pStyle w:val="BookText"/>
      </w:pPr>
      <w:r>
        <w:rPr>
          <w:rFonts w:ascii="IRNazanin" w:hAnsi="IRNazanin" w:eastAsia="IRNazanin" w:cs="IRNazanin"/>
          <w:lang w:bidi="fa-IR"/>
          <w:color w:val="111111"/>
          <w:sz w:val="28"/>
          <w:szCs w:val="28"/>
          <w:rtl/>
        </w:rPr>
        <w:t xml:space="preserve">۱۴۶۵ .تهران؛ دانشگاه؛ شماره نسخه: ۳۴۰۰</w:t>
      </w:r>
    </w:p>
    <w:p>
      <w:pPr>
        <w:pStyle w:val="BookText"/>
      </w:pPr>
      <w:r>
        <w:rPr>
          <w:rFonts w:ascii="IRNazanin" w:hAnsi="IRNazanin" w:eastAsia="IRNazanin" w:cs="IRNazanin"/>
          <w:lang w:bidi="fa-IR"/>
          <w:color w:val="111111"/>
          <w:sz w:val="28"/>
          <w:szCs w:val="28"/>
          <w:rtl/>
        </w:rPr>
        <w:t xml:space="preserve">شعرهای نزدیک به نود سراینده فارسی که نام آنها عبارت است: بیدل ۴ ،نشاط، عاشق اصفهانی ۹، جامی ۱۱ ،هلالی، سیفی15، فنائی، حیرتی، هدایت، یغما، عرفی، زرگر ۱۹، مجمر26،پرویز، قاآنی ۳۵ ،انوری، شهاب ۴۰ ،ساغر ،کمال، رشید ۴۶، حافظ،بابا طاهر، عزیز ۶۹، حسینی ۷۶، طوفان، اختر ۸۴ ،نظیری ۸۹، میرزا نصیر طبی ،صفائی ،خادم، مولانا رومی ۹۹ ،قاضی یحیی لاهيـجی ۱۱۱ ،وحشی، حسرت ۱۵۰، مظهر، شرف قزوینی ۱۶۳، بهجت شیرازی ۲۰۱ ،نیکی ،آهی ،مانی، حیدر، صفی، ریاضی 209 ،فدائی ،صالح، شهیدی ۲۶۰ ،آصفی، نرگسی، مشتاق ۲۱۲، محتـشم ۲۲۷، قصاب ،کلیم ،وصال، هاتف ۲۳۲، آذر، صایب، داوری، شقاقی ۲۴۰، ناصر خسرو ،واهب ،سایل ،نظامی، هاشمی 263، ادهم، عصمت بخارایی، صابر اسکندر ۲۶۹، مسرور، پناهی 287 ،نامی، رفیق اصفهانی، ۳۰۰، هجری ،صفائی، سعدی ۳۲۹، میرزا محمد کسگنی، خسرو ۳۴۸ ،ازل،مصور، کامل ۳۶۱ ،شاهـی،</w:t>
      </w:r>
    </w:p>
    <w:p>
      <w:pPr>
        <w:pStyle w:val="BookText"/>
      </w:pPr>
      <w:r>
        <w:rPr>
          <w:rFonts w:ascii="IRNazanin" w:hAnsi="IRNazanin" w:eastAsia="IRNazanin" w:cs="IRNazanin"/>
          <w:lang w:bidi="fa-IR"/>
          <w:color w:val="111111"/>
          <w:sz w:val="28"/>
          <w:szCs w:val="28"/>
          <w:rtl/>
        </w:rPr>
        <w:t xml:space="preserve">اهلی ،سنگین، قربی ۳۷۳ ،میرزا تقی، واليه، نصرت، هما، ملا بمانعلی ۳۹۶، خسروی، میرزا گلچین صراف ۴۰۰؛ خط: نستعلیق، بی کا، تا: قرن ۱۳ و ۱۴؛ مجدول، با سرلوح آراسته؛ کاغذ: فرنگی ،جلد: تیماج حنایی ضربی مقوایی، ۲۰۴گ، ۱۰ سطر (7</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۱۱ - ۲۴۰۱]</w:t>
      </w:r>
    </w:p>
    <w:p>
      <w:pPr>
        <w:pStyle w:val="BookText"/>
      </w:pPr>
      <w:r>
        <w:rPr>
          <w:rFonts w:ascii="IRNazanin" w:hAnsi="IRNazanin" w:eastAsia="IRNazanin" w:cs="IRNazanin"/>
          <w:lang w:bidi="fa-IR"/>
          <w:color w:val="111111"/>
          <w:sz w:val="28"/>
          <w:szCs w:val="28"/>
          <w:rtl/>
        </w:rPr>
        <w:t xml:space="preserve">۱۴۶۶. تهران؛ دانشگاه؛ شماره نسخه: ۴۷۱۵</w:t>
      </w:r>
    </w:p>
    <w:p>
      <w:pPr>
        <w:pStyle w:val="BookText"/>
      </w:pPr>
      <w:r>
        <w:rPr>
          <w:rFonts w:ascii="IRNazanin" w:hAnsi="IRNazanin" w:eastAsia="IRNazanin" w:cs="IRNazanin"/>
          <w:lang w:bidi="fa-IR"/>
          <w:color w:val="111111"/>
          <w:sz w:val="28"/>
          <w:szCs w:val="28"/>
          <w:rtl/>
        </w:rPr>
        <w:t xml:space="preserve">اشعاری از: خسرو ،انوری ،خاقانی وطواط ،عنصری، امیدی ،معزی، شمس طبسی ،شرف، لطف الله نوری، نظام معمایی، ظهیر، رمزی همدانی، حسینی ،ظهوری ،سلطان محمد استرآبادی کاتبی، محمد همگر، رفیع شیرازی ،میر منجم ،بهشتی، کامران میرزا، حیدر سرج ،فانی،فریدون، شاه بدخشان ،انسی، عبدالواسع جبلی، اثیراومانی ،سلمان ،لسانی، غریبی خواجه ملا، شاه حسـین ،جلال، شیخ نجم ،ذهنی ،هجری ،ساقی، حیائی طبسی، علائی ،عاشقی ،نادری، شیرم شغال، معینی شیرازی، غیاث الدین فانی، شاه غریب میرزا ،هلالی ،ویسی، میر کوفته گر ،لقائی، میرعلی شیر ،مانی، قاضی میرک، حشمت فایقی ،خاکی، رستم علی، آزاد، میرزا علی حسینی ،سلمی ،فتاحی ،شهیدی، وحید تبریزی ،حیرانی ،مهری ،میرزا اصغر، شراری استرابادی، هاشم سمرقندی ،نرگسی، میر محمد یوسف ،مقیمی، ایوب ابوالبرکه ،یقینی، فانی، امیر نیازی، سلیمان فایضی سپاهانی، میرزا علی بخشی، مدامی، هاشمی ،بخارایی، حاجی سمرقندی، شیخ زاده لاهیجی، اهلی، مجروحی ،قربی، زلالی تبریزی ،بهشتی، واحدی مشهدی، محرمی ،مسعود ،عمادزاده ،قدیمی ،وصلی، عبدالوهاب، خواجه عماد ،قوامی، واقعی سپاهانی ،سعد ،بقائی، امیر صادقی، طالب ،مولاخواجكا، محمد بدخشی ،میرک خلقی، قاضی نور الله انسی ،بهاری ،موحدی ،ادابی، رضایی، قاضی یحیی، شرقی، میرزاسحا (؟) ،تبریزی، میر محمد حلمی رازی ،مقبول، مولانا اسعد پسر پسر مولانا جلال الدین دوانی ،شهیدی، رندی خراسانی، رندی قزوینی ،رهایی ،مایلی ،جفائی، ثنائی استرآبادی، ثنائی هروی، شیخ ابوالمجد، میر قاسم پسر شیخ اویس، ناظری، میر مفلسی، میرزا احمد دیلمی ،ابدال، ولی مازندرانی، ثانی کاهی، عصمت ،فارغی ،رمزی ،امیرشاهی، خواجه محتسب، سایل سمرقندی، ،صابر، عزالدین یوسف قزوینی ،باطنی، جزوی گلخنی، امیرحسین، و الهی، میر عزیز مشهدی، سید علی هاشمی، سید حیدر شریفی، میر منشی، سید اسدالله مشهدی، امیر زین العابدين، مير فتاح ،جامی، محمد پسر شیخ نظامی، حیدر قلندر حاضری، هاشمی ،طوسی ،کامی ،ناظر ،محمود خان، صدر کاتب،مشهدی، دهکی ،صافی، سیفی یادگار بیک، جمشید کاتب ،نادری ،مجلد ،سنائی، امیر فرامرز قزوینی، میر محمد واقعی، محب علی، خواجه ملک احمد کهپایی، ابوطاهر جلال دوانی، دهکی، نرگسی، محسن لاری ،نصفی ،فیاض، افضل ناجی ،صالح، محیی، نظری، امیر حاج، فکری، میرزا حسین سیفی ،مقبول، همایی، مدامی، فغانی، نظام، قدسی ،نورالله، خواجه یحیی، مجروحی، سیری، سلطان حسن استرابادی، ناصر الحق نوربخشی ،داعی، نصیبی نوربخشی،سید میر احمد داعی، فتحی ،فروغی، کمال اسماعیل، سوزنی، حافظی، میرزا شرف جهان ،ریاضی، فدائی لاهیجی ،وفائی، موسوی ،سامی، ابوالبرکات استرابادی، امیر همایون ،عبید زاکانی، قاضی عیسی، فیضی شاه معزالدین محمد صدر، شیبک شیبانی، مرعبدالباقی ،مراد حسامی ،امیدی ،خواجو، ازرقى صاحب الفيه و شلفیه ، میرزا شاه حسین ،رحمی، میلی کاشی، ادیب صابر ترمذی ،لسانی، کاتبی ،مجد، حسن، طالعی، میراحمد ذاتی، خیالی، دیوانه، بیکی سپاهانی، سید ذاتی ،خواجه ملک سپاهانی، ملک محمود  خان ،میرعبدالباقی ،سلامی ،اسیری، نصیبی، حاصلی؛ خط: نستعلیق، بی کا، تا: قرن ۱۳ و ۱۴؛ پس از این مهر و مشتری محمد عصار (۸۸-۱۰۵)، مجالس سعدی (۱۶۴-۱۶۶)، نصیحت ملوک او (۱۶۷-۱۷۰) گلستان او (۱۷۰-۱۷۳)، قصص الانبيا (۲۵۶- ۲۶۱)، تاریخ طبری به فارسی (۲۶۲) تفسیر کاشفی (۲۶۴-۲۶۶)، کتاب صيادنه ابوریحان (۲۶۸-۳۱۳) و کفایه منصوری (۳۱۴ -۳۲۷)؛ کاغذ: فرنگی ،جلد: تیماج قهوه ای زرکوب مقوایی آراسته کرد و عطف تریاکی ۱۶۷گ، ۲۱ سطر (۵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۱۴ - ۳۶۵۹]</w:t>
      </w:r>
    </w:p>
    <w:p>
      <w:pPr>
        <w:pStyle w:val="BookText"/>
      </w:pPr>
      <w:r>
        <w:rPr>
          <w:rFonts w:ascii="IRNazanin" w:hAnsi="IRNazanin" w:eastAsia="IRNazanin" w:cs="IRNazanin"/>
          <w:lang w:bidi="fa-IR"/>
          <w:color w:val="111111"/>
          <w:sz w:val="28"/>
          <w:szCs w:val="28"/>
          <w:rtl/>
        </w:rPr>
        <w:t xml:space="preserve">۱۴۶۷. تهران؛ دانشگاه؛ شماره نسخه: ۵۱۹۶
</w:t>
      </w:r>
    </w:p>
    <w:p>
      <w:pPr>
        <w:sectPr>
          <w:footerReference w:type="default" r:id="rId8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اشعاری از: انوری ،محتشم ،معزی، غضایری رازی ،امیدی، ادیب ،ازرقی، رشید وطواط، نظامی قمی، کمال الدين اسماعيل، سلـمان ساوجی، مصاحب نایینی، عبدالواسع جبلی ،عنصری، ابوالقاسم بلخی، جمال الدین عبدالرزاق، خاقانی، ناصر خسرو علوی و عمـعق بخارایی؛ خط: نستعلیق، بی کا، تا: قرن ۱۳ و ۱۴؛ در آغاز نسـخه آمده: «بیاض میرزا عبدالله تفرشی در بیست و دو جزو هفت ورق و هر جزوی ده ورق (۲۲۷ گ)؛ کاغذ: فرنگی ،جلد: تیماج مشکی، ۱۷۸گ، ۱۹ سطر ،(5</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 قطع: بیاضی ربعی، اندازه:۶/۵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۱۵ - ۴۱۴۶]</w:t>
      </w:r>
    </w:p>
    <w:p>
      <w:pPr>
        <w:pStyle w:val="BookText"/>
      </w:pPr>
      <w:r>
        <w:rPr>
          <w:rFonts w:ascii="IRNazanin" w:hAnsi="IRNazanin" w:eastAsia="IRNazanin" w:cs="IRNazanin"/>
          <w:lang w:bidi="fa-IR"/>
          <w:color w:val="111111"/>
          <w:sz w:val="28"/>
          <w:szCs w:val="28"/>
          <w:rtl/>
        </w:rPr>
        <w:t xml:space="preserve">۱۴۶۸. تهران؛ دانشگاه؛ شماره نسخه: ۴۹۴۲</w:t>
      </w:r>
    </w:p>
    <w:p>
      <w:pPr>
        <w:pStyle w:val="BookText"/>
      </w:pPr>
      <w:r>
        <w:rPr>
          <w:rFonts w:ascii="IRNazanin" w:hAnsi="IRNazanin" w:eastAsia="IRNazanin" w:cs="IRNazanin"/>
          <w:lang w:bidi="fa-IR"/>
          <w:color w:val="111111"/>
          <w:sz w:val="28"/>
          <w:szCs w:val="28"/>
          <w:rtl/>
        </w:rPr>
        <w:t xml:space="preserve">شعرهای: سعدی ،حافظ ،محتشم، یغما، بابا طاهر و غزل و ترجیع بند و رباعی است؛ خط: نستعلیق، بی کا، تا: قرن ۱۳و 14؛ مجدول؛ کاغذ: فرنگی رنگارنگ، جلد: تیماج تریاکی، ۹۶گ، سطور چلیپا، ابعاد متن: 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قطع: بیاضی،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۱۴ - ۴۰۵۳]</w:t>
      </w:r>
    </w:p>
    <w:p>
      <w:pPr>
        <w:pStyle w:val="BookText"/>
      </w:pPr>
      <w:r>
        <w:rPr>
          <w:rFonts w:ascii="IRNazanin" w:hAnsi="IRNazanin" w:eastAsia="IRNazanin" w:cs="IRNazanin"/>
          <w:lang w:bidi="fa-IR"/>
          <w:color w:val="111111"/>
          <w:sz w:val="28"/>
          <w:szCs w:val="28"/>
          <w:rtl/>
        </w:rPr>
        <w:t xml:space="preserve">۱۴۶۹. تهران؛ دانشگاه؛ شماره نسخه: ۷۸۵۳</w:t>
      </w:r>
    </w:p>
    <w:p>
      <w:pPr>
        <w:pStyle w:val="BookText"/>
      </w:pPr>
      <w:r>
        <w:rPr>
          <w:rFonts w:ascii="IRNazanin" w:hAnsi="IRNazanin" w:eastAsia="IRNazanin" w:cs="IRNazanin"/>
          <w:lang w:bidi="fa-IR"/>
          <w:color w:val="111111"/>
          <w:sz w:val="28"/>
          <w:szCs w:val="28"/>
          <w:rtl/>
        </w:rPr>
        <w:t xml:space="preserve">اشعاری از: عمعق بخارایی ،معری، ادیب صابر ،سوزنی، ظهیر، عثمان مختاری، ظهیر فارسی، فتح علی خان ملک الشعراء، رودکی، ابوالفرج رونی، اثیرالدین اومانی، فرید الدین احول، لامعی در متن؛ و منوچهری در هامش ۱۹ برگ نخستین؛ خـط: نستعلیق، بی کا، تا: قرن ۱۳ و ۱۴؛ در ص ع نام دیوان ازرقی هسـت ولی خود آن اکنون در نسخه نیست، با یادگاری اسماعیل برای آقا میرزا ناصر در محرم ۱۲۹۹ و دیگری در ۱۳۰۴ دراطاق کاغذی آقای حکیم باشی، با یادداشت مرگ میرزا احمد خان  مساعد الملك پسر میرزا تقی خان امیر در روز جمعه ۱۹ شوال ۱۲۸۴ در تهران ؛کاغذ: فرنگی، جلد: گالینگور، ۴۵گ، ۱۳ سـطر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قطع: ربعی،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 ۱۶ - ۷۱۹]</w:t>
      </w:r>
    </w:p>
    <w:p>
      <w:pPr>
        <w:pStyle w:val="BookText"/>
      </w:pPr>
      <w:r>
        <w:rPr>
          <w:rFonts w:ascii="IRNazanin" w:hAnsi="IRNazanin" w:eastAsia="IRNazanin" w:cs="IRNazanin"/>
          <w:lang w:bidi="fa-IR"/>
          <w:color w:val="111111"/>
          <w:sz w:val="28"/>
          <w:szCs w:val="28"/>
          <w:rtl/>
        </w:rPr>
        <w:t xml:space="preserve">۱۴۷۰. مشهد؛ رضوی؛ شماره نسخه: ۴۵۱۵</w:t>
      </w:r>
    </w:p>
    <w:p>
      <w:pPr>
        <w:pStyle w:val="BookText"/>
      </w:pPr>
      <w:r>
        <w:rPr>
          <w:rFonts w:ascii="IRNazanin" w:hAnsi="IRNazanin" w:eastAsia="IRNazanin" w:cs="IRNazanin"/>
          <w:lang w:bidi="fa-IR"/>
          <w:color w:val="111111"/>
          <w:sz w:val="28"/>
          <w:szCs w:val="28"/>
          <w:rtl/>
        </w:rPr>
        <w:t xml:space="preserve">آغاز: از آتش هجر سوخت چون پیکر ما *** مایل بوفا و مهرشد دلبر ما؛ انجام: و انگاه بگویش که بغفلت پی بر *** مغز سر کیقباد و چشم پرویز رباعیاتی است از شعرای مختلف به ترتیب قوافی که از حرف الـف تا زاء نوشته شده و باقی آن نانویس مانده؛ خط: شکسته نستعلیق، بی کا، تا: قرن ۱۴؛ واقف: نایینی؛ کاغذ: سفید فرنگی، جـلد: پارچه ای ،۷۲گ، اوراق مکتوب ۲۰، ۱۱ سطر (۶/۵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۱۷/۷سم [ف: ۷ - ۲۸۷]</w:t>
      </w:r>
    </w:p>
    <w:p>
      <w:pPr>
        <w:pStyle w:val="BookText"/>
      </w:pPr>
      <w:r>
        <w:rPr>
          <w:rFonts w:ascii="IRNazanin" w:hAnsi="IRNazanin" w:eastAsia="IRNazanin" w:cs="IRNazanin"/>
          <w:lang w:bidi="fa-IR"/>
          <w:color w:val="111111"/>
          <w:sz w:val="28"/>
          <w:szCs w:val="28"/>
          <w:rtl/>
        </w:rPr>
        <w:t xml:space="preserve">۱۴۷۱ . مشهد؛ رضوی؛ شماره نسخه: ۱۲۶۹۳</w:t>
      </w:r>
    </w:p>
    <w:p>
      <w:pPr>
        <w:pStyle w:val="BookText"/>
      </w:pPr>
      <w:r>
        <w:rPr>
          <w:rFonts w:ascii="IRNazanin" w:hAnsi="IRNazanin" w:eastAsia="IRNazanin" w:cs="IRNazanin"/>
          <w:lang w:bidi="fa-IR"/>
          <w:color w:val="111111"/>
          <w:sz w:val="28"/>
          <w:szCs w:val="28"/>
          <w:rtl/>
        </w:rPr>
        <w:t xml:space="preserve">آغاز: زرفشان سوی کمال آید ز عقرب آفتاب *** باده باقی بنوش و طره ساقی بتاب؛ انجام: تمام شد کتاب انشاء بتاريخ شب یک شنبه ... بماند سالها این نظم و ترتیب زما هر ذره خاک افتاده جائى الحقير و الفقير ... يونس</w:t>
      </w:r>
    </w:p>
    <w:p>
      <w:pPr>
        <w:pStyle w:val="BookText"/>
      </w:pPr>
      <w:r>
        <w:rPr>
          <w:rFonts w:ascii="IRNazanin" w:hAnsi="IRNazanin" w:eastAsia="IRNazanin" w:cs="IRNazanin"/>
          <w:lang w:bidi="fa-IR"/>
          <w:color w:val="111111"/>
          <w:sz w:val="28"/>
          <w:szCs w:val="28"/>
          <w:rtl/>
        </w:rPr>
        <w:t xml:space="preserve">مشتمل است بر غزلیات و قصایدی از شهاب ،بیدل، خاقانی،با مطلع: «صبح دم، چون کله بندد آه دود آسای من *** چون شـفق در خون نشیند چشم شب پیمای من»، و مطلع: «در کام صبح از ناف شب مشکست عمدا ریخته*** زرین هزاران نرگسه بر سقف مینا ریخته»، سلمان ساوجی، ادیب صابر، آقا حسن استرآبادی، قاآنی؛ و در انتها ۱ -مقداری از ترجمه الفيه ابن مالک، ۲- انموذجی از علم انشاء از ابوالقاسم بن آقا میرزا مهدی غلام یونس که در یک «مقدمه» و چهار «فصل» و یک «خاتمه» نوشته است؛ خط: نستعلیق و شکسته ،کا: ابوالقاسم بن آقا میرزا مهدی غلام یونس، تا: قرن ۱۴ ؛واقف: حسین کی استوان، آبان ماه ۱۳۴۸؛ کاغذ: شکری و حنایی، جلد: مقوایی مستعمل، ۷۱گ، مختلف السطر، اندازه: 11</w:t>
      </w:r>
      <w:r>
        <w:rPr>
          <w:rFonts w:ascii="Times New Roman" w:hAnsi="Times New Roman" w:eastAsia="Times New Roman" w:cs="Times New Roman"/>
          <w:lang w:val="en-US" w:bidi="en-US"/>
          <w:color w:val="111111"/>
          <w:sz w:val="28"/>
          <w:szCs w:val="28"/>
          <w:rtl/>
        </w:rPr>
        <w:t xml:space="preserve">×16/3</w:t>
      </w:r>
      <w:r>
        <w:rPr>
          <w:rFonts w:ascii="IRNazanin" w:hAnsi="IRNazanin" w:eastAsia="IRNazanin" w:cs="IRNazanin"/>
          <w:lang w:bidi="fa-IR"/>
          <w:color w:val="111111"/>
          <w:sz w:val="28"/>
          <w:szCs w:val="28"/>
          <w:rtl/>
        </w:rPr>
        <w:t xml:space="preserve">سم [ف: ۱۷ – ۸۸]</w:t>
      </w:r>
    </w:p>
    <w:p>
      <w:pPr>
        <w:pStyle w:val="BookText"/>
      </w:pPr>
      <w:r>
        <w:rPr>
          <w:rFonts w:ascii="IRNazanin" w:hAnsi="IRNazanin" w:eastAsia="IRNazanin" w:cs="IRNazanin"/>
          <w:lang w:bidi="fa-IR"/>
          <w:color w:val="111111"/>
          <w:sz w:val="28"/>
          <w:szCs w:val="28"/>
          <w:rtl/>
        </w:rPr>
        <w:t xml:space="preserve">۱۴۷۲ . مشهد؛ رضوی؛ شماره نسخه: ۱۲۹۳۶</w:t>
      </w:r>
    </w:p>
    <w:p>
      <w:pPr>
        <w:pStyle w:val="BookText"/>
      </w:pPr>
      <w:r>
        <w:rPr>
          <w:rFonts w:ascii="IRNazanin" w:hAnsi="IRNazanin" w:eastAsia="IRNazanin" w:cs="IRNazanin"/>
          <w:lang w:bidi="fa-IR"/>
          <w:color w:val="111111"/>
          <w:sz w:val="28"/>
          <w:szCs w:val="28"/>
          <w:rtl/>
        </w:rPr>
        <w:t xml:space="preserve">آغاز: اکبر میا بهر خدا با کفن نزد مادر *** منما مشوشم دیگر چون طره معتبر؛ انجام: حال آنکه خواجه با آن ادراک را کسی بنایست اشعارش را رد نماید و او را بد اعتقاد بخواند و السلام</w:t>
      </w:r>
    </w:p>
    <w:p>
      <w:pPr>
        <w:pStyle w:val="BookText"/>
      </w:pPr>
      <w:r>
        <w:rPr>
          <w:rFonts w:ascii="IRNazanin" w:hAnsi="IRNazanin" w:eastAsia="IRNazanin" w:cs="IRNazanin"/>
          <w:lang w:bidi="fa-IR"/>
          <w:color w:val="111111"/>
          <w:sz w:val="28"/>
          <w:szCs w:val="28"/>
          <w:rtl/>
        </w:rPr>
        <w:t xml:space="preserve">مشتمل است بر نوحه ای از زبان حال ام لیلا، و مثنوی مفصلی از «آمدن حضرت حسین علیه السلام از حرم محترم به جانب عراق و شرح حال ملال» تا «مراجعت فرنگی در صف کفاره ومناظره با ابن سعد نابکار و شهادت آن بزرگوار»، آغاز: مثنوی: «بسمله، دارم از ناسازگاری زمان*** داستانی از جفای آسمان»، انجام مثنوی: «نیستم حالت که آرم بر ملا *** بیش از این از داستان کربلا»، و ترکیب بندی از مضطر در سوگ امام حسین و اهل بیت (علیه السّلام) ، و شرح نسبتا مفصلی از غزل حافظ «دوش دیدم که ملایک در میخانه زدند»، و مختصری از عروض در تشخیص بحور در یازده صفحه، و در انتها صفحاتی در باب اصطلاحات عرفا و اهل محبت و شرح بعضی ابیات غزل های حافظ ضمیمه می باشد؛ خط: نستعلیق مخلوط به شکسته، بی کا، تا: قرن ۱۴؛ در پشت صفحه کتاب خط حیدر قلی کابلی مشهور به سردار کابلی و پسرش نور محمد دیده می شود؛ واقف: حسین کی استوان، آبان ماه ۱۳۴۸؛ کاغذ: نخودی ،جلد: مقوا با عطف و گوشه تیماج، ۱۴۸گ، ۱۷ سطر، اندازه : 10/5</w:t>
      </w:r>
      <w:r>
        <w:rPr>
          <w:rFonts w:ascii="Times New Roman" w:hAnsi="Times New Roman" w:eastAsia="Times New Roman" w:cs="Times New Roman"/>
          <w:lang w:val="en-US" w:bidi="en-US"/>
          <w:color w:val="111111"/>
          <w:sz w:val="28"/>
          <w:szCs w:val="28"/>
          <w:rtl/>
        </w:rPr>
        <w:t xml:space="preserve">×18/3</w:t>
      </w:r>
      <w:r>
        <w:rPr>
          <w:rFonts w:ascii="IRNazanin" w:hAnsi="IRNazanin" w:eastAsia="IRNazanin" w:cs="IRNazanin"/>
          <w:lang w:bidi="fa-IR"/>
          <w:color w:val="111111"/>
          <w:sz w:val="28"/>
          <w:szCs w:val="28"/>
          <w:rtl/>
        </w:rPr>
        <w:t xml:space="preserve">سم [ف ۱۷ - ۹۰]</w:t>
      </w:r>
    </w:p>
    <w:p>
      <w:pPr>
        <w:pStyle w:val="BookText"/>
      </w:pPr>
      <w:r>
        <w:rPr>
          <w:rFonts w:ascii="IRNazanin" w:hAnsi="IRNazanin" w:eastAsia="IRNazanin" w:cs="IRNazanin"/>
          <w:lang w:bidi="fa-IR"/>
          <w:color w:val="111111"/>
          <w:sz w:val="28"/>
          <w:szCs w:val="28"/>
          <w:rtl/>
        </w:rPr>
        <w:t xml:space="preserve">۱۴۷۳. تهران؛ دانشگاه؛ شماره نسخه: ۴۳۱۴</w:t>
      </w:r>
    </w:p>
    <w:p>
      <w:pPr>
        <w:pStyle w:val="BookText"/>
      </w:pPr>
      <w:r>
        <w:rPr>
          <w:rFonts w:ascii="IRNazanin" w:hAnsi="IRNazanin" w:eastAsia="IRNazanin" w:cs="IRNazanin"/>
          <w:lang w:bidi="fa-IR"/>
          <w:color w:val="111111"/>
          <w:sz w:val="28"/>
          <w:szCs w:val="28"/>
          <w:rtl/>
        </w:rPr>
        <w:t xml:space="preserve">شعرهای فارسی از: سراج (۴)، عریان سقا، ثابت (۱۰)، قطور ،(۱۲) فردی ،چاوش مضطر ،(۱۹) ، عبید (۳۰) ، صغیر، ناطقا، بلهی، يحيا صامت (۳۹) ابن حسام شاطر ،(۵۳) اعمی ،ملا تقی (۶۲)، كفاش (۸۰) ، جوزا، شایق (۹۸) ،کهتر، نوایی (۱۱۳) خالص (۱۲۶) ،آزاد، بیدل ،(۱۳۸) فارسی، شیدا (۱۴۳) ،زمرد ،ویران، حقیقی، فقیری (۱۶۸)؛ بیشتر شعرها در ستایش و سوگواری مذهبی است و سست؛ خط: شکسته نستعلیق، بی کا، تا: قرن ۱۳ و ۱۴؛ کاغذ: فرنگی ،جلد: تیماج سرخ ضربی مقوایی، ۹۴گ، ۱۵ سطر (7</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سطر،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 ۱۳ - ۳۲۷۷]</w:t>
      </w:r>
    </w:p>
    <w:p>
      <w:pPr>
        <w:pStyle w:val="BookText"/>
      </w:pPr>
      <w:r>
        <w:rPr>
          <w:rFonts w:ascii="IRNazanin" w:hAnsi="IRNazanin" w:eastAsia="IRNazanin" w:cs="IRNazanin"/>
          <w:lang w:bidi="fa-IR"/>
          <w:color w:val="111111"/>
          <w:sz w:val="28"/>
          <w:szCs w:val="28"/>
          <w:rtl/>
        </w:rPr>
        <w:t xml:space="preserve">۱۴۷۴. تهران؛ دانشگاه؛ شماره نسخه: ۴۳۵۶</w:t>
      </w:r>
    </w:p>
    <w:p>
      <w:pPr>
        <w:pStyle w:val="BookText"/>
      </w:pPr>
      <w:r>
        <w:rPr>
          <w:rFonts w:ascii="IRNazanin" w:hAnsi="IRNazanin" w:eastAsia="IRNazanin" w:cs="IRNazanin"/>
          <w:lang w:bidi="fa-IR"/>
          <w:color w:val="111111"/>
          <w:sz w:val="28"/>
          <w:szCs w:val="28"/>
          <w:rtl/>
        </w:rPr>
        <w:t xml:space="preserve">شعر فارسی است در مناجات، ستایش مذهبی ،مرثیه، آغاز سی و شش غزل، سپس شعر فارسی در توحید، ترک دنیا از سنایی، و
</w:t>
      </w:r>
    </w:p>
    <w:p>
      <w:pPr>
        <w:sectPr>
          <w:footerReference w:type="default" r:id="rId8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شعر مولوی و قاسم و بهایی و نسیمی و حاجی رضا و سحابی دیگران؛ خط: نسخ ،بی کا، تا: قرن ۱۳ و ۱۴؛ کاغذ: فرنگی، تیماج مشکی ضربی، ۲۲۴گ، ۲۰ سطر (7</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سطر، اندازه: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۱۳ - ۳۳۱۳]</w:t>
      </w:r>
    </w:p>
    <w:p>
      <w:pPr>
        <w:pStyle w:val="BookText"/>
      </w:pPr>
      <w:r>
        <w:rPr>
          <w:rFonts w:ascii="IRNazanin" w:hAnsi="IRNazanin" w:eastAsia="IRNazanin" w:cs="IRNazanin"/>
          <w:lang w:bidi="fa-IR"/>
          <w:color w:val="111111"/>
          <w:sz w:val="28"/>
          <w:szCs w:val="28"/>
          <w:rtl/>
        </w:rPr>
        <w:t xml:space="preserve">۱۴۷۵. تهران؛ دانشگاه؛ شماره نسخه: ۴۳۶۳</w:t>
      </w:r>
    </w:p>
    <w:p>
      <w:pPr>
        <w:pStyle w:val="BookText"/>
      </w:pPr>
      <w:r>
        <w:rPr>
          <w:rFonts w:ascii="IRNazanin" w:hAnsi="IRNazanin" w:eastAsia="IRNazanin" w:cs="IRNazanin"/>
          <w:lang w:bidi="fa-IR"/>
          <w:color w:val="111111"/>
          <w:sz w:val="28"/>
          <w:szCs w:val="28"/>
          <w:rtl/>
        </w:rPr>
        <w:t xml:space="preserve">شعرهای فارسی از حاجی عباس، قاسمخان، مایل سپاهانی، کلانتر، جلال، کمال غیاث، کاظم گروسی. بندهای منثور فارسی هم دارد یکی بعنوان «شکایت از روزگار غدار و زمانه ستمکار جفا کار»؛ خط: شکسته نستعلیق، بی کا، تا: قرن ۱۳ کا تا قرن ۱۳ و ۱۴؛ کاغذ: فرنگی کبود ،جلد: مقوا، ۱۱گ، سطور چلیپا، ابعاد متن: ۱۰</w:t>
      </w:r>
      <w:r>
        <w:rPr>
          <w:rFonts w:ascii="Times New Roman" w:hAnsi="Times New Roman" w:eastAsia="Times New Roman" w:cs="Times New Roman"/>
          <w:lang w:val="en-US" w:bidi="en-US"/>
          <w:color w:val="111111"/>
          <w:sz w:val="28"/>
          <w:szCs w:val="28"/>
          <w:rtl/>
        </w:rPr>
        <w:t xml:space="preserve">× 19</w:t>
      </w:r>
      <w:r>
        <w:rPr>
          <w:rFonts w:ascii="IRNazanin" w:hAnsi="IRNazanin" w:eastAsia="IRNazanin" w:cs="IRNazanin"/>
          <w:lang w:bidi="fa-IR"/>
          <w:color w:val="111111"/>
          <w:sz w:val="28"/>
          <w:szCs w:val="28"/>
          <w:rtl/>
        </w:rPr>
        <w:t xml:space="preserve">،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۱۳ - ۳۳۳۳]</w:t>
      </w:r>
    </w:p>
    <w:p>
      <w:pPr>
        <w:pStyle w:val="BookText"/>
      </w:pPr>
      <w:r>
        <w:rPr>
          <w:rFonts w:ascii="IRNazanin" w:hAnsi="IRNazanin" w:eastAsia="IRNazanin" w:cs="IRNazanin"/>
          <w:lang w:bidi="fa-IR"/>
          <w:color w:val="111111"/>
          <w:sz w:val="28"/>
          <w:szCs w:val="28"/>
          <w:rtl/>
        </w:rPr>
        <w:t xml:space="preserve">۱۴۷۶. تهران؛ دانشگاه؛ شماره نسخه: ۴۳۶۷</w:t>
      </w:r>
    </w:p>
    <w:p>
      <w:pPr>
        <w:pStyle w:val="BookText"/>
      </w:pPr>
      <w:r>
        <w:rPr>
          <w:rFonts w:ascii="IRNazanin" w:hAnsi="IRNazanin" w:eastAsia="IRNazanin" w:cs="IRNazanin"/>
          <w:lang w:bidi="fa-IR"/>
          <w:color w:val="111111"/>
          <w:sz w:val="28"/>
          <w:szCs w:val="28"/>
          <w:rtl/>
        </w:rPr>
        <w:t xml:space="preserve">آغاز: که ازهجران چوبینی خسته را*** در افغان یاد کن ما را؛ انجام: من که بودم از وفا یار شما ***یاری از یاران وفادار شما نیمه دوم تعزیه و سوگواری است به نظم و نثر فارسی و به کار تعزیه خوانها می ماند و باید ساخته سده ۱۳ و ۱۴ باشد؛ نـیمه نخستین آن مثنوی است عاشقانه و در میانه آن آمده: «ای ز تو جان منور پر ز درد *** و ز غمت چهر منور کشته زرد»؛ خط: نسخ نستعلیق، بی کا، تا: قرن ۱۳ و ۱۴؛ کاغذ: فرنگی ،جلد: تیماج تریاکی ضربی ،۷۶گ، سطور چلیپا، ابعاد متن: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 ، قـطع: بیاضی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۱۳ - ۳۳۳۶  ]</w:t>
      </w:r>
    </w:p>
    <w:p>
      <w:pPr>
        <w:pStyle w:val="BookText"/>
      </w:pPr>
      <w:r>
        <w:rPr>
          <w:rFonts w:ascii="IRNazanin" w:hAnsi="IRNazanin" w:eastAsia="IRNazanin" w:cs="IRNazanin"/>
          <w:lang w:bidi="fa-IR"/>
          <w:color w:val="111111"/>
          <w:sz w:val="28"/>
          <w:szCs w:val="28"/>
          <w:rtl/>
        </w:rPr>
        <w:t xml:space="preserve">۱۴۷۷. تهران؛ دانشگاه؛ شماره نسخه: ۴۳۷۲</w:t>
      </w:r>
    </w:p>
    <w:p>
      <w:pPr>
        <w:pStyle w:val="BookText"/>
      </w:pPr>
      <w:r>
        <w:rPr>
          <w:rFonts w:ascii="IRNazanin" w:hAnsi="IRNazanin" w:eastAsia="IRNazanin" w:cs="IRNazanin"/>
          <w:lang w:bidi="fa-IR"/>
          <w:color w:val="111111"/>
          <w:sz w:val="28"/>
          <w:szCs w:val="28"/>
          <w:rtl/>
        </w:rPr>
        <w:t xml:space="preserve">دوازده بند محتشم، پیش واقعه روضه و روضه ظهوری، دواه بند «عباس»، مثنوی های نصرت و مقبول و مخلص و صالح و لطفی و نوحی و نسیم و زاهد علی و طالع و الفتی و خموش و شرف همه اینها در سوگواری و تعزیت است و نسخه مانند فردی است برای تعزیه خوانان؛ خط: نستعلیق خوش، بی کا، تا: قرن 13و ۱۴؛ در دوستون،مجدول زر و لاجورد ؛کاغذ: فرنگی آهار مهـره ،جلد: تيماج مشکی ضربی ،۲۲۶گ، ۱۶ سطر (8</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قـطع: بیاضی،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۱۳ - ۳۳۳۹]</w:t>
      </w:r>
    </w:p>
    <w:p>
      <w:pPr>
        <w:pStyle w:val="BookText"/>
      </w:pPr>
      <w:r>
        <w:rPr>
          <w:rFonts w:ascii="IRNazanin" w:hAnsi="IRNazanin" w:eastAsia="IRNazanin" w:cs="IRNazanin"/>
          <w:lang w:bidi="fa-IR"/>
          <w:color w:val="111111"/>
          <w:sz w:val="28"/>
          <w:szCs w:val="28"/>
          <w:rtl/>
        </w:rPr>
        <w:t xml:space="preserve">۱۴۷۸. تهران؛ دانشگاه؛ شماره نسخه: ۴۳۶۵</w:t>
      </w:r>
    </w:p>
    <w:p>
      <w:pPr>
        <w:pStyle w:val="BookText"/>
      </w:pPr>
      <w:r>
        <w:rPr>
          <w:rFonts w:ascii="IRNazanin" w:hAnsi="IRNazanin" w:eastAsia="IRNazanin" w:cs="IRNazanin"/>
          <w:lang w:bidi="fa-IR"/>
          <w:color w:val="111111"/>
          <w:sz w:val="28"/>
          <w:szCs w:val="28"/>
          <w:rtl/>
        </w:rPr>
        <w:t xml:space="preserve">اشعاری از: حافظ ،فروغ، قاآنی، میرزا ابوالقاسم قایم مقام، میـرزا نعیم سپاهانی (بهاریه)، شهاب الدین محمد بن رشید غزنوی معاصر سنایی، طیان کرمانی، خیام نیشابوری، فرید الدین محـمد عطار، لطف الله معاصر تیمور، ابوبکر ازرقی ،بنایی، فخرالدین ستایشگر سنجر، کمال اسمعیل، امیر حسینی، طفیلی، ملالی ترک، جغتایی، نظامی قمی، میر سید یوسف راغب اردبیلی، مجیر بیلقانی ،خاقانی، عزالدین معاصر ،ابوالعلا ،خاقانی، ستایشگر شیـر وانشاه، فلکی شاگرد ابوالعلی و همدرس خاقانی و ستایشگر منوچهر شاه، ابوالعلای گنجوی ستایشگر شر و انشاه، جلال الدين، اوحدی مراغه ای ستایشگر ارغونشاه ،انوری، بایزید بسطامی در گذشته ۲۷۹، ضیایی آذربایجانی، حیدری از فرزندان لسان شیرازی، فردوسی، وحشی کرمانی، عسجدی، قطران، عنصری در پاسخ غضایری؛ خط: نستعلیق، بی کا، تا: قرن ۱۳و ۱۴؛ افتادگی: آغاز و انجام؛ کاغذ: فرنگی، جلد: تیماج سرخ، ،۶۵گ، ۲۱ 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 ،قطع: بیاضی،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[ف:13- 3334]</w:t>
      </w:r>
    </w:p>
    <w:p>
      <w:pPr>
        <w:pStyle w:val="BookText"/>
      </w:pPr>
      <w:r>
        <w:rPr>
          <w:rFonts w:ascii="IRNazanin" w:hAnsi="IRNazanin" w:eastAsia="IRNazanin" w:cs="IRNazanin"/>
          <w:lang w:bidi="fa-IR"/>
          <w:color w:val="111111"/>
          <w:sz w:val="28"/>
          <w:szCs w:val="28"/>
          <w:rtl/>
        </w:rPr>
        <w:t xml:space="preserve">۱۴۷۹. تهران؛ دانشگاه؛ شماره نسخه: ۴۳۷۸</w:t>
      </w:r>
    </w:p>
    <w:p>
      <w:pPr>
        <w:pStyle w:val="BookText"/>
      </w:pPr>
      <w:r>
        <w:rPr>
          <w:rFonts w:ascii="IRNazanin" w:hAnsi="IRNazanin" w:eastAsia="IRNazanin" w:cs="IRNazanin"/>
          <w:lang w:bidi="fa-IR"/>
          <w:color w:val="111111"/>
          <w:sz w:val="28"/>
          <w:szCs w:val="28"/>
          <w:rtl/>
        </w:rPr>
        <w:t xml:space="preserve">گرد آورده موسوی و روی هم با شعرهای خود او نزدیک ۱۱۰۰ بیت می شود، شامل شعرهای فارسی موسوی گردآوردنده جنگ نزدیک به ۱۶۰ بیت ،میرزا شهاب سمیرمی نزدیک ۷۸ بیت، میرزا قلزم سپاهانی نزدیک ۵۵۰ بیت، میرزا عبدالحمید شکوه نزدیک ۱۷۳ بیت، عمعق بخارایی نزدیک به ۱۱۴ بیت، مسعود سعد در ۱۰ بیت؛ خط: شکسته نستعلیق، بی کا، تا: قرن ۱۳ و ۱۴؛ کاغذ: فرنگی، جلد: مقوا ،۲۶گ، چلیپا ابعاد متن: 9</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قطع: بیاضی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سم [ف ۱۳ - ۳۳۴۳]</w:t>
      </w:r>
    </w:p>
    <w:p>
      <w:pPr>
        <w:pStyle w:val="BookText"/>
      </w:pPr>
      <w:r>
        <w:rPr>
          <w:rFonts w:ascii="IRNazanin" w:hAnsi="IRNazanin" w:eastAsia="IRNazanin" w:cs="IRNazanin"/>
          <w:lang w:bidi="fa-IR"/>
          <w:color w:val="111111"/>
          <w:sz w:val="28"/>
          <w:szCs w:val="28"/>
          <w:rtl/>
        </w:rPr>
        <w:t xml:space="preserve">۱۴۸۰. تهران؛ دانشگاه؛ شماره نسخه: ۴۳۹۲</w:t>
      </w:r>
    </w:p>
    <w:p>
      <w:pPr>
        <w:pStyle w:val="BookText"/>
      </w:pPr>
      <w:r>
        <w:rPr>
          <w:rFonts w:ascii="IRNazanin" w:hAnsi="IRNazanin" w:eastAsia="IRNazanin" w:cs="IRNazanin"/>
          <w:lang w:bidi="fa-IR"/>
          <w:color w:val="111111"/>
          <w:sz w:val="28"/>
          <w:szCs w:val="28"/>
          <w:rtl/>
        </w:rPr>
        <w:t xml:space="preserve">شعرهای فارسی: محبی، طالب، صبوحی، طبيب، فياض، وحدت،  ذره، فغانی، صائب ،مجنون ،عاشق ،اسد، میر صیدی تهرانی، میرزا علی رضای تجلی، (معراج الخيال ص ۶۹)، ملا نادم، ظهوری، سالک (ساقینامه)، حاجی یحیی استرآبادی در ستایش هند و اورنگ آباد، عرفی، با شعر فرصت در تعریف شاه جهان شاه عباس و چهل ستون مورخ ۱۰۵۳ (= مسكن عيش شاه دين عباس)، عنوان «ضیافت نامه» هم دارد؛ خط: شکسته نستعلیق، بی کا، تا: قرن ۱۳ و ۱۴؛ کاغذ: فرنگی آهار مهره کبود و سفید، جلد: تیماج عنابی ،۶۴گ، سطور چلیپا، ابعاد متن: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 ۱۳ - ۳۳۵۷]</w:t>
      </w:r>
    </w:p>
    <w:p>
      <w:pPr>
        <w:pStyle w:val="BookText"/>
      </w:pPr>
      <w:r>
        <w:rPr>
          <w:rFonts w:ascii="IRNazanin" w:hAnsi="IRNazanin" w:eastAsia="IRNazanin" w:cs="IRNazanin"/>
          <w:lang w:bidi="fa-IR"/>
          <w:color w:val="111111"/>
          <w:sz w:val="28"/>
          <w:szCs w:val="28"/>
          <w:rtl/>
        </w:rPr>
        <w:t xml:space="preserve">۱۴۸۱. تهران؛ دانشگاه؛ شماره نسخه: ۴۳۹۶</w:t>
      </w:r>
    </w:p>
    <w:p>
      <w:pPr>
        <w:pStyle w:val="BookText"/>
      </w:pPr>
      <w:r>
        <w:rPr>
          <w:rFonts w:ascii="IRNazanin" w:hAnsi="IRNazanin" w:eastAsia="IRNazanin" w:cs="IRNazanin"/>
          <w:lang w:bidi="fa-IR"/>
          <w:color w:val="111111"/>
          <w:sz w:val="28"/>
          <w:szCs w:val="28"/>
          <w:rtl/>
        </w:rPr>
        <w:t xml:space="preserve">شعرهای فارسی از ،سعدی ،عاشق ،خیام، حافظ، رودکی، میرزا نصر الله صدرالممالک، هلالی، میرزا ابوالحسن، یغما، آذر بیگدلی، ،مشتاق ،مجمر ،عطار، میرزا عباس فروغی، فخری هروی ،نظیری، وحشی طبیب سپاهانی ،محتشم، امیدی تهرانی، ادیب صابر، نشاط «حکایت در مذمت قیاس» و قصه صدر جهان؛ خط: شکسته نستعلیق، بی کا، تا: قرن ۱۳ و ۱۴ ؛ از راست و چپ؛ کاغذ: فرنگی ،جلد: تیماج مشکی ضربی، ۹۱گ، سطور چلیپا، ابعاد متن: 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 ،قطع: بیاضی، اندازه: 8</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 ۱۳ - ۳۳۶۰]</w:t>
      </w:r>
    </w:p>
    <w:p>
      <w:pPr>
        <w:pStyle w:val="BookText"/>
      </w:pPr>
      <w:r>
        <w:rPr>
          <w:rFonts w:ascii="IRNazanin" w:hAnsi="IRNazanin" w:eastAsia="IRNazanin" w:cs="IRNazanin"/>
          <w:lang w:bidi="fa-IR"/>
          <w:color w:val="111111"/>
          <w:sz w:val="28"/>
          <w:szCs w:val="28"/>
          <w:rtl/>
        </w:rPr>
        <w:t xml:space="preserve">۱۴۸۲. تهران؛ دانشگاه؛ شماره نسخه: ۴۳۹۷</w:t>
      </w:r>
    </w:p>
    <w:p>
      <w:pPr>
        <w:pStyle w:val="BookText"/>
      </w:pPr>
      <w:r>
        <w:rPr>
          <w:rFonts w:ascii="IRNazanin" w:hAnsi="IRNazanin" w:eastAsia="IRNazanin" w:cs="IRNazanin"/>
          <w:lang w:bidi="fa-IR"/>
          <w:color w:val="111111"/>
          <w:sz w:val="28"/>
          <w:szCs w:val="28"/>
          <w:rtl/>
        </w:rPr>
        <w:t xml:space="preserve">شعرهای فارسی از سعدی ،صبا ،جامی، طبیب، صافی ،عاشق ،مجمر ،سحاب، خاقان (فتحعلیشاه) ،نشاط، غزل و رباعی؛خط: شکسته نستعلیق خوش، بی کا، تا: قرن ۱۳ و ۱۴؛ مذهب، با سرلوح مجدول؛ كاغذ: فرنگی، جلد: تیماج سبز ضربی، ۶۵گ، سطور چلیپا، ۶ بیت، ابعاد متن: 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۱۳ – ۳۳۶۰]</w:t>
      </w:r>
    </w:p>
    <w:p>
      <w:pPr>
        <w:pStyle w:val="BookText"/>
      </w:pPr>
      <w:r>
        <w:rPr>
          <w:rFonts w:ascii="IRNazanin" w:hAnsi="IRNazanin" w:eastAsia="IRNazanin" w:cs="IRNazanin"/>
          <w:lang w:bidi="fa-IR"/>
          <w:color w:val="111111"/>
          <w:sz w:val="28"/>
          <w:szCs w:val="28"/>
          <w:rtl/>
        </w:rPr>
        <w:t xml:space="preserve">۱۴۸۳. تهران؛ دانشگاه؛ شماره نسخه: ۴۳۹۸</w:t>
      </w:r>
    </w:p>
    <w:p>
      <w:pPr>
        <w:pStyle w:val="BookText"/>
      </w:pPr>
      <w:r>
        <w:rPr>
          <w:rFonts w:ascii="IRNazanin" w:hAnsi="IRNazanin" w:eastAsia="IRNazanin" w:cs="IRNazanin"/>
          <w:lang w:bidi="fa-IR"/>
          <w:color w:val="111111"/>
          <w:sz w:val="28"/>
          <w:szCs w:val="28"/>
          <w:rtl/>
        </w:rPr>
        <w:t xml:space="preserve">شعرهای فارسی سعدی ،رشکی، آذر و دیگران، و بیت های پراکنده ای است هر دسته ای درباره یک موضوع مانند: تسلیم و اطاعت اوامر و میل معشوق و شکایت از دوست و بی اثر بودن
</w:t>
      </w:r>
    </w:p>
    <w:p>
      <w:pPr>
        <w:sectPr>
          <w:footerReference w:type="default" r:id="rId8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شکایت؛ خط: نستعلیق، بی کا، تا: قرن ۱۳ و ۱۴؛ افتادگی: آغاز و انجام ؛کاغذ: فرنگی ،جلد: تیماج تریاکی ضربی، ۷۳گ، سطور چلیپا، ابعاد متن: 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قطع: بیاضی، اندازه: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 ۱۳ - ۳۳۶۱]</w:t>
      </w:r>
    </w:p>
    <w:p>
      <w:pPr>
        <w:pStyle w:val="BookText"/>
      </w:pPr>
      <w:r>
        <w:rPr>
          <w:rFonts w:ascii="IRNazanin" w:hAnsi="IRNazanin" w:eastAsia="IRNazanin" w:cs="IRNazanin"/>
          <w:lang w:bidi="fa-IR"/>
          <w:color w:val="111111"/>
          <w:sz w:val="28"/>
          <w:szCs w:val="28"/>
          <w:rtl/>
        </w:rPr>
        <w:t xml:space="preserve">۱۴۸۴. تهران؛ دانشگاه؛ شماره نسخه: ۴۴۰۵</w:t>
      </w:r>
    </w:p>
    <w:p>
      <w:pPr>
        <w:pStyle w:val="BookText"/>
      </w:pPr>
      <w:r>
        <w:rPr>
          <w:rFonts w:ascii="IRNazanin" w:hAnsi="IRNazanin" w:eastAsia="IRNazanin" w:cs="IRNazanin"/>
          <w:lang w:bidi="fa-IR"/>
          <w:color w:val="111111"/>
          <w:sz w:val="28"/>
          <w:szCs w:val="28"/>
          <w:rtl/>
        </w:rPr>
        <w:t xml:space="preserve">غزل های فارسی[ از شماره صفحات در فهرست آمده اسـت]: آصفی ،اختر ،احمد ،انوری ،اهلی، بیانی ،پرتوی ،جامی، جلالی ،حافظ، حزین، حسینی ،حیرانی ،خسرو ،درویش ،دوایی، ذبیحی، ملا حسین رفیق، سائلی ،سعدی ،سلمان ،سید ،سیفی، شوکت، شراری ،صائب ،صفی، صهبای قمی، صیدی، ضیائی، طالب،بابا طاهر ، طاهری ،طبیب ،طغرا ،طوفان، عادلی ،عاشق، عبیدی،عرفی ،عزیز ،عصمت ،عهدی ،غمگین ،فانی ،فخری، فدا یی،فریدون ،قصبا، قضائی ،کلیم ،کمال ،مانی، محتشم، محرمی، مخلص ،مشتاق ،مشفق ،نجات ،نثاری ،نظری ،نیازی، وحشـی ،وفایی ،هاتف ،هلالی ،همایون؛ خط: نستعلیق، بی کا، تا: قرن 13و ۱۴؛ کاغذ: فرنگی ، جلد:تیماج مشکی ضربی، ۱۰۶گ ، سطور چلیپا، ابعاد متن: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 قطع: بیاضی، اندازه: ۱۰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۲۰ سم [ف : ۱۳ - 3366]</w:t>
      </w:r>
    </w:p>
    <w:p>
      <w:pPr>
        <w:pStyle w:val="BookText"/>
      </w:pPr>
      <w:r>
        <w:rPr>
          <w:rFonts w:ascii="IRNazanin" w:hAnsi="IRNazanin" w:eastAsia="IRNazanin" w:cs="IRNazanin"/>
          <w:lang w:bidi="fa-IR"/>
          <w:color w:val="111111"/>
          <w:sz w:val="28"/>
          <w:szCs w:val="28"/>
          <w:rtl/>
        </w:rPr>
        <w:t xml:space="preserve">۱۴۸۵ . مشهد؛ رضوی؛ شماره نسخه: ۱۴۹۸۶</w:t>
      </w:r>
    </w:p>
    <w:p>
      <w:pPr>
        <w:pStyle w:val="BookText"/>
      </w:pPr>
      <w:r>
        <w:rPr>
          <w:rFonts w:ascii="IRNazanin" w:hAnsi="IRNazanin" w:eastAsia="IRNazanin" w:cs="IRNazanin"/>
          <w:lang w:bidi="fa-IR"/>
          <w:color w:val="111111"/>
          <w:sz w:val="28"/>
          <w:szCs w:val="28"/>
          <w:rtl/>
        </w:rPr>
        <w:t xml:space="preserve">آغاز: بسمله، سر دفتر کارها بود نام خدا؛ انجام: تشنه آخر داد و جان کربلا رویت سفید</w:t>
      </w:r>
    </w:p>
    <w:p>
      <w:pPr>
        <w:pStyle w:val="BookText"/>
      </w:pPr>
      <w:r>
        <w:rPr>
          <w:rFonts w:ascii="IRNazanin" w:hAnsi="IRNazanin" w:eastAsia="IRNazanin" w:cs="IRNazanin"/>
          <w:lang w:bidi="fa-IR"/>
          <w:color w:val="111111"/>
          <w:sz w:val="28"/>
          <w:szCs w:val="28"/>
          <w:rtl/>
        </w:rPr>
        <w:t xml:space="preserve">مشتمل است بر مثنوی و قصیده و مسمط و ترجیع بند و رباعیاتی در مرثیه و نوحه و مصیبت و مدح ائمه اطهار (علیهم السّلام) از صامت، راقم، شمس تبریزی ،دهقان، فانی مقدس، میرزا يحيى، حاجب، طاهر؛ خط: نستعلیق بد و مغلوط، بی کا، تا: قرن ۱۴، واقف: حاج میرزا علی اصغر طوسی، اردیبهشت ماه ۱۳۶۴ ؛کاغذ: خط دار فرنگـی ،جلد: مقوایی اسقاطی، ۶۰گ، مختلف السطر،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۱۹/۳سم [ف: ۱۷ – ۹۴]</w:t>
      </w:r>
    </w:p>
    <w:p>
      <w:pPr>
        <w:pStyle w:val="BookText"/>
      </w:pPr>
      <w:r>
        <w:rPr>
          <w:rFonts w:ascii="IRNazanin" w:hAnsi="IRNazanin" w:eastAsia="IRNazanin" w:cs="IRNazanin"/>
          <w:lang w:bidi="fa-IR"/>
          <w:color w:val="111111"/>
          <w:sz w:val="28"/>
          <w:szCs w:val="28"/>
          <w:rtl/>
        </w:rPr>
        <w:t xml:space="preserve">۱۴۸۶. مشهد؛ رضوی؛ شماره نسخه: ۱۶۶۵۵</w:t>
      </w:r>
    </w:p>
    <w:p>
      <w:pPr>
        <w:pStyle w:val="BookText"/>
      </w:pPr>
      <w:r>
        <w:rPr>
          <w:rFonts w:ascii="IRNazanin" w:hAnsi="IRNazanin" w:eastAsia="IRNazanin" w:cs="IRNazanin"/>
          <w:lang w:bidi="fa-IR"/>
          <w:color w:val="111111"/>
          <w:sz w:val="28"/>
          <w:szCs w:val="28"/>
          <w:rtl/>
        </w:rPr>
        <w:t xml:space="preserve">آغاز: خبر کن آن طبیب عاشقان را *** که تا شربت دهد بیمار ما را؛ انجام:نسخه ظاهرش چون کور کافر پر خلل *** باطنش قهر خدای عزوجل، السلام على من اتبع الهدى.</w:t>
      </w:r>
    </w:p>
    <w:p>
      <w:pPr>
        <w:pStyle w:val="BookText"/>
      </w:pPr>
      <w:r>
        <w:rPr>
          <w:rFonts w:ascii="IRNazanin" w:hAnsi="IRNazanin" w:eastAsia="IRNazanin" w:cs="IRNazanin"/>
          <w:lang w:bidi="fa-IR"/>
          <w:color w:val="111111"/>
          <w:sz w:val="28"/>
          <w:szCs w:val="28"/>
          <w:rtl/>
        </w:rPr>
        <w:t xml:space="preserve">مجموعه ای بی سر و ته، مشتمل است بر غزلیات و مثنویات (ساقی نامه) رباعیات و فردیاتی از جلال الدین محمد مولوی بلخی، فقیر دهلوی، حقیری گیلانی، فضل الله مشهدی، فیضـی دکنی، فغانی شیرازی، قاسم تبریزی، قطایی خوارزمی، قادری هندوستانی، قیری بغدادی، قطب جامی، کمال خجندی، کوهی شیرازی، لطف الله نیشابوری، مجدالدین بغدادی، محمد غزالی، معین چشتی، مسعود بخارائی ،مؤمن یزدی، مشقی دهلوی، مرشدی زواره ،مغربی تبریزی، بیدل دهلوی، بینوای بدخشانی، بهائی عاملی، تشبیهی ،کاشانی، مولانا جمالی دهلوی، جمـالی اردستانی، حمیدالدین ناگوری، حسینی هروی، حزین لاهیجی، خسرو دهلوی، خواجوی کرمانی، خلیل طالقانی، خیالی هروی، خاطری کاشانی، ذوقی اردستانی، رضی الدین نیشابوری، رفیـعی نیشابوری، رضی غزنوی، روزبهان شیرازی، ارتیمای تویسرکان،رامح هندوستانی، رفیقای یزدی، زرکوب تبريزيف زين الدين تایبادی، سعدالدین حموی، سیف الدین باخرزی، سحابی استرابادی، سرمد کاشی، صباحی بیدگلی کاشانی، خاوری کوزه کنانی، خاکی شیرازی، راز شیرازی، رحمت کوزه کنانی، رضا علی شاه دکنی، رونق کرمانی، زاهد گیلانی، ساغر شیرازی، شهاب ترشیزی، شحنه خراسانی، صایبی کاشانی، صفایی نراقی، طبیب شیرازی، ظفر کرمانی، میانی جهرمی، علی کرمانی، عارف اصفهانی، غالب طهرانی، فخری ایروانی، فانی اصفهانی، قانع شیرازی، کامل خراسانی، کوثر همدانی، کوثر هندوستانی، محوی استرآبادی، مظفر کرمانی، مجذوب همدانی، منور رازی، محجوب ترشیزی، معطر کرمانی، مجمر اصفهانی،نشاط اصفهانی، منظور شیرازی، نادری کازرونی، نغمه خراسانی، نوری مازندرانی، نور علی شاه، وصال شیرازی، وحدت هندوستانی، بایزید بسطامی، شیخ ابوالحسن خرقانی، ابو سعید ابوالخیر، انصاری هروی، احمد جامی، اسیری لاهیجی، ابوالوفای خوارزمی، اسیری اصفهانی، ایزدی یزدی، ابراهیم اردوبادی، بوحفض خوزی، برهان کرمانی، بابا شاه عراقی، میرزا علی محمد تویسرکانی متخلص به عشرت، دوست خان عمادالدین حسینی، قاسمی، بدیع الزمان، میرزا الله حبیب الله حیدری، جامی، هاتفی خرجردی، ابن حسام، تاج الدين اسماعیل ،رهایی، علاءالدوله ،یمینی، فرخی، اقدسی، ثنائی ،حزینی ،دانش ،سایر، صالحی ،غزالی، ناطق اصفهانی، مدعی، صافی ،امید ،ثابت، ثبات ،حزین ،بیلقانی، فردوسی، حقیری، هلالی، وفایی، میرزا احمد اسلامی، آقا حسين، جاوید، ميرزا احمد امامی تویسرکانی، لاهوتی، پسر اسلامی، محوی (از یکی از غزلیات حافظ استقبال کرده است) ،انوری ،طالب، قمری، امیر همایون [اسفراینی] خاقانی ،شروانی، میرزا نصر الله اصفهانی متخلص به رضوان شاه، مجمر ،مازندرانی، مختوم نیشابوری، نجم الدین خوارزمی، ناظر کازرونی، وحشت بختیاری، واله داغستانی، وصفی کرمانی،هاشمی کرمانی، هندوی ترکستانی، یحیی نیشابوری، ابو علی سینای بلخی، افضل کاشی، ابو سعید رقیق شیرازی، دوایی یزدی، انوری ابیوردی، بندار رازی، باقی تبریزی، بدیهی سجاوندی، جمال اصفهانی، حسین یزدی، حارثی مروی، حسن ،غزنونی، حسامی خوارزمی، حسین خوانساری، حسن دهلوی، حکیم طبسی ،خیام، خلیفه سلطان مازندرانی، دوائی کازرونی، ذوقی کاشانی، رفیع الدین کرمانی، روحی سمرقندی، رضایی شیرازی، زکی شیرازی، زین الدین فسوی، شهاب الدین سهروردی، شرف یزدی، شریف جرجانی ،شمس شیرازی، شرف اصفهانی، شفایی اصفهانی، صدر شیرازی، صفی اصفهانی، طالب جاجرمی، ظهیر فاریابی، غالب خوزی، فارسی خجندی، ملا محسن فیض کاشانی، فدایی لاهیجانی، فکری خراسانی، فیاض لاهيجى، فتح الله شیرازی، فخرالدین رازی، فتحی ترمذی، فانی دهدار، فیضی تربتی ،قوامی ،خافی کمال اصفهانی، کافری شیرازی، کامل خلخالی، لطفی شیرازی، معینی جامی، نصیرالدین
</w:t>
      </w:r>
    </w:p>
    <w:p>
      <w:pPr>
        <w:sectPr>
          <w:footerReference w:type="default" r:id="rId8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طوسی نوری شوشتری، نسیمی شیرازی، نظیری نیشابوری، واله بروجردی، واعظ قزوینی، واحد تبریزی، وقوعی سمنانی، هـمام تبریزی، هلالی جغتائی، یحیی لاهیجی، اگه شیرازی، اسـرار سبزواری، اخگر کرمانی، آزاد کشمیری، ایاز عاشق، بسـمل شیرازی، بهار دارایی، بهجت شیرازی، تمکین شیرازی، حسرت همدانی، حسن نهاوندی، خاکی خراسانی، و در انتهای نسخه ،نامه دوستانه ای از شخص ناشناس با نثر زیبایی، ضمیمه می باشد؛ خط: نستعلیق تحریری و شکسته، بی کا، تا: قرن ۱۴؛ کاغذ: الوان، جـلد: پارچه ای مستعمل، ۱۳۷گ، مختلف السطر ، اندازه: 12</w:t>
      </w:r>
      <w:r>
        <w:rPr>
          <w:rFonts w:ascii="Times New Roman" w:hAnsi="Times New Roman" w:eastAsia="Times New Roman" w:cs="Times New Roman"/>
          <w:lang w:val="en-US" w:bidi="en-US"/>
          <w:color w:val="111111"/>
          <w:sz w:val="28"/>
          <w:szCs w:val="28"/>
          <w:rtl/>
        </w:rPr>
        <w:t xml:space="preserve">×19/3</w:t>
      </w:r>
      <w:r>
        <w:rPr>
          <w:rFonts w:ascii="IRNazanin" w:hAnsi="IRNazanin" w:eastAsia="IRNazanin" w:cs="IRNazanin"/>
          <w:lang w:bidi="fa-IR"/>
          <w:color w:val="111111"/>
          <w:sz w:val="28"/>
          <w:szCs w:val="28"/>
          <w:rtl/>
        </w:rPr>
        <w:t xml:space="preserve">سم[ ف: ۱۷- ۹۸]</w:t>
      </w:r>
    </w:p>
    <w:p>
      <w:pPr>
        <w:pStyle w:val="BookText"/>
      </w:pPr>
      <w:r>
        <w:rPr>
          <w:rFonts w:ascii="IRNazanin" w:hAnsi="IRNazanin" w:eastAsia="IRNazanin" w:cs="IRNazanin"/>
          <w:lang w:bidi="fa-IR"/>
          <w:color w:val="111111"/>
          <w:sz w:val="28"/>
          <w:szCs w:val="28"/>
          <w:rtl/>
        </w:rPr>
        <w:t xml:space="preserve">۱۴۸۷. تهران؛ مجلس؛ شماره نسخه: ۲۳۳۹/۳</w:t>
      </w:r>
    </w:p>
    <w:p>
      <w:pPr>
        <w:pStyle w:val="BookText"/>
      </w:pPr>
      <w:r>
        <w:rPr>
          <w:rFonts w:ascii="IRNazanin" w:hAnsi="IRNazanin" w:eastAsia="IRNazanin" w:cs="IRNazanin"/>
          <w:lang w:bidi="fa-IR"/>
          <w:color w:val="111111"/>
          <w:sz w:val="28"/>
          <w:szCs w:val="28"/>
          <w:rtl/>
        </w:rPr>
        <w:t xml:space="preserve">آغاز: شبها از سوز ناله زارم عجب مدار *** بر گوش پنبه گرنهد از صبح روزگار؛ انجام: زد بعالم در ظلال خضر جوش *** دین و ایمان و جان و دل کردم نثار</w:t>
      </w:r>
    </w:p>
    <w:p>
      <w:pPr>
        <w:pStyle w:val="BookText"/>
      </w:pPr>
      <w:r>
        <w:rPr>
          <w:rFonts w:ascii="IRNazanin" w:hAnsi="IRNazanin" w:eastAsia="IRNazanin" w:cs="IRNazanin"/>
          <w:lang w:bidi="fa-IR"/>
          <w:color w:val="111111"/>
          <w:sz w:val="28"/>
          <w:szCs w:val="28"/>
          <w:rtl/>
        </w:rPr>
        <w:t xml:space="preserve">شامل منتخبی از اشعار شعرای زیر: سلطان ابو سعید (39) عصمت بخاری (۶۵) محمود بهشتی ،عرفی ،مولوی، خیام (74) ،مخلص، بهاءالدین صفی قلی بیک، ناصر علی، صائب صامـت، جامی (۷۶)، میرنجات، ملا قاسم (۸۰) ، وحيد الزمانى، عبدالمولی ،اسر، نورس ،(۸۶) ،سابق ،خیالی ،کلیم ،خالصی (۹۶)، حسن خـان ،رفیع، سعدی (۱۰۳)، زلالی (۱۰۷)؛ خط: شکسته نستعلیق، خوش، بی کا، تا: قرن ۱۴؛ سطور چلیپا، مجدول زر؛ کاغذ: اصفهـانی زرفشان ،جلد: تیماج قهوه ای، ۱۳۳ ص ۱۲ سطر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۶/۵) ،اندازه: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۸ - ۴۹]</w:t>
      </w:r>
    </w:p>
    <w:p>
      <w:pPr>
        <w:pStyle w:val="BookText"/>
      </w:pPr>
      <w:r>
        <w:rPr>
          <w:rFonts w:ascii="IRNazanin" w:hAnsi="IRNazanin" w:eastAsia="IRNazanin" w:cs="IRNazanin"/>
          <w:lang w:bidi="fa-IR"/>
          <w:color w:val="111111"/>
          <w:sz w:val="28"/>
          <w:szCs w:val="28"/>
          <w:rtl/>
        </w:rPr>
        <w:t xml:space="preserve">۱۴۸۸. تهران؛ مجلس؛ شماره نسخه: ۲۳۴۱</w:t>
      </w:r>
    </w:p>
    <w:p>
      <w:pPr>
        <w:pStyle w:val="BookText"/>
      </w:pPr>
      <w:r>
        <w:rPr>
          <w:rFonts w:ascii="IRNazanin" w:hAnsi="IRNazanin" w:eastAsia="IRNazanin" w:cs="IRNazanin"/>
          <w:lang w:bidi="fa-IR"/>
          <w:color w:val="111111"/>
          <w:sz w:val="28"/>
          <w:szCs w:val="28"/>
          <w:rtl/>
        </w:rPr>
        <w:t xml:space="preserve">آغاز:ای در دل مشتاقان از یاد تو بستانها*** بر حجت بیچونی از وضع تو برهانها؛ انجام: استوارم بدار اگر گویم *** مدعی استـوار بایستی</w:t>
      </w:r>
    </w:p>
    <w:p>
      <w:pPr>
        <w:pStyle w:val="BookText"/>
      </w:pPr>
      <w:r>
        <w:rPr>
          <w:rFonts w:ascii="IRNazanin" w:hAnsi="IRNazanin" w:eastAsia="IRNazanin" w:cs="IRNazanin"/>
          <w:lang w:bidi="fa-IR"/>
          <w:color w:val="111111"/>
          <w:sz w:val="28"/>
          <w:szCs w:val="28"/>
          <w:rtl/>
        </w:rPr>
        <w:t xml:space="preserve">مشتمل بر منتخب اشعار از: سنایی (۱-۳۴) ۴۹۲ بیت، رودکی و قطران (۳۴-۶۱)، مسعود سعد (۶۱-۹۸) ۵۴۸ بیت، عضایری رازی (۹۸ و ۹۹) ، ادیب صابر ( ۱۰۰ - ۱۱۵) ۲۳۰ بیت، ناصر خسرو علوی (۱۴۸-۱۱۵) ۷۷ بیت، جمال الدین اصفهانی (۱۴۸-۱۵۹) 164 بیت، کمال اسمعیل (۱۵۹- ۱۷۲) ۱۱۴ بیت، مختاری غزنوی (۱۷۵-۱۷۳)، عمادی غزنوی (۱۷۵-۱۷۸)، ۴۲ بیت؛ خط: شکـسته نستعلیق، بی کا، تا: قرن ۱۴؛ کاغذ: فرنگی ،جلد: تیماج قهوه ای ضربی عطف و سجاف تیماج سیاه، ۱۷۸ص، ۱۵ سطر (6</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۸ - ۵۳]</w:t>
      </w:r>
    </w:p>
    <w:p>
      <w:pPr>
        <w:pStyle w:val="BookText"/>
      </w:pPr>
      <w:r>
        <w:rPr>
          <w:rFonts w:ascii="IRNazanin" w:hAnsi="IRNazanin" w:eastAsia="IRNazanin" w:cs="IRNazanin"/>
          <w:lang w:bidi="fa-IR"/>
          <w:color w:val="111111"/>
          <w:sz w:val="28"/>
          <w:szCs w:val="28"/>
          <w:rtl/>
        </w:rPr>
        <w:t xml:space="preserve">۱۴۸۹. تهران؛ دانشگاه؛ شماره نسخه: ۴۳۵۳</w:t>
      </w:r>
    </w:p>
    <w:p>
      <w:pPr>
        <w:pStyle w:val="BookText"/>
      </w:pPr>
      <w:r>
        <w:rPr>
          <w:rFonts w:ascii="IRNazanin" w:hAnsi="IRNazanin" w:eastAsia="IRNazanin" w:cs="IRNazanin"/>
          <w:lang w:bidi="fa-IR"/>
          <w:color w:val="111111"/>
          <w:sz w:val="28"/>
          <w:szCs w:val="28"/>
          <w:rtl/>
        </w:rPr>
        <w:t xml:space="preserve">شعرهای فارسی :مهر ،قاآنی ،کمال ،صدری ،مولوی، فاتـح،مجرم،بهار در ستایش شاه عباس ،حشمت ،رفیق، بابا طاهر،محتشم ،شریف، سعدی ،امین ،احمد، منشی، مخزن، حافظ،نیز قسمت نامه میراث (۳) بحر طویل در بیست بند (129- 138)؛ بندی به نثر فارسی (۱۸۸)؛ خط: شکسته نستعلیق، بی کا، تا: قـرن ۱۴؛ کاغذ: فرنگی رنگارنگ، جلد: تیماج سرخ، ۱۶۱گ، 13 سطر (۵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قطع: بیاضی، اندازه: ۶</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۱۴سم [ف: ۱۳ - ۳۳۰۸]</w:t>
      </w:r>
    </w:p>
    <w:p>
      <w:pPr>
        <w:pStyle w:val="BookText"/>
      </w:pPr>
      <w:r>
        <w:rPr>
          <w:rFonts w:ascii="IRNazanin" w:hAnsi="IRNazanin" w:eastAsia="IRNazanin" w:cs="IRNazanin"/>
          <w:lang w:bidi="fa-IR"/>
          <w:color w:val="111111"/>
          <w:sz w:val="28"/>
          <w:szCs w:val="28"/>
          <w:rtl/>
        </w:rPr>
        <w:t xml:space="preserve">۱۴۹۰. تهران؛ دانشگاه؛ شماره نسخه: ۴۳۸۶</w:t>
      </w:r>
    </w:p>
    <w:p>
      <w:pPr>
        <w:pStyle w:val="BookText"/>
      </w:pPr>
      <w:r>
        <w:rPr>
          <w:rFonts w:ascii="IRNazanin" w:hAnsi="IRNazanin" w:eastAsia="IRNazanin" w:cs="IRNazanin"/>
          <w:lang w:bidi="fa-IR"/>
          <w:color w:val="111111"/>
          <w:sz w:val="28"/>
          <w:szCs w:val="28"/>
          <w:rtl/>
        </w:rPr>
        <w:t xml:space="preserve">شعرهای فارسی است به وزن مثنوی؛ خط: شکسته نستعلیق خوش، بی کا، تا: قرن ۱۴؛ مجدول زر و لاجورد؛ کاغذ: فرنگی نخودی ،جلد: تيماج مقوا، ۸گ، ۱۱ سطر (۴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قطع: بیاضی، اندازه: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۱۳ - ۳۳۴۸]</w:t>
      </w:r>
    </w:p>
    <w:p>
      <w:pPr>
        <w:pStyle w:val="BookText"/>
      </w:pPr>
      <w:r>
        <w:rPr>
          <w:rFonts w:ascii="IRNazanin" w:hAnsi="IRNazanin" w:eastAsia="IRNazanin" w:cs="IRNazanin"/>
          <w:lang w:bidi="fa-IR"/>
          <w:color w:val="111111"/>
          <w:sz w:val="28"/>
          <w:szCs w:val="28"/>
          <w:rtl/>
        </w:rPr>
        <w:t xml:space="preserve">۱۴۹۱. تهران؛ دانشگاه؛ شماره نسخه: ۴۴۲۰</w:t>
      </w:r>
    </w:p>
    <w:p>
      <w:pPr>
        <w:pStyle w:val="BookText"/>
      </w:pPr>
      <w:r>
        <w:rPr>
          <w:rFonts w:ascii="IRNazanin" w:hAnsi="IRNazanin" w:eastAsia="IRNazanin" w:cs="IRNazanin"/>
          <w:lang w:bidi="fa-IR"/>
          <w:color w:val="111111"/>
          <w:sz w:val="28"/>
          <w:szCs w:val="28"/>
          <w:rtl/>
        </w:rPr>
        <w:t xml:space="preserve">شامل: ۱- مثنوی ترکی میر فتاح در سوگواری و تعزیه حسین (علیه السّلام) به ترکی، ۲- مخمس ملا رفیع از دوازده بند ملا محتشم، ۳- چهارده بند حاجی سلیمان صباحی، ۴ -مرثیه و تعزیه مقبل؛ خط: نسخ، بی کا، تا: قرن ۱۴؛ کاغذ: فرنگی، جلد: تیماج مشکی نقره کوب، ۱۵۷گ، سطور چلیپا، ابعاد متن: 6</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قطع: بیاضی ، اندازه: 11</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سم [ف: ۱۳ - ۳۳۸۴]</w:t>
      </w:r>
    </w:p>
    <w:p>
      <w:pPr>
        <w:pStyle w:val="BookText"/>
      </w:pPr>
      <w:r>
        <w:rPr>
          <w:rFonts w:ascii="IRNazanin" w:hAnsi="IRNazanin" w:eastAsia="IRNazanin" w:cs="IRNazanin"/>
          <w:lang w:bidi="fa-IR"/>
          <w:color w:val="111111"/>
          <w:sz w:val="28"/>
          <w:szCs w:val="28"/>
          <w:rtl/>
        </w:rPr>
        <w:t xml:space="preserve">۱۴۹۲. تهران؛ دانشگاه؛ شماره نسخه: ۴۴۲۹</w:t>
      </w:r>
    </w:p>
    <w:p>
      <w:pPr>
        <w:pStyle w:val="BookText"/>
      </w:pPr>
      <w:r>
        <w:rPr>
          <w:rFonts w:ascii="IRNazanin" w:hAnsi="IRNazanin" w:eastAsia="IRNazanin" w:cs="IRNazanin"/>
          <w:lang w:bidi="fa-IR"/>
          <w:color w:val="111111"/>
          <w:sz w:val="28"/>
          <w:szCs w:val="28"/>
          <w:rtl/>
        </w:rPr>
        <w:t xml:space="preserve">شعرهای سعدی و هلالی و قاآنی در آن هست؛ خط: نستعلیق، بی کا، تا: قرن ۱۴؛ مجدول زر و لاجورد؛ کاغذ: فرنگی، جلد: تیماج قهوه ای ضربی، ۴۹گ، سطور چلیپا، ابعاد متن: 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قطع:بیاضی، اندازه: 8</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[ف: ۱۳ - ۳۳۹۰]</w:t>
      </w:r>
    </w:p>
    <w:p>
      <w:pPr>
        <w:pStyle w:val="BookText"/>
      </w:pPr>
      <w:r>
        <w:rPr>
          <w:rFonts w:ascii="IRNazanin" w:hAnsi="IRNazanin" w:eastAsia="IRNazanin" w:cs="IRNazanin"/>
          <w:lang w:bidi="fa-IR"/>
          <w:color w:val="111111"/>
          <w:sz w:val="28"/>
          <w:szCs w:val="28"/>
          <w:rtl/>
        </w:rPr>
        <w:t xml:space="preserve">۱۴۹۳. تهران؛ دانشگاه؛ شماره نسخه: ۴۴۳۲</w:t>
      </w:r>
    </w:p>
    <w:p>
      <w:pPr>
        <w:pStyle w:val="BookText"/>
      </w:pPr>
      <w:r>
        <w:rPr>
          <w:rFonts w:ascii="IRNazanin" w:hAnsi="IRNazanin" w:eastAsia="IRNazanin" w:cs="IRNazanin"/>
          <w:lang w:bidi="fa-IR"/>
          <w:color w:val="111111"/>
          <w:sz w:val="28"/>
          <w:szCs w:val="28"/>
          <w:rtl/>
        </w:rPr>
        <w:t xml:space="preserve">غزل از: تشنه ،بیکس ،عیانی، قاضی شریف، نیاز، محتشم، هدایت (رضا قلیخان) ،سعدی، نظیری، خاقان و عرفی است و عنوان «بیمار و طبیب» هم در آن هست؛ خط: نستعلیق،  بی کا، تا: قرن ۱۴؛ مجدول؛ کاغذ: فرنگی، جلد: تیماج تریاکی با رویه پارچه ای، ۷۳گ، سطور چلیپا، ابعاد متن ،5</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 قطع: بیاضی، اندازه: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۱۳ – ۳۳۹۳]</w:t>
      </w:r>
    </w:p>
    <w:p>
      <w:pPr>
        <w:pStyle w:val="BookText"/>
      </w:pPr>
      <w:r>
        <w:rPr>
          <w:rFonts w:ascii="IRNazanin" w:hAnsi="IRNazanin" w:eastAsia="IRNazanin" w:cs="IRNazanin"/>
          <w:lang w:bidi="fa-IR"/>
          <w:color w:val="111111"/>
          <w:sz w:val="28"/>
          <w:szCs w:val="28"/>
          <w:rtl/>
        </w:rPr>
        <w:t xml:space="preserve">۱۴۹۴. تهران؛ دانشگاه؛ شماره نسخه: ۲۵۶۳</w:t>
      </w:r>
    </w:p>
    <w:p>
      <w:pPr>
        <w:pStyle w:val="BookText"/>
      </w:pPr>
      <w:r>
        <w:rPr>
          <w:rFonts w:ascii="IRNazanin" w:hAnsi="IRNazanin" w:eastAsia="IRNazanin" w:cs="IRNazanin"/>
          <w:lang w:bidi="fa-IR"/>
          <w:color w:val="111111"/>
          <w:sz w:val="28"/>
          <w:szCs w:val="28"/>
          <w:rtl/>
        </w:rPr>
        <w:t xml:space="preserve">اشعاری از [شماره صفحات در فهرست آمده است ]:نشاطی خان ،مسکین ،قاآنی، درویش محفلی ،عارف ،هما، ادیب جرپادقانی، فتحعلی خان صبا، مجمر ،فردوسی، عبدالواسع جبلی، وصال، دلشاد،وحشی ،نظامی، میرزا سعید فدا،میر فندرسکی ،هاتف، خرم آقا عبد المجيد، يغما جندقی، سلمان ساوجی، بیزی میرزا محمد علی، دارا عبد الله ،میرزا عصمت بخاری ،سوزنی، نشاط، ملا حسین کوچک، غارت، ملک قاسم نقاش، ملا محمد على ولد ملا سبز علی اصفهانی؛ خط: نستعليق، كا: على متخلص به راقم، تا: قرن ۱۴؛ تملک: احمد یزدی پسر آقا محمد یزدی دلال در ۷ ربیع1338؛ کاغذ: فرنگی ،جلد: تیماج تریاکی ضربی مقوایی درون سبز، ۱۶۰ گ، ۱۵ سطر (۵/۸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۲۲/۵سم [ف: ۹ - ۱۳۵۳]</w:t>
      </w:r>
    </w:p>
    <w:p>
      <w:pPr>
        <w:pStyle w:val="BookText"/>
      </w:pPr>
      <w:r>
        <w:rPr>
          <w:rFonts w:ascii="IRNazanin" w:hAnsi="IRNazanin" w:eastAsia="IRNazanin" w:cs="IRNazanin"/>
          <w:lang w:bidi="fa-IR"/>
          <w:color w:val="111111"/>
          <w:sz w:val="28"/>
          <w:szCs w:val="28"/>
          <w:rtl/>
        </w:rPr>
        <w:t xml:space="preserve">۱۴۹۵. تهران؛ دانشگاه؛ شماره نسخه: ۳۳۷۷</w:t>
      </w:r>
    </w:p>
    <w:p>
      <w:pPr>
        <w:pStyle w:val="BookText"/>
      </w:pPr>
      <w:r>
        <w:rPr>
          <w:rFonts w:ascii="IRNazanin" w:hAnsi="IRNazanin" w:eastAsia="IRNazanin" w:cs="IRNazanin"/>
          <w:lang w:bidi="fa-IR"/>
          <w:color w:val="111111"/>
          <w:sz w:val="28"/>
          <w:szCs w:val="28"/>
          <w:rtl/>
        </w:rPr>
        <w:t xml:space="preserve">قصیده و غزل و ترجیع خانواده وصال است و ستایش حسن دریابیگی هم  در آن هست (ص ۱۲۳ و ۱۲۶ و ص ۱۲۹)، و شامل قصاید و ترکیب بند وصال (۱-۷۳)، وقار (۷۴-۸۹ و ۱۲۲)طوبی ( ۹۰ - ۱۰۵ و ۱۲۴)، صبور (۱۰۶ - ۱۲۰ و ۱۲۵)، ضياء زنبور (۱۲۰) (این چهار پسر وصال هستند) صابر (۱۲۳-۱۲۴) حجاب (۱۲۶)،
</w:t>
      </w:r>
    </w:p>
    <w:p>
      <w:pPr>
        <w:sectPr>
          <w:footerReference w:type="default" r:id="rId8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خلیل (۱۲۷-۱۲۸) (این سه برادر زاده وصال هستند)، میرزا علی اکبر ندیم پسر گلشن (۱۲۸-۱۳۱)، و حزین برادرزاده وصال (۱۳۳ -۱۳۶)؛ خط: نستعلیق خوش، بی کا، تا: قرن ۱۴؛ کاغذ: فرنگی، جلد: تیماج قهوه ای ضربی مقوایی، ۶۹گ، ۱۴ سـطر (۵/۵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۱۶/۵سم [ف : ۱۱ - ۲۳۷۶]</w:t>
      </w:r>
    </w:p>
    <w:p>
      <w:pPr>
        <w:pStyle w:val="BookText"/>
      </w:pPr>
      <w:r>
        <w:rPr>
          <w:rFonts w:ascii="IRNazanin" w:hAnsi="IRNazanin" w:eastAsia="IRNazanin" w:cs="IRNazanin"/>
          <w:lang w:bidi="fa-IR"/>
          <w:color w:val="111111"/>
          <w:sz w:val="28"/>
          <w:szCs w:val="28"/>
          <w:rtl/>
        </w:rPr>
        <w:t xml:space="preserve">۱۴۹۶. تهران؛ دانشگاه؛ شماره نسخه: ۴۷۸۶</w:t>
      </w:r>
    </w:p>
    <w:p>
      <w:pPr>
        <w:pStyle w:val="BookText"/>
      </w:pPr>
      <w:r>
        <w:rPr>
          <w:rFonts w:ascii="IRNazanin" w:hAnsi="IRNazanin" w:eastAsia="IRNazanin" w:cs="IRNazanin"/>
          <w:lang w:bidi="fa-IR"/>
          <w:color w:val="111111"/>
          <w:sz w:val="28"/>
          <w:szCs w:val="28"/>
          <w:rtl/>
        </w:rPr>
        <w:t xml:space="preserve">شعرهای خواجواست و وحشی کرمانی و عاشق و خرم و طالب (قضا و قدر)؛ خط: نستعلیق، بی کا، تا: قرن ۱۴ ؛کاغذ: فرنگـی ،جلد: تیماج عنابی ضربی مقوایی، ۹۳ گ، ۱۵ سطر (8</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۱۴ - ۳۸۲۸]</w:t>
      </w:r>
    </w:p>
    <w:p>
      <w:pPr>
        <w:pStyle w:val="BookText"/>
      </w:pPr>
      <w:r>
        <w:rPr>
          <w:rFonts w:ascii="IRNazanin" w:hAnsi="IRNazanin" w:eastAsia="IRNazanin" w:cs="IRNazanin"/>
          <w:lang w:bidi="fa-IR"/>
          <w:color w:val="111111"/>
          <w:sz w:val="28"/>
          <w:szCs w:val="28"/>
          <w:rtl/>
        </w:rPr>
        <w:t xml:space="preserve">۱۴۹۷. تهران؛ دانشگاه؛ شماره نسخه: ۴۸۰۸</w:t>
      </w:r>
    </w:p>
    <w:p>
      <w:pPr>
        <w:pStyle w:val="BookText"/>
      </w:pPr>
      <w:r>
        <w:rPr>
          <w:rFonts w:ascii="IRNazanin" w:hAnsi="IRNazanin" w:eastAsia="IRNazanin" w:cs="IRNazanin"/>
          <w:lang w:bidi="fa-IR"/>
          <w:color w:val="111111"/>
          <w:sz w:val="28"/>
          <w:szCs w:val="28"/>
          <w:rtl/>
        </w:rPr>
        <w:t xml:space="preserve">غزل ها و رباعی و مسمط و ترجیع بند و قصیده سعدی، محتـشم ،جامی ،شمس ،زرگر ،هجری ،هاتف ،واقف، طوفان، وحدت، کمال نیازی (نثاری)، عاشق ،رفیق ،يغما ،كليم، فيض، وحشـی، مشرب، شمس تبریزی ،ارفع ،قاآنی، خواجه (حافظ)، بابا قاسم خادم باشی مسجدجامع عباسی، مخلصای کاشی( در ستایش علی (علیه السّلام) و به نام شاه سلطان حسین)، شیخ علی نقی کمره ای، ملاء رضای تجلی ،ملا محمد علی شیرازی، رستم میرزا ،وحـید ،ابوسعید ،شوکت، میرزا اسمعیل ،آفرین ،صایب، مهدیقلی خان متولی قم، قاضی شریف، لطفعلی بیک سامی، میرزا ملک مشرقی، ناصر، سحابی ،آقاحسین خوانساری، میرزا قاسم، عباس بیـک نشاط، میرزا باقر قاضی زاده ،تاثیر ،امیدی ،ذبیحی، میر نجات ،فایض ،ضیا ،غنی، میرداماد ،(اشراق)، سلیم ،نجیب ،شاکر احسـان، میرزا ابراهیم ادهم، بهاء الدین، سلطان حسین، میرزا جلال، طالـب ،رغبت ،عصمت ،فایقا ،نورعلی ،عرفی، صفی قلی بیک، آصفـی ،نظیری، امیر خسرو، افکار و مذاقی، و نیز شعرهای وصال شیرازی، شیخ جعفر شوشتری، صبوحی تهرانی، امام قلی خان، اقبال الدوله، فایق و دیگران با ماده تاریخ ایوان حر ریاحی که به دستور شجاع السلطان همدانی در ۱۳۳۰ ساخته شده است در یک جزوه پیوست این جنگ که به خط دیگر و تازه تر است نیز منظومه ای در احکام نجوم، قصيده مصنوع در ستایش علی (علیه السّلام) از ندیم (مورخ روز سه شنبه ۸ رجب ۱۲۹۵ در بردین ص ۲۹۹)، و «جواب  مدیحـه و کلاه مذاقی»، و نصایح پیامبر به فارسی، و تفسیر رموز ادبی  مانند هل درست حلم دارم، هل بار: هلاکم، و مانند اینها (نوشته7 رمضان ۱۲۷۵ در مراغه) و منشآت فارسی در میانه هست؛ همه جنگ شاید به خط جعفر غریب باشد که برای مهدیقلی خان در استرآباد نوشته است (ص ۷۷) به جز آن جزوه؛ خط: نستعلـیق، بی کا، تا: قرن ۱۴؛ سطور راسته و چلیپا ؛کاغذ: رنگارنگ، جـلد: تیماج ضربی عطف سرخ، ۱۹۸گ، ۱۱ سطر (7</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۱۴ - ۳۸۴۵]</w:t>
      </w:r>
    </w:p>
    <w:p>
      <w:pPr>
        <w:pStyle w:val="BookText"/>
      </w:pPr>
      <w:r>
        <w:rPr>
          <w:rFonts w:ascii="Times New Roman" w:hAnsi="Times New Roman" w:eastAsia="Times New Roman" w:cs="Times New Roman"/>
          <w:lang w:val="en-US" w:bidi="en-US"/>
          <w:color w:val="111111"/>
          <w:sz w:val="28"/>
          <w:szCs w:val="28"/>
          <w:rtl/>
        </w:rPr>
        <w:t xml:space="preserve">1498.</w:t>
      </w:r>
    </w:p>
    <w:p>
      <w:pPr>
        <w:pStyle w:val="BookText"/>
      </w:pPr>
      <w:r>
        <w:rPr>
          <w:rFonts w:ascii="IRNazanin" w:hAnsi="IRNazanin" w:eastAsia="IRNazanin" w:cs="IRNazanin"/>
          <w:lang w:bidi="fa-IR"/>
          <w:color w:val="111111"/>
          <w:sz w:val="28"/>
          <w:szCs w:val="28"/>
          <w:rtl/>
        </w:rPr>
        <w:t xml:space="preserve">تهران؛ دانشگاه؛ شماره نسخه: ۴۸۰۹</w:t>
      </w:r>
    </w:p>
    <w:p>
      <w:pPr>
        <w:pStyle w:val="BookText"/>
      </w:pPr>
      <w:r>
        <w:rPr>
          <w:rFonts w:ascii="IRNazanin" w:hAnsi="IRNazanin" w:eastAsia="IRNazanin" w:cs="IRNazanin"/>
          <w:lang w:bidi="fa-IR"/>
          <w:color w:val="111111"/>
          <w:sz w:val="28"/>
          <w:szCs w:val="28"/>
          <w:rtl/>
        </w:rPr>
        <w:t xml:space="preserve">بیت های پراکنده ای است از غزل های پراکنده و در یکی تخلـص سعدی دیده می شود ؛خط: نستعلیق، بی کا، تا: قرن ۱۴؛ افتادگی:آغاز و انجام؛ کاغذ: فرنگی،جلد: تیماج تریاکی مقوایی، ۶۷گ،  ۱۲ سطر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۱۴ - ۳۸۴۶ ]</w:t>
      </w:r>
    </w:p>
    <w:p>
      <w:pPr>
        <w:pStyle w:val="BookText"/>
      </w:pPr>
      <w:r>
        <w:rPr>
          <w:rFonts w:ascii="IRNazanin" w:hAnsi="IRNazanin" w:eastAsia="IRNazanin" w:cs="IRNazanin"/>
          <w:lang w:bidi="fa-IR"/>
          <w:color w:val="111111"/>
          <w:sz w:val="28"/>
          <w:szCs w:val="28"/>
          <w:rtl/>
        </w:rPr>
        <w:t xml:space="preserve">۱۴۹۹. تهران؛ دانشگاه؛ شماره نسخه: ۵۳۸۶/۱</w:t>
      </w:r>
    </w:p>
    <w:p>
      <w:pPr>
        <w:pStyle w:val="BookText"/>
      </w:pPr>
      <w:r>
        <w:rPr>
          <w:rFonts w:ascii="IRNazanin" w:hAnsi="IRNazanin" w:eastAsia="IRNazanin" w:cs="IRNazanin"/>
          <w:lang w:bidi="fa-IR"/>
          <w:color w:val="111111"/>
          <w:sz w:val="28"/>
          <w:szCs w:val="28"/>
          <w:rtl/>
        </w:rPr>
        <w:t xml:space="preserve">جنگ شعرهای فارسی بهایی (نان و حلوا) و نشاط (غزلیات) و «المحرره» و طوفان (آتش پاره) و خواجه حافظ و شمس تبریزی و فیض کاشانی و مولوی و دیگران؛ خط: نستعلیق، بی کا، تا: قرن۱۴؛ سطور چلیپا،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 ۱۵ - ۴۲۳۲ ]</w:t>
      </w:r>
    </w:p>
    <w:p>
      <w:pPr>
        <w:pStyle w:val="BookText"/>
      </w:pPr>
      <w:r>
        <w:rPr>
          <w:rFonts w:ascii="IRNazanin" w:hAnsi="IRNazanin" w:eastAsia="IRNazanin" w:cs="IRNazanin"/>
          <w:lang w:bidi="fa-IR"/>
          <w:color w:val="111111"/>
          <w:sz w:val="28"/>
          <w:szCs w:val="28"/>
          <w:rtl/>
        </w:rPr>
        <w:t xml:space="preserve">۱۵۰۰. تهران؛ دانشگاه؛ شماره نسخه: ۳۷۷۰/۳</w:t>
      </w:r>
    </w:p>
    <w:p>
      <w:pPr>
        <w:pStyle w:val="BookText"/>
      </w:pPr>
      <w:r>
        <w:rPr>
          <w:rFonts w:ascii="IRNazanin" w:hAnsi="IRNazanin" w:eastAsia="IRNazanin" w:cs="IRNazanin"/>
          <w:lang w:bidi="fa-IR"/>
          <w:color w:val="111111"/>
          <w:sz w:val="28"/>
          <w:szCs w:val="28"/>
          <w:rtl/>
        </w:rPr>
        <w:t xml:space="preserve">شعرهای پرویز بختیاری و دو شاعر دیگر گویا کفاش و بی باک و دیگری و بهایی و دو بند نثر فارسی؛ خط: نستعلیق، بی کا، تا: قرن ۱۴؛ کاغذ: فرنگی، جلد: تیماج تریاکی، ۱۰گ (۹۲پ- ۱۰۲ پ)، ۱۴ سطر (6</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۱۲ - ۲۷۶۰]</w:t>
      </w:r>
    </w:p>
    <w:p>
      <w:pPr>
        <w:pStyle w:val="BookText"/>
      </w:pPr>
      <w:r>
        <w:rPr>
          <w:rFonts w:ascii="IRNazanin" w:hAnsi="IRNazanin" w:eastAsia="IRNazanin" w:cs="IRNazanin"/>
          <w:lang w:bidi="fa-IR"/>
          <w:color w:val="111111"/>
          <w:sz w:val="28"/>
          <w:szCs w:val="28"/>
          <w:rtl/>
        </w:rPr>
        <w:t xml:space="preserve">۱۵۰۱. تهران؛ دانشگاه؛ شماره نسخه: ۷۴۷۱</w:t>
      </w:r>
    </w:p>
    <w:p>
      <w:pPr>
        <w:pStyle w:val="BookText"/>
      </w:pPr>
      <w:r>
        <w:rPr>
          <w:rFonts w:ascii="IRNazanin" w:hAnsi="IRNazanin" w:eastAsia="IRNazanin" w:cs="IRNazanin"/>
          <w:lang w:bidi="fa-IR"/>
          <w:color w:val="111111"/>
          <w:sz w:val="28"/>
          <w:szCs w:val="28"/>
          <w:rtl/>
        </w:rPr>
        <w:t xml:space="preserve">اشعاری از [شماره صفحات در فهرست هست]: ابن یمین فریومدی، ابوسعید ابوالخیر ،ابو اسماعیل، میرزا ابوالقاسم فندرسکی، میرزا ابوالقاسم خوشنویس شیرازی، احمدی، امری شیرازی، اوحدی، انیسی، اهلی، الفت (حاج شيخ محمد باقر نجفی) افشار، بابا طاهر، شیخ بهائی، پورفریدون، تاراج قمشه ای ،جامی ،جاهد ،جمالی، حیرت میرزا محمد، خواجو، خیام، خواجه عبدالله انصاری دهقان سامانی ،رسوا ،روشن رضی ،ارتیمانی سرباز ،سعدی سنا (میرزا جلال)، سنائی غزنوی ،شوقی، شریف (عبدالعلی)، ملک شمس الدین کرت، شيخ الرئيس (ابن سينا)، شاه نعمة الله صائب شاه صفی ،صفی، طرب ابن هما، عایشه سمرقندی، عارق قزوینی ،عتایی ،عشقی، عمادلر ،عمان سامانی، فاخری شیرازی، فخرالدین مسعود، فروغی بسطامی، قاآنی، قابوس وشمگیر، میر (سید محمد جوادی مجردی)، میلی، مینا، مسعود ترک ،مولوی، محتشم کاشانی، مفتون قمشه ای، محرم  یزدی،</w:t>
      </w:r>
    </w:p>
    <w:p>
      <w:pPr>
        <w:pStyle w:val="BookText"/>
      </w:pPr>
      <w:r>
        <w:rPr>
          <w:rFonts w:ascii="IRNazanin" w:hAnsi="IRNazanin" w:eastAsia="IRNazanin" w:cs="IRNazanin"/>
          <w:lang w:bidi="fa-IR"/>
          <w:color w:val="111111"/>
          <w:sz w:val="28"/>
          <w:szCs w:val="28"/>
          <w:rtl/>
        </w:rPr>
        <w:t xml:space="preserve">آقا محمد الله باشی شیرازی ،مسکین، منصور شیرازی، منوچهری، ناصر بخاراکی، ناصرالدین شاه قاجار، ناظم، نشاط، نظیری ،نظامی، میرزا نصیر،نراقی ،نزاری وحشی، واله بروجردی، وجدی میرزا محمد علی، هاتف، هدایت رضا قلی خان، هدایت قمشه ای ،هلالی، هما شیرازی، یغما جندقی؛ خط: شکسته نستعلیق، بی کا، تا: قرن ۱۴؛ کاغذ: فرنگی ،جلد: تیماج مشکی ضربی ،مقوایی، ۱۸۶گ، ۱۷ سطر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قطع: بغلی،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۱۶/۵سم [ف: ۱۶-۵۸۱]</w:t>
      </w:r>
    </w:p>
    <w:p>
      <w:pPr>
        <w:pStyle w:val="BookText"/>
      </w:pPr>
      <w:r>
        <w:rPr>
          <w:rFonts w:ascii="IRNazanin" w:hAnsi="IRNazanin" w:eastAsia="IRNazanin" w:cs="IRNazanin"/>
          <w:lang w:bidi="fa-IR"/>
          <w:color w:val="111111"/>
          <w:sz w:val="28"/>
          <w:szCs w:val="28"/>
          <w:rtl/>
        </w:rPr>
        <w:t xml:space="preserve">۱۵۰۲. تهران؛ ملی؛ شماره نسخه: ۹۳۱</w:t>
      </w:r>
    </w:p>
    <w:p>
      <w:pPr>
        <w:pStyle w:val="BookText"/>
      </w:pPr>
      <w:r>
        <w:rPr>
          <w:rFonts w:ascii="IRNazanin" w:hAnsi="IRNazanin" w:eastAsia="IRNazanin" w:cs="IRNazanin"/>
          <w:lang w:bidi="fa-IR"/>
          <w:color w:val="111111"/>
          <w:sz w:val="28"/>
          <w:szCs w:val="28"/>
          <w:rtl/>
        </w:rPr>
        <w:t xml:space="preserve">آغاز: این طره مشکین سمن سای بران رو *** شامی است که بر صبح فروزان زده پهلو؛ انجام: از فر ولای ده و دو حجت حق باد *** فرمان قدرشان که بگذشته ز شش سو</w:t>
      </w:r>
    </w:p>
    <w:p>
      <w:pPr>
        <w:pStyle w:val="BookText"/>
      </w:pPr>
      <w:r>
        <w:rPr>
          <w:rFonts w:ascii="IRNazanin" w:hAnsi="IRNazanin" w:eastAsia="IRNazanin" w:cs="IRNazanin"/>
          <w:lang w:bidi="fa-IR"/>
          <w:color w:val="111111"/>
          <w:sz w:val="28"/>
          <w:szCs w:val="28"/>
          <w:rtl/>
        </w:rPr>
        <w:t xml:space="preserve">این قصیده با قافیه «واو» سروده شده و در مدح امام حسین می باشد و شامل ۵۹ بیت است؛ خط: نستعلیق، کاتب = مؤلف، تا: اوایل قرن ۱۴، جا: محتملاً طهران؛ مجدول؛ کاغذ: فرنگی، آبی، جلد: مخمل بنفش گل و بوته ،ضربی، مقوایی، ۳گ، ۱۴ سطر
</w:t>
      </w:r>
    </w:p>
    <w:p>
      <w:pPr>
        <w:sectPr>
          <w:footerReference w:type="default" r:id="rId8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(8×16)</w:t>
      </w:r>
      <w:r>
        <w:rPr>
          <w:rFonts w:ascii="IRNazanin" w:hAnsi="IRNazanin" w:eastAsia="IRNazanin" w:cs="IRNazanin"/>
          <w:lang w:bidi="fa-IR"/>
          <w:color w:val="111111"/>
          <w:sz w:val="28"/>
          <w:szCs w:val="28"/>
          <w:rtl/>
        </w:rPr>
        <w:t xml:space="preserve">، اندازه: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۲ - ۴۷۰]</w:t>
      </w:r>
    </w:p>
    <w:p>
      <w:pPr>
        <w:pStyle w:val="BookText"/>
      </w:pPr>
      <w:r>
        <w:rPr>
          <w:rFonts w:ascii="IRNazanin" w:hAnsi="IRNazanin" w:eastAsia="IRNazanin" w:cs="IRNazanin"/>
          <w:lang w:bidi="fa-IR"/>
          <w:color w:val="111111"/>
          <w:sz w:val="28"/>
          <w:szCs w:val="28"/>
          <w:rtl/>
        </w:rPr>
        <w:t xml:space="preserve">۱۵۰۳ . قم؛ مرکز احیاء؛ شماره نسخه: ۱۳۳۴</w:t>
      </w:r>
    </w:p>
    <w:p>
      <w:pPr>
        <w:pStyle w:val="BookText"/>
      </w:pPr>
      <w:r>
        <w:rPr>
          <w:rFonts w:ascii="IRNazanin" w:hAnsi="IRNazanin" w:eastAsia="IRNazanin" w:cs="IRNazanin"/>
          <w:lang w:bidi="fa-IR"/>
          <w:color w:val="111111"/>
          <w:sz w:val="28"/>
          <w:szCs w:val="28"/>
          <w:rtl/>
        </w:rPr>
        <w:t xml:space="preserve">منتخباتی است بدون تنظیم و ترتیب مخصوص از شاعران فارسی سرا، چون: حافظ شیرازی، سعدی شیرازی ،شرف ،وصال، كمـال ،واقف، شاه نعمت الله ،قاءانی ،هلالی ،اسد،شوکت، عیشی ،خسرو ،گوهری ،مغربی ،جامی، صائب ،بیدل ،افغان باقـی ،اسیری، فتحعلی شاہ ،آصفی ،جلالی ،فخری ،نظیری محتضـم ،حزین ،سلمان، ساوجی ،سیفی ،نرگس ،ضیائی ،عبیدی، آگهی، بینوا ،یحیی ،امیر، صرفی ،مشتاق ،شکیبا ،عاشق ،يغما، شاه عباس، وحشی ،حالی ،بیانی ،فیضی ،ازل ،ظهیر؛ خط: نستعلیق خوش، كاتب = مؤلف، تا: قرن ۱۴؛ جلد: تیماج قرمز بدون مقوا، ۸۷گ ،سطور چلیپا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۱۹/۵سم [ف: ۴ - ۱۶۲]</w:t>
      </w:r>
    </w:p>
    <w:p>
      <w:pPr>
        <w:pStyle w:val="BookText"/>
      </w:pPr>
      <w:r>
        <w:rPr>
          <w:rFonts w:ascii="IRNazanin" w:hAnsi="IRNazanin" w:eastAsia="IRNazanin" w:cs="IRNazanin"/>
          <w:lang w:bidi="fa-IR"/>
          <w:color w:val="111111"/>
          <w:sz w:val="28"/>
          <w:szCs w:val="28"/>
          <w:rtl/>
        </w:rPr>
        <w:t xml:space="preserve">۱۵۰۴. یزد؛ کاظمینی؛ شماره نسخه: ۲۷۱</w:t>
      </w:r>
    </w:p>
    <w:p>
      <w:pPr>
        <w:pStyle w:val="BookText"/>
      </w:pPr>
      <w:r>
        <w:rPr>
          <w:rFonts w:ascii="IRNazanin" w:hAnsi="IRNazanin" w:eastAsia="IRNazanin" w:cs="IRNazanin"/>
          <w:lang w:bidi="fa-IR"/>
          <w:color w:val="111111"/>
          <w:sz w:val="28"/>
          <w:szCs w:val="28"/>
          <w:rtl/>
        </w:rPr>
        <w:t xml:space="preserve">از: ذاکر؛ مشتمل بر اشعاری در نوحه خوانی و مراثی ائمه علیهم السلام خصوصا وقایع کربلا و بدون ترتیب خاص؛ خط: نستعـلیق نازیبا، كاتب = مؤلف، تا: قرن ۱۴ ؛جلد: تیماج قهوه ای سوخته بدون مقوا ،۷۴گ، مختلف السطر ، 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۱ - 233]</w:t>
      </w:r>
    </w:p>
    <w:p>
      <w:pPr>
        <w:pStyle w:val="BookText"/>
      </w:pPr>
      <w:r>
        <w:rPr>
          <w:rFonts w:ascii="Amiri" w:hAnsi="Amiri" w:eastAsia="Amiri" w:cs="Amiri"/>
          <w:lang w:bidi="ar-SA"/>
          <w:color w:val="111111"/>
          <w:sz w:val="28"/>
          <w:szCs w:val="28"/>
          <w:rtl/>
        </w:rPr>
        <w:t xml:space="preserve">۱۵۰۵. تهران؛ دائرة المعارف؛ شماره نسخه: ۹۵۴</w:t>
      </w:r>
    </w:p>
    <w:p>
      <w:pPr>
        <w:pStyle w:val="BookText"/>
      </w:pPr>
      <w:r>
        <w:rPr>
          <w:rFonts w:ascii="IRNazanin" w:hAnsi="IRNazanin" w:eastAsia="IRNazanin" w:cs="IRNazanin"/>
          <w:lang w:bidi="fa-IR"/>
          <w:color w:val="111111"/>
          <w:sz w:val="28"/>
          <w:szCs w:val="28"/>
          <w:rtl/>
        </w:rPr>
        <w:t xml:space="preserve">آغاز: ادبیات عارف قزوینی. پیام دوشم از پیر می فروش آمد*** بنوش باده، که یک ملتی به هوش آمد</w:t>
      </w:r>
    </w:p>
    <w:p>
      <w:pPr>
        <w:pStyle w:val="BookText"/>
      </w:pPr>
      <w:r>
        <w:rPr>
          <w:rFonts w:ascii="IRNazanin" w:hAnsi="IRNazanin" w:eastAsia="IRNazanin" w:cs="IRNazanin"/>
          <w:lang w:bidi="fa-IR"/>
          <w:color w:val="111111"/>
          <w:sz w:val="28"/>
          <w:szCs w:val="28"/>
          <w:rtl/>
        </w:rPr>
        <w:t xml:space="preserve">مجموعه سروده ها و تصنیف ها است. تصنیف هایی از عارف قزوینی با سربندهای: تصنیف افشار، تصنیف بیات ترک، تصنيـف دشتی، ابوعطا؛ سروده هایی از آقا میرزا محمد تقى حجة الاسـلام متخلص به نیر تبریزی، سروده هایی از قاآنی شیرازی، حبیب الله ازسراینده ای با تخلص «مخلص» به ترکی، سرودهای درباره مشروطیت به ترکی گویا از همو، و تصنیف های دیگر؛ خـط: نستعلیق پخته، بی کا، تا: قرن ۱۴ ؛کاغذ: فرنگی،آبی ،جلد: کاغذ: قهوه ای تند، ۲۸ ص، ۱۴ سطر (۸/۵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 ، اندازه: ۱۲/۵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۲۰سم [ف: 2- 67]</w:t>
      </w:r>
    </w:p>
    <w:p>
      <w:pPr>
        <w:pStyle w:val="BookText"/>
      </w:pPr>
      <w:r>
        <w:rPr>
          <w:rFonts w:ascii="IRNazanin" w:hAnsi="IRNazanin" w:eastAsia="IRNazanin" w:cs="IRNazanin"/>
          <w:lang w:bidi="fa-IR"/>
          <w:color w:val="111111"/>
          <w:sz w:val="28"/>
          <w:szCs w:val="28"/>
          <w:rtl/>
        </w:rPr>
        <w:t xml:space="preserve">۱۵۰۶. تهران؛ دانشگاه؛ شماره نسخه: ۴۳۴۱</w:t>
      </w:r>
    </w:p>
    <w:p>
      <w:pPr>
        <w:pStyle w:val="BookText"/>
      </w:pPr>
      <w:r>
        <w:rPr>
          <w:rFonts w:ascii="IRNazanin" w:hAnsi="IRNazanin" w:eastAsia="IRNazanin" w:cs="IRNazanin"/>
          <w:lang w:bidi="fa-IR"/>
          <w:color w:val="111111"/>
          <w:sz w:val="28"/>
          <w:szCs w:val="28"/>
          <w:rtl/>
        </w:rPr>
        <w:t xml:space="preserve">حسرت نامه میرزا ابراهیم صفا و مثنوی میرزا ابو القاسم در پاسخ آن و شعر فارسی هجری و سعدی است؛ خط: شکسته نستعلیق، بی کا، تا: قرن ۱۴؛ جدول مشکی؛ کاغذ: فرنگی رنگارنگ، جـلد: تیماج عنابی ضربی، ۱۰۵گ، ۸ سطر (4</w:t>
      </w:r>
      <w:r>
        <w:rPr>
          <w:rFonts w:ascii="Times New Roman" w:hAnsi="Times New Roman" w:eastAsia="Times New Roman" w:cs="Times New Roman"/>
          <w:lang w:val="en-US" w:bidi="en-US"/>
          <w:color w:val="111111"/>
          <w:sz w:val="28"/>
          <w:szCs w:val="28"/>
          <w:rtl/>
        </w:rPr>
        <w:t xml:space="preserve">×9)</w:t>
      </w:r>
      <w:r>
        <w:rPr>
          <w:rFonts w:ascii="IRNazanin" w:hAnsi="IRNazanin" w:eastAsia="IRNazanin" w:cs="IRNazanin"/>
          <w:lang w:bidi="fa-IR"/>
          <w:color w:val="111111"/>
          <w:sz w:val="28"/>
          <w:szCs w:val="28"/>
          <w:rtl/>
        </w:rPr>
        <w:t xml:space="preserve">، اندازه: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13- 3298]</w:t>
      </w:r>
    </w:p>
    <w:p>
      <w:pPr>
        <w:pStyle w:val="BookText"/>
      </w:pPr>
      <w:r>
        <w:rPr>
          <w:rFonts w:ascii="IRNazanin" w:hAnsi="IRNazanin" w:eastAsia="IRNazanin" w:cs="IRNazanin"/>
          <w:lang w:bidi="fa-IR"/>
          <w:color w:val="111111"/>
          <w:sz w:val="28"/>
          <w:szCs w:val="28"/>
          <w:rtl/>
        </w:rPr>
        <w:t xml:space="preserve">۱۵۰۷. تهران؛ ملک؛ شماره نسخه: ۵۶۲۳</w:t>
      </w:r>
    </w:p>
    <w:p>
      <w:pPr>
        <w:pStyle w:val="BookText"/>
      </w:pPr>
      <w:r>
        <w:rPr>
          <w:rFonts w:ascii="IRNazanin" w:hAnsi="IRNazanin" w:eastAsia="IRNazanin" w:cs="IRNazanin"/>
          <w:lang w:bidi="fa-IR"/>
          <w:color w:val="111111"/>
          <w:sz w:val="28"/>
          <w:szCs w:val="28"/>
          <w:rtl/>
        </w:rPr>
        <w:t xml:space="preserve">آغاز: تاجر عشقمبكف مايه سودم وفا *** تا که شود مشتری تا چه دهد در بها</w:t>
      </w:r>
    </w:p>
    <w:p>
      <w:pPr>
        <w:pStyle w:val="BookText"/>
      </w:pPr>
      <w:r>
        <w:rPr>
          <w:rFonts w:ascii="IRNazanin" w:hAnsi="IRNazanin" w:eastAsia="IRNazanin" w:cs="IRNazanin"/>
          <w:lang w:bidi="fa-IR"/>
          <w:color w:val="111111"/>
          <w:sz w:val="28"/>
          <w:szCs w:val="28"/>
          <w:rtl/>
        </w:rPr>
        <w:t xml:space="preserve">اشعار از: نور علیشاه ،مشتاقعلی ،حافظ،عطار، قصيده مديحه لـسان الحال و جز اینها؛ خط: نستعلیق، بی کا، تا: قرن ۱۳-۱۴؛ سطور راسته چلیپا؛ کاغذ: مختلف السطر ، اندازه 14</w:t>
      </w:r>
      <w:r>
        <w:rPr>
          <w:rFonts w:ascii="Times New Roman" w:hAnsi="Times New Roman" w:eastAsia="Times New Roman" w:cs="Times New Roman"/>
          <w:lang w:val="en-US" w:bidi="en-US"/>
          <w:color w:val="111111"/>
          <w:sz w:val="28"/>
          <w:szCs w:val="28"/>
          <w:rtl/>
        </w:rPr>
        <w:t xml:space="preserve">×20/7</w:t>
      </w:r>
      <w:r>
        <w:rPr>
          <w:rFonts w:ascii="IRNazanin" w:hAnsi="IRNazanin" w:eastAsia="IRNazanin" w:cs="IRNazanin"/>
          <w:lang w:bidi="fa-IR"/>
          <w:color w:val="111111"/>
          <w:sz w:val="28"/>
          <w:szCs w:val="28"/>
          <w:rtl/>
        </w:rPr>
        <w:t xml:space="preserve">سم [ف: ۸ - 444]</w:t>
      </w:r>
    </w:p>
    <w:p>
      <w:pPr>
        <w:pStyle w:val="BookText"/>
      </w:pPr>
      <w:r>
        <w:rPr>
          <w:rFonts w:ascii="IRNazanin" w:hAnsi="IRNazanin" w:eastAsia="IRNazanin" w:cs="IRNazanin"/>
          <w:lang w:bidi="fa-IR"/>
          <w:color w:val="111111"/>
          <w:sz w:val="28"/>
          <w:szCs w:val="28"/>
          <w:rtl/>
        </w:rPr>
        <w:t xml:space="preserve">۱۵۰۸ . قم؛ مسجد اعظم؛ شماره نسخه: ۳۰۸۶</w:t>
      </w:r>
    </w:p>
    <w:p>
      <w:pPr>
        <w:pStyle w:val="BookText"/>
      </w:pPr>
      <w:r>
        <w:rPr>
          <w:rFonts w:ascii="IRNazanin" w:hAnsi="IRNazanin" w:eastAsia="IRNazanin" w:cs="IRNazanin"/>
          <w:lang w:bidi="fa-IR"/>
          <w:color w:val="111111"/>
          <w:sz w:val="28"/>
          <w:szCs w:val="28"/>
          <w:rtl/>
        </w:rPr>
        <w:t xml:space="preserve">آغاز: پیکرم نیلی شد از کعب سنان تازيانه *** فرق من بشکسته از سنگ زنان مشرکین؛ انجام: تازه گلان چمن زینبی *** قوت جان میوه باغ نبی مجموعه اشعار متفرقه جمع آورنده جنگ که در بیان مصائب اهل بیت (علیه السّلام)سروده و تحریر شده؛ خط: نستعلیق، بی کا، تا: قرن ۱۳- ۱۴؛ جلد: مقوا، ۵۱گ، مختلف السطر،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مخ: 2- 599]</w:t>
      </w:r>
    </w:p>
    <w:p>
      <w:pPr>
        <w:pStyle w:val="BookText"/>
      </w:pPr>
      <w:r>
        <w:rPr>
          <w:rFonts w:ascii="IRNazanin" w:hAnsi="IRNazanin" w:eastAsia="IRNazanin" w:cs="IRNazanin"/>
          <w:lang w:bidi="fa-IR"/>
          <w:color w:val="111111"/>
          <w:sz w:val="28"/>
          <w:szCs w:val="28"/>
          <w:rtl/>
        </w:rPr>
        <w:t xml:space="preserve">۱۵۰۹. مشهد؛ رضوی؛ شماره نسخه: ۴۵۱۰</w:t>
      </w:r>
    </w:p>
    <w:p>
      <w:pPr>
        <w:pStyle w:val="BookText"/>
      </w:pPr>
      <w:r>
        <w:rPr>
          <w:rFonts w:ascii="IRNazanin" w:hAnsi="IRNazanin" w:eastAsia="IRNazanin" w:cs="IRNazanin"/>
          <w:lang w:bidi="fa-IR"/>
          <w:color w:val="111111"/>
          <w:sz w:val="28"/>
          <w:szCs w:val="28"/>
          <w:rtl/>
        </w:rPr>
        <w:t xml:space="preserve">آغاز: ای دوست صفا شد عشقت؛ انجام: یک منبری آنجا عیان كز عرش اعظم برده سر.</w:t>
      </w:r>
    </w:p>
    <w:p>
      <w:pPr>
        <w:pStyle w:val="BookText"/>
      </w:pPr>
      <w:r>
        <w:rPr>
          <w:rFonts w:ascii="IRNazanin" w:hAnsi="IRNazanin" w:eastAsia="IRNazanin" w:cs="IRNazanin"/>
          <w:lang w:bidi="fa-IR"/>
          <w:color w:val="111111"/>
          <w:sz w:val="28"/>
          <w:szCs w:val="28"/>
          <w:rtl/>
        </w:rPr>
        <w:t xml:space="preserve">مدایح و مراثی بی سر و تهی است نوشته چند کاتب؛ خط: نسخ و نستعلیق و شکسته، بی کا، تا: قرن ۱۳ و ۱۴؛ واقف: عماد فهرستی، تیرماه ۱۳۱۰؛ کاغذ ،فرنگی ،جلد: مقوایی، ۹۳گ، مختلف السطر، قطع: بياض رقعی، اندازه: ۱۰/۲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۱۹/۵سم [ف: ۷ - ۲۸۴]</w:t>
      </w:r>
    </w:p>
    <w:p>
      <w:pPr>
        <w:pStyle w:val="BookText"/>
      </w:pPr>
      <w:r>
        <w:rPr>
          <w:rFonts w:ascii="IRNazanin" w:hAnsi="IRNazanin" w:eastAsia="IRNazanin" w:cs="IRNazanin"/>
          <w:lang w:bidi="fa-IR"/>
          <w:color w:val="111111"/>
          <w:sz w:val="28"/>
          <w:szCs w:val="28"/>
          <w:rtl/>
        </w:rPr>
        <w:t xml:space="preserve">۱۵۱۰. تهران؛ دانشگاه؛ شماره نسخه: ۴۷۴۷</w:t>
      </w:r>
    </w:p>
    <w:p>
      <w:pPr>
        <w:pStyle w:val="BookText"/>
      </w:pPr>
      <w:r>
        <w:rPr>
          <w:rFonts w:ascii="IRNazanin" w:hAnsi="IRNazanin" w:eastAsia="IRNazanin" w:cs="IRNazanin"/>
          <w:lang w:bidi="fa-IR"/>
          <w:color w:val="111111"/>
          <w:sz w:val="28"/>
          <w:szCs w:val="28"/>
          <w:rtl/>
        </w:rPr>
        <w:t xml:space="preserve">غزل های یغما است و سپس یک دیباچه و غزل های سردار؛ خط: شکسته نستعلیق، بی کا، تا: قرن ۱۴؛ افتادگی: آغاز و انجام؛ صفحات مجدول؛ کاغذ: فرنگی آهار مهره، جلد: تیماج عنابی گرد و عطف و درون سبز، ۴۱گ،۱۱ سطر (6</w:t>
      </w:r>
      <w:r>
        <w:rPr>
          <w:rFonts w:ascii="Times New Roman" w:hAnsi="Times New Roman" w:eastAsia="Times New Roman" w:cs="Times New Roman"/>
          <w:lang w:val="en-US" w:bidi="en-US"/>
          <w:color w:val="111111"/>
          <w:sz w:val="28"/>
          <w:szCs w:val="28"/>
          <w:rtl/>
        </w:rPr>
        <w:t xml:space="preserve">×10)</w:t>
      </w:r>
      <w:r>
        <w:rPr>
          <w:rFonts w:ascii="IRNazanin" w:hAnsi="IRNazanin" w:eastAsia="IRNazanin" w:cs="IRNazanin"/>
          <w:lang w:bidi="fa-IR"/>
          <w:color w:val="111111"/>
          <w:sz w:val="28"/>
          <w:szCs w:val="28"/>
          <w:rtl/>
        </w:rPr>
        <w:t xml:space="preserve">،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۱۴ - ۳۷۰۴]</w:t>
      </w:r>
    </w:p>
    <w:p>
      <w:pPr>
        <w:pStyle w:val="BookText"/>
      </w:pPr>
      <w:r>
        <w:rPr>
          <w:rFonts w:ascii="IRNazanin" w:hAnsi="IRNazanin" w:eastAsia="IRNazanin" w:cs="IRNazanin"/>
          <w:lang w:bidi="fa-IR"/>
          <w:color w:val="111111"/>
          <w:sz w:val="28"/>
          <w:szCs w:val="28"/>
          <w:rtl/>
        </w:rPr>
        <w:t xml:space="preserve">۱۵۱۱. تهران؛ دانشگاه؛ شماره نسخه: ۳۹۵۵/۱</w:t>
      </w:r>
    </w:p>
    <w:p>
      <w:pPr>
        <w:pStyle w:val="BookText"/>
      </w:pPr>
      <w:r>
        <w:rPr>
          <w:rFonts w:ascii="IRNazanin" w:hAnsi="IRNazanin" w:eastAsia="IRNazanin" w:cs="IRNazanin"/>
          <w:lang w:bidi="fa-IR"/>
          <w:color w:val="111111"/>
          <w:sz w:val="28"/>
          <w:szCs w:val="28"/>
          <w:rtl/>
        </w:rPr>
        <w:t xml:space="preserve">شعر فارسی سلطان بایزید بسطامی و شیخ جنید؛ خط: نستعلیق، بی کا، تا: قرن ۱۴، مجدول لاجورد؛ کاغذ: فرنگی، جلد: پارچه سبز مقوایی گرد تیماج مشکی عطف تیماج تریاکی اگ (۱ر)، ۱۷ سطر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11</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سم [ف: ۱۲ - ۲۹۵۴]</w:t>
      </w:r>
    </w:p>
    <w:p>
      <w:pPr>
        <w:pStyle w:val="BookText"/>
      </w:pPr>
      <w:r>
        <w:rPr>
          <w:rFonts w:ascii="IRNazanin" w:hAnsi="IRNazanin" w:eastAsia="IRNazanin" w:cs="IRNazanin"/>
          <w:lang w:bidi="fa-IR"/>
          <w:color w:val="111111"/>
          <w:sz w:val="28"/>
          <w:szCs w:val="28"/>
          <w:rtl/>
        </w:rPr>
        <w:t xml:space="preserve">۱۵۱۲. تهران؛ مفتاح؛ شماره نسخه: ۶۳۵</w:t>
      </w:r>
    </w:p>
    <w:p>
      <w:pPr>
        <w:pStyle w:val="BookText"/>
      </w:pPr>
      <w:r>
        <w:rPr>
          <w:rFonts w:ascii="IRNazanin" w:hAnsi="IRNazanin" w:eastAsia="IRNazanin" w:cs="IRNazanin"/>
          <w:lang w:bidi="fa-IR"/>
          <w:color w:val="111111"/>
          <w:sz w:val="28"/>
          <w:szCs w:val="28"/>
          <w:rtl/>
        </w:rPr>
        <w:t xml:space="preserve">شعرهای فارسی از جامی در آغاز تا عاشق در پایان؛ خط: شکسته نستعلیق، بی کا، تا: قرن ۱۳ و ۱۴؛ قطع: ربعی [نشریه: 7- 131]</w:t>
      </w:r>
    </w:p>
    <w:p>
      <w:pPr>
        <w:pStyle w:val="BookText"/>
      </w:pPr>
      <w:r>
        <w:rPr>
          <w:rFonts w:ascii="IRNazanin" w:hAnsi="IRNazanin" w:eastAsia="IRNazanin" w:cs="IRNazanin"/>
          <w:lang w:bidi="fa-IR"/>
          <w:color w:val="111111"/>
          <w:sz w:val="28"/>
          <w:szCs w:val="28"/>
          <w:rtl/>
        </w:rPr>
        <w:t xml:space="preserve">۱۵۱۳. تهران؛ مفتاح؛ شماره نسخه: ۶۵۴</w:t>
      </w:r>
    </w:p>
    <w:p>
      <w:pPr>
        <w:pStyle w:val="BookText"/>
      </w:pPr>
      <w:r>
        <w:rPr>
          <w:rFonts w:ascii="IRNazanin" w:hAnsi="IRNazanin" w:eastAsia="IRNazanin" w:cs="IRNazanin"/>
          <w:lang w:bidi="fa-IR"/>
          <w:color w:val="111111"/>
          <w:sz w:val="28"/>
          <w:szCs w:val="28"/>
          <w:rtl/>
        </w:rPr>
        <w:t xml:space="preserve">شعرهای فارسی صافی، وجودی ،درویش، شایق ،ذاکر، حیران ،فصاد ،مرشد ،عشرت ،صائب ،حافظ، هلاک، شیخ بهائی ،خیام ،عطار، غضنفر کلجاری ،مخلص نراقی، جامی، قرة العين، ابن یمین، شمس تبریزی ،سیری؛ خط: شکسته نستعلیق، بی کا، تا: قرن ۱۴؛ در متن و هامش، قطع: ربعی [نشریه: ۷ – ۱۳۱]</w:t>
      </w:r>
    </w:p>
    <w:p>
      <w:pPr>
        <w:pStyle w:val="BookText"/>
      </w:pPr>
      <w:r>
        <w:rPr>
          <w:rFonts w:ascii="IRNazanin" w:hAnsi="IRNazanin" w:eastAsia="IRNazanin" w:cs="IRNazanin"/>
          <w:lang w:bidi="fa-IR"/>
          <w:color w:val="111111"/>
          <w:sz w:val="28"/>
          <w:szCs w:val="28"/>
          <w:rtl/>
        </w:rPr>
        <w:t xml:space="preserve">۱۵۱۴. تهران؛ مجلس؛ شماره نسخه: ۸۱۷۳/۱۶</w:t>
      </w:r>
    </w:p>
    <w:p>
      <w:pPr>
        <w:pStyle w:val="BookText"/>
      </w:pPr>
      <w:r>
        <w:rPr>
          <w:rFonts w:ascii="IRNazanin" w:hAnsi="IRNazanin" w:eastAsia="IRNazanin" w:cs="IRNazanin"/>
          <w:lang w:bidi="fa-IR"/>
          <w:color w:val="111111"/>
          <w:sz w:val="28"/>
          <w:szCs w:val="28"/>
          <w:rtl/>
        </w:rPr>
        <w:t xml:space="preserve">قطعه مثنوی ای است با عنوان مجهول القائله که بعدها زیر آن نوشته شده است: «بعضی این اشعار را از وحشی می دانند». برون جست از کمین ناگه غزالی*** چه رخسار بتان پر خط و خالی /  منقش پیکری طاوس زیبی ***چه چشم دلبران مردم فریبی»؛ خط: شکسته نستعلیق، کا: صحبت الله خان ملقب به دبیر همایون، تا: آغاز قرن ۱۴؛ کاغذ: نازک کاهی شکننده، جلد: تیماج قهوه ای ۱ ص (۳۶-۳۷)، اندازه: ۱۳/۴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27/1 - ۳۲۲]</w:t>
      </w:r>
    </w:p>
    <w:p>
      <w:pPr>
        <w:pStyle w:val="BookText"/>
      </w:pPr>
      <w:r>
        <w:rPr>
          <w:rFonts w:ascii="IRNazanin" w:hAnsi="IRNazanin" w:eastAsia="IRNazanin" w:cs="IRNazanin"/>
          <w:lang w:bidi="fa-IR"/>
          <w:color w:val="111111"/>
          <w:sz w:val="28"/>
          <w:szCs w:val="28"/>
          <w:rtl/>
        </w:rPr>
        <w:t xml:space="preserve">۱۵۱۵ . تهران؛ مجلس؛ شماره نسخه: ۸۱۷۳/۲۰</w:t>
      </w:r>
    </w:p>
    <w:p>
      <w:pPr>
        <w:pStyle w:val="BookText"/>
      </w:pPr>
      <w:r>
        <w:rPr>
          <w:rFonts w:ascii="IRNazanin" w:hAnsi="IRNazanin" w:eastAsia="IRNazanin" w:cs="IRNazanin"/>
          <w:lang w:bidi="fa-IR"/>
          <w:color w:val="111111"/>
          <w:sz w:val="28"/>
          <w:szCs w:val="28"/>
          <w:rtl/>
        </w:rPr>
        <w:t xml:space="preserve">مثنوی ای استبا عنوان «مجهول القائله» با ابیات آغازین زیر:
</w:t>
      </w:r>
    </w:p>
    <w:p>
      <w:pPr>
        <w:sectPr>
          <w:footerReference w:type="default" r:id="rId8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«آتشی می بینم ای یاران ز دور *** گرم می  آید بچشمم نخل طور/ شعله جویی خودنمایی می کند *** فاش دعوی خدایی میکند/ فتنه دلهای آگاه است این*** دعوی انی انا الله است این»؛ خـط: شکسته نستعلیق، کا: صحبت الله خان ملقب به دبیر همایون، آغاز: قرن ۱۴؛ راسته و چلیپا، دارای رکابه؛ کاغذ: نازک کاهی شکننده، جلد: تیماج قهوه ای با آستر کاغذی، ۲ ص (۳۹-40)،اندازه: ۱۳/۴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۲۷/۱ - ۳۲۳]</w:t>
      </w:r>
    </w:p>
    <w:p>
      <w:pPr>
        <w:pStyle w:val="BookText"/>
      </w:pPr>
      <w:r>
        <w:rPr>
          <w:rFonts w:ascii="IRNazanin" w:hAnsi="IRNazanin" w:eastAsia="IRNazanin" w:cs="IRNazanin"/>
          <w:lang w:bidi="fa-IR"/>
          <w:color w:val="111111"/>
          <w:sz w:val="28"/>
          <w:szCs w:val="28"/>
          <w:rtl/>
        </w:rPr>
        <w:t xml:space="preserve">۱۵۱۶. تهران؛ مجلس؛ شماره نسخه: ۸۱۷۳/۳۴</w:t>
      </w:r>
    </w:p>
    <w:p>
      <w:pPr>
        <w:pStyle w:val="BookText"/>
      </w:pPr>
      <w:r>
        <w:rPr>
          <w:rFonts w:ascii="IRNazanin" w:hAnsi="IRNazanin" w:eastAsia="IRNazanin" w:cs="IRNazanin"/>
          <w:lang w:bidi="fa-IR"/>
          <w:color w:val="111111"/>
          <w:sz w:val="28"/>
          <w:szCs w:val="28"/>
          <w:rtl/>
        </w:rPr>
        <w:t xml:space="preserve">ابیاتی متفرقه در قالب فرد، مثنوی و غیره با عنوان «لا ادری» نام شاعرش را ندانسته است؛ خط: شکسته نستعلیق، کا: صحبت الله خان ملقب به دبیر همایون، تا: آغاز قرن ۱۴؛ دارای رکابه؛ کاغذ: نازک کاهی شکننده، جلد: تیماج قهوه ای با استر کاغذی فرسوده، اص (۹۱-۹۲)، اندازه: ۱۳/۴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27/1 - ۳۲۸]</w:t>
      </w:r>
    </w:p>
    <w:p>
      <w:pPr>
        <w:pStyle w:val="BookText"/>
      </w:pPr>
      <w:r>
        <w:rPr>
          <w:rFonts w:ascii="IRNazanin" w:hAnsi="IRNazanin" w:eastAsia="IRNazanin" w:cs="IRNazanin"/>
          <w:lang w:bidi="fa-IR"/>
          <w:color w:val="111111"/>
          <w:sz w:val="28"/>
          <w:szCs w:val="28"/>
          <w:rtl/>
        </w:rPr>
        <w:t xml:space="preserve">۱۵۱۷. تهران؛ مجلس؛ شماره نسخه: ۸۱۷۳/۳۵</w:t>
      </w:r>
    </w:p>
    <w:p>
      <w:pPr>
        <w:pStyle w:val="BookText"/>
      </w:pPr>
      <w:r>
        <w:rPr>
          <w:rFonts w:ascii="IRNazanin" w:hAnsi="IRNazanin" w:eastAsia="IRNazanin" w:cs="IRNazanin"/>
          <w:lang w:bidi="fa-IR"/>
          <w:color w:val="111111"/>
          <w:sz w:val="28"/>
          <w:szCs w:val="28"/>
          <w:rtl/>
        </w:rPr>
        <w:t xml:space="preserve">آغاز: در میان باغ و در طرف چمن *** بلبلی با جفت خود گفت این سخن / ما ز سرمای زمستان رسته ایم *** دل بامید گلستان بسته ایم؛ انجام: کی روا باشد که من دربند سخت *** گه گاهی بر  سبزه گاهی بر درخت</w:t>
      </w:r>
    </w:p>
    <w:p>
      <w:pPr>
        <w:pStyle w:val="BookText"/>
      </w:pPr>
      <w:r>
        <w:rPr>
          <w:rFonts w:ascii="IRNazanin" w:hAnsi="IRNazanin" w:eastAsia="IRNazanin" w:cs="IRNazanin"/>
          <w:lang w:bidi="fa-IR"/>
          <w:color w:val="111111"/>
          <w:sz w:val="28"/>
          <w:szCs w:val="28"/>
          <w:rtl/>
        </w:rPr>
        <w:t xml:space="preserve">قطعه مثنوی ای است با عنوان «لا ادری» که حکایت بلبلی است با جفت خود؛ خط: شکسته نستعلیق، کا: صحبت الله خان ملقب به دبیر همایون، تا: آغاز قرن ۱۴؛ دارای رکابه؛ کاغذ: نازک کاهی شکننده، جلد: تیماج قهوه ای با آستر کاغذی، ۱ص (۹۲)، اندازه: ۱۳/۴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۲۷/۱ - ۳۲۸]</w:t>
      </w:r>
    </w:p>
    <w:p>
      <w:pPr>
        <w:pStyle w:val="BookText"/>
      </w:pPr>
      <w:r>
        <w:rPr>
          <w:rFonts w:ascii="IRNazanin" w:hAnsi="IRNazanin" w:eastAsia="IRNazanin" w:cs="IRNazanin"/>
          <w:lang w:bidi="fa-IR"/>
          <w:color w:val="111111"/>
          <w:sz w:val="28"/>
          <w:szCs w:val="28"/>
          <w:rtl/>
        </w:rPr>
        <w:t xml:space="preserve">۱۵۱۸ . مشهد؛ میبدی؛ شماره نسخه: ۴۶۲</w:t>
      </w:r>
    </w:p>
    <w:p>
      <w:pPr>
        <w:pStyle w:val="BookText"/>
      </w:pPr>
      <w:r>
        <w:rPr>
          <w:rFonts w:ascii="IRNazanin" w:hAnsi="IRNazanin" w:eastAsia="IRNazanin" w:cs="IRNazanin"/>
          <w:lang w:bidi="fa-IR"/>
          <w:color w:val="111111"/>
          <w:sz w:val="28"/>
          <w:szCs w:val="28"/>
          <w:rtl/>
        </w:rPr>
        <w:t xml:space="preserve">در این جنگ اشعار شعرای قدیم و جدید بدون ترتیب و تنظیم مخصوص فراهم آمده است. نام شاعران: آسیابان ،آگهی، اشرف، نور علیشاه ،افسرده، خواجه عبدالله انصاری ،بنده ،بهری، جامـی، حافظ شیرازی ،داور، دلبند ترکمن ،رسا ،رضائی ،ساعد، ساعی، میرزا محمد باقر سر ،سرباز ،سرمست، سعدی شیرازی ،شاهدی، شکوهی، صابر کرمانی ،صباغ، صحبت لاری، صفی علیشاه،قرة العين، طيب، فقير ،قاءانی ،مجلسی، مطیعی، مظلوم کرمانشاهی،مغربی، وحدت کرمانشاهی، وحشی بافقی ،هاتف، هاتفى؛ خـط: نسخ نازیبا،  بی کا، تا: از اوایل قرن ۱۴ ؛جلد: تیماج قرمز بدون مقوا، ۱۳۵گ، ۱۰ سطر، قطع: بیاضی،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 شخصـی میبدی: ف: ۲ - ۱۴۲]</w:t>
      </w:r>
    </w:p>
    <w:p>
      <w:pPr>
        <w:pStyle w:val="BookText"/>
      </w:pPr>
      <w:r>
        <w:rPr>
          <w:rFonts w:ascii="IRNazanin" w:hAnsi="IRNazanin" w:eastAsia="IRNazanin" w:cs="IRNazanin"/>
          <w:lang w:bidi="fa-IR"/>
          <w:color w:val="111111"/>
          <w:sz w:val="28"/>
          <w:szCs w:val="28"/>
          <w:rtl/>
        </w:rPr>
        <w:t xml:space="preserve">۱۵۱۹. تهران؛ مجلس؛ شماره نسخه: ۱۱۷۱۵</w:t>
      </w:r>
    </w:p>
    <w:p>
      <w:pPr>
        <w:pStyle w:val="BookText"/>
      </w:pPr>
      <w:r>
        <w:rPr>
          <w:rFonts w:ascii="IRNazanin" w:hAnsi="IRNazanin" w:eastAsia="IRNazanin" w:cs="IRNazanin"/>
          <w:lang w:bidi="fa-IR"/>
          <w:color w:val="111111"/>
          <w:sz w:val="28"/>
          <w:szCs w:val="28"/>
          <w:rtl/>
        </w:rPr>
        <w:t xml:space="preserve">اشعار ترکی و فارسی است از شاعران مختلف از جمله: شاه اسماعیل خطایی ،مولوی ،رومی ،نسیمی ،راجی، آقا محمد حسـن، شمس تبریزی. با تاریخ های ۱۳۱۹ق؛ خط: تحریری، بی کا،تا: قرن ۱۴؛ رکابه دار ؛جلد: مقوا با عطف پارچه ای الوان، ۱۰۶گ، ۱۰ سطر (۸/۵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۳۴ - ۵۴]</w:t>
      </w:r>
    </w:p>
    <w:p>
      <w:pPr>
        <w:pStyle w:val="BookText"/>
      </w:pPr>
      <w:r>
        <w:rPr>
          <w:rFonts w:ascii="IRNazanin" w:hAnsi="IRNazanin" w:eastAsia="IRNazanin" w:cs="IRNazanin"/>
          <w:lang w:bidi="fa-IR"/>
          <w:color w:val="111111"/>
          <w:sz w:val="28"/>
          <w:szCs w:val="28"/>
          <w:rtl/>
        </w:rPr>
        <w:t xml:space="preserve">۱۵۲۰. تهران؛ دانشگاه؛ شماره نسخه: ۹۰۳۳</w:t>
      </w:r>
    </w:p>
    <w:p>
      <w:pPr>
        <w:pStyle w:val="BookText"/>
      </w:pPr>
      <w:r>
        <w:rPr>
          <w:rFonts w:ascii="IRNazanin" w:hAnsi="IRNazanin" w:eastAsia="IRNazanin" w:cs="IRNazanin"/>
          <w:lang w:bidi="fa-IR"/>
          <w:color w:val="111111"/>
          <w:sz w:val="28"/>
          <w:szCs w:val="28"/>
          <w:rtl/>
        </w:rPr>
        <w:t xml:space="preserve">جنگ شعر است. قصاید است و سروده های مولوی و گمنام و،رودکی و یغما و عنصری و ازرقی و سعد سلمان، با یک مثنوی در پایان؛ خط: نستعلیق، بی کا، تا: قرن ۱۳ و ۱۴؛ کاغذ: فرنگی ،جلد: تازه، ۹۵ گ، ۱۵ سطر (6</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قطع: بغلی،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۱۷ - ۲۷۹]</w:t>
      </w:r>
    </w:p>
    <w:p>
      <w:pPr>
        <w:pStyle w:val="BookText"/>
      </w:pPr>
      <w:r>
        <w:rPr>
          <w:rFonts w:ascii="IRNazanin" w:hAnsi="IRNazanin" w:eastAsia="IRNazanin" w:cs="IRNazanin"/>
          <w:lang w:bidi="fa-IR"/>
          <w:color w:val="111111"/>
          <w:sz w:val="28"/>
          <w:szCs w:val="28"/>
          <w:rtl/>
        </w:rPr>
        <w:t xml:space="preserve">۱۵۲۱. تهران؛ مجلس؛ شماره نسخه: ۸۱۷۳/۶۷</w:t>
      </w:r>
    </w:p>
    <w:p>
      <w:pPr>
        <w:pStyle w:val="BookText"/>
      </w:pPr>
      <w:r>
        <w:rPr>
          <w:rFonts w:ascii="IRNazanin" w:hAnsi="IRNazanin" w:eastAsia="IRNazanin" w:cs="IRNazanin"/>
          <w:lang w:bidi="fa-IR"/>
          <w:color w:val="111111"/>
          <w:sz w:val="28"/>
          <w:szCs w:val="28"/>
          <w:rtl/>
        </w:rPr>
        <w:t xml:space="preserve">آغاز: زلفته چینه کنی هی خوته زنکینه کنی *** خوته زنکینی کنی وردمه سنکینه کنی؛ انجام: تو که هشتی خوهلم کشتی و کندت به نعم *** تو چه پروانه که هر ساعته صد خوبنه کنی</w:t>
      </w:r>
    </w:p>
    <w:p>
      <w:pPr>
        <w:pStyle w:val="BookText"/>
      </w:pPr>
      <w:r>
        <w:rPr>
          <w:rFonts w:ascii="IRNazanin" w:hAnsi="IRNazanin" w:eastAsia="IRNazanin" w:cs="IRNazanin"/>
          <w:lang w:bidi="fa-IR"/>
          <w:color w:val="111111"/>
          <w:sz w:val="28"/>
          <w:szCs w:val="28"/>
          <w:rtl/>
        </w:rPr>
        <w:t xml:space="preserve">شعر به لهجه شوشتری معلوم نیست این شعر لهجه ای چهار بیتی، از وفایی شوشتری هست یا نه؛ خط: شکسته نستعلیق، كا: صحبت الله خان ملقب به دبیر همایون، تا: آغاز قرن ۱۴؛ دارای رکابه؛ کاغذ: نازک کاهی شکننده ،جلد: تیماج قهوه ای با آستر کاغذی ،اص ،(۲۳۴) اندازه: ۱۳/۴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27/1 - ۳۳۷]</w:t>
      </w:r>
    </w:p>
    <w:p>
      <w:pPr>
        <w:pStyle w:val="BookText"/>
      </w:pPr>
      <w:r>
        <w:rPr>
          <w:rFonts w:ascii="IRNazanin" w:hAnsi="IRNazanin" w:eastAsia="IRNazanin" w:cs="IRNazanin"/>
          <w:lang w:bidi="fa-IR"/>
          <w:color w:val="111111"/>
          <w:sz w:val="28"/>
          <w:szCs w:val="28"/>
          <w:rtl/>
        </w:rPr>
        <w:t xml:space="preserve">۱۵۲۲. تهران؛ مجلس؛ شماره نسخه: ۸۱۷۳/۸۴</w:t>
      </w:r>
    </w:p>
    <w:p>
      <w:pPr>
        <w:pStyle w:val="BookText"/>
      </w:pPr>
      <w:r>
        <w:rPr>
          <w:rFonts w:ascii="IRNazanin" w:hAnsi="IRNazanin" w:eastAsia="IRNazanin" w:cs="IRNazanin"/>
          <w:lang w:bidi="fa-IR"/>
          <w:color w:val="111111"/>
          <w:sz w:val="28"/>
          <w:szCs w:val="28"/>
          <w:rtl/>
        </w:rPr>
        <w:t xml:space="preserve">اشعاری درقالب قطعه و فرد با عنوان «و لبعض شعراء مجهول القائله» ؛خط: شکسته نستعليق ،كا: صحبت الله خان ملقب به دبیر همایون، تا: آغاز قرن ۱۴؛ دارای رکابه؛ کاغذ: نازک کاهی شکننده ،جلد: تیماج قهوه ای با آستر کاغذی، ۱ص (۲۵۳)، اندازه: ۱۳/۴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۲۷/۱ - ۳۴۱]</w:t>
      </w:r>
    </w:p>
    <w:p>
      <w:pPr>
        <w:pStyle w:val="BookText"/>
      </w:pPr>
      <w:r>
        <w:rPr>
          <w:rFonts w:ascii="IRNazanin" w:hAnsi="IRNazanin" w:eastAsia="IRNazanin" w:cs="IRNazanin"/>
          <w:lang w:bidi="fa-IR"/>
          <w:color w:val="111111"/>
          <w:sz w:val="28"/>
          <w:szCs w:val="28"/>
          <w:rtl/>
        </w:rPr>
        <w:t xml:space="preserve">۱۵۲۳. تهران؛ مجلس؛ شماره نسخه: ۸۱۷۳/۱۱۴</w:t>
      </w:r>
    </w:p>
    <w:p>
      <w:pPr>
        <w:pStyle w:val="BookText"/>
      </w:pPr>
      <w:r>
        <w:rPr>
          <w:rFonts w:ascii="IRNazanin" w:hAnsi="IRNazanin" w:eastAsia="IRNazanin" w:cs="IRNazanin"/>
          <w:lang w:bidi="fa-IR"/>
          <w:color w:val="111111"/>
          <w:sz w:val="28"/>
          <w:szCs w:val="28"/>
          <w:rtl/>
        </w:rPr>
        <w:t xml:space="preserve">آغاز: برگ بی برگی نداری لاف یکرنگی مزن *** رخ چه عیاران میارا جان چه نامردان مکن؛ انجام: بگشا تو بند خویش به من کن اشارتی *** تا من ز پشت سر بکنم از تنت قبا</w:t>
      </w:r>
    </w:p>
    <w:p>
      <w:pPr>
        <w:pStyle w:val="BookText"/>
      </w:pPr>
      <w:r>
        <w:rPr>
          <w:rFonts w:ascii="IRNazanin" w:hAnsi="IRNazanin" w:eastAsia="IRNazanin" w:cs="IRNazanin"/>
          <w:lang w:bidi="fa-IR"/>
          <w:color w:val="111111"/>
          <w:sz w:val="28"/>
          <w:szCs w:val="28"/>
          <w:rtl/>
        </w:rPr>
        <w:t xml:space="preserve">دو شعر است با عنوان «مجهول القائله» که می دانیم اولی از سنایی است؛ شعر دوم نیز قطعه ای است به سرآغاز زیر: «خواهم که خم شوی صنما تا که تر کنم *** من از کلاف زلف تو ای شوخ کج كلا»؛ خط: شکسته نستعلیق، کا: صحبت الله خان ملقب به دبیر همایون، تا: آغاز سده قرن ۱۴؛ کاغذ: نازک کاهی شکننده، جلد، تیماج قهوه ای باآستر کاغذی ۱ص (۵۰۷)، اندازه: ۱۳/۴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 ف: ۲۷/۱ - ۳۵۰]</w:t>
      </w:r>
    </w:p>
    <w:p>
      <w:pPr>
        <w:pStyle w:val="BookText"/>
      </w:pPr>
      <w:r>
        <w:rPr>
          <w:rFonts w:ascii="IRNazanin" w:hAnsi="IRNazanin" w:eastAsia="IRNazanin" w:cs="IRNazanin"/>
          <w:lang w:bidi="fa-IR"/>
          <w:color w:val="111111"/>
          <w:sz w:val="28"/>
          <w:szCs w:val="28"/>
          <w:rtl/>
        </w:rPr>
        <w:t xml:space="preserve">۱۵۲۴. تهران؛ مجلس؛ شماره نسخه: ۸۱۷۳/۱۴۵</w:t>
      </w:r>
    </w:p>
    <w:p>
      <w:pPr>
        <w:pStyle w:val="BookText"/>
      </w:pPr>
      <w:r>
        <w:rPr>
          <w:rFonts w:ascii="IRNazanin" w:hAnsi="IRNazanin" w:eastAsia="IRNazanin" w:cs="IRNazanin"/>
          <w:lang w:bidi="fa-IR"/>
          <w:color w:val="111111"/>
          <w:sz w:val="28"/>
          <w:szCs w:val="28"/>
          <w:rtl/>
        </w:rPr>
        <w:t xml:space="preserve">آغاز: باغ یکی چمن یکی یار یکی سخن یکی *** سرو یکی سمن یکی یار یکی سخن یکی / مرهم داغ من يكى لاله باغ من یکی *** چشم و چراغ من یکی، یار یکی سخن یکی...؛</w:t>
      </w:r>
    </w:p>
    <w:p>
      <w:pPr>
        <w:pStyle w:val="BookText"/>
      </w:pPr>
      <w:r>
        <w:rPr>
          <w:rFonts w:ascii="IRNazanin" w:hAnsi="IRNazanin" w:eastAsia="IRNazanin" w:cs="IRNazanin"/>
          <w:lang w:bidi="fa-IR"/>
          <w:color w:val="111111"/>
          <w:sz w:val="28"/>
          <w:szCs w:val="28"/>
          <w:rtl/>
        </w:rPr>
        <w:t xml:space="preserve">در عنوان این شعر سست آمده: «مجهول القائله. اگر چه شعریت ندارد اما با لذتست»؛ خط: شکسته نستعلیق، کا: صحبت الله خان ملقب به دبیر همایون، تا: آغاز قرن ۱۴؛ کاغذ: نازک کاهی شکننده ،جلد: تیماج قهوه ای با آستر کاغذی، اص (۵۶۲)،اندازه: ۱۳/۴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۲۷/۱ - ۳۵۸]</w:t>
      </w:r>
    </w:p>
    <w:p>
      <w:pPr>
        <w:pStyle w:val="BookText"/>
      </w:pPr>
      <w:r>
        <w:rPr>
          <w:rFonts w:ascii="IRNazanin" w:hAnsi="IRNazanin" w:eastAsia="IRNazanin" w:cs="IRNazanin"/>
          <w:lang w:bidi="fa-IR"/>
          <w:color w:val="111111"/>
          <w:sz w:val="28"/>
          <w:szCs w:val="28"/>
          <w:rtl/>
        </w:rPr>
        <w:t xml:space="preserve">۱۵۲۵. مشهد؛ الهیات شماره نسخه: ۱۴۹۰۲/۴</w:t>
      </w:r>
    </w:p>
    <w:p>
      <w:pPr>
        <w:pStyle w:val="BookText"/>
      </w:pPr>
      <w:r>
        <w:rPr>
          <w:rFonts w:ascii="IRNazanin" w:hAnsi="IRNazanin" w:eastAsia="IRNazanin" w:cs="IRNazanin"/>
          <w:lang w:bidi="fa-IR"/>
          <w:color w:val="111111"/>
          <w:sz w:val="28"/>
          <w:szCs w:val="28"/>
          <w:rtl/>
        </w:rPr>
        <w:t xml:space="preserve">بندی است در مناجات با مطلع خداوند باسماء عظیمت به بسم الله الرحمن الرحيم رحمیت .... و ادعیه ای چند؛ خط: نسخ، بی کا، تا: قرن ۱۳ یا اوایل قرن ۱۴ق؛ جلد: مقوا عطف میشن سرخ، اندازه:
</w:t>
      </w:r>
    </w:p>
    <w:p>
      <w:pPr>
        <w:sectPr>
          <w:footerReference w:type="default" r:id="rId8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۲ - ۲۱۷]</w:t>
      </w:r>
    </w:p>
    <w:p>
      <w:pPr>
        <w:pStyle w:val="BookText"/>
      </w:pPr>
      <w:r>
        <w:rPr>
          <w:rFonts w:ascii="IRNazanin" w:hAnsi="IRNazanin" w:eastAsia="IRNazanin" w:cs="IRNazanin"/>
          <w:lang w:bidi="fa-IR"/>
          <w:color w:val="111111"/>
          <w:sz w:val="28"/>
          <w:szCs w:val="28"/>
          <w:rtl/>
        </w:rPr>
        <w:t xml:space="preserve">۱۵۲۶. تهران؛ مجلس؛ شماره نسخه: ۸۱۷۳/۱۶۳</w:t>
      </w:r>
    </w:p>
    <w:p>
      <w:pPr>
        <w:pStyle w:val="BookText"/>
      </w:pPr>
      <w:r>
        <w:rPr>
          <w:rFonts w:ascii="IRNazanin" w:hAnsi="IRNazanin" w:eastAsia="IRNazanin" w:cs="IRNazanin"/>
          <w:lang w:bidi="fa-IR"/>
          <w:color w:val="111111"/>
          <w:sz w:val="28"/>
          <w:szCs w:val="28"/>
          <w:rtl/>
        </w:rPr>
        <w:t xml:space="preserve">در عنوان این مثنوی مختصر نوشته: «در ضم [کذا] ملایان مجهـول القائله»؛ خط: شکسته نستعلیق، کا: صحبت الله خان ملقب به دبیر همایون، تا: آغاز قرن ۱۴؛ کاغذ: نازک کاهی ،جلد: تیماج قهوه ای با آستر کاغذی، ۱ص ،(۵۹۳) اندازه: ۱۳/۴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[27/1- 364]</w:t>
      </w:r>
    </w:p>
    <w:p>
      <w:pPr>
        <w:pStyle w:val="BookText"/>
      </w:pPr>
      <w:r>
        <w:rPr>
          <w:rFonts w:ascii="IRNazanin" w:hAnsi="IRNazanin" w:eastAsia="IRNazanin" w:cs="IRNazanin"/>
          <w:lang w:bidi="fa-IR"/>
          <w:color w:val="111111"/>
          <w:sz w:val="28"/>
          <w:szCs w:val="28"/>
          <w:rtl/>
        </w:rPr>
        <w:t xml:space="preserve">۱۵۲۷. تهران؛ مجلس؛ شماره نسخه: ۸۱۷۳/۱۶۴</w:t>
      </w:r>
    </w:p>
    <w:p>
      <w:pPr>
        <w:pStyle w:val="BookText"/>
      </w:pPr>
      <w:r>
        <w:rPr>
          <w:rFonts w:ascii="IRNazanin" w:hAnsi="IRNazanin" w:eastAsia="IRNazanin" w:cs="IRNazanin"/>
          <w:lang w:bidi="fa-IR"/>
          <w:color w:val="111111"/>
          <w:sz w:val="28"/>
          <w:szCs w:val="28"/>
          <w:rtl/>
        </w:rPr>
        <w:t xml:space="preserve">پنج بیت شعر ترکی (غزل گویا) غزلی فارسی با عنوان «مجهـول القائله» غزلی حکایت دار: «خواست مردی زنی وعقدش بست *** زن بد مهر عقد را بشکست»، و حکایتی مفصل در قالب مثنوی با درون مایه هزلی: «در کشور شام پیر زالی *** از قامت خم شـده هلالی» آمده که معلوم نشد از کیست؛ خط: شکسته نستعلیق، صحبت الله خان ملقب به دبیر همایون، تا: آغاز قرن ۱۴؛ کاغذ: نازک کاهی شکننده ،جلد: تیماج قهوه ای با آستر کاغذی، ۲ص (۵۹۵-۵۹۳) اندازه: ۱۳/۴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۲۷/۱ - ۳۶۴]</w:t>
      </w:r>
    </w:p>
    <w:p>
      <w:pPr>
        <w:pStyle w:val="BookText"/>
      </w:pPr>
      <w:r>
        <w:rPr>
          <w:rFonts w:ascii="IRNazanin" w:hAnsi="IRNazanin" w:eastAsia="IRNazanin" w:cs="IRNazanin"/>
          <w:lang w:bidi="fa-IR"/>
          <w:color w:val="111111"/>
          <w:sz w:val="28"/>
          <w:szCs w:val="28"/>
          <w:rtl/>
        </w:rPr>
        <w:t xml:space="preserve">۱۵۲۸. تهران؛ مجلس؛ شماره نسخه: ۱۴۶۴۲</w:t>
      </w:r>
    </w:p>
    <w:p>
      <w:pPr>
        <w:pStyle w:val="BookText"/>
      </w:pPr>
      <w:r>
        <w:rPr>
          <w:rFonts w:ascii="IRNazanin" w:hAnsi="IRNazanin" w:eastAsia="IRNazanin" w:cs="IRNazanin"/>
          <w:lang w:bidi="fa-IR"/>
          <w:color w:val="111111"/>
          <w:sz w:val="28"/>
          <w:szCs w:val="28"/>
          <w:rtl/>
        </w:rPr>
        <w:t xml:space="preserve">بیاض اشعاری است بدون ترتیب خاص به نقل از شاعران مختلف نظیر: انوری ،هلالی، حکیم سوزنی، میرزا تقی، ملای رومی، سعدی، امیر حسینی سادات و غیره؛ خط: شکسته نستعلیق، بی کا، تا: اوایل قرن ۱۴؛ دو ستون به چلیپا ؛جلد: قهوه ای ضربی ترنج دار، ۱۰۵گ، مختلف السطر ،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41- 140]</w:t>
      </w:r>
    </w:p>
    <w:p>
      <w:pPr>
        <w:pStyle w:val="BookText"/>
      </w:pPr>
      <w:r>
        <w:rPr>
          <w:rFonts w:ascii="IRNazanin" w:hAnsi="IRNazanin" w:eastAsia="IRNazanin" w:cs="IRNazanin"/>
          <w:lang w:bidi="fa-IR"/>
          <w:color w:val="111111"/>
          <w:sz w:val="28"/>
          <w:szCs w:val="28"/>
          <w:rtl/>
        </w:rPr>
        <w:t xml:space="preserve">۱۵۲۹. تهران؛ مجلس؛ شماره نسخه: ۱۴۶۴۳</w:t>
      </w:r>
    </w:p>
    <w:p>
      <w:pPr>
        <w:pStyle w:val="BookText"/>
      </w:pPr>
      <w:r>
        <w:rPr>
          <w:rFonts w:ascii="IRNazanin" w:hAnsi="IRNazanin" w:eastAsia="IRNazanin" w:cs="IRNazanin"/>
          <w:lang w:bidi="fa-IR"/>
          <w:color w:val="111111"/>
          <w:sz w:val="28"/>
          <w:szCs w:val="28"/>
          <w:rtl/>
        </w:rPr>
        <w:t xml:space="preserve">اشعار گوناگونی را غالباً بدون نام شاعر گردآمده است نیز چند سند مانند طلب نامچه ای مورخ سال ۱۳۱۶، خواص بعضی از آیات، اجناس گمرکی، طلسم جهت کسی که در زندان باشد؛ خـط: شکسته نستعلیق، بی کا، تا: قرن ۱۴؛ ۹۷گ، قطع: بیاضی، اندازه: ۱۱/۲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۴۱ - ۱۴۰]</w:t>
      </w:r>
    </w:p>
    <w:p>
      <w:pPr>
        <w:pStyle w:val="BookText"/>
      </w:pPr>
      <w:r>
        <w:rPr>
          <w:rFonts w:ascii="IRNazanin" w:hAnsi="IRNazanin" w:eastAsia="IRNazanin" w:cs="IRNazanin"/>
          <w:lang w:bidi="fa-IR"/>
          <w:color w:val="111111"/>
          <w:sz w:val="28"/>
          <w:szCs w:val="28"/>
          <w:rtl/>
        </w:rPr>
        <w:t xml:space="preserve">۱۵۳۰. تهران؛ مجلس؛ شماره نسخه: ۱۴۶۵۸</w:t>
      </w:r>
    </w:p>
    <w:p>
      <w:pPr>
        <w:pStyle w:val="BookText"/>
      </w:pPr>
      <w:r>
        <w:rPr>
          <w:rFonts w:ascii="IRNazanin" w:hAnsi="IRNazanin" w:eastAsia="IRNazanin" w:cs="IRNazanin"/>
          <w:lang w:bidi="fa-IR"/>
          <w:color w:val="111111"/>
          <w:sz w:val="28"/>
          <w:szCs w:val="28"/>
          <w:rtl/>
        </w:rPr>
        <w:t xml:space="preserve">آغاز: شد کشته بشمشیر ستم شاه شهیدان *** زین واقعه ماتم کده شد عالم امکان</w:t>
      </w:r>
    </w:p>
    <w:p>
      <w:pPr>
        <w:pStyle w:val="BookText"/>
      </w:pPr>
      <w:r>
        <w:rPr>
          <w:rFonts w:ascii="IRNazanin" w:hAnsi="IRNazanin" w:eastAsia="IRNazanin" w:cs="IRNazanin"/>
          <w:lang w:bidi="fa-IR"/>
          <w:color w:val="111111"/>
          <w:sz w:val="28"/>
          <w:szCs w:val="28"/>
          <w:rtl/>
        </w:rPr>
        <w:t xml:space="preserve">مجموعه اشعاری است بیشتر از شاعران معروف بدون ترتیب خاص؛ نام بسیاری از شاعران را ذکر نکرده و فقط شعرشان را نقل کرده است و بعضاً اشاراتی به شاعر دارد مانند جامی و حافظ. تقریباً نیمی از کتاب نیز در مراثی است؛ خط: نستعلیق، بی کا،تا: قرن ۱۴؛ خطوط راسته و چلیپا؛ کاغذ: کاهی، جلد: چرم قهوه ای ترنج دار، ۴۶گ، مختلف السطر،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۱۹/۳سم [ف: ۴۱ - 146]</w:t>
      </w:r>
    </w:p>
    <w:p>
      <w:pPr>
        <w:pStyle w:val="BookText"/>
      </w:pPr>
      <w:r>
        <w:rPr>
          <w:rFonts w:ascii="IRNazanin" w:hAnsi="IRNazanin" w:eastAsia="IRNazanin" w:cs="IRNazanin"/>
          <w:lang w:bidi="fa-IR"/>
          <w:color w:val="111111"/>
          <w:sz w:val="28"/>
          <w:szCs w:val="28"/>
          <w:rtl/>
        </w:rPr>
        <w:t xml:space="preserve">۱۵۳۱. تهران؛ دانشگاه؛ شماره نسخه: ۱۰۹۴۰/۱</w:t>
      </w:r>
    </w:p>
    <w:p>
      <w:pPr>
        <w:pStyle w:val="BookText"/>
      </w:pPr>
      <w:r>
        <w:rPr>
          <w:rFonts w:ascii="IRNazanin" w:hAnsi="IRNazanin" w:eastAsia="IRNazanin" w:cs="IRNazanin"/>
          <w:lang w:bidi="fa-IR"/>
          <w:color w:val="111111"/>
          <w:sz w:val="28"/>
          <w:szCs w:val="28"/>
          <w:rtl/>
        </w:rPr>
        <w:t xml:space="preserve">اشعاری از: وحشی ،جامی ،مشتاقعلی، مولوی ،معنوی، طاهر عریان، اصمعی، مدح حضرت ارفع اتابک از یکی از محبوسین زندان با مطلع: کمان ابرو گمان کردی که من سام نریمانم *** کشیدی زیر زنجیر و مکان دادی به زندانم، شیخ نظامی ،میرداماد، قاآنی و بسیاری دیگر بدون نام سراینده؛ خط:نستعلیق، بی کا، تا: قرن14؛  سطور معمولی و چلیپا؛ ۱۱گ (۱ر-6ر و ۱۵ر-۱۱پ و ۲۱پ-  ۶۵پ و ۶۷ر - ۱۰۰ پ [ف: ۲۰ - ۵۲۷]</w:t>
      </w:r>
    </w:p>
    <w:p>
      <w:pPr>
        <w:pStyle w:val="BookText"/>
      </w:pPr>
      <w:r>
        <w:rPr>
          <w:rFonts w:ascii="IRNazanin" w:hAnsi="IRNazanin" w:eastAsia="IRNazanin" w:cs="IRNazanin"/>
          <w:lang w:bidi="fa-IR"/>
          <w:color w:val="111111"/>
          <w:sz w:val="28"/>
          <w:szCs w:val="28"/>
          <w:rtl/>
        </w:rPr>
        <w:t xml:space="preserve">۱۵۳۲. تهران؛ دانشگاه؛ شماره نسخه: ۱۰۹۴۸/۷</w:t>
      </w:r>
    </w:p>
    <w:p>
      <w:pPr>
        <w:pStyle w:val="BookText"/>
      </w:pPr>
      <w:r>
        <w:rPr>
          <w:rFonts w:ascii="IRNazanin" w:hAnsi="IRNazanin" w:eastAsia="IRNazanin" w:cs="IRNazanin"/>
          <w:lang w:bidi="fa-IR"/>
          <w:color w:val="111111"/>
          <w:sz w:val="28"/>
          <w:szCs w:val="28"/>
          <w:rtl/>
        </w:rPr>
        <w:t xml:space="preserve">آغاز: مژده ای دل غم ایام به پایان آمد*** گاه عیش و طرب و شادی دوران آمد</w:t>
      </w:r>
    </w:p>
    <w:p>
      <w:pPr>
        <w:pStyle w:val="BookText"/>
      </w:pPr>
      <w:r>
        <w:rPr>
          <w:rFonts w:ascii="IRNazanin" w:hAnsi="IRNazanin" w:eastAsia="IRNazanin" w:cs="IRNazanin"/>
          <w:lang w:bidi="fa-IR"/>
          <w:color w:val="111111"/>
          <w:sz w:val="28"/>
          <w:szCs w:val="28"/>
          <w:rtl/>
        </w:rPr>
        <w:t xml:space="preserve">خط: نسخ و نستعلیق شکسته، بی کا، تا: قرن ۱۴؛ افتادگی: انجام؛ برگ های ۳۳ و ۳۵ نسخه های پزشکی پراکنده؛ جلد: تیماج سرمه ای مجدول یک لا، ۲گ (29ر- 30پ)،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۲۷سم[ف: ۲۰ - ۵۳۵]</w:t>
      </w:r>
    </w:p>
    <w:p>
      <w:pPr>
        <w:pStyle w:val="BookText"/>
      </w:pPr>
      <w:r>
        <w:rPr>
          <w:rFonts w:ascii="IRNazanin" w:hAnsi="IRNazanin" w:eastAsia="IRNazanin" w:cs="IRNazanin"/>
          <w:lang w:bidi="fa-IR"/>
          <w:color w:val="111111"/>
          <w:sz w:val="28"/>
          <w:szCs w:val="28"/>
          <w:rtl/>
        </w:rPr>
        <w:t xml:space="preserve">۱۵۳۳. تهران؛ مجلس؛ شماره نسخه: ۱۱۵۹۴</w:t>
      </w:r>
    </w:p>
    <w:p>
      <w:pPr>
        <w:pStyle w:val="BookText"/>
      </w:pPr>
      <w:r>
        <w:rPr>
          <w:rFonts w:ascii="IRNazanin" w:hAnsi="IRNazanin" w:eastAsia="IRNazanin" w:cs="IRNazanin"/>
          <w:lang w:bidi="fa-IR"/>
          <w:color w:val="111111"/>
          <w:sz w:val="28"/>
          <w:szCs w:val="28"/>
          <w:rtl/>
        </w:rPr>
        <w:t xml:space="preserve">آغاز: پایت را بگذار تا ببوسم***دستم  که نمیرسد باغوش؛</w:t>
      </w:r>
    </w:p>
    <w:p>
      <w:pPr>
        <w:pStyle w:val="BookText"/>
      </w:pPr>
      <w:r>
        <w:rPr>
          <w:rFonts w:ascii="IRNazanin" w:hAnsi="IRNazanin" w:eastAsia="IRNazanin" w:cs="IRNazanin"/>
          <w:lang w:bidi="fa-IR"/>
          <w:color w:val="111111"/>
          <w:sz w:val="28"/>
          <w:szCs w:val="28"/>
          <w:rtl/>
        </w:rPr>
        <w:t xml:space="preserve">انجام بگدایی نواز خواجه (؟) باشد ننگ *** بغلامی نواز خسرو بم باشد لار</w:t>
      </w:r>
    </w:p>
    <w:p>
      <w:pPr>
        <w:pStyle w:val="BookText"/>
      </w:pPr>
      <w:r>
        <w:rPr>
          <w:rFonts w:ascii="IRNazanin" w:hAnsi="IRNazanin" w:eastAsia="IRNazanin" w:cs="IRNazanin"/>
          <w:lang w:bidi="fa-IR"/>
          <w:color w:val="111111"/>
          <w:sz w:val="28"/>
          <w:szCs w:val="28"/>
          <w:rtl/>
        </w:rPr>
        <w:t xml:space="preserve">مجموعه ای از اشعار و سروده های شعرای مختلف شامل قصائد، تضمینات، رباعیات و بیت های فرد، بدون ذکر نام سراینده که در یک دفتر گردآوری شده است؛ خط: نستعلیق، بی کا، تا: قرن ۱۳- قرن ۱۴ ؛جلد: گالینگور قهوه ای ،۶۵گ سطور چلیپا،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 سم [ف: ۳۳/۲ - ۱۹۰]</w:t>
      </w:r>
    </w:p>
    <w:p>
      <w:pPr>
        <w:pStyle w:val="BookText"/>
      </w:pPr>
      <w:r>
        <w:rPr>
          <w:rFonts w:ascii="IRNazanin" w:hAnsi="IRNazanin" w:eastAsia="IRNazanin" w:cs="IRNazanin"/>
          <w:lang w:bidi="fa-IR"/>
          <w:color w:val="111111"/>
          <w:sz w:val="28"/>
          <w:szCs w:val="28"/>
          <w:rtl/>
        </w:rPr>
        <w:t xml:space="preserve">۱۵۳۴. تهران؛ مجلس؛ شماره نسخه: ۱۵۷۶۸</w:t>
      </w:r>
    </w:p>
    <w:p>
      <w:pPr>
        <w:pStyle w:val="BookText"/>
      </w:pPr>
      <w:r>
        <w:rPr>
          <w:rFonts w:ascii="IRNazanin" w:hAnsi="IRNazanin" w:eastAsia="IRNazanin" w:cs="IRNazanin"/>
          <w:lang w:bidi="fa-IR"/>
          <w:color w:val="111111"/>
          <w:sz w:val="28"/>
          <w:szCs w:val="28"/>
          <w:rtl/>
        </w:rPr>
        <w:t xml:space="preserve">آغاز: یک حکایت گویمت بگشای گوش *** گوش بگشای از تو داری عقل و هوش؛ انجام :گر نسازد شاه مردم را خلاص *** ز این جلب جز حق نباشدشان مناص</w:t>
      </w:r>
    </w:p>
    <w:p>
      <w:pPr>
        <w:pStyle w:val="BookText"/>
      </w:pPr>
      <w:r>
        <w:rPr>
          <w:rFonts w:ascii="IRNazanin" w:hAnsi="IRNazanin" w:eastAsia="IRNazanin" w:cs="IRNazanin"/>
          <w:lang w:bidi="fa-IR"/>
          <w:color w:val="111111"/>
          <w:sz w:val="28"/>
          <w:szCs w:val="28"/>
          <w:rtl/>
        </w:rPr>
        <w:t xml:space="preserve">از :کاشانی (ق ۱۴هـ). منظومه ای است در قالب مثنوی در شرح زندگی شاعر که در قرن ۱۳ و ۱۴ق در کاشان می زیسته و نسبت به تصرفات در املاک وقفی آن شهر به خصوص توسط «عبد الصاحب» نامی که ادعای فقاهت داشته به ناصرالدین شاه شکایت می کند: «آنچه بر من رفته از دور زمان *** بر تو خوانم کازمون یابی از آن / گویمت شرحی از حال خود براز *** که فراموش آیدت از خویش باز / ... یکهزار و سیصد و اند از سنین *** رفته زان دور ختم مرسلین / ... من فقیه و نایب پیغمبرم *** عبد صاحب خاکروب آن درم/ هر چه حق صاحب و پیغمبر است ***مر مرا بایسته است و در خور است / ... این بگفت و پاک آن املاک وقف *** در حساب خود گرفت از بوم و سقف»؛ خط: نستعلیق شکسته، بی کا، تا: قرن ۱۴؛ به دست شاعر تصحیح شده؛ جلد: تیماج فرنگی، ۷۲گ ، ۱۷ سطر ،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۴۴ - ۵۴]</w:t>
      </w:r>
    </w:p>
    <w:p>
      <w:pPr>
        <w:pStyle w:val="BookText"/>
      </w:pPr>
      <w:r>
        <w:rPr>
          <w:rFonts w:ascii="IRNazanin" w:hAnsi="IRNazanin" w:eastAsia="IRNazanin" w:cs="IRNazanin"/>
          <w:lang w:bidi="fa-IR"/>
          <w:color w:val="111111"/>
          <w:sz w:val="28"/>
          <w:szCs w:val="28"/>
          <w:rtl/>
        </w:rPr>
        <w:t xml:space="preserve">۱۵۳۵ . مشهد؛ رضوی؛ شماره نسخه: ۲۴۹۹۱</w:t>
      </w:r>
    </w:p>
    <w:p>
      <w:pPr>
        <w:pStyle w:val="BookText"/>
      </w:pPr>
      <w:r>
        <w:rPr>
          <w:rFonts w:ascii="IRNazanin" w:hAnsi="IRNazanin" w:eastAsia="IRNazanin" w:cs="IRNazanin"/>
          <w:lang w:bidi="fa-IR"/>
          <w:color w:val="111111"/>
          <w:sz w:val="28"/>
          <w:szCs w:val="28"/>
          <w:rtl/>
        </w:rPr>
        <w:t xml:space="preserve">آغاز: روزها درس اصول و فقه خواند؛ انجام: استر و اسب و شتر مثنوی؛ خط: نستعلیق تحریری، بی کا، تا: قرن ۱۴؛ افتادگی: آغاز و  انجام؛ کاغذ: نخودی، جلد: اسقاطی [رایانه]</w:t>
      </w:r>
    </w:p>
    <w:p>
      <w:pPr>
        <w:pStyle w:val="BookText"/>
      </w:pPr>
      <w:r>
        <w:rPr>
          <w:rFonts w:ascii="IRNazanin" w:hAnsi="IRNazanin" w:eastAsia="IRNazanin" w:cs="IRNazanin"/>
          <w:lang w:bidi="fa-IR"/>
          <w:color w:val="111111"/>
          <w:sz w:val="28"/>
          <w:szCs w:val="28"/>
          <w:rtl/>
        </w:rPr>
        <w:t xml:space="preserve">۱۵۳۶. تهران؛ مجلس؛ شماره نسخه: ۸۹۶۸/۲۰</w:t>
      </w:r>
    </w:p>
    <w:p>
      <w:pPr>
        <w:pStyle w:val="BookText"/>
      </w:pPr>
      <w:r>
        <w:rPr>
          <w:rFonts w:ascii="IRNazanin" w:hAnsi="IRNazanin" w:eastAsia="IRNazanin" w:cs="IRNazanin"/>
          <w:lang w:bidi="fa-IR"/>
          <w:color w:val="111111"/>
          <w:sz w:val="28"/>
          <w:szCs w:val="28"/>
          <w:rtl/>
        </w:rPr>
        <w:t xml:space="preserve">آغاز: آن زنی را که پشت شد چو کمان *** نفسش راست همچو  تیر شود</w:t>
      </w:r>
    </w:p>
    <w:p>
      <w:pPr>
        <w:pStyle w:val="BookText"/>
      </w:pPr>
      <w:r>
        <w:rPr>
          <w:rFonts w:ascii="IRNazanin" w:hAnsi="IRNazanin" w:eastAsia="IRNazanin" w:cs="IRNazanin"/>
          <w:lang w:bidi="fa-IR"/>
          <w:color w:val="111111"/>
          <w:sz w:val="28"/>
          <w:szCs w:val="28"/>
          <w:rtl/>
        </w:rPr>
        <w:t xml:space="preserve">اشعاری درباره زن؛ خط: نستعلیق و شکسته، بی کا، تا: اوایل قرن
</w:t>
      </w:r>
    </w:p>
    <w:p>
      <w:pPr>
        <w:sectPr>
          <w:footerReference w:type="default" r:id="rId8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۱۴؛ کاغذ: فرنگی نخودی و فستقی، از انواع مختلف، جلد:چرم قهوه ای ضربی با ترنج منقش به گل و مرغ، ۲ص (۱۸۲-۸۳) ، اندازه:۱۲/۶۲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۲۱/۸سم [ف: 29/1 - ۴۹۴]</w:t>
      </w:r>
    </w:p>
    <w:p>
      <w:pPr>
        <w:pStyle w:val="BookText"/>
      </w:pPr>
      <w:r>
        <w:rPr>
          <w:rFonts w:ascii="IRNazanin" w:hAnsi="IRNazanin" w:eastAsia="IRNazanin" w:cs="IRNazanin"/>
          <w:lang w:bidi="fa-IR"/>
          <w:color w:val="111111"/>
          <w:sz w:val="28"/>
          <w:szCs w:val="28"/>
          <w:rtl/>
        </w:rPr>
        <w:t xml:space="preserve">۱۵۳۷ تهران؛ دانشگاه؛ شماره نسخه: ۱۰۶۲۷</w:t>
      </w:r>
    </w:p>
    <w:p>
      <w:pPr>
        <w:pStyle w:val="BookText"/>
      </w:pPr>
      <w:r>
        <w:rPr>
          <w:rFonts w:ascii="IRNazanin" w:hAnsi="IRNazanin" w:eastAsia="IRNazanin" w:cs="IRNazanin"/>
          <w:lang w:bidi="fa-IR"/>
          <w:color w:val="111111"/>
          <w:sz w:val="28"/>
          <w:szCs w:val="28"/>
          <w:rtl/>
        </w:rPr>
        <w:t xml:space="preserve">گزیده اشعاری است که ظاهراً برای استفاده شخصی در دفتر یادداشت نوشته شده است. بسیاری از اشعار از حافظ و سعدی اند و بقیه بیشتر تک بیت هایی از دیگر شاعران؛ کاتب به نام همه شاعران اشاره نکرده و اینها شعرایی اند که به نامشان اشاره شـده است ،قطاری ،فطرت ،فنایی،مشرقی ،نزاری ،بیانی ،خواجو عـماد ،فقیه ،وحشی ،ناصری ،همایی، رضی الدین ،شاهدی ،صفی، بنایی ،عطار ،نظیری ،آصفی ،حیدر ،قتالی، طلحه، خیام؛ خط: نستعلیق، بی کا، تا: قرن ۱۴؛ سطور معمولی و چلیپا؛ از کتاب های فـرخ غفاری انتقال یافته به دانشگاه در مهر ۱۳۷۰؛ کاغذ: خط دار فرنگی جدید، جلد: مقوایی مشکی، ۳۰گ، مختلف السـطر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 ۲۰ - ۹۱]</w:t>
      </w:r>
    </w:p>
    <w:p>
      <w:pPr>
        <w:pStyle w:val="BookText"/>
      </w:pPr>
      <w:r>
        <w:rPr>
          <w:rFonts w:ascii="IRNazanin" w:hAnsi="IRNazanin" w:eastAsia="IRNazanin" w:cs="IRNazanin"/>
          <w:lang w:bidi="fa-IR"/>
          <w:color w:val="111111"/>
          <w:sz w:val="28"/>
          <w:szCs w:val="28"/>
          <w:rtl/>
        </w:rPr>
        <w:t xml:space="preserve">۱۵۳۸. تهران؛ دانشگاه؛ شماره نسخه: ۱۰۹۴۸/۴</w:t>
      </w:r>
    </w:p>
    <w:p>
      <w:pPr>
        <w:pStyle w:val="BookText"/>
      </w:pPr>
      <w:r>
        <w:rPr>
          <w:rFonts w:ascii="IRNazanin" w:hAnsi="IRNazanin" w:eastAsia="IRNazanin" w:cs="IRNazanin"/>
          <w:lang w:bidi="fa-IR"/>
          <w:color w:val="111111"/>
          <w:sz w:val="28"/>
          <w:szCs w:val="28"/>
          <w:rtl/>
        </w:rPr>
        <w:t xml:space="preserve">آغاز: تکیه کن بر فضل حق ای دل ز هجران غم مخور *** وصـل یار آید شوی زان خرم ای جان غم مخور؛ انجام: صورت و نقش جهان کل است و معنی گوهرش *** چون تویی گوهرشناس گوهر كان غم مخور</w:t>
      </w:r>
    </w:p>
    <w:p>
      <w:pPr>
        <w:pStyle w:val="BookText"/>
      </w:pPr>
      <w:r>
        <w:rPr>
          <w:rFonts w:ascii="IRNazanin" w:hAnsi="IRNazanin" w:eastAsia="IRNazanin" w:cs="IRNazanin"/>
          <w:lang w:bidi="fa-IR"/>
          <w:color w:val="111111"/>
          <w:sz w:val="28"/>
          <w:szCs w:val="28"/>
          <w:rtl/>
        </w:rPr>
        <w:t xml:space="preserve">قصیده؛ خط: نسخ و نستعلیق شکسته، بی کا، تا: قرن ۱۴؛ مجدول زرين بين سطور و در کناره صفحات؛ جلد: تیماج سرمه ای مجدول ،یک لا، اگ (۲۷ ر -۲۷پ)، ۱۴ ،سطر اندازه:15/5</w:t>
      </w:r>
      <w:r>
        <w:rPr>
          <w:rFonts w:ascii="Times New Roman" w:hAnsi="Times New Roman" w:eastAsia="Times New Roman" w:cs="Times New Roman"/>
          <w:lang w:val="en-US" w:bidi="en-US"/>
          <w:color w:val="111111"/>
          <w:sz w:val="28"/>
          <w:szCs w:val="28"/>
          <w:rtl/>
        </w:rPr>
        <w:t xml:space="preserve">×27</w:t>
      </w:r>
      <w:r>
        <w:rPr>
          <w:rFonts w:ascii="IRNazanin" w:hAnsi="IRNazanin" w:eastAsia="IRNazanin" w:cs="IRNazanin"/>
          <w:lang w:bidi="fa-IR"/>
          <w:color w:val="111111"/>
          <w:sz w:val="28"/>
          <w:szCs w:val="28"/>
          <w:rtl/>
        </w:rPr>
        <w:t xml:space="preserve">سم[ ف: ۲۰ - ۵۳۴]</w:t>
      </w:r>
    </w:p>
    <w:p>
      <w:pPr>
        <w:pStyle w:val="BookText"/>
      </w:pPr>
      <w:r>
        <w:rPr>
          <w:rFonts w:ascii="IRNazanin" w:hAnsi="IRNazanin" w:eastAsia="IRNazanin" w:cs="IRNazanin"/>
          <w:lang w:bidi="fa-IR"/>
          <w:color w:val="111111"/>
          <w:sz w:val="28"/>
          <w:szCs w:val="28"/>
          <w:rtl/>
        </w:rPr>
        <w:t xml:space="preserve">۱۵۳۹. تهران؛ دانشگاه؛ شماره نسخه: ۱۰۹۵۵/۳</w:t>
      </w:r>
    </w:p>
    <w:p>
      <w:pPr>
        <w:pStyle w:val="BookText"/>
      </w:pPr>
      <w:r>
        <w:rPr>
          <w:rFonts w:ascii="Amiri" w:hAnsi="Amiri" w:eastAsia="Amiri" w:cs="Amiri"/>
          <w:lang w:bidi="ar-SA"/>
          <w:color w:val="111111"/>
          <w:sz w:val="28"/>
          <w:szCs w:val="28"/>
          <w:rtl/>
        </w:rPr>
        <w:t xml:space="preserve">آغاز: ثلاثة تشرق الدنيا ببهجتها *** شمس الضحى و ابوالسحق و القمر</w:t>
      </w:r>
    </w:p>
    <w:p>
      <w:pPr>
        <w:pStyle w:val="BookText"/>
      </w:pPr>
      <w:r>
        <w:rPr>
          <w:rFonts w:ascii="IRNazanin" w:hAnsi="IRNazanin" w:eastAsia="IRNazanin" w:cs="IRNazanin"/>
          <w:lang w:bidi="fa-IR"/>
          <w:color w:val="111111"/>
          <w:sz w:val="28"/>
          <w:szCs w:val="28"/>
          <w:rtl/>
        </w:rPr>
        <w:t xml:space="preserve">قصیده؛ خط : نسخ و نستعلیق شکسته، بی کا، تا: قرن ۱۴؛ ۱گ [ف: 20- 543]</w:t>
      </w:r>
    </w:p>
    <w:p>
      <w:pPr>
        <w:pStyle w:val="BookText"/>
      </w:pPr>
      <w:r>
        <w:rPr>
          <w:rFonts w:ascii="IRNazanin" w:hAnsi="IRNazanin" w:eastAsia="IRNazanin" w:cs="IRNazanin"/>
          <w:lang w:bidi="fa-IR"/>
          <w:color w:val="111111"/>
          <w:sz w:val="28"/>
          <w:szCs w:val="28"/>
          <w:rtl/>
        </w:rPr>
        <w:t xml:space="preserve">۱۵۴۰. تهران؛ دانشگاه؛ شماره نسخه: ۱۰۹۵۶/۲</w:t>
      </w:r>
    </w:p>
    <w:p>
      <w:pPr>
        <w:pStyle w:val="BookText"/>
      </w:pPr>
      <w:r>
        <w:rPr>
          <w:rFonts w:ascii="IRNazanin" w:hAnsi="IRNazanin" w:eastAsia="IRNazanin" w:cs="IRNazanin"/>
          <w:lang w:bidi="fa-IR"/>
          <w:color w:val="111111"/>
          <w:sz w:val="28"/>
          <w:szCs w:val="28"/>
          <w:rtl/>
        </w:rPr>
        <w:t xml:space="preserve">آغاز: بر عسکر زمین و زمان سروری کنم *** در یک زمان ثنای شه عسکری کنم / فرمان دهم به عرصه عالم چو آسمان ***گر همچو آسمانش فرمانبری کنم؛ انجام: بگلربگی چه گفت که من مال و جان جاه *** بر درگهت نثار به نام آوری کنم</w:t>
      </w:r>
    </w:p>
    <w:p>
      <w:pPr>
        <w:pStyle w:val="BookText"/>
      </w:pPr>
      <w:r>
        <w:rPr>
          <w:rFonts w:ascii="IRNazanin" w:hAnsi="IRNazanin" w:eastAsia="IRNazanin" w:cs="IRNazanin"/>
          <w:lang w:bidi="fa-IR"/>
          <w:color w:val="111111"/>
          <w:sz w:val="28"/>
          <w:szCs w:val="28"/>
          <w:rtl/>
        </w:rPr>
        <w:t xml:space="preserve">قصیده. «از زبان عجز فرمانفرمای آذربایجان در حین تعمیر گنبد عسکریین و مسجد صاحب الامر» احتمالاً از صبا؛ خط: نسخ نستعلیق، بی کا، تا: قرن ۱۳ و ۱۴؛ مجدول؛ ۲گ (۱۶ پ- ۱۷پ)، مختلف السطر (۵/۸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اندازه: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 ۲۰ - ۵۴۵]</w:t>
      </w:r>
    </w:p>
    <w:p>
      <w:pPr>
        <w:pStyle w:val="BookText"/>
      </w:pPr>
      <w:r>
        <w:rPr>
          <w:rFonts w:ascii="IRNazanin" w:hAnsi="IRNazanin" w:eastAsia="IRNazanin" w:cs="IRNazanin"/>
          <w:lang w:bidi="fa-IR"/>
          <w:color w:val="111111"/>
          <w:sz w:val="28"/>
          <w:szCs w:val="28"/>
          <w:rtl/>
        </w:rPr>
        <w:t xml:space="preserve">۱۵۴۱. تهران؛ دانشگاه شماره نسخه: ۱۰۹۵۵/۵</w:t>
      </w:r>
    </w:p>
    <w:p>
      <w:pPr>
        <w:pStyle w:val="BookText"/>
      </w:pPr>
      <w:r>
        <w:rPr>
          <w:rFonts w:ascii="IRNazanin" w:hAnsi="IRNazanin" w:eastAsia="IRNazanin" w:cs="IRNazanin"/>
          <w:lang w:bidi="fa-IR"/>
          <w:color w:val="111111"/>
          <w:sz w:val="28"/>
          <w:szCs w:val="28"/>
          <w:rtl/>
        </w:rPr>
        <w:t xml:space="preserve">آغاز: برصدر اجل مهین اتابک*** نوروز عجم خوش و مبارک؛ قصیده در مدح اتابک</w:t>
      </w:r>
    </w:p>
    <w:p>
      <w:pPr>
        <w:pStyle w:val="BookText"/>
      </w:pPr>
      <w:r>
        <w:rPr>
          <w:rFonts w:ascii="IRNazanin" w:hAnsi="IRNazanin" w:eastAsia="IRNazanin" w:cs="IRNazanin"/>
          <w:lang w:bidi="fa-IR"/>
          <w:color w:val="111111"/>
          <w:sz w:val="28"/>
          <w:szCs w:val="28"/>
          <w:rtl/>
        </w:rPr>
        <w:t xml:space="preserve">خط: نسخ و نستعلیق شکسته، بی کا، تا: قرن ۱۴؛ به چندین خط: مختلف؛ اگ [ف: ۲۰ - ۵۴۳]</w:t>
      </w:r>
    </w:p>
    <w:p>
      <w:pPr>
        <w:pStyle w:val="BookText"/>
      </w:pPr>
      <w:r>
        <w:rPr>
          <w:rFonts w:ascii="IRNazanin" w:hAnsi="IRNazanin" w:eastAsia="IRNazanin" w:cs="IRNazanin"/>
          <w:lang w:bidi="fa-IR"/>
          <w:color w:val="111111"/>
          <w:sz w:val="28"/>
          <w:szCs w:val="28"/>
          <w:rtl/>
        </w:rPr>
        <w:t xml:space="preserve">۱۵۴۲. تهران؛ دانشگاه؛ شماره نسخه: ۱۰۹۴۸/۵</w:t>
      </w:r>
    </w:p>
    <w:p>
      <w:pPr>
        <w:pStyle w:val="BookText"/>
      </w:pPr>
      <w:r>
        <w:rPr>
          <w:rFonts w:ascii="IRNazanin" w:hAnsi="IRNazanin" w:eastAsia="IRNazanin" w:cs="IRNazanin"/>
          <w:lang w:bidi="fa-IR"/>
          <w:color w:val="111111"/>
          <w:sz w:val="28"/>
          <w:szCs w:val="28"/>
          <w:rtl/>
        </w:rPr>
        <w:t xml:space="preserve">آغاز: حیدر از رشته ایجاد ز چنگ افکندا *** هستی اندر عدمش رخت و درنگ افکندا</w:t>
      </w:r>
    </w:p>
    <w:p>
      <w:pPr>
        <w:pStyle w:val="BookText"/>
      </w:pPr>
      <w:r>
        <w:rPr>
          <w:rFonts w:ascii="IRNazanin" w:hAnsi="IRNazanin" w:eastAsia="IRNazanin" w:cs="IRNazanin"/>
          <w:lang w:bidi="fa-IR"/>
          <w:color w:val="111111"/>
          <w:sz w:val="28"/>
          <w:szCs w:val="28"/>
          <w:rtl/>
        </w:rPr>
        <w:t xml:space="preserve">قصیده در مدح اهل بیت و امیرالمؤمنين؛ خط: نسخ و نستعلیق شکسته، بی کا، تا: قرن ۱۴؛ افتادگی: آغاز و وسط و انجام؛ جلد: تیماج سرمه ای مجدول یک لا، اگ (28ر- 28پ)، اندازه: ۱۵/۵</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۲۷سم [ف ۲۰ - ۵۳۵]</w:t>
      </w:r>
    </w:p>
    <w:p>
      <w:pPr>
        <w:pStyle w:val="BookText"/>
      </w:pPr>
      <w:r>
        <w:rPr>
          <w:rFonts w:ascii="IRNazanin" w:hAnsi="IRNazanin" w:eastAsia="IRNazanin" w:cs="IRNazanin"/>
          <w:lang w:bidi="fa-IR"/>
          <w:color w:val="111111"/>
          <w:sz w:val="28"/>
          <w:szCs w:val="28"/>
          <w:rtl/>
        </w:rPr>
        <w:t xml:space="preserve">۱۵۴۳. تهران؛ مجلس؛ شماره نسخه: ۶۵/۶-فیروز</w:t>
      </w:r>
    </w:p>
    <w:p>
      <w:pPr>
        <w:pStyle w:val="BookText"/>
      </w:pPr>
      <w:r>
        <w:rPr>
          <w:rFonts w:ascii="IRNazanin" w:hAnsi="IRNazanin" w:eastAsia="IRNazanin" w:cs="IRNazanin"/>
          <w:lang w:bidi="fa-IR"/>
          <w:color w:val="111111"/>
          <w:sz w:val="28"/>
          <w:szCs w:val="28"/>
          <w:rtl/>
        </w:rPr>
        <w:t xml:space="preserve">دو بند غزل است در مدح پیغمبر (صلّی اللَّهِ علیه وَ آلِهِ وَ سَلَّمَ ) با ترجیح این بیت سعدی:«بلغ العلى بكماله كشف الدجى بجماله حسنت جميع خصاله صلو عليه و اله»، مطلع غزل اول: «چو ارادت شه ذو الكرم به ظهور داشت تعلقی به کمال هست شه قدم به جمال خویش تعشقی»، مطلع غزل دوم: «صنما به قامت معتدل چو تو سرو گلشن فاستقم چو نهار روی تو منجلی جولیال بوی تو مدلهم»؛ خط: شکسته نستعليق، كا: میر حسین ذهبی پسر حاج مير هاشم افشار، تا: ۱۳۰۱ق؛ کاغذ: فرنگی، جلد: تیماج قرمز درون مقوا، ۱ص (۳۷۷- ۳۷۸)، ۱۵ سطر، قطع: نیم خشتی،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۲۱ - ۲۲۲]</w:t>
      </w:r>
    </w:p>
    <w:p>
      <w:pPr>
        <w:pStyle w:val="BookText"/>
      </w:pPr>
      <w:r>
        <w:rPr>
          <w:rFonts w:ascii="IRNazanin" w:hAnsi="IRNazanin" w:eastAsia="IRNazanin" w:cs="IRNazanin"/>
          <w:lang w:bidi="fa-IR"/>
          <w:color w:val="111111"/>
          <w:sz w:val="28"/>
          <w:szCs w:val="28"/>
          <w:rtl/>
        </w:rPr>
        <w:t xml:space="preserve">۱۵۴۴. تهران؛ سپهسالار؛ شماره نسخه: ۷۵۰۵/۳</w:t>
      </w:r>
    </w:p>
    <w:p>
      <w:pPr>
        <w:pStyle w:val="BookText"/>
      </w:pPr>
      <w:r>
        <w:rPr>
          <w:rFonts w:ascii="IRNazanin" w:hAnsi="IRNazanin" w:eastAsia="IRNazanin" w:cs="IRNazanin"/>
          <w:lang w:bidi="fa-IR"/>
          <w:color w:val="111111"/>
          <w:sz w:val="28"/>
          <w:szCs w:val="28"/>
          <w:rtl/>
        </w:rPr>
        <w:t xml:space="preserve">چند ترجیع بند: ۱- از ناصر خسرو: ای رخت آفتاب کشور دل *** تاب زلفت مه منور دل، ۲- از فخر عراقی، که به تاریخ آدینه ۳ ربیع الثانی ۱۳۰۱ق نوشته شده است، ۳- از شاه نعمة الله، که به تاریخ ۶ ربیع الثانی ۱۳۰۱ق نوشته شده، ۴- از هاتف اصفهانی. به تاریخ ۹ ذیحجه ۱۳۰۱ق، ۵- دو غزل از شاه نعمة الله به تاریخ ۹ ذیحجه ۱۳۰۱ق؛ بی کا، تا: با تاریخ ۱۳۰۱ق؛ کاغذ: فرنگی کبود و سفید، ۵۳ص (۱-۵۳)، ۱۵ سطر، اندازه: 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۱۰سم [ف: ۳ – ۴۳۱]</w:t>
      </w:r>
    </w:p>
    <w:p>
      <w:pPr>
        <w:pStyle w:val="BookText"/>
      </w:pPr>
      <w:r>
        <w:rPr>
          <w:rFonts w:ascii="IRNazanin" w:hAnsi="IRNazanin" w:eastAsia="IRNazanin" w:cs="IRNazanin"/>
          <w:lang w:bidi="fa-IR"/>
          <w:color w:val="111111"/>
          <w:sz w:val="28"/>
          <w:szCs w:val="28"/>
          <w:rtl/>
        </w:rPr>
        <w:t xml:space="preserve">۱۵۴۵. تهران؛ ملک؛ شماره نسخه: ۵۱۵۶</w:t>
      </w:r>
    </w:p>
    <w:p>
      <w:pPr>
        <w:pStyle w:val="BookText"/>
      </w:pPr>
      <w:r>
        <w:rPr>
          <w:rFonts w:ascii="IRNazanin" w:hAnsi="IRNazanin" w:eastAsia="IRNazanin" w:cs="IRNazanin"/>
          <w:lang w:bidi="fa-IR"/>
          <w:color w:val="111111"/>
          <w:sz w:val="28"/>
          <w:szCs w:val="28"/>
          <w:rtl/>
        </w:rPr>
        <w:t xml:space="preserve">آغاز: جنبش زلفت از کفم برده توان و تاب را *** از پی بستنم دگر تاب مده طناب را</w:t>
      </w:r>
    </w:p>
    <w:p>
      <w:pPr>
        <w:pStyle w:val="BookText"/>
      </w:pPr>
      <w:r>
        <w:rPr>
          <w:rFonts w:ascii="IRNazanin" w:hAnsi="IRNazanin" w:eastAsia="IRNazanin" w:cs="IRNazanin"/>
          <w:lang w:bidi="fa-IR"/>
          <w:color w:val="111111"/>
          <w:sz w:val="28"/>
          <w:szCs w:val="28"/>
          <w:rtl/>
        </w:rPr>
        <w:t xml:space="preserve">شامل اشعای از: کاتب نسخه، عطار، عراقی، مولوی و دیگران؛ خط: شکسته نستعلیق، بی کا، تا: ۱۲۸۵-۱۳۰۱؛ کاغذ: فرنگی آهار ،مهره ،جلد: میشن لیمویی لائی، ۵۶ گ، ۶ سطر، اندازه:۱۰/۸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۸ - ۲۲۷]</w:t>
      </w:r>
    </w:p>
    <w:p>
      <w:pPr>
        <w:pStyle w:val="BookText"/>
      </w:pPr>
      <w:r>
        <w:rPr>
          <w:rFonts w:ascii="IRNazanin" w:hAnsi="IRNazanin" w:eastAsia="IRNazanin" w:cs="IRNazanin"/>
          <w:lang w:bidi="fa-IR"/>
          <w:color w:val="111111"/>
          <w:sz w:val="28"/>
          <w:szCs w:val="28"/>
          <w:rtl/>
        </w:rPr>
        <w:t xml:space="preserve">۱۵۴۶. تهران؛ ملی؛ شماره نسخه: ۶۷۵۴</w:t>
      </w:r>
    </w:p>
    <w:p>
      <w:pPr>
        <w:pStyle w:val="BookText"/>
      </w:pPr>
      <w:r>
        <w:rPr>
          <w:rFonts w:ascii="IRNazanin" w:hAnsi="IRNazanin" w:eastAsia="IRNazanin" w:cs="IRNazanin"/>
          <w:lang w:bidi="fa-IR"/>
          <w:color w:val="111111"/>
          <w:sz w:val="28"/>
          <w:szCs w:val="28"/>
          <w:rtl/>
        </w:rPr>
        <w:t xml:space="preserve">آغاز: سلامت باد ای چشم و چراغم...سلامت باد ای روح گرامی؛ انجام: بر تو گر از خیر نگشاید دری از سگ گرگین گبران کمتری</w:t>
      </w:r>
    </w:p>
    <w:p>
      <w:pPr>
        <w:pStyle w:val="BookText"/>
      </w:pPr>
      <w:r>
        <w:rPr>
          <w:rFonts w:ascii="IRNazanin" w:hAnsi="IRNazanin" w:eastAsia="IRNazanin" w:cs="IRNazanin"/>
          <w:lang w:bidi="fa-IR"/>
          <w:color w:val="111111"/>
          <w:sz w:val="28"/>
          <w:szCs w:val="28"/>
          <w:rtl/>
        </w:rPr>
        <w:t xml:space="preserve">مجموعه حکایت هایی عرفانی است در قالب مثنوی که تخلص چند شاعر با عنوان های «پناهی» «عطار» و «بهایی» در آن قید شده است؛ خط: نستعلیق، بی کا، تا: ۱۳۰۱ق؛ افتادگی: آغاز و انجام؛ کاغذ: فرنگی نخودی، ۱۰گ (1- 10پ)، ۱۲-۱۴ سطر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۱۷/۵سم [رایانه]</w:t>
      </w:r>
    </w:p>
    <w:p>
      <w:pPr>
        <w:pStyle w:val="BookText"/>
      </w:pPr>
      <w:r>
        <w:rPr>
          <w:rFonts w:ascii="IRNazanin" w:hAnsi="IRNazanin" w:eastAsia="IRNazanin" w:cs="IRNazanin"/>
          <w:lang w:bidi="fa-IR"/>
          <w:color w:val="111111"/>
          <w:sz w:val="28"/>
          <w:szCs w:val="28"/>
          <w:rtl/>
        </w:rPr>
        <w:t xml:space="preserve">۱۵۴۷. تهران؛ ملی؛ شماره نسخه: ۲۶۲</w:t>
      </w:r>
    </w:p>
    <w:p>
      <w:pPr>
        <w:pStyle w:val="BookText"/>
      </w:pPr>
      <w:r>
        <w:rPr>
          <w:rFonts w:ascii="IRNazanin" w:hAnsi="IRNazanin" w:eastAsia="IRNazanin" w:cs="IRNazanin"/>
          <w:lang w:bidi="fa-IR"/>
          <w:color w:val="111111"/>
          <w:sz w:val="28"/>
          <w:szCs w:val="28"/>
          <w:rtl/>
        </w:rPr>
        <w:t xml:space="preserve">اشعاری از :سبحانی ،عطار، خیام، شیخ ابو سعيد، عرفى، واعظ،
</w:t>
      </w:r>
    </w:p>
    <w:p>
      <w:pPr>
        <w:sectPr>
          <w:footerReference w:type="default" r:id="rId8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فیاض، بابا افضل، جامی، شیخ ابو علی سینا ،مولوی، امیر خسـرو دهلوی، ملا محمد صوفی، ملا وارسته، صايبا، اوحدی، فیاض، نجیبای کاشی، میر نجات، خواجه نصیر طوسی، شیخ ابو الوفا، میرزا عبدالله شهود، محمد باقر تاجر، میر داماد ،شعوری، ظهوری، شکیبای شیرازی، حسن دهلوی، حکیم سنائی، انوری هروی، حسین گیلانی ،واحد ،وحشت، ملا حسنعلی شیرازی، معز الدین ملا یزدی ،حامد ،صابر، حكيم فغفور، يحيى بیک، سعدى، شيخ بهاء الدين محمد، نظامی ،فیض، میر نجات ،سید محمد نجفی، مستفید اورنگ، میرزا مقیم کتابدار، صايب، ملاملک قمی، میرزا قاسم سلیم، امیر خسرو، میر رفیع قزوینی، ملا مؤمن چنجاری، ملا محمد سعید اشرف، حکیم ظهوری، شـیخ علی نقی ،نظیری، امینای نجفی، آقا رصاص، ميرزا سعيد حكـیم، ملا مؤمن حسین یزدی، خلیفه سلطان، میرزا علی رضای تجلـی، شیخ مغربی، ظهیر تفریشی، ملا موالی تونی، میرزا صالح باطن، محقق طوسی، میرزا قوام الدین قزوینی، ملا رشیدی، مجذوب، شیخ شانی، کمال الدین اصفهانی، غز کشمیری، ملا ناظم هروی، ملا ذوالفقار، ناصر علی هندی، محمود شیرازی، شیخ بهائی ،میراسمعیل همدانی ،عبدالمولی، شیخ علی نقی، میرزا ابراهیم ادهـم، سامی، وحید، ملا مؤمن قمشه، میر عبدالحق قمی، فطرت، ابوالطيب عاصی، فضولی بغدادی، ملا هاشم همدانی، ملا محـمد طاهر قمی، باعث همدانی، ملا محمد کاظم اردبیلی ،محوی، میرزا اسمعیل تاجر اصفهانی ،کشمیری، مضیف طهرانی، مرتضی قلی بیک، میرزا داود ،واعظ کشمیری ،شیخ شهابی، شیخ نجم الدین کبری، میرزا غیاث، امیری. در این جنگ بیشتر اشعار از سبحـانی است و اشعار محتوی در آن نیز بیشتر رباعی است ؛خط: نسخ خوش ،کا: علی ،اکبر، تا: ۱۲ ذیقعده ۱۳۰۲ق، جا: تهران؛ آخر نسخه: «قد هذا الكتاب فى ۱۲ شهر ذى قعدة الحرام على ید احقر العباد على اكبر سنه ۱۳۰۲»؛ کاغذ: فرنگی، جلد: تیماج قـرمز با ترنج و نیم ترنج سبز ضربی مقوایی، ۱۴۴گ ، ۱۷ سطر (8</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۲۶/۵سم [ف: ۱ - ۲۵۹]</w:t>
      </w:r>
    </w:p>
    <w:p>
      <w:pPr>
        <w:pStyle w:val="BookText"/>
      </w:pPr>
      <w:r>
        <w:rPr>
          <w:rFonts w:ascii="IRNazanin" w:hAnsi="IRNazanin" w:eastAsia="IRNazanin" w:cs="IRNazanin"/>
          <w:lang w:bidi="fa-IR"/>
          <w:color w:val="111111"/>
          <w:sz w:val="28"/>
          <w:szCs w:val="28"/>
          <w:rtl/>
        </w:rPr>
        <w:t xml:space="preserve">۱۵۴۸. تهران؛ نوربخش؛ شماره نسخه: ۷۶۱/۶</w:t>
      </w:r>
    </w:p>
    <w:p>
      <w:pPr>
        <w:pStyle w:val="BookText"/>
      </w:pPr>
      <w:r>
        <w:rPr>
          <w:rFonts w:ascii="IRNazanin" w:hAnsi="IRNazanin" w:eastAsia="IRNazanin" w:cs="IRNazanin"/>
          <w:lang w:bidi="fa-IR"/>
          <w:color w:val="111111"/>
          <w:sz w:val="28"/>
          <w:szCs w:val="28"/>
          <w:rtl/>
        </w:rPr>
        <w:t xml:space="preserve">اشعاری است از دیوان شمس تبریزی و غزل هایی از صائب و حریف و کلیم. در آغاز این بخش قطعه ای است فکاهی؛ خط:نستعلیق ،کا: غلامعلی پسر ملاجعفر بن محمدحاجی افشار،تا: ۱۳۰۳ق؛ کاغذ: فرنگی آبی و سفید آهار مهره، جلد: تیماج قرمز، ۲گ (۷۸ پ-۱۸۰ر)، ۱۴-۱۵ سطر، قطع: وزیری،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 سم [ نشریه: ۱۳ - ۱۴۷]</w:t>
      </w:r>
    </w:p>
    <w:p>
      <w:pPr>
        <w:pStyle w:val="BookText"/>
      </w:pPr>
      <w:r>
        <w:rPr>
          <w:rFonts w:ascii="IRNazanin" w:hAnsi="IRNazanin" w:eastAsia="IRNazanin" w:cs="IRNazanin"/>
          <w:lang w:bidi="fa-IR"/>
          <w:color w:val="111111"/>
          <w:sz w:val="28"/>
          <w:szCs w:val="28"/>
          <w:rtl/>
        </w:rPr>
        <w:t xml:space="preserve">۱۵۴۹. تهران؛ ملک؛ شماره نسخه: ۵۴۸۲</w:t>
      </w:r>
    </w:p>
    <w:p>
      <w:pPr>
        <w:pStyle w:val="BookText"/>
      </w:pPr>
      <w:r>
        <w:rPr>
          <w:rFonts w:ascii="IRNazanin" w:hAnsi="IRNazanin" w:eastAsia="IRNazanin" w:cs="IRNazanin"/>
          <w:lang w:bidi="fa-IR"/>
          <w:color w:val="111111"/>
          <w:sz w:val="28"/>
          <w:szCs w:val="28"/>
          <w:rtl/>
        </w:rPr>
        <w:t xml:space="preserve">شامل اشعاری از: منوچهری دامغانی، ابواسحاق شهرزوری، شـیخ شهاب الدین سهروردی، فخر رازی، کمال الدین شهرزوری وجز آنها؛ خط: شکسته نستعلیق، بی کا، تا: ۱۵ جمادى الاول ۱۳۰۳ق، جا: شيراز؛ کاغذ: رنگارنگ فرنگی ،جلد: میشن سیاه یک لایی، جدول بندی شده، ۱۲۰گ، ۱۲ سطر، اندازه: ۱۳/۶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۲۰/۶سم [ف:8- 401]</w:t>
      </w:r>
    </w:p>
    <w:p>
      <w:pPr>
        <w:pStyle w:val="BookText"/>
      </w:pPr>
      <w:r>
        <w:rPr>
          <w:rFonts w:ascii="IRNazanin" w:hAnsi="IRNazanin" w:eastAsia="IRNazanin" w:cs="IRNazanin"/>
          <w:lang w:bidi="fa-IR"/>
          <w:color w:val="111111"/>
          <w:sz w:val="28"/>
          <w:szCs w:val="28"/>
          <w:rtl/>
        </w:rPr>
        <w:t xml:space="preserve">1550 . مشهد؛ گوهر شاد؛ شماره نسخه: ۱۰۳۰/۸</w:t>
      </w:r>
    </w:p>
    <w:p>
      <w:pPr>
        <w:pStyle w:val="BookText"/>
      </w:pPr>
      <w:r>
        <w:rPr>
          <w:rFonts w:ascii="IRNazanin" w:hAnsi="IRNazanin" w:eastAsia="IRNazanin" w:cs="IRNazanin"/>
          <w:lang w:bidi="fa-IR"/>
          <w:color w:val="111111"/>
          <w:sz w:val="28"/>
          <w:szCs w:val="28"/>
          <w:rtl/>
        </w:rPr>
        <w:t xml:space="preserve">قطعاتی است از جامی ،سعدی ،عطار ،محتشم، وحشی، قصاب، شیخ بهائی ،نصرتی ،عرفی، فغانی، صائب، قدسی، هلالی، اوحدی، الهی و قطعه ای در مدح و منقبت امیرمؤمنان (علیه السّلام) در سنه ۱۲۹۸ق، در نجف اشرف در ایام طاعون با مطلع: «المنت لله که بكوى تو مقيمم»؛ خط: شکسته نستعلیق، بی کا، تا: ۱۳۰۳ق؛ مهر: حاج سید سعید؛ کاغذ: فرنگی ،جلد: تیماج عنابی لایه ای، ۶۴گ، ۱۰-۷ سطر راسته و چلیپا،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۳ - ۱۴۱۰]</w:t>
      </w:r>
    </w:p>
    <w:p>
      <w:pPr>
        <w:pStyle w:val="BookText"/>
      </w:pPr>
      <w:r>
        <w:rPr>
          <w:rFonts w:ascii="IRNazanin" w:hAnsi="IRNazanin" w:eastAsia="IRNazanin" w:cs="IRNazanin"/>
          <w:lang w:bidi="fa-IR"/>
          <w:color w:val="111111"/>
          <w:sz w:val="28"/>
          <w:szCs w:val="28"/>
          <w:rtl/>
        </w:rPr>
        <w:t xml:space="preserve">۱۵۵۱. تهران؛ ادبیات؛ شماره نسخه: ۱۴۴/۳ حکمت</w:t>
      </w:r>
    </w:p>
    <w:p>
      <w:pPr>
        <w:pStyle w:val="BookText"/>
      </w:pPr>
      <w:r>
        <w:rPr>
          <w:rFonts w:ascii="IRNazanin" w:hAnsi="IRNazanin" w:eastAsia="IRNazanin" w:cs="IRNazanin"/>
          <w:lang w:bidi="fa-IR"/>
          <w:color w:val="111111"/>
          <w:sz w:val="28"/>
          <w:szCs w:val="28"/>
          <w:rtl/>
        </w:rPr>
        <w:t xml:space="preserve">رباعیات از: خیام و عطار و شاهزاده ایرج میرزای انصاف؛ خط: نستعلیق، کا: میرزا محمد رضا شهیر به میرزا بزرگ حمزوی پسر حاج میرزا علی اکبر، تا:شنبه ۲صفر ۱۳۰۴ق؛ قطع:ربعی [ف: ۲ - ۴۳]</w:t>
      </w:r>
    </w:p>
    <w:p>
      <w:pPr>
        <w:pStyle w:val="BookText"/>
      </w:pPr>
      <w:r>
        <w:rPr>
          <w:rFonts w:ascii="IRNazanin" w:hAnsi="IRNazanin" w:eastAsia="IRNazanin" w:cs="IRNazanin"/>
          <w:lang w:bidi="fa-IR"/>
          <w:color w:val="111111"/>
          <w:sz w:val="28"/>
          <w:szCs w:val="28"/>
          <w:rtl/>
        </w:rPr>
        <w:t xml:space="preserve">۱۵۵۲. تهران؛ ملی؛ شماره نسخه: ۱۹۰۲۶</w:t>
      </w:r>
    </w:p>
    <w:p>
      <w:pPr>
        <w:pStyle w:val="BookText"/>
      </w:pPr>
      <w:r>
        <w:rPr>
          <w:rFonts w:ascii="IRNazanin" w:hAnsi="IRNazanin" w:eastAsia="IRNazanin" w:cs="IRNazanin"/>
          <w:lang w:bidi="fa-IR"/>
          <w:color w:val="111111"/>
          <w:sz w:val="28"/>
          <w:szCs w:val="28"/>
          <w:rtl/>
        </w:rPr>
        <w:t xml:space="preserve">جنگ اشعار؛ کا: میرزا علیرضا عباس، تا: ۱۳۰۴ق؛ انتقالی از کتابخانه پهلوی - مجموعه نوازی؛ اندازه: ۱۵/۳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۲۷/۵سم [رایانه]</w:t>
      </w:r>
    </w:p>
    <w:p>
      <w:pPr>
        <w:pStyle w:val="BookText"/>
      </w:pPr>
      <w:r>
        <w:rPr>
          <w:rFonts w:ascii="IRNazanin" w:hAnsi="IRNazanin" w:eastAsia="IRNazanin" w:cs="IRNazanin"/>
          <w:lang w:bidi="fa-IR"/>
          <w:color w:val="111111"/>
          <w:sz w:val="28"/>
          <w:szCs w:val="28"/>
          <w:rtl/>
        </w:rPr>
        <w:t xml:space="preserve">۱۵۵۳. تهران؛ ملی؛ شماره نسخه: ۳۸۴</w:t>
      </w:r>
    </w:p>
    <w:p>
      <w:pPr>
        <w:pStyle w:val="BookText"/>
      </w:pPr>
      <w:r>
        <w:rPr>
          <w:rFonts w:ascii="IRNazanin" w:hAnsi="IRNazanin" w:eastAsia="IRNazanin" w:cs="IRNazanin"/>
          <w:lang w:bidi="fa-IR"/>
          <w:color w:val="111111"/>
          <w:sz w:val="28"/>
          <w:szCs w:val="28"/>
          <w:rtl/>
        </w:rPr>
        <w:t xml:space="preserve">آغاز: بسمله. ديوان قصائدی که در تبریک و تهنیت عید سعید مولود بندگان اعلیحضرت قدر قدرت همیون شاهنشاهی اروحنا فداه؛ انجام: یا رب بحق شاه ولایت امام عصر *** شه را ز چشم زخم زمانه نگاهدار</w:t>
      </w:r>
    </w:p>
    <w:p>
      <w:pPr>
        <w:pStyle w:val="BookText"/>
      </w:pPr>
      <w:r>
        <w:rPr>
          <w:rFonts w:ascii="IRNazanin" w:hAnsi="IRNazanin" w:eastAsia="IRNazanin" w:cs="IRNazanin"/>
          <w:lang w:bidi="fa-IR"/>
          <w:color w:val="111111"/>
          <w:sz w:val="28"/>
          <w:szCs w:val="28"/>
          <w:rtl/>
        </w:rPr>
        <w:t xml:space="preserve">قصائدی است که در تهنیت عید سال ۱۳۰۵ ق برای ناصرالدین شاه سروده شده است از: آقا رضا متخلص به حضور، اعتضاد السلطنه، پروانه تویسرکانی، پسر شمس الادباء، جناب میرزا محمد رفيع نظام العلماء، سید آقا محمد اصفهانی ملقب به اشرف الكتاب، سید روضه خوان قمی، سام ميرزا شمس الشعراء، عبدالعلی میرزا احتشام الملک، عارف خان افندی سرتیپ رومی مترجم دارالطباعه، عباسقلی خان سپهر، ککوی بختیاری،لسان الملک میرزا هدایت الله مستوفی، میرزا حبیب الله افشار ارومیه متخلص به نظام ،میرزا حسن متخلص به شوکت، میرزا محمد حسین متخلص به ریاضی، میرزا محمد متخلص به نثار شیرازی الاصل و هندی المسکن، میرزا گلچین، میرزا ابراهیم نیشابوری متخلص به مشتری، محمد حسین میرزای میر آخور، میرزا حسن روشن، میرزا ابوالقاسم متخلص به عنقاء، میرزا محمد کردستانی متخلص به مجد،میرزا نظام افشار ارومیه ای، میرزا ابوالفضل قزوینی، میرزا اروشن شاعر ،میرزا صبور خراسانی، میرزا عبدالرحیم درس، میرزا علی اکبر، نواب عليه فخر الملوک؛ خط: شکسته نستعلیق خوش، بی کا، تا: ۱۳۰۵ق، جا: طهران؛ اهداء به ناصرالدین شاه، مجدول، در صفحات اول و دوم سرلوح مذهب؛ کاغذ: فلفل نمکی، جلد: ابره سبز، تیماج قرمز، ۵۸گ، ۱۴ سطر (۷/۵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 - ۳۷۱]</w:t>
      </w:r>
    </w:p>
    <w:p>
      <w:pPr>
        <w:pStyle w:val="BookText"/>
      </w:pPr>
      <w:r>
        <w:rPr>
          <w:rFonts w:ascii="IRNazanin" w:hAnsi="IRNazanin" w:eastAsia="IRNazanin" w:cs="IRNazanin"/>
          <w:lang w:bidi="fa-IR"/>
          <w:color w:val="111111"/>
          <w:sz w:val="28"/>
          <w:szCs w:val="28"/>
          <w:rtl/>
        </w:rPr>
        <w:t xml:space="preserve">۱۵۵۴ . قم؛ مرکز مطالعات؛ شماره نسخه: ۷۷۰/۱</w:t>
      </w:r>
    </w:p>
    <w:p>
      <w:pPr>
        <w:pStyle w:val="BookText"/>
      </w:pPr>
      <w:r>
        <w:rPr>
          <w:rFonts w:ascii="IRNazanin" w:hAnsi="IRNazanin" w:eastAsia="IRNazanin" w:cs="IRNazanin"/>
          <w:lang w:bidi="fa-IR"/>
          <w:color w:val="111111"/>
          <w:sz w:val="28"/>
          <w:szCs w:val="28"/>
          <w:rtl/>
        </w:rPr>
        <w:t xml:space="preserve">غزلیات و قصائد و مقطعات و تک بیتی هایی از شعرا و سرایندگان
</w:t>
      </w:r>
    </w:p>
    <w:p>
      <w:pPr>
        <w:sectPr>
          <w:footerReference w:type="default" r:id="rId8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معروف: خواجه عصمت بخارائی، رشیدی سمرقندی، دردی سمرقندی، حزین اصفهانی، ربانی اصفهانی، عنایت اصفهانی، رفیق اصفهانی، واعظ سهروردی، آگهی یزدی، سید جلال عرضه یزدی، میر حسینی یزدی، شیخ بهائی، ابو علی سینا، ابوسعید ابوالخیر، مثنوی مولوی، شمس تبریزی و الف ليلا ... و در تاریخ ولادت و وفات برخی اقطاب صوفیه و فرزندان کاتب نوشته شده؛ خط: نستعليق ،كا: مهدى على ولد کربلائی جواد، ۱۳۰۵ق؛ جلد: تیماج مشکی ضربی مجدول گرهی، ۱۲گ (1ر- 13ر)،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۱۹/۵سم [ف: ۲ - ۴۸]</w:t>
      </w:r>
    </w:p>
    <w:p>
      <w:pPr>
        <w:pStyle w:val="BookText"/>
      </w:pPr>
      <w:r>
        <w:rPr>
          <w:rFonts w:ascii="IRNazanin" w:hAnsi="IRNazanin" w:eastAsia="IRNazanin" w:cs="IRNazanin"/>
          <w:lang w:bidi="fa-IR"/>
          <w:color w:val="111111"/>
          <w:sz w:val="28"/>
          <w:szCs w:val="28"/>
          <w:rtl/>
        </w:rPr>
        <w:t xml:space="preserve">۱۵۵۵ مشهد؛ شیخ علی حیدر؛ شماره نسخه: ۱۱۶۹/۲</w:t>
      </w:r>
    </w:p>
    <w:p>
      <w:pPr>
        <w:pStyle w:val="BookText"/>
      </w:pPr>
      <w:r>
        <w:rPr>
          <w:rFonts w:ascii="IRNazanin" w:hAnsi="IRNazanin" w:eastAsia="IRNazanin" w:cs="IRNazanin"/>
          <w:lang w:bidi="fa-IR"/>
          <w:color w:val="111111"/>
          <w:sz w:val="28"/>
          <w:szCs w:val="28"/>
          <w:rtl/>
        </w:rPr>
        <w:t xml:space="preserve">جنگ شعر است است در آن قصائد مختلفی از عرفی و قاآنی و نور علی شاه و غیره جمع آوری کرده است؛ خط: نستعلیق، بی کا، ۲۶ شوال ۱۳۰۵ق؛ ۷۲گ (۸۱پ - ۱۵۲ پ)،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 سم[ مؤید: ۳ - ۱۴۶]</w:t>
      </w:r>
    </w:p>
    <w:p>
      <w:pPr>
        <w:pStyle w:val="BookText"/>
      </w:pPr>
      <w:r>
        <w:rPr>
          <w:rFonts w:ascii="IRNazanin" w:hAnsi="IRNazanin" w:eastAsia="IRNazanin" w:cs="IRNazanin"/>
          <w:lang w:bidi="fa-IR"/>
          <w:color w:val="111111"/>
          <w:sz w:val="28"/>
          <w:szCs w:val="28"/>
          <w:rtl/>
        </w:rPr>
        <w:t xml:space="preserve">۱۵۵۶. تهران؛ مجلس؛ شماره نسخه: ۹۴۰۸</w:t>
      </w:r>
    </w:p>
    <w:p>
      <w:pPr>
        <w:pStyle w:val="BookText"/>
      </w:pPr>
      <w:r>
        <w:rPr>
          <w:rFonts w:ascii="IRNazanin" w:hAnsi="IRNazanin" w:eastAsia="IRNazanin" w:cs="IRNazanin"/>
          <w:lang w:bidi="fa-IR"/>
          <w:color w:val="111111"/>
          <w:sz w:val="28"/>
          <w:szCs w:val="28"/>
          <w:rtl/>
        </w:rPr>
        <w:t xml:space="preserve">آغاز: بتی است داده زکف تیر چشم جادو را *** بصید شیر برد بامداد آهو را؛ انجام: هر چند نمی رسم بکویت *** شب نیست که از فراق رویت زاری بفلک نمی رسانم</w:t>
      </w:r>
    </w:p>
    <w:p>
      <w:pPr>
        <w:pStyle w:val="BookText"/>
      </w:pPr>
      <w:r>
        <w:rPr>
          <w:rFonts w:ascii="IRNazanin" w:hAnsi="IRNazanin" w:eastAsia="IRNazanin" w:cs="IRNazanin"/>
          <w:lang w:bidi="fa-IR"/>
          <w:color w:val="111111"/>
          <w:sz w:val="28"/>
          <w:szCs w:val="28"/>
          <w:rtl/>
        </w:rPr>
        <w:t xml:space="preserve">مجموعه ای است از اشعار منتخب از چند شاعر فارسی سرا،از جمله غزلیات و رباعیات مظهر، غزلی از شیخ محمد نیشابوری، ابیاتی از حکیم فرخی، قصیده مسعود سعد سلطان (سلمان) از شعرای ترکستان، قصیده میرزا سروش، قصیده مرحوم گلچین، اشعار سعدی، اشعار عاشق و اشعار عباس (عباسقلی خان عموزاده معیر الممالک)؛  در ابتدای نسخه یادداشتی دیده می شود مبنی این که اشعار شیخ مهدی در این مجموعه به نام «عاشق» درج شـده؛ خط: نستعلیق، کا: قنبر علی، تا: ۱۳۰۵ق، جا: دار النشاط در ارومیه؛ رکا به نویسی شده؛ جلد: تیماج زیتونی، ۳۰۸گ، ۱۵ سطر،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۳۰ - ۱۱۳]</w:t>
      </w:r>
    </w:p>
    <w:p>
      <w:pPr>
        <w:pStyle w:val="BookText"/>
      </w:pPr>
      <w:r>
        <w:rPr>
          <w:rFonts w:ascii="IRNazanin" w:hAnsi="IRNazanin" w:eastAsia="IRNazanin" w:cs="IRNazanin"/>
          <w:lang w:bidi="fa-IR"/>
          <w:color w:val="111111"/>
          <w:sz w:val="28"/>
          <w:szCs w:val="28"/>
          <w:rtl/>
        </w:rPr>
        <w:t xml:space="preserve">۱۵۵۷. تهران؛ نوربخش؛ شماره نسخه: ۶۱۵/۷</w:t>
      </w:r>
    </w:p>
    <w:p>
      <w:pPr>
        <w:pStyle w:val="BookText"/>
      </w:pPr>
      <w:r>
        <w:rPr>
          <w:rFonts w:ascii="IRNazanin" w:hAnsi="IRNazanin" w:eastAsia="IRNazanin" w:cs="IRNazanin"/>
          <w:lang w:bidi="fa-IR"/>
          <w:color w:val="111111"/>
          <w:sz w:val="28"/>
          <w:szCs w:val="28"/>
          <w:rtl/>
        </w:rPr>
        <w:t xml:space="preserve">اشعاری است از: کربلائی یوسف (یوسف علی)، ثابت، آقا محـمد هاشم شیرازی ،راز، محمد علی خان، کربلایی حسن، سیدآقا زمان،سید افشار (متخلص به عاصی)؛ خط: نستعليق ،كا: كربلایی علی، تا: ۱۳۰۵ق؛ کاغذ: فرنگی چند رنگ، جلد: تیماج قـرمز روشن، ۳۲ گ (۱۸۶-۲۱۸)، ۱۲ سطر، قطع: وزیری،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 نشریه: ۱۳ - ۱۴]</w:t>
      </w:r>
    </w:p>
    <w:p>
      <w:pPr>
        <w:pStyle w:val="BookText"/>
      </w:pPr>
      <w:r>
        <w:rPr>
          <w:rFonts w:ascii="IRNazanin" w:hAnsi="IRNazanin" w:eastAsia="IRNazanin" w:cs="IRNazanin"/>
          <w:lang w:bidi="fa-IR"/>
          <w:color w:val="111111"/>
          <w:sz w:val="28"/>
          <w:szCs w:val="28"/>
          <w:rtl/>
        </w:rPr>
        <w:t xml:space="preserve">۱۵۵۸. تهران؛ مجلس؛ شماره نسخه: ۹۵۴۶/۸</w:t>
      </w:r>
    </w:p>
    <w:p>
      <w:pPr>
        <w:pStyle w:val="BookText"/>
      </w:pPr>
      <w:r>
        <w:rPr>
          <w:rFonts w:ascii="IRNazanin" w:hAnsi="IRNazanin" w:eastAsia="IRNazanin" w:cs="IRNazanin"/>
          <w:lang w:bidi="fa-IR"/>
          <w:color w:val="111111"/>
          <w:sz w:val="28"/>
          <w:szCs w:val="28"/>
          <w:rtl/>
        </w:rPr>
        <w:t xml:space="preserve">آغاز: روز مولود عاقبت محمود *** هفدهم از ربیع اول بود</w:t>
      </w:r>
    </w:p>
    <w:p>
      <w:pPr>
        <w:pStyle w:val="BookText"/>
      </w:pPr>
      <w:r>
        <w:rPr>
          <w:rFonts w:ascii="IRNazanin" w:hAnsi="IRNazanin" w:eastAsia="IRNazanin" w:cs="IRNazanin"/>
          <w:lang w:bidi="fa-IR"/>
          <w:color w:val="111111"/>
          <w:sz w:val="28"/>
          <w:szCs w:val="28"/>
          <w:rtl/>
        </w:rPr>
        <w:t xml:space="preserve">منظومه ای از شیخ عبدی ،بر فراز صفحه آغاز آمده است: من کلام مولانا شیخ عبدی علیه الرحمه از کتاب سبعه شیخ مزبـور ؛خط: نستعلیق، کا: میرزا نصر الله بن میرزا محمد شفیع خوشنویس اصفهانی، تا: جمادی الثانی ۱۳۰۵ق؛ جلد: تیماج قهوه ای، ۲گ (۱۵۶ پ -۱۵۸پ)، ۱۳ سطر،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۳۰ - ۲۱۴]</w:t>
      </w:r>
    </w:p>
    <w:p>
      <w:pPr>
        <w:pStyle w:val="BookText"/>
      </w:pPr>
      <w:r>
        <w:rPr>
          <w:rFonts w:ascii="IRNazanin" w:hAnsi="IRNazanin" w:eastAsia="IRNazanin" w:cs="IRNazanin"/>
          <w:lang w:bidi="fa-IR"/>
          <w:color w:val="111111"/>
          <w:sz w:val="28"/>
          <w:szCs w:val="28"/>
          <w:rtl/>
        </w:rPr>
        <w:t xml:space="preserve">۱۵۵۹. تهران؛ ملی؛ شماره نسخه: ۱۶۸۹۵</w:t>
      </w:r>
    </w:p>
    <w:p>
      <w:pPr>
        <w:pStyle w:val="BookText"/>
      </w:pPr>
      <w:r>
        <w:rPr>
          <w:rFonts w:ascii="IRNazanin" w:hAnsi="IRNazanin" w:eastAsia="IRNazanin" w:cs="IRNazanin"/>
          <w:lang w:bidi="fa-IR"/>
          <w:color w:val="111111"/>
          <w:sz w:val="28"/>
          <w:szCs w:val="28"/>
          <w:rtl/>
        </w:rPr>
        <w:t xml:space="preserve">مثنوی (لیلی و مجنون، عارفانه) ؛کا: حسن بن محمد، تا: ۱۳۰۶ق؛ انتقالی از کتابخانه پهلوی - مجموعه نوازی؛ ۱۸۲گ، اندازه: ۷/۸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۱۳/۱سم [رایانه]</w:t>
      </w:r>
    </w:p>
    <w:p>
      <w:pPr>
        <w:pStyle w:val="BookText"/>
      </w:pPr>
      <w:r>
        <w:rPr>
          <w:rFonts w:ascii="IRNazanin" w:hAnsi="IRNazanin" w:eastAsia="IRNazanin" w:cs="IRNazanin"/>
          <w:lang w:bidi="fa-IR"/>
          <w:color w:val="111111"/>
          <w:sz w:val="28"/>
          <w:szCs w:val="28"/>
          <w:rtl/>
        </w:rPr>
        <w:t xml:space="preserve">۱۵۶۰. تهران؛ انجمن آثار و مفاخر فرهنگی؛ شماره نسخه: ۴۲</w:t>
      </w:r>
    </w:p>
    <w:p>
      <w:pPr>
        <w:pStyle w:val="BookText"/>
      </w:pPr>
      <w:r>
        <w:rPr>
          <w:rFonts w:ascii="IRNazanin" w:hAnsi="IRNazanin" w:eastAsia="IRNazanin" w:cs="IRNazanin"/>
          <w:lang w:bidi="fa-IR"/>
          <w:color w:val="111111"/>
          <w:sz w:val="28"/>
          <w:szCs w:val="28"/>
          <w:rtl/>
        </w:rPr>
        <w:t xml:space="preserve">شامل: اشعاری به خط حمایلی به زبان ترکی (ص ۱-۱۵) مثنوی پیر و جوان میرزا نصیر شیرازی (۱۵-۵۶) مثنوی از شاعری (اسم لا يقرأ) ابتدا با بیت زیر: «بیا ای ساقی سحر آفرینم *** خط جام تو سرلوح جبینم» (۵۷-۶۷) مثنوی به احتمال از «مهری» ابتدا آن با بيت زیر: «ای بت چابک شیرین حرکات *** جلوه ناز تو چون آب حیات» (۶۷-۷۶) اشعاری از معتمر: «معتمر چون بدید صورت حال *** بر ضمیرش نشست گرد هلال» (۷۶) اشعاری که بیت اول آن این است:«تاجری میگذشت در بغداد *** رهگذارش به خان برده فتاد» (88- 109) اشعاری در مناقب ائمه اطهار (۱۰۹ -۱۱۲) اشعار متفرقه (۱۱۵ - ۱۸۴) چند داستان (۱۸۵-۱۸۷)، اشعار متفرقه (۱۸۸- پایان)؛ خط: نستعلیق، بی کا، تا: محتملاً ۱۳۰۶ق؛ کاغذ: فرنگی الوان، خطوط حمایلی ،جلد: بیاض، تیماج یک لا مشکی کهنه ،۱۹ سطر ،اندازه: 9/5</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 ۷۴]</w:t>
      </w:r>
    </w:p>
    <w:p>
      <w:pPr>
        <w:pStyle w:val="BookText"/>
      </w:pPr>
      <w:r>
        <w:rPr>
          <w:rFonts w:ascii="IRNazanin" w:hAnsi="IRNazanin" w:eastAsia="IRNazanin" w:cs="IRNazanin"/>
          <w:lang w:bidi="fa-IR"/>
          <w:color w:val="111111"/>
          <w:sz w:val="28"/>
          <w:szCs w:val="28"/>
          <w:rtl/>
        </w:rPr>
        <w:t xml:space="preserve">۱۵۶۱. تهران؛ نوربخش؛ شماره نسخه: ۷۶۱/۹</w:t>
      </w:r>
    </w:p>
    <w:p>
      <w:pPr>
        <w:pStyle w:val="BookText"/>
      </w:pPr>
      <w:r>
        <w:rPr>
          <w:rFonts w:ascii="IRNazanin" w:hAnsi="IRNazanin" w:eastAsia="IRNazanin" w:cs="IRNazanin"/>
          <w:lang w:bidi="fa-IR"/>
          <w:color w:val="111111"/>
          <w:sz w:val="28"/>
          <w:szCs w:val="28"/>
          <w:rtl/>
        </w:rPr>
        <w:t xml:space="preserve">اشعار پراکنده از فرهاد و قطعه هایی است از خواجه عبدالله انصاری، میرداماد، آقا جمال، و دیگران (بدون نام)؛ خط: نستعلیق، بی کا، تا: ۱۳۰۶ق ؛کاغذ: فرنگی آبی و سفید آهار مهره، جلد:  تیماج قرمز، اگ (۱۱۸-۱۱۹)، ۱۴-۱۵) سطر، قطع: رقعی،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[نشریه : ۱۳ - ۱۴۸]</w:t>
      </w:r>
    </w:p>
    <w:p>
      <w:pPr>
        <w:pStyle w:val="BookText"/>
      </w:pPr>
      <w:r>
        <w:rPr>
          <w:rFonts w:ascii="IRNazanin" w:hAnsi="IRNazanin" w:eastAsia="IRNazanin" w:cs="IRNazanin"/>
          <w:lang w:bidi="fa-IR"/>
          <w:color w:val="111111"/>
          <w:sz w:val="28"/>
          <w:szCs w:val="28"/>
          <w:rtl/>
        </w:rPr>
        <w:t xml:space="preserve">۱۵۶۲. تهران؛ ملک؛ شماره نسخه: ۵۳۵۹</w:t>
      </w:r>
    </w:p>
    <w:p>
      <w:pPr>
        <w:pStyle w:val="BookText"/>
      </w:pPr>
      <w:r>
        <w:rPr>
          <w:rFonts w:ascii="IRNazanin" w:hAnsi="IRNazanin" w:eastAsia="IRNazanin" w:cs="IRNazanin"/>
          <w:lang w:bidi="fa-IR"/>
          <w:color w:val="111111"/>
          <w:sz w:val="28"/>
          <w:szCs w:val="28"/>
          <w:rtl/>
        </w:rPr>
        <w:t xml:space="preserve">شامل اشعاری از رشید الدین وطواط ،ازرقی ،انوری، اثیرالدین اخسیکشی ،منوچهری، سلمان ساوجی، ناصر خسرو علوی، ظهیر فاریابی ،رودکی، امیر معزی ،عنصری، خاقانی شروانی؛ خط: نستعلیق، کا: احمد بن ابراهیم حسینی، تا: ۱۳۰۶ق، برای صاحب جمع نامی؛ با یک سرلوح زرین؛ کاغذ: اصفهانی، جلد: قهوه ای و مغزی سبز، ۳۰گ، ۱۰ سطر، اندازه: ۱۴/۴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۲۰/۸سم [ف: ۸ - ۳۰۹]</w:t>
      </w:r>
    </w:p>
    <w:p>
      <w:pPr>
        <w:pStyle w:val="BookText"/>
      </w:pPr>
      <w:r>
        <w:rPr>
          <w:rFonts w:ascii="IRNazanin" w:hAnsi="IRNazanin" w:eastAsia="IRNazanin" w:cs="IRNazanin"/>
          <w:lang w:bidi="fa-IR"/>
          <w:color w:val="111111"/>
          <w:sz w:val="28"/>
          <w:szCs w:val="28"/>
          <w:rtl/>
        </w:rPr>
        <w:t xml:space="preserve">۱۵۶۳. تهران؛ ملی؛ شماره نسخه: ۶۸۵</w:t>
      </w:r>
    </w:p>
    <w:p>
      <w:pPr>
        <w:pStyle w:val="BookText"/>
      </w:pPr>
      <w:r>
        <w:rPr>
          <w:rFonts w:ascii="IRNazanin" w:hAnsi="IRNazanin" w:eastAsia="IRNazanin" w:cs="IRNazanin"/>
          <w:lang w:bidi="fa-IR"/>
          <w:color w:val="111111"/>
          <w:sz w:val="28"/>
          <w:szCs w:val="28"/>
          <w:rtl/>
        </w:rPr>
        <w:t xml:space="preserve">آغاز: باز این چه آتش است که ما را بجان فتاد *** باز این چه آتش است که در انس و جان فتاد؛ انجام: تا بود ناصواب خطا کرد آسمان ***زین ظلم بیحساب کجا کرد آسمان</w:t>
      </w:r>
    </w:p>
    <w:p>
      <w:pPr>
        <w:pStyle w:val="BookText"/>
      </w:pPr>
      <w:r>
        <w:rPr>
          <w:rFonts w:ascii="IRNazanin" w:hAnsi="IRNazanin" w:eastAsia="IRNazanin" w:cs="IRNazanin"/>
          <w:lang w:bidi="fa-IR"/>
          <w:color w:val="111111"/>
          <w:sz w:val="28"/>
          <w:szCs w:val="28"/>
          <w:rtl/>
        </w:rPr>
        <w:t xml:space="preserve">شامل قصایدی است که در رثاء امام حسین و ذکر واقعه کربلا سروده شده، اشعار آن بدون رعایت ترتیب حروف آخر قوافی تنظیم شده؛ خط: نستعلیق خوش، کا: نصر الله ابن محمد شفیع، تا: ۱۳۰۷ق؛ كاغذ: ترمه ،جلد: تیماج قرمز یک لا، ۱۵گ، ۱۲ سطر (7</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اندازه: ۱۰/۵۰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۱۶/۵سم [ف: ۲ - ۱۸۷]</w:t>
      </w:r>
    </w:p>
    <w:p>
      <w:pPr>
        <w:pStyle w:val="BookText"/>
      </w:pPr>
      <w:r>
        <w:rPr>
          <w:rFonts w:ascii="IRNazanin" w:hAnsi="IRNazanin" w:eastAsia="IRNazanin" w:cs="IRNazanin"/>
          <w:lang w:bidi="fa-IR"/>
          <w:color w:val="111111"/>
          <w:sz w:val="28"/>
          <w:szCs w:val="28"/>
          <w:rtl/>
        </w:rPr>
        <w:t xml:space="preserve">۱۵۶۴. تهران؛ سلطنتی؛ شماره نسخه: ۵۴۰</w:t>
      </w:r>
    </w:p>
    <w:p>
      <w:pPr>
        <w:pStyle w:val="BookText"/>
      </w:pPr>
      <w:r>
        <w:rPr>
          <w:rFonts w:ascii="IRNazanin" w:hAnsi="IRNazanin" w:eastAsia="IRNazanin" w:cs="IRNazanin"/>
          <w:lang w:bidi="fa-IR"/>
          <w:color w:val="111111"/>
          <w:sz w:val="28"/>
          <w:szCs w:val="28"/>
          <w:rtl/>
        </w:rPr>
        <w:t xml:space="preserve">آغاز: هر کس بزبانی صفت حمد تو گوید *** مطرب بغزل خوانی و قمری به ترانه. پس از حمد حضرت معبود و درود بر پیغمبر محمود و آل طاهرین او عليهم صلوات الله الملك الودود
</w:t>
      </w:r>
    </w:p>
    <w:p>
      <w:pPr>
        <w:sectPr>
          <w:footerReference w:type="default" r:id="rId8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وجود مبارک خصر و بیهمال این عصر ... ناصر الدین شاه... لهذا این ذره بی مقدار در این اوان که عطف عنان فیروزی نشان از سفر فرنگستان بسمت ایران و مقر سلطنت خویش می فرمایند برسم تهنیت بر وجه مناسب چند غزل از واردات خاطر حضرت لسان الغیب خواجه شمس الدين محمد حافظ و افصح المتكلمین شیخ مصلح الدین سعدی شیرازی علیهما الرحمه و الرضوان در این اوراق بر می نگارد که بدین وسیله خویش را در سلـک مادحين ذات اقدس همایونی در قلم آرد. حافظ آن روز طربنامه عشق تو نوشت *** که قلم بر سر اسباب دل خرم زد؛ انجام: گر او نظر فكند سعدیا بچشم نواخت *** بدست سعی تو با دست تـا نه پیمائی</w:t>
      </w:r>
    </w:p>
    <w:p>
      <w:pPr>
        <w:pStyle w:val="BookText"/>
      </w:pPr>
      <w:r>
        <w:rPr>
          <w:rFonts w:ascii="IRNazanin" w:hAnsi="IRNazanin" w:eastAsia="IRNazanin" w:cs="IRNazanin"/>
          <w:lang w:bidi="fa-IR"/>
          <w:color w:val="111111"/>
          <w:sz w:val="28"/>
          <w:szCs w:val="28"/>
          <w:rtl/>
        </w:rPr>
        <w:t xml:space="preserve">شامل ۶ غزل از حافظ، ۵ غزل از شیخ سعدی شیرازی و یـک مقدمه منثور شرح تقدیمی این مجموعه به پادشاه وقت است؛ خط: نستعليق عالى، كا: محمود بن مصطفی موسوی مستوفی،تا: ۱۳۰۷ق؛ مجدول، با دو سرلوح مذهب مرصع؛ كاغذ: فرنگی شکری رنگ، جلد: تیماج یک لائی روکش مخمل سبز چمنی سجاف تيماج لاکی، ۱۴ص، ۱۰ سطر، قطع: ربعی،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۲۱/۱۱سم [ف: ۴ - ۱۰۹۹]</w:t>
      </w:r>
    </w:p>
    <w:p>
      <w:pPr>
        <w:pStyle w:val="BookText"/>
      </w:pPr>
      <w:r>
        <w:rPr>
          <w:rFonts w:ascii="IRNazanin" w:hAnsi="IRNazanin" w:eastAsia="IRNazanin" w:cs="IRNazanin"/>
          <w:lang w:bidi="fa-IR"/>
          <w:color w:val="111111"/>
          <w:sz w:val="28"/>
          <w:szCs w:val="28"/>
          <w:rtl/>
        </w:rPr>
        <w:t xml:space="preserve">۱۵۶۵ . مشهد؛ رضوی؛ شماره نسخه: ۹۳۴۵/۴؛</w:t>
      </w:r>
    </w:p>
    <w:p>
      <w:pPr>
        <w:pStyle w:val="BookText"/>
      </w:pPr>
      <w:r>
        <w:rPr>
          <w:rFonts w:ascii="IRNazanin" w:hAnsi="IRNazanin" w:eastAsia="IRNazanin" w:cs="IRNazanin"/>
          <w:lang w:bidi="fa-IR"/>
          <w:color w:val="111111"/>
          <w:sz w:val="28"/>
          <w:szCs w:val="28"/>
          <w:rtl/>
        </w:rPr>
        <w:t xml:space="preserve">آغاز: مباش ایمن زکید چرخ ریمن *** که از کیدش نشاید بود ایمن ؛انجام: چنین گفتست خاقانی بدین وزن *** ضمان داد سلامت شد دل من</w:t>
      </w:r>
    </w:p>
    <w:p>
      <w:pPr>
        <w:pStyle w:val="BookText"/>
      </w:pPr>
      <w:r>
        <w:rPr>
          <w:rFonts w:ascii="IRNazanin" w:hAnsi="IRNazanin" w:eastAsia="IRNazanin" w:cs="IRNazanin"/>
          <w:lang w:bidi="fa-IR"/>
          <w:color w:val="111111"/>
          <w:sz w:val="28"/>
          <w:szCs w:val="28"/>
          <w:rtl/>
        </w:rPr>
        <w:t xml:space="preserve">قصیده ای از ایرج میرزا جلال الممالک؛ خط: نستعلیق و نسخ شکسته نستعلیق، کا: ایرج میرزا، تا: صفر ۱۳۰۸ق؛ كاغذ: مختلف ،جلد: مقوایی عطف و گوشه پارچه ای، ۱۰ص (۲۸-۳۸)، اندازه: 15/3</w:t>
      </w:r>
      <w:r>
        <w:rPr>
          <w:rFonts w:ascii="Times New Roman" w:hAnsi="Times New Roman" w:eastAsia="Times New Roman" w:cs="Times New Roman"/>
          <w:lang w:val="en-US" w:bidi="en-US"/>
          <w:color w:val="111111"/>
          <w:sz w:val="28"/>
          <w:szCs w:val="28"/>
          <w:rtl/>
        </w:rPr>
        <w:t xml:space="preserve">×23</w:t>
      </w:r>
      <w:r>
        <w:rPr>
          <w:rFonts w:ascii="IRNazanin" w:hAnsi="IRNazanin" w:eastAsia="IRNazanin" w:cs="IRNazanin"/>
          <w:lang w:bidi="fa-IR"/>
          <w:color w:val="111111"/>
          <w:sz w:val="28"/>
          <w:szCs w:val="28"/>
          <w:rtl/>
        </w:rPr>
        <w:t xml:space="preserve">سم [ف: ۷ - ۸۲۱]</w:t>
      </w:r>
    </w:p>
    <w:p>
      <w:pPr>
        <w:pStyle w:val="BookText"/>
      </w:pPr>
      <w:r>
        <w:rPr>
          <w:rFonts w:ascii="IRNazanin" w:hAnsi="IRNazanin" w:eastAsia="IRNazanin" w:cs="IRNazanin"/>
          <w:lang w:bidi="fa-IR"/>
          <w:color w:val="111111"/>
          <w:sz w:val="28"/>
          <w:szCs w:val="28"/>
          <w:rtl/>
        </w:rPr>
        <w:t xml:space="preserve">۱۵۶۶. تهران؛ دانشگاه؛ شماره نسخه: ۳۶۲۴/۶</w:t>
      </w:r>
    </w:p>
    <w:p>
      <w:pPr>
        <w:pStyle w:val="BookText"/>
      </w:pPr>
      <w:r>
        <w:rPr>
          <w:rFonts w:ascii="IRNazanin" w:hAnsi="IRNazanin" w:eastAsia="IRNazanin" w:cs="IRNazanin"/>
          <w:lang w:bidi="fa-IR"/>
          <w:color w:val="111111"/>
          <w:sz w:val="28"/>
          <w:szCs w:val="28"/>
          <w:rtl/>
        </w:rPr>
        <w:t xml:space="preserve">دو قصیده ازامیرالشعرا؛ خط: شکسته نستعلیق، بی کا، تا: ذیقعـده ۱۳۰۸ق؛ کاغذ: فرنگی ،جلد: مقوا، ۵گ (82ر- 87پ)، ۱۲ سـطر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[ف: ۱۲ - ۲۶۳۰]</w:t>
      </w:r>
    </w:p>
    <w:p>
      <w:pPr>
        <w:pStyle w:val="BookText"/>
      </w:pPr>
      <w:r>
        <w:rPr>
          <w:rFonts w:ascii="IRNazanin" w:hAnsi="IRNazanin" w:eastAsia="IRNazanin" w:cs="IRNazanin"/>
          <w:lang w:bidi="fa-IR"/>
          <w:color w:val="111111"/>
          <w:sz w:val="28"/>
          <w:szCs w:val="28"/>
          <w:rtl/>
        </w:rPr>
        <w:t xml:space="preserve">۱۵۶۷. تهران؛ نوربخش؛ شماره نسخه: ۸۵۸</w:t>
      </w:r>
    </w:p>
    <w:p>
      <w:pPr>
        <w:pStyle w:val="BookText"/>
      </w:pPr>
      <w:r>
        <w:rPr>
          <w:rFonts w:ascii="IRNazanin" w:hAnsi="IRNazanin" w:eastAsia="IRNazanin" w:cs="IRNazanin"/>
          <w:lang w:bidi="fa-IR"/>
          <w:color w:val="111111"/>
          <w:sz w:val="28"/>
          <w:szCs w:val="28"/>
          <w:rtl/>
        </w:rPr>
        <w:t xml:space="preserve">اشعاری از: شیبانی کاشانی، غازی مازندرانی، عندلیب کاشانی، قاآنی شیرازی،وقار شیرازی، آرام یزدی، اقبال مازندرانی، امید کرمانشاهی، معدل کرمانشاهی، هدایت طبرستانی، ثنائی فراهانی، سامی هزار جریبی، سروش اصفهانی ،سرور خوانساری، گلشن گلپایگانی، مظفر کرمانی، مظفر اصفهانی، مهدی بیک شقاقی، منصف قاجار، نوائی نورائی، وصالی شیرازی، وصالی مازندرانی، وصال شیرازی، میرزا مهدی خوئی ،منشی، مجدالدین ساوجی (دنباله اشعار ساوجی از نسخه افتاده و در صفحه بعد بقیه اش هدایت است که اوائل آن ساقط شده)، همای مروزی، هاتف اصفهانی، نشاط اصفهانی ،مجمر، کوکب خراسانی، فرهنـگ شیرازی، شهید بختیاری، شهاب اصفهانی، شمس ادبا ميرزا سید محمد صباحی کاشی،شباهنگ رازی، سالک اصفهانی، سامـانی شیرازی، سائل فارسی (زیر عنوان «قصائد سائل فارسی» تنها دو بیت آمده و آشکار است که دنباله آن از این مجموعه ساقط</w:t>
      </w:r>
    </w:p>
    <w:p>
      <w:pPr>
        <w:pStyle w:val="BookText"/>
      </w:pPr>
      <w:r>
        <w:rPr>
          <w:rFonts w:ascii="IRNazanin" w:hAnsi="IRNazanin" w:eastAsia="IRNazanin" w:cs="IRNazanin"/>
          <w:lang w:bidi="fa-IR"/>
          <w:color w:val="111111"/>
          <w:sz w:val="28"/>
          <w:szCs w:val="28"/>
          <w:rtl/>
        </w:rPr>
        <w:t xml:space="preserve">گردیده»، سید خموش طهرانی ؛خط: شکسته نستعلیق خوش، بی کا، تا: ۱۳۰۸ق؛ افتادگی: وسط و انجام؛ کاغذ: فرنگی، جلد: تیماج قرمز، ۷۵گ، ۲۳ سطر، قطع: رقعی،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 نشریه : ۱۳ - ۲۲۴]</w:t>
      </w:r>
    </w:p>
    <w:p>
      <w:pPr>
        <w:pStyle w:val="BookText"/>
      </w:pPr>
      <w:r>
        <w:rPr>
          <w:rFonts w:ascii="IRNazanin" w:hAnsi="IRNazanin" w:eastAsia="IRNazanin" w:cs="IRNazanin"/>
          <w:lang w:bidi="fa-IR"/>
          <w:color w:val="111111"/>
          <w:sz w:val="28"/>
          <w:szCs w:val="28"/>
          <w:rtl/>
        </w:rPr>
        <w:t xml:space="preserve">۱۵۶۸ . مشهد؛ رضوی؛ شماره نسخه: ۱۲۶۶۵</w:t>
      </w:r>
    </w:p>
    <w:p>
      <w:pPr>
        <w:pStyle w:val="BookText"/>
      </w:pPr>
      <w:r>
        <w:rPr>
          <w:rFonts w:ascii="IRNazanin" w:hAnsi="IRNazanin" w:eastAsia="IRNazanin" w:cs="IRNazanin"/>
          <w:lang w:bidi="fa-IR"/>
          <w:color w:val="111111"/>
          <w:sz w:val="28"/>
          <w:szCs w:val="28"/>
          <w:rtl/>
        </w:rPr>
        <w:t xml:space="preserve">آغاز: بسمله شکر حق زیب ربان کن ای دل دانای من؛ انجام: مهر روز افروز شد</w:t>
      </w:r>
    </w:p>
    <w:p>
      <w:pPr>
        <w:pStyle w:val="BookText"/>
      </w:pPr>
      <w:r>
        <w:rPr>
          <w:rFonts w:ascii="IRNazanin" w:hAnsi="IRNazanin" w:eastAsia="IRNazanin" w:cs="IRNazanin"/>
          <w:lang w:bidi="fa-IR"/>
          <w:color w:val="111111"/>
          <w:sz w:val="28"/>
          <w:szCs w:val="28"/>
          <w:rtl/>
        </w:rPr>
        <w:t xml:space="preserve">قصیده در تهنیت مولود محمد قادری ؛خط: نستعلیق، کا: سردار کابلی، حیدر قلی، تا: ۱۳۰۸ق؛ کاغذ: الوان، جلد: مقوا [رایانه ]</w:t>
      </w:r>
    </w:p>
    <w:p>
      <w:pPr>
        <w:pStyle w:val="BookText"/>
      </w:pPr>
      <w:r>
        <w:rPr>
          <w:rFonts w:ascii="IRNazanin" w:hAnsi="IRNazanin" w:eastAsia="IRNazanin" w:cs="IRNazanin"/>
          <w:lang w:bidi="fa-IR"/>
          <w:color w:val="111111"/>
          <w:sz w:val="28"/>
          <w:szCs w:val="28"/>
          <w:rtl/>
        </w:rPr>
        <w:t xml:space="preserve">۱۵۶۹. تهران؛ مجلس؛ شماره نسخه: ۸۰۶</w:t>
      </w:r>
    </w:p>
    <w:p>
      <w:pPr>
        <w:pStyle w:val="BookText"/>
      </w:pPr>
      <w:r>
        <w:rPr>
          <w:rFonts w:ascii="IRNazanin" w:hAnsi="IRNazanin" w:eastAsia="IRNazanin" w:cs="IRNazanin"/>
          <w:lang w:bidi="fa-IR"/>
          <w:color w:val="111111"/>
          <w:sz w:val="28"/>
          <w:szCs w:val="28"/>
          <w:rtl/>
        </w:rPr>
        <w:t xml:space="preserve">از هشتاد و نه سراینده فارسی از سعدی تا شاه صفی، قصاید و غزلیات و قطعات و رباعیات و هزلیات و معمیات است؛ خط: شکسته نستعلیق، بی کا ،تا: ۱۳۰۹ق، با یادداشت روز شنبه ۲۸محرم ۱۳۰۹ در میان؛ مهر: عبده فيض؛ كاغذ: سفيد، جلد: تيماج  قهوه ای و مقوایی، ۲۸۶گ، ۱۳ سطر (8</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،اندازه: 18</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سم[سنا: ف: ۲ - ۶۴]</w:t>
      </w:r>
    </w:p>
    <w:p>
      <w:pPr>
        <w:pStyle w:val="BookText"/>
      </w:pPr>
      <w:r>
        <w:rPr>
          <w:rFonts w:ascii="IRNazanin" w:hAnsi="IRNazanin" w:eastAsia="IRNazanin" w:cs="IRNazanin"/>
          <w:lang w:bidi="fa-IR"/>
          <w:color w:val="111111"/>
          <w:sz w:val="28"/>
          <w:szCs w:val="28"/>
          <w:rtl/>
        </w:rPr>
        <w:t xml:space="preserve">۱۵۷۰. تهران؛ مجلس؛ شماره نسخه: ۵۷۴۹/۲</w:t>
      </w:r>
    </w:p>
    <w:p>
      <w:pPr>
        <w:pStyle w:val="BookText"/>
      </w:pPr>
      <w:r>
        <w:rPr>
          <w:rFonts w:ascii="IRNazanin" w:hAnsi="IRNazanin" w:eastAsia="IRNazanin" w:cs="IRNazanin"/>
          <w:lang w:bidi="fa-IR"/>
          <w:color w:val="111111"/>
          <w:sz w:val="28"/>
          <w:szCs w:val="28"/>
          <w:rtl/>
        </w:rPr>
        <w:t xml:space="preserve">رباعیات و اشعار مختلف از شاهزاده ملک ایرج میرزا متخلص به انصاف، شمس تبریزی (ترجیعات مولانا جلال الدین مولوی) و ترجیعات ناصر خسرو؛ خط: شکسته نستعليق، كا: حبيب الله همدانی، تا: ۱۳۰۹ق؛ کاغذ: فرنگی، جلد: مخمل سبز عطف و حاشیه تیماج ۳۴ ص (۳۶-۷۰)، ۱۸ سطر (سه ستونی)، قطع: نیم خشتی،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 ف : ۱۷ - ۱۹۰]</w:t>
      </w:r>
    </w:p>
    <w:p>
      <w:pPr>
        <w:pStyle w:val="BookText"/>
      </w:pPr>
      <w:r>
        <w:rPr>
          <w:rFonts w:ascii="IRNazanin" w:hAnsi="IRNazanin" w:eastAsia="IRNazanin" w:cs="IRNazanin"/>
          <w:lang w:bidi="fa-IR"/>
          <w:color w:val="111111"/>
          <w:sz w:val="28"/>
          <w:szCs w:val="28"/>
          <w:rtl/>
        </w:rPr>
        <w:t xml:space="preserve">۱۵۷۱. تهران؛ مفتاح؛ شماره نسخه: ۵۸۹</w:t>
      </w:r>
    </w:p>
    <w:p>
      <w:pPr>
        <w:pStyle w:val="BookText"/>
      </w:pPr>
      <w:r>
        <w:rPr>
          <w:rFonts w:ascii="IRNazanin" w:hAnsi="IRNazanin" w:eastAsia="IRNazanin" w:cs="IRNazanin"/>
          <w:lang w:bidi="fa-IR"/>
          <w:color w:val="111111"/>
          <w:sz w:val="28"/>
          <w:szCs w:val="28"/>
          <w:rtl/>
        </w:rPr>
        <w:t xml:space="preserve">شعرهای فارسی هشتاد هشتاد و نه سراینده مانند سعدی و حافظ و زرگر و قاآنی تا می رسد به ملا محمد صوفی و شاه صفی؛ خط: شکسته نستعلیق، بی کا، تا: ۱۳۰۹ق [ نشریه: ۷ - ۱۳۰]</w:t>
      </w:r>
    </w:p>
    <w:p>
      <w:pPr>
        <w:pStyle w:val="BookText"/>
      </w:pPr>
      <w:r>
        <w:rPr>
          <w:rFonts w:ascii="IRNazanin" w:hAnsi="IRNazanin" w:eastAsia="IRNazanin" w:cs="IRNazanin"/>
          <w:lang w:bidi="fa-IR"/>
          <w:color w:val="111111"/>
          <w:sz w:val="28"/>
          <w:szCs w:val="28"/>
          <w:rtl/>
        </w:rPr>
        <w:t xml:space="preserve">۱۵۷۲. قم؛ مرعشی؛ شماره نسخه: ۶۱۵۸</w:t>
      </w:r>
    </w:p>
    <w:p>
      <w:pPr>
        <w:pStyle w:val="BookText"/>
      </w:pPr>
      <w:r>
        <w:rPr>
          <w:rFonts w:ascii="IRNazanin" w:hAnsi="IRNazanin" w:eastAsia="IRNazanin" w:cs="IRNazanin"/>
          <w:lang w:bidi="fa-IR"/>
          <w:color w:val="111111"/>
          <w:sz w:val="28"/>
          <w:szCs w:val="28"/>
          <w:rtl/>
        </w:rPr>
        <w:t xml:space="preserve">آغاز: مو از قالو بلی تشویش دیرم *** گناه از برگ دارون بیش دیرم / چو فردا نوبه خونان نوبه خونند *** مو در کف نوبه سر در پیش دیرم</w:t>
      </w:r>
    </w:p>
    <w:p>
      <w:pPr>
        <w:pStyle w:val="BookText"/>
      </w:pPr>
      <w:r>
        <w:rPr>
          <w:rFonts w:ascii="IRNazanin" w:hAnsi="IRNazanin" w:eastAsia="IRNazanin" w:cs="IRNazanin"/>
          <w:lang w:bidi="fa-IR"/>
          <w:color w:val="111111"/>
          <w:sz w:val="28"/>
          <w:szCs w:val="28"/>
          <w:rtl/>
        </w:rPr>
        <w:t xml:space="preserve">رباعیات بابا طاهر عریان، رباعیات ابو سعید ابو الخیر که برای هر رباعی از رباعیات دوم فایده ای مانند گفته های دعا نویسان ساخته، و در پایان چند مثنوی از ساخته های شیخ بهاءالدین عاملی گزیده کرده ؛خط: نستعلیق زیبا، کا: فتحعلی بن محمد حسن بن محمد حسین ابن صاحب دیوان خان بابا خان، تا: ۲۰ ربيع الثاني ۱۳۱۰ق؛ تقدیم شده به امیر نظام والی کردستان و کرمانشاهان، مجدول، دارای سرلوح رنگین دقیق؛ جلد: مخمل ضربی عطف تیماج قهوه ای پشت تیماج سبز، ۱۶گ، ۹ سطر،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۱۶ - ۱۵۶]</w:t>
      </w:r>
    </w:p>
    <w:p>
      <w:pPr>
        <w:pStyle w:val="BookText"/>
      </w:pPr>
      <w:r>
        <w:rPr>
          <w:rFonts w:ascii="IRNazanin" w:hAnsi="IRNazanin" w:eastAsia="IRNazanin" w:cs="IRNazanin"/>
          <w:lang w:bidi="fa-IR"/>
          <w:color w:val="111111"/>
          <w:sz w:val="28"/>
          <w:szCs w:val="28"/>
          <w:rtl/>
        </w:rPr>
        <w:t xml:space="preserve">۱۵۷۳ تهران؛ ملک؛ شماره نسخه: ۴۸۵۸/۳
</w:t>
      </w:r>
    </w:p>
    <w:p>
      <w:pPr>
        <w:sectPr>
          <w:footerReference w:type="default" r:id="rId8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مثنوی عرفانی است. گویا بخشی از شماره یک این مجموعه اسـت از همان سراینده؛ خط: نستعلیق، کا: آمحیی، تا: با تاریخ 1310ق [ف: 8- 110]</w:t>
      </w:r>
    </w:p>
    <w:p>
      <w:pPr>
        <w:pStyle w:val="BookText"/>
      </w:pPr>
      <w:r>
        <w:rPr>
          <w:rFonts w:ascii="Times New Roman" w:hAnsi="Times New Roman" w:eastAsia="Times New Roman" w:cs="Times New Roman"/>
          <w:lang w:val="en-US" w:bidi="en-US"/>
          <w:color w:val="111111"/>
          <w:sz w:val="28"/>
          <w:szCs w:val="28"/>
          <w:rtl/>
        </w:rPr>
        <w:t xml:space="preserve">1574.</w:t>
      </w:r>
    </w:p>
    <w:p>
      <w:pPr>
        <w:pStyle w:val="BookText"/>
      </w:pPr>
      <w:r>
        <w:rPr>
          <w:rFonts w:ascii="IRNazanin" w:hAnsi="IRNazanin" w:eastAsia="IRNazanin" w:cs="IRNazanin"/>
          <w:lang w:bidi="fa-IR"/>
          <w:color w:val="111111"/>
          <w:sz w:val="28"/>
          <w:szCs w:val="28"/>
          <w:rtl/>
        </w:rPr>
        <w:t xml:space="preserve">تهران؛ ملی؛ شماره نسخه: ۶۵۸۱</w:t>
      </w:r>
    </w:p>
    <w:p>
      <w:pPr>
        <w:pStyle w:val="BookText"/>
      </w:pPr>
      <w:r>
        <w:rPr>
          <w:rFonts w:ascii="IRNazanin" w:hAnsi="IRNazanin" w:eastAsia="IRNazanin" w:cs="IRNazanin"/>
          <w:lang w:bidi="fa-IR"/>
          <w:color w:val="111111"/>
          <w:sz w:val="28"/>
          <w:szCs w:val="28"/>
          <w:rtl/>
        </w:rPr>
        <w:t xml:space="preserve">آغاز: الا باد صباکوچه ... بجو تختخواب فنر و لحاف ارا بجو؛ انجام: ای طرز طرزی صلح بازی می: نی تاء وضاء و یاء و نون منگیدن چرا.</w:t>
      </w:r>
    </w:p>
    <w:p>
      <w:pPr>
        <w:pStyle w:val="BookText"/>
      </w:pPr>
      <w:r>
        <w:rPr>
          <w:rFonts w:ascii="IRNazanin" w:hAnsi="IRNazanin" w:eastAsia="IRNazanin" w:cs="IRNazanin"/>
          <w:lang w:bidi="fa-IR"/>
          <w:color w:val="111111"/>
          <w:sz w:val="28"/>
          <w:szCs w:val="28"/>
          <w:rtl/>
        </w:rPr>
        <w:t xml:space="preserve">مشتمل بر یک مخمس و یک قطعه که نامی از سراینده اش نیامده، قطعه قالب مادر و مثنوی زهره و منوچهر اثر ایرج میرزا و یـک قطعه از دوست صمیمی گرد آورنده به نام میرزا حسین خان خدادوست؛ خط: نستعلیق تحریری، کا: کرمان: كاتب: ع. ح،مجیدی، تا: ۱۳۱۰ق؛ افتادگی: آغاز؛ در برگ های 53-65پ متن تحت عنوان «خواب نامه» در تعبیر خواب به ترتیب حروف الفبا که تا اوایل حرف ب را دارد و ناتمام مانه و نامی از مؤلف آن نیامده است؛ کاغذ: کاغذ دفتری خط دار افتادگی: آغاز ،جـلد: مقوایی با روکش کاغذی نقشدار سبز و آبی تیره و روشن، عطف و گوشه ها پارچه قهوه ای، اندرون جلد روکش کاغذی نخودی، ۳۴گ (34- 1پ) ،۱۶ سطر (9</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[رایانه ]</w:t>
      </w:r>
    </w:p>
    <w:p>
      <w:pPr>
        <w:pStyle w:val="BookText"/>
      </w:pPr>
      <w:r>
        <w:rPr>
          <w:rFonts w:ascii="IRNazanin" w:hAnsi="IRNazanin" w:eastAsia="IRNazanin" w:cs="IRNazanin"/>
          <w:lang w:bidi="fa-IR"/>
          <w:color w:val="111111"/>
          <w:sz w:val="28"/>
          <w:szCs w:val="28"/>
          <w:rtl/>
        </w:rPr>
        <w:t xml:space="preserve">۱۵۷۵. تهران؛ ملک؛ شماره نسخه: ۵۳۹۰</w:t>
      </w:r>
    </w:p>
    <w:p>
      <w:pPr>
        <w:pStyle w:val="BookText"/>
      </w:pPr>
      <w:r>
        <w:rPr>
          <w:rFonts w:ascii="IRNazanin" w:hAnsi="IRNazanin" w:eastAsia="IRNazanin" w:cs="IRNazanin"/>
          <w:lang w:bidi="fa-IR"/>
          <w:color w:val="111111"/>
          <w:sz w:val="28"/>
          <w:szCs w:val="28"/>
          <w:rtl/>
        </w:rPr>
        <w:t xml:space="preserve">شامل اشعاری از: امیر والهی قمی، ملا زکی قمی، ضمیـری اصفهانی، شهوقی حسینی، امیدی، ملا شانی، طرزی افشار، غـلام بیگ، میر سنجر کاشی، سلیم تهرانی، بابا فغانی ،خرم، عرفی، طالب آملی و جز آنها؛ خط: نستعلیق و شکسته نستعلیق، بی کا،تا:جمعه1 ربيع الاول ۱۳۱۱-۱۳۱۰ق؛ راسته و چلیپا، مجدول به اکلیل؛ کاغذ: فرنگی الوان ،جلد: میشن قهوه ای، ۹۱گ مختلف السطر ، اندازه : 11</w:t>
      </w:r>
      <w:r>
        <w:rPr>
          <w:rFonts w:ascii="Times New Roman" w:hAnsi="Times New Roman" w:eastAsia="Times New Roman" w:cs="Times New Roman"/>
          <w:lang w:val="en-US" w:bidi="en-US"/>
          <w:color w:val="111111"/>
          <w:sz w:val="28"/>
          <w:szCs w:val="28"/>
          <w:rtl/>
        </w:rPr>
        <w:t xml:space="preserve">×18/3</w:t>
      </w:r>
      <w:r>
        <w:rPr>
          <w:rFonts w:ascii="IRNazanin" w:hAnsi="IRNazanin" w:eastAsia="IRNazanin" w:cs="IRNazanin"/>
          <w:lang w:bidi="fa-IR"/>
          <w:color w:val="111111"/>
          <w:sz w:val="28"/>
          <w:szCs w:val="28"/>
          <w:rtl/>
        </w:rPr>
        <w:t xml:space="preserve">سم [ف: ۸ - ۳۲۴]</w:t>
      </w:r>
    </w:p>
    <w:p>
      <w:pPr>
        <w:pStyle w:val="BookText"/>
      </w:pPr>
      <w:r>
        <w:rPr>
          <w:rFonts w:ascii="IRNazanin" w:hAnsi="IRNazanin" w:eastAsia="IRNazanin" w:cs="IRNazanin"/>
          <w:lang w:bidi="fa-IR"/>
          <w:color w:val="111111"/>
          <w:sz w:val="28"/>
          <w:szCs w:val="28"/>
          <w:rtl/>
        </w:rPr>
        <w:t xml:space="preserve">۱۵۷۶. تهران؛ ملک؛ شماره نسخه: ۵۴۰۲</w:t>
      </w:r>
    </w:p>
    <w:p>
      <w:pPr>
        <w:pStyle w:val="BookText"/>
      </w:pPr>
      <w:r>
        <w:rPr>
          <w:rFonts w:ascii="IRNazanin" w:hAnsi="IRNazanin" w:eastAsia="IRNazanin" w:cs="IRNazanin"/>
          <w:lang w:bidi="fa-IR"/>
          <w:color w:val="111111"/>
          <w:sz w:val="28"/>
          <w:szCs w:val="28"/>
          <w:rtl/>
        </w:rPr>
        <w:t xml:space="preserve">شامل اشعاری از ناصر خسرو علوی و امیر معزی، بندی از مقامـات حمیدی، شعر از فرخی سیستانی، قمری آملی، کافی ظفر همدانی، کاتب خراسانی، ظهیر الدین فاریابی، عبدالخالق، علاء الدوله منانی ،عسجدی عمعق بخارایی ،عنصری، فرقد خراسانی، قاآنی شیرازی و جز آنها، با یک دیباچه از گردآورنده: تیمور بن غلامحسین میرزا ملقب به صدر الشعراء و تاریخ پایان ۲ جمادی الاول ۱۳۱۰ ق ؛ خط: نستعلیق ،کا: تیمور بن غلامحسین صدر الشعراء، تا: ۲ جمادى الثانى ۱۳۱۰ق؛ کاغذ: فرنگی آهار مـهره رنگارنگ، جلد: میشن قهوه ای ،مجدول، ۲۶۲گ، ۹ سطر، اندازه: ۱۶/۸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۸ - ۳۳۴]</w:t>
      </w:r>
    </w:p>
    <w:p>
      <w:pPr>
        <w:pStyle w:val="BookText"/>
      </w:pPr>
      <w:r>
        <w:rPr>
          <w:rFonts w:ascii="IRNazanin" w:hAnsi="IRNazanin" w:eastAsia="IRNazanin" w:cs="IRNazanin"/>
          <w:lang w:bidi="fa-IR"/>
          <w:color w:val="111111"/>
          <w:sz w:val="28"/>
          <w:szCs w:val="28"/>
          <w:rtl/>
        </w:rPr>
        <w:t xml:space="preserve">۱- کاشان ،عاطفی افشین شماره نسخه: ۷۵</w:t>
      </w:r>
    </w:p>
    <w:p>
      <w:pPr>
        <w:pStyle w:val="BookText"/>
      </w:pPr>
      <w:r>
        <w:rPr>
          <w:rFonts w:ascii="IRNazanin" w:hAnsi="IRNazanin" w:eastAsia="IRNazanin" w:cs="IRNazanin"/>
          <w:lang w:bidi="fa-IR"/>
          <w:color w:val="111111"/>
          <w:sz w:val="28"/>
          <w:szCs w:val="28"/>
          <w:rtl/>
        </w:rPr>
        <w:t xml:space="preserve">جنگی مشتمل بر اشعاری در وقایع کربلا، اشعاری از محمد بن محمد مهدی بن محمد جعفر بن حاج محمد حسین تاجر متخلـص به «ناظم» در سال ۱۳۱۰ و ۱۳۱۱ که به مناسبت های مختل سروده است؛ خط: نستعلیق، کا: ناظم، تا: ۱۳۱۰ و ۱۳۱۱ق؛ روی جلد اشعار به ملامحمد جعفر ادیب نسبت داده شده ؛جلد: عطف پارچه ای، ۳۲گ، مختلف السطر،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۶۵]</w:t>
      </w:r>
    </w:p>
    <w:p>
      <w:pPr>
        <w:pStyle w:val="BookText"/>
      </w:pPr>
      <w:r>
        <w:rPr>
          <w:rFonts w:ascii="IRNazanin" w:hAnsi="IRNazanin" w:eastAsia="IRNazanin" w:cs="IRNazanin"/>
          <w:lang w:bidi="fa-IR"/>
          <w:color w:val="111111"/>
          <w:sz w:val="28"/>
          <w:szCs w:val="28"/>
          <w:rtl/>
        </w:rPr>
        <w:t xml:space="preserve">۱۵۷۷. قم؛ مرکز مطالعات؛ شماره نسخه: ۷۷۰/۳</w:t>
      </w:r>
    </w:p>
    <w:p>
      <w:pPr>
        <w:pStyle w:val="BookText"/>
      </w:pPr>
      <w:r>
        <w:rPr>
          <w:rFonts w:ascii="IRNazanin" w:hAnsi="IRNazanin" w:eastAsia="IRNazanin" w:cs="IRNazanin"/>
          <w:lang w:bidi="fa-IR"/>
          <w:color w:val="111111"/>
          <w:sz w:val="28"/>
          <w:szCs w:val="28"/>
          <w:rtl/>
        </w:rPr>
        <w:t xml:space="preserve">چند قصیده و غزل از رشیدالدین وطواط و خاقانی؛ خط: نستعلیق، كا: مهدی محمد علی بن کربلائی جواد، تا: ۱۳۱۱ق؛ جلد: تیماج مشکی ضربی مجدول گرهی، ۸گ (۱۱۰ پ-۱۱۸ پ)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۱۹/۵سم [ف: ۲ - ۴۸]</w:t>
      </w:r>
    </w:p>
    <w:p>
      <w:pPr>
        <w:pStyle w:val="BookText"/>
      </w:pPr>
      <w:r>
        <w:rPr>
          <w:rFonts w:ascii="Times New Roman" w:hAnsi="Times New Roman" w:eastAsia="Times New Roman" w:cs="Times New Roman"/>
          <w:lang w:val="en-US" w:bidi="en-US"/>
          <w:color w:val="111111"/>
          <w:sz w:val="28"/>
          <w:szCs w:val="28"/>
          <w:rtl/>
        </w:rPr>
        <w:t xml:space="preserve">1578.</w:t>
      </w:r>
    </w:p>
    <w:p>
      <w:pPr>
        <w:pStyle w:val="BookText"/>
      </w:pPr>
      <w:r>
        <w:rPr>
          <w:rFonts w:ascii="IRNazanin" w:hAnsi="IRNazanin" w:eastAsia="IRNazanin" w:cs="IRNazanin"/>
          <w:lang w:bidi="fa-IR"/>
          <w:color w:val="111111"/>
          <w:sz w:val="28"/>
          <w:szCs w:val="28"/>
          <w:rtl/>
        </w:rPr>
        <w:t xml:space="preserve">قم؛ گلپایگانی؛ شماره نسخه: ۳۱۷۹-۱۶/۱۸۹</w:t>
      </w:r>
    </w:p>
    <w:p>
      <w:pPr>
        <w:pStyle w:val="BookText"/>
      </w:pPr>
      <w:r>
        <w:rPr>
          <w:rFonts w:ascii="IRNazanin" w:hAnsi="IRNazanin" w:eastAsia="IRNazanin" w:cs="IRNazanin"/>
          <w:lang w:bidi="fa-IR"/>
          <w:color w:val="111111"/>
          <w:sz w:val="28"/>
          <w:szCs w:val="28"/>
          <w:rtl/>
        </w:rPr>
        <w:t xml:space="preserve">آغاز: بسمله من کلام میرزا صادق تفرشی : آتشی می بینم ای یاران زدور ***گرم می آید بچشمم نخل طور / شعله رویی خود نمایی می کند *** فاش دعوی خدایی می کند؛ انجام: فاطمه چون این شنیده آه زدل برکشید *** اشک چو سیلاب ریخت همچو گل نوبهار / گفت زنان عرب دشمن جان منند *** غیبت ما می کنند جمله به ليل ونهار</w:t>
      </w:r>
    </w:p>
    <w:p>
      <w:pPr>
        <w:pStyle w:val="BookText"/>
      </w:pPr>
      <w:r>
        <w:rPr>
          <w:rFonts w:ascii="IRNazanin" w:hAnsi="IRNazanin" w:eastAsia="IRNazanin" w:cs="IRNazanin"/>
          <w:lang w:bidi="fa-IR"/>
          <w:color w:val="111111"/>
          <w:sz w:val="28"/>
          <w:szCs w:val="28"/>
          <w:rtl/>
        </w:rPr>
        <w:t xml:space="preserve">شامل اشعاری از: مثنوی هجری تفرشی (آتشی می بینم ای یاران زدور) ،جامی ،سعدی، طبیب اصفهانی ،میررضی ،هاتف، صباحی، محتشم هلالی شیرازی ،خسرو نظیری، رفیق اصفهانی، ،مشتاق ،شاپور، سید شریف ،سلمان ساوجی، رباعیات بابا طاهر، حسن نياز، تحفة العارفین ملک الشعرا (اى طایر قدس آفرینش چون طایر عیسوی به بینش)، مرثیه محتشم در رثاء برادرش، تعریف اسب از انوری، اشعاری از انوری آذری، کمال اسماعیل، شهودی ،سرشار، قصیده عاشق، جامی خاقانی، مثنوی فخریه صادق تفرشی (رب بماجدت وانعمتني *** شکرک الهمت واكرمتنی)، قصه سنگ تراش، تاریخ اسماعیل خان در ۱۳۱۱؛ خط: نستعلیق ،شکسته، بی کا، تا: ۱۳۱۱ق،جلد: تیماج قرمز، ۱۲۵گ، مختلف السطر، قطع: بياض رقعی،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۲۳سم [ف:3- 1242]</w:t>
      </w:r>
    </w:p>
    <w:p>
      <w:pPr>
        <w:pStyle w:val="BookText"/>
      </w:pPr>
      <w:r>
        <w:rPr>
          <w:rFonts w:ascii="IRNazanin" w:hAnsi="IRNazanin" w:eastAsia="IRNazanin" w:cs="IRNazanin"/>
          <w:lang w:bidi="fa-IR"/>
          <w:color w:val="111111"/>
          <w:sz w:val="28"/>
          <w:szCs w:val="28"/>
          <w:rtl/>
        </w:rPr>
        <w:t xml:space="preserve">۱۵۷۹. مشهد؛ رضوی؛ شماره نسخه: ۱۵۸۳۵</w:t>
      </w:r>
    </w:p>
    <w:p>
      <w:pPr>
        <w:pStyle w:val="BookText"/>
      </w:pPr>
      <w:r>
        <w:rPr>
          <w:rFonts w:ascii="IRNazanin" w:hAnsi="IRNazanin" w:eastAsia="IRNazanin" w:cs="IRNazanin"/>
          <w:lang w:bidi="fa-IR"/>
          <w:color w:val="111111"/>
          <w:sz w:val="28"/>
          <w:szCs w:val="28"/>
          <w:rtl/>
        </w:rPr>
        <w:t xml:space="preserve">آغاز: نه هر کس پنجه افرازد تواند ماه شق سازد؛ انجام: در گوش جوانان ساز پند پیر دانا را.</w:t>
      </w:r>
    </w:p>
    <w:p>
      <w:pPr>
        <w:pStyle w:val="BookText"/>
      </w:pPr>
      <w:r>
        <w:rPr>
          <w:rFonts w:ascii="IRNazanin" w:hAnsi="IRNazanin" w:eastAsia="IRNazanin" w:cs="IRNazanin"/>
          <w:lang w:bidi="fa-IR"/>
          <w:color w:val="111111"/>
          <w:sz w:val="28"/>
          <w:szCs w:val="28"/>
          <w:rtl/>
        </w:rPr>
        <w:t xml:space="preserve">اوراقی است در هم و نامرتب، مشتمل بر مثنویات و قصایدی در مدح و مرثیه حضرت فاطمه زهرا و امام حسن مجتبی و امام حسین و حضرت ابوالفضل العباس و على بن موسى الرضا عليهم السلام از وفائی و جودی؛ خط: نستعلیق چلیپا، بی کا، تا: ۴ ربیع الاول ۱۳۱۱ق؛ افتادگی: آغاز: اکثر قصاید حسب الفرموده (كذا) مخدوم کرام آقا ملا صفر علی خیاط نوشته شده؛ کاغذ: نخودی، ۲۵گ، مختلف السطر ، اندازه: ۱۱/۲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۲۱/۷سم [ف: ۱۷ - ۵۴]</w:t>
      </w:r>
    </w:p>
    <w:p>
      <w:pPr>
        <w:pStyle w:val="BookText"/>
      </w:pPr>
      <w:r>
        <w:rPr>
          <w:rFonts w:ascii="IRNazanin" w:hAnsi="IRNazanin" w:eastAsia="IRNazanin" w:cs="IRNazanin"/>
          <w:lang w:bidi="fa-IR"/>
          <w:color w:val="111111"/>
          <w:sz w:val="28"/>
          <w:szCs w:val="28"/>
          <w:rtl/>
        </w:rPr>
        <w:t xml:space="preserve">۱۵۸۰. تهران؛ دانشکده الهیات تهران شماره نسخه: ۵۴۲/۱۰</w:t>
      </w:r>
    </w:p>
    <w:p>
      <w:pPr>
        <w:pStyle w:val="BookText"/>
      </w:pPr>
      <w:r>
        <w:rPr>
          <w:rFonts w:ascii="IRNazanin" w:hAnsi="IRNazanin" w:eastAsia="IRNazanin" w:cs="IRNazanin"/>
          <w:lang w:bidi="fa-IR"/>
          <w:color w:val="111111"/>
          <w:sz w:val="28"/>
          <w:szCs w:val="28"/>
          <w:rtl/>
        </w:rPr>
        <w:t xml:space="preserve">رباعیات در خصوص بی معنی بودن شعر خواجه، از چند شاعر: میر محسن قمی، محمد رضای اصفهانی فکری، میرزا شریف، شفیع شیرازی، شاکر طهرانی، بدر لاهیجانی، محمد باقر بیلدار،  میرکمال قمی، میرزا هادی، محمد جعفر بیک، غنی کشمیری، محمد قلی سلیم، میرزا کریم اصفهانی، خط: نستعلیق، كا: حاج سید احمد لاهیجانی، تا: سه شنبه ۲۷ صفر ۱۳۱۲ق، جا:همدان؛
</w:t>
      </w:r>
    </w:p>
    <w:p>
      <w:pPr>
        <w:sectPr>
          <w:footerReference w:type="default" r:id="rId8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کاغذ: فرنگی سفید و کبود و نخودی، جلد: تیماج کرمی زرکوب مقوایی، ۳گ (۸۲ر- ۸۴ر)، ۱۷ سطر (5/6</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۱۷/۵سم [ف: ۳۲۲]</w:t>
      </w:r>
    </w:p>
    <w:p>
      <w:pPr>
        <w:pStyle w:val="BookText"/>
      </w:pPr>
      <w:r>
        <w:rPr>
          <w:rFonts w:ascii="IRNazanin" w:hAnsi="IRNazanin" w:eastAsia="IRNazanin" w:cs="IRNazanin"/>
          <w:lang w:bidi="fa-IR"/>
          <w:color w:val="111111"/>
          <w:sz w:val="28"/>
          <w:szCs w:val="28"/>
          <w:rtl/>
        </w:rPr>
        <w:t xml:space="preserve">۱۵۸۱. تهران؛ دانشکده الهیات تهران؛شماره نسخه: ۵۴۲/۱۱</w:t>
      </w:r>
    </w:p>
    <w:p>
      <w:pPr>
        <w:pStyle w:val="BookText"/>
      </w:pPr>
      <w:r>
        <w:rPr>
          <w:rFonts w:ascii="IRNazanin" w:hAnsi="IRNazanin" w:eastAsia="IRNazanin" w:cs="IRNazanin"/>
          <w:lang w:bidi="fa-IR"/>
          <w:color w:val="111111"/>
          <w:sz w:val="28"/>
          <w:szCs w:val="28"/>
          <w:rtl/>
        </w:rPr>
        <w:t xml:space="preserve">رباعیات، مطایبه و مضاحکه از چند شاعر به فارسی؛ خـط: نستعليق، كا: حاج سید احمد لاهیجانی، تا: سه شنبه ۲۷ صفر ۱۳۱۲ق، جا: همدان ؛کاغذ: فرنگی سفید و کبود و نخودی، جـلد: تیماج کرمی زرکوب مقوایی، ۴گ (۸۴پ-۸۸پ)، ۱۷ سـطر (۵/۶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۱۷/۵سم [ف: ۳۲۲]</w:t>
      </w:r>
    </w:p>
    <w:p>
      <w:pPr>
        <w:pStyle w:val="BookText"/>
      </w:pPr>
      <w:r>
        <w:rPr>
          <w:rFonts w:ascii="IRNazanin" w:hAnsi="IRNazanin" w:eastAsia="IRNazanin" w:cs="IRNazanin"/>
          <w:lang w:bidi="fa-IR"/>
          <w:color w:val="111111"/>
          <w:sz w:val="28"/>
          <w:szCs w:val="28"/>
          <w:rtl/>
        </w:rPr>
        <w:t xml:space="preserve">۱۵۸۲ . مشهد؛ ادبیات؛ شماره نسخه: ۳ فرخ</w:t>
      </w:r>
    </w:p>
    <w:p>
      <w:pPr>
        <w:pStyle w:val="BookText"/>
      </w:pPr>
      <w:r>
        <w:rPr>
          <w:rFonts w:ascii="IRNazanin" w:hAnsi="IRNazanin" w:eastAsia="IRNazanin" w:cs="IRNazanin"/>
          <w:lang w:bidi="fa-IR"/>
          <w:color w:val="111111"/>
          <w:sz w:val="28"/>
          <w:szCs w:val="28"/>
          <w:rtl/>
        </w:rPr>
        <w:t xml:space="preserve">آغاز: بیار ساقی مهرخ شراب دهقانرا *** که محو کرد در افواه آب حیوان را</w:t>
      </w:r>
    </w:p>
    <w:p>
      <w:pPr>
        <w:pStyle w:val="BookText"/>
      </w:pPr>
      <w:r>
        <w:rPr>
          <w:rFonts w:ascii="IRNazanin" w:hAnsi="IRNazanin" w:eastAsia="IRNazanin" w:cs="IRNazanin"/>
          <w:lang w:bidi="fa-IR"/>
          <w:color w:val="111111"/>
          <w:sz w:val="28"/>
          <w:szCs w:val="28"/>
          <w:rtl/>
        </w:rPr>
        <w:t xml:space="preserve">مجموعه اشعاری است از قوام و چند شاعر دیگر که در مدح ساعد السلطنه رئيس كل قشون؛ خط: نستعلیق، کا: سید یوسف بن نورالدین حسین تبریزی و میرزا علی اکبر شیرازی، تا: ۱۳۱۲ق؛ مجدول؛ ۸۸گ، ۱۲ سطر (۷/۵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قطع: رقعی،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۲۲/۵سم [ف: ۱۳۳]</w:t>
      </w:r>
    </w:p>
    <w:p>
      <w:pPr>
        <w:pStyle w:val="BookText"/>
      </w:pPr>
      <w:r>
        <w:rPr>
          <w:rFonts w:ascii="IRNazanin" w:hAnsi="IRNazanin" w:eastAsia="IRNazanin" w:cs="IRNazanin"/>
          <w:lang w:bidi="fa-IR"/>
          <w:color w:val="111111"/>
          <w:sz w:val="28"/>
          <w:szCs w:val="28"/>
          <w:rtl/>
        </w:rPr>
        <w:t xml:space="preserve">۱۵۸۳ . قم؛ مرکز احیاء؛ شماره نسخه: ۲۵۹</w:t>
      </w:r>
    </w:p>
    <w:p>
      <w:pPr>
        <w:pStyle w:val="BookText"/>
      </w:pPr>
      <w:r>
        <w:rPr>
          <w:rFonts w:ascii="IRNazanin" w:hAnsi="IRNazanin" w:eastAsia="IRNazanin" w:cs="IRNazanin"/>
          <w:lang w:bidi="fa-IR"/>
          <w:color w:val="111111"/>
          <w:sz w:val="28"/>
          <w:szCs w:val="28"/>
          <w:rtl/>
        </w:rPr>
        <w:t xml:space="preserve">اشعاری فارسی و گاهی چند شعر عربی بدون تنظیم مخصوص از شاعران متقدم و متاخر: فردوسی، شیخ الرئیس قاجار، پریشان، سعدی، خواجوی کرمانی ،مقبل، ناصر خسرو، انوری، فانی، فياض لاهیجی، ظفر کرمانی، صبا کاشانی، فدائی لاهیجی، کمال اصفهانی، اسرار سبزواری، نجم الدین رازی، حافظ شیرازی، جامی، ظهیر فاریابی، مجمر اصفهانی ،خیام ،قائمقام، فروغی، صباحی، شیخ عبدالرزاق، عطار طهرانی ،مخفی، علویه اصفهانی،</w:t>
      </w:r>
    </w:p>
    <w:p>
      <w:pPr>
        <w:pStyle w:val="BookText"/>
      </w:pPr>
      <w:r>
        <w:rPr>
          <w:rFonts w:ascii="IRNazanin" w:hAnsi="IRNazanin" w:eastAsia="IRNazanin" w:cs="IRNazanin"/>
          <w:lang w:bidi="fa-IR"/>
          <w:color w:val="111111"/>
          <w:sz w:val="28"/>
          <w:szCs w:val="28"/>
          <w:rtl/>
        </w:rPr>
        <w:t xml:space="preserve">نظامی، صفی علیشاه، همامی شیرازی، نعيما، عصمت، وحدت گیلانی، صحبت لاری، عطائی، وحشی، رودکی، خیالی، عنصری، امرى القيس، حقایق نگار شیرازی، رضوانی شیرازی، محمد کاظم شیرازی؛ خط: نستعلیق، بی کا، تا: ۱۳۱۲ق؛ مجدول، جلد: تيماج قهوه ای، ۱۲۵گ، مختلف السطر، اندازه: 13</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۱ - ۳۵۷]</w:t>
      </w:r>
    </w:p>
    <w:p>
      <w:pPr>
        <w:pStyle w:val="BookText"/>
      </w:pPr>
      <w:r>
        <w:rPr>
          <w:rFonts w:ascii="IRNazanin" w:hAnsi="IRNazanin" w:eastAsia="IRNazanin" w:cs="IRNazanin"/>
          <w:lang w:bidi="fa-IR"/>
          <w:color w:val="111111"/>
          <w:sz w:val="28"/>
          <w:szCs w:val="28"/>
          <w:rtl/>
        </w:rPr>
        <w:t xml:space="preserve">۱۵۸۴. تهران؛ ملی؛ شماره نسخه: ۱۲۴۷/۶</w:t>
      </w:r>
    </w:p>
    <w:p>
      <w:pPr>
        <w:pStyle w:val="BookText"/>
      </w:pPr>
      <w:r>
        <w:rPr>
          <w:rFonts w:ascii="IRNazanin" w:hAnsi="IRNazanin" w:eastAsia="IRNazanin" w:cs="IRNazanin"/>
          <w:lang w:bidi="fa-IR"/>
          <w:color w:val="111111"/>
          <w:sz w:val="28"/>
          <w:szCs w:val="28"/>
          <w:rtl/>
        </w:rPr>
        <w:t xml:space="preserve">اشعاری از ابوتراب بیک ،مذنب، نظیری، سالک اصفهانی، ،هاتف ،مولانا جامی، میرزا قوام، ید مهدی عرب ،وحشی، سعدی شیرازی، عرفی ،رضایی ،فیاض ،حکیم، نظامی، میرزا شاه تقی، خواجه خليل، محمد صوفی، لامع، قانع. از صفحه ۵۷۸ تا آخر جنگ، اشعار مندرج در مقامات حریری آمده و پاره ای از آنها نیز به فارسی بر گردانده شده؛ خط: شکسته نستعلیق، کا: علی حسینی متخلص ثاقب، تا ۱۳۱۲ق؛ کاغذ: فرنگی ،جلد: تیماج قرمز با ترنج و نیم ترنج کوبیده مقوایی، ۳۱۱گ ۱۰ سـطر (۷/۵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 ۳ - ۳۰۳]</w:t>
      </w:r>
    </w:p>
    <w:p>
      <w:pPr>
        <w:pStyle w:val="BookText"/>
      </w:pPr>
      <w:r>
        <w:rPr>
          <w:rFonts w:ascii="IRNazanin" w:hAnsi="IRNazanin" w:eastAsia="IRNazanin" w:cs="IRNazanin"/>
          <w:lang w:bidi="fa-IR"/>
          <w:color w:val="111111"/>
          <w:sz w:val="28"/>
          <w:szCs w:val="28"/>
          <w:rtl/>
        </w:rPr>
        <w:t xml:space="preserve">۱۵۸۵. قم؛ گلپایگانی؛ شماره نسخه: ۵۹/۲۳۲۹۰۱۲</w:t>
      </w:r>
    </w:p>
    <w:p>
      <w:pPr>
        <w:pStyle w:val="BookText"/>
      </w:pPr>
      <w:r>
        <w:rPr>
          <w:rFonts w:ascii="IRNazanin" w:hAnsi="IRNazanin" w:eastAsia="IRNazanin" w:cs="IRNazanin"/>
          <w:lang w:bidi="fa-IR"/>
          <w:color w:val="111111"/>
          <w:sz w:val="28"/>
          <w:szCs w:val="28"/>
          <w:rtl/>
        </w:rPr>
        <w:t xml:space="preserve">آغاز: امشب حسین با عابدین*** گردد وصی و جانشین واویلا / امشب غمری کوکو زنان *** در شاخها افغان نشین واویلا؛</w:t>
      </w:r>
    </w:p>
    <w:p>
      <w:pPr>
        <w:pStyle w:val="BookText"/>
      </w:pPr>
      <w:r>
        <w:rPr>
          <w:rFonts w:ascii="IRNazanin" w:hAnsi="IRNazanin" w:eastAsia="IRNazanin" w:cs="IRNazanin"/>
          <w:lang w:bidi="fa-IR"/>
          <w:color w:val="111111"/>
          <w:sz w:val="28"/>
          <w:szCs w:val="28"/>
          <w:rtl/>
        </w:rPr>
        <w:t xml:space="preserve">مراثی امام حسین (علیه السّلام)؛ خط: تحریری، بی کا، تا: ۱۳۱۳ق، ۸۷گ، مختلف السطر ،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۷ - ۴۲۶۰]</w:t>
      </w:r>
    </w:p>
    <w:p>
      <w:pPr>
        <w:pStyle w:val="BookText"/>
      </w:pPr>
      <w:r>
        <w:rPr>
          <w:rFonts w:ascii="IRNazanin" w:hAnsi="IRNazanin" w:eastAsia="IRNazanin" w:cs="IRNazanin"/>
          <w:lang w:bidi="fa-IR"/>
          <w:color w:val="111111"/>
          <w:sz w:val="28"/>
          <w:szCs w:val="28"/>
          <w:rtl/>
        </w:rPr>
        <w:t xml:space="preserve">۱۵۸۶ . قم؛ گلپایگانی؛ شماره نسخه: ۹۰۲۱-۵۹/۲۴۱</w:t>
      </w:r>
    </w:p>
    <w:p>
      <w:pPr>
        <w:pStyle w:val="BookText"/>
      </w:pPr>
      <w:r>
        <w:rPr>
          <w:rFonts w:ascii="IRNazanin" w:hAnsi="IRNazanin" w:eastAsia="IRNazanin" w:cs="IRNazanin"/>
          <w:lang w:bidi="fa-IR"/>
          <w:color w:val="111111"/>
          <w:sz w:val="28"/>
          <w:szCs w:val="28"/>
          <w:rtl/>
        </w:rPr>
        <w:t xml:space="preserve">آغاز: عهدها که بر بستی امت تو بشکستند *** شد فروتن حسین تو وا محمدا فریاد</w:t>
      </w:r>
    </w:p>
    <w:p>
      <w:pPr>
        <w:pStyle w:val="BookText"/>
      </w:pPr>
      <w:r>
        <w:rPr>
          <w:rFonts w:ascii="IRNazanin" w:hAnsi="IRNazanin" w:eastAsia="IRNazanin" w:cs="IRNazanin"/>
          <w:lang w:bidi="fa-IR"/>
          <w:color w:val="111111"/>
          <w:sz w:val="28"/>
          <w:szCs w:val="28"/>
          <w:rtl/>
        </w:rPr>
        <w:t xml:space="preserve">مراثی امام حسین (علیه السّلام) ؛خط: تحریری، بی کا، تا: صفر ۱۳۱۳ق، ۱۶۸گ، مختلف السطر،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۷ - ۴۲۶۱]</w:t>
      </w:r>
    </w:p>
    <w:p>
      <w:pPr>
        <w:pStyle w:val="BookText"/>
      </w:pPr>
      <w:r>
        <w:rPr>
          <w:rFonts w:ascii="IRNazanin" w:hAnsi="IRNazanin" w:eastAsia="IRNazanin" w:cs="IRNazanin"/>
          <w:lang w:bidi="fa-IR"/>
          <w:color w:val="111111"/>
          <w:sz w:val="28"/>
          <w:szCs w:val="28"/>
          <w:rtl/>
        </w:rPr>
        <w:t xml:space="preserve">۱۵۸۷. تهران؛ ملی؛ شماره نسخه: ۱۸۱۱۴</w:t>
      </w:r>
    </w:p>
    <w:p>
      <w:pPr>
        <w:pStyle w:val="BookText"/>
      </w:pPr>
      <w:r>
        <w:rPr>
          <w:rFonts w:ascii="IRNazanin" w:hAnsi="IRNazanin" w:eastAsia="IRNazanin" w:cs="IRNazanin"/>
          <w:lang w:bidi="fa-IR"/>
          <w:color w:val="111111"/>
          <w:sz w:val="28"/>
          <w:szCs w:val="28"/>
          <w:rtl/>
        </w:rPr>
        <w:t xml:space="preserve">مثنوی سلیمان و بلقیس؛ بی کا، تا: ۱۳۱۳ق؛ انتقالی از کتابخانه پهلوی - مجموعه نوازی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۲۱/۱سم [رایانه]</w:t>
      </w:r>
    </w:p>
    <w:p>
      <w:pPr>
        <w:pStyle w:val="BookText"/>
      </w:pPr>
      <w:r>
        <w:rPr>
          <w:rFonts w:ascii="IRNazanin" w:hAnsi="IRNazanin" w:eastAsia="IRNazanin" w:cs="IRNazanin"/>
          <w:lang w:bidi="fa-IR"/>
          <w:color w:val="111111"/>
          <w:sz w:val="28"/>
          <w:szCs w:val="28"/>
          <w:rtl/>
        </w:rPr>
        <w:t xml:space="preserve">۱۵۸۸. تهران؛ ملی؛ شماره نسخه: ۱۶۸۲۷</w:t>
      </w:r>
    </w:p>
    <w:p>
      <w:pPr>
        <w:pStyle w:val="BookText"/>
      </w:pPr>
      <w:r>
        <w:rPr>
          <w:rFonts w:ascii="IRNazanin" w:hAnsi="IRNazanin" w:eastAsia="IRNazanin" w:cs="IRNazanin"/>
          <w:lang w:bidi="fa-IR"/>
          <w:color w:val="111111"/>
          <w:sz w:val="28"/>
          <w:szCs w:val="28"/>
          <w:rtl/>
        </w:rPr>
        <w:t xml:space="preserve">جنگ (مجموعه ترسل و رباعی و ...) محمد کریم و ...؛ بی کا، تا: ۱۳۱۳ق؛ انتقالی از کتابخانه پهلوی - مجموعه نوازی؛ ۷۵گ،اندازه: ۱۴/۸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۲۰/۸سم [رایانه]</w:t>
      </w:r>
    </w:p>
    <w:p>
      <w:pPr>
        <w:pStyle w:val="BookText"/>
      </w:pPr>
      <w:r>
        <w:rPr>
          <w:rFonts w:ascii="IRNazanin" w:hAnsi="IRNazanin" w:eastAsia="IRNazanin" w:cs="IRNazanin"/>
          <w:lang w:bidi="fa-IR"/>
          <w:color w:val="111111"/>
          <w:sz w:val="28"/>
          <w:szCs w:val="28"/>
          <w:rtl/>
        </w:rPr>
        <w:t xml:space="preserve">۱۵۸۹. تهران؛ ملی؛ شماره نسخه: ۱۸۰۲۷</w:t>
      </w:r>
    </w:p>
    <w:p>
      <w:pPr>
        <w:pStyle w:val="BookText"/>
      </w:pPr>
      <w:r>
        <w:rPr>
          <w:rFonts w:ascii="IRNazanin" w:hAnsi="IRNazanin" w:eastAsia="IRNazanin" w:cs="IRNazanin"/>
          <w:lang w:bidi="fa-IR"/>
          <w:color w:val="111111"/>
          <w:sz w:val="28"/>
          <w:szCs w:val="28"/>
          <w:rtl/>
        </w:rPr>
        <w:t xml:space="preserve">بی کا، تا: ۱۳۱۴ق؛ انتقالی از کتابخانه پهلوی مجموعه نوازی؛۱۲۹گ، اندازه: ۱۳/۹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[رایانه]</w:t>
      </w:r>
    </w:p>
    <w:p>
      <w:pPr>
        <w:pStyle w:val="BookText"/>
      </w:pPr>
      <w:r>
        <w:rPr>
          <w:rFonts w:ascii="IRNazanin" w:hAnsi="IRNazanin" w:eastAsia="IRNazanin" w:cs="IRNazanin"/>
          <w:lang w:bidi="fa-IR"/>
          <w:color w:val="111111"/>
          <w:sz w:val="28"/>
          <w:szCs w:val="28"/>
          <w:rtl/>
        </w:rPr>
        <w:t xml:space="preserve">۱۵۹۰. مشهد؛ رضوی؛ شماره نسخه: ۱۶۱۶۲/۳</w:t>
      </w:r>
    </w:p>
    <w:p>
      <w:pPr>
        <w:pStyle w:val="BookText"/>
      </w:pPr>
      <w:r>
        <w:rPr>
          <w:rFonts w:ascii="IRNazanin" w:hAnsi="IRNazanin" w:eastAsia="IRNazanin" w:cs="IRNazanin"/>
          <w:lang w:bidi="fa-IR"/>
          <w:color w:val="111111"/>
          <w:sz w:val="28"/>
          <w:szCs w:val="28"/>
          <w:rtl/>
        </w:rPr>
        <w:t xml:space="preserve">اشعاری در منقبت حضرت خاتم النبيين (صلّی اللَّهِ علیه وَ آلِهِ وَ سَلَّمَ ) از مظفر علی شاه، غزلیات از میرزا صادق حیرت، میرزا ابو محمد، منشی حکومت سراب در تاریخ وفات حاجی میر ابراهیم (۱۳۱۶ هـ.ق.) ، مولانا آقا میرزا عبدالحمید سرابی، میرزا اسد سرابی، عبدالعلی خلخالی؛ خط: نستعليق مخلوط بشکسته و نسخ، بی کا، تا: ۱۳۰۳-۱۳۱۴؛ واگذاری بنیاد مستضعفان در شهریور ماه ۱۳۶۷؛ کاغذ: نخودی جلد: تیماج اسقاطی، ۲۱ص (۱۲۳-۱۶۴)، اندازه: ۱۰/۷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۱۷/۵سم [ ف: ۱۷ - ۴۷۷]</w:t>
      </w:r>
    </w:p>
    <w:p>
      <w:pPr>
        <w:pStyle w:val="BookText"/>
      </w:pPr>
      <w:r>
        <w:rPr>
          <w:rFonts w:ascii="IRNazanin" w:hAnsi="IRNazanin" w:eastAsia="IRNazanin" w:cs="IRNazanin"/>
          <w:lang w:bidi="fa-IR"/>
          <w:color w:val="111111"/>
          <w:sz w:val="28"/>
          <w:szCs w:val="28"/>
          <w:rtl/>
        </w:rPr>
        <w:t xml:space="preserve">۱۵۹۱ . قم؛ گلپایگانی؛ شماره نسخه: ۳۴۴۵-۱۷/۲۲۵</w:t>
      </w:r>
    </w:p>
    <w:p>
      <w:pPr>
        <w:pStyle w:val="BookText"/>
      </w:pPr>
      <w:r>
        <w:rPr>
          <w:rFonts w:ascii="IRNazanin" w:hAnsi="IRNazanin" w:eastAsia="IRNazanin" w:cs="IRNazanin"/>
          <w:lang w:bidi="fa-IR"/>
          <w:color w:val="111111"/>
          <w:sz w:val="28"/>
          <w:szCs w:val="28"/>
          <w:rtl/>
        </w:rPr>
        <w:t xml:space="preserve">آغاز: کتاب درس توای ماه با گلستان است *** شود ورق گل و گردد بهر چمن کاغذ / فضای خاطر خسرو که قصر شیرین است *** به بیستون نرسد کو به کو بکن کاغذ؛ انجام: کردند بهشت را همه حوریان کبود *** زهرا نمود معجز خود زین فغان کبود *** باقر مگر به عالم دیگر شود سفید</w:t>
      </w:r>
    </w:p>
    <w:p>
      <w:pPr>
        <w:pStyle w:val="BookText"/>
      </w:pPr>
      <w:r>
        <w:rPr>
          <w:rFonts w:ascii="IRNazanin" w:hAnsi="IRNazanin" w:eastAsia="IRNazanin" w:cs="IRNazanin"/>
          <w:lang w:bidi="fa-IR"/>
          <w:color w:val="111111"/>
          <w:sz w:val="28"/>
          <w:szCs w:val="28"/>
          <w:rtl/>
        </w:rPr>
        <w:t xml:space="preserve">اشعاری از: سعدی ،شهرت ،ندیم ،سلیمی، جامی، شاه نعمة الله و شاعران دیگر؛ خط: شکسته، نستعلیق، کا: بخشی از بیاض به خط میرزا ابوالقاسم برخوردار و غزلی به خط ملا محمد  رحیم و اسدالله بن محمد رضا خان، تا: ۱۳۱۵ق؛ افتادگی: آغاز؛ جلد: تیماج قهوه ای، ۹۳ گ، مختلف السطر، قطع: بياض رقعی، اندازه:۷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۳ - ۱۲۴۵]</w:t>
      </w:r>
    </w:p>
    <w:p>
      <w:pPr>
        <w:pStyle w:val="BookText"/>
      </w:pPr>
      <w:r>
        <w:rPr>
          <w:rFonts w:ascii="IRNazanin" w:hAnsi="IRNazanin" w:eastAsia="IRNazanin" w:cs="IRNazanin"/>
          <w:lang w:bidi="fa-IR"/>
          <w:color w:val="111111"/>
          <w:sz w:val="28"/>
          <w:szCs w:val="28"/>
          <w:rtl/>
        </w:rPr>
        <w:t xml:space="preserve">۱۵۹۲. تهران؛ سلطنتی؛ شماره نسخه: ۵۴۳</w:t>
      </w:r>
    </w:p>
    <w:p>
      <w:pPr>
        <w:pStyle w:val="BookText"/>
      </w:pPr>
      <w:r>
        <w:rPr>
          <w:rFonts w:ascii="IRNazanin" w:hAnsi="IRNazanin" w:eastAsia="IRNazanin" w:cs="IRNazanin"/>
          <w:lang w:bidi="fa-IR"/>
          <w:color w:val="111111"/>
          <w:sz w:val="28"/>
          <w:szCs w:val="28"/>
          <w:rtl/>
        </w:rPr>
        <w:t xml:space="preserve">آغاز: بسم الله الرحمن الرحیم و به ثقتی و رجائی. اسرار محرم حاجی ملا هادی سبزواری. بر خویش گشت عاشق و آئینه خانه ساخت *** تا بنگرد در آئینه دیدار خویش؛ انجام: گفت شعر تو
</w:t>
      </w:r>
    </w:p>
    <w:p>
      <w:pPr>
        <w:sectPr>
          <w:footerReference w:type="default" r:id="rId8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ریاضی بود از بس شیرین *** گوئی از گفته لعل لب شیرین من است</w:t>
      </w:r>
    </w:p>
    <w:p>
      <w:pPr>
        <w:pStyle w:val="BookText"/>
      </w:pPr>
      <w:r>
        <w:rPr>
          <w:rFonts w:ascii="IRNazanin" w:hAnsi="IRNazanin" w:eastAsia="IRNazanin" w:cs="IRNazanin"/>
          <w:lang w:bidi="fa-IR"/>
          <w:color w:val="111111"/>
          <w:sz w:val="28"/>
          <w:szCs w:val="28"/>
          <w:rtl/>
        </w:rPr>
        <w:t xml:space="preserve">در این نسخه تقریبا نام و آثار ۸۱۹ شاعر و ۱۳ شاعره ذکر شـده است و در پایان صفحه ۵۵ که آغاز اشعار مؤلف مجموعه اسـت چنین رقم رفته است: «لمحرره هذا الاوراق ومؤلف هذه الافـکار الابكار العبد الغافر محمد حسین ابن محمد باقر الرياضى المتخلـص باشراق»، منتخباتی از اشعار شعرای متاخر در زمان قاجاریه از جمله اشعار خود را جمع آوری و تدوین و به محمد علی میرزا ولیعهد هدیه کرده است: حاج ملا هادی سبزواری، میرزا جـعفر اسیر، میرزا صادق آرام یزدی، احمد بیک اختر، میرزا عبدالوهاب افسر یزدی، آتش ،میرزا محمد علی ادیب طهرانی ،آزاد، انیس اصفهانی ،بیدل، اشراق قزوینی، میرزا احمد شیرازی، بهار شیروانی،آقا زین العابدین بیدل ،پرتو، تاراج، بقاء الله محـمد کاظم ،انجم نواب ،بسملی ،بقا ،تمنا ،شرف بافقی ،ثابت، جـلوه یزدی ،حالی، جامد شیرازی ،حجاب، جركس ،حامد، حشمـت همایون میرزا، حکیم، حیران یزدی، خاموش، دانا، خجسته یزدی، خالص یزدی، رئیس اصفهانی، رشحه اصفهانی ،ذبیحی، دانشی ،روشن، رایج، میرزا جعفر ریاض، ایمن کرمانی ،زیور، سودئی رکنی، حسنعلی بیک شرر ،زرگر سالک، سرور، پرتو، حبیب شیرازی، مرحوم قائم مقام، شهلا ،شیخی نوائی، شیدا، صادق شیرازی، صاحب علی آبادی، فتحعلی خان صبا، محمود خان صبا، صحبت لاری، صفی الدین، صفائی، صفى على بيك، ضعیفی، میرزا حسینخان طایر، طراز یزدی، میرزا محمد طـغرا، ظفر هندی، علی آقا، عطارد تبریزی، علی یزدی ،عيش ،غبار، غریبی ،فروغی، عالی، فتح الله خان، فدائی، عبدالغفار قریـب ،فصیح، سید شاهد، محمد سعيد فيرا، آقا سید ابوالقاسم، قضـائی یزدی، آشنا، حسنعلی میرزا شکسته ،کافی، صحبت لاری، کامل ،مایل، مجذوب، مجد الدوله، مجمر، مجنون شاه هندی، مخزن، مخلص ،کافی، صفر الدین ،صفائی، صفر علی بیک، ضعیفی ،مخلص ،مدرس، حبيب ،مسکر، میرزا احمد شفق، ميرزا محـمد ادیب ،منعم، منیر، مجذوب، نائب الصدر ،مجروح ،نثار، مدهوش، محمود خان ملک الشعرا ،مومن ،ناطق، نجار اصفهانی، نشاطی ،نوا، سام میرزا رضوان، نور علی شاه، نیاز، واسق ،وصال، وصاف ،وقار، یغمای جندقی، همای اصفهانی و چند تن دیگر ...و چند تن شاعره از جمله: آمنه ،جمیله، رایحه ،زیبا ،زینب، گلچهره، محبوبه ،محزونه ،مستوره ،والیه ،وجیهه، مرشده ... ؛ خط: شکسته نستعليق، كا: حکیم محمد حسین ریاضی متخلص به اشراق،تا: ۱۳۱۵ق؛ پشت صفحه اول: به خط محمد علی شاه قاجار « هو المالک پنج شنبه ۱۱ شهر محرم الحرام ۱۳۱۵ تخافوى ئيل این کتاب را در طهران حکیم ریاضی بمن تقدیم کرد. محمد على و لیعهد دولت علیه ایران.»، همچنین در ظهر صفحه آخر به خطر محمد  علی میرزا اشعاری یادداشت شده: «مراد از باده گرمـستی است چشم یار هم دارد *** ز گل گر مدعا رنگ است آن رخـسار هم دارد/  نمی دانم چرا گردون نمی گردد بکام من *** اگر جرمم پریشانی است زلف یار هم دارد / نمی جویم پرستاری نمی گویم به غمخواری*** به بیماری خوشم آری دو چشم یار هم دارد... روا باشد انا الحق از درختی *** چرا نبود روا از نیکبختی» ،مجدول، یک سرلوح مذهب مرصع مزدوج؛ كاغذ: ترمه، جلد: تیماج دولائی لاکی رنگ سجاف تیماج سورمه ای ،منگنه ای، اندرون تیماج سورمه ای ،۶۲ ص، ۱۶-۲۴ سطر، قطع: رقعی، اندازه: 13</w:t>
      </w:r>
      <w:r>
        <w:rPr>
          <w:rFonts w:ascii="Times New Roman" w:hAnsi="Times New Roman" w:eastAsia="Times New Roman" w:cs="Times New Roman"/>
          <w:lang w:val="en-US" w:bidi="en-US"/>
          <w:color w:val="111111"/>
          <w:sz w:val="28"/>
          <w:szCs w:val="28"/>
          <w:rtl/>
        </w:rPr>
        <w:t xml:space="preserve">×23/7</w:t>
      </w:r>
      <w:r>
        <w:rPr>
          <w:rFonts w:ascii="IRNazanin" w:hAnsi="IRNazanin" w:eastAsia="IRNazanin" w:cs="IRNazanin"/>
          <w:lang w:bidi="fa-IR"/>
          <w:color w:val="111111"/>
          <w:sz w:val="28"/>
          <w:szCs w:val="28"/>
          <w:rtl/>
        </w:rPr>
        <w:t xml:space="preserve">سم [ف: ۴ - ۱۰۴۴]</w:t>
      </w:r>
    </w:p>
    <w:p>
      <w:pPr>
        <w:pStyle w:val="BookText"/>
      </w:pPr>
      <w:r>
        <w:rPr>
          <w:rFonts w:ascii="IRNazanin" w:hAnsi="IRNazanin" w:eastAsia="IRNazanin" w:cs="IRNazanin"/>
          <w:lang w:bidi="fa-IR"/>
          <w:color w:val="111111"/>
          <w:sz w:val="28"/>
          <w:szCs w:val="28"/>
          <w:rtl/>
        </w:rPr>
        <w:t xml:space="preserve">۱۵۹۳. قم؛ مرکز احیاء؛ شماره نسخه: ۸۱۳</w:t>
      </w:r>
    </w:p>
    <w:p>
      <w:pPr>
        <w:pStyle w:val="BookText"/>
      </w:pPr>
      <w:r>
        <w:rPr>
          <w:rFonts w:ascii="IRNazanin" w:hAnsi="IRNazanin" w:eastAsia="IRNazanin" w:cs="IRNazanin"/>
          <w:lang w:bidi="fa-IR"/>
          <w:color w:val="111111"/>
          <w:sz w:val="28"/>
          <w:szCs w:val="28"/>
          <w:rtl/>
        </w:rPr>
        <w:t xml:space="preserve">اشعاری از: اعجوبه صبیه حکیم ذوقی، امامقلی خان، میرزا محمد خان، صفا ،مولوی، پرتو اصفهانی، ابو علی سینا، اسماعیل، میر عبد الوهاب معمودی، شمس طبسی، امیر خسرو دهلوی، قصیده ای نیز در تهنیت مولود حضرت حجة بن الحسن (علیه السّلام) که به تاریخ شب سوم ربیع الثانی ۱۳۱۶ سروده شده؛ خط: نستعلیق، بی کا، تا: شب چهارشنبه ۹ ذیحجه ۱۳۱۶ق؛ سطور راستا و چلیپا ؛جلد: مقوایی عطف پارچه، ۱۶گ، مختلف السطر،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۳ - ۲۲]</w:t>
      </w:r>
    </w:p>
    <w:p>
      <w:pPr>
        <w:pStyle w:val="BookText"/>
      </w:pPr>
      <w:r>
        <w:rPr>
          <w:rFonts w:ascii="IRNazanin" w:hAnsi="IRNazanin" w:eastAsia="IRNazanin" w:cs="IRNazanin"/>
          <w:lang w:bidi="fa-IR"/>
          <w:color w:val="111111"/>
          <w:sz w:val="28"/>
          <w:szCs w:val="28"/>
          <w:rtl/>
        </w:rPr>
        <w:t xml:space="preserve">۱۵۹۴. تهران؛ دانشگاه؛ شماره نسخه: ۲۲۰۷/۲</w:t>
      </w:r>
    </w:p>
    <w:p>
      <w:pPr>
        <w:pStyle w:val="BookText"/>
      </w:pPr>
      <w:r>
        <w:rPr>
          <w:rFonts w:ascii="IRNazanin" w:hAnsi="IRNazanin" w:eastAsia="IRNazanin" w:cs="IRNazanin"/>
          <w:lang w:bidi="fa-IR"/>
          <w:color w:val="111111"/>
          <w:sz w:val="28"/>
          <w:szCs w:val="28"/>
          <w:rtl/>
        </w:rPr>
        <w:t xml:space="preserve">شعرهای حکیم الهی و میرزا حسین جندقی و نصاب میرزا نظام؛ خط: نستعليق ،كا: شجاع الدین حسینی محلاتی، تا: ربيع الثاني ۱۳۱۶ق؛ کاغذ: فرنگی، جلد: تیماج با روپوش زری، ۵گ (۱۷پ-۱۲پ)، ۱۳ س (7/5</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9- 887]</w:t>
      </w:r>
    </w:p>
    <w:p>
      <w:pPr>
        <w:pStyle w:val="BookText"/>
      </w:pPr>
      <w:r>
        <w:rPr>
          <w:rFonts w:ascii="IRNazanin" w:hAnsi="IRNazanin" w:eastAsia="IRNazanin" w:cs="IRNazanin"/>
          <w:lang w:bidi="fa-IR"/>
          <w:color w:val="111111"/>
          <w:sz w:val="28"/>
          <w:szCs w:val="28"/>
          <w:rtl/>
        </w:rPr>
        <w:t xml:space="preserve">۱۵۹۵ تهران؛ ملی؛ شماره نسخه: ۱۸۶۶۷</w:t>
      </w:r>
    </w:p>
    <w:p>
      <w:pPr>
        <w:pStyle w:val="BookText"/>
      </w:pPr>
      <w:r>
        <w:rPr>
          <w:rFonts w:ascii="IRNazanin" w:hAnsi="IRNazanin" w:eastAsia="IRNazanin" w:cs="IRNazanin"/>
          <w:lang w:bidi="fa-IR"/>
          <w:color w:val="111111"/>
          <w:sz w:val="28"/>
          <w:szCs w:val="28"/>
          <w:rtl/>
        </w:rPr>
        <w:t xml:space="preserve">نسخه ای به شعر؛ بی کا، تا: ۱۳۱۷ق؛ انتقالی از کتابخانه پهلوی - مجموعه نوازی؛ اندازه: ۱۱/۱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۱۷/۶سم [رایانه ]</w:t>
      </w:r>
    </w:p>
    <w:p>
      <w:pPr>
        <w:pStyle w:val="BookText"/>
      </w:pPr>
      <w:r>
        <w:rPr>
          <w:rFonts w:ascii="IRNazanin" w:hAnsi="IRNazanin" w:eastAsia="IRNazanin" w:cs="IRNazanin"/>
          <w:lang w:bidi="fa-IR"/>
          <w:color w:val="111111"/>
          <w:sz w:val="28"/>
          <w:szCs w:val="28"/>
          <w:rtl/>
        </w:rPr>
        <w:t xml:space="preserve">۱۵۹۶. تهران؛ مجلس؛ شماره نسخه: ۱۸۳۸۱</w:t>
      </w:r>
    </w:p>
    <w:p>
      <w:pPr>
        <w:pStyle w:val="BookText"/>
      </w:pPr>
      <w:r>
        <w:rPr>
          <w:rFonts w:ascii="IRNazanin" w:hAnsi="IRNazanin" w:eastAsia="IRNazanin" w:cs="IRNazanin"/>
          <w:lang w:bidi="fa-IR"/>
          <w:color w:val="111111"/>
          <w:sz w:val="28"/>
          <w:szCs w:val="28"/>
          <w:rtl/>
        </w:rPr>
        <w:t xml:space="preserve">خط: نستعلیق خوب، بی کا، تا: ۱۳۱۷ق [د.ث. مجلس ]</w:t>
      </w:r>
    </w:p>
    <w:p>
      <w:pPr>
        <w:pStyle w:val="BookText"/>
      </w:pPr>
      <w:r>
        <w:rPr>
          <w:rFonts w:ascii="IRNazanin" w:hAnsi="IRNazanin" w:eastAsia="IRNazanin" w:cs="IRNazanin"/>
          <w:lang w:bidi="fa-IR"/>
          <w:color w:val="111111"/>
          <w:sz w:val="28"/>
          <w:szCs w:val="28"/>
          <w:rtl/>
        </w:rPr>
        <w:t xml:space="preserve">۱۵۹۷. تهران؛ مفتاح؛ شماره نسخه: ۱۰۸۱</w:t>
      </w:r>
    </w:p>
    <w:p>
      <w:pPr>
        <w:pStyle w:val="BookText"/>
      </w:pPr>
      <w:r>
        <w:rPr>
          <w:rFonts w:ascii="IRNazanin" w:hAnsi="IRNazanin" w:eastAsia="IRNazanin" w:cs="IRNazanin"/>
          <w:lang w:bidi="fa-IR"/>
          <w:color w:val="111111"/>
          <w:sz w:val="28"/>
          <w:szCs w:val="28"/>
          <w:rtl/>
        </w:rPr>
        <w:t xml:space="preserve">آغاز: در گپ عشق هر آن نامه که دلخواه زینتش نام خوش حضرت الله بود؛ انجام: آفرین نیز به رندی که بخواهد گاهی ***آورد یاد از این گفته غم جانکاهی</w:t>
      </w:r>
    </w:p>
    <w:p>
      <w:pPr>
        <w:pStyle w:val="BookText"/>
      </w:pPr>
      <w:r>
        <w:rPr>
          <w:rFonts w:ascii="IRNazanin" w:hAnsi="IRNazanin" w:eastAsia="IRNazanin" w:cs="IRNazanin"/>
          <w:lang w:bidi="fa-IR"/>
          <w:color w:val="111111"/>
          <w:sz w:val="28"/>
          <w:szCs w:val="28"/>
          <w:rtl/>
        </w:rPr>
        <w:t xml:space="preserve">خط: نستعليق، كا: يوسف بن خلیل الله موسوی، تا: رجب۱۳۱۷ق؛ ،مجدول، با سرلوح و حاشیه سازی، پس از این قصیده ای است در ستایش مظفرالدین شاه و موفق الملك؛ جلد: روغنی با گل و بوته مشکی درون سرخ با گل و بوته نقره ای، بغلی [نشریه: ۷ – ۱۵۴]</w:t>
      </w:r>
    </w:p>
    <w:p>
      <w:pPr>
        <w:pStyle w:val="BookText"/>
      </w:pPr>
      <w:r>
        <w:rPr>
          <w:rFonts w:ascii="IRNazanin" w:hAnsi="IRNazanin" w:eastAsia="IRNazanin" w:cs="IRNazanin"/>
          <w:lang w:bidi="fa-IR"/>
          <w:color w:val="111111"/>
          <w:sz w:val="28"/>
          <w:szCs w:val="28"/>
          <w:rtl/>
        </w:rPr>
        <w:t xml:space="preserve">۱۵۹۸ . قم؛ معصومیه؛ شماره نسخه: ۸۷/۳-۶۰۱۵</w:t>
      </w:r>
    </w:p>
    <w:p>
      <w:pPr>
        <w:pStyle w:val="BookText"/>
      </w:pPr>
      <w:r>
        <w:rPr>
          <w:rFonts w:ascii="IRNazanin" w:hAnsi="IRNazanin" w:eastAsia="IRNazanin" w:cs="IRNazanin"/>
          <w:lang w:bidi="fa-IR"/>
          <w:color w:val="111111"/>
          <w:sz w:val="28"/>
          <w:szCs w:val="28"/>
          <w:rtl/>
        </w:rPr>
        <w:t xml:space="preserve">ترجیع است در مرثیه، سپس شعر حاج صفی علی شاه و در پایان شعرهای عطار و خاقانی است ؛خط: نستعليق، كا: حسين على بیکدلی شاملو، تا: ۱۳۱۷ق؛ مجدول؛ کاغذ: فرنگی، جلد: تیماج ،مشکی، ۵۴گ (۱۰۷ ص)، ۱۲ سطر، قطع: ربعی [آستانه :قم - ۱۰۱]</w:t>
      </w:r>
    </w:p>
    <w:p>
      <w:pPr>
        <w:pStyle w:val="BookText"/>
      </w:pPr>
      <w:r>
        <w:rPr>
          <w:rFonts w:ascii="IRNazanin" w:hAnsi="IRNazanin" w:eastAsia="IRNazanin" w:cs="IRNazanin"/>
          <w:lang w:bidi="fa-IR"/>
          <w:color w:val="111111"/>
          <w:sz w:val="28"/>
          <w:szCs w:val="28"/>
          <w:rtl/>
        </w:rPr>
        <w:t xml:space="preserve">۱۵۹۹ . اصفهان؛ دانشگاه؛ شماره نسخه: ۲۷۷</w:t>
      </w:r>
    </w:p>
    <w:p>
      <w:pPr>
        <w:pStyle w:val="BookText"/>
      </w:pPr>
      <w:r>
        <w:rPr>
          <w:rFonts w:ascii="IRNazanin" w:hAnsi="IRNazanin" w:eastAsia="IRNazanin" w:cs="IRNazanin"/>
          <w:lang w:bidi="fa-IR"/>
          <w:color w:val="111111"/>
          <w:sz w:val="28"/>
          <w:szCs w:val="28"/>
          <w:rtl/>
        </w:rPr>
        <w:t xml:space="preserve">اشعاری از: قاآنی، شاه نعمت الله ولی ،عشاق، وحشی، سعدی؛ خط: نستعلیق ،کا: نصر الله، تا: غره رجب ۱۳۱۸ق؛ مجدول؛ جلد:
</w:t>
      </w:r>
    </w:p>
    <w:p>
      <w:pPr>
        <w:sectPr>
          <w:footerReference w:type="default" r:id="rId8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تيماج دورو، رو قهوه ای، اندرون و دور تیماج مشکی، ۴۹گ،11سطر، اندازه: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۱ - ۲۰۶]</w:t>
      </w:r>
    </w:p>
    <w:p>
      <w:pPr>
        <w:pStyle w:val="BookText"/>
      </w:pPr>
      <w:r>
        <w:rPr>
          <w:rFonts w:ascii="IRNazanin" w:hAnsi="IRNazanin" w:eastAsia="IRNazanin" w:cs="IRNazanin"/>
          <w:lang w:bidi="fa-IR"/>
          <w:color w:val="111111"/>
          <w:sz w:val="28"/>
          <w:szCs w:val="28"/>
          <w:rtl/>
        </w:rPr>
        <w:t xml:space="preserve">۱۶۰۰. تهران؛ دانشکده الهیات تهران؛ شماره نسخه: ۳۱۲/۳</w:t>
      </w:r>
    </w:p>
    <w:p>
      <w:pPr>
        <w:pStyle w:val="BookText"/>
      </w:pPr>
      <w:r>
        <w:rPr>
          <w:rFonts w:ascii="IRNazanin" w:hAnsi="IRNazanin" w:eastAsia="IRNazanin" w:cs="IRNazanin"/>
          <w:lang w:bidi="fa-IR"/>
          <w:color w:val="111111"/>
          <w:sz w:val="28"/>
          <w:szCs w:val="28"/>
          <w:rtl/>
        </w:rPr>
        <w:t xml:space="preserve">قصیده در ستایش فیروز میرزا؛ خط: نستعلیق، بی کا، تا: ۱۳۲۰ق؛ کاغذ: فرنگی ،جلد: تیماج سرخ ضربی مقوایی، ۳گ (۲۴۴پ- ۲۴۶ر)، ۱۴ سطر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۲۱۴]</w:t>
      </w:r>
    </w:p>
    <w:p>
      <w:pPr>
        <w:pStyle w:val="BookText"/>
      </w:pPr>
      <w:r>
        <w:rPr>
          <w:rFonts w:ascii="IRNazanin" w:hAnsi="IRNazanin" w:eastAsia="IRNazanin" w:cs="IRNazanin"/>
          <w:lang w:bidi="fa-IR"/>
          <w:color w:val="111111"/>
          <w:sz w:val="28"/>
          <w:szCs w:val="28"/>
          <w:rtl/>
        </w:rPr>
        <w:t xml:space="preserve">۱۶۰۱. تهران؛ ملی؛ شماره نسخه: ۱۸۷۶۸</w:t>
      </w:r>
    </w:p>
    <w:p>
      <w:pPr>
        <w:pStyle w:val="BookText"/>
      </w:pPr>
      <w:r>
        <w:rPr>
          <w:rFonts w:ascii="IRNazanin" w:hAnsi="IRNazanin" w:eastAsia="IRNazanin" w:cs="IRNazanin"/>
          <w:lang w:bidi="fa-IR"/>
          <w:color w:val="111111"/>
          <w:sz w:val="28"/>
          <w:szCs w:val="28"/>
          <w:rtl/>
        </w:rPr>
        <w:t xml:space="preserve">اج؛ کا: حسین صندوقدار، تا: ۱۳۲۰ق؛ انتقالی از کتابخانه پهلوی - مجموعه نوازی،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 رایانه ]</w:t>
      </w:r>
    </w:p>
    <w:p>
      <w:pPr>
        <w:pStyle w:val="BookText"/>
      </w:pPr>
      <w:r>
        <w:rPr>
          <w:rFonts w:ascii="IRNazanin" w:hAnsi="IRNazanin" w:eastAsia="IRNazanin" w:cs="IRNazanin"/>
          <w:lang w:bidi="fa-IR"/>
          <w:color w:val="111111"/>
          <w:sz w:val="28"/>
          <w:szCs w:val="28"/>
          <w:rtl/>
        </w:rPr>
        <w:t xml:space="preserve">۱۶۰۲ . مشهد؛ گوهر شاد؛ شماره نسخه: ۴۵۶/۱</w:t>
      </w:r>
    </w:p>
    <w:p>
      <w:pPr>
        <w:pStyle w:val="BookText"/>
      </w:pPr>
      <w:r>
        <w:rPr>
          <w:rFonts w:ascii="IRNazanin" w:hAnsi="IRNazanin" w:eastAsia="IRNazanin" w:cs="IRNazanin"/>
          <w:lang w:bidi="fa-IR"/>
          <w:color w:val="111111"/>
          <w:sz w:val="28"/>
          <w:szCs w:val="28"/>
          <w:rtl/>
        </w:rPr>
        <w:t xml:space="preserve">گزینه اشعاری از: شمس تبریزی ،هما ،يغما، خطا،راجى، عرفی، شعف ،کفاش، زرگر، نظیری جامی ،محتشم، سرباز، قصاب، فروغی، هاتف، مجمر، ،رفیق ،هلالی ،خسرو ،مظهر ،نیازی، مخـفی ،عاشق، صائب ،مفتون ،مهجور ،زایر ،مونس ،ازل، فریدون، طوطی، پریشان، جیحون، حکیم  قاآنی، مجنون، صفائی ملامحمد سبز علی ،تاراج، میرزا دهقان سامانی ،مخلص ،صبوری، نیاز ،شیدا ،آذر ؛خط: نستعلیق، بی کا ،تا: یکشنبه ۲۷ جمادی الاول ۱۳۲۰ق؛ مهر: حاج سید سعید؛ کاغذ: فرنگی ،جلد: مقوا و عطف پارچه مشکی، ۱۳ سطر (۵/۱۲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اندازه: ۱۸</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۲۲سم [ف: ۲  - 560]</w:t>
      </w:r>
    </w:p>
    <w:p>
      <w:pPr>
        <w:pStyle w:val="BookText"/>
      </w:pPr>
      <w:r>
        <w:rPr>
          <w:rFonts w:ascii="IRNazanin" w:hAnsi="IRNazanin" w:eastAsia="IRNazanin" w:cs="IRNazanin"/>
          <w:lang w:bidi="fa-IR"/>
          <w:color w:val="111111"/>
          <w:sz w:val="28"/>
          <w:szCs w:val="28"/>
          <w:rtl/>
        </w:rPr>
        <w:t xml:space="preserve">۱۶۰۳ . قم ؛گلپایگانی؛ شماره نسخه: ۹۰۱۹-۵۹/۲۳۹</w:t>
      </w:r>
    </w:p>
    <w:p>
      <w:pPr>
        <w:pStyle w:val="BookText"/>
      </w:pPr>
      <w:r>
        <w:rPr>
          <w:rFonts w:ascii="IRNazanin" w:hAnsi="IRNazanin" w:eastAsia="IRNazanin" w:cs="IRNazanin"/>
          <w:lang w:bidi="fa-IR"/>
          <w:color w:val="111111"/>
          <w:sz w:val="28"/>
          <w:szCs w:val="28"/>
          <w:rtl/>
        </w:rPr>
        <w:t xml:space="preserve">آغاز: داشت عبدالله عامر دختری*** وه چه دختر آفتاب انوری *** مراثی امام حسین (علیه السّلام)؛ خط: نستعلیق، بی کا، تا: جمعه ۵ شوال ۱۳۲۱ق؛ در برگ آخر مهر بیضی به تاریخ ۱۳۱۲ آمده؛ ۸۲ گ، قطع: بیاض رقعی، اندازه: ۱۰</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۱۷سم [ف : ۷ - ۴۲۶۰]</w:t>
      </w:r>
    </w:p>
    <w:p>
      <w:pPr>
        <w:pStyle w:val="BookText"/>
      </w:pPr>
      <w:r>
        <w:rPr>
          <w:rFonts w:ascii="IRNazanin" w:hAnsi="IRNazanin" w:eastAsia="IRNazanin" w:cs="IRNazanin"/>
          <w:lang w:bidi="fa-IR"/>
          <w:color w:val="111111"/>
          <w:sz w:val="28"/>
          <w:szCs w:val="28"/>
          <w:rtl/>
        </w:rPr>
        <w:t xml:space="preserve">۱۶۰۴. تهران؛ ملک؛ شماره نسخه: ۵۶۰۶/۹</w:t>
      </w:r>
    </w:p>
    <w:p>
      <w:pPr>
        <w:pStyle w:val="BookText"/>
      </w:pPr>
      <w:r>
        <w:rPr>
          <w:rFonts w:ascii="IRNazanin" w:hAnsi="IRNazanin" w:eastAsia="IRNazanin" w:cs="IRNazanin"/>
          <w:lang w:bidi="fa-IR"/>
          <w:color w:val="111111"/>
          <w:sz w:val="28"/>
          <w:szCs w:val="28"/>
          <w:rtl/>
        </w:rPr>
        <w:t xml:space="preserve">آغاز: حسن را بر عشق مفتون می کند *** حال دلها را دگرگـون کند / عاشقان را دیده جیحون میکند *** تا حدیث راه پر خـون می کند *** قصه های عشق مجنون میکند؛ انجام: گرنه بدنی... اطلاقی که دید *** گر نه بدنی...  آفاقی که دید چون افلاطون و اشراقی که دید *** ... زهری و تریاقی که دید*** همچونی دمساز و مشتاقی که دید</w:t>
      </w:r>
    </w:p>
    <w:p>
      <w:pPr>
        <w:pStyle w:val="BookText"/>
      </w:pPr>
      <w:r>
        <w:rPr>
          <w:rFonts w:ascii="IRNazanin" w:hAnsi="IRNazanin" w:eastAsia="IRNazanin" w:cs="IRNazanin"/>
          <w:lang w:bidi="fa-IR"/>
          <w:color w:val="111111"/>
          <w:sz w:val="28"/>
          <w:szCs w:val="28"/>
          <w:rtl/>
        </w:rPr>
        <w:t xml:space="preserve">سی بند مخمس است؛ خط: نستعليق ،كا: محمود بن محمد علـی، تا: ۱۳۲۱ق؛ کاغذ: فرنگی ،جلد: میشن سیاه ضربی، ۴گ (۱۰۵ پ - ۱۰۹ پ)، ۱۱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۲۲/۵سم [ف: ۸ - ۴۳۶]</w:t>
      </w:r>
    </w:p>
    <w:p>
      <w:pPr>
        <w:pStyle w:val="BookText"/>
      </w:pPr>
      <w:r>
        <w:rPr>
          <w:rFonts w:ascii="IRNazanin" w:hAnsi="IRNazanin" w:eastAsia="IRNazanin" w:cs="IRNazanin"/>
          <w:lang w:bidi="fa-IR"/>
          <w:color w:val="111111"/>
          <w:sz w:val="28"/>
          <w:szCs w:val="28"/>
          <w:rtl/>
        </w:rPr>
        <w:t xml:space="preserve">۱۶۰۵ . مشهد؛ گوهر شاد؛ شماره نسخه: ۱۵۴۴/۴</w:t>
      </w:r>
    </w:p>
    <w:p>
      <w:pPr>
        <w:pStyle w:val="BookText"/>
      </w:pPr>
      <w:r>
        <w:rPr>
          <w:rFonts w:ascii="IRNazanin" w:hAnsi="IRNazanin" w:eastAsia="IRNazanin" w:cs="IRNazanin"/>
          <w:lang w:bidi="fa-IR"/>
          <w:color w:val="111111"/>
          <w:sz w:val="28"/>
          <w:szCs w:val="28"/>
          <w:rtl/>
        </w:rPr>
        <w:t xml:space="preserve">آغاز: لمعات وجهك اشرقت و شعاع طلعتك اعتلا؛ انجام: آرزوی جرعه می جانم سوخت *** از سر تا پا تمام ارکانم سوخـت ... تمت.</w:t>
      </w:r>
    </w:p>
    <w:p>
      <w:pPr>
        <w:pStyle w:val="BookText"/>
      </w:pPr>
      <w:r>
        <w:rPr>
          <w:rFonts w:ascii="IRNazanin" w:hAnsi="IRNazanin" w:eastAsia="IRNazanin" w:cs="IRNazanin"/>
          <w:lang w:bidi="fa-IR"/>
          <w:color w:val="111111"/>
          <w:sz w:val="28"/>
          <w:szCs w:val="28"/>
          <w:rtl/>
        </w:rPr>
        <w:t xml:space="preserve">قطعات و رباعیاتی است از: صحبت لاری، حاجی حسینعلی عرب دیوانه. شیخ عطار طبیب اصفهانی، میر مشتاق ،قصاب، حافظ، رحمت علیشاه ،وفائی؛ خط: نستعلیق، کا: ابوالفتح حسینی،تا: ۱۳۲۱ق؛ كاغذ: فرنگی ،جلد: تیماج قهوه ای، ۱۰ سطر چلیپا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۵/۱۶)،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۴- - ۲۱۰۱]</w:t>
      </w:r>
    </w:p>
    <w:p>
      <w:pPr>
        <w:pStyle w:val="BookText"/>
      </w:pPr>
      <w:r>
        <w:rPr>
          <w:rFonts w:ascii="IRNazanin" w:hAnsi="IRNazanin" w:eastAsia="IRNazanin" w:cs="IRNazanin"/>
          <w:lang w:bidi="fa-IR"/>
          <w:color w:val="111111"/>
          <w:sz w:val="28"/>
          <w:szCs w:val="28"/>
          <w:rtl/>
        </w:rPr>
        <w:t xml:space="preserve">۱۶۰۶ . قم؛ گلپایگانی؛ شماره نسخه: ۳۱۹۴-۱۶/۲۰۴</w:t>
      </w:r>
    </w:p>
    <w:p>
      <w:pPr>
        <w:pStyle w:val="BookText"/>
      </w:pPr>
      <w:r>
        <w:rPr>
          <w:rFonts w:ascii="IRNazanin" w:hAnsi="IRNazanin" w:eastAsia="IRNazanin" w:cs="IRNazanin"/>
          <w:lang w:bidi="fa-IR"/>
          <w:color w:val="111111"/>
          <w:sz w:val="28"/>
          <w:szCs w:val="28"/>
          <w:rtl/>
        </w:rPr>
        <w:t xml:space="preserve">آغاز:مناجات ... فرد ذوالجلال *** قادر وقيوم فرد ذوالجلال /لاشریک له بی شبه ومثال *** كار كن فيكون محول الحال؛ انجام: باز آمدی ز معراج *** با نور حلیه وتاج / عالم به توست محتاج *** صلوات بر محمد</w:t>
      </w:r>
    </w:p>
    <w:p>
      <w:pPr>
        <w:pStyle w:val="BookText"/>
      </w:pPr>
      <w:r>
        <w:rPr>
          <w:rFonts w:ascii="IRNazanin" w:hAnsi="IRNazanin" w:eastAsia="IRNazanin" w:cs="IRNazanin"/>
          <w:lang w:bidi="fa-IR"/>
          <w:color w:val="111111"/>
          <w:sz w:val="28"/>
          <w:szCs w:val="28"/>
          <w:rtl/>
        </w:rPr>
        <w:t xml:space="preserve">جنگی است شامل: صلواتیه منظوم به فارسی، شعری از ملالطف الله به فارسی و منظومه دیگری از وی، منظومه ای در اصول دین از شیخ محمد، منظومه ای در اعتقادات از ملاحامد نقشبندی به فارسی، منظومه در مناجات باری تعالی به فارسی رباعیات ابوسعید ابوالخیر؛ خط: شکسته ،نستعلیق، بی کا، تا: ۱۲۹۸-۱۳۲۱، جلد: تیماج قهوه ای ضربی مجدول گرهی، ۵۶گ، مختلف السطر،اندازه: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۳ - ۱۲۴۰]</w:t>
      </w:r>
    </w:p>
    <w:p>
      <w:pPr>
        <w:pStyle w:val="BookText"/>
      </w:pPr>
      <w:r>
        <w:rPr>
          <w:rFonts w:ascii="IRNazanin" w:hAnsi="IRNazanin" w:eastAsia="IRNazanin" w:cs="IRNazanin"/>
          <w:lang w:bidi="fa-IR"/>
          <w:color w:val="111111"/>
          <w:sz w:val="28"/>
          <w:szCs w:val="28"/>
          <w:rtl/>
        </w:rPr>
        <w:t xml:space="preserve">۱۶۰۷ . مشهد؛ رضوی؛ شماره نسخه: ۲۷۳۱۶</w:t>
      </w:r>
    </w:p>
    <w:p>
      <w:pPr>
        <w:pStyle w:val="BookText"/>
      </w:pPr>
      <w:r>
        <w:rPr>
          <w:rFonts w:ascii="IRNazanin" w:hAnsi="IRNazanin" w:eastAsia="IRNazanin" w:cs="IRNazanin"/>
          <w:lang w:bidi="fa-IR"/>
          <w:color w:val="111111"/>
          <w:sz w:val="28"/>
          <w:szCs w:val="28"/>
          <w:rtl/>
        </w:rPr>
        <w:t xml:space="preserve">آغاز: بوصل یوسف گم گشته چشم ... روشن *** که آمد بر شام پیرکنعان بوی پیراهن؛ انجام: دیده زغم شام سحر را *** تا حشر از این واقعه او هست مکدر</w:t>
      </w:r>
    </w:p>
    <w:p>
      <w:pPr>
        <w:pStyle w:val="BookText"/>
      </w:pPr>
      <w:r>
        <w:rPr>
          <w:rFonts w:ascii="IRNazanin" w:hAnsi="IRNazanin" w:eastAsia="IRNazanin" w:cs="IRNazanin"/>
          <w:lang w:bidi="fa-IR"/>
          <w:color w:val="111111"/>
          <w:sz w:val="28"/>
          <w:szCs w:val="28"/>
          <w:rtl/>
        </w:rPr>
        <w:t xml:space="preserve">گزیده اشعاری است که ظاهراً برای استفاده شخصی در دفتر یادداشت نوشته شده، بسیاری از اشعار از حافظ و سعدی اند و بقیه تک بیت هایی از دیگر شاعران. کاتب به نام همه شاعران اشاره نکرده، جز اینها: قطاری ،فطرت، فنایی، مشرقی، نزاری ،بیانی ،خواجو، عماد فقیه ،وحشی ،ناصری، همایی، رضی الدین، شاهدی، صفی، بنایی ،عطار، نظیری ،آصفی، حیدر، قتالی، طلحه، خیام؛ خط: نستعلیق شکسته، بی کا، تا: ۱۳۲۱ق؛ افتادگی: آغاز و انجام؛ کاغذ: نخودی، جلد: تیماج [رایانه]</w:t>
      </w:r>
    </w:p>
    <w:p>
      <w:pPr>
        <w:pStyle w:val="BookText"/>
      </w:pPr>
      <w:r>
        <w:rPr>
          <w:rFonts w:ascii="IRNazanin" w:hAnsi="IRNazanin" w:eastAsia="IRNazanin" w:cs="IRNazanin"/>
          <w:lang w:bidi="fa-IR"/>
          <w:color w:val="111111"/>
          <w:sz w:val="28"/>
          <w:szCs w:val="28"/>
          <w:rtl/>
        </w:rPr>
        <w:t xml:space="preserve">۱۶۰۸ . مشهد؛ رضوی؛ شماره نسخه: ۲۳۸۷۹</w:t>
      </w:r>
    </w:p>
    <w:p>
      <w:pPr>
        <w:pStyle w:val="BookText"/>
      </w:pPr>
      <w:r>
        <w:rPr>
          <w:rFonts w:ascii="IRNazanin" w:hAnsi="IRNazanin" w:eastAsia="IRNazanin" w:cs="IRNazanin"/>
          <w:lang w:bidi="fa-IR"/>
          <w:color w:val="111111"/>
          <w:sz w:val="28"/>
          <w:szCs w:val="28"/>
          <w:rtl/>
        </w:rPr>
        <w:t xml:space="preserve">آغاز: بسمله، شوری عجب پدید ازین چرخ اخضرست *** نه کاخ هفت مشعله را حال دیگر است؛ انجام: شخص ثوى بسنابادمرموس</w:t>
      </w:r>
    </w:p>
    <w:p>
      <w:pPr>
        <w:pStyle w:val="BookText"/>
      </w:pPr>
      <w:r>
        <w:rPr>
          <w:rFonts w:ascii="IRNazanin" w:hAnsi="IRNazanin" w:eastAsia="IRNazanin" w:cs="IRNazanin"/>
          <w:lang w:bidi="fa-IR"/>
          <w:color w:val="111111"/>
          <w:sz w:val="28"/>
          <w:szCs w:val="28"/>
          <w:rtl/>
        </w:rPr>
        <w:t xml:space="preserve">مجموعه اشعاری است مشتمل بر ترکیب بند و قصیده و مثنوی در سوگ و مراثی اباعبدالله الحسین و یاران با وفایش در روز عاشورا و نیز در مدح امام هشتم و حضرت فاطمه زهراء (علیها السّلام) از یغمای جندقی، میرزا علی اصغر قمری المکلائی، مطهر، سنایی، محمد ... که تضمینی از شعر وصال شیرازی است، ترکیب بندی از شاعری با تخلص «تاراج»، اشعاری از محمد بن ابوالحسن روضه خوان (کاتب نسخه)، ترکیب بندی در ۶۰ بند از میرزا محمد علی خان سروش اصفهانی؛ خط: نستعلیق تحریری، کا: محمد علی بن ابوالحسن روضه خوان اشرفی، تا: ۱۳۱۸ - ۱۳۲۲؛ وقف کتابخانه رضوی توسط آقای الهی خراسانی؛ کاغذ: نخودی روسی، جلد: تیماج، ۱۲۸گ، مختلف السطر، اندازه: ۱۰/۷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۱۷-۱۰۱]</w:t>
      </w:r>
    </w:p>
    <w:p>
      <w:pPr>
        <w:pStyle w:val="BookText"/>
      </w:pPr>
      <w:r>
        <w:rPr>
          <w:rFonts w:ascii="IRNazanin" w:hAnsi="IRNazanin" w:eastAsia="IRNazanin" w:cs="IRNazanin"/>
          <w:lang w:bidi="fa-IR"/>
          <w:color w:val="111111"/>
          <w:sz w:val="28"/>
          <w:szCs w:val="28"/>
          <w:rtl/>
        </w:rPr>
        <w:t xml:space="preserve">۱۶۰۹. مشهد؛ رضوی؛ شماره نسخه: ۱۶۲۶۹</w:t>
      </w:r>
    </w:p>
    <w:p>
      <w:pPr>
        <w:pStyle w:val="BookText"/>
      </w:pPr>
      <w:r>
        <w:rPr>
          <w:rFonts w:ascii="IRNazanin" w:hAnsi="IRNazanin" w:eastAsia="IRNazanin" w:cs="IRNazanin"/>
          <w:lang w:bidi="fa-IR"/>
          <w:color w:val="111111"/>
          <w:sz w:val="28"/>
          <w:szCs w:val="28"/>
          <w:rtl/>
        </w:rPr>
        <w:t xml:space="preserve">آغاز: بسمله، شاهی که پناه ملک و دین است*** درخور، دهزار آفرین است؛ انجام: سلطان زمان مظفرالدین *** شد معتصم و بعز و تمكين
</w:t>
      </w:r>
    </w:p>
    <w:p>
      <w:pPr>
        <w:sectPr>
          <w:footerReference w:type="default" r:id="rId8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ترکیب بندی است در ۵ بند، از شاعری ناشناخته، در مدح مظفرالدین شاه قاجار؛ خط: نستعلیق، کا: ناصرالدین میرزا، تا:4 محرم ۱۳۲۲ق؛ دارای سرلوح منقش با اکلیل و الوان مجدول؛ واگذاری بنیاد مستضعفان در شهریور ۱۳۶۷؛ کاغذ: حنایی، جـلد: مخمل قرمز ضربی، ۷گ، ۷ سطر، اندازه: ۱۳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۲۱/۳سم [ف : ۱۷ -  74]</w:t>
      </w:r>
    </w:p>
    <w:p>
      <w:pPr>
        <w:pStyle w:val="BookText"/>
      </w:pPr>
      <w:r>
        <w:rPr>
          <w:rFonts w:ascii="IRNazanin" w:hAnsi="IRNazanin" w:eastAsia="IRNazanin" w:cs="IRNazanin"/>
          <w:lang w:bidi="fa-IR"/>
          <w:color w:val="111111"/>
          <w:sz w:val="28"/>
          <w:szCs w:val="28"/>
          <w:rtl/>
        </w:rPr>
        <w:t xml:space="preserve">۱۶۱۰ . یزد؛ جامع کبیر؛ شماره نسخه: ۵۹</w:t>
      </w:r>
    </w:p>
    <w:p>
      <w:pPr>
        <w:pStyle w:val="BookText"/>
      </w:pPr>
      <w:r>
        <w:rPr>
          <w:rFonts w:ascii="IRNazanin" w:hAnsi="IRNazanin" w:eastAsia="IRNazanin" w:cs="IRNazanin"/>
          <w:lang w:bidi="fa-IR"/>
          <w:color w:val="111111"/>
          <w:sz w:val="28"/>
          <w:szCs w:val="28"/>
          <w:rtl/>
        </w:rPr>
        <w:t xml:space="preserve">خط: نستعلیق، کا: عباس جراح باشی، تا: ۱۳۲۲ق؛ قطع: خشتی[ نشریه: ۴ - ۳۸۳]</w:t>
      </w:r>
    </w:p>
    <w:p>
      <w:pPr>
        <w:pStyle w:val="BookText"/>
      </w:pPr>
      <w:r>
        <w:rPr>
          <w:rFonts w:ascii="IRNazanin" w:hAnsi="IRNazanin" w:eastAsia="IRNazanin" w:cs="IRNazanin"/>
          <w:lang w:bidi="fa-IR"/>
          <w:color w:val="111111"/>
          <w:sz w:val="28"/>
          <w:szCs w:val="28"/>
          <w:rtl/>
        </w:rPr>
        <w:t xml:space="preserve">۱۶۱۱. تهران؛ ادبیات؛ شماره نسخه: ۲۹۵ حکمت</w:t>
      </w:r>
    </w:p>
    <w:p>
      <w:pPr>
        <w:pStyle w:val="BookText"/>
      </w:pPr>
      <w:r>
        <w:rPr>
          <w:rFonts w:ascii="IRNazanin" w:hAnsi="IRNazanin" w:eastAsia="IRNazanin" w:cs="IRNazanin"/>
          <w:lang w:bidi="fa-IR"/>
          <w:color w:val="111111"/>
          <w:sz w:val="28"/>
          <w:szCs w:val="28"/>
          <w:rtl/>
        </w:rPr>
        <w:t xml:space="preserve">غزل های زرگر اصفهانی، و حجاب شیرازی و مضطرب و رسـاله شعشعه محمد حسین شعاع شیرازی؛ خط: نستعليق، كا: محـمد حسین شعاع شیرازی؛ تا: شعبان ۱۳۲۲ق؛ جلد: تيماج مشـکی یک لا، قطع: خشتی [ف: ۲ - ۱۲]</w:t>
      </w:r>
    </w:p>
    <w:p>
      <w:pPr>
        <w:pStyle w:val="BookText"/>
      </w:pPr>
      <w:r>
        <w:rPr>
          <w:rFonts w:ascii="IRNazanin" w:hAnsi="IRNazanin" w:eastAsia="IRNazanin" w:cs="IRNazanin"/>
          <w:lang w:bidi="fa-IR"/>
          <w:color w:val="111111"/>
          <w:sz w:val="28"/>
          <w:szCs w:val="28"/>
          <w:rtl/>
        </w:rPr>
        <w:t xml:space="preserve">۱۶۱۲. تهران؛ دانشگاه؛ شماره نسخه: ۵۹۸۶</w:t>
      </w:r>
    </w:p>
    <w:p>
      <w:pPr>
        <w:pStyle w:val="BookText"/>
      </w:pPr>
      <w:r>
        <w:rPr>
          <w:rFonts w:ascii="IRNazanin" w:hAnsi="IRNazanin" w:eastAsia="IRNazanin" w:cs="IRNazanin"/>
          <w:lang w:bidi="fa-IR"/>
          <w:color w:val="111111"/>
          <w:sz w:val="28"/>
          <w:szCs w:val="28"/>
          <w:rtl/>
        </w:rPr>
        <w:t xml:space="preserve">مرثیه های میرزا وقار و میرزای داوری و میرزا فرهنگ و میرزای وصال؛ کا: میرزا ابراهیم یزدانی، تا: ۵ صفر ۱۳۲۲ق؛ کاغذ: فرنگی، جلد: مقوا، عطف تیماج سرخ، ۳۲، ۲۳ سطر (7</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 قطع: ربعی،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۲۳سم [ف: ۱۶ - ۱۷۴]</w:t>
      </w:r>
    </w:p>
    <w:p>
      <w:pPr>
        <w:pStyle w:val="BookText"/>
      </w:pPr>
      <w:r>
        <w:rPr>
          <w:rFonts w:ascii="IRNazanin" w:hAnsi="IRNazanin" w:eastAsia="IRNazanin" w:cs="IRNazanin"/>
          <w:lang w:bidi="fa-IR"/>
          <w:color w:val="111111"/>
          <w:sz w:val="28"/>
          <w:szCs w:val="28"/>
          <w:rtl/>
        </w:rPr>
        <w:t xml:space="preserve">۱۶۱۳. تهران؛ نوربخش؛ شماره نسخه: ۶۶۴</w:t>
      </w:r>
    </w:p>
    <w:p>
      <w:pPr>
        <w:pStyle w:val="BookText"/>
      </w:pPr>
      <w:r>
        <w:rPr>
          <w:rFonts w:ascii="IRNazanin" w:hAnsi="IRNazanin" w:eastAsia="IRNazanin" w:cs="IRNazanin"/>
          <w:lang w:bidi="fa-IR"/>
          <w:color w:val="111111"/>
          <w:sz w:val="28"/>
          <w:szCs w:val="28"/>
          <w:rtl/>
        </w:rPr>
        <w:t xml:space="preserve">شامل مثنویاتی (با وزن های مختلف) از دهقان ،الفت، ملاحـسن حافی و یکی از مثنویات او بدون نقطه است؛ خط: نستعلیق،کا: حسین موسوی، تا: ۱۳۲۳ق؛ کاتب در پایان آورده: «به جهـت سلامتی وجود مبارک عارف ربانی ... آقای حاج میرزا نصیر تحریر گردید»؛ کاغذ: فرنگی شکری آهار مهره ،جلد: مخـمل بنفش، ۱۰ سطر، قطع: رقعی، اندازه: ۱۱</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۱۷سم [ نشریه: ۱۳ - ۵۳ ]</w:t>
      </w:r>
    </w:p>
    <w:p>
      <w:pPr>
        <w:pStyle w:val="BookText"/>
      </w:pPr>
      <w:r>
        <w:rPr>
          <w:rFonts w:ascii="IRNazanin" w:hAnsi="IRNazanin" w:eastAsia="IRNazanin" w:cs="IRNazanin"/>
          <w:lang w:bidi="fa-IR"/>
          <w:color w:val="111111"/>
          <w:sz w:val="28"/>
          <w:szCs w:val="28"/>
          <w:rtl/>
        </w:rPr>
        <w:t xml:space="preserve">۱۶۱۴. قم؛ مرعشی؛ شماره نسخه: ۱۱۳۱۶/۲</w:t>
      </w:r>
    </w:p>
    <w:p>
      <w:pPr>
        <w:pStyle w:val="BookText"/>
      </w:pPr>
      <w:r>
        <w:rPr>
          <w:rFonts w:ascii="IRNazanin" w:hAnsi="IRNazanin" w:eastAsia="IRNazanin" w:cs="IRNazanin"/>
          <w:lang w:bidi="fa-IR"/>
          <w:color w:val="111111"/>
          <w:sz w:val="28"/>
          <w:szCs w:val="28"/>
          <w:rtl/>
        </w:rPr>
        <w:t xml:space="preserve">آغاز: آمد چو هما بری ز شیراز *** شد حجره میر محدم  راز؛</w:t>
      </w:r>
    </w:p>
    <w:p>
      <w:pPr>
        <w:pStyle w:val="BookText"/>
      </w:pPr>
      <w:r>
        <w:rPr>
          <w:rFonts w:ascii="IRNazanin" w:hAnsi="IRNazanin" w:eastAsia="IRNazanin" w:cs="IRNazanin"/>
          <w:lang w:bidi="fa-IR"/>
          <w:color w:val="111111"/>
          <w:sz w:val="28"/>
          <w:szCs w:val="28"/>
          <w:rtl/>
        </w:rPr>
        <w:t xml:space="preserve">انجام: اول پدر هما بسوزد *** بعدش پدر شما بسوزد</w:t>
      </w:r>
    </w:p>
    <w:p>
      <w:pPr>
        <w:pStyle w:val="BookText"/>
      </w:pPr>
      <w:r>
        <w:rPr>
          <w:rFonts w:ascii="IRNazanin" w:hAnsi="IRNazanin" w:eastAsia="IRNazanin" w:cs="IRNazanin"/>
          <w:lang w:bidi="fa-IR"/>
          <w:color w:val="111111"/>
          <w:sz w:val="28"/>
          <w:szCs w:val="28"/>
          <w:rtl/>
        </w:rPr>
        <w:t xml:space="preserve">اشعار فکاهی با قافیه های «زاء» «میم» و «یاء» بوده و دارای یـک ترجیع بند که گویا در هجو همای شیرازی است؛ خط: نستعلیق،بی کا، تا: ۲۲ جمادى الاول ۱۳۲۳ق؛ کاغذ: فرنگی ،جلد: تیماج قهوه ای ضربی با ترنج و سر ترنج عطف و مغزی تیماج سوخـته، ۲۲گ، ۲۲ تا ۴۳، ۲۱ سطر ،(۶/۵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۲۲/۵سم [ف: 28- 496]</w:t>
      </w:r>
    </w:p>
    <w:p>
      <w:pPr>
        <w:pStyle w:val="BookText"/>
      </w:pPr>
      <w:r>
        <w:rPr>
          <w:rFonts w:ascii="IRNazanin" w:hAnsi="IRNazanin" w:eastAsia="IRNazanin" w:cs="IRNazanin"/>
          <w:lang w:bidi="fa-IR"/>
          <w:color w:val="111111"/>
          <w:sz w:val="28"/>
          <w:szCs w:val="28"/>
          <w:rtl/>
        </w:rPr>
        <w:t xml:space="preserve">۱۶۱۵. تهران؛ مجلس؛ شماره نسخه: ۱۳۲۹</w:t>
      </w:r>
    </w:p>
    <w:p>
      <w:pPr>
        <w:pStyle w:val="BookText"/>
      </w:pPr>
      <w:r>
        <w:rPr>
          <w:rFonts w:ascii="IRNazanin" w:hAnsi="IRNazanin" w:eastAsia="IRNazanin" w:cs="IRNazanin"/>
          <w:lang w:bidi="fa-IR"/>
          <w:color w:val="111111"/>
          <w:sz w:val="28"/>
          <w:szCs w:val="28"/>
          <w:rtl/>
        </w:rPr>
        <w:t xml:space="preserve">آغاز: سروش غیب بگوشم سرود این گفتار *** گرفت شاه مظفر بدار خلد قرار / بیست رخت ازین عاریت سرا شاهی *** که از غمش دل خلقی فسرده گشت و فکار؛ انجام: از فرط اقبال و بحث بحكم روز است *** سمی خاتم گرفت خاتم شاهی بدست</w:t>
      </w:r>
    </w:p>
    <w:p>
      <w:pPr>
        <w:pStyle w:val="BookText"/>
      </w:pPr>
      <w:r>
        <w:rPr>
          <w:rFonts w:ascii="IRNazanin" w:hAnsi="IRNazanin" w:eastAsia="IRNazanin" w:cs="IRNazanin"/>
          <w:lang w:bidi="fa-IR"/>
          <w:color w:val="111111"/>
          <w:sz w:val="28"/>
          <w:szCs w:val="28"/>
          <w:rtl/>
        </w:rPr>
        <w:t xml:space="preserve">قصیده در مدح مظفرالدین شاه، از شمس در ۱۶بیت؛ خط: نستعلیق، بی کا، تا: ۱۳۲۴ق؛ مجدول، با کمند و شنگرف؛ کاغذ: سفید، جلد: مخمل مشکی و مقوایی، ۴گ، ۸ سطر (۱۰</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[سنا: ف: ۲- ۲۲۴]</w:t>
      </w:r>
    </w:p>
    <w:p>
      <w:pPr>
        <w:pStyle w:val="BookText"/>
      </w:pPr>
      <w:r>
        <w:rPr>
          <w:rFonts w:ascii="IRNazanin" w:hAnsi="IRNazanin" w:eastAsia="IRNazanin" w:cs="IRNazanin"/>
          <w:lang w:bidi="fa-IR"/>
          <w:color w:val="111111"/>
          <w:sz w:val="28"/>
          <w:szCs w:val="28"/>
          <w:rtl/>
        </w:rPr>
        <w:t xml:space="preserve">۱۶۱۶. رشت؛ جمعیت نشر فرهنگ؛ شماره :نسخه ۸م</w:t>
      </w:r>
    </w:p>
    <w:p>
      <w:pPr>
        <w:pStyle w:val="BookText"/>
      </w:pPr>
      <w:r>
        <w:rPr>
          <w:rFonts w:ascii="IRNazanin" w:hAnsi="IRNazanin" w:eastAsia="IRNazanin" w:cs="IRNazanin"/>
          <w:lang w:bidi="fa-IR"/>
          <w:color w:val="111111"/>
          <w:sz w:val="28"/>
          <w:szCs w:val="28"/>
          <w:rtl/>
        </w:rPr>
        <w:t xml:space="preserve">آغاز: بسمله ... بحمد الله قائما بالذات *** مالک الملک محیی الاموات / مثبت الحق ما حى الباطل *** مهبط الوحى جامع الاشتات / منزل الانبياء و السفراء / منزل البينات و الایات؛ انجام: گنه جمله را به لطف بپوش*** حاجت جمله را به فضل برار / انك انت ربنا الوهاب *** العزيز المهيمن التواب</w:t>
      </w:r>
    </w:p>
    <w:p>
      <w:pPr>
        <w:pStyle w:val="BookText"/>
      </w:pPr>
      <w:r>
        <w:rPr>
          <w:rFonts w:ascii="IRNazanin" w:hAnsi="IRNazanin" w:eastAsia="IRNazanin" w:cs="IRNazanin"/>
          <w:lang w:bidi="fa-IR"/>
          <w:color w:val="111111"/>
          <w:sz w:val="28"/>
          <w:szCs w:val="28"/>
          <w:rtl/>
        </w:rPr>
        <w:t xml:space="preserve">ترکیب بند است؛ خط: نسخ خوش، کا: میرزا آقای نیریزی «مهاجر ارض»، تا: ۱۳۲۵ق؛ ۱۵۱ص، قطع: نیم خشتی باریک [ رشت و همدان: ف: - ۱۱۰۲]</w:t>
      </w:r>
    </w:p>
    <w:p>
      <w:pPr>
        <w:pStyle w:val="BookText"/>
      </w:pPr>
      <w:r>
        <w:rPr>
          <w:rFonts w:ascii="IRNazanin" w:hAnsi="IRNazanin" w:eastAsia="IRNazanin" w:cs="IRNazanin"/>
          <w:lang w:bidi="fa-IR"/>
          <w:color w:val="111111"/>
          <w:sz w:val="28"/>
          <w:szCs w:val="28"/>
          <w:rtl/>
        </w:rPr>
        <w:t xml:space="preserve">۱۶۱۷. تهران؛ مفتاح؛ شماره نسخه: ۱۲۲۸/۳</w:t>
      </w:r>
    </w:p>
    <w:p>
      <w:pPr>
        <w:pStyle w:val="BookText"/>
      </w:pPr>
      <w:r>
        <w:rPr>
          <w:rFonts w:ascii="IRNazanin" w:hAnsi="IRNazanin" w:eastAsia="IRNazanin" w:cs="IRNazanin"/>
          <w:lang w:bidi="fa-IR"/>
          <w:color w:val="111111"/>
          <w:sz w:val="28"/>
          <w:szCs w:val="28"/>
          <w:rtl/>
        </w:rPr>
        <w:t xml:space="preserve">در چند صفحه؛ خط: نستعلیق، بی کا، تا: ۱۳۲۵ق؛ قطع: بغلی [ نشریه: ۷ - ۲۷۱]</w:t>
      </w:r>
    </w:p>
    <w:p>
      <w:pPr>
        <w:pStyle w:val="BookText"/>
      </w:pPr>
      <w:r>
        <w:rPr>
          <w:rFonts w:ascii="IRNazanin" w:hAnsi="IRNazanin" w:eastAsia="IRNazanin" w:cs="IRNazanin"/>
          <w:lang w:bidi="fa-IR"/>
          <w:color w:val="111111"/>
          <w:sz w:val="28"/>
          <w:szCs w:val="28"/>
          <w:rtl/>
        </w:rPr>
        <w:t xml:space="preserve">۱۶۱۸. تهران؛ دانشگاه؛ شماره نسخه: ۸۸۳۴/۱</w:t>
      </w:r>
    </w:p>
    <w:p>
      <w:pPr>
        <w:pStyle w:val="BookText"/>
      </w:pPr>
      <w:r>
        <w:rPr>
          <w:rFonts w:ascii="IRNazanin" w:hAnsi="IRNazanin" w:eastAsia="IRNazanin" w:cs="IRNazanin"/>
          <w:lang w:bidi="fa-IR"/>
          <w:color w:val="111111"/>
          <w:sz w:val="28"/>
          <w:szCs w:val="28"/>
          <w:rtl/>
        </w:rPr>
        <w:t xml:space="preserve">جنگ شعر فارسی سعدی و جمال الدین و حافظ و عاشق و فروغی و غبار و جامی و وحشی و محتشم؛ خط: نستعلیق ریز، بی کا، تا: شنبه ۱۲ ربیع الثانی ۱۳۲۵ق؛ کاغذ: فرنگی، جلد: مقوا، ۲۵گ،( ۱ پ - ۲۵ ر)، ۱۳ سطر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قطع: بیاضی ربعی [ف: ۱۷ - ۲۳۲]</w:t>
      </w:r>
    </w:p>
    <w:p>
      <w:pPr>
        <w:pStyle w:val="BookText"/>
      </w:pPr>
      <w:r>
        <w:rPr>
          <w:rFonts w:ascii="IRNazanin" w:hAnsi="IRNazanin" w:eastAsia="IRNazanin" w:cs="IRNazanin"/>
          <w:lang w:bidi="fa-IR"/>
          <w:color w:val="111111"/>
          <w:sz w:val="28"/>
          <w:szCs w:val="28"/>
          <w:rtl/>
        </w:rPr>
        <w:t xml:space="preserve">۱۶۱۹. قم؛ گلپایگانی؛ شماره نسخه: ۱۸۶۴-۱۰/۱۷۴</w:t>
      </w:r>
    </w:p>
    <w:p>
      <w:pPr>
        <w:pStyle w:val="BookText"/>
      </w:pPr>
      <w:r>
        <w:rPr>
          <w:rFonts w:ascii="IRNazanin" w:hAnsi="IRNazanin" w:eastAsia="IRNazanin" w:cs="IRNazanin"/>
          <w:lang w:bidi="fa-IR"/>
          <w:color w:val="111111"/>
          <w:sz w:val="28"/>
          <w:szCs w:val="28"/>
          <w:rtl/>
        </w:rPr>
        <w:t xml:space="preserve">آغاز: بفرموده سلطان اسلامیان *** امیر عدو بند گیتی ستان /که چادر زهوشنگ بر پا کنند*** همان دشت را طور سینا کنند؛ انجام: ملک را زعیب نخجیر برخواست *** زطالع تهمت تقصير برداشت / بفالی چون رخ شیرین همایون *** شهنشه سوی صحرا رفت بیرون</w:t>
      </w:r>
    </w:p>
    <w:p>
      <w:pPr>
        <w:pStyle w:val="BookText"/>
      </w:pPr>
      <w:r>
        <w:rPr>
          <w:rFonts w:ascii="IRNazanin" w:hAnsi="IRNazanin" w:eastAsia="IRNazanin" w:cs="IRNazanin"/>
          <w:lang w:bidi="fa-IR"/>
          <w:color w:val="111111"/>
          <w:sz w:val="28"/>
          <w:szCs w:val="28"/>
          <w:rtl/>
        </w:rPr>
        <w:t xml:space="preserve">منتخبی است از اشعار شعرای فارسی زبان شامل غزل، مخمسات، مثنوی و رباعی، برخی از اشعار در موضوعات خاصی جمع آوری شده مثلاً اشعاری درباره اسب ،غزال ،بیابان، بادگاه، شب، صبح، کمند، مرکب، کوه ،تیغ ،صورت ،شراب، خلعت، اشعاری از عراقی ،حافظ، ملا صادق و ...؛ خط: نستعلیق، بی کا، تا: ۱۴ صفر ۱۳۲۶ق؛ جلد: تیماج سرخ ۱۰۷گ، مختلف السطر، اندازه: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۳ - ۱۲۲۸]</w:t>
      </w:r>
    </w:p>
    <w:p>
      <w:pPr>
        <w:pStyle w:val="BookText"/>
      </w:pPr>
      <w:r>
        <w:rPr>
          <w:rFonts w:ascii="IRNazanin" w:hAnsi="IRNazanin" w:eastAsia="IRNazanin" w:cs="IRNazanin"/>
          <w:lang w:bidi="fa-IR"/>
          <w:color w:val="111111"/>
          <w:sz w:val="28"/>
          <w:szCs w:val="28"/>
          <w:rtl/>
        </w:rPr>
        <w:t xml:space="preserve">۱۶۲۰ . قم؛ مرعشی؛ شماره نسخه: ۱۲۷۵۲/۸</w:t>
      </w:r>
    </w:p>
    <w:p>
      <w:pPr>
        <w:pStyle w:val="BookText"/>
      </w:pPr>
      <w:r>
        <w:rPr>
          <w:rFonts w:ascii="IRNazanin" w:hAnsi="IRNazanin" w:eastAsia="IRNazanin" w:cs="IRNazanin"/>
          <w:lang w:bidi="fa-IR"/>
          <w:color w:val="111111"/>
          <w:sz w:val="28"/>
          <w:szCs w:val="28"/>
          <w:rtl/>
        </w:rPr>
        <w:t xml:space="preserve">آغاز: مداد عالم افضل بود ز خون شهید *** درست گفته پیغمبر است بی تردید؛ انجام: اثر گذارد در روزگار اینسان آنک *** ز دل بر آرد از و بحق شود تسلیم.</w:t>
      </w:r>
    </w:p>
    <w:p>
      <w:pPr>
        <w:pStyle w:val="BookText"/>
      </w:pPr>
      <w:r>
        <w:rPr>
          <w:rFonts w:ascii="IRNazanin" w:hAnsi="IRNazanin" w:eastAsia="IRNazanin" w:cs="IRNazanin"/>
          <w:lang w:bidi="fa-IR"/>
          <w:color w:val="111111"/>
          <w:sz w:val="28"/>
          <w:szCs w:val="28"/>
          <w:rtl/>
        </w:rPr>
        <w:t xml:space="preserve">دو قصیده کوتاه است جمعاً در ۱۸ بیت در مدح شهید ثانی و تقریظ بر کتاب های او در نیمه ربیع الثانی سال ۱۳۲۷ق سروده  شده؛ خط: نسخ و نستعلیق زیبا، کا: مجدالدین، تا: نیمه ربیع الثانى ۱۳۲۷ق؛ کاغذ: شرقی، جلد: تیماج زرشکی،عطف و لبه ها تیماج يشمى ،مجدول، ۲گ (۱۳۸-۱۳۹)، ۱۰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۳۲ - ۴۱۳]</w:t>
      </w:r>
    </w:p>
    <w:p>
      <w:pPr>
        <w:pStyle w:val="BookText"/>
      </w:pPr>
      <w:r>
        <w:rPr>
          <w:rFonts w:ascii="IRNazanin" w:hAnsi="IRNazanin" w:eastAsia="IRNazanin" w:cs="IRNazanin"/>
          <w:lang w:bidi="fa-IR"/>
          <w:color w:val="111111"/>
          <w:sz w:val="28"/>
          <w:szCs w:val="28"/>
          <w:rtl/>
        </w:rPr>
        <w:t xml:space="preserve">۱۶۲۱ . قم؛ مسجد اعظم؛ شماره نسخه: ۲۰۷۷</w:t>
      </w:r>
    </w:p>
    <w:p>
      <w:pPr>
        <w:pStyle w:val="BookText"/>
      </w:pPr>
      <w:r>
        <w:rPr>
          <w:rFonts w:ascii="IRNazanin" w:hAnsi="IRNazanin" w:eastAsia="IRNazanin" w:cs="IRNazanin"/>
          <w:lang w:bidi="fa-IR"/>
          <w:color w:val="111111"/>
          <w:sz w:val="28"/>
          <w:szCs w:val="28"/>
          <w:rtl/>
        </w:rPr>
        <w:t xml:space="preserve">آغاز: فرمود دی اتابک اعظم زتلگراف *** برهان ترا رهاند شه از ظلم و اعتساف ؛انجام: کی گذارد آن پسر با او که [...] کنم***
</w:t>
      </w:r>
    </w:p>
    <w:p>
      <w:pPr>
        <w:sectPr>
          <w:footerReference w:type="default" r:id="rId8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دق دلهایی که دارم در دلش خالی کنم.</w:t>
      </w:r>
    </w:p>
    <w:p>
      <w:pPr>
        <w:pStyle w:val="BookText"/>
      </w:pPr>
      <w:r>
        <w:rPr>
          <w:rFonts w:ascii="IRNazanin" w:hAnsi="IRNazanin" w:eastAsia="IRNazanin" w:cs="IRNazanin"/>
          <w:lang w:bidi="fa-IR"/>
          <w:color w:val="111111"/>
          <w:sz w:val="28"/>
          <w:szCs w:val="28"/>
          <w:rtl/>
        </w:rPr>
        <w:t xml:space="preserve">جنگ اشعار مختلف و پراکنده برخی سرایندگان است که به طور نامنظم جمع آوری شده است و تعدادی از آنها به خط خود شـاعر آمده است. شعرا عبارت است از: رشید خان شعبده باز، اتابـک اعظم، برهان السلطنه ابراهیم میرزا، میرزا حسن کاشی، محـمد علیخان (وفا) تحویلدار پستخانه مبارکه، میرزا حسین خان پیشخدمت ملقب به حضوری، احمد خان، مخفی (دختر اورنک زیب)، میرزا بزرگخان مقبل ،کامکار، صفایی نراقی، میرزا مهدی اصفهانی، سید مهدی قائم مقامی، ابوالفضل زنجانی گروی، ابوالفضل (جامع جنگ)، عطارد قائم مقامی، نعمت شاهزاده ابراهیم میرزا، مهری شقاقی، رکن الملك، نظام العلماء تبریزی، فرصت شیرازی، میرزا ابراهیم مشتری خراسانی، میرزا صبوری خراسانی، هبة الله مجتهد خلخالی، علی محمد خان نظام الدین اصفهانی؛ خط: نستعلیق، کا: شاهزاده ابوالفضل، تا: 1319- 1327 ق، جا: طهران؛ جلد: تیماج قهوه ای مجدول اسلیمی،115گ، مختلف السطر ،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مخ: ۲ - ۵۹۷]</w:t>
      </w:r>
    </w:p>
    <w:p>
      <w:pPr>
        <w:pStyle w:val="BookText"/>
      </w:pPr>
      <w:r>
        <w:rPr>
          <w:rFonts w:ascii="IRNazanin" w:hAnsi="IRNazanin" w:eastAsia="IRNazanin" w:cs="IRNazanin"/>
          <w:lang w:bidi="fa-IR"/>
          <w:color w:val="111111"/>
          <w:sz w:val="28"/>
          <w:szCs w:val="28"/>
          <w:rtl/>
        </w:rPr>
        <w:t xml:space="preserve">۱۶۲۲. تهران؛ ملی؛ شماره نسخه: ۱۷۱۳۸</w:t>
      </w:r>
    </w:p>
    <w:p>
      <w:pPr>
        <w:pStyle w:val="BookText"/>
      </w:pPr>
      <w:r>
        <w:rPr>
          <w:rFonts w:ascii="IRNazanin" w:hAnsi="IRNazanin" w:eastAsia="IRNazanin" w:cs="IRNazanin"/>
          <w:lang w:bidi="fa-IR"/>
          <w:color w:val="111111"/>
          <w:sz w:val="28"/>
          <w:szCs w:val="28"/>
          <w:rtl/>
        </w:rPr>
        <w:t xml:space="preserve">فقیر خاموش؛ کا: ابن محمد کریم، تا: ۱۳۲۸ق، خریداری از امرالله صفری در تاریخ ۲۹/۱۱/۸۴؛ اندازه: ۱۰/۹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۱۷/۹سم [ رایانه]</w:t>
      </w:r>
    </w:p>
    <w:p>
      <w:pPr>
        <w:pStyle w:val="BookText"/>
      </w:pPr>
      <w:r>
        <w:rPr>
          <w:rFonts w:ascii="IRNazanin" w:hAnsi="IRNazanin" w:eastAsia="IRNazanin" w:cs="IRNazanin"/>
          <w:lang w:bidi="fa-IR"/>
          <w:color w:val="111111"/>
          <w:sz w:val="28"/>
          <w:szCs w:val="28"/>
          <w:rtl/>
        </w:rPr>
        <w:t xml:space="preserve">۱۶۲۳. تهران؛ ملی؛ شماره نسخه: ۱۶۹۷۸</w:t>
      </w:r>
    </w:p>
    <w:p>
      <w:pPr>
        <w:pStyle w:val="BookText"/>
      </w:pPr>
      <w:r>
        <w:rPr>
          <w:rFonts w:ascii="IRNazanin" w:hAnsi="IRNazanin" w:eastAsia="IRNazanin" w:cs="IRNazanin"/>
          <w:lang w:bidi="fa-IR"/>
          <w:color w:val="111111"/>
          <w:sz w:val="28"/>
          <w:szCs w:val="28"/>
          <w:rtl/>
        </w:rPr>
        <w:t xml:space="preserve">مثنوی به تقلید مخزن الاسرار نظامی؛ کا: سید محمد جلال الدین، تا: ۱۳۲۹ق؛ انتقالی از کتابخانه پهلوی - مجموعه نوازی؛ ۹۲گ،اندازه:۱۳/۲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۲۰/۸سم [رایانه ]</w:t>
      </w:r>
    </w:p>
    <w:p>
      <w:pPr>
        <w:pStyle w:val="BookText"/>
      </w:pPr>
      <w:r>
        <w:rPr>
          <w:rFonts w:ascii="IRNazanin" w:hAnsi="IRNazanin" w:eastAsia="IRNazanin" w:cs="IRNazanin"/>
          <w:lang w:bidi="fa-IR"/>
          <w:color w:val="111111"/>
          <w:sz w:val="28"/>
          <w:szCs w:val="28"/>
          <w:rtl/>
        </w:rPr>
        <w:t xml:space="preserve">۱۶۲۴. تهران؛ علوم پزشکی؛ شماره نسخه: ۲۵۹/۴</w:t>
      </w:r>
    </w:p>
    <w:p>
      <w:pPr>
        <w:pStyle w:val="BookText"/>
      </w:pPr>
      <w:r>
        <w:rPr>
          <w:rFonts w:ascii="IRNazanin" w:hAnsi="IRNazanin" w:eastAsia="IRNazanin" w:cs="IRNazanin"/>
          <w:lang w:bidi="fa-IR"/>
          <w:color w:val="111111"/>
          <w:sz w:val="28"/>
          <w:szCs w:val="28"/>
          <w:rtl/>
        </w:rPr>
        <w:t xml:space="preserve">آغاز: بسم الله الرحمن الرحيم بعد از حمد اللهى و نعت حضرت رسالت پناهی چنین گوید بنده حقیر و کمینه فقیر یوسف بن محمد الطبيب المشهور بيوسفى؛ انجام: دفع آتشک .... زاج سفید ،شوره کوبیده بقرع و انبیق تیزاب آنرا بگیرند</w:t>
      </w:r>
    </w:p>
    <w:p>
      <w:pPr>
        <w:pStyle w:val="BookText"/>
      </w:pPr>
      <w:r>
        <w:rPr>
          <w:rFonts w:ascii="IRNazanin" w:hAnsi="IRNazanin" w:eastAsia="IRNazanin" w:cs="IRNazanin"/>
          <w:lang w:bidi="fa-IR"/>
          <w:color w:val="111111"/>
          <w:sz w:val="28"/>
          <w:szCs w:val="28"/>
          <w:rtl/>
        </w:rPr>
        <w:t xml:space="preserve">ابیات حکمت و نصیحت است به نظم در پزشکی؛ خط: تحریری، کا: محمد علی کاتب، تا: ذیحجه ۱۳۲۹ق؛ ۹ ص (۱۹۶-۱۸۷)، 21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 نشریه: ۳ - ۳۴۲]</w:t>
      </w:r>
    </w:p>
    <w:p>
      <w:pPr>
        <w:pStyle w:val="BookText"/>
      </w:pPr>
      <w:r>
        <w:rPr>
          <w:rFonts w:ascii="IRNazanin" w:hAnsi="IRNazanin" w:eastAsia="IRNazanin" w:cs="IRNazanin"/>
          <w:lang w:bidi="fa-IR"/>
          <w:color w:val="111111"/>
          <w:sz w:val="28"/>
          <w:szCs w:val="28"/>
          <w:rtl/>
        </w:rPr>
        <w:t xml:space="preserve">۱۶۲۵. کاشان ،عاطفی، افشین؛ شماره نسخه: ۸۷</w:t>
      </w:r>
    </w:p>
    <w:p>
      <w:pPr>
        <w:pStyle w:val="BookText"/>
      </w:pPr>
      <w:r>
        <w:rPr>
          <w:rFonts w:ascii="IRNazanin" w:hAnsi="IRNazanin" w:eastAsia="IRNazanin" w:cs="IRNazanin"/>
          <w:lang w:bidi="fa-IR"/>
          <w:color w:val="111111"/>
          <w:sz w:val="28"/>
          <w:szCs w:val="28"/>
          <w:rtl/>
        </w:rPr>
        <w:t xml:space="preserve">مشتمل بر اشعاری از گلچین، محیط و مقداری از دیوان حافظ با مقدمه محمد گل اندام؛ خط: نستعلیق، کا: محمد جعفر بن محـمد مهدی کاشانی نجفی، تا: یک شنبه ۹ ربیع الثانی ۱۳۲۹ق، (پایان اشعار محیط)، اشعار حافظ به خط دیگر و قدیمی تر اسـت؛ ۲۹گ، مختلف السطر،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۷۶]</w:t>
      </w:r>
    </w:p>
    <w:p>
      <w:pPr>
        <w:pStyle w:val="BookText"/>
      </w:pPr>
      <w:r>
        <w:rPr>
          <w:rFonts w:ascii="IRNazanin" w:hAnsi="IRNazanin" w:eastAsia="IRNazanin" w:cs="IRNazanin"/>
          <w:lang w:bidi="fa-IR"/>
          <w:color w:val="111111"/>
          <w:sz w:val="28"/>
          <w:szCs w:val="28"/>
          <w:rtl/>
        </w:rPr>
        <w:t xml:space="preserve">۱۶۲۶. تهران؛ مجلس؛ شماره نسخه: ۴۰۶۷</w:t>
      </w:r>
    </w:p>
    <w:p>
      <w:pPr>
        <w:pStyle w:val="BookText"/>
      </w:pPr>
      <w:r>
        <w:rPr>
          <w:rFonts w:ascii="IRNazanin" w:hAnsi="IRNazanin" w:eastAsia="IRNazanin" w:cs="IRNazanin"/>
          <w:lang w:bidi="fa-IR"/>
          <w:color w:val="111111"/>
          <w:sz w:val="28"/>
          <w:szCs w:val="28"/>
          <w:rtl/>
        </w:rPr>
        <w:t xml:space="preserve">آغاز: باز این چه جوانی و جمال است جهان را </w:t>
      </w:r>
      <w:r>
        <w:rPr>
          <w:rFonts w:ascii="IRNazanin" w:hAnsi="IRNazanin" w:eastAsia="IRNazanin" w:cs="IRNazanin"/>
          <w:lang w:bidi="fa-IR"/>
          <w:color w:val="111111"/>
          <w:sz w:val="28"/>
          <w:szCs w:val="28"/>
          <w:b w:val="1"/>
          <w:bCs w:val="1"/>
          <w:i w:val="1"/>
          <w:iCs w:val="1"/>
          <w:rtl/>
        </w:rPr>
        <w:t xml:space="preserve">وین حال که گشت زمین را و زمان را؛ انجام: ناصر تو منم را ز سر خویش بدر کن</w:t>
      </w:r>
      <w:r>
        <w:rPr>
          <w:rFonts w:ascii="IRNazanin" w:hAnsi="IRNazanin" w:eastAsia="IRNazanin" w:cs="IRNazanin"/>
          <w:lang w:bidi="fa-IR"/>
          <w:color w:val="111111"/>
          <w:sz w:val="28"/>
          <w:szCs w:val="28"/>
          <w:rtl/>
        </w:rPr>
        <w:t xml:space="preserve"> دیدی عقابی که منم کرد چها خواست / روزی ز سر سنگ عقابی بهوا خواست *** از بهر طمع بال و پر خویش  بیار است</w:t>
      </w:r>
    </w:p>
    <w:p>
      <w:pPr>
        <w:pStyle w:val="BookText"/>
      </w:pPr>
      <w:r>
        <w:rPr>
          <w:rFonts w:ascii="IRNazanin" w:hAnsi="IRNazanin" w:eastAsia="IRNazanin" w:cs="IRNazanin"/>
          <w:lang w:bidi="fa-IR"/>
          <w:color w:val="111111"/>
          <w:sz w:val="28"/>
          <w:szCs w:val="28"/>
          <w:rtl/>
        </w:rPr>
        <w:t xml:space="preserve">منتخب از اشعار ناصر خسرو ،انوری، و حافظ و قسمت اول آن از قصاید انوری می باشد و گویا به خط شیدای اصفهانی باشد، و اشعاری از کمال الدین محمود قاضی، رکن الدين، امير قطب الدين، سلطان طوطی، فیروز شاه، بدیع منشى، جلال الدين ابو الفضل، بوطالب نعمه و در میانه قصیده ای از زبان اهل خراسان بخاقان ؛خط: نستعلیق زیبا، بی کا،تا: ۶ جمادی الاول ۱۳۳۱ق؛ کاغذ: فرنگی ،جلد: تیماج سرخ، اندازه بیاضی حاشیه زر،</w:t>
      </w:r>
    </w:p>
    <w:p>
      <w:pPr>
        <w:pStyle w:val="BookText"/>
      </w:pPr>
      <w:r>
        <w:rPr>
          <w:rFonts w:ascii="IRNazanin" w:hAnsi="IRNazanin" w:eastAsia="IRNazanin" w:cs="IRNazanin"/>
          <w:lang w:bidi="fa-IR"/>
          <w:color w:val="111111"/>
          <w:sz w:val="28"/>
          <w:szCs w:val="28"/>
          <w:rtl/>
        </w:rPr>
        <w:t xml:space="preserve">۱۷۳ گ، ۸ سطر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۴)، اندازه: 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۱۲/۵سم [ف : ۱۱ - ۶۵]</w:t>
      </w:r>
    </w:p>
    <w:p>
      <w:pPr>
        <w:pStyle w:val="BookText"/>
      </w:pPr>
      <w:r>
        <w:rPr>
          <w:rFonts w:ascii="IRNazanin" w:hAnsi="IRNazanin" w:eastAsia="IRNazanin" w:cs="IRNazanin"/>
          <w:lang w:bidi="fa-IR"/>
          <w:color w:val="111111"/>
          <w:sz w:val="28"/>
          <w:szCs w:val="28"/>
          <w:rtl/>
        </w:rPr>
        <w:t xml:space="preserve">۱۶۲۷. اصفهان؛ دانشگاه؛ شماره نسخه: ۲۸۰</w:t>
      </w:r>
    </w:p>
    <w:p>
      <w:pPr>
        <w:pStyle w:val="BookText"/>
      </w:pPr>
      <w:r>
        <w:rPr>
          <w:rFonts w:ascii="IRNazanin" w:hAnsi="IRNazanin" w:eastAsia="IRNazanin" w:cs="IRNazanin"/>
          <w:lang w:bidi="fa-IR"/>
          <w:color w:val="111111"/>
          <w:sz w:val="28"/>
          <w:szCs w:val="28"/>
          <w:rtl/>
        </w:rPr>
        <w:t xml:space="preserve">اشعاری از: سعدی مغربی ،مولوی، شاه نعمت الله ولی، جامی، شیخ بهائی، اهلی؛ خط: شکسته نستعلیق، بی کا، تا: ۱۹ ربیع الثانى ۱۳۳۱ق ،مجدول دارای ۱۳ مجلس نقاشی آبرنگ؛ جلد: بدون جلد، ۱۰۷گ، سطور چلیپا، اندازه: 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۱ - ۲۰۷]</w:t>
      </w:r>
    </w:p>
    <w:p>
      <w:pPr>
        <w:pStyle w:val="BookText"/>
      </w:pPr>
      <w:r>
        <w:rPr>
          <w:rFonts w:ascii="IRNazanin" w:hAnsi="IRNazanin" w:eastAsia="IRNazanin" w:cs="IRNazanin"/>
          <w:lang w:bidi="fa-IR"/>
          <w:color w:val="111111"/>
          <w:sz w:val="28"/>
          <w:szCs w:val="28"/>
          <w:rtl/>
        </w:rPr>
        <w:t xml:space="preserve">۱۶۲۸. تهران؛ مجلس؛ شماره نسخه: ۱۷۰۳۵/۴</w:t>
      </w:r>
    </w:p>
    <w:p>
      <w:pPr>
        <w:pStyle w:val="BookText"/>
      </w:pPr>
      <w:r>
        <w:rPr>
          <w:rFonts w:ascii="IRNazanin" w:hAnsi="IRNazanin" w:eastAsia="IRNazanin" w:cs="IRNazanin"/>
          <w:lang w:bidi="fa-IR"/>
          <w:color w:val="111111"/>
          <w:sz w:val="28"/>
          <w:szCs w:val="28"/>
          <w:rtl/>
        </w:rPr>
        <w:t xml:space="preserve">انجام: انجامه: تمت شد در حال ناخوشی زکام که از شدت آن ندانسته ام چه نوشته ام، مخصوصا قلم شکسته و دل خود از قلم شکسته تر و بمرکب خیلی بد ،بر حسب امر جناب ملا احمد زید فضله قلمی گردید الحقير محمد رحيم، تحریرا فی پنج شنبه ۲۳ شهر محرم الحرام ١٣٣٢.</w:t>
      </w:r>
    </w:p>
    <w:p>
      <w:pPr>
        <w:pStyle w:val="BookText"/>
      </w:pPr>
      <w:r>
        <w:rPr>
          <w:rFonts w:ascii="IRNazanin" w:hAnsi="IRNazanin" w:eastAsia="IRNazanin" w:cs="IRNazanin"/>
          <w:lang w:bidi="fa-IR"/>
          <w:color w:val="111111"/>
          <w:sz w:val="28"/>
          <w:szCs w:val="28"/>
          <w:rtl/>
        </w:rPr>
        <w:t xml:space="preserve">قصیده ای است منسوب به شاه نعمت الله ولی، شبیه به قصیده معروف شاه نعمت الله ولی در پیشگویی وقایع آتی، ولی ساخته و پرداخته دیگری با دست برده وی با نام بردن از پادشاهان زند و افشار و قاجار و اشاره به وقایع تاریخی و زمان کشته شدن برخی از ایشان (۲۰۴ -۲۰۵)؛ خط: نسخ و نستعلیق، كا: محمد بن عبدالله، محمد بن عبدالرحیم، تا: پنج شنبه ۲۳  محرم  ۱۳۳۲ق، جا: قریه ژان از توابع درود لرستان به سفارش ملا احمد؛ جلد: مقوایی با روکش کاغذی حنایی رنگ و عطف چرمی، ۲۲ ص  (۲۰۶ -۲۲۷) اندازه:۱۱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۴۷ ]</w:t>
      </w:r>
    </w:p>
    <w:p>
      <w:pPr>
        <w:pStyle w:val="BookText"/>
      </w:pPr>
      <w:r>
        <w:rPr>
          <w:rFonts w:ascii="IRNazanin" w:hAnsi="IRNazanin" w:eastAsia="IRNazanin" w:cs="IRNazanin"/>
          <w:lang w:bidi="fa-IR"/>
          <w:color w:val="111111"/>
          <w:sz w:val="28"/>
          <w:szCs w:val="28"/>
          <w:rtl/>
        </w:rPr>
        <w:t xml:space="preserve">۱۶۲۹. قم؛ مرعشی؛ شماره نسخه: ۸۸۸۹</w:t>
      </w:r>
    </w:p>
    <w:p>
      <w:pPr>
        <w:pStyle w:val="BookText"/>
      </w:pPr>
      <w:r>
        <w:rPr>
          <w:rFonts w:ascii="IRNazanin" w:hAnsi="IRNazanin" w:eastAsia="IRNazanin" w:cs="IRNazanin"/>
          <w:lang w:bidi="fa-IR"/>
          <w:color w:val="111111"/>
          <w:sz w:val="28"/>
          <w:szCs w:val="28"/>
          <w:rtl/>
        </w:rPr>
        <w:t xml:space="preserve">آغاز: مرغ روحش جانب عرش برین پرواز کرد *** بر چراغ عیش این محنت سرا زد آستین</w:t>
      </w:r>
    </w:p>
    <w:p>
      <w:pPr>
        <w:pStyle w:val="BookText"/>
      </w:pPr>
      <w:r>
        <w:rPr>
          <w:rFonts w:ascii="IRNazanin" w:hAnsi="IRNazanin" w:eastAsia="IRNazanin" w:cs="IRNazanin"/>
          <w:lang w:bidi="fa-IR"/>
          <w:color w:val="111111"/>
          <w:sz w:val="28"/>
          <w:szCs w:val="28"/>
          <w:rtl/>
        </w:rPr>
        <w:t xml:space="preserve">در جنگ شعری اشعاری در مصیبت حضرت امام حسین (علیه السّلام) و واقعه کربلا بدون تنظیم و ترتیب انتخاب شده است؛ خط: نستعليق ،كا: محمد بن حسن مرشد تنکابنی، تا: ۱۳۳۳ق، جلد: مقوایی عطف تیماج مشکی، ۹۷گ، مختلف السطر،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۲۳ - ۷۸]</w:t>
      </w:r>
    </w:p>
    <w:p>
      <w:pPr>
        <w:pStyle w:val="BookText"/>
      </w:pPr>
      <w:r>
        <w:rPr>
          <w:rFonts w:ascii="IRNazanin" w:hAnsi="IRNazanin" w:eastAsia="IRNazanin" w:cs="IRNazanin"/>
          <w:lang w:bidi="fa-IR"/>
          <w:color w:val="111111"/>
          <w:sz w:val="28"/>
          <w:szCs w:val="28"/>
          <w:rtl/>
        </w:rPr>
        <w:t xml:space="preserve">۱۶۳۰ . دامغان؛ قمر بنی هاشم (علیه السّلام)؛ شماره نسخه: ۲۲۹</w:t>
      </w:r>
    </w:p>
    <w:p>
      <w:pPr>
        <w:pStyle w:val="BookText"/>
      </w:pPr>
      <w:r>
        <w:rPr>
          <w:rFonts w:ascii="IRNazanin" w:hAnsi="IRNazanin" w:eastAsia="IRNazanin" w:cs="IRNazanin"/>
          <w:lang w:bidi="fa-IR"/>
          <w:color w:val="111111"/>
          <w:sz w:val="28"/>
          <w:szCs w:val="28"/>
          <w:rtl/>
        </w:rPr>
        <w:t xml:space="preserve">آغاز: غم زدگان بلا ماه محرم رسید *** نوبت شادی گذشت موسم ماتم رسید؛ انجام: فلک به آل علی ظلم کن ولی به حساب *** نه آنکه خانه ایمان کنی ز ظلم خراب</w:t>
      </w:r>
    </w:p>
    <w:p>
      <w:pPr>
        <w:pStyle w:val="BookText"/>
      </w:pPr>
      <w:r>
        <w:rPr>
          <w:rFonts w:ascii="IRNazanin" w:hAnsi="IRNazanin" w:eastAsia="IRNazanin" w:cs="IRNazanin"/>
          <w:lang w:bidi="fa-IR"/>
          <w:color w:val="111111"/>
          <w:sz w:val="28"/>
          <w:szCs w:val="28"/>
          <w:rtl/>
        </w:rPr>
        <w:t xml:space="preserve">مشتمل بر اشعاری در مدایح و مراثی ائمه (علیهم السّلام) از شعرای مختلف و بعضاً از ابوطالب کردی دامغانی؛ خط: نسخ و نستعلیق، کا: طالب کردی دامغانی، تا: ۱۳۳۳ق؛ وقفنامه کتاب از طالب کردی به سال
</w:t>
      </w:r>
    </w:p>
    <w:p>
      <w:pPr>
        <w:sectPr>
          <w:footerReference w:type="default" r:id="rId8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۱۳۸۹؛ جلد: تیماج مشکی بدون مقوا، ۲۷۵گ، مختلف السطر، اندازه: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۲۶]</w:t>
      </w:r>
    </w:p>
    <w:p>
      <w:pPr>
        <w:pStyle w:val="BookText"/>
      </w:pPr>
      <w:r>
        <w:rPr>
          <w:rFonts w:ascii="IRNazanin" w:hAnsi="IRNazanin" w:eastAsia="IRNazanin" w:cs="IRNazanin"/>
          <w:lang w:bidi="fa-IR"/>
          <w:color w:val="111111"/>
          <w:sz w:val="28"/>
          <w:szCs w:val="28"/>
          <w:rtl/>
        </w:rPr>
        <w:t xml:space="preserve">۱۶۳۱ . قم؛ گلپایگانی؛ شماره نسخه: ۳۱۹۹-۱۶/۲۰۹</w:t>
      </w:r>
    </w:p>
    <w:p>
      <w:pPr>
        <w:pStyle w:val="BookText"/>
      </w:pPr>
      <w:r>
        <w:rPr>
          <w:rFonts w:ascii="IRNazanin" w:hAnsi="IRNazanin" w:eastAsia="IRNazanin" w:cs="IRNazanin"/>
          <w:lang w:bidi="fa-IR"/>
          <w:color w:val="111111"/>
          <w:sz w:val="28"/>
          <w:szCs w:val="28"/>
          <w:rtl/>
        </w:rPr>
        <w:t xml:space="preserve">آغاز: شیعیان شوری دیگر اندر جهان آورده ام *** ماتم جان سـوز  شاه انس و جان آورده ام / امشب از قتل حسین ای شیعیان خاکم سر </w:t>
      </w:r>
      <w:r>
        <w:rPr>
          <w:rFonts w:ascii="IRNazanin" w:hAnsi="IRNazanin" w:eastAsia="IRNazanin" w:cs="IRNazanin"/>
          <w:lang w:bidi="fa-IR"/>
          <w:color w:val="111111"/>
          <w:sz w:val="28"/>
          <w:szCs w:val="28"/>
          <w:b w:val="1"/>
          <w:bCs w:val="1"/>
          <w:i w:val="1"/>
          <w:iCs w:val="1"/>
          <w:rtl/>
        </w:rPr>
        <w:t xml:space="preserve">خاک ودرد و غم برفرق فرقه تان آورده ام؛ انجام: اندر وادی تنت مجروح و دل در اضطراب</w:t>
      </w:r>
      <w:r>
        <w:rPr>
          <w:rFonts w:ascii="IRNazanin" w:hAnsi="IRNazanin" w:eastAsia="IRNazanin" w:cs="IRNazanin"/>
          <w:lang w:bidi="fa-IR"/>
          <w:color w:val="111111"/>
          <w:sz w:val="28"/>
          <w:szCs w:val="28"/>
          <w:rtl/>
        </w:rPr>
        <w:t xml:space="preserve"> از پی یک قطره آب/ مرغ روحم از عطش آمد بدن در احتراق*** زینبا داد از فراق خواهرا داد از فراق</w:t>
      </w:r>
    </w:p>
    <w:p>
      <w:pPr>
        <w:pStyle w:val="BookText"/>
      </w:pPr>
      <w:r>
        <w:rPr>
          <w:rFonts w:ascii="IRNazanin" w:hAnsi="IRNazanin" w:eastAsia="IRNazanin" w:cs="IRNazanin"/>
          <w:lang w:bidi="fa-IR"/>
          <w:color w:val="111111"/>
          <w:sz w:val="28"/>
          <w:szCs w:val="28"/>
          <w:rtl/>
        </w:rPr>
        <w:t xml:space="preserve">جنگی است از آن ابوالفضل حسینی که از اشعار شاعران جـمع آوری نموده است، در آن اشعاری از آقا بزرگ، محتشم، قصـاید ترکی شیرازی هندی، منتخب گنجينة الاسرار عمان سامانى و دیگران؛ خط: تحریری، کا: ابولفضل حسینی بن سید محمد بن سید محمد تقی، تا: ۱۳۳۴ق؛ افتادگی: آغاز؛ ۱۶۳گ، مختلف السطر ، قطع: بیاض رقعی،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۷ - ۴۲۶۵]</w:t>
      </w:r>
    </w:p>
    <w:p>
      <w:pPr>
        <w:pStyle w:val="BookText"/>
      </w:pPr>
      <w:r>
        <w:rPr>
          <w:rFonts w:ascii="IRNazanin" w:hAnsi="IRNazanin" w:eastAsia="IRNazanin" w:cs="IRNazanin"/>
          <w:lang w:bidi="fa-IR"/>
          <w:color w:val="111111"/>
          <w:sz w:val="28"/>
          <w:szCs w:val="28"/>
          <w:rtl/>
        </w:rPr>
        <w:t xml:space="preserve">۱۶۳۲. قم؛ طبسی؛ شماره نسخه: ۷۲۵</w:t>
      </w:r>
    </w:p>
    <w:p>
      <w:pPr>
        <w:pStyle w:val="BookText"/>
      </w:pPr>
      <w:r>
        <w:rPr>
          <w:rFonts w:ascii="IRNazanin" w:hAnsi="IRNazanin" w:eastAsia="IRNazanin" w:cs="IRNazanin"/>
          <w:lang w:bidi="fa-IR"/>
          <w:color w:val="111111"/>
          <w:sz w:val="28"/>
          <w:szCs w:val="28"/>
          <w:rtl/>
        </w:rPr>
        <w:t xml:space="preserve">آغاز: هو المستعان در عزای حضرت مسلم علیه السلام: بازازجـور فلک دیده گریان دارم *** باز دل از ستم چرخ در افغان دارم؛ انجام: نظر کنی که خداوند قادر قهار *** زظالمین بستاند جز فاطمه را</w:t>
      </w:r>
    </w:p>
    <w:p>
      <w:pPr>
        <w:pStyle w:val="BookText"/>
      </w:pPr>
      <w:r>
        <w:rPr>
          <w:rFonts w:ascii="IRNazanin" w:hAnsi="IRNazanin" w:eastAsia="IRNazanin" w:cs="IRNazanin"/>
          <w:lang w:bidi="fa-IR"/>
          <w:color w:val="111111"/>
          <w:sz w:val="28"/>
          <w:szCs w:val="28"/>
          <w:rtl/>
        </w:rPr>
        <w:t xml:space="preserve">بیاضی است شامل اشعار در مراثی سید الشهداء (علیه السّلام) و اصحاب و یاران آن حضرت و نیز اشعاری در مراثی پیامبر اکرم (صلّی اللَّهِ علیه وَ آلِهِ وَ سَلَّمَ ) و امام حسن (علیه السّلام) و ....؛ خط: نستعليق، كا: علی اکبر لاریجانی و غلامرضا لاریجانی ،تا: ۱۳۳۴ق ؛جلد: تیماج قهوه ای ،ضربی، مجدول، ۱۳۲گ، مختلف السطر، اندازه: ۱۱</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۱۷سم [ف مخ: ۱ - ۸۲]</w:t>
      </w:r>
    </w:p>
    <w:p>
      <w:pPr>
        <w:pStyle w:val="BookText"/>
      </w:pPr>
      <w:r>
        <w:rPr>
          <w:rFonts w:ascii="IRNazanin" w:hAnsi="IRNazanin" w:eastAsia="IRNazanin" w:cs="IRNazanin"/>
          <w:lang w:bidi="fa-IR"/>
          <w:color w:val="111111"/>
          <w:sz w:val="28"/>
          <w:szCs w:val="28"/>
          <w:rtl/>
        </w:rPr>
        <w:t xml:space="preserve">۱۶۳۳. خوانسار؛ فاضل؛ شماره نسخه: ۴۷۰</w:t>
      </w:r>
    </w:p>
    <w:p>
      <w:pPr>
        <w:pStyle w:val="BookText"/>
      </w:pPr>
      <w:r>
        <w:rPr>
          <w:rFonts w:ascii="IRNazanin" w:hAnsi="IRNazanin" w:eastAsia="IRNazanin" w:cs="IRNazanin"/>
          <w:lang w:bidi="fa-IR"/>
          <w:color w:val="111111"/>
          <w:sz w:val="28"/>
          <w:szCs w:val="28"/>
          <w:rtl/>
        </w:rPr>
        <w:t xml:space="preserve">آغاز: وصل جانان چیست جان قربان جانان داشتن *** وانگه از شادی لبی چون غنچه خندان داشتن؛ انجام: روز اعدایش ز حسرت همچو شامم کور باد *** شام احبابش از باغ رضوی داشتن</w:t>
      </w:r>
    </w:p>
    <w:p>
      <w:pPr>
        <w:pStyle w:val="BookText"/>
      </w:pPr>
      <w:r>
        <w:rPr>
          <w:rFonts w:ascii="Times New Roman" w:hAnsi="Times New Roman" w:eastAsia="Times New Roman" w:cs="Times New Roman"/>
          <w:lang w:val="en-US" w:bidi="en-US"/>
          <w:color w:val="111111"/>
          <w:sz w:val="28"/>
          <w:szCs w:val="28"/>
          <w:rtl/>
        </w:rPr>
        <w:t xml:space="preserve">X</w:t>
      </w:r>
      <w:r>
        <w:rPr>
          <w:rFonts w:ascii="IRNazanin" w:hAnsi="IRNazanin" w:eastAsia="IRNazanin" w:cs="IRNazanin"/>
          <w:lang w:bidi="fa-IR"/>
          <w:color w:val="111111"/>
          <w:sz w:val="28"/>
          <w:szCs w:val="28"/>
          <w:rtl/>
        </w:rPr>
        <w:t xml:space="preserve">قصیده ای است در ۶۱ بیت در مدح امیر مؤمنان (علیه السّلام) که در سـال ۱۳۲۵ به نظم در آمده است؛ خط: نستعليق زيبا ،كا: محمد فهیم، تا دی ۱۳۳۵ق؛ در برگ اول یادداشتی است از کاتب که این اشعار را در بین اوراق پدرش پیدا کرده و اشعار نظم اوست که پاکنویس کرده است، و در برگ آخر نیز یادداشت دیگری اسـت از کاتب که در آخر عمر فاقد بینایی چشم شده است؛ مصحح ؛جلد: تیماج زرشکی مجدول، ۵ برگ، ۹ سطر،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۲ - ۱۲۴]</w:t>
      </w:r>
    </w:p>
    <w:p>
      <w:pPr>
        <w:pStyle w:val="BookText"/>
      </w:pPr>
      <w:r>
        <w:rPr>
          <w:rFonts w:ascii="IRNazanin" w:hAnsi="IRNazanin" w:eastAsia="IRNazanin" w:cs="IRNazanin"/>
          <w:lang w:bidi="fa-IR"/>
          <w:color w:val="111111"/>
          <w:sz w:val="28"/>
          <w:szCs w:val="28"/>
          <w:rtl/>
        </w:rPr>
        <w:t xml:space="preserve">۱۶۳۴. تهران؛ ملی؛ شماره نسخه: ۱۶۸۴۰</w:t>
      </w:r>
    </w:p>
    <w:p>
      <w:pPr>
        <w:pStyle w:val="BookText"/>
      </w:pPr>
      <w:r>
        <w:rPr>
          <w:rFonts w:ascii="IRNazanin" w:hAnsi="IRNazanin" w:eastAsia="IRNazanin" w:cs="IRNazanin"/>
          <w:lang w:bidi="fa-IR"/>
          <w:color w:val="111111"/>
          <w:sz w:val="28"/>
          <w:szCs w:val="28"/>
          <w:rtl/>
        </w:rPr>
        <w:t xml:space="preserve">مجموعه (شهزاده فلک ناز .... ورقه و گلشاه و ...)؛ کا: محمد ملا، تا: ۱۳۳۵ق؛ انتقالی از کتابخانه پهلوی- مجموعه نوازی، ۱۸۵گ، اندازه: ۱۶/۷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۲۶/۸سم [رایانه ]</w:t>
      </w:r>
    </w:p>
    <w:p>
      <w:pPr>
        <w:pStyle w:val="BookText"/>
      </w:pPr>
      <w:r>
        <w:rPr>
          <w:rFonts w:ascii="IRNazanin" w:hAnsi="IRNazanin" w:eastAsia="IRNazanin" w:cs="IRNazanin"/>
          <w:lang w:bidi="fa-IR"/>
          <w:color w:val="111111"/>
          <w:sz w:val="28"/>
          <w:szCs w:val="28"/>
          <w:rtl/>
        </w:rPr>
        <w:t xml:space="preserve">۱۶۳۵. یزد؛ وزیری؛ شماره نسخه: ۴۳۹۷/۴</w:t>
      </w:r>
    </w:p>
    <w:p>
      <w:pPr>
        <w:pStyle w:val="BookText"/>
      </w:pPr>
      <w:r>
        <w:rPr>
          <w:rFonts w:ascii="IRNazanin" w:hAnsi="IRNazanin" w:eastAsia="IRNazanin" w:cs="IRNazanin"/>
          <w:lang w:bidi="fa-IR"/>
          <w:color w:val="111111"/>
          <w:sz w:val="28"/>
          <w:szCs w:val="28"/>
          <w:rtl/>
        </w:rPr>
        <w:t xml:space="preserve">آغاز: ابتدای سخن به نام خداست *** زان که بی مثل و شبه و بی همتاست؛ انجام: ختم این نظم بر سعادت باد *** زونفس دم به دم  زیادت باد</w:t>
      </w:r>
    </w:p>
    <w:p>
      <w:pPr>
        <w:pStyle w:val="BookText"/>
      </w:pPr>
      <w:r>
        <w:rPr>
          <w:rFonts w:ascii="IRNazanin" w:hAnsi="IRNazanin" w:eastAsia="IRNazanin" w:cs="IRNazanin"/>
          <w:lang w:bidi="fa-IR"/>
          <w:color w:val="111111"/>
          <w:sz w:val="28"/>
          <w:szCs w:val="28"/>
          <w:rtl/>
        </w:rPr>
        <w:t xml:space="preserve">برگزیده اشعار سنایی است؛ خط: نسخ، کا: محمد علی زاهدی، تا: ۷ مهر ۱۳۳۶ق، جا: یزد؛ ۱۷گ (۱۳-۳۰)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[نشریه : ۱۳ - ۳۹۶]</w:t>
      </w:r>
    </w:p>
    <w:p>
      <w:pPr>
        <w:pStyle w:val="BookText"/>
      </w:pPr>
      <w:r>
        <w:rPr>
          <w:rFonts w:ascii="IRNazanin" w:hAnsi="IRNazanin" w:eastAsia="IRNazanin" w:cs="IRNazanin"/>
          <w:lang w:bidi="fa-IR"/>
          <w:color w:val="111111"/>
          <w:sz w:val="28"/>
          <w:szCs w:val="28"/>
          <w:rtl/>
        </w:rPr>
        <w:t xml:space="preserve">۱۶۳۶. دامغان؛ قمر بنی هاشم (علیه السّلام)؛ شماره نسخه: ۲۲۴</w:t>
      </w:r>
    </w:p>
    <w:p>
      <w:pPr>
        <w:pStyle w:val="BookText"/>
      </w:pPr>
      <w:r>
        <w:rPr>
          <w:rFonts w:ascii="IRNazanin" w:hAnsi="IRNazanin" w:eastAsia="IRNazanin" w:cs="IRNazanin"/>
          <w:lang w:bidi="fa-IR"/>
          <w:color w:val="111111"/>
          <w:sz w:val="28"/>
          <w:szCs w:val="28"/>
          <w:rtl/>
        </w:rPr>
        <w:t xml:space="preserve">آغاز: نو عروسم شده وقت رفتن *** داده ام  دل به حسرت مردن؛ انجام: لب خشک و جان پر غمش عطشان ببین بر خاتمش ***از زندگی آخر دمش خنجر بکش خنجر بکش</w:t>
      </w:r>
    </w:p>
    <w:p>
      <w:pPr>
        <w:pStyle w:val="BookText"/>
      </w:pPr>
      <w:r>
        <w:rPr>
          <w:rFonts w:ascii="IRNazanin" w:hAnsi="IRNazanin" w:eastAsia="IRNazanin" w:cs="IRNazanin"/>
          <w:lang w:bidi="fa-IR"/>
          <w:color w:val="111111"/>
          <w:sz w:val="28"/>
          <w:szCs w:val="28"/>
          <w:rtl/>
        </w:rPr>
        <w:t xml:space="preserve">مشتمل بر مراثی و مدایح ائمه ((علیه السّلام)؛ خط: نسخ و نستعلیق، کا: میرزا محمد قلی بن شیر علی، تا: ۱۳۳۶ق؛ بعضی قسمت های کتاب را محمد باقر در 1336 و بعضاً توسط عبدالحسين بن منتجب السادات خوری در ۴ ربیع الثانی ۱۳۳۶ کتابت شده؛ ۴۵گ، مختلف السطر،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۲۶]</w:t>
      </w:r>
    </w:p>
    <w:p>
      <w:pPr>
        <w:pStyle w:val="BookText"/>
      </w:pPr>
      <w:r>
        <w:rPr>
          <w:rFonts w:ascii="IRNazanin" w:hAnsi="IRNazanin" w:eastAsia="IRNazanin" w:cs="IRNazanin"/>
          <w:lang w:bidi="fa-IR"/>
          <w:color w:val="111111"/>
          <w:sz w:val="28"/>
          <w:szCs w:val="28"/>
          <w:rtl/>
        </w:rPr>
        <w:t xml:space="preserve">۱۶۳۷. تهران؛ مجلس؛ شماره نسخه: ۱۸۰۷۳</w:t>
      </w:r>
    </w:p>
    <w:p>
      <w:pPr>
        <w:pStyle w:val="BookText"/>
      </w:pPr>
      <w:r>
        <w:rPr>
          <w:rFonts w:ascii="IRNazanin" w:hAnsi="IRNazanin" w:eastAsia="IRNazanin" w:cs="IRNazanin"/>
          <w:lang w:bidi="fa-IR"/>
          <w:color w:val="111111"/>
          <w:sz w:val="28"/>
          <w:szCs w:val="28"/>
          <w:rtl/>
        </w:rPr>
        <w:t xml:space="preserve">اشعاری از:بیدل ،واقف ،غنی ،ولی ،مخفی، یغما، صیرفی، کمال، سامی و غیره؛ بی کا، تا: ۱۳۳۷ق [د.ث. مجلس ]</w:t>
      </w:r>
    </w:p>
    <w:p>
      <w:pPr>
        <w:pStyle w:val="BookText"/>
      </w:pPr>
      <w:r>
        <w:rPr>
          <w:rFonts w:ascii="IRNazanin" w:hAnsi="IRNazanin" w:eastAsia="IRNazanin" w:cs="IRNazanin"/>
          <w:lang w:bidi="fa-IR"/>
          <w:color w:val="111111"/>
          <w:sz w:val="28"/>
          <w:szCs w:val="28"/>
          <w:rtl/>
        </w:rPr>
        <w:t xml:space="preserve">۱۶۳۸. تهران؛ ملی؛ شماره نسخه: ۱۸۲۵۲</w:t>
      </w:r>
    </w:p>
    <w:p>
      <w:pPr>
        <w:pStyle w:val="BookText"/>
      </w:pPr>
      <w:r>
        <w:rPr>
          <w:rFonts w:ascii="IRNazanin" w:hAnsi="IRNazanin" w:eastAsia="IRNazanin" w:cs="IRNazanin"/>
          <w:lang w:bidi="fa-IR"/>
          <w:color w:val="111111"/>
          <w:sz w:val="28"/>
          <w:szCs w:val="28"/>
          <w:rtl/>
        </w:rPr>
        <w:t xml:space="preserve">قصيده جهان نما (رساله رفاهی)؛ بی کا ،تا: ۱۳۳۷ق؛ انتقالی از کتابخانه پهلوی - مجموعه نوازی، از رفاهی معتضد الدوله، میرزا حسنخان؛ ۳۹ص، 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۱۶/۵سم [رایانه]</w:t>
      </w:r>
    </w:p>
    <w:p>
      <w:pPr>
        <w:pStyle w:val="BookText"/>
      </w:pPr>
      <w:r>
        <w:rPr>
          <w:rFonts w:ascii="IRNazanin" w:hAnsi="IRNazanin" w:eastAsia="IRNazanin" w:cs="IRNazanin"/>
          <w:lang w:bidi="fa-IR"/>
          <w:color w:val="111111"/>
          <w:sz w:val="28"/>
          <w:szCs w:val="28"/>
          <w:rtl/>
        </w:rPr>
        <w:t xml:space="preserve">۱۶۳۹ . مشهد؛ گوهر شاد؛ شماره نسخه: ۶۱۷/۲</w:t>
      </w:r>
    </w:p>
    <w:p>
      <w:pPr>
        <w:pStyle w:val="BookText"/>
      </w:pPr>
      <w:r>
        <w:rPr>
          <w:rFonts w:ascii="IRNazanin" w:hAnsi="IRNazanin" w:eastAsia="IRNazanin" w:cs="IRNazanin"/>
          <w:lang w:bidi="fa-IR"/>
          <w:color w:val="111111"/>
          <w:sz w:val="28"/>
          <w:szCs w:val="28"/>
          <w:rtl/>
        </w:rPr>
        <w:t xml:space="preserve">اشعار پراکنده ای است شامل: ترکیب بند عبدالعلی خان ادیب، قطعه ای در جواب نایب الصدر جهت دعوت منزل علو الدوله مورخ ۱۳۳۷، رباعی حکیم بهنام، صفا و ... رباعيات صفا علیشاه کرمانی به استقبال رباعيات بابا طاهر؛ خط: شکسته نستعلیق، بی کا،تا: ۱۳۳۷ق؛ مهر: حاج سيد سعيد؛ جلد: تیماج عنابی لایه ای، ۱۸گ (۶۱-۷۸)، ۱۸ سطر متن و حاشیه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 اندازه: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۲ - ۷۳۲]</w:t>
      </w:r>
    </w:p>
    <w:p>
      <w:pPr>
        <w:pStyle w:val="BookText"/>
      </w:pPr>
      <w:r>
        <w:rPr>
          <w:rFonts w:ascii="IRNazanin" w:hAnsi="IRNazanin" w:eastAsia="IRNazanin" w:cs="IRNazanin"/>
          <w:lang w:bidi="fa-IR"/>
          <w:color w:val="111111"/>
          <w:sz w:val="28"/>
          <w:szCs w:val="28"/>
          <w:rtl/>
        </w:rPr>
        <w:t xml:space="preserve">۱۶۴۰ . قم؛ گلپایگانی؛ شماره نسخه: ۹۰۱۶-۵۹/۲۳۶</w:t>
      </w:r>
    </w:p>
    <w:p>
      <w:pPr>
        <w:pStyle w:val="BookText"/>
      </w:pPr>
      <w:r>
        <w:rPr>
          <w:rFonts w:ascii="IRNazanin" w:hAnsi="IRNazanin" w:eastAsia="IRNazanin" w:cs="IRNazanin"/>
          <w:lang w:bidi="fa-IR"/>
          <w:color w:val="111111"/>
          <w:sz w:val="28"/>
          <w:szCs w:val="28"/>
          <w:rtl/>
        </w:rPr>
        <w:t xml:space="preserve">آغاز: نوحه علی اصغر، اصغرم چون دسته گل آمده بمیدان *** حیف از آن دسته گل کو نباشد خندان</w:t>
      </w:r>
    </w:p>
    <w:p>
      <w:pPr>
        <w:pStyle w:val="BookText"/>
      </w:pPr>
      <w:r>
        <w:rPr>
          <w:rFonts w:ascii="IRNazanin" w:hAnsi="IRNazanin" w:eastAsia="IRNazanin" w:cs="IRNazanin"/>
          <w:lang w:bidi="fa-IR"/>
          <w:color w:val="111111"/>
          <w:sz w:val="28"/>
          <w:szCs w:val="28"/>
          <w:rtl/>
        </w:rPr>
        <w:t xml:space="preserve">اشعاری در مراثی و نوحه سرایی و سینه زنی مجالس سوگواری امام حسین و شهدای کربلا، که اغلب نام شاعران ذکر نشده است؛ خط: تحریری، کا: مسیح، تا: ۱۴ ذیحجه ۱۳۳۸ق؛ ۸۵گ،  مختلف السطر ، اندازه: 9</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سم [ف: ۷ - ۴۲۶۱]</w:t>
      </w:r>
    </w:p>
    <w:p>
      <w:pPr>
        <w:pStyle w:val="BookText"/>
      </w:pPr>
      <w:r>
        <w:rPr>
          <w:rFonts w:ascii="IRNazanin" w:hAnsi="IRNazanin" w:eastAsia="IRNazanin" w:cs="IRNazanin"/>
          <w:lang w:bidi="fa-IR"/>
          <w:color w:val="111111"/>
          <w:sz w:val="28"/>
          <w:szCs w:val="28"/>
          <w:rtl/>
        </w:rPr>
        <w:t xml:space="preserve">۱۶۴۱. یزد؛ وزیری؛ شماره نسخه: ۳۲۱۳</w:t>
      </w:r>
    </w:p>
    <w:p>
      <w:pPr>
        <w:pStyle w:val="BookText"/>
      </w:pPr>
      <w:r>
        <w:rPr>
          <w:rFonts w:ascii="IRNazanin" w:hAnsi="IRNazanin" w:eastAsia="IRNazanin" w:cs="IRNazanin"/>
          <w:lang w:bidi="fa-IR"/>
          <w:color w:val="111111"/>
          <w:sz w:val="28"/>
          <w:szCs w:val="28"/>
          <w:rtl/>
        </w:rPr>
        <w:t xml:space="preserve">آغاز: مصیبت اول محرم: عزیزان بار دیگر موسم ماه محرم شد؛ انجام: چه الکن از غمم سازد همی از دیده خون جاری *** که تا در روز و انفسا و را از لطف دستگیرم</w:t>
      </w:r>
    </w:p>
    <w:p>
      <w:pPr>
        <w:pStyle w:val="BookText"/>
      </w:pPr>
      <w:r>
        <w:rPr>
          <w:rFonts w:ascii="IRNazanin" w:hAnsi="IRNazanin" w:eastAsia="IRNazanin" w:cs="IRNazanin"/>
          <w:lang w:bidi="fa-IR"/>
          <w:color w:val="111111"/>
          <w:sz w:val="28"/>
          <w:szCs w:val="28"/>
          <w:rtl/>
        </w:rPr>
        <w:t xml:space="preserve">اشعاری از: سماک ،خائف، قانع ،فخری، سید شوقی، ناظم، ،صادق، سائل، الكن، و مذنب ؛خط: نستعليق ،كا: حاج ابراهيم
</w:t>
      </w:r>
    </w:p>
    <w:p>
      <w:pPr>
        <w:sectPr>
          <w:footerReference w:type="default" r:id="rId8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اسمعیل زاده، تا: ۲۹ ربیع الثانی ۱۳۳۸ق؛ اهدایی غلامحسین شهبازی ؛کاغذ: جدید کاهی ،جلد: مقوایی روکش کاغذ رنگین عطف و گوشه ها تیماج مشکی، ۱۸۵گ، مختلف السطر [ف: ۵ - ۱۵۷۴]</w:t>
      </w:r>
    </w:p>
    <w:p>
      <w:pPr>
        <w:pStyle w:val="BookText"/>
      </w:pPr>
      <w:r>
        <w:rPr>
          <w:rFonts w:ascii="IRNazanin" w:hAnsi="IRNazanin" w:eastAsia="IRNazanin" w:cs="IRNazanin"/>
          <w:lang w:bidi="fa-IR"/>
          <w:color w:val="111111"/>
          <w:sz w:val="28"/>
          <w:szCs w:val="28"/>
          <w:rtl/>
        </w:rPr>
        <w:t xml:space="preserve">۱۶۴۲. تهران؛ ملی؛ شماره نسخه: ۱۷۶۳۷</w:t>
      </w:r>
    </w:p>
    <w:p>
      <w:pPr>
        <w:pStyle w:val="BookText"/>
      </w:pPr>
      <w:r>
        <w:rPr>
          <w:rFonts w:ascii="IRNazanin" w:hAnsi="IRNazanin" w:eastAsia="IRNazanin" w:cs="IRNazanin"/>
          <w:lang w:bidi="fa-IR"/>
          <w:color w:val="111111"/>
          <w:sz w:val="28"/>
          <w:szCs w:val="28"/>
          <w:rtl/>
        </w:rPr>
        <w:t xml:space="preserve">منتخباتی از دیوان های برخی شعرا، منتخبی از دیوان ظهیر فاریابی و ...؛ كا: محمد وثوق، تا: ۱۳۳۹ق؛ انتقالی از کتابخانه پهلوی- مجموعه نوازی؛ ۲۰۲گ، اندازه: ۱۴/۱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۲۱/۱سم [رایانه]</w:t>
      </w:r>
    </w:p>
    <w:p>
      <w:pPr>
        <w:pStyle w:val="BookText"/>
      </w:pPr>
      <w:r>
        <w:rPr>
          <w:rFonts w:ascii="IRNazanin" w:hAnsi="IRNazanin" w:eastAsia="IRNazanin" w:cs="IRNazanin"/>
          <w:lang w:bidi="fa-IR"/>
          <w:color w:val="111111"/>
          <w:sz w:val="28"/>
          <w:szCs w:val="28"/>
          <w:rtl/>
        </w:rPr>
        <w:t xml:space="preserve">۱۶۴۳. قم؛ مرعشی؛ شماره نسخه: ۵۷۸۶</w:t>
      </w:r>
    </w:p>
    <w:p>
      <w:pPr>
        <w:pStyle w:val="BookText"/>
      </w:pPr>
      <w:r>
        <w:rPr>
          <w:rFonts w:ascii="IRNazanin" w:hAnsi="IRNazanin" w:eastAsia="IRNazanin" w:cs="IRNazanin"/>
          <w:lang w:bidi="fa-IR"/>
          <w:color w:val="111111"/>
          <w:sz w:val="28"/>
          <w:szCs w:val="28"/>
          <w:rtl/>
        </w:rPr>
        <w:t xml:space="preserve">آغاز: نحمد الله قائماً بالذات *** مالک الملک محيى الاموات/  مثبت الحق ما حى الباطل *** مهبط الوحى جامع الاشتات؛ انجـام: گنه جمله را بلطف بپوش*** حاجت جمله را بفضل برار / انـک انت ربنا الوهاب *** العزيز المهيمن التواب</w:t>
      </w:r>
    </w:p>
    <w:p>
      <w:pPr>
        <w:pStyle w:val="BookText"/>
      </w:pPr>
      <w:r>
        <w:rPr>
          <w:rFonts w:ascii="IRNazanin" w:hAnsi="IRNazanin" w:eastAsia="IRNazanin" w:cs="IRNazanin"/>
          <w:lang w:bidi="fa-IR"/>
          <w:color w:val="111111"/>
          <w:sz w:val="28"/>
          <w:szCs w:val="28"/>
          <w:rtl/>
        </w:rPr>
        <w:t xml:space="preserve">در این ترکیب بند که در یکصد و پنجاه بند می باشد، بشارت به آمدن علی محمد باب و حسینعلی بهاء داده شده و اثبات حقانیت  بهائیان را می خواهد بنماید البته اشعار سست و ابیات عربی آن غلط است؛ خط: نسخ، کا: ابوالحسن نیریزی، تا: ربیع الثانی ۱۳۴۰ق؛ در پایان قصیده ای به سال ۱۳۴۵ افزوده شده ؛جلد: مقوایی عطف پارچه ،۸۶گ، ۱۰ سطر،اندازه: ۱۰</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۱۷سم [ف: ۱۵ – ۱۷۱]</w:t>
      </w:r>
    </w:p>
    <w:p>
      <w:pPr>
        <w:pStyle w:val="BookText"/>
      </w:pPr>
      <w:r>
        <w:rPr>
          <w:rFonts w:ascii="IRNazanin" w:hAnsi="IRNazanin" w:eastAsia="IRNazanin" w:cs="IRNazanin"/>
          <w:lang w:bidi="fa-IR"/>
          <w:color w:val="111111"/>
          <w:sz w:val="28"/>
          <w:szCs w:val="28"/>
          <w:rtl/>
        </w:rPr>
        <w:t xml:space="preserve">۱۶۴۴. تهران؛ ملی؛ شماره نسخه: ۱۶۸۹۷</w:t>
      </w:r>
    </w:p>
    <w:p>
      <w:pPr>
        <w:pStyle w:val="BookText"/>
      </w:pPr>
      <w:r>
        <w:rPr>
          <w:rFonts w:ascii="IRNazanin" w:hAnsi="IRNazanin" w:eastAsia="IRNazanin" w:cs="IRNazanin"/>
          <w:lang w:bidi="fa-IR"/>
          <w:color w:val="111111"/>
          <w:sz w:val="28"/>
          <w:szCs w:val="28"/>
          <w:rtl/>
        </w:rPr>
        <w:t xml:space="preserve">مجموعه شعر (رباعی)؛ بی کا، تا: ۱۳۴۱ق؛ انتقالی از کتابه پهلوی - مجموعه نوازی؛ ۵۰گ، اندازه: ۱۰/۳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۱۶/۳سم [ رایانه]</w:t>
      </w:r>
    </w:p>
    <w:p>
      <w:pPr>
        <w:pStyle w:val="BookText"/>
      </w:pPr>
      <w:r>
        <w:rPr>
          <w:rFonts w:ascii="IRNazanin" w:hAnsi="IRNazanin" w:eastAsia="IRNazanin" w:cs="IRNazanin"/>
          <w:lang w:bidi="fa-IR"/>
          <w:color w:val="111111"/>
          <w:sz w:val="28"/>
          <w:szCs w:val="28"/>
          <w:rtl/>
        </w:rPr>
        <w:t xml:space="preserve">۱۶۴۵. تهران؛ دانشگاه؛ شماره نسخه: ۳۷۷۸/۲</w:t>
      </w:r>
    </w:p>
    <w:p>
      <w:pPr>
        <w:pStyle w:val="BookText"/>
      </w:pPr>
      <w:r>
        <w:rPr>
          <w:rFonts w:ascii="IRNazanin" w:hAnsi="IRNazanin" w:eastAsia="IRNazanin" w:cs="IRNazanin"/>
          <w:lang w:bidi="fa-IR"/>
          <w:color w:val="111111"/>
          <w:sz w:val="28"/>
          <w:szCs w:val="28"/>
          <w:rtl/>
        </w:rPr>
        <w:t xml:space="preserve">شعرهای کیمیایی فارسی: میر حسین اخلاطی، میرفندرسکی، همتی ، آقا محمد بیدآبادی ،امانی، شیخ بهایی، مولوی، طاهری،شاه نعمة الله ولى، ابن عمو، طغرایی، شیخ ولی الله، شیخ عبدالله، بدیع طوسی ،شرف، ابن ولد؛ خط: شکسته نستعلیق، کا: ملا محـمد کفش دار آستانه عبدالعظیم، تا: ۱۳۴۱ق؛ کاغذ:فرنگی، جـلد: تيماج مشكى مقوایی، ۳۵ ص ،(۱-۳۵)، ۱۵ سطر (8</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۱۲ - ۲۷۶۸]</w:t>
      </w:r>
    </w:p>
    <w:p>
      <w:pPr>
        <w:pStyle w:val="BookText"/>
      </w:pPr>
      <w:r>
        <w:rPr>
          <w:rFonts w:ascii="IRNazanin" w:hAnsi="IRNazanin" w:eastAsia="IRNazanin" w:cs="IRNazanin"/>
          <w:lang w:bidi="fa-IR"/>
          <w:color w:val="111111"/>
          <w:sz w:val="28"/>
          <w:szCs w:val="28"/>
          <w:rtl/>
        </w:rPr>
        <w:t xml:space="preserve">۱۶۴۶. تهران؛ مجلس؛ شماره نسخه: ۱۰۶/۱-فیروز</w:t>
      </w:r>
    </w:p>
    <w:p>
      <w:pPr>
        <w:pStyle w:val="BookText"/>
      </w:pPr>
      <w:r>
        <w:rPr>
          <w:rFonts w:ascii="IRNazanin" w:hAnsi="IRNazanin" w:eastAsia="IRNazanin" w:cs="IRNazanin"/>
          <w:lang w:bidi="fa-IR"/>
          <w:color w:val="111111"/>
          <w:sz w:val="28"/>
          <w:szCs w:val="28"/>
          <w:rtl/>
        </w:rPr>
        <w:t xml:space="preserve">قصيده عيد شعبان. مسمطی متدارک است سروده میرزا سلیـمان خان معتمد السلطان نائب الحكومه اصفهان به مناسبت حلول عید پانزدهم شعبان و تشبیب آغاز آن به نام نوروز و بهار است. اینک ابیاتی از قصیده: «ساقی اندر قدح آتش تر فکن *** تیشه از می بساز ریشه غم بكن / مطرب اندوه خار کن تو از خار کن*** در حجاز از عراق شو نوائی بزن/ تا که شیرین کند شور آن کام من *** روز نوروز شد طرحی از نو بریز *** از شراب کهن جام  مملو بریز» ؛خط: نستعلیق ،كا: محمد علی، تا: ۱۳۴۲ق؛ کاغذ: فرنگی آهار مهره تیره ،جلد: تیماج قرمز یک لا، ۸ ص (۲-٩) دفتر، ۱۲سطر، قطع: نیم ،خشتی، اندازه: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۲۱ - ۲۳۴ ]</w:t>
      </w:r>
    </w:p>
    <w:p>
      <w:pPr>
        <w:pStyle w:val="BookText"/>
      </w:pPr>
      <w:r>
        <w:rPr>
          <w:rFonts w:ascii="IRNazanin" w:hAnsi="IRNazanin" w:eastAsia="IRNazanin" w:cs="IRNazanin"/>
          <w:lang w:bidi="fa-IR"/>
          <w:color w:val="111111"/>
          <w:sz w:val="28"/>
          <w:szCs w:val="28"/>
          <w:rtl/>
        </w:rPr>
        <w:t xml:space="preserve">۱۶۴۷. قم؛ گلپایگانی؛ شماره نسخه: ۴۲۶۳-۲۱/۱۸۳</w:t>
      </w:r>
    </w:p>
    <w:p>
      <w:pPr>
        <w:pStyle w:val="BookText"/>
      </w:pPr>
      <w:r>
        <w:rPr>
          <w:rFonts w:ascii="IRNazanin" w:hAnsi="IRNazanin" w:eastAsia="IRNazanin" w:cs="IRNazanin"/>
          <w:lang w:bidi="fa-IR"/>
          <w:color w:val="111111"/>
          <w:sz w:val="28"/>
          <w:szCs w:val="28"/>
          <w:rtl/>
        </w:rPr>
        <w:t xml:space="preserve">آغاز: صائب زخار و زار تعلق کشیده دامان باش *** زهر چه  می کشدت دل از او گریزان باش / قد نهال خم از بار منت ثـمر است *** ثمر قبول مکن سرو آن گلستان باش؛ انجام: در کوی تو گرد فتنه انگیختنی است*** در روی تو آبروی ما ریختنی است / چون ما سر پیوند تو داریم نخست *** پیوند دل از غیر تو بگسیختنی است</w:t>
      </w:r>
    </w:p>
    <w:p>
      <w:pPr>
        <w:pStyle w:val="BookText"/>
      </w:pPr>
      <w:r>
        <w:rPr>
          <w:rFonts w:ascii="IRNazanin" w:hAnsi="IRNazanin" w:eastAsia="IRNazanin" w:cs="IRNazanin"/>
          <w:lang w:bidi="fa-IR"/>
          <w:color w:val="111111"/>
          <w:sz w:val="28"/>
          <w:szCs w:val="28"/>
          <w:rtl/>
        </w:rPr>
        <w:t xml:space="preserve">جنگ اشعاری است که در قرن ۱۴ تدوین شده و شاعر در آن اشعار شاعران پارسی گوی و نیز شاعران معاصر خود را جمع آوری نموده (که از این جهت اهمیت دارد). اشعاری از: صادق ملا رجب، مجلس شهادت هارون ولایت، حسین نوقانی، یغمای جندقی، رضا نوغانی ،سنایی، همای شیرازی، ترجیع بند نوربخش، ترجیع بند هاتف، ترجیع بند ناصر خسرو و نعمت الله، نظامی، شیخ بهایی، مولوی، رباعيات ابوسعید ابوالخير، ترجیع بند صفی علیشاه و شاه صفی ،نورعلیشاه، وحشى، قرة العين، قصیده ای از منصور در مدح شاه، در مدح مصطفی خان، صادق ملارجب، عباس شیخ الاسلام زاده متخلص به مونس، دهقان محمدحسین خان بختیاری متخلص به ،پژمان ،اثیری ،طوفان ،جامی، کوکب خراسانی منشی باشی ،طبرستانی، مایل: وحید دستگردی ،هجری تفرشی، میرزا نصیر خیام، مغربی، ،قاآنی ،مشتاق،سائل رفیقی، شاطر عباس، دهقان جودی ،شوقی ،طبیب ،عاشق ،محتشم، شیخ بهایی، رضی الدین نیشابوری صافی اصفهانی، شاهی سبزواری، راغب اردبیلی، ذوقی اردستانی عریانی همدانی، ملک الشعراء، رباعيات بابا طاهر ،عریان ،فرمانفرما، غزل آقا میر سید علی شیرازی اوحدی، آقا مجتهد، حبيب اللهى در نصب شیخ الاسلام به ریاست بلدیه ،اصفهان، تصنیف های عارف، ابوعطا منقلیه میراز ابوالقاسم خان، یغمای جندقی و غزلی که جوای موقع توپ بستن مسجد شاه زمان حکومت اقبال الدوله به اصفهان ؛خط: شکسته نستعلیق، کا: غلامحسین، تا: ۱۳۴۳ق، جلد: تیماج مشکی ضربی مجدول، ۱۱۸گ، ۵-۳ ستونی،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۳ - ۱۲۵۴]</w:t>
      </w:r>
    </w:p>
    <w:p>
      <w:pPr>
        <w:pStyle w:val="BookText"/>
      </w:pPr>
      <w:r>
        <w:rPr>
          <w:rFonts w:ascii="IRNazanin" w:hAnsi="IRNazanin" w:eastAsia="IRNazanin" w:cs="IRNazanin"/>
          <w:lang w:bidi="fa-IR"/>
          <w:color w:val="111111"/>
          <w:sz w:val="28"/>
          <w:szCs w:val="28"/>
          <w:rtl/>
        </w:rPr>
        <w:t xml:space="preserve">1648 . قم؛ مرکز احیاء؛ شماره نسخه: ۲۰۹۶/۳</w:t>
      </w:r>
    </w:p>
    <w:p>
      <w:pPr>
        <w:pStyle w:val="BookText"/>
      </w:pPr>
      <w:r>
        <w:rPr>
          <w:rFonts w:ascii="IRNazanin" w:hAnsi="IRNazanin" w:eastAsia="IRNazanin" w:cs="IRNazanin"/>
          <w:lang w:bidi="fa-IR"/>
          <w:color w:val="111111"/>
          <w:sz w:val="28"/>
          <w:szCs w:val="28"/>
          <w:rtl/>
        </w:rPr>
        <w:t xml:space="preserve">آغاز: ز شست ناوک اندازی نگاهت خسته ام این دم *** به تاب کاکلت از رشته جان بسته ام این دم</w:t>
      </w:r>
    </w:p>
    <w:p>
      <w:pPr>
        <w:pStyle w:val="BookText"/>
      </w:pPr>
      <w:r>
        <w:rPr>
          <w:rFonts w:ascii="IRNazanin" w:hAnsi="IRNazanin" w:eastAsia="IRNazanin" w:cs="IRNazanin"/>
          <w:lang w:bidi="fa-IR"/>
          <w:color w:val="111111"/>
          <w:sz w:val="28"/>
          <w:szCs w:val="28"/>
          <w:rtl/>
        </w:rPr>
        <w:t xml:space="preserve">نسخه اصل: کتابخانه گنج بخش - پاکستان ۴۰۷. مشتمل بر انواع شعر در قالب دو بیتی ،رباعی ،مخمس ،فرد، غزل، قطعه، قصیده ،معما، مناجات نامه و ... . در حدود ۲۰۰۰ بیت از شاعرانی همچون: میر محمد محتشم ،جامی ،عصمت، عمر خان ،مولوی ،مشفقی ،امیری ،حافظ ،قادری، میرزا عبدالقيوم كیشی، حاجى مير عبد الله قاضی مهاجر بخاری نژاد و میرزا احمد مهاجر؛ خط: نستعليق، كا: عبدالله بیک کابلی بخاری نژاد، تا: سلخ رجب ۱۳۴۵ق؛ ۱۶۱ ص (۱۴۵-۳۰۶) [ عکسی ف: ۶ - ۱۲۱]</w:t>
      </w:r>
    </w:p>
    <w:p>
      <w:pPr>
        <w:pStyle w:val="BookText"/>
      </w:pPr>
      <w:r>
        <w:rPr>
          <w:rFonts w:ascii="IRNazanin" w:hAnsi="IRNazanin" w:eastAsia="IRNazanin" w:cs="IRNazanin"/>
          <w:lang w:bidi="fa-IR"/>
          <w:color w:val="111111"/>
          <w:sz w:val="28"/>
          <w:szCs w:val="28"/>
          <w:rtl/>
        </w:rPr>
        <w:t xml:space="preserve">۱۶۴۹ یزد؛ وزیری؛ شماره نسخه: ۴۰۰۶</w:t>
      </w:r>
    </w:p>
    <w:p>
      <w:pPr>
        <w:pStyle w:val="BookText"/>
      </w:pPr>
      <w:r>
        <w:rPr>
          <w:rFonts w:ascii="IRNazanin" w:hAnsi="IRNazanin" w:eastAsia="IRNazanin" w:cs="IRNazanin"/>
          <w:lang w:bidi="fa-IR"/>
          <w:color w:val="111111"/>
          <w:sz w:val="28"/>
          <w:szCs w:val="28"/>
          <w:rtl/>
        </w:rPr>
        <w:t xml:space="preserve">بی کا، تا: ۱۳۴۶ق [ نشریه: ۱۳ - ۳۵۴]</w:t>
      </w:r>
    </w:p>
    <w:p>
      <w:pPr>
        <w:pStyle w:val="BookText"/>
      </w:pPr>
      <w:r>
        <w:rPr>
          <w:rFonts w:ascii="IRNazanin" w:hAnsi="IRNazanin" w:eastAsia="IRNazanin" w:cs="IRNazanin"/>
          <w:lang w:bidi="fa-IR"/>
          <w:color w:val="111111"/>
          <w:sz w:val="28"/>
          <w:szCs w:val="28"/>
          <w:rtl/>
        </w:rPr>
        <w:t xml:space="preserve">۱۶۵۰. تهران؛ دانشگاه شماره نسخه: ۸۵۸۰</w:t>
      </w:r>
    </w:p>
    <w:p>
      <w:pPr>
        <w:pStyle w:val="BookText"/>
      </w:pPr>
      <w:r>
        <w:rPr>
          <w:rFonts w:ascii="IRNazanin" w:hAnsi="IRNazanin" w:eastAsia="IRNazanin" w:cs="IRNazanin"/>
          <w:lang w:bidi="fa-IR"/>
          <w:color w:val="111111"/>
          <w:sz w:val="28"/>
          <w:szCs w:val="28"/>
          <w:rtl/>
        </w:rPr>
        <w:t xml:space="preserve">قصاید عنصری و گزیده ای از شعرهای منوچهری،فرخی، لامعی گرگانی ؛خط: نستعلیق، کا: احمد کردستانی، تا: سه شنبه ۲۴
</w:t>
      </w:r>
    </w:p>
    <w:p>
      <w:pPr>
        <w:sectPr>
          <w:footerReference w:type="default" r:id="rId8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ذیقعده ۱۳۴۷ق؛ کاتب پیرو طریق عثمانی؛ کاغذ: فرنگی، جـلد: تیماج حنایی ضربی مقوایی ،۱۲۶گ، ۱۳ سطر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قـطع: ربعی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 ۱۷ - ۱۶۵]</w:t>
      </w:r>
    </w:p>
    <w:p>
      <w:pPr>
        <w:pStyle w:val="BookText"/>
      </w:pPr>
      <w:r>
        <w:rPr>
          <w:rFonts w:ascii="IRNazanin" w:hAnsi="IRNazanin" w:eastAsia="IRNazanin" w:cs="IRNazanin"/>
          <w:lang w:bidi="fa-IR"/>
          <w:color w:val="111111"/>
          <w:sz w:val="28"/>
          <w:szCs w:val="28"/>
          <w:rtl/>
        </w:rPr>
        <w:t xml:space="preserve">۱۶۵۱. مشهد؛ رضوی؛ شماره نسخه: ۱۱۷۹۵</w:t>
      </w:r>
    </w:p>
    <w:p>
      <w:pPr>
        <w:pStyle w:val="BookText"/>
      </w:pPr>
      <w:r>
        <w:rPr>
          <w:rFonts w:ascii="IRNazanin" w:hAnsi="IRNazanin" w:eastAsia="IRNazanin" w:cs="IRNazanin"/>
          <w:lang w:bidi="fa-IR"/>
          <w:color w:val="111111"/>
          <w:sz w:val="28"/>
          <w:szCs w:val="28"/>
          <w:rtl/>
        </w:rPr>
        <w:t xml:space="preserve">آغاز: صاحب تذکره هفت اقلیم در توصیف او شرحی نگاشته است؛ انجام: زبده اشعار مرحوم قطران تا اینجا خاتمه پیدا کرد.</w:t>
      </w:r>
    </w:p>
    <w:p>
      <w:pPr>
        <w:pStyle w:val="BookText"/>
      </w:pPr>
      <w:r>
        <w:rPr>
          <w:rFonts w:ascii="IRNazanin" w:hAnsi="IRNazanin" w:eastAsia="IRNazanin" w:cs="IRNazanin"/>
          <w:lang w:bidi="fa-IR"/>
          <w:color w:val="111111"/>
          <w:sz w:val="28"/>
          <w:szCs w:val="28"/>
          <w:rtl/>
        </w:rPr>
        <w:t xml:space="preserve">اشعاری از: قوامی رازی، قابوس وشمگیر ،کافی ظهیرالدین همدانی، کافی بخارائی، کسائی مروزی، ناصر خسرو کمال بخارائی، کمال الدین مراغی، کوهی شیرازی، کوشککی قاینی، کاووس دیلمی، لامعی جرجانی، احمد خان گیلانی، شاه شجـاع، سلطان احمد، اکبر شاه بابری گورگانی، امیر ابو اسحق، القاص میرزا صفوی، انور شیرازی، ابو سعید بهادر چنگیزی، افسر قاجـار، انصاف قاجار، آگاه قاجار، خاقانی شروانی و قطران تبریزی،که سید مهدی امیر جوانبخت از خوشنویسان معاصر اشعار شعـراء مزبور را از روی تذکره های «مجمع الفصحاء» هدايت و «هـفت اقلیم» امین احمد رازی استنساخ کرده است؛ خط: نستعلیق، کاتب= مؤلف، تا:۱۳۴۹ق؛ واقف: جامع؛ کاغذ: کاغذ شکری فرنگی ،جلد: مقوایی، ۲۱۶گ، ۱۳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۹ - 106]</w:t>
      </w:r>
    </w:p>
    <w:p>
      <w:pPr>
        <w:pStyle w:val="BookText"/>
      </w:pPr>
      <w:r>
        <w:rPr>
          <w:rFonts w:ascii="IRNazanin" w:hAnsi="IRNazanin" w:eastAsia="IRNazanin" w:cs="IRNazanin"/>
          <w:lang w:bidi="fa-IR"/>
          <w:color w:val="111111"/>
          <w:sz w:val="28"/>
          <w:szCs w:val="28"/>
          <w:rtl/>
        </w:rPr>
        <w:t xml:space="preserve">۱۶۵۲. تهران؛ ملی؛ شماره نسخه: ۷۰۹۴</w:t>
      </w:r>
    </w:p>
    <w:p>
      <w:pPr>
        <w:pStyle w:val="BookText"/>
      </w:pPr>
      <w:r>
        <w:rPr>
          <w:rFonts w:ascii="IRNazanin" w:hAnsi="IRNazanin" w:eastAsia="IRNazanin" w:cs="IRNazanin"/>
          <w:lang w:bidi="fa-IR"/>
          <w:color w:val="111111"/>
          <w:sz w:val="28"/>
          <w:szCs w:val="28"/>
          <w:rtl/>
        </w:rPr>
        <w:t xml:space="preserve">آغاز: بسمله. دلا اگر آرزو داری که بخشد امیر داور گناهان ترا یکسر نهی چون پای در محشر؛ انجام: یا حسین مشهور دارد دوستداران را تمام آتش دوزخ کند بر دوستان شه حرام</w:t>
      </w:r>
    </w:p>
    <w:p>
      <w:pPr>
        <w:pStyle w:val="BookText"/>
      </w:pPr>
      <w:r>
        <w:rPr>
          <w:rFonts w:ascii="IRNazanin" w:hAnsi="IRNazanin" w:eastAsia="IRNazanin" w:cs="IRNazanin"/>
          <w:lang w:bidi="fa-IR"/>
          <w:color w:val="111111"/>
          <w:sz w:val="28"/>
          <w:szCs w:val="28"/>
          <w:rtl/>
        </w:rPr>
        <w:t xml:space="preserve">را مجموعه اشعار در مدح و منقبت با عناوین منقبت، قصه بهارییه، در وصف بهار در مدح علی شیر خدا، تزویج حضرت فاطمه سلام الله عليها به علی مرتضی (علیها السّلام) در مدح منقبت مولاء متقیـان فاطمه زهرا قصه شب عاشورا، در شهادت طفلان مسـلم، قصه حر و...؛ خط: شکسته نستعلیق، کا: حمید، تا: ۱۳۵۱ق؛ خرید از رستاخیز ؛کاغذ: دفترچه ای، ۴۵گ، مختلف السطر، اندازه: ۱۵/۸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۱۹/۸سم [رایانه ]</w:t>
      </w:r>
    </w:p>
    <w:p>
      <w:pPr>
        <w:pStyle w:val="BookText"/>
      </w:pPr>
      <w:r>
        <w:rPr>
          <w:rFonts w:ascii="IRNazanin" w:hAnsi="IRNazanin" w:eastAsia="IRNazanin" w:cs="IRNazanin"/>
          <w:lang w:bidi="fa-IR"/>
          <w:color w:val="111111"/>
          <w:sz w:val="28"/>
          <w:szCs w:val="28"/>
          <w:rtl/>
        </w:rPr>
        <w:t xml:space="preserve">۱۶۵۳ .قم؛ معصومیه؛ شماره نسخه: ۳۸۳</w:t>
      </w:r>
    </w:p>
    <w:p>
      <w:pPr>
        <w:pStyle w:val="BookText"/>
      </w:pPr>
      <w:r>
        <w:rPr>
          <w:rFonts w:ascii="IRNazanin" w:hAnsi="IRNazanin" w:eastAsia="IRNazanin" w:cs="IRNazanin"/>
          <w:lang w:bidi="fa-IR"/>
          <w:color w:val="111111"/>
          <w:sz w:val="28"/>
          <w:szCs w:val="28"/>
          <w:rtl/>
        </w:rPr>
        <w:t xml:space="preserve">آغاز: ای به درگاه تو درویش و توانگر محتاج *** بسکه دریای کرمهای تو باشد مواج / گرد و صد معصیت از خلق به بینی دم*** هیچکس را، زدر خویش نسازی اخراج؛ انجام: در عالم مظاهر شیخ شریعتم *** در کشور حقایق پیر طریقتم / در شرع شیخ شـهر شدیم اور گمرهان (چنین) *** در شاه عشق راهل هدایتم چنین</w:t>
      </w:r>
    </w:p>
    <w:p>
      <w:pPr>
        <w:pStyle w:val="BookText"/>
      </w:pPr>
      <w:r>
        <w:rPr>
          <w:rFonts w:ascii="IRNazanin" w:hAnsi="IRNazanin" w:eastAsia="IRNazanin" w:cs="IRNazanin"/>
          <w:lang w:bidi="fa-IR"/>
          <w:color w:val="111111"/>
          <w:sz w:val="28"/>
          <w:szCs w:val="28"/>
          <w:rtl/>
        </w:rPr>
        <w:t xml:space="preserve">شعرهائی در موضوع ،اخلاق ،عرفان، سوگواری و جز آنها به صورت غزل، مخمس رباعی و دیگر گونه از: واعظ قزوینی، خواجه عبدالله انصاری، و دیگران فراهم آورده؛ خط: نستعلیق، بی کا، تا: حدود ۱۳۵۴ق؛ جلد: تیماج مشکی، بی مقوا، ۱۷۱گ،مختلف السطر ،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۱۷/۵سم [ف: ۱ - ۳۶۳]</w:t>
      </w:r>
    </w:p>
    <w:p>
      <w:pPr>
        <w:pStyle w:val="BookText"/>
      </w:pPr>
      <w:r>
        <w:rPr>
          <w:rFonts w:ascii="IRNazanin" w:hAnsi="IRNazanin" w:eastAsia="IRNazanin" w:cs="IRNazanin"/>
          <w:lang w:bidi="fa-IR"/>
          <w:color w:val="111111"/>
          <w:sz w:val="28"/>
          <w:szCs w:val="28"/>
          <w:rtl/>
        </w:rPr>
        <w:t xml:space="preserve">۱۶۵۴. مشهد؛ رضوی؛ شماره نسخه: ۱۳۲۳۹</w:t>
      </w:r>
    </w:p>
    <w:p>
      <w:pPr>
        <w:pStyle w:val="BookText"/>
      </w:pPr>
      <w:r>
        <w:rPr>
          <w:rFonts w:ascii="IRNazanin" w:hAnsi="IRNazanin" w:eastAsia="IRNazanin" w:cs="IRNazanin"/>
          <w:lang w:bidi="fa-IR"/>
          <w:color w:val="111111"/>
          <w:sz w:val="28"/>
          <w:szCs w:val="28"/>
          <w:rtl/>
        </w:rPr>
        <w:t xml:space="preserve">آغاز: در صنع تو کامد از عدم پیش؛ انجام: سال ۱۳۶۱ نوشته شد منتخب اشعار است. جامع کاظم مدیر شانه چی؛ خط: مختلف،</w:t>
      </w:r>
    </w:p>
    <w:p>
      <w:pPr>
        <w:pStyle w:val="BookText"/>
      </w:pPr>
      <w:r>
        <w:rPr>
          <w:rFonts w:ascii="IRNazanin" w:hAnsi="IRNazanin" w:eastAsia="IRNazanin" w:cs="IRNazanin"/>
          <w:lang w:bidi="fa-IR"/>
          <w:color w:val="111111"/>
          <w:sz w:val="28"/>
          <w:szCs w:val="28"/>
          <w:rtl/>
        </w:rPr>
        <w:t xml:space="preserve">کا: مدیر شانه چی، تا: ۱۳۶۱ق؛ کاغذ: نخودی، جلد: مقوا [الفبائی: -556 ]</w:t>
      </w:r>
    </w:p>
    <w:p>
      <w:pPr>
        <w:pStyle w:val="BookText"/>
      </w:pPr>
      <w:r>
        <w:rPr>
          <w:rFonts w:ascii="IRNazanin" w:hAnsi="IRNazanin" w:eastAsia="IRNazanin" w:cs="IRNazanin"/>
          <w:lang w:bidi="fa-IR"/>
          <w:color w:val="111111"/>
          <w:sz w:val="28"/>
          <w:szCs w:val="28"/>
          <w:rtl/>
        </w:rPr>
        <w:t xml:space="preserve">۴. مشهد؛ رضوی؛ شماره نسخه: ۱۳۱۹۶</w:t>
      </w:r>
    </w:p>
    <w:p>
      <w:pPr>
        <w:pStyle w:val="BookText"/>
      </w:pPr>
      <w:r>
        <w:rPr>
          <w:rFonts w:ascii="IRNazanin" w:hAnsi="IRNazanin" w:eastAsia="IRNazanin" w:cs="IRNazanin"/>
          <w:lang w:bidi="fa-IR"/>
          <w:color w:val="111111"/>
          <w:sz w:val="28"/>
          <w:szCs w:val="28"/>
          <w:rtl/>
        </w:rPr>
        <w:t xml:space="preserve">آغاز: بسمله حمدله ... الحمد سزاوار خدای احد است *** کو لم یلد و يولد و فرد و صمد است؛ انجام: کردند از این ندا خلایق بد و نیم *** نیمی در خلد و نیمی اندر نیران</w:t>
      </w:r>
    </w:p>
    <w:p>
      <w:pPr>
        <w:pStyle w:val="BookText"/>
      </w:pPr>
      <w:r>
        <w:rPr>
          <w:rFonts w:ascii="IRNazanin" w:hAnsi="IRNazanin" w:eastAsia="IRNazanin" w:cs="IRNazanin"/>
          <w:lang w:bidi="fa-IR"/>
          <w:color w:val="111111"/>
          <w:sz w:val="28"/>
          <w:szCs w:val="28"/>
          <w:rtl/>
        </w:rPr>
        <w:t xml:space="preserve">رباعيات فى بيان خير الديانات. مجموعه از رباعیات در عقاید شیعی در نبوت، در معنی کنت کنزا مخفیا، در عدل، در حکمت تشریع شرع ،در تعیین مذهب اثنا عشری برای سالک راه داوری، در ذکر بعضی از مختصات مذهب اثنا عشری رباعی در ذکر فروع دین و .... از شاعری به نام حبیب الله [رضی یا سهی] (غیر مقروء) که در انتها کتاب نامش آمده است و این رباعی شاید دلیلی باشد:ایشاه حبیب خود میفکن از نظر *** کر چه بودش گنه زاندازه بدر/ هر چند بدم لطیف شما هست کثیر *** این بنده هم از سگان کویت بشمر؛ خط: نسخ، بی کا، تا: رمضان ۱۳۶۶ق؛ کاتب احتمالاً ناظم؛ کاغذ: نخودی ،جلد: میشن یک لا قهوه ای، ۵۸گ،  ۱۰ سطر، اندازه: ۸/۲۲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۱۳/۵سم [ف : ۱۷ - ۲۶۸]</w:t>
      </w:r>
    </w:p>
    <w:p>
      <w:pPr>
        <w:pStyle w:val="BookText"/>
      </w:pPr>
      <w:r>
        <w:rPr>
          <w:rFonts w:ascii="IRNazanin" w:hAnsi="IRNazanin" w:eastAsia="IRNazanin" w:cs="IRNazanin"/>
          <w:lang w:bidi="fa-IR"/>
          <w:color w:val="111111"/>
          <w:sz w:val="28"/>
          <w:szCs w:val="28"/>
          <w:rtl/>
        </w:rPr>
        <w:t xml:space="preserve">۱۶۵۵. تهران؛ سپهسالار؛ شماره نسخه: ۲۵۱</w:t>
      </w:r>
    </w:p>
    <w:p>
      <w:pPr>
        <w:pStyle w:val="BookText"/>
      </w:pPr>
      <w:r>
        <w:rPr>
          <w:rFonts w:ascii="IRNazanin" w:hAnsi="IRNazanin" w:eastAsia="IRNazanin" w:cs="IRNazanin"/>
          <w:lang w:bidi="fa-IR"/>
          <w:color w:val="111111"/>
          <w:sz w:val="28"/>
          <w:szCs w:val="28"/>
          <w:rtl/>
        </w:rPr>
        <w:t xml:space="preserve">اشعاری از شاه نعمة الله ولی (گ ۱۷۱ر)، ساقی نامه میرفتاح مراغه ای (۱۷ر-۲۴پ)، ریاض الفتوح میرفتاح (24پ- 37ر)، غزلیات عطار (۳۸ ر - ۴۷ر) غزلیات شاه نعمة الله ولی (۴۷ر-۴۹پ) منظومات سنایی (۴۹ پ -۵۱ پ) غزلیات و ترجیع مغربی (۵۱ پ -۷۸ر) منتخب غزلیات ملای روم (۷۸-۲۱۴پ)، رباعیات ملای روم (۲۱۵ ر - ۲۱۹ پ) غزلیات فیض کاشی (۳۲۰ر-۲۳۳ر)؛ خط: نستعلیق، کا: اسماعیل بن حاجی مقیم سمنانی سرخه ای، تا: ۱۳۷۸ ق ؛جا :مدرسه صدر تهران؛ مالک: اعتضادالسلطنه در ۱۲۹۴ق؛ واقف: سپهسالار ۱۲۹۷ق؛ کاغذ: فرنگی آهار مهره ،سفید ،جلد: تیماج سرخ ضربی ،مقوایی، ۲۳۳گ، ۱۶ 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۴ - ۵۵]</w:t>
      </w:r>
    </w:p>
    <w:p>
      <w:pPr>
        <w:pStyle w:val="BookText"/>
      </w:pPr>
      <w:r>
        <w:rPr>
          <w:rFonts w:ascii="IRNazanin" w:hAnsi="IRNazanin" w:eastAsia="IRNazanin" w:cs="IRNazanin"/>
          <w:lang w:bidi="fa-IR"/>
          <w:color w:val="111111"/>
          <w:sz w:val="28"/>
          <w:szCs w:val="28"/>
          <w:rtl/>
        </w:rPr>
        <w:t xml:space="preserve">۱۶۵۶ . مشهد؛ رضوی؛ شماره نسخه: ۲۸۴۹۲</w:t>
      </w:r>
    </w:p>
    <w:p>
      <w:pPr>
        <w:pStyle w:val="BookText"/>
      </w:pPr>
      <w:r>
        <w:rPr>
          <w:rFonts w:ascii="IRNazanin" w:hAnsi="IRNazanin" w:eastAsia="IRNazanin" w:cs="IRNazanin"/>
          <w:lang w:bidi="fa-IR"/>
          <w:color w:val="111111"/>
          <w:sz w:val="28"/>
          <w:szCs w:val="28"/>
          <w:rtl/>
        </w:rPr>
        <w:t xml:space="preserve">آغاز: بسمله بنام شاهد تارک خیالان عزیز خاطر آشفته حالان...؛ انجام: سراب ده درین غارب بنویس چکیدن کن گناهم را فراموش</w:t>
      </w:r>
    </w:p>
    <w:p>
      <w:pPr>
        <w:pStyle w:val="BookText"/>
      </w:pPr>
      <w:r>
        <w:rPr>
          <w:rFonts w:ascii="IRNazanin" w:hAnsi="IRNazanin" w:eastAsia="IRNazanin" w:cs="IRNazanin"/>
          <w:lang w:bidi="fa-IR"/>
          <w:color w:val="111111"/>
          <w:sz w:val="28"/>
          <w:szCs w:val="28"/>
          <w:rtl/>
        </w:rPr>
        <w:t xml:space="preserve">مثنوی غنیمت؛ خط: نستعلیق، بی کا، تا: ۱۸۲۲ق؛ ضمیمه نسخه ش ۲۸۴۹۱؛ کاغذ: نخودی، جلد: تیماج زرکوب مزین به حاشیه زنجیره ای زرکوب [رایانه ]</w:t>
      </w:r>
    </w:p>
    <w:p>
      <w:pPr>
        <w:pStyle w:val="BookText"/>
      </w:pPr>
      <w:r>
        <w:rPr>
          <w:rFonts w:ascii="IRNazanin" w:hAnsi="IRNazanin" w:eastAsia="IRNazanin" w:cs="IRNazanin"/>
          <w:lang w:bidi="fa-IR"/>
          <w:color w:val="111111"/>
          <w:sz w:val="28"/>
          <w:szCs w:val="28"/>
          <w:rtl/>
        </w:rPr>
        <w:t xml:space="preserve">۱۶۵۷ . قم؛ گلپایگانی؛ شماره نسخه: ۹۹۳/۴-۶/۸۳</w:t>
      </w:r>
    </w:p>
    <w:p>
      <w:pPr>
        <w:pStyle w:val="BookText"/>
      </w:pPr>
      <w:r>
        <w:rPr>
          <w:rFonts w:ascii="IRNazanin" w:hAnsi="IRNazanin" w:eastAsia="IRNazanin" w:cs="IRNazanin"/>
          <w:lang w:bidi="fa-IR"/>
          <w:color w:val="111111"/>
          <w:sz w:val="28"/>
          <w:szCs w:val="28"/>
          <w:rtl/>
        </w:rPr>
        <w:t xml:space="preserve">آغاز: ضیاء اصفهانی عليه الرحمة والغفران ای بت هرزه گرد هر جایی*** ای بر آسوده سر به رسوایی / هرزه گردی و باده پیمایی *** عاقبت می کشد به رسوایی؛ انجام: چون بهینه مایه ات زدست برفت *** هر چه سود آیدت زیان پندار</w:t>
      </w:r>
    </w:p>
    <w:p>
      <w:pPr>
        <w:pStyle w:val="BookText"/>
      </w:pPr>
      <w:r>
        <w:rPr>
          <w:rFonts w:ascii="IRNazanin" w:hAnsi="IRNazanin" w:eastAsia="IRNazanin" w:cs="IRNazanin"/>
          <w:lang w:bidi="fa-IR"/>
          <w:color w:val="111111"/>
          <w:sz w:val="28"/>
          <w:szCs w:val="28"/>
          <w:rtl/>
        </w:rPr>
        <w:t xml:space="preserve">اشعاری است از شعرای مختلف همچون ضیاء اصفهانی، ترجیع بند هاتف اصفهانی:« ای فدای تو هم دل و هم جان ...»، و خاقانی؛
</w:t>
      </w:r>
    </w:p>
    <w:p>
      <w:pPr>
        <w:sectPr>
          <w:footerReference w:type="default" r:id="rId8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 نستعلیق، بی کا، بی تا: ۲۰گ، ۱۸ سطر، اندازه: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۱ - ۳۷۱]</w:t>
      </w:r>
    </w:p>
    <w:p>
      <w:pPr>
        <w:pStyle w:val="BookText"/>
      </w:pPr>
      <w:r>
        <w:rPr>
          <w:rFonts w:ascii="IRNazanin" w:hAnsi="IRNazanin" w:eastAsia="IRNazanin" w:cs="IRNazanin"/>
          <w:lang w:bidi="fa-IR"/>
          <w:color w:val="111111"/>
          <w:sz w:val="28"/>
          <w:szCs w:val="28"/>
          <w:rtl/>
        </w:rPr>
        <w:t xml:space="preserve">۱۶۵۸ . قم؛ گلپایگانی؛ شماره نسخه: ۳۸۱۰-۱۹/۱۴۰</w:t>
      </w:r>
    </w:p>
    <w:p>
      <w:pPr>
        <w:pStyle w:val="BookText"/>
      </w:pPr>
      <w:r>
        <w:rPr>
          <w:rFonts w:ascii="IRNazanin" w:hAnsi="IRNazanin" w:eastAsia="IRNazanin" w:cs="IRNazanin"/>
          <w:lang w:bidi="fa-IR"/>
          <w:color w:val="111111"/>
          <w:sz w:val="28"/>
          <w:szCs w:val="28"/>
          <w:rtl/>
        </w:rPr>
        <w:t xml:space="preserve">آغاز: بسمله بده ساغی آن ساغر لاله گون *** که آید زرنگ میش بوی خون / دمی زان میم بررک و پی بدم*** که خواهم به کوه احد زد قدم؛ انجام: به فردوس گسترده رضوان بساط*** در افتاد حوران به رقص از نشاط / ملایک همه چهره افروختند*** شیاطین پرها زغم سوختند</w:t>
      </w:r>
    </w:p>
    <w:p>
      <w:pPr>
        <w:pStyle w:val="BookText"/>
      </w:pPr>
      <w:r>
        <w:rPr>
          <w:rFonts w:ascii="IRNazanin" w:hAnsi="IRNazanin" w:eastAsia="IRNazanin" w:cs="IRNazanin"/>
          <w:lang w:bidi="fa-IR"/>
          <w:color w:val="111111"/>
          <w:sz w:val="28"/>
          <w:szCs w:val="28"/>
          <w:rtl/>
        </w:rPr>
        <w:t xml:space="preserve">دیوان مختصری است در وصف جنگ های و فضایل امیرالمؤمـنین (علیه السّلام)؛ خط: نستعلیق، بی کا، بی تا؛ جلد: مقوایی، ۲۸ گ، ۱۵ سـطر،</w:t>
      </w:r>
    </w:p>
    <w:p>
      <w:pPr>
        <w:pStyle w:val="BookText"/>
      </w:pPr>
      <w:r>
        <w:rPr>
          <w:rFonts w:ascii="IRNazanin" w:hAnsi="IRNazanin" w:eastAsia="IRNazanin" w:cs="IRNazanin"/>
          <w:lang w:bidi="fa-IR"/>
          <w:color w:val="111111"/>
          <w:sz w:val="28"/>
          <w:szCs w:val="28"/>
          <w:rtl/>
        </w:rPr>
        <w:t xml:space="preserve">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 سم [ف: ۴ - ۱۸۵۴]</w:t>
      </w:r>
    </w:p>
    <w:p>
      <w:pPr>
        <w:pStyle w:val="BookText"/>
      </w:pPr>
      <w:r>
        <w:rPr>
          <w:rFonts w:ascii="IRNazanin" w:hAnsi="IRNazanin" w:eastAsia="IRNazanin" w:cs="IRNazanin"/>
          <w:lang w:bidi="fa-IR"/>
          <w:color w:val="111111"/>
          <w:sz w:val="28"/>
          <w:szCs w:val="28"/>
          <w:rtl/>
        </w:rPr>
        <w:t xml:space="preserve">۱۶۵۹ . قم؛ گلپایگانی؛ شماره نسخه: ۳۱۸۸-۱۶/۱۹۸</w:t>
      </w:r>
    </w:p>
    <w:p>
      <w:pPr>
        <w:pStyle w:val="BookText"/>
      </w:pPr>
      <w:r>
        <w:rPr>
          <w:rFonts w:ascii="IRNazanin" w:hAnsi="IRNazanin" w:eastAsia="IRNazanin" w:cs="IRNazanin"/>
          <w:lang w:bidi="fa-IR"/>
          <w:color w:val="111111"/>
          <w:sz w:val="28"/>
          <w:szCs w:val="28"/>
          <w:rtl/>
        </w:rPr>
        <w:t xml:space="preserve">آغاز: بسمله تعبیه روز عاشورا اول تعبیه کنیزک با پسران مسـلم هو. شما چو در در گرانمایه اید از چو صدف *** نجابت نصب و خویش دهید شرف؛ انجام: چو او برای شفاعت زجای برخـیزد*** گناهکار به سوی گناه بگریزد / چنان ز صولت او معصیت شـود بی تاب ***که دست شاه بیفتد گناه همچو ثواب</w:t>
      </w:r>
    </w:p>
    <w:p>
      <w:pPr>
        <w:pStyle w:val="BookText"/>
      </w:pPr>
      <w:r>
        <w:rPr>
          <w:rFonts w:ascii="IRNazanin" w:hAnsi="IRNazanin" w:eastAsia="IRNazanin" w:cs="IRNazanin"/>
          <w:lang w:bidi="fa-IR"/>
          <w:color w:val="111111"/>
          <w:sz w:val="28"/>
          <w:szCs w:val="28"/>
          <w:rtl/>
        </w:rPr>
        <w:t xml:space="preserve">بیاضی است مشتمل بر مراثی امام حسین و وقایع کربلا به نظم،در آن اشعاری از مقبل نیز نقل شده است؛ خط: شکسته، نستعلیق، محمد بن محمد ربیع خواجه نوری، تا: ۱۰۹۰- محرم ۱۲۰۱،جا: قريه كرات كن و مشهد سر؛ جلد: تیماج قهوه ای، ۷۸گ، ۱۳-14 سطر، قطع: بیاض رقعی،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۷ - ۴۲۶۷]</w:t>
      </w:r>
    </w:p>
    <w:p>
      <w:pPr>
        <w:pStyle w:val="BookText"/>
      </w:pPr>
      <w:r>
        <w:rPr>
          <w:rFonts w:ascii="IRNazanin" w:hAnsi="IRNazanin" w:eastAsia="IRNazanin" w:cs="IRNazanin"/>
          <w:lang w:bidi="fa-IR"/>
          <w:color w:val="111111"/>
          <w:sz w:val="28"/>
          <w:szCs w:val="28"/>
          <w:rtl/>
        </w:rPr>
        <w:t xml:space="preserve">۱۶۶۰ . قم؛ گلپایگانی؛ شماره نسخه: ۷۹۰۵-۳۹/۲۸۵</w:t>
      </w:r>
    </w:p>
    <w:p>
      <w:pPr>
        <w:pStyle w:val="BookText"/>
      </w:pPr>
      <w:r>
        <w:rPr>
          <w:rFonts w:ascii="IRNazanin" w:hAnsi="IRNazanin" w:eastAsia="IRNazanin" w:cs="IRNazanin"/>
          <w:lang w:bidi="fa-IR"/>
          <w:color w:val="111111"/>
          <w:sz w:val="28"/>
          <w:szCs w:val="28"/>
          <w:rtl/>
        </w:rPr>
        <w:t xml:space="preserve">آغاز: ای دوست در عزای تو دشمن گریسته *** نصرانی و مجوس و برهمن گریسته / هر کس که دید واقعه کربلا گریست *** هر کس ندید محض شنیدن گریسته؛ انجام: نفحات صبح دانی ز چه روی دوست دارم*** که بردی دوست ماند چه بر افکند نقابی</w:t>
      </w:r>
    </w:p>
    <w:p>
      <w:pPr>
        <w:pStyle w:val="BookText"/>
      </w:pPr>
      <w:r>
        <w:rPr>
          <w:rFonts w:ascii="IRNazanin" w:hAnsi="IRNazanin" w:eastAsia="IRNazanin" w:cs="IRNazanin"/>
          <w:lang w:bidi="fa-IR"/>
          <w:color w:val="111111"/>
          <w:sz w:val="28"/>
          <w:szCs w:val="28"/>
          <w:rtl/>
        </w:rPr>
        <w:t xml:space="preserve">بیاضی است شامل اشعاری در مراثی ائمه اطهار و سيد الشهـداء (علیهم السّلام) و برخی از اشعار دیگر از جمله از شاعری با تخلص «پیمان»، دوازده بند آقا باقر، مخمس سعدی، مخمس فیض، دوازده بند ملا رفیعا، مناجات، هفت بند ملا حسن فيض کاشانی، و چند غزل سعدی؛ خط: نسخ و نستعلیق، بی کا، تا: قرن ۱۳ و ۱۴ ؛جلد: مقوا، عطف گالینگور قهوه ای، ۷۰گ، چلیپایی، اندازه: 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2- 647]</w:t>
      </w:r>
    </w:p>
    <w:p>
      <w:pPr>
        <w:pStyle w:val="BookText"/>
      </w:pPr>
      <w:r>
        <w:rPr>
          <w:rFonts w:ascii="IRNazanin" w:hAnsi="IRNazanin" w:eastAsia="IRNazanin" w:cs="IRNazanin"/>
          <w:lang w:bidi="fa-IR"/>
          <w:color w:val="111111"/>
          <w:sz w:val="28"/>
          <w:szCs w:val="28"/>
          <w:rtl/>
        </w:rPr>
        <w:t xml:space="preserve">۱۶۶۱. قم؛ طبسی؛ شماره نسخه: ۷۶۷</w:t>
      </w:r>
    </w:p>
    <w:p>
      <w:pPr>
        <w:pStyle w:val="BookText"/>
      </w:pPr>
      <w:r>
        <w:rPr>
          <w:rFonts w:ascii="IRNazanin" w:hAnsi="IRNazanin" w:eastAsia="IRNazanin" w:cs="IRNazanin"/>
          <w:lang w:bidi="fa-IR"/>
          <w:color w:val="111111"/>
          <w:sz w:val="28"/>
          <w:szCs w:val="28"/>
          <w:rtl/>
        </w:rPr>
        <w:t xml:space="preserve">آغاز: ... جانا چه کنم مهر تو بر جان دارم *** مشتاق توام از تو چه پنهان دارم ... زد علم بر قبه عرش عظیم*** نام بسم الله الرحـمن الرحيم؛ انجام: شد مسلمان زدست آن سرور ***  طابع دین  شد آنچنان کافر / هر که شک آورد درین والا *** كافر ومرتد اسـت بذت الله</w:t>
      </w:r>
    </w:p>
    <w:p>
      <w:pPr>
        <w:pStyle w:val="BookText"/>
      </w:pPr>
      <w:r>
        <w:rPr>
          <w:rFonts w:ascii="IRNazanin" w:hAnsi="IRNazanin" w:eastAsia="IRNazanin" w:cs="IRNazanin"/>
          <w:lang w:bidi="fa-IR"/>
          <w:color w:val="111111"/>
          <w:sz w:val="28"/>
          <w:szCs w:val="28"/>
          <w:rtl/>
        </w:rPr>
        <w:t xml:space="preserve">اشعاری است در مدح و منقبت ائمه اطهار (علیهم السّلام) ، از جمله حدیثی را که سلمان پیرامون معجزه امام علی (علیه السّلام) نقل نموده را به نـظم</w:t>
      </w:r>
    </w:p>
    <w:p>
      <w:pPr>
        <w:pStyle w:val="BookText"/>
      </w:pPr>
      <w:r>
        <w:rPr>
          <w:rFonts w:ascii="IRNazanin" w:hAnsi="IRNazanin" w:eastAsia="IRNazanin" w:cs="IRNazanin"/>
          <w:lang w:bidi="fa-IR"/>
          <w:color w:val="111111"/>
          <w:sz w:val="28"/>
          <w:szCs w:val="28"/>
          <w:rtl/>
        </w:rPr>
        <w:t xml:space="preserve">کشیده، همچنین واقعه پناه جستن آهو به امام رضا (علیه السّلام) را به نظم درآورده، شاعر از خود با عنوان «احمد» نام می برد؛ خط: نستعلیق، بی کا، بی تا؛ جلد: مقوای آبی، ۲۵گ، ۱۵ 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مخ: ۱ - ۸۰]</w:t>
      </w:r>
    </w:p>
    <w:p>
      <w:pPr>
        <w:pStyle w:val="BookText"/>
      </w:pPr>
      <w:r>
        <w:rPr>
          <w:rFonts w:ascii="IRNazanin" w:hAnsi="IRNazanin" w:eastAsia="IRNazanin" w:cs="IRNazanin"/>
          <w:lang w:bidi="fa-IR"/>
          <w:color w:val="111111"/>
          <w:sz w:val="28"/>
          <w:szCs w:val="28"/>
          <w:rtl/>
        </w:rPr>
        <w:t xml:space="preserve">۱۶۶۲ . قم؛ مسجد اعظم؛ شماره نسخه: ۶۸۱</w:t>
      </w:r>
    </w:p>
    <w:p>
      <w:pPr>
        <w:pStyle w:val="BookText"/>
      </w:pPr>
      <w:r>
        <w:rPr>
          <w:rFonts w:ascii="IRNazanin" w:hAnsi="IRNazanin" w:eastAsia="IRNazanin" w:cs="IRNazanin"/>
          <w:lang w:bidi="fa-IR"/>
          <w:color w:val="111111"/>
          <w:sz w:val="28"/>
          <w:szCs w:val="28"/>
          <w:rtl/>
        </w:rPr>
        <w:t xml:space="preserve">آغاز: کنون بشنو از من یکی داستان *** که تا بگویم از گفته راستان / نیاری درین داستان شک وریب *** نجوی درین نظم  نقصان وعیب؛ انجام: بیامد پیرزن نزدیک دختر *** بسی بوسه زدش بر چشم و بر سر / بیامد اسب حیدر پیک زد زین *** باد تن پوش شد گفت ای نگارین</w:t>
      </w:r>
    </w:p>
    <w:p>
      <w:pPr>
        <w:pStyle w:val="BookText"/>
      </w:pPr>
      <w:r>
        <w:rPr>
          <w:rFonts w:ascii="IRNazanin" w:hAnsi="IRNazanin" w:eastAsia="IRNazanin" w:cs="IRNazanin"/>
          <w:lang w:bidi="fa-IR"/>
          <w:color w:val="111111"/>
          <w:sz w:val="28"/>
          <w:szCs w:val="28"/>
          <w:rtl/>
        </w:rPr>
        <w:t xml:space="preserve">مثنوی است درباره وقایع کربلا و بعضی از حوادث تاریخ اسلام؛ خط: نستعلیق، بی کا، بی تا؛ افتادگی: انجام؛ جلد: تیماج سیاه بدون مقوا، ۸۵گ، مختلف السطر،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مخ: ۱ - ۱۵۶]</w:t>
      </w:r>
    </w:p>
    <w:p>
      <w:pPr>
        <w:pStyle w:val="BookText"/>
      </w:pPr>
      <w:r>
        <w:rPr>
          <w:rFonts w:ascii="IRNazanin" w:hAnsi="IRNazanin" w:eastAsia="IRNazanin" w:cs="IRNazanin"/>
          <w:lang w:bidi="fa-IR"/>
          <w:color w:val="111111"/>
          <w:sz w:val="28"/>
          <w:szCs w:val="28"/>
          <w:rtl/>
        </w:rPr>
        <w:t xml:space="preserve">۱۶۶۳ . مشهد؛ گوهر شاد؛ شماره نسخه: ۷۱۵/۳</w:t>
      </w:r>
    </w:p>
    <w:p>
      <w:pPr>
        <w:pStyle w:val="BookText"/>
      </w:pPr>
      <w:r>
        <w:rPr>
          <w:rFonts w:ascii="IRNazanin" w:hAnsi="IRNazanin" w:eastAsia="IRNazanin" w:cs="IRNazanin"/>
          <w:lang w:bidi="fa-IR"/>
          <w:color w:val="111111"/>
          <w:sz w:val="28"/>
          <w:szCs w:val="28"/>
          <w:rtl/>
        </w:rPr>
        <w:t xml:space="preserve">سه قصیده است در مدح شاه نعمت الله ولی که مطلع هریک بترتیب عبارتند از: الف: شب کزین بارگاه فرخ فر *** خیمه بر کند خسرو خاور» ب: «سرو قدا اگر جهان یکسر *** گردد از ظلم و جور زیر و زبر»، ج: «باز طرف گلشن از فیض بهار *** افسر سلطان گل شد آشکار»، خط: نستعلیق، کا: ابوالقاسم اصفهانی ابن آقا بزرگ ولد حاجی محمد مهدی، بی تا؛ کاغذ: آبی رنگ، جلد: تیماج قهوه ای ضربی دار، ۱۲ سطر (۷/۵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[ف: ۲ - 820]</w:t>
      </w:r>
    </w:p>
    <w:p>
      <w:pPr>
        <w:pStyle w:val="BookText"/>
      </w:pPr>
      <w:r>
        <w:rPr>
          <w:rFonts w:ascii="IRNazanin" w:hAnsi="IRNazanin" w:eastAsia="IRNazanin" w:cs="IRNazanin"/>
          <w:lang w:bidi="fa-IR"/>
          <w:color w:val="111111"/>
          <w:sz w:val="28"/>
          <w:szCs w:val="28"/>
          <w:rtl/>
        </w:rPr>
        <w:t xml:space="preserve">۱۶۶۴. مشهد؛ الهیات؛ شماره نسخه: ۵۰۲/۴</w:t>
      </w:r>
    </w:p>
    <w:p>
      <w:pPr>
        <w:pStyle w:val="BookText"/>
      </w:pPr>
      <w:r>
        <w:rPr>
          <w:rFonts w:ascii="IRNazanin" w:hAnsi="IRNazanin" w:eastAsia="IRNazanin" w:cs="IRNazanin"/>
          <w:lang w:bidi="fa-IR"/>
          <w:color w:val="111111"/>
          <w:sz w:val="28"/>
          <w:szCs w:val="28"/>
          <w:rtl/>
        </w:rPr>
        <w:t xml:space="preserve">آغاز: دزدیست زهر از دهن مار بدزدد</w:t>
      </w:r>
    </w:p>
    <w:p>
      <w:pPr>
        <w:pStyle w:val="BookText"/>
      </w:pPr>
      <w:r>
        <w:rPr>
          <w:rFonts w:ascii="IRNazanin" w:hAnsi="IRNazanin" w:eastAsia="IRNazanin" w:cs="IRNazanin"/>
          <w:lang w:bidi="fa-IR"/>
          <w:color w:val="111111"/>
          <w:sz w:val="28"/>
          <w:szCs w:val="28"/>
          <w:rtl/>
        </w:rPr>
        <w:t xml:space="preserve">غزل کتاب بهار دانش؛ خط: نستعلیق، بی کا، بی تا؛ به شیوه هندی؛ کاغذ: هندی ،مجدول، کمند دار ،جلد: تیماج عنابی ضربی، ۱۳ سطر (9</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۱ - ۴۶۲]</w:t>
      </w:r>
    </w:p>
    <w:p>
      <w:pPr>
        <w:pStyle w:val="BookText"/>
      </w:pPr>
      <w:r>
        <w:rPr>
          <w:rFonts w:ascii="IRNazanin" w:hAnsi="IRNazanin" w:eastAsia="IRNazanin" w:cs="IRNazanin"/>
          <w:lang w:bidi="fa-IR"/>
          <w:color w:val="111111"/>
          <w:sz w:val="28"/>
          <w:szCs w:val="28"/>
          <w:rtl/>
        </w:rPr>
        <w:t xml:space="preserve">۱۶۶۵. مشهد؛ الهیات شماره نسخه: ۶۵/۱۳</w:t>
      </w:r>
    </w:p>
    <w:p>
      <w:pPr>
        <w:pStyle w:val="BookText"/>
      </w:pPr>
      <w:r>
        <w:rPr>
          <w:rFonts w:ascii="IRNazanin" w:hAnsi="IRNazanin" w:eastAsia="IRNazanin" w:cs="IRNazanin"/>
          <w:lang w:bidi="fa-IR"/>
          <w:color w:val="111111"/>
          <w:sz w:val="28"/>
          <w:szCs w:val="28"/>
          <w:rtl/>
        </w:rPr>
        <w:t xml:space="preserve">چند قصیده از کربلا زاده: نبیند دیده جز وحدت مگر چشمی که هست احول، و چند قصیده دیگر در مدح محمد شاه قاجار، در تعریف دارالسلطنه تبریز، و مدح محبوبه و مرشدش و مدح نائب السلطنه عباس ميرزا و یک قصیده به عربی و دیگری به ترکی؛ خط: نستعلیق، بی کا، بی تا؛ در صفحه عنوان یادداشتی به خط و مهر محمد مهدی تفنگدار محلاتی متخلص به فدائی مورخه ۱۳۱۴ می باشد؛ جلد: تیماج مشکی،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۲۲/۵سم [ف: ۱-۴۹۴]</w:t>
      </w:r>
    </w:p>
    <w:p>
      <w:pPr>
        <w:pStyle w:val="BookText"/>
      </w:pPr>
      <w:r>
        <w:rPr>
          <w:rFonts w:ascii="IRNazanin" w:hAnsi="IRNazanin" w:eastAsia="IRNazanin" w:cs="IRNazanin"/>
          <w:lang w:bidi="fa-IR"/>
          <w:color w:val="111111"/>
          <w:sz w:val="28"/>
          <w:szCs w:val="28"/>
          <w:rtl/>
        </w:rPr>
        <w:t xml:space="preserve">۱۶۶۶ . مشهد؛ الهیات؛ شماره نسخه: ۵۵۲/۸</w:t>
      </w:r>
    </w:p>
    <w:p>
      <w:pPr>
        <w:pStyle w:val="BookText"/>
      </w:pPr>
      <w:r>
        <w:rPr>
          <w:rFonts w:ascii="IRNazanin" w:hAnsi="IRNazanin" w:eastAsia="IRNazanin" w:cs="IRNazanin"/>
          <w:lang w:bidi="fa-IR"/>
          <w:color w:val="111111"/>
          <w:sz w:val="28"/>
          <w:szCs w:val="28"/>
          <w:rtl/>
        </w:rPr>
        <w:t xml:space="preserve">آغاز: امروز جهان یافت شرافت ز جهاندار</w:t>
      </w:r>
    </w:p>
    <w:p>
      <w:pPr>
        <w:pStyle w:val="BookText"/>
      </w:pPr>
      <w:r>
        <w:rPr>
          <w:rFonts w:ascii="IRNazanin" w:hAnsi="IRNazanin" w:eastAsia="IRNazanin" w:cs="IRNazanin"/>
          <w:lang w:bidi="fa-IR"/>
          <w:color w:val="111111"/>
          <w:sz w:val="28"/>
          <w:szCs w:val="28"/>
          <w:rtl/>
        </w:rPr>
        <w:t xml:space="preserve">قصیده ای از ملک الشعرای صبوری در بعثت پیغمبر (صلّی اللَّهِ علیه وَ آلِهِ وَ سَلَّمَ ) امروز جهان یافت شرافت ز جهاندار؛ خط: نستعلیق، بی کا، بی تا؛ کاغذ: فرنگی، جلد: تیماج قهوه ای، ۲ ص ،۱۵ سطر (۵/۵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قطع: ربعی،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۱۷/۵سم [ف: ۱ - ۵۰۱]</w:t>
      </w:r>
    </w:p>
    <w:p>
      <w:pPr>
        <w:pStyle w:val="BookText"/>
      </w:pPr>
      <w:r>
        <w:rPr>
          <w:rFonts w:ascii="IRNazanin" w:hAnsi="IRNazanin" w:eastAsia="IRNazanin" w:cs="IRNazanin"/>
          <w:lang w:bidi="fa-IR"/>
          <w:color w:val="111111"/>
          <w:sz w:val="28"/>
          <w:szCs w:val="28"/>
          <w:rtl/>
        </w:rPr>
        <w:t xml:space="preserve">۱۶۶۷. مشهد؛ الهیات؛ شماره نسخه: ۵۵۲/۱۳</w:t>
      </w:r>
    </w:p>
    <w:p>
      <w:pPr>
        <w:pStyle w:val="BookText"/>
      </w:pPr>
      <w:r>
        <w:rPr>
          <w:rFonts w:ascii="IRNazanin" w:hAnsi="IRNazanin" w:eastAsia="IRNazanin" w:cs="IRNazanin"/>
          <w:lang w:bidi="fa-IR"/>
          <w:color w:val="111111"/>
          <w:sz w:val="28"/>
          <w:szCs w:val="28"/>
          <w:rtl/>
        </w:rPr>
        <w:t xml:space="preserve">آغاز ای صبا برید فرخ پی *** از خراسان برو بخطه ری؛ انجام: آنچه معلوم شد بر اهل عقول *** آصف الدوله بود شد معزول
</w:t>
      </w:r>
    </w:p>
    <w:p>
      <w:pPr>
        <w:sectPr>
          <w:footerReference w:type="default" r:id="rId8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قصیده ای در هجو آصف الدوله؛ خط: نستعلیق، بی کا، کاغذ: فرنگی ،جلد: تیماج قهوه ای، ۱گ، ۱۵ سطر (5/5</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قطع: ربعی،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۱۷/۵سم [ف: ۱ - ۵۰۳]</w:t>
      </w:r>
    </w:p>
    <w:p>
      <w:pPr>
        <w:pStyle w:val="BookText"/>
      </w:pPr>
      <w:r>
        <w:rPr>
          <w:rFonts w:ascii="IRNazanin" w:hAnsi="IRNazanin" w:eastAsia="IRNazanin" w:cs="IRNazanin"/>
          <w:lang w:bidi="fa-IR"/>
          <w:color w:val="111111"/>
          <w:sz w:val="28"/>
          <w:szCs w:val="28"/>
          <w:rtl/>
        </w:rPr>
        <w:t xml:space="preserve">۱۶۶۸. مشهد؛ الهیات؛ شماره نسخه: ۱۴۸۷۳/۵</w:t>
      </w:r>
    </w:p>
    <w:p>
      <w:pPr>
        <w:pStyle w:val="BookText"/>
      </w:pPr>
      <w:r>
        <w:rPr>
          <w:rFonts w:ascii="IRNazanin" w:hAnsi="IRNazanin" w:eastAsia="IRNazanin" w:cs="IRNazanin"/>
          <w:lang w:bidi="fa-IR"/>
          <w:color w:val="111111"/>
          <w:sz w:val="28"/>
          <w:szCs w:val="28"/>
          <w:rtl/>
        </w:rPr>
        <w:t xml:space="preserve">آغاز: بسمله ای فدای تو هم دل و همه جان *** وی نثار رهت هم این و هم آن</w:t>
      </w:r>
    </w:p>
    <w:p>
      <w:pPr>
        <w:pStyle w:val="BookText"/>
      </w:pPr>
      <w:r>
        <w:rPr>
          <w:rFonts w:ascii="IRNazanin" w:hAnsi="IRNazanin" w:eastAsia="IRNazanin" w:cs="IRNazanin"/>
          <w:lang w:bidi="fa-IR"/>
          <w:color w:val="111111"/>
          <w:sz w:val="28"/>
          <w:szCs w:val="28"/>
          <w:rtl/>
        </w:rPr>
        <w:t xml:space="preserve">شامل ترکیب بندی از جیران و اشعاری از محتشم؛ خط: نستعلیق، کا: سید علی نواب شهرستانی، بی تا؛ ۱۴ سطر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 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۱۷/۵سم [ف: ۲ - ۱۸۲]</w:t>
      </w:r>
    </w:p>
    <w:p>
      <w:pPr>
        <w:pStyle w:val="BookText"/>
      </w:pPr>
      <w:r>
        <w:rPr>
          <w:rFonts w:ascii="IRNazanin" w:hAnsi="IRNazanin" w:eastAsia="IRNazanin" w:cs="IRNazanin"/>
          <w:lang w:bidi="fa-IR"/>
          <w:color w:val="111111"/>
          <w:sz w:val="28"/>
          <w:szCs w:val="28"/>
          <w:rtl/>
        </w:rPr>
        <w:t xml:space="preserve">۱۶۶۹ . قم؛ معصومیه؛ شماره نسخه: ۴۸۷/۶</w:t>
      </w:r>
    </w:p>
    <w:p>
      <w:pPr>
        <w:pStyle w:val="BookText"/>
      </w:pPr>
      <w:r>
        <w:rPr>
          <w:rFonts w:ascii="IRNazanin" w:hAnsi="IRNazanin" w:eastAsia="IRNazanin" w:cs="IRNazanin"/>
          <w:lang w:bidi="fa-IR"/>
          <w:color w:val="111111"/>
          <w:sz w:val="28"/>
          <w:szCs w:val="28"/>
          <w:rtl/>
        </w:rPr>
        <w:t xml:space="preserve">آغاز: کسی کو در زمان و در مکان نیست *** و جودش بسته قد جهان نیست / برش پنجه هزاران سال یکحال*** که نبود بسته روز و  و مه و سال؛ انجام: ترا ناچار باید رفت از این دار *** چه خواهی کرد با این بند بسیار / تعلق هر یکی چون ریسمانیست *** که بر پای روان بند گرانی است</w:t>
      </w:r>
    </w:p>
    <w:p>
      <w:pPr>
        <w:pStyle w:val="BookText"/>
      </w:pPr>
      <w:r>
        <w:rPr>
          <w:rFonts w:ascii="IRNazanin" w:hAnsi="IRNazanin" w:eastAsia="IRNazanin" w:cs="IRNazanin"/>
          <w:lang w:bidi="fa-IR"/>
          <w:color w:val="111111"/>
          <w:sz w:val="28"/>
          <w:szCs w:val="28"/>
          <w:rtl/>
        </w:rPr>
        <w:t xml:space="preserve">چند غزل عرفانی است در مسائل توحید و معاد؛ خط: تحریری، بی کا، بی تا ؛جلد: تیماج قهوه ای، ۱۵گ (۳۲۱-۳۳۶)، ۱۹ سـطر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۲ - ۹۹]</w:t>
      </w:r>
    </w:p>
    <w:p>
      <w:pPr>
        <w:pStyle w:val="BookText"/>
      </w:pPr>
      <w:r>
        <w:rPr>
          <w:rFonts w:ascii="IRNazanin" w:hAnsi="IRNazanin" w:eastAsia="IRNazanin" w:cs="IRNazanin"/>
          <w:lang w:bidi="fa-IR"/>
          <w:color w:val="111111"/>
          <w:sz w:val="28"/>
          <w:szCs w:val="28"/>
          <w:rtl/>
        </w:rPr>
        <w:t xml:space="preserve">۱۶۷۰. یزد؛ وزیری؛ شماره نسخه: ۲۶۸۶</w:t>
      </w:r>
    </w:p>
    <w:p>
      <w:pPr>
        <w:pStyle w:val="BookText"/>
      </w:pPr>
      <w:r>
        <w:rPr>
          <w:rFonts w:ascii="IRNazanin" w:hAnsi="IRNazanin" w:eastAsia="IRNazanin" w:cs="IRNazanin"/>
          <w:lang w:bidi="fa-IR"/>
          <w:color w:val="111111"/>
          <w:sz w:val="28"/>
          <w:szCs w:val="28"/>
          <w:rtl/>
        </w:rPr>
        <w:t xml:space="preserve">آغاز: هر کار بود کلید آن کلید آن بسم الله *** چون نیست گشاینده بـغیر الله؛ انجام: که کمترا مگو این دهر خوان عبرت نیست *** ز بی حیایی این فرقه جای ماندن نیست</w:t>
      </w:r>
    </w:p>
    <w:p>
      <w:pPr>
        <w:pStyle w:val="BookText"/>
      </w:pPr>
      <w:r>
        <w:rPr>
          <w:rFonts w:ascii="IRNazanin" w:hAnsi="IRNazanin" w:eastAsia="IRNazanin" w:cs="IRNazanin"/>
          <w:lang w:bidi="fa-IR"/>
          <w:color w:val="111111"/>
          <w:sz w:val="28"/>
          <w:szCs w:val="28"/>
          <w:rtl/>
        </w:rPr>
        <w:t xml:space="preserve">خط: نستعلیق، بی کا، بی تا؛ اهدایی: رضایی ؛کاغذ: جدید خط دار ،جلد: مقوایی آبی نرم، مختلف السطر،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[ف:4- 1390]</w:t>
      </w:r>
    </w:p>
    <w:p>
      <w:pPr>
        <w:pStyle w:val="BookText"/>
      </w:pPr>
      <w:r>
        <w:rPr>
          <w:rFonts w:ascii="IRNazanin" w:hAnsi="IRNazanin" w:eastAsia="IRNazanin" w:cs="IRNazanin"/>
          <w:lang w:bidi="fa-IR"/>
          <w:color w:val="111111"/>
          <w:sz w:val="28"/>
          <w:szCs w:val="28"/>
          <w:rtl/>
        </w:rPr>
        <w:t xml:space="preserve">۱۶۷۱ . قم؛ فیضیه؛ شماره نسخه: ۱۳۴۱/۴</w:t>
      </w:r>
    </w:p>
    <w:p>
      <w:pPr>
        <w:pStyle w:val="BookText"/>
      </w:pPr>
      <w:r>
        <w:rPr>
          <w:rFonts w:ascii="IRNazanin" w:hAnsi="IRNazanin" w:eastAsia="IRNazanin" w:cs="IRNazanin"/>
          <w:lang w:bidi="fa-IR"/>
          <w:color w:val="111111"/>
          <w:sz w:val="28"/>
          <w:szCs w:val="28"/>
          <w:rtl/>
        </w:rPr>
        <w:t xml:space="preserve">قصیده تائیه صغری است؛ بی کا، بی تا؛ ۱۹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 سم[ ف: ۳ - ۸۲]</w:t>
      </w:r>
    </w:p>
    <w:p>
      <w:pPr>
        <w:pStyle w:val="BookText"/>
      </w:pPr>
      <w:r>
        <w:rPr>
          <w:rFonts w:ascii="IRNazanin" w:hAnsi="IRNazanin" w:eastAsia="IRNazanin" w:cs="IRNazanin"/>
          <w:lang w:bidi="fa-IR"/>
          <w:color w:val="111111"/>
          <w:sz w:val="28"/>
          <w:szCs w:val="28"/>
          <w:rtl/>
        </w:rPr>
        <w:t xml:space="preserve">۱۶۷۲. تهران؛ ملک؛ شماره نسخه: ۵۶۸۶/۳</w:t>
      </w:r>
    </w:p>
    <w:p>
      <w:pPr>
        <w:pStyle w:val="BookText"/>
      </w:pPr>
      <w:r>
        <w:rPr>
          <w:rFonts w:ascii="IRNazanin" w:hAnsi="IRNazanin" w:eastAsia="IRNazanin" w:cs="IRNazanin"/>
          <w:lang w:bidi="fa-IR"/>
          <w:color w:val="111111"/>
          <w:sz w:val="28"/>
          <w:szCs w:val="28"/>
          <w:rtl/>
        </w:rPr>
        <w:t xml:space="preserve">آغاز: سر هر کسی نهاد ببالين عيش من *** سر را ندید جز سر زانوی خود مکان. (پس از چهار برگ) ایضاً قصیده دیگر در مـدح شهزاده والاگهر: از جور دور چرخ دور رنگ شیم ... *** طهـران کشیده بود بسی خواری و ستم؛ انجام: آن شترهای آبستن آمد*** که بگذشت ده ماه از حمل ایشان</w:t>
      </w:r>
    </w:p>
    <w:p>
      <w:pPr>
        <w:pStyle w:val="BookText"/>
      </w:pPr>
      <w:r>
        <w:rPr>
          <w:rFonts w:ascii="IRNazanin" w:hAnsi="IRNazanin" w:eastAsia="IRNazanin" w:cs="IRNazanin"/>
          <w:lang w:bidi="fa-IR"/>
          <w:color w:val="111111"/>
          <w:sz w:val="28"/>
          <w:szCs w:val="28"/>
          <w:rtl/>
        </w:rPr>
        <w:t xml:space="preserve">در ترجمه لغات و واژه های قرآن به سبک نصاب الصبیان ابونـصر فراهی در بحرهای مختلف و به نام حسنعلی میرزا شاهزاده قاجار ساخته شده است تا سوره تکویر؛ خط: نستعلیق،  بی کا،بی تا؛ افتادگی: آغاز و انجام؛ کاغذ: ترمه و فستقی آبی ،جلد: میشن تریاکی لایی، ۳۷گ (۴۳ر - ۸۰پ)، اندازه: ۱۳/۸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8- 464]</w:t>
      </w:r>
    </w:p>
    <w:p>
      <w:pPr>
        <w:pStyle w:val="BookText"/>
      </w:pPr>
      <w:r>
        <w:rPr>
          <w:rFonts w:ascii="IRNazanin" w:hAnsi="IRNazanin" w:eastAsia="IRNazanin" w:cs="IRNazanin"/>
          <w:lang w:bidi="fa-IR"/>
          <w:color w:val="111111"/>
          <w:sz w:val="28"/>
          <w:szCs w:val="28"/>
          <w:rtl/>
        </w:rPr>
        <w:t xml:space="preserve">۱۶۷۳. تهران؛ ملک؛ شماره نسخه: ۶۴۵۳/۴</w:t>
      </w:r>
    </w:p>
    <w:p>
      <w:pPr>
        <w:pStyle w:val="BookText"/>
      </w:pPr>
      <w:r>
        <w:rPr>
          <w:rFonts w:ascii="IRNazanin" w:hAnsi="IRNazanin" w:eastAsia="IRNazanin" w:cs="IRNazanin"/>
          <w:lang w:bidi="fa-IR"/>
          <w:color w:val="111111"/>
          <w:sz w:val="28"/>
          <w:szCs w:val="28"/>
          <w:rtl/>
        </w:rPr>
        <w:t xml:space="preserve">قصيده تاریخ وفات سید جمال علی از سیدرحیم رسول متخلـص به بالا، به فارسی منظوم که از هر مصرع تاریخ ۱۲۱۰و از منقوطه و غیر منقوطه هر یک جدا جدا تاریخ استخراج می شود و ....؛ خط: نستعلیق، بی کا، بی تا؛ جدول به لاجورد؛ کاغذ: ترمه، جلد: کاغذ: ضربی مقوایی، ۱گ (۲۶۳ر-۲۶۴ر)، ۱۷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۲۶/۵سم [ف: ۹ - ۳۹۹۹]</w:t>
      </w:r>
    </w:p>
    <w:p>
      <w:pPr>
        <w:pStyle w:val="BookText"/>
      </w:pPr>
      <w:r>
        <w:rPr>
          <w:rFonts w:ascii="IRNazanin" w:hAnsi="IRNazanin" w:eastAsia="IRNazanin" w:cs="IRNazanin"/>
          <w:lang w:bidi="fa-IR"/>
          <w:color w:val="111111"/>
          <w:sz w:val="28"/>
          <w:szCs w:val="28"/>
          <w:rtl/>
        </w:rPr>
        <w:t xml:space="preserve">۱۶۷۴. تهران؛ ملک؛ شماره نسخه: ۵۲۰/۶</w:t>
      </w:r>
    </w:p>
    <w:p>
      <w:pPr>
        <w:pStyle w:val="BookText"/>
      </w:pPr>
      <w:r>
        <w:rPr>
          <w:rFonts w:ascii="IRNazanin" w:hAnsi="IRNazanin" w:eastAsia="IRNazanin" w:cs="IRNazanin"/>
          <w:lang w:bidi="fa-IR"/>
          <w:color w:val="111111"/>
          <w:sz w:val="28"/>
          <w:szCs w:val="28"/>
          <w:rtl/>
        </w:rPr>
        <w:t xml:space="preserve">آغاز: بسمله ای روی مهوش تو ربوده زما قرار *** وی موی دلکش تو نموده روان فکار؛ انجام: تا روشنی و تیرگی روز و شب بود  *** روشن شب محب تو روز عدوت تار</w:t>
      </w:r>
    </w:p>
    <w:p>
      <w:pPr>
        <w:pStyle w:val="BookText"/>
      </w:pPr>
      <w:r>
        <w:rPr>
          <w:rFonts w:ascii="IRNazanin" w:hAnsi="IRNazanin" w:eastAsia="IRNazanin" w:cs="IRNazanin"/>
          <w:lang w:bidi="fa-IR"/>
          <w:color w:val="111111"/>
          <w:sz w:val="28"/>
          <w:szCs w:val="28"/>
          <w:rtl/>
        </w:rPr>
        <w:t xml:space="preserve">قصیده در منقبت امیرالمؤمنین علی (علیه السّلام) میرزا کاظم، مؤلف در این قصیده صنایع شعری از قبیل ترصیع و اقتباس و مراعات النظير و ملمع ورد العجز علی الصدر و امثال آن را به کار برده و در حاشیه این نکات توضیح داده شده است؛ خط: نستعلیق،  بی کا،  بی تا؛ حواشی با نشانه وحیدی؛ کاغذ: آهار مهره فرنگی، جلد: میشن مشکی ضربی، ۱۴ ص (۱۳۷۷-۳۹۱)، ۱۴ سطر، اندازه: 11</w:t>
      </w:r>
      <w:r>
        <w:rPr>
          <w:rFonts w:ascii="Times New Roman" w:hAnsi="Times New Roman" w:eastAsia="Times New Roman" w:cs="Times New Roman"/>
          <w:lang w:val="en-US" w:bidi="en-US"/>
          <w:color w:val="111111"/>
          <w:sz w:val="28"/>
          <w:szCs w:val="28"/>
          <w:rtl/>
        </w:rPr>
        <w:t xml:space="preserve">×18/3</w:t>
      </w:r>
      <w:r>
        <w:rPr>
          <w:rFonts w:ascii="IRNazanin" w:hAnsi="IRNazanin" w:eastAsia="IRNazanin" w:cs="IRNazanin"/>
          <w:lang w:bidi="fa-IR"/>
          <w:color w:val="111111"/>
          <w:sz w:val="28"/>
          <w:szCs w:val="28"/>
          <w:rtl/>
        </w:rPr>
        <w:t xml:space="preserve">سم[ ف: ۵ - ۵۵]</w:t>
      </w:r>
    </w:p>
    <w:p>
      <w:pPr>
        <w:pStyle w:val="BookText"/>
      </w:pPr>
      <w:r>
        <w:rPr>
          <w:rFonts w:ascii="IRNazanin" w:hAnsi="IRNazanin" w:eastAsia="IRNazanin" w:cs="IRNazanin"/>
          <w:lang w:bidi="fa-IR"/>
          <w:color w:val="111111"/>
          <w:sz w:val="28"/>
          <w:szCs w:val="28"/>
          <w:rtl/>
        </w:rPr>
        <w:t xml:space="preserve">۱۶۷۵. تهران؛ مجلس؛ شماره نسخه: ۴۵۰/۲</w:t>
      </w:r>
    </w:p>
    <w:p>
      <w:pPr>
        <w:pStyle w:val="BookText"/>
      </w:pPr>
      <w:r>
        <w:rPr>
          <w:rFonts w:ascii="IRNazanin" w:hAnsi="IRNazanin" w:eastAsia="IRNazanin" w:cs="IRNazanin"/>
          <w:lang w:bidi="fa-IR"/>
          <w:color w:val="111111"/>
          <w:sz w:val="28"/>
          <w:szCs w:val="28"/>
          <w:rtl/>
        </w:rPr>
        <w:t xml:space="preserve">سوزنی، مسعود سعد سلمان ،معزی ،رودکی، عثمان مختاری، انوری، فرخی؛ بی کا، بی تا؛ قطع: ربعی ،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۲ - ۲۶۵]</w:t>
      </w:r>
    </w:p>
    <w:p>
      <w:pPr>
        <w:pStyle w:val="BookText"/>
      </w:pPr>
      <w:r>
        <w:rPr>
          <w:rFonts w:ascii="IRNazanin" w:hAnsi="IRNazanin" w:eastAsia="IRNazanin" w:cs="IRNazanin"/>
          <w:lang w:bidi="fa-IR"/>
          <w:color w:val="111111"/>
          <w:sz w:val="28"/>
          <w:szCs w:val="28"/>
          <w:rtl/>
        </w:rPr>
        <w:t xml:space="preserve">۱۶۷۶. تهران؛ چهل ستون؛ شماره نسخه: ۲۵۸</w:t>
      </w:r>
    </w:p>
    <w:p>
      <w:pPr>
        <w:pStyle w:val="BookText"/>
      </w:pPr>
      <w:r>
        <w:rPr>
          <w:rFonts w:ascii="IRNazanin" w:hAnsi="IRNazanin" w:eastAsia="IRNazanin" w:cs="IRNazanin"/>
          <w:lang w:bidi="fa-IR"/>
          <w:color w:val="111111"/>
          <w:sz w:val="28"/>
          <w:szCs w:val="28"/>
          <w:rtl/>
        </w:rPr>
        <w:t xml:space="preserve">آغاز: مرا پیام فرستاد بخت من شبگیر *** که خیز و بوسه زن امروز پیش تخت امیر / امیر مشرق فرخ حسام سلطنت آن *** که روزگار جوان می کند برایش پیر</w:t>
      </w:r>
    </w:p>
    <w:p>
      <w:pPr>
        <w:pStyle w:val="BookText"/>
      </w:pPr>
      <w:r>
        <w:rPr>
          <w:rFonts w:ascii="IRNazanin" w:hAnsi="IRNazanin" w:eastAsia="IRNazanin" w:cs="IRNazanin"/>
          <w:lang w:bidi="fa-IR"/>
          <w:color w:val="111111"/>
          <w:sz w:val="28"/>
          <w:szCs w:val="28"/>
          <w:rtl/>
        </w:rPr>
        <w:t xml:space="preserve">قصیده در مدح حسام السلطنه سلطان مراد میرزا؛ خط: شکسته نستعلیق، بی کا، بی تا؛ ۸گ [چند نسخه -ف: - ۳۶۳]</w:t>
      </w:r>
    </w:p>
    <w:p>
      <w:pPr>
        <w:pStyle w:val="BookText"/>
      </w:pPr>
      <w:r>
        <w:rPr>
          <w:rFonts w:ascii="IRNazanin" w:hAnsi="IRNazanin" w:eastAsia="IRNazanin" w:cs="IRNazanin"/>
          <w:lang w:bidi="fa-IR"/>
          <w:color w:val="111111"/>
          <w:sz w:val="28"/>
          <w:szCs w:val="28"/>
          <w:rtl/>
        </w:rPr>
        <w:t xml:space="preserve">۱۶۷۷. تهران؛ چهل ستون؛ شماره نسخه: ۲۶۰</w:t>
      </w:r>
    </w:p>
    <w:p>
      <w:pPr>
        <w:pStyle w:val="BookText"/>
      </w:pPr>
      <w:r>
        <w:rPr>
          <w:rFonts w:ascii="IRNazanin" w:hAnsi="IRNazanin" w:eastAsia="IRNazanin" w:cs="IRNazanin"/>
          <w:lang w:bidi="fa-IR"/>
          <w:color w:val="111111"/>
          <w:sz w:val="28"/>
          <w:szCs w:val="28"/>
          <w:rtl/>
        </w:rPr>
        <w:t xml:space="preserve">آغاز: منت ایزد را که باز آمد به فیروزی زراه *** از پی سی روز روزه غره شوال ماه</w:t>
      </w:r>
    </w:p>
    <w:p>
      <w:pPr>
        <w:pStyle w:val="BookText"/>
      </w:pPr>
      <w:r>
        <w:rPr>
          <w:rFonts w:ascii="IRNazanin" w:hAnsi="IRNazanin" w:eastAsia="IRNazanin" w:cs="IRNazanin"/>
          <w:lang w:bidi="fa-IR"/>
          <w:color w:val="111111"/>
          <w:sz w:val="28"/>
          <w:szCs w:val="28"/>
          <w:rtl/>
        </w:rPr>
        <w:t xml:space="preserve">قصیده ای است در ۲۹ بیت که برای جشن عید فطر گویا برای شاه سروده شده؛ بی کا، بی تا؛ با سرلوح و جدول زرین؛ ۴گ [چند نسخه -ف: ۳۶۳]</w:t>
      </w:r>
    </w:p>
    <w:p>
      <w:pPr>
        <w:pStyle w:val="BookText"/>
      </w:pPr>
      <w:r>
        <w:rPr>
          <w:rFonts w:ascii="IRNazanin" w:hAnsi="IRNazanin" w:eastAsia="IRNazanin" w:cs="IRNazanin"/>
          <w:lang w:bidi="fa-IR"/>
          <w:color w:val="111111"/>
          <w:sz w:val="28"/>
          <w:szCs w:val="28"/>
          <w:rtl/>
        </w:rPr>
        <w:t xml:space="preserve">۱۶۷۸. همدان؛ مدرسه غرب؛ شماره نسخه: ۶۱۸/۴</w:t>
      </w:r>
    </w:p>
    <w:p>
      <w:pPr>
        <w:pStyle w:val="BookText"/>
      </w:pPr>
      <w:r>
        <w:rPr>
          <w:rFonts w:ascii="IRNazanin" w:hAnsi="IRNazanin" w:eastAsia="IRNazanin" w:cs="IRNazanin"/>
          <w:lang w:bidi="fa-IR"/>
          <w:color w:val="111111"/>
          <w:sz w:val="28"/>
          <w:szCs w:val="28"/>
          <w:rtl/>
        </w:rPr>
        <w:t xml:space="preserve">آغاز: شیخ اوحدی گوید: در خرابات عاشقان کویی است *** کاندرو نخانه پری روئی است؛ انجام: مفتاح رموز كنت كنزا ** مجموعه سر کن فکانی</w:t>
      </w:r>
    </w:p>
    <w:p>
      <w:pPr>
        <w:pStyle w:val="BookText"/>
      </w:pPr>
      <w:r>
        <w:rPr>
          <w:rFonts w:ascii="IRNazanin" w:hAnsi="IRNazanin" w:eastAsia="IRNazanin" w:cs="IRNazanin"/>
          <w:lang w:bidi="fa-IR"/>
          <w:color w:val="111111"/>
          <w:sz w:val="28"/>
          <w:szCs w:val="28"/>
          <w:rtl/>
        </w:rPr>
        <w:t xml:space="preserve">اشعار و رباعیات. از شیخ اوحدی و مغربی و سنائی وعراقی و سید قاسم؛ بی کا، بی تا؛ قطع: خشتی[ رشت و همدان :ف: - ۱۴۱۸]</w:t>
      </w:r>
    </w:p>
    <w:p>
      <w:pPr>
        <w:pStyle w:val="BookText"/>
      </w:pPr>
      <w:r>
        <w:rPr>
          <w:rFonts w:ascii="IRNazanin" w:hAnsi="IRNazanin" w:eastAsia="IRNazanin" w:cs="IRNazanin"/>
          <w:lang w:bidi="fa-IR"/>
          <w:color w:val="111111"/>
          <w:sz w:val="28"/>
          <w:szCs w:val="28"/>
          <w:rtl/>
        </w:rPr>
        <w:t xml:space="preserve">۱۶۷۹. تهران؛ مجلس؛ شماره نسخه: ۱۴۷۴/۸</w:t>
      </w:r>
    </w:p>
    <w:p>
      <w:pPr>
        <w:pStyle w:val="BookText"/>
      </w:pPr>
      <w:r>
        <w:rPr>
          <w:rFonts w:ascii="IRNazanin" w:hAnsi="IRNazanin" w:eastAsia="IRNazanin" w:cs="IRNazanin"/>
          <w:lang w:bidi="fa-IR"/>
          <w:color w:val="111111"/>
          <w:sz w:val="28"/>
          <w:szCs w:val="28"/>
          <w:rtl/>
        </w:rPr>
        <w:t xml:space="preserve">غزلی از محمد باقر است؛ خط: نستعلیق، بی کا، بی تا؛ کاغذ: زرد و سرخ فام و سفید، جلد: تیماج تریاکی یک لایی، ۳ ص (۱۳۲- ۱۳۴)، ۳۲ سطر، قطع : بیاضی [سنا: ف: ۲ - ۲۸۰]</w:t>
      </w:r>
    </w:p>
    <w:p>
      <w:pPr>
        <w:pStyle w:val="BookText"/>
      </w:pPr>
      <w:r>
        <w:rPr>
          <w:rFonts w:ascii="IRNazanin" w:hAnsi="IRNazanin" w:eastAsia="IRNazanin" w:cs="IRNazanin"/>
          <w:lang w:bidi="fa-IR"/>
          <w:color w:val="111111"/>
          <w:sz w:val="28"/>
          <w:szCs w:val="28"/>
          <w:rtl/>
        </w:rPr>
        <w:t xml:space="preserve">۱۶۸۰. تهران؛ مجلس؛ شماره نسخه: ۵۰۷۷/۱۰</w:t>
      </w:r>
    </w:p>
    <w:p>
      <w:pPr>
        <w:pStyle w:val="BookText"/>
      </w:pPr>
      <w:r>
        <w:rPr>
          <w:rFonts w:ascii="IRNazanin" w:hAnsi="IRNazanin" w:eastAsia="IRNazanin" w:cs="IRNazanin"/>
          <w:lang w:bidi="fa-IR"/>
          <w:color w:val="111111"/>
          <w:sz w:val="28"/>
          <w:szCs w:val="28"/>
          <w:rtl/>
        </w:rPr>
        <w:t xml:space="preserve">شعرهایی در توحید و صفات خدا و ستایش از او؛ خط: نسخ و نستعلیق، بی کا، بی تا؛ ۵گ (۵۰ پ -۵۴ر) [ف : ۱۵ - ۴۰]
</w:t>
      </w:r>
    </w:p>
    <w:p>
      <w:pPr>
        <w:sectPr>
          <w:footerReference w:type="default" r:id="rId8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۱۶۸۱. تهران؛ مجلس؛ شماره نسخه: ۳۳۲۱/۴۶</w:t>
      </w:r>
    </w:p>
    <w:p>
      <w:pPr>
        <w:pStyle w:val="BookText"/>
      </w:pPr>
      <w:r>
        <w:rPr>
          <w:rFonts w:ascii="IRNazanin" w:hAnsi="IRNazanin" w:eastAsia="IRNazanin" w:cs="IRNazanin"/>
          <w:lang w:bidi="fa-IR"/>
          <w:color w:val="111111"/>
          <w:sz w:val="28"/>
          <w:szCs w:val="28"/>
          <w:rtl/>
        </w:rPr>
        <w:t xml:space="preserve">قطعاتی از غزل مثنوی به خط های مختلف از این شاعران  که به ترتیب یاد می شوند. از شیخ بهائی. آغاز: «از کتان و سمور بیزارم ***باز میل قلندی دارم»، از واعظ (غزل): آغاز: «الهی نفرت از ماده بنوعی اهل دنیا را *** که ره ندهد کسی در دل غبار کینه ما را ،پایان: واعظ بفکر دوست زبان از سخن ببند *** جایی که دل نشسته زبان هیچ کاره است»، میر نجاة، آغاز: «الهی در دیار محـنتم حشمت پناهی ده *** ز درد و داغ عشقم تخت و تاج پادشاهی ده، پایان: نمیدانم چه باید خواست تا من از تو در خواهم ***بهرچیزی که دانی لایقم خواهی نخواهی ده»، از حسن خان شاملو:  آغاز: «یا رب این مخمور غفلت رامی اسرار ده *** همچو  آهم بر در دلهای روشن بارده» پایان: «چون حسن میترسم از مخموری روز جزا *** باده آمرزشم از جام استغفا رده»، از مولوی (از دیوان شمس تبریزی)، در صدر این غزل نوشته «به تاریخ شهرربیع الاخر ۱۰۸۵ معادل صاحبی مهرزای آمده»: آغاز: «منگر بهر گدائی که  تو خاص از آن مایی *** مفروش خویش ارزان که تو به گرانبهایی» ،پایان: «شکری شکرفشان کن که تو قند نوش قندی *** بنواز نای دولت که عظیم خوش نوایی»، از میرزا همـت رودسری (رباعی) از شیخ فیض رکنی، آغاز: «یا ازلی الظهور یا ابدى الخفا ***نورک فوق النظر حسنک فوق الثنا» ،پایان: «عـشق تو فرزانه كیش ناز تو بیگانه جو *** زخم توی مرهم فکن درد مرد آزما / ظلك نور العیون قربک اولى النعم ***همک ام الهمم وصلك اصل المنی»، از علی پاشا حاکم بصره (دو بیت عربی)،از ميرزا طاهر وحيد (تتمه یک قصیده)، از مقرب الحضره لطف علی بیکا؛ از الهی (غزل) بی کا، بی تا ؛کاغذ: اصفهانی، جلد: تیماج سبز، ٩ ص (۵۳۰-۵۳۹) قطع: بیاض رقعی، اندازه: 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 [ف: 10998]</w:t>
      </w:r>
    </w:p>
    <w:p>
      <w:pPr>
        <w:pStyle w:val="BookText"/>
      </w:pPr>
      <w:r>
        <w:rPr>
          <w:rFonts w:ascii="Times New Roman" w:hAnsi="Times New Roman" w:eastAsia="Times New Roman" w:cs="Times New Roman"/>
          <w:lang w:val="en-US" w:bidi="en-US"/>
          <w:color w:val="111111"/>
          <w:sz w:val="28"/>
          <w:szCs w:val="28"/>
          <w:rtl/>
        </w:rPr>
        <w:t xml:space="preserve">1682.</w:t>
      </w:r>
    </w:p>
    <w:p>
      <w:pPr>
        <w:pStyle w:val="BookText"/>
      </w:pPr>
      <w:r>
        <w:rPr>
          <w:rFonts w:ascii="IRNazanin" w:hAnsi="IRNazanin" w:eastAsia="IRNazanin" w:cs="IRNazanin"/>
          <w:lang w:bidi="fa-IR"/>
          <w:color w:val="111111"/>
          <w:sz w:val="28"/>
          <w:szCs w:val="28"/>
          <w:rtl/>
        </w:rPr>
        <w:t xml:space="preserve">تهران؛ مجلس؛ شماره نسخه: ۵۱۶۳/۴</w:t>
      </w:r>
    </w:p>
    <w:p>
      <w:pPr>
        <w:pStyle w:val="BookText"/>
      </w:pPr>
      <w:r>
        <w:rPr>
          <w:rFonts w:ascii="IRNazanin" w:hAnsi="IRNazanin" w:eastAsia="IRNazanin" w:cs="IRNazanin"/>
          <w:lang w:bidi="fa-IR"/>
          <w:color w:val="111111"/>
          <w:sz w:val="28"/>
          <w:szCs w:val="28"/>
          <w:rtl/>
        </w:rPr>
        <w:t xml:space="preserve">آغاز: دارم ای یاران حدیث تازه ای *** دارد اما گریه بی اندازه ای؛ انجام: شاه دین شد زان سخن بی اختیار *** همچو  جان بگرفت او را در کنار</w:t>
      </w:r>
    </w:p>
    <w:p>
      <w:pPr>
        <w:pStyle w:val="BookText"/>
      </w:pPr>
      <w:r>
        <w:rPr>
          <w:rFonts w:ascii="IRNazanin" w:hAnsi="IRNazanin" w:eastAsia="IRNazanin" w:cs="IRNazanin"/>
          <w:lang w:bidi="fa-IR"/>
          <w:color w:val="111111"/>
          <w:sz w:val="28"/>
          <w:szCs w:val="28"/>
          <w:rtl/>
        </w:rPr>
        <w:t xml:space="preserve">بی کا ،بی تا [ف: ۱۵ - ۲۹۴]</w:t>
      </w:r>
    </w:p>
    <w:p>
      <w:pPr>
        <w:pStyle w:val="BookText"/>
      </w:pPr>
      <w:r>
        <w:rPr>
          <w:rFonts w:ascii="IRNazanin" w:hAnsi="IRNazanin" w:eastAsia="IRNazanin" w:cs="IRNazanin"/>
          <w:lang w:bidi="fa-IR"/>
          <w:color w:val="111111"/>
          <w:sz w:val="28"/>
          <w:szCs w:val="28"/>
          <w:rtl/>
        </w:rPr>
        <w:t xml:space="preserve">۱۶۸۳. تهران؛ مجلس؛ شماره نسخه: ۵۱۶۳/۶</w:t>
      </w:r>
    </w:p>
    <w:p>
      <w:pPr>
        <w:pStyle w:val="BookText"/>
      </w:pPr>
      <w:r>
        <w:rPr>
          <w:rFonts w:ascii="IRNazanin" w:hAnsi="IRNazanin" w:eastAsia="IRNazanin" w:cs="IRNazanin"/>
          <w:lang w:bidi="fa-IR"/>
          <w:color w:val="111111"/>
          <w:sz w:val="28"/>
          <w:szCs w:val="28"/>
          <w:rtl/>
        </w:rPr>
        <w:t xml:space="preserve">آغاز: نبی گیسو بخون او بمالید *** امير المومنين حيدر بنالـید؛</w:t>
      </w:r>
    </w:p>
    <w:p>
      <w:pPr>
        <w:pStyle w:val="BookText"/>
      </w:pPr>
      <w:r>
        <w:rPr>
          <w:rFonts w:ascii="IRNazanin" w:hAnsi="IRNazanin" w:eastAsia="IRNazanin" w:cs="IRNazanin"/>
          <w:lang w:bidi="fa-IR"/>
          <w:color w:val="111111"/>
          <w:sz w:val="28"/>
          <w:szCs w:val="28"/>
          <w:rtl/>
        </w:rPr>
        <w:t xml:space="preserve">انجام: شهید کربلا گشتی تو آخر *** بغربت مبتلائی جان مادر</w:t>
      </w:r>
    </w:p>
    <w:p>
      <w:pPr>
        <w:pStyle w:val="BookText"/>
      </w:pPr>
      <w:r>
        <w:rPr>
          <w:rFonts w:ascii="IRNazanin" w:hAnsi="IRNazanin" w:eastAsia="IRNazanin" w:cs="IRNazanin"/>
          <w:lang w:bidi="fa-IR"/>
          <w:color w:val="111111"/>
          <w:sz w:val="28"/>
          <w:szCs w:val="28"/>
          <w:rtl/>
        </w:rPr>
        <w:t xml:space="preserve">بی کا، بی تا [ف: ۱۵ - ۲۹۴]</w:t>
      </w:r>
    </w:p>
    <w:p>
      <w:pPr>
        <w:pStyle w:val="BookText"/>
      </w:pPr>
      <w:r>
        <w:rPr>
          <w:rFonts w:ascii="IRNazanin" w:hAnsi="IRNazanin" w:eastAsia="IRNazanin" w:cs="IRNazanin"/>
          <w:lang w:bidi="fa-IR"/>
          <w:color w:val="111111"/>
          <w:sz w:val="28"/>
          <w:szCs w:val="28"/>
          <w:rtl/>
        </w:rPr>
        <w:t xml:space="preserve">۱۶۸۴. تهران؛ مجلس؛ شماره نسخه: ۵۱۶۳/۱۷</w:t>
      </w:r>
    </w:p>
    <w:p>
      <w:pPr>
        <w:pStyle w:val="BookText"/>
      </w:pPr>
      <w:r>
        <w:rPr>
          <w:rFonts w:ascii="IRNazanin" w:hAnsi="IRNazanin" w:eastAsia="IRNazanin" w:cs="IRNazanin"/>
          <w:lang w:bidi="fa-IR"/>
          <w:color w:val="111111"/>
          <w:sz w:val="28"/>
          <w:szCs w:val="28"/>
          <w:rtl/>
        </w:rPr>
        <w:t xml:space="preserve">آغاز: منم که پنج وجودند یار و یاور من *** بدوستی محبان بکوری دشمن؛ انجام: به پنج تن که بدین تن رسانم تن *** محـمد است و علی و فاطمه و حسین وحسن</w:t>
      </w:r>
    </w:p>
    <w:p>
      <w:pPr>
        <w:pStyle w:val="BookText"/>
      </w:pPr>
      <w:r>
        <w:rPr>
          <w:rFonts w:ascii="IRNazanin" w:hAnsi="IRNazanin" w:eastAsia="IRNazanin" w:cs="IRNazanin"/>
          <w:lang w:bidi="fa-IR"/>
          <w:color w:val="111111"/>
          <w:sz w:val="28"/>
          <w:szCs w:val="28"/>
          <w:rtl/>
        </w:rPr>
        <w:t xml:space="preserve">مخمس در ستایش پنج تن؛ بی کا، بی تا؛ ۲ص [ف: ۱۵ - ۲۹۸]</w:t>
      </w:r>
    </w:p>
    <w:p>
      <w:pPr>
        <w:pStyle w:val="BookText"/>
      </w:pPr>
      <w:r>
        <w:rPr>
          <w:rFonts w:ascii="IRNazanin" w:hAnsi="IRNazanin" w:eastAsia="IRNazanin" w:cs="IRNazanin"/>
          <w:lang w:bidi="fa-IR"/>
          <w:color w:val="111111"/>
          <w:sz w:val="28"/>
          <w:szCs w:val="28"/>
          <w:rtl/>
        </w:rPr>
        <w:t xml:space="preserve">۱۶۸۵. تهران؛ مجلس؛ شماره نسخه ۲۹۱/۲۱-فیروز</w:t>
      </w:r>
    </w:p>
    <w:p>
      <w:pPr>
        <w:pStyle w:val="BookText"/>
      </w:pPr>
      <w:r>
        <w:rPr>
          <w:rFonts w:ascii="IRNazanin" w:hAnsi="IRNazanin" w:eastAsia="IRNazanin" w:cs="IRNazanin"/>
          <w:lang w:bidi="fa-IR"/>
          <w:color w:val="111111"/>
          <w:sz w:val="28"/>
          <w:szCs w:val="28"/>
          <w:rtl/>
        </w:rPr>
        <w:t xml:space="preserve">آغاز: شد مو به رخسارت سفیدای خواجه میدانی چرا *** یعـنی که باید رو نهی زین جاده تا شهر فنا / از بی نشانی چون بوداین راه را سنگ نشان *** باشد دلیل رفتن از افتادن دندان ترا / هر مو بود بر اندامت بود خاشاک بحر نیستی *** هر چین زرخسارت بود موجی زدریای فنا / رمزیست قد خم گشتنت بر روی خوان زندگی * **یعنی که باید ته نمود این سفره از قد دو تا</w:t>
      </w:r>
    </w:p>
    <w:p>
      <w:pPr>
        <w:pStyle w:val="BookText"/>
      </w:pPr>
      <w:r>
        <w:rPr>
          <w:rFonts w:ascii="IRNazanin" w:hAnsi="IRNazanin" w:eastAsia="IRNazanin" w:cs="IRNazanin"/>
          <w:lang w:bidi="fa-IR"/>
          <w:color w:val="111111"/>
          <w:sz w:val="28"/>
          <w:szCs w:val="28"/>
          <w:rtl/>
        </w:rPr>
        <w:t xml:space="preserve">قصيده آلانقو قصیده ای است بلند با قافیه الف از میرزا داود دارای ۱۹۶ بیت در پند و اندرز؛ بی کا، بی تا ؛کاغذ: مختلف آهار مهره ،جلد: تیماج مشکی، ۶ص (۴۹۷-۵۰۳-حاشیه)، قطع: رحلی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۳۵سم [ف: ۲۱ - ۲۷۷]</w:t>
      </w:r>
    </w:p>
    <w:p>
      <w:pPr>
        <w:pStyle w:val="BookText"/>
      </w:pPr>
      <w:r>
        <w:rPr>
          <w:rFonts w:ascii="IRNazanin" w:hAnsi="IRNazanin" w:eastAsia="IRNazanin" w:cs="IRNazanin"/>
          <w:lang w:bidi="fa-IR"/>
          <w:color w:val="111111"/>
          <w:sz w:val="28"/>
          <w:szCs w:val="28"/>
          <w:rtl/>
        </w:rPr>
        <w:t xml:space="preserve">۱۶۸۶. تهران؛ مجلس؛ شماره نسخه ۲۹۱/۴۰-فیروز</w:t>
      </w:r>
    </w:p>
    <w:p>
      <w:pPr>
        <w:pStyle w:val="BookText"/>
      </w:pPr>
      <w:r>
        <w:rPr>
          <w:rFonts w:ascii="IRNazanin" w:hAnsi="IRNazanin" w:eastAsia="IRNazanin" w:cs="IRNazanin"/>
          <w:lang w:bidi="fa-IR"/>
          <w:color w:val="111111"/>
          <w:sz w:val="28"/>
          <w:szCs w:val="28"/>
          <w:rtl/>
        </w:rPr>
        <w:t xml:space="preserve">اشعاری از: مرتضی قلی شاملو، میرالهی همدانی، عاملای اوزبک، میرزا رضی مستوفی خاصه ،وحید ،میرزا عبد العالى نجات، میرزا جعفر آصف خان، میرزا محمد جعفر خراسانی وزیر سابق لاهیجان، طالنجان اعتماد الدوله شاه صفی (قطعه ای است از او به مناسبت یافت شدن شمشیر امیر تیمور گورکانی از خاک)، شاه اسماعیل، سام میرزا پسر شاه اسماعیل، خان احمد، ابوالقاسم امری، درویش محمد فقیه، ابوالفتح گیلانی اکبر شاه (رباعی که به عبدالله اوزبک نوشت)، جهان خاتون (محبوبه یکی از فرزندان امیر تیمور)، میرزا احمد رانی، نکهتی همدانی، صفی قلی بیک قزاقخانی، حکیم الهی، میرزا غیاث مین باشی، میرزا ملک مشرقی، میرزا نهالی ،شوکتی، میران سید محمد شاه عالم، کمال اسماعیل، داعی انجدانی، سلطان خسرو بن جهانگیر شاه، میرزا طاهر وحید، فکری اگره ای، فکری خودتا، شیخ فیضی، محتشم، وحشی، میر عبد الغنی، (در مدح میر عماد خوش نویس)، فضایلی بادکوبی، ضمیری اصفهانی ،آصفی، میرزا فصیحی، طالبا آملی، صبحی تویسرکانی، میرزا احمد رازی، رکنا مسیح، ملا محب علی، فتحی اردستانی، ملا محمد جان، ملک بیک اوجی، عاملا اورزبک، کمال سبزواری، محمد قاسم کاهی، قاضی احمد مکاری، امیر على مازندرانی ،سراجا مهرکن، رازی شوشتری، محمد خان (بیگلر بیگی سابق استرآباد)، شیخ ابوالقاسم کازرونی؛ خط: شکسته نستعلیق، بی کا، بی تا، تا: ص ۱۱۶۱ در متن و حاشیه و بقیه آن در حاشیه است جز در ص۱۱۴۵ - ۱۱۵۰ که در حاشیه مکتوبی ترکی است [ف: ۲۱ - ۲۸۱]</w:t>
      </w:r>
    </w:p>
    <w:p>
      <w:pPr>
        <w:pStyle w:val="BookText"/>
      </w:pPr>
      <w:r>
        <w:rPr>
          <w:rFonts w:ascii="IRNazanin" w:hAnsi="IRNazanin" w:eastAsia="IRNazanin" w:cs="IRNazanin"/>
          <w:lang w:bidi="fa-IR"/>
          <w:color w:val="111111"/>
          <w:sz w:val="28"/>
          <w:szCs w:val="28"/>
          <w:rtl/>
        </w:rPr>
        <w:t xml:space="preserve">6۱۶۸۷. تهران؛ مجلس؛ شماره نسخه: ۳۲۸/۳-فیروز</w:t>
      </w:r>
    </w:p>
    <w:p>
      <w:pPr>
        <w:pStyle w:val="BookText"/>
      </w:pPr>
      <w:r>
        <w:rPr>
          <w:rFonts w:ascii="IRNazanin" w:hAnsi="IRNazanin" w:eastAsia="IRNazanin" w:cs="IRNazanin"/>
          <w:lang w:bidi="fa-IR"/>
          <w:color w:val="111111"/>
          <w:sz w:val="28"/>
          <w:szCs w:val="28"/>
          <w:rtl/>
        </w:rPr>
        <w:t xml:space="preserve">غزلیاتی است از:امید میرزا جلال اسیر و میرزا ابراهیم ادهم، محمد قلی سلیم، فدوی خان صاحب؛ کا: سید علی، بی تا؛ جلد: تیماج سیاه یک لا، اگ (۱۵ر -۱۶پ) قطع: بیاض رقعی،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۲۴سم [ف: ۲۱ - ۲۹۵]</w:t>
      </w:r>
    </w:p>
    <w:p>
      <w:pPr>
        <w:pStyle w:val="BookText"/>
      </w:pPr>
      <w:r>
        <w:rPr>
          <w:rFonts w:ascii="IRNazanin" w:hAnsi="IRNazanin" w:eastAsia="IRNazanin" w:cs="IRNazanin"/>
          <w:lang w:bidi="fa-IR"/>
          <w:color w:val="111111"/>
          <w:sz w:val="28"/>
          <w:szCs w:val="28"/>
          <w:rtl/>
        </w:rPr>
        <w:t xml:space="preserve">۱۶۸۸. تهران؛ مجلس؛ شماره نسخه: ۳۲۸/۹-فیروز</w:t>
      </w:r>
    </w:p>
    <w:p>
      <w:pPr>
        <w:pStyle w:val="BookText"/>
      </w:pPr>
      <w:r>
        <w:rPr>
          <w:rFonts w:ascii="IRNazanin" w:hAnsi="IRNazanin" w:eastAsia="IRNazanin" w:cs="IRNazanin"/>
          <w:lang w:bidi="fa-IR"/>
          <w:color w:val="111111"/>
          <w:sz w:val="28"/>
          <w:szCs w:val="28"/>
          <w:rtl/>
        </w:rPr>
        <w:t xml:space="preserve">(غزلیات و رباعیات ومثنوی) از مکتوبی، طاهر و وقار. از جمله اشعار طاهر یک مثنوی است که در پایان آن سوگندنامه ای است که با این دو بیت پایان می یابد: «به گوش تشنه آوازهایی *** به آمد آمد بانگ درایی / که یارب مهربان با طاهرش کن *** الهى
</w:t>
      </w:r>
    </w:p>
    <w:p>
      <w:pPr>
        <w:sectPr>
          <w:footerReference w:type="default" r:id="rId8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باطنش چون ظاهرش کن»؛ کا: سید علی، بی تا ؛جلد: تیماج  سیاه یک لا، قطع: بیاض رقعی،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۲۴سم [ف: ۲۱ - ۲۹۶]</w:t>
      </w:r>
    </w:p>
    <w:p>
      <w:pPr>
        <w:pStyle w:val="BookText"/>
      </w:pPr>
      <w:r>
        <w:rPr>
          <w:rFonts w:ascii="IRNazanin" w:hAnsi="IRNazanin" w:eastAsia="IRNazanin" w:cs="IRNazanin"/>
          <w:lang w:bidi="fa-IR"/>
          <w:color w:val="111111"/>
          <w:sz w:val="28"/>
          <w:szCs w:val="28"/>
          <w:rtl/>
        </w:rPr>
        <w:t xml:space="preserve">۱۶۸۹. تهران؛ مجلس؛ شماره نسخه: ۱۲۵۰۴/۹</w:t>
      </w:r>
    </w:p>
    <w:p>
      <w:pPr>
        <w:pStyle w:val="BookText"/>
      </w:pPr>
      <w:r>
        <w:rPr>
          <w:rFonts w:ascii="IRNazanin" w:hAnsi="IRNazanin" w:eastAsia="IRNazanin" w:cs="IRNazanin"/>
          <w:lang w:bidi="fa-IR"/>
          <w:color w:val="111111"/>
          <w:sz w:val="28"/>
          <w:szCs w:val="28"/>
          <w:rtl/>
        </w:rPr>
        <w:t xml:space="preserve">خط: تحریری، بی کا،  بی تا ؛جلد: تیماج قهوه ای، ۱۷ ص (418- 434)، ۱۲ سطر [ف: ۳۶ - ۸]</w:t>
      </w:r>
    </w:p>
    <w:p>
      <w:pPr>
        <w:pStyle w:val="BookText"/>
      </w:pPr>
      <w:r>
        <w:rPr>
          <w:rFonts w:ascii="IRNazanin" w:hAnsi="IRNazanin" w:eastAsia="IRNazanin" w:cs="IRNazanin"/>
          <w:lang w:bidi="fa-IR"/>
          <w:color w:val="111111"/>
          <w:sz w:val="28"/>
          <w:szCs w:val="28"/>
          <w:rtl/>
        </w:rPr>
        <w:t xml:space="preserve">۱۶۹۰. تهران؛ مجلس؛ شماره نسخه: ۷۹۹۹/۱</w:t>
      </w:r>
    </w:p>
    <w:p>
      <w:pPr>
        <w:pStyle w:val="BookText"/>
      </w:pPr>
      <w:r>
        <w:rPr>
          <w:rFonts w:ascii="IRNazanin" w:hAnsi="IRNazanin" w:eastAsia="IRNazanin" w:cs="IRNazanin"/>
          <w:lang w:bidi="fa-IR"/>
          <w:color w:val="111111"/>
          <w:sz w:val="28"/>
          <w:szCs w:val="28"/>
          <w:rtl/>
        </w:rPr>
        <w:t xml:space="preserve">آغاز: عم شاهنشاه عالم آن نواب مستطاب *** باد یا رب عدل و نظمش تا ابد بر  ما حجاب / راست آمد کار عالم چونکه عم شه گذاشت*** تا به امر حکمرانی پای چپ اندر رکاب</w:t>
      </w:r>
    </w:p>
    <w:p>
      <w:pPr>
        <w:pStyle w:val="BookText"/>
      </w:pPr>
      <w:r>
        <w:rPr>
          <w:rFonts w:ascii="IRNazanin" w:hAnsi="IRNazanin" w:eastAsia="IRNazanin" w:cs="IRNazanin"/>
          <w:lang w:bidi="fa-IR"/>
          <w:color w:val="111111"/>
          <w:sz w:val="28"/>
          <w:szCs w:val="28"/>
          <w:rtl/>
        </w:rPr>
        <w:t xml:space="preserve">قصيده مدح نواب معتمدالدوله و شرح کتاب معتمدنامه؛ خـط: نستعلیق، کا: جلال الدین، بی تا ؛جلد: تیماج قهوه ای مجدول،1گ (ار-اپ) ۱۲ سطر، اندازه: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۱۹/۵سم [ف: ۲۶ - 486]</w:t>
      </w:r>
    </w:p>
    <w:p>
      <w:pPr>
        <w:pStyle w:val="BookText"/>
      </w:pPr>
      <w:r>
        <w:rPr>
          <w:rFonts w:ascii="IRNazanin" w:hAnsi="IRNazanin" w:eastAsia="IRNazanin" w:cs="IRNazanin"/>
          <w:lang w:bidi="fa-IR"/>
          <w:color w:val="111111"/>
          <w:sz w:val="28"/>
          <w:szCs w:val="28"/>
          <w:rtl/>
        </w:rPr>
        <w:t xml:space="preserve">۱۶۹۱. تهران؛ مجلس؛ شماره نسخه: ۷۹۹۹/۳</w:t>
      </w:r>
    </w:p>
    <w:p>
      <w:pPr>
        <w:pStyle w:val="BookText"/>
      </w:pPr>
      <w:r>
        <w:rPr>
          <w:rFonts w:ascii="IRNazanin" w:hAnsi="IRNazanin" w:eastAsia="IRNazanin" w:cs="IRNazanin"/>
          <w:lang w:bidi="fa-IR"/>
          <w:color w:val="111111"/>
          <w:sz w:val="28"/>
          <w:szCs w:val="28"/>
          <w:rtl/>
        </w:rPr>
        <w:t xml:space="preserve">آغاز: گر جهانیان و جهان هر دو بگردد فانی *** مجدد امر شود طرف یزدانی / ز آب گل خلق کند آدم اندر ثانی *** به جهان جنت آید به عیادت خوانی؛ انجام: دشمنش دل بسته بود جمله زنجیر و غلش *** حل شود از حل کنی اشكال حل مشكلش/ مطلبش جمله بدست باد چو کیدسته گلش***  سر حدی تا کـه ز وی بهره ستاند هر دم</w:t>
      </w:r>
    </w:p>
    <w:p>
      <w:pPr>
        <w:pStyle w:val="BookText"/>
      </w:pPr>
      <w:r>
        <w:rPr>
          <w:rFonts w:ascii="IRNazanin" w:hAnsi="IRNazanin" w:eastAsia="IRNazanin" w:cs="IRNazanin"/>
          <w:lang w:bidi="fa-IR"/>
          <w:color w:val="111111"/>
          <w:sz w:val="28"/>
          <w:szCs w:val="28"/>
          <w:rtl/>
        </w:rPr>
        <w:t xml:space="preserve">قصیده مسمط، که شاعر در مدح معتمد الدوله فرهاد میرزا سروده است ؛خط: نستعلیق، کا: جلال الدین، بی تا ؛جلد: تیماج قهوه ای ،مجدول ۳گ (۱۰۶ر - ۱۰۹ر)، ۱۲ سطر، اندازه: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۱۹/۵سم[ف: ۲۶ - ۴۸۷]</w:t>
      </w:r>
    </w:p>
    <w:p>
      <w:pPr>
        <w:pStyle w:val="BookText"/>
      </w:pPr>
      <w:r>
        <w:rPr>
          <w:rFonts w:ascii="IRNazanin" w:hAnsi="IRNazanin" w:eastAsia="IRNazanin" w:cs="IRNazanin"/>
          <w:lang w:bidi="fa-IR"/>
          <w:color w:val="111111"/>
          <w:sz w:val="28"/>
          <w:szCs w:val="28"/>
          <w:rtl/>
        </w:rPr>
        <w:t xml:space="preserve">۱۶۹۲. تهران؛ مجلس؛ شماره نسخه :۱۴۰۵۳/۲</w:t>
      </w:r>
    </w:p>
    <w:p>
      <w:pPr>
        <w:pStyle w:val="BookText"/>
      </w:pPr>
      <w:r>
        <w:rPr>
          <w:rFonts w:ascii="IRNazanin" w:hAnsi="IRNazanin" w:eastAsia="IRNazanin" w:cs="IRNazanin"/>
          <w:lang w:bidi="fa-IR"/>
          <w:color w:val="111111"/>
          <w:sz w:val="28"/>
          <w:szCs w:val="28"/>
          <w:rtl/>
        </w:rPr>
        <w:t xml:space="preserve">نام شاعرانی که رباعیاتشان و اشعارشان در برگ های ۴ تا 146 ذکر شده عبارتند از: ملا مؤمن حسین یزدی، نظام الملك،ملا سحابی ،خیام، بابا افضل کاشی، ابراهیم ادهم، کمال اسماعیل، ملا حسین رفيق، ابو سعید، نظیری مشهدی، ملا محمد صوفی،میر عبدالوحید گیلانی، فدایی نوربخشی، میر رضی آرتیمانی، ظهوری خراسانی، زین الدین خوافی، میرزا رفیع دستور ،میر صابر ،سامی ،مغربی، میرزا ابوالحسن، میر محمد باقر داماد ،غنی کشمیری ،واعظ، میرزا محمد تقی نقیب کلانتر نیشابور، میر  سید محمد جامه باف متخلص به فکری، محمد سعید، طالب آملی، ملا جلال الدین مولوی خاموش، تقنای شوشتری، سراجا نقاش، ملا حسنعلی یزدی، ملا محمد نصیر مدرس قم، ميرزا نصير عتيقی نصرت، ملا عرفی، کلبعلی نادر ،اطهری، نجفقلی مپ والی، محمد هادی اصفهانی تسنیم، میرزا جعفرمنشی، میرزا حيـدر رضوی، ملا محمد علی کرباسی ،مولوی ،راچی، مجدوب ،میرمشتاق، شاه محمد شیرازی عارف، شیخ عبدالهادی، میرزا محمـود اوراقه نویس، شیخ نجم الدین کبری، اوحدی، سالک یزدی، ملا عبدالله امانی، امینا نجفی، میرزا خلیل، مولا عبدالله بیانی، اهلی،  ملا حسنعلی سبزواری معتقد، عجم قلی بیک، مخلص خان، سلمان ساوجی، محمود لاری ،فریدالدین عطار، شانی تكلو، حاجی محمد خان فندی مشهور، غنی کشمیری، جامی، سعیدا لاهجى، ملا غیاثای لاری، عبدالرزاق فياض لاهیجی، میر دوست محمد کتابدار، میر زیتی ،ثنائی، ملا ناظم هروی، ملا خواجه علی پیشنماز، جلالای نائینی، میرزا طوفان مازندرانی، میرزا مهدی عالی، دولت یار سلطان ایلچی، میرزا تراب فطرت، میر ابوطالب ترشیزی، ملا نطقی نیشابوری، فاضل میر اسماعیل همدانی ناظر، میرزا محمد سعيد حكيم تنها، میرزا فصيح برادر وحید، میرزا رضی دانش، ملا محمد علی مهابادی ،کلیم، نجیبا، خواجه نصیر طوسی، مير على جرفادقانی، میرزا رفیع واعظ قزوینی،مرتضى قلیخان شاملوا، میرزا مقیم کتابدار، فخرالدین عراقی، عمادالدین فضل الله، محسنای قلندر، میر عین علی، ناصح تبریزی، خلیفه سلطان، میرزا شرف، شکوهی، فلکی شیروانی، آقا محمد باقر قمی نافع، میرزا محمد تقی نصیری منشی دیوان، میر ابو تراب خادم ف میرزا جعفر گلستانه، میر نجات، نصرت، میرزا جلال اسیر، محمد طاهر قمی، ده ده مغربی، بابا طاهر عریان؛ خط: نستعلیق، بی کا، بی تا؛ جلد: تیماج قهوه ای سوخت ترنج با سر، مجدول گرهی،</w:t>
      </w:r>
    </w:p>
    <w:p>
      <w:pPr>
        <w:pStyle w:val="BookText"/>
      </w:pPr>
      <w:r>
        <w:rPr>
          <w:rFonts w:ascii="IRNazanin" w:hAnsi="IRNazanin" w:eastAsia="IRNazanin" w:cs="IRNazanin"/>
          <w:lang w:bidi="fa-IR"/>
          <w:color w:val="111111"/>
          <w:sz w:val="28"/>
          <w:szCs w:val="28"/>
          <w:rtl/>
        </w:rPr>
        <w:t xml:space="preserve">8گ (۱۳۸ ر - ۱۴۶پ)،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۳۸ - ۷۵]</w:t>
      </w:r>
    </w:p>
    <w:p>
      <w:pPr>
        <w:pStyle w:val="BookText"/>
      </w:pPr>
      <w:r>
        <w:rPr>
          <w:rFonts w:ascii="IRNazanin" w:hAnsi="IRNazanin" w:eastAsia="IRNazanin" w:cs="IRNazanin"/>
          <w:lang w:bidi="fa-IR"/>
          <w:color w:val="111111"/>
          <w:sz w:val="28"/>
          <w:szCs w:val="28"/>
          <w:rtl/>
        </w:rPr>
        <w:t xml:space="preserve">۱۶۹۳. تهران؛ مجلس؛ شماره نسخه: ۱۳۶۷۹/۶</w:t>
      </w:r>
    </w:p>
    <w:p>
      <w:pPr>
        <w:pStyle w:val="BookText"/>
      </w:pPr>
      <w:r>
        <w:rPr>
          <w:rFonts w:ascii="IRNazanin" w:hAnsi="IRNazanin" w:eastAsia="IRNazanin" w:cs="IRNazanin"/>
          <w:lang w:bidi="fa-IR"/>
          <w:color w:val="111111"/>
          <w:sz w:val="28"/>
          <w:szCs w:val="28"/>
          <w:rtl/>
        </w:rPr>
        <w:t xml:space="preserve">اشعار یوسف در وصف آمدن مظفرالدین شاه به رشت در سال ۱۳۲۰ق؛ خط: نستعلیق چلیپا، بی کا، بی تا؛ جلد: تیماج سرخ  مجدول، ۱گ (۲۲ پ) [ف: ۳۷ - ۲۰۶]</w:t>
      </w:r>
    </w:p>
    <w:p>
      <w:pPr>
        <w:pStyle w:val="BookText"/>
      </w:pPr>
      <w:r>
        <w:rPr>
          <w:rFonts w:ascii="IRNazanin" w:hAnsi="IRNazanin" w:eastAsia="IRNazanin" w:cs="IRNazanin"/>
          <w:lang w:bidi="fa-IR"/>
          <w:color w:val="111111"/>
          <w:sz w:val="28"/>
          <w:szCs w:val="28"/>
          <w:rtl/>
        </w:rPr>
        <w:t xml:space="preserve">۱۶۹۴. تهران؛ مجلس؛ شماره نسخه: ۱۳۴۳۷/۱</w:t>
      </w:r>
    </w:p>
    <w:p>
      <w:pPr>
        <w:pStyle w:val="BookText"/>
      </w:pPr>
      <w:r>
        <w:rPr>
          <w:rFonts w:ascii="IRNazanin" w:hAnsi="IRNazanin" w:eastAsia="IRNazanin" w:cs="IRNazanin"/>
          <w:lang w:bidi="fa-IR"/>
          <w:color w:val="111111"/>
          <w:sz w:val="28"/>
          <w:szCs w:val="28"/>
          <w:rtl/>
        </w:rPr>
        <w:t xml:space="preserve">آغاز: زهی طغرای نامت سربلندی بخش عنوان ها *** ز یادت آب و رنگ لاله صد برگ دیوان ها / نه موران راست تنها دیده بر فیضت که می باشد *** به دستت همچو خاتم چشم امید سلیمان ها؛ انجام: دهان ها از و یافت کام از زبان *** زبان ها از و یافت رطب اللسان / عطا کرد صنعش در این سیر گاه *** بهر دیده ور دوربین  نگاه</w:t>
      </w:r>
    </w:p>
    <w:p>
      <w:pPr>
        <w:pStyle w:val="BookText"/>
      </w:pPr>
      <w:r>
        <w:rPr>
          <w:rFonts w:ascii="IRNazanin" w:hAnsi="IRNazanin" w:eastAsia="IRNazanin" w:cs="IRNazanin"/>
          <w:lang w:bidi="fa-IR"/>
          <w:color w:val="111111"/>
          <w:sz w:val="28"/>
          <w:szCs w:val="28"/>
          <w:rtl/>
        </w:rPr>
        <w:t xml:space="preserve">غزلیات از: هادی. به ترتیب حروف تهجی؛ خط: نستعلیق، بی کا، بی تا؛ جلد: تیماج سرخ ،۹۳ ص (۱-۹۳)، ۱۶ سطر [ف: ۳۶ - ۳۷۰]</w:t>
      </w:r>
    </w:p>
    <w:p>
      <w:pPr>
        <w:pStyle w:val="BookText"/>
      </w:pPr>
      <w:r>
        <w:rPr>
          <w:rFonts w:ascii="IRNazanin" w:hAnsi="IRNazanin" w:eastAsia="IRNazanin" w:cs="IRNazanin"/>
          <w:lang w:bidi="fa-IR"/>
          <w:color w:val="111111"/>
          <w:sz w:val="28"/>
          <w:szCs w:val="28"/>
          <w:rtl/>
        </w:rPr>
        <w:t xml:space="preserve">۱۶۹۵. تهران؛ مجلس؛ شماره نسخه: ۱۳۸۰۱/۱</w:t>
      </w:r>
    </w:p>
    <w:p>
      <w:pPr>
        <w:pStyle w:val="BookText"/>
      </w:pPr>
      <w:r>
        <w:rPr>
          <w:rFonts w:ascii="IRNazanin" w:hAnsi="IRNazanin" w:eastAsia="IRNazanin" w:cs="IRNazanin"/>
          <w:lang w:bidi="fa-IR"/>
          <w:color w:val="111111"/>
          <w:sz w:val="28"/>
          <w:szCs w:val="28"/>
          <w:rtl/>
        </w:rPr>
        <w:t xml:space="preserve">آغاز: آغاز غزلیات: نفحات وصلک اوقدت جمرات شوقك في الحشا*** زغمت بسینه کم آتشی که نزد بسينه كما تشا / تو چه مظهری که ز جلوه تو صدای صیحه صوفیان *** گذرد ز ذروه لامکان که خوشا جمال ازل خوشا؛ انجام: چو رسی بکلبه محتشم چه کشم به پیش تو ما حضر *** که تو نور دیده جهان نه دگر نظر بما حضرى کن / من و دل فتاده جدا نشدی دلا سوی کعبه نکن نظر *** به وصال کعبه گهی رسی که ز خود جدا سفر کنی / چو بلای جان تو جانیا نبود بغیر بتان کسی *** چه بود خرد آن بود که از آن بلا حذری کنی</w:t>
      </w:r>
    </w:p>
    <w:p>
      <w:pPr>
        <w:pStyle w:val="BookText"/>
      </w:pPr>
      <w:r>
        <w:rPr>
          <w:rFonts w:ascii="IRNazanin" w:hAnsi="IRNazanin" w:eastAsia="IRNazanin" w:cs="IRNazanin"/>
          <w:lang w:bidi="fa-IR"/>
          <w:color w:val="111111"/>
          <w:sz w:val="28"/>
          <w:szCs w:val="28"/>
          <w:rtl/>
        </w:rPr>
        <w:t xml:space="preserve">در این تذکره غزلیاتی از شعرای مختلف جمع آوری و به ترتیب حروف تهجی تنظیم شده اند؛ شاعرانی که اشعار و غزلیاتشان در این بخش و در حواشی جنگ آمده عبارتند از: میرزا صادق
</w:t>
      </w:r>
    </w:p>
    <w:p>
      <w:pPr>
        <w:sectPr>
          <w:footerReference w:type="default" r:id="rId8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همایی با تخلص مروی، محمد علی بختیاری ،عاشق، شهاب،سلمان، بسمل، فردوسی، محتشم، سحاب، جامی، سعدی، ظهیر، ازل ،انوری ،وحشی، محمد علی قصه خوان، حافظ، خاقانی ،ملا حسن نوا (صاحب جنگ) ،وحید، طوفان ،رفیق ،مهری، ملا نظام،ملا عظیم ،نورعلی، میرزا نصیر، آقا شاپور، نشاط، غلامرضا ،خوشنویس ،باباطاهر، نیازی بخارایی، سعد اسحق، صابری، صمدی، حسین نوری، حجابی برزو بیگی، مهدی شیرازی، محـمد حسن اردبیلی، اسعدی طباطبایی میر مدهوش ،مخلص، ملا بدیع سمرقندی، میر مخدوم، محمد حیران، حیرانی قزوینی، حرفی اصفهانی، مسعود بن محمد نزاری، خواجه معین هروی، معالی، میر مقبول، میر معز نسابه ،مشرقی ،متونی ،همام ،کاتبی، ناصر ،انسی ،فخری ،حالی ،عمیر ،مؤذن ،آنی ،آهی ،عیانی، خسـرو، ظهوری ،عطار ،آذری ،شاهی،پریشان ،معین ،هلالی، قیضی، نیازی، مشتاق ،رفیق ،آگاه، صیدی، صبا، محمد قلی سلیم، سامی، نوعی خبوشانی، فریدون ،ساقی ،فروغ ،غنی ،حیاتی ،ثنایی شرف تبریزی ،آصفی ،صفی ،حزین ،عرفی، بی کس، مفتاح، تجلی،خواجو ،ضمیر ،عارف ،مادح ،عاصی ،ریاضی، صبوری، ناجـی، صائب، جواد( زاهد) ،نظیری ،عنوان ،فهمی ،مصحف، صراف ،مخفی ،طبیب ،ازل ،نصیر ،آسوده ،نور ،نوری ،فغانی، اوحدی ،روغنی، بینا ،آگهی ،خالص ،عصمت، صبور، کلیم، حقیر، فنا، دوستی ،نورعلی، فروغی، بوعلی نیا، مرتاض ،رازی، نقی کمره ای ،فیاض ،قاآنی ،اهلی ،مغربی، قاسمی، خاقان، خاوری،میر محمد، ملا مفید بلخی، مهدی قلی بیک، قانع بخاری، مشربی خوانساری، ولی دشت بیاضی، عبدالله مولی اصفهانی، عالـمی دارالمرزی، ملا غیرت، قاضی عیسی، عیسی اردبیلی، میر عرشی، شاه عیان، ملا عضدی تبریزی، محمد هما، میر عبدالحسین، محـمد مؤمن عربی ،عنایت، عظیما نیشابوری، عبدالله ایوانی، میر غفاری، میر عزیز قلندر، شاه علی، عبدالغنی همدانی، امیر عبد الباقی، عـزیز تبریزی، عنایت تبریزی، علی منجم، عاشقی خراسانی، عزیز الله شهری، میر علی نقی نهاوندی، درویش عارف، میر علیخان،میر خسرو، باباعلی شاه ،ملاخلاصی، نظر علی بیک خادم، خضر قزوینی؛ خط: نستعلیق، بی کا، بی تا؛ جلد: روغنی مشکی ترنج سر با نقش گل مجدول مذهب، ۳۰۱ ص (۱-۳۰۱)، ۱۶ سطر [ ف: 37- 346]</w:t>
      </w:r>
    </w:p>
    <w:p>
      <w:pPr>
        <w:pStyle w:val="BookText"/>
      </w:pPr>
      <w:r>
        <w:rPr>
          <w:rFonts w:ascii="IRNazanin" w:hAnsi="IRNazanin" w:eastAsia="IRNazanin" w:cs="IRNazanin"/>
          <w:lang w:bidi="fa-IR"/>
          <w:color w:val="111111"/>
          <w:sz w:val="28"/>
          <w:szCs w:val="28"/>
          <w:rtl/>
        </w:rPr>
        <w:t xml:space="preserve">۱۶۹۶. تهران؛ مجلس؛ شماره نسخه: ۱۴۳۰۴/۱۰</w:t>
      </w:r>
    </w:p>
    <w:p>
      <w:pPr>
        <w:pStyle w:val="BookText"/>
      </w:pPr>
      <w:r>
        <w:rPr>
          <w:rFonts w:ascii="IRNazanin" w:hAnsi="IRNazanin" w:eastAsia="IRNazanin" w:cs="IRNazanin"/>
          <w:lang w:bidi="fa-IR"/>
          <w:color w:val="111111"/>
          <w:sz w:val="28"/>
          <w:szCs w:val="28"/>
          <w:rtl/>
        </w:rPr>
        <w:t xml:space="preserve">اشعاری در اوصاف قلم، چند غزل از حافظ و غزل هایی دیگران ؛خط: شکسته نستعلیق، بی کا، بی تا ؛جلد: تیماج دو رو مشکی، عطف و حاشیه تیماج قهوه ای، مجدول ،گرهی ۵گ (۸۹پ -۹۴) قطع: بیاضی، اندازه: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۳۸ - ۴۳۰]</w:t>
      </w:r>
    </w:p>
    <w:p>
      <w:pPr>
        <w:pStyle w:val="BookText"/>
      </w:pPr>
      <w:r>
        <w:rPr>
          <w:rFonts w:ascii="IRNazanin" w:hAnsi="IRNazanin" w:eastAsia="IRNazanin" w:cs="IRNazanin"/>
          <w:lang w:bidi="fa-IR"/>
          <w:color w:val="111111"/>
          <w:sz w:val="28"/>
          <w:szCs w:val="28"/>
          <w:rtl/>
        </w:rPr>
        <w:t xml:space="preserve">۱۶۹۷. تهران؛ مجلس؛ شماره نسخه: ۱۴۳۰۷/۱۸</w:t>
      </w:r>
    </w:p>
    <w:p>
      <w:pPr>
        <w:pStyle w:val="BookText"/>
      </w:pPr>
      <w:r>
        <w:rPr>
          <w:rFonts w:ascii="IRNazanin" w:hAnsi="IRNazanin" w:eastAsia="IRNazanin" w:cs="IRNazanin"/>
          <w:lang w:bidi="fa-IR"/>
          <w:color w:val="111111"/>
          <w:sz w:val="28"/>
          <w:szCs w:val="28"/>
          <w:rtl/>
        </w:rPr>
        <w:t xml:space="preserve">اشعاری از: اسدی طوسی، منوچهر شصت کله، فرخی، دوازده بند عاصی در لعن یزید ،قطران، رشید وطواط، سوزنی سمرقندی، مجیر بیلغانی، جوهری زرگر بخارائی، اثیر الدین ،اخسیکتی، اسـیر لغت، جرعه ،شوقی واعظ قزوینی، سلیمی؛ خط: نستعلیق زیبا ،۲۵گ (۱۴۰ر-  165پ)،بی کا،بی تا ،جلد: مقوایی، عطف تیماج سرخ (۱۶۵ پ-140ر)، ۱۶ سطر، اندازه: ۱۷/۵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۳۸ - ۴۳۷]</w:t>
      </w:r>
    </w:p>
    <w:p>
      <w:pPr>
        <w:pStyle w:val="BookText"/>
      </w:pPr>
      <w:r>
        <w:rPr>
          <w:rFonts w:ascii="IRNazanin" w:hAnsi="IRNazanin" w:eastAsia="IRNazanin" w:cs="IRNazanin"/>
          <w:lang w:bidi="fa-IR"/>
          <w:color w:val="111111"/>
          <w:sz w:val="28"/>
          <w:szCs w:val="28"/>
          <w:rtl/>
        </w:rPr>
        <w:t xml:space="preserve">۱۶۹۸. تهران؛ مجلس؛ شماره نسخه: ۱۴۳۰۹/۱۲</w:t>
      </w:r>
    </w:p>
    <w:p>
      <w:pPr>
        <w:pStyle w:val="BookText"/>
      </w:pPr>
      <w:r>
        <w:rPr>
          <w:rFonts w:ascii="IRNazanin" w:hAnsi="IRNazanin" w:eastAsia="IRNazanin" w:cs="IRNazanin"/>
          <w:lang w:bidi="fa-IR"/>
          <w:color w:val="111111"/>
          <w:sz w:val="28"/>
          <w:szCs w:val="28"/>
          <w:rtl/>
        </w:rPr>
        <w:t xml:space="preserve">اشعاری از: سعدی، مطایبه مصاحب نائینی، مثنوی ضیا اصفهانی ،انوری، عرفی، عنصری ،فردوسی، عبدالواسع جبلی، خاقانی شیروانی ،فرخی، ادیب صابر، عثمان ،مختاری، سنایی غزنوی، سوزنی سمرقندی، ظهیر فاریابی ،نظامی، تفرشی ،گنجوی، جمال الدین عبدالرزاق، رفیع الدین، عبدالوهاب نشاط؛ خط: نستعلیق، بی کا، بی تا؛بی کا، بی تا؛ جلد: تیماج، قهوه ای، ۷۸گ (۵۶ر- 134ر)،  ۱۵ سطر،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۳۸ - ۴۴۰]</w:t>
      </w:r>
    </w:p>
    <w:p>
      <w:pPr>
        <w:pStyle w:val="BookText"/>
      </w:pPr>
      <w:r>
        <w:rPr>
          <w:rFonts w:ascii="IRNazanin" w:hAnsi="IRNazanin" w:eastAsia="IRNazanin" w:cs="IRNazanin"/>
          <w:lang w:bidi="fa-IR"/>
          <w:color w:val="111111"/>
          <w:sz w:val="28"/>
          <w:szCs w:val="28"/>
          <w:rtl/>
        </w:rPr>
        <w:t xml:space="preserve">۱۶۹۹. تهران؛ مجلس؛ شماره نسخه: ۱۴۳۸۷/۳</w:t>
      </w:r>
    </w:p>
    <w:p>
      <w:pPr>
        <w:pStyle w:val="BookText"/>
      </w:pPr>
      <w:r>
        <w:rPr>
          <w:rFonts w:ascii="IRNazanin" w:hAnsi="IRNazanin" w:eastAsia="IRNazanin" w:cs="IRNazanin"/>
          <w:lang w:bidi="fa-IR"/>
          <w:color w:val="111111"/>
          <w:sz w:val="28"/>
          <w:szCs w:val="28"/>
          <w:rtl/>
        </w:rPr>
        <w:t xml:space="preserve">سعدی ،مولوی ،مشتاق، عطار، عرفی، شیخ بهایی، احمد فیض رکنی، جامی، طغرا، شیخ احمد، شاه قاسم، حسان بن ثابت انصاری، نظامی؛ خط: شکسته نستعلیق، بی کا، بی تا ؛بی کا، بی تا ؛جلد: تیماج قهوه ای ،مجدول، ۴۵گ( حاشیه ار-۴۶ر)، ۱۷ سطر، اندازه: ۱۱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۲۰سم [ف: ۳۸ - ۵۱۷]</w:t>
      </w:r>
    </w:p>
    <w:p>
      <w:pPr>
        <w:pStyle w:val="BookText"/>
      </w:pPr>
      <w:r>
        <w:rPr>
          <w:rFonts w:ascii="IRNazanin" w:hAnsi="IRNazanin" w:eastAsia="IRNazanin" w:cs="IRNazanin"/>
          <w:lang w:bidi="fa-IR"/>
          <w:color w:val="111111"/>
          <w:sz w:val="28"/>
          <w:szCs w:val="28"/>
          <w:rtl/>
        </w:rPr>
        <w:t xml:space="preserve">۱۷۰۰. تهران؛ دانشگاه؛ شماره نسخه: ۲۲۵/۱۲</w:t>
      </w:r>
    </w:p>
    <w:p>
      <w:pPr>
        <w:pStyle w:val="BookText"/>
      </w:pPr>
      <w:r>
        <w:rPr>
          <w:rFonts w:ascii="IRNazanin" w:hAnsi="IRNazanin" w:eastAsia="IRNazanin" w:cs="IRNazanin"/>
          <w:lang w:bidi="fa-IR"/>
          <w:color w:val="111111"/>
          <w:sz w:val="28"/>
          <w:szCs w:val="28"/>
          <w:rtl/>
        </w:rPr>
        <w:t xml:space="preserve">در این بخش۲۳ غزل درست و چند غزل ناقص از شاعران پراکنده دیده می شود: ۱ ) یک غزل ناقص با قافیه «ی» از شاهی که انجامش این است: «چو او روی تو را می بیند از خود میرود شاهی </w:t>
      </w:r>
      <w:r>
        <w:rPr>
          <w:rFonts w:ascii="IRNazanin" w:hAnsi="IRNazanin" w:eastAsia="IRNazanin" w:cs="IRNazanin"/>
          <w:lang w:bidi="fa-IR"/>
          <w:color w:val="111111"/>
          <w:sz w:val="28"/>
          <w:szCs w:val="28"/>
          <w:b w:val="1"/>
          <w:bCs w:val="1"/>
          <w:i w:val="1"/>
          <w:iCs w:val="1"/>
          <w:rtl/>
        </w:rPr>
        <w:t xml:space="preserve">تو حال او همی دانی ولی با خود نمی آری»، ۲ ) یک غزل از طوسی که پایانش چنین است: «شنیدی درد و آه و ناله زار از پی تیرش</w:t>
      </w:r>
      <w:r>
        <w:rPr>
          <w:rFonts w:ascii="IRNazanin" w:hAnsi="IRNazanin" w:eastAsia="IRNazanin" w:cs="IRNazanin"/>
          <w:lang w:bidi="fa-IR"/>
          <w:color w:val="111111"/>
          <w:sz w:val="28"/>
          <w:szCs w:val="28"/>
          <w:rtl/>
        </w:rPr>
        <w:t xml:space="preserve"> هنوز ای طوسی دلخسته تا در دل چهاداری»، ۳) یک غزل بی تخلص و ناشناخته، ۴) یک غزل از فیضی، گویا وی همان فیضی برادر ابوالفیض پسر شیخ مبارک (م-۱۱۰۴) باشد که وزیر اکبر پادشاه هندی بوده است پایان این غزل چنین است: «گریبان میدرد فیضی از آن سودا که تا روزی *** بگیرد دامن  وصلش ... دهد یاری»، ۵ و ۶) دو غزل از طالب شیرای که پایان هر دو این است: «هر چه از خوبی شیراز بگوید طالب*** اهل معنی همه دانند که صد چندانست / طالبا بی غرض از لفظ اصیلی بشنو *** شهر شیراز تو یک گوشه اصفهانست»، ۷ تا ۱۱) پنج غزل از سکاک: شاید همان بابا فغانی باشد که در (ص ۶۱-۶۳) یاد شد، انجام سه غزل آن این است که یکی از آنها بی تخلص است: «گر رود سکاکرا سر در سر کار بتان*** ترک ندهد دوستی بین  تا چه سان خود دشمنست/ گفته ئی سکاک آخر صید ما خواهد شدن *** این سخن دیرست گویا خود معین کرده است/ صد بار بیش کشت و دگر ساخت زنده ام *** کوی علیست یار و حکیمی نصیر او»، ۱۲ و ۱۳) دو غزل از آصفی که گویا همان آصفی هروی (م-٩٢٣ق) باشد، پایان نخستین آنها این است: «ز جان آصفی ای جان نماند جز رمقی*** بیاد می بسر او که آخرین نفس است»، ۱۴) یک غزل از قاسمی که پایانش چنین است: «قاسمی باز از تو در تو گریخت *** که مفرهم توئی و ملجا تو»،
</w:t>
      </w:r>
    </w:p>
    <w:p>
      <w:pPr>
        <w:sectPr>
          <w:footerReference w:type="default" r:id="rId8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۱۵) غزلی از محیی با این پایان: «تا هست و بود و باشد از این روز تا ابد *** محیی بجان محبست همه اولیای تو»، ۱۶ و ۱۷) دو غزل بی تخلص؛ ۱۸ تا ۲۰) سه غزل از حسن، که گویا همان حـسن دهلوی باشد که در (ص ۵۲-۵۴) یاد او گذشت، غزل یکم ناقـص و غزل دوم بدین شعر پایان یابد:« از بهر وصل او حسن وجه زا دارد ولی *** شد وصل او چون کیمیا و از کیمیا نایاب تر»، 21تا۲۴ ) چهار غزل ناشناس، میان آنها نیز افتاده است، ۲۵) غزلی از نسیمی که بدین شعر پایان یافته: «ای نسیمی پاک می بازی نظر*** آفرین بر دیده بینای تو»، ۲۶) غزلی از عطار بدین پایان (تخلص): «قصه» عطار از هر سو گذشت *** عرضه خواهد داشت او بر رای تو»؛ خط: نستعلیق، بی کا، تا: قرن ۱۰ق؛ افتادگی: آغاز و وسط و انجام؛ کاغذ: نخودی رنگ، جلد: تیماج مشکی، ۱۴ سطر (۶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۲ - ۲۴۹]</w:t>
      </w:r>
    </w:p>
    <w:p>
      <w:pPr>
        <w:pStyle w:val="BookText"/>
      </w:pPr>
      <w:r>
        <w:rPr>
          <w:rFonts w:ascii="IRNazanin" w:hAnsi="IRNazanin" w:eastAsia="IRNazanin" w:cs="IRNazanin"/>
          <w:lang w:bidi="fa-IR"/>
          <w:color w:val="111111"/>
          <w:sz w:val="28"/>
          <w:szCs w:val="28"/>
          <w:rtl/>
        </w:rPr>
        <w:t xml:space="preserve">۱۷۰۱. تهران؛ دانشگاه؛ شماره نسخه: ۱۲۳۶/۴۲ -ف و ۱۳۳۸/۴۲ -ف</w:t>
      </w:r>
    </w:p>
    <w:p>
      <w:pPr>
        <w:pStyle w:val="BookText"/>
      </w:pPr>
      <w:r>
        <w:rPr>
          <w:rFonts w:ascii="IRNazanin" w:hAnsi="IRNazanin" w:eastAsia="IRNazanin" w:cs="IRNazanin"/>
          <w:lang w:bidi="fa-IR"/>
          <w:color w:val="111111"/>
          <w:sz w:val="28"/>
          <w:szCs w:val="28"/>
          <w:rtl/>
        </w:rPr>
        <w:t xml:space="preserve">نسخه اصل: بادلیان 69 </w:t>
      </w:r>
      <w:r>
        <w:rPr>
          <w:rFonts w:ascii="Times New Roman" w:hAnsi="Times New Roman" w:eastAsia="Times New Roman" w:cs="Times New Roman"/>
          <w:lang w:val="en-US" w:bidi="en-US"/>
          <w:color w:val="111111"/>
          <w:sz w:val="28"/>
          <w:szCs w:val="28"/>
          <w:rtl/>
        </w:rPr>
        <w:t xml:space="preserve">Add </w:t>
      </w:r>
      <w:r>
        <w:rPr>
          <w:rFonts w:ascii="IRNazanin" w:hAnsi="IRNazanin" w:eastAsia="IRNazanin" w:cs="IRNazanin"/>
          <w:lang w:bidi="fa-IR"/>
          <w:color w:val="111111"/>
          <w:sz w:val="28"/>
          <w:szCs w:val="28"/>
          <w:rtl/>
        </w:rPr>
        <w:t xml:space="preserve">اوزلی (ش ۱۲۴۱). شعرها اسـت: قصیده بدر صاعدی در گذشته پس از ۷۴۶ پس در ستایش سلطان محمد بن تغلق و منظومه در اختلاج از بدر جاجرمی درگذشته 686  ساخته ۶۷۵؛ بی کا، بی تا[ فیلمها: ۱- ۵۸۵]</w:t>
      </w:r>
    </w:p>
    <w:p>
      <w:pPr>
        <w:pStyle w:val="BookText"/>
      </w:pPr>
      <w:r>
        <w:rPr>
          <w:rFonts w:ascii="IRNazanin" w:hAnsi="IRNazanin" w:eastAsia="IRNazanin" w:cs="IRNazanin"/>
          <w:lang w:bidi="fa-IR"/>
          <w:color w:val="111111"/>
          <w:sz w:val="28"/>
          <w:szCs w:val="28"/>
          <w:rtl/>
        </w:rPr>
        <w:t xml:space="preserve">۱۷۰۲. تهران؛ دانشگاه؛ شماره نسخه: ۱۵۲۴/۴-ف</w:t>
      </w:r>
    </w:p>
    <w:p>
      <w:pPr>
        <w:pStyle w:val="BookText"/>
      </w:pPr>
      <w:r>
        <w:rPr>
          <w:rFonts w:ascii="IRNazanin" w:hAnsi="IRNazanin" w:eastAsia="IRNazanin" w:cs="IRNazanin"/>
          <w:lang w:bidi="fa-IR"/>
          <w:color w:val="111111"/>
          <w:sz w:val="28"/>
          <w:szCs w:val="28"/>
          <w:rtl/>
        </w:rPr>
        <w:t xml:space="preserve">نسخه اصل: آکادمی علوم شوروی ۱۶۵۵.۲</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۷ - ۹۰ قصیده جبـریه است در ستایش عبدالمومن خان یا جواب ابن غیاث به مولانا مشفقی مورخ بی کا، بی تا: با تاریخ ۹۸۰ق [فیلمها: ۱-۶۱۴]</w:t>
      </w:r>
    </w:p>
    <w:p>
      <w:pPr>
        <w:pStyle w:val="BookText"/>
      </w:pPr>
      <w:r>
        <w:rPr>
          <w:rFonts w:ascii="IRNazanin" w:hAnsi="IRNazanin" w:eastAsia="IRNazanin" w:cs="IRNazanin"/>
          <w:lang w:bidi="fa-IR"/>
          <w:color w:val="111111"/>
          <w:sz w:val="28"/>
          <w:szCs w:val="28"/>
          <w:rtl/>
        </w:rPr>
        <w:t xml:space="preserve">۱۷۰۳. تهران؛ مجلس؛ شماره نسخه: ۹۴۵۱/۱۲</w:t>
      </w:r>
    </w:p>
    <w:p>
      <w:pPr>
        <w:pStyle w:val="BookText"/>
      </w:pPr>
      <w:r>
        <w:rPr>
          <w:rFonts w:ascii="IRNazanin" w:hAnsi="IRNazanin" w:eastAsia="IRNazanin" w:cs="IRNazanin"/>
          <w:lang w:bidi="fa-IR"/>
          <w:color w:val="111111"/>
          <w:sz w:val="28"/>
          <w:szCs w:val="28"/>
          <w:rtl/>
        </w:rPr>
        <w:t xml:space="preserve">از جمله اشعاری در عزلت و چند ماده تاریخ؛ خط: نسخ نستعلیق، کا: شیخ محمد مهدی شمس العلماء عبدالرب آبادی، بی تا، ۱ص (۱۱۴۰) [مختصر: ف: – ۶۲]</w:t>
      </w:r>
    </w:p>
    <w:p>
      <w:pPr>
        <w:pStyle w:val="BookText"/>
      </w:pPr>
      <w:r>
        <w:rPr>
          <w:rFonts w:ascii="Times New Roman" w:hAnsi="Times New Roman" w:eastAsia="Times New Roman" w:cs="Times New Roman"/>
          <w:lang w:val="en-US" w:bidi="en-US"/>
          <w:color w:val="111111"/>
          <w:sz w:val="28"/>
          <w:szCs w:val="28"/>
          <w:rtl/>
        </w:rPr>
        <w:t xml:space="preserve">1704.</w:t>
      </w:r>
    </w:p>
    <w:p>
      <w:pPr>
        <w:pStyle w:val="BookText"/>
      </w:pPr>
      <w:r>
        <w:rPr>
          <w:rFonts w:ascii="IRNazanin" w:hAnsi="IRNazanin" w:eastAsia="IRNazanin" w:cs="IRNazanin"/>
          <w:lang w:bidi="fa-IR"/>
          <w:color w:val="111111"/>
          <w:sz w:val="28"/>
          <w:szCs w:val="28"/>
          <w:rtl/>
        </w:rPr>
        <w:t xml:space="preserve">تهران؛ مجلس؛ شماره نسخه: ۹۴۶۶/۲۸۶</w:t>
      </w:r>
    </w:p>
    <w:p>
      <w:pPr>
        <w:pStyle w:val="BookText"/>
      </w:pPr>
      <w:r>
        <w:rPr>
          <w:rFonts w:ascii="IRNazanin" w:hAnsi="IRNazanin" w:eastAsia="IRNazanin" w:cs="IRNazanin"/>
          <w:lang w:bidi="fa-IR"/>
          <w:color w:val="111111"/>
          <w:sz w:val="28"/>
          <w:szCs w:val="28"/>
          <w:rtl/>
        </w:rPr>
        <w:t xml:space="preserve">رباعیات خیام، اشعاری از نعمة الله ولی؛ بی کا، بی تا؛ ۱ص (563) [مختصر: ف: ۶۴]</w:t>
      </w:r>
    </w:p>
    <w:p>
      <w:pPr>
        <w:pStyle w:val="BookText"/>
      </w:pPr>
      <w:r>
        <w:rPr>
          <w:rFonts w:ascii="IRNazanin" w:hAnsi="IRNazanin" w:eastAsia="IRNazanin" w:cs="IRNazanin"/>
          <w:lang w:bidi="fa-IR"/>
          <w:color w:val="111111"/>
          <w:sz w:val="28"/>
          <w:szCs w:val="28"/>
          <w:rtl/>
        </w:rPr>
        <w:t xml:space="preserve">۱۷۰۵. تهران؛ مجلس؛ شماره نسخه: ۹۴۲۰/۶</w:t>
      </w:r>
    </w:p>
    <w:p>
      <w:pPr>
        <w:pStyle w:val="BookText"/>
      </w:pPr>
      <w:r>
        <w:rPr>
          <w:rFonts w:ascii="IRNazanin" w:hAnsi="IRNazanin" w:eastAsia="IRNazanin" w:cs="IRNazanin"/>
          <w:lang w:bidi="fa-IR"/>
          <w:color w:val="111111"/>
          <w:sz w:val="28"/>
          <w:szCs w:val="28"/>
          <w:rtl/>
        </w:rPr>
        <w:t xml:space="preserve">شامل هفت بند ملاحسن کاشی، اشعاری از ملانظام استرآبادی و شاه طایر دکنی و حکیم فردوسی، قصیده غیر منقوط آفتابی ساوجی و شعری از عارف آذری، ترجمة الشوق عرفى شيرازى و تتمه دیوان حافظ، اشعاری از طبعی قزوینی و ملاامیدی، مسبع فضولی بغدادی، الف تا پای سید نسیمی، اشعاری از مقصـود کاشی، قصیده مذنب، سوز و گداز نوعی خبوشانی، قضا و قدر سلیم تهرانی، قضا و قدر حکیم رعنا، عنبریه کاتبی نیشابوری، قصیده ادهم آرتیمانی، اشعاری از شیخ الرئیس و شیخ کمال خجندی و ... بی کا، بی تا؛ جلد: تیماج مشکی ۱۰۰گ (۳۱۶ پ-۴۱۳ پ)، ۱۷ سطر، اندازه: ۱۹/۵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۳۰ - ۱۲۲]</w:t>
      </w:r>
    </w:p>
    <w:p>
      <w:pPr>
        <w:pStyle w:val="BookText"/>
      </w:pPr>
      <w:r>
        <w:rPr>
          <w:rFonts w:ascii="IRNazanin" w:hAnsi="IRNazanin" w:eastAsia="IRNazanin" w:cs="IRNazanin"/>
          <w:lang w:bidi="fa-IR"/>
          <w:color w:val="111111"/>
          <w:sz w:val="28"/>
          <w:szCs w:val="28"/>
          <w:rtl/>
        </w:rPr>
        <w:t xml:space="preserve">۱۷۰۶. مشهد؛ رضوی؛ شماره نسخه: ۲۳۴۰۷</w:t>
      </w:r>
    </w:p>
    <w:p>
      <w:pPr>
        <w:pStyle w:val="BookText"/>
      </w:pPr>
      <w:r>
        <w:rPr>
          <w:rFonts w:ascii="IRNazanin" w:hAnsi="IRNazanin" w:eastAsia="IRNazanin" w:cs="IRNazanin"/>
          <w:lang w:bidi="fa-IR"/>
          <w:color w:val="111111"/>
          <w:sz w:val="28"/>
          <w:szCs w:val="28"/>
          <w:rtl/>
        </w:rPr>
        <w:t xml:space="preserve">آغاز: اگر عمری بیارایم سخن را؛ انجام: فریضه من الله واجبه على كل مسلم</w:t>
      </w:r>
    </w:p>
    <w:p>
      <w:pPr>
        <w:pStyle w:val="BookText"/>
      </w:pPr>
      <w:r>
        <w:rPr>
          <w:rFonts w:ascii="IRNazanin" w:hAnsi="IRNazanin" w:eastAsia="IRNazanin" w:cs="IRNazanin"/>
          <w:lang w:bidi="fa-IR"/>
          <w:color w:val="111111"/>
          <w:sz w:val="28"/>
          <w:szCs w:val="28"/>
          <w:rtl/>
        </w:rPr>
        <w:t xml:space="preserve">شامل: فهرست اسامی شعرا و تعداد ابیات (ص ۱ و ۲) غزلیات سعدی (۳-۴۷) غزلیات حافظ ،(۴۸-۶۳) غزلیات نشاط (۶۴- ۶۶) غزلیات مجمر (۶۶-۷۲) غزلیات عاشق اصفهانی (۷۲-۷۴) غزل محتشم (۷۵) ، غزل مشتاق و رفیق (۷۶) غزلیات محرم (۷۶ -۷۸)، غزلیات وصال (۷۸-۸۵) بوستان سعدی (۸۶-۹۳) مثنوی میرزا نصیر ،(۹۴-۱۰۹) فرهاد و شیرین وحشی (۱۰۹-۱۲۵)، ترجیع بند هاتف (۱۲۵ - ۱۳۳)، باغ رفتن شیرین از عرفی (۱۳۳- (۱۳۸ ترکیب بند ضیاء اصفهانی (۱۳۸ -۱۴۲) رباعیات خیام (۱۴۷-۱۴۲)، دوبیتی های بابا طاهر (۱۴۷-۱۵۲)، میر مرشد همدانی و مطایبه مصاحب نائینی (۱۵۲-۱۵۶)، تغزل نوری اصفهانی (۱۵۷)، قصیده مقطعات، مطایبات سعدی (۱۵۷-۱۷۵)، غزل طبیب اصفهانی (۱۷۶)، ساقی نامه حافظ (۱۷۶-۱۸۱) حکایت شیخ صنعان عطار (۱۸۲-۲۱۲)؛ خط: نستعلیق شکسته، بی کا، بی تا؛ :کاغذ: فرنگی ،جلد: تیماج [رایانه]</w:t>
      </w:r>
    </w:p>
    <w:p>
      <w:pPr>
        <w:pStyle w:val="BookText"/>
      </w:pPr>
      <w:r>
        <w:rPr>
          <w:rFonts w:ascii="IRNazanin" w:hAnsi="IRNazanin" w:eastAsia="IRNazanin" w:cs="IRNazanin"/>
          <w:lang w:bidi="fa-IR"/>
          <w:color w:val="111111"/>
          <w:sz w:val="28"/>
          <w:szCs w:val="28"/>
          <w:rtl/>
        </w:rPr>
        <w:t xml:space="preserve">۱۷۰۷ . مشهد؛ رضوی؛ شماره نسخه: ۱۶۲۰۴</w:t>
      </w:r>
    </w:p>
    <w:p>
      <w:pPr>
        <w:pStyle w:val="BookText"/>
      </w:pPr>
      <w:r>
        <w:rPr>
          <w:rFonts w:ascii="Amiri" w:hAnsi="Amiri" w:eastAsia="Amiri" w:cs="Amiri"/>
          <w:lang w:bidi="ar-SA"/>
          <w:color w:val="111111"/>
          <w:sz w:val="28"/>
          <w:szCs w:val="28"/>
          <w:rtl/>
        </w:rPr>
        <w:t xml:space="preserve">آغاز: بسمله، من قال سبحان الله غرس الله له بها شجرة في الجنة و من قال الحمد الله غرض الله له شجرة فى الجنة؛ انجام: امضى الى الغير يكون نافذا مفضلا و المنع في...</w:t>
      </w:r>
    </w:p>
    <w:p>
      <w:pPr>
        <w:pStyle w:val="BookText"/>
      </w:pPr>
      <w:r>
        <w:rPr>
          <w:rFonts w:ascii="IRNazanin" w:hAnsi="IRNazanin" w:eastAsia="IRNazanin" w:cs="IRNazanin"/>
          <w:lang w:bidi="fa-IR"/>
          <w:color w:val="111111"/>
          <w:sz w:val="28"/>
          <w:szCs w:val="28"/>
          <w:rtl/>
        </w:rPr>
        <w:t xml:space="preserve">جنگی و مجاميع؛ خط: مختلف، بی کا، بی تا؛ نسخه کالنصاب به ترکی ضمیمه است؛ کاغذ: شکری، جلد: تیماج برون تیماج [رایانه]</w:t>
      </w:r>
    </w:p>
    <w:p>
      <w:pPr>
        <w:pStyle w:val="BookText"/>
      </w:pPr>
      <w:r>
        <w:rPr>
          <w:rFonts w:ascii="IRNazanin" w:hAnsi="IRNazanin" w:eastAsia="IRNazanin" w:cs="IRNazanin"/>
          <w:lang w:bidi="fa-IR"/>
          <w:color w:val="111111"/>
          <w:sz w:val="28"/>
          <w:szCs w:val="28"/>
          <w:rtl/>
        </w:rPr>
        <w:t xml:space="preserve">۱۷۰۸. تهران؛ مجلس؛ شماره نسخه: ۸۹۱۵/۱۶</w:t>
      </w:r>
    </w:p>
    <w:p>
      <w:pPr>
        <w:pStyle w:val="BookText"/>
      </w:pPr>
      <w:r>
        <w:rPr>
          <w:rFonts w:ascii="IRNazanin" w:hAnsi="IRNazanin" w:eastAsia="IRNazanin" w:cs="IRNazanin"/>
          <w:lang w:bidi="fa-IR"/>
          <w:color w:val="111111"/>
          <w:sz w:val="28"/>
          <w:szCs w:val="28"/>
          <w:rtl/>
        </w:rPr>
        <w:t xml:space="preserve">از امیر المؤمنين و مولوى؛ بی کا ، بی تا؛ اگ (۴۹پ-۵۰ر) [ف:29/1- 339]</w:t>
      </w:r>
    </w:p>
    <w:p>
      <w:pPr>
        <w:pStyle w:val="BookText"/>
      </w:pPr>
      <w:r>
        <w:rPr>
          <w:rFonts w:ascii="IRNazanin" w:hAnsi="IRNazanin" w:eastAsia="IRNazanin" w:cs="IRNazanin"/>
          <w:lang w:bidi="fa-IR"/>
          <w:color w:val="111111"/>
          <w:sz w:val="28"/>
          <w:szCs w:val="28"/>
          <w:rtl/>
        </w:rPr>
        <w:t xml:space="preserve">۱۷۰۹. تهران؛ دانشگاه؛ شماره نسخه: ۲۶۰۳/۹-ف</w:t>
      </w:r>
    </w:p>
    <w:p>
      <w:pPr>
        <w:pStyle w:val="BookText"/>
      </w:pPr>
      <w:r>
        <w:rPr>
          <w:rFonts w:ascii="IRNazanin" w:hAnsi="IRNazanin" w:eastAsia="IRNazanin" w:cs="IRNazanin"/>
          <w:lang w:bidi="fa-IR"/>
          <w:color w:val="111111"/>
          <w:sz w:val="28"/>
          <w:szCs w:val="28"/>
          <w:rtl/>
        </w:rPr>
        <w:t xml:space="preserve">نسخه اصل: نسخه آقای افشار شیرازی. ترجیع بند و مخمس و غزلیات از: حیرتی، شعرهای عبید خان اوزبک، سیفی، وصفی، سراج زاده آقسرای (به ترکی)، شافعی (به عربی)، حافظ، نجم الدین کبری، سنایی، اهلی،سعدی، ابن حسام (مستزاد)، درویش دهکی، لطفی هروی، رفیقی یزدی، خیام، شاه عادل، عصمت، میر عبدالباقی، سلطان يعقوب، ادهم، همایون، ریاضی، نیکی، شرف، ،باقی، یعقوب بیک،کمال خجندی ،بنایی مقامی (مخمس)، حسن  وادایی ،شهیدی، شیخ زاده لاهیجی، سلمان، حیرانی ،بقایی ،نامی ،عبید زاکانی، مانی (ترجیع بند)، نظمی، فوری (مثمن)، ،جامی ،اوری ،امری ،ذاتی، کمال پاشازاده( به ترکی)، رحمی چلبی (به ترکی)، خداوندگار، نجاتیو آهی، حنایی، سلطان سلیم (به فارسی)، شیخ آذری، ملاحسام دیوانه، قاسم، ابن عربی( به عربی) ،نسیمی، طهماسب، نظامی، بایسنغر جغتایی و عضد؛ بی کا، بی تا[ فیلمها: ۱ - ۷۱۸]</w:t>
      </w:r>
    </w:p>
    <w:p>
      <w:pPr>
        <w:pStyle w:val="BookText"/>
      </w:pPr>
      <w:r>
        <w:rPr>
          <w:rFonts w:ascii="IRNazanin" w:hAnsi="IRNazanin" w:eastAsia="IRNazanin" w:cs="IRNazanin"/>
          <w:lang w:bidi="fa-IR"/>
          <w:color w:val="111111"/>
          <w:sz w:val="28"/>
          <w:szCs w:val="28"/>
          <w:rtl/>
        </w:rPr>
        <w:t xml:space="preserve">۱۷۱۰. تهران؛ دانشگاه؛ شماره نسخه: ۴۶۲۸/۱</w:t>
      </w:r>
    </w:p>
    <w:p>
      <w:pPr>
        <w:pStyle w:val="BookText"/>
      </w:pPr>
      <w:r>
        <w:rPr>
          <w:rFonts w:ascii="IRNazanin" w:hAnsi="IRNazanin" w:eastAsia="IRNazanin" w:cs="IRNazanin"/>
          <w:lang w:bidi="fa-IR"/>
          <w:color w:val="111111"/>
          <w:sz w:val="28"/>
          <w:szCs w:val="28"/>
          <w:rtl/>
        </w:rPr>
        <w:t xml:space="preserve">قصیده فارسی با قافیه نون؛ خط: نستعلیق و شکسته نستعلیق، بی کا، بی تا؛ مجدول؛ کاغذ: سپاهانی، جلد: تیماج آبی ترنجی عطف و درون  قهوه ای، ۵ ص (۱-۵) ۱۴) سطر ،(7</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۱۴ – ۳۵۶۴]
</w:t>
      </w:r>
    </w:p>
    <w:p>
      <w:pPr>
        <w:sectPr>
          <w:footerReference w:type="default" r:id="rId9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۱۷۱۱. قم ؛مرعشی؛ شماره نسخه: ۹۴۱۶</w:t>
      </w:r>
    </w:p>
    <w:p>
      <w:pPr>
        <w:pStyle w:val="BookText"/>
      </w:pPr>
      <w:r>
        <w:rPr>
          <w:rFonts w:ascii="IRNazanin" w:hAnsi="IRNazanin" w:eastAsia="IRNazanin" w:cs="IRNazanin"/>
          <w:lang w:bidi="fa-IR"/>
          <w:color w:val="111111"/>
          <w:sz w:val="28"/>
          <w:szCs w:val="28"/>
          <w:rtl/>
        </w:rPr>
        <w:t xml:space="preserve">آغاز: هر گوشه از خرام تو نازد هزار جان *** صد بارا گربه پای توریزند جایز است؟</w:t>
      </w:r>
    </w:p>
    <w:p>
      <w:pPr>
        <w:pStyle w:val="BookText"/>
      </w:pPr>
      <w:r>
        <w:rPr>
          <w:rFonts w:ascii="IRNazanin" w:hAnsi="IRNazanin" w:eastAsia="IRNazanin" w:cs="IRNazanin"/>
          <w:lang w:bidi="fa-IR"/>
          <w:color w:val="111111"/>
          <w:sz w:val="28"/>
          <w:szCs w:val="28"/>
          <w:rtl/>
        </w:rPr>
        <w:t xml:space="preserve">در این جنگ نمونه ای از اشعار این شاعران بدون تنظیم گرد آورده است: صائب تبریزی، میر همایون ،هلالی، ابو تراب بیک، میرزا صادق دست  غیب، محمد مقیم، بابا فغانی، رکنا طالب کلیم، ملا محمدحسن شوقی، یوسف بیک شاملو، مولانا شانی، بـاب افضل ،سحابی، میرزا ابراهیم ادهم ،شیخ ابو سعید، محمد قلی بیک سلیم، غیاثا حلوائی، صفی قلی بیک. در پایان مجموعه چند رقعه به نثر نیز افزوده شده و در برگی به خط گرد آورنده تاریخ جمادى الاول ۱۰۵ ؟ در مشهد مقدس معلی دیده می شود؛ خـط: نستعليق، كاتب = مؤلف، بی تا؛ سطرها چلیپا ؛جلد: تیماج سـبز، 83گ، مختلف السطر،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۲۴سم [ف: ۲۴ - ۱۸۸]</w:t>
      </w:r>
    </w:p>
    <w:p>
      <w:pPr>
        <w:pStyle w:val="BookText"/>
      </w:pPr>
      <w:r>
        <w:rPr>
          <w:rFonts w:ascii="IRNazanin" w:hAnsi="IRNazanin" w:eastAsia="IRNazanin" w:cs="IRNazanin"/>
          <w:lang w:bidi="fa-IR"/>
          <w:color w:val="111111"/>
          <w:sz w:val="28"/>
          <w:szCs w:val="28"/>
          <w:rtl/>
        </w:rPr>
        <w:t xml:space="preserve">۱۷۱۲. قم؛ مرکز احیاء؛ شماره نسخه: ۶۳۳</w:t>
      </w:r>
    </w:p>
    <w:p>
      <w:pPr>
        <w:pStyle w:val="BookText"/>
      </w:pPr>
      <w:r>
        <w:rPr>
          <w:rFonts w:ascii="IRNazanin" w:hAnsi="IRNazanin" w:eastAsia="IRNazanin" w:cs="IRNazanin"/>
          <w:lang w:bidi="fa-IR"/>
          <w:color w:val="111111"/>
          <w:sz w:val="28"/>
          <w:szCs w:val="28"/>
          <w:rtl/>
        </w:rPr>
        <w:t xml:space="preserve">بعضی ابیات مفرده و رباعیات پراکنده ای است که از آتشکده آذر به سال ۱۳۱۰ انتخاب شده با ذکر نام شاعران و در پایان چند بـیت «مجمع الفصحاء» که انیس مؤلف قرار گرفته بود به سال 1347  افزوده است ؛خط: نستعلیق، كاتب = مؤلف، تا با تاریخ ۱۳۱۰ق؛ جلد: تیماج قرمز بدون مقوا ،۴۹گ مختلف السطر، اندازه: 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۱۳/۵سم [ف: ۲ - ۲۹۰]</w:t>
      </w:r>
    </w:p>
    <w:p>
      <w:pPr>
        <w:pStyle w:val="BookText"/>
      </w:pPr>
      <w:r>
        <w:rPr>
          <w:rFonts w:ascii="IRNazanin" w:hAnsi="IRNazanin" w:eastAsia="IRNazanin" w:cs="IRNazanin"/>
          <w:lang w:bidi="fa-IR"/>
          <w:color w:val="111111"/>
          <w:sz w:val="28"/>
          <w:szCs w:val="28"/>
          <w:rtl/>
        </w:rPr>
        <w:t xml:space="preserve">۱۷۱۳. تبریز؛ ملی؛ شماره نسخه:2ر3209</w:t>
      </w:r>
    </w:p>
    <w:p>
      <w:pPr>
        <w:pStyle w:val="BookText"/>
      </w:pPr>
      <w:r>
        <w:rPr>
          <w:rFonts w:ascii="IRNazanin" w:hAnsi="IRNazanin" w:eastAsia="IRNazanin" w:cs="IRNazanin"/>
          <w:lang w:bidi="fa-IR"/>
          <w:color w:val="111111"/>
          <w:sz w:val="28"/>
          <w:szCs w:val="28"/>
          <w:rtl/>
        </w:rPr>
        <w:t xml:space="preserve">آغاز: هو الابهى اى حیات العرش خورشید و داد *** که جهان امکان چو تو نوری نزاد / گر نبودی خلق محجوب از لق *** یـک دو حرفی گفتم از سر بقا / تا که جانها جمله مرهونت شوند *** تا که دلها جمله مفتونت شوند؛ انجام: چون کلیم اندر مـیان قبطیان *** یا چو روح الله میان سبطیان / همچو یوسف اندر افتاده به چاه *** آن که نبودش پایان و راه / بلبلت شد مبتلا اندر قفس *** بسته شد هم زین قفس راه نفس. در حالت تنگی سینـه و دردسر و سلفه بسیار تحریر شده [ انشاء الله قصوره باقمايز]، يعـنی عفو خواهید فرمود</w:t>
      </w:r>
    </w:p>
    <w:p>
      <w:pPr>
        <w:pStyle w:val="BookText"/>
      </w:pPr>
      <w:r>
        <w:rPr>
          <w:rFonts w:ascii="IRNazanin" w:hAnsi="IRNazanin" w:eastAsia="IRNazanin" w:cs="IRNazanin"/>
          <w:lang w:bidi="fa-IR"/>
          <w:color w:val="111111"/>
          <w:sz w:val="28"/>
          <w:szCs w:val="28"/>
          <w:rtl/>
        </w:rPr>
        <w:t xml:space="preserve">فصل و بابی ندارد مثنوی عرفانی است در مدح و شرح حالات بهاء الله؛ خط: نستعليق، كاتب = مؤلف، بی تا ؛کاغذ: فرنگی، جـلد: قار نقور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۱۰گ، ۱۸ سطر [ف: ۲ - ۵۰۴]</w:t>
      </w:r>
    </w:p>
    <w:p>
      <w:pPr>
        <w:pStyle w:val="BookText"/>
      </w:pPr>
      <w:r>
        <w:rPr>
          <w:rFonts w:ascii="IRNazanin" w:hAnsi="IRNazanin" w:eastAsia="IRNazanin" w:cs="IRNazanin"/>
          <w:lang w:bidi="fa-IR"/>
          <w:color w:val="111111"/>
          <w:sz w:val="28"/>
          <w:szCs w:val="28"/>
          <w:rtl/>
        </w:rPr>
        <w:t xml:space="preserve">۱۷۱۴. کرمانشاه؛ جلیلی؛ شماره نسخه: ۳۲۰</w:t>
      </w:r>
    </w:p>
    <w:p>
      <w:pPr>
        <w:pStyle w:val="BookText"/>
      </w:pPr>
      <w:r>
        <w:rPr>
          <w:rFonts w:ascii="IRNazanin" w:hAnsi="IRNazanin" w:eastAsia="IRNazanin" w:cs="IRNazanin"/>
          <w:lang w:bidi="fa-IR"/>
          <w:color w:val="111111"/>
          <w:sz w:val="28"/>
          <w:szCs w:val="28"/>
          <w:rtl/>
        </w:rPr>
        <w:t xml:space="preserve">آغاز: ابروان زد صحبت تر یا چرخ یا چاچی کمان *** تیر تو دلدوز تر یا نالهای زار من؛ انجام: کرد بدریای.. چون نظر *** دید بهر گونه نهنگ دگر جامع و کاتب: احتمالاً ابوالقاسم خان در ۱۳۲۷، نسخه شامل رباعیات و غزلیات سعدی شیرازی، وحشی بافقی، سید محـمد ماست بند، حافظ شیرازی، هاتف اصفهانی ،مشتاق ؛خط: نستعـلیق مخلوط بشکسته کم  اعجام، كاتب = مؤلف، بی تا؛ مجدول، کاغذ: نخودی ضخیم، جلد: تیماج ،تریاکی، ۴۶گ، ۸ سطر، 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۱۶/۵سم [ف: ۷۲]</w:t>
      </w:r>
    </w:p>
    <w:p>
      <w:pPr>
        <w:pStyle w:val="BookText"/>
      </w:pPr>
      <w:r>
        <w:rPr>
          <w:rFonts w:ascii="IRNazanin" w:hAnsi="IRNazanin" w:eastAsia="IRNazanin" w:cs="IRNazanin"/>
          <w:lang w:bidi="fa-IR"/>
          <w:color w:val="111111"/>
          <w:sz w:val="28"/>
          <w:szCs w:val="28"/>
          <w:rtl/>
        </w:rPr>
        <w:t xml:space="preserve">۱۷۱۵. تهران؛ دانشگاه؛ شماره نسخه: ۵۱۰۹/۴</w:t>
      </w:r>
    </w:p>
    <w:p>
      <w:pPr>
        <w:pStyle w:val="BookText"/>
      </w:pPr>
      <w:r>
        <w:rPr>
          <w:rFonts w:ascii="IRNazanin" w:hAnsi="IRNazanin" w:eastAsia="IRNazanin" w:cs="IRNazanin"/>
          <w:lang w:bidi="fa-IR"/>
          <w:color w:val="111111"/>
          <w:sz w:val="28"/>
          <w:szCs w:val="28"/>
          <w:rtl/>
        </w:rPr>
        <w:t xml:space="preserve">غزل و رباعی تاج جیلانی؛ خط: نستعلیق، كا: لاد محمد قرشی هاشمی خطیب نوساری، بی تا ؛کاغذ: سپاهانی زرد متن و حاشیه ،جلد: مقوا ابره پارچه مشکی، ص (۱۵۳پ) سطور چلیپا در هفت ستون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 قطع: وزیری، اندازه: ۱۶/۵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۲۶/۵سم [ف: ۱۵ - 4115]</w:t>
      </w:r>
    </w:p>
    <w:p>
      <w:pPr>
        <w:pStyle w:val="BookText"/>
      </w:pPr>
      <w:r>
        <w:rPr>
          <w:rFonts w:ascii="IRNazanin" w:hAnsi="IRNazanin" w:eastAsia="IRNazanin" w:cs="IRNazanin"/>
          <w:lang w:bidi="fa-IR"/>
          <w:color w:val="111111"/>
          <w:sz w:val="28"/>
          <w:szCs w:val="28"/>
          <w:rtl/>
        </w:rPr>
        <w:t xml:space="preserve">1716.تهران؛ دانشگاه؛ شماره نسخه: ۵۷۷/۷-ف</w:t>
      </w:r>
    </w:p>
    <w:p>
      <w:pPr>
        <w:pStyle w:val="BookText"/>
      </w:pPr>
      <w:r>
        <w:rPr>
          <w:rFonts w:ascii="IRNazanin" w:hAnsi="IRNazanin" w:eastAsia="IRNazanin" w:cs="IRNazanin"/>
          <w:lang w:bidi="fa-IR"/>
          <w:color w:val="111111"/>
          <w:sz w:val="28"/>
          <w:szCs w:val="28"/>
          <w:rtl/>
        </w:rPr>
        <w:t xml:space="preserve">نسخه اصل: نافذ پاشا .۳۹۹. غزل های ابراهیم و کمال؛ بی کا، بی تا؛  هامش ۵۱پ تا آخر [فیلمها: ۲- ۲]</w:t>
      </w:r>
    </w:p>
    <w:p>
      <w:pPr>
        <w:pStyle w:val="BookText"/>
      </w:pPr>
      <w:r>
        <w:rPr>
          <w:rFonts w:ascii="IRNazanin" w:hAnsi="IRNazanin" w:eastAsia="IRNazanin" w:cs="IRNazanin"/>
          <w:lang w:bidi="fa-IR"/>
          <w:color w:val="111111"/>
          <w:sz w:val="28"/>
          <w:szCs w:val="28"/>
          <w:rtl/>
        </w:rPr>
        <w:t xml:space="preserve">۱۷۱۷. تهران؛ دانشگاه؛ شماره نسخه: ۶۲۲۵/۳۲-ف</w:t>
      </w:r>
    </w:p>
    <w:p>
      <w:pPr>
        <w:pStyle w:val="BookText"/>
      </w:pPr>
      <w:r>
        <w:rPr>
          <w:rFonts w:ascii="IRNazanin" w:hAnsi="IRNazanin" w:eastAsia="IRNazanin" w:cs="IRNazanin"/>
          <w:lang w:bidi="fa-IR"/>
          <w:color w:val="111111"/>
          <w:sz w:val="28"/>
          <w:szCs w:val="28"/>
          <w:rtl/>
        </w:rPr>
        <w:t xml:space="preserve">قصیده در معنی فقر و دعای خواجه به فارسی؛ بی کا، بی تا [فیلمها: 3- 212]</w:t>
      </w:r>
    </w:p>
    <w:p>
      <w:pPr>
        <w:pStyle w:val="BookText"/>
      </w:pPr>
      <w:r>
        <w:rPr>
          <w:rFonts w:ascii="IRNazanin" w:hAnsi="IRNazanin" w:eastAsia="IRNazanin" w:cs="IRNazanin"/>
          <w:lang w:bidi="fa-IR"/>
          <w:color w:val="111111"/>
          <w:sz w:val="28"/>
          <w:szCs w:val="28"/>
          <w:rtl/>
        </w:rPr>
        <w:t xml:space="preserve">۱۷۱۸. تهران؛ دانشگاه؛ شماره نسخه: ۶۲۲۵/۴۵-ف</w:t>
      </w:r>
    </w:p>
    <w:p>
      <w:pPr>
        <w:pStyle w:val="BookText"/>
      </w:pPr>
      <w:r>
        <w:rPr>
          <w:rFonts w:ascii="IRNazanin" w:hAnsi="IRNazanin" w:eastAsia="IRNazanin" w:cs="IRNazanin"/>
          <w:lang w:bidi="fa-IR"/>
          <w:color w:val="111111"/>
          <w:sz w:val="28"/>
          <w:szCs w:val="28"/>
          <w:rtl/>
        </w:rPr>
        <w:t xml:space="preserve">قصیده های فارسی است از ... و کاتبی، ظهیر فاریابی، سلمان ساوجی، جامی، کمال خجند، امیر خسرو، سلمان، شیخ سعدی، جامی، خواجه عصمت، سید حسین با شعری که هر بیت آن ماده تاریخ ۹۲۹ است و قصیده بی نقطه و ماده تاریخ و گفته تاجوری به ترکی (به نسخ) و قطعه های تاریخ سلاطین عثمانی از عثمان غازی تا سلطان سلیمان (۹۲۶) به فارسی؛ بی کا، بی تا [فیلمها: ۳- ۲۱۲]</w:t>
      </w:r>
    </w:p>
    <w:p>
      <w:pPr>
        <w:pStyle w:val="BookText"/>
      </w:pPr>
      <w:r>
        <w:rPr>
          <w:rFonts w:ascii="IRNazanin" w:hAnsi="IRNazanin" w:eastAsia="IRNazanin" w:cs="IRNazanin"/>
          <w:lang w:bidi="fa-IR"/>
          <w:color w:val="111111"/>
          <w:sz w:val="28"/>
          <w:szCs w:val="28"/>
          <w:rtl/>
        </w:rPr>
        <w:t xml:space="preserve">۱۷۱۹. تهران؛ دانشگاه؛ شماره نسخه: ۶۲۲۵/۱۰۰-ف</w:t>
      </w:r>
    </w:p>
    <w:p>
      <w:pPr>
        <w:pStyle w:val="BookText"/>
      </w:pPr>
      <w:r>
        <w:rPr>
          <w:rFonts w:ascii="IRNazanin" w:hAnsi="IRNazanin" w:eastAsia="IRNazanin" w:cs="IRNazanin"/>
          <w:lang w:bidi="fa-IR"/>
          <w:color w:val="111111"/>
          <w:sz w:val="28"/>
          <w:szCs w:val="28"/>
          <w:rtl/>
        </w:rPr>
        <w:t xml:space="preserve">قصیده است با تاریخ ۶۴۵ در ۹۶ سالگی و جامی نیز خاقانی و خسرو دهلوی؛ بی کا،  بی تا [فیلمها : ۳ - ۲۱۲]</w:t>
      </w:r>
    </w:p>
    <w:p>
      <w:pPr>
        <w:pStyle w:val="BookText"/>
      </w:pPr>
      <w:r>
        <w:rPr>
          <w:rFonts w:ascii="IRNazanin" w:hAnsi="IRNazanin" w:eastAsia="IRNazanin" w:cs="IRNazanin"/>
          <w:lang w:bidi="fa-IR"/>
          <w:color w:val="111111"/>
          <w:sz w:val="28"/>
          <w:szCs w:val="28"/>
          <w:rtl/>
        </w:rPr>
        <w:t xml:space="preserve">۱۷۲۰. تهران؛ دانشگاه؛ شماره نسخه: ۴۴-۶۲۲۵/۴۲-ف-درهامش</w:t>
      </w:r>
    </w:p>
    <w:p>
      <w:pPr>
        <w:pStyle w:val="BookText"/>
      </w:pPr>
      <w:r>
        <w:rPr>
          <w:rFonts w:ascii="IRNazanin" w:hAnsi="IRNazanin" w:eastAsia="IRNazanin" w:cs="IRNazanin"/>
          <w:lang w:bidi="fa-IR"/>
          <w:color w:val="111111"/>
          <w:sz w:val="28"/>
          <w:szCs w:val="28"/>
          <w:rtl/>
        </w:rPr>
        <w:t xml:space="preserve">قصيده «ما مظهر ذات كبريائيم ما جام جم خدا نمائیم»؛ بی کا، بی تا [فیلمها: ۳ - ۲۱۳]</w:t>
      </w:r>
    </w:p>
    <w:p>
      <w:pPr>
        <w:pStyle w:val="BookText"/>
      </w:pPr>
      <w:r>
        <w:rPr>
          <w:rFonts w:ascii="IRNazanin" w:hAnsi="IRNazanin" w:eastAsia="IRNazanin" w:cs="IRNazanin"/>
          <w:lang w:bidi="fa-IR"/>
          <w:color w:val="111111"/>
          <w:sz w:val="28"/>
          <w:szCs w:val="28"/>
          <w:rtl/>
        </w:rPr>
        <w:t xml:space="preserve">۱۷۲۱. تهران؛ مجلس؛ شماره نسخه: ۲۶۲۸/۲</w:t>
      </w:r>
    </w:p>
    <w:p>
      <w:pPr>
        <w:pStyle w:val="BookText"/>
      </w:pPr>
      <w:r>
        <w:rPr>
          <w:rFonts w:ascii="IRNazanin" w:hAnsi="IRNazanin" w:eastAsia="IRNazanin" w:cs="IRNazanin"/>
          <w:lang w:bidi="fa-IR"/>
          <w:color w:val="111111"/>
          <w:sz w:val="28"/>
          <w:szCs w:val="28"/>
          <w:rtl/>
        </w:rPr>
        <w:t xml:space="preserve">قصیده و غزل و قطعه و رباعی از سید حسن غزنوی، مجد همگر، اثیر اخسيتكى، جمال الدین اصفهانی، کمال الدین، عمق بخاری، فلکی، شیروانی، ابوالفتح ،بستی، شیخ ابوالحسن شهید بلخی، ابو العباس بخاری، عمادی شهریاری، سید جمال کاشانی، خواجه جلال، جلال الدین ملکشاه، سلجوقی، روزبهان شیرازی، شمس الدین صاحب دیوان، مجد الملک یزدی، عضایری، علی بن احمد قتالی پهلوان محمود بهاء الدین کریمی، حكيم لؤلؤ، منجيك ترمذی، محمود صاین، محمد بن عمر، نضام الملک طوسی، میرزا عبد الله خان شهاب؛ بی کا، بی تا؛ ۸۰ص (۸۱-۱۶۰) [ف: ۸ - ۴۵۰]</w:t>
      </w:r>
    </w:p>
    <w:p>
      <w:pPr>
        <w:pStyle w:val="BookText"/>
      </w:pPr>
      <w:r>
        <w:rPr>
          <w:rFonts w:ascii="IRNazanin" w:hAnsi="IRNazanin" w:eastAsia="IRNazanin" w:cs="IRNazanin"/>
          <w:lang w:bidi="fa-IR"/>
          <w:color w:val="111111"/>
          <w:sz w:val="28"/>
          <w:szCs w:val="28"/>
          <w:rtl/>
        </w:rPr>
        <w:t xml:space="preserve">۱۷۲۲. تهران؛ دانشگاه؛ شماره نسخه: ۳۴۶۳/۸ عکس و ۳۴۶۴/۸-عکس</w:t>
      </w:r>
    </w:p>
    <w:p>
      <w:pPr>
        <w:pStyle w:val="BookText"/>
      </w:pPr>
      <w:r>
        <w:rPr>
          <w:rFonts w:ascii="IRNazanin" w:hAnsi="IRNazanin" w:eastAsia="IRNazanin" w:cs="IRNazanin"/>
          <w:lang w:bidi="fa-IR"/>
          <w:color w:val="111111"/>
          <w:sz w:val="28"/>
          <w:szCs w:val="28"/>
          <w:rtl/>
        </w:rPr>
        <w:t xml:space="preserve">نسخه اصل: توبینگن 3784 </w:t>
      </w:r>
      <w:r>
        <w:rPr>
          <w:rFonts w:ascii="Times New Roman" w:hAnsi="Times New Roman" w:eastAsia="Times New Roman" w:cs="Times New Roman"/>
          <w:lang w:val="en-US" w:bidi="en-US"/>
          <w:color w:val="111111"/>
          <w:sz w:val="28"/>
          <w:szCs w:val="28"/>
          <w:rtl/>
        </w:rPr>
        <w:t xml:space="preserve">Or oct </w:t>
      </w:r>
      <w:r>
        <w:rPr>
          <w:rFonts w:ascii="IRNazanin" w:hAnsi="IRNazanin" w:eastAsia="IRNazanin" w:cs="IRNazanin"/>
          <w:lang w:bidi="fa-IR"/>
          <w:color w:val="111111"/>
          <w:sz w:val="28"/>
          <w:szCs w:val="28"/>
          <w:rtl/>
        </w:rPr>
        <w:t xml:space="preserve">غزل هایی گویا از مولوی؛ بی کا، بی تا؛ ۱۳گ (۱۷۰ر-۱۸۳پ) [فیلمها: ۳ - ۲۲۴]</w:t>
      </w:r>
    </w:p>
    <w:p>
      <w:pPr>
        <w:pStyle w:val="BookText"/>
      </w:pPr>
      <w:r>
        <w:rPr>
          <w:rFonts w:ascii="IRNazanin" w:hAnsi="IRNazanin" w:eastAsia="IRNazanin" w:cs="IRNazanin"/>
          <w:lang w:bidi="fa-IR"/>
          <w:color w:val="111111"/>
          <w:sz w:val="28"/>
          <w:szCs w:val="28"/>
          <w:rtl/>
        </w:rPr>
        <w:t xml:space="preserve">۱۷۲۳. تهران؛ دانشگاه؛ شماره نسخه: ۳۹۱۰/۵</w:t>
      </w:r>
    </w:p>
    <w:p>
      <w:pPr>
        <w:pStyle w:val="BookText"/>
      </w:pPr>
      <w:r>
        <w:rPr>
          <w:rFonts w:ascii="IRNazanin" w:hAnsi="IRNazanin" w:eastAsia="IRNazanin" w:cs="IRNazanin"/>
          <w:lang w:bidi="fa-IR"/>
          <w:color w:val="111111"/>
          <w:sz w:val="28"/>
          <w:szCs w:val="28"/>
          <w:rtl/>
        </w:rPr>
        <w:t xml:space="preserve">قصیده فارسی است، در ستایش حاج محمد کریم خان کرمانی؛ خط: نستعلیق، کا: عبدالجبار بن حاج قاضی محمد قراباغی، بی تا؛ کاغذ: فرنگی ،جلد: تیماج ضربی زرکوب، ۲ص (۳۱-۳۲)، ۱۲ سطر (8</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۱۱</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۱۷سم [ف: ۱۲ - ۲۹۰۰]
</w:t>
      </w:r>
    </w:p>
    <w:p>
      <w:pPr>
        <w:sectPr>
          <w:footerReference w:type="default" r:id="rId9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۱۷۲۴. تهران؛ دانشگاه؛ شماره نسخه: ۶۰۵۸/۴-عکس</w:t>
      </w:r>
    </w:p>
    <w:p>
      <w:pPr>
        <w:pStyle w:val="BookText"/>
      </w:pPr>
      <w:r>
        <w:rPr>
          <w:rFonts w:ascii="IRNazanin" w:hAnsi="IRNazanin" w:eastAsia="IRNazanin" w:cs="IRNazanin"/>
          <w:lang w:bidi="fa-IR"/>
          <w:color w:val="111111"/>
          <w:sz w:val="28"/>
          <w:szCs w:val="28"/>
          <w:rtl/>
        </w:rPr>
        <w:t xml:space="preserve">آغاز: یا خاتم الرسالة يا اشرف الورى</w:t>
      </w:r>
    </w:p>
    <w:p>
      <w:pPr>
        <w:pStyle w:val="BookText"/>
      </w:pPr>
      <w:r>
        <w:rPr>
          <w:rFonts w:ascii="IRNazanin" w:hAnsi="IRNazanin" w:eastAsia="IRNazanin" w:cs="IRNazanin"/>
          <w:lang w:bidi="fa-IR"/>
          <w:color w:val="111111"/>
          <w:sz w:val="28"/>
          <w:szCs w:val="28"/>
          <w:rtl/>
        </w:rPr>
        <w:t xml:space="preserve">نسخه اصل: پاریس 1948 .</w:t>
      </w:r>
      <w:r>
        <w:rPr>
          <w:rFonts w:ascii="Times New Roman" w:hAnsi="Times New Roman" w:eastAsia="Times New Roman" w:cs="Times New Roman"/>
          <w:lang w:val="en-US" w:bidi="en-US"/>
          <w:color w:val="111111"/>
          <w:sz w:val="28"/>
          <w:szCs w:val="28"/>
          <w:rtl/>
        </w:rPr>
        <w:t xml:space="preserve">S. P. </w:t>
      </w:r>
      <w:r>
        <w:rPr>
          <w:rFonts w:ascii="IRNazanin" w:hAnsi="IRNazanin" w:eastAsia="IRNazanin" w:cs="IRNazanin"/>
          <w:lang w:bidi="fa-IR"/>
          <w:color w:val="111111"/>
          <w:sz w:val="28"/>
          <w:szCs w:val="28"/>
          <w:rtl/>
        </w:rPr>
        <w:t xml:space="preserve">قصیده در ستایش پیامبر؛ بی کا، بی تا [فیلمها: ۳ - ۲۳۸]</w:t>
      </w:r>
    </w:p>
    <w:p>
      <w:pPr>
        <w:pStyle w:val="BookText"/>
      </w:pPr>
      <w:r>
        <w:rPr>
          <w:rFonts w:ascii="IRNazanin" w:hAnsi="IRNazanin" w:eastAsia="IRNazanin" w:cs="IRNazanin"/>
          <w:lang w:bidi="fa-IR"/>
          <w:color w:val="111111"/>
          <w:sz w:val="28"/>
          <w:szCs w:val="28"/>
          <w:rtl/>
        </w:rPr>
        <w:t xml:space="preserve">۱۷۲۵. تهران؛ دانشگاه؛ شماره نسخه: ۸۵۱۹/۱۳</w:t>
      </w:r>
    </w:p>
    <w:p>
      <w:pPr>
        <w:pStyle w:val="BookText"/>
      </w:pPr>
      <w:r>
        <w:rPr>
          <w:rFonts w:ascii="IRNazanin" w:hAnsi="IRNazanin" w:eastAsia="IRNazanin" w:cs="IRNazanin"/>
          <w:lang w:bidi="fa-IR"/>
          <w:color w:val="111111"/>
          <w:sz w:val="28"/>
          <w:szCs w:val="28"/>
          <w:rtl/>
        </w:rPr>
        <w:t xml:space="preserve">آغاز: سرنامه بنام آن خداوند*** که خوبان را به دلها داد پیوند؛</w:t>
      </w:r>
    </w:p>
    <w:p>
      <w:pPr>
        <w:pStyle w:val="BookText"/>
      </w:pPr>
      <w:r>
        <w:rPr>
          <w:rFonts w:ascii="IRNazanin" w:hAnsi="IRNazanin" w:eastAsia="IRNazanin" w:cs="IRNazanin"/>
          <w:lang w:bidi="fa-IR"/>
          <w:color w:val="111111"/>
          <w:sz w:val="28"/>
          <w:szCs w:val="28"/>
          <w:rtl/>
        </w:rPr>
        <w:t xml:space="preserve">انجام: نوازش چون زرد ارسوی شه این ساز *** برون داد از سـوی زهره آواز</w:t>
      </w:r>
    </w:p>
    <w:p>
      <w:pPr>
        <w:pStyle w:val="BookText"/>
      </w:pPr>
      <w:r>
        <w:rPr>
          <w:rFonts w:ascii="IRNazanin" w:hAnsi="IRNazanin" w:eastAsia="IRNazanin" w:cs="IRNazanin"/>
          <w:lang w:bidi="fa-IR"/>
          <w:color w:val="111111"/>
          <w:sz w:val="28"/>
          <w:szCs w:val="28"/>
          <w:rtl/>
        </w:rPr>
        <w:t xml:space="preserve">مثنوی است؛ بی کا ،تا: جمادی الاول هزار و اندی؛ کاغذ:سپاهانی، جلد: تیماج مشکی ضربی مقوایی، ۲۲گ( ۵۶ پ-۷۸ر)۲۰ سطر (7</w:t>
      </w:r>
      <w:r>
        <w:rPr>
          <w:rFonts w:ascii="Times New Roman" w:hAnsi="Times New Roman" w:eastAsia="Times New Roman" w:cs="Times New Roman"/>
          <w:lang w:val="en-US" w:bidi="en-US"/>
          <w:color w:val="111111"/>
          <w:sz w:val="28"/>
          <w:szCs w:val="28"/>
          <w:rtl/>
        </w:rPr>
        <w:t xml:space="preserve">×9) [</w:t>
      </w:r>
      <w:r>
        <w:rPr>
          <w:rFonts w:ascii="IRNazanin" w:hAnsi="IRNazanin" w:eastAsia="IRNazanin" w:cs="IRNazanin"/>
          <w:lang w:bidi="fa-IR"/>
          <w:color w:val="111111"/>
          <w:sz w:val="28"/>
          <w:szCs w:val="28"/>
          <w:rtl/>
        </w:rPr>
        <w:t xml:space="preserve">ف : ۱۷ - ۱۵۲]</w:t>
      </w:r>
    </w:p>
    <w:p>
      <w:pPr>
        <w:pStyle w:val="BookText"/>
      </w:pPr>
      <w:r>
        <w:rPr>
          <w:rFonts w:ascii="IRNazanin" w:hAnsi="IRNazanin" w:eastAsia="IRNazanin" w:cs="IRNazanin"/>
          <w:lang w:bidi="fa-IR"/>
          <w:color w:val="111111"/>
          <w:sz w:val="28"/>
          <w:szCs w:val="28"/>
          <w:rtl/>
        </w:rPr>
        <w:t xml:space="preserve">۱۷۲۶. تهران؛ دانشگاه؛ شماره نسخه: ۶۵۱۱/۳</w:t>
      </w:r>
    </w:p>
    <w:p>
      <w:pPr>
        <w:pStyle w:val="BookText"/>
      </w:pPr>
      <w:r>
        <w:rPr>
          <w:rFonts w:ascii="IRNazanin" w:hAnsi="IRNazanin" w:eastAsia="IRNazanin" w:cs="IRNazanin"/>
          <w:lang w:bidi="fa-IR"/>
          <w:color w:val="111111"/>
          <w:sz w:val="28"/>
          <w:szCs w:val="28"/>
          <w:rtl/>
        </w:rPr>
        <w:t xml:space="preserve">قصیده فارسی سید نسیمی با قافیه تاء؛ خط: نستعلیق، کا: عبد الله بن کربلایی محمد تقی سیستانی، بی تا؛ کاغذ: فرنگی ،جلد: تیماج سرخ لایی، ۹ص، ۱۳ 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قطع: خشتی،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۲۶سم [ف: ۱۶- ۲۸۱]</w:t>
      </w:r>
    </w:p>
    <w:p>
      <w:pPr>
        <w:pStyle w:val="BookText"/>
      </w:pPr>
      <w:r>
        <w:rPr>
          <w:rFonts w:ascii="IRNazanin" w:hAnsi="IRNazanin" w:eastAsia="IRNazanin" w:cs="IRNazanin"/>
          <w:lang w:bidi="fa-IR"/>
          <w:color w:val="111111"/>
          <w:sz w:val="28"/>
          <w:szCs w:val="28"/>
          <w:rtl/>
        </w:rPr>
        <w:t xml:space="preserve">۱۷۲۷. تهران؛ دانشگاه؛ شماره نسخه: ۹۶۶۱/۷</w:t>
      </w:r>
    </w:p>
    <w:p>
      <w:pPr>
        <w:pStyle w:val="BookText"/>
      </w:pPr>
      <w:r>
        <w:rPr>
          <w:rFonts w:ascii="IRNazanin" w:hAnsi="IRNazanin" w:eastAsia="IRNazanin" w:cs="IRNazanin"/>
          <w:lang w:bidi="fa-IR"/>
          <w:color w:val="111111"/>
          <w:sz w:val="28"/>
          <w:szCs w:val="28"/>
          <w:rtl/>
        </w:rPr>
        <w:t xml:space="preserve">مثنوی با عنوان «از ملالت در انحراف مزاج جهان بانی و طلب شفای عاجل از حضرت سبحانی»، تا می رسد به عنوان «حكایت  آن جوان عاشق که به محض دیدن معشوق خود فدا ساخت جان در باخت»؛ خط: نسخ، بی کا، بی تا؛ کاغذ: استانبولی، جـد: تيماج مشکی مقوایی، از یک سوی، ۸گ (۹۵پ-۱۱۳پ)، 15سطر (7</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قطع: ربعی، اندازه: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 ف : ۱۷ - ۴۴۷]</w:t>
      </w:r>
    </w:p>
    <w:p>
      <w:pPr>
        <w:pStyle w:val="BookText"/>
      </w:pPr>
      <w:r>
        <w:rPr>
          <w:rFonts w:ascii="IRNazanin" w:hAnsi="IRNazanin" w:eastAsia="IRNazanin" w:cs="IRNazanin"/>
          <w:lang w:bidi="fa-IR"/>
          <w:color w:val="111111"/>
          <w:sz w:val="28"/>
          <w:szCs w:val="28"/>
          <w:rtl/>
        </w:rPr>
        <w:t xml:space="preserve">۱۷۲۸. تهران؛ مهدوی؛ شماره نسخه: ۵۹۳/۴</w:t>
      </w:r>
    </w:p>
    <w:p>
      <w:pPr>
        <w:pStyle w:val="BookText"/>
      </w:pPr>
      <w:r>
        <w:rPr>
          <w:rFonts w:ascii="IRNazanin" w:hAnsi="IRNazanin" w:eastAsia="IRNazanin" w:cs="IRNazanin"/>
          <w:lang w:bidi="fa-IR"/>
          <w:color w:val="111111"/>
          <w:sz w:val="28"/>
          <w:szCs w:val="28"/>
          <w:rtl/>
        </w:rPr>
        <w:t xml:space="preserve">رباعی؛ خط: نسخ،بی کا، بی تا [ نشریه: ۲ - ۱۲۷]</w:t>
      </w:r>
    </w:p>
    <w:p>
      <w:pPr>
        <w:pStyle w:val="BookText"/>
      </w:pPr>
      <w:r>
        <w:rPr>
          <w:rFonts w:ascii="IRNazanin" w:hAnsi="IRNazanin" w:eastAsia="IRNazanin" w:cs="IRNazanin"/>
          <w:lang w:bidi="fa-IR"/>
          <w:color w:val="111111"/>
          <w:sz w:val="28"/>
          <w:szCs w:val="28"/>
          <w:rtl/>
        </w:rPr>
        <w:t xml:space="preserve">۱۷۲۹. تهران؛ ملک؛ شماره نسخه: ۱۲۳۲/۷</w:t>
      </w:r>
    </w:p>
    <w:p>
      <w:pPr>
        <w:pStyle w:val="BookText"/>
      </w:pPr>
      <w:r>
        <w:rPr>
          <w:rFonts w:ascii="IRNazanin" w:hAnsi="IRNazanin" w:eastAsia="IRNazanin" w:cs="IRNazanin"/>
          <w:lang w:bidi="fa-IR"/>
          <w:color w:val="111111"/>
          <w:sz w:val="28"/>
          <w:szCs w:val="28"/>
          <w:rtl/>
        </w:rPr>
        <w:t xml:space="preserve">رباعیات از سحابی استرآبادی، ابوسعید ابوالخیر، شیخ صفـی ،فضولی، زایر نقاش، محمد قلی سلیم، خیام و تهماسب صفوی ؛خط: نسخ، بی کا، بی تا [ف: ۵ - ۲۴۷]</w:t>
      </w:r>
    </w:p>
    <w:p>
      <w:pPr>
        <w:pStyle w:val="BookText"/>
      </w:pPr>
      <w:r>
        <w:rPr>
          <w:rFonts w:ascii="IRNazanin" w:hAnsi="IRNazanin" w:eastAsia="IRNazanin" w:cs="IRNazanin"/>
          <w:lang w:bidi="fa-IR"/>
          <w:color w:val="111111"/>
          <w:sz w:val="28"/>
          <w:szCs w:val="28"/>
          <w:rtl/>
        </w:rPr>
        <w:t xml:space="preserve">۱۷۳۰. تهران؛ ملک؛ شماره نسخه: ۱۲۳۲/۳۲</w:t>
      </w:r>
    </w:p>
    <w:p>
      <w:pPr>
        <w:pStyle w:val="BookText"/>
      </w:pPr>
      <w:r>
        <w:rPr>
          <w:rFonts w:ascii="IRNazanin" w:hAnsi="IRNazanin" w:eastAsia="IRNazanin" w:cs="IRNazanin"/>
          <w:lang w:bidi="fa-IR"/>
          <w:color w:val="111111"/>
          <w:sz w:val="28"/>
          <w:szCs w:val="28"/>
          <w:rtl/>
        </w:rPr>
        <w:t xml:space="preserve">قصیده میر محمد باقر؛ خط: نسخ، بی کا، بی تا [ف: ۵ - ۲۴۹]</w:t>
      </w:r>
    </w:p>
    <w:p>
      <w:pPr>
        <w:pStyle w:val="BookText"/>
      </w:pPr>
      <w:r>
        <w:rPr>
          <w:rFonts w:ascii="IRNazanin" w:hAnsi="IRNazanin" w:eastAsia="IRNazanin" w:cs="IRNazanin"/>
          <w:lang w:bidi="fa-IR"/>
          <w:color w:val="111111"/>
          <w:sz w:val="28"/>
          <w:szCs w:val="28"/>
          <w:rtl/>
        </w:rPr>
        <w:t xml:space="preserve">۱۷۳۱. تهران؛ ملک؛ شماره نسخه: ۱۲۳۲/۳۵</w:t>
      </w:r>
    </w:p>
    <w:p>
      <w:pPr>
        <w:pStyle w:val="BookText"/>
      </w:pPr>
      <w:r>
        <w:rPr>
          <w:rFonts w:ascii="IRNazanin" w:hAnsi="IRNazanin" w:eastAsia="IRNazanin" w:cs="IRNazanin"/>
          <w:lang w:bidi="fa-IR"/>
          <w:color w:val="111111"/>
          <w:sz w:val="28"/>
          <w:szCs w:val="28"/>
          <w:rtl/>
        </w:rPr>
        <w:t xml:space="preserve">قصیده قلندر کوچک بابا سلطان؛ خط: نسخ، بی کا، بی تا [ف: ۵ - 249]</w:t>
      </w:r>
    </w:p>
    <w:p>
      <w:pPr>
        <w:pStyle w:val="BookText"/>
      </w:pPr>
      <w:r>
        <w:rPr>
          <w:rFonts w:ascii="IRNazanin" w:hAnsi="IRNazanin" w:eastAsia="IRNazanin" w:cs="IRNazanin"/>
          <w:lang w:bidi="fa-IR"/>
          <w:color w:val="111111"/>
          <w:sz w:val="28"/>
          <w:szCs w:val="28"/>
          <w:rtl/>
        </w:rPr>
        <w:t xml:space="preserve">۱۷۳۲. تهران؛ دانشگاه؛ شماره نسخه: ۷۵۹۱/۳</w:t>
      </w:r>
    </w:p>
    <w:p>
      <w:pPr>
        <w:pStyle w:val="BookText"/>
      </w:pPr>
      <w:r>
        <w:rPr>
          <w:rFonts w:ascii="IRNazanin" w:hAnsi="IRNazanin" w:eastAsia="IRNazanin" w:cs="IRNazanin"/>
          <w:lang w:bidi="fa-IR"/>
          <w:color w:val="111111"/>
          <w:sz w:val="28"/>
          <w:szCs w:val="28"/>
          <w:rtl/>
        </w:rPr>
        <w:t xml:space="preserve">آغاز: بسمله الله خير الاسماء قصيده بديعه که در توصیف و تمدیح قليان تریاک مسمی به وافور نو ظهور گفته شده وهی هذه .مژده که دیگر جهان تازه و معمور شد *** جان و دل مردمان خرم و مسرور شد / طرح نو انداخت دهر رسم کهن دورشد*** معروف آمد رواج منکر محذور شد / تا که ز مظلوم این بد منشور شد *** نوبت می درگذشت دولت واپور شد؛ انجام : بند آخر: خوشا کسی کز جهان کفاف دارد معاش *** چهار دیواری و دلی زغم بی خراش / همدم دانا دلی کم سخن و خواجه تاش *** سماور و قند و چای شاهد رندی قلاش / چو نیست مظلوم را این چه خروشد به فاش *** نوبت می درگذشت دولت واپور شد</w:t>
      </w:r>
    </w:p>
    <w:p>
      <w:pPr>
        <w:pStyle w:val="BookText"/>
      </w:pPr>
      <w:r>
        <w:rPr>
          <w:rFonts w:ascii="IRNazanin" w:hAnsi="IRNazanin" w:eastAsia="IRNazanin" w:cs="IRNazanin"/>
          <w:lang w:bidi="fa-IR"/>
          <w:color w:val="111111"/>
          <w:sz w:val="28"/>
          <w:szCs w:val="28"/>
          <w:rtl/>
        </w:rPr>
        <w:t xml:space="preserve">قصیده بدیعه است با ترجیع بند درباره وافور، منظوم، در ۲۱ بند؛ خط: نسخ، کا: محسن بن عبدالکریم، بی تا؛ کاغذ: فرنگی، جلد: تیماج حنایی ضربی لایی، ۳گ (۱۳۳-۱۳۶)، ۲۰ سطر (۶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قطع: ربعی،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۱۶ – ۶۴۴]</w:t>
      </w:r>
    </w:p>
    <w:p>
      <w:pPr>
        <w:pStyle w:val="BookText"/>
      </w:pPr>
      <w:r>
        <w:rPr>
          <w:rFonts w:ascii="IRNazanin" w:hAnsi="IRNazanin" w:eastAsia="IRNazanin" w:cs="IRNazanin"/>
          <w:lang w:bidi="fa-IR"/>
          <w:color w:val="111111"/>
          <w:sz w:val="28"/>
          <w:szCs w:val="28"/>
          <w:rtl/>
        </w:rPr>
        <w:t xml:space="preserve">۱۷۳۳. تهران؛ مجلس؛ شماره نسخه: ۱۴۰۵۳/۱۱</w:t>
      </w:r>
    </w:p>
    <w:p>
      <w:pPr>
        <w:pStyle w:val="BookText"/>
      </w:pPr>
      <w:r>
        <w:rPr>
          <w:rFonts w:ascii="IRNazanin" w:hAnsi="IRNazanin" w:eastAsia="IRNazanin" w:cs="IRNazanin"/>
          <w:lang w:bidi="fa-IR"/>
          <w:color w:val="111111"/>
          <w:sz w:val="28"/>
          <w:szCs w:val="28"/>
          <w:rtl/>
        </w:rPr>
        <w:t xml:space="preserve">از سعدی جامی محتشم ،محرم؛ خط: نستعلیق، بی کا، بی تا؛ ۳گ (۱۷۵ ر - ۱۷۷ر) [ف: ۳۸ - ۷۸]</w:t>
      </w:r>
    </w:p>
    <w:p>
      <w:pPr>
        <w:pStyle w:val="BookText"/>
      </w:pPr>
      <w:r>
        <w:rPr>
          <w:rFonts w:ascii="IRNazanin" w:hAnsi="IRNazanin" w:eastAsia="IRNazanin" w:cs="IRNazanin"/>
          <w:lang w:bidi="fa-IR"/>
          <w:color w:val="111111"/>
          <w:sz w:val="28"/>
          <w:szCs w:val="28"/>
          <w:rtl/>
        </w:rPr>
        <w:t xml:space="preserve">۱۷۳۴. تهران؛ مجلس؛ شماره نسخه: ۲۱۴۱۹۹/۱</w:t>
      </w:r>
    </w:p>
    <w:p>
      <w:pPr>
        <w:pStyle w:val="BookText"/>
      </w:pPr>
      <w:r>
        <w:rPr>
          <w:rFonts w:ascii="IRNazanin" w:hAnsi="IRNazanin" w:eastAsia="IRNazanin" w:cs="IRNazanin"/>
          <w:lang w:bidi="fa-IR"/>
          <w:color w:val="111111"/>
          <w:sz w:val="28"/>
          <w:szCs w:val="28"/>
          <w:rtl/>
        </w:rPr>
        <w:t xml:space="preserve">از میرزا بیک؛ بی کا، بی تا؛ ۱ص (۱۲۵پ) [ف: ۳۸ – ۲۷۵]</w:t>
      </w:r>
    </w:p>
    <w:p>
      <w:pPr>
        <w:pStyle w:val="BookText"/>
      </w:pPr>
      <w:r>
        <w:rPr>
          <w:rFonts w:ascii="IRNazanin" w:hAnsi="IRNazanin" w:eastAsia="IRNazanin" w:cs="IRNazanin"/>
          <w:lang w:bidi="fa-IR"/>
          <w:color w:val="111111"/>
          <w:sz w:val="28"/>
          <w:szCs w:val="28"/>
          <w:rtl/>
        </w:rPr>
        <w:t xml:space="preserve">۱۷۳۵. تهران؛ مجلس؛ شماره نسخه: ۱۳۶۹۱/۳</w:t>
      </w:r>
    </w:p>
    <w:p>
      <w:pPr>
        <w:pStyle w:val="BookText"/>
      </w:pPr>
      <w:r>
        <w:rPr>
          <w:rFonts w:ascii="IRNazanin" w:hAnsi="IRNazanin" w:eastAsia="IRNazanin" w:cs="IRNazanin"/>
          <w:lang w:bidi="fa-IR"/>
          <w:color w:val="111111"/>
          <w:sz w:val="28"/>
          <w:szCs w:val="28"/>
          <w:rtl/>
        </w:rPr>
        <w:t xml:space="preserve">از نظام؛ خط: نستعلیق، بی کا، بی تا ۱۰گ (۸۸ر - ۹۸پ) [ف: ۳۷ - ۲۱۶]</w:t>
      </w:r>
    </w:p>
    <w:p>
      <w:pPr>
        <w:pStyle w:val="BookText"/>
      </w:pPr>
      <w:r>
        <w:rPr>
          <w:rFonts w:ascii="IRNazanin" w:hAnsi="IRNazanin" w:eastAsia="IRNazanin" w:cs="IRNazanin"/>
          <w:lang w:bidi="fa-IR"/>
          <w:color w:val="111111"/>
          <w:sz w:val="28"/>
          <w:szCs w:val="28"/>
          <w:rtl/>
        </w:rPr>
        <w:t xml:space="preserve">۱۷۳۶. تهران؛ مجلس؛ شماره نسخه: ۱۴۱۴۵/۳۵</w:t>
      </w:r>
    </w:p>
    <w:p>
      <w:pPr>
        <w:pStyle w:val="BookText"/>
      </w:pPr>
      <w:r>
        <w:rPr>
          <w:rFonts w:ascii="IRNazanin" w:hAnsi="IRNazanin" w:eastAsia="IRNazanin" w:cs="IRNazanin"/>
          <w:lang w:bidi="fa-IR"/>
          <w:color w:val="111111"/>
          <w:sz w:val="28"/>
          <w:szCs w:val="28"/>
          <w:rtl/>
        </w:rPr>
        <w:t xml:space="preserve">از سعیدا؛ خط: نستعلیق چلیپا ،بی کا، بی تا؛ ۲گ (74پ- 75پ)[ف: 38- 179]</w:t>
      </w:r>
    </w:p>
    <w:p>
      <w:pPr>
        <w:pStyle w:val="BookText"/>
      </w:pPr>
      <w:r>
        <w:rPr>
          <w:rFonts w:ascii="IRNazanin" w:hAnsi="IRNazanin" w:eastAsia="IRNazanin" w:cs="IRNazanin"/>
          <w:lang w:bidi="fa-IR"/>
          <w:color w:val="111111"/>
          <w:sz w:val="28"/>
          <w:szCs w:val="28"/>
          <w:rtl/>
        </w:rPr>
        <w:t xml:space="preserve">۱۷۳۷. تهران؛ ملک؛ شماره نسخه: ۳۱۱۲/۶</w:t>
      </w:r>
    </w:p>
    <w:p>
      <w:pPr>
        <w:pStyle w:val="BookText"/>
      </w:pPr>
      <w:r>
        <w:rPr>
          <w:rFonts w:ascii="IRNazanin" w:hAnsi="IRNazanin" w:eastAsia="IRNazanin" w:cs="IRNazanin"/>
          <w:lang w:bidi="fa-IR"/>
          <w:color w:val="111111"/>
          <w:sz w:val="28"/>
          <w:szCs w:val="28"/>
          <w:rtl/>
        </w:rPr>
        <w:t xml:space="preserve">اشعاری از قائم مقام و بابا طاهر و دیگران؛ خط:شکسته نستعلیق،بی کا، بی تا؛ ۳گ (۸۲پ-۸۴پ) [ف: ۶ - ۲۲۳]</w:t>
      </w:r>
    </w:p>
    <w:p>
      <w:pPr>
        <w:pStyle w:val="BookText"/>
      </w:pPr>
      <w:r>
        <w:rPr>
          <w:rFonts w:ascii="IRNazanin" w:hAnsi="IRNazanin" w:eastAsia="IRNazanin" w:cs="IRNazanin"/>
          <w:lang w:bidi="fa-IR"/>
          <w:color w:val="111111"/>
          <w:sz w:val="28"/>
          <w:szCs w:val="28"/>
          <w:rtl/>
        </w:rPr>
        <w:t xml:space="preserve">۱۷۳۸. تهران؛ دانشگاه؛ شماره نسخه: ۷۹۱۴/۶</w:t>
      </w:r>
    </w:p>
    <w:p>
      <w:pPr>
        <w:pStyle w:val="BookText"/>
      </w:pPr>
      <w:r>
        <w:rPr>
          <w:rFonts w:ascii="IRNazanin" w:hAnsi="IRNazanin" w:eastAsia="IRNazanin" w:cs="IRNazanin"/>
          <w:lang w:bidi="fa-IR"/>
          <w:color w:val="111111"/>
          <w:sz w:val="28"/>
          <w:szCs w:val="28"/>
          <w:rtl/>
        </w:rPr>
        <w:t xml:space="preserve">رباعی امیر کلال، که هر کس یک نفس سه بار بخواند مشکل او گشوده  شود: «یا رب بگشا بر دلم از توبه دری ***بی منت مخلوق رسان ما حضری / این باقی عمر چنین دار مرا *** از من نرسد بهیچ کس دردسری»؛ خط: نستعلیق راسته و چلیپا، کا: غلام حیدر، بی تا؛ کاغذ: فرنگی ،جلد: گالینگور مشکی مقوایی عطف و گوشه تیماج سرخ، اص (۱۴۰ر)، ۱۴ سطر (۶/۵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 قطع: ربعی،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۱۶ - ۷۳۵]</w:t>
      </w:r>
    </w:p>
    <w:p>
      <w:pPr>
        <w:pStyle w:val="BookText"/>
      </w:pPr>
      <w:r>
        <w:rPr>
          <w:rFonts w:ascii="IRNazanin" w:hAnsi="IRNazanin" w:eastAsia="IRNazanin" w:cs="IRNazanin"/>
          <w:lang w:bidi="fa-IR"/>
          <w:color w:val="111111"/>
          <w:sz w:val="28"/>
          <w:szCs w:val="28"/>
          <w:rtl/>
        </w:rPr>
        <w:t xml:space="preserve">۱۷۳۹. تهران؛ ملک؛ شماره نسخه: ۳۷۸۱/۱۲</w:t>
      </w:r>
    </w:p>
    <w:p>
      <w:pPr>
        <w:pStyle w:val="BookText"/>
      </w:pPr>
      <w:r>
        <w:rPr>
          <w:rFonts w:ascii="IRNazanin" w:hAnsi="IRNazanin" w:eastAsia="IRNazanin" w:cs="IRNazanin"/>
          <w:lang w:bidi="fa-IR"/>
          <w:color w:val="111111"/>
          <w:sz w:val="28"/>
          <w:szCs w:val="28"/>
          <w:rtl/>
        </w:rPr>
        <w:t xml:space="preserve">رباعیات از زبان نظام الدین اسحق قاضی؛ خط: نستعلیق، بی کا، بی تا [ف: ۷-۳۸]</w:t>
      </w:r>
    </w:p>
    <w:p>
      <w:pPr>
        <w:pStyle w:val="BookText"/>
      </w:pPr>
      <w:r>
        <w:rPr>
          <w:rFonts w:ascii="IRNazanin" w:hAnsi="IRNazanin" w:eastAsia="IRNazanin" w:cs="IRNazanin"/>
          <w:lang w:bidi="fa-IR"/>
          <w:color w:val="111111"/>
          <w:sz w:val="28"/>
          <w:szCs w:val="28"/>
          <w:rtl/>
        </w:rPr>
        <w:t xml:space="preserve">۱۷۴۰. تهران؛ سلطنتی؛ شماره نسخه: ۱۷۴۱</w:t>
      </w:r>
    </w:p>
    <w:p>
      <w:pPr>
        <w:pStyle w:val="BookText"/>
      </w:pPr>
      <w:r>
        <w:rPr>
          <w:rFonts w:ascii="IRNazanin" w:hAnsi="IRNazanin" w:eastAsia="IRNazanin" w:cs="IRNazanin"/>
          <w:lang w:bidi="fa-IR"/>
          <w:color w:val="111111"/>
          <w:sz w:val="28"/>
          <w:szCs w:val="28"/>
          <w:rtl/>
        </w:rPr>
        <w:t xml:space="preserve">آغاز: بسم الله الرحمن الرحيم. ای ملک خلیفه الهی *** قائم بتو ... / اى ما شطر غدار دولت*** ای بر تو مدار کار دولت؛ انجام: در فهم دقیقه های مشکل شرمنده منطقش افاضل</w:t>
      </w:r>
    </w:p>
    <w:p>
      <w:pPr>
        <w:pStyle w:val="BookText"/>
      </w:pPr>
      <w:r>
        <w:rPr>
          <w:rFonts w:ascii="IRNazanin" w:hAnsi="IRNazanin" w:eastAsia="IRNazanin" w:cs="IRNazanin"/>
          <w:lang w:bidi="fa-IR"/>
          <w:color w:val="111111"/>
          <w:sz w:val="28"/>
          <w:szCs w:val="28"/>
          <w:rtl/>
        </w:rPr>
        <w:t xml:space="preserve">در این جزوه هفت قصیده در مدیح علیشاه ظل السلطان سروده و کتابت شده ؛خط: نستعلیق خوب، بی کا، بی تا؛ پشت صفحه اول این جزوه به سال های ۱۲۷۴ و ۱۲۸۲ از عرض گذشته»، مجدول؛ مهر: ناصر الدین شاه قاجار؛ کاغذ: فرنگی آهار مهره، جلد: تیماج یک لا لاکی رنگ، ۱۴ص، ۱۵ سطر، قطع: رقعی،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۴ - ۹۵۳]</w:t>
      </w:r>
    </w:p>
    <w:p>
      <w:pPr>
        <w:pStyle w:val="BookText"/>
      </w:pPr>
      <w:r>
        <w:rPr>
          <w:rFonts w:ascii="IRNazanin" w:hAnsi="IRNazanin" w:eastAsia="IRNazanin" w:cs="IRNazanin"/>
          <w:lang w:bidi="fa-IR"/>
          <w:color w:val="111111"/>
          <w:sz w:val="28"/>
          <w:szCs w:val="28"/>
          <w:rtl/>
        </w:rPr>
        <w:t xml:space="preserve">۱۷۴۱. تهران؛ سلطنتی؛ شماره نسخه: ۱۸۱۱</w:t>
      </w:r>
    </w:p>
    <w:p>
      <w:pPr>
        <w:pStyle w:val="BookText"/>
      </w:pPr>
      <w:r>
        <w:rPr>
          <w:rFonts w:ascii="IRNazanin" w:hAnsi="IRNazanin" w:eastAsia="IRNazanin" w:cs="IRNazanin"/>
          <w:lang w:bidi="fa-IR"/>
          <w:color w:val="111111"/>
          <w:sz w:val="28"/>
          <w:szCs w:val="28"/>
          <w:rtl/>
        </w:rPr>
        <w:t xml:space="preserve">آغاز: بیا که غره شعبان شده دمیده هلال *** هلال جام طلب كن که گشت باده حلال؛ انجام: هلال زندگی دشمنت نگردد بدر *** خمیده ماند و اصفر قرین ضعف و هزال
</w:t>
      </w:r>
    </w:p>
    <w:p>
      <w:pPr>
        <w:sectPr>
          <w:footerReference w:type="default" r:id="rId9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قصيده (عريضه منظوم) است؛ ناظم قصیده و کاتب این نسخه مشخص نیست ولی سراینده پس از تبریک مولود حضرت الشهداء (علیه السّلام) به مظفر الدین شاه قاجار خدمات گذشته خود یادآوری و استدعای برقراری مستمری کافی از آستان فارس کرده است ؛خط: نستعلیق متوسط، بی کا، بی تا؛ پشت صفحه اول: از کتب انتقالی از انبار خوضحانه است؛ مهر: کتابخانه دولت علیه ایران ۱۳۲۹ ؛کاغذ: فرنگی کبود رنگ، جلد: مقوای روکش مخمل زنگاری حاشیه گل منگنه ای، اندرون کاغذ ابری نیلی، ۷ص، ۱۴ سطر، قطع: ربعی،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۴ - ۹۸۷]</w:t>
      </w:r>
    </w:p>
    <w:p>
      <w:pPr>
        <w:pStyle w:val="BookText"/>
      </w:pPr>
      <w:r>
        <w:rPr>
          <w:rFonts w:ascii="IRNazanin" w:hAnsi="IRNazanin" w:eastAsia="IRNazanin" w:cs="IRNazanin"/>
          <w:lang w:bidi="fa-IR"/>
          <w:color w:val="111111"/>
          <w:sz w:val="28"/>
          <w:szCs w:val="28"/>
          <w:rtl/>
        </w:rPr>
        <w:t xml:space="preserve">۱۷۴۲. تهران؛ سلطنتی؛ شماره نسخه: ۱۸۴۲</w:t>
      </w:r>
    </w:p>
    <w:p>
      <w:pPr>
        <w:pStyle w:val="BookText"/>
      </w:pPr>
      <w:r>
        <w:rPr>
          <w:rFonts w:ascii="IRNazanin" w:hAnsi="IRNazanin" w:eastAsia="IRNazanin" w:cs="IRNazanin"/>
          <w:lang w:bidi="fa-IR"/>
          <w:color w:val="111111"/>
          <w:sz w:val="28"/>
          <w:szCs w:val="28"/>
          <w:rtl/>
        </w:rPr>
        <w:t xml:space="preserve">آغاز: الا ای ساربان بر بند محمل*** که بر بستند محملها قوافل/ شتربانا جلاجل بر جمل بند *** که نسپارد جمل ره بی جلاجل ؛انجام: ثنا گستر یکی را صد چو اخطل *** مدیحت گر یکی صد چو دعبل / یکی شخصش جهان را باد حافظ *** یکی کفـش مهان را باد کافل</w:t>
      </w:r>
    </w:p>
    <w:p>
      <w:pPr>
        <w:pStyle w:val="BookText"/>
      </w:pPr>
      <w:r>
        <w:rPr>
          <w:rFonts w:ascii="IRNazanin" w:hAnsi="IRNazanin" w:eastAsia="IRNazanin" w:cs="IRNazanin"/>
          <w:lang w:bidi="fa-IR"/>
          <w:color w:val="111111"/>
          <w:sz w:val="28"/>
          <w:szCs w:val="28"/>
          <w:rtl/>
        </w:rPr>
        <w:t xml:space="preserve">در این جزوه قصیده ای است در مدح ولیعهد مظفر الدین و پادشاه وقت ناصر الدین شاه قاجار؛ خط: شکسته نستعلیق متوسط، بی کا، بی تا؛ مهر: کتابخانه دولت علیه ایران ۱۳۲۹ ؛کاغذ: فرنگی کبود رنگ، جلد: تیماج روکش ترمه محرمات لاکی حاشیه سجاف تیماج لاکی، اندرون تیماج لاکی، ۱۶ص، ۱۰ سطر، قطع: رقعی، اندازه: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۴ - ۹۹۰]</w:t>
      </w:r>
    </w:p>
    <w:p>
      <w:pPr>
        <w:pStyle w:val="BookText"/>
      </w:pPr>
      <w:r>
        <w:rPr>
          <w:rFonts w:ascii="IRNazanin" w:hAnsi="IRNazanin" w:eastAsia="IRNazanin" w:cs="IRNazanin"/>
          <w:lang w:bidi="fa-IR"/>
          <w:color w:val="111111"/>
          <w:sz w:val="28"/>
          <w:szCs w:val="28"/>
          <w:rtl/>
        </w:rPr>
        <w:t xml:space="preserve">۱۷۴۳. تهران؛ سلطنتی؛ شماره نسخه: ۱۸۴۳</w:t>
      </w:r>
    </w:p>
    <w:p>
      <w:pPr>
        <w:pStyle w:val="BookText"/>
      </w:pPr>
      <w:r>
        <w:rPr>
          <w:rFonts w:ascii="IRNazanin" w:hAnsi="IRNazanin" w:eastAsia="IRNazanin" w:cs="IRNazanin"/>
          <w:lang w:bidi="fa-IR"/>
          <w:color w:val="111111"/>
          <w:sz w:val="28"/>
          <w:szCs w:val="28"/>
          <w:rtl/>
        </w:rPr>
        <w:t xml:space="preserve">آغاز: بسمله. نوبت عیش رسید ای مه خورشید مثال *** روزی آمد که دو صد بار به از شام وصال / محفلی نغز بیارای به از مجلس بال *** عید مسعود جلوس است و بلوغ آما ... این چـنین فال زدم وه چه نکو آمد فال؛ انجام: ظلمی آمد بمن آنسان که به انسان مرساد ***که همه پارسی و تازی من رفت زیاد *** داد من ده که جزای تو دهد احمد و آل</w:t>
      </w:r>
    </w:p>
    <w:p>
      <w:pPr>
        <w:pStyle w:val="BookText"/>
      </w:pPr>
      <w:r>
        <w:rPr>
          <w:rFonts w:ascii="IRNazanin" w:hAnsi="IRNazanin" w:eastAsia="IRNazanin" w:cs="IRNazanin"/>
          <w:lang w:bidi="fa-IR"/>
          <w:color w:val="111111"/>
          <w:sz w:val="28"/>
          <w:szCs w:val="28"/>
          <w:rtl/>
        </w:rPr>
        <w:t xml:space="preserve">قصيده مدحیه است، قصیده ای است به صورت مخمس که در هنگام اعلام ولیعهدی احمد شاه قاجار سروده شده؛ خط: نستعلیق خوب، بی کا، بی تا؛ پشت صفحه اول: «انتقالی از قصر بلور»؛ مـهر: کتابخانه دولت علیه ایران ۱۳۲۹؛ کاغذ: فرنگی نباتی رنگ، جـلد: مقوای ابره مخمل نیلی رنگ گل منگنه، اندرون کاغذ ابری نیلی، ۵ص  ،۱۵ سطر، قطع: ربعی،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۴ - ۹۹۱]</w:t>
      </w:r>
    </w:p>
    <w:p>
      <w:pPr>
        <w:pStyle w:val="BookText"/>
      </w:pPr>
      <w:r>
        <w:rPr>
          <w:rFonts w:ascii="IRNazanin" w:hAnsi="IRNazanin" w:eastAsia="IRNazanin" w:cs="IRNazanin"/>
          <w:lang w:bidi="fa-IR"/>
          <w:color w:val="111111"/>
          <w:sz w:val="28"/>
          <w:szCs w:val="28"/>
          <w:rtl/>
        </w:rPr>
        <w:t xml:space="preserve">۱۷۴۴. یزد؛ جامع کبیر؛ شماره نسخه: ۵۵</w:t>
      </w:r>
    </w:p>
    <w:p>
      <w:pPr>
        <w:pStyle w:val="BookText"/>
      </w:pPr>
      <w:r>
        <w:rPr>
          <w:rFonts w:ascii="IRNazanin" w:hAnsi="IRNazanin" w:eastAsia="IRNazanin" w:cs="IRNazanin"/>
          <w:lang w:bidi="fa-IR"/>
          <w:color w:val="111111"/>
          <w:sz w:val="28"/>
          <w:szCs w:val="28"/>
          <w:rtl/>
        </w:rPr>
        <w:t xml:space="preserve">خط: نسخ، بی کا، بی تا؛ افتادگی: انجام؛ قطع: وزیری [نشریه: ۴ -382]</w:t>
      </w:r>
    </w:p>
    <w:p>
      <w:pPr>
        <w:pStyle w:val="BookText"/>
      </w:pPr>
      <w:r>
        <w:rPr>
          <w:rFonts w:ascii="IRNazanin" w:hAnsi="IRNazanin" w:eastAsia="IRNazanin" w:cs="IRNazanin"/>
          <w:lang w:bidi="fa-IR"/>
          <w:color w:val="111111"/>
          <w:sz w:val="28"/>
          <w:szCs w:val="28"/>
          <w:rtl/>
        </w:rPr>
        <w:t xml:space="preserve">۱۷۴۵. تهران؛ فرهاد معتمد؛ شماره نسخه: ۱۵۲/۴</w:t>
      </w:r>
    </w:p>
    <w:p>
      <w:pPr>
        <w:pStyle w:val="BookText"/>
      </w:pPr>
      <w:r>
        <w:rPr>
          <w:rFonts w:ascii="IRNazanin" w:hAnsi="IRNazanin" w:eastAsia="IRNazanin" w:cs="IRNazanin"/>
          <w:lang w:bidi="fa-IR"/>
          <w:color w:val="111111"/>
          <w:sz w:val="28"/>
          <w:szCs w:val="28"/>
          <w:rtl/>
        </w:rPr>
        <w:t xml:space="preserve">مخمس؛ خط: نستعلیق، بی کا، بی تا ؛کاغذ: سپاهانی سفید و کبود، جلد: تیماج مشکی، ۱۷ سطر ،(۷/۵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 نشریه: 3- 230]</w:t>
      </w:r>
    </w:p>
    <w:p>
      <w:pPr>
        <w:pStyle w:val="BookText"/>
      </w:pPr>
      <w:r>
        <w:rPr>
          <w:rFonts w:ascii="IRNazanin" w:hAnsi="IRNazanin" w:eastAsia="IRNazanin" w:cs="IRNazanin"/>
          <w:lang w:bidi="fa-IR"/>
          <w:color w:val="111111"/>
          <w:sz w:val="28"/>
          <w:szCs w:val="28"/>
          <w:rtl/>
        </w:rPr>
        <w:t xml:space="preserve">۱۷۴۶. تهران؛ مجلس؛ شماره نسخه: ۱۳۵۶۹/۱۳</w:t>
      </w:r>
    </w:p>
    <w:p>
      <w:pPr>
        <w:pStyle w:val="BookText"/>
      </w:pPr>
      <w:r>
        <w:rPr>
          <w:rFonts w:ascii="IRNazanin" w:hAnsi="IRNazanin" w:eastAsia="IRNazanin" w:cs="IRNazanin"/>
          <w:lang w:bidi="fa-IR"/>
          <w:color w:val="111111"/>
          <w:sz w:val="28"/>
          <w:szCs w:val="28"/>
          <w:rtl/>
        </w:rPr>
        <w:t xml:space="preserve">غزل از تشنه قزوینی؛ بی کا، بی تا؛ ۱ص (۸۲) [ف: ۳۷ - ۷۴]</w:t>
      </w:r>
    </w:p>
    <w:p>
      <w:pPr>
        <w:pStyle w:val="BookText"/>
      </w:pPr>
      <w:r>
        <w:rPr>
          <w:rFonts w:ascii="IRNazanin" w:hAnsi="IRNazanin" w:eastAsia="IRNazanin" w:cs="IRNazanin"/>
          <w:lang w:bidi="fa-IR"/>
          <w:color w:val="111111"/>
          <w:sz w:val="28"/>
          <w:szCs w:val="28"/>
          <w:rtl/>
        </w:rPr>
        <w:t xml:space="preserve">۱۷۴۷. تهران؛ مجلس؛ شماره نسخه: ۱۳۷۵۹/۴</w:t>
      </w:r>
    </w:p>
    <w:p>
      <w:pPr>
        <w:pStyle w:val="BookText"/>
      </w:pPr>
      <w:r>
        <w:rPr>
          <w:rFonts w:ascii="IRNazanin" w:hAnsi="IRNazanin" w:eastAsia="IRNazanin" w:cs="IRNazanin"/>
          <w:lang w:bidi="fa-IR"/>
          <w:color w:val="111111"/>
          <w:sz w:val="28"/>
          <w:szCs w:val="28"/>
          <w:rtl/>
        </w:rPr>
        <w:t xml:space="preserve">غزل از موجی؛ بی کا، بی تا؛ ۱ص (۱۹پ) [ف: ۳۷ - ۲۹۴]</w:t>
      </w:r>
    </w:p>
    <w:p>
      <w:pPr>
        <w:pStyle w:val="BookText"/>
      </w:pPr>
      <w:r>
        <w:rPr>
          <w:rFonts w:ascii="IRNazanin" w:hAnsi="IRNazanin" w:eastAsia="IRNazanin" w:cs="IRNazanin"/>
          <w:lang w:bidi="fa-IR"/>
          <w:color w:val="111111"/>
          <w:sz w:val="28"/>
          <w:szCs w:val="28"/>
          <w:rtl/>
        </w:rPr>
        <w:t xml:space="preserve">۱۷۴۸. تهران؛ مجلس؛ شماره نسخه: ۱۴۴۳۶/۲</w:t>
      </w:r>
    </w:p>
    <w:p>
      <w:pPr>
        <w:pStyle w:val="BookText"/>
      </w:pPr>
      <w:r>
        <w:rPr>
          <w:rFonts w:ascii="IRNazanin" w:hAnsi="IRNazanin" w:eastAsia="IRNazanin" w:cs="IRNazanin"/>
          <w:lang w:bidi="fa-IR"/>
          <w:color w:val="111111"/>
          <w:sz w:val="28"/>
          <w:szCs w:val="28"/>
          <w:rtl/>
        </w:rPr>
        <w:t xml:space="preserve">غزل از منصور؛ خط: نسخ، بی کا، بی تا؛ ۱ ص (۷۲ پ) [ف: ۳۸ - ۵۷۵]</w:t>
      </w:r>
    </w:p>
    <w:p>
      <w:pPr>
        <w:pStyle w:val="BookText"/>
      </w:pPr>
      <w:r>
        <w:rPr>
          <w:rFonts w:ascii="IRNazanin" w:hAnsi="IRNazanin" w:eastAsia="IRNazanin" w:cs="IRNazanin"/>
          <w:lang w:bidi="fa-IR"/>
          <w:color w:val="111111"/>
          <w:sz w:val="28"/>
          <w:szCs w:val="28"/>
          <w:rtl/>
        </w:rPr>
        <w:t xml:space="preserve">۱۷۴۹. تهران؛ مجلس؛ شماره نسخه: ۲۱۳۴۶۳/۱</w:t>
      </w:r>
    </w:p>
    <w:p>
      <w:pPr>
        <w:pStyle w:val="BookText"/>
      </w:pPr>
      <w:r>
        <w:rPr>
          <w:rFonts w:ascii="IRNazanin" w:hAnsi="IRNazanin" w:eastAsia="IRNazanin" w:cs="IRNazanin"/>
          <w:lang w:bidi="fa-IR"/>
          <w:color w:val="111111"/>
          <w:sz w:val="28"/>
          <w:szCs w:val="28"/>
          <w:rtl/>
        </w:rPr>
        <w:t xml:space="preserve">غزلیات، رباعیات و قطعات از شعرای گوناگون؛ خط: نستعلیق،بی کا، بی تا [ف: ۳۶ - ۴۱۰]</w:t>
      </w:r>
    </w:p>
    <w:p>
      <w:pPr>
        <w:pStyle w:val="BookText"/>
      </w:pPr>
      <w:r>
        <w:rPr>
          <w:rFonts w:ascii="IRNazanin" w:hAnsi="IRNazanin" w:eastAsia="IRNazanin" w:cs="IRNazanin"/>
          <w:lang w:bidi="fa-IR"/>
          <w:color w:val="111111"/>
          <w:sz w:val="28"/>
          <w:szCs w:val="28"/>
          <w:rtl/>
        </w:rPr>
        <w:t xml:space="preserve">۱۷۵۰. تهران؛ مجلس؛ شماره نسخه: ۱۳۵۶۹/۵۳</w:t>
      </w:r>
    </w:p>
    <w:p>
      <w:pPr>
        <w:pStyle w:val="BookText"/>
      </w:pPr>
      <w:r>
        <w:rPr>
          <w:rFonts w:ascii="IRNazanin" w:hAnsi="IRNazanin" w:eastAsia="IRNazanin" w:cs="IRNazanin"/>
          <w:lang w:bidi="fa-IR"/>
          <w:color w:val="111111"/>
          <w:sz w:val="28"/>
          <w:szCs w:val="28"/>
          <w:rtl/>
        </w:rPr>
        <w:t xml:space="preserve">قصیده نور علی شاه؛ بی کا، بی تا؛ ۱ص (۲۴۲) [ف: ۳۷ - ۸۱]</w:t>
      </w:r>
    </w:p>
    <w:p>
      <w:pPr>
        <w:pStyle w:val="BookText"/>
      </w:pPr>
      <w:r>
        <w:rPr>
          <w:rFonts w:ascii="IRNazanin" w:hAnsi="IRNazanin" w:eastAsia="IRNazanin" w:cs="IRNazanin"/>
          <w:lang w:bidi="fa-IR"/>
          <w:color w:val="111111"/>
          <w:sz w:val="28"/>
          <w:szCs w:val="28"/>
          <w:rtl/>
        </w:rPr>
        <w:t xml:space="preserve">۱۷۵۱ . اصفهان؛ ادبیات؛ شماره نسخه: ۲۸/۴</w:t>
      </w:r>
    </w:p>
    <w:p>
      <w:pPr>
        <w:pStyle w:val="BookText"/>
      </w:pPr>
      <w:r>
        <w:rPr>
          <w:rFonts w:ascii="IRNazanin" w:hAnsi="IRNazanin" w:eastAsia="IRNazanin" w:cs="IRNazanin"/>
          <w:lang w:bidi="fa-IR"/>
          <w:color w:val="111111"/>
          <w:sz w:val="28"/>
          <w:szCs w:val="28"/>
          <w:rtl/>
        </w:rPr>
        <w:t xml:space="preserve">قصیده هایی در ستایش علی (علیه السّلام) است به فارسی از توحید و ذوقی؛ بی کا، بی تا؛ قطع: ربعی [نشریه: ۴ - ۴۷۸]</w:t>
      </w:r>
    </w:p>
    <w:p>
      <w:pPr>
        <w:pStyle w:val="BookText"/>
      </w:pPr>
      <w:r>
        <w:rPr>
          <w:rFonts w:ascii="IRNazanin" w:hAnsi="IRNazanin" w:eastAsia="IRNazanin" w:cs="IRNazanin"/>
          <w:lang w:bidi="fa-IR"/>
          <w:color w:val="111111"/>
          <w:sz w:val="28"/>
          <w:szCs w:val="28"/>
          <w:rtl/>
        </w:rPr>
        <w:t xml:space="preserve">۱۷۵۲. اصفهان؛ ادبیات؛ شماره نسخه: ۲۸/۵</w:t>
      </w:r>
    </w:p>
    <w:p>
      <w:pPr>
        <w:pStyle w:val="BookText"/>
      </w:pPr>
      <w:r>
        <w:rPr>
          <w:rFonts w:ascii="IRNazanin" w:hAnsi="IRNazanin" w:eastAsia="IRNazanin" w:cs="IRNazanin"/>
          <w:lang w:bidi="fa-IR"/>
          <w:color w:val="111111"/>
          <w:sz w:val="28"/>
          <w:szCs w:val="28"/>
          <w:rtl/>
        </w:rPr>
        <w:t xml:space="preserve">رباعیات و یک قصیده؛ خط: شکسته نستعلیق، بی کا، بی تا؛ قطع:ربعی[ نشریه: ۴ - ۴۷۸]</w:t>
      </w:r>
    </w:p>
    <w:p>
      <w:pPr>
        <w:pStyle w:val="BookText"/>
      </w:pPr>
      <w:r>
        <w:rPr>
          <w:rFonts w:ascii="IRNazanin" w:hAnsi="IRNazanin" w:eastAsia="IRNazanin" w:cs="IRNazanin"/>
          <w:lang w:bidi="fa-IR"/>
          <w:color w:val="111111"/>
          <w:sz w:val="28"/>
          <w:szCs w:val="28"/>
          <w:rtl/>
        </w:rPr>
        <w:t xml:space="preserve">۱۷۵۳. تهران؛ مفتاح؛ شماره نسخه: ۱۱۶۳/۱</w:t>
      </w:r>
    </w:p>
    <w:p>
      <w:pPr>
        <w:pStyle w:val="BookText"/>
      </w:pPr>
      <w:r>
        <w:rPr>
          <w:rFonts w:ascii="IRNazanin" w:hAnsi="IRNazanin" w:eastAsia="IRNazanin" w:cs="IRNazanin"/>
          <w:lang w:bidi="fa-IR"/>
          <w:color w:val="111111"/>
          <w:sz w:val="28"/>
          <w:szCs w:val="28"/>
          <w:rtl/>
        </w:rPr>
        <w:t xml:space="preserve">مثنوی است، که در پایان آن از حیدر بیک و از قزلباشان یاد شده؛ خط: نستعلیق، بی کا، بی تا[ نشریه: ۷ - ۱۳۷]</w:t>
      </w:r>
    </w:p>
    <w:p>
      <w:pPr>
        <w:pStyle w:val="BookText"/>
      </w:pPr>
      <w:r>
        <w:rPr>
          <w:rFonts w:ascii="IRNazanin" w:hAnsi="IRNazanin" w:eastAsia="IRNazanin" w:cs="IRNazanin"/>
          <w:lang w:bidi="fa-IR"/>
          <w:color w:val="111111"/>
          <w:sz w:val="28"/>
          <w:szCs w:val="28"/>
          <w:rtl/>
        </w:rPr>
        <w:t xml:space="preserve">۱۷۵۴. تهران؛ مجلس؛ شماره نسخه: ۲۱۲۷/۵۱۱/۳</w:t>
      </w:r>
    </w:p>
    <w:p>
      <w:pPr>
        <w:pStyle w:val="BookText"/>
      </w:pPr>
      <w:r>
        <w:rPr>
          <w:rFonts w:ascii="IRNazanin" w:hAnsi="IRNazanin" w:eastAsia="IRNazanin" w:cs="IRNazanin"/>
          <w:lang w:bidi="fa-IR"/>
          <w:color w:val="111111"/>
          <w:sz w:val="28"/>
          <w:szCs w:val="28"/>
          <w:rtl/>
        </w:rPr>
        <w:t xml:space="preserve">قصیده به مناسبت عید قربان در ۲۱ بیت (دلا خواهی اگر قربانی آری عید قربان را )؛ بی کا،بی تا؛ کاغذ: آبی فرنگی [ف: ۱۵ - ۱۱۱]</w:t>
      </w:r>
    </w:p>
    <w:p>
      <w:pPr>
        <w:pStyle w:val="BookText"/>
      </w:pPr>
      <w:r>
        <w:rPr>
          <w:rFonts w:ascii="IRNazanin" w:hAnsi="IRNazanin" w:eastAsia="IRNazanin" w:cs="IRNazanin"/>
          <w:lang w:bidi="fa-IR"/>
          <w:color w:val="111111"/>
          <w:sz w:val="28"/>
          <w:szCs w:val="28"/>
          <w:rtl/>
        </w:rPr>
        <w:t xml:space="preserve">۱۷۵۵. تهران؛ مجلس؛ شماره نسخه: ۲۱۲۷/۵۱۱/۹</w:t>
      </w:r>
    </w:p>
    <w:p>
      <w:pPr>
        <w:pStyle w:val="BookText"/>
      </w:pPr>
      <w:r>
        <w:rPr>
          <w:rFonts w:ascii="IRNazanin" w:hAnsi="IRNazanin" w:eastAsia="IRNazanin" w:cs="IRNazanin"/>
          <w:lang w:bidi="fa-IR"/>
          <w:color w:val="111111"/>
          <w:sz w:val="28"/>
          <w:szCs w:val="28"/>
          <w:rtl/>
        </w:rPr>
        <w:t xml:space="preserve">آغاز: باد بهار بادم عنبر فشان رسید *** فرمانروای (معتمد) الملک کز شرف/ ... شاها (ادیب) را بهمه دورروزگار *** سر سبزی از تو بروضات جنان رسید</w:t>
      </w:r>
    </w:p>
    <w:p>
      <w:pPr>
        <w:pStyle w:val="BookText"/>
      </w:pPr>
      <w:r>
        <w:rPr>
          <w:rFonts w:ascii="IRNazanin" w:hAnsi="IRNazanin" w:eastAsia="IRNazanin" w:cs="IRNazanin"/>
          <w:lang w:bidi="fa-IR"/>
          <w:color w:val="111111"/>
          <w:sz w:val="28"/>
          <w:szCs w:val="28"/>
          <w:rtl/>
        </w:rPr>
        <w:t xml:space="preserve">قصیده در مدح فرمانفرمای مملکت فارس از گفته های محمد هاشم حسینی متخلص به ادیب قصیده در ۴۰ بیت است؛ بی کا،بی تا؛ قصیده در چهار ستون؛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۲۹سم [ف: ۱۵ – ۱۱۳]</w:t>
      </w:r>
    </w:p>
    <w:p>
      <w:pPr>
        <w:pStyle w:val="BookText"/>
      </w:pPr>
      <w:r>
        <w:rPr>
          <w:rFonts w:ascii="IRNazanin" w:hAnsi="IRNazanin" w:eastAsia="IRNazanin" w:cs="IRNazanin"/>
          <w:lang w:bidi="fa-IR"/>
          <w:color w:val="111111"/>
          <w:sz w:val="28"/>
          <w:szCs w:val="28"/>
          <w:rtl/>
        </w:rPr>
        <w:t xml:space="preserve">۱۷۵۶. تهران؛ دانشسرای عالی - کتابخانه میرزا عبدالعظیم خان قریب گرکانی؛ شماره نسخه: ۸۸/۱۹</w:t>
      </w:r>
    </w:p>
    <w:p>
      <w:pPr>
        <w:pStyle w:val="BookText"/>
      </w:pPr>
      <w:r>
        <w:rPr>
          <w:rFonts w:ascii="IRNazanin" w:hAnsi="IRNazanin" w:eastAsia="IRNazanin" w:cs="IRNazanin"/>
          <w:lang w:bidi="fa-IR"/>
          <w:color w:val="111111"/>
          <w:sz w:val="28"/>
          <w:szCs w:val="28"/>
          <w:rtl/>
        </w:rPr>
        <w:t xml:space="preserve">غزل های سعدی و جامی و عاشق؛ بی کا، بی تا؛ در میانه و به رنگ زعفرانی؛ کاغذ: کبود، قطع: بغلی بیاضی [ نشریه: ۵ – ۶۲۲]</w:t>
      </w:r>
    </w:p>
    <w:p>
      <w:pPr>
        <w:pStyle w:val="BookText"/>
      </w:pPr>
      <w:r>
        <w:rPr>
          <w:rFonts w:ascii="IRNazanin" w:hAnsi="IRNazanin" w:eastAsia="IRNazanin" w:cs="IRNazanin"/>
          <w:lang w:bidi="fa-IR"/>
          <w:color w:val="111111"/>
          <w:sz w:val="28"/>
          <w:szCs w:val="28"/>
          <w:rtl/>
        </w:rPr>
        <w:t xml:space="preserve">۱۷۵۷. تهران؛ مفتاح؛ شماره نسخه: ۷۵۷/۳</w:t>
      </w:r>
    </w:p>
    <w:p>
      <w:pPr>
        <w:pStyle w:val="BookText"/>
      </w:pPr>
      <w:r>
        <w:rPr>
          <w:rFonts w:ascii="IRNazanin" w:hAnsi="IRNazanin" w:eastAsia="IRNazanin" w:cs="IRNazanin"/>
          <w:lang w:bidi="fa-IR"/>
          <w:color w:val="111111"/>
          <w:sz w:val="28"/>
          <w:szCs w:val="28"/>
          <w:rtl/>
        </w:rPr>
        <w:t xml:space="preserve">قصیده فارسی؛ بی کا، بی تا [نشریه: ۷ - ۲۵۶]</w:t>
      </w:r>
    </w:p>
    <w:p>
      <w:pPr>
        <w:pStyle w:val="BookText"/>
      </w:pPr>
      <w:r>
        <w:rPr>
          <w:rFonts w:ascii="IRNazanin" w:hAnsi="IRNazanin" w:eastAsia="IRNazanin" w:cs="IRNazanin"/>
          <w:lang w:bidi="fa-IR"/>
          <w:color w:val="111111"/>
          <w:sz w:val="28"/>
          <w:szCs w:val="28"/>
          <w:rtl/>
        </w:rPr>
        <w:t xml:space="preserve">۱۷۵۸. تهران؛ مفتاح؛ شماره نسخه: ۹۲۵/۲</w:t>
      </w:r>
    </w:p>
    <w:p>
      <w:pPr>
        <w:pStyle w:val="BookText"/>
      </w:pPr>
      <w:r>
        <w:rPr>
          <w:rFonts w:ascii="IRNazanin" w:hAnsi="IRNazanin" w:eastAsia="IRNazanin" w:cs="IRNazanin"/>
          <w:lang w:bidi="fa-IR"/>
          <w:color w:val="111111"/>
          <w:sz w:val="28"/>
          <w:szCs w:val="28"/>
          <w:rtl/>
        </w:rPr>
        <w:t xml:space="preserve">مثنوی است گویا از اوحدی؛ بی کا، بی تا؛ افتادگی: آغاز؛ [نشریه:  7- 263]</w:t>
      </w:r>
    </w:p>
    <w:p>
      <w:pPr>
        <w:pStyle w:val="BookText"/>
      </w:pPr>
      <w:r>
        <w:rPr>
          <w:rFonts w:ascii="IRNazanin" w:hAnsi="IRNazanin" w:eastAsia="IRNazanin" w:cs="IRNazanin"/>
          <w:lang w:bidi="fa-IR"/>
          <w:color w:val="111111"/>
          <w:sz w:val="28"/>
          <w:szCs w:val="28"/>
          <w:rtl/>
        </w:rPr>
        <w:t xml:space="preserve">۱۷۵۹. تهران؛ مفتاح؛ شماره نسخه: ۱۱۱۸/۴</w:t>
      </w:r>
    </w:p>
    <w:p>
      <w:pPr>
        <w:pStyle w:val="BookText"/>
      </w:pPr>
      <w:r>
        <w:rPr>
          <w:rFonts w:ascii="IRNazanin" w:hAnsi="IRNazanin" w:eastAsia="IRNazanin" w:cs="IRNazanin"/>
          <w:lang w:bidi="fa-IR"/>
          <w:color w:val="111111"/>
          <w:sz w:val="28"/>
          <w:szCs w:val="28"/>
          <w:rtl/>
        </w:rPr>
        <w:t xml:space="preserve">قصیده غوثیه است: سقانى الحب كاسات الوصول؛ خط: نسخ و نستعلیق، بی کا، بی تا؛ مجدول، با دو سرلوح [نشریه: ۷ - ۲۶۸]</w:t>
      </w:r>
    </w:p>
    <w:p>
      <w:pPr>
        <w:pStyle w:val="BookText"/>
      </w:pPr>
      <w:r>
        <w:rPr>
          <w:rFonts w:ascii="IRNazanin" w:hAnsi="IRNazanin" w:eastAsia="IRNazanin" w:cs="IRNazanin"/>
          <w:lang w:bidi="fa-IR"/>
          <w:color w:val="111111"/>
          <w:sz w:val="28"/>
          <w:szCs w:val="28"/>
          <w:rtl/>
        </w:rPr>
        <w:t xml:space="preserve">۱۷۶۰ . تهران؛ فرمانفرمائیان حافظ (دکتر)؛ شماره نسخه: بدون شماره /۲۸</w:t>
      </w:r>
    </w:p>
    <w:p>
      <w:pPr>
        <w:pStyle w:val="BookText"/>
      </w:pPr>
      <w:r>
        <w:rPr>
          <w:rFonts w:ascii="IRNazanin" w:hAnsi="IRNazanin" w:eastAsia="IRNazanin" w:cs="IRNazanin"/>
          <w:lang w:bidi="fa-IR"/>
          <w:color w:val="111111"/>
          <w:sz w:val="28"/>
          <w:szCs w:val="28"/>
          <w:rtl/>
        </w:rPr>
        <w:t xml:space="preserve">اشعاری از: حاجی محمد گیلانی، متین، صایبا، ذوقی اردستانی، ناظما، «تاریخ تالار آیینه» میر صیدی، محمد جعفر بيك، عالم
</w:t>
      </w:r>
    </w:p>
    <w:p>
      <w:pPr>
        <w:sectPr>
          <w:footerReference w:type="default" r:id="rId9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بیک، میرزا بدیع سبزوار ،فغانی ،نجات، سعدی و وارسته؛ بی کا، بی تا ؛جلد: تیماج مشکی زرکوب مقوایی، ربعی، ۲۲گ( ۱۳۶ر- ۱۵۸پ)، قطع: ربعی [نشریه: ۷ - ۵۵۲]</w:t>
      </w:r>
    </w:p>
    <w:p>
      <w:pPr>
        <w:pStyle w:val="BookText"/>
      </w:pPr>
      <w:r>
        <w:rPr>
          <w:rFonts w:ascii="Times New Roman" w:hAnsi="Times New Roman" w:eastAsia="Times New Roman" w:cs="Times New Roman"/>
          <w:lang w:val="en-US" w:bidi="en-US"/>
          <w:color w:val="111111"/>
          <w:sz w:val="28"/>
          <w:szCs w:val="28"/>
          <w:rtl/>
        </w:rPr>
        <w:t xml:space="preserve">1761.</w:t>
      </w:r>
    </w:p>
    <w:p>
      <w:pPr>
        <w:pStyle w:val="BookText"/>
      </w:pPr>
      <w:r>
        <w:rPr>
          <w:rFonts w:ascii="IRNazanin" w:hAnsi="IRNazanin" w:eastAsia="IRNazanin" w:cs="IRNazanin"/>
          <w:lang w:bidi="fa-IR"/>
          <w:color w:val="111111"/>
          <w:sz w:val="28"/>
          <w:szCs w:val="28"/>
          <w:rtl/>
        </w:rPr>
        <w:t xml:space="preserve">تهران؛ فرمانفرمائیان حافظ( دکتر)؛ شماره نسخه: بدون شماره/ ۳۳</w:t>
      </w:r>
    </w:p>
    <w:p>
      <w:pPr>
        <w:pStyle w:val="BookText"/>
      </w:pPr>
      <w:r>
        <w:rPr>
          <w:rFonts w:ascii="IRNazanin" w:hAnsi="IRNazanin" w:eastAsia="IRNazanin" w:cs="IRNazanin"/>
          <w:lang w:bidi="fa-IR"/>
          <w:color w:val="111111"/>
          <w:sz w:val="28"/>
          <w:szCs w:val="28"/>
          <w:rtl/>
        </w:rPr>
        <w:t xml:space="preserve">شعر قدسی مشهدی و عرفی و میرزا صالح؛ بی کا، بی تا؛ جـلد: تیماج مشکی زرکوب مقوایی، ۱ص (۲۱۶پ)، قطع: ربعی [نشـریه:7- 552]</w:t>
      </w:r>
    </w:p>
    <w:p>
      <w:pPr>
        <w:pStyle w:val="BookText"/>
      </w:pPr>
      <w:r>
        <w:rPr>
          <w:rFonts w:ascii="IRNazanin" w:hAnsi="IRNazanin" w:eastAsia="IRNazanin" w:cs="IRNazanin"/>
          <w:lang w:bidi="fa-IR"/>
          <w:color w:val="111111"/>
          <w:sz w:val="28"/>
          <w:szCs w:val="28"/>
          <w:rtl/>
        </w:rPr>
        <w:t xml:space="preserve">1762.یزد؛ وزیری؛ شماره نسخه: ۳۸۰۴/۸</w:t>
      </w:r>
    </w:p>
    <w:p>
      <w:pPr>
        <w:pStyle w:val="BookText"/>
      </w:pPr>
      <w:r>
        <w:rPr>
          <w:rFonts w:ascii="IRNazanin" w:hAnsi="IRNazanin" w:eastAsia="IRNazanin" w:cs="IRNazanin"/>
          <w:lang w:bidi="fa-IR"/>
          <w:color w:val="111111"/>
          <w:sz w:val="28"/>
          <w:szCs w:val="28"/>
          <w:rtl/>
        </w:rPr>
        <w:t xml:space="preserve">آغاز: بسمله، چنین گفتند ...  استاد - بروح پاک ایشان نور حق باد / پس آن را نظم کرده ابن عباس*** که او در علم بوده افضل ناس؛ انجام: تبارک من تعالی فوق عرش - تقول العبد فاطلـبنی تجدنی</w:t>
      </w:r>
    </w:p>
    <w:p>
      <w:pPr>
        <w:pStyle w:val="BookText"/>
      </w:pPr>
      <w:r>
        <w:rPr>
          <w:rFonts w:ascii="IRNazanin" w:hAnsi="IRNazanin" w:eastAsia="IRNazanin" w:cs="IRNazanin"/>
          <w:lang w:bidi="fa-IR"/>
          <w:color w:val="111111"/>
          <w:sz w:val="28"/>
          <w:szCs w:val="28"/>
          <w:rtl/>
        </w:rPr>
        <w:t xml:space="preserve">قصيده ربوبية؛ خط: نسخ مایل به نستعلیق، بی کا، بی تا؛ کاغذ: فرنگی ،جلد: مقوایی روکش کاغذ ابری عطف و گوشه ها تیماج قرمز،4گ (۷۶-۸۰) ابعاد متن: ۱۰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۱۵،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۵ - ۱۸۰۲]</w:t>
      </w:r>
    </w:p>
    <w:p>
      <w:pPr>
        <w:pStyle w:val="BookText"/>
      </w:pPr>
      <w:r>
        <w:rPr>
          <w:rFonts w:ascii="IRNazanin" w:hAnsi="IRNazanin" w:eastAsia="IRNazanin" w:cs="IRNazanin"/>
          <w:lang w:bidi="fa-IR"/>
          <w:color w:val="111111"/>
          <w:sz w:val="28"/>
          <w:szCs w:val="28"/>
          <w:rtl/>
        </w:rPr>
        <w:t xml:space="preserve">۱۷۶۳. کاشان؛ عاطفی، حسن؛ شماره نسخه: بدون شماره/ ۱</w:t>
      </w:r>
    </w:p>
    <w:p>
      <w:pPr>
        <w:pStyle w:val="BookText"/>
      </w:pPr>
      <w:r>
        <w:rPr>
          <w:rFonts w:ascii="IRNazanin" w:hAnsi="IRNazanin" w:eastAsia="IRNazanin" w:cs="IRNazanin"/>
          <w:lang w:bidi="fa-IR"/>
          <w:color w:val="111111"/>
          <w:sz w:val="28"/>
          <w:szCs w:val="28"/>
          <w:rtl/>
        </w:rPr>
        <w:t xml:space="preserve">دو قصیده از سلیمی درباره علی علیه السلام؛ بی کا، بی تا [ نشریه: 7- 748]</w:t>
      </w:r>
    </w:p>
    <w:p>
      <w:pPr>
        <w:pStyle w:val="BookText"/>
      </w:pPr>
      <w:r>
        <w:rPr>
          <w:rFonts w:ascii="IRNazanin" w:hAnsi="IRNazanin" w:eastAsia="IRNazanin" w:cs="IRNazanin"/>
          <w:lang w:bidi="fa-IR"/>
          <w:color w:val="111111"/>
          <w:sz w:val="28"/>
          <w:szCs w:val="28"/>
          <w:rtl/>
        </w:rPr>
        <w:t xml:space="preserve">۱۷۶۴ . قم؛ فیضیه؛ شماره نسخه: ۱۹۷۴/۶</w:t>
      </w:r>
    </w:p>
    <w:p>
      <w:pPr>
        <w:pStyle w:val="BookText"/>
      </w:pPr>
      <w:r>
        <w:rPr>
          <w:rFonts w:ascii="IRNazanin" w:hAnsi="IRNazanin" w:eastAsia="IRNazanin" w:cs="IRNazanin"/>
          <w:lang w:bidi="fa-IR"/>
          <w:color w:val="111111"/>
          <w:sz w:val="28"/>
          <w:szCs w:val="28"/>
          <w:rtl/>
        </w:rPr>
        <w:t xml:space="preserve">آغاز: با کمال فیض رحمت در هوای نوبهار*** بی زلال وصل او خشکم چو طبع روزگار</w:t>
      </w:r>
    </w:p>
    <w:p>
      <w:pPr>
        <w:pStyle w:val="BookText"/>
      </w:pPr>
      <w:r>
        <w:rPr>
          <w:rFonts w:ascii="IRNazanin" w:hAnsi="IRNazanin" w:eastAsia="IRNazanin" w:cs="IRNazanin"/>
          <w:lang w:bidi="fa-IR"/>
          <w:color w:val="111111"/>
          <w:sz w:val="28"/>
          <w:szCs w:val="28"/>
          <w:rtl/>
        </w:rPr>
        <w:t xml:space="preserve">قصیده در مدح امام هشتم، سروده سال ۱۰۱۱، گویا از فخرالدین ۲۱۰ بیت؛ خط: نستعلیق بی کا، بی تا؛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۳ - 158]</w:t>
      </w:r>
    </w:p>
    <w:p>
      <w:pPr>
        <w:pStyle w:val="BookText"/>
      </w:pPr>
      <w:r>
        <w:rPr>
          <w:rFonts w:ascii="IRNazanin" w:hAnsi="IRNazanin" w:eastAsia="IRNazanin" w:cs="IRNazanin"/>
          <w:lang w:bidi="fa-IR"/>
          <w:color w:val="111111"/>
          <w:sz w:val="28"/>
          <w:szCs w:val="28"/>
          <w:rtl/>
        </w:rPr>
        <w:t xml:space="preserve">۱۷۶۵ . قم؛ فیضیه؛ شماره نسخه: ۱۹۷۴/۲</w:t>
      </w:r>
    </w:p>
    <w:p>
      <w:pPr>
        <w:pStyle w:val="BookText"/>
      </w:pPr>
      <w:r>
        <w:rPr>
          <w:rFonts w:ascii="IRNazanin" w:hAnsi="IRNazanin" w:eastAsia="IRNazanin" w:cs="IRNazanin"/>
          <w:lang w:bidi="fa-IR"/>
          <w:color w:val="111111"/>
          <w:sz w:val="28"/>
          <w:szCs w:val="28"/>
          <w:rtl/>
        </w:rPr>
        <w:t xml:space="preserve">رباعیات از عرفی، مؤمن، خیام و سنائی؛ خط: نستعلیق، بی کا، بی تا؛ ۵۴گ،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۳ - ۱۵۸]</w:t>
      </w:r>
    </w:p>
    <w:p>
      <w:pPr>
        <w:pStyle w:val="BookText"/>
      </w:pPr>
      <w:r>
        <w:rPr>
          <w:rFonts w:ascii="IRNazanin" w:hAnsi="IRNazanin" w:eastAsia="IRNazanin" w:cs="IRNazanin"/>
          <w:lang w:bidi="fa-IR"/>
          <w:color w:val="111111"/>
          <w:sz w:val="28"/>
          <w:szCs w:val="28"/>
          <w:rtl/>
        </w:rPr>
        <w:t xml:space="preserve">۱۷۶۶. آشتیان؛ حوزه علمیه؛ شماره نسخه: ۶/۷</w:t>
      </w:r>
    </w:p>
    <w:p>
      <w:pPr>
        <w:pStyle w:val="BookText"/>
      </w:pPr>
      <w:r>
        <w:rPr>
          <w:rFonts w:ascii="IRNazanin" w:hAnsi="IRNazanin" w:eastAsia="IRNazanin" w:cs="IRNazanin"/>
          <w:lang w:bidi="fa-IR"/>
          <w:color w:val="111111"/>
          <w:sz w:val="28"/>
          <w:szCs w:val="28"/>
          <w:rtl/>
        </w:rPr>
        <w:t xml:space="preserve">هفتاد بیت از رباعيات متفرقه اهل تصوف و یک رباعی در حاشیه: «ای جنبش این طارم نه طاق از تو*** وی غلغله در جمله آفاق از  تو / دردیست نهان در دل عشاق از تو *** سوزیست درون جان مشتاق از تو / عشق ارچه بسوی هر کسش آهنگ است *** با هـیچ کسش نه آشتی نه جنگ است / بس بی نگست باده عشق و دارو *** این رنگ ...»؛ خط: نسخ، بی کا، بی تا؛ کاغذ: نخودی، جـلد: چرم قهوه ای، ضربی (با ترنج بزرگ و نقش گل و بوته)، عطف چرمین، ۲گ (۸۷پ-۸۶ر)، ۱۵ سطر، قطع ،وزیری،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۲۵]</w:t>
      </w:r>
    </w:p>
    <w:p>
      <w:pPr>
        <w:pStyle w:val="BookText"/>
      </w:pPr>
      <w:r>
        <w:rPr>
          <w:rFonts w:ascii="IRNazanin" w:hAnsi="IRNazanin" w:eastAsia="IRNazanin" w:cs="IRNazanin"/>
          <w:lang w:bidi="fa-IR"/>
          <w:color w:val="111111"/>
          <w:sz w:val="28"/>
          <w:szCs w:val="28"/>
          <w:rtl/>
        </w:rPr>
        <w:t xml:space="preserve">۱۷۶۷. چالوس؛ امام صادق؛ شماره نسخه: ۲۰۳</w:t>
      </w:r>
    </w:p>
    <w:p>
      <w:pPr>
        <w:pStyle w:val="BookText"/>
      </w:pPr>
      <w:r>
        <w:rPr>
          <w:rFonts w:ascii="IRNazanin" w:hAnsi="IRNazanin" w:eastAsia="IRNazanin" w:cs="IRNazanin"/>
          <w:lang w:bidi="fa-IR"/>
          <w:color w:val="111111"/>
          <w:sz w:val="28"/>
          <w:szCs w:val="28"/>
          <w:rtl/>
        </w:rPr>
        <w:t xml:space="preserve">آغاز: چو گل زد جامهای خسروی چاک *** فکند افسر رسر چون لاله بر خاک / شدند ارکان دولت یک بیک جمع ***چو شمع از پای تا سر غرفه در دمع؛ انجام: فتاد آوازه این مژده در شهر *** تو گفتی شد جوان بار دگر ...</w:t>
      </w:r>
    </w:p>
    <w:p>
      <w:pPr>
        <w:pStyle w:val="BookText"/>
      </w:pPr>
      <w:r>
        <w:rPr>
          <w:rFonts w:ascii="IRNazanin" w:hAnsi="IRNazanin" w:eastAsia="IRNazanin" w:cs="IRNazanin"/>
          <w:lang w:bidi="fa-IR"/>
          <w:color w:val="111111"/>
          <w:sz w:val="28"/>
          <w:szCs w:val="28"/>
          <w:rtl/>
        </w:rPr>
        <w:t xml:space="preserve">اشعاری تاریخی و خیالی که با عناوین چون «رسیدن بدر و مشتری به ری و رسیدن مهراب به ایشان»، «خطاب مشتری با صبا»، «آغاز داستان مهر و مشتری» ... سروده شده؛ خط: نستعلیق، بی کا، بی تا؛ عناوین لاجوردی؛ جلد: تیماج قهوه ای، ۱۴۵گ، ۱۲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۸۶]</w:t>
      </w:r>
    </w:p>
    <w:p>
      <w:pPr>
        <w:pStyle w:val="BookText"/>
      </w:pPr>
      <w:r>
        <w:rPr>
          <w:rFonts w:ascii="IRNazanin" w:hAnsi="IRNazanin" w:eastAsia="IRNazanin" w:cs="IRNazanin"/>
          <w:lang w:bidi="fa-IR"/>
          <w:color w:val="111111"/>
          <w:sz w:val="28"/>
          <w:szCs w:val="28"/>
          <w:rtl/>
        </w:rPr>
        <w:t xml:space="preserve">۱۷۶۸. تهران؛ مجلس؛ شماره نسخه: ۱۷۳۴۶</w:t>
      </w:r>
    </w:p>
    <w:p>
      <w:pPr>
        <w:pStyle w:val="BookText"/>
      </w:pPr>
      <w:r>
        <w:rPr>
          <w:rFonts w:ascii="IRNazanin" w:hAnsi="IRNazanin" w:eastAsia="IRNazanin" w:cs="IRNazanin"/>
          <w:lang w:bidi="fa-IR"/>
          <w:color w:val="111111"/>
          <w:sz w:val="28"/>
          <w:szCs w:val="28"/>
          <w:rtl/>
        </w:rPr>
        <w:t xml:space="preserve">اشعاری از سعدی ،حافظ، وصال و صابر؛ کا: صابر بی تا [د.ث.مجلس ]</w:t>
      </w:r>
    </w:p>
    <w:p>
      <w:pPr>
        <w:pStyle w:val="BookText"/>
      </w:pPr>
      <w:r>
        <w:rPr>
          <w:rFonts w:ascii="IRNazanin" w:hAnsi="IRNazanin" w:eastAsia="IRNazanin" w:cs="IRNazanin"/>
          <w:lang w:bidi="fa-IR"/>
          <w:color w:val="111111"/>
          <w:sz w:val="28"/>
          <w:szCs w:val="28"/>
          <w:rtl/>
        </w:rPr>
        <w:t xml:space="preserve">۱۷۶۹. تهران؛ مجلس؛ شماره نسخه: ۱۷۶۲۷</w:t>
      </w:r>
    </w:p>
    <w:p>
      <w:pPr>
        <w:pStyle w:val="BookText"/>
      </w:pPr>
      <w:r>
        <w:rPr>
          <w:rFonts w:ascii="IRNazanin" w:hAnsi="IRNazanin" w:eastAsia="IRNazanin" w:cs="IRNazanin"/>
          <w:lang w:bidi="fa-IR"/>
          <w:color w:val="111111"/>
          <w:sz w:val="28"/>
          <w:szCs w:val="28"/>
          <w:rtl/>
        </w:rPr>
        <w:t xml:space="preserve">اشعار اسلم، صباغ، بهجت و غیره؛ بی کا، بی تا [د.ث. مجلس ]</w:t>
      </w:r>
    </w:p>
    <w:p>
      <w:pPr>
        <w:pStyle w:val="BookText"/>
      </w:pPr>
      <w:r>
        <w:rPr>
          <w:rFonts w:ascii="IRNazanin" w:hAnsi="IRNazanin" w:eastAsia="IRNazanin" w:cs="IRNazanin"/>
          <w:lang w:bidi="fa-IR"/>
          <w:color w:val="111111"/>
          <w:sz w:val="28"/>
          <w:szCs w:val="28"/>
          <w:rtl/>
        </w:rPr>
        <w:t xml:space="preserve">۱۷۷۰. تهران؛ مجلس؛ شماره نسخه: ۱۷۶۶۲</w:t>
      </w:r>
    </w:p>
    <w:p>
      <w:pPr>
        <w:pStyle w:val="BookText"/>
      </w:pPr>
      <w:r>
        <w:rPr>
          <w:rFonts w:ascii="IRNazanin" w:hAnsi="IRNazanin" w:eastAsia="IRNazanin" w:cs="IRNazanin"/>
          <w:lang w:bidi="fa-IR"/>
          <w:color w:val="111111"/>
          <w:sz w:val="28"/>
          <w:szCs w:val="28"/>
          <w:rtl/>
        </w:rPr>
        <w:t xml:space="preserve">قصیده یافعی؛ بی کا، بی تا [د.ث. مجلس ]</w:t>
      </w:r>
    </w:p>
    <w:p>
      <w:pPr>
        <w:pStyle w:val="BookText"/>
      </w:pPr>
      <w:r>
        <w:rPr>
          <w:rFonts w:ascii="IRNazanin" w:hAnsi="IRNazanin" w:eastAsia="IRNazanin" w:cs="IRNazanin"/>
          <w:lang w:bidi="fa-IR"/>
          <w:color w:val="111111"/>
          <w:sz w:val="28"/>
          <w:szCs w:val="28"/>
          <w:rtl/>
        </w:rPr>
        <w:t xml:space="preserve">۱۷۷۱. تهران؛ مجلس؛ شماره نسخه: ۱۷۸۶۶</w:t>
      </w:r>
    </w:p>
    <w:p>
      <w:pPr>
        <w:pStyle w:val="BookText"/>
      </w:pPr>
      <w:r>
        <w:rPr>
          <w:rFonts w:ascii="IRNazanin" w:hAnsi="IRNazanin" w:eastAsia="IRNazanin" w:cs="IRNazanin"/>
          <w:lang w:bidi="fa-IR"/>
          <w:color w:val="111111"/>
          <w:sz w:val="28"/>
          <w:szCs w:val="28"/>
          <w:rtl/>
        </w:rPr>
        <w:t xml:space="preserve">از شاعرانی با تخلص حیرت ،غیرت، طبیب موسوی؛  بی کا، بی تا[د.ث. مجلس]</w:t>
      </w:r>
    </w:p>
    <w:p>
      <w:pPr>
        <w:pStyle w:val="BookText"/>
      </w:pPr>
      <w:r>
        <w:rPr>
          <w:rFonts w:ascii="IRNazanin" w:hAnsi="IRNazanin" w:eastAsia="IRNazanin" w:cs="IRNazanin"/>
          <w:lang w:bidi="fa-IR"/>
          <w:color w:val="111111"/>
          <w:sz w:val="28"/>
          <w:szCs w:val="28"/>
          <w:rtl/>
        </w:rPr>
        <w:t xml:space="preserve">۱۷۷۲. تهران؛ مجلس؛ شماره نسخه: ۱۲۶۲۶/۱۱</w:t>
      </w:r>
    </w:p>
    <w:p>
      <w:pPr>
        <w:pStyle w:val="BookText"/>
      </w:pPr>
      <w:r>
        <w:rPr>
          <w:rFonts w:ascii="IRNazanin" w:hAnsi="IRNazanin" w:eastAsia="IRNazanin" w:cs="IRNazanin"/>
          <w:lang w:bidi="fa-IR"/>
          <w:color w:val="111111"/>
          <w:sz w:val="28"/>
          <w:szCs w:val="28"/>
          <w:rtl/>
        </w:rPr>
        <w:t xml:space="preserve">غزل فارسی؛ خط: نستعلیق، بی کا، بی تا؛ مجدول مذهب مرصع محرر؛ جلد: تیماج ،مشکی ،مجدول، ترنج زرین با نقش گل و بوته و پرنده، ۲گ (۸۰پ-۸۱پ) [ف: ۳۶-۱۹۲]</w:t>
      </w:r>
    </w:p>
    <w:p>
      <w:pPr>
        <w:pStyle w:val="BookText"/>
      </w:pPr>
      <w:r>
        <w:rPr>
          <w:rFonts w:ascii="IRNazanin" w:hAnsi="IRNazanin" w:eastAsia="IRNazanin" w:cs="IRNazanin"/>
          <w:lang w:bidi="fa-IR"/>
          <w:color w:val="111111"/>
          <w:sz w:val="28"/>
          <w:szCs w:val="28"/>
          <w:rtl/>
        </w:rPr>
        <w:t xml:space="preserve">۱۷۷۳. تهران؛ مجلس؛ شماره نسخه: ۱۳۴۳۶/۳</w:t>
      </w:r>
    </w:p>
    <w:p>
      <w:pPr>
        <w:pStyle w:val="BookText"/>
      </w:pPr>
      <w:r>
        <w:rPr>
          <w:rFonts w:ascii="IRNazanin" w:hAnsi="IRNazanin" w:eastAsia="IRNazanin" w:cs="IRNazanin"/>
          <w:lang w:bidi="fa-IR"/>
          <w:color w:val="111111"/>
          <w:sz w:val="28"/>
          <w:szCs w:val="28"/>
          <w:rtl/>
        </w:rPr>
        <w:t xml:space="preserve">غزل است؛ خط: نستعلیق، بی کا، بی تا؛ مجدول محرر؛ جلد: تیماج قهوه ای سوخت با ترنج با سر مجدول، ۵گ (۱۲۴ر-۱۲۸پ)، ۶ سطر، اندازه: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۳۶ - ۳۶۸]</w:t>
      </w:r>
    </w:p>
    <w:p>
      <w:pPr>
        <w:pStyle w:val="BookText"/>
      </w:pPr>
      <w:r>
        <w:rPr>
          <w:rFonts w:ascii="IRNazanin" w:hAnsi="IRNazanin" w:eastAsia="IRNazanin" w:cs="IRNazanin"/>
          <w:lang w:bidi="fa-IR"/>
          <w:color w:val="111111"/>
          <w:sz w:val="28"/>
          <w:szCs w:val="28"/>
          <w:rtl/>
        </w:rPr>
        <w:t xml:space="preserve">۱۷۷۴. تهران؛ مجلس؛ شماره نسخه: ۱۰۲۶/۳-طباطبائی</w:t>
      </w:r>
    </w:p>
    <w:p>
      <w:pPr>
        <w:pStyle w:val="BookText"/>
      </w:pPr>
      <w:r>
        <w:rPr>
          <w:rFonts w:ascii="IRNazanin" w:hAnsi="IRNazanin" w:eastAsia="IRNazanin" w:cs="IRNazanin"/>
          <w:lang w:bidi="fa-IR"/>
          <w:color w:val="111111"/>
          <w:sz w:val="28"/>
          <w:szCs w:val="28"/>
          <w:rtl/>
        </w:rPr>
        <w:t xml:space="preserve">انجام: بس خون ز پرند شه دادار فرو ریخت *** چون قطره باران چکد از ابر بهاری</w:t>
      </w:r>
    </w:p>
    <w:p>
      <w:pPr>
        <w:pStyle w:val="BookText"/>
      </w:pPr>
      <w:r>
        <w:rPr>
          <w:rFonts w:ascii="IRNazanin" w:hAnsi="IRNazanin" w:eastAsia="IRNazanin" w:cs="IRNazanin"/>
          <w:lang w:bidi="fa-IR"/>
          <w:color w:val="111111"/>
          <w:sz w:val="28"/>
          <w:szCs w:val="28"/>
          <w:rtl/>
        </w:rPr>
        <w:t xml:space="preserve">چند غزل و تغزل است در شیوه ای شبیه به شیوه اشعار وزیر نظام و در برخی از آن ها تخلص مشتاق دیده می شود اما سبک اشعار مسلم می دارد از منشآت سید علی مشتاق اصفهانی و یا از دیوان مشتاقیه مظفر علی شاه کرمانی نیست و همان گونه که اشارت رفت به شیوه متوسط و سبک اشعار وزیر نظام بسیار شبیه است. اینک نمونه های از این اشعار: مطلع نخستین تغزل: «مدیح و زیور مدحت نثار خالق يكتا *** که از آب و گلی آرد برون بس صورت زیبا / خداوندی که هر شام و سحر بر درگه فضلش *** سجود آرند بر خاک جلالش جمله اشیاء»، از غزلی دیگر: «چو صوفیان صفا پیشه سربنه بر دوست *** که کار مردم صافی محبت است و صفاست ... / قناعت است و توکل مقام درویشان *** فرو از این چه نشینی محل فقر کجاست / محبت است وارادت نظر به عین رضا *** نه این مجاهده با نفس من همین تنهاست / کس این عمل نتواند به جز شه مشتاق *** که در مفارقتش صد هزار جامه قباست / طبیب شافی نفس است غیر او نبود *** جو او طبیب بود در مرض امید شفاست»، از غزل دیگر: «افسوس بر آن دیده که حق هیچ ندیده است*** پیچیده از حق روی و بغیری نگریده است / آوازه رحمت به سماوات و به ارضین *** بر گشته و از سمع رضا
</w:t>
      </w:r>
    </w:p>
    <w:p>
      <w:pPr>
        <w:sectPr>
          <w:footerReference w:type="default" r:id="rId9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 نشنیده است / ... گردیده کند باز تو گویی ز تکبر ***این خلق ز آباء و ز اجداد خریده است / خود را چو  سبع ساخته از کلبه درآید ***یعن منم آنی که ز من خلق رمیده است /با روی ترش کرده و ابروی گرده دار *** مانا که یکی قطره ز زقوم چشیده است / مشتاق چرا دست نگیرد ز من امروز *** کز دسـت لئيمان به لبم جان برسیده است»؛ خط: نسخ، بی کا، بی تا؛ کاغذ: فرنگی شکری رنگ، جلد: تیماج یک لا قرمز ، ۱۸ ص( ۱۲۰-۳۷)، ۱۱ سطر، قطع: وزیری کوچک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23- 315]</w:t>
      </w:r>
    </w:p>
    <w:p>
      <w:pPr>
        <w:pStyle w:val="BookText"/>
      </w:pPr>
      <w:r>
        <w:rPr>
          <w:rFonts w:ascii="IRNazanin" w:hAnsi="IRNazanin" w:eastAsia="IRNazanin" w:cs="IRNazanin"/>
          <w:lang w:bidi="fa-IR"/>
          <w:color w:val="111111"/>
          <w:sz w:val="28"/>
          <w:szCs w:val="28"/>
          <w:rtl/>
        </w:rPr>
        <w:t xml:space="preserve">۱۷۷۵. تهران؛ مجلس؛ شماره نسخه: ۱۷۹۷۳</w:t>
      </w:r>
    </w:p>
    <w:p>
      <w:pPr>
        <w:pStyle w:val="BookText"/>
      </w:pPr>
      <w:r>
        <w:rPr>
          <w:rFonts w:ascii="IRNazanin" w:hAnsi="IRNazanin" w:eastAsia="IRNazanin" w:cs="IRNazanin"/>
          <w:lang w:bidi="fa-IR"/>
          <w:color w:val="111111"/>
          <w:sz w:val="28"/>
          <w:szCs w:val="28"/>
          <w:rtl/>
        </w:rPr>
        <w:t xml:space="preserve">با شعرائی که وفائی تخلص می کنند تطبیق نمی کند. با تخلـص وفائی؛ بی کا، بی تا [د.ث. مجلس]</w:t>
      </w:r>
    </w:p>
    <w:p>
      <w:pPr>
        <w:pStyle w:val="BookText"/>
      </w:pPr>
      <w:r>
        <w:rPr>
          <w:rFonts w:ascii="IRNazanin" w:hAnsi="IRNazanin" w:eastAsia="IRNazanin" w:cs="IRNazanin"/>
          <w:lang w:bidi="fa-IR"/>
          <w:color w:val="111111"/>
          <w:sz w:val="28"/>
          <w:szCs w:val="28"/>
          <w:rtl/>
        </w:rPr>
        <w:t xml:space="preserve">۱۷۷۶. تهران؛ مجلس؛ شماره نسخه: ۳۰۶۴/۲</w:t>
      </w:r>
    </w:p>
    <w:p>
      <w:pPr>
        <w:pStyle w:val="BookText"/>
      </w:pPr>
      <w:r>
        <w:rPr>
          <w:rFonts w:ascii="IRNazanin" w:hAnsi="IRNazanin" w:eastAsia="IRNazanin" w:cs="IRNazanin"/>
          <w:lang w:bidi="fa-IR"/>
          <w:color w:val="111111"/>
          <w:sz w:val="28"/>
          <w:szCs w:val="28"/>
          <w:rtl/>
        </w:rPr>
        <w:t xml:space="preserve">آغاز: چکامه پارسی: فه سام ؛انجام: كانه لم يلج روح علی جسده.</w:t>
      </w:r>
    </w:p>
    <w:p>
      <w:pPr>
        <w:pStyle w:val="BookText"/>
      </w:pPr>
      <w:r>
        <w:rPr>
          <w:rFonts w:ascii="IRNazanin" w:hAnsi="IRNazanin" w:eastAsia="IRNazanin" w:cs="IRNazanin"/>
          <w:lang w:bidi="fa-IR"/>
          <w:color w:val="111111"/>
          <w:sz w:val="28"/>
          <w:szCs w:val="28"/>
          <w:rtl/>
        </w:rPr>
        <w:t xml:space="preserve">شامل یک قصیده پارسی دساتیری و یک قصیده و یک قطعه شعر به تازی از هداية الله، كاتب نسخه که گوینده این اشعارست در پایان نسخه رقم کرده:« بر حسب فرمان مجرای قبله گاهی جنـاب میرزا محمد حسین لازال مخصوصا بالطاف الالهی تحریر این چند قصیده عربی و پارسی تضییع صفحات نمود امید از تو مخصوص معظم اليه (!) مدظله العالی این که در ظلال عطوفته نوعی قابل شود که از عهده خدمات شایسته تر از آنها برآید به درگاه هداية الله غفر الله ذنوبه في شهر ربيع الاول من سنه 1294»؛ در آغاز قصیده پارسی (ص۱۹) این جمله ساخته شده از لغـات جعلی دساتیری «فه سام شالش پارلیم مزدام» دیده می شود که زیر آن ترجمه آن را چنین نوشته اند: «بنام دانش آفرین یزدان»،و به خط دیگری در حاشیه نوشته شده«: این فقره بزبان اصل دسـاتیر است که باعتقاد پارسیان زبان آسمانی است و لهجه یزدانی لیـکن این ترکیب را ناظم خود انشاء نموده است و لفظ شالش که بمعـنی دانش است با تخلص ناظم مناسب است و خالی از لطفی نیست»؛ ازین قرار سراینده این اشعار هداية الله نام داشته و دانش تخلـص می کرده و از شعرای اواخر قرن سیزدهم بوده است، قصیده پارسی قصیده مصنوع پر تکلفی است که سراینده خواسته است به فارسی سره بسراید و کلمات مجعول کتاب دساتیر را که فارسی اصل پنداشته در آن به کار برده، مطلع آن این است: «پس از نیایش کیهان خدیو پاک خدا *** همی سرایش خواهم بشـیوه شیوا»، و آن را به مدح وکیل الملک نامی سروده که ظاهراً مرتضی قلیخان وکیل الملک پسر محمد اسماعیل خان وکیل الملک نوری حکمران کرمان باشد و در ص ۲۸ در مدح او گوید: «ستوده درگه کان دهش وکیل الملک *** که می ندیدش گردون بجز دی همتا»، این قصیده شامل ۹۳ بیت و کاتب در پایان آن رقم کرده است: «بروزرش از مرداد ماه سال یکهزار و دویست و نود و چهار یزدگردی نگارش یافت امید که نگرنده بر نگار نگیرد و پوزش او را بپذیرد سپاس خدای رادر آغاز و انجام»،در زیر سطر اول به خط ریزتر نوشته شده:« در روز ۱۸ شهر مرداد ماه سنه ۱۲۴۵»، کاتب در زیر اغلب ابیات به خط ریزتر معانی و مفاهیم آنها را به زبان معمولی نوشته است، قصیده تازی شامل ۱۷ بیت که در صدر آن نوشته: «و له ايضا بالعربيه في هجو صاحبه»، و مطلع آن این است: لی صاحب اکزم کاله***  لم يدر بالتقوى ولد اکبر؛ پس از آن سه بیت در ذم طبیبی به نام مسیح؛ خط: شکسته نستعلیق تحریری خوش، كا: هداية الله متخلص بدانش، بی تا؛ مجدول کشی؛ کاغذ: فرنگی ،جلد: میشن سبز خط کشی کرده بدون مقوا، ۳۰ ص ،(۱۸-۴۸)، قطع: نیم خشتی،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۱۴سم[ف ۱۰ - ۵۸۰]</w:t>
      </w:r>
    </w:p>
    <w:p>
      <w:pPr>
        <w:pStyle w:val="BookText"/>
      </w:pPr>
      <w:r>
        <w:rPr>
          <w:rFonts w:ascii="IRNazanin" w:hAnsi="IRNazanin" w:eastAsia="IRNazanin" w:cs="IRNazanin"/>
          <w:lang w:bidi="fa-IR"/>
          <w:color w:val="111111"/>
          <w:sz w:val="28"/>
          <w:szCs w:val="28"/>
          <w:rtl/>
        </w:rPr>
        <w:t xml:space="preserve">۱۷۷۷. تهران؛ مجلس؛ شماره نسخه: ۵۶/۴-فیروز</w:t>
      </w:r>
    </w:p>
    <w:p>
      <w:pPr>
        <w:pStyle w:val="BookText"/>
      </w:pPr>
      <w:r>
        <w:rPr>
          <w:rFonts w:ascii="IRNazanin" w:hAnsi="IRNazanin" w:eastAsia="IRNazanin" w:cs="IRNazanin"/>
          <w:lang w:bidi="fa-IR"/>
          <w:color w:val="111111"/>
          <w:sz w:val="28"/>
          <w:szCs w:val="28"/>
          <w:rtl/>
        </w:rPr>
        <w:t xml:space="preserve">اشعاری از گویندگان مختلف (بدون ذکر نام گوینده)؛ بی کا، بی تا؛ این اشعار از حاشیه صفحه ۱۳۴ شروع شده و با قلم دیگر و چلیپاست؛ جلد: تیماج قرمز یک لا، ۵ص (۱۳۴-۱۳۹)، قطع : نیم خشتی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۲۱ - ۱۹۹]</w:t>
      </w:r>
    </w:p>
    <w:p>
      <w:pPr>
        <w:pStyle w:val="BookText"/>
      </w:pPr>
      <w:r>
        <w:rPr>
          <w:rFonts w:ascii="IRNazanin" w:hAnsi="IRNazanin" w:eastAsia="IRNazanin" w:cs="IRNazanin"/>
          <w:lang w:bidi="fa-IR"/>
          <w:color w:val="111111"/>
          <w:sz w:val="28"/>
          <w:szCs w:val="28"/>
          <w:rtl/>
        </w:rPr>
        <w:t xml:space="preserve">۱۷۷۸. تهران؛ مجلس؛ شماره نسخه: ۴۹۴۸/۵</w:t>
      </w:r>
    </w:p>
    <w:p>
      <w:pPr>
        <w:pStyle w:val="BookText"/>
      </w:pPr>
      <w:r>
        <w:rPr>
          <w:rFonts w:ascii="IRNazanin" w:hAnsi="IRNazanin" w:eastAsia="IRNazanin" w:cs="IRNazanin"/>
          <w:lang w:bidi="fa-IR"/>
          <w:color w:val="111111"/>
          <w:sz w:val="28"/>
          <w:szCs w:val="28"/>
          <w:rtl/>
        </w:rPr>
        <w:t xml:space="preserve">گزیده ای است از غزلیات و رباعیات شعرایی چون: میرزا ابوالقاسم کاشی ،ابوالقاسم میرفندرسکی، شمس الدین، انوار ،فروغی ،قاآنی، نظیری ،فکری ،ولی، فردوسی، مولانا اوحدی، عماد فقيه، مظفر، وحشی؛ خط: شکسته نستعلیق، بی کا، بی تا؛ کاغذ: فرنگی ،جلد: تیماج کبود مقوایی، ۵گ (۳۳پ-۳۸پ)،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۱۴ - ۲۰۴]</w:t>
      </w:r>
    </w:p>
    <w:p>
      <w:pPr>
        <w:pStyle w:val="BookText"/>
      </w:pPr>
      <w:r>
        <w:rPr>
          <w:rFonts w:ascii="IRNazanin" w:hAnsi="IRNazanin" w:eastAsia="IRNazanin" w:cs="IRNazanin"/>
          <w:lang w:bidi="fa-IR"/>
          <w:color w:val="111111"/>
          <w:sz w:val="28"/>
          <w:szCs w:val="28"/>
          <w:rtl/>
        </w:rPr>
        <w:t xml:space="preserve">۱۷۷۹ . تهران؛ مجلس؛ شماره نسخه: ۱۳۵۶۹/۵۱</w:t>
      </w:r>
    </w:p>
    <w:p>
      <w:pPr>
        <w:pStyle w:val="BookText"/>
      </w:pPr>
      <w:r>
        <w:rPr>
          <w:rFonts w:ascii="IRNazanin" w:hAnsi="IRNazanin" w:eastAsia="IRNazanin" w:cs="IRNazanin"/>
          <w:lang w:bidi="fa-IR"/>
          <w:color w:val="111111"/>
          <w:sz w:val="28"/>
          <w:szCs w:val="28"/>
          <w:rtl/>
        </w:rPr>
        <w:t xml:space="preserve">در رثای امام حسین (علیه السّلام) دوبیتی هایی است از کوثر با درج یک مصراع عربی، درهر دو بیتی به این صورت که مصراع چهارم هر یک از دو بیتی ها این مصراع است: «حسین يدعو هل مغيث يا لثارات الحسین»، در دو بیتی آخر تخلص كوثر دیده می شود، دوبیتی نخست تمام عربی است؛ بی کا، بی تا ؛جلد: تیماج قهوه ای عطف تیماج، ۱ص ،(۲۸۸)،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۳۷ - ۸۰]</w:t>
      </w:r>
    </w:p>
    <w:p>
      <w:pPr>
        <w:pStyle w:val="BookText"/>
      </w:pPr>
      <w:r>
        <w:rPr>
          <w:rFonts w:ascii="IRNazanin" w:hAnsi="IRNazanin" w:eastAsia="IRNazanin" w:cs="IRNazanin"/>
          <w:lang w:bidi="fa-IR"/>
          <w:color w:val="111111"/>
          <w:sz w:val="28"/>
          <w:szCs w:val="28"/>
          <w:rtl/>
        </w:rPr>
        <w:t xml:space="preserve">۱۷۸۰. تهران؛ مجلس؛ شماره نسخه: ۱۳۴۶۷/۸</w:t>
      </w:r>
    </w:p>
    <w:p>
      <w:pPr>
        <w:pStyle w:val="BookText"/>
      </w:pPr>
      <w:r>
        <w:rPr>
          <w:rFonts w:ascii="IRNazanin" w:hAnsi="IRNazanin" w:eastAsia="IRNazanin" w:cs="IRNazanin"/>
          <w:lang w:bidi="fa-IR"/>
          <w:color w:val="111111"/>
          <w:sz w:val="28"/>
          <w:szCs w:val="28"/>
          <w:rtl/>
        </w:rPr>
        <w:t xml:space="preserve">از محمد تقی؛ خط: شکسته نستعلیق، بی کا، بی تا؛ بی کاتب؛ جلد: تیماج قهوه ای ،مجدول ۱ص ،(۱۶۱ر)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36- 421]</w:t>
      </w:r>
    </w:p>
    <w:p>
      <w:pPr>
        <w:pStyle w:val="BookText"/>
      </w:pPr>
      <w:r>
        <w:rPr>
          <w:rFonts w:ascii="IRNazanin" w:hAnsi="IRNazanin" w:eastAsia="IRNazanin" w:cs="IRNazanin"/>
          <w:lang w:bidi="fa-IR"/>
          <w:color w:val="111111"/>
          <w:sz w:val="28"/>
          <w:szCs w:val="28"/>
          <w:rtl/>
        </w:rPr>
        <w:t xml:space="preserve">۱۷۸۱. تهران؛ مجلس؛ شماره نسخه: ۲۱۲۷/۵۱۱/۲</w:t>
      </w:r>
    </w:p>
    <w:p>
      <w:pPr>
        <w:pStyle w:val="BookText"/>
      </w:pPr>
      <w:r>
        <w:rPr>
          <w:rFonts w:ascii="IRNazanin" w:hAnsi="IRNazanin" w:eastAsia="IRNazanin" w:cs="IRNazanin"/>
          <w:lang w:bidi="fa-IR"/>
          <w:color w:val="111111"/>
          <w:sz w:val="28"/>
          <w:szCs w:val="28"/>
          <w:rtl/>
        </w:rPr>
        <w:t xml:space="preserve">آغاز: دلبرا رویت به از بهشت برین است *** بلکه گلی کز بهشت  زاده همین است؛ انجام: بنده در گه بود حسین بن ایلخان *** بنگر کز فقر و فاقه کرم بست چنین</w:t>
      </w:r>
    </w:p>
    <w:p>
      <w:pPr>
        <w:pStyle w:val="BookText"/>
      </w:pPr>
      <w:r>
        <w:rPr>
          <w:rFonts w:ascii="IRNazanin" w:hAnsi="IRNazanin" w:eastAsia="IRNazanin" w:cs="IRNazanin"/>
          <w:lang w:bidi="fa-IR"/>
          <w:color w:val="111111"/>
          <w:sz w:val="28"/>
          <w:szCs w:val="28"/>
          <w:rtl/>
        </w:rPr>
        <w:t xml:space="preserve">قصیده در ستایش فرمانفرما از گفته های حسین بن ایلخان است در ۲۷ بیت؛ بی کا، بی تا [ف: ۱۵ - ۱۱۱]</w:t>
      </w:r>
    </w:p>
    <w:p>
      <w:pPr>
        <w:pStyle w:val="BookText"/>
      </w:pPr>
      <w:r>
        <w:rPr>
          <w:rFonts w:ascii="IRNazanin" w:hAnsi="IRNazanin" w:eastAsia="IRNazanin" w:cs="IRNazanin"/>
          <w:lang w:bidi="fa-IR"/>
          <w:color w:val="111111"/>
          <w:sz w:val="28"/>
          <w:szCs w:val="28"/>
          <w:rtl/>
        </w:rPr>
        <w:t xml:space="preserve">۱۷۸۲. تهران؛ مجلس؛ شماره نسخه: ۲۱۲۷/۵۱۱/۱۰</w:t>
      </w:r>
    </w:p>
    <w:p>
      <w:pPr>
        <w:pStyle w:val="BookText"/>
      </w:pPr>
      <w:r>
        <w:rPr>
          <w:rFonts w:ascii="IRNazanin" w:hAnsi="IRNazanin" w:eastAsia="IRNazanin" w:cs="IRNazanin"/>
          <w:lang w:bidi="fa-IR"/>
          <w:color w:val="111111"/>
          <w:sz w:val="28"/>
          <w:szCs w:val="28"/>
          <w:rtl/>
        </w:rPr>
        <w:t xml:space="preserve">آغاز: ثنا و مدح و ستایش سپاس و مهر و درود</w:t>
      </w:r>
    </w:p>
    <w:p>
      <w:pPr>
        <w:pStyle w:val="BookText"/>
      </w:pPr>
      <w:r>
        <w:rPr>
          <w:rFonts w:ascii="IRNazanin" w:hAnsi="IRNazanin" w:eastAsia="IRNazanin" w:cs="IRNazanin"/>
          <w:lang w:bidi="fa-IR"/>
          <w:color w:val="111111"/>
          <w:sz w:val="28"/>
          <w:szCs w:val="28"/>
          <w:rtl/>
        </w:rPr>
        <w:t xml:space="preserve">قصیده در ستایش ناصر الدین شاه گوینده آن معلوم نشد، در ۳۸ بیت؛ بی کا، بی تا؛ در چهار ستون، سطور چلیپا، مجدول؛ اندازه:
</w:t>
      </w:r>
    </w:p>
    <w:p>
      <w:pPr>
        <w:sectPr>
          <w:footerReference w:type="default" r:id="rId9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۳۲سم [ف: ۱۱۳]</w:t>
      </w:r>
    </w:p>
    <w:p>
      <w:pPr>
        <w:pStyle w:val="BookText"/>
      </w:pPr>
      <w:r>
        <w:rPr>
          <w:rFonts w:ascii="IRNazanin" w:hAnsi="IRNazanin" w:eastAsia="IRNazanin" w:cs="IRNazanin"/>
          <w:lang w:bidi="fa-IR"/>
          <w:color w:val="111111"/>
          <w:sz w:val="28"/>
          <w:szCs w:val="28"/>
          <w:rtl/>
        </w:rPr>
        <w:t xml:space="preserve">۱۷۸۳. تهران؛ مجلس؛ شماره نسخه: ۶۲۱/۱</w:t>
      </w:r>
    </w:p>
    <w:p>
      <w:pPr>
        <w:pStyle w:val="BookText"/>
      </w:pPr>
      <w:r>
        <w:rPr>
          <w:rFonts w:ascii="IRNazanin" w:hAnsi="IRNazanin" w:eastAsia="IRNazanin" w:cs="IRNazanin"/>
          <w:lang w:bidi="fa-IR"/>
          <w:color w:val="111111"/>
          <w:sz w:val="28"/>
          <w:szCs w:val="28"/>
          <w:rtl/>
        </w:rPr>
        <w:t xml:space="preserve">چهار ورق اول نسخه متضمن خلاصه خمسه نظامی ناتمام؛ اشـعار هاتف، کلیم، حاجی محمد خان قدسی، صائب، شکوهی، نظیری، ظهوری، دو قطعه نثر میرزا صایبا در باب تنباکو و شراب، دیباچه فیضی، معراج خیال علیرضای تجلی؛ خط: نستعلیق، بی کا، بی تا؛ مجدول؛ قطع: رحلی،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۳۱سم [ف: ۲ - ۳۷۴]</w:t>
      </w:r>
    </w:p>
    <w:p>
      <w:pPr>
        <w:pStyle w:val="BookText"/>
      </w:pPr>
      <w:r>
        <w:rPr>
          <w:rFonts w:ascii="IRNazanin" w:hAnsi="IRNazanin" w:eastAsia="IRNazanin" w:cs="IRNazanin"/>
          <w:lang w:bidi="fa-IR"/>
          <w:color w:val="111111"/>
          <w:sz w:val="28"/>
          <w:szCs w:val="28"/>
          <w:rtl/>
        </w:rPr>
        <w:t xml:space="preserve">۱۷۸۴. تهران؛ مجلس؛ شماره نسخه: ۵۱۲۱/۱۲۸</w:t>
      </w:r>
    </w:p>
    <w:p>
      <w:pPr>
        <w:pStyle w:val="BookText"/>
      </w:pPr>
      <w:r>
        <w:rPr>
          <w:rFonts w:ascii="IRNazanin" w:hAnsi="IRNazanin" w:eastAsia="IRNazanin" w:cs="IRNazanin"/>
          <w:lang w:bidi="fa-IR"/>
          <w:color w:val="111111"/>
          <w:sz w:val="28"/>
          <w:szCs w:val="28"/>
          <w:rtl/>
        </w:rPr>
        <w:t xml:space="preserve">شامل: ۱- چهار قطعه غزل، ۲- نامه و بشارت به امام جمعه جواب آن به نظم، ۳- قطعه به خط طغری روی کاغذ روغنی تریاکی به نام محمد منشی ساوجبلاغی به تاریخ ۱۲۷۵؛ بی کا، بی تا[ ف: ۱۵ - ۱۱۴]</w:t>
      </w:r>
    </w:p>
    <w:p>
      <w:pPr>
        <w:pStyle w:val="BookText"/>
      </w:pPr>
      <w:r>
        <w:rPr>
          <w:rFonts w:ascii="IRNazanin" w:hAnsi="IRNazanin" w:eastAsia="IRNazanin" w:cs="IRNazanin"/>
          <w:lang w:bidi="fa-IR"/>
          <w:color w:val="111111"/>
          <w:sz w:val="28"/>
          <w:szCs w:val="28"/>
          <w:rtl/>
        </w:rPr>
        <w:t xml:space="preserve">۱۷۸۵. تهران؛ مجلس؛ شماره نسخه: ۵۱۲۱/۱۳۰</w:t>
      </w:r>
    </w:p>
    <w:p>
      <w:pPr>
        <w:pStyle w:val="BookText"/>
      </w:pPr>
      <w:r>
        <w:rPr>
          <w:rFonts w:ascii="IRNazanin" w:hAnsi="IRNazanin" w:eastAsia="IRNazanin" w:cs="IRNazanin"/>
          <w:lang w:bidi="fa-IR"/>
          <w:color w:val="111111"/>
          <w:sz w:val="28"/>
          <w:szCs w:val="28"/>
          <w:rtl/>
        </w:rPr>
        <w:t xml:space="preserve">قطعه شعری است که هر یک جداگانه نوشته شده است، بعضی از این اشعار قصایدی است از گفته های سرایندگان روزگار ناصر الدین شاه که در مدح وی گفته شده است، دو قطعه از آنها تاریخ های ۱۲۹۱ و ۱۲۲۳ را داراست ۲۶ قطعه غزل و قصیده، دوقصیده یکی از وقار و دیگر از میرزانقی متخلص به عبقری؛ خـط: نسخ و نستعلیق و شکسته چلیپا؛ بی کا، بی تا [ف: ۱۵ – 114]</w:t>
      </w:r>
    </w:p>
    <w:p>
      <w:pPr>
        <w:pStyle w:val="BookText"/>
      </w:pPr>
      <w:r>
        <w:rPr>
          <w:rFonts w:ascii="IRNazanin" w:hAnsi="IRNazanin" w:eastAsia="IRNazanin" w:cs="IRNazanin"/>
          <w:lang w:bidi="fa-IR"/>
          <w:color w:val="111111"/>
          <w:sz w:val="28"/>
          <w:szCs w:val="28"/>
          <w:rtl/>
        </w:rPr>
        <w:t xml:space="preserve">۱۷۸۶ .تهران؛ مجلس؛ شماره نسخه: ۵۳۳۳/۴</w:t>
      </w:r>
    </w:p>
    <w:p>
      <w:pPr>
        <w:pStyle w:val="BookText"/>
      </w:pPr>
      <w:r>
        <w:rPr>
          <w:rFonts w:ascii="IRNazanin" w:hAnsi="IRNazanin" w:eastAsia="IRNazanin" w:cs="IRNazanin"/>
          <w:lang w:bidi="fa-IR"/>
          <w:color w:val="111111"/>
          <w:sz w:val="28"/>
          <w:szCs w:val="28"/>
          <w:rtl/>
        </w:rPr>
        <w:t xml:space="preserve">اشعاری از سرایندگان گوناگون و به نام؛ خط: نستعلیق، کا: احـمد رشتی، بی تا؛ کاغذ: فرنگی آبی ،جلد: تیماج مشکی یک لا، ۱گ (۱۵ ر - ۱۵پ)، ۲۰ سطر [ف: ۱۶ - ۲۴۲]</w:t>
      </w:r>
    </w:p>
    <w:p>
      <w:pPr>
        <w:pStyle w:val="BookText"/>
      </w:pPr>
      <w:r>
        <w:rPr>
          <w:rFonts w:ascii="IRNazanin" w:hAnsi="IRNazanin" w:eastAsia="IRNazanin" w:cs="IRNazanin"/>
          <w:lang w:bidi="fa-IR"/>
          <w:color w:val="111111"/>
          <w:sz w:val="28"/>
          <w:szCs w:val="28"/>
          <w:rtl/>
        </w:rPr>
        <w:t xml:space="preserve">۱۷۸۷. تهران؛ مجلس؛ شماره نسخه: ۵۷</w:t>
      </w:r>
    </w:p>
    <w:p>
      <w:pPr>
        <w:pStyle w:val="BookText"/>
      </w:pPr>
      <w:r>
        <w:rPr>
          <w:rFonts w:ascii="IRNazanin" w:hAnsi="IRNazanin" w:eastAsia="IRNazanin" w:cs="IRNazanin"/>
          <w:lang w:bidi="fa-IR"/>
          <w:color w:val="111111"/>
          <w:sz w:val="28"/>
          <w:szCs w:val="28"/>
          <w:rtl/>
        </w:rPr>
        <w:t xml:space="preserve">قصاید و غزلیات و رباعیات است از: دشت بیاضی ،عرفی، ثنائی با سرگذشت آنها و شعرهای از ظهوری و نظیری و میلی است.؛ خط: نستعلیق، بی کا؛ تا: قرن ۱۱ و ۱۲؛ جدول ؛کاغذ: زرد و سفـید ،جلد: تیماج تریاکی ضربی یک لا، ۱۶۵ گ، ۱۵ سطر (7</w:t>
      </w:r>
      <w:r>
        <w:rPr>
          <w:rFonts w:ascii="Times New Roman" w:hAnsi="Times New Roman" w:eastAsia="Times New Roman" w:cs="Times New Roman"/>
          <w:lang w:val="en-US" w:bidi="en-US"/>
          <w:color w:val="111111"/>
          <w:sz w:val="28"/>
          <w:szCs w:val="28"/>
          <w:rtl/>
        </w:rPr>
        <w:t xml:space="preserve">×6) </w:t>
      </w:r>
      <w:r>
        <w:rPr>
          <w:rFonts w:ascii="IRNazanin" w:hAnsi="IRNazanin" w:eastAsia="IRNazanin" w:cs="IRNazanin"/>
          <w:lang w:bidi="fa-IR"/>
          <w:color w:val="111111"/>
          <w:sz w:val="28"/>
          <w:szCs w:val="28"/>
          <w:rtl/>
        </w:rPr>
        <w:t xml:space="preserve">،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[سنا: ف: ۱ - ۲۹]</w:t>
      </w:r>
    </w:p>
    <w:p>
      <w:pPr>
        <w:pStyle w:val="BookText"/>
      </w:pPr>
      <w:r>
        <w:rPr>
          <w:rFonts w:ascii="IRNazanin" w:hAnsi="IRNazanin" w:eastAsia="IRNazanin" w:cs="IRNazanin"/>
          <w:lang w:bidi="fa-IR"/>
          <w:color w:val="111111"/>
          <w:sz w:val="28"/>
          <w:szCs w:val="28"/>
          <w:rtl/>
        </w:rPr>
        <w:t xml:space="preserve">۱۷۸۸. تهران؛ مجلس؛ شماره نسخه: ۶۸۰</w:t>
      </w:r>
    </w:p>
    <w:p>
      <w:pPr>
        <w:pStyle w:val="BookText"/>
      </w:pPr>
      <w:r>
        <w:rPr>
          <w:rFonts w:ascii="IRNazanin" w:hAnsi="IRNazanin" w:eastAsia="IRNazanin" w:cs="IRNazanin"/>
          <w:lang w:bidi="fa-IR"/>
          <w:color w:val="111111"/>
          <w:sz w:val="28"/>
          <w:szCs w:val="28"/>
          <w:rtl/>
        </w:rPr>
        <w:t xml:space="preserve">مثنویات ،قصاید، غزلیات و رباعیات است از کمال الدین اسماعیل ،نظامی، سعدی ،مولوی ،سلمان، حسن دهلوی، سلیمی، ابن يمين، ابو سعید ابوالخیر ،خیام ،آذری، حسن کاشی، سنایی،خاقانی... تا خواجه عبدالله، خسرو، اوحدی، جامی، انوری، ازرقی، محتشم، عماد، و دیگران؛ خط: نستعلیق، بی کا، تا: قرن  10و 11؛ افتادگی: آغاز و انجام؛ مهر: کتابخانه سید ابوجعفر تعلقه سردار پور سنه ۱۳۱۳ ؛کاغذ: سفید، جلد: مقوایی، عطف تیمـاج</w:t>
      </w:r>
    </w:p>
    <w:p>
      <w:pPr>
        <w:pStyle w:val="BookText"/>
      </w:pPr>
      <w:r>
        <w:rPr>
          <w:rFonts w:ascii="IRNazanin" w:hAnsi="IRNazanin" w:eastAsia="IRNazanin" w:cs="IRNazanin"/>
          <w:lang w:bidi="fa-IR"/>
          <w:color w:val="111111"/>
          <w:sz w:val="28"/>
          <w:szCs w:val="28"/>
          <w:rtl/>
        </w:rPr>
        <w:t xml:space="preserve">قهوه ای ،۲۲۸ گ، ۱۷ سطر (6/9</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۳۰سم [سنا:ف:2- 27]</w:t>
      </w:r>
    </w:p>
    <w:p>
      <w:pPr>
        <w:pStyle w:val="BookText"/>
      </w:pPr>
      <w:r>
        <w:rPr>
          <w:rFonts w:ascii="IRNazanin" w:hAnsi="IRNazanin" w:eastAsia="IRNazanin" w:cs="IRNazanin"/>
          <w:lang w:bidi="fa-IR"/>
          <w:color w:val="111111"/>
          <w:sz w:val="28"/>
          <w:szCs w:val="28"/>
          <w:rtl/>
        </w:rPr>
        <w:t xml:space="preserve">۱۷۸۹. تهران؛ مجلس؛ شماره نسخه: ۱۴۴۵</w:t>
      </w:r>
    </w:p>
    <w:p>
      <w:pPr>
        <w:pStyle w:val="BookText"/>
      </w:pPr>
      <w:r>
        <w:rPr>
          <w:rFonts w:ascii="IRNazanin" w:hAnsi="IRNazanin" w:eastAsia="IRNazanin" w:cs="IRNazanin"/>
          <w:lang w:bidi="fa-IR"/>
          <w:color w:val="111111"/>
          <w:sz w:val="28"/>
          <w:szCs w:val="28"/>
          <w:rtl/>
        </w:rPr>
        <w:t xml:space="preserve">خط: نستعلیق هندی، کا: موسوی بابا صائب، بی تا؛ جدول، سرلوح زرین و تذهیب هندی؛ کاغذ: سفید، جلد: تیماج قهوه  ای ضربی و مقوایی با ترنج و گوشه رنگین درون تیماج مشکـی،۲۰۷گ، ۹-۱۲ سطر ، مختلف السطر ،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۲۴سم [سنا: ف: ۲- 257]</w:t>
      </w:r>
    </w:p>
    <w:p>
      <w:pPr>
        <w:pStyle w:val="BookText"/>
      </w:pPr>
      <w:r>
        <w:rPr>
          <w:rFonts w:ascii="IRNazanin" w:hAnsi="IRNazanin" w:eastAsia="IRNazanin" w:cs="IRNazanin"/>
          <w:lang w:bidi="fa-IR"/>
          <w:color w:val="111111"/>
          <w:sz w:val="28"/>
          <w:szCs w:val="28"/>
          <w:rtl/>
        </w:rPr>
        <w:t xml:space="preserve">1790.تهران؛ مجلس؛ شماره نسخه: ۷۰۷۸</w:t>
      </w:r>
    </w:p>
    <w:p>
      <w:pPr>
        <w:pStyle w:val="BookText"/>
      </w:pPr>
      <w:r>
        <w:rPr>
          <w:rFonts w:ascii="IRNazanin" w:hAnsi="IRNazanin" w:eastAsia="IRNazanin" w:cs="IRNazanin"/>
          <w:lang w:bidi="fa-IR"/>
          <w:color w:val="111111"/>
          <w:sz w:val="28"/>
          <w:szCs w:val="28"/>
          <w:rtl/>
        </w:rPr>
        <w:t xml:space="preserve">آغاز: بعد از صحایف انشای محمدت الحمد لله الذي انزل على عبده الكتاب؛ انجام: ای دم بدم بخون هلالی کشیده تیغ *** مسکین چه کرد موجب چندین ملال</w:t>
      </w:r>
    </w:p>
    <w:p>
      <w:pPr>
        <w:pStyle w:val="BookText"/>
      </w:pPr>
      <w:r>
        <w:rPr>
          <w:rFonts w:ascii="IRNazanin" w:hAnsi="IRNazanin" w:eastAsia="IRNazanin" w:cs="IRNazanin"/>
          <w:lang w:bidi="fa-IR"/>
          <w:color w:val="111111"/>
          <w:sz w:val="28"/>
          <w:szCs w:val="28"/>
          <w:rtl/>
        </w:rPr>
        <w:t xml:space="preserve">شامل اشعار گوناگون در حکایات و قصص و پندیات از شعرای گوناگون است. مؤلف در اول کتاب و همچنین در حواشی برخی صفحات چندنامه خود را آورده و یکی از این نامه ها را به نام «نورالدین حاج محمد» نگاشته است. اسامی شعرائی که شعرشان در این جنگ آمده عبارتند :از ،جامی مولوی، حافظ، سعدی، ،سهیلی ،اصلی ،هلالی ،آصفی ،مؤمن خسرو دهلوی، امینی، ،بنایی ،صالح، امیر شاهی، مسیح آزری، کاتبی، امیری، آهی، صبوری ،معزی ،شفایی، خواجه شهاب الدین بن عماد، خواجه عصمت بخاری ،حیرتی، یقینی هروی، کاکلی عرب، محمد مؤمن میرزا، شرف یزدی، عماد کرمانی ،خیالی، جمال، عبدالله انصاری، على شهاب ،موسوی، فراقی ،غریبی، خواجه اشرف، خواجوی کرمانی، خواجه کمال ،مفلیسی ،اویسی ،نثاری، ابن یمین، رقیب، حامی، امیر حسین، حسن قندهاری، مشهدی، انیسی، میر هشام، ،نادری ،صبحی، بایسنقر میرزا ،اسیری ،ریاضی ،صنیعی صانعی، فصیح الدین، شیخ نجم ،هاتفی، حسن میرک، نرگس، غاری، سلطان قلیخان، ابن حسام، قاضی سبحان، مغری خردوی، خواجه ظهير، جمال الدین سلمان، حکیم انوری؛ خط: نستعلیق، بی کا، بی تا؛ مجدول؛ جلد: تیماج زرد، ۲۰۶گ، ۱۵ 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۲۵ - ۸۷]</w:t>
      </w:r>
    </w:p>
    <w:p>
      <w:pPr>
        <w:pStyle w:val="BookText"/>
      </w:pPr>
      <w:r>
        <w:rPr>
          <w:rFonts w:ascii="IRNazanin" w:hAnsi="IRNazanin" w:eastAsia="IRNazanin" w:cs="IRNazanin"/>
          <w:lang w:bidi="fa-IR"/>
          <w:color w:val="111111"/>
          <w:sz w:val="28"/>
          <w:szCs w:val="28"/>
          <w:rtl/>
        </w:rPr>
        <w:t xml:space="preserve">۱۷۹۱. تهران؛ مجلس؛ شماره نسخه: ۷۷۹۸/۲</w:t>
      </w:r>
    </w:p>
    <w:p>
      <w:pPr>
        <w:pStyle w:val="BookText"/>
      </w:pPr>
      <w:r>
        <w:rPr>
          <w:rFonts w:ascii="IRNazanin" w:hAnsi="IRNazanin" w:eastAsia="IRNazanin" w:cs="IRNazanin"/>
          <w:lang w:bidi="fa-IR"/>
          <w:color w:val="111111"/>
          <w:sz w:val="28"/>
          <w:szCs w:val="28"/>
          <w:rtl/>
        </w:rPr>
        <w:t xml:space="preserve">آغاز: سحر از کوه خاور تیغ اسکندر چو شد پیدا *** عیان شد رشحه خون از شکاف جوشن دارا / دم روح القدس زد چاک درپیراهن مریم ***</w:t>
      </w:r>
    </w:p>
    <w:p>
      <w:pPr>
        <w:pStyle w:val="BookText"/>
      </w:pPr>
      <w:r>
        <w:rPr>
          <w:rFonts w:ascii="IRNazanin" w:hAnsi="IRNazanin" w:eastAsia="IRNazanin" w:cs="IRNazanin"/>
          <w:lang w:bidi="fa-IR"/>
          <w:color w:val="111111"/>
          <w:sz w:val="28"/>
          <w:szCs w:val="28"/>
          <w:rtl/>
        </w:rPr>
        <w:t xml:space="preserve">نمایان شد میان مهد زرین طلعت عیسی؛ انجام: که بهر پرستیدن آن صنم*** به ملک وجود آمدم از عدم / و گرنه مرامیل هستی نبود*** سر برگ یزدن پرستی نبود</w:t>
      </w:r>
    </w:p>
    <w:p>
      <w:pPr>
        <w:pStyle w:val="BookText"/>
      </w:pPr>
      <w:r>
        <w:rPr>
          <w:rFonts w:ascii="IRNazanin" w:hAnsi="IRNazanin" w:eastAsia="IRNazanin" w:cs="IRNazanin"/>
          <w:lang w:bidi="fa-IR"/>
          <w:color w:val="111111"/>
          <w:sz w:val="28"/>
          <w:szCs w:val="28"/>
          <w:rtl/>
        </w:rPr>
        <w:t xml:space="preserve">جنگ اشعاری است که مؤلف در آن بیت یا ابیاتی را از شعرای گوناگون جمع آوری و به ترتیب حروف الفبائي آخر قوافی مرتب نموده است. نام شاعرانی که شعرشان در این جنگ آمده عبارتند از: هاتف اصفهانی، مشتاق اصفهانی، سعدی شیرازی، عطار تبریزی، نثار تبریزی، طالب ترشیزی، واعظ قزوینی، حیران قاجار، طوبی تبریزی، مکارم سبزواری، عاشق اصفهانی، حافظ شیرازی، سهیلی جغتایی، آهی جغتایی، محتشم کاشانی، حکیم خاقانی شیرازی، آذر بیگدلی، سهیلی ترک، اهلی ترشیزی، صباحی بیدگلی، اشرف مازندرانی، عذری بیدگلی، حاجی اردبیلی ،کلیم کاشی، نیکی اصفهانی، اسیر اصفهانی، شفایی اصفهانی ،عالمی، فیاض لاهیجی، علی نقی کمره ای، سپهری زواره ای، میلی  خجندی، حالی ترکمان، سید حسین، قاضی قلندر
</w:t>
      </w:r>
    </w:p>
    <w:p>
      <w:pPr>
        <w:sectPr>
          <w:footerReference w:type="default" r:id="rId9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اصفهانی، ظهوری شیروانی، ضمیری اصفهانی، عبدالله خـان طالقانی ،نیازی ،شریف تبریزی، امیر خسرو دهلوی، حزین لاهیجی، صافی اصفهانی، فیض دکنی، رفیق اصفهانی، ملا نخـلی بخارایی، غیری اصفهانی، هاذم گیلانی، کمال الدین خجندی، زکی همدانی، شرف قزوینی، لطیف نیشابوری، ذوقی عرجستانی، جامی، راهب اصفهانی، نظیری نیشابوری، نشاط تبریزی، فهـمی کاشی، فصیحی تبریزی، میرزا اسدالله تبریزی، صادق افشـار، خیالی کاشی، خواجه زاده کابلی، میر حضوری قمی، سوزی سـاده ای، سلمان ساوجی، مسیح الدین ساوجی، بابا شهیدی قمی، در کی قمی، حسن قمی، میرزا احمد قزوینی، رونقی همدانی، کاتب یزدی، دانش طوسی ،طبسی ،شاهی ،سبزواری، وحـشی کرمانی، ولی قاینی، جرجانی، قراری گیلانی، شمس هراتی، غزالی طوسی، انوری ابیوردی ،فریدون، قاآنی شیرازی، بابا نصیر گیلانی، طلوعی اسکویی، یغمای جندقی، رفیع الدین لبنانی، میر صیدی طهرانی، زینت اصفهانی، فرید الدین نیشابوری، قاضـی یحیی لاهیجی، میر صبری اصفهانی، دقیقی سمرقندی، راضـی اصفهانی، جاوید گیلانی،طالب گیلانی، کاتبی اصفهانی ، نقی اصفهانی، حضوری خوانساری، آصفی هراتی، رشید کارزانی، کابلی، مرتضی قلیخان شاملو، آذر سیستانی، شاه عباس صفوی، فاضل شیدا، معلوم تبریزی، مختاری غزنینی، جبلی غرجستانی، مجنون عامری، رهایی خوافی، قره چه  داغی ،نوایی، خـیام  نیشابوری، فضولی بغدادی، نوری اصفهانی، ابو سعید مهندس خاوران، ناصری مهندس خاوران، نظام استرآبادی، عرفی شیرازی، قاضی اسد کاشی، میر محمد محسن طوسی، حزبی، کامی سبزواری، بدیع الزمان سبزواری، اصلی مشهدی، روغنی استر آبادی، روغنی  طهرانی ،سرباز، زلالی هراتی، میرزا ابوالقاسم قائم مقام مرحوم، موسوی طوسی، پور حسن طوسی طبسی، رشکی سبزواری، شاه سبحان خوافی، قطبی خامنه ای، علای آشتیانی، میر مقبول قمی، داعی قمی، میر حضوری قمی، خضـری قزوینی، غضنفر قمی، گلخن قمی، تسلیمی کاشانی، حاتم کاشی، میر رضی همدانی، محوی همدانی، سایر طوسی، فکری مشهدی، میر مرادی طوسی، صائب تبریزی، ابو نصر جامی ،قاسمی، ذوقی ترکمان، نسبتی مشهدی،نوعی خبوشانی، کمالی سبزواری، صـابر خراسانی، میرزا هادی اصفهانی ،عامری، فنای مرندی، آشوب، فروغی تهرانی، مخفی گیلانی، نور علی شاه همدانی، قره چه داغی، صالحی خراسانی، میرزا حسین خان تبریزی، قاضی مجد الدین نسائی ،عجزی، تاجر الدین اسمعیل خوافی، شاه علاء الدین سیستانی، کمال اسماعیل اصفهانی، دانش طوسی، سید جلال یزدی، بابا فغانی شیرازی، غیرتی شیرازی، شیخ قیصر دکنی، احمد جامی، نادم لاهیجی، طاهر خراسانی، سائل قهستانی، عاجز عسجدی مروی، مولوی بلخی، سیف الدين ماوراء النهری، مشهدی ولی تبریزی، حیدری سبزواری، خلقی قهستانی، امیر همایون طبسی، بابا طاهر همدانی، ناصر خسرو علوی، سید مرشد بروجردی ؛خط: نستعلیق، بی کا، بی تا؛ جلد: تیماج قهوه ای مجدول، ۷۸گ، مختلف السطر ،اندازه :9</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سم [ف: ۲۶ - ۲۸۰]</w:t>
      </w:r>
    </w:p>
    <w:p>
      <w:pPr>
        <w:pStyle w:val="BookText"/>
      </w:pPr>
      <w:r>
        <w:rPr>
          <w:rFonts w:ascii="IRNazanin" w:hAnsi="IRNazanin" w:eastAsia="IRNazanin" w:cs="IRNazanin"/>
          <w:lang w:bidi="fa-IR"/>
          <w:color w:val="111111"/>
          <w:sz w:val="28"/>
          <w:szCs w:val="28"/>
          <w:rtl/>
        </w:rPr>
        <w:t xml:space="preserve">۱۷۹۲. تهران؛ مجلس؛ شماره نسخه: ۷۴۳۵</w:t>
      </w:r>
    </w:p>
    <w:p>
      <w:pPr>
        <w:pStyle w:val="BookText"/>
      </w:pPr>
      <w:r>
        <w:rPr>
          <w:rFonts w:ascii="IRNazanin" w:hAnsi="IRNazanin" w:eastAsia="IRNazanin" w:cs="IRNazanin"/>
          <w:lang w:bidi="fa-IR"/>
          <w:color w:val="111111"/>
          <w:sz w:val="28"/>
          <w:szCs w:val="28"/>
          <w:rtl/>
        </w:rPr>
        <w:t xml:space="preserve">آغاز: ای باد اگر به اهل بخارا گذر کنی *** زنهار عرضه ده برایشان پیام ما؛ انجام: هشت بستان را کجا هرگز توانی یافتن *** جز به حب حیدر و شبیر و شبر داشتن</w:t>
      </w:r>
    </w:p>
    <w:p>
      <w:pPr>
        <w:pStyle w:val="BookText"/>
      </w:pPr>
      <w:r>
        <w:rPr>
          <w:rFonts w:ascii="IRNazanin" w:hAnsi="IRNazanin" w:eastAsia="IRNazanin" w:cs="IRNazanin"/>
          <w:lang w:bidi="fa-IR"/>
          <w:color w:val="111111"/>
          <w:sz w:val="28"/>
          <w:szCs w:val="28"/>
          <w:rtl/>
        </w:rPr>
        <w:t xml:space="preserve">شامل شعرهایی از شعرای مختلف است. این جنگ به چند خط و توسط چند شخص نوشته شده و قسمتی از آن (ص ۴-۲۷ و ۱۱۷ ۱۴۵) به خط قاآنی است. در صفحه ۱۴۵ آن آمده: «اعتقاد بنده که قاآنیم این است» در این بخش قاآنی از شعرای متقدم، نام شاعران را به صورت الفبائی تخلص آنها آورده و بعد شرح حال کوتاهی ذکر می کند و سپس اشعاری را از شاعر می آورد در باقی صفحات که به خط دیگران است، عبدالوهاب معتمدالدوله نشاط به دستخط خود اشعاری را نوشته است، در این بخش اشعار زیادی از قاآنی نقل شده است. شعرایی که شعرشان در این جنگ آمده عبارتند از: حکیم سنائی، رابعه قزداری بلخی، رشید وطواط، ،عنصری، رضی الدین نیشابوری، رشیدالدین محمد بن محمود اسفرازی، رفیع الدین نیشابوری، رفیع الدین لبناني، رفیع الدين ابهری، رضی الدین خشاب، رکن الدین دعوی دار قمی، رودکی بخارائی ،خاقانی ،انوری ،عطارد ،وصال، آقا عبدالله هراتی، طراز یزدی ،قاآنی، شیخ طاهر، اختر تبریزی، قائم مقام، عبدالواسع جبلی، دوالفقار شیروانی، قوام الدین حسین بن صدرالدين على معاصر خاقانی، حمیدی اختیاری، خسرو دهلوی، دقیقی خراسانی و دقیقی مروزی؛ خط: نستعلیق، بی کا، بی تا؛ با دستخطی از قاآنی در برگ ۶۴ که در شب دوشنبه بیست و هشتم شوال ۱۲۶۴نوشته؛ جلد: تيماج قهوه ای ،۱۲۶گ، مختلف السطر،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 ف: ۲۵ - ۴۱۴]</w:t>
      </w:r>
    </w:p>
    <w:p>
      <w:pPr>
        <w:pStyle w:val="BookText"/>
      </w:pPr>
      <w:r>
        <w:rPr>
          <w:rFonts w:ascii="IRNazanin" w:hAnsi="IRNazanin" w:eastAsia="IRNazanin" w:cs="IRNazanin"/>
          <w:lang w:bidi="fa-IR"/>
          <w:color w:val="111111"/>
          <w:sz w:val="28"/>
          <w:szCs w:val="28"/>
          <w:rtl/>
        </w:rPr>
        <w:t xml:space="preserve">۱۷۹۳. تهران؛ مجلس؛ شماره نسخه: ۷۹۶۱</w:t>
      </w:r>
    </w:p>
    <w:p>
      <w:pPr>
        <w:pStyle w:val="BookText"/>
      </w:pPr>
      <w:r>
        <w:rPr>
          <w:rFonts w:ascii="IRNazanin" w:hAnsi="IRNazanin" w:eastAsia="IRNazanin" w:cs="IRNazanin"/>
          <w:lang w:bidi="fa-IR"/>
          <w:color w:val="111111"/>
          <w:sz w:val="28"/>
          <w:szCs w:val="28"/>
          <w:rtl/>
        </w:rPr>
        <w:t xml:space="preserve">آغاز: تو چون شهید شوی من فکار می گردم *** یتیم و بی پدر و خوار و زار می گردم/ بمن کسی ز تو دلگرمتر نخواهد بود *** هزار دوست یکی چون پدر نخواهد بود؛ انجام: زبانک غلغله مریخ در گمان افتاد ***که شد قیامت بنیاد آسمان افتاد/ کشید ناله جانسوز از دل غم کیش ***بسان مرغ سمندر بسوخت از  آتش خویش</w:t>
      </w:r>
    </w:p>
    <w:p>
      <w:pPr>
        <w:pStyle w:val="BookText"/>
      </w:pPr>
      <w:r>
        <w:rPr>
          <w:rFonts w:ascii="IRNazanin" w:hAnsi="IRNazanin" w:eastAsia="IRNazanin" w:cs="IRNazanin"/>
          <w:lang w:bidi="fa-IR"/>
          <w:color w:val="111111"/>
          <w:sz w:val="28"/>
          <w:szCs w:val="28"/>
          <w:rtl/>
        </w:rPr>
        <w:t xml:space="preserve">مجموعه اشعاری است در رثاء سید الشهدا امام حسین (علیه السّلام) که در آن اشعار سه شاعر «خلیلا، مقبل و نسیم کرمانی» جمع آوری شده</w:t>
      </w:r>
    </w:p>
    <w:p>
      <w:pPr>
        <w:pStyle w:val="BookText"/>
      </w:pPr>
      <w:r>
        <w:rPr>
          <w:rFonts w:ascii="IRNazanin" w:hAnsi="IRNazanin" w:eastAsia="IRNazanin" w:cs="IRNazanin"/>
          <w:lang w:bidi="fa-IR"/>
          <w:color w:val="111111"/>
          <w:sz w:val="28"/>
          <w:szCs w:val="28"/>
          <w:rtl/>
        </w:rPr>
        <w:t xml:space="preserve">است؛ خط: نسخ ،بی کا، بی تا؛  جلد: میشن مشکی، ۱۴۴گ، ۱۶ 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۲۶ - ۴۴۰]</w:t>
      </w:r>
    </w:p>
    <w:p>
      <w:pPr>
        <w:pStyle w:val="BookText"/>
      </w:pPr>
      <w:r>
        <w:rPr>
          <w:rFonts w:ascii="IRNazanin" w:hAnsi="IRNazanin" w:eastAsia="IRNazanin" w:cs="IRNazanin"/>
          <w:lang w:bidi="fa-IR"/>
          <w:color w:val="111111"/>
          <w:sz w:val="28"/>
          <w:szCs w:val="28"/>
          <w:rtl/>
        </w:rPr>
        <w:t xml:space="preserve">۱۷۹۴. تهران؛ مجلس؛ شماره نسخه: ۱۳۶۷۸</w:t>
      </w:r>
    </w:p>
    <w:p>
      <w:pPr>
        <w:pStyle w:val="BookText"/>
      </w:pPr>
      <w:r>
        <w:rPr>
          <w:rFonts w:ascii="IRNazanin" w:hAnsi="IRNazanin" w:eastAsia="IRNazanin" w:cs="IRNazanin"/>
          <w:lang w:bidi="fa-IR"/>
          <w:color w:val="111111"/>
          <w:sz w:val="28"/>
          <w:szCs w:val="28"/>
          <w:rtl/>
        </w:rPr>
        <w:t xml:space="preserve">شامل شعری از کلیم (۹ ر -۹ پ) و اشعار ترکی (۱۰ر-۱۱پ)؛ خط: نستعلیق، بی کا، بی تا؛ چلیپایی ؛جلد: تیماج سرخ ،مجدول، 3گ، مختلف السطر،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۳۷ - ۲۰۴]</w:t>
      </w:r>
    </w:p>
    <w:p>
      <w:pPr>
        <w:pStyle w:val="BookText"/>
      </w:pPr>
      <w:r>
        <w:rPr>
          <w:rFonts w:ascii="IRNazanin" w:hAnsi="IRNazanin" w:eastAsia="IRNazanin" w:cs="IRNazanin"/>
          <w:lang w:bidi="fa-IR"/>
          <w:color w:val="111111"/>
          <w:sz w:val="28"/>
          <w:szCs w:val="28"/>
          <w:rtl/>
        </w:rPr>
        <w:t xml:space="preserve">۱۷۹۵. تهران؛ مجلس؛ شماره نسخه: ۱۳۶۹۱
</w:t>
      </w:r>
    </w:p>
    <w:p>
      <w:pPr>
        <w:sectPr>
          <w:footerReference w:type="default" r:id="rId9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آغاز: آغاز جنگ: شنیدم روزی از خونابه نوشی *** چو گل از پاره تن خرقه پوشی / نه فکر زندگی او را نه مرگی *** چو سـرو آزاده ای با شاخ و برگی؛ انجام: انجام جنگ: شاها نظام از یـمن مدحتت *** زیر نگین طبع نگین سخنوری</w:t>
      </w:r>
    </w:p>
    <w:p>
      <w:pPr>
        <w:pStyle w:val="BookText"/>
      </w:pPr>
      <w:r>
        <w:rPr>
          <w:rFonts w:ascii="IRNazanin" w:hAnsi="IRNazanin" w:eastAsia="IRNazanin" w:cs="IRNazanin"/>
          <w:lang w:bidi="fa-IR"/>
          <w:color w:val="111111"/>
          <w:sz w:val="28"/>
          <w:szCs w:val="28"/>
          <w:rtl/>
        </w:rPr>
        <w:t xml:space="preserve">شامل: ۱- دیوان محمد قلی سلیم تهرانی (۱پ -۷۹ پ)، ۲- منتخـب دیوان ثنایی (۷۹پ -۸۷ر) ۳- اشعار نظام (۸۸ر-۹۸پ)، ۴- تـک بیتی هایی از شعرای مختلف (۹۹ر)، ۵- غزلی از حافظ و یک غزل دیگر و یک رباعی و تک بیتی به خط یوسف تبریزی که در ۱۶ ربیع الثانی ۱۳۱۹ نوشته است (۹۹پ)، ۶- منتخب دیوان سنجر کاشانی (در حاشیه برگ های ۲پ -۹۳ر) ؛خط: نستعلیق، بی کا، بی تا؛ در برگ ۲ کتیبه  مذهب، مجدول، دیوان سلیم از روی نسخه ای که به خط شفیعی افندی بوده و در سال ۱۰۷۸ نوشته شده بود، مقابله شده؛ جلد: تیماج سرخ  مجدول، ۹۹گ، مختلـف السطر،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۳۷ - ۲۱۶]</w:t>
      </w:r>
    </w:p>
    <w:p>
      <w:pPr>
        <w:pStyle w:val="BookText"/>
      </w:pPr>
      <w:r>
        <w:rPr>
          <w:rFonts w:ascii="IRNazanin" w:hAnsi="IRNazanin" w:eastAsia="IRNazanin" w:cs="IRNazanin"/>
          <w:lang w:bidi="fa-IR"/>
          <w:color w:val="111111"/>
          <w:sz w:val="28"/>
          <w:szCs w:val="28"/>
          <w:rtl/>
        </w:rPr>
        <w:t xml:space="preserve">۱۷۹۶. تهران؛ مجلس؛ شماره نسخه: ۱۳۷۱۱</w:t>
      </w:r>
    </w:p>
    <w:p>
      <w:pPr>
        <w:pStyle w:val="BookText"/>
      </w:pPr>
      <w:r>
        <w:rPr>
          <w:rFonts w:ascii="IRNazanin" w:hAnsi="IRNazanin" w:eastAsia="IRNazanin" w:cs="IRNazanin"/>
          <w:lang w:bidi="fa-IR"/>
          <w:color w:val="111111"/>
          <w:sz w:val="28"/>
          <w:szCs w:val="28"/>
          <w:rtl/>
        </w:rPr>
        <w:t xml:space="preserve">شامل:معجزه امام حسین (علیه السّلام) به نظم از سالک (۱ر-1پ) دیوان چاکر خوانساری (بخشی از مراثی) (۲ر -۱۷ر) دیوان نایب گلپایگانی (بخشی از مراثی) (۱۷پ-۱۹پ)، قصه قبولی پلو (۳۱ ر-۳۴ر) ،۷- مثنوی مکنت (۳۴پ-۳۵پ)، ۸- مثنوی ثمر (۳۶پ-۳۵پ)، خط: نستعلیق، بی کا، بی تا؛ جلد: تیماج مجدول، ۱۷ - ۲۵ سطر، قطع: بیاضی، 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۱۹/۵سم [ف: 37- 237]</w:t>
      </w:r>
    </w:p>
    <w:p>
      <w:pPr>
        <w:pStyle w:val="BookText"/>
      </w:pPr>
      <w:r>
        <w:rPr>
          <w:rFonts w:ascii="IRNazanin" w:hAnsi="IRNazanin" w:eastAsia="IRNazanin" w:cs="IRNazanin"/>
          <w:lang w:bidi="fa-IR"/>
          <w:color w:val="111111"/>
          <w:sz w:val="28"/>
          <w:szCs w:val="28"/>
          <w:rtl/>
        </w:rPr>
        <w:t xml:space="preserve">۱۷۹۷. تهران؛ مجلس؛ شماره نسخه: ۱۳۹۵۰</w:t>
      </w:r>
    </w:p>
    <w:p>
      <w:pPr>
        <w:pStyle w:val="BookText"/>
      </w:pPr>
      <w:r>
        <w:rPr>
          <w:rFonts w:ascii="IRNazanin" w:hAnsi="IRNazanin" w:eastAsia="IRNazanin" w:cs="IRNazanin"/>
          <w:lang w:bidi="fa-IR"/>
          <w:color w:val="111111"/>
          <w:sz w:val="28"/>
          <w:szCs w:val="28"/>
          <w:rtl/>
        </w:rPr>
        <w:t xml:space="preserve">شامل: غزلی از حافظ (۱۴۱ر)، ترجیع بند (141ر- 147پ)، اشعاری از: هلالی، محتشم ،مشتاق، رفیق ،امیدی ،دامی، حافـظ ،وحشى، صهبا، ترجیع بند میر مشتاق (۱۴۸ ر-۱۷۴پ)؛ خـط: شکسته نستعلیق چلیپا، بی کا، بی تا؛ جلد: تیماج دورو، قهوه ای، ترنج با سر، مجدول گرهی، ۱۰-۱۲ سطر، قطع: بیاضی ،اندازه:۱۱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۱۸/۵سم [ف: ۳۷ - ۵۴۷]</w:t>
      </w:r>
    </w:p>
    <w:p>
      <w:pPr>
        <w:pStyle w:val="BookText"/>
      </w:pPr>
      <w:r>
        <w:rPr>
          <w:rFonts w:ascii="IRNazanin" w:hAnsi="IRNazanin" w:eastAsia="IRNazanin" w:cs="IRNazanin"/>
          <w:lang w:bidi="fa-IR"/>
          <w:color w:val="111111"/>
          <w:sz w:val="28"/>
          <w:szCs w:val="28"/>
          <w:rtl/>
        </w:rPr>
        <w:t xml:space="preserve">۱۷۹۸. تهران؛ مجلس؛ شماره نسخه: ۱۷۲۶۰</w:t>
      </w:r>
    </w:p>
    <w:p>
      <w:pPr>
        <w:pStyle w:val="BookText"/>
      </w:pPr>
      <w:r>
        <w:rPr>
          <w:rFonts w:ascii="IRNazanin" w:hAnsi="IRNazanin" w:eastAsia="IRNazanin" w:cs="IRNazanin"/>
          <w:lang w:bidi="fa-IR"/>
          <w:color w:val="111111"/>
          <w:sz w:val="28"/>
          <w:szCs w:val="28"/>
          <w:rtl/>
        </w:rPr>
        <w:t xml:space="preserve">جنگی شامل از جمله اشعاری از فاخر، فاضل خراسانی، جاهد و غیره؛ بی کا، بی تا [د.ث. مجلس]</w:t>
      </w:r>
    </w:p>
    <w:p>
      <w:pPr>
        <w:pStyle w:val="BookText"/>
      </w:pPr>
      <w:r>
        <w:rPr>
          <w:rFonts w:ascii="IRNazanin" w:hAnsi="IRNazanin" w:eastAsia="IRNazanin" w:cs="IRNazanin"/>
          <w:lang w:bidi="fa-IR"/>
          <w:color w:val="111111"/>
          <w:sz w:val="28"/>
          <w:szCs w:val="28"/>
          <w:rtl/>
        </w:rPr>
        <w:t xml:space="preserve">۱۷۹۹. تهران؛ مجلس؛ شماره نسخه: ۱۷۵۲۱ ض</w:t>
      </w:r>
    </w:p>
    <w:p>
      <w:pPr>
        <w:pStyle w:val="BookText"/>
      </w:pPr>
      <w:r>
        <w:rPr>
          <w:rFonts w:ascii="IRNazanin" w:hAnsi="IRNazanin" w:eastAsia="IRNazanin" w:cs="IRNazanin"/>
          <w:lang w:bidi="fa-IR"/>
          <w:color w:val="111111"/>
          <w:sz w:val="28"/>
          <w:szCs w:val="28"/>
          <w:rtl/>
        </w:rPr>
        <w:t xml:space="preserve">از شاعران ناشناس چون: نادم ،طوفان، میرزا احمد هندوستانی، خاکسار جلالی (فقیر) و ...؛ بی کا، بی تا [د.ث. مجلس ]</w:t>
      </w:r>
    </w:p>
    <w:p>
      <w:pPr>
        <w:pStyle w:val="BookText"/>
      </w:pPr>
      <w:r>
        <w:rPr>
          <w:rFonts w:ascii="IRNazanin" w:hAnsi="IRNazanin" w:eastAsia="IRNazanin" w:cs="IRNazanin"/>
          <w:lang w:bidi="fa-IR"/>
          <w:color w:val="111111"/>
          <w:sz w:val="28"/>
          <w:szCs w:val="28"/>
          <w:rtl/>
        </w:rPr>
        <w:t xml:space="preserve">۱۸۰۰. تهران؛ مجلس؛ شماره نسخه: ۱۷۵۲۲</w:t>
      </w:r>
    </w:p>
    <w:p>
      <w:pPr>
        <w:pStyle w:val="BookText"/>
      </w:pPr>
      <w:r>
        <w:rPr>
          <w:rFonts w:ascii="IRNazanin" w:hAnsi="IRNazanin" w:eastAsia="IRNazanin" w:cs="IRNazanin"/>
          <w:lang w:bidi="fa-IR"/>
          <w:color w:val="111111"/>
          <w:sz w:val="28"/>
          <w:szCs w:val="28"/>
          <w:rtl/>
        </w:rPr>
        <w:t xml:space="preserve">از مشاهیر و غیر مشاهیر چون: هلالی ،فروغی ،مسیحا، میرزا خلیل، احمدجامی ،هجری ،دلشاد، اطهری ،کرمانی، صابر کرمانی، صفای نطنزی، صفی قلی و غیره؛ بی کا، بی تا [د.ث. مجلس ]</w:t>
      </w:r>
    </w:p>
    <w:p>
      <w:pPr>
        <w:pStyle w:val="BookText"/>
      </w:pPr>
      <w:r>
        <w:rPr>
          <w:rFonts w:ascii="IRNazanin" w:hAnsi="IRNazanin" w:eastAsia="IRNazanin" w:cs="IRNazanin"/>
          <w:lang w:bidi="fa-IR"/>
          <w:color w:val="111111"/>
          <w:sz w:val="28"/>
          <w:szCs w:val="28"/>
          <w:rtl/>
        </w:rPr>
        <w:t xml:space="preserve">۱۸۰۱. تهران؛ مجلس؛ شماره نسخه: ۱۷۵۲۳</w:t>
      </w:r>
    </w:p>
    <w:p>
      <w:pPr>
        <w:pStyle w:val="BookText"/>
      </w:pPr>
      <w:r>
        <w:rPr>
          <w:rFonts w:ascii="IRNazanin" w:hAnsi="IRNazanin" w:eastAsia="IRNazanin" w:cs="IRNazanin"/>
          <w:lang w:bidi="fa-IR"/>
          <w:color w:val="111111"/>
          <w:sz w:val="28"/>
          <w:szCs w:val="28"/>
          <w:rtl/>
        </w:rPr>
        <w:t xml:space="preserve">از مشاهیر و غیر مشاهیر چون: کلیم ،حافظ، مخمس ارزشی، مخمس از نجیب، اشعاری از غمگین، شاطر، ساعی و غیره؛ بی کا، بی تا [د.ث. مجلس]</w:t>
      </w:r>
    </w:p>
    <w:p>
      <w:pPr>
        <w:pStyle w:val="BookText"/>
      </w:pPr>
      <w:r>
        <w:rPr>
          <w:rFonts w:ascii="IRNazanin" w:hAnsi="IRNazanin" w:eastAsia="IRNazanin" w:cs="IRNazanin"/>
          <w:lang w:bidi="fa-IR"/>
          <w:color w:val="111111"/>
          <w:sz w:val="28"/>
          <w:szCs w:val="28"/>
          <w:rtl/>
        </w:rPr>
        <w:t xml:space="preserve">۱۸۰۲. تهران؛ مجلس؛ شماره نسخه: ۱۷۵۸۵</w:t>
      </w:r>
    </w:p>
    <w:p>
      <w:pPr>
        <w:pStyle w:val="BookText"/>
      </w:pPr>
      <w:r>
        <w:rPr>
          <w:rFonts w:ascii="IRNazanin" w:hAnsi="IRNazanin" w:eastAsia="IRNazanin" w:cs="IRNazanin"/>
          <w:lang w:bidi="fa-IR"/>
          <w:color w:val="111111"/>
          <w:sz w:val="28"/>
          <w:szCs w:val="28"/>
          <w:rtl/>
        </w:rPr>
        <w:t xml:space="preserve">به نام منعم (به جز شاعر معروف)؛ بی کا، بی تا [د.ث. مجلس ]</w:t>
      </w:r>
    </w:p>
    <w:p>
      <w:pPr>
        <w:pStyle w:val="BookText"/>
      </w:pPr>
      <w:r>
        <w:rPr>
          <w:rFonts w:ascii="IRNazanin" w:hAnsi="IRNazanin" w:eastAsia="IRNazanin" w:cs="IRNazanin"/>
          <w:lang w:bidi="fa-IR"/>
          <w:color w:val="111111"/>
          <w:sz w:val="28"/>
          <w:szCs w:val="28"/>
          <w:rtl/>
        </w:rPr>
        <w:t xml:space="preserve">۱۸۰۳. تهران؛ مجلس؛ شماره نسخه: ۱۷۶۰۸</w:t>
      </w:r>
    </w:p>
    <w:p>
      <w:pPr>
        <w:pStyle w:val="BookText"/>
      </w:pPr>
      <w:r>
        <w:rPr>
          <w:rFonts w:ascii="IRNazanin" w:hAnsi="IRNazanin" w:eastAsia="IRNazanin" w:cs="IRNazanin"/>
          <w:lang w:bidi="fa-IR"/>
          <w:color w:val="111111"/>
          <w:sz w:val="28"/>
          <w:szCs w:val="28"/>
          <w:rtl/>
        </w:rPr>
        <w:t xml:space="preserve">از مشاهیر و غیر مشاهیر از جمله: جامی، شایق، صدر کشمیری ،فرحت، عالی قدسی، ناصر علی، هلالی و غیره؛ بی کا بی تا[ د.ث. مجلس ]</w:t>
      </w:r>
    </w:p>
    <w:p>
      <w:pPr>
        <w:pStyle w:val="BookText"/>
      </w:pPr>
      <w:r>
        <w:rPr>
          <w:rFonts w:ascii="IRNazanin" w:hAnsi="IRNazanin" w:eastAsia="IRNazanin" w:cs="IRNazanin"/>
          <w:lang w:bidi="fa-IR"/>
          <w:color w:val="111111"/>
          <w:sz w:val="28"/>
          <w:szCs w:val="28"/>
          <w:rtl/>
        </w:rPr>
        <w:t xml:space="preserve">۱۸۰۴. تهران؛ مجلس؛ شماره نسخه: ۱۳۴۷۹/۷</w:t>
      </w:r>
    </w:p>
    <w:p>
      <w:pPr>
        <w:pStyle w:val="BookText"/>
      </w:pPr>
      <w:r>
        <w:rPr>
          <w:rFonts w:ascii="IRNazanin" w:hAnsi="IRNazanin" w:eastAsia="IRNazanin" w:cs="IRNazanin"/>
          <w:lang w:bidi="fa-IR"/>
          <w:color w:val="111111"/>
          <w:sz w:val="28"/>
          <w:szCs w:val="28"/>
          <w:rtl/>
        </w:rPr>
        <w:t xml:space="preserve">شامل اشعاری از: جامی ،اثیرالدین، ععمق بخارائی، رودکی، خاقانی؛ خط: شکسته نستعلیق، کا: محمد باقر لواسانی، بی تا، جا: کرمان، برای محمد اسماعیل خان؛ جلد: تیماج قهوه ای، عطف و حاشیه مشکی، مجدول، ۳گ (۹۰ ر -۹۲پ)،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 ف: ۳۶ - ۴۳۸]</w:t>
      </w:r>
    </w:p>
    <w:p>
      <w:pPr>
        <w:pStyle w:val="BookText"/>
      </w:pPr>
      <w:r>
        <w:rPr>
          <w:rFonts w:ascii="IRNazanin" w:hAnsi="IRNazanin" w:eastAsia="IRNazanin" w:cs="IRNazanin"/>
          <w:lang w:bidi="fa-IR"/>
          <w:color w:val="111111"/>
          <w:sz w:val="28"/>
          <w:szCs w:val="28"/>
          <w:rtl/>
        </w:rPr>
        <w:t xml:space="preserve">۱۸۰۵. تهران؛ مجلس؛ شماره نسخه: ۱۴۰۳۸</w:t>
      </w:r>
    </w:p>
    <w:p>
      <w:pPr>
        <w:pStyle w:val="BookText"/>
      </w:pPr>
      <w:r>
        <w:rPr>
          <w:rFonts w:ascii="IRNazanin" w:hAnsi="IRNazanin" w:eastAsia="IRNazanin" w:cs="IRNazanin"/>
          <w:lang w:bidi="fa-IR"/>
          <w:color w:val="111111"/>
          <w:sz w:val="28"/>
          <w:szCs w:val="28"/>
          <w:rtl/>
        </w:rPr>
        <w:t xml:space="preserve">آغاز: از سعدی: ندیدمت که بکردی وفا بدانچه بگفتی *** طریق وصل گشادی من آمدم تو برفتی؛ انجام: یکی خال سیه جا کرده بر کنج لب لعلش ***تو گویی بر لب آب بقا بنشسته هندوئی / دو پستانش ز چاک پیرهن دیدم بدل گفتم *** تماشا کن که سرو ناز بار آورده لیموئی</w:t>
      </w:r>
    </w:p>
    <w:p>
      <w:pPr>
        <w:pStyle w:val="BookText"/>
      </w:pPr>
      <w:r>
        <w:rPr>
          <w:rFonts w:ascii="IRNazanin" w:hAnsi="IRNazanin" w:eastAsia="IRNazanin" w:cs="IRNazanin"/>
          <w:lang w:bidi="fa-IR"/>
          <w:color w:val="111111"/>
          <w:sz w:val="28"/>
          <w:szCs w:val="28"/>
          <w:rtl/>
        </w:rPr>
        <w:t xml:space="preserve">اشعاری از: حافظ ،سعدی ،نظامی ،جامی، امیر خسرو، ابو علی سینا، لطف علی بیک شاملو ،(آذر) ،محتشم، میر سید علی مشتاق، محمد صادق خان بیگدلی ،ذوقی، حکیم عمر خيام، باب طاهر  عریان ، میرزا محمد علی مجرم، میرزا عبدالحمید شکوه،حکیم قاآنی، سید احمد هاتف، اسماعیل خان سرباز بروجردی، میرزا ابوالحسن يغما، طوفان مازندرانی، محمد كاظم واله، غلامعلی پروین همدانی، نوعی، محمد هاشم میرزا، سلمان ساوجی، میرزا عبد الوهاب نشاط اصفهانی، محمد تقی تشنه، عطار نیشابوری، میرزا حبیب فارسی ،هما، میرزا نصر الله ،پریشان، عاشق اصفهانی، تاراج شیرازی، صفایی ؛خط: نستعلیق چلیپا، بی کا، بی تا (دو ستونی)؛ در آغاز نسخه یادداشتی از عبدالقادر دبیری که شاملو که در اصفهان ۱۲ فروردین ۱۳۰۸ نوشته است؛ در داخل جنگ نام سید علی همدانی که قطعه ای از اشعار وی در سال ۱۲۷۵ ق در رشت در این جنگ تحریر شده، همچنین نام حسینعلی سائل که در سال ۱۳۱۹یادداشتی در این جنگ نوشته است؛ جلد: گالینگور سبز، ۹۱گ، مختلف السطر، قطع: بیاضی، اندازه: 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[ف:38- 59]</w:t>
      </w:r>
    </w:p>
    <w:p>
      <w:pPr>
        <w:pStyle w:val="BookText"/>
      </w:pPr>
      <w:r>
        <w:rPr>
          <w:rFonts w:ascii="IRNazanin" w:hAnsi="IRNazanin" w:eastAsia="IRNazanin" w:cs="IRNazanin"/>
          <w:lang w:bidi="fa-IR"/>
          <w:color w:val="111111"/>
          <w:sz w:val="28"/>
          <w:szCs w:val="28"/>
          <w:rtl/>
        </w:rPr>
        <w:t xml:space="preserve">۱۸۰۶. تهران؛ مجلس؛ شماره نسخه: ۱۴۰۳۹</w:t>
      </w:r>
    </w:p>
    <w:p>
      <w:pPr>
        <w:pStyle w:val="BookText"/>
      </w:pPr>
      <w:r>
        <w:rPr>
          <w:rFonts w:ascii="IRNazanin" w:hAnsi="IRNazanin" w:eastAsia="IRNazanin" w:cs="IRNazanin"/>
          <w:lang w:bidi="fa-IR"/>
          <w:color w:val="111111"/>
          <w:sz w:val="28"/>
          <w:szCs w:val="28"/>
          <w:rtl/>
        </w:rPr>
        <w:t xml:space="preserve">آغاز: نظیری. چه خوش است پیش زلفش سر شکوه باز کردن *** گله های روز هجران به شب دراز کردن / غم تو گرفته باری به میان جان شیرین*** که توان تو را و جان را ز هم امتیاز کردن؛</w:t>
      </w:r>
    </w:p>
    <w:p>
      <w:pPr>
        <w:pStyle w:val="BookText"/>
      </w:pPr>
      <w:r>
        <w:rPr>
          <w:rFonts w:ascii="IRNazanin" w:hAnsi="IRNazanin" w:eastAsia="IRNazanin" w:cs="IRNazanin"/>
          <w:lang w:bidi="fa-IR"/>
          <w:color w:val="111111"/>
          <w:sz w:val="28"/>
          <w:szCs w:val="28"/>
          <w:rtl/>
        </w:rPr>
        <w:t xml:space="preserve">انجام: خواهم اندر تو کنم ای بیت پاکیزه خیال*** نظر از منظر خوبی شب و روز و مه و سال / خواطرت رفت که در کودکیت می کردم *** آن نصیحت که نکرده است کسی از اهل کمال</w:t>
      </w:r>
    </w:p>
    <w:p>
      <w:pPr>
        <w:pStyle w:val="BookText"/>
      </w:pPr>
      <w:r>
        <w:rPr>
          <w:rFonts w:ascii="IRNazanin" w:hAnsi="IRNazanin" w:eastAsia="IRNazanin" w:cs="IRNazanin"/>
          <w:lang w:bidi="fa-IR"/>
          <w:color w:val="111111"/>
          <w:sz w:val="28"/>
          <w:szCs w:val="28"/>
          <w:rtl/>
        </w:rPr>
        <w:t xml:space="preserve">جنگی است شامل ۲۶۹۰ بیت، جمع آوری شده از اشعار شاعران
</w:t>
      </w:r>
    </w:p>
    <w:p>
      <w:pPr>
        <w:sectPr>
          <w:footerReference w:type="default" r:id="rId9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پارسی گوی، بدین اسامی: نظیری نیشابوری، عبدالرحمن جامی، خواجه قوام الدین ،حاذق ،خضری، سمندر ،بنیاد، طوفان ، محمد نجفی، خسرو هلالی جغتایی ،محتشم ،ریاضی، عارف، مشتاق ،حافظ، کمال خجندی ،محبی ،مهری، نصیر طوسی، عصمت ،نیازی، وصال شیرازی، صاحب دیوان، ،کاتبی خالصی، بابا فغانی شیرازی؛ خط: شکسته چلیپا، بی کا، بی تا ؛جلد: تیماج قهوه ای، مجدول گرهی، ۱۵۲گ، مختلف السطر، قطع: بياضی،</w:t>
      </w:r>
    </w:p>
    <w:p>
      <w:pPr>
        <w:pStyle w:val="BookText"/>
      </w:pPr>
      <w:r>
        <w:rPr>
          <w:rFonts w:ascii="IRNazanin" w:hAnsi="IRNazanin" w:eastAsia="IRNazanin" w:cs="IRNazanin"/>
          <w:lang w:bidi="fa-IR"/>
          <w:color w:val="111111"/>
          <w:sz w:val="28"/>
          <w:szCs w:val="28"/>
          <w:rtl/>
        </w:rPr>
        <w:t xml:space="preserve">اندازه: 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۳۸ - ۶۰]</w:t>
      </w:r>
    </w:p>
    <w:p>
      <w:pPr>
        <w:pStyle w:val="BookText"/>
      </w:pPr>
      <w:r>
        <w:rPr>
          <w:rFonts w:ascii="IRNazanin" w:hAnsi="IRNazanin" w:eastAsia="IRNazanin" w:cs="IRNazanin"/>
          <w:lang w:bidi="fa-IR"/>
          <w:color w:val="111111"/>
          <w:sz w:val="28"/>
          <w:szCs w:val="28"/>
          <w:rtl/>
        </w:rPr>
        <w:t xml:space="preserve">۱۸۰۷. تهران؛ مجلس؛ شماره نسخه: ۱۴۱۰۴</w:t>
      </w:r>
    </w:p>
    <w:p>
      <w:pPr>
        <w:pStyle w:val="BookText"/>
      </w:pPr>
      <w:r>
        <w:rPr>
          <w:rFonts w:ascii="IRNazanin" w:hAnsi="IRNazanin" w:eastAsia="IRNazanin" w:cs="IRNazanin"/>
          <w:lang w:bidi="fa-IR"/>
          <w:color w:val="111111"/>
          <w:sz w:val="28"/>
          <w:szCs w:val="28"/>
          <w:rtl/>
        </w:rPr>
        <w:t xml:space="preserve">آغاز: ز آن آیتی به مکتب عشق تو خوانده ایم *** معنی آن به محکم و میرم نمی دهیم/ یک جرعه ز جام تو در کام رسید*** ز آن قطره ای به کوثر و زمزم نمی دهیم؛ انجام: بگیر این نکته ها را سربسر یاد*** که زیرا این همه پند است و ارشاد / از برای عارفانست *** کسی کاین گنج دارد عارف آنست</w:t>
      </w:r>
    </w:p>
    <w:p>
      <w:pPr>
        <w:pStyle w:val="BookText"/>
      </w:pPr>
      <w:r>
        <w:rPr>
          <w:rFonts w:ascii="IRNazanin" w:hAnsi="IRNazanin" w:eastAsia="IRNazanin" w:cs="IRNazanin"/>
          <w:lang w:bidi="fa-IR"/>
          <w:color w:val="111111"/>
          <w:sz w:val="28"/>
          <w:szCs w:val="28"/>
          <w:rtl/>
        </w:rPr>
        <w:t xml:space="preserve">اسامی شاعرانی که شعرشان در این جنگ آمده عبارتند از: زکی همدانی، حکیم  شفایی، رکنا، مؤمن حسین، میرزا فصيح، محوی، نصیر مولوی، میرزا ابراهیم ،گوهری، شاهی، امیر خسرو، ملک قمی، عصمت، رسمی لاهیجی، هاتفی، فضولی، اقدسی ،میر شرف، طالب آملی، حاتم، مولی نصر الله ولی، امیر محمد زرگر، معنوی بغدادی ،کاسبی ،مولانا شکیبی ،احسن، خواجه حسین ثنائی، شیخ علی نقی، ابن حسام، خواجه کمال، مولانا رومی، نـاظر سمرقندی ،وحيد، نجم الدین کبری، ملا حسین واعظ کاشفـی، رکن زرگر، خواجه عصمت بخاری، قدسی مشهدی، شافعی،میر اسیری ،خاقانی ،کاتبی، نظام استر آبادی، خواجه سلمان، طفیلی، ضیای دسپولی، عبدالواسع جبلی، سیف اسفرنک، میر حضوری، قياس، شاه طاهر دکنی ،مسیحی، حکیم آذری ،شرف، عبدی گنابادی، شرفی ساوجی، میر هاشمی، خواجه حسن دهلوی ،غضنفر، امام فخر رازی، بابا فغانی، منوچهر شصت کله، غزالی مشهدی ،کشوری، ولی دشت بیاضی، عمیدالملک شمس الدین، عثمان مختاری، جمال الدین  خطیب، خواجه مجیر، خلیل ، ده نامه ابن عماد ،تقی، اسیری ،بزمی، قندی سمرقندی، قصیده شیخ نظام، رودکی، حکیم بو علی، منظومه هدایت آب حیات، ساقی نامه قدسی، محمد یوسف جرپادقانی، خواجه غیاث نقشبندی، حشـری تبریزی ،مشکی، اثیر الدین ،آصفی ،مهستی، همایون پادشاه نعیمی، ملیح طوسی، بیرام خان، گنج العارفین ،ماهانی رباعیات فردوسی، ابن یمین؛ خط: نستعليق، كا: حاج محمد سندی، بی تا؛ جـلد: تیماج ،مشکی ،ضربی ترنج با سر، مجدول گرهی، ۲۲۴گ،12 سطر (چلیپایی)،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۳۸ - ۱۳۵]</w:t>
      </w:r>
    </w:p>
    <w:p>
      <w:pPr>
        <w:pStyle w:val="BookText"/>
      </w:pPr>
      <w:r>
        <w:rPr>
          <w:rFonts w:ascii="IRNazanin" w:hAnsi="IRNazanin" w:eastAsia="IRNazanin" w:cs="IRNazanin"/>
          <w:lang w:bidi="fa-IR"/>
          <w:color w:val="111111"/>
          <w:sz w:val="28"/>
          <w:szCs w:val="28"/>
          <w:rtl/>
        </w:rPr>
        <w:t xml:space="preserve">۱۸۰۸. تهران؛ مجلس؛ شماره نسخه: ۱۴۱۷۸</w:t>
      </w:r>
    </w:p>
    <w:p>
      <w:pPr>
        <w:pStyle w:val="BookText"/>
      </w:pPr>
      <w:r>
        <w:rPr>
          <w:rFonts w:ascii="IRNazanin" w:hAnsi="IRNazanin" w:eastAsia="IRNazanin" w:cs="IRNazanin"/>
          <w:lang w:bidi="fa-IR"/>
          <w:color w:val="111111"/>
          <w:sz w:val="28"/>
          <w:szCs w:val="28"/>
          <w:rtl/>
        </w:rPr>
        <w:t xml:space="preserve">جنگ اشعاری است از شاعران مختلف در آغاز این جنگ شـش برگ به خط نونویس اضافه شده شامل این مطلب :الف: قصیده از سعدی (ار-۴ ر)، ب: قصیده دشت ارجن در وصـف امیرالمؤمنین گویا از جامی (۵ر-۶پ) مطالب موجود در این جنگ عبارت اند از: اشعاری از جامی، سعدی، و شعرای دیگر (۱ر-۳۴ر) ترجیع بند سید علی مشتاق (۳۴پ-۳۹پ)، قصیده مربع در شکایت از فراق یار، اشعاری از مشتاق، میرزا جعفر غیرت، عبدالواسع جامی (۴۷پ-۱۶۴ر) دیوان ابن یمین(مقطعات) (۷۵پ-۶۴ر)، قطعه ای از میرزا ابراهیم ادهم (۷۵پ)، حکایت های منظوم سعدی شیرازی (۱۲۸ پ -۱۵۲پ)؛ خط: شکسته نستعلیق چلیپا،بی کا، بی تا؛ مجدول؛ جلد: تیماج قهوه ای، سطور چلیپایی، قطع: بیاضی، اندازه: ۱۱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۲۰سم [ف: ۳۸ - ۲۲۲]</w:t>
      </w:r>
    </w:p>
    <w:p>
      <w:pPr>
        <w:pStyle w:val="BookText"/>
      </w:pPr>
      <w:r>
        <w:rPr>
          <w:rFonts w:ascii="IRNazanin" w:hAnsi="IRNazanin" w:eastAsia="IRNazanin" w:cs="IRNazanin"/>
          <w:lang w:bidi="fa-IR"/>
          <w:color w:val="111111"/>
          <w:sz w:val="28"/>
          <w:szCs w:val="28"/>
          <w:rtl/>
        </w:rPr>
        <w:t xml:space="preserve">۱۸۰۹. تهران؛ مجلس؛ شماره نسخه: ۱۴۲۵۳</w:t>
      </w:r>
    </w:p>
    <w:p>
      <w:pPr>
        <w:pStyle w:val="BookText"/>
      </w:pPr>
      <w:r>
        <w:rPr>
          <w:rFonts w:ascii="IRNazanin" w:hAnsi="IRNazanin" w:eastAsia="IRNazanin" w:cs="IRNazanin"/>
          <w:lang w:bidi="fa-IR"/>
          <w:color w:val="111111"/>
          <w:sz w:val="28"/>
          <w:szCs w:val="28"/>
          <w:rtl/>
        </w:rPr>
        <w:t xml:space="preserve">شامل: حکایت شبلی و آن دو عاشق و معشوق (۶پ-8ر) ،سامی، حکایت های منظوم از عطار نیشابوری (۲۲پ-۴۴پ)، عاشق و معشوق (۴۴پ-۵۰ر) ۷- ناز و نیاز (۵۰ پ-۹۵ پ) اشعاری از: نشاط، سعدی ،سالک ،جامی حافظ، طبیب، شاکر، ،مجرم ،جمال ،رفیق ،غمین ،کامل ،حریف، طوفان، محمود، نساج ،هجری ،سرافراز رباعیات بابا طاهر (۹۵ر - ۱۵۲پ)، چند قطعه به نثر و نظم با عنوان فراق نامه و مهرنامه (۱۵۴پ-۱۵۵ر)، حکایت منظوم از شعله (۱۵۸ر - ۱۷۰ر)حکایت دختر پیر زال به نظم (۱۷۰ پ-۱۷۱پ)، زشت و زیبا (دو غزل) (۱۷۱پ)، دو غزل در مطایبه (۱۷۱ پ -۱۷۲پ) ترکیب بند مسمی به مجموعه حسن و عشق، مراسلات نظم و نثر، چند فراق نامه (۱۷۲پ-۱۷۸پ)، قاصد صبا (۱۸۰ر-۱۸۱پ)  آغاز: «رسان ای پیک مهجوران مشتاق *** سلام من به آن خورشید آفاق»، سراپا (۱۸۴پ-۱۸۵ر)، قطعاتی به نظم از شعرای مختلف (۱۹۵پ-۲۰۲پ)؛ خط: نستعلیق، بی کا، بی تا؛ مجدول، محرر؛ جلد: تیماج، مشکی، ۲۰۲گ، ۱۴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۳۱سم [ف: ۳۸ - ۳۶۵]</w:t>
      </w:r>
    </w:p>
    <w:p>
      <w:pPr>
        <w:pStyle w:val="BookText"/>
      </w:pPr>
      <w:r>
        <w:rPr>
          <w:rFonts w:ascii="IRNazanin" w:hAnsi="IRNazanin" w:eastAsia="IRNazanin" w:cs="IRNazanin"/>
          <w:lang w:bidi="fa-IR"/>
          <w:color w:val="111111"/>
          <w:sz w:val="28"/>
          <w:szCs w:val="28"/>
          <w:rtl/>
        </w:rPr>
        <w:t xml:space="preserve">۱۸۱۰. تهران؛ مجلس؛ شماره نسخه: ۱۳۹۳۶</w:t>
      </w:r>
    </w:p>
    <w:p>
      <w:pPr>
        <w:pStyle w:val="BookText"/>
      </w:pPr>
      <w:r>
        <w:rPr>
          <w:rFonts w:ascii="IRNazanin" w:hAnsi="IRNazanin" w:eastAsia="IRNazanin" w:cs="IRNazanin"/>
          <w:lang w:bidi="fa-IR"/>
          <w:color w:val="111111"/>
          <w:sz w:val="28"/>
          <w:szCs w:val="28"/>
          <w:rtl/>
        </w:rPr>
        <w:t xml:space="preserve">آغاز: ماه فروماند از جمال محمد*** سرو نروید باعتدال محمد؛ انجام: گر شعر من و حسن تو از سینه بخوانند *** بر معجز غیبی نبود دست قضا را</w:t>
      </w:r>
    </w:p>
    <w:p>
      <w:pPr>
        <w:pStyle w:val="BookText"/>
      </w:pPr>
      <w:r>
        <w:rPr>
          <w:rFonts w:ascii="IRNazanin" w:hAnsi="IRNazanin" w:eastAsia="IRNazanin" w:cs="IRNazanin"/>
          <w:lang w:bidi="fa-IR"/>
          <w:color w:val="111111"/>
          <w:sz w:val="28"/>
          <w:szCs w:val="28"/>
          <w:rtl/>
        </w:rPr>
        <w:t xml:space="preserve">جنگی است شامل غزلیات و رباعیات جمع آوریشده از اشعار شاعران و اغلب از اشعار سعدی، نام شاعرانی که شعرشان در این جنگ آمده چنین است: سعدی، حافظ، جامی، اختر، شوریده (حوادث سیاسی و هجویات) ،خیام ،چاکر، ساکت، ابن حسام؛ خط: شکسته نستعلیق چلیپا، بی کا، بی تا؛ جلد: گالینگور دورو، قهوه ای ضربی ترنج  مجدول، ۲۰۹گ، سطور چلیپایی، اندازه: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۱۷/۵سم [ف: ۳۷ - ۵۲۶]</w:t>
      </w:r>
    </w:p>
    <w:p>
      <w:pPr>
        <w:pStyle w:val="BookText"/>
      </w:pPr>
      <w:r>
        <w:rPr>
          <w:rFonts w:ascii="IRNazanin" w:hAnsi="IRNazanin" w:eastAsia="IRNazanin" w:cs="IRNazanin"/>
          <w:lang w:bidi="fa-IR"/>
          <w:color w:val="111111"/>
          <w:sz w:val="28"/>
          <w:szCs w:val="28"/>
          <w:rtl/>
        </w:rPr>
        <w:t xml:space="preserve">۱۸۱۱. تهران؛ مجلس؛ شماره نسخه: ۴۲۴/۳-طباطبائی</w:t>
      </w:r>
    </w:p>
    <w:p>
      <w:pPr>
        <w:pStyle w:val="BookText"/>
      </w:pPr>
      <w:r>
        <w:rPr>
          <w:rFonts w:ascii="IRNazanin" w:hAnsi="IRNazanin" w:eastAsia="IRNazanin" w:cs="IRNazanin"/>
          <w:lang w:bidi="fa-IR"/>
          <w:color w:val="111111"/>
          <w:sz w:val="28"/>
          <w:szCs w:val="28"/>
          <w:rtl/>
        </w:rPr>
        <w:t xml:space="preserve">اشعاری از: غزلیاتی با تخلص طرزی (۷۷-۷۶) رباعیاتی از اوحدی (۷۸) اشعاری از جامی (۷۹)، از حکیم فرخی (۸۰-۸۸)، از حمیدی همدانی (۱۰۱) غزلیاتی از حافظ (۱۰۲) بندی با این عنوان: متفرقات شعرایی که اشعار ایشان را کمتر از پنج شعر نوشته بودند در بیاض اصل شاه اسماعیل افضل الدین کرمانی، ابو العلاء گنجه، ابو المويد بخاری، ابو جعفر ،اسکافی، ابو شکور
</w:t>
      </w:r>
    </w:p>
    <w:p>
      <w:pPr>
        <w:sectPr>
          <w:footerReference w:type="default" r:id="rId9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بلخی، ابن همگر، ابو حنیفه اسکافی ،افضل الدین کاشی، عـماد اكرم، نجيب الدین اتابک خولی ،امامی یزدی، قاضی اسیری رازی، میر اسیری رازی، قاضی معین الدین، محمد امین کوسه، خلیفه اسدالله اصفهانی، میر ابوالبقاء  تفریشی، ايوب ابو البركة،میر ابو الفتح جنابذی، سید اشرف، اسماعیل بیگ انسی، اختری گونابادی، میرزا اصغر رضوی، میرزا احمد قزوینی، ابراهیم حسین نصیری، ادهم پسر محمد ترکمان ،اصدق، احمد میرک صرفی، اسیری قاینی ،افلاکی، انصاری قمی، امینیای نجفی، احمد خان بیگ کابلی، آدمی سمرقندی، ملا انور همدانی، اسلام بلخی، خواجه ابو القاسم خوارزمی، آصف قمی، اختراعی هند و میرزا اكبر والد میرزا نصیر ضابطه، ملا فضل بافقی، امینیای دقاق، ابدال اصفهانی، بهاء الدین زنجانی، بهاء قزوینی، بابا طاهر، بیاض استر آبادی، بدیع ترکو سنجر (ی)، از بهمن نامه، بهاء الدین بغدادی، برهان الدین اردلانی، مولانا بهاری اصفهانی، بکتاش بیک ترکمان، میر برهان ابرقوهی، بنایی استرآبادی، محمد باقر تبریزی، بیکسی سبزواری ،پیر دهقان، یپرام خان، شیخ بهاء الدین عاملی، بیخودی فراهی که به اسم خواری نیز نوشته، میرزا بدیع سبزواری، باعث همدانی، میر بدیعی تونی، بابا علیشاه احبه، بابا طالب اصفهانی، پناهی دارا بجری، ثابت کاشی، حسین ثنایی، حکیم پیر جمال اردستانی، سید جلال، میرزا مقیم جواهری، حاجی جعفر خان تبریزی، سید علی جلالی، ملا علی جاوید مازندرانی، ملا جربوع (؟) شوشتری، جهانگیر نیک، میرزا جلال اردستانی، میرزا جعفر وزیر یزد، حارثی مروزی، حسن بن کمال مروزی، حکیم حنظله باد غیسی، حسين بن على الاصم الكاتب، ملا حلمی، میر حسینی سادات، حاتم همدانی، حسام نیشابوری، میر حاج جنابدی، میر حسین فندرسکی، ملا حیدر دهلوی، حاجی سبزواری ،حاتمی هروی، حاجی بیک  قزوینی، ملا حیرتی قزوینی، حجابی جر پادقانی، خامدی بهبهانی، خواجه حسین رومی، ملا حيدر طهماسبی، ملا حیدر تبریزی، حکمت قمـی، حاجی حسینخان الفت، حیاتی کاشی، حسین اصفهانی، ملا حیـران یزدی، حقیری، حیدر کلبچه «خ »خالدی هروی، خراسان خان مازندرانی، خان میرزای صفری، خضر خوانساری، میر خسـرو قاینی، سید محمد خیر،خلیل بیک گیلانی، امینای خازن(در اصفهان) خواجه کلان (در اصفهان)، ملا خواجه علی (در مشهد دیده شده )«د» داعی ولد ضمیری، ملا درویش هروی؛ «ر» میـرزا رفیع  دستوری، شاه رضا دو ری طهرانی، درونی، شاه داعی شیرازی «ذ» ذوقی تونی (محمدامین)، ذهنی نقاش، ذخایری، سيف الدين محمود رجایی، رضای جر پادقانی، رفیع الدین ابهری، رای منوهر، روشنی همدانی، شاه رضای نورخش، رونـقی مشهدی، راغب تبریزی، قاضی محمد رازی، رونقی همدانی، میرزا رحیم تبریزی، راضی تبریزی ،شیخ رماهی (؟) (ز) زکی کاشغری، زین الدین سنجری، محمد قاسم زاری، اصفهانی، میر زمانی، زایرای طهرانی، زلالی هروی، (س) سیف الدین باخرزی،  سيف اسفرنک، استاد سدید الدین، ساحری گونابادی،سلیمی قلندر، سعد بها، سعیدای نقشبندی، میرنجم سهیلی( از تذکره)، حسین بیک سراجی، سراجی بلخی، سلطان اتسز، خواجه سلطان محمد قمی، ملک سعید خلخالی، صالحای ستار، (در اینجا افتادگی دارد) ،منوچهری ،کلیم ،صائب، سید حسین اشرفی، ،عطار، شیخ فیضی، نظامی، رشید وطواط (۱۹۳-۱۱۹)؛ بی کا، بی تا؛ کاغذ: اصفهانی و فرنگی ،جلد: تیماج قرمز، ۲۳گ (38- 61 ر)، قطع: رقعی، اندازه: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 ۲۲ - ۱۰۷]</w:t>
      </w:r>
    </w:p>
    <w:p>
      <w:pPr>
        <w:pStyle w:val="BookText"/>
      </w:pPr>
      <w:r>
        <w:rPr>
          <w:rFonts w:ascii="IRNazanin" w:hAnsi="IRNazanin" w:eastAsia="IRNazanin" w:cs="IRNazanin"/>
          <w:lang w:bidi="fa-IR"/>
          <w:color w:val="111111"/>
          <w:sz w:val="28"/>
          <w:szCs w:val="28"/>
          <w:rtl/>
        </w:rPr>
        <w:t xml:space="preserve">۱۸۱۲. تهران؛ مجلس؛ شماره نسخه: ۷۷۰/۲۷- طباطبائی</w:t>
      </w:r>
    </w:p>
    <w:p>
      <w:pPr>
        <w:pStyle w:val="BookText"/>
      </w:pPr>
      <w:r>
        <w:rPr>
          <w:rFonts w:ascii="IRNazanin" w:hAnsi="IRNazanin" w:eastAsia="IRNazanin" w:cs="IRNazanin"/>
          <w:lang w:bidi="fa-IR"/>
          <w:color w:val="111111"/>
          <w:sz w:val="28"/>
          <w:szCs w:val="28"/>
          <w:rtl/>
        </w:rPr>
        <w:t xml:space="preserve">آغاز: هر آن دل کاندر او اندوه نبود *** چو کلخن آتشی پر دود نبود؛ انجام: لبعض الشعراء. شکر که این نامه به عنوان رسید *** پیشتر از عمر به پایان رسید</w:t>
      </w:r>
    </w:p>
    <w:p>
      <w:pPr>
        <w:pStyle w:val="BookText"/>
      </w:pPr>
      <w:r>
        <w:rPr>
          <w:rFonts w:ascii="IRNazanin" w:hAnsi="IRNazanin" w:eastAsia="IRNazanin" w:cs="IRNazanin"/>
          <w:lang w:bidi="fa-IR"/>
          <w:color w:val="111111"/>
          <w:sz w:val="28"/>
          <w:szCs w:val="28"/>
          <w:rtl/>
        </w:rPr>
        <w:t xml:space="preserve">اشعاری از: انوری ،بهجت ،ثنائی، میرزا رفیعا، امیر حسینی سادات و ساقی نامه اشعار عربی از زهیر و دیگران؛ بی کا،بی تا؛ کاغذ: فرنگی سفید آهار مهره، جلد: تیماج مشکی رنگ، ۳۵ص (۶۲- ۹۷)،۲۷-۲۰-۱۹سطر، قطع: رقعی،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 ۲۳ - ۶۶]</w:t>
      </w:r>
    </w:p>
    <w:p>
      <w:pPr>
        <w:pStyle w:val="BookText"/>
      </w:pPr>
      <w:r>
        <w:rPr>
          <w:rFonts w:ascii="IRNazanin" w:hAnsi="IRNazanin" w:eastAsia="IRNazanin" w:cs="IRNazanin"/>
          <w:lang w:bidi="fa-IR"/>
          <w:color w:val="111111"/>
          <w:sz w:val="28"/>
          <w:szCs w:val="28"/>
          <w:rtl/>
        </w:rPr>
        <w:t xml:space="preserve">۱۸۱۳. تهران؛ مجلس؛ شماره نسخه: ۱۱۱/۱-طباطبائی</w:t>
      </w:r>
    </w:p>
    <w:p>
      <w:pPr>
        <w:pStyle w:val="BookText"/>
      </w:pPr>
      <w:r>
        <w:rPr>
          <w:rFonts w:ascii="IRNazanin" w:hAnsi="IRNazanin" w:eastAsia="IRNazanin" w:cs="IRNazanin"/>
          <w:lang w:bidi="fa-IR"/>
          <w:color w:val="111111"/>
          <w:sz w:val="28"/>
          <w:szCs w:val="28"/>
          <w:rtl/>
        </w:rPr>
        <w:t xml:space="preserve">آغاز: قطعه عزیزی در وصف گناباد فرموده: ای خوشا سرزمین قصبه جنابذ که تا در ارکان اربعه اقالیم سبعه عالم كون و فساد بسائط عناصر هيئت تکاسر پذیرفته به این استقامت صورت نبسته آبش از عزیزی آب حیوان؛ انجام: ما احسن هذه الارض و ما احسن كنيها بلدة طيبه و رب غفور</w:t>
      </w:r>
    </w:p>
    <w:p>
      <w:pPr>
        <w:pStyle w:val="BookText"/>
      </w:pPr>
      <w:r>
        <w:rPr>
          <w:rFonts w:ascii="IRNazanin" w:hAnsi="IRNazanin" w:eastAsia="IRNazanin" w:cs="IRNazanin"/>
          <w:lang w:bidi="fa-IR"/>
          <w:color w:val="111111"/>
          <w:sz w:val="28"/>
          <w:szCs w:val="28"/>
          <w:rtl/>
        </w:rPr>
        <w:t xml:space="preserve">بخش نخستین این مجموعه اشعاری است غالباً از شاعران قرن ۱۱ و اوائل ۱۲ با قلم های مختلف عرفان متطبب: و جد او (گرد آورندگان (جنگ). اینک نام شاعران: کلیم و صائب (این اشعار درصفحه اول مجموعه به خط شکسته نستعلیق استادانه نصیر بن خداویردی اردبیلی است با تاریخ ۱۰۹۸)، ظهیر فاریابی، سید علی خوارزمی (قصیده ای است بلند از او در مدح امیرالمؤمنين على (علیه السّلام))، حافظ، طبیب، عطائی (قطعه ای است به خط او)، وحشی، (بخشی از خلد برین اوست به قلم نستعلیق)، عامی بروجردی (چند قصیده از او در مدح حضرت علی (علیه السّلام) و قصیده «بابای غریب» در مدح امام على الرضا (علیه السّلام) ، فائض، ميرزا ارشد، شوکتا، انوری، محوی، میرزا محمد کاظم موسوی، کاظمی مشهدی، ظهیر شیرازی، (قسمتی از قصیده او، در مدح آصف که بیت آخر آن ماده تاریخ انتصاب اوست به این منصب به سال ۱۰۹۸)؛ در چند برگ بعد (ص ۲۹) آمده است فائض هروی هداه الله (قصیده ای است از او در منقبت با التزام «از سنگ» در آخر هر بیت)، قطعه ای در مدح میرزا محمد اخلف میرزا هاشما و ماده تاریخ انتصاب او به وزارت هرات (در ۱۰۹۸ ) گویا از همان ظهیر شیرازی، نظیری (قطعه ای است از شاعری که در بیت پایان از خویشتن چنین یاد می کند: آخر ترحمی کن بر زاری نظیری *** شهرت شفای دلها مهرت طبیب حاذق)، میرزا تقی دولت آبادی (با همان نستعلیق استادانه صفحه نخست)، عرفان گنابادی (که این دفتر را
</w:t>
      </w:r>
    </w:p>
    <w:p>
      <w:pPr>
        <w:sectPr>
          <w:footerReference w:type="default" r:id="rId9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جد خویشتن به ارث برده و نیز به خط نستعلیق آمیخته به شکسته چیزهایی از خویش و دیگران بر آن افزوده)، و در ایـنجا (ص ۳۸- ۳۹) قطعه ای در تاریخ در گذشت پدرش کتاب الله و نیز قطعه ای در تاریخ فوت حاج شرف الدین (هر دو به سال 1097) آورده، و در ذیل قطعه تاریخ فوت پدر می گوید «در  اول پنج شنبه ۶ شهر ذى الحجه ... ۱۰۹۷ فجأة داغ مفارقت بر دل اهل مصیبت گذاشت و در  ۱۵ محرم این خبر جانسوز به گوش غریبان به اصفهان رسیده و این تاریخ گفته شد و ۳ شهر ذى الحجه خـانه اخوى ام ملا معروفا فوت شد ...»)، در آغاز قطعه اول آمـده: «تاريخ وفات والد ... كتاب الله طاب ثراه لمحرره عرفان»، و عنوان قطعه دوم چنین است: «تاریخ وفات مرحوم حاج شرف الدین لمحرره عرفان الجنابذی»، و در ذیل این قطعه آمده: «بعد از ساختن آب انبار در بیکند درگذشت»، سید علی مهری عاملی(دو غزل ملمع مرکب از عربی و فارسی)، در ذیل اشعار مهـری چنین نوشته: «اشعار سید علی متخلص به مهری است و وجه تخلص این که بر مهر علی بیک مشهور عاشق شده بود»، انوری، بیخودی (مثنوی است که در عنوان آن آمده: من اقوال جدی بیخودی رحمه الله تعالی)، میر صیدی، طالب آملی، محمد قـلی سلیم، میرزا باقر وزیر قورچی، میرزا طاهر و نصر آبادی (این اشعار اخیر نیز در ص ۴۶-۴۷ به خط استادانه شکسته نستعـلیق نصیر بن خداویردی اردبیلی با رقم او و تاریخ ۱۰۹۸) ، مولانا جـانی گنابادی (قصیده ای است در مذمت ده)، کرامی (دو قطعه است به خط نستعلیق خود او با این عنوان: «المحرره کرامی به مطالعه نواب سیاست و نجابت دستگاه میرزائی صاحبی معز الانامی خواهد رسید»، میرزا طاهر وحید (از او دو قطعه است درباره بناء بقعه آقا امان وزیر «نواب علیه والده نواب کامیاب اشرف ارفع»، و یکی آن دو قطعه ماده تاریخ بناء را (به سال ۱۰۹۳) دارد و در عنوان آن چنین آمده است که: «بر کتیبه مسجد و ایوانهای مدرسه نقـش است» بنابراین میرزا طاهر وحید آقا امان را به مناسبت بناء مدرسه ای مدح گفته است و از برخی از این اشعار استفاده می شـود وزارت آقا امان در زما ن شاه سلیمان بوده است)، در صفحه ۴۳ قطعه ادبی است به نثر متکلفانه در وصف گناباد؛ بی کا، بی تا؛کاغذ: اصفهانی، جلد: تیماج قرمز، ۲۶گ (1- 26ر)، قطع: رقعی،اندازه: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۲۲ - ۲۴]</w:t>
      </w:r>
    </w:p>
    <w:p>
      <w:pPr>
        <w:pStyle w:val="BookText"/>
      </w:pPr>
      <w:r>
        <w:rPr>
          <w:rFonts w:ascii="IRNazanin" w:hAnsi="IRNazanin" w:eastAsia="IRNazanin" w:cs="IRNazanin"/>
          <w:lang w:bidi="fa-IR"/>
          <w:color w:val="111111"/>
          <w:sz w:val="28"/>
          <w:szCs w:val="28"/>
          <w:rtl/>
        </w:rPr>
        <w:t xml:space="preserve">۱۸۱۴. تهران؛ مجلس؛ شماره نسخه: ۱۴۱۴۹/۸</w:t>
      </w:r>
    </w:p>
    <w:p>
      <w:pPr>
        <w:pStyle w:val="BookText"/>
      </w:pPr>
      <w:r>
        <w:rPr>
          <w:rFonts w:ascii="IRNazanin" w:hAnsi="IRNazanin" w:eastAsia="IRNazanin" w:cs="IRNazanin"/>
          <w:lang w:bidi="fa-IR"/>
          <w:color w:val="111111"/>
          <w:sz w:val="28"/>
          <w:szCs w:val="28"/>
          <w:rtl/>
        </w:rPr>
        <w:t xml:space="preserve">شامل اشعاری از میرزا شرف جهان، میرزا مخدوم ،شیخ بهایی، خواجه افضل ترکه، میر شمس الدین محمد، پادشاه عالم شاه عباس، محمد میرک صالحی، میر علی اکبر مشهدی، شـ یخ ابوالفیضی، میر معصوم خان، حکیم ركن الدين، خواجه غيـاث نقشبند، میرزا عرب مقلد، محمد هاشم، مولانا کامی، مولانا محـمد شرفی، احمد بیک شرف، طهماسب قلی بیک، میرزا صفر، قاسم بیک قمی، خان میرزا سلطان محمود خان، علیخان میرزا، محـمد موسی بیک، مراد بیک، محمد صالح میرزا ترکی، میرزا نظام الملک، امیر نورالله شوشتری، میر حضوری، عباس بیک، محمد بیک خلیفه ،میر صفی، میر سدید رازی،میر ابوتراب علوی، میر محمد مؤمن استر آبادی، میر اشکی، میر والهی قمی، قاضی اسیری رازی ،سید محمد نجفی، میر منهی، میر جزمی، میر ابو تراب محروم رازی، میر بزمی همدانی، میرزا صادق، مولانا میر علی، میر مغیث، میر ابراهیم، میرزا خلیل، میر معز الدین، میر سید علی منصور، میر جعفری، میر یعقوبی خیاط، میر فریبی، میر امینی، فضولی، میر تشبیهی، میر صدرالدین محمد، میر نجدی، میرزا قلی ميلی، يوسف قلی بیک شاملو، قاسم بیک حالتی، حسن بیک شكراد على، مولانا شافی، امام فخر رازی، میر خسرو، نرگسی، فسونی، امیر خان بیک، مقصود علی بیک شکیبی، مشربی تکلو، میرزا محمد ایواعلی، لسانی، میر قلی بیک، امیر بیک، ضمیری، غزالی مشهدى، وحشی مینوی، شریف تبریزی، محتشم، خواجه حسین ثنایی، ولی دشت بیاضی، قاضی نور، نثاری ،صبری، میرزا حسابی نظیری، مولانا شجاع، شيخ على نقى كمره، اختر تونی، مولانا طوفی،محمد قاسم زاری، حیدر کلیچ، مولانا هلاکی همدانی، قاضی احمد فکاری، فکری اردوبادی، ملکی سرکانی ،مولانا ،نیکی، سایل عدانی، عبدی جنابذی، یمینی سمنانی، مولانا شرف الدين على، مولانا خانم کاشی ،مولانا ملک قمی، مولانا کمال سبزواری، مولانا وقوعی، غازی قلندر، مالک دیلمی، ظهوری شیرازی، غضنفر کله خاری، زکی همدانی، نذری کاشی ،مولانا سروری، خواجه نصیر، مولانا خرمنی، سیری استرآبادی، قالعی دماوندی، غباری، شراری همدانی، زلالی گیلانی، ذوقی، مردمی کاشی، میرزا محمد امین، مولانا وجهی، حریفی ساوجی، مولانا ظریفی، رضای کاشی، عارضی قمی، حامدی، مجدی، ابو العرفاء قلندر، نازکی نهاوندی، قاضی دانی، جسمی همدانی، مظفر رنگرز، مولانا شهودی، غفرانی؛ خط: شکسته نستعلیق، بی کا، بی تا؛ جلد: تیماج، قهوه ای ،ضربی، ترنج با سر لچکی مجدول ،گرهی ۱۹گ (۱۶۶ر-۱۸۵پ)، مختلف السطر و  چلیپایی،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۲۴سم [ف: ۳۸ - ۱۹۰]</w:t>
      </w:r>
    </w:p>
    <w:p>
      <w:pPr>
        <w:pStyle w:val="BookText"/>
      </w:pPr>
      <w:r>
        <w:rPr>
          <w:rFonts w:ascii="IRNazanin" w:hAnsi="IRNazanin" w:eastAsia="IRNazanin" w:cs="IRNazanin"/>
          <w:lang w:bidi="fa-IR"/>
          <w:color w:val="111111"/>
          <w:sz w:val="28"/>
          <w:szCs w:val="28"/>
          <w:rtl/>
        </w:rPr>
        <w:t xml:space="preserve">۱۸۱۵. تهران؛ مجلس؛ شماره نسخه: ۱۷۷۴۳</w:t>
      </w:r>
    </w:p>
    <w:p>
      <w:pPr>
        <w:pStyle w:val="BookText"/>
      </w:pPr>
      <w:r>
        <w:rPr>
          <w:rFonts w:ascii="IRNazanin" w:hAnsi="IRNazanin" w:eastAsia="IRNazanin" w:cs="IRNazanin"/>
          <w:lang w:bidi="fa-IR"/>
          <w:color w:val="111111"/>
          <w:sz w:val="28"/>
          <w:szCs w:val="28"/>
          <w:rtl/>
        </w:rPr>
        <w:t xml:space="preserve">اشعاری از جمله: حیرانی ،عیشی ،عاطفی، میرکی، طایری، نویدی و غیره؛ بی کا، بی تا [د.ث. مجلس]</w:t>
      </w:r>
    </w:p>
    <w:p>
      <w:pPr>
        <w:pStyle w:val="BookText"/>
      </w:pPr>
      <w:r>
        <w:rPr>
          <w:rFonts w:ascii="IRNazanin" w:hAnsi="IRNazanin" w:eastAsia="IRNazanin" w:cs="IRNazanin"/>
          <w:lang w:bidi="fa-IR"/>
          <w:color w:val="111111"/>
          <w:sz w:val="28"/>
          <w:szCs w:val="28"/>
          <w:rtl/>
        </w:rPr>
        <w:t xml:space="preserve">۱۸۱۶. تهران؛ مجلس؛ شماره نسخه: ۷۷۰/۱۷-طباطبائی</w:t>
      </w:r>
    </w:p>
    <w:p>
      <w:pPr>
        <w:pStyle w:val="BookText"/>
      </w:pPr>
      <w:r>
        <w:rPr>
          <w:rFonts w:ascii="IRNazanin" w:hAnsi="IRNazanin" w:eastAsia="IRNazanin" w:cs="IRNazanin"/>
          <w:lang w:bidi="fa-IR"/>
          <w:color w:val="111111"/>
          <w:sz w:val="28"/>
          <w:szCs w:val="28"/>
          <w:rtl/>
        </w:rPr>
        <w:t xml:space="preserve">در این بخش اشعاری است از: رفیق ،سعدی، میرزا شرف، میر معصوم ،مولوی، شیخ بهائی، میرزا طوفان (یک مثنوی از طوفان است که در پایان آن این بیت مولوی آمده: شرح این هجران و این خون جگر *** این زمان بگذار تا وقت دگر)، صائب، ترمذی، ضياء الدين ،فکری ،صادقی ،شفائی ،قاضی، هاتف، ساقی نامه (که نام گوینده آن نیامده، با این مطلع: یکی مشت زن بخت و روزی نداشت *** نه اسباب شامش مهیا نه چاشت) ، ثنائی ،فصیحی استاد عطاء الله، بابا طاهری (كذا)، فردوسی، کاظم، جامی، انوری (در مدح جناب اسدالله الغالب)، شیخ(= سعدی)،
</w:t>
      </w:r>
    </w:p>
    <w:p>
      <w:pPr>
        <w:sectPr>
          <w:footerReference w:type="default" r:id="rId9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حافظ، نشاط، مشتاق و سلمان ساوجی؛ بی کا، بی تا ؛کاغذ: فرنگی سفید آهار مهره ،جلد: تیماج مشکی، ۲۰ ص (۶۶-۸۵) ، ۱۹- 20، ۲۷ سطر، قطع: رقعی،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 ۲۳ - ۶۳]</w:t>
      </w:r>
    </w:p>
    <w:p>
      <w:pPr>
        <w:pStyle w:val="BookText"/>
      </w:pPr>
      <w:r>
        <w:rPr>
          <w:rFonts w:ascii="IRNazanin" w:hAnsi="IRNazanin" w:eastAsia="IRNazanin" w:cs="IRNazanin"/>
          <w:lang w:bidi="fa-IR"/>
          <w:color w:val="111111"/>
          <w:sz w:val="28"/>
          <w:szCs w:val="28"/>
          <w:rtl/>
        </w:rPr>
        <w:t xml:space="preserve">۱۸۱۷. تهران؛ مجلس؛ شماره نسخه: ۱۷۸۳۳</w:t>
      </w:r>
    </w:p>
    <w:p>
      <w:pPr>
        <w:pStyle w:val="BookText"/>
      </w:pPr>
      <w:r>
        <w:rPr>
          <w:rFonts w:ascii="IRNazanin" w:hAnsi="IRNazanin" w:eastAsia="IRNazanin" w:cs="IRNazanin"/>
          <w:lang w:bidi="fa-IR"/>
          <w:color w:val="111111"/>
          <w:sz w:val="28"/>
          <w:szCs w:val="28"/>
          <w:rtl/>
        </w:rPr>
        <w:t xml:space="preserve">اشعاری از جمله از کلیم ،محتشم، منصف، مهری، وحدت، سرشار، رضا ساعی ،ربیع ،ابدال، طوفان، غمگین، پیامی و غیـره؛ بی کا، بی تا [د.ث. مجلس ]</w:t>
      </w:r>
    </w:p>
    <w:p>
      <w:pPr>
        <w:pStyle w:val="BookText"/>
      </w:pPr>
      <w:r>
        <w:rPr>
          <w:rFonts w:ascii="IRNazanin" w:hAnsi="IRNazanin" w:eastAsia="IRNazanin" w:cs="IRNazanin"/>
          <w:lang w:bidi="fa-IR"/>
          <w:color w:val="111111"/>
          <w:sz w:val="28"/>
          <w:szCs w:val="28"/>
          <w:rtl/>
        </w:rPr>
        <w:t xml:space="preserve">۱۸۱۸. تهران؛ مجلس؛ شماره نسخه: ۱۴۰۵۳/۱</w:t>
      </w:r>
    </w:p>
    <w:p>
      <w:pPr>
        <w:pStyle w:val="BookText"/>
      </w:pPr>
      <w:r>
        <w:rPr>
          <w:rFonts w:ascii="IRNazanin" w:hAnsi="IRNazanin" w:eastAsia="IRNazanin" w:cs="IRNazanin"/>
          <w:lang w:bidi="fa-IR"/>
          <w:color w:val="111111"/>
          <w:sz w:val="28"/>
          <w:szCs w:val="28"/>
          <w:rtl/>
        </w:rPr>
        <w:t xml:space="preserve">آغاز: خورشید وجود روبرو نیست ترا *** تا پشت بکام و آرزو نیست ترا / همچون مه چارده نه در حد کمال *** زانی که تمام رو به او نیست ترا؛ انجام: گر بر شب تیره تابیم روز شوی *** ور در دم مردن آییم سور شوی / از دیده من اگر ببینی رخ خویش*** ترسم که بحسن خویش مغرور شوی رباعیاتی است از شاعران مختلف به ترتیب حروف تهجی قوافی ؛خط: نستعلیق، بی کا، بی تا ؛کاغذ: الوان ،جلد: تیماج قهوه ای، سوخت، ترنج با سر، مجدول گرهی، ۱۳۳گ (4ر- 137پ)،اندازه: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۳۸ - ۷۵]</w:t>
      </w:r>
    </w:p>
    <w:p>
      <w:pPr>
        <w:pStyle w:val="BookText"/>
      </w:pPr>
      <w:r>
        <w:rPr>
          <w:rFonts w:ascii="IRNazanin" w:hAnsi="IRNazanin" w:eastAsia="IRNazanin" w:cs="IRNazanin"/>
          <w:lang w:bidi="fa-IR"/>
          <w:color w:val="111111"/>
          <w:sz w:val="28"/>
          <w:szCs w:val="28"/>
          <w:rtl/>
        </w:rPr>
        <w:t xml:space="preserve">۱۸۱۹. تهران؛ مجلس؛ شماره نسخه: ۱۴۹۴/۳</w:t>
      </w:r>
    </w:p>
    <w:p>
      <w:pPr>
        <w:pStyle w:val="BookText"/>
      </w:pPr>
      <w:r>
        <w:rPr>
          <w:rFonts w:ascii="IRNazanin" w:hAnsi="IRNazanin" w:eastAsia="IRNazanin" w:cs="IRNazanin"/>
          <w:lang w:bidi="fa-IR"/>
          <w:color w:val="111111"/>
          <w:sz w:val="28"/>
          <w:szCs w:val="28"/>
          <w:rtl/>
        </w:rPr>
        <w:t xml:space="preserve">خط: نستعلیق شکسته، بی کا، بی تا؛ افتادگی: آغاز و انجام؛ کاغذ: سفید، جلد: مقوایی عطف تیماج  قرمز، ۸۶ ص (۱۷۱-۲۵۶) [ف: ۲ - ۳۰۱ ]</w:t>
      </w:r>
    </w:p>
    <w:p>
      <w:pPr>
        <w:pStyle w:val="BookText"/>
      </w:pPr>
      <w:r>
        <w:rPr>
          <w:rFonts w:ascii="IRNazanin" w:hAnsi="IRNazanin" w:eastAsia="IRNazanin" w:cs="IRNazanin"/>
          <w:lang w:bidi="fa-IR"/>
          <w:color w:val="111111"/>
          <w:sz w:val="28"/>
          <w:szCs w:val="28"/>
          <w:rtl/>
        </w:rPr>
        <w:t xml:space="preserve">۱۸۲۰. تهران؛ ملی؛ شماره نسخه: ۶۸۱۲</w:t>
      </w:r>
    </w:p>
    <w:p>
      <w:pPr>
        <w:pStyle w:val="BookText"/>
      </w:pPr>
      <w:r>
        <w:rPr>
          <w:rFonts w:ascii="IRNazanin" w:hAnsi="IRNazanin" w:eastAsia="IRNazanin" w:cs="IRNazanin"/>
          <w:lang w:bidi="fa-IR"/>
          <w:color w:val="111111"/>
          <w:sz w:val="28"/>
          <w:szCs w:val="28"/>
          <w:rtl/>
        </w:rPr>
        <w:t xml:space="preserve">آغاز: ای برادر گر همی خواهی ز شمع راه فقر نشان؛ انجام:زار او خسته او کشته او زنده اوست</w:t>
      </w:r>
    </w:p>
    <w:p>
      <w:pPr>
        <w:pStyle w:val="BookText"/>
      </w:pPr>
      <w:r>
        <w:rPr>
          <w:rFonts w:ascii="IRNazanin" w:hAnsi="IRNazanin" w:eastAsia="IRNazanin" w:cs="IRNazanin"/>
          <w:lang w:bidi="fa-IR"/>
          <w:color w:val="111111"/>
          <w:sz w:val="28"/>
          <w:szCs w:val="28"/>
          <w:rtl/>
        </w:rPr>
        <w:t xml:space="preserve">مجموعه ای از اشعار است در قالب غزل و بدون قید نام شاعر؛ خط: نستعلیق ناخوانا، بی کا، بی تا؛ کاغذ: فرنگی آبی، جـلد: گالینگور زرشکی، عطف تیماج قهوه ای، اندرون جلد روکش کاغذی شکری ۱۲گ (۱پ-۱۲) ابعاد متن: ۷/۵۸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۱۰/۷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۱۷/۶سم [رایانه ]</w:t>
      </w:r>
    </w:p>
    <w:p>
      <w:pPr>
        <w:pStyle w:val="BookText"/>
      </w:pPr>
      <w:r>
        <w:rPr>
          <w:rFonts w:ascii="Times New Roman" w:hAnsi="Times New Roman" w:eastAsia="Times New Roman" w:cs="Times New Roman"/>
          <w:lang w:val="en-US" w:bidi="en-US"/>
          <w:color w:val="111111"/>
          <w:sz w:val="28"/>
          <w:szCs w:val="28"/>
          <w:rtl/>
        </w:rPr>
        <w:t xml:space="preserve">1821.</w:t>
      </w:r>
    </w:p>
    <w:p>
      <w:pPr>
        <w:pStyle w:val="BookText"/>
      </w:pPr>
      <w:r>
        <w:rPr>
          <w:rFonts w:ascii="IRNazanin" w:hAnsi="IRNazanin" w:eastAsia="IRNazanin" w:cs="IRNazanin"/>
          <w:lang w:bidi="fa-IR"/>
          <w:color w:val="111111"/>
          <w:sz w:val="28"/>
          <w:szCs w:val="28"/>
          <w:rtl/>
        </w:rPr>
        <w:t xml:space="preserve">تهران؛ ملی؛ شماره نسخه: ۶۷۵۱</w:t>
      </w:r>
    </w:p>
    <w:p>
      <w:pPr>
        <w:pStyle w:val="BookText"/>
      </w:pPr>
      <w:r>
        <w:rPr>
          <w:rFonts w:ascii="IRNazanin" w:hAnsi="IRNazanin" w:eastAsia="IRNazanin" w:cs="IRNazanin"/>
          <w:lang w:bidi="fa-IR"/>
          <w:color w:val="111111"/>
          <w:sz w:val="28"/>
          <w:szCs w:val="28"/>
          <w:rtl/>
        </w:rPr>
        <w:t xml:space="preserve">آغاز: چو جانبازان قدم نه در طریقت اگر داری سه تاج حقیقـت ؛</w:t>
      </w:r>
    </w:p>
    <w:p>
      <w:pPr>
        <w:pStyle w:val="BookText"/>
      </w:pPr>
      <w:r>
        <w:rPr>
          <w:rFonts w:ascii="IRNazanin" w:hAnsi="IRNazanin" w:eastAsia="IRNazanin" w:cs="IRNazanin"/>
          <w:lang w:bidi="fa-IR"/>
          <w:color w:val="111111"/>
          <w:sz w:val="28"/>
          <w:szCs w:val="28"/>
          <w:rtl/>
        </w:rPr>
        <w:t xml:space="preserve">انجام: چون نقش روح پرورش دای تا ... که گوش داری</w:t>
      </w:r>
    </w:p>
    <w:p>
      <w:pPr>
        <w:pStyle w:val="BookText"/>
      </w:pPr>
      <w:r>
        <w:rPr>
          <w:rFonts w:ascii="IRNazanin" w:hAnsi="IRNazanin" w:eastAsia="IRNazanin" w:cs="IRNazanin"/>
          <w:lang w:bidi="fa-IR"/>
          <w:color w:val="111111"/>
          <w:sz w:val="28"/>
          <w:szCs w:val="28"/>
          <w:rtl/>
        </w:rPr>
        <w:t xml:space="preserve">مجموعه ای است از اشعار شعرای معروف از قبیل جامی، خاقانی سعدی، امیر خسرو دهلوی و .... ؛خط: نستعليق ناخوانا،بی کا، بی تا؛ افتادگی: آغاز و انجام؛ کاغذ: فرنگی نخودی، ۵۷گ، متـغیر و به صورت چلیپا، ابعاد متن: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۲۳/۵ ، اندازه: 17</w:t>
      </w:r>
      <w:r>
        <w:rPr>
          <w:rFonts w:ascii="Times New Roman" w:hAnsi="Times New Roman" w:eastAsia="Times New Roman" w:cs="Times New Roman"/>
          <w:lang w:val="en-US" w:bidi="en-US"/>
          <w:color w:val="111111"/>
          <w:sz w:val="28"/>
          <w:szCs w:val="28"/>
          <w:rtl/>
        </w:rPr>
        <w:t xml:space="preserve">×24/7 </w:t>
      </w:r>
      <w:r>
        <w:rPr>
          <w:rFonts w:ascii="IRNazanin" w:hAnsi="IRNazanin" w:eastAsia="IRNazanin" w:cs="IRNazanin"/>
          <w:lang w:bidi="fa-IR"/>
          <w:color w:val="111111"/>
          <w:sz w:val="28"/>
          <w:szCs w:val="28"/>
          <w:rtl/>
        </w:rPr>
        <w:t xml:space="preserve">سم[ [رایانه ]</w:t>
      </w:r>
    </w:p>
    <w:p>
      <w:pPr>
        <w:pStyle w:val="BookText"/>
      </w:pPr>
      <w:r>
        <w:rPr>
          <w:rFonts w:ascii="IRNazanin" w:hAnsi="IRNazanin" w:eastAsia="IRNazanin" w:cs="IRNazanin"/>
          <w:lang w:bidi="fa-IR"/>
          <w:color w:val="111111"/>
          <w:sz w:val="28"/>
          <w:szCs w:val="28"/>
          <w:rtl/>
        </w:rPr>
        <w:t xml:space="preserve">۱۸۲۲. تهران؛ ملی؛ شماره نسخه: ۶۷۵۴</w:t>
      </w:r>
    </w:p>
    <w:p>
      <w:pPr>
        <w:pStyle w:val="BookText"/>
      </w:pPr>
      <w:r>
        <w:rPr>
          <w:rFonts w:ascii="IRNazanin" w:hAnsi="IRNazanin" w:eastAsia="IRNazanin" w:cs="IRNazanin"/>
          <w:lang w:bidi="fa-IR"/>
          <w:color w:val="111111"/>
          <w:sz w:val="28"/>
          <w:szCs w:val="28"/>
          <w:rtl/>
        </w:rPr>
        <w:t xml:space="preserve">پس از شهادت امام حسین (علیه السّلام) در کربلا قیام هایی علیه بنی امیه در گرفت که از آن جمله قیام ضریر خزاعی می باشد که در این اثر در قالب مثنوی به نظم درآمده است این مثنوی در زمان سلطان حسین صفوی سروده شده و به علت افتادگی از آغاز و انجام آن، مؤلف و عنوان آن به دست نیامد؛ خط: نستعلیق، بی کا، بی  تا؛افتادگی: آغاز و انجام؛ کاغذ: فرنگی نخودی، ۲۹۹گ (۱۱-  ۳۱۰ پ)، ۱۴ سطر ،(۷/۵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۱۷/۵سم [رایانه]</w:t>
      </w:r>
    </w:p>
    <w:p>
      <w:pPr>
        <w:pStyle w:val="BookText"/>
      </w:pPr>
      <w:r>
        <w:rPr>
          <w:rFonts w:ascii="IRNazanin" w:hAnsi="IRNazanin" w:eastAsia="IRNazanin" w:cs="IRNazanin"/>
          <w:lang w:bidi="fa-IR"/>
          <w:color w:val="111111"/>
          <w:sz w:val="28"/>
          <w:szCs w:val="28"/>
          <w:rtl/>
        </w:rPr>
        <w:t xml:space="preserve">۱۸۲۳. تهران؛ ملی؛ شماره نسخه: ۱۵۹۲۶</w:t>
      </w:r>
    </w:p>
    <w:p>
      <w:pPr>
        <w:pStyle w:val="BookText"/>
      </w:pPr>
      <w:r>
        <w:rPr>
          <w:rFonts w:ascii="IRNazanin" w:hAnsi="IRNazanin" w:eastAsia="IRNazanin" w:cs="IRNazanin"/>
          <w:lang w:bidi="fa-IR"/>
          <w:color w:val="111111"/>
          <w:sz w:val="28"/>
          <w:szCs w:val="28"/>
          <w:rtl/>
        </w:rPr>
        <w:t xml:space="preserve">آغاز: بسمله. باز در جلوه در انغمه سرا رقص درا زنگ زدا روح فدا عقد گشا طوطی فکرت بنوا ؛انجام: بر دست تو امید کند لطف اقتضا بخشی بخون اکبر و اصغر که عاصیم</w:t>
      </w:r>
    </w:p>
    <w:p>
      <w:pPr>
        <w:pStyle w:val="BookText"/>
      </w:pPr>
      <w:r>
        <w:rPr>
          <w:rFonts w:ascii="IRNazanin" w:hAnsi="IRNazanin" w:eastAsia="IRNazanin" w:cs="IRNazanin"/>
          <w:lang w:bidi="fa-IR"/>
          <w:color w:val="111111"/>
          <w:sz w:val="28"/>
          <w:szCs w:val="28"/>
          <w:rtl/>
        </w:rPr>
        <w:t xml:space="preserve">مجموعه ای از اشعار مذهبی در مدح و منقبت حضرت علی (علیه السّلام) و اهل بیت (علیهم السّلام) و تعزیه امام حسین و واقعه کربلا که شامل ترجیع بند، ترکیب بند ،قصیده ،مخمس، مسدس، اشعار بدون نقطه،بحر طویل در معراج از شاعرانی با نام های حمزه، کاشی، سلیمی، ناصبی، غیاث، انوری، طاهر نساج و محتشم که بیشتر آنها در مجالس عزاداری و تعزیه مورد استفاده قرار می گیرد؛ انتقالی از سازمان مدارک فرهنگی انقلاب اسلامی ؛خط: نستعلیق، بی کا، بی تا؛ کاغذ: فرنگی نخودی ،جلد: میشن مشکی، یک لا، بدون آستر، ۲۳۲گ، ۱۰ سطر چلیپا (8</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قطع: بیاضی،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[رایانه]</w:t>
      </w:r>
    </w:p>
    <w:p>
      <w:pPr>
        <w:pStyle w:val="BookText"/>
      </w:pPr>
      <w:r>
        <w:rPr>
          <w:rFonts w:ascii="IRNazanin" w:hAnsi="IRNazanin" w:eastAsia="IRNazanin" w:cs="IRNazanin"/>
          <w:lang w:bidi="fa-IR"/>
          <w:color w:val="111111"/>
          <w:sz w:val="28"/>
          <w:szCs w:val="28"/>
          <w:rtl/>
        </w:rPr>
        <w:t xml:space="preserve">۱۸۲۴. تهران؛ ملی؛ شماره نسخه: ۱۵۹۳۲</w:t>
      </w:r>
    </w:p>
    <w:p>
      <w:pPr>
        <w:pStyle w:val="BookText"/>
      </w:pPr>
      <w:r>
        <w:rPr>
          <w:rFonts w:ascii="IRNazanin" w:hAnsi="IRNazanin" w:eastAsia="IRNazanin" w:cs="IRNazanin"/>
          <w:lang w:bidi="fa-IR"/>
          <w:color w:val="111111"/>
          <w:sz w:val="28"/>
          <w:szCs w:val="28"/>
          <w:rtl/>
        </w:rPr>
        <w:t xml:space="preserve">آغاز: مرا تو غایت مقصودی از جهان ایدوست *** هزار جان عزیزت فدای جان ایدوست؛ انجام: در طریق عاشقی استاد میباید گرفت *** عشق بازی را ز مجنون یاد میباید گرفت</w:t>
      </w:r>
    </w:p>
    <w:p>
      <w:pPr>
        <w:pStyle w:val="BookText"/>
      </w:pPr>
      <w:r>
        <w:rPr>
          <w:rFonts w:ascii="IRNazanin" w:hAnsi="IRNazanin" w:eastAsia="IRNazanin" w:cs="IRNazanin"/>
          <w:lang w:bidi="fa-IR"/>
          <w:color w:val="111111"/>
          <w:sz w:val="28"/>
          <w:szCs w:val="28"/>
          <w:rtl/>
        </w:rPr>
        <w:t xml:space="preserve">این جنگ شامل تعداد زیادی از غزلیات سعدی و اشعاری از احمد خراسانی ،بابا طاهر ،عاشق ،جامی، زرگر، سروش، شیخ اوحدی، میر احمد، جاروبی ،نوری ،خواجو، و همچنین چند نامه عاشقانه و نامه ای در بی تابی و جواب مولود نامه  در آخر؛ انتقالی از سازمان مدارک فرهنگی اسلامی؛ خط: نستعلیق، بی کا، بی تا؛ سطور چلیپا؛ مهر: «گل گلزار خلیل ابراهیم» (چهارگوش)؛ کاغذ: فرنگی نخودی، جلد: تیماج قهوه ای یک لا مجدول بدون آستر، ۸۰گ، مختلف السطر ، قطع: بیاضی، اندازه: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[رایانه]</w:t>
      </w:r>
    </w:p>
    <w:p>
      <w:pPr>
        <w:pStyle w:val="BookText"/>
      </w:pPr>
      <w:r>
        <w:rPr>
          <w:rFonts w:ascii="IRNazanin" w:hAnsi="IRNazanin" w:eastAsia="IRNazanin" w:cs="IRNazanin"/>
          <w:lang w:bidi="fa-IR"/>
          <w:color w:val="111111"/>
          <w:sz w:val="28"/>
          <w:szCs w:val="28"/>
          <w:rtl/>
        </w:rPr>
        <w:t xml:space="preserve">۱۸۲۵. تهران؛ ملی؛ شماره نسخه: ۱۵۹۳۳</w:t>
      </w:r>
    </w:p>
    <w:p>
      <w:pPr>
        <w:pStyle w:val="BookText"/>
      </w:pPr>
      <w:r>
        <w:rPr>
          <w:rFonts w:ascii="IRNazanin" w:hAnsi="IRNazanin" w:eastAsia="IRNazanin" w:cs="IRNazanin"/>
          <w:lang w:bidi="fa-IR"/>
          <w:color w:val="111111"/>
          <w:sz w:val="28"/>
          <w:szCs w:val="28"/>
          <w:rtl/>
        </w:rPr>
        <w:t xml:space="preserve">آغاز: آنها که نشان عشق جویند *** جز راه مزار من نپویند؛</w:t>
      </w:r>
    </w:p>
    <w:p>
      <w:pPr>
        <w:pStyle w:val="BookText"/>
      </w:pPr>
      <w:r>
        <w:rPr>
          <w:rFonts w:ascii="IRNazanin" w:hAnsi="IRNazanin" w:eastAsia="IRNazanin" w:cs="IRNazanin"/>
          <w:lang w:bidi="fa-IR"/>
          <w:color w:val="111111"/>
          <w:sz w:val="28"/>
          <w:szCs w:val="28"/>
          <w:rtl/>
        </w:rPr>
        <w:t xml:space="preserve">انجام: هر جا کشید خنجر کین کرد یاد من *** یادش بخیر اینکه مرا یاد بود کرد</w:t>
      </w:r>
    </w:p>
    <w:p>
      <w:pPr>
        <w:pStyle w:val="BookText"/>
      </w:pPr>
      <w:r>
        <w:rPr>
          <w:rFonts w:ascii="IRNazanin" w:hAnsi="IRNazanin" w:eastAsia="IRNazanin" w:cs="IRNazanin"/>
          <w:lang w:bidi="fa-IR"/>
          <w:color w:val="111111"/>
          <w:sz w:val="28"/>
          <w:szCs w:val="28"/>
          <w:rtl/>
        </w:rPr>
        <w:t xml:space="preserve">شامل اشعاری از حافظ ،سعدی ،هلالی ،جامی، ابن یمین، نوری، عرفی، شیخ علی نقی کمره و محتشم به صورت غزل، رباعی، فرد، مخمس و ترجیع بند؛ انتقالی از سازمان مدارک فرهنگی انقلاب اسلامی؛ خط: نستعلیق خوش، بی کا، بی تا؛ مجدول؛ کاغذ: ترمه، جلد: تیماج قهوه ای با روکش پارچه ای عطف تیماج قهوه ای، ۱۰۲گ ، ۸ سطر (۵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قطع: بیاضی، اندازه: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[رایانه ]</w:t>
      </w:r>
    </w:p>
    <w:p>
      <w:pPr>
        <w:pStyle w:val="BookText"/>
      </w:pPr>
      <w:r>
        <w:rPr>
          <w:rFonts w:ascii="IRNazanin" w:hAnsi="IRNazanin" w:eastAsia="IRNazanin" w:cs="IRNazanin"/>
          <w:lang w:bidi="fa-IR"/>
          <w:color w:val="111111"/>
          <w:sz w:val="28"/>
          <w:szCs w:val="28"/>
          <w:rtl/>
        </w:rPr>
        <w:t xml:space="preserve">۱۸۲۶. تهران؛ ملی؛ شماره نسخه: ۱۸۰۴۳</w:t>
      </w:r>
    </w:p>
    <w:p>
      <w:pPr>
        <w:pStyle w:val="BookText"/>
      </w:pPr>
      <w:r>
        <w:rPr>
          <w:rFonts w:ascii="IRNazanin" w:hAnsi="IRNazanin" w:eastAsia="IRNazanin" w:cs="IRNazanin"/>
          <w:lang w:bidi="fa-IR"/>
          <w:color w:val="111111"/>
          <w:sz w:val="28"/>
          <w:szCs w:val="28"/>
          <w:rtl/>
        </w:rPr>
        <w:t xml:space="preserve">مجموعه شعر؛ بی کا، بی تا؛ انتقالی از کتابخانه پهلوی- مجموعه  نوازی ،۴۴گ، اندازه: ۱۵/۳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۱۸/۸سم [رایانه]</w:t>
      </w:r>
    </w:p>
    <w:p>
      <w:pPr>
        <w:pStyle w:val="BookText"/>
      </w:pPr>
      <w:r>
        <w:rPr>
          <w:rFonts w:ascii="IRNazanin" w:hAnsi="IRNazanin" w:eastAsia="IRNazanin" w:cs="IRNazanin"/>
          <w:lang w:bidi="fa-IR"/>
          <w:color w:val="111111"/>
          <w:sz w:val="28"/>
          <w:szCs w:val="28"/>
          <w:rtl/>
        </w:rPr>
        <w:t xml:space="preserve">۱۸۲۷. تهران؛ ملی؛ شماره نسخه: ۱۸۰۴۶</w:t>
      </w:r>
    </w:p>
    <w:p>
      <w:pPr>
        <w:pStyle w:val="BookText"/>
      </w:pPr>
      <w:r>
        <w:rPr>
          <w:rFonts w:ascii="IRNazanin" w:hAnsi="IRNazanin" w:eastAsia="IRNazanin" w:cs="IRNazanin"/>
          <w:lang w:bidi="fa-IR"/>
          <w:color w:val="111111"/>
          <w:sz w:val="28"/>
          <w:szCs w:val="28"/>
          <w:rtl/>
        </w:rPr>
        <w:t xml:space="preserve">بی کا،بی تا؛ انتقالی از کتابخانه پهلوی - مجموعه نوازی؛ اندازه:
</w:t>
      </w:r>
    </w:p>
    <w:p>
      <w:pPr>
        <w:sectPr>
          <w:footerReference w:type="default" r:id="rId9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۱۵/۱سم [رایانه]</w:t>
      </w:r>
    </w:p>
    <w:p>
      <w:pPr>
        <w:pStyle w:val="BookText"/>
      </w:pPr>
      <w:r>
        <w:rPr>
          <w:rFonts w:ascii="IRNazanin" w:hAnsi="IRNazanin" w:eastAsia="IRNazanin" w:cs="IRNazanin"/>
          <w:lang w:bidi="fa-IR"/>
          <w:color w:val="111111"/>
          <w:sz w:val="28"/>
          <w:szCs w:val="28"/>
          <w:rtl/>
        </w:rPr>
        <w:t xml:space="preserve">۱۸۲۸. تهران؛ ملی؛ شماره نسخه: ۱۸۰۴۸</w:t>
      </w:r>
    </w:p>
    <w:p>
      <w:pPr>
        <w:pStyle w:val="BookText"/>
      </w:pPr>
      <w:r>
        <w:rPr>
          <w:rFonts w:ascii="IRNazanin" w:hAnsi="IRNazanin" w:eastAsia="IRNazanin" w:cs="IRNazanin"/>
          <w:lang w:bidi="fa-IR"/>
          <w:color w:val="111111"/>
          <w:sz w:val="28"/>
          <w:szCs w:val="28"/>
          <w:rtl/>
        </w:rPr>
        <w:t xml:space="preserve">یک مثنوی به عربی و فارسی؛ بی کا، بی تا؛ انتقالی از کتابخانه پهلوی - مجموعه نوازی [رایانه]</w:t>
      </w:r>
    </w:p>
    <w:p>
      <w:pPr>
        <w:pStyle w:val="BookText"/>
      </w:pPr>
      <w:r>
        <w:rPr>
          <w:rFonts w:ascii="IRNazanin" w:hAnsi="IRNazanin" w:eastAsia="IRNazanin" w:cs="IRNazanin"/>
          <w:lang w:bidi="fa-IR"/>
          <w:color w:val="111111"/>
          <w:sz w:val="28"/>
          <w:szCs w:val="28"/>
          <w:rtl/>
        </w:rPr>
        <w:t xml:space="preserve">۱۸۲۹. تهران؛ ملی؛ شماره نسخه: ۱۸۰۴۹</w:t>
      </w:r>
    </w:p>
    <w:p>
      <w:pPr>
        <w:pStyle w:val="BookText"/>
      </w:pPr>
      <w:r>
        <w:rPr>
          <w:rFonts w:ascii="IRNazanin" w:hAnsi="IRNazanin" w:eastAsia="IRNazanin" w:cs="IRNazanin"/>
          <w:lang w:bidi="fa-IR"/>
          <w:color w:val="111111"/>
          <w:sz w:val="28"/>
          <w:szCs w:val="28"/>
          <w:rtl/>
        </w:rPr>
        <w:t xml:space="preserve">بیاض (جنگ شعر)؛ بی کا، بی تا؛ انتقالی از کتابخانه پهلوی- مجموعه نوازی ؛اندازه: ۹/۷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[رایانه]</w:t>
      </w:r>
    </w:p>
    <w:p>
      <w:pPr>
        <w:pStyle w:val="BookText"/>
      </w:pPr>
      <w:r>
        <w:rPr>
          <w:rFonts w:ascii="IRNazanin" w:hAnsi="IRNazanin" w:eastAsia="IRNazanin" w:cs="IRNazanin"/>
          <w:lang w:bidi="fa-IR"/>
          <w:color w:val="111111"/>
          <w:sz w:val="28"/>
          <w:szCs w:val="28"/>
          <w:rtl/>
        </w:rPr>
        <w:t xml:space="preserve">۱۸۳۰. تهران؛ ملی؛ شماره نسخه: ۱۸۰۶۳</w:t>
      </w:r>
    </w:p>
    <w:p>
      <w:pPr>
        <w:pStyle w:val="BookText"/>
      </w:pPr>
      <w:r>
        <w:rPr>
          <w:rFonts w:ascii="IRNazanin" w:hAnsi="IRNazanin" w:eastAsia="IRNazanin" w:cs="IRNazanin"/>
          <w:lang w:bidi="fa-IR"/>
          <w:color w:val="111111"/>
          <w:sz w:val="28"/>
          <w:szCs w:val="28"/>
          <w:rtl/>
        </w:rPr>
        <w:t xml:space="preserve">جنگ شعر؛ بی کا، بی تا؛ انتقالی از کتابخانه پهلوی- مجموعه نوازی؛ اندازه: 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۱۱/۷سم [رایانه]</w:t>
      </w:r>
    </w:p>
    <w:p>
      <w:pPr>
        <w:pStyle w:val="BookText"/>
      </w:pPr>
      <w:r>
        <w:rPr>
          <w:rFonts w:ascii="IRNazanin" w:hAnsi="IRNazanin" w:eastAsia="IRNazanin" w:cs="IRNazanin"/>
          <w:lang w:bidi="fa-IR"/>
          <w:color w:val="111111"/>
          <w:sz w:val="28"/>
          <w:szCs w:val="28"/>
          <w:rtl/>
        </w:rPr>
        <w:t xml:space="preserve">۱۸۳۱. تهران؛ ملی؛ شماره نسخه: ۱۸۰۶۶</w:t>
      </w:r>
    </w:p>
    <w:p>
      <w:pPr>
        <w:pStyle w:val="BookText"/>
      </w:pPr>
      <w:r>
        <w:rPr>
          <w:rFonts w:ascii="IRNazanin" w:hAnsi="IRNazanin" w:eastAsia="IRNazanin" w:cs="IRNazanin"/>
          <w:lang w:bidi="fa-IR"/>
          <w:color w:val="111111"/>
          <w:sz w:val="28"/>
          <w:szCs w:val="28"/>
          <w:rtl/>
        </w:rPr>
        <w:t xml:space="preserve">جنگ اشعار؛  بی کا، بی تا ؛ ۷۱گ؛ انتقالی ازکتابخانه پهلوی مجموعه نوازی؛ اندازه: ۱۰/۸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۱۷/۶سم [رایانه ]</w:t>
      </w:r>
    </w:p>
    <w:p>
      <w:pPr>
        <w:pStyle w:val="BookText"/>
      </w:pPr>
      <w:r>
        <w:rPr>
          <w:rFonts w:ascii="IRNazanin" w:hAnsi="IRNazanin" w:eastAsia="IRNazanin" w:cs="IRNazanin"/>
          <w:lang w:bidi="fa-IR"/>
          <w:color w:val="111111"/>
          <w:sz w:val="28"/>
          <w:szCs w:val="28"/>
          <w:rtl/>
        </w:rPr>
        <w:t xml:space="preserve">۱۸۳۲. تهران؛ ملی؛ شماره نسخه: ۱۸۰۶۷</w:t>
      </w:r>
    </w:p>
    <w:p>
      <w:pPr>
        <w:pStyle w:val="BookText"/>
      </w:pPr>
      <w:r>
        <w:rPr>
          <w:rFonts w:ascii="IRNazanin" w:hAnsi="IRNazanin" w:eastAsia="IRNazanin" w:cs="IRNazanin"/>
          <w:lang w:bidi="fa-IR"/>
          <w:color w:val="111111"/>
          <w:sz w:val="28"/>
          <w:szCs w:val="28"/>
          <w:rtl/>
        </w:rPr>
        <w:t xml:space="preserve">مثنوی؛ بی کا، بی تا؛ انتقالی از کتابخانه پهلوی مجموعه نوازی؛ اندازه: ۱۴/۴/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۱۸/۵سم [ رایانه]</w:t>
      </w:r>
    </w:p>
    <w:p>
      <w:pPr>
        <w:pStyle w:val="BookText"/>
      </w:pPr>
      <w:r>
        <w:rPr>
          <w:rFonts w:ascii="IRNazanin" w:hAnsi="IRNazanin" w:eastAsia="IRNazanin" w:cs="IRNazanin"/>
          <w:lang w:bidi="fa-IR"/>
          <w:color w:val="111111"/>
          <w:sz w:val="28"/>
          <w:szCs w:val="28"/>
          <w:rtl/>
        </w:rPr>
        <w:t xml:space="preserve">۱۸۳۳. تهران؛ ملی؛ شماره نسخه: ۱۸۰۷۳</w:t>
      </w:r>
    </w:p>
    <w:p>
      <w:pPr>
        <w:pStyle w:val="BookText"/>
      </w:pPr>
      <w:r>
        <w:rPr>
          <w:rFonts w:ascii="IRNazanin" w:hAnsi="IRNazanin" w:eastAsia="IRNazanin" w:cs="IRNazanin"/>
          <w:lang w:bidi="fa-IR"/>
          <w:color w:val="111111"/>
          <w:sz w:val="28"/>
          <w:szCs w:val="28"/>
          <w:rtl/>
        </w:rPr>
        <w:t xml:space="preserve">مجموعه ای در شعر و نثر؛ بی کا، بی تا؛ انتقالی از کتابخانه پهلوی مجموعه نوازی؛ اندازه: ۱۱/۹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۱۵/۹سم [ رایانه]</w:t>
      </w:r>
    </w:p>
    <w:p>
      <w:pPr>
        <w:pStyle w:val="BookText"/>
      </w:pPr>
      <w:r>
        <w:rPr>
          <w:rFonts w:ascii="IRNazanin" w:hAnsi="IRNazanin" w:eastAsia="IRNazanin" w:cs="IRNazanin"/>
          <w:lang w:bidi="fa-IR"/>
          <w:color w:val="111111"/>
          <w:sz w:val="28"/>
          <w:szCs w:val="28"/>
          <w:rtl/>
        </w:rPr>
        <w:t xml:space="preserve">۱۸۳۴. تهران؛ ملی؛ شماره نسخه: ۱۹۶۲۷</w:t>
      </w:r>
    </w:p>
    <w:p>
      <w:pPr>
        <w:pStyle w:val="BookText"/>
      </w:pPr>
      <w:r>
        <w:rPr>
          <w:rFonts w:ascii="IRNazanin" w:hAnsi="IRNazanin" w:eastAsia="IRNazanin" w:cs="IRNazanin"/>
          <w:lang w:bidi="fa-IR"/>
          <w:color w:val="111111"/>
          <w:sz w:val="28"/>
          <w:szCs w:val="28"/>
          <w:rtl/>
        </w:rPr>
        <w:t xml:space="preserve">جنگ (مجموعه شعر)؛ بی کا، بی تا؛ خریداری از محمد حسین علوی [ رایانه]</w:t>
      </w:r>
    </w:p>
    <w:p>
      <w:pPr>
        <w:pStyle w:val="BookText"/>
      </w:pPr>
      <w:r>
        <w:rPr>
          <w:rFonts w:ascii="IRNazanin" w:hAnsi="IRNazanin" w:eastAsia="IRNazanin" w:cs="IRNazanin"/>
          <w:lang w:bidi="fa-IR"/>
          <w:color w:val="111111"/>
          <w:sz w:val="28"/>
          <w:szCs w:val="28"/>
          <w:rtl/>
        </w:rPr>
        <w:t xml:space="preserve">۱۸۳۵. تهران؛ ملی؛ شماره نسخه: ۶۵۷۵</w:t>
      </w:r>
    </w:p>
    <w:p>
      <w:pPr>
        <w:pStyle w:val="BookText"/>
      </w:pPr>
      <w:r>
        <w:rPr>
          <w:rFonts w:ascii="IRNazanin" w:hAnsi="IRNazanin" w:eastAsia="IRNazanin" w:cs="IRNazanin"/>
          <w:lang w:bidi="fa-IR"/>
          <w:color w:val="111111"/>
          <w:sz w:val="28"/>
          <w:szCs w:val="28"/>
          <w:rtl/>
        </w:rPr>
        <w:t xml:space="preserve">آغاز: پر بزن پروانه فیروز عشق خود رسان بر مشعل جانسوز عـشق پر بزن پروانه مهجور او تا رسانی خویش رادر کوی او؛ انجام:تا کنم بینا ترا از مشرکین تا میشود اظهار رب العالمین ورقه پیش او این مقام ندارد این مقامات کو کلام ندارد الله الحمد رب العالميـن.</w:t>
      </w:r>
    </w:p>
    <w:p>
      <w:pPr>
        <w:pStyle w:val="BookText"/>
      </w:pPr>
      <w:r>
        <w:rPr>
          <w:rFonts w:ascii="IRNazanin" w:hAnsi="IRNazanin" w:eastAsia="IRNazanin" w:cs="IRNazanin"/>
          <w:lang w:bidi="fa-IR"/>
          <w:color w:val="111111"/>
          <w:sz w:val="28"/>
          <w:szCs w:val="28"/>
          <w:rtl/>
        </w:rPr>
        <w:t xml:space="preserve">مجموعه اشعاری است در قالب مثنوی و قصیده در مدح حسینعلی بهاء مؤسس فرقه بهائیه و در بیان عقاید وی، در برگ اول نسـخه این اثر به قرة العین شاعره معذوف بابی نسبت داده شده ولی محتوای اشعار را قسمت هایی از آن مدح خود قرة العين نیز هست، غیر از این را ثابت می کند؛خط: نستعلیق خوش، بی کا، بی تا؛ در میان این نسخه برگه ای قرار دارد که اشعار منسوب به قرة العین روی آن نوشته شده ؛کاغذ: فرنگی نخودی و شکری، ۵۱ گ، ۱۸-۱۲ سطر (۹۵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۱۷۰ - ۱۹۰)،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 رایانه]</w:t>
      </w:r>
    </w:p>
    <w:p>
      <w:pPr>
        <w:pStyle w:val="BookText"/>
      </w:pPr>
      <w:r>
        <w:rPr>
          <w:rFonts w:ascii="IRNazanin" w:hAnsi="IRNazanin" w:eastAsia="IRNazanin" w:cs="IRNazanin"/>
          <w:lang w:bidi="fa-IR"/>
          <w:color w:val="111111"/>
          <w:sz w:val="28"/>
          <w:szCs w:val="28"/>
          <w:rtl/>
        </w:rPr>
        <w:t xml:space="preserve">۱۸۳۶. تهران؛ ملی؛ شماره نسخه: ۱۸۰۹۱</w:t>
      </w:r>
    </w:p>
    <w:p>
      <w:pPr>
        <w:pStyle w:val="BookText"/>
      </w:pPr>
      <w:r>
        <w:rPr>
          <w:rFonts w:ascii="IRNazanin" w:hAnsi="IRNazanin" w:eastAsia="IRNazanin" w:cs="IRNazanin"/>
          <w:lang w:bidi="fa-IR"/>
          <w:color w:val="111111"/>
          <w:sz w:val="28"/>
          <w:szCs w:val="28"/>
          <w:rtl/>
        </w:rPr>
        <w:t xml:space="preserve">اشعار از سعدی و حافظ؛ بی کا، بی تا؛ انتقالی از کتابخانه پهلوی مجموعه نوازی؛ اندازه: ۳۴۲۱/۴سم [رایانه]</w:t>
      </w:r>
    </w:p>
    <w:p>
      <w:pPr>
        <w:pStyle w:val="BookText"/>
      </w:pPr>
      <w:r>
        <w:rPr>
          <w:rFonts w:ascii="IRNazanin" w:hAnsi="IRNazanin" w:eastAsia="IRNazanin" w:cs="IRNazanin"/>
          <w:lang w:bidi="fa-IR"/>
          <w:color w:val="111111"/>
          <w:sz w:val="28"/>
          <w:szCs w:val="28"/>
          <w:rtl/>
        </w:rPr>
        <w:t xml:space="preserve">۱۸۳۷. تهران؛ ملی؛ شماره نسخه: ۶۵۸۲</w:t>
      </w:r>
    </w:p>
    <w:p>
      <w:pPr>
        <w:pStyle w:val="BookText"/>
      </w:pPr>
      <w:r>
        <w:rPr>
          <w:rFonts w:ascii="IRNazanin" w:hAnsi="IRNazanin" w:eastAsia="IRNazanin" w:cs="IRNazanin"/>
          <w:lang w:bidi="fa-IR"/>
          <w:color w:val="111111"/>
          <w:sz w:val="28"/>
          <w:szCs w:val="28"/>
          <w:rtl/>
        </w:rPr>
        <w:t xml:space="preserve">آغاز: بسمله، آشوب زهر طرف عیان است سیل فتن و محن روان است افغان ز زمین بر آسمان است این غلغله چیست در جـهان است؛ انجام: این فتنه آخر الزمان است کافتاده میان انس وجان است. ترکیب بندی است با بند برگردان «این فتنه آخر الزمان است کافتاده میان انس و جان است» که در دوره مشروطه سروده شده؛ خط: نستعلیق شکسته تحریری، بی کا، بی تا؛ کاغذ: کاغذی دفتری خطدار ،جلد: مقوایی با روکش کاغذی نقشدار صورتی و سفید، عطف پارچه سبز اندرون جلد روکش کاغذی نخودی، ۶گ، ۱۴ سطر ،(9</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،اندازه: ۱۱/۲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[رایانه]</w:t>
      </w:r>
    </w:p>
    <w:p>
      <w:pPr>
        <w:pStyle w:val="BookText"/>
      </w:pPr>
      <w:r>
        <w:rPr>
          <w:rFonts w:ascii="IRNazanin" w:hAnsi="IRNazanin" w:eastAsia="IRNazanin" w:cs="IRNazanin"/>
          <w:lang w:bidi="fa-IR"/>
          <w:color w:val="111111"/>
          <w:sz w:val="28"/>
          <w:szCs w:val="28"/>
          <w:rtl/>
        </w:rPr>
        <w:t xml:space="preserve">۱۸۳۸. تهران؛ ملی؛ شماره نسخه: ۱۸۱۴۲</w:t>
      </w:r>
    </w:p>
    <w:p>
      <w:pPr>
        <w:pStyle w:val="BookText"/>
      </w:pPr>
      <w:r>
        <w:rPr>
          <w:rFonts w:ascii="IRNazanin" w:hAnsi="IRNazanin" w:eastAsia="IRNazanin" w:cs="IRNazanin"/>
          <w:lang w:bidi="fa-IR"/>
          <w:color w:val="111111"/>
          <w:sz w:val="28"/>
          <w:szCs w:val="28"/>
          <w:rtl/>
        </w:rPr>
        <w:t xml:space="preserve">بی کا، بی تا؛ انتقالی از کتابخانه پهلوی مجموعه نوازی؛ اندازه: 10/3</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[رایانه ]</w:t>
      </w:r>
    </w:p>
    <w:p>
      <w:pPr>
        <w:pStyle w:val="BookText"/>
      </w:pPr>
      <w:r>
        <w:rPr>
          <w:rFonts w:ascii="IRNazanin" w:hAnsi="IRNazanin" w:eastAsia="IRNazanin" w:cs="IRNazanin"/>
          <w:lang w:bidi="fa-IR"/>
          <w:color w:val="111111"/>
          <w:sz w:val="28"/>
          <w:szCs w:val="28"/>
          <w:rtl/>
        </w:rPr>
        <w:t xml:space="preserve">۱۸۳۹. تهران؛ ملی؛ شماره نسخه: ۱۸۱۴۶</w:t>
      </w:r>
    </w:p>
    <w:p>
      <w:pPr>
        <w:pStyle w:val="BookText"/>
      </w:pPr>
      <w:r>
        <w:rPr>
          <w:rFonts w:ascii="IRNazanin" w:hAnsi="IRNazanin" w:eastAsia="IRNazanin" w:cs="IRNazanin"/>
          <w:lang w:bidi="fa-IR"/>
          <w:color w:val="111111"/>
          <w:sz w:val="28"/>
          <w:szCs w:val="28"/>
          <w:rtl/>
        </w:rPr>
        <w:t xml:space="preserve">بی کا، بی تا؛ انتقالی از کتابخانه پهلوی مجموعه نوازی؛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۱۹/۹سم [رایانه]</w:t>
      </w:r>
    </w:p>
    <w:p>
      <w:pPr>
        <w:pStyle w:val="BookText"/>
      </w:pPr>
      <w:r>
        <w:rPr>
          <w:rFonts w:ascii="IRNazanin" w:hAnsi="IRNazanin" w:eastAsia="IRNazanin" w:cs="IRNazanin"/>
          <w:lang w:bidi="fa-IR"/>
          <w:color w:val="111111"/>
          <w:sz w:val="28"/>
          <w:szCs w:val="28"/>
          <w:rtl/>
        </w:rPr>
        <w:t xml:space="preserve">۱۸۴۰. تهران؛ ملی؛ شماره نسخه: ۲۵۲۰۵</w:t>
      </w:r>
    </w:p>
    <w:p>
      <w:pPr>
        <w:pStyle w:val="BookText"/>
      </w:pPr>
      <w:r>
        <w:rPr>
          <w:rFonts w:ascii="IRNazanin" w:hAnsi="IRNazanin" w:eastAsia="IRNazanin" w:cs="IRNazanin"/>
          <w:lang w:bidi="fa-IR"/>
          <w:color w:val="111111"/>
          <w:sz w:val="28"/>
          <w:szCs w:val="28"/>
          <w:rtl/>
        </w:rPr>
        <w:t xml:space="preserve">بی کا، بی تا؛ خریداری از امرالله صفری [رایانه]</w:t>
      </w:r>
    </w:p>
    <w:p>
      <w:pPr>
        <w:pStyle w:val="BookText"/>
      </w:pPr>
      <w:r>
        <w:rPr>
          <w:rFonts w:ascii="IRNazanin" w:hAnsi="IRNazanin" w:eastAsia="IRNazanin" w:cs="IRNazanin"/>
          <w:lang w:bidi="fa-IR"/>
          <w:color w:val="111111"/>
          <w:sz w:val="28"/>
          <w:szCs w:val="28"/>
          <w:rtl/>
        </w:rPr>
        <w:t xml:space="preserve">۱۸۴۱. تهران؛ ملی؛ شماره نسخه: ۱۸۱۶۰</w:t>
      </w:r>
    </w:p>
    <w:p>
      <w:pPr>
        <w:pStyle w:val="BookText"/>
      </w:pPr>
      <w:r>
        <w:rPr>
          <w:rFonts w:ascii="IRNazanin" w:hAnsi="IRNazanin" w:eastAsia="IRNazanin" w:cs="IRNazanin"/>
          <w:lang w:bidi="fa-IR"/>
          <w:color w:val="111111"/>
          <w:sz w:val="28"/>
          <w:szCs w:val="28"/>
          <w:rtl/>
        </w:rPr>
        <w:t xml:space="preserve">بياض اشعار متفرقه؛ کا: غلامحسین خوانساری، بی تا؛ انتقالی از کتابخانه پهلوی مجموعه نوازی؛ ۱۸۴گ، اندازه: 9/3</w:t>
      </w:r>
      <w:r>
        <w:rPr>
          <w:rFonts w:ascii="Times New Roman" w:hAnsi="Times New Roman" w:eastAsia="Times New Roman" w:cs="Times New Roman"/>
          <w:lang w:val="en-US" w:bidi="en-US"/>
          <w:color w:val="111111"/>
          <w:sz w:val="28"/>
          <w:szCs w:val="28"/>
          <w:rtl/>
        </w:rPr>
        <w:t xml:space="preserve">×13/8</w:t>
      </w:r>
      <w:r>
        <w:rPr>
          <w:rFonts w:ascii="IRNazanin" w:hAnsi="IRNazanin" w:eastAsia="IRNazanin" w:cs="IRNazanin"/>
          <w:lang w:bidi="fa-IR"/>
          <w:color w:val="111111"/>
          <w:sz w:val="28"/>
          <w:szCs w:val="28"/>
          <w:rtl/>
        </w:rPr>
        <w:t xml:space="preserve">سم  [ رایانه ]</w:t>
      </w:r>
    </w:p>
    <w:p>
      <w:pPr>
        <w:pStyle w:val="BookText"/>
      </w:pPr>
      <w:r>
        <w:rPr>
          <w:rFonts w:ascii="IRNazanin" w:hAnsi="IRNazanin" w:eastAsia="IRNazanin" w:cs="IRNazanin"/>
          <w:lang w:bidi="fa-IR"/>
          <w:color w:val="111111"/>
          <w:sz w:val="28"/>
          <w:szCs w:val="28"/>
          <w:rtl/>
        </w:rPr>
        <w:t xml:space="preserve">۱۸۴۲. تهران؛ ملی؛ شماره نسخه: ۱۹۷۸۲</w:t>
      </w:r>
    </w:p>
    <w:p>
      <w:pPr>
        <w:pStyle w:val="BookText"/>
      </w:pPr>
      <w:r>
        <w:rPr>
          <w:rFonts w:ascii="IRNazanin" w:hAnsi="IRNazanin" w:eastAsia="IRNazanin" w:cs="IRNazanin"/>
          <w:lang w:bidi="fa-IR"/>
          <w:color w:val="111111"/>
          <w:sz w:val="28"/>
          <w:szCs w:val="28"/>
          <w:rtl/>
        </w:rPr>
        <w:t xml:space="preserve">بی کا، بی تا؛ خریداری از عبدالله ناصری [رایانه]</w:t>
      </w:r>
    </w:p>
    <w:p>
      <w:pPr>
        <w:pStyle w:val="BookText"/>
      </w:pPr>
      <w:r>
        <w:rPr>
          <w:rFonts w:ascii="IRNazanin" w:hAnsi="IRNazanin" w:eastAsia="IRNazanin" w:cs="IRNazanin"/>
          <w:lang w:bidi="fa-IR"/>
          <w:color w:val="111111"/>
          <w:sz w:val="28"/>
          <w:szCs w:val="28"/>
          <w:rtl/>
        </w:rPr>
        <w:t xml:space="preserve">۱۸۴۳. تهران؛ ملی؛ شماره نسخه: ۱۹۷۸۹</w:t>
      </w:r>
    </w:p>
    <w:p>
      <w:pPr>
        <w:pStyle w:val="BookText"/>
      </w:pPr>
      <w:r>
        <w:rPr>
          <w:rFonts w:ascii="IRNazanin" w:hAnsi="IRNazanin" w:eastAsia="IRNazanin" w:cs="IRNazanin"/>
          <w:lang w:bidi="fa-IR"/>
          <w:color w:val="111111"/>
          <w:sz w:val="28"/>
          <w:szCs w:val="28"/>
          <w:rtl/>
        </w:rPr>
        <w:t xml:space="preserve">بی کا، بی تا؛ خریداری از محمد حسین علوی [رایانه]</w:t>
      </w:r>
    </w:p>
    <w:p>
      <w:pPr>
        <w:pStyle w:val="BookText"/>
      </w:pPr>
      <w:r>
        <w:rPr>
          <w:rFonts w:ascii="IRNazanin" w:hAnsi="IRNazanin" w:eastAsia="IRNazanin" w:cs="IRNazanin"/>
          <w:lang w:bidi="fa-IR"/>
          <w:color w:val="111111"/>
          <w:sz w:val="28"/>
          <w:szCs w:val="28"/>
          <w:rtl/>
        </w:rPr>
        <w:t xml:space="preserve">۱۸۴۴. تهران؛ ملی؛ شماره نسخه: ۸۲۴۷</w:t>
      </w:r>
    </w:p>
    <w:p>
      <w:pPr>
        <w:pStyle w:val="BookText"/>
      </w:pPr>
      <w:r>
        <w:rPr>
          <w:rFonts w:ascii="IRNazanin" w:hAnsi="IRNazanin" w:eastAsia="IRNazanin" w:cs="IRNazanin"/>
          <w:lang w:bidi="fa-IR"/>
          <w:color w:val="111111"/>
          <w:sz w:val="28"/>
          <w:szCs w:val="28"/>
          <w:rtl/>
        </w:rPr>
        <w:t xml:space="preserve">آغاز: بسمله، حمد حد سزد آن واحد فرد صمدی را که ردای عظمت در بر از رافت رحمت بی مر به ید قدرت خود خلقت؛</w:t>
      </w:r>
    </w:p>
    <w:p>
      <w:pPr>
        <w:pStyle w:val="BookText"/>
      </w:pPr>
      <w:r>
        <w:rPr>
          <w:rFonts w:ascii="IRNazanin" w:hAnsi="IRNazanin" w:eastAsia="IRNazanin" w:cs="IRNazanin"/>
          <w:lang w:bidi="fa-IR"/>
          <w:color w:val="111111"/>
          <w:sz w:val="28"/>
          <w:szCs w:val="28"/>
          <w:rtl/>
        </w:rPr>
        <w:t xml:space="preserve">انجام: عیان کرد ز یک سنگ چهل اشتر بختی دوکوهان خرید از سر الطاف از جبرئیل یکی ناقه بفروخت بميكال.</w:t>
      </w:r>
    </w:p>
    <w:p>
      <w:pPr>
        <w:pStyle w:val="BookText"/>
      </w:pPr>
      <w:r>
        <w:rPr>
          <w:rFonts w:ascii="IRNazanin" w:hAnsi="IRNazanin" w:eastAsia="IRNazanin" w:cs="IRNazanin"/>
          <w:lang w:bidi="fa-IR"/>
          <w:color w:val="111111"/>
          <w:sz w:val="28"/>
          <w:szCs w:val="28"/>
          <w:rtl/>
        </w:rPr>
        <w:t xml:space="preserve">بحر طویل در حدیث کساء و معراج پیامبر (صلّی اللَّهِ علیه وَ آلِهِ وَ سَلَّمَ )؛ خط: شکسته نستعلیق، متوسط، بی کا، بی تا؛ مجدول؛ خریداری از صبح روان؛ کاغذ: فرنگی نخودی، جلد: کاغذ فرنگی نخودی، ۲گ (۴۳پ- ۴۵ پ)، ۲۰ سطر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 اندازه: ۱۷/۵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۲۲/۲سم [رایانه]</w:t>
      </w:r>
    </w:p>
    <w:p>
      <w:pPr>
        <w:pStyle w:val="BookText"/>
      </w:pPr>
      <w:r>
        <w:rPr>
          <w:rFonts w:ascii="IRNazanin" w:hAnsi="IRNazanin" w:eastAsia="IRNazanin" w:cs="IRNazanin"/>
          <w:lang w:bidi="fa-IR"/>
          <w:color w:val="111111"/>
          <w:sz w:val="28"/>
          <w:szCs w:val="28"/>
          <w:rtl/>
        </w:rPr>
        <w:t xml:space="preserve">۱۸۴۵. تهران؛ ملی؛ شماره نسخه: ۱۹۸۴۴</w:t>
      </w:r>
    </w:p>
    <w:p>
      <w:pPr>
        <w:pStyle w:val="BookText"/>
      </w:pPr>
      <w:r>
        <w:rPr>
          <w:rFonts w:ascii="IRNazanin" w:hAnsi="IRNazanin" w:eastAsia="IRNazanin" w:cs="IRNazanin"/>
          <w:lang w:bidi="fa-IR"/>
          <w:color w:val="111111"/>
          <w:sz w:val="28"/>
          <w:szCs w:val="28"/>
          <w:rtl/>
        </w:rPr>
        <w:t xml:space="preserve">بی کا، بی تا؛ خریداری از مصطفی حسینی [رایانه]</w:t>
      </w:r>
    </w:p>
    <w:p>
      <w:pPr>
        <w:pStyle w:val="BookText"/>
      </w:pPr>
      <w:r>
        <w:rPr>
          <w:rFonts w:ascii="IRNazanin" w:hAnsi="IRNazanin" w:eastAsia="IRNazanin" w:cs="IRNazanin"/>
          <w:lang w:bidi="fa-IR"/>
          <w:color w:val="111111"/>
          <w:sz w:val="28"/>
          <w:szCs w:val="28"/>
          <w:rtl/>
        </w:rPr>
        <w:t xml:space="preserve">۱۸۴۶. تهران؛ ملی؛ شماره نسخه: ۱۸۲۱۲</w:t>
      </w:r>
    </w:p>
    <w:p>
      <w:pPr>
        <w:pStyle w:val="BookText"/>
      </w:pPr>
      <w:r>
        <w:rPr>
          <w:rFonts w:ascii="IRNazanin" w:hAnsi="IRNazanin" w:eastAsia="IRNazanin" w:cs="IRNazanin"/>
          <w:lang w:bidi="fa-IR"/>
          <w:color w:val="111111"/>
          <w:sz w:val="28"/>
          <w:szCs w:val="28"/>
          <w:rtl/>
        </w:rPr>
        <w:t xml:space="preserve">بی کا،بی تا؛ انتقالی از کتابخانه پهلوی مجموعه نوازی؛ اندازه: ۸/۴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۱۶/۵سم [رایانه ]</w:t>
      </w:r>
    </w:p>
    <w:p>
      <w:pPr>
        <w:pStyle w:val="BookText"/>
      </w:pPr>
      <w:r>
        <w:rPr>
          <w:rFonts w:ascii="IRNazanin" w:hAnsi="IRNazanin" w:eastAsia="IRNazanin" w:cs="IRNazanin"/>
          <w:lang w:bidi="fa-IR"/>
          <w:color w:val="111111"/>
          <w:sz w:val="28"/>
          <w:szCs w:val="28"/>
          <w:rtl/>
        </w:rPr>
        <w:t xml:space="preserve">۱۸۴۷. تهران؛ ملی؛ شماره نسخه: ۱۹۸۶۰</w:t>
      </w:r>
    </w:p>
    <w:p>
      <w:pPr>
        <w:pStyle w:val="BookText"/>
      </w:pPr>
      <w:r>
        <w:rPr>
          <w:rFonts w:ascii="IRNazanin" w:hAnsi="IRNazanin" w:eastAsia="IRNazanin" w:cs="IRNazanin"/>
          <w:lang w:bidi="fa-IR"/>
          <w:color w:val="111111"/>
          <w:sz w:val="28"/>
          <w:szCs w:val="28"/>
          <w:rtl/>
        </w:rPr>
        <w:t xml:space="preserve">بی کا، بی تا؛ خریداری از مصطفی حسینی در تاریخ ۱۶/۲/۸۵  [ رایانه ]</w:t>
      </w:r>
    </w:p>
    <w:p>
      <w:pPr>
        <w:pStyle w:val="BookText"/>
      </w:pPr>
      <w:r>
        <w:rPr>
          <w:rFonts w:ascii="IRNazanin" w:hAnsi="IRNazanin" w:eastAsia="IRNazanin" w:cs="IRNazanin"/>
          <w:lang w:bidi="fa-IR"/>
          <w:color w:val="111111"/>
          <w:sz w:val="28"/>
          <w:szCs w:val="28"/>
          <w:rtl/>
        </w:rPr>
        <w:t xml:space="preserve">۱۸۴۸. تهران؛ ملی؛ شماره نسخه: ۲۶۲۷۶</w:t>
      </w:r>
    </w:p>
    <w:p>
      <w:pPr>
        <w:pStyle w:val="BookText"/>
      </w:pPr>
      <w:r>
        <w:rPr>
          <w:rFonts w:ascii="IRNazanin" w:hAnsi="IRNazanin" w:eastAsia="IRNazanin" w:cs="IRNazanin"/>
          <w:lang w:bidi="fa-IR"/>
          <w:color w:val="111111"/>
          <w:sz w:val="28"/>
          <w:szCs w:val="28"/>
          <w:rtl/>
        </w:rPr>
        <w:t xml:space="preserve">جنگ اشعار گوناگون است. مجموعه آقا رفیع قزوینی استاد اخلاق و فلسفه امام خمینی؛ بی کا، بی تا؛ خریداری از منصوره تالهی معین الدین [رایانه]
</w:t>
      </w:r>
    </w:p>
    <w:p>
      <w:pPr>
        <w:sectPr>
          <w:footerReference w:type="default" r:id="rId9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1849.تهران؛ ملی؛ شماره نسخه: ۱۹۹۵۴</w:t>
      </w:r>
    </w:p>
    <w:p>
      <w:pPr>
        <w:pStyle w:val="BookText"/>
      </w:pPr>
      <w:r>
        <w:rPr>
          <w:rFonts w:ascii="IRNazanin" w:hAnsi="IRNazanin" w:eastAsia="IRNazanin" w:cs="IRNazanin"/>
          <w:lang w:bidi="fa-IR"/>
          <w:color w:val="111111"/>
          <w:sz w:val="28"/>
          <w:szCs w:val="28"/>
          <w:rtl/>
        </w:rPr>
        <w:t xml:space="preserve">مجموعه اشعار؛ بی کا، بی تا؛ خریداری از غلامرضا یزدی محمدی[ رایانه ]</w:t>
      </w:r>
    </w:p>
    <w:p>
      <w:pPr>
        <w:pStyle w:val="BookText"/>
      </w:pPr>
      <w:r>
        <w:rPr>
          <w:rFonts w:ascii="IRNazanin" w:hAnsi="IRNazanin" w:eastAsia="IRNazanin" w:cs="IRNazanin"/>
          <w:lang w:bidi="fa-IR"/>
          <w:color w:val="111111"/>
          <w:sz w:val="28"/>
          <w:szCs w:val="28"/>
          <w:rtl/>
        </w:rPr>
        <w:t xml:space="preserve">۱۸۵۰. تهران؛ ملی؛ شماره نسخه: ۲۵۷۷۳</w:t>
      </w:r>
    </w:p>
    <w:p>
      <w:pPr>
        <w:pStyle w:val="BookText"/>
      </w:pPr>
      <w:r>
        <w:rPr>
          <w:rFonts w:ascii="IRNazanin" w:hAnsi="IRNazanin" w:eastAsia="IRNazanin" w:cs="IRNazanin"/>
          <w:lang w:bidi="fa-IR"/>
          <w:color w:val="111111"/>
          <w:sz w:val="28"/>
          <w:szCs w:val="28"/>
          <w:rtl/>
        </w:rPr>
        <w:t xml:space="preserve">بی کا، بی تا؛ خریداری از امرالله صفری [ رایانه]</w:t>
      </w:r>
    </w:p>
    <w:p>
      <w:pPr>
        <w:pStyle w:val="BookText"/>
      </w:pPr>
      <w:r>
        <w:rPr>
          <w:rFonts w:ascii="IRNazanin" w:hAnsi="IRNazanin" w:eastAsia="IRNazanin" w:cs="IRNazanin"/>
          <w:lang w:bidi="fa-IR"/>
          <w:color w:val="111111"/>
          <w:sz w:val="28"/>
          <w:szCs w:val="28"/>
          <w:rtl/>
        </w:rPr>
        <w:t xml:space="preserve">۱۸۵۱. تهران؛ ملی؛ شماره نسخه: ۱۵۶۰۵</w:t>
      </w:r>
    </w:p>
    <w:p>
      <w:pPr>
        <w:pStyle w:val="BookText"/>
      </w:pPr>
      <w:r>
        <w:rPr>
          <w:rFonts w:ascii="IRNazanin" w:hAnsi="IRNazanin" w:eastAsia="IRNazanin" w:cs="IRNazanin"/>
          <w:lang w:bidi="fa-IR"/>
          <w:color w:val="111111"/>
          <w:sz w:val="28"/>
          <w:szCs w:val="28"/>
          <w:rtl/>
        </w:rPr>
        <w:t xml:space="preserve">آغاز: بسا کرد شیر افکن و پیل زور *** که سر رفتنش آخر بیاد غرور ؛ انجام: گر کنه کاینات بر سر دیگر نهند مهر تو سنگین کند پله میزان او.</w:t>
      </w:r>
    </w:p>
    <w:p>
      <w:pPr>
        <w:pStyle w:val="BookText"/>
      </w:pPr>
      <w:r>
        <w:rPr>
          <w:rFonts w:ascii="IRNazanin" w:hAnsi="IRNazanin" w:eastAsia="IRNazanin" w:cs="IRNazanin"/>
          <w:lang w:bidi="fa-IR"/>
          <w:color w:val="111111"/>
          <w:sz w:val="28"/>
          <w:szCs w:val="28"/>
          <w:rtl/>
        </w:rPr>
        <w:t xml:space="preserve">این جنگ شامل اشعاری در نصیحت ،فرد ،رباعی ،غزل، حکایت، مخمس، منقبت، شکوه نامه، مدح، مناجات ،نوحه، اشعاری از هاشمى حكیم ثنایی، شیخ علینقی، بیدل، مناجات، اشعاری در حکمت حق تعالی، در باب توکل، اشعاری از سعدی و غزل هـای از حافظ، جامی و محتشم، مرثیه حاجی سلیمان کاشی ها در چهارده بند، مخمس ملا رفیعا، دوازده بند محتشم، مرثیه میرزا تقی در پانزده بند، منقبت حضرت علی، منقبت شاه من کلام خاقانی، منقبت از نعمت خان علی، معصوم، حسین، مجذوب، کاشی، سعدی، مدح امام هشتم، مخمس دوازده امام، اشعاری  از نظام ،خاقانی ،رضایی ،کمال، اهلی و شیر علی می باشد؛ خط: نستعليق، كا: حاج عبدالرزاق، بی تا؛ مهر: «محمدرضا» (بيضى) ؛کاغذ: فرنگی نخودی، ۸۴گ (1- 49پ)، (۱۲۲ پ -۱۵۷) (قهـقرا) ۱۷۷ - ۲۳۲( قهقرا)، 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[رایانه]</w:t>
      </w:r>
    </w:p>
    <w:p>
      <w:pPr>
        <w:pStyle w:val="BookText"/>
      </w:pPr>
      <w:r>
        <w:rPr>
          <w:rFonts w:ascii="IRNazanin" w:hAnsi="IRNazanin" w:eastAsia="IRNazanin" w:cs="IRNazanin"/>
          <w:lang w:bidi="fa-IR"/>
          <w:color w:val="111111"/>
          <w:sz w:val="28"/>
          <w:szCs w:val="28"/>
          <w:rtl/>
        </w:rPr>
        <w:t xml:space="preserve">۱۸۵۲. تهران؛ ملی؛ شماره نسخه: ۱۸۳۲۹</w:t>
      </w:r>
    </w:p>
    <w:p>
      <w:pPr>
        <w:pStyle w:val="BookText"/>
      </w:pPr>
      <w:r>
        <w:rPr>
          <w:rFonts w:ascii="IRNazanin" w:hAnsi="IRNazanin" w:eastAsia="IRNazanin" w:cs="IRNazanin"/>
          <w:lang w:bidi="fa-IR"/>
          <w:color w:val="111111"/>
          <w:sz w:val="28"/>
          <w:szCs w:val="28"/>
          <w:rtl/>
        </w:rPr>
        <w:t xml:space="preserve">بی کا، بی تا؛ انتقالی از کتابخانه پهلوی مجموعه نوازی؛ ۲۰۳ گ،اندازه: ۹/۷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۱۷/۳سم [رایانه ]</w:t>
      </w:r>
    </w:p>
    <w:p>
      <w:pPr>
        <w:pStyle w:val="BookText"/>
      </w:pPr>
      <w:r>
        <w:rPr>
          <w:rFonts w:ascii="IRNazanin" w:hAnsi="IRNazanin" w:eastAsia="IRNazanin" w:cs="IRNazanin"/>
          <w:lang w:bidi="fa-IR"/>
          <w:color w:val="111111"/>
          <w:sz w:val="28"/>
          <w:szCs w:val="28"/>
          <w:rtl/>
        </w:rPr>
        <w:t xml:space="preserve">۱۸۵۳. تهران؛ مفتاح؛ شماره نسخه: ۱۲۴۳/۷</w:t>
      </w:r>
    </w:p>
    <w:p>
      <w:pPr>
        <w:pStyle w:val="BookText"/>
      </w:pPr>
      <w:r>
        <w:rPr>
          <w:rFonts w:ascii="IRNazanin" w:hAnsi="IRNazanin" w:eastAsia="IRNazanin" w:cs="IRNazanin"/>
          <w:lang w:bidi="fa-IR"/>
          <w:color w:val="111111"/>
          <w:sz w:val="28"/>
          <w:szCs w:val="28"/>
          <w:rtl/>
        </w:rPr>
        <w:t xml:space="preserve">از دیوان حافظ و رباعیات؛ خط: شکسته نستعلیق، بی کا، بی تا؛ مجدول؛ جلد: تیماج سرخ زرکوب ترنجی با جدول وزیری [ نشریه: ۷ - ۲۷۳]</w:t>
      </w:r>
    </w:p>
    <w:p>
      <w:pPr>
        <w:pStyle w:val="BookText"/>
      </w:pPr>
      <w:r>
        <w:rPr>
          <w:rFonts w:ascii="IRNazanin" w:hAnsi="IRNazanin" w:eastAsia="IRNazanin" w:cs="IRNazanin"/>
          <w:lang w:bidi="fa-IR"/>
          <w:color w:val="111111"/>
          <w:sz w:val="28"/>
          <w:szCs w:val="28"/>
          <w:rtl/>
        </w:rPr>
        <w:t xml:space="preserve">۱۸۵۴. تهران؛ فرمانفرمائیان حافظ (دکتر)؛ شماره نسخه: بدون شماره/ ۱۸</w:t>
      </w:r>
    </w:p>
    <w:p>
      <w:pPr>
        <w:pStyle w:val="BookText"/>
      </w:pPr>
      <w:r>
        <w:rPr>
          <w:rFonts w:ascii="IRNazanin" w:hAnsi="IRNazanin" w:eastAsia="IRNazanin" w:cs="IRNazanin"/>
          <w:lang w:bidi="fa-IR"/>
          <w:color w:val="111111"/>
          <w:sz w:val="28"/>
          <w:szCs w:val="28"/>
          <w:rtl/>
        </w:rPr>
        <w:t xml:space="preserve">غزل است. با عنوان «الراقمه» از شاعری «مهدی تخلص»؛ بی کا، بی تا؛ جلد: تیماج مشکی زرکوب مقوایی ،ربعی، ۵گ (41ر- ۴۵ ر)[ نشریه: ۷ - ۵۵۲]</w:t>
      </w:r>
    </w:p>
    <w:p>
      <w:pPr>
        <w:pStyle w:val="BookText"/>
      </w:pPr>
      <w:r>
        <w:rPr>
          <w:rFonts w:ascii="IRNazanin" w:hAnsi="IRNazanin" w:eastAsia="IRNazanin" w:cs="IRNazanin"/>
          <w:lang w:bidi="fa-IR"/>
          <w:color w:val="111111"/>
          <w:sz w:val="28"/>
          <w:szCs w:val="28"/>
          <w:rtl/>
        </w:rPr>
        <w:t xml:space="preserve">۱۸۵۵. مشهد؛ الهیات؛ شماره نسخه: ۵۳۵/۳</w:t>
      </w:r>
    </w:p>
    <w:p>
      <w:pPr>
        <w:pStyle w:val="BookText"/>
      </w:pPr>
      <w:r>
        <w:rPr>
          <w:rFonts w:ascii="IRNazanin" w:hAnsi="IRNazanin" w:eastAsia="IRNazanin" w:cs="IRNazanin"/>
          <w:lang w:bidi="fa-IR"/>
          <w:color w:val="111111"/>
          <w:sz w:val="28"/>
          <w:szCs w:val="28"/>
          <w:rtl/>
        </w:rPr>
        <w:t xml:space="preserve">اشعار در وحدت وجود: ۱- هر لحظه بشکلی بت عیار در آید،2- آب در بحر بیکران آبست ....؛ خط: نسخ، بی کا، بی تا؛ کاغذ: فرنگی، جلد: تیماج مشکی  لایه ای، ۲ ص ۱۳-۱۷ سطر، قـطع: خشتی،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۱ - ۴۴۷]</w:t>
      </w:r>
    </w:p>
    <w:p>
      <w:pPr>
        <w:pStyle w:val="BookText"/>
      </w:pPr>
      <w:r>
        <w:rPr>
          <w:rFonts w:ascii="IRNazanin" w:hAnsi="IRNazanin" w:eastAsia="IRNazanin" w:cs="IRNazanin"/>
          <w:lang w:bidi="fa-IR"/>
          <w:color w:val="111111"/>
          <w:sz w:val="28"/>
          <w:szCs w:val="28"/>
          <w:rtl/>
        </w:rPr>
        <w:t xml:space="preserve">۱۸۵۶. تهران؛ ملی؛ شماره نسخه: ۲۵۷۹۱</w:t>
      </w:r>
    </w:p>
    <w:p>
      <w:pPr>
        <w:pStyle w:val="BookText"/>
      </w:pPr>
      <w:r>
        <w:rPr>
          <w:rFonts w:ascii="IRNazanin" w:hAnsi="IRNazanin" w:eastAsia="IRNazanin" w:cs="IRNazanin"/>
          <w:lang w:bidi="fa-IR"/>
          <w:color w:val="111111"/>
          <w:sz w:val="28"/>
          <w:szCs w:val="28"/>
          <w:rtl/>
        </w:rPr>
        <w:t xml:space="preserve">بی کا، بی تا؛ خریداری از امرالله صفری [رایانه]</w:t>
      </w:r>
    </w:p>
    <w:p>
      <w:pPr>
        <w:pStyle w:val="BookText"/>
      </w:pPr>
      <w:r>
        <w:rPr>
          <w:rFonts w:ascii="IRNazanin" w:hAnsi="IRNazanin" w:eastAsia="IRNazanin" w:cs="IRNazanin"/>
          <w:lang w:bidi="fa-IR"/>
          <w:color w:val="111111"/>
          <w:sz w:val="28"/>
          <w:szCs w:val="28"/>
          <w:rtl/>
        </w:rPr>
        <w:t xml:space="preserve">۱۸۵۷. تهران؛ ملی؛ شماره نسخه: ۱۶۷۸۹</w:t>
      </w:r>
    </w:p>
    <w:p>
      <w:pPr>
        <w:pStyle w:val="BookText"/>
      </w:pPr>
      <w:r>
        <w:rPr>
          <w:rFonts w:ascii="IRNazanin" w:hAnsi="IRNazanin" w:eastAsia="IRNazanin" w:cs="IRNazanin"/>
          <w:lang w:bidi="fa-IR"/>
          <w:color w:val="111111"/>
          <w:sz w:val="28"/>
          <w:szCs w:val="28"/>
          <w:rtl/>
        </w:rPr>
        <w:t xml:space="preserve">اشعاری از سعدی شیرازی، علی بن احمد محتشم کاشانی و...؛</w:t>
      </w:r>
    </w:p>
    <w:p>
      <w:pPr>
        <w:pStyle w:val="BookText"/>
      </w:pPr>
      <w:r>
        <w:rPr>
          <w:rFonts w:ascii="IRNazanin" w:hAnsi="IRNazanin" w:eastAsia="IRNazanin" w:cs="IRNazanin"/>
          <w:lang w:bidi="fa-IR"/>
          <w:color w:val="111111"/>
          <w:sz w:val="28"/>
          <w:szCs w:val="28"/>
          <w:rtl/>
        </w:rPr>
        <w:t xml:space="preserve">کا: میرزا محمد ناظم، بی تا؛ انتقالی از کتابخانه پهلوی مجموعه نوازی؛ ۷۶گ، اندازه: ۱۱/۲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[رایانه ]</w:t>
      </w:r>
    </w:p>
    <w:p>
      <w:pPr>
        <w:pStyle w:val="BookText"/>
      </w:pPr>
      <w:r>
        <w:rPr>
          <w:rFonts w:ascii="IRNazanin" w:hAnsi="IRNazanin" w:eastAsia="IRNazanin" w:cs="IRNazanin"/>
          <w:lang w:bidi="fa-IR"/>
          <w:color w:val="111111"/>
          <w:sz w:val="28"/>
          <w:szCs w:val="28"/>
          <w:rtl/>
        </w:rPr>
        <w:t xml:space="preserve">۱۸۵۸. تهران؛ ملی؛ شماره نسخه: ۱۸۳۵۷</w:t>
      </w:r>
    </w:p>
    <w:p>
      <w:pPr>
        <w:pStyle w:val="BookText"/>
      </w:pPr>
      <w:r>
        <w:rPr>
          <w:rFonts w:ascii="IRNazanin" w:hAnsi="IRNazanin" w:eastAsia="IRNazanin" w:cs="IRNazanin"/>
          <w:lang w:bidi="fa-IR"/>
          <w:color w:val="111111"/>
          <w:sz w:val="28"/>
          <w:szCs w:val="28"/>
          <w:rtl/>
        </w:rPr>
        <w:t xml:space="preserve">بی کا، بی تا؛ انتقالی از کتابخانه پهلوی مجموعه نوازی؛ ۶۳گ، اندازه: ۱۰/۳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۱۴/۵سم [رایانه ]</w:t>
      </w:r>
    </w:p>
    <w:p>
      <w:pPr>
        <w:pStyle w:val="BookText"/>
      </w:pPr>
      <w:r>
        <w:rPr>
          <w:rFonts w:ascii="IRNazanin" w:hAnsi="IRNazanin" w:eastAsia="IRNazanin" w:cs="IRNazanin"/>
          <w:lang w:bidi="fa-IR"/>
          <w:color w:val="111111"/>
          <w:sz w:val="28"/>
          <w:szCs w:val="28"/>
          <w:rtl/>
        </w:rPr>
        <w:t xml:space="preserve">۱۸۵۹. تهران؛ ملی؛ شماره نسخه: ۱۸۳۶۵</w:t>
      </w:r>
    </w:p>
    <w:p>
      <w:pPr>
        <w:pStyle w:val="BookText"/>
      </w:pPr>
      <w:r>
        <w:rPr>
          <w:rFonts w:ascii="IRNazanin" w:hAnsi="IRNazanin" w:eastAsia="IRNazanin" w:cs="IRNazanin"/>
          <w:lang w:bidi="fa-IR"/>
          <w:color w:val="111111"/>
          <w:sz w:val="28"/>
          <w:szCs w:val="28"/>
          <w:rtl/>
        </w:rPr>
        <w:t xml:space="preserve">بیاض شعر؛ بی کا، بی تا؛  انتقالی از کتابخانه پهلوی مجموعه نوازی؛ ۳۶گ،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[رایانه]</w:t>
      </w:r>
    </w:p>
    <w:p>
      <w:pPr>
        <w:pStyle w:val="BookText"/>
      </w:pPr>
      <w:r>
        <w:rPr>
          <w:rFonts w:ascii="IRNazanin" w:hAnsi="IRNazanin" w:eastAsia="IRNazanin" w:cs="IRNazanin"/>
          <w:lang w:bidi="fa-IR"/>
          <w:color w:val="111111"/>
          <w:sz w:val="28"/>
          <w:szCs w:val="28"/>
          <w:rtl/>
        </w:rPr>
        <w:t xml:space="preserve">۱۸۶۰. تهران؛ ملی؛ شماره نسخه: ۷۰۷۱</w:t>
      </w:r>
    </w:p>
    <w:p>
      <w:pPr>
        <w:pStyle w:val="BookText"/>
      </w:pPr>
      <w:r>
        <w:rPr>
          <w:rFonts w:ascii="IRNazanin" w:hAnsi="IRNazanin" w:eastAsia="IRNazanin" w:cs="IRNazanin"/>
          <w:lang w:bidi="fa-IR"/>
          <w:color w:val="111111"/>
          <w:sz w:val="28"/>
          <w:szCs w:val="28"/>
          <w:rtl/>
        </w:rPr>
        <w:t xml:space="preserve">مثنوی است ناشناخته؛ در انتها مطالبی پراکنده و متفرقه همچون مسائل پزشکی، دینی و اشعار متفرقه از برگ ۷۴پ-۷۶پ آمده؛ خط: نستعلیق، بی کا ،بی تا؛ خرید از قدبیگی ؛کاغذ: فرنگی ،جلد: مقوایی، روکش کاغذ زرشکی، عطف و لچکی پارچه قهوه ای، 3گ (۷۴پ-۷۱ پ)، ۱۵ سطر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۱۷/۲سم  [ رایانه ]</w:t>
      </w:r>
    </w:p>
    <w:p>
      <w:pPr>
        <w:pStyle w:val="BookText"/>
      </w:pPr>
      <w:r>
        <w:rPr>
          <w:rFonts w:ascii="IRNazanin" w:hAnsi="IRNazanin" w:eastAsia="IRNazanin" w:cs="IRNazanin"/>
          <w:lang w:bidi="fa-IR"/>
          <w:color w:val="111111"/>
          <w:sz w:val="28"/>
          <w:szCs w:val="28"/>
          <w:rtl/>
        </w:rPr>
        <w:t xml:space="preserve">۱۸۶۱. تهران؛ ملی؛ شماره نسخه: ۱۸۳۸۱</w:t>
      </w:r>
    </w:p>
    <w:p>
      <w:pPr>
        <w:pStyle w:val="BookText"/>
      </w:pPr>
      <w:r>
        <w:rPr>
          <w:rFonts w:ascii="IRNazanin" w:hAnsi="IRNazanin" w:eastAsia="IRNazanin" w:cs="IRNazanin"/>
          <w:lang w:bidi="fa-IR"/>
          <w:color w:val="111111"/>
          <w:sz w:val="28"/>
          <w:szCs w:val="28"/>
          <w:rtl/>
        </w:rPr>
        <w:t xml:space="preserve">نسخه ای به شعر؛ بی کا، بی تا؛ انتقالی از کتابخانه پهلوی مجموعه  نوازی،۶گ، اندازه: ۱۵/۴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۲۲/۷سم [رایانه]</w:t>
      </w:r>
    </w:p>
    <w:p>
      <w:pPr>
        <w:pStyle w:val="BookText"/>
      </w:pPr>
      <w:r>
        <w:rPr>
          <w:rFonts w:ascii="IRNazanin" w:hAnsi="IRNazanin" w:eastAsia="IRNazanin" w:cs="IRNazanin"/>
          <w:lang w:bidi="fa-IR"/>
          <w:color w:val="111111"/>
          <w:sz w:val="28"/>
          <w:szCs w:val="28"/>
          <w:rtl/>
        </w:rPr>
        <w:t xml:space="preserve">۱۸۶۲. تهران؛ ملی؛ شماره نسخه: ۱۸۳۸۹</w:t>
      </w:r>
    </w:p>
    <w:p>
      <w:pPr>
        <w:pStyle w:val="BookText"/>
      </w:pPr>
      <w:r>
        <w:rPr>
          <w:rFonts w:ascii="IRNazanin" w:hAnsi="IRNazanin" w:eastAsia="IRNazanin" w:cs="IRNazanin"/>
          <w:lang w:bidi="fa-IR"/>
          <w:color w:val="111111"/>
          <w:sz w:val="28"/>
          <w:szCs w:val="28"/>
          <w:rtl/>
        </w:rPr>
        <w:t xml:space="preserve">گزیده هایی از محرق القلوب و رثای کربلا و ...؛ بی کا، بی تا؛ انتقالی از کتابخانه پهلوی مجموعه نوازی؛ ۵۴گ، اندازه: ۱۵/۷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[رایانه ]</w:t>
      </w:r>
    </w:p>
    <w:p>
      <w:pPr>
        <w:pStyle w:val="BookText"/>
      </w:pPr>
      <w:r>
        <w:rPr>
          <w:rFonts w:ascii="IRNazanin" w:hAnsi="IRNazanin" w:eastAsia="IRNazanin" w:cs="IRNazanin"/>
          <w:lang w:bidi="fa-IR"/>
          <w:color w:val="111111"/>
          <w:sz w:val="28"/>
          <w:szCs w:val="28"/>
          <w:rtl/>
        </w:rPr>
        <w:t xml:space="preserve">۱۸۶۳. تهران؛ ملی؛ شماره نسخه: ۶۲۵۳</w:t>
      </w:r>
    </w:p>
    <w:p>
      <w:pPr>
        <w:pStyle w:val="BookText"/>
      </w:pPr>
      <w:r>
        <w:rPr>
          <w:rFonts w:ascii="IRNazanin" w:hAnsi="IRNazanin" w:eastAsia="IRNazanin" w:cs="IRNazanin"/>
          <w:lang w:bidi="fa-IR"/>
          <w:color w:val="111111"/>
          <w:sz w:val="28"/>
          <w:szCs w:val="28"/>
          <w:rtl/>
        </w:rPr>
        <w:t xml:space="preserve">آغاز: مسجود و جهک فرض علی فی الصلواتی *** تو را پرستم اگر فی المثل که لات و مناتی / حیات من نه زجان و ممات من نه زمرگ است *** من الوصال حياتى من الفراق مماتی؛ انجام: اول فکر آخر در عمل *** خاصه فکری که بود وصف ازل / گرچه میوه آخر آید در وجود *** اول است او زانکه او مقصود بود</w:t>
      </w:r>
    </w:p>
    <w:p>
      <w:pPr>
        <w:pStyle w:val="BookText"/>
      </w:pPr>
      <w:r>
        <w:rPr>
          <w:rFonts w:ascii="IRNazanin" w:hAnsi="IRNazanin" w:eastAsia="IRNazanin" w:cs="IRNazanin"/>
          <w:lang w:bidi="fa-IR"/>
          <w:color w:val="111111"/>
          <w:sz w:val="28"/>
          <w:szCs w:val="28"/>
          <w:rtl/>
        </w:rPr>
        <w:t xml:space="preserve">برگزیده اشعار شعرایی، همچون  عرفی، صباحی، محتشم، سعدی و دیگران به اختصار؛ خط: تحریری، بی کا، بی تا؛ کاغذ: فرنگی ،نخودی، جلد: مقوایی روکش گالینگور مشکی، ۱۲گ، ۱۴-۱۶ سطر(85</w:t>
      </w:r>
      <w:r>
        <w:rPr>
          <w:rFonts w:ascii="Times New Roman" w:hAnsi="Times New Roman" w:eastAsia="Times New Roman" w:cs="Times New Roman"/>
          <w:lang w:val="en-US" w:bidi="en-US"/>
          <w:color w:val="111111"/>
          <w:sz w:val="28"/>
          <w:szCs w:val="28"/>
          <w:rtl/>
        </w:rPr>
        <w:t xml:space="preserve">×132) </w:t>
      </w:r>
      <w:r>
        <w:rPr>
          <w:rFonts w:ascii="IRNazanin" w:hAnsi="IRNazanin" w:eastAsia="IRNazanin" w:cs="IRNazanin"/>
          <w:lang w:bidi="fa-IR"/>
          <w:color w:val="111111"/>
          <w:sz w:val="28"/>
          <w:szCs w:val="28"/>
          <w:rtl/>
        </w:rPr>
        <w:t xml:space="preserve">و (88</w:t>
      </w:r>
      <w:r>
        <w:rPr>
          <w:rFonts w:ascii="Times New Roman" w:hAnsi="Times New Roman" w:eastAsia="Times New Roman" w:cs="Times New Roman"/>
          <w:lang w:val="en-US" w:bidi="en-US"/>
          <w:color w:val="111111"/>
          <w:sz w:val="28"/>
          <w:szCs w:val="28"/>
          <w:rtl/>
        </w:rPr>
        <w:t xml:space="preserve">×143)</w:t>
      </w:r>
      <w:r>
        <w:rPr>
          <w:rFonts w:ascii="IRNazanin" w:hAnsi="IRNazanin" w:eastAsia="IRNazanin" w:cs="IRNazanin"/>
          <w:lang w:bidi="fa-IR"/>
          <w:color w:val="111111"/>
          <w:sz w:val="28"/>
          <w:szCs w:val="28"/>
          <w:rtl/>
        </w:rPr>
        <w:t xml:space="preserve">،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۲۳/۶سم [رایانه]</w:t>
      </w:r>
    </w:p>
    <w:p>
      <w:pPr>
        <w:pStyle w:val="BookText"/>
      </w:pPr>
      <w:r>
        <w:rPr>
          <w:rFonts w:ascii="IRNazanin" w:hAnsi="IRNazanin" w:eastAsia="IRNazanin" w:cs="IRNazanin"/>
          <w:lang w:bidi="fa-IR"/>
          <w:color w:val="111111"/>
          <w:sz w:val="28"/>
          <w:szCs w:val="28"/>
          <w:rtl/>
        </w:rPr>
        <w:t xml:space="preserve">۱۸۶۴. تهران؛ ملی؛ شماره نسخه: ۱۶۸۳۱</w:t>
      </w:r>
    </w:p>
    <w:p>
      <w:pPr>
        <w:pStyle w:val="BookText"/>
      </w:pPr>
      <w:r>
        <w:rPr>
          <w:rFonts w:ascii="IRNazanin" w:hAnsi="IRNazanin" w:eastAsia="IRNazanin" w:cs="IRNazanin"/>
          <w:lang w:bidi="fa-IR"/>
          <w:color w:val="111111"/>
          <w:sz w:val="28"/>
          <w:szCs w:val="28"/>
          <w:rtl/>
        </w:rPr>
        <w:t xml:space="preserve">مثنوی؛ بی کا، بی تا؛ انتقالی از کتابخانه پهلوی مجموعه نوازی؛ ۹۲گ، اندازه: ۸/۱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۱۶/۴سم [رایانه]</w:t>
      </w:r>
    </w:p>
    <w:p>
      <w:pPr>
        <w:pStyle w:val="BookText"/>
      </w:pPr>
      <w:r>
        <w:rPr>
          <w:rFonts w:ascii="IRNazanin" w:hAnsi="IRNazanin" w:eastAsia="IRNazanin" w:cs="IRNazanin"/>
          <w:lang w:bidi="fa-IR"/>
          <w:color w:val="111111"/>
          <w:sz w:val="28"/>
          <w:szCs w:val="28"/>
          <w:rtl/>
        </w:rPr>
        <w:t xml:space="preserve">۱۸۶۵. تهران؛ ملی؛ شماره نسخه: ۱۶۸۳۴</w:t>
      </w:r>
    </w:p>
    <w:p>
      <w:pPr>
        <w:pStyle w:val="BookText"/>
      </w:pPr>
      <w:r>
        <w:rPr>
          <w:rFonts w:ascii="IRNazanin" w:hAnsi="IRNazanin" w:eastAsia="IRNazanin" w:cs="IRNazanin"/>
          <w:lang w:bidi="fa-IR"/>
          <w:color w:val="111111"/>
          <w:sz w:val="28"/>
          <w:szCs w:val="28"/>
          <w:rtl/>
        </w:rPr>
        <w:t xml:space="preserve">تاریخ کسائی (به نظم) و جنگ شعر؛ بی کا، بی تا؛ انتقالی از کتابخانه پهلوی مجموعه نوازی؛ ۴۲گ، 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 رایانه ]</w:t>
      </w:r>
    </w:p>
    <w:p>
      <w:pPr>
        <w:pStyle w:val="BookText"/>
      </w:pPr>
      <w:r>
        <w:rPr>
          <w:rFonts w:ascii="IRNazanin" w:hAnsi="IRNazanin" w:eastAsia="IRNazanin" w:cs="IRNazanin"/>
          <w:lang w:bidi="fa-IR"/>
          <w:color w:val="111111"/>
          <w:sz w:val="28"/>
          <w:szCs w:val="28"/>
          <w:rtl/>
        </w:rPr>
        <w:t xml:space="preserve">۱۸۶۶. تهران؛ ملی؛ شماره نسخه: ۱۶۸۳۶</w:t>
      </w:r>
    </w:p>
    <w:p>
      <w:pPr>
        <w:pStyle w:val="BookText"/>
      </w:pPr>
      <w:r>
        <w:rPr>
          <w:rFonts w:ascii="IRNazanin" w:hAnsi="IRNazanin" w:eastAsia="IRNazanin" w:cs="IRNazanin"/>
          <w:lang w:bidi="fa-IR"/>
          <w:color w:val="111111"/>
          <w:sz w:val="28"/>
          <w:szCs w:val="28"/>
          <w:rtl/>
        </w:rPr>
        <w:t xml:space="preserve">بیاض شعر؛ بی کا، بی تا؛ انتقالی از کتابخانه پهلوی مجموعه نوازی؛۵۳گ،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۲۳/۷سم [رایانه]</w:t>
      </w:r>
    </w:p>
    <w:p>
      <w:pPr>
        <w:pStyle w:val="BookText"/>
      </w:pPr>
      <w:r>
        <w:rPr>
          <w:rFonts w:ascii="IRNazanin" w:hAnsi="IRNazanin" w:eastAsia="IRNazanin" w:cs="IRNazanin"/>
          <w:lang w:bidi="fa-IR"/>
          <w:color w:val="111111"/>
          <w:sz w:val="28"/>
          <w:szCs w:val="28"/>
          <w:rtl/>
        </w:rPr>
        <w:t xml:space="preserve">۱۸۶۷. تهران؛ ملی؛ شماره نسخه: ۱۶۸۵۱
</w:t>
      </w:r>
    </w:p>
    <w:p>
      <w:pPr>
        <w:sectPr>
          <w:footerReference w:type="default" r:id="rId9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اشعاری از شوکت، علی، صائب و ... ؛بی کا، بی تا؛ انتقالی از کتابخانه پهلوی مجموعه نوازی؛ ۲۳۲گ، اندازه: ۱۴/۶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  [رایانه ]</w:t>
      </w:r>
    </w:p>
    <w:p>
      <w:pPr>
        <w:pStyle w:val="BookText"/>
      </w:pPr>
      <w:r>
        <w:rPr>
          <w:rFonts w:ascii="IRNazanin" w:hAnsi="IRNazanin" w:eastAsia="IRNazanin" w:cs="IRNazanin"/>
          <w:lang w:bidi="fa-IR"/>
          <w:color w:val="111111"/>
          <w:sz w:val="28"/>
          <w:szCs w:val="28"/>
          <w:rtl/>
        </w:rPr>
        <w:t xml:space="preserve">۱۸۶۸. تهران؛ ملی؛ شماره نسخه: ۱۶۸۵۳</w:t>
      </w:r>
    </w:p>
    <w:p>
      <w:pPr>
        <w:pStyle w:val="BookText"/>
      </w:pPr>
      <w:r>
        <w:rPr>
          <w:rFonts w:ascii="IRNazanin" w:hAnsi="IRNazanin" w:eastAsia="IRNazanin" w:cs="IRNazanin"/>
          <w:lang w:bidi="fa-IR"/>
          <w:color w:val="111111"/>
          <w:sz w:val="28"/>
          <w:szCs w:val="28"/>
          <w:rtl/>
        </w:rPr>
        <w:t xml:space="preserve">مثنوی دشتی؛ بی کا، بی تا؛ انتقالی از کتابخانه پهلوی مجموعه نوازی؛ ۱۶۲گ ،اندازه: ۲۰/۲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۳۲/۷سم [رایانه]</w:t>
      </w:r>
    </w:p>
    <w:p>
      <w:pPr>
        <w:pStyle w:val="BookText"/>
      </w:pPr>
      <w:r>
        <w:rPr>
          <w:rFonts w:ascii="IRNazanin" w:hAnsi="IRNazanin" w:eastAsia="IRNazanin" w:cs="IRNazanin"/>
          <w:lang w:bidi="fa-IR"/>
          <w:color w:val="111111"/>
          <w:sz w:val="28"/>
          <w:szCs w:val="28"/>
          <w:rtl/>
        </w:rPr>
        <w:t xml:space="preserve">۱۸۶۹. تهران؛ ملی؛ شماره نسخه: ۱۶۸۵۸</w:t>
      </w:r>
    </w:p>
    <w:p>
      <w:pPr>
        <w:pStyle w:val="BookText"/>
      </w:pPr>
      <w:r>
        <w:rPr>
          <w:rFonts w:ascii="IRNazanin" w:hAnsi="IRNazanin" w:eastAsia="IRNazanin" w:cs="IRNazanin"/>
          <w:lang w:bidi="fa-IR"/>
          <w:color w:val="111111"/>
          <w:sz w:val="28"/>
          <w:szCs w:val="28"/>
          <w:rtl/>
        </w:rPr>
        <w:t xml:space="preserve">منظومه گل و رعنا و شیخ صنعان و....؛ بی كا، بی تا؛ انتقالی از کتابخانه پهلوی مجموعه نوازی؛ ۱۱۶گ، اندازه: ۷/۸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۱۱/۳[رایانه]</w:t>
      </w:r>
    </w:p>
    <w:p>
      <w:pPr>
        <w:pStyle w:val="BookText"/>
      </w:pPr>
      <w:r>
        <w:rPr>
          <w:rFonts w:ascii="IRNazanin" w:hAnsi="IRNazanin" w:eastAsia="IRNazanin" w:cs="IRNazanin"/>
          <w:lang w:bidi="fa-IR"/>
          <w:color w:val="111111"/>
          <w:sz w:val="28"/>
          <w:szCs w:val="28"/>
          <w:rtl/>
        </w:rPr>
        <w:t xml:space="preserve">۱۸۷۰. تهران؛ ملی؛ شماره نسخه: ۱۶۸۶۵</w:t>
      </w:r>
    </w:p>
    <w:p>
      <w:pPr>
        <w:pStyle w:val="BookText"/>
      </w:pPr>
      <w:r>
        <w:rPr>
          <w:rFonts w:ascii="IRNazanin" w:hAnsi="IRNazanin" w:eastAsia="IRNazanin" w:cs="IRNazanin"/>
          <w:lang w:bidi="fa-IR"/>
          <w:color w:val="111111"/>
          <w:sz w:val="28"/>
          <w:szCs w:val="28"/>
          <w:rtl/>
        </w:rPr>
        <w:t xml:space="preserve">مثنوی؛ بی کا، بی تا؛ انتقالی از کتابخانه پهلوی مجموعه نوازی؛ ۱۰۷گ، اندازه: ۱۱/۱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۱۹/۳سم [رایانه]</w:t>
      </w:r>
    </w:p>
    <w:p>
      <w:pPr>
        <w:pStyle w:val="BookText"/>
      </w:pPr>
      <w:r>
        <w:rPr>
          <w:rFonts w:ascii="IRNazanin" w:hAnsi="IRNazanin" w:eastAsia="IRNazanin" w:cs="IRNazanin"/>
          <w:lang w:bidi="fa-IR"/>
          <w:color w:val="111111"/>
          <w:sz w:val="28"/>
          <w:szCs w:val="28"/>
          <w:rtl/>
        </w:rPr>
        <w:t xml:space="preserve">۱۸۷۱. تهران؛ ملی؛ شماره نسخه: ۱۶۸۸۳</w:t>
      </w:r>
    </w:p>
    <w:p>
      <w:pPr>
        <w:pStyle w:val="BookText"/>
      </w:pPr>
      <w:r>
        <w:rPr>
          <w:rFonts w:ascii="IRNazanin" w:hAnsi="IRNazanin" w:eastAsia="IRNazanin" w:cs="IRNazanin"/>
          <w:lang w:bidi="fa-IR"/>
          <w:color w:val="111111"/>
          <w:sz w:val="28"/>
          <w:szCs w:val="28"/>
          <w:rtl/>
        </w:rPr>
        <w:t xml:space="preserve">بیاض شعر؛ بی کا، بی تا؛ انتقالی از کتابخانه پهلوی مجموعه نوازی؛ ۱۰۶گ 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[رایانه ]</w:t>
      </w:r>
    </w:p>
    <w:p>
      <w:pPr>
        <w:pStyle w:val="BookText"/>
      </w:pPr>
      <w:r>
        <w:rPr>
          <w:rFonts w:ascii="IRNazanin" w:hAnsi="IRNazanin" w:eastAsia="IRNazanin" w:cs="IRNazanin"/>
          <w:lang w:bidi="fa-IR"/>
          <w:color w:val="111111"/>
          <w:sz w:val="28"/>
          <w:szCs w:val="28"/>
          <w:rtl/>
        </w:rPr>
        <w:t xml:space="preserve">۱۸۷۲. تهران؛ ملی؛ شماره نسخه: ۱۶۸۹۳</w:t>
      </w:r>
    </w:p>
    <w:p>
      <w:pPr>
        <w:pStyle w:val="BookText"/>
      </w:pPr>
      <w:r>
        <w:rPr>
          <w:rFonts w:ascii="IRNazanin" w:hAnsi="IRNazanin" w:eastAsia="IRNazanin" w:cs="IRNazanin"/>
          <w:lang w:bidi="fa-IR"/>
          <w:color w:val="111111"/>
          <w:sz w:val="28"/>
          <w:szCs w:val="28"/>
          <w:rtl/>
        </w:rPr>
        <w:t xml:space="preserve">مثنوی؛ بی کا، بی تا؛ انتقالی از کتابخانه پهلوی مجموعه نوازی؛ ۱۳۵گ،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۲۰/۱سم [رایانه]</w:t>
      </w:r>
    </w:p>
    <w:p>
      <w:pPr>
        <w:pStyle w:val="BookText"/>
      </w:pPr>
      <w:r>
        <w:rPr>
          <w:rFonts w:ascii="IRNazanin" w:hAnsi="IRNazanin" w:eastAsia="IRNazanin" w:cs="IRNazanin"/>
          <w:lang w:bidi="fa-IR"/>
          <w:color w:val="111111"/>
          <w:sz w:val="28"/>
          <w:szCs w:val="28"/>
          <w:rtl/>
        </w:rPr>
        <w:t xml:space="preserve">۱۸۷۳. تهران؛ ملی؛ شماره نسخه: ۱۸۴۷۱</w:t>
      </w:r>
    </w:p>
    <w:p>
      <w:pPr>
        <w:pStyle w:val="BookText"/>
      </w:pPr>
      <w:r>
        <w:rPr>
          <w:rFonts w:ascii="IRNazanin" w:hAnsi="IRNazanin" w:eastAsia="IRNazanin" w:cs="IRNazanin"/>
          <w:lang w:bidi="fa-IR"/>
          <w:color w:val="111111"/>
          <w:sz w:val="28"/>
          <w:szCs w:val="28"/>
          <w:rtl/>
        </w:rPr>
        <w:t xml:space="preserve">مثنوی در پند و نصیحت؛ بی كا، بی تا؛ انتقالی از کتابخانه پهلوی مجموعه نوازی؛ اندازه: ۱۷/۵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۲۴/۲سم [رایانه]</w:t>
      </w:r>
    </w:p>
    <w:p>
      <w:pPr>
        <w:pStyle w:val="BookText"/>
      </w:pPr>
      <w:r>
        <w:rPr>
          <w:rFonts w:ascii="IRNazanin" w:hAnsi="IRNazanin" w:eastAsia="IRNazanin" w:cs="IRNazanin"/>
          <w:lang w:bidi="fa-IR"/>
          <w:color w:val="111111"/>
          <w:sz w:val="28"/>
          <w:szCs w:val="28"/>
          <w:rtl/>
        </w:rPr>
        <w:t xml:space="preserve">۱۸۷۴. تهران؛ ملی؛ شماره نسخه: ۱۶۹۲۲</w:t>
      </w:r>
    </w:p>
    <w:p>
      <w:pPr>
        <w:pStyle w:val="BookText"/>
      </w:pPr>
      <w:r>
        <w:rPr>
          <w:rFonts w:ascii="IRNazanin" w:hAnsi="IRNazanin" w:eastAsia="IRNazanin" w:cs="IRNazanin"/>
          <w:lang w:bidi="fa-IR"/>
          <w:color w:val="111111"/>
          <w:sz w:val="28"/>
          <w:szCs w:val="28"/>
          <w:rtl/>
        </w:rPr>
        <w:t xml:space="preserve">جنگ شعر؛ بی کا، بی تا؛ انتقالی از کتابخانه پهلوی مجموعه  نوازی؛ ۸۳گ، اندازه: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۱۸/۸سم [رایانه]</w:t>
      </w:r>
    </w:p>
    <w:p>
      <w:pPr>
        <w:pStyle w:val="BookText"/>
      </w:pPr>
      <w:r>
        <w:rPr>
          <w:rFonts w:ascii="IRNazanin" w:hAnsi="IRNazanin" w:eastAsia="IRNazanin" w:cs="IRNazanin"/>
          <w:lang w:bidi="fa-IR"/>
          <w:color w:val="111111"/>
          <w:sz w:val="28"/>
          <w:szCs w:val="28"/>
          <w:rtl/>
        </w:rPr>
        <w:t xml:space="preserve">۱۸۷۵. تهران؛ ملی؛ شماره نسخه: ۱۸۵۲۷</w:t>
      </w:r>
    </w:p>
    <w:p>
      <w:pPr>
        <w:pStyle w:val="BookText"/>
      </w:pPr>
      <w:r>
        <w:rPr>
          <w:rFonts w:ascii="IRNazanin" w:hAnsi="IRNazanin" w:eastAsia="IRNazanin" w:cs="IRNazanin"/>
          <w:lang w:bidi="fa-IR"/>
          <w:color w:val="111111"/>
          <w:sz w:val="28"/>
          <w:szCs w:val="28"/>
          <w:rtl/>
        </w:rPr>
        <w:t xml:space="preserve">مجموعه اشعار در مدح پیغمبر و ...؛ بی کا، بی تا؛ انتقالی کتابخانه پهلوی مجموعه نوازی؛ اندازه: ۱۷/۵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۲۵/۴سم [رایانه]</w:t>
      </w:r>
    </w:p>
    <w:p>
      <w:pPr>
        <w:pStyle w:val="BookText"/>
      </w:pPr>
      <w:r>
        <w:rPr>
          <w:rFonts w:ascii="IRNazanin" w:hAnsi="IRNazanin" w:eastAsia="IRNazanin" w:cs="IRNazanin"/>
          <w:lang w:bidi="fa-IR"/>
          <w:color w:val="111111"/>
          <w:sz w:val="28"/>
          <w:szCs w:val="28"/>
          <w:rtl/>
        </w:rPr>
        <w:t xml:space="preserve">۱۸۷۶ تهران؛ ملی؛ شماره نسخه: ۱۸۵۲۹</w:t>
      </w:r>
    </w:p>
    <w:p>
      <w:pPr>
        <w:pStyle w:val="BookText"/>
      </w:pPr>
      <w:r>
        <w:rPr>
          <w:rFonts w:ascii="IRNazanin" w:hAnsi="IRNazanin" w:eastAsia="IRNazanin" w:cs="IRNazanin"/>
          <w:lang w:bidi="fa-IR"/>
          <w:color w:val="111111"/>
          <w:sz w:val="28"/>
          <w:szCs w:val="28"/>
          <w:rtl/>
        </w:rPr>
        <w:t xml:space="preserve">مجموعه اشعار در مدح علی؛ بی کا، بی تا؛ انتقالی از کتابخانه پهلوی - مجموعه نوازی، اندازه: ۱۹/۷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۲۸/۶سم [رایانه ]</w:t>
      </w:r>
    </w:p>
    <w:p>
      <w:pPr>
        <w:pStyle w:val="BookText"/>
      </w:pPr>
      <w:r>
        <w:rPr>
          <w:rFonts w:ascii="IRNazanin" w:hAnsi="IRNazanin" w:eastAsia="IRNazanin" w:cs="IRNazanin"/>
          <w:lang w:bidi="fa-IR"/>
          <w:color w:val="111111"/>
          <w:sz w:val="28"/>
          <w:szCs w:val="28"/>
          <w:rtl/>
        </w:rPr>
        <w:t xml:space="preserve">۱۸۷۷. تهران؛ ملی؛ شماره نسخه: ۱۶۹۳۰</w:t>
      </w:r>
    </w:p>
    <w:p>
      <w:pPr>
        <w:pStyle w:val="BookText"/>
      </w:pPr>
      <w:r>
        <w:rPr>
          <w:rFonts w:ascii="IRNazanin" w:hAnsi="IRNazanin" w:eastAsia="IRNazanin" w:cs="IRNazanin"/>
          <w:lang w:bidi="fa-IR"/>
          <w:color w:val="111111"/>
          <w:sz w:val="28"/>
          <w:szCs w:val="28"/>
          <w:rtl/>
        </w:rPr>
        <w:t xml:space="preserve">بیاض شعر؛ بی کا،بی تا؛ انتقالی از کتابخانه پهلوی - مجموعه نوازی؛ ۱۰۶گ، قطع: بیاضی، اندازه: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[رایانه]</w:t>
      </w:r>
    </w:p>
    <w:p>
      <w:pPr>
        <w:pStyle w:val="BookText"/>
      </w:pPr>
      <w:r>
        <w:rPr>
          <w:rFonts w:ascii="IRNazanin" w:hAnsi="IRNazanin" w:eastAsia="IRNazanin" w:cs="IRNazanin"/>
          <w:lang w:bidi="fa-IR"/>
          <w:color w:val="111111"/>
          <w:sz w:val="28"/>
          <w:szCs w:val="28"/>
          <w:rtl/>
        </w:rPr>
        <w:t xml:space="preserve">۱۸۷۸. تهران؛ ملی؛ شماره نسخه: ۱۸۶۰۴</w:t>
      </w:r>
    </w:p>
    <w:p>
      <w:pPr>
        <w:pStyle w:val="BookText"/>
      </w:pPr>
      <w:r>
        <w:rPr>
          <w:rFonts w:ascii="IRNazanin" w:hAnsi="IRNazanin" w:eastAsia="IRNazanin" w:cs="IRNazanin"/>
          <w:lang w:bidi="fa-IR"/>
          <w:color w:val="111111"/>
          <w:sz w:val="28"/>
          <w:szCs w:val="28"/>
          <w:rtl/>
        </w:rPr>
        <w:t xml:space="preserve">کا: عماد الحسنی، بی تا؛ انتقالی از کتابخانه پهلوی مجموعه نوازی ؛اندازه: ۱۱/۳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[رایانه]</w:t>
      </w:r>
    </w:p>
    <w:p>
      <w:pPr>
        <w:pStyle w:val="BookText"/>
      </w:pPr>
      <w:r>
        <w:rPr>
          <w:rFonts w:ascii="IRNazanin" w:hAnsi="IRNazanin" w:eastAsia="IRNazanin" w:cs="IRNazanin"/>
          <w:lang w:bidi="fa-IR"/>
          <w:color w:val="111111"/>
          <w:sz w:val="28"/>
          <w:szCs w:val="28"/>
          <w:rtl/>
        </w:rPr>
        <w:t xml:space="preserve">۱۸۷۹. تهران؛ ملی؛ شماره نسخه: ۱۵۶۹۰</w:t>
      </w:r>
    </w:p>
    <w:p>
      <w:pPr>
        <w:pStyle w:val="BookText"/>
      </w:pPr>
      <w:r>
        <w:rPr>
          <w:rFonts w:ascii="IRNazanin" w:hAnsi="IRNazanin" w:eastAsia="IRNazanin" w:cs="IRNazanin"/>
          <w:lang w:bidi="fa-IR"/>
          <w:color w:val="111111"/>
          <w:sz w:val="28"/>
          <w:szCs w:val="28"/>
          <w:rtl/>
        </w:rPr>
        <w:t xml:space="preserve">این جنگ شامل منظومه در بیان اصول دین از شاعری با تخلـص حسنا، حکایت شکار رفتن مامون الرشید، رساله شاخ نبات در بیـان اصول دین از محمد جعفر استرآبادی، مثنوی من کلام  آذر، قـصه من كلام محمد تقى المتخلص بمشترى ؛خط: شکسته نستعلیق،بی کا، بی تا؛ کاغذ: فرنگی نخودی، جلد: تیماج یشمی یک لا، بدون آستر، ۲۰ ص (۱-۲۰)، مختلف السطر،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 رایانه ]</w:t>
      </w:r>
    </w:p>
    <w:p>
      <w:pPr>
        <w:pStyle w:val="BookText"/>
      </w:pPr>
      <w:r>
        <w:rPr>
          <w:rFonts w:ascii="IRNazanin" w:hAnsi="IRNazanin" w:eastAsia="IRNazanin" w:cs="IRNazanin"/>
          <w:lang w:bidi="fa-IR"/>
          <w:color w:val="111111"/>
          <w:sz w:val="28"/>
          <w:szCs w:val="28"/>
          <w:rtl/>
        </w:rPr>
        <w:t xml:space="preserve">۱۸۸۰. تهران؛ ملی؛ شماره نسخه: ۱۶۹۷۲</w:t>
      </w:r>
    </w:p>
    <w:p>
      <w:pPr>
        <w:pStyle w:val="BookText"/>
      </w:pPr>
      <w:r>
        <w:rPr>
          <w:rFonts w:ascii="IRNazanin" w:hAnsi="IRNazanin" w:eastAsia="IRNazanin" w:cs="IRNazanin"/>
          <w:lang w:bidi="fa-IR"/>
          <w:color w:val="111111"/>
          <w:sz w:val="28"/>
          <w:szCs w:val="28"/>
          <w:rtl/>
        </w:rPr>
        <w:t xml:space="preserve">مثنوی؛ بی کا، بی تا؛ انتقالی از کتابخانه پهلوی مجموعه نوازی؛ ۴۵گ، اندازه: ۹/۸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۱۳/۸سم [رایانه]</w:t>
      </w:r>
    </w:p>
    <w:p>
      <w:pPr>
        <w:pStyle w:val="BookText"/>
      </w:pPr>
      <w:r>
        <w:rPr>
          <w:rFonts w:ascii="IRNazanin" w:hAnsi="IRNazanin" w:eastAsia="IRNazanin" w:cs="IRNazanin"/>
          <w:lang w:bidi="fa-IR"/>
          <w:color w:val="111111"/>
          <w:sz w:val="28"/>
          <w:szCs w:val="28"/>
          <w:rtl/>
        </w:rPr>
        <w:t xml:space="preserve">۱۸۸۱. تهران؛ ملی؛ شماره نسخه: ۱۶۹۷۳</w:t>
      </w:r>
    </w:p>
    <w:p>
      <w:pPr>
        <w:pStyle w:val="BookText"/>
      </w:pPr>
      <w:r>
        <w:rPr>
          <w:rFonts w:ascii="IRNazanin" w:hAnsi="IRNazanin" w:eastAsia="IRNazanin" w:cs="IRNazanin"/>
          <w:lang w:bidi="fa-IR"/>
          <w:color w:val="111111"/>
          <w:sz w:val="28"/>
          <w:szCs w:val="28"/>
          <w:rtl/>
        </w:rPr>
        <w:t xml:space="preserve">مجموعه رباعیات؛ بی کا، بی تا؛ انتقالی از کتابخانه پهلوی مجموعه نوازی؛ ۲۳۶گ، 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[رایانه]</w:t>
      </w:r>
    </w:p>
    <w:p>
      <w:pPr>
        <w:pStyle w:val="BookText"/>
      </w:pPr>
      <w:r>
        <w:rPr>
          <w:rFonts w:ascii="IRNazanin" w:hAnsi="IRNazanin" w:eastAsia="IRNazanin" w:cs="IRNazanin"/>
          <w:lang w:bidi="fa-IR"/>
          <w:color w:val="111111"/>
          <w:sz w:val="28"/>
          <w:szCs w:val="28"/>
          <w:rtl/>
        </w:rPr>
        <w:t xml:space="preserve">۱۸۸۲. تهران؛ ملی؛ شماره نسخه: ۱۸۶۷۳</w:t>
      </w:r>
    </w:p>
    <w:p>
      <w:pPr>
        <w:pStyle w:val="BookText"/>
      </w:pPr>
      <w:r>
        <w:rPr>
          <w:rFonts w:ascii="IRNazanin" w:hAnsi="IRNazanin" w:eastAsia="IRNazanin" w:cs="IRNazanin"/>
          <w:lang w:bidi="fa-IR"/>
          <w:color w:val="111111"/>
          <w:sz w:val="28"/>
          <w:szCs w:val="28"/>
          <w:rtl/>
        </w:rPr>
        <w:t xml:space="preserve">یک مثنوی؛ بی کا، بی تا؛ انتقالی از کتابخانه پهلوی-مجموعه نوازی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۱۸/۵سم [رایانه]</w:t>
      </w:r>
    </w:p>
    <w:p>
      <w:pPr>
        <w:pStyle w:val="BookText"/>
      </w:pPr>
      <w:r>
        <w:rPr>
          <w:rFonts w:ascii="IRNazanin" w:hAnsi="IRNazanin" w:eastAsia="IRNazanin" w:cs="IRNazanin"/>
          <w:lang w:bidi="fa-IR"/>
          <w:color w:val="111111"/>
          <w:sz w:val="28"/>
          <w:szCs w:val="28"/>
          <w:rtl/>
        </w:rPr>
        <w:t xml:space="preserve">۱۸۸۳. تهران؛ ملی؛ شماره نسخه: ۱۸۶۸۷</w:t>
      </w:r>
    </w:p>
    <w:p>
      <w:pPr>
        <w:pStyle w:val="BookText"/>
      </w:pPr>
      <w:r>
        <w:rPr>
          <w:rFonts w:ascii="IRNazanin" w:hAnsi="IRNazanin" w:eastAsia="IRNazanin" w:cs="IRNazanin"/>
          <w:lang w:bidi="fa-IR"/>
          <w:color w:val="111111"/>
          <w:sz w:val="28"/>
          <w:szCs w:val="28"/>
          <w:rtl/>
        </w:rPr>
        <w:t xml:space="preserve">بی کا،بی تا؛ انتقالی از کتابخانه پهلوی - مجموعه نوازی؛ ۳۶گ، اندازه: ۱۴/۲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۲۲/۷سم [رایانه]</w:t>
      </w:r>
    </w:p>
    <w:p>
      <w:pPr>
        <w:pStyle w:val="BookText"/>
      </w:pPr>
      <w:r>
        <w:rPr>
          <w:rFonts w:ascii="IRNazanin" w:hAnsi="IRNazanin" w:eastAsia="IRNazanin" w:cs="IRNazanin"/>
          <w:lang w:bidi="fa-IR"/>
          <w:color w:val="111111"/>
          <w:sz w:val="28"/>
          <w:szCs w:val="28"/>
          <w:rtl/>
        </w:rPr>
        <w:t xml:space="preserve">۱۸۸۴. تهران؛ ملی؛ شماره نسخه: ۱۸۶۹۷</w:t>
      </w:r>
    </w:p>
    <w:p>
      <w:pPr>
        <w:pStyle w:val="BookText"/>
      </w:pPr>
      <w:r>
        <w:rPr>
          <w:rFonts w:ascii="IRNazanin" w:hAnsi="IRNazanin" w:eastAsia="IRNazanin" w:cs="IRNazanin"/>
          <w:lang w:bidi="fa-IR"/>
          <w:color w:val="111111"/>
          <w:sz w:val="28"/>
          <w:szCs w:val="28"/>
          <w:rtl/>
        </w:rPr>
        <w:t xml:space="preserve">نسخه ای به شعر؛ بی کا، بی تا؛ انتقالی از کتابخانه پهلوی - مجموعه نوازی؛ ۹۱گ، اندازه: ۱۳/۱۸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۲۰/۱سم [رایانه]</w:t>
      </w:r>
    </w:p>
    <w:p>
      <w:pPr>
        <w:pStyle w:val="BookText"/>
      </w:pPr>
      <w:r>
        <w:rPr>
          <w:rFonts w:ascii="IRNazanin" w:hAnsi="IRNazanin" w:eastAsia="IRNazanin" w:cs="IRNazanin"/>
          <w:lang w:bidi="fa-IR"/>
          <w:color w:val="111111"/>
          <w:sz w:val="28"/>
          <w:szCs w:val="28"/>
          <w:rtl/>
        </w:rPr>
        <w:t xml:space="preserve">۱۸۸۵. تهران؛ ملی؛ شماره نسخه: ۱۸۶۹۸</w:t>
      </w:r>
    </w:p>
    <w:p>
      <w:pPr>
        <w:pStyle w:val="BookText"/>
      </w:pPr>
      <w:r>
        <w:rPr>
          <w:rFonts w:ascii="IRNazanin" w:hAnsi="IRNazanin" w:eastAsia="IRNazanin" w:cs="IRNazanin"/>
          <w:lang w:bidi="fa-IR"/>
          <w:color w:val="111111"/>
          <w:sz w:val="28"/>
          <w:szCs w:val="28"/>
          <w:rtl/>
        </w:rPr>
        <w:t xml:space="preserve">جنگ شعر؛ بی کا، بی تا؛ انتقالی از کتابخانه پهلوی مجموعه  نوازی؛ ۱۰۳گ، اندازه: ۱۴/۲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۲۱/۹سم [رایانه]</w:t>
      </w:r>
    </w:p>
    <w:p>
      <w:pPr>
        <w:pStyle w:val="BookText"/>
      </w:pPr>
      <w:r>
        <w:rPr>
          <w:rFonts w:ascii="IRNazanin" w:hAnsi="IRNazanin" w:eastAsia="IRNazanin" w:cs="IRNazanin"/>
          <w:lang w:bidi="fa-IR"/>
          <w:color w:val="111111"/>
          <w:sz w:val="28"/>
          <w:szCs w:val="28"/>
          <w:rtl/>
        </w:rPr>
        <w:t xml:space="preserve">۱۸۸۶. تهران؛ ملی؛ شماره نسخه: ۱۸۷۰۹</w:t>
      </w:r>
    </w:p>
    <w:p>
      <w:pPr>
        <w:pStyle w:val="BookText"/>
      </w:pPr>
      <w:r>
        <w:rPr>
          <w:rFonts w:ascii="IRNazanin" w:hAnsi="IRNazanin" w:eastAsia="IRNazanin" w:cs="IRNazanin"/>
          <w:lang w:bidi="fa-IR"/>
          <w:color w:val="111111"/>
          <w:sz w:val="28"/>
          <w:szCs w:val="28"/>
          <w:rtl/>
        </w:rPr>
        <w:t xml:space="preserve">خسرو و شیرین، لیلی و مجنون و ...؛ بی کا، بی تا؛ انتقالی از کتابخانه پهلوی - مجموعه نوازی؛ ۱۳۰ گ، اندازه: 18/3</w:t>
      </w:r>
      <w:r>
        <w:rPr>
          <w:rFonts w:ascii="Times New Roman" w:hAnsi="Times New Roman" w:eastAsia="Times New Roman" w:cs="Times New Roman"/>
          <w:lang w:val="en-US" w:bidi="en-US"/>
          <w:color w:val="111111"/>
          <w:sz w:val="28"/>
          <w:szCs w:val="28"/>
          <w:rtl/>
        </w:rPr>
        <w:t xml:space="preserve">×28/3</w:t>
      </w:r>
      <w:r>
        <w:rPr>
          <w:rFonts w:ascii="IRNazanin" w:hAnsi="IRNazanin" w:eastAsia="IRNazanin" w:cs="IRNazanin"/>
          <w:lang w:bidi="fa-IR"/>
          <w:color w:val="111111"/>
          <w:sz w:val="28"/>
          <w:szCs w:val="28"/>
          <w:rtl/>
        </w:rPr>
        <w:t xml:space="preserve">سم [رایانه]</w:t>
      </w:r>
    </w:p>
    <w:p>
      <w:pPr>
        <w:pStyle w:val="BookText"/>
      </w:pPr>
      <w:r>
        <w:rPr>
          <w:rFonts w:ascii="IRNazanin" w:hAnsi="IRNazanin" w:eastAsia="IRNazanin" w:cs="IRNazanin"/>
          <w:lang w:bidi="fa-IR"/>
          <w:color w:val="111111"/>
          <w:sz w:val="28"/>
          <w:szCs w:val="28"/>
          <w:rtl/>
        </w:rPr>
        <w:t xml:space="preserve">۱۸۸۷. تهران؛ ملی؛ شماره نسخه: ۱۸۷۲۵</w:t>
      </w:r>
    </w:p>
    <w:p>
      <w:pPr>
        <w:pStyle w:val="BookText"/>
      </w:pPr>
      <w:r>
        <w:rPr>
          <w:rFonts w:ascii="IRNazanin" w:hAnsi="IRNazanin" w:eastAsia="IRNazanin" w:cs="IRNazanin"/>
          <w:lang w:bidi="fa-IR"/>
          <w:color w:val="111111"/>
          <w:sz w:val="28"/>
          <w:szCs w:val="28"/>
          <w:rtl/>
        </w:rPr>
        <w:t xml:space="preserve">دیوان شعر؛ بی کا، بی تا؛ انتقالی از کتابخانه پهلوی مجموعه نوازی، 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[رایانه]</w:t>
      </w:r>
    </w:p>
    <w:p>
      <w:pPr>
        <w:pStyle w:val="BookText"/>
      </w:pPr>
      <w:r>
        <w:rPr>
          <w:rFonts w:ascii="IRNazanin" w:hAnsi="IRNazanin" w:eastAsia="IRNazanin" w:cs="IRNazanin"/>
          <w:lang w:bidi="fa-IR"/>
          <w:color w:val="111111"/>
          <w:sz w:val="28"/>
          <w:szCs w:val="28"/>
          <w:rtl/>
        </w:rPr>
        <w:t xml:space="preserve">۱۸۸۸. تهران؛ ملی؛ شماره نسخه: ۱۸۷۲۶</w:t>
      </w:r>
    </w:p>
    <w:p>
      <w:pPr>
        <w:pStyle w:val="BookText"/>
      </w:pPr>
      <w:r>
        <w:rPr>
          <w:rFonts w:ascii="IRNazanin" w:hAnsi="IRNazanin" w:eastAsia="IRNazanin" w:cs="IRNazanin"/>
          <w:lang w:bidi="fa-IR"/>
          <w:color w:val="111111"/>
          <w:sz w:val="28"/>
          <w:szCs w:val="28"/>
          <w:rtl/>
        </w:rPr>
        <w:t xml:space="preserve">دیوان شعر؛ کا: میر حسین خواجه، بی تا؛ انتقالی از کتابخانه پهلوی مجموعه نوازی؛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[رایانه ]</w:t>
      </w:r>
    </w:p>
    <w:p>
      <w:pPr>
        <w:pStyle w:val="BookText"/>
      </w:pPr>
      <w:r>
        <w:rPr>
          <w:rFonts w:ascii="IRNazanin" w:hAnsi="IRNazanin" w:eastAsia="IRNazanin" w:cs="IRNazanin"/>
          <w:lang w:bidi="fa-IR"/>
          <w:color w:val="111111"/>
          <w:sz w:val="28"/>
          <w:szCs w:val="28"/>
          <w:rtl/>
        </w:rPr>
        <w:t xml:space="preserve">۱۸۸۹. تهران؛ ملی؛ شماره نسخه: ۱۶۹۸۹</w:t>
      </w:r>
    </w:p>
    <w:p>
      <w:pPr>
        <w:pStyle w:val="BookText"/>
      </w:pPr>
      <w:r>
        <w:rPr>
          <w:rFonts w:ascii="IRNazanin" w:hAnsi="IRNazanin" w:eastAsia="IRNazanin" w:cs="IRNazanin"/>
          <w:lang w:bidi="fa-IR"/>
          <w:color w:val="111111"/>
          <w:sz w:val="28"/>
          <w:szCs w:val="28"/>
          <w:rtl/>
        </w:rPr>
        <w:t xml:space="preserve">مثنوی. انتقالی از کتابخانه پهلوی - مجموعه نوازی؛ بی کا،بی تا؛  ۱۶گ، اندازه: ۱۸/۱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۲۱/۸سم [رایانه]</w:t>
      </w:r>
    </w:p>
    <w:p>
      <w:pPr>
        <w:pStyle w:val="BookText"/>
      </w:pPr>
      <w:r>
        <w:rPr>
          <w:rFonts w:ascii="IRNazanin" w:hAnsi="IRNazanin" w:eastAsia="IRNazanin" w:cs="IRNazanin"/>
          <w:lang w:bidi="fa-IR"/>
          <w:color w:val="111111"/>
          <w:sz w:val="28"/>
          <w:szCs w:val="28"/>
          <w:rtl/>
        </w:rPr>
        <w:t xml:space="preserve">۱۸۹۰. تهران؛ ملی؛ شماره نسخه: ۱۶۹۹۱</w:t>
      </w:r>
    </w:p>
    <w:p>
      <w:pPr>
        <w:pStyle w:val="BookText"/>
      </w:pPr>
      <w:r>
        <w:rPr>
          <w:rFonts w:ascii="IRNazanin" w:hAnsi="IRNazanin" w:eastAsia="IRNazanin" w:cs="IRNazanin"/>
          <w:lang w:bidi="fa-IR"/>
          <w:color w:val="111111"/>
          <w:sz w:val="28"/>
          <w:szCs w:val="28"/>
          <w:rtl/>
        </w:rPr>
        <w:t xml:space="preserve">منتخبی از یک مثنوی؛ بی کا، بی تا؛ انتقالی از کتابخانه پهلوی - مجموعه نوازی؛ ۱۰گ،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۲۴/۲سم [رایانه]</w:t>
      </w:r>
    </w:p>
    <w:p>
      <w:pPr>
        <w:pStyle w:val="BookText"/>
      </w:pPr>
      <w:r>
        <w:rPr>
          <w:rFonts w:ascii="IRNazanin" w:hAnsi="IRNazanin" w:eastAsia="IRNazanin" w:cs="IRNazanin"/>
          <w:lang w:bidi="fa-IR"/>
          <w:color w:val="111111"/>
          <w:sz w:val="28"/>
          <w:szCs w:val="28"/>
          <w:rtl/>
        </w:rPr>
        <w:t xml:space="preserve">۱۸۹۱. تهران؛ ملی؛ شماره نسخه: ۱۷۰۲۱</w:t>
      </w:r>
    </w:p>
    <w:p>
      <w:pPr>
        <w:pStyle w:val="BookText"/>
      </w:pPr>
      <w:r>
        <w:rPr>
          <w:rFonts w:ascii="IRNazanin" w:hAnsi="IRNazanin" w:eastAsia="IRNazanin" w:cs="IRNazanin"/>
          <w:lang w:bidi="fa-IR"/>
          <w:color w:val="111111"/>
          <w:sz w:val="28"/>
          <w:szCs w:val="28"/>
          <w:rtl/>
        </w:rPr>
        <w:t xml:space="preserve">شعر متفرقه؛ بی کا، بی تا؛ خریداری از بیژن پاینده آزاد؛ اندازه: ۱۲/۳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۲۱/۶سم [رایانه]</w:t>
      </w:r>
    </w:p>
    <w:p>
      <w:pPr>
        <w:pStyle w:val="BookText"/>
      </w:pPr>
      <w:r>
        <w:rPr>
          <w:rFonts w:ascii="IRNazanin" w:hAnsi="IRNazanin" w:eastAsia="IRNazanin" w:cs="IRNazanin"/>
          <w:lang w:bidi="fa-IR"/>
          <w:color w:val="111111"/>
          <w:sz w:val="28"/>
          <w:szCs w:val="28"/>
          <w:rtl/>
        </w:rPr>
        <w:t xml:space="preserve">۱۸۹۲. تهران؛ دانشگاه؛ شماره :نسخه ۲۶۰۳/۷-ف</w:t>
      </w:r>
    </w:p>
    <w:p>
      <w:pPr>
        <w:pStyle w:val="BookText"/>
      </w:pPr>
      <w:r>
        <w:rPr>
          <w:rFonts w:ascii="IRNazanin" w:hAnsi="IRNazanin" w:eastAsia="IRNazanin" w:cs="IRNazanin"/>
          <w:lang w:bidi="fa-IR"/>
          <w:color w:val="111111"/>
          <w:sz w:val="28"/>
          <w:szCs w:val="28"/>
          <w:rtl/>
        </w:rPr>
        <w:t xml:space="preserve">نسخه اصل: نسخه آقای افشار شیرازی؛ اشعاری از: نباتی، سعدی ،امیدی ،شریفی، احمد جلایر ،سعدی ،حافظ، محمد اصفهانی ،استرآبادی، بیانی استرابادی، نیکی اصفهانی، شاه معزالدین محمد
</w:t>
      </w:r>
    </w:p>
    <w:p>
      <w:pPr>
        <w:sectPr>
          <w:footerReference w:type="default" r:id="rId9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اصفهانی ،عیانی ،حیرانی، شیخ طفیلی اصفهانی، کمال اصفهانی، مانی تبریزی، مفیدی، شیخ  الهامی، امیدی (قصیده، ساقی نامه ،غزل) ،لسانی، شیرازی، (غزلیات به ترتیب تهجی) ،حیرتی، کمال خجندی، صالح بیک جغتای، وجیهی اصفهانی، حیرانی، ابن غیاثا، شهیدی، سلطان علی  مشهدی، فغانی، جزوی، همای، ناظری ،بابا نصیبی کمال بن غیاث فارسی (قصیده، بحر طويل ،غزل)، سلـمان ساوجی (مراثی) حیرتی (غزل ترتیب به حروف تهجی)، قدیمی ،ناصر ،عطار، فخر الدین عراقی، نیکی اصفهانی (هر چهار تا ترجیع بند)، ابوسعید ابوالخیر ،خیام، خواجه کلان  بازاری، ندیمی ،نجیبی ،صفائی، عطائی، واصف، درویش دهکی ،قیمتی، طفیلی، محمد مومن میرزا (هر نه تا مخمس)، بی کا، بی تا[ فیلمها: ۱ - ۱۷ [</w:t>
      </w:r>
    </w:p>
    <w:p>
      <w:pPr>
        <w:pStyle w:val="BookText"/>
      </w:pPr>
      <w:r>
        <w:rPr>
          <w:rFonts w:ascii="IRNazanin" w:hAnsi="IRNazanin" w:eastAsia="IRNazanin" w:cs="IRNazanin"/>
          <w:lang w:bidi="fa-IR"/>
          <w:color w:val="111111"/>
          <w:sz w:val="28"/>
          <w:szCs w:val="28"/>
          <w:rtl/>
        </w:rPr>
        <w:t xml:space="preserve">۱۸۹۳. تهران؛ ملی؛ شماره نسخه: ۱۸۷۷۱</w:t>
      </w:r>
    </w:p>
    <w:p>
      <w:pPr>
        <w:pStyle w:val="BookText"/>
      </w:pPr>
      <w:r>
        <w:rPr>
          <w:rFonts w:ascii="IRNazanin" w:hAnsi="IRNazanin" w:eastAsia="IRNazanin" w:cs="IRNazanin"/>
          <w:lang w:bidi="fa-IR"/>
          <w:color w:val="111111"/>
          <w:sz w:val="28"/>
          <w:szCs w:val="28"/>
          <w:rtl/>
        </w:rPr>
        <w:t xml:space="preserve">دیوان شعر؛ بی کا، بی تا؛ انتقالی از کتابخانه پهلوی- مجموعه نوازی؛ ۱۲۶گ، اندازه: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[رایانه]</w:t>
      </w:r>
    </w:p>
    <w:p>
      <w:pPr>
        <w:pStyle w:val="BookText"/>
      </w:pPr>
      <w:r>
        <w:rPr>
          <w:rFonts w:ascii="IRNazanin" w:hAnsi="IRNazanin" w:eastAsia="IRNazanin" w:cs="IRNazanin"/>
          <w:lang w:bidi="fa-IR"/>
          <w:color w:val="111111"/>
          <w:sz w:val="28"/>
          <w:szCs w:val="28"/>
          <w:rtl/>
        </w:rPr>
        <w:t xml:space="preserve">۱۸۹۴. تهران؛ ملی؛ شماره نسخه: ۱۸۸۰۰</w:t>
      </w:r>
    </w:p>
    <w:p>
      <w:pPr>
        <w:pStyle w:val="BookText"/>
      </w:pPr>
      <w:r>
        <w:rPr>
          <w:rFonts w:ascii="IRNazanin" w:hAnsi="IRNazanin" w:eastAsia="IRNazanin" w:cs="IRNazanin"/>
          <w:lang w:bidi="fa-IR"/>
          <w:color w:val="111111"/>
          <w:sz w:val="28"/>
          <w:szCs w:val="28"/>
          <w:rtl/>
        </w:rPr>
        <w:t xml:space="preserve">مثنوی بدری. بی کا، بی تا؛ انتقالی از کتابخانه پهلوی - مجموعه نوازی؛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۲۰/۹سم [رایانه ]</w:t>
      </w:r>
    </w:p>
    <w:p>
      <w:pPr>
        <w:pStyle w:val="BookText"/>
      </w:pPr>
      <w:r>
        <w:rPr>
          <w:rFonts w:ascii="IRNazanin" w:hAnsi="IRNazanin" w:eastAsia="IRNazanin" w:cs="IRNazanin"/>
          <w:lang w:bidi="fa-IR"/>
          <w:color w:val="111111"/>
          <w:sz w:val="28"/>
          <w:szCs w:val="28"/>
          <w:rtl/>
        </w:rPr>
        <w:t xml:space="preserve">۱۸۹۵. تهران؛ ملی؛ شماره نسخه: ۲۶۰۹۰</w:t>
      </w:r>
    </w:p>
    <w:p>
      <w:pPr>
        <w:pStyle w:val="BookText"/>
      </w:pPr>
      <w:r>
        <w:rPr>
          <w:rFonts w:ascii="IRNazanin" w:hAnsi="IRNazanin" w:eastAsia="IRNazanin" w:cs="IRNazanin"/>
          <w:lang w:bidi="fa-IR"/>
          <w:color w:val="111111"/>
          <w:sz w:val="28"/>
          <w:szCs w:val="28"/>
          <w:rtl/>
        </w:rPr>
        <w:t xml:space="preserve">بی کا، بی تا؛ خریداری از عباس محسنی [ رایانه]</w:t>
      </w:r>
    </w:p>
    <w:p>
      <w:pPr>
        <w:pStyle w:val="BookText"/>
      </w:pPr>
      <w:r>
        <w:rPr>
          <w:rFonts w:ascii="IRNazanin" w:hAnsi="IRNazanin" w:eastAsia="IRNazanin" w:cs="IRNazanin"/>
          <w:lang w:bidi="fa-IR"/>
          <w:color w:val="111111"/>
          <w:sz w:val="28"/>
          <w:szCs w:val="28"/>
          <w:rtl/>
        </w:rPr>
        <w:t xml:space="preserve">۱۸۹۶. تهران؛ ملی؛ شماره نسخه: ۱۸۸۲۷</w:t>
      </w:r>
    </w:p>
    <w:p>
      <w:pPr>
        <w:pStyle w:val="BookText"/>
      </w:pPr>
      <w:r>
        <w:rPr>
          <w:rFonts w:ascii="IRNazanin" w:hAnsi="IRNazanin" w:eastAsia="IRNazanin" w:cs="IRNazanin"/>
          <w:lang w:bidi="fa-IR"/>
          <w:color w:val="111111"/>
          <w:sz w:val="28"/>
          <w:szCs w:val="28"/>
          <w:rtl/>
        </w:rPr>
        <w:t xml:space="preserve">مجموعه شعر؛ بی كا، بی تا؛ انتقالی از کتابخانه پهلوی - مجموعه نوازی؛ ۷۵گ، اندازه: ۱۰/۷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[رایانه]</w:t>
      </w:r>
    </w:p>
    <w:p>
      <w:pPr>
        <w:pStyle w:val="BookText"/>
      </w:pPr>
      <w:r>
        <w:rPr>
          <w:rFonts w:ascii="IRNazanin" w:hAnsi="IRNazanin" w:eastAsia="IRNazanin" w:cs="IRNazanin"/>
          <w:lang w:bidi="fa-IR"/>
          <w:color w:val="111111"/>
          <w:sz w:val="28"/>
          <w:szCs w:val="28"/>
          <w:rtl/>
        </w:rPr>
        <w:t xml:space="preserve">۱۸۹۷. تهران؛ دانشگاه شماره نسخه: ۲۶۰۳/۳-ف</w:t>
      </w:r>
    </w:p>
    <w:p>
      <w:pPr>
        <w:pStyle w:val="BookText"/>
      </w:pPr>
      <w:r>
        <w:rPr>
          <w:rFonts w:ascii="IRNazanin" w:hAnsi="IRNazanin" w:eastAsia="IRNazanin" w:cs="IRNazanin"/>
          <w:lang w:bidi="fa-IR"/>
          <w:color w:val="111111"/>
          <w:sz w:val="28"/>
          <w:szCs w:val="28"/>
          <w:rtl/>
        </w:rPr>
        <w:t xml:space="preserve">نسخه اصل: نسخه آقای افشار شیرازی؛ ابن حسام، ابیات مدح فی مهدى حق الحجة (عجّل الله تعالی فرجه الشریف)؛ بی کا، بی تا [فیلمها: ۱ - ۷۱۷]</w:t>
      </w:r>
    </w:p>
    <w:p>
      <w:pPr>
        <w:pStyle w:val="BookText"/>
      </w:pPr>
      <w:r>
        <w:rPr>
          <w:rFonts w:ascii="IRNazanin" w:hAnsi="IRNazanin" w:eastAsia="IRNazanin" w:cs="IRNazanin"/>
          <w:lang w:bidi="fa-IR"/>
          <w:color w:val="111111"/>
          <w:sz w:val="28"/>
          <w:szCs w:val="28"/>
          <w:rtl/>
        </w:rPr>
        <w:t xml:space="preserve">۱۸۹۸. تهران؛ ملی؛ شماره نسخه: ۱۸۸۴۳</w:t>
      </w:r>
    </w:p>
    <w:p>
      <w:pPr>
        <w:pStyle w:val="BookText"/>
      </w:pPr>
      <w:r>
        <w:rPr>
          <w:rFonts w:ascii="IRNazanin" w:hAnsi="IRNazanin" w:eastAsia="IRNazanin" w:cs="IRNazanin"/>
          <w:lang w:bidi="fa-IR"/>
          <w:color w:val="111111"/>
          <w:sz w:val="28"/>
          <w:szCs w:val="28"/>
          <w:rtl/>
        </w:rPr>
        <w:t xml:space="preserve">بی کا،بی تا؛ انتقالی از کتابخانه پهلوی - مجموعه نوازی؛ ۲۵۶ گ،اندازه: ۱۴/۱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۲۲/۹سم [رایانه]</w:t>
      </w:r>
    </w:p>
    <w:p>
      <w:pPr>
        <w:pStyle w:val="BookText"/>
      </w:pPr>
      <w:r>
        <w:rPr>
          <w:rFonts w:ascii="IRNazanin" w:hAnsi="IRNazanin" w:eastAsia="IRNazanin" w:cs="IRNazanin"/>
          <w:lang w:bidi="fa-IR"/>
          <w:color w:val="111111"/>
          <w:sz w:val="28"/>
          <w:szCs w:val="28"/>
          <w:rtl/>
        </w:rPr>
        <w:t xml:space="preserve">۱۸۹۹. تهران؛ ملی؛ شماره نسخه: ۱۸۸۴۹</w:t>
      </w:r>
    </w:p>
    <w:p>
      <w:pPr>
        <w:pStyle w:val="BookText"/>
      </w:pPr>
      <w:r>
        <w:rPr>
          <w:rFonts w:ascii="IRNazanin" w:hAnsi="IRNazanin" w:eastAsia="IRNazanin" w:cs="IRNazanin"/>
          <w:lang w:bidi="fa-IR"/>
          <w:color w:val="111111"/>
          <w:sz w:val="28"/>
          <w:szCs w:val="28"/>
          <w:rtl/>
        </w:rPr>
        <w:t xml:space="preserve">دیوان شعر؛ بی کا، بی تا؛ انتقالی از کتابخانه پهلوی نوازی ،اندازه: ۱۳/۸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[رایانه ]</w:t>
      </w:r>
    </w:p>
    <w:p>
      <w:pPr>
        <w:pStyle w:val="BookText"/>
      </w:pPr>
      <w:r>
        <w:rPr>
          <w:rFonts w:ascii="IRNazanin" w:hAnsi="IRNazanin" w:eastAsia="IRNazanin" w:cs="IRNazanin"/>
          <w:lang w:bidi="fa-IR"/>
          <w:color w:val="111111"/>
          <w:sz w:val="28"/>
          <w:szCs w:val="28"/>
          <w:rtl/>
        </w:rPr>
        <w:t xml:space="preserve">۱۹۰۰. تهران؛ ملی؛ شماره نسخه: ۱۸۸۶۵</w:t>
      </w:r>
    </w:p>
    <w:p>
      <w:pPr>
        <w:pStyle w:val="BookText"/>
      </w:pPr>
      <w:r>
        <w:rPr>
          <w:rFonts w:ascii="IRNazanin" w:hAnsi="IRNazanin" w:eastAsia="IRNazanin" w:cs="IRNazanin"/>
          <w:lang w:bidi="fa-IR"/>
          <w:color w:val="111111"/>
          <w:sz w:val="28"/>
          <w:szCs w:val="28"/>
          <w:rtl/>
        </w:rPr>
        <w:t xml:space="preserve">بی کا،بی تا؛ انتقالی از کتابخانه پهلوی - مجموعه نوازی؛ ۱۵۵گ، اندازه: ۱۶/۸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۲۲/۴سم رایانه ]</w:t>
      </w:r>
    </w:p>
    <w:p>
      <w:pPr>
        <w:pStyle w:val="BookText"/>
      </w:pPr>
      <w:r>
        <w:rPr>
          <w:rFonts w:ascii="IRNazanin" w:hAnsi="IRNazanin" w:eastAsia="IRNazanin" w:cs="IRNazanin"/>
          <w:lang w:bidi="fa-IR"/>
          <w:color w:val="111111"/>
          <w:sz w:val="28"/>
          <w:szCs w:val="28"/>
          <w:rtl/>
        </w:rPr>
        <w:t xml:space="preserve">۱۹۰۱. تهران؛ ملی؛ شماره نسخه: ۱۸۸۶۸</w:t>
      </w:r>
    </w:p>
    <w:p>
      <w:pPr>
        <w:pStyle w:val="BookText"/>
      </w:pPr>
      <w:r>
        <w:rPr>
          <w:rFonts w:ascii="IRNazanin" w:hAnsi="IRNazanin" w:eastAsia="IRNazanin" w:cs="IRNazanin"/>
          <w:lang w:bidi="fa-IR"/>
          <w:color w:val="111111"/>
          <w:sz w:val="28"/>
          <w:szCs w:val="28"/>
          <w:rtl/>
        </w:rPr>
        <w:t xml:space="preserve">جنگ شعر؛ بی کا، بی تا؛ انتقالی از کتابخانه پهلوی - مجموعه نوازی؛ ۱۸۹گ، اندازه: 13</w:t>
      </w:r>
      <w:r>
        <w:rPr>
          <w:rFonts w:ascii="Times New Roman" w:hAnsi="Times New Roman" w:eastAsia="Times New Roman" w:cs="Times New Roman"/>
          <w:lang w:val="en-US" w:bidi="en-US"/>
          <w:color w:val="111111"/>
          <w:sz w:val="28"/>
          <w:szCs w:val="28"/>
          <w:rtl/>
        </w:rPr>
        <w:t xml:space="preserve">×23/3</w:t>
      </w:r>
      <w:r>
        <w:rPr>
          <w:rFonts w:ascii="IRNazanin" w:hAnsi="IRNazanin" w:eastAsia="IRNazanin" w:cs="IRNazanin"/>
          <w:lang w:bidi="fa-IR"/>
          <w:color w:val="111111"/>
          <w:sz w:val="28"/>
          <w:szCs w:val="28"/>
          <w:rtl/>
        </w:rPr>
        <w:t xml:space="preserve">سم [رایانه]</w:t>
      </w:r>
    </w:p>
    <w:p>
      <w:pPr>
        <w:pStyle w:val="BookText"/>
      </w:pPr>
      <w:r>
        <w:rPr>
          <w:rFonts w:ascii="IRNazanin" w:hAnsi="IRNazanin" w:eastAsia="IRNazanin" w:cs="IRNazanin"/>
          <w:lang w:bidi="fa-IR"/>
          <w:color w:val="111111"/>
          <w:sz w:val="28"/>
          <w:szCs w:val="28"/>
          <w:rtl/>
        </w:rPr>
        <w:t xml:space="preserve">۱۹۰۲. تهران؛ ملی؛ شماره نسخه: ۱۸۸۷۵</w:t>
      </w:r>
    </w:p>
    <w:p>
      <w:pPr>
        <w:pStyle w:val="BookText"/>
      </w:pPr>
      <w:r>
        <w:rPr>
          <w:rFonts w:ascii="IRNazanin" w:hAnsi="IRNazanin" w:eastAsia="IRNazanin" w:cs="IRNazanin"/>
          <w:lang w:bidi="fa-IR"/>
          <w:color w:val="111111"/>
          <w:sz w:val="28"/>
          <w:szCs w:val="28"/>
          <w:rtl/>
        </w:rPr>
        <w:t xml:space="preserve">مثنوی؛ بی کا، بی تا؛ انتقالی از کتابخانه پهلوی - مجموعه نوازی،۹۰گ، اندازه: ۱۴/۱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۲۲/۷سم [رایانه]</w:t>
      </w:r>
    </w:p>
    <w:p>
      <w:pPr>
        <w:pStyle w:val="BookText"/>
      </w:pPr>
      <w:r>
        <w:rPr>
          <w:rFonts w:ascii="IRNazanin" w:hAnsi="IRNazanin" w:eastAsia="IRNazanin" w:cs="IRNazanin"/>
          <w:lang w:bidi="fa-IR"/>
          <w:color w:val="111111"/>
          <w:sz w:val="28"/>
          <w:szCs w:val="28"/>
          <w:rtl/>
        </w:rPr>
        <w:t xml:space="preserve">۱۹۰۳. تهران؛ ملی؛ شماره نسخه: ۱۸۸۸۹</w:t>
      </w:r>
    </w:p>
    <w:p>
      <w:pPr>
        <w:pStyle w:val="BookText"/>
      </w:pPr>
      <w:r>
        <w:rPr>
          <w:rFonts w:ascii="IRNazanin" w:hAnsi="IRNazanin" w:eastAsia="IRNazanin" w:cs="IRNazanin"/>
          <w:lang w:bidi="fa-IR"/>
          <w:color w:val="111111"/>
          <w:sz w:val="28"/>
          <w:szCs w:val="28"/>
          <w:rtl/>
        </w:rPr>
        <w:t xml:space="preserve">مثنوی؛ بی کا، بی تا؛ انتقالی از کتابخانه پهلوی - مجموعه نوازی، ۱۴۱گ، اندازه: ۲۰/۵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۲۶/۸سم [رایانه]</w:t>
      </w:r>
    </w:p>
    <w:p>
      <w:pPr>
        <w:pStyle w:val="BookText"/>
      </w:pPr>
      <w:r>
        <w:rPr>
          <w:rFonts w:ascii="IRNazanin" w:hAnsi="IRNazanin" w:eastAsia="IRNazanin" w:cs="IRNazanin"/>
          <w:lang w:bidi="fa-IR"/>
          <w:color w:val="111111"/>
          <w:sz w:val="28"/>
          <w:szCs w:val="28"/>
          <w:rtl/>
        </w:rPr>
        <w:t xml:space="preserve">۱۹۰۴. تهران؛ ملی؛ شماره نسخه: ۱۸۸۹۵</w:t>
      </w:r>
    </w:p>
    <w:p>
      <w:pPr>
        <w:pStyle w:val="BookText"/>
      </w:pPr>
      <w:r>
        <w:rPr>
          <w:rFonts w:ascii="IRNazanin" w:hAnsi="IRNazanin" w:eastAsia="IRNazanin" w:cs="IRNazanin"/>
          <w:lang w:bidi="fa-IR"/>
          <w:color w:val="111111"/>
          <w:sz w:val="28"/>
          <w:szCs w:val="28"/>
          <w:rtl/>
        </w:rPr>
        <w:t xml:space="preserve">مثنوی؛ بی کا، بی تا ؛انتقالی از کتابخانه پهلوی - مجموعه نوازی؛ ۲۹۳گ،اندازه: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[رایانه ]</w:t>
      </w:r>
    </w:p>
    <w:p>
      <w:pPr>
        <w:pStyle w:val="BookText"/>
      </w:pPr>
      <w:r>
        <w:rPr>
          <w:rFonts w:ascii="IRNazanin" w:hAnsi="IRNazanin" w:eastAsia="IRNazanin" w:cs="IRNazanin"/>
          <w:lang w:bidi="fa-IR"/>
          <w:color w:val="111111"/>
          <w:sz w:val="28"/>
          <w:szCs w:val="28"/>
          <w:rtl/>
        </w:rPr>
        <w:t xml:space="preserve">۱۹۰۵. تهران؛ ملی؛ شماره نسخه: ۱۸۸۹۶</w:t>
      </w:r>
    </w:p>
    <w:p>
      <w:pPr>
        <w:pStyle w:val="BookText"/>
      </w:pPr>
      <w:r>
        <w:rPr>
          <w:rFonts w:ascii="IRNazanin" w:hAnsi="IRNazanin" w:eastAsia="IRNazanin" w:cs="IRNazanin"/>
          <w:lang w:bidi="fa-IR"/>
          <w:color w:val="111111"/>
          <w:sz w:val="28"/>
          <w:szCs w:val="28"/>
          <w:rtl/>
        </w:rPr>
        <w:t xml:space="preserve">بی کا، بی تا؛ انتقالی از کتابخانه پهلوی - مجموعه نوازی؛ ۱۸۶گ،اندازه: ۱۳/۱۸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۲۲/۱سم [رایانه ]</w:t>
      </w:r>
    </w:p>
    <w:p>
      <w:pPr>
        <w:pStyle w:val="BookText"/>
      </w:pPr>
      <w:r>
        <w:rPr>
          <w:rFonts w:ascii="IRNazanin" w:hAnsi="IRNazanin" w:eastAsia="IRNazanin" w:cs="IRNazanin"/>
          <w:lang w:bidi="fa-IR"/>
          <w:color w:val="111111"/>
          <w:sz w:val="28"/>
          <w:szCs w:val="28"/>
          <w:rtl/>
        </w:rPr>
        <w:t xml:space="preserve">۱۹۰۶. تهران؛ ملی؛ شماره نسخه: ۱۸۹۰۵</w:t>
      </w:r>
    </w:p>
    <w:p>
      <w:pPr>
        <w:pStyle w:val="BookText"/>
      </w:pPr>
      <w:r>
        <w:rPr>
          <w:rFonts w:ascii="IRNazanin" w:hAnsi="IRNazanin" w:eastAsia="IRNazanin" w:cs="IRNazanin"/>
          <w:lang w:bidi="fa-IR"/>
          <w:color w:val="111111"/>
          <w:sz w:val="28"/>
          <w:szCs w:val="28"/>
          <w:rtl/>
        </w:rPr>
        <w:t xml:space="preserve">بی کا ، بی تا؛ انتقالی از کتابخانه پهلوی - مجموعه نوازی؛ ۷۶گ،اندازه: ۷/۶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۱۳/۱سم [رایانه]</w:t>
      </w:r>
    </w:p>
    <w:p>
      <w:pPr>
        <w:pStyle w:val="BookText"/>
      </w:pPr>
      <w:r>
        <w:rPr>
          <w:rFonts w:ascii="IRNazanin" w:hAnsi="IRNazanin" w:eastAsia="IRNazanin" w:cs="IRNazanin"/>
          <w:lang w:bidi="fa-IR"/>
          <w:color w:val="111111"/>
          <w:sz w:val="28"/>
          <w:szCs w:val="28"/>
          <w:rtl/>
        </w:rPr>
        <w:t xml:space="preserve">۱۹۰۷. تهران؛ مدارک فرهنگی؛ شماره نسخه: ۱۰۵</w:t>
      </w:r>
    </w:p>
    <w:p>
      <w:pPr>
        <w:pStyle w:val="BookText"/>
      </w:pPr>
      <w:r>
        <w:rPr>
          <w:rFonts w:ascii="IRNazanin" w:hAnsi="IRNazanin" w:eastAsia="IRNazanin" w:cs="IRNazanin"/>
          <w:lang w:bidi="fa-IR"/>
          <w:color w:val="111111"/>
          <w:sz w:val="28"/>
          <w:szCs w:val="28"/>
          <w:rtl/>
        </w:rPr>
        <w:t xml:space="preserve">آغاز: ساز در بحر رمل بار دیگر سیر مقام *** فاعلاتن فاعلاتن فاعلاتن فاعلات؛ انجام: سطر است وزیر در قم خط و سفر چه کنار *** تفتيش ... يحصل مسئله</w:t>
      </w:r>
    </w:p>
    <w:p>
      <w:pPr>
        <w:pStyle w:val="BookText"/>
      </w:pPr>
      <w:r>
        <w:rPr>
          <w:rFonts w:ascii="IRNazanin" w:hAnsi="IRNazanin" w:eastAsia="IRNazanin" w:cs="IRNazanin"/>
          <w:lang w:bidi="fa-IR"/>
          <w:color w:val="111111"/>
          <w:sz w:val="28"/>
          <w:szCs w:val="28"/>
          <w:rtl/>
        </w:rPr>
        <w:t xml:space="preserve">شعر مذهبی است در مورد ماه محرم، امام حسین (علیه السّلام)، حضرت فاطمه و ....؛ خط: شکسته نستعلیق خوش، بی کا، بی تا؛ افتادگی: آغاز و وسط و انجام؛ کاغذ: فرنگی الوان، جلد: مقوایی روکش پارچه ای منقش سبز رنگ، ۲۲گ، ۹ سطر،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۲۱/۵سـم[ ف: ۹۷]</w:t>
      </w:r>
    </w:p>
    <w:p>
      <w:pPr>
        <w:pStyle w:val="BookText"/>
      </w:pPr>
      <w:r>
        <w:rPr>
          <w:rFonts w:ascii="IRNazanin" w:hAnsi="IRNazanin" w:eastAsia="IRNazanin" w:cs="IRNazanin"/>
          <w:lang w:bidi="fa-IR"/>
          <w:color w:val="111111"/>
          <w:sz w:val="28"/>
          <w:szCs w:val="28"/>
          <w:rtl/>
        </w:rPr>
        <w:t xml:space="preserve">۱۹۰۸. تهران؛ دانشگاه؛ شماره نسخه: ۹۵۶۸/۴</w:t>
      </w:r>
    </w:p>
    <w:p>
      <w:pPr>
        <w:pStyle w:val="BookText"/>
      </w:pPr>
      <w:r>
        <w:rPr>
          <w:rFonts w:ascii="IRNazanin" w:hAnsi="IRNazanin" w:eastAsia="IRNazanin" w:cs="IRNazanin"/>
          <w:lang w:bidi="fa-IR"/>
          <w:color w:val="111111"/>
          <w:sz w:val="28"/>
          <w:szCs w:val="28"/>
          <w:rtl/>
        </w:rPr>
        <w:t xml:space="preserve">منظومه فارسی مذهبی شیعی؛ بی کا، بی تا؛ افتادگی: آغاز و انجام؛ کاغذ: سپاهانی، ربعی، ۵ گ ( ۱۶۰ پ - ۱۶۵پ) [ف: ۱۷ - ۴۰۸]</w:t>
      </w:r>
    </w:p>
    <w:p>
      <w:pPr>
        <w:pStyle w:val="BookText"/>
      </w:pPr>
      <w:r>
        <w:rPr>
          <w:rFonts w:ascii="IRNazanin" w:hAnsi="IRNazanin" w:eastAsia="IRNazanin" w:cs="IRNazanin"/>
          <w:lang w:bidi="fa-IR"/>
          <w:color w:val="111111"/>
          <w:sz w:val="28"/>
          <w:szCs w:val="28"/>
          <w:rtl/>
        </w:rPr>
        <w:t xml:space="preserve">۱۹۰۹. تهران؛ ملی؛ شماره نسخه: ۱۸۹۱۱</w:t>
      </w:r>
    </w:p>
    <w:p>
      <w:pPr>
        <w:pStyle w:val="BookText"/>
      </w:pPr>
      <w:r>
        <w:rPr>
          <w:rFonts w:ascii="IRNazanin" w:hAnsi="IRNazanin" w:eastAsia="IRNazanin" w:cs="IRNazanin"/>
          <w:lang w:bidi="fa-IR"/>
          <w:color w:val="111111"/>
          <w:sz w:val="28"/>
          <w:szCs w:val="28"/>
          <w:rtl/>
        </w:rPr>
        <w:t xml:space="preserve">دیوان شعر داراب؛ بی تا، بی کا؛ انتقالی از کتابخانه پهلوی- مجموعه نوازی؛ ۸۲گ، اندازه: ۱۲/۹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۱۹/۴سم [رایانه]</w:t>
      </w:r>
    </w:p>
    <w:p>
      <w:pPr>
        <w:pStyle w:val="BookText"/>
      </w:pPr>
      <w:r>
        <w:rPr>
          <w:rFonts w:ascii="IRNazanin" w:hAnsi="IRNazanin" w:eastAsia="IRNazanin" w:cs="IRNazanin"/>
          <w:lang w:bidi="fa-IR"/>
          <w:color w:val="111111"/>
          <w:sz w:val="28"/>
          <w:szCs w:val="28"/>
          <w:rtl/>
        </w:rPr>
        <w:t xml:space="preserve">۱۹۱۰. تهران؛ ملی؛ شماره نسخه: ۱۸۹۱۴</w:t>
      </w:r>
    </w:p>
    <w:p>
      <w:pPr>
        <w:pStyle w:val="BookText"/>
      </w:pPr>
      <w:r>
        <w:rPr>
          <w:rFonts w:ascii="IRNazanin" w:hAnsi="IRNazanin" w:eastAsia="IRNazanin" w:cs="IRNazanin"/>
          <w:lang w:bidi="fa-IR"/>
          <w:color w:val="111111"/>
          <w:sz w:val="28"/>
          <w:szCs w:val="28"/>
          <w:rtl/>
        </w:rPr>
        <w:t xml:space="preserve">مثنوی؛ بی کا ، بی تا؛ انتقالی از کتابخانه پهلوی - مجموعه نوازی؛  ۱۴۶گ، 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۱۶/۲سم [رایانه ]</w:t>
      </w:r>
    </w:p>
    <w:p>
      <w:pPr>
        <w:pStyle w:val="BookText"/>
      </w:pPr>
      <w:r>
        <w:rPr>
          <w:rFonts w:ascii="IRNazanin" w:hAnsi="IRNazanin" w:eastAsia="IRNazanin" w:cs="IRNazanin"/>
          <w:lang w:bidi="fa-IR"/>
          <w:color w:val="111111"/>
          <w:sz w:val="28"/>
          <w:szCs w:val="28"/>
          <w:rtl/>
        </w:rPr>
        <w:t xml:space="preserve">۱۹۱۱. تهران؛ ملی؛ شماره نسخه: ۱۸۹۱۶</w:t>
      </w:r>
    </w:p>
    <w:p>
      <w:pPr>
        <w:pStyle w:val="BookText"/>
      </w:pPr>
      <w:r>
        <w:rPr>
          <w:rFonts w:ascii="IRNazanin" w:hAnsi="IRNazanin" w:eastAsia="IRNazanin" w:cs="IRNazanin"/>
          <w:lang w:bidi="fa-IR"/>
          <w:color w:val="111111"/>
          <w:sz w:val="28"/>
          <w:szCs w:val="28"/>
          <w:rtl/>
        </w:rPr>
        <w:t xml:space="preserve">جنگ شعر؛ بی کا، بی تا؛ انتقالی از کتابخانه پهلوی-مجموعه نوازی؛ ۲۳۹گ، اندازه: ۱۲/۷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۲۱/۱سم [رایانه]</w:t>
      </w:r>
    </w:p>
    <w:p>
      <w:pPr>
        <w:pStyle w:val="BookText"/>
      </w:pPr>
      <w:r>
        <w:rPr>
          <w:rFonts w:ascii="IRNazanin" w:hAnsi="IRNazanin" w:eastAsia="IRNazanin" w:cs="IRNazanin"/>
          <w:lang w:bidi="fa-IR"/>
          <w:color w:val="111111"/>
          <w:sz w:val="28"/>
          <w:szCs w:val="28"/>
          <w:rtl/>
        </w:rPr>
        <w:t xml:space="preserve">۱۹۱۲. تهران؛ ملی؛ شماره نسخه: ۱۸۹۲۰</w:t>
      </w:r>
    </w:p>
    <w:p>
      <w:pPr>
        <w:pStyle w:val="BookText"/>
      </w:pPr>
      <w:r>
        <w:rPr>
          <w:rFonts w:ascii="IRNazanin" w:hAnsi="IRNazanin" w:eastAsia="IRNazanin" w:cs="IRNazanin"/>
          <w:lang w:bidi="fa-IR"/>
          <w:color w:val="111111"/>
          <w:sz w:val="28"/>
          <w:szCs w:val="28"/>
          <w:rtl/>
        </w:rPr>
        <w:t xml:space="preserve">منظومه ای عرفانی؛ بی کا، بی تا؛ انتقالی از کتابخانه پهلوی- مجموعه نوازی؛ ۴۵گ، اندازه: ۱۵/۸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۲۲/۱سم [رایانه]</w:t>
      </w:r>
    </w:p>
    <w:p>
      <w:pPr>
        <w:pStyle w:val="BookText"/>
      </w:pPr>
      <w:r>
        <w:rPr>
          <w:rFonts w:ascii="IRNazanin" w:hAnsi="IRNazanin" w:eastAsia="IRNazanin" w:cs="IRNazanin"/>
          <w:lang w:bidi="fa-IR"/>
          <w:color w:val="111111"/>
          <w:sz w:val="28"/>
          <w:szCs w:val="28"/>
          <w:rtl/>
        </w:rPr>
        <w:t xml:space="preserve">۱۹۱۳. تهران؛ ملی؛ شماره نسخه: ۱۸۹۳۵</w:t>
      </w:r>
    </w:p>
    <w:p>
      <w:pPr>
        <w:pStyle w:val="BookText"/>
      </w:pPr>
      <w:r>
        <w:rPr>
          <w:rFonts w:ascii="IRNazanin" w:hAnsi="IRNazanin" w:eastAsia="IRNazanin" w:cs="IRNazanin"/>
          <w:lang w:bidi="fa-IR"/>
          <w:color w:val="111111"/>
          <w:sz w:val="28"/>
          <w:szCs w:val="28"/>
          <w:rtl/>
        </w:rPr>
        <w:t xml:space="preserve">دیوان چند شاعر؛ بی کا، بی تا، انتقالی از کتابخانه پهلوی- مجموعه نوازی؛ ۲۱۷گ، اندازه: ۱۸/۹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۲۴/۸سم [رایانه]</w:t>
      </w:r>
    </w:p>
    <w:p>
      <w:pPr>
        <w:pStyle w:val="BookText"/>
      </w:pPr>
      <w:r>
        <w:rPr>
          <w:rFonts w:ascii="IRNazanin" w:hAnsi="IRNazanin" w:eastAsia="IRNazanin" w:cs="IRNazanin"/>
          <w:lang w:bidi="fa-IR"/>
          <w:color w:val="111111"/>
          <w:sz w:val="28"/>
          <w:szCs w:val="28"/>
          <w:rtl/>
        </w:rPr>
        <w:t xml:space="preserve">۱۹۱۴. تهران؛ ملی؛ شماره نسخه: ۱۸۹۳۹</w:t>
      </w:r>
    </w:p>
    <w:p>
      <w:pPr>
        <w:pStyle w:val="BookText"/>
      </w:pPr>
      <w:r>
        <w:rPr>
          <w:rFonts w:ascii="IRNazanin" w:hAnsi="IRNazanin" w:eastAsia="IRNazanin" w:cs="IRNazanin"/>
          <w:lang w:bidi="fa-IR"/>
          <w:color w:val="111111"/>
          <w:sz w:val="28"/>
          <w:szCs w:val="28"/>
          <w:rtl/>
        </w:rPr>
        <w:t xml:space="preserve">مثنوی؛ بی کا، بی تا؛ انتقالی از کتابخانه پهلوی - مجموعه نوازی؛ ۱۳۵گ، اندازه: ۱۵/۲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۲۶/۳سم [رایانه ]</w:t>
      </w:r>
    </w:p>
    <w:p>
      <w:pPr>
        <w:pStyle w:val="BookText"/>
      </w:pPr>
      <w:r>
        <w:rPr>
          <w:rFonts w:ascii="IRNazanin" w:hAnsi="IRNazanin" w:eastAsia="IRNazanin" w:cs="IRNazanin"/>
          <w:lang w:bidi="fa-IR"/>
          <w:color w:val="111111"/>
          <w:sz w:val="28"/>
          <w:szCs w:val="28"/>
          <w:rtl/>
        </w:rPr>
        <w:t xml:space="preserve">۱۹۱۵. تهران؛ ملی؛ شماره نسخه: ۱۸۹۴۳</w:t>
      </w:r>
    </w:p>
    <w:p>
      <w:pPr>
        <w:pStyle w:val="BookText"/>
      </w:pPr>
      <w:r>
        <w:rPr>
          <w:rFonts w:ascii="IRNazanin" w:hAnsi="IRNazanin" w:eastAsia="IRNazanin" w:cs="IRNazanin"/>
          <w:lang w:bidi="fa-IR"/>
          <w:color w:val="111111"/>
          <w:sz w:val="28"/>
          <w:szCs w:val="28"/>
          <w:rtl/>
        </w:rPr>
        <w:t xml:space="preserve">دیوان شعر؛ بی کا، بی تا؛ انتقالی از کتابخانه پهلوی- مجموعه نوازی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۲۳/۶سم [رایانه]</w:t>
      </w:r>
    </w:p>
    <w:p>
      <w:pPr>
        <w:pStyle w:val="BookText"/>
      </w:pPr>
      <w:r>
        <w:rPr>
          <w:rFonts w:ascii="IRNazanin" w:hAnsi="IRNazanin" w:eastAsia="IRNazanin" w:cs="IRNazanin"/>
          <w:lang w:bidi="fa-IR"/>
          <w:color w:val="111111"/>
          <w:sz w:val="28"/>
          <w:szCs w:val="28"/>
          <w:rtl/>
        </w:rPr>
        <w:t xml:space="preserve">۱۹۱۶. تهران؛ ملی؛ شماره نسخه: ۱۸۹۵۴
</w:t>
      </w:r>
    </w:p>
    <w:p>
      <w:pPr>
        <w:sectPr>
          <w:footerReference w:type="default" r:id="rId9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 کا،بی تا؛ انتقالی از کتابخانه پهلوی - مجموعه نوازی؛ ۳۳۸ گ،اندازه: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۱۹/۸سم [رایانه ]</w:t>
      </w:r>
    </w:p>
    <w:p>
      <w:pPr>
        <w:pStyle w:val="BookText"/>
      </w:pPr>
      <w:r>
        <w:rPr>
          <w:rFonts w:ascii="IRNazanin" w:hAnsi="IRNazanin" w:eastAsia="IRNazanin" w:cs="IRNazanin"/>
          <w:lang w:bidi="fa-IR"/>
          <w:color w:val="111111"/>
          <w:sz w:val="28"/>
          <w:szCs w:val="28"/>
          <w:rtl/>
        </w:rPr>
        <w:t xml:space="preserve">۱۹۱۷. تهران؛ ملی؛ شماره نسخه: ۱۸۹۵۹</w:t>
      </w:r>
    </w:p>
    <w:p>
      <w:pPr>
        <w:pStyle w:val="BookText"/>
      </w:pPr>
      <w:r>
        <w:rPr>
          <w:rFonts w:ascii="IRNazanin" w:hAnsi="IRNazanin" w:eastAsia="IRNazanin" w:cs="IRNazanin"/>
          <w:lang w:bidi="fa-IR"/>
          <w:color w:val="111111"/>
          <w:sz w:val="28"/>
          <w:szCs w:val="28"/>
          <w:rtl/>
        </w:rPr>
        <w:t xml:space="preserve">جنگ شعر؛ بی کا، بی تا؛ انتقالی از کتابخانه پهلوی مجموعه نوازی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۱۹/۵سم [رایانه ]</w:t>
      </w:r>
    </w:p>
    <w:p>
      <w:pPr>
        <w:pStyle w:val="BookText"/>
      </w:pPr>
      <w:r>
        <w:rPr>
          <w:rFonts w:ascii="IRNazanin" w:hAnsi="IRNazanin" w:eastAsia="IRNazanin" w:cs="IRNazanin"/>
          <w:lang w:bidi="fa-IR"/>
          <w:color w:val="111111"/>
          <w:sz w:val="28"/>
          <w:szCs w:val="28"/>
          <w:rtl/>
        </w:rPr>
        <w:t xml:space="preserve">۱۹۱۸. تهران؛ ملی؛ شماره نسخه: ۱۸۹۶۳</w:t>
      </w:r>
    </w:p>
    <w:p>
      <w:pPr>
        <w:pStyle w:val="BookText"/>
      </w:pPr>
      <w:r>
        <w:rPr>
          <w:rFonts w:ascii="IRNazanin" w:hAnsi="IRNazanin" w:eastAsia="IRNazanin" w:cs="IRNazanin"/>
          <w:lang w:bidi="fa-IR"/>
          <w:color w:val="111111"/>
          <w:sz w:val="28"/>
          <w:szCs w:val="28"/>
          <w:rtl/>
        </w:rPr>
        <w:t xml:space="preserve">مثنوی؛ بی کا، بی تا؛ انتقالی از کتابخانه پهلوی - مجموعه نوازی؛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رایانه ]</w:t>
      </w:r>
    </w:p>
    <w:p>
      <w:pPr>
        <w:pStyle w:val="BookText"/>
      </w:pPr>
      <w:r>
        <w:rPr>
          <w:rFonts w:ascii="IRNazanin" w:hAnsi="IRNazanin" w:eastAsia="IRNazanin" w:cs="IRNazanin"/>
          <w:lang w:bidi="fa-IR"/>
          <w:color w:val="111111"/>
          <w:sz w:val="28"/>
          <w:szCs w:val="28"/>
          <w:rtl/>
        </w:rPr>
        <w:t xml:space="preserve">۱۹۱۹. تهران؛ ملی؛ شماره نسخه: ۲۲۹۵۱</w:t>
      </w:r>
    </w:p>
    <w:p>
      <w:pPr>
        <w:pStyle w:val="BookText"/>
      </w:pPr>
      <w:r>
        <w:rPr>
          <w:rFonts w:ascii="IRNazanin" w:hAnsi="IRNazanin" w:eastAsia="IRNazanin" w:cs="IRNazanin"/>
          <w:lang w:bidi="fa-IR"/>
          <w:color w:val="111111"/>
          <w:sz w:val="28"/>
          <w:szCs w:val="28"/>
          <w:rtl/>
        </w:rPr>
        <w:t xml:space="preserve">مجموعه اشعار پراکنده؛ بی کا، بی تا؛ خریداری از نادر طاهایی [ رایانه ]</w:t>
      </w:r>
    </w:p>
    <w:p>
      <w:pPr>
        <w:pStyle w:val="BookText"/>
      </w:pPr>
      <w:r>
        <w:rPr>
          <w:rFonts w:ascii="IRNazanin" w:hAnsi="IRNazanin" w:eastAsia="IRNazanin" w:cs="IRNazanin"/>
          <w:lang w:bidi="fa-IR"/>
          <w:color w:val="111111"/>
          <w:sz w:val="28"/>
          <w:szCs w:val="28"/>
          <w:rtl/>
        </w:rPr>
        <w:t xml:space="preserve">۱۹۲۰. تهران؛ مجلس؛ شماره نسخه: ۱۱۵۱/۴</w:t>
      </w:r>
    </w:p>
    <w:p>
      <w:pPr>
        <w:pStyle w:val="BookText"/>
      </w:pPr>
      <w:r>
        <w:rPr>
          <w:rFonts w:ascii="IRNazanin" w:hAnsi="IRNazanin" w:eastAsia="IRNazanin" w:cs="IRNazanin"/>
          <w:lang w:bidi="fa-IR"/>
          <w:color w:val="111111"/>
          <w:sz w:val="28"/>
          <w:szCs w:val="28"/>
          <w:rtl/>
        </w:rPr>
        <w:t xml:space="preserve">ترجیعات و ترکیبات سعدی ،جامی، میر مشتاق، میر نظام، مثـمن میرزا مفتون، نورالعین واقف ۵۴۲-۶۲۹؛ خط: نستعلیق چلیپا، بی کا، بی تا [سنا: ف: ۲ - ۱۴۲]</w:t>
      </w:r>
    </w:p>
    <w:p>
      <w:pPr>
        <w:pStyle w:val="BookText"/>
      </w:pPr>
      <w:r>
        <w:rPr>
          <w:rFonts w:ascii="IRNazanin" w:hAnsi="IRNazanin" w:eastAsia="IRNazanin" w:cs="IRNazanin"/>
          <w:lang w:bidi="fa-IR"/>
          <w:color w:val="111111"/>
          <w:sz w:val="28"/>
          <w:szCs w:val="28"/>
          <w:rtl/>
        </w:rPr>
        <w:t xml:space="preserve">۱۹۲۱. تهران؛ ملی؛ شماره نسخه: ۲۶۸۸۲</w:t>
      </w:r>
    </w:p>
    <w:p>
      <w:pPr>
        <w:pStyle w:val="BookText"/>
      </w:pPr>
      <w:r>
        <w:rPr>
          <w:rFonts w:ascii="IRNazanin" w:hAnsi="IRNazanin" w:eastAsia="IRNazanin" w:cs="IRNazanin"/>
          <w:lang w:bidi="fa-IR"/>
          <w:color w:val="111111"/>
          <w:sz w:val="28"/>
          <w:szCs w:val="28"/>
          <w:rtl/>
        </w:rPr>
        <w:t xml:space="preserve">بیاض جنگ اشعار گوناگون؛ بی کا، بی تا؛ خریداری از عباس محسنی [رایانه]</w:t>
      </w:r>
    </w:p>
    <w:p>
      <w:pPr>
        <w:pStyle w:val="BookText"/>
      </w:pPr>
      <w:r>
        <w:rPr>
          <w:rFonts w:ascii="IRNazanin" w:hAnsi="IRNazanin" w:eastAsia="IRNazanin" w:cs="IRNazanin"/>
          <w:lang w:bidi="fa-IR"/>
          <w:color w:val="111111"/>
          <w:sz w:val="28"/>
          <w:szCs w:val="28"/>
          <w:rtl/>
        </w:rPr>
        <w:t xml:space="preserve">۱۹۲۲. تهران؛ ملی؛ شماره نسخه: ۲۶۸۸۷</w:t>
      </w:r>
    </w:p>
    <w:p>
      <w:pPr>
        <w:pStyle w:val="BookText"/>
      </w:pPr>
      <w:r>
        <w:rPr>
          <w:rFonts w:ascii="IRNazanin" w:hAnsi="IRNazanin" w:eastAsia="IRNazanin" w:cs="IRNazanin"/>
          <w:lang w:bidi="fa-IR"/>
          <w:color w:val="111111"/>
          <w:sz w:val="28"/>
          <w:szCs w:val="28"/>
          <w:rtl/>
        </w:rPr>
        <w:t xml:space="preserve">مجموعه اشعار؛ بی کا، بی تا؛ خریداری از عباس محسنی [رایانه]</w:t>
      </w:r>
    </w:p>
    <w:p>
      <w:pPr>
        <w:pStyle w:val="BookText"/>
      </w:pPr>
      <w:r>
        <w:rPr>
          <w:rFonts w:ascii="IRNazanin" w:hAnsi="IRNazanin" w:eastAsia="IRNazanin" w:cs="IRNazanin"/>
          <w:lang w:bidi="fa-IR"/>
          <w:color w:val="111111"/>
          <w:sz w:val="28"/>
          <w:szCs w:val="28"/>
          <w:rtl/>
        </w:rPr>
        <w:t xml:space="preserve">۱۹۲۳. تهران؛ ملی؛ شماره نسخه: ۲۵۵۳۱</w:t>
      </w:r>
    </w:p>
    <w:p>
      <w:pPr>
        <w:pStyle w:val="BookText"/>
      </w:pPr>
      <w:r>
        <w:rPr>
          <w:rFonts w:ascii="IRNazanin" w:hAnsi="IRNazanin" w:eastAsia="IRNazanin" w:cs="IRNazanin"/>
          <w:lang w:bidi="fa-IR"/>
          <w:color w:val="111111"/>
          <w:sz w:val="28"/>
          <w:szCs w:val="28"/>
          <w:rtl/>
        </w:rPr>
        <w:t xml:space="preserve">جنگ شعر؛ بی کا، بی تا؛ خریداری از میر دادخان [رایانه]</w:t>
      </w:r>
    </w:p>
    <w:p>
      <w:pPr>
        <w:pStyle w:val="BookText"/>
      </w:pPr>
      <w:r>
        <w:rPr>
          <w:rFonts w:ascii="IRNazanin" w:hAnsi="IRNazanin" w:eastAsia="IRNazanin" w:cs="IRNazanin"/>
          <w:lang w:bidi="fa-IR"/>
          <w:color w:val="111111"/>
          <w:sz w:val="28"/>
          <w:szCs w:val="28"/>
          <w:rtl/>
        </w:rPr>
        <w:t xml:space="preserve">۱۹۲۴. تهران؛ ملی؛ شماره نسخه: ۲۶۹۲۷</w:t>
      </w:r>
    </w:p>
    <w:p>
      <w:pPr>
        <w:pStyle w:val="BookText"/>
      </w:pPr>
      <w:r>
        <w:rPr>
          <w:rFonts w:ascii="IRNazanin" w:hAnsi="IRNazanin" w:eastAsia="IRNazanin" w:cs="IRNazanin"/>
          <w:lang w:bidi="fa-IR"/>
          <w:color w:val="111111"/>
          <w:sz w:val="28"/>
          <w:szCs w:val="28"/>
          <w:rtl/>
        </w:rPr>
        <w:t xml:space="preserve">جنگ اشعار گوناگون؛ بی کا، بی تا؛ خریداری از عباس محسـنی[ رایانه ]</w:t>
      </w:r>
    </w:p>
    <w:p>
      <w:pPr>
        <w:pStyle w:val="BookText"/>
      </w:pPr>
      <w:r>
        <w:rPr>
          <w:rFonts w:ascii="IRNazanin" w:hAnsi="IRNazanin" w:eastAsia="IRNazanin" w:cs="IRNazanin"/>
          <w:lang w:bidi="fa-IR"/>
          <w:color w:val="111111"/>
          <w:sz w:val="28"/>
          <w:szCs w:val="28"/>
          <w:rtl/>
        </w:rPr>
        <w:t xml:space="preserve">۱۹۲۵. تهران؛ ملی؛ شماره نسخه: ۲۷۰۷۱</w:t>
      </w:r>
    </w:p>
    <w:p>
      <w:pPr>
        <w:pStyle w:val="BookText"/>
      </w:pPr>
      <w:r>
        <w:rPr>
          <w:rFonts w:ascii="IRNazanin" w:hAnsi="IRNazanin" w:eastAsia="IRNazanin" w:cs="IRNazanin"/>
          <w:lang w:bidi="fa-IR"/>
          <w:color w:val="111111"/>
          <w:sz w:val="28"/>
          <w:szCs w:val="28"/>
          <w:rtl/>
        </w:rPr>
        <w:t xml:space="preserve">جزو شعر؛ بی کا، بی تا؛ خریداری از پوراندخت اربابی [رایانه]</w:t>
      </w:r>
    </w:p>
    <w:p>
      <w:pPr>
        <w:pStyle w:val="BookText"/>
      </w:pPr>
      <w:r>
        <w:rPr>
          <w:rFonts w:ascii="IRNazanin" w:hAnsi="IRNazanin" w:eastAsia="IRNazanin" w:cs="IRNazanin"/>
          <w:lang w:bidi="fa-IR"/>
          <w:color w:val="111111"/>
          <w:sz w:val="28"/>
          <w:szCs w:val="28"/>
          <w:rtl/>
        </w:rPr>
        <w:t xml:space="preserve">۱۹۲۶. تهران؛ ملی؛ شماره نسخه: ۱۸۹۹۸</w:t>
      </w:r>
    </w:p>
    <w:p>
      <w:pPr>
        <w:pStyle w:val="BookText"/>
      </w:pPr>
      <w:r>
        <w:rPr>
          <w:rFonts w:ascii="IRNazanin" w:hAnsi="IRNazanin" w:eastAsia="IRNazanin" w:cs="IRNazanin"/>
          <w:lang w:bidi="fa-IR"/>
          <w:color w:val="111111"/>
          <w:sz w:val="28"/>
          <w:szCs w:val="28"/>
          <w:rtl/>
        </w:rPr>
        <w:t xml:space="preserve">جنگ شعر؛ بی کا، بی تا؛ انتقالی از کتابخانه پهلوی-مجموعه نوازی؛ ۵۶گ، اندازه: ۷/۶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۱۷/۵سم [رایانه]</w:t>
      </w:r>
    </w:p>
    <w:p>
      <w:pPr>
        <w:pStyle w:val="BookText"/>
      </w:pPr>
      <w:r>
        <w:rPr>
          <w:rFonts w:ascii="IRNazanin" w:hAnsi="IRNazanin" w:eastAsia="IRNazanin" w:cs="IRNazanin"/>
          <w:lang w:bidi="fa-IR"/>
          <w:color w:val="111111"/>
          <w:sz w:val="28"/>
          <w:szCs w:val="28"/>
          <w:rtl/>
        </w:rPr>
        <w:t xml:space="preserve">۱۹۲۷ تهران؛ ملی؛ شماره نسخه: ۲۷۲۱۳</w:t>
      </w:r>
    </w:p>
    <w:p>
      <w:pPr>
        <w:pStyle w:val="BookText"/>
      </w:pPr>
      <w:r>
        <w:rPr>
          <w:rFonts w:ascii="IRNazanin" w:hAnsi="IRNazanin" w:eastAsia="IRNazanin" w:cs="IRNazanin"/>
          <w:lang w:bidi="fa-IR"/>
          <w:color w:val="111111"/>
          <w:sz w:val="28"/>
          <w:szCs w:val="28"/>
          <w:rtl/>
        </w:rPr>
        <w:t xml:space="preserve">مثنوی ناشناس؛ بی کا، بی تا [رایانه ]</w:t>
      </w:r>
    </w:p>
    <w:p>
      <w:pPr>
        <w:pStyle w:val="BookText"/>
      </w:pPr>
      <w:r>
        <w:rPr>
          <w:rFonts w:ascii="IRNazanin" w:hAnsi="IRNazanin" w:eastAsia="IRNazanin" w:cs="IRNazanin"/>
          <w:lang w:bidi="fa-IR"/>
          <w:color w:val="111111"/>
          <w:sz w:val="28"/>
          <w:szCs w:val="28"/>
          <w:rtl/>
        </w:rPr>
        <w:t xml:space="preserve">۱۹۲۸. تهران؛ مجلس؛ شماره نسخه: ۱۳۴۲/۳</w:t>
      </w:r>
    </w:p>
    <w:p>
      <w:pPr>
        <w:pStyle w:val="BookText"/>
      </w:pPr>
      <w:r>
        <w:rPr>
          <w:rFonts w:ascii="IRNazanin" w:hAnsi="IRNazanin" w:eastAsia="IRNazanin" w:cs="IRNazanin"/>
          <w:lang w:bidi="fa-IR"/>
          <w:color w:val="111111"/>
          <w:sz w:val="28"/>
          <w:szCs w:val="28"/>
          <w:rtl/>
        </w:rPr>
        <w:t xml:space="preserve">سه ترجیع بند عراقی؛ خط: نستعلیق، کا: سلطان محمد بن نورالله، بی تا؛ متن و هامش؛ کاغذ: سفید، جلد: سوخت زرین، عطف و دور تیماج مشکی و زرکوب، درون تیماج تریاکی، با جلد پارچه ای زربفت گلدار، در هامش ۲۸ ص (۷۱-۹۸) [سنا: ف: ۲-۲۲۸]</w:t>
      </w:r>
    </w:p>
    <w:p>
      <w:pPr>
        <w:pStyle w:val="BookText"/>
      </w:pPr>
      <w:r>
        <w:rPr>
          <w:rFonts w:ascii="IRNazanin" w:hAnsi="IRNazanin" w:eastAsia="IRNazanin" w:cs="IRNazanin"/>
          <w:lang w:bidi="fa-IR"/>
          <w:color w:val="111111"/>
          <w:sz w:val="28"/>
          <w:szCs w:val="28"/>
          <w:rtl/>
        </w:rPr>
        <w:t xml:space="preserve">۱۹۲۹. تهران؛ ملی؛ شماره نسخه: ۲۷۳۹۲</w:t>
      </w:r>
    </w:p>
    <w:p>
      <w:pPr>
        <w:pStyle w:val="BookText"/>
      </w:pPr>
      <w:r>
        <w:rPr>
          <w:rFonts w:ascii="IRNazanin" w:hAnsi="IRNazanin" w:eastAsia="IRNazanin" w:cs="IRNazanin"/>
          <w:lang w:bidi="fa-IR"/>
          <w:color w:val="111111"/>
          <w:sz w:val="28"/>
          <w:szCs w:val="28"/>
          <w:rtl/>
        </w:rPr>
        <w:t xml:space="preserve">اشعار منظوم در اخلاق؛ بی کا، بی تا؛ خریداری از رضا غـیبی  [ رایانه ]</w:t>
      </w:r>
    </w:p>
    <w:p>
      <w:pPr>
        <w:pStyle w:val="BookText"/>
      </w:pPr>
      <w:r>
        <w:rPr>
          <w:rFonts w:ascii="IRNazanin" w:hAnsi="IRNazanin" w:eastAsia="IRNazanin" w:cs="IRNazanin"/>
          <w:lang w:bidi="fa-IR"/>
          <w:color w:val="111111"/>
          <w:sz w:val="28"/>
          <w:szCs w:val="28"/>
          <w:rtl/>
        </w:rPr>
        <w:t xml:space="preserve">۱۹۳۰. تهران؛ ملی؛ شماره نسخه: ۲۷۴۳۰</w:t>
      </w:r>
    </w:p>
    <w:p>
      <w:pPr>
        <w:pStyle w:val="BookText"/>
      </w:pPr>
      <w:r>
        <w:rPr>
          <w:rFonts w:ascii="IRNazanin" w:hAnsi="IRNazanin" w:eastAsia="IRNazanin" w:cs="IRNazanin"/>
          <w:lang w:bidi="fa-IR"/>
          <w:color w:val="111111"/>
          <w:sz w:val="28"/>
          <w:szCs w:val="28"/>
          <w:rtl/>
        </w:rPr>
        <w:t xml:space="preserve">مجموعه سید مصطفی آقازاده. اوراقی چند از اشعار و ....؛ بی کا، بی تا؛ خریداری از احمد بیگدلی [رایانه]</w:t>
      </w:r>
    </w:p>
    <w:p>
      <w:pPr>
        <w:pStyle w:val="BookText"/>
      </w:pPr>
      <w:r>
        <w:rPr>
          <w:rFonts w:ascii="IRNazanin" w:hAnsi="IRNazanin" w:eastAsia="IRNazanin" w:cs="IRNazanin"/>
          <w:lang w:bidi="fa-IR"/>
          <w:color w:val="111111"/>
          <w:sz w:val="28"/>
          <w:szCs w:val="28"/>
          <w:rtl/>
        </w:rPr>
        <w:t xml:space="preserve">1931.تهران؛ ملی؛ شماره نسخه: ۲۰۱۰۰</w:t>
      </w:r>
    </w:p>
    <w:p>
      <w:pPr>
        <w:pStyle w:val="BookText"/>
      </w:pPr>
      <w:r>
        <w:rPr>
          <w:rFonts w:ascii="IRNazanin" w:hAnsi="IRNazanin" w:eastAsia="IRNazanin" w:cs="IRNazanin"/>
          <w:lang w:bidi="fa-IR"/>
          <w:color w:val="111111"/>
          <w:sz w:val="28"/>
          <w:szCs w:val="28"/>
          <w:rtl/>
        </w:rPr>
        <w:t xml:space="preserve">مجموعه قصاید؛ بی کا، بی تا؛ خریداری از مهردخت همایی [رایانه ]</w:t>
      </w:r>
    </w:p>
    <w:p>
      <w:pPr>
        <w:pStyle w:val="BookText"/>
      </w:pPr>
      <w:r>
        <w:rPr>
          <w:rFonts w:ascii="IRNazanin" w:hAnsi="IRNazanin" w:eastAsia="IRNazanin" w:cs="IRNazanin"/>
          <w:lang w:bidi="fa-IR"/>
          <w:color w:val="111111"/>
          <w:sz w:val="28"/>
          <w:szCs w:val="28"/>
          <w:rtl/>
        </w:rPr>
        <w:t xml:space="preserve">۱۹۳۲. تهران؛ ملی؛ شماره نسخه: ۲۰۱۰۹</w:t>
      </w:r>
    </w:p>
    <w:p>
      <w:pPr>
        <w:pStyle w:val="BookText"/>
      </w:pPr>
      <w:r>
        <w:rPr>
          <w:rFonts w:ascii="IRNazanin" w:hAnsi="IRNazanin" w:eastAsia="IRNazanin" w:cs="IRNazanin"/>
          <w:lang w:bidi="fa-IR"/>
          <w:color w:val="111111"/>
          <w:sz w:val="28"/>
          <w:szCs w:val="28"/>
          <w:rtl/>
        </w:rPr>
        <w:t xml:space="preserve">مجموعه قصاید بی کا، بی تا؛ خریداری از مهردخت همایی [ رایانه ]</w:t>
      </w:r>
    </w:p>
    <w:p>
      <w:pPr>
        <w:pStyle w:val="BookText"/>
      </w:pPr>
      <w:r>
        <w:rPr>
          <w:rFonts w:ascii="IRNazanin" w:hAnsi="IRNazanin" w:eastAsia="IRNazanin" w:cs="IRNazanin"/>
          <w:lang w:bidi="fa-IR"/>
          <w:color w:val="111111"/>
          <w:sz w:val="28"/>
          <w:szCs w:val="28"/>
          <w:rtl/>
        </w:rPr>
        <w:t xml:space="preserve">۱۹۳۳. تهران؛ ملی؛ شماره نسخه: ۲۰۱۱۸</w:t>
      </w:r>
    </w:p>
    <w:p>
      <w:pPr>
        <w:pStyle w:val="BookText"/>
      </w:pPr>
      <w:r>
        <w:rPr>
          <w:rFonts w:ascii="IRNazanin" w:hAnsi="IRNazanin" w:eastAsia="IRNazanin" w:cs="IRNazanin"/>
          <w:lang w:bidi="fa-IR"/>
          <w:color w:val="111111"/>
          <w:sz w:val="28"/>
          <w:szCs w:val="28"/>
          <w:rtl/>
        </w:rPr>
        <w:t xml:space="preserve">منتخبی از دو دیوان؛ بی کا، بی تا؛ خریداری از مهردخت همایی[ رایانه ]</w:t>
      </w:r>
    </w:p>
    <w:p>
      <w:pPr>
        <w:pStyle w:val="BookText"/>
      </w:pPr>
      <w:r>
        <w:rPr>
          <w:rFonts w:ascii="IRNazanin" w:hAnsi="IRNazanin" w:eastAsia="IRNazanin" w:cs="IRNazanin"/>
          <w:lang w:bidi="fa-IR"/>
          <w:color w:val="111111"/>
          <w:sz w:val="28"/>
          <w:szCs w:val="28"/>
          <w:rtl/>
        </w:rPr>
        <w:t xml:space="preserve">۱۹۳۴. تهران؛ ملی؛ شماره نسخه: ۲۰۱۲۴</w:t>
      </w:r>
    </w:p>
    <w:p>
      <w:pPr>
        <w:pStyle w:val="BookText"/>
      </w:pPr>
      <w:r>
        <w:rPr>
          <w:rFonts w:ascii="IRNazanin" w:hAnsi="IRNazanin" w:eastAsia="IRNazanin" w:cs="IRNazanin"/>
          <w:lang w:bidi="fa-IR"/>
          <w:color w:val="111111"/>
          <w:sz w:val="28"/>
          <w:szCs w:val="28"/>
          <w:rtl/>
        </w:rPr>
        <w:t xml:space="preserve">قصیده و رباعی؛ بی کا، بی تا؛ خریداری از مهردخت همایی [رایانه]</w:t>
      </w:r>
    </w:p>
    <w:p>
      <w:pPr>
        <w:pStyle w:val="BookText"/>
      </w:pPr>
      <w:r>
        <w:rPr>
          <w:rFonts w:ascii="IRNazanin" w:hAnsi="IRNazanin" w:eastAsia="IRNazanin" w:cs="IRNazanin"/>
          <w:lang w:bidi="fa-IR"/>
          <w:color w:val="111111"/>
          <w:sz w:val="28"/>
          <w:szCs w:val="28"/>
          <w:rtl/>
        </w:rPr>
        <w:t xml:space="preserve">۱۹۳۵. تهران؛ ملی؛ شماره نسخه: ۲۰۱۲۶</w:t>
      </w:r>
    </w:p>
    <w:p>
      <w:pPr>
        <w:pStyle w:val="BookText"/>
      </w:pPr>
      <w:r>
        <w:rPr>
          <w:rFonts w:ascii="IRNazanin" w:hAnsi="IRNazanin" w:eastAsia="IRNazanin" w:cs="IRNazanin"/>
          <w:lang w:bidi="fa-IR"/>
          <w:color w:val="111111"/>
          <w:sz w:val="28"/>
          <w:szCs w:val="28"/>
          <w:rtl/>
        </w:rPr>
        <w:t xml:space="preserve">اشعار شعرای اصفهان؛ بی کا، بی تا؛ خریداری از مهردخت همایی[ رایانه ]</w:t>
      </w:r>
    </w:p>
    <w:p>
      <w:pPr>
        <w:pStyle w:val="BookText"/>
      </w:pPr>
      <w:r>
        <w:rPr>
          <w:rFonts w:ascii="IRNazanin" w:hAnsi="IRNazanin" w:eastAsia="IRNazanin" w:cs="IRNazanin"/>
          <w:lang w:bidi="fa-IR"/>
          <w:color w:val="111111"/>
          <w:sz w:val="28"/>
          <w:szCs w:val="28"/>
          <w:rtl/>
        </w:rPr>
        <w:t xml:space="preserve">۱۹۳۶. تهران؛ ملی؛ شماره نسخه: ۲۰۱۴۴</w:t>
      </w:r>
    </w:p>
    <w:p>
      <w:pPr>
        <w:pStyle w:val="BookText"/>
      </w:pPr>
      <w:r>
        <w:rPr>
          <w:rFonts w:ascii="IRNazanin" w:hAnsi="IRNazanin" w:eastAsia="IRNazanin" w:cs="IRNazanin"/>
          <w:lang w:bidi="fa-IR"/>
          <w:color w:val="111111"/>
          <w:sz w:val="28"/>
          <w:szCs w:val="28"/>
          <w:rtl/>
        </w:rPr>
        <w:t xml:space="preserve">تذکره یا مجموعه اشعار؛ بی کا، بی تا؛ خریداری از مهردخت همایی [رایانه]</w:t>
      </w:r>
    </w:p>
    <w:p>
      <w:pPr>
        <w:pStyle w:val="BookText"/>
      </w:pPr>
      <w:r>
        <w:rPr>
          <w:rFonts w:ascii="IRNazanin" w:hAnsi="IRNazanin" w:eastAsia="IRNazanin" w:cs="IRNazanin"/>
          <w:lang w:bidi="fa-IR"/>
          <w:color w:val="111111"/>
          <w:sz w:val="28"/>
          <w:szCs w:val="28"/>
          <w:rtl/>
        </w:rPr>
        <w:t xml:space="preserve">۱۹۳۷. تهران؛ ملی؛ شماره نسخه: ۲۰۱۶۸</w:t>
      </w:r>
    </w:p>
    <w:p>
      <w:pPr>
        <w:pStyle w:val="BookText"/>
      </w:pPr>
      <w:r>
        <w:rPr>
          <w:rFonts w:ascii="IRNazanin" w:hAnsi="IRNazanin" w:eastAsia="IRNazanin" w:cs="IRNazanin"/>
          <w:lang w:bidi="fa-IR"/>
          <w:color w:val="111111"/>
          <w:sz w:val="28"/>
          <w:szCs w:val="28"/>
          <w:rtl/>
        </w:rPr>
        <w:t xml:space="preserve">بیاض اشعار گوناگون؛ بی کا، بی تا؛ خریداری از مهردخت همایی[ رایانه ]</w:t>
      </w:r>
    </w:p>
    <w:p>
      <w:pPr>
        <w:pStyle w:val="BookText"/>
      </w:pPr>
      <w:r>
        <w:rPr>
          <w:rFonts w:ascii="IRNazanin" w:hAnsi="IRNazanin" w:eastAsia="IRNazanin" w:cs="IRNazanin"/>
          <w:lang w:bidi="fa-IR"/>
          <w:color w:val="111111"/>
          <w:sz w:val="28"/>
          <w:szCs w:val="28"/>
          <w:rtl/>
        </w:rPr>
        <w:t xml:space="preserve">۱۹۳۸. تهران؛ ملی؛ شماره نسخه: ۲۰۱۶۹</w:t>
      </w:r>
    </w:p>
    <w:p>
      <w:pPr>
        <w:pStyle w:val="BookText"/>
      </w:pPr>
      <w:r>
        <w:rPr>
          <w:rFonts w:ascii="IRNazanin" w:hAnsi="IRNazanin" w:eastAsia="IRNazanin" w:cs="IRNazanin"/>
          <w:lang w:bidi="fa-IR"/>
          <w:color w:val="111111"/>
          <w:sz w:val="28"/>
          <w:szCs w:val="28"/>
          <w:rtl/>
        </w:rPr>
        <w:t xml:space="preserve">بخشی از اشعار عنقا (عمودی استاد همایی)؛ بی کا، بی تا؛ خریداری از مهردخت همایی[رایانه]</w:t>
      </w:r>
    </w:p>
    <w:p>
      <w:pPr>
        <w:pStyle w:val="BookText"/>
      </w:pPr>
      <w:r>
        <w:rPr>
          <w:rFonts w:ascii="IRNazanin" w:hAnsi="IRNazanin" w:eastAsia="IRNazanin" w:cs="IRNazanin"/>
          <w:lang w:bidi="fa-IR"/>
          <w:color w:val="111111"/>
          <w:sz w:val="28"/>
          <w:szCs w:val="28"/>
          <w:rtl/>
        </w:rPr>
        <w:t xml:space="preserve">۱۹۳۹. تهران؛ ملی؛ شماره نسخه: ۲۰۶۹۲</w:t>
      </w:r>
    </w:p>
    <w:p>
      <w:pPr>
        <w:pStyle w:val="BookText"/>
      </w:pPr>
      <w:r>
        <w:rPr>
          <w:rFonts w:ascii="IRNazanin" w:hAnsi="IRNazanin" w:eastAsia="IRNazanin" w:cs="IRNazanin"/>
          <w:lang w:bidi="fa-IR"/>
          <w:color w:val="111111"/>
          <w:sz w:val="28"/>
          <w:szCs w:val="28"/>
          <w:rtl/>
        </w:rPr>
        <w:t xml:space="preserve">مثنوی؛ بی کا، بی تا؛ خریداری از مصطفی حسینی [رایانه]</w:t>
      </w:r>
    </w:p>
    <w:p>
      <w:pPr>
        <w:pStyle w:val="BookText"/>
      </w:pPr>
      <w:r>
        <w:rPr>
          <w:rFonts w:ascii="IRNazanin" w:hAnsi="IRNazanin" w:eastAsia="IRNazanin" w:cs="IRNazanin"/>
          <w:lang w:bidi="fa-IR"/>
          <w:color w:val="111111"/>
          <w:sz w:val="28"/>
          <w:szCs w:val="28"/>
          <w:rtl/>
        </w:rPr>
        <w:t xml:space="preserve">۱۹۴۰. تهران؛ ملی؛ شماره نسخه: ۲۰۸۰۶</w:t>
      </w:r>
    </w:p>
    <w:p>
      <w:pPr>
        <w:pStyle w:val="BookText"/>
      </w:pPr>
      <w:r>
        <w:rPr>
          <w:rFonts w:ascii="IRNazanin" w:hAnsi="IRNazanin" w:eastAsia="IRNazanin" w:cs="IRNazanin"/>
          <w:lang w:bidi="fa-IR"/>
          <w:color w:val="111111"/>
          <w:sz w:val="28"/>
          <w:szCs w:val="28"/>
          <w:rtl/>
        </w:rPr>
        <w:t xml:space="preserve">جنگ اشعار؛ بی کا، بی تا؛ خریداری از غلامرضا محمدی [رایانه]</w:t>
      </w:r>
    </w:p>
    <w:p>
      <w:pPr>
        <w:pStyle w:val="BookText"/>
      </w:pPr>
      <w:r>
        <w:rPr>
          <w:rFonts w:ascii="IRNazanin" w:hAnsi="IRNazanin" w:eastAsia="IRNazanin" w:cs="IRNazanin"/>
          <w:lang w:bidi="fa-IR"/>
          <w:color w:val="111111"/>
          <w:sz w:val="28"/>
          <w:szCs w:val="28"/>
          <w:rtl/>
        </w:rPr>
        <w:t xml:space="preserve">۱۹۴۱. تهران؛ ملی؛ شماره نسخه: ۲۰۸۰۷</w:t>
      </w:r>
    </w:p>
    <w:p>
      <w:pPr>
        <w:pStyle w:val="BookText"/>
      </w:pPr>
      <w:r>
        <w:rPr>
          <w:rFonts w:ascii="IRNazanin" w:hAnsi="IRNazanin" w:eastAsia="IRNazanin" w:cs="IRNazanin"/>
          <w:lang w:bidi="fa-IR"/>
          <w:color w:val="111111"/>
          <w:sz w:val="28"/>
          <w:szCs w:val="28"/>
          <w:rtl/>
        </w:rPr>
        <w:t xml:space="preserve">جنگ اشعار؛ بی کا، بی تا؛ خریداری از غلامرضا محمدی [ رایانه ]</w:t>
      </w:r>
    </w:p>
    <w:p>
      <w:pPr>
        <w:pStyle w:val="BookText"/>
      </w:pPr>
      <w:r>
        <w:rPr>
          <w:rFonts w:ascii="IRNazanin" w:hAnsi="IRNazanin" w:eastAsia="IRNazanin" w:cs="IRNazanin"/>
          <w:lang w:bidi="fa-IR"/>
          <w:color w:val="111111"/>
          <w:sz w:val="28"/>
          <w:szCs w:val="28"/>
          <w:rtl/>
        </w:rPr>
        <w:t xml:space="preserve">۱۹۴۲. تهران؛ ملی؛ شماره نسخه: ۲۰۸۲۳</w:t>
      </w:r>
    </w:p>
    <w:p>
      <w:pPr>
        <w:pStyle w:val="BookText"/>
      </w:pPr>
      <w:r>
        <w:rPr>
          <w:rFonts w:ascii="IRNazanin" w:hAnsi="IRNazanin" w:eastAsia="IRNazanin" w:cs="IRNazanin"/>
          <w:lang w:bidi="fa-IR"/>
          <w:color w:val="111111"/>
          <w:sz w:val="28"/>
          <w:szCs w:val="28"/>
          <w:rtl/>
        </w:rPr>
        <w:t xml:space="preserve">مجموعه شعر؛ بی کا، بی تا؛ خریداری از هادی معرفت [ رایانه ]</w:t>
      </w:r>
    </w:p>
    <w:p>
      <w:pPr>
        <w:pStyle w:val="BookText"/>
      </w:pPr>
      <w:r>
        <w:rPr>
          <w:rFonts w:ascii="IRNazanin" w:hAnsi="IRNazanin" w:eastAsia="IRNazanin" w:cs="IRNazanin"/>
          <w:lang w:bidi="fa-IR"/>
          <w:color w:val="111111"/>
          <w:sz w:val="28"/>
          <w:szCs w:val="28"/>
          <w:rtl/>
        </w:rPr>
        <w:t xml:space="preserve">۱۹۴۳. تهران؛ ملی؛ شماره نسخه: ۲۰۸۶۸</w:t>
      </w:r>
    </w:p>
    <w:p>
      <w:pPr>
        <w:pStyle w:val="BookText"/>
      </w:pPr>
      <w:r>
        <w:rPr>
          <w:rFonts w:ascii="IRNazanin" w:hAnsi="IRNazanin" w:eastAsia="IRNazanin" w:cs="IRNazanin"/>
          <w:lang w:bidi="fa-IR"/>
          <w:color w:val="111111"/>
          <w:sz w:val="28"/>
          <w:szCs w:val="28"/>
          <w:rtl/>
        </w:rPr>
        <w:t xml:space="preserve">مثنوی بر اساس مثنوی مولوی؛ بی کا، بی تا؛ خریداری از علی اکبر سلطانی [رایانه]</w:t>
      </w:r>
    </w:p>
    <w:p>
      <w:pPr>
        <w:pStyle w:val="BookText"/>
      </w:pPr>
      <w:r>
        <w:rPr>
          <w:rFonts w:ascii="IRNazanin" w:hAnsi="IRNazanin" w:eastAsia="IRNazanin" w:cs="IRNazanin"/>
          <w:lang w:bidi="fa-IR"/>
          <w:color w:val="111111"/>
          <w:sz w:val="28"/>
          <w:szCs w:val="28"/>
          <w:rtl/>
        </w:rPr>
        <w:t xml:space="preserve">۱۹۴۴. تهران؛ ملی؛ شماره نسخه: ۲۰۸۸۹</w:t>
      </w:r>
    </w:p>
    <w:p>
      <w:pPr>
        <w:pStyle w:val="BookText"/>
      </w:pPr>
      <w:r>
        <w:rPr>
          <w:rFonts w:ascii="IRNazanin" w:hAnsi="IRNazanin" w:eastAsia="IRNazanin" w:cs="IRNazanin"/>
          <w:lang w:bidi="fa-IR"/>
          <w:color w:val="111111"/>
          <w:sz w:val="28"/>
          <w:szCs w:val="28"/>
          <w:rtl/>
        </w:rPr>
        <w:t xml:space="preserve">شعر مذهبی؛ بی کا، بی تا؛ خریداری از علی اکبر سلطانی [رایانه]</w:t>
      </w:r>
    </w:p>
    <w:p>
      <w:pPr>
        <w:pStyle w:val="BookText"/>
      </w:pPr>
      <w:r>
        <w:rPr>
          <w:rFonts w:ascii="IRNazanin" w:hAnsi="IRNazanin" w:eastAsia="IRNazanin" w:cs="IRNazanin"/>
          <w:lang w:bidi="fa-IR"/>
          <w:color w:val="111111"/>
          <w:sz w:val="28"/>
          <w:szCs w:val="28"/>
          <w:rtl/>
        </w:rPr>
        <w:t xml:space="preserve">۱۹۴۵. تهران؛ ملی؛ شماره نسخه: ۸۳۰۱</w:t>
      </w:r>
    </w:p>
    <w:p>
      <w:pPr>
        <w:pStyle w:val="BookText"/>
      </w:pPr>
      <w:r>
        <w:rPr>
          <w:rFonts w:ascii="IRNazanin" w:hAnsi="IRNazanin" w:eastAsia="IRNazanin" w:cs="IRNazanin"/>
          <w:lang w:bidi="fa-IR"/>
          <w:color w:val="111111"/>
          <w:sz w:val="28"/>
          <w:szCs w:val="28"/>
          <w:rtl/>
        </w:rPr>
        <w:t xml:space="preserve">آغاز: دل بی تو به جان آمد وقتست که باز آیی؛ انجام: زد بسر منزل ملامت گام راند بر خویشتن بدزدی نام</w:t>
      </w:r>
    </w:p>
    <w:p>
      <w:pPr>
        <w:pStyle w:val="BookText"/>
      </w:pPr>
      <w:r>
        <w:rPr>
          <w:rFonts w:ascii="IRNazanin" w:hAnsi="IRNazanin" w:eastAsia="IRNazanin" w:cs="IRNazanin"/>
          <w:lang w:bidi="fa-IR"/>
          <w:color w:val="111111"/>
          <w:sz w:val="28"/>
          <w:szCs w:val="28"/>
          <w:rtl/>
        </w:rPr>
        <w:t xml:space="preserve">مجموعه ناقصی است از چند مخمس و مثنوی که بدون ذکر نام شاعر آورده شده است، دو قطعه از این مخمسات حاوی تضمین دو غزل حافظ با مطلع های «ای پادشه خوبان داد از غم تنهایی ...»،و «مست از خانه برون تاخته ای یعنی چه ...» می باشد؛ خط:
</w:t>
      </w:r>
    </w:p>
    <w:p>
      <w:pPr>
        <w:sectPr>
          <w:footerReference w:type="default" r:id="rId9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نستعلیق  متوسط، بی کا، بی تا؛ در برگ اول متن وقف نامه ای به تاریخ ۱۱۱۱ق؛ یک برگ آغاز رساله «خلاصه الحساب» شـیخ بهایی؛ کاغذ: فرنگی نخودی ،جلد: لت رو تیماج قهوه ای مقوایی مجدول ضربی، اندرون جلد تیماج زرشکی، اندرون جلد روکش کاغذی صورتی، ۱۰ ص (۵۳-۶۲)، ۱۰ سطر ،(8</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۱۸/۵سم [رایانه ]</w:t>
      </w:r>
    </w:p>
    <w:p>
      <w:pPr>
        <w:pStyle w:val="BookText"/>
      </w:pPr>
      <w:r>
        <w:rPr>
          <w:rFonts w:ascii="IRNazanin" w:hAnsi="IRNazanin" w:eastAsia="IRNazanin" w:cs="IRNazanin"/>
          <w:lang w:bidi="fa-IR"/>
          <w:color w:val="111111"/>
          <w:sz w:val="28"/>
          <w:szCs w:val="28"/>
          <w:rtl/>
        </w:rPr>
        <w:t xml:space="preserve">۱۹۴۶. تهران؛ دانشگاه؛ شماره نسخه: ۴۳۴۵/۱۵-ف</w:t>
      </w:r>
    </w:p>
    <w:p>
      <w:pPr>
        <w:pStyle w:val="BookText"/>
      </w:pPr>
      <w:r>
        <w:rPr>
          <w:rFonts w:ascii="IRNazanin" w:hAnsi="IRNazanin" w:eastAsia="IRNazanin" w:cs="IRNazanin"/>
          <w:lang w:bidi="fa-IR"/>
          <w:color w:val="111111"/>
          <w:sz w:val="28"/>
          <w:szCs w:val="28"/>
          <w:rtl/>
        </w:rPr>
        <w:t xml:space="preserve">نسخه اصل: دانشگاه پرینستن، ش ۳۵۵۹. چهارده بیتی درباره نـرد؛ بی کا، بی تا؛ در ص ع آمده است: «فيها خط الطوسى»؛ ۱گ (۲۹۴)[ فیلمها: ۳ - ۴۸]</w:t>
      </w:r>
    </w:p>
    <w:p>
      <w:pPr>
        <w:pStyle w:val="BookText"/>
      </w:pPr>
      <w:r>
        <w:rPr>
          <w:rFonts w:ascii="IRNazanin" w:hAnsi="IRNazanin" w:eastAsia="IRNazanin" w:cs="IRNazanin"/>
          <w:lang w:bidi="fa-IR"/>
          <w:color w:val="111111"/>
          <w:sz w:val="28"/>
          <w:szCs w:val="28"/>
          <w:rtl/>
        </w:rPr>
        <w:t xml:space="preserve">۱۹۴۷. تهران؛ ملی؛ شماره نسخه: ۲۱۰۳۷</w:t>
      </w:r>
    </w:p>
    <w:p>
      <w:pPr>
        <w:pStyle w:val="BookText"/>
      </w:pPr>
      <w:r>
        <w:rPr>
          <w:rFonts w:ascii="IRNazanin" w:hAnsi="IRNazanin" w:eastAsia="IRNazanin" w:cs="IRNazanin"/>
          <w:lang w:bidi="fa-IR"/>
          <w:color w:val="111111"/>
          <w:sz w:val="28"/>
          <w:szCs w:val="28"/>
          <w:rtl/>
        </w:rPr>
        <w:t xml:space="preserve">مثنوی؛ بی کا؛ بی تا؛ خریداری از علی شهیدی [ رایانه]</w:t>
      </w:r>
    </w:p>
    <w:p>
      <w:pPr>
        <w:pStyle w:val="BookText"/>
      </w:pPr>
      <w:r>
        <w:rPr>
          <w:rFonts w:ascii="IRNazanin" w:hAnsi="IRNazanin" w:eastAsia="IRNazanin" w:cs="IRNazanin"/>
          <w:lang w:bidi="fa-IR"/>
          <w:color w:val="111111"/>
          <w:sz w:val="28"/>
          <w:szCs w:val="28"/>
          <w:rtl/>
        </w:rPr>
        <w:t xml:space="preserve">۱۹۴۸. تهران؛ ملی؛ شماره نسخه: ۲۱۰۵۸</w:t>
      </w:r>
    </w:p>
    <w:p>
      <w:pPr>
        <w:pStyle w:val="BookText"/>
      </w:pPr>
      <w:r>
        <w:rPr>
          <w:rFonts w:ascii="IRNazanin" w:hAnsi="IRNazanin" w:eastAsia="IRNazanin" w:cs="IRNazanin"/>
          <w:lang w:bidi="fa-IR"/>
          <w:color w:val="111111"/>
          <w:sz w:val="28"/>
          <w:szCs w:val="28"/>
          <w:rtl/>
        </w:rPr>
        <w:t xml:space="preserve">جنگ اشعار گوناگون؛ بی کا، بی تا؛ خریداری از عبدالله ناصـری[ رایانه ]</w:t>
      </w:r>
    </w:p>
    <w:p>
      <w:pPr>
        <w:pStyle w:val="BookText"/>
      </w:pPr>
      <w:r>
        <w:rPr>
          <w:rFonts w:ascii="IRNazanin" w:hAnsi="IRNazanin" w:eastAsia="IRNazanin" w:cs="IRNazanin"/>
          <w:lang w:bidi="fa-IR"/>
          <w:color w:val="111111"/>
          <w:sz w:val="28"/>
          <w:szCs w:val="28"/>
          <w:rtl/>
        </w:rPr>
        <w:t xml:space="preserve">۱۹۴۹. تهران؛ ملی؛ شماره نسخه: ۲۱۰۶۹</w:t>
      </w:r>
    </w:p>
    <w:p>
      <w:pPr>
        <w:pStyle w:val="BookText"/>
      </w:pPr>
      <w:r>
        <w:rPr>
          <w:rFonts w:ascii="IRNazanin" w:hAnsi="IRNazanin" w:eastAsia="IRNazanin" w:cs="IRNazanin"/>
          <w:lang w:bidi="fa-IR"/>
          <w:color w:val="111111"/>
          <w:sz w:val="28"/>
          <w:szCs w:val="28"/>
          <w:rtl/>
        </w:rPr>
        <w:t xml:space="preserve">مجموعه اشعار (دو دیوان)؛ بی کا، بی تا؛ خریداری از رضا شیخان [ رایانه ]</w:t>
      </w:r>
    </w:p>
    <w:p>
      <w:pPr>
        <w:pStyle w:val="BookText"/>
      </w:pPr>
      <w:r>
        <w:rPr>
          <w:rFonts w:ascii="IRNazanin" w:hAnsi="IRNazanin" w:eastAsia="IRNazanin" w:cs="IRNazanin"/>
          <w:lang w:bidi="fa-IR"/>
          <w:color w:val="111111"/>
          <w:sz w:val="28"/>
          <w:szCs w:val="28"/>
          <w:rtl/>
        </w:rPr>
        <w:t xml:space="preserve">۱۹۵۰. تهران؛ ملی؛ شماره نسخه: ۷۳۴۴</w:t>
      </w:r>
    </w:p>
    <w:p>
      <w:pPr>
        <w:pStyle w:val="BookText"/>
      </w:pPr>
      <w:r>
        <w:rPr>
          <w:rFonts w:ascii="IRNazanin" w:hAnsi="IRNazanin" w:eastAsia="IRNazanin" w:cs="IRNazanin"/>
          <w:lang w:bidi="fa-IR"/>
          <w:color w:val="111111"/>
          <w:sz w:val="28"/>
          <w:szCs w:val="28"/>
          <w:rtl/>
        </w:rPr>
        <w:t xml:space="preserve">آغاز: ما را به پیش حضرت؟ عرضه ان*** كانرا بدست خاصه محرم سپرده ام؛ انجام: طبق حکم محکم بعمل آید؟ از جنـاب عالمان؟ ... محمد شاه در بلده؟ تحریر نمود</w:t>
      </w:r>
    </w:p>
    <w:p>
      <w:pPr>
        <w:pStyle w:val="BookText"/>
      </w:pPr>
      <w:r>
        <w:rPr>
          <w:rFonts w:ascii="IRNazanin" w:hAnsi="IRNazanin" w:eastAsia="IRNazanin" w:cs="IRNazanin"/>
          <w:lang w:bidi="fa-IR"/>
          <w:color w:val="111111"/>
          <w:sz w:val="28"/>
          <w:szCs w:val="28"/>
          <w:rtl/>
        </w:rPr>
        <w:t xml:space="preserve">مجموعه اشعار مشتمل بر قصیده ،غزل، قصیده ،مخمس، رباعی، قطعه از شاعران مختلف فارسی از جمله حافظ، صائب، بوعلی سینا ،انوری، فردوسی، مولوی و ....؛ خط: نستعلیق شکسته، بی کا، بی تا؛ مجدول، در برگ 5ر کاتب نوشته: «راقمه حروف بنده احقر صاحب رای شهر ادی محمد شاه؟ شاهی»؛ کاغذ: هندی نخودی و فرنگی ،جلد: الحاقی مقوایی با روکش تیماج قهوه ای مجدول دارای نیم ترنج با نقش گل و بوته ،ضربی، عطف پارچه ای طوسی، ۱۷گ، مختلف السطر ،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[رایانه]</w:t>
      </w:r>
    </w:p>
    <w:p>
      <w:pPr>
        <w:pStyle w:val="BookText"/>
      </w:pPr>
      <w:r>
        <w:rPr>
          <w:rFonts w:ascii="IRNazanin" w:hAnsi="IRNazanin" w:eastAsia="IRNazanin" w:cs="IRNazanin"/>
          <w:lang w:bidi="fa-IR"/>
          <w:color w:val="111111"/>
          <w:sz w:val="28"/>
          <w:szCs w:val="28"/>
          <w:rtl/>
        </w:rPr>
        <w:t xml:space="preserve">۱۹۵۱. تهران؛ ملی؛ شماره نسخه: ۲۱۱۱۰</w:t>
      </w:r>
    </w:p>
    <w:p>
      <w:pPr>
        <w:pStyle w:val="BookText"/>
      </w:pPr>
      <w:r>
        <w:rPr>
          <w:rFonts w:ascii="IRNazanin" w:hAnsi="IRNazanin" w:eastAsia="IRNazanin" w:cs="IRNazanin"/>
          <w:lang w:bidi="fa-IR"/>
          <w:color w:val="111111"/>
          <w:sz w:val="28"/>
          <w:szCs w:val="28"/>
          <w:rtl/>
        </w:rPr>
        <w:t xml:space="preserve">دیوان شعر؛ بی کا، بی تا؛ خریداری از رضا شیخان [رایانه]</w:t>
      </w:r>
    </w:p>
    <w:p>
      <w:pPr>
        <w:pStyle w:val="BookText"/>
      </w:pPr>
      <w:r>
        <w:rPr>
          <w:rFonts w:ascii="IRNazanin" w:hAnsi="IRNazanin" w:eastAsia="IRNazanin" w:cs="IRNazanin"/>
          <w:lang w:bidi="fa-IR"/>
          <w:color w:val="111111"/>
          <w:sz w:val="28"/>
          <w:szCs w:val="28"/>
          <w:rtl/>
        </w:rPr>
        <w:t xml:space="preserve">۱۹۵۲. تهران؛ ملی؛ شماره نسخه: ۲۱۱۵۱</w:t>
      </w:r>
    </w:p>
    <w:p>
      <w:pPr>
        <w:pStyle w:val="BookText"/>
      </w:pPr>
      <w:r>
        <w:rPr>
          <w:rFonts w:ascii="IRNazanin" w:hAnsi="IRNazanin" w:eastAsia="IRNazanin" w:cs="IRNazanin"/>
          <w:lang w:bidi="fa-IR"/>
          <w:color w:val="111111"/>
          <w:sz w:val="28"/>
          <w:szCs w:val="28"/>
          <w:rtl/>
        </w:rPr>
        <w:t xml:space="preserve">دیوان شعر؛ بی کا، بی تا؛ خریداری از رضا شیخان [رایانه]</w:t>
      </w:r>
    </w:p>
    <w:p>
      <w:pPr>
        <w:pStyle w:val="BookText"/>
      </w:pPr>
      <w:r>
        <w:rPr>
          <w:rFonts w:ascii="IRNazanin" w:hAnsi="IRNazanin" w:eastAsia="IRNazanin" w:cs="IRNazanin"/>
          <w:lang w:bidi="fa-IR"/>
          <w:color w:val="111111"/>
          <w:sz w:val="28"/>
          <w:szCs w:val="28"/>
          <w:rtl/>
        </w:rPr>
        <w:t xml:space="preserve">۱۹۵۳. تهران؛ ملی؛ شماره نسخه: ۲۱۱۵۴</w:t>
      </w:r>
    </w:p>
    <w:p>
      <w:pPr>
        <w:pStyle w:val="BookText"/>
      </w:pPr>
      <w:r>
        <w:rPr>
          <w:rFonts w:ascii="IRNazanin" w:hAnsi="IRNazanin" w:eastAsia="IRNazanin" w:cs="IRNazanin"/>
          <w:lang w:bidi="fa-IR"/>
          <w:color w:val="111111"/>
          <w:sz w:val="28"/>
          <w:szCs w:val="28"/>
          <w:rtl/>
        </w:rPr>
        <w:t xml:space="preserve">دیوان شعر فارسی؛ بی کا، بی تا؛ خریداری از رضا شیخان [رایانه]</w:t>
      </w:r>
    </w:p>
    <w:p>
      <w:pPr>
        <w:pStyle w:val="BookText"/>
      </w:pPr>
      <w:r>
        <w:rPr>
          <w:rFonts w:ascii="IRNazanin" w:hAnsi="IRNazanin" w:eastAsia="IRNazanin" w:cs="IRNazanin"/>
          <w:lang w:bidi="fa-IR"/>
          <w:color w:val="111111"/>
          <w:sz w:val="28"/>
          <w:szCs w:val="28"/>
          <w:rtl/>
        </w:rPr>
        <w:t xml:space="preserve">۱۹۵۴. تهران؛ مروی؛ شماره نسخه: ۲۰۴/۴</w:t>
      </w:r>
    </w:p>
    <w:p>
      <w:pPr>
        <w:pStyle w:val="BookText"/>
      </w:pPr>
      <w:r>
        <w:rPr>
          <w:rFonts w:ascii="IRNazanin" w:hAnsi="IRNazanin" w:eastAsia="IRNazanin" w:cs="IRNazanin"/>
          <w:lang w:bidi="fa-IR"/>
          <w:color w:val="111111"/>
          <w:sz w:val="28"/>
          <w:szCs w:val="28"/>
          <w:rtl/>
        </w:rPr>
        <w:t xml:space="preserve">از صائب و عارف لاهیجانی؛ بی کا، بی تا؛ قطع: رحلی [ف: ۲۷۷]</w:t>
      </w:r>
    </w:p>
    <w:p>
      <w:pPr>
        <w:pStyle w:val="BookText"/>
      </w:pPr>
      <w:r>
        <w:rPr>
          <w:rFonts w:ascii="IRNazanin" w:hAnsi="IRNazanin" w:eastAsia="IRNazanin" w:cs="IRNazanin"/>
          <w:lang w:bidi="fa-IR"/>
          <w:color w:val="111111"/>
          <w:sz w:val="28"/>
          <w:szCs w:val="28"/>
          <w:rtl/>
        </w:rPr>
        <w:t xml:space="preserve">۱۹۵۵. تهران؛ ملی؛ شماره نسخه: ۲۵۳۴۸</w:t>
      </w:r>
    </w:p>
    <w:p>
      <w:pPr>
        <w:pStyle w:val="BookText"/>
      </w:pPr>
      <w:r>
        <w:rPr>
          <w:rFonts w:ascii="IRNazanin" w:hAnsi="IRNazanin" w:eastAsia="IRNazanin" w:cs="IRNazanin"/>
          <w:lang w:bidi="fa-IR"/>
          <w:color w:val="111111"/>
          <w:sz w:val="28"/>
          <w:szCs w:val="28"/>
          <w:rtl/>
        </w:rPr>
        <w:t xml:space="preserve">جنگ اشعار؛ بی کا، بی تا؛ خریداری از امرالله صفری [رایانه]</w:t>
      </w:r>
    </w:p>
    <w:p>
      <w:pPr>
        <w:pStyle w:val="BookText"/>
      </w:pPr>
      <w:r>
        <w:rPr>
          <w:rFonts w:ascii="IRNazanin" w:hAnsi="IRNazanin" w:eastAsia="IRNazanin" w:cs="IRNazanin"/>
          <w:lang w:bidi="fa-IR"/>
          <w:color w:val="111111"/>
          <w:sz w:val="28"/>
          <w:szCs w:val="28"/>
          <w:rtl/>
        </w:rPr>
        <w:t xml:space="preserve">۱۹۵۶. تهران؛ ملی؛ شماره نسخه: ۱۹۰۲۱</w:t>
      </w:r>
    </w:p>
    <w:p>
      <w:pPr>
        <w:pStyle w:val="BookText"/>
      </w:pPr>
      <w:r>
        <w:rPr>
          <w:rFonts w:ascii="IRNazanin" w:hAnsi="IRNazanin" w:eastAsia="IRNazanin" w:cs="IRNazanin"/>
          <w:lang w:bidi="fa-IR"/>
          <w:color w:val="111111"/>
          <w:sz w:val="28"/>
          <w:szCs w:val="28"/>
          <w:rtl/>
        </w:rPr>
        <w:t xml:space="preserve">كا: محمد صادق، بی تا؛ انتقالی از کتابخانه پهلوی - مجموعه نوازی؛ اندازه: ۸/۲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۱۲/۵سم [رایانه]</w:t>
      </w:r>
    </w:p>
    <w:p>
      <w:pPr>
        <w:pStyle w:val="BookText"/>
      </w:pPr>
      <w:r>
        <w:rPr>
          <w:rFonts w:ascii="IRNazanin" w:hAnsi="IRNazanin" w:eastAsia="IRNazanin" w:cs="IRNazanin"/>
          <w:lang w:bidi="fa-IR"/>
          <w:color w:val="111111"/>
          <w:sz w:val="28"/>
          <w:szCs w:val="28"/>
          <w:rtl/>
        </w:rPr>
        <w:t xml:space="preserve">۱۹۵۷. تهران؛ ملی؛ شماره نسخه: ۱۹۰۲۹</w:t>
      </w:r>
    </w:p>
    <w:p>
      <w:pPr>
        <w:pStyle w:val="BookText"/>
      </w:pPr>
      <w:r>
        <w:rPr>
          <w:rFonts w:ascii="IRNazanin" w:hAnsi="IRNazanin" w:eastAsia="IRNazanin" w:cs="IRNazanin"/>
          <w:lang w:bidi="fa-IR"/>
          <w:color w:val="111111"/>
          <w:sz w:val="28"/>
          <w:szCs w:val="28"/>
          <w:rtl/>
        </w:rPr>
        <w:t xml:space="preserve">جنگ اشعار؛ بی کا، بی تا؛ انتقالی از کتابخانه پهلوی - مجموعه نوازی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۱۸/۵سم [رایانه]</w:t>
      </w:r>
    </w:p>
    <w:p>
      <w:pPr>
        <w:pStyle w:val="BookText"/>
      </w:pPr>
      <w:r>
        <w:rPr>
          <w:rFonts w:ascii="IRNazanin" w:hAnsi="IRNazanin" w:eastAsia="IRNazanin" w:cs="IRNazanin"/>
          <w:lang w:bidi="fa-IR"/>
          <w:color w:val="111111"/>
          <w:sz w:val="28"/>
          <w:szCs w:val="28"/>
          <w:rtl/>
        </w:rPr>
        <w:t xml:space="preserve">۱۹۵۸. تهران؛ ملی؛ شماره نسخه: ۱۹۰۴۳</w:t>
      </w:r>
    </w:p>
    <w:p>
      <w:pPr>
        <w:pStyle w:val="BookText"/>
      </w:pPr>
      <w:r>
        <w:rPr>
          <w:rFonts w:ascii="IRNazanin" w:hAnsi="IRNazanin" w:eastAsia="IRNazanin" w:cs="IRNazanin"/>
          <w:lang w:bidi="fa-IR"/>
          <w:color w:val="111111"/>
          <w:sz w:val="28"/>
          <w:szCs w:val="28"/>
          <w:rtl/>
        </w:rPr>
        <w:t xml:space="preserve">جنگ شعر؛ بی تا، بی کا ؛انتقالی از کتابخانه پهلوی- نوازی اندازه: 9/8</w:t>
      </w:r>
      <w:r>
        <w:rPr>
          <w:rFonts w:ascii="Times New Roman" w:hAnsi="Times New Roman" w:eastAsia="Times New Roman" w:cs="Times New Roman"/>
          <w:lang w:val="en-US" w:bidi="en-US"/>
          <w:color w:val="111111"/>
          <w:sz w:val="28"/>
          <w:szCs w:val="28"/>
          <w:rtl/>
        </w:rPr>
        <w:t xml:space="preserve">×17/2</w:t>
      </w:r>
      <w:r>
        <w:rPr>
          <w:rFonts w:ascii="IRNazanin" w:hAnsi="IRNazanin" w:eastAsia="IRNazanin" w:cs="IRNazanin"/>
          <w:lang w:bidi="fa-IR"/>
          <w:color w:val="111111"/>
          <w:sz w:val="28"/>
          <w:szCs w:val="28"/>
          <w:rtl/>
        </w:rPr>
        <w:t xml:space="preserve">سم [رایانه]</w:t>
      </w:r>
    </w:p>
    <w:p>
      <w:pPr>
        <w:pStyle w:val="BookText"/>
      </w:pPr>
      <w:r>
        <w:rPr>
          <w:rFonts w:ascii="IRNazanin" w:hAnsi="IRNazanin" w:eastAsia="IRNazanin" w:cs="IRNazanin"/>
          <w:lang w:bidi="fa-IR"/>
          <w:color w:val="111111"/>
          <w:sz w:val="28"/>
          <w:szCs w:val="28"/>
          <w:rtl/>
        </w:rPr>
        <w:t xml:space="preserve">۱۹۵۹. تهران؛ ملی؛ شماره نسخه: ۱۹۰۴۵</w:t>
      </w:r>
    </w:p>
    <w:p>
      <w:pPr>
        <w:pStyle w:val="BookText"/>
      </w:pPr>
      <w:r>
        <w:rPr>
          <w:rFonts w:ascii="IRNazanin" w:hAnsi="IRNazanin" w:eastAsia="IRNazanin" w:cs="IRNazanin"/>
          <w:lang w:bidi="fa-IR"/>
          <w:color w:val="111111"/>
          <w:sz w:val="28"/>
          <w:szCs w:val="28"/>
          <w:rtl/>
        </w:rPr>
        <w:t xml:space="preserve">بی کا،بی تا؛ انتقالی از کتابخانه پهلوی مجموعه نوازی؛ اندازه: ۸/۴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۱۵/۳سم [رایانه ]</w:t>
      </w:r>
    </w:p>
    <w:p>
      <w:pPr>
        <w:pStyle w:val="BookText"/>
      </w:pPr>
      <w:r>
        <w:rPr>
          <w:rFonts w:ascii="IRNazanin" w:hAnsi="IRNazanin" w:eastAsia="IRNazanin" w:cs="IRNazanin"/>
          <w:lang w:bidi="fa-IR"/>
          <w:color w:val="111111"/>
          <w:sz w:val="28"/>
          <w:szCs w:val="28"/>
          <w:rtl/>
        </w:rPr>
        <w:t xml:space="preserve">۱۹۶۰. تهران؛ ملی؛ شماره نسخه: ۱۹۰۶۱</w:t>
      </w:r>
    </w:p>
    <w:p>
      <w:pPr>
        <w:pStyle w:val="BookText"/>
      </w:pPr>
      <w:r>
        <w:rPr>
          <w:rFonts w:ascii="IRNazanin" w:hAnsi="IRNazanin" w:eastAsia="IRNazanin" w:cs="IRNazanin"/>
          <w:lang w:bidi="fa-IR"/>
          <w:color w:val="111111"/>
          <w:sz w:val="28"/>
          <w:szCs w:val="28"/>
          <w:rtl/>
        </w:rPr>
        <w:t xml:space="preserve">بی کا،بی تا ؛جنگ شعر. انتقالی از کتابخانه پهلوی - مجموعه نوازی، اندازه: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۱۶/۸سم [رایانه]</w:t>
      </w:r>
    </w:p>
    <w:p>
      <w:pPr>
        <w:pStyle w:val="BookText"/>
      </w:pPr>
      <w:r>
        <w:rPr>
          <w:rFonts w:ascii="IRNazanin" w:hAnsi="IRNazanin" w:eastAsia="IRNazanin" w:cs="IRNazanin"/>
          <w:lang w:bidi="fa-IR"/>
          <w:color w:val="111111"/>
          <w:sz w:val="28"/>
          <w:szCs w:val="28"/>
          <w:rtl/>
        </w:rPr>
        <w:t xml:space="preserve">۱۹۶۱. تهران؛ ملی؛ شماره نسخه: ۱۹۰۶۵</w:t>
      </w:r>
    </w:p>
    <w:p>
      <w:pPr>
        <w:pStyle w:val="BookText"/>
      </w:pPr>
      <w:r>
        <w:rPr>
          <w:rFonts w:ascii="IRNazanin" w:hAnsi="IRNazanin" w:eastAsia="IRNazanin" w:cs="IRNazanin"/>
          <w:lang w:bidi="fa-IR"/>
          <w:color w:val="111111"/>
          <w:sz w:val="28"/>
          <w:szCs w:val="28"/>
          <w:rtl/>
        </w:rPr>
        <w:t xml:space="preserve">جنگ شعر؛ بی کا، بی تا؛ انتقالی از کتابخانه پهلوی -مجموعه نوازی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۲۵/۶سم [رایانه]</w:t>
      </w:r>
    </w:p>
    <w:p>
      <w:pPr>
        <w:pStyle w:val="BookText"/>
      </w:pPr>
      <w:r>
        <w:rPr>
          <w:rFonts w:ascii="IRNazanin" w:hAnsi="IRNazanin" w:eastAsia="IRNazanin" w:cs="IRNazanin"/>
          <w:lang w:bidi="fa-IR"/>
          <w:color w:val="111111"/>
          <w:sz w:val="28"/>
          <w:szCs w:val="28"/>
          <w:rtl/>
        </w:rPr>
        <w:t xml:space="preserve">۱۹۶۲. تهران؛ ملی؛ شماره نسخه: ۱۹۰۶۸</w:t>
      </w:r>
    </w:p>
    <w:p>
      <w:pPr>
        <w:pStyle w:val="BookText"/>
      </w:pPr>
      <w:r>
        <w:rPr>
          <w:rFonts w:ascii="IRNazanin" w:hAnsi="IRNazanin" w:eastAsia="IRNazanin" w:cs="IRNazanin"/>
          <w:lang w:bidi="fa-IR"/>
          <w:color w:val="111111"/>
          <w:sz w:val="28"/>
          <w:szCs w:val="28"/>
          <w:rtl/>
        </w:rPr>
        <w:t xml:space="preserve">جنگ شعر؛ بی کا، بی تا؛ انتقالی از کتابخانه پهلوی - مجموعه نوازی؛ اندازه: 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۱۸/۲سم [رایانه]</w:t>
      </w:r>
    </w:p>
    <w:p>
      <w:pPr>
        <w:pStyle w:val="BookText"/>
      </w:pPr>
      <w:r>
        <w:rPr>
          <w:rFonts w:ascii="IRNazanin" w:hAnsi="IRNazanin" w:eastAsia="IRNazanin" w:cs="IRNazanin"/>
          <w:lang w:bidi="fa-IR"/>
          <w:color w:val="111111"/>
          <w:sz w:val="28"/>
          <w:szCs w:val="28"/>
          <w:rtl/>
        </w:rPr>
        <w:t xml:space="preserve">۱۹۶۳. تهران؛ ملی؛ شماره نسخه: ۱۹۰۸۴</w:t>
      </w:r>
    </w:p>
    <w:p>
      <w:pPr>
        <w:pStyle w:val="BookText"/>
      </w:pPr>
      <w:r>
        <w:rPr>
          <w:rFonts w:ascii="IRNazanin" w:hAnsi="IRNazanin" w:eastAsia="IRNazanin" w:cs="IRNazanin"/>
          <w:lang w:bidi="fa-IR"/>
          <w:color w:val="111111"/>
          <w:sz w:val="28"/>
          <w:szCs w:val="28"/>
          <w:rtl/>
        </w:rPr>
        <w:t xml:space="preserve">مثنوی؛ بی کا، بی تا؛  انتقالی از کتابخانه پهلوی - مجموعه نوازی؛ اندازه: ۲۰/۴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۳۲/۳سم [ رایانه ]</w:t>
      </w:r>
    </w:p>
    <w:p>
      <w:pPr>
        <w:pStyle w:val="BookText"/>
      </w:pPr>
      <w:r>
        <w:rPr>
          <w:rFonts w:ascii="IRNazanin" w:hAnsi="IRNazanin" w:eastAsia="IRNazanin" w:cs="IRNazanin"/>
          <w:lang w:bidi="fa-IR"/>
          <w:color w:val="111111"/>
          <w:sz w:val="28"/>
          <w:szCs w:val="28"/>
          <w:rtl/>
        </w:rPr>
        <w:t xml:space="preserve">۱۹۶۴. تهران؛ ملی؛ شماره نسخه: ۱۹۱۰۶</w:t>
      </w:r>
    </w:p>
    <w:p>
      <w:pPr>
        <w:pStyle w:val="BookText"/>
      </w:pPr>
      <w:r>
        <w:rPr>
          <w:rFonts w:ascii="IRNazanin" w:hAnsi="IRNazanin" w:eastAsia="IRNazanin" w:cs="IRNazanin"/>
          <w:lang w:bidi="fa-IR"/>
          <w:color w:val="111111"/>
          <w:sz w:val="28"/>
          <w:szCs w:val="28"/>
          <w:rtl/>
        </w:rPr>
        <w:t xml:space="preserve">مثنوی؛ بی کا، بی تا؛ انتقالی از کتابخانه پهلوی - مجموعه نوازی؛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۲۴/۷سم [ رایانه ]</w:t>
      </w:r>
    </w:p>
    <w:p>
      <w:pPr>
        <w:pStyle w:val="BookText"/>
      </w:pPr>
      <w:r>
        <w:rPr>
          <w:rFonts w:ascii="IRNazanin" w:hAnsi="IRNazanin" w:eastAsia="IRNazanin" w:cs="IRNazanin"/>
          <w:lang w:bidi="fa-IR"/>
          <w:color w:val="111111"/>
          <w:sz w:val="28"/>
          <w:szCs w:val="28"/>
          <w:rtl/>
        </w:rPr>
        <w:t xml:space="preserve">۱۹۶۵. تهران؛ ملی؛ شماره نسخه: ۱۹۱۱۳</w:t>
      </w:r>
    </w:p>
    <w:p>
      <w:pPr>
        <w:pStyle w:val="BookText"/>
      </w:pPr>
      <w:r>
        <w:rPr>
          <w:rFonts w:ascii="IRNazanin" w:hAnsi="IRNazanin" w:eastAsia="IRNazanin" w:cs="IRNazanin"/>
          <w:lang w:bidi="fa-IR"/>
          <w:color w:val="111111"/>
          <w:sz w:val="28"/>
          <w:szCs w:val="28"/>
          <w:rtl/>
        </w:rPr>
        <w:t xml:space="preserve">چند بیت شعر و چند عکس؛ بی کا، بی تا؛ انتقالی از کتابخانه پهلوی - مجموعه نوازی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۳۰/۵سم [رایانه]</w:t>
      </w:r>
    </w:p>
    <w:p>
      <w:pPr>
        <w:pStyle w:val="BookText"/>
      </w:pPr>
      <w:r>
        <w:rPr>
          <w:rFonts w:ascii="IRNazanin" w:hAnsi="IRNazanin" w:eastAsia="IRNazanin" w:cs="IRNazanin"/>
          <w:lang w:bidi="fa-IR"/>
          <w:color w:val="111111"/>
          <w:sz w:val="28"/>
          <w:szCs w:val="28"/>
          <w:rtl/>
        </w:rPr>
        <w:t xml:space="preserve">۱۹۶۶. تهران؛ ملی؛ شماره نسخه: ۱۷۳۱۲</w:t>
      </w:r>
    </w:p>
    <w:p>
      <w:pPr>
        <w:pStyle w:val="BookText"/>
      </w:pPr>
      <w:r>
        <w:rPr>
          <w:rFonts w:ascii="IRNazanin" w:hAnsi="IRNazanin" w:eastAsia="IRNazanin" w:cs="IRNazanin"/>
          <w:lang w:bidi="fa-IR"/>
          <w:color w:val="111111"/>
          <w:sz w:val="28"/>
          <w:szCs w:val="28"/>
          <w:rtl/>
        </w:rPr>
        <w:t xml:space="preserve">اشعار اردو؛ بی کا، بی تا؛ خریداری از محمد مهدی ابراهیمی؛ اندازه: ۱۳/۲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۱۹/۹سم [رایانه ]</w:t>
      </w:r>
    </w:p>
    <w:p>
      <w:pPr>
        <w:pStyle w:val="BookText"/>
      </w:pPr>
      <w:r>
        <w:rPr>
          <w:rFonts w:ascii="IRNazanin" w:hAnsi="IRNazanin" w:eastAsia="IRNazanin" w:cs="IRNazanin"/>
          <w:lang w:bidi="fa-IR"/>
          <w:color w:val="111111"/>
          <w:sz w:val="28"/>
          <w:szCs w:val="28"/>
          <w:rtl/>
        </w:rPr>
        <w:t xml:space="preserve">۱۹۶۷. تهران؛ ملی؛ شماره نسخه: ۲۵۵۴۱</w:t>
      </w:r>
    </w:p>
    <w:p>
      <w:pPr>
        <w:pStyle w:val="BookText"/>
      </w:pPr>
      <w:r>
        <w:rPr>
          <w:rFonts w:ascii="IRNazanin" w:hAnsi="IRNazanin" w:eastAsia="IRNazanin" w:cs="IRNazanin"/>
          <w:lang w:bidi="fa-IR"/>
          <w:color w:val="111111"/>
          <w:sz w:val="28"/>
          <w:szCs w:val="28"/>
          <w:rtl/>
        </w:rPr>
        <w:t xml:space="preserve">جنگ اشعار؛ بی کا،بی تا؛ اهدایی از دکتر سید منوچهر طباطبایی[رایانه]</w:t>
      </w:r>
    </w:p>
    <w:p>
      <w:pPr>
        <w:pStyle w:val="BookText"/>
      </w:pPr>
      <w:r>
        <w:rPr>
          <w:rFonts w:ascii="IRNazanin" w:hAnsi="IRNazanin" w:eastAsia="IRNazanin" w:cs="IRNazanin"/>
          <w:lang w:bidi="fa-IR"/>
          <w:color w:val="111111"/>
          <w:sz w:val="28"/>
          <w:szCs w:val="28"/>
          <w:rtl/>
        </w:rPr>
        <w:t xml:space="preserve">۱۹۶۸. تهران؛ ملی؛ شماره نسخه: ۱۹۱۳۶</w:t>
      </w:r>
    </w:p>
    <w:p>
      <w:pPr>
        <w:pStyle w:val="BookText"/>
      </w:pPr>
      <w:r>
        <w:rPr>
          <w:rFonts w:ascii="IRNazanin" w:hAnsi="IRNazanin" w:eastAsia="IRNazanin" w:cs="IRNazanin"/>
          <w:lang w:bidi="fa-IR"/>
          <w:color w:val="111111"/>
          <w:sz w:val="28"/>
          <w:szCs w:val="28"/>
          <w:rtl/>
        </w:rPr>
        <w:t xml:space="preserve">یک مثنوی؛ بی کا، بی تا؛ انتقالی از کتابخانه پهلوی-مجموعه نوازی ؛اندازه: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۱۹/۸سم [رایانه ]</w:t>
      </w:r>
    </w:p>
    <w:p>
      <w:pPr>
        <w:pStyle w:val="BookText"/>
      </w:pPr>
      <w:r>
        <w:rPr>
          <w:rFonts w:ascii="IRNazanin" w:hAnsi="IRNazanin" w:eastAsia="IRNazanin" w:cs="IRNazanin"/>
          <w:lang w:bidi="fa-IR"/>
          <w:color w:val="111111"/>
          <w:sz w:val="28"/>
          <w:szCs w:val="28"/>
          <w:rtl/>
        </w:rPr>
        <w:t xml:space="preserve">۱۹۶۹. تهران؛ ملی؛ شماره نسخه: ۲۵۴۱۶</w:t>
      </w:r>
    </w:p>
    <w:p>
      <w:pPr>
        <w:pStyle w:val="BookText"/>
      </w:pPr>
      <w:r>
        <w:rPr>
          <w:rFonts w:ascii="IRNazanin" w:hAnsi="IRNazanin" w:eastAsia="IRNazanin" w:cs="IRNazanin"/>
          <w:lang w:bidi="fa-IR"/>
          <w:color w:val="111111"/>
          <w:sz w:val="28"/>
          <w:szCs w:val="28"/>
          <w:rtl/>
        </w:rPr>
        <w:t xml:space="preserve">حکایات و اشعار مذهبی - اجتماعی؛ بی کا، بی تا؛ خریداری از عبدالله ناصری [رایانه]</w:t>
      </w:r>
    </w:p>
    <w:p>
      <w:pPr>
        <w:pStyle w:val="BookText"/>
      </w:pPr>
      <w:r>
        <w:rPr>
          <w:rFonts w:ascii="IRNazanin" w:hAnsi="IRNazanin" w:eastAsia="IRNazanin" w:cs="IRNazanin"/>
          <w:lang w:bidi="fa-IR"/>
          <w:color w:val="111111"/>
          <w:sz w:val="28"/>
          <w:szCs w:val="28"/>
          <w:rtl/>
        </w:rPr>
        <w:t xml:space="preserve">۱۹۷۰. تهران؛ ملی؛ شماره نسخه: ۱۷۳۸۰</w:t>
      </w:r>
    </w:p>
    <w:p>
      <w:pPr>
        <w:pStyle w:val="BookText"/>
      </w:pPr>
      <w:r>
        <w:rPr>
          <w:rFonts w:ascii="IRNazanin" w:hAnsi="IRNazanin" w:eastAsia="IRNazanin" w:cs="IRNazanin"/>
          <w:lang w:bidi="fa-IR"/>
          <w:color w:val="111111"/>
          <w:sz w:val="28"/>
          <w:szCs w:val="28"/>
          <w:rtl/>
        </w:rPr>
        <w:t xml:space="preserve">جنگ اشعار؛ بی کا، بی تا؛ خریداری از مصطفی حسینی؛ ۴۱گ،اندازه: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۲۴/۱سم [رایانه ]</w:t>
      </w:r>
    </w:p>
    <w:p>
      <w:pPr>
        <w:pStyle w:val="BookText"/>
      </w:pPr>
      <w:r>
        <w:rPr>
          <w:rFonts w:ascii="IRNazanin" w:hAnsi="IRNazanin" w:eastAsia="IRNazanin" w:cs="IRNazanin"/>
          <w:lang w:bidi="fa-IR"/>
          <w:color w:val="111111"/>
          <w:sz w:val="28"/>
          <w:szCs w:val="28"/>
          <w:rtl/>
        </w:rPr>
        <w:t xml:space="preserve">۱۹۷۱. تهران؛ ملی؛ شماره نسخه: ۱۷۳۹۰
</w:t>
      </w:r>
    </w:p>
    <w:p>
      <w:pPr>
        <w:sectPr>
          <w:footerReference w:type="default" r:id="rId9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جنگ اشعار؛ بی کا، بی تا؛ خریداری از مصطفی حسینی؛ ۱۱۳گ، اندازه: ۱۰/۶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۱۷/۹سم [رایانه ]</w:t>
      </w:r>
    </w:p>
    <w:p>
      <w:pPr>
        <w:pStyle w:val="BookText"/>
      </w:pPr>
      <w:r>
        <w:rPr>
          <w:rFonts w:ascii="IRNazanin" w:hAnsi="IRNazanin" w:eastAsia="IRNazanin" w:cs="IRNazanin"/>
          <w:lang w:bidi="fa-IR"/>
          <w:color w:val="111111"/>
          <w:sz w:val="28"/>
          <w:szCs w:val="28"/>
          <w:rtl/>
        </w:rPr>
        <w:t xml:space="preserve">۱۹۷۲. تهران؛ ملی؛ شماره نسخه: ۱۷۳۹۲</w:t>
      </w:r>
    </w:p>
    <w:p>
      <w:pPr>
        <w:pStyle w:val="BookText"/>
      </w:pPr>
      <w:r>
        <w:rPr>
          <w:rFonts w:ascii="IRNazanin" w:hAnsi="IRNazanin" w:eastAsia="IRNazanin" w:cs="IRNazanin"/>
          <w:lang w:bidi="fa-IR"/>
          <w:color w:val="111111"/>
          <w:sz w:val="28"/>
          <w:szCs w:val="28"/>
          <w:rtl/>
        </w:rPr>
        <w:t xml:space="preserve">جنگ اشعار؛ بی کا، بی تا؛ خریداری از مصطفی حسینی؛ ۱۷۷گ،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۲۰/۶سم [ رایانه ]</w:t>
      </w:r>
    </w:p>
    <w:p>
      <w:pPr>
        <w:pStyle w:val="BookText"/>
      </w:pPr>
      <w:r>
        <w:rPr>
          <w:rFonts w:ascii="IRNazanin" w:hAnsi="IRNazanin" w:eastAsia="IRNazanin" w:cs="IRNazanin"/>
          <w:lang w:bidi="fa-IR"/>
          <w:color w:val="111111"/>
          <w:sz w:val="28"/>
          <w:szCs w:val="28"/>
          <w:rtl/>
        </w:rPr>
        <w:t xml:space="preserve">۱۹۷۳. تهران؛ ملی؛ شماره نسخه: ۱۷۴۰۶</w:t>
      </w:r>
    </w:p>
    <w:p>
      <w:pPr>
        <w:pStyle w:val="BookText"/>
      </w:pPr>
      <w:r>
        <w:rPr>
          <w:rFonts w:ascii="IRNazanin" w:hAnsi="IRNazanin" w:eastAsia="IRNazanin" w:cs="IRNazanin"/>
          <w:lang w:bidi="fa-IR"/>
          <w:color w:val="111111"/>
          <w:sz w:val="28"/>
          <w:szCs w:val="28"/>
          <w:rtl/>
        </w:rPr>
        <w:t xml:space="preserve">دیوانی به ترکی ؛کا: محمد جوره بای، بی تا؛ خریداری از مصطفی حسینی؛ ۳۶گ، اندازه: ۱۳/۱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۲۰/۳سم [رایانه ]</w:t>
      </w:r>
    </w:p>
    <w:p>
      <w:pPr>
        <w:pStyle w:val="BookText"/>
      </w:pPr>
      <w:r>
        <w:rPr>
          <w:rFonts w:ascii="IRNazanin" w:hAnsi="IRNazanin" w:eastAsia="IRNazanin" w:cs="IRNazanin"/>
          <w:lang w:bidi="fa-IR"/>
          <w:color w:val="111111"/>
          <w:sz w:val="28"/>
          <w:szCs w:val="28"/>
          <w:rtl/>
        </w:rPr>
        <w:t xml:space="preserve">۱۹۷۴. تهران؛ ملی؛ شماره نسخه: ۱۷۴۰۸</w:t>
      </w:r>
    </w:p>
    <w:p>
      <w:pPr>
        <w:pStyle w:val="BookText"/>
      </w:pPr>
      <w:r>
        <w:rPr>
          <w:rFonts w:ascii="IRNazanin" w:hAnsi="IRNazanin" w:eastAsia="IRNazanin" w:cs="IRNazanin"/>
          <w:lang w:bidi="fa-IR"/>
          <w:color w:val="111111"/>
          <w:sz w:val="28"/>
          <w:szCs w:val="28"/>
          <w:rtl/>
        </w:rPr>
        <w:t xml:space="preserve">جنگ اشعار گوناگون؛ بی کا، بی تا؛ خریداری از مصطفی حسینی؛ ۱۷۸گ ،اندازه: ۱۵/۲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۲۲/۸سم [رایانه]</w:t>
      </w:r>
    </w:p>
    <w:p>
      <w:pPr>
        <w:pStyle w:val="BookText"/>
      </w:pPr>
      <w:r>
        <w:rPr>
          <w:rFonts w:ascii="IRNazanin" w:hAnsi="IRNazanin" w:eastAsia="IRNazanin" w:cs="IRNazanin"/>
          <w:lang w:bidi="fa-IR"/>
          <w:color w:val="111111"/>
          <w:sz w:val="28"/>
          <w:szCs w:val="28"/>
          <w:rtl/>
        </w:rPr>
        <w:t xml:space="preserve">۱۹۷۵. تهران؛ ملی؛ شماره نسخه: ۱۷۴۵۰</w:t>
      </w:r>
    </w:p>
    <w:p>
      <w:pPr>
        <w:pStyle w:val="BookText"/>
      </w:pPr>
      <w:r>
        <w:rPr>
          <w:rFonts w:ascii="IRNazanin" w:hAnsi="IRNazanin" w:eastAsia="IRNazanin" w:cs="IRNazanin"/>
          <w:lang w:bidi="fa-IR"/>
          <w:color w:val="111111"/>
          <w:sz w:val="28"/>
          <w:szCs w:val="28"/>
          <w:rtl/>
        </w:rPr>
        <w:t xml:space="preserve">جنگ اشعار؛ بی کا، بی تا؛ خریداری از مصطفی حسینی؛ اندازه: ۱۱/۴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۱۶/۷سم [رایانه ]</w:t>
      </w:r>
    </w:p>
    <w:p>
      <w:pPr>
        <w:pStyle w:val="BookText"/>
      </w:pPr>
      <w:r>
        <w:rPr>
          <w:rFonts w:ascii="IRNazanin" w:hAnsi="IRNazanin" w:eastAsia="IRNazanin" w:cs="IRNazanin"/>
          <w:lang w:bidi="fa-IR"/>
          <w:color w:val="111111"/>
          <w:sz w:val="28"/>
          <w:szCs w:val="28"/>
          <w:rtl/>
        </w:rPr>
        <w:t xml:space="preserve">۱۹۷۶. مشهد؛ شیخ علی حیدر؛ شماره نسخه: ۱۰۴۵/۵</w:t>
      </w:r>
    </w:p>
    <w:p>
      <w:pPr>
        <w:pStyle w:val="BookText"/>
      </w:pPr>
      <w:r>
        <w:rPr>
          <w:rFonts w:ascii="IRNazanin" w:hAnsi="IRNazanin" w:eastAsia="IRNazanin" w:cs="IRNazanin"/>
          <w:lang w:bidi="fa-IR"/>
          <w:color w:val="111111"/>
          <w:sz w:val="28"/>
          <w:szCs w:val="28"/>
          <w:rtl/>
        </w:rPr>
        <w:t xml:space="preserve">آغاز: ای شه کربلا سلام علیک*** ای بغم مبتلا سلام عليک؛</w:t>
      </w:r>
    </w:p>
    <w:p>
      <w:pPr>
        <w:pStyle w:val="BookText"/>
      </w:pPr>
      <w:r>
        <w:rPr>
          <w:rFonts w:ascii="IRNazanin" w:hAnsi="IRNazanin" w:eastAsia="IRNazanin" w:cs="IRNazanin"/>
          <w:lang w:bidi="fa-IR"/>
          <w:color w:val="111111"/>
          <w:sz w:val="28"/>
          <w:szCs w:val="28"/>
          <w:rtl/>
        </w:rPr>
        <w:t xml:space="preserve">انجام: ...گهش بدیده حسرت نظاره می کردند ***بحاضـران شفاعت اشاره می کردند.</w:t>
      </w:r>
    </w:p>
    <w:p>
      <w:pPr>
        <w:pStyle w:val="BookText"/>
      </w:pPr>
      <w:r>
        <w:rPr>
          <w:rFonts w:ascii="IRNazanin" w:hAnsi="IRNazanin" w:eastAsia="IRNazanin" w:cs="IRNazanin"/>
          <w:lang w:bidi="fa-IR"/>
          <w:color w:val="111111"/>
          <w:sz w:val="28"/>
          <w:szCs w:val="28"/>
          <w:rtl/>
        </w:rPr>
        <w:t xml:space="preserve">جنگ شعری مجموعه شعری در مصیبت و سلام بر امام حسـین (علیه السّلام) است؛ خط: نسخ، بی کا، بی تا؛ ۲۴گ (۱۱۲ پ- ۱۳۵ پ)، ۲۴گ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[مؤید: ۳ - ۵۷]</w:t>
      </w:r>
    </w:p>
    <w:p>
      <w:pPr>
        <w:pStyle w:val="BookText"/>
      </w:pPr>
      <w:r>
        <w:rPr>
          <w:rFonts w:ascii="IRNazanin" w:hAnsi="IRNazanin" w:eastAsia="IRNazanin" w:cs="IRNazanin"/>
          <w:lang w:bidi="fa-IR"/>
          <w:color w:val="111111"/>
          <w:sz w:val="28"/>
          <w:szCs w:val="28"/>
          <w:rtl/>
        </w:rPr>
        <w:t xml:space="preserve">۱۹۷۷. تهران؛ ملی؛ شماره نسخه: ۱۷۵۰۱</w:t>
      </w:r>
    </w:p>
    <w:p>
      <w:pPr>
        <w:pStyle w:val="BookText"/>
      </w:pPr>
      <w:r>
        <w:rPr>
          <w:rFonts w:ascii="IRNazanin" w:hAnsi="IRNazanin" w:eastAsia="IRNazanin" w:cs="IRNazanin"/>
          <w:lang w:bidi="fa-IR"/>
          <w:color w:val="111111"/>
          <w:sz w:val="28"/>
          <w:szCs w:val="28"/>
          <w:rtl/>
        </w:rPr>
        <w:t xml:space="preserve">دیوان شعر؛ بی کا، بی تا؛ انتقالی از کتابخانه پهلوی -مجموعه نوازی ،۷۶گ، اندازه: ۱۱/۶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[رایانه]</w:t>
      </w:r>
    </w:p>
    <w:p>
      <w:pPr>
        <w:pStyle w:val="BookText"/>
      </w:pPr>
      <w:r>
        <w:rPr>
          <w:rFonts w:ascii="IRNazanin" w:hAnsi="IRNazanin" w:eastAsia="IRNazanin" w:cs="IRNazanin"/>
          <w:lang w:bidi="fa-IR"/>
          <w:color w:val="111111"/>
          <w:sz w:val="28"/>
          <w:szCs w:val="28"/>
          <w:rtl/>
        </w:rPr>
        <w:t xml:space="preserve">۱۹۷۸. تهران؛ ملی؛ شماره نسخه: ۱۷۵۰۲</w:t>
      </w:r>
    </w:p>
    <w:p>
      <w:pPr>
        <w:pStyle w:val="BookText"/>
      </w:pPr>
      <w:r>
        <w:rPr>
          <w:rFonts w:ascii="IRNazanin" w:hAnsi="IRNazanin" w:eastAsia="IRNazanin" w:cs="IRNazanin"/>
          <w:lang w:bidi="fa-IR"/>
          <w:color w:val="111111"/>
          <w:sz w:val="28"/>
          <w:szCs w:val="28"/>
          <w:rtl/>
        </w:rPr>
        <w:t xml:space="preserve">جنگ شعر؛ بی کا، بی تا؛ انتقالی از کتابخانه پهلوی -مجموعه نوازی؛ ۴۲۲گ ،اندازه: ۱۰/۹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۱۷/۸سم[رایانه]</w:t>
      </w:r>
    </w:p>
    <w:p>
      <w:pPr>
        <w:pStyle w:val="BookText"/>
      </w:pPr>
      <w:r>
        <w:rPr>
          <w:rFonts w:ascii="IRNazanin" w:hAnsi="IRNazanin" w:eastAsia="IRNazanin" w:cs="IRNazanin"/>
          <w:lang w:bidi="fa-IR"/>
          <w:color w:val="111111"/>
          <w:sz w:val="28"/>
          <w:szCs w:val="28"/>
          <w:rtl/>
        </w:rPr>
        <w:t xml:space="preserve">۱۹۷۹. تهران؛ ملی؛ شماره نسخه: ۱۷۵۰۶</w:t>
      </w:r>
    </w:p>
    <w:p>
      <w:pPr>
        <w:pStyle w:val="BookText"/>
      </w:pPr>
      <w:r>
        <w:rPr>
          <w:rFonts w:ascii="IRNazanin" w:hAnsi="IRNazanin" w:eastAsia="IRNazanin" w:cs="IRNazanin"/>
          <w:lang w:bidi="fa-IR"/>
          <w:color w:val="111111"/>
          <w:sz w:val="28"/>
          <w:szCs w:val="28"/>
          <w:rtl/>
        </w:rPr>
        <w:t xml:space="preserve">دیوان شعر؛ بی کا، بی تا؛ انتقالی از کتابخانه پهلوی -مجموعه نوازی؛ ۷۶گ ،اندازه: ۱۱/۶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۱۹/۱سم [رایانه]</w:t>
      </w:r>
    </w:p>
    <w:p>
      <w:pPr>
        <w:pStyle w:val="BookText"/>
      </w:pPr>
      <w:r>
        <w:rPr>
          <w:rFonts w:ascii="IRNazanin" w:hAnsi="IRNazanin" w:eastAsia="IRNazanin" w:cs="IRNazanin"/>
          <w:lang w:bidi="fa-IR"/>
          <w:color w:val="111111"/>
          <w:sz w:val="28"/>
          <w:szCs w:val="28"/>
          <w:rtl/>
        </w:rPr>
        <w:t xml:space="preserve">۱۹۸۰ .تهران؛ ملی؛ شماره نسخه: ۱۷۵۰۷</w:t>
      </w:r>
    </w:p>
    <w:p>
      <w:pPr>
        <w:pStyle w:val="BookText"/>
      </w:pPr>
      <w:r>
        <w:rPr>
          <w:rFonts w:ascii="IRNazanin" w:hAnsi="IRNazanin" w:eastAsia="IRNazanin" w:cs="IRNazanin"/>
          <w:lang w:bidi="fa-IR"/>
          <w:color w:val="111111"/>
          <w:sz w:val="28"/>
          <w:szCs w:val="28"/>
          <w:rtl/>
        </w:rPr>
        <w:t xml:space="preserve">جنگ شعر؛ بی کا، بی تا؛ انتقالی از کتابخانه پهلوی - مجموعه نوازی، ۴۲۲گ ،اندازه: ۱۰/۹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۱۷/۸سم [رایانه]</w:t>
      </w:r>
    </w:p>
    <w:p>
      <w:pPr>
        <w:pStyle w:val="BookText"/>
      </w:pPr>
      <w:r>
        <w:rPr>
          <w:rFonts w:ascii="IRNazanin" w:hAnsi="IRNazanin" w:eastAsia="IRNazanin" w:cs="IRNazanin"/>
          <w:lang w:bidi="fa-IR"/>
          <w:color w:val="111111"/>
          <w:sz w:val="28"/>
          <w:szCs w:val="28"/>
          <w:rtl/>
        </w:rPr>
        <w:t xml:space="preserve">۱۹۸۱. تهران؛ ملی؛ شماره نسخه: ۱۷۵۱۰</w:t>
      </w:r>
    </w:p>
    <w:p>
      <w:pPr>
        <w:pStyle w:val="BookText"/>
      </w:pPr>
      <w:r>
        <w:rPr>
          <w:rFonts w:ascii="IRNazanin" w:hAnsi="IRNazanin" w:eastAsia="IRNazanin" w:cs="IRNazanin"/>
          <w:lang w:bidi="fa-IR"/>
          <w:color w:val="111111"/>
          <w:sz w:val="28"/>
          <w:szCs w:val="28"/>
          <w:rtl/>
        </w:rPr>
        <w:t xml:space="preserve">جنگ شعر؛ بی کا، بی تا؛ انتقالی از کتابخانه پهلوی- مجموعه نوازی؛ ۲۵۵گ، اندازه: ۱۶/۷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۲۷/۸سم [رایانه ]</w:t>
      </w:r>
    </w:p>
    <w:p>
      <w:pPr>
        <w:pStyle w:val="BookText"/>
      </w:pPr>
      <w:r>
        <w:rPr>
          <w:rFonts w:ascii="IRNazanin" w:hAnsi="IRNazanin" w:eastAsia="IRNazanin" w:cs="IRNazanin"/>
          <w:lang w:bidi="fa-IR"/>
          <w:color w:val="111111"/>
          <w:sz w:val="28"/>
          <w:szCs w:val="28"/>
          <w:rtl/>
        </w:rPr>
        <w:t xml:space="preserve">۱۹۸۲. مشهد؛ شیخ علی حیدر؛ شماره نسخه: ۱۱۹۱/۶</w:t>
      </w:r>
    </w:p>
    <w:p>
      <w:pPr>
        <w:pStyle w:val="BookText"/>
      </w:pPr>
      <w:r>
        <w:rPr>
          <w:rFonts w:ascii="IRNazanin" w:hAnsi="IRNazanin" w:eastAsia="IRNazanin" w:cs="IRNazanin"/>
          <w:lang w:bidi="fa-IR"/>
          <w:color w:val="111111"/>
          <w:sz w:val="28"/>
          <w:szCs w:val="28"/>
          <w:rtl/>
        </w:rPr>
        <w:t xml:space="preserve">آغاز: چون آسمان کمر کینه استوار *** کشتی نوح شکند از موجه بحار؛ انجام: صائب بس است این همه اشعار دلفکار*** لنگر فکن تو کشتی غم را بکش کنار</w:t>
      </w:r>
    </w:p>
    <w:p>
      <w:pPr>
        <w:pStyle w:val="BookText"/>
      </w:pPr>
      <w:r>
        <w:rPr>
          <w:rFonts w:ascii="IRNazanin" w:hAnsi="IRNazanin" w:eastAsia="IRNazanin" w:cs="IRNazanin"/>
          <w:lang w:bidi="fa-IR"/>
          <w:color w:val="111111"/>
          <w:sz w:val="28"/>
          <w:szCs w:val="28"/>
          <w:rtl/>
        </w:rPr>
        <w:t xml:space="preserve">قصیده در مصیبت امام حسین (علیه السّلام)؛ خط: نستعلیق، بی کا، بی تا؛ جلد: تيماج قهوه ای، ۲گ( ۹۲پ - ۹۳پ)، اندازه: ۱۲</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۲۰/۵ سم[مؤيد: ۳ - ۱۶۵]</w:t>
      </w:r>
    </w:p>
    <w:p>
      <w:pPr>
        <w:pStyle w:val="BookText"/>
      </w:pPr>
      <w:r>
        <w:rPr>
          <w:rFonts w:ascii="IRNazanin" w:hAnsi="IRNazanin" w:eastAsia="IRNazanin" w:cs="IRNazanin"/>
          <w:lang w:bidi="fa-IR"/>
          <w:color w:val="111111"/>
          <w:sz w:val="28"/>
          <w:szCs w:val="28"/>
          <w:rtl/>
        </w:rPr>
        <w:t xml:space="preserve">۱۹۸۳ . مشهد؛ شیخ علی حیدر؛ شماره نسخه: ۱۳۹۴/۱</w:t>
      </w:r>
    </w:p>
    <w:p>
      <w:pPr>
        <w:pStyle w:val="BookText"/>
      </w:pPr>
      <w:r>
        <w:rPr>
          <w:rFonts w:ascii="IRNazanin" w:hAnsi="IRNazanin" w:eastAsia="IRNazanin" w:cs="IRNazanin"/>
          <w:lang w:bidi="fa-IR"/>
          <w:color w:val="111111"/>
          <w:sz w:val="28"/>
          <w:szCs w:val="28"/>
          <w:rtl/>
        </w:rPr>
        <w:t xml:space="preserve">آغاز: بخندان از لب آن غنچه باغم*** وزان گل عطر پرور کن دماغم؛ انجام: و ربما دجواد عمر از سیر *** ختم الله لى بما هو خير</w:t>
      </w:r>
    </w:p>
    <w:p>
      <w:pPr>
        <w:pStyle w:val="BookText"/>
      </w:pPr>
      <w:r>
        <w:rPr>
          <w:rFonts w:ascii="IRNazanin" w:hAnsi="IRNazanin" w:eastAsia="IRNazanin" w:cs="IRNazanin"/>
          <w:lang w:bidi="fa-IR"/>
          <w:color w:val="111111"/>
          <w:sz w:val="28"/>
          <w:szCs w:val="28"/>
          <w:rtl/>
        </w:rPr>
        <w:t xml:space="preserve">مثنویات است از توحید و مدح پیامبر (صلّی اللَّهِ علیه وَ آلِهِ وَ سَلَّمَ ) و حکایات اخلاقی؛ این دیوان به نام سلطان حسین انشاء شده؛ خط: نستعلیق، بی کا، بی تا؛ افتادگی: آغاز؛ جلد: معمولی، ۵۰گ (۱پ - ۵۰ر)، ۱۹ سطر، اندازه: ۱۵</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۲۲سم [مؤيد: ۳ - ۳۲۱]</w:t>
      </w:r>
    </w:p>
    <w:p>
      <w:pPr>
        <w:pStyle w:val="BookText"/>
      </w:pPr>
      <w:r>
        <w:rPr>
          <w:rFonts w:ascii="IRNazanin" w:hAnsi="IRNazanin" w:eastAsia="IRNazanin" w:cs="IRNazanin"/>
          <w:lang w:bidi="fa-IR"/>
          <w:color w:val="111111"/>
          <w:sz w:val="28"/>
          <w:szCs w:val="28"/>
          <w:rtl/>
        </w:rPr>
        <w:t xml:space="preserve">۱۹۸۴ . مشهد؛ شیخ علی حیدر؛ شماره نسخه: ۱۴۵۷/۱</w:t>
      </w:r>
    </w:p>
    <w:p>
      <w:pPr>
        <w:pStyle w:val="BookText"/>
      </w:pPr>
      <w:r>
        <w:rPr>
          <w:rFonts w:ascii="IRNazanin" w:hAnsi="IRNazanin" w:eastAsia="IRNazanin" w:cs="IRNazanin"/>
          <w:lang w:bidi="fa-IR"/>
          <w:color w:val="111111"/>
          <w:sz w:val="28"/>
          <w:szCs w:val="28"/>
          <w:rtl/>
        </w:rPr>
        <w:t xml:space="preserve">آغاز: تا بتوانی ز خلق ای یار عزیز*** دوری کن و در دامن عزلت آویز؛ انجام: ای سالک راه حق کجائی *** از پیر چنین مجو جدائی</w:t>
      </w:r>
    </w:p>
    <w:p>
      <w:pPr>
        <w:pStyle w:val="BookText"/>
      </w:pPr>
      <w:r>
        <w:rPr>
          <w:rFonts w:ascii="IRNazanin" w:hAnsi="IRNazanin" w:eastAsia="IRNazanin" w:cs="IRNazanin"/>
          <w:lang w:bidi="fa-IR"/>
          <w:color w:val="111111"/>
          <w:sz w:val="28"/>
          <w:szCs w:val="28"/>
          <w:rtl/>
        </w:rPr>
        <w:t xml:space="preserve">دیوان اشعاری است عرفانی که بر مذاق صوفیه سروده شده و شامل هشت مقاله است ؛خط: نستعلیق، بی کا، بی تا ؛جلد: تیماج  قهوه ای، ۴۷ گ (۱پ-۴۷ر) ، اندازه: 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۱۴/۵سم [مؤید: ۳ - ۳۶۹]</w:t>
      </w:r>
    </w:p>
    <w:p>
      <w:pPr>
        <w:pStyle w:val="BookText"/>
      </w:pPr>
      <w:r>
        <w:rPr>
          <w:rFonts w:ascii="IRNazanin" w:hAnsi="IRNazanin" w:eastAsia="IRNazanin" w:cs="IRNazanin"/>
          <w:lang w:bidi="fa-IR"/>
          <w:color w:val="111111"/>
          <w:sz w:val="28"/>
          <w:szCs w:val="28"/>
          <w:rtl/>
        </w:rPr>
        <w:t xml:space="preserve">۱۹۸۵. تهران؛ ملی؛ شماره نسخه: ۱۷۵۶۳</w:t>
      </w:r>
    </w:p>
    <w:p>
      <w:pPr>
        <w:pStyle w:val="BookText"/>
      </w:pPr>
      <w:r>
        <w:rPr>
          <w:rFonts w:ascii="IRNazanin" w:hAnsi="IRNazanin" w:eastAsia="IRNazanin" w:cs="IRNazanin"/>
          <w:lang w:bidi="fa-IR"/>
          <w:color w:val="111111"/>
          <w:sz w:val="28"/>
          <w:szCs w:val="28"/>
          <w:rtl/>
        </w:rPr>
        <w:t xml:space="preserve">دیوان شعر؛ بی کا، بی تا؛ انتقالی از کتابخانه پهلوی -مجموعه نوازی؛ ۲۲۸گ، اندازه: ۱۵/۴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۲۲/۵سم [رایانه]</w:t>
      </w:r>
    </w:p>
    <w:p>
      <w:pPr>
        <w:pStyle w:val="BookText"/>
      </w:pPr>
      <w:r>
        <w:rPr>
          <w:rFonts w:ascii="IRNazanin" w:hAnsi="IRNazanin" w:eastAsia="IRNazanin" w:cs="IRNazanin"/>
          <w:lang w:bidi="fa-IR"/>
          <w:color w:val="111111"/>
          <w:sz w:val="28"/>
          <w:szCs w:val="28"/>
          <w:rtl/>
        </w:rPr>
        <w:t xml:space="preserve">۱۹۸۶. تهران؛ دانشگاه؛ شماره نسخه: ۱۳۰۶/۳ -ف</w:t>
      </w:r>
    </w:p>
    <w:p>
      <w:pPr>
        <w:pStyle w:val="BookText"/>
      </w:pPr>
      <w:r>
        <w:rPr>
          <w:rFonts w:ascii="IRNazanin" w:hAnsi="IRNazanin" w:eastAsia="IRNazanin" w:cs="IRNazanin"/>
          <w:lang w:bidi="fa-IR"/>
          <w:color w:val="111111"/>
          <w:sz w:val="28"/>
          <w:szCs w:val="28"/>
          <w:rtl/>
        </w:rPr>
        <w:t xml:space="preserve">نسخه اصل: پاریس ۳۶۸ فارسی. قصیده الفیه امیر سید ابو العلاء؛ خط: نستعلیق، بی کا، بی تا؛ ۱۴ سطر [ فیلمها: ۱ - ۵۹۲]</w:t>
      </w:r>
    </w:p>
    <w:p>
      <w:pPr>
        <w:pStyle w:val="BookText"/>
      </w:pPr>
      <w:r>
        <w:rPr>
          <w:rFonts w:ascii="IRNazanin" w:hAnsi="IRNazanin" w:eastAsia="IRNazanin" w:cs="IRNazanin"/>
          <w:lang w:bidi="fa-IR"/>
          <w:color w:val="111111"/>
          <w:sz w:val="28"/>
          <w:szCs w:val="28"/>
          <w:rtl/>
        </w:rPr>
        <w:t xml:space="preserve">۱۹۸۷ . قم؛ فیضیه؛ شماره نسخه: ۱۹۴۴/۱</w:t>
      </w:r>
    </w:p>
    <w:p>
      <w:pPr>
        <w:pStyle w:val="BookText"/>
      </w:pPr>
      <w:r>
        <w:rPr>
          <w:rFonts w:ascii="IRNazanin" w:hAnsi="IRNazanin" w:eastAsia="IRNazanin" w:cs="IRNazanin"/>
          <w:lang w:bidi="fa-IR"/>
          <w:color w:val="111111"/>
          <w:sz w:val="28"/>
          <w:szCs w:val="28"/>
          <w:rtl/>
        </w:rPr>
        <w:t xml:space="preserve">بی کا، بی تا؛ ۲۵گ (1- 26) ،اندازه: ۱۱</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۱۷سم [ف: ۳ - ۱۵۵]</w:t>
      </w:r>
    </w:p>
    <w:p>
      <w:pPr>
        <w:pStyle w:val="BookText"/>
      </w:pPr>
      <w:r>
        <w:rPr>
          <w:rFonts w:ascii="IRNazanin" w:hAnsi="IRNazanin" w:eastAsia="IRNazanin" w:cs="IRNazanin"/>
          <w:lang w:bidi="fa-IR"/>
          <w:color w:val="111111"/>
          <w:sz w:val="28"/>
          <w:szCs w:val="28"/>
          <w:rtl/>
        </w:rPr>
        <w:t xml:space="preserve">۱۹۸۸. تهران؛ مجلس؛ شماره نسخه: ۶۱۲۵/۵</w:t>
      </w:r>
    </w:p>
    <w:p>
      <w:pPr>
        <w:pStyle w:val="BookText"/>
      </w:pPr>
      <w:r>
        <w:rPr>
          <w:rFonts w:ascii="IRNazanin" w:hAnsi="IRNazanin" w:eastAsia="IRNazanin" w:cs="IRNazanin"/>
          <w:lang w:bidi="fa-IR"/>
          <w:color w:val="111111"/>
          <w:sz w:val="28"/>
          <w:szCs w:val="28"/>
          <w:rtl/>
        </w:rPr>
        <w:t xml:space="preserve">آغاز: لا يحصل الرزق بالحيلات و الطلب *** و لا بكد و لا حرص و لا تعب / بل بالحظوظ التى تعلو بصاحبها *** لا بالخطوط التى في سائر الكتب؛ انجام: ثم الصلوة على المختار من مضر *** محمد خیر مبعوث و منتخب</w:t>
      </w:r>
    </w:p>
    <w:p>
      <w:pPr>
        <w:pStyle w:val="BookText"/>
      </w:pPr>
      <w:r>
        <w:rPr>
          <w:rFonts w:ascii="IRNazanin" w:hAnsi="IRNazanin" w:eastAsia="IRNazanin" w:cs="IRNazanin"/>
          <w:lang w:bidi="fa-IR"/>
          <w:color w:val="111111"/>
          <w:sz w:val="28"/>
          <w:szCs w:val="28"/>
          <w:rtl/>
        </w:rPr>
        <w:t xml:space="preserve">این قصیده در مدح سفر است و پیرو شیوه قصيده طغرائی اصفهانی ؛کا: محمد علی بن جعفر مکی طایفی، بی تا؛ کاغذ: ترکی و فرنگی ،جلد: تیماج مشکی یک لا، ۳ص (۲۳۷-۲۳۹)، قطع: خشتی، اندازه: ۱۶/۵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۲۲/۵سم [ف : ۱۹ - ۱۲۲]</w:t>
      </w:r>
    </w:p>
    <w:p>
      <w:pPr>
        <w:pStyle w:val="BookText"/>
      </w:pPr>
      <w:r>
        <w:rPr>
          <w:rFonts w:ascii="Times New Roman" w:hAnsi="Times New Roman" w:eastAsia="Times New Roman" w:cs="Times New Roman"/>
          <w:lang w:val="en-US" w:bidi="en-US"/>
          <w:color w:val="111111"/>
          <w:sz w:val="28"/>
          <w:szCs w:val="28"/>
          <w:rtl/>
        </w:rPr>
        <w:t xml:space="preserve">1989.</w:t>
      </w:r>
    </w:p>
    <w:p>
      <w:pPr>
        <w:pStyle w:val="BookText"/>
      </w:pPr>
      <w:r>
        <w:rPr>
          <w:rFonts w:ascii="IRNazanin" w:hAnsi="IRNazanin" w:eastAsia="IRNazanin" w:cs="IRNazanin"/>
          <w:lang w:bidi="fa-IR"/>
          <w:color w:val="111111"/>
          <w:sz w:val="28"/>
          <w:szCs w:val="28"/>
          <w:rtl/>
        </w:rPr>
        <w:t xml:space="preserve">تهران؛ ملک؛ شماره نسخه: ۹۵۵/۵</w:t>
      </w:r>
    </w:p>
    <w:p>
      <w:pPr>
        <w:pStyle w:val="BookText"/>
      </w:pPr>
      <w:r>
        <w:rPr>
          <w:rFonts w:ascii="IRNazanin" w:hAnsi="IRNazanin" w:eastAsia="IRNazanin" w:cs="IRNazanin"/>
          <w:lang w:bidi="fa-IR"/>
          <w:color w:val="111111"/>
          <w:sz w:val="28"/>
          <w:szCs w:val="28"/>
          <w:rtl/>
        </w:rPr>
        <w:t xml:space="preserve">قصیده دالیه. در ستایش پیامبر به عربی «سمعنا حديثا عن محمد مسندا *** برونی و اصل الاصل افدى محمدا»؛ خط: نسخ، بی کا، بی تا ،کاغذ: پسته ای، جلد: میشن لایی سورمه ای، ۱۶ سطر [ف: ۵- 220]</w:t>
      </w:r>
    </w:p>
    <w:p>
      <w:pPr>
        <w:pStyle w:val="BookText"/>
      </w:pPr>
      <w:r>
        <w:rPr>
          <w:rFonts w:ascii="IRNazanin" w:hAnsi="IRNazanin" w:eastAsia="IRNazanin" w:cs="IRNazanin"/>
          <w:lang w:bidi="fa-IR"/>
          <w:color w:val="111111"/>
          <w:sz w:val="28"/>
          <w:szCs w:val="28"/>
          <w:rtl/>
        </w:rPr>
        <w:t xml:space="preserve">۱۹۹۰ .تهران؛ ملی؛ شماره نسخه: ۱۷۶۰۴</w:t>
      </w:r>
    </w:p>
    <w:p>
      <w:pPr>
        <w:pStyle w:val="BookText"/>
      </w:pPr>
      <w:r>
        <w:rPr>
          <w:rFonts w:ascii="IRNazanin" w:hAnsi="IRNazanin" w:eastAsia="IRNazanin" w:cs="IRNazanin"/>
          <w:lang w:bidi="fa-IR"/>
          <w:color w:val="111111"/>
          <w:sz w:val="28"/>
          <w:szCs w:val="28"/>
          <w:rtl/>
        </w:rPr>
        <w:t xml:space="preserve">مثنوی؛ بی کا، بی تا؛ انتقالی از کتابخانه پهلوی - مجموعه نوازی؛ ۱۳۶گ،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۱۵/۴سم [رایانه]</w:t>
      </w:r>
    </w:p>
    <w:p>
      <w:pPr>
        <w:pStyle w:val="BookText"/>
      </w:pPr>
      <w:r>
        <w:rPr>
          <w:rFonts w:ascii="IRNazanin" w:hAnsi="IRNazanin" w:eastAsia="IRNazanin" w:cs="IRNazanin"/>
          <w:lang w:bidi="fa-IR"/>
          <w:color w:val="111111"/>
          <w:sz w:val="28"/>
          <w:szCs w:val="28"/>
          <w:rtl/>
        </w:rPr>
        <w:t xml:space="preserve">۱۹۹۱. تهران؛ سلطنتی؛ شماره نسخه: ۱۷۵۸</w:t>
      </w:r>
    </w:p>
    <w:p>
      <w:pPr>
        <w:pStyle w:val="BookText"/>
      </w:pPr>
      <w:r>
        <w:rPr>
          <w:rFonts w:ascii="Amiri" w:hAnsi="Amiri" w:eastAsia="Amiri" w:cs="Amiri"/>
          <w:lang w:bidi="ar-SA"/>
          <w:color w:val="111111"/>
          <w:sz w:val="28"/>
          <w:szCs w:val="28"/>
          <w:rtl/>
        </w:rPr>
        <w:t xml:space="preserve">آغاز: مقدمه: بسمله. الحمد الله الهادى الى الرشاد و الصلوة و السلام على خير العباد. سيدنا محمد و آله و صحبه الجياد و اشهد
</w:t>
      </w:r>
    </w:p>
    <w:p>
      <w:pPr>
        <w:sectPr>
          <w:footerReference w:type="default" r:id="rId9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لا اله الا الله وحده لا شريك له ... اما بعد فهداينل المراد فی تخمیس بانت سعاد ضمنته مديح الشفيع يوم المعاد...قصیده: بسمله. قل للعواذل بهما شيئتموا قولوا *** فليس لي بعد من اهـواه معقوك؛ انجام: لا يقع الطعن الا في نحورهم و ما لهم</w:t>
      </w:r>
    </w:p>
    <w:p>
      <w:pPr>
        <w:pStyle w:val="BookText"/>
      </w:pPr>
      <w:r>
        <w:rPr>
          <w:rFonts w:ascii="IRNazanin" w:hAnsi="IRNazanin" w:eastAsia="IRNazanin" w:cs="IRNazanin"/>
          <w:lang w:bidi="fa-IR"/>
          <w:color w:val="111111"/>
          <w:sz w:val="28"/>
          <w:szCs w:val="28"/>
          <w:rtl/>
        </w:rPr>
        <w:t xml:space="preserve">قصيده «بانت سعادة» که کعب بن زهیر از شعرای مشهور عرب در مدیح حضرت ختمی مرتبت (صلی الله علیه و آله وسلم) سروده است و موسوم به «نیل المراد في شرح بانت سعادة» است، به اضافه یک مقدمه منثور به زبان عربی؛ خط: نسخ و ثلث، کا: سید مصطفی، بی تا؛ پشـت صفحه اول:« این نسخه به سال های ۱۲۸۲ و ۱۳۲۲ به ترتیب از عرض گذشته»؛ مهر: ناصر الدین شاه قاجار مشیر السلطنه، محـمد رضا الحسينی، حسين بن هدایت الله؛ کاغذ: فستقی ،جلد: تیمـاج یک لا ماشی رنگ، ۲۸ص، ۳ سطر قلم ثلث و ۶/۵ سطر نسـخ،قطع: وزیری، اندازه: ۱۹/۷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۲۸/۵سم [ف: ۴ - ۹۵۴]</w:t>
      </w:r>
    </w:p>
    <w:p>
      <w:pPr>
        <w:pStyle w:val="BookText"/>
      </w:pPr>
      <w:r>
        <w:rPr>
          <w:rFonts w:ascii="IRNazanin" w:hAnsi="IRNazanin" w:eastAsia="IRNazanin" w:cs="IRNazanin"/>
          <w:lang w:bidi="fa-IR"/>
          <w:color w:val="111111"/>
          <w:sz w:val="28"/>
          <w:szCs w:val="28"/>
          <w:rtl/>
        </w:rPr>
        <w:t xml:space="preserve">۱۹۹۲ . اصفهان؛ دانشگاه؛ شماره نسخه: ۳۸۷/۲</w:t>
      </w:r>
    </w:p>
    <w:p>
      <w:pPr>
        <w:pStyle w:val="BookText"/>
      </w:pPr>
      <w:r>
        <w:rPr>
          <w:rFonts w:ascii="IRNazanin" w:hAnsi="IRNazanin" w:eastAsia="IRNazanin" w:cs="IRNazanin"/>
          <w:lang w:bidi="fa-IR"/>
          <w:color w:val="111111"/>
          <w:sz w:val="28"/>
          <w:szCs w:val="28"/>
          <w:rtl/>
        </w:rPr>
        <w:t xml:space="preserve">گزیده قصیده طغرائی در کیمیاست؛ بی کا، بی تا ؛کاغذ: فرنگی [ نشریه: ۱۱ - ۹۴۵]</w:t>
      </w:r>
    </w:p>
    <w:p>
      <w:pPr>
        <w:pStyle w:val="BookText"/>
      </w:pPr>
      <w:r>
        <w:rPr>
          <w:rFonts w:ascii="IRNazanin" w:hAnsi="IRNazanin" w:eastAsia="IRNazanin" w:cs="IRNazanin"/>
          <w:lang w:bidi="fa-IR"/>
          <w:color w:val="111111"/>
          <w:sz w:val="28"/>
          <w:szCs w:val="28"/>
          <w:rtl/>
        </w:rPr>
        <w:t xml:space="preserve">۱۹۹۳. تهران؛ ملی؛ شماره نسخه: ۱۷۶۴۲</w:t>
      </w:r>
    </w:p>
    <w:p>
      <w:pPr>
        <w:pStyle w:val="BookText"/>
      </w:pPr>
      <w:r>
        <w:rPr>
          <w:rFonts w:ascii="IRNazanin" w:hAnsi="IRNazanin" w:eastAsia="IRNazanin" w:cs="IRNazanin"/>
          <w:lang w:bidi="fa-IR"/>
          <w:color w:val="111111"/>
          <w:sz w:val="28"/>
          <w:szCs w:val="28"/>
          <w:rtl/>
        </w:rPr>
        <w:t xml:space="preserve">جنگ شعر؛ بی کا، بی تا؛ انتقالی از کتابخانه پهلوی-  مجموعه نوازی، ۱۹۴گ ،اندازه: ۱۳/۲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۲۰/۶سم [رایانه ]</w:t>
      </w:r>
    </w:p>
    <w:p>
      <w:pPr>
        <w:pStyle w:val="BookText"/>
      </w:pPr>
      <w:r>
        <w:rPr>
          <w:rFonts w:ascii="IRNazanin" w:hAnsi="IRNazanin" w:eastAsia="IRNazanin" w:cs="IRNazanin"/>
          <w:lang w:bidi="fa-IR"/>
          <w:color w:val="111111"/>
          <w:sz w:val="28"/>
          <w:szCs w:val="28"/>
          <w:rtl/>
        </w:rPr>
        <w:t xml:space="preserve">۱۹۹۴. تهران؛ فرهاد معتمد؛ شماره نسخه: ۱۵۲/۵</w:t>
      </w:r>
    </w:p>
    <w:p>
      <w:pPr>
        <w:pStyle w:val="BookText"/>
      </w:pPr>
      <w:r>
        <w:rPr>
          <w:rFonts w:ascii="IRNazanin" w:hAnsi="IRNazanin" w:eastAsia="IRNazanin" w:cs="IRNazanin"/>
          <w:lang w:bidi="fa-IR"/>
          <w:color w:val="111111"/>
          <w:sz w:val="28"/>
          <w:szCs w:val="28"/>
          <w:rtl/>
        </w:rPr>
        <w:t xml:space="preserve">دیوان قصاید است، درباره شاه طهماسب و درباریان او با تاریخ؛ خط: نستعلیق، بی کا، بی تا؛ کاغذ: سپاهانی سفید و کبود، جلد: تیماج مشکی، ۱۷ سطر (۵/۷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 نشریه: ۳ - ۲۳۰]</w:t>
      </w:r>
    </w:p>
    <w:p>
      <w:pPr>
        <w:pStyle w:val="BookText"/>
      </w:pPr>
      <w:r>
        <w:rPr>
          <w:rFonts w:ascii="IRNazanin" w:hAnsi="IRNazanin" w:eastAsia="IRNazanin" w:cs="IRNazanin"/>
          <w:lang w:bidi="fa-IR"/>
          <w:color w:val="111111"/>
          <w:sz w:val="28"/>
          <w:szCs w:val="28"/>
          <w:rtl/>
        </w:rPr>
        <w:t xml:space="preserve">۱۹۹۵. تهران؛ مجلس؛ شماره نسخه: ۱۳۴۳۷/۲</w:t>
      </w:r>
    </w:p>
    <w:p>
      <w:pPr>
        <w:pStyle w:val="BookText"/>
      </w:pPr>
      <w:r>
        <w:rPr>
          <w:rFonts w:ascii="IRNazanin" w:hAnsi="IRNazanin" w:eastAsia="IRNazanin" w:cs="IRNazanin"/>
          <w:lang w:bidi="fa-IR"/>
          <w:color w:val="111111"/>
          <w:sz w:val="28"/>
          <w:szCs w:val="28"/>
          <w:rtl/>
        </w:rPr>
        <w:t xml:space="preserve">آغاز: سحر که زد صبح آتش عنان *** شبیخون به فوج بلند اختران / نسیم سحر کرد هر سو هجوم *** فشاند آستین بر چراغ  نجوم؛ انجام: ناز گل های کواکب نقش بند روزگار *** می کند گل دوزی این خرگه نیلوفری / خیمه دین حنیف احمدی محـکم چوارس *** خانه اعدا خراب از قهر باد صرصری</w:t>
      </w:r>
    </w:p>
    <w:p>
      <w:pPr>
        <w:pStyle w:val="BookText"/>
      </w:pPr>
      <w:r>
        <w:rPr>
          <w:rFonts w:ascii="IRNazanin" w:hAnsi="IRNazanin" w:eastAsia="IRNazanin" w:cs="IRNazanin"/>
          <w:lang w:bidi="fa-IR"/>
          <w:color w:val="111111"/>
          <w:sz w:val="28"/>
          <w:szCs w:val="28"/>
          <w:rtl/>
        </w:rPr>
        <w:t xml:space="preserve">قصاید است از هادی ؛خط: نستعلیق، بی کا، بی تا ؛جلد: تیماج سرخ،۴۰ ص (۹۴-۱۳۴)، ۱۶ سطر [ف: ۳۶ - ۳۷۰]</w:t>
      </w:r>
    </w:p>
    <w:p>
      <w:pPr>
        <w:pStyle w:val="BookText"/>
      </w:pPr>
      <w:r>
        <w:rPr>
          <w:rFonts w:ascii="IRNazanin" w:hAnsi="IRNazanin" w:eastAsia="IRNazanin" w:cs="IRNazanin"/>
          <w:lang w:bidi="fa-IR"/>
          <w:color w:val="111111"/>
          <w:sz w:val="28"/>
          <w:szCs w:val="28"/>
          <w:rtl/>
        </w:rPr>
        <w:t xml:space="preserve">۱۹۹۶ . اصفهان؛ دانشگاه؛ شماره نسخه: ۵۷۶/۴</w:t>
      </w:r>
    </w:p>
    <w:p>
      <w:pPr>
        <w:pStyle w:val="BookText"/>
      </w:pPr>
      <w:r>
        <w:rPr>
          <w:rFonts w:ascii="IRNazanin" w:hAnsi="IRNazanin" w:eastAsia="IRNazanin" w:cs="IRNazanin"/>
          <w:lang w:bidi="fa-IR"/>
          <w:color w:val="111111"/>
          <w:sz w:val="28"/>
          <w:szCs w:val="28"/>
          <w:rtl/>
        </w:rPr>
        <w:t xml:space="preserve">قصاید است در ستایش علی (علیه السّلام) به فارسی؛ بی کا، بی تا؛ کاغذ: سپاهانی [نشریه: ۱۱ - ۹۵۰]</w:t>
      </w:r>
    </w:p>
    <w:p>
      <w:pPr>
        <w:pStyle w:val="BookText"/>
      </w:pPr>
      <w:r>
        <w:rPr>
          <w:rFonts w:ascii="IRNazanin" w:hAnsi="IRNazanin" w:eastAsia="IRNazanin" w:cs="IRNazanin"/>
          <w:lang w:bidi="fa-IR"/>
          <w:color w:val="111111"/>
          <w:sz w:val="28"/>
          <w:szCs w:val="28"/>
          <w:rtl/>
        </w:rPr>
        <w:t xml:space="preserve">۱۹۹۷. تهران مدارک فرهنگی؛ شماره نسخه: ۲۰۰/۱</w:t>
      </w:r>
    </w:p>
    <w:p>
      <w:pPr>
        <w:pStyle w:val="BookText"/>
      </w:pPr>
      <w:r>
        <w:rPr>
          <w:rFonts w:ascii="IRNazanin" w:hAnsi="IRNazanin" w:eastAsia="IRNazanin" w:cs="IRNazanin"/>
          <w:lang w:bidi="fa-IR"/>
          <w:color w:val="111111"/>
          <w:sz w:val="28"/>
          <w:szCs w:val="28"/>
          <w:rtl/>
        </w:rPr>
        <w:t xml:space="preserve">آغاز: السلام ای عقل اول را تو حرف اولین *** ممکن و واجـب نما محبوب رب العالمین ؛انجام: نسخه سود لب تشنه آب حیـاتی *** کتاب آتش کرم اختلاطی</w:t>
      </w:r>
    </w:p>
    <w:p>
      <w:pPr>
        <w:pStyle w:val="BookText"/>
      </w:pPr>
      <w:r>
        <w:rPr>
          <w:rFonts w:ascii="IRNazanin" w:hAnsi="IRNazanin" w:eastAsia="IRNazanin" w:cs="IRNazanin"/>
          <w:lang w:bidi="fa-IR"/>
          <w:color w:val="111111"/>
          <w:sz w:val="28"/>
          <w:szCs w:val="28"/>
          <w:rtl/>
        </w:rPr>
        <w:t xml:space="preserve">قصاید خطا شوشتری نام دقیق شاعر علیرغم مراجعه به فهارس مختلف مشخص نشد؛ خط: نستعلیق، بی کا، بی تا؛ در برگ8ر یادداشتی در مورد انتقال کتاب به سید محمد جزایری با تاریخ 26/ 11/ 46؛ مهر تملک: «محمد موسوی جزایری»؛ کاغذ: اصفهانی و فرنگی حنایی و  شکری ،جلد: گالینگور زرشکی،گوشه ها پارچه طوسی، عطف تیماج تریاکی، آستر کاغذ سبز،65(8پ -۷۳ر) ،اندازه: ۲۰/۵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۳۴/۵سم [ف: ۱۸۱]</w:t>
      </w:r>
    </w:p>
    <w:p>
      <w:pPr>
        <w:pStyle w:val="BookText"/>
      </w:pPr>
      <w:r>
        <w:rPr>
          <w:rFonts w:ascii="IRNazanin" w:hAnsi="IRNazanin" w:eastAsia="IRNazanin" w:cs="IRNazanin"/>
          <w:lang w:bidi="fa-IR"/>
          <w:color w:val="111111"/>
          <w:sz w:val="28"/>
          <w:szCs w:val="28"/>
          <w:rtl/>
        </w:rPr>
        <w:t xml:space="preserve">۱۹۹۸. تهران؛ مفتاح؛ شماره نسخه: ۸۷۵/۴</w:t>
      </w:r>
    </w:p>
    <w:p>
      <w:pPr>
        <w:pStyle w:val="BookText"/>
      </w:pPr>
      <w:r>
        <w:rPr>
          <w:rFonts w:ascii="IRNazanin" w:hAnsi="IRNazanin" w:eastAsia="IRNazanin" w:cs="IRNazanin"/>
          <w:lang w:bidi="fa-IR"/>
          <w:color w:val="111111"/>
          <w:sz w:val="28"/>
          <w:szCs w:val="28"/>
          <w:rtl/>
        </w:rPr>
        <w:t xml:space="preserve">قصاید فارسی گویا از زمان قاجار؛خط: نستعلیق، بی کا، بی تا؛ قطع: ربعی [ نشریه: ۷ - ۲۶۰]</w:t>
      </w:r>
    </w:p>
    <w:p>
      <w:pPr>
        <w:pStyle w:val="BookText"/>
      </w:pPr>
      <w:r>
        <w:rPr>
          <w:rFonts w:ascii="IRNazanin" w:hAnsi="IRNazanin" w:eastAsia="IRNazanin" w:cs="IRNazanin"/>
          <w:lang w:bidi="fa-IR"/>
          <w:color w:val="111111"/>
          <w:sz w:val="28"/>
          <w:szCs w:val="28"/>
          <w:rtl/>
        </w:rPr>
        <w:t xml:space="preserve">۱۹۹۹. تهران؛ دانشگاه؛ شماره نسخه: ۲۵۲۱/۴-ف</w:t>
      </w:r>
    </w:p>
    <w:p>
      <w:pPr>
        <w:pStyle w:val="BookText"/>
      </w:pPr>
      <w:r>
        <w:rPr>
          <w:rFonts w:ascii="IRNazanin" w:hAnsi="IRNazanin" w:eastAsia="IRNazanin" w:cs="IRNazanin"/>
          <w:lang w:bidi="fa-IR"/>
          <w:color w:val="111111"/>
          <w:sz w:val="28"/>
          <w:szCs w:val="28"/>
          <w:rtl/>
        </w:rPr>
        <w:t xml:space="preserve">نسخه اصل: دانشکده ادبیات اصفهان ش ۵۱۳۶. قصاید فارسی است؛ بی کا، بی تا [فیلمها: ۱ - ۷۱۰]</w:t>
      </w:r>
    </w:p>
    <w:p>
      <w:pPr>
        <w:pStyle w:val="BookText"/>
      </w:pPr>
      <w:r>
        <w:rPr>
          <w:rFonts w:ascii="IRNazanin" w:hAnsi="IRNazanin" w:eastAsia="IRNazanin" w:cs="IRNazanin"/>
          <w:lang w:bidi="fa-IR"/>
          <w:color w:val="111111"/>
          <w:sz w:val="28"/>
          <w:szCs w:val="28"/>
          <w:rtl/>
        </w:rPr>
        <w:t xml:space="preserve">۲۰۰۰ . تهران؛ دانشگاه؛ شماره نسخه: ۸۸۲۷/۱</w:t>
      </w:r>
    </w:p>
    <w:p>
      <w:pPr>
        <w:pStyle w:val="BookText"/>
      </w:pPr>
      <w:r>
        <w:rPr>
          <w:rFonts w:ascii="IRNazanin" w:hAnsi="IRNazanin" w:eastAsia="IRNazanin" w:cs="IRNazanin"/>
          <w:lang w:bidi="fa-IR"/>
          <w:color w:val="111111"/>
          <w:sz w:val="28"/>
          <w:szCs w:val="28"/>
          <w:rtl/>
        </w:rPr>
        <w:t xml:space="preserve">آغاز: رسید موسم عید و وزید باد صبا *** صبا به سبزه بیار است ساحت غبرا</w:t>
      </w:r>
    </w:p>
    <w:p>
      <w:pPr>
        <w:pStyle w:val="BookText"/>
      </w:pPr>
      <w:r>
        <w:rPr>
          <w:rFonts w:ascii="IRNazanin" w:hAnsi="IRNazanin" w:eastAsia="IRNazanin" w:cs="IRNazanin"/>
          <w:lang w:bidi="fa-IR"/>
          <w:color w:val="111111"/>
          <w:sz w:val="28"/>
          <w:szCs w:val="28"/>
          <w:rtl/>
        </w:rPr>
        <w:t xml:space="preserve">قصاید و ترجیع بند است؛ خط: نستعلیق، بی کا، بی تا؛ افتادگی: انجام؛ کاغذ: فرنگی، جلد: تازه، ۳۱گ، ۱۵ سطر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قطع: ربعی [ف: ۱۷ - ۲۳۱]</w:t>
      </w:r>
    </w:p>
    <w:p>
      <w:pPr>
        <w:pStyle w:val="BookText"/>
      </w:pPr>
      <w:r>
        <w:rPr>
          <w:rFonts w:ascii="IRNazanin" w:hAnsi="IRNazanin" w:eastAsia="IRNazanin" w:cs="IRNazanin"/>
          <w:lang w:bidi="fa-IR"/>
          <w:color w:val="111111"/>
          <w:sz w:val="28"/>
          <w:szCs w:val="28"/>
          <w:rtl/>
        </w:rPr>
        <w:t xml:space="preserve">۲۰۰۱. تهران؛ مجلس؛ شماره نسخه: ۱۴۳۰۷/۱۲</w:t>
      </w:r>
    </w:p>
    <w:p>
      <w:pPr>
        <w:pStyle w:val="BookText"/>
      </w:pPr>
      <w:r>
        <w:rPr>
          <w:rFonts w:ascii="IRNazanin" w:hAnsi="IRNazanin" w:eastAsia="IRNazanin" w:cs="IRNazanin"/>
          <w:lang w:bidi="fa-IR"/>
          <w:color w:val="111111"/>
          <w:sz w:val="28"/>
          <w:szCs w:val="28"/>
          <w:rtl/>
        </w:rPr>
        <w:t xml:space="preserve">قصاید و قطعات است شامل: مخمس سالم در مدح امیرالمؤمنین علیه السلام، قطعه ای از مخلص کاشی، قصه سؤال سلیمان از امیر مؤمنان ،فراقی ،سلیمی ،سید طاهر دکنی، ملا حسن کاشانی، چهاره پاره ابن حسام، عرفی، رفیقی، مخمس، طفیلی، آتشی، نظام کاشی ،صابر ،کشفی، هفت بند مفتی احسن در منقبت اسدالله الغالب، واعظ قزوینی؛ خط: نستعلیق زیبا، بی کا، بی تا ؛جلد: مقوایی، قهوه ای، عطف تیماج سرخ، ۱۹گ (۱۰۶ پ -۱۲۵ر)، ۱۶ سطر، اندازه: ۱۷/۵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۳۸ - ۴۳۷]</w:t>
      </w:r>
    </w:p>
    <w:p>
      <w:pPr>
        <w:pStyle w:val="BookText"/>
      </w:pPr>
      <w:r>
        <w:rPr>
          <w:rFonts w:ascii="IRNazanin" w:hAnsi="IRNazanin" w:eastAsia="IRNazanin" w:cs="IRNazanin"/>
          <w:lang w:bidi="fa-IR"/>
          <w:color w:val="111111"/>
          <w:sz w:val="28"/>
          <w:szCs w:val="28"/>
          <w:rtl/>
        </w:rPr>
        <w:t xml:space="preserve">۲۰۰۲. تهران؛ ملک؛ شماره نسخه: ۴۵۸۹/۳</w:t>
      </w:r>
    </w:p>
    <w:p>
      <w:pPr>
        <w:pStyle w:val="BookText"/>
      </w:pPr>
      <w:r>
        <w:rPr>
          <w:rFonts w:ascii="IRNazanin" w:hAnsi="IRNazanin" w:eastAsia="IRNazanin" w:cs="IRNazanin"/>
          <w:lang w:bidi="fa-IR"/>
          <w:color w:val="111111"/>
          <w:sz w:val="28"/>
          <w:szCs w:val="28"/>
          <w:rtl/>
        </w:rPr>
        <w:t xml:space="preserve">منتخبات از قصایدهاتف اصفهانی و مونس، میرزا محمد رضا فرزند میرزا بابای مازندرانی بارفروشی در سده ۱۳؛ خط: شکسته نستعلیق، بی کا، تا: قرن ۱۳ق ؛کاغذ: فستقی، جلد: میشن کبود لائی، ۴گ، ۱۳ سطر، اندازه: ۱۰/۶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۱۶/۶سم [ف: ۷ - ۴۳۷]</w:t>
      </w:r>
    </w:p>
    <w:p>
      <w:pPr>
        <w:pStyle w:val="BookText"/>
      </w:pPr>
      <w:r>
        <w:rPr>
          <w:rFonts w:ascii="IRNazanin" w:hAnsi="IRNazanin" w:eastAsia="IRNazanin" w:cs="IRNazanin"/>
          <w:lang w:bidi="fa-IR"/>
          <w:color w:val="111111"/>
          <w:sz w:val="28"/>
          <w:szCs w:val="28"/>
          <w:rtl/>
        </w:rPr>
        <w:t xml:space="preserve">۲۰۰۳. مشهد؛ رضوی؛ شماره نسخه: ۱۳۴۲۴/۱۷</w:t>
      </w:r>
    </w:p>
    <w:p>
      <w:pPr>
        <w:pStyle w:val="BookText"/>
      </w:pPr>
      <w:r>
        <w:rPr>
          <w:rFonts w:ascii="IRNazanin" w:hAnsi="IRNazanin" w:eastAsia="IRNazanin" w:cs="IRNazanin"/>
          <w:lang w:bidi="fa-IR"/>
          <w:color w:val="111111"/>
          <w:sz w:val="28"/>
          <w:szCs w:val="28"/>
          <w:rtl/>
        </w:rPr>
        <w:t xml:space="preserve">منتخبی از قصاید عرفی شیرازی، جمال الدین محمد بن زين الدین علوی (-۹۹۹ ق.) در توحید و نعت حضرت رسول (صلی الله علیه و آله وسلم)، قصيده ترجمة الشوق در ستایش حضرت على عليه السلام و غيره و رباعیاتی از مولانا مؤمن حسین یزدی؛ خط: نستعلیق و شکسته و نسخ و تعلیق، بی کا، تا: ۱۰۷۱-۱۰۷۷؛ کاغذ: حنایی، جلد: تیماج مشکی، ۹ ص (۲۱۸-۲۳۶)،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۲۷/۶سم [ف: ۱۷ - ۴۱۰]</w:t>
      </w:r>
    </w:p>
    <w:p>
      <w:pPr>
        <w:pStyle w:val="BookText"/>
      </w:pPr>
      <w:r>
        <w:rPr>
          <w:rFonts w:ascii="Times New Roman" w:hAnsi="Times New Roman" w:eastAsia="Times New Roman" w:cs="Times New Roman"/>
          <w:lang w:val="en-US" w:bidi="en-US"/>
          <w:color w:val="111111"/>
          <w:sz w:val="28"/>
          <w:szCs w:val="28"/>
          <w:rtl/>
        </w:rPr>
        <w:t xml:space="preserve">2004.</w:t>
      </w:r>
    </w:p>
    <w:p>
      <w:pPr>
        <w:pStyle w:val="BookText"/>
      </w:pPr>
      <w:r>
        <w:rPr>
          <w:rFonts w:ascii="IRNazanin" w:hAnsi="IRNazanin" w:eastAsia="IRNazanin" w:cs="IRNazanin"/>
          <w:lang w:bidi="fa-IR"/>
          <w:color w:val="111111"/>
          <w:sz w:val="28"/>
          <w:szCs w:val="28"/>
          <w:rtl/>
        </w:rPr>
        <w:t xml:space="preserve">تهران؛ مجلس؛ شماره نسخه: ۱۴۱۴۹/۳</w:t>
      </w:r>
    </w:p>
    <w:p>
      <w:pPr>
        <w:pStyle w:val="BookText"/>
      </w:pPr>
      <w:r>
        <w:rPr>
          <w:rFonts w:ascii="IRNazanin" w:hAnsi="IRNazanin" w:eastAsia="IRNazanin" w:cs="IRNazanin"/>
          <w:lang w:bidi="fa-IR"/>
          <w:color w:val="111111"/>
          <w:sz w:val="28"/>
          <w:szCs w:val="28"/>
          <w:rtl/>
        </w:rPr>
        <w:t xml:space="preserve">قصایدی از: خاقانی ،انوری ،سنایی، سعدی شیرازی؛ خط: شکسته نستعلیق، بی کا، بی تا؛ بی کا، بی تا؛ جلد: تیماج قهوه ای  ضربی با ترنج با سر، لچکی مجدول گرهی ،۱۵۰گ (۱پ-۱۵۱پ)،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۲۴سم [ف: ۳۸ - ۱۸۷]</w:t>
      </w:r>
    </w:p>
    <w:p>
      <w:pPr>
        <w:pStyle w:val="BookText"/>
      </w:pPr>
      <w:r>
        <w:rPr>
          <w:rFonts w:ascii="IRNazanin" w:hAnsi="IRNazanin" w:eastAsia="IRNazanin" w:cs="IRNazanin"/>
          <w:lang w:bidi="fa-IR"/>
          <w:color w:val="111111"/>
          <w:sz w:val="28"/>
          <w:szCs w:val="28"/>
          <w:rtl/>
        </w:rPr>
        <w:t xml:space="preserve">۲۰۰۵. تهران؛ مجلس؛ شماره نسخه: ۴۷۲/۳</w:t>
      </w:r>
    </w:p>
    <w:p>
      <w:pPr>
        <w:pStyle w:val="BookText"/>
      </w:pPr>
      <w:r>
        <w:rPr>
          <w:rFonts w:ascii="IRNazanin" w:hAnsi="IRNazanin" w:eastAsia="IRNazanin" w:cs="IRNazanin"/>
          <w:lang w:bidi="fa-IR"/>
          <w:color w:val="111111"/>
          <w:sz w:val="28"/>
          <w:szCs w:val="28"/>
          <w:rtl/>
        </w:rPr>
        <w:t xml:space="preserve">قصاید از حسن واعظ کاشی و کاتبی و ناصر خسرو؛ خط: نستعليق، كا: حسن واعظ اثنی عشری، بی تا؛ کاغذ: سفید، ۲۲ص
</w:t>
      </w:r>
    </w:p>
    <w:p>
      <w:pPr>
        <w:sectPr>
          <w:footerReference w:type="default" r:id="rId9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(۲۷۵-۲۵۴)، ۲۱ سطر (9</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[سنا: ف: 1- 272]</w:t>
      </w:r>
    </w:p>
    <w:p>
      <w:pPr>
        <w:pStyle w:val="BookText"/>
      </w:pPr>
      <w:r>
        <w:rPr>
          <w:rFonts w:ascii="IRNazanin" w:hAnsi="IRNazanin" w:eastAsia="IRNazanin" w:cs="IRNazanin"/>
          <w:lang w:bidi="fa-IR"/>
          <w:color w:val="111111"/>
          <w:sz w:val="28"/>
          <w:szCs w:val="28"/>
          <w:rtl/>
        </w:rPr>
        <w:t xml:space="preserve">۲۰۰۶ . تهران؛ مجلس؛ شماره نسخه: ۱۸۰۶۴</w:t>
      </w:r>
    </w:p>
    <w:p>
      <w:pPr>
        <w:pStyle w:val="BookText"/>
      </w:pPr>
      <w:r>
        <w:rPr>
          <w:rFonts w:ascii="IRNazanin" w:hAnsi="IRNazanin" w:eastAsia="IRNazanin" w:cs="IRNazanin"/>
          <w:lang w:bidi="fa-IR"/>
          <w:color w:val="111111"/>
          <w:sz w:val="28"/>
          <w:szCs w:val="28"/>
          <w:rtl/>
        </w:rPr>
        <w:t xml:space="preserve">قصاید در مدح حضرت علی (علیه السّلام) است؛ بی کا، بی تا [د.ث. مجلس]</w:t>
      </w:r>
    </w:p>
    <w:p>
      <w:pPr>
        <w:pStyle w:val="BookText"/>
      </w:pPr>
      <w:r>
        <w:rPr>
          <w:rFonts w:ascii="IRNazanin" w:hAnsi="IRNazanin" w:eastAsia="IRNazanin" w:cs="IRNazanin"/>
          <w:lang w:bidi="fa-IR"/>
          <w:color w:val="111111"/>
          <w:sz w:val="28"/>
          <w:szCs w:val="28"/>
          <w:rtl/>
        </w:rPr>
        <w:t xml:space="preserve">۲۰۰۷. همدان؛ مدرسه غرب؛ شماره نسخه: ۱۵۳/۷</w:t>
      </w:r>
    </w:p>
    <w:p>
      <w:pPr>
        <w:pStyle w:val="BookText"/>
      </w:pPr>
      <w:r>
        <w:rPr>
          <w:rFonts w:ascii="IRNazanin" w:hAnsi="IRNazanin" w:eastAsia="IRNazanin" w:cs="IRNazanin"/>
          <w:lang w:bidi="fa-IR"/>
          <w:color w:val="111111"/>
          <w:sz w:val="28"/>
          <w:szCs w:val="28"/>
          <w:rtl/>
        </w:rPr>
        <w:t xml:space="preserve">شامل: ۱- قصیده ای از نظام استرآبادی در فصل آفتاب به برج حمل، ۲- قصيده حمل از گفته مولانا عرفی، ۳- قصیده ای که به تبع عرفی گفته اند، ۴-قصیده نعیما، ۵- ... ، ۶- قصیده ابن حسـام، ۷ و ۸ و ۹ و۱۰- چهار قصیده از نعیما؛ بی کا، تا؛ قطع: بياض رقعی[ رشت و همدان :ف - ۱۳۹۱]</w:t>
      </w:r>
    </w:p>
    <w:p>
      <w:pPr>
        <w:pStyle w:val="BookText"/>
      </w:pPr>
      <w:r>
        <w:rPr>
          <w:rFonts w:ascii="IRNazanin" w:hAnsi="IRNazanin" w:eastAsia="IRNazanin" w:cs="IRNazanin"/>
          <w:lang w:bidi="fa-IR"/>
          <w:color w:val="111111"/>
          <w:sz w:val="28"/>
          <w:szCs w:val="28"/>
          <w:rtl/>
        </w:rPr>
        <w:t xml:space="preserve">۲۰۰۸ . تهران؛ مجلس؛ شماره نسخه: ۴۴۱/۳</w:t>
      </w:r>
    </w:p>
    <w:p>
      <w:pPr>
        <w:pStyle w:val="BookText"/>
      </w:pPr>
      <w:r>
        <w:rPr>
          <w:rFonts w:ascii="IRNazanin" w:hAnsi="IRNazanin" w:eastAsia="IRNazanin" w:cs="IRNazanin"/>
          <w:lang w:bidi="fa-IR"/>
          <w:color w:val="111111"/>
          <w:sz w:val="28"/>
          <w:szCs w:val="28"/>
          <w:rtl/>
        </w:rPr>
        <w:t xml:space="preserve">آغاز: دلم طفل است و پیر عشق استاد سخندانش</w:t>
      </w:r>
    </w:p>
    <w:p>
      <w:pPr>
        <w:pStyle w:val="BookText"/>
      </w:pPr>
      <w:r>
        <w:rPr>
          <w:rFonts w:ascii="IRNazanin" w:hAnsi="IRNazanin" w:eastAsia="IRNazanin" w:cs="IRNazanin"/>
          <w:lang w:bidi="fa-IR"/>
          <w:color w:val="111111"/>
          <w:sz w:val="28"/>
          <w:szCs w:val="28"/>
          <w:rtl/>
        </w:rPr>
        <w:t xml:space="preserve">قصاید و مقطعات و ترجیعات. شعراء متقدمين و متأخرين از حاشیه آخرین صفحه رساله زند و زاهد شروع می شود؛ خـط: نستعلیق، بی کا، بی تا؛ مجدول؛ ۳۱ سطر، قطع: وزیری،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۲۶/۵سم [ف: ۲ - ۲۵۸]</w:t>
      </w:r>
    </w:p>
    <w:p>
      <w:pPr>
        <w:pStyle w:val="BookText"/>
      </w:pPr>
      <w:r>
        <w:rPr>
          <w:rFonts w:ascii="IRNazanin" w:hAnsi="IRNazanin" w:eastAsia="IRNazanin" w:cs="IRNazanin"/>
          <w:lang w:bidi="fa-IR"/>
          <w:color w:val="111111"/>
          <w:sz w:val="28"/>
          <w:szCs w:val="28"/>
          <w:rtl/>
        </w:rPr>
        <w:t xml:space="preserve">۲۰۰۹. تهران؛ مفتاح؛ شماره نسخه: ۸۹۰/۹</w:t>
      </w:r>
    </w:p>
    <w:p>
      <w:pPr>
        <w:pStyle w:val="BookText"/>
      </w:pPr>
      <w:r>
        <w:rPr>
          <w:rFonts w:ascii="IRNazanin" w:hAnsi="IRNazanin" w:eastAsia="IRNazanin" w:cs="IRNazanin"/>
          <w:lang w:bidi="fa-IR"/>
          <w:color w:val="111111"/>
          <w:sz w:val="28"/>
          <w:szCs w:val="28"/>
          <w:rtl/>
        </w:rPr>
        <w:t xml:space="preserve">انتخاب مثنوی در هفت اصل؛ بی کا، بی تا؛ قطع: ربعی [ نشریه: 7- 262]</w:t>
      </w:r>
    </w:p>
    <w:p>
      <w:pPr>
        <w:pStyle w:val="BookText"/>
      </w:pPr>
      <w:r>
        <w:rPr>
          <w:rFonts w:ascii="IRNazanin" w:hAnsi="IRNazanin" w:eastAsia="IRNazanin" w:cs="IRNazanin"/>
          <w:lang w:bidi="fa-IR"/>
          <w:color w:val="111111"/>
          <w:sz w:val="28"/>
          <w:szCs w:val="28"/>
          <w:rtl/>
        </w:rPr>
        <w:t xml:space="preserve">2010 . تهران؛ مجلس؛ شماره نسخه: ۷۹۶۸/۲</w:t>
      </w:r>
    </w:p>
    <w:p>
      <w:pPr>
        <w:pStyle w:val="BookText"/>
      </w:pPr>
      <w:r>
        <w:rPr>
          <w:rFonts w:ascii="IRNazanin" w:hAnsi="IRNazanin" w:eastAsia="IRNazanin" w:cs="IRNazanin"/>
          <w:lang w:bidi="fa-IR"/>
          <w:color w:val="111111"/>
          <w:sz w:val="28"/>
          <w:szCs w:val="28"/>
          <w:rtl/>
        </w:rPr>
        <w:t xml:space="preserve">داستان حضرت موسی (علیه السّلام) (مثنوی)؛ خط: نسخ،بی کا، بی تا ؛افتادگی: آغاز و وسط؛ جلد: مقوا عطف تیماج، ۱۵ ص( 31- 46) ، ۱۰-۷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۲۶ - ۴۴۷]</w:t>
      </w:r>
    </w:p>
    <w:p>
      <w:pPr>
        <w:pStyle w:val="BookText"/>
      </w:pPr>
      <w:r>
        <w:rPr>
          <w:rFonts w:ascii="IRNazanin" w:hAnsi="IRNazanin" w:eastAsia="IRNazanin" w:cs="IRNazanin"/>
          <w:lang w:bidi="fa-IR"/>
          <w:color w:val="111111"/>
          <w:sz w:val="28"/>
          <w:szCs w:val="28"/>
          <w:rtl/>
        </w:rPr>
        <w:t xml:space="preserve">۲۰۱۱. تهران؛ ادبیات؛ شماره نسخه: ۳۲۶/۱۶</w:t>
      </w:r>
    </w:p>
    <w:p>
      <w:pPr>
        <w:pStyle w:val="BookText"/>
      </w:pPr>
      <w:r>
        <w:rPr>
          <w:rFonts w:ascii="IRNazanin" w:hAnsi="IRNazanin" w:eastAsia="IRNazanin" w:cs="IRNazanin"/>
          <w:lang w:bidi="fa-IR"/>
          <w:color w:val="111111"/>
          <w:sz w:val="28"/>
          <w:szCs w:val="28"/>
          <w:rtl/>
        </w:rPr>
        <w:t xml:space="preserve">آغاز: در آن آمده: چه خوش گفتست شیخ دین نظامی *** که استاد آمده در خوش کلامی. آغاز یکمی: بمعنی همنفـس خورشید دارم *** طلوع عالم جاويد دارم. آغاز دومی: ای که هستی گوهر مقصود من *** صيقب آیینه بهبود من؛ انجام: انجام  یکمی: کتاب نظم و نثرم در نظر دار*** بهر لفظش زمعنی پر بردار / خدایت در همه جا یار تو باد *** سر انجام خوشی در کار تو باد. انجام دومی: خدمت خلق خدا بهر خدا *** می شود در ملک  معنی رهنما</w:t>
      </w:r>
    </w:p>
    <w:p>
      <w:pPr>
        <w:pStyle w:val="BookText"/>
      </w:pPr>
      <w:r>
        <w:rPr>
          <w:rFonts w:ascii="IRNazanin" w:hAnsi="IRNazanin" w:eastAsia="IRNazanin" w:cs="IRNazanin"/>
          <w:lang w:bidi="fa-IR"/>
          <w:color w:val="111111"/>
          <w:sz w:val="28"/>
          <w:szCs w:val="28"/>
          <w:rtl/>
        </w:rPr>
        <w:t xml:space="preserve">دو مثنوی عرفانی است؛ خط: نستعلیق، بی کا، بی تا؛ افتادگی: آغاز؛ قطع: ربعی [ف: ۳ - ۵۵]</w:t>
      </w:r>
    </w:p>
    <w:p>
      <w:pPr>
        <w:pStyle w:val="BookText"/>
      </w:pPr>
      <w:r>
        <w:rPr>
          <w:rFonts w:ascii="IRNazanin" w:hAnsi="IRNazanin" w:eastAsia="IRNazanin" w:cs="IRNazanin"/>
          <w:lang w:bidi="fa-IR"/>
          <w:color w:val="111111"/>
          <w:sz w:val="28"/>
          <w:szCs w:val="28"/>
          <w:rtl/>
        </w:rPr>
        <w:t xml:space="preserve">2012.تهران؛ مجلس؛ شماره نسخه: ۴۴۲/۷</w:t>
      </w:r>
    </w:p>
    <w:p>
      <w:pPr>
        <w:pStyle w:val="BookText"/>
      </w:pPr>
      <w:r>
        <w:rPr>
          <w:rFonts w:ascii="IRNazanin" w:hAnsi="IRNazanin" w:eastAsia="IRNazanin" w:cs="IRNazanin"/>
          <w:lang w:bidi="fa-IR"/>
          <w:color w:val="111111"/>
          <w:sz w:val="28"/>
          <w:szCs w:val="28"/>
          <w:rtl/>
        </w:rPr>
        <w:t xml:space="preserve">آغاز: یار آئینه خانه میخواست*** التفاتش بهانه میخواست</w:t>
      </w:r>
    </w:p>
    <w:p>
      <w:pPr>
        <w:pStyle w:val="BookText"/>
      </w:pPr>
      <w:r>
        <w:rPr>
          <w:rFonts w:ascii="IRNazanin" w:hAnsi="IRNazanin" w:eastAsia="IRNazanin" w:cs="IRNazanin"/>
          <w:lang w:bidi="fa-IR"/>
          <w:color w:val="111111"/>
          <w:sz w:val="28"/>
          <w:szCs w:val="28"/>
          <w:rtl/>
        </w:rPr>
        <w:t xml:space="preserve">راه نجات (مثنوی)؛ خط: نستعلیق، بی کا، بی تا؛ مجدول؛ کاغذ: الوان، قطع: وزیری،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۲۴سم [ف: ۲ - ۲۶۰]</w:t>
      </w:r>
    </w:p>
    <w:p>
      <w:pPr>
        <w:pStyle w:val="BookText"/>
      </w:pPr>
      <w:r>
        <w:rPr>
          <w:rFonts w:ascii="IRNazanin" w:hAnsi="IRNazanin" w:eastAsia="IRNazanin" w:cs="IRNazanin"/>
          <w:lang w:bidi="fa-IR"/>
          <w:color w:val="111111"/>
          <w:sz w:val="28"/>
          <w:szCs w:val="28"/>
          <w:rtl/>
        </w:rPr>
        <w:t xml:space="preserve">۲۰۱۳. تهران؛ ملی؛ شماره نسخه: ۱۷۶۸۵</w:t>
      </w:r>
    </w:p>
    <w:p>
      <w:pPr>
        <w:pStyle w:val="BookText"/>
      </w:pPr>
      <w:r>
        <w:rPr>
          <w:rFonts w:ascii="IRNazanin" w:hAnsi="IRNazanin" w:eastAsia="IRNazanin" w:cs="IRNazanin"/>
          <w:lang w:bidi="fa-IR"/>
          <w:color w:val="111111"/>
          <w:sz w:val="28"/>
          <w:szCs w:val="28"/>
          <w:rtl/>
        </w:rPr>
        <w:t xml:space="preserve">دیوان شعر؛ کا: محمد رضا، بی تا؛ انتقالی از کتابخانه پهلوی- مجموعه نوازی؛ اندازه: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۲۰/۸سم [رایانه ]</w:t>
      </w:r>
    </w:p>
    <w:p>
      <w:pPr>
        <w:pStyle w:val="BookText"/>
      </w:pPr>
      <w:r>
        <w:rPr>
          <w:rFonts w:ascii="Times New Roman" w:hAnsi="Times New Roman" w:eastAsia="Times New Roman" w:cs="Times New Roman"/>
          <w:lang w:val="en-US" w:bidi="en-US"/>
          <w:color w:val="111111"/>
          <w:sz w:val="28"/>
          <w:szCs w:val="28"/>
          <w:rtl/>
        </w:rPr>
        <w:t xml:space="preserve">2014.</w:t>
      </w:r>
    </w:p>
    <w:p>
      <w:pPr>
        <w:pStyle w:val="BookText"/>
      </w:pPr>
      <w:r>
        <w:rPr>
          <w:rFonts w:ascii="IRNazanin" w:hAnsi="IRNazanin" w:eastAsia="IRNazanin" w:cs="IRNazanin"/>
          <w:lang w:bidi="fa-IR"/>
          <w:color w:val="111111"/>
          <w:sz w:val="28"/>
          <w:szCs w:val="28"/>
          <w:rtl/>
        </w:rPr>
        <w:t xml:space="preserve">. تهران؛ مفتاح؛ شماره نسخه: ۱۲۰۸/۳</w:t>
      </w:r>
    </w:p>
    <w:p>
      <w:pPr>
        <w:pStyle w:val="BookText"/>
      </w:pPr>
      <w:r>
        <w:rPr>
          <w:rFonts w:ascii="IRNazanin" w:hAnsi="IRNazanin" w:eastAsia="IRNazanin" w:cs="IRNazanin"/>
          <w:lang w:bidi="fa-IR"/>
          <w:color w:val="111111"/>
          <w:sz w:val="28"/>
          <w:szCs w:val="28"/>
          <w:rtl/>
        </w:rPr>
        <w:t xml:space="preserve">آغاز: حمد بی حد خدای بیچون را *** که بما داد طبع موزون را</w:t>
      </w:r>
    </w:p>
    <w:p>
      <w:pPr>
        <w:pStyle w:val="BookText"/>
      </w:pPr>
      <w:r>
        <w:rPr>
          <w:rFonts w:ascii="IRNazanin" w:hAnsi="IRNazanin" w:eastAsia="IRNazanin" w:cs="IRNazanin"/>
          <w:lang w:bidi="fa-IR"/>
          <w:color w:val="111111"/>
          <w:sz w:val="28"/>
          <w:szCs w:val="28"/>
          <w:rtl/>
        </w:rPr>
        <w:t xml:space="preserve">قصه فارغ به وزن مثنوی؛ خط: نستعلیق، بی کا،بی تا؛ قطع: ربعی [ نشریه: ۷ - ۲۷۰]</w:t>
      </w:r>
    </w:p>
    <w:p>
      <w:pPr>
        <w:pStyle w:val="BookText"/>
      </w:pPr>
      <w:r>
        <w:rPr>
          <w:rFonts w:ascii="IRNazanin" w:hAnsi="IRNazanin" w:eastAsia="IRNazanin" w:cs="IRNazanin"/>
          <w:lang w:bidi="fa-IR"/>
          <w:color w:val="111111"/>
          <w:sz w:val="28"/>
          <w:szCs w:val="28"/>
          <w:rtl/>
        </w:rPr>
        <w:t xml:space="preserve">۲۰۱۵ . مشهد؛ رضوی؛ شماره نسخه: ض۱۰۹۹۳</w:t>
      </w:r>
    </w:p>
    <w:p>
      <w:pPr>
        <w:pStyle w:val="BookText"/>
      </w:pPr>
      <w:r>
        <w:rPr>
          <w:rFonts w:ascii="IRNazanin" w:hAnsi="IRNazanin" w:eastAsia="IRNazanin" w:cs="IRNazanin"/>
          <w:lang w:bidi="fa-IR"/>
          <w:color w:val="111111"/>
          <w:sz w:val="28"/>
          <w:szCs w:val="28"/>
          <w:rtl/>
        </w:rPr>
        <w:t xml:space="preserve">مثنوی در کیمیا از اسماعیل کوفی؛ خط: مختلف، بی کا، بی تا[الفبائی: - ۴۷۵]</w:t>
      </w:r>
    </w:p>
    <w:p>
      <w:pPr>
        <w:pStyle w:val="BookText"/>
      </w:pPr>
      <w:r>
        <w:rPr>
          <w:rFonts w:ascii="IRNazanin" w:hAnsi="IRNazanin" w:eastAsia="IRNazanin" w:cs="IRNazanin"/>
          <w:lang w:bidi="fa-IR"/>
          <w:color w:val="111111"/>
          <w:sz w:val="28"/>
          <w:szCs w:val="28"/>
          <w:rtl/>
        </w:rPr>
        <w:t xml:space="preserve">۲۰۱۶ . تهران؛ ملی؛ شماره نسخه: ۱۷۷۹۳</w:t>
      </w:r>
    </w:p>
    <w:p>
      <w:pPr>
        <w:pStyle w:val="BookText"/>
      </w:pPr>
      <w:r>
        <w:rPr>
          <w:rFonts w:ascii="IRNazanin" w:hAnsi="IRNazanin" w:eastAsia="IRNazanin" w:cs="IRNazanin"/>
          <w:lang w:bidi="fa-IR"/>
          <w:color w:val="111111"/>
          <w:sz w:val="28"/>
          <w:szCs w:val="28"/>
          <w:rtl/>
        </w:rPr>
        <w:t xml:space="preserve">جنگ شعر؛ بی کا، بی تا؛ انتقالی از کتابخانه پهلوی- مجموعه نوازی؛ اندازه: ۱۸/۳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۳۰/۵سم [ رایانه ]</w:t>
      </w:r>
    </w:p>
    <w:p>
      <w:pPr>
        <w:pStyle w:val="BookText"/>
      </w:pPr>
      <w:r>
        <w:rPr>
          <w:rFonts w:ascii="IRNazanin" w:hAnsi="IRNazanin" w:eastAsia="IRNazanin" w:cs="IRNazanin"/>
          <w:lang w:bidi="fa-IR"/>
          <w:color w:val="111111"/>
          <w:sz w:val="28"/>
          <w:szCs w:val="28"/>
          <w:rtl/>
        </w:rPr>
        <w:t xml:space="preserve">۲۰۱۷. تهران؛ ملی؛ شماره نسخه: ۱۷۸۲۶</w:t>
      </w:r>
    </w:p>
    <w:p>
      <w:pPr>
        <w:pStyle w:val="BookText"/>
      </w:pPr>
      <w:r>
        <w:rPr>
          <w:rFonts w:ascii="IRNazanin" w:hAnsi="IRNazanin" w:eastAsia="IRNazanin" w:cs="IRNazanin"/>
          <w:lang w:bidi="fa-IR"/>
          <w:color w:val="111111"/>
          <w:sz w:val="28"/>
          <w:szCs w:val="28"/>
          <w:rtl/>
        </w:rPr>
        <w:t xml:space="preserve">جنگ شعر؛ بی کا، بی تا؛ انتقالی از کتابخانه پهلوی - مجموعه نوازی؛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٣٠/٣ سم [رایانه ]</w:t>
      </w:r>
    </w:p>
    <w:p>
      <w:pPr>
        <w:pStyle w:val="BookText"/>
      </w:pPr>
      <w:r>
        <w:rPr>
          <w:rFonts w:ascii="IRNazanin" w:hAnsi="IRNazanin" w:eastAsia="IRNazanin" w:cs="IRNazanin"/>
          <w:lang w:bidi="fa-IR"/>
          <w:color w:val="111111"/>
          <w:sz w:val="28"/>
          <w:szCs w:val="28"/>
          <w:rtl/>
        </w:rPr>
        <w:t xml:space="preserve">۲۰۱۸ . قم؛ مسجد اعظم؛ شماره نسخه: ۴۱۳۵/۲</w:t>
      </w:r>
    </w:p>
    <w:p>
      <w:pPr>
        <w:pStyle w:val="BookText"/>
      </w:pPr>
      <w:r>
        <w:rPr>
          <w:rFonts w:ascii="IRNazanin" w:hAnsi="IRNazanin" w:eastAsia="IRNazanin" w:cs="IRNazanin"/>
          <w:lang w:bidi="fa-IR"/>
          <w:color w:val="111111"/>
          <w:sz w:val="28"/>
          <w:szCs w:val="28"/>
          <w:rtl/>
        </w:rPr>
        <w:t xml:space="preserve">آغاز: آتش از شوق جمالت در تب است *** روز خاک از درد هجرانت شب است / سوز عشق توست اندر جان برق *** آتش شوقت بود در غرب و شرق؛ انجام: پرده ناموس وشهوات غضب *** پرده آلات و اسباب سبب / مجملا هر چت که باشد غیر حق *** پرده است و هست بر چشمت طبق مثنوی هایی است به سبک و روش مولوی در حکایات و مواعظ.</w:t>
      </w:r>
    </w:p>
    <w:p>
      <w:pPr>
        <w:pStyle w:val="BookText"/>
      </w:pPr>
      <w:r>
        <w:rPr>
          <w:rFonts w:ascii="IRNazanin" w:hAnsi="IRNazanin" w:eastAsia="IRNazanin" w:cs="IRNazanin"/>
          <w:lang w:bidi="fa-IR"/>
          <w:color w:val="111111"/>
          <w:sz w:val="28"/>
          <w:szCs w:val="28"/>
          <w:rtl/>
        </w:rPr>
        <w:t xml:space="preserve">احتمالاً سراینده شیعه است (با توجه به برخی ابیات) در برخی ابیات نیز از شخصی به عنوان «کاظم بن قاسم» یاد و ستایش کرده است، مصراع معروف مولوی در ابتدای دفتر دوم «مدتی این مثنوی تاخیر شد» با اندکی تغییر استفاده شده؛ خط: نستعلیق،بی کا، بی تا؛ جلد: گالینگور سبز عطف تیماج زرشکی، ۱۶۱گ،  (۳۹ر - ۱۹۹پ)، ۶ سطر، اندازه: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مخ: ۴ - ۱۶۸۴]</w:t>
      </w:r>
    </w:p>
    <w:p>
      <w:pPr>
        <w:pStyle w:val="BookText"/>
      </w:pPr>
      <w:r>
        <w:rPr>
          <w:rFonts w:ascii="IRNazanin" w:hAnsi="IRNazanin" w:eastAsia="IRNazanin" w:cs="IRNazanin"/>
          <w:lang w:bidi="fa-IR"/>
          <w:color w:val="111111"/>
          <w:sz w:val="28"/>
          <w:szCs w:val="28"/>
          <w:rtl/>
        </w:rPr>
        <w:t xml:space="preserve">۲۰۱۹ . تهران؛ مجلس؛ شماره نسخه: ۲۷۹۴/۲</w:t>
      </w:r>
    </w:p>
    <w:p>
      <w:pPr>
        <w:pStyle w:val="BookText"/>
      </w:pPr>
      <w:r>
        <w:rPr>
          <w:rFonts w:ascii="IRNazanin" w:hAnsi="IRNazanin" w:eastAsia="IRNazanin" w:cs="IRNazanin"/>
          <w:lang w:bidi="fa-IR"/>
          <w:color w:val="111111"/>
          <w:sz w:val="28"/>
          <w:szCs w:val="28"/>
          <w:rtl/>
        </w:rPr>
        <w:t xml:space="preserve">آغاز: ای خوشا آغاز غم پرداز عشق*** ای خوشا انجام به زاغاز عشق ؛ انجام: ای طفیل بود تو بود همه *** بود در سودای تو سود همه</w:t>
      </w:r>
    </w:p>
    <w:p>
      <w:pPr>
        <w:pStyle w:val="BookText"/>
      </w:pPr>
      <w:r>
        <w:rPr>
          <w:rFonts w:ascii="IRNazanin" w:hAnsi="IRNazanin" w:eastAsia="IRNazanin" w:cs="IRNazanin"/>
          <w:lang w:bidi="fa-IR"/>
          <w:color w:val="111111"/>
          <w:sz w:val="28"/>
          <w:szCs w:val="28"/>
          <w:rtl/>
        </w:rPr>
        <w:t xml:space="preserve">۱۲ بیت از یک مثنوی است در ستون عشق؛ خط: نستعلیق، بی کا، بی تا؛ کاغذ: گوناگون ،جلد: کالینگور یشمی باعطف و گوشه تیماج  مشکی، ۲۲ص، ۱۰-۱۸ سطر، قطع: خشتی،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 ۱۰ - ۵۲]</w:t>
      </w:r>
    </w:p>
    <w:p>
      <w:pPr>
        <w:pStyle w:val="BookText"/>
      </w:pPr>
      <w:r>
        <w:rPr>
          <w:rFonts w:ascii="IRNazanin" w:hAnsi="IRNazanin" w:eastAsia="IRNazanin" w:cs="IRNazanin"/>
          <w:lang w:bidi="fa-IR"/>
          <w:color w:val="111111"/>
          <w:sz w:val="28"/>
          <w:szCs w:val="28"/>
          <w:rtl/>
        </w:rPr>
        <w:t xml:space="preserve">۲۰۲۰. تهران؛ مجلس؛ شماره نسخه: ۱۳۳۹۴/۲</w:t>
      </w:r>
    </w:p>
    <w:p>
      <w:pPr>
        <w:pStyle w:val="BookText"/>
      </w:pPr>
      <w:r>
        <w:rPr>
          <w:rFonts w:ascii="IRNazanin" w:hAnsi="IRNazanin" w:eastAsia="IRNazanin" w:cs="IRNazanin"/>
          <w:lang w:bidi="fa-IR"/>
          <w:color w:val="111111"/>
          <w:sz w:val="28"/>
          <w:szCs w:val="28"/>
          <w:rtl/>
        </w:rPr>
        <w:t xml:space="preserve">آغاز: زد علم بر قبه عرش عظیم *** نام بسم الله الرحمن الرحيم</w:t>
      </w:r>
    </w:p>
    <w:p>
      <w:pPr>
        <w:pStyle w:val="BookText"/>
      </w:pPr>
      <w:r>
        <w:rPr>
          <w:rFonts w:ascii="IRNazanin" w:hAnsi="IRNazanin" w:eastAsia="IRNazanin" w:cs="IRNazanin"/>
          <w:lang w:bidi="fa-IR"/>
          <w:color w:val="111111"/>
          <w:sz w:val="28"/>
          <w:szCs w:val="28"/>
          <w:rtl/>
        </w:rPr>
        <w:t xml:space="preserve">مثنوی است در بیان معجزات امیرالمؤمنين على (علیه السّلام)؛ خط: نستعلیق، بی کا، بی تا؛ افتادگی: انجام؛ جلد: مقوا، عطف و گوشه تیماج قهوه ای، ۲گ (۱۵۲ ر -۱۵۳پ)، ۲۰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۲۸سم[ ف: ۳۶ - ۳۲۹]</w:t>
      </w:r>
    </w:p>
    <w:p>
      <w:pPr>
        <w:pStyle w:val="BookText"/>
      </w:pPr>
      <w:r>
        <w:rPr>
          <w:rFonts w:ascii="IRNazanin" w:hAnsi="IRNazanin" w:eastAsia="IRNazanin" w:cs="IRNazanin"/>
          <w:lang w:bidi="fa-IR"/>
          <w:color w:val="111111"/>
          <w:sz w:val="28"/>
          <w:szCs w:val="28"/>
          <w:rtl/>
        </w:rPr>
        <w:t xml:space="preserve">۲۰۲۱. تهران؛ دانشگاه؛ شماره نسخه: ۸۸۱/۱-ف</w:t>
      </w:r>
    </w:p>
    <w:p>
      <w:pPr>
        <w:pStyle w:val="BookText"/>
      </w:pPr>
      <w:r>
        <w:rPr>
          <w:rFonts w:ascii="IRNazanin" w:hAnsi="IRNazanin" w:eastAsia="IRNazanin" w:cs="IRNazanin"/>
          <w:lang w:bidi="fa-IR"/>
          <w:color w:val="111111"/>
          <w:sz w:val="28"/>
          <w:szCs w:val="28"/>
          <w:rtl/>
        </w:rPr>
        <w:t xml:space="preserve">نسخه اصل: بادلیان ۲۵۰ الیوت. مثنوی است در ۷۸ باب؛ خط: نستعلیق، بی کا، بی تا؛ ۱۱۸گ (۱-۱۱۸) ، ۱۵ سطر [فیلمها: ۱ - ۵۴۶]</w:t>
      </w:r>
    </w:p>
    <w:p>
      <w:pPr>
        <w:pStyle w:val="BookText"/>
      </w:pPr>
      <w:r>
        <w:rPr>
          <w:rFonts w:ascii="IRNazanin" w:hAnsi="IRNazanin" w:eastAsia="IRNazanin" w:cs="IRNazanin"/>
          <w:lang w:bidi="fa-IR"/>
          <w:color w:val="111111"/>
          <w:sz w:val="28"/>
          <w:szCs w:val="28"/>
          <w:rtl/>
        </w:rPr>
        <w:t xml:space="preserve">۲۰۲۲. تهران؛ دانشگاه؛ شماره نسخه: ۳۵۲۷/۲</w:t>
      </w:r>
    </w:p>
    <w:p>
      <w:pPr>
        <w:pStyle w:val="BookText"/>
      </w:pPr>
      <w:r>
        <w:rPr>
          <w:rFonts w:ascii="IRNazanin" w:hAnsi="IRNazanin" w:eastAsia="IRNazanin" w:cs="IRNazanin"/>
          <w:lang w:bidi="fa-IR"/>
          <w:color w:val="111111"/>
          <w:sz w:val="28"/>
          <w:szCs w:val="28"/>
          <w:rtl/>
        </w:rPr>
        <w:t xml:space="preserve">آغاز: مدتی در خانه آن دلنواز *** مینهادم روی بر مینهادم روی بر خاک نیاز؛</w:t>
      </w:r>
    </w:p>
    <w:p>
      <w:pPr>
        <w:pStyle w:val="BookText"/>
      </w:pPr>
      <w:r>
        <w:rPr>
          <w:rFonts w:ascii="IRNazanin" w:hAnsi="IRNazanin" w:eastAsia="IRNazanin" w:cs="IRNazanin"/>
          <w:lang w:bidi="fa-IR"/>
          <w:color w:val="111111"/>
          <w:sz w:val="28"/>
          <w:szCs w:val="28"/>
          <w:rtl/>
        </w:rPr>
        <w:t xml:space="preserve">انجام: رحمی آخر بر من ای صیاد کن*** یا مرا بفروش یا آزاد کن
</w:t>
      </w:r>
    </w:p>
    <w:p>
      <w:pPr>
        <w:sectPr>
          <w:footerReference w:type="default" r:id="rId9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ص ۲۴ - ۲۵ شعر سنبل و در ص ۲۶ - ۳۵ شعر نقیب و تـقی است، مثنوی است که از شیراز نوشته شده؛ خط: نستعلیق، بی کا،بی تا؛ با سرلوح، مجدول؛ کاغذ: فرنگی، جلد: تیماج تریاکی،6ص (۲۳-۱۸) ۸ سطر (۶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 ف :12- 2542]</w:t>
      </w:r>
    </w:p>
    <w:p>
      <w:pPr>
        <w:pStyle w:val="BookText"/>
      </w:pPr>
      <w:r>
        <w:rPr>
          <w:rFonts w:ascii="IRNazanin" w:hAnsi="IRNazanin" w:eastAsia="IRNazanin" w:cs="IRNazanin"/>
          <w:lang w:bidi="fa-IR"/>
          <w:color w:val="111111"/>
          <w:sz w:val="28"/>
          <w:szCs w:val="28"/>
          <w:rtl/>
        </w:rPr>
        <w:t xml:space="preserve">۲۰۲۳. کاشان ،عاطفی حسن؛ شماره نسخه: بدون شماره /۳</w:t>
      </w:r>
    </w:p>
    <w:p>
      <w:pPr>
        <w:pStyle w:val="BookText"/>
      </w:pPr>
      <w:r>
        <w:rPr>
          <w:rFonts w:ascii="IRNazanin" w:hAnsi="IRNazanin" w:eastAsia="IRNazanin" w:cs="IRNazanin"/>
          <w:lang w:bidi="fa-IR"/>
          <w:color w:val="111111"/>
          <w:sz w:val="28"/>
          <w:szCs w:val="28"/>
          <w:rtl/>
        </w:rPr>
        <w:t xml:space="preserve">آغاز: بنام خداوند یزدان پاک ** نگارنده صورت از آب و خاک</w:t>
      </w:r>
    </w:p>
    <w:p>
      <w:pPr>
        <w:pStyle w:val="BookText"/>
      </w:pPr>
      <w:r>
        <w:rPr>
          <w:rFonts w:ascii="IRNazanin" w:hAnsi="IRNazanin" w:eastAsia="IRNazanin" w:cs="IRNazanin"/>
          <w:lang w:bidi="fa-IR"/>
          <w:color w:val="111111"/>
          <w:sz w:val="28"/>
          <w:szCs w:val="28"/>
          <w:rtl/>
        </w:rPr>
        <w:t xml:space="preserve">مثنوی است به بحر متقارب، شرح زندگی پیغمبر ((صلی الله علیه و آله وسلم) در حدود ۹۰۰ بیت؛ بی کا، ، بی تا [نشریه: ۷ - ۷۴۸]</w:t>
      </w:r>
    </w:p>
    <w:p>
      <w:pPr>
        <w:pStyle w:val="BookText"/>
      </w:pPr>
      <w:r>
        <w:rPr>
          <w:rFonts w:ascii="IRNazanin" w:hAnsi="IRNazanin" w:eastAsia="IRNazanin" w:cs="IRNazanin"/>
          <w:lang w:bidi="fa-IR"/>
          <w:color w:val="111111"/>
          <w:sz w:val="28"/>
          <w:szCs w:val="28"/>
          <w:rtl/>
        </w:rPr>
        <w:t xml:space="preserve">۲۰۲۴. آشتیان؛ حوزه علمیه؛ شماره نسخه: ۱۰ بخش دوم</w:t>
      </w:r>
    </w:p>
    <w:p>
      <w:pPr>
        <w:pStyle w:val="BookText"/>
      </w:pPr>
      <w:r>
        <w:rPr>
          <w:rFonts w:ascii="IRNazanin" w:hAnsi="IRNazanin" w:eastAsia="IRNazanin" w:cs="IRNazanin"/>
          <w:lang w:bidi="fa-IR"/>
          <w:color w:val="111111"/>
          <w:sz w:val="28"/>
          <w:szCs w:val="28"/>
          <w:rtl/>
        </w:rPr>
        <w:t xml:space="preserve">آغاز: به جنت نیست جای بی نمازان *** بود دوزخ سرای بی نمازان؛ انجام: در سجود افتاد عیسی در زمان *** گفت ای پروردگار غیب دان.</w:t>
      </w:r>
    </w:p>
    <w:p>
      <w:pPr>
        <w:pStyle w:val="BookText"/>
      </w:pPr>
      <w:r>
        <w:rPr>
          <w:rFonts w:ascii="IRNazanin" w:hAnsi="IRNazanin" w:eastAsia="IRNazanin" w:cs="IRNazanin"/>
          <w:lang w:bidi="fa-IR"/>
          <w:color w:val="111111"/>
          <w:sz w:val="28"/>
          <w:szCs w:val="28"/>
          <w:rtl/>
        </w:rPr>
        <w:t xml:space="preserve">مثنوی دارای ۲۸۰ بیت شعر در قالب مثنوی در آداب و سـنن مسلمین، به شیوه ساده و عامیانه و مشتمل بر مثنوی های :بی نمازان، شصت و یک چیز آورد  نکبت، عاق والدين و حكایت پیرزن می باشد. برای نمونه چند بیت از مثنوی اول: «سر بهر آستانه خواب مكن ***اخ و تف در میان آب مکن/ شب در آئینه را  روی خویش مبین *** بر سر پای بی سبب منشین/ مگذر هیچ در مـیان دو زن *** شانه زن به موی خویش مزن/ بر سر پای ایستاده مشاش *** در سه شنبه تو نیز سر متراش / چهارشنبه نگیر تو ناخن *** روز آدینه را تو نوره مکن/ شب جمعه پیاز خام مخور *** روز بد رخت نو مپوش و مبر/ بول هرگز مکن به خاکستر *** که از  او نیست هیچ چیز بتر/ در جنابت مکن تو... *** دست به پس  گرفته راه  مرو»؛ خط: تحریری نازیبا، بی کا، بی تا؛ بدون جلد. قطع: رقعی؛ کاغذ: نخودی، ۱۱گ، مختلف السطر،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۱۵۹]</w:t>
      </w:r>
    </w:p>
    <w:p>
      <w:pPr>
        <w:pStyle w:val="BookText"/>
      </w:pPr>
      <w:r>
        <w:rPr>
          <w:rFonts w:ascii="IRNazanin" w:hAnsi="IRNazanin" w:eastAsia="IRNazanin" w:cs="IRNazanin"/>
          <w:lang w:bidi="fa-IR"/>
          <w:color w:val="111111"/>
          <w:sz w:val="28"/>
          <w:szCs w:val="28"/>
          <w:rtl/>
        </w:rPr>
        <w:t xml:space="preserve">۲۰۲۵ . تهران؛ ملی؛ شماره نسخه: ۱۷۸۵۵</w:t>
      </w:r>
    </w:p>
    <w:p>
      <w:pPr>
        <w:pStyle w:val="BookText"/>
      </w:pPr>
      <w:r>
        <w:rPr>
          <w:rFonts w:ascii="IRNazanin" w:hAnsi="IRNazanin" w:eastAsia="IRNazanin" w:cs="IRNazanin"/>
          <w:lang w:bidi="fa-IR"/>
          <w:color w:val="111111"/>
          <w:sz w:val="28"/>
          <w:szCs w:val="28"/>
          <w:rtl/>
        </w:rPr>
        <w:t xml:space="preserve">در صنایع شعر؛ بی تا، بی کا؛ انتقالی از کتابخانه پهلوی - مجموعه نوازی؛ ۹گ، اندازه: ۱۳/۳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۲۰/۹سم [رایانه ]</w:t>
      </w:r>
    </w:p>
    <w:p>
      <w:pPr>
        <w:pStyle w:val="BookText"/>
      </w:pPr>
      <w:r>
        <w:rPr>
          <w:rFonts w:ascii="IRNazanin" w:hAnsi="IRNazanin" w:eastAsia="IRNazanin" w:cs="IRNazanin"/>
          <w:lang w:bidi="fa-IR"/>
          <w:color w:val="111111"/>
          <w:sz w:val="28"/>
          <w:szCs w:val="28"/>
          <w:rtl/>
        </w:rPr>
        <w:t xml:space="preserve">۲۰۲۶. تهران؛ ملی؛ شماره نسخه: ۱۷۸۵۶</w:t>
      </w:r>
    </w:p>
    <w:p>
      <w:pPr>
        <w:pStyle w:val="BookText"/>
      </w:pPr>
      <w:r>
        <w:rPr>
          <w:rFonts w:ascii="IRNazanin" w:hAnsi="IRNazanin" w:eastAsia="IRNazanin" w:cs="IRNazanin"/>
          <w:lang w:bidi="fa-IR"/>
          <w:color w:val="111111"/>
          <w:sz w:val="28"/>
          <w:szCs w:val="28"/>
          <w:rtl/>
        </w:rPr>
        <w:t xml:space="preserve">جنگ شعر؛ بی کا، بی تا؛ انتقالی از کتابخانه پهلوی - مجموعه نوازی؛ 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[رایانه ]</w:t>
      </w:r>
    </w:p>
    <w:p>
      <w:pPr>
        <w:pStyle w:val="BookText"/>
      </w:pPr>
      <w:r>
        <w:rPr>
          <w:rFonts w:ascii="IRNazanin" w:hAnsi="IRNazanin" w:eastAsia="IRNazanin" w:cs="IRNazanin"/>
          <w:lang w:bidi="fa-IR"/>
          <w:color w:val="111111"/>
          <w:sz w:val="28"/>
          <w:szCs w:val="28"/>
          <w:rtl/>
        </w:rPr>
        <w:t xml:space="preserve">۲۰۲۷ . تهران؛ ملی؛ شماره نسخه: ۱۸۳۲۸</w:t>
      </w:r>
    </w:p>
    <w:p>
      <w:pPr>
        <w:pStyle w:val="BookText"/>
      </w:pPr>
      <w:r>
        <w:rPr>
          <w:rFonts w:ascii="IRNazanin" w:hAnsi="IRNazanin" w:eastAsia="IRNazanin" w:cs="IRNazanin"/>
          <w:lang w:bidi="fa-IR"/>
          <w:color w:val="111111"/>
          <w:sz w:val="28"/>
          <w:szCs w:val="28"/>
          <w:rtl/>
        </w:rPr>
        <w:t xml:space="preserve">مثنوی است؛ بی کا، بی تا؛ انتقالی از کتابخانه پهلوی- مجموعه نوازی؛ ۲۰گ، اندازه: 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[رایانه ]</w:t>
      </w:r>
    </w:p>
    <w:p>
      <w:pPr>
        <w:pStyle w:val="BookText"/>
      </w:pPr>
      <w:r>
        <w:rPr>
          <w:rFonts w:ascii="IRNazanin" w:hAnsi="IRNazanin" w:eastAsia="IRNazanin" w:cs="IRNazanin"/>
          <w:lang w:bidi="fa-IR"/>
          <w:color w:val="111111"/>
          <w:sz w:val="28"/>
          <w:szCs w:val="28"/>
          <w:rtl/>
        </w:rPr>
        <w:t xml:space="preserve">۲۰۲۸. تهران؛ ملی؛ شماره نسخه: ۱۷۶۷۲</w:t>
      </w:r>
    </w:p>
    <w:p>
      <w:pPr>
        <w:pStyle w:val="BookText"/>
      </w:pPr>
      <w:r>
        <w:rPr>
          <w:rFonts w:ascii="IRNazanin" w:hAnsi="IRNazanin" w:eastAsia="IRNazanin" w:cs="IRNazanin"/>
          <w:lang w:bidi="fa-IR"/>
          <w:color w:val="111111"/>
          <w:sz w:val="28"/>
          <w:szCs w:val="28"/>
          <w:rtl/>
        </w:rPr>
        <w:t xml:space="preserve">مثنوی است؛ بی کا، بی تا؛ انتقالی از کتابخانه پهلوی - مجموعه نوازی؛ ۱۵۹گ، اندازه: ۱۲/۷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۱۸/۳سم [رایانه]</w:t>
      </w:r>
    </w:p>
    <w:p>
      <w:pPr>
        <w:pStyle w:val="BookText"/>
      </w:pPr>
      <w:r>
        <w:rPr>
          <w:rFonts w:ascii="IRNazanin" w:hAnsi="IRNazanin" w:eastAsia="IRNazanin" w:cs="IRNazanin"/>
          <w:lang w:bidi="fa-IR"/>
          <w:color w:val="111111"/>
          <w:sz w:val="28"/>
          <w:szCs w:val="28"/>
          <w:rtl/>
        </w:rPr>
        <w:t xml:space="preserve">۲۰۲۹. تهران؛ ملی؛ شماره نسخه: ۱۷۸۴۷</w:t>
      </w:r>
    </w:p>
    <w:p>
      <w:pPr>
        <w:pStyle w:val="BookText"/>
      </w:pPr>
      <w:r>
        <w:rPr>
          <w:rFonts w:ascii="IRNazanin" w:hAnsi="IRNazanin" w:eastAsia="IRNazanin" w:cs="IRNazanin"/>
          <w:lang w:bidi="fa-IR"/>
          <w:color w:val="111111"/>
          <w:sz w:val="28"/>
          <w:szCs w:val="28"/>
          <w:rtl/>
        </w:rPr>
        <w:t xml:space="preserve">مثنوی است؛ بی کا، بی تا؛ انتقالی از کتابخانه پهلوی - مجموعه نوازی ؛اندازه: ۱۵/۶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۲۰/۶سم [ رایانه ]</w:t>
      </w:r>
    </w:p>
    <w:p>
      <w:pPr>
        <w:pStyle w:val="BookText"/>
      </w:pPr>
      <w:r>
        <w:rPr>
          <w:rFonts w:ascii="IRNazanin" w:hAnsi="IRNazanin" w:eastAsia="IRNazanin" w:cs="IRNazanin"/>
          <w:lang w:bidi="fa-IR"/>
          <w:color w:val="111111"/>
          <w:sz w:val="28"/>
          <w:szCs w:val="28"/>
          <w:rtl/>
        </w:rPr>
        <w:t xml:space="preserve">2030 . تهران؛ مفتاح؛ شماره نسخه: ۱۱۶۳/۴</w:t>
      </w:r>
    </w:p>
    <w:p>
      <w:pPr>
        <w:pStyle w:val="BookText"/>
      </w:pPr>
      <w:r>
        <w:rPr>
          <w:rFonts w:ascii="IRNazanin" w:hAnsi="IRNazanin" w:eastAsia="IRNazanin" w:cs="IRNazanin"/>
          <w:lang w:bidi="fa-IR"/>
          <w:color w:val="111111"/>
          <w:sz w:val="28"/>
          <w:szCs w:val="28"/>
          <w:rtl/>
        </w:rPr>
        <w:t xml:space="preserve">مثنوی آتشی است در داستان پنج کشتی؛ خط: نستعلیق، بی کا، بی تا [نشریه: 7- 137]</w:t>
      </w:r>
    </w:p>
    <w:p>
      <w:pPr>
        <w:pStyle w:val="BookText"/>
      </w:pPr>
      <w:r>
        <w:rPr>
          <w:rFonts w:ascii="IRNazanin" w:hAnsi="IRNazanin" w:eastAsia="IRNazanin" w:cs="IRNazanin"/>
          <w:lang w:bidi="fa-IR"/>
          <w:color w:val="111111"/>
          <w:sz w:val="28"/>
          <w:szCs w:val="28"/>
          <w:rtl/>
        </w:rPr>
        <w:t xml:space="preserve">۲۰۳۱. تهران؛ مجلس؛ شماره نسخه: ۱۲۴۳۹/۲</w:t>
      </w:r>
    </w:p>
    <w:p>
      <w:pPr>
        <w:pStyle w:val="BookText"/>
      </w:pPr>
      <w:r>
        <w:rPr>
          <w:rFonts w:ascii="IRNazanin" w:hAnsi="IRNazanin" w:eastAsia="IRNazanin" w:cs="IRNazanin"/>
          <w:lang w:bidi="fa-IR"/>
          <w:color w:val="111111"/>
          <w:sz w:val="28"/>
          <w:szCs w:val="28"/>
          <w:rtl/>
        </w:rPr>
        <w:t xml:space="preserve">آغاز: ای مقیدهای دام این وجود *** تا کی آید اندر قیام و در قعود / حق شناسی از نماز و روزه چیست *** آب حیوانست در هر کوزه نیست؛ انجام: هر که زین اسرار خواهد یک ورق *** رسم احسان را بیاموزد ز حق</w:t>
      </w:r>
    </w:p>
    <w:p>
      <w:pPr>
        <w:pStyle w:val="BookText"/>
      </w:pPr>
      <w:r>
        <w:rPr>
          <w:rFonts w:ascii="IRNazanin" w:hAnsi="IRNazanin" w:eastAsia="IRNazanin" w:cs="IRNazanin"/>
          <w:lang w:bidi="fa-IR"/>
          <w:color w:val="111111"/>
          <w:sz w:val="28"/>
          <w:szCs w:val="28"/>
          <w:rtl/>
        </w:rPr>
        <w:t xml:space="preserve">مثنوی احسان است؛ بی کا، بی تا ؛جلد: تیماج زیتونی، ۱۴ سطر،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۳۵ - ۳۹۱]</w:t>
      </w:r>
    </w:p>
    <w:p>
      <w:pPr>
        <w:pStyle w:val="BookText"/>
      </w:pPr>
      <w:r>
        <w:rPr>
          <w:rFonts w:ascii="IRNazanin" w:hAnsi="IRNazanin" w:eastAsia="IRNazanin" w:cs="IRNazanin"/>
          <w:lang w:bidi="fa-IR"/>
          <w:color w:val="111111"/>
          <w:sz w:val="28"/>
          <w:szCs w:val="28"/>
          <w:rtl/>
        </w:rPr>
        <w:t xml:space="preserve">۲۰۳۲. تهران؛ دانشگاه؛ شماره نسخه: ۳۵۲۷/۸</w:t>
      </w:r>
    </w:p>
    <w:p>
      <w:pPr>
        <w:pStyle w:val="BookText"/>
      </w:pPr>
      <w:r>
        <w:rPr>
          <w:rFonts w:ascii="IRNazanin" w:hAnsi="IRNazanin" w:eastAsia="IRNazanin" w:cs="IRNazanin"/>
          <w:lang w:bidi="fa-IR"/>
          <w:color w:val="111111"/>
          <w:sz w:val="28"/>
          <w:szCs w:val="28"/>
          <w:rtl/>
        </w:rPr>
        <w:t xml:space="preserve">آغاز: عصمت از جمله اخلاق خوش است *** عصمت آن را که بود ز اهل هش است؛ انجام: لب ز بیهوده طرب باز ببند *** که خموشی است</w:t>
      </w:r>
    </w:p>
    <w:p>
      <w:pPr>
        <w:pStyle w:val="BookText"/>
      </w:pPr>
      <w:r>
        <w:rPr>
          <w:rFonts w:ascii="IRNazanin" w:hAnsi="IRNazanin" w:eastAsia="IRNazanin" w:cs="IRNazanin"/>
          <w:lang w:bidi="fa-IR"/>
          <w:color w:val="111111"/>
          <w:sz w:val="28"/>
          <w:szCs w:val="28"/>
          <w:rtl/>
        </w:rPr>
        <w:t xml:space="preserve">بسی فایده مند</w:t>
      </w:r>
    </w:p>
    <w:p>
      <w:pPr>
        <w:pStyle w:val="BookText"/>
      </w:pPr>
      <w:r>
        <w:rPr>
          <w:rFonts w:ascii="IRNazanin" w:hAnsi="IRNazanin" w:eastAsia="IRNazanin" w:cs="IRNazanin"/>
          <w:lang w:bidi="fa-IR"/>
          <w:color w:val="111111"/>
          <w:sz w:val="28"/>
          <w:szCs w:val="28"/>
          <w:rtl/>
        </w:rPr>
        <w:t xml:space="preserve">مثنوی اخلاقی از طرب شاعر (الذریعه ۶۴۶/۹) در فواید عصمت و تقوى؛ خط: نستعلیق، بی کا، بی تا؛ با سرلوح آراسته به رنگ ها، مجدول؛ كاغذ: فرنگی ،جلد: تیماج تریاکی، ۳۷ص (۱۵۹-۱۹۶)، ۸ سطر (۶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۱۲ - ۲۵۴۴]</w:t>
      </w:r>
    </w:p>
    <w:p>
      <w:pPr>
        <w:pStyle w:val="BookText"/>
      </w:pPr>
      <w:r>
        <w:rPr>
          <w:rFonts w:ascii="IRNazanin" w:hAnsi="IRNazanin" w:eastAsia="IRNazanin" w:cs="IRNazanin"/>
          <w:lang w:bidi="fa-IR"/>
          <w:color w:val="111111"/>
          <w:sz w:val="28"/>
          <w:szCs w:val="28"/>
          <w:rtl/>
        </w:rPr>
        <w:t xml:space="preserve">۲۰۳۳. تهران؛ ملی؛ شماره نسخه: ۱۷۸۶۶</w:t>
      </w:r>
    </w:p>
    <w:p>
      <w:pPr>
        <w:pStyle w:val="BookText"/>
      </w:pPr>
      <w:r>
        <w:rPr>
          <w:rFonts w:ascii="IRNazanin" w:hAnsi="IRNazanin" w:eastAsia="IRNazanin" w:cs="IRNazanin"/>
          <w:lang w:bidi="fa-IR"/>
          <w:color w:val="111111"/>
          <w:sz w:val="28"/>
          <w:szCs w:val="28"/>
          <w:rtl/>
        </w:rPr>
        <w:t xml:space="preserve">جنگ شعر؛ بی کا، بی تا؛ انتقالی از کتابخانه پهلوی -مجموعه نوازی ،۱۰۶گ، اندازه: ۱۲/۱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۲۱/۱سم [رایانه]</w:t>
      </w:r>
    </w:p>
    <w:p>
      <w:pPr>
        <w:pStyle w:val="BookText"/>
      </w:pPr>
      <w:r>
        <w:rPr>
          <w:rFonts w:ascii="IRNazanin" w:hAnsi="IRNazanin" w:eastAsia="IRNazanin" w:cs="IRNazanin"/>
          <w:lang w:bidi="fa-IR"/>
          <w:color w:val="111111"/>
          <w:sz w:val="28"/>
          <w:szCs w:val="28"/>
          <w:rtl/>
        </w:rPr>
        <w:t xml:space="preserve">۲۰۳۴. تهران؛ ملی؛ شماره نسخه: ۱۷۸۷۳</w:t>
      </w:r>
    </w:p>
    <w:p>
      <w:pPr>
        <w:pStyle w:val="BookText"/>
      </w:pPr>
      <w:r>
        <w:rPr>
          <w:rFonts w:ascii="IRNazanin" w:hAnsi="IRNazanin" w:eastAsia="IRNazanin" w:cs="IRNazanin"/>
          <w:lang w:bidi="fa-IR"/>
          <w:color w:val="111111"/>
          <w:sz w:val="28"/>
          <w:szCs w:val="28"/>
          <w:rtl/>
        </w:rPr>
        <w:t xml:space="preserve">جنگ شعر؛ بی کا، بی تا؛ انتقالی از کتابخانه پهلوی - مجموعه نوازی؛ اندازه:16/2</w:t>
      </w:r>
      <w:r>
        <w:rPr>
          <w:rFonts w:ascii="Times New Roman" w:hAnsi="Times New Roman" w:eastAsia="Times New Roman" w:cs="Times New Roman"/>
          <w:lang w:val="en-US" w:bidi="en-US"/>
          <w:color w:val="111111"/>
          <w:sz w:val="28"/>
          <w:szCs w:val="28"/>
          <w:rtl/>
        </w:rPr>
        <w:t xml:space="preserve">×20/3</w:t>
      </w:r>
      <w:r>
        <w:rPr>
          <w:rFonts w:ascii="IRNazanin" w:hAnsi="IRNazanin" w:eastAsia="IRNazanin" w:cs="IRNazanin"/>
          <w:lang w:bidi="fa-IR"/>
          <w:color w:val="111111"/>
          <w:sz w:val="28"/>
          <w:szCs w:val="28"/>
          <w:rtl/>
        </w:rPr>
        <w:t xml:space="preserve">سم [رایانه]</w:t>
      </w:r>
    </w:p>
    <w:p>
      <w:pPr>
        <w:pStyle w:val="BookText"/>
      </w:pPr>
      <w:r>
        <w:rPr>
          <w:rFonts w:ascii="IRNazanin" w:hAnsi="IRNazanin" w:eastAsia="IRNazanin" w:cs="IRNazanin"/>
          <w:lang w:bidi="fa-IR"/>
          <w:color w:val="111111"/>
          <w:sz w:val="28"/>
          <w:szCs w:val="28"/>
          <w:rtl/>
        </w:rPr>
        <w:t xml:space="preserve">۲۰۳۵. تهران؛ ملی؛ شماره نسخه: ۱۷۸۷۴</w:t>
      </w:r>
    </w:p>
    <w:p>
      <w:pPr>
        <w:pStyle w:val="BookText"/>
      </w:pPr>
      <w:r>
        <w:rPr>
          <w:rFonts w:ascii="IRNazanin" w:hAnsi="IRNazanin" w:eastAsia="IRNazanin" w:cs="IRNazanin"/>
          <w:lang w:bidi="fa-IR"/>
          <w:color w:val="111111"/>
          <w:sz w:val="28"/>
          <w:szCs w:val="28"/>
          <w:rtl/>
        </w:rPr>
        <w:t xml:space="preserve">مجموعه شعر؛ بی کا، بی تا؛ انتقالی از کتابخانه پهلوی - مجموعه نوازی؛ اندازه: ۱۱/۱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۱۷/۱سم [رایانه]</w:t>
      </w:r>
    </w:p>
    <w:p>
      <w:pPr>
        <w:pStyle w:val="BookText"/>
      </w:pPr>
      <w:r>
        <w:rPr>
          <w:rFonts w:ascii="IRNazanin" w:hAnsi="IRNazanin" w:eastAsia="IRNazanin" w:cs="IRNazanin"/>
          <w:lang w:bidi="fa-IR"/>
          <w:color w:val="111111"/>
          <w:sz w:val="28"/>
          <w:szCs w:val="28"/>
          <w:rtl/>
        </w:rPr>
        <w:t xml:space="preserve">۲۰۳۶. تهران؛ مفتاح؛ شماره نسخه: ۹۲۵/۴</w:t>
      </w:r>
    </w:p>
    <w:p>
      <w:pPr>
        <w:pStyle w:val="BookText"/>
      </w:pPr>
      <w:r>
        <w:rPr>
          <w:rFonts w:ascii="IRNazanin" w:hAnsi="IRNazanin" w:eastAsia="IRNazanin" w:cs="IRNazanin"/>
          <w:lang w:bidi="fa-IR"/>
          <w:color w:val="111111"/>
          <w:sz w:val="28"/>
          <w:szCs w:val="28"/>
          <w:rtl/>
        </w:rPr>
        <w:t xml:space="preserve">آغاز: باء بسم الله الرحمن الرحيم رحيم ***  آدم خاك است ای ديو رجیم/ آدم خاکی که جان عالم است *** پیش ذات وی اسم اعظم است</w:t>
      </w:r>
    </w:p>
    <w:p>
      <w:pPr>
        <w:pStyle w:val="BookText"/>
      </w:pPr>
      <w:r>
        <w:rPr>
          <w:rFonts w:ascii="IRNazanin" w:hAnsi="IRNazanin" w:eastAsia="IRNazanin" w:cs="IRNazanin"/>
          <w:lang w:bidi="fa-IR"/>
          <w:color w:val="111111"/>
          <w:sz w:val="28"/>
          <w:szCs w:val="28"/>
          <w:rtl/>
        </w:rPr>
        <w:t xml:space="preserve">مثنوی است با بندهای نثر؛ خط: نستعلیق، بی کا، بی تا [نشریه: ۷ - ۲۶۳]</w:t>
      </w:r>
    </w:p>
    <w:p>
      <w:pPr>
        <w:pStyle w:val="BookText"/>
      </w:pPr>
      <w:r>
        <w:rPr>
          <w:rFonts w:ascii="IRNazanin" w:hAnsi="IRNazanin" w:eastAsia="IRNazanin" w:cs="IRNazanin"/>
          <w:lang w:bidi="fa-IR"/>
          <w:color w:val="111111"/>
          <w:sz w:val="28"/>
          <w:szCs w:val="28"/>
          <w:rtl/>
        </w:rPr>
        <w:t xml:space="preserve">۲۰۳۷. رشت؛ جمعیت نشر فرهنگ؛ شماره :نسخه ۷۹۵/۱م</w:t>
      </w:r>
    </w:p>
    <w:p>
      <w:pPr>
        <w:pStyle w:val="BookText"/>
      </w:pPr>
      <w:r>
        <w:rPr>
          <w:rFonts w:ascii="IRNazanin" w:hAnsi="IRNazanin" w:eastAsia="IRNazanin" w:cs="IRNazanin"/>
          <w:lang w:bidi="fa-IR"/>
          <w:color w:val="111111"/>
          <w:sz w:val="28"/>
          <w:szCs w:val="28"/>
          <w:rtl/>
        </w:rPr>
        <w:t xml:space="preserve">آغاز: صفحه یکم ناخوانا: علی چون بدیدش بدو خیره ماند *** برویش همی نام یزدان بخواند / علی گفت پیک خداوندگار *** تو کردی چنین صورت زرنگار / بپرسید او را که اصلت کدام *** بگفتا که شهزاده ام ای امام / علی گفت بر گو که ایزد یکی است *** محمد رسول عليش ولی است؛ انجام: شنیدم ز تاریخ اهل عجم*** که آمد سلیمان زخیل و حشم /بشد عازم ملک ایران زمین *** به خسرو نمودند از راه کین</w:t>
      </w:r>
    </w:p>
    <w:p>
      <w:pPr>
        <w:pStyle w:val="BookText"/>
      </w:pPr>
      <w:r>
        <w:rPr>
          <w:rFonts w:ascii="IRNazanin" w:hAnsi="IRNazanin" w:eastAsia="IRNazanin" w:cs="IRNazanin"/>
          <w:lang w:bidi="fa-IR"/>
          <w:color w:val="111111"/>
          <w:sz w:val="28"/>
          <w:szCs w:val="28"/>
          <w:rtl/>
        </w:rPr>
        <w:t xml:space="preserve">مثنوی است به بحر متقارب؛ بی کا، بی تا؛ افتادگی: آغاز؛ مجدول؛ جلد: مقوایی عطف و گوشه ها پارچه، ابعاد متن: 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۱۹/۵سم [رشت و همدان: ف: - ۱۲۳۰]</w:t>
      </w:r>
    </w:p>
    <w:p>
      <w:pPr>
        <w:pStyle w:val="BookText"/>
      </w:pPr>
      <w:r>
        <w:rPr>
          <w:rFonts w:ascii="IRNazanin" w:hAnsi="IRNazanin" w:eastAsia="IRNazanin" w:cs="IRNazanin"/>
          <w:lang w:bidi="fa-IR"/>
          <w:color w:val="111111"/>
          <w:sz w:val="28"/>
          <w:szCs w:val="28"/>
          <w:rtl/>
        </w:rPr>
        <w:t xml:space="preserve">۲۰۳۸. تهران؛ مجلس؛ شماره نسخه: ۱۳۷۱۱/۸
</w:t>
      </w:r>
    </w:p>
    <w:p>
      <w:pPr>
        <w:sectPr>
          <w:footerReference w:type="default" r:id="rId9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آغاز: قاصد بهار وعده وصل آورد زیار *** هجرم هزار مرتبه بـهتر ز انتظار</w:t>
      </w:r>
    </w:p>
    <w:p>
      <w:pPr>
        <w:pStyle w:val="BookText"/>
      </w:pPr>
      <w:r>
        <w:rPr>
          <w:rFonts w:ascii="IRNazanin" w:hAnsi="IRNazanin" w:eastAsia="IRNazanin" w:cs="IRNazanin"/>
          <w:lang w:bidi="fa-IR"/>
          <w:color w:val="111111"/>
          <w:sz w:val="28"/>
          <w:szCs w:val="28"/>
          <w:rtl/>
        </w:rPr>
        <w:t xml:space="preserve">مثنوی ثمر است؛ خط: نستعلیق، بی کا، بی تا؛ جلد: تیماج سرخ مجدول، ۲گ( ۳۵پ - ۳۶پ) [ف: ۳۷ - ۲۳۸]</w:t>
      </w:r>
    </w:p>
    <w:p>
      <w:pPr>
        <w:pStyle w:val="BookText"/>
      </w:pPr>
      <w:r>
        <w:rPr>
          <w:rFonts w:ascii="IRNazanin" w:hAnsi="IRNazanin" w:eastAsia="IRNazanin" w:cs="IRNazanin"/>
          <w:lang w:bidi="fa-IR"/>
          <w:color w:val="111111"/>
          <w:sz w:val="28"/>
          <w:szCs w:val="28"/>
          <w:rtl/>
        </w:rPr>
        <w:t xml:space="preserve">۲۰۳۹. تهران؛ مجلس؛ شماره نسخه: ۱۳۷۱۱/۷</w:t>
      </w:r>
    </w:p>
    <w:p>
      <w:pPr>
        <w:pStyle w:val="BookText"/>
      </w:pPr>
      <w:r>
        <w:rPr>
          <w:rFonts w:ascii="IRNazanin" w:hAnsi="IRNazanin" w:eastAsia="IRNazanin" w:cs="IRNazanin"/>
          <w:lang w:bidi="fa-IR"/>
          <w:color w:val="111111"/>
          <w:sz w:val="28"/>
          <w:szCs w:val="28"/>
          <w:rtl/>
        </w:rPr>
        <w:t xml:space="preserve">آغاز: بشنوید ای دوستان این داستان *** نقل دارم از حدیث راستان / کاندر ایام کلیم حق پرست *** زاهدی بود از شراب شوق مست ؛انجام: یا الها مكنت درمانده را *** بیکس زار و ز درها رانده را / ... واعف عنت زلاتنا يا ذا الكرم *** يا نبی الهاشمى المحترم</w:t>
      </w:r>
    </w:p>
    <w:p>
      <w:pPr>
        <w:pStyle w:val="BookText"/>
      </w:pPr>
      <w:r>
        <w:rPr>
          <w:rFonts w:ascii="IRNazanin" w:hAnsi="IRNazanin" w:eastAsia="IRNazanin" w:cs="IRNazanin"/>
          <w:lang w:bidi="fa-IR"/>
          <w:color w:val="111111"/>
          <w:sz w:val="28"/>
          <w:szCs w:val="28"/>
          <w:rtl/>
        </w:rPr>
        <w:t xml:space="preserve">مثنوی حکمت است مثنوی کوتاهی است در سؤال زاهدی از موسای کلیم در حکمت خلقت دوزخ و بهشت و جواب آن حضرت به وسیله نشان دادن وقایع دردناک دشت کربلا به زادهد؛ خط: نستعلیق، بی کا، بی تا ؛جلد: تیماج سرخ مجدول، ۱ گ( (۳۴پ- ۳۵پ) [ف: ۳۷ - ۲۳۷]</w:t>
      </w:r>
    </w:p>
    <w:p>
      <w:pPr>
        <w:pStyle w:val="BookText"/>
      </w:pPr>
      <w:r>
        <w:rPr>
          <w:rFonts w:ascii="IRNazanin" w:hAnsi="IRNazanin" w:eastAsia="IRNazanin" w:cs="IRNazanin"/>
          <w:lang w:bidi="fa-IR"/>
          <w:color w:val="111111"/>
          <w:sz w:val="28"/>
          <w:szCs w:val="28"/>
          <w:rtl/>
        </w:rPr>
        <w:t xml:space="preserve">2040 تهران؛ مجلس؛ شماره نسخه: ۱۶۷۲۲</w:t>
      </w:r>
    </w:p>
    <w:p>
      <w:pPr>
        <w:pStyle w:val="BookText"/>
      </w:pPr>
      <w:r>
        <w:rPr>
          <w:rFonts w:ascii="IRNazanin" w:hAnsi="IRNazanin" w:eastAsia="IRNazanin" w:cs="IRNazanin"/>
          <w:lang w:bidi="fa-IR"/>
          <w:color w:val="111111"/>
          <w:sz w:val="28"/>
          <w:szCs w:val="28"/>
          <w:rtl/>
        </w:rPr>
        <w:t xml:space="preserve">ناقص. مثنوی داستان است؛ بی کا، بی تا [د.ث. مجلس ]</w:t>
      </w:r>
    </w:p>
    <w:p>
      <w:pPr>
        <w:pStyle w:val="BookText"/>
      </w:pPr>
      <w:r>
        <w:rPr>
          <w:rFonts w:ascii="IRNazanin" w:hAnsi="IRNazanin" w:eastAsia="IRNazanin" w:cs="IRNazanin"/>
          <w:lang w:bidi="fa-IR"/>
          <w:color w:val="111111"/>
          <w:sz w:val="28"/>
          <w:szCs w:val="28"/>
          <w:rtl/>
        </w:rPr>
        <w:t xml:space="preserve">۲۰۴۱. تهران؛ مجلس؛ شماره نسخه: ۲۳۲۹/۴۶</w:t>
      </w:r>
    </w:p>
    <w:p>
      <w:pPr>
        <w:pStyle w:val="BookText"/>
      </w:pPr>
      <w:r>
        <w:rPr>
          <w:rFonts w:ascii="IRNazanin" w:hAnsi="IRNazanin" w:eastAsia="IRNazanin" w:cs="IRNazanin"/>
          <w:lang w:bidi="fa-IR"/>
          <w:color w:val="111111"/>
          <w:sz w:val="28"/>
          <w:szCs w:val="28"/>
          <w:rtl/>
        </w:rPr>
        <w:t xml:space="preserve">آغاز: كيم من مستمند درد پرورد *** چمن پیرای گلزار غم و درد؛ انجام: نمی آرم با شکرت سلامت *** اگر الحمد خوانم تا قیامت</w:t>
      </w:r>
    </w:p>
    <w:p>
      <w:pPr>
        <w:pStyle w:val="BookText"/>
      </w:pPr>
      <w:r>
        <w:rPr>
          <w:rFonts w:ascii="IRNazanin" w:hAnsi="IRNazanin" w:eastAsia="IRNazanin" w:cs="IRNazanin"/>
          <w:lang w:bidi="fa-IR"/>
          <w:color w:val="111111"/>
          <w:sz w:val="28"/>
          <w:szCs w:val="28"/>
          <w:rtl/>
        </w:rPr>
        <w:t xml:space="preserve">مثنوی داهیا در ۱۳۳ بیت؛خط: نستعلیق، بی کا، بی تا؛ کاغذ: فرنگی الوان ،جلد: میشن قهوه ای ترنج و نیم ترنج و سرترنج  ضربی، ۹گ (۴۵۵-۴۶۴)، ۱۶ سطر (7</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۸ - ۲۹]</w:t>
      </w:r>
    </w:p>
    <w:p>
      <w:pPr>
        <w:pStyle w:val="BookText"/>
      </w:pPr>
      <w:r>
        <w:rPr>
          <w:rFonts w:ascii="IRNazanin" w:hAnsi="IRNazanin" w:eastAsia="IRNazanin" w:cs="IRNazanin"/>
          <w:lang w:bidi="fa-IR"/>
          <w:color w:val="111111"/>
          <w:sz w:val="28"/>
          <w:szCs w:val="28"/>
          <w:rtl/>
        </w:rPr>
        <w:t xml:space="preserve">۲۰۴۲. تهران؛ دانشگاه؛ شماره نسخه: ۱۳۳۸/۴۸-ف</w:t>
      </w:r>
    </w:p>
    <w:p>
      <w:pPr>
        <w:pStyle w:val="BookText"/>
      </w:pPr>
      <w:r>
        <w:rPr>
          <w:rFonts w:ascii="IRNazanin" w:hAnsi="IRNazanin" w:eastAsia="IRNazanin" w:cs="IRNazanin"/>
          <w:lang w:bidi="fa-IR"/>
          <w:color w:val="111111"/>
          <w:sz w:val="28"/>
          <w:szCs w:val="28"/>
          <w:rtl/>
        </w:rPr>
        <w:t xml:space="preserve">نسخه اصل: بادلیان 69 </w:t>
      </w:r>
      <w:r>
        <w:rPr>
          <w:rFonts w:ascii="Times New Roman" w:hAnsi="Times New Roman" w:eastAsia="Times New Roman" w:cs="Times New Roman"/>
          <w:lang w:val="en-US" w:bidi="en-US"/>
          <w:color w:val="111111"/>
          <w:sz w:val="28"/>
          <w:szCs w:val="28"/>
          <w:rtl/>
        </w:rPr>
        <w:t xml:space="preserve">Add </w:t>
      </w:r>
      <w:r>
        <w:rPr>
          <w:rFonts w:ascii="IRNazanin" w:hAnsi="IRNazanin" w:eastAsia="IRNazanin" w:cs="IRNazanin"/>
          <w:lang w:bidi="fa-IR"/>
          <w:color w:val="111111"/>
          <w:sz w:val="28"/>
          <w:szCs w:val="28"/>
          <w:rtl/>
        </w:rPr>
        <w:t xml:space="preserve">اوزلی (ش ۱۲۴۱). مثنوی در قـیافه است با عنوان نسخه سمندر که </w:t>
      </w:r>
      <w:r>
        <w:rPr>
          <w:rFonts w:ascii="Times New Roman" w:hAnsi="Times New Roman" w:eastAsia="Times New Roman" w:cs="Times New Roman"/>
          <w:lang w:val="en-US" w:bidi="en-US"/>
          <w:color w:val="111111"/>
          <w:sz w:val="28"/>
          <w:szCs w:val="28"/>
          <w:rtl/>
        </w:rPr>
        <w:t xml:space="preserve">samudrak</w:t>
      </w:r>
      <w:r>
        <w:rPr>
          <w:rFonts w:ascii="IRNazanin" w:hAnsi="IRNazanin" w:eastAsia="IRNazanin" w:cs="IRNazanin"/>
          <w:lang w:bidi="fa-IR"/>
          <w:color w:val="111111"/>
          <w:sz w:val="28"/>
          <w:szCs w:val="28"/>
          <w:rtl/>
        </w:rPr>
        <w:t xml:space="preserve">؛ بی کا، بی تا [فیلمها: 1- 587]</w:t>
      </w:r>
    </w:p>
    <w:p>
      <w:pPr>
        <w:pStyle w:val="BookText"/>
      </w:pPr>
      <w:r>
        <w:rPr>
          <w:rFonts w:ascii="IRNazanin" w:hAnsi="IRNazanin" w:eastAsia="IRNazanin" w:cs="IRNazanin"/>
          <w:lang w:bidi="fa-IR"/>
          <w:color w:val="111111"/>
          <w:sz w:val="28"/>
          <w:szCs w:val="28"/>
          <w:rtl/>
        </w:rPr>
        <w:t xml:space="preserve">۲۰۴۳. تهران؛ ملی؛ شماره نسخه: ۸۲۲۴</w:t>
      </w:r>
    </w:p>
    <w:p>
      <w:pPr>
        <w:pStyle w:val="BookText"/>
      </w:pPr>
      <w:r>
        <w:rPr>
          <w:rFonts w:ascii="IRNazanin" w:hAnsi="IRNazanin" w:eastAsia="IRNazanin" w:cs="IRNazanin"/>
          <w:lang w:bidi="fa-IR"/>
          <w:color w:val="111111"/>
          <w:sz w:val="28"/>
          <w:szCs w:val="28"/>
          <w:rtl/>
        </w:rPr>
        <w:t xml:space="preserve">آغاز: منم ازفیض حضرت یزدان *** صاحب اختیار هر دو جـهان / تو که از جهل کودکم خوانی*** قدر جاه مرا چه می دانی ...؛</w:t>
      </w:r>
    </w:p>
    <w:p>
      <w:pPr>
        <w:pStyle w:val="BookText"/>
      </w:pPr>
      <w:r>
        <w:rPr>
          <w:rFonts w:ascii="IRNazanin" w:hAnsi="IRNazanin" w:eastAsia="IRNazanin" w:cs="IRNazanin"/>
          <w:lang w:bidi="fa-IR"/>
          <w:color w:val="111111"/>
          <w:sz w:val="28"/>
          <w:szCs w:val="28"/>
          <w:rtl/>
        </w:rPr>
        <w:t xml:space="preserve">انجام: یا علی تا بود مدار فلک </w:t>
      </w:r>
      <w:r>
        <w:rPr>
          <w:rFonts w:ascii="IRNazanin" w:hAnsi="IRNazanin" w:eastAsia="IRNazanin" w:cs="IRNazanin"/>
          <w:lang w:bidi="fa-IR"/>
          <w:color w:val="111111"/>
          <w:sz w:val="28"/>
          <w:szCs w:val="28"/>
          <w:b w:val="1"/>
          <w:bCs w:val="1"/>
          <w:i w:val="1"/>
          <w:iCs w:val="1"/>
          <w:rtl/>
        </w:rPr>
        <w:t xml:space="preserve">بود مدحت تو کار ملک/  دوستان تو را مباد زوال</w:t>
      </w:r>
      <w:r>
        <w:rPr>
          <w:rFonts w:ascii="IRNazanin" w:hAnsi="IRNazanin" w:eastAsia="IRNazanin" w:cs="IRNazanin"/>
          <w:lang w:bidi="fa-IR"/>
          <w:color w:val="111111"/>
          <w:sz w:val="28"/>
          <w:szCs w:val="28"/>
          <w:rtl/>
        </w:rPr>
        <w:t xml:space="preserve"> از دم حیدر محمد ال / بشنو این قـصه تا بفیضش رسی ... منظومه ای است در قالب مثنوی و در مدح حضرت علی (علیه السّلام) ؛خط: نستعليق متوسط، بی کا، بی تا؛ افتادگی: آغاز و انجـام؛ خریداری از قدبیگی؛ کاغذ: فرنگی نخودی، جلد: تیماج قهوه ای، یک لا، ۹۷گ، ۱۳ سطر،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۱۹/۲سم [رایانه]</w:t>
      </w:r>
    </w:p>
    <w:p>
      <w:pPr>
        <w:pStyle w:val="BookText"/>
      </w:pPr>
      <w:r>
        <w:rPr>
          <w:rFonts w:ascii="IRNazanin" w:hAnsi="IRNazanin" w:eastAsia="IRNazanin" w:cs="IRNazanin"/>
          <w:lang w:bidi="fa-IR"/>
          <w:color w:val="111111"/>
          <w:sz w:val="28"/>
          <w:szCs w:val="28"/>
          <w:rtl/>
        </w:rPr>
        <w:t xml:space="preserve">۲۰۴۴. قم؛ مسجد اعظم؛ شماره نسخه: ۱۲۲۰/۱</w:t>
      </w:r>
    </w:p>
    <w:p>
      <w:pPr>
        <w:pStyle w:val="BookText"/>
      </w:pPr>
      <w:r>
        <w:rPr>
          <w:rFonts w:ascii="IRNazanin" w:hAnsi="IRNazanin" w:eastAsia="IRNazanin" w:cs="IRNazanin"/>
          <w:lang w:bidi="fa-IR"/>
          <w:color w:val="111111"/>
          <w:sz w:val="28"/>
          <w:szCs w:val="28"/>
          <w:rtl/>
        </w:rPr>
        <w:t xml:space="preserve">آغاز: حمد وسپاس فزون از عداد و قیاس خداوندی است که از قدرت بی چند و چون نه طارم بی سكون ... بنام آنکه حرزش عقد جانهاست ***کلامش راحت افزای روانهاست؛ انجام: مشو غره بر حشمت و ملک و مال *** که باشد سرانجام هریک زوال</w:t>
      </w:r>
    </w:p>
    <w:p>
      <w:pPr>
        <w:pStyle w:val="BookText"/>
      </w:pPr>
      <w:r>
        <w:rPr>
          <w:rFonts w:ascii="IRNazanin" w:hAnsi="IRNazanin" w:eastAsia="IRNazanin" w:cs="IRNazanin"/>
          <w:lang w:bidi="fa-IR"/>
          <w:color w:val="111111"/>
          <w:sz w:val="28"/>
          <w:szCs w:val="28"/>
          <w:rtl/>
        </w:rPr>
        <w:t xml:space="preserve">مثنوی است حدود دوهزار بیت در معجزات و مسائل اخلاقی؛ خط: نستعلیق، بی کا، بی تا؛ جلد: مقوا، عطف تیماج قهوه ای، ۱۳۵گ، ۱۶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مخ: ۴ - ۱۶۸۵]</w:t>
      </w:r>
    </w:p>
    <w:p>
      <w:pPr>
        <w:pStyle w:val="BookText"/>
      </w:pPr>
      <w:r>
        <w:rPr>
          <w:rFonts w:ascii="IRNazanin" w:hAnsi="IRNazanin" w:eastAsia="IRNazanin" w:cs="IRNazanin"/>
          <w:lang w:bidi="fa-IR"/>
          <w:color w:val="111111"/>
          <w:sz w:val="28"/>
          <w:szCs w:val="28"/>
          <w:rtl/>
        </w:rPr>
        <w:t xml:space="preserve">۲۰۴۵. تهران؛ دانشگاه؛ شماره :نسخه ۱۳۷- ۶۲۲۵/۱۳۶-ف-درهامش</w:t>
      </w:r>
    </w:p>
    <w:p>
      <w:pPr>
        <w:pStyle w:val="BookText"/>
      </w:pPr>
      <w:r>
        <w:rPr>
          <w:rFonts w:ascii="IRNazanin" w:hAnsi="IRNazanin" w:eastAsia="IRNazanin" w:cs="IRNazanin"/>
          <w:lang w:bidi="fa-IR"/>
          <w:color w:val="111111"/>
          <w:sz w:val="28"/>
          <w:szCs w:val="28"/>
          <w:rtl/>
        </w:rPr>
        <w:t xml:space="preserve">مثنوی در مناجات است؛ بی کا،  بی تا [فیلمها: ۳ - ۲۱۳]</w:t>
      </w:r>
    </w:p>
    <w:p>
      <w:pPr>
        <w:pStyle w:val="BookText"/>
      </w:pPr>
      <w:r>
        <w:rPr>
          <w:rFonts w:ascii="IRNazanin" w:hAnsi="IRNazanin" w:eastAsia="IRNazanin" w:cs="IRNazanin"/>
          <w:lang w:bidi="fa-IR"/>
          <w:color w:val="111111"/>
          <w:sz w:val="28"/>
          <w:szCs w:val="28"/>
          <w:rtl/>
        </w:rPr>
        <w:t xml:space="preserve">۲۰۴۶ . همدان؛ مدرسه غرب؛ شماره نسخه: ۶۱۸/۵</w:t>
      </w:r>
    </w:p>
    <w:p>
      <w:pPr>
        <w:pStyle w:val="BookText"/>
      </w:pPr>
      <w:r>
        <w:rPr>
          <w:rFonts w:ascii="IRNazanin" w:hAnsi="IRNazanin" w:eastAsia="IRNazanin" w:cs="IRNazanin"/>
          <w:lang w:bidi="fa-IR"/>
          <w:color w:val="111111"/>
          <w:sz w:val="28"/>
          <w:szCs w:val="28"/>
          <w:rtl/>
        </w:rPr>
        <w:t xml:space="preserve">آغاز: عشق بود از گنج پنهان فی المثل *** نقد خود را فاش کرده است از ازل / وحدت خود را ظهوری داده است *** باب رحمت بر جهان بگشاده است ... حکایت طالبی سر گشته آواره ***بی نوائی بی دلی بیچاره / بود در رخسارش داغ از آب چشم *** رفته از دست خیالش خواب چشم؛ انجام: بشنو این پند ای برادر هوش دار *** وز نظاره دیده خود گوش دار / ور نه مدتها بلای دلکشی *** می نبینی باز روی دلخوشی</w:t>
      </w:r>
    </w:p>
    <w:p>
      <w:pPr>
        <w:pStyle w:val="BookText"/>
      </w:pPr>
      <w:r>
        <w:rPr>
          <w:rFonts w:ascii="IRNazanin" w:hAnsi="IRNazanin" w:eastAsia="IRNazanin" w:cs="IRNazanin"/>
          <w:lang w:bidi="fa-IR"/>
          <w:color w:val="111111"/>
          <w:sz w:val="28"/>
          <w:szCs w:val="28"/>
          <w:rtl/>
        </w:rPr>
        <w:t xml:space="preserve">مثنوی عرفانی است؛ بی کا، بی تا؛ قطع: خشتی [رشت و همدان: ف : 1418]</w:t>
      </w:r>
    </w:p>
    <w:p>
      <w:pPr>
        <w:pStyle w:val="BookText"/>
      </w:pPr>
      <w:r>
        <w:rPr>
          <w:rFonts w:ascii="IRNazanin" w:hAnsi="IRNazanin" w:eastAsia="IRNazanin" w:cs="IRNazanin"/>
          <w:lang w:bidi="fa-IR"/>
          <w:color w:val="111111"/>
          <w:sz w:val="28"/>
          <w:szCs w:val="28"/>
          <w:rtl/>
        </w:rPr>
        <w:t xml:space="preserve">۲۰۴۷. تهران؛ دانشگاه؛ شماره نسخه: ۸۹۸-ف</w:t>
      </w:r>
    </w:p>
    <w:p>
      <w:pPr>
        <w:pStyle w:val="BookText"/>
      </w:pPr>
      <w:r>
        <w:rPr>
          <w:rFonts w:ascii="IRNazanin" w:hAnsi="IRNazanin" w:eastAsia="IRNazanin" w:cs="IRNazanin"/>
          <w:lang w:bidi="fa-IR"/>
          <w:color w:val="111111"/>
          <w:sz w:val="28"/>
          <w:szCs w:val="28"/>
          <w:rtl/>
        </w:rPr>
        <w:t xml:space="preserve">نسخه اصل: بادلیان ۱۲۹۶. دو مثنوی عرفانی: دومی ساخته در ۱۰۵۵ با ماده تاریخ «هر که دارد خیال تاریخش *** ختمیه هست سال تاریخش» در کشمیر در ۵۸۹۰  بیت. در دو بخش نخستین اپ- ۳۹ پ، دومی 4پ-278؛ خط: نستعلیق، بی کا، بی تا؛ ۲۸۷گ، ۱۳ سطر [فيلمها: ۱ – ۱۷۹]</w:t>
      </w:r>
    </w:p>
    <w:p>
      <w:pPr>
        <w:pStyle w:val="BookText"/>
      </w:pPr>
      <w:r>
        <w:rPr>
          <w:rFonts w:ascii="IRNazanin" w:hAnsi="IRNazanin" w:eastAsia="IRNazanin" w:cs="IRNazanin"/>
          <w:lang w:bidi="fa-IR"/>
          <w:color w:val="111111"/>
          <w:sz w:val="28"/>
          <w:szCs w:val="28"/>
          <w:rtl/>
        </w:rPr>
        <w:t xml:space="preserve">۲۰۴۸. تهران؛ دانشگاه؛ شماره نسخه: ۵۲۰۶/۱</w:t>
      </w:r>
    </w:p>
    <w:p>
      <w:pPr>
        <w:pStyle w:val="BookText"/>
      </w:pPr>
      <w:r>
        <w:rPr>
          <w:rFonts w:ascii="IRNazanin" w:hAnsi="IRNazanin" w:eastAsia="IRNazanin" w:cs="IRNazanin"/>
          <w:lang w:bidi="fa-IR"/>
          <w:color w:val="111111"/>
          <w:sz w:val="28"/>
          <w:szCs w:val="28"/>
          <w:rtl/>
        </w:rPr>
        <w:t xml:space="preserve">آغاز: تحقیق تو چیست بی تو بودن*** زین پیش نمی توان نمودن؛ انجام: این تحفه بهر طرف که تابد *** معنی ز قبول هر دو باید</w:t>
      </w:r>
    </w:p>
    <w:p>
      <w:pPr>
        <w:pStyle w:val="BookText"/>
      </w:pPr>
      <w:r>
        <w:rPr>
          <w:rFonts w:ascii="IRNazanin" w:hAnsi="IRNazanin" w:eastAsia="IRNazanin" w:cs="IRNazanin"/>
          <w:lang w:bidi="fa-IR"/>
          <w:color w:val="111111"/>
          <w:sz w:val="28"/>
          <w:szCs w:val="28"/>
          <w:rtl/>
        </w:rPr>
        <w:t xml:space="preserve">مثنوی عرفانی گویا «تحفه» نام دارد در نسخه عنوان «مقالت پنجم در بیان عاشق و مراتب آن»، و «مقالت ششم در معرفت نفس و اوصاف آن»، و «مقالت هفتم در بیان معرفت و تحقیق آن»، و «مقالت هشتم در بیان حال پیر و مرید و شرایط صحبت سه» هست و هر مقالتی حکایتی دارد؛ بی کا، تا: قرن ۱۱ و ۱۲؛ افتادگی: آغاز؛ کاغذ: سپاهانی، جلد: تیماج سبز ضربی مقوایی، ۱۴گ (2ر-16ر)،13سطر چلیپا، قطع: وزیری، اندازه: 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۱۵ – ۴۱۵۰]</w:t>
      </w:r>
    </w:p>
    <w:p>
      <w:pPr>
        <w:pStyle w:val="BookText"/>
      </w:pPr>
      <w:r>
        <w:rPr>
          <w:rFonts w:ascii="IRNazanin" w:hAnsi="IRNazanin" w:eastAsia="IRNazanin" w:cs="IRNazanin"/>
          <w:lang w:bidi="fa-IR"/>
          <w:color w:val="111111"/>
          <w:sz w:val="28"/>
          <w:szCs w:val="28"/>
          <w:rtl/>
        </w:rPr>
        <w:t xml:space="preserve">۲۰۴۹. تهران؛ دانشگاه؛ شماره نسخه: ۶۱۱۵/۶</w:t>
      </w:r>
    </w:p>
    <w:p>
      <w:pPr>
        <w:pStyle w:val="BookText"/>
      </w:pPr>
      <w:r>
        <w:rPr>
          <w:rFonts w:ascii="IRNazanin" w:hAnsi="IRNazanin" w:eastAsia="IRNazanin" w:cs="IRNazanin"/>
          <w:lang w:bidi="fa-IR"/>
          <w:color w:val="111111"/>
          <w:sz w:val="28"/>
          <w:szCs w:val="28"/>
          <w:rtl/>
        </w:rPr>
        <w:t xml:space="preserve">مثنوی عرفانی است در هامش؛ بی کا، بی تا؛ کاغذ: کبود سپاهانی ،جلد: تیماج مشکی مقوایی، ۱۲ سطر (6</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قطع : جیبی،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۱۶ - ۲۰۰]</w:t>
      </w:r>
    </w:p>
    <w:p>
      <w:pPr>
        <w:pStyle w:val="BookText"/>
      </w:pPr>
      <w:r>
        <w:rPr>
          <w:rFonts w:ascii="IRNazanin" w:hAnsi="IRNazanin" w:eastAsia="IRNazanin" w:cs="IRNazanin"/>
          <w:lang w:bidi="fa-IR"/>
          <w:color w:val="111111"/>
          <w:sz w:val="28"/>
          <w:szCs w:val="28"/>
          <w:rtl/>
        </w:rPr>
        <w:t xml:space="preserve">۲۰۵۰. تهران؛ دانشگاه؛ شماره نسخه: ۳۷۷۷/۲-ف</w:t>
      </w:r>
    </w:p>
    <w:p>
      <w:pPr>
        <w:pStyle w:val="BookText"/>
      </w:pPr>
      <w:r>
        <w:rPr>
          <w:rFonts w:ascii="IRNazanin" w:hAnsi="IRNazanin" w:eastAsia="IRNazanin" w:cs="IRNazanin"/>
          <w:lang w:bidi="fa-IR"/>
          <w:color w:val="111111"/>
          <w:sz w:val="28"/>
          <w:szCs w:val="28"/>
          <w:rtl/>
        </w:rPr>
        <w:t xml:space="preserve">نسخه  اصل: پاریس 1650. </w:t>
      </w:r>
      <w:r>
        <w:rPr>
          <w:rFonts w:ascii="Times New Roman" w:hAnsi="Times New Roman" w:eastAsia="Times New Roman" w:cs="Times New Roman"/>
          <w:lang w:val="en-US" w:bidi="en-US"/>
          <w:color w:val="111111"/>
          <w:sz w:val="28"/>
          <w:szCs w:val="28"/>
          <w:rtl/>
        </w:rPr>
        <w:t xml:space="preserve">s. p ... (</w:t>
      </w:r>
      <w:r>
        <w:rPr>
          <w:rFonts w:ascii="IRNazanin" w:hAnsi="IRNazanin" w:eastAsia="IRNazanin" w:cs="IRNazanin"/>
          <w:lang w:bidi="fa-IR"/>
          <w:color w:val="111111"/>
          <w:sz w:val="28"/>
          <w:szCs w:val="28"/>
          <w:rtl/>
        </w:rPr>
        <w:t xml:space="preserve">بلوشه ۲۰۴/۴ ش ۲۲۵۵). مثنوی عشق الهی است؛ بی کا، بی تا [فیلمها: ۲ - ۲۴۷]</w:t>
      </w:r>
    </w:p>
    <w:p>
      <w:pPr>
        <w:pStyle w:val="BookText"/>
      </w:pPr>
      <w:r>
        <w:rPr>
          <w:rFonts w:ascii="IRNazanin" w:hAnsi="IRNazanin" w:eastAsia="IRNazanin" w:cs="IRNazanin"/>
          <w:lang w:bidi="fa-IR"/>
          <w:color w:val="111111"/>
          <w:sz w:val="28"/>
          <w:szCs w:val="28"/>
          <w:rtl/>
        </w:rPr>
        <w:t xml:space="preserve">۲۰۵۱ .تهران؛ دانشگاه؛ شماره نسخه: ۳۷۷۷/۳-ف</w:t>
      </w:r>
    </w:p>
    <w:p>
      <w:pPr>
        <w:pStyle w:val="BookText"/>
      </w:pPr>
      <w:r>
        <w:rPr>
          <w:rFonts w:ascii="IRNazanin" w:hAnsi="IRNazanin" w:eastAsia="IRNazanin" w:cs="IRNazanin"/>
          <w:lang w:bidi="fa-IR"/>
          <w:color w:val="111111"/>
          <w:sz w:val="28"/>
          <w:szCs w:val="28"/>
          <w:rtl/>
        </w:rPr>
        <w:t xml:space="preserve">نسخه اصل: پاریس 1650 .</w:t>
      </w:r>
      <w:r>
        <w:rPr>
          <w:rFonts w:ascii="Times New Roman" w:hAnsi="Times New Roman" w:eastAsia="Times New Roman" w:cs="Times New Roman"/>
          <w:lang w:val="en-US" w:bidi="en-US"/>
          <w:color w:val="111111"/>
          <w:sz w:val="28"/>
          <w:szCs w:val="28"/>
          <w:rtl/>
        </w:rPr>
        <w:t xml:space="preserve">s . p (</w:t>
      </w:r>
      <w:r>
        <w:rPr>
          <w:rFonts w:ascii="IRNazanin" w:hAnsi="IRNazanin" w:eastAsia="IRNazanin" w:cs="IRNazanin"/>
          <w:lang w:bidi="fa-IR"/>
          <w:color w:val="111111"/>
          <w:sz w:val="28"/>
          <w:szCs w:val="28"/>
          <w:rtl/>
        </w:rPr>
        <w:t xml:space="preserve">بلوشه ۲۰۴/۴ ش ۲۲۵۵) مثنوی عشقی است جوان پسر خشت مال با دختری؛ بی کا، بی تا[ فیلمها: ۲
</w:t>
      </w:r>
    </w:p>
    <w:p>
      <w:pPr>
        <w:sectPr>
          <w:footerReference w:type="default" r:id="rId9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-247]</w:t>
      </w:r>
    </w:p>
    <w:p>
      <w:pPr>
        <w:pStyle w:val="BookText"/>
      </w:pPr>
      <w:r>
        <w:rPr>
          <w:rFonts w:ascii="IRNazanin" w:hAnsi="IRNazanin" w:eastAsia="IRNazanin" w:cs="IRNazanin"/>
          <w:lang w:bidi="fa-IR"/>
          <w:color w:val="111111"/>
          <w:sz w:val="28"/>
          <w:szCs w:val="28"/>
          <w:rtl/>
        </w:rPr>
        <w:t xml:space="preserve">۲۰۵۲. تهران؛ مجلس؛ شماره نسخه: ۱۴۱۴۸/۲۵</w:t>
      </w:r>
    </w:p>
    <w:p>
      <w:pPr>
        <w:pStyle w:val="BookText"/>
      </w:pPr>
      <w:r>
        <w:rPr>
          <w:rFonts w:ascii="IRNazanin" w:hAnsi="IRNazanin" w:eastAsia="IRNazanin" w:cs="IRNazanin"/>
          <w:lang w:bidi="fa-IR"/>
          <w:color w:val="111111"/>
          <w:sz w:val="28"/>
          <w:szCs w:val="28"/>
          <w:rtl/>
        </w:rPr>
        <w:t xml:space="preserve">آغاز: زیاد از حد گلاب پاشید *** گلستان ها از برگ گل تراشید؛انجام: به آن رسوائی عصمت فروشی *** به قربانی ماه جـامه پوشی</w:t>
      </w:r>
    </w:p>
    <w:p>
      <w:pPr>
        <w:pStyle w:val="BookText"/>
      </w:pPr>
      <w:r>
        <w:rPr>
          <w:rFonts w:ascii="IRNazanin" w:hAnsi="IRNazanin" w:eastAsia="IRNazanin" w:cs="IRNazanin"/>
          <w:lang w:bidi="fa-IR"/>
          <w:color w:val="111111"/>
          <w:sz w:val="28"/>
          <w:szCs w:val="28"/>
          <w:rtl/>
        </w:rPr>
        <w:t xml:space="preserve">مثنوی است؛ خط: شکسته نستعلیق چلیپا، بی کا، بی تا؛ افتادگی: آغاز؛ جلد: تیماج سرخ، ۶گ (۸۵ر-۹۱ر)، قطع: بیاضی،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۳۸ - ۱۸۵]</w:t>
      </w:r>
    </w:p>
    <w:p>
      <w:pPr>
        <w:pStyle w:val="BookText"/>
      </w:pPr>
      <w:r>
        <w:rPr>
          <w:rFonts w:ascii="IRNazanin" w:hAnsi="IRNazanin" w:eastAsia="IRNazanin" w:cs="IRNazanin"/>
          <w:lang w:bidi="fa-IR"/>
          <w:color w:val="111111"/>
          <w:sz w:val="28"/>
          <w:szCs w:val="28"/>
          <w:rtl/>
        </w:rPr>
        <w:t xml:space="preserve">۲۰۵۳. تهران؛ دانشگاه؛ شماره نسخه: ۲۰۱۶/۷-ف</w:t>
      </w:r>
    </w:p>
    <w:p>
      <w:pPr>
        <w:pStyle w:val="BookText"/>
      </w:pPr>
      <w:r>
        <w:rPr>
          <w:rFonts w:ascii="IRNazanin" w:hAnsi="IRNazanin" w:eastAsia="IRNazanin" w:cs="IRNazanin"/>
          <w:lang w:bidi="fa-IR"/>
          <w:color w:val="111111"/>
          <w:sz w:val="28"/>
          <w:szCs w:val="28"/>
          <w:rtl/>
        </w:rPr>
        <w:t xml:space="preserve">آغاز: بسمله. ابتدا اول بنام کردگار *** صانع هفت و پنج و چهار/ آن خداوندی که آدم را زخاک*** آفرید و داد او را جان پاک؛</w:t>
      </w:r>
    </w:p>
    <w:p>
      <w:pPr>
        <w:pStyle w:val="BookText"/>
      </w:pPr>
      <w:r>
        <w:rPr>
          <w:rFonts w:ascii="IRNazanin" w:hAnsi="IRNazanin" w:eastAsia="IRNazanin" w:cs="IRNazanin"/>
          <w:lang w:bidi="fa-IR"/>
          <w:color w:val="111111"/>
          <w:sz w:val="28"/>
          <w:szCs w:val="28"/>
          <w:rtl/>
        </w:rPr>
        <w:t xml:space="preserve">انجام: بت شکن در راه حق ای مرد کار *** تا نباشی در قیامت شرمسار/ گر بخود نتوانی این بت را شکست *** همتی جوی از مردان مست</w:t>
      </w:r>
    </w:p>
    <w:p>
      <w:pPr>
        <w:pStyle w:val="BookText"/>
      </w:pPr>
      <w:r>
        <w:rPr>
          <w:rFonts w:ascii="IRNazanin" w:hAnsi="IRNazanin" w:eastAsia="IRNazanin" w:cs="IRNazanin"/>
          <w:lang w:bidi="fa-IR"/>
          <w:color w:val="111111"/>
          <w:sz w:val="28"/>
          <w:szCs w:val="28"/>
          <w:rtl/>
        </w:rPr>
        <w:t xml:space="preserve">نسخه اصل: آغاز و انجام چند نسخه از کتابخانه های یوگسلاوی؛ مثنوی است؛ بی کا، بی تا [فیلمها: ۱- ۶۳۵]</w:t>
      </w:r>
    </w:p>
    <w:p>
      <w:pPr>
        <w:pStyle w:val="BookText"/>
      </w:pPr>
      <w:r>
        <w:rPr>
          <w:rFonts w:ascii="IRNazanin" w:hAnsi="IRNazanin" w:eastAsia="IRNazanin" w:cs="IRNazanin"/>
          <w:lang w:bidi="fa-IR"/>
          <w:color w:val="111111"/>
          <w:sz w:val="28"/>
          <w:szCs w:val="28"/>
          <w:rtl/>
        </w:rPr>
        <w:t xml:space="preserve">۲۰۵۴. تهران؛ دانشگاه؛ شماره نسخه: ۲۰۱۶/۳۵-ف</w:t>
      </w:r>
    </w:p>
    <w:p>
      <w:pPr>
        <w:pStyle w:val="BookText"/>
      </w:pPr>
      <w:r>
        <w:rPr>
          <w:rFonts w:ascii="IRNazanin" w:hAnsi="IRNazanin" w:eastAsia="IRNazanin" w:cs="IRNazanin"/>
          <w:lang w:bidi="fa-IR"/>
          <w:color w:val="111111"/>
          <w:sz w:val="28"/>
          <w:szCs w:val="28"/>
          <w:rtl/>
        </w:rPr>
        <w:t xml:space="preserve">نسخه اصل: آغاز و انجام چند نسخه از کتابخانه های یوگسلاوی؛ مثنوی است؛ بی کا؛ بی تا [فیلمها: ۱ - ۶۳۸]</w:t>
      </w:r>
    </w:p>
    <w:p>
      <w:pPr>
        <w:pStyle w:val="BookText"/>
      </w:pPr>
      <w:r>
        <w:rPr>
          <w:rFonts w:ascii="IRNazanin" w:hAnsi="IRNazanin" w:eastAsia="IRNazanin" w:cs="IRNazanin"/>
          <w:lang w:bidi="fa-IR"/>
          <w:color w:val="111111"/>
          <w:sz w:val="28"/>
          <w:szCs w:val="28"/>
          <w:rtl/>
        </w:rPr>
        <w:t xml:space="preserve">۲۰۵۵. تهران؛ دانشگاه؛ شماره نسخه: ۱۸۸ -۶۲۲۵/۱۸۶-ف-درهامش</w:t>
      </w:r>
    </w:p>
    <w:p>
      <w:pPr>
        <w:pStyle w:val="BookText"/>
      </w:pPr>
      <w:r>
        <w:rPr>
          <w:rFonts w:ascii="IRNazanin" w:hAnsi="IRNazanin" w:eastAsia="IRNazanin" w:cs="IRNazanin"/>
          <w:lang w:bidi="fa-IR"/>
          <w:color w:val="111111"/>
          <w:sz w:val="28"/>
          <w:szCs w:val="28"/>
          <w:rtl/>
        </w:rPr>
        <w:t xml:space="preserve">مثنوی است؛ بی کا، بی تا [فیلمها: ۳ - ۲۱۳]</w:t>
      </w:r>
    </w:p>
    <w:p>
      <w:pPr>
        <w:pStyle w:val="BookText"/>
      </w:pPr>
      <w:r>
        <w:rPr>
          <w:rFonts w:ascii="IRNazanin" w:hAnsi="IRNazanin" w:eastAsia="IRNazanin" w:cs="IRNazanin"/>
          <w:lang w:bidi="fa-IR"/>
          <w:color w:val="111111"/>
          <w:sz w:val="28"/>
          <w:szCs w:val="28"/>
          <w:rtl/>
        </w:rPr>
        <w:t xml:space="preserve">۲۰۵۶. تهران؛ دانشسرای عالی - کتابخانه میرزا عبدالعظیم خان قریب گر کانی؛ شماره نسخه: ۸۸/۵</w:t>
      </w:r>
    </w:p>
    <w:p>
      <w:pPr>
        <w:pStyle w:val="BookText"/>
      </w:pPr>
      <w:r>
        <w:rPr>
          <w:rFonts w:ascii="IRNazanin" w:hAnsi="IRNazanin" w:eastAsia="IRNazanin" w:cs="IRNazanin"/>
          <w:lang w:bidi="fa-IR"/>
          <w:color w:val="111111"/>
          <w:sz w:val="28"/>
          <w:szCs w:val="28"/>
          <w:rtl/>
        </w:rPr>
        <w:t xml:space="preserve">مثنوی منور خانم است؛ بی کا، بی تا ؛کاغذ: کبود، قطع: بغلی بیاضی [نشریه: ۵ - ۶۲۲]</w:t>
      </w:r>
    </w:p>
    <w:p>
      <w:pPr>
        <w:pStyle w:val="BookText"/>
      </w:pPr>
      <w:r>
        <w:rPr>
          <w:rFonts w:ascii="IRNazanin" w:hAnsi="IRNazanin" w:eastAsia="IRNazanin" w:cs="IRNazanin"/>
          <w:lang w:bidi="fa-IR"/>
          <w:color w:val="111111"/>
          <w:sz w:val="28"/>
          <w:szCs w:val="28"/>
          <w:rtl/>
        </w:rPr>
        <w:t xml:space="preserve">۲۰۵۷. تهران؛ مجلس؛ شماره نسخه: ۶۶۴/۳</w:t>
      </w:r>
    </w:p>
    <w:p>
      <w:pPr>
        <w:pStyle w:val="BookText"/>
      </w:pPr>
      <w:r>
        <w:rPr>
          <w:rFonts w:ascii="IRNazanin" w:hAnsi="IRNazanin" w:eastAsia="IRNazanin" w:cs="IRNazanin"/>
          <w:lang w:bidi="fa-IR"/>
          <w:color w:val="111111"/>
          <w:sz w:val="28"/>
          <w:szCs w:val="28"/>
          <w:rtl/>
        </w:rPr>
        <w:t xml:space="preserve">مثنوی است در محبت و ادب؛ بی کا، بی تا ؛کاغذ: سفید، جـلد: تیماج آلبالویی ضربی و مقوایی با ترنج، ۷گ (۲۰۲-۲۰۸) [ ف: ۲ - ۱۱]</w:t>
      </w:r>
    </w:p>
    <w:p>
      <w:pPr>
        <w:pStyle w:val="BookText"/>
      </w:pPr>
      <w:r>
        <w:rPr>
          <w:rFonts w:ascii="IRNazanin" w:hAnsi="IRNazanin" w:eastAsia="IRNazanin" w:cs="IRNazanin"/>
          <w:lang w:bidi="fa-IR"/>
          <w:color w:val="111111"/>
          <w:sz w:val="28"/>
          <w:szCs w:val="28"/>
          <w:rtl/>
        </w:rPr>
        <w:t xml:space="preserve">۲۰۵۸. مشهد؛ رضوی؛ شماره نسخه: ض۱۰۹۹۳</w:t>
      </w:r>
    </w:p>
    <w:p>
      <w:pPr>
        <w:pStyle w:val="BookText"/>
      </w:pPr>
      <w:r>
        <w:rPr>
          <w:rFonts w:ascii="IRNazanin" w:hAnsi="IRNazanin" w:eastAsia="IRNazanin" w:cs="IRNazanin"/>
          <w:lang w:bidi="fa-IR"/>
          <w:color w:val="111111"/>
          <w:sz w:val="28"/>
          <w:szCs w:val="28"/>
          <w:rtl/>
        </w:rPr>
        <w:t xml:space="preserve">مثنوی در کیمیا از اسماعیل کوفی؛ خط: مختلف، بی کا ، بی تا[الفبائی: ۴۷۵]</w:t>
      </w:r>
    </w:p>
    <w:p>
      <w:pPr>
        <w:pStyle w:val="BookText"/>
      </w:pPr>
      <w:r>
        <w:rPr>
          <w:rFonts w:ascii="IRNazanin" w:hAnsi="IRNazanin" w:eastAsia="IRNazanin" w:cs="IRNazanin"/>
          <w:lang w:bidi="fa-IR"/>
          <w:color w:val="111111"/>
          <w:sz w:val="28"/>
          <w:szCs w:val="28"/>
          <w:rtl/>
        </w:rPr>
        <w:t xml:space="preserve">۲۰۵۹. تهران؛ ملی؛ شماره نسخه: ۱۷۹۲۶</w:t>
      </w:r>
    </w:p>
    <w:p>
      <w:pPr>
        <w:pStyle w:val="BookText"/>
      </w:pPr>
      <w:r>
        <w:rPr>
          <w:rFonts w:ascii="IRNazanin" w:hAnsi="IRNazanin" w:eastAsia="IRNazanin" w:cs="IRNazanin"/>
          <w:lang w:bidi="fa-IR"/>
          <w:color w:val="111111"/>
          <w:sz w:val="28"/>
          <w:szCs w:val="28"/>
          <w:rtl/>
        </w:rPr>
        <w:t xml:space="preserve">مثنوی و جنگ شعر؛ کا: حاجی محمد، بی تا؛ انتقالی از کتابخانه پهلوی - مجموعه نوازی؛ اندازه: ۶/۷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۱۳/۲سم [ایزد پناه: - 1015]</w:t>
      </w:r>
    </w:p>
    <w:p>
      <w:pPr>
        <w:pStyle w:val="BookText"/>
      </w:pPr>
      <w:r>
        <w:rPr>
          <w:rFonts w:ascii="Times New Roman" w:hAnsi="Times New Roman" w:eastAsia="Times New Roman" w:cs="Times New Roman"/>
          <w:lang w:val="en-US" w:bidi="en-US"/>
          <w:color w:val="111111"/>
          <w:sz w:val="28"/>
          <w:szCs w:val="28"/>
          <w:rtl/>
        </w:rPr>
        <w:t xml:space="preserve">2060.</w:t>
      </w:r>
    </w:p>
    <w:p>
      <w:pPr>
        <w:pStyle w:val="BookText"/>
      </w:pPr>
      <w:r>
        <w:rPr>
          <w:rFonts w:ascii="IRNazanin" w:hAnsi="IRNazanin" w:eastAsia="IRNazanin" w:cs="IRNazanin"/>
          <w:lang w:bidi="fa-IR"/>
          <w:color w:val="111111"/>
          <w:sz w:val="28"/>
          <w:szCs w:val="28"/>
          <w:rtl/>
        </w:rPr>
        <w:t xml:space="preserve">تهران؛ ملی؛ شماره نسخه: ۱۷۹۲۹</w:t>
      </w:r>
    </w:p>
    <w:p>
      <w:pPr>
        <w:pStyle w:val="BookText"/>
      </w:pPr>
      <w:r>
        <w:rPr>
          <w:rFonts w:ascii="IRNazanin" w:hAnsi="IRNazanin" w:eastAsia="IRNazanin" w:cs="IRNazanin"/>
          <w:lang w:bidi="fa-IR"/>
          <w:color w:val="111111"/>
          <w:sz w:val="28"/>
          <w:szCs w:val="28"/>
          <w:rtl/>
        </w:rPr>
        <w:t xml:space="preserve">بی کا، بی تا؛ انتقالی از کتابخانه پهلوی - مجموعه نوازی؛ مثنوی؛اندازه: ۱۳/۸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۱۹/۶سم [رایانه]</w:t>
      </w:r>
    </w:p>
    <w:p>
      <w:pPr>
        <w:pStyle w:val="BookText"/>
      </w:pPr>
      <w:r>
        <w:rPr>
          <w:rFonts w:ascii="IRNazanin" w:hAnsi="IRNazanin" w:eastAsia="IRNazanin" w:cs="IRNazanin"/>
          <w:lang w:bidi="fa-IR"/>
          <w:color w:val="111111"/>
          <w:sz w:val="28"/>
          <w:szCs w:val="28"/>
          <w:rtl/>
        </w:rPr>
        <w:t xml:space="preserve">۲۰۶۱. تهران؛ ملی؛ شماره نسخه: ۱۷۹۳۰</w:t>
      </w:r>
    </w:p>
    <w:p>
      <w:pPr>
        <w:pStyle w:val="BookText"/>
      </w:pPr>
      <w:r>
        <w:rPr>
          <w:rFonts w:ascii="IRNazanin" w:hAnsi="IRNazanin" w:eastAsia="IRNazanin" w:cs="IRNazanin"/>
          <w:lang w:bidi="fa-IR"/>
          <w:color w:val="111111"/>
          <w:sz w:val="28"/>
          <w:szCs w:val="28"/>
          <w:rtl/>
        </w:rPr>
        <w:t xml:space="preserve">مثنوی؛ بی کا، بی تا؛ انتقالی از کتابخانه پهلوی - مجموعه نوازی؛ اندازه: ۱۱/۶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۱۸/۸سم [ رایانه ]</w:t>
      </w:r>
    </w:p>
    <w:p>
      <w:pPr>
        <w:pStyle w:val="BookText"/>
      </w:pPr>
      <w:r>
        <w:rPr>
          <w:rFonts w:ascii="IRNazanin" w:hAnsi="IRNazanin" w:eastAsia="IRNazanin" w:cs="IRNazanin"/>
          <w:lang w:bidi="fa-IR"/>
          <w:color w:val="111111"/>
          <w:sz w:val="28"/>
          <w:szCs w:val="28"/>
          <w:rtl/>
        </w:rPr>
        <w:t xml:space="preserve">۲۰۶۲. تهران؛ مجلس؛ شماره نسخه: ۱۴۱۳۳/۲</w:t>
      </w:r>
    </w:p>
    <w:p>
      <w:pPr>
        <w:pStyle w:val="BookText"/>
      </w:pPr>
      <w:r>
        <w:rPr>
          <w:rFonts w:ascii="IRNazanin" w:hAnsi="IRNazanin" w:eastAsia="IRNazanin" w:cs="IRNazanin"/>
          <w:lang w:bidi="fa-IR"/>
          <w:color w:val="111111"/>
          <w:sz w:val="28"/>
          <w:szCs w:val="28"/>
          <w:rtl/>
        </w:rPr>
        <w:t xml:space="preserve">دوبیتی هایی از: جامی، آهی ،مسیحی، شاه شجاع، انوری، شیخ سعدالدین، شیخ ابوالحسن ،بدرالدین، ملهمی، شمس الدین محمد ،شاهی ،فردوسی، رازی، شیخ ابو حامد، سلطان ابو سعید، ،ابوالفرج، حسام، رضی الدین ،نظیری ،فریدالدین عطار ،آصفی، حکیم ازرقی ،فیاض ،قمری ،اشراق، پیر جمال، جمال الدین، خواجه حبيب الله ،راضی، حکیم شفایی، ظهیرالدین، کمال الدین اسماعیل ،امیدی، شیخ مجدالدین، امام فخر، عبید زاکانی، وحید، ،داعی ،شاهر ،طاهر، بابا فاضل ،هجری ،محوی، خواجه حافظ، ،فارغی ،عرفی ،عنصری ،منوچهری، شیخ ابوالغره، سيف الدين، اثير الدين، كمال الدين مسعود، ابو على الشطرنجي، حكيم سوزنی ،عشقی ،مطربه، سراج الدین ،مهری ،صباحی، صهبا، صفا، غنی، ،غیرت ،مایل ،صاحب، مشرب ،منت هجری، آذر؛ خط: شکسته نستعلیق، بی کا، بی تا؛ بی کا، بی تا؛ جلد: روغنی قهوه ای با نقش گل و بوته مجدول مذهب، پشت جلد تیماج قهوه ای، ۳گ (۳ر- ۵۶ر)، ۱۰ سطر چلیپایی، اندازه: 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[ف: ۳۸ - ۱۶۷]</w:t>
      </w:r>
    </w:p>
    <w:p>
      <w:pPr>
        <w:pStyle w:val="BookText"/>
      </w:pPr>
      <w:r>
        <w:rPr>
          <w:rFonts w:ascii="IRNazanin" w:hAnsi="IRNazanin" w:eastAsia="IRNazanin" w:cs="IRNazanin"/>
          <w:lang w:bidi="fa-IR"/>
          <w:color w:val="111111"/>
          <w:sz w:val="28"/>
          <w:szCs w:val="28"/>
          <w:rtl/>
        </w:rPr>
        <w:t xml:space="preserve">۲۰۶۳ . قم؛ مسجد اعظم؛ شماره نسخه: ۱۴۱۰/۷</w:t>
      </w:r>
    </w:p>
    <w:p>
      <w:pPr>
        <w:pStyle w:val="BookText"/>
      </w:pPr>
      <w:r>
        <w:rPr>
          <w:rFonts w:ascii="IRNazanin" w:hAnsi="IRNazanin" w:eastAsia="IRNazanin" w:cs="IRNazanin"/>
          <w:lang w:bidi="fa-IR"/>
          <w:color w:val="111111"/>
          <w:sz w:val="28"/>
          <w:szCs w:val="28"/>
          <w:rtl/>
        </w:rPr>
        <w:t xml:space="preserve">آغاز:عارفی این نغمه دیدم می سرود *** گریه ها بر گریه خود می فزود ؛انجام: که معصومند و مخصوصند اندر آیه قلنا *** تو نیز اندرصف محشر زخود خوان و یکی رسوا</w:t>
      </w:r>
    </w:p>
    <w:p>
      <w:pPr>
        <w:pStyle w:val="BookText"/>
      </w:pPr>
      <w:r>
        <w:rPr>
          <w:rFonts w:ascii="IRNazanin" w:hAnsi="IRNazanin" w:eastAsia="IRNazanin" w:cs="IRNazanin"/>
          <w:lang w:bidi="fa-IR"/>
          <w:color w:val="111111"/>
          <w:sz w:val="28"/>
          <w:szCs w:val="28"/>
          <w:rtl/>
        </w:rPr>
        <w:t xml:space="preserve">دوبیتی است؛ خط: نستعلیق شکسته، بی کا، بی تا؛ جلد: مقوا، 5 گ،  ۲۰ سطر، اندازه: ۱۱</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۱۷سم [ف مخ: ۲ - ۹۰۲]</w:t>
      </w:r>
    </w:p>
    <w:p>
      <w:pPr>
        <w:pStyle w:val="BookText"/>
      </w:pPr>
      <w:r>
        <w:rPr>
          <w:rFonts w:ascii="IRNazanin" w:hAnsi="IRNazanin" w:eastAsia="IRNazanin" w:cs="IRNazanin"/>
          <w:lang w:bidi="fa-IR"/>
          <w:color w:val="111111"/>
          <w:sz w:val="28"/>
          <w:szCs w:val="28"/>
          <w:rtl/>
        </w:rPr>
        <w:t xml:space="preserve">۲۰۶۴ . قم؛ مسجد اعظم؛ شماره نسخه: ۱۲۸۷</w:t>
      </w:r>
    </w:p>
    <w:p>
      <w:pPr>
        <w:pStyle w:val="BookText"/>
      </w:pPr>
      <w:r>
        <w:rPr>
          <w:rFonts w:ascii="IRNazanin" w:hAnsi="IRNazanin" w:eastAsia="IRNazanin" w:cs="IRNazanin"/>
          <w:lang w:bidi="fa-IR"/>
          <w:color w:val="111111"/>
          <w:sz w:val="28"/>
          <w:szCs w:val="28"/>
          <w:rtl/>
        </w:rPr>
        <w:t xml:space="preserve">آغاز: همچو زمین خواهد آسمان که بیفتد *** تابدهد بوسه برنعال محمد؛ انجام: کز زهد ندیده ام فتوحی *** تا کی زنم آب دیده برسنگ.</w:t>
      </w:r>
    </w:p>
    <w:p>
      <w:pPr>
        <w:pStyle w:val="BookText"/>
      </w:pPr>
      <w:r>
        <w:rPr>
          <w:rFonts w:ascii="IRNazanin" w:hAnsi="IRNazanin" w:eastAsia="IRNazanin" w:cs="IRNazanin"/>
          <w:lang w:bidi="fa-IR"/>
          <w:color w:val="111111"/>
          <w:sz w:val="28"/>
          <w:szCs w:val="28"/>
          <w:rtl/>
        </w:rPr>
        <w:t xml:space="preserve">اشعاری است منتخب از دو شاعر شیرازی، حافظ و سعدی؛ خط: نستعلیق، بی کا، بی تا؛ افتادگی: آغاز و انجام؛ مجدول و کمند اندازی؛ جلد: تیماج  مشکی، ترنج و سرمذهب و مرضع، ضربی، ۶۲گ، ۱۲ سطر، اندازه: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۲۲/۵سم [ف مخ: ۵ - ۲۱۳۳]</w:t>
      </w:r>
    </w:p>
    <w:p>
      <w:pPr>
        <w:pStyle w:val="BookText"/>
      </w:pPr>
      <w:r>
        <w:rPr>
          <w:rFonts w:ascii="IRNazanin" w:hAnsi="IRNazanin" w:eastAsia="IRNazanin" w:cs="IRNazanin"/>
          <w:lang w:bidi="fa-IR"/>
          <w:color w:val="111111"/>
          <w:sz w:val="28"/>
          <w:szCs w:val="28"/>
          <w:rtl/>
        </w:rPr>
        <w:t xml:space="preserve">۲۰۶۵ . مشهد؛ رضوی؛ شماره نسخه: ۲۳۹۴۲</w:t>
      </w:r>
    </w:p>
    <w:p>
      <w:pPr>
        <w:pStyle w:val="BookText"/>
      </w:pPr>
      <w:r>
        <w:rPr>
          <w:rFonts w:ascii="IRNazanin" w:hAnsi="IRNazanin" w:eastAsia="IRNazanin" w:cs="IRNazanin"/>
          <w:lang w:bidi="fa-IR"/>
          <w:color w:val="111111"/>
          <w:sz w:val="28"/>
          <w:szCs w:val="28"/>
          <w:rtl/>
        </w:rPr>
        <w:t xml:space="preserve">آغاز: بسمله و به نستعین، به جل و جلاله دیرست تا بحكم وجوب اداء حق؛ انجام: انا مضى الذين لا يقع ... انا باب خطبتهم م م م</w:t>
      </w:r>
    </w:p>
    <w:p>
      <w:pPr>
        <w:pStyle w:val="BookText"/>
      </w:pPr>
      <w:r>
        <w:rPr>
          <w:rFonts w:ascii="IRNazanin" w:hAnsi="IRNazanin" w:eastAsia="IRNazanin" w:cs="IRNazanin"/>
          <w:lang w:bidi="fa-IR"/>
          <w:color w:val="111111"/>
          <w:sz w:val="28"/>
          <w:szCs w:val="28"/>
          <w:rtl/>
        </w:rPr>
        <w:t xml:space="preserve">در رایانه آستان قدس به نام غزلیات سعدی و حافظ آمده؛ خط: نستعلیق، بی کا، بی تا؛ کاغذ: نخودی، جلد: مقوا [رایانه]</w:t>
      </w:r>
    </w:p>
    <w:p>
      <w:pPr>
        <w:pStyle w:val="BookText"/>
      </w:pPr>
      <w:r>
        <w:rPr>
          <w:rFonts w:ascii="IRNazanin" w:hAnsi="IRNazanin" w:eastAsia="IRNazanin" w:cs="IRNazanin"/>
          <w:lang w:bidi="fa-IR"/>
          <w:color w:val="111111"/>
          <w:sz w:val="28"/>
          <w:szCs w:val="28"/>
          <w:rtl/>
        </w:rPr>
        <w:t xml:space="preserve">۲۰۶۶. تهران؛ دانشگاه؛ شماره نسخه: ۶۲۱۷/۷</w:t>
      </w:r>
    </w:p>
    <w:p>
      <w:pPr>
        <w:pStyle w:val="BookText"/>
      </w:pPr>
      <w:r>
        <w:rPr>
          <w:rFonts w:ascii="IRNazanin" w:hAnsi="IRNazanin" w:eastAsia="IRNazanin" w:cs="IRNazanin"/>
          <w:lang w:bidi="fa-IR"/>
          <w:color w:val="111111"/>
          <w:sz w:val="28"/>
          <w:szCs w:val="28"/>
          <w:rtl/>
        </w:rPr>
        <w:t xml:space="preserve">چند بیتی از فایزای بیدگلی؛ خط: نستعليق، كا: عبدالواسع بن علامی، بی تا؛ کاغذ: سپاهانی، جلد: مقوا، عطف پارچه، اص (۱۹پ) ۱۸ سطر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قطع: ربعی،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۱۶ – ۲۱۹]</w:t>
      </w:r>
    </w:p>
    <w:p>
      <w:pPr>
        <w:pStyle w:val="BookText"/>
      </w:pPr>
      <w:r>
        <w:rPr>
          <w:rFonts w:ascii="IRNazanin" w:hAnsi="IRNazanin" w:eastAsia="IRNazanin" w:cs="IRNazanin"/>
          <w:lang w:bidi="fa-IR"/>
          <w:color w:val="111111"/>
          <w:sz w:val="28"/>
          <w:szCs w:val="28"/>
          <w:rtl/>
        </w:rPr>
        <w:t xml:space="preserve">۲۰۶۷ . تهران؛ مجلس؛ شماره نسخه: ۲۶۶۵/۲۲</w:t>
      </w:r>
    </w:p>
    <w:p>
      <w:pPr>
        <w:pStyle w:val="BookText"/>
      </w:pPr>
      <w:r>
        <w:rPr>
          <w:rFonts w:ascii="IRNazanin" w:hAnsi="IRNazanin" w:eastAsia="IRNazanin" w:cs="IRNazanin"/>
          <w:lang w:bidi="fa-IR"/>
          <w:color w:val="111111"/>
          <w:sz w:val="28"/>
          <w:szCs w:val="28"/>
          <w:rtl/>
        </w:rPr>
        <w:t xml:space="preserve">آغاز: یارم زده عنبرین کمندی*** بر دل بندی و سخت بندی / یکسان شده ام به خاک راهی*** از حسرت جلوه سمندی  ...</w:t>
      </w:r>
    </w:p>
    <w:p>
      <w:pPr>
        <w:pStyle w:val="BookText"/>
      </w:pPr>
      <w:r>
        <w:rPr>
          <w:rFonts w:ascii="IRNazanin" w:hAnsi="IRNazanin" w:eastAsia="IRNazanin" w:cs="IRNazanin"/>
          <w:lang w:bidi="fa-IR"/>
          <w:color w:val="111111"/>
          <w:sz w:val="28"/>
          <w:szCs w:val="28"/>
          <w:rtl/>
        </w:rPr>
        <w:t xml:space="preserve">بیت زیر ترجیع است که تکرار شده است: بنشینم و خو کنم به هجران *** یا آید یار یا رود جان</w:t>
      </w:r>
    </w:p>
    <w:p>
      <w:pPr>
        <w:pStyle w:val="BookText"/>
      </w:pPr>
      <w:r>
        <w:rPr>
          <w:rFonts w:ascii="IRNazanin" w:hAnsi="IRNazanin" w:eastAsia="IRNazanin" w:cs="IRNazanin"/>
          <w:lang w:bidi="fa-IR"/>
          <w:color w:val="111111"/>
          <w:sz w:val="28"/>
          <w:szCs w:val="28"/>
          <w:rtl/>
        </w:rPr>
        <w:t xml:space="preserve">ترجیع ساقی نامه و ترکیب بند است؛ خط: شکسته نستعلیق، کا:
</w:t>
      </w:r>
    </w:p>
    <w:p>
      <w:pPr>
        <w:sectPr>
          <w:footerReference w:type="default" r:id="rId9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معصوم، بی تا؛ از قدسی؛ (۶۷۱-۶۷۴) [ف: ۸ - ۴۲۰]</w:t>
      </w:r>
    </w:p>
    <w:p>
      <w:pPr>
        <w:pStyle w:val="BookText"/>
      </w:pPr>
      <w:r>
        <w:rPr>
          <w:rFonts w:ascii="IRNazanin" w:hAnsi="IRNazanin" w:eastAsia="IRNazanin" w:cs="IRNazanin"/>
          <w:lang w:bidi="fa-IR"/>
          <w:color w:val="111111"/>
          <w:sz w:val="28"/>
          <w:szCs w:val="28"/>
          <w:rtl/>
        </w:rPr>
        <w:t xml:space="preserve">۲۰۶۸. تهران؛ مجلس؛ شماره نسخه: ۱۴۳۰۷/۱۱</w:t>
      </w:r>
    </w:p>
    <w:p>
      <w:pPr>
        <w:pStyle w:val="BookText"/>
      </w:pPr>
      <w:r>
        <w:rPr>
          <w:rFonts w:ascii="IRNazanin" w:hAnsi="IRNazanin" w:eastAsia="IRNazanin" w:cs="IRNazanin"/>
          <w:lang w:bidi="fa-IR"/>
          <w:color w:val="111111"/>
          <w:sz w:val="28"/>
          <w:szCs w:val="28"/>
          <w:rtl/>
        </w:rPr>
        <w:t xml:space="preserve">آغاز: بیا ساقی که نوروز است نوروز*** بده جامی که نوروز است نوروز</w:t>
      </w:r>
    </w:p>
    <w:p>
      <w:pPr>
        <w:pStyle w:val="BookText"/>
      </w:pPr>
      <w:r>
        <w:rPr>
          <w:rFonts w:ascii="IRNazanin" w:hAnsi="IRNazanin" w:eastAsia="IRNazanin" w:cs="IRNazanin"/>
          <w:lang w:bidi="fa-IR"/>
          <w:color w:val="111111"/>
          <w:sz w:val="28"/>
          <w:szCs w:val="28"/>
          <w:rtl/>
        </w:rPr>
        <w:t xml:space="preserve">تركيب بند حکیم ثنایی در منقبت ائمه اطهار (علیه السّلام)؛ خط: نستعـلیق زیبا، بی کا، بی تا؛جلد: مقوایی قهوه ای عطف تیماج سرخ، ۲گ (۱۰۶پ-۱۰۴پ)، ۱۶ سطر، اندازه: ۱۷/۵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 ف: ۳۸ - ۴۳۶  ]</w:t>
      </w:r>
    </w:p>
    <w:p>
      <w:pPr>
        <w:pStyle w:val="BookText"/>
      </w:pPr>
      <w:r>
        <w:rPr>
          <w:rFonts w:ascii="IRNazanin" w:hAnsi="IRNazanin" w:eastAsia="IRNazanin" w:cs="IRNazanin"/>
          <w:lang w:bidi="fa-IR"/>
          <w:color w:val="111111"/>
          <w:sz w:val="28"/>
          <w:szCs w:val="28"/>
          <w:rtl/>
        </w:rPr>
        <w:t xml:space="preserve">۲۰۶۹. تهران؛ مجلس؛ شماره نسخه: ۲۶۶۵/۲۳</w:t>
      </w:r>
    </w:p>
    <w:p>
      <w:pPr>
        <w:pStyle w:val="BookText"/>
      </w:pPr>
      <w:r>
        <w:rPr>
          <w:rFonts w:ascii="IRNazanin" w:hAnsi="IRNazanin" w:eastAsia="IRNazanin" w:cs="IRNazanin"/>
          <w:lang w:bidi="fa-IR"/>
          <w:color w:val="111111"/>
          <w:sz w:val="28"/>
          <w:szCs w:val="28"/>
          <w:rtl/>
        </w:rPr>
        <w:t xml:space="preserve">ترکیب بند هفت رنگ از ابن حسام؛ کا: محمد معصوم، بی تا؛ ۲ ص (۶۷۵-۶۷۶) [ف: ۸ - ۴۲۰]</w:t>
      </w:r>
    </w:p>
    <w:p>
      <w:pPr>
        <w:pStyle w:val="BookText"/>
      </w:pPr>
      <w:r>
        <w:rPr>
          <w:rFonts w:ascii="IRNazanin" w:hAnsi="IRNazanin" w:eastAsia="IRNazanin" w:cs="IRNazanin"/>
          <w:lang w:bidi="fa-IR"/>
          <w:color w:val="111111"/>
          <w:sz w:val="28"/>
          <w:szCs w:val="28"/>
          <w:rtl/>
        </w:rPr>
        <w:t xml:space="preserve">۲۰۷۰. تهران؛ ملی؛ شماره نسخه: ۶۷۵۲</w:t>
      </w:r>
    </w:p>
    <w:p>
      <w:pPr>
        <w:pStyle w:val="BookText"/>
      </w:pPr>
      <w:r>
        <w:rPr>
          <w:rFonts w:ascii="IRNazanin" w:hAnsi="IRNazanin" w:eastAsia="IRNazanin" w:cs="IRNazanin"/>
          <w:lang w:bidi="fa-IR"/>
          <w:color w:val="111111"/>
          <w:sz w:val="28"/>
          <w:szCs w:val="28"/>
          <w:rtl/>
        </w:rPr>
        <w:t xml:space="preserve">آغاز: باسمه سبحانه، در همه قرآن چو ثنای علی است کس بر ایزد نه بجای علی است؛ انجام: تا شود از فضل تو عالمی مـقام یک نظری کن ز کرم و السلام تمته بالخير</w:t>
      </w:r>
    </w:p>
    <w:p>
      <w:pPr>
        <w:pStyle w:val="BookText"/>
      </w:pPr>
      <w:r>
        <w:rPr>
          <w:rFonts w:ascii="IRNazanin" w:hAnsi="IRNazanin" w:eastAsia="IRNazanin" w:cs="IRNazanin"/>
          <w:lang w:bidi="fa-IR"/>
          <w:color w:val="111111"/>
          <w:sz w:val="28"/>
          <w:szCs w:val="28"/>
          <w:rtl/>
        </w:rPr>
        <w:t xml:space="preserve">ترکیب بندی است مشتمل بر پنج بند که در مدح حضرت (علیه السّلام) سروده شده؛ خط: شکسته نستعلیق، بی کا، بی تا ؛کاغذ: فرنگی نخودی، اگ (۱۵-۱۶)، ۱۸ سطر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اندازه: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[رایانه]</w:t>
      </w:r>
    </w:p>
    <w:p>
      <w:pPr>
        <w:pStyle w:val="BookText"/>
      </w:pPr>
      <w:r>
        <w:rPr>
          <w:rFonts w:ascii="IRNazanin" w:hAnsi="IRNazanin" w:eastAsia="IRNazanin" w:cs="IRNazanin"/>
          <w:lang w:bidi="fa-IR"/>
          <w:color w:val="111111"/>
          <w:sz w:val="28"/>
          <w:szCs w:val="28"/>
          <w:rtl/>
        </w:rPr>
        <w:t xml:space="preserve">۲۰۷۱. تهران؛ سپهسالار؛ شماره نسخه: ۲۹۱۳/۳۴</w:t>
      </w:r>
    </w:p>
    <w:p>
      <w:pPr>
        <w:pStyle w:val="BookText"/>
      </w:pPr>
      <w:r>
        <w:rPr>
          <w:rFonts w:ascii="IRNazanin" w:hAnsi="IRNazanin" w:eastAsia="IRNazanin" w:cs="IRNazanin"/>
          <w:lang w:bidi="fa-IR"/>
          <w:color w:val="111111"/>
          <w:sz w:val="28"/>
          <w:szCs w:val="28"/>
          <w:rtl/>
        </w:rPr>
        <w:t xml:space="preserve">دوترجیع بند است از وحشی بافقی، یکی مخمس و دیگـری مسدس؛ بی کا، بی تا؛ کاغذ: سپاهانی، جلد: تیماج سرخ، ۶ص (۵۴۸-۵۴۲)، ۱۹ سطر،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۲۶سم [ف: ۳ - ۴۳۰]</w:t>
      </w:r>
    </w:p>
    <w:p>
      <w:pPr>
        <w:pStyle w:val="BookText"/>
      </w:pPr>
      <w:r>
        <w:rPr>
          <w:rFonts w:ascii="IRNazanin" w:hAnsi="IRNazanin" w:eastAsia="IRNazanin" w:cs="IRNazanin"/>
          <w:lang w:bidi="fa-IR"/>
          <w:color w:val="111111"/>
          <w:sz w:val="28"/>
          <w:szCs w:val="28"/>
          <w:rtl/>
        </w:rPr>
        <w:t xml:space="preserve">۲۰۷۲. همدان؛ مدرسه غرب؛ شماره نسخه: ۷۳۷/۲</w:t>
      </w:r>
    </w:p>
    <w:p>
      <w:pPr>
        <w:pStyle w:val="BookText"/>
      </w:pPr>
      <w:r>
        <w:rPr>
          <w:rFonts w:ascii="IRNazanin" w:hAnsi="IRNazanin" w:eastAsia="IRNazanin" w:cs="IRNazanin"/>
          <w:lang w:bidi="fa-IR"/>
          <w:color w:val="111111"/>
          <w:sz w:val="28"/>
          <w:szCs w:val="28"/>
          <w:rtl/>
        </w:rPr>
        <w:t xml:space="preserve">آغاز: ای کرده کرشمه را بلندی *** بر هر نگهت ز نارمندی/ روزی که شدم اسیر دامت *** یک صید نبود در کمندی ... بنشینم و سر کشم سوی حبیب*** تا صبر دری گشاید از غیب / سودا بسرم   قرارها داشت *** آخر ز سر قرار برگشت / از طالع من بـهار امید***  از گلشن انتظار برگشت ..../ بنشینم و سر کشم  سوی حبيب *** تا صبر دری گشاید از غیب؛ انجام: ای زهد فروش از بازار دکان را *** برچین که متاع تو خریدار ندارد / عمـری است که در پای خم افتاده خرابیم*** همسایه دیوار بدیوار شرابیم ... در کوی خرابات تكبر نتوان کرد *** گردون گذرد از میخانه خمیده / از میکده هرگز به بهشتم نکشد دل *** در پای خمم دایه مگر ناف بریده / عمری است که در پای خم افتـاده خرابیم *** همسایه دیوار بدیوار شرابیم</w:t>
      </w:r>
    </w:p>
    <w:p>
      <w:pPr>
        <w:pStyle w:val="BookText"/>
      </w:pPr>
      <w:r>
        <w:rPr>
          <w:rFonts w:ascii="IRNazanin" w:hAnsi="IRNazanin" w:eastAsia="IRNazanin" w:cs="IRNazanin"/>
          <w:lang w:bidi="fa-IR"/>
          <w:color w:val="111111"/>
          <w:sz w:val="28"/>
          <w:szCs w:val="28"/>
          <w:rtl/>
        </w:rPr>
        <w:t xml:space="preserve">ترجیع بند است؛ خط: شکسته نستعلیق، بی کا، بی تا؛ قطع: ربعی  [ رشت و همدان :ف - ۱۴۴۲]</w:t>
      </w:r>
    </w:p>
    <w:p>
      <w:pPr>
        <w:pStyle w:val="BookText"/>
      </w:pPr>
      <w:r>
        <w:rPr>
          <w:rFonts w:ascii="IRNazanin" w:hAnsi="IRNazanin" w:eastAsia="IRNazanin" w:cs="IRNazanin"/>
          <w:lang w:bidi="fa-IR"/>
          <w:color w:val="111111"/>
          <w:sz w:val="28"/>
          <w:szCs w:val="28"/>
          <w:rtl/>
        </w:rPr>
        <w:t xml:space="preserve">۲۰۷۳. تهران؛ مجلس؛ شماره نسخه: ۲۷۶۴/۸</w:t>
      </w:r>
    </w:p>
    <w:p>
      <w:pPr>
        <w:pStyle w:val="BookText"/>
      </w:pPr>
      <w:r>
        <w:rPr>
          <w:rFonts w:ascii="IRNazanin" w:hAnsi="IRNazanin" w:eastAsia="IRNazanin" w:cs="IRNazanin"/>
          <w:lang w:bidi="fa-IR"/>
          <w:color w:val="111111"/>
          <w:sz w:val="28"/>
          <w:szCs w:val="28"/>
          <w:rtl/>
        </w:rPr>
        <w:t xml:space="preserve">آغاز: بر کنار سفره صاحب دلی*** چون نشست افتاد او را مشکلی / قوت خواران دید پیرامان او *** مرغ و ماقوت مزعفر در میان؛ انجام: نام گرمت شهوت نفتانیست *** آب سردت حکمت انسانی است / شر انسان در لباس نان و آب*** گفته شد و الله اعـلم بالصواب</w:t>
      </w:r>
    </w:p>
    <w:p>
      <w:pPr>
        <w:pStyle w:val="BookText"/>
      </w:pPr>
      <w:r>
        <w:rPr>
          <w:rFonts w:ascii="IRNazanin" w:hAnsi="IRNazanin" w:eastAsia="IRNazanin" w:cs="IRNazanin"/>
          <w:lang w:bidi="fa-IR"/>
          <w:color w:val="111111"/>
          <w:sz w:val="28"/>
          <w:szCs w:val="28"/>
          <w:rtl/>
        </w:rPr>
        <w:t xml:space="preserve">ترجیع بند در اندرز در لباس فکاهت و بیت مکررش این است: چنگ چنگالی مرا دارد بدست *** گوشمالم میدهد هر جا که هست؛ خط: گوناگون، بی کا، بی تا؛ کاغذ: فرنگی، جلد: تیماج مشکی ،منکنه، اص (۹۳-۹۴)، ۲۸-۳۰ سطر، قطع: رحلی،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۳۰سم [ف: ۹ - ۱۷۱]</w:t>
      </w:r>
    </w:p>
    <w:p>
      <w:pPr>
        <w:pStyle w:val="BookText"/>
      </w:pPr>
      <w:r>
        <w:rPr>
          <w:rFonts w:ascii="IRNazanin" w:hAnsi="IRNazanin" w:eastAsia="IRNazanin" w:cs="IRNazanin"/>
          <w:lang w:bidi="fa-IR"/>
          <w:color w:val="111111"/>
          <w:sz w:val="28"/>
          <w:szCs w:val="28"/>
          <w:rtl/>
        </w:rPr>
        <w:t xml:space="preserve">۲۰۷۴. تهران؛ مجلس؛ شماره نسخه: ۱۳۹۵۰/۱۰</w:t>
      </w:r>
    </w:p>
    <w:p>
      <w:pPr>
        <w:pStyle w:val="BookText"/>
      </w:pPr>
      <w:r>
        <w:rPr>
          <w:rFonts w:ascii="IRNazanin" w:hAnsi="IRNazanin" w:eastAsia="IRNazanin" w:cs="IRNazanin"/>
          <w:lang w:bidi="fa-IR"/>
          <w:color w:val="111111"/>
          <w:sz w:val="28"/>
          <w:szCs w:val="28"/>
          <w:rtl/>
        </w:rPr>
        <w:t xml:space="preserve">آغاز: یارم زده عنبرین کمندی *** بر دل بندی و سخت بندی / یکسان شده ام به خاک راهی*** از حسرت جلوه سمندی</w:t>
      </w:r>
    </w:p>
    <w:p>
      <w:pPr>
        <w:pStyle w:val="BookText"/>
      </w:pPr>
      <w:r>
        <w:rPr>
          <w:rFonts w:ascii="IRNazanin" w:hAnsi="IRNazanin" w:eastAsia="IRNazanin" w:cs="IRNazanin"/>
          <w:lang w:bidi="fa-IR"/>
          <w:color w:val="111111"/>
          <w:sz w:val="28"/>
          <w:szCs w:val="28"/>
          <w:rtl/>
        </w:rPr>
        <w:t xml:space="preserve">ترجیع بند است، بیت ترجیع که تکرار شده: «بنشینم و خو کنم به هجران*** یا آید یار یا رود جان»؛ خط: شکسته نستعلیق چلیپا،بی کا، بی تا ؛جلد: تیماج دورو قهوه ای ترنج با سر مجدول گرهی، 6گ (۱۴۱ر-۱۴۷پ) [ف: ۳۷ - ۵۴۹]</w:t>
      </w:r>
    </w:p>
    <w:p>
      <w:pPr>
        <w:pStyle w:val="BookText"/>
      </w:pPr>
      <w:r>
        <w:rPr>
          <w:rFonts w:ascii="IRNazanin" w:hAnsi="IRNazanin" w:eastAsia="IRNazanin" w:cs="IRNazanin"/>
          <w:lang w:bidi="fa-IR"/>
          <w:color w:val="111111"/>
          <w:sz w:val="28"/>
          <w:szCs w:val="28"/>
          <w:rtl/>
        </w:rPr>
        <w:t xml:space="preserve">۲۰۷۵. تهران؛ دانشگاه؛ شماره نسخه: ۶۲۲۵/۱۱۲-ف</w:t>
      </w:r>
    </w:p>
    <w:p>
      <w:pPr>
        <w:pStyle w:val="BookText"/>
      </w:pPr>
      <w:r>
        <w:rPr>
          <w:rFonts w:ascii="IRNazanin" w:hAnsi="IRNazanin" w:eastAsia="IRNazanin" w:cs="IRNazanin"/>
          <w:lang w:bidi="fa-IR"/>
          <w:color w:val="111111"/>
          <w:sz w:val="28"/>
          <w:szCs w:val="28"/>
          <w:rtl/>
        </w:rPr>
        <w:t xml:space="preserve">ترجیع بند است؛ بی کا، بی تا [فیلمها: ۳ - ۲۱۲]</w:t>
      </w:r>
    </w:p>
    <w:p>
      <w:pPr>
        <w:pStyle w:val="BookText"/>
      </w:pPr>
      <w:r>
        <w:rPr>
          <w:rFonts w:ascii="IRNazanin" w:hAnsi="IRNazanin" w:eastAsia="IRNazanin" w:cs="IRNazanin"/>
          <w:lang w:bidi="fa-IR"/>
          <w:color w:val="111111"/>
          <w:sz w:val="28"/>
          <w:szCs w:val="28"/>
          <w:rtl/>
        </w:rPr>
        <w:t xml:space="preserve">۲۰۷۶. تهران؛ دانشگاه؛ شماره نسخه: ۶۲۲۵/۱۸۶-ف</w:t>
      </w:r>
    </w:p>
    <w:p>
      <w:pPr>
        <w:pStyle w:val="BookText"/>
      </w:pPr>
      <w:r>
        <w:rPr>
          <w:rFonts w:ascii="IRNazanin" w:hAnsi="IRNazanin" w:eastAsia="IRNazanin" w:cs="IRNazanin"/>
          <w:lang w:bidi="fa-IR"/>
          <w:color w:val="111111"/>
          <w:sz w:val="28"/>
          <w:szCs w:val="28"/>
          <w:rtl/>
        </w:rPr>
        <w:t xml:space="preserve">ترجیع بند است؛ بی کا، بی تا [ فیلمها: ۳ - ۲۱۳]</w:t>
      </w:r>
    </w:p>
    <w:p>
      <w:pPr>
        <w:pStyle w:val="BookText"/>
      </w:pPr>
      <w:r>
        <w:rPr>
          <w:rFonts w:ascii="IRNazanin" w:hAnsi="IRNazanin" w:eastAsia="IRNazanin" w:cs="IRNazanin"/>
          <w:lang w:bidi="fa-IR"/>
          <w:color w:val="111111"/>
          <w:sz w:val="28"/>
          <w:szCs w:val="28"/>
          <w:rtl/>
        </w:rPr>
        <w:t xml:space="preserve">۲۰۷۷ . قم؛ مرعشی؛ شماره نسخه: ۲۲۹۱/۳</w:t>
      </w:r>
    </w:p>
    <w:p>
      <w:pPr>
        <w:pStyle w:val="BookText"/>
      </w:pPr>
      <w:r>
        <w:rPr>
          <w:rFonts w:ascii="IRNazanin" w:hAnsi="IRNazanin" w:eastAsia="IRNazanin" w:cs="IRNazanin"/>
          <w:lang w:bidi="fa-IR"/>
          <w:color w:val="111111"/>
          <w:sz w:val="28"/>
          <w:szCs w:val="28"/>
          <w:rtl/>
        </w:rPr>
        <w:t xml:space="preserve">آغاز: در همه قرآن چون ثنای علی است*** کس بر ایزد نه بجای علی است؛ انجام: تا شود از فضل تو عالی مقام *** یک نظری کن زکرم و السلام</w:t>
      </w:r>
    </w:p>
    <w:p>
      <w:pPr>
        <w:pStyle w:val="BookText"/>
      </w:pPr>
      <w:r>
        <w:rPr>
          <w:rFonts w:ascii="IRNazanin" w:hAnsi="IRNazanin" w:eastAsia="IRNazanin" w:cs="IRNazanin"/>
          <w:lang w:bidi="fa-IR"/>
          <w:color w:val="111111"/>
          <w:sz w:val="28"/>
          <w:szCs w:val="28"/>
          <w:rtl/>
        </w:rPr>
        <w:t xml:space="preserve">ترجیع بندی است در پنج مقطع در مدح حضرت امیرالمؤمنين (علیه السّلام)؛ خط: نستعلیق زیبا، بی کا، بی تا ؛جلد: تیماج قهوه ای بدون مقوا، ۲گ (۱۷ ر -۱۹پ) ،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۶ - ۲۷۶]</w:t>
      </w:r>
    </w:p>
    <w:p>
      <w:pPr>
        <w:pStyle w:val="BookText"/>
      </w:pPr>
      <w:r>
        <w:rPr>
          <w:rFonts w:ascii="IRNazanin" w:hAnsi="IRNazanin" w:eastAsia="IRNazanin" w:cs="IRNazanin"/>
          <w:lang w:bidi="fa-IR"/>
          <w:color w:val="111111"/>
          <w:sz w:val="28"/>
          <w:szCs w:val="28"/>
          <w:rtl/>
        </w:rPr>
        <w:t xml:space="preserve">۲۰۷۸. تهران؛ مجلس؛ شماره نسخه: ۲۳۲۳/۸</w:t>
      </w:r>
    </w:p>
    <w:p>
      <w:pPr>
        <w:pStyle w:val="BookText"/>
      </w:pPr>
      <w:r>
        <w:rPr>
          <w:rFonts w:ascii="IRNazanin" w:hAnsi="IRNazanin" w:eastAsia="IRNazanin" w:cs="IRNazanin"/>
          <w:lang w:bidi="fa-IR"/>
          <w:color w:val="111111"/>
          <w:sz w:val="28"/>
          <w:szCs w:val="28"/>
          <w:rtl/>
        </w:rPr>
        <w:t xml:space="preserve">ترجیع بندی از سید جمال الدین کاشی؛ خط: نسخ قدیم خوش، بی کا، بی تا؛ کاغذ: سمرقندی، جلد: تیماج زرشکی، ۱ص (۱۱۸) ، ۲۵ سطر ،اندازه: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۸-۸]</w:t>
      </w:r>
    </w:p>
    <w:p>
      <w:pPr>
        <w:pStyle w:val="BookText"/>
      </w:pPr>
      <w:r>
        <w:rPr>
          <w:rFonts w:ascii="IRNazanin" w:hAnsi="IRNazanin" w:eastAsia="IRNazanin" w:cs="IRNazanin"/>
          <w:lang w:bidi="fa-IR"/>
          <w:color w:val="111111"/>
          <w:sz w:val="28"/>
          <w:szCs w:val="28"/>
          <w:rtl/>
        </w:rPr>
        <w:t xml:space="preserve">۲۰۷۹. تهران؛ دانشگاه؛ شماره نسخه: ۱۰۴ - ۶۲۲۵/۱۰۰-ف-درهامش</w:t>
      </w:r>
    </w:p>
    <w:p>
      <w:pPr>
        <w:pStyle w:val="BookText"/>
      </w:pPr>
      <w:r>
        <w:rPr>
          <w:rFonts w:ascii="IRNazanin" w:hAnsi="IRNazanin" w:eastAsia="IRNazanin" w:cs="IRNazanin"/>
          <w:lang w:bidi="fa-IR"/>
          <w:color w:val="111111"/>
          <w:sz w:val="28"/>
          <w:szCs w:val="28"/>
          <w:rtl/>
        </w:rPr>
        <w:t xml:space="preserve">ترجیع بند شیخ عراقی است؛ بی کا، بی تا[ فیلمها: ۳ - ۲۱۳]</w:t>
      </w:r>
    </w:p>
    <w:p>
      <w:pPr>
        <w:pStyle w:val="BookText"/>
      </w:pPr>
      <w:r>
        <w:rPr>
          <w:rFonts w:ascii="IRNazanin" w:hAnsi="IRNazanin" w:eastAsia="IRNazanin" w:cs="IRNazanin"/>
          <w:lang w:bidi="fa-IR"/>
          <w:color w:val="111111"/>
          <w:sz w:val="28"/>
          <w:szCs w:val="28"/>
          <w:rtl/>
        </w:rPr>
        <w:t xml:space="preserve">۲۰۸۰. تهران؛ مجلس؛ شماره نسخه: ۴۰۱۳/۱۰</w:t>
      </w:r>
    </w:p>
    <w:p>
      <w:pPr>
        <w:pStyle w:val="BookText"/>
      </w:pPr>
      <w:r>
        <w:rPr>
          <w:rFonts w:ascii="IRNazanin" w:hAnsi="IRNazanin" w:eastAsia="IRNazanin" w:cs="IRNazanin"/>
          <w:lang w:bidi="fa-IR"/>
          <w:color w:val="111111"/>
          <w:sz w:val="28"/>
          <w:szCs w:val="28"/>
          <w:rtl/>
        </w:rPr>
        <w:t xml:space="preserve">ترجیع بند است؛ ترجیع: «که همه اوست هر چه هست یقین ***  جان جانان و دلبر و دل و دین»؛ بی کا، بی تا؛ خط: کهن و بسیار شیرین [ف: ۱۱ - ۱۷]</w:t>
      </w:r>
    </w:p>
    <w:p>
      <w:pPr>
        <w:pStyle w:val="BookText"/>
      </w:pPr>
      <w:r>
        <w:rPr>
          <w:rFonts w:ascii="IRNazanin" w:hAnsi="IRNazanin" w:eastAsia="IRNazanin" w:cs="IRNazanin"/>
          <w:lang w:bidi="fa-IR"/>
          <w:color w:val="111111"/>
          <w:sz w:val="28"/>
          <w:szCs w:val="28"/>
          <w:rtl/>
        </w:rPr>
        <w:t xml:space="preserve">۲۰۸۱ . تهران؛ مجلس؛ شماره نسخه: ۲۶۷۳/۴</w:t>
      </w:r>
    </w:p>
    <w:p>
      <w:pPr>
        <w:pStyle w:val="BookText"/>
      </w:pPr>
      <w:r>
        <w:rPr>
          <w:rFonts w:ascii="IRNazanin" w:hAnsi="IRNazanin" w:eastAsia="IRNazanin" w:cs="IRNazanin"/>
          <w:lang w:bidi="fa-IR"/>
          <w:color w:val="111111"/>
          <w:sz w:val="28"/>
          <w:szCs w:val="28"/>
          <w:rtl/>
        </w:rPr>
        <w:t xml:space="preserve">ترجیع بندها و اشعار از شعرای متصوف، در وحدت وجود شامل ترجیع بندهای شمس مغربی (۳۹۳-۳۹۹)، شيخ الرئيس (۳۹۹- ۴۰۴)، مشتاق (۴۰۵-۴۱۵)، هاتف (۴۱۵-۴۲۰)، شاه نعمة الله(420- 425و 429- 433)، حسین بینا (۴۲۶-۴۲۹ و ۴۵۷-۴۶۳ و  ۴۷۵-۴۶۷ )،نورعلیشاه که به نام عابد نوشته شده است(۴۳۳ -۴۴۰)، عطار (۴۶۷-۴۶۳)، عراقی (۴۷۶-۴۸۹)، هدایت (۴۹۰- ۴۹۹ )،کا: سید محمد صادق، بی تا؛ کاغذ:فرنگی ،جلد: مقوا عطف و سجاف تیماج قهوه ای،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۸ - ۴۳۶]</w:t>
      </w:r>
    </w:p>
    <w:p>
      <w:pPr>
        <w:pStyle w:val="BookText"/>
      </w:pPr>
      <w:r>
        <w:rPr>
          <w:rFonts w:ascii="IRNazanin" w:hAnsi="IRNazanin" w:eastAsia="IRNazanin" w:cs="IRNazanin"/>
          <w:lang w:bidi="fa-IR"/>
          <w:color w:val="111111"/>
          <w:sz w:val="28"/>
          <w:szCs w:val="28"/>
          <w:rtl/>
        </w:rPr>
        <w:t xml:space="preserve">۲۰۸۲ . قم؛ مرکز احیاء؛ شماره نسخه: ۸۸۲/۱
</w:t>
      </w:r>
    </w:p>
    <w:p>
      <w:pPr>
        <w:sectPr>
          <w:footerReference w:type="default" r:id="rId9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آغاز: نوجوانی ز سرحد ایران*** رفت سالی سوی فرنگستان/ بضرورت برفت و باز آمد *** بعد جندی بسوی این سامان</w:t>
      </w:r>
    </w:p>
    <w:p>
      <w:pPr>
        <w:pStyle w:val="BookText"/>
      </w:pPr>
      <w:r>
        <w:rPr>
          <w:rFonts w:ascii="IRNazanin" w:hAnsi="IRNazanin" w:eastAsia="IRNazanin" w:cs="IRNazanin"/>
          <w:lang w:bidi="fa-IR"/>
          <w:color w:val="111111"/>
          <w:sz w:val="28"/>
          <w:szCs w:val="28"/>
          <w:rtl/>
        </w:rPr>
        <w:t xml:space="preserve">نسخه اصلی: کتابخانه انجمن آثار ملی - تهران ۳۳۵. ترجیع بندی درباره فرنگی مآبان، ترجیع بندی است در یازده بند در اشارت به کسانی که به فرنگ رفته و به خیال خود تمام علوم را فرا گرفته و از همه داناترند؛ خط: نستعلیق زیبا ،کا: جلالی، بی تا؛ مجدول؛ ۲۰ ص [ عکسی ف: ۳ - ۷۵]</w:t>
      </w:r>
    </w:p>
    <w:p>
      <w:pPr>
        <w:pStyle w:val="BookText"/>
      </w:pPr>
      <w:r>
        <w:rPr>
          <w:rFonts w:ascii="IRNazanin" w:hAnsi="IRNazanin" w:eastAsia="IRNazanin" w:cs="IRNazanin"/>
          <w:lang w:bidi="fa-IR"/>
          <w:color w:val="111111"/>
          <w:sz w:val="28"/>
          <w:szCs w:val="28"/>
          <w:rtl/>
        </w:rPr>
        <w:t xml:space="preserve">۲۰۸۳. همدان؛ مدرسه غرب؛ شماره نسخه: ۶۱۸/۶</w:t>
      </w:r>
    </w:p>
    <w:p>
      <w:pPr>
        <w:pStyle w:val="BookText"/>
      </w:pPr>
      <w:r>
        <w:rPr>
          <w:rFonts w:ascii="IRNazanin" w:hAnsi="IRNazanin" w:eastAsia="IRNazanin" w:cs="IRNazanin"/>
          <w:lang w:bidi="fa-IR"/>
          <w:color w:val="111111"/>
          <w:sz w:val="28"/>
          <w:szCs w:val="28"/>
          <w:rtl/>
        </w:rPr>
        <w:t xml:space="preserve">آغاز: آنجا که نه نام و نه نشان هست *** جز عشق چه چیز ترجـماه هست / عشق است که می دهد خبر باز *** در عالم عشق اگر زبان هست؛ انجام: بعقل خویش همچون فلسفی تو *** مشو مغرور از تصدیق مگریز / که دیگر در رکاب مصطفی باز *** بمولانا رسـی و شمس تبریز... تو گویی هر چه خواهم دل مترسان ***که  خواهد بود دائم با تو الله / اگر دانی و گر هرگز ندانی *** تـو با حق تا ابد باقی بمانی</w:t>
      </w:r>
    </w:p>
    <w:p>
      <w:pPr>
        <w:pStyle w:val="BookText"/>
      </w:pPr>
      <w:r>
        <w:rPr>
          <w:rFonts w:ascii="IRNazanin" w:hAnsi="IRNazanin" w:eastAsia="IRNazanin" w:cs="IRNazanin"/>
          <w:lang w:bidi="fa-IR"/>
          <w:color w:val="111111"/>
          <w:sz w:val="28"/>
          <w:szCs w:val="28"/>
          <w:rtl/>
        </w:rPr>
        <w:t xml:space="preserve">هشت ترجیع بند است که در آخر ترجیع بندها این اشعار تکرار شده آخر ترجیع بند اول: «ما آینه صفات ذاتیم *** جام جم و چشمه حیاتیم آخر»، ترجیع بنددوم: «هرچه خواهی بگوی هـا یا هو *** ليس ما فى الوجود الا هو»، آخر ترجیع بند سوم: «دیده ام من جلوه های روی یار*** اول و آخر نهان و آشکار»، آخر ترجیع بند چهارم: «بجز ذات تو هستی جمله اسمی است *** تویی گنج وهمه اشیا طلسمی است»، آخر ترجیع بند پنجم: «چه جویی خدا را ز هر گفتگو *** خدا را ز مرد خدا را  باز جو آخر»،آخر  ترجیع بند ششم: «ز ما فاش این سخن اندر جهان است ***که آن عالم در این عـالم نهان است»، آخر ترجیع بند هفتم: «در کوی نیستی را هستی گذر نباشد *** بالاتر از سیاهی رنگ دگر نباشد»، آخر ترجیع بند هشتم: «اگر دانی اگر هرگز ندانی *** تو با حق تا ابد باقی بمانی؛ بی کا، بی تا؛ قطع: خشتی [رشت و همدان: ف: - ۱۴۱۹]</w:t>
      </w:r>
    </w:p>
    <w:p>
      <w:pPr>
        <w:pStyle w:val="BookText"/>
      </w:pPr>
      <w:r>
        <w:rPr>
          <w:rFonts w:ascii="IRNazanin" w:hAnsi="IRNazanin" w:eastAsia="IRNazanin" w:cs="IRNazanin"/>
          <w:lang w:bidi="fa-IR"/>
          <w:color w:val="111111"/>
          <w:sz w:val="28"/>
          <w:szCs w:val="28"/>
          <w:rtl/>
        </w:rPr>
        <w:t xml:space="preserve">۲۰۸۴ . تهران؛ مفتاح؛ شماره نسخه: ۱۱۸۱/۳</w:t>
      </w:r>
    </w:p>
    <w:p>
      <w:pPr>
        <w:pStyle w:val="BookText"/>
      </w:pPr>
      <w:r>
        <w:rPr>
          <w:rFonts w:ascii="IRNazanin" w:hAnsi="IRNazanin" w:eastAsia="IRNazanin" w:cs="IRNazanin"/>
          <w:lang w:bidi="fa-IR"/>
          <w:color w:val="111111"/>
          <w:sz w:val="28"/>
          <w:szCs w:val="28"/>
          <w:rtl/>
        </w:rPr>
        <w:t xml:space="preserve">چند بیت شعر ؛ خط: نستعليق ،كا: على غریب، بی تا؛ ۷ ص، قـطع: ربعی [نشریه: ۷ - ۲۶۹]</w:t>
      </w:r>
    </w:p>
    <w:p>
      <w:pPr>
        <w:pStyle w:val="BookText"/>
      </w:pPr>
      <w:r>
        <w:rPr>
          <w:rFonts w:ascii="IRNazanin" w:hAnsi="IRNazanin" w:eastAsia="IRNazanin" w:cs="IRNazanin"/>
          <w:lang w:bidi="fa-IR"/>
          <w:color w:val="111111"/>
          <w:sz w:val="28"/>
          <w:szCs w:val="28"/>
          <w:rtl/>
        </w:rPr>
        <w:t xml:space="preserve">۲۰۸۵ . قم؛ مسجد اعظم؛ شماره نسخه: ۳۸۴۴/۳</w:t>
      </w:r>
    </w:p>
    <w:p>
      <w:pPr>
        <w:pStyle w:val="BookText"/>
      </w:pPr>
      <w:r>
        <w:rPr>
          <w:rFonts w:ascii="IRNazanin" w:hAnsi="IRNazanin" w:eastAsia="IRNazanin" w:cs="IRNazanin"/>
          <w:lang w:bidi="fa-IR"/>
          <w:color w:val="111111"/>
          <w:sz w:val="28"/>
          <w:szCs w:val="28"/>
          <w:rtl/>
        </w:rPr>
        <w:t xml:space="preserve">آغاز: مسلم است تو را ای یگانه گوهر راد *** مقام مردمی ورتبه نکو بنیاد / یکی عطارد اگر [] تو در گردون *** یقین زنقطه خـامه برونت از تعداد؛ انجام: نمی جنبد به سال و ماه و هفته *** تمرگیده به خواب مرگ رفته / نجنبد بلکه غلطد درگه حمل *** شکـسته بسته هم چون مهره رمل</w:t>
      </w:r>
    </w:p>
    <w:p>
      <w:pPr>
        <w:pStyle w:val="BookText"/>
      </w:pPr>
      <w:r>
        <w:rPr>
          <w:rFonts w:ascii="IRNazanin" w:hAnsi="IRNazanin" w:eastAsia="IRNazanin" w:cs="IRNazanin"/>
          <w:lang w:bidi="fa-IR"/>
          <w:color w:val="111111"/>
          <w:sz w:val="28"/>
          <w:szCs w:val="28"/>
          <w:rtl/>
        </w:rPr>
        <w:t xml:space="preserve">مسمطی است در ذکر وقایع ملی و جهانی در دوره پس از جنـگ جهانی اول؛ خط: نستعلیق، بی کا، بی تا؛ فائده در بخشی از لغـات فرانسوی کتاب «شارل دوازدهم» و معنی فارسی آنها؛ جلد: مقوا، 6گ،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مخ: ۳ - ۱۲۸۷]</w:t>
      </w:r>
    </w:p>
    <w:p>
      <w:pPr>
        <w:pStyle w:val="BookText"/>
      </w:pPr>
      <w:r>
        <w:rPr>
          <w:rFonts w:ascii="IRNazanin" w:hAnsi="IRNazanin" w:eastAsia="IRNazanin" w:cs="IRNazanin"/>
          <w:lang w:bidi="fa-IR"/>
          <w:color w:val="111111"/>
          <w:sz w:val="28"/>
          <w:szCs w:val="28"/>
          <w:rtl/>
        </w:rPr>
        <w:t xml:space="preserve">۲۰۸۶. اصفهان؛ دانشگاه؛ شماره نسخه: ۴۲۸/۴</w:t>
      </w:r>
    </w:p>
    <w:p>
      <w:pPr>
        <w:pStyle w:val="BookText"/>
      </w:pPr>
      <w:r>
        <w:rPr>
          <w:rFonts w:ascii="IRNazanin" w:hAnsi="IRNazanin" w:eastAsia="IRNazanin" w:cs="IRNazanin"/>
          <w:lang w:bidi="fa-IR"/>
          <w:color w:val="111111"/>
          <w:sz w:val="28"/>
          <w:szCs w:val="28"/>
          <w:rtl/>
        </w:rPr>
        <w:t xml:space="preserve">سه بند شعر در مرثیه رکن الدین مسعود و پنج تن دیگر؛ خـط: نسخ، بی کا، بی تا ؛کاغذ: سمرقندی[ نشریه ۱۱ - ۹۴۸]</w:t>
      </w:r>
    </w:p>
    <w:p>
      <w:pPr>
        <w:pStyle w:val="BookText"/>
      </w:pPr>
      <w:r>
        <w:rPr>
          <w:rFonts w:ascii="IRNazanin" w:hAnsi="IRNazanin" w:eastAsia="IRNazanin" w:cs="IRNazanin"/>
          <w:lang w:bidi="fa-IR"/>
          <w:color w:val="111111"/>
          <w:sz w:val="28"/>
          <w:szCs w:val="28"/>
          <w:rtl/>
        </w:rPr>
        <w:t xml:space="preserve">۲۰۸۷. تهران؛ دانشگاه؛ شماره نسخه: ۳۷۴۳/۵۵-ف</w:t>
      </w:r>
    </w:p>
    <w:p>
      <w:pPr>
        <w:pStyle w:val="BookText"/>
      </w:pPr>
      <w:r>
        <w:rPr>
          <w:rFonts w:ascii="IRNazanin" w:hAnsi="IRNazanin" w:eastAsia="IRNazanin" w:cs="IRNazanin"/>
          <w:lang w:bidi="fa-IR"/>
          <w:color w:val="111111"/>
          <w:sz w:val="28"/>
          <w:szCs w:val="28"/>
          <w:rtl/>
        </w:rPr>
        <w:t xml:space="preserve">نسخه اصل: نسخه آقای دکتر حافظ فرمان فرمائیان.شعر عبدالعزیز خان در ستایش شاه سلیمان و پاسخ او؛ بی کا، بی تا ؛جلد: تيماج مشکی زرکوب مقوایی، اگ (۲۸۲ر)، قطع: ربعی  [فیلمها: ۲ - ۲۴۱]</w:t>
      </w:r>
    </w:p>
    <w:p>
      <w:pPr>
        <w:pStyle w:val="BookText"/>
      </w:pPr>
      <w:r>
        <w:rPr>
          <w:rFonts w:ascii="IRNazanin" w:hAnsi="IRNazanin" w:eastAsia="IRNazanin" w:cs="IRNazanin"/>
          <w:lang w:bidi="fa-IR"/>
          <w:color w:val="111111"/>
          <w:sz w:val="28"/>
          <w:szCs w:val="28"/>
          <w:rtl/>
        </w:rPr>
        <w:t xml:space="preserve">۲۰۸۸ . مشهد؛ گوهر شاد؛ شماره نسخه: ۱۵۲۲/۲</w:t>
      </w:r>
    </w:p>
    <w:p>
      <w:pPr>
        <w:pStyle w:val="BookText"/>
      </w:pPr>
      <w:r>
        <w:rPr>
          <w:rFonts w:ascii="IRNazanin" w:hAnsi="IRNazanin" w:eastAsia="IRNazanin" w:cs="IRNazanin"/>
          <w:lang w:bidi="fa-IR"/>
          <w:color w:val="111111"/>
          <w:sz w:val="28"/>
          <w:szCs w:val="28"/>
          <w:rtl/>
        </w:rPr>
        <w:t xml:space="preserve">ابیاتی از  لسانی ،شریفا ،آصفی ،ریاضی، هلالی؛ خط: نستعلیق، بی کا، بی تا؛ افتادگی: آغاز و انجام؛ كاغذ: الوان، جلد: تيماج قهوه ای لایه ای، ۱۴ سطر،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۴ - ۲۰۸۲]</w:t>
      </w:r>
    </w:p>
    <w:p>
      <w:pPr>
        <w:pStyle w:val="BookText"/>
      </w:pPr>
      <w:r>
        <w:rPr>
          <w:rFonts w:ascii="IRNazanin" w:hAnsi="IRNazanin" w:eastAsia="IRNazanin" w:cs="IRNazanin"/>
          <w:lang w:bidi="fa-IR"/>
          <w:color w:val="111111"/>
          <w:sz w:val="28"/>
          <w:szCs w:val="28"/>
          <w:rtl/>
        </w:rPr>
        <w:t xml:space="preserve">۲۰۸۹ . تهران؛ مروی؛ شماره نسخه: ۱۰۴۱/۱</w:t>
      </w:r>
    </w:p>
    <w:p>
      <w:pPr>
        <w:pStyle w:val="BookText"/>
      </w:pPr>
      <w:r>
        <w:rPr>
          <w:rFonts w:ascii="IRNazanin" w:hAnsi="IRNazanin" w:eastAsia="IRNazanin" w:cs="IRNazanin"/>
          <w:lang w:bidi="fa-IR"/>
          <w:color w:val="111111"/>
          <w:sz w:val="28"/>
          <w:szCs w:val="28"/>
          <w:rtl/>
        </w:rPr>
        <w:t xml:space="preserve">آغاز: ای حبیبان جملگی اگه شويد *** جملگی ناظر سوی الله شوید / جمله مجذوب جمال الله شوید*** جمله خدامان این درگه  شوید؛</w:t>
      </w:r>
    </w:p>
    <w:p>
      <w:pPr>
        <w:pStyle w:val="BookText"/>
      </w:pPr>
      <w:r>
        <w:rPr>
          <w:rFonts w:ascii="IRNazanin" w:hAnsi="IRNazanin" w:eastAsia="IRNazanin" w:cs="IRNazanin"/>
          <w:lang w:bidi="fa-IR"/>
          <w:color w:val="111111"/>
          <w:sz w:val="28"/>
          <w:szCs w:val="28"/>
          <w:rtl/>
        </w:rPr>
        <w:t xml:space="preserve">ناقص؛ بی کا، بی تا؛ ۱۵گ، قطع: رقعی [ف: ۳۳۴]</w:t>
      </w:r>
    </w:p>
    <w:p>
      <w:pPr>
        <w:pStyle w:val="BookText"/>
      </w:pPr>
      <w:r>
        <w:rPr>
          <w:rFonts w:ascii="IRNazanin" w:hAnsi="IRNazanin" w:eastAsia="IRNazanin" w:cs="IRNazanin"/>
          <w:lang w:bidi="fa-IR"/>
          <w:color w:val="111111"/>
          <w:sz w:val="28"/>
          <w:szCs w:val="28"/>
          <w:rtl/>
        </w:rPr>
        <w:t xml:space="preserve">۲۰۹۰ . تهران؛ دانشگاه؛ شماره نسخه: ۷۳۳۱/۴</w:t>
      </w:r>
    </w:p>
    <w:p>
      <w:pPr>
        <w:pStyle w:val="BookText"/>
      </w:pPr>
      <w:r>
        <w:rPr>
          <w:rFonts w:ascii="IRNazanin" w:hAnsi="IRNazanin" w:eastAsia="IRNazanin" w:cs="IRNazanin"/>
          <w:lang w:bidi="fa-IR"/>
          <w:color w:val="111111"/>
          <w:sz w:val="28"/>
          <w:szCs w:val="28"/>
          <w:rtl/>
        </w:rPr>
        <w:t xml:space="preserve">شعرهای جامی و قطب الدین و عبدی و دیگران بی کا، بی تا؛ کاغذ: سپاهانی، جلد: نو، ۱۲گ (۶۴پ-۷۶پ)، ۱۶ سطر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،قطع ،بغلی،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۱۶ - ۵۱۴]</w:t>
      </w:r>
    </w:p>
    <w:p>
      <w:pPr>
        <w:pStyle w:val="BookText"/>
      </w:pPr>
      <w:r>
        <w:rPr>
          <w:rFonts w:ascii="IRNazanin" w:hAnsi="IRNazanin" w:eastAsia="IRNazanin" w:cs="IRNazanin"/>
          <w:lang w:bidi="fa-IR"/>
          <w:color w:val="111111"/>
          <w:sz w:val="28"/>
          <w:szCs w:val="28"/>
          <w:rtl/>
        </w:rPr>
        <w:t xml:space="preserve">۲۰۹۱. تهران؛ ملک؛ شماره نسخه: ۱۲۳۲/۴۴</w:t>
      </w:r>
    </w:p>
    <w:p>
      <w:pPr>
        <w:pStyle w:val="BookText"/>
      </w:pPr>
      <w:r>
        <w:rPr>
          <w:rFonts w:ascii="IRNazanin" w:hAnsi="IRNazanin" w:eastAsia="IRNazanin" w:cs="IRNazanin"/>
          <w:lang w:bidi="fa-IR"/>
          <w:color w:val="111111"/>
          <w:sz w:val="28"/>
          <w:szCs w:val="28"/>
          <w:rtl/>
        </w:rPr>
        <w:t xml:space="preserve">از نظیری و محمد شریف عارف خنجی و صائب؛ خط: نسخ،  بی کا، بی تا [ف: ۵ - ۲۴۹]</w:t>
      </w:r>
    </w:p>
    <w:p>
      <w:pPr>
        <w:pStyle w:val="BookText"/>
      </w:pPr>
      <w:r>
        <w:rPr>
          <w:rFonts w:ascii="IRNazanin" w:hAnsi="IRNazanin" w:eastAsia="IRNazanin" w:cs="IRNazanin"/>
          <w:lang w:bidi="fa-IR"/>
          <w:color w:val="111111"/>
          <w:sz w:val="28"/>
          <w:szCs w:val="28"/>
          <w:rtl/>
        </w:rPr>
        <w:t xml:space="preserve">۲۰۹۲. تهران؛ مدارک فرهنگی؛ شماره نسخه: ۷۲</w:t>
      </w:r>
    </w:p>
    <w:p>
      <w:pPr>
        <w:pStyle w:val="BookText"/>
      </w:pPr>
      <w:r>
        <w:rPr>
          <w:rFonts w:ascii="IRNazanin" w:hAnsi="IRNazanin" w:eastAsia="IRNazanin" w:cs="IRNazanin"/>
          <w:lang w:bidi="fa-IR"/>
          <w:color w:val="111111"/>
          <w:sz w:val="28"/>
          <w:szCs w:val="28"/>
          <w:rtl/>
        </w:rPr>
        <w:t xml:space="preserve">آغاز: بسمله حمد حامد بر خدای عالم انسی و جان پس درود مصطفی و هم بر اهل خاندان؛ انجام: پس قدم مردانه در راه خدا باید زدن عاشقانه آن بلد را مرحبا، باید زدن ؟</w:t>
      </w:r>
    </w:p>
    <w:p>
      <w:pPr>
        <w:pStyle w:val="BookText"/>
      </w:pPr>
      <w:r>
        <w:rPr>
          <w:rFonts w:ascii="IRNazanin" w:hAnsi="IRNazanin" w:eastAsia="IRNazanin" w:cs="IRNazanin"/>
          <w:lang w:bidi="fa-IR"/>
          <w:color w:val="111111"/>
          <w:sz w:val="28"/>
          <w:szCs w:val="28"/>
          <w:rtl/>
        </w:rPr>
        <w:t xml:space="preserve">شعری است در لغت از فنا، بديعي و نيز قنية الفتيان از صدر بدر، اشعار متفرقه از سبزواری، خضری قزوینی، باباافضل کاشی، حکیم سنائی و ...؛ خط: شکسته نستعلیق متوسط، بی کا، بی تا؛کاغذ: فرنگی مایل به حنایی و حنایی، جلد: مقوایی روکشی کاغذ آبی عطف تیماج قهوه ای، ۲۳گ، مختلف السطر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۶۵]</w:t>
      </w:r>
    </w:p>
    <w:p>
      <w:pPr>
        <w:pStyle w:val="BookText"/>
      </w:pPr>
      <w:r>
        <w:rPr>
          <w:rFonts w:ascii="IRNazanin" w:hAnsi="IRNazanin" w:eastAsia="IRNazanin" w:cs="IRNazanin"/>
          <w:lang w:bidi="fa-IR"/>
          <w:color w:val="111111"/>
          <w:sz w:val="28"/>
          <w:szCs w:val="28"/>
          <w:rtl/>
        </w:rPr>
        <w:t xml:space="preserve">۲۰۹۳. تهران؛ ملک؛ شماره نسخه: ۲۵۷۱/۳۵</w:t>
      </w:r>
    </w:p>
    <w:p>
      <w:pPr>
        <w:pStyle w:val="BookText"/>
      </w:pPr>
      <w:r>
        <w:rPr>
          <w:rFonts w:ascii="IRNazanin" w:hAnsi="IRNazanin" w:eastAsia="IRNazanin" w:cs="IRNazanin"/>
          <w:lang w:bidi="fa-IR"/>
          <w:color w:val="111111"/>
          <w:sz w:val="28"/>
          <w:szCs w:val="28"/>
          <w:rtl/>
        </w:rPr>
        <w:t xml:space="preserve">آغاز: بسمله. پیاله اول قدرت، درون قدرت حق گشت ظاهر *** گران شد معرفت از آب ظاهر. القدرة الله تعالى و تقدس</w:t>
      </w:r>
    </w:p>
    <w:p>
      <w:pPr>
        <w:pStyle w:val="BookText"/>
      </w:pPr>
      <w:r>
        <w:rPr>
          <w:rFonts w:ascii="IRNazanin" w:hAnsi="IRNazanin" w:eastAsia="IRNazanin" w:cs="IRNazanin"/>
          <w:lang w:bidi="fa-IR"/>
          <w:color w:val="111111"/>
          <w:sz w:val="28"/>
          <w:szCs w:val="28"/>
          <w:rtl/>
        </w:rPr>
        <w:t xml:space="preserve">شعری چند فارسی با عنوان پیاله در شرح بعضی اخبار و آیات؛ خط: شکسته نستعلیق، بی کا، بی تا [ف: ۶ - ۵۳]</w:t>
      </w:r>
    </w:p>
    <w:p>
      <w:pPr>
        <w:pStyle w:val="BookText"/>
      </w:pPr>
      <w:r>
        <w:rPr>
          <w:rFonts w:ascii="IRNazanin" w:hAnsi="IRNazanin" w:eastAsia="IRNazanin" w:cs="IRNazanin"/>
          <w:lang w:bidi="fa-IR"/>
          <w:color w:val="111111"/>
          <w:sz w:val="28"/>
          <w:szCs w:val="28"/>
          <w:rtl/>
        </w:rPr>
        <w:t xml:space="preserve">۲۰۹۴. تهران؛ ملک؛ شماره نسخه: ۲۵۷۱/۳۴</w:t>
      </w:r>
    </w:p>
    <w:p>
      <w:pPr>
        <w:pStyle w:val="BookText"/>
      </w:pPr>
      <w:r>
        <w:rPr>
          <w:rFonts w:ascii="IRNazanin" w:hAnsi="IRNazanin" w:eastAsia="IRNazanin" w:cs="IRNazanin"/>
          <w:lang w:bidi="fa-IR"/>
          <w:color w:val="111111"/>
          <w:sz w:val="28"/>
          <w:szCs w:val="28"/>
          <w:rtl/>
        </w:rPr>
        <w:t xml:space="preserve">آغاز: گوش دار این سخن زمن لا شاد؟ *** تا بیابی طریق راه نجات</w:t>
      </w:r>
    </w:p>
    <w:p>
      <w:pPr>
        <w:pStyle w:val="BookText"/>
      </w:pPr>
      <w:r>
        <w:rPr>
          <w:rFonts w:ascii="IRNazanin" w:hAnsi="IRNazanin" w:eastAsia="IRNazanin" w:cs="IRNazanin"/>
          <w:lang w:bidi="fa-IR"/>
          <w:color w:val="111111"/>
          <w:sz w:val="28"/>
          <w:szCs w:val="28"/>
          <w:rtl/>
        </w:rPr>
        <w:t xml:space="preserve">شعر در تصوف است، ثبوت دیگجوش فقیر خاکسار پاک طینت که فرموده شاه سید جلال است مشهور به چهار تکبیر؛ خط: شکسته نستعلیق، بی کا، بی تا [ف: ۶ - ۵۳]
</w:t>
      </w:r>
    </w:p>
    <w:p>
      <w:pPr>
        <w:sectPr>
          <w:footerReference w:type="default" r:id="rId9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۲۰۹۵. تهران؛ دانشگاه؛ شماره نسخه: ۱۹۹۷/۳۶</w:t>
      </w:r>
    </w:p>
    <w:p>
      <w:pPr>
        <w:pStyle w:val="BookText"/>
      </w:pPr>
      <w:r>
        <w:rPr>
          <w:rFonts w:ascii="IRNazanin" w:hAnsi="IRNazanin" w:eastAsia="IRNazanin" w:cs="IRNazanin"/>
          <w:lang w:bidi="fa-IR"/>
          <w:color w:val="111111"/>
          <w:sz w:val="28"/>
          <w:szCs w:val="28"/>
          <w:rtl/>
        </w:rPr>
        <w:t xml:space="preserve">آغاز: زهی باز فرخنده شهریار *** که سیمرغ صیداست و نسرین شکار ؛انجام: بگردش بود تا در آفاق مهر *** بفرمان او باد باز سپهر</w:t>
      </w:r>
    </w:p>
    <w:p>
      <w:pPr>
        <w:pStyle w:val="BookText"/>
      </w:pPr>
      <w:r>
        <w:rPr>
          <w:rFonts w:ascii="IRNazanin" w:hAnsi="IRNazanin" w:eastAsia="IRNazanin" w:cs="IRNazanin"/>
          <w:lang w:bidi="fa-IR"/>
          <w:color w:val="111111"/>
          <w:sz w:val="28"/>
          <w:szCs w:val="28"/>
          <w:rtl/>
        </w:rPr>
        <w:t xml:space="preserve">شعر سرور رشتی است ؛خط: نستعلیق، بی کا، بی تا؛ کاغذ: سپاهانی ،جلد: مقوا عطف میشن، اص (۱۱۹ر)، ۱۵ سـطر (9/5</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۲۴/۵سم [ف: ۸ - ۶۱۵]</w:t>
      </w:r>
    </w:p>
    <w:p>
      <w:pPr>
        <w:pStyle w:val="BookText"/>
      </w:pPr>
      <w:r>
        <w:rPr>
          <w:rFonts w:ascii="IRNazanin" w:hAnsi="IRNazanin" w:eastAsia="IRNazanin" w:cs="IRNazanin"/>
          <w:lang w:bidi="fa-IR"/>
          <w:color w:val="111111"/>
          <w:sz w:val="28"/>
          <w:szCs w:val="28"/>
          <w:rtl/>
        </w:rPr>
        <w:t xml:space="preserve">۲۰۹۶. تهران؛ فرمانفرمائیان، حافظ (دکتر)؛ شماره نسخه: بدون شماره/ ۳۵</w:t>
      </w:r>
    </w:p>
    <w:p>
      <w:pPr>
        <w:pStyle w:val="BookText"/>
      </w:pPr>
      <w:r>
        <w:rPr>
          <w:rFonts w:ascii="IRNazanin" w:hAnsi="IRNazanin" w:eastAsia="IRNazanin" w:cs="IRNazanin"/>
          <w:lang w:bidi="fa-IR"/>
          <w:color w:val="111111"/>
          <w:sz w:val="28"/>
          <w:szCs w:val="28"/>
          <w:rtl/>
        </w:rPr>
        <w:t xml:space="preserve">شعر شاه عباس دوم و رفیعا است؛ بی کا، بی تا ۱ص (272ر) [نشریه: ۷ - ۵۵۳]</w:t>
      </w:r>
    </w:p>
    <w:p>
      <w:pPr>
        <w:pStyle w:val="BookText"/>
      </w:pPr>
      <w:r>
        <w:rPr>
          <w:rFonts w:ascii="IRNazanin" w:hAnsi="IRNazanin" w:eastAsia="IRNazanin" w:cs="IRNazanin"/>
          <w:lang w:bidi="fa-IR"/>
          <w:color w:val="111111"/>
          <w:sz w:val="28"/>
          <w:szCs w:val="28"/>
          <w:rtl/>
        </w:rPr>
        <w:t xml:space="preserve">۲۰۹۷. تهران ،فرمانفرمائیان حافظ (دکتر)؛ شماره نسخه: بدون شماره/3</w:t>
      </w:r>
    </w:p>
    <w:p>
      <w:pPr>
        <w:pStyle w:val="BookText"/>
      </w:pPr>
      <w:r>
        <w:rPr>
          <w:rFonts w:ascii="IRNazanin" w:hAnsi="IRNazanin" w:eastAsia="IRNazanin" w:cs="IRNazanin"/>
          <w:lang w:bidi="fa-IR"/>
          <w:color w:val="111111"/>
          <w:sz w:val="28"/>
          <w:szCs w:val="28"/>
          <w:rtl/>
        </w:rPr>
        <w:t xml:space="preserve">شعر صفی قلی بیک است؛ بی کا، بی تا؛ پس از این دنباله رساله او تاجی است (۱۷۸ ر و پ)؛ جلد: تیماج مشکی زرکوب مقوایی، اص ،(۱۷۳ پ) قطع: ربعی [ نشریه: ۷ - ۵۵۰]</w:t>
      </w:r>
    </w:p>
    <w:p>
      <w:pPr>
        <w:pStyle w:val="BookText"/>
      </w:pPr>
      <w:r>
        <w:rPr>
          <w:rFonts w:ascii="IRNazanin" w:hAnsi="IRNazanin" w:eastAsia="IRNazanin" w:cs="IRNazanin"/>
          <w:lang w:bidi="fa-IR"/>
          <w:color w:val="111111"/>
          <w:sz w:val="28"/>
          <w:szCs w:val="28"/>
          <w:rtl/>
        </w:rPr>
        <w:t xml:space="preserve">۲۰۹۸. رشت؛ شاد قزوینی؛ شماره نسخه: ۱۱/۱۰</w:t>
      </w:r>
    </w:p>
    <w:p>
      <w:pPr>
        <w:pStyle w:val="BookText"/>
      </w:pPr>
      <w:r>
        <w:rPr>
          <w:rFonts w:ascii="IRNazanin" w:hAnsi="IRNazanin" w:eastAsia="IRNazanin" w:cs="IRNazanin"/>
          <w:lang w:bidi="fa-IR"/>
          <w:color w:val="111111"/>
          <w:sz w:val="28"/>
          <w:szCs w:val="28"/>
          <w:rtl/>
        </w:rPr>
        <w:t xml:space="preserve">شعر صیداوی است؛ بی کا، بی تا [ نشریه: ۵ - ۳۹۶]</w:t>
      </w:r>
    </w:p>
    <w:p>
      <w:pPr>
        <w:pStyle w:val="BookText"/>
      </w:pPr>
      <w:r>
        <w:rPr>
          <w:rFonts w:ascii="IRNazanin" w:hAnsi="IRNazanin" w:eastAsia="IRNazanin" w:cs="IRNazanin"/>
          <w:lang w:bidi="fa-IR"/>
          <w:color w:val="111111"/>
          <w:sz w:val="28"/>
          <w:szCs w:val="28"/>
          <w:rtl/>
        </w:rPr>
        <w:t xml:space="preserve">۲۰۹۹. تهران؛ فرمانفرمائیان حافظ (دکتر)؛ شماره نسخه: بدون  شماره/ ۵۵</w:t>
      </w:r>
    </w:p>
    <w:p>
      <w:pPr>
        <w:pStyle w:val="BookText"/>
      </w:pPr>
      <w:r>
        <w:rPr>
          <w:rFonts w:ascii="IRNazanin" w:hAnsi="IRNazanin" w:eastAsia="IRNazanin" w:cs="IRNazanin"/>
          <w:lang w:bidi="fa-IR"/>
          <w:color w:val="111111"/>
          <w:sz w:val="28"/>
          <w:szCs w:val="28"/>
          <w:rtl/>
        </w:rPr>
        <w:t xml:space="preserve">شعر عبدالعزیزخان در ستایش شاه سلمان و پاسخ او؛ بی کا، بی تا؛ اص (۲۸۲ ر) [نشریه: ۷ - ۵۵۴]</w:t>
      </w:r>
    </w:p>
    <w:p>
      <w:pPr>
        <w:pStyle w:val="BookText"/>
      </w:pPr>
      <w:r>
        <w:rPr>
          <w:rFonts w:ascii="IRNazanin" w:hAnsi="IRNazanin" w:eastAsia="IRNazanin" w:cs="IRNazanin"/>
          <w:lang w:bidi="fa-IR"/>
          <w:color w:val="111111"/>
          <w:sz w:val="28"/>
          <w:szCs w:val="28"/>
          <w:rtl/>
        </w:rPr>
        <w:t xml:space="preserve">۲۱۰۰. تهران؛ فرمانفرمائیان حافظ (دکتر)؛ شماره نسخه: بدون شماره /8</w:t>
      </w:r>
    </w:p>
    <w:p>
      <w:pPr>
        <w:pStyle w:val="BookText"/>
      </w:pPr>
      <w:r>
        <w:rPr>
          <w:rFonts w:ascii="IRNazanin" w:hAnsi="IRNazanin" w:eastAsia="IRNazanin" w:cs="IRNazanin"/>
          <w:lang w:bidi="fa-IR"/>
          <w:color w:val="111111"/>
          <w:sz w:val="28"/>
          <w:szCs w:val="28"/>
          <w:rtl/>
        </w:rPr>
        <w:t xml:space="preserve">شعر علی خان با عنوان «المحرره»؛ بی کا، بی تا ؛جلد: تیماج مشـکی زرکوب مقوایی ،ربعی، ۱ص (۱۷۳پ) [نشریه: ۷ - ۵۵۱]</w:t>
      </w:r>
    </w:p>
    <w:p>
      <w:pPr>
        <w:pStyle w:val="BookText"/>
      </w:pPr>
      <w:r>
        <w:rPr>
          <w:rFonts w:ascii="Times New Roman" w:hAnsi="Times New Roman" w:eastAsia="Times New Roman" w:cs="Times New Roman"/>
          <w:lang w:val="en-US" w:bidi="en-US"/>
          <w:color w:val="111111"/>
          <w:sz w:val="28"/>
          <w:szCs w:val="28"/>
          <w:rtl/>
        </w:rPr>
        <w:t xml:space="preserve">2101.</w:t>
      </w:r>
    </w:p>
    <w:p>
      <w:pPr>
        <w:pStyle w:val="BookText"/>
      </w:pPr>
      <w:r>
        <w:rPr>
          <w:rFonts w:ascii="IRNazanin" w:hAnsi="IRNazanin" w:eastAsia="IRNazanin" w:cs="IRNazanin"/>
          <w:lang w:bidi="fa-IR"/>
          <w:color w:val="111111"/>
          <w:sz w:val="28"/>
          <w:szCs w:val="28"/>
          <w:rtl/>
        </w:rPr>
        <w:t xml:space="preserve">تهران؛ دانشگاه؛ شماره نسخه: ۲۷۸/۲-ف</w:t>
      </w:r>
    </w:p>
    <w:p>
      <w:pPr>
        <w:pStyle w:val="BookText"/>
      </w:pPr>
      <w:r>
        <w:rPr>
          <w:rFonts w:ascii="IRNazanin" w:hAnsi="IRNazanin" w:eastAsia="IRNazanin" w:cs="IRNazanin"/>
          <w:lang w:bidi="fa-IR"/>
          <w:color w:val="111111"/>
          <w:sz w:val="28"/>
          <w:szCs w:val="28"/>
          <w:rtl/>
        </w:rPr>
        <w:t xml:space="preserve">نسخه اصل: اسمعیل صائبش ۲۰۵؛ خط: نستعلیق، کا: گـویا عبدالله شریف الدین حسینی، بی تا، ۱گ (۳۴-۳۵) [فیلمها: ۱- 449]</w:t>
      </w:r>
    </w:p>
    <w:p>
      <w:pPr>
        <w:pStyle w:val="BookText"/>
      </w:pPr>
      <w:r>
        <w:rPr>
          <w:rFonts w:ascii="Times New Roman" w:hAnsi="Times New Roman" w:eastAsia="Times New Roman" w:cs="Times New Roman"/>
          <w:lang w:val="en-US" w:bidi="en-US"/>
          <w:color w:val="111111"/>
          <w:sz w:val="28"/>
          <w:szCs w:val="28"/>
          <w:rtl/>
        </w:rPr>
        <w:t xml:space="preserve">2102.</w:t>
      </w:r>
    </w:p>
    <w:p>
      <w:pPr>
        <w:pStyle w:val="BookText"/>
      </w:pPr>
      <w:r>
        <w:rPr>
          <w:rFonts w:ascii="IRNazanin" w:hAnsi="IRNazanin" w:eastAsia="IRNazanin" w:cs="IRNazanin"/>
          <w:lang w:bidi="fa-IR"/>
          <w:color w:val="111111"/>
          <w:sz w:val="28"/>
          <w:szCs w:val="28"/>
          <w:rtl/>
        </w:rPr>
        <w:t xml:space="preserve">تهران دانشگاه؛ شماره نسخه: ۴۳۸/۱۷-ف</w:t>
      </w:r>
    </w:p>
    <w:p>
      <w:pPr>
        <w:pStyle w:val="BookText"/>
      </w:pPr>
      <w:r>
        <w:rPr>
          <w:rFonts w:ascii="IRNazanin" w:hAnsi="IRNazanin" w:eastAsia="IRNazanin" w:cs="IRNazanin"/>
          <w:lang w:bidi="fa-IR"/>
          <w:color w:val="111111"/>
          <w:sz w:val="28"/>
          <w:szCs w:val="28"/>
          <w:rtl/>
        </w:rPr>
        <w:t xml:space="preserve">نسخه اصل: ایاصوفیا ش ۴۸۵۳. شعر است در ص ع از اثبات النـبوة یاد شده که در نسخه نیست؛ بی کا، بی تا؛ ۲گ (۱۵۵ - 157) [ فیلمها: ۱ - ۴۷۳]</w:t>
      </w:r>
    </w:p>
    <w:p>
      <w:pPr>
        <w:pStyle w:val="BookText"/>
      </w:pPr>
      <w:r>
        <w:rPr>
          <w:rFonts w:ascii="IRNazanin" w:hAnsi="IRNazanin" w:eastAsia="IRNazanin" w:cs="IRNazanin"/>
          <w:lang w:bidi="fa-IR"/>
          <w:color w:val="111111"/>
          <w:sz w:val="28"/>
          <w:szCs w:val="28"/>
          <w:rtl/>
        </w:rPr>
        <w:t xml:space="preserve">۲۱۰۳. تهران؛ دانشگاه؛ شماره نسخه: ۳۶۴۸/۵-ف</w:t>
      </w:r>
    </w:p>
    <w:p>
      <w:pPr>
        <w:pStyle w:val="BookText"/>
      </w:pPr>
      <w:r>
        <w:rPr>
          <w:rFonts w:ascii="IRNazanin" w:hAnsi="IRNazanin" w:eastAsia="IRNazanin" w:cs="IRNazanin"/>
          <w:lang w:bidi="fa-IR"/>
          <w:color w:val="111111"/>
          <w:sz w:val="28"/>
          <w:szCs w:val="28"/>
          <w:rtl/>
        </w:rPr>
        <w:t xml:space="preserve">نسخه اصل: کوپرولو ش ۹۰۲. ۵ بیت از عماد اصفهانی؛ بی کا، بی تا [فیلمها: ۲ - ۲۱۰]</w:t>
      </w:r>
    </w:p>
    <w:p>
      <w:pPr>
        <w:pStyle w:val="BookText"/>
      </w:pPr>
      <w:r>
        <w:rPr>
          <w:rFonts w:ascii="IRNazanin" w:hAnsi="IRNazanin" w:eastAsia="IRNazanin" w:cs="IRNazanin"/>
          <w:lang w:bidi="fa-IR"/>
          <w:color w:val="111111"/>
          <w:sz w:val="28"/>
          <w:szCs w:val="28"/>
          <w:rtl/>
        </w:rPr>
        <w:t xml:space="preserve">۲۱۰۴. تهران؛ دانشگاه؛ شماره نسخه: ۳۸۰۰/۴-ف</w:t>
      </w:r>
    </w:p>
    <w:p>
      <w:pPr>
        <w:pStyle w:val="BookText"/>
      </w:pPr>
      <w:r>
        <w:rPr>
          <w:rFonts w:ascii="IRNazanin" w:hAnsi="IRNazanin" w:eastAsia="IRNazanin" w:cs="IRNazanin"/>
          <w:lang w:bidi="fa-IR"/>
          <w:color w:val="111111"/>
          <w:sz w:val="28"/>
          <w:szCs w:val="28"/>
          <w:rtl/>
        </w:rPr>
        <w:t xml:space="preserve">خط: نستعلیق، کا: عبدالرشید، بی تا [فیلمها: ۲ - ۲۵۰]</w:t>
      </w:r>
    </w:p>
    <w:p>
      <w:pPr>
        <w:pStyle w:val="BookText"/>
      </w:pPr>
      <w:r>
        <w:rPr>
          <w:rFonts w:ascii="IRNazanin" w:hAnsi="IRNazanin" w:eastAsia="IRNazanin" w:cs="IRNazanin"/>
          <w:lang w:bidi="fa-IR"/>
          <w:color w:val="111111"/>
          <w:sz w:val="28"/>
          <w:szCs w:val="28"/>
          <w:rtl/>
        </w:rPr>
        <w:t xml:space="preserve">۲۱۰۵. تهران؛ دانشگاه؛ شماره نسخه: ۳۸۰۰/۶-ف</w:t>
      </w:r>
    </w:p>
    <w:p>
      <w:pPr>
        <w:pStyle w:val="BookText"/>
      </w:pPr>
      <w:r>
        <w:rPr>
          <w:rFonts w:ascii="IRNazanin" w:hAnsi="IRNazanin" w:eastAsia="IRNazanin" w:cs="IRNazanin"/>
          <w:lang w:bidi="fa-IR"/>
          <w:color w:val="111111"/>
          <w:sz w:val="28"/>
          <w:szCs w:val="28"/>
          <w:rtl/>
        </w:rPr>
        <w:t xml:space="preserve">خط: نستعلیق، بی کا، بی تا [فیلمها: ۲ - ۲۵۰]</w:t>
      </w:r>
    </w:p>
    <w:p>
      <w:pPr>
        <w:pStyle w:val="BookText"/>
      </w:pPr>
      <w:r>
        <w:rPr>
          <w:rFonts w:ascii="IRNazanin" w:hAnsi="IRNazanin" w:eastAsia="IRNazanin" w:cs="IRNazanin"/>
          <w:lang w:bidi="fa-IR"/>
          <w:color w:val="111111"/>
          <w:sz w:val="28"/>
          <w:szCs w:val="28"/>
          <w:rtl/>
        </w:rPr>
        <w:t xml:space="preserve">۲۱۰۶. تهران؛ دانشگاه؛ شماره نسخه: ۷۶۲۴/۲</w:t>
      </w:r>
    </w:p>
    <w:p>
      <w:pPr>
        <w:pStyle w:val="BookText"/>
      </w:pPr>
      <w:r>
        <w:rPr>
          <w:rFonts w:ascii="IRNazanin" w:hAnsi="IRNazanin" w:eastAsia="IRNazanin" w:cs="IRNazanin"/>
          <w:lang w:bidi="fa-IR"/>
          <w:color w:val="111111"/>
          <w:sz w:val="28"/>
          <w:szCs w:val="28"/>
          <w:rtl/>
        </w:rPr>
        <w:t xml:space="preserve">شعر وخواص اشیاء و طلسمات؛ بی کا، بی تا؛ کاغذ: فرنگی، جـلد: تیماج  مشکی، ۱۶گ (۳پ-۱۹ر)، ۱۶ سطر (6/5</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قـطع: بغلی،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۱۶ - ۶۵۸]</w:t>
      </w:r>
    </w:p>
    <w:p>
      <w:pPr>
        <w:pStyle w:val="BookText"/>
      </w:pPr>
      <w:r>
        <w:rPr>
          <w:rFonts w:ascii="IRNazanin" w:hAnsi="IRNazanin" w:eastAsia="IRNazanin" w:cs="IRNazanin"/>
          <w:lang w:bidi="fa-IR"/>
          <w:color w:val="111111"/>
          <w:sz w:val="28"/>
          <w:szCs w:val="28"/>
          <w:rtl/>
        </w:rPr>
        <w:t xml:space="preserve">۲۱۰۷ . تهران؛ دانشگاه؛ شماره نسخه: ۹۴۴۰/۱۷</w:t>
      </w:r>
    </w:p>
    <w:p>
      <w:pPr>
        <w:pStyle w:val="BookText"/>
      </w:pPr>
      <w:r>
        <w:rPr>
          <w:rFonts w:ascii="IRNazanin" w:hAnsi="IRNazanin" w:eastAsia="IRNazanin" w:cs="IRNazanin"/>
          <w:lang w:bidi="fa-IR"/>
          <w:color w:val="111111"/>
          <w:sz w:val="28"/>
          <w:szCs w:val="28"/>
          <w:rtl/>
        </w:rPr>
        <w:t xml:space="preserve">شعر فارسی کاتبی و نسیمی و سنائی و جامی و دیباچه دفتر پنجم مثنوی مولوی و شعر ترکی ساعتی؛ خط: نستعلیق  ترک، بی کا، بی تا؛ کاغذ: استانبولی،جلد: مقوا عطف تیماج تریاکی به ربعی، ۲۱ ص (۳۱۳-۲۹۳)، ۱۸ سطر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 ،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۱۶/۵سم  [ ف: ۱۷ - ۳۶۹]</w:t>
      </w:r>
    </w:p>
    <w:p>
      <w:pPr>
        <w:pStyle w:val="BookText"/>
      </w:pPr>
      <w:r>
        <w:rPr>
          <w:rFonts w:ascii="IRNazanin" w:hAnsi="IRNazanin" w:eastAsia="IRNazanin" w:cs="IRNazanin"/>
          <w:lang w:bidi="fa-IR"/>
          <w:color w:val="111111"/>
          <w:sz w:val="28"/>
          <w:szCs w:val="28"/>
          <w:rtl/>
        </w:rPr>
        <w:t xml:space="preserve">۲۱۰۸. تهران؛ مجلس؛ شماره نسخه: ۲۷۶۴/۹</w:t>
      </w:r>
    </w:p>
    <w:p>
      <w:pPr>
        <w:pStyle w:val="BookText"/>
      </w:pPr>
      <w:r>
        <w:rPr>
          <w:rFonts w:ascii="IRNazanin" w:hAnsi="IRNazanin" w:eastAsia="IRNazanin" w:cs="IRNazanin"/>
          <w:lang w:bidi="fa-IR"/>
          <w:color w:val="111111"/>
          <w:sz w:val="28"/>
          <w:szCs w:val="28"/>
          <w:rtl/>
        </w:rPr>
        <w:t xml:space="preserve">آغاز: مردی در عرب نامش حمام *** او سه دختر داشت محروم از مرام/ هر سه در باغ جوانی جلوه گر *** نار پستان سروقد سنبل *** ابر؛ انجام: این بگفت آن دختر و بگریخت زود *** از درون حجره در بست و غنود</w:t>
      </w:r>
    </w:p>
    <w:p>
      <w:pPr>
        <w:pStyle w:val="BookText"/>
      </w:pPr>
      <w:r>
        <w:rPr>
          <w:rFonts w:ascii="IRNazanin" w:hAnsi="IRNazanin" w:eastAsia="IRNazanin" w:cs="IRNazanin"/>
          <w:lang w:bidi="fa-IR"/>
          <w:color w:val="111111"/>
          <w:sz w:val="28"/>
          <w:szCs w:val="28"/>
          <w:rtl/>
        </w:rPr>
        <w:t xml:space="preserve">یک قطعه شعر فکاهی است؛ خط: گوناگون، بی کا، بی تا؛ کاغذ: فرنگی، جلد: تیماج مشکی  منگنه، ۹۴ص، ابعاد متن: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۳۰،قطع: رحلی ،اندازه: ۲۸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۳۰سم [ف: ۹ - ۱۷۲]</w:t>
      </w:r>
    </w:p>
    <w:p>
      <w:pPr>
        <w:pStyle w:val="BookText"/>
      </w:pPr>
      <w:r>
        <w:rPr>
          <w:rFonts w:ascii="IRNazanin" w:hAnsi="IRNazanin" w:eastAsia="IRNazanin" w:cs="IRNazanin"/>
          <w:lang w:bidi="fa-IR"/>
          <w:color w:val="111111"/>
          <w:sz w:val="28"/>
          <w:szCs w:val="28"/>
          <w:rtl/>
        </w:rPr>
        <w:t xml:space="preserve">۲۱۰۹ . تهران؛ مفتاح؛ شماره نسخه: ۵۶۰/۶</w:t>
      </w:r>
    </w:p>
    <w:p>
      <w:pPr>
        <w:pStyle w:val="BookText"/>
      </w:pPr>
      <w:r>
        <w:rPr>
          <w:rFonts w:ascii="IRNazanin" w:hAnsi="IRNazanin" w:eastAsia="IRNazanin" w:cs="IRNazanin"/>
          <w:lang w:bidi="fa-IR"/>
          <w:color w:val="111111"/>
          <w:sz w:val="28"/>
          <w:szCs w:val="28"/>
          <w:rtl/>
        </w:rPr>
        <w:t xml:space="preserve">شعر کمال ضعیفه جندقی است؛ خط: نستعلیق، کا: میرزا اسماعیل ،مشرف، بی تا [نشریه: ۷ - ۲۴۷]</w:t>
      </w:r>
    </w:p>
    <w:p>
      <w:pPr>
        <w:pStyle w:val="BookText"/>
      </w:pPr>
      <w:r>
        <w:rPr>
          <w:rFonts w:ascii="IRNazanin" w:hAnsi="IRNazanin" w:eastAsia="IRNazanin" w:cs="IRNazanin"/>
          <w:lang w:bidi="fa-IR"/>
          <w:color w:val="111111"/>
          <w:sz w:val="28"/>
          <w:szCs w:val="28"/>
          <w:rtl/>
        </w:rPr>
        <w:t xml:space="preserve">۲۱۱۰. تهران؛ مجلس؛ شماره نسخه: ۱۸۰۸۷</w:t>
      </w:r>
    </w:p>
    <w:p>
      <w:pPr>
        <w:pStyle w:val="BookText"/>
      </w:pPr>
      <w:r>
        <w:rPr>
          <w:rFonts w:ascii="IRNazanin" w:hAnsi="IRNazanin" w:eastAsia="IRNazanin" w:cs="IRNazanin"/>
          <w:lang w:bidi="fa-IR"/>
          <w:color w:val="111111"/>
          <w:sz w:val="28"/>
          <w:szCs w:val="28"/>
          <w:rtl/>
        </w:rPr>
        <w:t xml:space="preserve">اشعاری از دردی سمرقندی ،طوفان ،آذر، مشهور،ابراهیم صف، گلخنی  قمی، قمی افشار و ... در پایان قسمتی از جلاء العیون؛ بی کا، بی تا [د.ث. مجلس ]</w:t>
      </w:r>
    </w:p>
    <w:p>
      <w:pPr>
        <w:pStyle w:val="BookText"/>
      </w:pPr>
      <w:r>
        <w:rPr>
          <w:rFonts w:ascii="IRNazanin" w:hAnsi="IRNazanin" w:eastAsia="IRNazanin" w:cs="IRNazanin"/>
          <w:lang w:bidi="fa-IR"/>
          <w:color w:val="111111"/>
          <w:sz w:val="28"/>
          <w:szCs w:val="28"/>
          <w:rtl/>
        </w:rPr>
        <w:t xml:space="preserve">۲۱۱۱. تهران؛ مجلس؛ شماره نسخه: ۱۸۲۰۶</w:t>
      </w:r>
    </w:p>
    <w:p>
      <w:pPr>
        <w:pStyle w:val="BookText"/>
      </w:pPr>
      <w:r>
        <w:rPr>
          <w:rFonts w:ascii="IRNazanin" w:hAnsi="IRNazanin" w:eastAsia="IRNazanin" w:cs="IRNazanin"/>
          <w:lang w:bidi="fa-IR"/>
          <w:color w:val="111111"/>
          <w:sz w:val="28"/>
          <w:szCs w:val="28"/>
          <w:rtl/>
        </w:rPr>
        <w:t xml:space="preserve">اشعار قاسم  انوار، صیدی، و معراجیه علیرضا تجلی؛ بی کا، بی تا [د.ث. مجلس]</w:t>
      </w:r>
    </w:p>
    <w:p>
      <w:pPr>
        <w:pStyle w:val="BookText"/>
      </w:pPr>
      <w:r>
        <w:rPr>
          <w:rFonts w:ascii="IRNazanin" w:hAnsi="IRNazanin" w:eastAsia="IRNazanin" w:cs="IRNazanin"/>
          <w:lang w:bidi="fa-IR"/>
          <w:color w:val="111111"/>
          <w:sz w:val="28"/>
          <w:szCs w:val="28"/>
          <w:rtl/>
        </w:rPr>
        <w:t xml:space="preserve">۲۱۱۲. تهران؛ دانشگاه؛ شماره نسخه: ۵۲۰۶/۶</w:t>
      </w:r>
    </w:p>
    <w:p>
      <w:pPr>
        <w:pStyle w:val="BookText"/>
      </w:pPr>
      <w:r>
        <w:rPr>
          <w:rFonts w:ascii="IRNazanin" w:hAnsi="IRNazanin" w:eastAsia="IRNazanin" w:cs="IRNazanin"/>
          <w:lang w:bidi="fa-IR"/>
          <w:color w:val="111111"/>
          <w:sz w:val="28"/>
          <w:szCs w:val="28"/>
          <w:rtl/>
        </w:rPr>
        <w:t xml:space="preserve">شعرهای آصفی است؛ بی کا،  بی تا ؛کاغذ: سپاهانی، جلد: تیماج سبز ضربی ،مقوایی، ۵گ (۲۲۹ر-۲۳۴پ)، ۱۳ سطر و چلیپا، قطع : وزیری،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۲۴سم [ف: ۱۵ - ۴۱۵۱]</w:t>
      </w:r>
    </w:p>
    <w:p>
      <w:pPr>
        <w:pStyle w:val="BookText"/>
      </w:pPr>
      <w:r>
        <w:rPr>
          <w:rFonts w:ascii="IRNazanin" w:hAnsi="IRNazanin" w:eastAsia="IRNazanin" w:cs="IRNazanin"/>
          <w:lang w:bidi="fa-IR"/>
          <w:color w:val="111111"/>
          <w:sz w:val="28"/>
          <w:szCs w:val="28"/>
          <w:rtl/>
        </w:rPr>
        <w:t xml:space="preserve">۲۱۱۳. تهران؛ مجلس؛ شماره نسخه: ۸۲۵/۱۲</w:t>
      </w:r>
    </w:p>
    <w:p>
      <w:pPr>
        <w:pStyle w:val="BookText"/>
      </w:pPr>
      <w:r>
        <w:rPr>
          <w:rFonts w:ascii="IRNazanin" w:hAnsi="IRNazanin" w:eastAsia="IRNazanin" w:cs="IRNazanin"/>
          <w:lang w:bidi="fa-IR"/>
          <w:color w:val="111111"/>
          <w:sz w:val="28"/>
          <w:szCs w:val="28"/>
          <w:rtl/>
        </w:rPr>
        <w:t xml:space="preserve">اشعار پراکنده است در ۶ ص از آغاز و ص ۳۴۸ و ۳۴۹ و ۸ ص در پایان، در هامش ص ۶ گلچین معانی آورده است که متن و بعضی از حواشی به خط على بن محمد حسن المشهدى ملقب به امين الشعراء و دیگر حواشی به خط سیف الاطباء است؛ خط: نستعلیق، بی کا، بی تا ؛کاغذ: سفید، جلد: تیماج تریاکی یک لایی ضربی، ابعاد متن: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[سنا: ف: ٢ - ٧٠]</w:t>
      </w:r>
    </w:p>
    <w:p>
      <w:pPr>
        <w:pStyle w:val="BookText"/>
      </w:pPr>
      <w:r>
        <w:rPr>
          <w:rFonts w:ascii="IRNazanin" w:hAnsi="IRNazanin" w:eastAsia="IRNazanin" w:cs="IRNazanin"/>
          <w:lang w:bidi="fa-IR"/>
          <w:color w:val="111111"/>
          <w:sz w:val="28"/>
          <w:szCs w:val="28"/>
          <w:rtl/>
        </w:rPr>
        <w:t xml:space="preserve">۲۱۱۴. تهران؛ مفتاح؛ شماره نسخه: ۸۰۲/۱۰</w:t>
      </w:r>
    </w:p>
    <w:p>
      <w:pPr>
        <w:pStyle w:val="BookText"/>
      </w:pPr>
      <w:r>
        <w:rPr>
          <w:rFonts w:ascii="IRNazanin" w:hAnsi="IRNazanin" w:eastAsia="IRNazanin" w:cs="IRNazanin"/>
          <w:lang w:bidi="fa-IR"/>
          <w:color w:val="111111"/>
          <w:sz w:val="28"/>
          <w:szCs w:val="28"/>
          <w:rtl/>
        </w:rPr>
        <w:t xml:space="preserve">شعرهای پراکنده در متن و هامش؛ خط: نستعلیق، بی کا، بی تا؛ قطع: خشتی [نشریه: ۷ - ۲۵۸]</w:t>
      </w:r>
    </w:p>
    <w:p>
      <w:pPr>
        <w:pStyle w:val="BookText"/>
      </w:pPr>
      <w:r>
        <w:rPr>
          <w:rFonts w:ascii="IRNazanin" w:hAnsi="IRNazanin" w:eastAsia="IRNazanin" w:cs="IRNazanin"/>
          <w:lang w:bidi="fa-IR"/>
          <w:color w:val="111111"/>
          <w:sz w:val="28"/>
          <w:szCs w:val="28"/>
          <w:rtl/>
        </w:rPr>
        <w:t xml:space="preserve">۲۱۱۵. تهران؛ ملک؛ شماره نسخه: ۶۱۹۶/۲۲</w:t>
      </w:r>
    </w:p>
    <w:p>
      <w:pPr>
        <w:pStyle w:val="BookText"/>
      </w:pPr>
      <w:r>
        <w:rPr>
          <w:rFonts w:ascii="IRNazanin" w:hAnsi="IRNazanin" w:eastAsia="IRNazanin" w:cs="IRNazanin"/>
          <w:lang w:bidi="fa-IR"/>
          <w:color w:val="111111"/>
          <w:sz w:val="28"/>
          <w:szCs w:val="28"/>
          <w:rtl/>
        </w:rPr>
        <w:t xml:space="preserve">تک بیت هایی است که به ترتیب حروف آغاز آنها مرتب شده و گویا برای مشاعره گرد آمده؛ خط: شکسته نستعلیق، كا: فضل الله بن آخوند ملازین العابدين بروجردی ملقب به شمس العلماء، بی تا ؛کاغذ: فرنگی ،جلد: قهوه ای لایی، ۱۴گ (۱۱۴پ-۱۲۸ر)، ۲۵ سطر، اندازه: ۱۰/۸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۱۷/۷سم [ف: ۹ - ۲۵۰]
</w:t>
      </w:r>
    </w:p>
    <w:p>
      <w:pPr>
        <w:sectPr>
          <w:footerReference w:type="default" r:id="rId9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۲۱۱۶ . تهران؛ فرمانفرمائیان حافظ (دکتر)؛ شماره نسخه: بدون  شماره/ ۲۲</w:t>
      </w:r>
    </w:p>
    <w:p>
      <w:pPr>
        <w:pStyle w:val="BookText"/>
      </w:pPr>
      <w:r>
        <w:rPr>
          <w:rFonts w:ascii="IRNazanin" w:hAnsi="IRNazanin" w:eastAsia="IRNazanin" w:cs="IRNazanin"/>
          <w:lang w:bidi="fa-IR"/>
          <w:color w:val="111111"/>
          <w:sz w:val="28"/>
          <w:szCs w:val="28"/>
          <w:rtl/>
        </w:rPr>
        <w:t xml:space="preserve">شعرهایی در هامش است؛ بی کا، بی تا؛ جلد: تیماج بیتا مشـکی زرکوب مقوایی، ربعی [نشریه: ۷ - ۵۵۲]</w:t>
      </w:r>
    </w:p>
    <w:p>
      <w:pPr>
        <w:pStyle w:val="BookText"/>
      </w:pPr>
      <w:r>
        <w:rPr>
          <w:rFonts w:ascii="IRNazanin" w:hAnsi="IRNazanin" w:eastAsia="IRNazanin" w:cs="IRNazanin"/>
          <w:lang w:bidi="fa-IR"/>
          <w:color w:val="111111"/>
          <w:sz w:val="28"/>
          <w:szCs w:val="28"/>
          <w:rtl/>
        </w:rPr>
        <w:t xml:space="preserve">۲۱۱۷. تهران؛ دانشگاه؛ شماره نسخه: ۸۸۱۷/۵</w:t>
      </w:r>
    </w:p>
    <w:p>
      <w:pPr>
        <w:pStyle w:val="BookText"/>
      </w:pPr>
      <w:r>
        <w:rPr>
          <w:rFonts w:ascii="IRNazanin" w:hAnsi="IRNazanin" w:eastAsia="IRNazanin" w:cs="IRNazanin"/>
          <w:lang w:bidi="fa-IR"/>
          <w:color w:val="111111"/>
          <w:sz w:val="28"/>
          <w:szCs w:val="28"/>
          <w:rtl/>
        </w:rPr>
        <w:t xml:space="preserve">شعرهای زکریای منطقی (هامش) و یغما و مجمر و دیگران؛ خـط: شکسته نستعلیق، بی کا، بی تا؛ کاغذ: فرنگی، جلد: گالینگور عطف میشن مشکی، ۸گ (۱۳۶ر-۱۴۴پ)، ۱۷ سطر (8</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قـطع: ربعی [ف: ۱۷ - ۲۲۷]</w:t>
      </w:r>
    </w:p>
    <w:p>
      <w:pPr>
        <w:pStyle w:val="BookText"/>
      </w:pPr>
      <w:r>
        <w:rPr>
          <w:rFonts w:ascii="IRNazanin" w:hAnsi="IRNazanin" w:eastAsia="IRNazanin" w:cs="IRNazanin"/>
          <w:lang w:bidi="fa-IR"/>
          <w:color w:val="111111"/>
          <w:sz w:val="28"/>
          <w:szCs w:val="28"/>
          <w:rtl/>
        </w:rPr>
        <w:t xml:space="preserve">۲۱۱۸. رشت؛ شاد قزوینی؛ شماره نسخه: ۱۱/۷</w:t>
      </w:r>
    </w:p>
    <w:p>
      <w:pPr>
        <w:pStyle w:val="BookText"/>
      </w:pPr>
      <w:r>
        <w:rPr>
          <w:rFonts w:ascii="IRNazanin" w:hAnsi="IRNazanin" w:eastAsia="IRNazanin" w:cs="IRNazanin"/>
          <w:lang w:bidi="fa-IR"/>
          <w:color w:val="111111"/>
          <w:sz w:val="28"/>
          <w:szCs w:val="28"/>
          <w:rtl/>
        </w:rPr>
        <w:t xml:space="preserve">شعرهای سلمان بن يوسف الكاسى العيحاوی؛ بی کا، تا: رجـب[ نشریه: ۵ - ۳۹۵]</w:t>
      </w:r>
    </w:p>
    <w:p>
      <w:pPr>
        <w:pStyle w:val="BookText"/>
      </w:pPr>
      <w:r>
        <w:rPr>
          <w:rFonts w:ascii="IRNazanin" w:hAnsi="IRNazanin" w:eastAsia="IRNazanin" w:cs="IRNazanin"/>
          <w:lang w:bidi="fa-IR"/>
          <w:color w:val="111111"/>
          <w:sz w:val="28"/>
          <w:szCs w:val="28"/>
          <w:rtl/>
        </w:rPr>
        <w:t xml:space="preserve">۲۱۱۹. تهران ،فرمانفرمائیان حافظ (دکتر)؛ شماره نسخه: بدون شماره /5</w:t>
      </w:r>
    </w:p>
    <w:p>
      <w:pPr>
        <w:pStyle w:val="BookText"/>
      </w:pPr>
      <w:r>
        <w:rPr>
          <w:rFonts w:ascii="IRNazanin" w:hAnsi="IRNazanin" w:eastAsia="IRNazanin" w:cs="IRNazanin"/>
          <w:lang w:bidi="fa-IR"/>
          <w:color w:val="111111"/>
          <w:sz w:val="28"/>
          <w:szCs w:val="28"/>
          <w:rtl/>
        </w:rPr>
        <w:t xml:space="preserve">شعرهای طالب آملی و میرزا صایبا و علی خان با عنوان «لمحرره»؛</w:t>
      </w:r>
    </w:p>
    <w:p>
      <w:pPr>
        <w:pStyle w:val="BookText"/>
      </w:pPr>
      <w:r>
        <w:rPr>
          <w:rFonts w:ascii="IRNazanin" w:hAnsi="IRNazanin" w:eastAsia="IRNazanin" w:cs="IRNazanin"/>
          <w:lang w:bidi="fa-IR"/>
          <w:color w:val="111111"/>
          <w:sz w:val="28"/>
          <w:szCs w:val="28"/>
          <w:rtl/>
        </w:rPr>
        <w:t xml:space="preserve">بی کا، بی تا ؛جلد: تیماج مشکی زرکوب مقوایی ربعی، ۱ ص(۱۷۳ ر) ،قطع: ربعی [ نشریه: ۷ - ۵۵۱]</w:t>
      </w:r>
    </w:p>
    <w:p>
      <w:pPr>
        <w:pStyle w:val="BookText"/>
      </w:pPr>
      <w:r>
        <w:rPr>
          <w:rFonts w:ascii="IRNazanin" w:hAnsi="IRNazanin" w:eastAsia="IRNazanin" w:cs="IRNazanin"/>
          <w:lang w:bidi="fa-IR"/>
          <w:color w:val="111111"/>
          <w:sz w:val="28"/>
          <w:szCs w:val="28"/>
          <w:rtl/>
        </w:rPr>
        <w:t xml:space="preserve">۲۱۲۰. تهران؛ دانشگاه؛ شماره نسخه: ۱۴۵۹/۲-ف</w:t>
      </w:r>
    </w:p>
    <w:p>
      <w:pPr>
        <w:pStyle w:val="BookText"/>
      </w:pPr>
      <w:r>
        <w:rPr>
          <w:rFonts w:ascii="IRNazanin" w:hAnsi="IRNazanin" w:eastAsia="IRNazanin" w:cs="IRNazanin"/>
          <w:lang w:bidi="fa-IR"/>
          <w:color w:val="111111"/>
          <w:sz w:val="28"/>
          <w:szCs w:val="28"/>
          <w:rtl/>
        </w:rPr>
        <w:t xml:space="preserve">نسخه اصل: موزه بریتانيا ش 23570 </w:t>
      </w:r>
      <w:r>
        <w:rPr>
          <w:rFonts w:ascii="Times New Roman" w:hAnsi="Times New Roman" w:eastAsia="Times New Roman" w:cs="Times New Roman"/>
          <w:lang w:val="en-US" w:bidi="en-US"/>
          <w:color w:val="111111"/>
          <w:sz w:val="28"/>
          <w:szCs w:val="28"/>
          <w:rtl/>
        </w:rPr>
        <w:t xml:space="preserve">Add </w:t>
      </w:r>
      <w:r>
        <w:rPr>
          <w:rFonts w:ascii="IRNazanin" w:hAnsi="IRNazanin" w:eastAsia="IRNazanin" w:cs="IRNazanin"/>
          <w:lang w:bidi="fa-IR"/>
          <w:color w:val="111111"/>
          <w:sz w:val="28"/>
          <w:szCs w:val="28"/>
          <w:rtl/>
        </w:rPr>
        <w:t xml:space="preserve">شعرهای لغز و معما؛</w:t>
      </w:r>
    </w:p>
    <w:p>
      <w:pPr>
        <w:pStyle w:val="BookText"/>
      </w:pPr>
      <w:r>
        <w:rPr>
          <w:rFonts w:ascii="IRNazanin" w:hAnsi="IRNazanin" w:eastAsia="IRNazanin" w:cs="IRNazanin"/>
          <w:lang w:bidi="fa-IR"/>
          <w:color w:val="111111"/>
          <w:sz w:val="28"/>
          <w:szCs w:val="28"/>
          <w:rtl/>
        </w:rPr>
        <w:t xml:space="preserve">بی کا، بی تا؛ اگ (۸) [فیلمها: ۱ - ۶۰۳]</w:t>
      </w:r>
    </w:p>
    <w:p>
      <w:pPr>
        <w:pStyle w:val="BookText"/>
      </w:pPr>
      <w:r>
        <w:rPr>
          <w:rFonts w:ascii="IRNazanin" w:hAnsi="IRNazanin" w:eastAsia="IRNazanin" w:cs="IRNazanin"/>
          <w:lang w:bidi="fa-IR"/>
          <w:color w:val="111111"/>
          <w:sz w:val="28"/>
          <w:szCs w:val="28"/>
          <w:rtl/>
        </w:rPr>
        <w:t xml:space="preserve">۲۱۲۱. تهران؛ مفتاح؛ شماره نسخه: ۱۲۴۳/۱۱</w:t>
      </w:r>
    </w:p>
    <w:p>
      <w:pPr>
        <w:pStyle w:val="BookText"/>
      </w:pPr>
      <w:r>
        <w:rPr>
          <w:rFonts w:ascii="IRNazanin" w:hAnsi="IRNazanin" w:eastAsia="IRNazanin" w:cs="IRNazanin"/>
          <w:lang w:bidi="fa-IR"/>
          <w:color w:val="111111"/>
          <w:sz w:val="28"/>
          <w:szCs w:val="28"/>
          <w:rtl/>
        </w:rPr>
        <w:t xml:space="preserve">اشعاری از: محتشم عارف تهرانی، فیضی دکنی،مصباح، هاتف کاشانی، سراجی  آفتابی، نظام و آذر؛ خط: نستعلیق خوش، بی کا، بی تا؛ مجدول ؛جلد: تیماج سرخ زرکوب ترنجی با جدول وزیری [نشریه: ۷ - ۲۷۳]</w:t>
      </w:r>
    </w:p>
    <w:p>
      <w:pPr>
        <w:pStyle w:val="BookText"/>
      </w:pPr>
      <w:r>
        <w:rPr>
          <w:rFonts w:ascii="IRNazanin" w:hAnsi="IRNazanin" w:eastAsia="IRNazanin" w:cs="IRNazanin"/>
          <w:lang w:bidi="fa-IR"/>
          <w:color w:val="111111"/>
          <w:sz w:val="28"/>
          <w:szCs w:val="28"/>
          <w:rtl/>
        </w:rPr>
        <w:t xml:space="preserve">۲۱۲۲. تهران؛ دانشگاه؛ شماره نسخه: ۵۸۸۶/۱۴</w:t>
      </w:r>
    </w:p>
    <w:p>
      <w:pPr>
        <w:pStyle w:val="BookText"/>
      </w:pPr>
      <w:r>
        <w:rPr>
          <w:rFonts w:ascii="IRNazanin" w:hAnsi="IRNazanin" w:eastAsia="IRNazanin" w:cs="IRNazanin"/>
          <w:lang w:bidi="fa-IR"/>
          <w:color w:val="111111"/>
          <w:sz w:val="28"/>
          <w:szCs w:val="28"/>
          <w:rtl/>
        </w:rPr>
        <w:t xml:space="preserve">شعرهای میرزا رفیعاست؛ خط: نستعلیق، بی کا، بی تا؛ کاغذ: فرنگی، جلد: تیماج تریاکی ضربی لایی، ۲گ (۵۶پ-۵۸پ)، 18سطر (۱۱</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۱۶)، قطع: بغلی،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 ۱۶ - ۱۳۱]</w:t>
      </w:r>
    </w:p>
    <w:p>
      <w:pPr>
        <w:pStyle w:val="BookText"/>
      </w:pPr>
      <w:r>
        <w:rPr>
          <w:rFonts w:ascii="IRNazanin" w:hAnsi="IRNazanin" w:eastAsia="IRNazanin" w:cs="IRNazanin"/>
          <w:lang w:bidi="fa-IR"/>
          <w:color w:val="111111"/>
          <w:sz w:val="28"/>
          <w:szCs w:val="28"/>
          <w:rtl/>
        </w:rPr>
        <w:t xml:space="preserve">۲۱۲۳ . تهران؛ دانشگاه؛ شماره نسخه: ۸۵۱۹/۵</w:t>
      </w:r>
    </w:p>
    <w:p>
      <w:pPr>
        <w:pStyle w:val="BookText"/>
      </w:pPr>
      <w:r>
        <w:rPr>
          <w:rFonts w:ascii="IRNazanin" w:hAnsi="IRNazanin" w:eastAsia="IRNazanin" w:cs="IRNazanin"/>
          <w:lang w:bidi="fa-IR"/>
          <w:color w:val="111111"/>
          <w:sz w:val="28"/>
          <w:szCs w:val="28"/>
          <w:rtl/>
        </w:rPr>
        <w:t xml:space="preserve">شعرهای فارسی عرفی و میرابوالقاسم فندرسکی و طالب و ندیم الحكماء شفائی؛ بی کا، بی تا ؛کاغذ: سپاهانی، جلد: تیماج مشکی ضربی  مقوایی، ۹گ (۱۶پ - ۲۵پ)، ۲۰ سطر (7</w:t>
      </w:r>
      <w:r>
        <w:rPr>
          <w:rFonts w:ascii="Times New Roman" w:hAnsi="Times New Roman" w:eastAsia="Times New Roman" w:cs="Times New Roman"/>
          <w:lang w:val="en-US" w:bidi="en-US"/>
          <w:color w:val="111111"/>
          <w:sz w:val="28"/>
          <w:szCs w:val="28"/>
          <w:rtl/>
        </w:rPr>
        <w:t xml:space="preserve">×9) [</w:t>
      </w:r>
      <w:r>
        <w:rPr>
          <w:rFonts w:ascii="IRNazanin" w:hAnsi="IRNazanin" w:eastAsia="IRNazanin" w:cs="IRNazanin"/>
          <w:lang w:bidi="fa-IR"/>
          <w:color w:val="111111"/>
          <w:sz w:val="28"/>
          <w:szCs w:val="28"/>
          <w:rtl/>
        </w:rPr>
        <w:t xml:space="preserve">ف : ۱۷ -152]</w:t>
      </w:r>
    </w:p>
    <w:p>
      <w:pPr>
        <w:pStyle w:val="BookText"/>
      </w:pPr>
      <w:r>
        <w:rPr>
          <w:rFonts w:ascii="IRNazanin" w:hAnsi="IRNazanin" w:eastAsia="IRNazanin" w:cs="IRNazanin"/>
          <w:lang w:bidi="fa-IR"/>
          <w:color w:val="111111"/>
          <w:sz w:val="28"/>
          <w:szCs w:val="28"/>
          <w:rtl/>
        </w:rPr>
        <w:t xml:space="preserve">۲۱۲۴. تهران؛ مجلس؛ شماره نسخه: ۱۴۳۹۲/۲</w:t>
      </w:r>
    </w:p>
    <w:p>
      <w:pPr>
        <w:pStyle w:val="BookText"/>
      </w:pPr>
      <w:r>
        <w:rPr>
          <w:rFonts w:ascii="IRNazanin" w:hAnsi="IRNazanin" w:eastAsia="IRNazanin" w:cs="IRNazanin"/>
          <w:lang w:bidi="fa-IR"/>
          <w:color w:val="111111"/>
          <w:sz w:val="28"/>
          <w:szCs w:val="28"/>
          <w:rtl/>
        </w:rPr>
        <w:t xml:space="preserve">آغاز: ز برگلاله ای آرام گردم *** چو نیلوفر کبود اندام گردم</w:t>
      </w:r>
    </w:p>
    <w:p>
      <w:pPr>
        <w:pStyle w:val="BookText"/>
      </w:pPr>
      <w:r>
        <w:rPr>
          <w:rFonts w:ascii="IRNazanin" w:hAnsi="IRNazanin" w:eastAsia="IRNazanin" w:cs="IRNazanin"/>
          <w:lang w:bidi="fa-IR"/>
          <w:color w:val="111111"/>
          <w:sz w:val="28"/>
          <w:szCs w:val="28"/>
          <w:rtl/>
        </w:rPr>
        <w:t xml:space="preserve">قطعه شعری به فارسی است ؛خط: نستعلیق، بی کا، بی تا؛ جلد: تیماج قهوه ای، ۱ ص (۳ر)، ۱۴ سطر ، اندازه: ۱۱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۲۰سم [ف: ۳۸ - 523]</w:t>
      </w:r>
    </w:p>
    <w:p>
      <w:pPr>
        <w:pStyle w:val="BookText"/>
      </w:pPr>
      <w:r>
        <w:rPr>
          <w:rFonts w:ascii="IRNazanin" w:hAnsi="IRNazanin" w:eastAsia="IRNazanin" w:cs="IRNazanin"/>
          <w:lang w:bidi="fa-IR"/>
          <w:color w:val="111111"/>
          <w:sz w:val="28"/>
          <w:szCs w:val="28"/>
          <w:rtl/>
        </w:rPr>
        <w:t xml:space="preserve">۲۱۲۵. تهران؛ دانشگاه؛ شماره نسخه: ۳۶۶۹/۸</w:t>
      </w:r>
    </w:p>
    <w:p>
      <w:pPr>
        <w:pStyle w:val="BookText"/>
      </w:pPr>
      <w:r>
        <w:rPr>
          <w:rFonts w:ascii="IRNazanin" w:hAnsi="IRNazanin" w:eastAsia="IRNazanin" w:cs="IRNazanin"/>
          <w:lang w:bidi="fa-IR"/>
          <w:color w:val="111111"/>
          <w:sz w:val="28"/>
          <w:szCs w:val="28"/>
          <w:rtl/>
        </w:rPr>
        <w:t xml:space="preserve">شعری در هجو و هزل؛ بی کا، بی تا؛ کاغذ: فرنگی ،جلد: مقـوا، ۲ ص (۸۹-۹۰)، ۱۵ سطر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 ف : 7- 2678]</w:t>
      </w:r>
    </w:p>
    <w:p>
      <w:pPr>
        <w:pStyle w:val="BookText"/>
      </w:pPr>
      <w:r>
        <w:rPr>
          <w:rFonts w:ascii="IRNazanin" w:hAnsi="IRNazanin" w:eastAsia="IRNazanin" w:cs="IRNazanin"/>
          <w:lang w:bidi="fa-IR"/>
          <w:color w:val="111111"/>
          <w:sz w:val="28"/>
          <w:szCs w:val="28"/>
          <w:rtl/>
        </w:rPr>
        <w:t xml:space="preserve">۲۱۲۶ . قم؛ مسجد اعظم؛ شماره نسخه: ۱۳۲۹/۶</w:t>
      </w:r>
    </w:p>
    <w:p>
      <w:pPr>
        <w:pStyle w:val="BookText"/>
      </w:pPr>
      <w:r>
        <w:rPr>
          <w:rFonts w:ascii="IRNazanin" w:hAnsi="IRNazanin" w:eastAsia="IRNazanin" w:cs="IRNazanin"/>
          <w:lang w:bidi="fa-IR"/>
          <w:color w:val="111111"/>
          <w:sz w:val="28"/>
          <w:szCs w:val="28"/>
          <w:rtl/>
        </w:rPr>
        <w:t xml:space="preserve">آغاز: بسی خوشتر زنوروز بهاری *** خوشی می یافت مهتـابی مزاری؛ انجام: ناخواناست</w:t>
      </w:r>
    </w:p>
    <w:p>
      <w:pPr>
        <w:pStyle w:val="BookText"/>
      </w:pPr>
      <w:r>
        <w:rPr>
          <w:rFonts w:ascii="IRNazanin" w:hAnsi="IRNazanin" w:eastAsia="IRNazanin" w:cs="IRNazanin"/>
          <w:lang w:bidi="fa-IR"/>
          <w:color w:val="111111"/>
          <w:sz w:val="28"/>
          <w:szCs w:val="28"/>
          <w:rtl/>
        </w:rPr>
        <w:t xml:space="preserve">دیوان شعر است؛ خط: نستعلیق شکسته، بی کا، بی تا؛ کلمات بدون نقطه؛ واقف: حاج محمد رمضانی ،۷۹گ، مختلف السطر،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مخ: ۲ - ۹۲۸]</w:t>
      </w:r>
    </w:p>
    <w:p>
      <w:pPr>
        <w:pStyle w:val="BookText"/>
      </w:pPr>
      <w:r>
        <w:rPr>
          <w:rFonts w:ascii="IRNazanin" w:hAnsi="IRNazanin" w:eastAsia="IRNazanin" w:cs="IRNazanin"/>
          <w:lang w:bidi="fa-IR"/>
          <w:color w:val="111111"/>
          <w:sz w:val="28"/>
          <w:szCs w:val="28"/>
          <w:rtl/>
        </w:rPr>
        <w:t xml:space="preserve">۲۱۲۷ . تهران؛ دانشگاه؛ شماره نسخه: ۵۷۷/۴-ف</w:t>
      </w:r>
    </w:p>
    <w:p>
      <w:pPr>
        <w:pStyle w:val="BookText"/>
      </w:pPr>
      <w:r>
        <w:rPr>
          <w:rFonts w:ascii="IRNazanin" w:hAnsi="IRNazanin" w:eastAsia="IRNazanin" w:cs="IRNazanin"/>
          <w:lang w:bidi="fa-IR"/>
          <w:color w:val="111111"/>
          <w:sz w:val="28"/>
          <w:szCs w:val="28"/>
          <w:rtl/>
        </w:rPr>
        <w:t xml:space="preserve">نسخه اصل: نافذ پاشا ۳۹۹. دیوان شعر است؛بی کا، بی تا؛ در هامش سومی [فیلمها: ۲ - ۲]</w:t>
      </w:r>
    </w:p>
    <w:p>
      <w:pPr>
        <w:pStyle w:val="BookText"/>
      </w:pPr>
      <w:r>
        <w:rPr>
          <w:rFonts w:ascii="IRNazanin" w:hAnsi="IRNazanin" w:eastAsia="IRNazanin" w:cs="IRNazanin"/>
          <w:lang w:bidi="fa-IR"/>
          <w:color w:val="111111"/>
          <w:sz w:val="28"/>
          <w:szCs w:val="28"/>
          <w:rtl/>
        </w:rPr>
        <w:t xml:space="preserve">۲۱۲۸ . مشهد؛ رضوی؛ شماره نسخه: ۹۶۲۱</w:t>
      </w:r>
    </w:p>
    <w:p>
      <w:pPr>
        <w:pStyle w:val="BookText"/>
      </w:pPr>
      <w:r>
        <w:rPr>
          <w:rFonts w:ascii="IRNazanin" w:hAnsi="IRNazanin" w:eastAsia="IRNazanin" w:cs="IRNazanin"/>
          <w:lang w:bidi="fa-IR"/>
          <w:color w:val="111111"/>
          <w:sz w:val="28"/>
          <w:szCs w:val="28"/>
          <w:rtl/>
        </w:rPr>
        <w:t xml:space="preserve">آغاز: از ساکنان گردون زینسان فغان چو آمد؛ انجام:با تیغ جفا بکش مرا بسمل كن ** القصه بيا فكر من بيدل كن</w:t>
      </w:r>
    </w:p>
    <w:p>
      <w:pPr>
        <w:pStyle w:val="BookText"/>
      </w:pPr>
      <w:r>
        <w:rPr>
          <w:rFonts w:ascii="IRNazanin" w:hAnsi="IRNazanin" w:eastAsia="IRNazanin" w:cs="IRNazanin"/>
          <w:lang w:bidi="fa-IR"/>
          <w:color w:val="111111"/>
          <w:sz w:val="28"/>
          <w:szCs w:val="28"/>
          <w:rtl/>
        </w:rPr>
        <w:t xml:space="preserve">مجموعه ای است از اشعار شعرای متقدم و متوسط و متأخر که هم از اول و هم از پایان کسر دارد و ناقص می باشد و ببه همین جهت جامع آن شناخته نشده است. اسامی شعرایی که در متن و حاشیه غزلیات و قطعات و مثنوی و تک بیت و یا رباعیات و ترجیعاتی از آنها نقل شده است عبارت است از: آملی، آقا محمد عاشق ،آذر ،آصفی ،آهی ،ابدال ،انوری ،انسی ،اهلی ،امیدی ،بوعلی، بروجردی (ملا محمد تقی)، بنایی، ترکی، ترشیزی (میرزا عبدالله خان) ،ثاقب ،جامی، حافظ، حسینی، حاجت، حشری، حیدری (میرزا) ،حریف ،حسرت، حکیمی ،خاقان ،خسرو ،خطایی ،خیالی ،دولت ،دهکی، رجا ،رفیق راهب، ریاضی ،رازی ،زمانی سحاب (میرزا محمد کاشی)، سعدی، سلیمان خان قاجار متخلص به  عزت ،سهیلی ،سلمان ،سیفی، شهاب (میرزا عبدالله خان ترشیزی)، شاملو (قطعه محمود و ایاز)، شیخ بهائی، شهیدی ،شاهی، شینجی، شیخ نجم، صابر، صالح، صبا، صبور ،صفایی، صیفی ،طاهری ،روسی، طوفان، عاشق ،(آقا محمد) ،عاشقی، عامی ،عرفی، عزت (سلیمان خان قاجار)،عظیم ،غریبی فتاحی ،فراقی، فردی زند قصاب، کاتبی، کاظمی ،كمال، كمال الدين ،مانی ،مایل ،مبارک، محتشم، حرمی، مختصر، مذنب (ملا عبدالله شیرازی)، مزاری، مسکینی، مشتاق، ،مطرب ،معزی ،موجی مؤمن (محمد) ،مونس ،مینا ،نامی ،ناصری ،نرگسی ،نصیر، نضیری، نوایی (وزیر سلطان میرزا رضاقلی)، نظامی (بخشی از لیلی و مجنون وی آورده شده است)، وامق (محمود خان شیرازی)، والهي، وفا (میرزا حسین فراوانی)، هاتف، هلالی ،هوایی ،همایون، یعقوب میرزا، در این مجموعه چند قطعه عاشقانه به نثر نیز آورده شده؛ خط: نستعلیق، بی کا، بی تا؛ افتادگی: آغاز و انجام؛ واقف: خان بابا مشار، اردیبهشت ۱۳۴۶؛ کاغذ: ،الوان ،جلد: تيماج قهوه ای یک لا، ۲۵۴گ، ۱۱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۹ - ۲۴۵]</w:t>
      </w:r>
    </w:p>
    <w:p>
      <w:pPr>
        <w:pStyle w:val="BookText"/>
      </w:pPr>
      <w:r>
        <w:rPr>
          <w:rFonts w:ascii="IRNazanin" w:hAnsi="IRNazanin" w:eastAsia="IRNazanin" w:cs="IRNazanin"/>
          <w:lang w:bidi="fa-IR"/>
          <w:color w:val="111111"/>
          <w:sz w:val="28"/>
          <w:szCs w:val="28"/>
          <w:rtl/>
        </w:rPr>
        <w:t xml:space="preserve">۲۱۲۹. تهران؛ ملی؛ شماره نسخه: ۱۰۱/۲۶</w:t>
      </w:r>
    </w:p>
    <w:p>
      <w:pPr>
        <w:pStyle w:val="BookText"/>
      </w:pPr>
      <w:r>
        <w:rPr>
          <w:rFonts w:ascii="IRNazanin" w:hAnsi="IRNazanin" w:eastAsia="IRNazanin" w:cs="IRNazanin"/>
          <w:lang w:bidi="fa-IR"/>
          <w:color w:val="111111"/>
          <w:sz w:val="28"/>
          <w:szCs w:val="28"/>
          <w:rtl/>
        </w:rPr>
        <w:t xml:space="preserve">آغاز: روباه بدم برفته جایش ***سنجاب فکنده زیر پایش؛ انجام: بجای من تو را در چاه جویند *** خدا ناکرده تهمتها بگویند</w:t>
      </w:r>
    </w:p>
    <w:p>
      <w:pPr>
        <w:pStyle w:val="BookText"/>
      </w:pPr>
      <w:r>
        <w:rPr>
          <w:rFonts w:ascii="IRNazanin" w:hAnsi="IRNazanin" w:eastAsia="IRNazanin" w:cs="IRNazanin"/>
          <w:lang w:bidi="fa-IR"/>
          <w:color w:val="111111"/>
          <w:sz w:val="28"/>
          <w:szCs w:val="28"/>
          <w:rtl/>
        </w:rPr>
        <w:t xml:space="preserve">مجموعه شعری، شامل: داستان لیلی و مجنون مکتبی شیرازی (ص 268- 281)، مثنوی دیگری که سراینده اش شناخته نشده و داستان آن نیز داستان لیلی و مجنون است (۲۸۱-۲۸۴)؛ خط: نستعلیق، بی کا، بی تا؛ افتادگی: آغاز؛ کاغذ: فرنگی فستقی، جلد:
</w:t>
      </w:r>
    </w:p>
    <w:p>
      <w:pPr>
        <w:sectPr>
          <w:footerReference w:type="default" r:id="rId9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تیماج قرمز غیر مقوایی  دولایی، اندازه متن: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 ۱۶ص، اندازه: ۲۰/۵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۳۰سم [ف: ۱ - ۹۸]</w:t>
      </w:r>
    </w:p>
    <w:p>
      <w:pPr>
        <w:pStyle w:val="BookText"/>
      </w:pPr>
      <w:r>
        <w:rPr>
          <w:rFonts w:ascii="IRNazanin" w:hAnsi="IRNazanin" w:eastAsia="IRNazanin" w:cs="IRNazanin"/>
          <w:lang w:bidi="fa-IR"/>
          <w:color w:val="111111"/>
          <w:sz w:val="28"/>
          <w:szCs w:val="28"/>
          <w:rtl/>
        </w:rPr>
        <w:t xml:space="preserve">۲۱۳۰. تهران؛ مجلس؛ شماره نسخه: ۶۲۱/۶</w:t>
      </w:r>
    </w:p>
    <w:p>
      <w:pPr>
        <w:pStyle w:val="BookText"/>
      </w:pPr>
      <w:r>
        <w:rPr>
          <w:rFonts w:ascii="IRNazanin" w:hAnsi="IRNazanin" w:eastAsia="IRNazanin" w:cs="IRNazanin"/>
          <w:lang w:bidi="fa-IR"/>
          <w:color w:val="111111"/>
          <w:sz w:val="28"/>
          <w:szCs w:val="28"/>
          <w:rtl/>
        </w:rPr>
        <w:t xml:space="preserve">هفت ورق مشتمل بر اشعار نشاط، نظیری ،کلیم، ملاوارسته، هاتف، حكیم شفائی، انوری و دیگران؛ خط: نستعلیق، بی کا، بی تا؛ مجدول؛ قطع: رحلی،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۲ - ۳۷۵]</w:t>
      </w:r>
    </w:p>
    <w:p>
      <w:pPr>
        <w:pStyle w:val="BookText"/>
      </w:pPr>
      <w:r>
        <w:rPr>
          <w:rFonts w:ascii="IRNazanin" w:hAnsi="IRNazanin" w:eastAsia="IRNazanin" w:cs="IRNazanin"/>
          <w:lang w:bidi="fa-IR"/>
          <w:color w:val="111111"/>
          <w:sz w:val="28"/>
          <w:szCs w:val="28"/>
          <w:rtl/>
        </w:rPr>
        <w:t xml:space="preserve">۲۱۳۱. مشهد مرتضوی؛ شماره نسخه: بدون شماره</w:t>
      </w:r>
    </w:p>
    <w:p>
      <w:pPr>
        <w:pStyle w:val="BookText"/>
      </w:pPr>
      <w:r>
        <w:rPr>
          <w:rFonts w:ascii="IRNazanin" w:hAnsi="IRNazanin" w:eastAsia="IRNazanin" w:cs="IRNazanin"/>
          <w:lang w:bidi="fa-IR"/>
          <w:color w:val="111111"/>
          <w:sz w:val="28"/>
          <w:szCs w:val="28"/>
          <w:rtl/>
        </w:rPr>
        <w:t xml:space="preserve">اشعاری از سعدی، محتشم کاشانی ،مولوی، هاتف و نیازی؛ بی کا، بی تا؛ افتادگی: آغاز و انجام؛ بیاض با خط زیبا؛ قطع: بیاضی [ف: مخ - ٣٠]</w:t>
      </w:r>
    </w:p>
    <w:p>
      <w:pPr>
        <w:pStyle w:val="BookText"/>
      </w:pPr>
      <w:r>
        <w:rPr>
          <w:rFonts w:ascii="IRNazanin" w:hAnsi="IRNazanin" w:eastAsia="IRNazanin" w:cs="IRNazanin"/>
          <w:lang w:bidi="fa-IR"/>
          <w:color w:val="111111"/>
          <w:sz w:val="28"/>
          <w:szCs w:val="28"/>
          <w:rtl/>
        </w:rPr>
        <w:t xml:space="preserve">2132.کرمانشاه؛ نجومی؛ شماره نسخه: بدون شماره</w:t>
      </w:r>
    </w:p>
    <w:p>
      <w:pPr>
        <w:pStyle w:val="BookText"/>
      </w:pPr>
      <w:r>
        <w:rPr>
          <w:rFonts w:ascii="IRNazanin" w:hAnsi="IRNazanin" w:eastAsia="IRNazanin" w:cs="IRNazanin"/>
          <w:lang w:bidi="fa-IR"/>
          <w:color w:val="111111"/>
          <w:sz w:val="28"/>
          <w:szCs w:val="28"/>
          <w:rtl/>
        </w:rPr>
        <w:t xml:space="preserve">قصاید و اشعار فارسی متفرقه که بدون نظم و ترتیب جمع شده است؛ بی تا، بی کا؛ در این مجموعه خطوط علاء الدین و میرزا آقا جانی به تاریخ ۱۲۵۷ و محمد طاهر گلهر کرمانشاهی و محمد رضا بن محمد حسین به تاریخ ربیع الاول ۱۲۵۹ و ۱۲۷۱ و یادداشـت به تاریخ ۱۲۶۴ در خرم آباد و خط عباس ... به تاریخ جمادی الاول ۱۲۶۳ در طلب از میرزا محمد ابراهیم و خط میرزا محمد ابراهیم النوری به تاریخ جمادی الاول ۱۲۶۳ در طلب از میرزا محمد تـقی دیده می شود؛ بی کا، بی تا[ دلیل المخطوطات: ۱ - ۲۸۵]</w:t>
      </w:r>
    </w:p>
    <w:p>
      <w:pPr>
        <w:pStyle w:val="BookText"/>
      </w:pPr>
      <w:r>
        <w:rPr>
          <w:rFonts w:ascii="IRNazanin" w:hAnsi="IRNazanin" w:eastAsia="IRNazanin" w:cs="IRNazanin"/>
          <w:lang w:bidi="fa-IR"/>
          <w:color w:val="111111"/>
          <w:sz w:val="28"/>
          <w:szCs w:val="28"/>
          <w:rtl/>
        </w:rPr>
        <w:t xml:space="preserve">۲۱۳۳. مشهد؛ شیخ علی حیدر؛ شماره نسخه: ۱۱۶۹/۴</w:t>
      </w:r>
    </w:p>
    <w:p>
      <w:pPr>
        <w:pStyle w:val="BookText"/>
      </w:pPr>
      <w:r>
        <w:rPr>
          <w:rFonts w:ascii="IRNazanin" w:hAnsi="IRNazanin" w:eastAsia="IRNazanin" w:cs="IRNazanin"/>
          <w:lang w:bidi="fa-IR"/>
          <w:color w:val="111111"/>
          <w:sz w:val="28"/>
          <w:szCs w:val="28"/>
          <w:rtl/>
        </w:rPr>
        <w:t xml:space="preserve">مجموعه اشعاری است از شیخ ابوسعید، خواجه عبدالله ناصرالدین شاه و دیگران؛ خط: نستعلیق، بی کا، بی تا؛ ۷۶گ (۱۶۸ر - ۲۴۳پ)،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[مؤید: ۳ - ۱۴۷]</w:t>
      </w:r>
    </w:p>
    <w:p>
      <w:pPr>
        <w:pStyle w:val="BookText"/>
      </w:pPr>
      <w:r>
        <w:rPr>
          <w:rFonts w:ascii="IRNazanin" w:hAnsi="IRNazanin" w:eastAsia="IRNazanin" w:cs="IRNazanin"/>
          <w:lang w:bidi="fa-IR"/>
          <w:color w:val="111111"/>
          <w:sz w:val="28"/>
          <w:szCs w:val="28"/>
          <w:rtl/>
        </w:rPr>
        <w:t xml:space="preserve">۲۱۳۴. یزد؛ وزیری؛ شماره نسخه: ۴۳۱۰</w:t>
      </w:r>
    </w:p>
    <w:p>
      <w:pPr>
        <w:pStyle w:val="BookText"/>
      </w:pPr>
      <w:r>
        <w:rPr>
          <w:rFonts w:ascii="IRNazanin" w:hAnsi="IRNazanin" w:eastAsia="IRNazanin" w:cs="IRNazanin"/>
          <w:lang w:bidi="fa-IR"/>
          <w:color w:val="111111"/>
          <w:sz w:val="28"/>
          <w:szCs w:val="28"/>
          <w:rtl/>
        </w:rPr>
        <w:t xml:space="preserve">جنگ شعر است؛ بی کا، بی تا [ نشریه: ۱۳ – ۳۸۶]</w:t>
      </w:r>
    </w:p>
    <w:p>
      <w:pPr>
        <w:pStyle w:val="BookText"/>
      </w:pPr>
      <w:r>
        <w:rPr>
          <w:rFonts w:ascii="IRNazanin" w:hAnsi="IRNazanin" w:eastAsia="IRNazanin" w:cs="IRNazanin"/>
          <w:lang w:bidi="fa-IR"/>
          <w:color w:val="111111"/>
          <w:sz w:val="28"/>
          <w:szCs w:val="28"/>
          <w:rtl/>
        </w:rPr>
        <w:t xml:space="preserve">۲۱۳۵ . قم؛ گلپایگانی؛ شماره نسخه: ۳۶۲۳-۱۸/۱۴۳</w:t>
      </w:r>
    </w:p>
    <w:p>
      <w:pPr>
        <w:pStyle w:val="BookText"/>
      </w:pPr>
      <w:r>
        <w:rPr>
          <w:rFonts w:ascii="IRNazanin" w:hAnsi="IRNazanin" w:eastAsia="IRNazanin" w:cs="IRNazanin"/>
          <w:lang w:bidi="fa-IR"/>
          <w:color w:val="111111"/>
          <w:sz w:val="28"/>
          <w:szCs w:val="28"/>
          <w:rtl/>
        </w:rPr>
        <w:t xml:space="preserve">آغاز: شبی با نوجوانی گفت پیری *** کهن دردی که صادق ضمیری / چو خم صاحب دلی روشن روانی *** دراین یر کهن پیر مغانی؛ انجام: همه در وصل ندانم به که گویم غم هجر *** همه سرمست ندانم به که گویم زخمار/ عجب این نیست از این سینه سوزان طبیب *** که پس از مرگ...</w:t>
      </w:r>
    </w:p>
    <w:p>
      <w:pPr>
        <w:pStyle w:val="BookText"/>
      </w:pPr>
      <w:r>
        <w:rPr>
          <w:rFonts w:ascii="IRNazanin" w:hAnsi="IRNazanin" w:eastAsia="IRNazanin" w:cs="IRNazanin"/>
          <w:lang w:bidi="fa-IR"/>
          <w:color w:val="111111"/>
          <w:sz w:val="28"/>
          <w:szCs w:val="28"/>
          <w:rtl/>
        </w:rPr>
        <w:t xml:space="preserve">در این مجموعه اشعار و قصاید و غزلیاتی از میرزا نصیر اصفهانی، میرزا صادق انوری، میرزا طوفان، سعدی شیرازی ،محتشم، قاضـی شریف، حافظ شیرازی ،صفرخان، عارض و جز اینها گردآورده شده است؛ خط: نستعلیق، بی کا، بی تا ،مهر: «لا اله الا الله الملـک الحق المبين محمدرضا ۱۰۵۶» (بیضی)؛ جلد: تیماج مشکی بدون مقوا، ۸۳گ، ۱۲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۳ - ۱۲۷۰]</w:t>
      </w:r>
    </w:p>
    <w:p>
      <w:pPr>
        <w:pStyle w:val="BookText"/>
      </w:pPr>
      <w:r>
        <w:rPr>
          <w:rFonts w:ascii="IRNazanin" w:hAnsi="IRNazanin" w:eastAsia="IRNazanin" w:cs="IRNazanin"/>
          <w:lang w:bidi="fa-IR"/>
          <w:color w:val="111111"/>
          <w:sz w:val="28"/>
          <w:szCs w:val="28"/>
          <w:rtl/>
        </w:rPr>
        <w:t xml:space="preserve">۲۱۳۶ . قم؛ مسجد اعظم؛ شماره نسخه: ۱۲۵۸</w:t>
      </w:r>
    </w:p>
    <w:p>
      <w:pPr>
        <w:pStyle w:val="BookText"/>
      </w:pPr>
      <w:r>
        <w:rPr>
          <w:rFonts w:ascii="IRNazanin" w:hAnsi="IRNazanin" w:eastAsia="IRNazanin" w:cs="IRNazanin"/>
          <w:lang w:bidi="fa-IR"/>
          <w:color w:val="111111"/>
          <w:sz w:val="28"/>
          <w:szCs w:val="28"/>
          <w:rtl/>
        </w:rPr>
        <w:t xml:space="preserve">آغاز: هو العلم الخبير. اى حيات العرش خورشيد وداد ***که جهان و امکان چو تو نوری نزاد؛ انجام: حالیا باید کنم رفع صداع *** می کنم، با چشم خون بارت و داه</w:t>
      </w:r>
    </w:p>
    <w:p>
      <w:pPr>
        <w:pStyle w:val="BookText"/>
      </w:pPr>
      <w:r>
        <w:rPr>
          <w:rFonts w:ascii="IRNazanin" w:hAnsi="IRNazanin" w:eastAsia="IRNazanin" w:cs="IRNazanin"/>
          <w:lang w:bidi="fa-IR"/>
          <w:color w:val="111111"/>
          <w:sz w:val="28"/>
          <w:szCs w:val="28"/>
          <w:rtl/>
        </w:rPr>
        <w:t xml:space="preserve">اشعاری در دفاع از فرقه ضاله بهائیت؛ خط: نستعلیق شکسته، بی کا، بی تا؛ جلد: مقوا، ۲۳گ، مختلف السطر،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۲۱سم[ف مخ: ۲ - ۶۰۹ ]</w:t>
      </w:r>
    </w:p>
    <w:p>
      <w:pPr>
        <w:pStyle w:val="BookText"/>
      </w:pPr>
      <w:r>
        <w:rPr>
          <w:rFonts w:ascii="IRNazanin" w:hAnsi="IRNazanin" w:eastAsia="IRNazanin" w:cs="IRNazanin"/>
          <w:lang w:bidi="fa-IR"/>
          <w:color w:val="111111"/>
          <w:sz w:val="28"/>
          <w:szCs w:val="28"/>
          <w:rtl/>
        </w:rPr>
        <w:t xml:space="preserve">۲۱۳۷ . قم؛ مسجد اعظم؛ شماره نسخه: ۱۲۰۱</w:t>
      </w:r>
    </w:p>
    <w:p>
      <w:pPr>
        <w:pStyle w:val="BookText"/>
      </w:pPr>
      <w:r>
        <w:rPr>
          <w:rFonts w:ascii="IRNazanin" w:hAnsi="IRNazanin" w:eastAsia="IRNazanin" w:cs="IRNazanin"/>
          <w:lang w:bidi="fa-IR"/>
          <w:color w:val="111111"/>
          <w:sz w:val="28"/>
          <w:szCs w:val="28"/>
          <w:rtl/>
        </w:rPr>
        <w:t xml:space="preserve">آغاز: غلام روی تو گشتم تو نیز می دانی *** گدای کوی توام احتیاج گفتار نیست / توچشم روشن مایی وروشن است این هم *** که در جهان گهری به زچشم روشن نیست؛ انجام: وقت است اگر زلطف به فریاد من رسی *** چون نیست غیر لطف تو فریاد رس مرا / بی مهریتای عهد شکن می دانم *** اینها گنه تو نیست من می دانم</w:t>
      </w:r>
    </w:p>
    <w:p>
      <w:pPr>
        <w:pStyle w:val="BookText"/>
      </w:pPr>
      <w:r>
        <w:rPr>
          <w:rFonts w:ascii="IRNazanin" w:hAnsi="IRNazanin" w:eastAsia="IRNazanin" w:cs="IRNazanin"/>
          <w:lang w:bidi="fa-IR"/>
          <w:color w:val="111111"/>
          <w:sz w:val="28"/>
          <w:szCs w:val="28"/>
          <w:rtl/>
        </w:rPr>
        <w:t xml:space="preserve">اشعاری است از سعدی، حافظ لسان الغیب، هلالی، محتشم، جامی، حزین و غیر ایشان به همراه یک مثنوی در ذکر ائمه (علیه السّلام)؛ خط: نستعلیق بی کا، بی تا ؛جلد: تیماج قهوه ای بدون مقوا، با عطف مشکی، ۹۳گ، مختلف  السطر،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مخ: 2- 609]</w:t>
      </w:r>
    </w:p>
    <w:p>
      <w:pPr>
        <w:pStyle w:val="BookText"/>
      </w:pPr>
      <w:r>
        <w:rPr>
          <w:rFonts w:ascii="IRNazanin" w:hAnsi="IRNazanin" w:eastAsia="IRNazanin" w:cs="IRNazanin"/>
          <w:lang w:bidi="fa-IR"/>
          <w:color w:val="111111"/>
          <w:sz w:val="28"/>
          <w:szCs w:val="28"/>
          <w:rtl/>
        </w:rPr>
        <w:t xml:space="preserve">۲۱۳۸. قم؛ مسجد اعظم؛ شماره نسخه: ۳۹۰۳</w:t>
      </w:r>
    </w:p>
    <w:p>
      <w:pPr>
        <w:pStyle w:val="BookText"/>
      </w:pPr>
      <w:r>
        <w:rPr>
          <w:rFonts w:ascii="IRNazanin" w:hAnsi="IRNazanin" w:eastAsia="IRNazanin" w:cs="IRNazanin"/>
          <w:lang w:bidi="fa-IR"/>
          <w:color w:val="111111"/>
          <w:sz w:val="28"/>
          <w:szCs w:val="28"/>
          <w:rtl/>
        </w:rPr>
        <w:t xml:space="preserve">آغاز: نشد زبوسهء او لنشئه سیراب جاودان *** هر خط خاشاک که در چاه زنخدان / یک بوسه توبه صد جان رسیده است *** گوهر گراست زخوبش خریدار می شود؛ انجام: همچو مفلسم که فتد ز آه [..] ناگاه *** بوسه را ز آه به گنج دهن یار افتاد / در هیچ بوسه نیست این لعل روح بخش *** جانی نمی ستاند وجانی نمی دهد</w:t>
      </w:r>
    </w:p>
    <w:p>
      <w:pPr>
        <w:pStyle w:val="BookText"/>
      </w:pPr>
      <w:r>
        <w:rPr>
          <w:rFonts w:ascii="IRNazanin" w:hAnsi="IRNazanin" w:eastAsia="IRNazanin" w:cs="IRNazanin"/>
          <w:lang w:bidi="fa-IR"/>
          <w:color w:val="111111"/>
          <w:sz w:val="28"/>
          <w:szCs w:val="28"/>
          <w:rtl/>
        </w:rPr>
        <w:t xml:space="preserve">بخشی از غزلیات صائب تبریزی و مثنوی و غزل های دیگری که شناخته نشد؛ خط: نستعلیق، بی کا، بی تا؛ افتادگی: آغاز و انجام؛ ۴۰گ، ۱۵ 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مخ: ۲ - ۶۱۲]</w:t>
      </w:r>
    </w:p>
    <w:p>
      <w:pPr>
        <w:pStyle w:val="BookText"/>
      </w:pPr>
      <w:r>
        <w:rPr>
          <w:rFonts w:ascii="IRNazanin" w:hAnsi="IRNazanin" w:eastAsia="IRNazanin" w:cs="IRNazanin"/>
          <w:lang w:bidi="fa-IR"/>
          <w:color w:val="111111"/>
          <w:sz w:val="28"/>
          <w:szCs w:val="28"/>
          <w:rtl/>
        </w:rPr>
        <w:t xml:space="preserve">۲۱۳۹ . قم؛ مسجد اعظم؛ شماره نسخه: ۳۷۰۳</w:t>
      </w:r>
    </w:p>
    <w:p>
      <w:pPr>
        <w:pStyle w:val="BookText"/>
      </w:pPr>
      <w:r>
        <w:rPr>
          <w:rFonts w:ascii="IRNazanin" w:hAnsi="IRNazanin" w:eastAsia="IRNazanin" w:cs="IRNazanin"/>
          <w:lang w:bidi="fa-IR"/>
          <w:color w:val="111111"/>
          <w:sz w:val="28"/>
          <w:szCs w:val="28"/>
          <w:rtl/>
        </w:rPr>
        <w:t xml:space="preserve">آغاز: زد علم برقبه عرش عظيم*** نام بسم الله الرحمن الرحيم/ لاشريك له له سبحانه *** شأنه عزت التعالى شأنه؛ انجام: شمع وگل و پروانه و بلبل همه جمعند ***ای دوست پس رحم به تنهائی ماکن / چگونه خواب به چشم من خراب در آید *** مگر خیال تو بیرون رود که خواب در آید</w:t>
      </w:r>
    </w:p>
    <w:p>
      <w:pPr>
        <w:pStyle w:val="BookText"/>
      </w:pPr>
      <w:r>
        <w:rPr>
          <w:rFonts w:ascii="IRNazanin" w:hAnsi="IRNazanin" w:eastAsia="IRNazanin" w:cs="IRNazanin"/>
          <w:lang w:bidi="fa-IR"/>
          <w:color w:val="111111"/>
          <w:sz w:val="28"/>
          <w:szCs w:val="28"/>
          <w:rtl/>
        </w:rPr>
        <w:t xml:space="preserve">اشعاری از: غزلیات سعدی، غزل و رباعی معتمد الدوله، عاشق، سید حسن، شیخ مغربی مولوی، کیوان؛ خط: نستعلیق، بی کا، بی تا؛ افتادگی: وسط؛ مجدول؛ جلد: تیماج سبز دورو بدون مقوا، عطف تیماج قهوه ای، ۱۲۷گ، مختلف السطر،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مخ: ۲ - ۶۱۱  ]</w:t>
      </w:r>
    </w:p>
    <w:p>
      <w:pPr>
        <w:pStyle w:val="BookText"/>
      </w:pPr>
      <w:r>
        <w:rPr>
          <w:rFonts w:ascii="IRNazanin" w:hAnsi="IRNazanin" w:eastAsia="IRNazanin" w:cs="IRNazanin"/>
          <w:lang w:bidi="fa-IR"/>
          <w:color w:val="111111"/>
          <w:sz w:val="28"/>
          <w:szCs w:val="28"/>
          <w:rtl/>
        </w:rPr>
        <w:t xml:space="preserve">۲۱۴۰ . قم؛ مسجد اعظم؛ شماره نسخه: ۳۶۶۰</w:t>
      </w:r>
    </w:p>
    <w:p>
      <w:pPr>
        <w:pStyle w:val="BookText"/>
      </w:pPr>
      <w:r>
        <w:rPr>
          <w:rFonts w:ascii="IRNazanin" w:hAnsi="IRNazanin" w:eastAsia="IRNazanin" w:cs="IRNazanin"/>
          <w:lang w:bidi="fa-IR"/>
          <w:color w:val="111111"/>
          <w:sz w:val="28"/>
          <w:szCs w:val="28"/>
          <w:rtl/>
        </w:rPr>
        <w:t xml:space="preserve">آغاز: از الف اول زبسم الله باشد ابتدا *** ت توکل می کنم به ایزد پاک کبریا / پ بگویم حمدحق را من به هر صبح و مسا *** ث ثنای مدح می کرد کرار مصطفی؛ انجام: مسکنش به شهر کوفه خواهد شد *** دولتش پای دار می بینم / رتبت شرع دین ملت اسلام *** محکم و استوار می بینم اشعاری است برگزیده از حافظ، شاه نعمت الله ولی، قاآنی، قدسی  حسینی شیرازی، شیخ مفید عارف و شاعران گمنام که اشعاری گفته اند ولی نامی از خود باقی نگذاشته اند؛ خط: نستعلیق، بی کا،
</w:t>
      </w:r>
    </w:p>
    <w:p>
      <w:pPr>
        <w:sectPr>
          <w:footerReference w:type="default" r:id="rId9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 تا؛ مجدول به خطوط؛ جلد: گالینگور ،مشکی، عطف پارچه، ۱۰۴گ، مختلف السطر ، اندازه: ۳۲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مخ: ۲ - ۶۱۱]</w:t>
      </w:r>
    </w:p>
    <w:p>
      <w:pPr>
        <w:pStyle w:val="BookText"/>
      </w:pPr>
      <w:r>
        <w:rPr>
          <w:rFonts w:ascii="IRNazanin" w:hAnsi="IRNazanin" w:eastAsia="IRNazanin" w:cs="IRNazanin"/>
          <w:lang w:bidi="fa-IR"/>
          <w:color w:val="111111"/>
          <w:sz w:val="28"/>
          <w:szCs w:val="28"/>
          <w:rtl/>
        </w:rPr>
        <w:t xml:space="preserve">۲۱۴۱ . قم؛ مسجد اعظم؛ شماره نسخه: ۱۵۴۷/۴</w:t>
      </w:r>
    </w:p>
    <w:p>
      <w:pPr>
        <w:pStyle w:val="BookText"/>
      </w:pPr>
      <w:r>
        <w:rPr>
          <w:rFonts w:ascii="IRNazanin" w:hAnsi="IRNazanin" w:eastAsia="IRNazanin" w:cs="IRNazanin"/>
          <w:lang w:bidi="fa-IR"/>
          <w:color w:val="111111"/>
          <w:sz w:val="28"/>
          <w:szCs w:val="28"/>
          <w:rtl/>
        </w:rPr>
        <w:t xml:space="preserve">آغاز: ساقی دریا دل تویی مولام امیرالمؤمنین *** دریای بی ساحل تویی مولام امير المؤمنين / شیر خدا شد نام تو شیر فلک رام  تو***تو باده عالم جام تو مولام امیرالمؤمنين عليه السلام؛ انجام: فـردا بازاری قیامتت خیر ولای تو *** متاعی نیست در دستم منم امروز این کالا / نپندارم نپندارم که فردای قیامت تیره گون گردد *** محبان تو را از دور آتش غره غرا</w:t>
      </w:r>
    </w:p>
    <w:p>
      <w:pPr>
        <w:pStyle w:val="BookText"/>
      </w:pPr>
      <w:r>
        <w:rPr>
          <w:rFonts w:ascii="IRNazanin" w:hAnsi="IRNazanin" w:eastAsia="IRNazanin" w:cs="IRNazanin"/>
          <w:lang w:bidi="fa-IR"/>
          <w:color w:val="111111"/>
          <w:sz w:val="28"/>
          <w:szCs w:val="28"/>
          <w:rtl/>
        </w:rPr>
        <w:t xml:space="preserve">مجموعه ای است از مدایح اهل بیت (علیهم السّلام) و به خصوص مدح امير المؤمنين (علیه السّلام) که به غیر از میرزا محمد تقی که سراینده مشتاقیه است از روحی ،عطار، ملاعلی نوری، حسین علی شاه اصفهانی، والی کردستان می باشد ؛خط: نستعلیق، بی کا، بی تا؛ افتادگی: انجام؛ در ابتدای مجموعه فایده ای در ذکر غزلی از سعدی مندرج است، تاریخ رباعیات حسین علی شاه اصفهانی ربیع الثانی 1262و در مدرسه دارالشفاء تهران است؛ جلد: تیماج قهوه ای بدون مقـوا، 9گ،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مخ: ۲ - ۶۱۰]</w:t>
      </w:r>
    </w:p>
    <w:p>
      <w:pPr>
        <w:pStyle w:val="BookText"/>
      </w:pPr>
      <w:r>
        <w:rPr>
          <w:rFonts w:ascii="IRNazanin" w:hAnsi="IRNazanin" w:eastAsia="IRNazanin" w:cs="IRNazanin"/>
          <w:lang w:bidi="fa-IR"/>
          <w:color w:val="111111"/>
          <w:sz w:val="28"/>
          <w:szCs w:val="28"/>
          <w:rtl/>
        </w:rPr>
        <w:t xml:space="preserve">۲۱۴۲ . قم؛ مسجد اعظم؛ شماره نسخه: ۱۵۷۳/۱۳</w:t>
      </w:r>
    </w:p>
    <w:p>
      <w:pPr>
        <w:pStyle w:val="BookText"/>
      </w:pPr>
      <w:r>
        <w:rPr>
          <w:rFonts w:ascii="IRNazanin" w:hAnsi="IRNazanin" w:eastAsia="IRNazanin" w:cs="IRNazanin"/>
          <w:lang w:bidi="fa-IR"/>
          <w:color w:val="111111"/>
          <w:sz w:val="28"/>
          <w:szCs w:val="28"/>
          <w:rtl/>
        </w:rPr>
        <w:t xml:space="preserve">آغاز:ای وصف تو هم تو کرده زاغاز *** این در زکرم تو کرده  ای باز / ای ثنای خویشتن تو برتر زحدثنای سمن تو *** ای یـافته آدم از شرافت از جود تو منصب خلافت؛ انجام :که هر که در ره عشق یافت وای به وی *** می رود طایر - دلی زهر قدمش چشم ... ربی</w:t>
      </w:r>
    </w:p>
    <w:p>
      <w:pPr>
        <w:pStyle w:val="BookText"/>
      </w:pPr>
      <w:r>
        <w:rPr>
          <w:rFonts w:ascii="IRNazanin" w:hAnsi="IRNazanin" w:eastAsia="IRNazanin" w:cs="IRNazanin"/>
          <w:lang w:bidi="fa-IR"/>
          <w:color w:val="111111"/>
          <w:sz w:val="28"/>
          <w:szCs w:val="28"/>
          <w:rtl/>
        </w:rPr>
        <w:t xml:space="preserve">مجموعه ای است از اشعار فارسی در مدح پیغمبر اکرم (صلی الله علیه و آله وسلم) وحضرت امیرالمؤمنین علی (علیه السّلام) و اشعار متفرقه دیگر؛ خـط: نستعلیق، بی کا، بی تا؛ قطع بیاض، در پایان اشعاری از عالیجاه حسن شیرازی با تخلص طاير؛ جلد: تیماج قهوه ای بدون مقـوا، ۱۹گ،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مخ: ۲ - ۶۱۱]</w:t>
      </w:r>
    </w:p>
    <w:p>
      <w:pPr>
        <w:pStyle w:val="BookText"/>
      </w:pPr>
      <w:r>
        <w:rPr>
          <w:rFonts w:ascii="IRNazanin" w:hAnsi="IRNazanin" w:eastAsia="IRNazanin" w:cs="IRNazanin"/>
          <w:lang w:bidi="fa-IR"/>
          <w:color w:val="111111"/>
          <w:sz w:val="28"/>
          <w:szCs w:val="28"/>
          <w:rtl/>
        </w:rPr>
        <w:t xml:space="preserve">۲۱۴۳. تهران؛ ملی؛ شماره نسخه: ۱۳۱/۱۲</w:t>
      </w:r>
    </w:p>
    <w:p>
      <w:pPr>
        <w:pStyle w:val="BookText"/>
      </w:pPr>
      <w:r>
        <w:rPr>
          <w:rFonts w:ascii="IRNazanin" w:hAnsi="IRNazanin" w:eastAsia="IRNazanin" w:cs="IRNazanin"/>
          <w:lang w:bidi="fa-IR"/>
          <w:color w:val="111111"/>
          <w:sz w:val="28"/>
          <w:szCs w:val="28"/>
          <w:rtl/>
        </w:rPr>
        <w:t xml:space="preserve">اشعاری از: زین الدین سنجری، شمس الدين  الحدادى، روحی الشارستانی، سیف الدین باخزری، رضى الدين، ضياء الدین فارسی، حکیم  قطران، ابن یمین، فخرالدین خالد، فرخی، ابوسلیک گرگانی، بدیع بلخی، شمالی دهستانی، ابوالفـرج سنجری، از مرزبان نامه، جلال جعفری ،عطائی، خسروی سرخسی، فلکی  شیروانی، بهاءالدین بغدادی، بهاء الدين مرعبائی، ناصرالدین کاشانی، سید ذوالفقار شیروانی، شاه کبود جامه، حکیم نورالدین صندوقی، کمال الدین ریحانی ،روحانی، عزالدین شیروانی، حسن دهلوی، بدیعی  سیفی، ابوالعلاء گنجه، عمادالدین شهریاری، رشید الدین، سعد الدين هروی، علی بن حسن باخزری، ناصر بخاری، نزاری قهستانی، مولانا هندوشاه، هـمام تبریزی، بدرالدین شاشی، عماد الاملى العباسی، امام شهـابی سلطانی، شمس الدین طاهر شیخ ابو سعید بر غش شیرازی، محـمد رافعی، خسروانی، قاضی نظام الدین، امامی هروی، مولانا قطب الدین عشقی تبریزی، خواجو کرمانی، قاضی همام الدین صاين، عتیقی، جلال طبیب، خطیب گنجه، عبدالمجید کاتبی، حسام الدین بخشی، خواجه نصیرالدین طوسی، امام رافعی تبریزی، ابو عبد محمد، عبید زاکانی، شمس طبسی ،ناصر بچه، شیخ نظامی، مرشدی، ابوالفرج بلخی، مسعود ترکمان، علوی تربتی، شاه داعی، مبارکشاه غوری، نظام استر آبادی ،اشهری، شاه علی، مسعود سعد سلمان، شیخ امین الدین کازرونی، از هر شاعری یک یا دو شعر نقل شده و اسامی شعراء در وسط سطر آمده؛ خط: نستعلیق، بی کا، بی تا؛ کاغذ: فرنگی ،جلد: تیماج مقوایی ترنج دار، ۴۴ص (۲۵۳-۲۰۹)، ۱۷ سطر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 اندازه: ۱۶/۵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۲۸سم [ف: ۱ - ۱۲۶]</w:t>
      </w:r>
    </w:p>
    <w:p>
      <w:pPr>
        <w:pStyle w:val="BookText"/>
      </w:pPr>
      <w:r>
        <w:rPr>
          <w:rFonts w:ascii="IRNazanin" w:hAnsi="IRNazanin" w:eastAsia="IRNazanin" w:cs="IRNazanin"/>
          <w:lang w:bidi="fa-IR"/>
          <w:color w:val="111111"/>
          <w:sz w:val="28"/>
          <w:szCs w:val="28"/>
          <w:rtl/>
        </w:rPr>
        <w:t xml:space="preserve">۲۱۴۴. تهران؛ دانشگاه؛ شماره نسخه: ۵۷۳/۱۵-ف</w:t>
      </w:r>
    </w:p>
    <w:p>
      <w:pPr>
        <w:pStyle w:val="BookText"/>
      </w:pPr>
      <w:r>
        <w:rPr>
          <w:rFonts w:ascii="IRNazanin" w:hAnsi="IRNazanin" w:eastAsia="IRNazanin" w:cs="IRNazanin"/>
          <w:lang w:bidi="fa-IR"/>
          <w:color w:val="111111"/>
          <w:sz w:val="28"/>
          <w:szCs w:val="28"/>
          <w:rtl/>
        </w:rPr>
        <w:t xml:space="preserve">لالا اسماعیل ش ۴۸۷ر. جنگ شعر است شامل شعرهای: شرف شفروه ،مهستی ،خیام، جلال الدین محمود شاه، رکن الدین بکرانی، غیاث الدین وزیر، سراج قمری، سید غوری، رکن الدین ابهری، قطب الدین عتیقی، نصیر الدین ابو جعفر طوسی برای صدرالدین قونوی و پاسخ او بدو( رویهم چهار بیت عربی)، علی بن ابی طالب (دو بیت عربی)، سیف الدین باخرزی، مسعود سعد سلمان، محیی الدین ابن العربی (عربی) بندی از ذوالنون (نثر عربی)، شعرهای: مجدالدین همگر در رثای زنش، سعید هری (شعری در هامش ۱۹۵ر آمده که در اواخر جمادی الاول ۸۲۹ در حضور میرزا چلبی گفته شده)، ابو علی محمد بن عمر بلخی (عربی) عمادالدین اسماعیل بنرضی الدین بابای قزوینی، عطار، شافعی (عربی) حسین بن نعلی (به عربی)، کمال اسماعیل ازرقی، ابو اسماعيل كاتب منشی سلطان محمد بن ملکشاه (به عربی) ،انوری ،سنائی، اثیر اومانی، و اواء دمشقی (به عربی) (تاریخ تولد مولوی در ۶ ربیع الاول ۶۰۴ و مرگ او در روز یکشنبه ۵  جمادی الثانی 672- 141ر) کمال اسماعیل، همام الدين؛ بی کا، بی  تا [فیلمها: ۱ - ۵۰۱]</w:t>
      </w:r>
    </w:p>
    <w:p>
      <w:pPr>
        <w:pStyle w:val="BookText"/>
      </w:pPr>
      <w:r>
        <w:rPr>
          <w:rFonts w:ascii="IRNazanin" w:hAnsi="IRNazanin" w:eastAsia="IRNazanin" w:cs="IRNazanin"/>
          <w:lang w:bidi="fa-IR"/>
          <w:color w:val="111111"/>
          <w:sz w:val="28"/>
          <w:szCs w:val="28"/>
          <w:rtl/>
        </w:rPr>
        <w:t xml:space="preserve">۲۱۴۵. تهران؛ ملک؛ شماره نسخه: ۱۲۳۲/۳۴</w:t>
      </w:r>
    </w:p>
    <w:p>
      <w:pPr>
        <w:pStyle w:val="BookText"/>
      </w:pPr>
      <w:r>
        <w:rPr>
          <w:rFonts w:ascii="IRNazanin" w:hAnsi="IRNazanin" w:eastAsia="IRNazanin" w:cs="IRNazanin"/>
          <w:lang w:bidi="fa-IR"/>
          <w:color w:val="111111"/>
          <w:sz w:val="28"/>
          <w:szCs w:val="28"/>
          <w:rtl/>
        </w:rPr>
        <w:t xml:space="preserve">اشعاری از: دیوان فیضی، وحشی یزدی، محتشم کاشانی، ظهوری که از آنهاست ساقی نامه او، میرزا ابراهیم و غزالی مشهدی؛ خط: نسخ، بی کا، بی تا [ف: ۵ - ۲۴۹]</w:t>
      </w:r>
    </w:p>
    <w:p>
      <w:pPr>
        <w:pStyle w:val="BookText"/>
      </w:pPr>
      <w:r>
        <w:rPr>
          <w:rFonts w:ascii="IRNazanin" w:hAnsi="IRNazanin" w:eastAsia="IRNazanin" w:cs="IRNazanin"/>
          <w:lang w:bidi="fa-IR"/>
          <w:color w:val="111111"/>
          <w:sz w:val="28"/>
          <w:szCs w:val="28"/>
          <w:rtl/>
        </w:rPr>
        <w:t xml:space="preserve">۲۱۴۶. تهران؛ ملک؛ شماره نسخه: ۱۷۱۵/۴</w:t>
      </w:r>
    </w:p>
    <w:p>
      <w:pPr>
        <w:pStyle w:val="BookText"/>
      </w:pPr>
      <w:r>
        <w:rPr>
          <w:rFonts w:ascii="IRNazanin" w:hAnsi="IRNazanin" w:eastAsia="IRNazanin" w:cs="IRNazanin"/>
          <w:lang w:bidi="fa-IR"/>
          <w:color w:val="111111"/>
          <w:sz w:val="28"/>
          <w:szCs w:val="28"/>
          <w:rtl/>
        </w:rPr>
        <w:t xml:space="preserve">اشعاری از: کلیله و دمنه، شیرین و فرهاد وحشی، رعنا وزیبا، جامی، مهدی نراقی ،مشتاق ،عرفی، ابوالقاسم انجدانی شکیب،فتح الله خان ابرقوئی شایق در پاسخ آقا محمود، شعر سعدی و احمد نراقی، بندهایی از ادب و تاریخ و تصوف؛ خط: نستعلیق، بی کا،بی تا؛ ۱۷۸گ، ۵۴پ – ۲۳۲پ [ف: ۵ - ۳۴۶]</w:t>
      </w:r>
    </w:p>
    <w:p>
      <w:pPr>
        <w:pStyle w:val="BookText"/>
      </w:pPr>
      <w:r>
        <w:rPr>
          <w:rFonts w:ascii="IRNazanin" w:hAnsi="IRNazanin" w:eastAsia="IRNazanin" w:cs="IRNazanin"/>
          <w:lang w:bidi="fa-IR"/>
          <w:color w:val="111111"/>
          <w:sz w:val="28"/>
          <w:szCs w:val="28"/>
          <w:rtl/>
        </w:rPr>
        <w:t xml:space="preserve">۲۱۴۷ . قم؛ مرکز مطالعات؛ شماره نسخه: ۷۷۰/۵</w:t>
      </w:r>
    </w:p>
    <w:p>
      <w:pPr>
        <w:pStyle w:val="BookText"/>
      </w:pPr>
      <w:r>
        <w:rPr>
          <w:rFonts w:ascii="IRNazanin" w:hAnsi="IRNazanin" w:eastAsia="IRNazanin" w:cs="IRNazanin"/>
          <w:lang w:bidi="fa-IR"/>
          <w:color w:val="111111"/>
          <w:sz w:val="28"/>
          <w:szCs w:val="28"/>
          <w:rtl/>
        </w:rPr>
        <w:t xml:space="preserve">شامل مخمسات، ترجیع بند، مطایبات و چند قصیده در مدح و منقبت امير المومنين (علیه السّلام) و خاتم الانبياء محمد مصطفی (صلی الله علیه و آله وسلم) از قا آنی ،عرفی، صائب و دیگران می باشد؛ خط: نستعلیق، بی کا، بی تا ؛جلد: تیماج مشکی ضربی مجدول گرهی، ۲۵گ (۱۹۲ر-
</w:t>
      </w:r>
    </w:p>
    <w:p>
      <w:pPr>
        <w:sectPr>
          <w:footerReference w:type="default" r:id="rId9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۲۱۷ر)،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۱۹/۵سم [ف: ۲ - ۴۹]</w:t>
      </w:r>
    </w:p>
    <w:p>
      <w:pPr>
        <w:pStyle w:val="BookText"/>
      </w:pPr>
      <w:r>
        <w:rPr>
          <w:rFonts w:ascii="IRNazanin" w:hAnsi="IRNazanin" w:eastAsia="IRNazanin" w:cs="IRNazanin"/>
          <w:lang w:bidi="fa-IR"/>
          <w:color w:val="111111"/>
          <w:sz w:val="28"/>
          <w:szCs w:val="28"/>
          <w:rtl/>
        </w:rPr>
        <w:t xml:space="preserve">۲۱۴۸ . قم؛ مرکز مطالعات؛ شماره نسخه: ۸۸۷/۳</w:t>
      </w:r>
    </w:p>
    <w:p>
      <w:pPr>
        <w:pStyle w:val="BookText"/>
      </w:pPr>
      <w:r>
        <w:rPr>
          <w:rFonts w:ascii="IRNazanin" w:hAnsi="IRNazanin" w:eastAsia="IRNazanin" w:cs="IRNazanin"/>
          <w:lang w:bidi="fa-IR"/>
          <w:color w:val="111111"/>
          <w:sz w:val="28"/>
          <w:szCs w:val="28"/>
          <w:rtl/>
        </w:rPr>
        <w:t xml:space="preserve">جنگ شعر از: آذری ،صایب، شیخ على نقى، حكيم خاقانی، ابوسعید ابوالخیر، ... سحابی، حکیم فردوسی؛ خط: نسخ، بی کا، بی تا؛ جلد: تیماج قهوه ای، ۴گ (۲۷ پ -۳۱ ر)، ۱۷ 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۲ - ۱۴۹]</w:t>
      </w:r>
    </w:p>
    <w:p>
      <w:pPr>
        <w:pStyle w:val="BookText"/>
      </w:pPr>
      <w:r>
        <w:rPr>
          <w:rFonts w:ascii="IRNazanin" w:hAnsi="IRNazanin" w:eastAsia="IRNazanin" w:cs="IRNazanin"/>
          <w:lang w:bidi="fa-IR"/>
          <w:color w:val="111111"/>
          <w:sz w:val="28"/>
          <w:szCs w:val="28"/>
          <w:rtl/>
        </w:rPr>
        <w:t xml:space="preserve">۲۱۴۹. یزد؛ جامع کبیر؛ شماره نسخه: ۱۴۱/۳</w:t>
      </w:r>
    </w:p>
    <w:p>
      <w:pPr>
        <w:pStyle w:val="BookText"/>
      </w:pPr>
      <w:r>
        <w:rPr>
          <w:rFonts w:ascii="IRNazanin" w:hAnsi="IRNazanin" w:eastAsia="IRNazanin" w:cs="IRNazanin"/>
          <w:lang w:bidi="fa-IR"/>
          <w:color w:val="111111"/>
          <w:sz w:val="28"/>
          <w:szCs w:val="28"/>
          <w:rtl/>
        </w:rPr>
        <w:t xml:space="preserve">جنگ شعرهای مولانا  ایرج، غیاث الدین محمد رشید، امیر احـمد افضل، رشید وطواط، ابو علی سینا، عمادالدین، جمال الدین سلمان، امیر محمود بن یمین، عبید زاکانی و کمال الدین اصفهـانی (همه اینها بیک خط)؛ بی کا، بی تا [ نشریه: ۴ - ۳۹۵]</w:t>
      </w:r>
    </w:p>
    <w:p>
      <w:pPr>
        <w:pStyle w:val="BookText"/>
      </w:pPr>
      <w:r>
        <w:rPr>
          <w:rFonts w:ascii="IRNazanin" w:hAnsi="IRNazanin" w:eastAsia="IRNazanin" w:cs="IRNazanin"/>
          <w:lang w:bidi="fa-IR"/>
          <w:color w:val="111111"/>
          <w:sz w:val="28"/>
          <w:szCs w:val="28"/>
          <w:rtl/>
        </w:rPr>
        <w:t xml:space="preserve">۲۱۵۰. اصفهان؛ عمومی اصفهان (فرهنگ سابق)؛ شماره نسخه: ۱۵۰۴</w:t>
      </w:r>
    </w:p>
    <w:p>
      <w:pPr>
        <w:pStyle w:val="BookText"/>
      </w:pPr>
      <w:r>
        <w:rPr>
          <w:rFonts w:ascii="IRNazanin" w:hAnsi="IRNazanin" w:eastAsia="IRNazanin" w:cs="IRNazanin"/>
          <w:lang w:bidi="fa-IR"/>
          <w:color w:val="111111"/>
          <w:sz w:val="28"/>
          <w:szCs w:val="28"/>
          <w:rtl/>
        </w:rPr>
        <w:t xml:space="preserve">شعرهای اثیرالدین اخسیکتی و سعدی وعراقی و مختاری و موسوی و عبدالواسع جبلی و دیگران؛ بی کا، بی تا [ نشریه: ۵ - 316]</w:t>
      </w:r>
    </w:p>
    <w:p>
      <w:pPr>
        <w:pStyle w:val="BookText"/>
      </w:pPr>
      <w:r>
        <w:rPr>
          <w:rFonts w:ascii="IRNazanin" w:hAnsi="IRNazanin" w:eastAsia="IRNazanin" w:cs="IRNazanin"/>
          <w:lang w:bidi="fa-IR"/>
          <w:color w:val="111111"/>
          <w:sz w:val="28"/>
          <w:szCs w:val="28"/>
          <w:rtl/>
        </w:rPr>
        <w:t xml:space="preserve">۲۱۵۱. تهران؛ نوربخش؛ شماره نسخه: ۵۵/۱</w:t>
      </w:r>
    </w:p>
    <w:p>
      <w:pPr>
        <w:pStyle w:val="BookText"/>
      </w:pPr>
      <w:r>
        <w:rPr>
          <w:rFonts w:ascii="IRNazanin" w:hAnsi="IRNazanin" w:eastAsia="IRNazanin" w:cs="IRNazanin"/>
          <w:lang w:bidi="fa-IR"/>
          <w:color w:val="111111"/>
          <w:sz w:val="28"/>
          <w:szCs w:val="28"/>
          <w:rtl/>
        </w:rPr>
        <w:t xml:space="preserve">آغاز: صاحبا در حالتی کاین بنده غم بسیار داشت؛ انجام: بس نامه که از وی به شب تار بر آمد، در آه و فغان شد.</w:t>
      </w:r>
    </w:p>
    <w:p>
      <w:pPr>
        <w:pStyle w:val="BookText"/>
      </w:pPr>
      <w:r>
        <w:rPr>
          <w:rFonts w:ascii="IRNazanin" w:hAnsi="IRNazanin" w:eastAsia="IRNazanin" w:cs="IRNazanin"/>
          <w:lang w:bidi="fa-IR"/>
          <w:color w:val="111111"/>
          <w:sz w:val="28"/>
          <w:szCs w:val="28"/>
          <w:rtl/>
        </w:rPr>
        <w:t xml:space="preserve">و اشعار جنگ از: ذوالریاستین ،نوربخش ،عباسخان ،ثاقب، فرات، قدسی، سرابی و روحانی و غیره است؛ بی کا، بی تا ؛کاغذ: فرنگـی،جلد: مقوایی، ۷۸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۱- ۸۱]</w:t>
      </w:r>
    </w:p>
    <w:p>
      <w:pPr>
        <w:pStyle w:val="BookText"/>
      </w:pPr>
      <w:r>
        <w:rPr>
          <w:rFonts w:ascii="IRNazanin" w:hAnsi="IRNazanin" w:eastAsia="IRNazanin" w:cs="IRNazanin"/>
          <w:lang w:bidi="fa-IR"/>
          <w:color w:val="111111"/>
          <w:sz w:val="28"/>
          <w:szCs w:val="28"/>
          <w:rtl/>
        </w:rPr>
        <w:t xml:space="preserve">۲۱۵۲. یزد؛ وزیری؛ شماره نسخه: ۴۳۱۲</w:t>
      </w:r>
    </w:p>
    <w:p>
      <w:pPr>
        <w:pStyle w:val="BookText"/>
      </w:pPr>
      <w:r>
        <w:rPr>
          <w:rFonts w:ascii="IRNazanin" w:hAnsi="IRNazanin" w:eastAsia="IRNazanin" w:cs="IRNazanin"/>
          <w:lang w:bidi="fa-IR"/>
          <w:color w:val="111111"/>
          <w:sz w:val="28"/>
          <w:szCs w:val="28"/>
          <w:rtl/>
        </w:rPr>
        <w:t xml:space="preserve">جنگ شعر است؛ بی کا، بی تا[ نشریه: ۱۳ – ۳۸۶] [</w:t>
      </w:r>
    </w:p>
    <w:p>
      <w:pPr>
        <w:pStyle w:val="BookText"/>
      </w:pPr>
      <w:r>
        <w:rPr>
          <w:rFonts w:ascii="IRNazanin" w:hAnsi="IRNazanin" w:eastAsia="IRNazanin" w:cs="IRNazanin"/>
          <w:lang w:bidi="fa-IR"/>
          <w:color w:val="111111"/>
          <w:sz w:val="28"/>
          <w:szCs w:val="28"/>
          <w:rtl/>
        </w:rPr>
        <w:t xml:space="preserve">۲۱۵۳ . مشهد؛ شیخ علی حیدر؛ شماره نسخه: ۱۱۸۹</w:t>
      </w:r>
    </w:p>
    <w:p>
      <w:pPr>
        <w:pStyle w:val="BookText"/>
      </w:pPr>
      <w:r>
        <w:rPr>
          <w:rFonts w:ascii="IRNazanin" w:hAnsi="IRNazanin" w:eastAsia="IRNazanin" w:cs="IRNazanin"/>
          <w:lang w:bidi="fa-IR"/>
          <w:color w:val="111111"/>
          <w:sz w:val="28"/>
          <w:szCs w:val="28"/>
          <w:rtl/>
        </w:rPr>
        <w:t xml:space="preserve">منتخباتی است از بوستان سعدی، غزلیات جامی ،هلالی، وحشی ،بیدل، حافظ و غیره ؛خط: نستعلیق، بی کا، بی تا؛ مهر: «محـمد حسن» (بیضوی)؛ جلد: تیماج قهوه ای، ۱۷۰گ، ۱۵ سطر، اندازه: ۱۱/۵</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۲۰/۵سم [مؤيد: ۳ - ۱۶۲]</w:t>
      </w:r>
    </w:p>
    <w:p>
      <w:pPr>
        <w:pStyle w:val="BookText"/>
      </w:pPr>
      <w:r>
        <w:rPr>
          <w:rFonts w:ascii="IRNazanin" w:hAnsi="IRNazanin" w:eastAsia="IRNazanin" w:cs="IRNazanin"/>
          <w:lang w:bidi="fa-IR"/>
          <w:color w:val="111111"/>
          <w:sz w:val="28"/>
          <w:szCs w:val="28"/>
          <w:rtl/>
        </w:rPr>
        <w:t xml:space="preserve">۲۱۵۴. قم؛ گلپایگانی؛ شماره نسخه: ۴۹۳/۲-۳/۱۱۳</w:t>
      </w:r>
    </w:p>
    <w:p>
      <w:pPr>
        <w:pStyle w:val="BookText"/>
      </w:pPr>
      <w:r>
        <w:rPr>
          <w:rFonts w:ascii="IRNazanin" w:hAnsi="IRNazanin" w:eastAsia="IRNazanin" w:cs="IRNazanin"/>
          <w:lang w:bidi="fa-IR"/>
          <w:color w:val="111111"/>
          <w:sz w:val="28"/>
          <w:szCs w:val="28"/>
          <w:rtl/>
        </w:rPr>
        <w:t xml:space="preserve">آغاز: لیک اهل نفاقش بهم از روی تمسخر *** گویند که این بیت بلندیست فلان را / یک مصرع آن چون شب هجران بد  رازی *** بندیست گلوی خرد و گردن جانرا؛ انجام: گویند نسیم روضه اش عنبر ساست*** آری بخدا هر آنچه گویند بجاست</w:t>
      </w:r>
    </w:p>
    <w:p>
      <w:pPr>
        <w:pStyle w:val="BookText"/>
      </w:pPr>
      <w:r>
        <w:rPr>
          <w:rFonts w:ascii="IRNazanin" w:hAnsi="IRNazanin" w:eastAsia="IRNazanin" w:cs="IRNazanin"/>
          <w:lang w:bidi="fa-IR"/>
          <w:color w:val="111111"/>
          <w:sz w:val="28"/>
          <w:szCs w:val="28"/>
          <w:rtl/>
        </w:rPr>
        <w:t xml:space="preserve">جنگ شعری است با انتخاب از اشعار شعرای مشهور، وقافیه اشعار به ترتیب حروف الفباست سپس رباعیات می آید شعرایی چون سعدی، فرخی سیستانی، عبدالرزاق اصفهانی، انوری، عنصری، سنایی، عماد فقیه کرمانی، سلمان ساوجی، مسعود سعد سلمان ،حافظ، مخفی رشتی، ظهیر الدین فارابی، کمال خجندی، حیاتی کاشانی ،خاقانی، رشیدالدین وطواط، محمد قلی سلـیم، کمال اسماعیل، اخیستکی، لامعی جرجانی، رفیعی کاتبی ،علی نقی کمره ای، شهاب تبریزی، عاشق اصفهانی، خاطر مازندارنی، طوفان هزار جریبی، راهب اصفهانی؛ خط: نستعليق، كا: على اکبر [حسینی]، بی تا؛ افتادگی: آغاز ؛ ۱۰۵گ، ۱۳ سطر [ف: ۳ - 1270]</w:t>
      </w:r>
    </w:p>
    <w:p>
      <w:pPr>
        <w:pStyle w:val="BookText"/>
      </w:pPr>
      <w:r>
        <w:rPr>
          <w:rFonts w:ascii="IRNazanin" w:hAnsi="IRNazanin" w:eastAsia="IRNazanin" w:cs="IRNazanin"/>
          <w:lang w:bidi="fa-IR"/>
          <w:color w:val="111111"/>
          <w:sz w:val="28"/>
          <w:szCs w:val="28"/>
          <w:rtl/>
        </w:rPr>
        <w:t xml:space="preserve">۲۱۵۵. تهران؛ دانشگاه؛ شماره نسخه: ۸۹۱۷</w:t>
      </w:r>
    </w:p>
    <w:p>
      <w:pPr>
        <w:pStyle w:val="BookText"/>
      </w:pPr>
      <w:r>
        <w:rPr>
          <w:rFonts w:ascii="IRNazanin" w:hAnsi="IRNazanin" w:eastAsia="IRNazanin" w:cs="IRNazanin"/>
          <w:lang w:bidi="fa-IR"/>
          <w:color w:val="111111"/>
          <w:sz w:val="28"/>
          <w:szCs w:val="28"/>
          <w:rtl/>
        </w:rPr>
        <w:t xml:space="preserve">جنگ شعر حافظ و یغما و دو ترجیع نورعلی شاه؛ خط: نستعلیق چلیپا، بی کا، بی تا؛ نستعلیق چلیپا و راسته؛ کاغذ: فرنگی، جلد: تیماج مشکی ضربی لایی، بیاضی ربعی، ۲۴گ، اندازه: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 ف: ۱۷ - ۲۴۹ [</w:t>
      </w:r>
    </w:p>
    <w:p>
      <w:pPr>
        <w:pStyle w:val="BookText"/>
      </w:pPr>
      <w:r>
        <w:rPr>
          <w:rFonts w:ascii="IRNazanin" w:hAnsi="IRNazanin" w:eastAsia="IRNazanin" w:cs="IRNazanin"/>
          <w:lang w:bidi="fa-IR"/>
          <w:color w:val="111111"/>
          <w:sz w:val="28"/>
          <w:szCs w:val="28"/>
          <w:rtl/>
        </w:rPr>
        <w:t xml:space="preserve">۲۱۵۶. تهران؛ دانشگاه شماره نسخه: ۴۱۰۳/۱-ف</w:t>
      </w:r>
    </w:p>
    <w:p>
      <w:pPr>
        <w:pStyle w:val="BookText"/>
      </w:pPr>
      <w:r>
        <w:rPr>
          <w:rFonts w:ascii="IRNazanin" w:hAnsi="IRNazanin" w:eastAsia="IRNazanin" w:cs="IRNazanin"/>
          <w:lang w:bidi="fa-IR"/>
          <w:color w:val="111111"/>
          <w:sz w:val="28"/>
          <w:szCs w:val="28"/>
          <w:rtl/>
        </w:rPr>
        <w:t xml:space="preserve">نسخه اصل: لنینگراد </w:t>
      </w:r>
      <w:r>
        <w:rPr>
          <w:rFonts w:ascii="Times New Roman" w:hAnsi="Times New Roman" w:eastAsia="Times New Roman" w:cs="Times New Roman"/>
          <w:lang w:val="en-US" w:bidi="en-US"/>
          <w:color w:val="111111"/>
          <w:sz w:val="28"/>
          <w:szCs w:val="28"/>
          <w:rtl/>
        </w:rPr>
        <w:t xml:space="preserve">dio </w:t>
      </w:r>
      <w:r>
        <w:rPr>
          <w:rFonts w:ascii="IRNazanin" w:hAnsi="IRNazanin" w:eastAsia="IRNazanin" w:cs="IRNazanin"/>
          <w:lang w:bidi="fa-IR"/>
          <w:color w:val="111111"/>
          <w:sz w:val="28"/>
          <w:szCs w:val="28"/>
          <w:rtl/>
        </w:rPr>
        <w:t xml:space="preserve">جنگ شعر از سرایندگان ایرانی و هندی سده ۱۰ و ۱۱؛ خط: نستعلیق، بی کا،  بی تا [فیلمها: ۳ - ۱۵]</w:t>
      </w:r>
    </w:p>
    <w:p>
      <w:pPr>
        <w:pStyle w:val="BookText"/>
      </w:pPr>
      <w:r>
        <w:rPr>
          <w:rFonts w:ascii="IRNazanin" w:hAnsi="IRNazanin" w:eastAsia="IRNazanin" w:cs="IRNazanin"/>
          <w:lang w:bidi="fa-IR"/>
          <w:color w:val="111111"/>
          <w:sz w:val="28"/>
          <w:szCs w:val="28"/>
          <w:rtl/>
        </w:rPr>
        <w:t xml:space="preserve">۲۱۵۷. تهران؛ دانشگاه؛ شماره نسخه: ۶۱۹۰/۱-ف</w:t>
      </w:r>
    </w:p>
    <w:p>
      <w:pPr>
        <w:pStyle w:val="BookText"/>
      </w:pPr>
      <w:r>
        <w:rPr>
          <w:rFonts w:ascii="IRNazanin" w:hAnsi="IRNazanin" w:eastAsia="IRNazanin" w:cs="IRNazanin"/>
          <w:lang w:bidi="fa-IR"/>
          <w:color w:val="111111"/>
          <w:sz w:val="28"/>
          <w:szCs w:val="28"/>
          <w:rtl/>
        </w:rPr>
        <w:t xml:space="preserve">نسخه اصل: کتابخانه گنج بخش، ش ۳۶۶. جنگ شعر است؛</w:t>
      </w:r>
    </w:p>
    <w:p>
      <w:pPr>
        <w:pStyle w:val="BookText"/>
      </w:pPr>
      <w:r>
        <w:rPr>
          <w:rFonts w:ascii="IRNazanin" w:hAnsi="IRNazanin" w:eastAsia="IRNazanin" w:cs="IRNazanin"/>
          <w:lang w:bidi="fa-IR"/>
          <w:color w:val="111111"/>
          <w:sz w:val="28"/>
          <w:szCs w:val="28"/>
          <w:rtl/>
        </w:rPr>
        <w:t xml:space="preserve">بی کا، بی تا[ فیلمها: ۳ - ۲۰۸]</w:t>
      </w:r>
    </w:p>
    <w:p>
      <w:pPr>
        <w:pStyle w:val="BookText"/>
      </w:pPr>
      <w:r>
        <w:rPr>
          <w:rFonts w:ascii="IRNazanin" w:hAnsi="IRNazanin" w:eastAsia="IRNazanin" w:cs="IRNazanin"/>
          <w:lang w:bidi="fa-IR"/>
          <w:color w:val="111111"/>
          <w:sz w:val="28"/>
          <w:szCs w:val="28"/>
          <w:rtl/>
        </w:rPr>
        <w:t xml:space="preserve">۲۱۵۸ .تهران؛ دانشگاه؛ شماره نسخه: ۶۸۲۷-عکس</w:t>
      </w:r>
    </w:p>
    <w:p>
      <w:pPr>
        <w:pStyle w:val="BookText"/>
      </w:pPr>
      <w:r>
        <w:rPr>
          <w:rFonts w:ascii="IRNazanin" w:hAnsi="IRNazanin" w:eastAsia="IRNazanin" w:cs="IRNazanin"/>
          <w:lang w:bidi="fa-IR"/>
          <w:color w:val="111111"/>
          <w:sz w:val="28"/>
          <w:szCs w:val="28"/>
          <w:rtl/>
        </w:rPr>
        <w:t xml:space="preserve">جنگ شعر نسیمی ،بساطی اوحدی و امیر خسرو؛ خط: نستعلیق چلیپا، کا: اویغوری، بی تا؛ با پیکره؛ ۶ص، [فیلمها: ۳ - ۲۶۲]</w:t>
      </w:r>
    </w:p>
    <w:p>
      <w:pPr>
        <w:pStyle w:val="BookText"/>
      </w:pPr>
      <w:r>
        <w:rPr>
          <w:rFonts w:ascii="IRNazanin" w:hAnsi="IRNazanin" w:eastAsia="IRNazanin" w:cs="IRNazanin"/>
          <w:lang w:bidi="fa-IR"/>
          <w:color w:val="111111"/>
          <w:sz w:val="28"/>
          <w:szCs w:val="28"/>
          <w:rtl/>
        </w:rPr>
        <w:t xml:space="preserve">۲۱۵۹. تهران؛ دانشگاه؛ شماره نسخه: ۸۹۲۶</w:t>
      </w:r>
    </w:p>
    <w:p>
      <w:pPr>
        <w:pStyle w:val="BookText"/>
      </w:pPr>
      <w:r>
        <w:rPr>
          <w:rFonts w:ascii="IRNazanin" w:hAnsi="IRNazanin" w:eastAsia="IRNazanin" w:cs="IRNazanin"/>
          <w:lang w:bidi="fa-IR"/>
          <w:color w:val="111111"/>
          <w:sz w:val="28"/>
          <w:szCs w:val="28"/>
          <w:rtl/>
        </w:rPr>
        <w:t xml:space="preserve">جنگ شعر با آوردن نام سرایندگان از سعدی و ابدال اصفهان و مرشد  بیک پسر عباس قلی خان و قلی سلیم و قاضی اسد کوپایی، در پایان حبسیه نظام استرابادی است؛ خط: نستعلیق چلیپا ،بی کا، بی تا؛ در متن درسه ستون و هامش از سده ۱۲؛ کاغذ: سپاهانی ،جلد: تیماج تریاکی مقوایی، رحلی کوچک، ۱۳۱گ، ۱۸ سطر، اندازه: 15</w:t>
      </w:r>
      <w:r>
        <w:rPr>
          <w:rFonts w:ascii="Times New Roman" w:hAnsi="Times New Roman" w:eastAsia="Times New Roman" w:cs="Times New Roman"/>
          <w:lang w:val="en-US" w:bidi="en-US"/>
          <w:color w:val="111111"/>
          <w:sz w:val="28"/>
          <w:szCs w:val="28"/>
          <w:rtl/>
        </w:rPr>
        <w:t xml:space="preserve">×27</w:t>
      </w:r>
      <w:r>
        <w:rPr>
          <w:rFonts w:ascii="IRNazanin" w:hAnsi="IRNazanin" w:eastAsia="IRNazanin" w:cs="IRNazanin"/>
          <w:lang w:bidi="fa-IR"/>
          <w:color w:val="111111"/>
          <w:sz w:val="28"/>
          <w:szCs w:val="28"/>
          <w:rtl/>
        </w:rPr>
        <w:t xml:space="preserve">سم [ف :۱۷ - ۲۵۱]</w:t>
      </w:r>
    </w:p>
    <w:p>
      <w:pPr>
        <w:pStyle w:val="BookText"/>
      </w:pPr>
      <w:r>
        <w:rPr>
          <w:rFonts w:ascii="IRNazanin" w:hAnsi="IRNazanin" w:eastAsia="IRNazanin" w:cs="IRNazanin"/>
          <w:lang w:bidi="fa-IR"/>
          <w:color w:val="111111"/>
          <w:sz w:val="28"/>
          <w:szCs w:val="28"/>
          <w:rtl/>
        </w:rPr>
        <w:t xml:space="preserve">۲۱۶۰. تهران؛ ملی؛ شماره نسخه: ۱۳۱/۱۲</w:t>
      </w:r>
    </w:p>
    <w:p>
      <w:pPr>
        <w:pStyle w:val="BookText"/>
      </w:pPr>
      <w:r>
        <w:rPr>
          <w:rFonts w:ascii="IRNazanin" w:hAnsi="IRNazanin" w:eastAsia="IRNazanin" w:cs="IRNazanin"/>
          <w:lang w:bidi="fa-IR"/>
          <w:color w:val="111111"/>
          <w:sz w:val="28"/>
          <w:szCs w:val="28"/>
          <w:rtl/>
        </w:rPr>
        <w:t xml:space="preserve">حاوی اشعاری است از: زین الدین سنجری، شمس الدین الحدادی، روحى الشارستانی، سیف الدین باخزری، رضی الدین،  ضیاءالدین فارسی، حکیم قطران، ابن یمین، فخرالدین خالد، عین القضات، فرخی، ابوسلیک گرگانی، بدیع بلخی، شمالی دهستانی، ابوالفرج سنجری، از مرزبان نامه، جلال جعفری، عطائی، خسروی، سرخسی، فلکی ،شیروانی، بهاءالدین بغدادی، بهاءالدین مرعبائی، ناصرالدین کاشانی، سید ذوالفقار شیروانی، شاه کبود جامه، حکیم   نورالدین ،صندوقی، کمال الدین ریحانی ،روحانی، عزالدین شیروانی، حسن دهلوی، بدیعی سیفی، ابوالعلاء گنجه، عمادالدین شهریاری، ،رشیدالدین، سعدالدین هروی، علی بن حسن باخزری، ناصر بخاری، نزاری قهستانی ،مولانا هندوشاه، همام تبریزی، بدرالدین شاشی، عماد الاملی العباسی، امام شهابی سلطانی، شمس الدین طاهر شیخ ابوسعید برغش شیرازی، محمد رافعی، خسروانی، قاضی نظام الدین، امامی هروی، قطب الدین عشقی، تبریزی، خواجو کرمانی، قاضی همام الدین صاین ،عتیقی، جلال طبیب، خطیب گنجه ،عبدالمجید، کاتبی، حسام الدین بخشی، خواجه نصیرالدین طوسی، امام رافعی تبریزی، ابوعبد محمد، عبید زاکانی ،شمس طبسی، ناصر بچه ،شیخ نظامی، مرشدی، ابوالفرج بلخی، مسعود ترکمان، علوی تربتی، شاه داعی، مبارکشاه غوری، نظام استر آبادی، اشهری، شاه علی، مسعود سعد سلمان، شیخ امین الدین کازرونی. از هر شاعری یک یا دو شعر نقل شده است؛ خط: نستعلیق، بی کا، بی تا؛ کاغذ: فرنگی، جلد: تیماج، مقوایی،
</w:t>
      </w:r>
    </w:p>
    <w:p>
      <w:pPr>
        <w:sectPr>
          <w:footerReference w:type="default" r:id="rId9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ترنج  دار ،قرمز، ۴۴ ص (۲۰۹-۲۵۳) ۱۷ سطر (8</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 اندازه: ۱۶/۵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۲۸سم [ف: ۱ - ۱۲۶]</w:t>
      </w:r>
    </w:p>
    <w:p>
      <w:pPr>
        <w:pStyle w:val="BookText"/>
      </w:pPr>
      <w:r>
        <w:rPr>
          <w:rFonts w:ascii="IRNazanin" w:hAnsi="IRNazanin" w:eastAsia="IRNazanin" w:cs="IRNazanin"/>
          <w:lang w:bidi="fa-IR"/>
          <w:color w:val="111111"/>
          <w:sz w:val="28"/>
          <w:szCs w:val="28"/>
          <w:rtl/>
        </w:rPr>
        <w:t xml:space="preserve">۲۱۶۱ . تهران؛ دانشگاه؛ شماره نسخه: ۸۹۸۴</w:t>
      </w:r>
    </w:p>
    <w:p>
      <w:pPr>
        <w:pStyle w:val="BookText"/>
      </w:pPr>
      <w:r>
        <w:rPr>
          <w:rFonts w:ascii="IRNazanin" w:hAnsi="IRNazanin" w:eastAsia="IRNazanin" w:cs="IRNazanin"/>
          <w:lang w:bidi="fa-IR"/>
          <w:color w:val="111111"/>
          <w:sz w:val="28"/>
          <w:szCs w:val="28"/>
          <w:rtl/>
        </w:rPr>
        <w:t xml:space="preserve">جنگ شعر است. از مهملات سیاسی شیخ احمد تهرانی که در ۱۳۳۴ در اروپا سروده است سپس رباعی های میرزا مهدی حکیم اصفهانی و شمس طبسی و نظام اصفهانی تا می رسد به فضل الله مشهدی ؛خط: نستعلیق، کا: جوهری سعید نفیسی، بی تا، جـلد: تازه، ۱۶گ، ۱۴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 قطع: بیاضی ربعی،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۲۹سم [ف : ۱۷ - ۲۶۸]</w:t>
      </w:r>
    </w:p>
    <w:p>
      <w:pPr>
        <w:pStyle w:val="BookText"/>
      </w:pPr>
      <w:r>
        <w:rPr>
          <w:rFonts w:ascii="IRNazanin" w:hAnsi="IRNazanin" w:eastAsia="IRNazanin" w:cs="IRNazanin"/>
          <w:lang w:bidi="fa-IR"/>
          <w:color w:val="111111"/>
          <w:sz w:val="28"/>
          <w:szCs w:val="28"/>
          <w:rtl/>
        </w:rPr>
        <w:t xml:space="preserve">۲۱۶۲. تهران؛ دانشگاه؛ شماره نسخه: ۱۰۰۳۲</w:t>
      </w:r>
    </w:p>
    <w:p>
      <w:pPr>
        <w:pStyle w:val="BookText"/>
      </w:pPr>
      <w:r>
        <w:rPr>
          <w:rFonts w:ascii="IRNazanin" w:hAnsi="IRNazanin" w:eastAsia="IRNazanin" w:cs="IRNazanin"/>
          <w:lang w:bidi="fa-IR"/>
          <w:color w:val="111111"/>
          <w:sz w:val="28"/>
          <w:szCs w:val="28"/>
          <w:rtl/>
        </w:rPr>
        <w:t xml:space="preserve">جنگ اشعار با عنوان های: عشاق نهاوند ،حجاز ،راست، شـعر: کمال اصفهانی، مهدی قدسی، میرزا حبیب اصفهانی ،کلیم، شـعر ترکی، رباعیات باباطاهر مرتب از الف تا هاء، تا برگ ۱۸ سپـس برگ ها سفید است تا ۴۸، سپس لغات انگلیسی با حروف ایتالیـک برخی با ترجمه تا برگ ۵۹؛ خط: نستعلیق، بی کا، بی تا؛ نسخه از آن مستشار الدوله صادق بوده و آقای ایرج افشار در ۱ مهر 1359 به یادگار او و پدرش میرزا جوادخان مستشار الدوله وصدیق الملک به کتابخانه مرکزی بخشیده ؛کاغذ: سفید دارد ،جلد: مقـوا، ۶۰گ، قطع: خشتی، اندازه: ۱۶/۵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۱۷ – ۵۳۰]</w:t>
      </w:r>
    </w:p>
    <w:p>
      <w:pPr>
        <w:pStyle w:val="BookText"/>
      </w:pPr>
      <w:r>
        <w:rPr>
          <w:rFonts w:ascii="IRNazanin" w:hAnsi="IRNazanin" w:eastAsia="IRNazanin" w:cs="IRNazanin"/>
          <w:lang w:bidi="fa-IR"/>
          <w:color w:val="111111"/>
          <w:sz w:val="28"/>
          <w:szCs w:val="28"/>
          <w:rtl/>
        </w:rPr>
        <w:t xml:space="preserve">۲۱۶۳. تهران؛ دانشگاه؛ شماره نسخه: ۱۰۰۳۴</w:t>
      </w:r>
    </w:p>
    <w:p>
      <w:pPr>
        <w:pStyle w:val="BookText"/>
      </w:pPr>
      <w:r>
        <w:rPr>
          <w:rFonts w:ascii="IRNazanin" w:hAnsi="IRNazanin" w:eastAsia="IRNazanin" w:cs="IRNazanin"/>
          <w:lang w:bidi="fa-IR"/>
          <w:color w:val="111111"/>
          <w:sz w:val="28"/>
          <w:szCs w:val="28"/>
          <w:rtl/>
        </w:rPr>
        <w:t xml:space="preserve">جنگ شعر است بحر طویل، رباعیات بابا طاهر؛ خط: نستعلیق، بی کا،بی تا ؛کاغذ: فرنگی ،جلد: مقوا، ۹۳گ، قطع: بغلی،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۱۷ - ۵۳۰]</w:t>
      </w:r>
    </w:p>
    <w:p>
      <w:pPr>
        <w:pStyle w:val="BookText"/>
      </w:pPr>
      <w:r>
        <w:rPr>
          <w:rFonts w:ascii="IRNazanin" w:hAnsi="IRNazanin" w:eastAsia="IRNazanin" w:cs="IRNazanin"/>
          <w:lang w:bidi="fa-IR"/>
          <w:color w:val="111111"/>
          <w:sz w:val="28"/>
          <w:szCs w:val="28"/>
          <w:rtl/>
        </w:rPr>
        <w:t xml:space="preserve">۲۱۶۴. تهران؛ دانشگاه؛ شماره نسخه: ۱۰۰۳۵</w:t>
      </w:r>
    </w:p>
    <w:p>
      <w:pPr>
        <w:pStyle w:val="BookText"/>
      </w:pPr>
      <w:r>
        <w:rPr>
          <w:rFonts w:ascii="IRNazanin" w:hAnsi="IRNazanin" w:eastAsia="IRNazanin" w:cs="IRNazanin"/>
          <w:lang w:bidi="fa-IR"/>
          <w:color w:val="111111"/>
          <w:sz w:val="28"/>
          <w:szCs w:val="28"/>
          <w:rtl/>
        </w:rPr>
        <w:t xml:space="preserve">جنگ شعر است از بابا طاهر و حافظ و فضولی با تعزیه قاسـم؛ خط: نستعلیق  اصل، بی کا، بی تا؛ کاغذ: فرنگی، جلد: مقوا، ۱۶۳گ، قطع: بغلی، 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 ۱۷ - ۵۳۰]</w:t>
      </w:r>
    </w:p>
    <w:p>
      <w:pPr>
        <w:pStyle w:val="BookText"/>
      </w:pPr>
      <w:r>
        <w:rPr>
          <w:rFonts w:ascii="IRNazanin" w:hAnsi="IRNazanin" w:eastAsia="IRNazanin" w:cs="IRNazanin"/>
          <w:lang w:bidi="fa-IR"/>
          <w:color w:val="111111"/>
          <w:sz w:val="28"/>
          <w:szCs w:val="28"/>
          <w:rtl/>
        </w:rPr>
        <w:t xml:space="preserve">۲۱۶۵. تهران؛ دانشگاه؛ شماره نسخه: ۷۵۶۶/۲</w:t>
      </w:r>
    </w:p>
    <w:p>
      <w:pPr>
        <w:pStyle w:val="BookText"/>
      </w:pPr>
      <w:r>
        <w:rPr>
          <w:rFonts w:ascii="IRNazanin" w:hAnsi="IRNazanin" w:eastAsia="IRNazanin" w:cs="IRNazanin"/>
          <w:lang w:bidi="fa-IR"/>
          <w:color w:val="111111"/>
          <w:sz w:val="28"/>
          <w:szCs w:val="28"/>
          <w:rtl/>
        </w:rPr>
        <w:t xml:space="preserve">شامل: قصیده نظام استر آبادی (۱۱۸) ، قصیده فدائی (۱۲۴)، قصـیده ابن حسام (۲۱۸-۲۲۵)، مخمس عاصی (۱۳۰)؛ خط: نستعليق،بی کا، بی تا ؛کاغذ: فرنگی ،جلد: تیماج قهوه ای مقوایی، ۱۵ سـطر (۵/۸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قطع: بغلی، 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 ۱۶ - ۶۳۱]</w:t>
      </w:r>
    </w:p>
    <w:p>
      <w:pPr>
        <w:pStyle w:val="BookText"/>
      </w:pPr>
      <w:r>
        <w:rPr>
          <w:rFonts w:ascii="IRNazanin" w:hAnsi="IRNazanin" w:eastAsia="IRNazanin" w:cs="IRNazanin"/>
          <w:lang w:bidi="fa-IR"/>
          <w:color w:val="111111"/>
          <w:sz w:val="28"/>
          <w:szCs w:val="28"/>
          <w:rtl/>
        </w:rPr>
        <w:t xml:space="preserve">۲۱۶۶. تهران؛ دانشگاه؛ شماره نسخه: ۱۶۷۲-ف</w:t>
      </w:r>
    </w:p>
    <w:p>
      <w:pPr>
        <w:pStyle w:val="BookText"/>
      </w:pPr>
      <w:r>
        <w:rPr>
          <w:rFonts w:ascii="IRNazanin" w:hAnsi="IRNazanin" w:eastAsia="IRNazanin" w:cs="IRNazanin"/>
          <w:lang w:bidi="fa-IR"/>
          <w:color w:val="111111"/>
          <w:sz w:val="28"/>
          <w:szCs w:val="28"/>
          <w:rtl/>
        </w:rPr>
        <w:t xml:space="preserve">نسخه اصل: موزه ایران باستان ش ۳۵۹۸. جنگ شعر است؛ بی کا، بی تا[ فیلمها: ۱ - ۶۲۵]</w:t>
      </w:r>
    </w:p>
    <w:p>
      <w:pPr>
        <w:pStyle w:val="BookText"/>
      </w:pPr>
      <w:r>
        <w:rPr>
          <w:rFonts w:ascii="IRNazanin" w:hAnsi="IRNazanin" w:eastAsia="IRNazanin" w:cs="IRNazanin"/>
          <w:lang w:bidi="fa-IR"/>
          <w:color w:val="111111"/>
          <w:sz w:val="28"/>
          <w:szCs w:val="28"/>
          <w:rtl/>
        </w:rPr>
        <w:t xml:space="preserve">۲۱۶۷. تهران؛ دانشگاه؛ شماره نسخه ۲۰۱۶/۵۸-ف</w:t>
      </w:r>
    </w:p>
    <w:p>
      <w:pPr>
        <w:pStyle w:val="BookText"/>
      </w:pPr>
      <w:r>
        <w:rPr>
          <w:rFonts w:ascii="IRNazanin" w:hAnsi="IRNazanin" w:eastAsia="IRNazanin" w:cs="IRNazanin"/>
          <w:lang w:bidi="fa-IR"/>
          <w:color w:val="111111"/>
          <w:sz w:val="28"/>
          <w:szCs w:val="28"/>
          <w:rtl/>
        </w:rPr>
        <w:t xml:space="preserve">نسخه اصل: نسخه آقای دکتر مهدی بیانی. جنگ شعر اسـت؛ بی کا، بی تا[ فیلمها ۱ - ۶۴۰]</w:t>
      </w:r>
    </w:p>
    <w:p>
      <w:pPr>
        <w:pStyle w:val="BookText"/>
      </w:pPr>
      <w:r>
        <w:rPr>
          <w:rFonts w:ascii="IRNazanin" w:hAnsi="IRNazanin" w:eastAsia="IRNazanin" w:cs="IRNazanin"/>
          <w:lang w:bidi="fa-IR"/>
          <w:color w:val="111111"/>
          <w:sz w:val="28"/>
          <w:szCs w:val="28"/>
          <w:rtl/>
        </w:rPr>
        <w:t xml:space="preserve">۲۱۶۸. تهران؛ دانشگاه؛ شماره نسخه: ۴۰۶۲-ف</w:t>
      </w:r>
    </w:p>
    <w:p>
      <w:pPr>
        <w:pStyle w:val="BookText"/>
      </w:pPr>
      <w:r>
        <w:rPr>
          <w:rFonts w:ascii="IRNazanin" w:hAnsi="IRNazanin" w:eastAsia="IRNazanin" w:cs="IRNazanin"/>
          <w:lang w:bidi="fa-IR"/>
          <w:color w:val="111111"/>
          <w:sz w:val="28"/>
          <w:szCs w:val="28"/>
          <w:rtl/>
        </w:rPr>
        <w:t xml:space="preserve">جنگ شعر است از  اوحدی ،بساطی، شمس الدین محمد حافظ شیرازی، امیر خسرو، سلمان ،شاهی ،طوسی ،عصمت، نسیمی، با عنوان لمحرره؛ خط: نستعلیق، بی کا، بی تا؛ راسته و چلیپا با تصویر،  بیاضی؛ تملک دکتر سیاسی شاعر اصفهانی [ فیلمها: ۳ - ۱۰]</w:t>
      </w:r>
    </w:p>
    <w:p>
      <w:pPr>
        <w:pStyle w:val="BookText"/>
      </w:pPr>
      <w:r>
        <w:rPr>
          <w:rFonts w:ascii="IRNazanin" w:hAnsi="IRNazanin" w:eastAsia="IRNazanin" w:cs="IRNazanin"/>
          <w:lang w:bidi="fa-IR"/>
          <w:color w:val="111111"/>
          <w:sz w:val="28"/>
          <w:szCs w:val="28"/>
          <w:rtl/>
        </w:rPr>
        <w:t xml:space="preserve">۲۱۶۹. تهران؛ دانشگاه؛ شماره نسخه: ۹۸۱۱</w:t>
      </w:r>
    </w:p>
    <w:p>
      <w:pPr>
        <w:pStyle w:val="BookText"/>
      </w:pPr>
      <w:r>
        <w:rPr>
          <w:rFonts w:ascii="IRNazanin" w:hAnsi="IRNazanin" w:eastAsia="IRNazanin" w:cs="IRNazanin"/>
          <w:lang w:bidi="fa-IR"/>
          <w:color w:val="111111"/>
          <w:sz w:val="28"/>
          <w:szCs w:val="28"/>
          <w:rtl/>
        </w:rPr>
        <w:t xml:space="preserve">جنگ شعر است از: نافعا ،صابر ،محشتم، مسکین، میرزا قاسم، جامی، کلیم، غیاثا، سعدی، اشرف، برهمن، حكيم ابوالفتح، على نقی، شوکت، وحید ،سیم ،وحشی، سالم ،حقیقی خالص، ادهم؛ خط: نستعلیق  چلیپا، بی کا، بی تا؛ در چهارستون؛ کاغذ: هندی ،جلد: گالینگور، عطف و گوشه ها تیماج تریاکی بغلی، ۸۲گ، ۱۴سطر (8</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 ۱۷ - ۴۸۷]</w:t>
      </w:r>
    </w:p>
    <w:p>
      <w:pPr>
        <w:pStyle w:val="BookText"/>
      </w:pPr>
      <w:r>
        <w:rPr>
          <w:rFonts w:ascii="IRNazanin" w:hAnsi="IRNazanin" w:eastAsia="IRNazanin" w:cs="IRNazanin"/>
          <w:lang w:bidi="fa-IR"/>
          <w:color w:val="111111"/>
          <w:sz w:val="28"/>
          <w:szCs w:val="28"/>
          <w:rtl/>
        </w:rPr>
        <w:t xml:space="preserve">۲۱۷۰. یزد؛ مدرسی یزدی، جواد؛ شماره نسخه: ۱/۱</w:t>
      </w:r>
    </w:p>
    <w:p>
      <w:pPr>
        <w:pStyle w:val="BookText"/>
      </w:pPr>
      <w:r>
        <w:rPr>
          <w:rFonts w:ascii="IRNazanin" w:hAnsi="IRNazanin" w:eastAsia="IRNazanin" w:cs="IRNazanin"/>
          <w:lang w:bidi="fa-IR"/>
          <w:color w:val="111111"/>
          <w:sz w:val="28"/>
          <w:szCs w:val="28"/>
          <w:rtl/>
        </w:rPr>
        <w:t xml:space="preserve">جنگ شعر است در آغاز و میانه و انجام؛ بی کا، بی تا؛ قطع: وزیری [ نشریه: ۴ - ۴۶۸]</w:t>
      </w:r>
    </w:p>
    <w:p>
      <w:pPr>
        <w:pStyle w:val="BookText"/>
      </w:pPr>
      <w:r>
        <w:rPr>
          <w:rFonts w:ascii="IRNazanin" w:hAnsi="IRNazanin" w:eastAsia="IRNazanin" w:cs="IRNazanin"/>
          <w:lang w:bidi="fa-IR"/>
          <w:color w:val="111111"/>
          <w:sz w:val="28"/>
          <w:szCs w:val="28"/>
          <w:rtl/>
        </w:rPr>
        <w:t xml:space="preserve">۲۱۷۱. تهران؛ دانشگاه؛ شماره نسخه: ۲۴۴۹/۱۱</w:t>
      </w:r>
    </w:p>
    <w:p>
      <w:pPr>
        <w:pStyle w:val="BookText"/>
      </w:pPr>
      <w:r>
        <w:rPr>
          <w:rFonts w:ascii="IRNazanin" w:hAnsi="IRNazanin" w:eastAsia="IRNazanin" w:cs="IRNazanin"/>
          <w:lang w:bidi="fa-IR"/>
          <w:color w:val="111111"/>
          <w:sz w:val="28"/>
          <w:szCs w:val="28"/>
          <w:rtl/>
        </w:rPr>
        <w:t xml:space="preserve">جنگ شعر است از شعرای گوناگون. گذشته از شعرهای چند شاعر قصیده ای از رودکی (۲۲۴)، و قصیده بی الف مجیر بیلقانی (۳۰۱-۲۹۶) و نامه منظوم او در حبس و بازداشت اتابک محمد بظهیرالدین کرجی مستوفی که به رسالت آمده از اتابک (۲۰۹)؛ فهرست نام شاعران و کسانی که در این جنگ اثری دارند از نظم و نثر [شماره صفحات در فهرست هست]: ابن الجوزى (شرف الدين بن محيى الدين)، ابن درنوس، شیخ ابوسعید، سید ابونصر، ابی العلاء گنجوی، خواجه ابوالحسن رضائی (رودکی)، اتابیگ قزل، اتابیگ محمد، اثیرالدین اومانی، احمد چنگی، ملک ارغو، اسکندر رومی ،عمیدالدین اسعد بن نصر الفارسي، اشرف الدین حسینی غزنوی، اشنو بهادر،عمادالدین اکرم، امامی هروی، امیر پروانه ،انوری ،اوراتیمور، ایبک چلبی، ابوالقاسم ملک محمود، بایجو نویئن ،بلقا، سیف الدین حاجب، بوسعید، بونواس، تاج الدين مير عمر، تاج الدین نسائی، تاج الدين منشى، تتار، توؤئا، جمال الدین خطیب ری، جمالی موصلی، حاجی نسایی، سید حسن غزنوی، شیخ حسین قطب زاده، حیدری  لاژی، شیخ حیدرزاده، خاقانی شیروانی، فخرالدین خالد، خیام، دواتدار، حکیم رافعی، رشیدالدین وطواط، نورالدین رصدی، رضی الدین نیشابوری ،رودکی ،سدید، سعدی شیرازی، سلطانحق، سلیمانشاه سنائی، سونجاق نوئین ،شرف الدین مراغی ،شرف شفروه، قاضی شرف، شرف الملکی ،شمس  طبسی، شهاب الدین زنجانی، صاحب دیوان، شمس الدین صفی، عزالدین طاهر فریومدی، طايعا، ظهیرالدین کرجی مستوفی، ظهیر فاریابی، عبدالواسع جبلی، عثمان  سرخسی، صاحب علاء الدین عسجدی، علی بن محمد، عمادک لنگ، عماد  فضلوی، عمادی غزنوی، عمید، شیخ العميد، عنصری ،فخرالملک، فخر لنبه گدای، فرخی سیستانی، فلک الدین  شیروانی، قنلغ ابه ،قراسنقر، سراج الدين قمری، قوام الدين (صاحب اوقاف خواف)، قوامی مطرزی، کافی ظفر همدانی، کمال اسمعیل، کمال زیاد، کمیت بوقا، لامعی گرگانی، خواجه مجدالدین، مجدالدین رومی، مجیر  بیلقانی، سلطان محمود سبكتكين، مسعود سعد سلمان ،معزی، منتجب الدین، منجیک ترمدی ،منشوری، منوچهری، مهستی، ناصر خسرو، نصیرالدین
</w:t>
      </w:r>
    </w:p>
    <w:p>
      <w:pPr>
        <w:sectPr>
          <w:footerReference w:type="default" r:id="rId9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طوسی، نظام الملك، وجيه الدين، ولى الله هرون بن صاحب دیوان، هولاكو، يوغا تیمور. فهرست قصایدی که در این مجموعه هست و نام شعرا: دو قصیده از شمس طبسی، لامعی گرگانی، امیر معزی ،عنصری، حکیم رافعی، عمادی غزنوی، رشید وطواط، کافی ظفر همدانی ،منجیک ترمذی، منشوری، سید اشرف غزنوی، منوچهری دامغانی ۶ قصیده، عبدالواسع جبلی، عسجدی، کمال اسمعیل، نصیر الدین طوسی، ناصر خسرو، فرخی سیستانی، سنائی، مجیر بیلقانی، ظهیر فاریابی، شرف شفروه ،انوری، سراج الدین قمری، اثیرالدین اومانی، نورالدین  رصدی، مسعود سـعد سلمان، امامی هروی، عمادالدین اکرم، ابی العلاء گنجوی، رودکی، قوامی مطرزی ،سعدی، فلک الدین  شروانی، سید حـسن غزنوی؛ خط: نسخ کهن، بی کا، بی تا؛ کاغذ: سمرقندی، جـلد: تیماج مشکی ضربی مقوایی درون سرخ، ۱۶ 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۶/۵) ،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۲۲/۵سم [ف: ۹ - ۱۱۷۲]</w:t>
      </w:r>
    </w:p>
    <w:p>
      <w:pPr>
        <w:pStyle w:val="BookText"/>
      </w:pPr>
      <w:r>
        <w:rPr>
          <w:rFonts w:ascii="IRNazanin" w:hAnsi="IRNazanin" w:eastAsia="IRNazanin" w:cs="IRNazanin"/>
          <w:lang w:bidi="fa-IR"/>
          <w:color w:val="111111"/>
          <w:sz w:val="28"/>
          <w:szCs w:val="28"/>
          <w:rtl/>
        </w:rPr>
        <w:t xml:space="preserve">۲۱۷۲ . قم؛ گلپایگانی؛ شماره نسخه: ۳۷۱۴-۱۹/۴۴</w:t>
      </w:r>
    </w:p>
    <w:p>
      <w:pPr>
        <w:pStyle w:val="BookText"/>
      </w:pPr>
      <w:r>
        <w:rPr>
          <w:rFonts w:ascii="IRNazanin" w:hAnsi="IRNazanin" w:eastAsia="IRNazanin" w:cs="IRNazanin"/>
          <w:lang w:bidi="fa-IR"/>
          <w:color w:val="111111"/>
          <w:sz w:val="28"/>
          <w:szCs w:val="28"/>
          <w:rtl/>
        </w:rPr>
        <w:t xml:space="preserve">آغاز: خلاصه خمسه حکیم  نظامی، بر اصحاب دولت واربـاب مكنت واجب و لازم است که بعد از قرائت قرآن کریم و تلاوت فرقان قدیم... در مطالعه کلمات حکمت آمیز؛ انجام: و محل  حرارت تحریر می شود ای اسکندر در شهوت حریص.</w:t>
      </w:r>
    </w:p>
    <w:p>
      <w:pPr>
        <w:pStyle w:val="BookText"/>
      </w:pPr>
      <w:r>
        <w:rPr>
          <w:rFonts w:ascii="IRNazanin" w:hAnsi="IRNazanin" w:eastAsia="IRNazanin" w:cs="IRNazanin"/>
          <w:lang w:bidi="fa-IR"/>
          <w:color w:val="111111"/>
          <w:sz w:val="28"/>
          <w:szCs w:val="28"/>
          <w:rtl/>
        </w:rPr>
        <w:t xml:space="preserve">در این جنگ، اشعار بسیاری بدون ترتیب مخصوص از شاعرانی معروف گردآوری شده است و در آغاز ابیاتی از خمسه نظامی در ۳۷ باب انتخاب شده و شعرهای مناسب موضوعات اعتقادی و اخلاقی را برگزیده و این منتخب را «فهرست ابواب» نامیده اسـت.</w:t>
      </w:r>
    </w:p>
    <w:p>
      <w:pPr>
        <w:pStyle w:val="BookText"/>
      </w:pPr>
      <w:r>
        <w:rPr>
          <w:rFonts w:ascii="IRNazanin" w:hAnsi="IRNazanin" w:eastAsia="IRNazanin" w:cs="IRNazanin"/>
          <w:lang w:bidi="fa-IR"/>
          <w:color w:val="111111"/>
          <w:sz w:val="28"/>
          <w:szCs w:val="28"/>
          <w:rtl/>
        </w:rPr>
        <w:t xml:space="preserve">نام شاعران این جنگ چنین است: حکیم نظامی، ملا محـمد صوفی، ملا ملک قمی ،وحشی، ظهوری، حکیم شفائی، اهلی، شیخ ابوالقاسم، میرزا سنجر، میرزا جلال، بابا فغانی، میررضـی، قاضی نور، امیر خسرو، طالب آملی، میرزا نظام دست غیب، سلیم، فکاری، ملا محتشم، ملا مکتبی، فغفور لاهیجی، آقا شاپور طهرانی، لسانی، سلطانعلی بیگ، عمر خیام ،فکری، اصفهانی، حزنی، فهمی ،نوعی ،فیضی، نادم گیلانی، مقیما طهرانی؛ خط:</w:t>
      </w:r>
    </w:p>
    <w:p>
      <w:pPr>
        <w:pStyle w:val="BookText"/>
      </w:pPr>
      <w:r>
        <w:rPr>
          <w:rFonts w:ascii="IRNazanin" w:hAnsi="IRNazanin" w:eastAsia="IRNazanin" w:cs="IRNazanin"/>
          <w:lang w:bidi="fa-IR"/>
          <w:color w:val="111111"/>
          <w:sz w:val="28"/>
          <w:szCs w:val="28"/>
          <w:rtl/>
        </w:rPr>
        <w:t xml:space="preserve">نستعلیق، بی کا،بی تا؛ جلد: تیماج سبز ، مجدول گرهی، ۱۵۱گ، مختلف چلیپائی سطر،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۲۴سم [ف: ۳ - ۱۲۷۱]</w:t>
      </w:r>
    </w:p>
    <w:p>
      <w:pPr>
        <w:pStyle w:val="BookText"/>
      </w:pPr>
      <w:r>
        <w:rPr>
          <w:rFonts w:ascii="IRNazanin" w:hAnsi="IRNazanin" w:eastAsia="IRNazanin" w:cs="IRNazanin"/>
          <w:lang w:bidi="fa-IR"/>
          <w:color w:val="111111"/>
          <w:sz w:val="28"/>
          <w:szCs w:val="28"/>
          <w:rtl/>
        </w:rPr>
        <w:t xml:space="preserve">۲۱۷۳. قم؛ مرعشی؛ شماره نسخه: ۴۳۵۱</w:t>
      </w:r>
    </w:p>
    <w:p>
      <w:pPr>
        <w:pStyle w:val="BookText"/>
      </w:pPr>
      <w:r>
        <w:rPr>
          <w:rFonts w:ascii="IRNazanin" w:hAnsi="IRNazanin" w:eastAsia="IRNazanin" w:cs="IRNazanin"/>
          <w:lang w:bidi="fa-IR"/>
          <w:color w:val="111111"/>
          <w:sz w:val="28"/>
          <w:szCs w:val="28"/>
          <w:rtl/>
        </w:rPr>
        <w:t xml:space="preserve">آغاز: شنیدم روزی از جویانه پوشی*** چو گل از پاره تن خـرقه پوشی</w:t>
      </w:r>
    </w:p>
    <w:p>
      <w:pPr>
        <w:pStyle w:val="BookText"/>
      </w:pPr>
      <w:r>
        <w:rPr>
          <w:rFonts w:ascii="IRNazanin" w:hAnsi="IRNazanin" w:eastAsia="IRNazanin" w:cs="IRNazanin"/>
          <w:lang w:bidi="fa-IR"/>
          <w:color w:val="111111"/>
          <w:sz w:val="28"/>
          <w:szCs w:val="28"/>
          <w:rtl/>
        </w:rPr>
        <w:t xml:space="preserve">اشعار متفرقه ای ست از شاعران گوناگون که بدون ترتیب گرد آمده است. نام شاعران چنین است: محمد علی سلیم، میرزا ابراهیم ضحا ،محتشم ،جامی ،طوفان ،مشتاق ،آزر ،میرزا عبدالرزاق جهان شاهی ،ظهیری ،صائب، میرزا صالح، بابا طاهر ،کلیم ،عرفی، حافظ شیرازی؛ خط: نستعلیق، بی کا، بی تا؛ جـلد: تیماج قهوه ای بدون مقوا، ۵۲گ، مختلف السطر،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 ۱۱ - ۳۴۹]</w:t>
      </w:r>
    </w:p>
    <w:p>
      <w:pPr>
        <w:pStyle w:val="BookText"/>
      </w:pPr>
      <w:r>
        <w:rPr>
          <w:rFonts w:ascii="IRNazanin" w:hAnsi="IRNazanin" w:eastAsia="IRNazanin" w:cs="IRNazanin"/>
          <w:lang w:bidi="fa-IR"/>
          <w:color w:val="111111"/>
          <w:sz w:val="28"/>
          <w:szCs w:val="28"/>
          <w:rtl/>
        </w:rPr>
        <w:t xml:space="preserve">۲۱۷۴ . قم؛ مرعشی؛ شماره نسخه: ۷۳۶۳</w:t>
      </w:r>
    </w:p>
    <w:p>
      <w:pPr>
        <w:pStyle w:val="BookText"/>
      </w:pPr>
      <w:r>
        <w:rPr>
          <w:rFonts w:ascii="IRNazanin" w:hAnsi="IRNazanin" w:eastAsia="IRNazanin" w:cs="IRNazanin"/>
          <w:lang w:bidi="fa-IR"/>
          <w:color w:val="111111"/>
          <w:sz w:val="28"/>
          <w:szCs w:val="28"/>
          <w:rtl/>
        </w:rPr>
        <w:t xml:space="preserve">آغاز: به بسم الله بگشودم زبان مدح را از جان *** که تا شرحی نگارم من ز وصف قادر سبحان</w:t>
      </w:r>
    </w:p>
    <w:p>
      <w:pPr>
        <w:pStyle w:val="BookText"/>
      </w:pPr>
      <w:r>
        <w:rPr>
          <w:rFonts w:ascii="IRNazanin" w:hAnsi="IRNazanin" w:eastAsia="IRNazanin" w:cs="IRNazanin"/>
          <w:lang w:bidi="fa-IR"/>
          <w:color w:val="111111"/>
          <w:sz w:val="28"/>
          <w:szCs w:val="28"/>
          <w:rtl/>
        </w:rPr>
        <w:t xml:space="preserve">بیشتر این جنگ اشعاری است که میرزا حسنعلی خان شیرازی در مدح  ناصر الدین شاه قاجار به سال های ۱۲۸۴ - ۱۲۸۷- سروده و نیز دارای شعر این شاعران می باشد : سالک شیرازی، مجرم، حکیم قاآنی، میرزا عباس فروغی، سعدی، نعمت الله، سرباز، قاسم، يغما، ،نائب ،بیدل، نورالدین آذری؛ خط: نستعلیق، بی کا، بی تا؛ روی برگ اول یادداشتی به تاریخ ۲۶ خرداد ۱۳۱۱دیده می شود؛ جلد: تیماج قهوه ای ،۶۷گ مختلف  السطر،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19- 164]</w:t>
      </w:r>
    </w:p>
    <w:p>
      <w:pPr>
        <w:pStyle w:val="BookText"/>
      </w:pPr>
      <w:r>
        <w:rPr>
          <w:rFonts w:ascii="IRNazanin" w:hAnsi="IRNazanin" w:eastAsia="IRNazanin" w:cs="IRNazanin"/>
          <w:lang w:bidi="fa-IR"/>
          <w:color w:val="111111"/>
          <w:sz w:val="28"/>
          <w:szCs w:val="28"/>
          <w:rtl/>
        </w:rPr>
        <w:t xml:space="preserve">۲۱۷۵. قم؛ مرعشی؛ شماره نسخه: ۱۰۸۶۲</w:t>
      </w:r>
    </w:p>
    <w:p>
      <w:pPr>
        <w:pStyle w:val="BookText"/>
      </w:pPr>
      <w:r>
        <w:rPr>
          <w:rFonts w:ascii="IRNazanin" w:hAnsi="IRNazanin" w:eastAsia="IRNazanin" w:cs="IRNazanin"/>
          <w:lang w:bidi="fa-IR"/>
          <w:color w:val="111111"/>
          <w:sz w:val="28"/>
          <w:szCs w:val="28"/>
          <w:rtl/>
        </w:rPr>
        <w:t xml:space="preserve">مشتمل بر چند قصیده و غزل و مثنوی فارسی و قصیده میمیه فرزدق و نسخه در چهاردهم ذیقعده ۱۳۱۴ برای حفظ از ضیاع اصلاح و ترمیم شده؛ خط: نسخ و نستعلیق، بی کا، بی تا؛ نستعلیق و نسخ به چند خط؛ جلد: تیماج قهوه ای بدون مقوا، ۸۷گ، مختلف السطر،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۱۹/۵سم [ف: ۲۷ – ۲۸۲]</w:t>
      </w:r>
    </w:p>
    <w:p>
      <w:pPr>
        <w:pStyle w:val="BookText"/>
      </w:pPr>
      <w:r>
        <w:rPr>
          <w:rFonts w:ascii="IRNazanin" w:hAnsi="IRNazanin" w:eastAsia="IRNazanin" w:cs="IRNazanin"/>
          <w:lang w:bidi="fa-IR"/>
          <w:color w:val="111111"/>
          <w:sz w:val="28"/>
          <w:szCs w:val="28"/>
          <w:rtl/>
        </w:rPr>
        <w:t xml:space="preserve">۲۱۷۶ . قم؛ مرکز احیاء؛ شماره نسخه: ۱۰۳۹</w:t>
      </w:r>
    </w:p>
    <w:p>
      <w:pPr>
        <w:pStyle w:val="BookText"/>
      </w:pPr>
      <w:r>
        <w:rPr>
          <w:rFonts w:ascii="IRNazanin" w:hAnsi="IRNazanin" w:eastAsia="IRNazanin" w:cs="IRNazanin"/>
          <w:lang w:bidi="fa-IR"/>
          <w:color w:val="111111"/>
          <w:sz w:val="28"/>
          <w:szCs w:val="28"/>
          <w:rtl/>
        </w:rPr>
        <w:t xml:space="preserve">دارای اشعاریپراکنده ،از: فروغی، روشن اصفهانی، وصال شیرازی، عبدالله میرزا دارا، سید اسماعیل متخلص به خاوری؛ خط: نستعلیق  خوش، بی کا، بی تا ؛مهر: کتابخانه سعید نفیسی؛ کاغذ: سفید و آبی، جلد: مقوایی عطف پارچه، ۲۲گ، ۱۱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۳ - ۲۶۹]</w:t>
      </w:r>
    </w:p>
    <w:p>
      <w:pPr>
        <w:pStyle w:val="BookText"/>
      </w:pPr>
      <w:r>
        <w:rPr>
          <w:rFonts w:ascii="IRNazanin" w:hAnsi="IRNazanin" w:eastAsia="IRNazanin" w:cs="IRNazanin"/>
          <w:lang w:bidi="fa-IR"/>
          <w:color w:val="111111"/>
          <w:sz w:val="28"/>
          <w:szCs w:val="28"/>
          <w:rtl/>
        </w:rPr>
        <w:t xml:space="preserve">۲۱۷۷ . قم؛ مرکز احیاء؛ شماره نسخه: ۱۶۴۲</w:t>
      </w:r>
    </w:p>
    <w:p>
      <w:pPr>
        <w:pStyle w:val="BookText"/>
      </w:pPr>
      <w:r>
        <w:rPr>
          <w:rFonts w:ascii="IRNazanin" w:hAnsi="IRNazanin" w:eastAsia="IRNazanin" w:cs="IRNazanin"/>
          <w:lang w:bidi="fa-IR"/>
          <w:color w:val="111111"/>
          <w:sz w:val="28"/>
          <w:szCs w:val="28"/>
          <w:rtl/>
        </w:rPr>
        <w:t xml:space="preserve">در این مجموعه این اشعار آمده است: ۱- اشعاری از محمد پوینده همدانی (مجاهد دیمی) با شرح حال سراینده از علی پوینده، ۲- ترجیع بند میرزا صادق مكتب دار ابو علی همدانی متخلص به مقری، در سی و چهار بند،3 - اشعاری از میرزا اسماعیل مخزن همدانی؛ خط: نستعليق ،كا: علی پوینده، بی تا؛ به چند خط، بخش اول به خط علی پوینده؛ جلد: تیماج قهوه ای، ۴۰گ، مختلف السطر، اندازه: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۵ - ۵۰]</w:t>
      </w:r>
    </w:p>
    <w:p>
      <w:pPr>
        <w:pStyle w:val="BookText"/>
      </w:pPr>
      <w:r>
        <w:rPr>
          <w:rFonts w:ascii="IRNazanin" w:hAnsi="IRNazanin" w:eastAsia="IRNazanin" w:cs="IRNazanin"/>
          <w:lang w:bidi="fa-IR"/>
          <w:color w:val="111111"/>
          <w:sz w:val="28"/>
          <w:szCs w:val="28"/>
          <w:rtl/>
        </w:rPr>
        <w:t xml:space="preserve">۲۱۷۸ . قم؛ مرکز احیاء؛ شماره نسخه: ۱۹۷۳</w:t>
      </w:r>
    </w:p>
    <w:p>
      <w:pPr>
        <w:pStyle w:val="BookText"/>
      </w:pPr>
      <w:r>
        <w:rPr>
          <w:rFonts w:ascii="IRNazanin" w:hAnsi="IRNazanin" w:eastAsia="IRNazanin" w:cs="IRNazanin"/>
          <w:lang w:bidi="fa-IR"/>
          <w:color w:val="111111"/>
          <w:sz w:val="28"/>
          <w:szCs w:val="28"/>
          <w:rtl/>
        </w:rPr>
        <w:t xml:space="preserve">شاعرانی که در این مجموعه شعرشان آمده است: شمس تبریزی، نور علیشاه، مفتی در مدح ایلخانی حاکم ارومیه، سید میرزا کاظم فرزند سید طالب تفریشی متخلص به بهاء، در این مجموعه نامه ای است تاریخی که میرزا عبدالوهاب خراسانی از بابیان به ایلخانی درباره علی محمد باب نوشته و از وی ستایش می کند، همچنین مصیبت نامه ای است با نظم استوار پیرامون واقعه کربلا و شهادت حضرت امام حسین (علیه السّلام) و خاندان و یاران آن حضرت، متأسفانه پایان این چکامه از نسخه افتاده است؛ خط: نستعلیق خوش، بی کا، بی تا؛ جلد: دو رو تیماج رو مشکی حواشی و عطف و اندرون  تیماج قهوه ای، ۹۸گ ، مختلف السطر ، اندازه:۱۳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[ف:۵-۴۰۶]</w:t>
      </w:r>
    </w:p>
    <w:p>
      <w:pPr>
        <w:pStyle w:val="BookText"/>
      </w:pPr>
      <w:r>
        <w:rPr>
          <w:rFonts w:ascii="IRNazanin" w:hAnsi="IRNazanin" w:eastAsia="IRNazanin" w:cs="IRNazanin"/>
          <w:lang w:bidi="fa-IR"/>
          <w:color w:val="111111"/>
          <w:sz w:val="28"/>
          <w:szCs w:val="28"/>
          <w:rtl/>
        </w:rPr>
        <w:t xml:space="preserve">۲۱۷۹. همدان؛ دانشگاه بوعلی؛ شماره نسخه ۳۱۸</w:t>
      </w:r>
    </w:p>
    <w:p>
      <w:pPr>
        <w:pStyle w:val="BookText"/>
      </w:pPr>
      <w:r>
        <w:rPr>
          <w:rFonts w:ascii="IRNazanin" w:hAnsi="IRNazanin" w:eastAsia="IRNazanin" w:cs="IRNazanin"/>
          <w:lang w:bidi="fa-IR"/>
          <w:color w:val="111111"/>
          <w:sz w:val="28"/>
          <w:szCs w:val="28"/>
          <w:rtl/>
        </w:rPr>
        <w:t xml:space="preserve">در این مجموعه اشعاری از شاعران معروف فارسی سرا انتخاب
</w:t>
      </w:r>
    </w:p>
    <w:p>
      <w:pPr>
        <w:sectPr>
          <w:footerReference w:type="default" r:id="rId9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است بدون ترتیب مخصوص و با ذکر شاعران در بیـشتر شعرها؛ خط: نستعلیق، بی کا، بی تا؛ جلد: گالینگور قهوه ا ی،۱۰۶گ، مختلف السطر، قطع: بیاضی،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[ف:170]</w:t>
      </w:r>
    </w:p>
    <w:p>
      <w:pPr>
        <w:pStyle w:val="BookText"/>
      </w:pPr>
      <w:r>
        <w:rPr>
          <w:rFonts w:ascii="IRNazanin" w:hAnsi="IRNazanin" w:eastAsia="IRNazanin" w:cs="IRNazanin"/>
          <w:lang w:bidi="fa-IR"/>
          <w:color w:val="111111"/>
          <w:sz w:val="28"/>
          <w:szCs w:val="28"/>
          <w:rtl/>
        </w:rPr>
        <w:t xml:space="preserve">۲۱۸۰ . مشهد؛ شیخ علی حیدر؛ شماره نسخه: ۱۰۴۱</w:t>
      </w:r>
    </w:p>
    <w:p>
      <w:pPr>
        <w:pStyle w:val="BookText"/>
      </w:pPr>
      <w:r>
        <w:rPr>
          <w:rFonts w:ascii="IRNazanin" w:hAnsi="IRNazanin" w:eastAsia="IRNazanin" w:cs="IRNazanin"/>
          <w:lang w:bidi="fa-IR"/>
          <w:color w:val="111111"/>
          <w:sz w:val="28"/>
          <w:szCs w:val="28"/>
          <w:rtl/>
        </w:rPr>
        <w:t xml:space="preserve">آغاز: خری را گر افسارش از زرکنی *** به پشتش سراسر تو زیور کنی ؛انجام: ایکاش شود خشک... *** زین مایه سر حفظ کند نوح پسر را</w:t>
      </w:r>
    </w:p>
    <w:p>
      <w:pPr>
        <w:pStyle w:val="BookText"/>
      </w:pPr>
      <w:r>
        <w:rPr>
          <w:rFonts w:ascii="IRNazanin" w:hAnsi="IRNazanin" w:eastAsia="IRNazanin" w:cs="IRNazanin"/>
          <w:lang w:bidi="fa-IR"/>
          <w:color w:val="111111"/>
          <w:sz w:val="28"/>
          <w:szCs w:val="28"/>
          <w:rtl/>
        </w:rPr>
        <w:t xml:space="preserve">مجموعه است شعری شامل اشعار مرثیه امام حسین (علیه السّلام) از شعرای مختلف که اکثر اشعار آن فارسی است و گاهی اشعار عربی آورده است؛ بعضی اشعار غیر مرثیه هم دارد؛ خط: نسخ نستعلیق، بی کا، بی تا؛ در برگ اول معامله ای در ذیحجه 1337و تاریخ تولدی در۱۳۱۴ دیده می شود؛ جلد: معمولی، ۶۶گ، مختلف السطر ،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[مؤید: ۳ - ۵۲]</w:t>
      </w:r>
    </w:p>
    <w:p>
      <w:pPr>
        <w:pStyle w:val="BookText"/>
      </w:pPr>
      <w:r>
        <w:rPr>
          <w:rFonts w:ascii="IRNazanin" w:hAnsi="IRNazanin" w:eastAsia="IRNazanin" w:cs="IRNazanin"/>
          <w:lang w:bidi="fa-IR"/>
          <w:color w:val="111111"/>
          <w:sz w:val="28"/>
          <w:szCs w:val="28"/>
          <w:rtl/>
        </w:rPr>
        <w:t xml:space="preserve">۲۱۸۱ . قم؛ مرعشی؛ شماره نسخه: ۶۲۶</w:t>
      </w:r>
    </w:p>
    <w:p>
      <w:pPr>
        <w:pStyle w:val="BookText"/>
      </w:pPr>
      <w:r>
        <w:rPr>
          <w:rFonts w:ascii="IRNazanin" w:hAnsi="IRNazanin" w:eastAsia="IRNazanin" w:cs="IRNazanin"/>
          <w:lang w:bidi="fa-IR"/>
          <w:color w:val="111111"/>
          <w:sz w:val="28"/>
          <w:szCs w:val="28"/>
          <w:rtl/>
        </w:rPr>
        <w:t xml:space="preserve">در این جنگ اشعاری متفرقه بدون ترتیب گرد آورده شده اسـت از: محبی، میرزا ،فصیحی ،سالک، نظیری، میرزا کافی، میرزا ،جلال ،شوری ،صائب ،عرفی، شرف الدین، میر برهان، هلالی ،طالب، میر رضی آرتمانی، کمال اسماعیل، قاضی نور ،فردوسی، سعدی، مولوی ،گنجی ،آذری ،امیدی، ملا نظام، شفائی،  ابن یمین ،صابر، میرزا صادق دست غیب؛ خط: نستعلیق، بی کا، بی تا؛ روی برگی در اول تملک آقا احمد کرمانشاهی ؛جلد: تیماج قهوه ای، ۱۵۱ گ، مختلف السطر، اندازه: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۱۳/۵سم [ف: 2- 227]</w:t>
      </w:r>
    </w:p>
    <w:p>
      <w:pPr>
        <w:pStyle w:val="BookText"/>
      </w:pPr>
      <w:r>
        <w:rPr>
          <w:rFonts w:ascii="IRNazanin" w:hAnsi="IRNazanin" w:eastAsia="IRNazanin" w:cs="IRNazanin"/>
          <w:lang w:bidi="fa-IR"/>
          <w:color w:val="111111"/>
          <w:sz w:val="28"/>
          <w:szCs w:val="28"/>
          <w:rtl/>
        </w:rPr>
        <w:t xml:space="preserve">۲۱۸۲. تهران؛ ملی؛ شماره نسخه: ۱۸۵۰۹</w:t>
      </w:r>
    </w:p>
    <w:p>
      <w:pPr>
        <w:pStyle w:val="BookText"/>
      </w:pPr>
      <w:r>
        <w:rPr>
          <w:rFonts w:ascii="IRNazanin" w:hAnsi="IRNazanin" w:eastAsia="IRNazanin" w:cs="IRNazanin"/>
          <w:lang w:bidi="fa-IR"/>
          <w:color w:val="111111"/>
          <w:sz w:val="28"/>
          <w:szCs w:val="28"/>
          <w:rtl/>
        </w:rPr>
        <w:t xml:space="preserve">جنگ اشعار کهن عربی؛ بی کا، بی تا؛ انتقالی از کتابخانه پهلوی-مجموعه نوازی؛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[رایانه]</w:t>
      </w:r>
    </w:p>
    <w:p>
      <w:pPr>
        <w:pStyle w:val="BookText"/>
      </w:pPr>
      <w:r>
        <w:rPr>
          <w:rFonts w:ascii="IRNazanin" w:hAnsi="IRNazanin" w:eastAsia="IRNazanin" w:cs="IRNazanin"/>
          <w:lang w:bidi="fa-IR"/>
          <w:color w:val="111111"/>
          <w:sz w:val="28"/>
          <w:szCs w:val="28"/>
          <w:rtl/>
        </w:rPr>
        <w:t xml:space="preserve">۲۱۸۳ . قم؛ زنجانی (آیة الله)؛ شماره نسخه: ۷۵/۶</w:t>
      </w:r>
    </w:p>
    <w:p>
      <w:pPr>
        <w:pStyle w:val="BookText"/>
      </w:pPr>
      <w:r>
        <w:rPr>
          <w:rFonts w:ascii="IRNazanin" w:hAnsi="IRNazanin" w:eastAsia="IRNazanin" w:cs="IRNazanin"/>
          <w:lang w:bidi="fa-IR"/>
          <w:color w:val="111111"/>
          <w:sz w:val="28"/>
          <w:szCs w:val="28"/>
          <w:rtl/>
        </w:rPr>
        <w:t xml:space="preserve">ابیات و قطعات از: میرزا صائبا، صدر الدین گیلانی (نمقه الحـقیر عبد القادر تولمی) صفی قلی بیک ،کلیم، سید مبارک خان عرب، عارف معارف حاجی محمد  گیلانی ،خیام، وحید، سعدی و جز اینان؛ بی کا، بی تا: قطع: ربعی [ چند نسخه- ف: - ۲۱۹]</w:t>
      </w:r>
    </w:p>
    <w:p>
      <w:pPr>
        <w:pStyle w:val="BookText"/>
      </w:pPr>
      <w:r>
        <w:rPr>
          <w:rFonts w:ascii="IRNazanin" w:hAnsi="IRNazanin" w:eastAsia="IRNazanin" w:cs="IRNazanin"/>
          <w:lang w:bidi="fa-IR"/>
          <w:color w:val="111111"/>
          <w:sz w:val="28"/>
          <w:szCs w:val="28"/>
          <w:rtl/>
        </w:rPr>
        <w:t xml:space="preserve">۲۱۸۴ . قم؛ فیضیه؛ شماره نسخه: ۱۳۴۱/۵</w:t>
      </w:r>
    </w:p>
    <w:p>
      <w:pPr>
        <w:pStyle w:val="BookText"/>
      </w:pPr>
      <w:r>
        <w:rPr>
          <w:rFonts w:ascii="IRNazanin" w:hAnsi="IRNazanin" w:eastAsia="IRNazanin" w:cs="IRNazanin"/>
          <w:lang w:bidi="fa-IR"/>
          <w:color w:val="111111"/>
          <w:sz w:val="28"/>
          <w:szCs w:val="28"/>
          <w:rtl/>
        </w:rPr>
        <w:t xml:space="preserve">قصیده تائیه؛ بی کا،  بی تا؛ ۱۹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۳ - 82]</w:t>
      </w:r>
    </w:p>
    <w:p>
      <w:pPr>
        <w:pStyle w:val="BookText"/>
      </w:pPr>
      <w:r>
        <w:rPr>
          <w:rFonts w:ascii="IRNazanin" w:hAnsi="IRNazanin" w:eastAsia="IRNazanin" w:cs="IRNazanin"/>
          <w:lang w:bidi="fa-IR"/>
          <w:color w:val="111111"/>
          <w:sz w:val="28"/>
          <w:szCs w:val="28"/>
          <w:rtl/>
        </w:rPr>
        <w:t xml:space="preserve">۲۱۸۵. شیراز؛ کاظمی؛ شماره نسخه: ۴</w:t>
      </w:r>
    </w:p>
    <w:p>
      <w:pPr>
        <w:pStyle w:val="BookText"/>
      </w:pPr>
      <w:r>
        <w:rPr>
          <w:rFonts w:ascii="IRNazanin" w:hAnsi="IRNazanin" w:eastAsia="IRNazanin" w:cs="IRNazanin"/>
          <w:lang w:bidi="fa-IR"/>
          <w:color w:val="111111"/>
          <w:sz w:val="28"/>
          <w:szCs w:val="28"/>
          <w:rtl/>
        </w:rPr>
        <w:t xml:space="preserve">دیوان قصاید به عربی که در آن از الازدی نام برده شده اسـت؛</w:t>
      </w:r>
    </w:p>
    <w:p>
      <w:pPr>
        <w:pStyle w:val="BookText"/>
      </w:pPr>
      <w:r>
        <w:rPr>
          <w:rFonts w:ascii="IRNazanin" w:hAnsi="IRNazanin" w:eastAsia="IRNazanin" w:cs="IRNazanin"/>
          <w:lang w:bidi="fa-IR"/>
          <w:color w:val="111111"/>
          <w:sz w:val="28"/>
          <w:szCs w:val="28"/>
          <w:rtl/>
        </w:rPr>
        <w:t xml:space="preserve">بی کا، بی تا؛ نسخه آقای کاظمی [ نشریه: ۵ - ۲۹۵]</w:t>
      </w:r>
    </w:p>
    <w:p>
      <w:pPr>
        <w:pStyle w:val="BookText"/>
      </w:pPr>
      <w:r>
        <w:rPr>
          <w:rFonts w:ascii="IRNazanin" w:hAnsi="IRNazanin" w:eastAsia="IRNazanin" w:cs="IRNazanin"/>
          <w:lang w:bidi="fa-IR"/>
          <w:color w:val="111111"/>
          <w:sz w:val="28"/>
          <w:szCs w:val="28"/>
          <w:rtl/>
        </w:rPr>
        <w:t xml:space="preserve">۲۱۸۶. تهران؛ دانشگاه؛ شماره نسخه: ۹۹۶۶-۹۹۶۴</w:t>
      </w:r>
    </w:p>
    <w:p>
      <w:pPr>
        <w:pStyle w:val="BookText"/>
      </w:pPr>
      <w:r>
        <w:rPr>
          <w:rFonts w:ascii="IRNazanin" w:hAnsi="IRNazanin" w:eastAsia="IRNazanin" w:cs="IRNazanin"/>
          <w:lang w:bidi="fa-IR"/>
          <w:color w:val="111111"/>
          <w:sz w:val="28"/>
          <w:szCs w:val="28"/>
          <w:rtl/>
        </w:rPr>
        <w:t xml:space="preserve">مثنوى حب الوطن است که سراینده به انگیزه پدرش «حـاج ذوالریاستین» سروده و در ۱۳۳۶ بدان می پرداخته و «خائف صدر المتكلمين وقدوة المتالهین» در ساختن و پرداختن آن کوشیده است (دفتر سوم)، در تاریخ مشروطیت است؛ خط: نستعلیق، بی کا، بی تا؛ نستعلیق اصل؛ کاغذ: فرنگی، جلد: تیماج تریاکی و مقوایی، خشتی [ف: ۱۷ - ۵۱۵]</w:t>
      </w:r>
    </w:p>
    <w:p>
      <w:pPr>
        <w:pStyle w:val="BookText"/>
      </w:pPr>
      <w:r>
        <w:rPr>
          <w:rFonts w:ascii="IRNazanin" w:hAnsi="IRNazanin" w:eastAsia="IRNazanin" w:cs="IRNazanin"/>
          <w:lang w:bidi="fa-IR"/>
          <w:color w:val="111111"/>
          <w:sz w:val="28"/>
          <w:szCs w:val="28"/>
          <w:rtl/>
        </w:rPr>
        <w:t xml:space="preserve">۲۱۸۷ کاشان ،عاطفی، حسن؛ شماره نسخه: ۱۰/۲</w:t>
      </w:r>
    </w:p>
    <w:p>
      <w:pPr>
        <w:pStyle w:val="BookText"/>
      </w:pPr>
      <w:r>
        <w:rPr>
          <w:rFonts w:ascii="IRNazanin" w:hAnsi="IRNazanin" w:eastAsia="IRNazanin" w:cs="IRNazanin"/>
          <w:lang w:bidi="fa-IR"/>
          <w:color w:val="111111"/>
          <w:sz w:val="28"/>
          <w:szCs w:val="28"/>
          <w:rtl/>
        </w:rPr>
        <w:t xml:space="preserve">آغاز: قصه جبرئیل و ارشادش*** که علی بود پیر استادش؛</w:t>
      </w:r>
    </w:p>
    <w:p>
      <w:pPr>
        <w:pStyle w:val="BookText"/>
      </w:pPr>
      <w:r>
        <w:rPr>
          <w:rFonts w:ascii="IRNazanin" w:hAnsi="IRNazanin" w:eastAsia="IRNazanin" w:cs="IRNazanin"/>
          <w:lang w:bidi="fa-IR"/>
          <w:color w:val="111111"/>
          <w:sz w:val="28"/>
          <w:szCs w:val="28"/>
          <w:rtl/>
        </w:rPr>
        <w:t xml:space="preserve">انجام: بخششان تو ای شاه چهاندار*** که هستند روسیاه زشت</w:t>
      </w:r>
    </w:p>
    <w:p>
      <w:pPr>
        <w:pStyle w:val="BookText"/>
      </w:pPr>
      <w:r>
        <w:rPr>
          <w:rFonts w:ascii="IRNazanin" w:hAnsi="IRNazanin" w:eastAsia="IRNazanin" w:cs="IRNazanin"/>
          <w:lang w:bidi="fa-IR"/>
          <w:color w:val="111111"/>
          <w:sz w:val="28"/>
          <w:szCs w:val="28"/>
          <w:rtl/>
        </w:rPr>
        <w:t xml:space="preserve">گفتار مثنوی درباره علی (علیه السّلام) است؛ بی کا، بی تا؛ افتادگی: آغاز؛ [نشریه:11- 953]</w:t>
      </w:r>
    </w:p>
    <w:p>
      <w:pPr>
        <w:pStyle w:val="BookText"/>
      </w:pPr>
      <w:r>
        <w:rPr>
          <w:rFonts w:ascii="IRNazanin" w:hAnsi="IRNazanin" w:eastAsia="IRNazanin" w:cs="IRNazanin"/>
          <w:lang w:bidi="fa-IR"/>
          <w:color w:val="111111"/>
          <w:sz w:val="28"/>
          <w:szCs w:val="28"/>
          <w:rtl/>
        </w:rPr>
        <w:t xml:space="preserve">۲۱۸۸. رشت؛ جمعیت نشر فرهنگ؛ شماره نسخه: ۳۱۲/۷</w:t>
      </w:r>
    </w:p>
    <w:p>
      <w:pPr>
        <w:pStyle w:val="BookText"/>
      </w:pPr>
      <w:r>
        <w:rPr>
          <w:rFonts w:ascii="IRNazanin" w:hAnsi="IRNazanin" w:eastAsia="IRNazanin" w:cs="IRNazanin"/>
          <w:lang w:bidi="fa-IR"/>
          <w:color w:val="111111"/>
          <w:sz w:val="28"/>
          <w:szCs w:val="28"/>
          <w:rtl/>
        </w:rPr>
        <w:t xml:space="preserve">مثنوى ناصر الدین شاه در نکوهش حکیم باشی است: «ای حکیم الممالک سلطان*** که به شاگردیت سزد لقمان»؛ بی کا، بی تا ؛قطع: بیاض رقعی [رشت و همدان :ف: - ۱۲۱۶]</w:t>
      </w:r>
    </w:p>
    <w:p>
      <w:pPr>
        <w:pStyle w:val="BookText"/>
      </w:pPr>
      <w:r>
        <w:rPr>
          <w:rFonts w:ascii="IRNazanin" w:hAnsi="IRNazanin" w:eastAsia="IRNazanin" w:cs="IRNazanin"/>
          <w:lang w:bidi="fa-IR"/>
          <w:color w:val="111111"/>
          <w:sz w:val="28"/>
          <w:szCs w:val="28"/>
          <w:rtl/>
        </w:rPr>
        <w:t xml:space="preserve">۲۱۸۹ . تهران؛ دانشسرای عالی - کتابخانه میرزا عبدالعظیم خان قریب گرکانی؛ شماره نسخه: ۸۸/۱۸</w:t>
      </w:r>
    </w:p>
    <w:p>
      <w:pPr>
        <w:pStyle w:val="BookText"/>
      </w:pPr>
      <w:r>
        <w:rPr>
          <w:rFonts w:ascii="IRNazanin" w:hAnsi="IRNazanin" w:eastAsia="IRNazanin" w:cs="IRNazanin"/>
          <w:lang w:bidi="fa-IR"/>
          <w:color w:val="111111"/>
          <w:sz w:val="28"/>
          <w:szCs w:val="28"/>
          <w:rtl/>
        </w:rPr>
        <w:t xml:space="preserve">مثنوی های مشکی است؛ بی کا، بی تا؛ در میانه و به رنگ زعفرانی؛</w:t>
      </w:r>
    </w:p>
    <w:p>
      <w:pPr>
        <w:pStyle w:val="BookText"/>
      </w:pPr>
      <w:r>
        <w:rPr>
          <w:rFonts w:ascii="IRNazanin" w:hAnsi="IRNazanin" w:eastAsia="IRNazanin" w:cs="IRNazanin"/>
          <w:lang w:bidi="fa-IR"/>
          <w:color w:val="111111"/>
          <w:sz w:val="28"/>
          <w:szCs w:val="28"/>
          <w:rtl/>
        </w:rPr>
        <w:t xml:space="preserve">کاغذ: کبود، قطع: بغلی بیاضی [نشریه: ۵ – ۶۲۲]</w:t>
      </w:r>
    </w:p>
    <w:p>
      <w:pPr>
        <w:pStyle w:val="BookText"/>
      </w:pPr>
      <w:r>
        <w:rPr>
          <w:rFonts w:ascii="IRNazanin" w:hAnsi="IRNazanin" w:eastAsia="IRNazanin" w:cs="IRNazanin"/>
          <w:lang w:bidi="fa-IR"/>
          <w:color w:val="111111"/>
          <w:sz w:val="28"/>
          <w:szCs w:val="28"/>
          <w:rtl/>
        </w:rPr>
        <w:t xml:space="preserve">۲۱۹۰. تهران؛ دانشگاه؛ شماره نسخه: ۹۵۸۸</w:t>
      </w:r>
    </w:p>
    <w:p>
      <w:pPr>
        <w:pStyle w:val="BookText"/>
      </w:pPr>
      <w:r>
        <w:rPr>
          <w:rFonts w:ascii="IRNazanin" w:hAnsi="IRNazanin" w:eastAsia="IRNazanin" w:cs="IRNazanin"/>
          <w:lang w:bidi="fa-IR"/>
          <w:color w:val="111111"/>
          <w:sz w:val="28"/>
          <w:szCs w:val="28"/>
          <w:rtl/>
        </w:rPr>
        <w:t xml:space="preserve">جنگ اشعار مولوی و حافظ و دیگران با پراکنده هایی از لغت های فرانسه به فارسی شش دفتر است در یک جلد؛ خط: نستعلیق، کا: خان بابای طباطبائی نایینی، بی تا :کاغذ: فرنگی، جلد: تازه، ۲۱۵گ، ۱۷ 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قطع ،ربعی،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17- 414]</w:t>
      </w:r>
    </w:p>
    <w:p>
      <w:pPr>
        <w:pStyle w:val="BookText"/>
      </w:pPr>
      <w:r>
        <w:rPr>
          <w:rFonts w:ascii="Times New Roman" w:hAnsi="Times New Roman" w:eastAsia="Times New Roman" w:cs="Times New Roman"/>
          <w:lang w:val="en-US" w:bidi="en-US"/>
          <w:color w:val="111111"/>
          <w:sz w:val="28"/>
          <w:szCs w:val="28"/>
          <w:rtl/>
        </w:rPr>
        <w:t xml:space="preserve">2191.</w:t>
      </w:r>
    </w:p>
    <w:p>
      <w:pPr>
        <w:pStyle w:val="BookText"/>
      </w:pPr>
      <w:r>
        <w:rPr>
          <w:rFonts w:ascii="IRNazanin" w:hAnsi="IRNazanin" w:eastAsia="IRNazanin" w:cs="IRNazanin"/>
          <w:lang w:bidi="fa-IR"/>
          <w:color w:val="111111"/>
          <w:sz w:val="28"/>
          <w:szCs w:val="28"/>
          <w:rtl/>
        </w:rPr>
        <w:t xml:space="preserve">تهران؛ مفتاح؛ شماره نسخه: ۴۵۶/۴</w:t>
      </w:r>
    </w:p>
    <w:p>
      <w:pPr>
        <w:pStyle w:val="BookText"/>
      </w:pPr>
      <w:r>
        <w:rPr>
          <w:rFonts w:ascii="IRNazanin" w:hAnsi="IRNazanin" w:eastAsia="IRNazanin" w:cs="IRNazanin"/>
          <w:lang w:bidi="fa-IR"/>
          <w:color w:val="111111"/>
          <w:sz w:val="28"/>
          <w:szCs w:val="28"/>
          <w:rtl/>
        </w:rPr>
        <w:t xml:space="preserve">چند بیتی از ترکیب بندی در کیمیا ؛خط: نستعلیق، کا: محمد فاروق، بی تا؛ قطع: ربعی [نشریه: ۷ - ۲۴۱]</w:t>
      </w:r>
    </w:p>
    <w:p>
      <w:pPr>
        <w:pStyle w:val="BookText"/>
      </w:pPr>
      <w:r>
        <w:rPr>
          <w:rFonts w:ascii="IRNazanin" w:hAnsi="IRNazanin" w:eastAsia="IRNazanin" w:cs="IRNazanin"/>
          <w:lang w:bidi="fa-IR"/>
          <w:color w:val="111111"/>
          <w:sz w:val="28"/>
          <w:szCs w:val="28"/>
          <w:rtl/>
        </w:rPr>
        <w:t xml:space="preserve">۲۱۹۲ . مشهد؛ ادبیات؛ شماره نسخه: ۲۵/۱۰ فرخ</w:t>
      </w:r>
    </w:p>
    <w:p>
      <w:pPr>
        <w:pStyle w:val="BookText"/>
      </w:pPr>
      <w:r>
        <w:rPr>
          <w:rFonts w:ascii="IRNazanin" w:hAnsi="IRNazanin" w:eastAsia="IRNazanin" w:cs="IRNazanin"/>
          <w:lang w:bidi="fa-IR"/>
          <w:color w:val="111111"/>
          <w:sz w:val="28"/>
          <w:szCs w:val="28"/>
          <w:rtl/>
        </w:rPr>
        <w:t xml:space="preserve">ترجیع بند هاتف، شعری از رضی الدین «الهی بمستان میخوانه ات ...» قطعه شعری در نصیحت، اخباری در فضل امامان، قطعه ای از شیرین و فرهاد؛ خط: نسخ و نستعلیق، کا: حسین بن علی اکبر اصفهانی، بی تا، جا: نجف اشرف؛ کاغذ: الوان، جلد: تيماج لایه ای ،مشکی، قطع: خشتی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۱۹۸]</w:t>
      </w:r>
    </w:p>
    <w:p>
      <w:pPr>
        <w:pStyle w:val="BookText"/>
      </w:pPr>
      <w:r>
        <w:rPr>
          <w:rFonts w:ascii="IRNazanin" w:hAnsi="IRNazanin" w:eastAsia="IRNazanin" w:cs="IRNazanin"/>
          <w:lang w:bidi="fa-IR"/>
          <w:color w:val="111111"/>
          <w:sz w:val="28"/>
          <w:szCs w:val="28"/>
          <w:rtl/>
        </w:rPr>
        <w:t xml:space="preserve">۲۱۹۳. اصفهان؛ ،روضاتی، سید محمد علی؛ شماره نسخه: ۲/۱۴</w:t>
      </w:r>
    </w:p>
    <w:p>
      <w:pPr>
        <w:pStyle w:val="BookText"/>
      </w:pPr>
      <w:r>
        <w:rPr>
          <w:rFonts w:ascii="IRNazanin" w:hAnsi="IRNazanin" w:eastAsia="IRNazanin" w:cs="IRNazanin"/>
          <w:lang w:bidi="fa-IR"/>
          <w:color w:val="111111"/>
          <w:sz w:val="28"/>
          <w:szCs w:val="28"/>
          <w:rtl/>
        </w:rPr>
        <w:t xml:space="preserve">اشعاری است در تاریخ تولد و وفات تیمور خان و شاهرخ میرزا و کارد زدن شاهرخ میرزا و شکست سلطان ابوسعید میرزا و وفات بایسنغر و الغ بیک و کبک میرزا و سلطان حسین میرزا؛ خط: نستعلیق زیبا، بی کا، بی تا؛ ۲گ (۱۵۰پ-۱۵۱ر)،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 نشریه: ۵ - ۱۳۸]</w:t>
      </w:r>
    </w:p>
    <w:p>
      <w:pPr>
        <w:pStyle w:val="BookText"/>
      </w:pPr>
      <w:r>
        <w:rPr>
          <w:rFonts w:ascii="IRNazanin" w:hAnsi="IRNazanin" w:eastAsia="IRNazanin" w:cs="IRNazanin"/>
          <w:lang w:bidi="fa-IR"/>
          <w:color w:val="111111"/>
          <w:sz w:val="28"/>
          <w:szCs w:val="28"/>
          <w:rtl/>
        </w:rPr>
        <w:t xml:space="preserve">۲۱۹۴. تهران؛ دانشگاه؛ شماره نسخه: ۴۶۴۳/۱</w:t>
      </w:r>
    </w:p>
    <w:p>
      <w:pPr>
        <w:pStyle w:val="BookText"/>
      </w:pPr>
      <w:r>
        <w:rPr>
          <w:rFonts w:ascii="IRNazanin" w:hAnsi="IRNazanin" w:eastAsia="IRNazanin" w:cs="IRNazanin"/>
          <w:lang w:bidi="fa-IR"/>
          <w:color w:val="111111"/>
          <w:sz w:val="28"/>
          <w:szCs w:val="28"/>
          <w:rtl/>
        </w:rPr>
        <w:t xml:space="preserve">شعر ابوطالب عم پیامبر و علی و استخاراتی از قرآن که گویا نویسنده و گرد آوردنده از «الدر المنثور» شیخ علی عاملی (ف ۱۳۰۲) گرفته است؛ خط: نسخ و نستعلیق، كا: عبدالله بن عنایت الله ، بی تا؛ کاغذ: فرنگی، جلد: پارچه سرخ گوشه ها و عطف تیماج مشکی، ۱۴ص (۱-۱۴)، سطور چلیپا، ابعاد متن: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۱۴ - ۳۵۷۸]</w:t>
      </w:r>
    </w:p>
    <w:p>
      <w:pPr>
        <w:pStyle w:val="BookText"/>
      </w:pPr>
      <w:r>
        <w:rPr>
          <w:rFonts w:ascii="IRNazanin" w:hAnsi="IRNazanin" w:eastAsia="IRNazanin" w:cs="IRNazanin"/>
          <w:lang w:bidi="fa-IR"/>
          <w:color w:val="111111"/>
          <w:sz w:val="28"/>
          <w:szCs w:val="28"/>
          <w:rtl/>
        </w:rPr>
        <w:t xml:space="preserve">۲۱۹۵. تهران؛ فرمانفرمائیان حافظ (دکتر)؛ شماره نسخه: بدون شماره/ ۱۰
</w:t>
      </w:r>
    </w:p>
    <w:p>
      <w:pPr>
        <w:sectPr>
          <w:footerReference w:type="default" r:id="rId9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شعر صایب است؛ بی کا، بی تا؛ جلد: تیماج مشکی زرکوب مقوایی، ربعی، ۱گ (۱۵۸ر) [ نشریه: ۷ - ۵۵۱]</w:t>
      </w:r>
    </w:p>
    <w:p>
      <w:pPr>
        <w:pStyle w:val="BookText"/>
      </w:pPr>
      <w:r>
        <w:rPr>
          <w:rFonts w:ascii="IRNazanin" w:hAnsi="IRNazanin" w:eastAsia="IRNazanin" w:cs="IRNazanin"/>
          <w:lang w:bidi="fa-IR"/>
          <w:color w:val="111111"/>
          <w:sz w:val="28"/>
          <w:szCs w:val="28"/>
          <w:rtl/>
        </w:rPr>
        <w:t xml:space="preserve">۲۱۹۶. تهران؛ دانشگاه؛ شماره نسخه: ۸۸۱۷/۳</w:t>
      </w:r>
    </w:p>
    <w:p>
      <w:pPr>
        <w:pStyle w:val="BookText"/>
      </w:pPr>
      <w:r>
        <w:rPr>
          <w:rFonts w:ascii="IRNazanin" w:hAnsi="IRNazanin" w:eastAsia="IRNazanin" w:cs="IRNazanin"/>
          <w:lang w:bidi="fa-IR"/>
          <w:color w:val="111111"/>
          <w:sz w:val="28"/>
          <w:szCs w:val="28"/>
          <w:rtl/>
        </w:rPr>
        <w:t xml:space="preserve">شعرهای سعدی و حافظ و مظهر است؛ خط: شکسته نستعلـیق،بی کا، بی تا؛ :کاغذ: فرنگی ،جلد: گالینگور عطف میشن مشکـی،  ربعی، ۸گ (۹۵ ر - ۱۰۳پ)، ۱۷ سطر (8</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ف : ۱۷ - ۲۲۷]</w:t>
      </w:r>
    </w:p>
    <w:p>
      <w:pPr>
        <w:pStyle w:val="BookText"/>
      </w:pPr>
      <w:r>
        <w:rPr>
          <w:rFonts w:ascii="IRNazanin" w:hAnsi="IRNazanin" w:eastAsia="IRNazanin" w:cs="IRNazanin"/>
          <w:lang w:bidi="fa-IR"/>
          <w:color w:val="111111"/>
          <w:sz w:val="28"/>
          <w:szCs w:val="28"/>
          <w:rtl/>
        </w:rPr>
        <w:t xml:space="preserve">۲۱۹۷. تهران؛ دانشگاه؛ شماره نسخه: ۲۴۶۶/۱۰</w:t>
      </w:r>
    </w:p>
    <w:p>
      <w:pPr>
        <w:pStyle w:val="BookText"/>
      </w:pPr>
      <w:r>
        <w:rPr>
          <w:rFonts w:ascii="IRNazanin" w:hAnsi="IRNazanin" w:eastAsia="IRNazanin" w:cs="IRNazanin"/>
          <w:lang w:bidi="fa-IR"/>
          <w:color w:val="111111"/>
          <w:sz w:val="28"/>
          <w:szCs w:val="28"/>
          <w:rtl/>
        </w:rPr>
        <w:t xml:space="preserve">شعرهای طالب است ؛خط: نستعلیق، کا: عبدالصمد بن حاجی ابو طالب، بی تا؛ کاغذ: سپاهانی ،جلد: تیماج قهوه ای ضربی زرکوب مقوایی با لولا اص ،(۳۲۴) ابعاد متن: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۳۲سم [ف: ۹ - ۱۲۳۴]</w:t>
      </w:r>
    </w:p>
    <w:p>
      <w:pPr>
        <w:pStyle w:val="BookText"/>
      </w:pPr>
      <w:r>
        <w:rPr>
          <w:rFonts w:ascii="IRNazanin" w:hAnsi="IRNazanin" w:eastAsia="IRNazanin" w:cs="IRNazanin"/>
          <w:lang w:bidi="fa-IR"/>
          <w:color w:val="111111"/>
          <w:sz w:val="28"/>
          <w:szCs w:val="28"/>
          <w:rtl/>
        </w:rPr>
        <w:t xml:space="preserve">۲۱۹۸. تهران؛ دانشگاه؛ شماره نسخه: ۸۵۱۹/۵</w:t>
      </w:r>
    </w:p>
    <w:p>
      <w:pPr>
        <w:pStyle w:val="BookText"/>
      </w:pPr>
      <w:r>
        <w:rPr>
          <w:rFonts w:ascii="IRNazanin" w:hAnsi="IRNazanin" w:eastAsia="IRNazanin" w:cs="IRNazanin"/>
          <w:lang w:bidi="fa-IR"/>
          <w:color w:val="111111"/>
          <w:sz w:val="28"/>
          <w:szCs w:val="28"/>
          <w:rtl/>
        </w:rPr>
        <w:t xml:space="preserve">شعرهای فارسی عرفی و میرابوالقاسم فندرسکی و طالب و ندیم الحكماء شفائی؛ بی کا، بی تا؛ کاغذ: سپاهانی، جلد: تیماج مشـکی ضربی مقوایی، ۹گ (۱۶پ-۲۵پ)، ۲۰ سطر (7</w:t>
      </w:r>
      <w:r>
        <w:rPr>
          <w:rFonts w:ascii="Times New Roman" w:hAnsi="Times New Roman" w:eastAsia="Times New Roman" w:cs="Times New Roman"/>
          <w:lang w:val="en-US" w:bidi="en-US"/>
          <w:color w:val="111111"/>
          <w:sz w:val="28"/>
          <w:szCs w:val="28"/>
          <w:rtl/>
        </w:rPr>
        <w:t xml:space="preserve">×9) [</w:t>
      </w:r>
      <w:r>
        <w:rPr>
          <w:rFonts w:ascii="IRNazanin" w:hAnsi="IRNazanin" w:eastAsia="IRNazanin" w:cs="IRNazanin"/>
          <w:lang w:bidi="fa-IR"/>
          <w:color w:val="111111"/>
          <w:sz w:val="28"/>
          <w:szCs w:val="28"/>
          <w:rtl/>
        </w:rPr>
        <w:t xml:space="preserve">ف : ۱۷ - 152]</w:t>
      </w:r>
    </w:p>
    <w:p>
      <w:pPr>
        <w:pStyle w:val="BookText"/>
      </w:pPr>
      <w:r>
        <w:rPr>
          <w:rFonts w:ascii="IRNazanin" w:hAnsi="IRNazanin" w:eastAsia="IRNazanin" w:cs="IRNazanin"/>
          <w:lang w:bidi="fa-IR"/>
          <w:color w:val="111111"/>
          <w:sz w:val="28"/>
          <w:szCs w:val="28"/>
          <w:rtl/>
        </w:rPr>
        <w:t xml:space="preserve">۲۱۹۹ ،تهران ،فرمانفرمائیان حافظ (دکتر)؛ شماره نسخه: بدون شماره/ 9</w:t>
      </w:r>
    </w:p>
    <w:p>
      <w:pPr>
        <w:pStyle w:val="BookText"/>
      </w:pPr>
      <w:r>
        <w:rPr>
          <w:rFonts w:ascii="IRNazanin" w:hAnsi="IRNazanin" w:eastAsia="IRNazanin" w:cs="IRNazanin"/>
          <w:lang w:bidi="fa-IR"/>
          <w:color w:val="111111"/>
          <w:sz w:val="28"/>
          <w:szCs w:val="28"/>
          <w:rtl/>
        </w:rPr>
        <w:t xml:space="preserve">شعر واعظ است؛ بی کا، بی تا؛ جلد: تیماج مشکی زرکوب مقوایی، اگ (۱۷۴ر و پ) قطع: ربعی [نشریه: ۷ - ۵۵۱]</w:t>
      </w:r>
    </w:p>
    <w:p>
      <w:pPr>
        <w:pStyle w:val="BookText"/>
      </w:pPr>
      <w:r>
        <w:rPr>
          <w:rFonts w:ascii="IRNazanin" w:hAnsi="IRNazanin" w:eastAsia="IRNazanin" w:cs="IRNazanin"/>
          <w:lang w:bidi="fa-IR"/>
          <w:color w:val="111111"/>
          <w:sz w:val="28"/>
          <w:szCs w:val="28"/>
          <w:rtl/>
        </w:rPr>
        <w:t xml:space="preserve">۲۲۰۰. تبریز؛ ملی؛ شماره نسخه: ۲۹۲۷</w:t>
      </w:r>
    </w:p>
    <w:p>
      <w:pPr>
        <w:pStyle w:val="BookText"/>
      </w:pPr>
      <w:r>
        <w:rPr>
          <w:rFonts w:ascii="IRNazanin" w:hAnsi="IRNazanin" w:eastAsia="IRNazanin" w:cs="IRNazanin"/>
          <w:lang w:bidi="fa-IR"/>
          <w:color w:val="111111"/>
          <w:sz w:val="28"/>
          <w:szCs w:val="28"/>
          <w:rtl/>
        </w:rPr>
        <w:t xml:space="preserve">منتخب اشعار و آثاری است از شعرا و نویسندگان متقدم ومعاصر؛ قسمت آثار معاصر به خصوص آثار گویندگان عهد قیام مشروطیت جالب توجه می باشد و از تاریخ ۱۳۱۷ الی ۱۳۱۹ هـ  ق نوشته شده است؛ بی کا، بی تا؛ ۱۱۳گ، ۱۴ 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۱ -۳۶۷]</w:t>
      </w:r>
    </w:p>
    <w:p>
      <w:pPr>
        <w:pStyle w:val="BookText"/>
      </w:pPr>
      <w:r>
        <w:rPr>
          <w:rFonts w:ascii="IRNazanin" w:hAnsi="IRNazanin" w:eastAsia="IRNazanin" w:cs="IRNazanin"/>
          <w:lang w:bidi="fa-IR"/>
          <w:color w:val="111111"/>
          <w:sz w:val="28"/>
          <w:szCs w:val="28"/>
          <w:rtl/>
        </w:rPr>
        <w:t xml:space="preserve">۲۲۰۱ . مشهد؛ ادبیات؛ شماره نسخه: ۲۳/۲ فرخ</w:t>
      </w:r>
    </w:p>
    <w:p>
      <w:pPr>
        <w:pStyle w:val="BookText"/>
      </w:pPr>
      <w:r>
        <w:rPr>
          <w:rFonts w:ascii="IRNazanin" w:hAnsi="IRNazanin" w:eastAsia="IRNazanin" w:cs="IRNazanin"/>
          <w:lang w:bidi="fa-IR"/>
          <w:color w:val="111111"/>
          <w:sz w:val="28"/>
          <w:szCs w:val="28"/>
          <w:rtl/>
        </w:rPr>
        <w:t xml:space="preserve">از وحشی، بافقی، هاتفی ،شرف ،حامی ،آذر ،خاقانی، صائـب، جامی، ابن یمین و مطایبات و فوائدی چند به نثر ؛خط: شکسـته نستعلیق، بی کا، بی تا؛ افتادگی: آغاز؛ كاغذ: فستقى، جلد: مقوا، عطف و گوشه میشن قهوه ای، ۱۴-۱۶ سطر، قطع: پستی،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۱۶۶]</w:t>
      </w:r>
    </w:p>
    <w:p>
      <w:pPr>
        <w:pStyle w:val="BookText"/>
      </w:pPr>
      <w:r>
        <w:rPr>
          <w:rFonts w:ascii="IRNazanin" w:hAnsi="IRNazanin" w:eastAsia="IRNazanin" w:cs="IRNazanin"/>
          <w:lang w:bidi="fa-IR"/>
          <w:color w:val="111111"/>
          <w:sz w:val="28"/>
          <w:szCs w:val="28"/>
          <w:rtl/>
        </w:rPr>
        <w:t xml:space="preserve">۲۲۰۲ . تهران؛ ملی؛ شماره نسخه: ۱۸۰۲۲</w:t>
      </w:r>
    </w:p>
    <w:p>
      <w:pPr>
        <w:pStyle w:val="BookText"/>
      </w:pPr>
      <w:r>
        <w:rPr>
          <w:rFonts w:ascii="IRNazanin" w:hAnsi="IRNazanin" w:eastAsia="IRNazanin" w:cs="IRNazanin"/>
          <w:lang w:bidi="fa-IR"/>
          <w:color w:val="111111"/>
          <w:sz w:val="28"/>
          <w:szCs w:val="28"/>
          <w:rtl/>
        </w:rPr>
        <w:t xml:space="preserve">مثنوی و ...؛ بی کا، بی تا؛ انتقالی از کتابخانه پهلوی - مجموعه نوازی؛ ۳۴گ ،اندازه: ۱۶/۲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۲۳/۹سم [رایانه]</w:t>
      </w:r>
    </w:p>
    <w:p>
      <w:pPr>
        <w:pStyle w:val="BookText"/>
      </w:pPr>
      <w:r>
        <w:rPr>
          <w:rFonts w:ascii="IRNazanin" w:hAnsi="IRNazanin" w:eastAsia="IRNazanin" w:cs="IRNazanin"/>
          <w:lang w:bidi="fa-IR"/>
          <w:color w:val="111111"/>
          <w:sz w:val="28"/>
          <w:szCs w:val="28"/>
          <w:rtl/>
        </w:rPr>
        <w:t xml:space="preserve">۲۲۰۳ . تهران؛ ملی؛ شماره نسخه: ۱۸۳۸۵</w:t>
      </w:r>
    </w:p>
    <w:p>
      <w:pPr>
        <w:pStyle w:val="BookText"/>
      </w:pPr>
      <w:r>
        <w:rPr>
          <w:rFonts w:ascii="IRNazanin" w:hAnsi="IRNazanin" w:eastAsia="IRNazanin" w:cs="IRNazanin"/>
          <w:lang w:bidi="fa-IR"/>
          <w:color w:val="111111"/>
          <w:sz w:val="28"/>
          <w:szCs w:val="28"/>
          <w:rtl/>
        </w:rPr>
        <w:t xml:space="preserve">تضمین غزلیاز حافظ؛بی کا، بی تا؛ انتقالی از کتابخانه پهلوی- مجموعه نوازی؛ ۸گ، اندازه: ۱۳/۲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۲۰/۴سم [رایانه]</w:t>
      </w:r>
    </w:p>
    <w:p>
      <w:pPr>
        <w:pStyle w:val="BookText"/>
      </w:pPr>
      <w:r>
        <w:rPr>
          <w:rFonts w:ascii="IRNazanin" w:hAnsi="IRNazanin" w:eastAsia="IRNazanin" w:cs="IRNazanin"/>
          <w:lang w:bidi="fa-IR"/>
          <w:color w:val="111111"/>
          <w:sz w:val="28"/>
          <w:szCs w:val="28"/>
          <w:rtl/>
        </w:rPr>
        <w:t xml:space="preserve">۲۲۰۴ . قم؛ فیضیه؛ شماره نسخه: ۴۷۱/۶</w:t>
      </w:r>
    </w:p>
    <w:p>
      <w:pPr>
        <w:pStyle w:val="BookText"/>
      </w:pPr>
      <w:r>
        <w:rPr>
          <w:rFonts w:ascii="IRNazanin" w:hAnsi="IRNazanin" w:eastAsia="IRNazanin" w:cs="IRNazanin"/>
          <w:lang w:bidi="fa-IR"/>
          <w:color w:val="111111"/>
          <w:sz w:val="28"/>
          <w:szCs w:val="28"/>
          <w:rtl/>
        </w:rPr>
        <w:t xml:space="preserve">از نظامی و چند بیتی به ترکی از سعدی (؟) و اشعاری بسیار از بهجت گویا این اخیر به خط سراینده؛ خط: نستعلیق، بی کا، بی تا؛ ۲۰گ، ۲۱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۲۹سم [ف: ۳ - ۱۲]</w:t>
      </w:r>
    </w:p>
    <w:p>
      <w:pPr>
        <w:pStyle w:val="BookText"/>
      </w:pPr>
      <w:r>
        <w:rPr>
          <w:rFonts w:ascii="IRNazanin" w:hAnsi="IRNazanin" w:eastAsia="IRNazanin" w:cs="IRNazanin"/>
          <w:lang w:bidi="fa-IR"/>
          <w:color w:val="111111"/>
          <w:sz w:val="28"/>
          <w:szCs w:val="28"/>
          <w:rtl/>
        </w:rPr>
        <w:t xml:space="preserve">۲۲۰۵. تهران؛ مجلس؛ شماره نسخه: ۷۳۵۳/۵</w:t>
      </w:r>
    </w:p>
    <w:p>
      <w:pPr>
        <w:pStyle w:val="BookText"/>
      </w:pPr>
      <w:r>
        <w:rPr>
          <w:rFonts w:ascii="IRNazanin" w:hAnsi="IRNazanin" w:eastAsia="IRNazanin" w:cs="IRNazanin"/>
          <w:lang w:bidi="fa-IR"/>
          <w:color w:val="111111"/>
          <w:sz w:val="28"/>
          <w:szCs w:val="28"/>
          <w:rtl/>
        </w:rPr>
        <w:t xml:space="preserve">خط: نستعليق، كا: حاجی ملامحمد نعمت اللهی، بی تا؛ جـلد: تیماج قهوه ای، ۲۴گ (۲۵ ر - ۲۷۳ر)،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[ف:25- 332]</w:t>
      </w:r>
    </w:p>
    <w:p>
      <w:pPr>
        <w:pStyle w:val="BookText"/>
      </w:pPr>
      <w:r>
        <w:rPr>
          <w:rFonts w:ascii="IRNazanin" w:hAnsi="IRNazanin" w:eastAsia="IRNazanin" w:cs="IRNazanin"/>
          <w:lang w:bidi="fa-IR"/>
          <w:color w:val="111111"/>
          <w:sz w:val="28"/>
          <w:szCs w:val="28"/>
          <w:rtl/>
        </w:rPr>
        <w:t xml:space="preserve">۲۲۰۶ . تهران؛ سعید نفیسی؛ شماره نسخه: ۶۴</w:t>
      </w:r>
    </w:p>
    <w:p>
      <w:pPr>
        <w:pStyle w:val="BookText"/>
      </w:pPr>
      <w:r>
        <w:rPr>
          <w:rFonts w:ascii="IRNazanin" w:hAnsi="IRNazanin" w:eastAsia="IRNazanin" w:cs="IRNazanin"/>
          <w:lang w:bidi="fa-IR"/>
          <w:color w:val="111111"/>
          <w:sz w:val="28"/>
          <w:szCs w:val="28"/>
          <w:rtl/>
        </w:rPr>
        <w:t xml:space="preserve">جنگ اشعار است؛ بی کا، بی تا [نشریه: ۷ - ۶۸۹]</w:t>
      </w:r>
    </w:p>
    <w:p>
      <w:pPr>
        <w:pStyle w:val="BookText"/>
      </w:pPr>
      <w:r>
        <w:rPr>
          <w:rFonts w:ascii="IRNazanin" w:hAnsi="IRNazanin" w:eastAsia="IRNazanin" w:cs="IRNazanin"/>
          <w:lang w:bidi="fa-IR"/>
          <w:color w:val="111111"/>
          <w:sz w:val="28"/>
          <w:szCs w:val="28"/>
          <w:rtl/>
        </w:rPr>
        <w:t xml:space="preserve">۲۲۰۷ . مشهد؛ اصغر زاده، سید علی اصغر؛ شماره نسخه: ۱۰</w:t>
      </w:r>
    </w:p>
    <w:p>
      <w:pPr>
        <w:pStyle w:val="BookText"/>
      </w:pPr>
      <w:r>
        <w:rPr>
          <w:rFonts w:ascii="IRNazanin" w:hAnsi="IRNazanin" w:eastAsia="IRNazanin" w:cs="IRNazanin"/>
          <w:lang w:bidi="fa-IR"/>
          <w:color w:val="111111"/>
          <w:sz w:val="28"/>
          <w:szCs w:val="28"/>
          <w:rtl/>
        </w:rPr>
        <w:t xml:space="preserve">آغاز: معذور دار اگر بنیوشی زما دروغ *** زیرا که هست شیوه ما اشقيا دروغ؛ انجام: گویند تا که معشر بی شرم شاعران *** ابنای دهر را به ثنا و هجا دروغ / در شهر شیعیان تو ای صدق پیشه شیر *** بادا همیشه هم نفس کیمیا دروغ. سپس مقدمه دیوانی از قاآنی، در هامش آمده: سپهر این نامه چون بنوشت گفت از بهر تاریخش *** براهين العجم تاریخ طبع شاعران آمد</w:t>
      </w:r>
    </w:p>
    <w:p>
      <w:pPr>
        <w:pStyle w:val="BookText"/>
      </w:pPr>
      <w:r>
        <w:rPr>
          <w:rFonts w:ascii="IRNazanin" w:hAnsi="IRNazanin" w:eastAsia="IRNazanin" w:cs="IRNazanin"/>
          <w:lang w:bidi="fa-IR"/>
          <w:color w:val="111111"/>
          <w:sz w:val="28"/>
          <w:szCs w:val="28"/>
          <w:rtl/>
        </w:rPr>
        <w:t xml:space="preserve">قصیده مدیحه شیخ جابر کاظمی مدیحی از محمود خان مستوفی نظام، شعر مولانا لطف الله نیشابوری، حاج غلامعلی وزیری طایر، هفت بند بنام بهاریه، خمریه،قماریه، شکاریه، مطربیه، شیخیه از نقيب الملک شیرازی . سپس مرثیه از میرزا محمود خان منشی باشی، تاریخ بنا و قطعه برای احمد بن سید سجاد از صبای کاشانی، خلد برین: میرزا مشتری، مدیحه از سرخوش، مرثیه سلمان ساوجی، خلد برین: وحشی (۱۵ گ)، قصیده دروغیه نزدیک به یکصد بیت از سرخوش؛ بی کا، بی تا [نشریه: ۵ - ۶۱۵]</w:t>
      </w:r>
    </w:p>
    <w:p>
      <w:pPr>
        <w:pStyle w:val="BookText"/>
      </w:pPr>
      <w:r>
        <w:rPr>
          <w:rFonts w:ascii="IRNazanin" w:hAnsi="IRNazanin" w:eastAsia="IRNazanin" w:cs="IRNazanin"/>
          <w:lang w:bidi="fa-IR"/>
          <w:color w:val="111111"/>
          <w:sz w:val="28"/>
          <w:szCs w:val="28"/>
          <w:rtl/>
        </w:rPr>
        <w:t xml:space="preserve">۲۲۰۸ . یزد؛ وزیری؛ شماره نسخه: ۲۰۰۴/۱</w:t>
      </w:r>
    </w:p>
    <w:p>
      <w:pPr>
        <w:pStyle w:val="BookText"/>
      </w:pPr>
      <w:r>
        <w:rPr>
          <w:rFonts w:ascii="IRNazanin" w:hAnsi="IRNazanin" w:eastAsia="IRNazanin" w:cs="IRNazanin"/>
          <w:lang w:bidi="fa-IR"/>
          <w:color w:val="111111"/>
          <w:sz w:val="28"/>
          <w:szCs w:val="28"/>
          <w:rtl/>
        </w:rPr>
        <w:t xml:space="preserve">آغاز: به بست دیده مجنون ز خویش و بیگانه *** چه آشنا نگهی بود چشم لیلی را؛ انجام: با غیر را ز کوی تو آواره می کنم *** یا کنم دل از تو و یکپاره می کنم</w:t>
      </w:r>
    </w:p>
    <w:p>
      <w:pPr>
        <w:pStyle w:val="BookText"/>
      </w:pPr>
      <w:r>
        <w:rPr>
          <w:rFonts w:ascii="IRNazanin" w:hAnsi="IRNazanin" w:eastAsia="IRNazanin" w:cs="IRNazanin"/>
          <w:lang w:bidi="fa-IR"/>
          <w:color w:val="111111"/>
          <w:sz w:val="28"/>
          <w:szCs w:val="28"/>
          <w:rtl/>
        </w:rPr>
        <w:t xml:space="preserve">مجموعه اشعار پراکنده بر اوزان معین از: بنائی هروی، صهبای قمی، طوفان هزار جریبی، مجبد طالقانی، سلی ترک، اهل ترک، حالتی  ترکمان، مشتاق، میرزا خاتم، صبوحی هروی، قدسی طوسی، میرزا همایون اسفراینی، علائی آشتیانی، صبری اصفهانی، آذر بیگدلی ،عاشق ،عذری ،هاتف، میر حسینی سادات عوری، مولوی بلخی، عرفی شیرازی، راهب اصفهانی، کمال سبزواری، صالحی  طوسی، ضمیری اصفهانی، درویش و گل فروش و .....؛ خط: نستعلیق، بی کا، بی تا؛ افتادگی: آغاز و انجام؛ اهدایی: وزیری موسس؛ کاغذ: اصفهانی ،جلد: مقوایی روکش کاغذ ابری عطف تيماج  قرمز، ۴۹گ (۱-۵۰)، ۱۴ سطر (8</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و ۱۲ 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۴ - ۱۱۲۴]</w:t>
      </w:r>
    </w:p>
    <w:p>
      <w:pPr>
        <w:pStyle w:val="BookText"/>
      </w:pPr>
      <w:r>
        <w:rPr>
          <w:rFonts w:ascii="IRNazanin" w:hAnsi="IRNazanin" w:eastAsia="IRNazanin" w:cs="IRNazanin"/>
          <w:lang w:bidi="fa-IR"/>
          <w:color w:val="111111"/>
          <w:sz w:val="28"/>
          <w:szCs w:val="28"/>
          <w:rtl/>
        </w:rPr>
        <w:t xml:space="preserve">۲۲۰۹ . مشهد؛ رضوی؛ شماره نسخه: ۹۳۴۵/۳</w:t>
      </w:r>
    </w:p>
    <w:p>
      <w:pPr>
        <w:pStyle w:val="BookText"/>
      </w:pPr>
      <w:r>
        <w:rPr>
          <w:rFonts w:ascii="IRNazanin" w:hAnsi="IRNazanin" w:eastAsia="IRNazanin" w:cs="IRNazanin"/>
          <w:lang w:bidi="fa-IR"/>
          <w:color w:val="111111"/>
          <w:sz w:val="28"/>
          <w:szCs w:val="28"/>
          <w:rtl/>
        </w:rPr>
        <w:t xml:space="preserve">آغاز: سروش از ورودم بزمین باره سبکبار آمد *** باره آسوده و مرا نوبت رفتار آمد؛ انجام: ۳ رجب ۱۴ روز بنوروز سلطانی مانده هوا بسیار خوبست.</w:t>
      </w:r>
    </w:p>
    <w:p>
      <w:pPr>
        <w:pStyle w:val="BookText"/>
      </w:pPr>
      <w:r>
        <w:rPr>
          <w:rFonts w:ascii="IRNazanin" w:hAnsi="IRNazanin" w:eastAsia="IRNazanin" w:cs="IRNazanin"/>
          <w:lang w:bidi="fa-IR"/>
          <w:color w:val="111111"/>
          <w:sz w:val="28"/>
          <w:szCs w:val="28"/>
          <w:rtl/>
        </w:rPr>
        <w:t xml:space="preserve">منتخبات اشعار است؛ خط: نستعلیق و نسخ و شکسته نستعلیق، کا: صدر الشعرای قاجار پدر ایرج میرزا، بی تا؛ کاغذ: مختلف، جلد: مقوایی عطف و گوشه پارچه ای، ۴ ص (۱۹-۲۳)، اندازه: ۱۵/۳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۲۳سم [ف: ۷ - ۸۲۱]</w:t>
      </w:r>
    </w:p>
    <w:p>
      <w:pPr>
        <w:pStyle w:val="BookText"/>
      </w:pPr>
      <w:r>
        <w:rPr>
          <w:rFonts w:ascii="IRNazanin" w:hAnsi="IRNazanin" w:eastAsia="IRNazanin" w:cs="IRNazanin"/>
          <w:lang w:bidi="fa-IR"/>
          <w:color w:val="111111"/>
          <w:sz w:val="28"/>
          <w:szCs w:val="28"/>
          <w:rtl/>
        </w:rPr>
        <w:t xml:space="preserve">۲۲۱۰ .تبریز؛ ملی؛ شماره نسخه: ۲۹۸۷</w:t>
      </w:r>
    </w:p>
    <w:p>
      <w:pPr>
        <w:pStyle w:val="BookText"/>
      </w:pPr>
      <w:r>
        <w:rPr>
          <w:rFonts w:ascii="IRNazanin" w:hAnsi="IRNazanin" w:eastAsia="IRNazanin" w:cs="IRNazanin"/>
          <w:lang w:bidi="fa-IR"/>
          <w:color w:val="111111"/>
          <w:sz w:val="28"/>
          <w:szCs w:val="28"/>
          <w:rtl/>
        </w:rPr>
        <w:t xml:space="preserve">آغاز: یکی محتاج حاجتمند نانی*** یکی بر کشوری گسترده
</w:t>
      </w:r>
    </w:p>
    <w:p>
      <w:pPr>
        <w:sectPr>
          <w:footerReference w:type="default" r:id="rId9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خوانی / یکی پاک و سفید خوب رخسار *** یکی را رو سیاه زشت چونقار؛ انجام: محمد سید سادات عالم ***که هست بهتر از اولاد آدم</w:t>
      </w:r>
    </w:p>
    <w:p>
      <w:pPr>
        <w:pStyle w:val="BookText"/>
      </w:pPr>
      <w:r>
        <w:rPr>
          <w:rFonts w:ascii="IRNazanin" w:hAnsi="IRNazanin" w:eastAsia="IRNazanin" w:cs="IRNazanin"/>
          <w:lang w:bidi="fa-IR"/>
          <w:color w:val="111111"/>
          <w:sz w:val="28"/>
          <w:szCs w:val="28"/>
          <w:rtl/>
        </w:rPr>
        <w:t xml:space="preserve">اشعاری است در مبداء و معاد تحت عناوین «در بیان سفر ارواح گوید، آوردن برات رزق طفل در شکم مادر گوید، بیرون آمـدن فرزند از شکم مادر گوید پیدا کردن هر کس احوال خود گوید، در صفت اخلاق حمیده و ذمیمه عهد بستن رب العزه گوید،در جسد آوردن روح آدم ... الخ)؛ خط: نسخ تعلیق، بی کا، بی تا؛ افتادگی: آغاز و انجام؛ کاغذ: فرنگی نیلی تند، فاقد جلد، ۳۲ گ، ۱۴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۱ - ۸۲]</w:t>
      </w:r>
    </w:p>
    <w:p>
      <w:pPr>
        <w:pStyle w:val="BookText"/>
      </w:pPr>
      <w:r>
        <w:rPr>
          <w:rFonts w:ascii="IRNazanin" w:hAnsi="IRNazanin" w:eastAsia="IRNazanin" w:cs="IRNazanin"/>
          <w:lang w:bidi="fa-IR"/>
          <w:color w:val="111111"/>
          <w:sz w:val="28"/>
          <w:szCs w:val="28"/>
          <w:rtl/>
        </w:rPr>
        <w:t xml:space="preserve">۲۲۱۱. تبریز؛ ملی؛ شماره نسخه: ۳۲۶۲</w:t>
      </w:r>
    </w:p>
    <w:p>
      <w:pPr>
        <w:pStyle w:val="BookText"/>
      </w:pPr>
      <w:r>
        <w:rPr>
          <w:rFonts w:ascii="IRNazanin" w:hAnsi="IRNazanin" w:eastAsia="IRNazanin" w:cs="IRNazanin"/>
          <w:lang w:bidi="fa-IR"/>
          <w:color w:val="111111"/>
          <w:sz w:val="28"/>
          <w:szCs w:val="28"/>
          <w:rtl/>
        </w:rPr>
        <w:t xml:space="preserve">بیاضی است شامل اشعار متفرقه؛ بی کا، بی تا؛ مجدول و بعضی از اوراق مذهب؛ ۳۴ گ [ف: ۱ - ۱۳۸]</w:t>
      </w:r>
    </w:p>
    <w:p>
      <w:pPr>
        <w:pStyle w:val="BookText"/>
      </w:pPr>
      <w:r>
        <w:rPr>
          <w:rFonts w:ascii="IRNazanin" w:hAnsi="IRNazanin" w:eastAsia="IRNazanin" w:cs="IRNazanin"/>
          <w:lang w:bidi="fa-IR"/>
          <w:color w:val="111111"/>
          <w:sz w:val="28"/>
          <w:szCs w:val="28"/>
          <w:rtl/>
        </w:rPr>
        <w:t xml:space="preserve">۲۲۱۲. تهران؛ ملی؛ شماره نسخه: ۲۴۱۴/۳</w:t>
      </w:r>
    </w:p>
    <w:p>
      <w:pPr>
        <w:pStyle w:val="BookText"/>
      </w:pPr>
      <w:r>
        <w:rPr>
          <w:rFonts w:ascii="IRNazanin" w:hAnsi="IRNazanin" w:eastAsia="IRNazanin" w:cs="IRNazanin"/>
          <w:lang w:bidi="fa-IR"/>
          <w:color w:val="111111"/>
          <w:sz w:val="28"/>
          <w:szCs w:val="28"/>
          <w:rtl/>
        </w:rPr>
        <w:t xml:space="preserve">آغاز: حمد بیان آراء و درود عدد پیما سلطانی را که بفرمان انا جعلناك خليفة فى الارض؛ انجام: نيابد لفظ پیمان رفته از شـین پشیمانی.</w:t>
      </w:r>
    </w:p>
    <w:p>
      <w:pPr>
        <w:pStyle w:val="BookText"/>
      </w:pPr>
      <w:r>
        <w:rPr>
          <w:rFonts w:ascii="IRNazanin" w:hAnsi="IRNazanin" w:eastAsia="IRNazanin" w:cs="IRNazanin"/>
          <w:lang w:bidi="fa-IR"/>
          <w:color w:val="111111"/>
          <w:sz w:val="28"/>
          <w:szCs w:val="28"/>
          <w:rtl/>
        </w:rPr>
        <w:t xml:space="preserve">مشتمل بر مثنوی ۴۰ بیت و دو غزل که غزل اول آن بدون نقطه غزل دوم بدون الف است و در هر کدام از این اشعار صنایع وبدایع شعرى بترتیب ذیل بکار رفته است: مثنوی در مدح خلیفه سلطان ( - ۱۰۶۴) و نواب وی وزیر اعظم است و هر مصراع از آن به فنی از فنون متصف بوده و مجموع حروف اول هر ده بیت  وحروف آخر از مثنوی مطابق با عددی است که آن عدد با تاریخ الوزارت، مدح نواب خلیفه  سلطان، وزیر اعظم و خورشید و نور عدالت معادل است. در غزل ها نیز تاریخ در بحر رمل مثـمن مقصور و بذال، بحر محتث و دیگر صنایع شعری بکار رفته؛ خـط: نسخ، بی کا، بی تا ؛کاغذ: دولت  آبادی ،جلد: تریاکی روشن ضربی، ترنج و سر ترنج ،مذهب دامن دار مقوایی، ۶گ(۱۲۸پ -۱۳۴)،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۲۵/۵سم [ف : ۱۲ - ۲۰۳]</w:t>
      </w:r>
    </w:p>
    <w:p>
      <w:pPr>
        <w:pStyle w:val="BookText"/>
      </w:pPr>
      <w:r>
        <w:rPr>
          <w:rFonts w:ascii="IRNazanin" w:hAnsi="IRNazanin" w:eastAsia="IRNazanin" w:cs="IRNazanin"/>
          <w:lang w:bidi="fa-IR"/>
          <w:color w:val="111111"/>
          <w:sz w:val="28"/>
          <w:szCs w:val="28"/>
          <w:rtl/>
        </w:rPr>
        <w:t xml:space="preserve">۲۲۱۳ . مشهد؛ رضوی؛ شماره نسخه: ۱۰۲۹۰</w:t>
      </w:r>
    </w:p>
    <w:p>
      <w:pPr>
        <w:pStyle w:val="BookText"/>
      </w:pPr>
      <w:r>
        <w:rPr>
          <w:rFonts w:ascii="IRNazanin" w:hAnsi="IRNazanin" w:eastAsia="IRNazanin" w:cs="IRNazanin"/>
          <w:lang w:bidi="fa-IR"/>
          <w:color w:val="111111"/>
          <w:sz w:val="28"/>
          <w:szCs w:val="28"/>
          <w:rtl/>
        </w:rPr>
        <w:t xml:space="preserve">آغاز: ما نتوانیم حق حمد تو گفتمن؛ انجام: که گذاشت عمرو نامد خبری از هیچ سویی</w:t>
      </w:r>
    </w:p>
    <w:p>
      <w:pPr>
        <w:pStyle w:val="BookText"/>
      </w:pPr>
      <w:r>
        <w:rPr>
          <w:rFonts w:ascii="IRNazanin" w:hAnsi="IRNazanin" w:eastAsia="IRNazanin" w:cs="IRNazanin"/>
          <w:lang w:bidi="fa-IR"/>
          <w:color w:val="111111"/>
          <w:sz w:val="28"/>
          <w:szCs w:val="28"/>
          <w:rtl/>
        </w:rPr>
        <w:t xml:space="preserve">منتخب اشعار است از سعدی، حافظ و دیگران؛ خط: نستعلیق، بی کا، بی تا؛ کاغذ: الوان، جلد: تیماج [الفبائی: ۵۵۶]</w:t>
      </w:r>
    </w:p>
    <w:p>
      <w:pPr>
        <w:pStyle w:val="BookText"/>
      </w:pPr>
      <w:r>
        <w:rPr>
          <w:rFonts w:ascii="IRNazanin" w:hAnsi="IRNazanin" w:eastAsia="IRNazanin" w:cs="IRNazanin"/>
          <w:lang w:bidi="fa-IR"/>
          <w:color w:val="111111"/>
          <w:sz w:val="28"/>
          <w:szCs w:val="28"/>
          <w:rtl/>
        </w:rPr>
        <w:t xml:space="preserve">۲۲۱۴. تهران؛ دانشگاه؛ شماره نسخه: ۴۶۳۶/۴-ف</w:t>
      </w:r>
    </w:p>
    <w:p>
      <w:pPr>
        <w:pStyle w:val="BookText"/>
      </w:pPr>
      <w:r>
        <w:rPr>
          <w:rFonts w:ascii="IRNazanin" w:hAnsi="IRNazanin" w:eastAsia="IRNazanin" w:cs="IRNazanin"/>
          <w:lang w:bidi="fa-IR"/>
          <w:color w:val="111111"/>
          <w:sz w:val="28"/>
          <w:szCs w:val="28"/>
          <w:rtl/>
        </w:rPr>
        <w:t xml:space="preserve">نسخه اصل: برلین 199 </w:t>
      </w:r>
      <w:r>
        <w:rPr>
          <w:rFonts w:ascii="Times New Roman" w:hAnsi="Times New Roman" w:eastAsia="Times New Roman" w:cs="Times New Roman"/>
          <w:lang w:val="en-US" w:bidi="en-US"/>
          <w:color w:val="111111"/>
          <w:sz w:val="28"/>
          <w:szCs w:val="28"/>
          <w:rtl/>
        </w:rPr>
        <w:t xml:space="preserve">Or fel (</w:t>
      </w:r>
      <w:r>
        <w:rPr>
          <w:rFonts w:ascii="IRNazanin" w:hAnsi="IRNazanin" w:eastAsia="IRNazanin" w:cs="IRNazanin"/>
          <w:lang w:bidi="fa-IR"/>
          <w:color w:val="111111"/>
          <w:sz w:val="28"/>
          <w:szCs w:val="28"/>
          <w:rtl/>
        </w:rPr>
        <w:t xml:space="preserve">فهرست پرچ ص ۷۵). اشعار فی المواعظ و الامثال و ما يليق فى المحافل للمحاصرة؛ بي كا، بـی تا [فيلمها : ۳ - ۸۲]</w:t>
      </w:r>
    </w:p>
    <w:p>
      <w:pPr>
        <w:pStyle w:val="BookText"/>
      </w:pPr>
      <w:r>
        <w:rPr>
          <w:rFonts w:ascii="IRNazanin" w:hAnsi="IRNazanin" w:eastAsia="IRNazanin" w:cs="IRNazanin"/>
          <w:lang w:bidi="fa-IR"/>
          <w:color w:val="111111"/>
          <w:sz w:val="28"/>
          <w:szCs w:val="28"/>
          <w:rtl/>
        </w:rPr>
        <w:t xml:space="preserve">۲۲۱۵. قم؛ گلپایگانی؛ شماره نسخه: ۸۶۸۴-۵۸/۱۳۴</w:t>
      </w:r>
    </w:p>
    <w:p>
      <w:pPr>
        <w:pStyle w:val="BookText"/>
      </w:pPr>
      <w:r>
        <w:rPr>
          <w:rFonts w:ascii="IRNazanin" w:hAnsi="IRNazanin" w:eastAsia="IRNazanin" w:cs="IRNazanin"/>
          <w:lang w:bidi="fa-IR"/>
          <w:color w:val="111111"/>
          <w:sz w:val="28"/>
          <w:szCs w:val="28"/>
          <w:rtl/>
        </w:rPr>
        <w:t xml:space="preserve">آغاز: بسمله ای بی خبر این شکل مجسم هیچ است*** وین دائره سطح مخیم هیچ  است / خوش باش که در نشیمن کون و فساد*** وابسته یکدمی و آن هم هیچ است</w:t>
      </w:r>
    </w:p>
    <w:p>
      <w:pPr>
        <w:pStyle w:val="BookText"/>
      </w:pPr>
      <w:r>
        <w:rPr>
          <w:rFonts w:ascii="IRNazanin" w:hAnsi="IRNazanin" w:eastAsia="IRNazanin" w:cs="IRNazanin"/>
          <w:lang w:bidi="fa-IR"/>
          <w:color w:val="111111"/>
          <w:sz w:val="28"/>
          <w:szCs w:val="28"/>
          <w:rtl/>
        </w:rPr>
        <w:t xml:space="preserve">از دانشمندان قرن چهاردهم هجری جنگ ادبی است که شاعر در آن منتخبی از شاعران گذشته و شاعران معاصر خود را جمع آوری و تحریر نموده است. اسامی شاعرانی که اشعارشان در این  جنگ آمده عبارتند از: رودکی ،جامی، نراقی، صفای اصفهانی، حاجی میرزا حبیب رضوی ،سعدی، رشید وطواط، شيخ الرئيس ابوالحسن میرزا ،میرزا محمود رضوی، فقیر خراسانی، فرصة الدوله قائم مقام فراهانی، حسینعلی خان نوری، ادیب نیشابوری، سروش، عطار نیشابوری ،متنبی ،خاقانی، حاجی ساعت ساز، عارف میان  آبادی، هاشمی، رونق شیرازی، شاه سبحان، ناصر خسرو، میرزا علی اکبر شیرازی، فرصت شیرازی، امیرالمومنین علیه السلام، مولوی جلال الممالک، حشمت، ابن المعتز، كمال خجندی، میرزا رضاقلی ادیب ،اختر ،هاتف، ملاهادی سبزواری، میرزا باقر حسرت، داور، عبدالحسین ثالث، حجاب، روشن، شهید ،عوفی، فتحعلی خان  صبا ،مونس، شیخ محمد سعید قریشی، حكيم فیضعلی، فیاض سبزواری، امیر الشعراء نادری،حسین انوری، حسین توفیق، عارف عتباتی، میرزا نصیر ،منعم، خواجه نصیر طوسی، شیخ بهایی، صبوحی، عقیلی ،کوثری، حاجی عبدالکریم سلطان الواعظين، شاه طاهر، شمس الحق تبریزی، سنایی، ابن یمین، سید علی نقی کیایی لاهیجانی، قصیده مصنوعه میرزا کاظم جاجرمی، میرزا قاسم ترمذی در مدح امیرالمؤمنین، کاوس دیلمی، مسمط بهاریه فرصت شیرازی، عشقی، دقیقی بلخی، خط: نستعلیق، بی کا،بی تا؛ ۶۲گ، ۱۵-۱۴ سطر،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۳ - ۱۲۲۴]</w:t>
      </w:r>
    </w:p>
    <w:p>
      <w:pPr>
        <w:pStyle w:val="BookText"/>
      </w:pPr>
      <w:r>
        <w:rPr>
          <w:rFonts w:ascii="IRNazanin" w:hAnsi="IRNazanin" w:eastAsia="IRNazanin" w:cs="IRNazanin"/>
          <w:lang w:bidi="fa-IR"/>
          <w:color w:val="111111"/>
          <w:sz w:val="28"/>
          <w:szCs w:val="28"/>
          <w:rtl/>
        </w:rPr>
        <w:t xml:space="preserve">۲۲۱۶. تهران؛ مدارک فرهنگی؛ شماره نسخه: ۱۱۱</w:t>
      </w:r>
    </w:p>
    <w:p>
      <w:pPr>
        <w:pStyle w:val="BookText"/>
      </w:pPr>
      <w:r>
        <w:rPr>
          <w:rFonts w:ascii="IRNazanin" w:hAnsi="IRNazanin" w:eastAsia="IRNazanin" w:cs="IRNazanin"/>
          <w:lang w:bidi="fa-IR"/>
          <w:color w:val="111111"/>
          <w:sz w:val="28"/>
          <w:szCs w:val="28"/>
          <w:rtl/>
        </w:rPr>
        <w:t xml:space="preserve">آغاز: نکوئی با نکو روئی بماناد *** که از لب هاش اندامی بیاسو (؟)؛انجام :نسخه: موئی ز سر زلف توام تار کفن شد *** در حشر همان باعث آمرزش من شد</w:t>
      </w:r>
    </w:p>
    <w:p>
      <w:pPr>
        <w:pStyle w:val="BookText"/>
      </w:pPr>
      <w:r>
        <w:rPr>
          <w:rFonts w:ascii="IRNazanin" w:hAnsi="IRNazanin" w:eastAsia="IRNazanin" w:cs="IRNazanin"/>
          <w:lang w:bidi="fa-IR"/>
          <w:color w:val="111111"/>
          <w:sz w:val="28"/>
          <w:szCs w:val="28"/>
          <w:rtl/>
        </w:rPr>
        <w:t xml:space="preserve">اشعاری است از قاآنی ،منوچهری، امیر معزی ،انوری، زرگر اصفهانی، میرزا محمد على فخر الادبا و ... نامه ای از قآنی، قباله نوشتن و شروط آن - نکاح کردن و غیره؛ خط: شکسته نستعلیق خوش، بی کا، بی تا؛ کاغذ: فرنگی مایل به حنایی، جلد: تیماج ضربی مجدول با جدول داخلی آستر کاغذ نخودی، ۳۵گ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۱۰۵]</w:t>
      </w:r>
    </w:p>
    <w:p>
      <w:pPr>
        <w:pStyle w:val="BookText"/>
      </w:pPr>
      <w:r>
        <w:rPr>
          <w:rFonts w:ascii="IRNazanin" w:hAnsi="IRNazanin" w:eastAsia="IRNazanin" w:cs="IRNazanin"/>
          <w:lang w:bidi="fa-IR"/>
          <w:color w:val="111111"/>
          <w:sz w:val="28"/>
          <w:szCs w:val="28"/>
          <w:rtl/>
        </w:rPr>
        <w:t xml:space="preserve">۲۲۱۷. یزد؛ وزیری؛ شماره نسخه: ۳۴۲۵/۱</w:t>
      </w:r>
    </w:p>
    <w:p>
      <w:pPr>
        <w:pStyle w:val="BookText"/>
      </w:pPr>
      <w:r>
        <w:rPr>
          <w:rFonts w:ascii="IRNazanin" w:hAnsi="IRNazanin" w:eastAsia="IRNazanin" w:cs="IRNazanin"/>
          <w:lang w:bidi="fa-IR"/>
          <w:color w:val="111111"/>
          <w:sz w:val="28"/>
          <w:szCs w:val="28"/>
          <w:rtl/>
        </w:rPr>
        <w:t xml:space="preserve">آغاز: طلبای عاشقان خوش رفتار *** طرب ای نیکوان شیرین کار؛ انجام: گرچه اندر سقراند ارمست</w:t>
      </w:r>
    </w:p>
    <w:p>
      <w:pPr>
        <w:pStyle w:val="BookText"/>
      </w:pPr>
      <w:r>
        <w:rPr>
          <w:rFonts w:ascii="IRNazanin" w:hAnsi="IRNazanin" w:eastAsia="IRNazanin" w:cs="IRNazanin"/>
          <w:lang w:bidi="fa-IR"/>
          <w:color w:val="111111"/>
          <w:sz w:val="28"/>
          <w:szCs w:val="28"/>
          <w:rtl/>
        </w:rPr>
        <w:t xml:space="preserve">مشتمل بر اشعاری از سنائی، جمال الدین عبدالرزاق، اصفهانی، عرفی اسیری قاینی؛ خط: نستعلیق، بی کا، بی تا؛ افتادگی: انجام؛ کاغذ: اصفهانی حنایی، جلد: مقوایی روکش تیماج تریاکی عطف پارچه  سفید، ۵۵ ص (55-1)،۱۶ سطر (۹/۵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۲۳سم [ف: ۵ - ۱۶۴۹]</w:t>
      </w:r>
    </w:p>
    <w:p>
      <w:pPr>
        <w:pStyle w:val="BookText"/>
      </w:pPr>
      <w:r>
        <w:rPr>
          <w:rFonts w:ascii="IRNazanin" w:hAnsi="IRNazanin" w:eastAsia="IRNazanin" w:cs="IRNazanin"/>
          <w:lang w:bidi="fa-IR"/>
          <w:color w:val="111111"/>
          <w:sz w:val="28"/>
          <w:szCs w:val="28"/>
          <w:rtl/>
        </w:rPr>
        <w:t xml:space="preserve">۲۲۱۸ .یزد؛ وزیری؛ شماره نسخه: ۳۶۳۷</w:t>
      </w:r>
    </w:p>
    <w:p>
      <w:pPr>
        <w:pStyle w:val="BookText"/>
      </w:pPr>
      <w:r>
        <w:rPr>
          <w:rFonts w:ascii="IRNazanin" w:hAnsi="IRNazanin" w:eastAsia="IRNazanin" w:cs="IRNazanin"/>
          <w:lang w:bidi="fa-IR"/>
          <w:color w:val="111111"/>
          <w:sz w:val="28"/>
          <w:szCs w:val="28"/>
          <w:rtl/>
        </w:rPr>
        <w:t xml:space="preserve">آغاز: چو افلح این سخن بشنید در دم *** بمسجد برد جابر را شتابان ؛انجام: بحق اشهد ان لا اله الا الله *** بحق ختم رسل مصطفى رسول الله
</w:t>
      </w:r>
    </w:p>
    <w:p>
      <w:pPr>
        <w:sectPr>
          <w:footerReference w:type="default" r:id="rId9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اشعاری از: آذری ،حمزه ،سلیمی ،آتشی ،افنجکی ،ثنائی، فارغ، عبدالعلی، سلیمی؛ خط: نستعلیق، بی کا، بی تا؛ افتادگی: آغاز و انجام؛ کاغذ: فرنگی ،جلد: مقوایی روکش کاغذ ابری عطف و گوشه تیماج  قرمز، ۸۲گ، ۱۱ سطر (۵/۵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 ف: ۵ - ۱۷۳۱]</w:t>
      </w:r>
    </w:p>
    <w:p>
      <w:pPr>
        <w:pStyle w:val="BookText"/>
      </w:pPr>
      <w:r>
        <w:rPr>
          <w:rFonts w:ascii="IRNazanin" w:hAnsi="IRNazanin" w:eastAsia="IRNazanin" w:cs="IRNazanin"/>
          <w:lang w:bidi="fa-IR"/>
          <w:color w:val="111111"/>
          <w:sz w:val="28"/>
          <w:szCs w:val="28"/>
          <w:rtl/>
        </w:rPr>
        <w:t xml:space="preserve">۲۲۱۹. تهران؛ مجلس؛ شماره نسخه: ۲۶۶۵/۳۰</w:t>
      </w:r>
    </w:p>
    <w:p>
      <w:pPr>
        <w:pStyle w:val="BookText"/>
      </w:pPr>
      <w:r>
        <w:rPr>
          <w:rFonts w:ascii="IRNazanin" w:hAnsi="IRNazanin" w:eastAsia="IRNazanin" w:cs="IRNazanin"/>
          <w:lang w:bidi="fa-IR"/>
          <w:color w:val="111111"/>
          <w:sz w:val="28"/>
          <w:szCs w:val="28"/>
          <w:rtl/>
        </w:rPr>
        <w:t xml:space="preserve">منتخب اشعار کاظم کاشانی؛ خط: نستعلیق، کا: محمد معصـوم، بی تا، ۱۳ ص (۷۵۶-۷۶۸) [ف: ۸ - ۴۲۱]</w:t>
      </w:r>
    </w:p>
    <w:p>
      <w:pPr>
        <w:pStyle w:val="BookText"/>
      </w:pPr>
      <w:r>
        <w:rPr>
          <w:rFonts w:ascii="IRNazanin" w:hAnsi="IRNazanin" w:eastAsia="IRNazanin" w:cs="IRNazanin"/>
          <w:lang w:bidi="fa-IR"/>
          <w:color w:val="111111"/>
          <w:sz w:val="28"/>
          <w:szCs w:val="28"/>
          <w:rtl/>
        </w:rPr>
        <w:t xml:space="preserve">2220 . قم؛ مرکز مطالعات؛ شماره نسخه: ۶۱۰/۵</w:t>
      </w:r>
    </w:p>
    <w:p>
      <w:pPr>
        <w:pStyle w:val="BookText"/>
      </w:pPr>
      <w:r>
        <w:rPr>
          <w:rFonts w:ascii="IRNazanin" w:hAnsi="IRNazanin" w:eastAsia="IRNazanin" w:cs="IRNazanin"/>
          <w:lang w:bidi="fa-IR"/>
          <w:color w:val="111111"/>
          <w:sz w:val="28"/>
          <w:szCs w:val="28"/>
          <w:rtl/>
        </w:rPr>
        <w:t xml:space="preserve">اشعاری در بیان بروج دوازده گانه در تقویم و قطعات متفرقه؛ خط: نسخ و نستعلیق، بی کا، بی تا ؛جلد: مقوا ،طوسی، عطف تیمـاج قهوه ای، ۶گ (۱۲۳ پ - ۱۲۹ر)، اندازه: ۱۷</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۲۲سم [ ف: ۱ - ۵۱۷ ]</w:t>
      </w:r>
    </w:p>
    <w:p>
      <w:pPr>
        <w:pStyle w:val="BookText"/>
      </w:pPr>
      <w:r>
        <w:rPr>
          <w:rFonts w:ascii="IRNazanin" w:hAnsi="IRNazanin" w:eastAsia="IRNazanin" w:cs="IRNazanin"/>
          <w:lang w:bidi="fa-IR"/>
          <w:color w:val="111111"/>
          <w:sz w:val="28"/>
          <w:szCs w:val="28"/>
          <w:rtl/>
        </w:rPr>
        <w:t xml:space="preserve">۲۲۲۱. تهران؛ انجمن آثار و مفاخر فرهنگی؛ شماره نسخه: ۳۲/۹</w:t>
      </w:r>
    </w:p>
    <w:p>
      <w:pPr>
        <w:pStyle w:val="BookText"/>
      </w:pPr>
      <w:r>
        <w:rPr>
          <w:rFonts w:ascii="IRNazanin" w:hAnsi="IRNazanin" w:eastAsia="IRNazanin" w:cs="IRNazanin"/>
          <w:lang w:bidi="fa-IR"/>
          <w:color w:val="111111"/>
          <w:sz w:val="28"/>
          <w:szCs w:val="28"/>
          <w:rtl/>
        </w:rPr>
        <w:t xml:space="preserve">بی کا، بی تا [ نشریه: ۷ - ۵]</w:t>
      </w:r>
    </w:p>
    <w:p>
      <w:pPr>
        <w:pStyle w:val="BookText"/>
      </w:pPr>
      <w:r>
        <w:rPr>
          <w:rFonts w:ascii="IRNazanin" w:hAnsi="IRNazanin" w:eastAsia="IRNazanin" w:cs="IRNazanin"/>
          <w:lang w:bidi="fa-IR"/>
          <w:color w:val="111111"/>
          <w:sz w:val="28"/>
          <w:szCs w:val="28"/>
          <w:rtl/>
        </w:rPr>
        <w:t xml:space="preserve">۲۲۲۲ . مشهد؛ الهیات؛ شماره نسخه: ۵۰۲/۵</w:t>
      </w:r>
    </w:p>
    <w:p>
      <w:pPr>
        <w:pStyle w:val="BookText"/>
      </w:pPr>
      <w:r>
        <w:rPr>
          <w:rFonts w:ascii="IRNazanin" w:hAnsi="IRNazanin" w:eastAsia="IRNazanin" w:cs="IRNazanin"/>
          <w:lang w:bidi="fa-IR"/>
          <w:color w:val="111111"/>
          <w:sz w:val="28"/>
          <w:szCs w:val="28"/>
          <w:rtl/>
        </w:rPr>
        <w:t xml:space="preserve">آغاز: آن نه من باشم که روزی جنگ بینی پشت من</w:t>
      </w:r>
    </w:p>
    <w:p>
      <w:pPr>
        <w:pStyle w:val="BookText"/>
      </w:pPr>
      <w:r>
        <w:rPr>
          <w:rFonts w:ascii="IRNazanin" w:hAnsi="IRNazanin" w:eastAsia="IRNazanin" w:cs="IRNazanin"/>
          <w:lang w:bidi="fa-IR"/>
          <w:color w:val="111111"/>
          <w:sz w:val="28"/>
          <w:szCs w:val="28"/>
          <w:rtl/>
        </w:rPr>
        <w:t xml:space="preserve">قطعه ای از گلستان است ؛خط: نستعلیق، بی کا، بی تا؛مجدول، کمنددار مشکی ،کاغذ: هندی ،جلد: تیماج عنابی ضربی ، 1ص، ۱۳ سطر (9</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۱ - ۴۶۲]</w:t>
      </w:r>
    </w:p>
    <w:p>
      <w:pPr>
        <w:pStyle w:val="BookText"/>
      </w:pPr>
      <w:r>
        <w:rPr>
          <w:rFonts w:ascii="Times New Roman" w:hAnsi="Times New Roman" w:eastAsia="Times New Roman" w:cs="Times New Roman"/>
          <w:lang w:val="en-US" w:bidi="en-US"/>
          <w:color w:val="111111"/>
          <w:sz w:val="28"/>
          <w:szCs w:val="28"/>
          <w:rtl/>
        </w:rPr>
        <w:t xml:space="preserve">2223.</w:t>
      </w:r>
    </w:p>
    <w:p>
      <w:pPr>
        <w:pStyle w:val="BookText"/>
      </w:pPr>
      <w:r>
        <w:rPr>
          <w:rFonts w:ascii="IRNazanin" w:hAnsi="IRNazanin" w:eastAsia="IRNazanin" w:cs="IRNazanin"/>
          <w:lang w:bidi="fa-IR"/>
          <w:color w:val="111111"/>
          <w:sz w:val="28"/>
          <w:szCs w:val="28"/>
          <w:rtl/>
        </w:rPr>
        <w:t xml:space="preserve">تهران؛ مجلس؛ شماره نسخه: ۲۳۲۹/۷</w:t>
      </w:r>
    </w:p>
    <w:p>
      <w:pPr>
        <w:pStyle w:val="BookText"/>
      </w:pPr>
      <w:r>
        <w:rPr>
          <w:rFonts w:ascii="IRNazanin" w:hAnsi="IRNazanin" w:eastAsia="IRNazanin" w:cs="IRNazanin"/>
          <w:lang w:bidi="fa-IR"/>
          <w:color w:val="111111"/>
          <w:sz w:val="28"/>
          <w:szCs w:val="28"/>
          <w:rtl/>
        </w:rPr>
        <w:t xml:space="preserve">آغاز: ای دل بینوای خانه خراب*** که بنایت رسانده فقر بر آب؛</w:t>
      </w:r>
    </w:p>
    <w:p>
      <w:pPr>
        <w:pStyle w:val="BookText"/>
      </w:pPr>
      <w:r>
        <w:rPr>
          <w:rFonts w:ascii="IRNazanin" w:hAnsi="IRNazanin" w:eastAsia="IRNazanin" w:cs="IRNazanin"/>
          <w:lang w:bidi="fa-IR"/>
          <w:color w:val="111111"/>
          <w:sz w:val="28"/>
          <w:szCs w:val="28"/>
          <w:rtl/>
        </w:rPr>
        <w:t xml:space="preserve">انجام: این عطار را عبث نکرد بمن *** که خلاصش نمودم از کشتن</w:t>
      </w:r>
    </w:p>
    <w:p>
      <w:pPr>
        <w:pStyle w:val="BookText"/>
      </w:pPr>
      <w:r>
        <w:rPr>
          <w:rFonts w:ascii="IRNazanin" w:hAnsi="IRNazanin" w:eastAsia="IRNazanin" w:cs="IRNazanin"/>
          <w:lang w:bidi="fa-IR"/>
          <w:color w:val="111111"/>
          <w:sz w:val="28"/>
          <w:szCs w:val="28"/>
          <w:rtl/>
        </w:rPr>
        <w:t xml:space="preserve">قطعه خوش معنی. داستان منظومی است در ۱۳۰ بیت؛ خـط: نستعلیق، بی کا، بی تا؛ کاغذ: فرنگی الوان، جلد: میشن قهوه ای ترنج و نیم ترنج و سر ترنج ضربی، ۲۲گ (۷۶-۹۸)، ۱۶ سطر (7</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۲۱/۵سم[ف: ۸-۲۴]</w:t>
      </w:r>
    </w:p>
    <w:p>
      <w:pPr>
        <w:pStyle w:val="BookText"/>
      </w:pPr>
      <w:r>
        <w:rPr>
          <w:rFonts w:ascii="IRNazanin" w:hAnsi="IRNazanin" w:eastAsia="IRNazanin" w:cs="IRNazanin"/>
          <w:lang w:bidi="fa-IR"/>
          <w:color w:val="111111"/>
          <w:sz w:val="28"/>
          <w:szCs w:val="28"/>
          <w:rtl/>
        </w:rPr>
        <w:t xml:space="preserve">۲۲۲۴. تهران؛ ملک؛ شماره نسخه: ۳۶۹۳/۳</w:t>
      </w:r>
    </w:p>
    <w:p>
      <w:pPr>
        <w:pStyle w:val="BookText"/>
      </w:pPr>
      <w:r>
        <w:rPr>
          <w:rFonts w:ascii="IRNazanin" w:hAnsi="IRNazanin" w:eastAsia="IRNazanin" w:cs="IRNazanin"/>
          <w:lang w:bidi="fa-IR"/>
          <w:color w:val="111111"/>
          <w:sz w:val="28"/>
          <w:szCs w:val="28"/>
          <w:rtl/>
        </w:rPr>
        <w:t xml:space="preserve">اشعار پراکنده است از مسعود سعد، سنائی، ترجیع بند هاتف، جمال الدین اصفهانی، کمال الدین اصفهانی ،عنصری، ادیب صابر، میرزا نصیر طبیب، ظهیر، امیر معزی، شاه نعمت الله، انوری، ضیا اصفهانی ،عاشق ،مجمر، فرج الله طرفه، عنقا اصفهانی، زرگر اصفهانی، سعید اردستانی، محمد رضا سهیل اصفهانی، وصـال ارزقی، صادق خان بیگدلی، یغما، هما، میرزا بابا حکیم آشتیانی، میرزا سعید ارجستانی ،سعدی، فروغی طهرانی، انجم طهرانی، هلالی، میرزا عبدالغفار اصفهانی، فتح نامه هرات از  محرم، مطرب، حاجی علینقی  مقصور، نامی طباطبائی (مهدی)، مهدی نثار، محـمد رضا وصال مازندرانی، محمد حسین  دبیر،عبدالباقی جلال ،مسکین، سام میرزا رضوان، ابوالقاسم آشوب، رضا قلی خان قاجار، مصطفی رفعت، سامانی پسر قاآنی، شاهزاده محسن میرزا امیر آخور ناصرالدین شاه متخلص به سلطان، میرزا حبیب قاآنی، همای شیرازی، ابوالقاسم  شیفته، شهاب، محمد حسین سالک ،سروش، یغما، مهدی سنجری، تاراج اصفهانی، مجـمر، معدن، فتح الله ذوقی، صاحب دیوان، میرزا طاهر، مسکین، و جز آنها ؛خط: شکسته نستعلیق، بی کا، بی تا؛ هامش چلیپا؛ کاغذ: فرنگی رنگارنگ ،جلد: رویه یشمی ضربی، ۱۹۰گ (۳۲پ -۲۲۲ پ) ، ۱۲ سطر، اندازه: ۱۳/۳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۲۱/۲سم [ف: ۷ - ۲۶]</w:t>
      </w:r>
    </w:p>
    <w:p>
      <w:pPr>
        <w:pStyle w:val="BookText"/>
      </w:pPr>
      <w:r>
        <w:rPr>
          <w:rFonts w:ascii="IRNazanin" w:hAnsi="IRNazanin" w:eastAsia="IRNazanin" w:cs="IRNazanin"/>
          <w:lang w:bidi="fa-IR"/>
          <w:color w:val="111111"/>
          <w:sz w:val="28"/>
          <w:szCs w:val="28"/>
          <w:rtl/>
        </w:rPr>
        <w:t xml:space="preserve">۲۲۲۵. یزد؛ وزیری؛ شماره نسخه: ۲۵۸۷/۱</w:t>
      </w:r>
    </w:p>
    <w:p>
      <w:pPr>
        <w:pStyle w:val="BookText"/>
      </w:pPr>
      <w:r>
        <w:rPr>
          <w:rFonts w:ascii="IRNazanin" w:hAnsi="IRNazanin" w:eastAsia="IRNazanin" w:cs="IRNazanin"/>
          <w:lang w:bidi="fa-IR"/>
          <w:color w:val="111111"/>
          <w:sz w:val="28"/>
          <w:szCs w:val="28"/>
          <w:rtl/>
        </w:rPr>
        <w:t xml:space="preserve">اشعار پراکنده ؛خط: نستعلیق، بی کا، بی تا؛ اهدایی: وزیری موسس؛ کاغذ: اصفهانی، جلد: تیماج عنابی یکطرفه، ۹گ (۱۰ -۱۰)، اندازه: 9/5</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سم [ف: ۴ - ۱۳۵۵]</w:t>
      </w:r>
    </w:p>
    <w:p>
      <w:pPr>
        <w:pStyle w:val="BookText"/>
      </w:pPr>
      <w:r>
        <w:rPr>
          <w:rFonts w:ascii="IRNazanin" w:hAnsi="IRNazanin" w:eastAsia="IRNazanin" w:cs="IRNazanin"/>
          <w:lang w:bidi="fa-IR"/>
          <w:color w:val="111111"/>
          <w:sz w:val="28"/>
          <w:szCs w:val="28"/>
          <w:rtl/>
        </w:rPr>
        <w:t xml:space="preserve">۲۲۲۶ . قم؛ گلپایگانی؛ شماره نسخه: ۷۷۷۷/۱-۵۲/۱۱۷</w:t>
      </w:r>
    </w:p>
    <w:p>
      <w:pPr>
        <w:pStyle w:val="BookText"/>
      </w:pPr>
      <w:r>
        <w:rPr>
          <w:rFonts w:ascii="IRNazanin" w:hAnsi="IRNazanin" w:eastAsia="IRNazanin" w:cs="IRNazanin"/>
          <w:lang w:bidi="fa-IR"/>
          <w:color w:val="111111"/>
          <w:sz w:val="28"/>
          <w:szCs w:val="28"/>
          <w:rtl/>
        </w:rPr>
        <w:t xml:space="preserve">اشعاری از: چند بیت منسوب به علی علیه السلام، بایندر خان، عراقی ،نظامی ،جامی ،مولوی، رباعیات سحابی، اوحدی مراغی، حافظ ابن جوزی، بابا حامد، قاسم  انوار، رباعی از کاتب، سنایی، مشرب کاشی؛ خط: نستعلیق، بی کا، بی تا؛ ۱۰گ،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۳ - ۱۲۲۲]</w:t>
      </w:r>
    </w:p>
    <w:p>
      <w:pPr>
        <w:pStyle w:val="BookText"/>
      </w:pPr>
      <w:r>
        <w:rPr>
          <w:rFonts w:ascii="IRNazanin" w:hAnsi="IRNazanin" w:eastAsia="IRNazanin" w:cs="IRNazanin"/>
          <w:lang w:bidi="fa-IR"/>
          <w:color w:val="111111"/>
          <w:sz w:val="28"/>
          <w:szCs w:val="28"/>
          <w:rtl/>
        </w:rPr>
        <w:t xml:space="preserve">۲۲۲۷. قم ؛گلپایگانی؛ شماره نسخه: ۸۹۵۰/۱-۵۹/۱۷۰</w:t>
      </w:r>
    </w:p>
    <w:p>
      <w:pPr>
        <w:pStyle w:val="BookText"/>
      </w:pPr>
      <w:r>
        <w:rPr>
          <w:rFonts w:ascii="IRNazanin" w:hAnsi="IRNazanin" w:eastAsia="IRNazanin" w:cs="IRNazanin"/>
          <w:lang w:bidi="fa-IR"/>
          <w:color w:val="111111"/>
          <w:sz w:val="28"/>
          <w:szCs w:val="28"/>
          <w:rtl/>
        </w:rPr>
        <w:t xml:space="preserve">آغاز: بسمله، بطرف چمن از اثر نوبهار *** آنچه به دل غنچه داشت کرد همه آشکار</w:t>
      </w:r>
    </w:p>
    <w:p>
      <w:pPr>
        <w:pStyle w:val="BookText"/>
      </w:pPr>
      <w:r>
        <w:rPr>
          <w:rFonts w:ascii="IRNazanin" w:hAnsi="IRNazanin" w:eastAsia="IRNazanin" w:cs="IRNazanin"/>
          <w:lang w:bidi="fa-IR"/>
          <w:color w:val="111111"/>
          <w:sz w:val="28"/>
          <w:szCs w:val="28"/>
          <w:rtl/>
        </w:rPr>
        <w:t xml:space="preserve">جنگ اشعار: الف: هفت برگ از مقتل منظومی (چاپ سنگی)، ب: چند مدحیه که در مدح میرزا محمد کاظم (گویا آخوند ملامحمد کاظم خراسانىصاحب كفاية الاصول) سروده شده اند سرایندگان مدیحه ها عبارت اند: عازم شیرازی، آزاد کشمیری، محمدحسن قجر متخلص به سها و محمدحسن متخلص به گوهر؛ خط: نستعلیق، بی کا، بی تا؛ ۱۲گ (۱-۲۱)، اندازه: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3- 1238]</w:t>
      </w:r>
    </w:p>
    <w:p>
      <w:pPr>
        <w:pStyle w:val="BookText"/>
      </w:pPr>
      <w:r>
        <w:rPr>
          <w:rFonts w:ascii="IRNazanin" w:hAnsi="IRNazanin" w:eastAsia="IRNazanin" w:cs="IRNazanin"/>
          <w:lang w:bidi="fa-IR"/>
          <w:color w:val="111111"/>
          <w:sz w:val="28"/>
          <w:szCs w:val="28"/>
          <w:rtl/>
        </w:rPr>
        <w:t xml:space="preserve">۲۲۲۸ . قم ؛گلپایگانی؛ شماره نسخه: ۲۸۶۰/۲-۱۵/۱۰۰</w:t>
      </w:r>
    </w:p>
    <w:p>
      <w:pPr>
        <w:pStyle w:val="BookText"/>
      </w:pPr>
      <w:r>
        <w:rPr>
          <w:rFonts w:ascii="IRNazanin" w:hAnsi="IRNazanin" w:eastAsia="IRNazanin" w:cs="IRNazanin"/>
          <w:lang w:bidi="fa-IR"/>
          <w:color w:val="111111"/>
          <w:sz w:val="28"/>
          <w:szCs w:val="28"/>
          <w:rtl/>
        </w:rPr>
        <w:t xml:space="preserve">آغاز: ارزقی هروی، پری زحی که ز شرمش نهان شده است پری *** پری مثال نهان گشت و شد زمهر پری؛ انجام: اگرچه هست بدینسان خداش مرگ دهاد که بهتر داماد و مرگ به شوهر</w:t>
      </w:r>
    </w:p>
    <w:p>
      <w:pPr>
        <w:pStyle w:val="BookText"/>
      </w:pPr>
      <w:r>
        <w:rPr>
          <w:rFonts w:ascii="IRNazanin" w:hAnsi="IRNazanin" w:eastAsia="IRNazanin" w:cs="IRNazanin"/>
          <w:lang w:bidi="fa-IR"/>
          <w:color w:val="111111"/>
          <w:sz w:val="28"/>
          <w:szCs w:val="28"/>
          <w:rtl/>
        </w:rPr>
        <w:t xml:space="preserve">بخشی از جنگ است که به ترتیب حروف تهجی آخر قوافی از اشعار شاعران مختلف جمع گشته و در این نسخه دو برگ از حرف ياء غزلیات و مقطعات از حرف الف تا راء موجود است.</w:t>
      </w:r>
    </w:p>
    <w:p>
      <w:pPr>
        <w:pStyle w:val="BookText"/>
      </w:pPr>
      <w:r>
        <w:rPr>
          <w:rFonts w:ascii="IRNazanin" w:hAnsi="IRNazanin" w:eastAsia="IRNazanin" w:cs="IRNazanin"/>
          <w:lang w:bidi="fa-IR"/>
          <w:color w:val="111111"/>
          <w:sz w:val="28"/>
          <w:szCs w:val="28"/>
          <w:rtl/>
        </w:rPr>
        <w:t xml:space="preserve">نام شعراء در حواشی تحریر شده و از این شاعران اشعاری در این جنگ آمده است: ارزقی هروی، شرف اصفهانی، ابوالقاسم فندرسکی، عنصری بلخی، منوچهر شصت کله، فرخی سیستانی، قطران رودکی، آذر شاملو، دقیقی سمرقندی، آذر بیگدلی ،سنایی، امیربیگی تبریزی، حیدری  تبریزی، ابوالعلاء گنجه، مشرقی طوسی ،سیدی جرپادقانی ،سعدی، وحشی بافقی، زمانا خفاش اصفهانی، سنایی غزنوی ،خاقانی، صادق اصفهانی، سلطان اشنه خارزمشاه به سلطان سنجر  نوشته، جعفر تبریزی به جنوبی نوشته، جمال اصفهانی، فاخری تهرانی ،انوری، آذری اسفراینی، مشرق طوسی، شیخ نجم الدین خارزمی،داوری بیگدلی، رفیعی کاشی، ابن یمین، شاه شجاع، سلطان اویسی، شریف تبریزی، عمادالدین فقیه کرمانی، شمس الدین قمی، عبدالیحیی اصفهانی، طبعی
</w:t>
      </w:r>
    </w:p>
    <w:p>
      <w:pPr>
        <w:sectPr>
          <w:footerReference w:type="default" r:id="rId9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قزوینی، مسعود سعد سلمان، حافظ شیرازی، ظهیر فاریابی، الـهی یزدی، رشید وطواط، میر صفی نیشابوری بیگی شیرازی، واهـب اصفهانی، ابراهیم صفاه بساطی سمرقندی، سوزنی، عقیقی، فرخازی ،رشیدی ،مختار غزنوی، حیاتی کاشی، خاقانی؛ خـط: نستعلیق، بی کا، بی تا؛ افتادگی: آغاز و انجام؛ جلد: مقوا با روکش آبی، عطف تیماج قهوه ای، ۱۲گ، ۱۷ سطر،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۱۴[ف: ۳ - ۱۲۴۱]</w:t>
      </w:r>
    </w:p>
    <w:p>
      <w:pPr>
        <w:pStyle w:val="BookText"/>
      </w:pPr>
      <w:r>
        <w:rPr>
          <w:rFonts w:ascii="IRNazanin" w:hAnsi="IRNazanin" w:eastAsia="IRNazanin" w:cs="IRNazanin"/>
          <w:lang w:bidi="fa-IR"/>
          <w:color w:val="111111"/>
          <w:sz w:val="28"/>
          <w:szCs w:val="28"/>
          <w:rtl/>
        </w:rPr>
        <w:t xml:space="preserve">۲۲۲۹. قم؛ گلپایگانی؛ شماره نسخه: ۴۷۲۴/۱-۲۴/۲۴</w:t>
      </w:r>
    </w:p>
    <w:p>
      <w:pPr>
        <w:pStyle w:val="BookText"/>
      </w:pPr>
      <w:r>
        <w:rPr>
          <w:rFonts w:ascii="IRNazanin" w:hAnsi="IRNazanin" w:eastAsia="IRNazanin" w:cs="IRNazanin"/>
          <w:lang w:bidi="fa-IR"/>
          <w:color w:val="111111"/>
          <w:sz w:val="28"/>
          <w:szCs w:val="28"/>
          <w:rtl/>
        </w:rPr>
        <w:t xml:space="preserve">آغاز: چند روزی می برد بخت بد از سوی توام *** باز قلاب محبت می کشد سوی توام / دور از این در هم منت دعا گویم جان و دل ***هر کجا هستی به جان و دل دعا گوی توام؛</w:t>
      </w:r>
    </w:p>
    <w:p>
      <w:pPr>
        <w:pStyle w:val="BookText"/>
      </w:pPr>
      <w:r>
        <w:rPr>
          <w:rFonts w:ascii="IRNazanin" w:hAnsi="IRNazanin" w:eastAsia="IRNazanin" w:cs="IRNazanin"/>
          <w:lang w:bidi="fa-IR"/>
          <w:color w:val="111111"/>
          <w:sz w:val="28"/>
          <w:szCs w:val="28"/>
          <w:rtl/>
        </w:rPr>
        <w:t xml:space="preserve">انجام: حیف و صد حيف كز نهيب اجل *** شد ز احباب درو کلعبی / دل گرفتش زخلق عالم و کرد ***میل غلمان و حور کلبعلی</w:t>
      </w:r>
    </w:p>
    <w:p>
      <w:pPr>
        <w:pStyle w:val="BookText"/>
      </w:pPr>
      <w:r>
        <w:rPr>
          <w:rFonts w:ascii="IRNazanin" w:hAnsi="IRNazanin" w:eastAsia="IRNazanin" w:cs="IRNazanin"/>
          <w:lang w:bidi="fa-IR"/>
          <w:color w:val="111111"/>
          <w:sz w:val="28"/>
          <w:szCs w:val="28"/>
          <w:rtl/>
        </w:rPr>
        <w:t xml:space="preserve">جنگی است شامل اشعاری از شاعران زیر: جامی ،مشتاق، حافـظ، نان و حلوای شیخ بهایی، گلشن خیال از شعله، داستان زرگر و دختر پادشاه از شعله، داستان زیبا و رعنا از شعله، داستان روزه گرفتن حسنین از کلام  مهجور، داستان نگارستان چین از کـلام سند، چاه و صال  سندی، مخمس  کلیم ،نظیم ،میرجعفر ،کلاشی قزوینی عصمت بخارایی، غزلیات عبید زاکانی، و هزلیات او و دیگر اشعار از او، نظامی، مناقب امام از گفته مجروب، دیوان هاتف، تعریف پنج کشتی و اعجاز نمودن امیرالمؤمنين (علیه السّلام) غزلیات عرفی ،حافظ، نظامی، میرزا نظام، طوفان مادامی، باقـی، سایل، سعدی؛ خط: تحریری، بی کا، بی تا؛ افتادگی: انجام؛ جـلد: گالینگور سبز عطف و گوشه تیماج نارنجی، ۱۲۴گ، ۲۵ سـطر،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۲۹سم [ف ۳ - ۱۲۵۵]</w:t>
      </w:r>
    </w:p>
    <w:p>
      <w:pPr>
        <w:pStyle w:val="BookText"/>
      </w:pPr>
      <w:r>
        <w:rPr>
          <w:rFonts w:ascii="IRNazanin" w:hAnsi="IRNazanin" w:eastAsia="IRNazanin" w:cs="IRNazanin"/>
          <w:lang w:bidi="fa-IR"/>
          <w:color w:val="111111"/>
          <w:sz w:val="28"/>
          <w:szCs w:val="28"/>
          <w:rtl/>
        </w:rPr>
        <w:t xml:space="preserve">۲۲۳۰ تهران؛ ملی؛ شماره نسخه: ۶۶۸۶</w:t>
      </w:r>
    </w:p>
    <w:p>
      <w:pPr>
        <w:pStyle w:val="BookText"/>
      </w:pPr>
      <w:r>
        <w:rPr>
          <w:rFonts w:ascii="Amiri" w:hAnsi="Amiri" w:eastAsia="Amiri" w:cs="Amiri"/>
          <w:lang w:bidi="ar-SA"/>
          <w:color w:val="111111"/>
          <w:sz w:val="28"/>
          <w:szCs w:val="28"/>
          <w:rtl/>
        </w:rPr>
        <w:t xml:space="preserve">آغاز: خلصوا اعمالكم ان الناقد بصير بصير و اكثروا زادكم ان السفر بعيد بعيد و استحكموا السفينه ان البحر عميق عميق</w:t>
      </w:r>
    </w:p>
    <w:p>
      <w:pPr>
        <w:pStyle w:val="BookText"/>
      </w:pPr>
      <w:r>
        <w:rPr>
          <w:rFonts w:ascii="IRNazanin" w:hAnsi="IRNazanin" w:eastAsia="IRNazanin" w:cs="IRNazanin"/>
          <w:lang w:bidi="fa-IR"/>
          <w:color w:val="111111"/>
          <w:sz w:val="28"/>
          <w:szCs w:val="28"/>
          <w:rtl/>
        </w:rPr>
        <w:t xml:space="preserve">مشتمل بر اشعاری به فارسی و گاه عربی از شعرا و شخصیت هـای معروف ایران تا قرن نهم هجری و مطالبی در تاریخ زندگی بعضی از آنان از جمله ابن سینا، فردوسی، خاقانی، و ... ... که بدون ترتیب خاصی گرد آوری شده است؛ خط: نستعلیق و شکـسته نستعلیق، بی کا، بی تا؛ کاغذ: فرنگی نخودی، جلد: تیماج مشـکی یک لا ،مجدول، میان جداول بوته هایی ریسه ای ضربی، اندرون جلد روکش کاغذی ،زرد، ۵۸گ (۷۹ پ- ۱۳۷)، ۱۱ سـطر (7</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۱۷/۳سم [رایانه]</w:t>
      </w:r>
    </w:p>
    <w:p>
      <w:pPr>
        <w:pStyle w:val="BookText"/>
      </w:pPr>
      <w:r>
        <w:rPr>
          <w:rFonts w:ascii="IRNazanin" w:hAnsi="IRNazanin" w:eastAsia="IRNazanin" w:cs="IRNazanin"/>
          <w:lang w:bidi="fa-IR"/>
          <w:color w:val="111111"/>
          <w:sz w:val="28"/>
          <w:szCs w:val="28"/>
          <w:rtl/>
        </w:rPr>
        <w:t xml:space="preserve">۲۲۳۱. تهران؛ ملی؛ شماره نسخه: ۱۵۹۷۳</w:t>
      </w:r>
    </w:p>
    <w:p>
      <w:pPr>
        <w:pStyle w:val="BookText"/>
      </w:pPr>
      <w:r>
        <w:rPr>
          <w:rFonts w:ascii="IRNazanin" w:hAnsi="IRNazanin" w:eastAsia="IRNazanin" w:cs="IRNazanin"/>
          <w:lang w:bidi="fa-IR"/>
          <w:color w:val="111111"/>
          <w:sz w:val="28"/>
          <w:szCs w:val="28"/>
          <w:rtl/>
        </w:rPr>
        <w:t xml:space="preserve">بی کا، بی تا؛ انتقالی از سازمان مدارک فرهنگی؛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۲۲/۵سم [رایانه]</w:t>
      </w:r>
    </w:p>
    <w:p>
      <w:pPr>
        <w:pStyle w:val="BookText"/>
      </w:pPr>
      <w:r>
        <w:rPr>
          <w:rFonts w:ascii="IRNazanin" w:hAnsi="IRNazanin" w:eastAsia="IRNazanin" w:cs="IRNazanin"/>
          <w:lang w:bidi="fa-IR"/>
          <w:color w:val="111111"/>
          <w:sz w:val="28"/>
          <w:szCs w:val="28"/>
          <w:rtl/>
        </w:rPr>
        <w:t xml:space="preserve">۲۲۳۲. تهران؛ ملی؛ شماره نسخه: ۱۵۶۷۶</w:t>
      </w:r>
    </w:p>
    <w:p>
      <w:pPr>
        <w:pStyle w:val="BookText"/>
      </w:pPr>
      <w:r>
        <w:rPr>
          <w:rFonts w:ascii="IRNazanin" w:hAnsi="IRNazanin" w:eastAsia="IRNazanin" w:cs="IRNazanin"/>
          <w:lang w:bidi="fa-IR"/>
          <w:color w:val="111111"/>
          <w:sz w:val="28"/>
          <w:szCs w:val="28"/>
          <w:rtl/>
        </w:rPr>
        <w:t xml:space="preserve">آغاز: من كلام تاج الذاکرین نیشابوری نی رفته ز دل که تمنا کنم ترا کی بوده نهفته که پیدا کنم ترا؛ انجام: ز کابلستان تا بزابلستان همه مرزها گشت غل غل ستان</w:t>
      </w:r>
    </w:p>
    <w:p>
      <w:pPr>
        <w:pStyle w:val="BookText"/>
      </w:pPr>
      <w:r>
        <w:rPr>
          <w:rFonts w:ascii="IRNazanin" w:hAnsi="IRNazanin" w:eastAsia="IRNazanin" w:cs="IRNazanin"/>
          <w:lang w:bidi="fa-IR"/>
          <w:color w:val="111111"/>
          <w:sz w:val="28"/>
          <w:szCs w:val="28"/>
          <w:rtl/>
        </w:rPr>
        <w:t xml:space="preserve">این جنگ که در حاشیه نسخه نوشته شده شامل اشعاری از قاآنی، تاج الذاکرین نیشابوری، قصیده ای از  خدیو، قصیده در تضمین اشعار شیخ بهاءالدین محمد، در شرح اشععار خواجه نعمه الله، مخمس عراقی، قصیده  قمری ،در طعن منكرين امام عليه السلام، خاقانی، مخمس حافظ، مخمس نظیری، حاجی ملا هادی سبزواری، ساقی نامه ملاهادی سبزواری، سؤال از موتوا قبل از تموتوا و جواب، در موت ذاتی در موتات اربعه، مخمس وفایی، سعدی، ابوالقاسم تاجر طهرانی متخلص به پروین، عطار، شمس  تبریزی ،احمد، بابا کوهی، محتشم و فردوسی (شاهنامه) می باشد؛ خط: نستعلیق و شکسته نستعلیق، بی  کا، بی تا؛ کاغذ: فرنگی نخودی، جلد: تیماج عنابی مقوایی مجدول منگنه ضربی، اندرون جلد آستر  کاغذی ،۵۸گ (۱پ -۵۸ پ)، اندازه: ۱۷/۵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۲۲/۵سم[ رایانه ]</w:t>
      </w:r>
    </w:p>
    <w:p>
      <w:pPr>
        <w:pStyle w:val="BookText"/>
      </w:pPr>
      <w:r>
        <w:rPr>
          <w:rFonts w:ascii="IRNazanin" w:hAnsi="IRNazanin" w:eastAsia="IRNazanin" w:cs="IRNazanin"/>
          <w:lang w:bidi="fa-IR"/>
          <w:color w:val="111111"/>
          <w:sz w:val="28"/>
          <w:szCs w:val="28"/>
          <w:rtl/>
        </w:rPr>
        <w:t xml:space="preserve">۲۲۳۳. تهران؛ ملی؛ شماره نسخه: ۱۵۷۱۹</w:t>
      </w:r>
    </w:p>
    <w:p>
      <w:pPr>
        <w:pStyle w:val="BookText"/>
      </w:pPr>
      <w:r>
        <w:rPr>
          <w:rFonts w:ascii="IRNazanin" w:hAnsi="IRNazanin" w:eastAsia="IRNazanin" w:cs="IRNazanin"/>
          <w:lang w:bidi="fa-IR"/>
          <w:color w:val="111111"/>
          <w:sz w:val="28"/>
          <w:szCs w:val="28"/>
          <w:rtl/>
        </w:rPr>
        <w:t xml:space="preserve">مجموعه اشعاری است از ابن  عماد، امیر خسرو دهلوی، ناصر بخاری، خواجه سلمان، مولانا محمد حافظ، شيخ كمال الدين خجندی، کمال الدین خواجو کرمانی، سید قاسم انوار، سید نسیمی، سید نعمت الله، مولانا شریف الدین یزدی، مولانا محمد کاتبی ،مولانا خیالی، مولانا شاهی و مولانا طوسی که گرد آوری شده است؛ خط: نستعلیق، بی کا،بی تا؛ افتادگی: آغاز و انجام؛ مجدول؛ كاغذ: فرنگی نخودی ،جلد: تیماج قهوه ای یک لا، اندرون جلد آستر کاغذی ،۱۲۸گ، ۱۳ - ۱۵ سطر (۷/۴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 اندازه: ۸/۳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 رایانه ]</w:t>
      </w:r>
    </w:p>
    <w:p>
      <w:pPr>
        <w:pStyle w:val="BookText"/>
      </w:pPr>
      <w:r>
        <w:rPr>
          <w:rFonts w:ascii="IRNazanin" w:hAnsi="IRNazanin" w:eastAsia="IRNazanin" w:cs="IRNazanin"/>
          <w:lang w:bidi="fa-IR"/>
          <w:color w:val="111111"/>
          <w:sz w:val="28"/>
          <w:szCs w:val="28"/>
          <w:rtl/>
        </w:rPr>
        <w:t xml:space="preserve">۲۲۳۴. تهران؛ ملی؛ شماره نسخه: ۱۵۷۲۰</w:t>
      </w:r>
    </w:p>
    <w:p>
      <w:pPr>
        <w:pStyle w:val="BookText"/>
      </w:pPr>
      <w:r>
        <w:rPr>
          <w:rFonts w:ascii="IRNazanin" w:hAnsi="IRNazanin" w:eastAsia="IRNazanin" w:cs="IRNazanin"/>
          <w:lang w:bidi="fa-IR"/>
          <w:color w:val="111111"/>
          <w:sz w:val="28"/>
          <w:szCs w:val="28"/>
          <w:rtl/>
        </w:rPr>
        <w:t xml:space="preserve">آغاز: ساقی آتش پرست و آتش دست ریخت در ساغر آتش سوزان؛ انجام: این نکته که در جام جهان پنهانست در شیشه می اگر بدانی آنست</w:t>
      </w:r>
    </w:p>
    <w:p>
      <w:pPr>
        <w:pStyle w:val="BookText"/>
      </w:pPr>
      <w:r>
        <w:rPr>
          <w:rFonts w:ascii="IRNazanin" w:hAnsi="IRNazanin" w:eastAsia="IRNazanin" w:cs="IRNazanin"/>
          <w:lang w:bidi="fa-IR"/>
          <w:color w:val="111111"/>
          <w:sz w:val="28"/>
          <w:szCs w:val="28"/>
          <w:rtl/>
        </w:rPr>
        <w:t xml:space="preserve">مجموعه اشعاری است از میرزا  نصیر ،عاشق اصفهانی، حکیم بخارایی ،سعدی ،یغما ،مجمر، حافظ و شاعران دیگر شامل رباعی ،فرد، قطعه و ... که گردآوری شده است؛ خط:نستعلیق و شکسته نستعلیق، بی کا، بی تا ؛افتادگی: انجام؛ مجدول؛ مهر: «محمد تقی ۱۲۱۶»( بیضی)؛ کاغذ: فرنگی نخودی، جلد: تیماج  قهوه ای ،یک لا، مجدول، بدون آستر ،۱۴۸گ، مختلف السطر (۸/۵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اندازه: 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۱۹/۵سم [رایانه]</w:t>
      </w:r>
    </w:p>
    <w:p>
      <w:pPr>
        <w:pStyle w:val="BookText"/>
      </w:pPr>
      <w:r>
        <w:rPr>
          <w:rFonts w:ascii="IRNazanin" w:hAnsi="IRNazanin" w:eastAsia="IRNazanin" w:cs="IRNazanin"/>
          <w:lang w:bidi="fa-IR"/>
          <w:color w:val="111111"/>
          <w:sz w:val="28"/>
          <w:szCs w:val="28"/>
          <w:rtl/>
        </w:rPr>
        <w:t xml:space="preserve">۲۲۳۵. تهران؛ مفتاح؛ شماره نسخه: ۸۹۰/۱۰</w:t>
      </w:r>
    </w:p>
    <w:p>
      <w:pPr>
        <w:pStyle w:val="BookText"/>
      </w:pPr>
      <w:r>
        <w:rPr>
          <w:rFonts w:ascii="IRNazanin" w:hAnsi="IRNazanin" w:eastAsia="IRNazanin" w:cs="IRNazanin"/>
          <w:lang w:bidi="fa-IR"/>
          <w:color w:val="111111"/>
          <w:sz w:val="28"/>
          <w:szCs w:val="28"/>
          <w:rtl/>
        </w:rPr>
        <w:t xml:space="preserve">شعر ابوسعيد ابي الخير و حیرتی و حافظ در ستایش امام رضا؛</w:t>
      </w:r>
    </w:p>
    <w:p>
      <w:pPr>
        <w:pStyle w:val="BookText"/>
      </w:pPr>
      <w:r>
        <w:rPr>
          <w:rFonts w:ascii="IRNazanin" w:hAnsi="IRNazanin" w:eastAsia="IRNazanin" w:cs="IRNazanin"/>
          <w:lang w:bidi="fa-IR"/>
          <w:color w:val="111111"/>
          <w:sz w:val="28"/>
          <w:szCs w:val="28"/>
          <w:rtl/>
        </w:rPr>
        <w:t xml:space="preserve">بی کا، بی تا؛ قطع: ربعی [نشریه: 7- 262]</w:t>
      </w:r>
    </w:p>
    <w:p>
      <w:pPr>
        <w:pStyle w:val="BookText"/>
      </w:pPr>
      <w:r>
        <w:rPr>
          <w:rFonts w:ascii="IRNazanin" w:hAnsi="IRNazanin" w:eastAsia="IRNazanin" w:cs="IRNazanin"/>
          <w:lang w:bidi="fa-IR"/>
          <w:color w:val="111111"/>
          <w:sz w:val="28"/>
          <w:szCs w:val="28"/>
          <w:rtl/>
        </w:rPr>
        <w:t xml:space="preserve">۲۲۳۶. قم؛ گلپایگانی؛ شماره نسخه: ۷۶۹۱-۳۹/۷۱</w:t>
      </w:r>
    </w:p>
    <w:p>
      <w:pPr>
        <w:pStyle w:val="BookText"/>
      </w:pPr>
      <w:r>
        <w:rPr>
          <w:rFonts w:ascii="IRNazanin" w:hAnsi="IRNazanin" w:eastAsia="IRNazanin" w:cs="IRNazanin"/>
          <w:lang w:bidi="fa-IR"/>
          <w:color w:val="111111"/>
          <w:sz w:val="28"/>
          <w:szCs w:val="28"/>
          <w:rtl/>
        </w:rPr>
        <w:t xml:space="preserve">آغاز: اگر نبارد از ابر قطره باکی نیست*** چو قطره بارد دست خدایگان گوهر ؛انجام: جهان پیر چومهر منیرشد بحمل *** ز نو چگونه بپیرایه شباب رسید</w:t>
      </w:r>
    </w:p>
    <w:p>
      <w:pPr>
        <w:pStyle w:val="BookText"/>
      </w:pPr>
      <w:r>
        <w:rPr>
          <w:rFonts w:ascii="IRNazanin" w:hAnsi="IRNazanin" w:eastAsia="IRNazanin" w:cs="IRNazanin"/>
          <w:lang w:bidi="fa-IR"/>
          <w:color w:val="111111"/>
          <w:sz w:val="28"/>
          <w:szCs w:val="28"/>
          <w:rtl/>
        </w:rPr>
        <w:t xml:space="preserve">اشعار و قصایدی است در مدح شاهان قاجار، همچون ناصر الدین
</w:t>
      </w:r>
    </w:p>
    <w:p>
      <w:pPr>
        <w:sectPr>
          <w:footerReference w:type="default" r:id="rId9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شاه و محمد شاه و نیز شاهزادگان و امرا مانند مسعود میرزا و محمد خان سپه سالار و حسام السلطنه و میرزا آقاسی در لابه لای اشعار تخلص شاعر به دست نیامد ؛خط: نستعلیق، بی کا، بی تا؛ افتادگی: آغاز؛ چاپ سنگی است؛ جلد: گالینگور قهوه ای کیفی، ۱۸۰گ، ۲۷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۱ - ۳۷۲]</w:t>
      </w:r>
    </w:p>
    <w:p>
      <w:pPr>
        <w:pStyle w:val="BookText"/>
      </w:pPr>
      <w:r>
        <w:rPr>
          <w:rFonts w:ascii="IRNazanin" w:hAnsi="IRNazanin" w:eastAsia="IRNazanin" w:cs="IRNazanin"/>
          <w:lang w:bidi="fa-IR"/>
          <w:color w:val="111111"/>
          <w:sz w:val="28"/>
          <w:szCs w:val="28"/>
          <w:rtl/>
        </w:rPr>
        <w:t xml:space="preserve">۲۲۳۷. تهران؛ ملک؛ شماره نسخه: ۲۸۳۱/۶</w:t>
      </w:r>
    </w:p>
    <w:p>
      <w:pPr>
        <w:pStyle w:val="BookText"/>
      </w:pPr>
      <w:r>
        <w:rPr>
          <w:rFonts w:ascii="IRNazanin" w:hAnsi="IRNazanin" w:eastAsia="IRNazanin" w:cs="IRNazanin"/>
          <w:lang w:bidi="fa-IR"/>
          <w:color w:val="111111"/>
          <w:sz w:val="28"/>
          <w:szCs w:val="28"/>
          <w:rtl/>
        </w:rPr>
        <w:t xml:space="preserve">اشعار در مراثی است؛ خط: شکسته نستعلیق، بی کا، بی تا ؛ 2گ (۱۱۶پ- ۱۱۷پ) [ف: ۶ - ۱۳۰]</w:t>
      </w:r>
    </w:p>
    <w:p>
      <w:pPr>
        <w:pStyle w:val="BookText"/>
      </w:pPr>
      <w:r>
        <w:rPr>
          <w:rFonts w:ascii="IRNazanin" w:hAnsi="IRNazanin" w:eastAsia="IRNazanin" w:cs="IRNazanin"/>
          <w:lang w:bidi="fa-IR"/>
          <w:color w:val="111111"/>
          <w:sz w:val="28"/>
          <w:szCs w:val="28"/>
          <w:rtl/>
        </w:rPr>
        <w:t xml:space="preserve">۲۲۳۸. تهران؛ مدارک فرهنگی؛ شماره نسخه: ۴۰</w:t>
      </w:r>
    </w:p>
    <w:p>
      <w:pPr>
        <w:pStyle w:val="BookText"/>
      </w:pPr>
      <w:r>
        <w:rPr>
          <w:rFonts w:ascii="IRNazanin" w:hAnsi="IRNazanin" w:eastAsia="IRNazanin" w:cs="IRNazanin"/>
          <w:lang w:bidi="fa-IR"/>
          <w:color w:val="111111"/>
          <w:sz w:val="28"/>
          <w:szCs w:val="28"/>
          <w:rtl/>
        </w:rPr>
        <w:t xml:space="preserve">آغاز: بهربانی بهران لطف نخست *** که تو کردی گمرهـانرا بازجست؛ انجام: صد هزار احوال آمد اینچنین *** بار سوی غـیب رفتند ای امین</w:t>
      </w:r>
    </w:p>
    <w:p>
      <w:pPr>
        <w:pStyle w:val="BookText"/>
      </w:pPr>
      <w:r>
        <w:rPr>
          <w:rFonts w:ascii="IRNazanin" w:hAnsi="IRNazanin" w:eastAsia="IRNazanin" w:cs="IRNazanin"/>
          <w:lang w:bidi="fa-IR"/>
          <w:color w:val="111111"/>
          <w:sz w:val="28"/>
          <w:szCs w:val="28"/>
          <w:rtl/>
        </w:rPr>
        <w:t xml:space="preserve">کتاب اشعاری است با مضامین عرفانی؛ خط: نستعلیق متوسـط،بی کا، بی تا؛ افتادگی: آغاز و انجام؛ مصحح؛ کاغذ: اصفهانی حنایی، ۱۱۹گ، ۱۴ سطر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[ف: ۳۹]</w:t>
      </w:r>
    </w:p>
    <w:p>
      <w:pPr>
        <w:pStyle w:val="BookText"/>
      </w:pPr>
      <w:r>
        <w:rPr>
          <w:rFonts w:ascii="IRNazanin" w:hAnsi="IRNazanin" w:eastAsia="IRNazanin" w:cs="IRNazanin"/>
          <w:lang w:bidi="fa-IR"/>
          <w:color w:val="111111"/>
          <w:sz w:val="28"/>
          <w:szCs w:val="28"/>
          <w:rtl/>
        </w:rPr>
        <w:t xml:space="preserve">۲۲۳۹ . قم؛ مسجد اعظم؛ شماره نسخه: ۳۶۹۸</w:t>
      </w:r>
    </w:p>
    <w:p>
      <w:pPr>
        <w:pStyle w:val="BookText"/>
      </w:pPr>
      <w:r>
        <w:rPr>
          <w:rFonts w:ascii="IRNazanin" w:hAnsi="IRNazanin" w:eastAsia="IRNazanin" w:cs="IRNazanin"/>
          <w:lang w:bidi="fa-IR"/>
          <w:color w:val="111111"/>
          <w:sz w:val="28"/>
          <w:szCs w:val="28"/>
          <w:rtl/>
        </w:rPr>
        <w:t xml:space="preserve">آغاز: ای برده ز سر عقل و خرد طاعت هوشم *** در عشق تو با[..] نتوانم نخروشم</w:t>
      </w:r>
    </w:p>
    <w:p>
      <w:pPr>
        <w:pStyle w:val="BookText"/>
      </w:pPr>
      <w:r>
        <w:rPr>
          <w:rFonts w:ascii="IRNazanin" w:hAnsi="IRNazanin" w:eastAsia="IRNazanin" w:cs="IRNazanin"/>
          <w:lang w:bidi="fa-IR"/>
          <w:color w:val="111111"/>
          <w:sz w:val="28"/>
          <w:szCs w:val="28"/>
          <w:rtl/>
        </w:rPr>
        <w:t xml:space="preserve">دور از لب میگون شکر ریز توجانا ***جزخون جگر باده گل رنگ ننوشم؛ انجام: یک چشمه و لشکری [معطش] *** يـک یوسف و عالمی خریدار / تامست نباشی نکشی بارغم یار *** آری شتر مست کشد بارگران را</w:t>
      </w:r>
    </w:p>
    <w:p>
      <w:pPr>
        <w:pStyle w:val="BookText"/>
      </w:pPr>
      <w:r>
        <w:rPr>
          <w:rFonts w:ascii="IRNazanin" w:hAnsi="IRNazanin" w:eastAsia="IRNazanin" w:cs="IRNazanin"/>
          <w:lang w:bidi="fa-IR"/>
          <w:color w:val="111111"/>
          <w:sz w:val="28"/>
          <w:szCs w:val="28"/>
          <w:rtl/>
        </w:rPr>
        <w:t xml:space="preserve">مؤلف انواع مختلفی از شعر فارسی در قالب های مثنوی، غزل، رباعی و تصنیف را در این رساله گرد آورده است اما نامی از سرایندگان نبرده است جز از سعدی و فخر؛ خط: نستعلیق، بی کا، بی تا؛ مجدول؛ جلد: تیماج  زرشکی، مجدول گرهی، ۸۴گ،9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مخ: ۱ - ۱۵۷]</w:t>
      </w:r>
    </w:p>
    <w:p>
      <w:pPr>
        <w:pStyle w:val="BookText"/>
      </w:pPr>
      <w:r>
        <w:rPr>
          <w:rFonts w:ascii="IRNazanin" w:hAnsi="IRNazanin" w:eastAsia="IRNazanin" w:cs="IRNazanin"/>
          <w:lang w:bidi="fa-IR"/>
          <w:color w:val="111111"/>
          <w:sz w:val="28"/>
          <w:szCs w:val="28"/>
          <w:rtl/>
        </w:rPr>
        <w:t xml:space="preserve">۲۲۴۰ . مشهد؛ ادبیات؛ شماره نسخه: ۴۰/۱۲ فرخ</w:t>
      </w:r>
    </w:p>
    <w:p>
      <w:pPr>
        <w:pStyle w:val="BookText"/>
      </w:pPr>
      <w:r>
        <w:rPr>
          <w:rFonts w:ascii="IRNazanin" w:hAnsi="IRNazanin" w:eastAsia="IRNazanin" w:cs="IRNazanin"/>
          <w:lang w:bidi="fa-IR"/>
          <w:color w:val="111111"/>
          <w:sz w:val="28"/>
          <w:szCs w:val="28"/>
          <w:rtl/>
        </w:rPr>
        <w:t xml:space="preserve">شامل ترجیع بند هاتف در ۲ برگ، قصیده کاتبی در یک صفحه، قصیده معروف صاحبی نائینی در دو صفحه، مسمط ضـیاء اصفهانی در دو  صفحه، قطعه ای از مفلس در دو صفحه، قطعه ای از عرفی و قطعه ای از جامی در بیست صفحه ؛خط: نستعلـیق،بی کا، بی تا ؛کاغذ: الوان، جلد: مقوا روغنی دارای سه ترنج وحاشیه که در داخل گل و بوته اندازی شده، ۱۲ص (۱-۱۲) ، قـطع: پستی،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۲۰۶]</w:t>
      </w:r>
    </w:p>
    <w:p>
      <w:pPr>
        <w:pStyle w:val="BookText"/>
      </w:pPr>
      <w:r>
        <w:rPr>
          <w:rFonts w:ascii="IRNazanin" w:hAnsi="IRNazanin" w:eastAsia="IRNazanin" w:cs="IRNazanin"/>
          <w:lang w:bidi="fa-IR"/>
          <w:color w:val="111111"/>
          <w:sz w:val="28"/>
          <w:szCs w:val="28"/>
          <w:rtl/>
        </w:rPr>
        <w:t xml:space="preserve">۲۲۴۱. تهران؛ ملی؛ شماره نسخه: ۱۶۷۹۶</w:t>
      </w:r>
    </w:p>
    <w:p>
      <w:pPr>
        <w:pStyle w:val="BookText"/>
      </w:pPr>
      <w:r>
        <w:rPr>
          <w:rFonts w:ascii="IRNazanin" w:hAnsi="IRNazanin" w:eastAsia="IRNazanin" w:cs="IRNazanin"/>
          <w:lang w:bidi="fa-IR"/>
          <w:color w:val="111111"/>
          <w:sz w:val="28"/>
          <w:szCs w:val="28"/>
          <w:rtl/>
        </w:rPr>
        <w:t xml:space="preserve">اشعار مذهبی سر حاج. قاآنی؛ بی کا، بی تا؛ انتقالی از کتابخانه پهلوی - مجموعه نوازی؛ ۲۲۳گ، اندازه: ۱۳/۱۸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۲۰/۷سم [ رایانه]</w:t>
      </w:r>
    </w:p>
    <w:p>
      <w:pPr>
        <w:pStyle w:val="BookText"/>
      </w:pPr>
      <w:r>
        <w:rPr>
          <w:rFonts w:ascii="IRNazanin" w:hAnsi="IRNazanin" w:eastAsia="IRNazanin" w:cs="IRNazanin"/>
          <w:lang w:bidi="fa-IR"/>
          <w:color w:val="111111"/>
          <w:sz w:val="28"/>
          <w:szCs w:val="28"/>
          <w:rtl/>
        </w:rPr>
        <w:t xml:space="preserve">۲۲۴۲ . قم؛ مسجد اعظم؛ شماره نسخه: ۱۵۷۳/۵</w:t>
      </w:r>
    </w:p>
    <w:p>
      <w:pPr>
        <w:pStyle w:val="BookText"/>
      </w:pPr>
      <w:r>
        <w:rPr>
          <w:rFonts w:ascii="IRNazanin" w:hAnsi="IRNazanin" w:eastAsia="IRNazanin" w:cs="IRNazanin"/>
          <w:lang w:bidi="fa-IR"/>
          <w:color w:val="111111"/>
          <w:sz w:val="28"/>
          <w:szCs w:val="28"/>
          <w:rtl/>
        </w:rPr>
        <w:t xml:space="preserve">آغاز: ای خداوندی که اول پایه اجلال تو*** مر مرارنه طارم کردون کردان آمده است</w:t>
      </w:r>
    </w:p>
    <w:p>
      <w:pPr>
        <w:pStyle w:val="BookText"/>
      </w:pPr>
      <w:r>
        <w:rPr>
          <w:rFonts w:ascii="IRNazanin" w:hAnsi="IRNazanin" w:eastAsia="IRNazanin" w:cs="IRNazanin"/>
          <w:lang w:bidi="fa-IR"/>
          <w:color w:val="111111"/>
          <w:sz w:val="28"/>
          <w:szCs w:val="28"/>
          <w:rtl/>
        </w:rPr>
        <w:t xml:space="preserve">تنمع از در صولت بر دشمن فنطر مرست ***ار مر رماری حرحوت نو رعمران آمده است ؛انجام: توانامی در وصل هم در کمان نه *** رس سسه ام  ناتوان  ارحدی / خدای کراس[...] ارس قضای *** رامدس داستان از خدایی</w:t>
      </w:r>
    </w:p>
    <w:p>
      <w:pPr>
        <w:pStyle w:val="BookText"/>
      </w:pPr>
      <w:r>
        <w:rPr>
          <w:rFonts w:ascii="IRNazanin" w:hAnsi="IRNazanin" w:eastAsia="IRNazanin" w:cs="IRNazanin"/>
          <w:lang w:bidi="fa-IR"/>
          <w:color w:val="111111"/>
          <w:sz w:val="28"/>
          <w:szCs w:val="28"/>
          <w:rtl/>
        </w:rPr>
        <w:t xml:space="preserve">منتخبی است از اشعار شاعری از یزد به نام آقا عبدالرحیم که گویا تخلصش «قضایی» بوده است ؛خط: نستعلیق، بی کا، بی تا؛ کاتب در استفاده از نقطه در حروف صرفه جویی کرده، در پایان قطعه ای از زین العابدین مرمری متخلص به بیدل ساکن  یزد، قطعه برادر میرزا احمد ولد حاجی ملا محمد و ايضا از قضایی؛ جلد: تیماج قهوه ای بدون  مقوا، ۳گ، ۲۴ 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مخ: ۱ - ۱۵۸]</w:t>
      </w:r>
    </w:p>
    <w:p>
      <w:pPr>
        <w:pStyle w:val="BookText"/>
      </w:pPr>
      <w:r>
        <w:rPr>
          <w:rFonts w:ascii="IRNazanin" w:hAnsi="IRNazanin" w:eastAsia="IRNazanin" w:cs="IRNazanin"/>
          <w:lang w:bidi="fa-IR"/>
          <w:color w:val="111111"/>
          <w:sz w:val="28"/>
          <w:szCs w:val="28"/>
          <w:rtl/>
        </w:rPr>
        <w:t xml:space="preserve">۲۲۴۳. تهران؛ دانشگاه؛ شماره نسخه: ۵۸۸۶/۲</w:t>
      </w:r>
    </w:p>
    <w:p>
      <w:pPr>
        <w:pStyle w:val="BookText"/>
      </w:pPr>
      <w:r>
        <w:rPr>
          <w:rFonts w:ascii="IRNazanin" w:hAnsi="IRNazanin" w:eastAsia="IRNazanin" w:cs="IRNazanin"/>
          <w:lang w:bidi="fa-IR"/>
          <w:color w:val="111111"/>
          <w:sz w:val="28"/>
          <w:szCs w:val="28"/>
          <w:rtl/>
        </w:rPr>
        <w:t xml:space="preserve">[اشعاری از مولوی] و اوحد الدین کرمانی و شبلی و عبدالله مبارک؛ خط: نستعلیق، بی کا، بی تا؛ کاغذ: فرنگی، جلد: تیماج تریاکی ضربی ،لایی ۳گ (۱۲ر - ۱۵پ)، ۱۸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 قطع:بغلی،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۱۶ - ۱۳۱]</w:t>
      </w:r>
    </w:p>
    <w:p>
      <w:pPr>
        <w:pStyle w:val="BookText"/>
      </w:pPr>
      <w:r>
        <w:rPr>
          <w:rFonts w:ascii="IRNazanin" w:hAnsi="IRNazanin" w:eastAsia="IRNazanin" w:cs="IRNazanin"/>
          <w:lang w:bidi="fa-IR"/>
          <w:color w:val="111111"/>
          <w:sz w:val="28"/>
          <w:szCs w:val="28"/>
          <w:rtl/>
        </w:rPr>
        <w:t xml:space="preserve">۲۲۴۴. یزد؛ وزیری؛ شماره نسخه: ۲۵۳۵/۱</w:t>
      </w:r>
    </w:p>
    <w:p>
      <w:pPr>
        <w:pStyle w:val="BookText"/>
      </w:pPr>
      <w:r>
        <w:rPr>
          <w:rFonts w:ascii="IRNazanin" w:hAnsi="IRNazanin" w:eastAsia="IRNazanin" w:cs="IRNazanin"/>
          <w:lang w:bidi="fa-IR"/>
          <w:color w:val="111111"/>
          <w:sz w:val="28"/>
          <w:szCs w:val="28"/>
          <w:rtl/>
        </w:rPr>
        <w:t xml:space="preserve">آغاز: زهی فیروز و فرخ باد و میمون *** مبارک باد و مسعود و همایون؛ انجام: آمل اگر چو جانان از ما گزید غیبت *** بهر حضور او نیز مائیم و انتظاری</w:t>
      </w:r>
    </w:p>
    <w:p>
      <w:pPr>
        <w:pStyle w:val="BookText"/>
      </w:pPr>
      <w:r>
        <w:rPr>
          <w:rFonts w:ascii="IRNazanin" w:hAnsi="IRNazanin" w:eastAsia="IRNazanin" w:cs="IRNazanin"/>
          <w:lang w:bidi="fa-IR"/>
          <w:color w:val="111111"/>
          <w:sz w:val="28"/>
          <w:szCs w:val="28"/>
          <w:rtl/>
        </w:rPr>
        <w:t xml:space="preserve">اشعاری از آمل؛ بی کا، بی تا؛ اهدایی: میر سید علی مدرس یزدی؛ کاغذ: کبود  اصفهانی، جلد: مقوایی روکش کاغذ ابری آبی سفید عطف تیماج قرمز، ۳۴گ (۳-۳۷)، اندازه: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۱۷سم[ف: ۴-۱۳۳۳]</w:t>
      </w:r>
    </w:p>
    <w:p>
      <w:pPr>
        <w:pStyle w:val="BookText"/>
      </w:pPr>
      <w:r>
        <w:rPr>
          <w:rFonts w:ascii="IRNazanin" w:hAnsi="IRNazanin" w:eastAsia="IRNazanin" w:cs="IRNazanin"/>
          <w:lang w:bidi="fa-IR"/>
          <w:color w:val="111111"/>
          <w:sz w:val="28"/>
          <w:szCs w:val="28"/>
          <w:rtl/>
        </w:rPr>
        <w:t xml:space="preserve">۲۲۴۵. همدان؛ مدرسه غرب؛ شماره نسخه: ۱۰۱۹۴/۳</w:t>
      </w:r>
    </w:p>
    <w:p>
      <w:pPr>
        <w:pStyle w:val="BookText"/>
      </w:pPr>
      <w:r>
        <w:rPr>
          <w:rFonts w:ascii="IRNazanin" w:hAnsi="IRNazanin" w:eastAsia="IRNazanin" w:cs="IRNazanin"/>
          <w:lang w:bidi="fa-IR"/>
          <w:color w:val="111111"/>
          <w:sz w:val="28"/>
          <w:szCs w:val="28"/>
          <w:rtl/>
        </w:rPr>
        <w:t xml:space="preserve">اشعاری از دیوان آذری است؛ بی کا، بی تا؛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[رشت و همدان :ف: - ۱۵۹۵]</w:t>
      </w:r>
    </w:p>
    <w:p>
      <w:pPr>
        <w:pStyle w:val="BookText"/>
      </w:pPr>
      <w:r>
        <w:rPr>
          <w:rFonts w:ascii="IRNazanin" w:hAnsi="IRNazanin" w:eastAsia="IRNazanin" w:cs="IRNazanin"/>
          <w:lang w:bidi="fa-IR"/>
          <w:color w:val="111111"/>
          <w:sz w:val="28"/>
          <w:szCs w:val="28"/>
          <w:rtl/>
        </w:rPr>
        <w:t xml:space="preserve">۲۲۴۶. تبریز؛ ملی؛ شماره نسخه: ۳۰۶۱</w:t>
      </w:r>
    </w:p>
    <w:p>
      <w:pPr>
        <w:pStyle w:val="BookText"/>
      </w:pPr>
      <w:r>
        <w:rPr>
          <w:rFonts w:ascii="IRNazanin" w:hAnsi="IRNazanin" w:eastAsia="IRNazanin" w:cs="IRNazanin"/>
          <w:lang w:bidi="fa-IR"/>
          <w:color w:val="111111"/>
          <w:sz w:val="28"/>
          <w:szCs w:val="28"/>
          <w:rtl/>
        </w:rPr>
        <w:t xml:space="preserve">آغاز: نهد چون عشق بابر منبر کفر *** رود ایمان بقربان سرکفر / اگر مرد است اگر زن درد باید *** چو مرد آید بمیدان مرد باید / نه کفر است این زبان اصطلاحیست *** می دیگر در این جام و صراحیست. حکایت بمجنون زاهدی گفت ای بد اختر ***گناهی از محبت نیست بدتر / بود کفر طریقت عشق بازی *** خصوص آن عشق كان باشد مجازی؛ انجام: ز نور روی این صاحب سعادت *** همان نور است تاریخ ولادت</w:t>
      </w:r>
    </w:p>
    <w:p>
      <w:pPr>
        <w:pStyle w:val="BookText"/>
      </w:pPr>
      <w:r>
        <w:rPr>
          <w:rFonts w:ascii="IRNazanin" w:hAnsi="IRNazanin" w:eastAsia="IRNazanin" w:cs="IRNazanin"/>
          <w:lang w:bidi="fa-IR"/>
          <w:color w:val="111111"/>
          <w:sz w:val="28"/>
          <w:szCs w:val="28"/>
          <w:rtl/>
        </w:rPr>
        <w:t xml:space="preserve">مثنوی کوتاهی در عشق و خواب دیدن نرجس خواتون و تولد حضرت قائم آل محمد؛ خط: نسخ  تعلیق، بی کا، بی تا ؛افتادگی: آغاز و انجام؛ روی دو برگ که به جای جلد به این اوراق الصاق کرده اند نوشته شده است: «کتاب از منتخبات شعرهای سعد ابن زنگری سنه ۱۳۳۰ = ۱۹۱۲ مسیح»؛ کاغذ: فرنگی، جلد: بدون جلد، 10+ دو گ پاره و خارج از متن، ۱۴ سطر،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[ف:1- 80]</w:t>
      </w:r>
    </w:p>
    <w:p>
      <w:pPr>
        <w:pStyle w:val="BookText"/>
      </w:pPr>
      <w:r>
        <w:rPr>
          <w:rFonts w:ascii="IRNazanin" w:hAnsi="IRNazanin" w:eastAsia="IRNazanin" w:cs="IRNazanin"/>
          <w:lang w:bidi="fa-IR"/>
          <w:color w:val="111111"/>
          <w:sz w:val="28"/>
          <w:szCs w:val="28"/>
          <w:rtl/>
        </w:rPr>
        <w:t xml:space="preserve">۲۲۴۷ . مشهد؛ الهیات؛ شماره نسخه: ۱۹۷/۳</w:t>
      </w:r>
    </w:p>
    <w:p>
      <w:pPr>
        <w:pStyle w:val="BookText"/>
      </w:pPr>
      <w:r>
        <w:rPr>
          <w:rFonts w:ascii="IRNazanin" w:hAnsi="IRNazanin" w:eastAsia="IRNazanin" w:cs="IRNazanin"/>
          <w:lang w:bidi="fa-IR"/>
          <w:color w:val="111111"/>
          <w:sz w:val="28"/>
          <w:szCs w:val="28"/>
          <w:rtl/>
        </w:rPr>
        <w:t xml:space="preserve">آغاز: لغز چیست آن صورتی که هیکل آن..؛ انجام: لغز، گفت تا شد ملک عجم</w:t>
      </w:r>
    </w:p>
    <w:p>
      <w:pPr>
        <w:pStyle w:val="BookText"/>
      </w:pPr>
      <w:r>
        <w:rPr>
          <w:rFonts w:ascii="IRNazanin" w:hAnsi="IRNazanin" w:eastAsia="IRNazanin" w:cs="IRNazanin"/>
          <w:lang w:bidi="fa-IR"/>
          <w:color w:val="111111"/>
          <w:sz w:val="28"/>
          <w:szCs w:val="28"/>
          <w:rtl/>
        </w:rPr>
        <w:t xml:space="preserve">خط: نستعلیق، بی کا، بی تا؛ کاغذ: اصفهانی؛ مهر: «قاسم الارزاق»،
</w:t>
      </w:r>
    </w:p>
    <w:p>
      <w:pPr>
        <w:sectPr>
          <w:footerReference w:type="default" r:id="rId9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«قربانی کعبه و فا اسمعیل»، «منتقل بسیفی نقشبند شد»؛تملک: «ابن قاضی میرک افضل»؛ جلد: تیماج عنابی، ۱۹ سطر (6</w:t>
      </w:r>
      <w:r>
        <w:rPr>
          <w:rFonts w:ascii="Times New Roman" w:hAnsi="Times New Roman" w:eastAsia="Times New Roman" w:cs="Times New Roman"/>
          <w:lang w:val="en-US" w:bidi="en-US"/>
          <w:color w:val="111111"/>
          <w:sz w:val="28"/>
          <w:szCs w:val="28"/>
          <w:rtl/>
        </w:rPr>
        <w:t xml:space="preserve">×13/5)</w:t>
      </w:r>
      <w:r>
        <w:rPr>
          <w:rFonts w:ascii="IRNazanin" w:hAnsi="IRNazanin" w:eastAsia="IRNazanin" w:cs="IRNazanin"/>
          <w:lang w:bidi="fa-IR"/>
          <w:color w:val="111111"/>
          <w:sz w:val="28"/>
          <w:szCs w:val="28"/>
          <w:rtl/>
        </w:rPr>
        <w:t xml:space="preserve">، قطع: رقعی،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۱۹/۵سم [ف: ۱ - ۳۶۶]</w:t>
      </w:r>
    </w:p>
    <w:p>
      <w:pPr>
        <w:pStyle w:val="BookText"/>
      </w:pPr>
      <w:r>
        <w:rPr>
          <w:rFonts w:ascii="IRNazanin" w:hAnsi="IRNazanin" w:eastAsia="IRNazanin" w:cs="IRNazanin"/>
          <w:lang w:bidi="fa-IR"/>
          <w:color w:val="111111"/>
          <w:sz w:val="28"/>
          <w:szCs w:val="28"/>
          <w:rtl/>
        </w:rPr>
        <w:t xml:space="preserve">۲۲۴۸. مشهد؛ الهیات شماره نسخه: ۲۲۶۲۰۳</w:t>
      </w:r>
    </w:p>
    <w:p>
      <w:pPr>
        <w:pStyle w:val="BookText"/>
      </w:pPr>
      <w:r>
        <w:rPr>
          <w:rFonts w:ascii="IRNazanin" w:hAnsi="IRNazanin" w:eastAsia="IRNazanin" w:cs="IRNazanin"/>
          <w:lang w:bidi="fa-IR"/>
          <w:color w:val="111111"/>
          <w:sz w:val="28"/>
          <w:szCs w:val="28"/>
          <w:rtl/>
        </w:rPr>
        <w:t xml:space="preserve">آغاز: بسمله. دو پیکراند در این زیر گنبد دوار *** که هر یکی بدگر ماند از ره کردار / چه هر دو مایه فیض و موائد احسان*** ملاذ و ملجاء خلقند و جای استظهار</w:t>
      </w:r>
    </w:p>
    <w:p>
      <w:pPr>
        <w:pStyle w:val="BookText"/>
      </w:pPr>
      <w:r>
        <w:rPr>
          <w:rFonts w:ascii="IRNazanin" w:hAnsi="IRNazanin" w:eastAsia="IRNazanin" w:cs="IRNazanin"/>
          <w:lang w:bidi="fa-IR"/>
          <w:color w:val="111111"/>
          <w:sz w:val="28"/>
          <w:szCs w:val="28"/>
          <w:rtl/>
        </w:rPr>
        <w:t xml:space="preserve">چند قصیده و غزل و مثنویست که در ثنای مشتاق علیشاه سروده شده و بالغ بر ۲۳۰ بیت می باشد و ناتمام است؛ خط: شکسـته، نستعلیق، کا: عباس نائینی، بی تا ؛کاغذ: فرنگی الوان ،جلد: مـقوا مشکی عطف و گوشه تیماج قهوه ای، ۷گ (۱۵-۲۱)، اندازه: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۳ - ۷۹۰]</w:t>
      </w:r>
    </w:p>
    <w:p>
      <w:pPr>
        <w:pStyle w:val="BookText"/>
      </w:pPr>
      <w:r>
        <w:rPr>
          <w:rFonts w:ascii="IRNazanin" w:hAnsi="IRNazanin" w:eastAsia="IRNazanin" w:cs="IRNazanin"/>
          <w:lang w:bidi="fa-IR"/>
          <w:color w:val="111111"/>
          <w:sz w:val="28"/>
          <w:szCs w:val="28"/>
          <w:rtl/>
        </w:rPr>
        <w:t xml:space="preserve">۲۲۴۹. یزد؛ وزیری؛ شماره نسخه: ۲۵۶۰</w:t>
      </w:r>
    </w:p>
    <w:p>
      <w:pPr>
        <w:pStyle w:val="BookText"/>
      </w:pPr>
      <w:r>
        <w:rPr>
          <w:rFonts w:ascii="IRNazanin" w:hAnsi="IRNazanin" w:eastAsia="IRNazanin" w:cs="IRNazanin"/>
          <w:lang w:bidi="fa-IR"/>
          <w:color w:val="111111"/>
          <w:sz w:val="28"/>
          <w:szCs w:val="28"/>
          <w:rtl/>
        </w:rPr>
        <w:t xml:space="preserve">انجام: عاقبت زیر خاک مسکن کرد</w:t>
      </w:r>
    </w:p>
    <w:p>
      <w:pPr>
        <w:pStyle w:val="BookText"/>
      </w:pPr>
      <w:r>
        <w:rPr>
          <w:rFonts w:ascii="IRNazanin" w:hAnsi="IRNazanin" w:eastAsia="IRNazanin" w:cs="IRNazanin"/>
          <w:lang w:bidi="fa-IR"/>
          <w:color w:val="111111"/>
          <w:sz w:val="28"/>
          <w:szCs w:val="28"/>
          <w:rtl/>
        </w:rPr>
        <w:t xml:space="preserve">مشتمل است بر اشعار: حکیم، میرزا جلال، وحشی، محتشم، قدرت، قاضی گیلانی ،طوفان ،پریشان، عاشق، شمس تبریزی، جلال الدین بلخی ،فراق، احمد فرد، اعظم، قصاب رفیق، سعدی، جهان آرام بگم دختر شاه جهان؛ مهری دختر قاضی و ژاله خاتون کرمانی دختر کعب؛ خط: نستعلیق، بی کا، بی تا؛ افتادگی: انجام؛ اهدایی: میرسید علی مدرس؛ کاغذ: اصفهانی، جلد: مقوایی عطف تیماج تریاکی روکش کاغذ  ابری، ۱۲۵گ، مختلـف السطر، اندازه: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۴ - ۱۳۴۳]</w:t>
      </w:r>
    </w:p>
    <w:p>
      <w:pPr>
        <w:pStyle w:val="BookText"/>
      </w:pPr>
      <w:r>
        <w:rPr>
          <w:rFonts w:ascii="IRNazanin" w:hAnsi="IRNazanin" w:eastAsia="IRNazanin" w:cs="IRNazanin"/>
          <w:lang w:bidi="fa-IR"/>
          <w:color w:val="111111"/>
          <w:sz w:val="28"/>
          <w:szCs w:val="28"/>
          <w:rtl/>
        </w:rPr>
        <w:t xml:space="preserve">۲۲۵۰. یزد؛ وزیری؛ شماره نسخه: ۲۵۷۰</w:t>
      </w:r>
    </w:p>
    <w:p>
      <w:pPr>
        <w:pStyle w:val="BookText"/>
      </w:pPr>
      <w:r>
        <w:rPr>
          <w:rFonts w:ascii="IRNazanin" w:hAnsi="IRNazanin" w:eastAsia="IRNazanin" w:cs="IRNazanin"/>
          <w:lang w:bidi="fa-IR"/>
          <w:color w:val="111111"/>
          <w:sz w:val="28"/>
          <w:szCs w:val="28"/>
          <w:rtl/>
        </w:rPr>
        <w:t xml:space="preserve">آغاز: این در همه عالم پنهان تو و پیدا تو؛ انجام: کسیکه یاد کند در دیار یار از ما .</w:t>
      </w:r>
    </w:p>
    <w:p>
      <w:pPr>
        <w:pStyle w:val="BookText"/>
      </w:pPr>
      <w:r>
        <w:rPr>
          <w:rFonts w:ascii="IRNazanin" w:hAnsi="IRNazanin" w:eastAsia="IRNazanin" w:cs="IRNazanin"/>
          <w:lang w:bidi="fa-IR"/>
          <w:color w:val="111111"/>
          <w:sz w:val="28"/>
          <w:szCs w:val="28"/>
          <w:rtl/>
        </w:rPr>
        <w:t xml:space="preserve">مشتمل است بر اشعاری از  جامی، سعدی، عاشق اصفهانی، وحشی بافقی و غیره؛ خط: نستعلیق، بی کا، بی تا؛ افتادگی: آغاز و انجام؛ صفحات مجدول زنگار؛ اهدایی: سید حسین مظلوم؛ کاغذ: اصفهانی، جلد: تیماج  مشکی، ۱۰۸گ، مختلف السطر، اندازه: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۴ - ۱۳۴۶]</w:t>
      </w:r>
    </w:p>
    <w:p>
      <w:pPr>
        <w:pStyle w:val="BookText"/>
      </w:pPr>
      <w:r>
        <w:rPr>
          <w:rFonts w:ascii="IRNazanin" w:hAnsi="IRNazanin" w:eastAsia="IRNazanin" w:cs="IRNazanin"/>
          <w:lang w:bidi="fa-IR"/>
          <w:color w:val="111111"/>
          <w:sz w:val="28"/>
          <w:szCs w:val="28"/>
          <w:rtl/>
        </w:rPr>
        <w:t xml:space="preserve">۲۲۵۱. تهران؛ سعید نفیسی؛ شماره نسخه: ۴۶</w:t>
      </w:r>
    </w:p>
    <w:p>
      <w:pPr>
        <w:pStyle w:val="BookText"/>
      </w:pPr>
      <w:r>
        <w:rPr>
          <w:rFonts w:ascii="IRNazanin" w:hAnsi="IRNazanin" w:eastAsia="IRNazanin" w:cs="IRNazanin"/>
          <w:lang w:bidi="fa-IR"/>
          <w:color w:val="111111"/>
          <w:sz w:val="28"/>
          <w:szCs w:val="28"/>
          <w:rtl/>
        </w:rPr>
        <w:t xml:space="preserve">جنگ اشعار است؛ بی کا، بی تا [ نشریه: ۷ - ۶۸۸]</w:t>
      </w:r>
    </w:p>
    <w:p>
      <w:pPr>
        <w:pStyle w:val="BookText"/>
      </w:pPr>
      <w:r>
        <w:rPr>
          <w:rFonts w:ascii="IRNazanin" w:hAnsi="IRNazanin" w:eastAsia="IRNazanin" w:cs="IRNazanin"/>
          <w:lang w:bidi="fa-IR"/>
          <w:color w:val="111111"/>
          <w:sz w:val="28"/>
          <w:szCs w:val="28"/>
          <w:rtl/>
        </w:rPr>
        <w:t xml:space="preserve">۲۲۵۲. تهران؛ سعید نفیسی؛ شماره نسخه: ۴۷</w:t>
      </w:r>
    </w:p>
    <w:p>
      <w:pPr>
        <w:pStyle w:val="BookText"/>
      </w:pPr>
      <w:r>
        <w:rPr>
          <w:rFonts w:ascii="IRNazanin" w:hAnsi="IRNazanin" w:eastAsia="IRNazanin" w:cs="IRNazanin"/>
          <w:lang w:bidi="fa-IR"/>
          <w:color w:val="111111"/>
          <w:sz w:val="28"/>
          <w:szCs w:val="28"/>
          <w:rtl/>
        </w:rPr>
        <w:t xml:space="preserve">جنگ اشعار است؛ بی کا، بی تا [ نشریه: ۷ - ۶۸۸]</w:t>
      </w:r>
    </w:p>
    <w:p>
      <w:pPr>
        <w:pStyle w:val="BookText"/>
      </w:pPr>
      <w:r>
        <w:rPr>
          <w:rFonts w:ascii="IRNazanin" w:hAnsi="IRNazanin" w:eastAsia="IRNazanin" w:cs="IRNazanin"/>
          <w:lang w:bidi="fa-IR"/>
          <w:color w:val="111111"/>
          <w:sz w:val="28"/>
          <w:szCs w:val="28"/>
          <w:rtl/>
        </w:rPr>
        <w:t xml:space="preserve">۲۲۵۳. تهران؛ سعید نفیسی؛ شماره نسخه: ۵۰</w:t>
      </w:r>
    </w:p>
    <w:p>
      <w:pPr>
        <w:pStyle w:val="BookText"/>
      </w:pPr>
      <w:r>
        <w:rPr>
          <w:rFonts w:ascii="IRNazanin" w:hAnsi="IRNazanin" w:eastAsia="IRNazanin" w:cs="IRNazanin"/>
          <w:lang w:bidi="fa-IR"/>
          <w:color w:val="111111"/>
          <w:sz w:val="28"/>
          <w:szCs w:val="28"/>
          <w:rtl/>
        </w:rPr>
        <w:t xml:space="preserve">جنگ اشعار است؛ بی کا، بی تا [نشریه: ۷ - ۶۸۸]</w:t>
      </w:r>
    </w:p>
    <w:p>
      <w:pPr>
        <w:pStyle w:val="BookText"/>
      </w:pPr>
      <w:r>
        <w:rPr>
          <w:rFonts w:ascii="IRNazanin" w:hAnsi="IRNazanin" w:eastAsia="IRNazanin" w:cs="IRNazanin"/>
          <w:lang w:bidi="fa-IR"/>
          <w:color w:val="111111"/>
          <w:sz w:val="28"/>
          <w:szCs w:val="28"/>
          <w:rtl/>
        </w:rPr>
        <w:t xml:space="preserve">۲۲۵۴. تهران؛ سعید نفیسی؛ شماره نسخه: ۵۹</w:t>
      </w:r>
    </w:p>
    <w:p>
      <w:pPr>
        <w:pStyle w:val="BookText"/>
      </w:pPr>
      <w:r>
        <w:rPr>
          <w:rFonts w:ascii="IRNazanin" w:hAnsi="IRNazanin" w:eastAsia="IRNazanin" w:cs="IRNazanin"/>
          <w:lang w:bidi="fa-IR"/>
          <w:color w:val="111111"/>
          <w:sz w:val="28"/>
          <w:szCs w:val="28"/>
          <w:rtl/>
        </w:rPr>
        <w:t xml:space="preserve">جنگ اشعار است؛ بی کا،  بی تا [نشریه: ۷ - ۶۸۹]</w:t>
      </w:r>
    </w:p>
    <w:p>
      <w:pPr>
        <w:pStyle w:val="BookText"/>
      </w:pPr>
      <w:r>
        <w:rPr>
          <w:rFonts w:ascii="IRNazanin" w:hAnsi="IRNazanin" w:eastAsia="IRNazanin" w:cs="IRNazanin"/>
          <w:lang w:bidi="fa-IR"/>
          <w:color w:val="111111"/>
          <w:sz w:val="28"/>
          <w:szCs w:val="28"/>
          <w:rtl/>
        </w:rPr>
        <w:t xml:space="preserve">۲۲۵۵. تهران؛ سعید نفیسی؛ شماره نسخه: ۶۱</w:t>
      </w:r>
    </w:p>
    <w:p>
      <w:pPr>
        <w:pStyle w:val="BookText"/>
      </w:pPr>
      <w:r>
        <w:rPr>
          <w:rFonts w:ascii="IRNazanin" w:hAnsi="IRNazanin" w:eastAsia="IRNazanin" w:cs="IRNazanin"/>
          <w:lang w:bidi="fa-IR"/>
          <w:color w:val="111111"/>
          <w:sz w:val="28"/>
          <w:szCs w:val="28"/>
          <w:rtl/>
        </w:rPr>
        <w:t xml:space="preserve">جنگ اشعار است؛ بی کا، بی تا [نشریه: ۷ - ۶۸۹]</w:t>
      </w:r>
    </w:p>
    <w:p>
      <w:pPr>
        <w:pStyle w:val="BookText"/>
      </w:pPr>
      <w:r>
        <w:rPr>
          <w:rFonts w:ascii="IRNazanin" w:hAnsi="IRNazanin" w:eastAsia="IRNazanin" w:cs="IRNazanin"/>
          <w:lang w:bidi="fa-IR"/>
          <w:color w:val="111111"/>
          <w:sz w:val="28"/>
          <w:szCs w:val="28"/>
          <w:rtl/>
        </w:rPr>
        <w:t xml:space="preserve">۲۲۵۶. تهران؛ سعید نفیسی؛ شماره نسخه: ۶۷</w:t>
      </w:r>
    </w:p>
    <w:p>
      <w:pPr>
        <w:pStyle w:val="BookText"/>
      </w:pPr>
      <w:r>
        <w:rPr>
          <w:rFonts w:ascii="IRNazanin" w:hAnsi="IRNazanin" w:eastAsia="IRNazanin" w:cs="IRNazanin"/>
          <w:lang w:bidi="fa-IR"/>
          <w:color w:val="111111"/>
          <w:sz w:val="28"/>
          <w:szCs w:val="28"/>
          <w:rtl/>
        </w:rPr>
        <w:t xml:space="preserve">جنگ اشعار است؛ بی کا، بی تا [نشریه: ۷ - ۶۸۹]</w:t>
      </w:r>
    </w:p>
    <w:p>
      <w:pPr>
        <w:pStyle w:val="BookText"/>
      </w:pPr>
      <w:r>
        <w:rPr>
          <w:rFonts w:ascii="IRNazanin" w:hAnsi="IRNazanin" w:eastAsia="IRNazanin" w:cs="IRNazanin"/>
          <w:lang w:bidi="fa-IR"/>
          <w:color w:val="111111"/>
          <w:sz w:val="28"/>
          <w:szCs w:val="28"/>
          <w:rtl/>
        </w:rPr>
        <w:t xml:space="preserve">۲۲۵۷. تهران؛ سعید نفیسی؛ شماره نسخه: ۶۸</w:t>
      </w:r>
    </w:p>
    <w:p>
      <w:pPr>
        <w:pStyle w:val="BookText"/>
      </w:pPr>
      <w:r>
        <w:rPr>
          <w:rFonts w:ascii="IRNazanin" w:hAnsi="IRNazanin" w:eastAsia="IRNazanin" w:cs="IRNazanin"/>
          <w:lang w:bidi="fa-IR"/>
          <w:color w:val="111111"/>
          <w:sz w:val="28"/>
          <w:szCs w:val="28"/>
          <w:rtl/>
        </w:rPr>
        <w:t xml:space="preserve">جنگ اشعار است؛ بی کا، بی تا [نشریه: ۷ - ۶۸۹]</w:t>
      </w:r>
    </w:p>
    <w:p>
      <w:pPr>
        <w:pStyle w:val="BookText"/>
      </w:pPr>
      <w:r>
        <w:rPr>
          <w:rFonts w:ascii="IRNazanin" w:hAnsi="IRNazanin" w:eastAsia="IRNazanin" w:cs="IRNazanin"/>
          <w:lang w:bidi="fa-IR"/>
          <w:color w:val="111111"/>
          <w:sz w:val="28"/>
          <w:szCs w:val="28"/>
          <w:rtl/>
        </w:rPr>
        <w:t xml:space="preserve">۲۲۵۸. تهران؛ سعید نفیسی؛ شماره نسخه: ۷۱</w:t>
      </w:r>
    </w:p>
    <w:p>
      <w:pPr>
        <w:pStyle w:val="BookText"/>
      </w:pPr>
      <w:r>
        <w:rPr>
          <w:rFonts w:ascii="IRNazanin" w:hAnsi="IRNazanin" w:eastAsia="IRNazanin" w:cs="IRNazanin"/>
          <w:lang w:bidi="fa-IR"/>
          <w:color w:val="111111"/>
          <w:sz w:val="28"/>
          <w:szCs w:val="28"/>
          <w:rtl/>
        </w:rPr>
        <w:t xml:space="preserve">جنگ اشعار است؛ بی کا، بی تا [نشریه: ۷ - ۶۸۹]</w:t>
      </w:r>
    </w:p>
    <w:p>
      <w:pPr>
        <w:pStyle w:val="BookText"/>
      </w:pPr>
      <w:r>
        <w:rPr>
          <w:rFonts w:ascii="IRNazanin" w:hAnsi="IRNazanin" w:eastAsia="IRNazanin" w:cs="IRNazanin"/>
          <w:lang w:bidi="fa-IR"/>
          <w:color w:val="111111"/>
          <w:sz w:val="28"/>
          <w:szCs w:val="28"/>
          <w:rtl/>
        </w:rPr>
        <w:t xml:space="preserve">۲۲۵۹. تهران؛ سعید نفیسی؛ شماره نسخه: ۷۶</w:t>
      </w:r>
    </w:p>
    <w:p>
      <w:pPr>
        <w:pStyle w:val="BookText"/>
      </w:pPr>
      <w:r>
        <w:rPr>
          <w:rFonts w:ascii="IRNazanin" w:hAnsi="IRNazanin" w:eastAsia="IRNazanin" w:cs="IRNazanin"/>
          <w:lang w:bidi="fa-IR"/>
          <w:color w:val="111111"/>
          <w:sz w:val="28"/>
          <w:szCs w:val="28"/>
          <w:rtl/>
        </w:rPr>
        <w:t xml:space="preserve">جنگ اشعار است؛ بی کا؛ بی تا [نشریه: ۷ - ۶۸۹]</w:t>
      </w:r>
    </w:p>
    <w:p>
      <w:pPr>
        <w:pStyle w:val="BookText"/>
      </w:pPr>
      <w:r>
        <w:rPr>
          <w:rFonts w:ascii="IRNazanin" w:hAnsi="IRNazanin" w:eastAsia="IRNazanin" w:cs="IRNazanin"/>
          <w:lang w:bidi="fa-IR"/>
          <w:color w:val="111111"/>
          <w:sz w:val="28"/>
          <w:szCs w:val="28"/>
          <w:rtl/>
        </w:rPr>
        <w:t xml:space="preserve">۲۲۶۰. تهران؛ سعید نفیسی؛ شماره نسخه: ۷۷</w:t>
      </w:r>
    </w:p>
    <w:p>
      <w:pPr>
        <w:pStyle w:val="BookText"/>
      </w:pPr>
      <w:r>
        <w:rPr>
          <w:rFonts w:ascii="IRNazanin" w:hAnsi="IRNazanin" w:eastAsia="IRNazanin" w:cs="IRNazanin"/>
          <w:lang w:bidi="fa-IR"/>
          <w:color w:val="111111"/>
          <w:sz w:val="28"/>
          <w:szCs w:val="28"/>
          <w:rtl/>
        </w:rPr>
        <w:t xml:space="preserve">جنگ اشعار است؛ بی کا، بی تا [نشریه: ۷ - ۶۸۹]</w:t>
      </w:r>
    </w:p>
    <w:p>
      <w:pPr>
        <w:pStyle w:val="BookText"/>
      </w:pPr>
      <w:r>
        <w:rPr>
          <w:rFonts w:ascii="IRNazanin" w:hAnsi="IRNazanin" w:eastAsia="IRNazanin" w:cs="IRNazanin"/>
          <w:lang w:bidi="fa-IR"/>
          <w:color w:val="111111"/>
          <w:sz w:val="28"/>
          <w:szCs w:val="28"/>
          <w:rtl/>
        </w:rPr>
        <w:t xml:space="preserve">۲۲۶۱. قم؛ گلپایگانی؛ شماره نسخه: ۱۴۹۴/۲-۹/۴۴</w:t>
      </w:r>
    </w:p>
    <w:p>
      <w:pPr>
        <w:pStyle w:val="BookText"/>
      </w:pPr>
      <w:r>
        <w:rPr>
          <w:rFonts w:ascii="IRNazanin" w:hAnsi="IRNazanin" w:eastAsia="IRNazanin" w:cs="IRNazanin"/>
          <w:lang w:bidi="fa-IR"/>
          <w:color w:val="111111"/>
          <w:sz w:val="28"/>
          <w:szCs w:val="28"/>
          <w:rtl/>
        </w:rPr>
        <w:t xml:space="preserve">آغاز: قطعه بشرین گفت فرهاد وفادار ***  که بی کوه فراقت بر دلم بار / ز عشقت می زنم من تیشه سنگ *** تو در آغوش خسرو را کشی تنگ؛ انجام: سیمرغ صفت بعرش پروازی کرد *** در گنج خرابه جهان بوف نشد</w:t>
      </w:r>
    </w:p>
    <w:p>
      <w:pPr>
        <w:pStyle w:val="BookText"/>
      </w:pPr>
      <w:r>
        <w:rPr>
          <w:rFonts w:ascii="IRNazanin" w:hAnsi="IRNazanin" w:eastAsia="IRNazanin" w:cs="IRNazanin"/>
          <w:lang w:bidi="fa-IR"/>
          <w:color w:val="111111"/>
          <w:sz w:val="28"/>
          <w:szCs w:val="28"/>
          <w:rtl/>
        </w:rPr>
        <w:t xml:space="preserve">مجموعه ای است از اشعار منتخب شعرای فارسی زبان همچون فردوسی، یغما جندقی (غزلیات یغما از الف تا حرف ت را دارد) ،امین سوزنی و ... ؛خط: شکسته، نستعلیق، بی کا،بی تا؛ مجدول؛ جلد: تیماج قهوه ای، ۴۷گ، سطور چلیپایی،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۲۸سم [ف: ۳ - ۱۲۳۱]</w:t>
      </w:r>
    </w:p>
    <w:p>
      <w:pPr>
        <w:pStyle w:val="BookText"/>
      </w:pPr>
      <w:r>
        <w:rPr>
          <w:rFonts w:ascii="IRNazanin" w:hAnsi="IRNazanin" w:eastAsia="IRNazanin" w:cs="IRNazanin"/>
          <w:lang w:bidi="fa-IR"/>
          <w:color w:val="111111"/>
          <w:sz w:val="28"/>
          <w:szCs w:val="28"/>
          <w:rtl/>
        </w:rPr>
        <w:t xml:space="preserve">۲۲۶۲ . قم؛ گلپایگانی؛ شماره نسخه: ۱۵۸۵-۹/۱۳۵</w:t>
      </w:r>
    </w:p>
    <w:p>
      <w:pPr>
        <w:pStyle w:val="BookText"/>
      </w:pPr>
      <w:r>
        <w:rPr>
          <w:rFonts w:ascii="IRNazanin" w:hAnsi="IRNazanin" w:eastAsia="IRNazanin" w:cs="IRNazanin"/>
          <w:lang w:bidi="fa-IR"/>
          <w:color w:val="111111"/>
          <w:sz w:val="28"/>
          <w:szCs w:val="28"/>
          <w:rtl/>
        </w:rPr>
        <w:t xml:space="preserve">آغاز: بسمله مولانا عرفی شیرازی: از بعد معرفت کرد کار لم یزلی *** نبی شتاسم و آنگه علی و آل علی... سعدی شیرازی: کسی ز محنت شبهلی من خبر آورد *** که همچو صبح نهان داغ بر جگر دارد؛ انجام: و از او ارشاد به نفس خویش معتبر آرد که لولا المربى ما عرفت ربى والسلام على من اتبع الهدى تمت بعون رب المتعالى.</w:t>
      </w:r>
    </w:p>
    <w:p>
      <w:pPr>
        <w:pStyle w:val="BookText"/>
      </w:pPr>
      <w:r>
        <w:rPr>
          <w:rFonts w:ascii="IRNazanin" w:hAnsi="IRNazanin" w:eastAsia="IRNazanin" w:cs="IRNazanin"/>
          <w:lang w:bidi="fa-IR"/>
          <w:color w:val="111111"/>
          <w:sz w:val="28"/>
          <w:szCs w:val="28"/>
          <w:rtl/>
        </w:rPr>
        <w:t xml:space="preserve">جنگی است شامل اشعاری از: عرفی شیرازی، سعدی شیرازی، حافظ شیرازی، مثنوی محمود و ایاز انیسی شاملو، مولوی اشکی شیرازی ،حیدر، خلیفه میرک، نرگس  عراقی، مولانا ابدال اصفهانی، مولانا شریف، مولا نیکی، حیرتی، سائل، حسامی، تونی ،عراقی، ملک قمی، صایبا، صفی قلی بیک، مرتضی قلی سلطان، دیباچه ای در سلوک معنوی و لزوم استاد به نثر، دریک برگ و اشعار و مطالب عرفانی و متفرقه دیگر در ۴ برگ آخر نسخه؛ خط: نستعلیق، بی کا، بی تا؛ افتادگی: وسط؛ اشعار در دوستون به صورت چلیپایی ؛مهر: «مهدی ۱۲۲۴» (بیضی)؛ جلد: تیماج قهوه ای عطف و حاشیه تیماج مشکی، ۳۹گ، مختلف السطر چلیپایی،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۱۷/۵سم [ف: ۳ - ۱۲۳۳]</w:t>
      </w:r>
    </w:p>
    <w:p>
      <w:pPr>
        <w:pStyle w:val="BookText"/>
      </w:pPr>
      <w:r>
        <w:rPr>
          <w:rFonts w:ascii="IRNazanin" w:hAnsi="IRNazanin" w:eastAsia="IRNazanin" w:cs="IRNazanin"/>
          <w:lang w:bidi="fa-IR"/>
          <w:color w:val="111111"/>
          <w:sz w:val="28"/>
          <w:szCs w:val="28"/>
          <w:rtl/>
        </w:rPr>
        <w:t xml:space="preserve">۲۲۶۳. قم؛ گلپایگانی؛ شماره نسخه: ۷۰۸۹/۱-۳۶/۸۹</w:t>
      </w:r>
    </w:p>
    <w:p>
      <w:pPr>
        <w:pStyle w:val="BookText"/>
      </w:pPr>
      <w:r>
        <w:rPr>
          <w:rFonts w:ascii="IRNazanin" w:hAnsi="IRNazanin" w:eastAsia="IRNazanin" w:cs="IRNazanin"/>
          <w:lang w:bidi="fa-IR"/>
          <w:color w:val="111111"/>
          <w:sz w:val="28"/>
          <w:szCs w:val="28"/>
          <w:rtl/>
        </w:rPr>
        <w:t xml:space="preserve">آغاز: ثنا می کنم ایزد پاک را *** مژیا ده طارم تاک را؛ انجام: هیچ می دانی که عالم از کجاست *** یا ظهور نقش آدم از کجاست</w:t>
      </w:r>
    </w:p>
    <w:p>
      <w:pPr>
        <w:pStyle w:val="BookText"/>
      </w:pPr>
      <w:r>
        <w:rPr>
          <w:rFonts w:ascii="IRNazanin" w:hAnsi="IRNazanin" w:eastAsia="IRNazanin" w:cs="IRNazanin"/>
          <w:lang w:bidi="fa-IR"/>
          <w:color w:val="111111"/>
          <w:sz w:val="28"/>
          <w:szCs w:val="28"/>
          <w:rtl/>
        </w:rPr>
        <w:t xml:space="preserve">جنگی است شامل اشعار فارسی منتخب از شعرای فارسی سرای همچون ساقی نامه ظهوری ترشیزی،اشعاری از آذری درمدح پیامبر و ائمه اطهار (علیه السّلام) و اشعار مغربی و دیگران؛ خط: نستعلیق، بی کا،بی تا؛ تملک: محمد علی بن میرزا محمد ابراهیم در ۱۲۴۶؛
</w:t>
      </w:r>
    </w:p>
    <w:p>
      <w:pPr>
        <w:sectPr>
          <w:footerReference w:type="default" r:id="rId9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جلد: کاغذی، ۴۱گ، ۱۶ سطر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۳ -1226]</w:t>
      </w:r>
    </w:p>
    <w:p>
      <w:pPr>
        <w:pStyle w:val="BookText"/>
      </w:pPr>
      <w:r>
        <w:rPr>
          <w:rFonts w:ascii="IRNazanin" w:hAnsi="IRNazanin" w:eastAsia="IRNazanin" w:cs="IRNazanin"/>
          <w:lang w:bidi="fa-IR"/>
          <w:color w:val="111111"/>
          <w:sz w:val="28"/>
          <w:szCs w:val="28"/>
          <w:rtl/>
        </w:rPr>
        <w:t xml:space="preserve">۲۲۶۴ . قم؛ مسجد اعظم؛ شماره نسخه: ۱۳۲۳</w:t>
      </w:r>
    </w:p>
    <w:p>
      <w:pPr>
        <w:pStyle w:val="BookText"/>
      </w:pPr>
      <w:r>
        <w:rPr>
          <w:rFonts w:ascii="IRNazanin" w:hAnsi="IRNazanin" w:eastAsia="IRNazanin" w:cs="IRNazanin"/>
          <w:lang w:bidi="fa-IR"/>
          <w:color w:val="111111"/>
          <w:sz w:val="28"/>
          <w:szCs w:val="28"/>
          <w:rtl/>
        </w:rPr>
        <w:t xml:space="preserve">آغاز: برو کر خیره شد دشمن تو ای شاه تهمتن وش؛ انجام:کی بود مرا شعر شعار از مدر و غم</w:t>
      </w:r>
    </w:p>
    <w:p>
      <w:pPr>
        <w:pStyle w:val="BookText"/>
      </w:pPr>
      <w:r>
        <w:rPr>
          <w:rFonts w:ascii="IRNazanin" w:hAnsi="IRNazanin" w:eastAsia="IRNazanin" w:cs="IRNazanin"/>
          <w:lang w:bidi="fa-IR"/>
          <w:color w:val="111111"/>
          <w:sz w:val="28"/>
          <w:szCs w:val="28"/>
          <w:rtl/>
        </w:rPr>
        <w:t xml:space="preserve">مجموعه ای است از اشعار فتحعلی خان صبا، سلیمان صباحی کاشی، حسین مجمر اردستانی، میرزا سعيد وفا، ملاحسـین اصفهانی متخلص به رفیق، هاتف اصفهانی، و قصایدی است در مدح فتحعلی شاه قاجار و تبریک عید فطر و عید نوروز و غیر ؛خط: نستعلیق، بی کا، بی تا ؛واقف: حاج محمد رمضانی، جـلد: تیماج مشکی، عطف تیماج، ۱۳۸گ، ۱۵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 [ف مخ: ۲ - ۵۹۴]</w:t>
      </w:r>
    </w:p>
    <w:p>
      <w:pPr>
        <w:pStyle w:val="BookText"/>
      </w:pPr>
      <w:r>
        <w:rPr>
          <w:rFonts w:ascii="IRNazanin" w:hAnsi="IRNazanin" w:eastAsia="IRNazanin" w:cs="IRNazanin"/>
          <w:lang w:bidi="fa-IR"/>
          <w:color w:val="111111"/>
          <w:sz w:val="28"/>
          <w:szCs w:val="28"/>
          <w:rtl/>
        </w:rPr>
        <w:t xml:space="preserve">۲۲۶۵ . قم؛ مسجد اعظم؛ شماره نسخه: ۱۴۸۲</w:t>
      </w:r>
    </w:p>
    <w:p>
      <w:pPr>
        <w:pStyle w:val="BookText"/>
      </w:pPr>
      <w:r>
        <w:rPr>
          <w:rFonts w:ascii="IRNazanin" w:hAnsi="IRNazanin" w:eastAsia="IRNazanin" w:cs="IRNazanin"/>
          <w:lang w:bidi="fa-IR"/>
          <w:color w:val="111111"/>
          <w:sz w:val="28"/>
          <w:szCs w:val="28"/>
          <w:rtl/>
        </w:rPr>
        <w:t xml:space="preserve">آغاز: ای که هرگز فراموشت نکنم *** هیچت از بنده یاد می آیـد</w:t>
      </w:r>
    </w:p>
    <w:p>
      <w:pPr>
        <w:pStyle w:val="BookText"/>
      </w:pPr>
      <w:r>
        <w:rPr>
          <w:rFonts w:ascii="IRNazanin" w:hAnsi="IRNazanin" w:eastAsia="IRNazanin" w:cs="IRNazanin"/>
          <w:lang w:bidi="fa-IR"/>
          <w:color w:val="111111"/>
          <w:sz w:val="28"/>
          <w:szCs w:val="28"/>
          <w:rtl/>
        </w:rPr>
        <w:t xml:space="preserve">ای دوستان تدارک راه سفر کنید*** در این سفر خود دیده رمید تر کنید؛ انجام: دلی دارم که از غم به نمی بو *** سری دارم  که سامانش نمی بو / بتی دارم من از خوبان عالم *** که یار بی وفا همدم نمی بو</w:t>
      </w:r>
    </w:p>
    <w:p>
      <w:pPr>
        <w:pStyle w:val="BookText"/>
      </w:pPr>
      <w:r>
        <w:rPr>
          <w:rFonts w:ascii="IRNazanin" w:hAnsi="IRNazanin" w:eastAsia="IRNazanin" w:cs="IRNazanin"/>
          <w:lang w:bidi="fa-IR"/>
          <w:color w:val="111111"/>
          <w:sz w:val="28"/>
          <w:szCs w:val="28"/>
          <w:rtl/>
        </w:rPr>
        <w:t xml:space="preserve">مجموعه غزل و رباعی از سعدی و غیره؛ خط: نسخ، بی کا، بی تا؛ جلد: تیماج قهوه ای بدون مقوا، مجدول ،گرهی ،۳۸گ، مختلف السطر ،اندازه: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مخ: ۲ - ۵۹۴]</w:t>
      </w:r>
    </w:p>
    <w:p>
      <w:pPr>
        <w:pStyle w:val="BookText"/>
      </w:pPr>
      <w:r>
        <w:rPr>
          <w:rFonts w:ascii="IRNazanin" w:hAnsi="IRNazanin" w:eastAsia="IRNazanin" w:cs="IRNazanin"/>
          <w:lang w:bidi="fa-IR"/>
          <w:color w:val="111111"/>
          <w:sz w:val="28"/>
          <w:szCs w:val="28"/>
          <w:rtl/>
        </w:rPr>
        <w:t xml:space="preserve">۲۲۶۶ . قم؛ مسجد اعظم؛ شماره نسخه: ۱۵۴۲/۱</w:t>
      </w:r>
    </w:p>
    <w:p>
      <w:pPr>
        <w:pStyle w:val="BookText"/>
      </w:pPr>
      <w:r>
        <w:rPr>
          <w:rFonts w:ascii="IRNazanin" w:hAnsi="IRNazanin" w:eastAsia="IRNazanin" w:cs="IRNazanin"/>
          <w:lang w:bidi="fa-IR"/>
          <w:color w:val="111111"/>
          <w:sz w:val="28"/>
          <w:szCs w:val="28"/>
          <w:rtl/>
        </w:rPr>
        <w:t xml:space="preserve">آغاز: خوب گیرم که قحط است*** کپنک کهنه دگر قحط است / کپنک بود ای خدای جلیل ***مگر از پشم قوچ اسماعيل / عفو فرمای می دهم سندی *** که دگر گر عطا کنی نمدی؛ انجام: در مضجع شاه کربلا نور اله *** پیوسته بود فیـض زماهی تا ماه/ عفو است در این قبه هوادار گنه *** خوش مظهر رحمتی است ماشاء الله</w:t>
      </w:r>
    </w:p>
    <w:p>
      <w:pPr>
        <w:pStyle w:val="BookText"/>
      </w:pPr>
      <w:r>
        <w:rPr>
          <w:rFonts w:ascii="IRNazanin" w:hAnsi="IRNazanin" w:eastAsia="IRNazanin" w:cs="IRNazanin"/>
          <w:lang w:bidi="fa-IR"/>
          <w:color w:val="111111"/>
          <w:sz w:val="28"/>
          <w:szCs w:val="28"/>
          <w:rtl/>
        </w:rPr>
        <w:t xml:space="preserve">مجموعه ای است از اشعار قصاید و غزلیات از شاعرانی چـون جامی، سعدی و ابوعلی سینا، مرتضی که به ترتیب بعضی از الـفباء منظم شده است اما در برخی موارد مطابقت با آن  ندارد، اشـعار متفرقه ای نیز در آن میاندر مدح امام رضا (علیه السّلام) ، قطعه در نصایح، ترجیع بند نظام استر آبادی: قطعات طنز و غیره که رباعیات میرزا زکی ندیم نادر شاه که در کربلای معلا نقش است قابل ذکر است؛ خط: نستعلیق، بی کا، بی تا؛ افتادگی: آغاز و انجام؛ فوائدی چند در میانه کتاب ذکر شده است از قبیل احادیث، حکمت انوشیروان، وجه تسمیه هفت روز  منحوسه، حکایت هارون،دعا، مضمون فرمان نادر شاه در خصوص یک منصب؛ جلد: تیماج مشکی بدون مقوا، ۷۳گ، مختلف السطر، اندازه: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مخ: ۲ - ۵۹۶]</w:t>
      </w:r>
    </w:p>
    <w:p>
      <w:pPr>
        <w:pStyle w:val="BookText"/>
      </w:pPr>
      <w:r>
        <w:rPr>
          <w:rFonts w:ascii="IRNazanin" w:hAnsi="IRNazanin" w:eastAsia="IRNazanin" w:cs="IRNazanin"/>
          <w:lang w:bidi="fa-IR"/>
          <w:color w:val="111111"/>
          <w:sz w:val="28"/>
          <w:szCs w:val="28"/>
          <w:rtl/>
        </w:rPr>
        <w:t xml:space="preserve">۲۲۶۷ . قم؛ مسجد اعظم؛ شماره نسخه: ۱۵۱۰</w:t>
      </w:r>
    </w:p>
    <w:p>
      <w:pPr>
        <w:pStyle w:val="BookText"/>
      </w:pPr>
      <w:r>
        <w:rPr>
          <w:rFonts w:ascii="IRNazanin" w:hAnsi="IRNazanin" w:eastAsia="IRNazanin" w:cs="IRNazanin"/>
          <w:lang w:bidi="fa-IR"/>
          <w:color w:val="111111"/>
          <w:sz w:val="28"/>
          <w:szCs w:val="28"/>
          <w:rtl/>
        </w:rPr>
        <w:t xml:space="preserve">آغاز: ایها الناس جهان جای تن آسایی نیست*** مرد دانا به جـهان داشتن ارزانی نیست / خفتگان را خبر از زمزمه مرغ سحر*** حیوان را خبر از عالم انسانی نیست؛ انجام: روزی که علی به کعبه آمد به وجود *** مخصوص علی خدا در کعبه گشود / در [] بداد []  به علی*** یعنی که علی است خانه زاد معبود</w:t>
      </w:r>
    </w:p>
    <w:p>
      <w:pPr>
        <w:pStyle w:val="BookText"/>
      </w:pPr>
      <w:r>
        <w:rPr>
          <w:rFonts w:ascii="IRNazanin" w:hAnsi="IRNazanin" w:eastAsia="IRNazanin" w:cs="IRNazanin"/>
          <w:lang w:bidi="fa-IR"/>
          <w:color w:val="111111"/>
          <w:sz w:val="28"/>
          <w:szCs w:val="28"/>
          <w:rtl/>
        </w:rPr>
        <w:t xml:space="preserve">مجموعه اشعاری است از سعدی، کتاب شمس، بابا طاهر، نورعلی شاه، درويش قاسم علی، شمس تبریزی، شاه نعمت الله، شیخ بهایی، ... و یک هفت تایی؛ خط: نستعلیق، بی کا، بی تا؛ افتادگی: وسط؛ جلد: تیماج قهوه ای روشن بدون مقوا، مجدول، ۸۵گ  ، مختلف السطر،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مخ: ۲ - ۵۹۵]</w:t>
      </w:r>
    </w:p>
    <w:p>
      <w:pPr>
        <w:pStyle w:val="BookText"/>
      </w:pPr>
      <w:r>
        <w:rPr>
          <w:rFonts w:ascii="IRNazanin" w:hAnsi="IRNazanin" w:eastAsia="IRNazanin" w:cs="IRNazanin"/>
          <w:lang w:bidi="fa-IR"/>
          <w:color w:val="111111"/>
          <w:sz w:val="28"/>
          <w:szCs w:val="28"/>
          <w:rtl/>
        </w:rPr>
        <w:t xml:space="preserve">۲۲۶۸ . قم؛ مسجد اعظم؛ شماره نسخه: ۱۴۹۵</w:t>
      </w:r>
    </w:p>
    <w:p>
      <w:pPr>
        <w:pStyle w:val="BookText"/>
      </w:pPr>
      <w:r>
        <w:rPr>
          <w:rFonts w:ascii="IRNazanin" w:hAnsi="IRNazanin" w:eastAsia="IRNazanin" w:cs="IRNazanin"/>
          <w:lang w:bidi="fa-IR"/>
          <w:color w:val="111111"/>
          <w:sz w:val="28"/>
          <w:szCs w:val="28"/>
          <w:rtl/>
        </w:rPr>
        <w:t xml:space="preserve">آغاز: [...] مطلب که حاصل عمر غمی است *** هر ذره زخاک کیقبا دی و جمی است / احوال جهان و اصل این عمر که هست *** خوانی و خیالی و فریبی [...] هست؛ انجام: به امید ثمر کشتم نهالی*** چه دانستم که بی حاصل برآید.</w:t>
      </w:r>
    </w:p>
    <w:p>
      <w:pPr>
        <w:pStyle w:val="BookText"/>
      </w:pPr>
      <w:r>
        <w:rPr>
          <w:rFonts w:ascii="IRNazanin" w:hAnsi="IRNazanin" w:eastAsia="IRNazanin" w:cs="IRNazanin"/>
          <w:lang w:bidi="fa-IR"/>
          <w:color w:val="111111"/>
          <w:sz w:val="28"/>
          <w:szCs w:val="28"/>
          <w:rtl/>
        </w:rPr>
        <w:t xml:space="preserve">مجموعه اشعاری است از رباعیات خیام، جامی، سعدی، انوری، صباحی بیدگلی ،عاشق اصفهانی حافظ؛ خط: نستعلیق، بی کا،بی تا؛ افتادگی: انجام؛ جلد: تیماج قهوه ای بدون مقوا، ۱۴۲گ، مختلف السطر ، قطع: بیاضی، اندازه: 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۱۹/۵سم [ف مخ: ۲-۵۹۴]</w:t>
      </w:r>
    </w:p>
    <w:p>
      <w:pPr>
        <w:pStyle w:val="BookText"/>
      </w:pPr>
      <w:r>
        <w:rPr>
          <w:rFonts w:ascii="IRNazanin" w:hAnsi="IRNazanin" w:eastAsia="IRNazanin" w:cs="IRNazanin"/>
          <w:lang w:bidi="fa-IR"/>
          <w:color w:val="111111"/>
          <w:sz w:val="28"/>
          <w:szCs w:val="28"/>
          <w:rtl/>
        </w:rPr>
        <w:t xml:space="preserve">۲۲۶۹ . قم؛ مسجد اعظم؛ شماره نسخه: ۳۶۳۹</w:t>
      </w:r>
    </w:p>
    <w:p>
      <w:pPr>
        <w:pStyle w:val="BookText"/>
      </w:pPr>
      <w:r>
        <w:rPr>
          <w:rFonts w:ascii="IRNazanin" w:hAnsi="IRNazanin" w:eastAsia="IRNazanin" w:cs="IRNazanin"/>
          <w:lang w:bidi="fa-IR"/>
          <w:color w:val="111111"/>
          <w:sz w:val="28"/>
          <w:szCs w:val="28"/>
          <w:rtl/>
        </w:rPr>
        <w:t xml:space="preserve">آغاز: تا در این زندان فانی زندگانی بایدت *** کنج عزلت گیر تا گنج معانی باشدت / این جهانی ترک کن تا چون گذشتی زین جهان*** این جهانی کو نباشد آن جهانی باشدت؛ انجام: بی یار بدن عظیم مشگل کاری *** بیچاره ولی که او نداد یاری / این یک دو سه و چرا که به جان نتوان یافت *** گردل داری مدار بی دلداری</w:t>
      </w:r>
    </w:p>
    <w:p>
      <w:pPr>
        <w:pStyle w:val="BookText"/>
      </w:pPr>
      <w:r>
        <w:rPr>
          <w:rFonts w:ascii="IRNazanin" w:hAnsi="IRNazanin" w:eastAsia="IRNazanin" w:cs="IRNazanin"/>
          <w:lang w:bidi="fa-IR"/>
          <w:color w:val="111111"/>
          <w:sz w:val="28"/>
          <w:szCs w:val="28"/>
          <w:rtl/>
        </w:rPr>
        <w:t xml:space="preserve">مجموعه ای است از اشعار عطار نیشابوری، مستی، مدهوش، جمالی و اهلی  شیرازی، و نظامی گنجوی؛ خط: نستعلیق، بی کا، بی تا؛ افتادگی: آغاز؛ شعرهای نظامی از مجله ارمغان استنساخ شده است؛ جلد: گالینگور مشکی، ۱۳۶گ، مختلف السطر،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۲۹سم [ف مخ: ۲ - ۶۰۲]</w:t>
      </w:r>
    </w:p>
    <w:p>
      <w:pPr>
        <w:pStyle w:val="BookText"/>
      </w:pPr>
      <w:r>
        <w:rPr>
          <w:rFonts w:ascii="IRNazanin" w:hAnsi="IRNazanin" w:eastAsia="IRNazanin" w:cs="IRNazanin"/>
          <w:lang w:bidi="fa-IR"/>
          <w:color w:val="111111"/>
          <w:sz w:val="28"/>
          <w:szCs w:val="28"/>
          <w:rtl/>
        </w:rPr>
        <w:t xml:space="preserve">۲۲۷۰. خوی؛ نمازی؛ شماره نسخه: ۶۹۸</w:t>
      </w:r>
    </w:p>
    <w:p>
      <w:pPr>
        <w:pStyle w:val="BookText"/>
      </w:pPr>
      <w:r>
        <w:rPr>
          <w:rFonts w:ascii="IRNazanin" w:hAnsi="IRNazanin" w:eastAsia="IRNazanin" w:cs="IRNazanin"/>
          <w:lang w:bidi="fa-IR"/>
          <w:color w:val="111111"/>
          <w:sz w:val="28"/>
          <w:szCs w:val="28"/>
          <w:rtl/>
        </w:rPr>
        <w:t xml:space="preserve">آغاز: قصیده در خصوص امير المؤمنين (علیه السّلام) من طوفان. جرمم آنجا که لنگر اندازد ***گردش چرخ اخضر اندازد / آسمان از گناه ما هر روز ***طرح سد سکندر اندازد؛</w:t>
      </w:r>
    </w:p>
    <w:p>
      <w:pPr>
        <w:pStyle w:val="BookText"/>
      </w:pPr>
      <w:r>
        <w:rPr>
          <w:rFonts w:ascii="IRNazanin" w:hAnsi="IRNazanin" w:eastAsia="IRNazanin" w:cs="IRNazanin"/>
          <w:lang w:bidi="fa-IR"/>
          <w:color w:val="111111"/>
          <w:sz w:val="28"/>
          <w:szCs w:val="28"/>
          <w:rtl/>
        </w:rPr>
        <w:t xml:space="preserve">مؤلف اشعار شعرای فارسی و معاصر خود را گلچین و در آن مجموعه گرد آورده است، و در اول هر غزل فقط تخلص صاحب شعر را آورده است. شعرایی که از آنها شعر نقل کرده عبارتند از: طوفان ،ادهم ،قبول ،دعایی ،فدوی ،مشربی، آذر، مخلص، عاشق ،اصفهانی ،هاتف ،وفائی، شریف تبریزی، جامی، شعله خوئی، حریف جندقی خوئی ،طبیب، عبدالرحیم خوئی متخلص به ساغر، ،سراج ،مؤمن، ثابت ،عراقی ،فاخر ،انوری، قصاب، حافظ، مولا، نیازی، سلمان ساوجی، مخفی دختر اورنگ زیب پادشاه هند، ،وحشی، سید زکی خوئی ،جامی، شیدای هندی، مونس اصفهانی، سعدی، میرزا حسن خوئی متخلص به  فانی، حزم قراجه داغی ،شوکت ،هلالی ،رفیق، عصمت، علی یزدی، اسماعیل اصفهانی
</w:t>
      </w:r>
    </w:p>
    <w:p>
      <w:pPr>
        <w:sectPr>
          <w:footerReference w:type="default" r:id="rId9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متخلص به مشتاق ،کلیم ،حاجت، محتشم، مثنوی جلاء الروح از عبدالرحمان جامی، خاقانی ؛خط: نستعلیق، بی کا، بی تا؛ جـلد: تیماج  مشکی، ۱۵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۳۷۹]</w:t>
      </w:r>
    </w:p>
    <w:p>
      <w:pPr>
        <w:pStyle w:val="BookText"/>
      </w:pPr>
      <w:r>
        <w:rPr>
          <w:rFonts w:ascii="IRNazanin" w:hAnsi="IRNazanin" w:eastAsia="IRNazanin" w:cs="IRNazanin"/>
          <w:lang w:bidi="fa-IR"/>
          <w:color w:val="111111"/>
          <w:sz w:val="28"/>
          <w:szCs w:val="28"/>
          <w:rtl/>
        </w:rPr>
        <w:t xml:space="preserve">۲۲۷۱. قم؛ گلپایگانی؛ شماره نسخه: ۹۰۵۵/۱-۵۹/۲۷۵</w:t>
      </w:r>
    </w:p>
    <w:p>
      <w:pPr>
        <w:pStyle w:val="BookText"/>
      </w:pPr>
      <w:r>
        <w:rPr>
          <w:rFonts w:ascii="IRNazanin" w:hAnsi="IRNazanin" w:eastAsia="IRNazanin" w:cs="IRNazanin"/>
          <w:lang w:bidi="fa-IR"/>
          <w:color w:val="111111"/>
          <w:sz w:val="28"/>
          <w:szCs w:val="28"/>
          <w:rtl/>
        </w:rPr>
        <w:t xml:space="preserve">آغاز: روضه خواجو کند بر سخنم آفرین*** فخر خراسان دهد ملک معانی به من</w:t>
      </w:r>
    </w:p>
    <w:p>
      <w:pPr>
        <w:pStyle w:val="BookText"/>
      </w:pPr>
      <w:r>
        <w:rPr>
          <w:rFonts w:ascii="IRNazanin" w:hAnsi="IRNazanin" w:eastAsia="IRNazanin" w:cs="IRNazanin"/>
          <w:lang w:bidi="fa-IR"/>
          <w:color w:val="111111"/>
          <w:sz w:val="28"/>
          <w:szCs w:val="28"/>
          <w:rtl/>
        </w:rPr>
        <w:t xml:space="preserve">جنگی است شامل اشعاری از شعرای زیر با مطالبی به نثر که فهرست نام شاعران و مطالب آن چنین است: صائب تبریزی، سید مبارک خان، مثنوی بیمار و طبیب شریف تبریزی، رباعیات ابوسعید ابوالخیر با ذکر خواص بر هر رباعی، نصایح حکما به نثر شامل ۱۶ بند نصیحت هر بند ۴ نصیحت، تعبیر خواب به نقل از امام صادق(علیه السّلام)، اختیارات ایام، تک بیت هایی در معما به اسم اشخاص، اشعاری از جامی ،عراقی ،وحشی ،حافظ؛ خط: نستعلیق،بی کا، بی تا؛ افتادگی: انجام؛ ۵۲گ، مختلف السطر  چلیپایی، قطع: بیاض رقعی، اندازه: 6</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سم [ف: ۳ - ۱۲۲۲]</w:t>
      </w:r>
    </w:p>
    <w:p>
      <w:pPr>
        <w:pStyle w:val="BookText"/>
      </w:pPr>
      <w:r>
        <w:rPr>
          <w:rFonts w:ascii="IRNazanin" w:hAnsi="IRNazanin" w:eastAsia="IRNazanin" w:cs="IRNazanin"/>
          <w:lang w:bidi="fa-IR"/>
          <w:color w:val="111111"/>
          <w:sz w:val="28"/>
          <w:szCs w:val="28"/>
          <w:rtl/>
        </w:rPr>
        <w:t xml:space="preserve">۲۲۷۲. قم؛ گلپایگانی؛ شماره نسخه: ۹۰۵۷-۵۹/۲۷۷</w:t>
      </w:r>
    </w:p>
    <w:p>
      <w:pPr>
        <w:pStyle w:val="BookText"/>
      </w:pPr>
      <w:r>
        <w:rPr>
          <w:rFonts w:ascii="IRNazanin" w:hAnsi="IRNazanin" w:eastAsia="IRNazanin" w:cs="IRNazanin"/>
          <w:lang w:bidi="fa-IR"/>
          <w:color w:val="111111"/>
          <w:sz w:val="28"/>
          <w:szCs w:val="28"/>
          <w:rtl/>
        </w:rPr>
        <w:t xml:space="preserve">آغاز: دیگر نبات را نخرد مشتری به هیچ *** یکبار اگر تبـسم همچون شکر کنی / من با تو دوستی و وفا کم نمی کنم*** چندانکه دشمنی و جفا بیشتر کنی</w:t>
      </w:r>
    </w:p>
    <w:p>
      <w:pPr>
        <w:pStyle w:val="BookText"/>
      </w:pPr>
      <w:r>
        <w:rPr>
          <w:rFonts w:ascii="IRNazanin" w:hAnsi="IRNazanin" w:eastAsia="IRNazanin" w:cs="IRNazanin"/>
          <w:lang w:bidi="fa-IR"/>
          <w:color w:val="111111"/>
          <w:sz w:val="28"/>
          <w:szCs w:val="28"/>
          <w:rtl/>
        </w:rPr>
        <w:t xml:space="preserve">شامل اشعاری از شاعران: سعدی، امیر خسرو ،نظیری، مشتاق، حافظ، صحبت ، لاری، سخا؛ خط: نستعلیق، بی کا،بی تا؛ افتادگی: انجام؛ ۳۶گ، ۴-۸ سطر ،چلیپایی، قطع: بیاض رقعی، اندازه: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۳ - ۱۲۲۳]</w:t>
      </w:r>
    </w:p>
    <w:p>
      <w:pPr>
        <w:pStyle w:val="BookText"/>
      </w:pPr>
      <w:r>
        <w:rPr>
          <w:rFonts w:ascii="IRNazanin" w:hAnsi="IRNazanin" w:eastAsia="IRNazanin" w:cs="IRNazanin"/>
          <w:lang w:bidi="fa-IR"/>
          <w:color w:val="111111"/>
          <w:sz w:val="28"/>
          <w:szCs w:val="28"/>
          <w:rtl/>
        </w:rPr>
        <w:t xml:space="preserve">۲۲۷۳. قم؛ گلپایگانی؛ شماره نسخه: ۹۱۹۸/۳-۶۰/۱۳۸</w:t>
      </w:r>
    </w:p>
    <w:p>
      <w:pPr>
        <w:pStyle w:val="BookText"/>
      </w:pPr>
      <w:r>
        <w:rPr>
          <w:rFonts w:ascii="IRNazanin" w:hAnsi="IRNazanin" w:eastAsia="IRNazanin" w:cs="IRNazanin"/>
          <w:lang w:bidi="fa-IR"/>
          <w:color w:val="111111"/>
          <w:sz w:val="28"/>
          <w:szCs w:val="28"/>
          <w:rtl/>
        </w:rPr>
        <w:t xml:space="preserve">آغاز: من كلام شيخ بهاء الدين عليه الرحمه به هر نیتی شصت و سه مرتبه بخواند انشاء الله روا شود، مرغ دولت بر سرم پر می زند پرواز کن</w:t>
      </w:r>
    </w:p>
    <w:p>
      <w:pPr>
        <w:pStyle w:val="BookText"/>
      </w:pPr>
      <w:r>
        <w:rPr>
          <w:rFonts w:ascii="IRNazanin" w:hAnsi="IRNazanin" w:eastAsia="IRNazanin" w:cs="IRNazanin"/>
          <w:lang w:bidi="fa-IR"/>
          <w:color w:val="111111"/>
          <w:sz w:val="28"/>
          <w:szCs w:val="28"/>
          <w:rtl/>
        </w:rPr>
        <w:t xml:space="preserve">شامل اشعاری از شیخ  بهایی ،کلیم، بابا طاهر عریان، ندیم، شریف ،سعدی، رقعه نصیرا و چند رقعه دیگر و یک حرز برای رفع نوبه؛ خط: نستعلیق، بی کا، بی تا؛ ۱۶گ (۱۰۲-۱۱۷)، اندازه: 6</w:t>
      </w:r>
      <w:r>
        <w:rPr>
          <w:rFonts w:ascii="Times New Roman" w:hAnsi="Times New Roman" w:eastAsia="Times New Roman" w:cs="Times New Roman"/>
          <w:lang w:val="en-US" w:bidi="en-US"/>
          <w:color w:val="111111"/>
          <w:sz w:val="28"/>
          <w:szCs w:val="28"/>
          <w:rtl/>
        </w:rPr>
        <w:t xml:space="preserve">× 13 </w:t>
      </w:r>
      <w:r>
        <w:rPr>
          <w:rFonts w:ascii="IRNazanin" w:hAnsi="IRNazanin" w:eastAsia="IRNazanin" w:cs="IRNazanin"/>
          <w:lang w:bidi="fa-IR"/>
          <w:color w:val="111111"/>
          <w:sz w:val="28"/>
          <w:szCs w:val="28"/>
          <w:rtl/>
        </w:rPr>
        <w:t xml:space="preserve">سم [ف: ۳ - ۱۲۲۳]</w:t>
      </w:r>
    </w:p>
    <w:p>
      <w:pPr>
        <w:pStyle w:val="BookText"/>
      </w:pPr>
      <w:r>
        <w:rPr>
          <w:rFonts w:ascii="IRNazanin" w:hAnsi="IRNazanin" w:eastAsia="IRNazanin" w:cs="IRNazanin"/>
          <w:lang w:bidi="fa-IR"/>
          <w:color w:val="111111"/>
          <w:sz w:val="28"/>
          <w:szCs w:val="28"/>
          <w:rtl/>
        </w:rPr>
        <w:t xml:space="preserve">۲۲۷۴ . مشهد؛ رضوی؛ شماره نسخه: ۱۰۳۹۶</w:t>
      </w:r>
    </w:p>
    <w:p>
      <w:pPr>
        <w:pStyle w:val="BookText"/>
      </w:pPr>
      <w:r>
        <w:rPr>
          <w:rFonts w:ascii="IRNazanin" w:hAnsi="IRNazanin" w:eastAsia="IRNazanin" w:cs="IRNazanin"/>
          <w:lang w:bidi="fa-IR"/>
          <w:color w:val="111111"/>
          <w:sz w:val="28"/>
          <w:szCs w:val="28"/>
          <w:rtl/>
        </w:rPr>
        <w:t xml:space="preserve">آغاز: فقیر آن بلبلی مسکین تذروی*** که اینجا با گلی خو کرد و سروی؛ انجام: مگر نتوان دوباره زندگانی *** که گر عشقت مدد بخشد توانی</w:t>
      </w:r>
    </w:p>
    <w:p>
      <w:pPr>
        <w:pStyle w:val="BookText"/>
      </w:pPr>
      <w:r>
        <w:rPr>
          <w:rFonts w:ascii="IRNazanin" w:hAnsi="IRNazanin" w:eastAsia="IRNazanin" w:cs="IRNazanin"/>
          <w:lang w:bidi="fa-IR"/>
          <w:color w:val="111111"/>
          <w:sz w:val="28"/>
          <w:szCs w:val="28"/>
          <w:rtl/>
        </w:rPr>
        <w:t xml:space="preserve">این جنگ که به نام «بیاض اشعار متفرقه» ثبت شده، مجموعه است بی سر و ته دارای اشعاری اعم از مثنوی و غزل و رباعی و تک بیت و ترجیع بند از شعرائی مانند حافظ، عایشه سمرقندی، سعدی ،عاشق، فتحعلیشاه ،محتشم ،جامی، وحشی و همچـنین رساله ای موجز به نثر که عنوان و نام مؤلف آن ذکر نشده اسـت ولی در باب موضوع آن آورده: «این رساله یی است در بیان عـشق و محبت حالات و مراتب طایفه که قدم در این طریق نهاده اند و معشوقان»؛ خط: نستعلیق و شکسته، بی کا، بی تا ؛مجدول؛ کاغذ: نخودی آهار مهره، جلد: تیماج ضربی تریاکی یک لا، ۲۰۵گ، مختلف السطر و اغلب ۸ سطر، قطع:بیاض رقعی، اندازه: 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۹ - ۱۰۷]</w:t>
      </w:r>
    </w:p>
    <w:p>
      <w:pPr>
        <w:pStyle w:val="BookText"/>
      </w:pPr>
      <w:r>
        <w:rPr>
          <w:rFonts w:ascii="IRNazanin" w:hAnsi="IRNazanin" w:eastAsia="IRNazanin" w:cs="IRNazanin"/>
          <w:lang w:bidi="fa-IR"/>
          <w:color w:val="111111"/>
          <w:sz w:val="28"/>
          <w:szCs w:val="28"/>
          <w:rtl/>
        </w:rPr>
        <w:t xml:space="preserve">۲۲۷۵ . مشهد؛ رضوی؛ شماره نسخه: ۴۴۹۵</w:t>
      </w:r>
    </w:p>
    <w:p>
      <w:pPr>
        <w:pStyle w:val="BookText"/>
      </w:pPr>
      <w:r>
        <w:rPr>
          <w:rFonts w:ascii="IRNazanin" w:hAnsi="IRNazanin" w:eastAsia="IRNazanin" w:cs="IRNazanin"/>
          <w:lang w:bidi="fa-IR"/>
          <w:color w:val="111111"/>
          <w:sz w:val="28"/>
          <w:szCs w:val="28"/>
          <w:rtl/>
        </w:rPr>
        <w:t xml:space="preserve">آغاز: ساز آباد خدایا دل ویرانی را ***یامده مهربتان هیچ مسلمانی را؛ انجام: مکن دگر مدد زلف کافرت که قویست *** بعهد شاه جهان باز وی سلیمانی</w:t>
      </w:r>
    </w:p>
    <w:p>
      <w:pPr>
        <w:pStyle w:val="BookText"/>
      </w:pPr>
      <w:r>
        <w:rPr>
          <w:rFonts w:ascii="IRNazanin" w:hAnsi="IRNazanin" w:eastAsia="IRNazanin" w:cs="IRNazanin"/>
          <w:lang w:bidi="fa-IR"/>
          <w:color w:val="111111"/>
          <w:sz w:val="28"/>
          <w:szCs w:val="28"/>
          <w:rtl/>
        </w:rPr>
        <w:t xml:space="preserve">غزل هایی است از آصفی هروی، عبدالرحمن جامی، مجمر زواره یی، زرگر اصفهانی، نیاز اصفهانی، یغمای جندقی، صافی اصفهانی، فروغی بسطامی، بهار تبریزی ،آذربیگدلی، وحشی بافقی ،ضیاء اصفهانی، میرسید علی مهری جبل عاملی (در متن) و شیخ بهائی همایون  اسفراینی، مخفی رشتی، لسانی شیرازی، سیفی بخاری، امیرشاهی سبزواری، آذری طوسی، میر حضوری قمی، حافظ شیرازی، میرزا محمد لشکر نویس متخلص به لشکری، (در حاشیه )؛خط: شکسته نستعلیق، کا: محمد حسن، تا:مورخ 1287 و ۱۲۹۲ و ۱۲۹۳ و ۱۲۹۴ و میرزا محمد لشکر نویس در ۱۳۴۲ و قسمتی نستعلیق تحریری به طرز چلیپا از کاتبی نامعلوم مورخ ۱۳۲۵ق؛ واقف: نایینی؛ کاغذ: فرنگی آهار مهره، جلد: تیماج بنفش، ۸۹گ، مختلف السطر، اندازه: ۱۶/۷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۲۵/۲سم [ف:7- 276]</w:t>
      </w:r>
    </w:p>
    <w:p>
      <w:pPr>
        <w:pStyle w:val="BookText"/>
      </w:pPr>
      <w:r>
        <w:rPr>
          <w:rFonts w:ascii="IRNazanin" w:hAnsi="IRNazanin" w:eastAsia="IRNazanin" w:cs="IRNazanin"/>
          <w:lang w:bidi="fa-IR"/>
          <w:color w:val="111111"/>
          <w:sz w:val="28"/>
          <w:szCs w:val="28"/>
          <w:rtl/>
        </w:rPr>
        <w:t xml:space="preserve">۲۲۷۶ . مشهد؛ رضوی؛ شماره نسخه: ۲۳۶۵۸</w:t>
      </w:r>
    </w:p>
    <w:p>
      <w:pPr>
        <w:pStyle w:val="BookText"/>
      </w:pPr>
      <w:r>
        <w:rPr>
          <w:rFonts w:ascii="IRNazanin" w:hAnsi="IRNazanin" w:eastAsia="IRNazanin" w:cs="IRNazanin"/>
          <w:lang w:bidi="fa-IR"/>
          <w:color w:val="111111"/>
          <w:sz w:val="28"/>
          <w:szCs w:val="28"/>
          <w:rtl/>
        </w:rPr>
        <w:t xml:space="preserve">آغاز: سكان صبح نفس را گره تواند زد؛ انجام: مرا دیدار باید ود با روی غیر .</w:t>
      </w:r>
    </w:p>
    <w:p>
      <w:pPr>
        <w:pStyle w:val="BookText"/>
      </w:pPr>
      <w:r>
        <w:rPr>
          <w:rFonts w:ascii="IRNazanin" w:hAnsi="IRNazanin" w:eastAsia="IRNazanin" w:cs="IRNazanin"/>
          <w:lang w:bidi="fa-IR"/>
          <w:color w:val="111111"/>
          <w:sz w:val="28"/>
          <w:szCs w:val="28"/>
          <w:rtl/>
        </w:rPr>
        <w:t xml:space="preserve">منتخبی است از قصاید، غزلیات، ترجیع بند، رباعیات مسدس، قطعات و ... از شاعران سده پنجم تا سیزده هجری: اوحدی مراغه ای، حکیم  سنایی، انوری، سید محمد غزنوی، ابو تراب بیگ، قاضی نور، حکیم ابوطالب، شیخ عطار، بسطامی، حسین بیگ، هلاکی ،همدانی، ادیب صابر ،طالب ،عرفی ،لسانی، مجد همگر ،جامی ،شفاهی، شیخ ابوسعید ابوالخیر ،خیام، والهی ،شوقی، ولی، نوعی، ذوقی، خان احمد ،محوی ،حافظ،خسرو، شیخ آذری، ،فهمی، میرزا حافی، میرزا  نظام ،فغانی، رضا و ....؛ خط: نستعليق مخلوط به شکسته،بی كا، بی تا؛ بدون نقطه درون محفظه فلزی،از اوراق بازیافته؛ کاغذ: حنایی آهار مهره [ف: ۱۷ - ۱۰۲]</w:t>
      </w:r>
    </w:p>
    <w:p>
      <w:pPr>
        <w:pStyle w:val="BookText"/>
      </w:pPr>
      <w:r>
        <w:rPr>
          <w:rFonts w:ascii="IRNazanin" w:hAnsi="IRNazanin" w:eastAsia="IRNazanin" w:cs="IRNazanin"/>
          <w:lang w:bidi="fa-IR"/>
          <w:color w:val="111111"/>
          <w:sz w:val="28"/>
          <w:szCs w:val="28"/>
          <w:rtl/>
        </w:rPr>
        <w:t xml:space="preserve">۲۲۷۷. قم؛ معصومیه؛ شماره نسخه: ۶۰۴</w:t>
      </w:r>
    </w:p>
    <w:p>
      <w:pPr>
        <w:pStyle w:val="BookText"/>
      </w:pPr>
      <w:r>
        <w:rPr>
          <w:rFonts w:ascii="IRNazanin" w:hAnsi="IRNazanin" w:eastAsia="IRNazanin" w:cs="IRNazanin"/>
          <w:lang w:bidi="fa-IR"/>
          <w:color w:val="111111"/>
          <w:sz w:val="28"/>
          <w:szCs w:val="28"/>
          <w:rtl/>
        </w:rPr>
        <w:t xml:space="preserve">این جنگ که توسط چند نفر جمع آوری شده، حاوی قصاید، ،قطعات، غزلیات و رباعیاتی است در مدایح چهارده معصوم(علیه السّلام)، اخلاقی و عرفانی ،مواعظ ،پندیات و ... . تمامی اشعار به فارسی است. در آن اسم چند نفر که احتمالاً جنگ متعلق به آنها بوده ذکر شده که عبارتند از: ابراهیم حقیقی با تخلص «حقیقی» که قصیده ای در مدح «سید ضیاء طباطبائی» به خط خود با همین تخلص نوشته، ملا حسن شبیه خوان بارفروشی، که چند نفر به حسب فرمایش وی اشعاری را نوشته اند، نور علی شاه گنابادی فرزند ملا سلطانعلی نوه حاج محمد حسن ملقب به صالح علیشاه
</w:t>
      </w:r>
    </w:p>
    <w:p>
      <w:pPr>
        <w:sectPr>
          <w:footerReference w:type="default" r:id="rId9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گنابادی. این جنگ بین سال های ۱۳۰۲ تا ۱۳۴۲ق جمع آوری شده و افراد مختلفی در آن اشعاری از خود و دیگران یادگاری نوشته اند، کسانی که دستخط یا شعری از آنها در این جنگ وجـود دارد عبارتند از: میرزا یحیی  اصفهانی، سید سمیع، ذاکر ف جيحون، طاهر، حاجی محمد مداح تهرانی، اسیری حاجی رضـا خان درویش، ابراهيم حقیقی، عباس لكجو،ميرزا ممدى تبريزی و کربلای ملا حسن شبیه خوان؛ خط: نسخ و نستعلیق، بی کا، بی</w:t>
      </w:r>
    </w:p>
    <w:p>
      <w:pPr>
        <w:pStyle w:val="BookText"/>
      </w:pPr>
      <w:r>
        <w:rPr>
          <w:rFonts w:ascii="IRNazanin" w:hAnsi="IRNazanin" w:eastAsia="IRNazanin" w:cs="IRNazanin"/>
          <w:lang w:bidi="fa-IR"/>
          <w:color w:val="111111"/>
          <w:sz w:val="28"/>
          <w:szCs w:val="28"/>
          <w:rtl/>
        </w:rPr>
        <w:t xml:space="preserve">تا؛ بعضی از صفحات چلیپایی؛ جلد تیماج  مشکی ،۲۰۸گ مختلـف السطر،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۲ - ۲۳۴]</w:t>
      </w:r>
    </w:p>
    <w:p>
      <w:pPr>
        <w:pStyle w:val="BookText"/>
      </w:pPr>
      <w:r>
        <w:rPr>
          <w:rFonts w:ascii="IRNazanin" w:hAnsi="IRNazanin" w:eastAsia="IRNazanin" w:cs="IRNazanin"/>
          <w:lang w:bidi="fa-IR"/>
          <w:color w:val="111111"/>
          <w:sz w:val="28"/>
          <w:szCs w:val="28"/>
          <w:rtl/>
        </w:rPr>
        <w:t xml:space="preserve">۲۲۷۸. یزد؛ وزیری؛ شماره نسخه: ۳۱۲۲/۶</w:t>
      </w:r>
    </w:p>
    <w:p>
      <w:pPr>
        <w:pStyle w:val="BookText"/>
      </w:pPr>
      <w:r>
        <w:rPr>
          <w:rFonts w:ascii="IRNazanin" w:hAnsi="IRNazanin" w:eastAsia="IRNazanin" w:cs="IRNazanin"/>
          <w:lang w:bidi="fa-IR"/>
          <w:color w:val="111111"/>
          <w:sz w:val="28"/>
          <w:szCs w:val="28"/>
          <w:rtl/>
        </w:rPr>
        <w:t xml:space="preserve">مشتمل است بر اشعاری از: رفیق ،وصال ،فغان ،سعد ،عظی، نظـام، زرگ، محتشم، وحشی، غزال، مفلس، نظیری، قهری، غافل، جامی ،عراقی ،رافع ،منصور ،شعاع میرزاحسن اختر ،عطارد، هـما ،محزون ،مشرف ،غریب ،ضابط ،حافظ، یغما ،سلطان امیرمعـزی سمرقندی ،مسیحا ،دولت، منوچهری رشید، مقلوب استوی، خاقان محمدشاه، حاج میرزا آقاسی، ملای روم ،انوری ، شیرازی، طوقی، سید حسن غزنوی، امیر خسرو ،نزاری، قدسی ،فدایی، امینی،مسیح کاشی، قاضی نور، شیخ علینقی ،سلیمان ،فارغی، فصیحی ،نباتی، محمد صالح ،عاشق ،غضنفر ،آذر، صباحی و غیره؛خـط: نستعلیق، بی کا، بی تا؛ کاغذ: اصفهانی آهاری ،جلد: تیماج تریاکی عطف تیماج  مشکی، ۱۳۲ ص (۱۵۷-۲۵) ،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 سم  [ ف: ۵ - ۱۵۴۰]</w:t>
      </w:r>
    </w:p>
    <w:p>
      <w:pPr>
        <w:pStyle w:val="BookText"/>
      </w:pPr>
      <w:r>
        <w:rPr>
          <w:rFonts w:ascii="Times New Roman" w:hAnsi="Times New Roman" w:eastAsia="Times New Roman" w:cs="Times New Roman"/>
          <w:lang w:val="en-US" w:bidi="en-US"/>
          <w:color w:val="111111"/>
          <w:sz w:val="28"/>
          <w:szCs w:val="28"/>
          <w:rtl/>
        </w:rPr>
        <w:t xml:space="preserve">2279.</w:t>
      </w:r>
    </w:p>
    <w:p>
      <w:pPr>
        <w:pStyle w:val="BookText"/>
      </w:pPr>
      <w:r>
        <w:rPr>
          <w:rFonts w:ascii="IRNazanin" w:hAnsi="IRNazanin" w:eastAsia="IRNazanin" w:cs="IRNazanin"/>
          <w:lang w:bidi="fa-IR"/>
          <w:color w:val="111111"/>
          <w:sz w:val="28"/>
          <w:szCs w:val="28"/>
          <w:rtl/>
        </w:rPr>
        <w:t xml:space="preserve">یزد؛ وزیری؛ شماره نسخه: ۲۱۹۳</w:t>
      </w:r>
    </w:p>
    <w:p>
      <w:pPr>
        <w:pStyle w:val="BookText"/>
      </w:pPr>
      <w:r>
        <w:rPr>
          <w:rFonts w:ascii="IRNazanin" w:hAnsi="IRNazanin" w:eastAsia="IRNazanin" w:cs="IRNazanin"/>
          <w:lang w:bidi="fa-IR"/>
          <w:color w:val="111111"/>
          <w:sz w:val="28"/>
          <w:szCs w:val="28"/>
          <w:rtl/>
        </w:rPr>
        <w:t xml:space="preserve">آغاز: بنشینم و صبر پیش گیرم؛ انجام: و گز روی اقبالم شود یار اشعاری از حافظ، سعدی ،محتشم، وحشی و غیره؛ خط: نستعلیق، بی کا، بی تا؛ افتادگی: آغاز و انجام؛ اهدایی: وزیری موسس ؛کاغذ: کبود اصفهانی، جلد: مقوایی با تیماج مشکی، ۱۷۰گ، 16سطر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۱۹/۵سم [ف: ۴ - ۱۱۹۸]</w:t>
      </w:r>
    </w:p>
    <w:p>
      <w:pPr>
        <w:pStyle w:val="BookText"/>
      </w:pPr>
      <w:r>
        <w:rPr>
          <w:rFonts w:ascii="IRNazanin" w:hAnsi="IRNazanin" w:eastAsia="IRNazanin" w:cs="IRNazanin"/>
          <w:lang w:bidi="fa-IR"/>
          <w:color w:val="111111"/>
          <w:sz w:val="28"/>
          <w:szCs w:val="28"/>
          <w:rtl/>
        </w:rPr>
        <w:t xml:space="preserve">۲۲۸۰. تهران؛ ملک؛ شماره نسخه: ۵۵۹۷</w:t>
      </w:r>
    </w:p>
    <w:p>
      <w:pPr>
        <w:pStyle w:val="BookText"/>
      </w:pPr>
      <w:r>
        <w:rPr>
          <w:rFonts w:ascii="IRNazanin" w:hAnsi="IRNazanin" w:eastAsia="IRNazanin" w:cs="IRNazanin"/>
          <w:lang w:bidi="fa-IR"/>
          <w:color w:val="111111"/>
          <w:sz w:val="28"/>
          <w:szCs w:val="28"/>
          <w:rtl/>
        </w:rPr>
        <w:t xml:space="preserve">گزیده اشعار و بندهایی است از: عرفی شیرازی ،صائب، جامی، یوسف و زلیخای جامی، تاریخ عمارت جهان نمای هرات بوستان سعدی ،نظامی، پند و اندرز به) ،(نثر) گلستان سعدی، آذری، صفی قلی خان، رضی الدین نیشابوری، کلیم کاشانی، تعداد قصاید در نسخه ۲۶۴ یاد شده؛ خط: نستعلیق خوش،بی کا، بی تا؛ افتادگی: انجام؛ مجدول، مهر: «عبده الراجى محمد»؛ کاغذ: ترمه سمرقندی، جلد: میشن سیاه، ۲۲۴گ، ۱۹ سطر، اندازه: ۱۷/۳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۲۶/۲سم [ف: ۸ -۴۲۷]</w:t>
      </w:r>
    </w:p>
    <w:p>
      <w:pPr>
        <w:pStyle w:val="BookText"/>
      </w:pPr>
      <w:r>
        <w:rPr>
          <w:rFonts w:ascii="IRNazanin" w:hAnsi="IRNazanin" w:eastAsia="IRNazanin" w:cs="IRNazanin"/>
          <w:lang w:bidi="fa-IR"/>
          <w:color w:val="111111"/>
          <w:sz w:val="28"/>
          <w:szCs w:val="28"/>
          <w:rtl/>
        </w:rPr>
        <w:t xml:space="preserve">۲۲۸۱. تهران؛ ملک؛ شماره نسخه: ۶۴۱۸</w:t>
      </w:r>
    </w:p>
    <w:p>
      <w:pPr>
        <w:pStyle w:val="BookText"/>
      </w:pPr>
      <w:r>
        <w:rPr>
          <w:rFonts w:ascii="IRNazanin" w:hAnsi="IRNazanin" w:eastAsia="IRNazanin" w:cs="IRNazanin"/>
          <w:lang w:bidi="fa-IR"/>
          <w:color w:val="111111"/>
          <w:sz w:val="28"/>
          <w:szCs w:val="28"/>
          <w:rtl/>
        </w:rPr>
        <w:t xml:space="preserve">اشعاری از: فروغی، فایق، ناصر (گویا ناصرالدین شاه)، محتشـم، ناصرالدین شاه، حکایت شیخ  شبلی، صبا (فتحعلی خان)، محـمد سعید، میر کمال، شاه صادق، عمر خیام، حافظ، استاد، سحابی، ،افضل ،مولوی، میرزای کابلی، شیخ بوعلی، سید میرزا فتون، امیر خسرو، جامی و دیگران؛ خط: نستعلیق و شکسته نستعلیق، بی کا،بی تا؛ مجدول، با دو تصویر بی اعتبار ؛کاغذ: ترمه، جلد:میشن قرمز لایی، ۷۰گ، مختلف السطر ،اندازه: 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۹ - ۳۷۹]</w:t>
      </w:r>
    </w:p>
    <w:p>
      <w:pPr>
        <w:pStyle w:val="BookText"/>
      </w:pPr>
      <w:r>
        <w:rPr>
          <w:rFonts w:ascii="IRNazanin" w:hAnsi="IRNazanin" w:eastAsia="IRNazanin" w:cs="IRNazanin"/>
          <w:lang w:bidi="fa-IR"/>
          <w:color w:val="111111"/>
          <w:sz w:val="28"/>
          <w:szCs w:val="28"/>
          <w:rtl/>
        </w:rPr>
        <w:t xml:space="preserve">۲۲۸۲. تهران؛ ملک؛ شماره نسخه: ۶۴۱۹</w:t>
      </w:r>
    </w:p>
    <w:p>
      <w:pPr>
        <w:pStyle w:val="BookText"/>
      </w:pPr>
      <w:r>
        <w:rPr>
          <w:rFonts w:ascii="IRNazanin" w:hAnsi="IRNazanin" w:eastAsia="IRNazanin" w:cs="IRNazanin"/>
          <w:lang w:bidi="fa-IR"/>
          <w:color w:val="111111"/>
          <w:sz w:val="28"/>
          <w:szCs w:val="28"/>
          <w:rtl/>
        </w:rPr>
        <w:t xml:space="preserve">اشعار از: رفیقی، هجویات مطربا ،سعدی، محتشم، جامی، مشتاق، ،واعظ ،هلالی ،مجرم ،صائب ،بیدل، رباعیات در مرثیه ،میرزا شهاب؛ خط: شکسته نستعلیق، بی کا، بی تا؛ کاغذ: فستقی، جلد: تیماج قهوه ای لایی، ۷۵گ، مختلف السطر، قطع: بياض رقعی، اندازه: ۱۱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۲۲سم [ف: ۹ - ۳۸۰]</w:t>
      </w:r>
    </w:p>
    <w:p>
      <w:pPr>
        <w:pStyle w:val="BookText"/>
      </w:pPr>
      <w:r>
        <w:rPr>
          <w:rFonts w:ascii="IRNazanin" w:hAnsi="IRNazanin" w:eastAsia="IRNazanin" w:cs="IRNazanin"/>
          <w:lang w:bidi="fa-IR"/>
          <w:color w:val="111111"/>
          <w:sz w:val="28"/>
          <w:szCs w:val="28"/>
          <w:rtl/>
        </w:rPr>
        <w:t xml:space="preserve">۲۲۸۳ . تبریز؛ ملی؛ شماره نسخه: ۲۷۰۱</w:t>
      </w:r>
    </w:p>
    <w:p>
      <w:pPr>
        <w:pStyle w:val="BookText"/>
      </w:pPr>
      <w:r>
        <w:rPr>
          <w:rFonts w:ascii="IRNazanin" w:hAnsi="IRNazanin" w:eastAsia="IRNazanin" w:cs="IRNazanin"/>
          <w:lang w:bidi="fa-IR"/>
          <w:color w:val="111111"/>
          <w:sz w:val="28"/>
          <w:szCs w:val="28"/>
          <w:rtl/>
        </w:rPr>
        <w:t xml:space="preserve">مجموعه اشعار منتخب و نفیسی است؛ خط: نستعلیق، بی کا، بی تا؛ افتادگی: آغاز و انجام ؛جلد: چرمی سیاه ضربی، ۱۲۹گ، ۱۴سطر،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۱ - ۳۴۲]</w:t>
      </w:r>
    </w:p>
    <w:p>
      <w:pPr>
        <w:pStyle w:val="BookText"/>
      </w:pPr>
      <w:r>
        <w:rPr>
          <w:rFonts w:ascii="IRNazanin" w:hAnsi="IRNazanin" w:eastAsia="IRNazanin" w:cs="IRNazanin"/>
          <w:lang w:bidi="fa-IR"/>
          <w:color w:val="111111"/>
          <w:sz w:val="28"/>
          <w:szCs w:val="28"/>
          <w:rtl/>
        </w:rPr>
        <w:t xml:space="preserve">۲۲۸۴. کاشان ،عاطفی، افشین؛ شماره نسخه: ۷۶</w:t>
      </w:r>
    </w:p>
    <w:p>
      <w:pPr>
        <w:pStyle w:val="BookText"/>
      </w:pPr>
      <w:r>
        <w:rPr>
          <w:rFonts w:ascii="IRNazanin" w:hAnsi="IRNazanin" w:eastAsia="IRNazanin" w:cs="IRNazanin"/>
          <w:lang w:bidi="fa-IR"/>
          <w:color w:val="111111"/>
          <w:sz w:val="28"/>
          <w:szCs w:val="28"/>
          <w:rtl/>
        </w:rPr>
        <w:t xml:space="preserve">جنگ اشعار مشتمل بر دوازده بند محتشم، چهارده بند وصال، اشعار سقائی برخی از وقایع کربلا، چند ماده تاریخ، اشعاری از سروش اصفهانی، اشعاری منتخب از جودی، اشعاری از ضیا ،کفاش ،بیدل ،سعدی و رباعیات ابوسعید ابوالخير؛ خط: نستعليق، بی کا، بی تا؛ برخی از اشعار به خط علی بن میرزا محمد جعفر ادیب کاشانی در شب چهارشنبه ۱۴ صفر ۱۳۳۵ و زیارت وارث در اشعاری به فارسی به خط نستعلیق و نسخ درشت کتابت سال ۱۳۲۴ ظاهراً به خط ملا محمد جعفر ادیب؛ جلد: مقوایی، ۱۰۸گ،مختلف السطر،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۱۷/۵سم [ف: ۶۵]</w:t>
      </w:r>
    </w:p>
    <w:p>
      <w:pPr>
        <w:pStyle w:val="BookText"/>
      </w:pPr>
      <w:r>
        <w:rPr>
          <w:rFonts w:ascii="IRNazanin" w:hAnsi="IRNazanin" w:eastAsia="IRNazanin" w:cs="IRNazanin"/>
          <w:lang w:bidi="fa-IR"/>
          <w:color w:val="111111"/>
          <w:sz w:val="28"/>
          <w:szCs w:val="28"/>
          <w:rtl/>
        </w:rPr>
        <w:t xml:space="preserve">۲۲۸۵. قم؛ مرکز مطالعات؛ شماره نسخه: ۱۰۰۴</w:t>
      </w:r>
    </w:p>
    <w:p>
      <w:pPr>
        <w:pStyle w:val="BookText"/>
      </w:pPr>
      <w:r>
        <w:rPr>
          <w:rFonts w:ascii="IRNazanin" w:hAnsi="IRNazanin" w:eastAsia="IRNazanin" w:cs="IRNazanin"/>
          <w:lang w:bidi="fa-IR"/>
          <w:color w:val="111111"/>
          <w:sz w:val="28"/>
          <w:szCs w:val="28"/>
          <w:rtl/>
        </w:rPr>
        <w:t xml:space="preserve">آغاز: خنگ چوگانی چو بختت رام شد در زیر زین *** شهسوارا چون بمیدان آمدی گویی بزن / مشورت با عقل کردم گفت حافظ می بنوش *** ساقیا می ده بقول مستشار موتمن؛ انجام: با تو آن بی ادب چها که نکرد *** و آنچه می خواست از کجا که نکرد شامل: «غزلیات، مقطعات ،حکایات ،رباعی، مثنوی، مخمس،مسدس و مربع، ساقی نامه، ترجیع بند قصیده» از: خواجه حافظ، سعدی شیرازی، آقا محمد عاشق، اهلی شیرازی ،خیام، میرزا ابراهیم  تفرشی ،نوائی، قاضی نور الله، ملا عبدالرحمن جامی، وحشی بافقی، وطواط رشیدی، ناصر خسرو، فردوسی، شیخ بھائی، حکیم انوری، احمد بیک متخلص به اختر، یاری، حسینی یزدی، درویش مجید خوش نویس، ابوالعلاء گنجه، عاشق اصفهانی، مهدی بیک شقاقی، جلالی یزدی ،بیدل، بیدل صافی ،کمال ،ناظم، سحاب، صبوری شیرازی، مشتاق اصفهانی، محتشم، احمد میرزا نبازی ،عاشق ،رفیق، هاتف، ابوطالب کلیم ،انوری، رفیق اصفهانی، حسینی نحوی، ملا ذبیح یزدی، فرد، امرء القيس، بابا طاهر ،ابن یمین، قضائی یزدی، صافی کرمانی، خیالی، شمس تبریزی ،مغربی، ضیاء؛ خط: نستعلیق زیبا، بی کا، بی تا؛ مجدول مذهب و تحریری؛ جلد: تیماج سرخ ضربی مجدول، ۱۶۳گ، ۱۱ سطر، اندازه: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۲ – ۲۶۵] ۲۲۸۶. تهران؛ سلطنتی؛ شماره نسخه: ۵۷۲
</w:t>
      </w:r>
    </w:p>
    <w:p>
      <w:pPr>
        <w:sectPr>
          <w:footerReference w:type="default" r:id="rId9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مجموعه ای است از دیوان مسعود سعد سلمان، نجیب الدین جرفادقانی، دیوان سیف الدین اعرج اسفرنگی، دیوان رضی الدین نیشابوری، دیوان ازرقی هروی ابوبکر بن اسمعيل وراق؛ شامل قصاید، مقطعات ،رباعیات، ترکیبات می باشد؛ خط: نستعـلیق متوسط، بی کا، بی تا؛ مجدول ،زرین با سرلوح مذهب مرصع بسـیار خوب؛ کاغذ: دولت آبادی ،جلد: مقوای روکش تیماج ماشی وسط ترنج و دو سر ترنج منگنه ای ،اندرون: کاغذ سرنجی رنگ ساده، ۷۰۴ص، ۱۲-۱۴-۱۷ سطر، قطع: وزیری، اندازه: ۱۵/۲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۲۵/۷سم [ف: ۴ - ۱۰۵۵]</w:t>
      </w:r>
    </w:p>
    <w:p>
      <w:pPr>
        <w:pStyle w:val="BookText"/>
      </w:pPr>
      <w:r>
        <w:rPr>
          <w:rFonts w:ascii="IRNazanin" w:hAnsi="IRNazanin" w:eastAsia="IRNazanin" w:cs="IRNazanin"/>
          <w:lang w:bidi="fa-IR"/>
          <w:color w:val="111111"/>
          <w:sz w:val="28"/>
          <w:szCs w:val="28"/>
          <w:rtl/>
        </w:rPr>
        <w:t xml:space="preserve">۲۲۸۷. تهران؛ سلطنتی؛ شماره نسخه: ۵۷۴</w:t>
      </w:r>
    </w:p>
    <w:p>
      <w:pPr>
        <w:pStyle w:val="BookText"/>
      </w:pPr>
      <w:r>
        <w:rPr>
          <w:rFonts w:ascii="IRNazanin" w:hAnsi="IRNazanin" w:eastAsia="IRNazanin" w:cs="IRNazanin"/>
          <w:lang w:bidi="fa-IR"/>
          <w:color w:val="111111"/>
          <w:sz w:val="28"/>
          <w:szCs w:val="28"/>
          <w:rtl/>
        </w:rPr>
        <w:t xml:space="preserve">مشتمل است بر دواوین امیر معزی، حسن غزنوی، امامی هروی؛ خط: نستعلیق متوسط، بی کا، بی تا؛ صفحات مجدول زرین،با سرلوح و دو ترنج مذهب مرصع بسيار خوب؛ مهر: حسين بن هدایت الله، محمد رضا الحسيني، ناصر الدین شاه قاجار؛ کاغذ: ترمه ،جلد: مقوای روکش چرم ساغری مشكى مجدول طلائی وسط ترنج و دو سر ترنج ضربی زمینه چهره ای گل برجسته طلایی، اندرون تیماج لاکی با کمند زرین، ۴۹۲ ص، ۱۸ سطر در متن و ۱۴ مصرع در حواشی ،قطع: ربعی ،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۲۳/۵سم [4- 1062]</w:t>
      </w:r>
    </w:p>
    <w:p>
      <w:pPr>
        <w:pStyle w:val="BookText"/>
      </w:pPr>
      <w:r>
        <w:rPr>
          <w:rFonts w:ascii="IRNazanin" w:hAnsi="IRNazanin" w:eastAsia="IRNazanin" w:cs="IRNazanin"/>
          <w:lang w:bidi="fa-IR"/>
          <w:color w:val="111111"/>
          <w:sz w:val="28"/>
          <w:szCs w:val="28"/>
          <w:rtl/>
        </w:rPr>
        <w:t xml:space="preserve">۲۲۸۸. تهران؛ سلطنتی؛ شماره نسخه: ۵۳۱</w:t>
      </w:r>
    </w:p>
    <w:p>
      <w:pPr>
        <w:pStyle w:val="BookText"/>
      </w:pPr>
      <w:r>
        <w:rPr>
          <w:rFonts w:ascii="IRNazanin" w:hAnsi="IRNazanin" w:eastAsia="IRNazanin" w:cs="IRNazanin"/>
          <w:lang w:bidi="fa-IR"/>
          <w:color w:val="111111"/>
          <w:sz w:val="28"/>
          <w:szCs w:val="28"/>
          <w:rtl/>
        </w:rPr>
        <w:t xml:space="preserve">آغاز: بسمه سبحانه و تعالی: السلام ای سایه خورشید رب العالمین *** آسمان عز و تمکین آفتاب داد و دین؛ انجام: مرا مذهـب اینست و گیری تو نیز *** درین ره گرت مردی و مردمی است/که بعد از نبی مقتدای بحق*** علی بن بوطالب هاشمی است</w:t>
      </w:r>
    </w:p>
    <w:p>
      <w:pPr>
        <w:pStyle w:val="BookText"/>
      </w:pPr>
      <w:r>
        <w:rPr>
          <w:rFonts w:ascii="IRNazanin" w:hAnsi="IRNazanin" w:eastAsia="IRNazanin" w:cs="IRNazanin"/>
          <w:lang w:bidi="fa-IR"/>
          <w:color w:val="111111"/>
          <w:sz w:val="28"/>
          <w:szCs w:val="28"/>
          <w:rtl/>
        </w:rPr>
        <w:t xml:space="preserve">مجموعه حسن کاشانی ،آذری ،صدقی ،مهدی ،سلمان، مقصـود ،فضلی ،سلیمی، ابن حسام، مولانا فخر سلام، ابن یمین. این نسـخه مجموعه ای است از منتخب اشعار شعرای فوق الذکر که شامل ترکیبات، قصاید، مقطعات، رباعیات که در مدیح و نعت و ذکر فضایل حضرت علی بن ابیطالب (علیه السّلام) و ائمه اطهار سروده شـده است؛ خط: نستعلیق جلی، بی کا، بی تا؛ مجدول کمند کشی طلائی ،مذهب، صفحه اول یک سرلوح مذهب مرصع مزدوج کار سمرقند؛ مهر: کتابخانه دولت علیه ایران ۱۳۲۹؛ کاغذ: حاشیه سمرقندی، جلد: مقوای روغنی بوم طلائی منقش به گل بوته و برگ های الوان، اندرون: بوم عنابی مذهب و مزین به پیچک و گل و برگ های  زرین، ۱۶۴ص، بین ۸-۱۲ سطر، قـطع: ربعی، اندازه: 14/8</w:t>
      </w:r>
      <w:r>
        <w:rPr>
          <w:rFonts w:ascii="Times New Roman" w:hAnsi="Times New Roman" w:eastAsia="Times New Roman" w:cs="Times New Roman"/>
          <w:lang w:val="en-US" w:bidi="en-US"/>
          <w:color w:val="111111"/>
          <w:sz w:val="28"/>
          <w:szCs w:val="28"/>
          <w:rtl/>
        </w:rPr>
        <w:t xml:space="preserve">×22/2</w:t>
      </w:r>
      <w:r>
        <w:rPr>
          <w:rFonts w:ascii="IRNazanin" w:hAnsi="IRNazanin" w:eastAsia="IRNazanin" w:cs="IRNazanin"/>
          <w:lang w:bidi="fa-IR"/>
          <w:color w:val="111111"/>
          <w:sz w:val="28"/>
          <w:szCs w:val="28"/>
          <w:rtl/>
        </w:rPr>
        <w:t xml:space="preserve">سم [ف: ۴ - ۱۱۵۴]</w:t>
      </w:r>
    </w:p>
    <w:p>
      <w:pPr>
        <w:pStyle w:val="BookText"/>
      </w:pPr>
      <w:r>
        <w:rPr>
          <w:rFonts w:ascii="IRNazanin" w:hAnsi="IRNazanin" w:eastAsia="IRNazanin" w:cs="IRNazanin"/>
          <w:lang w:bidi="fa-IR"/>
          <w:color w:val="111111"/>
          <w:sz w:val="28"/>
          <w:szCs w:val="28"/>
          <w:rtl/>
        </w:rPr>
        <w:t xml:space="preserve">۲۲۸۹ . مشهد؛ مدیر شانه چی؛ شماره نسخه: ۹</w:t>
      </w:r>
    </w:p>
    <w:p>
      <w:pPr>
        <w:pStyle w:val="BookText"/>
      </w:pPr>
      <w:r>
        <w:rPr>
          <w:rFonts w:ascii="IRNazanin" w:hAnsi="IRNazanin" w:eastAsia="IRNazanin" w:cs="IRNazanin"/>
          <w:lang w:bidi="fa-IR"/>
          <w:color w:val="111111"/>
          <w:sz w:val="28"/>
          <w:szCs w:val="28"/>
          <w:rtl/>
        </w:rPr>
        <w:t xml:space="preserve">جنگ شعرهای فارسی متقدمان و متأخران که برخی از اشعار آنان کمیاب است گردآوری میرزا محمد حسین شاهرودی؛ خـط: نستعلیق، کا: محمد حسین شاهرودی،بی کا، بی تا؛ قطع : ربعی [نشریه: 5- 585 ]</w:t>
      </w:r>
    </w:p>
    <w:p>
      <w:pPr>
        <w:pStyle w:val="BookText"/>
      </w:pPr>
      <w:r>
        <w:rPr>
          <w:rFonts w:ascii="IRNazanin" w:hAnsi="IRNazanin" w:eastAsia="IRNazanin" w:cs="IRNazanin"/>
          <w:lang w:bidi="fa-IR"/>
          <w:color w:val="111111"/>
          <w:sz w:val="28"/>
          <w:szCs w:val="28"/>
          <w:rtl/>
        </w:rPr>
        <w:t xml:space="preserve">۲۲۹۰. مشهد؛ مدیر شانه چی؛ شماره نسخه: ۱۰</w:t>
      </w:r>
    </w:p>
    <w:p>
      <w:pPr>
        <w:pStyle w:val="BookText"/>
      </w:pPr>
      <w:r>
        <w:rPr>
          <w:rFonts w:ascii="IRNazanin" w:hAnsi="IRNazanin" w:eastAsia="IRNazanin" w:cs="IRNazanin"/>
          <w:lang w:bidi="fa-IR"/>
          <w:color w:val="111111"/>
          <w:sz w:val="28"/>
          <w:szCs w:val="28"/>
          <w:rtl/>
        </w:rPr>
        <w:t xml:space="preserve">جنگ شعرهای: جنتی، کاشی آملی، ابن حسام ،خواجو، نظام گویا استرابادی (ص ۶۲-۷۰) ،موالی، شاه نعمة الله، مرتضایی (۷۹-۷۵)، قصیده «گذشت عمر» ،ناصر ،قصیده شتر (۹۳-۹۷)، سنائی، آذری (۱۱۲-۱۱۵) صلاتی کاشی، سایلی حکیم (۱۲۴- ۱۳۱) ،غازی، کمال پارسی ،اشرف، میرزا (۱۴۷)، ضعیفی، رهی، سلیمی مورخ ۶۴۳ (۱۵۴-۱۶۹)، شریف کاهی، حافظ، شریف (۱۹۳-۱۸۶)، عارف (۲۰۲)؛ بی کا، بی تا [ نشریه: ۵ - ۵۸۵]</w:t>
      </w:r>
    </w:p>
    <w:p>
      <w:pPr>
        <w:pStyle w:val="BookText"/>
      </w:pPr>
      <w:r>
        <w:rPr>
          <w:rFonts w:ascii="IRNazanin" w:hAnsi="IRNazanin" w:eastAsia="IRNazanin" w:cs="IRNazanin"/>
          <w:lang w:bidi="fa-IR"/>
          <w:color w:val="111111"/>
          <w:sz w:val="28"/>
          <w:szCs w:val="28"/>
          <w:rtl/>
        </w:rPr>
        <w:t xml:space="preserve">۲۲۹۱ یزد؛ وزیری شماره نسخه: ۴۰۷۵</w:t>
      </w:r>
    </w:p>
    <w:p>
      <w:pPr>
        <w:pStyle w:val="BookText"/>
      </w:pPr>
      <w:r>
        <w:rPr>
          <w:rFonts w:ascii="IRNazanin" w:hAnsi="IRNazanin" w:eastAsia="IRNazanin" w:cs="IRNazanin"/>
          <w:lang w:bidi="fa-IR"/>
          <w:color w:val="111111"/>
          <w:sz w:val="28"/>
          <w:szCs w:val="28"/>
          <w:rtl/>
        </w:rPr>
        <w:t xml:space="preserve">جنگ اشعار است؛ بی کا، بی تا [ نشریه: ۱۳ - ۳۶۲]</w:t>
      </w:r>
    </w:p>
    <w:p>
      <w:pPr>
        <w:pStyle w:val="BookText"/>
      </w:pPr>
      <w:r>
        <w:rPr>
          <w:rFonts w:ascii="IRNazanin" w:hAnsi="IRNazanin" w:eastAsia="IRNazanin" w:cs="IRNazanin"/>
          <w:lang w:bidi="fa-IR"/>
          <w:color w:val="111111"/>
          <w:sz w:val="28"/>
          <w:szCs w:val="28"/>
          <w:rtl/>
        </w:rPr>
        <w:t xml:space="preserve">۲۲۹۲ یزد؛ وزیری؛ شماره نسخه: ۴۲۴۶</w:t>
      </w:r>
    </w:p>
    <w:p>
      <w:pPr>
        <w:pStyle w:val="BookText"/>
      </w:pPr>
      <w:r>
        <w:rPr>
          <w:rFonts w:ascii="IRNazanin" w:hAnsi="IRNazanin" w:eastAsia="IRNazanin" w:cs="IRNazanin"/>
          <w:lang w:bidi="fa-IR"/>
          <w:color w:val="111111"/>
          <w:sz w:val="28"/>
          <w:szCs w:val="28"/>
          <w:rtl/>
        </w:rPr>
        <w:t xml:space="preserve">جنگ اشعار است؛ بی کا،  بی تا [نشریه: ۱۳ - ۳۸۰]</w:t>
      </w:r>
    </w:p>
    <w:p>
      <w:pPr>
        <w:pStyle w:val="BookText"/>
      </w:pPr>
      <w:r>
        <w:rPr>
          <w:rFonts w:ascii="IRNazanin" w:hAnsi="IRNazanin" w:eastAsia="IRNazanin" w:cs="IRNazanin"/>
          <w:lang w:bidi="fa-IR"/>
          <w:color w:val="111111"/>
          <w:sz w:val="28"/>
          <w:szCs w:val="28"/>
          <w:rtl/>
        </w:rPr>
        <w:t xml:space="preserve">۲۲۹۳. یزد؛ وزیری؛ شماره نسخه: 4299</w:t>
      </w:r>
    </w:p>
    <w:p>
      <w:pPr>
        <w:pStyle w:val="BookText"/>
      </w:pPr>
      <w:r>
        <w:rPr>
          <w:rFonts w:ascii="Times New Roman" w:hAnsi="Times New Roman" w:eastAsia="Times New Roman" w:cs="Times New Roman"/>
          <w:lang w:val="en-US" w:bidi="en-US"/>
          <w:color w:val="111111"/>
          <w:sz w:val="28"/>
          <w:szCs w:val="28"/>
          <w:rtl/>
        </w:rPr>
        <w:t xml:space="preserve">2294.</w:t>
      </w:r>
    </w:p>
    <w:p>
      <w:pPr>
        <w:pStyle w:val="BookText"/>
      </w:pPr>
      <w:r>
        <w:rPr>
          <w:rFonts w:ascii="IRNazanin" w:hAnsi="IRNazanin" w:eastAsia="IRNazanin" w:cs="IRNazanin"/>
          <w:lang w:bidi="fa-IR"/>
          <w:color w:val="111111"/>
          <w:sz w:val="28"/>
          <w:szCs w:val="28"/>
          <w:rtl/>
        </w:rPr>
        <w:t xml:space="preserve">یزد؛ وزیری؛ شماره نسخه: ۴۴۱۰</w:t>
      </w:r>
    </w:p>
    <w:p>
      <w:pPr>
        <w:pStyle w:val="BookText"/>
      </w:pPr>
      <w:r>
        <w:rPr>
          <w:rFonts w:ascii="IRNazanin" w:hAnsi="IRNazanin" w:eastAsia="IRNazanin" w:cs="IRNazanin"/>
          <w:lang w:bidi="fa-IR"/>
          <w:color w:val="111111"/>
          <w:sz w:val="28"/>
          <w:szCs w:val="28"/>
          <w:rtl/>
        </w:rPr>
        <w:t xml:space="preserve">جنگ اشعار است؛ بی کا، بی تا [نشریه: ۱۳ - ۳۹۹]</w:t>
      </w:r>
    </w:p>
    <w:p>
      <w:pPr>
        <w:pStyle w:val="BookText"/>
      </w:pPr>
      <w:r>
        <w:rPr>
          <w:rFonts w:ascii="IRNazanin" w:hAnsi="IRNazanin" w:eastAsia="IRNazanin" w:cs="IRNazanin"/>
          <w:lang w:bidi="fa-IR"/>
          <w:color w:val="111111"/>
          <w:sz w:val="28"/>
          <w:szCs w:val="28"/>
          <w:rtl/>
        </w:rPr>
        <w:t xml:space="preserve">۲۲۹۵ .تهران؛ ملی؛ شماره نسخه: ۱۹۶۱۲</w:t>
      </w:r>
    </w:p>
    <w:p>
      <w:pPr>
        <w:pStyle w:val="BookText"/>
      </w:pPr>
      <w:r>
        <w:rPr>
          <w:rFonts w:ascii="IRNazanin" w:hAnsi="IRNazanin" w:eastAsia="IRNazanin" w:cs="IRNazanin"/>
          <w:lang w:bidi="fa-IR"/>
          <w:color w:val="111111"/>
          <w:sz w:val="28"/>
          <w:szCs w:val="28"/>
          <w:rtl/>
        </w:rPr>
        <w:t xml:space="preserve">جنگ اشعار است؛ بی کا، بی تا؛ خریداری از محمد حسین علوی[ رایانه ]</w:t>
      </w:r>
    </w:p>
    <w:p>
      <w:pPr>
        <w:pStyle w:val="BookText"/>
      </w:pPr>
      <w:r>
        <w:rPr>
          <w:rFonts w:ascii="IRNazanin" w:hAnsi="IRNazanin" w:eastAsia="IRNazanin" w:cs="IRNazanin"/>
          <w:lang w:bidi="fa-IR"/>
          <w:color w:val="111111"/>
          <w:sz w:val="28"/>
          <w:szCs w:val="28"/>
          <w:rtl/>
        </w:rPr>
        <w:t xml:space="preserve">۲۲۹۶. یزد؛ وزیری؛ شماره نسخه: ۴۴۱۰</w:t>
      </w:r>
    </w:p>
    <w:p>
      <w:pPr>
        <w:pStyle w:val="BookText"/>
      </w:pPr>
      <w:r>
        <w:rPr>
          <w:rFonts w:ascii="IRNazanin" w:hAnsi="IRNazanin" w:eastAsia="IRNazanin" w:cs="IRNazanin"/>
          <w:lang w:bidi="fa-IR"/>
          <w:color w:val="111111"/>
          <w:sz w:val="28"/>
          <w:szCs w:val="28"/>
          <w:rtl/>
        </w:rPr>
        <w:t xml:space="preserve">جنگ اشعار است؛ بی کا، بی تا [نشریه: ۱۳ - ۳۹۹]</w:t>
      </w:r>
    </w:p>
    <w:p>
      <w:pPr>
        <w:pStyle w:val="BookText"/>
      </w:pPr>
      <w:r>
        <w:rPr>
          <w:rFonts w:ascii="IRNazanin" w:hAnsi="IRNazanin" w:eastAsia="IRNazanin" w:cs="IRNazanin"/>
          <w:lang w:bidi="fa-IR"/>
          <w:color w:val="111111"/>
          <w:sz w:val="28"/>
          <w:szCs w:val="28"/>
          <w:rtl/>
        </w:rPr>
        <w:t xml:space="preserve">۲۲۹۷ . قم؛ گلپایگانی؛ شماره نسخه: ۵۳۸۸-۲۷/۵۸</w:t>
      </w:r>
    </w:p>
    <w:p>
      <w:pPr>
        <w:pStyle w:val="BookText"/>
      </w:pPr>
      <w:r>
        <w:rPr>
          <w:rFonts w:ascii="IRNazanin" w:hAnsi="IRNazanin" w:eastAsia="IRNazanin" w:cs="IRNazanin"/>
          <w:lang w:bidi="fa-IR"/>
          <w:color w:val="111111"/>
          <w:sz w:val="28"/>
          <w:szCs w:val="28"/>
          <w:rtl/>
        </w:rPr>
        <w:t xml:space="preserve">آغاز: بسمله خدایا خدایا ما را بآيات قهرت اشارتها کردی که زتیغ شاه و که زابروی یار و بآثار مهرت بشارتها دادی که زرای شاه و که از روی یا مراث ذات تو بود؛ انجام: الا تا بمضمون الليل حبلى *** تولد کند مهر از صبح كاذب/ عدوی تو بادا چو ابلیس مطعون *** باجماع ادیان وكل مذاهب جنگی است تنظیم شده در سده سیزدهم هجری از اشعار شاعران پارسی گوی خصوصاً سخن سرایان یزد نام شاعرانی که شعرشان در این جنگ آمده عبارتند از: منشآت ميرزا عبدالوهاب نشاط اصفهانی (۱۲ برگ)، اشعاری از: صباحی کاشی، قصیده هراس ومماس عرفی شیرازی، عبدالرحیم یزدی متخلص به قضائی، هاتف، رشحه اصفهانی، عبدالوهاب یزدی متخلص به طراز، آذر بیدگلی ،اهلی ،طاهر، میرزا محمد علی وامق، انوری ابیوردی اختر، ابوالعلی گنجوی در هجو خاقانی، آگهی یزدی، سنایی، ابن یمین، هلالی جغتایی، بدرالدین حاجی نشاط جمال الدین اصفهانی، محمد جعفر بيك ولد حیدرخان شانی تکلوه؛ خط: نستعلیق، بی کا، بی تا؛ جلد: تیماج سرخ، ۱۲۰گ، ۱۲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۳ - ۱۲۳۵]</w:t>
      </w:r>
    </w:p>
    <w:p>
      <w:pPr>
        <w:pStyle w:val="BookText"/>
      </w:pPr>
      <w:r>
        <w:rPr>
          <w:rFonts w:ascii="IRNazanin" w:hAnsi="IRNazanin" w:eastAsia="IRNazanin" w:cs="IRNazanin"/>
          <w:lang w:bidi="fa-IR"/>
          <w:color w:val="111111"/>
          <w:sz w:val="28"/>
          <w:szCs w:val="28"/>
          <w:rtl/>
        </w:rPr>
        <w:t xml:space="preserve">۲۲۹۸ .قم؛ گلپایگانی؛ شماره نسخه: ۱۹۸۷-۱۱/۸۷</w:t>
      </w:r>
    </w:p>
    <w:p>
      <w:pPr>
        <w:pStyle w:val="BookText"/>
      </w:pPr>
      <w:r>
        <w:rPr>
          <w:rFonts w:ascii="IRNazanin" w:hAnsi="IRNazanin" w:eastAsia="IRNazanin" w:cs="IRNazanin"/>
          <w:lang w:bidi="fa-IR"/>
          <w:color w:val="111111"/>
          <w:sz w:val="28"/>
          <w:szCs w:val="28"/>
          <w:rtl/>
        </w:rPr>
        <w:t xml:space="preserve">آغاز: دوشم ندا رسید از درگاه کبریا *** کای بنده عجز گیر بهتر ازین عجز باریا / خوانی مرا خبیر خلاف تو آشکار *** وافی مرا بصير خطای تو بر ملا؛ انجام: الا و منطقنا قاصر من التفصيل *** لذا اختصرت بذكر الله على الاجمال</w:t>
      </w:r>
    </w:p>
    <w:p>
      <w:pPr>
        <w:pStyle w:val="BookText"/>
      </w:pPr>
      <w:r>
        <w:rPr>
          <w:rFonts w:ascii="IRNazanin" w:hAnsi="IRNazanin" w:eastAsia="IRNazanin" w:cs="IRNazanin"/>
          <w:lang w:bidi="fa-IR"/>
          <w:color w:val="111111"/>
          <w:sz w:val="28"/>
          <w:szCs w:val="28"/>
          <w:rtl/>
        </w:rPr>
        <w:t xml:space="preserve">جنگی است که مسوده شاعری بوده و او اشعاری را از خود و دیگران در آن تحریر نموده است. شاعر در اسفراین سکونت داشته و در این جنگ اشعاری را از شاعران آن دیار درج نموده
</w:t>
      </w:r>
    </w:p>
    <w:p>
      <w:pPr>
        <w:sectPr>
          <w:footerReference w:type="default" r:id="rId9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اسامی شاعرانی که اشعارشان در این جنگ آمده عبارتند از: حبیب، سالک که در جایی قطعه ای به زبان روین سروده است، شایق درویشی که یکی از غزلیاتش را در سال ۱۳۱۱ تحـریر شده است، یزدان قلی خان متخلص به عاشق، میرزا آقا جان مستوفی، قصیده گلشنید در مدح گل محمد خان، عارف، رباعیات خیام، اغلب قطعات و قصاید و غزلیات این جنگ از شایق و سالک و عارف است که گویا همه اسفرائنی بوده اند، همچنین در آن تاریخ تعمیر عمارت امام زاده اسحاق در سال ۱۲۷۴ به نظر ذکر گردیده، و قصیده ای در جلوی میرزا عبدالجـواد حسینی به مسند قضاوت و قصیده ای در وصف اسفرائین درج شده است، این جنگ بین سال های ۱۲۷۰ - ۱۳۱۵ق تحریر شـده است؛ خط: نستعلیق و تحریری، کا: به خط چند شاعر، تا: 1315- ۱۲۷۰ ق، جلد: مقوا با نقش گل های صورتی عطف پارچه، ۲۰۶گ، مختلف السطر،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۲۴سم [ف: ۳ - ۱۲۳۵]</w:t>
      </w:r>
    </w:p>
    <w:p>
      <w:pPr>
        <w:pStyle w:val="BookText"/>
      </w:pPr>
      <w:r>
        <w:rPr>
          <w:rFonts w:ascii="IRNazanin" w:hAnsi="IRNazanin" w:eastAsia="IRNazanin" w:cs="IRNazanin"/>
          <w:lang w:bidi="fa-IR"/>
          <w:color w:val="111111"/>
          <w:sz w:val="28"/>
          <w:szCs w:val="28"/>
          <w:rtl/>
        </w:rPr>
        <w:t xml:space="preserve">2299 . تبریز؛ ثقة الاسلام؛ شماره نسخه: بدون شماره</w:t>
      </w:r>
    </w:p>
    <w:p>
      <w:pPr>
        <w:pStyle w:val="BookText"/>
      </w:pPr>
      <w:r>
        <w:rPr>
          <w:rFonts w:ascii="IRNazanin" w:hAnsi="IRNazanin" w:eastAsia="IRNazanin" w:cs="IRNazanin"/>
          <w:lang w:bidi="fa-IR"/>
          <w:color w:val="111111"/>
          <w:sz w:val="28"/>
          <w:szCs w:val="28"/>
          <w:rtl/>
        </w:rPr>
        <w:t xml:space="preserve">جنگ اشعار فارسی بیشترش در مرثیه است؛ بی کا، بی تا [نشریه: 7- 533]</w:t>
      </w:r>
    </w:p>
    <w:p>
      <w:pPr>
        <w:pStyle w:val="BookText"/>
      </w:pPr>
      <w:r>
        <w:rPr>
          <w:rFonts w:ascii="IRNazanin" w:hAnsi="IRNazanin" w:eastAsia="IRNazanin" w:cs="IRNazanin"/>
          <w:lang w:bidi="fa-IR"/>
          <w:color w:val="111111"/>
          <w:sz w:val="28"/>
          <w:szCs w:val="28"/>
          <w:rtl/>
        </w:rPr>
        <w:t xml:space="preserve">۲۳۰۰. یزد؛ وزیری؛ شماره نسخه: ۲۴۰۴</w:t>
      </w:r>
    </w:p>
    <w:p>
      <w:pPr>
        <w:pStyle w:val="BookText"/>
      </w:pPr>
      <w:r>
        <w:rPr>
          <w:rFonts w:ascii="IRNazanin" w:hAnsi="IRNazanin" w:eastAsia="IRNazanin" w:cs="IRNazanin"/>
          <w:lang w:bidi="fa-IR"/>
          <w:color w:val="111111"/>
          <w:sz w:val="28"/>
          <w:szCs w:val="28"/>
          <w:rtl/>
        </w:rPr>
        <w:t xml:space="preserve">آغاز: ای ز روی انورت نور هدایت آشکار *** وی ز رای روشنت شرع پیمبر پایدار؛ انجام: آن صاحب فطرت و همت آن كان جود و سخاوت انما.</w:t>
      </w:r>
    </w:p>
    <w:p>
      <w:pPr>
        <w:pStyle w:val="BookText"/>
      </w:pPr>
      <w:r>
        <w:rPr>
          <w:rFonts w:ascii="IRNazanin" w:hAnsi="IRNazanin" w:eastAsia="IRNazanin" w:cs="IRNazanin"/>
          <w:lang w:bidi="fa-IR"/>
          <w:color w:val="111111"/>
          <w:sz w:val="28"/>
          <w:szCs w:val="28"/>
          <w:rtl/>
        </w:rPr>
        <w:t xml:space="preserve">مشتمل بر بعضی اشعار لطف الله نیشابوری غلامعلی یزدی، طاهر، نقيب الممالک شیرازی، صبا کاشانی و میرزا مشتری، سلمان ساوجی وحشی بافقی ،مظهر، سر خوش ؛خط: نستعلیق، بی کا، بی تا؛ افتادگی: انجام؛ اهدایی: وزیری موسس؛ کاغذ: فرنگـی، جلد: مقوایی با تیماج قرمز، ۲۱۱گ، مختلف السطر، 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۴ - ۱۲۸۱]</w:t>
      </w:r>
    </w:p>
    <w:p>
      <w:pPr>
        <w:pStyle w:val="BookText"/>
      </w:pPr>
      <w:r>
        <w:rPr>
          <w:rFonts w:ascii="IRNazanin" w:hAnsi="IRNazanin" w:eastAsia="IRNazanin" w:cs="IRNazanin"/>
          <w:lang w:bidi="fa-IR"/>
          <w:color w:val="111111"/>
          <w:sz w:val="28"/>
          <w:szCs w:val="28"/>
          <w:rtl/>
        </w:rPr>
        <w:t xml:space="preserve">۲۳۰۱. قم؛ گلپایگانی؛ شماره نسخه: ۲۸۶۰/۱-۱۵/۱۰۰</w:t>
      </w:r>
    </w:p>
    <w:p>
      <w:pPr>
        <w:pStyle w:val="BookText"/>
      </w:pPr>
      <w:r>
        <w:rPr>
          <w:rFonts w:ascii="IRNazanin" w:hAnsi="IRNazanin" w:eastAsia="IRNazanin" w:cs="IRNazanin"/>
          <w:lang w:bidi="fa-IR"/>
          <w:color w:val="111111"/>
          <w:sz w:val="28"/>
          <w:szCs w:val="28"/>
          <w:rtl/>
        </w:rPr>
        <w:t xml:space="preserve">آغاز: بسمله ای خوشا آغاز غم پرواز عشق *** ای خوشا انجام به ز آغاز عشق؛ انجام: اگر بمیرد باشد بهشت را بان *** وگر بماند باشد مسیح را خواهر این گزیده شامل قصاید شاعر است در توحید و نعت پیامبر (صلّی اللَّهِ علیه وَ آلِهِ وَ سَلَّمَ ) و امامان که به صورت عرفانی سروده شده است؛ خط: شکسـته نستعلیق، بی کا، بی تا ؛جلد: مقوا با روکش  آبی، عطف تیماج قهوه ای، ۱۲گ، ۱۴ سطر، اندازه: ۱۴</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۲۳سم [ف: ۴ - ۱۸۵۹]</w:t>
      </w:r>
    </w:p>
    <w:p>
      <w:pPr>
        <w:pStyle w:val="BookText"/>
      </w:pPr>
      <w:r>
        <w:rPr>
          <w:rFonts w:ascii="IRNazanin" w:hAnsi="IRNazanin" w:eastAsia="IRNazanin" w:cs="IRNazanin"/>
          <w:lang w:bidi="fa-IR"/>
          <w:color w:val="111111"/>
          <w:sz w:val="28"/>
          <w:szCs w:val="28"/>
          <w:rtl/>
        </w:rPr>
        <w:t xml:space="preserve">۲۳۰۲ . تهران؛ ملی؛ شماره نسخه: ۲۶۰۶۳</w:t>
      </w:r>
    </w:p>
    <w:p>
      <w:pPr>
        <w:pStyle w:val="BookText"/>
      </w:pPr>
      <w:r>
        <w:rPr>
          <w:rFonts w:ascii="IRNazanin" w:hAnsi="IRNazanin" w:eastAsia="IRNazanin" w:cs="IRNazanin"/>
          <w:lang w:bidi="fa-IR"/>
          <w:color w:val="111111"/>
          <w:sz w:val="28"/>
          <w:szCs w:val="28"/>
          <w:rtl/>
        </w:rPr>
        <w:t xml:space="preserve">بی کا، بی تا؛ خریداری از شهریار علایی معصومه [رایانه]</w:t>
      </w:r>
    </w:p>
    <w:p>
      <w:pPr>
        <w:pStyle w:val="BookText"/>
      </w:pPr>
      <w:r>
        <w:rPr>
          <w:rFonts w:ascii="IRNazanin" w:hAnsi="IRNazanin" w:eastAsia="IRNazanin" w:cs="IRNazanin"/>
          <w:lang w:bidi="fa-IR"/>
          <w:color w:val="111111"/>
          <w:sz w:val="28"/>
          <w:szCs w:val="28"/>
          <w:rtl/>
        </w:rPr>
        <w:t xml:space="preserve">۲۳۰۳ . مشهد؛ الهیات شماره نسخه: ۱۴۸۲۱/۳</w:t>
      </w:r>
    </w:p>
    <w:p>
      <w:pPr>
        <w:pStyle w:val="BookText"/>
      </w:pPr>
      <w:r>
        <w:rPr>
          <w:rFonts w:ascii="IRNazanin" w:hAnsi="IRNazanin" w:eastAsia="IRNazanin" w:cs="IRNazanin"/>
          <w:lang w:bidi="fa-IR"/>
          <w:color w:val="111111"/>
          <w:sz w:val="28"/>
          <w:szCs w:val="28"/>
          <w:rtl/>
        </w:rPr>
        <w:t xml:space="preserve">آغاز: بسمله الحمد الله الأول بلا اولية و الآخر بلا آخرته ... دوست نزدیکتر از من بمن است</w:t>
      </w:r>
    </w:p>
    <w:p>
      <w:pPr>
        <w:pStyle w:val="BookText"/>
      </w:pPr>
      <w:r>
        <w:rPr>
          <w:rFonts w:ascii="IRNazanin" w:hAnsi="IRNazanin" w:eastAsia="IRNazanin" w:cs="IRNazanin"/>
          <w:lang w:bidi="fa-IR"/>
          <w:color w:val="111111"/>
          <w:sz w:val="28"/>
          <w:szCs w:val="28"/>
          <w:rtl/>
        </w:rPr>
        <w:t xml:space="preserve">دیوان اشعار در روضه خوانی است گمان می رود «اسرار الشهاده» ملا اسماعیل سرباز بروجردی باشد؛ خط: شکسته، نستعلیق، بی کا، بی تا؛ متن و حاشیه؛ کاغذ: الوان، جلد: تیماج عنابی لایه ا ی، 9گ،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۲ - ۱۲۰]</w:t>
      </w:r>
    </w:p>
    <w:p>
      <w:pPr>
        <w:pStyle w:val="BookText"/>
      </w:pPr>
      <w:r>
        <w:rPr>
          <w:rFonts w:ascii="IRNazanin" w:hAnsi="IRNazanin" w:eastAsia="IRNazanin" w:cs="IRNazanin"/>
          <w:lang w:bidi="fa-IR"/>
          <w:color w:val="111111"/>
          <w:sz w:val="28"/>
          <w:szCs w:val="28"/>
          <w:rtl/>
        </w:rPr>
        <w:t xml:space="preserve">۲۳۰۴ . قم؛ معصومیه؛ شماره نسخه: ۷۵۹/۳</w:t>
      </w:r>
    </w:p>
    <w:p>
      <w:pPr>
        <w:pStyle w:val="BookText"/>
      </w:pPr>
      <w:r>
        <w:rPr>
          <w:rFonts w:ascii="IRNazanin" w:hAnsi="IRNazanin" w:eastAsia="IRNazanin" w:cs="IRNazanin"/>
          <w:lang w:bidi="fa-IR"/>
          <w:color w:val="111111"/>
          <w:sz w:val="28"/>
          <w:szCs w:val="28"/>
          <w:rtl/>
        </w:rPr>
        <w:t xml:space="preserve">غزلیاتی: صائب، اشرف، مهدی (کاتب مجموعه)، حافظ و چند غزل دیگر؛ خط: نستعلیق، کا: محمد مهدی، بی تا؛ حاشیه ۲۰ر-  آخر [ف: ۲ - ۳۸۷]</w:t>
      </w:r>
    </w:p>
    <w:p>
      <w:pPr>
        <w:pStyle w:val="BookText"/>
      </w:pPr>
      <w:r>
        <w:rPr>
          <w:rFonts w:ascii="IRNazanin" w:hAnsi="IRNazanin" w:eastAsia="IRNazanin" w:cs="IRNazanin"/>
          <w:lang w:bidi="fa-IR"/>
          <w:color w:val="111111"/>
          <w:sz w:val="28"/>
          <w:szCs w:val="28"/>
          <w:rtl/>
        </w:rPr>
        <w:t xml:space="preserve">۲۳۰۵ تهران؛ مجلس؛ شماره نسخه: ۴۳۴</w:t>
      </w:r>
    </w:p>
    <w:p>
      <w:pPr>
        <w:pStyle w:val="BookText"/>
      </w:pPr>
      <w:r>
        <w:rPr>
          <w:rFonts w:ascii="IRNazanin" w:hAnsi="IRNazanin" w:eastAsia="IRNazanin" w:cs="IRNazanin"/>
          <w:lang w:bidi="fa-IR"/>
          <w:color w:val="111111"/>
          <w:sz w:val="28"/>
          <w:szCs w:val="28"/>
          <w:rtl/>
        </w:rPr>
        <w:t xml:space="preserve">آغاز: الا یا ایها الساقي ادل كأساً ونا ولها</w:t>
      </w:r>
    </w:p>
    <w:p>
      <w:pPr>
        <w:pStyle w:val="BookText"/>
      </w:pPr>
      <w:r>
        <w:rPr>
          <w:rFonts w:ascii="IRNazanin" w:hAnsi="IRNazanin" w:eastAsia="IRNazanin" w:cs="IRNazanin"/>
          <w:lang w:bidi="fa-IR"/>
          <w:color w:val="111111"/>
          <w:sz w:val="28"/>
          <w:szCs w:val="28"/>
          <w:rtl/>
        </w:rPr>
        <w:t xml:space="preserve">محتوى غزلیات و مقطعات و مثنویات شعراء، اغلب غزل ها و قطعه ها که در یک وزن بوده متعاقب یکدیگر درج شده. اسامی شعراء این مجموعه: حافظ، معلوم تبریزی، شیخ محمد علی حزین، مقیمای فوجی، ناصر علی پنجابی، ملا هجری، سالک یزدی، وفای خوارزمی، صرفی کشمیری، امیر شاهی، صائب، اعجاز لاهوری، نوید قزوینی، میرزا اظهر پنجابی، طاهری کاشانی، شاه فقیر الله لاهوری، طوسی هروی ،شاپور طهرانی، همایون اسفراینی، زاهد علی خان سخا، حالی شیرازی ،مظهر، مفتون ،غنی، علینقی کمره، کامی ،هلالی ،اهلی، وحید صفاهانی، ضمیری، حضوری دکنی متین کشمیری ،نظیری، قیلان بیک،کله پر هروی، نعمت خان عالی، آهی استرآبادی، یحیی کاشی، میرزا قبولی، هلالی سبزواری، حسن دهلوی، نظیری، احسن صفاهانی، طالبای کلیم، بابا نصیبی گیلانی، وحشی یزدی، شاهی، وصالی بسطامی، روغنی استرآبادی، آصفی، نثاری، محتشم، انیسی ،قزوینی، الهی شیروانی ،فارغی، صالحی، حسامی، حیدر هراتی، طالب آملی ،عابد غجدوانی، ارجمند کشمیری، گویای کشمیری، سلمان سیفی بخاری، فایض گیلانی ،غربت، ملا معنی اصفهانی ،انسی ،فیضی، میر مشتاق صفاهانی، میرزا شاکر دماوندی ،جلالی ،حیرانی، ملا سعیدا، بیگانه نیشابوری، عصمت بخاری ،قزلباش، خان امید، فروغی کابلی، ملا فخری هروی، جرمی ،حضرت ،کاهی ،ساقی، وجهی، امتیاز خان، ریاضی دانش</w:t>
      </w:r>
    </w:p>
    <w:p>
      <w:pPr>
        <w:pStyle w:val="BookText"/>
      </w:pPr>
      <w:r>
        <w:rPr>
          <w:rFonts w:ascii="IRNazanin" w:hAnsi="IRNazanin" w:eastAsia="IRNazanin" w:cs="IRNazanin"/>
          <w:lang w:bidi="fa-IR"/>
          <w:color w:val="111111"/>
          <w:sz w:val="28"/>
          <w:szCs w:val="28"/>
          <w:rtl/>
        </w:rPr>
        <w:t xml:space="preserve">، کمال خجندی ،انسی ،نزاری، قاسم  دیوانه، بابا طاهر علوی، کمال آذری و غیرهم؛ خط: نستعلیق، بی کا، بی تا؛ دارای سرلوح، مجدول و مذهب؛ ۷۱۵گ، ۱۸ سطر، قطع: خشتی،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۲۳سم [ف: ۲ - ۲۵۳]</w:t>
      </w:r>
    </w:p>
    <w:p>
      <w:pPr>
        <w:pStyle w:val="BookText"/>
      </w:pPr>
      <w:r>
        <w:rPr>
          <w:rFonts w:ascii="IRNazanin" w:hAnsi="IRNazanin" w:eastAsia="IRNazanin" w:cs="IRNazanin"/>
          <w:lang w:bidi="fa-IR"/>
          <w:color w:val="111111"/>
          <w:sz w:val="28"/>
          <w:szCs w:val="28"/>
          <w:rtl/>
        </w:rPr>
        <w:t xml:space="preserve">۲۳۰۶ . تهران؛ مجلس؛ شماره نسخه: ۴۴۲/۶</w:t>
      </w:r>
    </w:p>
    <w:p>
      <w:pPr>
        <w:pStyle w:val="BookText"/>
      </w:pPr>
      <w:r>
        <w:rPr>
          <w:rFonts w:ascii="IRNazanin" w:hAnsi="IRNazanin" w:eastAsia="IRNazanin" w:cs="IRNazanin"/>
          <w:lang w:bidi="fa-IR"/>
          <w:color w:val="111111"/>
          <w:sz w:val="28"/>
          <w:szCs w:val="28"/>
          <w:rtl/>
        </w:rPr>
        <w:t xml:space="preserve">اشعار شفائی، امیدی، شافی، سلیم، میر رضی، سحابی، صوفی، میرزا مسعود، ملا نظیری؛ خط: نستعلیق، بی کا، بی تا؛ مجدول؛ كاغذ: الوان، قطع: وزیری،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۲۴سم [ف: ۲ - ۲۵۹]</w:t>
      </w:r>
    </w:p>
    <w:p>
      <w:pPr>
        <w:pStyle w:val="BookText"/>
      </w:pPr>
      <w:r>
        <w:rPr>
          <w:rFonts w:ascii="IRNazanin" w:hAnsi="IRNazanin" w:eastAsia="IRNazanin" w:cs="IRNazanin"/>
          <w:lang w:bidi="fa-IR"/>
          <w:color w:val="111111"/>
          <w:sz w:val="28"/>
          <w:szCs w:val="28"/>
          <w:rtl/>
        </w:rPr>
        <w:t xml:space="preserve">۲۳۰۷. تبریز؛ ملی؛ شماره نسخه: ۳۶۸۱</w:t>
      </w:r>
    </w:p>
    <w:p>
      <w:pPr>
        <w:pStyle w:val="BookText"/>
      </w:pPr>
      <w:r>
        <w:rPr>
          <w:rFonts w:ascii="IRNazanin" w:hAnsi="IRNazanin" w:eastAsia="IRNazanin" w:cs="IRNazanin"/>
          <w:lang w:bidi="fa-IR"/>
          <w:color w:val="111111"/>
          <w:sz w:val="28"/>
          <w:szCs w:val="28"/>
          <w:rtl/>
        </w:rPr>
        <w:t xml:space="preserve">مجموعه اشعار چهار شاعر: کاتبی ،شاهی ،خیالی ،عارفی. هر چهار نفر از شعرای قرن چهارم؛ خط: نستعليق، كا: ظاهرا درويش عبد الله، بی تا؛ مجدول ،مذهب، و دارای سرلوح زیبا و ماهرانه با آب طلا و مینا ؛کاغذ: سمرقندی ،جلد: چرمی سوخته، ۱۲۶ص، ۱۱-۱۳ سطر، 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۱۷/۵سم [ف: ۳ - ۱۲۲۹]</w:t>
      </w:r>
    </w:p>
    <w:p>
      <w:pPr>
        <w:pStyle w:val="BookText"/>
      </w:pPr>
      <w:r>
        <w:rPr>
          <w:rFonts w:ascii="IRNazanin" w:hAnsi="IRNazanin" w:eastAsia="IRNazanin" w:cs="IRNazanin"/>
          <w:lang w:bidi="fa-IR"/>
          <w:color w:val="111111"/>
          <w:sz w:val="28"/>
          <w:szCs w:val="28"/>
          <w:rtl/>
        </w:rPr>
        <w:t xml:space="preserve">۲۳۰۸ تهران؛ سلطنتی؛ شماره نسخه: ۱۸۶۳
</w:t>
      </w:r>
    </w:p>
    <w:p>
      <w:pPr>
        <w:sectPr>
          <w:footerReference w:type="default" r:id="rId9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آغاز: اول دفتر بنام ایزد دانا *** صانع و پروردگار حی توانا؛</w:t>
      </w:r>
    </w:p>
    <w:p>
      <w:pPr>
        <w:pStyle w:val="BookText"/>
      </w:pPr>
      <w:r>
        <w:rPr>
          <w:rFonts w:ascii="IRNazanin" w:hAnsi="IRNazanin" w:eastAsia="IRNazanin" w:cs="IRNazanin"/>
          <w:lang w:bidi="fa-IR"/>
          <w:color w:val="111111"/>
          <w:sz w:val="28"/>
          <w:szCs w:val="28"/>
          <w:rtl/>
        </w:rPr>
        <w:t xml:space="preserve">انجام: مینمایی بمن ابروت که این شمشیر است *** زلف آری به برم کاین زره داود است / سگ احسان سر کوی توام از دل و جان *** که بنعش من پوسیده بدل موجود است. در روز چهارشنبه آخر ماه ذى الحجة الحرام از غزلیات منتخب شـیخ الكمال حرره عبدالله.</w:t>
      </w:r>
    </w:p>
    <w:p>
      <w:pPr>
        <w:pStyle w:val="BookText"/>
      </w:pPr>
      <w:r>
        <w:rPr>
          <w:rFonts w:ascii="IRNazanin" w:hAnsi="IRNazanin" w:eastAsia="IRNazanin" w:cs="IRNazanin"/>
          <w:lang w:bidi="fa-IR"/>
          <w:color w:val="111111"/>
          <w:sz w:val="28"/>
          <w:szCs w:val="28"/>
          <w:rtl/>
        </w:rPr>
        <w:t xml:space="preserve">این نسخه شامل دو بخش است: بخش اول مشتمل است بر منتخبی از قصاید، غزلیات، مقطعات شیخ اجل سعدی شیرازی، بخش دوم منتخبی از غزلیات خواجه حافظ شیرازی و چند غزل از میرزا ابوالحسن مشهور به یغما، وصال شیرازی، حسرت همدانی ،نظیری ،سرباز ،قابل ،مجرم، نواب شاهزاده محمود اسـت که در چهار ستون بطرز مورب کتابت شده؛ خط: شکسته نستعـلیق خوش ،کا: عبدالله، بی تا؛ پشت صفحه  اول: «در سنوات 1282و ۱۳۲۲ به ترتیب از عرض کتابخانه مبارکه گذشته»، مجدول، مذهب، با سرلوح کتیبه ای مذهب مرصع؛ مهر:«ناصر الدين شاه قاجار»؛ كاغذ: فرنگی حاشیه گل و برگ منگنه ای ،جلد: مقوای روکش کاغذ سبز گلدار گوشه و عطف تیماج لاکی گل منگنه اکلیلی، اندرون: کاغذ: سبز، ۱۰۱ ص، ۳۳ بیت در چهار ستون، قطع: رقعی،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۴ - ۱۰۳۲]</w:t>
      </w:r>
    </w:p>
    <w:p>
      <w:pPr>
        <w:pStyle w:val="BookText"/>
      </w:pPr>
      <w:r>
        <w:rPr>
          <w:rFonts w:ascii="IRNazanin" w:hAnsi="IRNazanin" w:eastAsia="IRNazanin" w:cs="IRNazanin"/>
          <w:lang w:bidi="fa-IR"/>
          <w:color w:val="111111"/>
          <w:sz w:val="28"/>
          <w:szCs w:val="28"/>
          <w:rtl/>
        </w:rPr>
        <w:t xml:space="preserve">۲۳۰۹. تهران؛ سلطنتی؛ شماره نسخه: ۵۴۲</w:t>
      </w:r>
    </w:p>
    <w:p>
      <w:pPr>
        <w:pStyle w:val="BookText"/>
      </w:pPr>
      <w:r>
        <w:rPr>
          <w:rFonts w:ascii="IRNazanin" w:hAnsi="IRNazanin" w:eastAsia="IRNazanin" w:cs="IRNazanin"/>
          <w:lang w:bidi="fa-IR"/>
          <w:color w:val="111111"/>
          <w:sz w:val="28"/>
          <w:szCs w:val="28"/>
          <w:rtl/>
        </w:rPr>
        <w:t xml:space="preserve">آغاز: بسم الله الرحمن الرحيم. قصايد عمادی غزنوی: قد قامت القيامه کجا عشق داد باز*** بی عشق صعب تر ز قیامت هزار بار؛</w:t>
      </w:r>
    </w:p>
    <w:p>
      <w:pPr>
        <w:pStyle w:val="BookText"/>
      </w:pPr>
      <w:r>
        <w:rPr>
          <w:rFonts w:ascii="IRNazanin" w:hAnsi="IRNazanin" w:eastAsia="IRNazanin" w:cs="IRNazanin"/>
          <w:lang w:bidi="fa-IR"/>
          <w:color w:val="111111"/>
          <w:sz w:val="28"/>
          <w:szCs w:val="28"/>
          <w:rtl/>
        </w:rPr>
        <w:t xml:space="preserve">انجام: مال که خود نیست و گر نیز هست *** غم چه خوری چونکه برفتت ز دست / تا نشوی برزگر آسا جلال *** غم نخوری در طلب ملک و مال مجموعه اشعار عمادی غزنوی، رودکی، امیر معزی، ملک قمی، حکیم سنائی، عمعق  بخارائی، قاضی شمس الدین طبسی، عبدالواسع جبلی، صفی قلی بیک، اثیر الدین اخسیکتی، مجیر الدین بیلقانی، شرف الدین شفروه، نجیب الدین جربادقانی، ابوالمفاخر رازی، ابوالمعالی نحاس، حکیم اشهری، مجیر جوهری زرگری، بدیع الدین ترکو، عز الدين، مبارکشاه خوری، رکن الدین ابهری، بهاء الدین بغدادی، قوامی مطرزی گنجوی، محمد غفاری تبریزی، ذوالفقار شیرازی، لطف الله نیشابوری، رضی الدین نیشابوری، بدرالدین ساشی، رشیدالدین وطواط، حکیم سوزنی سمرقندی، ظهیر فاریابی، جمال الدین عبدالرزاق، كمال الدين اسمعیل اصفهانی، افضل الدین کرمانی، سراج الدین قمی، مرشد بروجردی، جمال کازرانی، نظیری مشهدی، مادحـی، جلال الدین جعفر فراهانی؛شامل قصیده ،غزل ،مثنوی، رباعی، فرد می باشد؛ خط: شکسته نستعلیق، کا: میرزا احمد خوئی، بی تا؛ كاتب این نسخه چنانکه در ظهر صفحه اول یادداشت شده میـرزا احمد خوئی تشخیص داده شده، قبل از شروع مجموع عه ۱۱ صفـحه در جداول مستطیل شکل بند گلی رنگ نام شعرا و بیت اول یک از آثار آنها را کتابت کرده اند مجدول زرین ؛کاغذ: تـرمه آهار مهره، جلد: تیماج دولائی ابره مشکی سجاف تیماج لاکی منگنه ای ،اندرون تیماج لاکی رنگ، ۳۸۰ص، ۲۱/۵ سطر و ۱۲ مصرع، قطع: بیاضی، اندازه: 14</w:t>
      </w:r>
      <w:r>
        <w:rPr>
          <w:rFonts w:ascii="Times New Roman" w:hAnsi="Times New Roman" w:eastAsia="Times New Roman" w:cs="Times New Roman"/>
          <w:lang w:val="en-US" w:bidi="en-US"/>
          <w:color w:val="111111"/>
          <w:sz w:val="28"/>
          <w:szCs w:val="28"/>
          <w:rtl/>
        </w:rPr>
        <w:t xml:space="preserve">×27/2</w:t>
      </w:r>
      <w:r>
        <w:rPr>
          <w:rFonts w:ascii="IRNazanin" w:hAnsi="IRNazanin" w:eastAsia="IRNazanin" w:cs="IRNazanin"/>
          <w:lang w:bidi="fa-IR"/>
          <w:color w:val="111111"/>
          <w:sz w:val="28"/>
          <w:szCs w:val="28"/>
          <w:rtl/>
        </w:rPr>
        <w:t xml:space="preserve">سم [ف: ۴ - ۱۰۴۲]</w:t>
      </w:r>
    </w:p>
    <w:p>
      <w:pPr>
        <w:pStyle w:val="BookText"/>
      </w:pPr>
      <w:r>
        <w:rPr>
          <w:rFonts w:ascii="IRNazanin" w:hAnsi="IRNazanin" w:eastAsia="IRNazanin" w:cs="IRNazanin"/>
          <w:lang w:bidi="fa-IR"/>
          <w:color w:val="111111"/>
          <w:sz w:val="28"/>
          <w:szCs w:val="28"/>
          <w:rtl/>
        </w:rPr>
        <w:t xml:space="preserve">۲۳۱۰. تهران؛ سلطنتی؛ شماره نسخه: ۵۳۹</w:t>
      </w:r>
    </w:p>
    <w:p>
      <w:pPr>
        <w:pStyle w:val="BookText"/>
      </w:pPr>
      <w:r>
        <w:rPr>
          <w:rFonts w:ascii="IRNazanin" w:hAnsi="IRNazanin" w:eastAsia="IRNazanin" w:cs="IRNazanin"/>
          <w:lang w:bidi="fa-IR"/>
          <w:color w:val="111111"/>
          <w:sz w:val="28"/>
          <w:szCs w:val="28"/>
          <w:rtl/>
        </w:rPr>
        <w:t xml:space="preserve">آغاز: تاجر عشقم بكف مايه و سودم وفا *** تا که شود مشتری تا چه دهد در بها؛ انجام: آنی که بهیچکس تو چیزی ندهی *** صد چوب مغول خوری مویزی ندهی / سنگی که از آن روغن کنجد گیرند *** که بر شکمت نهند تیزی ندهی</w:t>
      </w:r>
    </w:p>
    <w:p>
      <w:pPr>
        <w:pStyle w:val="BookText"/>
      </w:pPr>
      <w:r>
        <w:rPr>
          <w:rFonts w:ascii="IRNazanin" w:hAnsi="IRNazanin" w:eastAsia="IRNazanin" w:cs="IRNazanin"/>
          <w:lang w:bidi="fa-IR"/>
          <w:color w:val="111111"/>
          <w:sz w:val="28"/>
          <w:szCs w:val="28"/>
          <w:rtl/>
        </w:rPr>
        <w:t xml:space="preserve">منتخباتی است از مقطعات ،غزلیات، رباعیات بسیار از شعرای متقدم و متاخر که به علت جلوگیری از اطناب کلام از ذکر نام همگی آنها خودداری و برای نمونه نام چند نفر در بخش (اسم کتاب) یادآوری شده: عاشق  اصفهانی، خاقانی شیروانی، شاهپور طهرانی، شاه طاهر انجدانی، صیدی طهرانی، حاتم کاشی، میر حضوری قمی، صبوحی، رفیق اصفهانی و چند تن دیگر از شعرای متقدم و متاخر؛ خط: شکسته نستعلیق عالی، بی کا، بی تا؛ پشت صفحه اول یادداشتی است به این شرح «هو با وجود تهیدستی بمبلغ گزافی خریده شد یک دو روزی بعاریت با ماست سلطان حسين تحريرا في رمضان ۱۲۶۸»، سپس به تاریخ محرم الحرام قوی ئیل ۱۳۰۱ به توسط آقا بهرام مقرب الخاقان داخل کتابخانه مبارکه موزه شده است، و در سال ۱۳۲۲ از عرض سجع مهر «مشير السلطنه»، مجدول کمند، مذهب مرصع ممتاز؛ كاغذ: ترمه، جلد: مقوای روغنی بوم زرد رنگ منقش به گل و برگ های الوان حاشيه بوم عناب ریسه گل الوان، ۴۵۲ص، ۱۷ سطر، قطع: وزیری اندازه: 14/2</w:t>
      </w:r>
      <w:r>
        <w:rPr>
          <w:rFonts w:ascii="Times New Roman" w:hAnsi="Times New Roman" w:eastAsia="Times New Roman" w:cs="Times New Roman"/>
          <w:lang w:val="en-US" w:bidi="en-US"/>
          <w:color w:val="111111"/>
          <w:sz w:val="28"/>
          <w:szCs w:val="28"/>
          <w:rtl/>
        </w:rPr>
        <w:t xml:space="preserve">×24/4 </w:t>
      </w:r>
      <w:r>
        <w:rPr>
          <w:rFonts w:ascii="IRNazanin" w:hAnsi="IRNazanin" w:eastAsia="IRNazanin" w:cs="IRNazanin"/>
          <w:lang w:bidi="fa-IR"/>
          <w:color w:val="111111"/>
          <w:sz w:val="28"/>
          <w:szCs w:val="28"/>
          <w:rtl/>
        </w:rPr>
        <w:t xml:space="preserve">سم [ف: ۴ - ۱۱۰۲]</w:t>
      </w:r>
    </w:p>
    <w:p>
      <w:pPr>
        <w:pStyle w:val="BookText"/>
      </w:pPr>
      <w:r>
        <w:rPr>
          <w:rFonts w:ascii="Times New Roman" w:hAnsi="Times New Roman" w:eastAsia="Times New Roman" w:cs="Times New Roman"/>
          <w:lang w:val="en-US" w:bidi="en-US"/>
          <w:color w:val="111111"/>
          <w:sz w:val="28"/>
          <w:szCs w:val="28"/>
          <w:rtl/>
        </w:rPr>
        <w:t xml:space="preserve">2311.</w:t>
      </w:r>
    </w:p>
    <w:p>
      <w:pPr>
        <w:pStyle w:val="BookText"/>
      </w:pPr>
      <w:r>
        <w:rPr>
          <w:rFonts w:ascii="IRNazanin" w:hAnsi="IRNazanin" w:eastAsia="IRNazanin" w:cs="IRNazanin"/>
          <w:lang w:bidi="fa-IR"/>
          <w:color w:val="111111"/>
          <w:sz w:val="28"/>
          <w:szCs w:val="28"/>
          <w:rtl/>
        </w:rPr>
        <w:t xml:space="preserve">تهران؛ سلطنتی؛ شماره نسخه: ۵۳۸</w:t>
      </w:r>
    </w:p>
    <w:p>
      <w:pPr>
        <w:pStyle w:val="BookText"/>
      </w:pPr>
      <w:r>
        <w:rPr>
          <w:rFonts w:ascii="IRNazanin" w:hAnsi="IRNazanin" w:eastAsia="IRNazanin" w:cs="IRNazanin"/>
          <w:lang w:bidi="fa-IR"/>
          <w:color w:val="111111"/>
          <w:sz w:val="28"/>
          <w:szCs w:val="28"/>
          <w:rtl/>
        </w:rPr>
        <w:t xml:space="preserve">آغاز: ای قاعده تازه ز دست تو کرم را *** وی مرتبه نو ز بیان تو قلم را / از سحر بیان تو و اعجاز کف تست *** کردست گذاریست قلم را و کرم را؛ انجام: چه با هم نشنیده دارید صحبت *** بجائی که نه نیک و نه بد / ز ما یاد آرید ای وصلتان خوش *** ز ما یاد آرید ای هجرتان بد</w:t>
      </w:r>
    </w:p>
    <w:p>
      <w:pPr>
        <w:pStyle w:val="BookText"/>
      </w:pPr>
      <w:r>
        <w:rPr>
          <w:rFonts w:ascii="IRNazanin" w:hAnsi="IRNazanin" w:eastAsia="IRNazanin" w:cs="IRNazanin"/>
          <w:lang w:bidi="fa-IR"/>
          <w:color w:val="111111"/>
          <w:sz w:val="28"/>
          <w:szCs w:val="28"/>
          <w:rtl/>
        </w:rPr>
        <w:t xml:space="preserve">اشعاری از: انوری ابیوردی، ابوالفرج ،رونی، نظیری ،عرفی، سیف اسفراینی، عصمت بخارائی ،حکیم سنائی، رشید وطواط، شعله اصفهانی، ابوالعلای گنجه ،عنصری، عبدالواسع جبلی، جمال الدين عبدالرزاق، ظهیر فاریابی، شیخ سعدی، حسن دهلوی، مشتاق اصفهانی ،طوفان، عاشق اصفهانی، بدخش بدخشانی، آذر بیکدلی، شمس الدین طوسی، سلمان ساوجی، میلی ترک، امیدی طهرانی، بنائی هروی، خاقانی شروانی، اثیر اخسیکتی، عشقی سمرقندی، سید ذوالفقار، فرخی سیستانی، کمال اسماعیل، ادیب صابر، عمعق بخارائی، حکیم قطران، حکیم سوزنی، مجد همگر، وحشی بافقی، فردوسی طوسی،شمس الدين قمی، حالتی ترکمان، جمال سبزواری، آذر شاملو، صهبای قمی، هاتف اصفهانی، خواجه حافظ شیرازی، اشرف مازندرانی؛ این مجموعه از قصاید ،مقطعات ،غزلیات، رباعیات انتخاب شده به ترتیب
</w:t>
      </w:r>
    </w:p>
    <w:p>
      <w:pPr>
        <w:sectPr>
          <w:footerReference w:type="default" r:id="rId9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حروف تهجی در قوافی از شعرای متقدمین تا شعرای قرن دوازدهم که نام معدودی از آنها ذکر شده است؛ خط: نستعـلیق شکسته، بی کا، بی تا؛ نام کاتب نسخه معلوم نیست ولی صدیق الملک در ضمن یادداشتی که به صفحه اول كتاب الصاق كـرده می نویسد خط از شفیعاست؛ مجدول، دارای سرلوح مذهب مرصع مزدوج بسیار خوب، با دو سرفصل مذهب؛ مهر:کتابخانه دولت علیه ایران ۱۳۲۹؛ کاغذ ،ترمه، جلد: مقوای ابره چرم ساغری مشکی وسط ترنج دو سر ترنج و یک حاشیه منگنه ای مذهـب، اندرون: تیماج عنابی، ۲۹۱ ص، ۱۵ سطر، قطع: ربعی، اندازه: 13/2</w:t>
      </w:r>
      <w:r>
        <w:rPr>
          <w:rFonts w:ascii="Times New Roman" w:hAnsi="Times New Roman" w:eastAsia="Times New Roman" w:cs="Times New Roman"/>
          <w:lang w:val="en-US" w:bidi="en-US"/>
          <w:color w:val="111111"/>
          <w:sz w:val="28"/>
          <w:szCs w:val="28"/>
          <w:rtl/>
        </w:rPr>
        <w:t xml:space="preserve">×22/1 </w:t>
      </w:r>
      <w:r>
        <w:rPr>
          <w:rFonts w:ascii="IRNazanin" w:hAnsi="IRNazanin" w:eastAsia="IRNazanin" w:cs="IRNazanin"/>
          <w:lang w:bidi="fa-IR"/>
          <w:color w:val="111111"/>
          <w:sz w:val="28"/>
          <w:szCs w:val="28"/>
          <w:rtl/>
        </w:rPr>
        <w:t xml:space="preserve">سم [ف: ۴ - ۱۱۰۴]</w:t>
      </w:r>
    </w:p>
    <w:p>
      <w:pPr>
        <w:pStyle w:val="BookText"/>
      </w:pPr>
      <w:r>
        <w:rPr>
          <w:rFonts w:ascii="IRNazanin" w:hAnsi="IRNazanin" w:eastAsia="IRNazanin" w:cs="IRNazanin"/>
          <w:lang w:bidi="fa-IR"/>
          <w:color w:val="111111"/>
          <w:sz w:val="28"/>
          <w:szCs w:val="28"/>
          <w:rtl/>
        </w:rPr>
        <w:t xml:space="preserve">۲۳۱۲. تهران؛ سلطنتی؛ شماره نسخه: ۵۳۷</w:t>
      </w:r>
    </w:p>
    <w:p>
      <w:pPr>
        <w:pStyle w:val="BookText"/>
      </w:pPr>
      <w:r>
        <w:rPr>
          <w:rFonts w:ascii="IRNazanin" w:hAnsi="IRNazanin" w:eastAsia="IRNazanin" w:cs="IRNazanin"/>
          <w:lang w:bidi="fa-IR"/>
          <w:color w:val="111111"/>
          <w:sz w:val="28"/>
          <w:szCs w:val="28"/>
          <w:rtl/>
        </w:rPr>
        <w:t xml:space="preserve">آغاز: دیوان دست غیب: بیتاب دلم گزید پندی *** افتاد چو تاب در کمندی. دیوان ابوتراب: دگر ز لاله نو رسته کوه فصل بهار*** چو مادریست که فرزند پرورد کنار. قطعه صادقی کتابدار: آنکه از چکیده طبع سلیم خویش*** هر لحظه گوش بهر سخن را کران کنی؛ انجام: از بسکه گرفت خاطرت از عاشق آموخت از و گرفتگی سینه تو. عبدالرشید. دیوان ابوتراب بیک فرقتی انجدانی:هر که کرم رابحمایت کشد *** آخر کارش بولایت کشد. قطع: صادقی کتابدار: نسبت باسم لفظ ترابی خوشست لیک *** دانم که از تلاقی شرکت زیان کنی .نسخه: صد آفرین که نخل بنام تو ختم شد *** دون همتی بطاق بلندی نهاده</w:t>
      </w:r>
    </w:p>
    <w:p>
      <w:pPr>
        <w:pStyle w:val="BookText"/>
      </w:pPr>
      <w:r>
        <w:rPr>
          <w:rFonts w:ascii="IRNazanin" w:hAnsi="IRNazanin" w:eastAsia="IRNazanin" w:cs="IRNazanin"/>
          <w:lang w:bidi="fa-IR"/>
          <w:color w:val="111111"/>
          <w:sz w:val="28"/>
          <w:szCs w:val="28"/>
          <w:rtl/>
        </w:rPr>
        <w:t xml:space="preserve">مجموعه اشعار دست غیب شیرازی، ابوتراب بک فرقتی انجدانی جوشقانی، صادقی بیک افشار، قسمت اول نسخه منتخب دیوان نظام دست غیب شیرازی است، قسمت دوم منتخب دیوان ابوتراب بیک فرقتی انجدانی جوشقانی است و از صفحه 100 اشعار صادقی کتابدار است که در جواب قطعه ابوتراب بیک مـبنی بر انتخاب تخلص گفته است و قطعه صفحه ۱۰۲ جوابی است که ابوتراب بیک به صادقی بیک فرستاده است؛ خط: نستعلیق عالی، کا: عبدالرشید، بی تا ؛مجدول، دارای سر فصل مذهب مرصع خوب، پشت صفحه اول نوشته شده است: «مطابق ثبت کتابـچه کتابخانه مبارکه است آوریل ۱۲۸۲»؛ مهر: «حسین بن هدایت الله، محمد رضا الحسيني»، «مشیر السلطنه ۱۳۲۲»، «ناصر الدین شاه قاجار»۱۲۷۴ ؛کاغذ: اصفهانی قطعه متن زر افشان ،جلد: مقوای ابره میشن سورمه ای حاشیه مذهب، اندرون جلد: کاغذ سرنجی رنگ ساده، ۱۱۲ص، بین ۱۲-۱۱-۹ سطر، قطع: وزیری، اندازه: ۱۵/۸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۲۶/۶سم [ف: ۴ - ۱۱۰۷]</w:t>
      </w:r>
    </w:p>
    <w:p>
      <w:pPr>
        <w:pStyle w:val="BookText"/>
      </w:pPr>
      <w:r>
        <w:rPr>
          <w:rFonts w:ascii="IRNazanin" w:hAnsi="IRNazanin" w:eastAsia="IRNazanin" w:cs="IRNazanin"/>
          <w:lang w:bidi="fa-IR"/>
          <w:color w:val="111111"/>
          <w:sz w:val="28"/>
          <w:szCs w:val="28"/>
          <w:rtl/>
        </w:rPr>
        <w:t xml:space="preserve">۲۳۱۳. تهران؛ سلطنتی؛ شماره نسخه: ۵۳۶</w:t>
      </w:r>
    </w:p>
    <w:p>
      <w:pPr>
        <w:pStyle w:val="BookText"/>
      </w:pPr>
      <w:r>
        <w:rPr>
          <w:rFonts w:ascii="IRNazanin" w:hAnsi="IRNazanin" w:eastAsia="IRNazanin" w:cs="IRNazanin"/>
          <w:lang w:bidi="fa-IR"/>
          <w:color w:val="111111"/>
          <w:sz w:val="28"/>
          <w:szCs w:val="28"/>
          <w:rtl/>
        </w:rPr>
        <w:t xml:space="preserve">اشعار از: شهیدی، لسانی ،نظامی ،سعدی، امیر خسرو دهلوی، بابا فغانی؛ منتخبی از غزلیات ،مثنویات، رباعیات و قصاید؛ خـط: نستعلیق متوسط، بی کا، بی تا؛ دارای غزلیات سعدی و امیر خسـرودهلوی مرتب به حروف قوافی، دارای دو مجلس مینیاتور آب و رنگ از مضمون غزلی از سعدی به مطلع: «خوش می رود آن پسر که برخاست»، دیگری به مضمون غزلی از بابا فغانی به مطلع:«فغانی عشق صيد لاغر و فربه ...»، تصویر شکارگاه که هر دو</w:t>
      </w:r>
    </w:p>
    <w:p>
      <w:pPr>
        <w:pStyle w:val="BookText"/>
      </w:pPr>
      <w:r>
        <w:rPr>
          <w:rFonts w:ascii="IRNazanin" w:hAnsi="IRNazanin" w:eastAsia="IRNazanin" w:cs="IRNazanin"/>
          <w:lang w:bidi="fa-IR"/>
          <w:color w:val="111111"/>
          <w:sz w:val="28"/>
          <w:szCs w:val="28"/>
          <w:rtl/>
        </w:rPr>
        <w:t xml:space="preserve">نقش بسیار خوب و سبک کار هرات است، پشت صفحه اول: «به سال ۱۲۸۲و ۱۳۲۲ از عرض کتابخانه مبارکه گذشته»، و ،مجدول ،مذهب، با سرلوح مذهب مرصع مزدوج بسیار خوب، چهار سر فصل مذهب؛ مهر: ناصرالدین شاه قاجار ۱۲۷۴؛ کاغذ: بخارائی متن زر افشان، جلد: مقوای روکش تیماج سورمه ای وسط ترنج و دو سرترنج چهار لچک منگنه ای، اندرون: کاغذ: صورتی، ۳۲۲ ص ۱۲ سطر، قطع: رقعی،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۲۱/۹سم [ف:4- 1110]</w:t>
      </w:r>
    </w:p>
    <w:p>
      <w:pPr>
        <w:pStyle w:val="BookText"/>
      </w:pPr>
      <w:r>
        <w:rPr>
          <w:rFonts w:ascii="IRNazanin" w:hAnsi="IRNazanin" w:eastAsia="IRNazanin" w:cs="IRNazanin"/>
          <w:lang w:bidi="fa-IR"/>
          <w:color w:val="111111"/>
          <w:sz w:val="28"/>
          <w:szCs w:val="28"/>
          <w:rtl/>
        </w:rPr>
        <w:t xml:space="preserve">2314.تهران؛ ملی؛ شماره نسخه: ۲۶۰۹۲</w:t>
      </w:r>
    </w:p>
    <w:p>
      <w:pPr>
        <w:pStyle w:val="BookText"/>
      </w:pPr>
      <w:r>
        <w:rPr>
          <w:rFonts w:ascii="IRNazanin" w:hAnsi="IRNazanin" w:eastAsia="IRNazanin" w:cs="IRNazanin"/>
          <w:lang w:bidi="fa-IR"/>
          <w:color w:val="111111"/>
          <w:sz w:val="28"/>
          <w:szCs w:val="28"/>
          <w:rtl/>
        </w:rPr>
        <w:t xml:space="preserve">بی کا، بی تا؛ خریداری از عباس محسنی [رایانه]</w:t>
      </w:r>
    </w:p>
    <w:p>
      <w:pPr>
        <w:pStyle w:val="BookText"/>
      </w:pPr>
      <w:r>
        <w:rPr>
          <w:rFonts w:ascii="IRNazanin" w:hAnsi="IRNazanin" w:eastAsia="IRNazanin" w:cs="IRNazanin"/>
          <w:lang w:bidi="fa-IR"/>
          <w:color w:val="111111"/>
          <w:sz w:val="28"/>
          <w:szCs w:val="28"/>
          <w:rtl/>
        </w:rPr>
        <w:t xml:space="preserve">۲۳۱۵. تهران؛ سلطنتی؛ شماره نسخه: ۵۲۱</w:t>
      </w:r>
    </w:p>
    <w:p>
      <w:pPr>
        <w:pStyle w:val="BookText"/>
      </w:pPr>
      <w:r>
        <w:rPr>
          <w:rFonts w:ascii="IRNazanin" w:hAnsi="IRNazanin" w:eastAsia="IRNazanin" w:cs="IRNazanin"/>
          <w:lang w:bidi="fa-IR"/>
          <w:color w:val="111111"/>
          <w:sz w:val="28"/>
          <w:szCs w:val="28"/>
          <w:rtl/>
        </w:rPr>
        <w:t xml:space="preserve">آغاز: بسمله. الحمد الله الكريم المنعم *** المبدع المفضل (محو شده است)/ من ابدع الانس و قد كرمهم *** و علم الانسان ما لم يعلم؛ انجام: ذوقی چنان ندارد بی دوست زندگانی *** دردم بسر دواند زین آتش نهانی</w:t>
      </w:r>
    </w:p>
    <w:p>
      <w:pPr>
        <w:pStyle w:val="BookText"/>
      </w:pPr>
      <w:r>
        <w:rPr>
          <w:rFonts w:ascii="IRNazanin" w:hAnsi="IRNazanin" w:eastAsia="IRNazanin" w:cs="IRNazanin"/>
          <w:lang w:bidi="fa-IR"/>
          <w:color w:val="111111"/>
          <w:sz w:val="28"/>
          <w:szCs w:val="28"/>
          <w:rtl/>
        </w:rPr>
        <w:t xml:space="preserve">جامع و مؤلف اشعار در مقدمه نسخه ذکر کرده که این نسخه را در ۶۴ «باب» و موضوع از اشعار شعرای تازی و فارسی زبان مبوب ساخته از قبیل، کمال اسماعیل ،عراقی، عمادی، خواجو، فرید الدین فارسی ،فردوسی ،نظامی حدیقه الحقيقه سنائی، شیخ سعدی، کمال عبدالرزاق ،اخسیکتی ،انوری، سید جلال مجیر الدین بیلقانی، و چند تن دیگر از شعرای فارسی زبان، و منظومه های عربی از حضرت علی (علیه السّلام)، سید سجاد زين العابدين (علیه السّلام) در توحید و مناجات و چند شاعر دیگر که به زبان عربی سروده اند .این ۶۴ باب در خصوص توحید و تسبیح و مناجات و نعت خاتم الانبياء (صلّی اللَّهِ علیه وَ آلِهِ وَ سَلَّمَ ) به نام های مختلف از جمله، مواعظ النصايح، فى مكارم الاخلاق و رذايلها، في الامثال و الحكم، في حسن التخلص ،فى اظهار المحبت و الولا، فى بيان الكيفيه حال الكاتب وقت الكتابه ... تحت ۵ فایده تنظیم شده است. فایده اول: در مطلع هر بابی از ابواب این کتاب قصاید انتخاب شده از فضلا بفارسی و تازی و سپس  مثنویات، رباعیات و مفردات ذکر گردیده، فایده دوم: مکارم اخلاق و کمال ذات و حسن صفات ممدوح بر سبیل اجمال، فایده سوم: باب مراسلات و مکاتبات در خطاب وجواب، فایده چهارم: باب غزلیات و رباعیات، فایده پنجم: در باب ابیات متفرقه لطیف به طریق تهجی برای مشاعره اشخاص و طالبين. مؤلف این مجموعه را به نام ابوالفوارس خدایگان سلاطین عصر شاه شجاع تنظیم نموده است که متأسفانه نام مؤلف و جامع مشخص نیست؛ خط: نستعلیق تحریری، بی کا، بی تا ،مجدول، یک کتیبه مذهب مختصر به سبک کار ترکیه، در سال ۱۲۸۲ و ۱۳۲۲ به ترتیب از عرض کتابخانه ناصری و مظفری گذشته است؛ مهر: ناصر الدین شاه قاجار ۱۲۷۴؛ تملک: سید مصطفى بن رجب، ابوبکر بن رستم شروانی؛ کاغذ: اصفهانی، جلد: مقوای روکش میشن مشکی ،اندرون: کاغذ زرد ،۶۸۹ص،
</w:t>
      </w:r>
    </w:p>
    <w:p>
      <w:pPr>
        <w:sectPr>
          <w:footerReference w:type="default" r:id="rId9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سطر، قطع: نیم ربعی، اندازه:9/5</w:t>
      </w:r>
      <w:r>
        <w:rPr>
          <w:rFonts w:ascii="Times New Roman" w:hAnsi="Times New Roman" w:eastAsia="Times New Roman" w:cs="Times New Roman"/>
          <w:lang w:val="en-US" w:bidi="en-US"/>
          <w:color w:val="111111"/>
          <w:sz w:val="28"/>
          <w:szCs w:val="28"/>
          <w:rtl/>
        </w:rPr>
        <w:t xml:space="preserve">×17/1</w:t>
      </w:r>
      <w:r>
        <w:rPr>
          <w:rFonts w:ascii="IRNazanin" w:hAnsi="IRNazanin" w:eastAsia="IRNazanin" w:cs="IRNazanin"/>
          <w:lang w:bidi="fa-IR"/>
          <w:color w:val="111111"/>
          <w:sz w:val="28"/>
          <w:szCs w:val="28"/>
          <w:rtl/>
        </w:rPr>
        <w:t xml:space="preserve">سم [ف: ۴ - ۱۱۶۸]</w:t>
      </w:r>
    </w:p>
    <w:p>
      <w:pPr>
        <w:pStyle w:val="BookText"/>
      </w:pPr>
      <w:r>
        <w:rPr>
          <w:rFonts w:ascii="IRNazanin" w:hAnsi="IRNazanin" w:eastAsia="IRNazanin" w:cs="IRNazanin"/>
          <w:lang w:bidi="fa-IR"/>
          <w:color w:val="111111"/>
          <w:sz w:val="28"/>
          <w:szCs w:val="28"/>
          <w:rtl/>
        </w:rPr>
        <w:t xml:space="preserve">۲۳۱۶. تهران؛ مجلس؛ شماره نسخه: ۹۳- فیروز</w:t>
      </w:r>
    </w:p>
    <w:p>
      <w:pPr>
        <w:pStyle w:val="BookText"/>
      </w:pPr>
      <w:r>
        <w:rPr>
          <w:rFonts w:ascii="IRNazanin" w:hAnsi="IRNazanin" w:eastAsia="IRNazanin" w:cs="IRNazanin"/>
          <w:lang w:bidi="fa-IR"/>
          <w:color w:val="111111"/>
          <w:sz w:val="28"/>
          <w:szCs w:val="28"/>
          <w:rtl/>
        </w:rPr>
        <w:t xml:space="preserve">غزلیات از دیوان شمس ،مغربی، فیض کاشانی، عطار، حافظ، نعمة الله ولی، سعدی و رضی الدین آرتیمانی (ساقی نامه= مناجات)؛ خط: نستعلیق، بی کا، بی تا؛ مجدول؛ کاغذ: فرنگی آهار مهره، جلد: تیماج سبز عطف تیماج قرمز، ۲۳۹ ص، ۱۷ سطر، قطع: نیم خشتی،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۲۱ - ۲۲۹]</w:t>
      </w:r>
    </w:p>
    <w:p>
      <w:pPr>
        <w:pStyle w:val="BookText"/>
      </w:pPr>
      <w:r>
        <w:rPr>
          <w:rFonts w:ascii="IRNazanin" w:hAnsi="IRNazanin" w:eastAsia="IRNazanin" w:cs="IRNazanin"/>
          <w:lang w:bidi="fa-IR"/>
          <w:color w:val="111111"/>
          <w:sz w:val="28"/>
          <w:szCs w:val="28"/>
          <w:rtl/>
        </w:rPr>
        <w:t xml:space="preserve">۲۳۱۷. تهران؛ سلطنتی؛ شماره نسخه: ۵۴۴</w:t>
      </w:r>
    </w:p>
    <w:p>
      <w:pPr>
        <w:pStyle w:val="BookText"/>
      </w:pPr>
      <w:r>
        <w:rPr>
          <w:rFonts w:ascii="IRNazanin" w:hAnsi="IRNazanin" w:eastAsia="IRNazanin" w:cs="IRNazanin"/>
          <w:lang w:bidi="fa-IR"/>
          <w:color w:val="111111"/>
          <w:sz w:val="28"/>
          <w:szCs w:val="28"/>
          <w:rtl/>
        </w:rPr>
        <w:t xml:space="preserve">آغاز: بسمله. ای خداوندان مال الاعتبار الاعتبار*** ای خداوندان جاه الاعتذار الاعتذار؛ انجام: افتاده به پهلو خم می قالب مستـیت *** خالی شده از هستی خود باده پرستیت / یک مرغ نگاهم به پرواز نکرده *** چشمم دگری را به پر و بال رساند</w:t>
      </w:r>
    </w:p>
    <w:p>
      <w:pPr>
        <w:pStyle w:val="BookText"/>
      </w:pPr>
      <w:r>
        <w:rPr>
          <w:rFonts w:ascii="IRNazanin" w:hAnsi="IRNazanin" w:eastAsia="IRNazanin" w:cs="IRNazanin"/>
          <w:lang w:bidi="fa-IR"/>
          <w:color w:val="111111"/>
          <w:sz w:val="28"/>
          <w:szCs w:val="28"/>
          <w:rtl/>
        </w:rPr>
        <w:t xml:space="preserve">خط: نستعلیق تحریری، بی کا، بی تا؛ مجدول ،مذهب، با سرلوح مذهب مرصع؛ کاغذ: دولت آبادی، جلد:مقوای ابره تیماج حنایی رنگ وسط ترنج و دو سر ترنج منگنه ای گل و مرغ، ۴۰۲ص،23 سطر، قطع: نیم  ورقی، اندازه: ۲۰/۶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۳۲سم [ف: ۴ - ۱۰۴۸]</w:t>
      </w:r>
    </w:p>
    <w:p>
      <w:pPr>
        <w:pStyle w:val="BookText"/>
      </w:pPr>
      <w:r>
        <w:rPr>
          <w:rFonts w:ascii="IRNazanin" w:hAnsi="IRNazanin" w:eastAsia="IRNazanin" w:cs="IRNazanin"/>
          <w:lang w:bidi="fa-IR"/>
          <w:color w:val="111111"/>
          <w:sz w:val="28"/>
          <w:szCs w:val="28"/>
          <w:rtl/>
        </w:rPr>
        <w:t xml:space="preserve">۲۳۱۸. تهران؛ ملی؛ شماره نسخه: ۸۲۴۳</w:t>
      </w:r>
    </w:p>
    <w:p>
      <w:pPr>
        <w:pStyle w:val="BookText"/>
      </w:pPr>
      <w:r>
        <w:rPr>
          <w:rFonts w:ascii="IRNazanin" w:hAnsi="IRNazanin" w:eastAsia="IRNazanin" w:cs="IRNazanin"/>
          <w:lang w:bidi="fa-IR"/>
          <w:color w:val="111111"/>
          <w:sz w:val="28"/>
          <w:szCs w:val="28"/>
          <w:rtl/>
        </w:rPr>
        <w:t xml:space="preserve">آغاز: در مدح خواجه احمد بن حسین میمندی *** دل من هـمی داد گفتی گواهی که باشد مرا روزی از تو جدایی؛ انجام: من از تو صد و شصت تیر خدنگ*** بخوردم ننالیدم از نام و ننگ / به یک تیر برگشتی از کار زار *** بخفتی بر این باره نامدار</w:t>
      </w:r>
    </w:p>
    <w:p>
      <w:pPr>
        <w:pStyle w:val="BookText"/>
      </w:pPr>
      <w:r>
        <w:rPr>
          <w:rFonts w:ascii="IRNazanin" w:hAnsi="IRNazanin" w:eastAsia="IRNazanin" w:cs="IRNazanin"/>
          <w:lang w:bidi="fa-IR"/>
          <w:color w:val="111111"/>
          <w:sz w:val="28"/>
          <w:szCs w:val="28"/>
          <w:rtl/>
        </w:rPr>
        <w:t xml:space="preserve">منتخبی است از اشعار فردوسی، فرخی سیستانی وعنصری بلخی که جهت تدریس در کلاس چهارم علمی دبیرستان دارالفنون نوشته شده است؛ خط: نستعلیق خوش، بی کا، بی تا؛ مجدول؛ خریداری از صبح روان؛ کاغذ: فرنگی نخودی، جلد: مقوای نازک ارغوانی، ۲۷ گ، ۱۰-۲۱ سطر (۱۰/۶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۱۶/۶)، اندازه: ۱۳/۳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[رایانه ]</w:t>
      </w:r>
    </w:p>
    <w:p>
      <w:pPr>
        <w:pStyle w:val="BookText"/>
      </w:pPr>
      <w:r>
        <w:rPr>
          <w:rFonts w:ascii="IRNazanin" w:hAnsi="IRNazanin" w:eastAsia="IRNazanin" w:cs="IRNazanin"/>
          <w:lang w:bidi="fa-IR"/>
          <w:color w:val="111111"/>
          <w:sz w:val="28"/>
          <w:szCs w:val="28"/>
          <w:rtl/>
        </w:rPr>
        <w:t xml:space="preserve">۲۳۱۹ . قم؛ مرعشی؛ شماره نسخه: ۱۲۸۴۴/۶</w:t>
      </w:r>
    </w:p>
    <w:p>
      <w:pPr>
        <w:pStyle w:val="BookText"/>
      </w:pPr>
      <w:r>
        <w:rPr>
          <w:rFonts w:ascii="IRNazanin" w:hAnsi="IRNazanin" w:eastAsia="IRNazanin" w:cs="IRNazanin"/>
          <w:lang w:bidi="fa-IR"/>
          <w:color w:val="111111"/>
          <w:sz w:val="28"/>
          <w:szCs w:val="28"/>
          <w:rtl/>
        </w:rPr>
        <w:t xml:space="preserve">آغاز: خدائی که بنیاد هستیت را*** بروز ألست اندر افکند خشـت / گل پیرکت را جهل بامداد *** بدست خود از راه حکمت سرشت؛ انجام: اگر تو خواهی که نیک نام شوی *** دور باش از بدی ای عزیز پدر</w:t>
      </w:r>
    </w:p>
    <w:p>
      <w:pPr>
        <w:pStyle w:val="BookText"/>
      </w:pPr>
      <w:r>
        <w:rPr>
          <w:rFonts w:ascii="IRNazanin" w:hAnsi="IRNazanin" w:eastAsia="IRNazanin" w:cs="IRNazanin"/>
          <w:lang w:bidi="fa-IR"/>
          <w:color w:val="111111"/>
          <w:sz w:val="28"/>
          <w:szCs w:val="28"/>
          <w:rtl/>
        </w:rPr>
        <w:t xml:space="preserve">خط: نستعلیق، کا: ابن الیاس، بی تا؛ مجدول، مذهب؛ کاغذ: شرقی ،جلد: تیماج قهوه ای مجدول با ترنج و سر ترنج مذهب با گل و بوته، ۳۶گ (۳۸ پ - ۷۳ پ)، ابعاد متن: 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۳۲ - ۶۰۵]</w:t>
      </w:r>
    </w:p>
    <w:p>
      <w:pPr>
        <w:pStyle w:val="BookText"/>
      </w:pPr>
      <w:r>
        <w:rPr>
          <w:rFonts w:ascii="IRNazanin" w:hAnsi="IRNazanin" w:eastAsia="IRNazanin" w:cs="IRNazanin"/>
          <w:lang w:bidi="fa-IR"/>
          <w:color w:val="111111"/>
          <w:sz w:val="28"/>
          <w:szCs w:val="28"/>
          <w:rtl/>
        </w:rPr>
        <w:t xml:space="preserve">2320 . مشهد؛ الهیات؛ شماره نسخه: ۷۶۵/۵</w:t>
      </w:r>
    </w:p>
    <w:p>
      <w:pPr>
        <w:pStyle w:val="BookText"/>
      </w:pPr>
      <w:r>
        <w:rPr>
          <w:rFonts w:ascii="IRNazanin" w:hAnsi="IRNazanin" w:eastAsia="IRNazanin" w:cs="IRNazanin"/>
          <w:lang w:bidi="fa-IR"/>
          <w:color w:val="111111"/>
          <w:sz w:val="28"/>
          <w:szCs w:val="28"/>
          <w:rtl/>
        </w:rPr>
        <w:t xml:space="preserve">آغاز: ای جلال قدر تو بیرون زحد منتهی *** پایه قدر جلالت کس نداند تا کجا؛ انجام: ای پایه کمال تراعرش زیر دست*** وى مقدم براق تر اسدره پایمال</w:t>
      </w:r>
    </w:p>
    <w:p>
      <w:pPr>
        <w:pStyle w:val="BookText"/>
      </w:pPr>
      <w:r>
        <w:rPr>
          <w:rFonts w:ascii="Amiri" w:hAnsi="Amiri" w:eastAsia="Amiri" w:cs="Amiri"/>
          <w:lang w:bidi="ar-SA"/>
          <w:color w:val="111111"/>
          <w:sz w:val="28"/>
          <w:szCs w:val="28"/>
          <w:rtl/>
        </w:rPr>
        <w:t xml:space="preserve">ارجوزه ای در نعت حضرت رسول (صلّی اللَّهِ علیه وَ آلِهِ وَ سَلَّمَ )؛ خط: نسخ و نستعلـیق،بی کا، بی تا؛ ۳ص، ۱۳ سطر [ف: ۱ - ۴۱۹]</w:t>
      </w:r>
    </w:p>
    <w:p>
      <w:pPr>
        <w:pStyle w:val="BookText"/>
      </w:pPr>
      <w:r>
        <w:rPr>
          <w:rFonts w:ascii="IRNazanin" w:hAnsi="IRNazanin" w:eastAsia="IRNazanin" w:cs="IRNazanin"/>
          <w:lang w:bidi="fa-IR"/>
          <w:color w:val="111111"/>
          <w:sz w:val="28"/>
          <w:szCs w:val="28"/>
          <w:rtl/>
        </w:rPr>
        <w:t xml:space="preserve">۲۳۲۱. مشهد؛ فرهنگ و هنر؛ شماره نسخه: الف -7</w:t>
      </w:r>
    </w:p>
    <w:p>
      <w:pPr>
        <w:pStyle w:val="BookText"/>
      </w:pPr>
      <w:r>
        <w:rPr>
          <w:rFonts w:ascii="IRNazanin" w:hAnsi="IRNazanin" w:eastAsia="IRNazanin" w:cs="IRNazanin"/>
          <w:lang w:bidi="fa-IR"/>
          <w:color w:val="111111"/>
          <w:sz w:val="28"/>
          <w:szCs w:val="28"/>
          <w:rtl/>
        </w:rPr>
        <w:t xml:space="preserve">آغاز: زمین شد از دو بنارشک آسمان برین *** یکی بنای خلیل و یکی بنای امین ؛انجام: قضایا مر تو مامور باد در هر فعل *** قدر بحكم تو محکوم باد در هر کار</w:t>
      </w:r>
    </w:p>
    <w:p>
      <w:pPr>
        <w:pStyle w:val="BookText"/>
      </w:pPr>
      <w:r>
        <w:rPr>
          <w:rFonts w:ascii="IRNazanin" w:hAnsi="IRNazanin" w:eastAsia="IRNazanin" w:cs="IRNazanin"/>
          <w:lang w:bidi="fa-IR"/>
          <w:color w:val="111111"/>
          <w:sz w:val="28"/>
          <w:szCs w:val="28"/>
          <w:rtl/>
        </w:rPr>
        <w:t xml:space="preserve">قصاید در مناقب ائمه اطهار است ؛خط: نستعلیق، بی کا، بی تا؛ فاقد مطلع و پایان است ؛کاغذ: کاهی صیقلی سفید تیره، جلد:چرمی نازک، ۱۰۶ص، ۱۳ سطر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۹۱]</w:t>
      </w:r>
    </w:p>
    <w:p>
      <w:pPr>
        <w:pStyle w:val="BookText"/>
      </w:pPr>
      <w:r>
        <w:rPr>
          <w:rFonts w:ascii="IRNazanin" w:hAnsi="IRNazanin" w:eastAsia="IRNazanin" w:cs="IRNazanin"/>
          <w:lang w:bidi="fa-IR"/>
          <w:color w:val="111111"/>
          <w:sz w:val="28"/>
          <w:szCs w:val="28"/>
          <w:rtl/>
        </w:rPr>
        <w:t xml:space="preserve">۲۳۲۲. تهران؛ ملک؛ شماره نسخه: ۵۰۸۳/۸</w:t>
      </w:r>
    </w:p>
    <w:p>
      <w:pPr>
        <w:pStyle w:val="BookText"/>
      </w:pPr>
      <w:r>
        <w:rPr>
          <w:rFonts w:ascii="IRNazanin" w:hAnsi="IRNazanin" w:eastAsia="IRNazanin" w:cs="IRNazanin"/>
          <w:lang w:bidi="fa-IR"/>
          <w:color w:val="111111"/>
          <w:sz w:val="28"/>
          <w:szCs w:val="28"/>
          <w:rtl/>
        </w:rPr>
        <w:t xml:space="preserve">آغاز: الهی آتش عشقم بجان زن *** شرر در پنبه زار استخوان زن /بسوزان از محبت پیکرم را *** بآتش رنگ ده بال و پرم را؛</w:t>
      </w:r>
    </w:p>
    <w:p>
      <w:pPr>
        <w:pStyle w:val="BookText"/>
      </w:pPr>
      <w:r>
        <w:rPr>
          <w:rFonts w:ascii="IRNazanin" w:hAnsi="IRNazanin" w:eastAsia="IRNazanin" w:cs="IRNazanin"/>
          <w:lang w:bidi="fa-IR"/>
          <w:color w:val="111111"/>
          <w:sz w:val="28"/>
          <w:szCs w:val="28"/>
          <w:rtl/>
        </w:rPr>
        <w:t xml:space="preserve">انجام: گفتی که کواکب چه درم می بخشم *** خورشید مرا نیز بمن می بخشی</w:t>
      </w:r>
    </w:p>
    <w:p>
      <w:pPr>
        <w:pStyle w:val="BookText"/>
      </w:pPr>
      <w:r>
        <w:rPr>
          <w:rFonts w:ascii="IRNazanin" w:hAnsi="IRNazanin" w:eastAsia="IRNazanin" w:cs="IRNazanin"/>
          <w:lang w:bidi="fa-IR"/>
          <w:color w:val="111111"/>
          <w:sz w:val="28"/>
          <w:szCs w:val="28"/>
          <w:rtl/>
        </w:rPr>
        <w:t xml:space="preserve">مثنوی عرفانی است و در میانه بندهایی به نثر و حکایت هایی دارد؛ خط: نستعلیق خوش، بی کا، بی تا ؛جلد: میشن قهوه ای روشن ضربی، ۴گ (۴۷ر-۵۱ر) ،متن و هامش، ۱۴ سطر، اندازه: ۱۸/۲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۲۸/۳سم [ف: ۸ - ۱۹۰]</w:t>
      </w:r>
    </w:p>
    <w:p>
      <w:pPr>
        <w:pStyle w:val="BookText"/>
      </w:pPr>
      <w:r>
        <w:rPr>
          <w:rFonts w:ascii="IRNazanin" w:hAnsi="IRNazanin" w:eastAsia="IRNazanin" w:cs="IRNazanin"/>
          <w:lang w:bidi="fa-IR"/>
          <w:color w:val="111111"/>
          <w:sz w:val="28"/>
          <w:szCs w:val="28"/>
          <w:rtl/>
        </w:rPr>
        <w:t xml:space="preserve">۲۳۲۳ .تهران؛ دانشگاه؛ شماره نسخه: ۹۱۵/۹-ف</w:t>
      </w:r>
    </w:p>
    <w:p>
      <w:pPr>
        <w:pStyle w:val="BookText"/>
      </w:pPr>
      <w:r>
        <w:rPr>
          <w:rFonts w:ascii="IRNazanin" w:hAnsi="IRNazanin" w:eastAsia="IRNazanin" w:cs="IRNazanin"/>
          <w:lang w:bidi="fa-IR"/>
          <w:color w:val="111111"/>
          <w:sz w:val="28"/>
          <w:szCs w:val="28"/>
          <w:rtl/>
        </w:rPr>
        <w:t xml:space="preserve">نسخه اصل: پاریس 113 </w:t>
      </w:r>
      <w:r>
        <w:rPr>
          <w:rFonts w:ascii="Times New Roman" w:hAnsi="Times New Roman" w:eastAsia="Times New Roman" w:cs="Times New Roman"/>
          <w:lang w:val="en-US" w:bidi="en-US"/>
          <w:color w:val="111111"/>
          <w:sz w:val="28"/>
          <w:szCs w:val="28"/>
          <w:rtl/>
        </w:rPr>
        <w:t xml:space="preserve">P. S </w:t>
      </w:r>
      <w:r>
        <w:rPr>
          <w:rFonts w:ascii="IRNazanin" w:hAnsi="IRNazanin" w:eastAsia="IRNazanin" w:cs="IRNazanin"/>
          <w:lang w:bidi="fa-IR"/>
          <w:color w:val="111111"/>
          <w:sz w:val="28"/>
          <w:szCs w:val="28"/>
          <w:rtl/>
        </w:rPr>
        <w:t xml:space="preserve">بلوشه ۱۴۹ (۹۹/۱) مثنوی در فتوت است؛ بی کا، بی تا؛ ۱۵ سطر [ فیلمها: ۱ - ۵۴۸]</w:t>
      </w:r>
    </w:p>
    <w:p>
      <w:pPr>
        <w:pStyle w:val="BookText"/>
      </w:pPr>
      <w:r>
        <w:rPr>
          <w:rFonts w:ascii="IRNazanin" w:hAnsi="IRNazanin" w:eastAsia="IRNazanin" w:cs="IRNazanin"/>
          <w:lang w:bidi="fa-IR"/>
          <w:color w:val="111111"/>
          <w:sz w:val="28"/>
          <w:szCs w:val="28"/>
          <w:rtl/>
        </w:rPr>
        <w:t xml:space="preserve">۲۳۲۴. قم؛ گلپایگانی؛ شماره نسخه: ۸۹۲۲/۱-۵۹/۱۴۲</w:t>
      </w:r>
    </w:p>
    <w:p>
      <w:pPr>
        <w:pStyle w:val="BookText"/>
      </w:pPr>
      <w:r>
        <w:rPr>
          <w:rFonts w:ascii="IRNazanin" w:hAnsi="IRNazanin" w:eastAsia="IRNazanin" w:cs="IRNazanin"/>
          <w:lang w:bidi="fa-IR"/>
          <w:color w:val="111111"/>
          <w:sz w:val="28"/>
          <w:szCs w:val="28"/>
          <w:rtl/>
        </w:rPr>
        <w:t xml:space="preserve">آغاز: ایخداوندا ای کریم مستجار*** ای پناه بی پناهان نزار / نفحه از بوی جویت روضه ای *** که در آن تنسیم و کوثر فرضه؛</w:t>
      </w:r>
    </w:p>
    <w:p>
      <w:pPr>
        <w:pStyle w:val="BookText"/>
      </w:pPr>
      <w:r>
        <w:rPr>
          <w:rFonts w:ascii="IRNazanin" w:hAnsi="IRNazanin" w:eastAsia="IRNazanin" w:cs="IRNazanin"/>
          <w:lang w:bidi="fa-IR"/>
          <w:color w:val="111111"/>
          <w:sz w:val="28"/>
          <w:szCs w:val="28"/>
          <w:rtl/>
        </w:rPr>
        <w:t xml:space="preserve">انجام: وارهان ما را ز تقييدات تن ***وان خیالات عنيف صف شکن</w:t>
      </w:r>
    </w:p>
    <w:p>
      <w:pPr>
        <w:pStyle w:val="BookText"/>
      </w:pPr>
      <w:r>
        <w:rPr>
          <w:rFonts w:ascii="IRNazanin" w:hAnsi="IRNazanin" w:eastAsia="IRNazanin" w:cs="IRNazanin"/>
          <w:lang w:bidi="fa-IR"/>
          <w:color w:val="111111"/>
          <w:sz w:val="28"/>
          <w:szCs w:val="28"/>
          <w:rtl/>
        </w:rPr>
        <w:t xml:space="preserve">مثنوی عرفانی کوتاهی است که در بخش موجود مباحثی است در عشق و تشویق انسان به عروج از عالم ماده به عالم روح و ملکوت؛ خط: نسخ، بی کا، بی تا؛ افتادگی: انجام؛ ۱۸گ (1- 18) ؛ ۶ سطر،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۶ - ۳۵۰۷]</w:t>
      </w:r>
    </w:p>
    <w:p>
      <w:pPr>
        <w:pStyle w:val="BookText"/>
      </w:pPr>
      <w:r>
        <w:rPr>
          <w:rFonts w:ascii="IRNazanin" w:hAnsi="IRNazanin" w:eastAsia="IRNazanin" w:cs="IRNazanin"/>
          <w:lang w:bidi="fa-IR"/>
          <w:color w:val="111111"/>
          <w:sz w:val="28"/>
          <w:szCs w:val="28"/>
          <w:rtl/>
        </w:rPr>
        <w:t xml:space="preserve">۲۳۲۵. قم؛ معصومیه؛ شماره نسخه: ۳۸۰</w:t>
      </w:r>
    </w:p>
    <w:p>
      <w:pPr>
        <w:pStyle w:val="BookText"/>
      </w:pPr>
      <w:r>
        <w:rPr>
          <w:rFonts w:ascii="IRNazanin" w:hAnsi="IRNazanin" w:eastAsia="IRNazanin" w:cs="IRNazanin"/>
          <w:lang w:bidi="fa-IR"/>
          <w:color w:val="111111"/>
          <w:sz w:val="28"/>
          <w:szCs w:val="28"/>
          <w:rtl/>
        </w:rPr>
        <w:t xml:space="preserve">آغاز: بدل کردم بمستی عاقبت زهد ریائی را *** رسانیدم به آب از یمن می بینا و تقوا را؛ انجام: جانم شده گمراه و بدل مانده خیالی*** زان سرو که می رفت بصد ناز خرامان</w:t>
      </w:r>
    </w:p>
    <w:p>
      <w:pPr>
        <w:pStyle w:val="BookText"/>
      </w:pPr>
      <w:r>
        <w:rPr>
          <w:rFonts w:ascii="IRNazanin" w:hAnsi="IRNazanin" w:eastAsia="IRNazanin" w:cs="IRNazanin"/>
          <w:lang w:bidi="fa-IR"/>
          <w:color w:val="111111"/>
          <w:sz w:val="28"/>
          <w:szCs w:val="28"/>
          <w:rtl/>
        </w:rPr>
        <w:t xml:space="preserve">شعرهای پراکنده ای است از شاعرانی چون کلیم، سرور، صبوحی ،هلالی ،سحر ،مجید ،رفیق، هجری، هاتف، دامی ،طبیب ،فغانی ،نقی ،طوفان ،مشتاق، محتشم، عاشق، جامی، وحشی ،سعدی ،عرفی ،شاهی ،عراقی ،حافظ، غیرت و دیگران که بیشترین در موضوع عرفان، و به گونه غزل می باشد؛ خط: شکسته نستعلیق، بی کا،بی تا؛پس از پایان یادداشت خرید آن از ساوه به پنج ریال در دهه اول شوال ۱۳۵۰ قمری و هدیه آن به ریحان الله در پنج شنبه ۷ ذیقعده ۱۳۵۲ و پایان آن «سید مرتضی شریف عسکری» آمده ؛جلد: تیماج سبز بی مقوا، ۱۵۹گ، ۱۵بیت 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 - ۳۶۰]</w:t>
      </w:r>
    </w:p>
    <w:p>
      <w:pPr>
        <w:pStyle w:val="BookText"/>
      </w:pPr>
      <w:r>
        <w:rPr>
          <w:rFonts w:ascii="IRNazanin" w:hAnsi="IRNazanin" w:eastAsia="IRNazanin" w:cs="IRNazanin"/>
          <w:lang w:bidi="fa-IR"/>
          <w:color w:val="111111"/>
          <w:sz w:val="28"/>
          <w:szCs w:val="28"/>
          <w:rtl/>
        </w:rPr>
        <w:t xml:space="preserve">۲۳۲۶ . مشهد؛ الهیات؛ شماره نسخه: ۲۲۷۹۲/۹</w:t>
      </w:r>
    </w:p>
    <w:p>
      <w:pPr>
        <w:pStyle w:val="BookText"/>
      </w:pPr>
      <w:r>
        <w:rPr>
          <w:rFonts w:ascii="IRNazanin" w:hAnsi="IRNazanin" w:eastAsia="IRNazanin" w:cs="IRNazanin"/>
          <w:lang w:bidi="fa-IR"/>
          <w:color w:val="111111"/>
          <w:sz w:val="28"/>
          <w:szCs w:val="28"/>
          <w:rtl/>
        </w:rPr>
        <w:t xml:space="preserve">آغاز: من كلام مجذوب رحمه الله *** رمزی ز عجائبات قرآن /
</w:t>
      </w:r>
    </w:p>
    <w:p>
      <w:pPr>
        <w:sectPr>
          <w:footerReference w:type="default" r:id="rId9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نقلی است صحیح در معانی *** در حفظش دار تا توانی / تاره بـری اندکی بقرآن *** دانی چه کسی است عالم آن ؟</w:t>
      </w:r>
    </w:p>
    <w:p>
      <w:pPr>
        <w:pStyle w:val="BookText"/>
      </w:pPr>
      <w:r>
        <w:rPr>
          <w:rFonts w:ascii="IRNazanin" w:hAnsi="IRNazanin" w:eastAsia="IRNazanin" w:cs="IRNazanin"/>
          <w:lang w:bidi="fa-IR"/>
          <w:color w:val="111111"/>
          <w:sz w:val="28"/>
          <w:szCs w:val="28"/>
          <w:rtl/>
        </w:rPr>
        <w:t xml:space="preserve">منظومه ای است گزین شده از سروده های شاعری که «مجذوب» تخلص داشته در فضائل و مناقب و معجزات امامان شیعه و قرآن کریم که موجودی آن حدود هفتصد بیت است؛ بی کا، بی تا،  افتادگی: وسط؛ کاغذ: فرنگی ،جلد:تیماج سرخ ،۲۹گ( 112- ۱۴۰) ،قطع: بیاضی، 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۳ - ۹۲۴]</w:t>
      </w:r>
    </w:p>
    <w:p>
      <w:pPr>
        <w:pStyle w:val="BookText"/>
      </w:pPr>
      <w:r>
        <w:rPr>
          <w:rFonts w:ascii="IRNazanin" w:hAnsi="IRNazanin" w:eastAsia="IRNazanin" w:cs="IRNazanin"/>
          <w:lang w:bidi="fa-IR"/>
          <w:color w:val="111111"/>
          <w:sz w:val="28"/>
          <w:szCs w:val="28"/>
          <w:rtl/>
        </w:rPr>
        <w:t xml:space="preserve">۲۳۲۷. تهران؛ ملی؛ شماره نسخه: ۱۸۹۱۵</w:t>
      </w:r>
    </w:p>
    <w:p>
      <w:pPr>
        <w:pStyle w:val="BookText"/>
      </w:pPr>
      <w:r>
        <w:rPr>
          <w:rFonts w:ascii="IRNazanin" w:hAnsi="IRNazanin" w:eastAsia="IRNazanin" w:cs="IRNazanin"/>
          <w:lang w:bidi="fa-IR"/>
          <w:color w:val="111111"/>
          <w:sz w:val="28"/>
          <w:szCs w:val="28"/>
          <w:rtl/>
        </w:rPr>
        <w:t xml:space="preserve">جنگ شعر و ...؛ بی کا، بی تا؛ انتقالی از کتابخانه پهلوی - مجموعه نوازی؛ ۱۴۲گ،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[رایانه]</w:t>
      </w:r>
    </w:p>
    <w:p>
      <w:pPr>
        <w:pStyle w:val="BookText"/>
      </w:pPr>
      <w:r>
        <w:rPr>
          <w:rFonts w:ascii="IRNazanin" w:hAnsi="IRNazanin" w:eastAsia="IRNazanin" w:cs="IRNazanin"/>
          <w:lang w:bidi="fa-IR"/>
          <w:color w:val="111111"/>
          <w:sz w:val="28"/>
          <w:szCs w:val="28"/>
          <w:rtl/>
        </w:rPr>
        <w:t xml:space="preserve">۲۳۲۸ . قم؛ مسجد اعظم؛ شماره نسخه: ۱۲۲۰/۸</w:t>
      </w:r>
    </w:p>
    <w:p>
      <w:pPr>
        <w:pStyle w:val="BookText"/>
      </w:pPr>
      <w:r>
        <w:rPr>
          <w:rFonts w:ascii="IRNazanin" w:hAnsi="IRNazanin" w:eastAsia="IRNazanin" w:cs="IRNazanin"/>
          <w:lang w:bidi="fa-IR"/>
          <w:color w:val="111111"/>
          <w:sz w:val="28"/>
          <w:szCs w:val="28"/>
          <w:rtl/>
        </w:rPr>
        <w:t xml:space="preserve">آغاز: بنام پادشاه خرد اکبر، محمد صلى الله عليه واله *** خداوند توانای توانگر، علی مدد / سرنامه بنام حی داور *** که هست وبود باشد او مجاور؛ انجام: مجو از ناخردمندان وفائی *** مخواه از تیره قلبان پارسائی</w:t>
      </w:r>
    </w:p>
    <w:p>
      <w:pPr>
        <w:pStyle w:val="BookText"/>
      </w:pPr>
      <w:r>
        <w:rPr>
          <w:rFonts w:ascii="IRNazanin" w:hAnsi="IRNazanin" w:eastAsia="IRNazanin" w:cs="IRNazanin"/>
          <w:lang w:bidi="fa-IR"/>
          <w:color w:val="111111"/>
          <w:sz w:val="28"/>
          <w:szCs w:val="28"/>
          <w:rtl/>
        </w:rPr>
        <w:t xml:space="preserve">مثنوی است در مدح اهل بیت (علیهم السّلام)؛ خط: نستعلیق، بی کا، بی تا؛ جلد: مقوا، عطف تیماج قهوه ای، ۱۸گ،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۲۲سم[مخ: ۵ - ۲۱۵۹]</w:t>
      </w:r>
    </w:p>
    <w:p>
      <w:pPr>
        <w:pStyle w:val="BookText"/>
      </w:pPr>
      <w:r>
        <w:rPr>
          <w:rFonts w:ascii="IRNazanin" w:hAnsi="IRNazanin" w:eastAsia="IRNazanin" w:cs="IRNazanin"/>
          <w:lang w:bidi="fa-IR"/>
          <w:color w:val="111111"/>
          <w:sz w:val="28"/>
          <w:szCs w:val="28"/>
          <w:rtl/>
        </w:rPr>
        <w:t xml:space="preserve">۲۳۲۹ . اسکندریه؛ احمد شاهد؛ شماره نسخه: بدون شماره</w:t>
      </w:r>
    </w:p>
    <w:p>
      <w:pPr>
        <w:pStyle w:val="BookText"/>
      </w:pPr>
      <w:r>
        <w:rPr>
          <w:rFonts w:ascii="IRNazanin" w:hAnsi="IRNazanin" w:eastAsia="IRNazanin" w:cs="IRNazanin"/>
          <w:lang w:bidi="fa-IR"/>
          <w:color w:val="111111"/>
          <w:sz w:val="28"/>
          <w:szCs w:val="28"/>
          <w:rtl/>
        </w:rPr>
        <w:t xml:space="preserve">مجموعه اشعار هشت تن از شعرا: از جمله شقایق (جنگ شقـایق) هم می توان آن را خواند؛ بی کا، بی تا[ میراث اسلامی: ۵ - ۶۱۳]</w:t>
      </w:r>
    </w:p>
    <w:p>
      <w:pPr>
        <w:pStyle w:val="BookText"/>
      </w:pPr>
      <w:r>
        <w:rPr>
          <w:rFonts w:ascii="IRNazanin" w:hAnsi="IRNazanin" w:eastAsia="IRNazanin" w:cs="IRNazanin"/>
          <w:lang w:bidi="fa-IR"/>
          <w:color w:val="111111"/>
          <w:sz w:val="28"/>
          <w:szCs w:val="28"/>
          <w:rtl/>
        </w:rPr>
        <w:t xml:space="preserve">۲۳۳۰ . قم؛ مرعشی؛ شماره نسخه: ۱۱۰۵۳/۱</w:t>
      </w:r>
    </w:p>
    <w:p>
      <w:pPr>
        <w:pStyle w:val="BookText"/>
      </w:pPr>
      <w:r>
        <w:rPr>
          <w:rFonts w:ascii="IRNazanin" w:hAnsi="IRNazanin" w:eastAsia="IRNazanin" w:cs="IRNazanin"/>
          <w:lang w:bidi="fa-IR"/>
          <w:color w:val="111111"/>
          <w:sz w:val="28"/>
          <w:szCs w:val="28"/>
          <w:rtl/>
        </w:rPr>
        <w:t xml:space="preserve">خط: نستعلیق، بی کا، بی تا؛ قطع: جیبی [میراث شهاب: س ۹ش ۲- 29]</w:t>
      </w:r>
    </w:p>
    <w:p>
      <w:pPr>
        <w:pStyle w:val="BookText"/>
      </w:pPr>
      <w:r>
        <w:rPr>
          <w:rFonts w:ascii="IRNazanin" w:hAnsi="IRNazanin" w:eastAsia="IRNazanin" w:cs="IRNazanin"/>
          <w:lang w:bidi="fa-IR"/>
          <w:color w:val="111111"/>
          <w:sz w:val="28"/>
          <w:szCs w:val="28"/>
          <w:rtl/>
        </w:rPr>
        <w:t xml:space="preserve">۲۳۳۱. قم؛ مرعشی؛ شماره نسخه: ۱۱۰۱۶/۲</w:t>
      </w:r>
    </w:p>
    <w:p>
      <w:pPr>
        <w:pStyle w:val="BookText"/>
      </w:pPr>
      <w:r>
        <w:rPr>
          <w:rFonts w:ascii="IRNazanin" w:hAnsi="IRNazanin" w:eastAsia="IRNazanin" w:cs="IRNazanin"/>
          <w:lang w:bidi="fa-IR"/>
          <w:color w:val="111111"/>
          <w:sz w:val="28"/>
          <w:szCs w:val="28"/>
          <w:rtl/>
        </w:rPr>
        <w:t xml:space="preserve">مجهول؛ بی کا ، بی تا؛ قطع: وزیری خشتی؛ قطع: وزیری[میراث شهاب: س ۹ ش ۲ - ۳۰]</w:t>
      </w:r>
    </w:p>
    <w:p>
      <w:pPr>
        <w:pStyle w:val="BookText"/>
      </w:pPr>
      <w:r>
        <w:rPr>
          <w:rFonts w:ascii="IRNazanin" w:hAnsi="IRNazanin" w:eastAsia="IRNazanin" w:cs="IRNazanin"/>
          <w:lang w:bidi="fa-IR"/>
          <w:color w:val="111111"/>
          <w:sz w:val="28"/>
          <w:szCs w:val="28"/>
          <w:rtl/>
        </w:rPr>
        <w:t xml:space="preserve">۲۳۳۲. قم؛ مرعشی؛ شماره نسخه: ۱۰۸۹۹/۳</w:t>
      </w:r>
    </w:p>
    <w:p>
      <w:pPr>
        <w:pStyle w:val="BookText"/>
      </w:pPr>
      <w:r>
        <w:rPr>
          <w:rFonts w:ascii="IRNazanin" w:hAnsi="IRNazanin" w:eastAsia="IRNazanin" w:cs="IRNazanin"/>
          <w:lang w:bidi="fa-IR"/>
          <w:color w:val="111111"/>
          <w:sz w:val="28"/>
          <w:szCs w:val="28"/>
          <w:rtl/>
        </w:rPr>
        <w:t xml:space="preserve">کا: آیت الله حاج شیخ محمد باقر بیرجندی، بی تا؛ قطع: جانمازی [ميراث شهاب: س ۹ ش ۲ - ۳۸]</w:t>
      </w:r>
    </w:p>
    <w:p>
      <w:pPr>
        <w:pStyle w:val="BookText"/>
      </w:pPr>
      <w:r>
        <w:rPr>
          <w:rFonts w:ascii="IRNazanin" w:hAnsi="IRNazanin" w:eastAsia="IRNazanin" w:cs="IRNazanin"/>
          <w:lang w:bidi="fa-IR"/>
          <w:color w:val="111111"/>
          <w:sz w:val="28"/>
          <w:szCs w:val="28"/>
          <w:rtl/>
        </w:rPr>
        <w:t xml:space="preserve">۲۳۳۳. تهران؛ مجلس؛ شماره نسخه: ۱۴۱۴۵/۲۶</w:t>
      </w:r>
    </w:p>
    <w:p>
      <w:pPr>
        <w:pStyle w:val="BookText"/>
      </w:pPr>
      <w:r>
        <w:rPr>
          <w:rFonts w:ascii="IRNazanin" w:hAnsi="IRNazanin" w:eastAsia="IRNazanin" w:cs="IRNazanin"/>
          <w:lang w:bidi="fa-IR"/>
          <w:color w:val="111111"/>
          <w:sz w:val="28"/>
          <w:szCs w:val="28"/>
          <w:rtl/>
        </w:rPr>
        <w:t xml:space="preserve">بحر طویل، از شیخ جلالی؛ خط: نستعلیق چلیپا، بی کا، بی تا؛ ۲گ (53پ-54پ) [ف: ۳۸ - ۱۷۹]</w:t>
      </w:r>
    </w:p>
    <w:p>
      <w:pPr>
        <w:pStyle w:val="BookText"/>
      </w:pPr>
      <w:r>
        <w:rPr>
          <w:rFonts w:ascii="IRNazanin" w:hAnsi="IRNazanin" w:eastAsia="IRNazanin" w:cs="IRNazanin"/>
          <w:lang w:bidi="fa-IR"/>
          <w:color w:val="111111"/>
          <w:sz w:val="28"/>
          <w:szCs w:val="28"/>
          <w:rtl/>
        </w:rPr>
        <w:t xml:space="preserve">۲۳۳۴. تهران؛ مجلس؛ شماره نسخه: ۱۳۶۰۹/۷۳</w:t>
      </w:r>
    </w:p>
    <w:p>
      <w:pPr>
        <w:pStyle w:val="BookText"/>
      </w:pPr>
      <w:r>
        <w:rPr>
          <w:rFonts w:ascii="IRNazanin" w:hAnsi="IRNazanin" w:eastAsia="IRNazanin" w:cs="IRNazanin"/>
          <w:lang w:bidi="fa-IR"/>
          <w:color w:val="111111"/>
          <w:sz w:val="28"/>
          <w:szCs w:val="28"/>
          <w:rtl/>
        </w:rPr>
        <w:t xml:space="preserve">آغاز: بروای عاشق شوریده سر گشته سودائی شیدائی سرمست از ین عالم پر فتنه و آشوب بشو دست</w:t>
      </w:r>
    </w:p>
    <w:p>
      <w:pPr>
        <w:pStyle w:val="BookText"/>
      </w:pPr>
      <w:r>
        <w:rPr>
          <w:rFonts w:ascii="IRNazanin" w:hAnsi="IRNazanin" w:eastAsia="IRNazanin" w:cs="IRNazanin"/>
          <w:lang w:bidi="fa-IR"/>
          <w:color w:val="111111"/>
          <w:sz w:val="28"/>
          <w:szCs w:val="28"/>
          <w:rtl/>
        </w:rPr>
        <w:t xml:space="preserve">بحر طویل، در مدح ائمه، از نقی؛ خط: شکسته نستعلیق، بی کا، بی تا؛ ۱ ص (۱۲۶پ) [ف: ۳۷ - ۱۲۸]</w:t>
      </w:r>
    </w:p>
    <w:p>
      <w:pPr>
        <w:pStyle w:val="BookText"/>
      </w:pPr>
      <w:r>
        <w:rPr>
          <w:rFonts w:ascii="IRNazanin" w:hAnsi="IRNazanin" w:eastAsia="IRNazanin" w:cs="IRNazanin"/>
          <w:lang w:bidi="fa-IR"/>
          <w:color w:val="111111"/>
          <w:sz w:val="28"/>
          <w:szCs w:val="28"/>
          <w:rtl/>
        </w:rPr>
        <w:t xml:space="preserve">۲۳۳۵ . قم؛ مرعشی؛ شماره نسخه: ۱۰۳۷۹</w:t>
      </w:r>
    </w:p>
    <w:p>
      <w:pPr>
        <w:pStyle w:val="BookText"/>
      </w:pPr>
      <w:r>
        <w:rPr>
          <w:rFonts w:ascii="IRNazanin" w:hAnsi="IRNazanin" w:eastAsia="IRNazanin" w:cs="IRNazanin"/>
          <w:lang w:bidi="fa-IR"/>
          <w:color w:val="111111"/>
          <w:sz w:val="28"/>
          <w:szCs w:val="28"/>
          <w:rtl/>
        </w:rPr>
        <w:t xml:space="preserve">مجموعه اشعار فارسی؛ بی کا،بی تا؛ دارای ۸ نگاره رنگین زیبا وظریف در قطع بسیار کوچک حدود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 سانتیمتر؛ جلد: لاکی گل و بوته، قطع: عمامه ای [میراث شهاب: س ۸ش ۴ - ۵۹]</w:t>
      </w:r>
    </w:p>
    <w:p>
      <w:pPr>
        <w:pStyle w:val="BookText"/>
      </w:pPr>
      <w:r>
        <w:rPr>
          <w:rFonts w:ascii="IRNazanin" w:hAnsi="IRNazanin" w:eastAsia="IRNazanin" w:cs="IRNazanin"/>
          <w:lang w:bidi="fa-IR"/>
          <w:color w:val="111111"/>
          <w:sz w:val="28"/>
          <w:szCs w:val="28"/>
          <w:rtl/>
        </w:rPr>
        <w:t xml:space="preserve">۲۳۳۶. تهران؛ رجائی زفره ای، محمد حسن؛ شماره نسخه: بدون شماره</w:t>
      </w:r>
    </w:p>
    <w:p>
      <w:pPr>
        <w:pStyle w:val="BookText"/>
      </w:pPr>
      <w:r>
        <w:rPr>
          <w:rFonts w:ascii="IRNazanin" w:hAnsi="IRNazanin" w:eastAsia="IRNazanin" w:cs="IRNazanin"/>
          <w:lang w:bidi="fa-IR"/>
          <w:color w:val="111111"/>
          <w:sz w:val="28"/>
          <w:szCs w:val="28"/>
          <w:rtl/>
        </w:rPr>
        <w:t xml:space="preserve">در مدح و منقبت و یا مرثیه چهارده معصوم (علیه السّلام) از: وفائی، جودی، مذنب ،طاهر، جاوش ،کفاش شایق (= داستان سبحه: روایت است که یک روز پادشاه حجاز)، پروانه (=در تضمین غزلهای حافظ)؛ بی کا، بی تا؛ هر صفحه حدود ۱۰ بیت؛ ۱۲۰ص [ میراث اسلامی: ۱۰ - ۷۵۰]</w:t>
      </w:r>
    </w:p>
    <w:p>
      <w:pPr>
        <w:pStyle w:val="BookText"/>
      </w:pPr>
      <w:r>
        <w:rPr>
          <w:rFonts w:ascii="IRNazanin" w:hAnsi="IRNazanin" w:eastAsia="IRNazanin" w:cs="IRNazanin"/>
          <w:lang w:bidi="fa-IR"/>
          <w:color w:val="111111"/>
          <w:sz w:val="28"/>
          <w:szCs w:val="28"/>
          <w:rtl/>
        </w:rPr>
        <w:t xml:space="preserve">۲۳۳۷. تهران؛ رجائی زفره ای، محمد حسن؛ شماره نسخه: بدون شماره</w:t>
      </w:r>
    </w:p>
    <w:p>
      <w:pPr>
        <w:pStyle w:val="BookText"/>
      </w:pPr>
      <w:r>
        <w:rPr>
          <w:rFonts w:ascii="IRNazanin" w:hAnsi="IRNazanin" w:eastAsia="IRNazanin" w:cs="IRNazanin"/>
          <w:lang w:bidi="fa-IR"/>
          <w:color w:val="111111"/>
          <w:sz w:val="28"/>
          <w:szCs w:val="28"/>
          <w:rtl/>
        </w:rPr>
        <w:t xml:space="preserve">مرثیه، روضه با تاریخ های ۱۲۵۰ - ۱۲۵۳ قمری اشعار از سید ذاکر (سید) ،بیدل ،ناطق، جواد بیشتر آن از سید ذاکر(ظاهر یزدی است)؛ بی کا، بی تا؛ هر صفحه ۶-۱۷ بیت؛ ۱۷۰ص [ میراث اسلامی: 10- 750]</w:t>
      </w:r>
    </w:p>
    <w:p>
      <w:pPr>
        <w:pStyle w:val="BookText"/>
      </w:pPr>
      <w:r>
        <w:rPr>
          <w:rFonts w:ascii="IRNazanin" w:hAnsi="IRNazanin" w:eastAsia="IRNazanin" w:cs="IRNazanin"/>
          <w:lang w:bidi="fa-IR"/>
          <w:color w:val="111111"/>
          <w:sz w:val="28"/>
          <w:szCs w:val="28"/>
          <w:rtl/>
        </w:rPr>
        <w:t xml:space="preserve">۲۳۳۸. تهران؛ رجائی زفره ای محمد حسن؛ شماره نسخه: بدون شماره</w:t>
      </w:r>
    </w:p>
    <w:p>
      <w:pPr>
        <w:pStyle w:val="BookText"/>
      </w:pPr>
      <w:r>
        <w:rPr>
          <w:rFonts w:ascii="IRNazanin" w:hAnsi="IRNazanin" w:eastAsia="IRNazanin" w:cs="IRNazanin"/>
          <w:lang w:bidi="fa-IR"/>
          <w:color w:val="111111"/>
          <w:sz w:val="28"/>
          <w:szCs w:val="28"/>
          <w:rtl/>
        </w:rPr>
        <w:t xml:space="preserve">۱۲ بند محتشم، مرثیه های جودی، چند مجلس روضه؛ بی کا، بی تا؛ چند صفحه از آن به خط سید حسن برزانی پسر حاج سید احمد؛ هر صفحه بین ۱۴ تا ۲۰ بیت؛ ۱۴۰ص [ میراث اسلامی: ۱۰ – ۷۵۰]</w:t>
      </w:r>
    </w:p>
    <w:p>
      <w:pPr>
        <w:pStyle w:val="BookText"/>
      </w:pPr>
      <w:r>
        <w:rPr>
          <w:rFonts w:ascii="IRNazanin" w:hAnsi="IRNazanin" w:eastAsia="IRNazanin" w:cs="IRNazanin"/>
          <w:lang w:bidi="fa-IR"/>
          <w:color w:val="111111"/>
          <w:sz w:val="28"/>
          <w:szCs w:val="28"/>
          <w:rtl/>
        </w:rPr>
        <w:t xml:space="preserve">۲۳۳۹. مشهد؛ ادبیات؛ شماره نسخه: ۴۰/۱۱ فرخ</w:t>
      </w:r>
    </w:p>
    <w:p>
      <w:pPr>
        <w:pStyle w:val="BookText"/>
      </w:pPr>
      <w:r>
        <w:rPr>
          <w:rFonts w:ascii="IRNazanin" w:hAnsi="IRNazanin" w:eastAsia="IRNazanin" w:cs="IRNazanin"/>
          <w:lang w:bidi="fa-IR"/>
          <w:color w:val="111111"/>
          <w:sz w:val="28"/>
          <w:szCs w:val="28"/>
          <w:rtl/>
        </w:rPr>
        <w:t xml:space="preserve">بحر طویل دروصف شمایل جوان ترسائی؛ خط: نستعلیق، بی کا، بی تا؛ کاغذ: الوان، جلد: مقوا روغنی دارای سه ترنج و حاشیه که در داخل گل و بوته اندازی شده، عطف میشن، ۱۲ص (۱-۱۲)، قطع:پستی،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۲۰۶]</w:t>
      </w:r>
    </w:p>
    <w:p>
      <w:pPr>
        <w:pStyle w:val="BookText"/>
      </w:pPr>
      <w:r>
        <w:rPr>
          <w:rFonts w:ascii="IRNazanin" w:hAnsi="IRNazanin" w:eastAsia="IRNazanin" w:cs="IRNazanin"/>
          <w:lang w:bidi="fa-IR"/>
          <w:color w:val="111111"/>
          <w:sz w:val="28"/>
          <w:szCs w:val="28"/>
          <w:rtl/>
        </w:rPr>
        <w:t xml:space="preserve">۲۳۴۰ . مشهد؛ الهیات؛ شماره نسخه: ۱۹۲۵۸</w:t>
      </w:r>
    </w:p>
    <w:p>
      <w:pPr>
        <w:pStyle w:val="BookText"/>
      </w:pPr>
      <w:r>
        <w:rPr>
          <w:rFonts w:ascii="IRNazanin" w:hAnsi="IRNazanin" w:eastAsia="IRNazanin" w:cs="IRNazanin"/>
          <w:lang w:bidi="fa-IR"/>
          <w:color w:val="111111"/>
          <w:sz w:val="28"/>
          <w:szCs w:val="28"/>
          <w:rtl/>
        </w:rPr>
        <w:t xml:space="preserve">شامل طریقه آداب نماز شب، طریق نماز جعفر طیار، غزلی با مطلع: طوطی طبع دیگر باره نوائی دارد، و قطعه ای از: قاسم، اشعاری در مدح مولا علی (علیه السّلام)و اشعاری از شیخ بهائی ،جامی، انوری، سعدی. نان و حلوای شیخ بهائی، اشعاری از بابا طاهر؛ خط: نسخ و نستعلیق، بی کا، بی تا؛ مهر: «عبده الراجي محمد تقی» (بیضی)؛ جلد: تیماج لایه ای قهوه ای، ۱۱۱گ، مختلف السطر، اندازه: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۲ - ۳۱۶]</w:t>
      </w:r>
    </w:p>
    <w:p>
      <w:pPr>
        <w:pStyle w:val="BookText"/>
      </w:pPr>
      <w:r>
        <w:rPr>
          <w:rFonts w:ascii="IRNazanin" w:hAnsi="IRNazanin" w:eastAsia="IRNazanin" w:cs="IRNazanin"/>
          <w:lang w:bidi="fa-IR"/>
          <w:color w:val="111111"/>
          <w:sz w:val="28"/>
          <w:szCs w:val="28"/>
          <w:rtl/>
        </w:rPr>
        <w:t xml:space="preserve">۲۳۴۱. مشهد؛ رضوی؛ شماره نسخه: ۴۴۸۳</w:t>
      </w:r>
    </w:p>
    <w:p>
      <w:pPr>
        <w:pStyle w:val="BookText"/>
      </w:pPr>
      <w:r>
        <w:rPr>
          <w:rFonts w:ascii="IRNazanin" w:hAnsi="IRNazanin" w:eastAsia="IRNazanin" w:cs="IRNazanin"/>
          <w:lang w:bidi="fa-IR"/>
          <w:color w:val="111111"/>
          <w:sz w:val="28"/>
          <w:szCs w:val="28"/>
          <w:rtl/>
        </w:rPr>
        <w:t xml:space="preserve">آغاز: من درین شیوه از وی افزونم *** اگر این راستت ملعونم؛</w:t>
      </w:r>
    </w:p>
    <w:p>
      <w:pPr>
        <w:pStyle w:val="BookText"/>
      </w:pPr>
      <w:r>
        <w:rPr>
          <w:rFonts w:ascii="IRNazanin" w:hAnsi="IRNazanin" w:eastAsia="IRNazanin" w:cs="IRNazanin"/>
          <w:lang w:bidi="fa-IR"/>
          <w:color w:val="111111"/>
          <w:sz w:val="28"/>
          <w:szCs w:val="28"/>
          <w:rtl/>
        </w:rPr>
        <w:t xml:space="preserve">انجام: پای دل مانده بگل مپسندش ***وز دو عالم بگسل پیوندش نسخه ای است بی سروته شامل مربع ترکیب ضیاء اصفهانی، مثنوی بهاریه یا پیر و جوان از میرزا نصیر اصفهانی، مثنوی آذربیگدلی در احوال آقا صادق تفرشی، منتخباتی از عاشق اصفهانی ،خیام، بایزید بسطامی، میرزا جعفر راهب اصفهانی، حکیم سنایی باباطاهر، نظامی، جامی، بانتخاب حاجی محمد زمان جلایر کلاتی متخلص به ساقی متوفی؛ خط: شکسته نستعلیق، کا: ساقی کلاتی، بی تا ،تحریر به طرز چلیپا؛ واقف: نایینی؛ کاغذ: آبی فرنگی آهار مهره ،جلد: تیماج عنابی یک لا، ۹۱گ، مختلف السطر، اندازه: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۱۸/۵سم [ف : ۷ - ۲۲۵]</w:t>
      </w:r>
    </w:p>
    <w:p>
      <w:pPr>
        <w:pStyle w:val="BookText"/>
      </w:pPr>
      <w:r>
        <w:rPr>
          <w:rFonts w:ascii="IRNazanin" w:hAnsi="IRNazanin" w:eastAsia="IRNazanin" w:cs="IRNazanin"/>
          <w:lang w:bidi="fa-IR"/>
          <w:color w:val="111111"/>
          <w:sz w:val="28"/>
          <w:szCs w:val="28"/>
          <w:rtl/>
        </w:rPr>
        <w:t xml:space="preserve">۲۳۴۲ . مشهد؛ رضوی؛ شماره نسخه: ۴۵۱۶</w:t>
      </w:r>
    </w:p>
    <w:p>
      <w:pPr>
        <w:pStyle w:val="BookText"/>
      </w:pPr>
      <w:r>
        <w:rPr>
          <w:rFonts w:ascii="IRNazanin" w:hAnsi="IRNazanin" w:eastAsia="IRNazanin" w:cs="IRNazanin"/>
          <w:lang w:bidi="fa-IR"/>
          <w:color w:val="111111"/>
          <w:sz w:val="28"/>
          <w:szCs w:val="28"/>
          <w:rtl/>
        </w:rPr>
        <w:t xml:space="preserve">آغاز: مکن ای زبده اکوان مکان در عالم امکان *** مکان بگذار و بالا رو بسوى مبداء اکوان؛ انجام: غزل خواجه عليه الرحمه</w:t>
      </w:r>
    </w:p>
    <w:p>
      <w:pPr>
        <w:pStyle w:val="BookText"/>
      </w:pPr>
      <w:r>
        <w:rPr>
          <w:rFonts w:ascii="IRNazanin" w:hAnsi="IRNazanin" w:eastAsia="IRNazanin" w:cs="IRNazanin"/>
          <w:lang w:bidi="fa-IR"/>
          <w:color w:val="111111"/>
          <w:sz w:val="28"/>
          <w:szCs w:val="28"/>
          <w:rtl/>
        </w:rPr>
        <w:t xml:space="preserve">غزل و قصیده و رباعی است از شعرای مختلف که از قرن ۱۳ تا ۱۴ به خط چند کاتب نوشته شده؛ خط: نسخ و نستعلیق و شکسته،
</w:t>
      </w:r>
    </w:p>
    <w:p>
      <w:pPr>
        <w:sectPr>
          <w:footerReference w:type="default" r:id="rId9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 کا، بی تا؛ واقف: حاج عماد فهرستی ،کاغذ: فرنگی، جـلد: مقوایی، ۱۳۰گ، مختلف السطر، اندازه: ۱۱/۲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[ف:7- 227]</w:t>
      </w:r>
    </w:p>
    <w:p>
      <w:pPr>
        <w:pStyle w:val="BookText"/>
      </w:pPr>
      <w:r>
        <w:rPr>
          <w:rFonts w:ascii="IRNazanin" w:hAnsi="IRNazanin" w:eastAsia="IRNazanin" w:cs="IRNazanin"/>
          <w:lang w:bidi="fa-IR"/>
          <w:color w:val="111111"/>
          <w:sz w:val="28"/>
          <w:szCs w:val="28"/>
          <w:rtl/>
        </w:rPr>
        <w:t xml:space="preserve">۲۳۴۳. تهران؛ مجلس؛ شماره نسخه: ۱۸۶۳۳</w:t>
      </w:r>
    </w:p>
    <w:p>
      <w:pPr>
        <w:pStyle w:val="BookText"/>
      </w:pPr>
      <w:r>
        <w:rPr>
          <w:rFonts w:ascii="IRNazanin" w:hAnsi="IRNazanin" w:eastAsia="IRNazanin" w:cs="IRNazanin"/>
          <w:lang w:bidi="fa-IR"/>
          <w:color w:val="111111"/>
          <w:sz w:val="28"/>
          <w:szCs w:val="28"/>
          <w:rtl/>
        </w:rPr>
        <w:t xml:space="preserve">جنگ بیاض به بیاض به نظم و نثر اشعار در شهادت حضرت مسلم وغیره؛ بی کا، بی تا [د.ث. مجلس ]</w:t>
      </w:r>
    </w:p>
    <w:p>
      <w:pPr>
        <w:pStyle w:val="BookText"/>
      </w:pPr>
      <w:r>
        <w:rPr>
          <w:rFonts w:ascii="IRNazanin" w:hAnsi="IRNazanin" w:eastAsia="IRNazanin" w:cs="IRNazanin"/>
          <w:lang w:bidi="fa-IR"/>
          <w:color w:val="111111"/>
          <w:sz w:val="28"/>
          <w:szCs w:val="28"/>
          <w:rtl/>
        </w:rPr>
        <w:t xml:space="preserve">۲۳۴۴. تبریز؛ ملی؛ شماره نسخه: ۳۰۴۱</w:t>
      </w:r>
    </w:p>
    <w:p>
      <w:pPr>
        <w:pStyle w:val="BookText"/>
      </w:pPr>
      <w:r>
        <w:rPr>
          <w:rFonts w:ascii="IRNazanin" w:hAnsi="IRNazanin" w:eastAsia="IRNazanin" w:cs="IRNazanin"/>
          <w:lang w:bidi="fa-IR"/>
          <w:color w:val="111111"/>
          <w:sz w:val="28"/>
          <w:szCs w:val="28"/>
          <w:rtl/>
        </w:rPr>
        <w:t xml:space="preserve">اشعار منتخبی است از دواوين شعرا؛ بی کا، بی تا ؛جلد: چرمی سرخ و مجدول، ۹۸گ، ۸ سطر، اندازه: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۱۷/۵سم :[ف ۱ - 343]</w:t>
      </w:r>
    </w:p>
    <w:p>
      <w:pPr>
        <w:pStyle w:val="BookText"/>
      </w:pPr>
      <w:r>
        <w:rPr>
          <w:rFonts w:ascii="IRNazanin" w:hAnsi="IRNazanin" w:eastAsia="IRNazanin" w:cs="IRNazanin"/>
          <w:lang w:bidi="fa-IR"/>
          <w:color w:val="111111"/>
          <w:sz w:val="28"/>
          <w:szCs w:val="28"/>
          <w:rtl/>
        </w:rPr>
        <w:t xml:space="preserve">۲۳۴۵. تبریز؛ ملی؛ شماره نسخه: ۳۰۴۲</w:t>
      </w:r>
    </w:p>
    <w:p>
      <w:pPr>
        <w:pStyle w:val="BookText"/>
      </w:pPr>
      <w:r>
        <w:rPr>
          <w:rFonts w:ascii="IRNazanin" w:hAnsi="IRNazanin" w:eastAsia="IRNazanin" w:cs="IRNazanin"/>
          <w:lang w:bidi="fa-IR"/>
          <w:color w:val="111111"/>
          <w:sz w:val="28"/>
          <w:szCs w:val="28"/>
          <w:rtl/>
        </w:rPr>
        <w:t xml:space="preserve">اشعاری است از سعدی و حافظ و مدهوش؛ خط: تعلیق، بی کا، بی تا ،مجدول، مذهب، دارای سه سرلوح با خط زیبای تعلیق؛ جلد: چرمی ،۱۵۷گ، ۶ سطر ،اندازه: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۱ - ۳۴۴]</w:t>
      </w:r>
    </w:p>
    <w:p>
      <w:pPr>
        <w:pStyle w:val="BookText"/>
      </w:pPr>
      <w:r>
        <w:rPr>
          <w:rFonts w:ascii="IRNazanin" w:hAnsi="IRNazanin" w:eastAsia="IRNazanin" w:cs="IRNazanin"/>
          <w:lang w:bidi="fa-IR"/>
          <w:color w:val="111111"/>
          <w:sz w:val="28"/>
          <w:szCs w:val="28"/>
          <w:rtl/>
        </w:rPr>
        <w:t xml:space="preserve">۲۳۴۶. تبریز؛ ملی؛ شماره نسخه: ۲۶۲۴/۲</w:t>
      </w:r>
    </w:p>
    <w:p>
      <w:pPr>
        <w:pStyle w:val="BookText"/>
      </w:pPr>
      <w:r>
        <w:rPr>
          <w:rFonts w:ascii="IRNazanin" w:hAnsi="IRNazanin" w:eastAsia="IRNazanin" w:cs="IRNazanin"/>
          <w:lang w:bidi="fa-IR"/>
          <w:color w:val="111111"/>
          <w:sz w:val="28"/>
          <w:szCs w:val="28"/>
          <w:rtl/>
        </w:rPr>
        <w:t xml:space="preserve">رباعیات بابا طاهر و ابوسعید ابوالخیر است؛ بی کا، بی تا؛ ۸گ (۳۱-۳۴) [ف: ۱ - ۳۵۲]</w:t>
      </w:r>
    </w:p>
    <w:p>
      <w:pPr>
        <w:pStyle w:val="BookText"/>
      </w:pPr>
      <w:r>
        <w:rPr>
          <w:rFonts w:ascii="IRNazanin" w:hAnsi="IRNazanin" w:eastAsia="IRNazanin" w:cs="IRNazanin"/>
          <w:lang w:bidi="fa-IR"/>
          <w:color w:val="111111"/>
          <w:sz w:val="28"/>
          <w:szCs w:val="28"/>
          <w:rtl/>
        </w:rPr>
        <w:t xml:space="preserve">۲۳۴۷. تهران؛ مفتاح؛ شماره نسخه: ۸۴۳</w:t>
      </w:r>
    </w:p>
    <w:p>
      <w:pPr>
        <w:pStyle w:val="BookText"/>
      </w:pPr>
      <w:r>
        <w:rPr>
          <w:rFonts w:ascii="IRNazanin" w:hAnsi="IRNazanin" w:eastAsia="IRNazanin" w:cs="IRNazanin"/>
          <w:lang w:bidi="fa-IR"/>
          <w:color w:val="111111"/>
          <w:sz w:val="28"/>
          <w:szCs w:val="28"/>
          <w:rtl/>
        </w:rPr>
        <w:t xml:space="preserve">قصيده تهنیت و تبریک جشن تاج گذاری احمد شاه از عمدی در۱۳۳۲؛ خط: نستعلیق، بی کا، بی تا؛ نسخه اصل، ربعی [ نشریه: 7- 203]</w:t>
      </w:r>
    </w:p>
    <w:p>
      <w:pPr>
        <w:pStyle w:val="BookText"/>
      </w:pPr>
      <w:r>
        <w:rPr>
          <w:rFonts w:ascii="IRNazanin" w:hAnsi="IRNazanin" w:eastAsia="IRNazanin" w:cs="IRNazanin"/>
          <w:lang w:bidi="fa-IR"/>
          <w:color w:val="111111"/>
          <w:sz w:val="28"/>
          <w:szCs w:val="28"/>
          <w:rtl/>
        </w:rPr>
        <w:t xml:space="preserve">۲۳۴۸. تهران؛ دانشگاه؛ شماره نسخه: ۴۳۴۵/۱۴-ف</w:t>
      </w:r>
    </w:p>
    <w:p>
      <w:pPr>
        <w:pStyle w:val="BookText"/>
      </w:pPr>
      <w:r>
        <w:rPr>
          <w:rFonts w:ascii="IRNazanin" w:hAnsi="IRNazanin" w:eastAsia="IRNazanin" w:cs="IRNazanin"/>
          <w:lang w:bidi="fa-IR"/>
          <w:color w:val="111111"/>
          <w:sz w:val="28"/>
          <w:szCs w:val="28"/>
          <w:rtl/>
        </w:rPr>
        <w:t xml:space="preserve">نسخه اصل: دانشگاه پرینستن، ش ۳۵۵۹.من مقالة السنائى (شعـری از اوست)؛ ۴گ (۲۹۰-۲۹۴)[ فیلمها: ۳ - ۴۹]</w:t>
      </w:r>
    </w:p>
    <w:p>
      <w:pPr>
        <w:pStyle w:val="BookText"/>
      </w:pPr>
      <w:r>
        <w:rPr>
          <w:rFonts w:ascii="IRNazanin" w:hAnsi="IRNazanin" w:eastAsia="IRNazanin" w:cs="IRNazanin"/>
          <w:lang w:bidi="fa-IR"/>
          <w:color w:val="111111"/>
          <w:sz w:val="28"/>
          <w:szCs w:val="28"/>
          <w:rtl/>
        </w:rPr>
        <w:t xml:space="preserve">۲۳۴۹. تهران؛ مجلس؛ شماره نسخه: ۱۷۷۱۲</w:t>
      </w:r>
    </w:p>
    <w:p>
      <w:pPr>
        <w:pStyle w:val="BookText"/>
      </w:pPr>
      <w:r>
        <w:rPr>
          <w:rFonts w:ascii="IRNazanin" w:hAnsi="IRNazanin" w:eastAsia="IRNazanin" w:cs="IRNazanin"/>
          <w:lang w:bidi="fa-IR"/>
          <w:color w:val="111111"/>
          <w:sz w:val="28"/>
          <w:szCs w:val="28"/>
          <w:rtl/>
        </w:rPr>
        <w:t xml:space="preserve">به نظم و نثر، صورت عقدنامه، اشعاری از آقا مؤمن تفرشی متخلص به داعی، اشعار از زین العابدین تفرشی متخلص به عارف ،دری، وفائی ،شوشتری، شهاب اصفهانی و غیره؛ بی کا، بی تا [د.ث. مجلس ]</w:t>
      </w:r>
    </w:p>
    <w:p>
      <w:pPr>
        <w:pStyle w:val="BookText"/>
      </w:pPr>
      <w:r>
        <w:rPr>
          <w:rFonts w:ascii="IRNazanin" w:hAnsi="IRNazanin" w:eastAsia="IRNazanin" w:cs="IRNazanin"/>
          <w:lang w:bidi="fa-IR"/>
          <w:color w:val="111111"/>
          <w:sz w:val="28"/>
          <w:szCs w:val="28"/>
          <w:rtl/>
        </w:rPr>
        <w:t xml:space="preserve">۲۳۵۰. تهران؛ مجلس؛ شماره نسخه: ۱۸۰۷۰</w:t>
      </w:r>
    </w:p>
    <w:p>
      <w:pPr>
        <w:pStyle w:val="BookText"/>
      </w:pPr>
      <w:r>
        <w:rPr>
          <w:rFonts w:ascii="IRNazanin" w:hAnsi="IRNazanin" w:eastAsia="IRNazanin" w:cs="IRNazanin"/>
          <w:lang w:bidi="fa-IR"/>
          <w:color w:val="111111"/>
          <w:sz w:val="28"/>
          <w:szCs w:val="28"/>
          <w:rtl/>
        </w:rPr>
        <w:t xml:space="preserve">شامل نامه ای به نظم از رشیدخان شاگرد ملکم خان به میرزا علی اصغر اتابک، اشعار میرزا ابوالحسن معتمد الاطباء (صاحب جنگ) و غیر مشاهیر چون: هدایت شمس الادباء،صفائی و غیره؛ بی کا، بی تا [د.ث. مجلس ]</w:t>
      </w:r>
    </w:p>
    <w:p>
      <w:pPr>
        <w:pStyle w:val="BookText"/>
      </w:pPr>
      <w:r>
        <w:rPr>
          <w:rFonts w:ascii="IRNazanin" w:hAnsi="IRNazanin" w:eastAsia="IRNazanin" w:cs="IRNazanin"/>
          <w:lang w:bidi="fa-IR"/>
          <w:color w:val="111111"/>
          <w:sz w:val="28"/>
          <w:szCs w:val="28"/>
          <w:rtl/>
        </w:rPr>
        <w:t xml:space="preserve">۲۳۵۱. تبریز؛ ملی؛ شماره نسخه: ۳۰۴۳</w:t>
      </w:r>
    </w:p>
    <w:p>
      <w:pPr>
        <w:pStyle w:val="BookText"/>
      </w:pPr>
      <w:r>
        <w:rPr>
          <w:rFonts w:ascii="IRNazanin" w:hAnsi="IRNazanin" w:eastAsia="IRNazanin" w:cs="IRNazanin"/>
          <w:lang w:bidi="fa-IR"/>
          <w:color w:val="111111"/>
          <w:sz w:val="28"/>
          <w:szCs w:val="28"/>
          <w:rtl/>
        </w:rPr>
        <w:t xml:space="preserve">منتخب اشعاری از آثار شعرای متفرقه؛ خط: تعلیق ،بی کا، بی تا؛ کاغذ: نیلی، جلد: چرمی سرخ نرم، ۹۰گ، ۸ و ۹ سطر، اندازه: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۱ - ۳۴۴]</w:t>
      </w:r>
    </w:p>
    <w:p>
      <w:pPr>
        <w:pStyle w:val="BookText"/>
      </w:pPr>
      <w:r>
        <w:rPr>
          <w:rFonts w:ascii="IRNazanin" w:hAnsi="IRNazanin" w:eastAsia="IRNazanin" w:cs="IRNazanin"/>
          <w:lang w:bidi="fa-IR"/>
          <w:color w:val="111111"/>
          <w:sz w:val="28"/>
          <w:szCs w:val="28"/>
          <w:rtl/>
        </w:rPr>
        <w:t xml:space="preserve">۲۳۵۲. مشهد؛ ادبیات؛ شماره نسخه: ۲۰۶۲۶</w:t>
      </w:r>
    </w:p>
    <w:p>
      <w:pPr>
        <w:pStyle w:val="BookText"/>
      </w:pPr>
      <w:r>
        <w:rPr>
          <w:rFonts w:ascii="IRNazanin" w:hAnsi="IRNazanin" w:eastAsia="IRNazanin" w:cs="IRNazanin"/>
          <w:lang w:bidi="fa-IR"/>
          <w:color w:val="111111"/>
          <w:sz w:val="28"/>
          <w:szCs w:val="28"/>
          <w:rtl/>
        </w:rPr>
        <w:t xml:space="preserve">شامل اشعاری چند، جزو گروه مرقعات آمده؛ خط: شکسـته، نستعلیق، بی کا، بی تا؛ به طور چلیپا، کاغذ متن و حاشیه؛ جـلد: تيماج مشکی حاشیه طلا،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۱۵۸]</w:t>
      </w:r>
    </w:p>
    <w:p>
      <w:pPr>
        <w:pStyle w:val="BookText"/>
      </w:pPr>
      <w:r>
        <w:rPr>
          <w:rFonts w:ascii="IRNazanin" w:hAnsi="IRNazanin" w:eastAsia="IRNazanin" w:cs="IRNazanin"/>
          <w:lang w:bidi="fa-IR"/>
          <w:color w:val="111111"/>
          <w:sz w:val="28"/>
          <w:szCs w:val="28"/>
          <w:rtl/>
        </w:rPr>
        <w:t xml:space="preserve">۲۳۵۳. تهران؛ مجلس؛ شماره نسخه: ۵۱۶۳/۱۸</w:t>
      </w:r>
    </w:p>
    <w:p>
      <w:pPr>
        <w:pStyle w:val="BookText"/>
      </w:pPr>
      <w:r>
        <w:rPr>
          <w:rFonts w:ascii="IRNazanin" w:hAnsi="IRNazanin" w:eastAsia="IRNazanin" w:cs="IRNazanin"/>
          <w:lang w:bidi="fa-IR"/>
          <w:color w:val="111111"/>
          <w:sz w:val="28"/>
          <w:szCs w:val="28"/>
          <w:rtl/>
        </w:rPr>
        <w:t xml:space="preserve">آغاز: اعلم علوم اولین*** دانای رمز آخرین؛ انجام: حلال جمله مشکلی *** بر خلق، شاه عادلی</w:t>
      </w:r>
    </w:p>
    <w:p>
      <w:pPr>
        <w:pStyle w:val="BookText"/>
      </w:pPr>
      <w:r>
        <w:rPr>
          <w:rFonts w:ascii="IRNazanin" w:hAnsi="IRNazanin" w:eastAsia="IRNazanin" w:cs="IRNazanin"/>
          <w:lang w:bidi="fa-IR"/>
          <w:color w:val="111111"/>
          <w:sz w:val="28"/>
          <w:szCs w:val="28"/>
          <w:rtl/>
        </w:rPr>
        <w:t xml:space="preserve">ترجیح بند؛ بی کا، بی تا [ف: ۱۵ - ۲۹۸]</w:t>
      </w:r>
    </w:p>
    <w:p>
      <w:pPr>
        <w:pStyle w:val="BookText"/>
      </w:pPr>
      <w:r>
        <w:rPr>
          <w:rFonts w:ascii="IRNazanin" w:hAnsi="IRNazanin" w:eastAsia="IRNazanin" w:cs="IRNazanin"/>
          <w:lang w:bidi="fa-IR"/>
          <w:color w:val="111111"/>
          <w:sz w:val="28"/>
          <w:szCs w:val="28"/>
          <w:rtl/>
        </w:rPr>
        <w:t xml:space="preserve">۲۳۵۴. تهران؛ مجلس؛ شماره نسخه: ۵۱۶۳/۲۰</w:t>
      </w:r>
    </w:p>
    <w:p>
      <w:pPr>
        <w:pStyle w:val="BookText"/>
      </w:pPr>
      <w:r>
        <w:rPr>
          <w:rFonts w:ascii="IRNazanin" w:hAnsi="IRNazanin" w:eastAsia="IRNazanin" w:cs="IRNazanin"/>
          <w:lang w:bidi="fa-IR"/>
          <w:color w:val="111111"/>
          <w:sz w:val="28"/>
          <w:szCs w:val="28"/>
          <w:rtl/>
        </w:rPr>
        <w:t xml:space="preserve">آغاز: اعلم علوم اولین*** دانای رمز آخرین؛ انجام: گلدسته بند باغ دین *** یعنی امیر المومنين</w:t>
      </w:r>
    </w:p>
    <w:p>
      <w:pPr>
        <w:pStyle w:val="BookText"/>
      </w:pPr>
      <w:r>
        <w:rPr>
          <w:rFonts w:ascii="IRNazanin" w:hAnsi="IRNazanin" w:eastAsia="IRNazanin" w:cs="IRNazanin"/>
          <w:lang w:bidi="fa-IR"/>
          <w:color w:val="111111"/>
          <w:sz w:val="28"/>
          <w:szCs w:val="28"/>
          <w:rtl/>
        </w:rPr>
        <w:t xml:space="preserve">ترجیح بند؛ بی کا، بی تا [ف: ۱۵ - ۲۹۹]</w:t>
      </w:r>
    </w:p>
    <w:p>
      <w:pPr>
        <w:pStyle w:val="BookText"/>
      </w:pPr>
      <w:r>
        <w:rPr>
          <w:rFonts w:ascii="IRNazanin" w:hAnsi="IRNazanin" w:eastAsia="IRNazanin" w:cs="IRNazanin"/>
          <w:lang w:bidi="fa-IR"/>
          <w:color w:val="111111"/>
          <w:sz w:val="28"/>
          <w:szCs w:val="28"/>
          <w:rtl/>
        </w:rPr>
        <w:t xml:space="preserve">۲۳۵۵. تهران؛ دانشگاه؛ شماره نسخه: ۴۷۱۰/۵</w:t>
      </w:r>
    </w:p>
    <w:p>
      <w:pPr>
        <w:pStyle w:val="BookText"/>
      </w:pPr>
      <w:r>
        <w:rPr>
          <w:rFonts w:ascii="IRNazanin" w:hAnsi="IRNazanin" w:eastAsia="IRNazanin" w:cs="IRNazanin"/>
          <w:lang w:bidi="fa-IR"/>
          <w:color w:val="111111"/>
          <w:sz w:val="28"/>
          <w:szCs w:val="28"/>
          <w:rtl/>
        </w:rPr>
        <w:t xml:space="preserve">ترجیعات؛ بی کا، بی تا؛ کاغذ: فرنگی، جلد: تیماج قهوه ای مقوایی، ۶۹-۱۲۳ هامش ۱۰ سطر (5</w:t>
      </w:r>
      <w:r>
        <w:rPr>
          <w:rFonts w:ascii="Times New Roman" w:hAnsi="Times New Roman" w:eastAsia="Times New Roman" w:cs="Times New Roman"/>
          <w:lang w:val="en-US" w:bidi="en-US"/>
          <w:color w:val="111111"/>
          <w:sz w:val="28"/>
          <w:szCs w:val="28"/>
          <w:rtl/>
        </w:rPr>
        <w:t xml:space="preserve">×9) </w:t>
      </w:r>
      <w:r>
        <w:rPr>
          <w:rFonts w:ascii="IRNazanin" w:hAnsi="IRNazanin" w:eastAsia="IRNazanin" w:cs="IRNazanin"/>
          <w:lang w:bidi="fa-IR"/>
          <w:color w:val="111111"/>
          <w:sz w:val="28"/>
          <w:szCs w:val="28"/>
          <w:rtl/>
        </w:rPr>
        <w:t xml:space="preserve">،اندازه: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[ف:14- 3656]</w:t>
      </w:r>
    </w:p>
    <w:p>
      <w:pPr>
        <w:pStyle w:val="BookText"/>
      </w:pPr>
      <w:r>
        <w:rPr>
          <w:rFonts w:ascii="IRNazanin" w:hAnsi="IRNazanin" w:eastAsia="IRNazanin" w:cs="IRNazanin"/>
          <w:lang w:bidi="fa-IR"/>
          <w:color w:val="111111"/>
          <w:sz w:val="28"/>
          <w:szCs w:val="28"/>
          <w:rtl/>
        </w:rPr>
        <w:t xml:space="preserve">۲۳۵۶. تهران؛ دانشگاه؛ شماره نسخه: ۳۵۳۳/۲</w:t>
      </w:r>
    </w:p>
    <w:p>
      <w:pPr>
        <w:pStyle w:val="BookText"/>
      </w:pPr>
      <w:r>
        <w:rPr>
          <w:rFonts w:ascii="IRNazanin" w:hAnsi="IRNazanin" w:eastAsia="IRNazanin" w:cs="IRNazanin"/>
          <w:lang w:bidi="fa-IR"/>
          <w:color w:val="111111"/>
          <w:sz w:val="28"/>
          <w:szCs w:val="28"/>
          <w:rtl/>
        </w:rPr>
        <w:t xml:space="preserve">دوازده ترجیع بند فارسی است بدین گونه: از ملای روم (1- 5)،فضل الله استرابادی، نسیمی (۸-۱۱) عراقی (۱۱-۲۹) اوحدی مغربی (۴۳-۵۸) سید نعمة الله کرمانی خواجوی کرمانی (۶۰ -۷۰ )،ناصر بخارایی ،اشرف (۷۶-۸۴)، سلمان ساوجی، قاسم انوار (۹۳-۸۸)؛ خط: نستعلیق، بی کا، بی تا؛ کاغذ ،فرنگی ،جلد: تیماج تریاکی مقوایی درون زرد، ۱۵ سطر (9</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۱۲ - ۲۵۵۲  ]</w:t>
      </w:r>
    </w:p>
    <w:p>
      <w:pPr>
        <w:pStyle w:val="BookText"/>
      </w:pPr>
      <w:r>
        <w:rPr>
          <w:rFonts w:ascii="IRNazanin" w:hAnsi="IRNazanin" w:eastAsia="IRNazanin" w:cs="IRNazanin"/>
          <w:lang w:bidi="fa-IR"/>
          <w:color w:val="111111"/>
          <w:sz w:val="28"/>
          <w:szCs w:val="28"/>
          <w:rtl/>
        </w:rPr>
        <w:t xml:space="preserve">۲۳۵۷. تهران؛ دانشگاه؛ شماره نسخه: ۳۱۱۴/۲</w:t>
      </w:r>
    </w:p>
    <w:p>
      <w:pPr>
        <w:pStyle w:val="BookText"/>
      </w:pPr>
      <w:r>
        <w:rPr>
          <w:rFonts w:ascii="IRNazanin" w:hAnsi="IRNazanin" w:eastAsia="IRNazanin" w:cs="IRNazanin"/>
          <w:lang w:bidi="fa-IR"/>
          <w:color w:val="111111"/>
          <w:sz w:val="28"/>
          <w:szCs w:val="28"/>
          <w:rtl/>
        </w:rPr>
        <w:t xml:space="preserve">اشعاری از: ظهیر، هلالی، شیخ نجم الدین، افضل کاشی، میر علاء الدین کاشی، میر جعفر کاشی، شیخ بهائی، میر ابوالحسن فراهانی، میرملک،خیام، میرزا رضی، میر داماد، کمال اشعری، آقا حسین، خواجه طوسی، رازی، ابن سینا ،طیفور، مسکین، اشراق، سحابی، سعدی ،مولوی، عصمت بخارایی، ،فعالی، حكيم عماد الدين، ،معزی، شیخ علی نقی، سلطان قمی، ابن یمین، عراقی، غیاثای ،حلوایی، ناصر خسرو ،رفیق، میر عیسی، مشتاق، محتشم، امیدی، ملا جلال دوانی به جامی (رقعه ای است به نثر و نظم و در آن از شاه سلیمان بهادر خان صفوی یاد شده است)، خواجه سلیمان، امید، شاکر، مرتضی قلی سلطان، میر قاسم مشهدی، ساقی نامه میرزا رضی (۲۴۱)، میرزا قوام (دوازده امام)، بهایی (شیر و شکر)، شاه طاهر، آقا رضا ،حکیم، صیدی، وحشی، فردوسی، شیخ علی نقی کمره ای ،قدسی ،زلالی، شاه عباس (ص ۲۸۱)، میرزا زاهد علی سخا؛ خط: شکسته نستعلیق، کا: محمد صادق، بی تا؛ کاغذ: فرنگی ،جلد: تیماج قهوه ای ۹۹گ (۱۹۰-۲۸۹)، ۸ سطر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 ۱۱ - ۲۰۶۸]</w:t>
      </w:r>
    </w:p>
    <w:p>
      <w:pPr>
        <w:pStyle w:val="BookText"/>
      </w:pPr>
      <w:r>
        <w:rPr>
          <w:rFonts w:ascii="IRNazanin" w:hAnsi="IRNazanin" w:eastAsia="IRNazanin" w:cs="IRNazanin"/>
          <w:lang w:bidi="fa-IR"/>
          <w:color w:val="111111"/>
          <w:sz w:val="28"/>
          <w:szCs w:val="28"/>
          <w:rtl/>
        </w:rPr>
        <w:t xml:space="preserve">2358 . اهواز؛ دانشگاه اهواز؛ شماره نسخه: بدون شماره</w:t>
      </w:r>
    </w:p>
    <w:p>
      <w:pPr>
        <w:pStyle w:val="BookText"/>
      </w:pPr>
      <w:r>
        <w:rPr>
          <w:rFonts w:ascii="IRNazanin" w:hAnsi="IRNazanin" w:eastAsia="IRNazanin" w:cs="IRNazanin"/>
          <w:lang w:bidi="fa-IR"/>
          <w:color w:val="111111"/>
          <w:sz w:val="28"/>
          <w:szCs w:val="28"/>
          <w:rtl/>
        </w:rPr>
        <w:t xml:space="preserve">جنگ شعر ؛کا: سید نورالدین امام شوشتری، بی تا [میراث اسلامی:  5- 589]</w:t>
      </w:r>
    </w:p>
    <w:p>
      <w:pPr>
        <w:pStyle w:val="BookText"/>
      </w:pPr>
      <w:r>
        <w:rPr>
          <w:rFonts w:ascii="IRNazanin" w:hAnsi="IRNazanin" w:eastAsia="IRNazanin" w:cs="IRNazanin"/>
          <w:lang w:bidi="fa-IR"/>
          <w:color w:val="111111"/>
          <w:sz w:val="28"/>
          <w:szCs w:val="28"/>
          <w:rtl/>
        </w:rPr>
        <w:t xml:space="preserve">۲۳۵۹. خور؛ حکمت یغمایی، عبد الکریم؛ شماره نسخه: بدون شماره/ ۵</w:t>
      </w:r>
    </w:p>
    <w:p>
      <w:pPr>
        <w:pStyle w:val="BookText"/>
      </w:pPr>
      <w:r>
        <w:rPr>
          <w:rFonts w:ascii="IRNazanin" w:hAnsi="IRNazanin" w:eastAsia="IRNazanin" w:cs="IRNazanin"/>
          <w:lang w:bidi="fa-IR"/>
          <w:color w:val="111111"/>
          <w:sz w:val="28"/>
          <w:szCs w:val="28"/>
          <w:rtl/>
        </w:rPr>
        <w:t xml:space="preserve">به خط حاجی سید احمد لاهیجانی که خود شاعر بود و «بدر» تخلص داشت، برادرش از مشایخ سلسله محمد کریمخانی و مقیم جندق بود در این جنگ که به ده فقره تقسیم شده غزلیات انجمن، قصاید مسمط، قصيده معجز الشوق عرفی ترجمة الشوق فیاض لاهیجانی، ترکیب بند ملاحسن کاشانی و شش شاعری که آن را جواب گفته اند، تخمین ترکیب بند ملاحسن کاشی و گرد
</w:t>
      </w:r>
    </w:p>
    <w:p>
      <w:pPr>
        <w:sectPr>
          <w:footerReference w:type="default" r:id="rId9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آورنده، قصاید نصایح و پندیات، ترکیب بند محتشم درمرثیه برادر، ترکیب بندهایی در تمجید مؤلف که شعرای نجف سروده اند، ترکیب بند میرزا محمد حسین ادیب اصفهانی و اشعار متفـرقه دیگر؛ کا: سید احمد لاهیجانی، بی تا [میراث اسلامی: ۵ - ۶۲۵]</w:t>
      </w:r>
    </w:p>
    <w:p>
      <w:pPr>
        <w:pStyle w:val="BookText"/>
      </w:pPr>
      <w:r>
        <w:rPr>
          <w:rFonts w:ascii="IRNazanin" w:hAnsi="IRNazanin" w:eastAsia="IRNazanin" w:cs="IRNazanin"/>
          <w:lang w:bidi="fa-IR"/>
          <w:color w:val="111111"/>
          <w:sz w:val="28"/>
          <w:szCs w:val="28"/>
          <w:rtl/>
        </w:rPr>
        <w:t xml:space="preserve">۲۳۶۰. تهران؛ دانشگاه؛ شماره نسخه: ۹۴۷۴/۹</w:t>
      </w:r>
    </w:p>
    <w:p>
      <w:pPr>
        <w:pStyle w:val="BookText"/>
      </w:pPr>
      <w:r>
        <w:rPr>
          <w:rFonts w:ascii="IRNazanin" w:hAnsi="IRNazanin" w:eastAsia="IRNazanin" w:cs="IRNazanin"/>
          <w:lang w:bidi="fa-IR"/>
          <w:color w:val="111111"/>
          <w:sz w:val="28"/>
          <w:szCs w:val="28"/>
          <w:rtl/>
        </w:rPr>
        <w:t xml:space="preserve">جنگ شعر فارسی سعدی و مولوی باب الاستعارات به ترکی، جواب مکتوب به فارسی تا می رسد به شعر سعدی از ته به سر نوشته شده است؛ بی کا، بی  تا؛ کاغذ: استانبولی ،جلد: گالینگور، ربعی ، ۸گ، (۹۳ر-۸۵ر)، ۱۹ سطر (۷/۵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اندازه: 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۱۲/۵سم [ف : ۱۷ - ۳۷۹]</w:t>
      </w:r>
    </w:p>
    <w:p>
      <w:pPr>
        <w:pStyle w:val="BookText"/>
      </w:pPr>
      <w:r>
        <w:rPr>
          <w:rFonts w:ascii="IRNazanin" w:hAnsi="IRNazanin" w:eastAsia="IRNazanin" w:cs="IRNazanin"/>
          <w:lang w:bidi="fa-IR"/>
          <w:color w:val="111111"/>
          <w:sz w:val="28"/>
          <w:szCs w:val="28"/>
          <w:rtl/>
        </w:rPr>
        <w:t xml:space="preserve">۲۳۶۱. اراک؛ دهگان؛ شماره نسخه: ۲۱۲/۶</w:t>
      </w:r>
    </w:p>
    <w:p>
      <w:pPr>
        <w:pStyle w:val="BookText"/>
      </w:pPr>
      <w:r>
        <w:rPr>
          <w:rFonts w:ascii="IRNazanin" w:hAnsi="IRNazanin" w:eastAsia="IRNazanin" w:cs="IRNazanin"/>
          <w:lang w:bidi="fa-IR"/>
          <w:color w:val="111111"/>
          <w:sz w:val="28"/>
          <w:szCs w:val="28"/>
          <w:rtl/>
        </w:rPr>
        <w:t xml:space="preserve">آغاز: گر پر مرغ خانگی شوری *** پس بسائی وزر برای طلا؛</w:t>
      </w:r>
    </w:p>
    <w:p>
      <w:pPr>
        <w:pStyle w:val="BookText"/>
      </w:pPr>
      <w:r>
        <w:rPr>
          <w:rFonts w:ascii="IRNazanin" w:hAnsi="IRNazanin" w:eastAsia="IRNazanin" w:cs="IRNazanin"/>
          <w:lang w:bidi="fa-IR"/>
          <w:color w:val="111111"/>
          <w:sz w:val="28"/>
          <w:szCs w:val="28"/>
          <w:rtl/>
        </w:rPr>
        <w:t xml:space="preserve">خط: نسخ و نستعلیق  تحریری، بی کا، بی تا؛ جلد: چرم چرم قهو ه ا ی، ضربی ،كاغذ: متفاوت، ۳ص ،(۲۰-۱۸)، قطع: نیم ربعی، اندازه:1۱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۲ - ۲۷۹]</w:t>
      </w:r>
    </w:p>
    <w:p>
      <w:pPr>
        <w:pStyle w:val="BookText"/>
      </w:pPr>
      <w:r>
        <w:rPr>
          <w:rFonts w:ascii="IRNazanin" w:hAnsi="IRNazanin" w:eastAsia="IRNazanin" w:cs="IRNazanin"/>
          <w:lang w:bidi="fa-IR"/>
          <w:color w:val="111111"/>
          <w:sz w:val="28"/>
          <w:szCs w:val="28"/>
          <w:rtl/>
        </w:rPr>
        <w:t xml:space="preserve">۲۳۶۲ . قم؛ مدرسه رضویه؛ شماره نسخه: ۷۵/۵</w:t>
      </w:r>
    </w:p>
    <w:p>
      <w:pPr>
        <w:pStyle w:val="BookText"/>
      </w:pPr>
      <w:r>
        <w:rPr>
          <w:rFonts w:ascii="IRNazanin" w:hAnsi="IRNazanin" w:eastAsia="IRNazanin" w:cs="IRNazanin"/>
          <w:lang w:bidi="fa-IR"/>
          <w:color w:val="111111"/>
          <w:sz w:val="28"/>
          <w:szCs w:val="28"/>
          <w:rtl/>
        </w:rPr>
        <w:t xml:space="preserve">آغاز: الا ای مست جام کامکاری*** خبر از کوی خاموشان چه داری</w:t>
      </w:r>
    </w:p>
    <w:p>
      <w:pPr>
        <w:pStyle w:val="BookText"/>
      </w:pPr>
      <w:r>
        <w:rPr>
          <w:rFonts w:ascii="IRNazanin" w:hAnsi="IRNazanin" w:eastAsia="IRNazanin" w:cs="IRNazanin"/>
          <w:lang w:bidi="fa-IR"/>
          <w:color w:val="111111"/>
          <w:sz w:val="28"/>
          <w:szCs w:val="28"/>
          <w:rtl/>
        </w:rPr>
        <w:t xml:space="preserve">قصیده ای در رثای ملامحمد طاهر در ۱۰۸ بیت «مهین مسند نشـین شرح محكم *** محمد طاهر آن جان مجسم؛ »؛ خط: نسخ، بی کا، بی تا؛ ۳گ (۱۲۰ پ -۱۲۳پ)، قطع : ربعی [چند نسخه -ف: - ۵۱]</w:t>
      </w:r>
    </w:p>
    <w:p>
      <w:pPr>
        <w:pStyle w:val="BookText"/>
      </w:pPr>
      <w:r>
        <w:rPr>
          <w:rFonts w:ascii="IRNazanin" w:hAnsi="IRNazanin" w:eastAsia="IRNazanin" w:cs="IRNazanin"/>
          <w:lang w:bidi="fa-IR"/>
          <w:color w:val="111111"/>
          <w:sz w:val="28"/>
          <w:szCs w:val="28"/>
          <w:rtl/>
        </w:rPr>
        <w:t xml:space="preserve">۲۳۶۳. تهران؛ وزارت امور خارجه؛ شماره نسخه: ۲-۲۱</w:t>
      </w:r>
    </w:p>
    <w:p>
      <w:pPr>
        <w:pStyle w:val="BookText"/>
      </w:pPr>
      <w:r>
        <w:rPr>
          <w:rFonts w:ascii="IRNazanin" w:hAnsi="IRNazanin" w:eastAsia="IRNazanin" w:cs="IRNazanin"/>
          <w:lang w:bidi="fa-IR"/>
          <w:color w:val="111111"/>
          <w:sz w:val="28"/>
          <w:szCs w:val="28"/>
          <w:rtl/>
        </w:rPr>
        <w:t xml:space="preserve">کتاب هندی مجمع الاشعار است. کتاب تا صفحه ۹۷ متضـمن اشعار اردو است و از این صفحه «دیوان فارسی مختصر» شروع می شود و تا آخر کتاب از شعرای گوناگون چون حافظ و نظامی و غیره اشعار در بحور و انواع مختلفه مانند غزل، قصيده مستزاد (از نوع کمال حسام رومی و ...) مسدس، بحر طویل، رباعی و... نقل گردیده است. اشعار اردو که همه از نوع غزل است، به ترتـیب الفبایی حرف آخر قافیه درج شده؛ کا: حیدر علی، بی تا؛ کاتـب، اشعار فارسی انتهای کتاب را از نسخه چاپی کتاب «گلزار ایران» چاپ ۱۲۶۲ق در لکنهو، به تاریخ ۱۲۶۷ هجری قمری استنسـاخ نموده است؛ جلد: مقوایی سبز رنگ با تصاویر گل، ۱۳۴ گ،اندازه: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۲۸سم [ف - ۱۴۹]</w:t>
      </w:r>
    </w:p>
    <w:p>
      <w:pPr>
        <w:pStyle w:val="BookText"/>
      </w:pPr>
      <w:r>
        <w:rPr>
          <w:rFonts w:ascii="IRNazanin" w:hAnsi="IRNazanin" w:eastAsia="IRNazanin" w:cs="IRNazanin"/>
          <w:lang w:bidi="fa-IR"/>
          <w:color w:val="111111"/>
          <w:sz w:val="28"/>
          <w:szCs w:val="28"/>
          <w:rtl/>
        </w:rPr>
        <w:t xml:space="preserve">۲۳۶۴. تهران؛ مجلس؛ شماره نسخه: ۱۳۴۳۷/۳</w:t>
      </w:r>
    </w:p>
    <w:p>
      <w:pPr>
        <w:pStyle w:val="BookText"/>
      </w:pPr>
      <w:r>
        <w:rPr>
          <w:rFonts w:ascii="IRNazanin" w:hAnsi="IRNazanin" w:eastAsia="IRNazanin" w:cs="IRNazanin"/>
          <w:lang w:bidi="fa-IR"/>
          <w:color w:val="111111"/>
          <w:sz w:val="28"/>
          <w:szCs w:val="28"/>
          <w:rtl/>
        </w:rPr>
        <w:t xml:space="preserve">آغاز: مثنوی اولین نقطه پرگار وجود *** مركز دايره غيب شهود / با حدوثش اثر وصف قدم ***ممکن اول و موجود دوم ؛</w:t>
      </w:r>
    </w:p>
    <w:p>
      <w:pPr>
        <w:pStyle w:val="BookText"/>
      </w:pPr>
      <w:r>
        <w:rPr>
          <w:rFonts w:ascii="IRNazanin" w:hAnsi="IRNazanin" w:eastAsia="IRNazanin" w:cs="IRNazanin"/>
          <w:lang w:bidi="fa-IR"/>
          <w:color w:val="111111"/>
          <w:sz w:val="28"/>
          <w:szCs w:val="28"/>
          <w:rtl/>
        </w:rPr>
        <w:t xml:space="preserve">انجام: مثنوی سعی کن تا که به خوشنودی دوست *** کهنه جان همه در قبضه اوست / چون رخ از عالم فانی تابی ***نشأه لذت باقی یابی</w:t>
      </w:r>
    </w:p>
    <w:p>
      <w:pPr>
        <w:pStyle w:val="BookText"/>
      </w:pPr>
      <w:r>
        <w:rPr>
          <w:rFonts w:ascii="IRNazanin" w:hAnsi="IRNazanin" w:eastAsia="IRNazanin" w:cs="IRNazanin"/>
          <w:lang w:bidi="fa-IR"/>
          <w:color w:val="111111"/>
          <w:sz w:val="28"/>
          <w:szCs w:val="28"/>
          <w:rtl/>
        </w:rPr>
        <w:t xml:space="preserve">مثنوی عرفانی است. شاعر در آن بعد از حمد باری تعالی و مـدح حضرت پیامبر (صلّی اللَّهِ علیه وَ آلِهِ وَ سَلَّمَ ) و اهل بیت (علیهم السّلام) داستان هایی را به نظم کشیده و استفاده های عرفانی نموده است، در آغاز نسخه آمده که این دیوان متعلق به ملا هادی بن محمد صالح مازندرانی (متوفای ۱۱۲۰ق) است، ولی با قرائنی انتساب آن به ملا هادی مازندرانی نمی تواند درست باشد؛ خط: نستعلیق، بی کا، بی تا؛ جلد: تیماج ،سرخ، ۸۰ ص (۱۳۶-۲۱۶)، ۱۶ سطر [ف: ۳۶ - ۳۷۱]</w:t>
      </w:r>
    </w:p>
    <w:p>
      <w:pPr>
        <w:pStyle w:val="BookText"/>
      </w:pPr>
      <w:r>
        <w:rPr>
          <w:rFonts w:ascii="IRNazanin" w:hAnsi="IRNazanin" w:eastAsia="IRNazanin" w:cs="IRNazanin"/>
          <w:lang w:bidi="fa-IR"/>
          <w:color w:val="111111"/>
          <w:sz w:val="28"/>
          <w:szCs w:val="28"/>
          <w:rtl/>
        </w:rPr>
        <w:t xml:space="preserve">۲۳۶۵. تهران؛ مینوی؛ شماره نسخه: ۹۷/۵ بخش ۲</w:t>
      </w:r>
    </w:p>
    <w:p>
      <w:pPr>
        <w:pStyle w:val="BookText"/>
      </w:pPr>
      <w:r>
        <w:rPr>
          <w:rFonts w:ascii="IRNazanin" w:hAnsi="IRNazanin" w:eastAsia="IRNazanin" w:cs="IRNazanin"/>
          <w:lang w:bidi="fa-IR"/>
          <w:color w:val="111111"/>
          <w:sz w:val="28"/>
          <w:szCs w:val="28"/>
          <w:rtl/>
        </w:rPr>
        <w:t xml:space="preserve">چند قصیده فارسی و غزل ها؛ بی کا، بی تا؛ (ع ۲۵۲)[ف - ۸۷]</w:t>
      </w:r>
    </w:p>
    <w:p>
      <w:pPr>
        <w:pStyle w:val="BookText"/>
      </w:pPr>
      <w:r>
        <w:rPr>
          <w:rFonts w:ascii="IRNazanin" w:hAnsi="IRNazanin" w:eastAsia="IRNazanin" w:cs="IRNazanin"/>
          <w:lang w:bidi="fa-IR"/>
          <w:color w:val="111111"/>
          <w:sz w:val="28"/>
          <w:szCs w:val="28"/>
          <w:rtl/>
        </w:rPr>
        <w:t xml:space="preserve">۲۳۶۶ . تهران؛ مفتاح؛ شماره نسخه: ۶۸۴/۳</w:t>
      </w:r>
    </w:p>
    <w:p>
      <w:pPr>
        <w:pStyle w:val="BookText"/>
      </w:pPr>
      <w:r>
        <w:rPr>
          <w:rFonts w:ascii="IRNazanin" w:hAnsi="IRNazanin" w:eastAsia="IRNazanin" w:cs="IRNazanin"/>
          <w:lang w:bidi="fa-IR"/>
          <w:color w:val="111111"/>
          <w:sz w:val="28"/>
          <w:szCs w:val="28"/>
          <w:rtl/>
        </w:rPr>
        <w:t xml:space="preserve">چند بیتی از تیمور نامه است، گویا از هاتفی در صفت جنگ؛ خط: نستعلیق، بی کا، بی تا [نشریه: ۷ - ۲۵۲]</w:t>
      </w:r>
    </w:p>
    <w:p>
      <w:pPr>
        <w:pStyle w:val="BookText"/>
      </w:pPr>
      <w:r>
        <w:rPr>
          <w:rFonts w:ascii="IRNazanin" w:hAnsi="IRNazanin" w:eastAsia="IRNazanin" w:cs="IRNazanin"/>
          <w:lang w:bidi="fa-IR"/>
          <w:color w:val="111111"/>
          <w:sz w:val="28"/>
          <w:szCs w:val="28"/>
          <w:rtl/>
        </w:rPr>
        <w:t xml:space="preserve">۲۳۶۷. تهران؛ دانشگاه؛ شماره نسخه: ۵۸۷۰/۴</w:t>
      </w:r>
    </w:p>
    <w:p>
      <w:pPr>
        <w:pStyle w:val="BookText"/>
      </w:pPr>
      <w:r>
        <w:rPr>
          <w:rFonts w:ascii="IRNazanin" w:hAnsi="IRNazanin" w:eastAsia="IRNazanin" w:cs="IRNazanin"/>
          <w:lang w:bidi="fa-IR"/>
          <w:color w:val="111111"/>
          <w:sz w:val="28"/>
          <w:szCs w:val="28"/>
          <w:rtl/>
        </w:rPr>
        <w:t xml:space="preserve">ترجیع بند مظفر علی شاه است؛ خط: نستعلیق، کا: محمد حسین انور علی شاه کرمانی که نامش را پاک کرده اند، بی تا؛ کاغذ: فرنگی سفید و کبود، جلد: تیماج تریاکی ضربی ترنجی مقوایی، اگ (۵۷ر-۵۸پ) ۱۷ سطر (5</w:t>
      </w:r>
      <w:r>
        <w:rPr>
          <w:rFonts w:ascii="Times New Roman" w:hAnsi="Times New Roman" w:eastAsia="Times New Roman" w:cs="Times New Roman"/>
          <w:lang w:val="en-US" w:bidi="en-US"/>
          <w:color w:val="111111"/>
          <w:sz w:val="28"/>
          <w:szCs w:val="28"/>
          <w:rtl/>
        </w:rPr>
        <w:t xml:space="preserve">×10)</w:t>
      </w:r>
      <w:r>
        <w:rPr>
          <w:rFonts w:ascii="IRNazanin" w:hAnsi="IRNazanin" w:eastAsia="IRNazanin" w:cs="IRNazanin"/>
          <w:lang w:bidi="fa-IR"/>
          <w:color w:val="111111"/>
          <w:sz w:val="28"/>
          <w:szCs w:val="28"/>
          <w:rtl/>
        </w:rPr>
        <w:t xml:space="preserve">، قطع: جیبی،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۱۶ - ۱۱۵]</w:t>
      </w:r>
    </w:p>
    <w:p>
      <w:pPr>
        <w:pStyle w:val="BookText"/>
      </w:pPr>
      <w:r>
        <w:rPr>
          <w:rFonts w:ascii="IRNazanin" w:hAnsi="IRNazanin" w:eastAsia="IRNazanin" w:cs="IRNazanin"/>
          <w:lang w:bidi="fa-IR"/>
          <w:color w:val="111111"/>
          <w:sz w:val="28"/>
          <w:szCs w:val="28"/>
          <w:rtl/>
        </w:rPr>
        <w:t xml:space="preserve">۲۳۶۸. رشت؛ جمعیت نشر فرهنگ؛ شماره نسخه: ۳۱۲/۱۳ج</w:t>
      </w:r>
    </w:p>
    <w:p>
      <w:pPr>
        <w:pStyle w:val="BookText"/>
      </w:pPr>
      <w:r>
        <w:rPr>
          <w:rFonts w:ascii="IRNazanin" w:hAnsi="IRNazanin" w:eastAsia="IRNazanin" w:cs="IRNazanin"/>
          <w:lang w:bidi="fa-IR"/>
          <w:color w:val="111111"/>
          <w:sz w:val="28"/>
          <w:szCs w:val="28"/>
          <w:rtl/>
        </w:rPr>
        <w:t xml:space="preserve">شعرهایی چند است «اوراق طبع من آن روضهفیض است که هست *** شجر او همه سحر و ثمر او اعجاز»؛ بی کا، بی تا؛ قطع: بیاض رقعی[ رشت و همدان: ف - ۱۲۱۶]</w:t>
      </w:r>
    </w:p>
    <w:p>
      <w:pPr>
        <w:pStyle w:val="BookText"/>
      </w:pPr>
      <w:r>
        <w:rPr>
          <w:rFonts w:ascii="IRNazanin" w:hAnsi="IRNazanin" w:eastAsia="IRNazanin" w:cs="IRNazanin"/>
          <w:lang w:bidi="fa-IR"/>
          <w:color w:val="111111"/>
          <w:sz w:val="28"/>
          <w:szCs w:val="28"/>
          <w:rtl/>
        </w:rPr>
        <w:t xml:space="preserve">۲۳۶۹. تهران؛ دانشگاه؛ شماره نسخه: ۳۴۲۵/۳-ف</w:t>
      </w:r>
    </w:p>
    <w:p>
      <w:pPr>
        <w:pStyle w:val="BookText"/>
      </w:pPr>
      <w:r>
        <w:rPr>
          <w:rFonts w:ascii="IRNazanin" w:hAnsi="IRNazanin" w:eastAsia="IRNazanin" w:cs="IRNazanin"/>
          <w:lang w:bidi="fa-IR"/>
          <w:color w:val="111111"/>
          <w:sz w:val="28"/>
          <w:szCs w:val="28"/>
          <w:rtl/>
        </w:rPr>
        <w:t xml:space="preserve">نسخه اصل: نسخه آقای دکتر محسن صبا. شعری به لهجه محلی با ترجمه فارسی در دو بند دومی به زبان کوه میشی سبزواری؛ بی کا، بی تا[ فیلمها: ۲ - ۱۳۹]</w:t>
      </w:r>
    </w:p>
    <w:p>
      <w:pPr>
        <w:pStyle w:val="BookText"/>
      </w:pPr>
      <w:r>
        <w:rPr>
          <w:rFonts w:ascii="IRNazanin" w:hAnsi="IRNazanin" w:eastAsia="IRNazanin" w:cs="IRNazanin"/>
          <w:lang w:bidi="fa-IR"/>
          <w:color w:val="111111"/>
          <w:sz w:val="28"/>
          <w:szCs w:val="28"/>
          <w:rtl/>
        </w:rPr>
        <w:t xml:space="preserve">۲۳۷۰. تهران؛ مفتاح؛ شماره نسخه: ۱۲۴۳/۸</w:t>
      </w:r>
    </w:p>
    <w:p>
      <w:pPr>
        <w:pStyle w:val="BookText"/>
      </w:pPr>
      <w:r>
        <w:rPr>
          <w:rFonts w:ascii="IRNazanin" w:hAnsi="IRNazanin" w:eastAsia="IRNazanin" w:cs="IRNazanin"/>
          <w:lang w:bidi="fa-IR"/>
          <w:color w:val="111111"/>
          <w:sz w:val="28"/>
          <w:szCs w:val="28"/>
          <w:rtl/>
        </w:rPr>
        <w:t xml:space="preserve">اشعاری از سعدی ،مشتاق، عصمت بخارایی، شاه زاده محمد علی میرزا، قاضی امینای نهاوندی ،ازل ،نصیر ،عاشق، صبوری، نورعلی شاه، صهبا، میر عشاق بروجردی، جامی، عبدالواسع جبلی، ضیا محمد يوسفا ،راهب ،عرفی، طوفان هزار جریبی، مهدی بیک شقاقی و حافظ؛ خط: نستعلیق خوش، بی کا، بی تا؛ مجدول زر و لاجورد ؛جلد: تيماج سرخ زرکوب ترنجی با جدول، وزیری [ نشریه: ۷ - ۲۷۳]</w:t>
      </w:r>
    </w:p>
    <w:p>
      <w:pPr>
        <w:pStyle w:val="BookText"/>
      </w:pPr>
      <w:r>
        <w:rPr>
          <w:rFonts w:ascii="IRNazanin" w:hAnsi="IRNazanin" w:eastAsia="IRNazanin" w:cs="IRNazanin"/>
          <w:lang w:bidi="fa-IR"/>
          <w:color w:val="111111"/>
          <w:sz w:val="28"/>
          <w:szCs w:val="28"/>
          <w:rtl/>
        </w:rPr>
        <w:t xml:space="preserve">۲۳۷۱. تهران؛ مفتاح؛ شماره نسخه: ۱۲۴۳/۲۳</w:t>
      </w:r>
    </w:p>
    <w:p>
      <w:pPr>
        <w:pStyle w:val="BookText"/>
      </w:pPr>
      <w:r>
        <w:rPr>
          <w:rFonts w:ascii="IRNazanin" w:hAnsi="IRNazanin" w:eastAsia="IRNazanin" w:cs="IRNazanin"/>
          <w:lang w:bidi="fa-IR"/>
          <w:color w:val="111111"/>
          <w:sz w:val="28"/>
          <w:szCs w:val="28"/>
          <w:rtl/>
        </w:rPr>
        <w:t xml:space="preserve">شعر هاتف ومخلص شیرازی در ستایش تقی خان بروجردی؛ خط: نستعلیق خوش، بی کا، بی تا؛ مجدول؛ جلد: تیماج سرخ زرکوب ترنجی با جدول وزیری [نشریه: ۷ - ۲۷۳]</w:t>
      </w:r>
    </w:p>
    <w:p>
      <w:pPr>
        <w:pStyle w:val="BookText"/>
      </w:pPr>
      <w:r>
        <w:rPr>
          <w:rFonts w:ascii="IRNazanin" w:hAnsi="IRNazanin" w:eastAsia="IRNazanin" w:cs="IRNazanin"/>
          <w:lang w:bidi="fa-IR"/>
          <w:color w:val="111111"/>
          <w:sz w:val="28"/>
          <w:szCs w:val="28"/>
          <w:rtl/>
        </w:rPr>
        <w:t xml:space="preserve">۲۳۷۲. تهران؛ ملک؛ شماره نسخه: ۳۲۸۰/۳</w:t>
      </w:r>
    </w:p>
    <w:p>
      <w:pPr>
        <w:pStyle w:val="BookText"/>
      </w:pPr>
      <w:r>
        <w:rPr>
          <w:rFonts w:ascii="IRNazanin" w:hAnsi="IRNazanin" w:eastAsia="IRNazanin" w:cs="IRNazanin"/>
          <w:lang w:bidi="fa-IR"/>
          <w:color w:val="111111"/>
          <w:sz w:val="28"/>
          <w:szCs w:val="28"/>
          <w:rtl/>
        </w:rPr>
        <w:t xml:space="preserve">اشعار پراکنده ای در علوم غریبه؛ خط: شکسته نستعلیق، کا: میرزا ابوالحسن اخوی، بی تا، ۱گ (۱۷پ-۱۸ر) [ف: ۶ - ۳۴۸]</w:t>
      </w:r>
    </w:p>
    <w:p>
      <w:pPr>
        <w:pStyle w:val="BookText"/>
      </w:pPr>
      <w:r>
        <w:rPr>
          <w:rFonts w:ascii="IRNazanin" w:hAnsi="IRNazanin" w:eastAsia="IRNazanin" w:cs="IRNazanin"/>
          <w:lang w:bidi="fa-IR"/>
          <w:color w:val="111111"/>
          <w:sz w:val="28"/>
          <w:szCs w:val="28"/>
          <w:rtl/>
        </w:rPr>
        <w:t xml:space="preserve">۲۳۷۳. تهران؛ فرمانفرمائیان حافظ( دکتر)؛ شماره نسخه: بدون شماره /۵۰</w:t>
      </w:r>
    </w:p>
    <w:p>
      <w:pPr>
        <w:pStyle w:val="BookText"/>
      </w:pPr>
      <w:r>
        <w:rPr>
          <w:rFonts w:ascii="IRNazanin" w:hAnsi="IRNazanin" w:eastAsia="IRNazanin" w:cs="IRNazanin"/>
          <w:lang w:bidi="fa-IR"/>
          <w:color w:val="111111"/>
          <w:sz w:val="28"/>
          <w:szCs w:val="28"/>
          <w:rtl/>
        </w:rPr>
        <w:t xml:space="preserve">شعر فارسی با یادداشت برای تیمور خان بیک یوزباشی آجرلو در ملازمت محمدخان سلطان در بازگشت از اصفهان به سنندج در روز ۴ شنبه ۲۵ جمادی الاول ۱۰۹۵؛ بی کا، بی تا؛ جلد: تیماج مشکی زرکوب ،مقوایی ۱ص ،(۲۸۵ر) قطع: ربعی [نشریه: ۵۵۳۷]
</w:t>
      </w:r>
    </w:p>
    <w:p>
      <w:pPr>
        <w:sectPr>
          <w:footerReference w:type="default" r:id="rId9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۲۳۷۴. اراک؛ دهگان؛ شماره نسخه: ۱۳۴/۱۹</w:t>
      </w:r>
    </w:p>
    <w:p>
      <w:pPr>
        <w:pStyle w:val="BookText"/>
      </w:pPr>
      <w:r>
        <w:rPr>
          <w:rFonts w:ascii="IRNazanin" w:hAnsi="IRNazanin" w:eastAsia="IRNazanin" w:cs="IRNazanin"/>
          <w:lang w:bidi="fa-IR"/>
          <w:color w:val="111111"/>
          <w:sz w:val="28"/>
          <w:szCs w:val="28"/>
          <w:rtl/>
        </w:rPr>
        <w:t xml:space="preserve">از آغاز تا انتهای نسخه به تناوب در متن و حاشیه اشعاری در قالب غزل، رباعی، مثنوی، ترجیع بند و قطعه از شاعران چون: اوحدی کرمانی، مجیر بیلقانی، حکیم سنایی، نظامی گنجوی، زلالی، گلشن راز ،شبستری، امیر خسرو دهلوی، فخرالدین عراقی، خوانساری، وحشی بافقی، ترجیع بند فیضی، خاقانی، مولانا جامـی، عرفی شیرازی، مولانا جلال الدين محمد ؛خط: نستعلیق، بی کا، بی تا؛ کاغذ: لیموئی ،جلد: مقوا با رویه نایلون صورتی، ۱۲۶ص (۴۶۳-۳۳۷)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۱ - ۱۵۴]</w:t>
      </w:r>
    </w:p>
    <w:p>
      <w:pPr>
        <w:pStyle w:val="BookText"/>
      </w:pPr>
      <w:r>
        <w:rPr>
          <w:rFonts w:ascii="IRNazanin" w:hAnsi="IRNazanin" w:eastAsia="IRNazanin" w:cs="IRNazanin"/>
          <w:lang w:bidi="fa-IR"/>
          <w:color w:val="111111"/>
          <w:sz w:val="28"/>
          <w:szCs w:val="28"/>
          <w:rtl/>
        </w:rPr>
        <w:t xml:space="preserve">۲۳۷۵. مشهد؛ رضوی؛ شماره نسخه: ۸۳۴۴/۶</w:t>
      </w:r>
    </w:p>
    <w:p>
      <w:pPr>
        <w:pStyle w:val="BookText"/>
      </w:pPr>
      <w:r>
        <w:rPr>
          <w:rFonts w:ascii="IRNazanin" w:hAnsi="IRNazanin" w:eastAsia="IRNazanin" w:cs="IRNazanin"/>
          <w:lang w:bidi="fa-IR"/>
          <w:color w:val="111111"/>
          <w:sz w:val="28"/>
          <w:szCs w:val="28"/>
          <w:rtl/>
        </w:rPr>
        <w:t xml:space="preserve">خط: شکسته نستعلیق، بی کا، بی تا؛ مجدول، چلیپا و دو ستونی، کاغذ: فرنگی الوان و آهار مهره، جلد: تیماج یک لا، ۸ سـطر (5</w:t>
      </w:r>
      <w:r>
        <w:rPr>
          <w:rFonts w:ascii="Times New Roman" w:hAnsi="Times New Roman" w:eastAsia="Times New Roman" w:cs="Times New Roman"/>
          <w:lang w:val="en-US" w:bidi="en-US"/>
          <w:color w:val="111111"/>
          <w:sz w:val="28"/>
          <w:szCs w:val="28"/>
          <w:rtl/>
        </w:rPr>
        <w:t xml:space="preserve">×8/9) </w:t>
      </w:r>
      <w:r>
        <w:rPr>
          <w:rFonts w:ascii="IRNazanin" w:hAnsi="IRNazanin" w:eastAsia="IRNazanin" w:cs="IRNazanin"/>
          <w:lang w:bidi="fa-IR"/>
          <w:color w:val="111111"/>
          <w:sz w:val="28"/>
          <w:szCs w:val="28"/>
          <w:rtl/>
        </w:rPr>
        <w:t xml:space="preserve">،اندازه: ۷/۸۲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۷ - ۲۲۵]</w:t>
      </w:r>
    </w:p>
    <w:p>
      <w:pPr>
        <w:pStyle w:val="BookText"/>
      </w:pPr>
      <w:r>
        <w:rPr>
          <w:rFonts w:ascii="IRNazanin" w:hAnsi="IRNazanin" w:eastAsia="IRNazanin" w:cs="IRNazanin"/>
          <w:lang w:bidi="fa-IR"/>
          <w:color w:val="111111"/>
          <w:sz w:val="28"/>
          <w:szCs w:val="28"/>
          <w:rtl/>
        </w:rPr>
        <w:t xml:space="preserve">۲۳۷۶. تهران؛ مجلس؛ شماره نسخه: ۱۰۱۴۷/۲۲</w:t>
      </w:r>
    </w:p>
    <w:p>
      <w:pPr>
        <w:pStyle w:val="BookText"/>
      </w:pPr>
      <w:r>
        <w:rPr>
          <w:rFonts w:ascii="IRNazanin" w:hAnsi="IRNazanin" w:eastAsia="IRNazanin" w:cs="IRNazanin"/>
          <w:lang w:bidi="fa-IR"/>
          <w:color w:val="111111"/>
          <w:sz w:val="28"/>
          <w:szCs w:val="28"/>
          <w:rtl/>
        </w:rPr>
        <w:t xml:space="preserve">شامل قصيده ملا اسماعیل ذبیح یزدی، قصیده محبی شاملو در مذمت دنیا و برخی اشعار دیگر؛ خط: نستعلیق، بی کا، بی تا؛ ۳ص (۵۰۴-۵۰۲) اندازه: ۱۸/۵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۲۴سم [ف: ۳۲ - ۱۸۲]</w:t>
      </w:r>
    </w:p>
    <w:p>
      <w:pPr>
        <w:pStyle w:val="BookText"/>
      </w:pPr>
      <w:r>
        <w:rPr>
          <w:rFonts w:ascii="IRNazanin" w:hAnsi="IRNazanin" w:eastAsia="IRNazanin" w:cs="IRNazanin"/>
          <w:lang w:bidi="fa-IR"/>
          <w:color w:val="111111"/>
          <w:sz w:val="28"/>
          <w:szCs w:val="28"/>
          <w:rtl/>
        </w:rPr>
        <w:t xml:space="preserve">۲۳۷۷. اراک؛ دهگان؛ شماره نسخه: ۲۴۸/۶</w:t>
      </w:r>
    </w:p>
    <w:p>
      <w:pPr>
        <w:pStyle w:val="BookText"/>
      </w:pPr>
      <w:r>
        <w:rPr>
          <w:rFonts w:ascii="IRNazanin" w:hAnsi="IRNazanin" w:eastAsia="IRNazanin" w:cs="IRNazanin"/>
          <w:lang w:bidi="fa-IR"/>
          <w:color w:val="111111"/>
          <w:sz w:val="28"/>
          <w:szCs w:val="28"/>
          <w:rtl/>
        </w:rPr>
        <w:t xml:space="preserve">آغاز: ای نصیری مگو خداست علی * **بنده خاص کبریاست علی؛ انجام :گر تو را صد هزار درد بود *** هر چه درد تو ، دواست علی</w:t>
      </w:r>
    </w:p>
    <w:p>
      <w:pPr>
        <w:pStyle w:val="BookText"/>
      </w:pPr>
      <w:r>
        <w:rPr>
          <w:rFonts w:ascii="IRNazanin" w:hAnsi="IRNazanin" w:eastAsia="IRNazanin" w:cs="IRNazanin"/>
          <w:lang w:bidi="fa-IR"/>
          <w:color w:val="111111"/>
          <w:sz w:val="28"/>
          <w:szCs w:val="28"/>
          <w:rtl/>
        </w:rPr>
        <w:t xml:space="preserve">از: نشاطی اشعاری است قریب ۴۰ بیت در مدح امیرالمؤمـنین حضرت علی (علیه السّلام) با قافیه «علی»؛ خط: نستعلیق تحریری، بی کا، بی تا؛ کاغذ: آبی ،جلد: چرم عنابی، ۳گ (۸۳پ-۸۵پ)، قطع :رقعی، اندازه: ۱۱</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۱۷سم [ف: ۲ - ۳۴۲]</w:t>
      </w:r>
    </w:p>
    <w:p>
      <w:pPr>
        <w:pStyle w:val="BookText"/>
      </w:pPr>
      <w:r>
        <w:rPr>
          <w:rFonts w:ascii="IRNazanin" w:hAnsi="IRNazanin" w:eastAsia="IRNazanin" w:cs="IRNazanin"/>
          <w:lang w:bidi="fa-IR"/>
          <w:color w:val="111111"/>
          <w:sz w:val="28"/>
          <w:szCs w:val="28"/>
          <w:rtl/>
        </w:rPr>
        <w:t xml:space="preserve">۲۳۷۸. تهران؛ مجلس؛ شماره نسخه: ۱۸۴۵۶</w:t>
      </w:r>
    </w:p>
    <w:p>
      <w:pPr>
        <w:pStyle w:val="BookText"/>
      </w:pPr>
      <w:r>
        <w:rPr>
          <w:rFonts w:ascii="IRNazanin" w:hAnsi="IRNazanin" w:eastAsia="IRNazanin" w:cs="IRNazanin"/>
          <w:lang w:bidi="fa-IR"/>
          <w:color w:val="111111"/>
          <w:sz w:val="28"/>
          <w:szCs w:val="28"/>
          <w:rtl/>
        </w:rPr>
        <w:t xml:space="preserve">اشعار از محمود میرزا و بهمن میرزا؛ کا: محمود میرزا فرزند فتحعلی شاه، بی تا [د.ث. مجلس]</w:t>
      </w:r>
    </w:p>
    <w:p>
      <w:pPr>
        <w:pStyle w:val="BookText"/>
      </w:pPr>
      <w:r>
        <w:rPr>
          <w:rFonts w:ascii="IRNazanin" w:hAnsi="IRNazanin" w:eastAsia="IRNazanin" w:cs="IRNazanin"/>
          <w:lang w:bidi="fa-IR"/>
          <w:color w:val="111111"/>
          <w:sz w:val="28"/>
          <w:szCs w:val="28"/>
          <w:rtl/>
        </w:rPr>
        <w:t xml:space="preserve">۲۳۷۹. یزد؛ وزیری شماره نسخه ۴۲۵۵</w:t>
      </w:r>
    </w:p>
    <w:p>
      <w:pPr>
        <w:pStyle w:val="BookText"/>
      </w:pPr>
      <w:r>
        <w:rPr>
          <w:rFonts w:ascii="IRNazanin" w:hAnsi="IRNazanin" w:eastAsia="IRNazanin" w:cs="IRNazanin"/>
          <w:lang w:bidi="fa-IR"/>
          <w:color w:val="111111"/>
          <w:sz w:val="28"/>
          <w:szCs w:val="28"/>
          <w:rtl/>
        </w:rPr>
        <w:t xml:space="preserve">بی کا، بی تا [ نشریه: ۱۳- ۳۸۱]</w:t>
      </w:r>
    </w:p>
    <w:p>
      <w:pPr>
        <w:pStyle w:val="BookText"/>
      </w:pPr>
      <w:r>
        <w:rPr>
          <w:rFonts w:ascii="IRNazanin" w:hAnsi="IRNazanin" w:eastAsia="IRNazanin" w:cs="IRNazanin"/>
          <w:lang w:bidi="fa-IR"/>
          <w:color w:val="111111"/>
          <w:sz w:val="28"/>
          <w:szCs w:val="28"/>
          <w:rtl/>
        </w:rPr>
        <w:t xml:space="preserve">۲۳۸۰. تهران؛ دانشگاه؛ شماره نسخه: ۶۱۷۵/۳-ف</w:t>
      </w:r>
    </w:p>
    <w:p>
      <w:pPr>
        <w:pStyle w:val="BookText"/>
      </w:pPr>
      <w:r>
        <w:rPr>
          <w:rFonts w:ascii="IRNazanin" w:hAnsi="IRNazanin" w:eastAsia="IRNazanin" w:cs="IRNazanin"/>
          <w:lang w:bidi="fa-IR"/>
          <w:color w:val="111111"/>
          <w:sz w:val="28"/>
          <w:szCs w:val="28"/>
          <w:rtl/>
        </w:rPr>
        <w:t xml:space="preserve">نسخه اصل: ش ۴۰ دو دیوان غیاثی و املا؛ بی کا، بی تا[ فیلمها:3- 205]</w:t>
      </w:r>
    </w:p>
    <w:p>
      <w:pPr>
        <w:pStyle w:val="BookText"/>
      </w:pPr>
      <w:r>
        <w:rPr>
          <w:rFonts w:ascii="IRNazanin" w:hAnsi="IRNazanin" w:eastAsia="IRNazanin" w:cs="IRNazanin"/>
          <w:lang w:bidi="fa-IR"/>
          <w:color w:val="111111"/>
          <w:sz w:val="28"/>
          <w:szCs w:val="28"/>
          <w:rtl/>
        </w:rPr>
        <w:t xml:space="preserve">۲۳۸۱. تهران؛ دانشسرای عالی - کتابخانه میرزا عبدالعظیم خان قریب گر کانی؛ شماره نسخه: ۱۵/۲</w:t>
      </w:r>
    </w:p>
    <w:p>
      <w:pPr>
        <w:pStyle w:val="BookText"/>
      </w:pPr>
      <w:r>
        <w:rPr>
          <w:rFonts w:ascii="IRNazanin" w:hAnsi="IRNazanin" w:eastAsia="IRNazanin" w:cs="IRNazanin"/>
          <w:lang w:bidi="fa-IR"/>
          <w:color w:val="111111"/>
          <w:sz w:val="28"/>
          <w:szCs w:val="28"/>
          <w:rtl/>
        </w:rPr>
        <w:t xml:space="preserve">خط: نستعلیق، کا: محمد مهدی دنبلی، بی تا، قطع: ربعی [نشریه: 5- 638]</w:t>
      </w:r>
    </w:p>
    <w:p>
      <w:pPr>
        <w:pStyle w:val="BookText"/>
      </w:pPr>
      <w:r>
        <w:rPr>
          <w:rFonts w:ascii="IRNazanin" w:hAnsi="IRNazanin" w:eastAsia="IRNazanin" w:cs="IRNazanin"/>
          <w:lang w:bidi="fa-IR"/>
          <w:color w:val="111111"/>
          <w:sz w:val="28"/>
          <w:szCs w:val="28"/>
          <w:rtl/>
        </w:rPr>
        <w:t xml:space="preserve">۲۳۸۲. تهران؛ دانشگاه؛ شماره نسخه: ۱۱۵۳/۲-ف</w:t>
      </w:r>
    </w:p>
    <w:p>
      <w:pPr>
        <w:pStyle w:val="BookText"/>
      </w:pPr>
      <w:r>
        <w:rPr>
          <w:rFonts w:ascii="IRNazanin" w:hAnsi="IRNazanin" w:eastAsia="IRNazanin" w:cs="IRNazanin"/>
          <w:lang w:bidi="fa-IR"/>
          <w:color w:val="111111"/>
          <w:sz w:val="28"/>
          <w:szCs w:val="28"/>
          <w:rtl/>
        </w:rPr>
        <w:t xml:space="preserve">نسخه اصل: بادلیانش ۱۷ وینفیلد (ش ۲۶۶۴) اشعاری از: واعـظ، صائب،بیان، ابوطالب ،همدانی، کمال الدين حسن كاتبى (هـفت بند)، میرزا بدیع، محمد قلم سلیم، شیخ بهائی، عبدالمولی، سحابی، مومن یزدی ،محبوب، عمر خیام، کمال الدین اسماعیل اصفهانی، عبدالمعالی نجات اصفهانی ،قاسم مشهدی، حسن خان شاملو فرمانروای خراسان، شفیعای اثر شیرازی و وحشی بافقی؛</w:t>
      </w:r>
    </w:p>
    <w:p>
      <w:pPr>
        <w:pStyle w:val="BookText"/>
      </w:pPr>
      <w:r>
        <w:rPr>
          <w:rFonts w:ascii="IRNazanin" w:hAnsi="IRNazanin" w:eastAsia="IRNazanin" w:cs="IRNazanin"/>
          <w:lang w:bidi="fa-IR"/>
          <w:color w:val="111111"/>
          <w:sz w:val="28"/>
          <w:szCs w:val="28"/>
          <w:rtl/>
        </w:rPr>
        <w:t xml:space="preserve">خط: نستعلیق چلیپا ،بی کا، بی تا [فیلمها: ۱ - ۵۷۳] [</w:t>
      </w:r>
    </w:p>
    <w:p>
      <w:pPr>
        <w:pStyle w:val="BookText"/>
      </w:pPr>
      <w:r>
        <w:rPr>
          <w:rFonts w:ascii="IRNazanin" w:hAnsi="IRNazanin" w:eastAsia="IRNazanin" w:cs="IRNazanin"/>
          <w:lang w:bidi="fa-IR"/>
          <w:color w:val="111111"/>
          <w:sz w:val="28"/>
          <w:szCs w:val="28"/>
          <w:rtl/>
        </w:rPr>
        <w:t xml:space="preserve">۲۳۸۳. مشهد؛ شیخ علی حیدر؛ شماره نسخه: ۱۳۹۴/۲</w:t>
      </w:r>
    </w:p>
    <w:p>
      <w:pPr>
        <w:pStyle w:val="BookText"/>
      </w:pPr>
      <w:r>
        <w:rPr>
          <w:rFonts w:ascii="IRNazanin" w:hAnsi="IRNazanin" w:eastAsia="IRNazanin" w:cs="IRNazanin"/>
          <w:lang w:bidi="fa-IR"/>
          <w:color w:val="111111"/>
          <w:sz w:val="28"/>
          <w:szCs w:val="28"/>
          <w:rtl/>
        </w:rPr>
        <w:t xml:space="preserve">اشعار و حکایات عرفانی در قالب شعر است ؛خط: نستعلیق، بی کا، بی تا؛ جلد: معمولی، ۷گ (۵۰ پ- ۵۶ پ)، ۱۹ سطر، اندازه: ۱۵</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۲۲سم [مؤيد: ۳ - ۳۲۱]</w:t>
      </w:r>
    </w:p>
    <w:p>
      <w:pPr>
        <w:pStyle w:val="BookText"/>
      </w:pPr>
      <w:r>
        <w:rPr>
          <w:rFonts w:ascii="IRNazanin" w:hAnsi="IRNazanin" w:eastAsia="IRNazanin" w:cs="IRNazanin"/>
          <w:lang w:bidi="fa-IR"/>
          <w:color w:val="111111"/>
          <w:sz w:val="28"/>
          <w:szCs w:val="28"/>
          <w:rtl/>
        </w:rPr>
        <w:t xml:space="preserve">۲۳۸۴ . قم؛ فیضیه؛ شماره نسخه :۱۷۰۷/۲</w:t>
      </w:r>
    </w:p>
    <w:p>
      <w:pPr>
        <w:pStyle w:val="BookText"/>
      </w:pPr>
      <w:r>
        <w:rPr>
          <w:rFonts w:ascii="IRNazanin" w:hAnsi="IRNazanin" w:eastAsia="IRNazanin" w:cs="IRNazanin"/>
          <w:lang w:bidi="fa-IR"/>
          <w:color w:val="111111"/>
          <w:sz w:val="28"/>
          <w:szCs w:val="28"/>
          <w:rtl/>
        </w:rPr>
        <w:t xml:space="preserve">آغاز: عشق باشد علت هر معرفت *** عشق باشد غایت هر معرفت؛</w:t>
      </w:r>
    </w:p>
    <w:p>
      <w:pPr>
        <w:pStyle w:val="BookText"/>
      </w:pPr>
      <w:r>
        <w:rPr>
          <w:rFonts w:ascii="IRNazanin" w:hAnsi="IRNazanin" w:eastAsia="IRNazanin" w:cs="IRNazanin"/>
          <w:lang w:bidi="fa-IR"/>
          <w:color w:val="111111"/>
          <w:sz w:val="28"/>
          <w:szCs w:val="28"/>
          <w:rtl/>
        </w:rPr>
        <w:t xml:space="preserve">بی کا، بی تا ؛۷۰گ، ۱۸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۱۰سم [ف: ۳ - ۱۲۲]</w:t>
      </w:r>
    </w:p>
    <w:p>
      <w:pPr>
        <w:pStyle w:val="BookText"/>
      </w:pPr>
      <w:r>
        <w:rPr>
          <w:rFonts w:ascii="IRNazanin" w:hAnsi="IRNazanin" w:eastAsia="IRNazanin" w:cs="IRNazanin"/>
          <w:lang w:bidi="fa-IR"/>
          <w:color w:val="111111"/>
          <w:sz w:val="28"/>
          <w:szCs w:val="28"/>
          <w:rtl/>
        </w:rPr>
        <w:t xml:space="preserve">۲۳۸۵. تهران؛ مجلس؛ شماره نسخه: ۱۳۶۵۳/۶</w:t>
      </w:r>
    </w:p>
    <w:p>
      <w:pPr>
        <w:pStyle w:val="BookText"/>
      </w:pPr>
      <w:r>
        <w:rPr>
          <w:rFonts w:ascii="IRNazanin" w:hAnsi="IRNazanin" w:eastAsia="IRNazanin" w:cs="IRNazanin"/>
          <w:lang w:bidi="fa-IR"/>
          <w:color w:val="111111"/>
          <w:sz w:val="28"/>
          <w:szCs w:val="28"/>
          <w:rtl/>
        </w:rPr>
        <w:t xml:space="preserve">انجام: از بس که بتان دو رویه در وی گذرند *** هر کوچه او نشان شق القمر است</w:t>
      </w:r>
    </w:p>
    <w:p>
      <w:pPr>
        <w:pStyle w:val="BookText"/>
      </w:pPr>
      <w:r>
        <w:rPr>
          <w:rFonts w:ascii="IRNazanin" w:hAnsi="IRNazanin" w:eastAsia="IRNazanin" w:cs="IRNazanin"/>
          <w:lang w:bidi="fa-IR"/>
          <w:color w:val="111111"/>
          <w:sz w:val="28"/>
          <w:szCs w:val="28"/>
          <w:rtl/>
        </w:rPr>
        <w:t xml:space="preserve">رباعیات؛ خط: نستعلیق، بی کا، بی تا ؛جلد: مقوایی پشت جلد تیماج زرد مجدول با نقش ترنج، ۱۶گ (216- 231ر)، ۲۶ 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۱۹/۵سم [ف: ۳۷ - ۱۸۲]</w:t>
      </w:r>
    </w:p>
    <w:p>
      <w:pPr>
        <w:pStyle w:val="BookText"/>
      </w:pPr>
      <w:r>
        <w:rPr>
          <w:rFonts w:ascii="IRNazanin" w:hAnsi="IRNazanin" w:eastAsia="IRNazanin" w:cs="IRNazanin"/>
          <w:lang w:bidi="fa-IR"/>
          <w:color w:val="111111"/>
          <w:sz w:val="28"/>
          <w:szCs w:val="28"/>
          <w:rtl/>
        </w:rPr>
        <w:t xml:space="preserve">۲۳۸۶. تهران؛ مجلس؛ شماره نسخه: ۱۳۶۵۳/۵</w:t>
      </w:r>
    </w:p>
    <w:p>
      <w:pPr>
        <w:pStyle w:val="BookText"/>
      </w:pPr>
      <w:r>
        <w:rPr>
          <w:rFonts w:ascii="IRNazanin" w:hAnsi="IRNazanin" w:eastAsia="IRNazanin" w:cs="IRNazanin"/>
          <w:lang w:bidi="fa-IR"/>
          <w:color w:val="111111"/>
          <w:sz w:val="28"/>
          <w:szCs w:val="28"/>
          <w:rtl/>
        </w:rPr>
        <w:t xml:space="preserve">آغاز: ای نه فلک ز خوشه صنع تو دانه ای *** وز قصر کبریایی تو عرش آستانه ای</w:t>
      </w:r>
    </w:p>
    <w:p>
      <w:pPr>
        <w:pStyle w:val="BookText"/>
      </w:pPr>
      <w:r>
        <w:rPr>
          <w:rFonts w:ascii="IRNazanin" w:hAnsi="IRNazanin" w:eastAsia="IRNazanin" w:cs="IRNazanin"/>
          <w:lang w:bidi="fa-IR"/>
          <w:color w:val="111111"/>
          <w:sz w:val="28"/>
          <w:szCs w:val="28"/>
          <w:rtl/>
        </w:rPr>
        <w:t xml:space="preserve">غزلیات ؛خط: نستعلیق، بی کا، بی تا ؛جلد: مقوایی، پشت جلد تیماج زرد مجدول با نقش ترنج، ۸۹گ (۱۲۷پ-۲۱۶ر)، ۲۶ ،سطر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۱۹/۵سم [ف: ۳۷ - ۱۸۲]</w:t>
      </w:r>
    </w:p>
    <w:p>
      <w:pPr>
        <w:pStyle w:val="BookText"/>
      </w:pPr>
      <w:r>
        <w:rPr>
          <w:rFonts w:ascii="IRNazanin" w:hAnsi="IRNazanin" w:eastAsia="IRNazanin" w:cs="IRNazanin"/>
          <w:lang w:bidi="fa-IR"/>
          <w:color w:val="111111"/>
          <w:sz w:val="28"/>
          <w:szCs w:val="28"/>
          <w:rtl/>
        </w:rPr>
        <w:t xml:space="preserve">۲۳۸۷. تهران؛ مجلس؛ شماره نسخه: ۱۳۶۵۳/۴</w:t>
      </w:r>
    </w:p>
    <w:p>
      <w:pPr>
        <w:pStyle w:val="BookText"/>
      </w:pPr>
      <w:r>
        <w:rPr>
          <w:rFonts w:ascii="IRNazanin" w:hAnsi="IRNazanin" w:eastAsia="IRNazanin" w:cs="IRNazanin"/>
          <w:lang w:bidi="fa-IR"/>
          <w:color w:val="111111"/>
          <w:sz w:val="28"/>
          <w:szCs w:val="28"/>
          <w:rtl/>
        </w:rPr>
        <w:t xml:space="preserve">آغاز: ای متاع درد در بازار جان انداخته *** گوهر هر سود در جیب زیان انداخته</w:t>
      </w:r>
    </w:p>
    <w:p>
      <w:pPr>
        <w:pStyle w:val="BookText"/>
      </w:pPr>
      <w:r>
        <w:rPr>
          <w:rFonts w:ascii="IRNazanin" w:hAnsi="IRNazanin" w:eastAsia="IRNazanin" w:cs="IRNazanin"/>
          <w:lang w:bidi="fa-IR"/>
          <w:color w:val="111111"/>
          <w:sz w:val="28"/>
          <w:szCs w:val="28"/>
          <w:rtl/>
        </w:rPr>
        <w:t xml:space="preserve">قصاید؛ خط: نستعلیق، بی کا، بی تا ؛جلد: مقوایی پشت جلد تیماج زرد مجدول با نقش ترنج، ۶۴گ (63پ- 127ر)، ۲۶ 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۱۹/۵سم [ف: ۳۷ - ۱۸۱]</w:t>
      </w:r>
    </w:p>
    <w:p>
      <w:pPr>
        <w:pStyle w:val="BookText"/>
      </w:pPr>
      <w:r>
        <w:rPr>
          <w:rFonts w:ascii="IRNazanin" w:hAnsi="IRNazanin" w:eastAsia="IRNazanin" w:cs="IRNazanin"/>
          <w:lang w:bidi="fa-IR"/>
          <w:color w:val="111111"/>
          <w:sz w:val="28"/>
          <w:szCs w:val="28"/>
          <w:rtl/>
        </w:rPr>
        <w:t xml:space="preserve">۲۳۸۸ . قم؛ مرعشی؛ شماره نسخه: ۱۱۷۹۴</w:t>
      </w:r>
    </w:p>
    <w:p>
      <w:pPr>
        <w:pStyle w:val="BookText"/>
      </w:pPr>
      <w:r>
        <w:rPr>
          <w:rFonts w:ascii="IRNazanin" w:hAnsi="IRNazanin" w:eastAsia="IRNazanin" w:cs="IRNazanin"/>
          <w:lang w:bidi="fa-IR"/>
          <w:color w:val="111111"/>
          <w:sz w:val="28"/>
          <w:szCs w:val="28"/>
          <w:rtl/>
        </w:rPr>
        <w:t xml:space="preserve">قصاید و مدایح؛ خط: نستعلیق ممتاز، بی کا، بی تا؛ میرزا محمدخان اقبال الدوله امير نویان و فرمانروای کرمانشاهان و سرحدات عراقین به سال ۱۳۱۸ق، و نیز تبریک عید مولود مظفرالدین شاه قاجار؛ مهر: «مصباح الشعرا» (بیضی)[ میراث شهاب: س ۱۰ش ۱-۲-۲۷]</w:t>
      </w:r>
    </w:p>
    <w:p>
      <w:pPr>
        <w:pStyle w:val="BookText"/>
      </w:pPr>
      <w:r>
        <w:rPr>
          <w:rFonts w:ascii="IRNazanin" w:hAnsi="IRNazanin" w:eastAsia="IRNazanin" w:cs="IRNazanin"/>
          <w:lang w:bidi="fa-IR"/>
          <w:color w:val="111111"/>
          <w:sz w:val="28"/>
          <w:szCs w:val="28"/>
          <w:rtl/>
        </w:rPr>
        <w:t xml:space="preserve">۲۳۸۹. تهران؛ ملی؛ شماره نسخه: ۱۷۸۸۰</w:t>
      </w:r>
    </w:p>
    <w:p>
      <w:pPr>
        <w:pStyle w:val="BookText"/>
      </w:pPr>
      <w:r>
        <w:rPr>
          <w:rFonts w:ascii="IRNazanin" w:hAnsi="IRNazanin" w:eastAsia="IRNazanin" w:cs="IRNazanin"/>
          <w:lang w:bidi="fa-IR"/>
          <w:color w:val="111111"/>
          <w:sz w:val="28"/>
          <w:szCs w:val="28"/>
          <w:rtl/>
        </w:rPr>
        <w:t xml:space="preserve">مثنوی؛ بی کا، بی تا؛ انتقالی از کتابخانه پهلوی - مجموعه نوازی؛ اندازه: ۱۱/۱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۲۰/۴سم [رایانه]</w:t>
      </w:r>
    </w:p>
    <w:p>
      <w:pPr>
        <w:pStyle w:val="BookText"/>
      </w:pPr>
      <w:r>
        <w:rPr>
          <w:rFonts w:ascii="IRNazanin" w:hAnsi="IRNazanin" w:eastAsia="IRNazanin" w:cs="IRNazanin"/>
          <w:lang w:bidi="fa-IR"/>
          <w:color w:val="111111"/>
          <w:sz w:val="28"/>
          <w:szCs w:val="28"/>
          <w:rtl/>
        </w:rPr>
        <w:t xml:space="preserve">۲۳۹۰. قم؛ مسجد اعظم؛ شماره نسخه: ۱۵۷۲</w:t>
      </w:r>
    </w:p>
    <w:p>
      <w:pPr>
        <w:pStyle w:val="BookText"/>
      </w:pPr>
      <w:r>
        <w:rPr>
          <w:rFonts w:ascii="IRNazanin" w:hAnsi="IRNazanin" w:eastAsia="IRNazanin" w:cs="IRNazanin"/>
          <w:lang w:bidi="fa-IR"/>
          <w:color w:val="111111"/>
          <w:sz w:val="28"/>
          <w:szCs w:val="28"/>
          <w:rtl/>
        </w:rPr>
        <w:t xml:space="preserve">آغاز: جانب میدان گفتای شبه پیغمبر مرد (ای علی اکبر مرد) *** رحم کن بر مادرت برجنگ این لشکر مرد(ای علی اکبر مرد)؛ انجام: ای دل بیا که موسم آه و فغان رسید *** یعنی عزای خاتم پیغمبران رسید</w:t>
      </w:r>
    </w:p>
    <w:p>
      <w:pPr>
        <w:pStyle w:val="BookText"/>
      </w:pPr>
      <w:r>
        <w:rPr>
          <w:rFonts w:ascii="IRNazanin" w:hAnsi="IRNazanin" w:eastAsia="IRNazanin" w:cs="IRNazanin"/>
          <w:lang w:bidi="fa-IR"/>
          <w:color w:val="111111"/>
          <w:sz w:val="28"/>
          <w:szCs w:val="28"/>
          <w:rtl/>
        </w:rPr>
        <w:t xml:space="preserve">مجموعه اشعار در مصیبت ائمه اطهار (علیهم السّلام) و به ویژه فاجعه جانگداز کربلا و شهدای آن و نیز احوال پس از آن در شام و کوفه است؛ خط: تحریری، بی کا، بی تا؛ جلد: تیماج مشکی بدون
</w:t>
      </w:r>
    </w:p>
    <w:p>
      <w:pPr>
        <w:sectPr>
          <w:footerReference w:type="default" r:id="rId9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مقوا، ۷۲گ، مختلف السطر، قطع: بیاض رقعی،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 سم [ف مخ: ۵ - ۱۹۸۱]</w:t>
      </w:r>
    </w:p>
    <w:p>
      <w:pPr>
        <w:pStyle w:val="BookText"/>
      </w:pPr>
      <w:r>
        <w:rPr>
          <w:rFonts w:ascii="IRNazanin" w:hAnsi="IRNazanin" w:eastAsia="IRNazanin" w:cs="IRNazanin"/>
          <w:lang w:bidi="fa-IR"/>
          <w:color w:val="111111"/>
          <w:sz w:val="28"/>
          <w:szCs w:val="28"/>
          <w:rtl/>
        </w:rPr>
        <w:t xml:space="preserve">۲۳۹۱. یزد؛ وزیری؛ شماره نسخه: ۳۴۹۷</w:t>
      </w:r>
    </w:p>
    <w:p>
      <w:pPr>
        <w:pStyle w:val="BookText"/>
      </w:pPr>
      <w:r>
        <w:rPr>
          <w:rFonts w:ascii="IRNazanin" w:hAnsi="IRNazanin" w:eastAsia="IRNazanin" w:cs="IRNazanin"/>
          <w:lang w:bidi="fa-IR"/>
          <w:color w:val="111111"/>
          <w:sz w:val="28"/>
          <w:szCs w:val="28"/>
          <w:rtl/>
        </w:rPr>
        <w:t xml:space="preserve">آغاز: بسکه از دست فلک خون دل شوریده حالم *** بوی خـون اندر مشامت آید از خونین مقالم؛</w:t>
      </w:r>
    </w:p>
    <w:p>
      <w:pPr>
        <w:pStyle w:val="BookText"/>
      </w:pPr>
      <w:r>
        <w:rPr>
          <w:rFonts w:ascii="IRNazanin" w:hAnsi="IRNazanin" w:eastAsia="IRNazanin" w:cs="IRNazanin"/>
          <w:lang w:bidi="fa-IR"/>
          <w:color w:val="111111"/>
          <w:sz w:val="28"/>
          <w:szCs w:val="28"/>
          <w:rtl/>
        </w:rPr>
        <w:t xml:space="preserve">مراثی؛ خط: نستعلیق، بی کا، بی تا؛ اهدایی: رسولیان؛ کاغذ: اصفهانی ،جلد: مقوایی روکش کاغذ ابری عطف و گوشه ها تیماج قرمز، ۱۲۴گ، مختلف السطر،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۱۹/۵سم [ف: ۵ - ۱۶۷۴]</w:t>
      </w:r>
    </w:p>
    <w:p>
      <w:pPr>
        <w:pStyle w:val="BookText"/>
      </w:pPr>
      <w:r>
        <w:rPr>
          <w:rFonts w:ascii="IRNazanin" w:hAnsi="IRNazanin" w:eastAsia="IRNazanin" w:cs="IRNazanin"/>
          <w:lang w:bidi="fa-IR"/>
          <w:color w:val="111111"/>
          <w:sz w:val="28"/>
          <w:szCs w:val="28"/>
          <w:rtl/>
        </w:rPr>
        <w:t xml:space="preserve">۲۳۹۲. تهران؛ مجلس؛ شماره نسخه: ۱۱۹/۴</w:t>
      </w:r>
    </w:p>
    <w:p>
      <w:pPr>
        <w:pStyle w:val="BookText"/>
      </w:pPr>
      <w:r>
        <w:rPr>
          <w:rFonts w:ascii="IRNazanin" w:hAnsi="IRNazanin" w:eastAsia="IRNazanin" w:cs="IRNazanin"/>
          <w:lang w:bidi="fa-IR"/>
          <w:color w:val="111111"/>
          <w:sz w:val="28"/>
          <w:szCs w:val="28"/>
          <w:rtl/>
        </w:rPr>
        <w:t xml:space="preserve">مراثی از کفاش؛ بی کا، بی تا؛ کاغذ: سفید، جلد: تیماج قهوه ای، ۱۱ص (۴۷-۳۷) ابعاد متن ،7</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[سنا: ف: ۱ - ۶۲]</w:t>
      </w:r>
    </w:p>
    <w:p>
      <w:pPr>
        <w:pStyle w:val="BookText"/>
      </w:pPr>
      <w:r>
        <w:rPr>
          <w:rFonts w:ascii="IRNazanin" w:hAnsi="IRNazanin" w:eastAsia="IRNazanin" w:cs="IRNazanin"/>
          <w:lang w:bidi="fa-IR"/>
          <w:color w:val="111111"/>
          <w:sz w:val="28"/>
          <w:szCs w:val="28"/>
          <w:rtl/>
        </w:rPr>
        <w:t xml:space="preserve">۲۳۹۳. یزد؛ وزیری؛ شماره نسخه: ۳۵۰۸</w:t>
      </w:r>
    </w:p>
    <w:p>
      <w:pPr>
        <w:pStyle w:val="BookText"/>
      </w:pPr>
      <w:r>
        <w:rPr>
          <w:rFonts w:ascii="IRNazanin" w:hAnsi="IRNazanin" w:eastAsia="IRNazanin" w:cs="IRNazanin"/>
          <w:lang w:bidi="fa-IR"/>
          <w:color w:val="111111"/>
          <w:sz w:val="28"/>
          <w:szCs w:val="28"/>
          <w:rtl/>
        </w:rPr>
        <w:t xml:space="preserve">مراثی؛ خط: مختلف، بی کا، بی تا؛ اهدایی: وزیری مؤسس؛ کاغذ: اصفهانی، جلد: مقوایی روکش کاغذ ابری عطف تیماج قرمز، ۵۱ گ، مختلف السطر ،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۵ - ۱۶۷۹]</w:t>
      </w:r>
    </w:p>
    <w:p>
      <w:pPr>
        <w:pStyle w:val="BookText"/>
      </w:pPr>
      <w:r>
        <w:rPr>
          <w:rFonts w:ascii="IRNazanin" w:hAnsi="IRNazanin" w:eastAsia="IRNazanin" w:cs="IRNazanin"/>
          <w:lang w:bidi="fa-IR"/>
          <w:color w:val="111111"/>
          <w:sz w:val="28"/>
          <w:szCs w:val="28"/>
          <w:rtl/>
        </w:rPr>
        <w:t xml:space="preserve">۲۳۹۴. سمنان؛ میراث فرهنگی سمنان؛ شماره نسخه: ۱۰</w:t>
      </w:r>
    </w:p>
    <w:p>
      <w:pPr>
        <w:pStyle w:val="BookText"/>
      </w:pPr>
      <w:r>
        <w:rPr>
          <w:rFonts w:ascii="IRNazanin" w:hAnsi="IRNazanin" w:eastAsia="IRNazanin" w:cs="IRNazanin"/>
          <w:lang w:bidi="fa-IR"/>
          <w:color w:val="111111"/>
          <w:sz w:val="28"/>
          <w:szCs w:val="28"/>
          <w:rtl/>
        </w:rPr>
        <w:t xml:space="preserve">آغاز: خطاب امام حسین به ساربان. پس گذارش پیغام طا سرگردان *** جزای خیر دهد حق ترا بدان احسان؛ انجام: بس است خانه تو پس شرح را تمام مکن *** زبان به بند با زنده گی حرام مكن تمت</w:t>
      </w:r>
    </w:p>
    <w:p>
      <w:pPr>
        <w:pStyle w:val="BookText"/>
      </w:pPr>
      <w:r>
        <w:rPr>
          <w:rFonts w:ascii="IRNazanin" w:hAnsi="IRNazanin" w:eastAsia="IRNazanin" w:cs="IRNazanin"/>
          <w:lang w:bidi="fa-IR"/>
          <w:color w:val="111111"/>
          <w:sz w:val="28"/>
          <w:szCs w:val="28"/>
          <w:rtl/>
        </w:rPr>
        <w:t xml:space="preserve">اشعاری است که در مراسم تعزیه و روضه خوانی حضرت ابا عبدالله الحسین(علیه السّلام) خوانده می شود؛ خط: تحریری، بی کا، بی تا؛ ۶۸گ، ۱۲ سطر، اندازه: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w:t>
      </w:r>
    </w:p>
    <w:p>
      <w:pPr>
        <w:pStyle w:val="BookText"/>
      </w:pPr>
      <w:r>
        <w:rPr>
          <w:rFonts w:ascii="IRNazanin" w:hAnsi="IRNazanin" w:eastAsia="IRNazanin" w:cs="IRNazanin"/>
          <w:lang w:bidi="fa-IR"/>
          <w:color w:val="111111"/>
          <w:sz w:val="28"/>
          <w:szCs w:val="28"/>
          <w:rtl/>
        </w:rPr>
        <w:t xml:space="preserve">۲۳۹۵. قم؛ گلپایگانی؛ شماره نسخه: ۹۰۲۵-۵۹/۲۴۵</w:t>
      </w:r>
    </w:p>
    <w:p>
      <w:pPr>
        <w:pStyle w:val="BookText"/>
      </w:pPr>
      <w:r>
        <w:rPr>
          <w:rFonts w:ascii="IRNazanin" w:hAnsi="IRNazanin" w:eastAsia="IRNazanin" w:cs="IRNazanin"/>
          <w:lang w:bidi="fa-IR"/>
          <w:color w:val="111111"/>
          <w:sz w:val="28"/>
          <w:szCs w:val="28"/>
          <w:rtl/>
        </w:rPr>
        <w:t xml:space="preserve">آغاز: زمین ماریه از پیکرش منور شد ***گلوبریده سوی خود پیمبر شد / به نزد والد خود جرعه نوش کوثر شد *** سوی حضرت عالیجناب مادر شد شامل اشعار و قصاید شاعران که در مراثی امام حسین (علیه السّلام) و شهیدان کربلا سروده اند. نام شاعرانی که شعرشان در این بیاض آمده عبارتند از: مجرم ،خلیل ،قاسم، مقبل، راغب؛ خط: نسخ، بی کا،بی تا؛ افتادگی: آغاز و انجام؛ ۸۲گ، مختلف السطر ، قطع: بياض ،رقعی، اندازه: 9</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[ف: ۷ - ۴۲۶۰]</w:t>
      </w:r>
    </w:p>
    <w:p>
      <w:pPr>
        <w:pStyle w:val="BookText"/>
      </w:pPr>
      <w:r>
        <w:rPr>
          <w:rFonts w:ascii="IRNazanin" w:hAnsi="IRNazanin" w:eastAsia="IRNazanin" w:cs="IRNazanin"/>
          <w:lang w:bidi="fa-IR"/>
          <w:color w:val="111111"/>
          <w:sz w:val="28"/>
          <w:szCs w:val="28"/>
          <w:rtl/>
        </w:rPr>
        <w:t xml:space="preserve">۲۳۹۶ یزد؛ وزیری؛ شماره نسخه: ۳۴۹۰</w:t>
      </w:r>
    </w:p>
    <w:p>
      <w:pPr>
        <w:pStyle w:val="BookText"/>
      </w:pPr>
      <w:r>
        <w:rPr>
          <w:rFonts w:ascii="IRNazanin" w:hAnsi="IRNazanin" w:eastAsia="IRNazanin" w:cs="IRNazanin"/>
          <w:lang w:bidi="fa-IR"/>
          <w:color w:val="111111"/>
          <w:sz w:val="28"/>
          <w:szCs w:val="28"/>
          <w:rtl/>
        </w:rPr>
        <w:t xml:space="preserve">آغاز: پریده اند تو گوئی ز آشیان بهشت؛ انجام: به گریه گـفت که این نور عرصه ایجاد</w:t>
      </w:r>
    </w:p>
    <w:p>
      <w:pPr>
        <w:pStyle w:val="BookText"/>
      </w:pPr>
      <w:r>
        <w:rPr>
          <w:rFonts w:ascii="IRNazanin" w:hAnsi="IRNazanin" w:eastAsia="IRNazanin" w:cs="IRNazanin"/>
          <w:lang w:bidi="fa-IR"/>
          <w:color w:val="111111"/>
          <w:sz w:val="28"/>
          <w:szCs w:val="28"/>
          <w:rtl/>
        </w:rPr>
        <w:t xml:space="preserve">مراثی؛ خط: نسخ، بی کا، بی تا؛ افتادگی: آغاز و انجام؛ اهدایی؛ وزیری مؤسس؛ کاغذ: اصفهانی ،جلد: مقوایی،روکش کاغذ ابـری عطف تیماج قرمز، ۴۷گ، مختلف السطر،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 ف: 5- 1672]</w:t>
      </w:r>
    </w:p>
    <w:p>
      <w:pPr>
        <w:pStyle w:val="BookText"/>
      </w:pPr>
      <w:r>
        <w:rPr>
          <w:rFonts w:ascii="IRNazanin" w:hAnsi="IRNazanin" w:eastAsia="IRNazanin" w:cs="IRNazanin"/>
          <w:lang w:bidi="fa-IR"/>
          <w:color w:val="111111"/>
          <w:sz w:val="28"/>
          <w:szCs w:val="28"/>
          <w:rtl/>
        </w:rPr>
        <w:t xml:space="preserve">۲۳۹۷ . قم؛ مرکز مطالعات؛ شماره نسخه: ۱۰۱۶</w:t>
      </w:r>
    </w:p>
    <w:p>
      <w:pPr>
        <w:pStyle w:val="BookText"/>
      </w:pPr>
      <w:r>
        <w:rPr>
          <w:rFonts w:ascii="IRNazanin" w:hAnsi="IRNazanin" w:eastAsia="IRNazanin" w:cs="IRNazanin"/>
          <w:lang w:bidi="fa-IR"/>
          <w:color w:val="111111"/>
          <w:sz w:val="28"/>
          <w:szCs w:val="28"/>
          <w:rtl/>
        </w:rPr>
        <w:t xml:space="preserve">مراثی اهل بیت (علیه السّلام)؛ خط: نستعلیق، بی کا، بی تا؛ نمونه خطی از درویش احمد کاشانی والد مرحوم حاجی محمد تقی تاجر کاشانی به تاریخ شنبه ۷ ذیحجه ۱۳۰۹ در ضمن کتاب آمـده؛جلد: گالینگور آبی ضربی، ۱۲۴گ، سطور چلیپایی، قطع: بیاضی،اندازه: ۱۱</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۱۷سم [ف: ۲ - ۲۷۳]</w:t>
      </w:r>
    </w:p>
    <w:p>
      <w:pPr>
        <w:pStyle w:val="BookText"/>
      </w:pPr>
      <w:r>
        <w:rPr>
          <w:rFonts w:ascii="IRNazanin" w:hAnsi="IRNazanin" w:eastAsia="IRNazanin" w:cs="IRNazanin"/>
          <w:lang w:bidi="fa-IR"/>
          <w:color w:val="111111"/>
          <w:sz w:val="28"/>
          <w:szCs w:val="28"/>
          <w:rtl/>
        </w:rPr>
        <w:t xml:space="preserve">۲۳۹۸. تهران؛ دانشگاه؛ شماره نسخه: ۷۵۶۶/۶</w:t>
      </w:r>
    </w:p>
    <w:p>
      <w:pPr>
        <w:pStyle w:val="BookText"/>
      </w:pPr>
      <w:r>
        <w:rPr>
          <w:rFonts w:ascii="IRNazanin" w:hAnsi="IRNazanin" w:eastAsia="IRNazanin" w:cs="IRNazanin"/>
          <w:lang w:bidi="fa-IR"/>
          <w:color w:val="111111"/>
          <w:sz w:val="28"/>
          <w:szCs w:val="28"/>
          <w:rtl/>
        </w:rPr>
        <w:t xml:space="preserve">در چهل و چهار مقام فقر؛ خط: نستعلیق، بی کا، بی تا؛ کاغذ: فرنگی، جلد: تیماج قهوه ای مقوایی، ۱۵ سطر (۸/۵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 ۱۶ - ۶۳۱]</w:t>
      </w:r>
    </w:p>
    <w:p>
      <w:pPr>
        <w:pStyle w:val="BookText"/>
      </w:pPr>
      <w:r>
        <w:rPr>
          <w:rFonts w:ascii="IRNazanin" w:hAnsi="IRNazanin" w:eastAsia="IRNazanin" w:cs="IRNazanin"/>
          <w:lang w:bidi="fa-IR"/>
          <w:color w:val="111111"/>
          <w:sz w:val="28"/>
          <w:szCs w:val="28"/>
          <w:rtl/>
        </w:rPr>
        <w:t xml:space="preserve">۲۳۹۹. تبریز ،نخجوانی، حسین؛ شماره نسخه: ۵۳</w:t>
      </w:r>
    </w:p>
    <w:p>
      <w:pPr>
        <w:pStyle w:val="BookText"/>
      </w:pPr>
      <w:r>
        <w:rPr>
          <w:rFonts w:ascii="IRNazanin" w:hAnsi="IRNazanin" w:eastAsia="IRNazanin" w:cs="IRNazanin"/>
          <w:lang w:bidi="fa-IR"/>
          <w:color w:val="111111"/>
          <w:sz w:val="28"/>
          <w:szCs w:val="28"/>
          <w:rtl/>
        </w:rPr>
        <w:t xml:space="preserve">منظومه در مناقب ائمه به روش شیعی؛ بی کا، بی تا [نشریه: ۴ - ۳۴۲]</w:t>
      </w:r>
    </w:p>
    <w:p>
      <w:pPr>
        <w:pStyle w:val="BookText"/>
      </w:pPr>
      <w:r>
        <w:rPr>
          <w:rFonts w:ascii="IRNazanin" w:hAnsi="IRNazanin" w:eastAsia="IRNazanin" w:cs="IRNazanin"/>
          <w:lang w:bidi="fa-IR"/>
          <w:color w:val="111111"/>
          <w:sz w:val="28"/>
          <w:szCs w:val="28"/>
          <w:rtl/>
        </w:rPr>
        <w:t xml:space="preserve">۲۴۰۰ . تهران؛ مجلس؛ شماره نسخه: ۱۷۷۲۵</w:t>
      </w:r>
    </w:p>
    <w:p>
      <w:pPr>
        <w:pStyle w:val="BookText"/>
      </w:pPr>
      <w:r>
        <w:rPr>
          <w:rFonts w:ascii="IRNazanin" w:hAnsi="IRNazanin" w:eastAsia="IRNazanin" w:cs="IRNazanin"/>
          <w:lang w:bidi="fa-IR"/>
          <w:color w:val="111111"/>
          <w:sz w:val="28"/>
          <w:szCs w:val="28"/>
          <w:rtl/>
        </w:rPr>
        <w:t xml:space="preserve">منظومه رمزی؛ بی کا، بی تا [د.ث. مجلس ]</w:t>
      </w:r>
    </w:p>
    <w:p>
      <w:pPr>
        <w:pStyle w:val="BookText"/>
      </w:pPr>
      <w:r>
        <w:rPr>
          <w:rFonts w:ascii="IRNazanin" w:hAnsi="IRNazanin" w:eastAsia="IRNazanin" w:cs="IRNazanin"/>
          <w:lang w:bidi="fa-IR"/>
          <w:color w:val="111111"/>
          <w:sz w:val="28"/>
          <w:szCs w:val="28"/>
          <w:rtl/>
        </w:rPr>
        <w:t xml:space="preserve">۲۴۰۱. رشت؛ جمعیت نشر فرهنگ؛ شماره نسخه: ۳۱۳/۹ج</w:t>
      </w:r>
    </w:p>
    <w:p>
      <w:pPr>
        <w:pStyle w:val="BookText"/>
      </w:pPr>
      <w:r>
        <w:rPr>
          <w:rFonts w:ascii="IRNazanin" w:hAnsi="IRNazanin" w:eastAsia="IRNazanin" w:cs="IRNazanin"/>
          <w:lang w:bidi="fa-IR"/>
          <w:color w:val="111111"/>
          <w:sz w:val="28"/>
          <w:szCs w:val="28"/>
          <w:rtl/>
        </w:rPr>
        <w:t xml:space="preserve">آغاز: عنصر آب است ما جامل به روی سطح خاک *** نقطه خاک است ما ساکن درین شکل کری</w:t>
      </w:r>
    </w:p>
    <w:p>
      <w:pPr>
        <w:pStyle w:val="BookText"/>
      </w:pPr>
      <w:r>
        <w:rPr>
          <w:rFonts w:ascii="IRNazanin" w:hAnsi="IRNazanin" w:eastAsia="IRNazanin" w:cs="IRNazanin"/>
          <w:lang w:bidi="fa-IR"/>
          <w:color w:val="111111"/>
          <w:sz w:val="28"/>
          <w:szCs w:val="28"/>
          <w:rtl/>
        </w:rPr>
        <w:t xml:space="preserve">بی کا، بی تا؛ افتادگی: آغاز؛ قطع: بیاض رقعی [رشت و همدان: ف: -1218]</w:t>
      </w:r>
    </w:p>
    <w:p>
      <w:pPr>
        <w:pStyle w:val="BookText"/>
      </w:pPr>
      <w:r>
        <w:rPr>
          <w:rFonts w:ascii="IRNazanin" w:hAnsi="IRNazanin" w:eastAsia="IRNazanin" w:cs="IRNazanin"/>
          <w:lang w:bidi="fa-IR"/>
          <w:color w:val="111111"/>
          <w:sz w:val="28"/>
          <w:szCs w:val="28"/>
          <w:rtl/>
        </w:rPr>
        <w:t xml:space="preserve">۲۴۰۲. تهران؛ دانشگاه؛ شماره نسخه: ۹۶۱۵/۹</w:t>
      </w:r>
    </w:p>
    <w:p>
      <w:pPr>
        <w:pStyle w:val="BookText"/>
      </w:pPr>
      <w:r>
        <w:rPr>
          <w:rFonts w:ascii="IRNazanin" w:hAnsi="IRNazanin" w:eastAsia="IRNazanin" w:cs="IRNazanin"/>
          <w:lang w:bidi="fa-IR"/>
          <w:color w:val="111111"/>
          <w:sz w:val="28"/>
          <w:szCs w:val="28"/>
          <w:rtl/>
        </w:rPr>
        <w:t xml:space="preserve">آغاز: بعد حمد خدا و نعت نبی *** مدح اولا دچار یار تقی / علم تصریف چند قاعده است*** علم دین را عظیم فایده است؛</w:t>
      </w:r>
    </w:p>
    <w:p>
      <w:pPr>
        <w:pStyle w:val="BookText"/>
      </w:pPr>
      <w:r>
        <w:rPr>
          <w:rFonts w:ascii="IRNazanin" w:hAnsi="IRNazanin" w:eastAsia="IRNazanin" w:cs="IRNazanin"/>
          <w:lang w:bidi="fa-IR"/>
          <w:color w:val="111111"/>
          <w:sz w:val="28"/>
          <w:szCs w:val="28"/>
          <w:rtl/>
        </w:rPr>
        <w:t xml:space="preserve">انجام: خواند عنکبوت ختم سخن پاره پاره شود به آب دهن</w:t>
      </w:r>
    </w:p>
    <w:p>
      <w:pPr>
        <w:pStyle w:val="BookText"/>
      </w:pPr>
      <w:r>
        <w:rPr>
          <w:rFonts w:ascii="IRNazanin" w:hAnsi="IRNazanin" w:eastAsia="IRNazanin" w:cs="IRNazanin"/>
          <w:lang w:bidi="fa-IR"/>
          <w:color w:val="111111"/>
          <w:sz w:val="28"/>
          <w:szCs w:val="28"/>
          <w:rtl/>
        </w:rPr>
        <w:t xml:space="preserve">منظومه فارسی در چهار قاعده؛ بی کا، بی تا؛ کاغذ: هندی، جلد: مقوا، ۵گ (۱۴۲پ- ۱۴۷ر) ۱۷ سطر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۱۱/۵)، قطع: ربعی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۲۴سم [ف : ۱۷ - ۴۳۶]</w:t>
      </w:r>
    </w:p>
    <w:p>
      <w:pPr>
        <w:pStyle w:val="BookText"/>
      </w:pPr>
      <w:r>
        <w:rPr>
          <w:rFonts w:ascii="IRNazanin" w:hAnsi="IRNazanin" w:eastAsia="IRNazanin" w:cs="IRNazanin"/>
          <w:lang w:bidi="fa-IR"/>
          <w:color w:val="111111"/>
          <w:sz w:val="28"/>
          <w:szCs w:val="28"/>
          <w:rtl/>
        </w:rPr>
        <w:t xml:space="preserve">۲۴۰۳. تهران؛ مجلس؛ شماره نسخه: ۱۰۱۹۴/۷</w:t>
      </w:r>
    </w:p>
    <w:p>
      <w:pPr>
        <w:pStyle w:val="BookText"/>
      </w:pPr>
      <w:r>
        <w:rPr>
          <w:rFonts w:ascii="IRNazanin" w:hAnsi="IRNazanin" w:eastAsia="IRNazanin" w:cs="IRNazanin"/>
          <w:lang w:bidi="fa-IR"/>
          <w:color w:val="111111"/>
          <w:sz w:val="28"/>
          <w:szCs w:val="28"/>
          <w:rtl/>
        </w:rPr>
        <w:t xml:space="preserve">از: اوحد الدین کرمانی ،داعی، اثیر الدین اخسیکتی، صائب؛ خط: نسخ و نستعلیق، بی کا، بی تا ؛جلد: تیماج زیتونی، مجدول، ترنج باسر، نقش گل و بوته خاکستری، ۲۸۴ص،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 ف: ۳۲ - ۲۳۴]</w:t>
      </w:r>
    </w:p>
    <w:p>
      <w:pPr>
        <w:pStyle w:val="BookText"/>
      </w:pPr>
      <w:r>
        <w:rPr>
          <w:rFonts w:ascii="IRNazanin" w:hAnsi="IRNazanin" w:eastAsia="IRNazanin" w:cs="IRNazanin"/>
          <w:lang w:bidi="fa-IR"/>
          <w:color w:val="111111"/>
          <w:sz w:val="28"/>
          <w:szCs w:val="28"/>
          <w:rtl/>
        </w:rPr>
        <w:t xml:space="preserve">۲۴۰۴. تهران؛ مینوی؛ شماره نسخه: ۵۴ بخش ۲</w:t>
      </w:r>
    </w:p>
    <w:p>
      <w:pPr>
        <w:pStyle w:val="BookText"/>
      </w:pPr>
      <w:r>
        <w:rPr>
          <w:rFonts w:ascii="IRNazanin" w:hAnsi="IRNazanin" w:eastAsia="IRNazanin" w:cs="IRNazanin"/>
          <w:lang w:bidi="fa-IR"/>
          <w:color w:val="111111"/>
          <w:sz w:val="28"/>
          <w:szCs w:val="28"/>
          <w:rtl/>
        </w:rPr>
        <w:t xml:space="preserve">شعر هرشاعری برای تمثیل یکی از صنایع شعری در آن هست باید از هند و سند باشد؛ بی کا، بی تا؛ ۳۶۵گ [ف: - ۷۸]</w:t>
      </w:r>
    </w:p>
    <w:p>
      <w:pPr>
        <w:pStyle w:val="BookText"/>
      </w:pPr>
      <w:r>
        <w:rPr>
          <w:rFonts w:ascii="IRNazanin" w:hAnsi="IRNazanin" w:eastAsia="IRNazanin" w:cs="IRNazanin"/>
          <w:lang w:bidi="fa-IR"/>
          <w:color w:val="111111"/>
          <w:sz w:val="28"/>
          <w:szCs w:val="28"/>
          <w:rtl/>
        </w:rPr>
        <w:t xml:space="preserve">۲۴۰۵ . قم؛ مسجد اعظم؛ شماره نسخه: ۴۰۰۱/۱</w:t>
      </w:r>
    </w:p>
    <w:p>
      <w:pPr>
        <w:pStyle w:val="BookText"/>
      </w:pPr>
      <w:r>
        <w:rPr>
          <w:rFonts w:ascii="IRNazanin" w:hAnsi="IRNazanin" w:eastAsia="IRNazanin" w:cs="IRNazanin"/>
          <w:lang w:bidi="fa-IR"/>
          <w:color w:val="111111"/>
          <w:sz w:val="28"/>
          <w:szCs w:val="28"/>
          <w:rtl/>
        </w:rPr>
        <w:t xml:space="preserve">آغاز: ای پادشاه حسن تورا چاکر آفتاب *** داری دو رخ یکیش مه و دیگر آفتاب / خطت کشیده دایره عزین به ماه *** خالت نهاده نقطه مشکین بر آفتاب؛ انجام: آن حال که بر گوش تو مأوى دارد *** هندو بچه ای است با تو نجوی دارد/ گوید شه زنگبار با خیل سپاه *** می آید با [ چلپیش] تو دعوی دارد</w:t>
      </w:r>
    </w:p>
    <w:p>
      <w:pPr>
        <w:pStyle w:val="BookText"/>
      </w:pPr>
      <w:r>
        <w:rPr>
          <w:rFonts w:ascii="IRNazanin" w:hAnsi="IRNazanin" w:eastAsia="IRNazanin" w:cs="IRNazanin"/>
          <w:lang w:bidi="fa-IR"/>
          <w:color w:val="111111"/>
          <w:sz w:val="28"/>
          <w:szCs w:val="28"/>
          <w:rtl/>
        </w:rPr>
        <w:t xml:space="preserve">مجموعه شعر فارسی است از غزلیات و قصاید امیر معزی، ملک الشعرا ،انوری ابیوردی، مصاحب لامعی جرجانی، جمال الدین عبدالرزاق، سنایی غزنوی، بخشی از مثنوی معنوی، مهجور شیرازی و اشعاری در مدح معصومین (علیهم السّلام)؛ خط: نستعلیق، بی کا، بی تا؛ جلد: گالینگور سبز، عطف تیماج زرشکی، ۱۰۱گ، مختلف السطر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مخ: ۲ - ۵۸۶]</w:t>
      </w:r>
    </w:p>
    <w:p>
      <w:pPr>
        <w:pStyle w:val="BookText"/>
      </w:pPr>
      <w:r>
        <w:rPr>
          <w:rFonts w:ascii="IRNazanin" w:hAnsi="IRNazanin" w:eastAsia="IRNazanin" w:cs="IRNazanin"/>
          <w:lang w:bidi="fa-IR"/>
          <w:color w:val="111111"/>
          <w:sz w:val="28"/>
          <w:szCs w:val="28"/>
          <w:rtl/>
        </w:rPr>
        <w:t xml:space="preserve">۲۴۰۶ . قم؛ مسجد اعظم؛ شماره نسخه: ۴۱۲۶
</w:t>
      </w:r>
    </w:p>
    <w:p>
      <w:pPr>
        <w:sectPr>
          <w:footerReference w:type="default" r:id="rId9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آغاز: بیر پیک صبا از ما سلامی *** به شیرین لب بتی شکر کلامی/ بهار عمر وشاخ کامرانی *** گل صد برگ بستان امانی؛ انجـام: ز درج درت ای در شب افروز *** صدف در قعر دریا باد دلسوز/ شکر در رشک باد از ناروانت *** شکسته باد پسته با دهانت</w:t>
      </w:r>
    </w:p>
    <w:p>
      <w:pPr>
        <w:pStyle w:val="BookText"/>
      </w:pPr>
      <w:r>
        <w:rPr>
          <w:rFonts w:ascii="IRNazanin" w:hAnsi="IRNazanin" w:eastAsia="IRNazanin" w:cs="IRNazanin"/>
          <w:lang w:bidi="fa-IR"/>
          <w:color w:val="111111"/>
          <w:sz w:val="28"/>
          <w:szCs w:val="28"/>
          <w:rtl/>
        </w:rPr>
        <w:t xml:space="preserve">مجموعه ای است از اشعار شاعران پارسی گوی، چون خواجه سلمان ،کمال ،حافظ ،کاتبی، ابن غیاث ،محبی، خواجه همـام، سعدی و دیگران؛ خط: نستعلیق، بی کا، بی تا؛ با لوح مزدوج مذهب و مرصع؛ جلد: گالینگور سبز عطف تیماج زرشکی، ۱۰۹ گ، ۱۰ سطر، اندازه: 8</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[ف مخ: ۲ - ۵۸۷]</w:t>
      </w:r>
    </w:p>
    <w:p>
      <w:pPr>
        <w:pStyle w:val="BookText"/>
      </w:pPr>
      <w:r>
        <w:rPr>
          <w:rFonts w:ascii="IRNazanin" w:hAnsi="IRNazanin" w:eastAsia="IRNazanin" w:cs="IRNazanin"/>
          <w:lang w:bidi="fa-IR"/>
          <w:color w:val="111111"/>
          <w:sz w:val="28"/>
          <w:szCs w:val="28"/>
          <w:rtl/>
        </w:rPr>
        <w:t xml:space="preserve">۲۴۰۷ . قم؛ مسجد اعظم؛ شماره نسخه: ۴۱۴۶</w:t>
      </w:r>
    </w:p>
    <w:p>
      <w:pPr>
        <w:pStyle w:val="BookText"/>
      </w:pPr>
      <w:r>
        <w:rPr>
          <w:rFonts w:ascii="IRNazanin" w:hAnsi="IRNazanin" w:eastAsia="IRNazanin" w:cs="IRNazanin"/>
          <w:lang w:bidi="fa-IR"/>
          <w:color w:val="111111"/>
          <w:sz w:val="28"/>
          <w:szCs w:val="28"/>
          <w:rtl/>
        </w:rPr>
        <w:t xml:space="preserve">آغاز: بیا ای گل به هر خاری میافکن طرح الفت را *** که ترسم دست رشکی بشکند شاخ محبت را / محبت بعد رنجش برقرار خود نمی ماند ***[..] کردم مرنجان خاطر اهل محبت را؛ انجـام: از این جهت که به خون جگر وضو دارد *** به پیش خالق مخلـوق آبرو دارد / سرشک این غم محنت عزیز دارین است *** چرا که از نجیبای دیار بحرین است</w:t>
      </w:r>
    </w:p>
    <w:p>
      <w:pPr>
        <w:pStyle w:val="BookText"/>
      </w:pPr>
      <w:r>
        <w:rPr>
          <w:rFonts w:ascii="IRNazanin" w:hAnsi="IRNazanin" w:eastAsia="IRNazanin" w:cs="IRNazanin"/>
          <w:lang w:bidi="fa-IR"/>
          <w:color w:val="111111"/>
          <w:sz w:val="28"/>
          <w:szCs w:val="28"/>
          <w:rtl/>
        </w:rPr>
        <w:t xml:space="preserve">مجموعه ای از غزل و مثنوی است؛ خط: نستعلیق، بی کا،بی تا؛ فوائدی در دعا و انشا در ابتدا و انتها و وسط نسخه، جـلد: گالینگور سبز، عطف تیماج زرشکی، ۷۳گ، مختلف السطر،اندازه: 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مخ: ۲ - ۵۸۷]</w:t>
      </w:r>
    </w:p>
    <w:p>
      <w:pPr>
        <w:pStyle w:val="BookText"/>
      </w:pPr>
      <w:r>
        <w:rPr>
          <w:rFonts w:ascii="IRNazanin" w:hAnsi="IRNazanin" w:eastAsia="IRNazanin" w:cs="IRNazanin"/>
          <w:lang w:bidi="fa-IR"/>
          <w:color w:val="111111"/>
          <w:sz w:val="28"/>
          <w:szCs w:val="28"/>
          <w:rtl/>
        </w:rPr>
        <w:t xml:space="preserve">۲۴۰۸ . قوچان؛ سلطان ابراهیم؛ شماره نسخه: ۵۹</w:t>
      </w:r>
    </w:p>
    <w:p>
      <w:pPr>
        <w:pStyle w:val="BookText"/>
      </w:pPr>
      <w:r>
        <w:rPr>
          <w:rFonts w:ascii="IRNazanin" w:hAnsi="IRNazanin" w:eastAsia="IRNazanin" w:cs="IRNazanin"/>
          <w:lang w:bidi="fa-IR"/>
          <w:color w:val="111111"/>
          <w:sz w:val="28"/>
          <w:szCs w:val="28"/>
          <w:rtl/>
        </w:rPr>
        <w:t xml:space="preserve">آغاز: ز فوج و پیل و کنج پیل بلا *** بملكش رهنمون شد تخـت والا / ز روزش رفته نصفی با همین سال *** ز هجرة شصد و پنج بود آن سال؛ انجام: چو باشد بیستونی بر سر بام *** ستون گر هست زیرش گیرد آرام / غمکس هر کسی را در نگیرد *** مهمان زله غم بر نگیرد</w:t>
      </w:r>
    </w:p>
    <w:p>
      <w:pPr>
        <w:pStyle w:val="BookText"/>
      </w:pPr>
      <w:r>
        <w:rPr>
          <w:rFonts w:ascii="IRNazanin" w:hAnsi="IRNazanin" w:eastAsia="IRNazanin" w:cs="IRNazanin"/>
          <w:lang w:bidi="fa-IR"/>
          <w:color w:val="111111"/>
          <w:sz w:val="28"/>
          <w:szCs w:val="28"/>
          <w:rtl/>
        </w:rPr>
        <w:t xml:space="preserve">دارای چند مثنوی بدون عنوان که دریک مجموعه جمع آوری شده؛ خط: نستعلیق، بی کا، بی تا؛ افتادگی: آغاز و انجام؛ مجدول مشکی و مذهب و لاجورد؛ ۵۰گ، ۱۴ سطر،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[ف مخ]</w:t>
      </w:r>
    </w:p>
    <w:p>
      <w:pPr>
        <w:pStyle w:val="BookText"/>
      </w:pPr>
      <w:r>
        <w:rPr>
          <w:rFonts w:ascii="IRNazanin" w:hAnsi="IRNazanin" w:eastAsia="IRNazanin" w:cs="IRNazanin"/>
          <w:lang w:bidi="fa-IR"/>
          <w:color w:val="111111"/>
          <w:sz w:val="28"/>
          <w:szCs w:val="28"/>
          <w:rtl/>
        </w:rPr>
        <w:t xml:space="preserve">۲۴۰۹ مشهد؛ الهیات؛ شماره نسخه: ۲۳۷۴۰</w:t>
      </w:r>
    </w:p>
    <w:p>
      <w:pPr>
        <w:pStyle w:val="BookText"/>
      </w:pPr>
      <w:r>
        <w:rPr>
          <w:rFonts w:ascii="IRNazanin" w:hAnsi="IRNazanin" w:eastAsia="IRNazanin" w:cs="IRNazanin"/>
          <w:lang w:bidi="fa-IR"/>
          <w:color w:val="111111"/>
          <w:sz w:val="28"/>
          <w:szCs w:val="28"/>
          <w:rtl/>
        </w:rPr>
        <w:t xml:space="preserve">شامل اشعاری در مناجات ،نوحه، مرثیه و ... بدون خطبه و خاتمه و جامع آن شناخته نشد؛ اشعاری سست و فقط نام معین کرمانی و سروری و تونی در آن هست ؛خط: نستعلیق، بی  کا، بی تا؛ کاغذ: الوان ،جلد: تیماج قهوه ای لایه ای، ۷۲گ، سطور چلیپا،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۱۸/۵سم [ف : ۳ - ۹۹۹]</w:t>
      </w:r>
    </w:p>
    <w:p>
      <w:pPr>
        <w:pStyle w:val="BookText"/>
      </w:pPr>
      <w:r>
        <w:rPr>
          <w:rFonts w:ascii="IRNazanin" w:hAnsi="IRNazanin" w:eastAsia="IRNazanin" w:cs="IRNazanin"/>
          <w:lang w:bidi="fa-IR"/>
          <w:color w:val="111111"/>
          <w:sz w:val="28"/>
          <w:szCs w:val="28"/>
          <w:rtl/>
        </w:rPr>
        <w:t xml:space="preserve">۲۴۱۰ . مشهد؛ ادبیات؛ شماره نسخه: ۷۲ فرخ</w:t>
      </w:r>
    </w:p>
    <w:p>
      <w:pPr>
        <w:pStyle w:val="BookText"/>
      </w:pPr>
      <w:r>
        <w:rPr>
          <w:rFonts w:ascii="IRNazanin" w:hAnsi="IRNazanin" w:eastAsia="IRNazanin" w:cs="IRNazanin"/>
          <w:lang w:bidi="fa-IR"/>
          <w:color w:val="111111"/>
          <w:sz w:val="28"/>
          <w:szCs w:val="28"/>
          <w:rtl/>
        </w:rPr>
        <w:t xml:space="preserve">منتخب اشعاری از چند شاعر: ۳۱۲۸ بیت از امیر خسرو، ۸۳۲ بـیت از جامی، ۴۹۰ بیت از خواجه آصفی، ۲۷۶ بیت از میرهمایون،۴۵۶ بیت از مولانا هلالی؛ خط: نستعلیق خوش، بی کا، بی تا؛ افتادگی: انجام؛ دارای یک سرلوح زمینه طلا، مجدول؛ مهر:«یا علی ادرکنی» (چهار گوشی) ،کاغذ: ترمه، جلد: تیماج ضربی دار آلبالویی، ۳۲۷گ، ۱۷ 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۷)، قطع: پستی،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۲۳سم [ف: ۳۶]</w:t>
      </w:r>
    </w:p>
    <w:p>
      <w:pPr>
        <w:pStyle w:val="BookText"/>
      </w:pPr>
      <w:r>
        <w:rPr>
          <w:rFonts w:ascii="IRNazanin" w:hAnsi="IRNazanin" w:eastAsia="IRNazanin" w:cs="IRNazanin"/>
          <w:lang w:bidi="fa-IR"/>
          <w:color w:val="111111"/>
          <w:sz w:val="28"/>
          <w:szCs w:val="28"/>
          <w:rtl/>
        </w:rPr>
        <w:t xml:space="preserve">۲۴۱۱ . مشهد؛ ادبیات؛ شماره نسخه: ۷۹ فرخ</w:t>
      </w:r>
    </w:p>
    <w:p>
      <w:pPr>
        <w:pStyle w:val="BookText"/>
      </w:pPr>
      <w:r>
        <w:rPr>
          <w:rFonts w:ascii="IRNazanin" w:hAnsi="IRNazanin" w:eastAsia="IRNazanin" w:cs="IRNazanin"/>
          <w:lang w:bidi="fa-IR"/>
          <w:color w:val="111111"/>
          <w:sz w:val="28"/>
          <w:szCs w:val="28"/>
          <w:rtl/>
        </w:rPr>
        <w:t xml:space="preserve">مشتمل بر مثنوی چاه وصال لیلی مجنون، مثنوی تریاکی از رضی اصفهانی، مثنوی محمود و ایاز، یوسف و زلیخا، ساقی نامه ظهوری، قاصد صبای طوفان، فراق نامه هجری، مثنوی محمد عاشق، هادی گیلانی، نظامی، مولوی، شیخ بهایی، عزلت، انوری ،فریدون، محتشم، مشتاق و چند قطعه دیگر و حکایاتی به نثر در هامش؛ خط: نستعلیق شکسته،بی کا، بی تا؛ افتادگی: آغاز و انجام؛ دارای ۱۲ تصویر، کاغذ: فرنگی؛ جلد: تیماج مشکی، ۱۴۶گ، مختلف السطر، قطع: پستی،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۳۷]</w:t>
      </w:r>
    </w:p>
    <w:p>
      <w:pPr>
        <w:pStyle w:val="BookText"/>
      </w:pPr>
      <w:r>
        <w:rPr>
          <w:rFonts w:ascii="IRNazanin" w:hAnsi="IRNazanin" w:eastAsia="IRNazanin" w:cs="IRNazanin"/>
          <w:lang w:bidi="fa-IR"/>
          <w:color w:val="111111"/>
          <w:sz w:val="28"/>
          <w:szCs w:val="28"/>
          <w:rtl/>
        </w:rPr>
        <w:t xml:space="preserve">۲۴۱۲ . مشهد؛ ادبیات؛ شماره نسخه: ۱۱۸ فرخ</w:t>
      </w:r>
    </w:p>
    <w:p>
      <w:pPr>
        <w:pStyle w:val="BookText"/>
      </w:pPr>
      <w:r>
        <w:rPr>
          <w:rFonts w:ascii="IRNazanin" w:hAnsi="IRNazanin" w:eastAsia="IRNazanin" w:cs="IRNazanin"/>
          <w:lang w:bidi="fa-IR"/>
          <w:color w:val="111111"/>
          <w:sz w:val="28"/>
          <w:szCs w:val="28"/>
          <w:rtl/>
        </w:rPr>
        <w:t xml:space="preserve">منتخباتی است از دیوان ظهیر فاریابی، طبسی، ظهیر اصفهانی؛ خط: نستعلیق ،بی کا، بی تا؛ کاغذ: فرنگی، جلد: تیماج عنابی، ۱۱۳گ، ۱۷ سطر (۶/۵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قطع: پستی،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 ف: ۳۷]</w:t>
      </w:r>
    </w:p>
    <w:p>
      <w:pPr>
        <w:pStyle w:val="BookText"/>
      </w:pPr>
      <w:r>
        <w:rPr>
          <w:rFonts w:ascii="IRNazanin" w:hAnsi="IRNazanin" w:eastAsia="IRNazanin" w:cs="IRNazanin"/>
          <w:lang w:bidi="fa-IR"/>
          <w:color w:val="111111"/>
          <w:sz w:val="28"/>
          <w:szCs w:val="28"/>
          <w:rtl/>
        </w:rPr>
        <w:t xml:space="preserve">۲۴۱۳ . مشهد؛ ادبیات؛ شماره نسخه: ۱۹۸</w:t>
      </w:r>
    </w:p>
    <w:p>
      <w:pPr>
        <w:pStyle w:val="BookText"/>
      </w:pPr>
      <w:r>
        <w:rPr>
          <w:rFonts w:ascii="IRNazanin" w:hAnsi="IRNazanin" w:eastAsia="IRNazanin" w:cs="IRNazanin"/>
          <w:lang w:bidi="fa-IR"/>
          <w:color w:val="111111"/>
          <w:sz w:val="28"/>
          <w:szCs w:val="28"/>
          <w:rtl/>
        </w:rPr>
        <w:t xml:space="preserve">شامل قصائد میرزا مینا ترتبی از آغاز تا حرف «ن» و بخشی از غزلیات سرخوش مشهدی؛ خط: نستعلیق شکسته، بی کا، بی تا؛ بخش اول به طور متن و حاشیه؛ کاغذ: فرنگی، جلد: تیماج عنابی، ۹۰گ، ۱۴ سطر، قطع: پستی،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۳۸]</w:t>
      </w:r>
    </w:p>
    <w:p>
      <w:pPr>
        <w:pStyle w:val="BookText"/>
      </w:pPr>
      <w:r>
        <w:rPr>
          <w:rFonts w:ascii="IRNazanin" w:hAnsi="IRNazanin" w:eastAsia="IRNazanin" w:cs="IRNazanin"/>
          <w:lang w:bidi="fa-IR"/>
          <w:color w:val="111111"/>
          <w:sz w:val="28"/>
          <w:szCs w:val="28"/>
          <w:rtl/>
        </w:rPr>
        <w:t xml:space="preserve">۲۴۱۴ . مشهد؛ ادبیات؛ شماره نسخه: ۲۰۳ فرخ</w:t>
      </w:r>
    </w:p>
    <w:p>
      <w:pPr>
        <w:pStyle w:val="BookText"/>
      </w:pPr>
      <w:r>
        <w:rPr>
          <w:rFonts w:ascii="IRNazanin" w:hAnsi="IRNazanin" w:eastAsia="IRNazanin" w:cs="IRNazanin"/>
          <w:lang w:bidi="fa-IR"/>
          <w:color w:val="111111"/>
          <w:sz w:val="28"/>
          <w:szCs w:val="28"/>
          <w:rtl/>
        </w:rPr>
        <w:t xml:space="preserve">منتخبت اشعاری از ۲۸ شاعر: سنایی ،انوری، خاقانی، ناصر خسرو، ابوالفرج ،رونی فرخی ادیب صابر، مسعود سعد، امیر معزی، ظهیر ،فاریابی، امیر خسرو دهلوی ،سعدی ،اوحدی، لامعی، نظامی، عطار، سیدحسن غزنوی، سید حسین اشرفی، کاشانی، ضیاء الدین فارسی، رضی الدین نیشابوری ،عمادی، غزنوی، سید ذوالفقار شیروانی، شمس الدین حداد، کمال اسمعیل، سوزنی، سلمان ساوجی؛ خط: نستعلیق، بی کا، بی تا؛ دارای ۲۶ پیشانی مرصع، ستون بندی و مجدول با طلا و مشکی ولاجورد؛ كاغذ: الوان ،جلد: تیماج قهوه ای، ۲۹۷گ، بطور چلیپا ابعاد متن: ۲۰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۱۰ ، قطع:وزیری، اندازه: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۲۳سم [ف: ۳۸]</w:t>
      </w:r>
    </w:p>
    <w:p>
      <w:pPr>
        <w:pStyle w:val="BookText"/>
      </w:pPr>
      <w:r>
        <w:rPr>
          <w:rFonts w:ascii="IRNazanin" w:hAnsi="IRNazanin" w:eastAsia="IRNazanin" w:cs="IRNazanin"/>
          <w:lang w:bidi="fa-IR"/>
          <w:color w:val="111111"/>
          <w:sz w:val="28"/>
          <w:szCs w:val="28"/>
          <w:rtl/>
        </w:rPr>
        <w:t xml:space="preserve">۲۴۱۵ . مشهد؛ ادبیات؛ شماره نسخه: ۲۰۶ فرخ</w:t>
      </w:r>
    </w:p>
    <w:p>
      <w:pPr>
        <w:pStyle w:val="BookText"/>
      </w:pPr>
      <w:r>
        <w:rPr>
          <w:rFonts w:ascii="IRNazanin" w:hAnsi="IRNazanin" w:eastAsia="IRNazanin" w:cs="IRNazanin"/>
          <w:lang w:bidi="fa-IR"/>
          <w:color w:val="111111"/>
          <w:sz w:val="28"/>
          <w:szCs w:val="28"/>
          <w:rtl/>
        </w:rPr>
        <w:t xml:space="preserve">گزیده ای است از سروده های ۵۸ شاعر که اول آنها ساقی نامه و توصیف کشمیر از شیخ محسن فانی متوفی ۱۰۸۱ و آخرش قصاید حاجی محمد جان قدسی می باشد؛ خط: نستعلیق، بی کا، بی تا؛ مجدول؛ کاغذ: ترمه ،جلد: تیماج تریاکی عطف رگه دار زرکوب ،۳۱۷گ، ۱۷ سطر ،(۵/۵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قطع: پستی،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۳۹]</w:t>
      </w:r>
    </w:p>
    <w:p>
      <w:pPr>
        <w:pStyle w:val="BookText"/>
      </w:pPr>
      <w:r>
        <w:rPr>
          <w:rFonts w:ascii="IRNazanin" w:hAnsi="IRNazanin" w:eastAsia="IRNazanin" w:cs="IRNazanin"/>
          <w:lang w:bidi="fa-IR"/>
          <w:color w:val="111111"/>
          <w:sz w:val="28"/>
          <w:szCs w:val="28"/>
          <w:rtl/>
        </w:rPr>
        <w:t xml:space="preserve">۲۴۱۶ . مشهد؛ ادبیات؛ شماره نسخه ۱۲ فیاض</w:t>
      </w:r>
    </w:p>
    <w:p>
      <w:pPr>
        <w:pStyle w:val="BookText"/>
      </w:pPr>
      <w:r>
        <w:rPr>
          <w:rFonts w:ascii="IRNazanin" w:hAnsi="IRNazanin" w:eastAsia="IRNazanin" w:cs="IRNazanin"/>
          <w:lang w:bidi="fa-IR"/>
          <w:color w:val="111111"/>
          <w:sz w:val="28"/>
          <w:szCs w:val="28"/>
          <w:rtl/>
        </w:rPr>
        <w:t xml:space="preserve">گمان  می رود که جامع آن مرحوم فیاض باشد. این کتاب شامل شرح حال مختصر و گزیده ای از اشعار: حنظله باذغیسی، محمود وراق، فیروز مشرقی ،دقیقی، مسعود رازی، ابوالعباس مروزی، محمد عوفی، مجیر بیلقانی، شیخ بهایی، قاسم انوار، ابوعلی سینا،
</w:t>
      </w:r>
    </w:p>
    <w:p>
      <w:pPr>
        <w:sectPr>
          <w:footerReference w:type="default" r:id="rId9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ادیب نیشابوری، (معاصر جامع جنگ)، تندری، بهار، عبدالله نوری، میرزا شکور قراباغی، پروین طهرانی (اعتصامی) ،حکیم سوری؛ خط: نستعلیق شکسته، بی کا، بی تا؛ کاغذ: کاهی، جـلد: تیماج لایه ای، مختلف السطر، قطع: پستی [ف: ۳۹]</w:t>
      </w:r>
    </w:p>
    <w:p>
      <w:pPr>
        <w:pStyle w:val="BookText"/>
      </w:pPr>
      <w:r>
        <w:rPr>
          <w:rFonts w:ascii="IRNazanin" w:hAnsi="IRNazanin" w:eastAsia="IRNazanin" w:cs="IRNazanin"/>
          <w:lang w:bidi="fa-IR"/>
          <w:color w:val="111111"/>
          <w:sz w:val="28"/>
          <w:szCs w:val="28"/>
          <w:rtl/>
        </w:rPr>
        <w:t xml:space="preserve">۲۴۱۷ . مشهد؛ ادبیات؛ شماره نسخه: ۴۱ فیاض</w:t>
      </w:r>
    </w:p>
    <w:p>
      <w:pPr>
        <w:pStyle w:val="BookText"/>
      </w:pPr>
      <w:r>
        <w:rPr>
          <w:rFonts w:ascii="IRNazanin" w:hAnsi="IRNazanin" w:eastAsia="IRNazanin" w:cs="IRNazanin"/>
          <w:lang w:bidi="fa-IR"/>
          <w:color w:val="111111"/>
          <w:sz w:val="28"/>
          <w:szCs w:val="28"/>
          <w:rtl/>
        </w:rPr>
        <w:t xml:space="preserve">شامل قصائد شعرای ارض اقدس در منقبت حضرت علی (علیه السّلام) و مدح و توصیف مستشار الملک وزیر ملک خراسان از میرزای صبوری ،غوغا ،صبوری ،اختر، شمس الشعراء ،خاوری، سعیدی ،وحدت ،ضیعم، مجمر ،کیوان ،جودی، حقیری، خط: نستعـلیق شکسته، بی کا، بی تا؛ کاغذ: حنایی ،جلد: تیماج لایه ای عنابی، سطر ،(5</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۴۰]</w:t>
      </w:r>
    </w:p>
    <w:p>
      <w:pPr>
        <w:pStyle w:val="BookText"/>
      </w:pPr>
      <w:r>
        <w:rPr>
          <w:rFonts w:ascii="IRNazanin" w:hAnsi="IRNazanin" w:eastAsia="IRNazanin" w:cs="IRNazanin"/>
          <w:lang w:bidi="fa-IR"/>
          <w:color w:val="111111"/>
          <w:sz w:val="28"/>
          <w:szCs w:val="28"/>
          <w:rtl/>
        </w:rPr>
        <w:t xml:space="preserve">۲۴۱۸ . مشهد؛ ادبیات؛ شماره نسخه: ۱۰۵ فیاض</w:t>
      </w:r>
    </w:p>
    <w:p>
      <w:pPr>
        <w:pStyle w:val="BookText"/>
      </w:pPr>
      <w:r>
        <w:rPr>
          <w:rFonts w:ascii="IRNazanin" w:hAnsi="IRNazanin" w:eastAsia="IRNazanin" w:cs="IRNazanin"/>
          <w:lang w:bidi="fa-IR"/>
          <w:color w:val="111111"/>
          <w:sz w:val="28"/>
          <w:szCs w:val="28"/>
          <w:rtl/>
        </w:rPr>
        <w:t xml:space="preserve">مشتمل بر قطعاتی از امیر خسرو ،سلیم، اشعاری از جامع نسـخه محمد سریر، محمد قلی سلیم ،جامی ،مولوی، بخشی منقول از کشکول شیخ بهایی، ده فصل عبید زاکانی ؛خط: نستعلیق،کا: صفرقلی سبزواری، بی تا؛ مجدول؛جلد: کاغذی، به طور متن چلیپا در سه ستون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۲۵/۵سم [ف: ۴۰]</w:t>
      </w:r>
    </w:p>
    <w:p>
      <w:pPr>
        <w:pStyle w:val="BookText"/>
      </w:pPr>
      <w:r>
        <w:rPr>
          <w:rFonts w:ascii="IRNazanin" w:hAnsi="IRNazanin" w:eastAsia="IRNazanin" w:cs="IRNazanin"/>
          <w:lang w:bidi="fa-IR"/>
          <w:color w:val="111111"/>
          <w:sz w:val="28"/>
          <w:szCs w:val="28"/>
          <w:rtl/>
        </w:rPr>
        <w:t xml:space="preserve">۲۴۱۹ . مشهد؛ ادبیات؛ شماره نسخه: ۱۵۳ فیاض</w:t>
      </w:r>
    </w:p>
    <w:p>
      <w:pPr>
        <w:pStyle w:val="BookText"/>
      </w:pPr>
      <w:r>
        <w:rPr>
          <w:rFonts w:ascii="IRNazanin" w:hAnsi="IRNazanin" w:eastAsia="IRNazanin" w:cs="IRNazanin"/>
          <w:lang w:bidi="fa-IR"/>
          <w:color w:val="111111"/>
          <w:sz w:val="28"/>
          <w:szCs w:val="28"/>
          <w:rtl/>
        </w:rPr>
        <w:t xml:space="preserve">این جنگ دارای هجونامه ای است به عنوان نصیحت نامه که اول آن این است: «پیشه خود مکن ایشوخ جفاكاريرا *** عادت خود منما ظلم و ستمکاریرا»، اشعار عامیانه ای است به شیوه ایرج میرزا با عنوان های «دخترجان بخان گوید» «خان در جواب گوید» «عبدالعلی بخان گوید» «مادر خان به شیطان گوید» ... گـویا سراینده اشعار عبدالعلی نام بوده و اهل طبس مزعف نامه، اشعار از قصاب، شیرین و فرهاد با شش مجلس، اشعاری از هلالی ،محتشم، میرزا سالک، شاه نعمت الله؛ خط: نستعلیق، بی کا، بی تا؛ در صفحه دهم بحر طویلی تحت عنوان: بیان کردن مریض حالت خود را... جواب و معالجه نمودن طبیب در صفحه یازدهم  یادداشتی بدون امضاء آمده و در صفحه مقابل آن مرحوم منجم باشی که شاگرد نویسنده یادداشت اول بود نوشته است که در شب عید غدیر این جنگ را برای مطالعه گرفته و چشمش به خط استاد ،افتاده، و ... در همین صفحه مرحوم على اكبر فياض نوشته که یادداشت بدون امضاء از آقای میرزا عسكرى رئيس العلمای خراسان است که از ادبای متبحر خراسان و دارای نظم ملیح ونثر فصحیح بوده و در خط در نهایت قشنگی ... چندین مرتبه بطرف فرنگ مسافرت کرده ... و پاره ای از السنه خارجه را فرا گرفتـه اخیرا درضمن یکی از مسافرت های خویش در برلن پایتخت دولت آلمان وفات کرده؛ تملکی با مهر: «الراجي على اکبر الحسيني خادمباشی»؛ کاغذ: فرنگی ،جلد: تیماج عنابی، مختلف</w:t>
      </w:r>
    </w:p>
    <w:p>
      <w:pPr>
        <w:pStyle w:val="BookText"/>
      </w:pPr>
      <w:r>
        <w:rPr>
          <w:rFonts w:ascii="IRNazanin" w:hAnsi="IRNazanin" w:eastAsia="IRNazanin" w:cs="IRNazanin"/>
          <w:lang w:bidi="fa-IR"/>
          <w:color w:val="111111"/>
          <w:sz w:val="28"/>
          <w:szCs w:val="28"/>
          <w:rtl/>
        </w:rPr>
        <w:t xml:space="preserve">السطر،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۴۲]</w:t>
      </w:r>
    </w:p>
    <w:p>
      <w:pPr>
        <w:pStyle w:val="BookText"/>
      </w:pPr>
      <w:r>
        <w:rPr>
          <w:rFonts w:ascii="IRNazanin" w:hAnsi="IRNazanin" w:eastAsia="IRNazanin" w:cs="IRNazanin"/>
          <w:lang w:bidi="fa-IR"/>
          <w:color w:val="111111"/>
          <w:sz w:val="28"/>
          <w:szCs w:val="28"/>
          <w:rtl/>
        </w:rPr>
        <w:t xml:space="preserve">۲۴۲۰. یزد؛ وزیری؛ شماره نسخه: ۳۲۴۲</w:t>
      </w:r>
    </w:p>
    <w:p>
      <w:pPr>
        <w:pStyle w:val="BookText"/>
      </w:pPr>
      <w:r>
        <w:rPr>
          <w:rFonts w:ascii="IRNazanin" w:hAnsi="IRNazanin" w:eastAsia="IRNazanin" w:cs="IRNazanin"/>
          <w:lang w:bidi="fa-IR"/>
          <w:color w:val="111111"/>
          <w:sz w:val="28"/>
          <w:szCs w:val="28"/>
          <w:rtl/>
        </w:rPr>
        <w:t xml:space="preserve">آغاز: بسمله خواهم از بوسه زنم لعل لب جانان را *** تا لبش را به لب آرم به لب آرم جان را ؛انجام: خدا کند که جمال منورت بینم *** دو دیده باز کنم در برابر تو بنشینم</w:t>
      </w:r>
    </w:p>
    <w:p>
      <w:pPr>
        <w:pStyle w:val="BookText"/>
      </w:pPr>
      <w:r>
        <w:rPr>
          <w:rFonts w:ascii="IRNazanin" w:hAnsi="IRNazanin" w:eastAsia="IRNazanin" w:cs="IRNazanin"/>
          <w:lang w:bidi="fa-IR"/>
          <w:color w:val="111111"/>
          <w:sz w:val="28"/>
          <w:szCs w:val="28"/>
          <w:rtl/>
        </w:rPr>
        <w:t xml:space="preserve">مشتمل بر اشعار و غزلیات از: زرگر، سعدی، عطار، صباحی، جواد ،رفیق ،اسیر ،صحبا، شریف قصاب، شوکت، نظامی، مخفی، بیدل، کامل، شمس تبریزی، حیات و غیره؛ خط: مختلف، بی کا، بی تا ؛اهدایی: حاج میرزا تقی رسولیان؛ کاغذ: اصفهانی آهار مهره، جلد: تیماج ماشی، ۱۵۵گ، سطر و اندازه مختلف،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۵ - ۱۵۸۴]</w:t>
      </w:r>
    </w:p>
    <w:p>
      <w:pPr>
        <w:pStyle w:val="BookText"/>
      </w:pPr>
      <w:r>
        <w:rPr>
          <w:rFonts w:ascii="IRNazanin" w:hAnsi="IRNazanin" w:eastAsia="IRNazanin" w:cs="IRNazanin"/>
          <w:lang w:bidi="fa-IR"/>
          <w:color w:val="111111"/>
          <w:sz w:val="28"/>
          <w:szCs w:val="28"/>
          <w:rtl/>
        </w:rPr>
        <w:t xml:space="preserve">۲۴۲۱ یزد؛ وزیری؛ شماره نسخه: ۲۵۵۶</w:t>
      </w:r>
    </w:p>
    <w:p>
      <w:pPr>
        <w:pStyle w:val="BookText"/>
      </w:pPr>
      <w:r>
        <w:rPr>
          <w:rFonts w:ascii="IRNazanin" w:hAnsi="IRNazanin" w:eastAsia="IRNazanin" w:cs="IRNazanin"/>
          <w:lang w:bidi="fa-IR"/>
          <w:color w:val="111111"/>
          <w:sz w:val="28"/>
          <w:szCs w:val="28"/>
          <w:rtl/>
        </w:rPr>
        <w:t xml:space="preserve">مشتمل است بر قصیده یکی از پیشخدمت های فتحعلیشاه قاجار و اشعار از: هاتف ،سعدی ،کسائی ،عاشق، فروغی، طبیب، حیرتی، سالک، حافظ، صائب، جامی ،محتشم، طوفان، ضیائی، ترکی، ،فصولی ،وکیل، محبوب ،بیدل،عراقی ،رضی، نعیمی، ضیائی اصفهانی و غیره؛ خط: نستعلیق  تحریری، بی کا، بی تا؛ اهدایی ملا محمد مهدی کرباسی؛ کاغذ: اصفهانی، جلد: تیماج تریاکی، ۱۲۷گ، سطور مختلف، اندازه: 9/5</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سم [ف: ۴ - ۱۳۴۱]</w:t>
      </w:r>
    </w:p>
    <w:p>
      <w:pPr>
        <w:pStyle w:val="BookText"/>
      </w:pPr>
      <w:r>
        <w:rPr>
          <w:rFonts w:ascii="IRNazanin" w:hAnsi="IRNazanin" w:eastAsia="IRNazanin" w:cs="IRNazanin"/>
          <w:lang w:bidi="fa-IR"/>
          <w:color w:val="111111"/>
          <w:sz w:val="28"/>
          <w:szCs w:val="28"/>
          <w:rtl/>
        </w:rPr>
        <w:t xml:space="preserve">۲۴۲۲. تهران؛ مجلس؛ شماره نسخه: ۱۸۶/۱</w:t>
      </w:r>
    </w:p>
    <w:p>
      <w:pPr>
        <w:pStyle w:val="BookText"/>
      </w:pPr>
      <w:r>
        <w:rPr>
          <w:rFonts w:ascii="IRNazanin" w:hAnsi="IRNazanin" w:eastAsia="IRNazanin" w:cs="IRNazanin"/>
          <w:lang w:bidi="fa-IR"/>
          <w:color w:val="111111"/>
          <w:sz w:val="28"/>
          <w:szCs w:val="28"/>
          <w:rtl/>
        </w:rPr>
        <w:t xml:space="preserve">جنگ شعرهایی از ظهوری ،طالب، نصیرا، فیاض، عرفی، سنجر و دیگران؛ خط: شکسته نستعلیق، کا: مرتضی قلی خان شاملو، بی تا؛ مجدول، با سرلوح زرین؛ کاغذ: سفید، جلد: تیماج قهوه ای ضربی یک لا، ۲۵ ص (1- 25)، ۲۱ سطر ،(3</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[سنا: ف ۱ - ۹۱ ]</w:t>
      </w:r>
    </w:p>
    <w:p>
      <w:pPr>
        <w:pStyle w:val="BookText"/>
      </w:pPr>
      <w:r>
        <w:rPr>
          <w:rFonts w:ascii="IRNazanin" w:hAnsi="IRNazanin" w:eastAsia="IRNazanin" w:cs="IRNazanin"/>
          <w:lang w:bidi="fa-IR"/>
          <w:color w:val="111111"/>
          <w:sz w:val="28"/>
          <w:szCs w:val="28"/>
          <w:rtl/>
        </w:rPr>
        <w:t xml:space="preserve">۲۴۲۳. تهران؛ مجلس؛ شماره نسخه: ۲۶۶۲/۱</w:t>
      </w:r>
    </w:p>
    <w:p>
      <w:pPr>
        <w:pStyle w:val="BookText"/>
      </w:pPr>
      <w:r>
        <w:rPr>
          <w:rFonts w:ascii="IRNazanin" w:hAnsi="IRNazanin" w:eastAsia="IRNazanin" w:cs="IRNazanin"/>
          <w:lang w:bidi="fa-IR"/>
          <w:color w:val="111111"/>
          <w:sz w:val="28"/>
          <w:szCs w:val="28"/>
          <w:rtl/>
        </w:rPr>
        <w:t xml:space="preserve">حاوى فوائد لطيفه ادبیه و حکایات نادره و اخبار و احادیث متفرقه و خطبات عدیده و اشعاری در مدح ائمه که محمد نصیر بن عبدالله طبیب آنها را گردآوری و برای خود نوشته است؛خط: شکسته نستعلیق خفی بد، بی کا، بی تا؛ حاشیه صفحه ۳ اشعاری به خط شکسته خوش نوشته شده که تخلص «کاظم» دارد و به خط خود شاعر است به تاریخ ۱۱۳۲ بنابراین قسمت اول از قرن ۱۲ است ؛کاغذ: فرنگی و کشمیری ،جلد: میشن قهوه ای، ۴۳۵گ (۴۳۶-۱)، ۲۶ سطر، اندازه: ۱۸/۵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۳۰سم [ف: ۸ - ۴۱۰]</w:t>
      </w:r>
    </w:p>
    <w:p>
      <w:pPr>
        <w:pStyle w:val="BookText"/>
      </w:pPr>
      <w:r>
        <w:rPr>
          <w:rFonts w:ascii="IRNazanin" w:hAnsi="IRNazanin" w:eastAsia="IRNazanin" w:cs="IRNazanin"/>
          <w:lang w:bidi="fa-IR"/>
          <w:color w:val="111111"/>
          <w:sz w:val="28"/>
          <w:szCs w:val="28"/>
          <w:rtl/>
        </w:rPr>
        <w:t xml:space="preserve">۲۴۲۴. تهران؛ ادبیات؛ شماره نسخه: ۸۱ حکمت</w:t>
      </w:r>
    </w:p>
    <w:p>
      <w:pPr>
        <w:pStyle w:val="BookText"/>
      </w:pPr>
      <w:r>
        <w:rPr>
          <w:rFonts w:ascii="IRNazanin" w:hAnsi="IRNazanin" w:eastAsia="IRNazanin" w:cs="IRNazanin"/>
          <w:lang w:bidi="fa-IR"/>
          <w:color w:val="111111"/>
          <w:sz w:val="28"/>
          <w:szCs w:val="28"/>
          <w:rtl/>
        </w:rPr>
        <w:t xml:space="preserve">قصیده ها و قطعه هایی از میرزا احمد وقار شیرازی و میرزا ابوالقاسم فرهنگ شیرازی (۱۲۴۲-۱۳۰۹) پسر چهارم وصال است؛ خط: شکسته نستعلیق، بی کا ،بی تا؛ جلد: مقوا، ۳۷ص، قطع: ربعی [ف: ۲ - ۹]</w:t>
      </w:r>
    </w:p>
    <w:p>
      <w:pPr>
        <w:pStyle w:val="BookText"/>
      </w:pPr>
      <w:r>
        <w:rPr>
          <w:rFonts w:ascii="IRNazanin" w:hAnsi="IRNazanin" w:eastAsia="IRNazanin" w:cs="IRNazanin"/>
          <w:lang w:bidi="fa-IR"/>
          <w:color w:val="111111"/>
          <w:sz w:val="28"/>
          <w:szCs w:val="28"/>
          <w:rtl/>
        </w:rPr>
        <w:t xml:space="preserve">۲۴۲۵ تهران؛ مجلس؛ شماره نسخه: ۵۷۴۸</w:t>
      </w:r>
    </w:p>
    <w:p>
      <w:pPr>
        <w:pStyle w:val="BookText"/>
      </w:pPr>
      <w:r>
        <w:rPr>
          <w:rFonts w:ascii="IRNazanin" w:hAnsi="IRNazanin" w:eastAsia="IRNazanin" w:cs="IRNazanin"/>
          <w:lang w:bidi="fa-IR"/>
          <w:color w:val="111111"/>
          <w:sz w:val="28"/>
          <w:szCs w:val="28"/>
          <w:rtl/>
        </w:rPr>
        <w:t xml:space="preserve">شامل اشعار مختلف و چند مثنوی است بدین ترتیب غزلیات و قطعات از سعدی و جامی ،(۲-۱۴) ،حسینی مهدی عرب سرایا، حکایت مثنوی لوای قمی، لیلی و مجنون موحی، سه قطعه لیلی و مجنون شیرین و فرهاد گدا و شاه، لیلی و مجنون، چاه وصال سند، ترجیع بند حافظ، چند قصیده و غزل از عاشق خط: شکسته نستعلیق، بی کا، بی تا؛ دارای یک سرلوح و جداول مذهب؛ کاغذ: فرنگی، جلد: تیماج عنابی با ترنج و نیم ترنج سجاف عطف و
</w:t>
      </w:r>
    </w:p>
    <w:p>
      <w:pPr>
        <w:sectPr>
          <w:footerReference w:type="default" r:id="rId9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حاشیه، ۴۳۶ ص، ۱۰ سطر، قطع: خشتی،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 [ ف: ۱۷ - ۱۸۹]</w:t>
      </w:r>
    </w:p>
    <w:p>
      <w:pPr>
        <w:pStyle w:val="BookText"/>
      </w:pPr>
      <w:r>
        <w:rPr>
          <w:rFonts w:ascii="IRNazanin" w:hAnsi="IRNazanin" w:eastAsia="IRNazanin" w:cs="IRNazanin"/>
          <w:lang w:bidi="fa-IR"/>
          <w:color w:val="111111"/>
          <w:sz w:val="28"/>
          <w:szCs w:val="28"/>
          <w:rtl/>
        </w:rPr>
        <w:t xml:space="preserve">۲۴۲۶. تهران؛ مجلس؛ شماره نسخه: ۷۶۸۳</w:t>
      </w:r>
    </w:p>
    <w:p>
      <w:pPr>
        <w:pStyle w:val="BookText"/>
      </w:pPr>
      <w:r>
        <w:rPr>
          <w:rFonts w:ascii="IRNazanin" w:hAnsi="IRNazanin" w:eastAsia="IRNazanin" w:cs="IRNazanin"/>
          <w:lang w:bidi="fa-IR"/>
          <w:color w:val="111111"/>
          <w:sz w:val="28"/>
          <w:szCs w:val="28"/>
          <w:rtl/>
        </w:rPr>
        <w:t xml:space="preserve">آغاز: در حدودری یکی دیوانه بود *** روز و شب گشتی بکوه و دشت گشت / در تموز و در بهار و در خزان * **سوی بازار آمدی از طرف دشت؛ انجام: ز روزگار جوانی خبر چه می پرسی ***چو برق آمد و چون ابر نوبهار گذشت</w:t>
      </w:r>
    </w:p>
    <w:p>
      <w:pPr>
        <w:pStyle w:val="BookText"/>
      </w:pPr>
      <w:r>
        <w:rPr>
          <w:rFonts w:ascii="IRNazanin" w:hAnsi="IRNazanin" w:eastAsia="IRNazanin" w:cs="IRNazanin"/>
          <w:lang w:bidi="fa-IR"/>
          <w:color w:val="111111"/>
          <w:sz w:val="28"/>
          <w:szCs w:val="28"/>
          <w:rtl/>
        </w:rPr>
        <w:t xml:space="preserve">قطعات و غزلیاتی از شعرای مختلف؛ خط: نستعلیق، بی کا، بی تا؛ در صفحه آخر نسخه آمده: «بعضی را اعتقاد این است که بیاض شفیعا است و برخی برآنند خط میرزا عبدالباقی حکیم باشی نادرشاه است که جد معتمد الدوله است باری اگر خودش نباشد خط خود معتمدالدوله است که بهتر از خط جد معتمد است»؛مهر: السلطنة اين بياض را به اتابک اعظم پیش کش نموده؛ جلد: تیماج قهوه ای مجدول، ۱۱۴گ، ۱۳ سطر،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۲۶ - 179]</w:t>
      </w:r>
    </w:p>
    <w:p>
      <w:pPr>
        <w:pStyle w:val="BookText"/>
      </w:pPr>
      <w:r>
        <w:rPr>
          <w:rFonts w:ascii="IRNazanin" w:hAnsi="IRNazanin" w:eastAsia="IRNazanin" w:cs="IRNazanin"/>
          <w:lang w:bidi="fa-IR"/>
          <w:color w:val="111111"/>
          <w:sz w:val="28"/>
          <w:szCs w:val="28"/>
          <w:rtl/>
        </w:rPr>
        <w:t xml:space="preserve">۲۴۲۷. تهران؛ مجلس؛ شماره نسخه: ۷۸۸۷</w:t>
      </w:r>
    </w:p>
    <w:p>
      <w:pPr>
        <w:pStyle w:val="BookText"/>
      </w:pPr>
      <w:r>
        <w:rPr>
          <w:rFonts w:ascii="IRNazanin" w:hAnsi="IRNazanin" w:eastAsia="IRNazanin" w:cs="IRNazanin"/>
          <w:lang w:bidi="fa-IR"/>
          <w:color w:val="111111"/>
          <w:sz w:val="28"/>
          <w:szCs w:val="28"/>
          <w:rtl/>
        </w:rPr>
        <w:t xml:space="preserve">جنگ اشعاری است در مراثی و مدایح اهل بیت بدین ترتیب:1- ترکیب بند سلیمی در احوال امام زمان (علیه السّلام) (۱ر -۱۴ر) ، ۲ - هـفت بند ملا حسن کاشی (۱۴ر - ۲۲ر) ۳- قصائد نظام دستغیب شیرازی در مدح ائمه (علیهم السّلام) (۲۲ ر - ۲۷۵ر) ۴- قصیده سلیمی در مدح حضرت علی (علیه السّلام) (۲۷۵ ر -۲۸۶پ)، ۵- قصیده شوقی در مدح حضرت علی (علیه السّلام) (۲۸۶ ر - ۲۹۰ ر)، ۶ - مثنوی ناصر خسرو در مدح حضرت علی (علیه السّلام) (۲۹۰ پ - ۳۰۰ ر) ۷- قصیده لطفی در منقـبت حضرت علی (علیه السّلام) (۳۰۰ پ - ۳۱۵ پ)؛ خط: نستعلیق، بی کا، جلد: تيماج قهوه ای، ۱۳۶گ، ۱۵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[ف:26- 366]</w:t>
      </w:r>
    </w:p>
    <w:p>
      <w:pPr>
        <w:pStyle w:val="BookText"/>
      </w:pPr>
      <w:r>
        <w:rPr>
          <w:rFonts w:ascii="IRNazanin" w:hAnsi="IRNazanin" w:eastAsia="IRNazanin" w:cs="IRNazanin"/>
          <w:lang w:bidi="fa-IR"/>
          <w:color w:val="111111"/>
          <w:sz w:val="28"/>
          <w:szCs w:val="28"/>
          <w:rtl/>
        </w:rPr>
        <w:t xml:space="preserve">۲۴۲۸. تهران؛ مجلس؛ شماره نسخه: ۷۹۵۸</w:t>
      </w:r>
    </w:p>
    <w:p>
      <w:pPr>
        <w:pStyle w:val="BookText"/>
      </w:pPr>
      <w:r>
        <w:rPr>
          <w:rFonts w:ascii="IRNazanin" w:hAnsi="IRNazanin" w:eastAsia="IRNazanin" w:cs="IRNazanin"/>
          <w:lang w:bidi="fa-IR"/>
          <w:color w:val="111111"/>
          <w:sz w:val="28"/>
          <w:szCs w:val="28"/>
          <w:rtl/>
        </w:rPr>
        <w:t xml:space="preserve">آغاز: حجت حق بر دیار کربلا خونبار داشت *** چشم حق بین را ز داغ کشته ها خونبار داشت؛ انجام: چه اندر روز عاشورا هـمه اخوان و اولادش *** ز تیغ دشمنان گشتند اندر خاک غلطانش/ زیک سو دید عباس علی افتاده در ... ***ز یکسو دید قاسم را به خون چون ماه کنعانش</w:t>
      </w:r>
    </w:p>
    <w:p>
      <w:pPr>
        <w:pStyle w:val="BookText"/>
      </w:pPr>
      <w:r>
        <w:rPr>
          <w:rFonts w:ascii="IRNazanin" w:hAnsi="IRNazanin" w:eastAsia="IRNazanin" w:cs="IRNazanin"/>
          <w:lang w:bidi="fa-IR"/>
          <w:color w:val="111111"/>
          <w:sz w:val="28"/>
          <w:szCs w:val="28"/>
          <w:rtl/>
        </w:rPr>
        <w:t xml:space="preserve">شامل مراثی و نوحه هایی برای عزاداری امام حسین (علیه السّلام) ؛ خـط: تحریری، بی کا، بی تا؛ سه برگ از اول و دو برگ از آخر به خط سياق؛ جلد: مقوا قهوه ای، ۱۲۴گ، مختلف السطر، قطع: بياضی، اندازه: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۱۷/۵سم [ف: ۲۶ - ۴۳۲]</w:t>
      </w:r>
    </w:p>
    <w:p>
      <w:pPr>
        <w:pStyle w:val="BookText"/>
      </w:pPr>
      <w:r>
        <w:rPr>
          <w:rFonts w:ascii="Times New Roman" w:hAnsi="Times New Roman" w:eastAsia="Times New Roman" w:cs="Times New Roman"/>
          <w:lang w:val="en-US" w:bidi="en-US"/>
          <w:color w:val="111111"/>
          <w:sz w:val="28"/>
          <w:szCs w:val="28"/>
          <w:rtl/>
        </w:rPr>
        <w:t xml:space="preserve">2429.</w:t>
      </w:r>
    </w:p>
    <w:p>
      <w:pPr>
        <w:pStyle w:val="BookText"/>
      </w:pPr>
      <w:r>
        <w:rPr>
          <w:rFonts w:ascii="IRNazanin" w:hAnsi="IRNazanin" w:eastAsia="IRNazanin" w:cs="IRNazanin"/>
          <w:lang w:bidi="fa-IR"/>
          <w:color w:val="111111"/>
          <w:sz w:val="28"/>
          <w:szCs w:val="28"/>
          <w:rtl/>
        </w:rPr>
        <w:t xml:space="preserve">تهران؛ دانشگاه؛ شماره نسخه: ۴۰۱۹/۲</w:t>
      </w:r>
    </w:p>
    <w:p>
      <w:pPr>
        <w:pStyle w:val="BookText"/>
      </w:pPr>
      <w:r>
        <w:rPr>
          <w:rFonts w:ascii="IRNazanin" w:hAnsi="IRNazanin" w:eastAsia="IRNazanin" w:cs="IRNazanin"/>
          <w:lang w:bidi="fa-IR"/>
          <w:color w:val="111111"/>
          <w:sz w:val="28"/>
          <w:szCs w:val="28"/>
          <w:rtl/>
        </w:rPr>
        <w:t xml:space="preserve">اشعاری از: مولانا سحابی، ابن یمین، شاه نعمة الله، ملا صوفی ،عطار ،میر نصیبی، ناصح تبریزی، واقف خلخالی، ملا روحی ؛خط: نستعلیق، بی کا، بی تا؛ کاغذ: سپاهانی ،جلد: تیماج عنابی ،۷گ (۳۳-۲۶)، ۱۴) سطر (9</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 ۱۳ - ۳۰۱۱ ]</w:t>
      </w:r>
    </w:p>
    <w:p>
      <w:pPr>
        <w:pStyle w:val="BookText"/>
      </w:pPr>
      <w:r>
        <w:rPr>
          <w:rFonts w:ascii="IRNazanin" w:hAnsi="IRNazanin" w:eastAsia="IRNazanin" w:cs="IRNazanin"/>
          <w:lang w:bidi="fa-IR"/>
          <w:color w:val="111111"/>
          <w:sz w:val="28"/>
          <w:szCs w:val="28"/>
          <w:rtl/>
        </w:rPr>
        <w:t xml:space="preserve">۲۴۳۰. تهران؛ دانشگاه؛ شماره نسخه: ۲۴۶-ف</w:t>
      </w:r>
    </w:p>
    <w:p>
      <w:pPr>
        <w:pStyle w:val="BookText"/>
      </w:pPr>
      <w:r>
        <w:rPr>
          <w:rFonts w:ascii="IRNazanin" w:hAnsi="IRNazanin" w:eastAsia="IRNazanin" w:cs="IRNazanin"/>
          <w:lang w:bidi="fa-IR"/>
          <w:color w:val="111111"/>
          <w:sz w:val="28"/>
          <w:szCs w:val="28"/>
          <w:rtl/>
        </w:rPr>
        <w:t xml:space="preserve">نسخه اصل: اونیورسیته ش ۷۳۸ فارسی شعرهای ابوالفتح بستی (به ترجمه فارسی)، سنائی، کمال اسماعیل (با غزلیات او)،فرخی سیستانی، تاج الدین ابوبکر قیصر یوی، مولانا جلال الدين، قطران و متنبی؛ خط: نسخ، بی کا، بی تا؛ افتادگی: آغاز و انجام؛ ۳۰گ، ۱۰ سطر [ فیلمها: ۱ - ۴۴۴]</w:t>
      </w:r>
    </w:p>
    <w:p>
      <w:pPr>
        <w:pStyle w:val="BookText"/>
      </w:pPr>
      <w:r>
        <w:rPr>
          <w:rFonts w:ascii="IRNazanin" w:hAnsi="IRNazanin" w:eastAsia="IRNazanin" w:cs="IRNazanin"/>
          <w:lang w:bidi="fa-IR"/>
          <w:color w:val="111111"/>
          <w:sz w:val="28"/>
          <w:szCs w:val="28"/>
          <w:rtl/>
        </w:rPr>
        <w:t xml:space="preserve">۲۴۳۱. تهران؛ دانشگاه؛ شماره نسخه: ۴۳۵۴/۱۰</w:t>
      </w:r>
    </w:p>
    <w:p>
      <w:pPr>
        <w:pStyle w:val="BookText"/>
      </w:pPr>
      <w:r>
        <w:rPr>
          <w:rFonts w:ascii="IRNazanin" w:hAnsi="IRNazanin" w:eastAsia="IRNazanin" w:cs="IRNazanin"/>
          <w:lang w:bidi="fa-IR"/>
          <w:color w:val="111111"/>
          <w:sz w:val="28"/>
          <w:szCs w:val="28"/>
          <w:rtl/>
        </w:rPr>
        <w:t xml:space="preserve">شعرهای نوعی، خان احمد پادشاه بزبان گیلانی، زمان طهرانی، امیر به زبان مازندرانی (۲۶)، مولوی فاطمه (علیها السّلام)، علی(علیه السّلام)، جامی، فانی زنوزی ،فضولی، حسام الدین، نفیس عامری، منصوری ،بھائی، ابو سعید، مسعود در مرگ احمد خان در تبریز ،طوفان، محمد محسن، خواجه نصیر (رباعی) ،سعدی، وحشی، صائب، عراقی، خواجه طوسی (اختيارات مسير القمر به نام ارسطو)، طيبا، ،ذاکری ،منصور، میر فندرسکی ،نوایی، میرزا نصر، آزاد، خطایی، قصاب ،مشتاق ،تمکین، میرزا نصیر طبیب، حافظ، میرزا محمد صادق ،حاجی، عصمت بخارایی ،عرفی، بابا طاهر،محرر جنگ</w:t>
      </w:r>
    </w:p>
    <w:p>
      <w:pPr>
        <w:pStyle w:val="BookText"/>
      </w:pPr>
      <w:r>
        <w:rPr>
          <w:rFonts w:ascii="IRNazanin" w:hAnsi="IRNazanin" w:eastAsia="IRNazanin" w:cs="IRNazanin"/>
          <w:lang w:bidi="fa-IR"/>
          <w:color w:val="111111"/>
          <w:sz w:val="28"/>
          <w:szCs w:val="28"/>
          <w:rtl/>
        </w:rPr>
        <w:t xml:space="preserve">(۲۷۴) آذر (مثنوی مورخ روز دوشنبه ۲۹ ربیع الاول ۱۲۳۹ در ۳۰۲-۲۹۸) خرم (ترجیع بند)، حاجی ابراهیم ارومی، ملا صادر ،صاحبی ،سعدی ،هاتف حسرت، هجری، شیخ عبدالعال، عطار، مومن، (برخی از این شعرها معما و ماده تاریخ (۲۵) و مخمس و مسدس) نیز مقدمه ملا ظهری به نثر و نظم در سوگواری (۹۰-۱۰۱) بندهایی از «مجالس المومنين»، صلوات منظوم عربی، و پراکنده های دیگر؛ از این جنگ است قصیده مسدس (۳۵۳-۳۵۴)، قصیده مخمس، قصیده مخمس (۳۶۶-۳۶۷) نظامی؛ بی کا، بی تا؛ کاغذ: فرنگی ،جلد: تیماج مشکی، ۲۲ سطر(9</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قطع: بیاضی،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۱۳ – ۳۳۱۱]</w:t>
      </w:r>
    </w:p>
    <w:p>
      <w:pPr>
        <w:pStyle w:val="BookText"/>
      </w:pPr>
      <w:r>
        <w:rPr>
          <w:rFonts w:ascii="IRNazanin" w:hAnsi="IRNazanin" w:eastAsia="IRNazanin" w:cs="IRNazanin"/>
          <w:lang w:bidi="fa-IR"/>
          <w:color w:val="111111"/>
          <w:sz w:val="28"/>
          <w:szCs w:val="28"/>
          <w:rtl/>
        </w:rPr>
        <w:t xml:space="preserve">۲۴۳۲. تهران؛ دانشگاه؛ شماره نسخه: ۴۳۵۹/۷</w:t>
      </w:r>
    </w:p>
    <w:p>
      <w:pPr>
        <w:pStyle w:val="BookText"/>
      </w:pPr>
      <w:r>
        <w:rPr>
          <w:rFonts w:ascii="IRNazanin" w:hAnsi="IRNazanin" w:eastAsia="IRNazanin" w:cs="IRNazanin"/>
          <w:lang w:bidi="fa-IR"/>
          <w:color w:val="111111"/>
          <w:sz w:val="28"/>
          <w:szCs w:val="28"/>
          <w:rtl/>
        </w:rPr>
        <w:t xml:space="preserve">شعرهای جامی و هاتف ؛خط: نستعلیق، بی کا، بی تا؛ کاغذ: فرنگی آهار مهره کبود، جلد: تیماج مشکی ضربی، ۱۳گ (۲۴۵-۲۵۸)،  ۱۴ سطر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 ۱۳ - ۳۳۱۶]</w:t>
      </w:r>
    </w:p>
    <w:p>
      <w:pPr>
        <w:pStyle w:val="BookText"/>
      </w:pPr>
      <w:r>
        <w:rPr>
          <w:rFonts w:ascii="IRNazanin" w:hAnsi="IRNazanin" w:eastAsia="IRNazanin" w:cs="IRNazanin"/>
          <w:lang w:bidi="fa-IR"/>
          <w:color w:val="111111"/>
          <w:sz w:val="28"/>
          <w:szCs w:val="28"/>
          <w:rtl/>
        </w:rPr>
        <w:t xml:space="preserve">۲۴۳۳. تهران؛ دانشگاه؛ شماره نسخه: ۴۴۲۵</w:t>
      </w:r>
    </w:p>
    <w:p>
      <w:pPr>
        <w:pStyle w:val="BookText"/>
      </w:pPr>
      <w:r>
        <w:rPr>
          <w:rFonts w:ascii="IRNazanin" w:hAnsi="IRNazanin" w:eastAsia="IRNazanin" w:cs="IRNazanin"/>
          <w:lang w:bidi="fa-IR"/>
          <w:color w:val="111111"/>
          <w:sz w:val="28"/>
          <w:szCs w:val="28"/>
          <w:rtl/>
        </w:rPr>
        <w:t xml:space="preserve">شعرهای جامی، محتشم ،حافظ ،مغربی، بابا طاهر، عرفی، عاشق اصفهانی ،سعدی، شریف (بیمار و طبیب)، سامی، وحشی، مثنوی گل و بلبل حاجی میرزا کاظم مهجور هم در آن هست (۲۰۹- ۲۳۶) ؛خط: نستعلیق، کا: میرزا عبدالله همدانی، بی تا؛ مجدول، با شش سرلوح؛ کاغذ: سپاهانی آهار مهره، جلد: تیماج مشکی ضربی مقوایی، ۲۲۸گ ،سطور چلیپا، ابعاد متن: 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قطع: بیاضی، اندازه: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۱۳ – ۳۳۸۶]</w:t>
      </w:r>
    </w:p>
    <w:p>
      <w:pPr>
        <w:pStyle w:val="BookText"/>
      </w:pPr>
      <w:r>
        <w:rPr>
          <w:rFonts w:ascii="IRNazanin" w:hAnsi="IRNazanin" w:eastAsia="IRNazanin" w:cs="IRNazanin"/>
          <w:lang w:bidi="fa-IR"/>
          <w:color w:val="111111"/>
          <w:sz w:val="28"/>
          <w:szCs w:val="28"/>
          <w:rtl/>
        </w:rPr>
        <w:t xml:space="preserve">۲۴۳۴. تهران؛ دانشگاه؛ شماره نسخه: ۱۲۲۱-ف</w:t>
      </w:r>
    </w:p>
    <w:p>
      <w:pPr>
        <w:pStyle w:val="BookText"/>
      </w:pPr>
      <w:r>
        <w:rPr>
          <w:rFonts w:ascii="IRNazanin" w:hAnsi="IRNazanin" w:eastAsia="IRNazanin" w:cs="IRNazanin"/>
          <w:lang w:bidi="fa-IR"/>
          <w:color w:val="111111"/>
          <w:sz w:val="28"/>
          <w:szCs w:val="28"/>
          <w:rtl/>
        </w:rPr>
        <w:t xml:space="preserve">نسخه اصل: بادلیان ۲۶۶۳، </w:t>
      </w:r>
      <w:r>
        <w:rPr>
          <w:rFonts w:ascii="Times New Roman" w:hAnsi="Times New Roman" w:eastAsia="Times New Roman" w:cs="Times New Roman"/>
          <w:lang w:val="en-US" w:bidi="en-US"/>
          <w:color w:val="111111"/>
          <w:sz w:val="28"/>
          <w:szCs w:val="28"/>
          <w:rtl/>
        </w:rPr>
        <w:t xml:space="preserve">Pers. D95 </w:t>
      </w:r>
      <w:r>
        <w:rPr>
          <w:rFonts w:ascii="IRNazanin" w:hAnsi="IRNazanin" w:eastAsia="IRNazanin" w:cs="IRNazanin"/>
          <w:lang w:bidi="fa-IR"/>
          <w:color w:val="111111"/>
          <w:sz w:val="28"/>
          <w:szCs w:val="28"/>
          <w:rtl/>
        </w:rPr>
        <w:t xml:space="preserve">رباعیات سحابی ،مولوی، محوی، ملامومن حسین یزدی، عبدلانبی  قزوینی، محمد مومن استرابادی و شعرهای بابا طالب اصفهانی؛ بی کا، بی تا؛ ۳۴۷ گ[ فيلمها: ۱ - ۵۸۱]</w:t>
      </w:r>
    </w:p>
    <w:p>
      <w:pPr>
        <w:pStyle w:val="BookText"/>
      </w:pPr>
      <w:r>
        <w:rPr>
          <w:rFonts w:ascii="IRNazanin" w:hAnsi="IRNazanin" w:eastAsia="IRNazanin" w:cs="IRNazanin"/>
          <w:lang w:bidi="fa-IR"/>
          <w:color w:val="111111"/>
          <w:sz w:val="28"/>
          <w:szCs w:val="28"/>
          <w:rtl/>
        </w:rPr>
        <w:t xml:space="preserve">۲۴۳۵. تبریز؛ ملی؛ شماره نسخه: ۲۵۹۴</w:t>
      </w:r>
    </w:p>
    <w:p>
      <w:pPr>
        <w:pStyle w:val="BookText"/>
      </w:pPr>
      <w:r>
        <w:rPr>
          <w:rFonts w:ascii="IRNazanin" w:hAnsi="IRNazanin" w:eastAsia="IRNazanin" w:cs="IRNazanin"/>
          <w:lang w:bidi="fa-IR"/>
          <w:color w:val="111111"/>
          <w:sz w:val="28"/>
          <w:szCs w:val="28"/>
          <w:rtl/>
        </w:rPr>
        <w:t xml:space="preserve">آغاز: از نصف غزل از طالب آملی که با بیت ما تیره کوکبان گهر افروز ظلمتیم *** بیشمع پیش پای نه بیند چراغ ما؛ انجام: و با
</w:t>
      </w:r>
    </w:p>
    <w:p>
      <w:pPr>
        <w:sectPr>
          <w:footerReference w:type="default" r:id="rId9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بیت از زکی ختم میشود / این نمیدانم که زخمی خورده باشم بر جگر *** لیک میبینم  که خون میریزد از مژگان من</w:t>
      </w:r>
    </w:p>
    <w:p>
      <w:pPr>
        <w:pStyle w:val="BookText"/>
      </w:pPr>
      <w:r>
        <w:rPr>
          <w:rFonts w:ascii="IRNazanin" w:hAnsi="IRNazanin" w:eastAsia="IRNazanin" w:cs="IRNazanin"/>
          <w:lang w:bidi="fa-IR"/>
          <w:color w:val="111111"/>
          <w:sz w:val="28"/>
          <w:szCs w:val="28"/>
          <w:rtl/>
        </w:rPr>
        <w:t xml:space="preserve">مجموعه متفرقه ای از شعرای متعدد در ازمنه مختلفه: منتخبـات مفصلی است از اشعار: طالب آمالی (ص 1- 152)، كليم (89- ۱۳۸) زکی (۲۸۷-۵۵۸+۲۸۰-۶۵۸)، ترجیع بند وفا (۲۸۰-۸۸) نظیری (۲۹۰ -۴۱۶) عرفی (۵۳۸-۵۵۸؛ خط: نستعلیق، بی کا، بی تا؛ از برگ ۱۳۹ مجدول و مذهب و در قسمت آغاز شعر یک از شعرا سرلوح های زیبا و کوچکی با آب طلا و مینا؛ جـلد: چرمی پوسیده، ۳۲۹ برگ، متفرق ۱۷-۴۱سطر، اندازه: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۱ - ۳۵۰]</w:t>
      </w:r>
    </w:p>
    <w:p>
      <w:pPr>
        <w:pStyle w:val="BookText"/>
      </w:pPr>
      <w:r>
        <w:rPr>
          <w:rFonts w:ascii="IRNazanin" w:hAnsi="IRNazanin" w:eastAsia="IRNazanin" w:cs="IRNazanin"/>
          <w:lang w:bidi="fa-IR"/>
          <w:color w:val="111111"/>
          <w:sz w:val="28"/>
          <w:szCs w:val="28"/>
          <w:rtl/>
        </w:rPr>
        <w:t xml:space="preserve">۲۴۳۶. تهران؛ دانشگاه؛ شماره نسخه: ۱۳۲۴-ف</w:t>
      </w:r>
    </w:p>
    <w:p>
      <w:pPr>
        <w:pStyle w:val="BookText"/>
      </w:pPr>
      <w:r>
        <w:rPr>
          <w:rFonts w:ascii="IRNazanin" w:hAnsi="IRNazanin" w:eastAsia="IRNazanin" w:cs="IRNazanin"/>
          <w:lang w:bidi="fa-IR"/>
          <w:color w:val="111111"/>
          <w:sz w:val="28"/>
          <w:szCs w:val="28"/>
          <w:rtl/>
        </w:rPr>
        <w:t xml:space="preserve">نسخه اصل: پاریس 787. </w:t>
      </w:r>
      <w:r>
        <w:rPr>
          <w:rFonts w:ascii="Times New Roman" w:hAnsi="Times New Roman" w:eastAsia="Times New Roman" w:cs="Times New Roman"/>
          <w:lang w:val="en-US" w:bidi="en-US"/>
          <w:color w:val="111111"/>
          <w:sz w:val="28"/>
          <w:szCs w:val="28"/>
          <w:rtl/>
        </w:rPr>
        <w:t xml:space="preserve">S. P )</w:t>
      </w:r>
      <w:r>
        <w:rPr>
          <w:rFonts w:ascii="IRNazanin" w:hAnsi="IRNazanin" w:eastAsia="IRNazanin" w:cs="IRNazanin"/>
          <w:lang w:bidi="fa-IR"/>
          <w:color w:val="111111"/>
          <w:sz w:val="28"/>
          <w:szCs w:val="28"/>
          <w:rtl/>
        </w:rPr>
        <w:t xml:space="preserve">بلوشه ۲۰۱۱). برگزیده اشـعار فارسی از عبدالواسع جبلی تا ذوالفقار شیروانی؛ بی کا، بی تا؛ ۲۴۶گ، [فیلمها: ۱ - ۵۹۴]</w:t>
      </w:r>
    </w:p>
    <w:p>
      <w:pPr>
        <w:pStyle w:val="BookText"/>
      </w:pPr>
      <w:r>
        <w:rPr>
          <w:rFonts w:ascii="IRNazanin" w:hAnsi="IRNazanin" w:eastAsia="IRNazanin" w:cs="IRNazanin"/>
          <w:lang w:bidi="fa-IR"/>
          <w:color w:val="111111"/>
          <w:sz w:val="28"/>
          <w:szCs w:val="28"/>
          <w:rtl/>
        </w:rPr>
        <w:t xml:space="preserve">۲۴۳۷. تهران؛ دانشگاه؛ شماره نسخه: ۱۱۲۴/۱-ف</w:t>
      </w:r>
    </w:p>
    <w:p>
      <w:pPr>
        <w:pStyle w:val="BookText"/>
      </w:pPr>
      <w:r>
        <w:rPr>
          <w:rFonts w:ascii="IRNazanin" w:hAnsi="IRNazanin" w:eastAsia="IRNazanin" w:cs="IRNazanin"/>
          <w:lang w:bidi="fa-IR"/>
          <w:color w:val="111111"/>
          <w:sz w:val="28"/>
          <w:szCs w:val="28"/>
          <w:rtl/>
        </w:rPr>
        <w:t xml:space="preserve">نسخه اصل: آکادمی علوم شوروی </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۱۱۲. شعرهای ،مولوی . سید قاسم، حافظ، حسامی، مسعود، نسیم، کاتبی، خسرو، جامی، نیشابوری، آذری؛ بی کا، بی تا [فیلمها: ۱ - ۶۱۴] [</w:t>
      </w:r>
    </w:p>
    <w:p>
      <w:pPr>
        <w:pStyle w:val="BookText"/>
      </w:pPr>
      <w:r>
        <w:rPr>
          <w:rFonts w:ascii="IRNazanin" w:hAnsi="IRNazanin" w:eastAsia="IRNazanin" w:cs="IRNazanin"/>
          <w:lang w:bidi="fa-IR"/>
          <w:color w:val="111111"/>
          <w:sz w:val="28"/>
          <w:szCs w:val="28"/>
          <w:rtl/>
        </w:rPr>
        <w:t xml:space="preserve">۲۴۳۸. تهران؛ دانشگاه؛ شماره نسخه: ۲۰۷۲/۷</w:t>
      </w:r>
    </w:p>
    <w:p>
      <w:pPr>
        <w:pStyle w:val="BookText"/>
      </w:pPr>
      <w:r>
        <w:rPr>
          <w:rFonts w:ascii="IRNazanin" w:hAnsi="IRNazanin" w:eastAsia="IRNazanin" w:cs="IRNazanin"/>
          <w:lang w:bidi="fa-IR"/>
          <w:color w:val="111111"/>
          <w:sz w:val="28"/>
          <w:szCs w:val="28"/>
          <w:rtl/>
        </w:rPr>
        <w:t xml:space="preserve">ستایش امامان و نکوهش از دشمنان آنها است به نظم بطور قصیده یا هفت بند از چند شاعر که نام برخی از آنها برده نشده است از آنها هفت بند ملاحسن کاشی و پاسخ آن؛ خط: نستعلیق چلیپا، بی کا، بی تا ؛کاغذ: سپاهانی،جلد: تیماج سبز با ترنج سرخ مقوایی، ۱۰گ (۱۵۶پ -۱۶۶ر)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۸ -701]</w:t>
      </w:r>
    </w:p>
    <w:p>
      <w:pPr>
        <w:pStyle w:val="BookText"/>
      </w:pPr>
      <w:r>
        <w:rPr>
          <w:rFonts w:ascii="IRNazanin" w:hAnsi="IRNazanin" w:eastAsia="IRNazanin" w:cs="IRNazanin"/>
          <w:lang w:bidi="fa-IR"/>
          <w:color w:val="111111"/>
          <w:sz w:val="28"/>
          <w:szCs w:val="28"/>
          <w:rtl/>
        </w:rPr>
        <w:t xml:space="preserve">۲۴۳۹. تهران؛ دانشگاه؛ شماره نسخه: ۲۵۵۳/۲</w:t>
      </w:r>
    </w:p>
    <w:p>
      <w:pPr>
        <w:pStyle w:val="BookText"/>
      </w:pPr>
      <w:r>
        <w:rPr>
          <w:rFonts w:ascii="IRNazanin" w:hAnsi="IRNazanin" w:eastAsia="IRNazanin" w:cs="IRNazanin"/>
          <w:lang w:bidi="fa-IR"/>
          <w:color w:val="111111"/>
          <w:sz w:val="28"/>
          <w:szCs w:val="28"/>
          <w:rtl/>
        </w:rPr>
        <w:t xml:space="preserve">شعرهایی به فارسی و شعرهایی در فضیلت سوره فاتحه به روایت حجة الاسلام از علی (علیه السّلام) از کتاب كنز المقربين؛ خط: نسـخ، بی کا، بی تا؛ کاغذ ،فرنگی ،جلد: روغنی در زمینه مشکی با گل بوته و زرپاشی شده درون عنابی گرد جدول  زرین، ۴ ص (216 -۲۲۰)، ۱۷ سطر (۸/۵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۹ - ۱۳۴۷]</w:t>
      </w:r>
    </w:p>
    <w:p>
      <w:pPr>
        <w:pStyle w:val="BookText"/>
      </w:pPr>
      <w:r>
        <w:rPr>
          <w:rFonts w:ascii="IRNazanin" w:hAnsi="IRNazanin" w:eastAsia="IRNazanin" w:cs="IRNazanin"/>
          <w:lang w:bidi="fa-IR"/>
          <w:color w:val="111111"/>
          <w:sz w:val="28"/>
          <w:szCs w:val="28"/>
          <w:rtl/>
        </w:rPr>
        <w:t xml:space="preserve">۲۴۴۰. تهران؛ دانشگاه؛ شماره نسخه: ۳۵۷۹/۲</w:t>
      </w:r>
    </w:p>
    <w:p>
      <w:pPr>
        <w:pStyle w:val="BookText"/>
      </w:pPr>
      <w:r>
        <w:rPr>
          <w:rFonts w:ascii="IRNazanin" w:hAnsi="IRNazanin" w:eastAsia="IRNazanin" w:cs="IRNazanin"/>
          <w:lang w:bidi="fa-IR"/>
          <w:color w:val="111111"/>
          <w:sz w:val="28"/>
          <w:szCs w:val="28"/>
          <w:rtl/>
        </w:rPr>
        <w:t xml:space="preserve">شعرهای هاتف و آقاعلی حکمی و خود نویسنده نسخه به نام محمد علی میرزا آقا پسر نجفعلی همدانی و متخلص به مفلس نزدیک ۷۵ بیت در رشت (۵۲) شعر طاهر شاعر زمان قاجاریان در ستایش محمد شاه قاجار و نزدیک ۱۲۶ بیت(۶۰) ، قصـیده امیدی تهرانی ؛خط: نستعلیق، کا: محمد علی میرزا آقا نجفعلی ،همدانی، بی تا، جا: رشت؛ کاغذ: فرنگی ،جلد: تیماج قهوه ای مقوایی، ۴۷ ص (۴۴-۹۱) ۱۴ سطر (9</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۱۲ - ۲۵۹۶]</w:t>
      </w:r>
    </w:p>
    <w:p>
      <w:pPr>
        <w:pStyle w:val="BookText"/>
      </w:pPr>
      <w:r>
        <w:rPr>
          <w:rFonts w:ascii="IRNazanin" w:hAnsi="IRNazanin" w:eastAsia="IRNazanin" w:cs="IRNazanin"/>
          <w:lang w:bidi="fa-IR"/>
          <w:color w:val="111111"/>
          <w:sz w:val="28"/>
          <w:szCs w:val="28"/>
          <w:rtl/>
        </w:rPr>
        <w:t xml:space="preserve">۲۴۴۱. تهران؛ دانشگاه؛ شماره نسخه: ۲۵۹۹/۲</w:t>
      </w:r>
    </w:p>
    <w:p>
      <w:pPr>
        <w:pStyle w:val="BookText"/>
      </w:pPr>
      <w:r>
        <w:rPr>
          <w:rFonts w:ascii="IRNazanin" w:hAnsi="IRNazanin" w:eastAsia="IRNazanin" w:cs="IRNazanin"/>
          <w:lang w:bidi="fa-IR"/>
          <w:color w:val="111111"/>
          <w:sz w:val="28"/>
          <w:szCs w:val="28"/>
          <w:rtl/>
        </w:rPr>
        <w:t xml:space="preserve">که در آن شعرهای این شاعران است: میرزا بدیع ،سار و خواجه (۲۲) ملا ظهوری ،(۲۵) شعر هجوی مورخ ۱۴ ربيع الاول 1228 (ص ۱۴۳)؛ بی کا، بی تا؛ :جلد: تیماج قهوه ایی ،مقوایی، چلیپا ابعاد متن: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۹ - ۱۴۴۹]</w:t>
      </w:r>
    </w:p>
    <w:p>
      <w:pPr>
        <w:pStyle w:val="BookText"/>
      </w:pPr>
      <w:r>
        <w:rPr>
          <w:rFonts w:ascii="IRNazanin" w:hAnsi="IRNazanin" w:eastAsia="IRNazanin" w:cs="IRNazanin"/>
          <w:lang w:bidi="fa-IR"/>
          <w:color w:val="111111"/>
          <w:sz w:val="28"/>
          <w:szCs w:val="28"/>
          <w:rtl/>
        </w:rPr>
        <w:t xml:space="preserve">۲۴۴۲. تهران؛ دانشگاه؛ شماره نسخه: ۳۴۵۷/۲</w:t>
      </w:r>
    </w:p>
    <w:p>
      <w:pPr>
        <w:pStyle w:val="BookText"/>
      </w:pPr>
      <w:r>
        <w:rPr>
          <w:rFonts w:ascii="IRNazanin" w:hAnsi="IRNazanin" w:eastAsia="IRNazanin" w:cs="IRNazanin"/>
          <w:lang w:bidi="fa-IR"/>
          <w:color w:val="111111"/>
          <w:sz w:val="28"/>
          <w:szCs w:val="28"/>
          <w:rtl/>
        </w:rPr>
        <w:t xml:space="preserve">شعرهای: جامی قرة العين، (لمعات وجهك اشرقت ...) مسکین، يغما؛ خط: نستعلیق، بی کا، بی تا ؛کاغذ: فرنگی رنگارنگ، جلد: تیماج مشکی، ۱۵گ (۶۴-۷۹)، ۱۱ سطر (۶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۱۱ - ۲۴۶۵]</w:t>
      </w:r>
    </w:p>
    <w:p>
      <w:pPr>
        <w:pStyle w:val="BookText"/>
      </w:pPr>
      <w:r>
        <w:rPr>
          <w:rFonts w:ascii="IRNazanin" w:hAnsi="IRNazanin" w:eastAsia="IRNazanin" w:cs="IRNazanin"/>
          <w:lang w:bidi="fa-IR"/>
          <w:color w:val="111111"/>
          <w:sz w:val="28"/>
          <w:szCs w:val="28"/>
          <w:rtl/>
        </w:rPr>
        <w:t xml:space="preserve">۲۴۴۳. تهران؛ دانشگاه؛ شماره نسخه: ۳۶۵۱/۵</w:t>
      </w:r>
    </w:p>
    <w:p>
      <w:pPr>
        <w:pStyle w:val="BookText"/>
      </w:pPr>
      <w:r>
        <w:rPr>
          <w:rFonts w:ascii="IRNazanin" w:hAnsi="IRNazanin" w:eastAsia="IRNazanin" w:cs="IRNazanin"/>
          <w:lang w:bidi="fa-IR"/>
          <w:color w:val="111111"/>
          <w:sz w:val="28"/>
          <w:szCs w:val="28"/>
          <w:rtl/>
        </w:rPr>
        <w:t xml:space="preserve">شعرهای: قاآنی ،جامی، عاشق سپاهانی، اشرف، مصاحب نایینی در پاسخ سوزنی، ،کلیم، ناصح ،نیازی ،خرم، چاکر میرزا مهرعلی، مهدی بیک اسیر، ،دیوانه ،سعدی ،حافظ، عصمت بخارایی ،فضولی ،ناصر خسرو، خیالی ،عرفی؛ خط: نستعلیق، بی کا، بی تا؛ هامش ۱-۱۳۸ و برخی جاها در متن؛ کاغذ: فرنگی، جلد: ترمه گرد تیماج مشکی، هامش ۱۳۸ ص (1- 138)، ۱۹ سطر (7</w:t>
      </w:r>
      <w:r>
        <w:rPr>
          <w:rFonts w:ascii="Times New Roman" w:hAnsi="Times New Roman" w:eastAsia="Times New Roman" w:cs="Times New Roman"/>
          <w:lang w:val="en-US" w:bidi="en-US"/>
          <w:color w:val="111111"/>
          <w:sz w:val="28"/>
          <w:szCs w:val="28"/>
          <w:rtl/>
        </w:rPr>
        <w:t xml:space="preserve">×16)  [ </w:t>
      </w:r>
      <w:r>
        <w:rPr>
          <w:rFonts w:ascii="IRNazanin" w:hAnsi="IRNazanin" w:eastAsia="IRNazanin" w:cs="IRNazanin"/>
          <w:lang w:bidi="fa-IR"/>
          <w:color w:val="111111"/>
          <w:sz w:val="28"/>
          <w:szCs w:val="28"/>
          <w:rtl/>
        </w:rPr>
        <w:t xml:space="preserve">ف: ۱۲ - ۲۶۵۶]</w:t>
      </w:r>
    </w:p>
    <w:p>
      <w:pPr>
        <w:pStyle w:val="BookText"/>
      </w:pPr>
      <w:r>
        <w:rPr>
          <w:rFonts w:ascii="IRNazanin" w:hAnsi="IRNazanin" w:eastAsia="IRNazanin" w:cs="IRNazanin"/>
          <w:lang w:bidi="fa-IR"/>
          <w:color w:val="111111"/>
          <w:sz w:val="28"/>
          <w:szCs w:val="28"/>
          <w:rtl/>
        </w:rPr>
        <w:t xml:space="preserve">۲۴۴۴. تهران؛ دانشگاه؛ شماره نسخه: ۴۷۵۲</w:t>
      </w:r>
    </w:p>
    <w:p>
      <w:pPr>
        <w:pStyle w:val="BookText"/>
      </w:pPr>
      <w:r>
        <w:rPr>
          <w:rFonts w:ascii="IRNazanin" w:hAnsi="IRNazanin" w:eastAsia="IRNazanin" w:cs="IRNazanin"/>
          <w:lang w:bidi="fa-IR"/>
          <w:color w:val="111111"/>
          <w:sz w:val="28"/>
          <w:szCs w:val="28"/>
          <w:rtl/>
        </w:rPr>
        <w:t xml:space="preserve">اشعاری از: مشتاق ،محتشم ،جامی، نظیری، وحشی و خود درویش در غزلی با عنوان «لراقمه» بدین گونه: «بمن فراق تو ای یار مهربان آن کرد*** که فرقت مه کیوان به پیر کیوان کرد/ مپرس با دل و جانم غمش چه کرد مجید *** که با دل من و جان من آنچه کرد آن کرد»؛ خط: شکسته نستعلیق، کا: استاد عبدالمجید درویش  طالقانی، بی تا ،مجدول، با سرلوح؛ کاغذ: سپاهانی رنگارنگ زرپاشی شده ،جلد: تیماج مشکی زرکوب با گل و بوته درون و بیرون، ۷۱گ ۱۴ سطر (5</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8</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سم [ف: ۱۴ - ۳۷۰۷]</w:t>
      </w:r>
    </w:p>
    <w:p>
      <w:pPr>
        <w:pStyle w:val="BookText"/>
      </w:pPr>
      <w:r>
        <w:rPr>
          <w:rFonts w:ascii="IRNazanin" w:hAnsi="IRNazanin" w:eastAsia="IRNazanin" w:cs="IRNazanin"/>
          <w:lang w:bidi="fa-IR"/>
          <w:color w:val="111111"/>
          <w:sz w:val="28"/>
          <w:szCs w:val="28"/>
          <w:rtl/>
        </w:rPr>
        <w:t xml:space="preserve">۲۴۴۵. تهران؛ دانشگاه؛ شماره نسخه: ۳۱۵۷-ف</w:t>
      </w:r>
    </w:p>
    <w:p>
      <w:pPr>
        <w:pStyle w:val="BookText"/>
      </w:pPr>
      <w:r>
        <w:rPr>
          <w:rFonts w:ascii="IRNazanin" w:hAnsi="IRNazanin" w:eastAsia="IRNazanin" w:cs="IRNazanin"/>
          <w:lang w:bidi="fa-IR"/>
          <w:color w:val="111111"/>
          <w:sz w:val="28"/>
          <w:szCs w:val="28"/>
          <w:rtl/>
        </w:rPr>
        <w:t xml:space="preserve">نسخه اصل: دانش سرای عالی ش .۱۷۴ دارای بخشی از: ۱ -دیوان عبدالواسع جبلی ،۲- کنز الرموز: امیر حسینی، ۳- قصاید کمال اسماعیل، ۴- دیوان حافظ؛ بی کا، بی تا [فیلمها: ۲ - ۸۶]</w:t>
      </w:r>
    </w:p>
    <w:p>
      <w:pPr>
        <w:pStyle w:val="BookText"/>
      </w:pPr>
      <w:r>
        <w:rPr>
          <w:rFonts w:ascii="IRNazanin" w:hAnsi="IRNazanin" w:eastAsia="IRNazanin" w:cs="IRNazanin"/>
          <w:lang w:bidi="fa-IR"/>
          <w:color w:val="111111"/>
          <w:sz w:val="28"/>
          <w:szCs w:val="28"/>
          <w:rtl/>
        </w:rPr>
        <w:t xml:space="preserve">۲۴۴۶. تهران؛ دانشگاه؛ شماره نسخه: ۳۳۷۶-ف</w:t>
      </w:r>
    </w:p>
    <w:p>
      <w:pPr>
        <w:pStyle w:val="BookText"/>
      </w:pPr>
      <w:r>
        <w:rPr>
          <w:rFonts w:ascii="IRNazanin" w:hAnsi="IRNazanin" w:eastAsia="IRNazanin" w:cs="IRNazanin"/>
          <w:lang w:bidi="fa-IR"/>
          <w:color w:val="111111"/>
          <w:sz w:val="28"/>
          <w:szCs w:val="28"/>
          <w:rtl/>
        </w:rPr>
        <w:t xml:space="preserve">نسخه اصل: سنا ش ۱۰۱. ترانه ها و تصنیف های قاجاری؛ بی کا، بی تا [فیلمها: ۲ - ۱۳۲]</w:t>
      </w:r>
    </w:p>
    <w:p>
      <w:pPr>
        <w:pStyle w:val="BookText"/>
      </w:pPr>
      <w:r>
        <w:rPr>
          <w:rFonts w:ascii="IRNazanin" w:hAnsi="IRNazanin" w:eastAsia="IRNazanin" w:cs="IRNazanin"/>
          <w:lang w:bidi="fa-IR"/>
          <w:color w:val="111111"/>
          <w:sz w:val="28"/>
          <w:szCs w:val="28"/>
          <w:rtl/>
        </w:rPr>
        <w:t xml:space="preserve">۲۴۴۷. تهران؛ سلطنتی؛ شماره نسخه: ۱۸۶۸</w:t>
      </w:r>
    </w:p>
    <w:p>
      <w:pPr>
        <w:pStyle w:val="BookText"/>
      </w:pPr>
      <w:r>
        <w:rPr>
          <w:rFonts w:ascii="IRNazanin" w:hAnsi="IRNazanin" w:eastAsia="IRNazanin" w:cs="IRNazanin"/>
          <w:lang w:bidi="fa-IR"/>
          <w:color w:val="111111"/>
          <w:sz w:val="28"/>
          <w:szCs w:val="28"/>
          <w:rtl/>
        </w:rPr>
        <w:t xml:space="preserve">آغاز: بسمله. چو گردد صیدگاه عشق بنیاد *** نه صید آنجا امان یابد نه صیاد؛ انجام: قیمت عشق نداند قدم صدق ندارد *** سست عهدی که تحمل ندارد بار جفا را</w:t>
      </w:r>
    </w:p>
    <w:p>
      <w:pPr>
        <w:pStyle w:val="BookText"/>
      </w:pPr>
      <w:r>
        <w:rPr>
          <w:rFonts w:ascii="IRNazanin" w:hAnsi="IRNazanin" w:eastAsia="IRNazanin" w:cs="IRNazanin"/>
          <w:lang w:bidi="fa-IR"/>
          <w:color w:val="111111"/>
          <w:sz w:val="28"/>
          <w:szCs w:val="28"/>
          <w:rtl/>
        </w:rPr>
        <w:t xml:space="preserve">منظومه کوتاهی است در وصف شکارگاه سلطان محمود و دیدن ایاز، یک غزل و یک بیت از سعدی شیرازی در خاتمه؛ خط: شکسته نستعلیق  عالی، بی کا، بی تا؛ از جمله کتب اکتشافی است ،مجدول ،مذهب، با سرلوح مذهب منقش متوسط؛ مهر: کتابخانه دولت علیه ایران ۱۳۲۹ ؛کاغذ ،ترمه، جلد: تیماج دولائی رویه عنابی حاشیه مجدول زرین ،اندرون، تیماج يشمى، ۱۸ص، ۱۶ مصرع سطر، قطع: جانمازی، اندازه: 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۳ - ۳۴۶]</w:t>
      </w:r>
    </w:p>
    <w:p>
      <w:pPr>
        <w:pStyle w:val="BookText"/>
      </w:pPr>
      <w:r>
        <w:rPr>
          <w:rFonts w:ascii="IRNazanin" w:hAnsi="IRNazanin" w:eastAsia="IRNazanin" w:cs="IRNazanin"/>
          <w:lang w:bidi="fa-IR"/>
          <w:color w:val="111111"/>
          <w:sz w:val="28"/>
          <w:szCs w:val="28"/>
          <w:rtl/>
        </w:rPr>
        <w:t xml:space="preserve">۲۴۴۸. تهران؛ سلطنتی؛ شماره نسخه : 880
</w:t>
      </w:r>
    </w:p>
    <w:p>
      <w:pPr>
        <w:sectPr>
          <w:footerReference w:type="default" r:id="rId9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آغاز: از غم عشقت مرا نی تن به جانی مانده *** آن خیالی گـشته و زین یک کمانی مانده با کلمه (است) در آخر مصارع؛ انجـام: جانا بنشین و زان دولت در کوشم *** کو یک سخن و زناله خاموشم / ورنه زخراش دل خود نخروشم *** خود را و ترا بعالـمی نفروشم</w:t>
      </w:r>
    </w:p>
    <w:p>
      <w:pPr>
        <w:pStyle w:val="BookText"/>
      </w:pPr>
      <w:r>
        <w:rPr>
          <w:rFonts w:ascii="IRNazanin" w:hAnsi="IRNazanin" w:eastAsia="IRNazanin" w:cs="IRNazanin"/>
          <w:lang w:bidi="fa-IR"/>
          <w:color w:val="111111"/>
          <w:sz w:val="28"/>
          <w:szCs w:val="28"/>
          <w:rtl/>
        </w:rPr>
        <w:t xml:space="preserve">مجموعه ای است از غزلیات، مقطعات و رباعیات متفرق از: حسینی (سلطان حسين ميرزا بایقرا)، قاسم  انوار، حافظ، خواجه کمال، حسن دهلوی، عبدالرحمن جامی، کاتبی، امیر شاهی، علیشیر نوائی، دهلوی، شیخ سعدی، بساطی، مفلسی، رفیق، نسـیم، خواجه عصمت، سلمان ساوجی ،خیالی، رفیقی ،ریاضی، حلوائی، ابن یمین ،آذری ،شاهی ،سبزواری،طغاتیمورخان ،طوسی، عارفی، طالعی، سهیلی امیر شیخ، سیفی یادگار نیک؛ این نسخه برای سلطان حسین میرزا بایقرا کتابت و تزئین شده ؛خط: نستعلیق،بی کا، بی تا؛ این نسخه به سال ۱۲۸۳ هجری در کتابخانه فرهاد بن</w:t>
      </w:r>
    </w:p>
    <w:p>
      <w:pPr>
        <w:pStyle w:val="BookText"/>
      </w:pPr>
      <w:r>
        <w:rPr>
          <w:rFonts w:ascii="IRNazanin" w:hAnsi="IRNazanin" w:eastAsia="IRNazanin" w:cs="IRNazanin"/>
          <w:lang w:bidi="fa-IR"/>
          <w:color w:val="111111"/>
          <w:sz w:val="28"/>
          <w:szCs w:val="28"/>
          <w:rtl/>
        </w:rPr>
        <w:t xml:space="preserve">فرهاد بن وليعهد موتمن الدوله بوده و سپس در ۲۴ شهر محرم الحرام قوی ئیل ۱۳۰۱ توسط آقا بهرام داخل کتابخانه مبارکه موزه شده و به سال ۱۳۲۲ از عرض کتابخانه مظفری گذشته است، مجدول زرین، دو صفحه اول دارای حواشی و دو کتیبه مذهب مزدوج مرصع ممتاز که در هر صفحه ۷ بیت از اشعار فارسی سلطان حسین میرزا بایقرا و شاه قاسم انوار کتابت شده، در میان کتیبه هـای این دو صفحه به خط نستعلیق و به سفیداب چنین رقم رفته اسـت:« این نسخه مجموعه چون آب زلال *** بنگر که چه نیکو بود غایت حال / بحریست پر از جواهر مالامال *** مجموع درو معـانی اهل کمال»؛ کاغذ: متن سمرقندی الوان ،جلد: تیماج لاكى سوخته وسط ترنج و اطراف نیم ترنج های مختلف الشکل و یک حاشیه کتیبه ای سوخت معرق زمینه لاجوردی، ۲۷۹ص، ۷-۱۳-۱۷ سـطر، قطع: وزیری،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۳۱سم [ف: ۳ - ۳۴۷]</w:t>
      </w:r>
    </w:p>
    <w:p>
      <w:pPr>
        <w:pStyle w:val="BookText"/>
      </w:pPr>
      <w:r>
        <w:rPr>
          <w:rFonts w:ascii="IRNazanin" w:hAnsi="IRNazanin" w:eastAsia="IRNazanin" w:cs="IRNazanin"/>
          <w:lang w:bidi="fa-IR"/>
          <w:color w:val="111111"/>
          <w:sz w:val="28"/>
          <w:szCs w:val="28"/>
          <w:rtl/>
        </w:rPr>
        <w:t xml:space="preserve">۲۴۴۹. تهران؛ سلطنتی؛ شماره نسخه: ۶۸۹</w:t>
      </w:r>
    </w:p>
    <w:p>
      <w:pPr>
        <w:pStyle w:val="BookText"/>
      </w:pPr>
      <w:r>
        <w:rPr>
          <w:rFonts w:ascii="IRNazanin" w:hAnsi="IRNazanin" w:eastAsia="IRNazanin" w:cs="IRNazanin"/>
          <w:lang w:bidi="fa-IR"/>
          <w:color w:val="111111"/>
          <w:sz w:val="28"/>
          <w:szCs w:val="28"/>
          <w:rtl/>
        </w:rPr>
        <w:t xml:space="preserve">آغاز: بحمد الله که این دیباچه راز *** بتوقيع هدایت شد سرافراز ؛</w:t>
      </w:r>
    </w:p>
    <w:p>
      <w:pPr>
        <w:pStyle w:val="BookText"/>
      </w:pPr>
      <w:r>
        <w:rPr>
          <w:rFonts w:ascii="IRNazanin" w:hAnsi="IRNazanin" w:eastAsia="IRNazanin" w:cs="IRNazanin"/>
          <w:lang w:bidi="fa-IR"/>
          <w:color w:val="111111"/>
          <w:sz w:val="28"/>
          <w:szCs w:val="28"/>
          <w:rtl/>
        </w:rPr>
        <w:t xml:space="preserve">انجام: (سود و زیان) تا رسم سود و زیان در چهار بازار امکان باشد خرمن اخلاص بندگانت از آسیب برق زمان محفوظ باد. گر جان و سربرد غرض ما رضای تست *** حاشا که ما زیان تو خواهیم و سود خویش</w:t>
      </w:r>
    </w:p>
    <w:p>
      <w:pPr>
        <w:pStyle w:val="BookText"/>
      </w:pPr>
      <w:r>
        <w:rPr>
          <w:rFonts w:ascii="IRNazanin" w:hAnsi="IRNazanin" w:eastAsia="IRNazanin" w:cs="IRNazanin"/>
          <w:lang w:bidi="fa-IR"/>
          <w:color w:val="111111"/>
          <w:sz w:val="28"/>
          <w:szCs w:val="28"/>
          <w:rtl/>
        </w:rPr>
        <w:t xml:space="preserve">جنگی است از اشعار شعرای مقدم و معاصر که کاتب بنا  به موضوع اعضای بدن از فرق تا قدم ودیگر مطالب اشعاری مناسب انتخاب و برای اکثر آنها عنوانی به تعریض به رنگ سرخ نگاشته مثلا برای عنوان «زبان» چنین آورده: «تا زبان جان و تن دهان اسـت *** تن و جانت از حوادث در امان  باد»، این نسخه نفیس و ظریف را برای شاه عباس ثانی جمع آوری و تدوین کرده است؛ خـط: شکسته نستعلیق، کا: محمد شفیع حسینی، بی تا؛ این نسخه  به سال های ۱۲۳۲ و ۱۲۸۲ به ترتیب از عرض کتابخانه فتحعلیشاه و ناصرالدین شاه قاجار گذشته، مجدول و کمندکشی زرین،دو صفحه اول دارای حواشی مذهب مرصع بسیار عالی، با یـک سرلوح مذهب مرصع مزدوج؛ مهر: ناصرالدین شاه قاجار در چند موضع؛ کاغذ: ترمه لطيف متن غبار زرافشان، جلد: تیماج دولائی ابره ضربی طلائی منقش به درخت و گل و مرغ حاشیه سجاف تیماج لاکی، ۳۵۴ص، ۱۲ سطر، قطع: بیاضی، اندازه: 9/2</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سم [ف: ۳ - ۳۶۰]</w:t>
      </w:r>
    </w:p>
    <w:p>
      <w:pPr>
        <w:pStyle w:val="BookText"/>
      </w:pPr>
      <w:r>
        <w:rPr>
          <w:rFonts w:ascii="IRNazanin" w:hAnsi="IRNazanin" w:eastAsia="IRNazanin" w:cs="IRNazanin"/>
          <w:lang w:bidi="fa-IR"/>
          <w:color w:val="111111"/>
          <w:sz w:val="28"/>
          <w:szCs w:val="28"/>
          <w:rtl/>
        </w:rPr>
        <w:t xml:space="preserve">۲۴۵۰. تهران؛ مهدوی؛ شماره نسخه: ۲۷</w:t>
      </w:r>
    </w:p>
    <w:p>
      <w:pPr>
        <w:pStyle w:val="BookText"/>
      </w:pPr>
      <w:r>
        <w:rPr>
          <w:rFonts w:ascii="IRNazanin" w:hAnsi="IRNazanin" w:eastAsia="IRNazanin" w:cs="IRNazanin"/>
          <w:lang w:bidi="fa-IR"/>
          <w:color w:val="111111"/>
          <w:sz w:val="28"/>
          <w:szCs w:val="28"/>
          <w:rtl/>
        </w:rPr>
        <w:t xml:space="preserve">منظوماتی است در پند و اندرز؛ خط: نستعلیق، کا: میرعماد، بی تا، به گواهی آقا محمد کاظم واله و عبدالجواد عنقا؛ كاغذ: سمرقندی، جلد: ساغری [نشریه ۲ - ۷۰]</w:t>
      </w:r>
    </w:p>
    <w:p>
      <w:pPr>
        <w:pStyle w:val="BookText"/>
      </w:pPr>
      <w:r>
        <w:rPr>
          <w:rFonts w:ascii="Times New Roman" w:hAnsi="Times New Roman" w:eastAsia="Times New Roman" w:cs="Times New Roman"/>
          <w:lang w:val="en-US" w:bidi="en-US"/>
          <w:color w:val="111111"/>
          <w:sz w:val="28"/>
          <w:szCs w:val="28"/>
          <w:rtl/>
        </w:rPr>
        <w:t xml:space="preserve">2451.</w:t>
      </w:r>
    </w:p>
    <w:p>
      <w:pPr>
        <w:pStyle w:val="BookText"/>
      </w:pPr>
      <w:r>
        <w:rPr>
          <w:rFonts w:ascii="IRNazanin" w:hAnsi="IRNazanin" w:eastAsia="IRNazanin" w:cs="IRNazanin"/>
          <w:lang w:bidi="fa-IR"/>
          <w:color w:val="111111"/>
          <w:sz w:val="28"/>
          <w:szCs w:val="28"/>
          <w:rtl/>
        </w:rPr>
        <w:t xml:space="preserve">تهران؛ دانشگاه؛ شماره نسخه: ۷۵۹۶</w:t>
      </w:r>
    </w:p>
    <w:p>
      <w:pPr>
        <w:pStyle w:val="BookText"/>
      </w:pPr>
      <w:r>
        <w:rPr>
          <w:rFonts w:ascii="IRNazanin" w:hAnsi="IRNazanin" w:eastAsia="IRNazanin" w:cs="IRNazanin"/>
          <w:lang w:bidi="fa-IR"/>
          <w:color w:val="111111"/>
          <w:sz w:val="28"/>
          <w:szCs w:val="28"/>
          <w:rtl/>
        </w:rPr>
        <w:t xml:space="preserve">اشعاری از :یغما ،قصاب، عاشق و سعدی؛ خط: شکسته نستعلیق چلیپا، بی کا، بی تا؛ دو ستونی دارای ۸ یا ۱۰ بیت؛ کاغذ: فرنگی، جلد: تیماج تریاکی زرکوب  لایی،۳۱گ، ۸ سطر (۵/۵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۱۱/۵)، قطع: بغلی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۱۵/۵سم [ف: ۱۶ - ۶۴۶]</w:t>
      </w:r>
    </w:p>
    <w:p>
      <w:pPr>
        <w:pStyle w:val="BookText"/>
      </w:pPr>
      <w:r>
        <w:rPr>
          <w:rFonts w:ascii="IRNazanin" w:hAnsi="IRNazanin" w:eastAsia="IRNazanin" w:cs="IRNazanin"/>
          <w:lang w:bidi="fa-IR"/>
          <w:color w:val="111111"/>
          <w:sz w:val="28"/>
          <w:szCs w:val="28"/>
          <w:rtl/>
        </w:rPr>
        <w:t xml:space="preserve">۲۴۵۲. تبریز؛ ملی؛ شماره نسخه: ۲۹۱۴</w:t>
      </w:r>
    </w:p>
    <w:p>
      <w:pPr>
        <w:pStyle w:val="BookText"/>
      </w:pPr>
      <w:r>
        <w:rPr>
          <w:rFonts w:ascii="IRNazanin" w:hAnsi="IRNazanin" w:eastAsia="IRNazanin" w:cs="IRNazanin"/>
          <w:lang w:bidi="fa-IR"/>
          <w:color w:val="111111"/>
          <w:sz w:val="28"/>
          <w:szCs w:val="28"/>
          <w:rtl/>
        </w:rPr>
        <w:t xml:space="preserve">منتخبی است از آثار شعرای متقدم و معاصر؛ خط: تعلیق خوش و نستعلیق، بی کا، بی تا؛ کاغذ: فرنگی سفید و نیلی، جلد: چرمی نرم،۷۷گ،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 - ۳۶۶]</w:t>
      </w:r>
    </w:p>
    <w:p>
      <w:pPr>
        <w:pStyle w:val="BookText"/>
      </w:pPr>
      <w:r>
        <w:rPr>
          <w:rFonts w:ascii="IRNazanin" w:hAnsi="IRNazanin" w:eastAsia="IRNazanin" w:cs="IRNazanin"/>
          <w:lang w:bidi="fa-IR"/>
          <w:color w:val="111111"/>
          <w:sz w:val="28"/>
          <w:szCs w:val="28"/>
          <w:rtl/>
        </w:rPr>
        <w:t xml:space="preserve">۲۴۵۳. تبریز؛ ملی؛ شماره نسخه: ۲۷۹۳</w:t>
      </w:r>
    </w:p>
    <w:p>
      <w:pPr>
        <w:pStyle w:val="BookText"/>
      </w:pPr>
      <w:r>
        <w:rPr>
          <w:rFonts w:ascii="IRNazanin" w:hAnsi="IRNazanin" w:eastAsia="IRNazanin" w:cs="IRNazanin"/>
          <w:lang w:bidi="fa-IR"/>
          <w:color w:val="111111"/>
          <w:sz w:val="28"/>
          <w:szCs w:val="28"/>
          <w:rtl/>
        </w:rPr>
        <w:t xml:space="preserve">منتخب اشعار و تذکره مختصر شعرایی است از قرون اول تا اواسط قاجاریه به ترتیب نام شهرها و خاتمه در ذکر شعرای تبریز؛خط: نستعلیق،بی کا، بی تا؛ جلد: چرمی کهنه،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 - ۳۶۰]</w:t>
      </w:r>
    </w:p>
    <w:p>
      <w:pPr>
        <w:pStyle w:val="BookText"/>
      </w:pPr>
      <w:r>
        <w:rPr>
          <w:rFonts w:ascii="IRNazanin" w:hAnsi="IRNazanin" w:eastAsia="IRNazanin" w:cs="IRNazanin"/>
          <w:lang w:bidi="fa-IR"/>
          <w:color w:val="111111"/>
          <w:sz w:val="28"/>
          <w:szCs w:val="28"/>
          <w:rtl/>
        </w:rPr>
        <w:t xml:space="preserve">۲۴۵۴ . تبریز؛ ملی؛ شماره نسخه: ۲۸۷۷</w:t>
      </w:r>
    </w:p>
    <w:p>
      <w:pPr>
        <w:pStyle w:val="BookText"/>
      </w:pPr>
      <w:r>
        <w:rPr>
          <w:rFonts w:ascii="IRNazanin" w:hAnsi="IRNazanin" w:eastAsia="IRNazanin" w:cs="IRNazanin"/>
          <w:lang w:bidi="fa-IR"/>
          <w:color w:val="111111"/>
          <w:sz w:val="28"/>
          <w:szCs w:val="28"/>
          <w:rtl/>
        </w:rPr>
        <w:t xml:space="preserve">منتخب اشعاری است از شعرای متقدم و معاصر؛ خط: نستعلیق، بی کا، بی تا؛ جلد: چرمی، ۱۳۵گ اندازه:۱۲/۵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۱-۳۶۱]</w:t>
      </w:r>
    </w:p>
    <w:p>
      <w:pPr>
        <w:pStyle w:val="BookText"/>
      </w:pPr>
      <w:r>
        <w:rPr>
          <w:rFonts w:ascii="IRNazanin" w:hAnsi="IRNazanin" w:eastAsia="IRNazanin" w:cs="IRNazanin"/>
          <w:lang w:bidi="fa-IR"/>
          <w:color w:val="111111"/>
          <w:sz w:val="28"/>
          <w:szCs w:val="28"/>
          <w:rtl/>
        </w:rPr>
        <w:t xml:space="preserve">۲۴۵۵. تبریز؛ ملی؛ شماره نسخه: ۲۸۸۶</w:t>
      </w:r>
    </w:p>
    <w:p>
      <w:pPr>
        <w:pStyle w:val="BookText"/>
      </w:pPr>
      <w:r>
        <w:rPr>
          <w:rFonts w:ascii="IRNazanin" w:hAnsi="IRNazanin" w:eastAsia="IRNazanin" w:cs="IRNazanin"/>
          <w:lang w:bidi="fa-IR"/>
          <w:color w:val="111111"/>
          <w:sz w:val="28"/>
          <w:szCs w:val="28"/>
          <w:rtl/>
        </w:rPr>
        <w:t xml:space="preserve">شامل اشعار مظهر و جرعه و ابیات متفرقه از شعرای مختلف؛ بی کا، بی تا؛ جلد: چرمی ،سرخ ،۲۵۵گ،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۱۷/۵سم [ف:1- 361]</w:t>
      </w:r>
    </w:p>
    <w:p>
      <w:pPr>
        <w:pStyle w:val="BookText"/>
      </w:pPr>
      <w:r>
        <w:rPr>
          <w:rFonts w:ascii="IRNazanin" w:hAnsi="IRNazanin" w:eastAsia="IRNazanin" w:cs="IRNazanin"/>
          <w:lang w:bidi="fa-IR"/>
          <w:color w:val="111111"/>
          <w:sz w:val="28"/>
          <w:szCs w:val="28"/>
          <w:rtl/>
        </w:rPr>
        <w:t xml:space="preserve">۲۴۵۶. تبریز؛ ملی؛ شماره نسخه: ۲۹۱۲</w:t>
      </w:r>
    </w:p>
    <w:p>
      <w:pPr>
        <w:pStyle w:val="BookText"/>
      </w:pPr>
      <w:r>
        <w:rPr>
          <w:rFonts w:ascii="IRNazanin" w:hAnsi="IRNazanin" w:eastAsia="IRNazanin" w:cs="IRNazanin"/>
          <w:lang w:bidi="fa-IR"/>
          <w:color w:val="111111"/>
          <w:sz w:val="28"/>
          <w:szCs w:val="28"/>
          <w:rtl/>
        </w:rPr>
        <w:t xml:space="preserve">آغاز: سالار خیل خانه دین نایب رسول*** سر دفتر خدای پرستان بی ریا :انجام: تا بود روشن صباح تیره شام *** تازه روی دوستانت چون سحر / گمشد اندر وادی مدحت رضی *** نه خبر یا بد از و کس نه اثر</w:t>
      </w:r>
    </w:p>
    <w:p>
      <w:pPr>
        <w:pStyle w:val="BookText"/>
      </w:pPr>
      <w:r>
        <w:rPr>
          <w:rFonts w:ascii="IRNazanin" w:hAnsi="IRNazanin" w:eastAsia="IRNazanin" w:cs="IRNazanin"/>
          <w:lang w:bidi="fa-IR"/>
          <w:color w:val="111111"/>
          <w:sz w:val="28"/>
          <w:szCs w:val="28"/>
          <w:rtl/>
        </w:rPr>
        <w:t xml:space="preserve">این جنگ شامل غزلیات و قسمتی از بوستان سعدی و دیوان حافظ می باشد و بعد از خاتمه دیوان حافظ منتخباتی از دواوین شعرای مختلف گذشته و معاصر نوشته شده است؛ خط: نستعلیق، بی کا، بی تا؛ کاغذ: فرنگی نیلی ،جلد: چرمی ضربی، ۸۹گ، ۵۶ -50 سطر،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 – ۳۶۵]</w:t>
      </w:r>
    </w:p>
    <w:p>
      <w:pPr>
        <w:pStyle w:val="BookText"/>
      </w:pPr>
      <w:r>
        <w:rPr>
          <w:rFonts w:ascii="IRNazanin" w:hAnsi="IRNazanin" w:eastAsia="IRNazanin" w:cs="IRNazanin"/>
          <w:lang w:bidi="fa-IR"/>
          <w:color w:val="111111"/>
          <w:sz w:val="28"/>
          <w:szCs w:val="28"/>
          <w:rtl/>
        </w:rPr>
        <w:t xml:space="preserve">۲۴۵۷. تبریز؛ ملی؛ شماره نسخه: ۳۵۷۳</w:t>
      </w:r>
    </w:p>
    <w:p>
      <w:pPr>
        <w:pStyle w:val="BookText"/>
      </w:pPr>
      <w:r>
        <w:rPr>
          <w:rFonts w:ascii="IRNazanin" w:hAnsi="IRNazanin" w:eastAsia="IRNazanin" w:cs="IRNazanin"/>
          <w:lang w:bidi="fa-IR"/>
          <w:color w:val="111111"/>
          <w:sz w:val="28"/>
          <w:szCs w:val="28"/>
          <w:rtl/>
        </w:rPr>
        <w:t xml:space="preserve">منتخب اشعاری است از شعرای متعدد در ازمنه مختلفه؛ خط: شکسته، بی کا، بی تا؛ جلد: چرمی تریاکی، ۸۴گ، اندازه:
</w:t>
      </w:r>
    </w:p>
    <w:p>
      <w:pPr>
        <w:sectPr>
          <w:footerReference w:type="default" r:id="rId9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۱۷/۵سم [ف: ۱ - ۳۸۳]</w:t>
      </w:r>
    </w:p>
    <w:p>
      <w:pPr>
        <w:pStyle w:val="BookText"/>
      </w:pPr>
      <w:r>
        <w:rPr>
          <w:rFonts w:ascii="IRNazanin" w:hAnsi="IRNazanin" w:eastAsia="IRNazanin" w:cs="IRNazanin"/>
          <w:lang w:bidi="fa-IR"/>
          <w:color w:val="111111"/>
          <w:sz w:val="28"/>
          <w:szCs w:val="28"/>
          <w:rtl/>
        </w:rPr>
        <w:t xml:space="preserve">۲۴۵۸. تبریز؛ ملی؛ شماره نسخه: ۲۹۶۶</w:t>
      </w:r>
    </w:p>
    <w:p>
      <w:pPr>
        <w:pStyle w:val="BookText"/>
      </w:pPr>
      <w:r>
        <w:rPr>
          <w:rFonts w:ascii="IRNazanin" w:hAnsi="IRNazanin" w:eastAsia="IRNazanin" w:cs="IRNazanin"/>
          <w:lang w:bidi="fa-IR"/>
          <w:color w:val="111111"/>
          <w:sz w:val="28"/>
          <w:szCs w:val="28"/>
          <w:rtl/>
        </w:rPr>
        <w:t xml:space="preserve">آغاز: مجلس چو بستان ارم ساقی چو گل با جام جم / مطرب ببانگ زیر و بم مرغ خوش الحان آمده؛ انجام: فغان که فرصت دیدن بسوی هم ندهند ***غرور حسن ترا شرم دوستی ما را/ بمحفلی که بریدند دیگران کف دست *** چها رسید ز حسرت دل زلیخا را</w:t>
      </w:r>
    </w:p>
    <w:p>
      <w:pPr>
        <w:pStyle w:val="BookText"/>
      </w:pPr>
      <w:r>
        <w:rPr>
          <w:rFonts w:ascii="IRNazanin" w:hAnsi="IRNazanin" w:eastAsia="IRNazanin" w:cs="IRNazanin"/>
          <w:lang w:bidi="fa-IR"/>
          <w:color w:val="111111"/>
          <w:sz w:val="28"/>
          <w:szCs w:val="28"/>
          <w:rtl/>
        </w:rPr>
        <w:t xml:space="preserve">این جنگ شامل دو قسمت است: ۱. اغلب منتخبی از آثار شعرای دوره قاجار از قبیل مجمر، صبا، ۲. منتخب آثاری از شعرای متعـدد قدیم و معاصر به ترتیب حروف تهجی؛ خط: نستعلیق، بی کا، بی تا؛ افتادگی: آغاز و انجام؛ قسمت دوم مجدول، مذهب، با رساله ای خطی در زهد و تقوی در پنج برگ؛ کاغذ: فرنگی، جلد: چرمی تریاکی، ۱۶۱گ، ۲۳-۱۶ ،سطر، اندازه: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1- 368]</w:t>
      </w:r>
    </w:p>
    <w:p>
      <w:pPr>
        <w:pStyle w:val="BookText"/>
      </w:pPr>
      <w:r>
        <w:rPr>
          <w:rFonts w:ascii="IRNazanin" w:hAnsi="IRNazanin" w:eastAsia="IRNazanin" w:cs="IRNazanin"/>
          <w:lang w:bidi="fa-IR"/>
          <w:color w:val="111111"/>
          <w:sz w:val="28"/>
          <w:szCs w:val="28"/>
          <w:rtl/>
        </w:rPr>
        <w:t xml:space="preserve">۲۴۵۹. یزد؛ وزیری؛ شماره نسخه: ۲۰۷۲</w:t>
      </w:r>
    </w:p>
    <w:p>
      <w:pPr>
        <w:pStyle w:val="BookText"/>
      </w:pPr>
      <w:r>
        <w:rPr>
          <w:rFonts w:ascii="IRNazanin" w:hAnsi="IRNazanin" w:eastAsia="IRNazanin" w:cs="IRNazanin"/>
          <w:lang w:bidi="fa-IR"/>
          <w:color w:val="111111"/>
          <w:sz w:val="28"/>
          <w:szCs w:val="28"/>
          <w:rtl/>
        </w:rPr>
        <w:t xml:space="preserve">آغاز: بسمله... رب بما جدت و انعمتنی *** شكرك الهمت و اکر متنی؛انجام: برد چو حجاج از این جنگ نام *** کوکب او یافت غروبی تمام</w:t>
      </w:r>
    </w:p>
    <w:p>
      <w:pPr>
        <w:pStyle w:val="BookText"/>
      </w:pPr>
      <w:r>
        <w:rPr>
          <w:rFonts w:ascii="IRNazanin" w:hAnsi="IRNazanin" w:eastAsia="IRNazanin" w:cs="IRNazanin"/>
          <w:lang w:bidi="fa-IR"/>
          <w:color w:val="111111"/>
          <w:sz w:val="28"/>
          <w:szCs w:val="28"/>
          <w:rtl/>
        </w:rPr>
        <w:t xml:space="preserve">مختارنامه منظوم و اشعار پراکنده؛ خط: نستعلیق تحریری، بی کا، بی تا؛ افتادگی: انجام؛ مجدول؛ کاغذ: اصفهانی، جلد: مقوایی با تیماج تریاکی ضربی، ۴۹گ، ۱۴ سطر (7</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 [ ف: ۴ - ۱۱۴۸]</w:t>
      </w:r>
    </w:p>
    <w:p>
      <w:pPr>
        <w:pStyle w:val="BookText"/>
      </w:pPr>
      <w:r>
        <w:rPr>
          <w:rFonts w:ascii="IRNazanin" w:hAnsi="IRNazanin" w:eastAsia="IRNazanin" w:cs="IRNazanin"/>
          <w:lang w:bidi="fa-IR"/>
          <w:color w:val="111111"/>
          <w:sz w:val="28"/>
          <w:szCs w:val="28"/>
          <w:rtl/>
        </w:rPr>
        <w:t xml:space="preserve">۲۴۶۰. یزد؛ وزیری؛ شماره نسخه: ۳۴۵۵</w:t>
      </w:r>
    </w:p>
    <w:p>
      <w:pPr>
        <w:pStyle w:val="BookText"/>
      </w:pPr>
      <w:r>
        <w:rPr>
          <w:rFonts w:ascii="IRNazanin" w:hAnsi="IRNazanin" w:eastAsia="IRNazanin" w:cs="IRNazanin"/>
          <w:lang w:bidi="fa-IR"/>
          <w:color w:val="111111"/>
          <w:sz w:val="28"/>
          <w:szCs w:val="28"/>
          <w:rtl/>
        </w:rPr>
        <w:t xml:space="preserve">مشتمل است بر اشعار در مدایح حضرات ائمه معصومین و غیرهم از: هاتف، صباحی، ابن حسام، نظام استرآبادی، ذره، نسیمی ،ناظم، ابن حیدر ،عرفی ،جامی ،حافظ ،افسری، سید کرمانی ،وفائی ،همایون، فصیحی ،مخبر، ملای روم، شیخ- عطار، قدسی، ملاباقر خدا ،عاشق، شمس تبریزی ،لوائی، صبا ،وفا،شيخ محـمد تقی عقدایی، همای شیرازی ،خلیل. صياد، وحشی، حسن کاشی، صافی، فاتع ،حشمت ،حکیم ،خسرو ،خالص ،مرتضى، واعظ ،سالم ،آذری، قاسم ،سعدی، فدایی، محتشم ،مغربی، ابن عابد ،حاطی ،مقبل، شاه نعمت الله ولی ،ثنائی، طغرا، میرزا ابوالقاسم ،قمی ،صنعی، سلطان و غیره؛ خط: نستعلیق، بی کا، بی تا؛ محشی ؛اهدایی: محمد جواد میرزائی، کاغذ: اصفهانی ،جلد: تیماج ماشـی، ۲۴۵گ، ۱۵ سطر (۸/۵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۱۵۰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۲۰سم [ف: ۵ - ۱۶۶۰]</w:t>
      </w:r>
    </w:p>
    <w:p>
      <w:pPr>
        <w:pStyle w:val="BookText"/>
      </w:pPr>
      <w:r>
        <w:rPr>
          <w:rFonts w:ascii="IRNazanin" w:hAnsi="IRNazanin" w:eastAsia="IRNazanin" w:cs="IRNazanin"/>
          <w:lang w:bidi="fa-IR"/>
          <w:color w:val="111111"/>
          <w:sz w:val="28"/>
          <w:szCs w:val="28"/>
          <w:rtl/>
        </w:rPr>
        <w:t xml:space="preserve">۲۴۶۱. یزد؛ وزیری؛ شماره نسخه: ۳۹۲۰</w:t>
      </w:r>
    </w:p>
    <w:p>
      <w:pPr>
        <w:pStyle w:val="BookText"/>
      </w:pPr>
      <w:r>
        <w:rPr>
          <w:rFonts w:ascii="IRNazanin" w:hAnsi="IRNazanin" w:eastAsia="IRNazanin" w:cs="IRNazanin"/>
          <w:lang w:bidi="fa-IR"/>
          <w:color w:val="111111"/>
          <w:sz w:val="28"/>
          <w:szCs w:val="28"/>
          <w:rtl/>
        </w:rPr>
        <w:t xml:space="preserve">آغاز: مرحبا ای پیک فرخ فال من؛ انجام: او روی بما کرده وما روی بخاک</w:t>
      </w:r>
    </w:p>
    <w:p>
      <w:pPr>
        <w:pStyle w:val="BookText"/>
      </w:pPr>
      <w:r>
        <w:rPr>
          <w:rFonts w:ascii="IRNazanin" w:hAnsi="IRNazanin" w:eastAsia="IRNazanin" w:cs="IRNazanin"/>
          <w:lang w:bidi="fa-IR"/>
          <w:color w:val="111111"/>
          <w:sz w:val="28"/>
          <w:szCs w:val="28"/>
          <w:rtl/>
        </w:rPr>
        <w:t xml:space="preserve">قسمتی از نان و حلوا، شیر و شکر شیخ بهایی و اشعار متفرقه؛</w:t>
      </w:r>
    </w:p>
    <w:p>
      <w:pPr>
        <w:pStyle w:val="BookText"/>
      </w:pPr>
      <w:r>
        <w:rPr>
          <w:rFonts w:ascii="IRNazanin" w:hAnsi="IRNazanin" w:eastAsia="IRNazanin" w:cs="IRNazanin"/>
          <w:lang w:bidi="fa-IR"/>
          <w:color w:val="111111"/>
          <w:sz w:val="28"/>
          <w:szCs w:val="28"/>
          <w:rtl/>
        </w:rPr>
        <w:t xml:space="preserve">خط: نستعلیق تحریری، کا: مجید درویش، بی تا؛ افتادگی: آغاز و انجام؛ اهدایی: دکتر علی اکبر مسنن؛ کاغذ:اصفهانی آهار مهـره، جلد: مقوایی روکش کاغذ ابری عطف تیماج قرمز، ۳۳گ، 11سطر (6/5</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،اندازه: ۱۱</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۱۷سم [ف: ۵ - ۱۸۴۸]</w:t>
      </w:r>
    </w:p>
    <w:p>
      <w:pPr>
        <w:pStyle w:val="BookText"/>
      </w:pPr>
      <w:r>
        <w:rPr>
          <w:rFonts w:ascii="IRNazanin" w:hAnsi="IRNazanin" w:eastAsia="IRNazanin" w:cs="IRNazanin"/>
          <w:lang w:bidi="fa-IR"/>
          <w:color w:val="111111"/>
          <w:sz w:val="28"/>
          <w:szCs w:val="28"/>
          <w:rtl/>
        </w:rPr>
        <w:t xml:space="preserve">۲۴۶۲. یزد؛ وزیری؛ شماره نسخه: ۲۵۶۷</w:t>
      </w:r>
    </w:p>
    <w:p>
      <w:pPr>
        <w:pStyle w:val="BookText"/>
      </w:pPr>
      <w:r>
        <w:rPr>
          <w:rFonts w:ascii="IRNazanin" w:hAnsi="IRNazanin" w:eastAsia="IRNazanin" w:cs="IRNazanin"/>
          <w:lang w:bidi="fa-IR"/>
          <w:color w:val="111111"/>
          <w:sz w:val="28"/>
          <w:szCs w:val="28"/>
          <w:rtl/>
        </w:rPr>
        <w:t xml:space="preserve">آغاز: ز چشمت چشم آن دارم که از چشمم نیندازد؛ انجام: یا معشر الاحبة حيوا على الفلاح.</w:t>
      </w:r>
    </w:p>
    <w:p>
      <w:pPr>
        <w:pStyle w:val="BookText"/>
      </w:pPr>
      <w:r>
        <w:rPr>
          <w:rFonts w:ascii="IRNazanin" w:hAnsi="IRNazanin" w:eastAsia="IRNazanin" w:cs="IRNazanin"/>
          <w:lang w:bidi="fa-IR"/>
          <w:color w:val="111111"/>
          <w:sz w:val="28"/>
          <w:szCs w:val="28"/>
          <w:rtl/>
        </w:rPr>
        <w:t xml:space="preserve">از محتشم، حافظ و دیگران از مشاهیر؛ خط: نستعلیق تحریری چلیپایی، بی کا، بی تا؛ افتادگی: آغاز و انجام؛ اهدایی: وزیری موسس؛ کاغذ: نوعی ترمه ،جلد: تیماج عنابی ضربی دارای یک ترنج بزرگ و دو کوچک، ۳۰گ، مختلف السطر، اندازه: 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۴ - ۱۳۴۵]</w:t>
      </w:r>
    </w:p>
    <w:p>
      <w:pPr>
        <w:pStyle w:val="BookText"/>
      </w:pPr>
      <w:r>
        <w:rPr>
          <w:rFonts w:ascii="IRNazanin" w:hAnsi="IRNazanin" w:eastAsia="IRNazanin" w:cs="IRNazanin"/>
          <w:lang w:bidi="fa-IR"/>
          <w:color w:val="111111"/>
          <w:sz w:val="28"/>
          <w:szCs w:val="28"/>
          <w:rtl/>
        </w:rPr>
        <w:t xml:space="preserve">۲۴۶۳. یزد؛ وزیری؛ شماره نسخه: ۲۶۵۸</w:t>
      </w:r>
    </w:p>
    <w:p>
      <w:pPr>
        <w:pStyle w:val="BookText"/>
      </w:pPr>
      <w:r>
        <w:rPr>
          <w:rFonts w:ascii="IRNazanin" w:hAnsi="IRNazanin" w:eastAsia="IRNazanin" w:cs="IRNazanin"/>
          <w:lang w:bidi="fa-IR"/>
          <w:color w:val="111111"/>
          <w:sz w:val="28"/>
          <w:szCs w:val="28"/>
          <w:rtl/>
        </w:rPr>
        <w:t xml:space="preserve">آغاز: و گر نه کشم ذو الفقار از نیام؛ انجام: شهزاده مرکب را از یمین و یسار جولان میداد.</w:t>
      </w:r>
    </w:p>
    <w:p>
      <w:pPr>
        <w:pStyle w:val="BookText"/>
      </w:pPr>
      <w:r>
        <w:rPr>
          <w:rFonts w:ascii="IRNazanin" w:hAnsi="IRNazanin" w:eastAsia="IRNazanin" w:cs="IRNazanin"/>
          <w:lang w:bidi="fa-IR"/>
          <w:color w:val="111111"/>
          <w:sz w:val="28"/>
          <w:szCs w:val="28"/>
          <w:rtl/>
        </w:rPr>
        <w:t xml:space="preserve">اشعاری از آتشی و فارغ و دیگران، در حاشیه برگ ۸۳ هفده بیت از فرخ بندر آبادی یزدی، آغاز آن: «که گمان داشت که غم یار پیمبر باشد *** فرق پر خون بجهان همدم حیدر باشد، و انجام آن: که گمان داشت که چون بلبل شیدا فرخ *** نوحه خوان بهر حسین بر سر منبر باشد»؛ خط: نستعلیق تحریری، بی کا، بی تا؛ افتادگی: آغاز و انجام؛ کاغذ: فرنگی، جلد: مقوایی روکش کاغذ مشکی عطف تیماج  قرمز، ۲۲۱گ، مختلف السطر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w:t>
      </w:r>
    </w:p>
    <w:p>
      <w:pPr>
        <w:pStyle w:val="BookText"/>
      </w:pPr>
      <w:r>
        <w:rPr>
          <w:rFonts w:ascii="IRNazanin" w:hAnsi="IRNazanin" w:eastAsia="IRNazanin" w:cs="IRNazanin"/>
          <w:lang w:bidi="fa-IR"/>
          <w:color w:val="111111"/>
          <w:sz w:val="28"/>
          <w:szCs w:val="28"/>
          <w:rtl/>
        </w:rPr>
        <w:t xml:space="preserve">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۲۲/۵سم [ف: ۴ - ۱۳۸۰]</w:t>
      </w:r>
    </w:p>
    <w:p>
      <w:pPr>
        <w:pStyle w:val="BookText"/>
      </w:pPr>
      <w:r>
        <w:rPr>
          <w:rFonts w:ascii="IRNazanin" w:hAnsi="IRNazanin" w:eastAsia="IRNazanin" w:cs="IRNazanin"/>
          <w:lang w:bidi="fa-IR"/>
          <w:color w:val="111111"/>
          <w:sz w:val="28"/>
          <w:szCs w:val="28"/>
          <w:rtl/>
        </w:rPr>
        <w:t xml:space="preserve">۲۴۶۴. تهران؛ چهل ستون؛ شماره نسخه: ۲۱۷</w:t>
      </w:r>
    </w:p>
    <w:p>
      <w:pPr>
        <w:pStyle w:val="BookText"/>
      </w:pPr>
      <w:r>
        <w:rPr>
          <w:rFonts w:ascii="IRNazanin" w:hAnsi="IRNazanin" w:eastAsia="IRNazanin" w:cs="IRNazanin"/>
          <w:lang w:bidi="fa-IR"/>
          <w:color w:val="111111"/>
          <w:sz w:val="28"/>
          <w:szCs w:val="28"/>
          <w:rtl/>
        </w:rPr>
        <w:t xml:space="preserve">شامل اشعاری از: مشتاق ،جامی ،وحشی، شوکت، راهب، محتشم و دیگران؛ در برخی از برگ های آن تاریخ ۱۲۵۴ دیده می شود؛</w:t>
      </w:r>
    </w:p>
    <w:p>
      <w:pPr>
        <w:pStyle w:val="BookText"/>
      </w:pPr>
      <w:r>
        <w:rPr>
          <w:rFonts w:ascii="IRNazanin" w:hAnsi="IRNazanin" w:eastAsia="IRNazanin" w:cs="IRNazanin"/>
          <w:lang w:bidi="fa-IR"/>
          <w:color w:val="111111"/>
          <w:sz w:val="28"/>
          <w:szCs w:val="28"/>
          <w:rtl/>
        </w:rPr>
        <w:t xml:space="preserve">بی کا، بی تا؛ قطع: بیاضی [چند نسخه- ف: - ۳۵۲]</w:t>
      </w:r>
    </w:p>
    <w:p>
      <w:pPr>
        <w:pStyle w:val="BookText"/>
      </w:pPr>
      <w:r>
        <w:rPr>
          <w:rFonts w:ascii="IRNazanin" w:hAnsi="IRNazanin" w:eastAsia="IRNazanin" w:cs="IRNazanin"/>
          <w:lang w:bidi="fa-IR"/>
          <w:color w:val="111111"/>
          <w:sz w:val="28"/>
          <w:szCs w:val="28"/>
          <w:rtl/>
        </w:rPr>
        <w:t xml:space="preserve">۲۴۶۵. تهران؛ دانشگاه؛ شماره نسخه: ۸۱۲۶</w:t>
      </w:r>
    </w:p>
    <w:p>
      <w:pPr>
        <w:pStyle w:val="BookText"/>
      </w:pPr>
      <w:r>
        <w:rPr>
          <w:rFonts w:ascii="IRNazanin" w:hAnsi="IRNazanin" w:eastAsia="IRNazanin" w:cs="IRNazanin"/>
          <w:lang w:bidi="fa-IR"/>
          <w:color w:val="111111"/>
          <w:sz w:val="28"/>
          <w:szCs w:val="28"/>
          <w:rtl/>
        </w:rPr>
        <w:t xml:space="preserve">گزیده ای است از شعرهای: میرزا صائب، ظهوری ،ذهنی ،خسرو ناصر ،عینی ،اسیر ،جامی ،فانی ،میرالهی، غنی، تجلی، (معراج الخيال) ،سعدی جامی (ترجیع) با نثر فارسی در ۴ ص، نثر ظهوری، رباعیات خیام، بحر طويل،رباعيات: نجم الدین کبری ،وحشی ،سعید سحابی شعرهای ،چلبی، رباعی بسحق اطعمه، شعرهای طالب: آملی ،سحابی، ابوسعید ابی الخير، سيد على همدانی ،جعفر، محمد قلی منشی انگوری که برای میر کمال الدین فرستاده بود و وی رسید آن را نوشته بود و ابیاتی است با قافیه راء به ،فارسی ،مولوی، کمال الدین کشمیری (ریخته) شاهی (پس از این چهارستونی است)، زیب النساء بیگم، وحشی، ناصر على، صائب، جویا، بیدل ،طالبا ،زکیا ،غنی خیالی بخاری (از این جا رباعی است و یک بیت) ... تفرشی، داعی، ضمیری، محمد قاسم رازی اصفهانی، ملا محمد زمان لاهیجی، زمانای خاصه تراش، میرزا محمد زمان سیستانی زینتی علوی در ستایش سلطان علوی، زین العابدین استرآبادی، سید حسن زینتی، ملاخضری قزوینی، ملا حیدر خصالی خراسانی، خصالی کاشانی،... ،خوانساری سید محمد خیر، خرمی، خواجه ... خراسانی، خلیل تیرگر خلخالی، میرزا خصمی، خضری ،لاری، خواجه کلان، خان میرزای رضوی، میرزا محمد یوسف  خلقی، خوفی همدانی، میرزا شریف خازن، امیر خلیل رشدی، خلیل بیک گیلانی، تجلی
</w:t>
      </w:r>
    </w:p>
    <w:p>
      <w:pPr>
        <w:sectPr>
          <w:footerReference w:type="default" r:id="rId9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لاهیجی خاوری، زین الدین مسعود، کلب حسین راغب اصفهانی، شیخ امانتی، رضائی جرفادقانی، رسمی، رونقی نیشابوری، ملاداعی شیرازی، خواجه سیف الدین محمود جامی، رشـکی همدانی، میرزا حسین محتسب  تبریزی، رشیدی سمرقندی ، سید رکن الدین  صاین، راهب  اصفهانی، رکن الدین رازی، ملا داعی انجدانی، امیر رای اسفراینی، آقا راضی اصفهانی، میرزا رحیم تبریزی... مشهدی، رونقی همدانی، رونقی بافقی، گنـگ عراقی، محمد رضای لاهیجی، شاه رضای نوربخش، روحی همدانی، میر محمد رضا، ملا رضای جولاه اصفهانی، آقا رضـی ،(؟) میرزا رفیع، رحیمی تبریزی، میر رفیع الدین، وهمى تبریزی، گرگین بیک رزمی؛ خط: نستعلیق چلیپا، بی کا، بی تا؛ افتادگی: آغاز و انجام؛ در دو ستون، سه  نوع ریز سه تكه، مجدول زر و لاجورد؛ کاغذ: هندی، ۹۴گ، ۱۲ سطر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قطع: ربعـی،اندازه: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۲۲/۵سم [ف: ۱۷ – ۳۷]</w:t>
      </w:r>
    </w:p>
    <w:p>
      <w:pPr>
        <w:pStyle w:val="BookText"/>
      </w:pPr>
      <w:r>
        <w:rPr>
          <w:rFonts w:ascii="IRNazanin" w:hAnsi="IRNazanin" w:eastAsia="IRNazanin" w:cs="IRNazanin"/>
          <w:lang w:bidi="fa-IR"/>
          <w:color w:val="111111"/>
          <w:sz w:val="28"/>
          <w:szCs w:val="28"/>
          <w:rtl/>
        </w:rPr>
        <w:t xml:space="preserve">۲۴۶۶. تهران؛ دانشگاه؛ شماره نسخه: ۷۵۹۳</w:t>
      </w:r>
    </w:p>
    <w:p>
      <w:pPr>
        <w:pStyle w:val="BookText"/>
      </w:pPr>
      <w:r>
        <w:rPr>
          <w:rFonts w:ascii="IRNazanin" w:hAnsi="IRNazanin" w:eastAsia="IRNazanin" w:cs="IRNazanin"/>
          <w:lang w:bidi="fa-IR"/>
          <w:color w:val="111111"/>
          <w:sz w:val="28"/>
          <w:szCs w:val="28"/>
          <w:rtl/>
        </w:rPr>
        <w:t xml:space="preserve">شامل شعر تشنه طهرانی (ص ۲۱)، مخمس محقق خوانساری (26و ۴۹) دوازده امام (۳۹)؛ رقعه ای که کسی به مطلوب خود نوشته و او هم مراد کرده (۴۵) به نثر و نظم فارسی، دو صفحه از یـک مثنوی که عنوان «صفت معراج حضرت رسالت پناه صلعم»آن دیده می شود و پس از این عنوان نخستین بیت این است: شـبی همچون سواد چشم پاکان نهفته روز خشم خوابناکان، شعرهـای سعدی، عطار ،نظیری ،محتشم، میرزا صادق، صادقای گاو، شـیخ بهائی، یغما ،هما ،کلیم ،صائب ابوسعید ابوالخیر؛ منیر، بابا طاهر، میرزا صادق ،خیام ،مسرور ،آذر ،قصاب، مجد همگر و غهسـتی (در سراسر جنگ)؛ خط: نستعلیق ،چلیپا ،کا: حبیب الله طالـش شاندر منی کسکری، بی تا؛ در متن و هامش، مجدول زر لاجورد، حاشیه سازی شده با گل و بوته، کاغذ زرافشان، با تاریخ شب یکشنبه ۷ شوال (۲۲) و ۱۲۹۳ با رقم همان طالشی شاندرمنی (۳۶، ۳۸) ؛کاغذ: فرنگی ،جلد: تیماج آلبالویی مقوایی، ۲۷گ، ۱۱ سطر (7</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قطع: ربعی،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 ۱۶ - 645]</w:t>
      </w:r>
    </w:p>
    <w:p>
      <w:pPr>
        <w:pStyle w:val="BookText"/>
      </w:pPr>
      <w:r>
        <w:rPr>
          <w:rFonts w:ascii="Times New Roman" w:hAnsi="Times New Roman" w:eastAsia="Times New Roman" w:cs="Times New Roman"/>
          <w:lang w:val="en-US" w:bidi="en-US"/>
          <w:color w:val="111111"/>
          <w:sz w:val="28"/>
          <w:szCs w:val="28"/>
          <w:rtl/>
        </w:rPr>
        <w:t xml:space="preserve">2467.</w:t>
      </w:r>
    </w:p>
    <w:p>
      <w:pPr>
        <w:pStyle w:val="BookText"/>
      </w:pPr>
      <w:r>
        <w:rPr>
          <w:rFonts w:ascii="IRNazanin" w:hAnsi="IRNazanin" w:eastAsia="IRNazanin" w:cs="IRNazanin"/>
          <w:lang w:bidi="fa-IR"/>
          <w:color w:val="111111"/>
          <w:sz w:val="28"/>
          <w:szCs w:val="28"/>
          <w:rtl/>
        </w:rPr>
        <w:t xml:space="preserve">تهران؛ مفتاح؛ شماره نسخه: ۱۰۸۴</w:t>
      </w:r>
    </w:p>
    <w:p>
      <w:pPr>
        <w:pStyle w:val="BookText"/>
      </w:pPr>
      <w:r>
        <w:rPr>
          <w:rFonts w:ascii="IRNazanin" w:hAnsi="IRNazanin" w:eastAsia="IRNazanin" w:cs="IRNazanin"/>
          <w:lang w:bidi="fa-IR"/>
          <w:color w:val="111111"/>
          <w:sz w:val="28"/>
          <w:szCs w:val="28"/>
          <w:rtl/>
        </w:rPr>
        <w:t xml:space="preserve">شعرهای فارسی و غزلیات با تخلص «ظفر» ؛خط: شکسته نستعـلیق چلیپا،  بی کا،بی تا؛ مجدول زر و لاجورد ؛کاغذ: متن و حاشیه ، جلد: تیماج زرکوب لایی، قطع: بغلی [نشریه: ۷ - ۱۳۷]</w:t>
      </w:r>
    </w:p>
    <w:p>
      <w:pPr>
        <w:pStyle w:val="BookText"/>
      </w:pPr>
      <w:r>
        <w:rPr>
          <w:rFonts w:ascii="IRNazanin" w:hAnsi="IRNazanin" w:eastAsia="IRNazanin" w:cs="IRNazanin"/>
          <w:lang w:bidi="fa-IR"/>
          <w:color w:val="111111"/>
          <w:sz w:val="28"/>
          <w:szCs w:val="28"/>
          <w:rtl/>
        </w:rPr>
        <w:t xml:space="preserve">۲۴۶۸. تهران؛ مفتاح؛ شماره نسخه: ۱۰۹۶</w:t>
      </w:r>
    </w:p>
    <w:p>
      <w:pPr>
        <w:pStyle w:val="BookText"/>
      </w:pPr>
      <w:r>
        <w:rPr>
          <w:rFonts w:ascii="IRNazanin" w:hAnsi="IRNazanin" w:eastAsia="IRNazanin" w:cs="IRNazanin"/>
          <w:lang w:bidi="fa-IR"/>
          <w:color w:val="111111"/>
          <w:sz w:val="28"/>
          <w:szCs w:val="28"/>
          <w:rtl/>
        </w:rPr>
        <w:t xml:space="preserve">شعرهای فارسی سعدی از قصیده و غزل و از عاشق ؛خط: نستعـلیق خوش، بی کا، بی تا؛ کاغذ: رنگارنگ، قطع: ربعی [ نشریه ۷ - 137]</w:t>
      </w:r>
    </w:p>
    <w:p>
      <w:pPr>
        <w:pStyle w:val="BookText"/>
      </w:pPr>
      <w:r>
        <w:rPr>
          <w:rFonts w:ascii="IRNazanin" w:hAnsi="IRNazanin" w:eastAsia="IRNazanin" w:cs="IRNazanin"/>
          <w:lang w:bidi="fa-IR"/>
          <w:color w:val="111111"/>
          <w:sz w:val="28"/>
          <w:szCs w:val="28"/>
          <w:rtl/>
        </w:rPr>
        <w:t xml:space="preserve">۲۴۶۹. مشهد؛ اصغر زاده سید علی اصغر؛ شماره نسخه: ۱۱</w:t>
      </w:r>
    </w:p>
    <w:p>
      <w:pPr>
        <w:pStyle w:val="BookText"/>
      </w:pPr>
      <w:r>
        <w:rPr>
          <w:rFonts w:ascii="IRNazanin" w:hAnsi="IRNazanin" w:eastAsia="IRNazanin" w:cs="IRNazanin"/>
          <w:lang w:bidi="fa-IR"/>
          <w:color w:val="111111"/>
          <w:sz w:val="28"/>
          <w:szCs w:val="28"/>
          <w:rtl/>
        </w:rPr>
        <w:t xml:space="preserve">آغاز: بنشینم و صبر پیش گیرم *** دنباله کار خویش گیرم / که بلب رسید جانم*** آوخ که زدست شد عنانم / کس چنین ضعیف هرگز *** کز هستی خویش در کمال؛ انجام:چو مژگان نماید قصد جانها *** خرابی ره کند در خانمانها</w:t>
      </w:r>
    </w:p>
    <w:p>
      <w:pPr>
        <w:pStyle w:val="BookText"/>
      </w:pPr>
      <w:r>
        <w:rPr>
          <w:rFonts w:ascii="IRNazanin" w:hAnsi="IRNazanin" w:eastAsia="IRNazanin" w:cs="IRNazanin"/>
          <w:lang w:bidi="fa-IR"/>
          <w:color w:val="111111"/>
          <w:sz w:val="28"/>
          <w:szCs w:val="28"/>
          <w:rtl/>
        </w:rPr>
        <w:t xml:space="preserve">تذکره یا جنگی است که گویا در قرن ۱۲ گردآوری و نوشته شده است از شعرهای حافظ و سعدی و انوری با قطعات و غزلیات، نیز شعرهای: عاشق اصفهانی ،مشتاق، خان احمد خان گیلانی، رضی الدین ،قدسی، مشتاق کرمانی، هجری طبرسی یا طوسی، فرهی طهرانی، مظفر حسین کاشی، امیری طهرانی، رفیق اصفهانی ،صاحب، ولی دشت بیاضی ،عذری، اهلی ختایی، شاه علاء الدین ،هاتفی، محتشم، وحشی؛ بی کا، بی تا؛ افتادگی: آغاز و</w:t>
      </w:r>
    </w:p>
    <w:p>
      <w:pPr>
        <w:pStyle w:val="BookText"/>
      </w:pPr>
      <w:r>
        <w:rPr>
          <w:rFonts w:ascii="IRNazanin" w:hAnsi="IRNazanin" w:eastAsia="IRNazanin" w:cs="IRNazanin"/>
          <w:lang w:bidi="fa-IR"/>
          <w:color w:val="111111"/>
          <w:sz w:val="28"/>
          <w:szCs w:val="28"/>
          <w:rtl/>
        </w:rPr>
        <w:t xml:space="preserve">انجام؛ کاغذ: آبی [ نشریه: ۵ - ۶۱۵]</w:t>
      </w:r>
    </w:p>
    <w:p>
      <w:pPr>
        <w:pStyle w:val="BookText"/>
      </w:pPr>
      <w:r>
        <w:rPr>
          <w:rFonts w:ascii="IRNazanin" w:hAnsi="IRNazanin" w:eastAsia="IRNazanin" w:cs="IRNazanin"/>
          <w:lang w:bidi="fa-IR"/>
          <w:color w:val="111111"/>
          <w:sz w:val="28"/>
          <w:szCs w:val="28"/>
          <w:rtl/>
        </w:rPr>
        <w:t xml:space="preserve">۲۴۷۰. تهران؛ فیاض؛ شماره نسخه: ۴۶</w:t>
      </w:r>
    </w:p>
    <w:p>
      <w:pPr>
        <w:pStyle w:val="BookText"/>
      </w:pPr>
      <w:r>
        <w:rPr>
          <w:rFonts w:ascii="IRNazanin" w:hAnsi="IRNazanin" w:eastAsia="IRNazanin" w:cs="IRNazanin"/>
          <w:lang w:bidi="fa-IR"/>
          <w:color w:val="111111"/>
          <w:sz w:val="28"/>
          <w:szCs w:val="28"/>
          <w:rtl/>
        </w:rPr>
        <w:t xml:space="preserve">حاوی اشعار درویشیو صوفیانه عامیانه؛ بی کا، بی تا [ نشریه: ۷ - ۶۹۶]</w:t>
      </w:r>
    </w:p>
    <w:p>
      <w:pPr>
        <w:pStyle w:val="BookText"/>
      </w:pPr>
      <w:r>
        <w:rPr>
          <w:rFonts w:ascii="IRNazanin" w:hAnsi="IRNazanin" w:eastAsia="IRNazanin" w:cs="IRNazanin"/>
          <w:lang w:bidi="fa-IR"/>
          <w:color w:val="111111"/>
          <w:sz w:val="28"/>
          <w:szCs w:val="28"/>
          <w:rtl/>
        </w:rPr>
        <w:t xml:space="preserve">۲۴۷۱. کاشان؛ مدرسه سلطانی؛ شماره نسخه: ۱۴۲</w:t>
      </w:r>
    </w:p>
    <w:p>
      <w:pPr>
        <w:pStyle w:val="BookText"/>
      </w:pPr>
      <w:r>
        <w:rPr>
          <w:rFonts w:ascii="IRNazanin" w:hAnsi="IRNazanin" w:eastAsia="IRNazanin" w:cs="IRNazanin"/>
          <w:lang w:bidi="fa-IR"/>
          <w:color w:val="111111"/>
          <w:sz w:val="28"/>
          <w:szCs w:val="28"/>
          <w:rtl/>
        </w:rPr>
        <w:t xml:space="preserve">آغاز: کسی از روی چنین منع چون کند مارا ***خدا برای چه داد است روی زیبا را / نشان از عالم آوارگی نبود هنوز *** که ساخت عشق تو آواره جهان ما را؛ انجام: تا توانی نیک نیک اندیش باش *** مرهم جان دل درویش باش / شمس تبریزی از آن دارد نشان *** او بود سرخیل جمله مردمان</w:t>
      </w:r>
    </w:p>
    <w:p>
      <w:pPr>
        <w:pStyle w:val="BookText"/>
      </w:pPr>
      <w:r>
        <w:rPr>
          <w:rFonts w:ascii="IRNazanin" w:hAnsi="IRNazanin" w:eastAsia="IRNazanin" w:cs="IRNazanin"/>
          <w:lang w:bidi="fa-IR"/>
          <w:color w:val="111111"/>
          <w:sz w:val="28"/>
          <w:szCs w:val="28"/>
          <w:rtl/>
        </w:rPr>
        <w:t xml:space="preserve">مجموعه ای از غزل هایی آبدار و نغز از شاعران مختلف همچون محتشم ،فغانی، خسرو ،آصفی جامی و رباعیات گوناگون که در یک دفتر جمع آوری شده است؛ خط: نستعلیق، بی کا، بی تا؛ جلد: تیماج مشکی مجدول ضربی، ۶۰گ، ۱۳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w:t>
      </w:r>
    </w:p>
    <w:p>
      <w:pPr>
        <w:pStyle w:val="BookText"/>
      </w:pPr>
      <w:r>
        <w:rPr>
          <w:rFonts w:ascii="IRNazanin" w:hAnsi="IRNazanin" w:eastAsia="IRNazanin" w:cs="IRNazanin"/>
          <w:lang w:bidi="fa-IR"/>
          <w:color w:val="111111"/>
          <w:sz w:val="28"/>
          <w:szCs w:val="28"/>
          <w:rtl/>
        </w:rPr>
        <w:t xml:space="preserve">۲۴۷۲. کاشان؛ مدرسه سلطانی؛ شماره نسخه: ۳۳۷</w:t>
      </w:r>
    </w:p>
    <w:p>
      <w:pPr>
        <w:pStyle w:val="BookText"/>
      </w:pPr>
      <w:r>
        <w:rPr>
          <w:rFonts w:ascii="IRNazanin" w:hAnsi="IRNazanin" w:eastAsia="IRNazanin" w:cs="IRNazanin"/>
          <w:lang w:bidi="fa-IR"/>
          <w:color w:val="111111"/>
          <w:sz w:val="28"/>
          <w:szCs w:val="28"/>
          <w:rtl/>
        </w:rPr>
        <w:t xml:space="preserve">آغاز: بنام خداوند خورشید و ماه *** که دل را بنامش خرد داد راه /خداوند کیهان و گردون سپهر *** فروزنده ماه و ناهید و مهر؛</w:t>
      </w:r>
    </w:p>
    <w:p>
      <w:pPr>
        <w:pStyle w:val="BookText"/>
      </w:pPr>
      <w:r>
        <w:rPr>
          <w:rFonts w:ascii="IRNazanin" w:hAnsi="IRNazanin" w:eastAsia="IRNazanin" w:cs="IRNazanin"/>
          <w:lang w:bidi="fa-IR"/>
          <w:color w:val="111111"/>
          <w:sz w:val="28"/>
          <w:szCs w:val="28"/>
          <w:rtl/>
        </w:rPr>
        <w:t xml:space="preserve">انجام: رودکی: نخستین شاعر بزرگی که بعد از غلبه عرب بر عجم به فارسی شعر سروده ... و در خدمت امیر سامانی سمت منادمت داشته است و دیوانش مکرر به طبع رسیده است</w:t>
      </w:r>
    </w:p>
    <w:p>
      <w:pPr>
        <w:pStyle w:val="BookText"/>
      </w:pPr>
      <w:r>
        <w:rPr>
          <w:rFonts w:ascii="IRNazanin" w:hAnsi="IRNazanin" w:eastAsia="IRNazanin" w:cs="IRNazanin"/>
          <w:lang w:bidi="fa-IR"/>
          <w:color w:val="111111"/>
          <w:sz w:val="28"/>
          <w:szCs w:val="28"/>
          <w:rtl/>
        </w:rPr>
        <w:t xml:space="preserve">مجموعه مختصری از اشعار ادبی به همراه زندگی برخی شاعران معروف و آثار منظوم آنها که در یک دفتر جمع آوری شده؛ خط: نستعلیق، بی کا، بی تا ؛جلد: مقوای سفید عطف پارچه ،۲۳گ، ۲۲ سطر،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w:t>
      </w:r>
    </w:p>
    <w:p>
      <w:pPr>
        <w:pStyle w:val="BookText"/>
      </w:pPr>
      <w:r>
        <w:rPr>
          <w:rFonts w:ascii="IRNazanin" w:hAnsi="IRNazanin" w:eastAsia="IRNazanin" w:cs="IRNazanin"/>
          <w:lang w:bidi="fa-IR"/>
          <w:color w:val="111111"/>
          <w:sz w:val="28"/>
          <w:szCs w:val="28"/>
          <w:rtl/>
        </w:rPr>
        <w:t xml:space="preserve">۲۴۷۳. تهران؛ مینوی؛ شماره نسخه: ۳۰ بخش ۲</w:t>
      </w:r>
    </w:p>
    <w:p>
      <w:pPr>
        <w:pStyle w:val="BookText"/>
      </w:pPr>
      <w:r>
        <w:rPr>
          <w:rFonts w:ascii="IRNazanin" w:hAnsi="IRNazanin" w:eastAsia="IRNazanin" w:cs="IRNazanin"/>
          <w:lang w:bidi="fa-IR"/>
          <w:color w:val="111111"/>
          <w:sz w:val="28"/>
          <w:szCs w:val="28"/>
          <w:rtl/>
        </w:rPr>
        <w:t xml:space="preserve">اشعار که غزلیات خواجه حافظ هم در آن هست؛ بی کا، بی تا[ف: 68]</w:t>
      </w:r>
    </w:p>
    <w:p>
      <w:pPr>
        <w:pStyle w:val="BookText"/>
      </w:pPr>
      <w:r>
        <w:rPr>
          <w:rFonts w:ascii="IRNazanin" w:hAnsi="IRNazanin" w:eastAsia="IRNazanin" w:cs="IRNazanin"/>
          <w:lang w:bidi="fa-IR"/>
          <w:color w:val="111111"/>
          <w:sz w:val="28"/>
          <w:szCs w:val="28"/>
          <w:rtl/>
        </w:rPr>
        <w:t xml:space="preserve">۲۴۷۴. تهران؛ مجلس؛ شماره نسخه: ۱۴۰۶۵</w:t>
      </w:r>
    </w:p>
    <w:p>
      <w:pPr>
        <w:pStyle w:val="BookText"/>
      </w:pPr>
      <w:r>
        <w:rPr>
          <w:rFonts w:ascii="IRNazanin" w:hAnsi="IRNazanin" w:eastAsia="IRNazanin" w:cs="IRNazanin"/>
          <w:lang w:bidi="fa-IR"/>
          <w:color w:val="111111"/>
          <w:sz w:val="28"/>
          <w:szCs w:val="28"/>
          <w:rtl/>
        </w:rPr>
        <w:t xml:space="preserve">آغاز: چراغ راه هدایت نمود باقر را*** تمام علم نبی را به او فراوان داد/ پی امامت و بهر رواج ملت و دین *** به جعفر بن محمد طریق احسان داد؛ انجام: بپای خویشتن آیند عاشقان به کمندت *** که هر که را تو بگیری ز خویشتن برهانی / مرا مپرس که چونی به هر صفت که تو دانی *** مرا مگوی چه نامی به هر لقب که تو خوانی</w:t>
      </w:r>
    </w:p>
    <w:p>
      <w:pPr>
        <w:pStyle w:val="BookText"/>
      </w:pPr>
      <w:r>
        <w:rPr>
          <w:rFonts w:ascii="IRNazanin" w:hAnsi="IRNazanin" w:eastAsia="IRNazanin" w:cs="IRNazanin"/>
          <w:lang w:bidi="fa-IR"/>
          <w:color w:val="111111"/>
          <w:sz w:val="28"/>
          <w:szCs w:val="28"/>
          <w:rtl/>
        </w:rPr>
        <w:t xml:space="preserve">شامل مخمسات از شعرای مختلف چون: حاجی، شفایی، فانی ،فغانی، صائب ،حافظ، حسینی ،عصمت، عرفی، قلندر، شیخ، قابل،،سعدی ،محتشم، هلالی و چند شاعر دیگر؛ خط: شکسته نستعلیق
</w:t>
      </w:r>
    </w:p>
    <w:p>
      <w:pPr>
        <w:sectPr>
          <w:footerReference w:type="default" r:id="rId9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ساده، بی كا، بی تا؛ چلیپایی (دو ستونی)، مجدول زرین؛ درآغاز نسخه تملکی با تاریخ ۱۲۵۴؛ جلد: گالینگور ،مشکی، ۱۰۶گ، 10- 5 سطر،</w:t>
      </w:r>
    </w:p>
    <w:p>
      <w:pPr>
        <w:pStyle w:val="BookText"/>
      </w:pPr>
      <w:r>
        <w:rPr>
          <w:rFonts w:ascii="IRNazanin" w:hAnsi="IRNazanin" w:eastAsia="IRNazanin" w:cs="IRNazanin"/>
          <w:lang w:bidi="fa-IR"/>
          <w:color w:val="111111"/>
          <w:sz w:val="28"/>
          <w:szCs w:val="28"/>
          <w:rtl/>
        </w:rPr>
        <w:t xml:space="preserve">اندازه: 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۳۸ -  89]</w:t>
      </w:r>
    </w:p>
    <w:p>
      <w:pPr>
        <w:pStyle w:val="BookText"/>
      </w:pPr>
      <w:r>
        <w:rPr>
          <w:rFonts w:ascii="IRNazanin" w:hAnsi="IRNazanin" w:eastAsia="IRNazanin" w:cs="IRNazanin"/>
          <w:lang w:bidi="fa-IR"/>
          <w:color w:val="111111"/>
          <w:sz w:val="28"/>
          <w:szCs w:val="28"/>
          <w:rtl/>
        </w:rPr>
        <w:t xml:space="preserve">۲۴۷۵. تهران؛ مجلس؛ شماره نسخه: ۱۴۰۷۷</w:t>
      </w:r>
    </w:p>
    <w:p>
      <w:pPr>
        <w:pStyle w:val="BookText"/>
      </w:pPr>
      <w:r>
        <w:rPr>
          <w:rFonts w:ascii="IRNazanin" w:hAnsi="IRNazanin" w:eastAsia="IRNazanin" w:cs="IRNazanin"/>
          <w:lang w:bidi="fa-IR"/>
          <w:color w:val="111111"/>
          <w:sz w:val="28"/>
          <w:szCs w:val="28"/>
          <w:rtl/>
        </w:rPr>
        <w:t xml:space="preserve">آغاز: روز پنجم گفت می خواهم اجازه یابنی*** تا روم سوی قبیله چون منم شان پیشوا / دارم از مردان نامی در قبایل صدهـزار *** لیک بیگانه ز اسلامند و با کفر آشنا؛ انجام: خواجه از بهر رضای حق به ضرب ذوالفقار *** داد دین و ملت اسلام را احیا علی / هست از روی حقیقت کور بخت هر دو کون *** هر که را نیست نور دیده بینا علی</w:t>
      </w:r>
    </w:p>
    <w:p>
      <w:pPr>
        <w:pStyle w:val="BookText"/>
      </w:pPr>
      <w:r>
        <w:rPr>
          <w:rFonts w:ascii="IRNazanin" w:hAnsi="IRNazanin" w:eastAsia="IRNazanin" w:cs="IRNazanin"/>
          <w:lang w:bidi="fa-IR"/>
          <w:color w:val="111111"/>
          <w:sz w:val="28"/>
          <w:szCs w:val="28"/>
          <w:rtl/>
        </w:rPr>
        <w:t xml:space="preserve">جنگ اشعاری است شامل مدایحی از شاعران گوناگون که مدح اهل بیت (علیهم السّلام) سروده اند. اسامی شاعران و موضوعات قصـاید عبارتند از: قصیده سنایی در معجزات حضرت پیامبر (صلّی اللَّهِ علیه وَ آلِهِ وَ سَلَّمَ ) قصیده شهر بربر از عبدالعلی، قصیده در منقبت حضرت امیر(علیه السّلام) از ابن حسام، بحر طویل در مدح ائمه (علیهم السّلام)، هفت بند کاشی که برابر هفت گنج سروده است ولایت نامه جابر و سر گاو بریده از محمد على؛ ولایت نامه امام الجن و الانس از شوریده مداح، سخن گفتن آفتاب با حضرت امیر (علیه السّلام) از سلیمی، از روایات راوی اخبار، تخمیس قصیده مظهر العجائب، قصيده قصاب، وصف پنج تن از محمد بن حسام قهستانی، مناجات اهلی، داستان در آتش رفتن جابر، معجزه پیغمبر از علی حجازی، قصیده محلب وحجاج؛ خط: نستعلیق، بی کا، بی تا؛ جلد: تیماج مشکی ضربی با ترنج با سر، مجدول گرهی، ۵۵گ، ۱۵ سطر،اندازه: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w:t>
      </w:r>
    </w:p>
    <w:p>
      <w:pPr>
        <w:pStyle w:val="BookText"/>
      </w:pPr>
      <w:r>
        <w:rPr>
          <w:rFonts w:ascii="IRNazanin" w:hAnsi="IRNazanin" w:eastAsia="IRNazanin" w:cs="IRNazanin"/>
          <w:lang w:bidi="fa-IR"/>
          <w:color w:val="111111"/>
          <w:sz w:val="28"/>
          <w:szCs w:val="28"/>
          <w:rtl/>
        </w:rPr>
        <w:t xml:space="preserve">[ف: ۳۸-۹۹ ]</w:t>
      </w:r>
    </w:p>
    <w:p>
      <w:pPr>
        <w:pStyle w:val="BookText"/>
      </w:pPr>
      <w:r>
        <w:rPr>
          <w:rFonts w:ascii="IRNazanin" w:hAnsi="IRNazanin" w:eastAsia="IRNazanin" w:cs="IRNazanin"/>
          <w:lang w:bidi="fa-IR"/>
          <w:color w:val="111111"/>
          <w:sz w:val="28"/>
          <w:szCs w:val="28"/>
          <w:rtl/>
        </w:rPr>
        <w:t xml:space="preserve">۲۴۷۶ . تهران؛ مجلس؛ شماره نسخه: ۱۳۵۰۱</w:t>
      </w:r>
    </w:p>
    <w:p>
      <w:pPr>
        <w:pStyle w:val="BookText"/>
      </w:pPr>
      <w:r>
        <w:rPr>
          <w:rFonts w:ascii="IRNazanin" w:hAnsi="IRNazanin" w:eastAsia="IRNazanin" w:cs="IRNazanin"/>
          <w:lang w:bidi="fa-IR"/>
          <w:color w:val="111111"/>
          <w:sz w:val="28"/>
          <w:szCs w:val="28"/>
          <w:rtl/>
        </w:rPr>
        <w:t xml:space="preserve">آغاز: تو از وی عالم و آواز تو جاهل درین صورت *** تو  زوعالمتری جوش زبان بگذار تا گوید</w:t>
      </w:r>
    </w:p>
    <w:p>
      <w:pPr>
        <w:pStyle w:val="BookText"/>
      </w:pPr>
      <w:r>
        <w:rPr>
          <w:rFonts w:ascii="IRNazanin" w:hAnsi="IRNazanin" w:eastAsia="IRNazanin" w:cs="IRNazanin"/>
          <w:lang w:bidi="fa-IR"/>
          <w:color w:val="111111"/>
          <w:sz w:val="28"/>
          <w:szCs w:val="28"/>
          <w:rtl/>
        </w:rPr>
        <w:t xml:space="preserve">چنان ناید که تا نقاش گوید صورتی کلکش *** بیان دانـش خویش و بعلم او خطا گویدپ؛ انجام: یکی پسر که بود قایم  نبی و ولی *** به اسم همچو نبی چون ولی بحرب وجهاد/ بيا بخانه که از یمن قدمت *** دهد خدای تعالی هزار ... و گشاد</w:t>
      </w:r>
    </w:p>
    <w:p>
      <w:pPr>
        <w:pStyle w:val="BookText"/>
      </w:pPr>
      <w:r>
        <w:rPr>
          <w:rFonts w:ascii="IRNazanin" w:hAnsi="IRNazanin" w:eastAsia="IRNazanin" w:cs="IRNazanin"/>
          <w:lang w:bidi="fa-IR"/>
          <w:color w:val="111111"/>
          <w:sz w:val="28"/>
          <w:szCs w:val="28"/>
          <w:rtl/>
        </w:rPr>
        <w:t xml:space="preserve">مجموعه قصایدی است در مراثی و مدایح چهارده معصوم (علیه السّلام) ،از: نظام استرآبادی، ابن حسام ،حیرتی ،خاقانی، صدقی، هلالی ،جامی، ملا نثاری، ملا رازی، شمس تبریزی ،انیسی ،قسامی، قبطی، خط: نستعلیق، بی کا، بی تا؛ مهر: «شعاع ۱۳۱۵»( بیضوی)؛ جـلد: تیماج دورو، مشکی، ۳۴۷گ، ۱۷ سطر،اندازه: ۱۶/۵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۲۶سم [ف: 37- 3]</w:t>
      </w:r>
    </w:p>
    <w:p>
      <w:pPr>
        <w:pStyle w:val="BookText"/>
      </w:pPr>
      <w:r>
        <w:rPr>
          <w:rFonts w:ascii="IRNazanin" w:hAnsi="IRNazanin" w:eastAsia="IRNazanin" w:cs="IRNazanin"/>
          <w:lang w:bidi="fa-IR"/>
          <w:color w:val="111111"/>
          <w:sz w:val="28"/>
          <w:szCs w:val="28"/>
          <w:rtl/>
        </w:rPr>
        <w:t xml:space="preserve">۲۴۷۷. تهران؛ دانشگاه؛ شماره نسخه: ۲۰۱۶/۲۱-ف</w:t>
      </w:r>
    </w:p>
    <w:p>
      <w:pPr>
        <w:pStyle w:val="BookText"/>
      </w:pPr>
      <w:r>
        <w:rPr>
          <w:rFonts w:ascii="IRNazanin" w:hAnsi="IRNazanin" w:eastAsia="IRNazanin" w:cs="IRNazanin"/>
          <w:lang w:bidi="fa-IR"/>
          <w:color w:val="111111"/>
          <w:sz w:val="28"/>
          <w:szCs w:val="28"/>
          <w:rtl/>
        </w:rPr>
        <w:t xml:space="preserve">نسخه اصل: آغاز و انجام چند نسخه از کتابخانه های یوگسلاوی.</w:t>
      </w:r>
    </w:p>
    <w:p>
      <w:pPr>
        <w:pStyle w:val="BookText"/>
      </w:pPr>
      <w:r>
        <w:rPr>
          <w:rFonts w:ascii="IRNazanin" w:hAnsi="IRNazanin" w:eastAsia="IRNazanin" w:cs="IRNazanin"/>
          <w:lang w:bidi="fa-IR"/>
          <w:color w:val="111111"/>
          <w:sz w:val="28"/>
          <w:szCs w:val="28"/>
          <w:rtl/>
        </w:rPr>
        <w:t xml:space="preserve">جنگ منظم، مانند مضامين الشعرا به فارسی در ۴۸ باب: نخسـتین در صفت قد و میان و باز پسین در صفت مردن، اشعار شعرا در هر بابی می آید با نام شاعران که بیشتر از زمان صفوی هستند؛ بی کا، بی تا؛ افتادگی: آغاز و انجام [فیلمها: ۱ – ۶۳۷]</w:t>
      </w:r>
    </w:p>
    <w:p>
      <w:pPr>
        <w:pStyle w:val="BookText"/>
      </w:pPr>
      <w:r>
        <w:rPr>
          <w:rFonts w:ascii="IRNazanin" w:hAnsi="IRNazanin" w:eastAsia="IRNazanin" w:cs="IRNazanin"/>
          <w:lang w:bidi="fa-IR"/>
          <w:color w:val="111111"/>
          <w:sz w:val="28"/>
          <w:szCs w:val="28"/>
          <w:rtl/>
        </w:rPr>
        <w:t xml:space="preserve">۲۴۷۸ .تهران؛ مجلس؛ شماره نسخه: ۱۷۶۸۲</w:t>
      </w:r>
    </w:p>
    <w:p>
      <w:pPr>
        <w:pStyle w:val="BookText"/>
      </w:pPr>
      <w:r>
        <w:rPr>
          <w:rFonts w:ascii="IRNazanin" w:hAnsi="IRNazanin" w:eastAsia="IRNazanin" w:cs="IRNazanin"/>
          <w:lang w:bidi="fa-IR"/>
          <w:color w:val="111111"/>
          <w:sz w:val="28"/>
          <w:szCs w:val="28"/>
          <w:rtl/>
        </w:rPr>
        <w:t xml:space="preserve">اشعار نوحه از میرزا احمد رونق، شوقی و غیره؛ بی کا، بی تا[ د.ث.مجلس:- ]</w:t>
      </w:r>
    </w:p>
    <w:p>
      <w:pPr>
        <w:pStyle w:val="BookText"/>
      </w:pPr>
      <w:r>
        <w:rPr>
          <w:rFonts w:ascii="IRNazanin" w:hAnsi="IRNazanin" w:eastAsia="IRNazanin" w:cs="IRNazanin"/>
          <w:lang w:bidi="fa-IR"/>
          <w:color w:val="111111"/>
          <w:sz w:val="28"/>
          <w:szCs w:val="28"/>
          <w:rtl/>
        </w:rPr>
        <w:t xml:space="preserve">۲۴۷۹. مشهد؛ الهیات؛ شماره نسخه: ۴۹۵</w:t>
      </w:r>
    </w:p>
    <w:p>
      <w:pPr>
        <w:pStyle w:val="BookText"/>
      </w:pPr>
      <w:r>
        <w:rPr>
          <w:rFonts w:ascii="IRNazanin" w:hAnsi="IRNazanin" w:eastAsia="IRNazanin" w:cs="IRNazanin"/>
          <w:lang w:bidi="fa-IR"/>
          <w:color w:val="111111"/>
          <w:sz w:val="28"/>
          <w:szCs w:val="28"/>
          <w:rtl/>
        </w:rPr>
        <w:t xml:space="preserve">آغاز: آنم که پدید گشتم از قدرت تو *** صد سال شدم نیاز در نعمت تو؛ انجام: چون حافظ در قناعت کوش و از دنیای دون بگذر، که یک جو منت دونون بصد من زر نمی ارزد</w:t>
      </w:r>
    </w:p>
    <w:p>
      <w:pPr>
        <w:pStyle w:val="BookText"/>
      </w:pPr>
      <w:r>
        <w:rPr>
          <w:rFonts w:ascii="IRNazanin" w:hAnsi="IRNazanin" w:eastAsia="IRNazanin" w:cs="IRNazanin"/>
          <w:lang w:bidi="fa-IR"/>
          <w:color w:val="111111"/>
          <w:sz w:val="28"/>
          <w:szCs w:val="28"/>
          <w:rtl/>
        </w:rPr>
        <w:t xml:space="preserve">شامل منتخبی از اشعار سعدی، قاآنی دیوان شمس، مثنوی ،مولوی، حافظ؛ خط: نستعلیق، بی کا، بی تا؛ کاغذ: فرنگی، جلد: مقوا عطف پارچه، ۱۴۰گ، ۱۱ سطر (6</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 قطع: ربعی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۱ - ۷۰]</w:t>
      </w:r>
    </w:p>
    <w:p>
      <w:pPr>
        <w:pStyle w:val="BookText"/>
      </w:pPr>
      <w:r>
        <w:rPr>
          <w:rFonts w:ascii="IRNazanin" w:hAnsi="IRNazanin" w:eastAsia="IRNazanin" w:cs="IRNazanin"/>
          <w:lang w:bidi="fa-IR"/>
          <w:color w:val="111111"/>
          <w:sz w:val="28"/>
          <w:szCs w:val="28"/>
          <w:rtl/>
        </w:rPr>
        <w:t xml:space="preserve">۲۴۸۰ . مشهد؛ الهیات شماره نسخه: ۱۱۶</w:t>
      </w:r>
    </w:p>
    <w:p>
      <w:pPr>
        <w:pStyle w:val="BookText"/>
      </w:pPr>
      <w:r>
        <w:rPr>
          <w:rFonts w:ascii="IRNazanin" w:hAnsi="IRNazanin" w:eastAsia="IRNazanin" w:cs="IRNazanin"/>
          <w:lang w:bidi="fa-IR"/>
          <w:color w:val="111111"/>
          <w:sz w:val="28"/>
          <w:szCs w:val="28"/>
          <w:rtl/>
        </w:rPr>
        <w:t xml:space="preserve">آغاز: نه شیخ می دهدم توبه و نه پیر مغان ***زبسکه توبه نمودم  زبسکه توبه شکستم؛ انجام: بیا ساقی بیاور آن شراب ارغوانی را</w:t>
      </w:r>
    </w:p>
    <w:p>
      <w:pPr>
        <w:pStyle w:val="BookText"/>
      </w:pPr>
      <w:r>
        <w:rPr>
          <w:rFonts w:ascii="IRNazanin" w:hAnsi="IRNazanin" w:eastAsia="IRNazanin" w:cs="IRNazanin"/>
          <w:lang w:bidi="fa-IR"/>
          <w:color w:val="111111"/>
          <w:sz w:val="28"/>
          <w:szCs w:val="28"/>
          <w:rtl/>
        </w:rPr>
        <w:t xml:space="preserve">اشعاری از سعدی، بابا طاهر عریان، شیخ بهائی، شمس مغربی؛ خط: نستعلیق، بی کا، بی تا؛ مجدول به طلا، باسرلوح مرصع؛ كاغذ: الوان ،جلد: پارچه ای ،ترمه، ۳۳گ، مختلف السطر، اندازه: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۱۳/۵سم [ف: ۱ - ۷۶]</w:t>
      </w:r>
    </w:p>
    <w:p>
      <w:pPr>
        <w:pStyle w:val="BookText"/>
      </w:pPr>
      <w:r>
        <w:rPr>
          <w:rFonts w:ascii="IRNazanin" w:hAnsi="IRNazanin" w:eastAsia="IRNazanin" w:cs="IRNazanin"/>
          <w:lang w:bidi="fa-IR"/>
          <w:color w:val="111111"/>
          <w:sz w:val="28"/>
          <w:szCs w:val="28"/>
          <w:rtl/>
        </w:rPr>
        <w:t xml:space="preserve">۲۴۸۱. تهران؛ مجلس؛ شماره نسخه: ۸۶۲۲/۳</w:t>
      </w:r>
    </w:p>
    <w:p>
      <w:pPr>
        <w:pStyle w:val="BookText"/>
      </w:pPr>
      <w:r>
        <w:rPr>
          <w:rFonts w:ascii="IRNazanin" w:hAnsi="IRNazanin" w:eastAsia="IRNazanin" w:cs="IRNazanin"/>
          <w:lang w:bidi="fa-IR"/>
          <w:color w:val="111111"/>
          <w:sz w:val="28"/>
          <w:szCs w:val="28"/>
          <w:rtl/>
        </w:rPr>
        <w:t xml:space="preserve">مشتمل بر اشعاری از محمد بن حسام، قطبی، ولایت نامه امام رضا (علیه السّلام)، شاپور نوجوان فتوحی، نجم احمد، شمس کرمانی، سلیمی، بنایی ،شوریده ،افجنکی، ملای رومی؛ خط: نستعلیق، بی کا، بی تا؛ جلد: تیماج زرشکی جدید، ۲۷گ، (گ 27ر- 54پ)، مختلف السطر ،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۲۸ - ۱۶۸]</w:t>
      </w:r>
    </w:p>
    <w:p>
      <w:pPr>
        <w:pStyle w:val="BookText"/>
      </w:pPr>
      <w:r>
        <w:rPr>
          <w:rFonts w:ascii="IRNazanin" w:hAnsi="IRNazanin" w:eastAsia="IRNazanin" w:cs="IRNazanin"/>
          <w:lang w:bidi="fa-IR"/>
          <w:color w:val="111111"/>
          <w:sz w:val="28"/>
          <w:szCs w:val="28"/>
          <w:rtl/>
        </w:rPr>
        <w:t xml:space="preserve">۲۴۸۲. تهران؛ مجلس؛ شماره نسخه: ۹۳۳۵</w:t>
      </w:r>
    </w:p>
    <w:p>
      <w:pPr>
        <w:pStyle w:val="BookText"/>
      </w:pPr>
      <w:r>
        <w:rPr>
          <w:rFonts w:ascii="IRNazanin" w:hAnsi="IRNazanin" w:eastAsia="IRNazanin" w:cs="IRNazanin"/>
          <w:lang w:bidi="fa-IR"/>
          <w:color w:val="111111"/>
          <w:sz w:val="28"/>
          <w:szCs w:val="28"/>
          <w:rtl/>
        </w:rPr>
        <w:t xml:space="preserve">آغاز: که بیک بیت زغم فرد شوی *** مرهم سینه پردرد شوی؛</w:t>
      </w:r>
    </w:p>
    <w:p>
      <w:pPr>
        <w:pStyle w:val="BookText"/>
      </w:pPr>
      <w:r>
        <w:rPr>
          <w:rFonts w:ascii="IRNazanin" w:hAnsi="IRNazanin" w:eastAsia="IRNazanin" w:cs="IRNazanin"/>
          <w:lang w:bidi="fa-IR"/>
          <w:color w:val="111111"/>
          <w:sz w:val="28"/>
          <w:szCs w:val="28"/>
          <w:rtl/>
        </w:rPr>
        <w:t xml:space="preserve">انجام: یکی خوب کردار و خوش خوی بود ***  که بد سیر تانرا نکوگوی بود</w:t>
      </w:r>
    </w:p>
    <w:p>
      <w:pPr>
        <w:pStyle w:val="BookText"/>
      </w:pPr>
      <w:r>
        <w:rPr>
          <w:rFonts w:ascii="IRNazanin" w:hAnsi="IRNazanin" w:eastAsia="IRNazanin" w:cs="IRNazanin"/>
          <w:lang w:bidi="fa-IR"/>
          <w:color w:val="111111"/>
          <w:sz w:val="28"/>
          <w:szCs w:val="28"/>
          <w:rtl/>
        </w:rPr>
        <w:t xml:space="preserve">شامل اشعاری از: سعدی ،جامی ،اختر، مشتاق، ضياء، حافظ، ،عاشق، درویش، مجید ،محتشم ،مولانا، میرزا صادق تفریشی، صافی ،هاتف، بابا طاهر، وحشی بافقی، شیخ بهایی، ذبیحی یزدی، حسینی یزدی، نوعی خبوشانی (سوز گداز وی)، شیخ علی نقی کمره ای، قاضی نور الله ،انوری ،زیوری نراقی، صفایی؛ خط: نستعلیق شکسته، بی کا، بی تا؛ افتادگی: آغاز و انجام؛ رکابه نویسی شده، در برگ ۸۰ تاریخ تولد اسماعیل بن حاجی ابراهیم در جمادی الثانی ۱۲۳۴؛ جلد: تیماج قهوه ای، ۱۸۱گ ۱۴ سطر،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۳۰ – ۷۸]</w:t>
      </w:r>
    </w:p>
    <w:p>
      <w:pPr>
        <w:pStyle w:val="BookText"/>
      </w:pPr>
      <w:r>
        <w:rPr>
          <w:rFonts w:ascii="IRNazanin" w:hAnsi="IRNazanin" w:eastAsia="IRNazanin" w:cs="IRNazanin"/>
          <w:lang w:bidi="fa-IR"/>
          <w:color w:val="111111"/>
          <w:sz w:val="28"/>
          <w:szCs w:val="28"/>
          <w:rtl/>
        </w:rPr>
        <w:t xml:space="preserve">۲۴۸۳. تهران؛ مجلس؛ شماره نسخه: ۸۰۷۶/۲</w:t>
      </w:r>
    </w:p>
    <w:p>
      <w:pPr>
        <w:pStyle w:val="BookText"/>
      </w:pPr>
      <w:r>
        <w:rPr>
          <w:rFonts w:ascii="IRNazanin" w:hAnsi="IRNazanin" w:eastAsia="IRNazanin" w:cs="IRNazanin"/>
          <w:lang w:bidi="fa-IR"/>
          <w:color w:val="111111"/>
          <w:sz w:val="28"/>
          <w:szCs w:val="28"/>
          <w:rtl/>
        </w:rPr>
        <w:t xml:space="preserve">در این قسمت از شاعران مختلفی ابیاتی بدون نظم خاصی به دنبال آمده است. از این رو جداگانه مدخل گرفت و نام «جنگ - سفینه» یافت. این است محتویات این بخش با سرآغاز شعرها: دو رباعی میرزا ابوالحسن فراهانی: «رفتی رفتی از دل پرخون رفتی *** وز غمکده سینه محزون رفتی / نیکو کردی که در دلم ننشستی
</w:t>
      </w:r>
    </w:p>
    <w:p>
      <w:pPr>
        <w:sectPr>
          <w:footerReference w:type="default" r:id="rId9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این خانه شکسته بود بیرون رفتی». له: «شوخی که بریده بود  پیمان از من *** بنشست برم کشیده دامان از من / چون برگ گـلی که با صبا آمیزد </w:t>
      </w:r>
      <w:r>
        <w:rPr>
          <w:rFonts w:ascii="IRNazanin" w:hAnsi="IRNazanin" w:eastAsia="IRNazanin" w:cs="IRNazanin"/>
          <w:lang w:bidi="fa-IR"/>
          <w:color w:val="111111"/>
          <w:sz w:val="28"/>
          <w:szCs w:val="28"/>
          <w:b w:val="1"/>
          <w:bCs w:val="1"/>
          <w:i w:val="1"/>
          <w:iCs w:val="1"/>
          <w:rtl/>
        </w:rPr>
        <w:t xml:space="preserve">هم  با من بود و هم گریزان از من» چند بیت فرد از میرزا محمد سعید حکیم: «ما ز شرم عاجزی بر خصم غالب گشته ایم</w:t>
      </w:r>
      <w:r>
        <w:rPr>
          <w:rFonts w:ascii="IRNazanin" w:hAnsi="IRNazanin" w:eastAsia="IRNazanin" w:cs="IRNazanin"/>
          <w:lang w:bidi="fa-IR"/>
          <w:color w:val="111111"/>
          <w:sz w:val="28"/>
          <w:szCs w:val="28"/>
          <w:rtl/>
        </w:rPr>
        <w:t xml:space="preserve">  سر بزیر افکندن ما تیغ بالا کردنست»، له: «میروم زین شهر اما بسکه رویم قفاست *** می توان هنگام رفتن کردن استقبال من»، له: «با همه حسرت نمی خواهم که آیی در برم*** ترسم از یادم روی بیرون به استقبال خویش»، له: «در انتظارت ای ثمر دل شکوفه وار *** چشمم سفید گشت و تو در دیده بوده ای»، له: «گیرم بریدم بریدم از تو امیدی که داشتم </w:t>
      </w:r>
      <w:r>
        <w:rPr>
          <w:rFonts w:ascii="IRNazanin" w:hAnsi="IRNazanin" w:eastAsia="IRNazanin" w:cs="IRNazanin"/>
          <w:lang w:bidi="fa-IR"/>
          <w:color w:val="111111"/>
          <w:sz w:val="28"/>
          <w:szCs w:val="28"/>
          <w:b w:val="1"/>
          <w:bCs w:val="1"/>
          <w:i w:val="1"/>
          <w:iCs w:val="1"/>
          <w:rtl/>
        </w:rPr>
        <w:t xml:space="preserve">این زخم را بگو به چه مرهم نهم علاج»، له: گر درد نداریم پس این چیست که داریم</w:t>
      </w:r>
      <w:r>
        <w:rPr>
          <w:rFonts w:ascii="IRNazanin" w:hAnsi="IRNazanin" w:eastAsia="IRNazanin" w:cs="IRNazanin"/>
          <w:lang w:bidi="fa-IR"/>
          <w:color w:val="111111"/>
          <w:sz w:val="28"/>
          <w:szCs w:val="28"/>
          <w:rtl/>
        </w:rPr>
        <w:t xml:space="preserve">در سینه شکاف ستم کیست که داریم / تا چند زنی طعنه که در بزم که بودی *** غیر از تو درین شهر بگو کیست که داریم»، جعفر خان بیک: «بهر کس داد چرخ امروز کامی *** کشد فـردا از و خوش انتقامی / اگر خط سر زد از رویش عجب نیست*** همیشه در پی صبح است شامی»، چند بیت فرد از میرزا طاهر: «سخت می خواهد دلمای نوبهار آرزو *** با تو ته [=تا] مینای عمر خویش را خالی کنم»، له: «بسان مغز بادامی که از توأم جدا مـاند***</w:t>
      </w:r>
    </w:p>
    <w:p>
      <w:pPr>
        <w:pStyle w:val="BookText"/>
      </w:pPr>
      <w:r>
        <w:rPr>
          <w:rFonts w:ascii="IRNazanin" w:hAnsi="IRNazanin" w:eastAsia="IRNazanin" w:cs="IRNazanin"/>
          <w:lang w:bidi="fa-IR"/>
          <w:color w:val="111111"/>
          <w:sz w:val="28"/>
          <w:szCs w:val="28"/>
          <w:rtl/>
        </w:rPr>
        <w:t xml:space="preserve">در آغوشم نمایانست خالی بودن جایش؛ له: هلاک دیده احول شوم که روی ترا *** دو بار بیند و با خود یکی حساب کند»، منه: «شبهه را از وحدتش دست تصرف کوتهست ***کی تواند دیده احول دو دیدن روز را»؛ له: «می توانی که بمطلب رسی و ناز کنی *** اگر افشاندن دامان پر پرواز کنی»، ايضا له: « در چشم بد اندیش، هنر عیب نماید *** من بی هنرم عیب ندارم چه توان گفت»، له: «از خرابی می گذشتم منزلم آمد بیاد ***دست و پا گم کرده ای دیدم دلم آمد بیاد / می گذشتم از کنار جر صيد افكنان ***صید در خون کشته ای دیدم دلم آمد بیاد»، [ رقم: ] غلام صاحب سفينه حقا قولا»؛ هو. مولوی معنوی: من  نیم دهن دارم آخر چقر خندم </w:t>
      </w:r>
      <w:r>
        <w:rPr>
          <w:rFonts w:ascii="IRNazanin" w:hAnsi="IRNazanin" w:eastAsia="IRNazanin" w:cs="IRNazanin"/>
          <w:lang w:bidi="fa-IR"/>
          <w:color w:val="111111"/>
          <w:sz w:val="28"/>
          <w:szCs w:val="28"/>
          <w:b w:val="1"/>
          <w:bCs w:val="1"/>
          <w:i w:val="1"/>
          <w:iCs w:val="1"/>
          <w:rtl/>
        </w:rPr>
        <w:t xml:space="preserve">او همچو درخت گل خنده است زسر تا پا»، محمد قلی سلیم:« جا بهر دل که گرفت او دگر از جا  نرود *** عکسش از آینه چون صورت زیبا نرود»، له: «تجلی بر نمی تابی ... بی چه بود اینجا *** که موسی هم تمنا کرد و خود آزمود اینجا / سبکروحان شوق او گرانجانی نمی دانند *** دود بر باد پیش از شعله خاکستر چو دود اینجا»؛ له: «چشم تو ز بیمار خود بر سر نازست</w:t>
      </w:r>
      <w:r>
        <w:rPr>
          <w:rFonts w:ascii="IRNazanin" w:hAnsi="IRNazanin" w:eastAsia="IRNazanin" w:cs="IRNazanin"/>
          <w:lang w:bidi="fa-IR"/>
          <w:color w:val="111111"/>
          <w:sz w:val="28"/>
          <w:szCs w:val="28"/>
          <w:rtl/>
        </w:rPr>
        <w:t xml:space="preserve"> مژگان تو همچون شب بیمار دراز سـت»؛ خط: نستعلیق و شکسته نستعلیق، بی کا، بی تا ،مجدول، چلیپا ؛کاغذ: چند رنگ ،جلد: مقوایی با روکش تیماج حنایی سیر، ۱گ (۵پ-۶ر)، اندازه: 9/3</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سم [ف: ۲۷/۱ - ۱۳۴]</w:t>
      </w:r>
    </w:p>
    <w:p>
      <w:pPr>
        <w:pStyle w:val="BookText"/>
      </w:pPr>
      <w:r>
        <w:rPr>
          <w:rFonts w:ascii="IRNazanin" w:hAnsi="IRNazanin" w:eastAsia="IRNazanin" w:cs="IRNazanin"/>
          <w:lang w:bidi="fa-IR"/>
          <w:color w:val="111111"/>
          <w:sz w:val="28"/>
          <w:szCs w:val="28"/>
          <w:rtl/>
        </w:rPr>
        <w:t xml:space="preserve">۲۴۸۴. تهران؛ مجلس؛ شماره نسخه: ۸۱۲۲/۲</w:t>
      </w:r>
    </w:p>
    <w:p>
      <w:pPr>
        <w:pStyle w:val="BookText"/>
      </w:pPr>
      <w:r>
        <w:rPr>
          <w:rFonts w:ascii="IRNazanin" w:hAnsi="IRNazanin" w:eastAsia="IRNazanin" w:cs="IRNazanin"/>
          <w:lang w:bidi="fa-IR"/>
          <w:color w:val="111111"/>
          <w:sz w:val="28"/>
          <w:szCs w:val="28"/>
          <w:rtl/>
        </w:rPr>
        <w:t xml:space="preserve">بندی در شکار با باز، از: عنایت الله منشی شاه جهان، یک قطعه از متنی گویا تاریخی به همان خط اصلی نسخه در پایان هست با عنوان «من منشآت عنایت الله منشی شاه جهان» که شاید عنایت الله كنبوه لاهوری (۱۰۸۲ق) صاحب كتاب مشهور «بهار دانش»باشد، او را منشی و وابسته به دربار سلطان محمد شاه جهان دوم دانسته اند، آنچه هست این قطعه در شکار شاه با باز است که معلوم نشد از کدام منبع نقل شده و اینک متن قطعه: «بسكه طبع مقدس شاهزاده کیوان جناب بمقتضای منش بلند جهانداری و فطرت ارجمند شهریاری شکار دوست افتاد، روزی بعادت معهود با تنی چند از خواص عنان گلگون صبا رفتار بعزم تسخیر وحشیان دشت و پیما تقييد احراز بجانب صحرا منعطف ساخته جانوران صیدگیر را بهر سو سرداد. شاهین تیز بال بسان شاهدان شنگول و سیماب طبع بسبک آسکی (؟) گیراگیر گردیده کبک و دراج را از هوا بر زمین آورد. باز که هر بالش از خطوط سیاه و سفید بچشم نیکوان ماند مانندی (؟) که سیه چشمان عشوه ساز به پنجه مژگان، دلهای بیدلان بچنگ آرند بپرواز آمد. نظم چو در نالیدن آمد طبلک باز *** در آمد مرغ صید افکن بپرواز / روان شد در هوا با سبک پر ***جهان شد خالی از کبک و کبوتر؛ بی کا، بی تا؛ دارای رکابه، مجدول ؛جلد: مقوایی با روکش تیماج حنایی سیر دارای ترنج ضربی با نقش های هندسی و شبه اسلیمی، ۱۲ سطر، 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۱۷/۳سم [ف: ۲۷/۱۸ - ۲۳۰]</w:t>
      </w:r>
    </w:p>
    <w:p>
      <w:pPr>
        <w:pStyle w:val="BookText"/>
      </w:pPr>
      <w:r>
        <w:rPr>
          <w:rFonts w:ascii="IRNazanin" w:hAnsi="IRNazanin" w:eastAsia="IRNazanin" w:cs="IRNazanin"/>
          <w:lang w:bidi="fa-IR"/>
          <w:color w:val="111111"/>
          <w:sz w:val="28"/>
          <w:szCs w:val="28"/>
          <w:rtl/>
        </w:rPr>
        <w:t xml:space="preserve">۲۴۸۵. تهران؛ مجلس؛ شماره نسخه: ۱۱۶۲۹</w:t>
      </w:r>
    </w:p>
    <w:p>
      <w:pPr>
        <w:pStyle w:val="BookText"/>
      </w:pPr>
      <w:r>
        <w:rPr>
          <w:rFonts w:ascii="IRNazanin" w:hAnsi="IRNazanin" w:eastAsia="IRNazanin" w:cs="IRNazanin"/>
          <w:lang w:bidi="fa-IR"/>
          <w:color w:val="111111"/>
          <w:sz w:val="28"/>
          <w:szCs w:val="28"/>
          <w:rtl/>
        </w:rPr>
        <w:t xml:space="preserve">خط: نستعلیق خوش، کا: ناصر علی، بی تا؛ دارای رکابه، مجدول، بعضی صفحات دارای کتیبه هایی به طلا و لاجورد با عبارت «وله ايضا»؛ جلد: تیماج  مشکی، ۲۶۲گ، ۸ سطر دو ستونه(۴/۵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۸)، اندازه: 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۱۲/۵سم [ف: ۳۴ - ۲۵]</w:t>
      </w:r>
    </w:p>
    <w:p>
      <w:pPr>
        <w:pStyle w:val="BookText"/>
      </w:pPr>
      <w:r>
        <w:rPr>
          <w:rFonts w:ascii="IRNazanin" w:hAnsi="IRNazanin" w:eastAsia="IRNazanin" w:cs="IRNazanin"/>
          <w:lang w:bidi="fa-IR"/>
          <w:color w:val="111111"/>
          <w:sz w:val="28"/>
          <w:szCs w:val="28"/>
          <w:rtl/>
        </w:rPr>
        <w:t xml:space="preserve">۲۴۸۶ . تهران؛ مجلس؛ شماره نسخه: ۱۴۶۵۸</w:t>
      </w:r>
    </w:p>
    <w:p>
      <w:pPr>
        <w:pStyle w:val="BookText"/>
      </w:pPr>
      <w:r>
        <w:rPr>
          <w:rFonts w:ascii="IRNazanin" w:hAnsi="IRNazanin" w:eastAsia="IRNazanin" w:cs="IRNazanin"/>
          <w:lang w:bidi="fa-IR"/>
          <w:color w:val="111111"/>
          <w:sz w:val="28"/>
          <w:szCs w:val="28"/>
          <w:rtl/>
        </w:rPr>
        <w:t xml:space="preserve">آغاز: شد کشته بشمشیر ستم شاه شهیدان *** زین واقعه ماتم کده شد عالم امکان</w:t>
      </w:r>
    </w:p>
    <w:p>
      <w:pPr>
        <w:pStyle w:val="BookText"/>
      </w:pPr>
      <w:r>
        <w:rPr>
          <w:rFonts w:ascii="IRNazanin" w:hAnsi="IRNazanin" w:eastAsia="IRNazanin" w:cs="IRNazanin"/>
          <w:lang w:bidi="fa-IR"/>
          <w:color w:val="111111"/>
          <w:sz w:val="28"/>
          <w:szCs w:val="28"/>
          <w:rtl/>
        </w:rPr>
        <w:t xml:space="preserve">مجموعه اشعاری است بیشتر از شاعران معروف بدون ترتیب خاص نام بسیاری از شاعران را ذکر نکرده و فقط شعرشان را نقل کرده است و بعضاً اشاراتی به شاعر دارد مانند جامی و حافظ؛ تقریباً نیمی از کتاب نیز در مراثی است؛ خط: نستعلیق نازیبا، بی کا، بی تا؛ راسته و چلیپا؛ جلد: چرم قهوه ای ترنج دار، ۴۶گ، مختلف السطر ، اندازه: ۱۹/۳</w:t>
      </w:r>
      <w:r>
        <w:rPr>
          <w:rFonts w:ascii="Times New Roman" w:hAnsi="Times New Roman" w:eastAsia="Times New Roman" w:cs="Times New Roman"/>
          <w:lang w:val="en-US" w:bidi="en-US"/>
          <w:color w:val="111111"/>
          <w:sz w:val="28"/>
          <w:szCs w:val="28"/>
          <w:rtl/>
        </w:rPr>
        <w:t xml:space="preserve">x</w:t>
      </w:r>
      <w:r>
        <w:rPr>
          <w:rFonts w:ascii="IRNazanin" w:hAnsi="IRNazanin" w:eastAsia="IRNazanin" w:cs="IRNazanin"/>
          <w:lang w:bidi="fa-IR"/>
          <w:color w:val="111111"/>
          <w:sz w:val="28"/>
          <w:szCs w:val="28"/>
          <w:rtl/>
        </w:rPr>
        <w:t xml:space="preserve">۱۲/۵سم [ف: ۴۱ - ۱۴۶]</w:t>
      </w:r>
    </w:p>
    <w:p>
      <w:pPr>
        <w:pStyle w:val="BookText"/>
      </w:pPr>
      <w:r>
        <w:rPr>
          <w:rFonts w:ascii="IRNazanin" w:hAnsi="IRNazanin" w:eastAsia="IRNazanin" w:cs="IRNazanin"/>
          <w:lang w:bidi="fa-IR"/>
          <w:color w:val="111111"/>
          <w:sz w:val="28"/>
          <w:szCs w:val="28"/>
          <w:rtl/>
        </w:rPr>
        <w:t xml:space="preserve">۲۴۸۷. تهران؛ مجلس؛ شماره نسخه: ۱۵۳۶۷/۲۳</w:t>
      </w:r>
    </w:p>
    <w:p>
      <w:pPr>
        <w:pStyle w:val="BookText"/>
      </w:pPr>
      <w:r>
        <w:rPr>
          <w:rFonts w:ascii="IRNazanin" w:hAnsi="IRNazanin" w:eastAsia="IRNazanin" w:cs="IRNazanin"/>
          <w:lang w:bidi="fa-IR"/>
          <w:color w:val="111111"/>
          <w:sz w:val="28"/>
          <w:szCs w:val="28"/>
          <w:rtl/>
        </w:rPr>
        <w:t xml:space="preserve">اشعار متفرقه گوناگونی است از شعرای مختلف که برخی از آنها عبارتند از: میرزا مهدی حجت، ملا سحابی ،قدسی، پوریای ولی، بابا افضل ،واعظ، کمال اسماعیل، میرزا سعد الدين محمد، ملاخواجه علی، ظهیر، طالب آملی، نظام الملكي، آقا حسین خوانساری، نورس، شیخ ابوسعید، آقا باقر قمی نافع، مولوی، مرتضی قلی خان شاملو، ملا خواجه علی پیشنماز، میر علی خیام، ميرزا خليل، حكيم، وحدت، ملا مظفر حسین، میر ابوطالب، ملا نطقی، باعث، صحیفی شیرازی، خسرو بیک، خلیل بیک، ملا ناظم هروی، شکیب، ملا هاشم همدانی، ملا مؤمن حسین، انوری، قاضی نور؛ خط: نستعلیق شکسته، کا: محمد طاهر بن حسن (بابا حسن بیک) اراسنجی قزوینی، بی تا؛ کاغذ: الوان، جلد: تيماج
</w:t>
      </w:r>
    </w:p>
    <w:p>
      <w:pPr>
        <w:sectPr>
          <w:footerReference w:type="default" r:id="rId9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قهوه ای روشن ضربی ترنج و سرترنج دار، ۱۴گ (267- ۲۸۰ پ)، اندازه: ۱۵/۲/۲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۲۷/۵سم [ف: ۴۳ - ۵۴]</w:t>
      </w:r>
    </w:p>
    <w:p>
      <w:pPr>
        <w:pStyle w:val="BookText"/>
      </w:pPr>
      <w:r>
        <w:rPr>
          <w:rFonts w:ascii="IRNazanin" w:hAnsi="IRNazanin" w:eastAsia="IRNazanin" w:cs="IRNazanin"/>
          <w:lang w:bidi="fa-IR"/>
          <w:color w:val="111111"/>
          <w:sz w:val="28"/>
          <w:szCs w:val="28"/>
          <w:rtl/>
        </w:rPr>
        <w:t xml:space="preserve">۲۴۸۸. تهران؛ دانشگاه؛ شماره نسخه: بدون شماره</w:t>
      </w:r>
    </w:p>
    <w:p>
      <w:pPr>
        <w:pStyle w:val="BookText"/>
      </w:pPr>
      <w:r>
        <w:rPr>
          <w:rFonts w:ascii="IRNazanin" w:hAnsi="IRNazanin" w:eastAsia="IRNazanin" w:cs="IRNazanin"/>
          <w:lang w:bidi="fa-IR"/>
          <w:color w:val="111111"/>
          <w:sz w:val="28"/>
          <w:szCs w:val="28"/>
          <w:rtl/>
        </w:rPr>
        <w:t xml:space="preserve">قصاید و غزلیات و قطعات و ترجیعات و رباعیات بفارسی و تازی نزدیک به هفت هزار بیت و در بیشتر جاها «سيد» تخلص كـرده است مانند: «از آه دل سید سرمست  سحرگاه *** عمری است که یک لحظه به بستر نغنودم»، و در برخی «حسین» مانند غزل شوقیه و در ستایش شیخ صفی الدین اردبیلی که مطلع آن این اسـت:«بسم الله ای عشق قدم مردانه در ره نه قدم </w:t>
      </w:r>
      <w:r>
        <w:rPr>
          <w:rFonts w:ascii="IRNazanin" w:hAnsi="IRNazanin" w:eastAsia="IRNazanin" w:cs="IRNazanin"/>
          <w:lang w:bidi="fa-IR"/>
          <w:color w:val="111111"/>
          <w:sz w:val="28"/>
          <w:szCs w:val="28"/>
          <w:b w:val="1"/>
          <w:bCs w:val="1"/>
          <w:i w:val="1"/>
          <w:iCs w:val="1"/>
          <w:rtl/>
        </w:rPr>
        <w:t xml:space="preserve">ای صور اسرافیل دم ای صبح دولت دمبدم» و چنین تخلص نموده است: «آب حسین» از خاک تواند ز ازل نمناک تو *** انگور باغ و تاک تو آبش ده از ابر کرم»، و نیز غزلی در تتبع از سید صدرالدین کاشف دزفولی خلیفه آقا محمد آبادی در طریق ذهبی در ستایـش دزفول که مطلعش این است: «صدر ولایت چه گفت مدحـت دزفول *** خام سرینه بپای جنت دزفول / گفت حسین ای نگار کوی مغان آی *** وحدت عشاق بین به کثرت دزفول»، و نیز در غزلی با مطلع:« ای پسر در عشق برگ و ساز باید ساز کو</w:t>
      </w:r>
      <w:r>
        <w:rPr>
          <w:rFonts w:ascii="IRNazanin" w:hAnsi="IRNazanin" w:eastAsia="IRNazanin" w:cs="IRNazanin"/>
          <w:lang w:bidi="fa-IR"/>
          <w:color w:val="111111"/>
          <w:sz w:val="28"/>
          <w:szCs w:val="28"/>
          <w:rtl/>
        </w:rPr>
        <w:t xml:space="preserve"> جذبه ای از شهپر شهباز باید باز کو» در مقطع می گوید: «بـنده ارباب دولت من حسین بن رضا *** در پی اصحاب را ز افتاده صاحب راز کو»؛ بی کا، بی تا [ نشریه: ۵ - ۷۳۷]</w:t>
      </w:r>
    </w:p>
    <w:p>
      <w:pPr>
        <w:pStyle w:val="BookText"/>
      </w:pPr>
      <w:r>
        <w:rPr>
          <w:rFonts w:ascii="Times New Roman" w:hAnsi="Times New Roman" w:eastAsia="Times New Roman" w:cs="Times New Roman"/>
          <w:lang w:val="en-US" w:bidi="en-US"/>
          <w:color w:val="111111"/>
          <w:sz w:val="28"/>
          <w:szCs w:val="28"/>
          <w:rtl/>
        </w:rPr>
        <w:t xml:space="preserve">2489.</w:t>
      </w:r>
    </w:p>
    <w:p>
      <w:pPr>
        <w:pStyle w:val="BookText"/>
      </w:pPr>
      <w:r>
        <w:rPr>
          <w:rFonts w:ascii="IRNazanin" w:hAnsi="IRNazanin" w:eastAsia="IRNazanin" w:cs="IRNazanin"/>
          <w:lang w:bidi="fa-IR"/>
          <w:color w:val="111111"/>
          <w:sz w:val="28"/>
          <w:szCs w:val="28"/>
          <w:rtl/>
        </w:rPr>
        <w:t xml:space="preserve">تهران؛ دانشگاه؛ شماره نسخه: ۱۰۸۴۱/۲۸</w:t>
      </w:r>
    </w:p>
    <w:p>
      <w:pPr>
        <w:pStyle w:val="BookText"/>
      </w:pPr>
      <w:r>
        <w:rPr>
          <w:rFonts w:ascii="IRNazanin" w:hAnsi="IRNazanin" w:eastAsia="IRNazanin" w:cs="IRNazanin"/>
          <w:lang w:bidi="fa-IR"/>
          <w:color w:val="111111"/>
          <w:sz w:val="28"/>
          <w:szCs w:val="28"/>
          <w:rtl/>
        </w:rPr>
        <w:t xml:space="preserve">چند تک بیت و رباعی و غزل از: مثنوی ،وحید ،مولوی، صایبا، صفی قلی بیک، میرزا محمد صالح؛ خط: نسخ، بی کا، بی تا؛ جـلد: تیماج مشکی یک لا ضربی، با ترنج و سرترنج، عطف قهوه ا ی، درون قهوه ای، اگ (۵۱ر - ۵۱پ)، مختلف السطر (9</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 قـطع: بیاضی،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۲۴/۵سم [ف ۲۰ - ۳۸۷]</w:t>
      </w:r>
    </w:p>
    <w:p>
      <w:pPr>
        <w:pStyle w:val="BookText"/>
      </w:pPr>
      <w:r>
        <w:rPr>
          <w:rFonts w:ascii="IRNazanin" w:hAnsi="IRNazanin" w:eastAsia="IRNazanin" w:cs="IRNazanin"/>
          <w:lang w:bidi="fa-IR"/>
          <w:color w:val="111111"/>
          <w:sz w:val="28"/>
          <w:szCs w:val="28"/>
          <w:rtl/>
        </w:rPr>
        <w:t xml:space="preserve">۲۴۹۰. تهران؛ دانشگاه؛ شماره نسخه: ۱۰۸۴۱/۳۰</w:t>
      </w:r>
    </w:p>
    <w:p>
      <w:pPr>
        <w:pStyle w:val="BookText"/>
      </w:pPr>
      <w:r>
        <w:rPr>
          <w:rFonts w:ascii="IRNazanin" w:hAnsi="IRNazanin" w:eastAsia="IRNazanin" w:cs="IRNazanin"/>
          <w:lang w:bidi="fa-IR"/>
          <w:color w:val="111111"/>
          <w:sz w:val="28"/>
          <w:szCs w:val="28"/>
          <w:rtl/>
        </w:rPr>
        <w:t xml:space="preserve">از میرزا صالح ،مولوی، صایب، تجلی، شیخ عطار، منصور، حلاج، مولانا ،سبحانی، عارف رومی، حکیم  غزنوی، شیخ ابوسعيد، وحید، میرزا  رضی، خط: نسخ، بی کا، بی تا ؛جلد: تیماج مشکی یک لا ضربی، با ترنج و سرترنج، عطف قهوه ای، درون قهوه ای، ۲گ (۵۳ پ - ۵۴ر)، مختلف السطر (9</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 قـطع: بیاضی،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۲۴/۵سم [ف : ۲۰ - ۳۸۷]</w:t>
      </w:r>
    </w:p>
    <w:p>
      <w:pPr>
        <w:pStyle w:val="BookText"/>
      </w:pPr>
      <w:r>
        <w:rPr>
          <w:rFonts w:ascii="IRNazanin" w:hAnsi="IRNazanin" w:eastAsia="IRNazanin" w:cs="IRNazanin"/>
          <w:lang w:bidi="fa-IR"/>
          <w:color w:val="111111"/>
          <w:sz w:val="28"/>
          <w:szCs w:val="28"/>
          <w:rtl/>
        </w:rPr>
        <w:t xml:space="preserve">۲۴۹۱. تهران؛ دانشگاه؛ شماره نسخه: ۱۰۸۴۱/۳۲</w:t>
      </w:r>
    </w:p>
    <w:p>
      <w:pPr>
        <w:pStyle w:val="BookText"/>
      </w:pPr>
      <w:r>
        <w:rPr>
          <w:rFonts w:ascii="IRNazanin" w:hAnsi="IRNazanin" w:eastAsia="IRNazanin" w:cs="IRNazanin"/>
          <w:lang w:bidi="fa-IR"/>
          <w:color w:val="111111"/>
          <w:sz w:val="28"/>
          <w:szCs w:val="28"/>
          <w:rtl/>
        </w:rPr>
        <w:t xml:space="preserve">از: مولوی ساقی نامه شیخ بهایی با مطلع: ساقیا بده جامی شراب روحانی *** تا دمی بیاساییم زین حجاب جسمانی، وحشی، کلیم، مولانا سبحانی ملاحاجی محمد  گیلانی، وحید؛ خط: نسـخ، بی کا، بی تا؛ جلد: تیماج مشکی یک لا ضربی، با ترنج و سرترنج، عطف قهوه ای، درون قهوه ای، 1گ (۵۶پ)، مختلف السـطر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 قطع: بیاضی،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۲۴/۵سم [ف : ۲۰ - ۳۸۸]</w:t>
      </w:r>
    </w:p>
    <w:p>
      <w:pPr>
        <w:pStyle w:val="BookText"/>
      </w:pPr>
      <w:r>
        <w:rPr>
          <w:rFonts w:ascii="IRNazanin" w:hAnsi="IRNazanin" w:eastAsia="IRNazanin" w:cs="IRNazanin"/>
          <w:lang w:bidi="fa-IR"/>
          <w:color w:val="111111"/>
          <w:sz w:val="28"/>
          <w:szCs w:val="28"/>
          <w:rtl/>
        </w:rPr>
        <w:t xml:space="preserve">۲۴۹۲. تهران؛ دانشگاه؛ شماره نسخه: ۱۰۸۴۱/۳۶</w:t>
      </w:r>
    </w:p>
    <w:p>
      <w:pPr>
        <w:pStyle w:val="BookText"/>
      </w:pPr>
      <w:r>
        <w:rPr>
          <w:rFonts w:ascii="IRNazanin" w:hAnsi="IRNazanin" w:eastAsia="IRNazanin" w:cs="IRNazanin"/>
          <w:lang w:bidi="fa-IR"/>
          <w:color w:val="111111"/>
          <w:sz w:val="28"/>
          <w:szCs w:val="28"/>
          <w:rtl/>
        </w:rPr>
        <w:t xml:space="preserve">مجموعه رباعیات از: مرحوم سلطانعلی بیگ  مهردار ،ادهم ،میرزا داود، وحید، میرزا معز و برخی از آنها بی نام؛ خط: نسخ، بی کا، بی تا؛ جلد: تیماج مشکی یک لا ضربی، با ترنج وسرترنج، عطف قهوه ای، درون قهوه ای،1گ ،(67ر)، مختلف السطر (9</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 قطع: بیاضی،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۲۴/۵سم [ ف : ۲۰ - ۳۹۰]</w:t>
      </w:r>
    </w:p>
    <w:p>
      <w:pPr>
        <w:pStyle w:val="BookText"/>
      </w:pPr>
      <w:r>
        <w:rPr>
          <w:rFonts w:ascii="IRNazanin" w:hAnsi="IRNazanin" w:eastAsia="IRNazanin" w:cs="IRNazanin"/>
          <w:lang w:bidi="fa-IR"/>
          <w:color w:val="111111"/>
          <w:sz w:val="28"/>
          <w:szCs w:val="28"/>
          <w:rtl/>
        </w:rPr>
        <w:t xml:space="preserve">۲۴۹۳. تهران؛ دانشگاه؛ شماره نسخه: ۱۰۸۴۱/۳۹</w:t>
      </w:r>
    </w:p>
    <w:p>
      <w:pPr>
        <w:pStyle w:val="BookText"/>
      </w:pPr>
      <w:r>
        <w:rPr>
          <w:rFonts w:ascii="IRNazanin" w:hAnsi="IRNazanin" w:eastAsia="IRNazanin" w:cs="IRNazanin"/>
          <w:lang w:bidi="fa-IR"/>
          <w:color w:val="111111"/>
          <w:sz w:val="28"/>
          <w:szCs w:val="28"/>
          <w:rtl/>
        </w:rPr>
        <w:t xml:space="preserve">شامل: مثنوی از میرزا قاسم جنابدی در توحید، با مطلع: «خداوند بیچون خدایی تراست *** بر اقلیم جان پادشاهی تراست»، و رباعی و تک بیت از خسرو ، مخلص خان، میر نجات؛ خط: نسخ، بی کا، بی تا؛ جلد: تیماج مشکی یک لا  ضربی، با ترنج و سرترنج، عطف قهوه ای ،بیاضی، درون قهوه ای، 1گ (۹۷ر-۹۷پ)، مختلف السطر (9</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 قطع: بیاضی،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۲۴/۵سم [ ف : ۲۰ - ۳۹۲]</w:t>
      </w:r>
    </w:p>
    <w:p>
      <w:pPr>
        <w:pStyle w:val="BookText"/>
      </w:pPr>
      <w:r>
        <w:rPr>
          <w:rFonts w:ascii="IRNazanin" w:hAnsi="IRNazanin" w:eastAsia="IRNazanin" w:cs="IRNazanin"/>
          <w:lang w:bidi="fa-IR"/>
          <w:color w:val="111111"/>
          <w:sz w:val="28"/>
          <w:szCs w:val="28"/>
          <w:rtl/>
        </w:rPr>
        <w:t xml:space="preserve">۲۴۹۴. تهران؛ دانشگاه؛ شماره نسخه: ۱۰۸۴۱/۵۰</w:t>
      </w:r>
    </w:p>
    <w:p>
      <w:pPr>
        <w:pStyle w:val="BookText"/>
      </w:pPr>
      <w:r>
        <w:rPr>
          <w:rFonts w:ascii="IRNazanin" w:hAnsi="IRNazanin" w:eastAsia="IRNazanin" w:cs="IRNazanin"/>
          <w:lang w:bidi="fa-IR"/>
          <w:color w:val="111111"/>
          <w:sz w:val="28"/>
          <w:szCs w:val="28"/>
          <w:rtl/>
        </w:rPr>
        <w:t xml:space="preserve">از: شیخ بهایی ،جامی ،منصور، مولای رومی، سلمان ساوجی،واعظ، صایب، ملا محمد تقی  شیرازی، خواجه حافظ، درویش مهدی؛ خط: نسخ، بی کا، بی تا؛ جلد: تیماج مشکی یک لا ضربی، با ترنج و سرترنج، عطف قهوه ای، درون قهوه ای، 1گ (۱۰۵ر- ۱۰۵پ)، مختلف السطر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 قطع: بیاضی،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۲۴/۵سم [ف ۲۰ - ۳۹۶]</w:t>
      </w:r>
    </w:p>
    <w:p>
      <w:pPr>
        <w:pStyle w:val="BookText"/>
      </w:pPr>
      <w:r>
        <w:rPr>
          <w:rFonts w:ascii="IRNazanin" w:hAnsi="IRNazanin" w:eastAsia="IRNazanin" w:cs="IRNazanin"/>
          <w:lang w:bidi="fa-IR"/>
          <w:color w:val="111111"/>
          <w:sz w:val="28"/>
          <w:szCs w:val="28"/>
          <w:rtl/>
        </w:rPr>
        <w:t xml:space="preserve">۲۴۹۵. تهران؛ دانشگاه؛ شماره نسخه: ۱۰۹۲۸/۳</w:t>
      </w:r>
    </w:p>
    <w:p>
      <w:pPr>
        <w:pStyle w:val="BookText"/>
      </w:pPr>
      <w:r>
        <w:rPr>
          <w:rFonts w:ascii="IRNazanin" w:hAnsi="IRNazanin" w:eastAsia="IRNazanin" w:cs="IRNazanin"/>
          <w:lang w:bidi="fa-IR"/>
          <w:color w:val="111111"/>
          <w:sz w:val="28"/>
          <w:szCs w:val="28"/>
          <w:rtl/>
        </w:rPr>
        <w:t xml:space="preserve">شامل قطعه «ابلیس شبی رفت به بالین جوانی» از ایرج میرزا، و قصيده «با کاروان حله برفتم ز سیستان» از فرخی؛ خط: شکسته نستعلیق، بی کا، بی تا؛ ،مجدول ،۴گ، سطور چلیپا (۷/۵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  ،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۲۹/۵سم [ف : ۲۰ - ۵۰۶]</w:t>
      </w:r>
    </w:p>
    <w:p>
      <w:pPr>
        <w:pStyle w:val="BookText"/>
      </w:pPr>
      <w:r>
        <w:rPr>
          <w:rFonts w:ascii="IRNazanin" w:hAnsi="IRNazanin" w:eastAsia="IRNazanin" w:cs="IRNazanin"/>
          <w:lang w:bidi="fa-IR"/>
          <w:color w:val="111111"/>
          <w:sz w:val="28"/>
          <w:szCs w:val="28"/>
          <w:rtl/>
        </w:rPr>
        <w:t xml:space="preserve">۲۴۹۶. تهران؛ دانشگاه؛ شماره نسخه: ۱۰۹۳۱/۱۱</w:t>
      </w:r>
    </w:p>
    <w:p>
      <w:pPr>
        <w:pStyle w:val="BookText"/>
      </w:pPr>
      <w:r>
        <w:rPr>
          <w:rFonts w:ascii="IRNazanin" w:hAnsi="IRNazanin" w:eastAsia="IRNazanin" w:cs="IRNazanin"/>
          <w:lang w:bidi="fa-IR"/>
          <w:color w:val="111111"/>
          <w:sz w:val="28"/>
          <w:szCs w:val="28"/>
          <w:rtl/>
        </w:rPr>
        <w:t xml:space="preserve">از: فاضلای کاشی، حیدر کلوج ،حقیری، رکنا؛ خط: نستعلیق،بی کا، بی تا؛ جلد: تیماج قهوه ای یک لا دو رو، وسط و حاشیه های آن با طرحهای اسلیمی، مجدول ،گرهی ۲گ( ۷۸ پ-۷۹ر)، سطور چلیپا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 ۲۰ - ۵۱۴]</w:t>
      </w:r>
    </w:p>
    <w:p>
      <w:pPr>
        <w:pStyle w:val="BookText"/>
      </w:pPr>
      <w:r>
        <w:rPr>
          <w:rFonts w:ascii="IRNazanin" w:hAnsi="IRNazanin" w:eastAsia="IRNazanin" w:cs="IRNazanin"/>
          <w:lang w:bidi="fa-IR"/>
          <w:color w:val="111111"/>
          <w:sz w:val="28"/>
          <w:szCs w:val="28"/>
          <w:rtl/>
        </w:rPr>
        <w:t xml:space="preserve">۲۴۹۷ . تهران؛ دانشگاه؛ شماره نسخه: ۱۰۹۵۴/۱۵</w:t>
      </w:r>
    </w:p>
    <w:p>
      <w:pPr>
        <w:pStyle w:val="BookText"/>
      </w:pPr>
      <w:r>
        <w:rPr>
          <w:rFonts w:ascii="IRNazanin" w:hAnsi="IRNazanin" w:eastAsia="IRNazanin" w:cs="IRNazanin"/>
          <w:lang w:bidi="fa-IR"/>
          <w:color w:val="111111"/>
          <w:sz w:val="28"/>
          <w:szCs w:val="28"/>
          <w:rtl/>
        </w:rPr>
        <w:t xml:space="preserve">آغاز: بلکه اصل جمله انوار از وست *** معدن و میدای نور و نار ازوست/ حالت خوابت دمی چون رخ دهد ***پس وجودت از عدم پاسخ دهد؛ انجام: این نه آن شیر است بر روی زمین *** بلکه جان شیر چرخ چارمین / دلخوری کار دل لیلی بود *** دل چه داری کار تو والا بود</w:t>
      </w:r>
    </w:p>
    <w:p>
      <w:pPr>
        <w:pStyle w:val="BookText"/>
      </w:pPr>
      <w:r>
        <w:rPr>
          <w:rFonts w:ascii="IRNazanin" w:hAnsi="IRNazanin" w:eastAsia="IRNazanin" w:cs="IRNazanin"/>
          <w:lang w:bidi="fa-IR"/>
          <w:color w:val="111111"/>
          <w:sz w:val="28"/>
          <w:szCs w:val="28"/>
          <w:rtl/>
        </w:rPr>
        <w:t xml:space="preserve">بخشی از یک مثنوی؛ خط: نسخ و نستعلیق، بی کا، بی تا؛ افتادگی: آغاز و انجام؛ ظاهراً با تخلص قدس؛ ۱۴گ (۴۲ر-۵۵پ)، اندازه: و سطور مختلف [ف: ۲۰ - ۵۴۱]</w:t>
      </w:r>
    </w:p>
    <w:p>
      <w:pPr>
        <w:pStyle w:val="BookText"/>
      </w:pPr>
      <w:r>
        <w:rPr>
          <w:rFonts w:ascii="IRNazanin" w:hAnsi="IRNazanin" w:eastAsia="IRNazanin" w:cs="IRNazanin"/>
          <w:lang w:bidi="fa-IR"/>
          <w:color w:val="111111"/>
          <w:sz w:val="28"/>
          <w:szCs w:val="28"/>
          <w:rtl/>
        </w:rPr>
        <w:t xml:space="preserve">۲۴۹۸ . تهران؛ دانشگاه؛ شماره نسخه: ۱۰۹۶۷/۸</w:t>
      </w:r>
    </w:p>
    <w:p>
      <w:pPr>
        <w:pStyle w:val="BookText"/>
      </w:pPr>
      <w:r>
        <w:rPr>
          <w:rFonts w:ascii="IRNazanin" w:hAnsi="IRNazanin" w:eastAsia="IRNazanin" w:cs="IRNazanin"/>
          <w:lang w:bidi="fa-IR"/>
          <w:color w:val="111111"/>
          <w:sz w:val="28"/>
          <w:szCs w:val="28"/>
          <w:rtl/>
        </w:rPr>
        <w:t xml:space="preserve">دفترچه کوچکی است در ۲۷ برگ با اشعاری از: محمدعلی، خسروی (که یادش در بخش اول این مجموعه گذشت)، حافظ قاآنی ،اسیری، عبدالحسین خان شیرازی مشهور به جناب انوری، صفا و اشعاری از بوستان سعدی با تاریخ ۱۵ صفر ۱۳۲ (۱۳۰۲ یا ۱۳۲۰ق) در برگ ۶ر آن؛ خط: نسخ معرب، بی کا، بی تا؛ ۳۲گ (5</w:t>
      </w:r>
      <w:r>
        <w:rPr>
          <w:rFonts w:ascii="Times New Roman" w:hAnsi="Times New Roman" w:eastAsia="Times New Roman" w:cs="Times New Roman"/>
          <w:lang w:val="en-US" w:bidi="en-US"/>
          <w:color w:val="111111"/>
          <w:sz w:val="28"/>
          <w:szCs w:val="28"/>
          <w:rtl/>
        </w:rPr>
        <w:t xml:space="preserve">×27) [</w:t>
      </w:r>
      <w:r>
        <w:rPr>
          <w:rFonts w:ascii="IRNazanin" w:hAnsi="IRNazanin" w:eastAsia="IRNazanin" w:cs="IRNazanin"/>
          <w:lang w:bidi="fa-IR"/>
          <w:color w:val="111111"/>
          <w:sz w:val="28"/>
          <w:szCs w:val="28"/>
          <w:rtl/>
        </w:rPr>
        <w:t xml:space="preserve">ف : ۲۰ - ۵۶۰]
</w:t>
      </w:r>
    </w:p>
    <w:p>
      <w:pPr>
        <w:sectPr>
          <w:footerReference w:type="default" r:id="rId9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۲۴۹۹. تهران؛ مجلس؛ شماره نسخه: ۱۵۹۴۵/۶</w:t>
      </w:r>
    </w:p>
    <w:p>
      <w:pPr>
        <w:pStyle w:val="BookText"/>
      </w:pPr>
      <w:r>
        <w:rPr>
          <w:rFonts w:ascii="IRNazanin" w:hAnsi="IRNazanin" w:eastAsia="IRNazanin" w:cs="IRNazanin"/>
          <w:lang w:bidi="fa-IR"/>
          <w:color w:val="111111"/>
          <w:sz w:val="28"/>
          <w:szCs w:val="28"/>
          <w:rtl/>
        </w:rPr>
        <w:t xml:space="preserve">از مکری، نالی و مصباح؛ خط: نسخ و نستعلیق، بی کا،بی تا جـلد: تیماج قهوه ای، ۱۵ ص (۱۷۵-۱۸۹)،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44- 150]</w:t>
      </w:r>
    </w:p>
    <w:p>
      <w:pPr>
        <w:pStyle w:val="BookText"/>
      </w:pPr>
      <w:r>
        <w:rPr>
          <w:rFonts w:ascii="IRNazanin" w:hAnsi="IRNazanin" w:eastAsia="IRNazanin" w:cs="IRNazanin"/>
          <w:lang w:bidi="fa-IR"/>
          <w:color w:val="111111"/>
          <w:sz w:val="28"/>
          <w:szCs w:val="28"/>
          <w:rtl/>
        </w:rPr>
        <w:t xml:space="preserve">۲۵۰۰. تهران؛ مجلس؛ شماره نسخه: ۱۵۹۴۵/۱۰</w:t>
      </w:r>
    </w:p>
    <w:p>
      <w:pPr>
        <w:pStyle w:val="BookText"/>
      </w:pPr>
      <w:r>
        <w:rPr>
          <w:rFonts w:ascii="IRNazanin" w:hAnsi="IRNazanin" w:eastAsia="IRNazanin" w:cs="IRNazanin"/>
          <w:lang w:bidi="fa-IR"/>
          <w:color w:val="111111"/>
          <w:sz w:val="28"/>
          <w:szCs w:val="28"/>
          <w:rtl/>
        </w:rPr>
        <w:t xml:space="preserve">از :مشتاق ،وحشی، ناصر خسرو، شوریده شیرازی و قاآنی؛ خـط: نسخ و نستعلیق، بی کا، بی تا؛ جلد: تیماج قهوه ای، ۱۱ص (246 -۲۵۶)،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۴۴ - ۱۵۰]</w:t>
      </w:r>
    </w:p>
    <w:p>
      <w:pPr>
        <w:pStyle w:val="BookText"/>
      </w:pPr>
      <w:r>
        <w:rPr>
          <w:rFonts w:ascii="IRNazanin" w:hAnsi="IRNazanin" w:eastAsia="IRNazanin" w:cs="IRNazanin"/>
          <w:lang w:bidi="fa-IR"/>
          <w:color w:val="111111"/>
          <w:sz w:val="28"/>
          <w:szCs w:val="28"/>
          <w:rtl/>
        </w:rPr>
        <w:t xml:space="preserve">۲۵۰۱. تهران؛ دائرة المعارف؛ شماره نسخه: ۱۸۷/۱-عکسی</w:t>
      </w:r>
    </w:p>
    <w:p>
      <w:pPr>
        <w:pStyle w:val="BookText"/>
      </w:pPr>
      <w:r>
        <w:rPr>
          <w:rFonts w:ascii="IRNazanin" w:hAnsi="IRNazanin" w:eastAsia="IRNazanin" w:cs="IRNazanin"/>
          <w:lang w:bidi="fa-IR"/>
          <w:color w:val="111111"/>
          <w:sz w:val="28"/>
          <w:szCs w:val="28"/>
          <w:rtl/>
        </w:rPr>
        <w:t xml:space="preserve">آغاز: عشق سلطان نشان آمد *** مالک الملک لا مکان آمـد/ غیر یک ذات در دو عالم کو *** ليس فى الكاينات الا هو؛ انجـام: غير ذات وجود او هستی نیست در دیده اولوالابصار/ غير يـک ذات در دو عالم کو *** ليس في الكاينات الا هو</w:t>
      </w:r>
    </w:p>
    <w:p>
      <w:pPr>
        <w:pStyle w:val="BookText"/>
      </w:pPr>
      <w:r>
        <w:rPr>
          <w:rFonts w:ascii="IRNazanin" w:hAnsi="IRNazanin" w:eastAsia="IRNazanin" w:cs="IRNazanin"/>
          <w:lang w:bidi="fa-IR"/>
          <w:color w:val="111111"/>
          <w:sz w:val="28"/>
          <w:szCs w:val="28"/>
          <w:rtl/>
        </w:rPr>
        <w:t xml:space="preserve">اصل نسخه: گنج بخش، ش ۷۵۳ (تسبیحی، گنج۵۰۲/۳). ترجیع: «غیر یک ذات در دو عالم کو *** ليس فى الكاينات الا هو»؛ خـط: نستعلیق زیبا، کا: عبدالله مشکین قلم حسینی، بی تا، نسخه هنری؛ 8گ (۹-۲) [ عکسی ف: ۲ - ۶۷]</w:t>
      </w:r>
    </w:p>
    <w:p>
      <w:pPr>
        <w:pStyle w:val="BookText"/>
      </w:pPr>
      <w:r>
        <w:rPr>
          <w:rFonts w:ascii="IRNazanin" w:hAnsi="IRNazanin" w:eastAsia="IRNazanin" w:cs="IRNazanin"/>
          <w:lang w:bidi="fa-IR"/>
          <w:color w:val="111111"/>
          <w:sz w:val="28"/>
          <w:szCs w:val="28"/>
          <w:rtl/>
        </w:rPr>
        <w:t xml:space="preserve">۲۵۰۲. تهران؛ دائرة المعارف؛ شماره نسخه: ۳۲۰- عکسی</w:t>
      </w:r>
    </w:p>
    <w:p>
      <w:pPr>
        <w:pStyle w:val="BookText"/>
      </w:pPr>
      <w:r>
        <w:rPr>
          <w:rFonts w:ascii="IRNazanin" w:hAnsi="IRNazanin" w:eastAsia="IRNazanin" w:cs="IRNazanin"/>
          <w:lang w:bidi="fa-IR"/>
          <w:color w:val="111111"/>
          <w:sz w:val="28"/>
          <w:szCs w:val="28"/>
          <w:rtl/>
        </w:rPr>
        <w:t xml:space="preserve">اصل نسخه: گنج بخش، ش ۷۵۹. در ۲ مجلد، جنگ سروده هاست به ترتیب حروف قافیه، سرایندگان از قرن ۱۱ق و پیش از آن؛ از غزل و قطعه و رباعی و جز آن: با سربند«باب پانزدهم در بیان غزلیات» آغاز می شود؛ خط: نستعلیق  پخته، بی کا، بی تا؛ جدول بندی زیبا و سرلوح زرین؛ 476( 1- 225)و ( 226- 476) [ عکسی ف: ۲ - ۸۵]</w:t>
      </w:r>
    </w:p>
    <w:p>
      <w:pPr>
        <w:pStyle w:val="BookText"/>
      </w:pPr>
      <w:r>
        <w:rPr>
          <w:rFonts w:ascii="IRNazanin" w:hAnsi="IRNazanin" w:eastAsia="IRNazanin" w:cs="IRNazanin"/>
          <w:lang w:bidi="fa-IR"/>
          <w:color w:val="111111"/>
          <w:sz w:val="28"/>
          <w:szCs w:val="28"/>
          <w:rtl/>
        </w:rPr>
        <w:t xml:space="preserve">۲۵۰۳ . مشهد؛ رضوی؛ شماره نسخه: ۲۸۴۸۸</w:t>
      </w:r>
    </w:p>
    <w:p>
      <w:pPr>
        <w:pStyle w:val="BookText"/>
      </w:pPr>
      <w:r>
        <w:rPr>
          <w:rFonts w:ascii="IRNazanin" w:hAnsi="IRNazanin" w:eastAsia="IRNazanin" w:cs="IRNazanin"/>
          <w:lang w:bidi="fa-IR"/>
          <w:color w:val="111111"/>
          <w:sz w:val="28"/>
          <w:szCs w:val="28"/>
          <w:rtl/>
        </w:rPr>
        <w:t xml:space="preserve">آغاز: بسمله، پادشاهی که از کمال خرد دانش آموز بوعلی سینا است؛ انجام: معصوم پاک آمده از جهل حاسدان علمش ز نور عيب خدا دان رسیده است.</w:t>
      </w:r>
    </w:p>
    <w:p>
      <w:pPr>
        <w:pStyle w:val="BookText"/>
      </w:pPr>
      <w:r>
        <w:rPr>
          <w:rFonts w:ascii="IRNazanin" w:hAnsi="IRNazanin" w:eastAsia="IRNazanin" w:cs="IRNazanin"/>
          <w:lang w:bidi="fa-IR"/>
          <w:color w:val="111111"/>
          <w:sz w:val="28"/>
          <w:szCs w:val="28"/>
          <w:rtl/>
        </w:rPr>
        <w:t xml:space="preserve">منتخب؛ خط: نستعلیق جلی، بی کا، بی تا ؛کاغذ: نخودی [رایانه]</w:t>
      </w:r>
    </w:p>
    <w:p>
      <w:pPr>
        <w:pStyle w:val="BookText"/>
      </w:pPr>
      <w:r>
        <w:rPr>
          <w:rFonts w:ascii="IRNazanin" w:hAnsi="IRNazanin" w:eastAsia="IRNazanin" w:cs="IRNazanin"/>
          <w:lang w:bidi="fa-IR"/>
          <w:color w:val="111111"/>
          <w:sz w:val="28"/>
          <w:szCs w:val="28"/>
          <w:rtl/>
        </w:rPr>
        <w:t xml:space="preserve">۲۵۰۴. تهران؛ مجلس؛ شماره نسخه: ۸۸۵۲/۴۰</w:t>
      </w:r>
    </w:p>
    <w:p>
      <w:pPr>
        <w:pStyle w:val="BookText"/>
      </w:pPr>
      <w:r>
        <w:rPr>
          <w:rFonts w:ascii="IRNazanin" w:hAnsi="IRNazanin" w:eastAsia="IRNazanin" w:cs="IRNazanin"/>
          <w:lang w:bidi="fa-IR"/>
          <w:color w:val="111111"/>
          <w:sz w:val="28"/>
          <w:szCs w:val="28"/>
          <w:rtl/>
        </w:rPr>
        <w:t xml:space="preserve">از: زمانای زرکشی، مرزا حسن واهب، مرزا جلال اسیر، ظاهرا عاملای شیرازی ،قدسی، عرفی شیرازی؛ خط: نستعلیق و شکسـته،بی کا، بی تا ؛کاغذ: نخودی آهار مهره؛ جلد: میشن قهوه ای ضربی با ترنج و سرترنج و جدول، عطف و سجاف چرم قهوه ای تیره، ۱۸ ص (۳۸۱ -۳۹۸)، مختلف السطر، اندازه: ۱۶/۱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۲۷/۸سم [ف: 29/1- 129]</w:t>
      </w:r>
    </w:p>
    <w:p>
      <w:pPr>
        <w:pStyle w:val="BookText"/>
      </w:pPr>
      <w:r>
        <w:rPr>
          <w:rFonts w:ascii="IRNazanin" w:hAnsi="IRNazanin" w:eastAsia="IRNazanin" w:cs="IRNazanin"/>
          <w:lang w:bidi="fa-IR"/>
          <w:color w:val="111111"/>
          <w:sz w:val="28"/>
          <w:szCs w:val="28"/>
          <w:rtl/>
        </w:rPr>
        <w:t xml:space="preserve">۲۵۰۵. تهران؛ مجلس؛ شماره نسخه: ۸۸۵۲/۴۲</w:t>
      </w:r>
    </w:p>
    <w:p>
      <w:pPr>
        <w:pStyle w:val="BookText"/>
      </w:pPr>
      <w:r>
        <w:rPr>
          <w:rFonts w:ascii="IRNazanin" w:hAnsi="IRNazanin" w:eastAsia="IRNazanin" w:cs="IRNazanin"/>
          <w:lang w:bidi="fa-IR"/>
          <w:color w:val="111111"/>
          <w:sz w:val="28"/>
          <w:szCs w:val="28"/>
          <w:rtl/>
        </w:rPr>
        <w:t xml:space="preserve">از محمد قلی سلیم، شاپور و ملا نادم لاهیجی؛ خط: نستعليق وشکسته، بی کا، بی تا؛ کاغذ: نخودی آهارمهره ،جلد: میشن قهوه ای ضربی با ترنج و سرترنج و جدول، عطف و سجاف چرم قهوه ای تیره، ۳ ص (۴۰۴-۴۰۶) ،مختلف السطر، اندازه: ۱۶/۱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۲۷/۸سم [ف: ۲۹/۱ - ۱۲۹]</w:t>
      </w:r>
    </w:p>
    <w:p>
      <w:pPr>
        <w:pStyle w:val="BookText"/>
      </w:pPr>
      <w:r>
        <w:rPr>
          <w:rFonts w:ascii="IRNazanin" w:hAnsi="IRNazanin" w:eastAsia="IRNazanin" w:cs="IRNazanin"/>
          <w:lang w:bidi="fa-IR"/>
          <w:color w:val="111111"/>
          <w:sz w:val="28"/>
          <w:szCs w:val="28"/>
          <w:rtl/>
        </w:rPr>
        <w:t xml:space="preserve">۲۵۰۶. تهران؛ مجلس؛ شماره نسخه: ۸۸۵۲/۴۶</w:t>
      </w:r>
    </w:p>
    <w:p>
      <w:pPr>
        <w:pStyle w:val="BookText"/>
      </w:pPr>
      <w:r>
        <w:rPr>
          <w:rFonts w:ascii="IRNazanin" w:hAnsi="IRNazanin" w:eastAsia="IRNazanin" w:cs="IRNazanin"/>
          <w:lang w:bidi="fa-IR"/>
          <w:color w:val="111111"/>
          <w:sz w:val="28"/>
          <w:szCs w:val="28"/>
          <w:rtl/>
        </w:rPr>
        <w:t xml:space="preserve">رباعیات از: مولانا مؤمن حسین میبدی، میر مغیث محوی، مولانا سروری یزدی، اوحدالدین کرمانی، سحابی نجفی، قدوه عرفاء عالم حاجی فتوحاى مقدم عليه الرحمه، دو رباعی به خطی جدید از خیام نیشابوری و طراز یزدی؛ خط: نستعلیق و شکسته، بی کا، بی تا؛ کاغذ: نخودی آهار مهره، جلد: میشن قهوه ای ضربی با ترنج و سرترنج و جدول، عطف و سجاف چرم قهوه ای تیره، ۳۰ ص (۴۹۲-۴۶۳)، اندازه: ۱۶/۱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۲۷/۸سم [ف: ۲۹/۱ - ۱۳۰]</w:t>
      </w:r>
    </w:p>
    <w:p>
      <w:pPr>
        <w:pStyle w:val="BookText"/>
      </w:pPr>
      <w:r>
        <w:rPr>
          <w:rFonts w:ascii="IRNazanin" w:hAnsi="IRNazanin" w:eastAsia="IRNazanin" w:cs="IRNazanin"/>
          <w:lang w:bidi="fa-IR"/>
          <w:color w:val="111111"/>
          <w:sz w:val="28"/>
          <w:szCs w:val="28"/>
          <w:rtl/>
        </w:rPr>
        <w:t xml:space="preserve">۲۵۰۷. تهران؛ مجلس؛ شماره نسخه: ۱۶۹۱۳/۱۳</w:t>
      </w:r>
    </w:p>
    <w:p>
      <w:pPr>
        <w:pStyle w:val="BookText"/>
      </w:pPr>
      <w:r>
        <w:rPr>
          <w:rFonts w:ascii="IRNazanin" w:hAnsi="IRNazanin" w:eastAsia="IRNazanin" w:cs="IRNazanin"/>
          <w:lang w:bidi="fa-IR"/>
          <w:color w:val="111111"/>
          <w:sz w:val="28"/>
          <w:szCs w:val="28"/>
          <w:rtl/>
        </w:rPr>
        <w:t xml:space="preserve">بی کا، بی تا؛ به خط مالک نسخه یا فرزندش که در پایان چنین یادداشتی نوشته: «روزی رفتم در کتابدان دیدم این بیاض در آنجا بود. برداشتم دیدم، ... بعضی چیزهایش خوشم آمد. برداشتم و خواندم. باین موضع رسیدم این یادگاری را نوشتم که هر کس این یادگار را بخواند دعا بکند. در تیمچه در عین ظهر در پیش آخند ملا محمد قلمی شد. در یک شنبه ۱۰ شهر رجب المرجب سنه ۱۲۲۵، این یادگار محمد حسین ولد صدق خير الحاج والمعتبرين حاجی محمد تقی آخند، هر که خواند دعا طمع دارم *** زانكه من بنده گنهکارم» [ف: ۴۷ -]</w:t>
      </w:r>
    </w:p>
    <w:p>
      <w:pPr>
        <w:pStyle w:val="BookText"/>
      </w:pPr>
      <w:r>
        <w:rPr>
          <w:rFonts w:ascii="IRNazanin" w:hAnsi="IRNazanin" w:eastAsia="IRNazanin" w:cs="IRNazanin"/>
          <w:lang w:bidi="fa-IR"/>
          <w:color w:val="111111"/>
          <w:sz w:val="28"/>
          <w:szCs w:val="28"/>
          <w:rtl/>
        </w:rPr>
        <w:t xml:space="preserve">۲۵۰۸. تهران؛ مجلس؛ شماره نسخه: ۱۰۳۳۰/۶</w:t>
      </w:r>
    </w:p>
    <w:p>
      <w:pPr>
        <w:pStyle w:val="BookText"/>
      </w:pPr>
      <w:r>
        <w:rPr>
          <w:rFonts w:ascii="IRNazanin" w:hAnsi="IRNazanin" w:eastAsia="IRNazanin" w:cs="IRNazanin"/>
          <w:lang w:bidi="fa-IR"/>
          <w:color w:val="111111"/>
          <w:sz w:val="28"/>
          <w:szCs w:val="28"/>
          <w:rtl/>
        </w:rPr>
        <w:t xml:space="preserve">آغاز: در خم این دایره نقش بند *** چند شوی بند بهر نقش بند</w:t>
      </w:r>
    </w:p>
    <w:p>
      <w:pPr>
        <w:pStyle w:val="BookText"/>
      </w:pPr>
      <w:r>
        <w:rPr>
          <w:rFonts w:ascii="IRNazanin" w:hAnsi="IRNazanin" w:eastAsia="IRNazanin" w:cs="IRNazanin"/>
          <w:lang w:bidi="fa-IR"/>
          <w:color w:val="111111"/>
          <w:sz w:val="28"/>
          <w:szCs w:val="28"/>
          <w:rtl/>
        </w:rPr>
        <w:t xml:space="preserve">در بیان حالات و اقوال خواجه نقش بند*** و نیز ذکر پیامبر و ائمه (علیهم السّلام) و بزرگان تصوف؛ خط: نستعلیق، بی کا، بی تا؛ مجدول زرین، دو ستونی؛ جلد: تیماج بنفش، ۵۱ ص (۳۳-۸۳)،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۳۲ - ۳۲۸ ]</w:t>
      </w:r>
    </w:p>
    <w:p>
      <w:pPr>
        <w:pStyle w:val="BookText"/>
      </w:pPr>
      <w:r>
        <w:rPr>
          <w:rFonts w:ascii="IRNazanin" w:hAnsi="IRNazanin" w:eastAsia="IRNazanin" w:cs="IRNazanin"/>
          <w:lang w:bidi="fa-IR"/>
          <w:color w:val="111111"/>
          <w:sz w:val="28"/>
          <w:szCs w:val="28"/>
          <w:rtl/>
        </w:rPr>
        <w:t xml:space="preserve">۲۵۰۹. تهران؛ دانشگاه؛ شماره نسخه: ۱۰۹۵۴/۵</w:t>
      </w:r>
    </w:p>
    <w:p>
      <w:pPr>
        <w:pStyle w:val="BookText"/>
      </w:pPr>
      <w:r>
        <w:rPr>
          <w:rFonts w:ascii="IRNazanin" w:hAnsi="IRNazanin" w:eastAsia="IRNazanin" w:cs="IRNazanin"/>
          <w:lang w:bidi="fa-IR"/>
          <w:color w:val="111111"/>
          <w:sz w:val="28"/>
          <w:szCs w:val="28"/>
          <w:rtl/>
        </w:rPr>
        <w:t xml:space="preserve">آغاز: بلبلانه نعره زن در روی گل *** تا کنی مشغولشان از بوی گل / تا به قل مشغول گردد گوششان *** سوی روی گل نپردهوششان؛</w:t>
      </w:r>
    </w:p>
    <w:p>
      <w:pPr>
        <w:pStyle w:val="BookText"/>
      </w:pPr>
      <w:r>
        <w:rPr>
          <w:rFonts w:ascii="IRNazanin" w:hAnsi="IRNazanin" w:eastAsia="IRNazanin" w:cs="IRNazanin"/>
          <w:lang w:bidi="fa-IR"/>
          <w:color w:val="111111"/>
          <w:sz w:val="28"/>
          <w:szCs w:val="28"/>
          <w:rtl/>
        </w:rPr>
        <w:t xml:space="preserve">مثنوی؛ خط: نسخ و نستعلیق، بی کا، بی تا؛ ۴گ (۱۲پ-۱۴ر و ۲۵ ر و پ) [ف: ۲۰ - ۵۳۹]</w:t>
      </w:r>
    </w:p>
    <w:p>
      <w:pPr>
        <w:pStyle w:val="BookText"/>
      </w:pPr>
      <w:r>
        <w:rPr>
          <w:rFonts w:ascii="IRNazanin" w:hAnsi="IRNazanin" w:eastAsia="IRNazanin" w:cs="IRNazanin"/>
          <w:lang w:bidi="fa-IR"/>
          <w:color w:val="111111"/>
          <w:sz w:val="28"/>
          <w:szCs w:val="28"/>
          <w:rtl/>
        </w:rPr>
        <w:t xml:space="preserve">۲۵۱۰. اصفهان؛ دانشگاه؛ شماره نسخه: ۶۹۹/۳</w:t>
      </w:r>
    </w:p>
    <w:p>
      <w:pPr>
        <w:pStyle w:val="BookText"/>
      </w:pPr>
      <w:r>
        <w:rPr>
          <w:rFonts w:ascii="IRNazanin" w:hAnsi="IRNazanin" w:eastAsia="IRNazanin" w:cs="IRNazanin"/>
          <w:lang w:bidi="fa-IR"/>
          <w:color w:val="111111"/>
          <w:sz w:val="28"/>
          <w:szCs w:val="28"/>
          <w:rtl/>
        </w:rPr>
        <w:t xml:space="preserve">آغاز: ای نور تو در جمله اشیا ظاهر ***وز منظر چشم اهل عرفان ناظر</w:t>
      </w:r>
    </w:p>
    <w:p>
      <w:pPr>
        <w:pStyle w:val="BookText"/>
      </w:pPr>
      <w:r>
        <w:rPr>
          <w:rFonts w:ascii="IRNazanin" w:hAnsi="IRNazanin" w:eastAsia="IRNazanin" w:cs="IRNazanin"/>
          <w:lang w:bidi="fa-IR"/>
          <w:color w:val="111111"/>
          <w:sz w:val="28"/>
          <w:szCs w:val="28"/>
          <w:rtl/>
        </w:rPr>
        <w:t xml:space="preserve">مثنوی است عرفانی و توصیه های اخلاقی، در ۳۱۰ بیت؛ خط: نستعلیق، بی کا، بی تا؛ جلد: پارچه ای گل دار، اندرون تیماج قهوه ای بدون مقوا، ۱۰ گ (۸۷پ-۷۷پ)، اندازه: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 -539]</w:t>
      </w:r>
    </w:p>
    <w:p>
      <w:pPr>
        <w:pStyle w:val="BookText"/>
      </w:pPr>
      <w:r>
        <w:rPr>
          <w:rFonts w:ascii="IRNazanin" w:hAnsi="IRNazanin" w:eastAsia="IRNazanin" w:cs="IRNazanin"/>
          <w:lang w:bidi="fa-IR"/>
          <w:color w:val="111111"/>
          <w:sz w:val="28"/>
          <w:szCs w:val="28"/>
          <w:rtl/>
        </w:rPr>
        <w:t xml:space="preserve">۲۵۱۱ .تهران؛ مجلس؛ شماره نسخه: ۱۶۹۱۳/۹۶</w:t>
      </w:r>
    </w:p>
    <w:p>
      <w:pPr>
        <w:pStyle w:val="BookText"/>
      </w:pPr>
      <w:r>
        <w:rPr>
          <w:rFonts w:ascii="IRNazanin" w:hAnsi="IRNazanin" w:eastAsia="IRNazanin" w:cs="IRNazanin"/>
          <w:lang w:bidi="fa-IR"/>
          <w:color w:val="111111"/>
          <w:sz w:val="28"/>
          <w:szCs w:val="28"/>
          <w:rtl/>
        </w:rPr>
        <w:t xml:space="preserve">گزیده اشعار صمری صفاهانی ،عادلی ،وحشی، میر والهی، صنمی کاشی، قاضی نور، سلمان ساوجی، زمانای صفاهانی، ناصر خسرو،میر اجری ،طبعی ،خصمی ،عزتی ،نظیری، ملا علی اصغر، شهیدا، میر معزی، مصلح استرآبادی، ملا سحابی، المخصوص الطوسي، قمری، خواجه نصیر، شیخ ابو علی ،مولانا، ملا ملک قمی، حکیم رکنا،، ناصر علی؛ بی کا، بی تا؛ جلد: چرمین ،3گ(225ر-۲۲۷ پ)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۳۰سم [ف: ۴۷-]
</w:t>
      </w:r>
    </w:p>
    <w:p>
      <w:pPr>
        <w:sectPr>
          <w:footerReference w:type="default" r:id="rId9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۲۵۱۲. تهران؛ مجلس؛ شماره نسخه: ۹۰۰۲/۱۹</w:t>
      </w:r>
    </w:p>
    <w:p>
      <w:pPr>
        <w:pStyle w:val="BookText"/>
      </w:pPr>
      <w:r>
        <w:rPr>
          <w:rFonts w:ascii="IRNazanin" w:hAnsi="IRNazanin" w:eastAsia="IRNazanin" w:cs="IRNazanin"/>
          <w:lang w:bidi="fa-IR"/>
          <w:color w:val="111111"/>
          <w:sz w:val="28"/>
          <w:szCs w:val="28"/>
          <w:rtl/>
        </w:rPr>
        <w:t xml:space="preserve">اشعار پراکنده ای از جامی و صایب رضی الله عنه و شوکت؛ خـط: نستعلیق، بی کا، بی تا؛ محشی؛ کاغذ: نخودی آهار مهره، جـلد:تیماج قهوه ای مجدول، ۱ص ،(۲۲۷ر)، اندازه:۱۲/۵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۱۹/۴سم [  29/2- 594]</w:t>
      </w:r>
    </w:p>
    <w:p>
      <w:pPr>
        <w:pStyle w:val="BookText"/>
      </w:pPr>
      <w:r>
        <w:rPr>
          <w:rFonts w:ascii="IRNazanin" w:hAnsi="IRNazanin" w:eastAsia="IRNazanin" w:cs="IRNazanin"/>
          <w:lang w:bidi="fa-IR"/>
          <w:color w:val="111111"/>
          <w:sz w:val="28"/>
          <w:szCs w:val="28"/>
          <w:rtl/>
        </w:rPr>
        <w:t xml:space="preserve">۲۵۱۳. اراک؛ دهگان؛ شماره نسخه: ۱۳۵/۲۸</w:t>
      </w:r>
    </w:p>
    <w:p>
      <w:pPr>
        <w:pStyle w:val="BookText"/>
      </w:pPr>
      <w:r>
        <w:rPr>
          <w:rFonts w:ascii="IRNazanin" w:hAnsi="IRNazanin" w:eastAsia="IRNazanin" w:cs="IRNazanin"/>
          <w:lang w:bidi="fa-IR"/>
          <w:color w:val="111111"/>
          <w:sz w:val="28"/>
          <w:szCs w:val="28"/>
          <w:rtl/>
        </w:rPr>
        <w:t xml:space="preserve">ابیاتی است با گزین این دو بیت: باز به طرف چمن از اثر نو بهار *** آنچه بدل غنچه داشت کرده صبا آشکار / هر که را امروز با من در سخن دعوا بود ***مات ماند ور بدانش بوعلی سینا بود؛</w:t>
      </w:r>
    </w:p>
    <w:p>
      <w:pPr>
        <w:pStyle w:val="BookText"/>
      </w:pPr>
      <w:r>
        <w:rPr>
          <w:rFonts w:ascii="IRNazanin" w:hAnsi="IRNazanin" w:eastAsia="IRNazanin" w:cs="IRNazanin"/>
          <w:lang w:bidi="fa-IR"/>
          <w:color w:val="111111"/>
          <w:sz w:val="28"/>
          <w:szCs w:val="28"/>
          <w:rtl/>
        </w:rPr>
        <w:t xml:space="preserve">خط: نستعلیق، بی كا، بی تا؛ اشعار دوستونی و سه ستونی؛ کاغذ: نخودی آسمانی ،جلد: تیماج مشکی مقوایی، ۱۳گ (۶۵۰پ-۶۶۲ پ)، قطع: وزیری،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۱ - ۱۶۲]</w:t>
      </w:r>
    </w:p>
    <w:p>
      <w:pPr>
        <w:pStyle w:val="BookText"/>
      </w:pPr>
      <w:r>
        <w:rPr>
          <w:rFonts w:ascii="IRNazanin" w:hAnsi="IRNazanin" w:eastAsia="IRNazanin" w:cs="IRNazanin"/>
          <w:lang w:bidi="fa-IR"/>
          <w:color w:val="111111"/>
          <w:sz w:val="28"/>
          <w:szCs w:val="28"/>
          <w:rtl/>
        </w:rPr>
        <w:t xml:space="preserve">۲۵۱۴. مشهد؛ رضوی؛ شماره نسخه: ۱۵۶۳۶</w:t>
      </w:r>
    </w:p>
    <w:p>
      <w:pPr>
        <w:pStyle w:val="BookText"/>
      </w:pPr>
      <w:r>
        <w:rPr>
          <w:rFonts w:ascii="IRNazanin" w:hAnsi="IRNazanin" w:eastAsia="IRNazanin" w:cs="IRNazanin"/>
          <w:lang w:bidi="fa-IR"/>
          <w:color w:val="111111"/>
          <w:sz w:val="28"/>
          <w:szCs w:val="28"/>
          <w:rtl/>
        </w:rPr>
        <w:t xml:space="preserve">آغاز: بسمله الا یا ایها الساقی ادر کاسا و ناولها؛ انجام: زین معما هیچ دانا در جهان آگاه نیست.</w:t>
      </w:r>
    </w:p>
    <w:p>
      <w:pPr>
        <w:pStyle w:val="BookText"/>
      </w:pPr>
      <w:r>
        <w:rPr>
          <w:rFonts w:ascii="IRNazanin" w:hAnsi="IRNazanin" w:eastAsia="IRNazanin" w:cs="IRNazanin"/>
          <w:lang w:bidi="fa-IR"/>
          <w:color w:val="111111"/>
          <w:sz w:val="28"/>
          <w:szCs w:val="28"/>
          <w:rtl/>
        </w:rPr>
        <w:t xml:space="preserve">منتخبی از سعدی و حافظ؛ خط: نستعلیق شکسته، بی کا، بی تا؛ واقف: محمد هادی متکلم [رایانه]</w:t>
      </w:r>
    </w:p>
    <w:p>
      <w:pPr>
        <w:pStyle w:val="BookText"/>
      </w:pPr>
      <w:r>
        <w:rPr>
          <w:rFonts w:ascii="IRNazanin" w:hAnsi="IRNazanin" w:eastAsia="IRNazanin" w:cs="IRNazanin"/>
          <w:lang w:bidi="fa-IR"/>
          <w:color w:val="111111"/>
          <w:sz w:val="28"/>
          <w:szCs w:val="28"/>
          <w:rtl/>
        </w:rPr>
        <w:t xml:space="preserve">۲۵۱۵. مشهد؛ رضوی؛ شماره نسخه: ۲۳۱۰۲</w:t>
      </w:r>
    </w:p>
    <w:p>
      <w:pPr>
        <w:pStyle w:val="BookText"/>
      </w:pPr>
      <w:r>
        <w:rPr>
          <w:rFonts w:ascii="IRNazanin" w:hAnsi="IRNazanin" w:eastAsia="IRNazanin" w:cs="IRNazanin"/>
          <w:lang w:bidi="fa-IR"/>
          <w:color w:val="111111"/>
          <w:sz w:val="28"/>
          <w:szCs w:val="28"/>
          <w:rtl/>
        </w:rPr>
        <w:t xml:space="preserve">آغاز: بسمله ای وجود تواصل هر موجود؛ انجام: بلبل باغ دین توست هلال</w:t>
      </w:r>
    </w:p>
    <w:p>
      <w:pPr>
        <w:pStyle w:val="BookText"/>
      </w:pPr>
      <w:r>
        <w:rPr>
          <w:rFonts w:ascii="IRNazanin" w:hAnsi="IRNazanin" w:eastAsia="IRNazanin" w:cs="IRNazanin"/>
          <w:lang w:bidi="fa-IR"/>
          <w:color w:val="111111"/>
          <w:sz w:val="28"/>
          <w:szCs w:val="28"/>
          <w:rtl/>
        </w:rPr>
        <w:t xml:space="preserve">خط: نستعلیق، بی کا، بی تا؛ ناظم: هلال [رایانه]</w:t>
      </w:r>
    </w:p>
    <w:p>
      <w:pPr>
        <w:pStyle w:val="BookText"/>
      </w:pPr>
      <w:r>
        <w:rPr>
          <w:rFonts w:ascii="IRNazanin" w:hAnsi="IRNazanin" w:eastAsia="IRNazanin" w:cs="IRNazanin"/>
          <w:lang w:bidi="fa-IR"/>
          <w:color w:val="111111"/>
          <w:sz w:val="28"/>
          <w:szCs w:val="28"/>
          <w:rtl/>
        </w:rPr>
        <w:t xml:space="preserve">۲۵۱۶ . مشهد؛ مدرسه آیة الله خوئی؛ شماره نسخه: ۲۶۷/۳</w:t>
      </w:r>
    </w:p>
    <w:p>
      <w:pPr>
        <w:pStyle w:val="BookText"/>
      </w:pPr>
      <w:r>
        <w:rPr>
          <w:rFonts w:ascii="IRNazanin" w:hAnsi="IRNazanin" w:eastAsia="IRNazanin" w:cs="IRNazanin"/>
          <w:lang w:bidi="fa-IR"/>
          <w:color w:val="111111"/>
          <w:sz w:val="28"/>
          <w:szCs w:val="28"/>
          <w:rtl/>
        </w:rPr>
        <w:t xml:space="preserve">اشعار و قصاید پراکنده؛ بی کا، بی تا [اوراق عتیق: ۱ - ۲۵۵]</w:t>
      </w:r>
    </w:p>
    <w:p>
      <w:pPr>
        <w:pStyle w:val="BookText"/>
      </w:pPr>
      <w:r>
        <w:rPr>
          <w:rFonts w:ascii="IRNazanin" w:hAnsi="IRNazanin" w:eastAsia="IRNazanin" w:cs="IRNazanin"/>
          <w:lang w:bidi="fa-IR"/>
          <w:color w:val="111111"/>
          <w:sz w:val="28"/>
          <w:szCs w:val="28"/>
          <w:rtl/>
        </w:rPr>
        <w:t xml:space="preserve">۲۵۱۷. مشهد؛ مدرسه آیة الله خوئی؛ شماره نسخه: ۱۸۱/۶</w:t>
      </w:r>
    </w:p>
    <w:p>
      <w:pPr>
        <w:pStyle w:val="BookText"/>
      </w:pPr>
      <w:r>
        <w:rPr>
          <w:rFonts w:ascii="IRNazanin" w:hAnsi="IRNazanin" w:eastAsia="IRNazanin" w:cs="IRNazanin"/>
          <w:lang w:bidi="fa-IR"/>
          <w:color w:val="111111"/>
          <w:sz w:val="28"/>
          <w:szCs w:val="28"/>
          <w:rtl/>
        </w:rPr>
        <w:t xml:space="preserve">اشعار و قصاید؛ متفرقه؛ بی کا، بی تا [اوراق عتيق: ۱ - ۲۵۲]</w:t>
      </w:r>
    </w:p>
    <w:p>
      <w:pPr>
        <w:pStyle w:val="BookText"/>
      </w:pPr>
      <w:r>
        <w:rPr>
          <w:rFonts w:ascii="IRNazanin" w:hAnsi="IRNazanin" w:eastAsia="IRNazanin" w:cs="IRNazanin"/>
          <w:lang w:bidi="fa-IR"/>
          <w:color w:val="111111"/>
          <w:sz w:val="28"/>
          <w:szCs w:val="28"/>
          <w:rtl/>
        </w:rPr>
        <w:t xml:space="preserve">۲۵۱۸. یزد؛ وزیری؛ شماره نسخه: ۴۲۸۵</w:t>
      </w:r>
    </w:p>
    <w:p>
      <w:pPr>
        <w:pStyle w:val="BookText"/>
      </w:pPr>
      <w:r>
        <w:rPr>
          <w:rFonts w:ascii="IRNazanin" w:hAnsi="IRNazanin" w:eastAsia="IRNazanin" w:cs="IRNazanin"/>
          <w:lang w:bidi="fa-IR"/>
          <w:color w:val="111111"/>
          <w:sz w:val="28"/>
          <w:szCs w:val="28"/>
          <w:rtl/>
        </w:rPr>
        <w:t xml:space="preserve">اشعار و مواعظ؛ بی کا، بی تا [ نشریه: ۱۳ - ۳۸۳]</w:t>
      </w:r>
    </w:p>
    <w:p>
      <w:pPr>
        <w:pStyle w:val="BookText"/>
      </w:pPr>
      <w:r>
        <w:rPr>
          <w:rFonts w:ascii="IRNazanin" w:hAnsi="IRNazanin" w:eastAsia="IRNazanin" w:cs="IRNazanin"/>
          <w:lang w:bidi="fa-IR"/>
          <w:color w:val="111111"/>
          <w:sz w:val="28"/>
          <w:szCs w:val="28"/>
          <w:rtl/>
        </w:rPr>
        <w:t xml:space="preserve">۲۵۱۹. یزد؛ وزیری؛ شماره نسخه: ۴۲۸۶</w:t>
      </w:r>
    </w:p>
    <w:p>
      <w:pPr>
        <w:pStyle w:val="BookText"/>
      </w:pPr>
      <w:r>
        <w:rPr>
          <w:rFonts w:ascii="IRNazanin" w:hAnsi="IRNazanin" w:eastAsia="IRNazanin" w:cs="IRNazanin"/>
          <w:lang w:bidi="fa-IR"/>
          <w:color w:val="111111"/>
          <w:sz w:val="28"/>
          <w:szCs w:val="28"/>
          <w:rtl/>
        </w:rPr>
        <w:t xml:space="preserve">اشعار و مواعظ؛ بی کا، بی تا [ نشریه: ۱۳ – ۳۸۳]</w:t>
      </w:r>
    </w:p>
    <w:p>
      <w:pPr>
        <w:pStyle w:val="BookText"/>
      </w:pPr>
      <w:r>
        <w:rPr>
          <w:rFonts w:ascii="IRNazanin" w:hAnsi="IRNazanin" w:eastAsia="IRNazanin" w:cs="IRNazanin"/>
          <w:lang w:bidi="fa-IR"/>
          <w:color w:val="111111"/>
          <w:sz w:val="28"/>
          <w:szCs w:val="28"/>
          <w:rtl/>
        </w:rPr>
        <w:t xml:space="preserve">مشهد؛ رضوی؛ شماره نسخه: ۲۷۵۰۰</w:t>
      </w:r>
    </w:p>
    <w:p>
      <w:pPr>
        <w:pStyle w:val="BookText"/>
      </w:pPr>
      <w:r>
        <w:rPr>
          <w:rFonts w:ascii="IRNazanin" w:hAnsi="IRNazanin" w:eastAsia="IRNazanin" w:cs="IRNazanin"/>
          <w:lang w:bidi="fa-IR"/>
          <w:color w:val="111111"/>
          <w:sz w:val="28"/>
          <w:szCs w:val="28"/>
          <w:rtl/>
        </w:rPr>
        <w:t xml:space="preserve">آغاز: خدایرا بدهم من قسم به صاحب تربت، به مقتضای نوشته ز روز؛ انجام: هر که سخت دلش شود خرم، خصم کو گلان را سوراخ است</w:t>
      </w:r>
    </w:p>
    <w:p>
      <w:pPr>
        <w:pStyle w:val="BookText"/>
      </w:pPr>
      <w:r>
        <w:rPr>
          <w:rFonts w:ascii="IRNazanin" w:hAnsi="IRNazanin" w:eastAsia="IRNazanin" w:cs="IRNazanin"/>
          <w:lang w:bidi="fa-IR"/>
          <w:color w:val="111111"/>
          <w:sz w:val="28"/>
          <w:szCs w:val="28"/>
          <w:rtl/>
        </w:rPr>
        <w:t xml:space="preserve">گزیده اشعاری است که ظاهراً برای استفاده شخصی در دفتر یادداشت نوشته شده است. بسیاری از اشعار از حافظ و سعدی اند و بقیه بیشتر تک بیت هایی از دیگر شاعران، کاتب به نام همه شاعران اشاراه نکرده و اینها شعرایی اند که به نامشان اشاره شـده است: قطاری ،فطرت ،فنایی ،مشرقی ،نزاری ،بیانی ،خواجو، عـماد فقیه ،وحشی ،ناصری ،همایی، رضی الدین ،شاهدی ،صفی، بنایی ،عطار ،نظیری ،آصفی ،حیدر ،قتالی ،طلحه، خیام؛ خط: نستعـلیق تحریری، بی کا، بی تا؛ افتادگی: آغاز و انجام؛ کاغذ: نخود ی،جلد:تیماج [رایانه]</w:t>
      </w:r>
    </w:p>
    <w:p>
      <w:pPr>
        <w:pStyle w:val="BookText"/>
      </w:pPr>
      <w:r>
        <w:rPr>
          <w:rFonts w:ascii="IRNazanin" w:hAnsi="IRNazanin" w:eastAsia="IRNazanin" w:cs="IRNazanin"/>
          <w:lang w:bidi="fa-IR"/>
          <w:color w:val="111111"/>
          <w:sz w:val="28"/>
          <w:szCs w:val="28"/>
          <w:rtl/>
        </w:rPr>
        <w:t xml:space="preserve">۲۵۲۰ . مشهد؛ رضوی؛ شماره نسخه: ۲۸۷۲۱</w:t>
      </w:r>
    </w:p>
    <w:p>
      <w:pPr>
        <w:pStyle w:val="BookText"/>
      </w:pPr>
      <w:r>
        <w:rPr>
          <w:rFonts w:ascii="IRNazanin" w:hAnsi="IRNazanin" w:eastAsia="IRNazanin" w:cs="IRNazanin"/>
          <w:lang w:bidi="fa-IR"/>
          <w:color w:val="111111"/>
          <w:sz w:val="28"/>
          <w:szCs w:val="28"/>
          <w:rtl/>
        </w:rPr>
        <w:t xml:space="preserve">آغاز: بسمله صبا بهبینی لک آن نگار زیبا را بعرض آن برسان از من این معما را؛ انجام: خیام سوخته اطفل روی در حجره زکین بگردن عابد طناب می بینم</w:t>
      </w:r>
    </w:p>
    <w:p>
      <w:pPr>
        <w:pStyle w:val="BookText"/>
      </w:pPr>
      <w:r>
        <w:rPr>
          <w:rFonts w:ascii="IRNazanin" w:hAnsi="IRNazanin" w:eastAsia="IRNazanin" w:cs="IRNazanin"/>
          <w:lang w:bidi="fa-IR"/>
          <w:color w:val="111111"/>
          <w:sz w:val="28"/>
          <w:szCs w:val="28"/>
          <w:rtl/>
        </w:rPr>
        <w:t xml:space="preserve">گزیده اشعاری است که ظاهراً برای استفاده شخصی در دفتر یادداشت نوشته شده است، بسیاری از اشعار از حافظ وسعدی اند و بقیه بیشتر تک بیت هایی از دیگر شاعران. کاتب به نام همه شاعران اشاراه نکرده و اینها شعرایی اند که به نامشان اشاره شده است: قطاری ،فطرت ،فنایی ،مشرقی ،نزاری، بیانی، خواجو، عماد ،فقیه ،وحشی ،ناصری، همایی، رضی الدین، شاهدی، صفی، بنایی ،عطار ،نظیری ،آصفی ،حیدر ،قتالی ،طلحه، خیام؛ خط: شکسته نستعلیق، بی کا، بی تا؛ کاغذ: نخودی، جلد: تیماج ضربی [رایانه]</w:t>
      </w:r>
    </w:p>
    <w:p>
      <w:pPr>
        <w:pStyle w:val="BookText"/>
      </w:pPr>
      <w:r>
        <w:rPr>
          <w:rFonts w:ascii="IRNazanin" w:hAnsi="IRNazanin" w:eastAsia="IRNazanin" w:cs="IRNazanin"/>
          <w:lang w:bidi="fa-IR"/>
          <w:color w:val="111111"/>
          <w:sz w:val="28"/>
          <w:szCs w:val="28"/>
          <w:rtl/>
        </w:rPr>
        <w:t xml:space="preserve">۲۵۲۱. مشهد؛ رضوی؛ شماره نسخه: ۲۸۷۲۲</w:t>
      </w:r>
    </w:p>
    <w:p>
      <w:pPr>
        <w:pStyle w:val="BookText"/>
      </w:pPr>
      <w:r>
        <w:rPr>
          <w:rFonts w:ascii="IRNazanin" w:hAnsi="IRNazanin" w:eastAsia="IRNazanin" w:cs="IRNazanin"/>
          <w:lang w:bidi="fa-IR"/>
          <w:color w:val="111111"/>
          <w:sz w:val="28"/>
          <w:szCs w:val="28"/>
          <w:rtl/>
        </w:rPr>
        <w:t xml:space="preserve">آغاز: بسمله، سردفتر بنام خالق مخلوق بس همتا که حمدش می کند هرانس جن می برم؛ انجام: نیست چون تقی خیلط گرفتار دگر غیر این خادم رواو کو بیمار دگر</w:t>
      </w:r>
    </w:p>
    <w:p>
      <w:pPr>
        <w:pStyle w:val="BookText"/>
      </w:pPr>
      <w:r>
        <w:rPr>
          <w:rFonts w:ascii="IRNazanin" w:hAnsi="IRNazanin" w:eastAsia="IRNazanin" w:cs="IRNazanin"/>
          <w:lang w:bidi="fa-IR"/>
          <w:color w:val="111111"/>
          <w:sz w:val="28"/>
          <w:szCs w:val="28"/>
          <w:rtl/>
        </w:rPr>
        <w:t xml:space="preserve">گزیده اشعاری است که ظاهراً برای استفاده شخصی در دفتر یادداشت نوشته شده است؛ خط: نستعلیق تحریری، بی کا، بی تا؛ کاغذ: نخودی، جلد: تیماج [رایانه]</w:t>
      </w:r>
    </w:p>
    <w:p>
      <w:pPr>
        <w:pStyle w:val="BookText"/>
      </w:pPr>
      <w:r>
        <w:rPr>
          <w:rFonts w:ascii="IRNazanin" w:hAnsi="IRNazanin" w:eastAsia="IRNazanin" w:cs="IRNazanin"/>
          <w:lang w:bidi="fa-IR"/>
          <w:color w:val="111111"/>
          <w:sz w:val="28"/>
          <w:szCs w:val="28"/>
          <w:rtl/>
        </w:rPr>
        <w:t xml:space="preserve">۲۵۲۲. مشهد؛ رضوی؛ شماره نسخه: ۲۸۷۴۱</w:t>
      </w:r>
    </w:p>
    <w:p>
      <w:pPr>
        <w:pStyle w:val="BookText"/>
      </w:pPr>
      <w:r>
        <w:rPr>
          <w:rFonts w:ascii="IRNazanin" w:hAnsi="IRNazanin" w:eastAsia="IRNazanin" w:cs="IRNazanin"/>
          <w:lang w:bidi="fa-IR"/>
          <w:color w:val="111111"/>
          <w:sz w:val="28"/>
          <w:szCs w:val="28"/>
          <w:rtl/>
        </w:rPr>
        <w:t xml:space="preserve">آغاز: با زور عرش برین با یک غم وزای شد درخون ؛</w:t>
      </w:r>
    </w:p>
    <w:p>
      <w:pPr>
        <w:pStyle w:val="BookText"/>
      </w:pPr>
      <w:r>
        <w:rPr>
          <w:rFonts w:ascii="IRNazanin" w:hAnsi="IRNazanin" w:eastAsia="IRNazanin" w:cs="IRNazanin"/>
          <w:lang w:bidi="fa-IR"/>
          <w:color w:val="111111"/>
          <w:sz w:val="28"/>
          <w:szCs w:val="28"/>
          <w:rtl/>
        </w:rPr>
        <w:t xml:space="preserve">انجام: روح الامین نهاده بزالوسر حجاب تاریک شد زدیده او چشم آفتاب</w:t>
      </w:r>
    </w:p>
    <w:p>
      <w:pPr>
        <w:pStyle w:val="BookText"/>
      </w:pPr>
      <w:r>
        <w:rPr>
          <w:rFonts w:ascii="IRNazanin" w:hAnsi="IRNazanin" w:eastAsia="IRNazanin" w:cs="IRNazanin"/>
          <w:lang w:bidi="fa-IR"/>
          <w:color w:val="111111"/>
          <w:sz w:val="28"/>
          <w:szCs w:val="28"/>
          <w:rtl/>
        </w:rPr>
        <w:t xml:space="preserve">خط: نستعلیق، بی کا، بی تا؛ افتادگی: آغاز و انجام؛ کاغذ: الوان، جلد: تیماج ضربی، برون جلد به حواشی زنجیره ای ضربی مزین شده است [رایانه]</w:t>
      </w:r>
    </w:p>
    <w:p>
      <w:pPr>
        <w:pStyle w:val="BookText"/>
      </w:pPr>
      <w:r>
        <w:rPr>
          <w:rFonts w:ascii="IRNazanin" w:hAnsi="IRNazanin" w:eastAsia="IRNazanin" w:cs="IRNazanin"/>
          <w:lang w:bidi="fa-IR"/>
          <w:color w:val="111111"/>
          <w:sz w:val="28"/>
          <w:szCs w:val="28"/>
          <w:rtl/>
        </w:rPr>
        <w:t xml:space="preserve">۲۵۲۳ . مشهد؛ رضوی؛ شماره نسخه: ۲۳۰۹۵</w:t>
      </w:r>
    </w:p>
    <w:p>
      <w:pPr>
        <w:pStyle w:val="BookText"/>
      </w:pPr>
      <w:r>
        <w:rPr>
          <w:rFonts w:ascii="IRNazanin" w:hAnsi="IRNazanin" w:eastAsia="IRNazanin" w:cs="IRNazanin"/>
          <w:lang w:bidi="fa-IR"/>
          <w:color w:val="111111"/>
          <w:sz w:val="28"/>
          <w:szCs w:val="28"/>
          <w:rtl/>
        </w:rPr>
        <w:t xml:space="preserve">آغاز: بعزم توبه سحر گفتم استخاره کنم؛ انجام: گویم که دارای کاروانست</w:t>
      </w:r>
    </w:p>
    <w:p>
      <w:pPr>
        <w:pStyle w:val="BookText"/>
      </w:pPr>
      <w:r>
        <w:rPr>
          <w:rFonts w:ascii="IRNazanin" w:hAnsi="IRNazanin" w:eastAsia="IRNazanin" w:cs="IRNazanin"/>
          <w:lang w:bidi="fa-IR"/>
          <w:color w:val="111111"/>
          <w:sz w:val="28"/>
          <w:szCs w:val="28"/>
          <w:rtl/>
        </w:rPr>
        <w:t xml:space="preserve">خط: نستعلیق شکسته، بی کا، بی تا ؛کاغذ: نخودی، جلد: تیماج ضربی[ رایانه ]</w:t>
      </w:r>
    </w:p>
    <w:p>
      <w:pPr>
        <w:pStyle w:val="BookText"/>
      </w:pPr>
      <w:r>
        <w:rPr>
          <w:rFonts w:ascii="IRNazanin" w:hAnsi="IRNazanin" w:eastAsia="IRNazanin" w:cs="IRNazanin"/>
          <w:lang w:bidi="fa-IR"/>
          <w:color w:val="111111"/>
          <w:sz w:val="28"/>
          <w:szCs w:val="28"/>
          <w:rtl/>
        </w:rPr>
        <w:t xml:space="preserve">۲۵۲۴ . مشهد؛ رضوی؛ شماره نسخه: ۱۰۹۵۴</w:t>
      </w:r>
    </w:p>
    <w:p>
      <w:pPr>
        <w:pStyle w:val="BookText"/>
      </w:pPr>
      <w:r>
        <w:rPr>
          <w:rFonts w:ascii="IRNazanin" w:hAnsi="IRNazanin" w:eastAsia="IRNazanin" w:cs="IRNazanin"/>
          <w:lang w:bidi="fa-IR"/>
          <w:color w:val="111111"/>
          <w:sz w:val="28"/>
          <w:szCs w:val="28"/>
          <w:rtl/>
        </w:rPr>
        <w:t xml:space="preserve">آغاز: ای ز پیدایی خود بس ناپدید جمله عالم نو و کس ما ندید؛</w:t>
      </w:r>
    </w:p>
    <w:p>
      <w:pPr>
        <w:pStyle w:val="BookText"/>
      </w:pPr>
      <w:r>
        <w:rPr>
          <w:rFonts w:ascii="IRNazanin" w:hAnsi="IRNazanin" w:eastAsia="IRNazanin" w:cs="IRNazanin"/>
          <w:lang w:bidi="fa-IR"/>
          <w:color w:val="111111"/>
          <w:sz w:val="28"/>
          <w:szCs w:val="28"/>
          <w:rtl/>
        </w:rPr>
        <w:t xml:space="preserve">انجام: شومی و بی شرمی ما در گذار شوخ ما پیش چشم مامیار.</w:t>
      </w:r>
    </w:p>
    <w:p>
      <w:pPr>
        <w:pStyle w:val="BookText"/>
      </w:pPr>
      <w:r>
        <w:rPr>
          <w:rFonts w:ascii="IRNazanin" w:hAnsi="IRNazanin" w:eastAsia="IRNazanin" w:cs="IRNazanin"/>
          <w:lang w:bidi="fa-IR"/>
          <w:color w:val="111111"/>
          <w:sz w:val="28"/>
          <w:szCs w:val="28"/>
          <w:rtl/>
        </w:rPr>
        <w:t xml:space="preserve">تمام</w:t>
      </w:r>
    </w:p>
    <w:p>
      <w:pPr>
        <w:pStyle w:val="BookText"/>
      </w:pPr>
      <w:r>
        <w:rPr>
          <w:rFonts w:ascii="IRNazanin" w:hAnsi="IRNazanin" w:eastAsia="IRNazanin" w:cs="IRNazanin"/>
          <w:lang w:bidi="fa-IR"/>
          <w:color w:val="111111"/>
          <w:sz w:val="28"/>
          <w:szCs w:val="28"/>
          <w:rtl/>
        </w:rPr>
        <w:t xml:space="preserve">خط: نستعلیق، بی کا، بی تا؛ افتادگی: آغاز؛ کاغذ: نخودی، جلد: مقوا با رویه پارچه [رایانه]</w:t>
      </w:r>
    </w:p>
    <w:p>
      <w:pPr>
        <w:pStyle w:val="BookText"/>
      </w:pPr>
      <w:r>
        <w:rPr>
          <w:rFonts w:ascii="IRNazanin" w:hAnsi="IRNazanin" w:eastAsia="IRNazanin" w:cs="IRNazanin"/>
          <w:lang w:bidi="fa-IR"/>
          <w:color w:val="111111"/>
          <w:sz w:val="28"/>
          <w:szCs w:val="28"/>
          <w:rtl/>
        </w:rPr>
        <w:t xml:space="preserve">۲۵۲۵. مشهد؛ رضوی؛ شماره نسخه: ۲۴۸۳۶</w:t>
      </w:r>
    </w:p>
    <w:p>
      <w:pPr>
        <w:pStyle w:val="BookText"/>
      </w:pPr>
      <w:r>
        <w:rPr>
          <w:rFonts w:ascii="IRNazanin" w:hAnsi="IRNazanin" w:eastAsia="IRNazanin" w:cs="IRNazanin"/>
          <w:lang w:bidi="fa-IR"/>
          <w:color w:val="111111"/>
          <w:sz w:val="28"/>
          <w:szCs w:val="28"/>
          <w:rtl/>
        </w:rPr>
        <w:t xml:space="preserve">آغاز: الفصل الاول، الباب الأول من القسم الاول؛ انجام: در تو عیبی نیست گر بود</w:t>
      </w:r>
    </w:p>
    <w:p>
      <w:pPr>
        <w:pStyle w:val="BookText"/>
      </w:pPr>
      <w:r>
        <w:rPr>
          <w:rFonts w:ascii="IRNazanin" w:hAnsi="IRNazanin" w:eastAsia="IRNazanin" w:cs="IRNazanin"/>
          <w:lang w:bidi="fa-IR"/>
          <w:color w:val="111111"/>
          <w:sz w:val="28"/>
          <w:szCs w:val="28"/>
          <w:rtl/>
        </w:rPr>
        <w:t xml:space="preserve">خط: نسخ، بی کا، بی تا؛ افتادگی: انجام؛ کاغذ: نخودی، جلد: مقوا با عطف و گوشه تیماج [رایانه]</w:t>
      </w:r>
    </w:p>
    <w:p>
      <w:pPr>
        <w:pStyle w:val="BookText"/>
      </w:pPr>
      <w:r>
        <w:rPr>
          <w:rFonts w:ascii="IRNazanin" w:hAnsi="IRNazanin" w:eastAsia="IRNazanin" w:cs="IRNazanin"/>
          <w:lang w:bidi="fa-IR"/>
          <w:color w:val="111111"/>
          <w:sz w:val="28"/>
          <w:szCs w:val="28"/>
          <w:rtl/>
        </w:rPr>
        <w:t xml:space="preserve">۲۵۲۶. تهران؛ مجلس؛ شماره نسخه: ۱۵۹۱۱/۱۴</w:t>
      </w:r>
    </w:p>
    <w:p>
      <w:pPr>
        <w:pStyle w:val="BookText"/>
      </w:pPr>
      <w:r>
        <w:rPr>
          <w:rFonts w:ascii="IRNazanin" w:hAnsi="IRNazanin" w:eastAsia="IRNazanin" w:cs="IRNazanin"/>
          <w:lang w:bidi="fa-IR"/>
          <w:color w:val="111111"/>
          <w:sz w:val="28"/>
          <w:szCs w:val="28"/>
          <w:rtl/>
        </w:rPr>
        <w:t xml:space="preserve">خط: نسخ و نستعلیق، بی کا، بی تا؛ جلد: تیماج قهوه ای، ۴ص (۹۹ -
</w:t>
      </w:r>
    </w:p>
    <w:p>
      <w:pPr>
        <w:sectPr>
          <w:footerReference w:type="default" r:id="rId965"/>
          <w:footnotePr>
            <w:numStart w:val="1"/>
            <w:numRestart w:val="eachPage"/>
          </w:footnotePr>
          <w:pgSz w:orient="portrait" w:w="11905.511811023622" w:h="16837.79527559055"/>
          <w:pgMar w:top="1440" w:right="1440" w:bottom="1440" w:left="1440" w:header="720" w:footer="720" w:gutter="0"/>
          <w:cols w:num="1" w:space="720"/>
        </w:sectPr>
      </w:pPr>
    </w:p>
    <w:bookmarkStart w:id="423" w:name="pg20365_260901"/>
    <w:bookmarkEnd w:id="423"/>
    <w:p>
      <w:pPr>
        <w:pStyle w:val="BookText"/>
      </w:pPr>
      <w:r>
        <w:rPr>
          <w:rFonts w:ascii="IRNazanin" w:hAnsi="IRNazanin" w:eastAsia="IRNazanin" w:cs="IRNazanin"/>
          <w:lang w:bidi="fa-IR"/>
          <w:color w:val="111111"/>
          <w:sz w:val="28"/>
          <w:szCs w:val="28"/>
          <w:rtl/>
        </w:rPr>
        <w:t xml:space="preserve">۱۰۲) اندازه: ۱۹/۵۲۰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۲۷/۵سم [ف: ۴۴ - ۱۲۹]</w:t>
      </w:r>
    </w:p>
    <w:p>
      <w:pPr>
        <w:pStyle w:val="BookText"/>
      </w:pPr>
      <w:r>
        <w:rPr>
          <w:rFonts w:ascii="IRNazanin" w:hAnsi="IRNazanin" w:eastAsia="IRNazanin" w:cs="IRNazanin"/>
          <w:lang w:bidi="fa-IR"/>
          <w:color w:val="111111"/>
          <w:sz w:val="28"/>
          <w:szCs w:val="28"/>
          <w:rtl/>
        </w:rPr>
        <w:t xml:space="preserve">۲۵۲۷. تهران؛ دانشگاه؛ شماره نسخه: ۱۰۹۵۴/۶</w:t>
      </w:r>
    </w:p>
    <w:p>
      <w:pPr>
        <w:pStyle w:val="BookText"/>
      </w:pPr>
      <w:r>
        <w:rPr>
          <w:rFonts w:ascii="IRNazanin" w:hAnsi="IRNazanin" w:eastAsia="IRNazanin" w:cs="IRNazanin"/>
          <w:lang w:bidi="fa-IR"/>
          <w:color w:val="111111"/>
          <w:sz w:val="28"/>
          <w:szCs w:val="28"/>
          <w:rtl/>
        </w:rPr>
        <w:t xml:space="preserve">قصیده در شکوه از احوال زمان و ظلم و فساد مملکت با تاریخ غره شوال ۱۳۴۲ق؛ خط: نسخ و نستعلیق، بی کا، بی تا؛ ۱گ (16ر)  [ ف: ۲۰ - ۵۴۰]</w:t>
      </w:r>
    </w:p>
    <w:p>
      <w:pPr>
        <w:pStyle w:val="BookText"/>
      </w:pPr>
      <w:r>
        <w:rPr>
          <w:rFonts w:ascii="IRNazanin" w:hAnsi="IRNazanin" w:eastAsia="IRNazanin" w:cs="IRNazanin"/>
          <w:lang w:bidi="fa-IR"/>
          <w:color w:val="111111"/>
          <w:sz w:val="28"/>
          <w:szCs w:val="28"/>
          <w:rtl/>
        </w:rPr>
        <w:t xml:space="preserve">۲۵۲۸. تهران؛ دانشگاه؛ شماره نسخه: ۱۱۰۲۶/۲</w:t>
      </w:r>
    </w:p>
    <w:p>
      <w:pPr>
        <w:pStyle w:val="BookText"/>
      </w:pPr>
      <w:r>
        <w:rPr>
          <w:rFonts w:ascii="IRNazanin" w:hAnsi="IRNazanin" w:eastAsia="IRNazanin" w:cs="IRNazanin"/>
          <w:lang w:bidi="fa-IR"/>
          <w:color w:val="111111"/>
          <w:sz w:val="28"/>
          <w:szCs w:val="28"/>
          <w:rtl/>
        </w:rPr>
        <w:t xml:space="preserve">آغاز: چو میل یار به میل و کباده سنگ و شناست *** کجا به فکر دل دردمند غم خور ماست</w:t>
      </w:r>
    </w:p>
    <w:p>
      <w:pPr>
        <w:pStyle w:val="BookText"/>
      </w:pPr>
      <w:r>
        <w:rPr>
          <w:rFonts w:ascii="IRNazanin" w:hAnsi="IRNazanin" w:eastAsia="IRNazanin" w:cs="IRNazanin"/>
          <w:lang w:bidi="fa-IR"/>
          <w:color w:val="111111"/>
          <w:sz w:val="28"/>
          <w:szCs w:val="28"/>
          <w:rtl/>
        </w:rPr>
        <w:t xml:space="preserve">قصیده؛ خط: شکسته و سیاق، بی کا، بی تا؛ با تاریخ های متفاوت از  ۱۲۹۷ق تا ۱۳۳۸ق؛ جلد: تیماج زیتونی یک لا،3 گ (7پ- 9ر)، قطع: بیاضی،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 ۲۰ - ۵۸۴]</w:t>
      </w:r>
    </w:p>
    <w:p>
      <w:pPr>
        <w:pStyle w:val="BookText"/>
      </w:pPr>
      <w:r>
        <w:rPr>
          <w:rFonts w:ascii="IRNazanin" w:hAnsi="IRNazanin" w:eastAsia="IRNazanin" w:cs="IRNazanin"/>
          <w:lang w:bidi="fa-IR"/>
          <w:color w:val="111111"/>
          <w:sz w:val="28"/>
          <w:szCs w:val="28"/>
          <w:rtl/>
        </w:rPr>
        <w:t xml:space="preserve">۲۵۲۹. تهران؛ مجلس؛ شماره نسخه: ۶۹۶۳/۴</w:t>
      </w:r>
    </w:p>
    <w:p>
      <w:pPr>
        <w:pStyle w:val="BookText"/>
      </w:pPr>
      <w:r>
        <w:rPr>
          <w:rFonts w:ascii="IRNazanin" w:hAnsi="IRNazanin" w:eastAsia="IRNazanin" w:cs="IRNazanin"/>
          <w:lang w:bidi="fa-IR"/>
          <w:color w:val="111111"/>
          <w:sz w:val="28"/>
          <w:szCs w:val="28"/>
          <w:rtl/>
        </w:rPr>
        <w:t xml:space="preserve">آغاز: گرده ات ای که سست آمده است *** گوش کن گوش گفته حکما؛ انجام: نرم سازد شکم و نیک بود *** دفع سم را قوی گردد باه</w:t>
      </w:r>
    </w:p>
    <w:p>
      <w:pPr>
        <w:pStyle w:val="BookText"/>
      </w:pPr>
      <w:r>
        <w:rPr>
          <w:rFonts w:ascii="IRNazanin" w:hAnsi="IRNazanin" w:eastAsia="IRNazanin" w:cs="IRNazanin"/>
          <w:lang w:bidi="fa-IR"/>
          <w:color w:val="111111"/>
          <w:sz w:val="28"/>
          <w:szCs w:val="28"/>
          <w:rtl/>
        </w:rPr>
        <w:t xml:space="preserve">قصیده ای در طب، شاید از کارهای یوسفی هروی باشد، در74 بیت ؛خط: نستعلیق، بی کا، بی تا؛ مصحح ؛جلد: تيماج قهوه ای سوخته ضربی ترنج دار، عطف قهوه ای روشن، ۲گ (۷۲ر-۷۳)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۲٠ - ۳۷۰]</w:t>
      </w:r>
    </w:p>
    <w:p>
      <w:pPr>
        <w:pStyle w:val="BookText"/>
      </w:pPr>
      <w:r>
        <w:rPr>
          <w:rFonts w:ascii="IRNazanin" w:hAnsi="IRNazanin" w:eastAsia="IRNazanin" w:cs="IRNazanin"/>
          <w:lang w:bidi="fa-IR"/>
          <w:color w:val="111111"/>
          <w:sz w:val="28"/>
          <w:szCs w:val="28"/>
          <w:rtl/>
        </w:rPr>
        <w:t xml:space="preserve">۲۵۳۰. تهران؛ مجلس؛ شماره نسخه: ۱۶۹۳۸/۶</w:t>
      </w:r>
    </w:p>
    <w:p>
      <w:pPr>
        <w:pStyle w:val="BookText"/>
      </w:pPr>
      <w:r>
        <w:rPr>
          <w:rFonts w:ascii="IRNazanin" w:hAnsi="IRNazanin" w:eastAsia="IRNazanin" w:cs="IRNazanin"/>
          <w:lang w:bidi="fa-IR"/>
          <w:color w:val="111111"/>
          <w:sz w:val="28"/>
          <w:szCs w:val="28"/>
          <w:rtl/>
        </w:rPr>
        <w:t xml:space="preserve">آغاز: یکی دردی کشی آلوده دامن *** شبی آمد بخوابم بعد مردن؛ انجام: چه یکرنگ امیرالمؤمنینی *** به فردوس برین بالا نشینی.</w:t>
      </w:r>
    </w:p>
    <w:p>
      <w:pPr>
        <w:pStyle w:val="BookText"/>
      </w:pPr>
      <w:r>
        <w:rPr>
          <w:rFonts w:ascii="IRNazanin" w:hAnsi="IRNazanin" w:eastAsia="IRNazanin" w:cs="IRNazanin"/>
          <w:lang w:bidi="fa-IR"/>
          <w:color w:val="111111"/>
          <w:sz w:val="28"/>
          <w:szCs w:val="28"/>
          <w:rtl/>
        </w:rPr>
        <w:t xml:space="preserve">مثنوی کوتاهی در تجلیل امیرالمؤمنین؛ خط: نسخ و نستعلیق،بی کا، بی تا؛ جلد: چرم قهوه ای، اگ( ۹۲ ر-۹۲پ)، ۱۲ سـطر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۴۷- ]</w:t>
      </w:r>
    </w:p>
    <w:p>
      <w:pPr>
        <w:pStyle w:val="BookText"/>
      </w:pPr>
      <w:r>
        <w:rPr>
          <w:rFonts w:ascii="IRNazanin" w:hAnsi="IRNazanin" w:eastAsia="IRNazanin" w:cs="IRNazanin"/>
          <w:lang w:bidi="fa-IR"/>
          <w:color w:val="111111"/>
          <w:sz w:val="28"/>
          <w:szCs w:val="28"/>
          <w:rtl/>
        </w:rPr>
        <w:t xml:space="preserve">۲۵۳۱. تهران؛ مجلس؛ شماره نسخه ۱۶۹۳۸/۸</w:t>
      </w:r>
    </w:p>
    <w:p>
      <w:pPr>
        <w:pStyle w:val="BookText"/>
      </w:pPr>
      <w:r>
        <w:rPr>
          <w:rFonts w:ascii="IRNazanin" w:hAnsi="IRNazanin" w:eastAsia="IRNazanin" w:cs="IRNazanin"/>
          <w:lang w:bidi="fa-IR"/>
          <w:color w:val="111111"/>
          <w:sz w:val="28"/>
          <w:szCs w:val="28"/>
          <w:rtl/>
        </w:rPr>
        <w:t xml:space="preserve">آغاز: مرا شد دل ز هجرت پاره پاره *** نمیدانم چه باید ساخـت چاره؛ انجام: از آن ایام کز تو دور گشتم *** ذلیل و خسته دیجور گشتم.</w:t>
      </w:r>
    </w:p>
    <w:p>
      <w:pPr>
        <w:pStyle w:val="BookText"/>
      </w:pPr>
      <w:r>
        <w:rPr>
          <w:rFonts w:ascii="IRNazanin" w:hAnsi="IRNazanin" w:eastAsia="IRNazanin" w:cs="IRNazanin"/>
          <w:lang w:bidi="fa-IR"/>
          <w:color w:val="111111"/>
          <w:sz w:val="28"/>
          <w:szCs w:val="28"/>
          <w:rtl/>
        </w:rPr>
        <w:t xml:space="preserve">مثنوی کوتاهی در شرح هجران؛ خط: نسخ و نستعلیق، بی کا، بی تا؛م؛ جلد: چرم قهوه ای، 1ص (۱۰۶ پ) ۱۲ سطر (12</w:t>
      </w:r>
      <w:r>
        <w:rPr>
          <w:rFonts w:ascii="Times New Roman" w:hAnsi="Times New Roman" w:eastAsia="Times New Roman" w:cs="Times New Roman"/>
          <w:lang w:val="en-US" w:bidi="en-US"/>
          <w:color w:val="111111"/>
          <w:sz w:val="28"/>
          <w:szCs w:val="28"/>
          <w:rtl/>
        </w:rPr>
        <w:t xml:space="preserve">×6) </w:t>
      </w:r>
      <w:r>
        <w:rPr>
          <w:rFonts w:ascii="IRNazanin" w:hAnsi="IRNazanin" w:eastAsia="IRNazanin" w:cs="IRNazanin"/>
          <w:lang w:bidi="fa-IR"/>
          <w:color w:val="111111"/>
          <w:sz w:val="28"/>
          <w:szCs w:val="28"/>
          <w:rtl/>
        </w:rPr>
        <w:t xml:space="preserve">،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۴۷ -]</w:t>
      </w:r>
    </w:p>
    <w:p>
      <w:pPr>
        <w:pStyle w:val="BookText"/>
      </w:pPr>
      <w:r>
        <w:rPr>
          <w:rFonts w:ascii="IRNazanin" w:hAnsi="IRNazanin" w:eastAsia="IRNazanin" w:cs="IRNazanin"/>
          <w:lang w:bidi="fa-IR"/>
          <w:color w:val="111111"/>
          <w:sz w:val="28"/>
          <w:szCs w:val="28"/>
          <w:rtl/>
        </w:rPr>
        <w:t xml:space="preserve">۱۴۵۰. یزد؛ کاظمینی؛ شماره نسخه: ۲۸۲</w:t>
      </w:r>
    </w:p>
    <w:p>
      <w:pPr>
        <w:pStyle w:val="Heading3"/>
      </w:pPr>
      <w:bookmarkStart w:id="1954" w:name="_Toc1476"/>
      <w:r>
        <w:t>اشعار / شعر / فارسی و اردواجم</w:t>
      </w:r>
      <w:bookmarkEnd w:id="1954"/>
    </w:p>
    <w:p>
      <w:pPr>
        <w:pStyle w:val="BookText"/>
      </w:pPr>
      <w:r>
        <w:rPr>
          <w:rFonts w:ascii="Times New Roman" w:hAnsi="Times New Roman" w:eastAsia="Times New Roman" w:cs="Times New Roman"/>
          <w:lang w:val="en-US" w:bidi="en-US"/>
          <w:color w:val="111111"/>
          <w:sz w:val="28"/>
          <w:szCs w:val="28"/>
          <w:rtl/>
        </w:rPr>
        <w:t xml:space="preserve">aš‘ār</w:t>
      </w:r>
    </w:p>
    <w:p>
      <w:pPr>
        <w:pStyle w:val="BookText"/>
      </w:pPr>
      <w:r>
        <w:rPr>
          <w:rFonts w:ascii="IRNazanin" w:hAnsi="IRNazanin" w:eastAsia="IRNazanin" w:cs="IRNazanin"/>
          <w:lang w:bidi="fa-IR"/>
          <w:color w:val="111111"/>
          <w:sz w:val="28"/>
          <w:szCs w:val="28"/>
          <w:rtl/>
        </w:rPr>
        <w:t xml:space="preserve">۱. تهران؛ نوربخش؛ شماره نسخه: ۳۰۴/۹</w:t>
      </w:r>
    </w:p>
    <w:p>
      <w:pPr>
        <w:pStyle w:val="BookText"/>
      </w:pPr>
      <w:r>
        <w:rPr>
          <w:rFonts w:ascii="IRNazanin" w:hAnsi="IRNazanin" w:eastAsia="IRNazanin" w:cs="IRNazanin"/>
          <w:lang w:bidi="fa-IR"/>
          <w:color w:val="111111"/>
          <w:sz w:val="28"/>
          <w:szCs w:val="28"/>
          <w:rtl/>
        </w:rPr>
        <w:t xml:space="preserve">آغاز: الله واحد ذات قديم *** مطلق مخفی گنج مستقیم؛ انجـام: مهدی بعد از عیسی آیی*** یک روایت دو یک تهایی</w:t>
      </w:r>
    </w:p>
    <w:p>
      <w:pPr>
        <w:pStyle w:val="BookText"/>
      </w:pPr>
      <w:r>
        <w:rPr>
          <w:rFonts w:ascii="IRNazanin" w:hAnsi="IRNazanin" w:eastAsia="IRNazanin" w:cs="IRNazanin"/>
          <w:lang w:bidi="fa-IR"/>
          <w:color w:val="111111"/>
          <w:sz w:val="28"/>
          <w:szCs w:val="28"/>
          <w:rtl/>
        </w:rPr>
        <w:t xml:space="preserve">مثنوی شرف است معارف چشتیه بحث می کند، سلسله طریقت شاه برهان الدین و شاه میرانچی را آورده و در پایان حضرت مهدی موعود را توصیف می کند؛ خط: مختلف، کا: نصیرالدین محمد، تا: قرن ۱۱ ؛کاغذ: ترکی ،جلد: تیماج سرخ،مقوایی، دارای حاشیه و ترنج، ۶۱ ص ،(۳۲۶-۳۸۶)،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2- 48]</w:t>
      </w:r>
    </w:p>
    <w:p>
      <w:pPr>
        <w:pStyle w:val="BookText"/>
      </w:pPr>
      <w:r>
        <w:rPr>
          <w:rFonts w:ascii="IRNazanin" w:hAnsi="IRNazanin" w:eastAsia="IRNazanin" w:cs="IRNazanin"/>
          <w:lang w:bidi="fa-IR"/>
          <w:color w:val="111111"/>
          <w:sz w:val="28"/>
          <w:szCs w:val="28"/>
          <w:rtl/>
        </w:rPr>
        <w:t xml:space="preserve">2.تهران؛ مجلس؛ شماره نسخه: ۶۴۷</w:t>
      </w:r>
    </w:p>
    <w:p>
      <w:pPr>
        <w:pStyle w:val="BookText"/>
      </w:pPr>
      <w:r>
        <w:rPr>
          <w:rFonts w:ascii="IRNazanin" w:hAnsi="IRNazanin" w:eastAsia="IRNazanin" w:cs="IRNazanin"/>
          <w:lang w:bidi="fa-IR"/>
          <w:color w:val="111111"/>
          <w:sz w:val="28"/>
          <w:szCs w:val="28"/>
          <w:rtl/>
        </w:rPr>
        <w:t xml:space="preserve">هفت جلد است و برخی به زبان اردو است؛ خط: شکسته نستعلیق، چلیپا، بی کا، تا: ۱۱۶۳ق؛ مجدول با سرلوح؛ کاغذ: سفید هندی ،جلد: مقوایی، ۱۰ سطر دو ستونی (8</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قطع: بیاضی،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[سنا: ف: ۱ - ۴۱۰]</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مجلس؛ شماره نسخه: ۶۷۸</w:t>
      </w:r>
    </w:p>
    <w:p>
      <w:pPr>
        <w:pStyle w:val="BookText"/>
      </w:pPr>
      <w:r>
        <w:rPr>
          <w:rFonts w:ascii="IRNazanin" w:hAnsi="IRNazanin" w:eastAsia="IRNazanin" w:cs="IRNazanin"/>
          <w:lang w:bidi="fa-IR"/>
          <w:color w:val="111111"/>
          <w:sz w:val="28"/>
          <w:szCs w:val="28"/>
          <w:rtl/>
        </w:rPr>
        <w:t xml:space="preserve">قطعات و رباعیات و غزلیاتی است از شعرای پیشین و معاصر مؤلف با مقدمه ای کوتاه برای بعضی از شعرا به زبان اردو از سلطان يعقوب ترکمان تا معین الدین چشتی در مردان و از عایشه سمرقندی تا نورجهان در زنان و از اسیری اصفهانی تا آذر اصفهانی در معاصران، گردآورنده در ۱۱۷۹. (فهرست دیباجه نسخه) شعرای متقدمين: سلطان يعقوب ترکمان (۷)، شاه قاسم انوار، بدیعی تبریزی (۸) باسم اردبیلی، مغربی، خاقانی (۹-۱۱)، اوحدی ،انوری، جانی دوست محمد (۱۴-۱۵)، سلطان بایزید بسطامی، ابوالحسن خرقانی، قاضی شمس الدین، ظهوری ترشیزی (۱۸-۱۶)، سعدالدین الحموی جوینی، احمد جام ژنده پیل، شاه سنجان، شاهی سبزواری، فرخی عهد محمود غزنوی (۲۰-۲۲)، آذری طوسی، اسدی طوسی ،فردوسی، جبلی (۲۵-۲۷) نزاری قهستانی، سید حسین غزنوی، سنائی غزنوی (۳۱-۴۱) امیر حسینی سادات قطب هرات (۴۱-۴۳) ولی دشت بیاضی، اوحدی کرمانی، عماد فقیه، وحشی یزدی، کسائی مروزی، عمر خیام نیشابوری (۴۶-۴۷)، لطف الله نیشابوری، ندائی نیشابوری، نظیری نیشابوری، ابو اسمعیل  هروی، ازرقی هروی بنائی هروی، سحابی استرآبادی (۵۱-۵۲) نظام استرابادی، مسعود سعد سلمان جرجانی، فخرالدوله عمید الدین گیلانی (۵۹-۶۰)، فدائی لاهیجی، طالب آملی، جمال الدین اصفهانی، زین الدین اصفهانی، حکیم شفائی اصفهانی، فریدالدین احول، كمال الدين اسمعيل (۶۹-۶۴)،ناصر خسرو علوی، نوری اصفهانی، زلالی خوانساری، امیدی طهرانی، عبید زاکانی (۷۴) نظامی گنجوی، بابا افضل کاشی، خیالی کاشی، داوری کاشی ،سرمد (۸۰-۸۱)، فيض، ابوطالب کلیم، محتشم کاشی، عراقی (۸۷-۸۸)، میر مرشد یزدجری ،مفرد، عشرتی یزدی، اهلی شیرازی، حافظ شیرازی، سعدی شیرازی (۹۳-۹۷) عرفی شیرازی ،بابا فغانی، لسانی شیرازی، مجدالدین همگر، مکتبی شیرازی، جلال الدین رومی (۱۰۶-۱۰۱) ظهیر فاریابی، رشیدالدین وطواط، عنصری (۱۱۷ -۱۱۸) منوچهر شصت کله ،اثیرالدین، ابوالعباس بخاری، ابوالحسن رودکی، عصمة الله بخاری (۱۲۴-۱۲۵)، عمعق بخاری، بدخشی، ادیب صابر (۱۳۱-۱۳۲) ضیاء الدین فارسی ،اشرفی دقیقی، امیر معزی، نظامی عروضی سمرقندی (۱۳۸) رکن الدین قبائی، صفیری جونپور، شیخ فیضی، خواجه حسن دهلوی،
</w:t>
      </w:r>
    </w:p>
    <w:p>
      <w:pPr>
        <w:sectPr>
          <w:footerReference w:type="default" r:id="rId966"/>
          <w:footnotePr>
            <w:numStart w:val="1"/>
            <w:numRestart w:val="eachPage"/>
          </w:footnotePr>
          <w:pgSz w:orient="portrait" w:w="11905.511811023622" w:h="16837.79527559055"/>
          <w:pgMar w:top="1440" w:right="1440" w:bottom="1440" w:left="1440" w:header="720" w:footer="720" w:gutter="0"/>
          <w:cols w:num="1" w:space="720"/>
        </w:sectPr>
      </w:pPr>
    </w:p>
    <w:bookmarkStart w:id="424" w:name="pg20365_260902"/>
    <w:bookmarkEnd w:id="424"/>
    <w:p>
      <w:pPr>
        <w:pStyle w:val="BookText"/>
      </w:pPr>
      <w:r>
        <w:rPr>
          <w:rFonts w:ascii="IRNazanin" w:hAnsi="IRNazanin" w:eastAsia="IRNazanin" w:cs="IRNazanin"/>
          <w:lang w:bidi="fa-IR"/>
          <w:color w:val="111111"/>
          <w:sz w:val="28"/>
          <w:szCs w:val="28"/>
          <w:rtl/>
        </w:rPr>
        <w:t xml:space="preserve">امیر خسرو دهلوی، شیخ فریدالدین شکر گنج(143- 144) خواجه معین الدین چشتی، تذکره خاتونان: عایشه سمرقندی ،(۱۴۵) عفتی اسفرائینی، لاله خاتون، مطربه کاشغری، مهری، مهستی، نورجهان ،(۱۴۸) شاعران معاصر: اسیری اصفهانی (149)، علی حزین، زمانی اصفهانی، راهب اصفهانی، شعله اصفهانی، شمس الدین فقیر دهلوی (۱۵۲)، صباحی کاشی، طوفان مازندرانی، طیری اصفهانی، عاشق اصفهانی، غالب اصفهانی، درویش مجید طالقانی، میر مشتاق اصفهانی، هاتف اصفهانی، آذر اصفهانی (۱۵۷-۱۵۹) خط: نستعلیق، بی کا، تا: ۱۱۷۹ق؛ افتادگی: آغاز؛ کاغذ: سفید، جلد: مقوایی عطف و گوشه مشمع قرمز، ۸۲گ، ۱۵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 اندازه: 21</w:t>
      </w:r>
      <w:r>
        <w:rPr>
          <w:rFonts w:ascii="Times New Roman" w:hAnsi="Times New Roman" w:eastAsia="Times New Roman" w:cs="Times New Roman"/>
          <w:lang w:val="en-US" w:bidi="en-US"/>
          <w:color w:val="111111"/>
          <w:sz w:val="28"/>
          <w:szCs w:val="28"/>
          <w:rtl/>
        </w:rPr>
        <w:t xml:space="preserve">×34 </w:t>
      </w:r>
      <w:r>
        <w:rPr>
          <w:rFonts w:ascii="IRNazanin" w:hAnsi="IRNazanin" w:eastAsia="IRNazanin" w:cs="IRNazanin"/>
          <w:lang w:bidi="fa-IR"/>
          <w:color w:val="111111"/>
          <w:sz w:val="28"/>
          <w:szCs w:val="28"/>
          <w:rtl/>
        </w:rPr>
        <w:t xml:space="preserve">سم [سنا: ف: ۲ - ۲۵]</w:t>
      </w:r>
    </w:p>
    <w:p>
      <w:pPr>
        <w:pStyle w:val="BookText"/>
      </w:pPr>
      <w:r>
        <w:rPr>
          <w:rFonts w:ascii="IRNazanin" w:hAnsi="IRNazanin" w:eastAsia="IRNazanin" w:cs="IRNazanin"/>
          <w:lang w:bidi="fa-IR"/>
          <w:color w:val="111111"/>
          <w:sz w:val="28"/>
          <w:szCs w:val="28"/>
          <w:rtl/>
        </w:rPr>
        <w:t xml:space="preserve">۴. تهران؛ مجلس؛ شماره نسخه: ۵۱۶۳/۱۴</w:t>
      </w:r>
    </w:p>
    <w:p>
      <w:pPr>
        <w:pStyle w:val="BookText"/>
      </w:pPr>
      <w:r>
        <w:rPr>
          <w:rFonts w:ascii="IRNazanin" w:hAnsi="IRNazanin" w:eastAsia="IRNazanin" w:cs="IRNazanin"/>
          <w:lang w:bidi="fa-IR"/>
          <w:color w:val="111111"/>
          <w:sz w:val="28"/>
          <w:szCs w:val="28"/>
          <w:rtl/>
        </w:rPr>
        <w:t xml:space="preserve">آغاز: یا مرتضی کروتم دو چک مین دستگیری *** عاجز شهـاب الدین گی آب و ماتوقمبری ماهی</w:t>
      </w:r>
    </w:p>
    <w:p>
      <w:pPr>
        <w:pStyle w:val="BookText"/>
      </w:pPr>
      <w:r>
        <w:rPr>
          <w:rFonts w:ascii="IRNazanin" w:hAnsi="IRNazanin" w:eastAsia="IRNazanin" w:cs="IRNazanin"/>
          <w:lang w:bidi="fa-IR"/>
          <w:color w:val="111111"/>
          <w:sz w:val="28"/>
          <w:szCs w:val="28"/>
          <w:rtl/>
        </w:rPr>
        <w:t xml:space="preserve">قصیده ای است ملمع به فارسی و اردو از شاعری که تخلص خود را شهاب الدین یاد کرده است؛ بی کا، بی تا [ف: ۱۵ – ۲۹۷]</w:t>
      </w:r>
    </w:p>
    <w:p>
      <w:pPr>
        <w:pStyle w:val="BookText"/>
      </w:pPr>
      <w:r>
        <w:rPr>
          <w:rFonts w:ascii="IRNazanin" w:hAnsi="IRNazanin" w:eastAsia="IRNazanin" w:cs="IRNazanin"/>
          <w:lang w:bidi="fa-IR"/>
          <w:color w:val="111111"/>
          <w:sz w:val="28"/>
          <w:szCs w:val="28"/>
          <w:rtl/>
        </w:rPr>
        <w:t xml:space="preserve">۵. تهران؛ مجلس؛ شماره نسخه: ۵۱۶۳/۵</w:t>
      </w:r>
    </w:p>
    <w:p>
      <w:pPr>
        <w:pStyle w:val="BookText"/>
      </w:pPr>
      <w:r>
        <w:rPr>
          <w:rFonts w:ascii="IRNazanin" w:hAnsi="IRNazanin" w:eastAsia="IRNazanin" w:cs="IRNazanin"/>
          <w:lang w:bidi="fa-IR"/>
          <w:color w:val="111111"/>
          <w:sz w:val="28"/>
          <w:szCs w:val="28"/>
          <w:rtl/>
        </w:rPr>
        <w:t xml:space="preserve">آغاز: دیکهه تو کیسامین در تنابون جواب *** سنگی بهمه عالم نی آنگریون کها :انجام: ای (فصیح) ای مدح کی میدانمین چل *** تنگنای ذم بس هان با هر تفکر</w:t>
      </w:r>
    </w:p>
    <w:p>
      <w:pPr>
        <w:pStyle w:val="BookText"/>
      </w:pPr>
      <w:r>
        <w:rPr>
          <w:rFonts w:ascii="IRNazanin" w:hAnsi="IRNazanin" w:eastAsia="IRNazanin" w:cs="IRNazanin"/>
          <w:lang w:bidi="fa-IR"/>
          <w:color w:val="111111"/>
          <w:sz w:val="28"/>
          <w:szCs w:val="28"/>
          <w:rtl/>
        </w:rPr>
        <w:t xml:space="preserve">مثنوی ملمع فارسی و اردو از فصیح، شاید فصیح لكنهوی سراینده «نحل ماتم» باشد؛ بی کا، بی تا [ف: ۱۵ – ۲۹۴]</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قم؛ طبسی؛ شماره نسخه: ۱۷۲</w:t>
      </w:r>
    </w:p>
    <w:p>
      <w:pPr>
        <w:pStyle w:val="BookText"/>
      </w:pPr>
      <w:r>
        <w:rPr>
          <w:rFonts w:ascii="IRNazanin" w:hAnsi="IRNazanin" w:eastAsia="IRNazanin" w:cs="IRNazanin"/>
          <w:lang w:bidi="fa-IR"/>
          <w:color w:val="111111"/>
          <w:sz w:val="28"/>
          <w:szCs w:val="28"/>
          <w:rtl/>
        </w:rPr>
        <w:t xml:space="preserve">آغاز: دوازده هزار کس طيب طيب جم جم *** قسم وردشان بیعت حسین هم/ ناگاهای خبر یا وا ویزیده *** شبی بخامه قین ملوک پلید ؛انجام: تا بیو نخوراک میوه دار بيد*** ليشا ولعـنت بیوپی یزید / قطره قلاخ چون مرغ بوسفيد *** ليشا و لعنت بيوپی یزید</w:t>
      </w:r>
    </w:p>
    <w:p>
      <w:pPr>
        <w:pStyle w:val="BookText"/>
      </w:pPr>
      <w:r>
        <w:rPr>
          <w:rFonts w:ascii="IRNazanin" w:hAnsi="IRNazanin" w:eastAsia="IRNazanin" w:cs="IRNazanin"/>
          <w:lang w:bidi="fa-IR"/>
          <w:color w:val="111111"/>
          <w:sz w:val="28"/>
          <w:szCs w:val="28"/>
          <w:rtl/>
        </w:rPr>
        <w:t xml:space="preserve">منظومه مفصلی است که داستان حوادث کربلا و نهضت امام حسین (علیه السّلام) را به نظم کشیده و مصایب آن حضرت را به زبان اردو سروده است، تخلصی هم در اشعار دیده نشد؛ خط: نستعلیق، بی کا، بی تا؛ افتادگی: آغاز و انجام؛ ۱۰۸گ، ۱۲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مخ: ۲ - ۴۹۰]</w:t>
      </w:r>
    </w:p>
    <w:p>
      <w:pPr>
        <w:pStyle w:val="Heading3"/>
      </w:pPr>
      <w:bookmarkStart w:id="1955" w:name="_Toc1477"/>
      <w:r>
        <w:t>اشعار / شعر / فارسی و ترکی</w:t>
      </w:r>
      <w:bookmarkEnd w:id="1955"/>
    </w:p>
    <w:p>
      <w:pPr>
        <w:pStyle w:val="BookText"/>
      </w:pPr>
      <w:r>
        <w:rPr>
          <w:rFonts w:ascii="Times New Roman" w:hAnsi="Times New Roman" w:eastAsia="Times New Roman" w:cs="Times New Roman"/>
          <w:lang w:val="en-US" w:bidi="en-US"/>
          <w:color w:val="111111"/>
          <w:sz w:val="28"/>
          <w:szCs w:val="28"/>
          <w:rtl/>
        </w:rPr>
        <w:t xml:space="preserve">aš‘r</w:t>
      </w:r>
    </w:p>
    <w:p>
      <w:pPr>
        <w:pStyle w:val="BookText"/>
      </w:pPr>
      <w:r>
        <w:rPr>
          <w:rFonts w:ascii="IRNazanin" w:hAnsi="IRNazanin" w:eastAsia="IRNazanin" w:cs="IRNazanin"/>
          <w:lang w:bidi="fa-IR"/>
          <w:color w:val="111111"/>
          <w:sz w:val="28"/>
          <w:szCs w:val="28"/>
          <w:rtl/>
        </w:rPr>
        <w:t xml:space="preserve">غیر همانند:</w:t>
      </w:r>
    </w:p>
    <w:p>
      <w:pPr>
        <w:pStyle w:val="BookText"/>
      </w:pPr>
      <w:r>
        <w:rPr>
          <w:rFonts w:ascii="IRNazanin" w:hAnsi="IRNazanin" w:eastAsia="IRNazanin" w:cs="IRNazanin"/>
          <w:lang w:bidi="fa-IR"/>
          <w:color w:val="111111"/>
          <w:sz w:val="28"/>
          <w:szCs w:val="28"/>
          <w:rtl/>
        </w:rPr>
        <w:t xml:space="preserve">1.تهران؛ مجلس؛ شماره نسخه: ۱۵۸۸۱</w:t>
      </w:r>
    </w:p>
    <w:p>
      <w:pPr>
        <w:pStyle w:val="BookText"/>
      </w:pPr>
      <w:r>
        <w:rPr>
          <w:rFonts w:ascii="IRNazanin" w:hAnsi="IRNazanin" w:eastAsia="IRNazanin" w:cs="IRNazanin"/>
          <w:lang w:bidi="fa-IR"/>
          <w:color w:val="111111"/>
          <w:sz w:val="28"/>
          <w:szCs w:val="28"/>
          <w:rtl/>
        </w:rPr>
        <w:t xml:space="preserve">آغاز: جان بخش کلامک فرح افزا کلماتک *** اولدک مگر اول چشمه حیوانه مصاحب؛ انجام: دیدی بو مصرعی تعمیر نه تاریخ ایچون هاتف *** جدید اولدی بو درگاه معلا یمن همتله</w:t>
      </w:r>
    </w:p>
    <w:p>
      <w:pPr>
        <w:pStyle w:val="BookText"/>
      </w:pPr>
      <w:r>
        <w:rPr>
          <w:rFonts w:ascii="IRNazanin" w:hAnsi="IRNazanin" w:eastAsia="IRNazanin" w:cs="IRNazanin"/>
          <w:lang w:bidi="fa-IR"/>
          <w:color w:val="111111"/>
          <w:sz w:val="28"/>
          <w:szCs w:val="28"/>
          <w:rtl/>
        </w:rPr>
        <w:t xml:space="preserve">جنگی است شامل اشعار منتخب ترکی و فارسی از شعرای مختلف همچون: مقالی، اذاقی (جامع جنگ)، فغانی، خلیلی، اسحاق چلبی ،فضولی، روحی بغدادی، کشفی بک، غازی، اقدسی، رسمی نظیره، یمنی، شیخ علی نقی کمره، طبرزی، عرفی شیرازی ،باقی ،رشیدی، امری ،عمری ،وجودی و سعدی؛ خط: نستعلیق، کا: اذاقی (جامع جنگ)، تا: قرن ۱۱؛ افتادگی: آغاز؛ مجدول؛ جلد: تیماج فرنگی قهوه ای، ۹۹گ، سطور چلیپایی،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۴۴ - ۱۱۴]</w:t>
      </w:r>
    </w:p>
    <w:p>
      <w:pPr>
        <w:pStyle w:val="BookText"/>
      </w:pPr>
      <w:r>
        <w:rPr>
          <w:rFonts w:ascii="IRNazanin" w:hAnsi="IRNazanin" w:eastAsia="IRNazanin" w:cs="IRNazanin"/>
          <w:lang w:bidi="fa-IR"/>
          <w:color w:val="111111"/>
          <w:sz w:val="28"/>
          <w:szCs w:val="28"/>
          <w:rtl/>
        </w:rPr>
        <w:t xml:space="preserve">۲. تهران؛ دانشگاه؛ شماره نسخه: ۵۳۳۵/۲</w:t>
      </w:r>
    </w:p>
    <w:p>
      <w:pPr>
        <w:pStyle w:val="BookText"/>
      </w:pPr>
      <w:r>
        <w:rPr>
          <w:rFonts w:ascii="IRNazanin" w:hAnsi="IRNazanin" w:eastAsia="IRNazanin" w:cs="IRNazanin"/>
          <w:lang w:bidi="fa-IR"/>
          <w:color w:val="111111"/>
          <w:sz w:val="28"/>
          <w:szCs w:val="28"/>
          <w:rtl/>
        </w:rPr>
        <w:t xml:space="preserve">جنگ شعر ،بهاریات ثنایی و سروده های جعفری، بیشتر با عنوان «لمحرره» با تخلص «مخلص» به ترکی یا فارسی و همه مجموعه باید نوشته او باشد، با بهاریات واقفی و سروده های جنونی و فریدون و چند پند به نثر ؛خط: نستعلیق کا: (گویا) مخلص، تا: قرن ۱۱؛ آنچه در هامش اپ-۵۶ر آمده است هم گویا نیمه نخستین همین جنگ باشد؛ کاغذ: سپاهانی، جلد: مقوا گرد تیماج سرخ، ۵۵گ(۵۶ پ - ۱۱۱پ)، ۱۵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۱۵ - ۴۲۰۷]</w:t>
      </w:r>
    </w:p>
    <w:p>
      <w:pPr>
        <w:pStyle w:val="BookText"/>
      </w:pPr>
      <w:r>
        <w:rPr>
          <w:rFonts w:ascii="IRNazanin" w:hAnsi="IRNazanin" w:eastAsia="IRNazanin" w:cs="IRNazanin"/>
          <w:lang w:bidi="fa-IR"/>
          <w:color w:val="111111"/>
          <w:sz w:val="28"/>
          <w:szCs w:val="28"/>
          <w:rtl/>
        </w:rPr>
        <w:t xml:space="preserve">۳. تهران؛ مجلس؛ شماره نسخه: ۲۹۷۲/۱- طباطبائی</w:t>
      </w:r>
    </w:p>
    <w:p>
      <w:pPr>
        <w:pStyle w:val="BookText"/>
      </w:pPr>
      <w:r>
        <w:rPr>
          <w:rFonts w:ascii="IRNazanin" w:hAnsi="IRNazanin" w:eastAsia="IRNazanin" w:cs="IRNazanin"/>
          <w:lang w:bidi="fa-IR"/>
          <w:color w:val="111111"/>
          <w:sz w:val="28"/>
          <w:szCs w:val="28"/>
          <w:rtl/>
        </w:rPr>
        <w:t xml:space="preserve">برگزیده ای است از اشعار ترکی نسیمی، فضولی، جوهری، ضیفی ،آهی ،امری، لامعی، کمال ابن قیاس و اشعار فارسی از شمس مغربی و شمس تبریزی ،جامی، سحابی، شکیبی؛ خط: نسخ، بی کا، تا: قرن ۱۱؛ کاغذ: ترکی، جلد: تیماج مشکی، ۴گ (۸۶-۸۲)، قطع: وزیری باریک،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۲۴سم [ف: ۲۲- ۶۴]</w:t>
      </w:r>
    </w:p>
    <w:p>
      <w:pPr>
        <w:pStyle w:val="BookText"/>
      </w:pPr>
      <w:r>
        <w:rPr>
          <w:rFonts w:ascii="IRNazanin" w:hAnsi="IRNazanin" w:eastAsia="IRNazanin" w:cs="IRNazanin"/>
          <w:lang w:bidi="fa-IR"/>
          <w:color w:val="111111"/>
          <w:sz w:val="28"/>
          <w:szCs w:val="28"/>
          <w:rtl/>
        </w:rPr>
        <w:t xml:space="preserve">۴. تهران؛ ملی؛ شماره نسخه: ۹۲۹/۶</w:t>
      </w:r>
    </w:p>
    <w:p>
      <w:pPr>
        <w:pStyle w:val="BookText"/>
      </w:pPr>
      <w:r>
        <w:rPr>
          <w:rFonts w:ascii="IRNazanin" w:hAnsi="IRNazanin" w:eastAsia="IRNazanin" w:cs="IRNazanin"/>
          <w:lang w:bidi="fa-IR"/>
          <w:color w:val="111111"/>
          <w:sz w:val="28"/>
          <w:szCs w:val="28"/>
          <w:rtl/>
        </w:rPr>
        <w:t xml:space="preserve">آغاز: ای مه برج رسالت ماه گردون اقتدار *** اولدی جبهک مطلعندن نور الشمس آشکار؛ انجام: مفید اولمه ای باقی کمند کيد اعدائه *** عنایت حضرت حقدن کرم فیاض مطلقدن</w:t>
      </w:r>
    </w:p>
    <w:p>
      <w:pPr>
        <w:pStyle w:val="BookText"/>
      </w:pPr>
      <w:r>
        <w:rPr>
          <w:rFonts w:ascii="IRNazanin" w:hAnsi="IRNazanin" w:eastAsia="IRNazanin" w:cs="IRNazanin"/>
          <w:lang w:bidi="fa-IR"/>
          <w:color w:val="111111"/>
          <w:sz w:val="28"/>
          <w:szCs w:val="28"/>
          <w:rtl/>
        </w:rPr>
        <w:t xml:space="preserve">شامل قصیده ترکی است که با قافیه «راء» در ستایش پیامبر سروده شده و یک غزل با قافیه «نون»؛ خط: نستعلیق بد ،بی کا، تا: ۱۰۸۳ق؛ کاغذ: فرنگی الوان ،جلد: تیماج قرمز ترنج و نیم ترنج، حاشیه ضربی ،مقوایی، ابعاد متن: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 ۲ ص (۶۷-۶۸)، ۱۸ سطر،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۲ - ۴۶۴]</w:t>
      </w:r>
    </w:p>
    <w:p>
      <w:pPr>
        <w:pStyle w:val="BookText"/>
      </w:pPr>
      <w:r>
        <w:rPr>
          <w:rFonts w:ascii="IRNazanin" w:hAnsi="IRNazanin" w:eastAsia="IRNazanin" w:cs="IRNazanin"/>
          <w:lang w:bidi="fa-IR"/>
          <w:color w:val="111111"/>
          <w:sz w:val="28"/>
          <w:szCs w:val="28"/>
          <w:rtl/>
        </w:rPr>
        <w:t xml:space="preserve">۵. قم؛ مسجد اعظم؛ شماره نسخه: ۳۳۹۶</w:t>
      </w:r>
    </w:p>
    <w:p>
      <w:pPr>
        <w:pStyle w:val="BookText"/>
      </w:pPr>
      <w:r>
        <w:rPr>
          <w:rFonts w:ascii="IRNazanin" w:hAnsi="IRNazanin" w:eastAsia="IRNazanin" w:cs="IRNazanin"/>
          <w:lang w:bidi="fa-IR"/>
          <w:color w:val="111111"/>
          <w:sz w:val="28"/>
          <w:szCs w:val="28"/>
          <w:rtl/>
        </w:rPr>
        <w:t xml:space="preserve">آغاز: ملكا ذکر تو گویم که تو پاکیزه خدایی *** نروم بجز آن ره که تو ره نمایی / همه درگاه تو پویم همه از فضل تو جویم *** همه توحید تو گویم که بتوحید سزایی؛ انجام: دوستان شکوه و افغان همی کم سازید*** کین چنین است مرا طالع مادر زادم</w:t>
      </w:r>
    </w:p>
    <w:p>
      <w:pPr>
        <w:pStyle w:val="BookText"/>
      </w:pPr>
      <w:r>
        <w:rPr>
          <w:rFonts w:ascii="IRNazanin" w:hAnsi="IRNazanin" w:eastAsia="IRNazanin" w:cs="IRNazanin"/>
          <w:lang w:bidi="fa-IR"/>
          <w:color w:val="111111"/>
          <w:sz w:val="28"/>
          <w:szCs w:val="28"/>
          <w:rtl/>
        </w:rPr>
        <w:t xml:space="preserve">مجموعه اشعار فارسی و ترکی که بیشتر به شعرای ماوراء النهر تعلق دارند که در یک دفتر گردآوری شده شامل اشعار: جامی، زمان ،قصاب، سيدا (مخمس)، حاجی ساعی، صائب، ناظم، شوکت، ناصر علی، وحشت ،عمرخان ،وحدت، خواجه عصمت، افضل، حافظ ،(مخمس) رساله منثور در صفات زنان از سعید بن یوسف اصفهانی، محی الدین، مسکین حسین بلخی، بیدل، مشفقی (مخمس)، میرزا شاه کیک ،رموزی ،افقان، علی، عطار
</w:t>
      </w:r>
    </w:p>
    <w:p>
      <w:pPr>
        <w:sectPr>
          <w:footerReference w:type="default" r:id="rId9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(معراجنامه نبوی ۲) ،ظفر، ملهم، میرزا عبدالقادر ،ناظم، صمـیم ،مذهب ،رفیع ،صبوری ،واقفی ،جمشید ،وصفی ،سلمان، خواجو، حسن ،طالب ،کاتبی ،مولوی جامی ،حالی ،اصلی، خرمی، حسینی، باب صائب ،ساعی ،کلیم ،طیب،عاشق، واصل، اشرف، شیدا ،شاپور ،مشرب، میرزا صادق ،(غزل) ، سقا (مخمس)، نوری (مخمس)، مهزاد (مخمس)، جذبی (مخمس)، مشرب (الف نام)، صالحی (مخمس) بیدل (مخمس) بلخی (مخمس)، خاکی (مخمس)، شبنم (مخمس)، نزهت ((مخمس)، طالب مخمس مسند (مخمس)، شوکت (مخمس) کاملی (مخمس)، میر وصـ (مخمس)، اهلی (مخمس) ،فیضی، فایض (مخمس)، هلالی (غزل) ،محیی، عصمت (مخمس)؛ خط: نستعلیق، بی کا، تا: قـرن ۱۲؛ مجدول، با سرلوح های متوسط، سطور چلیپا؛ مهر: «زمحـمد امید شفاعت دارد نوری» (بیضوی)، «محمد حکیم بیگ» 1262 (مدور)، «حاجی سید بن حاج علی ۱۲۱۳»( بیضوی)؛ جلد: تیماج قهوه ای با ترنج و با سر عالی با سجع «صحاف خواجه الغ» مجدول، کناره تیماج  زرشکی، ۳۵۸گ، ۱۹ سطر،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مخ: ۲ - ۶۰۱]</w:t>
      </w:r>
    </w:p>
    <w:p>
      <w:pPr>
        <w:pStyle w:val="BookText"/>
      </w:pPr>
      <w:r>
        <w:rPr>
          <w:rFonts w:ascii="IRNazanin" w:hAnsi="IRNazanin" w:eastAsia="IRNazanin" w:cs="IRNazanin"/>
          <w:lang w:bidi="fa-IR"/>
          <w:color w:val="111111"/>
          <w:sz w:val="28"/>
          <w:szCs w:val="28"/>
          <w:rtl/>
        </w:rPr>
        <w:t xml:space="preserve">6.تهران؛ دانشگاه؛ شماره نسخه: ۹۶۶۱/۶</w:t>
      </w:r>
    </w:p>
    <w:p>
      <w:pPr>
        <w:pStyle w:val="BookText"/>
      </w:pPr>
      <w:r>
        <w:rPr>
          <w:rFonts w:ascii="IRNazanin" w:hAnsi="IRNazanin" w:eastAsia="IRNazanin" w:cs="IRNazanin"/>
          <w:lang w:bidi="fa-IR"/>
          <w:color w:val="111111"/>
          <w:sz w:val="28"/>
          <w:szCs w:val="28"/>
          <w:rtl/>
        </w:rPr>
        <w:t xml:space="preserve">آغاز: ای که در صنع تو کوتاه بود پیشه ما نرسد در صفت ذات تواند پشه ما</w:t>
      </w:r>
    </w:p>
    <w:p>
      <w:pPr>
        <w:pStyle w:val="BookText"/>
      </w:pPr>
      <w:r>
        <w:rPr>
          <w:rFonts w:ascii="IRNazanin" w:hAnsi="IRNazanin" w:eastAsia="IRNazanin" w:cs="IRNazanin"/>
          <w:lang w:bidi="fa-IR"/>
          <w:color w:val="111111"/>
          <w:sz w:val="28"/>
          <w:szCs w:val="28"/>
          <w:rtl/>
        </w:rPr>
        <w:t xml:space="preserve">غزل مرتب از الف تا یاء باز غزل های بی ترتیب و شعر ترکی او؛ خط: نسخ ،بی کا، تا: قرن ۱۲ ؛کاغذ: استانبولی ،جلد: تیماج مشکی مقوایی، از یک سوی ،۴۰گ (۵۴ پ -۹۴ر)، ۱۵ سـطر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 قطع: ربعی، اندازه: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 ۱۷ - ۴۴۷]</w:t>
      </w:r>
    </w:p>
    <w:p>
      <w:pPr>
        <w:pStyle w:val="BookText"/>
      </w:pPr>
      <w:r>
        <w:rPr>
          <w:rFonts w:ascii="IRNazanin" w:hAnsi="IRNazanin" w:eastAsia="IRNazanin" w:cs="IRNazanin"/>
          <w:lang w:bidi="fa-IR"/>
          <w:color w:val="111111"/>
          <w:sz w:val="28"/>
          <w:szCs w:val="28"/>
          <w:rtl/>
        </w:rPr>
        <w:t xml:space="preserve">7.تهران؛ ملک؛ شماره نسخه: ۱۴۸۱/۶</w:t>
      </w:r>
    </w:p>
    <w:p>
      <w:pPr>
        <w:pStyle w:val="BookText"/>
      </w:pPr>
      <w:r>
        <w:rPr>
          <w:rFonts w:ascii="IRNazanin" w:hAnsi="IRNazanin" w:eastAsia="IRNazanin" w:cs="IRNazanin"/>
          <w:lang w:bidi="fa-IR"/>
          <w:color w:val="111111"/>
          <w:sz w:val="28"/>
          <w:szCs w:val="28"/>
          <w:rtl/>
        </w:rPr>
        <w:t xml:space="preserve">جنگ شعر است از مثنوی مولوی نظیری، عبدالله خان اتابکی، سلامان و ابسال و سبحة الابرار جامی، و از مقاله انصاری، و شـعر آذر ،هاتف، احمد میرزا نیازی، عاشق اصفهانی، از کشاف و جمال العارفين عبدالرزاق کاشانی، و شعر مجد همگر، نظامی ،محتشم، خواجوی کرمانی، عطار، همام تبریزی، زلالی ،میر فندرسکی، میر مشاق و بندی درباره بوییان؛ بی کا، تا: قرن13؛ کاغذ: آهار مهره قورخانه ای ،جلد: میشن  یشمی،۶۹گ (158ر-۲۲۷ر)،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۳۱سم [ف: ۵ - ۲۷۲]</w:t>
      </w:r>
    </w:p>
    <w:p>
      <w:pPr>
        <w:pStyle w:val="BookText"/>
      </w:pPr>
      <w:r>
        <w:rPr>
          <w:rFonts w:ascii="IRNazanin" w:hAnsi="IRNazanin" w:eastAsia="IRNazanin" w:cs="IRNazanin"/>
          <w:lang w:bidi="fa-IR"/>
          <w:color w:val="111111"/>
          <w:sz w:val="28"/>
          <w:szCs w:val="28"/>
          <w:rtl/>
        </w:rPr>
        <w:t xml:space="preserve">۸ .قم؛ گلپایگانی؛ شماره نسخه: ۳۴۴۸-۱۷/۲۲۸</w:t>
      </w:r>
    </w:p>
    <w:p>
      <w:pPr>
        <w:pStyle w:val="BookText"/>
      </w:pPr>
      <w:r>
        <w:rPr>
          <w:rFonts w:ascii="IRNazanin" w:hAnsi="IRNazanin" w:eastAsia="IRNazanin" w:cs="IRNazanin"/>
          <w:lang w:bidi="fa-IR"/>
          <w:color w:val="111111"/>
          <w:sz w:val="28"/>
          <w:szCs w:val="28"/>
          <w:rtl/>
        </w:rPr>
        <w:t xml:space="preserve">آغاز: اگر چنگیز دیدی شوکت و شان*** بخواطر ره ندادی ملـک ایران / زمشرق تا به مغرب لشگر او *** فکنده عرش سایه برسر او؛</w:t>
      </w:r>
    </w:p>
    <w:p>
      <w:pPr>
        <w:pStyle w:val="BookText"/>
      </w:pPr>
      <w:r>
        <w:rPr>
          <w:rFonts w:ascii="IRNazanin" w:hAnsi="IRNazanin" w:eastAsia="IRNazanin" w:cs="IRNazanin"/>
          <w:lang w:bidi="fa-IR"/>
          <w:color w:val="111111"/>
          <w:sz w:val="28"/>
          <w:szCs w:val="28"/>
          <w:rtl/>
        </w:rPr>
        <w:t xml:space="preserve">انجام: تا به کی افکار باشد ساغرش *** در ترنم شو که آمد نو بهار / فغان که از حرکات سپهر کج رفتار *** فكنده طرح جدایی ميانه من ويار</w:t>
      </w:r>
    </w:p>
    <w:p>
      <w:pPr>
        <w:pStyle w:val="BookText"/>
      </w:pPr>
      <w:r>
        <w:rPr>
          <w:rFonts w:ascii="IRNazanin" w:hAnsi="IRNazanin" w:eastAsia="IRNazanin" w:cs="IRNazanin"/>
          <w:lang w:bidi="fa-IR"/>
          <w:color w:val="111111"/>
          <w:sz w:val="28"/>
          <w:szCs w:val="28"/>
          <w:rtl/>
        </w:rPr>
        <w:t xml:space="preserve">در این جنگ سرودهای چند تن از صاحب منصبان عهد قاجار. که اغلب جنبه انتقادی و تاریخی دارند جمع آوری شده است، بدین ترتیب:مثنوی انتقادی از امرای خراسان (گویا بخشی حاتم نامه حاتم خویی است)، اشعاری از میرزا محمد خزانه دار،جنگ شاه شاهان باسر عسکر روم، چند ماده تاریخ در ساختن گنبد شاه نجف از میرزا زکی و عبدالرزاق بیک به ترکی، ماده تاریخ تعمیر ضریح امام حسین از نظر علی بیک شاه زاده رضیه سلطان بيكم ، و شعرا به نام گوهر شاد خانم در تعمیر نجف اشرف؛ خط: نستعلیق، بی کا، تا: قرن ۱۳ ؛افتادگی: آغاز؛ جلد: گالینگور نارنجی ۹۸گ، ۸ سطر قطع: بیاض رقعی، اندازه: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3- 1250]</w:t>
      </w:r>
    </w:p>
    <w:p>
      <w:pPr>
        <w:pStyle w:val="BookText"/>
      </w:pPr>
      <w:r>
        <w:rPr>
          <w:rFonts w:ascii="IRNazanin" w:hAnsi="IRNazanin" w:eastAsia="IRNazanin" w:cs="IRNazanin"/>
          <w:lang w:bidi="fa-IR"/>
          <w:color w:val="111111"/>
          <w:sz w:val="28"/>
          <w:szCs w:val="28"/>
          <w:rtl/>
        </w:rPr>
        <w:t xml:space="preserve">۹. تهران؛ مجلس؛ شماره نسخه: ۸۶۱۲</w:t>
      </w:r>
    </w:p>
    <w:p>
      <w:pPr>
        <w:pStyle w:val="BookText"/>
      </w:pPr>
      <w:r>
        <w:rPr>
          <w:rFonts w:ascii="IRNazanin" w:hAnsi="IRNazanin" w:eastAsia="IRNazanin" w:cs="IRNazanin"/>
          <w:lang w:bidi="fa-IR"/>
          <w:color w:val="111111"/>
          <w:sz w:val="28"/>
          <w:szCs w:val="28"/>
          <w:rtl/>
        </w:rPr>
        <w:t xml:space="preserve">مشتمل بر اشعاریدر مراثی از: طالب، مهجور، جوهری، مظلوم، دل ریش ،شکوهی، ساقی، ذکری، سرباز، مادح؛ خط: نستعليق تحریری، بی کا، تا: قرن ۱۳ ؛جلد: تیماج قهوه ای، ۸۰گ، مختلف السطر، 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۲۸ - ۱۶۰]</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یزد؛ کاظمینی؛ شماره نسخه: ۲۶۸</w:t>
      </w:r>
    </w:p>
    <w:p>
      <w:pPr>
        <w:pStyle w:val="BookText"/>
      </w:pPr>
      <w:r>
        <w:rPr>
          <w:rFonts w:ascii="IRNazanin" w:hAnsi="IRNazanin" w:eastAsia="IRNazanin" w:cs="IRNazanin"/>
          <w:lang w:bidi="fa-IR"/>
          <w:color w:val="111111"/>
          <w:sz w:val="28"/>
          <w:szCs w:val="28"/>
          <w:rtl/>
        </w:rPr>
        <w:t xml:space="preserve">مشتمل بر مختصری از وقایع کربلا به نثر و سپس اشعاری به فارسی و ترکی ؛خط: نستعلیق نازیبا، بی کا، تا: قرن ۱۳؛ کاغذ: الوان، جلد: تیماج قهوه ای، ۱۰۴گ، مختلف السطر،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۱ - ۲۳۱]</w:t>
      </w:r>
    </w:p>
    <w:p>
      <w:pPr>
        <w:pStyle w:val="BookText"/>
      </w:pPr>
      <w:r>
        <w:rPr>
          <w:rFonts w:ascii="IRNazanin" w:hAnsi="IRNazanin" w:eastAsia="IRNazanin" w:cs="IRNazanin"/>
          <w:lang w:bidi="fa-IR"/>
          <w:color w:val="111111"/>
          <w:sz w:val="28"/>
          <w:szCs w:val="28"/>
          <w:rtl/>
        </w:rPr>
        <w:t xml:space="preserve">۱۱. تهران؛ دانشگاه؛ شماره نسخه: ۴۳۴۰</w:t>
      </w:r>
    </w:p>
    <w:p>
      <w:pPr>
        <w:pStyle w:val="BookText"/>
      </w:pPr>
      <w:r>
        <w:rPr>
          <w:rFonts w:ascii="IRNazanin" w:hAnsi="IRNazanin" w:eastAsia="IRNazanin" w:cs="IRNazanin"/>
          <w:lang w:bidi="fa-IR"/>
          <w:color w:val="111111"/>
          <w:sz w:val="28"/>
          <w:szCs w:val="28"/>
          <w:rtl/>
        </w:rPr>
        <w:t xml:space="preserve">حدیث و شعر فارسی آزاد و فیضی و سعدی و مصلح و مصنف است و شعر ترکی هم دارد؛ خط: نستعلیق چلیپا، بی کا، تا: قرن ۱۲ و ۱۳؛ کاغذ: فرنگی ،جلد: تیماج مشکی، ۶۶گ، ۱۲ سطر (6</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9</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[ف : ۱۳ - ۳۲۹۷]</w:t>
      </w:r>
    </w:p>
    <w:p>
      <w:pPr>
        <w:pStyle w:val="BookText"/>
      </w:pPr>
      <w:r>
        <w:rPr>
          <w:rFonts w:ascii="IRNazanin" w:hAnsi="IRNazanin" w:eastAsia="IRNazanin" w:cs="IRNazanin"/>
          <w:lang w:bidi="fa-IR"/>
          <w:color w:val="111111"/>
          <w:sz w:val="28"/>
          <w:szCs w:val="28"/>
          <w:rtl/>
        </w:rPr>
        <w:t xml:space="preserve">۱۲. تهران؛ مجلس؛ شماره نسخه: ۹۲۵۷</w:t>
      </w:r>
    </w:p>
    <w:p>
      <w:pPr>
        <w:pStyle w:val="BookText"/>
      </w:pPr>
      <w:r>
        <w:rPr>
          <w:rFonts w:ascii="IRNazanin" w:hAnsi="IRNazanin" w:eastAsia="IRNazanin" w:cs="IRNazanin"/>
          <w:lang w:bidi="fa-IR"/>
          <w:color w:val="111111"/>
          <w:sz w:val="28"/>
          <w:szCs w:val="28"/>
          <w:rtl/>
        </w:rPr>
        <w:t xml:space="preserve">آغاز: واقعه دره الصدق، رقم نگار ستم نامه دیار بلا</w:t>
      </w:r>
    </w:p>
    <w:p>
      <w:pPr>
        <w:pStyle w:val="BookText"/>
      </w:pPr>
      <w:r>
        <w:rPr>
          <w:rFonts w:ascii="IRNazanin" w:hAnsi="IRNazanin" w:eastAsia="IRNazanin" w:cs="IRNazanin"/>
          <w:lang w:bidi="fa-IR"/>
          <w:color w:val="111111"/>
          <w:sz w:val="28"/>
          <w:szCs w:val="28"/>
          <w:rtl/>
        </w:rPr>
        <w:t xml:space="preserve">بیاضی است از نوع آنچه مداحان و مرثیه خوانان برای مجلس روضه خوانی گرد می آورند شامل مصایب و مراثی سید الشهداء به نظم و نثر فارسی و ترکی. از جمله دوازده بند محتشم کاشانی، اشعار مقبل، بحر طویل ها و .... خط: نسخ، بی کا، تا: قرن ۱۳؛ به چند خط مجدول اشعار فارسی؛ مهر: کتابخانه جعفر سلطان القرایی؛ جلد: تیماج مشکی با ترنج و سرترنج، ۱۷۰گ، مختلف السطر ،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 ف : ۳۰ - ۳۷]</w:t>
      </w:r>
    </w:p>
    <w:p>
      <w:pPr>
        <w:pStyle w:val="BookText"/>
      </w:pPr>
      <w:r>
        <w:rPr>
          <w:rFonts w:ascii="IRNazanin" w:hAnsi="IRNazanin" w:eastAsia="IRNazanin" w:cs="IRNazanin"/>
          <w:lang w:bidi="fa-IR"/>
          <w:color w:val="111111"/>
          <w:sz w:val="28"/>
          <w:szCs w:val="28"/>
          <w:rtl/>
        </w:rPr>
        <w:t xml:space="preserve">۱۳. تهران؛ مجلس؛ شماره نسخه: ۸۱۷۷/۶۷</w:t>
      </w:r>
    </w:p>
    <w:p>
      <w:pPr>
        <w:pStyle w:val="BookText"/>
      </w:pPr>
      <w:r>
        <w:rPr>
          <w:rFonts w:ascii="IRNazanin" w:hAnsi="IRNazanin" w:eastAsia="IRNazanin" w:cs="IRNazanin"/>
          <w:lang w:bidi="fa-IR"/>
          <w:color w:val="111111"/>
          <w:sz w:val="28"/>
          <w:szCs w:val="28"/>
          <w:rtl/>
        </w:rPr>
        <w:t xml:space="preserve">مخمسات متفرقه. چند مخمس بدون نام سراینده اغلب به فارسی و بعضی به ترکی. به همان خط اصل در حاشیه برگ ها؛ خط: نستعلیق ،تحریری، بی کا، تا: قرن ۱۳؛ خط ماوراء النهرى، مجدول، دارای رکابه، راسته و چلیپا ؛کاغذ: بسیار نازک کدر، جلد: مقوایی با روکش تیماج، ۵گ (۱۱۷پ-۱۲۲ر)، اندازه:۹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۱۹/۸سم [ف: 27/1 - ۴۱۸]</w:t>
      </w:r>
    </w:p>
    <w:p>
      <w:pPr>
        <w:pStyle w:val="BookText"/>
      </w:pPr>
      <w:r>
        <w:rPr>
          <w:rFonts w:ascii="IRNazanin" w:hAnsi="IRNazanin" w:eastAsia="IRNazanin" w:cs="IRNazanin"/>
          <w:lang w:bidi="fa-IR"/>
          <w:color w:val="111111"/>
          <w:sz w:val="28"/>
          <w:szCs w:val="28"/>
          <w:rtl/>
        </w:rPr>
        <w:t xml:space="preserve">۱۴. تهران؛ مجلس؛ شماره نسخه: ۸۹۹۰/۶</w:t>
      </w:r>
    </w:p>
    <w:p>
      <w:pPr>
        <w:pStyle w:val="BookText"/>
      </w:pPr>
      <w:r>
        <w:rPr>
          <w:rFonts w:ascii="IRNazanin" w:hAnsi="IRNazanin" w:eastAsia="IRNazanin" w:cs="IRNazanin"/>
          <w:lang w:bidi="fa-IR"/>
          <w:color w:val="111111"/>
          <w:sz w:val="28"/>
          <w:szCs w:val="28"/>
          <w:rtl/>
        </w:rPr>
        <w:t xml:space="preserve">اشعار فرد و تک بیت: بدون نام شاعر ؛ خط: نستعلیق و شکسته، بی کا، تا: قرن ۱۳ ؛کاغذ: فرنگی نخودی آهار مهره، جلد: مخملی بنفش با نقوش فرنگی و جدول درون کاغذ ابرو باد، ۱ص (۲۴)،چلیپا (11/5</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 اندازه: ۱۳/۹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۲۹/۱ - ۵۷۰]
</w:t>
      </w:r>
    </w:p>
    <w:p>
      <w:pPr>
        <w:sectPr>
          <w:footerReference w:type="default" r:id="rId9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۱۵. قم؛ گلپایگانی؛ شماره نسخه: ۵۸۷۶-۲۹/۲۱۶</w:t>
      </w:r>
    </w:p>
    <w:p>
      <w:pPr>
        <w:pStyle w:val="BookText"/>
      </w:pPr>
      <w:r>
        <w:rPr>
          <w:rFonts w:ascii="IRNazanin" w:hAnsi="IRNazanin" w:eastAsia="IRNazanin" w:cs="IRNazanin"/>
          <w:lang w:bidi="fa-IR"/>
          <w:color w:val="111111"/>
          <w:sz w:val="28"/>
          <w:szCs w:val="28"/>
          <w:rtl/>
        </w:rPr>
        <w:t xml:space="preserve">آغاز: نظاره ایلد وی شامیآن بی ناموس *** یا ناردی اهل حرم چون چراغ بی فانوس / بوحاله ایتد مزدی اهل بیت بی کس تـاب *** دو تارد لوز لفارين يوز ينه نصاب؛ انجام: از هنگام محرومی از فیض خدمت سعادت بنیان پیوسته به این ترانه مترنم می باشد که اگر در خواب می دیدم غم روز جدایی را ***بدل هرگز نـمی کردم خیال آشنایی را</w:t>
      </w:r>
    </w:p>
    <w:p>
      <w:pPr>
        <w:pStyle w:val="BookText"/>
      </w:pPr>
      <w:r>
        <w:rPr>
          <w:rFonts w:ascii="IRNazanin" w:hAnsi="IRNazanin" w:eastAsia="IRNazanin" w:cs="IRNazanin"/>
          <w:lang w:bidi="fa-IR"/>
          <w:color w:val="111111"/>
          <w:sz w:val="28"/>
          <w:szCs w:val="28"/>
          <w:rtl/>
        </w:rPr>
        <w:t xml:space="preserve">بیاضی است از آن یکی از نوحه خوانان و مرثیه سرایان اهل بـیت که در آن مراثی منظوم را به ترکی و فارسی برای استفاده خـود تحریر نموده است؛ خط: ،تحریری، بی کا، تا: قرن ۱۴ ؛جلد: مـقوا با عطف گالینگور قهوه ای، ۳۴گ، مختلف السطر، قطع: بياض رقعی،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۷ - ۴۲۶۵]</w:t>
      </w:r>
    </w:p>
    <w:p>
      <w:pPr>
        <w:pStyle w:val="BookText"/>
      </w:pPr>
      <w:r>
        <w:rPr>
          <w:rFonts w:ascii="IRNazanin" w:hAnsi="IRNazanin" w:eastAsia="IRNazanin" w:cs="IRNazanin"/>
          <w:lang w:bidi="fa-IR"/>
          <w:color w:val="111111"/>
          <w:sz w:val="28"/>
          <w:szCs w:val="28"/>
          <w:rtl/>
        </w:rPr>
        <w:t xml:space="preserve">۱۶ . قم؛ مرکز مطالعات؛ شماره نسخه: ۹۷۳/۴</w:t>
      </w:r>
    </w:p>
    <w:p>
      <w:pPr>
        <w:pStyle w:val="BookText"/>
      </w:pPr>
      <w:r>
        <w:rPr>
          <w:rFonts w:ascii="IRNazanin" w:hAnsi="IRNazanin" w:eastAsia="IRNazanin" w:cs="IRNazanin"/>
          <w:lang w:bidi="fa-IR"/>
          <w:color w:val="111111"/>
          <w:sz w:val="28"/>
          <w:szCs w:val="28"/>
          <w:rtl/>
        </w:rPr>
        <w:t xml:space="preserve">جنگ، اشعار، ،قصاید، غزلیات، مراثی؛ خط: نستعلیق، بی کا، تا:20 جمادی الثانی ۱۳۰۰ق؛ جلد: تیماج قهوه ای ضربی مجدول گرهی، ۴۲ گ،(۱۴۹ر-۱۹۱پ)، اندازه:۱۱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۱۷/۵سم [ف ۲ -241]</w:t>
      </w:r>
    </w:p>
    <w:p>
      <w:pPr>
        <w:pStyle w:val="BookText"/>
      </w:pPr>
      <w:r>
        <w:rPr>
          <w:rFonts w:ascii="IRNazanin" w:hAnsi="IRNazanin" w:eastAsia="IRNazanin" w:cs="IRNazanin"/>
          <w:lang w:bidi="fa-IR"/>
          <w:color w:val="111111"/>
          <w:sz w:val="28"/>
          <w:szCs w:val="28"/>
          <w:rtl/>
        </w:rPr>
        <w:t xml:space="preserve">17.مشهد؛ رضوی؛ شماره نسخه: ۱۶۷۹۴</w:t>
      </w:r>
    </w:p>
    <w:p>
      <w:pPr>
        <w:pStyle w:val="BookText"/>
      </w:pPr>
      <w:r>
        <w:rPr>
          <w:rFonts w:ascii="IRNazanin" w:hAnsi="IRNazanin" w:eastAsia="IRNazanin" w:cs="IRNazanin"/>
          <w:lang w:bidi="fa-IR"/>
          <w:color w:val="111111"/>
          <w:sz w:val="28"/>
          <w:szCs w:val="28"/>
          <w:rtl/>
        </w:rPr>
        <w:t xml:space="preserve">آغاز: کلور محرم آلی شیعه لر اولسون آگاهه کینه تدارک مـاتم كورور رسوا له له؛ انجام: دو توب بود امتی صدقیله صبح شام اولماز.</w:t>
      </w:r>
    </w:p>
    <w:p>
      <w:pPr>
        <w:pStyle w:val="BookText"/>
      </w:pPr>
      <w:r>
        <w:rPr>
          <w:rFonts w:ascii="IRNazanin" w:hAnsi="IRNazanin" w:eastAsia="IRNazanin" w:cs="IRNazanin"/>
          <w:lang w:bidi="fa-IR"/>
          <w:color w:val="111111"/>
          <w:sz w:val="28"/>
          <w:szCs w:val="28"/>
          <w:rtl/>
        </w:rPr>
        <w:t xml:space="preserve">مجموعه ای است از اشعار در سوگ ائمه اطهار(علیهم السّلام) به زبان ترکی و بعضا به فارسی از شاعران مختلف از شهاب ،صافی ،زایر، تاجر تبریزی و ... با عناوینی به شرح زیر: ۱- احوالات غره محـرم الحرام، ۲- احوالات فاطمه صغرا (علیها السّلام) از شهاب،3 - احوالا ورود به کربلا در سوم محرم، ۴- احوالات حضرت علی اکبر(علیه السّلام) و شهادت ایشان، احوالات حضرت علی اصغر (علیه السّلام) ، احوالات حضرت ابوالفضل (علیه السّلام)، احوالات پسران جناب مسلم، احوالا حضرت حسین (علیه السّلام)، احوالات غارت خیمگاه، احوالات اسرا و كوفه، من كلام صافی، احوالات تنور به سر حضرت حسین (علیه السّلام)، احوالات راه شام از زبان جناب لیلا، از زبان جناب سکینه، احوالات مجلس يزيد لعنت الله عليه، احوالات خرابه شام، خروج از شام، من کلام زایر، خطبه سجادیه، احوالات اربعین، احوالات ورود به مدینه از کربلا، احوالات مدینه از تاجر تبریزی، احوالات پیامبر (صلّی اللَّهِ علیه وَ آلِهِ وَ سَلَّمَ )) وفات فاطمه زهرا (علیا السّلام) ، من کلام زایر، چند بیتی به فارسی از محتشم کاشانی در احوالات حضرت صديقة الطاهره (علیه السّلام) با این مطلع: «ای بانوی حریم شهنشاه لافتی ***وی معجر عصمت و وی حجله ات حیا»، دراحوالات حضرت رضا (علیه السّلام) من کلام تاجر تبریزی، در احوالات حضرت موسی بن جعفر (علیه السّلام) من کلام زایر، در احوالات حضرت امیرالمؤمنین علی (علیه السّلام)، نوزدهم ماه رمضان المبارک، احوالات تولد حضرت امام حسین(علیه السّلام) ، عید قربان، من كلام زایر، در نیمه شعبان و احوالات امام حسن (علیه السّلام)؛خط: نستعلیق کتابتی، کا: محمد علی، تا: قرن ۱۴؛ کاغذ: نخود ی،جلد: تیماج قهوه ای، ۱۷ 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 ۱۷ - ۴۸۶]</w:t>
      </w:r>
    </w:p>
    <w:p>
      <w:pPr>
        <w:pStyle w:val="BookText"/>
      </w:pPr>
      <w:r>
        <w:rPr>
          <w:rFonts w:ascii="IRNazanin" w:hAnsi="IRNazanin" w:eastAsia="IRNazanin" w:cs="IRNazanin"/>
          <w:lang w:bidi="fa-IR"/>
          <w:color w:val="111111"/>
          <w:sz w:val="28"/>
          <w:szCs w:val="28"/>
          <w:rtl/>
        </w:rPr>
        <w:t xml:space="preserve">۱۸. تهران؛ دانشگاه؛ شماره نسخه: ۲۷۰۱</w:t>
      </w:r>
    </w:p>
    <w:p>
      <w:pPr>
        <w:pStyle w:val="BookText"/>
      </w:pPr>
      <w:r>
        <w:rPr>
          <w:rFonts w:ascii="IRNazanin" w:hAnsi="IRNazanin" w:eastAsia="IRNazanin" w:cs="IRNazanin"/>
          <w:lang w:bidi="fa-IR"/>
          <w:color w:val="111111"/>
          <w:sz w:val="28"/>
          <w:szCs w:val="28"/>
          <w:rtl/>
        </w:rPr>
        <w:t xml:space="preserve">شعرهای فارسی و ترکی است که سلیمان قاضی ترک در ربیع الاول ۱۱۹۵ گرد آورده: ۱- به فارسی فردوسی (۱)، صائب، فقیه، ثنایی، شمسی (۶) ابن عوفی، ملای رومی ،سعدی، صافی، فرشته (به ترتیب تهجی نزدیک ۱۵۰ بیت)، شوکت (۱۶) جامی، رکن کمال ،(۲۵) خسرو، جنتی، احمد جام ،مانی فاخری (۳۳) عینی، ناصر خسرو، امام فخر رازی ،هلالی اهلی (۴۶)، ۲۔ ترکی عزتی (١) ،راغبی ،علوی ،مرادی الهی ،(۹) ،بیانی، عینی، صافی (۲۶) ،عالی ،آتشین ،جوری، کریمی،(۳۹) ،سنائی، شرحی (۵۳) نابی ،مانی ،غوثی ،عندلیبی ،روحی ،اسحاق، عشقی، رحمی، اصولی؛ خط: نستعلیق، بی کا، تا: قرن ۱۳؛ کاغذ: فرنگی، جلد: تیماج قهوه ای، ۳۰گ سطور چلیپا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۲۳سم [ف:  10- 1582]</w:t>
      </w:r>
    </w:p>
    <w:p>
      <w:pPr>
        <w:pStyle w:val="BookText"/>
      </w:pPr>
      <w:r>
        <w:rPr>
          <w:rFonts w:ascii="IRNazanin" w:hAnsi="IRNazanin" w:eastAsia="IRNazanin" w:cs="IRNazanin"/>
          <w:lang w:bidi="fa-IR"/>
          <w:color w:val="111111"/>
          <w:sz w:val="28"/>
          <w:szCs w:val="28"/>
          <w:rtl/>
        </w:rPr>
        <w:t xml:space="preserve">۱۹. مشهد؛ رضوی؛ شماره نسخه: ۲۶۵۱۹</w:t>
      </w:r>
    </w:p>
    <w:p>
      <w:pPr>
        <w:pStyle w:val="BookText"/>
      </w:pPr>
      <w:r>
        <w:rPr>
          <w:rFonts w:ascii="IRNazanin" w:hAnsi="IRNazanin" w:eastAsia="IRNazanin" w:cs="IRNazanin"/>
          <w:lang w:bidi="fa-IR"/>
          <w:color w:val="111111"/>
          <w:sz w:val="28"/>
          <w:szCs w:val="28"/>
          <w:rtl/>
        </w:rPr>
        <w:t xml:space="preserve">آغاز: سکینه سینه داغ چکدی الله له کیمی (کذا)؛ انجام: هم بخوان خویشتن آغشته شد</w:t>
      </w:r>
    </w:p>
    <w:p>
      <w:pPr>
        <w:pStyle w:val="BookText"/>
      </w:pPr>
      <w:r>
        <w:rPr>
          <w:rFonts w:ascii="IRNazanin" w:hAnsi="IRNazanin" w:eastAsia="IRNazanin" w:cs="IRNazanin"/>
          <w:lang w:bidi="fa-IR"/>
          <w:color w:val="111111"/>
          <w:sz w:val="28"/>
          <w:szCs w:val="28"/>
          <w:rtl/>
        </w:rPr>
        <w:t xml:space="preserve">جامع: نوحه خوان ،حسین، ماتن: هجری تبریزی، محمد؛ خط: نستعلیق، بی کا، تا: قرن ۱۴[ رایانه]</w:t>
      </w:r>
    </w:p>
    <w:p>
      <w:pPr>
        <w:pStyle w:val="BookText"/>
      </w:pPr>
      <w:r>
        <w:rPr>
          <w:rFonts w:ascii="IRNazanin" w:hAnsi="IRNazanin" w:eastAsia="IRNazanin" w:cs="IRNazanin"/>
          <w:lang w:bidi="fa-IR"/>
          <w:color w:val="111111"/>
          <w:sz w:val="28"/>
          <w:szCs w:val="28"/>
          <w:rtl/>
        </w:rPr>
        <w:t xml:space="preserve">۲۰ . مشهد؛ میبدی؛ شماره نسخه: ۱۰۲</w:t>
      </w:r>
    </w:p>
    <w:p>
      <w:pPr>
        <w:pStyle w:val="BookText"/>
      </w:pPr>
      <w:r>
        <w:rPr>
          <w:rFonts w:ascii="IRNazanin" w:hAnsi="IRNazanin" w:eastAsia="IRNazanin" w:cs="IRNazanin"/>
          <w:lang w:bidi="fa-IR"/>
          <w:color w:val="111111"/>
          <w:sz w:val="28"/>
          <w:szCs w:val="28"/>
          <w:rtl/>
        </w:rPr>
        <w:t xml:space="preserve">جنگی دارای مراثی است که گویا یکی از مرثیه خوانان آن را فراهم آورده. نام این شاعران در این جنگ یاد شده است: ناطق ،دلمقانی، شیدا، سرابی ،ذلیل ،بهار جوهری، حکیم قاآنی، سرباز، ناصر الدین شاه قاجار ،میرزا فرج الله ،افشار، پیر غم، خاکی؛ خط: نستعلیق،بی کا، تا: ۱۳۳۴ - ۱۳۶۰ق، سطرها راسته و چلیپا؛ جلد: تیماج ،مشکی، ۳۴گ، مختلف السطر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۱ - ۹۶]</w:t>
      </w:r>
    </w:p>
    <w:p>
      <w:pPr>
        <w:pStyle w:val="BookText"/>
      </w:pPr>
      <w:r>
        <w:rPr>
          <w:rFonts w:ascii="IRNazanin" w:hAnsi="IRNazanin" w:eastAsia="IRNazanin" w:cs="IRNazanin"/>
          <w:lang w:bidi="fa-IR"/>
          <w:color w:val="111111"/>
          <w:sz w:val="28"/>
          <w:szCs w:val="28"/>
          <w:rtl/>
        </w:rPr>
        <w:t xml:space="preserve">۲۱. قم؛ گلپایگانی شماره نسخه: ۴۸۹۱/۱-۲۴/۱۹۱</w:t>
      </w:r>
    </w:p>
    <w:p>
      <w:pPr>
        <w:pStyle w:val="BookText"/>
      </w:pPr>
      <w:r>
        <w:rPr>
          <w:rFonts w:ascii="IRNazanin" w:hAnsi="IRNazanin" w:eastAsia="IRNazanin" w:cs="IRNazanin"/>
          <w:lang w:bidi="fa-IR"/>
          <w:color w:val="111111"/>
          <w:sz w:val="28"/>
          <w:szCs w:val="28"/>
          <w:rtl/>
        </w:rPr>
        <w:t xml:space="preserve">آغاز: مراثی مولانا محتشم عليه الرحمة. باز این چه شورش است که در خلق عالم است*** باز این چه نوحه وچه عزا وچه ماتم *** است؛ انجام: یادایت فضولی آل عبا حالن ایله آه*** کیم برق آه ایله یا قیلور خرمن گناه</w:t>
      </w:r>
    </w:p>
    <w:p>
      <w:pPr>
        <w:pStyle w:val="BookText"/>
      </w:pPr>
      <w:r>
        <w:rPr>
          <w:rFonts w:ascii="IRNazanin" w:hAnsi="IRNazanin" w:eastAsia="IRNazanin" w:cs="IRNazanin"/>
          <w:lang w:bidi="fa-IR"/>
          <w:color w:val="111111"/>
          <w:sz w:val="28"/>
          <w:szCs w:val="28"/>
          <w:rtl/>
        </w:rPr>
        <w:t xml:space="preserve">شامل: دوازده بند محتشم، مراثی حاجی سلیمان بیدگلی کاشانی، مراثی فدایی مراثی رضا قلی بیک، دوازده بند ملانقی، مراثی فضولی ترکی؛ خط: نستعلیق، بی کا، بی تا؛ جلد: تیماج قهوه ای، ۳۲گ، ۸ سطر دوستونی چلیپایی، اندازه: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۷ - ۴۲۶۴]</w:t>
      </w:r>
    </w:p>
    <w:p>
      <w:pPr>
        <w:pStyle w:val="BookText"/>
      </w:pPr>
      <w:r>
        <w:rPr>
          <w:rFonts w:ascii="IRNazanin" w:hAnsi="IRNazanin" w:eastAsia="IRNazanin" w:cs="IRNazanin"/>
          <w:lang w:bidi="fa-IR"/>
          <w:color w:val="111111"/>
          <w:sz w:val="28"/>
          <w:szCs w:val="28"/>
          <w:rtl/>
        </w:rPr>
        <w:t xml:space="preserve">۲۲. تهران؛ مجلس؛ شماره نسخه: ۱۷۴۴۳</w:t>
      </w:r>
    </w:p>
    <w:p>
      <w:pPr>
        <w:pStyle w:val="BookText"/>
      </w:pPr>
      <w:r>
        <w:rPr>
          <w:rFonts w:ascii="IRNazanin" w:hAnsi="IRNazanin" w:eastAsia="IRNazanin" w:cs="IRNazanin"/>
          <w:lang w:bidi="fa-IR"/>
          <w:color w:val="111111"/>
          <w:sz w:val="28"/>
          <w:szCs w:val="28"/>
          <w:rtl/>
        </w:rPr>
        <w:t xml:space="preserve">از مشاهیر و غیر مشاهیر؛ بی کا، بی تا [د.ث. مجلس ]</w:t>
      </w:r>
    </w:p>
    <w:p>
      <w:pPr>
        <w:pStyle w:val="BookText"/>
      </w:pPr>
      <w:r>
        <w:rPr>
          <w:rFonts w:ascii="IRNazanin" w:hAnsi="IRNazanin" w:eastAsia="IRNazanin" w:cs="IRNazanin"/>
          <w:lang w:bidi="fa-IR"/>
          <w:color w:val="111111"/>
          <w:sz w:val="28"/>
          <w:szCs w:val="28"/>
          <w:rtl/>
        </w:rPr>
        <w:t xml:space="preserve">۲۳ .تهران؛ مجلس؛ شماره نسخه: ۱۸۰۰۷</w:t>
      </w:r>
    </w:p>
    <w:p>
      <w:pPr>
        <w:pStyle w:val="BookText"/>
      </w:pPr>
      <w:r>
        <w:rPr>
          <w:rFonts w:ascii="IRNazanin" w:hAnsi="IRNazanin" w:eastAsia="IRNazanin" w:cs="IRNazanin"/>
          <w:lang w:bidi="fa-IR"/>
          <w:color w:val="111111"/>
          <w:sz w:val="28"/>
          <w:szCs w:val="28"/>
          <w:rtl/>
        </w:rPr>
        <w:t xml:space="preserve">تخمیس اشعار حافظ، اشعار فضولی، اشعار رضوان علیشاه و غیره؛</w:t>
      </w:r>
    </w:p>
    <w:p>
      <w:pPr>
        <w:pStyle w:val="BookText"/>
      </w:pPr>
      <w:r>
        <w:rPr>
          <w:rFonts w:ascii="IRNazanin" w:hAnsi="IRNazanin" w:eastAsia="IRNazanin" w:cs="IRNazanin"/>
          <w:lang w:bidi="fa-IR"/>
          <w:color w:val="111111"/>
          <w:sz w:val="28"/>
          <w:szCs w:val="28"/>
          <w:rtl/>
        </w:rPr>
        <w:t xml:space="preserve">بی کا، بی تا [د.ث. مجلس ]</w:t>
      </w:r>
    </w:p>
    <w:p>
      <w:pPr>
        <w:pStyle w:val="BookText"/>
      </w:pPr>
      <w:r>
        <w:rPr>
          <w:rFonts w:ascii="IRNazanin" w:hAnsi="IRNazanin" w:eastAsia="IRNazanin" w:cs="IRNazanin"/>
          <w:lang w:bidi="fa-IR"/>
          <w:color w:val="111111"/>
          <w:sz w:val="28"/>
          <w:szCs w:val="28"/>
          <w:rtl/>
        </w:rPr>
        <w:t xml:space="preserve">۲۴. تهران؛ مجلس؛ شماره نسخه: ۱۳۴۶۹</w:t>
      </w:r>
    </w:p>
    <w:p>
      <w:pPr>
        <w:pStyle w:val="BookText"/>
      </w:pPr>
      <w:r>
        <w:rPr>
          <w:rFonts w:ascii="IRNazanin" w:hAnsi="IRNazanin" w:eastAsia="IRNazanin" w:cs="IRNazanin"/>
          <w:lang w:bidi="fa-IR"/>
          <w:color w:val="111111"/>
          <w:sz w:val="28"/>
          <w:szCs w:val="28"/>
          <w:rtl/>
        </w:rPr>
        <w:t xml:space="preserve">آغاز: زمانه هر نفسم تازه محنتی راند *** اگر چه وعده همنی شد.... را / مرا بپرور و در کسب نام باقی کوش *** که آن ذخیره بماند است ... و يحيى را؛ انجام: آنکه نابینای مادرزاد اگر حاضر
</w:t>
      </w:r>
    </w:p>
    <w:p>
      <w:pPr>
        <w:sectPr>
          <w:footerReference w:type="default" r:id="rId969"/>
          <w:footnotePr>
            <w:numStart w:val="1"/>
            <w:numRestart w:val="eachPage"/>
          </w:footnotePr>
          <w:pgSz w:orient="portrait" w:w="11905.511811023622" w:h="16837.79527559055"/>
          <w:pgMar w:top="1440" w:right="1440" w:bottom="1440" w:left="1440" w:header="720" w:footer="720" w:gutter="0"/>
          <w:cols w:num="1" w:space="720"/>
        </w:sectPr>
      </w:pPr>
    </w:p>
    <w:bookmarkStart w:id="425" w:name="pg20365_260905"/>
    <w:bookmarkEnd w:id="425"/>
    <w:p>
      <w:pPr>
        <w:pStyle w:val="BookText"/>
      </w:pPr>
      <w:r>
        <w:rPr>
          <w:rFonts w:ascii="IRNazanin" w:hAnsi="IRNazanin" w:eastAsia="IRNazanin" w:cs="IRNazanin"/>
          <w:lang w:bidi="fa-IR"/>
          <w:color w:val="111111"/>
          <w:sz w:val="28"/>
          <w:szCs w:val="28"/>
          <w:rtl/>
        </w:rPr>
        <w:t xml:space="preserve">شود *** در جبین عالم آرایش نیفتد سروری / در پناه سده جاه رعیت پرورش *** بر عقاب آسمان فرمان دهد کبک دری</w:t>
      </w:r>
    </w:p>
    <w:p>
      <w:pPr>
        <w:pStyle w:val="BookText"/>
      </w:pPr>
      <w:r>
        <w:rPr>
          <w:rFonts w:ascii="IRNazanin" w:hAnsi="IRNazanin" w:eastAsia="IRNazanin" w:cs="IRNazanin"/>
          <w:lang w:bidi="fa-IR"/>
          <w:color w:val="111111"/>
          <w:sz w:val="28"/>
          <w:szCs w:val="28"/>
          <w:rtl/>
        </w:rPr>
        <w:t xml:space="preserve">اشعاری از: عبدالواسع جبلی، حکیم خاقانی شیروانی، صیف الدین اعرجی، حکیم سنایی غزنوی، انوری ابیوردی، خواجو ،سلمان ،اهلی، خواجه لطف الله، میرزا اشرف، خواجه کمال ،جامی، محتشم، شیخ علی نقی ،آذر ،عذری ،عشرت نیازی، عرفی امیر سنجر، غیرت اصفهانی، حافظ رفیق ،نظیری، رهی اصفهانی، میرحضوری قمی ،خسرو ،کلیم، مسعود، وحشی ،ضمیری ،عاشق ،مشتاق نظام استر آبادی ،سعدی ،فغانی، مرتضـی قلی  بیک ،راهب درویش ،مجید ،صالحی ،درکی ،میلی ،موالی، امیر معزی، دیباچه آتشکده آذر ،دیباچه نقل عشاق محتشم، شاپور طهرانی ،امیدی ،انسی ،ثنایی، صباحی ،ابوالمفاخر، محـمد على وفا، بهاريات میرزا نصیر طبیب، احمد ستمگر، قصیده ملـک انور در وصف مناسک و مشاعر حج، مخمس میر فتاح مراغه ای، نظامی، هاتف، فردوسی ف عزت ،منعم، میرزا ابوالحسن حريف، ملا حسن کاشی، خرد، رشید وطواط، شفیق بغدادی؛ خـط: نستعلیق، بی کا، بی تا؛ جلد: تیماج قهوه ای، ۱۹۸گ، مختلف السطر، قطع: بیاضی،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۳۶ - ۴۲۲]</w:t>
      </w:r>
    </w:p>
    <w:p>
      <w:pPr>
        <w:pStyle w:val="BookText"/>
      </w:pPr>
      <w:r>
        <w:rPr>
          <w:rFonts w:ascii="IRNazanin" w:hAnsi="IRNazanin" w:eastAsia="IRNazanin" w:cs="IRNazanin"/>
          <w:lang w:bidi="fa-IR"/>
          <w:color w:val="111111"/>
          <w:sz w:val="28"/>
          <w:szCs w:val="28"/>
          <w:rtl/>
        </w:rPr>
        <w:t xml:space="preserve">۲۵. تهران؛ مجلس؛ شماره نسخه: ۱۷۸۵۲</w:t>
      </w:r>
    </w:p>
    <w:p>
      <w:pPr>
        <w:pStyle w:val="BookText"/>
      </w:pPr>
      <w:r>
        <w:rPr>
          <w:rFonts w:ascii="IRNazanin" w:hAnsi="IRNazanin" w:eastAsia="IRNazanin" w:cs="IRNazanin"/>
          <w:lang w:bidi="fa-IR"/>
          <w:color w:val="111111"/>
          <w:sz w:val="28"/>
          <w:szCs w:val="28"/>
          <w:rtl/>
        </w:rPr>
        <w:t xml:space="preserve">از فضولی ،بیدل، غیاثی، یاری و غیره؛ بی کا، بی تا [د.ث. مجلس]</w:t>
      </w:r>
    </w:p>
    <w:p>
      <w:pPr>
        <w:pStyle w:val="BookText"/>
      </w:pPr>
      <w:r>
        <w:rPr>
          <w:rFonts w:ascii="IRNazanin" w:hAnsi="IRNazanin" w:eastAsia="IRNazanin" w:cs="IRNazanin"/>
          <w:lang w:bidi="fa-IR"/>
          <w:color w:val="111111"/>
          <w:sz w:val="28"/>
          <w:szCs w:val="28"/>
          <w:rtl/>
        </w:rPr>
        <w:t xml:space="preserve">۲۶ . مشهد؛ رضوی؛ شماره نسخه: ۱۶۱۶۲/۱</w:t>
      </w:r>
    </w:p>
    <w:p>
      <w:pPr>
        <w:pStyle w:val="BookText"/>
      </w:pPr>
      <w:r>
        <w:rPr>
          <w:rFonts w:ascii="IRNazanin" w:hAnsi="IRNazanin" w:eastAsia="IRNazanin" w:cs="IRNazanin"/>
          <w:lang w:bidi="fa-IR"/>
          <w:color w:val="111111"/>
          <w:sz w:val="28"/>
          <w:szCs w:val="28"/>
          <w:rtl/>
        </w:rPr>
        <w:t xml:space="preserve">آغاز: مخدوم بعد از تشریف بردن شما اخوی آخوند ملا آقا علی که زاهد عصر و عابد دهر بوده؛ انجام: اسدالله که آیدبهوا.داری دل ***زهره شیر شود آب ز پاداری دل. از میرزا رحیم غیب گوی تبریزی چنین شنیدم یا علی مدد.</w:t>
      </w:r>
    </w:p>
    <w:p>
      <w:pPr>
        <w:pStyle w:val="BookText"/>
      </w:pPr>
      <w:r>
        <w:rPr>
          <w:rFonts w:ascii="IRNazanin" w:hAnsi="IRNazanin" w:eastAsia="IRNazanin" w:cs="IRNazanin"/>
          <w:lang w:bidi="fa-IR"/>
          <w:color w:val="111111"/>
          <w:sz w:val="28"/>
          <w:szCs w:val="28"/>
          <w:rtl/>
        </w:rPr>
        <w:t xml:space="preserve">غزلیات، مثنویات و رباعیات به ترکی و فارسی از مولانا زین العابدین حیران، آقا میرزا باقر خلخالی، قاسم انوار، خواجه نصـیر،غیرت، اوحدی کرمانی، سید محمد نجفی، جامی، میرزا باقر حیران، میرزا صادق حیرت، عطار؛ خط: نستعلیق مخلوط بشکسته و نسخ، بی کا، تا: (۱۳۰۳-۱۳۱۴)؛ واگذاری بنیاد مستضعفان در شهریور ماه ۱۳۶۷؛ کاغذ ،نخودی، جلد: تیماج اسقاطی، ۲۶گ (۵۳-۲) اندازه: ۱۰/۷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۱۷/۵سم [ف : ۱۷ - ۴۷۶]</w:t>
      </w:r>
    </w:p>
    <w:p>
      <w:pPr>
        <w:pStyle w:val="BookText"/>
      </w:pPr>
      <w:r>
        <w:rPr>
          <w:rFonts w:ascii="IRNazanin" w:hAnsi="IRNazanin" w:eastAsia="IRNazanin" w:cs="IRNazanin"/>
          <w:lang w:bidi="fa-IR"/>
          <w:color w:val="111111"/>
          <w:sz w:val="28"/>
          <w:szCs w:val="28"/>
          <w:rtl/>
        </w:rPr>
        <w:t xml:space="preserve">۲۷. تهران؛ دانشگاه؛ شماره نسخه: ۹۴۴۰/۱۳</w:t>
      </w:r>
    </w:p>
    <w:p>
      <w:pPr>
        <w:pStyle w:val="BookText"/>
      </w:pPr>
      <w:r>
        <w:rPr>
          <w:rFonts w:ascii="IRNazanin" w:hAnsi="IRNazanin" w:eastAsia="IRNazanin" w:cs="IRNazanin"/>
          <w:lang w:bidi="fa-IR"/>
          <w:color w:val="111111"/>
          <w:sz w:val="28"/>
          <w:szCs w:val="28"/>
          <w:rtl/>
        </w:rPr>
        <w:t xml:space="preserve">جنگ شعر است از کمال الدین وسیف الملوک، هر دو به فارسی و ساعتی و شیخی هر دو به ترکی؛ خط: نستعلیق ترک،بی کا، بی تا؛ کاغذ: استانبولی ،جلد: مقوا عطف تیماج تریاکی به ربعی، ۲۸ ص (۲۵۸-۲۸۶)، ۱۸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۱۷ - ۳۶۹]</w:t>
      </w:r>
    </w:p>
    <w:p>
      <w:pPr>
        <w:pStyle w:val="BookText"/>
      </w:pPr>
      <w:r>
        <w:rPr>
          <w:rFonts w:ascii="IRNazanin" w:hAnsi="IRNazanin" w:eastAsia="IRNazanin" w:cs="IRNazanin"/>
          <w:lang w:bidi="fa-IR"/>
          <w:color w:val="111111"/>
          <w:sz w:val="28"/>
          <w:szCs w:val="28"/>
          <w:rtl/>
        </w:rPr>
        <w:t xml:space="preserve">۲۸. تهران؛ دانشگاه؛ شماره نسخه: ۹۴۶۶</w:t>
      </w:r>
    </w:p>
    <w:p>
      <w:pPr>
        <w:pStyle w:val="BookText"/>
      </w:pPr>
      <w:r>
        <w:rPr>
          <w:rFonts w:ascii="IRNazanin" w:hAnsi="IRNazanin" w:eastAsia="IRNazanin" w:cs="IRNazanin"/>
          <w:lang w:bidi="fa-IR"/>
          <w:color w:val="111111"/>
          <w:sz w:val="28"/>
          <w:szCs w:val="28"/>
          <w:rtl/>
        </w:rPr>
        <w:t xml:space="preserve">جنگ شعر است فارسی فایق افندی و صایب و کلیم با انشائی از اسحاق فندی به ترکی و نثرهای دیگر به ترکی؛ خط: نستعـلیق ترک، بی کا، تا: قرن ۱۲ و ۱۳؛ سطور چلیپا؛ کاغذ ،استانبولی، جـلد: تيماج مشكى مقوایی یک سویه، وزیری، ۱۱۳گ ۲۷ سـطر(۱۱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۲۵/۵سم [ف : ۱۷ - ۳۷۵]</w:t>
      </w:r>
    </w:p>
    <w:p>
      <w:pPr>
        <w:pStyle w:val="BookText"/>
      </w:pPr>
      <w:r>
        <w:rPr>
          <w:rFonts w:ascii="IRNazanin" w:hAnsi="IRNazanin" w:eastAsia="IRNazanin" w:cs="IRNazanin"/>
          <w:lang w:bidi="fa-IR"/>
          <w:color w:val="111111"/>
          <w:sz w:val="28"/>
          <w:szCs w:val="28"/>
          <w:rtl/>
        </w:rPr>
        <w:t xml:space="preserve">۲۹. قم؛ مسجد اعظم؛ شماره نسخه: ۳۷۲۶</w:t>
      </w:r>
    </w:p>
    <w:p>
      <w:pPr>
        <w:pStyle w:val="BookText"/>
      </w:pPr>
      <w:r>
        <w:rPr>
          <w:rFonts w:ascii="IRNazanin" w:hAnsi="IRNazanin" w:eastAsia="IRNazanin" w:cs="IRNazanin"/>
          <w:lang w:bidi="fa-IR"/>
          <w:color w:val="111111"/>
          <w:sz w:val="28"/>
          <w:szCs w:val="28"/>
          <w:rtl/>
        </w:rPr>
        <w:t xml:space="preserve">آغاز: از نرگس مست بدخمارش *** در سستی و درخمارم امشب / از بهر نثار یار خاقان *** جان دادم و شرمسارم امشب؛</w:t>
      </w:r>
    </w:p>
    <w:p>
      <w:pPr>
        <w:pStyle w:val="BookText"/>
      </w:pPr>
      <w:r>
        <w:rPr>
          <w:rFonts w:ascii="IRNazanin" w:hAnsi="IRNazanin" w:eastAsia="IRNazanin" w:cs="IRNazanin"/>
          <w:lang w:bidi="fa-IR"/>
          <w:color w:val="111111"/>
          <w:sz w:val="28"/>
          <w:szCs w:val="28"/>
          <w:rtl/>
        </w:rPr>
        <w:t xml:space="preserve">انجام: عرض چه احتیاج که گویم به داستان *** کاین از فلان مجوی وز بهمان مخواه فلان / لب بستن از طلب روشن همت است و بس***گفتم مخواه تن زن و صد داستان مخواه</w:t>
      </w:r>
    </w:p>
    <w:p>
      <w:pPr>
        <w:pStyle w:val="BookText"/>
      </w:pPr>
      <w:r>
        <w:rPr>
          <w:rFonts w:ascii="IRNazanin" w:hAnsi="IRNazanin" w:eastAsia="IRNazanin" w:cs="IRNazanin"/>
          <w:lang w:bidi="fa-IR"/>
          <w:color w:val="111111"/>
          <w:sz w:val="28"/>
          <w:szCs w:val="28"/>
          <w:rtl/>
        </w:rPr>
        <w:t xml:space="preserve">مجموعه ای است در اشعار فارسی و ترکی از حکیم سوزنی، مولوی، وحشی بافقی، فضولی بغدادی، عراقی حافظ لسان الغيب، عاشق، عرفی و اشعاری که تخلص «خاقان» دارد؛ خط: نستعلیق ،بی کا، بی تا؛ افتادگی: آغاز؛ مجدول؛ جلد: تیماج قهوه ای بدون مقوا، ترنج و سر عطف ،پارچه ۱۰۰گ، مختلف السطر،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مخ: ۲ - ۶۱۲]</w:t>
      </w:r>
    </w:p>
    <w:p>
      <w:pPr>
        <w:pStyle w:val="BookText"/>
      </w:pPr>
      <w:r>
        <w:rPr>
          <w:rFonts w:ascii="IRNazanin" w:hAnsi="IRNazanin" w:eastAsia="IRNazanin" w:cs="IRNazanin"/>
          <w:lang w:bidi="fa-IR"/>
          <w:color w:val="111111"/>
          <w:sz w:val="28"/>
          <w:szCs w:val="28"/>
          <w:rtl/>
        </w:rPr>
        <w:t xml:space="preserve">۳۰. مشهد؛ رضوی؛ شماره نسخه: ۱۲۷۹۰</w:t>
      </w:r>
    </w:p>
    <w:p>
      <w:pPr>
        <w:pStyle w:val="BookText"/>
      </w:pPr>
      <w:r>
        <w:rPr>
          <w:rFonts w:ascii="IRNazanin" w:hAnsi="IRNazanin" w:eastAsia="IRNazanin" w:cs="IRNazanin"/>
          <w:lang w:bidi="fa-IR"/>
          <w:color w:val="111111"/>
          <w:sz w:val="28"/>
          <w:szCs w:val="28"/>
          <w:rtl/>
        </w:rPr>
        <w:t xml:space="preserve">جنگ اشعار است سروده شاه عباس صفوی، سلطانعلی بیگ، اوحدی و میرزا محمد علی منجم و دیگران؛ خط: نستعلیق، بی کا، بی تا؛ تاریخ تحریر نونویسی برگ اول و دو برگ آخر کتاب تجويد: جمادى الثانى ۱۱۵۶؛ واقف: حسین کی استوان، آبان ۱۳۴۸؛ کاغذ: حنایی، جلد: میشن خرمایی، ۱۳۶گ، ۱۵ سطر، اندازه: 9/5</w:t>
      </w:r>
      <w:r>
        <w:rPr>
          <w:rFonts w:ascii="Times New Roman" w:hAnsi="Times New Roman" w:eastAsia="Times New Roman" w:cs="Times New Roman"/>
          <w:lang w:val="en-US" w:bidi="en-US"/>
          <w:color w:val="111111"/>
          <w:sz w:val="28"/>
          <w:szCs w:val="28"/>
          <w:rtl/>
        </w:rPr>
        <w:t xml:space="preserve">×19/3</w:t>
      </w:r>
      <w:r>
        <w:rPr>
          <w:rFonts w:ascii="IRNazanin" w:hAnsi="IRNazanin" w:eastAsia="IRNazanin" w:cs="IRNazanin"/>
          <w:lang w:bidi="fa-IR"/>
          <w:color w:val="111111"/>
          <w:sz w:val="28"/>
          <w:szCs w:val="28"/>
          <w:rtl/>
        </w:rPr>
        <w:t xml:space="preserve">سم [ف : ۲۳ - ۱۳۶]</w:t>
      </w:r>
    </w:p>
    <w:p>
      <w:pPr>
        <w:pStyle w:val="BookText"/>
      </w:pPr>
      <w:r>
        <w:rPr>
          <w:rFonts w:ascii="IRNazanin" w:hAnsi="IRNazanin" w:eastAsia="IRNazanin" w:cs="IRNazanin"/>
          <w:lang w:bidi="fa-IR"/>
          <w:color w:val="111111"/>
          <w:sz w:val="28"/>
          <w:szCs w:val="28"/>
          <w:rtl/>
        </w:rPr>
        <w:t xml:space="preserve">۳۱. همدان همراه، رضا؛ شماره نسخه: ۱۱/۲</w:t>
      </w:r>
    </w:p>
    <w:p>
      <w:pPr>
        <w:pStyle w:val="BookText"/>
      </w:pPr>
      <w:r>
        <w:rPr>
          <w:rFonts w:ascii="IRNazanin" w:hAnsi="IRNazanin" w:eastAsia="IRNazanin" w:cs="IRNazanin"/>
          <w:lang w:bidi="fa-IR"/>
          <w:color w:val="111111"/>
          <w:sz w:val="28"/>
          <w:szCs w:val="28"/>
          <w:rtl/>
        </w:rPr>
        <w:t xml:space="preserve">خط: نستعلیق ،بی کا، بی تا؛ به راستا و چلیپا و یادداشت شرح آنها؛</w:t>
      </w:r>
    </w:p>
    <w:p>
      <w:pPr>
        <w:pStyle w:val="BookText"/>
      </w:pPr>
      <w:r>
        <w:rPr>
          <w:rFonts w:ascii="IRNazanin" w:hAnsi="IRNazanin" w:eastAsia="IRNazanin" w:cs="IRNazanin"/>
          <w:lang w:bidi="fa-IR"/>
          <w:color w:val="111111"/>
          <w:sz w:val="28"/>
          <w:szCs w:val="28"/>
          <w:rtl/>
        </w:rPr>
        <w:t xml:space="preserve">کاغذ: ترمه اصفهانی، ۲ص[ رشت و همدان: ف: - ۱۶۸۹]</w:t>
      </w:r>
    </w:p>
    <w:p>
      <w:pPr>
        <w:pStyle w:val="BookText"/>
      </w:pPr>
      <w:r>
        <w:rPr>
          <w:rFonts w:ascii="IRNazanin" w:hAnsi="IRNazanin" w:eastAsia="IRNazanin" w:cs="IRNazanin"/>
          <w:lang w:bidi="fa-IR"/>
          <w:color w:val="111111"/>
          <w:sz w:val="28"/>
          <w:szCs w:val="28"/>
          <w:rtl/>
        </w:rPr>
        <w:t xml:space="preserve">32.کاشان ،عاطفی، افشین؛ شماره نسخه: ۲۹</w:t>
      </w:r>
    </w:p>
    <w:p>
      <w:pPr>
        <w:pStyle w:val="BookText"/>
      </w:pPr>
      <w:r>
        <w:rPr>
          <w:rFonts w:ascii="IRNazanin" w:hAnsi="IRNazanin" w:eastAsia="IRNazanin" w:cs="IRNazanin"/>
          <w:lang w:bidi="fa-IR"/>
          <w:color w:val="111111"/>
          <w:sz w:val="28"/>
          <w:szCs w:val="28"/>
          <w:rtl/>
        </w:rPr>
        <w:t xml:space="preserve">مشتمل بر اشعار مختلفی از سعدی، فردوسی و برخی از اشعار ترکی و نمونه هایی از منشئات و برخی از نسخه های داروئی و اشعاری ظاهراً از جامع کتاب؛ خط: نستعلیق، بی کا،تا: ۱۲۴۰- ۱۲۴۱ جا: اردبیل و شیروان؛ جامع در برگ نهم نگاشته که از بروجرد به کاشان رفته و از آن شهر به قزوین و سپس به رشت و خلخال رفته و به سال ۱۲۴۰ در اردبیل بوده که قصد رفتن به شیروان را داشته است. سطرها چلیپا یا راسته؛ کاغذ: آبی رنگ ،جلد: بدو جلد، ۲۶گ، مختلف السطر،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۱۷/۵سم [ف: ۳۴]</w:t>
      </w:r>
    </w:p>
    <w:p>
      <w:pPr>
        <w:pStyle w:val="Heading3"/>
      </w:pPr>
      <w:bookmarkStart w:id="1956" w:name="_Toc1478"/>
      <w:r>
        <w:t>اشعار / شعر / فارسی و عربی</w:t>
      </w:r>
      <w:bookmarkEnd w:id="1956"/>
    </w:p>
    <w:p>
      <w:pPr>
        <w:pStyle w:val="BookText"/>
      </w:pPr>
      <w:r>
        <w:rPr>
          <w:rFonts w:ascii="IRNazanin" w:hAnsi="IRNazanin" w:eastAsia="IRNazanin" w:cs="IRNazanin"/>
          <w:lang w:bidi="fa-IR"/>
          <w:color w:val="111111"/>
          <w:sz w:val="28"/>
          <w:szCs w:val="28"/>
          <w:rtl/>
        </w:rPr>
        <w:t xml:space="preserve">غیر همانند:</w:t>
      </w:r>
    </w:p>
    <w:p>
      <w:pPr>
        <w:pStyle w:val="BookText"/>
      </w:pPr>
      <w:r>
        <w:rPr>
          <w:rFonts w:ascii="IRNazanin" w:hAnsi="IRNazanin" w:eastAsia="IRNazanin" w:cs="IRNazanin"/>
          <w:lang w:bidi="fa-IR"/>
          <w:color w:val="111111"/>
          <w:sz w:val="28"/>
          <w:szCs w:val="28"/>
          <w:rtl/>
        </w:rPr>
        <w:t xml:space="preserve">۱. تهران؛ مینوی؛ شماره نسخه: ۱۸۱ بخش</w:t>
      </w:r>
    </w:p>
    <w:p>
      <w:pPr>
        <w:pStyle w:val="BookText"/>
      </w:pPr>
      <w:r>
        <w:rPr>
          <w:rFonts w:ascii="IRNazanin" w:hAnsi="IRNazanin" w:eastAsia="IRNazanin" w:cs="IRNazanin"/>
          <w:lang w:bidi="fa-IR"/>
          <w:color w:val="111111"/>
          <w:sz w:val="28"/>
          <w:szCs w:val="28"/>
          <w:rtl/>
        </w:rPr>
        <w:t xml:space="preserve">نسخه اصل: یونیورسیته ۷۳۸. جنگ اشعار است از ابوالفتح حسان بستی (زيادة المرء ...) با ترجمه فارسی، و قصیده عربی متنبی، با شعر فارسی سنائی و دیگران؛ بی کا، تا: قرن ۷؛ ۳۰گ [ف: - ۱۲۲]</w:t>
      </w:r>
    </w:p>
    <w:p>
      <w:pPr>
        <w:pStyle w:val="BookText"/>
      </w:pPr>
      <w:r>
        <w:rPr>
          <w:rFonts w:ascii="IRNazanin" w:hAnsi="IRNazanin" w:eastAsia="IRNazanin" w:cs="IRNazanin"/>
          <w:lang w:bidi="fa-IR"/>
          <w:color w:val="111111"/>
          <w:sz w:val="28"/>
          <w:szCs w:val="28"/>
          <w:rtl/>
        </w:rPr>
        <w:t xml:space="preserve">۲. تهران؛ دانشگاه؛ شماره نسخه: ۵۷۳/۱۷-ف</w:t>
      </w:r>
    </w:p>
    <w:p>
      <w:pPr>
        <w:pStyle w:val="BookText"/>
      </w:pPr>
      <w:r>
        <w:rPr>
          <w:rFonts w:ascii="IRNazanin" w:hAnsi="IRNazanin" w:eastAsia="IRNazanin" w:cs="IRNazanin"/>
          <w:lang w:bidi="fa-IR"/>
          <w:color w:val="111111"/>
          <w:sz w:val="28"/>
          <w:szCs w:val="28"/>
          <w:rtl/>
        </w:rPr>
        <w:t xml:space="preserve">نسخه اصل: لالا اسماعیل ش۴۸۷ر. شعرهای: بدرالدین نعال، همام الدين، قطب الدین عتیقی، امام شافعی (به عربی)، اثیر اخسیکثی،
</w:t>
      </w:r>
    </w:p>
    <w:p>
      <w:pPr>
        <w:sectPr>
          <w:footerReference w:type="default" r:id="rId9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انوری،کمال اسماعیل، اوحدی کرمانی (رباعی) عبدالواسع ،جبلی ،سوزنی، معین الدین کوثری، انوری، مجد همگر، رفیع ابهری، ظهیر فاریابی، عزالدین کیشی ،شرف الدین قزوینی، کمال اسماعیل، صدر اسلام، ابوسعید، مجنون بن عامر (به عربی)؛ بی کا، تا: قرن ۸؛ ۷گ (۱۴۹ر - ۱۵۶پ)[فیلمها: ۱ - ۵۰۲]</w:t>
      </w:r>
    </w:p>
    <w:p>
      <w:pPr>
        <w:pStyle w:val="BookText"/>
      </w:pPr>
      <w:r>
        <w:rPr>
          <w:rFonts w:ascii="IRNazanin" w:hAnsi="IRNazanin" w:eastAsia="IRNazanin" w:cs="IRNazanin"/>
          <w:lang w:bidi="fa-IR"/>
          <w:color w:val="111111"/>
          <w:sz w:val="28"/>
          <w:szCs w:val="28"/>
          <w:rtl/>
        </w:rPr>
        <w:t xml:space="preserve">3.تهران؛ دانشگاه؛ شماره نسخه: ۵۷۳/۲۲-ف</w:t>
      </w:r>
    </w:p>
    <w:p>
      <w:pPr>
        <w:pStyle w:val="BookText"/>
      </w:pPr>
      <w:r>
        <w:rPr>
          <w:rFonts w:ascii="IRNazanin" w:hAnsi="IRNazanin" w:eastAsia="IRNazanin" w:cs="IRNazanin"/>
          <w:lang w:bidi="fa-IR"/>
          <w:color w:val="111111"/>
          <w:sz w:val="28"/>
          <w:szCs w:val="28"/>
          <w:rtl/>
        </w:rPr>
        <w:t xml:space="preserve">نسخه اصل: لالا اسماعیلش ۴۸۷ر. شعرهای: مبارکشاه غوری، فخر قنادی شیرازی، شمس الدین و پاسخ صاحب دیوان به او،نور خطیب گنجه، محمود منصور کرمانی، ابن سینا ،رباعیات: اوحدی کرمانی، مبارکشاه  غوری، نظام بخاری، برهان الاسلام، زکی مراغی، جمال اشهری، صفی یزدی، صدر قزوینی ،عمدی، ظهیر فاریابی، مسعود سعد سلمان، سلطان اتسنر، سید اشرف، عبدالرزاق، سید حسن ،رباعیات، خیام و کمال اسماعیل (با شـأن نزول)، همام الدین، رشید وطواط در مرگ اتسنر خوارزمشاه در 9جمادی الثانی ۵۵۱، ملک شمس الدین كرت، غیاث الدین محـمد وزیر، پسر دعویدار، قطب الدین عتیقی، احمد غزالی، افضـل الدین کاشی (غزل) ،انوری سیف الدین اسپر غمی، اوحدالدین کرمانی، صدر الاسلام عبدالواسع، خاقانی، مجد همگر ،کمال اسماعيل، مجنون بن عامر (به عربی)، سعدی، عزالدین چاوشی، شرف الدین شفروه،امامی، پسر خطیب گنجه؛ بی کا، تا: قرن8؛ ۱۹گ (۱۹۷ر-۲۱۶پ) [فیلمها: ۱ - ۵۰۳]</w:t>
      </w:r>
    </w:p>
    <w:p>
      <w:pPr>
        <w:pStyle w:val="BookText"/>
      </w:pPr>
      <w:r>
        <w:rPr>
          <w:rFonts w:ascii="IRNazanin" w:hAnsi="IRNazanin" w:eastAsia="IRNazanin" w:cs="IRNazanin"/>
          <w:lang w:bidi="fa-IR"/>
          <w:color w:val="111111"/>
          <w:sz w:val="28"/>
          <w:szCs w:val="28"/>
          <w:rtl/>
        </w:rPr>
        <w:t xml:space="preserve">۴. تهران؛ مجلس؛ شماره نسخه: ۱۳۷۹</w:t>
      </w:r>
    </w:p>
    <w:p>
      <w:pPr>
        <w:pStyle w:val="BookText"/>
      </w:pPr>
      <w:r>
        <w:rPr>
          <w:rFonts w:ascii="IRNazanin" w:hAnsi="IRNazanin" w:eastAsia="IRNazanin" w:cs="IRNazanin"/>
          <w:lang w:bidi="fa-IR"/>
          <w:color w:val="111111"/>
          <w:sz w:val="28"/>
          <w:szCs w:val="28"/>
          <w:rtl/>
        </w:rPr>
        <w:t xml:space="preserve">شعرهای عربی است و سپس فارسی از روی مضامین اخلاقی و اجتماعی با این عنوان ها: باب آ. التهادى و الاتحاف، بابآ. الاستتام والاستعاذه و الاستماحة والاستعانة، باب ۱. افتـتاح المكاتبة، باب ۲. فيما يحتاج اليه في افتتاح المكاتبة و الجواب عنها، باب ٣. الجواب عن المكاتبات، باب ۴. التأخير الجواب و ابطائه و الشكاية عن ترك المكاتبة، باب ۵. الهجر و الفراق و الاشتياق باب ۶. التهانى و ،البشارات، باب ١٣. الاسترحال و الاستعطاف و الاستقاله والاستعفاء، باب۱۴. الهد و الوفاء، بـاب ۱۵. المعاتبات و الاخوانيات، باب ۱۶. هو خمسة فصول: ۱) شكـایة الايام و الزمان، ۲ )الاخوان، ۳) شكاية عن سوء الحال و المقاساة، ۴) شكاية عن الضعف، ۵) شكاية عن الجد و الطابع، باب17 . الاعتذار عن الكتابة على الظهر و ترك الالقاب، باب ۱۸. الاستغناء عن شرح الاحوال، باب ۱۹. الادعيه، باب ٢٠. الوداع، باب21. ورود الخبر و الاستخبار، باب ۲۲. الانتظار والحث على الوصال و النهى عن الفراق، باب ۲۳. الوعد و ما يتعلق به من التأخير و الخلاف، باب ۲۴. الوعيد و ما يتعلق به من قلة المبادلات ،به بـاب ۲۵. طلب الجواب ،باب ۲۶. انتظار الليل و ابطاء الزمان، باب27. تعذر تحصيل المطلوب و ما يقاربه، باب ۲۸. خيبة الراجى و ما يناسبها وما يقرب عنها، باب ۲۹. التحاشى و التجانب، باب30. فيما يصلح كتابته في العنوان، باب ٣١. النساء و الغزل، باب32. الامثال و ارسالها و ما يتمثل به، الباب الاول: فى الاحاجى و المشكلات، الباب الثانى: فى الخمريات والربيعيات، الباب السابع: فيما يتعلق بالتفقد و الزيارة، الباب الثامن: فيما يتعلق بالعبادة، الباب الثالث: فى المواشى و التعازى، الباب الرابع: في الاوصاف و التشبهات، الباب الخامس: فى الخضاب و الشيب و الشباب، الباب السادس: في التمثيل والتبجيل، الباب السابع: في المتفرقات؛ خط: نسخ، بی کا، تا: قرن ۸؛ افتادگی: آغاز و انجام؛ کاغذ: سفید، جلد: مقوایی، عطف و دور تیماج  مشکی، ۹۰گ، ۱۳ سطر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۱۲</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۱۷سم [سنا: ف: ۲ - ۲۳۹]</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قم؛ مرعشی؛ شماره نسخه: ۱۰۶۸۱</w:t>
      </w:r>
    </w:p>
    <w:p>
      <w:pPr>
        <w:pStyle w:val="BookText"/>
      </w:pPr>
      <w:r>
        <w:rPr>
          <w:rFonts w:ascii="IRNazanin" w:hAnsi="IRNazanin" w:eastAsia="IRNazanin" w:cs="IRNazanin"/>
          <w:lang w:bidi="fa-IR"/>
          <w:color w:val="111111"/>
          <w:sz w:val="28"/>
          <w:szCs w:val="28"/>
          <w:rtl/>
        </w:rPr>
        <w:t xml:space="preserve">اشعار به عربی و بخشی به فارسی؛ خط: نسخ خوش، بی کا، تا: قرن8؛ افتادگی: آغاز و انجام؛ قطع: جیبی [میراث شهاب: س ۹ش ۲ – ۲۳]</w:t>
      </w:r>
    </w:p>
    <w:p>
      <w:pPr>
        <w:pStyle w:val="BookText"/>
      </w:pPr>
      <w:r>
        <w:rPr>
          <w:rFonts w:ascii="IRNazanin" w:hAnsi="IRNazanin" w:eastAsia="IRNazanin" w:cs="IRNazanin"/>
          <w:lang w:bidi="fa-IR"/>
          <w:color w:val="111111"/>
          <w:sz w:val="28"/>
          <w:szCs w:val="28"/>
          <w:rtl/>
        </w:rPr>
        <w:t xml:space="preserve">6.تهران؛ دانشگاه؛ شماره :نسخه ۳۲۱/۶-ف</w:t>
      </w:r>
    </w:p>
    <w:p>
      <w:pPr>
        <w:pStyle w:val="BookText"/>
      </w:pPr>
      <w:r>
        <w:rPr>
          <w:rFonts w:ascii="IRNazanin" w:hAnsi="IRNazanin" w:eastAsia="IRNazanin" w:cs="IRNazanin"/>
          <w:lang w:bidi="fa-IR"/>
          <w:color w:val="111111"/>
          <w:sz w:val="28"/>
          <w:szCs w:val="28"/>
          <w:rtl/>
        </w:rPr>
        <w:t xml:space="preserve">نسخه اصل: قونیه ش ۲۵۴۶ شعرهای سید سلیمی سوری به ترکی و از دیگری به فارسی؛ خط: نستعلیق، کا: بهاء الدين بن سعید تاج الدین حاجی حسن بن بهاء الدين بن حسن بن عبدالملک (علی) حافظ حکایت قمی ،خطیب، تا: قرن ۹ق؛ ۴گ (۸۶-۹۰)، ۱۵ سطر [ فیلمها: ۱ - ۴۵۳]</w:t>
      </w:r>
    </w:p>
    <w:p>
      <w:pPr>
        <w:pStyle w:val="BookText"/>
      </w:pPr>
      <w:r>
        <w:rPr>
          <w:rFonts w:ascii="IRNazanin" w:hAnsi="IRNazanin" w:eastAsia="IRNazanin" w:cs="IRNazanin"/>
          <w:lang w:bidi="fa-IR"/>
          <w:color w:val="111111"/>
          <w:sz w:val="28"/>
          <w:szCs w:val="28"/>
          <w:rtl/>
        </w:rPr>
        <w:t xml:space="preserve">۷ .تهران؛ دانشگاه؛ شماره نسخه: ۶۱۲/۱۸-ف</w:t>
      </w:r>
    </w:p>
    <w:p>
      <w:pPr>
        <w:pStyle w:val="BookText"/>
      </w:pPr>
      <w:r>
        <w:rPr>
          <w:rFonts w:ascii="IRNazanin" w:hAnsi="IRNazanin" w:eastAsia="IRNazanin" w:cs="IRNazanin"/>
          <w:lang w:bidi="fa-IR"/>
          <w:color w:val="111111"/>
          <w:sz w:val="28"/>
          <w:szCs w:val="28"/>
          <w:rtl/>
        </w:rPr>
        <w:t xml:space="preserve">نسخه اصل: سلیمانیه ش ۱۲۰۸. شعرهای عربی و فارسی امام فخر، عين القضات، صاحب الهداية، جنيد، خسرو دهلوی، اوحدالدین، نجم الدین سنائی، خواجه افضل، ناصر خسرو؛ خط: نسخ، بی کا، تا: ۸۳۹ق؛ ۳گ (۲۴۹پ - ۲۵۲پ)، ۱۹ سطر [فیلمها: ۱ - ۵۱۱]</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تهران؛ مجلس؛ شماره نسخه: ۱۲۳۸/۲ط</w:t>
      </w:r>
    </w:p>
    <w:p>
      <w:pPr>
        <w:pStyle w:val="BookText"/>
      </w:pPr>
      <w:r>
        <w:rPr>
          <w:rFonts w:ascii="IRNazanin" w:hAnsi="IRNazanin" w:eastAsia="IRNazanin" w:cs="IRNazanin"/>
          <w:lang w:bidi="fa-IR"/>
          <w:color w:val="111111"/>
          <w:sz w:val="28"/>
          <w:szCs w:val="28"/>
          <w:rtl/>
        </w:rPr>
        <w:t xml:space="preserve">آغاز: بسمله الحمد لله رب العالمين ... باب الالف الم اك جاءكم و تكون بيني و بينكم المودة والاخاء استفهام انکاری است و این در مقام؛ انجام: بوجه مقسم كان طنبيه تعطوا الى اوراق السلم.</w:t>
      </w:r>
    </w:p>
    <w:p>
      <w:pPr>
        <w:pStyle w:val="BookText"/>
      </w:pPr>
      <w:r>
        <w:rPr>
          <w:rFonts w:ascii="IRNazanin" w:hAnsi="IRNazanin" w:eastAsia="IRNazanin" w:cs="IRNazanin"/>
          <w:lang w:bidi="fa-IR"/>
          <w:color w:val="111111"/>
          <w:sz w:val="28"/>
          <w:szCs w:val="28"/>
          <w:rtl/>
        </w:rPr>
        <w:t xml:space="preserve">مؤلف در این رساله با ذکر ابیاتی از شعرای عرب به ترتیب الفبائی، به تبیین و توضیح آنها به فارسی پرداخته است. این نسخه از باب الالف آغاز و به باب الفاء خاتمه می یابد؛ خط: نسخ و نستعلیق، بی کا، تا: ۹۶۲ق؛ جلد: تیماج قهوه ای، ۴ص (۳۳-۳۹)،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۲۴/۳ - ۳۷]</w:t>
      </w:r>
    </w:p>
    <w:p>
      <w:pPr>
        <w:pStyle w:val="BookText"/>
      </w:pPr>
      <w:r>
        <w:rPr>
          <w:rFonts w:ascii="IRNazanin" w:hAnsi="IRNazanin" w:eastAsia="IRNazanin" w:cs="IRNazanin"/>
          <w:lang w:bidi="fa-IR"/>
          <w:color w:val="111111"/>
          <w:sz w:val="28"/>
          <w:szCs w:val="28"/>
          <w:rtl/>
        </w:rPr>
        <w:t xml:space="preserve">۹. تهران؛ مجلس؛ شماره نسخه: ۱۱۱/۱- طباطبائی</w:t>
      </w:r>
    </w:p>
    <w:p>
      <w:pPr>
        <w:pStyle w:val="BookText"/>
      </w:pPr>
      <w:r>
        <w:rPr>
          <w:rFonts w:ascii="IRNazanin" w:hAnsi="IRNazanin" w:eastAsia="IRNazanin" w:cs="IRNazanin"/>
          <w:lang w:bidi="fa-IR"/>
          <w:color w:val="111111"/>
          <w:sz w:val="28"/>
          <w:szCs w:val="28"/>
          <w:rtl/>
        </w:rPr>
        <w:t xml:space="preserve">دو غزل ملمع از مهری عاملی، علی؛ خط: نستعلیق، بی کا، تا: قرن ۱۱؛ فهرست رایانهای مجلس [ف: ۲۲ - ۲۵]</w:t>
      </w:r>
    </w:p>
    <w:p>
      <w:pPr>
        <w:pStyle w:val="BookText"/>
      </w:pPr>
      <w:r>
        <w:rPr>
          <w:rFonts w:ascii="IRNazanin" w:hAnsi="IRNazanin" w:eastAsia="IRNazanin" w:cs="IRNazanin"/>
          <w:lang w:bidi="fa-IR"/>
          <w:color w:val="111111"/>
          <w:sz w:val="28"/>
          <w:szCs w:val="28"/>
          <w:rtl/>
        </w:rPr>
        <w:t xml:space="preserve">۱۰. تهران؛ مجلس؛ شماره نسخه: ۴۹۴۲/۳۶</w:t>
      </w:r>
    </w:p>
    <w:p>
      <w:pPr>
        <w:pStyle w:val="BookText"/>
      </w:pPr>
      <w:r>
        <w:rPr>
          <w:rFonts w:ascii="IRNazanin" w:hAnsi="IRNazanin" w:eastAsia="IRNazanin" w:cs="IRNazanin"/>
          <w:lang w:bidi="fa-IR"/>
          <w:color w:val="111111"/>
          <w:sz w:val="28"/>
          <w:szCs w:val="28"/>
          <w:rtl/>
        </w:rPr>
        <w:t xml:space="preserve">آغاز: چرخ با این اختران نغز خوش و زیباستی *** صورتی در زیر دارد پرده در بالاستی؛ انجام: جنید قدس سره فرمود قرآن و جسم انسان تر امانند ... انسان نیز در سلوک هفت مرتبه دارد</w:t>
      </w:r>
    </w:p>
    <w:p>
      <w:pPr>
        <w:pStyle w:val="BookText"/>
      </w:pPr>
      <w:r>
        <w:rPr>
          <w:rFonts w:ascii="IRNazanin" w:hAnsi="IRNazanin" w:eastAsia="IRNazanin" w:cs="IRNazanin"/>
          <w:lang w:bidi="fa-IR"/>
          <w:color w:val="111111"/>
          <w:sz w:val="28"/>
          <w:szCs w:val="28"/>
          <w:rtl/>
        </w:rPr>
        <w:t xml:space="preserve">خط: شکسته نستعلیق ،چلیپا، بی کا، تا: قرن ۱۱؛ کاغذ: سپاهانی، جلد: تیماج ،کبود، ۲گ (۱۹۸ر - ۹۹ پ) ،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۲۴سم [ف: ۱۴ - ۱۸۸]</w:t>
      </w:r>
    </w:p>
    <w:p>
      <w:pPr>
        <w:pStyle w:val="BookText"/>
      </w:pPr>
      <w:r>
        <w:rPr>
          <w:rFonts w:ascii="IRNazanin" w:hAnsi="IRNazanin" w:eastAsia="IRNazanin" w:cs="IRNazanin"/>
          <w:lang w:bidi="fa-IR"/>
          <w:color w:val="111111"/>
          <w:sz w:val="28"/>
          <w:szCs w:val="28"/>
          <w:rtl/>
        </w:rPr>
        <w:t xml:space="preserve">۱۱. تهران؛ مجلس؛ شماره نسخه: ۵۱۳۸/۲۵</w:t>
      </w:r>
    </w:p>
    <w:p>
      <w:pPr>
        <w:pStyle w:val="BookText"/>
      </w:pPr>
      <w:r>
        <w:rPr>
          <w:rFonts w:ascii="IRNazanin" w:hAnsi="IRNazanin" w:eastAsia="IRNazanin" w:cs="IRNazanin"/>
          <w:lang w:bidi="fa-IR"/>
          <w:color w:val="111111"/>
          <w:sz w:val="28"/>
          <w:szCs w:val="28"/>
          <w:rtl/>
        </w:rPr>
        <w:t xml:space="preserve">آغاز: للمحقق الدوانی هستند بهم متفق این دو دغل قلب ***دیریست که گویند القلب مع القلب؛ انجام: از طینت بد چشم
</w:t>
      </w:r>
    </w:p>
    <w:p>
      <w:pPr>
        <w:sectPr>
          <w:footerReference w:type="default" r:id="rId9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نکوئی نتوان داشت *** از زنگ و حبش زنگ بشستن نشود سلب دارای اشعاری چند از محقق دوانی به قالب رباعی و اشعاری از طغرائی اصفهانی صاحب لامية العجم و ابیاتی از سید رضی و ابوالفتح بستی و عباراتی عربی منثور از صفدی و فاضل چلبی و اشعار عربی از خالدی و باخزری و رباعیاتی از خیام نیشابوری و عباراتی از کتاب اصول الکتاب و شرحی از حالات شیخ صـفی الدين اردبیلی؛ خط: نستعلیق، بی کا، تا: قرن ۱۱ [ف: ۱۵ – ۱۴۱]</w:t>
      </w:r>
    </w:p>
    <w:p>
      <w:pPr>
        <w:pStyle w:val="BookText"/>
      </w:pPr>
      <w:r>
        <w:rPr>
          <w:rFonts w:ascii="IRNazanin" w:hAnsi="IRNazanin" w:eastAsia="IRNazanin" w:cs="IRNazanin"/>
          <w:lang w:bidi="fa-IR"/>
          <w:color w:val="111111"/>
          <w:sz w:val="28"/>
          <w:szCs w:val="28"/>
          <w:rtl/>
        </w:rPr>
        <w:t xml:space="preserve">۱۲. تهران؛ دانشگاه؛ شماره نسخه: ۲۴۵۳/۶</w:t>
      </w:r>
    </w:p>
    <w:p>
      <w:pPr>
        <w:pStyle w:val="BookText"/>
      </w:pPr>
      <w:r>
        <w:rPr>
          <w:rFonts w:ascii="IRNazanin" w:hAnsi="IRNazanin" w:eastAsia="IRNazanin" w:cs="IRNazanin"/>
          <w:lang w:bidi="fa-IR"/>
          <w:color w:val="111111"/>
          <w:sz w:val="28"/>
          <w:szCs w:val="28"/>
          <w:rtl/>
        </w:rPr>
        <w:t xml:space="preserve">شعرهای عربی است از علی (علیه السّلام) و مجنون عامری و دیگران ( ص (۷-۱) شعرهای فارسی سعدی (۸-۲۵) انوری( ۲۵-۲) خاقانی شیروانی (۵۳-۸۶)، مجمع البحرين و تجنیسات و غزلیات ملا کاتبی ،(۸۶-۱۱۵) قصاید ملا اهلی شیرازی (۱۱۵ - 135) قصیده امیر خسرو دهلوی (۱۳۵-۱۴۴) شعرهای مغربی (145- ۱۵۳) کمال خجندی (۱۵۴-۱۶۱) سلمان ساوجی (162- 169) عصمت بخاری (۱۷۰-۱۸۳)، خواجوی کرمانی (184- 205) شعرهای سلمان ساوجی ،آصفی ،امیدی، جمال الدین عبدالرزاق، شاه نعمة الله ،حافظ، جامی، ابن یمین، شاه طاهر دکنی، ملا حسـین کاشفی، میرزا استخر کاشی، شانی تکلو هم هست ؛خط: نستعلـیق، بی کا، تا: قرن ۱۱؛ مجدول؛ کاغذ: سپاهانی متن و حاشیه، جـلد:تیماج تریاکی زرکوب مقوایی زرکوب مقوایی، سطور چـلیپا (۹/۵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۳۰سم [ف: ۹ - ۱۱۸۷]</w:t>
      </w:r>
    </w:p>
    <w:p>
      <w:pPr>
        <w:pStyle w:val="BookText"/>
      </w:pPr>
      <w:r>
        <w:rPr>
          <w:rFonts w:ascii="IRNazanin" w:hAnsi="IRNazanin" w:eastAsia="IRNazanin" w:cs="IRNazanin"/>
          <w:lang w:bidi="fa-IR"/>
          <w:color w:val="111111"/>
          <w:sz w:val="28"/>
          <w:szCs w:val="28"/>
          <w:rtl/>
        </w:rPr>
        <w:t xml:space="preserve">۱۳. تهران؛ مجلس؛ شماره نسخه: ۸۹۶۰/۲۲</w:t>
      </w:r>
    </w:p>
    <w:p>
      <w:pPr>
        <w:pStyle w:val="BookText"/>
      </w:pPr>
      <w:r>
        <w:rPr>
          <w:rFonts w:ascii="IRNazanin" w:hAnsi="IRNazanin" w:eastAsia="IRNazanin" w:cs="IRNazanin"/>
          <w:lang w:bidi="fa-IR"/>
          <w:color w:val="111111"/>
          <w:sz w:val="28"/>
          <w:szCs w:val="28"/>
          <w:rtl/>
        </w:rPr>
        <w:t xml:space="preserve">اشعاری از: محمد قلی سلیم، لراقمه (نامش پاک شده است)، سوزنی، میر صیدی، قاسم بیگ حالتی، فرزدق ،انوری، معما به اسم شهاب ،مولوی ،جامی، لولدی محمد نصير، كمال اسمعيل، قاضی ارجانی ،صائب، اصمعی، متنبی، میر رضی دانش، میرزا شريف الهام، آقا یحیی قمی سحابی، میرزا باقر. به همراه جملات و عباراتی از: افلاطون الهی، جنید بغدادی ،لقمان معاویه به امیرالمؤمنين (علیه السّلام) شیخ بهایی (منقول از کشکول او) و اصعمـی؛ خط: نسخ و نستعلیق  شکسته، بی کا، تا: قرن ۱۱؛ کاغذ: نخودی آهار مهره، جلد: تیماج عنابی ضربی با نقوش فرنگی در وسط وچهار گوشه صفحه، ۴ ص (۱۱۵و 119- 121)، اندازه: ۱۱/۳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۲۱/۷سم [ف: ۲۹/۱ - ۴۷۶]</w:t>
      </w:r>
    </w:p>
    <w:p>
      <w:pPr>
        <w:pStyle w:val="BookText"/>
      </w:pPr>
      <w:r>
        <w:rPr>
          <w:rFonts w:ascii="IRNazanin" w:hAnsi="IRNazanin" w:eastAsia="IRNazanin" w:cs="IRNazanin"/>
          <w:lang w:bidi="fa-IR"/>
          <w:color w:val="111111"/>
          <w:sz w:val="28"/>
          <w:szCs w:val="28"/>
          <w:rtl/>
        </w:rPr>
        <w:t xml:space="preserve">۱۴. تهران؛ مجلس؛ شماره نسخه: ۸۹۶۰/۵۵</w:t>
      </w:r>
    </w:p>
    <w:p>
      <w:pPr>
        <w:pStyle w:val="BookText"/>
      </w:pPr>
      <w:r>
        <w:rPr>
          <w:rFonts w:ascii="IRNazanin" w:hAnsi="IRNazanin" w:eastAsia="IRNazanin" w:cs="IRNazanin"/>
          <w:lang w:bidi="fa-IR"/>
          <w:color w:val="111111"/>
          <w:sz w:val="28"/>
          <w:szCs w:val="28"/>
          <w:rtl/>
        </w:rPr>
        <w:t xml:space="preserve">اشعاری از[ شماره صفحات در فهرست هست]: ابراهیم ادهم قاضی ابن الفضل عیاض، ابن رشیق، ابوالحسن فراهانی، میر، ابو تمام طائی، امیرالمؤمنین (علیه السّلام)، امیر علیشیر، امینا فراهانی، بابا فغانی، جلال الدین محمود  دوانی، عالی حضرت مرحومی میرزا، حضرت مولانا حسن علی، رضی الدین علی لالا غزنوی،میر رضی ،مولانا سحابی، سعیدا نقشبند، سلطان العلمایی نور مرقد، سنایی، آقا شاپور، شیخ شاهنظر، میر شجاع الدین محمود، شمـس</w:t>
      </w:r>
    </w:p>
    <w:p>
      <w:pPr>
        <w:pStyle w:val="BookText"/>
      </w:pPr>
      <w:r>
        <w:rPr>
          <w:rFonts w:ascii="IRNazanin" w:hAnsi="IRNazanin" w:eastAsia="IRNazanin" w:cs="IRNazanin"/>
          <w:lang w:bidi="fa-IR"/>
          <w:color w:val="111111"/>
          <w:sz w:val="28"/>
          <w:szCs w:val="28"/>
          <w:rtl/>
        </w:rPr>
        <w:t xml:space="preserve">الدین محمد حلاج، شیدای هندی، صاحب بن عباد، میرزا صایب سلمه الله، عرفی، علی نقی کمره ای، شیخ فیضی، قاسم انوار،قاضی تنوخی، مولانا قیدی کرمانی، میر سید کاشی، کمال اسماعیل، ملا محبعلی هندی، محقق الطوسی نور مرقده، محمد حسین غفاری، محمد طاهر واقعه نویس، حضرت وحید الزماني، شیخ محمود شبستری، سید مرتضی، مولوى المعنوى، مهلبی؛ خط: نسخ و نستعلیق شکسته، بی کا، تا: قرن ۱۱؛ کاغذ: نخودی آهار مهره، جلد: تیماج عنابی ضربی با نقوش فرنگی در وسط و چهار گوشه ،صفحه اندازه: 11/3</w:t>
      </w:r>
      <w:r>
        <w:rPr>
          <w:rFonts w:ascii="Times New Roman" w:hAnsi="Times New Roman" w:eastAsia="Times New Roman" w:cs="Times New Roman"/>
          <w:lang w:val="en-US" w:bidi="en-US"/>
          <w:color w:val="111111"/>
          <w:sz w:val="28"/>
          <w:szCs w:val="28"/>
          <w:rtl/>
        </w:rPr>
        <w:t xml:space="preserve">×21/7</w:t>
      </w:r>
      <w:r>
        <w:rPr>
          <w:rFonts w:ascii="IRNazanin" w:hAnsi="IRNazanin" w:eastAsia="IRNazanin" w:cs="IRNazanin"/>
          <w:lang w:bidi="fa-IR"/>
          <w:color w:val="111111"/>
          <w:sz w:val="28"/>
          <w:szCs w:val="28"/>
          <w:rtl/>
        </w:rPr>
        <w:t xml:space="preserve">سم [ف: ۲۹/۱ - ۴۸۰]</w:t>
      </w:r>
    </w:p>
    <w:p>
      <w:pPr>
        <w:pStyle w:val="BookText"/>
      </w:pPr>
      <w:r>
        <w:rPr>
          <w:rFonts w:ascii="IRNazanin" w:hAnsi="IRNazanin" w:eastAsia="IRNazanin" w:cs="IRNazanin"/>
          <w:lang w:bidi="fa-IR"/>
          <w:color w:val="111111"/>
          <w:sz w:val="28"/>
          <w:szCs w:val="28"/>
          <w:rtl/>
        </w:rPr>
        <w:t xml:space="preserve">۱۵. تهران؛ ملک؛ شماره نسخه: ۴۳۷۹/۱۸</w:t>
      </w:r>
    </w:p>
    <w:p>
      <w:pPr>
        <w:pStyle w:val="BookText"/>
      </w:pPr>
      <w:r>
        <w:rPr>
          <w:rFonts w:ascii="IRNazanin" w:hAnsi="IRNazanin" w:eastAsia="IRNazanin" w:cs="IRNazanin"/>
          <w:lang w:bidi="fa-IR"/>
          <w:color w:val="111111"/>
          <w:sz w:val="28"/>
          <w:szCs w:val="28"/>
          <w:rtl/>
        </w:rPr>
        <w:t xml:space="preserve">آغاز: الهی یمنینی رجائى سلامة *** و قبح خطياتي على يشنع / امید و آرزوی من بحضرتت يا رب ***بسی است گرچه مرا هست فعلهای شنیع؛ انجام: داده جودش ز فیض سر قدم *** بکفی خاک جان و ایمان هم</w:t>
      </w:r>
    </w:p>
    <w:p>
      <w:pPr>
        <w:pStyle w:val="BookText"/>
      </w:pPr>
      <w:r>
        <w:rPr>
          <w:rFonts w:ascii="IRNazanin" w:hAnsi="IRNazanin" w:eastAsia="IRNazanin" w:cs="IRNazanin"/>
          <w:lang w:bidi="fa-IR"/>
          <w:color w:val="111111"/>
          <w:sz w:val="28"/>
          <w:szCs w:val="28"/>
          <w:rtl/>
        </w:rPr>
        <w:t xml:space="preserve">ابیاتی از حضرت علی (علیه السّلام) (ترجمه) هر بیت در دو بیت فارسی گزارش شده است شاید دنباله شماره پیش (شرح نهج البلاغه کمال الدین الهی اردبیلی) باشد؛ خط: نسخ و نستعلیق، کا: محمد تقی بن حسین خاتون آبادی اصفهانی، تا: ۱۰۵۶ق، ۳گ (۴۴پ- ۴۶ر) در هامش [ف: ۷ - ۳۷۰]</w:t>
      </w:r>
    </w:p>
    <w:p>
      <w:pPr>
        <w:pStyle w:val="BookText"/>
      </w:pPr>
      <w:r>
        <w:rPr>
          <w:rFonts w:ascii="IRNazanin" w:hAnsi="IRNazanin" w:eastAsia="IRNazanin" w:cs="IRNazanin"/>
          <w:lang w:bidi="fa-IR"/>
          <w:color w:val="111111"/>
          <w:sz w:val="28"/>
          <w:szCs w:val="28"/>
          <w:rtl/>
        </w:rPr>
        <w:t xml:space="preserve">۱۶. تهران؛ مجلس؛ شماره نسخه: ۸۹۰۴/۹۳</w:t>
      </w:r>
    </w:p>
    <w:p>
      <w:pPr>
        <w:pStyle w:val="BookText"/>
      </w:pPr>
      <w:r>
        <w:rPr>
          <w:rFonts w:ascii="IRNazanin" w:hAnsi="IRNazanin" w:eastAsia="IRNazanin" w:cs="IRNazanin"/>
          <w:lang w:bidi="fa-IR"/>
          <w:color w:val="111111"/>
          <w:sz w:val="28"/>
          <w:szCs w:val="28"/>
          <w:rtl/>
        </w:rPr>
        <w:t xml:space="preserve">از عرفی به فارسی و دو تن دیگر که فرزندان حجام و طباخ بودند به عربی؛ خط: نسخ و نستعلیق و تحریری، کا: مقیم کاشانی، تا: اواخر رجب ۱۰۷۲ق، جا: برهانپور ؛کاغذ: نخودی نازک آهار مهره ،جلد: تیماج قهوه ای مجدول، عطف و سجاف میشن، ۱ص (۸۰ر) اندازه ۱۴/۹</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۲۵/۳سم [ف: ۲۹/۱ - ۲۸۶]</w:t>
      </w:r>
    </w:p>
    <w:p>
      <w:pPr>
        <w:pStyle w:val="BookText"/>
      </w:pPr>
      <w:r>
        <w:rPr>
          <w:rFonts w:ascii="IRNazanin" w:hAnsi="IRNazanin" w:eastAsia="IRNazanin" w:cs="IRNazanin"/>
          <w:lang w:bidi="fa-IR"/>
          <w:color w:val="111111"/>
          <w:sz w:val="28"/>
          <w:szCs w:val="28"/>
          <w:rtl/>
        </w:rPr>
        <w:t xml:space="preserve">۱۷. تهران؛ مجلس؛ شماره نسخه: ۹۴۶۶/۳۱</w:t>
      </w:r>
    </w:p>
    <w:p>
      <w:pPr>
        <w:pStyle w:val="BookText"/>
      </w:pPr>
      <w:r>
        <w:rPr>
          <w:rFonts w:ascii="IRNazanin" w:hAnsi="IRNazanin" w:eastAsia="IRNazanin" w:cs="IRNazanin"/>
          <w:lang w:bidi="fa-IR"/>
          <w:color w:val="111111"/>
          <w:sz w:val="28"/>
          <w:szCs w:val="28"/>
          <w:rtl/>
        </w:rPr>
        <w:t xml:space="preserve">تک بیتی از غیرتی همدانی و یک رباعی عربی؛ خط: نستعلیق، بی کا، تا: قرن ۱۱ و ۱۲، ۱ص (۶۰-همان) [مختصر: ف: - ۶۲]</w:t>
      </w:r>
    </w:p>
    <w:p>
      <w:pPr>
        <w:pStyle w:val="BookText"/>
      </w:pPr>
      <w:r>
        <w:rPr>
          <w:rFonts w:ascii="IRNazanin" w:hAnsi="IRNazanin" w:eastAsia="IRNazanin" w:cs="IRNazanin"/>
          <w:lang w:bidi="fa-IR"/>
          <w:color w:val="111111"/>
          <w:sz w:val="28"/>
          <w:szCs w:val="28"/>
          <w:rtl/>
        </w:rPr>
        <w:t xml:space="preserve">۱۸. تهران؛ مجلس؛ شماره نسخه: ۹۴۶۹/۸</w:t>
      </w:r>
    </w:p>
    <w:p>
      <w:pPr>
        <w:pStyle w:val="BookText"/>
      </w:pPr>
      <w:r>
        <w:rPr>
          <w:rFonts w:ascii="IRNazanin" w:hAnsi="IRNazanin" w:eastAsia="IRNazanin" w:cs="IRNazanin"/>
          <w:lang w:bidi="fa-IR"/>
          <w:color w:val="111111"/>
          <w:sz w:val="28"/>
          <w:szCs w:val="28"/>
          <w:rtl/>
        </w:rPr>
        <w:t xml:space="preserve">علی انصاری، نظامی گنجوی، محمد طاهر آراسنجی قزوینی، صادقای صامت، صائب، میرزا طاهر وحید، عبدالنبی، شیخ ابو الفضل، قاضی ابوالحسن، عمرو بن العاص، باقرى خليل، فضولی، طرشتی؛ خط: نستعلیق، بی کا، تا: قرن ۱۱ و ۱۲؛ ۲ص (۱۶-۱۴) [مختصر: ف: - ۶۵]</w:t>
      </w:r>
    </w:p>
    <w:p>
      <w:pPr>
        <w:pStyle w:val="BookText"/>
      </w:pPr>
      <w:r>
        <w:rPr>
          <w:rFonts w:ascii="IRNazanin" w:hAnsi="IRNazanin" w:eastAsia="IRNazanin" w:cs="IRNazanin"/>
          <w:lang w:bidi="fa-IR"/>
          <w:color w:val="111111"/>
          <w:sz w:val="28"/>
          <w:szCs w:val="28"/>
          <w:rtl/>
        </w:rPr>
        <w:t xml:space="preserve">۱۹. تهران؛ مجلس؛ شماره نسخه: ۱۲۶۹/۱۶ط</w:t>
      </w:r>
    </w:p>
    <w:p>
      <w:pPr>
        <w:pStyle w:val="BookText"/>
      </w:pPr>
      <w:r>
        <w:rPr>
          <w:rFonts w:ascii="IRNazanin" w:hAnsi="IRNazanin" w:eastAsia="IRNazanin" w:cs="IRNazanin"/>
          <w:lang w:bidi="fa-IR"/>
          <w:color w:val="111111"/>
          <w:sz w:val="28"/>
          <w:szCs w:val="28"/>
          <w:rtl/>
        </w:rPr>
        <w:t xml:space="preserve">خط: نسخ و نستعلیق، بی کا، تا: قرن ۱۲؛ جلد: تیماج مشکی یک  لا، ٢ ص( ۲۰۰-۲۰۱) ،قطع: بیاضی، اندازه: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[ف:24/3- 47]</w:t>
      </w:r>
    </w:p>
    <w:p>
      <w:pPr>
        <w:pStyle w:val="BookText"/>
      </w:pPr>
      <w:r>
        <w:rPr>
          <w:rFonts w:ascii="IRNazanin" w:hAnsi="IRNazanin" w:eastAsia="IRNazanin" w:cs="IRNazanin"/>
          <w:lang w:bidi="fa-IR"/>
          <w:color w:val="111111"/>
          <w:sz w:val="28"/>
          <w:szCs w:val="28"/>
          <w:rtl/>
        </w:rPr>
        <w:t xml:space="preserve">۲۰ . تهران؛ مجلس؛ شماره نسخه: ۸۹۱۲/۸</w:t>
      </w:r>
    </w:p>
    <w:p>
      <w:pPr>
        <w:pStyle w:val="BookText"/>
      </w:pPr>
      <w:r>
        <w:rPr>
          <w:rFonts w:ascii="IRNazanin" w:hAnsi="IRNazanin" w:eastAsia="IRNazanin" w:cs="IRNazanin"/>
          <w:lang w:bidi="fa-IR"/>
          <w:color w:val="111111"/>
          <w:sz w:val="28"/>
          <w:szCs w:val="28"/>
          <w:rtl/>
        </w:rPr>
        <w:t xml:space="preserve">با سروده هایی از [شماره صفحات در فهرست هست]: ابوالحسن خراز، ابو سعید ابوالخیر ،اشک، امام زین العابدين، امیرالمؤمنين، ،جامی، خواجه نصیرالدین طوسی ،سعدی، سلمان فارسی ،صایبا، طالب کلیم، کلیم، کمال خجند، مجذوب تبریزی، مجنون عامری، ملا مشهور، نظامی، معما به اسم جلال (ص ۳۰۵)؛ خط: نسخ و نستعلیق، بی کا، تا: قرن ۱۲؛ سطور چلیپا و معمولی؛ کاغذ:
</w:t>
      </w:r>
    </w:p>
    <w:p>
      <w:pPr>
        <w:sectPr>
          <w:footerReference w:type="default" r:id="rId9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نخودی آهار مهره، جلد: زیتونی مقوایی ضربی، با ترنج و سرترنج و جدول بندی ساده و گرهی، عطف چرم قهوه ای. درون کاغذ ابر و باد، اندازه: ۸/۹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۱۴/۳سم [ف: ۲۹/۱ - ۳۰۹]</w:t>
      </w:r>
    </w:p>
    <w:p>
      <w:pPr>
        <w:pStyle w:val="BookText"/>
      </w:pPr>
      <w:r>
        <w:rPr>
          <w:rFonts w:ascii="IRNazanin" w:hAnsi="IRNazanin" w:eastAsia="IRNazanin" w:cs="IRNazanin"/>
          <w:lang w:bidi="fa-IR"/>
          <w:color w:val="111111"/>
          <w:sz w:val="28"/>
          <w:szCs w:val="28"/>
          <w:rtl/>
        </w:rPr>
        <w:t xml:space="preserve">۲۱. خوانسار؛ فاضل شماره نسخه: ۲۶۸/۸</w:t>
      </w:r>
    </w:p>
    <w:p>
      <w:pPr>
        <w:pStyle w:val="BookText"/>
      </w:pPr>
      <w:r>
        <w:rPr>
          <w:rFonts w:ascii="IRNazanin" w:hAnsi="IRNazanin" w:eastAsia="IRNazanin" w:cs="IRNazanin"/>
          <w:lang w:bidi="fa-IR"/>
          <w:color w:val="111111"/>
          <w:sz w:val="28"/>
          <w:szCs w:val="28"/>
          <w:rtl/>
        </w:rPr>
        <w:t xml:space="preserve">جنگ اشعار مختلفی است در مدح ائمه (علیهم السّلام) و اخلاقی عرفانی ... از شعرای مختلف؛ خط: نستعلیق، کا: ابوالفضل بن محمد علی طبیب همدانی، تا: ۱۱۸۵ق؛ جلد: تیماج مشکی بدون مقوا، اندازه:۱۰/۵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۱ - ۲۵۰]</w:t>
      </w:r>
    </w:p>
    <w:p>
      <w:pPr>
        <w:pStyle w:val="BookText"/>
      </w:pPr>
      <w:r>
        <w:rPr>
          <w:rFonts w:ascii="IRNazanin" w:hAnsi="IRNazanin" w:eastAsia="IRNazanin" w:cs="IRNazanin"/>
          <w:lang w:bidi="fa-IR"/>
          <w:color w:val="111111"/>
          <w:sz w:val="28"/>
          <w:szCs w:val="28"/>
          <w:rtl/>
        </w:rPr>
        <w:t xml:space="preserve">۲۲. تهران؛ دانشگاه؛ شماره نسخه: ۱۲۴/۱۳</w:t>
      </w:r>
    </w:p>
    <w:p>
      <w:pPr>
        <w:pStyle w:val="BookText"/>
      </w:pPr>
      <w:r>
        <w:rPr>
          <w:rFonts w:ascii="IRNazanin" w:hAnsi="IRNazanin" w:eastAsia="IRNazanin" w:cs="IRNazanin"/>
          <w:lang w:bidi="fa-IR"/>
          <w:color w:val="111111"/>
          <w:sz w:val="28"/>
          <w:szCs w:val="28"/>
          <w:rtl/>
        </w:rPr>
        <w:t xml:space="preserve">آغاز: لنعم اليوم يوم السبت حقا *** لصيد ان اردت بلا امتراء / خوش روزیست حقا روز شنبه *** برای صید کردن سوی صحرا</w:t>
      </w:r>
    </w:p>
    <w:p>
      <w:pPr>
        <w:pStyle w:val="BookText"/>
      </w:pPr>
      <w:r>
        <w:rPr>
          <w:rFonts w:ascii="IRNazanin" w:hAnsi="IRNazanin" w:eastAsia="IRNazanin" w:cs="IRNazanin"/>
          <w:lang w:bidi="fa-IR"/>
          <w:color w:val="111111"/>
          <w:sz w:val="28"/>
          <w:szCs w:val="28"/>
          <w:rtl/>
        </w:rPr>
        <w:t xml:space="preserve">هفت بیت تازی برای هر یک از روزهای هفته که آن را نیز  از علی دانسته، و هر بیت را بیک بیت فارسی ترجمه کرده؛ خـط: نسخ، کا: سلیمان قاضی پسر محمد مکری، تا: ربیع الاول و الثـانی ۱۱۹۵ق؛ کاغذ: فرنگی سفید و نخودی رنگ ،جلد: تیماج حنـائی دولا بی مقوا، ۲گ (۱۱۸-۱۱۹)، ۹ تا ۱۳ سطر، اندازه: ۶/۷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۱۲/۵سم [ف: ۲ - ۲۳۴]</w:t>
      </w:r>
    </w:p>
    <w:p>
      <w:pPr>
        <w:pStyle w:val="BookText"/>
      </w:pPr>
      <w:r>
        <w:rPr>
          <w:rFonts w:ascii="IRNazanin" w:hAnsi="IRNazanin" w:eastAsia="IRNazanin" w:cs="IRNazanin"/>
          <w:lang w:bidi="fa-IR"/>
          <w:color w:val="111111"/>
          <w:sz w:val="28"/>
          <w:szCs w:val="28"/>
          <w:rtl/>
        </w:rPr>
        <w:t xml:space="preserve">۲۳. قم؛ گلپایگانی؛ شماره نسخه: ۵۸۹۸-۲۹/۲۳۸</w:t>
      </w:r>
    </w:p>
    <w:p>
      <w:pPr>
        <w:pStyle w:val="BookText"/>
      </w:pPr>
      <w:r>
        <w:rPr>
          <w:rFonts w:ascii="IRNazanin" w:hAnsi="IRNazanin" w:eastAsia="IRNazanin" w:cs="IRNazanin"/>
          <w:lang w:bidi="fa-IR"/>
          <w:color w:val="111111"/>
          <w:sz w:val="28"/>
          <w:szCs w:val="28"/>
          <w:rtl/>
        </w:rPr>
        <w:t xml:space="preserve">آغاز: به گریه گفت خدایا برس به فریادم *** بگیر زود نه دیر از منافقان دادم / به زیر تیغ فتاده برادر زینب *** شود جدا سراو خاک بر سر زینب؛ انجام: دارد امید غمین بر بدن پاره اکبر*** پاره در موقف اکبر شودش نامه عصیان / ... ازالم سطح زمین تا دامن ماهی شکافت *** ... .. خم به پشت چرخ اخضر آمده</w:t>
      </w:r>
    </w:p>
    <w:p>
      <w:pPr>
        <w:pStyle w:val="BookText"/>
      </w:pPr>
      <w:r>
        <w:rPr>
          <w:rFonts w:ascii="IRNazanin" w:hAnsi="IRNazanin" w:eastAsia="IRNazanin" w:cs="IRNazanin"/>
          <w:lang w:bidi="fa-IR"/>
          <w:color w:val="111111"/>
          <w:sz w:val="28"/>
          <w:szCs w:val="28"/>
          <w:rtl/>
        </w:rPr>
        <w:t xml:space="preserve">بیاضی است به نظم از آن یکی از مداحان اهل بیت (علیهم السّلام) که در آن مراثی و نوحه های فارسی و برخی عربی را برای استفاده خـود جمع آوری نموده است؛ خط: نسخ، بی کا، تا: قرن ۱۳؛ افتادگی: آغاز و انجام؛ جلد: تیماج قهوه ای، ۹۹گ، مختلف السطر، قـطع: بیاض رقعی،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۷ - ۴۲۶۴]</w:t>
      </w:r>
    </w:p>
    <w:p>
      <w:pPr>
        <w:pStyle w:val="BookText"/>
      </w:pPr>
      <w:r>
        <w:rPr>
          <w:rFonts w:ascii="IRNazanin" w:hAnsi="IRNazanin" w:eastAsia="IRNazanin" w:cs="IRNazanin"/>
          <w:lang w:bidi="fa-IR"/>
          <w:color w:val="111111"/>
          <w:sz w:val="28"/>
          <w:szCs w:val="28"/>
          <w:rtl/>
        </w:rPr>
        <w:t xml:space="preserve">۲۴ .تهران؛ مجلس؛ شماره نسخه: ۱۵۲۳۲/۴۱</w:t>
      </w:r>
    </w:p>
    <w:p>
      <w:pPr>
        <w:pStyle w:val="BookText"/>
      </w:pPr>
      <w:r>
        <w:rPr>
          <w:rFonts w:ascii="IRNazanin" w:hAnsi="IRNazanin" w:eastAsia="IRNazanin" w:cs="IRNazanin"/>
          <w:lang w:bidi="fa-IR"/>
          <w:color w:val="111111"/>
          <w:sz w:val="28"/>
          <w:szCs w:val="28"/>
          <w:rtl/>
        </w:rPr>
        <w:t xml:space="preserve">قصیده در وصف نهج البلاغه؛ خط: نستعليق ،كا: صدر الافاضل تبریزی، تا: قرن ۱۳ ۱ص (۲۱۱ پ) [مختصر: ف: - ۶۲۵]</w:t>
      </w:r>
    </w:p>
    <w:p>
      <w:pPr>
        <w:pStyle w:val="BookText"/>
      </w:pPr>
      <w:r>
        <w:rPr>
          <w:rFonts w:ascii="IRNazanin" w:hAnsi="IRNazanin" w:eastAsia="IRNazanin" w:cs="IRNazanin"/>
          <w:lang w:bidi="fa-IR"/>
          <w:color w:val="111111"/>
          <w:sz w:val="28"/>
          <w:szCs w:val="28"/>
          <w:rtl/>
        </w:rPr>
        <w:t xml:space="preserve">۲۵. تهران؛ ملک؛ شماره نسخه: ۴۰۵۷/۷۶</w:t>
      </w:r>
    </w:p>
    <w:p>
      <w:pPr>
        <w:pStyle w:val="BookText"/>
      </w:pPr>
      <w:r>
        <w:rPr>
          <w:rFonts w:ascii="IRNazanin" w:hAnsi="IRNazanin" w:eastAsia="IRNazanin" w:cs="IRNazanin"/>
          <w:lang w:bidi="fa-IR"/>
          <w:color w:val="111111"/>
          <w:sz w:val="28"/>
          <w:szCs w:val="28"/>
          <w:rtl/>
        </w:rPr>
        <w:t xml:space="preserve">متفرقاتی از رباعیات فارسی «تا مرد به تیغ عشق بی سر نشود»،از مولوی و دیگران و کلماتی از بزرگان و احادیث به فارسی  و غربی؛خط: شکسته نستعلیق ،کا: محمد زمان بن کلبعلی متطـبب خراسانی، تا: قرن ۱۳ [ف: ۷ - ۱۸۹]</w:t>
      </w:r>
    </w:p>
    <w:p>
      <w:pPr>
        <w:pStyle w:val="BookText"/>
      </w:pPr>
      <w:r>
        <w:rPr>
          <w:rFonts w:ascii="IRNazanin" w:hAnsi="IRNazanin" w:eastAsia="IRNazanin" w:cs="IRNazanin"/>
          <w:lang w:bidi="fa-IR"/>
          <w:color w:val="111111"/>
          <w:sz w:val="28"/>
          <w:szCs w:val="28"/>
          <w:rtl/>
        </w:rPr>
        <w:t xml:space="preserve">۲۶. تهران؛ مجلس؛ شماره نسخه: ۱۰۴۵/۲۶- طباطبائی</w:t>
      </w:r>
    </w:p>
    <w:p>
      <w:pPr>
        <w:pStyle w:val="BookText"/>
      </w:pPr>
      <w:r>
        <w:rPr>
          <w:rFonts w:ascii="IRNazanin" w:hAnsi="IRNazanin" w:eastAsia="IRNazanin" w:cs="IRNazanin"/>
          <w:lang w:bidi="fa-IR"/>
          <w:color w:val="111111"/>
          <w:sz w:val="28"/>
          <w:szCs w:val="28"/>
          <w:rtl/>
        </w:rPr>
        <w:t xml:space="preserve">آغاز: الاهل من فتی کابی تراب *** و انى مثله فوق التراب / اذ ما مقلتی رمدت فکحلی *** تراب مس نعل ابی تراب</w:t>
      </w:r>
    </w:p>
    <w:p>
      <w:pPr>
        <w:pStyle w:val="BookText"/>
      </w:pPr>
      <w:r>
        <w:rPr>
          <w:rFonts w:ascii="IRNazanin" w:hAnsi="IRNazanin" w:eastAsia="IRNazanin" w:cs="IRNazanin"/>
          <w:lang w:bidi="fa-IR"/>
          <w:color w:val="111111"/>
          <w:sz w:val="28"/>
          <w:szCs w:val="28"/>
          <w:rtl/>
        </w:rPr>
        <w:t xml:space="preserve">از وحشی و ملول؛ کا: سید محمد بن صادقطباطبائی (سنگلجی)، تا: قرن ۱۳؛ بخشی از این اشعار با قلم دیگر است و شاید از خـود مؤلف جنگ. پس از پایان اشعار نسخه محبت و ترکیبات آتـش بازی نوشته شده و به خط سنگلجی است؛ کاغذ: فرنگی،جلد: تیماج قرمز، ۱۸ ص (۷۵-۹۲)، قطع: رقعی،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[ف:23- 348]</w:t>
      </w:r>
    </w:p>
    <w:p>
      <w:pPr>
        <w:pStyle w:val="BookText"/>
      </w:pPr>
      <w:r>
        <w:rPr>
          <w:rFonts w:ascii="IRNazanin" w:hAnsi="IRNazanin" w:eastAsia="IRNazanin" w:cs="IRNazanin"/>
          <w:lang w:bidi="fa-IR"/>
          <w:color w:val="111111"/>
          <w:sz w:val="28"/>
          <w:szCs w:val="28"/>
          <w:rtl/>
        </w:rPr>
        <w:t xml:space="preserve">۲۷. تهران؛ مجلس؛ شماره نسخه: ۱۵۴۲۹</w:t>
      </w:r>
    </w:p>
    <w:p>
      <w:pPr>
        <w:pStyle w:val="BookText"/>
      </w:pPr>
      <w:r>
        <w:rPr>
          <w:rFonts w:ascii="IRNazanin" w:hAnsi="IRNazanin" w:eastAsia="IRNazanin" w:cs="IRNazanin"/>
          <w:lang w:bidi="fa-IR"/>
          <w:color w:val="111111"/>
          <w:sz w:val="28"/>
          <w:szCs w:val="28"/>
          <w:rtl/>
        </w:rPr>
        <w:t xml:space="preserve">آغاز: عشق آمد و شد چه خونم اندر رگ و پوست *** تا کرد مرا تهی و پر کرد ز دوست</w:t>
      </w:r>
    </w:p>
    <w:p>
      <w:pPr>
        <w:pStyle w:val="BookText"/>
      </w:pPr>
      <w:r>
        <w:rPr>
          <w:rFonts w:ascii="IRNazanin" w:hAnsi="IRNazanin" w:eastAsia="IRNazanin" w:cs="IRNazanin"/>
          <w:lang w:bidi="fa-IR"/>
          <w:color w:val="111111"/>
          <w:sz w:val="28"/>
          <w:szCs w:val="28"/>
          <w:rtl/>
        </w:rPr>
        <w:t xml:space="preserve">اشعاری از محمد نصیر طبیب اصفهانی، دیوان امیرالمؤمنین؛ خط: نسخ و نستعلیق، بی کا، تا: قرن ۱۳؛ با خط زیبا و بیشتر جنبه هنری دارد، اشعار عربی به خط نسخ ممتاز بصورت چلیپای دو ستونی و اشعار فارسی غلباً شکسته نستعلیق ممتاز سه ستونی، در آغاز طریقه نوشتن حرز امام جواد (علیه السّلام)؛ جلد: تیماج مشکی، ۳۲گ، ۱۲ سطر، قطع: بیاضی، اندازه: ۱۳/۴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۲۰/۸سم [ف: ۴۳ - ۸۶]</w:t>
      </w:r>
    </w:p>
    <w:p>
      <w:pPr>
        <w:pStyle w:val="BookText"/>
      </w:pPr>
      <w:r>
        <w:rPr>
          <w:rFonts w:ascii="IRNazanin" w:hAnsi="IRNazanin" w:eastAsia="IRNazanin" w:cs="IRNazanin"/>
          <w:lang w:bidi="fa-IR"/>
          <w:color w:val="111111"/>
          <w:sz w:val="28"/>
          <w:szCs w:val="28"/>
          <w:rtl/>
        </w:rPr>
        <w:t xml:space="preserve">۲۸. تهران؛ مجلس؛ شماره نسخه: ۵۰۷۷/۱۴</w:t>
      </w:r>
    </w:p>
    <w:p>
      <w:pPr>
        <w:pStyle w:val="BookText"/>
      </w:pPr>
      <w:r>
        <w:rPr>
          <w:rFonts w:ascii="IRNazanin" w:hAnsi="IRNazanin" w:eastAsia="IRNazanin" w:cs="IRNazanin"/>
          <w:lang w:bidi="fa-IR"/>
          <w:color w:val="111111"/>
          <w:sz w:val="28"/>
          <w:szCs w:val="28"/>
          <w:rtl/>
        </w:rPr>
        <w:t xml:space="preserve">ابیاتی به عربی و فارسی؛ بی کا، تا: قرن ۱۳ ، ۱ ص( ۶۹ر) [ف: ۱۵ - ۴۲]</w:t>
      </w:r>
    </w:p>
    <w:p>
      <w:pPr>
        <w:pStyle w:val="BookText"/>
      </w:pPr>
      <w:r>
        <w:rPr>
          <w:rFonts w:ascii="IRNazanin" w:hAnsi="IRNazanin" w:eastAsia="IRNazanin" w:cs="IRNazanin"/>
          <w:lang w:bidi="fa-IR"/>
          <w:color w:val="111111"/>
          <w:sz w:val="28"/>
          <w:szCs w:val="28"/>
          <w:rtl/>
        </w:rPr>
        <w:t xml:space="preserve">۲۹ . قم؛ گلپایگانی؛ شماره نسخه: ۵۹۰۸/۱-۲۹/۲۴۸</w:t>
      </w:r>
    </w:p>
    <w:p>
      <w:pPr>
        <w:pStyle w:val="BookText"/>
      </w:pPr>
      <w:r>
        <w:rPr>
          <w:rFonts w:ascii="IRNazanin" w:hAnsi="IRNazanin" w:eastAsia="IRNazanin" w:cs="IRNazanin"/>
          <w:lang w:bidi="fa-IR"/>
          <w:color w:val="111111"/>
          <w:sz w:val="28"/>
          <w:szCs w:val="28"/>
          <w:rtl/>
        </w:rPr>
        <w:t xml:space="preserve">آغاز: هو الله تعالى حافظ راقب. لم انسه لما سرى من يثرب ... یعنی فراموش نمی کنم حسین را در وقتی که بیرون اید به عزم سفر از مدینه در حالتی که گریان بود چشمهای او ؛انجام: هذا مصاب الشهيد المستظلم و من فوق السماوات قد قامت ماتمه این مصیبت آن شهید است و مصیبت کسی که در بالای آسمانها بیان شده است ماتم او</w:t>
      </w:r>
    </w:p>
    <w:p>
      <w:pPr>
        <w:pStyle w:val="BookText"/>
      </w:pPr>
      <w:r>
        <w:rPr>
          <w:rFonts w:ascii="IRNazanin" w:hAnsi="IRNazanin" w:eastAsia="IRNazanin" w:cs="IRNazanin"/>
          <w:lang w:bidi="fa-IR"/>
          <w:color w:val="111111"/>
          <w:sz w:val="28"/>
          <w:szCs w:val="28"/>
          <w:rtl/>
        </w:rPr>
        <w:t xml:space="preserve">قصیده ای است با قافیه الف و به عربی که شاعر در مراثی امام حسین (علیه السّلام) سروده است، این قصیده در لابه لای سطور به فارسی ترجمه شده؛ خط: نسخ ،بی کا، تا: قرن ۱۳؛ جلد: تیماج عنابی ضربی مجدول، ۲۰۰گ، مختلف السطر، قطع: بیاض رقعی، اندازه: 8</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سم [ف: ۶ - ۳۲۱۹]</w:t>
      </w:r>
    </w:p>
    <w:p>
      <w:pPr>
        <w:pStyle w:val="BookText"/>
      </w:pPr>
      <w:r>
        <w:rPr>
          <w:rFonts w:ascii="IRNazanin" w:hAnsi="IRNazanin" w:eastAsia="IRNazanin" w:cs="IRNazanin"/>
          <w:lang w:bidi="fa-IR"/>
          <w:color w:val="111111"/>
          <w:sz w:val="28"/>
          <w:szCs w:val="28"/>
          <w:rtl/>
        </w:rPr>
        <w:t xml:space="preserve">۳۰. قم؛ مرکز احیاء؛ شماره نسخه: ۱۴۷۹</w:t>
      </w:r>
    </w:p>
    <w:p>
      <w:pPr>
        <w:pStyle w:val="BookText"/>
      </w:pPr>
      <w:r>
        <w:rPr>
          <w:rFonts w:ascii="IRNazanin" w:hAnsi="IRNazanin" w:eastAsia="IRNazanin" w:cs="IRNazanin"/>
          <w:lang w:bidi="fa-IR"/>
          <w:color w:val="111111"/>
          <w:sz w:val="28"/>
          <w:szCs w:val="28"/>
          <w:rtl/>
        </w:rPr>
        <w:t xml:space="preserve">آغاز: ثعالبی در تعریف اسبی گفته که ممدوحش از برای او فرستاد: يا واهب الطرف الجواد كانما *** قد أعلموه بالرياح الأربع اشعار پراکنده ای استبیشتر آن حماسی و مربوط به جنگ و شجاعت و تهور و خصوصیات اسب و مرکب و شمشیر و اسباب و آرایش جنگی، گرد آورده شده بدون ترتیب و تنظیم مخصوص؛ خط: نستعلیق  شکسته، بی کا، تا: اواخر قرن ۱۳، جلد: تیماج مشکی بدون مقوا، ۱۱۶گ، مختلف السطر،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۱۷/۵سم [ف: ۴ - ۳۱۵]</w:t>
      </w:r>
    </w:p>
    <w:p>
      <w:pPr>
        <w:pStyle w:val="BookText"/>
      </w:pPr>
      <w:r>
        <w:rPr>
          <w:rFonts w:ascii="IRNazanin" w:hAnsi="IRNazanin" w:eastAsia="IRNazanin" w:cs="IRNazanin"/>
          <w:lang w:bidi="fa-IR"/>
          <w:color w:val="111111"/>
          <w:sz w:val="28"/>
          <w:szCs w:val="28"/>
          <w:rtl/>
        </w:rPr>
        <w:t xml:space="preserve">۳۱ . قم؛ مسجد اعظم؛ شماره نسخه: ۲۷۳۴/۱</w:t>
      </w:r>
    </w:p>
    <w:p>
      <w:pPr>
        <w:pStyle w:val="BookText"/>
      </w:pPr>
      <w:r>
        <w:rPr>
          <w:rFonts w:ascii="IRNazanin" w:hAnsi="IRNazanin" w:eastAsia="IRNazanin" w:cs="IRNazanin"/>
          <w:lang w:bidi="fa-IR"/>
          <w:color w:val="111111"/>
          <w:sz w:val="28"/>
          <w:szCs w:val="28"/>
          <w:rtl/>
        </w:rPr>
        <w:t xml:space="preserve">آغاز: ولا تمنع كتابا مستعارا *** فذاك البخل للانسان عار/ الم تسمع من رواته *** جزاء البخل عند الله نار؛ انجام: و طوبی لطالب العلم يوم القيمة النظر الى وجه العالم خير لك من عتق الف رقبة</w:t>
      </w:r>
    </w:p>
    <w:p>
      <w:pPr>
        <w:pStyle w:val="BookText"/>
      </w:pPr>
      <w:r>
        <w:rPr>
          <w:rFonts w:ascii="IRNazanin" w:hAnsi="IRNazanin" w:eastAsia="IRNazanin" w:cs="IRNazanin"/>
          <w:lang w:bidi="fa-IR"/>
          <w:color w:val="111111"/>
          <w:sz w:val="28"/>
          <w:szCs w:val="28"/>
          <w:rtl/>
        </w:rPr>
        <w:t xml:space="preserve">مجموعه اشعار و سرودها و مطالب مفید و پراکنده حکمی واخلاقی است از شعرایی همچون: حریری، تفتازانی، سوسی، بحر العلوم ،سید رضی، شیخ علی خلیعی، ابواسحاق صابی، سید علیخان، امام زین العابدین ابن فارض، متنبی، شیخ بهایی؛ خط: نستعلیق، بی کا، تا: قرن۱۳؛ ۱۵۶گ، مختلف السطر، اندازه:
</w:t>
      </w:r>
    </w:p>
    <w:p>
      <w:pPr>
        <w:sectPr>
          <w:footerReference w:type="default" r:id="rId9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۱۱</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۱۷سم [ف مخ: ۲ - ۵۹۸]</w:t>
      </w:r>
    </w:p>
    <w:p>
      <w:pPr>
        <w:pStyle w:val="BookText"/>
      </w:pPr>
      <w:r>
        <w:rPr>
          <w:rFonts w:ascii="IRNazanin" w:hAnsi="IRNazanin" w:eastAsia="IRNazanin" w:cs="IRNazanin"/>
          <w:lang w:bidi="fa-IR"/>
          <w:color w:val="111111"/>
          <w:sz w:val="28"/>
          <w:szCs w:val="28"/>
          <w:rtl/>
        </w:rPr>
        <w:t xml:space="preserve">۳۲. قم؛ گلپایگانی؛ شماره نسخه: ۳۱۸۵-۱۶/۱۹۵</w:t>
      </w:r>
    </w:p>
    <w:p>
      <w:pPr>
        <w:pStyle w:val="BookText"/>
      </w:pPr>
      <w:r>
        <w:rPr>
          <w:rFonts w:ascii="IRNazanin" w:hAnsi="IRNazanin" w:eastAsia="IRNazanin" w:cs="IRNazanin"/>
          <w:lang w:bidi="fa-IR"/>
          <w:color w:val="111111"/>
          <w:sz w:val="28"/>
          <w:szCs w:val="28"/>
          <w:rtl/>
        </w:rPr>
        <w:t xml:space="preserve">آغاز: من كلام ملامختار قاری اعمی اصفهانی. ای ماه عارضت چو رخ مهر بی کلف *** وی مشرق تو کعبه وای مغربت نجف؛</w:t>
      </w:r>
    </w:p>
    <w:p>
      <w:pPr>
        <w:pStyle w:val="BookText"/>
      </w:pPr>
      <w:r>
        <w:rPr>
          <w:rFonts w:ascii="IRNazanin" w:hAnsi="IRNazanin" w:eastAsia="IRNazanin" w:cs="IRNazanin"/>
          <w:lang w:bidi="fa-IR"/>
          <w:color w:val="111111"/>
          <w:sz w:val="28"/>
          <w:szCs w:val="28"/>
          <w:rtl/>
        </w:rPr>
        <w:t xml:space="preserve">انجام: کم انادى وهو لا يصغى التناد *** وافؤدای وافؤادى وافؤاد/ یا بهایی اتخذ قلبا سواه *** فهو ما معبوده لاسواه</w:t>
      </w:r>
    </w:p>
    <w:p>
      <w:pPr>
        <w:pStyle w:val="BookText"/>
      </w:pPr>
      <w:r>
        <w:rPr>
          <w:rFonts w:ascii="IRNazanin" w:hAnsi="IRNazanin" w:eastAsia="IRNazanin" w:cs="IRNazanin"/>
          <w:lang w:bidi="fa-IR"/>
          <w:color w:val="111111"/>
          <w:sz w:val="28"/>
          <w:szCs w:val="28"/>
          <w:rtl/>
        </w:rPr>
        <w:t xml:space="preserve">شامل این اشعار و عنوان ها: ملامختار قاری اعمی اصفهانی (قصـیده فاری از وی)، ابن حسام، تولی و تبرای نسیمی، دوازده امام قاضی، دوازده امام میرزا قوام الدین، خطبه ای ازحضرت علی با ترجمه زیرنویس به فارسی، مناجات منظوم ابراهيم بن علی کفعمی به عربی، قصیده فرزدق و ترجمه منظوم آن به فارسی، حکایت نرجس خاتون به نظم تولد نامه امام علی از حمله حیدری و نان و حلوای شیخ بهایی؛ خط: نستعلیق، بی کا، تا: قرن ۱۳؛ جـلد: گالینگور قهوه ای، ۳۷گ، ۱۴-۱۸ سطر، قطع: بياض رقعی،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۳ - ۱۲۶۱]</w:t>
      </w:r>
    </w:p>
    <w:p>
      <w:pPr>
        <w:pStyle w:val="BookText"/>
      </w:pPr>
      <w:r>
        <w:rPr>
          <w:rFonts w:ascii="IRNazanin" w:hAnsi="IRNazanin" w:eastAsia="IRNazanin" w:cs="IRNazanin"/>
          <w:lang w:bidi="fa-IR"/>
          <w:color w:val="111111"/>
          <w:sz w:val="28"/>
          <w:szCs w:val="28"/>
          <w:rtl/>
        </w:rPr>
        <w:t xml:space="preserve">33.قم ؛گلپایگانی؛ شماره نسخه: ۳۱۹۵-۱۶/۲۰۵</w:t>
      </w:r>
    </w:p>
    <w:p>
      <w:pPr>
        <w:pStyle w:val="BookText"/>
      </w:pPr>
      <w:r>
        <w:rPr>
          <w:rFonts w:ascii="IRNazanin" w:hAnsi="IRNazanin" w:eastAsia="IRNazanin" w:cs="IRNazanin"/>
          <w:lang w:bidi="fa-IR"/>
          <w:color w:val="111111"/>
          <w:sz w:val="28"/>
          <w:szCs w:val="28"/>
          <w:rtl/>
        </w:rPr>
        <w:t xml:space="preserve">آغاز: ای دلبر عیسی نفس ترسایی*** خواهم که به پیش من تو بی ترس آیی/ که چشم ترم به آستین خشک کنی *** که بر من لبی خشک ترسایی؛ انجام: که گر بر چشم عاشق کردی اش جای *** شدی پر آبله زاشکش کف پای / ندانم از زر و زیور چه  گویم *** که خواهم بود قاصر هر چه گویم</w:t>
      </w:r>
    </w:p>
    <w:p>
      <w:pPr>
        <w:pStyle w:val="BookText"/>
      </w:pPr>
      <w:r>
        <w:rPr>
          <w:rFonts w:ascii="IRNazanin" w:hAnsi="IRNazanin" w:eastAsia="IRNazanin" w:cs="IRNazanin"/>
          <w:lang w:bidi="fa-IR"/>
          <w:color w:val="111111"/>
          <w:sz w:val="28"/>
          <w:szCs w:val="28"/>
          <w:rtl/>
        </w:rPr>
        <w:t xml:space="preserve">جنگی است شامل اشعار فارسی از شاعران زیر: سعدی، یغـما، میرزا حسین خویی ،حافظ ،یزید ملا صدرا متلخص به بینا، شـیخ برهان الدین ،عریان، محمد علی وفا، هلالی جغتایی، هاتف، مطایبه مصاحب نائینی ،صبا ،خاقانی، غزلیات يغما، مشتاق، حاجی سلیمان صباحی قصیده حمیری ،انوری ،قصیده ،طنطرانيه، خمـریه ابن فارص، لغز شیخ بهایی ،جلال، قصیده خمیات شیروانی و مستزاد ابن حسام؛ خط: نستعلیق  شکسته، بی کا، تا: قرن ۱۳، جـلد: تیماج قهوه ای ضربی مجدول گرهی، ۹۴گ، ۱۰ سطر،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۳ - ۱۲۶۱]</w:t>
      </w:r>
    </w:p>
    <w:p>
      <w:pPr>
        <w:pStyle w:val="BookText"/>
      </w:pPr>
      <w:r>
        <w:rPr>
          <w:rFonts w:ascii="IRNazanin" w:hAnsi="IRNazanin" w:eastAsia="IRNazanin" w:cs="IRNazanin"/>
          <w:lang w:bidi="fa-IR"/>
          <w:color w:val="111111"/>
          <w:sz w:val="28"/>
          <w:szCs w:val="28"/>
          <w:rtl/>
        </w:rPr>
        <w:t xml:space="preserve">۳۴. قم؛ مرعشی؛ شماره نسخه: ۱۳۳۳۸/۱۹</w:t>
      </w:r>
    </w:p>
    <w:p>
      <w:pPr>
        <w:pStyle w:val="BookText"/>
      </w:pPr>
      <w:r>
        <w:rPr>
          <w:rFonts w:ascii="IRNazanin" w:hAnsi="IRNazanin" w:eastAsia="IRNazanin" w:cs="IRNazanin"/>
          <w:lang w:bidi="fa-IR"/>
          <w:color w:val="111111"/>
          <w:sz w:val="28"/>
          <w:szCs w:val="28"/>
          <w:rtl/>
        </w:rPr>
        <w:t xml:space="preserve">آغاز: سبحان رب العزة الفرد الصمد، لم يتخذ صاحبة ولا ولدا قد جل عن كل شبيه وانفرد فيما يساويه من الخلق احد؛ انجام: فـفی الكلام ولا يحيط بوصفكم ايحيط ما يفنى بما لا ينفد</w:t>
      </w:r>
    </w:p>
    <w:p>
      <w:pPr>
        <w:pStyle w:val="BookText"/>
      </w:pPr>
      <w:r>
        <w:rPr>
          <w:rFonts w:ascii="IRNazanin" w:hAnsi="IRNazanin" w:eastAsia="IRNazanin" w:cs="IRNazanin"/>
          <w:lang w:bidi="fa-IR"/>
          <w:color w:val="111111"/>
          <w:sz w:val="28"/>
          <w:szCs w:val="28"/>
          <w:rtl/>
        </w:rPr>
        <w:t xml:space="preserve">مجموعه اشعار عربی و فارسی است و بدون ترتیب خاص، برخی اشعار در حاشیه، و افزودگی هایی منظوم از «انوری» در دو برگ بعد از انجام آمده؛ خط: شکسته نستعلیق، بی کا، تا: قرن ۱۳؛ کاغذ: فرنگی آهار مهره، ۳گ (۲۹۸ ر - ۳۳۰پ)، سطور چلیپا، 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۳۳ - ۵۹۳]</w:t>
      </w:r>
    </w:p>
    <w:p>
      <w:pPr>
        <w:pStyle w:val="BookText"/>
      </w:pPr>
      <w:r>
        <w:rPr>
          <w:rFonts w:ascii="IRNazanin" w:hAnsi="IRNazanin" w:eastAsia="IRNazanin" w:cs="IRNazanin"/>
          <w:lang w:bidi="fa-IR"/>
          <w:color w:val="111111"/>
          <w:sz w:val="28"/>
          <w:szCs w:val="28"/>
          <w:rtl/>
        </w:rPr>
        <w:t xml:space="preserve">۳۵. تهران؛ مجلس؛ شماره نسخه: ۱۰۲۴۸/۳</w:t>
      </w:r>
    </w:p>
    <w:p>
      <w:pPr>
        <w:pStyle w:val="BookText"/>
      </w:pPr>
      <w:r>
        <w:rPr>
          <w:rFonts w:ascii="IRNazanin" w:hAnsi="IRNazanin" w:eastAsia="IRNazanin" w:cs="IRNazanin"/>
          <w:lang w:bidi="fa-IR"/>
          <w:color w:val="111111"/>
          <w:sz w:val="28"/>
          <w:szCs w:val="28"/>
          <w:rtl/>
        </w:rPr>
        <w:t xml:space="preserve">خط: نستعلیق، کا: واعظ، تا: قرن ۱۳؛ در برگ پایان [مختصر:ف:-971]</w:t>
      </w:r>
    </w:p>
    <w:p>
      <w:pPr>
        <w:pStyle w:val="BookText"/>
      </w:pPr>
      <w:r>
        <w:rPr>
          <w:rFonts w:ascii="IRNazanin" w:hAnsi="IRNazanin" w:eastAsia="IRNazanin" w:cs="IRNazanin"/>
          <w:lang w:bidi="fa-IR"/>
          <w:color w:val="111111"/>
          <w:sz w:val="28"/>
          <w:szCs w:val="28"/>
          <w:rtl/>
        </w:rPr>
        <w:t xml:space="preserve">۳۶. تهران؛ مجلس؛ شماره نسخه: ۱۰۱۲۱/۳</w:t>
      </w:r>
    </w:p>
    <w:p>
      <w:pPr>
        <w:pStyle w:val="BookText"/>
      </w:pPr>
      <w:r>
        <w:rPr>
          <w:rFonts w:ascii="IRNazanin" w:hAnsi="IRNazanin" w:eastAsia="IRNazanin" w:cs="IRNazanin"/>
          <w:lang w:bidi="fa-IR"/>
          <w:color w:val="111111"/>
          <w:sz w:val="28"/>
          <w:szCs w:val="28"/>
          <w:rtl/>
        </w:rPr>
        <w:t xml:space="preserve">اشعاری با عناوین: نکته کودک ابدالی، پنج منزل، اسباب لنک، آیه سنگ، اسباط خرقه، اسباط نفر، آیه خرقه، اسباط کل، آیه كل و ...؛ خط: نستعلیق، بی کا، تا: قرن ۱۳، ۲۱ ص (۱۱-۳۱)،اندازه: ۱۰</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۱۷سم [ف: ۳۲ - ۱۵۳]</w:t>
      </w:r>
    </w:p>
    <w:p>
      <w:pPr>
        <w:pStyle w:val="BookText"/>
      </w:pPr>
      <w:r>
        <w:rPr>
          <w:rFonts w:ascii="IRNazanin" w:hAnsi="IRNazanin" w:eastAsia="IRNazanin" w:cs="IRNazanin"/>
          <w:lang w:bidi="fa-IR"/>
          <w:color w:val="111111"/>
          <w:sz w:val="28"/>
          <w:szCs w:val="28"/>
          <w:rtl/>
        </w:rPr>
        <w:t xml:space="preserve">۳۷. تهران؛ مجلس؛ شماره نسخه: ۵۲ سرود</w:t>
      </w:r>
    </w:p>
    <w:p>
      <w:pPr>
        <w:pStyle w:val="BookText"/>
      </w:pPr>
      <w:r>
        <w:rPr>
          <w:rFonts w:ascii="IRNazanin" w:hAnsi="IRNazanin" w:eastAsia="IRNazanin" w:cs="IRNazanin"/>
          <w:lang w:bidi="fa-IR"/>
          <w:color w:val="111111"/>
          <w:sz w:val="28"/>
          <w:szCs w:val="28"/>
          <w:rtl/>
        </w:rPr>
        <w:t xml:space="preserve">از اشعار و جدی داعی و غیره؛ خط: نستعلیق، بی کا، تا: قرن ۱۳؛ کاغذ: فرنگی شکری رنگ ،جلد: تیماج قهوه ای رنگ ضرب، قطع: خشتی [نشریه: ۱۳ – ۴۲۱]</w:t>
      </w:r>
    </w:p>
    <w:p>
      <w:pPr>
        <w:pStyle w:val="BookText"/>
      </w:pPr>
      <w:r>
        <w:rPr>
          <w:rFonts w:ascii="IRNazanin" w:hAnsi="IRNazanin" w:eastAsia="IRNazanin" w:cs="IRNazanin"/>
          <w:lang w:bidi="fa-IR"/>
          <w:color w:val="111111"/>
          <w:sz w:val="28"/>
          <w:szCs w:val="28"/>
          <w:rtl/>
        </w:rPr>
        <w:t xml:space="preserve">۳۸. تهران؛ دانشگاه؛ شماره نسخه: ۵۵۴۵</w:t>
      </w:r>
    </w:p>
    <w:p>
      <w:pPr>
        <w:pStyle w:val="BookText"/>
      </w:pPr>
      <w:r>
        <w:rPr>
          <w:rFonts w:ascii="IRNazanin" w:hAnsi="IRNazanin" w:eastAsia="IRNazanin" w:cs="IRNazanin"/>
          <w:lang w:bidi="fa-IR"/>
          <w:color w:val="111111"/>
          <w:sz w:val="28"/>
          <w:szCs w:val="28"/>
          <w:rtl/>
        </w:rPr>
        <w:t xml:space="preserve">شعرهای مانند نصاب عربی بفارسی و فارسی به عربی؛ خط: نسخ،بی کا، تا: قرن ۱۳؛ تملک: فخر الدین محمد بن مهدی شریف در شوال ۱۳۱۵؛ کاغذ: فرنگی ،جلد: مقوا عطف تیماج سرخ، ۱۳۱۵گ، ۳۹ سطر (8</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 ۱۶ - ۳۲]</w:t>
      </w:r>
    </w:p>
    <w:p>
      <w:pPr>
        <w:pStyle w:val="BookText"/>
      </w:pPr>
      <w:r>
        <w:rPr>
          <w:rFonts w:ascii="IRNazanin" w:hAnsi="IRNazanin" w:eastAsia="IRNazanin" w:cs="IRNazanin"/>
          <w:lang w:bidi="fa-IR"/>
          <w:color w:val="111111"/>
          <w:sz w:val="28"/>
          <w:szCs w:val="28"/>
          <w:rtl/>
        </w:rPr>
        <w:t xml:space="preserve">۳۹. اصفهان؛ دانشگاه؛ شماره نسخه: ۷۸۵</w:t>
      </w:r>
    </w:p>
    <w:p>
      <w:pPr>
        <w:pStyle w:val="BookText"/>
      </w:pPr>
      <w:r>
        <w:rPr>
          <w:rFonts w:ascii="IRNazanin" w:hAnsi="IRNazanin" w:eastAsia="IRNazanin" w:cs="IRNazanin"/>
          <w:lang w:bidi="fa-IR"/>
          <w:color w:val="111111"/>
          <w:sz w:val="28"/>
          <w:szCs w:val="28"/>
          <w:rtl/>
        </w:rPr>
        <w:t xml:space="preserve">مشتمل بر اشعاری از: حافظ، عرفی، سعدی، صائب، زرگر، ذوقی، ،عاشق ،مشتاق، شمس تبریزی ،وحشی، جامی، طاهر، نقی، ،محتشم ،کلیم ،صفی ،قصاب چندین محبت نامه و فراق نامه منظوم ،شفائی ،پریشان ،نشانی ،قاآنی ،زیارت عاشورا، دعای فراش، دعای جوشن صغیر، دعای قدح، دعای چشم زخم، سوره الرحمن، جمعه و سوره یس؛ خط: نسخ و نستعلیق، بی کا، تا: قرن ۱۳، جلد: تیماج مشکی بدون مقوا، ۱۸۲گ، مختلف السطر، اندازه: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۲ - ۵۹۸]</w:t>
      </w:r>
    </w:p>
    <w:p>
      <w:pPr>
        <w:pStyle w:val="BookText"/>
      </w:pPr>
      <w:r>
        <w:rPr>
          <w:rFonts w:ascii="IRNazanin" w:hAnsi="IRNazanin" w:eastAsia="IRNazanin" w:cs="IRNazanin"/>
          <w:lang w:bidi="fa-IR"/>
          <w:color w:val="111111"/>
          <w:sz w:val="28"/>
          <w:szCs w:val="28"/>
          <w:rtl/>
        </w:rPr>
        <w:t xml:space="preserve">۴۰. تهران؛ مجلس؛ شماره نسخه: ۸۸۵۵/۷</w:t>
      </w:r>
    </w:p>
    <w:p>
      <w:pPr>
        <w:pStyle w:val="BookText"/>
      </w:pPr>
      <w:r>
        <w:rPr>
          <w:rFonts w:ascii="IRNazanin" w:hAnsi="IRNazanin" w:eastAsia="IRNazanin" w:cs="IRNazanin"/>
          <w:lang w:bidi="fa-IR"/>
          <w:color w:val="111111"/>
          <w:sz w:val="28"/>
          <w:szCs w:val="28"/>
          <w:rtl/>
        </w:rPr>
        <w:t xml:space="preserve">اشعاری از ابن ابى الحديد (۹ر) ، امیرالمؤمنین (علیه السّلام)(۶پ-۸ر)، شیخ بهایی (۱۱پ) سید الساجدین (علیه السّلام) (۷پ)، شافعی (۸پ)، شیخ شهاب سهرودی (۷ر) ، شیخ صالح (7ر)، فخر رازی (7پ) قیس عامری (۱۳ر) امام مرزوقی (۶پ) معما به طریق لغز به اسم محمد (۱۲پ)؛ خط: نسخ، بی کا، تا: قرن ۱۳؛ کاغذ: شرقی حنایی  و نخودی آهار مهره، جلد: تیماج قهوه ای مجدول یک لا. ۱۷ سطر (7</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۱۳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۲۱/۳سم [ ف: 29/1- ۱۵۳]</w:t>
      </w:r>
    </w:p>
    <w:p>
      <w:pPr>
        <w:pStyle w:val="BookText"/>
      </w:pPr>
      <w:r>
        <w:rPr>
          <w:rFonts w:ascii="IRNazanin" w:hAnsi="IRNazanin" w:eastAsia="IRNazanin" w:cs="IRNazanin"/>
          <w:lang w:bidi="fa-IR"/>
          <w:color w:val="111111"/>
          <w:sz w:val="28"/>
          <w:szCs w:val="28"/>
          <w:rtl/>
        </w:rPr>
        <w:t xml:space="preserve">۴۱. تهران؛ مجلس؛ شماره نسخه: ۹۰۴۳/۳۶</w:t>
      </w:r>
    </w:p>
    <w:p>
      <w:pPr>
        <w:pStyle w:val="BookText"/>
      </w:pPr>
      <w:r>
        <w:rPr>
          <w:rFonts w:ascii="IRNazanin" w:hAnsi="IRNazanin" w:eastAsia="IRNazanin" w:cs="IRNazanin"/>
          <w:lang w:bidi="fa-IR"/>
          <w:color w:val="111111"/>
          <w:sz w:val="28"/>
          <w:szCs w:val="28"/>
          <w:rtl/>
        </w:rPr>
        <w:t xml:space="preserve">از سروده های این شعرا ابیاتی نقل شده است [ شماره صفحات در فهرست هست]: آقا خان محلاتی، رباعیات ابوسعید ابوالخیر، امیرالمومنین (علیه السّلام) ، بابا طاهر ،حافظ، حسینعلی خان، سعدی، سلمان ساوجی ،شاهد، شمس تبریزی، طبیب اصفهانی، میرزا طوفان نوشته شده در شوال ۱۳۶۶ق، عالی پاشا، عصمت، فنای خوئی، ميرزا ابوالقاسم فندرسکی، آخوند فیضی، قاآنی، نظامی در کتاب خسرو و شیرین، نوایی، نور علی شاه، در جای جای جنگ این شعرهارا از خود نوشته است: در مدح جناب مثلا، فانی گوید در مخمس قصیده مولوی علیه الرحمه، ماده تاریخ مرحوم حجة الاسلام آخوند ملا محمد اعلی الله مقامه که فانی در زرنق منظم نمود، در مدح جناب مولا، تضمین عزل حافظ در تعزیه، ایضاً در احوال جناب قاسم که خطاب به جناب امام (علیه السّلام) می کند، قصیده
</w:t>
      </w:r>
    </w:p>
    <w:p>
      <w:pPr>
        <w:sectPr>
          <w:footerReference w:type="default" r:id="rId9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مدح که به جهت عید نوروز گفته شد، در ۷ جمادی الثـانی ۱۲۶۹ ق به سرکار جلالتمدار رضا بیک سفیر دولت علیه در پطرزبورغ نوشتم فی ۱۹ ربیع الثانی ۱۲۷۴ق، به سرکار کمال افندی اعضای مجلس معارف و ناظر عموم مکاتب که سابق سـفیر برلین بودند، اشعار ترکی، در مدح حضرت رشید پاشا صدراعظم در اسلامبول در ماه صفر ۱۲۷۴ق انشاد شد، ماكتبته الى جنـاب جودت افندى من اعضاء مجلس تنظیمات و مجلس المعارف و الوقعه نويس فى ۱۹ ربیع الثانی ،۱۲۷۴ق، به خدمت سرکار... افندی در وقتی که از روم ... آمدند  در ۲۰ شعبان ۷۴ تقدیم  شد،4 ماده تاریخ در سال ۱۲۷۴ق، چندین معما، ماده تاریخ وفات در سال ۱۲۶۲ق، نام آن شخص خط خورده و خوانده نمی شود، ميرزا هما، يغما؛ خط: نستعلیق شکسته  تحریری، کا: جامع، تا ۱۳ ؛کاغذ: فرنگی شکری آهار مهره ،جلد: تیماج عنابی ضربی با ترنج و سر ترنج و جدول گرهی، یک لا، اندازه: ۱۰/۶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۱۵/۹سم  [ ف: ۲۹/۲ -660]</w:t>
      </w:r>
    </w:p>
    <w:p>
      <w:pPr>
        <w:pStyle w:val="BookText"/>
      </w:pPr>
      <w:r>
        <w:rPr>
          <w:rFonts w:ascii="IRNazanin" w:hAnsi="IRNazanin" w:eastAsia="IRNazanin" w:cs="IRNazanin"/>
          <w:lang w:bidi="fa-IR"/>
          <w:color w:val="111111"/>
          <w:sz w:val="28"/>
          <w:szCs w:val="28"/>
          <w:rtl/>
        </w:rPr>
        <w:t xml:space="preserve">۴۲. قم؛ مسجد اعظم؛ شماره نسخه: ۷۲۸</w:t>
      </w:r>
    </w:p>
    <w:p>
      <w:pPr>
        <w:pStyle w:val="BookText"/>
      </w:pPr>
      <w:r>
        <w:rPr>
          <w:rFonts w:ascii="IRNazanin" w:hAnsi="IRNazanin" w:eastAsia="IRNazanin" w:cs="IRNazanin"/>
          <w:lang w:bidi="fa-IR"/>
          <w:color w:val="111111"/>
          <w:sz w:val="28"/>
          <w:szCs w:val="28"/>
          <w:rtl/>
        </w:rPr>
        <w:t xml:space="preserve">آغاز: یا رب تو به عزت پیغمبر *** برجان من کمینه بنگر/ چاره درد دردمندان *** فریاد رس امیدواران؛ انجام: به پاسخ چنین گفت ... که سهی *** نباشد کنم ... یک جوز اعداء / غریبان پناها خداوندگارا *** جز تو نبود</w:t>
      </w:r>
    </w:p>
    <w:p>
      <w:pPr>
        <w:pStyle w:val="BookText"/>
      </w:pPr>
      <w:r>
        <w:rPr>
          <w:rFonts w:ascii="IRNazanin" w:hAnsi="IRNazanin" w:eastAsia="IRNazanin" w:cs="IRNazanin"/>
          <w:lang w:bidi="fa-IR"/>
          <w:color w:val="111111"/>
          <w:sz w:val="28"/>
          <w:szCs w:val="28"/>
          <w:rtl/>
        </w:rPr>
        <w:t xml:space="preserve">اشعار متفرقه ای است از سعدی، اشعار منسوب به حضرت اميرالمؤمنين (علیه السّلام) ،مریم ،فارابی ،بوعلی، ملایوسف گیلانی «عزیز» که گویا از همراهان خاقان فتحعلی شاه قاجار بوده، بیشتر اشـعار در قالب غزل و مثنوی است؛ خط: نستعلیق، کا: محمد علی نوری - میرزا هدایت الله، تا ۱۲۱۶ - ۱۲۲۹-۱۲۰۸، جلد: مقوا، ۴۷ گ، مختلف السطر ،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مخ: ۲- ۵۶۸]</w:t>
      </w:r>
    </w:p>
    <w:p>
      <w:pPr>
        <w:pStyle w:val="BookText"/>
      </w:pPr>
      <w:r>
        <w:rPr>
          <w:rFonts w:ascii="IRNazanin" w:hAnsi="IRNazanin" w:eastAsia="IRNazanin" w:cs="IRNazanin"/>
          <w:lang w:bidi="fa-IR"/>
          <w:color w:val="111111"/>
          <w:sz w:val="28"/>
          <w:szCs w:val="28"/>
          <w:rtl/>
        </w:rPr>
        <w:t xml:space="preserve">۴۳. تهران؛ مجلس؛ شماره نسخه: ۹۴۶۷/۱۲۳</w:t>
      </w:r>
    </w:p>
    <w:p>
      <w:pPr>
        <w:pStyle w:val="BookText"/>
      </w:pPr>
      <w:r>
        <w:rPr>
          <w:rFonts w:ascii="IRNazanin" w:hAnsi="IRNazanin" w:eastAsia="IRNazanin" w:cs="IRNazanin"/>
          <w:lang w:bidi="fa-IR"/>
          <w:color w:val="111111"/>
          <w:sz w:val="28"/>
          <w:szCs w:val="28"/>
          <w:rtl/>
        </w:rPr>
        <w:t xml:space="preserve">مقطعات  و رباعیات از شاعرانی چون: میرزا جعفر اصفهانی ،میجری ،عزیزی ،اوحدی ،رزاق ،نذری شیخ شهاب الدین، زین الدين على، صدر سمرقندی، «منصور»؛ خط: نستعليق، كا: محـمد بن جمشید مراغی، تا: ۱۲۴۱ق، ۸گ (۲۵۷ر-۲۶۵ر) [مختصر:  ف: 791]</w:t>
      </w:r>
    </w:p>
    <w:p>
      <w:pPr>
        <w:pStyle w:val="BookText"/>
      </w:pPr>
      <w:r>
        <w:rPr>
          <w:rFonts w:ascii="IRNazanin" w:hAnsi="IRNazanin" w:eastAsia="IRNazanin" w:cs="IRNazanin"/>
          <w:lang w:bidi="fa-IR"/>
          <w:color w:val="111111"/>
          <w:sz w:val="28"/>
          <w:szCs w:val="28"/>
          <w:rtl/>
        </w:rPr>
        <w:t xml:space="preserve">۴۴ .تهران؛ مجلس؛ شماره نسخه: ۸۹۶۶/۱۳</w:t>
      </w:r>
    </w:p>
    <w:p>
      <w:pPr>
        <w:pStyle w:val="BookText"/>
      </w:pPr>
      <w:r>
        <w:rPr>
          <w:rFonts w:ascii="IRNazanin" w:hAnsi="IRNazanin" w:eastAsia="IRNazanin" w:cs="IRNazanin"/>
          <w:lang w:bidi="fa-IR"/>
          <w:color w:val="111111"/>
          <w:sz w:val="28"/>
          <w:szCs w:val="28"/>
          <w:rtl/>
        </w:rPr>
        <w:t xml:space="preserve">در دو صفحه اول ترجمه فارسی اشعار بین سطور آمده است. بیـشتر اشعار نام سراینده ندارد و فقط از این کسان یاد شده است: قاضـ ی ارجانی، ابن معتز، عایشه بنت  باغبانی، حسین بن مطیه اسدی، اصمعی ابی العتاهيه و در پایان دو بیت به فارسی از صافی اصفهانی؛ خط: شکسته نستعلیق، بی کا، تا: با تاریخ ۱۲۵۱ ق؛کاغذ: فرنگی شکری آهار مهره با ته نقش </w:t>
      </w:r>
      <w:r>
        <w:rPr>
          <w:rFonts w:ascii="Times New Roman" w:hAnsi="Times New Roman" w:eastAsia="Times New Roman" w:cs="Times New Roman"/>
          <w:lang w:val="en-US" w:bidi="en-US"/>
          <w:color w:val="111111"/>
          <w:sz w:val="28"/>
          <w:szCs w:val="28"/>
          <w:rtl/>
        </w:rPr>
        <w:t xml:space="preserve">IMG </w:t>
      </w:r>
      <w:r>
        <w:rPr>
          <w:rFonts w:ascii="IRNazanin" w:hAnsi="IRNazanin" w:eastAsia="IRNazanin" w:cs="IRNazanin"/>
          <w:lang w:bidi="fa-IR"/>
          <w:color w:val="111111"/>
          <w:sz w:val="28"/>
          <w:szCs w:val="28"/>
          <w:rtl/>
        </w:rPr>
        <w:t xml:space="preserve">،جلد: تیماج قهوه ای با نقوش و جداول ضربی یک لا، ۱۰گ (۱۲۵پ ۱۳۴ پ)، ۱۵ سطر (7</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۱۳/۲</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۱۹/۷سم[ ف: 29/1 - 491]</w:t>
      </w:r>
    </w:p>
    <w:p>
      <w:pPr>
        <w:pStyle w:val="BookText"/>
      </w:pPr>
      <w:r>
        <w:rPr>
          <w:rFonts w:ascii="IRNazanin" w:hAnsi="IRNazanin" w:eastAsia="IRNazanin" w:cs="IRNazanin"/>
          <w:lang w:bidi="fa-IR"/>
          <w:color w:val="111111"/>
          <w:sz w:val="28"/>
          <w:szCs w:val="28"/>
          <w:rtl/>
        </w:rPr>
        <w:t xml:space="preserve">۴۵. مشهد؛ الهیات؛ شماره نسخه: ۵۷۴/۲۱</w:t>
      </w:r>
    </w:p>
    <w:p>
      <w:pPr>
        <w:pStyle w:val="BookText"/>
      </w:pPr>
      <w:r>
        <w:rPr>
          <w:rFonts w:ascii="IRNazanin" w:hAnsi="IRNazanin" w:eastAsia="IRNazanin" w:cs="IRNazanin"/>
          <w:lang w:bidi="fa-IR"/>
          <w:color w:val="111111"/>
          <w:sz w:val="28"/>
          <w:szCs w:val="28"/>
          <w:rtl/>
        </w:rPr>
        <w:t xml:space="preserve">چند رباعی است؛ خط: نستعلیق، بی کا، تا: ۱۲۵۵ق؛ جلد: تیماج عنابی، ۲ ص، ۲۱ سطر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۱- ۵۲۲]</w:t>
      </w:r>
    </w:p>
    <w:p>
      <w:pPr>
        <w:pStyle w:val="BookText"/>
      </w:pPr>
      <w:r>
        <w:rPr>
          <w:rFonts w:ascii="IRNazanin" w:hAnsi="IRNazanin" w:eastAsia="IRNazanin" w:cs="IRNazanin"/>
          <w:lang w:bidi="fa-IR"/>
          <w:color w:val="111111"/>
          <w:sz w:val="28"/>
          <w:szCs w:val="28"/>
          <w:rtl/>
        </w:rPr>
        <w:t xml:space="preserve">۴۶. قم؛ مرکز احیاء؛ شماره نسخه: ۴۲۴۵/۲</w:t>
      </w:r>
    </w:p>
    <w:p>
      <w:pPr>
        <w:pStyle w:val="BookText"/>
      </w:pPr>
      <w:r>
        <w:rPr>
          <w:rFonts w:ascii="IRNazanin" w:hAnsi="IRNazanin" w:eastAsia="IRNazanin" w:cs="IRNazanin"/>
          <w:lang w:bidi="fa-IR"/>
          <w:color w:val="111111"/>
          <w:sz w:val="28"/>
          <w:szCs w:val="28"/>
          <w:rtl/>
        </w:rPr>
        <w:t xml:space="preserve">آغاز : لأم عمرو باللوى مربع *** طامسة اعلامها بلقع؛ انجام: کمال فارسی آن نیک محضر *** بنظم آورد این پاکیزه گوهر</w:t>
      </w:r>
    </w:p>
    <w:p>
      <w:pPr>
        <w:pStyle w:val="BookText"/>
      </w:pPr>
      <w:r>
        <w:rPr>
          <w:rFonts w:ascii="IRNazanin" w:hAnsi="IRNazanin" w:eastAsia="IRNazanin" w:cs="IRNazanin"/>
          <w:lang w:bidi="fa-IR"/>
          <w:color w:val="111111"/>
          <w:sz w:val="28"/>
          <w:szCs w:val="28"/>
          <w:rtl/>
        </w:rPr>
        <w:t xml:space="preserve">مشتمل بر: قصیده عینیه سیداسماعیل حمیری (۱۱۷ر-۱۱۹پ) دوازده امام منظوم حافظ شیرازی، گل و بلبل شمس الدین تبریزی (۱۲۵پ-۱۲۸ر)، پندنامه منظوم لقمان حکیم، مناجات نام غزالی (۱۳۱ پ -۱۳۶پ) صد پند منظوم لقمان، اسماعیل قربان کمال اسماعیل (۱۴۲ پ- ۱۵۰ ر)؛ خط: نسخ، کا: سیدرضی حسینی، تا: شعبان ۱۲۵۷ق؛ مهر: «شعاع» (بیضوی)، کاتب «الراجی سیدرضی الحسيني» ((مربع)؛ تملک: کاتب؛ جلد: تیماج مشکی بدون مقوا، ۳۴ ص (۱۱۷-۱۵۰)، ۹ سطر، 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[محدث ارموی مخ: ٣ - ١١٠٠]</w:t>
      </w:r>
    </w:p>
    <w:p>
      <w:pPr>
        <w:pStyle w:val="BookText"/>
      </w:pPr>
      <w:r>
        <w:rPr>
          <w:rFonts w:ascii="IRNazanin" w:hAnsi="IRNazanin" w:eastAsia="IRNazanin" w:cs="IRNazanin"/>
          <w:lang w:bidi="fa-IR"/>
          <w:color w:val="111111"/>
          <w:sz w:val="28"/>
          <w:szCs w:val="28"/>
          <w:rtl/>
        </w:rPr>
        <w:t xml:space="preserve">۴۷. تهران؛ مجلس؛ شماره نسخه: ۹۲۸۹/۱۱</w:t>
      </w:r>
    </w:p>
    <w:p>
      <w:pPr>
        <w:pStyle w:val="BookText"/>
      </w:pPr>
      <w:r>
        <w:rPr>
          <w:rFonts w:ascii="IRNazanin" w:hAnsi="IRNazanin" w:eastAsia="IRNazanin" w:cs="IRNazanin"/>
          <w:lang w:bidi="fa-IR"/>
          <w:color w:val="111111"/>
          <w:sz w:val="28"/>
          <w:szCs w:val="28"/>
          <w:rtl/>
        </w:rPr>
        <w:t xml:space="preserve">از جمله فایده ای در ادعیه هنگام وضو، اشعاری از سرور، ابن راشد، میرزا جان اهری و دیگران؛ بی کا، تا: ۱۲۵۸ق؛ جلد: تیماج  مشکی، ۱۱گ (۱۸۴ ر - ۱۹۵پ) ، اندازه: ۱۶/۵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۳۰-۵۵]</w:t>
      </w:r>
    </w:p>
    <w:p>
      <w:pPr>
        <w:pStyle w:val="BookText"/>
      </w:pPr>
      <w:r>
        <w:rPr>
          <w:rFonts w:ascii="IRNazanin" w:hAnsi="IRNazanin" w:eastAsia="IRNazanin" w:cs="IRNazanin"/>
          <w:lang w:bidi="fa-IR"/>
          <w:color w:val="111111"/>
          <w:sz w:val="28"/>
          <w:szCs w:val="28"/>
          <w:rtl/>
        </w:rPr>
        <w:t xml:space="preserve">۴۸. تهران؛ مجلس؛ شماره نسخه: ۱۴۴۱۸/۱۰</w:t>
      </w:r>
    </w:p>
    <w:p>
      <w:pPr>
        <w:pStyle w:val="BookText"/>
      </w:pPr>
      <w:r>
        <w:rPr>
          <w:rFonts w:ascii="IRNazanin" w:hAnsi="IRNazanin" w:eastAsia="IRNazanin" w:cs="IRNazanin"/>
          <w:lang w:bidi="fa-IR"/>
          <w:color w:val="111111"/>
          <w:sz w:val="28"/>
          <w:szCs w:val="28"/>
          <w:rtl/>
        </w:rPr>
        <w:t xml:space="preserve">اشعاری از : امیرالمؤمنين (علیه السّلام)، حافظ شیرازی، جامی، سعدی، ،موجی ،مولوی (مثنوی) ،آذر، میرزا عبدالوهاب نورعی ،شاه امیر خسرو دهلوی؛ خط: نستعلیق، کا: عبدالغفار بن مرحوم حاجى محمد فصیح  مراغه ای، تا: ۱۵ شوال ۱۲۶۰ق؛ جلد: تیماج سبز ضربی ،مجدول ،۶گ (۵۱ر -۵۷ر)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۳۸ - ۵۵۳]</w:t>
      </w:r>
    </w:p>
    <w:p>
      <w:pPr>
        <w:pStyle w:val="BookText"/>
      </w:pPr>
      <w:r>
        <w:rPr>
          <w:rFonts w:ascii="IRNazanin" w:hAnsi="IRNazanin" w:eastAsia="IRNazanin" w:cs="IRNazanin"/>
          <w:lang w:bidi="fa-IR"/>
          <w:color w:val="111111"/>
          <w:sz w:val="28"/>
          <w:szCs w:val="28"/>
          <w:rtl/>
        </w:rPr>
        <w:t xml:space="preserve">۴۹. تهران؛ مجلس؛ شماره نسخه: ۸۹۱۹/۱۶</w:t>
      </w:r>
    </w:p>
    <w:p>
      <w:pPr>
        <w:pStyle w:val="BookText"/>
      </w:pPr>
      <w:r>
        <w:rPr>
          <w:rFonts w:ascii="IRNazanin" w:hAnsi="IRNazanin" w:eastAsia="IRNazanin" w:cs="IRNazanin"/>
          <w:lang w:bidi="fa-IR"/>
          <w:color w:val="111111"/>
          <w:sz w:val="28"/>
          <w:szCs w:val="28"/>
          <w:rtl/>
        </w:rPr>
        <w:t xml:space="preserve">از امیرالمؤمنین (علیه السّلام) و مولوی؛ خط: نستعلیق و شکسته، کا:محمود بن جلال الدین، تا: ربیع الثانی ۱۲۷۲ق، جا: طهران؛ کاغذ: فرنگی نازک الوان ،جلد: میشن قهوه ای  ضربی، با ترنج و سرترنج و جدول، ۲گ (۴۹پ- ۵۰ر)، اندازه: ۱۲/۸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 ف : ۲۹/۱-۳۳۱]</w:t>
      </w:r>
    </w:p>
    <w:p>
      <w:pPr>
        <w:pStyle w:val="BookText"/>
      </w:pPr>
      <w:r>
        <w:rPr>
          <w:rFonts w:ascii="IRNazanin" w:hAnsi="IRNazanin" w:eastAsia="IRNazanin" w:cs="IRNazanin"/>
          <w:lang w:bidi="fa-IR"/>
          <w:color w:val="111111"/>
          <w:sz w:val="28"/>
          <w:szCs w:val="28"/>
          <w:rtl/>
        </w:rPr>
        <w:t xml:space="preserve">۵۰. تهران؛ مجلس؛ شماره نسخه: ۱۳۵۱۴/۴</w:t>
      </w:r>
    </w:p>
    <w:p>
      <w:pPr>
        <w:pStyle w:val="BookText"/>
      </w:pPr>
      <w:r>
        <w:rPr>
          <w:rFonts w:ascii="IRNazanin" w:hAnsi="IRNazanin" w:eastAsia="IRNazanin" w:cs="IRNazanin"/>
          <w:lang w:bidi="fa-IR"/>
          <w:color w:val="111111"/>
          <w:sz w:val="28"/>
          <w:szCs w:val="28"/>
          <w:rtl/>
        </w:rPr>
        <w:t xml:space="preserve">شکسته کا محمودعربی با ترجمه منظوم فارسی ؛خط: نستعلیق، کا: فرح الله منشی شیرازی خازن الاشعار متخلص به طوفه، تا: ذیقعده ۱۲۷۲، به فرموده عبدالعلی خان ادیب الممالك؛ مجدول مذهب محرر؛ جلد: تیماج قهوه ای، ۱۹۴گ، ۱۵ سطر، اندازه: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۱۳/۵سم [ف: 37- 15]</w:t>
      </w:r>
    </w:p>
    <w:p>
      <w:pPr>
        <w:pStyle w:val="BookText"/>
      </w:pPr>
      <w:r>
        <w:rPr>
          <w:rFonts w:ascii="IRNazanin" w:hAnsi="IRNazanin" w:eastAsia="IRNazanin" w:cs="IRNazanin"/>
          <w:lang w:bidi="fa-IR"/>
          <w:color w:val="111111"/>
          <w:sz w:val="28"/>
          <w:szCs w:val="28"/>
          <w:rtl/>
        </w:rPr>
        <w:t xml:space="preserve">۵۱. تهران؛ ملی؛ شماره نسخه: ۱۹۹۱/۳</w:t>
      </w:r>
    </w:p>
    <w:p>
      <w:pPr>
        <w:pStyle w:val="BookText"/>
      </w:pPr>
      <w:r>
        <w:rPr>
          <w:rFonts w:ascii="IRNazanin" w:hAnsi="IRNazanin" w:eastAsia="IRNazanin" w:cs="IRNazanin"/>
          <w:lang w:bidi="fa-IR"/>
          <w:color w:val="111111"/>
          <w:sz w:val="28"/>
          <w:szCs w:val="28"/>
          <w:rtl/>
        </w:rPr>
        <w:t xml:space="preserve">آغاز: بسمله شفیع مطاع نبی کریم *** قسیم جسیم  نسیم وسیم؛</w:t>
      </w:r>
    </w:p>
    <w:p>
      <w:pPr>
        <w:pStyle w:val="BookText"/>
      </w:pPr>
      <w:r>
        <w:rPr>
          <w:rFonts w:ascii="Amiri" w:hAnsi="Amiri" w:eastAsia="Amiri" w:cs="Amiri"/>
          <w:lang w:bidi="ar-SA"/>
          <w:color w:val="111111"/>
          <w:sz w:val="28"/>
          <w:szCs w:val="28"/>
          <w:rtl/>
        </w:rPr>
        <w:t xml:space="preserve">انجام: اناء يترشح بمافيه</w:t>
      </w:r>
    </w:p>
    <w:p>
      <w:pPr>
        <w:pStyle w:val="BookText"/>
      </w:pPr>
      <w:r>
        <w:rPr>
          <w:rFonts w:ascii="IRNazanin" w:hAnsi="IRNazanin" w:eastAsia="IRNazanin" w:cs="IRNazanin"/>
          <w:lang w:bidi="fa-IR"/>
          <w:color w:val="111111"/>
          <w:sz w:val="28"/>
          <w:szCs w:val="28"/>
          <w:rtl/>
        </w:rPr>
        <w:t xml:space="preserve">در این رساله اشعار و عبارات عربی گلستان سعدی با ترجمه فارسی آنها آمده: ترجمه اشعار عربی (ص۱۵۳-۱۶۱)، ترجمه عبارات عربی (۱۶۱-۱۶۷)؛ خط: نستعلیق، بی کا، تا: ۱۲۸۱ق؛ کاغذ: فرنگی ،جلد: تیماج ماشی  مقوایی، ۱۴ص (۱۵۳-۱۶۷)، ۱۳ سطر (6/5</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۴ - ۴۸۸]</w:t>
      </w:r>
    </w:p>
    <w:p>
      <w:pPr>
        <w:pStyle w:val="BookText"/>
      </w:pPr>
      <w:r>
        <w:rPr>
          <w:rFonts w:ascii="IRNazanin" w:hAnsi="IRNazanin" w:eastAsia="IRNazanin" w:cs="IRNazanin"/>
          <w:lang w:bidi="fa-IR"/>
          <w:color w:val="111111"/>
          <w:sz w:val="28"/>
          <w:szCs w:val="28"/>
          <w:rtl/>
        </w:rPr>
        <w:t xml:space="preserve">۵۲. تهران؛ ملی؛ شماره نسخه: ۴۳۲۴
</w:t>
      </w:r>
    </w:p>
    <w:p>
      <w:pPr>
        <w:sectPr>
          <w:footerReference w:type="default" r:id="rId9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آغاز: سکبت دمع العين بالوجنات *** و تب النفاسى شدة الزفرات / و تبكى على ال النبي محمد *** فقد ضاق منك الصـدر بالحسرات؛ انجام: ورنه گلی ز گلشن دیوان مولوی *** بر نغمه ساز کن ای بلبل چمن</w:t>
      </w:r>
    </w:p>
    <w:p>
      <w:pPr>
        <w:pStyle w:val="BookText"/>
      </w:pPr>
      <w:r>
        <w:rPr>
          <w:rFonts w:ascii="IRNazanin" w:hAnsi="IRNazanin" w:eastAsia="IRNazanin" w:cs="IRNazanin"/>
          <w:lang w:bidi="fa-IR"/>
          <w:color w:val="111111"/>
          <w:sz w:val="28"/>
          <w:szCs w:val="28"/>
          <w:rtl/>
        </w:rPr>
        <w:t xml:space="preserve">قصایدی است از شیخ احمد احسائی، سید معصوم موسوی، عبد المحسن بن سید تقی قوام الحسينى و ... بیشتر در رثاء و مدح امام حسین (علیه السّلام) و گاه در مدح بعضی از ائمه اطهار (علیهم السّلام) که تا برگ ۶۹ قصاید در ذیل ابیات یا در حاشیه به فارسی نیز ترجـمه شده است در پایان برگ ۱۲۱ چنین قید شده که قصاید از کتـاب «معدن البكاء» تأليف ملاصالح قزوینی گرفته شده که با توجه به نوع کاغذ و خط ظاهرا شامل قصائد برگ ۹۰-۱۲۱ می باشد، در میان این قصاید روایت هایی در فضائل ائمه اطهار (علیهم السّلام) ونیز قصائدی به فارسی و اشعار کوتاهی به فارسی و عربی در همن زمینه؛ خط: نسخ و نستعلیق و شکسته نستعلیق، بی کا، تا: 1209- ۱۲۹۳؛ افتادگی: آغاز ،مصحح، حاشیه هایی در رابطه با متن دارد که اکثرا ترجمه کلمات یا اشعار به فارسی است، برگ های 80- ۸۹ به جز برگ ۸۱ ،چاپ سنگی است؛ کاغذ: فرنگی  الوان، جـلد: تیماج سبز زنگاری مقوایی مجدول عطف قهوه ای روشن، اندرون جلد روکش کاغذی نقشه دار الوان، ۱۳۲گ، ۱۲- ۱۹ سـطر، مختلف السطر (9</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و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۱۴/۷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۲۱/۷سم [ف:18-  289]</w:t>
      </w:r>
    </w:p>
    <w:p>
      <w:pPr>
        <w:pStyle w:val="BookText"/>
      </w:pPr>
      <w:r>
        <w:rPr>
          <w:rFonts w:ascii="IRNazanin" w:hAnsi="IRNazanin" w:eastAsia="IRNazanin" w:cs="IRNazanin"/>
          <w:lang w:bidi="fa-IR"/>
          <w:color w:val="111111"/>
          <w:sz w:val="28"/>
          <w:szCs w:val="28"/>
          <w:rtl/>
        </w:rPr>
        <w:t xml:space="preserve">۵۳. تهران؛ مجلس؛ شماره نسخه: ۹۴۶۷/۱۱۸</w:t>
      </w:r>
    </w:p>
    <w:p>
      <w:pPr>
        <w:pStyle w:val="BookText"/>
      </w:pPr>
      <w:r>
        <w:rPr>
          <w:rFonts w:ascii="IRNazanin" w:hAnsi="IRNazanin" w:eastAsia="IRNazanin" w:cs="IRNazanin"/>
          <w:lang w:bidi="fa-IR"/>
          <w:color w:val="111111"/>
          <w:sz w:val="28"/>
          <w:szCs w:val="28"/>
          <w:rtl/>
        </w:rPr>
        <w:t xml:space="preserve">رباعیات در مدح امیرالمؤمنین؛ خط: نستعلیق، بی کا، تا: قرن 13و ۱۴، 1ص (۲۲۵ پ-همان) [مختصر: ف: - ۳۸۷]</w:t>
      </w:r>
    </w:p>
    <w:p>
      <w:pPr>
        <w:pStyle w:val="BookText"/>
      </w:pPr>
      <w:r>
        <w:rPr>
          <w:rFonts w:ascii="IRNazanin" w:hAnsi="IRNazanin" w:eastAsia="IRNazanin" w:cs="IRNazanin"/>
          <w:lang w:bidi="fa-IR"/>
          <w:color w:val="111111"/>
          <w:sz w:val="28"/>
          <w:szCs w:val="28"/>
          <w:rtl/>
        </w:rPr>
        <w:t xml:space="preserve">۵۴. تهران ،ملک؛ شماره نسخه: ۲۵۳۴/۷</w:t>
      </w:r>
    </w:p>
    <w:p>
      <w:pPr>
        <w:pStyle w:val="BookText"/>
      </w:pPr>
      <w:r>
        <w:rPr>
          <w:rFonts w:ascii="IRNazanin" w:hAnsi="IRNazanin" w:eastAsia="IRNazanin" w:cs="IRNazanin"/>
          <w:lang w:bidi="fa-IR"/>
          <w:color w:val="111111"/>
          <w:sz w:val="28"/>
          <w:szCs w:val="28"/>
          <w:rtl/>
        </w:rPr>
        <w:t xml:space="preserve">از بحتری، یغما، سحاب ،مشتاق، سلمان ساوجی، بابا طاهر، و شـیخ بهائی در اتحاد اسم و مسمی، یزید بن معاویه ،مظهر،هاتف، غمین، مهدی بیک شقاقی، میرزا مهدی و دیگران؛ تاریخ مرگ بزرگان و اسماء مترادف زلف و موی و گیسو که بلغاء در عبارت می آورند ؛خط: شکسته نستعلیق، بی کا، تا: قرن ۱۴؛ ۴۵ گ (۷۱پ-۲۶ پ) [ف: ۶ - ۳۷]</w:t>
      </w:r>
    </w:p>
    <w:p>
      <w:pPr>
        <w:pStyle w:val="BookText"/>
      </w:pPr>
      <w:r>
        <w:rPr>
          <w:rFonts w:ascii="IRNazanin" w:hAnsi="IRNazanin" w:eastAsia="IRNazanin" w:cs="IRNazanin"/>
          <w:lang w:bidi="fa-IR"/>
          <w:color w:val="111111"/>
          <w:sz w:val="28"/>
          <w:szCs w:val="28"/>
          <w:rtl/>
        </w:rPr>
        <w:t xml:space="preserve">۵۵. قم؛ گلپایگانی؛ شماره نسخه: ۴۲۷۲-۲۱/۱۹۲</w:t>
      </w:r>
    </w:p>
    <w:p>
      <w:pPr>
        <w:pStyle w:val="BookText"/>
      </w:pPr>
      <w:r>
        <w:rPr>
          <w:rFonts w:ascii="IRNazanin" w:hAnsi="IRNazanin" w:eastAsia="IRNazanin" w:cs="IRNazanin"/>
          <w:lang w:bidi="fa-IR"/>
          <w:color w:val="111111"/>
          <w:sz w:val="28"/>
          <w:szCs w:val="28"/>
          <w:rtl/>
        </w:rPr>
        <w:t xml:space="preserve">آغاز: ينظر الى جده ويقول يا جداه لاحاجة لي في الرجوع الی الدنيا فخندی الیک و ادخلنی معك في قبرك فقال له رسول الله لا بدلک ؛انجام: ای خالق ارض و سما ای پادشاه ذوالعطا*** بخشای از روی کرم زین ستارگان تقصيرها/ ما واله وسرمست تو  گویی وش در دست تو*** خواهی به خاک تیره کش خوا بكن اعزازها</w:t>
      </w:r>
    </w:p>
    <w:p>
      <w:pPr>
        <w:pStyle w:val="BookText"/>
      </w:pPr>
      <w:r>
        <w:rPr>
          <w:rFonts w:ascii="IRNazanin" w:hAnsi="IRNazanin" w:eastAsia="IRNazanin" w:cs="IRNazanin"/>
          <w:lang w:bidi="fa-IR"/>
          <w:color w:val="111111"/>
          <w:sz w:val="28"/>
          <w:szCs w:val="28"/>
          <w:rtl/>
        </w:rPr>
        <w:t xml:space="preserve">جنگی است پراکنده در مصایب امام حسين(علیه السّلام) منقول از کتاب های مقتل، اشعار فارسی عرفانی از حافظ و دیگران و خـطبه غدیریه به عربی؛ خط: نسخ و تحریری، بی کا، تا: قرن14؛افتادگی: آغاز؛ جلد: مقوای قهوه ای روشن عطف پارچه، ۵۶ گ، ۱۵ سطر،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۳ - ۱۲۷۹]</w:t>
      </w:r>
    </w:p>
    <w:p>
      <w:pPr>
        <w:pStyle w:val="BookText"/>
      </w:pPr>
      <w:r>
        <w:rPr>
          <w:rFonts w:ascii="IRNazanin" w:hAnsi="IRNazanin" w:eastAsia="IRNazanin" w:cs="IRNazanin"/>
          <w:lang w:bidi="fa-IR"/>
          <w:color w:val="111111"/>
          <w:sz w:val="28"/>
          <w:szCs w:val="28"/>
          <w:rtl/>
        </w:rPr>
        <w:t xml:space="preserve">۵۶. تهران؛ دانشسرای عالی - کتابخانه میرزا عبدالعظیم خان قریب گرکانی؛ شماره نسخه: ۲۰۳</w:t>
      </w:r>
    </w:p>
    <w:p>
      <w:pPr>
        <w:pStyle w:val="BookText"/>
      </w:pPr>
      <w:r>
        <w:rPr>
          <w:rFonts w:ascii="IRNazanin" w:hAnsi="IRNazanin" w:eastAsia="IRNazanin" w:cs="IRNazanin"/>
          <w:lang w:bidi="fa-IR"/>
          <w:color w:val="111111"/>
          <w:sz w:val="28"/>
          <w:szCs w:val="28"/>
          <w:rtl/>
        </w:rPr>
        <w:t xml:space="preserve">جنگ نظم به عربی و فارسی یادداشت مانند؛ خط: نستعلیق، بی کا، تا: قرن ۱۴؛ قطع: بغلی [نشریه: ۵ - ۶۲۳]</w:t>
      </w:r>
    </w:p>
    <w:p>
      <w:pPr>
        <w:pStyle w:val="BookText"/>
      </w:pPr>
      <w:r>
        <w:rPr>
          <w:rFonts w:ascii="IRNazanin" w:hAnsi="IRNazanin" w:eastAsia="IRNazanin" w:cs="IRNazanin"/>
          <w:lang w:bidi="fa-IR"/>
          <w:color w:val="111111"/>
          <w:sz w:val="28"/>
          <w:szCs w:val="28"/>
          <w:rtl/>
        </w:rPr>
        <w:t xml:space="preserve">۵۷. تهران؛ دانشگاه؛ شماره نسخه: ۸۸۲۷</w:t>
      </w:r>
    </w:p>
    <w:p>
      <w:pPr>
        <w:pStyle w:val="BookText"/>
      </w:pPr>
      <w:r>
        <w:rPr>
          <w:rFonts w:ascii="IRNazanin" w:hAnsi="IRNazanin" w:eastAsia="IRNazanin" w:cs="IRNazanin"/>
          <w:lang w:bidi="fa-IR"/>
          <w:color w:val="111111"/>
          <w:sz w:val="28"/>
          <w:szCs w:val="28"/>
          <w:rtl/>
        </w:rPr>
        <w:t xml:space="preserve">شامل: ۱- قصاید و ترجیع بند، ۲- منشات معتمدالدوله (۱۲ص)، 3- شعرهای عربی ابوالعلاء و ثعالبی و ابوتمام و دیگران (۲ص)؛ خط: نستعلیق، بی کا، تا: قرن۱۳ و ۱۴؛ کاغذ: فرنگی، جلد: تازه، ۳۸گ ، ۱۵ سطر (7</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 قطع: ربعی،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۱۷-۲۳۱]</w:t>
      </w:r>
    </w:p>
    <w:p>
      <w:pPr>
        <w:pStyle w:val="BookText"/>
      </w:pPr>
      <w:r>
        <w:rPr>
          <w:rFonts w:ascii="IRNazanin" w:hAnsi="IRNazanin" w:eastAsia="IRNazanin" w:cs="IRNazanin"/>
          <w:lang w:bidi="fa-IR"/>
          <w:color w:val="111111"/>
          <w:sz w:val="28"/>
          <w:szCs w:val="28"/>
          <w:rtl/>
        </w:rPr>
        <w:t xml:space="preserve">۵۸. تهران؛ مجلس؛ شماره نسخه: ۱۶۰۱۸/۴</w:t>
      </w:r>
    </w:p>
    <w:p>
      <w:pPr>
        <w:pStyle w:val="BookText"/>
      </w:pPr>
      <w:r>
        <w:rPr>
          <w:rFonts w:ascii="IRNazanin" w:hAnsi="IRNazanin" w:eastAsia="IRNazanin" w:cs="IRNazanin"/>
          <w:lang w:bidi="fa-IR"/>
          <w:color w:val="111111"/>
          <w:sz w:val="28"/>
          <w:szCs w:val="28"/>
          <w:rtl/>
        </w:rPr>
        <w:t xml:space="preserve">آغاز: بسمله. بسمه القدوس استختم و به استفتح و برسوله المسدد ... این درر منضده و غرر مرصده که زلال فصاحت از خلال سواد خطش عیان و آب حیوان با همه گوارایی؛ انجام: فانت حصنی و حصن الدهر قاطبة *** و كاشف الكرب مهما الغم يغريني</w:t>
      </w:r>
    </w:p>
    <w:p>
      <w:pPr>
        <w:pStyle w:val="BookText"/>
      </w:pPr>
      <w:r>
        <w:rPr>
          <w:rFonts w:ascii="IRNazanin" w:hAnsi="IRNazanin" w:eastAsia="IRNazanin" w:cs="IRNazanin"/>
          <w:lang w:bidi="fa-IR"/>
          <w:color w:val="111111"/>
          <w:sz w:val="28"/>
          <w:szCs w:val="28"/>
          <w:rtl/>
        </w:rPr>
        <w:t xml:space="preserve">قصیده نونیه ای است به عربی در مدح شاهزاده معزالدوله (عموی سلطان ...) از شاهزادگان قاجار با دیباچه ای به فارسی؛ خط: نسخ و نستعلیق، بی کا، تا: ق ۱۳ و ۱۴؛ مجدول مذهب؛ جلد: مقوا رویه کاغذ ابر و باد عطف و گوشه تیماج سبز، ۹ص (۲۰۹-۲۱۷)،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۲۲/۵سم [ف: ۴۴ - ۲۰۱]</w:t>
      </w:r>
    </w:p>
    <w:p>
      <w:pPr>
        <w:pStyle w:val="BookText"/>
      </w:pPr>
      <w:r>
        <w:rPr>
          <w:rFonts w:ascii="IRNazanin" w:hAnsi="IRNazanin" w:eastAsia="IRNazanin" w:cs="IRNazanin"/>
          <w:lang w:bidi="fa-IR"/>
          <w:color w:val="111111"/>
          <w:sz w:val="28"/>
          <w:szCs w:val="28"/>
          <w:rtl/>
        </w:rPr>
        <w:t xml:space="preserve">۵۹. مشهد؛ رضوی؛ شماره نسخه: ۹۳۸۱</w:t>
      </w:r>
    </w:p>
    <w:p>
      <w:pPr>
        <w:pStyle w:val="BookText"/>
      </w:pPr>
      <w:r>
        <w:rPr>
          <w:rFonts w:ascii="IRNazanin" w:hAnsi="IRNazanin" w:eastAsia="IRNazanin" w:cs="IRNazanin"/>
          <w:lang w:bidi="fa-IR"/>
          <w:color w:val="111111"/>
          <w:sz w:val="28"/>
          <w:szCs w:val="28"/>
          <w:rtl/>
        </w:rPr>
        <w:t xml:space="preserve">آغاز: من کلام میرزای وحدت زید عشقه. تا چند دلا بعقل نازی *** و زوی طلبی تو سرفرازی؛ انجام: دل گریان بدست آور دگر بار *** چو گل خواهی بچش نیش دم خار</w:t>
      </w:r>
    </w:p>
    <w:p>
      <w:pPr>
        <w:pStyle w:val="BookText"/>
      </w:pPr>
      <w:r>
        <w:rPr>
          <w:rFonts w:ascii="IRNazanin" w:hAnsi="IRNazanin" w:eastAsia="IRNazanin" w:cs="IRNazanin"/>
          <w:lang w:bidi="fa-IR"/>
          <w:color w:val="111111"/>
          <w:sz w:val="28"/>
          <w:szCs w:val="28"/>
          <w:rtl/>
        </w:rPr>
        <w:t xml:space="preserve">مشتمل است بر مثنویات و قصاید و غزلیات و رباعیات پراکنده از عرفای سلسله ذهبی و بعضی شعرای قدیم بفارسی و عربی و ترکی که فهرست اسامی ایشان عبارت است است: میرزای وحدت، ابوالقاسم فخار گوهری، آقا میرزا بابای حسینی شریفی شیرازی متخلص به راز،میرزای عشقی، فصیحی، آقا محمد هاشم،  رایض الدین اعجوبه زنجانی ،عزلتی، سعدی، آقا سید آقا، جلال الدين مجد الاشراف، حبیب الله خان نظامی تخلص، فضولی بغدادی، بابا طاهر عریان، شیخ نجیب الدین رضا، شاه قاسم انوار، میرزا علیخان سرتیپ، میرزا عبدالرحمن متخلص به بزغاله؛ خط: نستعليق ،كا: محيى الدين حسینی و حسین بن عبدالحمید، تا: ۱۱ صفر ۱۳۰۴ و غره رجب ۱۳۰۴؛ تحریر در متن و هامش؛ واقف: حاج شمس الدین پرویزی، شهریور ۱۳۴۴؛ کاغذ: سفید فرنگی آهار مهره، جلد: مقوایی عطف و گوشه پارچه ای، ۲۰۲گ، مختلف السطر، اندازه ۱۷/۵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 ۷ - ۲۹۵]</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تهران؛ دانشگاه؛ شماره نسخه: ۳۰۱۸</w:t>
      </w:r>
    </w:p>
    <w:p>
      <w:pPr>
        <w:pStyle w:val="BookText"/>
      </w:pPr>
      <w:r>
        <w:rPr>
          <w:rFonts w:ascii="IRNazanin" w:hAnsi="IRNazanin" w:eastAsia="IRNazanin" w:cs="IRNazanin"/>
          <w:lang w:bidi="fa-IR"/>
          <w:color w:val="111111"/>
          <w:sz w:val="28"/>
          <w:szCs w:val="28"/>
          <w:rtl/>
        </w:rPr>
        <w:t xml:space="preserve">مخزن القصائد است از شعرای مختلف همچون: ۱- گزیده ای از حدیقه سنایی (۱-۶۰)، ۲- گزیده ای از پنج گنج نظامی (۶۱-۷۱)، 3- گزیده ای از جام جم اوحدی (۷۳-۸۱)، ۴- گزیده ای از مثنوی مولوی (۸۳-۱۱۳)؛ نیز شعرهای: عطار، خسرو، عماد شهریاری ،سعد کل، بسطامی، امیر معزی، نظیری، حافظ،
</w:t>
      </w:r>
    </w:p>
    <w:p>
      <w:pPr>
        <w:sectPr>
          <w:footerReference w:type="default" r:id="rId9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ناصر خسرو و از روشنایی نامه او، شاه داعی، محمد غزالی (به عربی ص ۱۱۶)، جلال جعفری، شاه کبود جامه، سید محمد جـامه باف، همدمی جهرمی ،خواجوی کرمانی، امامی هروی، شـیخ آذری ،سنایی، سلمان ساوجی، کامی لاهیجی، اوحدالدین کرمانی، سعدالدین حموی، ظهیر فاریابی، نجم الدین زرکوب، خواجه انصاری ،ذواللسانین، ملای روم، امام احمد غزالی به فارسی (۱۳۱)، امرء القيس ابو طاهر بن یحیی ،نظامی، عبدالواسع پور حسینی متخلص به واسع به خط خود او (ص ۱۸۷) رشـید وطواط محيى الدين اعرابی، میر حسینی سادات، امیر خسـرو ،پرتوی، ابو سعید، نجم الدین کبری و از فوایح الجمال او به فارسی(ص150)، مجیر بیلقانی، شاه نعمة الله، عراقی، میر عبدالغنى (بلغه الله الى متمناه) (ص ۱۵۷) ، نظام استرابادی، سحابی، شرف شفروه، ملا مؤمن حسین یزدی (ادام الله بركاته) (1066) سید حسینی ،فردوسی ،مجد همگر، شیخ ابو سعید بزغش شیرازی، کمال اسماعیل، ادیب صابر، اوحدی سپاهانی، مسعود سعد شـیخ روزبهان، ابوشرف کرمانی، پهلوان احمد گوهران، عایشه سمرقندی، عایشه مصری هر دو به فارسی (ص ۲۰۶)، آصف، علامه دوانی ،فغانی، اهلی ،انوری، عصمت بخارایی، رودکی، سعید رستمی از «ده نامه شیخ» هم شعری آمده (ص ۸۱)،از مكاتيب قطبيه (ص ۱۳۸) از ویس ورامین ،(۱۷۳) ،فتحی فرزوق ،فقیر قاآنی ،قانع ،قمری ،کشوری کفاش ،گلشن کمال فارسی، کیوان، گواهی ،لعلی مداح شوشتری، مدهوش مخلص ،مستکین ،مشتاقی ،مشعوف ،مقرون ،مقیما ،منت، ملا مهر علی، نادم، ناصر خسرو ،ناصرالدین شاه ،نباتی ،ندیمی ،نظام، نور علی شاه، وامق ،وحدت ،هائب ،هاتف ،هجران ،هويدا ،يوسف ،يغما ؛خط: نستعلیق، بی کا، تا: ۵ جمادی الثانی ۱۳۰۵ق، مهر: کلب علی؛ کاغذ ،فرنگی ،جلد: مقوا، ۲۷۲گ، ۱۹ سطر (10/5</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۱۰ - ۱۹۵۸]</w:t>
      </w:r>
    </w:p>
    <w:p>
      <w:pPr>
        <w:pStyle w:val="BookText"/>
      </w:pPr>
      <w:r>
        <w:rPr>
          <w:rFonts w:ascii="IRNazanin" w:hAnsi="IRNazanin" w:eastAsia="IRNazanin" w:cs="IRNazanin"/>
          <w:lang w:bidi="fa-IR"/>
          <w:color w:val="111111"/>
          <w:sz w:val="28"/>
          <w:szCs w:val="28"/>
          <w:rtl/>
        </w:rPr>
        <w:t xml:space="preserve">۶۱. قم؛ مرکز احیاء؛ شماره نسخه: ۸۱۰</w:t>
      </w:r>
    </w:p>
    <w:p>
      <w:pPr>
        <w:pStyle w:val="BookText"/>
      </w:pPr>
      <w:r>
        <w:rPr>
          <w:rFonts w:ascii="IRNazanin" w:hAnsi="IRNazanin" w:eastAsia="IRNazanin" w:cs="IRNazanin"/>
          <w:lang w:bidi="fa-IR"/>
          <w:color w:val="111111"/>
          <w:sz w:val="28"/>
          <w:szCs w:val="28"/>
          <w:rtl/>
        </w:rPr>
        <w:t xml:space="preserve">در این جنگ قصیده عینیه سید حمیری در مدح حضرت المؤمنين (علیه السّلام) (لأم عمرو باللوى مربع)، و پنجاه و سه بند در مرثیه از سروش شاعر عصر ناصرالدین شاه قاجار، و در دو مسدس میرزا مداح شوشتری در مدح حضرت امیر، و مخمسی در مدح  آن حضرت؛ خط: نستعلیق، بی کا، تا: ۱۲ جمادی الاول ۱۳۰۶ق، تهران؛ کاغذ: رنگ آبی ،جلد: پارچه قرمز ،۳۵گ، مختلف السطر،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۳ - ۲۰]</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یزد؛ وزیری؛ شماره نسخه: ۴۰۰۸</w:t>
      </w:r>
    </w:p>
    <w:p>
      <w:pPr>
        <w:pStyle w:val="BookText"/>
      </w:pPr>
      <w:r>
        <w:rPr>
          <w:rFonts w:ascii="IRNazanin" w:hAnsi="IRNazanin" w:eastAsia="IRNazanin" w:cs="IRNazanin"/>
          <w:lang w:bidi="fa-IR"/>
          <w:color w:val="111111"/>
          <w:sz w:val="28"/>
          <w:szCs w:val="28"/>
          <w:rtl/>
        </w:rPr>
        <w:t xml:space="preserve">جنگ اشعار است؛ بی کا، تا: ۱۳۱۲ق [نشریه: ۱۳ – ۳۵۴]</w:t>
      </w:r>
    </w:p>
    <w:p>
      <w:pPr>
        <w:pStyle w:val="BookText"/>
      </w:pPr>
      <w:r>
        <w:rPr>
          <w:rFonts w:ascii="IRNazanin" w:hAnsi="IRNazanin" w:eastAsia="IRNazanin" w:cs="IRNazanin"/>
          <w:lang w:bidi="fa-IR"/>
          <w:color w:val="111111"/>
          <w:sz w:val="28"/>
          <w:szCs w:val="28"/>
          <w:rtl/>
        </w:rPr>
        <w:t xml:space="preserve">۶۳ .تهران؛ ملی؛ شماره نسخه: ۱۲۴۷/۴</w:t>
      </w:r>
    </w:p>
    <w:p>
      <w:pPr>
        <w:pStyle w:val="BookText"/>
      </w:pPr>
      <w:r>
        <w:rPr>
          <w:rFonts w:ascii="IRNazanin" w:hAnsi="IRNazanin" w:eastAsia="IRNazanin" w:cs="IRNazanin"/>
          <w:lang w:bidi="fa-IR"/>
          <w:color w:val="111111"/>
          <w:sz w:val="28"/>
          <w:szCs w:val="28"/>
          <w:rtl/>
        </w:rPr>
        <w:t xml:space="preserve">حاوی قطعاتی از اشعار عربی و فارسی است و اشعار عربی  آن را از شاعران معروف عرب می باشد در بین اشعار مندرج در جنـگ شعرهایی از حسینعلی متخلص به «سها» و نیز دو نامه یکی به عربی از سها آمده است و باز شعرهایی از علی الحسينى (شايد ثاقب) و سپس اشعاری از میرزا عبدالغفار قزوینی متخلص به صوفی و باز اشعاری محتملاً از ثاقب می باشد، ابیاتی غالباً تک بیتی (ص ۲۷۴- ۲۹۱)، چند قصیده و قطعه در مدح صدراعظم ناصرالدین شاه (۱۹۱ - ۳۰۰) قطعات و قصاید و رباعی و تک بیتیهایی در مناقب ناصر الدین شاه و وزیر او و چند تن از رجال درباری و نیز ماده تاریخ فوت بعضی از زعماء (۳۰۰-۳۴۹)؛ خط: شکسته نستعلیق، كا: على الحسينى متخلص ثاقب، تا: ۱۳۱۲ق؛ کاغذ: فرنگی، جلد: تیماج قرمز با ترنج و نیم ترنج کوبیده، مقوایی، ۳۱۱گ، ۱۰ سطر (۷/۵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۳ - ۳۰۱  ]</w:t>
      </w:r>
    </w:p>
    <w:p>
      <w:pPr>
        <w:pStyle w:val="BookText"/>
      </w:pPr>
      <w:r>
        <w:rPr>
          <w:rFonts w:ascii="IRNazanin" w:hAnsi="IRNazanin" w:eastAsia="IRNazanin" w:cs="IRNazanin"/>
          <w:lang w:bidi="fa-IR"/>
          <w:color w:val="111111"/>
          <w:sz w:val="28"/>
          <w:szCs w:val="28"/>
          <w:rtl/>
        </w:rPr>
        <w:t xml:space="preserve">۶۴. تهران؛ ملی؛ شماره نسخه: ۱۲۴۷/۲</w:t>
      </w:r>
    </w:p>
    <w:p>
      <w:pPr>
        <w:pStyle w:val="BookText"/>
      </w:pPr>
      <w:r>
        <w:rPr>
          <w:rFonts w:ascii="IRNazanin" w:hAnsi="IRNazanin" w:eastAsia="IRNazanin" w:cs="IRNazanin"/>
          <w:lang w:bidi="fa-IR"/>
          <w:color w:val="111111"/>
          <w:sz w:val="28"/>
          <w:szCs w:val="28"/>
          <w:rtl/>
        </w:rPr>
        <w:t xml:space="preserve">این جنگ با اشعار تک بیتی یا دوبیتی عربی بیتی یا دوبیتی عربی آغاز می شود و گهگاه حاوی ابیات فارسی نیز می باشد از صفحه ۱۲۳ تا به آخر آن قطعاتی از شاعری است که نام او از اشعار به دست نیامد، این اشعار در فنون ادبی و قسمتی در آداب حرب و شمه ای در تاریخ است؛ خط: شکسته نستعلیق ،كا: على حسینی متخلص ثاقب، تا: ۱۳۱۲ق؛ كاغذ: فرنگی ،جلد: تیماج قرمز، ترنج و نیم ترنج، کوبیده ،مقوایی ابعاد متن: ۷/۵۸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 ۳۱۱گ، ۱۰ 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٣ - ٣٠٠]</w:t>
      </w:r>
    </w:p>
    <w:p>
      <w:pPr>
        <w:pStyle w:val="BookText"/>
      </w:pPr>
      <w:r>
        <w:rPr>
          <w:rFonts w:ascii="IRNazanin" w:hAnsi="IRNazanin" w:eastAsia="IRNazanin" w:cs="IRNazanin"/>
          <w:lang w:bidi="fa-IR"/>
          <w:color w:val="111111"/>
          <w:sz w:val="28"/>
          <w:szCs w:val="28"/>
          <w:rtl/>
        </w:rPr>
        <w:t xml:space="preserve">۶۵. مشهد؛ رضوی؛ شماره نسخه: ۱۲۹۲۵</w:t>
      </w:r>
    </w:p>
    <w:p>
      <w:pPr>
        <w:pStyle w:val="BookText"/>
      </w:pPr>
      <w:r>
        <w:rPr>
          <w:rFonts w:ascii="IRNazanin" w:hAnsi="IRNazanin" w:eastAsia="IRNazanin" w:cs="IRNazanin"/>
          <w:lang w:bidi="fa-IR"/>
          <w:color w:val="111111"/>
          <w:sz w:val="28"/>
          <w:szCs w:val="28"/>
          <w:rtl/>
        </w:rPr>
        <w:t xml:space="preserve">آغاز: دیباچه، شغل نگارنده این سطور یا صاحب این کتابچه مستلزم مسافرت دائمی... انسان لا محاله باید زندگانی کند؛</w:t>
      </w:r>
    </w:p>
    <w:p>
      <w:pPr>
        <w:pStyle w:val="BookText"/>
      </w:pPr>
      <w:r>
        <w:rPr>
          <w:rFonts w:ascii="IRNazanin" w:hAnsi="IRNazanin" w:eastAsia="IRNazanin" w:cs="IRNazanin"/>
          <w:lang w:bidi="fa-IR"/>
          <w:color w:val="111111"/>
          <w:sz w:val="28"/>
          <w:szCs w:val="28"/>
          <w:rtl/>
        </w:rPr>
        <w:t xml:space="preserve">انجام: در نظام انفرادی و اجتماعی معاش و معاد دین و دنیا نجات يابيد و السلام على من اتبع الهدى .... میرزا على الاصفهاني.</w:t>
      </w:r>
    </w:p>
    <w:p>
      <w:pPr>
        <w:pStyle w:val="BookText"/>
      </w:pPr>
      <w:r>
        <w:rPr>
          <w:rFonts w:ascii="IRNazanin" w:hAnsi="IRNazanin" w:eastAsia="IRNazanin" w:cs="IRNazanin"/>
          <w:lang w:bidi="fa-IR"/>
          <w:color w:val="111111"/>
          <w:sz w:val="28"/>
          <w:szCs w:val="28"/>
          <w:rtl/>
        </w:rPr>
        <w:t xml:space="preserve">مجموعه ای است از اشعار و مطالب اخلاقی متفرقه به فارسی و عربی بعضاً دستخط رجال علمی ادبی معاصر حسین کی استوان، که ایشان در حین مسافرت و ملاقات هایی که از سال ۱۳۱۵ تا ۱۳۶۲ با آنها داشته تهیه و جمع آوری نموده است. در دیباچه می گوید: «در طول اقامت شهرستانها بزرگان و دانشمندان و شعرا و مردان با تقوایی را ملاقات و از فیض حضورشان بهره مند گردیدم ...  بهر حال دریغم آمد که از این مجالستها برای زندگانی خود سرمشق و دستوری نگیرم» بعضی از این افراد که در این دفتر، نوشته و اشعاری به یادگار گذاشته اند عبارتند از: محمد جواد بن محمد تقی متخلص به افسر الشعراء خوانساری (غزلیات، قصیده و مخمس)، كيهان (غزلیات)، غزلیاتی از حجة الاسلام محمد جواد صافی گلپایگانی متخلص به «صافی» منقول از کتاب گنجینه گوهر و ترجمه کلمات عبر و بحر اللئالى و الدرر في مدايح الامام الثانی عشر، غزلیاتی نیز از لطف الله صافی گلپایگانی با تخلص «لطفی» فرزند محمد جواد صافی گلپایگانی، رباعیات و غزلیاتی از علی صافی گلپایگانی متخلص به «صفا»، غزلیاتی از محسن زند وکیلی متخلص به «کاوه» با عناوین «ضحاک دل»، «تاراج آذر» «شاهد قدسی» «خاک پا»، غزلی از اسدالله سهیلی گلپایگانی ؛خط: نستعلیق  تحریری، کا: حسین کی استوان، تا: ۱۳۶۱ق، واقف: حسین کی استوان، آبان ماه ۱۳۴۸؛ کاغذ: مشقی،
</w:t>
      </w:r>
    </w:p>
    <w:p>
      <w:pPr>
        <w:sectPr>
          <w:footerReference w:type="default" r:id="rId9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جلد: مقوایی، ۲۹گ، مختلف السطر،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۲۱/۶سم [ف: 17- 334]</w:t>
      </w:r>
    </w:p>
    <w:p>
      <w:pPr>
        <w:pStyle w:val="BookText"/>
      </w:pPr>
      <w:r>
        <w:rPr>
          <w:rFonts w:ascii="IRNazanin" w:hAnsi="IRNazanin" w:eastAsia="IRNazanin" w:cs="IRNazanin"/>
          <w:lang w:bidi="fa-IR"/>
          <w:color w:val="111111"/>
          <w:sz w:val="28"/>
          <w:szCs w:val="28"/>
          <w:rtl/>
        </w:rPr>
        <w:t xml:space="preserve">۶۶. قم؛ گلپایگانی؛ شماره نسخه: ۹۱۷۸-۶۰/۱۱۸</w:t>
      </w:r>
    </w:p>
    <w:p>
      <w:pPr>
        <w:pStyle w:val="BookText"/>
      </w:pPr>
      <w:r>
        <w:rPr>
          <w:rFonts w:ascii="IRNazanin" w:hAnsi="IRNazanin" w:eastAsia="IRNazanin" w:cs="IRNazanin"/>
          <w:lang w:bidi="fa-IR"/>
          <w:color w:val="111111"/>
          <w:sz w:val="28"/>
          <w:szCs w:val="28"/>
          <w:rtl/>
        </w:rPr>
        <w:t xml:space="preserve">آغاز: رمضان قیل انما سمى رمضان لمصادفته ... بعد ازآنکه امام حسن فرستادند عقب نعمان جراح آمد وارد خانه شد؛ انجـام: لباس کهنه بپوشید زیر پیرهنی مگر که نکند خصم بد منش ز تنش / لباس کهنه چه حاجت که زیر سم ستور *** تنی نماند که پوسد جامه یا کفنش</w:t>
      </w:r>
    </w:p>
    <w:p>
      <w:pPr>
        <w:pStyle w:val="BookText"/>
      </w:pPr>
      <w:r>
        <w:rPr>
          <w:rFonts w:ascii="IRNazanin" w:hAnsi="IRNazanin" w:eastAsia="IRNazanin" w:cs="IRNazanin"/>
          <w:lang w:bidi="fa-IR"/>
          <w:color w:val="111111"/>
          <w:sz w:val="28"/>
          <w:szCs w:val="28"/>
          <w:rtl/>
        </w:rPr>
        <w:t xml:space="preserve">مراثی است به نظم مناسب سینه زنی و نوحه سرایی در مجالس عزاداری امام حسین؛ خط: نسخ، بی کا، بی تا؛ ۳۲گ،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۷ - ۴۲۶۶]</w:t>
      </w:r>
    </w:p>
    <w:p>
      <w:pPr>
        <w:pStyle w:val="BookText"/>
      </w:pPr>
      <w:r>
        <w:rPr>
          <w:rFonts w:ascii="IRNazanin" w:hAnsi="IRNazanin" w:eastAsia="IRNazanin" w:cs="IRNazanin"/>
          <w:lang w:bidi="fa-IR"/>
          <w:color w:val="111111"/>
          <w:sz w:val="28"/>
          <w:szCs w:val="28"/>
          <w:rtl/>
        </w:rPr>
        <w:t xml:space="preserve">۶۷. تهران؛ مجلس؛ شماره نسخه: ۱۳۵۶۹/۱۵</w:t>
      </w:r>
    </w:p>
    <w:p>
      <w:pPr>
        <w:pStyle w:val="BookText"/>
      </w:pPr>
      <w:r>
        <w:rPr>
          <w:rFonts w:ascii="IRNazanin" w:hAnsi="IRNazanin" w:eastAsia="IRNazanin" w:cs="IRNazanin"/>
          <w:lang w:bidi="fa-IR"/>
          <w:color w:val="111111"/>
          <w:sz w:val="28"/>
          <w:szCs w:val="28"/>
          <w:rtl/>
        </w:rPr>
        <w:t xml:space="preserve">چند قطعه از ابوسعید و شهاب سهروردی و چند قصیده از کوثر،چند قطعه دو یا سه بیتی که برخی از آنها در اصفهان ۱۲۳۸به نقـل از «عرائس التفسير» کتابت شده است؛ بی کا،بی تا ؛جلد: تیماج قهوه ای، عطف تیماج، ۶ ص (۸۴-۹۰) ،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[ف:37- 74]</w:t>
      </w:r>
    </w:p>
    <w:p>
      <w:pPr>
        <w:pStyle w:val="BookText"/>
      </w:pPr>
      <w:r>
        <w:rPr>
          <w:rFonts w:ascii="IRNazanin" w:hAnsi="IRNazanin" w:eastAsia="IRNazanin" w:cs="IRNazanin"/>
          <w:lang w:bidi="fa-IR"/>
          <w:color w:val="111111"/>
          <w:sz w:val="28"/>
          <w:szCs w:val="28"/>
          <w:rtl/>
        </w:rPr>
        <w:t xml:space="preserve">۶۸. تهران؛ سلطنتی؛ شماره نسخه: ۲۲۶۷</w:t>
      </w:r>
    </w:p>
    <w:p>
      <w:pPr>
        <w:pStyle w:val="BookText"/>
      </w:pPr>
      <w:r>
        <w:rPr>
          <w:rFonts w:ascii="IRNazanin" w:hAnsi="IRNazanin" w:eastAsia="IRNazanin" w:cs="IRNazanin"/>
          <w:lang w:bidi="fa-IR"/>
          <w:color w:val="111111"/>
          <w:sz w:val="28"/>
          <w:szCs w:val="28"/>
          <w:rtl/>
        </w:rPr>
        <w:t xml:space="preserve">آغاز: بسمله. شهر شعبان برسید ای مه خورشید مثال *** ماهی آمد که بود فخر شهور از هر سال؛ انجام: عمر بگذشت ز هفتاد وتن از کار فتاد*** این جهان نام نکو باید و آن عالم زاد / لیک از این مرصله خورسندم زین وادی شاد *** دستگیری کند امروز زمن خسرو راد *** نگذارد شوم از گردش گردون پامال. ايضا خاتمه قصيده بزبان عربی: اعاذ الله من عين تصاب بها *** فكل لمح  منالحساد منك عمی</w:t>
      </w:r>
    </w:p>
    <w:p>
      <w:pPr>
        <w:pStyle w:val="BookText"/>
      </w:pPr>
      <w:r>
        <w:rPr>
          <w:rFonts w:ascii="IRNazanin" w:hAnsi="IRNazanin" w:eastAsia="IRNazanin" w:cs="IRNazanin"/>
          <w:lang w:bidi="fa-IR"/>
          <w:color w:val="111111"/>
          <w:sz w:val="28"/>
          <w:szCs w:val="28"/>
          <w:rtl/>
        </w:rPr>
        <w:t xml:space="preserve">مشتمل است بر یک مخمس و یک قصیده عربی درمدح مظفر الدین شاه قاجار که سراینده آن به مناسبت میلاد حضرت سید الشهداء (علیه السّلام) سروده و در ضمن مراتب خدمتگذاری استدعای عطف توجه کرده است؛ خط: نسخ و نستعلیق، بی کا، بی تا؛ پشـت صفحه اول: «از جمله کتب انبار خوضخانه است» ؛کاغذ: فرنگی کبود رنگ، جلد: مقوای روکش مخمل  نیلی، ۱۲ص، ۱۴ سـطر ،قطع: ربعی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۴ - ۹۸۰]</w:t>
      </w:r>
    </w:p>
    <w:p>
      <w:pPr>
        <w:pStyle w:val="BookText"/>
      </w:pPr>
      <w:r>
        <w:rPr>
          <w:rFonts w:ascii="IRNazanin" w:hAnsi="IRNazanin" w:eastAsia="IRNazanin" w:cs="IRNazanin"/>
          <w:lang w:bidi="fa-IR"/>
          <w:color w:val="111111"/>
          <w:sz w:val="28"/>
          <w:szCs w:val="28"/>
          <w:rtl/>
        </w:rPr>
        <w:t xml:space="preserve">۶۹. تهران؛ سلطنتی؛ شماره نسخه: ۱۸۳۸</w:t>
      </w:r>
    </w:p>
    <w:p>
      <w:pPr>
        <w:pStyle w:val="BookText"/>
      </w:pPr>
      <w:r>
        <w:rPr>
          <w:rFonts w:ascii="IRNazanin" w:hAnsi="IRNazanin" w:eastAsia="IRNazanin" w:cs="IRNazanin"/>
          <w:lang w:bidi="fa-IR"/>
          <w:color w:val="111111"/>
          <w:sz w:val="28"/>
          <w:szCs w:val="28"/>
          <w:rtl/>
        </w:rPr>
        <w:t xml:space="preserve">آغاز: بسمله ... و بعد فقد قال الله سبحانه و تعالی یا ایها ارسول بلغ ما انزل اليك من ربك في على و ان لم تفعل فما بلغت رسالته... الی آخر. سلام على سلطان ملك الولاية *** سلام على اركان الخلافه / سلام على مرات ذات الهنا *** سلام على كنز الصفـات الخفیة... و اسئل الله بمولانا على *** ان يجعل الوفى مع سلمان/ حمد خدا را که ذات اوست تعالی*** شکر خدا را که بالصفـات تجلی ... هر که علی ذکر و فکر اوست دمادم *** یافت بلا شـبهه خیر دینی و عقبی / ذکر وفی یا علی مدام و دلیلش *** باطن تاويل حكم ناد عليا؛ انجام: هو العلى الاعلى. ولايتي لعلى روح ایمانی *** ولا تفارقنى اذ فات جثمانی / فكيف احرق بالنيران و هی معى *** اتحرق النار من فى بحر عماني</w:t>
      </w:r>
    </w:p>
    <w:p>
      <w:pPr>
        <w:pStyle w:val="BookText"/>
      </w:pPr>
      <w:r>
        <w:rPr>
          <w:rFonts w:ascii="IRNazanin" w:hAnsi="IRNazanin" w:eastAsia="IRNazanin" w:cs="IRNazanin"/>
          <w:lang w:bidi="fa-IR"/>
          <w:color w:val="111111"/>
          <w:sz w:val="28"/>
          <w:szCs w:val="28"/>
          <w:rtl/>
        </w:rPr>
        <w:t xml:space="preserve">مجموعه ای است از قصاید به فارسی و عربی در حمد و توحید،در جبر و اختیار، در مدیح و مناقب حضرت رسول اکرم (صلّی اللَّهِ علیه وَ آلِهِ وَ سَلَّمَ )،  در تایید و تاکید ولایت حضرت امیر المومنين على عليه السلام؛ در مطلع و در مقطع اشعار نام «وفی» مشاهده می شود: «منت خدای را که وفی را شریف کرد *** و ز مهر مرتضی دل پاکش لطیف کرد/ هان ای وفى بحكم فحدث مدام گو *** منت خدای را که وفی را شریف کرد»، مطلع قصیده به زبان عربی در جبر و اختیار:«ايها المغرور جهلا با دعاء الاختيار *** ليس للعبد اختیار و ماله الاغترار / انما المختار ذات الواجب الحي القديم *** اختيار الممكن المحتاج محض الاعتبار / واجب بالذات فالامكان عين الافتقار»؛ خط: نسخ و ثلث، بی کا، تا؛ احتمالاً اواخر قرن ۱۳؛ پشت صفحه اول نوشته شده:« از کتب انبار حوضخانه است»، مجدول مضاعف، دارای کمند زرین و رنگین، دارای دو کتیبه مذهب مرصع بسیار خوب، دارای شصت کتیبه مزین به حل کاری؛ کاغذ: فرنگی دولا آهار مهره، جلد: مقوای روکش تیماج لاکی مجدول و کمند طلایی و سه ترنج مذهب در وسط و چهار گل ترنج در حاشیه ۱۰۵ ص، ۵-۱۲ سطر، قطع: سلطانی،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۳۵سم [ف: ۷ - ۵۹۸]</w:t>
      </w:r>
    </w:p>
    <w:p>
      <w:pPr>
        <w:pStyle w:val="BookText"/>
      </w:pPr>
      <w:r>
        <w:rPr>
          <w:rFonts w:ascii="IRNazanin" w:hAnsi="IRNazanin" w:eastAsia="IRNazanin" w:cs="IRNazanin"/>
          <w:lang w:bidi="fa-IR"/>
          <w:color w:val="111111"/>
          <w:sz w:val="28"/>
          <w:szCs w:val="28"/>
          <w:rtl/>
        </w:rPr>
        <w:t xml:space="preserve">۷۰. تهران؛ ملی؛ شماره نسخه: ۱۸۳۷۳</w:t>
      </w:r>
    </w:p>
    <w:p>
      <w:pPr>
        <w:pStyle w:val="BookText"/>
      </w:pPr>
      <w:r>
        <w:rPr>
          <w:rFonts w:ascii="IRNazanin" w:hAnsi="IRNazanin" w:eastAsia="IRNazanin" w:cs="IRNazanin"/>
          <w:lang w:bidi="fa-IR"/>
          <w:color w:val="111111"/>
          <w:sz w:val="28"/>
          <w:szCs w:val="28"/>
          <w:rtl/>
        </w:rPr>
        <w:t xml:space="preserve">مناجات امیر مومنان به نظم؛ بی کا، بی تا؛ انتقالی از کتابخانه پهلوی - مجموعه نوازی؛ ۱۰گ، اندازه: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[رایانه]</w:t>
      </w:r>
    </w:p>
    <w:p>
      <w:pPr>
        <w:pStyle w:val="BookText"/>
      </w:pPr>
      <w:r>
        <w:rPr>
          <w:rFonts w:ascii="IRNazanin" w:hAnsi="IRNazanin" w:eastAsia="IRNazanin" w:cs="IRNazanin"/>
          <w:lang w:bidi="fa-IR"/>
          <w:color w:val="111111"/>
          <w:sz w:val="28"/>
          <w:szCs w:val="28"/>
          <w:rtl/>
        </w:rPr>
        <w:t xml:space="preserve">۷۱. تهران؛ ملک ؛شماره نسخه :۲۹۰۹/۱۲</w:t>
      </w:r>
    </w:p>
    <w:p>
      <w:pPr>
        <w:pStyle w:val="BookText"/>
      </w:pPr>
      <w:r>
        <w:rPr>
          <w:rFonts w:ascii="IRNazanin" w:hAnsi="IRNazanin" w:eastAsia="IRNazanin" w:cs="IRNazanin"/>
          <w:lang w:bidi="fa-IR"/>
          <w:color w:val="111111"/>
          <w:sz w:val="28"/>
          <w:szCs w:val="28"/>
          <w:rtl/>
        </w:rPr>
        <w:t xml:space="preserve">اشعار و قصائد: از خاقانی ،ابوالعلاء معری، صاحب معالم الدين في الاصول، و دیگران؛ خط: نسخ، بی کا، بی تا [ف: ۶ - ۱۶۲]</w:t>
      </w:r>
    </w:p>
    <w:p>
      <w:pPr>
        <w:pStyle w:val="BookText"/>
      </w:pPr>
      <w:r>
        <w:rPr>
          <w:rFonts w:ascii="IRNazanin" w:hAnsi="IRNazanin" w:eastAsia="IRNazanin" w:cs="IRNazanin"/>
          <w:lang w:bidi="fa-IR"/>
          <w:color w:val="111111"/>
          <w:sz w:val="28"/>
          <w:szCs w:val="28"/>
          <w:rtl/>
        </w:rPr>
        <w:t xml:space="preserve">۷۲. تهران؛ دانشگاه؛ شماره نسخه: ۷۶۲۹/۲</w:t>
      </w:r>
    </w:p>
    <w:p>
      <w:pPr>
        <w:pStyle w:val="BookText"/>
      </w:pPr>
      <w:r>
        <w:rPr>
          <w:rFonts w:ascii="IRNazanin" w:hAnsi="IRNazanin" w:eastAsia="IRNazanin" w:cs="IRNazanin"/>
          <w:lang w:bidi="fa-IR"/>
          <w:color w:val="111111"/>
          <w:sz w:val="28"/>
          <w:szCs w:val="28"/>
          <w:rtl/>
        </w:rPr>
        <w:t xml:space="preserve">شامل: شعرهای عبدالکریم بن محمد تقی و برادرش صالح، رباعیات ومثنوی (فارسی) «قبالا للقائم مقام در ربیع الثانی ۱۳۰۳» قصيده فارسی در ۱۲۹۹، اشعار برای سیف الدوله (به عربی) ،در ستایش حضرت رضا (فارسی) و حضرت امام حسین و علی (علیه السّلام) و شعرهای سید رضی و عمروبن كلثوم ، رثاء حسین (علیه السّلام) (به عربی) اشعار در ستایش سهام الدوله در ۱۳۰۴، نامه صالح به سید احمد بار فروشی در ۱۳۰۸ با اصطلاحات الفاظ اصول، اشعار در ستایش دو برادر به یکدیگر (گ ۴۱) شعر از متنبی، برای علم الهدی، در رثاء و ستایش امام حسین (گ ۴۰) ؛بی کا، بی تا؛ کاغذ: فرنگی کبود، جلد: تیماج مشکی، ۱۷گ (۲۴-۴۱)، ۱۹ سطر (9</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قطع: بغلی،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 ۱۶ - ۶۵۹]</w:t>
      </w:r>
    </w:p>
    <w:p>
      <w:pPr>
        <w:pStyle w:val="BookText"/>
      </w:pPr>
      <w:r>
        <w:rPr>
          <w:rFonts w:ascii="IRNazanin" w:hAnsi="IRNazanin" w:eastAsia="IRNazanin" w:cs="IRNazanin"/>
          <w:lang w:bidi="fa-IR"/>
          <w:color w:val="111111"/>
          <w:sz w:val="28"/>
          <w:szCs w:val="28"/>
          <w:rtl/>
        </w:rPr>
        <w:t xml:space="preserve">73.مشهد مرتضوی؛ شماره نسخه :بدون شماره</w:t>
      </w:r>
    </w:p>
    <w:p>
      <w:pPr>
        <w:pStyle w:val="BookText"/>
      </w:pPr>
      <w:r>
        <w:rPr>
          <w:rFonts w:ascii="IRNazanin" w:hAnsi="IRNazanin" w:eastAsia="IRNazanin" w:cs="IRNazanin"/>
          <w:lang w:bidi="fa-IR"/>
          <w:color w:val="111111"/>
          <w:sz w:val="28"/>
          <w:szCs w:val="28"/>
          <w:rtl/>
        </w:rPr>
        <w:t xml:space="preserve">فوائد و اشعار مختلف فارسی و عربی است بدون نظم خاص؛بی کا، بی تا [ف: مخ - 29]</w:t>
      </w:r>
    </w:p>
    <w:p>
      <w:pPr>
        <w:pStyle w:val="BookText"/>
      </w:pPr>
      <w:r>
        <w:rPr>
          <w:rFonts w:ascii="IRNazanin" w:hAnsi="IRNazanin" w:eastAsia="IRNazanin" w:cs="IRNazanin"/>
          <w:lang w:bidi="fa-IR"/>
          <w:color w:val="111111"/>
          <w:sz w:val="28"/>
          <w:szCs w:val="28"/>
          <w:rtl/>
        </w:rPr>
        <w:t xml:space="preserve">۷۴ . قم؛ مسجد اعظم؛ شماره نسخه: ۸۹۸/۵</w:t>
      </w:r>
    </w:p>
    <w:p>
      <w:pPr>
        <w:pStyle w:val="BookText"/>
      </w:pPr>
      <w:r>
        <w:rPr>
          <w:rFonts w:ascii="IRNazanin" w:hAnsi="IRNazanin" w:eastAsia="IRNazanin" w:cs="IRNazanin"/>
          <w:lang w:bidi="fa-IR"/>
          <w:color w:val="111111"/>
          <w:sz w:val="28"/>
          <w:szCs w:val="28"/>
          <w:rtl/>
        </w:rPr>
        <w:t xml:space="preserve">آغاز: اخلاء الرجال هم كثير *** ولكن في الشدائد هم قليل /  فلا يغررك خله [من تواخی] فمالك عنه نائبة خليل؛ انجام:
</w:t>
      </w:r>
    </w:p>
    <w:p>
      <w:pPr>
        <w:sectPr>
          <w:footerReference w:type="default" r:id="rId9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وللزنبور والبازى جميعاً ***لدى الطيران اجنحة وخفق / ولكن بین ما يصطاده باز *** وما يصطاده الزنبور فرق</w:t>
      </w:r>
    </w:p>
    <w:p>
      <w:pPr>
        <w:pStyle w:val="BookText"/>
      </w:pPr>
      <w:r>
        <w:rPr>
          <w:rFonts w:ascii="IRNazanin" w:hAnsi="IRNazanin" w:eastAsia="IRNazanin" w:cs="IRNazanin"/>
          <w:lang w:bidi="fa-IR"/>
          <w:color w:val="111111"/>
          <w:sz w:val="28"/>
          <w:szCs w:val="28"/>
          <w:rtl/>
        </w:rPr>
        <w:t xml:space="preserve">مجموعه ای از اشعار عربی و فارسی از سید رضی ،علامه، ترجـیح بند درویش شیرازی ،قاآنی ،مشتاق ،سنایی، امیر خسرو، سعدی، اشعاری در مدح مولا امیرالمؤمنین علی (علیه السّلام) از جمله با ترجیع بند «بلغ العلى بكماله*** كشف الدجى بجماله» و دیگران؛ خـط: نستعلیق، بی کا، بی تا؛ جلد: مقوا عطف تیماج قهوه ای، ۶۳ گ،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مخ: ۲ - ۶۰۹]</w:t>
      </w:r>
    </w:p>
    <w:p>
      <w:pPr>
        <w:pStyle w:val="BookText"/>
      </w:pPr>
      <w:r>
        <w:rPr>
          <w:rFonts w:ascii="IRNazanin" w:hAnsi="IRNazanin" w:eastAsia="IRNazanin" w:cs="IRNazanin"/>
          <w:lang w:bidi="fa-IR"/>
          <w:color w:val="111111"/>
          <w:sz w:val="28"/>
          <w:szCs w:val="28"/>
          <w:rtl/>
        </w:rPr>
        <w:t xml:space="preserve">۷۵. تهران؛ دانشگاه؛ شماره نسخه: ۲۶۷/۱-ف</w:t>
      </w:r>
    </w:p>
    <w:p>
      <w:pPr>
        <w:pStyle w:val="BookText"/>
      </w:pPr>
      <w:r>
        <w:rPr>
          <w:rFonts w:ascii="IRNazanin" w:hAnsi="IRNazanin" w:eastAsia="IRNazanin" w:cs="IRNazanin"/>
          <w:lang w:bidi="fa-IR"/>
          <w:color w:val="111111"/>
          <w:sz w:val="28"/>
          <w:szCs w:val="28"/>
          <w:rtl/>
        </w:rPr>
        <w:t xml:space="preserve">نسخه اصل: کتابخانه پروفسور مکرمین بن خليل بن الالبستانی.</w:t>
      </w:r>
    </w:p>
    <w:p>
      <w:pPr>
        <w:pStyle w:val="BookText"/>
      </w:pPr>
      <w:r>
        <w:rPr>
          <w:rFonts w:ascii="IRNazanin" w:hAnsi="IRNazanin" w:eastAsia="IRNazanin" w:cs="IRNazanin"/>
          <w:lang w:bidi="fa-IR"/>
          <w:color w:val="111111"/>
          <w:sz w:val="28"/>
          <w:szCs w:val="28"/>
          <w:rtl/>
        </w:rPr>
        <w:t xml:space="preserve">شعرهای فارسی و عربی از جمال الدین عبدالرزاق، امیر خسـرو دهلوی ،خواجو ،نظامی، فردوسی (شاهنامه در هامش)، عطـار ،انوری ،ابونواس، ملک اخستان، ابن یمین، سیف الدین اعرج، خاقانی، سعدی، رکن گرجی، منوچهری، واواء دمشقی، مجنون، قاضی نظام الدین (به عربی)، سید عضدصراف، قشیری (بعربی)، عماد فقيه، جلال طبیب، مجد همگر، اثیر اخسیکشی، کمـال اسدی، ابن سکره، اوحدی اصفهانی، کافی همدانی، قاضی نعمـانی</w:t>
      </w:r>
    </w:p>
    <w:p>
      <w:pPr>
        <w:pStyle w:val="BookText"/>
      </w:pPr>
      <w:r>
        <w:rPr>
          <w:rFonts w:ascii="IRNazanin" w:hAnsi="IRNazanin" w:eastAsia="IRNazanin" w:cs="IRNazanin"/>
          <w:lang w:bidi="fa-IR"/>
          <w:color w:val="111111"/>
          <w:sz w:val="28"/>
          <w:szCs w:val="28"/>
          <w:rtl/>
        </w:rPr>
        <w:t xml:space="preserve">(بعربی) ،خواجه سلمان، شاه خوافی، با حکایتی منثور؛ خط: نسـخ، بی کا، بی تا[فیلمها: ۱- ۴۴۵]</w:t>
      </w:r>
    </w:p>
    <w:p>
      <w:pPr>
        <w:pStyle w:val="BookText"/>
      </w:pPr>
      <w:r>
        <w:rPr>
          <w:rFonts w:ascii="IRNazanin" w:hAnsi="IRNazanin" w:eastAsia="IRNazanin" w:cs="IRNazanin"/>
          <w:lang w:bidi="fa-IR"/>
          <w:color w:val="111111"/>
          <w:sz w:val="28"/>
          <w:szCs w:val="28"/>
          <w:rtl/>
        </w:rPr>
        <w:t xml:space="preserve">۷۶. یزد؛ وزیری؛ شماره نسخه: ۴۳۱۷</w:t>
      </w:r>
    </w:p>
    <w:p>
      <w:pPr>
        <w:pStyle w:val="BookText"/>
      </w:pPr>
      <w:r>
        <w:rPr>
          <w:rFonts w:ascii="IRNazanin" w:hAnsi="IRNazanin" w:eastAsia="IRNazanin" w:cs="IRNazanin"/>
          <w:lang w:bidi="fa-IR"/>
          <w:color w:val="111111"/>
          <w:sz w:val="28"/>
          <w:szCs w:val="28"/>
          <w:rtl/>
        </w:rPr>
        <w:t xml:space="preserve">جنگ شعر است؛ بی کا، بی تا [نشریه: ۱۳ – ۳۸۶] [</w:t>
      </w:r>
    </w:p>
    <w:p>
      <w:pPr>
        <w:pStyle w:val="BookText"/>
      </w:pPr>
      <w:r>
        <w:rPr>
          <w:rFonts w:ascii="IRNazanin" w:hAnsi="IRNazanin" w:eastAsia="IRNazanin" w:cs="IRNazanin"/>
          <w:lang w:bidi="fa-IR"/>
          <w:color w:val="111111"/>
          <w:sz w:val="28"/>
          <w:szCs w:val="28"/>
          <w:rtl/>
        </w:rPr>
        <w:t xml:space="preserve">۷۷. یزد؛ وزیری؛ شماره نسخه: ۴۳۴۷</w:t>
      </w:r>
    </w:p>
    <w:p>
      <w:pPr>
        <w:pStyle w:val="BookText"/>
      </w:pPr>
      <w:r>
        <w:rPr>
          <w:rFonts w:ascii="IRNazanin" w:hAnsi="IRNazanin" w:eastAsia="IRNazanin" w:cs="IRNazanin"/>
          <w:lang w:bidi="fa-IR"/>
          <w:color w:val="111111"/>
          <w:sz w:val="28"/>
          <w:szCs w:val="28"/>
          <w:rtl/>
        </w:rPr>
        <w:t xml:space="preserve">آغاز: نعى النعى مصاب الهاشمينيا *** كان عاشور بالاحزان يعيینا؛</w:t>
      </w:r>
    </w:p>
    <w:p>
      <w:pPr>
        <w:pStyle w:val="BookText"/>
      </w:pPr>
      <w:r>
        <w:rPr>
          <w:rFonts w:ascii="IRNazanin" w:hAnsi="IRNazanin" w:eastAsia="IRNazanin" w:cs="IRNazanin"/>
          <w:lang w:bidi="fa-IR"/>
          <w:color w:val="111111"/>
          <w:sz w:val="28"/>
          <w:szCs w:val="28"/>
          <w:rtl/>
        </w:rPr>
        <w:t xml:space="preserve">انجام؛ اذا عن ذاكرها لوارد خاطری *** فشان الرزايا المتلفات و شاينا</w:t>
      </w:r>
    </w:p>
    <w:p>
      <w:pPr>
        <w:pStyle w:val="BookText"/>
      </w:pPr>
      <w:r>
        <w:rPr>
          <w:rFonts w:ascii="IRNazanin" w:hAnsi="IRNazanin" w:eastAsia="IRNazanin" w:cs="IRNazanin"/>
          <w:lang w:bidi="fa-IR"/>
          <w:color w:val="111111"/>
          <w:sz w:val="28"/>
          <w:szCs w:val="28"/>
          <w:rtl/>
        </w:rPr>
        <w:t xml:space="preserve">جنگ شعر است از شیخ احمد (ظاهراً)؛ خط:نسخ، بی کا،بی تا؛ ترجمه بین سطور فارسی؛ ۳۹گ، اندازه:۱۵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[نشریه: 13- 390]</w:t>
      </w:r>
    </w:p>
    <w:p>
      <w:pPr>
        <w:pStyle w:val="BookText"/>
      </w:pPr>
      <w:r>
        <w:rPr>
          <w:rFonts w:ascii="IRNazanin" w:hAnsi="IRNazanin" w:eastAsia="IRNazanin" w:cs="IRNazanin"/>
          <w:lang w:bidi="fa-IR"/>
          <w:color w:val="111111"/>
          <w:sz w:val="28"/>
          <w:szCs w:val="28"/>
          <w:rtl/>
        </w:rPr>
        <w:t xml:space="preserve">۷۸. شیراز؛ خانقاه احمدیه؛ شماره نسخه: ۱۳۷/۳</w:t>
      </w:r>
    </w:p>
    <w:p>
      <w:pPr>
        <w:pStyle w:val="BookText"/>
      </w:pPr>
      <w:r>
        <w:rPr>
          <w:rFonts w:ascii="IRNazanin" w:hAnsi="IRNazanin" w:eastAsia="IRNazanin" w:cs="IRNazanin"/>
          <w:lang w:bidi="fa-IR"/>
          <w:color w:val="111111"/>
          <w:sz w:val="28"/>
          <w:szCs w:val="28"/>
          <w:rtl/>
        </w:rPr>
        <w:t xml:space="preserve">بی کا، بی تا؛ با ترجمه فارسی [ نشریه: ۵ - ۲۲۵]</w:t>
      </w:r>
    </w:p>
    <w:p>
      <w:pPr>
        <w:pStyle w:val="BookText"/>
      </w:pPr>
      <w:r>
        <w:rPr>
          <w:rFonts w:ascii="IRNazanin" w:hAnsi="IRNazanin" w:eastAsia="IRNazanin" w:cs="IRNazanin"/>
          <w:lang w:bidi="fa-IR"/>
          <w:color w:val="111111"/>
          <w:sz w:val="28"/>
          <w:szCs w:val="28"/>
          <w:rtl/>
        </w:rPr>
        <w:t xml:space="preserve">۷۹. قم؛ مسجد اعظم؛ شماره نسخه: ۱۵۲۰</w:t>
      </w:r>
    </w:p>
    <w:p>
      <w:pPr>
        <w:pStyle w:val="BookText"/>
      </w:pPr>
      <w:r>
        <w:rPr>
          <w:rFonts w:ascii="IRNazanin" w:hAnsi="IRNazanin" w:eastAsia="IRNazanin" w:cs="IRNazanin"/>
          <w:lang w:bidi="fa-IR"/>
          <w:color w:val="111111"/>
          <w:sz w:val="28"/>
          <w:szCs w:val="28"/>
          <w:rtl/>
        </w:rPr>
        <w:t xml:space="preserve">آغاز: قد صرفت العمر في قيل و قال *** یا ندیمی قم فقد ضـاق المجال / واسقنى تلك المدام السلسبيل *** انها تهدى الى خیر السبيل؛ انجام: از هزاران در یکی گیرو سماع *** زانک هر کس محرم پیغام نیست / آشنایان ره بدین معنی نماند*** درسرای خاص بار عام نیست.</w:t>
      </w:r>
    </w:p>
    <w:p>
      <w:pPr>
        <w:pStyle w:val="BookText"/>
      </w:pPr>
      <w:r>
        <w:rPr>
          <w:rFonts w:ascii="IRNazanin" w:hAnsi="IRNazanin" w:eastAsia="IRNazanin" w:cs="IRNazanin"/>
          <w:lang w:bidi="fa-IR"/>
          <w:color w:val="111111"/>
          <w:sz w:val="28"/>
          <w:szCs w:val="28"/>
          <w:rtl/>
        </w:rPr>
        <w:t xml:space="preserve">مجموعه ای از اشعار شاعران پارسی و تازی همچون سعدی، نظری ،انوری، درویش حسین نوا ،جامی ،جواهر ،عاشق، عشقـی، محرر این دفتر که محمد رحیم قاجار است  و شعر خود راتاریخ هشتم جمادی الثانی ۱۲۶۵ق تحریر کرده است و نیز مولوی، شیخ بهایی، میرزا طوفان صبا مازندرانی و مطلبی منثور از فیض کاشانی ره با عنوان آب زلال؛ خط: نسخ و نستعلیق،کا:محمد رحیم قاجار، تا: قرن ۱۳ق؛ افتادگی: آغاز؛ مهر: «قربان وفایت» (بیضوی)؛ جلد: تیماج دورو مشکی و قهوه ای بدون مقوا،۱۸۰گ، مختلف السطر،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مخ: ۲ - ۵۹۶]</w:t>
      </w:r>
    </w:p>
    <w:p>
      <w:pPr>
        <w:pStyle w:val="BookText"/>
      </w:pPr>
      <w:r>
        <w:rPr>
          <w:rFonts w:ascii="IRNazanin" w:hAnsi="IRNazanin" w:eastAsia="IRNazanin" w:cs="IRNazanin"/>
          <w:lang w:bidi="fa-IR"/>
          <w:color w:val="111111"/>
          <w:sz w:val="28"/>
          <w:szCs w:val="28"/>
          <w:rtl/>
        </w:rPr>
        <w:t xml:space="preserve">۸۰. قم؛ مسجد اعظم؛ شماره نسخه: ۱۴۸۷</w:t>
      </w:r>
    </w:p>
    <w:p>
      <w:pPr>
        <w:pStyle w:val="BookText"/>
      </w:pPr>
      <w:r>
        <w:rPr>
          <w:rFonts w:ascii="IRNazanin" w:hAnsi="IRNazanin" w:eastAsia="IRNazanin" w:cs="IRNazanin"/>
          <w:lang w:bidi="fa-IR"/>
          <w:color w:val="111111"/>
          <w:sz w:val="28"/>
          <w:szCs w:val="28"/>
          <w:rtl/>
        </w:rPr>
        <w:t xml:space="preserve">آغاز: مریض بارض الرى اعياد و ... * **وليس له الا عجى طبيب / غریب الفضل والقدر والهوى *** الا كل حال الفاضلين غريب؛</w:t>
      </w:r>
    </w:p>
    <w:p>
      <w:pPr>
        <w:pStyle w:val="BookText"/>
      </w:pPr>
      <w:r>
        <w:rPr>
          <w:rFonts w:ascii="IRNazanin" w:hAnsi="IRNazanin" w:eastAsia="IRNazanin" w:cs="IRNazanin"/>
          <w:lang w:bidi="fa-IR"/>
          <w:color w:val="111111"/>
          <w:sz w:val="28"/>
          <w:szCs w:val="28"/>
          <w:rtl/>
        </w:rPr>
        <w:t xml:space="preserve">انجام: صاحب كمال را چه غم از نقص مال وجاه *** چون مال پیکری که بر او سرخ وزرد نیست / مردی هیچ جامه ندارد به اتفاق *** بهتر زجامه که در او هیچ مرد نیست.</w:t>
      </w:r>
    </w:p>
    <w:p>
      <w:pPr>
        <w:pStyle w:val="BookText"/>
      </w:pPr>
      <w:r>
        <w:rPr>
          <w:rFonts w:ascii="IRNazanin" w:hAnsi="IRNazanin" w:eastAsia="IRNazanin" w:cs="IRNazanin"/>
          <w:lang w:bidi="fa-IR"/>
          <w:color w:val="111111"/>
          <w:sz w:val="28"/>
          <w:szCs w:val="28"/>
          <w:rtl/>
        </w:rPr>
        <w:t xml:space="preserve">یک شعر عربی و چند شعر فارسی است؛ خط: نسخ، بی کا، بی تا؛ جلد: تیماج قهوه ای بدون مقوا ،مجدول، ۷گ، ۸ سطر، اندازه:۹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مخ: ۲ - ۵۹۴]</w:t>
      </w:r>
    </w:p>
    <w:p>
      <w:pPr>
        <w:pStyle w:val="BookText"/>
      </w:pPr>
      <w:r>
        <w:rPr>
          <w:rFonts w:ascii="IRNazanin" w:hAnsi="IRNazanin" w:eastAsia="IRNazanin" w:cs="IRNazanin"/>
          <w:lang w:bidi="fa-IR"/>
          <w:color w:val="111111"/>
          <w:sz w:val="28"/>
          <w:szCs w:val="28"/>
          <w:rtl/>
        </w:rPr>
        <w:t xml:space="preserve">۸۱. یزد؛ وزیری؛ شماره نسخه: ۳۹۷۹</w:t>
      </w:r>
    </w:p>
    <w:p>
      <w:pPr>
        <w:pStyle w:val="BookText"/>
      </w:pPr>
      <w:r>
        <w:rPr>
          <w:rFonts w:ascii="IRNazanin" w:hAnsi="IRNazanin" w:eastAsia="IRNazanin" w:cs="IRNazanin"/>
          <w:lang w:bidi="fa-IR"/>
          <w:color w:val="111111"/>
          <w:sz w:val="28"/>
          <w:szCs w:val="28"/>
          <w:rtl/>
        </w:rPr>
        <w:t xml:space="preserve">جنگ اشعار ؛بی کا، بی تا [نشریه: ۱۳ – ۳۵۱]</w:t>
      </w:r>
    </w:p>
    <w:p>
      <w:pPr>
        <w:pStyle w:val="BookText"/>
      </w:pPr>
      <w:r>
        <w:rPr>
          <w:rFonts w:ascii="IRNazanin" w:hAnsi="IRNazanin" w:eastAsia="IRNazanin" w:cs="IRNazanin"/>
          <w:lang w:bidi="fa-IR"/>
          <w:color w:val="111111"/>
          <w:sz w:val="28"/>
          <w:szCs w:val="28"/>
          <w:rtl/>
        </w:rPr>
        <w:t xml:space="preserve">۸۲ .یزد؛ وزیری؛ شماره نسخه: ۳۹۹۰</w:t>
      </w:r>
    </w:p>
    <w:p>
      <w:pPr>
        <w:pStyle w:val="BookText"/>
      </w:pPr>
      <w:r>
        <w:rPr>
          <w:rFonts w:ascii="IRNazanin" w:hAnsi="IRNazanin" w:eastAsia="IRNazanin" w:cs="IRNazanin"/>
          <w:lang w:bidi="fa-IR"/>
          <w:color w:val="111111"/>
          <w:sz w:val="28"/>
          <w:szCs w:val="28"/>
          <w:rtl/>
        </w:rPr>
        <w:t xml:space="preserve">جنگ اشعار؛ بی کا، بی تا [ نشریه: ۱۳ - ۳۵۲]</w:t>
      </w:r>
    </w:p>
    <w:p>
      <w:pPr>
        <w:pStyle w:val="BookText"/>
      </w:pPr>
      <w:r>
        <w:rPr>
          <w:rFonts w:ascii="IRNazanin" w:hAnsi="IRNazanin" w:eastAsia="IRNazanin" w:cs="IRNazanin"/>
          <w:lang w:bidi="fa-IR"/>
          <w:color w:val="111111"/>
          <w:sz w:val="28"/>
          <w:szCs w:val="28"/>
          <w:rtl/>
        </w:rPr>
        <w:t xml:space="preserve">۸۳. یزد؛ وزیری؛ شماره نسخه: ۴۰۱۵</w:t>
      </w:r>
    </w:p>
    <w:p>
      <w:pPr>
        <w:pStyle w:val="BookText"/>
      </w:pPr>
      <w:r>
        <w:rPr>
          <w:rFonts w:ascii="IRNazanin" w:hAnsi="IRNazanin" w:eastAsia="IRNazanin" w:cs="IRNazanin"/>
          <w:lang w:bidi="fa-IR"/>
          <w:color w:val="111111"/>
          <w:sz w:val="28"/>
          <w:szCs w:val="28"/>
          <w:rtl/>
        </w:rPr>
        <w:t xml:space="preserve">جنگ اشعار؛ بی کا، بی تا [ نشریه ۱۳ - ۳۵۵]</w:t>
      </w:r>
    </w:p>
    <w:p>
      <w:pPr>
        <w:pStyle w:val="BookText"/>
      </w:pPr>
      <w:r>
        <w:rPr>
          <w:rFonts w:ascii="IRNazanin" w:hAnsi="IRNazanin" w:eastAsia="IRNazanin" w:cs="IRNazanin"/>
          <w:lang w:bidi="fa-IR"/>
          <w:color w:val="111111"/>
          <w:sz w:val="28"/>
          <w:szCs w:val="28"/>
          <w:rtl/>
        </w:rPr>
        <w:t xml:space="preserve">۸۴. قم؛ مرعشی؛ شماره نسخه: بدون شماره/ ۱۴</w:t>
      </w:r>
    </w:p>
    <w:p>
      <w:pPr>
        <w:pStyle w:val="BookText"/>
      </w:pPr>
      <w:r>
        <w:rPr>
          <w:rFonts w:ascii="IRNazanin" w:hAnsi="IRNazanin" w:eastAsia="IRNazanin" w:cs="IRNazanin"/>
          <w:lang w:bidi="fa-IR"/>
          <w:color w:val="111111"/>
          <w:sz w:val="28"/>
          <w:szCs w:val="28"/>
          <w:rtl/>
        </w:rPr>
        <w:t xml:space="preserve">بی کا، بی تا[ میراث شهاب: س ۷ش ۱-۲ - ۴۰]</w:t>
      </w:r>
    </w:p>
    <w:p>
      <w:pPr>
        <w:pStyle w:val="BookText"/>
      </w:pPr>
      <w:r>
        <w:rPr>
          <w:rFonts w:ascii="IRNazanin" w:hAnsi="IRNazanin" w:eastAsia="IRNazanin" w:cs="IRNazanin"/>
          <w:lang w:bidi="fa-IR"/>
          <w:color w:val="111111"/>
          <w:sz w:val="28"/>
          <w:szCs w:val="28"/>
          <w:rtl/>
        </w:rPr>
        <w:t xml:space="preserve">۸۵. تهران؛ دانشگاه؛ شماره :نسخه ۳۶۷/۲-ف</w:t>
      </w:r>
    </w:p>
    <w:p>
      <w:pPr>
        <w:pStyle w:val="BookText"/>
      </w:pPr>
      <w:r>
        <w:rPr>
          <w:rFonts w:ascii="IRNazanin" w:hAnsi="IRNazanin" w:eastAsia="IRNazanin" w:cs="IRNazanin"/>
          <w:lang w:bidi="fa-IR"/>
          <w:color w:val="111111"/>
          <w:sz w:val="28"/>
          <w:szCs w:val="28"/>
          <w:rtl/>
        </w:rPr>
        <w:t xml:space="preserve">آغاز: تبارک ذوالعلى و الكبرياء</w:t>
      </w:r>
    </w:p>
    <w:p>
      <w:pPr>
        <w:pStyle w:val="BookText"/>
      </w:pPr>
      <w:r>
        <w:rPr>
          <w:rFonts w:ascii="IRNazanin" w:hAnsi="IRNazanin" w:eastAsia="IRNazanin" w:cs="IRNazanin"/>
          <w:lang w:bidi="fa-IR"/>
          <w:color w:val="111111"/>
          <w:sz w:val="28"/>
          <w:szCs w:val="28"/>
          <w:rtl/>
        </w:rPr>
        <w:t xml:space="preserve">نسخه اصل: عاطف افندیش ۲۲۰۷. المخمسات في النصايح و العظات مدار قوافيها على حروف الهجاء و ترتيبها من تذكرة قطب الاولياء زين العابدين محمد بن علی بن حسین بن ابی طالب. با ترجمه فارسی؛ بی کا، بی تا؛ ۹گ (۵۶-۶۵) [فیلمها: ۱ - ۴۵۹]</w:t>
      </w:r>
    </w:p>
    <w:p>
      <w:pPr>
        <w:pStyle w:val="BookText"/>
      </w:pPr>
      <w:r>
        <w:rPr>
          <w:rFonts w:ascii="IRNazanin" w:hAnsi="IRNazanin" w:eastAsia="IRNazanin" w:cs="IRNazanin"/>
          <w:lang w:bidi="fa-IR"/>
          <w:color w:val="111111"/>
          <w:sz w:val="28"/>
          <w:szCs w:val="28"/>
          <w:rtl/>
        </w:rPr>
        <w:t xml:space="preserve">۸۶. تهران؛ دانشگاه؛ شماره نسخه: ۳۸۱۴/۱۵</w:t>
      </w:r>
    </w:p>
    <w:p>
      <w:pPr>
        <w:pStyle w:val="BookText"/>
      </w:pPr>
      <w:r>
        <w:rPr>
          <w:rFonts w:ascii="IRNazanin" w:hAnsi="IRNazanin" w:eastAsia="IRNazanin" w:cs="IRNazanin"/>
          <w:lang w:bidi="fa-IR"/>
          <w:color w:val="111111"/>
          <w:sz w:val="28"/>
          <w:szCs w:val="28"/>
          <w:rtl/>
        </w:rPr>
        <w:t xml:space="preserve">شعرهای: فیضی تبریزی به ترکی (۱۵۱-۱۵۳)، و شعرهای فارسی فخر الدین عراقی، سلمان ساوجی، فیض کاشانی، میرزا هما ،عاشق سپاهانی ،محتشم، طبیب شیرازی، میرزا هادی بن صدرالممالك، کلیم، زرگر خراسانی ،خادم ،نظیری ،آذر، ملامؤمن، بیان الملک، يغما و سلطان بسطامی؛ خط: نستعلیق، بی کا، بی تا؛ کاغذ: فرنگی،جلد: تیماج تریاکی درون آبی، ۱۶ص (۱۵۱-۱۵۳)و(222- ۲۳۵) ،۱۴ سطر (9</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۱۲ - ۲۷۹۶]</w:t>
      </w:r>
    </w:p>
    <w:p>
      <w:pPr>
        <w:pStyle w:val="BookText"/>
      </w:pPr>
      <w:r>
        <w:rPr>
          <w:rFonts w:ascii="IRNazanin" w:hAnsi="IRNazanin" w:eastAsia="IRNazanin" w:cs="IRNazanin"/>
          <w:lang w:bidi="fa-IR"/>
          <w:color w:val="111111"/>
          <w:sz w:val="28"/>
          <w:szCs w:val="28"/>
          <w:rtl/>
        </w:rPr>
        <w:t xml:space="preserve">۸۷. تهران؛ دانشگاه؛ شماره نسخه: ۳۹۹۶/۴</w:t>
      </w:r>
    </w:p>
    <w:p>
      <w:pPr>
        <w:pStyle w:val="BookText"/>
      </w:pPr>
      <w:r>
        <w:rPr>
          <w:rFonts w:ascii="IRNazanin" w:hAnsi="IRNazanin" w:eastAsia="IRNazanin" w:cs="IRNazanin"/>
          <w:lang w:bidi="fa-IR"/>
          <w:color w:val="111111"/>
          <w:sz w:val="28"/>
          <w:szCs w:val="28"/>
          <w:rtl/>
        </w:rPr>
        <w:t xml:space="preserve">شامل اشعار کردی، فارسی و عربی از: عبدالباقی عمر باقی تخلص ۶۵، مصطفی بیک کردی تخلص، فخر العلماء کرد ۷۶، احمد کرد، فتنه شاعر فارسی زبان ۸۶، خالد فارسی زبان، شیخ عبدالرحمن وفا، بولبهای کرد، یحیی نویسنده این نسخه، مفتی زهاوی، شیخ نجم الدین پسر شیخ عمر، شیخ علی قره داخی کرد عالى تخلص ۹۹، مستوره کردستانی بکردی ۱۵۶، هجری به کردی ۱۶۵ و به فارسی ۱۷۳، محوی به کردی ۱۷۲، حاجی قادر به کردی، فکری به کردی، وفایی به کردی، فوری به کردی، نظام به کردی ۱۹۲، داخی به کردی ۲۷۴، بلبل بکردی ۲۸۳، نیز سرایندگان دیگر مانند مؤمن جوینی، عراقی، مقبل و صایب،
</w:t>
      </w:r>
    </w:p>
    <w:p>
      <w:pPr>
        <w:sectPr>
          <w:footerReference w:type="default" r:id="rId979"/>
          <w:footnotePr>
            <w:numStart w:val="1"/>
            <w:numRestart w:val="eachPage"/>
          </w:footnotePr>
          <w:pgSz w:orient="portrait" w:w="11905.511811023622" w:h="16837.79527559055"/>
          <w:pgMar w:top="1440" w:right="1440" w:bottom="1440" w:left="1440" w:header="720" w:footer="720" w:gutter="0"/>
          <w:cols w:num="1" w:space="720"/>
        </w:sectPr>
      </w:pPr>
    </w:p>
    <w:bookmarkStart w:id="426" w:name="pg20365_260915"/>
    <w:bookmarkEnd w:id="426"/>
    <w:p>
      <w:pPr>
        <w:pStyle w:val="BookText"/>
      </w:pPr>
      <w:r>
        <w:rPr>
          <w:rFonts w:ascii="IRNazanin" w:hAnsi="IRNazanin" w:eastAsia="IRNazanin" w:cs="IRNazanin"/>
          <w:lang w:bidi="fa-IR"/>
          <w:color w:val="111111"/>
          <w:sz w:val="28"/>
          <w:szCs w:val="28"/>
          <w:rtl/>
        </w:rPr>
        <w:t xml:space="preserve">خالص و عصمت ،نظامی، محمود و فریدون و قصاب، حرم فتحعلیشاه و خالد، سالم، ناصر و سعدی و یغما، کلیم و حافظ، محمود غزنوی و امرء القیس و شافعی، نامه شیخ محمد جسیم به فارسی؛ خط: نستعلیق، بی کا، بی تا؛ کاغذ: فرنگی، جلد: تیماج مشکی قهوه ای ضربی مقوایی، ۱۲ سطر (6</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 ۱۲ - ۲۹۸۶]</w:t>
      </w:r>
    </w:p>
    <w:p>
      <w:pPr>
        <w:pStyle w:val="BookText"/>
      </w:pPr>
      <w:r>
        <w:rPr>
          <w:rFonts w:ascii="IRNazanin" w:hAnsi="IRNazanin" w:eastAsia="IRNazanin" w:cs="IRNazanin"/>
          <w:lang w:bidi="fa-IR"/>
          <w:color w:val="111111"/>
          <w:sz w:val="28"/>
          <w:szCs w:val="28"/>
          <w:rtl/>
        </w:rPr>
        <w:t xml:space="preserve">۸۸. تبریز ؛ملی؛ شماره نسخه: ۲۷۹۱</w:t>
      </w:r>
    </w:p>
    <w:p>
      <w:pPr>
        <w:pStyle w:val="BookText"/>
      </w:pPr>
      <w:r>
        <w:rPr>
          <w:rFonts w:ascii="IRNazanin" w:hAnsi="IRNazanin" w:eastAsia="IRNazanin" w:cs="IRNazanin"/>
          <w:lang w:bidi="fa-IR"/>
          <w:color w:val="111111"/>
          <w:sz w:val="28"/>
          <w:szCs w:val="28"/>
          <w:rtl/>
        </w:rPr>
        <w:t xml:space="preserve">منتخبی است از اشعار عربی و فارسی و ترکی شعرای متعدد در ازمنه مختلف؛ خط: نستعلیق، بی کا، بی تا؛ ۱۳گ،اندازه: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 - ۳۵۹]</w:t>
      </w:r>
    </w:p>
    <w:p>
      <w:pPr>
        <w:pStyle w:val="BookText"/>
      </w:pPr>
      <w:r>
        <w:rPr>
          <w:rFonts w:ascii="IRNazanin" w:hAnsi="IRNazanin" w:eastAsia="IRNazanin" w:cs="IRNazanin"/>
          <w:lang w:bidi="fa-IR"/>
          <w:color w:val="111111"/>
          <w:sz w:val="28"/>
          <w:szCs w:val="28"/>
          <w:rtl/>
        </w:rPr>
        <w:t xml:space="preserve">۸۹. تهران؛ مجلس؛ شماره نسخه: ۱۰۱۹۰/۴</w:t>
      </w:r>
    </w:p>
    <w:p>
      <w:pPr>
        <w:pStyle w:val="BookText"/>
      </w:pPr>
      <w:r>
        <w:rPr>
          <w:rFonts w:ascii="IRNazanin" w:hAnsi="IRNazanin" w:eastAsia="IRNazanin" w:cs="IRNazanin"/>
          <w:lang w:bidi="fa-IR"/>
          <w:color w:val="111111"/>
          <w:sz w:val="28"/>
          <w:szCs w:val="28"/>
          <w:rtl/>
        </w:rPr>
        <w:t xml:space="preserve">اشعاری از عین القضاة همدانی و دیگران به عربی و فارسی؛ خـط: نسخ و نستعلیق، بی کا، بی تا؛ مصحح، محشی؛ تملک: عطاء الله؛جلد: تيماج، ۱۰۷ص ،اندازه: 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۳۲ - ۲۳۰]</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تهران؛ دانشگاه؛ شماره نسخه: ۱۰۸۴۱/۲۶</w:t>
      </w:r>
    </w:p>
    <w:p>
      <w:pPr>
        <w:pStyle w:val="BookText"/>
      </w:pPr>
      <w:r>
        <w:rPr>
          <w:rFonts w:ascii="IRNazanin" w:hAnsi="IRNazanin" w:eastAsia="IRNazanin" w:cs="IRNazanin"/>
          <w:lang w:bidi="fa-IR"/>
          <w:color w:val="111111"/>
          <w:sz w:val="28"/>
          <w:szCs w:val="28"/>
          <w:rtl/>
        </w:rPr>
        <w:t xml:space="preserve">اشعاری از: شیخ بهایی، میرزا محمد حسين مستوفی الممالك، صايبا، شیخ عطار ،متنبی، سحابی، شیخ ابوسعید، مولانا سبحانی، مولانا محمد محسن القاسانی؛ خط: نسخ، بی کا، بی تا؛ جلد: تیماج مشکی یک لا ضربی، با ترنج و سر ترنج، عطف قهوه ای، درون قهوه ای، ۱گ (۴۹ر)، مختلف السطر (9</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 قطع: بياضی،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۲۴/۵سم [ف : ۲۰ - ۳۸۶]</w:t>
      </w:r>
    </w:p>
    <w:p>
      <w:pPr>
        <w:pStyle w:val="Heading3"/>
      </w:pPr>
      <w:bookmarkStart w:id="1957" w:name="_Toc1479"/>
      <w:r>
        <w:t>اشعار / شعر / فارسی، عربی، ترکی</w:t>
      </w:r>
      <w:bookmarkEnd w:id="1957"/>
    </w:p>
    <w:p>
      <w:pPr>
        <w:pStyle w:val="BookText"/>
      </w:pPr>
      <w:r>
        <w:rPr>
          <w:rFonts w:ascii="Times New Roman" w:hAnsi="Times New Roman" w:eastAsia="Times New Roman" w:cs="Times New Roman"/>
          <w:lang w:val="en-US" w:bidi="en-US"/>
          <w:color w:val="111111"/>
          <w:sz w:val="28"/>
          <w:szCs w:val="28"/>
          <w:rtl/>
        </w:rPr>
        <w:t xml:space="preserve">aš‘ār</w:t>
      </w:r>
    </w:p>
    <w:p>
      <w:pPr>
        <w:pStyle w:val="BookText"/>
      </w:pPr>
      <w:r>
        <w:rPr>
          <w:rFonts w:ascii="IRNazanin" w:hAnsi="IRNazanin" w:eastAsia="IRNazanin" w:cs="IRNazanin"/>
          <w:lang w:bidi="fa-IR"/>
          <w:color w:val="111111"/>
          <w:sz w:val="28"/>
          <w:szCs w:val="28"/>
          <w:rtl/>
        </w:rPr>
        <w:t xml:space="preserve">1.تهران؛ دانشگاه؛ شماره نسخه: ۴۴۱/۳۹-ف</w:t>
      </w:r>
    </w:p>
    <w:p>
      <w:pPr>
        <w:pStyle w:val="BookText"/>
      </w:pPr>
      <w:r>
        <w:rPr>
          <w:rFonts w:ascii="IRNazanin" w:hAnsi="IRNazanin" w:eastAsia="IRNazanin" w:cs="IRNazanin"/>
          <w:lang w:bidi="fa-IR"/>
          <w:color w:val="111111"/>
          <w:sz w:val="28"/>
          <w:szCs w:val="28"/>
          <w:rtl/>
        </w:rPr>
        <w:t xml:space="preserve">نسخه اصل: بایزید ولی الدین ش ۱۸۱۹. اشعاری از: ابن یمین و جامی و جلال و سعدی و میرشریف و دیگران (۱۸۲-۱۸۳)،با ماده تاریخ برای جلال رومی (۶ ربیع الاول ۶۰۴ در بلخ - شام جمادى الثانى ۶۷۲) (۱۲۰ و ۱۸۵) شعرهای فارسی و ترکی(۱۹۲-۱۸۵) نام فرزندان ابوبکر (۱۹۲)، شعرهای عزالدین کاشی، محیی الدین، سلطان ولد ،اوحدی، سری کاتب، امری مجدی ،نوعی ،سعدی ،انصاری ،جامی ،حیرتی، ابوالوفاء، عطار،قاسم انوار، قاسم کاهی ،مشرقی، خجندی ،آذری ،فرخی، خسـرو ،هلالی ،حیدر ،مختوم ،فقیری ،منصوری ،بنائی ،حمدی ،فردوسی (۲۷۴-۱۹۲)؛ بی کا، تا: قرن ۹ [ فیلمها: ۱ – ۴۷۵]</w:t>
      </w:r>
    </w:p>
    <w:p>
      <w:pPr>
        <w:pStyle w:val="BookText"/>
      </w:pPr>
      <w:r>
        <w:rPr>
          <w:rFonts w:ascii="IRNazanin" w:hAnsi="IRNazanin" w:eastAsia="IRNazanin" w:cs="IRNazanin"/>
          <w:lang w:bidi="fa-IR"/>
          <w:color w:val="111111"/>
          <w:sz w:val="28"/>
          <w:szCs w:val="28"/>
          <w:rtl/>
        </w:rPr>
        <w:t xml:space="preserve">۲. تهران؛ دانشگاه؛ شماره نسخه: ۲۰۱۶/۴۶-ف</w:t>
      </w:r>
    </w:p>
    <w:p>
      <w:pPr>
        <w:pStyle w:val="BookText"/>
      </w:pPr>
      <w:r>
        <w:rPr>
          <w:rFonts w:ascii="IRNazanin" w:hAnsi="IRNazanin" w:eastAsia="IRNazanin" w:cs="IRNazanin"/>
          <w:lang w:bidi="fa-IR"/>
          <w:color w:val="111111"/>
          <w:sz w:val="28"/>
          <w:szCs w:val="28"/>
          <w:rtl/>
        </w:rPr>
        <w:t xml:space="preserve">نسخه اصل: آغاز و انجام چند نسخه از کتابخانه های یوگسلاوی جنگ شعر است؛ بی کا، تا: با تاریخ ۹۳۵ق [فیلمها: ۱ - ۶۳۹]</w:t>
      </w:r>
    </w:p>
    <w:p>
      <w:pPr>
        <w:pStyle w:val="BookText"/>
      </w:pPr>
      <w:r>
        <w:rPr>
          <w:rFonts w:ascii="IRNazanin" w:hAnsi="IRNazanin" w:eastAsia="IRNazanin" w:cs="IRNazanin"/>
          <w:lang w:bidi="fa-IR"/>
          <w:color w:val="111111"/>
          <w:sz w:val="28"/>
          <w:szCs w:val="28"/>
          <w:rtl/>
        </w:rPr>
        <w:t xml:space="preserve">3.تهران؛ دانشگاه؛ شماره نسخه: ۳۷۷۴/۴-ف</w:t>
      </w:r>
    </w:p>
    <w:p>
      <w:pPr>
        <w:pStyle w:val="BookText"/>
      </w:pPr>
      <w:r>
        <w:rPr>
          <w:rFonts w:ascii="IRNazanin" w:hAnsi="IRNazanin" w:eastAsia="IRNazanin" w:cs="IRNazanin"/>
          <w:lang w:bidi="fa-IR"/>
          <w:color w:val="111111"/>
          <w:sz w:val="28"/>
          <w:szCs w:val="28"/>
          <w:rtl/>
        </w:rPr>
        <w:t xml:space="preserve">نسخه اصل: پاریس 1769.</w:t>
      </w:r>
      <w:r>
        <w:rPr>
          <w:rFonts w:ascii="Times New Roman" w:hAnsi="Times New Roman" w:eastAsia="Times New Roman" w:cs="Times New Roman"/>
          <w:lang w:val="en-US" w:bidi="en-US"/>
          <w:color w:val="111111"/>
          <w:sz w:val="28"/>
          <w:szCs w:val="28"/>
          <w:rtl/>
        </w:rPr>
        <w:t xml:space="preserve">P.S (</w:t>
      </w:r>
      <w:r>
        <w:rPr>
          <w:rFonts w:ascii="IRNazanin" w:hAnsi="IRNazanin" w:eastAsia="IRNazanin" w:cs="IRNazanin"/>
          <w:lang w:bidi="fa-IR"/>
          <w:color w:val="111111"/>
          <w:sz w:val="28"/>
          <w:szCs w:val="28"/>
          <w:rtl/>
        </w:rPr>
        <w:t xml:space="preserve">بلوشه ۱۰۶/۴ ش ۲۱۴۹) قصـیده لمع ابن حناوى زاده؛ خط: نستعلیق، بی کا، تا: ۹۸۶ق [ فیلمها: ۲ - 246]</w:t>
      </w:r>
    </w:p>
    <w:p>
      <w:pPr>
        <w:pStyle w:val="BookText"/>
      </w:pPr>
      <w:r>
        <w:rPr>
          <w:rFonts w:ascii="IRNazanin" w:hAnsi="IRNazanin" w:eastAsia="IRNazanin" w:cs="IRNazanin"/>
          <w:lang w:bidi="fa-IR"/>
          <w:color w:val="111111"/>
          <w:sz w:val="28"/>
          <w:szCs w:val="28"/>
          <w:rtl/>
        </w:rPr>
        <w:t xml:space="preserve">۴. تهران؛ مجلس؛ شماره نسخه: ۱۳۴۹۸</w:t>
      </w:r>
    </w:p>
    <w:p>
      <w:pPr>
        <w:pStyle w:val="BookText"/>
      </w:pPr>
      <w:r>
        <w:rPr>
          <w:rFonts w:ascii="IRNazanin" w:hAnsi="IRNazanin" w:eastAsia="IRNazanin" w:cs="IRNazanin"/>
          <w:lang w:bidi="fa-IR"/>
          <w:color w:val="111111"/>
          <w:sz w:val="28"/>
          <w:szCs w:val="28"/>
          <w:rtl/>
        </w:rPr>
        <w:t xml:space="preserve">آغاز جنگ: بهم ملات سمائك و هم ائمتنا *** سوى محبتهم لا تكون همتنا/ سما و ارض دو توب چون مظاهر الله *** او وقته ظاهر اولوب لا اله الا الله؛ انجام :جنگ بر شیره حورا و لورا یکی حصه بری حلال*** کبر آتشی او بری حصه لاى اندر حراو / شمر و حسین صورت انسانده بر جولر*** چون حنجرینه حنجر ورا سفله انام</w:t>
      </w:r>
    </w:p>
    <w:p>
      <w:pPr>
        <w:pStyle w:val="BookText"/>
      </w:pPr>
      <w:r>
        <w:rPr>
          <w:rFonts w:ascii="IRNazanin" w:hAnsi="IRNazanin" w:eastAsia="IRNazanin" w:cs="IRNazanin"/>
          <w:lang w:bidi="fa-IR"/>
          <w:color w:val="111111"/>
          <w:sz w:val="28"/>
          <w:szCs w:val="28"/>
          <w:rtl/>
        </w:rPr>
        <w:t xml:space="preserve">شامل: رباعیات خواجه عبدالله انصاری (۴۷ر-۴۹پ)، رباعیات ابوسعید ابوالخیر ( ۵۰ ر - ۵۱ پ) رباعیات بابا طاهر (۵۲پ-۵۳پ)؛ خط: شکسته نستعلیق ،کا: میرزا علیخان تبریزی، تا: قرن ۱۳؛ کاتب ملقب به شمس الحكماء متخلص به راجی؛ جلد: تیماج مشکی، ۷گ،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۳۶ - ۴۵۴]</w:t>
      </w:r>
    </w:p>
    <w:p>
      <w:pPr>
        <w:pStyle w:val="BookText"/>
      </w:pPr>
      <w:r>
        <w:rPr>
          <w:rFonts w:ascii="IRNazanin" w:hAnsi="IRNazanin" w:eastAsia="IRNazanin" w:cs="IRNazanin"/>
          <w:lang w:bidi="fa-IR"/>
          <w:color w:val="111111"/>
          <w:sz w:val="28"/>
          <w:szCs w:val="28"/>
          <w:rtl/>
        </w:rPr>
        <w:t xml:space="preserve">۵. تهران؛ دانشگاه؛ شماره نسخه: ۹۶۸۳</w:t>
      </w:r>
    </w:p>
    <w:p>
      <w:pPr>
        <w:pStyle w:val="BookText"/>
      </w:pPr>
      <w:r>
        <w:rPr>
          <w:rFonts w:ascii="IRNazanin" w:hAnsi="IRNazanin" w:eastAsia="IRNazanin" w:cs="IRNazanin"/>
          <w:lang w:bidi="fa-IR"/>
          <w:color w:val="111111"/>
          <w:sz w:val="28"/>
          <w:szCs w:val="28"/>
          <w:rtl/>
        </w:rPr>
        <w:t xml:space="preserve">شامل: شعر تركى، الاسماء المونثة ابن الحاجب به نظم عربی، شعر ترکی عفیف افندی، شعر فارسی جامی، صائب، شعر ترکی روشنی، شعر فارسی نثاری ،ابوسعید، عبدالواسع، موعظة النفوس سلیمان نحیفی به شعر ترکی، مسدس مدح امامان به ترکی، و خاقانی از لسان ابلیس به شعر فارسی، تاريخ انتقال شیخ عبدالله کاشغری به شعر ترکی، شعر ترکی خطاط راسم افندی، فارسی مولانا، مسدس ترکی عزمی، شعر ترکی رومی بغدادی در ستایش علی، شعر ترکی نحیفی و مستقیم زاده (برای لحیه)، و عثمان زاده، مصطفی زاده، رفعت میر، عزی، موصلى على افندی، حاكم، شکری افندی، صاحيعيا ،(؟)، رشید افندی، عفیف افندی، راغب پاشا، امین افندی، راتب افندی، امام سلطان بیری زاده، واصف افندی، و چند ماده تاریخ ترکی، نعت شریف به ترکی، شعر ترکی کاتب زاده، شریف افندی، حدیث اربعین ملانقط به عربی، غزل عارف، تخمیس توقانی حضرت امین افندی را و سردار امیر بخارا، شعر ترکی حشمت، حصاری عبدالله افندی، نورس افندی، حشمت، ماده های تاریخ ول سان صبیان کانی به شعر ترکی، شعر ترکی نعمت زاده شکر الله افندی، منقبت صاحبمحمد به نثر عربی، معماهای ترکی به نام سید توفیق افندی با تاریخ ۱۲۷۴ و ماده تاریخ در گذشت و زاده شدن در ۱۱۲۴ تا ۱۲۲۰، تاریخ زاده شدن علی رضا از راه جبر و مقابله به عربی؛ خط: نستعلیق ترک، بی کا، تا: قرن ۱۳؛ کاغذ: استانبولی، جلد: تیماج زرکوب مقوایی با لولا، ۷۵گ، ۱۳ سطر (7</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قطع: ربعی،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۱۸سم[ف: ۱۷ - ۴۵۰ ]</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تهران؛ مجلس؛ شماره نسخه: ۶۶/۱</w:t>
      </w:r>
    </w:p>
    <w:p>
      <w:pPr>
        <w:pStyle w:val="BookText"/>
      </w:pPr>
      <w:r>
        <w:rPr>
          <w:rFonts w:ascii="IRNazanin" w:hAnsi="IRNazanin" w:eastAsia="IRNazanin" w:cs="IRNazanin"/>
          <w:lang w:bidi="fa-IR"/>
          <w:color w:val="111111"/>
          <w:sz w:val="28"/>
          <w:szCs w:val="28"/>
          <w:rtl/>
        </w:rPr>
        <w:t xml:space="preserve">جنگ غزل های فارسی و سپس اشعار عربی و فارسی و ترکی، در ص ۱ نسخه نام سراینده گان آمده است؛ بی کا، تا: پایان صفر ۱۲۶۳ق، جا: زنجان مجدول؛ کاغذ: سفید، جلد: تیماج قهوه ای ضربی مقوایی، ۲۶۸ ص (۱-۲۶۸) ۱۷ - ۱۳- سطر (7</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[سنا: ف: ۱ - ۳۵]</w:t>
      </w:r>
    </w:p>
    <w:p>
      <w:pPr>
        <w:pStyle w:val="BookText"/>
      </w:pPr>
      <w:r>
        <w:rPr>
          <w:rFonts w:ascii="IRNazanin" w:hAnsi="IRNazanin" w:eastAsia="IRNazanin" w:cs="IRNazanin"/>
          <w:lang w:bidi="fa-IR"/>
          <w:color w:val="111111"/>
          <w:sz w:val="28"/>
          <w:szCs w:val="28"/>
          <w:rtl/>
        </w:rPr>
        <w:t xml:space="preserve">۷ .تبریز؛ ملی؛ شماره نسخه: ۳۲۶۴</w:t>
      </w:r>
    </w:p>
    <w:p>
      <w:pPr>
        <w:pStyle w:val="BookText"/>
      </w:pPr>
      <w:r>
        <w:rPr>
          <w:rFonts w:ascii="IRNazanin" w:hAnsi="IRNazanin" w:eastAsia="IRNazanin" w:cs="IRNazanin"/>
          <w:lang w:bidi="fa-IR"/>
          <w:color w:val="111111"/>
          <w:sz w:val="28"/>
          <w:szCs w:val="28"/>
          <w:rtl/>
        </w:rPr>
        <w:t xml:space="preserve">بياض ترکی و فارسی و عربی، اشعار پراکنده از شاه اسماعیل خطائی و قاسم انوار و شمس تبریزی و مجرم و ... و بایاتی ها (دو
</w:t>
      </w:r>
    </w:p>
    <w:p>
      <w:pPr>
        <w:sectPr>
          <w:footerReference w:type="default" r:id="rId980"/>
          <w:footnotePr>
            <w:numStart w:val="1"/>
            <w:numRestart w:val="eachPage"/>
          </w:footnotePr>
          <w:pgSz w:orient="portrait" w:w="11905.511811023622" w:h="16837.79527559055"/>
          <w:pgMar w:top="1440" w:right="1440" w:bottom="1440" w:left="1440" w:header="720" w:footer="720" w:gutter="0"/>
          <w:cols w:num="1" w:space="720"/>
        </w:sectPr>
      </w:pPr>
    </w:p>
    <w:bookmarkStart w:id="427" w:name="pg20365_260916"/>
    <w:bookmarkEnd w:id="427"/>
    <w:p>
      <w:pPr>
        <w:pStyle w:val="BookText"/>
      </w:pPr>
      <w:r>
        <w:rPr>
          <w:rFonts w:ascii="IRNazanin" w:hAnsi="IRNazanin" w:eastAsia="IRNazanin" w:cs="IRNazanin"/>
          <w:lang w:bidi="fa-IR"/>
          <w:color w:val="111111"/>
          <w:sz w:val="28"/>
          <w:szCs w:val="28"/>
          <w:rtl/>
        </w:rPr>
        <w:t xml:space="preserve">بیتی های ترکی)؛ خط: نسخ تعلیق، کا: نامعلوم، بی تا؛ افتادگی: آغاز و انجام؛ ۴۱گ [ف: ۱ - ۱۳۸]</w:t>
      </w:r>
    </w:p>
    <w:p>
      <w:pPr>
        <w:pStyle w:val="Heading3"/>
      </w:pPr>
      <w:bookmarkStart w:id="1958" w:name="_Toc1480"/>
      <w:r>
        <w:t>اشعار / شعر / کردی</w:t>
      </w:r>
      <w:bookmarkEnd w:id="1958"/>
    </w:p>
    <w:p>
      <w:pPr>
        <w:pStyle w:val="BookText"/>
      </w:pPr>
      <w:r>
        <w:rPr>
          <w:rFonts w:ascii="Times New Roman" w:hAnsi="Times New Roman" w:eastAsia="Times New Roman" w:cs="Times New Roman"/>
          <w:lang w:val="en-US" w:bidi="en-US"/>
          <w:color w:val="111111"/>
          <w:sz w:val="28"/>
          <w:szCs w:val="28"/>
          <w:rtl/>
        </w:rPr>
        <w:t xml:space="preserve">aš‘ār</w:t>
      </w:r>
    </w:p>
    <w:p>
      <w:pPr>
        <w:pStyle w:val="BookText"/>
      </w:pPr>
      <w:r>
        <w:rPr>
          <w:rFonts w:ascii="IRNazanin" w:hAnsi="IRNazanin" w:eastAsia="IRNazanin" w:cs="IRNazanin"/>
          <w:lang w:bidi="fa-IR"/>
          <w:color w:val="111111"/>
          <w:sz w:val="28"/>
          <w:szCs w:val="28"/>
          <w:rtl/>
        </w:rPr>
        <w:t xml:space="preserve">۱. تهران؛ دانشگاه؛ شماره نسخه: ۳۱۵۱/۲-ف</w:t>
      </w:r>
    </w:p>
    <w:p>
      <w:pPr>
        <w:pStyle w:val="BookText"/>
      </w:pPr>
      <w:r>
        <w:rPr>
          <w:rFonts w:ascii="IRNazanin" w:hAnsi="IRNazanin" w:eastAsia="IRNazanin" w:cs="IRNazanin"/>
          <w:lang w:bidi="fa-IR"/>
          <w:color w:val="111111"/>
          <w:sz w:val="28"/>
          <w:szCs w:val="28"/>
          <w:rtl/>
        </w:rPr>
        <w:t xml:space="preserve">مثنوی محمد حنفیه است؛ بی کا، تا: ۱۱۷۳ق [ فیلمها: ۲ -۸۵]</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مجلس؛ شماره نسخه: ۵۷۹</w:t>
      </w:r>
    </w:p>
    <w:p>
      <w:pPr>
        <w:pStyle w:val="BookText"/>
      </w:pPr>
      <w:r>
        <w:rPr>
          <w:rFonts w:ascii="IRNazanin" w:hAnsi="IRNazanin" w:eastAsia="IRNazanin" w:cs="IRNazanin"/>
          <w:lang w:bidi="fa-IR"/>
          <w:color w:val="111111"/>
          <w:sz w:val="28"/>
          <w:szCs w:val="28"/>
          <w:rtl/>
        </w:rPr>
        <w:t xml:space="preserve">آغاز: بنام خدای ... بم اول خالق دانای کردگار *** رسولش احـمد مصطفی ناز دار / بو رحم بامر ستار عليم *** فضل  بسم الله الرحـمن الرحيم / از مدد توفیق بن نای کردگار *** در چشم وصف جنـگ خاور زمین</w:t>
      </w:r>
    </w:p>
    <w:p>
      <w:pPr>
        <w:pStyle w:val="BookText"/>
      </w:pPr>
      <w:r>
        <w:rPr>
          <w:rFonts w:ascii="IRNazanin" w:hAnsi="IRNazanin" w:eastAsia="IRNazanin" w:cs="IRNazanin"/>
          <w:lang w:bidi="fa-IR"/>
          <w:color w:val="111111"/>
          <w:sz w:val="28"/>
          <w:szCs w:val="28"/>
          <w:rtl/>
        </w:rPr>
        <w:t xml:space="preserve">مثنوی است. نام ها کسان و جای ها در آن: ابوالمنحجین، سعد و قاص، شهر ناهید شاه، قطال شاه، حیدر علی سالار، امير المؤمنين، رعد عمادی میرصیاف، ملک اژدر، خاور زمین، سپاه خاوران، میرزنهار خوار ،پیغمبر ،ظلمات ،شاپور، قلعه صیوری، راه مگـس خمار ،ضیغم، بابای عمر، گنبد آهن ربا، دیو سفید، کوی بلور ،رستم، شهر ساحل زمین، فیروز شاه، گوراب ،سمک شاه، صلصال شاه؛ عنوان ها در آن: ۱- رفتن ابوالمحجین و سعد وقاص به شـهر ناهید شاه، ۲- رسیدن خبر ناهید شاه به نزد قطال شاه و سپاه آوردن قطال شاه، ۳- آمدن علی (علیه السّلام) از پی سعد وقاص و ابو المحجين، ۴ -جنگ کردن معجن با رعد عمادی، ۵- جنـگ کردن امیرالمؤمنین با میر صیاف، ۶- آمدن مالک اژدر به خـاور زمین، ۷- جنگ کردن امیرالمؤمنین با سپاه خاوران،9- خواب دیدن میر زنهار خوار علی (علیه السّلام) را، ۹- خواب دیدن علی(علیه السّلام) حضرت پیغمبر را، ۱۰- رفتن مالک اژدر به ظلمات، ۱۱- رسیـدن علی (علیه السّلام) به لشکر اسلام، ۱۲- خواب دیدن حضرت امیرالمؤمـنین (علیه السّلام) جناب پیغمبر را ،۱۳- خواب دیدن مالک اژدر حضرت پیغمبر را ،۱۴- کشتی گرفتن مالک با شاپور، ۱۵- جنگ کردن مالک با شاپور، ۱۶- رسیدن ابوالمعجین به راه مگس، ۱۷- خواب دیدن معجن حضرت رسول را، ۱۸- سپاه آوردن خمار و ضیـغم بر سر پیغمبر، ۱۹- رفتن بابای عمر به خاور زمین، ۲۰- خراب کردن حضرت علی گنبد آهن ربا را، ۲۱- جنگ کردن مالک با دیو سفید، ۲۲- رفتن جنابش به کوی بلور، ۲۳- دیدن على جـای پای رستم، ۲۴- رفتن مالک به شهر به ساحل زمین، ۲۵- رسیـدن فیروز شاه به امداد لشکر اسلام، ۲۶- رفتن گوراب به جنگ علی و مسلمان شدن گوراب، ۲۷- رفتن شاه ولایت به شهر سمک، 28- مسلمان شدن سمك شاه، ۲۹-مناجات سید کاينات، ۳۰-آمدن صلصال شاه به میدان و جنگ مغلوبه شدن؛ خط: نستعلیق، بی کا، تا: قرن ۱۳؛ افتادگی: آغاز و انجام؛ کاغذ: سفید، جلد: تیماج تریاکی یک لا،۱۳۹گ، ۱۴ سطر (7</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 ف: ۱ - ۳۶۶]</w:t>
      </w:r>
    </w:p>
    <w:p>
      <w:pPr>
        <w:pStyle w:val="BookText"/>
      </w:pPr>
      <w:r>
        <w:rPr>
          <w:rFonts w:ascii="IRNazanin" w:hAnsi="IRNazanin" w:eastAsia="IRNazanin" w:cs="IRNazanin"/>
          <w:lang w:bidi="fa-IR"/>
          <w:color w:val="111111"/>
          <w:sz w:val="28"/>
          <w:szCs w:val="28"/>
          <w:rtl/>
        </w:rPr>
        <w:t xml:space="preserve">3.قم؛ گلپایگانی؛ شماره نسخه: ۳۴۶۰-۱۷/۲۴۰</w:t>
      </w:r>
    </w:p>
    <w:p>
      <w:pPr>
        <w:pStyle w:val="BookText"/>
      </w:pPr>
      <w:r>
        <w:rPr>
          <w:rFonts w:ascii="IRNazanin" w:hAnsi="IRNazanin" w:eastAsia="IRNazanin" w:cs="IRNazanin"/>
          <w:lang w:bidi="fa-IR"/>
          <w:color w:val="111111"/>
          <w:sz w:val="28"/>
          <w:szCs w:val="28"/>
          <w:rtl/>
        </w:rPr>
        <w:t xml:space="preserve">آغاز: جه دختن دلت جه شادی کیلن*** دک لیلاویت بویه وفا و میلن / او چشم و سرمه و خمن کی رشته*** چین کشت پشت پای دشت گشته؛ انجام: حریف اشاره عارف رفتار بو *** مغناطیس دل کیش هوشیار نخاربو / تا معدوم پریش عبدال بربو *** نوشرین روز است اسیرین تربو</w:t>
      </w:r>
    </w:p>
    <w:p>
      <w:pPr>
        <w:pStyle w:val="BookText"/>
      </w:pPr>
      <w:r>
        <w:rPr>
          <w:rFonts w:ascii="IRNazanin" w:hAnsi="IRNazanin" w:eastAsia="IRNazanin" w:cs="IRNazanin"/>
          <w:lang w:bidi="fa-IR"/>
          <w:color w:val="111111"/>
          <w:sz w:val="28"/>
          <w:szCs w:val="28"/>
          <w:rtl/>
        </w:rPr>
        <w:t xml:space="preserve">بیاضی است که در آن غزلیات و رباعیات شاعری کرد زبان تحریر شده؛ خط: شکسته نستعلیق ،تحریری، بی کا، تا: قرن ۱۳ ؛جلد: گالینگور نارنجی، ۵۱گ، ۶ سطر، قطع: بیاض، رقعی، اندازه:7</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سم [ف: ۴ - ۱۹۲۵]</w:t>
      </w:r>
    </w:p>
    <w:p>
      <w:pPr>
        <w:pStyle w:val="BookText"/>
      </w:pPr>
      <w:r>
        <w:rPr>
          <w:rFonts w:ascii="IRNazanin" w:hAnsi="IRNazanin" w:eastAsia="IRNazanin" w:cs="IRNazanin"/>
          <w:lang w:bidi="fa-IR"/>
          <w:color w:val="111111"/>
          <w:sz w:val="28"/>
          <w:szCs w:val="28"/>
          <w:rtl/>
        </w:rPr>
        <w:t xml:space="preserve">۴. تهران؛ دانشگاه؛ شماره نسخه ۳۷۵۲/۲-ف</w:t>
      </w:r>
    </w:p>
    <w:p>
      <w:pPr>
        <w:pStyle w:val="BookText"/>
      </w:pPr>
      <w:r>
        <w:rPr>
          <w:rFonts w:ascii="IRNazanin" w:hAnsi="IRNazanin" w:eastAsia="IRNazanin" w:cs="IRNazanin"/>
          <w:lang w:bidi="fa-IR"/>
          <w:color w:val="111111"/>
          <w:sz w:val="28"/>
          <w:szCs w:val="28"/>
          <w:rtl/>
        </w:rPr>
        <w:t xml:space="preserve">شعرهای کردی میرخسرو و مطهر میر احمد لرستانی و پیر بنیامین؛</w:t>
      </w:r>
    </w:p>
    <w:p>
      <w:pPr>
        <w:pStyle w:val="BookText"/>
      </w:pPr>
      <w:r>
        <w:rPr>
          <w:rFonts w:ascii="IRNazanin" w:hAnsi="IRNazanin" w:eastAsia="IRNazanin" w:cs="IRNazanin"/>
          <w:lang w:bidi="fa-IR"/>
          <w:color w:val="111111"/>
          <w:sz w:val="28"/>
          <w:szCs w:val="28"/>
          <w:rtl/>
        </w:rPr>
        <w:t xml:space="preserve">خط: نستعلیق، بی کا، تا: قرن ۱۴ [فیلمها: ۲ - ۲۴۳]</w:t>
      </w:r>
    </w:p>
    <w:p>
      <w:pPr>
        <w:pStyle w:val="BookText"/>
      </w:pPr>
      <w:r>
        <w:rPr>
          <w:rFonts w:ascii="IRNazanin" w:hAnsi="IRNazanin" w:eastAsia="IRNazanin" w:cs="IRNazanin"/>
          <w:lang w:bidi="fa-IR"/>
          <w:color w:val="111111"/>
          <w:sz w:val="28"/>
          <w:szCs w:val="28"/>
          <w:rtl/>
        </w:rPr>
        <w:t xml:space="preserve">۵. تهران؛ ادبیات؛ شماره نسخه: ۹۲ - ج</w:t>
      </w:r>
    </w:p>
    <w:p>
      <w:pPr>
        <w:pStyle w:val="BookText"/>
      </w:pPr>
      <w:r>
        <w:rPr>
          <w:rFonts w:ascii="IRNazanin" w:hAnsi="IRNazanin" w:eastAsia="IRNazanin" w:cs="IRNazanin"/>
          <w:lang w:bidi="fa-IR"/>
          <w:color w:val="111111"/>
          <w:sz w:val="28"/>
          <w:szCs w:val="28"/>
          <w:rtl/>
        </w:rPr>
        <w:t xml:space="preserve">آغاز: و سیر نشانه دیده بق مکرد *** و شمشیر قله خاراشق مکرد؛</w:t>
      </w:r>
    </w:p>
    <w:p>
      <w:pPr>
        <w:pStyle w:val="BookText"/>
      </w:pPr>
      <w:r>
        <w:rPr>
          <w:rFonts w:ascii="IRNazanin" w:hAnsi="IRNazanin" w:eastAsia="IRNazanin" w:cs="IRNazanin"/>
          <w:lang w:bidi="fa-IR"/>
          <w:color w:val="111111"/>
          <w:sz w:val="28"/>
          <w:szCs w:val="28"/>
          <w:rtl/>
        </w:rPr>
        <w:t xml:space="preserve">انجام: بحق احمد اولادش یکسر *** ژنار دوزخ شیعه خلاص کرد /هزاران در و دو هزاران ...(بریده شده)</w:t>
      </w:r>
    </w:p>
    <w:p>
      <w:pPr>
        <w:pStyle w:val="BookText"/>
      </w:pPr>
      <w:r>
        <w:rPr>
          <w:rFonts w:ascii="IRNazanin" w:hAnsi="IRNazanin" w:eastAsia="IRNazanin" w:cs="IRNazanin"/>
          <w:lang w:bidi="fa-IR"/>
          <w:color w:val="111111"/>
          <w:sz w:val="28"/>
          <w:szCs w:val="28"/>
          <w:rtl/>
        </w:rPr>
        <w:t xml:space="preserve">مثنوی است با عنوان های: داستان سلیم شاه و دختر او و بدیع الملک، جنگ خاقان با او، اسکندر قاریابی و بدیع الملک، مهناز شاه، جنگ تهماسب و لهراسب باسلیم شاه و بردن بریع الجمال رفتن مهتر نسیم باردوی صلصال ،افریدون، محمد شیرزاد؛ خط: نستعلیق، بی کا، تا: قرن ۱۴؛ افتادگی: آغاز و انجام؛ تاریخ ۱۰۸۱ دارد ولی خط و کاغذ از قرن ۱۴ است؛ کاغذ: فرنگی، جلد: تیماج قهوه ای ضربی، ۲۱۴گ، ۱۶ سطر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اندازه:</w:t>
      </w:r>
    </w:p>
    <w:p>
      <w:pPr>
        <w:pStyle w:val="BookText"/>
      </w:pPr>
      <w:r>
        <w:rPr>
          <w:rFonts w:ascii="IRNazanin" w:hAnsi="IRNazanin" w:eastAsia="IRNazanin" w:cs="IRNazanin"/>
          <w:lang w:bidi="fa-IR"/>
          <w:color w:val="111111"/>
          <w:sz w:val="28"/>
          <w:szCs w:val="28"/>
          <w:rtl/>
        </w:rPr>
        <w:t xml:space="preserve">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۱ - ۴۱۱]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تهران؛ مجلس؛ شماره نسخه: ۱۷۶۸۰</w:t>
      </w:r>
    </w:p>
    <w:p>
      <w:pPr>
        <w:pStyle w:val="BookText"/>
      </w:pPr>
      <w:r>
        <w:rPr>
          <w:rFonts w:ascii="IRNazanin" w:hAnsi="IRNazanin" w:eastAsia="IRNazanin" w:cs="IRNazanin"/>
          <w:lang w:bidi="fa-IR"/>
          <w:color w:val="111111"/>
          <w:sz w:val="28"/>
          <w:szCs w:val="28"/>
          <w:rtl/>
        </w:rPr>
        <w:t xml:space="preserve">بی کا، بی تا [د.ث. مجلس ]</w:t>
      </w:r>
    </w:p>
    <w:p>
      <w:pPr>
        <w:pStyle w:val="BookText"/>
      </w:pPr>
      <w:r>
        <w:rPr>
          <w:rFonts w:ascii="IRNazanin" w:hAnsi="IRNazanin" w:eastAsia="IRNazanin" w:cs="IRNazanin"/>
          <w:lang w:bidi="fa-IR"/>
          <w:color w:val="111111"/>
          <w:sz w:val="28"/>
          <w:szCs w:val="28"/>
          <w:rtl/>
        </w:rPr>
        <w:t xml:space="preserve">۷. تهران؛ مجلس؛ شماره نسخه: ۱۷۷۶۹</w:t>
      </w:r>
    </w:p>
    <w:p>
      <w:pPr>
        <w:pStyle w:val="BookText"/>
      </w:pPr>
      <w:r>
        <w:rPr>
          <w:rFonts w:ascii="IRNazanin" w:hAnsi="IRNazanin" w:eastAsia="IRNazanin" w:cs="IRNazanin"/>
          <w:lang w:bidi="fa-IR"/>
          <w:color w:val="111111"/>
          <w:sz w:val="28"/>
          <w:szCs w:val="28"/>
          <w:rtl/>
        </w:rPr>
        <w:t xml:space="preserve">بی کا، بی تا [د.ث. مجلس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تهران؛ دانشگاه؛ شماره نسخه: ۳۱۵۱-ف</w:t>
      </w:r>
    </w:p>
    <w:p>
      <w:pPr>
        <w:pStyle w:val="BookText"/>
      </w:pPr>
      <w:r>
        <w:rPr>
          <w:rFonts w:ascii="IRNazanin" w:hAnsi="IRNazanin" w:eastAsia="IRNazanin" w:cs="IRNazanin"/>
          <w:lang w:bidi="fa-IR"/>
          <w:color w:val="111111"/>
          <w:sz w:val="28"/>
          <w:szCs w:val="28"/>
          <w:rtl/>
        </w:rPr>
        <w:t xml:space="preserve">نسخه اصل: دانشسرای عالی ش ۱۹۱. دارای مثنوی های: ۱- حمزه نامه، ۲- مثنوی محمد حنیفه،3 - حاتم نامه، ۴- محشر نامه، ۵- جلندی  نامه، ۶- شیر افکن؛ بی کا، بی تا[ فیلمها: ۲ - ۸۵]</w:t>
      </w:r>
    </w:p>
    <w:p>
      <w:pPr>
        <w:pStyle w:val="BookText"/>
      </w:pPr>
      <w:r>
        <w:rPr>
          <w:rFonts w:ascii="IRNazanin" w:hAnsi="IRNazanin" w:eastAsia="IRNazanin" w:cs="IRNazanin"/>
          <w:lang w:bidi="fa-IR"/>
          <w:color w:val="111111"/>
          <w:sz w:val="28"/>
          <w:szCs w:val="28"/>
          <w:rtl/>
        </w:rPr>
        <w:t xml:space="preserve">۹. مشهد؛ میبدی؛ شماره نسخه: ۲۳۶</w:t>
      </w:r>
    </w:p>
    <w:p>
      <w:pPr>
        <w:pStyle w:val="BookText"/>
      </w:pPr>
      <w:r>
        <w:rPr>
          <w:rFonts w:ascii="IRNazanin" w:hAnsi="IRNazanin" w:eastAsia="IRNazanin" w:cs="IRNazanin"/>
          <w:lang w:bidi="fa-IR"/>
          <w:color w:val="111111"/>
          <w:sz w:val="28"/>
          <w:szCs w:val="28"/>
          <w:rtl/>
        </w:rPr>
        <w:t xml:space="preserve">شعر کردی این شاعران آمده: صفر خان لک، کمرخان سالاری، میرزا نادعلی حزین کرمانشاهی، درویش نور علی بلوارانی، ملا پریشان دینوری، مهجور، غلامرضا ارکرازی، سید نوشاد صارم السادات، درویش نیاز بلورانی؛ خط: نستعلیق، بی کا، بی تا؛ ۷۵گ،مختلف السطر ، اندازه: ۱۸/۵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۲۸سم [ف: ۱ - ۱۸۶]</w:t>
      </w:r>
    </w:p>
    <w:p>
      <w:pPr>
        <w:pStyle w:val="BookText"/>
      </w:pPr>
      <w:r>
        <w:rPr>
          <w:rFonts w:ascii="IRNazanin" w:hAnsi="IRNazanin" w:eastAsia="IRNazanin" w:cs="IRNazanin"/>
          <w:lang w:bidi="fa-IR"/>
          <w:color w:val="111111"/>
          <w:sz w:val="28"/>
          <w:szCs w:val="28"/>
          <w:rtl/>
        </w:rPr>
        <w:t xml:space="preserve">۱۰. تهران؛ مجلس؛ شماره نسخه: ۱۶۹۸۱/۱</w:t>
      </w:r>
    </w:p>
    <w:p>
      <w:pPr>
        <w:pStyle w:val="BookText"/>
      </w:pPr>
      <w:r>
        <w:rPr>
          <w:rFonts w:ascii="IRNazanin" w:hAnsi="IRNazanin" w:eastAsia="IRNazanin" w:cs="IRNazanin"/>
          <w:lang w:bidi="fa-IR"/>
          <w:color w:val="111111"/>
          <w:sz w:val="28"/>
          <w:szCs w:val="28"/>
          <w:rtl/>
        </w:rPr>
        <w:t xml:space="preserve">انجام: بالله ... رسول سرور *** بخشی گنای امتان یکسر / ... الهی هر آنکس که این را نوشت *** نویسی تو او را ز اهل بهشت.</w:t>
      </w:r>
    </w:p>
    <w:p>
      <w:pPr>
        <w:pStyle w:val="BookText"/>
      </w:pPr>
      <w:r>
        <w:rPr>
          <w:rFonts w:ascii="IRNazanin" w:hAnsi="IRNazanin" w:eastAsia="IRNazanin" w:cs="IRNazanin"/>
          <w:lang w:bidi="fa-IR"/>
          <w:color w:val="111111"/>
          <w:sz w:val="28"/>
          <w:szCs w:val="28"/>
          <w:rtl/>
        </w:rPr>
        <w:t xml:space="preserve">مثنوی که عنوانش مشخص نیست؛ خط: نستعلیق تحریری، بی کا،
</w:t>
      </w:r>
    </w:p>
    <w:p>
      <w:pPr>
        <w:sectPr>
          <w:footerReference w:type="default" r:id="rId981"/>
          <w:footnotePr>
            <w:numStart w:val="1"/>
            <w:numRestart w:val="eachPage"/>
          </w:footnotePr>
          <w:pgSz w:orient="portrait" w:w="11905.511811023622" w:h="16837.79527559055"/>
          <w:pgMar w:top="1440" w:right="1440" w:bottom="1440" w:left="1440" w:header="720" w:footer="720" w:gutter="0"/>
          <w:cols w:num="1" w:space="720"/>
        </w:sectPr>
      </w:pPr>
    </w:p>
    <w:bookmarkStart w:id="428" w:name="pg20365_260917"/>
    <w:bookmarkEnd w:id="428"/>
    <w:p>
      <w:pPr>
        <w:pStyle w:val="BookText"/>
      </w:pPr>
      <w:r>
        <w:rPr>
          <w:rFonts w:ascii="IRNazanin" w:hAnsi="IRNazanin" w:eastAsia="IRNazanin" w:cs="IRNazanin"/>
          <w:lang w:bidi="fa-IR"/>
          <w:color w:val="111111"/>
          <w:sz w:val="28"/>
          <w:szCs w:val="28"/>
          <w:rtl/>
        </w:rPr>
        <w:t xml:space="preserve">بی تا؛ افتادگی: آغاز؛ جلد: چرم قهوه ای، ۱۶ص (۱-۱۶)، ۱۰ سـطر (۶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،اندازه: ۱۴۹سم [ف: ۴۷ ]</w:t>
      </w:r>
    </w:p>
    <w:p>
      <w:pPr>
        <w:pStyle w:val="Heading3"/>
      </w:pPr>
      <w:bookmarkStart w:id="1959" w:name="_Toc1481"/>
      <w:r>
        <w:t>اشعار / شعر / کردی و فارسی</w:t>
      </w:r>
      <w:bookmarkEnd w:id="1959"/>
    </w:p>
    <w:p>
      <w:pPr>
        <w:pStyle w:val="BookText"/>
      </w:pPr>
      <w:r>
        <w:rPr>
          <w:rFonts w:ascii="Times New Roman" w:hAnsi="Times New Roman" w:eastAsia="Times New Roman" w:cs="Times New Roman"/>
          <w:lang w:val="en-US" w:bidi="en-US"/>
          <w:color w:val="111111"/>
          <w:sz w:val="28"/>
          <w:szCs w:val="28"/>
          <w:rtl/>
        </w:rPr>
        <w:t xml:space="preserve">aš‘ār</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مجلس؛ شماره نسخه: ۹۷۹۱</w:t>
      </w:r>
    </w:p>
    <w:p>
      <w:pPr>
        <w:pStyle w:val="BookText"/>
      </w:pPr>
      <w:r>
        <w:rPr>
          <w:rFonts w:ascii="IRNazanin" w:hAnsi="IRNazanin" w:eastAsia="IRNazanin" w:cs="IRNazanin"/>
          <w:lang w:bidi="fa-IR"/>
          <w:color w:val="111111"/>
          <w:sz w:val="28"/>
          <w:szCs w:val="28"/>
          <w:rtl/>
        </w:rPr>
        <w:t xml:space="preserve">آغاز: کلام مولانا خالد: این چه خاک است کزو رایح جان آمد *** خس خارش بنظر سنبل و ریحان آمده؛ انجام:بخدنگ مژه ات گشته دلم خون آلود *** طاهرا گرد سرش کرد چه تیرزن است</w:t>
      </w:r>
    </w:p>
    <w:p>
      <w:pPr>
        <w:pStyle w:val="BookText"/>
      </w:pPr>
      <w:r>
        <w:rPr>
          <w:rFonts w:ascii="IRNazanin" w:hAnsi="IRNazanin" w:eastAsia="IRNazanin" w:cs="IRNazanin"/>
          <w:lang w:bidi="fa-IR"/>
          <w:color w:val="111111"/>
          <w:sz w:val="28"/>
          <w:szCs w:val="28"/>
          <w:rtl/>
        </w:rPr>
        <w:t xml:space="preserve">جنگی است شامل اشعار فارسی و کردی از: خالد، صبوحی، هـمی ،شکری ،هایم ،محوی ،ناری، سید احمد ،وفاى، غريب، يغما ،مانی ،وحشی، ظهیر فاریابی، مخفی دختر شاه ،ضیاءالدین، زیور، عرفی ،خسرو ،نظیری ،مشتاقی ،انور ،راجی، شیخ حسن سورینی، سعدی شیرازی، ،عارف ،بیدل ،یحیی، طالب ،فنای ،قصاب، طاهر ،فکاری ،خاکی، غیاثی، حاجی علی ،خالص، زهاوی زاده ،صدقی، دولت ،آذر ،حریق ،فکری، رمزی ،کیفی ،بیمار، صابری ،محرومی ،غریقی ،فتحی ،کاکه ،روف ،عطار ،ضمیری، عمر خیام، مقصدی ،جامی ،اوحدی ،قدسی، واقفی، همای، صفی ،شاهدی ،غزالی، فصیحی ،خاتمی ،غازی،نوری ،نجات، آفتابی، شوقی، خاکی ،عزت، شیخ رضا، سرباز ،محمود، امین، فدای، حیدر، خادم، صائب؛ خط: نستعلیق، بی کا، تا: ۹ محرم ۱۲۲۲ق؛ برای مختار بیک؛ مهر: «احمد مختار ۱۳۳۱» (کروی)؛ جلد: گالینگور سرخ، ۱۱۸گ، مورب سطر،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۳۱ - ۹۰]</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قم؛ گلپایگانی؛ شماره نسخه: ۵۹۲۷-۲۹/۲۶۷</w:t>
      </w:r>
    </w:p>
    <w:p>
      <w:pPr>
        <w:pStyle w:val="BookText"/>
      </w:pPr>
      <w:r>
        <w:rPr>
          <w:rFonts w:ascii="IRNazanin" w:hAnsi="IRNazanin" w:eastAsia="IRNazanin" w:cs="IRNazanin"/>
          <w:lang w:bidi="fa-IR"/>
          <w:color w:val="111111"/>
          <w:sz w:val="28"/>
          <w:szCs w:val="28"/>
          <w:rtl/>
        </w:rPr>
        <w:t xml:space="preserve">آغاز: بالا کر که میل اولای پستی*** وردیکلائن دروازه هستی/ بیقدومی کردهای بدی هزار طرز *** زانوی امیدت ناورد او لـرز؛</w:t>
      </w:r>
    </w:p>
    <w:p>
      <w:pPr>
        <w:pStyle w:val="BookText"/>
      </w:pPr>
      <w:r>
        <w:rPr>
          <w:rFonts w:ascii="IRNazanin" w:hAnsi="IRNazanin" w:eastAsia="IRNazanin" w:cs="IRNazanin"/>
          <w:lang w:bidi="fa-IR"/>
          <w:color w:val="111111"/>
          <w:sz w:val="28"/>
          <w:szCs w:val="28"/>
          <w:rtl/>
        </w:rPr>
        <w:t xml:space="preserve">انجام: از زلف مشکبار بر این روی گلعذار </w:t>
      </w:r>
      <w:r>
        <w:rPr>
          <w:rFonts w:ascii="IRNazanin" w:hAnsi="IRNazanin" w:eastAsia="IRNazanin" w:cs="IRNazanin"/>
          <w:lang w:bidi="fa-IR"/>
          <w:color w:val="111111"/>
          <w:sz w:val="28"/>
          <w:szCs w:val="28"/>
          <w:b w:val="1"/>
          <w:bCs w:val="1"/>
          <w:i w:val="1"/>
          <w:iCs w:val="1"/>
          <w:rtl/>
        </w:rPr>
        <w:t xml:space="preserve">گر کوتهست کوتهی از وی عجب مدار/ شب در بهار میل کند سوی کوتهی</w:t>
      </w:r>
      <w:r>
        <w:rPr>
          <w:rFonts w:ascii="IRNazanin" w:hAnsi="IRNazanin" w:eastAsia="IRNazanin" w:cs="IRNazanin"/>
          <w:lang w:bidi="fa-IR"/>
          <w:color w:val="111111"/>
          <w:sz w:val="28"/>
          <w:szCs w:val="28"/>
          <w:rtl/>
        </w:rPr>
        <w:t xml:space="preserve">  چون شب آمد وزان روی چون بهار</w:t>
      </w:r>
    </w:p>
    <w:p>
      <w:pPr>
        <w:pStyle w:val="BookText"/>
      </w:pPr>
      <w:r>
        <w:rPr>
          <w:rFonts w:ascii="IRNazanin" w:hAnsi="IRNazanin" w:eastAsia="IRNazanin" w:cs="IRNazanin"/>
          <w:lang w:bidi="fa-IR"/>
          <w:color w:val="111111"/>
          <w:sz w:val="28"/>
          <w:szCs w:val="28"/>
          <w:rtl/>
        </w:rPr>
        <w:t xml:space="preserve">بیاضی است که در آن اشعار کردی از چند شاعر مانند، صالحی ،یوسف، معدوم داخی، ولی دیوانه و اشعار فارسی از چند شاعر، مانند سعدی، ملولی، ابراهیم و وفایی تحریر شده است؛ خط: شکسته، نستعلیق، کا: علی، تا: ۱۳۱۲ق ؛جا: سلمانیه برای ملا فتح الله خطيب؛ ۹۸گ، مختلف السطر، قطع: بياض رقعی، اندازه: 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۳ - ۱۲۶۱]</w:t>
      </w:r>
    </w:p>
    <w:p>
      <w:pPr>
        <w:pStyle w:val="BookText"/>
      </w:pPr>
      <w:r>
        <w:rPr>
          <w:rFonts w:ascii="IRNazanin" w:hAnsi="IRNazanin" w:eastAsia="IRNazanin" w:cs="IRNazanin"/>
          <w:lang w:bidi="fa-IR"/>
          <w:color w:val="111111"/>
          <w:sz w:val="28"/>
          <w:szCs w:val="28"/>
          <w:rtl/>
        </w:rPr>
        <w:t xml:space="preserve">3.تهران؛ مجلس؛ شماره نسخه: ۱۵۳۲۴/۳</w:t>
      </w:r>
    </w:p>
    <w:p>
      <w:pPr>
        <w:pStyle w:val="BookText"/>
      </w:pPr>
      <w:r>
        <w:rPr>
          <w:rFonts w:ascii="IRNazanin" w:hAnsi="IRNazanin" w:eastAsia="IRNazanin" w:cs="IRNazanin"/>
          <w:lang w:bidi="fa-IR"/>
          <w:color w:val="111111"/>
          <w:sz w:val="28"/>
          <w:szCs w:val="28"/>
          <w:rtl/>
        </w:rPr>
        <w:t xml:space="preserve">آغاز :آغاز سعدی شیرازی: اگر تو فارقی از یاد دوستان یارا*** فراغت از تو میسر نمی شود ما را /کسی ملامت وامق کند بنادانی *** عزیز من که ندیده است روی عذرا را ... آغاز مقطعات: ما بندگان حضرت شاه ولایتیم *** ثبت است بر جریده عالم دوام ما؛</w:t>
      </w:r>
    </w:p>
    <w:p>
      <w:pPr>
        <w:pStyle w:val="BookText"/>
      </w:pPr>
      <w:r>
        <w:rPr>
          <w:rFonts w:ascii="IRNazanin" w:hAnsi="IRNazanin" w:eastAsia="IRNazanin" w:cs="IRNazanin"/>
          <w:lang w:bidi="fa-IR"/>
          <w:color w:val="111111"/>
          <w:sz w:val="28"/>
          <w:szCs w:val="28"/>
          <w:rtl/>
        </w:rPr>
        <w:t xml:space="preserve">انجام: رشید و طواط: دلداری و دل همه از عشق فریبی</w:t>
      </w:r>
      <w:r>
        <w:rPr>
          <w:rFonts w:ascii="IRNazanin" w:hAnsi="IRNazanin" w:eastAsia="IRNazanin" w:cs="IRNazanin"/>
          <w:lang w:bidi="fa-IR"/>
          <w:color w:val="111111"/>
          <w:sz w:val="28"/>
          <w:szCs w:val="28"/>
          <w:b w:val="1"/>
          <w:bCs w:val="1"/>
          <w:i w:val="1"/>
          <w:iCs w:val="1"/>
          <w:rtl/>
        </w:rPr>
        <w:t xml:space="preserve">جانانی و جانرا همه در وعده گذاری / هرگز نرسد از تو دل من بنوازش</w:t>
      </w:r>
      <w:r>
        <w:rPr>
          <w:rFonts w:ascii="IRNazanin" w:hAnsi="IRNazanin" w:eastAsia="IRNazanin" w:cs="IRNazanin"/>
          <w:lang w:bidi="fa-IR"/>
          <w:color w:val="111111"/>
          <w:sz w:val="28"/>
          <w:szCs w:val="28"/>
          <w:rtl/>
        </w:rPr>
        <w:t xml:space="preserve"> با عادت خوبان نبود بنده نوازی</w:t>
      </w:r>
    </w:p>
    <w:p>
      <w:pPr>
        <w:pStyle w:val="BookText"/>
      </w:pPr>
      <w:r>
        <w:rPr>
          <w:rFonts w:ascii="IRNazanin" w:hAnsi="IRNazanin" w:eastAsia="IRNazanin" w:cs="IRNazanin"/>
          <w:lang w:bidi="fa-IR"/>
          <w:color w:val="111111"/>
          <w:sz w:val="28"/>
          <w:szCs w:val="28"/>
          <w:rtl/>
        </w:rPr>
        <w:t xml:space="preserve">خط: نستعلیق، بی کا، تا: ۱۲۰۱ق؛ در پایان دو بیت شعر از خواجه نصیر طوسی است به خط دیگری: «نظام بی نظام گر کافرم خواند*** چراغ کذب را نبود فروغی / مسلمان خوانمش زیرا که نبود *** سزاوار دروغی جز دروغی»، اشعار دو ستونی با ستونی به چلیپا پیرامون آن؛ تملک: ابن محمد کاظم صدر الافاضل در ۱۳۰۵؛ مهر: ابن محمد كاظم صدر الافاضل «عبده لطفعلی» (هشت گوش)؛ جلد: تیماج کرم قهوه ای  ضربی، ۶۷گ (۱۸۳-۲۴۹)، ۱۴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۴۳ - ۲۰]</w:t>
      </w:r>
    </w:p>
    <w:p>
      <w:pPr>
        <w:pStyle w:val="Heading3"/>
      </w:pPr>
      <w:bookmarkStart w:id="1960" w:name="_Toc1482"/>
      <w:r>
        <w:t>اشعار با ترجمه) / شعر / عربی</w:t>
      </w:r>
      <w:bookmarkEnd w:id="1960"/>
    </w:p>
    <w:p>
      <w:pPr>
        <w:pStyle w:val="BookText"/>
      </w:pPr>
      <w:r>
        <w:rPr>
          <w:rFonts w:ascii="Times New Roman" w:hAnsi="Times New Roman" w:eastAsia="Times New Roman" w:cs="Times New Roman"/>
          <w:lang w:val="en-US" w:bidi="en-US"/>
          <w:color w:val="111111"/>
          <w:sz w:val="28"/>
          <w:szCs w:val="28"/>
          <w:rtl/>
        </w:rPr>
        <w:t xml:space="preserve">(aš‘ār (bā t.)</w:t>
      </w:r>
    </w:p>
    <w:p>
      <w:pPr>
        <w:pStyle w:val="BookText"/>
      </w:pPr>
      <w:r>
        <w:rPr>
          <w:rFonts w:ascii="IRNazanin" w:hAnsi="IRNazanin" w:eastAsia="IRNazanin" w:cs="IRNazanin"/>
          <w:lang w:bidi="fa-IR"/>
          <w:color w:val="111111"/>
          <w:sz w:val="28"/>
          <w:szCs w:val="28"/>
          <w:rtl/>
        </w:rPr>
        <w:t xml:space="preserve">دیری عبدالرحمن بن نعمت الله</w:t>
      </w:r>
    </w:p>
    <w:p>
      <w:pPr>
        <w:pStyle w:val="BookText"/>
      </w:pPr>
      <w:r>
        <w:rPr>
          <w:rFonts w:ascii="Times New Roman" w:hAnsi="Times New Roman" w:eastAsia="Times New Roman" w:cs="Times New Roman"/>
          <w:lang w:val="en-US" w:bidi="en-US"/>
          <w:color w:val="111111"/>
          <w:sz w:val="28"/>
          <w:szCs w:val="28"/>
          <w:rtl/>
        </w:rPr>
        <w:t xml:space="preserve">dayrī, ‘abd-or-rahman ebn-e ne'mat-ol-lah</w:t>
      </w:r>
    </w:p>
    <w:p>
      <w:pPr>
        <w:pStyle w:val="BookText"/>
      </w:pPr>
      <w:r>
        <w:rPr>
          <w:rFonts w:ascii="IRNazanin" w:hAnsi="IRNazanin" w:eastAsia="IRNazanin" w:cs="IRNazanin"/>
          <w:lang w:bidi="fa-IR"/>
          <w:color w:val="111111"/>
          <w:sz w:val="28"/>
          <w:szCs w:val="28"/>
          <w:rtl/>
        </w:rPr>
        <w:t xml:space="preserve">این نسخه جنگ اشعار عربی است که توسط شیخ عبدالرحمن دیری به فارسی ترجمه شده و به دستور وی در ۲۸ جمادی الثانی سال ۱۳۰۳ق به وسیله سعد الدين بن ملا لطف الله برای میرزا حسنعلی خان منشی باشی حکمران آن روز کردستان، یعنی احتشام السلطنه نسخه برداری شده، شامل: معلقات سبعه؛ قصيده نابغه ذبیانی؛ قصايد السبع العلويات به نقل از کتاب ابن ابی الحدید در فتح خیبر و مدح حضرت علی (علیه السّلام)؛ قصيده طيطرانيه از رشیدالدین وطواط؛ خمریه از عمر بن الفارض؛ قصيده مدح النبی از کعب بن زهیر؛ لامية العرب منسوب به شنفرى؛ لامية المعجم از حسین بن علی طغرایی؛ قصيده لامية الكرد از عبدالرحمن دیری فرزند نعمت الله مردوخی سنندجی؛ قصیده لامية الكرد از عبدالرحمن دیری فرزند نعمت الله مردوخی در مدح میرزا محمد خان حاکم کردستان؛ قصیده ای از عمیدالدین اسعد که هنگام حبس در قلعه اشکنوان سروده شده؛ قصیده ای از عمیدالدین اسعد که هنگام حبس در قلعه اشکنوان سروده شده؛ قصیده مشهور به بردیه از شیخ محمد البوسيرى (= بوصيرى،کذا في النسخه) در مدح حضرت رسول (صلّی اللَّهِ علیه وَ آلِهِ وَ سَلَّمَ ).</w:t>
      </w:r>
    </w:p>
    <w:p>
      <w:pPr>
        <w:pStyle w:val="BookText"/>
      </w:pPr>
      <w:r>
        <w:rPr>
          <w:rFonts w:ascii="IRNazanin" w:hAnsi="IRNazanin" w:eastAsia="IRNazanin" w:cs="IRNazanin"/>
          <w:lang w:bidi="fa-IR"/>
          <w:color w:val="111111"/>
          <w:sz w:val="28"/>
          <w:szCs w:val="28"/>
          <w:rtl/>
        </w:rPr>
        <w:t xml:space="preserve">تهران؛ انجمن آثار و مفاخر فرهنگی؛ شماره نسخه: ۹۴</w:t>
      </w:r>
    </w:p>
    <w:p>
      <w:pPr>
        <w:pStyle w:val="BookText"/>
      </w:pPr>
      <w:r>
        <w:rPr>
          <w:rFonts w:ascii="IRNazanin" w:hAnsi="IRNazanin" w:eastAsia="IRNazanin" w:cs="IRNazanin"/>
          <w:lang w:bidi="fa-IR"/>
          <w:color w:val="111111"/>
          <w:sz w:val="28"/>
          <w:szCs w:val="28"/>
          <w:rtl/>
        </w:rPr>
        <w:t xml:space="preserve">آغاز:قفانبک من ذکری حبیب و منزل *** بسقط اللوى بين الدخول فحومل؛ انجام: و كل شخص اليه كان منتسبا *** مار نحت عذبات البان ریح صبا *** و أطرب العيس حادى العيس  بالنغم</w:t>
      </w:r>
    </w:p>
    <w:p>
      <w:pPr>
        <w:pStyle w:val="BookText"/>
      </w:pPr>
      <w:r>
        <w:rPr>
          <w:rFonts w:ascii="IRNazanin" w:hAnsi="IRNazanin" w:eastAsia="IRNazanin" w:cs="IRNazanin"/>
          <w:lang w:bidi="fa-IR"/>
          <w:color w:val="111111"/>
          <w:sz w:val="28"/>
          <w:szCs w:val="28"/>
          <w:rtl/>
        </w:rPr>
        <w:t xml:space="preserve">خط: نسخ و نستعلیق شکسته، کا: ملا لطف الله متلخص به سعدالدین، تا: ۲۸ جمادی الثانی ۱۳۰۳ق؛ نسخه ای است مغلوط، محشی، در آغاز نویسنده ای که باید مالک کتاب باشد تاریخ مرگ جلال الدین همایی و محمود و علی اکبر شهابی را آورده؛ کاغذ: فرنگی ،جلد: تیماج قرمز یک لا، ۲۲۹ص، ۹ سطر (۶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
</w:t>
      </w:r>
    </w:p>
    <w:p>
      <w:pPr>
        <w:sectPr>
          <w:footerReference w:type="default" r:id="rId982"/>
          <w:footnotePr>
            <w:numStart w:val="1"/>
            <w:numRestart w:val="eachPage"/>
          </w:footnotePr>
          <w:pgSz w:orient="portrait" w:w="11905.511811023622" w:h="16837.79527559055"/>
          <w:pgMar w:top="1440" w:right="1440" w:bottom="1440" w:left="1440" w:header="720" w:footer="720" w:gutter="0"/>
          <w:cols w:num="1" w:space="720"/>
        </w:sectPr>
      </w:pPr>
    </w:p>
    <w:bookmarkStart w:id="429" w:name="pg20365_260918"/>
    <w:bookmarkEnd w:id="429"/>
    <w:p>
      <w:pPr>
        <w:pStyle w:val="BookText"/>
      </w:pPr>
      <w:r>
        <w:rPr>
          <w:rFonts w:ascii="IRNazanin" w:hAnsi="IRNazanin" w:eastAsia="IRNazanin" w:cs="IRNazanin"/>
          <w:lang w:bidi="fa-IR"/>
          <w:color w:val="111111"/>
          <w:sz w:val="28"/>
          <w:szCs w:val="28"/>
          <w:rtl/>
        </w:rPr>
        <w:t xml:space="preserve">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۲۲/۵سم [ف: ۱۳۰]</w:t>
      </w:r>
    </w:p>
    <w:p>
      <w:pPr>
        <w:pStyle w:val="Heading3"/>
      </w:pPr>
      <w:bookmarkStart w:id="1961" w:name="_Toc1483"/>
      <w:r>
        <w:t>اشعار ابن سینا (ترجمه) / شعر / فارسی</w:t>
      </w:r>
      <w:bookmarkEnd w:id="1961"/>
    </w:p>
    <w:p>
      <w:pPr>
        <w:pStyle w:val="BookText"/>
      </w:pPr>
      <w:r>
        <w:rPr>
          <w:rFonts w:ascii="Times New Roman" w:hAnsi="Times New Roman" w:eastAsia="Times New Roman" w:cs="Times New Roman"/>
          <w:lang w:val="en-US" w:bidi="en-US"/>
          <w:color w:val="111111"/>
          <w:sz w:val="28"/>
          <w:szCs w:val="28"/>
          <w:rtl/>
        </w:rPr>
        <w:t xml:space="preserve">(aš‘ār-e ebn-e sīnā (t.)</w:t>
      </w:r>
    </w:p>
    <w:p>
      <w:pPr>
        <w:pStyle w:val="BookText"/>
      </w:pPr>
      <w:r>
        <w:rPr>
          <w:rFonts w:ascii="IRNazanin" w:hAnsi="IRNazanin" w:eastAsia="IRNazanin" w:cs="IRNazanin"/>
          <w:lang w:bidi="fa-IR"/>
          <w:color w:val="111111"/>
          <w:sz w:val="28"/>
          <w:szCs w:val="28"/>
          <w:rtl/>
        </w:rPr>
        <w:t xml:space="preserve">صوفی، حكيم الدين</w:t>
      </w:r>
    </w:p>
    <w:p>
      <w:pPr>
        <w:pStyle w:val="BookText"/>
      </w:pPr>
      <w:r>
        <w:rPr>
          <w:rFonts w:ascii="Times New Roman" w:hAnsi="Times New Roman" w:eastAsia="Times New Roman" w:cs="Times New Roman"/>
          <w:lang w:val="en-US" w:bidi="en-US"/>
          <w:color w:val="111111"/>
          <w:sz w:val="28"/>
          <w:szCs w:val="28"/>
          <w:rtl/>
        </w:rPr>
        <w:t xml:space="preserve">hakīm-od-dīn, sūfī</w:t>
      </w:r>
    </w:p>
    <w:p>
      <w:pPr>
        <w:pStyle w:val="BookText"/>
      </w:pPr>
      <w:r>
        <w:rPr>
          <w:rFonts w:ascii="IRNazanin" w:hAnsi="IRNazanin" w:eastAsia="IRNazanin" w:cs="IRNazanin"/>
          <w:lang w:bidi="fa-IR"/>
          <w:color w:val="111111"/>
          <w:sz w:val="28"/>
          <w:szCs w:val="28"/>
          <w:rtl/>
        </w:rPr>
        <w:t xml:space="preserve">ترجمه سه شعر از ابن سینا است به فارسی توسط حکیم الدین صوفی متخلص به عارف معاصر سلطان ابراهیم خان، شامل:1. شعری با مطلع: «توق ذا استطعمت ادخال مطعم *** على مطـعم من قبل فعل الهو اضم» و انجام: «فان بها اوصى الحكيم ثياذق*** لذى القرنين العدل ملك الاعاجم»؛ ۲. ارجوزة في الطب که چهارده بیت است، آغاز: «فالحل تبدیل المزاج و عقده *** يشـفی المريض بهاو بالاوهام»؛3 - شعری که دو بیت بیش نیست: «فقلل ان اكلت و بعد اكل *** تجنب فالشفاء في الانهضام/ و لاشيىء و على النفوس اشد باسا *** من ادخال الطعام عـلی الطعام»</w:t>
      </w:r>
    </w:p>
    <w:p>
      <w:pPr>
        <w:pStyle w:val="BookText"/>
      </w:pPr>
      <w:r>
        <w:rPr>
          <w:rFonts w:ascii="IRNazanin" w:hAnsi="IRNazanin" w:eastAsia="IRNazanin" w:cs="IRNazanin"/>
          <w:lang w:bidi="fa-IR"/>
          <w:color w:val="111111"/>
          <w:sz w:val="28"/>
          <w:szCs w:val="28"/>
          <w:rtl/>
        </w:rPr>
        <w:t xml:space="preserve">[فهرستواره منزوی ۳۵۵۶/۵؛ مصنفات ابن سینا، مهدوی ۲۶؛ مشترک پاکستان ۱۸۴۱/۹ (۱ نسخه)]</w:t>
      </w:r>
    </w:p>
    <w:p>
      <w:pPr>
        <w:pStyle w:val="BookText"/>
      </w:pPr>
      <w:r>
        <w:rPr>
          <w:rFonts w:ascii="IRNazanin" w:hAnsi="IRNazanin" w:eastAsia="IRNazanin" w:cs="IRNazanin"/>
          <w:lang w:bidi="fa-IR"/>
          <w:color w:val="111111"/>
          <w:sz w:val="28"/>
          <w:szCs w:val="28"/>
          <w:rtl/>
        </w:rPr>
        <w:t xml:space="preserve">تهران؛ دانشگاه؛ شماره نسخه: ۱۹۲۹/۱۰</w:t>
      </w:r>
    </w:p>
    <w:p>
      <w:pPr>
        <w:pStyle w:val="BookText"/>
      </w:pPr>
      <w:r>
        <w:rPr>
          <w:rFonts w:ascii="IRNazanin" w:hAnsi="IRNazanin" w:eastAsia="IRNazanin" w:cs="IRNazanin"/>
          <w:lang w:bidi="fa-IR"/>
          <w:color w:val="111111"/>
          <w:sz w:val="28"/>
          <w:szCs w:val="28"/>
          <w:rtl/>
        </w:rPr>
        <w:t xml:space="preserve">آغاز: حمد بیحد هست مخصوص خدای مهربان *** مالم روز جزا داننده غیب و نهان؛ انجام: نیست چیزی بنفس از آن بدتر *** طعامی خورند فوق طعام</w:t>
      </w:r>
    </w:p>
    <w:p>
      <w:pPr>
        <w:pStyle w:val="BookText"/>
      </w:pPr>
      <w:r>
        <w:rPr>
          <w:rFonts w:ascii="IRNazanin" w:hAnsi="IRNazanin" w:eastAsia="IRNazanin" w:cs="IRNazanin"/>
          <w:lang w:bidi="fa-IR"/>
          <w:color w:val="111111"/>
          <w:sz w:val="28"/>
          <w:szCs w:val="28"/>
          <w:rtl/>
        </w:rPr>
        <w:t xml:space="preserve">خط: نستعلیق، بی کا، بی تا؛کاغذ: فرنگی ،جلد: تیماج سبز تیـره، 2گ(۱۲۱پ- ۱۲۲ر)، ۲۴ 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 اندازه:۱۵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8- 547]</w:t>
      </w:r>
    </w:p>
    <w:p>
      <w:pPr>
        <w:pStyle w:val="Heading3"/>
      </w:pPr>
      <w:bookmarkStart w:id="1962" w:name="_Toc1484"/>
      <w:r>
        <w:t>اشعار ابی طالب / شعر / عربی</w:t>
      </w:r>
      <w:bookmarkEnd w:id="1962"/>
    </w:p>
    <w:p>
      <w:pPr>
        <w:pStyle w:val="BookText"/>
      </w:pPr>
      <w:r>
        <w:rPr>
          <w:rFonts w:ascii="Times New Roman" w:hAnsi="Times New Roman" w:eastAsia="Times New Roman" w:cs="Times New Roman"/>
          <w:lang w:val="en-US" w:bidi="en-US"/>
          <w:color w:val="111111"/>
          <w:sz w:val="28"/>
          <w:szCs w:val="28"/>
          <w:rtl/>
        </w:rPr>
        <w:t xml:space="preserve">aš‘ār-e abī tāleb</w:t>
      </w:r>
    </w:p>
    <w:p>
      <w:pPr>
        <w:pStyle w:val="BookText"/>
      </w:pPr>
      <w:r>
        <w:rPr>
          <w:rFonts w:ascii="IRNazanin" w:hAnsi="IRNazanin" w:eastAsia="IRNazanin" w:cs="IRNazanin"/>
          <w:lang w:bidi="fa-IR"/>
          <w:color w:val="111111"/>
          <w:sz w:val="28"/>
          <w:szCs w:val="28"/>
          <w:rtl/>
        </w:rPr>
        <w:t xml:space="preserve">جوهری، احمد بن عبدالعزیز</w:t>
      </w:r>
    </w:p>
    <w:p>
      <w:pPr>
        <w:pStyle w:val="BookText"/>
      </w:pPr>
      <w:r>
        <w:rPr>
          <w:rFonts w:ascii="Times New Roman" w:hAnsi="Times New Roman" w:eastAsia="Times New Roman" w:cs="Times New Roman"/>
          <w:lang w:val="en-US" w:bidi="en-US"/>
          <w:color w:val="111111"/>
          <w:sz w:val="28"/>
          <w:szCs w:val="28"/>
          <w:rtl/>
        </w:rPr>
        <w:t xml:space="preserve">jowharī, ahmad ebn-e ‘abd-ol-‘azīz</w:t>
      </w:r>
    </w:p>
    <w:p>
      <w:pPr>
        <w:pStyle w:val="BookText"/>
      </w:pPr>
      <w:r>
        <w:rPr>
          <w:rFonts w:ascii="IRNazanin" w:hAnsi="IRNazanin" w:eastAsia="IRNazanin" w:cs="IRNazanin"/>
          <w:lang w:bidi="fa-IR"/>
          <w:color w:val="111111"/>
          <w:sz w:val="28"/>
          <w:szCs w:val="28"/>
          <w:rtl/>
        </w:rPr>
        <w:t xml:space="preserve">به روایت ابی بکر احمد بن عبدالعزيز جوهری.</w:t>
      </w:r>
    </w:p>
    <w:p>
      <w:pPr>
        <w:pStyle w:val="BookText"/>
      </w:pPr>
      <w:r>
        <w:rPr>
          <w:rFonts w:ascii="IRNazanin" w:hAnsi="IRNazanin" w:eastAsia="IRNazanin" w:cs="IRNazanin"/>
          <w:lang w:bidi="fa-IR"/>
          <w:color w:val="111111"/>
          <w:sz w:val="28"/>
          <w:szCs w:val="28"/>
          <w:rtl/>
        </w:rPr>
        <w:t xml:space="preserve">تهران؛ دانشگاه؛ شماره نسخه: ۷۰۵۹/۴</w:t>
      </w:r>
    </w:p>
    <w:p>
      <w:pPr>
        <w:pStyle w:val="BookText"/>
      </w:pPr>
      <w:r>
        <w:rPr>
          <w:rFonts w:ascii="IRNazanin" w:hAnsi="IRNazanin" w:eastAsia="IRNazanin" w:cs="IRNazanin"/>
          <w:lang w:bidi="fa-IR"/>
          <w:color w:val="111111"/>
          <w:sz w:val="28"/>
          <w:szCs w:val="28"/>
          <w:rtl/>
        </w:rPr>
        <w:t xml:space="preserve">خط: نسخ، کا: خليفة بن يوسف نجفی، بی تا ؛کاغذ: سپاهانی ،جلد: تیماج مشکی مقوایی درون سرخ، ۱۵گ(۶۷پ-۸۲ر)، 15سطر (7</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،قطع: بغلی،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 ۱۶ - ۴۴۱]</w:t>
      </w:r>
    </w:p>
    <w:p>
      <w:pPr>
        <w:pStyle w:val="BookText"/>
      </w:pPr>
      <w:r>
        <w:rPr>
          <w:rFonts w:ascii="Amiri" w:hAnsi="Amiri" w:eastAsia="Amiri" w:cs="Amiri"/>
          <w:lang w:bidi="ar-SA"/>
          <w:color w:val="111111"/>
          <w:sz w:val="28"/>
          <w:szCs w:val="28"/>
          <w:rtl/>
        </w:rPr>
        <w:t xml:space="preserve">«اشعار از ملول » ديوان ملول</w:t>
      </w:r>
    </w:p>
    <w:p>
      <w:pPr>
        <w:pStyle w:val="Heading3"/>
      </w:pPr>
      <w:bookmarkStart w:id="1963" w:name="_Toc1485"/>
      <w:r>
        <w:t>اشعار اسدی طوسی و فردوسی (منتخب) / شعر /  فارسی</w:t>
      </w:r>
      <w:bookmarkEnd w:id="1963"/>
    </w:p>
    <w:p>
      <w:pPr>
        <w:pStyle w:val="BookText"/>
      </w:pPr>
      <w:r>
        <w:rPr>
          <w:rFonts w:ascii="Times New Roman" w:hAnsi="Times New Roman" w:eastAsia="Times New Roman" w:cs="Times New Roman"/>
          <w:lang w:val="en-US" w:bidi="en-US"/>
          <w:color w:val="111111"/>
          <w:sz w:val="28"/>
          <w:szCs w:val="28"/>
          <w:rtl/>
        </w:rPr>
        <w:t xml:space="preserve">(aš‘ār-e asadī tūsī va ferdowsī (mn.)</w:t>
      </w:r>
    </w:p>
    <w:p>
      <w:pPr>
        <w:pStyle w:val="BookText"/>
      </w:pPr>
      <w:r>
        <w:rPr>
          <w:rFonts w:ascii="IRNazanin" w:hAnsi="IRNazanin" w:eastAsia="IRNazanin" w:cs="IRNazanin"/>
          <w:lang w:bidi="fa-IR"/>
          <w:color w:val="111111"/>
          <w:sz w:val="28"/>
          <w:szCs w:val="28"/>
          <w:rtl/>
        </w:rPr>
        <w:t xml:space="preserve">ثمر انصاری، حسین بن محمد علی، 1284- 1344قمری</w:t>
      </w:r>
    </w:p>
    <w:p>
      <w:pPr>
        <w:pStyle w:val="BookText"/>
      </w:pPr>
      <w:r>
        <w:rPr>
          <w:rFonts w:ascii="Times New Roman" w:hAnsi="Times New Roman" w:eastAsia="Times New Roman" w:cs="Times New Roman"/>
          <w:lang w:val="en-US" w:bidi="en-US"/>
          <w:color w:val="111111"/>
          <w:sz w:val="28"/>
          <w:szCs w:val="28"/>
          <w:rtl/>
        </w:rPr>
        <w:t xml:space="preserve">(1926-samar-e ansārī, hoseyn ebn-e mohammad 'alā (1868-</w:t>
      </w:r>
    </w:p>
    <w:p>
      <w:pPr>
        <w:pStyle w:val="BookText"/>
      </w:pPr>
      <w:r>
        <w:rPr>
          <w:rFonts w:ascii="IRNazanin" w:hAnsi="IRNazanin" w:eastAsia="IRNazanin" w:cs="IRNazanin"/>
          <w:lang w:bidi="fa-IR"/>
          <w:color w:val="111111"/>
          <w:sz w:val="28"/>
          <w:szCs w:val="28"/>
          <w:rtl/>
        </w:rPr>
        <w:t xml:space="preserve">به انتخاب حسین انصاری متخلص به «ثمر» ژنرال آجودان ظل السلطان که به امر وی در ۱۳۱۹ انتخاب و نوشته شده است، در دو قسمت: ۱. گرشاسب نامه اسدی طوسی با ملحقاتی از ثمر و شرح حال اسدی در آخر کتاب به قلم حسین انصاری، ۲. سلطنت گشتاسب و رفتن اسفندیار به رزم رستم داستان از فردوسی طوسی؛ خاتمه: منتخب نامه از اشعار ثمر در مدح ظل السلطان.</w:t>
      </w:r>
    </w:p>
    <w:p>
      <w:pPr>
        <w:pStyle w:val="BookText"/>
      </w:pPr>
      <w:r>
        <w:rPr>
          <w:rFonts w:ascii="IRNazanin" w:hAnsi="IRNazanin" w:eastAsia="IRNazanin" w:cs="IRNazanin"/>
          <w:lang w:bidi="fa-IR"/>
          <w:color w:val="111111"/>
          <w:sz w:val="28"/>
          <w:szCs w:val="28"/>
          <w:rtl/>
        </w:rPr>
        <w:t xml:space="preserve">اصفهان؛ صارم الدوله (کتابخانه فرهنگ اصفهان)؛ شماره نسخه: ۱۰۴۶</w:t>
      </w:r>
    </w:p>
    <w:p>
      <w:pPr>
        <w:pStyle w:val="BookText"/>
      </w:pPr>
      <w:r>
        <w:rPr>
          <w:rFonts w:ascii="IRNazanin" w:hAnsi="IRNazanin" w:eastAsia="IRNazanin" w:cs="IRNazanin"/>
          <w:lang w:bidi="fa-IR"/>
          <w:color w:val="111111"/>
          <w:sz w:val="28"/>
          <w:szCs w:val="28"/>
          <w:rtl/>
        </w:rPr>
        <w:t xml:space="preserve">خط: شکسته نستعلیق، کاتب = مؤلف، تا: شعبان ۱۳۱۹ق؛ کاغذ: فرنگی صورتی ،جلد: مقوایی با عطف میشن قرمز، ۱۸۶ص، ۱۵ سطر ،(8</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 ۱۴۹]</w:t>
      </w:r>
    </w:p>
    <w:p>
      <w:pPr>
        <w:pStyle w:val="Heading3"/>
      </w:pPr>
      <w:bookmarkStart w:id="1964" w:name="_Toc1486"/>
      <w:r>
        <w:t>اشعار اسکندرنامه / شعر / فارسی</w:t>
      </w:r>
      <w:bookmarkEnd w:id="1964"/>
    </w:p>
    <w:p>
      <w:pPr>
        <w:pStyle w:val="BookText"/>
      </w:pPr>
      <w:r>
        <w:rPr>
          <w:rFonts w:ascii="Times New Roman" w:hAnsi="Times New Roman" w:eastAsia="Times New Roman" w:cs="Times New Roman"/>
          <w:lang w:val="en-US" w:bidi="en-US"/>
          <w:color w:val="111111"/>
          <w:sz w:val="28"/>
          <w:szCs w:val="28"/>
          <w:rtl/>
        </w:rPr>
        <w:t xml:space="preserve">aš‘ār-e eskandar-nāme</w:t>
      </w:r>
    </w:p>
    <w:p>
      <w:pPr>
        <w:pStyle w:val="BookText"/>
      </w:pPr>
      <w:r>
        <w:rPr>
          <w:rFonts w:ascii="IRNazanin" w:hAnsi="IRNazanin" w:eastAsia="IRNazanin" w:cs="IRNazanin"/>
          <w:lang w:bidi="fa-IR"/>
          <w:color w:val="111111"/>
          <w:sz w:val="28"/>
          <w:szCs w:val="28"/>
          <w:rtl/>
        </w:rPr>
        <w:t xml:space="preserve">توپچی، محمد حسن، ق۱۴ قمری</w:t>
      </w:r>
    </w:p>
    <w:p>
      <w:pPr>
        <w:pStyle w:val="BookText"/>
      </w:pPr>
      <w:r>
        <w:rPr>
          <w:rFonts w:ascii="Times New Roman" w:hAnsi="Times New Roman" w:eastAsia="Times New Roman" w:cs="Times New Roman"/>
          <w:lang w:val="en-US" w:bidi="en-US"/>
          <w:color w:val="111111"/>
          <w:sz w:val="28"/>
          <w:szCs w:val="28"/>
          <w:rtl/>
        </w:rPr>
        <w:t xml:space="preserve">(tūpčī, mohammad hasan (- 20c)</w:t>
      </w:r>
    </w:p>
    <w:p>
      <w:pPr>
        <w:pStyle w:val="BookText"/>
      </w:pPr>
      <w:r>
        <w:rPr>
          <w:rFonts w:ascii="IRNazanin" w:hAnsi="IRNazanin" w:eastAsia="IRNazanin" w:cs="IRNazanin"/>
          <w:lang w:bidi="fa-IR"/>
          <w:color w:val="111111"/>
          <w:sz w:val="28"/>
          <w:szCs w:val="28"/>
          <w:rtl/>
        </w:rPr>
        <w:t xml:space="preserve">اصفهان؛ صارم الدوله (کتابخانه فرهنگ اصفهان)؛ شماره نسخه: ۱۰۴۰/۱</w:t>
      </w:r>
    </w:p>
    <w:p>
      <w:pPr>
        <w:pStyle w:val="BookText"/>
      </w:pPr>
      <w:r>
        <w:rPr>
          <w:rFonts w:ascii="IRNazanin" w:hAnsi="IRNazanin" w:eastAsia="IRNazanin" w:cs="IRNazanin"/>
          <w:lang w:bidi="fa-IR"/>
          <w:color w:val="111111"/>
          <w:sz w:val="28"/>
          <w:szCs w:val="28"/>
          <w:rtl/>
        </w:rPr>
        <w:t xml:space="preserve">آغاز: فلک تا هست تو مسند نشین باش*** همیشه خسرو روی زمین باش؛ انجام: چون مخبط شد اعتدال مزاج *** نه عزیمت روا بود نه علاج</w:t>
      </w:r>
    </w:p>
    <w:p>
      <w:pPr>
        <w:pStyle w:val="BookText"/>
      </w:pPr>
      <w:r>
        <w:rPr>
          <w:rFonts w:ascii="IRNazanin" w:hAnsi="IRNazanin" w:eastAsia="IRNazanin" w:cs="IRNazanin"/>
          <w:lang w:bidi="fa-IR"/>
          <w:color w:val="111111"/>
          <w:sz w:val="28"/>
          <w:szCs w:val="28"/>
          <w:rtl/>
        </w:rPr>
        <w:t xml:space="preserve">خط: شکسته نستعلیق، کاتب = مؤلف ،تا: از ربیع الثانی تا جمعه جمادى الاول ۱۳۲۲ق؛ کاغذ: فرنگی، جلد: تیماج قرمز یک لا، ۷۶ص،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 ۱۴۴]</w:t>
      </w:r>
    </w:p>
    <w:p>
      <w:pPr>
        <w:pStyle w:val="Heading3"/>
      </w:pPr>
      <w:bookmarkStart w:id="1965" w:name="_Toc1487"/>
      <w:r>
        <w:t>اشعار الحسن بن علی (علیه السّلام) / شعر / عربی</w:t>
      </w:r>
      <w:bookmarkEnd w:id="1965"/>
    </w:p>
    <w:p>
      <w:pPr>
        <w:pStyle w:val="BookText"/>
      </w:pPr>
      <w:r>
        <w:rPr>
          <w:rFonts w:ascii="Times New Roman" w:hAnsi="Times New Roman" w:eastAsia="Times New Roman" w:cs="Times New Roman"/>
          <w:lang w:val="en-US" w:bidi="en-US"/>
          <w:color w:val="111111"/>
          <w:sz w:val="28"/>
          <w:szCs w:val="28"/>
          <w:rtl/>
        </w:rPr>
        <w:t xml:space="preserve">aš‘ār-ul-ḥasan-i-bn-i ‘alī</w:t>
      </w:r>
    </w:p>
    <w:p>
      <w:pPr>
        <w:pStyle w:val="BookText"/>
      </w:pPr>
      <w:r>
        <w:rPr>
          <w:rFonts w:ascii="IRNazanin" w:hAnsi="IRNazanin" w:eastAsia="IRNazanin" w:cs="IRNazanin"/>
          <w:lang w:bidi="fa-IR"/>
          <w:color w:val="111111"/>
          <w:sz w:val="28"/>
          <w:szCs w:val="28"/>
          <w:rtl/>
        </w:rPr>
        <w:t xml:space="preserve">مدائنی، علی بن محمد، ۱۳۵ - ۲۲۵؟ قمری</w:t>
      </w:r>
    </w:p>
    <w:p>
      <w:pPr>
        <w:pStyle w:val="BookText"/>
      </w:pPr>
      <w:r>
        <w:rPr>
          <w:rFonts w:ascii="Times New Roman" w:hAnsi="Times New Roman" w:eastAsia="Times New Roman" w:cs="Times New Roman"/>
          <w:lang w:val="en-US" w:bidi="en-US"/>
          <w:color w:val="111111"/>
          <w:sz w:val="28"/>
          <w:szCs w:val="28"/>
          <w:rtl/>
        </w:rPr>
        <w:t xml:space="preserve">(madā’enī, ‘alī ebn-e mohammad (753 - 841)</w:t>
      </w:r>
    </w:p>
    <w:p>
      <w:pPr>
        <w:pStyle w:val="BookText"/>
      </w:pPr>
      <w:r>
        <w:rPr>
          <w:rFonts w:ascii="IRNazanin" w:hAnsi="IRNazanin" w:eastAsia="IRNazanin" w:cs="IRNazanin"/>
          <w:lang w:bidi="fa-IR"/>
          <w:color w:val="111111"/>
          <w:sz w:val="28"/>
          <w:szCs w:val="28"/>
          <w:rtl/>
        </w:rPr>
        <w:t xml:space="preserve">تهران؛ دانشگاه؛ شماره نسخه: ۷۰۵۹/۲</w:t>
      </w:r>
    </w:p>
    <w:p>
      <w:pPr>
        <w:pStyle w:val="BookText"/>
      </w:pPr>
      <w:r>
        <w:rPr>
          <w:rFonts w:ascii="IRNazanin" w:hAnsi="IRNazanin" w:eastAsia="IRNazanin" w:cs="IRNazanin"/>
          <w:lang w:bidi="fa-IR"/>
          <w:color w:val="111111"/>
          <w:sz w:val="28"/>
          <w:szCs w:val="28"/>
          <w:rtl/>
        </w:rPr>
        <w:t xml:space="preserve">خط: نسخ، ، كا: خليفة بن یوسف نجفی، بی تا؛ کاغذ: سپاهانی،جلد: تیماج مشکی مقوایی درون سرخ، ۴گ (۵۲-۵۶پ)، ۱۵ سطر (7</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،قطع: بغلی،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 ۱۶ - ۴۴۱]</w:t>
      </w:r>
    </w:p>
    <w:p>
      <w:pPr>
        <w:pStyle w:val="Heading3"/>
      </w:pPr>
      <w:bookmarkStart w:id="1966" w:name="_Toc1488"/>
      <w:r>
        <w:t>اشعار روحی کرمانی / شعر / فارسی</w:t>
      </w:r>
      <w:bookmarkEnd w:id="1966"/>
    </w:p>
    <w:p>
      <w:pPr>
        <w:pStyle w:val="BookText"/>
      </w:pPr>
      <w:r>
        <w:rPr>
          <w:rFonts w:ascii="Times New Roman" w:hAnsi="Times New Roman" w:eastAsia="Times New Roman" w:cs="Times New Roman"/>
          <w:lang w:val="en-US" w:bidi="en-US"/>
          <w:color w:val="111111"/>
          <w:sz w:val="28"/>
          <w:szCs w:val="28"/>
          <w:rtl/>
        </w:rPr>
        <w:t xml:space="preserve">aš ār-e rūhī-ye kermānī</w:t>
      </w:r>
    </w:p>
    <w:p>
      <w:pPr>
        <w:pStyle w:val="BookText"/>
      </w:pPr>
      <w:r>
        <w:rPr>
          <w:rFonts w:ascii="IRNazanin" w:hAnsi="IRNazanin" w:eastAsia="IRNazanin" w:cs="IRNazanin"/>
          <w:lang w:bidi="fa-IR"/>
          <w:color w:val="111111"/>
          <w:sz w:val="28"/>
          <w:szCs w:val="28"/>
          <w:rtl/>
        </w:rPr>
        <w:t xml:space="preserve">روحی کرمانی، احمد بن محمد جعفر، - ۱۳۱۴ قمری</w:t>
      </w:r>
    </w:p>
    <w:p>
      <w:pPr>
        <w:pStyle w:val="BookText"/>
      </w:pPr>
      <w:r>
        <w:rPr>
          <w:rFonts w:ascii="Times New Roman" w:hAnsi="Times New Roman" w:eastAsia="Times New Roman" w:cs="Times New Roman"/>
          <w:lang w:val="en-US" w:bidi="en-US"/>
          <w:color w:val="111111"/>
          <w:sz w:val="28"/>
          <w:szCs w:val="28"/>
          <w:rtl/>
        </w:rPr>
        <w:t xml:space="preserve">rūhī-ye kermānī, ahmad ebn-e mohammad ja far (-
</w:t>
      </w:r>
    </w:p>
    <w:p>
      <w:pPr>
        <w:sectPr>
          <w:footerReference w:type="default" r:id="rId983"/>
          <w:footnotePr>
            <w:numStart w:val="1"/>
            <w:numRestart w:val="eachPage"/>
          </w:footnotePr>
          <w:pgSz w:orient="portrait" w:w="11905.511811023622" w:h="16837.79527559055"/>
          <w:pgMar w:top="1440" w:right="1440" w:bottom="1440" w:left="1440" w:header="720" w:footer="720" w:gutter="0"/>
          <w:cols w:num="1" w:space="720"/>
        </w:sectPr>
      </w:pPr>
    </w:p>
    <w:bookmarkStart w:id="430" w:name="pg20365_260919"/>
    <w:bookmarkEnd w:id="430"/>
    <w:p>
      <w:pPr>
        <w:pStyle w:val="BookText"/>
      </w:pPr>
      <w:r>
        <w:rPr>
          <w:rFonts w:ascii="Times New Roman" w:hAnsi="Times New Roman" w:eastAsia="Times New Roman" w:cs="Times New Roman"/>
          <w:lang w:val="en-US" w:bidi="en-US"/>
          <w:color w:val="111111"/>
          <w:sz w:val="28"/>
          <w:szCs w:val="28"/>
          <w:rtl/>
        </w:rPr>
        <w:t xml:space="preserve">(1897</w:t>
      </w:r>
    </w:p>
    <w:p>
      <w:pPr>
        <w:pStyle w:val="BookText"/>
      </w:pPr>
      <w:r>
        <w:rPr>
          <w:rFonts w:ascii="IRNazanin" w:hAnsi="IRNazanin" w:eastAsia="IRNazanin" w:cs="IRNazanin"/>
          <w:lang w:bidi="fa-IR"/>
          <w:color w:val="111111"/>
          <w:sz w:val="28"/>
          <w:szCs w:val="28"/>
          <w:rtl/>
        </w:rPr>
        <w:t xml:space="preserve">شامل ۱۱۶ بیت غزل و مثنوی و ترکیب بند، شاعر در پایان نامه ای کوتاه و بدون تاریخ به خواهرش مطهره نوشته است و این چند بیت را به او تقدیم کرده است: «از مزخرفات و خزعبلات خـود در اسابيع سالفه بجهة جناب شيخ ابى القاسم و عليا مقدره طه ارسال داشته اینک چند بیتی نیز به جهت آن مخدره تقدیم داشت مایه استهزایی به جهت جناب آقا یوسف هست چندی مشغول خواهند بود».</w:t>
      </w:r>
    </w:p>
    <w:p>
      <w:pPr>
        <w:pStyle w:val="BookText"/>
      </w:pPr>
      <w:r>
        <w:rPr>
          <w:rFonts w:ascii="IRNazanin" w:hAnsi="IRNazanin" w:eastAsia="IRNazanin" w:cs="IRNazanin"/>
          <w:lang w:bidi="fa-IR"/>
          <w:color w:val="111111"/>
          <w:sz w:val="28"/>
          <w:szCs w:val="28"/>
          <w:rtl/>
        </w:rPr>
        <w:t xml:space="preserve">تهران؛ دانشگاه؛ شماره نسخه: ۱۰۷۴۱/۳</w:t>
      </w:r>
    </w:p>
    <w:p>
      <w:pPr>
        <w:pStyle w:val="BookText"/>
      </w:pPr>
      <w:r>
        <w:rPr>
          <w:rFonts w:ascii="IRNazanin" w:hAnsi="IRNazanin" w:eastAsia="IRNazanin" w:cs="IRNazanin"/>
          <w:lang w:bidi="fa-IR"/>
          <w:color w:val="111111"/>
          <w:sz w:val="28"/>
          <w:szCs w:val="28"/>
          <w:rtl/>
        </w:rPr>
        <w:t xml:space="preserve">آغاز: بنشانید به خاک رهم آن تازه نهال *** سایه وش کرد دلم را به ره خود پامال / بلبل جان مرا چرخ شکسته پرو بال *** طوطی طبع شد از زهر غم هجران لال؛ انجام: بریدم دل از خلق بالجـمله روحی *** شدم بار دیگر بر بردباری</w:t>
      </w:r>
    </w:p>
    <w:p>
      <w:pPr>
        <w:pStyle w:val="BookText"/>
      </w:pPr>
      <w:r>
        <w:rPr>
          <w:rFonts w:ascii="IRNazanin" w:hAnsi="IRNazanin" w:eastAsia="IRNazanin" w:cs="IRNazanin"/>
          <w:lang w:bidi="fa-IR"/>
          <w:color w:val="111111"/>
          <w:sz w:val="28"/>
          <w:szCs w:val="28"/>
          <w:rtl/>
        </w:rPr>
        <w:t xml:space="preserve">خط: نستعلیق، بی کا،بی تا ؛جلد: گالینگور قهوه ای ،۷ ص (21- ۲۷)،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 ۲۰ - ۲۶۶]</w:t>
      </w:r>
    </w:p>
    <w:p>
      <w:pPr>
        <w:pStyle w:val="Heading3"/>
      </w:pPr>
      <w:bookmarkStart w:id="1967" w:name="_Toc1489"/>
      <w:r>
        <w:t>الأشعار الشواهد في التفسير الموضح الحدادي /   ادبیات / عربی</w:t>
      </w:r>
      <w:bookmarkEnd w:id="1967"/>
    </w:p>
    <w:p>
      <w:pPr>
        <w:pStyle w:val="BookText"/>
      </w:pPr>
      <w:r>
        <w:rPr>
          <w:rFonts w:ascii="Times New Roman" w:hAnsi="Times New Roman" w:eastAsia="Times New Roman" w:cs="Times New Roman"/>
          <w:lang w:val="en-US" w:bidi="en-US"/>
          <w:color w:val="111111"/>
          <w:sz w:val="28"/>
          <w:szCs w:val="28"/>
          <w:rtl/>
        </w:rPr>
        <w:t xml:space="preserve">al-aš‘ār-uš šawāhid fi-t tafsīr-il mawḍiḥ-il ḥaddādī</w:t>
      </w:r>
    </w:p>
    <w:p>
      <w:pPr>
        <w:pStyle w:val="BookText"/>
      </w:pPr>
      <w:r>
        <w:rPr>
          <w:rFonts w:ascii="IRNazanin" w:hAnsi="IRNazanin" w:eastAsia="IRNazanin" w:cs="IRNazanin"/>
          <w:lang w:bidi="fa-IR"/>
          <w:color w:val="111111"/>
          <w:sz w:val="28"/>
          <w:szCs w:val="28"/>
          <w:rtl/>
        </w:rPr>
        <w:t xml:space="preserve">قم؛ مرعشی؛ شماره نسخه: ۱۱۲۰/۵</w:t>
      </w:r>
    </w:p>
    <w:p>
      <w:pPr>
        <w:pStyle w:val="BookText"/>
      </w:pPr>
      <w:r>
        <w:rPr>
          <w:rFonts w:ascii="Amiri" w:hAnsi="Amiri" w:eastAsia="Amiri" w:cs="Amiri"/>
          <w:lang w:bidi="ar-SA"/>
          <w:color w:val="111111"/>
          <w:sz w:val="28"/>
          <w:szCs w:val="28"/>
          <w:rtl/>
        </w:rPr>
        <w:t xml:space="preserve">آغاز: بسمله. ذالك بمعنى هذا قال القائل اقول له والرمح</w:t>
      </w:r>
    </w:p>
    <w:p>
      <w:pPr>
        <w:pStyle w:val="BookText"/>
      </w:pPr>
      <w:r>
        <w:rPr>
          <w:rFonts w:ascii="IRNazanin" w:hAnsi="IRNazanin" w:eastAsia="IRNazanin" w:cs="IRNazanin"/>
          <w:lang w:bidi="fa-IR"/>
          <w:color w:val="111111"/>
          <w:sz w:val="28"/>
          <w:szCs w:val="28"/>
          <w:rtl/>
        </w:rPr>
        <w:t xml:space="preserve">نسخه اصل: کتابخانه چستربیتی، ش ۳۸۸۳؛ بی کا، تا: قرن 8؛۱۴ ص (۲۲۸-۲۴۱) [عکسی ف: ۳ - ۲۵۱]</w:t>
      </w:r>
    </w:p>
    <w:p>
      <w:pPr>
        <w:pStyle w:val="Heading3"/>
      </w:pPr>
      <w:bookmarkStart w:id="1968" w:name="_Toc1490"/>
      <w:r>
        <w:t>الأشعار الشواهد من الطريقة الرضوية / ادبيات / عربي</w:t>
      </w:r>
      <w:bookmarkEnd w:id="1968"/>
    </w:p>
    <w:p>
      <w:pPr>
        <w:pStyle w:val="BookText"/>
      </w:pPr>
      <w:r>
        <w:rPr>
          <w:rFonts w:ascii="Times New Roman" w:hAnsi="Times New Roman" w:eastAsia="Times New Roman" w:cs="Times New Roman"/>
          <w:lang w:val="en-US" w:bidi="en-US"/>
          <w:color w:val="111111"/>
          <w:sz w:val="28"/>
          <w:szCs w:val="28"/>
          <w:rtl/>
        </w:rPr>
        <w:t xml:space="preserve">al-aš‘ār-uš šawāhid min-aṭ ṭarīqat-ir raḍawīya</w:t>
      </w:r>
    </w:p>
    <w:p>
      <w:pPr>
        <w:pStyle w:val="BookText"/>
      </w:pPr>
      <w:r>
        <w:rPr>
          <w:rFonts w:ascii="IRNazanin" w:hAnsi="IRNazanin" w:eastAsia="IRNazanin" w:cs="IRNazanin"/>
          <w:lang w:bidi="fa-IR"/>
          <w:color w:val="111111"/>
          <w:sz w:val="28"/>
          <w:szCs w:val="28"/>
          <w:rtl/>
        </w:rPr>
        <w:t xml:space="preserve">قم؛ مرعشی؛ شماره نسخه: ۱۱۲۰/۶</w:t>
      </w:r>
    </w:p>
    <w:p>
      <w:pPr>
        <w:pStyle w:val="BookText"/>
      </w:pPr>
      <w:r>
        <w:rPr>
          <w:rFonts w:ascii="Amiri" w:hAnsi="Amiri" w:eastAsia="Amiri" w:cs="Amiri"/>
          <w:lang w:bidi="ar-SA"/>
          <w:color w:val="111111"/>
          <w:sz w:val="28"/>
          <w:szCs w:val="28"/>
          <w:rtl/>
        </w:rPr>
        <w:t xml:space="preserve">آغاز: بسمله. التقديم والتأخير جايز في كلام العرب قال الشـاعر انى اذا</w:t>
      </w:r>
    </w:p>
    <w:p>
      <w:pPr>
        <w:pStyle w:val="BookText"/>
      </w:pPr>
      <w:r>
        <w:rPr>
          <w:rFonts w:ascii="IRNazanin" w:hAnsi="IRNazanin" w:eastAsia="IRNazanin" w:cs="IRNazanin"/>
          <w:lang w:bidi="fa-IR"/>
          <w:color w:val="111111"/>
          <w:sz w:val="28"/>
          <w:szCs w:val="28"/>
          <w:rtl/>
        </w:rPr>
        <w:t xml:space="preserve">نسخه اصل: کتابخانه چستر بیتی، ش ۳۸۸۳؛ بی کا، تا: قرن 8؛ 3ص (۲۴۴-۲۴۲) [ عکسی ف: ۳ - ۲۵۱]</w:t>
      </w:r>
    </w:p>
    <w:p>
      <w:pPr>
        <w:pStyle w:val="Heading3"/>
      </w:pPr>
      <w:bookmarkStart w:id="1969" w:name="_Toc1491"/>
      <w:r>
        <w:t>الاشعار الغريبة / شعر / عربي</w:t>
      </w:r>
      <w:bookmarkEnd w:id="1969"/>
    </w:p>
    <w:p>
      <w:pPr>
        <w:pStyle w:val="BookText"/>
      </w:pPr>
      <w:r>
        <w:rPr>
          <w:rFonts w:ascii="Times New Roman" w:hAnsi="Times New Roman" w:eastAsia="Times New Roman" w:cs="Times New Roman"/>
          <w:lang w:val="en-US" w:bidi="en-US"/>
          <w:color w:val="111111"/>
          <w:sz w:val="28"/>
          <w:szCs w:val="28"/>
          <w:rtl/>
        </w:rPr>
        <w:t xml:space="preserve">al-aš‘ār-ul ġarība</w:t>
      </w:r>
    </w:p>
    <w:p>
      <w:pPr>
        <w:pStyle w:val="BookText"/>
      </w:pPr>
      <w:r>
        <w:rPr>
          <w:rFonts w:ascii="IRNazanin" w:hAnsi="IRNazanin" w:eastAsia="IRNazanin" w:cs="IRNazanin"/>
          <w:lang w:bidi="fa-IR"/>
          <w:color w:val="111111"/>
          <w:sz w:val="28"/>
          <w:szCs w:val="28"/>
          <w:rtl/>
        </w:rPr>
        <w:t xml:space="preserve">حمیری نجفی، محمد بن فرج، - ۱۰۵۹ قمری</w:t>
      </w:r>
    </w:p>
    <w:p>
      <w:pPr>
        <w:pStyle w:val="BookText"/>
      </w:pPr>
      <w:r>
        <w:rPr>
          <w:rFonts w:ascii="Times New Roman" w:hAnsi="Times New Roman" w:eastAsia="Times New Roman" w:cs="Times New Roman"/>
          <w:lang w:val="en-US" w:bidi="en-US"/>
          <w:color w:val="111111"/>
          <w:sz w:val="28"/>
          <w:szCs w:val="28"/>
          <w:rtl/>
        </w:rPr>
        <w:t xml:space="preserve">(hemyarī najafī, mohammad ebn-e faraj (- 1649)</w:t>
      </w:r>
    </w:p>
    <w:p>
      <w:pPr>
        <w:pStyle w:val="BookText"/>
      </w:pPr>
      <w:r>
        <w:rPr>
          <w:rFonts w:ascii="IRNazanin" w:hAnsi="IRNazanin" w:eastAsia="IRNazanin" w:cs="IRNazanin"/>
          <w:lang w:bidi="fa-IR"/>
          <w:color w:val="111111"/>
          <w:sz w:val="28"/>
          <w:szCs w:val="28"/>
          <w:rtl/>
        </w:rPr>
        <w:t xml:space="preserve">گزیده اشعار است: از امام زین العابدین (علیه السّلام)، ابن ابی الحدید،  فی ذم الصوفية، و امیرالمؤمنین (علیه السّلام) ، بیشتر اشعار تک بیت است و سراینده ندارد.</w:t>
      </w:r>
    </w:p>
    <w:p>
      <w:pPr>
        <w:pStyle w:val="BookText"/>
      </w:pPr>
      <w:r>
        <w:rPr>
          <w:rFonts w:ascii="IRNazanin" w:hAnsi="IRNazanin" w:eastAsia="IRNazanin" w:cs="IRNazanin"/>
          <w:lang w:bidi="fa-IR"/>
          <w:color w:val="111111"/>
          <w:sz w:val="28"/>
          <w:szCs w:val="28"/>
          <w:rtl/>
        </w:rPr>
        <w:t xml:space="preserve">تهران؛ مجلس؛ شماره نسخه: ۸۹۶۰/۲</w:t>
      </w:r>
    </w:p>
    <w:p>
      <w:pPr>
        <w:pStyle w:val="BookText"/>
      </w:pPr>
      <w:r>
        <w:rPr>
          <w:rFonts w:ascii="IRNazanin" w:hAnsi="IRNazanin" w:eastAsia="IRNazanin" w:cs="IRNazanin"/>
          <w:lang w:bidi="fa-IR"/>
          <w:color w:val="111111"/>
          <w:sz w:val="28"/>
          <w:szCs w:val="28"/>
          <w:rtl/>
        </w:rPr>
        <w:t xml:space="preserve">آغاز: الى هنا و عزمنا على السفر الى النجف الاشرف و ما تم ما اردنا جمعه و لكن صاحب البياض ادام الله ايامه امر ان اجمع له ما فى محفوظاتى من الاشعار الغريبة النافعة الحسنة فانا ممتثل امره العالى بحسب الامكان؛ انجام: بغض الوصى علامة مكتوبة *** تبدوا على جبهات اولاد الزنا / من لم يوالى في البرية حيدراً *** مسیان عند الله صلى اوزنا</w:t>
      </w:r>
    </w:p>
    <w:p>
      <w:pPr>
        <w:pStyle w:val="BookText"/>
      </w:pPr>
      <w:r>
        <w:rPr>
          <w:rFonts w:ascii="IRNazanin" w:hAnsi="IRNazanin" w:eastAsia="IRNazanin" w:cs="IRNazanin"/>
          <w:lang w:bidi="fa-IR"/>
          <w:color w:val="111111"/>
          <w:sz w:val="28"/>
          <w:szCs w:val="28"/>
          <w:rtl/>
        </w:rPr>
        <w:t xml:space="preserve">خط: نسخ و نستعلیق شکسته، کاتب = مؤلف، تا: قرن ۱۱؛ پس از آن سه بیت دیگر با خطی مغایر اضافه شده؛ کاغذ: نخودی آهار مهره، جلد: تیماج عنابی ضربی با نقوش فرنگی، ۶ص (۲۷-۳۲)، اندازه: ۱۱/۳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۲۱/۷سم [ف: ۲۹/۱ – ۴۷۲]</w:t>
      </w:r>
    </w:p>
    <w:p>
      <w:pPr>
        <w:pStyle w:val="Heading3"/>
      </w:pPr>
      <w:bookmarkStart w:id="1970" w:name="_Toc1492"/>
      <w:r>
        <w:t>اشعار تذکره شعرا (منتخب) = مشوش نامه / شعر / فارسی</w:t>
      </w:r>
      <w:bookmarkEnd w:id="1970"/>
    </w:p>
    <w:p>
      <w:pPr>
        <w:pStyle w:val="BookText"/>
      </w:pPr>
      <w:r>
        <w:rPr>
          <w:rFonts w:ascii="Times New Roman" w:hAnsi="Times New Roman" w:eastAsia="Times New Roman" w:cs="Times New Roman"/>
          <w:lang w:val="en-US" w:bidi="en-US"/>
          <w:color w:val="111111"/>
          <w:sz w:val="28"/>
          <w:szCs w:val="28"/>
          <w:rtl/>
        </w:rPr>
        <w:t xml:space="preserve">aš ́ār-e tazkere-ye šo‘arā (mn.) = mošavvaš-nāme</w:t>
      </w:r>
    </w:p>
    <w:p>
      <w:pPr>
        <w:pStyle w:val="BookText"/>
      </w:pPr>
      <w:r>
        <w:rPr>
          <w:rFonts w:ascii="IRNazanin" w:hAnsi="IRNazanin" w:eastAsia="IRNazanin" w:cs="IRNazanin"/>
          <w:lang w:bidi="fa-IR"/>
          <w:color w:val="111111"/>
          <w:sz w:val="28"/>
          <w:szCs w:val="28"/>
          <w:rtl/>
        </w:rPr>
        <w:t xml:space="preserve">تهران؛ دانشگاه؛ شماره نسخه: ۴۹۷۱-ف</w:t>
      </w:r>
    </w:p>
    <w:p>
      <w:pPr>
        <w:pStyle w:val="BookText"/>
      </w:pPr>
      <w:r>
        <w:rPr>
          <w:rFonts w:ascii="IRNazanin" w:hAnsi="IRNazanin" w:eastAsia="IRNazanin" w:cs="IRNazanin"/>
          <w:lang w:bidi="fa-IR"/>
          <w:color w:val="111111"/>
          <w:sz w:val="28"/>
          <w:szCs w:val="28"/>
          <w:rtl/>
        </w:rPr>
        <w:t xml:space="preserve">نسخه اصل: دانشگاه ۹۴۴۳؛ بی کا، بی تا [فیلمها: ۳ - ۱۱۹]</w:t>
      </w:r>
    </w:p>
    <w:p>
      <w:pPr>
        <w:pStyle w:val="Heading3"/>
      </w:pPr>
      <w:bookmarkStart w:id="1971" w:name="_Toc1493"/>
      <w:r>
        <w:t>اشعار حضرت ابوطالب (رساله) / شعر / عربی</w:t>
      </w:r>
      <w:bookmarkEnd w:id="1971"/>
    </w:p>
    <w:p>
      <w:pPr>
        <w:pStyle w:val="BookText"/>
      </w:pPr>
      <w:r>
        <w:rPr>
          <w:rFonts w:ascii="Times New Roman" w:hAnsi="Times New Roman" w:eastAsia="Times New Roman" w:cs="Times New Roman"/>
          <w:lang w:val="en-US" w:bidi="en-US"/>
          <w:color w:val="111111"/>
          <w:sz w:val="28"/>
          <w:szCs w:val="28"/>
          <w:rtl/>
        </w:rPr>
        <w:t xml:space="preserve">(aš ār -e hazrat-e abū-tāleb (r.)</w:t>
      </w:r>
    </w:p>
    <w:p>
      <w:pPr>
        <w:pStyle w:val="BookText"/>
      </w:pPr>
      <w:r>
        <w:rPr>
          <w:rFonts w:ascii="IRNazanin" w:hAnsi="IRNazanin" w:eastAsia="IRNazanin" w:cs="IRNazanin"/>
          <w:lang w:bidi="fa-IR"/>
          <w:color w:val="111111"/>
          <w:sz w:val="28"/>
          <w:szCs w:val="28"/>
          <w:rtl/>
        </w:rPr>
        <w:t xml:space="preserve">تبریز؛ تربیت؛ شماره نسخه: ۲۵۵</w:t>
      </w:r>
    </w:p>
    <w:p>
      <w:pPr>
        <w:pStyle w:val="BookText"/>
      </w:pPr>
      <w:r>
        <w:rPr>
          <w:rFonts w:ascii="IRNazanin" w:hAnsi="IRNazanin" w:eastAsia="IRNazanin" w:cs="IRNazanin"/>
          <w:lang w:bidi="fa-IR"/>
          <w:color w:val="111111"/>
          <w:sz w:val="28"/>
          <w:szCs w:val="28"/>
          <w:rtl/>
        </w:rPr>
        <w:t xml:space="preserve">مصنف نامی از خود ذکر نکرده در اول کتاب نوشته شده (قال جامع هذا الكتاب)؛ و در شرح حال حضرت ابوطالب پدر حضرت امیرمؤمنان و اشعاری که منسوب به اوست می باشد و خبرهائی ذکر می کند، و می نویسد نام حضرت ابوطالب عبد مناف بوده است و در تاریخ ۱۳۰۳ نوشته شده؛ بی کا، بی تا [ف: ۱۶۸</w:t>
      </w:r>
    </w:p>
    <w:p>
      <w:pPr>
        <w:pStyle w:val="BookText"/>
      </w:pPr>
      <w:r>
        <w:rPr>
          <w:rFonts w:ascii="IRNazanin" w:hAnsi="IRNazanin" w:eastAsia="IRNazanin" w:cs="IRNazanin"/>
          <w:lang w:bidi="fa-IR"/>
          <w:color w:val="111111"/>
          <w:sz w:val="28"/>
          <w:szCs w:val="28"/>
          <w:rtl/>
        </w:rPr>
        <w:t xml:space="preserve">«]اشعار در جواب قصيده ابوالقاسم فندرسکی » دیوان موسوی فندرسکی</w:t>
      </w:r>
    </w:p>
    <w:p>
      <w:pPr>
        <w:pStyle w:val="Heading3"/>
      </w:pPr>
      <w:bookmarkStart w:id="1972" w:name="_Toc1494"/>
      <w:r>
        <w:t>اشعار در مدح محمد علوی / شعر / فارسی</w:t>
      </w:r>
      <w:bookmarkEnd w:id="1972"/>
    </w:p>
    <w:p>
      <w:pPr>
        <w:pStyle w:val="BookText"/>
      </w:pPr>
      <w:r>
        <w:rPr>
          <w:rFonts w:ascii="Times New Roman" w:hAnsi="Times New Roman" w:eastAsia="Times New Roman" w:cs="Times New Roman"/>
          <w:lang w:val="en-US" w:bidi="en-US"/>
          <w:color w:val="111111"/>
          <w:sz w:val="28"/>
          <w:szCs w:val="28"/>
          <w:rtl/>
        </w:rPr>
        <w:t xml:space="preserve">aš‘ār dar madh-e mohammad ‘alavī</w:t>
      </w:r>
    </w:p>
    <w:p>
      <w:pPr>
        <w:pStyle w:val="BookText"/>
      </w:pPr>
      <w:r>
        <w:rPr>
          <w:rFonts w:ascii="IRNazanin" w:hAnsi="IRNazanin" w:eastAsia="IRNazanin" w:cs="IRNazanin"/>
          <w:lang w:bidi="fa-IR"/>
          <w:color w:val="111111"/>
          <w:sz w:val="28"/>
          <w:szCs w:val="28"/>
          <w:rtl/>
        </w:rPr>
        <w:t xml:space="preserve">برقی، هدایت الله،</w:t>
      </w:r>
    </w:p>
    <w:p>
      <w:pPr>
        <w:pStyle w:val="BookText"/>
      </w:pPr>
      <w:r>
        <w:rPr>
          <w:rFonts w:ascii="Times New Roman" w:hAnsi="Times New Roman" w:eastAsia="Times New Roman" w:cs="Times New Roman"/>
          <w:lang w:val="en-US" w:bidi="en-US"/>
          <w:color w:val="111111"/>
          <w:sz w:val="28"/>
          <w:szCs w:val="28"/>
          <w:rtl/>
        </w:rPr>
        <w:t xml:space="preserve">barqi, hedayat-ol-lah</w:t>
      </w:r>
    </w:p>
    <w:p>
      <w:pPr>
        <w:pStyle w:val="BookText"/>
      </w:pPr>
      <w:r>
        <w:rPr>
          <w:rFonts w:ascii="IRNazanin" w:hAnsi="IRNazanin" w:eastAsia="IRNazanin" w:cs="IRNazanin"/>
          <w:lang w:bidi="fa-IR"/>
          <w:color w:val="111111"/>
          <w:sz w:val="28"/>
          <w:szCs w:val="28"/>
          <w:rtl/>
        </w:rPr>
        <w:t xml:space="preserve">تهران؛ دانشگاه؛ شماره نسخه: ۱۰۹۵۴/۱۱</w:t>
      </w:r>
    </w:p>
    <w:p>
      <w:pPr>
        <w:pStyle w:val="BookText"/>
      </w:pPr>
      <w:r>
        <w:rPr>
          <w:rFonts w:ascii="IRNazanin" w:hAnsi="IRNazanin" w:eastAsia="IRNazanin" w:cs="IRNazanin"/>
          <w:lang w:bidi="fa-IR"/>
          <w:color w:val="111111"/>
          <w:sz w:val="28"/>
          <w:szCs w:val="28"/>
          <w:rtl/>
        </w:rPr>
        <w:t xml:space="preserve">آغاز :گمگشته دلم در شکن زلف تو ای ماه *** صد آه که دیگر نتوان یافت دو صد آه ؛انجام: آن که برقی ز جان و دل آمد *** مادح وی محمدعلوی است</w:t>
      </w:r>
    </w:p>
    <w:p>
      <w:pPr>
        <w:pStyle w:val="BookText"/>
      </w:pPr>
      <w:r>
        <w:rPr>
          <w:rFonts w:ascii="IRNazanin" w:hAnsi="IRNazanin" w:eastAsia="IRNazanin" w:cs="IRNazanin"/>
          <w:lang w:bidi="fa-IR"/>
          <w:color w:val="111111"/>
          <w:sz w:val="28"/>
          <w:szCs w:val="28"/>
          <w:rtl/>
        </w:rPr>
        <w:t xml:space="preserve">شامل غزل و قطعه و مثنوی؛ شاعر از مریدان او بوده است؛ خط: نسخ و نستعلیق، بی کا، بی تا؛ ۳گ (۲۷پ و ۳۰ر-۳۱ر) [ ف : ۲۰ - ۵۴۰]
</w:t>
      </w:r>
    </w:p>
    <w:p>
      <w:pPr>
        <w:sectPr>
          <w:footerReference w:type="default" r:id="rId984"/>
          <w:footnotePr>
            <w:numStart w:val="1"/>
            <w:numRestart w:val="eachPage"/>
          </w:footnotePr>
          <w:pgSz w:orient="portrait" w:w="11905.511811023622" w:h="16837.79527559055"/>
          <w:pgMar w:top="1440" w:right="1440" w:bottom="1440" w:left="1440" w:header="720" w:footer="720" w:gutter="0"/>
          <w:cols w:num="1" w:space="720"/>
        </w:sectPr>
      </w:pPr>
    </w:p>
    <w:bookmarkStart w:id="431" w:name="pg20365_260920"/>
    <w:bookmarkEnd w:id="431"/>
    <w:p>
      <w:pPr>
        <w:pStyle w:val="BookText"/>
      </w:pPr>
      <w:r>
        <w:rPr>
          <w:rFonts w:ascii="IRNazanin" w:hAnsi="IRNazanin" w:eastAsia="IRNazanin" w:cs="IRNazanin"/>
          <w:lang w:bidi="fa-IR"/>
          <w:color w:val="111111"/>
          <w:sz w:val="28"/>
          <w:szCs w:val="28"/>
          <w:rtl/>
        </w:rPr>
        <w:t xml:space="preserve">«اشعار در مراثی امام حسین (علیه السّلام)» دیوان راجی</w:t>
      </w:r>
    </w:p>
    <w:p>
      <w:pPr>
        <w:pStyle w:val="Heading3"/>
      </w:pPr>
      <w:bookmarkStart w:id="1973" w:name="_Toc1495"/>
      <w:r>
        <w:t>اشعار (دیباچه) / ادبیات / فارسی</w:t>
      </w:r>
      <w:bookmarkEnd w:id="1973"/>
    </w:p>
    <w:p>
      <w:pPr>
        <w:pStyle w:val="BookText"/>
      </w:pPr>
      <w:r>
        <w:rPr>
          <w:rFonts w:ascii="Times New Roman" w:hAnsi="Times New Roman" w:eastAsia="Times New Roman" w:cs="Times New Roman"/>
          <w:lang w:val="en-US" w:bidi="en-US"/>
          <w:color w:val="111111"/>
          <w:sz w:val="28"/>
          <w:szCs w:val="28"/>
          <w:rtl/>
        </w:rPr>
        <w:t xml:space="preserve">(aš‘ār (dībāče)</w:t>
      </w:r>
    </w:p>
    <w:p>
      <w:pPr>
        <w:pStyle w:val="BookText"/>
      </w:pPr>
      <w:r>
        <w:rPr>
          <w:rFonts w:ascii="IRNazanin" w:hAnsi="IRNazanin" w:eastAsia="IRNazanin" w:cs="IRNazanin"/>
          <w:lang w:bidi="fa-IR"/>
          <w:color w:val="111111"/>
          <w:sz w:val="28"/>
          <w:szCs w:val="28"/>
          <w:rtl/>
        </w:rPr>
        <w:t xml:space="preserve">تهران؛ ملک؛ شماره نسخه: ۴۷۰۹/۲</w:t>
      </w:r>
    </w:p>
    <w:p>
      <w:pPr>
        <w:pStyle w:val="BookText"/>
      </w:pPr>
      <w:r>
        <w:rPr>
          <w:rFonts w:ascii="IRNazanin" w:hAnsi="IRNazanin" w:eastAsia="IRNazanin" w:cs="IRNazanin"/>
          <w:lang w:bidi="fa-IR"/>
          <w:color w:val="111111"/>
          <w:sz w:val="28"/>
          <w:szCs w:val="28"/>
          <w:rtl/>
        </w:rPr>
        <w:t xml:space="preserve">آغاز: حمد و ثنایی که روایح ذکر آن چون هوای صبح بر نکهت دهان گل خندد، و شکر و سپاسی که فوایح نشر آن چون نسیم صبا</w:t>
      </w:r>
    </w:p>
    <w:p>
      <w:pPr>
        <w:pStyle w:val="BookText"/>
      </w:pPr>
      <w:r>
        <w:rPr>
          <w:rFonts w:ascii="IRNazanin" w:hAnsi="IRNazanin" w:eastAsia="IRNazanin" w:cs="IRNazanin"/>
          <w:lang w:bidi="fa-IR"/>
          <w:color w:val="111111"/>
          <w:sz w:val="28"/>
          <w:szCs w:val="28"/>
          <w:rtl/>
        </w:rPr>
        <w:t xml:space="preserve">خط: نستعلیق، بی کا، تا: قرن ۱۲ ؛کاغذ: نوعی ترمه ،جلد: میشن قهوه ای، اندازه: ۱۷/۲۲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۲۶/۲سم [ف: ۸ - ۵۹]</w:t>
      </w:r>
    </w:p>
    <w:p>
      <w:pPr>
        <w:pStyle w:val="Heading3"/>
      </w:pPr>
      <w:bookmarkStart w:id="1974" w:name="_Toc1496"/>
      <w:r>
        <w:t>اشعار «ز منزلات هوس گر برون نهی قدمی» / شـعر / فارسی</w:t>
      </w:r>
      <w:bookmarkEnd w:id="1974"/>
    </w:p>
    <w:p>
      <w:pPr>
        <w:pStyle w:val="BookText"/>
      </w:pPr>
      <w:r>
        <w:rPr>
          <w:rFonts w:ascii="Times New Roman" w:hAnsi="Times New Roman" w:eastAsia="Times New Roman" w:cs="Times New Roman"/>
          <w:lang w:val="en-US" w:bidi="en-US"/>
          <w:color w:val="111111"/>
          <w:sz w:val="28"/>
          <w:szCs w:val="28"/>
          <w:rtl/>
        </w:rPr>
        <w:t xml:space="preserve">«aš‘ār-e «ze manzelāt havas gar borūn nahy qadamī»</w:t>
      </w:r>
    </w:p>
    <w:p>
      <w:pPr>
        <w:pStyle w:val="BookText"/>
      </w:pPr>
      <w:r>
        <w:rPr>
          <w:rFonts w:ascii="IRNazanin" w:hAnsi="IRNazanin" w:eastAsia="IRNazanin" w:cs="IRNazanin"/>
          <w:lang w:bidi="fa-IR"/>
          <w:color w:val="111111"/>
          <w:sz w:val="28"/>
          <w:szCs w:val="28"/>
          <w:rtl/>
        </w:rPr>
        <w:t xml:space="preserve">؟ ابن سينا، حسین بن عبدالله ۳۷۰؟ - ۴۲۸ قمری</w:t>
      </w:r>
    </w:p>
    <w:p>
      <w:pPr>
        <w:pStyle w:val="BookText"/>
      </w:pPr>
      <w:r>
        <w:rPr>
          <w:rFonts w:ascii="Times New Roman" w:hAnsi="Times New Roman" w:eastAsia="Times New Roman" w:cs="Times New Roman"/>
          <w:lang w:val="en-US" w:bidi="en-US"/>
          <w:color w:val="111111"/>
          <w:sz w:val="28"/>
          <w:szCs w:val="28"/>
          <w:rtl/>
        </w:rPr>
        <w:t xml:space="preserve">(ebn-e sīnā, hoseyn ebn-e ‘abd-ol-lāh (981 - 1038)</w:t>
      </w:r>
    </w:p>
    <w:p>
      <w:pPr>
        <w:pStyle w:val="BookText"/>
      </w:pPr>
      <w:r>
        <w:rPr>
          <w:rFonts w:ascii="IRNazanin" w:hAnsi="IRNazanin" w:eastAsia="IRNazanin" w:cs="IRNazanin"/>
          <w:lang w:bidi="fa-IR"/>
          <w:color w:val="111111"/>
          <w:sz w:val="28"/>
          <w:szCs w:val="28"/>
          <w:rtl/>
        </w:rPr>
        <w:t xml:space="preserve">تهران؛ ملک؛ شماره نسخه: ۲۸۸۰/۱۷</w:t>
      </w:r>
    </w:p>
    <w:p>
      <w:pPr>
        <w:pStyle w:val="BookText"/>
      </w:pPr>
      <w:r>
        <w:rPr>
          <w:rFonts w:ascii="IRNazanin" w:hAnsi="IRNazanin" w:eastAsia="IRNazanin" w:cs="IRNazanin"/>
          <w:lang w:bidi="fa-IR"/>
          <w:color w:val="111111"/>
          <w:sz w:val="28"/>
          <w:szCs w:val="28"/>
          <w:rtl/>
        </w:rPr>
        <w:t xml:space="preserve">خط: شکسته نستعلیق، بی کا، تا: با تاریخ ۱۰۳۰ق [ف: ۶ - ۱۵۲]</w:t>
      </w:r>
    </w:p>
    <w:p>
      <w:pPr>
        <w:pStyle w:val="Heading3"/>
      </w:pPr>
      <w:bookmarkStart w:id="1975" w:name="_Toc1497"/>
      <w:r>
        <w:t>اشعار شعرای اربعه / شعر / عربی</w:t>
      </w:r>
      <w:bookmarkEnd w:id="1975"/>
    </w:p>
    <w:p>
      <w:pPr>
        <w:pStyle w:val="BookText"/>
      </w:pPr>
      <w:r>
        <w:rPr>
          <w:rFonts w:ascii="Times New Roman" w:hAnsi="Times New Roman" w:eastAsia="Times New Roman" w:cs="Times New Roman"/>
          <w:lang w:val="en-US" w:bidi="en-US"/>
          <w:color w:val="111111"/>
          <w:sz w:val="28"/>
          <w:szCs w:val="28"/>
          <w:rtl/>
        </w:rPr>
        <w:t xml:space="preserve">aš‘ār-e šo‘arā-ye arba‘e</w:t>
      </w:r>
    </w:p>
    <w:p>
      <w:pPr>
        <w:pStyle w:val="BookText"/>
      </w:pPr>
      <w:r>
        <w:rPr>
          <w:rFonts w:ascii="IRNazanin" w:hAnsi="IRNazanin" w:eastAsia="IRNazanin" w:cs="IRNazanin"/>
          <w:lang w:bidi="fa-IR"/>
          <w:color w:val="111111"/>
          <w:sz w:val="28"/>
          <w:szCs w:val="28"/>
          <w:rtl/>
        </w:rPr>
        <w:t xml:space="preserve">ابن طقطقی، محمد بن علی، ۶۶۰ - ۷۰۹ قمری</w:t>
      </w:r>
    </w:p>
    <w:p>
      <w:pPr>
        <w:pStyle w:val="BookText"/>
      </w:pPr>
      <w:r>
        <w:rPr>
          <w:rFonts w:ascii="Times New Roman" w:hAnsi="Times New Roman" w:eastAsia="Times New Roman" w:cs="Times New Roman"/>
          <w:lang w:val="en-US" w:bidi="en-US"/>
          <w:color w:val="111111"/>
          <w:sz w:val="28"/>
          <w:szCs w:val="28"/>
          <w:rtl/>
        </w:rPr>
        <w:t xml:space="preserve">(ebn-e teqtaqī, mohammad ebn-e ‘alī (1262 - 1310)</w:t>
      </w:r>
    </w:p>
    <w:p>
      <w:pPr>
        <w:pStyle w:val="BookText"/>
      </w:pPr>
      <w:r>
        <w:rPr>
          <w:rFonts w:ascii="IRNazanin" w:hAnsi="IRNazanin" w:eastAsia="IRNazanin" w:cs="IRNazanin"/>
          <w:lang w:bidi="fa-IR"/>
          <w:color w:val="111111"/>
          <w:sz w:val="28"/>
          <w:szCs w:val="28"/>
          <w:rtl/>
        </w:rPr>
        <w:t xml:space="preserve">در مقدمه از قول ابن الطقطقی ذکر شده اشعار این رساله جهت فرزندش جلال الدین ابراهیم که به سن بلوغ نرسیده جمع آوری و سعی شده است که از اشعار ساده و سهل التناول شعرا انتخاب شود. جلال الدين ابو جعفر محمد بن تاج الدین ابوالحسن عـلی بن الطقطقی از نواده ابراهیم طباطبا و از علویان مشهور شهر بغداد و کوفه بوده است وی یکی از دانشمندان و علمای  بنام عصر خویش در نیمه دوم قرن هفتم هجری قمری بوده است. در این رساله اشعاری متفرقه از شعرای اربعه مشهور عرب همچون: ابی نواس حسن ابن هاتی بصری، ابی تمام حبیب بن اوس، عبيدالبحترى، ابى الطيب احمد بن الحسين المبتنى الكوفی جمع آوری شده است.</w:t>
      </w:r>
    </w:p>
    <w:p>
      <w:pPr>
        <w:pStyle w:val="BookText"/>
      </w:pPr>
      <w:r>
        <w:rPr>
          <w:rFonts w:ascii="IRNazanin" w:hAnsi="IRNazanin" w:eastAsia="IRNazanin" w:cs="IRNazanin"/>
          <w:lang w:bidi="fa-IR"/>
          <w:color w:val="111111"/>
          <w:sz w:val="28"/>
          <w:szCs w:val="28"/>
          <w:rtl/>
        </w:rPr>
        <w:t xml:space="preserve">تهران؛ سلطنتی؛ شماره نسخه: ۲۱۰۶</w:t>
      </w:r>
    </w:p>
    <w:p>
      <w:pPr>
        <w:pStyle w:val="BookText"/>
      </w:pPr>
      <w:r>
        <w:rPr>
          <w:rFonts w:ascii="IRNazanin" w:hAnsi="IRNazanin" w:eastAsia="IRNazanin" w:cs="IRNazanin"/>
          <w:lang w:bidi="fa-IR"/>
          <w:color w:val="111111"/>
          <w:sz w:val="28"/>
          <w:szCs w:val="28"/>
          <w:rtl/>
        </w:rPr>
        <w:t xml:space="preserve">آغاز: بسمله. قال السيد النقيب الحسيب النسيب سيد البقاء وبقیة اهل العباء صفى المله و الدین تاج الاسلام و المسلمین محمد بن على بن على المعروف باب الطقطقى ادام اللهتعالى ايامه ... كـنت عزمت على اختيار قطعه من شعراى الطيب ... من اشعار الاشيـاخ الاربعه ابي نواس الحسن بن هاتى البصرى - و ابی تمام حبیب بن اوس - و ابي عبادة الوليد بن عبيد البحترى الطائبين - و ابي الطيب احمد بن الحسين المتبنى الكوفى قطعة صالحة يحفظها و يتدبرها ان شاء الله تعالى و هذا ما اردت اثباته فى هذا الدفتر و من الله استمد المعونة و التوفيق لبعض الشعرا؛ انجام: و كتب العبد الفقير الى الله تعالى ياقوت المستعصمى فى ذى قعده سنة احدى وتسعين و ستمائه و الحمد لله رب العالمين.</w:t>
      </w:r>
    </w:p>
    <w:p>
      <w:pPr>
        <w:pStyle w:val="BookText"/>
      </w:pPr>
      <w:r>
        <w:rPr>
          <w:rFonts w:ascii="IRNazanin" w:hAnsi="IRNazanin" w:eastAsia="IRNazanin" w:cs="IRNazanin"/>
          <w:lang w:bidi="fa-IR"/>
          <w:color w:val="111111"/>
          <w:sz w:val="28"/>
          <w:szCs w:val="28"/>
          <w:rtl/>
        </w:rPr>
        <w:t xml:space="preserve">خط: ثلث جلی، کا: یاقوت مستعصمی، تا: ۶۹۱ق؛ این کتاب در سال ۱۲۹۰ هجری قمری ضبط کتابخانه عضدالملک علیرضاخان قاجار قوانلو بوده، و قبلا در سال ۱۱۴۴ هجریقمری به بهای شرعی در تملک حسین نایم بوده است، این نسخه از جمله کتب انتقالی در کتابخانه اندرون بوده است، مجدول، مذهب، یک سرلوح مذهب مرصع بسیار خوب در پیشانی صفحه اول؛ کاغذ: دولت آبادی، جلد: تیماج مشکی مجدول کمند دار و یک گل ترنج زرین در وسط، اندرون کاغذد سرنجی رنگ، ۳۹ص، ۷ سطر، قطع: ربعی،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۷ - ۴۲]</w:t>
      </w:r>
    </w:p>
    <w:p>
      <w:pPr>
        <w:pStyle w:val="Heading3"/>
      </w:pPr>
      <w:bookmarkStart w:id="1976" w:name="_Toc1498"/>
      <w:r>
        <w:t>اشعار شکاری - مرثیه های شکاری / مراثی، شعر / فارسی</w:t>
      </w:r>
      <w:bookmarkEnd w:id="1976"/>
    </w:p>
    <w:p>
      <w:pPr>
        <w:pStyle w:val="BookText"/>
      </w:pPr>
      <w:r>
        <w:rPr>
          <w:rFonts w:ascii="Times New Roman" w:hAnsi="Times New Roman" w:eastAsia="Times New Roman" w:cs="Times New Roman"/>
          <w:lang w:val="en-US" w:bidi="en-US"/>
          <w:color w:val="111111"/>
          <w:sz w:val="28"/>
          <w:szCs w:val="28"/>
          <w:rtl/>
        </w:rPr>
        <w:t xml:space="preserve">aš‘ār-e šekārī = marsīye-hā-ye šekārī</w:t>
      </w:r>
    </w:p>
    <w:p>
      <w:pPr>
        <w:pStyle w:val="BookText"/>
      </w:pPr>
      <w:r>
        <w:rPr>
          <w:rFonts w:ascii="IRNazanin" w:hAnsi="IRNazanin" w:eastAsia="IRNazanin" w:cs="IRNazanin"/>
          <w:lang w:bidi="fa-IR"/>
          <w:color w:val="111111"/>
          <w:sz w:val="28"/>
          <w:szCs w:val="28"/>
          <w:rtl/>
        </w:rPr>
        <w:t xml:space="preserve">سگزآبادی، محمد بن محمد شفیع، ق۱۲ قمری</w:t>
      </w:r>
    </w:p>
    <w:p>
      <w:pPr>
        <w:pStyle w:val="BookText"/>
      </w:pPr>
      <w:r>
        <w:rPr>
          <w:rFonts w:ascii="Times New Roman" w:hAnsi="Times New Roman" w:eastAsia="Times New Roman" w:cs="Times New Roman"/>
          <w:lang w:val="en-US" w:bidi="en-US"/>
          <w:color w:val="111111"/>
          <w:sz w:val="28"/>
          <w:szCs w:val="28"/>
          <w:rtl/>
        </w:rPr>
        <w:t xml:space="preserve">(segzābādī, mohammad ebn-e mohammad šafī‘ (- 18c)</w:t>
      </w:r>
    </w:p>
    <w:p>
      <w:pPr>
        <w:pStyle w:val="BookText"/>
      </w:pPr>
      <w:r>
        <w:rPr>
          <w:rFonts w:ascii="IRNazanin" w:hAnsi="IRNazanin" w:eastAsia="IRNazanin" w:cs="IRNazanin"/>
          <w:lang w:bidi="fa-IR"/>
          <w:color w:val="111111"/>
          <w:sz w:val="28"/>
          <w:szCs w:val="28"/>
          <w:rtl/>
        </w:rPr>
        <w:t xml:space="preserve">چند قصیده مرثیه ای است برای شهدای کربلا. شاعر در یک مورد نام کامل خود را نگاشته که مشخص می شود همان کاتب نسخه است. از وی در «فرهنگ سخنوران» خیامپور ذکری نیست. مطلع قصاید وی چنین است: «باز این چه فتنه است در ایوان کربلا *** گریان شده فلک  چه سلیمان کربلا» و بیتی که تخلص شاعر را دارد و البته وزن آن مختل است: «دیگر شکاری لعنت حق بريزيد كن *** صد لعنت ازل بلعینان کربلا / در ماتم  فرزند خود گریان شده خیر النسا </w:t>
      </w:r>
      <w:r>
        <w:rPr>
          <w:rFonts w:ascii="IRNazanin" w:hAnsi="IRNazanin" w:eastAsia="IRNazanin" w:cs="IRNazanin"/>
          <w:lang w:bidi="fa-IR"/>
          <w:color w:val="111111"/>
          <w:sz w:val="28"/>
          <w:szCs w:val="28"/>
          <w:b w:val="1"/>
          <w:bCs w:val="1"/>
          <w:i w:val="1"/>
          <w:iCs w:val="1"/>
          <w:rtl/>
        </w:rPr>
        <w:t xml:space="preserve">بر مونس دلبند خود گریان شده خیرالنسا / ای فلک دیگر چه می پرسی تو احوال مرا *** رو بدشت کربلا معلوم کن حال مرا / امشب از چشم ملایک می چکد خون جبين</w:t>
      </w:r>
      <w:r>
        <w:rPr>
          <w:rFonts w:ascii="IRNazanin" w:hAnsi="IRNazanin" w:eastAsia="IRNazanin" w:cs="IRNazanin"/>
          <w:lang w:bidi="fa-IR"/>
          <w:color w:val="111111"/>
          <w:sz w:val="28"/>
          <w:szCs w:val="28"/>
          <w:rtl/>
        </w:rPr>
        <w:t xml:space="preserve"> ابر غم، باران ماتم گو ببارد در زمین».</w:t>
      </w:r>
    </w:p>
    <w:p>
      <w:pPr>
        <w:pStyle w:val="BookText"/>
      </w:pPr>
      <w:r>
        <w:rPr>
          <w:rFonts w:ascii="IRNazanin" w:hAnsi="IRNazanin" w:eastAsia="IRNazanin" w:cs="IRNazanin"/>
          <w:lang w:bidi="fa-IR"/>
          <w:color w:val="111111"/>
          <w:sz w:val="28"/>
          <w:szCs w:val="28"/>
          <w:rtl/>
        </w:rPr>
        <w:t xml:space="preserve">مرثیه علی اکبر: «این چه شور است ای محبان علی در کربلا *** بهر فرزند نبی آن زبده خیرالنسا / باز عاشوراست یاران الوداع *** دیده گریان است یاران الوداع / ای فلک بنگر چها کردی تو بر جان حسین *** رو بدشت کربلا معلوم كن حال [كذا] حسين»؛ ايضا مرثیه [کذا] از گفتار شیخ محمد سکز آبادی تخلص شکاری: «عالم نشسته در غم غوغای کربلا *** از بهر شاه تشنه مظلوم کربلا [کذا] / ای فلک بنگر چها بر خاندان انداختی *** کاخ ایوان رسالت را به پا [کذا] انداختی».</w:t>
      </w:r>
    </w:p>
    <w:p>
      <w:pPr>
        <w:pStyle w:val="BookText"/>
      </w:pPr>
      <w:r>
        <w:rPr>
          <w:rFonts w:ascii="IRNazanin" w:hAnsi="IRNazanin" w:eastAsia="IRNazanin" w:cs="IRNazanin"/>
          <w:lang w:bidi="fa-IR"/>
          <w:color w:val="111111"/>
          <w:sz w:val="28"/>
          <w:szCs w:val="28"/>
          <w:rtl/>
        </w:rPr>
        <w:t xml:space="preserve">تهران؛ مجلس؛ شماره نسخه: ۸۱۶۸/۲</w:t>
      </w:r>
    </w:p>
    <w:p>
      <w:pPr>
        <w:pStyle w:val="BookText"/>
      </w:pPr>
      <w:r>
        <w:rPr>
          <w:rFonts w:ascii="IRNazanin" w:hAnsi="IRNazanin" w:eastAsia="IRNazanin" w:cs="IRNazanin"/>
          <w:lang w:bidi="fa-IR"/>
          <w:color w:val="111111"/>
          <w:sz w:val="28"/>
          <w:szCs w:val="28"/>
          <w:rtl/>
        </w:rPr>
        <w:t xml:space="preserve">خط: نستعلیق تحریری، بی کا، بی تا ؛جلد: مقوایی بد با روکش تیماج قهوه ای مجدول گرهی، ۱۰گ (۱۶۲ر-۱۶۶ر و ۳۷۵ر-
</w:t>
      </w:r>
    </w:p>
    <w:p>
      <w:pPr>
        <w:sectPr>
          <w:footerReference w:type="default" r:id="rId985"/>
          <w:footnotePr>
            <w:numStart w:val="1"/>
            <w:numRestart w:val="eachPage"/>
          </w:footnotePr>
          <w:pgSz w:orient="portrait" w:w="11905.511811023622" w:h="16837.79527559055"/>
          <w:pgMar w:top="1440" w:right="1440" w:bottom="1440" w:left="1440" w:header="720" w:footer="720" w:gutter="0"/>
          <w:cols w:num="1" w:space="720"/>
        </w:sectPr>
      </w:pPr>
    </w:p>
    <w:bookmarkStart w:id="432" w:name="pg20365_260921"/>
    <w:bookmarkEnd w:id="432"/>
    <w:p>
      <w:pPr>
        <w:pStyle w:val="BookText"/>
      </w:pPr>
      <w:r>
        <w:rPr>
          <w:rFonts w:ascii="IRNazanin" w:hAnsi="IRNazanin" w:eastAsia="IRNazanin" w:cs="IRNazanin"/>
          <w:lang w:bidi="fa-IR"/>
          <w:color w:val="111111"/>
          <w:sz w:val="28"/>
          <w:szCs w:val="28"/>
          <w:rtl/>
        </w:rPr>
        <w:t xml:space="preserve">۳۸۱پ)، ۱۴ سطر، اندازه: ۱۳/۳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۱۹/۶سم [ف:27/1 - ۳۰۹]</w:t>
      </w:r>
    </w:p>
    <w:p>
      <w:pPr>
        <w:pStyle w:val="Heading3"/>
      </w:pPr>
      <w:bookmarkStart w:id="1977" w:name="_Toc1499"/>
      <w:r>
        <w:t>اشعار شمسه و قهقهه / شعر / فارسی</w:t>
      </w:r>
      <w:bookmarkEnd w:id="1977"/>
    </w:p>
    <w:p>
      <w:pPr>
        <w:pStyle w:val="BookText"/>
      </w:pPr>
      <w:r>
        <w:rPr>
          <w:rFonts w:ascii="Times New Roman" w:hAnsi="Times New Roman" w:eastAsia="Times New Roman" w:cs="Times New Roman"/>
          <w:lang w:val="en-US" w:bidi="en-US"/>
          <w:color w:val="111111"/>
          <w:sz w:val="28"/>
          <w:szCs w:val="28"/>
          <w:rtl/>
        </w:rPr>
        <w:t xml:space="preserve">aš‘ār-e šamse va qahqahe</w:t>
      </w:r>
    </w:p>
    <w:p>
      <w:pPr>
        <w:pStyle w:val="BookText"/>
      </w:pPr>
      <w:r>
        <w:rPr>
          <w:rFonts w:ascii="IRNazanin" w:hAnsi="IRNazanin" w:eastAsia="IRNazanin" w:cs="IRNazanin"/>
          <w:lang w:bidi="fa-IR"/>
          <w:color w:val="111111"/>
          <w:sz w:val="28"/>
          <w:szCs w:val="28"/>
          <w:rtl/>
        </w:rPr>
        <w:t xml:space="preserve">مشتری خراسانی، محمد ابراهیم، ۱۲۶۴ - ۱۳۰۵ قمری</w:t>
      </w:r>
    </w:p>
    <w:p>
      <w:pPr>
        <w:pStyle w:val="BookText"/>
      </w:pPr>
      <w:r>
        <w:rPr>
          <w:rFonts w:ascii="Times New Roman" w:hAnsi="Times New Roman" w:eastAsia="Times New Roman" w:cs="Times New Roman"/>
          <w:lang w:val="en-US" w:bidi="en-US"/>
          <w:color w:val="111111"/>
          <w:sz w:val="28"/>
          <w:szCs w:val="28"/>
          <w:rtl/>
        </w:rPr>
        <w:t xml:space="preserve">(moštarī xorāsānī, mohammad ebrāhīm (1848 - 1888)</w:t>
      </w:r>
    </w:p>
    <w:p>
      <w:pPr>
        <w:pStyle w:val="BookText"/>
      </w:pPr>
      <w:r>
        <w:rPr>
          <w:rFonts w:ascii="IRNazanin" w:hAnsi="IRNazanin" w:eastAsia="IRNazanin" w:cs="IRNazanin"/>
          <w:lang w:bidi="fa-IR"/>
          <w:color w:val="111111"/>
          <w:sz w:val="28"/>
          <w:szCs w:val="28"/>
          <w:rtl/>
        </w:rPr>
        <w:t xml:space="preserve">وابسته به محبوب القلوب = شمسه و قهقه = محفل آرا = رعنـا و زیبا؛ فراهی، برخوردار بن محمود (-قرن ۱۱ق)</w:t>
      </w:r>
    </w:p>
    <w:p>
      <w:pPr>
        <w:pStyle w:val="BookText"/>
      </w:pPr>
      <w:r>
        <w:rPr>
          <w:rFonts w:ascii="IRNazanin" w:hAnsi="IRNazanin" w:eastAsia="IRNazanin" w:cs="IRNazanin"/>
          <w:lang w:bidi="fa-IR"/>
          <w:color w:val="111111"/>
          <w:sz w:val="28"/>
          <w:szCs w:val="28"/>
          <w:rtl/>
        </w:rPr>
        <w:t xml:space="preserve">اشعار کتاب معروف «شمسه و قهقهه» تألیف میرزا برخوردار ترکمان فراهی را میرزا ابراهیم مشتری استخراج کرده و در این مجموعه فراهم آورده است.</w:t>
      </w:r>
    </w:p>
    <w:p>
      <w:pPr>
        <w:pStyle w:val="BookText"/>
      </w:pPr>
      <w:r>
        <w:rPr>
          <w:rFonts w:ascii="IRNazanin" w:hAnsi="IRNazanin" w:eastAsia="IRNazanin" w:cs="IRNazanin"/>
          <w:lang w:bidi="fa-IR"/>
          <w:color w:val="111111"/>
          <w:sz w:val="28"/>
          <w:szCs w:val="28"/>
          <w:rtl/>
        </w:rPr>
        <w:t xml:space="preserve">مشهد؛ رضوی؛ شماره نسخه: ۴۸۷۲/۴</w:t>
      </w:r>
    </w:p>
    <w:p>
      <w:pPr>
        <w:pStyle w:val="BookText"/>
      </w:pPr>
      <w:r>
        <w:rPr>
          <w:rFonts w:ascii="IRNazanin" w:hAnsi="IRNazanin" w:eastAsia="IRNazanin" w:cs="IRNazanin"/>
          <w:lang w:bidi="fa-IR"/>
          <w:color w:val="111111"/>
          <w:sz w:val="28"/>
          <w:szCs w:val="28"/>
          <w:rtl/>
        </w:rPr>
        <w:t xml:space="preserve">آغاز: الهی بزرگی و حشمت تراست </w:t>
      </w:r>
      <w:r>
        <w:rPr>
          <w:rFonts w:ascii="IRNazanin" w:hAnsi="IRNazanin" w:eastAsia="IRNazanin" w:cs="IRNazanin"/>
          <w:lang w:bidi="fa-IR"/>
          <w:color w:val="111111"/>
          <w:sz w:val="28"/>
          <w:szCs w:val="28"/>
          <w:b w:val="1"/>
          <w:bCs w:val="1"/>
          <w:i w:val="1"/>
          <w:iCs w:val="1"/>
          <w:rtl/>
        </w:rPr>
        <w:t xml:space="preserve">سرافرازی و ملک شوکت تراست؛ انجام: دریغ داشتن جان زیار مشفق صادق</w:t>
      </w:r>
      <w:r>
        <w:rPr>
          <w:rFonts w:ascii="IRNazanin" w:hAnsi="IRNazanin" w:eastAsia="IRNazanin" w:cs="IRNazanin"/>
          <w:lang w:bidi="fa-IR"/>
          <w:color w:val="111111"/>
          <w:sz w:val="28"/>
          <w:szCs w:val="28"/>
          <w:rtl/>
        </w:rPr>
        <w:t xml:space="preserve"> خسوف چهره مهر و سعادت از لیست</w:t>
      </w:r>
    </w:p>
    <w:p>
      <w:pPr>
        <w:pStyle w:val="BookText"/>
      </w:pPr>
      <w:r>
        <w:rPr>
          <w:rFonts w:ascii="IRNazanin" w:hAnsi="IRNazanin" w:eastAsia="IRNazanin" w:cs="IRNazanin"/>
          <w:lang w:bidi="fa-IR"/>
          <w:color w:val="111111"/>
          <w:sz w:val="28"/>
          <w:szCs w:val="28"/>
          <w:rtl/>
        </w:rPr>
        <w:t xml:space="preserve">خط: شکسته نستعلیق، کا: مشتری طوسی، بی تا، با اغلاط املایی بسیار؛ کاغذ: سفید فرنگی ،جلد: پارچه ای ،۱۷گ، اندازه: ۱۷/۷</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۲۲/۳سم [ف: ۷ - ۷۶۵]</w:t>
      </w:r>
    </w:p>
    <w:p>
      <w:pPr>
        <w:pStyle w:val="BookText"/>
      </w:pPr>
      <w:r>
        <w:rPr>
          <w:rFonts w:ascii="IRNazanin" w:hAnsi="IRNazanin" w:eastAsia="IRNazanin" w:cs="IRNazanin"/>
          <w:lang w:bidi="fa-IR"/>
          <w:color w:val="111111"/>
          <w:sz w:val="28"/>
          <w:szCs w:val="28"/>
          <w:rtl/>
        </w:rPr>
        <w:t xml:space="preserve">«اشعار شیدای نائینی » دیوان شیدای نائینی</w:t>
      </w:r>
    </w:p>
    <w:p>
      <w:pPr>
        <w:pStyle w:val="Heading3"/>
      </w:pPr>
      <w:bookmarkStart w:id="1978" w:name="_Toc1500"/>
      <w:r>
        <w:t>اشعار طغرائی در کیمیا (ترجمه) / کیمیا / فارسی</w:t>
      </w:r>
      <w:bookmarkEnd w:id="1978"/>
    </w:p>
    <w:p>
      <w:pPr>
        <w:pStyle w:val="BookText"/>
      </w:pPr>
      <w:r>
        <w:rPr>
          <w:rFonts w:ascii="Times New Roman" w:hAnsi="Times New Roman" w:eastAsia="Times New Roman" w:cs="Times New Roman"/>
          <w:lang w:val="en-US" w:bidi="en-US"/>
          <w:color w:val="111111"/>
          <w:sz w:val="28"/>
          <w:szCs w:val="28"/>
          <w:rtl/>
        </w:rPr>
        <w:t xml:space="preserve">(aš‘ār-e toqrā’ī dar kīmīyā (t.)</w:t>
      </w:r>
    </w:p>
    <w:p>
      <w:pPr>
        <w:pStyle w:val="BookText"/>
      </w:pPr>
      <w:r>
        <w:rPr>
          <w:rFonts w:ascii="IRNazanin" w:hAnsi="IRNazanin" w:eastAsia="IRNazanin" w:cs="IRNazanin"/>
          <w:lang w:bidi="fa-IR"/>
          <w:color w:val="111111"/>
          <w:sz w:val="28"/>
          <w:szCs w:val="28"/>
          <w:rtl/>
        </w:rPr>
        <w:t xml:space="preserve">ترجمه اشعاری است به عربی در اوزان و قوافی مختلف منسوب به طغرائی، و گاهی اشعاری از ذوالنون و ابن امیل و دیگران نیز در این بین ترجمه می شود.</w:t>
      </w:r>
    </w:p>
    <w:p>
      <w:pPr>
        <w:pStyle w:val="BookText"/>
      </w:pPr>
      <w:r>
        <w:rPr>
          <w:rFonts w:ascii="IRNazanin" w:hAnsi="IRNazanin" w:eastAsia="IRNazanin" w:cs="IRNazanin"/>
          <w:lang w:bidi="fa-IR"/>
          <w:color w:val="111111"/>
          <w:sz w:val="28"/>
          <w:szCs w:val="28"/>
          <w:rtl/>
        </w:rPr>
        <w:t xml:space="preserve">قم ؛مرعشی؛ شماره نسخه: ۱۴۱۴/۳</w:t>
      </w:r>
    </w:p>
    <w:p>
      <w:pPr>
        <w:pStyle w:val="BookText"/>
      </w:pPr>
      <w:r>
        <w:rPr>
          <w:rFonts w:ascii="IRNazanin" w:hAnsi="IRNazanin" w:eastAsia="IRNazanin" w:cs="IRNazanin"/>
          <w:lang w:bidi="fa-IR"/>
          <w:color w:val="111111"/>
          <w:sz w:val="28"/>
          <w:szCs w:val="28"/>
          <w:rtl/>
        </w:rPr>
        <w:t xml:space="preserve">آغاز: و اجعلها فى آلة العمياء، فانها تعكس قطر الماء. بدانکه طغرائی صفت تقطیر و تکلیس خاص ایشان بیان میکند؛ انجام: وبدانکه سر این علم اوزان است که هر که دانست گمراه نگردد هرگز و هر که نداند بچیزی نرسد تا دانسته باشی.</w:t>
      </w:r>
    </w:p>
    <w:p>
      <w:pPr>
        <w:pStyle w:val="BookText"/>
      </w:pPr>
      <w:r>
        <w:rPr>
          <w:rFonts w:ascii="IRNazanin" w:hAnsi="IRNazanin" w:eastAsia="IRNazanin" w:cs="IRNazanin"/>
          <w:lang w:bidi="fa-IR"/>
          <w:color w:val="111111"/>
          <w:sz w:val="28"/>
          <w:szCs w:val="28"/>
          <w:rtl/>
        </w:rPr>
        <w:t xml:space="preserve">خط: نسخ و نستعلیق، بی کا، تا: ۱۲۶۵ق؛ جلد: تیماج قهوه ای،۹گ (۱۵ر-۲۴پ)، ۲۳سطر، اندازه: ۱۶/۵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۲۶سم [ف: ۴ - ۱۹۷]</w:t>
      </w:r>
    </w:p>
    <w:p>
      <w:pPr>
        <w:pStyle w:val="Heading3"/>
      </w:pPr>
      <w:bookmarkStart w:id="1979" w:name="_Toc1501"/>
      <w:r>
        <w:t>اشعار فانی / شعر / فارسی، عربی، ترکی</w:t>
      </w:r>
      <w:bookmarkEnd w:id="1979"/>
    </w:p>
    <w:p>
      <w:pPr>
        <w:pStyle w:val="BookText"/>
      </w:pPr>
      <w:r>
        <w:rPr>
          <w:rFonts w:ascii="Times New Roman" w:hAnsi="Times New Roman" w:eastAsia="Times New Roman" w:cs="Times New Roman"/>
          <w:lang w:val="en-US" w:bidi="en-US"/>
          <w:color w:val="111111"/>
          <w:sz w:val="28"/>
          <w:szCs w:val="28"/>
          <w:rtl/>
        </w:rPr>
        <w:t xml:space="preserve">aš‘ār-e fānī</w:t>
      </w:r>
    </w:p>
    <w:p>
      <w:pPr>
        <w:pStyle w:val="BookText"/>
      </w:pPr>
      <w:r>
        <w:rPr>
          <w:rFonts w:ascii="IRNazanin" w:hAnsi="IRNazanin" w:eastAsia="IRNazanin" w:cs="IRNazanin"/>
          <w:lang w:bidi="fa-IR"/>
          <w:color w:val="111111"/>
          <w:sz w:val="28"/>
          <w:szCs w:val="28"/>
          <w:rtl/>
        </w:rPr>
        <w:t xml:space="preserve">تهران؛ مجلس؛ شماره نسخه: ۹۰۴۳/۳۵</w:t>
      </w:r>
    </w:p>
    <w:p>
      <w:pPr>
        <w:pStyle w:val="BookText"/>
      </w:pPr>
      <w:r>
        <w:rPr>
          <w:rFonts w:ascii="IRNazanin" w:hAnsi="IRNazanin" w:eastAsia="IRNazanin" w:cs="IRNazanin"/>
          <w:lang w:bidi="fa-IR"/>
          <w:color w:val="111111"/>
          <w:sz w:val="28"/>
          <w:szCs w:val="28"/>
          <w:rtl/>
        </w:rPr>
        <w:t xml:space="preserve">در جای جای جنگ این شعرها را از خود نوشته است: در مدح جناب مئلا، فانی گوید در مخمس قصیده مولوی علیه الرحمه (۲۰ پ -۲۱پ)، ماده تاریخ مرحوم حجة الاسلام آخوند ملا محـمد اعلی الله مقامه که فانی در زرنق منظم نمود (۲۸ر)، در مدح جناب مولا (۲۸ پ - ۲۹پ)، تضمین عزل حافظ در تعزیه (۳۰پ- ۳۱ر) ایضاً در احوال جناب قاسم که خطاب به جناب امام (علیه السّلام) می کند  (۳۰پ)، قصیده در مدح که به جهت عید نوروز گفته شد، در ۷جمادی الثانی ۱۲۶۹ق (۳۳ پ- ۳۸ پ)، به سرکار جلالتمدار رضا بیک سفیر دولت علیه در پطرزبورغ نوشتم فی ۱۹ ربیع الثانی ۱۲۷۴ق (۴۶پ-۴۸ر) به سرکار کمال افندی اعضای مجلس معارف و ناظر عموم مکاتب که سابق سفیر برلین بودند (۴۸ پ- ۴۹ر) اشعار ترکی (۵۳پ) در مدح حضرت رشید پاشا صدراعظم در اسلامبول در ماه صفر ۱۲۷۴ق انشاد شد (۵۴ر- ۵۵ر) ما كتبته الى جناب جودت افندی من اعضاء مجلس تنظیمات و مجلس المعارف و الوقعه نويس في 19 ربیع الثانی ۱۲۷۴ق (۵۵ر) به خدمت سر سرکار ... افندی در وقتی که از روم... آمدند در ۲۰ شعبان ۷۴ تقدیم شد ۵۶پ- ۵۷ر) ۴ ماده تاریخ در سال ۱۲۷۴ق (۷۱ پ) چندیدن معما (۷۲ر) ماده تاریخ وفات در سال ۱۲۶۲ق) (نام) آن شخص خط خورده و خوانده نمی شود) (77ر)؛ خط: نستعلیق شکسته  تحریری، کا: جامع، تا: قرن ۱۳؛ کاغذ: فرنگی شکری، آهار مهره ،جلد: تیماج عنابی ضربی با ترنج و سرترنج و جدول گرهی یک لا، اندازه: ۱۰/۶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۱۵/۹سم [ف29/2- 660]</w:t>
      </w:r>
    </w:p>
    <w:p>
      <w:pPr>
        <w:pStyle w:val="Heading3"/>
      </w:pPr>
      <w:bookmarkStart w:id="1980" w:name="_Toc1502"/>
      <w:r>
        <w:t>اشعار فتح الله خان کاشانی / شعر / فارسی</w:t>
      </w:r>
      <w:bookmarkEnd w:id="1980"/>
    </w:p>
    <w:p>
      <w:pPr>
        <w:pStyle w:val="BookText"/>
      </w:pPr>
      <w:r>
        <w:rPr>
          <w:rFonts w:ascii="Times New Roman" w:hAnsi="Times New Roman" w:eastAsia="Times New Roman" w:cs="Times New Roman"/>
          <w:lang w:val="en-US" w:bidi="en-US"/>
          <w:color w:val="111111"/>
          <w:sz w:val="28"/>
          <w:szCs w:val="28"/>
          <w:rtl/>
        </w:rPr>
        <w:t xml:space="preserve">aš‘ār-e fath-ol-lāh xān-e kāšānī</w:t>
      </w:r>
    </w:p>
    <w:p>
      <w:pPr>
        <w:pStyle w:val="BookText"/>
      </w:pPr>
      <w:r>
        <w:rPr>
          <w:rFonts w:ascii="IRNazanin" w:hAnsi="IRNazanin" w:eastAsia="IRNazanin" w:cs="IRNazanin"/>
          <w:lang w:bidi="fa-IR"/>
          <w:color w:val="111111"/>
          <w:sz w:val="28"/>
          <w:szCs w:val="28"/>
          <w:rtl/>
        </w:rPr>
        <w:t xml:space="preserve">ملكم، ۱۲۴۹ – ۱۳۲۶ قمری</w:t>
      </w:r>
    </w:p>
    <w:p>
      <w:pPr>
        <w:pStyle w:val="BookText"/>
      </w:pPr>
      <w:r>
        <w:rPr>
          <w:rFonts w:ascii="Times New Roman" w:hAnsi="Times New Roman" w:eastAsia="Times New Roman" w:cs="Times New Roman"/>
          <w:lang w:val="en-US" w:bidi="en-US"/>
          <w:color w:val="111111"/>
          <w:sz w:val="28"/>
          <w:szCs w:val="28"/>
          <w:rtl/>
        </w:rPr>
        <w:t xml:space="preserve">(malkam (1834 - 1908)</w:t>
      </w:r>
    </w:p>
    <w:p>
      <w:pPr>
        <w:pStyle w:val="BookText"/>
      </w:pPr>
      <w:r>
        <w:rPr>
          <w:rFonts w:ascii="IRNazanin" w:hAnsi="IRNazanin" w:eastAsia="IRNazanin" w:cs="IRNazanin"/>
          <w:lang w:bidi="fa-IR"/>
          <w:color w:val="111111"/>
          <w:sz w:val="28"/>
          <w:szCs w:val="28"/>
          <w:rtl/>
        </w:rPr>
        <w:t xml:space="preserve">تهران؛ ملک؛ شماره نسخه: ۲۴۵۵/۱۸</w:t>
      </w:r>
    </w:p>
    <w:p>
      <w:pPr>
        <w:pStyle w:val="BookText"/>
      </w:pPr>
      <w:r>
        <w:rPr>
          <w:rFonts w:ascii="IRNazanin" w:hAnsi="IRNazanin" w:eastAsia="IRNazanin" w:cs="IRNazanin"/>
          <w:lang w:bidi="fa-IR"/>
          <w:color w:val="111111"/>
          <w:sz w:val="28"/>
          <w:szCs w:val="28"/>
          <w:rtl/>
        </w:rPr>
        <w:t xml:space="preserve">خط: نستعلیق، بی کا، تا: ۱۳۲۳ق [ف: ۶ - ۱۹]</w:t>
      </w:r>
    </w:p>
    <w:p>
      <w:pPr>
        <w:pStyle w:val="Heading3"/>
      </w:pPr>
      <w:bookmarkStart w:id="1981" w:name="_Toc1503"/>
      <w:r>
        <w:t>اشعار فیاض / شعر / فارسی</w:t>
      </w:r>
      <w:bookmarkEnd w:id="1981"/>
    </w:p>
    <w:p>
      <w:pPr>
        <w:pStyle w:val="BookText"/>
      </w:pPr>
      <w:r>
        <w:rPr>
          <w:rFonts w:ascii="Times New Roman" w:hAnsi="Times New Roman" w:eastAsia="Times New Roman" w:cs="Times New Roman"/>
          <w:lang w:val="en-US" w:bidi="en-US"/>
          <w:color w:val="111111"/>
          <w:sz w:val="28"/>
          <w:szCs w:val="28"/>
          <w:rtl/>
        </w:rPr>
        <w:t xml:space="preserve">aš ār-e fayyāz</w:t>
      </w:r>
    </w:p>
    <w:p>
      <w:pPr>
        <w:pStyle w:val="BookText"/>
      </w:pPr>
      <w:r>
        <w:rPr>
          <w:rFonts w:ascii="IRNazanin" w:hAnsi="IRNazanin" w:eastAsia="IRNazanin" w:cs="IRNazanin"/>
          <w:lang w:bidi="fa-IR"/>
          <w:color w:val="111111"/>
          <w:sz w:val="28"/>
          <w:szCs w:val="28"/>
          <w:rtl/>
        </w:rPr>
        <w:t xml:space="preserve">تهران؛ مجلس؛ شماره نسخه: ۹۰۸۷/۱۳</w:t>
      </w:r>
    </w:p>
    <w:p>
      <w:pPr>
        <w:pStyle w:val="BookText"/>
      </w:pPr>
      <w:r>
        <w:rPr>
          <w:rFonts w:ascii="IRNazanin" w:hAnsi="IRNazanin" w:eastAsia="IRNazanin" w:cs="IRNazanin"/>
          <w:lang w:bidi="fa-IR"/>
          <w:color w:val="111111"/>
          <w:sz w:val="28"/>
          <w:szCs w:val="28"/>
          <w:rtl/>
        </w:rPr>
        <w:t xml:space="preserve">خط: نسخ کهن معرب، کا: محمد ابراهیم، تا: با تاریخ قرن۱۱؛ افتادگی: آغاز؛ به خط محمد ابراهیم که آخرین آنها تاریخ ۱۰ شعبان ۱۵۹[۱۰۵۹] دارد؛ کاغذ: الوان آهار مهره ،جلد: تیماج قهوه ای با ترنج و سرترنج و چهار لچکی، عطف گالینگور، اص ،(۲۷ر) اندازه: ۱۵/۱۸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۲۸/۴سم [ف: ۲۹/۲ - ۷۳۱]</w:t>
      </w:r>
    </w:p>
    <w:p>
      <w:pPr>
        <w:pStyle w:val="Heading3"/>
      </w:pPr>
      <w:bookmarkStart w:id="1982" w:name="_Toc1504"/>
      <w:r>
        <w:t>اشعار فى الرياض و النهار / ادبیات / عربی</w:t>
      </w:r>
      <w:bookmarkEnd w:id="1982"/>
    </w:p>
    <w:p>
      <w:pPr>
        <w:pStyle w:val="BookText"/>
      </w:pPr>
      <w:r>
        <w:rPr>
          <w:rFonts w:ascii="Times New Roman" w:hAnsi="Times New Roman" w:eastAsia="Times New Roman" w:cs="Times New Roman"/>
          <w:lang w:val="en-US" w:bidi="en-US"/>
          <w:color w:val="111111"/>
          <w:sz w:val="28"/>
          <w:szCs w:val="28"/>
          <w:rtl/>
        </w:rPr>
        <w:t xml:space="preserve">aš ār-un fi-r rīyāḍ wa-n nahār</w:t>
      </w:r>
    </w:p>
    <w:p>
      <w:pPr>
        <w:pStyle w:val="BookText"/>
      </w:pPr>
      <w:r>
        <w:rPr>
          <w:rFonts w:ascii="IRNazanin" w:hAnsi="IRNazanin" w:eastAsia="IRNazanin" w:cs="IRNazanin"/>
          <w:lang w:bidi="fa-IR"/>
          <w:color w:val="111111"/>
          <w:sz w:val="28"/>
          <w:szCs w:val="28"/>
          <w:rtl/>
        </w:rPr>
        <w:t xml:space="preserve">تهران؛ مجلس؛ شماره نسخه :۸۸۲۵/۳۴
</w:t>
      </w:r>
    </w:p>
    <w:p>
      <w:pPr>
        <w:sectPr>
          <w:footerReference w:type="default" r:id="rId986"/>
          <w:footnotePr>
            <w:numStart w:val="1"/>
            <w:numRestart w:val="eachPage"/>
          </w:footnotePr>
          <w:pgSz w:orient="portrait" w:w="11905.511811023622" w:h="16837.79527559055"/>
          <w:pgMar w:top="1440" w:right="1440" w:bottom="1440" w:left="1440" w:header="720" w:footer="720" w:gutter="0"/>
          <w:cols w:num="1" w:space="720"/>
        </w:sectPr>
      </w:pPr>
    </w:p>
    <w:bookmarkStart w:id="433" w:name="pg20365_260922"/>
    <w:bookmarkEnd w:id="433"/>
    <w:p>
      <w:pPr>
        <w:pStyle w:val="BookText"/>
      </w:pPr>
      <w:r>
        <w:rPr>
          <w:rFonts w:ascii="IRNazanin" w:hAnsi="IRNazanin" w:eastAsia="IRNazanin" w:cs="IRNazanin"/>
          <w:lang w:bidi="fa-IR"/>
          <w:color w:val="111111"/>
          <w:sz w:val="28"/>
          <w:szCs w:val="28"/>
          <w:rtl/>
        </w:rPr>
        <w:t xml:space="preserve">از این سرایندگان ابن معتز ،بحتری، دیک الجن، ابن تمـیم، تلعفرى، الواو الدمشقی، ابن رومی، ابن شرف ماردینی، سـعید خالدی، ابن عفیف تلمسانی، مظفر اعمی، ابن طباطبا، ابوالعـلا رونی، ابن ازموی، ابی طالب مامونی ،ارموی، ابوالفتح کشاجم ،تنوخی ،صفوری، شریف الناسخ، محمد اشعری، ابن قزل، ابوسالم معری، ابن حبیب، ابن مکی، محمد بن المغربي، ابن سعيد، الهائم المنصوری، ابن عصار، صفدی؛ خط: نستعلیق، کا: سید محـمد طباطبایی طبیب یزدی، تا با تاریخ ۱۲۸۵ق ،جا: تهران؛ کاغذ: فرنگی نخودی آهار مهره ،جلد: میشین قهوه ای مجدول، ۲ گ (۱۴۶ر-۱۴۷پ)،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۳۵/۳سم [ف: ۲۹/۱ - ۶۱]</w:t>
      </w:r>
    </w:p>
    <w:p>
      <w:pPr>
        <w:pStyle w:val="Heading3"/>
      </w:pPr>
      <w:bookmarkStart w:id="1983" w:name="_Toc1505"/>
      <w:r>
        <w:t>اشعار فى ورود الكتاب من الاحباب / شعر / عربي</w:t>
      </w:r>
      <w:bookmarkEnd w:id="1983"/>
    </w:p>
    <w:p>
      <w:pPr>
        <w:pStyle w:val="BookText"/>
      </w:pPr>
      <w:r>
        <w:rPr>
          <w:rFonts w:ascii="Times New Roman" w:hAnsi="Times New Roman" w:eastAsia="Times New Roman" w:cs="Times New Roman"/>
          <w:lang w:val="en-US" w:bidi="en-US"/>
          <w:color w:val="111111"/>
          <w:sz w:val="28"/>
          <w:szCs w:val="28"/>
          <w:rtl/>
        </w:rPr>
        <w:t xml:space="preserve">aš‘ār-un fī wurūd-il kitāb min-al aḥbāb</w:t>
      </w:r>
    </w:p>
    <w:p>
      <w:pPr>
        <w:pStyle w:val="BookText"/>
      </w:pPr>
      <w:r>
        <w:rPr>
          <w:rFonts w:ascii="IRNazanin" w:hAnsi="IRNazanin" w:eastAsia="IRNazanin" w:cs="IRNazanin"/>
          <w:lang w:bidi="fa-IR"/>
          <w:color w:val="111111"/>
          <w:sz w:val="28"/>
          <w:szCs w:val="28"/>
          <w:rtl/>
        </w:rPr>
        <w:t xml:space="preserve">تهران؛ مجلس؛ شماره نسخه: ۸۸۶۸/۳۷</w:t>
      </w:r>
    </w:p>
    <w:p>
      <w:pPr>
        <w:pStyle w:val="BookText"/>
      </w:pPr>
      <w:r>
        <w:rPr>
          <w:rFonts w:ascii="IRNazanin" w:hAnsi="IRNazanin" w:eastAsia="IRNazanin" w:cs="IRNazanin"/>
          <w:lang w:bidi="fa-IR"/>
          <w:color w:val="111111"/>
          <w:sz w:val="28"/>
          <w:szCs w:val="28"/>
          <w:rtl/>
        </w:rPr>
        <w:t xml:space="preserve">خط: نستعلیق و شکسته، بی کا، تا: قرن ۱۳؛ کاغذ: صنعتی نخودی و نیلی آهار مهره ،جلد: مقوای سفید، عطف میشن زیتونی ،1گ،(۹۷ر)،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۲۱/۴سم [ف: ۲۹/۱ - ۱۸۲]</w:t>
      </w:r>
    </w:p>
    <w:p>
      <w:pPr>
        <w:pStyle w:val="Heading3"/>
      </w:pPr>
      <w:bookmarkStart w:id="1984" w:name="_Toc1506"/>
      <w:r>
        <w:t>اشعار کتاب رموز حمزه / شعر / فارسی</w:t>
      </w:r>
      <w:bookmarkEnd w:id="1984"/>
    </w:p>
    <w:p>
      <w:pPr>
        <w:pStyle w:val="BookText"/>
      </w:pPr>
      <w:r>
        <w:rPr>
          <w:rFonts w:ascii="Times New Roman" w:hAnsi="Times New Roman" w:eastAsia="Times New Roman" w:cs="Times New Roman"/>
          <w:lang w:val="en-US" w:bidi="en-US"/>
          <w:color w:val="111111"/>
          <w:sz w:val="28"/>
          <w:szCs w:val="28"/>
          <w:rtl/>
        </w:rPr>
        <w:t xml:space="preserve">aš‘ār-e k.-e romūz-e hamze</w:t>
      </w:r>
    </w:p>
    <w:p>
      <w:pPr>
        <w:pStyle w:val="BookText"/>
      </w:pPr>
      <w:r>
        <w:rPr>
          <w:rFonts w:ascii="IRNazanin" w:hAnsi="IRNazanin" w:eastAsia="IRNazanin" w:cs="IRNazanin"/>
          <w:lang w:bidi="fa-IR"/>
          <w:color w:val="111111"/>
          <w:sz w:val="28"/>
          <w:szCs w:val="28"/>
          <w:rtl/>
        </w:rPr>
        <w:t xml:space="preserve">منشی خلوت، محمد علی، ق۱۴ قمری</w:t>
      </w:r>
    </w:p>
    <w:p>
      <w:pPr>
        <w:pStyle w:val="BookText"/>
      </w:pPr>
      <w:r>
        <w:rPr>
          <w:rFonts w:ascii="Times New Roman" w:hAnsi="Times New Roman" w:eastAsia="Times New Roman" w:cs="Times New Roman"/>
          <w:lang w:val="en-US" w:bidi="en-US"/>
          <w:color w:val="111111"/>
          <w:sz w:val="28"/>
          <w:szCs w:val="28"/>
          <w:rtl/>
        </w:rPr>
        <w:t xml:space="preserve">(monšī xalvat, mohammad ‘alī (- 20c)</w:t>
      </w:r>
    </w:p>
    <w:p>
      <w:pPr>
        <w:pStyle w:val="BookText"/>
      </w:pPr>
      <w:r>
        <w:rPr>
          <w:rFonts w:ascii="IRNazanin" w:hAnsi="IRNazanin" w:eastAsia="IRNazanin" w:cs="IRNazanin"/>
          <w:lang w:bidi="fa-IR"/>
          <w:color w:val="111111"/>
          <w:sz w:val="28"/>
          <w:szCs w:val="28"/>
          <w:rtl/>
        </w:rPr>
        <w:t xml:space="preserve">اصفهان صارم الدوله (کتابخانه فرهنگ اصفهان) شماره نسخه :2/ 1040</w:t>
      </w:r>
    </w:p>
    <w:p>
      <w:pPr>
        <w:pStyle w:val="BookText"/>
      </w:pPr>
      <w:r>
        <w:rPr>
          <w:rFonts w:ascii="IRNazanin" w:hAnsi="IRNazanin" w:eastAsia="IRNazanin" w:cs="IRNazanin"/>
          <w:lang w:bidi="fa-IR"/>
          <w:color w:val="111111"/>
          <w:sz w:val="28"/>
          <w:szCs w:val="28"/>
          <w:rtl/>
        </w:rPr>
        <w:t xml:space="preserve">آغاز: این جعل رؤیتان ! که می بینی *** مگسانند گرد شیرینی؛</w:t>
      </w:r>
    </w:p>
    <w:p>
      <w:pPr>
        <w:pStyle w:val="BookText"/>
      </w:pPr>
      <w:r>
        <w:rPr>
          <w:rFonts w:ascii="IRNazanin" w:hAnsi="IRNazanin" w:eastAsia="IRNazanin" w:cs="IRNazanin"/>
          <w:lang w:bidi="fa-IR"/>
          <w:color w:val="111111"/>
          <w:sz w:val="28"/>
          <w:szCs w:val="28"/>
          <w:rtl/>
        </w:rPr>
        <w:t xml:space="preserve">انجام: قضا پا در مکافاتت بیفشرد *** شده سیلاب آمد گله را برد/ چگویم که نا گفتنم بهتر است *** زبان در دهان پاسبان سراست</w:t>
      </w:r>
    </w:p>
    <w:p>
      <w:pPr>
        <w:pStyle w:val="BookText"/>
      </w:pPr>
      <w:r>
        <w:rPr>
          <w:rFonts w:ascii="IRNazanin" w:hAnsi="IRNazanin" w:eastAsia="IRNazanin" w:cs="IRNazanin"/>
          <w:lang w:bidi="fa-IR"/>
          <w:color w:val="111111"/>
          <w:sz w:val="28"/>
          <w:szCs w:val="28"/>
          <w:rtl/>
        </w:rPr>
        <w:t xml:space="preserve">خط: شکسته نستعلیق، کاتب = مؤلف ،تا: از ۱۲ شعبان ۲۲ تا اواخر رمضان ۱۳۲۲ق؛ کاغذ: فرنگی ،جلد: تیماج قرمز یک لا،۹۱ص،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۱۴۵]</w:t>
      </w:r>
    </w:p>
    <w:p>
      <w:pPr>
        <w:pStyle w:val="Heading3"/>
      </w:pPr>
      <w:bookmarkStart w:id="1985" w:name="_Toc1507"/>
      <w:r>
        <w:t>اشعار (گردآوری) / شعر / عربی</w:t>
      </w:r>
      <w:bookmarkEnd w:id="1985"/>
    </w:p>
    <w:p>
      <w:pPr>
        <w:pStyle w:val="BookText"/>
      </w:pPr>
      <w:r>
        <w:rPr>
          <w:rFonts w:ascii="Times New Roman" w:hAnsi="Times New Roman" w:eastAsia="Times New Roman" w:cs="Times New Roman"/>
          <w:lang w:val="en-US" w:bidi="en-US"/>
          <w:color w:val="111111"/>
          <w:sz w:val="28"/>
          <w:szCs w:val="28"/>
          <w:rtl/>
        </w:rPr>
        <w:t xml:space="preserve">(aš‘ār (gerdāvarī)</w:t>
      </w:r>
    </w:p>
    <w:p>
      <w:pPr>
        <w:pStyle w:val="BookText"/>
      </w:pPr>
      <w:r>
        <w:rPr>
          <w:rFonts w:ascii="IRNazanin" w:hAnsi="IRNazanin" w:eastAsia="IRNazanin" w:cs="IRNazanin"/>
          <w:lang w:bidi="fa-IR"/>
          <w:color w:val="111111"/>
          <w:sz w:val="28"/>
          <w:szCs w:val="28"/>
          <w:rtl/>
        </w:rPr>
        <w:t xml:space="preserve">ابو مخنف، لوط بن یحیی، - ۱۵۷ قمری</w:t>
      </w:r>
    </w:p>
    <w:p>
      <w:pPr>
        <w:pStyle w:val="BookText"/>
      </w:pPr>
      <w:r>
        <w:rPr>
          <w:rFonts w:ascii="Times New Roman" w:hAnsi="Times New Roman" w:eastAsia="Times New Roman" w:cs="Times New Roman"/>
          <w:lang w:val="en-US" w:bidi="en-US"/>
          <w:color w:val="111111"/>
          <w:sz w:val="28"/>
          <w:szCs w:val="28"/>
          <w:rtl/>
        </w:rPr>
        <w:t xml:space="preserve">(abū-mexnaf, lūt ebn-e yahyā (- 775)</w:t>
      </w:r>
    </w:p>
    <w:p>
      <w:pPr>
        <w:pStyle w:val="BookText"/>
      </w:pPr>
      <w:r>
        <w:rPr>
          <w:rFonts w:ascii="IRNazanin" w:hAnsi="IRNazanin" w:eastAsia="IRNazanin" w:cs="IRNazanin"/>
          <w:lang w:bidi="fa-IR"/>
          <w:color w:val="111111"/>
          <w:sz w:val="28"/>
          <w:szCs w:val="28"/>
          <w:rtl/>
        </w:rPr>
        <w:t xml:space="preserve">ابو محنف ابیاتی از منشآت امام حسین (علیه السّلام) را انتخاب کرده اسـت و در میان آنها چند بیتی نیز از امیرمؤمنان به چشم می خورد.</w:t>
      </w:r>
    </w:p>
    <w:p>
      <w:pPr>
        <w:pStyle w:val="BookText"/>
      </w:pPr>
      <w:r>
        <w:rPr>
          <w:rFonts w:ascii="Amiri" w:hAnsi="Amiri" w:eastAsia="Amiri" w:cs="Amiri"/>
          <w:lang w:bidi="ar-SA"/>
          <w:color w:val="111111"/>
          <w:sz w:val="28"/>
          <w:szCs w:val="28"/>
          <w:rtl/>
        </w:rPr>
        <w:t xml:space="preserve">آغاز: ذهب الذين احبهم و بقيت فيمن لا أحبه *** فيمن اراه يسبني ظهر الغيب و اسبة / يبغى فسادى ما استطاع و امره مما اربه *** حتما يدب الى الضراء و مما ذاك لا أدبه</w:t>
      </w:r>
    </w:p>
    <w:p>
      <w:pPr>
        <w:pStyle w:val="BookText"/>
      </w:pPr>
      <w:r>
        <w:rPr>
          <w:rFonts w:ascii="Amiri" w:hAnsi="Amiri" w:eastAsia="Amiri" w:cs="Amiri"/>
          <w:lang w:bidi="ar-SA"/>
          <w:color w:val="111111"/>
          <w:sz w:val="28"/>
          <w:szCs w:val="28"/>
          <w:rtl/>
        </w:rPr>
        <w:t xml:space="preserve">انجام: عترة البر النبي المصطفى *** و على الوربين الجحفلين. و صلى الله عليه و آله و سلم تم اشعار الامامين الهمامين</w:t>
      </w:r>
    </w:p>
    <w:p>
      <w:pPr>
        <w:pStyle w:val="BookText"/>
      </w:pPr>
      <w:r>
        <w:rPr>
          <w:rFonts w:ascii="IRNazanin" w:hAnsi="IRNazanin" w:eastAsia="IRNazanin" w:cs="IRNazanin"/>
          <w:lang w:bidi="fa-IR"/>
          <w:color w:val="111111"/>
          <w:sz w:val="28"/>
          <w:szCs w:val="28"/>
          <w:rtl/>
        </w:rPr>
        <w:t xml:space="preserve">[دنا ۸۵۳/۱]</w:t>
      </w:r>
    </w:p>
    <w:p>
      <w:pPr>
        <w:pStyle w:val="BookText"/>
      </w:pPr>
      <w:r>
        <w:rPr>
          <w:rFonts w:ascii="IRNazanin" w:hAnsi="IRNazanin" w:eastAsia="IRNazanin" w:cs="IRNazanin"/>
          <w:lang w:bidi="fa-IR"/>
          <w:color w:val="111111"/>
          <w:sz w:val="28"/>
          <w:szCs w:val="28"/>
          <w:rtl/>
        </w:rPr>
        <w:t xml:space="preserve">۱. فردوس؛ مدرسه حبیبیه؛ شماره نسخه: ۲۰/۱۲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معين شیرازی، تا: ۹۰۹ ق، جا: تبریز؛ جلد: تیماج مشکی مجدول گرهی، ۴گ (۵۰۴پ-۵۰۸ر)،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w:t>
      </w:r>
    </w:p>
    <w:p>
      <w:pPr>
        <w:pStyle w:val="BookText"/>
      </w:pPr>
      <w:r>
        <w:rPr>
          <w:rFonts w:ascii="IRNazanin" w:hAnsi="IRNazanin" w:eastAsia="IRNazanin" w:cs="IRNazanin"/>
          <w:lang w:bidi="fa-IR"/>
          <w:color w:val="111111"/>
          <w:sz w:val="28"/>
          <w:szCs w:val="28"/>
          <w:rtl/>
        </w:rPr>
        <w:t xml:space="preserve">2.مشهد؛ گوهر شاد؛ شماره نسخه: ۲۱۸۸/۴۱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خوش، کا: معز الدین محمد بن سلطان محمد قاری نیریزی، تا: ۱۰۸۵ق؛ دارای سرلوح مزدوج مذهب مرصع ، دارای كتيبه، مجدول؛ واقف: محمد حسام واعظی، ۱۳۹۷؛ کاغذ: نخودی آهار مهره، جلد: بیرون تیماج  ساده، درون تیماج با حاشیه عنابی مزین به شاخه های گل  زرین، ۲۴ سطر، اندازه: 17</w:t>
      </w:r>
      <w:r>
        <w:rPr>
          <w:rFonts w:ascii="Times New Roman" w:hAnsi="Times New Roman" w:eastAsia="Times New Roman" w:cs="Times New Roman"/>
          <w:lang w:val="en-US" w:bidi="en-US"/>
          <w:color w:val="111111"/>
          <w:sz w:val="28"/>
          <w:szCs w:val="28"/>
          <w:rtl/>
        </w:rPr>
        <w:t xml:space="preserve">×27</w:t>
      </w:r>
      <w:r>
        <w:rPr>
          <w:rFonts w:ascii="IRNazanin" w:hAnsi="IRNazanin" w:eastAsia="IRNazanin" w:cs="IRNazanin"/>
          <w:lang w:bidi="fa-IR"/>
          <w:color w:val="111111"/>
          <w:sz w:val="28"/>
          <w:szCs w:val="28"/>
          <w:rtl/>
        </w:rPr>
        <w:t xml:space="preserve">سم  [ف: 5- 567]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دانشگاه ؛شماره نسخه: ۷۰۵۹/۳</w:t>
      </w:r>
    </w:p>
    <w:p>
      <w:pPr>
        <w:pStyle w:val="BookText"/>
      </w:pPr>
      <w:r>
        <w:rPr>
          <w:rFonts w:ascii="IRNazanin" w:hAnsi="IRNazanin" w:eastAsia="IRNazanin" w:cs="IRNazanin"/>
          <w:lang w:bidi="fa-IR"/>
          <w:color w:val="111111"/>
          <w:sz w:val="28"/>
          <w:szCs w:val="28"/>
          <w:rtl/>
        </w:rPr>
        <w:t xml:space="preserve">خط: نسخ، كا: خليفة بن يوسف نجفی، بی تا؛ کاغذ: سپاهانی، جلد: تيماج مشکی مقوایی درون سرخ، ۷گ (۶۰پ-۶۷ر)، ۱۵ سطر (7</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،قطع: بغلی،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 ۱۶ - ۴۴۱]</w:t>
      </w:r>
    </w:p>
    <w:p>
      <w:pPr>
        <w:pStyle w:val="BookText"/>
      </w:pPr>
      <w:r>
        <w:rPr>
          <w:rFonts w:ascii="IRNazanin" w:hAnsi="IRNazanin" w:eastAsia="IRNazanin" w:cs="IRNazanin"/>
          <w:lang w:bidi="fa-IR"/>
          <w:color w:val="111111"/>
          <w:sz w:val="28"/>
          <w:szCs w:val="28"/>
          <w:rtl/>
        </w:rPr>
        <w:t xml:space="preserve">۴. تهران؛ مجلس؛ شماره نسخه: ۷۶۶۲/۲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بی کا، بی تا ؛جلد: تیماج قهوه ای، ۸ ص (۳۷-۴۵)،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۲۶ - ۱۵۷]</w:t>
      </w:r>
    </w:p>
    <w:p>
      <w:pPr>
        <w:pStyle w:val="Heading3"/>
      </w:pPr>
      <w:bookmarkStart w:id="1986" w:name="_Toc1508"/>
      <w:r>
        <w:t>اشعار / شعر / عربی</w:t>
      </w:r>
      <w:bookmarkEnd w:id="1986"/>
    </w:p>
    <w:p>
      <w:pPr>
        <w:pStyle w:val="BookText"/>
      </w:pPr>
      <w:r>
        <w:rPr>
          <w:rFonts w:ascii="Times New Roman" w:hAnsi="Times New Roman" w:eastAsia="Times New Roman" w:cs="Times New Roman"/>
          <w:lang w:val="en-US" w:bidi="en-US"/>
          <w:color w:val="111111"/>
          <w:sz w:val="28"/>
          <w:szCs w:val="28"/>
          <w:rtl/>
        </w:rPr>
        <w:t xml:space="preserve">aš‘ār</w:t>
      </w:r>
    </w:p>
    <w:p>
      <w:pPr>
        <w:pStyle w:val="BookText"/>
      </w:pPr>
      <w:r>
        <w:rPr>
          <w:rFonts w:ascii="IRNazanin" w:hAnsi="IRNazanin" w:eastAsia="IRNazanin" w:cs="IRNazanin"/>
          <w:lang w:bidi="fa-IR"/>
          <w:color w:val="111111"/>
          <w:sz w:val="28"/>
          <w:szCs w:val="28"/>
          <w:rtl/>
        </w:rPr>
        <w:t xml:space="preserve">ملکان  تبریزی، محمد بن مسعود، ق۸ قمری</w:t>
      </w:r>
    </w:p>
    <w:p>
      <w:pPr>
        <w:pStyle w:val="BookText"/>
      </w:pPr>
      <w:r>
        <w:rPr>
          <w:rFonts w:ascii="Times New Roman" w:hAnsi="Times New Roman" w:eastAsia="Times New Roman" w:cs="Times New Roman"/>
          <w:lang w:val="en-US" w:bidi="en-US"/>
          <w:color w:val="111111"/>
          <w:sz w:val="28"/>
          <w:szCs w:val="28"/>
          <w:rtl/>
        </w:rPr>
        <w:t xml:space="preserve">(malekān-e tabrīzī, mohammad ebn-e mas'ud (- 14c)</w:t>
      </w:r>
    </w:p>
    <w:p>
      <w:pPr>
        <w:pStyle w:val="BookText"/>
      </w:pPr>
      <w:r>
        <w:rPr>
          <w:rFonts w:ascii="IRNazanin" w:hAnsi="IRNazanin" w:eastAsia="IRNazanin" w:cs="IRNazanin"/>
          <w:lang w:bidi="fa-IR"/>
          <w:color w:val="111111"/>
          <w:sz w:val="28"/>
          <w:szCs w:val="28"/>
          <w:rtl/>
        </w:rPr>
        <w:t xml:space="preserve">تهران؛ مجلس؛ شماره نسخه: ۱۴۵۹۰/۲۰۱</w:t>
      </w:r>
    </w:p>
    <w:p>
      <w:pPr>
        <w:pStyle w:val="BookText"/>
      </w:pPr>
      <w:r>
        <w:rPr>
          <w:rFonts w:ascii="IRNazanin" w:hAnsi="IRNazanin" w:eastAsia="IRNazanin" w:cs="IRNazanin"/>
          <w:lang w:bidi="fa-IR"/>
          <w:color w:val="111111"/>
          <w:sz w:val="28"/>
          <w:szCs w:val="28"/>
          <w:rtl/>
        </w:rPr>
        <w:t xml:space="preserve">از شعرای مختلف عرب چون بحتری، ابوفراس، و ابن نباته (ناقص)؛ خط: نسخ، کا: ابوالمجد تبریزی، تا: ۷۲۳ق، ۲گ (۳۶۳ ر -۳۶۴ پ) [مختصر ف :۲۳۹]</w:t>
      </w:r>
    </w:p>
    <w:p>
      <w:pPr>
        <w:pStyle w:val="Heading3"/>
      </w:pPr>
      <w:bookmarkStart w:id="1987" w:name="_Toc1509"/>
      <w:r>
        <w:t>اشعار (گردآوری) / شعر /عربی</w:t>
      </w:r>
      <w:bookmarkEnd w:id="1987"/>
    </w:p>
    <w:p>
      <w:pPr>
        <w:pStyle w:val="BookText"/>
      </w:pPr>
      <w:r>
        <w:rPr>
          <w:rFonts w:ascii="Times New Roman" w:hAnsi="Times New Roman" w:eastAsia="Times New Roman" w:cs="Times New Roman"/>
          <w:lang w:val="en-US" w:bidi="en-US"/>
          <w:color w:val="111111"/>
          <w:sz w:val="28"/>
          <w:szCs w:val="28"/>
          <w:rtl/>
        </w:rPr>
        <w:t xml:space="preserve">( aš‘ār (gerdāvarī)</w:t>
      </w:r>
    </w:p>
    <w:p>
      <w:pPr>
        <w:pStyle w:val="BookText"/>
      </w:pPr>
      <w:r>
        <w:rPr>
          <w:rFonts w:ascii="IRNazanin" w:hAnsi="IRNazanin" w:eastAsia="IRNazanin" w:cs="IRNazanin"/>
          <w:lang w:bidi="fa-IR"/>
          <w:color w:val="111111"/>
          <w:sz w:val="28"/>
          <w:szCs w:val="28"/>
          <w:rtl/>
        </w:rPr>
        <w:t xml:space="preserve">اقشاشی، قطب الدین</w:t>
      </w:r>
    </w:p>
    <w:p>
      <w:pPr>
        <w:pStyle w:val="BookText"/>
      </w:pPr>
      <w:r>
        <w:rPr>
          <w:rFonts w:ascii="Times New Roman" w:hAnsi="Times New Roman" w:eastAsia="Times New Roman" w:cs="Times New Roman"/>
          <w:lang w:val="en-US" w:bidi="en-US"/>
          <w:color w:val="111111"/>
          <w:sz w:val="28"/>
          <w:szCs w:val="28"/>
          <w:rtl/>
        </w:rPr>
        <w:t xml:space="preserve">eqšāšī, qotb-od-dīn</w:t>
      </w:r>
    </w:p>
    <w:p>
      <w:pPr>
        <w:pStyle w:val="BookText"/>
      </w:pPr>
      <w:r>
        <w:rPr>
          <w:rFonts w:ascii="IRNazanin" w:hAnsi="IRNazanin" w:eastAsia="IRNazanin" w:cs="IRNazanin"/>
          <w:lang w:bidi="fa-IR"/>
          <w:color w:val="111111"/>
          <w:sz w:val="28"/>
          <w:szCs w:val="28"/>
          <w:rtl/>
        </w:rPr>
        <w:t xml:space="preserve">تهران؛ ملک؛ شماره نسخه: ۶۰۴/۶۷</w:t>
      </w:r>
    </w:p>
    <w:p>
      <w:pPr>
        <w:pStyle w:val="BookText"/>
      </w:pPr>
      <w:r>
        <w:rPr>
          <w:rFonts w:ascii="Times New Roman" w:hAnsi="Times New Roman" w:eastAsia="Times New Roman" w:cs="Times New Roman"/>
          <w:lang w:val="en-US" w:bidi="en-US"/>
          <w:color w:val="111111"/>
          <w:sz w:val="28"/>
          <w:szCs w:val="28"/>
          <w:rtl/>
        </w:rPr>
        <w:t xml:space="preserve">aš ār (gerdāvarī)</w:t>
      </w:r>
    </w:p>
    <w:p>
      <w:pPr>
        <w:pStyle w:val="BookText"/>
      </w:pPr>
      <w:r>
        <w:rPr>
          <w:rFonts w:ascii="IRNazanin" w:hAnsi="IRNazanin" w:eastAsia="IRNazanin" w:cs="IRNazanin"/>
          <w:lang w:bidi="fa-IR"/>
          <w:color w:val="111111"/>
          <w:sz w:val="28"/>
          <w:szCs w:val="28"/>
          <w:rtl/>
        </w:rPr>
        <w:t xml:space="preserve">اشعاری از او و دیگران؛ خط: نسخ، کا: شمس الدین محمد بن على بن حسن جباعی، تا: قرن ۹ [ف: ۵ - ۱۱۰]
</w:t>
      </w:r>
    </w:p>
    <w:p>
      <w:pPr>
        <w:sectPr>
          <w:footerReference w:type="default" r:id="rId987"/>
          <w:footnotePr>
            <w:numStart w:val="1"/>
            <w:numRestart w:val="eachPage"/>
          </w:footnotePr>
          <w:pgSz w:orient="portrait" w:w="11905.511811023622" w:h="16837.79527559055"/>
          <w:pgMar w:top="1440" w:right="1440" w:bottom="1440" w:left="1440" w:header="720" w:footer="720" w:gutter="0"/>
          <w:cols w:num="1" w:space="720"/>
        </w:sectPr>
      </w:pPr>
    </w:p>
    <w:bookmarkStart w:id="434" w:name="pg20365_260923"/>
    <w:bookmarkEnd w:id="434"/>
    <w:p>
      <w:pPr>
        <w:pStyle w:val="Heading3"/>
      </w:pPr>
      <w:bookmarkStart w:id="1988" w:name="_Toc1510"/>
      <w:r>
        <w:t>اشعار / شعر / فارسی و عربی</w:t>
      </w:r>
      <w:bookmarkEnd w:id="1988"/>
    </w:p>
    <w:p>
      <w:pPr>
        <w:pStyle w:val="BookText"/>
      </w:pPr>
      <w:r>
        <w:rPr>
          <w:rFonts w:ascii="Times New Roman" w:hAnsi="Times New Roman" w:eastAsia="Times New Roman" w:cs="Times New Roman"/>
          <w:lang w:val="en-US" w:bidi="en-US"/>
          <w:color w:val="111111"/>
          <w:sz w:val="28"/>
          <w:szCs w:val="28"/>
          <w:rtl/>
        </w:rPr>
        <w:t xml:space="preserve">aš‘ār</w:t>
      </w:r>
    </w:p>
    <w:p>
      <w:pPr>
        <w:pStyle w:val="BookText"/>
      </w:pPr>
      <w:r>
        <w:rPr>
          <w:rFonts w:ascii="IRNazanin" w:hAnsi="IRNazanin" w:eastAsia="IRNazanin" w:cs="IRNazanin"/>
          <w:lang w:bidi="fa-IR"/>
          <w:color w:val="111111"/>
          <w:sz w:val="28"/>
          <w:szCs w:val="28"/>
          <w:rtl/>
        </w:rPr>
        <w:t xml:space="preserve">ترکه اصفهانی، علی بن محمد، - ۸۳۵؟ قمری</w:t>
      </w:r>
    </w:p>
    <w:p>
      <w:pPr>
        <w:pStyle w:val="BookText"/>
      </w:pPr>
      <w:r>
        <w:rPr>
          <w:rFonts w:ascii="Times New Roman" w:hAnsi="Times New Roman" w:eastAsia="Times New Roman" w:cs="Times New Roman"/>
          <w:lang w:val="en-US" w:bidi="en-US"/>
          <w:color w:val="111111"/>
          <w:sz w:val="28"/>
          <w:szCs w:val="28"/>
          <w:rtl/>
        </w:rPr>
        <w:t xml:space="preserve">(torke-ye esfahānī, ‘alī ebn-e mohammad (- 1432)</w:t>
      </w:r>
    </w:p>
    <w:p>
      <w:pPr>
        <w:pStyle w:val="BookText"/>
      </w:pPr>
      <w:r>
        <w:rPr>
          <w:rFonts w:ascii="IRNazanin" w:hAnsi="IRNazanin" w:eastAsia="IRNazanin" w:cs="IRNazanin"/>
          <w:lang w:bidi="fa-IR"/>
          <w:color w:val="111111"/>
          <w:sz w:val="28"/>
          <w:szCs w:val="28"/>
          <w:rtl/>
        </w:rPr>
        <w:t xml:space="preserve">تهران؛ مجلس؛ شماره نسخه: ۱۰۱۹۶/۱۰</w:t>
      </w:r>
    </w:p>
    <w:p>
      <w:pPr>
        <w:pStyle w:val="BookText"/>
      </w:pPr>
      <w:r>
        <w:rPr>
          <w:rFonts w:ascii="IRNazanin" w:hAnsi="IRNazanin" w:eastAsia="IRNazanin" w:cs="IRNazanin"/>
          <w:lang w:bidi="fa-IR"/>
          <w:color w:val="111111"/>
          <w:sz w:val="28"/>
          <w:szCs w:val="28"/>
          <w:rtl/>
        </w:rPr>
        <w:t xml:space="preserve">خط: نسخ، بی کا، تا: قرن ۹؛ خط: مؤلف و شرف الدين على يزدی و دیگران در برخی صفحات در ۸۴۱-۸۲۸ق، مصحح، محشی از مؤلف، على یزدی و نوری ؛جلد:تیماج مشکی، ۱۲۱ص،23سطر، اندازه: ۱۵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۲۳سم [ف: ۳۲ - ۲۳۷]</w:t>
      </w:r>
    </w:p>
    <w:p>
      <w:pPr>
        <w:pStyle w:val="Heading3"/>
      </w:pPr>
      <w:bookmarkStart w:id="1989" w:name="_Toc1511"/>
      <w:r>
        <w:t>اشعار (گردآوری) / شعر / فارسی</w:t>
      </w:r>
      <w:bookmarkEnd w:id="1989"/>
    </w:p>
    <w:p>
      <w:pPr>
        <w:pStyle w:val="BookText"/>
      </w:pPr>
      <w:r>
        <w:rPr>
          <w:rFonts w:ascii="Times New Roman" w:hAnsi="Times New Roman" w:eastAsia="Times New Roman" w:cs="Times New Roman"/>
          <w:lang w:val="en-US" w:bidi="en-US"/>
          <w:color w:val="111111"/>
          <w:sz w:val="28"/>
          <w:szCs w:val="28"/>
          <w:rtl/>
        </w:rPr>
        <w:t xml:space="preserve">(aš‘ār (gerdāvarī)</w:t>
      </w:r>
    </w:p>
    <w:p>
      <w:pPr>
        <w:pStyle w:val="BookText"/>
      </w:pPr>
      <w:r>
        <w:rPr>
          <w:rFonts w:ascii="IRNazanin" w:hAnsi="IRNazanin" w:eastAsia="IRNazanin" w:cs="IRNazanin"/>
          <w:lang w:bidi="fa-IR"/>
          <w:color w:val="111111"/>
          <w:sz w:val="28"/>
          <w:szCs w:val="28"/>
          <w:rtl/>
        </w:rPr>
        <w:t xml:space="preserve">شرف الدين على یزدی، - ۸۵۸ قمری</w:t>
      </w:r>
    </w:p>
    <w:p>
      <w:pPr>
        <w:pStyle w:val="BookText"/>
      </w:pPr>
      <w:r>
        <w:rPr>
          <w:rFonts w:ascii="Times New Roman" w:hAnsi="Times New Roman" w:eastAsia="Times New Roman" w:cs="Times New Roman"/>
          <w:lang w:val="en-US" w:bidi="en-US"/>
          <w:color w:val="111111"/>
          <w:sz w:val="28"/>
          <w:szCs w:val="28"/>
          <w:rtl/>
        </w:rPr>
        <w:t xml:space="preserve">(šaraf-od-dīn ‘alī-ye yazdī (- 1454)</w:t>
      </w:r>
    </w:p>
    <w:p>
      <w:pPr>
        <w:pStyle w:val="BookText"/>
      </w:pPr>
      <w:r>
        <w:rPr>
          <w:rFonts w:ascii="IRNazanin" w:hAnsi="IRNazanin" w:eastAsia="IRNazanin" w:cs="IRNazanin"/>
          <w:lang w:bidi="fa-IR"/>
          <w:color w:val="111111"/>
          <w:sz w:val="28"/>
          <w:szCs w:val="28"/>
          <w:rtl/>
        </w:rPr>
        <w:t xml:space="preserve">تهران؛ مجلس؛ شماره نسخه: ۱۳۱۹/۶</w:t>
      </w:r>
    </w:p>
    <w:p>
      <w:pPr>
        <w:pStyle w:val="BookText"/>
      </w:pPr>
      <w:r>
        <w:rPr>
          <w:rFonts w:ascii="IRNazanin" w:hAnsi="IRNazanin" w:eastAsia="IRNazanin" w:cs="IRNazanin"/>
          <w:lang w:bidi="fa-IR"/>
          <w:color w:val="111111"/>
          <w:sz w:val="28"/>
          <w:szCs w:val="28"/>
          <w:rtl/>
        </w:rPr>
        <w:t xml:space="preserve">قصاید و غزلیات و مقطعات و مدایح از شعراء مختلف تا حرف الفباء؛ خط: نستعليق، كا: حاجی حسن مظفر شریف کاتب، بی تا، افتادگی: انجام؛ کاغذ: سفید ،جلد: تیماج مشکی ضربی و مقوایی با ترنج، ۷۱ص (۶۴۸-۷۱۸)، ۲۳ سطر [سنا: ف: ۲ - ۲۲۲]</w:t>
      </w:r>
    </w:p>
    <w:p>
      <w:pPr>
        <w:pStyle w:val="Heading3"/>
      </w:pPr>
      <w:bookmarkStart w:id="1990" w:name="_Toc1512"/>
      <w:r>
        <w:t>اشعار / شعر / فارسی</w:t>
      </w:r>
      <w:bookmarkEnd w:id="1990"/>
    </w:p>
    <w:p>
      <w:pPr>
        <w:pStyle w:val="BookText"/>
      </w:pPr>
      <w:r>
        <w:rPr>
          <w:rFonts w:ascii="Times New Roman" w:hAnsi="Times New Roman" w:eastAsia="Times New Roman" w:cs="Times New Roman"/>
          <w:lang w:val="en-US" w:bidi="en-US"/>
          <w:color w:val="111111"/>
          <w:sz w:val="28"/>
          <w:szCs w:val="28"/>
          <w:rtl/>
        </w:rPr>
        <w:t xml:space="preserve">aš‘ār</w:t>
      </w:r>
    </w:p>
    <w:p>
      <w:pPr>
        <w:pStyle w:val="BookText"/>
      </w:pPr>
      <w:r>
        <w:rPr>
          <w:rFonts w:ascii="IRNazanin" w:hAnsi="IRNazanin" w:eastAsia="IRNazanin" w:cs="IRNazanin"/>
          <w:lang w:bidi="fa-IR"/>
          <w:color w:val="111111"/>
          <w:sz w:val="28"/>
          <w:szCs w:val="28"/>
          <w:rtl/>
        </w:rPr>
        <w:t xml:space="preserve">ابن حسام، محمد بن حسام الدین، - ۸۷۵؟ قمری</w:t>
      </w:r>
    </w:p>
    <w:p>
      <w:pPr>
        <w:pStyle w:val="BookText"/>
      </w:pPr>
      <w:r>
        <w:rPr>
          <w:rFonts w:ascii="Times New Roman" w:hAnsi="Times New Roman" w:eastAsia="Times New Roman" w:cs="Times New Roman"/>
          <w:lang w:val="en-US" w:bidi="en-US"/>
          <w:color w:val="111111"/>
          <w:sz w:val="28"/>
          <w:szCs w:val="28"/>
          <w:rtl/>
        </w:rPr>
        <w:t xml:space="preserve">(ebn-e hosām, mohammad ebn-e hosām-od-dīn (- 1471)</w:t>
      </w:r>
    </w:p>
    <w:p>
      <w:pPr>
        <w:pStyle w:val="BookText"/>
      </w:pPr>
      <w:r>
        <w:rPr>
          <w:rFonts w:ascii="IRNazanin" w:hAnsi="IRNazanin" w:eastAsia="IRNazanin" w:cs="IRNazanin"/>
          <w:lang w:bidi="fa-IR"/>
          <w:color w:val="111111"/>
          <w:sz w:val="28"/>
          <w:szCs w:val="28"/>
          <w:rtl/>
        </w:rPr>
        <w:t xml:space="preserve">مشهد؛ مدرسه آیة الله خوئی؛ شماره نسخه: ۲۱۳/۴</w:t>
      </w:r>
    </w:p>
    <w:p>
      <w:pPr>
        <w:pStyle w:val="BookText"/>
      </w:pPr>
      <w:r>
        <w:rPr>
          <w:rFonts w:ascii="IRNazanin" w:hAnsi="IRNazanin" w:eastAsia="IRNazanin" w:cs="IRNazanin"/>
          <w:lang w:bidi="fa-IR"/>
          <w:color w:val="111111"/>
          <w:sz w:val="28"/>
          <w:szCs w:val="28"/>
          <w:rtl/>
        </w:rPr>
        <w:t xml:space="preserve">بی کا، بی تا [اوراق عتیق: ۱ - ۲۵۶]</w:t>
      </w:r>
    </w:p>
    <w:p>
      <w:pPr>
        <w:pStyle w:val="Heading3"/>
      </w:pPr>
      <w:bookmarkStart w:id="1991" w:name="_Toc1513"/>
      <w:r>
        <w:t>اشعار (گردآوری) / شعر / فارسی</w:t>
      </w:r>
      <w:bookmarkEnd w:id="1991"/>
    </w:p>
    <w:p>
      <w:pPr>
        <w:pStyle w:val="BookText"/>
      </w:pPr>
      <w:r>
        <w:rPr>
          <w:rFonts w:ascii="Times New Roman" w:hAnsi="Times New Roman" w:eastAsia="Times New Roman" w:cs="Times New Roman"/>
          <w:lang w:val="en-US" w:bidi="en-US"/>
          <w:color w:val="111111"/>
          <w:sz w:val="28"/>
          <w:szCs w:val="28"/>
          <w:rtl/>
        </w:rPr>
        <w:t xml:space="preserve">(aš‘ār (gerdāvarī)</w:t>
      </w:r>
    </w:p>
    <w:p>
      <w:pPr>
        <w:pStyle w:val="BookText"/>
      </w:pPr>
      <w:r>
        <w:rPr>
          <w:rFonts w:ascii="IRNazanin" w:hAnsi="IRNazanin" w:eastAsia="IRNazanin" w:cs="IRNazanin"/>
          <w:lang w:bidi="fa-IR"/>
          <w:color w:val="111111"/>
          <w:sz w:val="28"/>
          <w:szCs w:val="28"/>
          <w:rtl/>
        </w:rPr>
        <w:t xml:space="preserve">بیاضی، علی بن محمد، ۷۹۱ - ۸۷۷ قمری</w:t>
      </w:r>
    </w:p>
    <w:p>
      <w:pPr>
        <w:pStyle w:val="BookText"/>
      </w:pPr>
      <w:r>
        <w:rPr>
          <w:rFonts w:ascii="Times New Roman" w:hAnsi="Times New Roman" w:eastAsia="Times New Roman" w:cs="Times New Roman"/>
          <w:lang w:val="en-US" w:bidi="en-US"/>
          <w:color w:val="111111"/>
          <w:sz w:val="28"/>
          <w:szCs w:val="28"/>
          <w:rtl/>
        </w:rPr>
        <w:t xml:space="preserve">(bayāzī, ‘alī ebn-e mohammad (1390 - 1473)</w:t>
      </w:r>
    </w:p>
    <w:p>
      <w:pPr>
        <w:pStyle w:val="BookText"/>
      </w:pPr>
      <w:r>
        <w:rPr>
          <w:rFonts w:ascii="Amiri" w:hAnsi="Amiri" w:eastAsia="Amiri" w:cs="Amiri"/>
          <w:lang w:bidi="ar-SA"/>
          <w:color w:val="111111"/>
          <w:sz w:val="28"/>
          <w:szCs w:val="28"/>
          <w:rtl/>
        </w:rPr>
        <w:t xml:space="preserve">تبريز؛ ثقة الاسلام؛ شماره نسخه: بدون شماره</w:t>
      </w:r>
    </w:p>
    <w:p>
      <w:pPr>
        <w:pStyle w:val="BookText"/>
      </w:pPr>
      <w:r>
        <w:rPr>
          <w:rFonts w:ascii="IRNazanin" w:hAnsi="IRNazanin" w:eastAsia="IRNazanin" w:cs="IRNazanin"/>
          <w:lang w:bidi="fa-IR"/>
          <w:color w:val="111111"/>
          <w:sz w:val="28"/>
          <w:szCs w:val="28"/>
          <w:rtl/>
        </w:rPr>
        <w:t xml:space="preserve">جنگ اشعار فارسی؛ بی کا، بی تا [نشریه: ۷ - ۵۳۳]</w:t>
      </w:r>
    </w:p>
    <w:p>
      <w:pPr>
        <w:pStyle w:val="Heading3"/>
      </w:pPr>
      <w:bookmarkStart w:id="1992" w:name="_Toc1514"/>
      <w:r>
        <w:t>اشعار / شعر / فارسی</w:t>
      </w:r>
      <w:bookmarkEnd w:id="1992"/>
    </w:p>
    <w:p>
      <w:pPr>
        <w:pStyle w:val="BookText"/>
      </w:pPr>
      <w:r>
        <w:rPr>
          <w:rFonts w:ascii="Times New Roman" w:hAnsi="Times New Roman" w:eastAsia="Times New Roman" w:cs="Times New Roman"/>
          <w:lang w:val="en-US" w:bidi="en-US"/>
          <w:color w:val="111111"/>
          <w:sz w:val="28"/>
          <w:szCs w:val="28"/>
          <w:rtl/>
        </w:rPr>
        <w:t xml:space="preserve">aš‘ār</w:t>
      </w:r>
    </w:p>
    <w:p>
      <w:pPr>
        <w:pStyle w:val="BookText"/>
      </w:pPr>
      <w:r>
        <w:rPr>
          <w:rFonts w:ascii="IRNazanin" w:hAnsi="IRNazanin" w:eastAsia="IRNazanin" w:cs="IRNazanin"/>
          <w:lang w:bidi="fa-IR"/>
          <w:color w:val="111111"/>
          <w:sz w:val="28"/>
          <w:szCs w:val="28"/>
          <w:rtl/>
        </w:rPr>
        <w:t xml:space="preserve">کاشفی، حسین بن علی، - ۹۱۰ قمری</w:t>
      </w:r>
    </w:p>
    <w:p>
      <w:pPr>
        <w:pStyle w:val="BookText"/>
      </w:pPr>
      <w:r>
        <w:rPr>
          <w:rFonts w:ascii="Times New Roman" w:hAnsi="Times New Roman" w:eastAsia="Times New Roman" w:cs="Times New Roman"/>
          <w:lang w:val="en-US" w:bidi="en-US"/>
          <w:color w:val="111111"/>
          <w:sz w:val="28"/>
          <w:szCs w:val="28"/>
          <w:rtl/>
        </w:rPr>
        <w:t xml:space="preserve">(kāšefī, hoseyn ebn-e ‘alī (- 1505)</w:t>
      </w:r>
    </w:p>
    <w:p>
      <w:pPr>
        <w:pStyle w:val="BookText"/>
      </w:pPr>
      <w:r>
        <w:rPr>
          <w:rFonts w:ascii="IRNazanin" w:hAnsi="IRNazanin" w:eastAsia="IRNazanin" w:cs="IRNazanin"/>
          <w:lang w:bidi="fa-IR"/>
          <w:color w:val="111111"/>
          <w:sz w:val="28"/>
          <w:szCs w:val="28"/>
          <w:rtl/>
        </w:rPr>
        <w:t xml:space="preserve">نویسنده به امر ظل السلطان اشعار كتاب انوار سهیلی ملاحسـین کاشفی را در ۲۴۰۰ بیت بیرون نویس کرده و سپس اشعاری در مدح ظل السلطان و فرزند او اکبر مسعود (صارم الدوله) و تاریخ کتاب تحریر که ظاهراً اثر طبع خود او می باشد در آخر آن اضافه نموده است.</w:t>
      </w:r>
    </w:p>
    <w:p>
      <w:pPr>
        <w:pStyle w:val="BookText"/>
      </w:pPr>
      <w:r>
        <w:rPr>
          <w:rFonts w:ascii="IRNazanin" w:hAnsi="IRNazanin" w:eastAsia="IRNazanin" w:cs="IRNazanin"/>
          <w:lang w:bidi="fa-IR"/>
          <w:color w:val="111111"/>
          <w:sz w:val="28"/>
          <w:szCs w:val="28"/>
          <w:rtl/>
        </w:rPr>
        <w:t xml:space="preserve">اصفهان؛ صارم الدوله (کتابخانه فرهنگ اصفهان)؛ شماره نسخه: ۱۰۳۹</w:t>
      </w:r>
    </w:p>
    <w:p>
      <w:pPr>
        <w:pStyle w:val="BookText"/>
      </w:pPr>
      <w:r>
        <w:rPr>
          <w:rFonts w:ascii="IRNazanin" w:hAnsi="IRNazanin" w:eastAsia="IRNazanin" w:cs="IRNazanin"/>
          <w:lang w:bidi="fa-IR"/>
          <w:color w:val="111111"/>
          <w:sz w:val="28"/>
          <w:szCs w:val="28"/>
          <w:rtl/>
        </w:rPr>
        <w:t xml:space="preserve">آغاز: رموز آموز عقل نکته پیوند *** شناسایی دهد جان خردمند؛</w:t>
      </w:r>
    </w:p>
    <w:p>
      <w:pPr>
        <w:pStyle w:val="BookText"/>
      </w:pPr>
      <w:r>
        <w:rPr>
          <w:rFonts w:ascii="IRNazanin" w:hAnsi="IRNazanin" w:eastAsia="IRNazanin" w:cs="IRNazanin"/>
          <w:lang w:bidi="fa-IR"/>
          <w:color w:val="111111"/>
          <w:sz w:val="28"/>
          <w:szCs w:val="28"/>
          <w:rtl/>
        </w:rPr>
        <w:t xml:space="preserve">انجام: همه شهزادگان با جلال و دولت و عزت، خصوصا صارم الدوله عزیز حضرت والا</w:t>
      </w:r>
    </w:p>
    <w:p>
      <w:pPr>
        <w:pStyle w:val="BookText"/>
      </w:pPr>
      <w:r>
        <w:rPr>
          <w:rFonts w:ascii="IRNazanin" w:hAnsi="IRNazanin" w:eastAsia="IRNazanin" w:cs="IRNazanin"/>
          <w:lang w:bidi="fa-IR"/>
          <w:color w:val="111111"/>
          <w:sz w:val="28"/>
          <w:szCs w:val="28"/>
          <w:rtl/>
        </w:rPr>
        <w:t xml:space="preserve">اشعار کتاب انوار سهیلی است ؛خط: شکسته نستعلیق عالی، کا: محمد علی آشتیانی منشی خلوت  سرکاری، تا: ۱۵ شعبان ۱۳۲۱ق؛ کاغذ: فرنگی، جلد: تیماج یک لا قرمز، درون كاغذ الوان، ۸۲ص ، مختلف السطر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 ، اندازه: ۱۷/۵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۱۴۴]</w:t>
      </w:r>
    </w:p>
    <w:p>
      <w:pPr>
        <w:pStyle w:val="Heading3"/>
      </w:pPr>
      <w:bookmarkStart w:id="1993" w:name="_Toc1515"/>
      <w:r>
        <w:t>اشعار / شعر / فارسی</w:t>
      </w:r>
      <w:bookmarkEnd w:id="1993"/>
    </w:p>
    <w:p>
      <w:pPr>
        <w:pStyle w:val="BookText"/>
      </w:pPr>
      <w:r>
        <w:rPr>
          <w:rFonts w:ascii="Times New Roman" w:hAnsi="Times New Roman" w:eastAsia="Times New Roman" w:cs="Times New Roman"/>
          <w:lang w:val="en-US" w:bidi="en-US"/>
          <w:color w:val="111111"/>
          <w:sz w:val="28"/>
          <w:szCs w:val="28"/>
          <w:rtl/>
        </w:rPr>
        <w:t xml:space="preserve">aš‘ār</w:t>
      </w:r>
    </w:p>
    <w:p>
      <w:pPr>
        <w:pStyle w:val="BookText"/>
      </w:pPr>
      <w:r>
        <w:rPr>
          <w:rFonts w:ascii="IRNazanin" w:hAnsi="IRNazanin" w:eastAsia="IRNazanin" w:cs="IRNazanin"/>
          <w:lang w:bidi="fa-IR"/>
          <w:color w:val="111111"/>
          <w:sz w:val="28"/>
          <w:szCs w:val="28"/>
          <w:rtl/>
        </w:rPr>
        <w:t xml:space="preserve">الهی، سعد بن ابى بكر</w:t>
      </w:r>
    </w:p>
    <w:p>
      <w:pPr>
        <w:pStyle w:val="BookText"/>
      </w:pPr>
      <w:r>
        <w:rPr>
          <w:rFonts w:ascii="Times New Roman" w:hAnsi="Times New Roman" w:eastAsia="Times New Roman" w:cs="Times New Roman"/>
          <w:lang w:val="en-US" w:bidi="en-US"/>
          <w:color w:val="111111"/>
          <w:sz w:val="28"/>
          <w:szCs w:val="28"/>
          <w:rtl/>
        </w:rPr>
        <w:t xml:space="preserve">elāhī, sa‘d ebn-e abī bakr</w:t>
      </w:r>
    </w:p>
    <w:p>
      <w:pPr>
        <w:pStyle w:val="BookText"/>
      </w:pPr>
      <w:r>
        <w:rPr>
          <w:rFonts w:ascii="IRNazanin" w:hAnsi="IRNazanin" w:eastAsia="IRNazanin" w:cs="IRNazanin"/>
          <w:lang w:bidi="fa-IR"/>
          <w:color w:val="111111"/>
          <w:sz w:val="28"/>
          <w:szCs w:val="28"/>
          <w:rtl/>
        </w:rPr>
        <w:t xml:space="preserve">گلچین رباعیات از شعرای مختلف و بیشتر عاشقانه است که مؤلف آنها را از سفاین و دواوین انتخاب کرده و بدون ذکر نام شاعر به صورت موضوعی تقسیم بندی نموده است، با مقدمه ای مصنوع شامل طلیعه ای در توحید و نعت نبی و آل و تعریف رباعی و اهمیت و تاریخچه آن در چهار «قسم» و هر قسم در چند «باب» و هر باب در چند «فصل»: قسم ۱. تحقیقات و جذبات؛ قسم ۲. غزل و نسیب؛ قسم 3. اخوانيات؛ قسم ۴. اوصاف و صفت های شعر و هزل و هجا.</w:t>
      </w:r>
    </w:p>
    <w:p>
      <w:pPr>
        <w:pStyle w:val="BookText"/>
      </w:pPr>
      <w:r>
        <w:rPr>
          <w:rFonts w:ascii="IRNazanin" w:hAnsi="IRNazanin" w:eastAsia="IRNazanin" w:cs="IRNazanin"/>
          <w:lang w:bidi="fa-IR"/>
          <w:color w:val="111111"/>
          <w:sz w:val="28"/>
          <w:szCs w:val="28"/>
          <w:rtl/>
        </w:rPr>
        <w:t xml:space="preserve">تهران؛ مجلس؛ شماره نسخه: ۱۷۰۶۳</w:t>
      </w:r>
    </w:p>
    <w:p>
      <w:pPr>
        <w:pStyle w:val="BookText"/>
      </w:pPr>
      <w:r>
        <w:rPr>
          <w:rFonts w:ascii="IRNazanin" w:hAnsi="IRNazanin" w:eastAsia="IRNazanin" w:cs="IRNazanin"/>
          <w:lang w:bidi="fa-IR"/>
          <w:color w:val="111111"/>
          <w:sz w:val="28"/>
          <w:szCs w:val="28"/>
          <w:rtl/>
        </w:rPr>
        <w:t xml:space="preserve">آغاز: اصناف تقدس و تحمید انواع تنريه و تمجید حضرت صمدیت آفریدگاری را سزاست که از عرصه میدان فطرتش رباع مسكون زاویه [ای] است مختصر؛ انجام: صدری که هراه را خطیبی خوبست*** و اندرعلمی که او بدان منسوبست / از نحو همین که مچ زانو فرضست *** وز فقه همین که ابتدا منصوبست.</w:t>
      </w:r>
    </w:p>
    <w:p>
      <w:pPr>
        <w:pStyle w:val="BookText"/>
      </w:pPr>
      <w:r>
        <w:rPr>
          <w:rFonts w:ascii="IRNazanin" w:hAnsi="IRNazanin" w:eastAsia="IRNazanin" w:cs="IRNazanin"/>
          <w:lang w:bidi="fa-IR"/>
          <w:color w:val="111111"/>
          <w:sz w:val="28"/>
          <w:szCs w:val="28"/>
          <w:rtl/>
        </w:rPr>
        <w:t xml:space="preserve">رباعیات (مجموعه) نسخه نادر؛ خط: نستعلیق خوش، بی کا، تا: قرن ۱۰؛ مجدول، تملیکی که به نظر می رسد کتابدار کتابخانه ای سلطنتی آن را نگاشته: «هو مالك الاستحقاق. كيف اقول هذا في ملکی و الله مالك السماوات والارض. قد انتقل هذا الكتاب المسمى بابن يمين الى حضرت العالى الفخار الشامخ النواب»؛ کاغذ: نخودی رنگ آهار مهره، جلد: چرم قهوه ای با نقش جدول و شمسه و چهار لچکی، ۳۱۹ ص، ۱۳ سطر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۴۷ -]</w:t>
      </w:r>
    </w:p>
    <w:p>
      <w:pPr>
        <w:pStyle w:val="Heading3"/>
      </w:pPr>
      <w:bookmarkStart w:id="1994" w:name="_Toc1516"/>
      <w:r>
        <w:t>اشعار (گردآوری) / شعر / فارسی</w:t>
      </w:r>
      <w:bookmarkEnd w:id="1994"/>
    </w:p>
    <w:p>
      <w:pPr>
        <w:sectPr>
          <w:footerReference w:type="default" r:id="rId988"/>
          <w:footnotePr>
            <w:numStart w:val="1"/>
            <w:numRestart w:val="eachPage"/>
          </w:footnotePr>
          <w:pgSz w:orient="portrait" w:w="11905.511811023622" w:h="16837.79527559055"/>
          <w:pgMar w:top="1440" w:right="1440" w:bottom="1440" w:left="1440" w:header="720" w:footer="720" w:gutter="0"/>
          <w:cols w:num="1" w:space="720"/>
        </w:sectPr>
      </w:pPr>
    </w:p>
    <w:bookmarkStart w:id="435" w:name="pg20365_260924"/>
    <w:bookmarkEnd w:id="435"/>
    <w:p>
      <w:pPr>
        <w:pStyle w:val="BookText"/>
      </w:pPr>
      <w:r>
        <w:rPr>
          <w:rFonts w:ascii="Times New Roman" w:hAnsi="Times New Roman" w:eastAsia="Times New Roman" w:cs="Times New Roman"/>
          <w:lang w:val="en-US" w:bidi="en-US"/>
          <w:color w:val="111111"/>
          <w:sz w:val="28"/>
          <w:szCs w:val="28"/>
          <w:rtl/>
        </w:rPr>
        <w:t xml:space="preserve">(aš‘ār (gerdāvarī)</w:t>
      </w:r>
    </w:p>
    <w:p>
      <w:pPr>
        <w:pStyle w:val="BookText"/>
      </w:pPr>
      <w:r>
        <w:rPr>
          <w:rFonts w:ascii="IRNazanin" w:hAnsi="IRNazanin" w:eastAsia="IRNazanin" w:cs="IRNazanin"/>
          <w:lang w:bidi="fa-IR"/>
          <w:color w:val="111111"/>
          <w:sz w:val="28"/>
          <w:szCs w:val="28"/>
          <w:rtl/>
        </w:rPr>
        <w:t xml:space="preserve">دوری، سلطان بایزید، ق ۱۱ قمری</w:t>
      </w:r>
    </w:p>
    <w:p>
      <w:pPr>
        <w:pStyle w:val="BookText"/>
      </w:pPr>
      <w:r>
        <w:rPr>
          <w:rFonts w:ascii="Times New Roman" w:hAnsi="Times New Roman" w:eastAsia="Times New Roman" w:cs="Times New Roman"/>
          <w:lang w:val="en-US" w:bidi="en-US"/>
          <w:color w:val="111111"/>
          <w:sz w:val="28"/>
          <w:szCs w:val="28"/>
          <w:rtl/>
        </w:rPr>
        <w:t xml:space="preserve">(dūrī, soltān bāyazīd (- 17c)</w:t>
      </w:r>
    </w:p>
    <w:p>
      <w:pPr>
        <w:pStyle w:val="BookText"/>
      </w:pPr>
      <w:r>
        <w:rPr>
          <w:rFonts w:ascii="IRNazanin" w:hAnsi="IRNazanin" w:eastAsia="IRNazanin" w:cs="IRNazanin"/>
          <w:lang w:bidi="fa-IR"/>
          <w:color w:val="111111"/>
          <w:sz w:val="28"/>
          <w:szCs w:val="28"/>
          <w:rtl/>
        </w:rPr>
        <w:t xml:space="preserve">تهران؛ دانشگاه؛ شماره نسخه: ۶۵۲۵</w:t>
      </w:r>
    </w:p>
    <w:p>
      <w:pPr>
        <w:pStyle w:val="BookText"/>
      </w:pPr>
      <w:r>
        <w:rPr>
          <w:rFonts w:ascii="IRNazanin" w:hAnsi="IRNazanin" w:eastAsia="IRNazanin" w:cs="IRNazanin"/>
          <w:lang w:bidi="fa-IR"/>
          <w:color w:val="111111"/>
          <w:sz w:val="28"/>
          <w:szCs w:val="28"/>
          <w:rtl/>
        </w:rPr>
        <w:t xml:space="preserve">آغاز: و به امیر معزی پایان می یابد</w:t>
      </w:r>
    </w:p>
    <w:p>
      <w:pPr>
        <w:pStyle w:val="BookText"/>
      </w:pPr>
      <w:r>
        <w:rPr>
          <w:rFonts w:ascii="IRNazanin" w:hAnsi="IRNazanin" w:eastAsia="IRNazanin" w:cs="IRNazanin"/>
          <w:lang w:bidi="fa-IR"/>
          <w:color w:val="111111"/>
          <w:sz w:val="28"/>
          <w:szCs w:val="28"/>
          <w:rtl/>
        </w:rPr>
        <w:t xml:space="preserve">رباعیات به ترتیب تهجی ؛خط: نستعلیق، بی کا، تا: ۲۰ رمضـان ۱۳۰۱ق، به دستور عبدالله میرزا حشمت الدوله پسر عموی ناصرالدین شاه؛ مجدول؛ کاغذ: فرنگی ،جلد: تیماج عنابی ضربی مقوایی ،۵۴گ، ۲۵ سطر (9</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 قطع: ربعی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 سم[ ف: ۱۶ - ۲۸۵]</w:t>
      </w:r>
    </w:p>
    <w:p>
      <w:pPr>
        <w:pStyle w:val="Heading3"/>
      </w:pPr>
      <w:bookmarkStart w:id="1995" w:name="_Toc1517"/>
      <w:r>
        <w:t>اشعار (گردآوری) / شعر / فارسی</w:t>
      </w:r>
      <w:bookmarkEnd w:id="1995"/>
    </w:p>
    <w:p>
      <w:pPr>
        <w:pStyle w:val="BookText"/>
      </w:pPr>
      <w:r>
        <w:rPr>
          <w:rFonts w:ascii="Times New Roman" w:hAnsi="Times New Roman" w:eastAsia="Times New Roman" w:cs="Times New Roman"/>
          <w:lang w:val="en-US" w:bidi="en-US"/>
          <w:color w:val="111111"/>
          <w:sz w:val="28"/>
          <w:szCs w:val="28"/>
          <w:rtl/>
        </w:rPr>
        <w:t xml:space="preserve">(aš‘ār (gerdāvarī)</w:t>
      </w:r>
    </w:p>
    <w:p>
      <w:pPr>
        <w:pStyle w:val="BookText"/>
      </w:pPr>
      <w:r>
        <w:rPr>
          <w:rFonts w:ascii="IRNazanin" w:hAnsi="IRNazanin" w:eastAsia="IRNazanin" w:cs="IRNazanin"/>
          <w:lang w:bidi="fa-IR"/>
          <w:color w:val="111111"/>
          <w:sz w:val="28"/>
          <w:szCs w:val="28"/>
          <w:rtl/>
        </w:rPr>
        <w:t xml:space="preserve">مشهدی، محمد کمال الدین، ق ۱۱ قمری</w:t>
      </w:r>
    </w:p>
    <w:p>
      <w:pPr>
        <w:pStyle w:val="BookText"/>
      </w:pPr>
      <w:r>
        <w:rPr>
          <w:rFonts w:ascii="Times New Roman" w:hAnsi="Times New Roman" w:eastAsia="Times New Roman" w:cs="Times New Roman"/>
          <w:lang w:val="en-US" w:bidi="en-US"/>
          <w:color w:val="111111"/>
          <w:sz w:val="28"/>
          <w:szCs w:val="28"/>
          <w:rtl/>
        </w:rPr>
        <w:t xml:space="preserve">(mašhadī, mohammad kamāl-od-dīn (- 17c)</w:t>
      </w:r>
    </w:p>
    <w:p>
      <w:pPr>
        <w:pStyle w:val="BookText"/>
      </w:pPr>
      <w:r>
        <w:rPr>
          <w:rFonts w:ascii="IRNazanin" w:hAnsi="IRNazanin" w:eastAsia="IRNazanin" w:cs="IRNazanin"/>
          <w:lang w:bidi="fa-IR"/>
          <w:color w:val="111111"/>
          <w:sz w:val="28"/>
          <w:szCs w:val="28"/>
          <w:rtl/>
        </w:rPr>
        <w:t xml:space="preserve">قم؛ گلپایگانی؛ شماره نسخه: ۴۹۵۶/۴-۲۵/۴۶</w:t>
      </w:r>
    </w:p>
    <w:p>
      <w:pPr>
        <w:pStyle w:val="BookText"/>
      </w:pPr>
      <w:r>
        <w:rPr>
          <w:rFonts w:ascii="IRNazanin" w:hAnsi="IRNazanin" w:eastAsia="IRNazanin" w:cs="IRNazanin"/>
          <w:lang w:bidi="fa-IR"/>
          <w:color w:val="111111"/>
          <w:sz w:val="28"/>
          <w:szCs w:val="28"/>
          <w:rtl/>
        </w:rPr>
        <w:t xml:space="preserve">آغاز: بود سرگرمی سبز این من سود از ده را *** جانب هند شـدم نی بخراسان رفتم/ چون زکشمیر نیامد زکسی بوی وفا*** جانب خطه گجرات خراسان رفتم؛ انجام: شمع می گفت بمن گریه کنان در محفل*** که مرا نیز به احوال تو می سوزد دل</w:t>
      </w:r>
    </w:p>
    <w:p>
      <w:pPr>
        <w:pStyle w:val="BookText"/>
      </w:pPr>
      <w:r>
        <w:rPr>
          <w:rFonts w:ascii="IRNazanin" w:hAnsi="IRNazanin" w:eastAsia="IRNazanin" w:cs="IRNazanin"/>
          <w:lang w:bidi="fa-IR"/>
          <w:color w:val="111111"/>
          <w:sz w:val="28"/>
          <w:szCs w:val="28"/>
          <w:rtl/>
        </w:rPr>
        <w:t xml:space="preserve">جنگ مهمی است از اشعار شاعران فارسی که در اغلب موارد نام شاعران نوشته نشده است. نام شاعرانی که تحریر شده عبارتند ااز: جامی ،فارغ ،بزمی، خواجه محمد رضا متخلص به صالبی پدر جمع آورنده جنگ محمد کمال الدین مشهدی، مولانا بخشـی، بخش الدین، مصلح، سعدی و حافظ؛ خط: نسخ، كاتب = مؤلف، تا: قرن ۱۱؛ افتادگی: انجام ؛جلد: تیماج  مشکی، ۱۶گ، ۱۷ سـطر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۲۴سم [ف: ۳ - ۱۲۴۹]</w:t>
      </w:r>
    </w:p>
    <w:p>
      <w:pPr>
        <w:pStyle w:val="Heading3"/>
      </w:pPr>
      <w:bookmarkStart w:id="1996" w:name="_Toc1518"/>
      <w:r>
        <w:t>اشعار (گردآوری) / شعر / فارسی</w:t>
      </w:r>
      <w:bookmarkEnd w:id="1996"/>
    </w:p>
    <w:p>
      <w:pPr>
        <w:pStyle w:val="BookText"/>
      </w:pPr>
      <w:r>
        <w:rPr>
          <w:rFonts w:ascii="Times New Roman" w:hAnsi="Times New Roman" w:eastAsia="Times New Roman" w:cs="Times New Roman"/>
          <w:lang w:val="en-US" w:bidi="en-US"/>
          <w:color w:val="111111"/>
          <w:sz w:val="28"/>
          <w:szCs w:val="28"/>
          <w:rtl/>
        </w:rPr>
        <w:t xml:space="preserve">(aš‘ār (gerdāvarī)</w:t>
      </w:r>
    </w:p>
    <w:p>
      <w:pPr>
        <w:pStyle w:val="BookText"/>
      </w:pPr>
      <w:r>
        <w:rPr>
          <w:rFonts w:ascii="IRNazanin" w:hAnsi="IRNazanin" w:eastAsia="IRNazanin" w:cs="IRNazanin"/>
          <w:lang w:bidi="fa-IR"/>
          <w:color w:val="111111"/>
          <w:sz w:val="28"/>
          <w:szCs w:val="28"/>
          <w:rtl/>
        </w:rPr>
        <w:t xml:space="preserve">آقا مؤمن معمار</w:t>
      </w:r>
    </w:p>
    <w:p>
      <w:pPr>
        <w:pStyle w:val="BookText"/>
      </w:pPr>
      <w:r>
        <w:rPr>
          <w:rFonts w:ascii="Times New Roman" w:hAnsi="Times New Roman" w:eastAsia="Times New Roman" w:cs="Times New Roman"/>
          <w:lang w:val="en-US" w:bidi="en-US"/>
          <w:color w:val="111111"/>
          <w:sz w:val="28"/>
          <w:szCs w:val="28"/>
          <w:rtl/>
        </w:rPr>
        <w:t xml:space="preserve">āqā mo’men-e me‘mār</w:t>
      </w:r>
    </w:p>
    <w:p>
      <w:pPr>
        <w:pStyle w:val="BookText"/>
      </w:pPr>
      <w:r>
        <w:rPr>
          <w:rFonts w:ascii="IRNazanin" w:hAnsi="IRNazanin" w:eastAsia="IRNazanin" w:cs="IRNazanin"/>
          <w:lang w:bidi="fa-IR"/>
          <w:color w:val="111111"/>
          <w:sz w:val="28"/>
          <w:szCs w:val="28"/>
          <w:rtl/>
        </w:rPr>
        <w:t xml:space="preserve">تهران؛ ملک؛ شماره نسخه: ۴۶۸۶/۷</w:t>
      </w:r>
    </w:p>
    <w:p>
      <w:pPr>
        <w:pStyle w:val="BookText"/>
      </w:pPr>
      <w:r>
        <w:rPr>
          <w:rFonts w:ascii="IRNazanin" w:hAnsi="IRNazanin" w:eastAsia="IRNazanin" w:cs="IRNazanin"/>
          <w:lang w:bidi="fa-IR"/>
          <w:color w:val="111111"/>
          <w:sz w:val="28"/>
          <w:szCs w:val="28"/>
          <w:rtl/>
        </w:rPr>
        <w:t xml:space="preserve">خط: شکسته نستعلیق، بی کا، تا: قرن ۱۱ [ف: ۸ - ۳۱]</w:t>
      </w:r>
    </w:p>
    <w:p>
      <w:pPr>
        <w:pStyle w:val="Heading3"/>
      </w:pPr>
      <w:bookmarkStart w:id="1997" w:name="_Toc1519"/>
      <w:r>
        <w:t>اشعار / شعر / فارسی</w:t>
      </w:r>
      <w:bookmarkEnd w:id="1997"/>
    </w:p>
    <w:p>
      <w:pPr>
        <w:pStyle w:val="BookText"/>
      </w:pPr>
      <w:r>
        <w:rPr>
          <w:rFonts w:ascii="Times New Roman" w:hAnsi="Times New Roman" w:eastAsia="Times New Roman" w:cs="Times New Roman"/>
          <w:lang w:val="en-US" w:bidi="en-US"/>
          <w:color w:val="111111"/>
          <w:sz w:val="28"/>
          <w:szCs w:val="28"/>
          <w:rtl/>
        </w:rPr>
        <w:t xml:space="preserve">aš‘ār</w:t>
      </w:r>
    </w:p>
    <w:p>
      <w:pPr>
        <w:pStyle w:val="BookText"/>
      </w:pPr>
      <w:r>
        <w:rPr>
          <w:rFonts w:ascii="IRNazanin" w:hAnsi="IRNazanin" w:eastAsia="IRNazanin" w:cs="IRNazanin"/>
          <w:lang w:bidi="fa-IR"/>
          <w:color w:val="111111"/>
          <w:sz w:val="28"/>
          <w:szCs w:val="28"/>
          <w:rtl/>
        </w:rPr>
        <w:t xml:space="preserve">دماوندی، سیف الملوک</w:t>
      </w:r>
    </w:p>
    <w:p>
      <w:pPr>
        <w:pStyle w:val="BookText"/>
      </w:pPr>
      <w:r>
        <w:rPr>
          <w:rFonts w:ascii="Times New Roman" w:hAnsi="Times New Roman" w:eastAsia="Times New Roman" w:cs="Times New Roman"/>
          <w:lang w:val="en-US" w:bidi="en-US"/>
          <w:color w:val="111111"/>
          <w:sz w:val="28"/>
          <w:szCs w:val="28"/>
          <w:rtl/>
        </w:rPr>
        <w:t xml:space="preserve">damāvandī, sayf-ol-molūk</w:t>
      </w:r>
    </w:p>
    <w:p>
      <w:pPr>
        <w:pStyle w:val="BookText"/>
      </w:pPr>
      <w:r>
        <w:rPr>
          <w:rFonts w:ascii="IRNazanin" w:hAnsi="IRNazanin" w:eastAsia="IRNazanin" w:cs="IRNazanin"/>
          <w:lang w:bidi="fa-IR"/>
          <w:color w:val="111111"/>
          <w:sz w:val="28"/>
          <w:szCs w:val="28"/>
          <w:rtl/>
        </w:rPr>
        <w:t xml:space="preserve">تهران؛ مجلس؛ شماره نسخه: ۹۰۷۷/۸۸</w:t>
      </w:r>
    </w:p>
    <w:p>
      <w:pPr>
        <w:pStyle w:val="BookText"/>
      </w:pPr>
      <w:r>
        <w:rPr>
          <w:rFonts w:ascii="IRNazanin" w:hAnsi="IRNazanin" w:eastAsia="IRNazanin" w:cs="IRNazanin"/>
          <w:lang w:bidi="fa-IR"/>
          <w:color w:val="111111"/>
          <w:sz w:val="28"/>
          <w:szCs w:val="28"/>
          <w:rtl/>
        </w:rPr>
        <w:t xml:space="preserve">خط: نستعلیق، بی کا، تا: قرن ۱۱، اگ (۱۸۲ر) [ مختصر ف: ۳۸۷]</w:t>
      </w:r>
    </w:p>
    <w:p>
      <w:pPr>
        <w:pStyle w:val="Heading3"/>
      </w:pPr>
      <w:bookmarkStart w:id="1998" w:name="_Toc1520"/>
      <w:r>
        <w:t>اشعار (گردآوری) / شعر / فارسی</w:t>
      </w:r>
      <w:bookmarkEnd w:id="1998"/>
    </w:p>
    <w:p>
      <w:pPr>
        <w:pStyle w:val="BookText"/>
      </w:pPr>
      <w:r>
        <w:rPr>
          <w:rFonts w:ascii="Times New Roman" w:hAnsi="Times New Roman" w:eastAsia="Times New Roman" w:cs="Times New Roman"/>
          <w:lang w:val="en-US" w:bidi="en-US"/>
          <w:color w:val="111111"/>
          <w:sz w:val="28"/>
          <w:szCs w:val="28"/>
          <w:rtl/>
        </w:rPr>
        <w:t xml:space="preserve">(aš ār (gerdāvarī)</w:t>
      </w:r>
    </w:p>
    <w:p>
      <w:pPr>
        <w:pStyle w:val="BookText"/>
      </w:pPr>
      <w:r>
        <w:rPr>
          <w:rFonts w:ascii="IRNazanin" w:hAnsi="IRNazanin" w:eastAsia="IRNazanin" w:cs="IRNazanin"/>
          <w:lang w:bidi="fa-IR"/>
          <w:color w:val="111111"/>
          <w:sz w:val="28"/>
          <w:szCs w:val="28"/>
          <w:rtl/>
        </w:rPr>
        <w:t xml:space="preserve">محمد علی، قمری</w:t>
      </w:r>
    </w:p>
    <w:p>
      <w:pPr>
        <w:pStyle w:val="BookText"/>
      </w:pPr>
      <w:r>
        <w:rPr>
          <w:rFonts w:ascii="Times New Roman" w:hAnsi="Times New Roman" w:eastAsia="Times New Roman" w:cs="Times New Roman"/>
          <w:lang w:val="en-US" w:bidi="en-US"/>
          <w:color w:val="111111"/>
          <w:sz w:val="28"/>
          <w:szCs w:val="28"/>
          <w:rtl/>
        </w:rPr>
        <w:t xml:space="preserve">mohammad ‘alī</w:t>
      </w:r>
    </w:p>
    <w:p>
      <w:pPr>
        <w:pStyle w:val="BookText"/>
      </w:pPr>
      <w:r>
        <w:rPr>
          <w:rFonts w:ascii="IRNazanin" w:hAnsi="IRNazanin" w:eastAsia="IRNazanin" w:cs="IRNazanin"/>
          <w:lang w:bidi="fa-IR"/>
          <w:color w:val="111111"/>
          <w:sz w:val="28"/>
          <w:szCs w:val="28"/>
          <w:rtl/>
        </w:rPr>
        <w:t xml:space="preserve">جنگ مهمی است که در سال های مختلف (قرن های یازده و دوازده) اشعاری درآن تحریر شده،برخی اشعار آن به خط محمد علی است که گویا محمد علی صایب تبریزی است و چند بیت به خط محمد طاهر در سال ۱۰۶۹ تحریر شده که گویا محمد طاهر وحید قزوینی است. در قرن سیزدهم نیز اشعاری به جنگ اضافه شده است. نام شاعرانی که شعرشان در این جنگ آمده عبارت است از: کمال اصفهانی شیخ شاهمنظر قمشه ای، ابراهیم ادهم، قیصر بیک ترکمان، حکیم سعيد تنها، شوكت، ظهوری، میر والهی، میرزا قاسم ،شاپور، طبیعی طبسی، میرشوقی، جامی کلب علی اصفهانی، عرفی، نواب مرحوم، مرتضی قلی شاملو، خیلا کاشی فصیحی، طاهر و حید، نظیری، مراسله منظوم فياض لا هیجی و قاضی سعید قمی، فضلی جرپادقانی، میر عین ،سلیم ،میر صیدی، ادامه مراسله منظوم فیاض، شفیعا، طرزی، نواب قاسم سلطان ماوراء النهرى، اول مراسله منظوم، از جامع جنگ، میرزا منصور شهریاری، تعریف حمام من كلام اعجاز، قدسی، ناظم قرار ،جامی ،کلیم ،صایب، نواب خاقان، رضی آریتمانی، طالب آملی نواب علی قلی خان شاملو، سنجر، محمد علی بیک، نصرت، محمد صادق ،نوعی سلطانعلی بیک شاملو، یوسف بیک شاملو، عطری لاهیجی، نواب ملک حمزه خان شفیعا زره ،آصفی، میرزا فصیحی، طالب آملی، شاپور تهرانی، دستور، اوجی، حیرتی، یحیی لاهجی، میرزا نقی قانع.</w:t>
      </w:r>
    </w:p>
    <w:p>
      <w:pPr>
        <w:pStyle w:val="BookText"/>
      </w:pPr>
      <w:r>
        <w:rPr>
          <w:rFonts w:ascii="IRNazanin" w:hAnsi="IRNazanin" w:eastAsia="IRNazanin" w:cs="IRNazanin"/>
          <w:lang w:bidi="fa-IR"/>
          <w:color w:val="111111"/>
          <w:sz w:val="28"/>
          <w:szCs w:val="28"/>
          <w:rtl/>
        </w:rPr>
        <w:t xml:space="preserve">قم؛ گلپایگانی؛ شماره نسخه: ۳۰۹۷-۱۶/۱۰۷</w:t>
      </w:r>
    </w:p>
    <w:p>
      <w:pPr>
        <w:pStyle w:val="BookText"/>
      </w:pPr>
      <w:r>
        <w:rPr>
          <w:rFonts w:ascii="IRNazanin" w:hAnsi="IRNazanin" w:eastAsia="IRNazanin" w:cs="IRNazanin"/>
          <w:lang w:bidi="fa-IR"/>
          <w:color w:val="111111"/>
          <w:sz w:val="28"/>
          <w:szCs w:val="28"/>
          <w:rtl/>
        </w:rPr>
        <w:t xml:space="preserve">آغاز: کمال اسماعیل اصفهانی: ز آن شب که با تو دست در آغوش کرده ام *** بر چرخ یکباره ترک صبر و دل و هوش کرده ام؛ انجام: گر خورد غوطه به خوناب جگر جا دارد *** غنچه را نیست بلایی چو شکفتن در پیش / از می کام شکفتن گل بی توفیقت ***گر غلامم شود اقبال که آزادم کنم</w:t>
      </w:r>
    </w:p>
    <w:p>
      <w:pPr>
        <w:pStyle w:val="BookText"/>
      </w:pPr>
      <w:r>
        <w:rPr>
          <w:rFonts w:ascii="IRNazanin" w:hAnsi="IRNazanin" w:eastAsia="IRNazanin" w:cs="IRNazanin"/>
          <w:lang w:bidi="fa-IR"/>
          <w:color w:val="111111"/>
          <w:sz w:val="28"/>
          <w:szCs w:val="28"/>
          <w:rtl/>
        </w:rPr>
        <w:t xml:space="preserve">خط: نستعلیق  شکسته، بی کا، تا: ۱۰۶۸ق؛ جدول مذهب سه ستونه؛ جلد: تیماج مشکی ضربی مجدول، ۷۹گ، ۷ سطر سه ستونی،اندازه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۳ - ۱۲۴۷]</w:t>
      </w:r>
    </w:p>
    <w:p>
      <w:pPr>
        <w:pStyle w:val="Heading3"/>
      </w:pPr>
      <w:bookmarkStart w:id="1999" w:name="_Toc1521"/>
      <w:r>
        <w:t>اشعار (گردآوری) / شعر / فارسی</w:t>
      </w:r>
      <w:bookmarkEnd w:id="1999"/>
    </w:p>
    <w:p>
      <w:pPr>
        <w:pStyle w:val="BookText"/>
      </w:pPr>
      <w:r>
        <w:rPr>
          <w:rFonts w:ascii="Times New Roman" w:hAnsi="Times New Roman" w:eastAsia="Times New Roman" w:cs="Times New Roman"/>
          <w:lang w:val="en-US" w:bidi="en-US"/>
          <w:color w:val="111111"/>
          <w:sz w:val="28"/>
          <w:szCs w:val="28"/>
          <w:rtl/>
        </w:rPr>
        <w:t xml:space="preserve">(aš ār (gerdāvarī)</w:t>
      </w:r>
    </w:p>
    <w:p>
      <w:pPr>
        <w:pStyle w:val="BookText"/>
      </w:pPr>
      <w:r>
        <w:rPr>
          <w:rFonts w:ascii="IRNazanin" w:hAnsi="IRNazanin" w:eastAsia="IRNazanin" w:cs="IRNazanin"/>
          <w:lang w:bidi="fa-IR"/>
          <w:color w:val="111111"/>
          <w:sz w:val="28"/>
          <w:szCs w:val="28"/>
          <w:rtl/>
        </w:rPr>
        <w:t xml:space="preserve">محمد مهدی</w:t>
      </w:r>
    </w:p>
    <w:p>
      <w:pPr>
        <w:pStyle w:val="BookText"/>
      </w:pPr>
      <w:r>
        <w:rPr>
          <w:rFonts w:ascii="Times New Roman" w:hAnsi="Times New Roman" w:eastAsia="Times New Roman" w:cs="Times New Roman"/>
          <w:lang w:val="en-US" w:bidi="en-US"/>
          <w:color w:val="111111"/>
          <w:sz w:val="28"/>
          <w:szCs w:val="28"/>
          <w:rtl/>
        </w:rPr>
        <w:t xml:space="preserve">mohammad mahdī
</w:t>
      </w:r>
    </w:p>
    <w:p>
      <w:pPr>
        <w:sectPr>
          <w:footerReference w:type="default" r:id="rId989"/>
          <w:footnotePr>
            <w:numStart w:val="1"/>
            <w:numRestart w:val="eachPage"/>
          </w:footnotePr>
          <w:pgSz w:orient="portrait" w:w="11905.511811023622" w:h="16837.79527559055"/>
          <w:pgMar w:top="1440" w:right="1440" w:bottom="1440" w:left="1440" w:header="720" w:footer="720" w:gutter="0"/>
          <w:cols w:num="1" w:space="720"/>
        </w:sectPr>
      </w:pPr>
    </w:p>
    <w:bookmarkStart w:id="436" w:name="pg20365_260925"/>
    <w:bookmarkEnd w:id="436"/>
    <w:p>
      <w:pPr>
        <w:pStyle w:val="BookText"/>
      </w:pPr>
      <w:r>
        <w:rPr>
          <w:rFonts w:ascii="IRNazanin" w:hAnsi="IRNazanin" w:eastAsia="IRNazanin" w:cs="IRNazanin"/>
          <w:lang w:bidi="fa-IR"/>
          <w:color w:val="111111"/>
          <w:sz w:val="28"/>
          <w:szCs w:val="28"/>
          <w:rtl/>
        </w:rPr>
        <w:t xml:space="preserve">قم ؛گلپایگانی؛ شماره نسخه: ۳۲۱۱-۲۱۶/۲۱</w:t>
      </w:r>
    </w:p>
    <w:p>
      <w:pPr>
        <w:pStyle w:val="BookText"/>
      </w:pPr>
      <w:r>
        <w:rPr>
          <w:rFonts w:ascii="IRNazanin" w:hAnsi="IRNazanin" w:eastAsia="IRNazanin" w:cs="IRNazanin"/>
          <w:lang w:bidi="fa-IR"/>
          <w:color w:val="111111"/>
          <w:sz w:val="28"/>
          <w:szCs w:val="28"/>
          <w:rtl/>
        </w:rPr>
        <w:t xml:space="preserve">آغاز: سالکا ناله سست از دل بی تاب برون آید </w:t>
      </w:r>
      <w:r>
        <w:rPr>
          <w:rFonts w:ascii="IRNazanin" w:hAnsi="IRNazanin" w:eastAsia="IRNazanin" w:cs="IRNazanin"/>
          <w:lang w:bidi="fa-IR"/>
          <w:color w:val="111111"/>
          <w:sz w:val="28"/>
          <w:szCs w:val="28"/>
          <w:b w:val="1"/>
          <w:bCs w:val="1"/>
          <w:i w:val="1"/>
          <w:iCs w:val="1"/>
          <w:rtl/>
        </w:rPr>
        <w:t xml:space="preserve">چشم بی گریه به از آب برون می آید / حسرت آن برو رو در دل نظاره شکست *** دزدکی در شب مهتاب برون می آید؛ انجام: تاریکی ز نقش روز و شب کن *** ز خطفش چشمه حیوان طلب كن / خضر وار از مقام بی نشانی</w:t>
      </w:r>
      <w:r>
        <w:rPr>
          <w:rFonts w:ascii="IRNazanin" w:hAnsi="IRNazanin" w:eastAsia="IRNazanin" w:cs="IRNazanin"/>
          <w:lang w:bidi="fa-IR"/>
          <w:color w:val="111111"/>
          <w:sz w:val="28"/>
          <w:szCs w:val="28"/>
          <w:rtl/>
        </w:rPr>
        <w:t xml:space="preserve"> بخور خون خطش آب زندگانی</w:t>
      </w:r>
    </w:p>
    <w:p>
      <w:pPr>
        <w:pStyle w:val="BookText"/>
      </w:pPr>
      <w:r>
        <w:rPr>
          <w:rFonts w:ascii="IRNazanin" w:hAnsi="IRNazanin" w:eastAsia="IRNazanin" w:cs="IRNazanin"/>
          <w:lang w:bidi="fa-IR"/>
          <w:color w:val="111111"/>
          <w:sz w:val="28"/>
          <w:szCs w:val="28"/>
          <w:rtl/>
        </w:rPr>
        <w:t xml:space="preserve">جنگ مهمی است که در قرن یازدهم تدوین شده ولی بخـش اعظم آن از بین رفته و فقط برگ هایی از آن باقی مانده است.</w:t>
      </w:r>
    </w:p>
    <w:p>
      <w:pPr>
        <w:pStyle w:val="BookText"/>
      </w:pPr>
      <w:r>
        <w:rPr>
          <w:rFonts w:ascii="IRNazanin" w:hAnsi="IRNazanin" w:eastAsia="IRNazanin" w:cs="IRNazanin"/>
          <w:lang w:bidi="fa-IR"/>
          <w:color w:val="111111"/>
          <w:sz w:val="28"/>
          <w:szCs w:val="28"/>
          <w:rtl/>
        </w:rPr>
        <w:t xml:space="preserve">شاعرانی که شعرشان در این جنگ آمده عبارتند از: سالکا، قصیده ای از داود در مدح امام رضا (علیه السّلام) و غزلی از وی با عنوان ولد «مدظله» وحيد سلمه الله (گویا همان وحید قزوینی) صایبا، اشعار و رباعیاتی از وحید، همت، وحشی، دیباچه بیاض؛ خـط: نستعلیق و شکسته نستعلیق، کا: محمد مهدی، تا: ۱۰۹۳ق؛ مجدول مذهب؛ جلد: تیماج قهوه ای ضربی با تابلوی آهو و بلبل و درخت ضربی، ۲۵گ، مختلف السطر قطع:بیاض رقعی،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۳ - ۱۲۴۱]</w:t>
      </w:r>
    </w:p>
    <w:p>
      <w:pPr>
        <w:pStyle w:val="Heading3"/>
      </w:pPr>
      <w:bookmarkStart w:id="2000" w:name="_Toc1522"/>
      <w:r>
        <w:t>اشعار (گردآوری) / شعر / ترکی، فارسی</w:t>
      </w:r>
      <w:bookmarkEnd w:id="2000"/>
    </w:p>
    <w:p>
      <w:pPr>
        <w:pStyle w:val="BookText"/>
      </w:pPr>
      <w:r>
        <w:rPr>
          <w:rFonts w:ascii="Times New Roman" w:hAnsi="Times New Roman" w:eastAsia="Times New Roman" w:cs="Times New Roman"/>
          <w:lang w:val="en-US" w:bidi="en-US"/>
          <w:color w:val="111111"/>
          <w:sz w:val="28"/>
          <w:szCs w:val="28"/>
          <w:rtl/>
        </w:rPr>
        <w:t xml:space="preserve">(aš‘ār (gerdāvarī)</w:t>
      </w:r>
    </w:p>
    <w:p>
      <w:pPr>
        <w:pStyle w:val="BookText"/>
      </w:pPr>
      <w:r>
        <w:rPr>
          <w:rFonts w:ascii="IRNazanin" w:hAnsi="IRNazanin" w:eastAsia="IRNazanin" w:cs="IRNazanin"/>
          <w:lang w:bidi="fa-IR"/>
          <w:color w:val="111111"/>
          <w:sz w:val="28"/>
          <w:szCs w:val="28"/>
          <w:rtl/>
        </w:rPr>
        <w:t xml:space="preserve">فيض حلبی طوب قبولی افندی، - ۱۱۲۲ قمری</w:t>
      </w:r>
    </w:p>
    <w:p>
      <w:pPr>
        <w:pStyle w:val="BookText"/>
      </w:pPr>
      <w:r>
        <w:rPr>
          <w:rFonts w:ascii="Times New Roman" w:hAnsi="Times New Roman" w:eastAsia="Times New Roman" w:cs="Times New Roman"/>
          <w:lang w:val="en-US" w:bidi="en-US"/>
          <w:color w:val="111111"/>
          <w:sz w:val="28"/>
          <w:szCs w:val="28"/>
          <w:rtl/>
        </w:rPr>
        <w:t xml:space="preserve">(feyz-e halabī tūb qapūlī-ye afandī (- 1710)</w:t>
      </w:r>
    </w:p>
    <w:p>
      <w:pPr>
        <w:pStyle w:val="BookText"/>
      </w:pPr>
      <w:r>
        <w:rPr>
          <w:rFonts w:ascii="IRNazanin" w:hAnsi="IRNazanin" w:eastAsia="IRNazanin" w:cs="IRNazanin"/>
          <w:lang w:bidi="fa-IR"/>
          <w:color w:val="111111"/>
          <w:sz w:val="28"/>
          <w:szCs w:val="28"/>
          <w:rtl/>
        </w:rPr>
        <w:t xml:space="preserve">پس از وی احمد بطور مش زاده اشعار ترکی فیضی را در آخر جنگ الحاق نموده است. همچنین در قرن ۱۲ نیز مطالبی در اوایل جنگ اضافه شده است. اسامی شاعر ان ترکی و فارسی که شعرشان در این جنگ آمده عبارتند از: میر خسرو دهلوی، عصمت، قاسم انوار ،اسیری،مولانا، اخگری، رباعی شفایی درحق عرفی ،فائقی، مثلثات قطرب، اشعاری به ترکی از اسـعد افندی، نجمی افندی، ریاضی. اشعار فارسی از: قدسی، قاضـی نور، شاه داغی، سلیم، محتشم، صائب، حكيم ركنا، نذری کاشی، خاقانی، بخشی از ساقی نامه شکیبی، سپهری بخاری، سید یوسف طبعی از مرکز الادوار فيض هندی، مومن حسیـن، محوی، علی نقی که از روی خط عرفی نوشته شده است، ضمیری اصفهانی میرزا سنجر، زکی همدانی، عالم کابلی، یحیی گیلانی، سید شاه لاله، میر محمد  باقر ،خانخانان، کمال الدین کوتاه پا، ملاواغی کرمانی ،رکنا ،فصیحی، هلالی،حسین میبدی، مثنوی سلیم ،حزینی، برهمن، حسین ثنائی،انوری، فیض هندی، محمد رضا پاشاه، حیدر عاصی ،ذوقی، چلبی بیک،ملا طرزی، خواجه محمود لنگرودی، حشری، ملا شعیب، عزتی، واقف خلخالی، بهائی افندی، قاضی فکاری، ترجیع بند سلمان ساوجی، فهيم، من مقالات سلطان الطماء، شفائی، زكى همدانی، تاریخ طرزی در وفات حلوی به ترکی در سال ۱۰۸۴، تاریخ جوری چلبی در اتمام مثنوی ،۱۰۸۵، اشعاری از فیض جـامع جنگ به خط خودش به ترکی و فارسی، جودی، یادداشتی از احمد بطور مش زاد ،درباره جنگ و این که خط فیضی افندی است و اشعاری ازفیض را به ترکی تحریر نموده است.</w:t>
      </w:r>
    </w:p>
    <w:p>
      <w:pPr>
        <w:pStyle w:val="BookText"/>
      </w:pPr>
      <w:r>
        <w:rPr>
          <w:rFonts w:ascii="IRNazanin" w:hAnsi="IRNazanin" w:eastAsia="IRNazanin" w:cs="IRNazanin"/>
          <w:lang w:bidi="fa-IR"/>
          <w:color w:val="111111"/>
          <w:sz w:val="28"/>
          <w:szCs w:val="28"/>
          <w:rtl/>
        </w:rPr>
        <w:t xml:space="preserve">قم؛ گلپایگانی؛ شماره نسخه: ۵۱۴۰-۲۶/۲۰</w:t>
      </w:r>
    </w:p>
    <w:p>
      <w:pPr>
        <w:pStyle w:val="BookText"/>
      </w:pPr>
      <w:r>
        <w:rPr>
          <w:rFonts w:ascii="IRNazanin" w:hAnsi="IRNazanin" w:eastAsia="IRNazanin" w:cs="IRNazanin"/>
          <w:lang w:bidi="fa-IR"/>
          <w:color w:val="111111"/>
          <w:sz w:val="28"/>
          <w:szCs w:val="28"/>
          <w:rtl/>
        </w:rPr>
        <w:t xml:space="preserve">آغاز: الله الحمد اولوب معرکه جنگ تمام *** بولدى عالم يکيندن صلح وصلاحيه نظام / گچدی سرمای ستم گلدی بهار راحت *** اعتدال ایتدی خمبصفه ایام خرام؛ انجام: نوحه عاشق او لورسه نه عجب گرما گرم *** مژه لو مروحه واشک سرا پا آتش / دیر عالمده او هند و منسیز کیم فیضی *** گو دینور مصطبه گوشه تنها آتش</w:t>
      </w:r>
    </w:p>
    <w:p>
      <w:pPr>
        <w:pStyle w:val="BookText"/>
      </w:pPr>
      <w:r>
        <w:rPr>
          <w:rFonts w:ascii="IRNazanin" w:hAnsi="IRNazanin" w:eastAsia="IRNazanin" w:cs="IRNazanin"/>
          <w:lang w:bidi="fa-IR"/>
          <w:color w:val="111111"/>
          <w:sz w:val="28"/>
          <w:szCs w:val="28"/>
          <w:rtl/>
        </w:rPr>
        <w:t xml:space="preserve">خط: نسخ، كاتب = مؤلف، تا: ۱۲۲۲ق؛ تملک: سید موسی مشهور به کلیه؛ جلد: تیماج قهوه ای، ۸۱گ،مختلف السطر،اندازه 8</w:t>
      </w:r>
      <w:r>
        <w:rPr>
          <w:rFonts w:ascii="Times New Roman" w:hAnsi="Times New Roman" w:eastAsia="Times New Roman" w:cs="Times New Roman"/>
          <w:lang w:val="en-US" w:bidi="en-US"/>
          <w:color w:val="111111"/>
          <w:sz w:val="28"/>
          <w:szCs w:val="28"/>
          <w:rtl/>
        </w:rPr>
        <w:t xml:space="preserve">×27</w:t>
      </w:r>
      <w:r>
        <w:rPr>
          <w:rFonts w:ascii="IRNazanin" w:hAnsi="IRNazanin" w:eastAsia="IRNazanin" w:cs="IRNazanin"/>
          <w:lang w:bidi="fa-IR"/>
          <w:color w:val="111111"/>
          <w:sz w:val="28"/>
          <w:szCs w:val="28"/>
          <w:rtl/>
        </w:rPr>
        <w:t xml:space="preserve">سم [ف: ۳ - ۱۲۶۰]</w:t>
      </w:r>
    </w:p>
    <w:p>
      <w:pPr>
        <w:pStyle w:val="Heading3"/>
      </w:pPr>
      <w:bookmarkStart w:id="2001" w:name="_Toc1523"/>
      <w:r>
        <w:t>اشعار (گردآوری) / شعر / فارسی</w:t>
      </w:r>
      <w:bookmarkEnd w:id="2001"/>
    </w:p>
    <w:p>
      <w:pPr>
        <w:pStyle w:val="BookText"/>
      </w:pPr>
      <w:r>
        <w:rPr>
          <w:rFonts w:ascii="Times New Roman" w:hAnsi="Times New Roman" w:eastAsia="Times New Roman" w:cs="Times New Roman"/>
          <w:lang w:val="en-US" w:bidi="en-US"/>
          <w:color w:val="111111"/>
          <w:sz w:val="28"/>
          <w:szCs w:val="28"/>
          <w:rtl/>
        </w:rPr>
        <w:t xml:space="preserve">(aš ār (gerdāvarī)</w:t>
      </w:r>
    </w:p>
    <w:p>
      <w:pPr>
        <w:pStyle w:val="BookText"/>
      </w:pPr>
      <w:r>
        <w:rPr>
          <w:rFonts w:ascii="IRNazanin" w:hAnsi="IRNazanin" w:eastAsia="IRNazanin" w:cs="IRNazanin"/>
          <w:lang w:bidi="fa-IR"/>
          <w:color w:val="111111"/>
          <w:sz w:val="28"/>
          <w:szCs w:val="28"/>
          <w:rtl/>
        </w:rPr>
        <w:t xml:space="preserve">حزين محمد علی بن ابی طالب، ۱۱۰۳ - ۱۱۸۰ قمری</w:t>
      </w:r>
    </w:p>
    <w:p>
      <w:pPr>
        <w:pStyle w:val="BookText"/>
      </w:pPr>
      <w:r>
        <w:rPr>
          <w:rFonts w:ascii="Times New Roman" w:hAnsi="Times New Roman" w:eastAsia="Times New Roman" w:cs="Times New Roman"/>
          <w:lang w:val="en-US" w:bidi="en-US"/>
          <w:color w:val="111111"/>
          <w:sz w:val="28"/>
          <w:szCs w:val="28"/>
          <w:rtl/>
        </w:rPr>
        <w:t xml:space="preserve">(hazīn, mohammad ‘alī ebn-e abī-tāleb (1692 - 1767)</w:t>
      </w:r>
    </w:p>
    <w:p>
      <w:pPr>
        <w:pStyle w:val="BookText"/>
      </w:pPr>
      <w:r>
        <w:rPr>
          <w:rFonts w:ascii="IRNazanin" w:hAnsi="IRNazanin" w:eastAsia="IRNazanin" w:cs="IRNazanin"/>
          <w:lang w:bidi="fa-IR"/>
          <w:color w:val="111111"/>
          <w:sz w:val="28"/>
          <w:szCs w:val="28"/>
          <w:rtl/>
        </w:rPr>
        <w:t xml:space="preserve">اشعاری از محمد كاظم بن يوسف عبدالوهابی تبریزی (زنده در 140) و محمد علی حزین لاهیجانی گردآورنده جنگ در ۱۱۴۶، محمد صادق ایروانی مورخ ۱۱۵۵، محمد ابراهیم شیروانی عیسی ۱۱۵۵ ، محمد رضا ارومی غلام سرکار خاصه در ۱۱۵۴، مولانامحمد رشیدای رومی ۱۱۵۵، میرزا عبدالرزاق نشاة درباره ماده تاریخ طلاکاری گنبد آستانه نجف به دستور نادرشاه به ترکی، انشای همو در خواستگاری خواهر محمد مؤمن بیک قاسم لو به فارسی، با شعرهای فارسی: میر سید محمد مینا، ملا صدرای رشتی بینا، کمال ذبیح، دعوی دار قمی ،میلی ،میرزا هاشم تبریزی، میرزا صالح تبریزی، صالح میرزا كريم اثیم فروغی زمان صوفیان، طالع رشتی، ظهیر گیلانی، صهبای زمان صفویان، عزیز تبریزی، میرزا غیاث خیال، آقا زین العابدين جوهر، محمد کاظم تبریزی کاظم، صبای زمان صوفیان، میرزا حسن غیور، صفی قلی بیک یوزباشی صفی، صحبت ،مشکی، حسن علی خراسانی، و بندهایی به نثر، شعرها در این جنگ از ناصر علی هندی آغاز می شود تا می رسد به شعر کاظم و از شاعران معروف هم در آن شعرهایی هست.</w:t>
      </w:r>
    </w:p>
    <w:p>
      <w:pPr>
        <w:pStyle w:val="BookText"/>
      </w:pPr>
      <w:r>
        <w:rPr>
          <w:rFonts w:ascii="IRNazanin" w:hAnsi="IRNazanin" w:eastAsia="IRNazanin" w:cs="IRNazanin"/>
          <w:lang w:bidi="fa-IR"/>
          <w:color w:val="111111"/>
          <w:sz w:val="28"/>
          <w:szCs w:val="28"/>
          <w:rtl/>
        </w:rPr>
        <w:t xml:space="preserve">چاپ: حیدرآباد دکن، سنگی، ۱۹۳۰/۱۳۴۸م، رقعی کوچک،  8+ 102ص</w:t>
      </w:r>
    </w:p>
    <w:p>
      <w:pPr>
        <w:pStyle w:val="BookText"/>
      </w:pPr>
      <w:r>
        <w:rPr>
          <w:rFonts w:ascii="IRNazanin" w:hAnsi="IRNazanin" w:eastAsia="IRNazanin" w:cs="IRNazanin"/>
          <w:lang w:bidi="fa-IR"/>
          <w:color w:val="111111"/>
          <w:sz w:val="28"/>
          <w:szCs w:val="28"/>
          <w:rtl/>
        </w:rPr>
        <w:t xml:space="preserve">تهران؛ مجلس؛ شماره نسخه: ۱۵۵</w:t>
      </w:r>
    </w:p>
    <w:p>
      <w:pPr>
        <w:pStyle w:val="BookText"/>
      </w:pPr>
      <w:r>
        <w:rPr>
          <w:rFonts w:ascii="IRNazanin" w:hAnsi="IRNazanin" w:eastAsia="IRNazanin" w:cs="IRNazanin"/>
          <w:lang w:bidi="fa-IR"/>
          <w:color w:val="111111"/>
          <w:sz w:val="28"/>
          <w:szCs w:val="28"/>
          <w:rtl/>
        </w:rPr>
        <w:t xml:space="preserve">خط: شکسته نستعلیق، کاتب = مؤلف، تا: ۱۱۴۰ق؛ با شعرهایی به خط خود او در ۱۱۴۰، مجدول با سرلوح؛ کاغذ: سفید، جلد: تیماج مشکی ضربی مقوایی با ترنج، ۱۵۹گ، ۱۲ سطر (3</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w:t>
      </w:r>
    </w:p>
    <w:p>
      <w:pPr>
        <w:sectPr>
          <w:footerReference w:type="default" r:id="rId990"/>
          <w:footnotePr>
            <w:numStart w:val="1"/>
            <w:numRestart w:val="eachPage"/>
          </w:footnotePr>
          <w:pgSz w:orient="portrait" w:w="11905.511811023622" w:h="16837.79527559055"/>
          <w:pgMar w:top="1440" w:right="1440" w:bottom="1440" w:left="1440" w:header="720" w:footer="720" w:gutter="0"/>
          <w:cols w:num="1" w:space="720"/>
        </w:sectPr>
      </w:pPr>
    </w:p>
    <w:bookmarkStart w:id="437" w:name="pg20365_260926"/>
    <w:bookmarkEnd w:id="437"/>
    <w:p>
      <w:pPr>
        <w:pStyle w:val="BookText"/>
      </w:pPr>
      <w:r>
        <w:rPr>
          <w:rFonts w:ascii="IRNazanin" w:hAnsi="IRNazanin" w:eastAsia="IRNazanin" w:cs="IRNazanin"/>
          <w:lang w:bidi="fa-IR"/>
          <w:color w:val="111111"/>
          <w:sz w:val="28"/>
          <w:szCs w:val="28"/>
          <w:rtl/>
        </w:rPr>
        <w:t xml:space="preserve">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[سنا: ف: ۱ - ۷۹]</w:t>
      </w:r>
    </w:p>
    <w:p>
      <w:pPr>
        <w:pStyle w:val="Heading3"/>
      </w:pPr>
      <w:bookmarkStart w:id="2002" w:name="_Toc1524"/>
      <w:r>
        <w:t>اشعار (گردآوری) / شعر /عربی</w:t>
      </w:r>
      <w:bookmarkEnd w:id="2002"/>
    </w:p>
    <w:p>
      <w:pPr>
        <w:pStyle w:val="BookText"/>
      </w:pPr>
      <w:r>
        <w:rPr>
          <w:rFonts w:ascii="Times New Roman" w:hAnsi="Times New Roman" w:eastAsia="Times New Roman" w:cs="Times New Roman"/>
          <w:lang w:val="en-US" w:bidi="en-US"/>
          <w:color w:val="111111"/>
          <w:sz w:val="28"/>
          <w:szCs w:val="28"/>
          <w:rtl/>
        </w:rPr>
        <w:t xml:space="preserve">(aš‘ār (gerdāvarī)</w:t>
      </w:r>
    </w:p>
    <w:p>
      <w:pPr>
        <w:pStyle w:val="BookText"/>
      </w:pPr>
      <w:r>
        <w:rPr>
          <w:rFonts w:ascii="IRNazanin" w:hAnsi="IRNazanin" w:eastAsia="IRNazanin" w:cs="IRNazanin"/>
          <w:lang w:bidi="fa-IR"/>
          <w:color w:val="111111"/>
          <w:sz w:val="28"/>
          <w:szCs w:val="28"/>
          <w:rtl/>
        </w:rPr>
        <w:t xml:space="preserve">احمد بن عبد القادر، ق ۱۲ قمری</w:t>
      </w:r>
    </w:p>
    <w:p>
      <w:pPr>
        <w:pStyle w:val="BookText"/>
      </w:pPr>
      <w:r>
        <w:rPr>
          <w:rFonts w:ascii="Times New Roman" w:hAnsi="Times New Roman" w:eastAsia="Times New Roman" w:cs="Times New Roman"/>
          <w:lang w:val="en-US" w:bidi="en-US"/>
          <w:color w:val="111111"/>
          <w:sz w:val="28"/>
          <w:szCs w:val="28"/>
          <w:rtl/>
        </w:rPr>
        <w:t xml:space="preserve">(ahmad ebn-e ‘abd-ol-qāder (- 18c)</w:t>
      </w:r>
    </w:p>
    <w:p>
      <w:pPr>
        <w:pStyle w:val="BookText"/>
      </w:pPr>
      <w:r>
        <w:rPr>
          <w:rFonts w:ascii="IRNazanin" w:hAnsi="IRNazanin" w:eastAsia="IRNazanin" w:cs="IRNazanin"/>
          <w:lang w:bidi="fa-IR"/>
          <w:color w:val="111111"/>
          <w:sz w:val="28"/>
          <w:szCs w:val="28"/>
          <w:rtl/>
        </w:rPr>
        <w:t xml:space="preserve">کرمانشاه؛ جلیلی؛ شماره نسخه: ۲۲۸</w:t>
      </w:r>
    </w:p>
    <w:p>
      <w:pPr>
        <w:pStyle w:val="BookText"/>
      </w:pPr>
      <w:r>
        <w:rPr>
          <w:rFonts w:ascii="IRNazanin" w:hAnsi="IRNazanin" w:eastAsia="IRNazanin" w:cs="IRNazanin"/>
          <w:lang w:bidi="fa-IR"/>
          <w:color w:val="111111"/>
          <w:sz w:val="28"/>
          <w:szCs w:val="28"/>
          <w:rtl/>
        </w:rPr>
        <w:t xml:space="preserve">قصایدی از: قصیده خیر البرية، قصیده لامیه در توحید، ذات الشـفاء في سيرة النبى و الخلفاء، تبصرة المحتاج؛ خط: نسخ معرب، کاتب= مؤلف، تا: یک شنبه ۱۸ جمادى الاول ۱۱۸۸ق؛ كاغذ: حنـایی آهاری ،جلد: تیماج عنابی، ۱۴ سطر، اندازه:۱۰/۵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[ف:73]</w:t>
      </w:r>
    </w:p>
    <w:p>
      <w:pPr>
        <w:pStyle w:val="Heading3"/>
      </w:pPr>
      <w:bookmarkStart w:id="2003" w:name="_Toc1525"/>
      <w:r>
        <w:t>اشعار (گردآوری) / شعر / فارسی</w:t>
      </w:r>
      <w:bookmarkEnd w:id="2003"/>
    </w:p>
    <w:p>
      <w:pPr>
        <w:pStyle w:val="BookText"/>
      </w:pPr>
      <w:r>
        <w:rPr>
          <w:rFonts w:ascii="Times New Roman" w:hAnsi="Times New Roman" w:eastAsia="Times New Roman" w:cs="Times New Roman"/>
          <w:lang w:val="en-US" w:bidi="en-US"/>
          <w:color w:val="111111"/>
          <w:sz w:val="28"/>
          <w:szCs w:val="28"/>
          <w:rtl/>
        </w:rPr>
        <w:t xml:space="preserve">(aš‘ār (gerdāvarī)</w:t>
      </w:r>
    </w:p>
    <w:p>
      <w:pPr>
        <w:pStyle w:val="BookText"/>
      </w:pPr>
      <w:r>
        <w:rPr>
          <w:rFonts w:ascii="IRNazanin" w:hAnsi="IRNazanin" w:eastAsia="IRNazanin" w:cs="IRNazanin"/>
          <w:lang w:bidi="fa-IR"/>
          <w:color w:val="111111"/>
          <w:sz w:val="28"/>
          <w:szCs w:val="28"/>
          <w:rtl/>
        </w:rPr>
        <w:t xml:space="preserve">لاریجانی، محمد صالح، ق ۱۲ قمری</w:t>
      </w:r>
    </w:p>
    <w:p>
      <w:pPr>
        <w:pStyle w:val="BookText"/>
      </w:pPr>
      <w:r>
        <w:rPr>
          <w:rFonts w:ascii="Times New Roman" w:hAnsi="Times New Roman" w:eastAsia="Times New Roman" w:cs="Times New Roman"/>
          <w:lang w:val="en-US" w:bidi="en-US"/>
          <w:color w:val="111111"/>
          <w:sz w:val="28"/>
          <w:szCs w:val="28"/>
          <w:rtl/>
        </w:rPr>
        <w:t xml:space="preserve">(lārījānī, mohammad sāleh (- 18c)</w:t>
      </w:r>
    </w:p>
    <w:p>
      <w:pPr>
        <w:pStyle w:val="BookText"/>
      </w:pPr>
      <w:r>
        <w:rPr>
          <w:rFonts w:ascii="IRNazanin" w:hAnsi="IRNazanin" w:eastAsia="IRNazanin" w:cs="IRNazanin"/>
          <w:lang w:bidi="fa-IR"/>
          <w:color w:val="111111"/>
          <w:sz w:val="28"/>
          <w:szCs w:val="28"/>
          <w:rtl/>
        </w:rPr>
        <w:t xml:space="preserve">اهداء به: بابا خان سردار</w:t>
      </w:r>
    </w:p>
    <w:p>
      <w:pPr>
        <w:pStyle w:val="BookText"/>
      </w:pPr>
      <w:r>
        <w:rPr>
          <w:rFonts w:ascii="IRNazanin" w:hAnsi="IRNazanin" w:eastAsia="IRNazanin" w:cs="IRNazanin"/>
          <w:lang w:bidi="fa-IR"/>
          <w:color w:val="111111"/>
          <w:sz w:val="28"/>
          <w:szCs w:val="28"/>
          <w:rtl/>
        </w:rPr>
        <w:t xml:space="preserve">زمان فراهم آوردن: ۱۱۹۸ ه.ق</w:t>
      </w:r>
    </w:p>
    <w:p>
      <w:pPr>
        <w:pStyle w:val="BookText"/>
      </w:pPr>
      <w:r>
        <w:rPr>
          <w:rFonts w:ascii="IRNazanin" w:hAnsi="IRNazanin" w:eastAsia="IRNazanin" w:cs="IRNazanin"/>
          <w:lang w:bidi="fa-IR"/>
          <w:color w:val="111111"/>
          <w:sz w:val="28"/>
          <w:szCs w:val="28"/>
          <w:rtl/>
        </w:rPr>
        <w:t xml:space="preserve">اشعاری از: نظامی ،محتشم، هلالی، صائب، زکی همدانی ،قدسی، وحشی، طبیعی ،ظلی ،مجرم، عرفی، عراقی، سعدی، حاجی، طبیب ،شفائی، محمد قلی سلیم، کمال اسماعیل، فغانی، میرزا نصیر اصفهانی ،کلیم، میرزا قلی میلی ،وافی ،رفیق، هلاکی همدانی ،مشتاق، حافظ ،انوری، نظیری صفی، بهائی، میرزا صادق  تفرشی، شوکت، درویش مجید ،نیازی ،شرر، یوسف، حاج لطفعلی بیک ،سنجر ،کافی ،عاشق ،حکیم رکنی، مخلص، شمس تبریزی ،خاقانی ،ملهم، میرزا ابراهیم، میرزا داود، سـند ،عصمت، زیب النساء بیگم (دختر اورنگ زیب)، گلشن، امیر خسرو و میرزا ضیاء اصفهانی.</w:t>
      </w:r>
    </w:p>
    <w:p>
      <w:pPr>
        <w:pStyle w:val="BookText"/>
      </w:pPr>
      <w:r>
        <w:rPr>
          <w:rFonts w:ascii="IRNazanin" w:hAnsi="IRNazanin" w:eastAsia="IRNazanin" w:cs="IRNazanin"/>
          <w:lang w:bidi="fa-IR"/>
          <w:color w:val="111111"/>
          <w:sz w:val="28"/>
          <w:szCs w:val="28"/>
          <w:rtl/>
        </w:rPr>
        <w:t xml:space="preserve">تهران؛ ملی؛ شماره نسخه: ۱۸۴۲</w:t>
      </w:r>
    </w:p>
    <w:p>
      <w:pPr>
        <w:pStyle w:val="BookText"/>
      </w:pPr>
      <w:r>
        <w:rPr>
          <w:rFonts w:ascii="IRNazanin" w:hAnsi="IRNazanin" w:eastAsia="IRNazanin" w:cs="IRNazanin"/>
          <w:lang w:bidi="fa-IR"/>
          <w:color w:val="111111"/>
          <w:sz w:val="28"/>
          <w:szCs w:val="28"/>
          <w:rtl/>
        </w:rPr>
        <w:t xml:space="preserve">آغاز: بسم الله الرحمن الرحیم*** هست کلید در گنج حکـیم؛</w:t>
      </w:r>
    </w:p>
    <w:p>
      <w:pPr>
        <w:pStyle w:val="BookText"/>
      </w:pPr>
      <w:r>
        <w:rPr>
          <w:rFonts w:ascii="IRNazanin" w:hAnsi="IRNazanin" w:eastAsia="IRNazanin" w:cs="IRNazanin"/>
          <w:lang w:bidi="fa-IR"/>
          <w:color w:val="111111"/>
          <w:sz w:val="28"/>
          <w:szCs w:val="28"/>
          <w:rtl/>
        </w:rPr>
        <w:t xml:space="preserve">انجام: ایشان حرمی درو کشیده*** بر جمله خلق بسته شد راه</w:t>
      </w:r>
    </w:p>
    <w:p>
      <w:pPr>
        <w:pStyle w:val="BookText"/>
      </w:pPr>
      <w:r>
        <w:rPr>
          <w:rFonts w:ascii="IRNazanin" w:hAnsi="IRNazanin" w:eastAsia="IRNazanin" w:cs="IRNazanin"/>
          <w:lang w:bidi="fa-IR"/>
          <w:color w:val="111111"/>
          <w:sz w:val="28"/>
          <w:szCs w:val="28"/>
          <w:rtl/>
        </w:rPr>
        <w:t xml:space="preserve">خط: نستعلیق، کا: محمد صالح لاریجانی، تا: ۲۰ رمضان ۱۱۹۸ق؛ جا: ساری؛ با سرلوح گل و بوته، در همه صفحات بعضی سطور به خط حمایلی؛ کاغذ: فرنگی،جلد: تیماج سیاه، یک  لا، ۱۱۰گ، ۱۰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۳۲/۵سم [ف: ۴ - ۲۹۶]</w:t>
      </w:r>
    </w:p>
    <w:p>
      <w:pPr>
        <w:pStyle w:val="Heading3"/>
      </w:pPr>
      <w:bookmarkStart w:id="2004" w:name="_Toc1526"/>
      <w:r>
        <w:t>اشعار / شعر / فارسی</w:t>
      </w:r>
      <w:bookmarkEnd w:id="2004"/>
    </w:p>
    <w:p>
      <w:pPr>
        <w:pStyle w:val="BookText"/>
      </w:pPr>
      <w:r>
        <w:rPr>
          <w:rFonts w:ascii="Times New Roman" w:hAnsi="Times New Roman" w:eastAsia="Times New Roman" w:cs="Times New Roman"/>
          <w:lang w:val="en-US" w:bidi="en-US"/>
          <w:color w:val="111111"/>
          <w:sz w:val="28"/>
          <w:szCs w:val="28"/>
          <w:rtl/>
        </w:rPr>
        <w:t xml:space="preserve">aš‘ār</w:t>
      </w:r>
    </w:p>
    <w:p>
      <w:pPr>
        <w:pStyle w:val="BookText"/>
      </w:pPr>
      <w:r>
        <w:rPr>
          <w:rFonts w:ascii="IRNazanin" w:hAnsi="IRNazanin" w:eastAsia="IRNazanin" w:cs="IRNazanin"/>
          <w:lang w:bidi="fa-IR"/>
          <w:color w:val="111111"/>
          <w:sz w:val="28"/>
          <w:szCs w:val="28"/>
          <w:rtl/>
        </w:rPr>
        <w:t xml:space="preserve">اردلانی، عبدالباقی بن محمد حسین، - ۱۲۴۴ قمری</w:t>
      </w:r>
    </w:p>
    <w:p>
      <w:pPr>
        <w:pStyle w:val="BookText"/>
      </w:pPr>
      <w:r>
        <w:rPr>
          <w:rFonts w:ascii="Times New Roman" w:hAnsi="Times New Roman" w:eastAsia="Times New Roman" w:cs="Times New Roman"/>
          <w:lang w:val="en-US" w:bidi="en-US"/>
          <w:color w:val="111111"/>
          <w:sz w:val="28"/>
          <w:szCs w:val="28"/>
          <w:rtl/>
        </w:rPr>
        <w:t xml:space="preserve">(ardalānī, ‘abd-ol-bāqī ebn-e mohammad hoseyn (-1829</w:t>
      </w:r>
    </w:p>
    <w:p>
      <w:pPr>
        <w:pStyle w:val="BookText"/>
      </w:pPr>
      <w:r>
        <w:rPr>
          <w:rFonts w:ascii="IRNazanin" w:hAnsi="IRNazanin" w:eastAsia="IRNazanin" w:cs="IRNazanin"/>
          <w:lang w:bidi="fa-IR"/>
          <w:color w:val="111111"/>
          <w:sz w:val="28"/>
          <w:szCs w:val="28"/>
          <w:rtl/>
        </w:rPr>
        <w:t xml:space="preserve">اشعار برخی از شعرای بزرگ را در مجموعه حاضر جهت امان الله خان والی گرد آورده و به سال ۱۲۲۴ از گردآوری آن فارغ شده است. نام شاعران این مجموعه: سعدی، محتشم، سید محمد اصفهانی متخلص به مشتاق ،حافظ ،کمال، شهاب، لطفعلی بیگ، میرزا جلال اسیر، صائب، حاجی سلیمان بیدگلی، جامی، خیام، آقا حسن حاجی عبدالقادر یک رباعی به سال ۱۲۸۹ نگاشته،طرزی ،طوفان ،رفیق عاشق اصفهانی، اشعار گردآورنده با تخلص شیدا ،فیضی، ناطق اصفهانی ،خاقانی، امیر خسرو، صهبا، ميرزا على رضا تجلی، میرزا فتح الله عموی گرد آورنده ،عرفی، ميرزا طاهر وحيد، مهدی بیگ، آقا حسین اصفهانی متخلص به اسیری ،مشرقی ،کلیم، حسرت خواجه صادق، امین، بابا طاهر، میرزا کاظم متخلص به مهجور، مهستی، اهلی.</w:t>
      </w:r>
    </w:p>
    <w:p>
      <w:pPr>
        <w:pStyle w:val="BookText"/>
      </w:pPr>
      <w:r>
        <w:rPr>
          <w:rFonts w:ascii="IRNazanin" w:hAnsi="IRNazanin" w:eastAsia="IRNazanin" w:cs="IRNazanin"/>
          <w:lang w:bidi="fa-IR"/>
          <w:color w:val="111111"/>
          <w:sz w:val="28"/>
          <w:szCs w:val="28"/>
          <w:rtl/>
        </w:rPr>
        <w:t xml:space="preserve">اصفهان؛ دانشگاه؛ شماره نسخه: ۶۵۱</w:t>
      </w:r>
    </w:p>
    <w:p>
      <w:pPr>
        <w:pStyle w:val="BookText"/>
      </w:pPr>
      <w:r>
        <w:rPr>
          <w:rFonts w:ascii="IRNazanin" w:hAnsi="IRNazanin" w:eastAsia="IRNazanin" w:cs="IRNazanin"/>
          <w:lang w:bidi="fa-IR"/>
          <w:color w:val="111111"/>
          <w:sz w:val="28"/>
          <w:szCs w:val="28"/>
          <w:rtl/>
        </w:rPr>
        <w:t xml:space="preserve">خط: نستعليق، كا = مؤلف، تا: چهارشنبه اواسط صفر ۱۲۲۴ق؛ مصحح ،با اضافات در حاشیه، در دو برگ آغازین اشعار فارسی پراکنده و یادگاری محمد حسین بن محمد باقر بن محمد اسماعیل؛ تملک: حسین بن احمد حسینی با مهر بیضوی؛ جلد: تیماج قهوه ای بدون مقوا ،۱۰۷گ، سطور چلیپا و راسته، اندازه:۱۴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۲ - ۵۰۱]</w:t>
      </w:r>
    </w:p>
    <w:p>
      <w:pPr>
        <w:pStyle w:val="Heading3"/>
      </w:pPr>
      <w:bookmarkStart w:id="2005" w:name="_Toc1527"/>
      <w:r>
        <w:t>اشعار (گردآوری) / شعر /عربی</w:t>
      </w:r>
      <w:bookmarkEnd w:id="2005"/>
    </w:p>
    <w:p>
      <w:pPr>
        <w:pStyle w:val="BookText"/>
      </w:pPr>
      <w:r>
        <w:rPr>
          <w:rFonts w:ascii="Times New Roman" w:hAnsi="Times New Roman" w:eastAsia="Times New Roman" w:cs="Times New Roman"/>
          <w:lang w:val="en-US" w:bidi="en-US"/>
          <w:color w:val="111111"/>
          <w:sz w:val="28"/>
          <w:szCs w:val="28"/>
          <w:rtl/>
        </w:rPr>
        <w:t xml:space="preserve">(aš ār (gerdāvarī)</w:t>
      </w:r>
    </w:p>
    <w:p>
      <w:pPr>
        <w:pStyle w:val="BookText"/>
      </w:pPr>
      <w:r>
        <w:rPr>
          <w:rFonts w:ascii="IRNazanin" w:hAnsi="IRNazanin" w:eastAsia="IRNazanin" w:cs="IRNazanin"/>
          <w:lang w:bidi="fa-IR"/>
          <w:color w:val="111111"/>
          <w:sz w:val="28"/>
          <w:szCs w:val="28"/>
          <w:rtl/>
        </w:rPr>
        <w:t xml:space="preserve">موسوی، محمد بن معصوم، - ۱۲۹۶ قمری</w:t>
      </w:r>
    </w:p>
    <w:p>
      <w:pPr>
        <w:pStyle w:val="BookText"/>
      </w:pPr>
      <w:r>
        <w:rPr>
          <w:rFonts w:ascii="Times New Roman" w:hAnsi="Times New Roman" w:eastAsia="Times New Roman" w:cs="Times New Roman"/>
          <w:lang w:val="en-US" w:bidi="en-US"/>
          <w:color w:val="111111"/>
          <w:sz w:val="28"/>
          <w:szCs w:val="28"/>
          <w:rtl/>
        </w:rPr>
        <w:t xml:space="preserve">(mūsavī, mohammad ebn-e ma'sum (- 1879)</w:t>
      </w:r>
    </w:p>
    <w:p>
      <w:pPr>
        <w:pStyle w:val="BookText"/>
      </w:pPr>
      <w:r>
        <w:rPr>
          <w:rFonts w:ascii="IRNazanin" w:hAnsi="IRNazanin" w:eastAsia="IRNazanin" w:cs="IRNazanin"/>
          <w:lang w:bidi="fa-IR"/>
          <w:color w:val="111111"/>
          <w:sz w:val="28"/>
          <w:szCs w:val="28"/>
          <w:rtl/>
        </w:rPr>
        <w:t xml:space="preserve">برگزیده اشعار در مدح پیغمبر و اهل بیت (علیهم السّلام)، به ترتیب حروف هجاء شامل: قصيده ام القرى في مدح خير الورى از شرف الدين محمد بن سعيد بوصیری و سه بیت شعری که منسوب به معاویه و یزید و عمرو بن العاص است، و اشعاری از شافعی، شیخ محمد رضا نجفی، منسوب به حضرت سجاد، سید صادق فحام ملا محمد كاظم ازری،سید شریف، خلیعی، برسی، ابی نواس، بعض عامه، سید محمد قطیفی ،مولف، سید محمد صقر، شيخ محمد علی اعسم، سید حمیری، حاجی محمد رضا ازری، ابن ابی الحدید، فرزدق، شیخ هادی نحوی، سید شریف کاظمی، سید مهدی طباطبائی، سید عبدالعزیز، سید علی آل سلمان، مفصل، شیخ حسین نجفی، شیخ بهائی.</w:t>
      </w:r>
    </w:p>
    <w:p>
      <w:pPr>
        <w:pStyle w:val="BookText"/>
      </w:pPr>
      <w:r>
        <w:rPr>
          <w:rFonts w:ascii="IRNazanin" w:hAnsi="IRNazanin" w:eastAsia="IRNazanin" w:cs="IRNazanin"/>
          <w:lang w:bidi="fa-IR"/>
          <w:color w:val="111111"/>
          <w:sz w:val="28"/>
          <w:szCs w:val="28"/>
          <w:rtl/>
        </w:rPr>
        <w:t xml:space="preserve">۱. تهران؛ مجلس؛ شماره نسخه: ۱۱۸۸- طباطبائی</w:t>
      </w:r>
    </w:p>
    <w:p>
      <w:pPr>
        <w:pStyle w:val="BookText"/>
      </w:pPr>
      <w:r>
        <w:rPr>
          <w:rFonts w:ascii="IRNazanin" w:hAnsi="IRNazanin" w:eastAsia="IRNazanin" w:cs="IRNazanin"/>
          <w:lang w:bidi="fa-IR"/>
          <w:color w:val="111111"/>
          <w:sz w:val="28"/>
          <w:szCs w:val="28"/>
          <w:rtl/>
        </w:rPr>
        <w:t xml:space="preserve">خط: نسخ، کا: سید محمد بن معصوم بن الموسوى قطیفی، تا: قرن ۱۳، با تاریخ ۱۲۲۳ تا ۱۲۲۸؛ کاغذ: فرنگی، جلد: تیماج یک لا قرمز، ۱۴۱گ، مختلف السطر، قطع: بياض رقعی، اندازه: 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 ۲۳ - ۶۸۵]</w:t>
      </w:r>
    </w:p>
    <w:p>
      <w:pPr>
        <w:pStyle w:val="BookText"/>
      </w:pPr>
      <w:r>
        <w:rPr>
          <w:rFonts w:ascii="IRNazanin" w:hAnsi="IRNazanin" w:eastAsia="IRNazanin" w:cs="IRNazanin"/>
          <w:lang w:bidi="fa-IR"/>
          <w:color w:val="111111"/>
          <w:sz w:val="28"/>
          <w:szCs w:val="28"/>
          <w:rtl/>
        </w:rPr>
        <w:t xml:space="preserve">2.مشهد؛ الهیات؛ شماره نسخه: ۲۳۷۱۵/۳
</w:t>
      </w:r>
    </w:p>
    <w:p>
      <w:pPr>
        <w:sectPr>
          <w:footerReference w:type="default" r:id="rId991"/>
          <w:footnotePr>
            <w:numStart w:val="1"/>
            <w:numRestart w:val="eachPage"/>
          </w:footnotePr>
          <w:pgSz w:orient="portrait" w:w="11905.511811023622" w:h="16837.79527559055"/>
          <w:pgMar w:top="1440" w:right="1440" w:bottom="1440" w:left="1440" w:header="720" w:footer="720" w:gutter="0"/>
          <w:cols w:num="1" w:space="720"/>
        </w:sectPr>
      </w:pPr>
    </w:p>
    <w:bookmarkStart w:id="438" w:name="pg20365_260927"/>
    <w:bookmarkEnd w:id="438"/>
    <w:p>
      <w:pPr>
        <w:pStyle w:val="BookText"/>
      </w:pPr>
      <w:r>
        <w:rPr>
          <w:rFonts w:ascii="Amiri" w:hAnsi="Amiri" w:eastAsia="Amiri" w:cs="Amiri"/>
          <w:lang w:bidi="ar-SA"/>
          <w:color w:val="111111"/>
          <w:sz w:val="28"/>
          <w:szCs w:val="28"/>
          <w:rtl/>
        </w:rPr>
        <w:t xml:space="preserve">آغاز: بسمله نبذة من رايقات الاشعار فى مدايح النبى و آله الاطهار عليه عليهم صلوات الله الملك الغفار مدى الاوقات و الاعصـار جمعها السيد الاجل والسند السامى المحل السيد محمد المقتول المظلوم السيد معصوم الموسوى على ترتيب حروف الهجاء. قافية الالف</w:t>
      </w:r>
    </w:p>
    <w:p>
      <w:pPr>
        <w:pStyle w:val="BookText"/>
      </w:pPr>
      <w:r>
        <w:rPr>
          <w:rFonts w:ascii="IRNazanin" w:hAnsi="IRNazanin" w:eastAsia="IRNazanin" w:cs="IRNazanin"/>
          <w:lang w:bidi="fa-IR"/>
          <w:color w:val="111111"/>
          <w:sz w:val="28"/>
          <w:szCs w:val="28"/>
          <w:rtl/>
        </w:rPr>
        <w:t xml:space="preserve">خط: نسخ، بی کا، تا: قرن ۱۴؛ محشی منقول از تحفة الرضويه ملا نوروز على بسطامی؛ کاغذ: فرنگی؛ جلد: تیماج عنابی لایه ای، ۲۹گ (۴۶-۱۸)، ۱۸ سطر (۸/۵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۳- ۹۷۷]</w:t>
      </w:r>
    </w:p>
    <w:p>
      <w:pPr>
        <w:pStyle w:val="Heading3"/>
      </w:pPr>
      <w:bookmarkStart w:id="2006" w:name="_Toc1528"/>
      <w:r>
        <w:t>اشعار (گردآوری) / شعر / فارسی</w:t>
      </w:r>
      <w:bookmarkEnd w:id="2006"/>
    </w:p>
    <w:p>
      <w:pPr>
        <w:pStyle w:val="BookText"/>
      </w:pPr>
      <w:r>
        <w:rPr>
          <w:rFonts w:ascii="Times New Roman" w:hAnsi="Times New Roman" w:eastAsia="Times New Roman" w:cs="Times New Roman"/>
          <w:lang w:val="en-US" w:bidi="en-US"/>
          <w:color w:val="111111"/>
          <w:sz w:val="28"/>
          <w:szCs w:val="28"/>
          <w:rtl/>
        </w:rPr>
        <w:t xml:space="preserve">(aš‘ār (gerdāvarī)</w:t>
      </w:r>
    </w:p>
    <w:p>
      <w:pPr>
        <w:pStyle w:val="BookText"/>
      </w:pPr>
      <w:r>
        <w:rPr>
          <w:rFonts w:ascii="IRNazanin" w:hAnsi="IRNazanin" w:eastAsia="IRNazanin" w:cs="IRNazanin"/>
          <w:lang w:bidi="fa-IR"/>
          <w:color w:val="111111"/>
          <w:sz w:val="28"/>
          <w:szCs w:val="28"/>
          <w:rtl/>
        </w:rPr>
        <w:t xml:space="preserve">حسینی، جواد بن وهاب</w:t>
      </w:r>
    </w:p>
    <w:p>
      <w:pPr>
        <w:pStyle w:val="BookText"/>
      </w:pPr>
      <w:r>
        <w:rPr>
          <w:rFonts w:ascii="Times New Roman" w:hAnsi="Times New Roman" w:eastAsia="Times New Roman" w:cs="Times New Roman"/>
          <w:lang w:val="en-US" w:bidi="en-US"/>
          <w:color w:val="111111"/>
          <w:sz w:val="28"/>
          <w:szCs w:val="28"/>
          <w:rtl/>
        </w:rPr>
        <w:t xml:space="preserve">hoseynī, javād ebn-e vahhāb</w:t>
      </w:r>
    </w:p>
    <w:p>
      <w:pPr>
        <w:pStyle w:val="BookText"/>
      </w:pPr>
      <w:r>
        <w:rPr>
          <w:rFonts w:ascii="IRNazanin" w:hAnsi="IRNazanin" w:eastAsia="IRNazanin" w:cs="IRNazanin"/>
          <w:lang w:bidi="fa-IR"/>
          <w:color w:val="111111"/>
          <w:sz w:val="28"/>
          <w:szCs w:val="28"/>
          <w:rtl/>
        </w:rPr>
        <w:t xml:space="preserve">مشهد؛ رضوی؛ شماره نسخه: ۱۹۰۱۴</w:t>
      </w:r>
    </w:p>
    <w:p>
      <w:pPr>
        <w:pStyle w:val="BookText"/>
      </w:pPr>
      <w:r>
        <w:rPr>
          <w:rFonts w:ascii="IRNazanin" w:hAnsi="IRNazanin" w:eastAsia="IRNazanin" w:cs="IRNazanin"/>
          <w:lang w:bidi="fa-IR"/>
          <w:color w:val="111111"/>
          <w:sz w:val="28"/>
          <w:szCs w:val="28"/>
          <w:rtl/>
        </w:rPr>
        <w:t xml:space="preserve">آغاز: هر که از من بخواهد این دفتر یا بد زدد به عادت منکر؛</w:t>
      </w:r>
    </w:p>
    <w:p>
      <w:pPr>
        <w:pStyle w:val="BookText"/>
      </w:pPr>
      <w:r>
        <w:rPr>
          <w:rFonts w:ascii="IRNazanin" w:hAnsi="IRNazanin" w:eastAsia="IRNazanin" w:cs="IRNazanin"/>
          <w:lang w:bidi="fa-IR"/>
          <w:color w:val="111111"/>
          <w:sz w:val="28"/>
          <w:szCs w:val="28"/>
          <w:rtl/>
        </w:rPr>
        <w:t xml:space="preserve">انجام: قاصد رسید و نامه رسید و پیام هم در حیرتم که جان به کامش کنم نثار</w:t>
      </w:r>
    </w:p>
    <w:p>
      <w:pPr>
        <w:pStyle w:val="BookText"/>
      </w:pPr>
      <w:r>
        <w:rPr>
          <w:rFonts w:ascii="IRNazanin" w:hAnsi="IRNazanin" w:eastAsia="IRNazanin" w:cs="IRNazanin"/>
          <w:lang w:bidi="fa-IR"/>
          <w:color w:val="111111"/>
          <w:sz w:val="28"/>
          <w:szCs w:val="28"/>
          <w:rtl/>
        </w:rPr>
        <w:t xml:space="preserve">جنگ اشعار؛ خط: نستعلیق تحریری، بی کا، تا: ۱۲۹۷ق؛ جـلد: تیماج [رایانه]</w:t>
      </w:r>
    </w:p>
    <w:p>
      <w:pPr>
        <w:pStyle w:val="Heading3"/>
      </w:pPr>
      <w:bookmarkStart w:id="2007" w:name="_Toc1529"/>
      <w:r>
        <w:t>اشعار (گردآوری) / شعر / عربی</w:t>
      </w:r>
      <w:bookmarkEnd w:id="2007"/>
    </w:p>
    <w:p>
      <w:pPr>
        <w:pStyle w:val="BookText"/>
      </w:pPr>
      <w:r>
        <w:rPr>
          <w:rFonts w:ascii="Times New Roman" w:hAnsi="Times New Roman" w:eastAsia="Times New Roman" w:cs="Times New Roman"/>
          <w:lang w:val="en-US" w:bidi="en-US"/>
          <w:color w:val="111111"/>
          <w:sz w:val="28"/>
          <w:szCs w:val="28"/>
          <w:rtl/>
        </w:rPr>
        <w:t xml:space="preserve">(aš‘ār (gerdāvarī)</w:t>
      </w:r>
    </w:p>
    <w:p>
      <w:pPr>
        <w:pStyle w:val="BookText"/>
      </w:pPr>
      <w:r>
        <w:rPr>
          <w:rFonts w:ascii="IRNazanin" w:hAnsi="IRNazanin" w:eastAsia="IRNazanin" w:cs="IRNazanin"/>
          <w:lang w:bidi="fa-IR"/>
          <w:color w:val="111111"/>
          <w:sz w:val="28"/>
          <w:szCs w:val="28"/>
          <w:rtl/>
        </w:rPr>
        <w:t xml:space="preserve">سید محمد علی بن سید معصوم</w:t>
      </w:r>
    </w:p>
    <w:p>
      <w:pPr>
        <w:pStyle w:val="BookText"/>
      </w:pPr>
      <w:r>
        <w:rPr>
          <w:rFonts w:ascii="Times New Roman" w:hAnsi="Times New Roman" w:eastAsia="Times New Roman" w:cs="Times New Roman"/>
          <w:lang w:val="en-US" w:bidi="en-US"/>
          <w:color w:val="111111"/>
          <w:sz w:val="28"/>
          <w:szCs w:val="28"/>
          <w:rtl/>
        </w:rPr>
        <w:t xml:space="preserve">seyyed mohammad ‘alī ebn-e seyyed ma‘sūm</w:t>
      </w:r>
    </w:p>
    <w:p>
      <w:pPr>
        <w:pStyle w:val="BookText"/>
      </w:pPr>
      <w:r>
        <w:rPr>
          <w:rFonts w:ascii="IRNazanin" w:hAnsi="IRNazanin" w:eastAsia="IRNazanin" w:cs="IRNazanin"/>
          <w:lang w:bidi="fa-IR"/>
          <w:color w:val="111111"/>
          <w:sz w:val="28"/>
          <w:szCs w:val="28"/>
          <w:rtl/>
        </w:rPr>
        <w:t xml:space="preserve">تبریز؛ ملی؛ شماره نسخه: ۲۶۱۸/۲</w:t>
      </w:r>
    </w:p>
    <w:p>
      <w:pPr>
        <w:pStyle w:val="BookText"/>
      </w:pPr>
      <w:r>
        <w:rPr>
          <w:rFonts w:ascii="IRNazanin" w:hAnsi="IRNazanin" w:eastAsia="IRNazanin" w:cs="IRNazanin"/>
          <w:lang w:bidi="fa-IR"/>
          <w:color w:val="111111"/>
          <w:sz w:val="28"/>
          <w:szCs w:val="28"/>
          <w:rtl/>
        </w:rPr>
        <w:t xml:space="preserve">آغاز: الحمد لله رب العالمين والصلوه و السلام على خير خـلقه محمد وآل  الطاهرين و لعنه الله على ظالميهم ... اما بعد: فيقول الفقير الى الله تع الغنى محمد بن المقتول المظلوم السيد معصـوم الموسوی؛ انجام: ما يصنع المرء بعز الغنى و العز كل العز للمتقى</w:t>
      </w:r>
    </w:p>
    <w:p>
      <w:pPr>
        <w:pStyle w:val="BookText"/>
      </w:pPr>
      <w:r>
        <w:rPr>
          <w:rFonts w:ascii="IRNazanin" w:hAnsi="IRNazanin" w:eastAsia="IRNazanin" w:cs="IRNazanin"/>
          <w:lang w:bidi="fa-IR"/>
          <w:color w:val="111111"/>
          <w:sz w:val="28"/>
          <w:szCs w:val="28"/>
          <w:rtl/>
        </w:rPr>
        <w:t xml:space="preserve">قصایدی در مدح آل بیت نبی که سید محمد علی بن سید معصـوم از شعرای متفرقه جمع آوری نموده است: ۱- سه قطعه از حضرت اميرالمومنین علی (علیه السّلام) ،۲- از بوصیری، ۳- از یزید و عمر عاص ومعويه عليهم اللعنه، ۴ -دو قطعه از شافعی، ۵- از شیخ محمد رضا نجفی، ۶- از سید سجاد، 7-دو قطعه از سید صادق فهام ،۸-دو قصیده و ابیاتی از ملامحمد کاظم  ازری، ۹- از سیدشریف، ۱۰- صفی، ۱۱- دو قطعه ازحضرت باقر (علیه السّلام)، ۱۲- چند تخمیس از برسی و ابن سبع و شیخ محمد رضا، ۱۳- از خلیعی، ۱۴- دو قطعه از قصیفی، ۱۵- دو قطعه از صاحب بن عباد، ۱۶- دو قطعه از سید محمد صفر، ۱۷- از ابونواس، ۱۸- از علی اعجم ،۱۹- از قطبی بابی، ۲۰- دو قطعه از ابي العتاهية، ۲۱ - دو قصیده از حمیری، 2۲ -از حضرت زهرا و حسین (علیه السّلام) ، ۲۳- از ابن الجوزی، ۲۴- از فرزدوق،۲۵- از محمد بن سید معصوم جامع  نسخه، ۲۶-تخمیس سید شریف، ۲۷- از شیخ محمد اعصم دو قطعه، ۲۸- از شیخ محمد رضا نحوی ،۲۹- از زمخشری، ۳۰- از مفصل، ۳۱- از شیخ هادی نحوی، ۳۲- از ابی الفتح، ۳۳- سی و نه قطعه از شعرای بی نام؛</w:t>
      </w:r>
    </w:p>
    <w:p>
      <w:pPr>
        <w:pStyle w:val="BookText"/>
      </w:pPr>
      <w:r>
        <w:rPr>
          <w:rFonts w:ascii="IRNazanin" w:hAnsi="IRNazanin" w:eastAsia="IRNazanin" w:cs="IRNazanin"/>
          <w:lang w:bidi="fa-IR"/>
          <w:color w:val="111111"/>
          <w:sz w:val="28"/>
          <w:szCs w:val="28"/>
          <w:rtl/>
        </w:rPr>
        <w:t xml:space="preserve">خط: نسخ، كا: زين العابدین بن آخوند ملا محمد علی سروی، تا: ۱۲۶۰ق؛ با شرح سبع علويات ابن الحديد در یک مجلد است؛ کاغذ: فرنگی ،جلد: چرمی ضربی، ۱۳۸ ص (2+ 74+ 62)، 17سطر،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۳ - ۱۰۳۳]</w:t>
      </w:r>
    </w:p>
    <w:p>
      <w:pPr>
        <w:pStyle w:val="Heading3"/>
      </w:pPr>
      <w:bookmarkStart w:id="2008" w:name="_Toc1530"/>
      <w:r>
        <w:t>اشعار (گردآوری) / شعر / فارسی</w:t>
      </w:r>
      <w:bookmarkEnd w:id="2008"/>
    </w:p>
    <w:p>
      <w:pPr>
        <w:pStyle w:val="BookText"/>
      </w:pPr>
      <w:r>
        <w:rPr>
          <w:rFonts w:ascii="Times New Roman" w:hAnsi="Times New Roman" w:eastAsia="Times New Roman" w:cs="Times New Roman"/>
          <w:lang w:val="en-US" w:bidi="en-US"/>
          <w:color w:val="111111"/>
          <w:sz w:val="28"/>
          <w:szCs w:val="28"/>
          <w:rtl/>
        </w:rPr>
        <w:t xml:space="preserve">(aš ār (gerdāvarī)</w:t>
      </w:r>
    </w:p>
    <w:p>
      <w:pPr>
        <w:pStyle w:val="BookText"/>
      </w:pPr>
      <w:r>
        <w:rPr>
          <w:rFonts w:ascii="IRNazanin" w:hAnsi="IRNazanin" w:eastAsia="IRNazanin" w:cs="IRNazanin"/>
          <w:lang w:bidi="fa-IR"/>
          <w:color w:val="111111"/>
          <w:sz w:val="28"/>
          <w:szCs w:val="28"/>
          <w:rtl/>
        </w:rPr>
        <w:t xml:space="preserve">ایاز ،محمد علی، ق ۱۳ قمری</w:t>
      </w:r>
    </w:p>
    <w:p>
      <w:pPr>
        <w:pStyle w:val="BookText"/>
      </w:pPr>
      <w:r>
        <w:rPr>
          <w:rFonts w:ascii="Times New Roman" w:hAnsi="Times New Roman" w:eastAsia="Times New Roman" w:cs="Times New Roman"/>
          <w:lang w:val="en-US" w:bidi="en-US"/>
          <w:color w:val="111111"/>
          <w:sz w:val="28"/>
          <w:szCs w:val="28"/>
          <w:rtl/>
        </w:rPr>
        <w:t xml:space="preserve">(ayyāz, mohammad ‘alī (- 19c)</w:t>
      </w:r>
    </w:p>
    <w:p>
      <w:pPr>
        <w:pStyle w:val="BookText"/>
      </w:pPr>
      <w:r>
        <w:rPr>
          <w:rFonts w:ascii="IRNazanin" w:hAnsi="IRNazanin" w:eastAsia="IRNazanin" w:cs="IRNazanin"/>
          <w:lang w:bidi="fa-IR"/>
          <w:color w:val="111111"/>
          <w:sz w:val="28"/>
          <w:szCs w:val="28"/>
          <w:rtl/>
        </w:rPr>
        <w:t xml:space="preserve">زمان جمع آوری: ۱۲۵۶ق</w:t>
      </w:r>
    </w:p>
    <w:p>
      <w:pPr>
        <w:pStyle w:val="BookText"/>
      </w:pPr>
      <w:r>
        <w:rPr>
          <w:rFonts w:ascii="IRNazanin" w:hAnsi="IRNazanin" w:eastAsia="IRNazanin" w:cs="IRNazanin"/>
          <w:lang w:bidi="fa-IR"/>
          <w:color w:val="111111"/>
          <w:sz w:val="28"/>
          <w:szCs w:val="28"/>
          <w:rtl/>
        </w:rPr>
        <w:t xml:space="preserve">اشعار معروف عربی بدین شرح آمده است: قصيده لامیه امرؤ القيس (قفانبک؛ شرح قصیده ای دیگر از سبعه معلقه؛ مراثی شیخ احمد بحرینی؛ لامیه طغرائي؛ قصيده حسين بن منصور حلاج ؛قصیده طبیب اصفهانی؛ خطبه بی نقطه ای.</w:t>
      </w:r>
    </w:p>
    <w:p>
      <w:pPr>
        <w:pStyle w:val="BookText"/>
      </w:pPr>
      <w:r>
        <w:rPr>
          <w:rFonts w:ascii="IRNazanin" w:hAnsi="IRNazanin" w:eastAsia="IRNazanin" w:cs="IRNazanin"/>
          <w:lang w:bidi="fa-IR"/>
          <w:color w:val="111111"/>
          <w:sz w:val="28"/>
          <w:szCs w:val="28"/>
          <w:rtl/>
        </w:rPr>
        <w:t xml:space="preserve">تهران؛ ملی؛ شماره نسخه: ۲۱۶۲/۴</w:t>
      </w:r>
    </w:p>
    <w:p>
      <w:pPr>
        <w:pStyle w:val="BookText"/>
      </w:pPr>
      <w:r>
        <w:rPr>
          <w:rFonts w:ascii="IRNazanin" w:hAnsi="IRNazanin" w:eastAsia="IRNazanin" w:cs="IRNazanin"/>
          <w:lang w:bidi="fa-IR"/>
          <w:color w:val="111111"/>
          <w:sz w:val="28"/>
          <w:szCs w:val="28"/>
          <w:rtl/>
        </w:rPr>
        <w:t xml:space="preserve">آغاز: بسمله، حمداً و شكراً لمن اعطى كل شيىء خلقه والصلوة و السلام على محمد نبيه و علی ولیه و آلهم انباء الدين؛ انجام: عم كرمكم وهم حرمكم حمدالله وصلوة لمحمد و اله و السلام</w:t>
      </w:r>
    </w:p>
    <w:p>
      <w:pPr>
        <w:pStyle w:val="BookText"/>
      </w:pPr>
      <w:r>
        <w:rPr>
          <w:rFonts w:ascii="IRNazanin" w:hAnsi="IRNazanin" w:eastAsia="IRNazanin" w:cs="IRNazanin"/>
          <w:lang w:bidi="fa-IR"/>
          <w:color w:val="111111"/>
          <w:sz w:val="28"/>
          <w:szCs w:val="28"/>
          <w:rtl/>
        </w:rPr>
        <w:t xml:space="preserve">خط: نستعلیق، کا: میرزا محمد علی فاضل ادیب پسر مرحوم ملا صالح مدرس تبریزی، تا: ۱۲۵۶ق ،جا: محتملاً تبریز؛ كاغذ: فرنگی،جلد: تیماج مشکی یک لا، ۶۷ ص (۱۳۷-۲۰۳)، ۱۹ سطر (۸/۵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۵ - ۲۲۲]</w:t>
      </w:r>
    </w:p>
    <w:p>
      <w:pPr>
        <w:pStyle w:val="Heading3"/>
      </w:pPr>
      <w:bookmarkStart w:id="2009" w:name="_Toc1531"/>
      <w:r>
        <w:t>اشعار / شعر / عربی و فارسی</w:t>
      </w:r>
      <w:bookmarkEnd w:id="2009"/>
    </w:p>
    <w:p>
      <w:pPr>
        <w:pStyle w:val="BookText"/>
      </w:pPr>
      <w:r>
        <w:rPr>
          <w:rFonts w:ascii="Times New Roman" w:hAnsi="Times New Roman" w:eastAsia="Times New Roman" w:cs="Times New Roman"/>
          <w:lang w:val="en-US" w:bidi="en-US"/>
          <w:color w:val="111111"/>
          <w:sz w:val="28"/>
          <w:szCs w:val="28"/>
          <w:rtl/>
        </w:rPr>
        <w:t xml:space="preserve">aš‘ār</w:t>
      </w:r>
    </w:p>
    <w:p>
      <w:pPr>
        <w:pStyle w:val="BookText"/>
      </w:pPr>
      <w:r>
        <w:rPr>
          <w:rFonts w:ascii="IRNazanin" w:hAnsi="IRNazanin" w:eastAsia="IRNazanin" w:cs="IRNazanin"/>
          <w:lang w:bidi="fa-IR"/>
          <w:color w:val="111111"/>
          <w:sz w:val="28"/>
          <w:szCs w:val="28"/>
          <w:rtl/>
        </w:rPr>
        <w:t xml:space="preserve">جاجرمی، نصر الله بن ابوالحسن، ق۱۳ قمری</w:t>
      </w:r>
    </w:p>
    <w:p>
      <w:pPr>
        <w:pStyle w:val="BookText"/>
      </w:pPr>
      <w:r>
        <w:rPr>
          <w:rFonts w:ascii="Times New Roman" w:hAnsi="Times New Roman" w:eastAsia="Times New Roman" w:cs="Times New Roman"/>
          <w:lang w:val="en-US" w:bidi="en-US"/>
          <w:color w:val="111111"/>
          <w:sz w:val="28"/>
          <w:szCs w:val="28"/>
          <w:rtl/>
        </w:rPr>
        <w:t xml:space="preserve">(jājarmī, nasr-ol-lah ebn-e ab-ol-hasan (- 19c)</w:t>
      </w:r>
    </w:p>
    <w:p>
      <w:pPr>
        <w:pStyle w:val="BookText"/>
      </w:pPr>
      <w:r>
        <w:rPr>
          <w:rFonts w:ascii="IRNazanin" w:hAnsi="IRNazanin" w:eastAsia="IRNazanin" w:cs="IRNazanin"/>
          <w:lang w:bidi="fa-IR"/>
          <w:color w:val="111111"/>
          <w:sz w:val="28"/>
          <w:szCs w:val="28"/>
          <w:rtl/>
        </w:rPr>
        <w:t xml:space="preserve">گرد آورنده این قصاید که خود کاتب این نسخه نیز هست، در دیباچه آورده که «کمال البلاغه» راحسب امر حسام السلطنه امير سلطان مراد کتابت کرده و در پایان نسخه قصیده شافیه ابوفراس حمدانی، که در پاسخ به عبدالله بن معتز ناصبی عباسی سروده، آورده و نیز قصیده معروف فرزدق در مدح امام زین العابدین و ترجمه فارسی آن از جامی را در اینجا درج کرده است. سپس ابوفراس و شمه ای از شرح احوال او را در اینجا آورده است.</w:t>
      </w:r>
    </w:p>
    <w:p>
      <w:pPr>
        <w:pStyle w:val="BookText"/>
      </w:pPr>
      <w:r>
        <w:rPr>
          <w:rFonts w:ascii="IRNazanin" w:hAnsi="IRNazanin" w:eastAsia="IRNazanin" w:cs="IRNazanin"/>
          <w:lang w:bidi="fa-IR"/>
          <w:color w:val="111111"/>
          <w:sz w:val="28"/>
          <w:szCs w:val="28"/>
          <w:rtl/>
        </w:rPr>
        <w:t xml:space="preserve">پس از آن مجموعه قصاید و اشعاری است از جمال الدین ابوالحسن علی بن عبدالله بن علی (ص۱۸۶-۱۹۲)، قصاید و اشعاری از ابوالقاسم على بن حسين بن ابی الطبیب با خرزی در مدح شمس الكفاة حسين بن على بن اسحق و دیگران (ص192-
</w:t>
      </w:r>
    </w:p>
    <w:p>
      <w:pPr>
        <w:sectPr>
          <w:footerReference w:type="default" r:id="rId992"/>
          <w:footnotePr>
            <w:numStart w:val="1"/>
            <w:numRestart w:val="eachPage"/>
          </w:footnotePr>
          <w:pgSz w:orient="portrait" w:w="11905.511811023622" w:h="16837.79527559055"/>
          <w:pgMar w:top="1440" w:right="1440" w:bottom="1440" w:left="1440" w:header="720" w:footer="720" w:gutter="0"/>
          <w:cols w:num="1" w:space="720"/>
        </w:sectPr>
      </w:pPr>
    </w:p>
    <w:bookmarkStart w:id="439" w:name="pg20365_260928"/>
    <w:bookmarkEnd w:id="439"/>
    <w:p>
      <w:pPr>
        <w:pStyle w:val="BookText"/>
      </w:pPr>
      <w:r>
        <w:rPr>
          <w:rFonts w:ascii="IRNazanin" w:hAnsi="IRNazanin" w:eastAsia="IRNazanin" w:cs="IRNazanin"/>
          <w:lang w:bidi="fa-IR"/>
          <w:color w:val="111111"/>
          <w:sz w:val="28"/>
          <w:szCs w:val="28"/>
          <w:rtl/>
        </w:rPr>
        <w:t xml:space="preserve">222)،اشعاری از قاضی ابوبکر عبدالله بن محمد جعفر لاسكـی، خسرو فيروز بن ركن الدوله، ابوالقاسم قشیرى، شمس الدین دهستانی، مسعود بن سعد بن سلمان حلاج ابو شرف جرفادقانی مترجم کتاب الیمینی ،متنبی، قاضی ارجانی و دیگران.</w:t>
      </w:r>
    </w:p>
    <w:p>
      <w:pPr>
        <w:pStyle w:val="BookText"/>
      </w:pPr>
      <w:r>
        <w:rPr>
          <w:rFonts w:ascii="IRNazanin" w:hAnsi="IRNazanin" w:eastAsia="IRNazanin" w:cs="IRNazanin"/>
          <w:lang w:bidi="fa-IR"/>
          <w:color w:val="111111"/>
          <w:sz w:val="28"/>
          <w:szCs w:val="28"/>
          <w:rtl/>
        </w:rPr>
        <w:t xml:space="preserve">تهران؛ مجلس؛ شماره نسخه: ۹۳۲/۲ط</w:t>
      </w:r>
    </w:p>
    <w:p>
      <w:pPr>
        <w:pStyle w:val="BookText"/>
      </w:pPr>
      <w:r>
        <w:rPr>
          <w:rFonts w:ascii="IRNazanin" w:hAnsi="IRNazanin" w:eastAsia="IRNazanin" w:cs="IRNazanin"/>
          <w:lang w:bidi="fa-IR"/>
          <w:color w:val="111111"/>
          <w:sz w:val="28"/>
          <w:szCs w:val="28"/>
          <w:rtl/>
        </w:rPr>
        <w:t xml:space="preserve">آغاز: بسمله. و لا حول و لا قوة الا بالله... و بعد يقول العبد ...ابن ابى الحسن الجاجرمى نصر الله ... انه وقع الاشارة؛ انجام: تعلق لا محالة بالقياس. خط: نسخ و نستعلیق زیبا ،کا: نصر الله بن ابى الحسن جاجرم، تا:قرن ۱۳؛ مصحح؛ جلد: تیماج قهوه ای ضربی، ۷۷ ص( 172- 248)، ۱۸ سطر، اندازه: ۱۴</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۲۳سم [ف: ۲۴/۳ - ۳۰]</w:t>
      </w:r>
    </w:p>
    <w:p>
      <w:pPr>
        <w:pStyle w:val="Heading3"/>
      </w:pPr>
      <w:bookmarkStart w:id="2010" w:name="_Toc1532"/>
      <w:r>
        <w:t>اشعار (گردآوری) / شعر / فارسی</w:t>
      </w:r>
      <w:bookmarkEnd w:id="2010"/>
    </w:p>
    <w:p>
      <w:pPr>
        <w:pStyle w:val="BookText"/>
      </w:pPr>
      <w:r>
        <w:rPr>
          <w:rFonts w:ascii="Times New Roman" w:hAnsi="Times New Roman" w:eastAsia="Times New Roman" w:cs="Times New Roman"/>
          <w:lang w:val="en-US" w:bidi="en-US"/>
          <w:color w:val="111111"/>
          <w:sz w:val="28"/>
          <w:szCs w:val="28"/>
          <w:rtl/>
        </w:rPr>
        <w:t xml:space="preserve">(aš‘ār (gerdāvarī)</w:t>
      </w:r>
    </w:p>
    <w:p>
      <w:pPr>
        <w:pStyle w:val="BookText"/>
      </w:pPr>
      <w:r>
        <w:rPr>
          <w:rFonts w:ascii="IRNazanin" w:hAnsi="IRNazanin" w:eastAsia="IRNazanin" w:cs="IRNazanin"/>
          <w:lang w:bidi="fa-IR"/>
          <w:color w:val="111111"/>
          <w:sz w:val="28"/>
          <w:szCs w:val="28"/>
          <w:rtl/>
        </w:rPr>
        <w:t xml:space="preserve">تفرشی، هادی، ق۱۳ قمری</w:t>
      </w:r>
    </w:p>
    <w:p>
      <w:pPr>
        <w:pStyle w:val="BookText"/>
      </w:pPr>
      <w:r>
        <w:rPr>
          <w:rFonts w:ascii="Times New Roman" w:hAnsi="Times New Roman" w:eastAsia="Times New Roman" w:cs="Times New Roman"/>
          <w:lang w:val="en-US" w:bidi="en-US"/>
          <w:color w:val="111111"/>
          <w:sz w:val="28"/>
          <w:szCs w:val="28"/>
          <w:rtl/>
        </w:rPr>
        <w:t xml:space="preserve">(tafrešī, hādī (- 19c)</w:t>
      </w:r>
    </w:p>
    <w:p>
      <w:pPr>
        <w:pStyle w:val="BookText"/>
      </w:pPr>
      <w:r>
        <w:rPr>
          <w:rFonts w:ascii="IRNazanin" w:hAnsi="IRNazanin" w:eastAsia="IRNazanin" w:cs="IRNazanin"/>
          <w:lang w:bidi="fa-IR"/>
          <w:color w:val="111111"/>
          <w:sz w:val="28"/>
          <w:szCs w:val="28"/>
          <w:rtl/>
        </w:rPr>
        <w:t xml:space="preserve">مجموعه ای است ادبی که اشعار شاعران گوناگون به همـراه نثرهای ادبی را دربر دارد،آن گونه که بالای برگ نخسـت آمده، این مجموعه را مؤلف برای دبیر احتشام الدوله ساخته است. عناوین آن عبارت است از: منتخب غزلیات جلالی یزدی بافقی، غزلی از میرزا ابوالحسن یغما، قطعاتی از مشتاق اصفهانی، رباعیات مشتاق، تذکره اسحاق بیگدلی (برادر آذر بیگدلی)، قصیده ای از حکیم سنائی، رباعیات بابا طاهر، غزلیات هزل ميرزا ملا فوق الدین مشهور به فوقی، مثنوی حاج محمد كرمانی متخلص به وفا، فخریه میرزا نصیر اصفهانی (جد فرصت شیرازی)، مثنوی میرزا صادق تفرشی، تحفة العراقين فتحعلی خان صبا کاشانی ملک الشعرا،قطعه ای از ابوالحسن یغما، خلد برین از وحشی بافقی، دوازده بند میرزا نصر الله شهاب تـاج الشعرا، مدح ابراهیم میرزا از میرزا نصر الله شهاب تاج الشعـرا، قصیده ای از جواد نجم همدانی برای احتشام السلطنة، هفت عـقبه میرزا شكر الله تفرشی، چند قطعه هجو از میرزا شکر الله تفرشی، اشعاری از میرزا محمد جعفر متخلص به اسیر، قطعاتی از شعرای نامی، هجوی درباره صدر، سوز و گداز نوعی، اشعاری از طاهری، گل کشتی میرنجات، دوازده بند مشتاق، مرثیه ملا محتشم جهت برادر خود، قطعه ای از میرزا ابو طالب ،اشعاری از میرزا محسن قمر، اشعاری از ذبیح، اسامی شهرهای هفت اقلیم، فرهاد و شیرین وحشی بافقی، منتخب مثنوی  مولوی، مناجات نامه خواجه عبدالله انصاری، حکایاتی از انوار سهیلی، حکایات از جامع الحکایات، گزیده ای از گلستان و بوستان سعدی، غزلیات حافظ، منتخب غزلیات محتشم کاشانی، چند غزل از شجاع السلطنة متخلص به شکسته، منتخب غزلیات هاتف، منتخب غزلیات میرسید علی مشتاق، مطايبات، كلمات قصـار،اشعاری از نظامی، قطعاتی از طراز ،رباعیات، تحفة العراقين صبا در هجو میرزا رحیم نامی، ساقی نامه، قطعاتی از هادی تفرشی، قطعه ای از میرزا محمد اشرف عامری، ترکیب بند ضیاء اصفهانی، مخمس وحشی بافقی، هجو نامه، ترجیع بند هاتف و شیر و شکر شیخ بهائی.</w:t>
      </w:r>
    </w:p>
    <w:p>
      <w:pPr>
        <w:pStyle w:val="BookText"/>
      </w:pPr>
      <w:r>
        <w:rPr>
          <w:rFonts w:ascii="IRNazanin" w:hAnsi="IRNazanin" w:eastAsia="IRNazanin" w:cs="IRNazanin"/>
          <w:lang w:bidi="fa-IR"/>
          <w:color w:val="111111"/>
          <w:sz w:val="28"/>
          <w:szCs w:val="28"/>
          <w:rtl/>
        </w:rPr>
        <w:t xml:space="preserve">قم؛ مرعشی؛ شماره نسخه: ۱۴۸۷۱/۱</w:t>
      </w:r>
    </w:p>
    <w:p>
      <w:pPr>
        <w:pStyle w:val="BookText"/>
      </w:pPr>
      <w:r>
        <w:rPr>
          <w:rFonts w:ascii="IRNazanin" w:hAnsi="IRNazanin" w:eastAsia="IRNazanin" w:cs="IRNazanin"/>
          <w:lang w:bidi="fa-IR"/>
          <w:color w:val="111111"/>
          <w:sz w:val="28"/>
          <w:szCs w:val="28"/>
          <w:rtl/>
        </w:rPr>
        <w:t xml:space="preserve">آغاز: که قصد جان زار من کند از مهربانیها *** خلاص سازد از دست غم این زندگانیها / چه حالیست که هر چند از تو بی مهری فرمن بینم *** فزونتر با تو میل شود در مهربانیها؛ انجام: خطی ز صداقت ایشان ده*** توفیق رفاقت ایشان ده / پیوسته خجسته پایش کن *** مقبول خاص و عامش کن</w:t>
      </w:r>
    </w:p>
    <w:p>
      <w:pPr>
        <w:pStyle w:val="BookText"/>
      </w:pPr>
      <w:r>
        <w:rPr>
          <w:rFonts w:ascii="IRNazanin" w:hAnsi="IRNazanin" w:eastAsia="IRNazanin" w:cs="IRNazanin"/>
          <w:lang w:bidi="fa-IR"/>
          <w:color w:val="111111"/>
          <w:sz w:val="28"/>
          <w:szCs w:val="28"/>
          <w:rtl/>
        </w:rPr>
        <w:t xml:space="preserve">خط: شکسته نستعلیق، بی کا، تا: حدود قرن ۱۳؛ تملک: احتشام الدوله با مهر بیضی وی؛ مهر : «مما انعم الله على عبده مرتضى موسوی»؛ کاغذ: فرنگی ،جلد: مشمع قهوه ای، عطف و گوشه ها تیماج قهوه ای، ۲۴۵گ، سطور چلیپا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۲۸سم[ ف: ۳۷ - ۴۸۶]</w:t>
      </w:r>
    </w:p>
    <w:p>
      <w:pPr>
        <w:pStyle w:val="Heading3"/>
      </w:pPr>
      <w:bookmarkStart w:id="2011" w:name="_Toc1533"/>
      <w:r>
        <w:t>اشعار (گردآوری) / شعر / فارسی</w:t>
      </w:r>
      <w:bookmarkEnd w:id="2011"/>
    </w:p>
    <w:p>
      <w:pPr>
        <w:pStyle w:val="BookText"/>
      </w:pPr>
      <w:r>
        <w:rPr>
          <w:rFonts w:ascii="Times New Roman" w:hAnsi="Times New Roman" w:eastAsia="Times New Roman" w:cs="Times New Roman"/>
          <w:lang w:val="en-US" w:bidi="en-US"/>
          <w:color w:val="111111"/>
          <w:sz w:val="28"/>
          <w:szCs w:val="28"/>
          <w:rtl/>
        </w:rPr>
        <w:t xml:space="preserve">(aš ār (gerdāvarī)</w:t>
      </w:r>
    </w:p>
    <w:p>
      <w:pPr>
        <w:pStyle w:val="BookText"/>
      </w:pPr>
      <w:r>
        <w:rPr>
          <w:rFonts w:ascii="IRNazanin" w:hAnsi="IRNazanin" w:eastAsia="IRNazanin" w:cs="IRNazanin"/>
          <w:lang w:bidi="fa-IR"/>
          <w:color w:val="111111"/>
          <w:sz w:val="28"/>
          <w:szCs w:val="28"/>
          <w:rtl/>
        </w:rPr>
        <w:t xml:space="preserve">جیلانی، ابوالقاسم بن عبدالله، ق۱۳ قمری</w:t>
      </w:r>
    </w:p>
    <w:p>
      <w:pPr>
        <w:pStyle w:val="BookText"/>
      </w:pPr>
      <w:r>
        <w:rPr>
          <w:rFonts w:ascii="Times New Roman" w:hAnsi="Times New Roman" w:eastAsia="Times New Roman" w:cs="Times New Roman"/>
          <w:lang w:val="en-US" w:bidi="en-US"/>
          <w:color w:val="111111"/>
          <w:sz w:val="28"/>
          <w:szCs w:val="28"/>
          <w:rtl/>
        </w:rPr>
        <w:t xml:space="preserve">(jīlānī, ab-ol-qāsem ebn-e 'abd-ol-lah (- 19c)</w:t>
      </w:r>
    </w:p>
    <w:p>
      <w:pPr>
        <w:pStyle w:val="BookText"/>
      </w:pPr>
      <w:r>
        <w:rPr>
          <w:rFonts w:ascii="IRNazanin" w:hAnsi="IRNazanin" w:eastAsia="IRNazanin" w:cs="IRNazanin"/>
          <w:lang w:bidi="fa-IR"/>
          <w:color w:val="111111"/>
          <w:sz w:val="28"/>
          <w:szCs w:val="28"/>
          <w:rtl/>
        </w:rPr>
        <w:t xml:space="preserve">گزیده ای است از اشعار: جامی، یغمای جندقی، میرزا حبـیب قاآنی شیرازی، احمد بن یعقوب منوچهری دامغانی شصت کله، امیر معزی، سعدی شیرازی، عنصری و ظاهراً دو قصیده از گردآورنده جنگ. این اشعار بین سال های 1274- 1275ق در قزوین لاهیجان و تهران نوشته شده است.</w:t>
      </w:r>
    </w:p>
    <w:p>
      <w:pPr>
        <w:pStyle w:val="BookText"/>
      </w:pPr>
      <w:r>
        <w:rPr>
          <w:rFonts w:ascii="IRNazanin" w:hAnsi="IRNazanin" w:eastAsia="IRNazanin" w:cs="IRNazanin"/>
          <w:lang w:bidi="fa-IR"/>
          <w:color w:val="111111"/>
          <w:sz w:val="28"/>
          <w:szCs w:val="28"/>
          <w:rtl/>
        </w:rPr>
        <w:t xml:space="preserve">قم ؛مرعشی؛ شماره نسخه: ۱۲۷۸۹/۱</w:t>
      </w:r>
    </w:p>
    <w:p>
      <w:pPr>
        <w:pStyle w:val="BookText"/>
      </w:pPr>
      <w:r>
        <w:rPr>
          <w:rFonts w:ascii="IRNazanin" w:hAnsi="IRNazanin" w:eastAsia="IRNazanin" w:cs="IRNazanin"/>
          <w:lang w:bidi="fa-IR"/>
          <w:color w:val="111111"/>
          <w:sz w:val="28"/>
          <w:szCs w:val="28"/>
          <w:rtl/>
        </w:rPr>
        <w:t xml:space="preserve">آغاز: جامی تا خم چرخ کهن باشد و جام مه نو *** بهر جامی بودم خرقه بخم خانه گرو؛ انجام: دادمش دو بوسه بر کجا بر لب تر *** لب بود نه چه بد عقیق بود همچه شکر</w:t>
      </w:r>
    </w:p>
    <w:p>
      <w:pPr>
        <w:pStyle w:val="BookText"/>
      </w:pPr>
      <w:r>
        <w:rPr>
          <w:rFonts w:ascii="IRNazanin" w:hAnsi="IRNazanin" w:eastAsia="IRNazanin" w:cs="IRNazanin"/>
          <w:lang w:bidi="fa-IR"/>
          <w:color w:val="111111"/>
          <w:sz w:val="28"/>
          <w:szCs w:val="28"/>
          <w:rtl/>
        </w:rPr>
        <w:t xml:space="preserve">خط:شکسته نستعلیق، بی کا، تا: قرن ۱۳ق؛ در برگ ۳۲ چنین آمده: «در دولت سرای خداوندگاری عالیجاه...سر کار طهماسبقلی خان در دارالسلطنه قزوین نوشته شد»، مصحح، فهرستی از نام های شاعرانی که در تذکرة الاولیای دولتشاه آمده، در سال ۱۲۷۵ق از سوی کاتب در آغاز نسخه نگاشته شده؛ مهر: كاتب «يا ابا القاسم» (بیضی) ؛کاغذ: فرنگی، ۵۰گ (۲-۵۱)، ۱۷ سطر، اندازه: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۳۲ - ۴۷۸]</w:t>
      </w:r>
    </w:p>
    <w:p>
      <w:pPr>
        <w:pStyle w:val="Heading3"/>
      </w:pPr>
      <w:bookmarkStart w:id="2012" w:name="_Toc1534"/>
      <w:r>
        <w:t>اشعار (گردآوری) / شعر / فارسی</w:t>
      </w:r>
      <w:bookmarkEnd w:id="2012"/>
    </w:p>
    <w:p>
      <w:pPr>
        <w:pStyle w:val="BookText"/>
      </w:pPr>
      <w:r>
        <w:rPr>
          <w:rFonts w:ascii="Times New Roman" w:hAnsi="Times New Roman" w:eastAsia="Times New Roman" w:cs="Times New Roman"/>
          <w:lang w:val="en-US" w:bidi="en-US"/>
          <w:color w:val="111111"/>
          <w:sz w:val="28"/>
          <w:szCs w:val="28"/>
          <w:rtl/>
        </w:rPr>
        <w:t xml:space="preserve">(aš ār (gerdāvarī)</w:t>
      </w:r>
    </w:p>
    <w:p>
      <w:pPr>
        <w:pStyle w:val="BookText"/>
      </w:pPr>
      <w:r>
        <w:rPr>
          <w:rFonts w:ascii="IRNazanin" w:hAnsi="IRNazanin" w:eastAsia="IRNazanin" w:cs="IRNazanin"/>
          <w:lang w:bidi="fa-IR"/>
          <w:color w:val="111111"/>
          <w:sz w:val="28"/>
          <w:szCs w:val="28"/>
          <w:rtl/>
        </w:rPr>
        <w:t xml:space="preserve">حسینی نیاسری، محمد حسین، ق ۱۳ قمری
</w:t>
      </w:r>
    </w:p>
    <w:p>
      <w:pPr>
        <w:sectPr>
          <w:footerReference w:type="default" r:id="rId993"/>
          <w:footnotePr>
            <w:numStart w:val="1"/>
            <w:numRestart w:val="eachPage"/>
          </w:footnotePr>
          <w:pgSz w:orient="portrait" w:w="11905.511811023622" w:h="16837.79527559055"/>
          <w:pgMar w:top="1440" w:right="1440" w:bottom="1440" w:left="1440" w:header="720" w:footer="720" w:gutter="0"/>
          <w:cols w:num="1" w:space="720"/>
        </w:sectPr>
      </w:pPr>
    </w:p>
    <w:bookmarkStart w:id="440" w:name="pg20365_260929"/>
    <w:bookmarkEnd w:id="440"/>
    <w:p>
      <w:pPr>
        <w:pStyle w:val="BookText"/>
      </w:pPr>
      <w:r>
        <w:rPr>
          <w:rFonts w:ascii="Times New Roman" w:hAnsi="Times New Roman" w:eastAsia="Times New Roman" w:cs="Times New Roman"/>
          <w:lang w:val="en-US" w:bidi="en-US"/>
          <w:color w:val="111111"/>
          <w:sz w:val="28"/>
          <w:szCs w:val="28"/>
          <w:rtl/>
        </w:rPr>
        <w:t xml:space="preserve">(hoseynī nīyāsarī, mohammad hoseyn (- 19c)</w:t>
      </w:r>
    </w:p>
    <w:p>
      <w:pPr>
        <w:pStyle w:val="BookText"/>
      </w:pPr>
      <w:r>
        <w:rPr>
          <w:rFonts w:ascii="IRNazanin" w:hAnsi="IRNazanin" w:eastAsia="IRNazanin" w:cs="IRNazanin"/>
          <w:lang w:bidi="fa-IR"/>
          <w:color w:val="111111"/>
          <w:sz w:val="28"/>
          <w:szCs w:val="28"/>
          <w:rtl/>
        </w:rPr>
        <w:t xml:space="preserve">تاريخ تأليف: جمعه ربیع الثانی ۱۲۸۶ و 1289؛ محل تألیف: اتابکه نیاسر.</w:t>
      </w:r>
    </w:p>
    <w:p>
      <w:pPr>
        <w:pStyle w:val="BookText"/>
      </w:pPr>
      <w:r>
        <w:rPr>
          <w:rFonts w:ascii="IRNazanin" w:hAnsi="IRNazanin" w:eastAsia="IRNazanin" w:cs="IRNazanin"/>
          <w:lang w:bidi="fa-IR"/>
          <w:color w:val="111111"/>
          <w:sz w:val="28"/>
          <w:szCs w:val="28"/>
          <w:rtl/>
        </w:rPr>
        <w:t xml:space="preserve">تهران؛ دانشگاه؛ شماره نسخه: ۴۴۹۸</w:t>
      </w:r>
    </w:p>
    <w:p>
      <w:pPr>
        <w:pStyle w:val="BookText"/>
      </w:pPr>
      <w:r>
        <w:rPr>
          <w:rFonts w:ascii="IRNazanin" w:hAnsi="IRNazanin" w:eastAsia="IRNazanin" w:cs="IRNazanin"/>
          <w:lang w:bidi="fa-IR"/>
          <w:color w:val="111111"/>
          <w:sz w:val="28"/>
          <w:szCs w:val="28"/>
          <w:rtl/>
        </w:rPr>
        <w:t xml:space="preserve">شامل [شماره صفحات در فهرست هست]: پاسخ شاطریه بیمار طبيب شریف، خود بیمار و طبیب شریف، مخمس زشت و زیبا، مخمس نفرین  نامه، چند مخمس دیگر و غزل و رباعی و فـرد، اشعاری از: آذر ،آگاهی ،انجم، بقا، جابر، جامی، حافظ، خرم، امیر خسرو ،زرگر ،رضائی ،سحاب، سعدی ،شائق ،شاطر، شرف ،شریف، شمس تبریزی ،شوکت ،صافی، صباحی، ضیائی،بابا طاهر، طبيب ،طرفه ،طوفان ،عاشق ،عرب ،فانی ،فیض، قصاب، مجدالدین ،مجمر ،محتشم، محمد رضا، محمد علی (میرزا) مخفی ،مشتاق، شرف همدانی ،مولوی، ناصر خسرو، نظیری ،نیازی ،وامق ،وفائی ،هاتف، هلال (ملا) ،هلالی ،همایون، یغـما ؛خط: نستعلیق، بی کا، تا: ۱۲۸۶-۱۲۸۹؛ مجدول؛ كاغذ: فرنگی رنگارنگ، جلد: تیماج عنابی ضربی، ۱۱۹گ، سطور چلیپا ،(7</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۱۰سم [ف : ۱۳ - ۳۴۴۸]</w:t>
      </w:r>
    </w:p>
    <w:p>
      <w:pPr>
        <w:pStyle w:val="Heading3"/>
      </w:pPr>
      <w:bookmarkStart w:id="2013" w:name="_Toc1535"/>
      <w:r>
        <w:t>اشعار (گردآوری) / شعر / فارسی</w:t>
      </w:r>
      <w:bookmarkEnd w:id="2013"/>
    </w:p>
    <w:p>
      <w:pPr>
        <w:pStyle w:val="BookText"/>
      </w:pPr>
      <w:r>
        <w:rPr>
          <w:rFonts w:ascii="Times New Roman" w:hAnsi="Times New Roman" w:eastAsia="Times New Roman" w:cs="Times New Roman"/>
          <w:lang w:val="en-US" w:bidi="en-US"/>
          <w:color w:val="111111"/>
          <w:sz w:val="28"/>
          <w:szCs w:val="28"/>
          <w:rtl/>
        </w:rPr>
        <w:t xml:space="preserve">)aš‘ār (gerdāvarī)</w:t>
      </w:r>
    </w:p>
    <w:p>
      <w:pPr>
        <w:pStyle w:val="BookText"/>
      </w:pPr>
      <w:r>
        <w:rPr>
          <w:rFonts w:ascii="IRNazanin" w:hAnsi="IRNazanin" w:eastAsia="IRNazanin" w:cs="IRNazanin"/>
          <w:lang w:bidi="fa-IR"/>
          <w:color w:val="111111"/>
          <w:sz w:val="28"/>
          <w:szCs w:val="28"/>
          <w:rtl/>
        </w:rPr>
        <w:t xml:space="preserve">سلماسی، ابراهیم بن اسماعیل خان، ق۱۳ قمری</w:t>
      </w:r>
    </w:p>
    <w:p>
      <w:pPr>
        <w:pStyle w:val="BookText"/>
      </w:pPr>
      <w:r>
        <w:rPr>
          <w:rFonts w:ascii="Times New Roman" w:hAnsi="Times New Roman" w:eastAsia="Times New Roman" w:cs="Times New Roman"/>
          <w:lang w:val="en-US" w:bidi="en-US"/>
          <w:color w:val="111111"/>
          <w:sz w:val="28"/>
          <w:szCs w:val="28"/>
          <w:rtl/>
        </w:rPr>
        <w:t xml:space="preserve">(salmāsī, ebrāhīm ebn-e esmā‘īl xān (- 19c)</w:t>
      </w:r>
    </w:p>
    <w:p>
      <w:pPr>
        <w:pStyle w:val="BookText"/>
      </w:pPr>
      <w:r>
        <w:rPr>
          <w:rFonts w:ascii="IRNazanin" w:hAnsi="IRNazanin" w:eastAsia="IRNazanin" w:cs="IRNazanin"/>
          <w:lang w:bidi="fa-IR"/>
          <w:color w:val="111111"/>
          <w:sz w:val="28"/>
          <w:szCs w:val="28"/>
          <w:rtl/>
        </w:rPr>
        <w:t xml:space="preserve">جنگی است شامل غزلیات، مثنویات قصايد ورباعيات، مؤلـف هنگامی که در زادگاه خویش در قریه صدیقان از توابع سلماس بوده و گویا پست حکومتی داشته، این جنگ را از اشعارشـعرا جمع آوری و تحریر نموده است. اسامی شاعرانی که شعرشان این جنگ آمده چنین است: قاسم، سعدی، عاشق اصفهانی، حافظ، طوفان عارض اصفهانی ،کلیم، رشحه، نظیری، نیازی، سلیمان صباحی، مجمر ،نشاط ،حسرت ،هاتف ،فانی، بیدل، جامی، همام تبریزی، فخر رازی یا ابو المفاخر رازی، اهـلی شیرازی، خواجوی کرمانی، ناصر خسرو سلمان ساوجی، شاه طاهر رکنی، ظهیر فاریانی، عرفی شیرازی، امیدی تهرانی، حيرتی، فضولی بغدادی ،فردوسی، شانی تکلو، صاحب سلطـان خانیم دختر شاهبازخان دنبلی ،محتشم، ادیب صابر ترمذی، فتحعلی شاه قاجار متخلص به  خاقان، میر فضل الله حسیـنی متخلصی به خاوری، مجیر الدین  بیلقانی، فتحعلی خان صبا،شاه نعمت الله ولی، ترجیع بند هاتف، مثنوی میرزا محمدصادق تفرشی (سوزوگداز)، ترجیع بند درویش حسین نوا، مثنوی آذر بیگدلی (بشنوی ای معشر آزادگان...)، سراپای مهری عاملی، پیرو جوان نصیر اصفهانی، مثنوی هجری تفرشی با آغاز: «یا نسيم الصبح يا خبر البريد *** ياغراب الديك يا نعم الوريد»،گل و بلبل هجرى (الا ای عندلیب نغمه پرداز *** الا ای با گرفتاران هم آواز)، سؤال وجواب امیر علی شیر نوائی با سلطان به ترکی، از مثنوی معنوی، قطعه ای که میرزا عبدالطیف اصفهانی به میرزا مهدی قاضی تبریز نوشته، مکتوبی که حسینقلی بیک نواده ذوالفقار خان خمسه ای پیش خدمت عباسی میرزا به مؤلف در هنگامی که در سلماس در سال ۱۲۳۰ متوقف بوده نوشته به ترکی ،عارف نجات بابا ،طاهر ابو علی سینا، حسن، خیام.</w:t>
      </w:r>
    </w:p>
    <w:p>
      <w:pPr>
        <w:pStyle w:val="BookText"/>
      </w:pPr>
      <w:r>
        <w:rPr>
          <w:rFonts w:ascii="IRNazanin" w:hAnsi="IRNazanin" w:eastAsia="IRNazanin" w:cs="IRNazanin"/>
          <w:lang w:bidi="fa-IR"/>
          <w:color w:val="111111"/>
          <w:sz w:val="28"/>
          <w:szCs w:val="28"/>
          <w:rtl/>
        </w:rPr>
        <w:t xml:space="preserve">قم؛ گلپایگانی؛ شماره نسخه: ۲۱۹۱-۱۲/۸۱</w:t>
      </w:r>
    </w:p>
    <w:p>
      <w:pPr>
        <w:pStyle w:val="BookText"/>
      </w:pPr>
      <w:r>
        <w:rPr>
          <w:rFonts w:ascii="IRNazanin" w:hAnsi="IRNazanin" w:eastAsia="IRNazanin" w:cs="IRNazanin"/>
          <w:lang w:bidi="fa-IR"/>
          <w:color w:val="111111"/>
          <w:sz w:val="28"/>
          <w:szCs w:val="28"/>
          <w:rtl/>
        </w:rPr>
        <w:t xml:space="preserve">آغاز: بسمله من بیچاره سودا زده سرگردانم *** که به اوصاف خداوند سخن چون رانم / من و توحید توهیهات دلم می لرزد *** این قدر بس که حدیثت به زبان می رانم؛ انجام: به زلف یار اگر اختیار داشتمی *** مدادمی دل اگر صد هزار داشتمی / ای خوش آنروزی که با افسانه میلی داشتی *** در دل می گفتمی افسانه می پنداشتی</w:t>
      </w:r>
    </w:p>
    <w:p>
      <w:pPr>
        <w:pStyle w:val="BookText"/>
      </w:pPr>
      <w:r>
        <w:rPr>
          <w:rFonts w:ascii="IRNazanin" w:hAnsi="IRNazanin" w:eastAsia="IRNazanin" w:cs="IRNazanin"/>
          <w:lang w:bidi="fa-IR"/>
          <w:color w:val="111111"/>
          <w:sz w:val="28"/>
          <w:szCs w:val="28"/>
          <w:rtl/>
        </w:rPr>
        <w:t xml:space="preserve">خط: نستعليق، كاتب = مؤلف، تا: ۵ جمادی الاول ۱۲۳۹ق؛ مجدول مذهب؛ جلد: تیماج مشکی با جدول گرهی و ترنج و سر ترنج و لچکی زر ضربی، ۱۷۵گ، ۱۲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۳ - ۱۲۲۸]</w:t>
      </w:r>
    </w:p>
    <w:p>
      <w:pPr>
        <w:pStyle w:val="Heading3"/>
      </w:pPr>
      <w:bookmarkStart w:id="2014" w:name="_Toc1536"/>
      <w:r>
        <w:t>اشعار (گردآوری) / گوناگون / فارسی</w:t>
      </w:r>
      <w:bookmarkEnd w:id="2014"/>
    </w:p>
    <w:p>
      <w:pPr>
        <w:pStyle w:val="BookText"/>
      </w:pPr>
      <w:r>
        <w:rPr>
          <w:rFonts w:ascii="Times New Roman" w:hAnsi="Times New Roman" w:eastAsia="Times New Roman" w:cs="Times New Roman"/>
          <w:lang w:val="en-US" w:bidi="en-US"/>
          <w:color w:val="111111"/>
          <w:sz w:val="28"/>
          <w:szCs w:val="28"/>
          <w:rtl/>
        </w:rPr>
        <w:t xml:space="preserve">(aš‘ār (gerdāvarī)</w:t>
      </w:r>
    </w:p>
    <w:p>
      <w:pPr>
        <w:pStyle w:val="BookText"/>
      </w:pPr>
      <w:r>
        <w:rPr>
          <w:rFonts w:ascii="IRNazanin" w:hAnsi="IRNazanin" w:eastAsia="IRNazanin" w:cs="IRNazanin"/>
          <w:lang w:bidi="fa-IR"/>
          <w:color w:val="111111"/>
          <w:sz w:val="28"/>
          <w:szCs w:val="28"/>
          <w:rtl/>
        </w:rPr>
        <w:t xml:space="preserve">حضر تقلی، جعفر</w:t>
      </w:r>
    </w:p>
    <w:p>
      <w:pPr>
        <w:pStyle w:val="BookText"/>
      </w:pPr>
      <w:r>
        <w:rPr>
          <w:rFonts w:ascii="Times New Roman" w:hAnsi="Times New Roman" w:eastAsia="Times New Roman" w:cs="Times New Roman"/>
          <w:lang w:val="en-US" w:bidi="en-US"/>
          <w:color w:val="111111"/>
          <w:sz w:val="28"/>
          <w:szCs w:val="28"/>
          <w:rtl/>
        </w:rPr>
        <w:t xml:space="preserve">hazrat-qolī, ja‘far</w:t>
      </w:r>
    </w:p>
    <w:p>
      <w:pPr>
        <w:pStyle w:val="BookText"/>
      </w:pPr>
      <w:r>
        <w:rPr>
          <w:rFonts w:ascii="IRNazanin" w:hAnsi="IRNazanin" w:eastAsia="IRNazanin" w:cs="IRNazanin"/>
          <w:lang w:bidi="fa-IR"/>
          <w:color w:val="111111"/>
          <w:sz w:val="28"/>
          <w:szCs w:val="28"/>
          <w:rtl/>
        </w:rPr>
        <w:t xml:space="preserve">اشعار مختلف همچون: غزل، مدایح از سعدی، محتشم، جامی و معمی ،مرثیه سفرنامه کربلا و جز آنها را در این بیاض گرد آورده است.</w:t>
      </w:r>
    </w:p>
    <w:p>
      <w:pPr>
        <w:pStyle w:val="BookText"/>
      </w:pPr>
      <w:r>
        <w:rPr>
          <w:rFonts w:ascii="IRNazanin" w:hAnsi="IRNazanin" w:eastAsia="IRNazanin" w:cs="IRNazanin"/>
          <w:lang w:bidi="fa-IR"/>
          <w:color w:val="111111"/>
          <w:sz w:val="28"/>
          <w:szCs w:val="28"/>
          <w:rtl/>
        </w:rPr>
        <w:t xml:space="preserve">قم؛ معصومیه؛ شماره نسخه: ۲۶۹</w:t>
      </w:r>
    </w:p>
    <w:p>
      <w:pPr>
        <w:pStyle w:val="BookText"/>
      </w:pPr>
      <w:r>
        <w:rPr>
          <w:rFonts w:ascii="IRNazanin" w:hAnsi="IRNazanin" w:eastAsia="IRNazanin" w:cs="IRNazanin"/>
          <w:lang w:bidi="fa-IR"/>
          <w:color w:val="111111"/>
          <w:sz w:val="28"/>
          <w:szCs w:val="28"/>
          <w:rtl/>
        </w:rPr>
        <w:t xml:space="preserve">آغاز: ای ببالا چون صنوبر ای برخ چون م و ه *** زلف داری همچو عنبر لب چوش و ک و ر؛ انجام: شه سریر غم و ابتلا سلام و علیک *** سرور سینه خیر النساء سلام علیک</w:t>
      </w:r>
    </w:p>
    <w:p>
      <w:pPr>
        <w:pStyle w:val="BookText"/>
      </w:pPr>
      <w:r>
        <w:rPr>
          <w:rFonts w:ascii="IRNazanin" w:hAnsi="IRNazanin" w:eastAsia="IRNazanin" w:cs="IRNazanin"/>
          <w:lang w:bidi="fa-IR"/>
          <w:color w:val="111111"/>
          <w:sz w:val="28"/>
          <w:szCs w:val="28"/>
          <w:rtl/>
        </w:rPr>
        <w:t xml:space="preserve">خط: شکسته نستعلیق، بی کا، تا: ۱۲۵۸ق، تاریخ دستکاری شده؛ جلد: شميز ، ۷۵گ، مختلف السطر ،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۱۹/۵سم [ف: ۱-۲۶۵]</w:t>
      </w:r>
    </w:p>
    <w:p>
      <w:pPr>
        <w:pStyle w:val="Heading3"/>
      </w:pPr>
      <w:bookmarkStart w:id="2015" w:name="_Toc1537"/>
      <w:r>
        <w:t>اشعار (گردآوری) / شعر /عربی</w:t>
      </w:r>
      <w:bookmarkEnd w:id="2015"/>
    </w:p>
    <w:p>
      <w:pPr>
        <w:pStyle w:val="BookText"/>
      </w:pPr>
      <w:r>
        <w:rPr>
          <w:rFonts w:ascii="Times New Roman" w:hAnsi="Times New Roman" w:eastAsia="Times New Roman" w:cs="Times New Roman"/>
          <w:lang w:val="en-US" w:bidi="en-US"/>
          <w:color w:val="111111"/>
          <w:sz w:val="28"/>
          <w:szCs w:val="28"/>
          <w:rtl/>
        </w:rPr>
        <w:t xml:space="preserve">(aš‘ār (gerdāvarī)</w:t>
      </w:r>
    </w:p>
    <w:p>
      <w:pPr>
        <w:pStyle w:val="BookText"/>
      </w:pPr>
      <w:r>
        <w:rPr>
          <w:rFonts w:ascii="IRNazanin" w:hAnsi="IRNazanin" w:eastAsia="IRNazanin" w:cs="IRNazanin"/>
          <w:lang w:bidi="fa-IR"/>
          <w:color w:val="111111"/>
          <w:sz w:val="28"/>
          <w:szCs w:val="28"/>
          <w:rtl/>
        </w:rPr>
        <w:t xml:space="preserve">شریف یزدی، محمد تقی بن محمد باقر، ق۱۳ قمری</w:t>
      </w:r>
    </w:p>
    <w:p>
      <w:pPr>
        <w:pStyle w:val="BookText"/>
      </w:pPr>
      <w:r>
        <w:rPr>
          <w:rFonts w:ascii="Times New Roman" w:hAnsi="Times New Roman" w:eastAsia="Times New Roman" w:cs="Times New Roman"/>
          <w:lang w:val="en-US" w:bidi="en-US"/>
          <w:color w:val="111111"/>
          <w:sz w:val="28"/>
          <w:szCs w:val="28"/>
          <w:rtl/>
        </w:rPr>
        <w:t xml:space="preserve">sarif yazdi, mohammad taqi-ye-bn-e- mohammad baqer</w:t>
      </w:r>
    </w:p>
    <w:p>
      <w:pPr>
        <w:pStyle w:val="BookText"/>
      </w:pPr>
      <w:r>
        <w:rPr>
          <w:rFonts w:ascii="Times New Roman" w:hAnsi="Times New Roman" w:eastAsia="Times New Roman" w:cs="Times New Roman"/>
          <w:lang w:val="en-US" w:bidi="en-US"/>
          <w:color w:val="111111"/>
          <w:sz w:val="28"/>
          <w:szCs w:val="28"/>
          <w:rtl/>
        </w:rPr>
        <w:t xml:space="preserve">(- 19c)</w:t>
      </w:r>
    </w:p>
    <w:p>
      <w:pPr>
        <w:pStyle w:val="BookText"/>
      </w:pPr>
      <w:r>
        <w:rPr>
          <w:rFonts w:ascii="IRNazanin" w:hAnsi="IRNazanin" w:eastAsia="IRNazanin" w:cs="IRNazanin"/>
          <w:lang w:bidi="fa-IR"/>
          <w:color w:val="111111"/>
          <w:sz w:val="28"/>
          <w:szCs w:val="28"/>
          <w:rtl/>
        </w:rPr>
        <w:t xml:space="preserve">منتخباتی است بیشتر از شاعران متأخر و در مدایح و مراثی حضرات معصومین (علیه السّلام) نام شاعران این مجموعه: سید محمد مهدى بحر العلوم نجفی، ابن ابى الحديد معتزلی، ابن حجر، شیخ فرج الله بن محمد خطی احسائی، شیخ محمد رضا النحوى، سيد
</w:t>
      </w:r>
    </w:p>
    <w:p>
      <w:pPr>
        <w:sectPr>
          <w:footerReference w:type="default" r:id="rId994"/>
          <w:footnotePr>
            <w:numStart w:val="1"/>
            <w:numRestart w:val="eachPage"/>
          </w:footnotePr>
          <w:pgSz w:orient="portrait" w:w="11905.511811023622" w:h="16837.79527559055"/>
          <w:pgMar w:top="1440" w:right="1440" w:bottom="1440" w:left="1440" w:header="720" w:footer="720" w:gutter="0"/>
          <w:cols w:num="1" w:space="720"/>
        </w:sectPr>
      </w:pPr>
    </w:p>
    <w:bookmarkStart w:id="441" w:name="pg20365_260930"/>
    <w:bookmarkEnd w:id="441"/>
    <w:p>
      <w:pPr>
        <w:pStyle w:val="BookText"/>
      </w:pPr>
      <w:r>
        <w:rPr>
          <w:rFonts w:ascii="IRNazanin" w:hAnsi="IRNazanin" w:eastAsia="IRNazanin" w:cs="IRNazanin"/>
          <w:lang w:bidi="fa-IR"/>
          <w:color w:val="111111"/>
          <w:sz w:val="28"/>
          <w:szCs w:val="28"/>
          <w:rtl/>
        </w:rPr>
        <w:t xml:space="preserve">جواد حسینی عاملی، شیخ محمد علی اعسم، ابن حاجب، مالک نحوی، شیخ محمد بن عیسی ازدی، یوسف بن خلـیفه المعاوى، شیخ مغامس، ابوالحسن خلیعی، علی مقرى.</w:t>
      </w:r>
    </w:p>
    <w:p>
      <w:pPr>
        <w:pStyle w:val="BookText"/>
      </w:pPr>
      <w:r>
        <w:rPr>
          <w:rFonts w:ascii="IRNazanin" w:hAnsi="IRNazanin" w:eastAsia="IRNazanin" w:cs="IRNazanin"/>
          <w:lang w:bidi="fa-IR"/>
          <w:color w:val="111111"/>
          <w:sz w:val="28"/>
          <w:szCs w:val="28"/>
          <w:rtl/>
        </w:rPr>
        <w:t xml:space="preserve">قم ؛مرکز احیاء؛ شماره نسخه: ۱۸۱۰</w:t>
      </w:r>
    </w:p>
    <w:p>
      <w:pPr>
        <w:pStyle w:val="BookText"/>
      </w:pPr>
      <w:r>
        <w:rPr>
          <w:rFonts w:ascii="IRNazanin" w:hAnsi="IRNazanin" w:eastAsia="IRNazanin" w:cs="IRNazanin"/>
          <w:lang w:bidi="fa-IR"/>
          <w:color w:val="111111"/>
          <w:sz w:val="28"/>
          <w:szCs w:val="28"/>
          <w:rtl/>
        </w:rPr>
        <w:t xml:space="preserve">خط: نسخ ، معرب، كاتب = مؤلف، تا: رجب ۱۲۶۷ق (آخرین تاریخ) ؛ در صفحه ۲۱ یادداشتی است به خط محمد حسین موسوی عاملی ترشیزی که به جهت یزدی در دهه دوم ماه رجب 1260 نوشته و یکی از قصاید را علی اکبر بن محمد جعفر طباطبائی به خط خود نوشته؛ جلد: مقوایی عطف و گوشه ها تیماج قهوه ای، ۱۴۲گ، مختلف السطر ،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۵ -۲۲۸]</w:t>
      </w:r>
    </w:p>
    <w:p>
      <w:pPr>
        <w:pStyle w:val="Heading3"/>
      </w:pPr>
      <w:bookmarkStart w:id="2016" w:name="_Toc1538"/>
      <w:r>
        <w:t>اشعار (گردآوری) / شعر / فارسی</w:t>
      </w:r>
      <w:bookmarkEnd w:id="2016"/>
    </w:p>
    <w:p>
      <w:pPr>
        <w:pStyle w:val="BookText"/>
      </w:pPr>
      <w:r>
        <w:rPr>
          <w:rFonts w:ascii="Times New Roman" w:hAnsi="Times New Roman" w:eastAsia="Times New Roman" w:cs="Times New Roman"/>
          <w:lang w:val="en-US" w:bidi="en-US"/>
          <w:color w:val="111111"/>
          <w:sz w:val="28"/>
          <w:szCs w:val="28"/>
          <w:rtl/>
        </w:rPr>
        <w:t xml:space="preserve">(aš‘ār (gerdāvarī)</w:t>
      </w:r>
    </w:p>
    <w:p>
      <w:pPr>
        <w:pStyle w:val="BookText"/>
      </w:pPr>
      <w:r>
        <w:rPr>
          <w:rFonts w:ascii="IRNazanin" w:hAnsi="IRNazanin" w:eastAsia="IRNazanin" w:cs="IRNazanin"/>
          <w:lang w:bidi="fa-IR"/>
          <w:color w:val="111111"/>
          <w:sz w:val="28"/>
          <w:szCs w:val="28"/>
          <w:rtl/>
        </w:rPr>
        <w:t xml:space="preserve">عباسقلى والد آقا کریم، ق۱۳ قمری</w:t>
      </w:r>
    </w:p>
    <w:p>
      <w:pPr>
        <w:pStyle w:val="BookText"/>
      </w:pPr>
      <w:r>
        <w:rPr>
          <w:rFonts w:ascii="Times New Roman" w:hAnsi="Times New Roman" w:eastAsia="Times New Roman" w:cs="Times New Roman"/>
          <w:lang w:val="en-US" w:bidi="en-US"/>
          <w:color w:val="111111"/>
          <w:sz w:val="28"/>
          <w:szCs w:val="28"/>
          <w:rtl/>
        </w:rPr>
        <w:t xml:space="preserve">(abbās-qolī vāled āqā karīm (- 19c)</w:t>
      </w:r>
    </w:p>
    <w:p>
      <w:pPr>
        <w:pStyle w:val="BookText"/>
      </w:pPr>
      <w:r>
        <w:rPr>
          <w:rFonts w:ascii="IRNazanin" w:hAnsi="IRNazanin" w:eastAsia="IRNazanin" w:cs="IRNazanin"/>
          <w:lang w:bidi="fa-IR"/>
          <w:color w:val="111111"/>
          <w:sz w:val="28"/>
          <w:szCs w:val="28"/>
          <w:rtl/>
        </w:rPr>
        <w:t xml:space="preserve">محتملاً از عباسقلی والد آقا کریم. اشعاری از: ابن حسـام ابو المفاخر رازی، امیر معزی، امیر عثمان مختاری، جمـال کازرانی (؟)، خواجو کرمانی، زرگر (آقا میر كمال الدين) ،سروش، سلمان ساوجی، ظهیر الدین فاریابی ،عرفی، عبید، فردوسی، فتحعلی خان  صبا ،قاآنی، کمال الدين اسمعيل،ملا حسین کاشفی، میرزا بهرام ،میرزا افسر قزوینی، منوچهری ،مجمر، مجذوب ،محمد تقی (داماد فتحعلی خان صبا)، میـرزا کوچک وصال، میرزا خرم مازندرانی، محوی، مغربی، میرزا ابراهیم شیرازی، میرزا محمد علی طهرانی، میرزا ابوالحسن یغـما ،نشاط، نظیری، واهب (میرزا حسن اصفهانی)، هلالی.</w:t>
      </w:r>
    </w:p>
    <w:p>
      <w:pPr>
        <w:pStyle w:val="BookText"/>
      </w:pPr>
      <w:r>
        <w:rPr>
          <w:rFonts w:ascii="IRNazanin" w:hAnsi="IRNazanin" w:eastAsia="IRNazanin" w:cs="IRNazanin"/>
          <w:lang w:bidi="fa-IR"/>
          <w:color w:val="111111"/>
          <w:sz w:val="28"/>
          <w:szCs w:val="28"/>
          <w:rtl/>
        </w:rPr>
        <w:t xml:space="preserve">تهران؛ ملی؛ شماره نسخه: ۱۸۸/۱</w:t>
      </w:r>
    </w:p>
    <w:p>
      <w:pPr>
        <w:pStyle w:val="BookText"/>
      </w:pPr>
      <w:r>
        <w:rPr>
          <w:rFonts w:ascii="IRNazanin" w:hAnsi="IRNazanin" w:eastAsia="IRNazanin" w:cs="IRNazanin"/>
          <w:lang w:bidi="fa-IR"/>
          <w:color w:val="111111"/>
          <w:sz w:val="28"/>
          <w:szCs w:val="28"/>
          <w:rtl/>
        </w:rPr>
        <w:t xml:space="preserve">خط: نستعليق، كا: عباسقلی والد آقا کریم، تا: قرن ۱۳؛ ظاهراً از سال ۱۲۵۶ شروع به ثبت و نقل اشعار شده و در بعضی از صفحات  نیز اسم عباسقلی والد آقا کریم به چشم می خورد و این می رساند که گرد آورنده جنگ محتملاً او باشد، این جنگ سال ۱۳۱۶ ق توسط صنیع الدوله عکاس باشی تقدیم دربار شـده؛ کاغذ: فرنگی ،شکری ،جلد: تیماج سیاه، مقوایی ۲۰ سـطر (۷/۵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۱ - ۱۸۸]</w:t>
      </w:r>
    </w:p>
    <w:p>
      <w:pPr>
        <w:pStyle w:val="Heading3"/>
      </w:pPr>
      <w:bookmarkStart w:id="2017" w:name="_Toc1539"/>
      <w:r>
        <w:t>اشعار (گردآوری) / شعر / فارسی</w:t>
      </w:r>
      <w:bookmarkEnd w:id="2017"/>
    </w:p>
    <w:p>
      <w:pPr>
        <w:pStyle w:val="BookText"/>
      </w:pPr>
      <w:r>
        <w:rPr>
          <w:rFonts w:ascii="Times New Roman" w:hAnsi="Times New Roman" w:eastAsia="Times New Roman" w:cs="Times New Roman"/>
          <w:lang w:val="en-US" w:bidi="en-US"/>
          <w:color w:val="111111"/>
          <w:sz w:val="28"/>
          <w:szCs w:val="28"/>
          <w:rtl/>
        </w:rPr>
        <w:t xml:space="preserve">(aš‘ār (gerdāvarī)</w:t>
      </w:r>
    </w:p>
    <w:p>
      <w:pPr>
        <w:pStyle w:val="BookText"/>
      </w:pPr>
      <w:r>
        <w:rPr>
          <w:rFonts w:ascii="IRNazanin" w:hAnsi="IRNazanin" w:eastAsia="IRNazanin" w:cs="IRNazanin"/>
          <w:lang w:bidi="fa-IR"/>
          <w:color w:val="111111"/>
          <w:sz w:val="28"/>
          <w:szCs w:val="28"/>
          <w:rtl/>
        </w:rPr>
        <w:t xml:space="preserve">عراقی، محمد تقی بن محمد، ق ۱۳ قمری</w:t>
      </w:r>
    </w:p>
    <w:p>
      <w:pPr>
        <w:pStyle w:val="BookText"/>
      </w:pPr>
      <w:r>
        <w:rPr>
          <w:rFonts w:ascii="Times New Roman" w:hAnsi="Times New Roman" w:eastAsia="Times New Roman" w:cs="Times New Roman"/>
          <w:lang w:val="en-US" w:bidi="en-US"/>
          <w:color w:val="111111"/>
          <w:sz w:val="28"/>
          <w:szCs w:val="28"/>
          <w:rtl/>
        </w:rPr>
        <w:t xml:space="preserve">(erāqī, mohammad taqī ebn-e mohammad (- 19c)</w:t>
      </w:r>
    </w:p>
    <w:p>
      <w:pPr>
        <w:pStyle w:val="BookText"/>
      </w:pPr>
      <w:r>
        <w:rPr>
          <w:rFonts w:ascii="IRNazanin" w:hAnsi="IRNazanin" w:eastAsia="IRNazanin" w:cs="IRNazanin"/>
          <w:lang w:bidi="fa-IR"/>
          <w:color w:val="111111"/>
          <w:sz w:val="28"/>
          <w:szCs w:val="28"/>
          <w:rtl/>
        </w:rPr>
        <w:t xml:space="preserve">اشعاری از: حافظ شیرازی، سعدی شیرازی، میرزا ابراهیم صـفا شیرازی، میرزا احمد سند، محمد قلی سلیم ،طوفان، محتشم، جامی، نوعی، حکیم نظامی، بهاء الدين ،عاملی ،عرفی، عبدالرزاق دنبلی، مهری عرب، علی رضا تجلی، قاضی شریف اصفهانی، وحشی ،آزاد ،مسرور، خیال بخارائی، امیر خسرو دهلوی، ظهوری، میرزا شفیعا، ابراهیم ادهم، صفی قلی خان دیوانه، ،فایض، ابو طالب کلیم همدانی ،فردوسی، میرزا داود متولی، لسانی، میرزا رضی ارتیمانی، صائب، سنجر کاشی، بابا فغانی، ملا رفيع مجذوب، ساغر ،شعله، منعم شیرازی، پریشان، شفیعای ابرو، زلالی، واعظ قزوینی، قانع قزوینی، آقا حسین رشتی، آقا هادی رشتی، میرزا نعیم سمنانی، میرزا کوچک هجران، طیب اصفهانی ،شیدا، میرزا جعفر خلخالی، رضائی، عظیم، جلال الدین رومی ،مغربی، نور علیشاه، عمر خیام. در این مجموعه نثرهائی نیز آمده است: «صحت و مرض» فضولی، منشئات و صورت وقفنامه های ادبی، حکایات از نوشته های سعدی شيرازی.</w:t>
      </w:r>
    </w:p>
    <w:p>
      <w:pPr>
        <w:pStyle w:val="BookText"/>
      </w:pPr>
      <w:r>
        <w:rPr>
          <w:rFonts w:ascii="IRNazanin" w:hAnsi="IRNazanin" w:eastAsia="IRNazanin" w:cs="IRNazanin"/>
          <w:lang w:bidi="fa-IR"/>
          <w:color w:val="111111"/>
          <w:sz w:val="28"/>
          <w:szCs w:val="28"/>
          <w:rtl/>
        </w:rPr>
        <w:t xml:space="preserve">قم؛ مرکز احیاء؛ شماره نسخه: ۱۸۸۱</w:t>
      </w:r>
    </w:p>
    <w:p>
      <w:pPr>
        <w:pStyle w:val="BookText"/>
      </w:pPr>
      <w:r>
        <w:rPr>
          <w:rFonts w:ascii="IRNazanin" w:hAnsi="IRNazanin" w:eastAsia="IRNazanin" w:cs="IRNazanin"/>
          <w:lang w:bidi="fa-IR"/>
          <w:color w:val="111111"/>
          <w:sz w:val="28"/>
          <w:szCs w:val="28"/>
          <w:rtl/>
        </w:rPr>
        <w:t xml:space="preserve">خط: نستعليق، كاتب = مؤلف، تا: ۱۲۴۳ق، به فرموده ملک محمد بیک متمکن به قریه رهنه از محلات تارم؛ مجدول، دارای سرلوح، دارای مجلس آب و رنگ، در صفحه ۲۸۶ ابیاتی به خط محمد محسن زنجانی به تاریخ ربیع الثانی ۱۳۱۱ افزوده شده؛ جلد: تیماج مشکی، ۲۲۸گ، ۱۵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۲۸/۵سم [ف: 5- 309]</w:t>
      </w:r>
    </w:p>
    <w:p>
      <w:pPr>
        <w:pStyle w:val="Heading3"/>
      </w:pPr>
      <w:bookmarkStart w:id="2018" w:name="_Toc1540"/>
      <w:r>
        <w:t>اشعار (گردآوری) / شعر / فارسی</w:t>
      </w:r>
      <w:bookmarkEnd w:id="2018"/>
    </w:p>
    <w:p>
      <w:pPr>
        <w:pStyle w:val="BookText"/>
      </w:pPr>
      <w:r>
        <w:rPr>
          <w:rFonts w:ascii="Times New Roman" w:hAnsi="Times New Roman" w:eastAsia="Times New Roman" w:cs="Times New Roman"/>
          <w:lang w:val="en-US" w:bidi="en-US"/>
          <w:color w:val="111111"/>
          <w:sz w:val="28"/>
          <w:szCs w:val="28"/>
          <w:rtl/>
        </w:rPr>
        <w:t xml:space="preserve">(aš‘ār (gerdāvarī)</w:t>
      </w:r>
    </w:p>
    <w:p>
      <w:pPr>
        <w:pStyle w:val="BookText"/>
      </w:pPr>
      <w:r>
        <w:rPr>
          <w:rFonts w:ascii="IRNazanin" w:hAnsi="IRNazanin" w:eastAsia="IRNazanin" w:cs="IRNazanin"/>
          <w:lang w:bidi="fa-IR"/>
          <w:color w:val="111111"/>
          <w:sz w:val="28"/>
          <w:szCs w:val="28"/>
          <w:rtl/>
        </w:rPr>
        <w:t xml:space="preserve">قاجار، محمد ولی بن فتحعلی ،ق ۱۳ قمری</w:t>
      </w:r>
    </w:p>
    <w:p>
      <w:pPr>
        <w:pStyle w:val="BookText"/>
      </w:pPr>
      <w:r>
        <w:rPr>
          <w:rFonts w:ascii="Times New Roman" w:hAnsi="Times New Roman" w:eastAsia="Times New Roman" w:cs="Times New Roman"/>
          <w:lang w:val="en-US" w:bidi="en-US"/>
          <w:color w:val="111111"/>
          <w:sz w:val="28"/>
          <w:szCs w:val="28"/>
          <w:rtl/>
        </w:rPr>
        <w:t xml:space="preserve">(qājār, mohammad valī ebn-e fath- alī (- 19c)</w:t>
      </w:r>
    </w:p>
    <w:p>
      <w:pPr>
        <w:pStyle w:val="BookText"/>
      </w:pPr>
      <w:r>
        <w:rPr>
          <w:rFonts w:ascii="IRNazanin" w:hAnsi="IRNazanin" w:eastAsia="IRNazanin" w:cs="IRNazanin"/>
          <w:lang w:bidi="fa-IR"/>
          <w:color w:val="111111"/>
          <w:sz w:val="28"/>
          <w:szCs w:val="28"/>
          <w:rtl/>
        </w:rPr>
        <w:t xml:space="preserve">تهران؛ ملی؛ شماره نسخه: ۲۶۸۶</w:t>
      </w:r>
    </w:p>
    <w:p>
      <w:pPr>
        <w:pStyle w:val="BookText"/>
      </w:pPr>
      <w:r>
        <w:rPr>
          <w:rFonts w:ascii="IRNazanin" w:hAnsi="IRNazanin" w:eastAsia="IRNazanin" w:cs="IRNazanin"/>
          <w:lang w:bidi="fa-IR"/>
          <w:color w:val="111111"/>
          <w:sz w:val="28"/>
          <w:szCs w:val="28"/>
          <w:rtl/>
        </w:rPr>
        <w:t xml:space="preserve">آغاز: نان و حلوای مرحوم شیخ بهائی، بسمله، الحمد لله على افضاله والصلوة و السلام على اشرف؛ انجام: که کاش قا آنیابدی درین روزگار</w:t>
      </w:r>
    </w:p>
    <w:p>
      <w:pPr>
        <w:pStyle w:val="BookText"/>
      </w:pPr>
      <w:r>
        <w:rPr>
          <w:rFonts w:ascii="IRNazanin" w:hAnsi="IRNazanin" w:eastAsia="IRNazanin" w:cs="IRNazanin"/>
          <w:lang w:bidi="fa-IR"/>
          <w:color w:val="111111"/>
          <w:sz w:val="28"/>
          <w:szCs w:val="28"/>
          <w:rtl/>
        </w:rPr>
        <w:t xml:space="preserve">در این جنگ غزلیات و رباعیات و مثنویات و قطعاتی از شاعران زیر آمده است: «نان و حلوای» شیخ بهائی (ص ۱-۲۸)، قطعاتی ایضا از شیخ بهائی (۲۸-۶۲) اشعاری از «سعدی» و «وحشی» و مغربی» و «محتشم» و «نظیری» و «قصاب» و «ریاضی» و «آذر» و «خاقان» و «سالک» و «رفیق» و «طبیب» و «عنوان» و «میرزای طوفان» و «فغانی» و «جامی» و «مونس» و «خیام» و «میرزا رفیع واعظ» و «صائب»، تعدادی عریضه و جواب عرائض، و بعد از آن اشعاری از بابا طاهر عریان ابراهیم خان قاجار متخلص به طغرل، حکیم قاآنی، نشاط، معتمد الملک، ملولی،عنصری، منوچهری،</w:t>
      </w:r>
    </w:p>
    <w:p>
      <w:pPr>
        <w:pStyle w:val="BookText"/>
      </w:pPr>
      <w:r>
        <w:rPr>
          <w:rFonts w:ascii="IRNazanin" w:hAnsi="IRNazanin" w:eastAsia="IRNazanin" w:cs="IRNazanin"/>
          <w:lang w:bidi="fa-IR"/>
          <w:color w:val="111111"/>
          <w:sz w:val="28"/>
          <w:szCs w:val="28"/>
          <w:rtl/>
        </w:rPr>
        <w:t xml:space="preserve">،حافظ، عاشق اصفهانی، مرحوم فروغی؛ خط: نستعلیق، كاتب= مؤلف، تا: ۱۳۰۰ق، جا: طهران؛ مجدول؛ کاغذ: فرنگی، جلد: تیماج ماشی با ترنج و نیم ترنج کوبیده مقوایی، ۱۹۳گ، ۱۴ سطر (۹/۵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۶ - ۲۵۵]
</w:t>
      </w:r>
    </w:p>
    <w:p>
      <w:pPr>
        <w:sectPr>
          <w:footerReference w:type="default" r:id="rId995"/>
          <w:footnotePr>
            <w:numStart w:val="1"/>
            <w:numRestart w:val="eachPage"/>
          </w:footnotePr>
          <w:pgSz w:orient="portrait" w:w="11905.511811023622" w:h="16837.79527559055"/>
          <w:pgMar w:top="1440" w:right="1440" w:bottom="1440" w:left="1440" w:header="720" w:footer="720" w:gutter="0"/>
          <w:cols w:num="1" w:space="720"/>
        </w:sectPr>
      </w:pPr>
    </w:p>
    <w:bookmarkStart w:id="442" w:name="pg20365_260931"/>
    <w:bookmarkEnd w:id="442"/>
    <w:p>
      <w:pPr>
        <w:pStyle w:val="Heading3"/>
      </w:pPr>
      <w:bookmarkStart w:id="2019" w:name="_Toc1541"/>
      <w:r>
        <w:t>اشعار (گردآوری) / شعر / فارسی</w:t>
      </w:r>
      <w:bookmarkEnd w:id="2019"/>
    </w:p>
    <w:p>
      <w:pPr>
        <w:pStyle w:val="BookText"/>
      </w:pPr>
      <w:r>
        <w:rPr>
          <w:rFonts w:ascii="Times New Roman" w:hAnsi="Times New Roman" w:eastAsia="Times New Roman" w:cs="Times New Roman"/>
          <w:lang w:val="en-US" w:bidi="en-US"/>
          <w:color w:val="111111"/>
          <w:sz w:val="28"/>
          <w:szCs w:val="28"/>
          <w:rtl/>
        </w:rPr>
        <w:t xml:space="preserve">(aš‘ār (gerdāvarī)</w:t>
      </w:r>
    </w:p>
    <w:p>
      <w:pPr>
        <w:pStyle w:val="BookText"/>
      </w:pPr>
      <w:r>
        <w:rPr>
          <w:rFonts w:ascii="IRNazanin" w:hAnsi="IRNazanin" w:eastAsia="IRNazanin" w:cs="IRNazanin"/>
          <w:lang w:bidi="fa-IR"/>
          <w:color w:val="111111"/>
          <w:sz w:val="28"/>
          <w:szCs w:val="28"/>
          <w:rtl/>
        </w:rPr>
        <w:t xml:space="preserve">کاشانی، محمد حسین بن محمد جعفر، ق۱۳ قمری</w:t>
      </w:r>
    </w:p>
    <w:p>
      <w:pPr>
        <w:pStyle w:val="BookText"/>
      </w:pPr>
      <w:r>
        <w:rPr>
          <w:rFonts w:ascii="Times New Roman" w:hAnsi="Times New Roman" w:eastAsia="Times New Roman" w:cs="Times New Roman"/>
          <w:lang w:val="en-US" w:bidi="en-US"/>
          <w:color w:val="111111"/>
          <w:sz w:val="28"/>
          <w:szCs w:val="28"/>
          <w:rtl/>
        </w:rPr>
        <w:t xml:space="preserve">(kāšānī, mohammad hoseyn ebn-e mohammad ja‘far (-19c</w:t>
      </w:r>
    </w:p>
    <w:p>
      <w:pPr>
        <w:pStyle w:val="BookText"/>
      </w:pPr>
      <w:r>
        <w:rPr>
          <w:rFonts w:ascii="IRNazanin" w:hAnsi="IRNazanin" w:eastAsia="IRNazanin" w:cs="IRNazanin"/>
          <w:lang w:bidi="fa-IR"/>
          <w:color w:val="111111"/>
          <w:sz w:val="28"/>
          <w:szCs w:val="28"/>
          <w:rtl/>
        </w:rPr>
        <w:t xml:space="preserve">چند جنگ متفاوت از او.</w:t>
      </w:r>
    </w:p>
    <w:p>
      <w:pPr>
        <w:pStyle w:val="BookText"/>
      </w:pPr>
      <w:r>
        <w:rPr>
          <w:rFonts w:ascii="IRNazanin" w:hAnsi="IRNazanin" w:eastAsia="IRNazanin" w:cs="IRNazanin"/>
          <w:lang w:bidi="fa-IR"/>
          <w:color w:val="111111"/>
          <w:sz w:val="28"/>
          <w:szCs w:val="28"/>
          <w:rtl/>
        </w:rPr>
        <w:t xml:space="preserve">۱. یزد؛ کاظمینی؛ شماره نسخه: ۵۴۰</w:t>
      </w:r>
    </w:p>
    <w:p>
      <w:pPr>
        <w:pStyle w:val="BookText"/>
      </w:pPr>
      <w:r>
        <w:rPr>
          <w:rFonts w:ascii="IRNazanin" w:hAnsi="IRNazanin" w:eastAsia="IRNazanin" w:cs="IRNazanin"/>
          <w:lang w:bidi="fa-IR"/>
          <w:color w:val="111111"/>
          <w:sz w:val="28"/>
          <w:szCs w:val="28"/>
          <w:rtl/>
        </w:rPr>
        <w:t xml:space="preserve">منتخبی از غزلیات دواوين شعرا را به ترتیب حروف آخر قوافی جمع آوری نموده و به تاریخ دوشنبه سلخ صفر ۱۲۸۲ در یزد از آن فارغ شده است، عناوین شعرای این مجموعه عبارتند از: میرزا ابوالحسن جندقی متخلص به یغما (۱پ- ۳۰ پ) ملاهادی  سبزواری متخلص به اسرار، عبدالرحمن جامی (۴۹ ر-۹۲پ) سید علی اصفهانی متخلص به مشتاق، محتشم کاشانی (۱۱۳ر-۱۰۰ر) میرزا عبدالوهاب معتمدالدوله متخلص به ،نشاط هلالی (120ر- ۱۲۳ر)، فتحعلی خان ملک الشعراء متخلص به صبا ،سید محـمد شیرازی متخلص به عرفی (۱۲۶ پ- ۱۳۰ پ)، صحبت، محجوب (۱۳۹پ-۱۳۵ر)، حیاتی امیر خسرو دهلوی (۱۴۱ ر - ۱۴۴ر) ، غـافل اصفهانی، طبیب (۱۴۶ر-۱۴۷ر)، میرزا هما شیرازی، شمس تبریزی (۱۴۸پ- ۱۴۹پ) لطفعلی بیگ آذر، میرزا محمد علی متخلص به ساقی، میرزا محمد صاقد متخلص به  آرام، هـلال کاشانی، میرزا محمد جواد مشهور  اصفهانی ،نیازی، دختر ابراهیم خان کرمانی متخلص به منظر، صهبا، علی نقی کمره ای، احـمد بیگ متخلص به اختر، وامق  اصفهانی، میرزا محمد جعفر متخلـص به اسیر ،شایق ،انوری ،فریدون ،عبید حسینی یزدی، امیر عشاق، ووامق ،شرر، شاه نعمت الله ولی ،شافی، درویش مجید ،ملاذبیح الله قصاب، مظهر کشمیری، فدائی کرمانی ،عصمت، عزلتی، حیران رشتی، اهلی شیرازی، صباحی کاشانی ،گوهری، وصـال شیرازی، شاه عباس صفوی ،مطلب ،کلیم ،فروغی ،مقیمی، عطار ،نظیری ،فیضی ،عزیز ،شوکت ،طوفان، حسن یزدجردی، مهری ،عراقی، عماد، آقا محمد اصفهانی متخلص به عاشق (۱۷۴پ- ۲۵۵پ)؛ خط:نستعلیق، كاتب = ،مؤلف، تا: ۱۲۸۲ق، جا: یزد؛ مصحح؛ جلد: تیماج قهوه ای مجدول، ۲۵۶ گ، ۱۵ سطر، اندازه:۱۲/۵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۱۹/۵سم [ف ۲ - ۲۲۳]</w:t>
      </w:r>
    </w:p>
    <w:p>
      <w:pPr>
        <w:pStyle w:val="BookText"/>
      </w:pPr>
      <w:r>
        <w:rPr>
          <w:rFonts w:ascii="IRNazanin" w:hAnsi="IRNazanin" w:eastAsia="IRNazanin" w:cs="IRNazanin"/>
          <w:lang w:bidi="fa-IR"/>
          <w:color w:val="111111"/>
          <w:sz w:val="28"/>
          <w:szCs w:val="28"/>
          <w:rtl/>
        </w:rPr>
        <w:t xml:space="preserve">2.تهران؛ دانشگاه؛ شماره نسخه: ۲۹۰۱</w:t>
      </w:r>
    </w:p>
    <w:p>
      <w:pPr>
        <w:pStyle w:val="BookText"/>
      </w:pPr>
      <w:r>
        <w:rPr>
          <w:rFonts w:ascii="IRNazanin" w:hAnsi="IRNazanin" w:eastAsia="IRNazanin" w:cs="IRNazanin"/>
          <w:lang w:bidi="fa-IR"/>
          <w:color w:val="111111"/>
          <w:sz w:val="28"/>
          <w:szCs w:val="28"/>
          <w:rtl/>
        </w:rPr>
        <w:t xml:space="preserve">از محمد حسین بن حاج محمد جعفر کاشانی در 1283 که قصیده های فتح علیخان صبای کاشانی (۱-۱۰۴) و انوری (105- ۱۲۸) را در آن آورده است او برخی از اشعار صبا را مانند مثنوی در نصیحت و تنبیه و هجو حاج محمد حسین خان اصفهانی صـدر اعظم خاقان را که نخستین آنها تحفة العراقين و عبرت نامه خوانده می شود نیز آورده است (۹۸-۱۰۴ و ۶۷-۹۸)؛ خط: نستعلـیق، بی کا، تا: دوشنبه ۲۵ رجب ۱۲۸۳ق، جا: یزد ؛کاغذ: فرنگی، جـلد: تیماج سرخ ضربی، ۹۲گ ۱۴ سطر (۷/۵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۱۳/۵)،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۱۹/۵سم [ف: ۱۰ - ۱۷۴۸]</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قم ؛گلپایگانی؛ شماره :نسخه: ۵۲۵۸/۲-۲۶/۱۳۸</w:t>
      </w:r>
    </w:p>
    <w:p>
      <w:pPr>
        <w:pStyle w:val="BookText"/>
      </w:pPr>
      <w:r>
        <w:rPr>
          <w:rFonts w:ascii="IRNazanin" w:hAnsi="IRNazanin" w:eastAsia="IRNazanin" w:cs="IRNazanin"/>
          <w:lang w:bidi="fa-IR"/>
          <w:color w:val="111111"/>
          <w:sz w:val="28"/>
          <w:szCs w:val="28"/>
          <w:rtl/>
        </w:rPr>
        <w:t xml:space="preserve">آغاز: از فرمایشات مرحوم جنت مكان خلد آشیان حاجی سلیمان بیدگلی این چند قصیده .... چون شد به تخت عاج خرامان خدیو روس *** افتاده شاه زنگ ز اورنگ آبنوس؛ انجام: فی الجمله از اشعار هر یک از شعرا از دیوان ایشان منتخب نموده و در این دفتر ثبت شد تا این که به توفیق و عنایت خداوند مجید در دار العبارة یزد به اتمام و انجام رسید به خط اقل الخليقه</w:t>
      </w:r>
    </w:p>
    <w:p>
      <w:pPr>
        <w:pStyle w:val="BookText"/>
      </w:pPr>
      <w:r>
        <w:rPr>
          <w:rFonts w:ascii="IRNazanin" w:hAnsi="IRNazanin" w:eastAsia="IRNazanin" w:cs="IRNazanin"/>
          <w:lang w:bidi="fa-IR"/>
          <w:color w:val="111111"/>
          <w:sz w:val="28"/>
          <w:szCs w:val="28"/>
          <w:rtl/>
        </w:rPr>
        <w:t xml:space="preserve">شامل اشعاری از حاج سلیمان صباحی، خاقانی، عمعق بخارایی، بدرالدین سنایی، امیرحسین هروی، میرزا نورالله اصفهانی متخلص به ضیاء، مصاحب اصفهانی، جلال جعفر فراهانی، بابا سلطان اصفهانی متخلص به لوائی ،فاریابی، ادیب صابر ترمذی آذر بیگدلی ،جامی، میرزا محمد ابراهیم متخلص به صفا، میرزا محمد سعيد حكيم، وحشی بافقی، فتحعلی خان صبا، یغما، انوری، ،فردوسی، مثنوی ملا ذبیح الله، مرثیه محتشم در رثاء برادرش و دوازده بند وی؛ خط: نستعلیق  شکسته، کاتب = مؤلف، تا: ۱۷ محرم ۱۳۸۲ق، جا: در دارالعبادة يزد؛ جلد: تیماج زیتونی ضربی ،مجدول، ۷۰گ، ۱۵ 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۳ - ۱۲۵۲]</w:t>
      </w:r>
    </w:p>
    <w:p>
      <w:pPr>
        <w:pStyle w:val="Heading3"/>
      </w:pPr>
      <w:bookmarkStart w:id="2020" w:name="_Toc1542"/>
      <w:r>
        <w:t>اشعار (گردآوری) / شعر / فارسی</w:t>
      </w:r>
      <w:bookmarkEnd w:id="2020"/>
    </w:p>
    <w:p>
      <w:pPr>
        <w:pStyle w:val="BookText"/>
      </w:pPr>
      <w:r>
        <w:rPr>
          <w:rFonts w:ascii="Times New Roman" w:hAnsi="Times New Roman" w:eastAsia="Times New Roman" w:cs="Times New Roman"/>
          <w:lang w:val="en-US" w:bidi="en-US"/>
          <w:color w:val="111111"/>
          <w:sz w:val="28"/>
          <w:szCs w:val="28"/>
          <w:rtl/>
        </w:rPr>
        <w:t xml:space="preserve">(aš‘ār (gerdāvarī)</w:t>
      </w:r>
    </w:p>
    <w:p>
      <w:pPr>
        <w:pStyle w:val="BookText"/>
      </w:pPr>
      <w:r>
        <w:rPr>
          <w:rFonts w:ascii="IRNazanin" w:hAnsi="IRNazanin" w:eastAsia="IRNazanin" w:cs="IRNazanin"/>
          <w:lang w:bidi="fa-IR"/>
          <w:color w:val="111111"/>
          <w:sz w:val="28"/>
          <w:szCs w:val="28"/>
          <w:rtl/>
        </w:rPr>
        <w:t xml:space="preserve">کرمانی بمی، محمد بن حسن، ق۱۳ قمری</w:t>
      </w:r>
    </w:p>
    <w:p>
      <w:pPr>
        <w:pStyle w:val="BookText"/>
      </w:pPr>
      <w:r>
        <w:rPr>
          <w:rFonts w:ascii="Times New Roman" w:hAnsi="Times New Roman" w:eastAsia="Times New Roman" w:cs="Times New Roman"/>
          <w:lang w:val="en-US" w:bidi="en-US"/>
          <w:color w:val="111111"/>
          <w:sz w:val="28"/>
          <w:szCs w:val="28"/>
          <w:rtl/>
        </w:rPr>
        <w:t xml:space="preserve">(kermānī bamī, mohammad ebn-e hasan (- 19c)</w:t>
      </w:r>
    </w:p>
    <w:p>
      <w:pPr>
        <w:pStyle w:val="BookText"/>
      </w:pPr>
      <w:r>
        <w:rPr>
          <w:rFonts w:ascii="IRNazanin" w:hAnsi="IRNazanin" w:eastAsia="IRNazanin" w:cs="IRNazanin"/>
          <w:lang w:bidi="fa-IR"/>
          <w:color w:val="111111"/>
          <w:sz w:val="28"/>
          <w:szCs w:val="28"/>
          <w:rtl/>
        </w:rPr>
        <w:t xml:space="preserve">جنگ اشعاری است دارای مقدمه منثور که سبب جمع آوری را می گوید و گردآورنده در عهد سلطنت ناصرالدین شاه می زیسته است اشعار از شعرای معاصر ناصرالدین شاه است.</w:t>
      </w:r>
    </w:p>
    <w:p>
      <w:pPr>
        <w:pStyle w:val="BookText"/>
      </w:pPr>
      <w:r>
        <w:rPr>
          <w:rFonts w:ascii="IRNazanin" w:hAnsi="IRNazanin" w:eastAsia="IRNazanin" w:cs="IRNazanin"/>
          <w:lang w:bidi="fa-IR"/>
          <w:color w:val="111111"/>
          <w:sz w:val="28"/>
          <w:szCs w:val="28"/>
          <w:rtl/>
        </w:rPr>
        <w:t xml:space="preserve">تهران؛ ملک؛ شماره نسخه: ۴۹۱۵</w:t>
      </w:r>
    </w:p>
    <w:p>
      <w:pPr>
        <w:pStyle w:val="BookText"/>
      </w:pPr>
      <w:r>
        <w:rPr>
          <w:rFonts w:ascii="IRNazanin" w:hAnsi="IRNazanin" w:eastAsia="IRNazanin" w:cs="IRNazanin"/>
          <w:lang w:bidi="fa-IR"/>
          <w:color w:val="111111"/>
          <w:sz w:val="28"/>
          <w:szCs w:val="28"/>
          <w:rtl/>
        </w:rPr>
        <w:t xml:space="preserve">آغاز: چه جادویست ندانم در آن دو چشم کحیل *** که از فسونش خوابم زدیده کرد رحیل؛ انجام: تاج آزادگان وکیل الملك *** ملجاء اهل فضل و اهل ادب</w:t>
      </w:r>
    </w:p>
    <w:p>
      <w:pPr>
        <w:pStyle w:val="BookText"/>
      </w:pPr>
      <w:r>
        <w:rPr>
          <w:rFonts w:ascii="IRNazanin" w:hAnsi="IRNazanin" w:eastAsia="IRNazanin" w:cs="IRNazanin"/>
          <w:lang w:bidi="fa-IR"/>
          <w:color w:val="111111"/>
          <w:sz w:val="28"/>
          <w:szCs w:val="28"/>
          <w:rtl/>
        </w:rPr>
        <w:t xml:space="preserve">خط: نستعلیق خوش، بی کا، تا:قرن ۱۳، مجدول به  طلا و رنگ ؛کاغذ: فرنگی آهار مهره، جلد: میشن آلبالوئی، ۱۷۱گ، ۱۲ سطر،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۲۳/۲سم [ف: ۸ – ۱۲۰]</w:t>
      </w:r>
    </w:p>
    <w:p>
      <w:pPr>
        <w:pStyle w:val="Heading3"/>
      </w:pPr>
      <w:bookmarkStart w:id="2021" w:name="_Toc1543"/>
      <w:r>
        <w:t>اشعار (گردآوری) / شعر / فارسی</w:t>
      </w:r>
      <w:bookmarkEnd w:id="2021"/>
    </w:p>
    <w:p>
      <w:pPr>
        <w:pStyle w:val="BookText"/>
      </w:pPr>
      <w:r>
        <w:rPr>
          <w:rFonts w:ascii="Times New Roman" w:hAnsi="Times New Roman" w:eastAsia="Times New Roman" w:cs="Times New Roman"/>
          <w:lang w:val="en-US" w:bidi="en-US"/>
          <w:color w:val="111111"/>
          <w:sz w:val="28"/>
          <w:szCs w:val="28"/>
          <w:rtl/>
        </w:rPr>
        <w:t xml:space="preserve">(aš‘ār (gerdāvarī)</w:t>
      </w:r>
    </w:p>
    <w:p>
      <w:pPr>
        <w:pStyle w:val="BookText"/>
      </w:pPr>
      <w:r>
        <w:rPr>
          <w:rFonts w:ascii="IRNazanin" w:hAnsi="IRNazanin" w:eastAsia="IRNazanin" w:cs="IRNazanin"/>
          <w:lang w:bidi="fa-IR"/>
          <w:color w:val="111111"/>
          <w:sz w:val="28"/>
          <w:szCs w:val="28"/>
          <w:rtl/>
        </w:rPr>
        <w:t xml:space="preserve">مریم</w:t>
      </w:r>
    </w:p>
    <w:p>
      <w:pPr>
        <w:pStyle w:val="BookText"/>
      </w:pPr>
      <w:r>
        <w:rPr>
          <w:rFonts w:ascii="Times New Roman" w:hAnsi="Times New Roman" w:eastAsia="Times New Roman" w:cs="Times New Roman"/>
          <w:lang w:val="en-US" w:bidi="en-US"/>
          <w:color w:val="111111"/>
          <w:sz w:val="28"/>
          <w:szCs w:val="28"/>
          <w:rtl/>
        </w:rPr>
        <w:t xml:space="preserve">maryam</w:t>
      </w:r>
    </w:p>
    <w:p>
      <w:pPr>
        <w:pStyle w:val="BookText"/>
      </w:pPr>
      <w:r>
        <w:rPr>
          <w:rFonts w:ascii="IRNazanin" w:hAnsi="IRNazanin" w:eastAsia="IRNazanin" w:cs="IRNazanin"/>
          <w:lang w:bidi="fa-IR"/>
          <w:color w:val="111111"/>
          <w:sz w:val="28"/>
          <w:szCs w:val="28"/>
          <w:rtl/>
        </w:rPr>
        <w:t xml:space="preserve">جنگی است که شاعری با تخلص «مریم» از اشعار شاعران پارسی گوی جمع آوری نموده و در لابه لای آن اشعار و غزلیاتی از خودنیز درج نموده است. او در اغلب موارد نام شاعران را متذکر نشده است.
</w:t>
      </w:r>
    </w:p>
    <w:p>
      <w:pPr>
        <w:sectPr>
          <w:footerReference w:type="default" r:id="rId996"/>
          <w:footnotePr>
            <w:numStart w:val="1"/>
            <w:numRestart w:val="eachPage"/>
          </w:footnotePr>
          <w:pgSz w:orient="portrait" w:w="11905.511811023622" w:h="16837.79527559055"/>
          <w:pgMar w:top="1440" w:right="1440" w:bottom="1440" w:left="1440" w:header="720" w:footer="720" w:gutter="0"/>
          <w:cols w:num="1" w:space="720"/>
        </w:sectPr>
      </w:pPr>
    </w:p>
    <w:bookmarkStart w:id="443" w:name="pg20365_260932"/>
    <w:bookmarkEnd w:id="443"/>
    <w:p>
      <w:pPr>
        <w:pStyle w:val="BookText"/>
      </w:pPr>
      <w:r>
        <w:rPr>
          <w:rFonts w:ascii="IRNazanin" w:hAnsi="IRNazanin" w:eastAsia="IRNazanin" w:cs="IRNazanin"/>
          <w:lang w:bidi="fa-IR"/>
          <w:color w:val="111111"/>
          <w:sz w:val="28"/>
          <w:szCs w:val="28"/>
          <w:rtl/>
        </w:rPr>
        <w:t xml:space="preserve">قم؛ گلپایگانی؛ شماره نسخه: ۳۳۱۳-۱۷/۹۳</w:t>
      </w:r>
    </w:p>
    <w:p>
      <w:pPr>
        <w:pStyle w:val="BookText"/>
      </w:pPr>
      <w:r>
        <w:rPr>
          <w:rFonts w:ascii="IRNazanin" w:hAnsi="IRNazanin" w:eastAsia="IRNazanin" w:cs="IRNazanin"/>
          <w:lang w:bidi="fa-IR"/>
          <w:color w:val="111111"/>
          <w:sz w:val="28"/>
          <w:szCs w:val="28"/>
          <w:rtl/>
        </w:rPr>
        <w:t xml:space="preserve">آغاز: تا عاقبت کجا بردم باد از این دیار *** اکنون چو گرد بر در این آستان شدم / با او وجود من مثل نور وظلمت است ***او در کنارم آمد و من از میان شدم؛ انجام: محتاج یکدمه دیدارم کو زر وسیمم باد ملکت اسباب *** روی تو خواهم که ملک روی زمین است / در کار گلاب و گل حکم ازلی این بود *** آن شاهد بازاری این پرده نشین باشد</w:t>
      </w:r>
    </w:p>
    <w:p>
      <w:pPr>
        <w:pStyle w:val="BookText"/>
      </w:pPr>
      <w:r>
        <w:rPr>
          <w:rFonts w:ascii="IRNazanin" w:hAnsi="IRNazanin" w:eastAsia="IRNazanin" w:cs="IRNazanin"/>
          <w:lang w:bidi="fa-IR"/>
          <w:color w:val="111111"/>
          <w:sz w:val="28"/>
          <w:szCs w:val="28"/>
          <w:rtl/>
        </w:rPr>
        <w:t xml:space="preserve">خط: نستعلیق شکسته، بی کا، تا: قرن ۱۳؛ افتادگی :انجام؛ مجدول؛ جلد: مقوا با روکش اسلیمی عطف و حاشیه تیماج قهوه ای مجدول ضربی گرهی ۸۶گ، ۱۱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۳ -1238]</w:t>
      </w:r>
    </w:p>
    <w:p>
      <w:pPr>
        <w:pStyle w:val="Heading3"/>
      </w:pPr>
      <w:bookmarkStart w:id="2022" w:name="_Toc1544"/>
      <w:r>
        <w:t>اشعار (گردآوری) / شعر / فارسی</w:t>
      </w:r>
      <w:bookmarkEnd w:id="2022"/>
    </w:p>
    <w:p>
      <w:pPr>
        <w:pStyle w:val="BookText"/>
      </w:pPr>
      <w:r>
        <w:rPr>
          <w:rFonts w:ascii="Times New Roman" w:hAnsi="Times New Roman" w:eastAsia="Times New Roman" w:cs="Times New Roman"/>
          <w:lang w:val="en-US" w:bidi="en-US"/>
          <w:color w:val="111111"/>
          <w:sz w:val="28"/>
          <w:szCs w:val="28"/>
          <w:rtl/>
        </w:rPr>
        <w:t xml:space="preserve">(aš‘ār (gerdāvarī)</w:t>
      </w:r>
    </w:p>
    <w:p>
      <w:pPr>
        <w:pStyle w:val="BookText"/>
      </w:pPr>
      <w:r>
        <w:rPr>
          <w:rFonts w:ascii="IRNazanin" w:hAnsi="IRNazanin" w:eastAsia="IRNazanin" w:cs="IRNazanin"/>
          <w:lang w:bidi="fa-IR"/>
          <w:color w:val="111111"/>
          <w:sz w:val="28"/>
          <w:szCs w:val="28"/>
          <w:rtl/>
        </w:rPr>
        <w:t xml:space="preserve">موسوی جهدی، حسین بن لطف الله ، ق ۱۳ قمری</w:t>
      </w:r>
    </w:p>
    <w:p>
      <w:pPr>
        <w:pStyle w:val="BookText"/>
      </w:pPr>
      <w:r>
        <w:rPr>
          <w:rFonts w:ascii="Times New Roman" w:hAnsi="Times New Roman" w:eastAsia="Times New Roman" w:cs="Times New Roman"/>
          <w:lang w:val="en-US" w:bidi="en-US"/>
          <w:color w:val="111111"/>
          <w:sz w:val="28"/>
          <w:szCs w:val="28"/>
          <w:rtl/>
        </w:rPr>
        <w:t xml:space="preserve">(mūsavī jahdī, hoseyn ebn-e lotf-ol-lāh (- 19c)</w:t>
      </w:r>
    </w:p>
    <w:p>
      <w:pPr>
        <w:pStyle w:val="BookText"/>
      </w:pPr>
      <w:r>
        <w:rPr>
          <w:rFonts w:ascii="IRNazanin" w:hAnsi="IRNazanin" w:eastAsia="IRNazanin" w:cs="IRNazanin"/>
          <w:lang w:bidi="fa-IR"/>
          <w:color w:val="111111"/>
          <w:sz w:val="28"/>
          <w:szCs w:val="28"/>
          <w:rtl/>
        </w:rPr>
        <w:t xml:space="preserve">مؤلف این جنگ را در دو بخش تحریر نموده است: ۱. منتخب اشعار قاآنی که برای سید محمدرضای واعظ، گلچین و تحریر نموده؛ ۲. منتخب ابیات گلستان که به جهت سید علی نقی ملقـب به صدر الافاضل انتخاب و تحریر نموده است.</w:t>
      </w:r>
    </w:p>
    <w:p>
      <w:pPr>
        <w:pStyle w:val="BookText"/>
      </w:pPr>
      <w:r>
        <w:rPr>
          <w:rFonts w:ascii="IRNazanin" w:hAnsi="IRNazanin" w:eastAsia="IRNazanin" w:cs="IRNazanin"/>
          <w:lang w:bidi="fa-IR"/>
          <w:color w:val="111111"/>
          <w:sz w:val="28"/>
          <w:szCs w:val="28"/>
          <w:rtl/>
        </w:rPr>
        <w:t xml:space="preserve">قم؛ گلپایگانی؛ شماره نسخه: ۱۹۴۳/۱-۱۱/۴۳</w:t>
      </w:r>
    </w:p>
    <w:p>
      <w:pPr>
        <w:pStyle w:val="BookText"/>
      </w:pPr>
      <w:r>
        <w:rPr>
          <w:rFonts w:ascii="IRNazanin" w:hAnsi="IRNazanin" w:eastAsia="IRNazanin" w:cs="IRNazanin"/>
          <w:lang w:bidi="fa-IR"/>
          <w:color w:val="111111"/>
          <w:sz w:val="28"/>
          <w:szCs w:val="28"/>
          <w:rtl/>
        </w:rPr>
        <w:t xml:space="preserve">آغاز: زشت را گوروی خود را نیک کن *** ور نه با آمئنه ات چبود سخن/ زشت اگر آئینه را دور افکند *** زشتی خود درنـهان ظاهر کند؛ انجام: هر که دعوی کند گواه بر اوست *** و آنکه منکر شود بر او سوگند</w:t>
      </w:r>
    </w:p>
    <w:p>
      <w:pPr>
        <w:pStyle w:val="BookText"/>
      </w:pPr>
      <w:r>
        <w:rPr>
          <w:rFonts w:ascii="IRNazanin" w:hAnsi="IRNazanin" w:eastAsia="IRNazanin" w:cs="IRNazanin"/>
          <w:lang w:bidi="fa-IR"/>
          <w:color w:val="111111"/>
          <w:sz w:val="28"/>
          <w:szCs w:val="28"/>
          <w:rtl/>
        </w:rPr>
        <w:t xml:space="preserve">خط: تحریری، کاتب = مؤلف، تا: ۱۲۹۰ق، جلد: مقوا عطف پارچه، ۱۲گ، مختلف السطر،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۲۶سم [ف ۳ - ۱۲۳۱  ]</w:t>
      </w:r>
    </w:p>
    <w:p>
      <w:pPr>
        <w:pStyle w:val="Heading3"/>
      </w:pPr>
      <w:bookmarkStart w:id="2023" w:name="_Toc1545"/>
      <w:r>
        <w:t>اشعار (گردآوری) / شعر / فارسی</w:t>
      </w:r>
      <w:bookmarkEnd w:id="2023"/>
    </w:p>
    <w:p>
      <w:pPr>
        <w:pStyle w:val="BookText"/>
      </w:pPr>
      <w:r>
        <w:rPr>
          <w:rFonts w:ascii="IRNazanin" w:hAnsi="IRNazanin" w:eastAsia="IRNazanin" w:cs="IRNazanin"/>
          <w:lang w:bidi="fa-IR"/>
          <w:color w:val="111111"/>
          <w:sz w:val="28"/>
          <w:szCs w:val="28"/>
          <w:rtl/>
        </w:rPr>
        <w:t xml:space="preserve">محمد رضا</w:t>
      </w:r>
    </w:p>
    <w:p>
      <w:pPr>
        <w:pStyle w:val="BookText"/>
      </w:pPr>
      <w:r>
        <w:rPr>
          <w:rFonts w:ascii="Times New Roman" w:hAnsi="Times New Roman" w:eastAsia="Times New Roman" w:cs="Times New Roman"/>
          <w:lang w:val="en-US" w:bidi="en-US"/>
          <w:color w:val="111111"/>
          <w:sz w:val="28"/>
          <w:szCs w:val="28"/>
          <w:rtl/>
        </w:rPr>
        <w:t xml:space="preserve">ār (gerdāvarī)hammad rezā</w:t>
      </w:r>
    </w:p>
    <w:p>
      <w:pPr>
        <w:pStyle w:val="BookText"/>
      </w:pPr>
      <w:r>
        <w:rPr>
          <w:rFonts w:ascii="IRNazanin" w:hAnsi="IRNazanin" w:eastAsia="IRNazanin" w:cs="IRNazanin"/>
          <w:lang w:bidi="fa-IR"/>
          <w:color w:val="111111"/>
          <w:sz w:val="28"/>
          <w:szCs w:val="28"/>
          <w:rtl/>
        </w:rPr>
        <w:t xml:space="preserve">محمد رضا</w:t>
      </w:r>
    </w:p>
    <w:p>
      <w:pPr>
        <w:pStyle w:val="BookText"/>
      </w:pPr>
      <w:r>
        <w:rPr>
          <w:rFonts w:ascii="Times New Roman" w:hAnsi="Times New Roman" w:eastAsia="Times New Roman" w:cs="Times New Roman"/>
          <w:lang w:val="en-US" w:bidi="en-US"/>
          <w:color w:val="111111"/>
          <w:sz w:val="28"/>
          <w:szCs w:val="28"/>
          <w:rtl/>
        </w:rPr>
        <w:t xml:space="preserve">mohammad rezā</w:t>
      </w:r>
    </w:p>
    <w:p>
      <w:pPr>
        <w:pStyle w:val="BookText"/>
      </w:pPr>
      <w:r>
        <w:rPr>
          <w:rFonts w:ascii="IRNazanin" w:hAnsi="IRNazanin" w:eastAsia="IRNazanin" w:cs="IRNazanin"/>
          <w:lang w:bidi="fa-IR"/>
          <w:color w:val="111111"/>
          <w:sz w:val="28"/>
          <w:szCs w:val="28"/>
          <w:rtl/>
        </w:rPr>
        <w:t xml:space="preserve">اشعاری است در مراثی امام حسین (علیه السّلام) که مؤلف گردآورده تا در مجالس استادش آخوند ملا حسین هراتی بخواند.</w:t>
      </w:r>
    </w:p>
    <w:p>
      <w:pPr>
        <w:pStyle w:val="BookText"/>
      </w:pPr>
      <w:r>
        <w:rPr>
          <w:rFonts w:ascii="IRNazanin" w:hAnsi="IRNazanin" w:eastAsia="IRNazanin" w:cs="IRNazanin"/>
          <w:lang w:bidi="fa-IR"/>
          <w:color w:val="111111"/>
          <w:sz w:val="28"/>
          <w:szCs w:val="28"/>
          <w:rtl/>
        </w:rPr>
        <w:t xml:space="preserve">قم؛ مرعشی؛ شماره نسخه: ۸۷۳۲</w:t>
      </w:r>
    </w:p>
    <w:p>
      <w:pPr>
        <w:pStyle w:val="BookText"/>
      </w:pPr>
      <w:r>
        <w:rPr>
          <w:rFonts w:ascii="IRNazanin" w:hAnsi="IRNazanin" w:eastAsia="IRNazanin" w:cs="IRNazanin"/>
          <w:lang w:bidi="fa-IR"/>
          <w:color w:val="111111"/>
          <w:sz w:val="28"/>
          <w:szCs w:val="28"/>
          <w:rtl/>
        </w:rPr>
        <w:t xml:space="preserve">خط: نستعليق، كاتب = مؤلف، تا: ۱۶ رجب ۱۲۹۰ق، جلد: تیماج مشکی بدون مقوا، ۴۸گ مختلف السطر،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22- 268]</w:t>
      </w:r>
    </w:p>
    <w:p>
      <w:pPr>
        <w:pStyle w:val="Heading3"/>
      </w:pPr>
      <w:bookmarkStart w:id="2024" w:name="_Toc1546"/>
      <w:r>
        <w:t>اشعار (گردآوری) / شعر / عربی</w:t>
      </w:r>
      <w:bookmarkEnd w:id="2024"/>
    </w:p>
    <w:p>
      <w:pPr>
        <w:pStyle w:val="BookText"/>
      </w:pPr>
      <w:r>
        <w:rPr>
          <w:rFonts w:ascii="Times New Roman" w:hAnsi="Times New Roman" w:eastAsia="Times New Roman" w:cs="Times New Roman"/>
          <w:lang w:val="en-US" w:bidi="en-US"/>
          <w:color w:val="111111"/>
          <w:sz w:val="28"/>
          <w:szCs w:val="28"/>
          <w:rtl/>
        </w:rPr>
        <w:t xml:space="preserve">(aš‘ār (gerdāvarī)</w:t>
      </w:r>
    </w:p>
    <w:p>
      <w:pPr>
        <w:pStyle w:val="BookText"/>
      </w:pPr>
      <w:r>
        <w:rPr>
          <w:rFonts w:ascii="IRNazanin" w:hAnsi="IRNazanin" w:eastAsia="IRNazanin" w:cs="IRNazanin"/>
          <w:lang w:bidi="fa-IR"/>
          <w:color w:val="111111"/>
          <w:sz w:val="28"/>
          <w:szCs w:val="28"/>
          <w:rtl/>
        </w:rPr>
        <w:t xml:space="preserve">مولوی، علی اکبر بن نصر الله، ق ۱۳ قمری</w:t>
      </w:r>
    </w:p>
    <w:p>
      <w:pPr>
        <w:pStyle w:val="BookText"/>
      </w:pPr>
      <w:r>
        <w:rPr>
          <w:rFonts w:ascii="Times New Roman" w:hAnsi="Times New Roman" w:eastAsia="Times New Roman" w:cs="Times New Roman"/>
          <w:lang w:val="en-US" w:bidi="en-US"/>
          <w:color w:val="111111"/>
          <w:sz w:val="28"/>
          <w:szCs w:val="28"/>
          <w:rtl/>
        </w:rPr>
        <w:t xml:space="preserve">(mowlavi, ‘alī akbar ebn-e nasr-ol-lah (- 19c)</w:t>
      </w:r>
    </w:p>
    <w:p>
      <w:pPr>
        <w:pStyle w:val="BookText"/>
      </w:pPr>
      <w:r>
        <w:rPr>
          <w:rFonts w:ascii="IRNazanin" w:hAnsi="IRNazanin" w:eastAsia="IRNazanin" w:cs="IRNazanin"/>
          <w:lang w:bidi="fa-IR"/>
          <w:color w:val="111111"/>
          <w:sz w:val="28"/>
          <w:szCs w:val="28"/>
          <w:rtl/>
        </w:rPr>
        <w:t xml:space="preserve">مجموعه ای از ۶ قطعه اشعار عربی در مدح و مرثیه اهل بیت (علیهم السّلام) است که ۲ قصیده آغاز مجموعه، از مؤلف است: ۱. در مرثیه حضرت ابوعبدالله الحسين (علیه السّلام) ، با مطلع: «الا احدث كم عن حادث جلل *** و عضلة اوقعت هزاً على العلل»؛ ۲. در مدح حضرت امير المؤمنين (علیه السّلام) ، با مطلع: «عفت الديار و دارك العلياء *** و عرفتها بالرسم یا اسماء»؛ سپس قطعاتی از «سید بحرالعلوم» در مرثیه و از «امام شافعی» در مدح و بالاخره قصيده عينيه «سيد حمیری» با ترجمه آن به نظم فارسی. آغاز و انجام ترجمه منظوم قصیده «سید» چنین است: آغاز: «داشت جائى ام عمرو اندرلوی *** مانده آثاری کهن از وی بجا»، انجام: «رحمت حق بر روان مصطفی *** بعد بر حیدر امام مقتدا».سراینده ترجمه محمد رضا بن ميرزا محمد بن محمد رضا بن اسماعیل قمی است (دانشگاه ۲۸۱۷/۱۲). مؤلف، در آغاز کتاب، خود را «علی اکبر الموسوى المولوی» معرفی نموده و در پایان منظومه نخست، نام پدر خود را ذکر می کند: «المولوی ابن «نصرالله» ماد حكم *** و ان يكن لكناً في المدح ذا اکسل». از مؤلف که از فضلا و ادبای شیراز به شمار می رفته، ۲ اثر ارزشمند و نادر به نام های «خلاصة التجويد» و «كنوز المعرفة في شرح دعاء العرفة» موجود است. او خود را در مقدمه «كنوز المعرفة» چنین معرفی می کند: «علی اکبر المتخلص بالمولوى ابن نصر الله الموسوى الحائرى ثم الحويزى اصلاً و موطناً و الشيرازى مولداً و مسكناً».</w:t>
      </w:r>
    </w:p>
    <w:p>
      <w:pPr>
        <w:pStyle w:val="BookText"/>
      </w:pPr>
      <w:r>
        <w:rPr>
          <w:rFonts w:ascii="Amiri" w:hAnsi="Amiri" w:eastAsia="Amiri" w:cs="Amiri"/>
          <w:lang w:bidi="ar-SA"/>
          <w:color w:val="111111"/>
          <w:sz w:val="28"/>
          <w:szCs w:val="28"/>
          <w:rtl/>
        </w:rPr>
        <w:t xml:space="preserve">[ريحانة الأدب ۲۹/۶؛ آثار عجم، ص ۴۳۹]</w:t>
      </w:r>
    </w:p>
    <w:p>
      <w:pPr>
        <w:pStyle w:val="BookText"/>
      </w:pPr>
      <w:r>
        <w:rPr>
          <w:rFonts w:ascii="IRNazanin" w:hAnsi="IRNazanin" w:eastAsia="IRNazanin" w:cs="IRNazanin"/>
          <w:lang w:bidi="fa-IR"/>
          <w:color w:val="111111"/>
          <w:sz w:val="28"/>
          <w:szCs w:val="28"/>
          <w:rtl/>
        </w:rPr>
        <w:t xml:space="preserve">قم؛ مرعشی؛ شماره نسخه: ۱۱۵۸۶/۲</w:t>
      </w:r>
    </w:p>
    <w:p>
      <w:pPr>
        <w:pStyle w:val="BookText"/>
      </w:pPr>
      <w:r>
        <w:rPr>
          <w:rFonts w:ascii="IRNazanin" w:hAnsi="IRNazanin" w:eastAsia="IRNazanin" w:cs="IRNazanin"/>
          <w:lang w:bidi="fa-IR"/>
          <w:color w:val="111111"/>
          <w:sz w:val="28"/>
          <w:szCs w:val="28"/>
          <w:rtl/>
        </w:rPr>
        <w:t xml:space="preserve">آغاز: الحمد لله الذى خلق كنوزاً تحت عرشه و جعل مفاتيحها، ألسنة الشعراء و أنزل كتاباً؛ انجام: من فرط شوقی قد نظمت قصائد بعض مدائحكم و بعض رثاء.</w:t>
      </w:r>
    </w:p>
    <w:p>
      <w:pPr>
        <w:pStyle w:val="BookText"/>
      </w:pPr>
      <w:r>
        <w:rPr>
          <w:rFonts w:ascii="IRNazanin" w:hAnsi="IRNazanin" w:eastAsia="IRNazanin" w:cs="IRNazanin"/>
          <w:lang w:bidi="fa-IR"/>
          <w:color w:val="111111"/>
          <w:sz w:val="28"/>
          <w:szCs w:val="28"/>
          <w:rtl/>
        </w:rPr>
        <w:t xml:space="preserve">خط: نسخ و نستعلیق  زیبا، بی کا، تا: ۱۲۰۹ق؛ مجدول، مذهب؛ کاغذ: فرنگی در رنگ های متنوع، ۱۷گ (۹-۲۵)، ۷ سطر، اندازه: 8</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سم [ف: ۲۹ - ۳۰۴]</w:t>
      </w:r>
    </w:p>
    <w:p>
      <w:pPr>
        <w:pStyle w:val="Heading3"/>
      </w:pPr>
      <w:bookmarkStart w:id="2025" w:name="_Toc1547"/>
      <w:r>
        <w:t>اشعار (گردآوری) / شعر / فارسی</w:t>
      </w:r>
      <w:bookmarkEnd w:id="2025"/>
    </w:p>
    <w:p>
      <w:pPr>
        <w:pStyle w:val="BookText"/>
      </w:pPr>
      <w:r>
        <w:rPr>
          <w:rFonts w:ascii="Times New Roman" w:hAnsi="Times New Roman" w:eastAsia="Times New Roman" w:cs="Times New Roman"/>
          <w:lang w:val="en-US" w:bidi="en-US"/>
          <w:color w:val="111111"/>
          <w:sz w:val="28"/>
          <w:szCs w:val="28"/>
          <w:rtl/>
        </w:rPr>
        <w:t xml:space="preserve">(aš‘ār (gerdāvarī)</w:t>
      </w:r>
    </w:p>
    <w:p>
      <w:pPr>
        <w:pStyle w:val="BookText"/>
      </w:pPr>
      <w:r>
        <w:rPr>
          <w:rFonts w:ascii="IRNazanin" w:hAnsi="IRNazanin" w:eastAsia="IRNazanin" w:cs="IRNazanin"/>
          <w:lang w:bidi="fa-IR"/>
          <w:color w:val="111111"/>
          <w:sz w:val="28"/>
          <w:szCs w:val="28"/>
          <w:rtl/>
        </w:rPr>
        <w:t xml:space="preserve">علاقه بند یزدی، محمد</w:t>
      </w:r>
    </w:p>
    <w:p>
      <w:pPr>
        <w:pStyle w:val="BookText"/>
      </w:pPr>
      <w:r>
        <w:rPr>
          <w:rFonts w:ascii="Times New Roman" w:hAnsi="Times New Roman" w:eastAsia="Times New Roman" w:cs="Times New Roman"/>
          <w:lang w:val="en-US" w:bidi="en-US"/>
          <w:color w:val="111111"/>
          <w:sz w:val="28"/>
          <w:szCs w:val="28"/>
          <w:rtl/>
        </w:rPr>
        <w:t xml:space="preserve">'alāqe-band yazdī, mohammad</w:t>
      </w:r>
    </w:p>
    <w:p>
      <w:pPr>
        <w:pStyle w:val="BookText"/>
      </w:pPr>
      <w:r>
        <w:rPr>
          <w:rFonts w:ascii="IRNazanin" w:hAnsi="IRNazanin" w:eastAsia="IRNazanin" w:cs="IRNazanin"/>
          <w:lang w:bidi="fa-IR"/>
          <w:color w:val="111111"/>
          <w:sz w:val="28"/>
          <w:szCs w:val="28"/>
          <w:rtl/>
        </w:rPr>
        <w:t xml:space="preserve">منتخباتی است از اشعار تذکره آتشکده و دیوان عرفی و چند رباعی از میرزا نصیرالدین و غزلی ازشرف و دو غزل و دو رباعی از بهجت پسر شرف.</w:t>
      </w:r>
    </w:p>
    <w:p>
      <w:pPr>
        <w:pStyle w:val="BookText"/>
      </w:pPr>
      <w:r>
        <w:rPr>
          <w:rFonts w:ascii="IRNazanin" w:hAnsi="IRNazanin" w:eastAsia="IRNazanin" w:cs="IRNazanin"/>
          <w:lang w:bidi="fa-IR"/>
          <w:color w:val="111111"/>
          <w:sz w:val="28"/>
          <w:szCs w:val="28"/>
          <w:rtl/>
        </w:rPr>
        <w:t xml:space="preserve">مشهد؛ رضوی؛ شماره نسخه: ۴۵۱۲</w:t>
      </w:r>
    </w:p>
    <w:p>
      <w:pPr>
        <w:pStyle w:val="BookText"/>
      </w:pPr>
      <w:r>
        <w:rPr>
          <w:rFonts w:ascii="IRNazanin" w:hAnsi="IRNazanin" w:eastAsia="IRNazanin" w:cs="IRNazanin"/>
          <w:lang w:bidi="fa-IR"/>
          <w:color w:val="111111"/>
          <w:sz w:val="28"/>
          <w:szCs w:val="28"/>
          <w:rtl/>
        </w:rPr>
        <w:t xml:space="preserve">آغاز: بسمله آنچه رباعیات از حضرات متقدمين كثر الله امثالهم و نورالله قبورهم که بدست این فانی افتاد؛ انجام: دلهای حزین
</w:t>
      </w:r>
    </w:p>
    <w:p>
      <w:pPr>
        <w:sectPr>
          <w:footerReference w:type="default" r:id="rId997"/>
          <w:footnotePr>
            <w:numStart w:val="1"/>
            <w:numRestart w:val="eachPage"/>
          </w:footnotePr>
          <w:pgSz w:orient="portrait" w:w="11905.511811023622" w:h="16837.79527559055"/>
          <w:pgMar w:top="1440" w:right="1440" w:bottom="1440" w:left="1440" w:header="720" w:footer="720" w:gutter="0"/>
          <w:cols w:num="1" w:space="720"/>
        </w:sectPr>
      </w:pPr>
    </w:p>
    <w:bookmarkStart w:id="444" w:name="pg20365_260933"/>
    <w:bookmarkEnd w:id="444"/>
    <w:p>
      <w:pPr>
        <w:pStyle w:val="BookText"/>
      </w:pPr>
      <w:r>
        <w:rPr>
          <w:rFonts w:ascii="IRNazanin" w:hAnsi="IRNazanin" w:eastAsia="IRNazanin" w:cs="IRNazanin"/>
          <w:lang w:bidi="fa-IR"/>
          <w:color w:val="111111"/>
          <w:sz w:val="28"/>
          <w:szCs w:val="28"/>
          <w:rtl/>
        </w:rPr>
        <w:t xml:space="preserve">بزلف مشکین مشکن وز چشم سیه، تاب زمستان مستان</w:t>
      </w:r>
    </w:p>
    <w:p>
      <w:pPr>
        <w:pStyle w:val="BookText"/>
      </w:pPr>
      <w:r>
        <w:rPr>
          <w:rFonts w:ascii="IRNazanin" w:hAnsi="IRNazanin" w:eastAsia="IRNazanin" w:cs="IRNazanin"/>
          <w:lang w:bidi="fa-IR"/>
          <w:color w:val="111111"/>
          <w:sz w:val="28"/>
          <w:szCs w:val="28"/>
          <w:rtl/>
        </w:rPr>
        <w:t xml:space="preserve">خط: شکسته نستعلیق، کاتب = مؤلف، تا: ۹ مؤلف تا ۹ رجب ۱۲۹۲ ؛واقف: نایینی ؛کاغذ: آبی ،فرنگی،جلد: پارچه ای، ۱۶۲گ، 13سطر (5/5</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اندازه:۱۰/۵ ۱۷/۳سم [ف: ۷ - ۲۸۵]</w:t>
      </w:r>
    </w:p>
    <w:p>
      <w:pPr>
        <w:pStyle w:val="Heading3"/>
      </w:pPr>
      <w:bookmarkStart w:id="2026" w:name="_Toc1548"/>
      <w:r>
        <w:t>اشعار (گردآوری) / شعر / فارسی</w:t>
      </w:r>
      <w:bookmarkEnd w:id="2026"/>
    </w:p>
    <w:p>
      <w:pPr>
        <w:pStyle w:val="BookText"/>
      </w:pPr>
      <w:r>
        <w:rPr>
          <w:rFonts w:ascii="Times New Roman" w:hAnsi="Times New Roman" w:eastAsia="Times New Roman" w:cs="Times New Roman"/>
          <w:lang w:val="en-US" w:bidi="en-US"/>
          <w:color w:val="111111"/>
          <w:sz w:val="28"/>
          <w:szCs w:val="28"/>
          <w:rtl/>
        </w:rPr>
        <w:t xml:space="preserve">aš‘ār (gerdāvarī)</w:t>
      </w:r>
    </w:p>
    <w:p>
      <w:pPr>
        <w:pStyle w:val="BookText"/>
      </w:pPr>
      <w:r>
        <w:rPr>
          <w:rFonts w:ascii="IRNazanin" w:hAnsi="IRNazanin" w:eastAsia="IRNazanin" w:cs="IRNazanin"/>
          <w:lang w:bidi="fa-IR"/>
          <w:color w:val="111111"/>
          <w:sz w:val="28"/>
          <w:szCs w:val="28"/>
          <w:rtl/>
        </w:rPr>
        <w:t xml:space="preserve">یزدی، ابوالقاسم بن جعفر ،ق ۱۳ قمری</w:t>
      </w:r>
    </w:p>
    <w:p>
      <w:pPr>
        <w:pStyle w:val="BookText"/>
      </w:pPr>
      <w:r>
        <w:rPr>
          <w:rFonts w:ascii="Times New Roman" w:hAnsi="Times New Roman" w:eastAsia="Times New Roman" w:cs="Times New Roman"/>
          <w:lang w:val="en-US" w:bidi="en-US"/>
          <w:color w:val="111111"/>
          <w:sz w:val="28"/>
          <w:szCs w:val="28"/>
          <w:rtl/>
        </w:rPr>
        <w:t xml:space="preserve">(yazdī, ab-ol-qāsem ebn-e ja‘far (- 19c)</w:t>
      </w:r>
    </w:p>
    <w:p>
      <w:pPr>
        <w:pStyle w:val="BookText"/>
      </w:pPr>
      <w:r>
        <w:rPr>
          <w:rFonts w:ascii="IRNazanin" w:hAnsi="IRNazanin" w:eastAsia="IRNazanin" w:cs="IRNazanin"/>
          <w:lang w:bidi="fa-IR"/>
          <w:color w:val="111111"/>
          <w:sz w:val="28"/>
          <w:szCs w:val="28"/>
          <w:rtl/>
        </w:rPr>
        <w:t xml:space="preserve">شعرهای فارسی همین یزدی لاهیجی است با تخلص «سید)». با شعرهای فارسی: محضری، ابو القاسم، ملا حسن شعبانگردی، وفایی، میرزا مصطفی دارا، شیخ صادق مفتی لاهیجانی (به خـط خود او مورخ ۱۳۱۴)، حسن بن شفیع موسوی لنگرودی مورخ روز شنبه ۲۲ ذیقعده ۱۳۱۴، و شعرهای فارسی همین سید، محسن (به خط سید درجمعه ۱ رجب ۱۳۱۵) ،ضیائی، اوحدی.</w:t>
      </w:r>
    </w:p>
    <w:p>
      <w:pPr>
        <w:pStyle w:val="BookText"/>
      </w:pPr>
      <w:r>
        <w:rPr>
          <w:rFonts w:ascii="IRNazanin" w:hAnsi="IRNazanin" w:eastAsia="IRNazanin" w:cs="IRNazanin"/>
          <w:lang w:bidi="fa-IR"/>
          <w:color w:val="111111"/>
          <w:sz w:val="28"/>
          <w:szCs w:val="28"/>
          <w:rtl/>
        </w:rPr>
        <w:t xml:space="preserve">تهران؛ دانشگاه؛ شماره نسخه: ۴۱۷۲/۲</w:t>
      </w:r>
    </w:p>
    <w:p>
      <w:pPr>
        <w:pStyle w:val="BookText"/>
      </w:pPr>
      <w:r>
        <w:rPr>
          <w:rFonts w:ascii="IRNazanin" w:hAnsi="IRNazanin" w:eastAsia="IRNazanin" w:cs="IRNazanin"/>
          <w:lang w:bidi="fa-IR"/>
          <w:color w:val="111111"/>
          <w:sz w:val="28"/>
          <w:szCs w:val="28"/>
          <w:rtl/>
        </w:rPr>
        <w:t xml:space="preserve">آغاز:بسم الله تعالى الحمد الله الذى نظم نظام الوجود و نثر الئالی رحمته على كافة الموجود... چنین گوید نگارنده این کلمات که زاده طبع هر کس در نزد او عزیز ... است ... بخاطر رسید که منظومات شکسته بسته خود را .... از سواد به بیاض آورده باشد (در متن آمده: في المرسية ابي عبدالله - فى المرسية عليا جناب صدیقه صغرا). بندی در آن هست به نام فرهنگ خداپرستی و جز آن محرم یزدی (مشار ۱۱۷۴)، آغاز [همین بند]: بسمله: در موسم عاشورا در تکیه دولت*** بگرفته عزا بهر دعای شه ملت؛ انجـام:کاشتافت ازین بقعه بسر منزل جاويد *** خوش آنکه شتابد بسوی رحمت یزدان خط: نستعلیق، کاتب = مؤلف، بی تا؛ شعرهای فارسی همین سـید محسن (به خط سید در شب آدینه ۱ رجب ۱۳۱۵)، تاریخ شـب سه شنبه ۲۴ جمادی الثانی ۱۳۱۴ و تاریخ روز آدینه ۷ ربیع الثانی 1316 و تاریخ روز یکشنبه ۲۵ ذی قعده ۱۳۱۴ در آن هست،بندی به عنوان موعظه و نصیحت در چهار فصل هم در آن هست، کاغذ:فرنگی ،جلد: پارچه گلدار ترمه ای مقوایی، ۷۳گ (۲۰۷ پ- ۲۸۰ پ)، ۱۸ سطر (7</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۱۳-۳۱۳۷]</w:t>
      </w:r>
    </w:p>
    <w:p>
      <w:pPr>
        <w:pStyle w:val="Heading3"/>
      </w:pPr>
      <w:bookmarkStart w:id="2027" w:name="_Toc1549"/>
      <w:r>
        <w:t>اشعار (گردآوری) / شعر / فارسی</w:t>
      </w:r>
      <w:bookmarkEnd w:id="2027"/>
    </w:p>
    <w:p>
      <w:pPr>
        <w:pStyle w:val="BookText"/>
      </w:pPr>
      <w:r>
        <w:rPr>
          <w:rFonts w:ascii="Times New Roman" w:hAnsi="Times New Roman" w:eastAsia="Times New Roman" w:cs="Times New Roman"/>
          <w:lang w:val="en-US" w:bidi="en-US"/>
          <w:color w:val="111111"/>
          <w:sz w:val="28"/>
          <w:szCs w:val="28"/>
          <w:rtl/>
        </w:rPr>
        <w:t xml:space="preserve">(aš‘ār (gerdāvarī)</w:t>
      </w:r>
    </w:p>
    <w:p>
      <w:pPr>
        <w:pStyle w:val="BookText"/>
      </w:pPr>
      <w:r>
        <w:rPr>
          <w:rFonts w:ascii="IRNazanin" w:hAnsi="IRNazanin" w:eastAsia="IRNazanin" w:cs="IRNazanin"/>
          <w:lang w:bidi="fa-IR"/>
          <w:color w:val="111111"/>
          <w:sz w:val="28"/>
          <w:szCs w:val="28"/>
          <w:rtl/>
        </w:rPr>
        <w:t xml:space="preserve">همدانی، میرزا عباسخان</w:t>
      </w:r>
    </w:p>
    <w:p>
      <w:pPr>
        <w:pStyle w:val="BookText"/>
      </w:pPr>
      <w:r>
        <w:rPr>
          <w:rFonts w:ascii="Times New Roman" w:hAnsi="Times New Roman" w:eastAsia="Times New Roman" w:cs="Times New Roman"/>
          <w:lang w:val="en-US" w:bidi="en-US"/>
          <w:color w:val="111111"/>
          <w:sz w:val="28"/>
          <w:szCs w:val="28"/>
          <w:rtl/>
        </w:rPr>
        <w:t xml:space="preserve">hamadānī, mīrzā ‘abbās-xān</w:t>
      </w:r>
    </w:p>
    <w:p>
      <w:pPr>
        <w:pStyle w:val="BookText"/>
      </w:pPr>
      <w:r>
        <w:rPr>
          <w:rFonts w:ascii="IRNazanin" w:hAnsi="IRNazanin" w:eastAsia="IRNazanin" w:cs="IRNazanin"/>
          <w:lang w:bidi="fa-IR"/>
          <w:color w:val="111111"/>
          <w:sz w:val="28"/>
          <w:szCs w:val="28"/>
          <w:rtl/>
        </w:rPr>
        <w:t xml:space="preserve">مشتمل بر قصاید و غزلیات و قطعه و رباعی به ترتیب حروف تهجی که نام شعرا نیز در ابتدای آنها آمده است، در ابتدا تقریظی از شخصی که نام وی مذکور نیست و ماده تاریخی از میرزا سید محمود خان فسائی متخلص به نعمت نگاشته شده است. نام شعرایی که در این مجموعه آمده عبارتند از: سعدی، نیازی صفوی، فیضی دکنی حسن فراهانی، مظهر کشمیری، آذر بیگدلی، عذری بیگدلی، نقی گلپایگانی ،جامی، رهی اصفهانی، زرگر اصفهانی، فیاض لاهیجی، کلیم کاشانی، فروغ الدین اصفهانی، جلال قاجار، مشتاق اصفهانی، عاشق اصفهانی، وفائی تفرشی، مکنون گرجی، صحبت لاری، امیر محمد صالح جغتائی، نشاط قمی، طلعت اصفهانی، میر شمس الدين محمد شاه جهان آبادی، نصرت طالش گیلانی، پرتو اصفهانی، رفیق اصفهانی، ظریف اصفهانی، نظیر زنگنه، اهلی شیرازی، وحشی کرمانی، فکاری سبزواری، کمال الدین مسعود خجندی، صافی اصفهانی، معزی تبریزی، خرسندی شیرازی، فدائی کرمانی، نصیب اصفهانی، حاجت شیرازی، امیر خسرو دهلوی، رفیعی کاشانی، درکی قمی، محجوب ترشیزی،هدایت طبرستانی، منصف قاجار، حرف جندقی، راهب نائینی، طایر شیرازی، دانش اصفهانی، ولی دشت بیاضی، قوسی مشهدی، صهبای قمی، بنائی هروی، طوفان مازندرانی، درویش عبدالمجید، لسانی شیرازی، نظیری نیشابوری، بیدل کرمانشهانی، احمد علی میرزا، ملک قمی، سنجر کاشانی، محتشم کاشانی، میرزا شرف جهان قزوینی، امیر همایون اسفراینی، ظهوری ترشیزی، حکیم سعید خان قمی، ذوقی اصفهانی، فصیحی تبریزی، شریف تبریزی، میرزا اسدالله تبریزی، شجاع کاشانی، نادر لاهیجی، غیرت اصفهانی، اسیری اصفهانی، ثابت دهلوی، جامی اردبیلی، میلی ترک، اهلی ترشیزی، امیر زنده دل ساوه ای، وقوعی تبریزی، میرزا محمد سبزواری، طوفی تبریزی، بیضای قاجار، سپهر اصفهانی، غازی قلندر اصفهانی، نقی کمره ای، افسر قاجار، همای شیرازی، میر حضوری قمی، احمد علی میرزای قاجار، فخری قاجار، حشمت قاجار، قطران تبریزی ،فروغی بسطامی، حافظ شیرازی، نیازی صفوی، میرزا حاتم بیگ، شحنه مازندرانی، علائی آشتیانی، عرفی شیرازی، نشاطی گرجی اصفهانی،صبوحی بدخشی، منت افشار، فریب اصفهانی، آگاه قاجار، قاضی عیسی ساوه ای، امیر محمد صالح جغتائی، مهری عرب، طرزی افشار، صادق ملا رجب، حیدر کاشانی، هاشمی بخارائی ،نیکی اصفهانی، نجات اصفهانی، خواجه مرشد شیرازی، مانی مشهدی، نظامی گنجوی، امیدی تهرانی، کوکب خراسانی، کمال خجندی، همای شیرازی، انوری ابیوردی، حیدری تبریزی، سنائی غزنوی، شبهای ترشیزی، مایل افشار، انصاری هروی، غزالی مشهدی، اثیرالدین اخسیکتی، حالتى تركمان، عنصری بلخی، سوزنی سمرقندی، بابا فغانی شیرازی، بابا نصیبی گیلانی، عتیقی سمرقندی، صهبای قمی ،عبید زاکانی، راضی اصفهانی، فخرالدین فلانسی، قوامی رازی، ازرقی هروی، ندیم مشهدی ،مولوی، مختاری غزنوی، اشراق اصفهانی، قمری آملی، مشرب عرب  عاملی، شمیم اصفهانی، صابر مشهدی، انیس اصفهانی، چشمه ایروانی،حیرتی تونی، نوای هندی ،وصالی، اسیری قزوینی، گلخن قمی، روغنی
</w:t>
      </w:r>
    </w:p>
    <w:p>
      <w:pPr>
        <w:sectPr>
          <w:footerReference w:type="default" r:id="rId998"/>
          <w:footnotePr>
            <w:numStart w:val="1"/>
            <w:numRestart w:val="eachPage"/>
          </w:footnotePr>
          <w:pgSz w:orient="portrait" w:w="11905.511811023622" w:h="16837.79527559055"/>
          <w:pgMar w:top="1440" w:right="1440" w:bottom="1440" w:left="1440" w:header="720" w:footer="720" w:gutter="0"/>
          <w:cols w:num="1" w:space="720"/>
        </w:sectPr>
      </w:pPr>
    </w:p>
    <w:bookmarkStart w:id="445" w:name="pg20365_260934"/>
    <w:bookmarkEnd w:id="445"/>
    <w:p>
      <w:pPr>
        <w:pStyle w:val="BookText"/>
      </w:pPr>
      <w:r>
        <w:rPr>
          <w:rFonts w:ascii="IRNazanin" w:hAnsi="IRNazanin" w:eastAsia="IRNazanin" w:cs="IRNazanin"/>
          <w:lang w:bidi="fa-IR"/>
          <w:color w:val="111111"/>
          <w:sz w:val="28"/>
          <w:szCs w:val="28"/>
          <w:rtl/>
        </w:rPr>
        <w:t xml:space="preserve">استر آبادی، بابا شهیدی قمی، سرمد کاشانی، تاثیر اصفهانی، عرشی تکلو، امیر صبری اصفهانی، آگاه قاجار، شایق لرستانی،مردمی  مشهدی، صاحب بلخی ،خاقانی، میر نصیبی تهرانی، رفیع الدین لنبانی، حزین لاهیجی، ذوقی ترکمان، حالتی ترکمان، نـادم لاهیجی، مقصدی ساوه ای، عادل صفوی، نصرت گیلانی، حس متكلم، حزنی افهانی، جعفری ساوه ای، عوام کردستانی، بهار دارابی، ریاض بروجردی، طراز یزدی، درویش  قاینی، نصرالله خان قراگوزلو، طالب جاجرمی، جهانشاه قاجار، وجدی هندوستانی، شاپور  تهرانی، رهبان اصفهانی، و ده ها شاعر دیگر. در پایان کتاب اشعاری از طرزی و صادق ملا رجب به ترتی حروف و رساله ای به نثر به نام «دجالیه» در ذم میرزا مهدی خواجه و پسرش میرزا هدایت آمده است.</w:t>
      </w:r>
    </w:p>
    <w:p>
      <w:pPr>
        <w:pStyle w:val="BookText"/>
      </w:pPr>
      <w:r>
        <w:rPr>
          <w:rFonts w:ascii="IRNazanin" w:hAnsi="IRNazanin" w:eastAsia="IRNazanin" w:cs="IRNazanin"/>
          <w:lang w:bidi="fa-IR"/>
          <w:color w:val="111111"/>
          <w:sz w:val="28"/>
          <w:szCs w:val="28"/>
          <w:rtl/>
        </w:rPr>
        <w:t xml:space="preserve">تبریز؛ ملی؛ شماره نسخه: ۲۶۳۱</w:t>
      </w:r>
    </w:p>
    <w:p>
      <w:pPr>
        <w:pStyle w:val="BookText"/>
      </w:pPr>
      <w:r>
        <w:rPr>
          <w:rFonts w:ascii="IRNazanin" w:hAnsi="IRNazanin" w:eastAsia="IRNazanin" w:cs="IRNazanin"/>
          <w:lang w:bidi="fa-IR"/>
          <w:color w:val="111111"/>
          <w:sz w:val="28"/>
          <w:szCs w:val="28"/>
          <w:rtl/>
        </w:rPr>
        <w:t xml:space="preserve">آغاز: یکتا خدای توانا نه تنها حقیقت اصلی وجود و بود است بلکه ذات و صفات اقدسش سرچشمه نمایش حسن و کمال نمود اتس .... حرف الالف، فى الغزليات، شيخ سعدى عليه الرحمة . تو فارغی از حال دوستان یارا *** فراغت از تو میسر نمیشود ما  را؛</w:t>
      </w:r>
    </w:p>
    <w:p>
      <w:pPr>
        <w:pStyle w:val="BookText"/>
      </w:pPr>
      <w:r>
        <w:rPr>
          <w:rFonts w:ascii="IRNazanin" w:hAnsi="IRNazanin" w:eastAsia="IRNazanin" w:cs="IRNazanin"/>
          <w:lang w:bidi="fa-IR"/>
          <w:color w:val="111111"/>
          <w:sz w:val="28"/>
          <w:szCs w:val="28"/>
          <w:rtl/>
        </w:rPr>
        <w:t xml:space="preserve">انجام: مصحف هشتی نویسد صادق ملا رجب زاب زر بسـیار خوب از بهر این بازوی تو</w:t>
      </w:r>
    </w:p>
    <w:p>
      <w:pPr>
        <w:pStyle w:val="BookText"/>
      </w:pPr>
      <w:r>
        <w:rPr>
          <w:rFonts w:ascii="IRNazanin" w:hAnsi="IRNazanin" w:eastAsia="IRNazanin" w:cs="IRNazanin"/>
          <w:lang w:bidi="fa-IR"/>
          <w:color w:val="111111"/>
          <w:sz w:val="28"/>
          <w:szCs w:val="28"/>
          <w:rtl/>
        </w:rPr>
        <w:t xml:space="preserve">خط: نستعليق، كاتب = مؤلف، قرن ۱۳ق؛ آخرین ابیات مذکور  از«صادق ملا رجب» است؛ کاغذ: فرنگی ،جلد: مقوا، ۱۴۱گ، 18-  ۱۷ سطر، اندازه: 13</w:t>
      </w:r>
      <w:r>
        <w:rPr>
          <w:rFonts w:ascii="Times New Roman" w:hAnsi="Times New Roman" w:eastAsia="Times New Roman" w:cs="Times New Roman"/>
          <w:lang w:val="en-US" w:bidi="en-US"/>
          <w:color w:val="111111"/>
          <w:sz w:val="28"/>
          <w:szCs w:val="28"/>
          <w:rtl/>
        </w:rPr>
        <w:t xml:space="preserve">×20/5</w:t>
      </w:r>
      <w:r>
        <w:rPr>
          <w:rFonts w:ascii="IRNazanin" w:hAnsi="IRNazanin" w:eastAsia="IRNazanin" w:cs="IRNazanin"/>
          <w:lang w:bidi="fa-IR"/>
          <w:color w:val="111111"/>
          <w:sz w:val="28"/>
          <w:szCs w:val="28"/>
          <w:rtl/>
        </w:rPr>
        <w:t xml:space="preserve">سم [ف: ۲ - ۸۲۸]</w:t>
      </w:r>
    </w:p>
    <w:p>
      <w:pPr>
        <w:pStyle w:val="BookText"/>
      </w:pPr>
      <w:r>
        <w:rPr>
          <w:rFonts w:ascii="IRNazanin" w:hAnsi="IRNazanin" w:eastAsia="IRNazanin" w:cs="IRNazanin"/>
          <w:lang w:bidi="fa-IR"/>
          <w:color w:val="111111"/>
          <w:sz w:val="28"/>
          <w:szCs w:val="28"/>
          <w:rtl/>
        </w:rPr>
        <w:t xml:space="preserve">قم ؛مرکز احیاء؛ شماره نسخه: ۲۳۶۹</w:t>
      </w:r>
    </w:p>
    <w:p>
      <w:pPr>
        <w:pStyle w:val="BookText"/>
      </w:pPr>
      <w:r>
        <w:rPr>
          <w:rFonts w:ascii="IRNazanin" w:hAnsi="IRNazanin" w:eastAsia="IRNazanin" w:cs="IRNazanin"/>
          <w:lang w:bidi="fa-IR"/>
          <w:color w:val="111111"/>
          <w:sz w:val="28"/>
          <w:szCs w:val="28"/>
          <w:rtl/>
        </w:rPr>
        <w:t xml:space="preserve">نسخه اصل: همان نسخه بالا [عکسی ف: ۶ - ۴۶۶]</w:t>
      </w:r>
    </w:p>
    <w:p>
      <w:pPr>
        <w:pStyle w:val="Heading3"/>
      </w:pPr>
      <w:bookmarkStart w:id="2028" w:name="_Toc1550"/>
      <w:r>
        <w:t>اشعار (گردآوری) / شعر / عربی</w:t>
      </w:r>
      <w:bookmarkEnd w:id="2028"/>
    </w:p>
    <w:p>
      <w:pPr>
        <w:pStyle w:val="BookText"/>
      </w:pPr>
      <w:r>
        <w:rPr>
          <w:rFonts w:ascii="Times New Roman" w:hAnsi="Times New Roman" w:eastAsia="Times New Roman" w:cs="Times New Roman"/>
          <w:lang w:val="en-US" w:bidi="en-US"/>
          <w:color w:val="111111"/>
          <w:sz w:val="28"/>
          <w:szCs w:val="28"/>
          <w:rtl/>
        </w:rPr>
        <w:t xml:space="preserve">(aš‘ār (gerdāvarī)</w:t>
      </w:r>
    </w:p>
    <w:p>
      <w:pPr>
        <w:pStyle w:val="BookText"/>
      </w:pPr>
      <w:r>
        <w:rPr>
          <w:rFonts w:ascii="IRNazanin" w:hAnsi="IRNazanin" w:eastAsia="IRNazanin" w:cs="IRNazanin"/>
          <w:lang w:bidi="fa-IR"/>
          <w:color w:val="111111"/>
          <w:sz w:val="28"/>
          <w:szCs w:val="28"/>
          <w:rtl/>
        </w:rPr>
        <w:t xml:space="preserve">شریف حسینی، یوسف بن محمد</w:t>
      </w:r>
    </w:p>
    <w:p>
      <w:pPr>
        <w:pStyle w:val="BookText"/>
      </w:pPr>
      <w:r>
        <w:rPr>
          <w:rFonts w:ascii="Times New Roman" w:hAnsi="Times New Roman" w:eastAsia="Times New Roman" w:cs="Times New Roman"/>
          <w:lang w:val="en-US" w:bidi="en-US"/>
          <w:color w:val="111111"/>
          <w:sz w:val="28"/>
          <w:szCs w:val="28"/>
          <w:rtl/>
        </w:rPr>
        <w:t xml:space="preserve">šarīf hoseynī, yūsof ebn-e mohammad</w:t>
      </w:r>
    </w:p>
    <w:p>
      <w:pPr>
        <w:pStyle w:val="BookText"/>
      </w:pPr>
      <w:r>
        <w:rPr>
          <w:rFonts w:ascii="IRNazanin" w:hAnsi="IRNazanin" w:eastAsia="IRNazanin" w:cs="IRNazanin"/>
          <w:lang w:bidi="fa-IR"/>
          <w:color w:val="111111"/>
          <w:sz w:val="28"/>
          <w:szCs w:val="28"/>
          <w:rtl/>
        </w:rPr>
        <w:t xml:space="preserve">جنگ اشعار است در رثاء ائمه (علیهم السّلام) از یوسف بن محمد ارموی شریف حسینی، با یک دیباچه به نثر .برخی از شعرها از خـود  گرد آورنده است.</w:t>
      </w:r>
    </w:p>
    <w:p>
      <w:pPr>
        <w:pStyle w:val="BookText"/>
      </w:pPr>
      <w:r>
        <w:rPr>
          <w:rFonts w:ascii="IRNazanin" w:hAnsi="IRNazanin" w:eastAsia="IRNazanin" w:cs="IRNazanin"/>
          <w:lang w:bidi="fa-IR"/>
          <w:color w:val="111111"/>
          <w:sz w:val="28"/>
          <w:szCs w:val="28"/>
          <w:rtl/>
        </w:rPr>
        <w:t xml:space="preserve">تهران؛ ملک؛ شماره نسخه: ۵۲۰۳</w:t>
      </w:r>
    </w:p>
    <w:p>
      <w:pPr>
        <w:pStyle w:val="BookText"/>
      </w:pPr>
      <w:r>
        <w:rPr>
          <w:rFonts w:ascii="IRNazanin" w:hAnsi="IRNazanin" w:eastAsia="IRNazanin" w:cs="IRNazanin"/>
          <w:lang w:bidi="fa-IR"/>
          <w:color w:val="111111"/>
          <w:sz w:val="28"/>
          <w:szCs w:val="28"/>
          <w:rtl/>
        </w:rPr>
        <w:t xml:space="preserve">آغاز: بسمله. الحمد لله الذى جعلنا من القوافى اثر سيد الظواهر والخوافي ... اما بعد فيقول العبد... يوسف بن محمد الارموی؛</w:t>
      </w:r>
    </w:p>
    <w:p>
      <w:pPr>
        <w:pStyle w:val="BookText"/>
      </w:pPr>
      <w:r>
        <w:rPr>
          <w:rFonts w:ascii="Amiri" w:hAnsi="Amiri" w:eastAsia="Amiri" w:cs="Amiri"/>
          <w:lang w:bidi="ar-SA"/>
          <w:color w:val="111111"/>
          <w:sz w:val="28"/>
          <w:szCs w:val="28"/>
          <w:rtl/>
        </w:rPr>
        <w:t xml:space="preserve">انجام: رجا فى القيمة ان تومنوا اذا خافت الناس اهوالها</w:t>
      </w:r>
    </w:p>
    <w:p>
      <w:pPr>
        <w:pStyle w:val="BookText"/>
      </w:pPr>
      <w:r>
        <w:rPr>
          <w:rFonts w:ascii="Amiri" w:hAnsi="Amiri" w:eastAsia="Amiri" w:cs="Amiri"/>
          <w:lang w:bidi="ar-SA"/>
          <w:color w:val="111111"/>
          <w:sz w:val="28"/>
          <w:szCs w:val="28"/>
          <w:rtl/>
        </w:rPr>
        <w:t xml:space="preserve">تمت ... الف التحية و السلام.</w:t>
      </w:r>
    </w:p>
    <w:p>
      <w:pPr>
        <w:pStyle w:val="BookText"/>
      </w:pPr>
      <w:r>
        <w:rPr>
          <w:rFonts w:ascii="IRNazanin" w:hAnsi="IRNazanin" w:eastAsia="IRNazanin" w:cs="IRNazanin"/>
          <w:lang w:bidi="fa-IR"/>
          <w:color w:val="111111"/>
          <w:sz w:val="28"/>
          <w:szCs w:val="28"/>
          <w:rtl/>
        </w:rPr>
        <w:t xml:space="preserve">خط: نسخ، کا: محمد ابراهیم بن محمد نصیر جبل عاملى الاصل و  قزوينی المسکن،تا: پنج شنبه ۲۲ صفر ۱۳۰ق؛ جلد: میشن قهوه ای روشن، ۱۷۹گ، ۱۱ سطر، اندازه: ۱۵/۲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۲۱/۸سم [ف: ۸ - ۲۴۷ ]</w:t>
      </w:r>
    </w:p>
    <w:p>
      <w:pPr>
        <w:pStyle w:val="Heading3"/>
      </w:pPr>
      <w:bookmarkStart w:id="2029" w:name="_Toc1551"/>
      <w:r>
        <w:t>اشعار (گردآوری) / شعر / فارسی</w:t>
      </w:r>
      <w:bookmarkEnd w:id="2029"/>
    </w:p>
    <w:p>
      <w:pPr>
        <w:pStyle w:val="BookText"/>
      </w:pPr>
      <w:r>
        <w:rPr>
          <w:rFonts w:ascii="Times New Roman" w:hAnsi="Times New Roman" w:eastAsia="Times New Roman" w:cs="Times New Roman"/>
          <w:lang w:val="en-US" w:bidi="en-US"/>
          <w:color w:val="111111"/>
          <w:sz w:val="28"/>
          <w:szCs w:val="28"/>
          <w:rtl/>
        </w:rPr>
        <w:t xml:space="preserve">(aš ār (gerdāvarī)</w:t>
      </w:r>
    </w:p>
    <w:p>
      <w:pPr>
        <w:pStyle w:val="BookText"/>
      </w:pPr>
      <w:r>
        <w:rPr>
          <w:rFonts w:ascii="IRNazanin" w:hAnsi="IRNazanin" w:eastAsia="IRNazanin" w:cs="IRNazanin"/>
          <w:lang w:bidi="fa-IR"/>
          <w:color w:val="111111"/>
          <w:sz w:val="28"/>
          <w:szCs w:val="28"/>
          <w:rtl/>
        </w:rPr>
        <w:t xml:space="preserve">مشتری خراسانی، محمد ابراهیم، ۱۲۶۴ - ۱۳۰۵ قمری</w:t>
      </w:r>
    </w:p>
    <w:p>
      <w:pPr>
        <w:pStyle w:val="BookText"/>
      </w:pPr>
      <w:r>
        <w:rPr>
          <w:rFonts w:ascii="Times New Roman" w:hAnsi="Times New Roman" w:eastAsia="Times New Roman" w:cs="Times New Roman"/>
          <w:lang w:val="en-US" w:bidi="en-US"/>
          <w:color w:val="111111"/>
          <w:sz w:val="28"/>
          <w:szCs w:val="28"/>
          <w:rtl/>
        </w:rPr>
        <w:t xml:space="preserve">(moštarī xorāsānī, mohammad ebrāhīm (1848-1888)</w:t>
      </w:r>
    </w:p>
    <w:p>
      <w:pPr>
        <w:pStyle w:val="BookText"/>
      </w:pPr>
      <w:r>
        <w:rPr>
          <w:rFonts w:ascii="IRNazanin" w:hAnsi="IRNazanin" w:eastAsia="IRNazanin" w:cs="IRNazanin"/>
          <w:lang w:bidi="fa-IR"/>
          <w:color w:val="111111"/>
          <w:sz w:val="28"/>
          <w:szCs w:val="28"/>
          <w:rtl/>
        </w:rPr>
        <w:t xml:space="preserve">مشهد؛ رضوی؛ شماره نسخه: ۴۹۵۶</w:t>
      </w:r>
    </w:p>
    <w:p>
      <w:pPr>
        <w:pStyle w:val="BookText"/>
      </w:pPr>
      <w:r>
        <w:rPr>
          <w:rFonts w:ascii="IRNazanin" w:hAnsi="IRNazanin" w:eastAsia="IRNazanin" w:cs="IRNazanin"/>
          <w:lang w:bidi="fa-IR"/>
          <w:color w:val="111111"/>
          <w:sz w:val="28"/>
          <w:szCs w:val="28"/>
          <w:rtl/>
        </w:rPr>
        <w:t xml:space="preserve">آغاز: باد آمد و آورد خزان لشکر سرما *** بشکست و هزیمت شد از و لشکر گرما؛ انجام: چندی ززبان دشمنان ترسیدم *** امروز زچشم دوستان میترسم</w:t>
      </w:r>
    </w:p>
    <w:p>
      <w:pPr>
        <w:pStyle w:val="BookText"/>
      </w:pPr>
      <w:r>
        <w:rPr>
          <w:rFonts w:ascii="IRNazanin" w:hAnsi="IRNazanin" w:eastAsia="IRNazanin" w:cs="IRNazanin"/>
          <w:lang w:bidi="fa-IR"/>
          <w:color w:val="111111"/>
          <w:sz w:val="28"/>
          <w:szCs w:val="28"/>
          <w:rtl/>
        </w:rPr>
        <w:t xml:space="preserve">منتخباتی است از قصاید امیر معزی، مسعود سعد، عثمان مختاری و جمال الدین عبدالرزاق اصفهانی؛ خط: نستعلیق، کا: مشتری طوسی، تا: ربیع الاول ۱۲۹۵ق؛ واقف: نایینی؛ کاغذ: سفید فرنگی آهار مهره، جلد: تیماج  جگری، ۱۲۸گ، ۱۵ 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۲۳/۵)، اندازه: ۲۰/۲۲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۳۱/۵سم [ف: ۷ - ۸۰۴]</w:t>
      </w:r>
    </w:p>
    <w:p>
      <w:pPr>
        <w:pStyle w:val="Heading3"/>
      </w:pPr>
      <w:bookmarkStart w:id="2030" w:name="_Toc1552"/>
      <w:r>
        <w:t>اشعار (گردآوری) / شعر /عربی</w:t>
      </w:r>
      <w:bookmarkEnd w:id="2030"/>
    </w:p>
    <w:p>
      <w:pPr>
        <w:pStyle w:val="BookText"/>
      </w:pPr>
      <w:r>
        <w:rPr>
          <w:rFonts w:ascii="Times New Roman" w:hAnsi="Times New Roman" w:eastAsia="Times New Roman" w:cs="Times New Roman"/>
          <w:lang w:val="en-US" w:bidi="en-US"/>
          <w:color w:val="111111"/>
          <w:sz w:val="28"/>
          <w:szCs w:val="28"/>
          <w:rtl/>
        </w:rPr>
        <w:t xml:space="preserve">(aš‘ār (gerdāvarī)</w:t>
      </w:r>
    </w:p>
    <w:p>
      <w:pPr>
        <w:pStyle w:val="BookText"/>
      </w:pPr>
      <w:r>
        <w:rPr>
          <w:rFonts w:ascii="IRNazanin" w:hAnsi="IRNazanin" w:eastAsia="IRNazanin" w:cs="IRNazanin"/>
          <w:lang w:bidi="fa-IR"/>
          <w:color w:val="111111"/>
          <w:sz w:val="28"/>
          <w:szCs w:val="28"/>
          <w:rtl/>
        </w:rPr>
        <w:t xml:space="preserve">تبریزی خیابانی، علی بن عبدالعظیم، ۱۲۴۴ - ۱۳۲۶  شمسی</w:t>
      </w:r>
    </w:p>
    <w:p>
      <w:pPr>
        <w:pStyle w:val="BookText"/>
      </w:pPr>
      <w:r>
        <w:rPr>
          <w:rFonts w:ascii="Times New Roman" w:hAnsi="Times New Roman" w:eastAsia="Times New Roman" w:cs="Times New Roman"/>
          <w:lang w:val="en-US" w:bidi="en-US"/>
          <w:color w:val="111111"/>
          <w:sz w:val="28"/>
          <w:szCs w:val="28"/>
          <w:rtl/>
        </w:rPr>
        <w:t xml:space="preserve">(tabrīzī xīyābānī, ‘alī ebn-e ‘abd-ol-‘azīm (1865 - 1947)</w:t>
      </w:r>
    </w:p>
    <w:p>
      <w:pPr>
        <w:pStyle w:val="BookText"/>
      </w:pPr>
      <w:r>
        <w:rPr>
          <w:rFonts w:ascii="IRNazanin" w:hAnsi="IRNazanin" w:eastAsia="IRNazanin" w:cs="IRNazanin"/>
          <w:lang w:bidi="fa-IR"/>
          <w:color w:val="111111"/>
          <w:sz w:val="28"/>
          <w:szCs w:val="28"/>
          <w:rtl/>
        </w:rPr>
        <w:t xml:space="preserve">تاریخ تأليف: ۱۴۳۷ق</w:t>
      </w:r>
    </w:p>
    <w:p>
      <w:pPr>
        <w:pStyle w:val="BookText"/>
      </w:pPr>
      <w:r>
        <w:rPr>
          <w:rFonts w:ascii="IRNazanin" w:hAnsi="IRNazanin" w:eastAsia="IRNazanin" w:cs="IRNazanin"/>
          <w:lang w:bidi="fa-IR"/>
          <w:color w:val="111111"/>
          <w:sz w:val="28"/>
          <w:szCs w:val="28"/>
          <w:rtl/>
        </w:rPr>
        <w:t xml:space="preserve">مشتمل بر اشعاری که در مرثیه امام حسین (علیه السّلام) و اصحاب آن حضرت گفته شده، از شاعران قدیم و معاصر مؤلف، و بدون ترتیب و تنظیم مخصوص. نام شاعران این مجموعه عبارت است از: دعبل الخزاعی، مغامس، صقر البصرى، ابن حماد، الفضل بن العباس، النجاشي، بحر العلوم ،الخليعي، يحيى بن اعقب، شيخ حسن صاحب معالم، عبد الباقی عمری، سعد الدولة، ميرزا عبدالرحمن خراسانی، ملا داود خراسانی ،عبدالصمد خامنه ای، شیخ احمد بحرانی، شیخ صالح الكواز، سيد حيدر حلی، شیخ كاظم الازرى، شیخ عبدالحسین الاعسم، شيخ محمد رضا الازری ،ابوفراس، ابوالحسن التهامی، شیخ محمد على الاعسم، شيخ سالم الطريحی، شریف رضی، سید ماجد البحراني، سيد ابراهيم الطباطبائی، سید داود الحلى، ابن السبع سلاطين، شيخ حسن الدمستانی، ابوذؤيب یوسف، شیخ عبد الحسين شكر.</w:t>
      </w:r>
    </w:p>
    <w:p>
      <w:pPr>
        <w:pStyle w:val="BookText"/>
      </w:pPr>
      <w:r>
        <w:rPr>
          <w:rFonts w:ascii="IRNazanin" w:hAnsi="IRNazanin" w:eastAsia="IRNazanin" w:cs="IRNazanin"/>
          <w:lang w:bidi="fa-IR"/>
          <w:color w:val="111111"/>
          <w:sz w:val="28"/>
          <w:szCs w:val="28"/>
          <w:rtl/>
        </w:rPr>
        <w:t xml:space="preserve">قم؛ مرعشی ؛شماره نسخه: ۴۵۱۴</w:t>
      </w:r>
    </w:p>
    <w:p>
      <w:pPr>
        <w:pStyle w:val="BookText"/>
      </w:pPr>
      <w:r>
        <w:rPr>
          <w:rFonts w:ascii="IRNazanin" w:hAnsi="IRNazanin" w:eastAsia="IRNazanin" w:cs="IRNazanin"/>
          <w:lang w:bidi="fa-IR"/>
          <w:color w:val="111111"/>
          <w:sz w:val="28"/>
          <w:szCs w:val="28"/>
          <w:rtl/>
        </w:rPr>
        <w:t xml:space="preserve">خط: نسخ، كاتب = مؤلف، تا: ۱۳۴۸ق، جلد: تیماج مشکی بدون مقوا، ۹۱گ، مختلف السطر، اندازه: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 ۱۲ - ۹۲]</w:t>
      </w:r>
    </w:p>
    <w:p>
      <w:pPr>
        <w:pStyle w:val="Heading3"/>
      </w:pPr>
      <w:bookmarkStart w:id="2031" w:name="_Toc1553"/>
      <w:r>
        <w:t>اشعار (گردآوری) / شعر / فارسی</w:t>
      </w:r>
      <w:bookmarkEnd w:id="2031"/>
    </w:p>
    <w:p>
      <w:pPr>
        <w:pStyle w:val="BookText"/>
      </w:pPr>
      <w:r>
        <w:rPr>
          <w:rFonts w:ascii="Times New Roman" w:hAnsi="Times New Roman" w:eastAsia="Times New Roman" w:cs="Times New Roman"/>
          <w:lang w:val="en-US" w:bidi="en-US"/>
          <w:color w:val="111111"/>
          <w:sz w:val="28"/>
          <w:szCs w:val="28"/>
          <w:rtl/>
        </w:rPr>
        <w:t xml:space="preserve">(aš ār (gerdāvarī)</w:t>
      </w:r>
    </w:p>
    <w:p>
      <w:pPr>
        <w:pStyle w:val="BookText"/>
      </w:pPr>
      <w:r>
        <w:rPr>
          <w:rFonts w:ascii="IRNazanin" w:hAnsi="IRNazanin" w:eastAsia="IRNazanin" w:cs="IRNazanin"/>
          <w:lang w:bidi="fa-IR"/>
          <w:color w:val="111111"/>
          <w:sz w:val="28"/>
          <w:szCs w:val="28"/>
          <w:rtl/>
        </w:rPr>
        <w:t xml:space="preserve">تبریزی خیابانی، علی بن عبدالعظیم، ۱۲۴۴ - ۱۳۲۶  شمسی
</w:t>
      </w:r>
    </w:p>
    <w:p>
      <w:pPr>
        <w:sectPr>
          <w:footerReference w:type="default" r:id="rId999"/>
          <w:footnotePr>
            <w:numStart w:val="1"/>
            <w:numRestart w:val="eachPage"/>
          </w:footnotePr>
          <w:pgSz w:orient="portrait" w:w="11905.511811023622" w:h="16837.79527559055"/>
          <w:pgMar w:top="1440" w:right="1440" w:bottom="1440" w:left="1440" w:header="720" w:footer="720" w:gutter="0"/>
          <w:cols w:num="1" w:space="720"/>
        </w:sectPr>
      </w:pPr>
    </w:p>
    <w:bookmarkStart w:id="446" w:name="pg20365_260935"/>
    <w:bookmarkEnd w:id="446"/>
    <w:p>
      <w:pPr>
        <w:pStyle w:val="BookText"/>
      </w:pPr>
      <w:r>
        <w:rPr>
          <w:rFonts w:ascii="Times New Roman" w:hAnsi="Times New Roman" w:eastAsia="Times New Roman" w:cs="Times New Roman"/>
          <w:lang w:val="en-US" w:bidi="en-US"/>
          <w:color w:val="111111"/>
          <w:sz w:val="28"/>
          <w:szCs w:val="28"/>
          <w:rtl/>
        </w:rPr>
        <w:t xml:space="preserve">(tabrīzī xīyābānī, ‘alī ebn-e ‘abd-ol-‘azīm (1865 - 1947)</w:t>
      </w:r>
    </w:p>
    <w:p>
      <w:pPr>
        <w:pStyle w:val="BookText"/>
      </w:pPr>
      <w:r>
        <w:rPr>
          <w:rFonts w:ascii="IRNazanin" w:hAnsi="IRNazanin" w:eastAsia="IRNazanin" w:cs="IRNazanin"/>
          <w:lang w:bidi="fa-IR"/>
          <w:color w:val="111111"/>
          <w:sz w:val="28"/>
          <w:szCs w:val="28"/>
          <w:rtl/>
        </w:rPr>
        <w:t xml:space="preserve">اشعاری است انتخاب شده از شاعران گوناگون فارسی زبان، فضایل و مصائب حضرات معصومین (علیه السّلام) این انتخاب برای اهل منبر انجام گرفته، و در آغاز مجموعه چند قصیده است به عربی.</w:t>
      </w:r>
    </w:p>
    <w:p>
      <w:pPr>
        <w:pStyle w:val="BookText"/>
      </w:pPr>
      <w:r>
        <w:rPr>
          <w:rFonts w:ascii="IRNazanin" w:hAnsi="IRNazanin" w:eastAsia="IRNazanin" w:cs="IRNazanin"/>
          <w:lang w:bidi="fa-IR"/>
          <w:color w:val="111111"/>
          <w:sz w:val="28"/>
          <w:szCs w:val="28"/>
          <w:rtl/>
        </w:rPr>
        <w:t xml:space="preserve">قم؛ مرعشی؛ شماره نسخه :۴۴۹۹</w:t>
      </w:r>
    </w:p>
    <w:p>
      <w:pPr>
        <w:pStyle w:val="BookText"/>
      </w:pPr>
      <w:r>
        <w:rPr>
          <w:rFonts w:ascii="Amiri" w:hAnsi="Amiri" w:eastAsia="Amiri" w:cs="Amiri"/>
          <w:lang w:bidi="ar-SA"/>
          <w:color w:val="111111"/>
          <w:sz w:val="28"/>
          <w:szCs w:val="28"/>
          <w:rtl/>
        </w:rPr>
        <w:t xml:space="preserve">آغاز: فى ورود الحسين على ارض كربلا، من قصيدة الشريـف مكة: ام أنسه لما سرى من يثرب *** بعصابة من رهطه النجباء</w:t>
      </w:r>
    </w:p>
    <w:p>
      <w:pPr>
        <w:pStyle w:val="BookText"/>
      </w:pPr>
      <w:r>
        <w:rPr>
          <w:rFonts w:ascii="IRNazanin" w:hAnsi="IRNazanin" w:eastAsia="IRNazanin" w:cs="IRNazanin"/>
          <w:lang w:bidi="fa-IR"/>
          <w:color w:val="111111"/>
          <w:sz w:val="28"/>
          <w:szCs w:val="28"/>
          <w:rtl/>
        </w:rPr>
        <w:t xml:space="preserve">خط: نستعليق، كاتب = مؤلف، بی تا؛ سطرها چلیپا ؛جلد: تیماج مشکی، ۱۵۹گ ،مختلف السطر،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۱۵/۵سم [ف: ۱۲ - 75]</w:t>
      </w:r>
    </w:p>
    <w:p>
      <w:pPr>
        <w:pStyle w:val="Heading3"/>
      </w:pPr>
      <w:bookmarkStart w:id="2032" w:name="_Toc1554"/>
      <w:r>
        <w:t>اشعار (گردآوری) / شعر / فارسی</w:t>
      </w:r>
      <w:bookmarkEnd w:id="2032"/>
    </w:p>
    <w:p>
      <w:pPr>
        <w:pStyle w:val="BookText"/>
      </w:pPr>
      <w:r>
        <w:rPr>
          <w:rFonts w:ascii="Times New Roman" w:hAnsi="Times New Roman" w:eastAsia="Times New Roman" w:cs="Times New Roman"/>
          <w:lang w:val="en-US" w:bidi="en-US"/>
          <w:color w:val="111111"/>
          <w:sz w:val="28"/>
          <w:szCs w:val="28"/>
          <w:rtl/>
        </w:rPr>
        <w:t xml:space="preserve">(aš‘ār (gerdāvarī)</w:t>
      </w:r>
    </w:p>
    <w:p>
      <w:pPr>
        <w:pStyle w:val="BookText"/>
      </w:pPr>
      <w:r>
        <w:rPr>
          <w:rFonts w:ascii="IRNazanin" w:hAnsi="IRNazanin" w:eastAsia="IRNazanin" w:cs="IRNazanin"/>
          <w:lang w:bidi="fa-IR"/>
          <w:color w:val="111111"/>
          <w:sz w:val="28"/>
          <w:szCs w:val="28"/>
          <w:rtl/>
        </w:rPr>
        <w:t xml:space="preserve">شوشتری، محمد باقر بن علی، - ۱۳۲۷ قمری</w:t>
      </w:r>
    </w:p>
    <w:p>
      <w:pPr>
        <w:pStyle w:val="BookText"/>
      </w:pPr>
      <w:r>
        <w:rPr>
          <w:rFonts w:ascii="Times New Roman" w:hAnsi="Times New Roman" w:eastAsia="Times New Roman" w:cs="Times New Roman"/>
          <w:lang w:val="en-US" w:bidi="en-US"/>
          <w:color w:val="111111"/>
          <w:sz w:val="28"/>
          <w:szCs w:val="28"/>
          <w:rtl/>
        </w:rPr>
        <w:t xml:space="preserve">(šoštarī, mohammad bāqer ebn-e ‘alī (- 1909)</w:t>
      </w:r>
    </w:p>
    <w:p>
      <w:pPr>
        <w:pStyle w:val="BookText"/>
      </w:pPr>
      <w:r>
        <w:rPr>
          <w:rFonts w:ascii="IRNazanin" w:hAnsi="IRNazanin" w:eastAsia="IRNazanin" w:cs="IRNazanin"/>
          <w:lang w:bidi="fa-IR"/>
          <w:color w:val="111111"/>
          <w:sz w:val="28"/>
          <w:szCs w:val="28"/>
          <w:rtl/>
        </w:rPr>
        <w:t xml:space="preserve">در این مجموعه اشعاری در مطالب دینی و معمیات و غزلیات و تواریخ و اشعار زنان و اشعاری متفرقه گرد آورده شده است.</w:t>
      </w:r>
    </w:p>
    <w:p>
      <w:pPr>
        <w:pStyle w:val="BookText"/>
      </w:pPr>
      <w:r>
        <w:rPr>
          <w:rFonts w:ascii="IRNazanin" w:hAnsi="IRNazanin" w:eastAsia="IRNazanin" w:cs="IRNazanin"/>
          <w:lang w:bidi="fa-IR"/>
          <w:color w:val="111111"/>
          <w:sz w:val="28"/>
          <w:szCs w:val="28"/>
          <w:rtl/>
        </w:rPr>
        <w:t xml:space="preserve">قم؛ مرعشی؛ شماره نسخه: ۸۷۷۴</w:t>
      </w:r>
    </w:p>
    <w:p>
      <w:pPr>
        <w:pStyle w:val="BookText"/>
      </w:pPr>
      <w:r>
        <w:rPr>
          <w:rFonts w:ascii="IRNazanin" w:hAnsi="IRNazanin" w:eastAsia="IRNazanin" w:cs="IRNazanin"/>
          <w:lang w:bidi="fa-IR"/>
          <w:color w:val="111111"/>
          <w:sz w:val="28"/>
          <w:szCs w:val="28"/>
          <w:rtl/>
        </w:rPr>
        <w:t xml:space="preserve">آغاز: این اشعار هر یک از جهت مناسبت مطلب دین داری نوشته شد. مجنون تو کوه را زصحرا نشناخت *** دیوانه عشق تو سر از پا نشناخت</w:t>
      </w:r>
    </w:p>
    <w:p>
      <w:pPr>
        <w:pStyle w:val="BookText"/>
      </w:pPr>
      <w:r>
        <w:rPr>
          <w:rFonts w:ascii="IRNazanin" w:hAnsi="IRNazanin" w:eastAsia="IRNazanin" w:cs="IRNazanin"/>
          <w:lang w:bidi="fa-IR"/>
          <w:color w:val="111111"/>
          <w:sz w:val="28"/>
          <w:szCs w:val="28"/>
          <w:rtl/>
        </w:rPr>
        <w:t xml:space="preserve">خط: نسخ، کاتب = مؤلف، بی تا، روی برگ اول یادداشتی از سید محمد موسوی جزائری به تاریخ ۱۶ربیع الاول ۱۳۷۲ دیده  می شود؛ جلد: تیماج قرمز ۱۶۰گ، مختلف السطر، اندازه: ۱۷/۵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 ۲۲ - ۳۰۸]</w:t>
      </w:r>
    </w:p>
    <w:p>
      <w:pPr>
        <w:pStyle w:val="Heading3"/>
      </w:pPr>
      <w:bookmarkStart w:id="2033" w:name="_Toc1555"/>
      <w:r>
        <w:t>اشعار (گردآوری) / شعر / عربی</w:t>
      </w:r>
      <w:bookmarkEnd w:id="2033"/>
    </w:p>
    <w:p>
      <w:pPr>
        <w:pStyle w:val="BookText"/>
      </w:pPr>
      <w:r>
        <w:rPr>
          <w:rFonts w:ascii="Times New Roman" w:hAnsi="Times New Roman" w:eastAsia="Times New Roman" w:cs="Times New Roman"/>
          <w:lang w:val="en-US" w:bidi="en-US"/>
          <w:color w:val="111111"/>
          <w:sz w:val="28"/>
          <w:szCs w:val="28"/>
          <w:rtl/>
        </w:rPr>
        <w:t xml:space="preserve">(aš‘ār (gerdāvarī)</w:t>
      </w:r>
    </w:p>
    <w:p>
      <w:pPr>
        <w:pStyle w:val="BookText"/>
      </w:pPr>
      <w:r>
        <w:rPr>
          <w:rFonts w:ascii="IRNazanin" w:hAnsi="IRNazanin" w:eastAsia="IRNazanin" w:cs="IRNazanin"/>
          <w:lang w:bidi="fa-IR"/>
          <w:color w:val="111111"/>
          <w:sz w:val="28"/>
          <w:szCs w:val="28"/>
          <w:rtl/>
        </w:rPr>
        <w:t xml:space="preserve">مجد الاشراف، محمد بن ابوالقاسم، ۱۲۴۶ - ۱۳۳۱ ؟ قمری</w:t>
      </w:r>
    </w:p>
    <w:p>
      <w:pPr>
        <w:pStyle w:val="BookText"/>
      </w:pPr>
      <w:r>
        <w:rPr>
          <w:rFonts w:ascii="Times New Roman" w:hAnsi="Times New Roman" w:eastAsia="Times New Roman" w:cs="Times New Roman"/>
          <w:lang w:val="en-US" w:bidi="en-US"/>
          <w:color w:val="111111"/>
          <w:sz w:val="28"/>
          <w:szCs w:val="28"/>
          <w:rtl/>
        </w:rPr>
        <w:t xml:space="preserve">(1913-majd-ol-ašrāf, mohammad ebn-e ab-ol-qāsem (1831 -</w:t>
      </w:r>
    </w:p>
    <w:p>
      <w:pPr>
        <w:pStyle w:val="BookText"/>
      </w:pPr>
      <w:r>
        <w:rPr>
          <w:rFonts w:ascii="IRNazanin" w:hAnsi="IRNazanin" w:eastAsia="IRNazanin" w:cs="IRNazanin"/>
          <w:lang w:bidi="fa-IR"/>
          <w:color w:val="111111"/>
          <w:sz w:val="28"/>
          <w:szCs w:val="28"/>
          <w:rtl/>
        </w:rPr>
        <w:t xml:space="preserve">جنگی است از قصاید و مخمسات از شعرای قدیم و معاصر گرد آورنده در فضایل و مناقب و مصایب حضرات معصومین (علیه السّلام) و چند قصیده فارسی از صباحی و مسمط آنها از سید تقی قزوینی و رساله «نثر اللالی» طبرسی. احتمالاً گردآورنده از اهل منبر بوده و این قصاید را برای حفظ انتخاب کرده است.</w:t>
      </w:r>
    </w:p>
    <w:p>
      <w:pPr>
        <w:pStyle w:val="BookText"/>
      </w:pPr>
      <w:r>
        <w:rPr>
          <w:rFonts w:ascii="IRNazanin" w:hAnsi="IRNazanin" w:eastAsia="IRNazanin" w:cs="IRNazanin"/>
          <w:lang w:bidi="fa-IR"/>
          <w:color w:val="111111"/>
          <w:sz w:val="28"/>
          <w:szCs w:val="28"/>
          <w:rtl/>
        </w:rPr>
        <w:t xml:space="preserve">قم ؛مرعشی؛ شماره نسخه: ۹۶۰۴</w:t>
      </w:r>
    </w:p>
    <w:p>
      <w:pPr>
        <w:pStyle w:val="BookText"/>
      </w:pPr>
      <w:r>
        <w:rPr>
          <w:rFonts w:ascii="Amiri" w:hAnsi="Amiri" w:eastAsia="Amiri" w:cs="Amiri"/>
          <w:lang w:bidi="ar-SA"/>
          <w:color w:val="111111"/>
          <w:sz w:val="28"/>
          <w:szCs w:val="28"/>
          <w:rtl/>
        </w:rPr>
        <w:t xml:space="preserve">آغاز: نحمدك يا من يفتتح باسمه الابواب و يذلل بذكره الصعـاب و لا يغلق بابه لراجيه و لا يمنع جنابه لمنا جيه؛ انجام: ان جسماً ترون تصهره الشمس شقيق البتول مهجة طه</w:t>
      </w:r>
    </w:p>
    <w:p>
      <w:pPr>
        <w:pStyle w:val="BookText"/>
      </w:pPr>
      <w:r>
        <w:rPr>
          <w:rFonts w:ascii="IRNazanin" w:hAnsi="IRNazanin" w:eastAsia="IRNazanin" w:cs="IRNazanin"/>
          <w:lang w:bidi="fa-IR"/>
          <w:color w:val="111111"/>
          <w:sz w:val="28"/>
          <w:szCs w:val="28"/>
          <w:rtl/>
        </w:rPr>
        <w:t xml:space="preserve">خط: نسخ، كاتب = مؤلف، بی تا؛ در حاشیه لغات توضیح داده شده؛ جلد: مقوایی عطف تیماج قهوه ای، ۱۷۵گ، مختلف السطر، اندازه: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۲۵ - ۵]</w:t>
      </w:r>
    </w:p>
    <w:p>
      <w:pPr>
        <w:pStyle w:val="Heading3"/>
      </w:pPr>
      <w:bookmarkStart w:id="2034" w:name="_Toc1556"/>
      <w:r>
        <w:t>اشعار / شعر / فارسی</w:t>
      </w:r>
      <w:bookmarkEnd w:id="2034"/>
    </w:p>
    <w:p>
      <w:pPr>
        <w:pStyle w:val="BookText"/>
      </w:pPr>
      <w:r>
        <w:rPr>
          <w:rFonts w:ascii="Times New Roman" w:hAnsi="Times New Roman" w:eastAsia="Times New Roman" w:cs="Times New Roman"/>
          <w:lang w:val="en-US" w:bidi="en-US"/>
          <w:color w:val="111111"/>
          <w:sz w:val="28"/>
          <w:szCs w:val="28"/>
          <w:rtl/>
        </w:rPr>
        <w:t xml:space="preserve">asar</w:t>
      </w:r>
    </w:p>
    <w:p>
      <w:pPr>
        <w:pStyle w:val="BookText"/>
      </w:pPr>
      <w:r>
        <w:rPr>
          <w:rFonts w:ascii="IRNazanin" w:hAnsi="IRNazanin" w:eastAsia="IRNazanin" w:cs="IRNazanin"/>
          <w:lang w:bidi="fa-IR"/>
          <w:color w:val="111111"/>
          <w:sz w:val="28"/>
          <w:szCs w:val="28"/>
          <w:rtl/>
        </w:rPr>
        <w:t xml:space="preserve">تجلی دزفولی، عبدالحسین بن محمد طاهر،۱۲۴۷- ۱۳۳۹ ؟ قمری</w:t>
      </w:r>
    </w:p>
    <w:p>
      <w:pPr>
        <w:pStyle w:val="BookText"/>
      </w:pPr>
      <w:r>
        <w:rPr>
          <w:rFonts w:ascii="Times New Roman" w:hAnsi="Times New Roman" w:eastAsia="Times New Roman" w:cs="Times New Roman"/>
          <w:lang w:val="en-US" w:bidi="en-US"/>
          <w:color w:val="111111"/>
          <w:sz w:val="28"/>
          <w:szCs w:val="28"/>
          <w:rtl/>
        </w:rPr>
        <w:t xml:space="preserve">(tajallī-ye dezfūlī, 'abd-ol-hoseyn ebn-e mohammad taher (1832 - 1921)</w:t>
      </w:r>
    </w:p>
    <w:p>
      <w:pPr>
        <w:pStyle w:val="BookText"/>
      </w:pPr>
      <w:r>
        <w:rPr>
          <w:rFonts w:ascii="IRNazanin" w:hAnsi="IRNazanin" w:eastAsia="IRNazanin" w:cs="IRNazanin"/>
          <w:lang w:bidi="fa-IR"/>
          <w:color w:val="111111"/>
          <w:sz w:val="28"/>
          <w:szCs w:val="28"/>
          <w:rtl/>
        </w:rPr>
        <w:t xml:space="preserve">مخمسی در مدح و منقبت حضرت صاحب الزمان (عجّل الله تعالی فرجه الشریف) و مثنوی از زبان حال حضرت ابی عبدالله (علیه السّلام) ذوالفقار آتش بار و نفس شریف و مکالمات حضرت امام حسین (علیه السّلام) با سکینه (علیها السّلام)، مؤلف ابتدا «بهار» و بعد «تجلی» تخلص کرده است.</w:t>
      </w:r>
    </w:p>
    <w:p>
      <w:pPr>
        <w:pStyle w:val="BookText"/>
      </w:pPr>
      <w:r>
        <w:rPr>
          <w:rFonts w:ascii="IRNazanin" w:hAnsi="IRNazanin" w:eastAsia="IRNazanin" w:cs="IRNazanin"/>
          <w:lang w:bidi="fa-IR"/>
          <w:color w:val="111111"/>
          <w:sz w:val="28"/>
          <w:szCs w:val="28"/>
          <w:rtl/>
        </w:rPr>
        <w:t xml:space="preserve">مشهد؛ رضوی؛ شماره نسخه: ۱۳۵۴۷/۲</w:t>
      </w:r>
    </w:p>
    <w:p>
      <w:pPr>
        <w:pStyle w:val="BookText"/>
      </w:pPr>
      <w:r>
        <w:rPr>
          <w:rFonts w:ascii="IRNazanin" w:hAnsi="IRNazanin" w:eastAsia="IRNazanin" w:cs="IRNazanin"/>
          <w:lang w:bidi="fa-IR"/>
          <w:color w:val="111111"/>
          <w:sz w:val="28"/>
          <w:szCs w:val="28"/>
          <w:rtl/>
        </w:rPr>
        <w:t xml:space="preserve">آغاز: جوان شد جهان پیر ز انفاس فروردین؛ انجام: بر شتر بستید چون بار سفر *** من بدنبال شما آیم بسر</w:t>
      </w:r>
    </w:p>
    <w:p>
      <w:pPr>
        <w:pStyle w:val="BookText"/>
      </w:pPr>
      <w:r>
        <w:rPr>
          <w:rFonts w:ascii="IRNazanin" w:hAnsi="IRNazanin" w:eastAsia="IRNazanin" w:cs="IRNazanin"/>
          <w:lang w:bidi="fa-IR"/>
          <w:color w:val="111111"/>
          <w:sz w:val="28"/>
          <w:szCs w:val="28"/>
          <w:rtl/>
        </w:rPr>
        <w:t xml:space="preserve">خط: نسخ، بی کا، تا: محرم ۱۲۸۶ق؛ کاغذ: نخودی و شکری، جلد: مقوایی با روکش مشمع قرمز، ۲۱ص (۵۰-۷۰)،۱۲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۱۷ - ۴۵۹]</w:t>
      </w:r>
    </w:p>
    <w:p>
      <w:pPr>
        <w:pStyle w:val="Heading3"/>
      </w:pPr>
      <w:bookmarkStart w:id="2035" w:name="_Toc1557"/>
      <w:r>
        <w:t>اشعار (گردآوری) / شعر / فارسی</w:t>
      </w:r>
      <w:bookmarkEnd w:id="2035"/>
    </w:p>
    <w:p>
      <w:pPr>
        <w:pStyle w:val="BookText"/>
      </w:pPr>
      <w:r>
        <w:rPr>
          <w:rFonts w:ascii="Times New Roman" w:hAnsi="Times New Roman" w:eastAsia="Times New Roman" w:cs="Times New Roman"/>
          <w:lang w:val="en-US" w:bidi="en-US"/>
          <w:color w:val="111111"/>
          <w:sz w:val="28"/>
          <w:szCs w:val="28"/>
          <w:rtl/>
        </w:rPr>
        <w:t xml:space="preserve">(aš ār (gerdāvarī)</w:t>
      </w:r>
    </w:p>
    <w:p>
      <w:pPr>
        <w:pStyle w:val="BookText"/>
      </w:pPr>
      <w:r>
        <w:rPr>
          <w:rFonts w:ascii="IRNazanin" w:hAnsi="IRNazanin" w:eastAsia="IRNazanin" w:cs="IRNazanin"/>
          <w:lang w:bidi="fa-IR"/>
          <w:color w:val="111111"/>
          <w:sz w:val="28"/>
          <w:szCs w:val="28"/>
          <w:rtl/>
        </w:rPr>
        <w:t xml:space="preserve">قوانلو قاجار، حسینقلی خان، - قرن ۱۳ق</w:t>
      </w:r>
    </w:p>
    <w:p>
      <w:pPr>
        <w:pStyle w:val="BookText"/>
      </w:pPr>
      <w:r>
        <w:rPr>
          <w:rFonts w:ascii="Times New Roman" w:hAnsi="Times New Roman" w:eastAsia="Times New Roman" w:cs="Times New Roman"/>
          <w:lang w:val="en-US" w:bidi="en-US"/>
          <w:color w:val="111111"/>
          <w:sz w:val="28"/>
          <w:szCs w:val="28"/>
          <w:rtl/>
        </w:rPr>
        <w:t xml:space="preserve">(qavānlū qājār, hoseynqolī xān (- 19c)</w:t>
      </w:r>
    </w:p>
    <w:p>
      <w:pPr>
        <w:pStyle w:val="BookText"/>
      </w:pPr>
      <w:r>
        <w:rPr>
          <w:rFonts w:ascii="IRNazanin" w:hAnsi="IRNazanin" w:eastAsia="IRNazanin" w:cs="IRNazanin"/>
          <w:lang w:bidi="fa-IR"/>
          <w:color w:val="111111"/>
          <w:sz w:val="28"/>
          <w:szCs w:val="28"/>
          <w:rtl/>
        </w:rPr>
        <w:t xml:space="preserve">گویا گردآوری حسینقلی خان قاجار قوانلو، با تاریخ هایی از غره ربیع الاول ۱۲۳۵ و ۱۲۳۰؛ شامل اشعاری از کاتب ملا حاجی، تعریف  بازار، تعریف حمام، تعریف دلاک، تعریف تفلیس، شعری از محمود غزنوی، شعر میرزا ابراهیم، شعرهایی از سعدی، جامی و محتشم، قضا و قدر محمد قلی سلیم، مسدس وحشی، قصیده و اشعار از عرفی شیرازی، اشعاری از ملا نظام استرآبادی و میرزا محمد کاظم متخلص به آذر، غزلیات خطائی (ترکی)، اشعاری از  فضولی ،پروانه ،حافظ، شیخ بهائی و رفیق اصفهانی، مثنوی پیر و جوان میرزا محمد نصیر، دیباچه نکاح از حسینقلی خان.</w:t>
      </w:r>
    </w:p>
    <w:p>
      <w:pPr>
        <w:pStyle w:val="BookText"/>
      </w:pPr>
      <w:r>
        <w:rPr>
          <w:rFonts w:ascii="IRNazanin" w:hAnsi="IRNazanin" w:eastAsia="IRNazanin" w:cs="IRNazanin"/>
          <w:lang w:bidi="fa-IR"/>
          <w:color w:val="111111"/>
          <w:sz w:val="28"/>
          <w:szCs w:val="28"/>
          <w:rtl/>
        </w:rPr>
        <w:t xml:space="preserve">تهران؛ ملک؛ شماره نسخه: ۵۱۰۲</w:t>
      </w:r>
    </w:p>
    <w:p>
      <w:pPr>
        <w:pStyle w:val="BookText"/>
      </w:pPr>
      <w:r>
        <w:rPr>
          <w:rFonts w:ascii="IRNazanin" w:hAnsi="IRNazanin" w:eastAsia="IRNazanin" w:cs="IRNazanin"/>
          <w:lang w:bidi="fa-IR"/>
          <w:color w:val="111111"/>
          <w:sz w:val="28"/>
          <w:szCs w:val="28"/>
          <w:rtl/>
        </w:rPr>
        <w:t xml:space="preserve">خط: شکسته نستعليق بدخط، كاتب = مؤلف، تا:غره ربیع الاول ۱۲۳۵ق؛ راسته و چلیپا؛ کاغذ: ترمه رنگارنگ، جلد: میشن قهوه ای ،۸۳گ، مختلف السطر،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۲۰/۱سم [ف: 8- 205]</w:t>
      </w:r>
    </w:p>
    <w:p>
      <w:pPr>
        <w:pStyle w:val="Heading3"/>
      </w:pPr>
      <w:bookmarkStart w:id="2036" w:name="_Toc1558"/>
      <w:r>
        <w:t>اشعار (گردآوری) / شعر / فارسی</w:t>
      </w:r>
      <w:bookmarkEnd w:id="2036"/>
    </w:p>
    <w:p>
      <w:pPr>
        <w:sectPr>
          <w:footerReference w:type="default" r:id="rId1000"/>
          <w:footnotePr>
            <w:numStart w:val="1"/>
            <w:numRestart w:val="eachPage"/>
          </w:footnotePr>
          <w:pgSz w:orient="portrait" w:w="11905.511811023622" w:h="16837.79527559055"/>
          <w:pgMar w:top="1440" w:right="1440" w:bottom="1440" w:left="1440" w:header="720" w:footer="720" w:gutter="0"/>
          <w:cols w:num="1" w:space="720"/>
        </w:sectPr>
      </w:pPr>
    </w:p>
    <w:bookmarkStart w:id="447" w:name="pg20365_260936"/>
    <w:bookmarkEnd w:id="447"/>
    <w:p>
      <w:pPr>
        <w:pStyle w:val="BookText"/>
      </w:pPr>
      <w:r>
        <w:rPr>
          <w:rFonts w:ascii="Times New Roman" w:hAnsi="Times New Roman" w:eastAsia="Times New Roman" w:cs="Times New Roman"/>
          <w:lang w:val="en-US" w:bidi="en-US"/>
          <w:color w:val="111111"/>
          <w:sz w:val="28"/>
          <w:szCs w:val="28"/>
          <w:rtl/>
        </w:rPr>
        <w:t xml:space="preserve">(aš‘ār (gerdāvarī)</w:t>
      </w:r>
    </w:p>
    <w:p>
      <w:pPr>
        <w:pStyle w:val="BookText"/>
      </w:pPr>
      <w:r>
        <w:rPr>
          <w:rFonts w:ascii="IRNazanin" w:hAnsi="IRNazanin" w:eastAsia="IRNazanin" w:cs="IRNazanin"/>
          <w:lang w:bidi="fa-IR"/>
          <w:color w:val="111111"/>
          <w:sz w:val="28"/>
          <w:szCs w:val="28"/>
          <w:rtl/>
        </w:rPr>
        <w:t xml:space="preserve">نوری احمد</w:t>
      </w:r>
    </w:p>
    <w:p>
      <w:pPr>
        <w:pStyle w:val="BookText"/>
      </w:pPr>
      <w:r>
        <w:rPr>
          <w:rFonts w:ascii="Times New Roman" w:hAnsi="Times New Roman" w:eastAsia="Times New Roman" w:cs="Times New Roman"/>
          <w:lang w:val="en-US" w:bidi="en-US"/>
          <w:color w:val="111111"/>
          <w:sz w:val="28"/>
          <w:szCs w:val="28"/>
          <w:rtl/>
        </w:rPr>
        <w:t xml:space="preserve">rī, ahmad</w:t>
      </w:r>
    </w:p>
    <w:p>
      <w:pPr>
        <w:pStyle w:val="BookText"/>
      </w:pPr>
      <w:r>
        <w:rPr>
          <w:rFonts w:ascii="IRNazanin" w:hAnsi="IRNazanin" w:eastAsia="IRNazanin" w:cs="IRNazanin"/>
          <w:lang w:bidi="fa-IR"/>
          <w:color w:val="111111"/>
          <w:sz w:val="28"/>
          <w:szCs w:val="28"/>
          <w:rtl/>
        </w:rPr>
        <w:t xml:space="preserve">منتخباتی است از اشعاری اخلاقی عرفانی از کلیات سعدی شیرازی و دیوان حافظ شیرازی.</w:t>
      </w:r>
    </w:p>
    <w:p>
      <w:pPr>
        <w:pStyle w:val="BookText"/>
      </w:pPr>
      <w:r>
        <w:rPr>
          <w:rFonts w:ascii="IRNazanin" w:hAnsi="IRNazanin" w:eastAsia="IRNazanin" w:cs="IRNazanin"/>
          <w:lang w:bidi="fa-IR"/>
          <w:color w:val="111111"/>
          <w:sz w:val="28"/>
          <w:szCs w:val="28"/>
          <w:rtl/>
        </w:rPr>
        <w:t xml:space="preserve">قم؛ مرکز احیاء؛ شماره نسخه: ۱۹۸۷</w:t>
      </w:r>
    </w:p>
    <w:p>
      <w:pPr>
        <w:pStyle w:val="BookText"/>
      </w:pPr>
      <w:r>
        <w:rPr>
          <w:rFonts w:ascii="IRNazanin" w:hAnsi="IRNazanin" w:eastAsia="IRNazanin" w:cs="IRNazanin"/>
          <w:lang w:bidi="fa-IR"/>
          <w:color w:val="111111"/>
          <w:sz w:val="28"/>
          <w:szCs w:val="28"/>
          <w:rtl/>
        </w:rPr>
        <w:t xml:space="preserve">آغاز: باب اول از بوستان: بنام خدائی که جان آفرید *** سـخن گفتن اندر زبان آفرید / خداوند بخشنده دستگیر *** کریم خطا بخش پوزش پذیر</w:t>
      </w:r>
    </w:p>
    <w:p>
      <w:pPr>
        <w:pStyle w:val="BookText"/>
      </w:pPr>
      <w:r>
        <w:rPr>
          <w:rFonts w:ascii="IRNazanin" w:hAnsi="IRNazanin" w:eastAsia="IRNazanin" w:cs="IRNazanin"/>
          <w:lang w:bidi="fa-IR"/>
          <w:color w:val="111111"/>
          <w:sz w:val="28"/>
          <w:szCs w:val="28"/>
          <w:rtl/>
        </w:rPr>
        <w:t xml:space="preserve">خط: نستعلیق، کاتب = مؤلف، تا: جمعه ۲۶ شعبان ۱۳۱۲ق؛ جلد: تیماج قهوه ای، ۱۳۶گ، ۱۴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۵ - ۴۱۹]</w:t>
      </w:r>
    </w:p>
    <w:p>
      <w:pPr>
        <w:pStyle w:val="Heading3"/>
      </w:pPr>
      <w:bookmarkStart w:id="2037" w:name="_Toc1559"/>
      <w:r>
        <w:t>اشعار (گردآوری) / شعر / فارسی</w:t>
      </w:r>
      <w:bookmarkEnd w:id="2037"/>
    </w:p>
    <w:p>
      <w:pPr>
        <w:pStyle w:val="BookText"/>
      </w:pPr>
      <w:r>
        <w:rPr>
          <w:rFonts w:ascii="Times New Roman" w:hAnsi="Times New Roman" w:eastAsia="Times New Roman" w:cs="Times New Roman"/>
          <w:lang w:val="en-US" w:bidi="en-US"/>
          <w:color w:val="111111"/>
          <w:sz w:val="28"/>
          <w:szCs w:val="28"/>
          <w:rtl/>
        </w:rPr>
        <w:t xml:space="preserve">(aš‘ār (gerdāvarī)</w:t>
      </w:r>
    </w:p>
    <w:p>
      <w:pPr>
        <w:pStyle w:val="BookText"/>
      </w:pPr>
      <w:r>
        <w:rPr>
          <w:rFonts w:ascii="IRNazanin" w:hAnsi="IRNazanin" w:eastAsia="IRNazanin" w:cs="IRNazanin"/>
          <w:lang w:bidi="fa-IR"/>
          <w:color w:val="111111"/>
          <w:sz w:val="28"/>
          <w:szCs w:val="28"/>
          <w:rtl/>
        </w:rPr>
        <w:t xml:space="preserve">نیل فروش، علی</w:t>
      </w:r>
    </w:p>
    <w:p>
      <w:pPr>
        <w:pStyle w:val="BookText"/>
      </w:pPr>
      <w:r>
        <w:rPr>
          <w:rFonts w:ascii="Times New Roman" w:hAnsi="Times New Roman" w:eastAsia="Times New Roman" w:cs="Times New Roman"/>
          <w:lang w:val="en-US" w:bidi="en-US"/>
          <w:color w:val="111111"/>
          <w:sz w:val="28"/>
          <w:szCs w:val="28"/>
          <w:rtl/>
        </w:rPr>
        <w:t xml:space="preserve">nīl-forūš, ‘alī</w:t>
      </w:r>
    </w:p>
    <w:p>
      <w:pPr>
        <w:pStyle w:val="BookText"/>
      </w:pPr>
      <w:r>
        <w:rPr>
          <w:rFonts w:ascii="IRNazanin" w:hAnsi="IRNazanin" w:eastAsia="IRNazanin" w:cs="IRNazanin"/>
          <w:lang w:bidi="fa-IR"/>
          <w:color w:val="111111"/>
          <w:sz w:val="28"/>
          <w:szCs w:val="28"/>
          <w:rtl/>
        </w:rPr>
        <w:t xml:space="preserve">اشعاری است اغلب از رمزی و شعرهای از: رمزی ( آقا علی فروش متخلص به رمزی)، ناصر خسرو، شمس مغربی، قصیده میرزا عبدالله سامانی متخلص به محیط فرزند تاج الشعراء عمـان، آقا محمد جان میرزا ابوالفتح متخلص به دهقان سامان.</w:t>
      </w:r>
    </w:p>
    <w:p>
      <w:pPr>
        <w:pStyle w:val="BookText"/>
      </w:pPr>
      <w:r>
        <w:rPr>
          <w:rFonts w:ascii="IRNazanin" w:hAnsi="IRNazanin" w:eastAsia="IRNazanin" w:cs="IRNazanin"/>
          <w:lang w:bidi="fa-IR"/>
          <w:color w:val="111111"/>
          <w:sz w:val="28"/>
          <w:szCs w:val="28"/>
          <w:rtl/>
        </w:rPr>
        <w:t xml:space="preserve">قم؛ گلپایگانی؛ شماره نسخه: ۳۲۷۵-۱۷/۵۵</w:t>
      </w:r>
    </w:p>
    <w:p>
      <w:pPr>
        <w:pStyle w:val="BookText"/>
      </w:pPr>
      <w:r>
        <w:rPr>
          <w:rFonts w:ascii="IRNazanin" w:hAnsi="IRNazanin" w:eastAsia="IRNazanin" w:cs="IRNazanin"/>
          <w:lang w:bidi="fa-IR"/>
          <w:color w:val="111111"/>
          <w:sz w:val="28"/>
          <w:szCs w:val="28"/>
          <w:rtl/>
        </w:rPr>
        <w:t xml:space="preserve">آغاز: معمار کون کرد ز عشقم بنای دل *** از شش جهت چهار صنوبر نمای دل / نقاش صنع کرده منقش نقوش دهر ***کفر است اگر که نقطه نشانی به جای دل؛ انجام: تا که شد کهنه دمن از اثر باد خزان *** تا شود تازه چمن از اثر باد بهار/ باد اعدای تو را کاسه محنت مملو ***باد احباب تو را ساغر عشرت سربار</w:t>
      </w:r>
    </w:p>
    <w:p>
      <w:pPr>
        <w:pStyle w:val="BookText"/>
      </w:pPr>
      <w:r>
        <w:rPr>
          <w:rFonts w:ascii="IRNazanin" w:hAnsi="IRNazanin" w:eastAsia="IRNazanin" w:cs="IRNazanin"/>
          <w:lang w:bidi="fa-IR"/>
          <w:color w:val="111111"/>
          <w:sz w:val="28"/>
          <w:szCs w:val="28"/>
          <w:rtl/>
        </w:rPr>
        <w:t xml:space="preserve">خط: تحریری، بی کا، تا: ۱۳۱۸ق، ۲۴گ، ۱۱- ۱۶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۳ - ۱۲۳۳]</w:t>
      </w:r>
    </w:p>
    <w:p>
      <w:pPr>
        <w:pStyle w:val="Heading3"/>
      </w:pPr>
      <w:bookmarkStart w:id="2038" w:name="_Toc1560"/>
      <w:r>
        <w:t>اشعار / شعر / فارسی</w:t>
      </w:r>
      <w:bookmarkEnd w:id="2038"/>
    </w:p>
    <w:p>
      <w:pPr>
        <w:pStyle w:val="BookText"/>
      </w:pPr>
      <w:r>
        <w:rPr>
          <w:rFonts w:ascii="Times New Roman" w:hAnsi="Times New Roman" w:eastAsia="Times New Roman" w:cs="Times New Roman"/>
          <w:lang w:val="en-US" w:bidi="en-US"/>
          <w:color w:val="111111"/>
          <w:sz w:val="28"/>
          <w:szCs w:val="28"/>
          <w:rtl/>
        </w:rPr>
        <w:t xml:space="preserve">aš‘ār</w:t>
      </w:r>
    </w:p>
    <w:p>
      <w:pPr>
        <w:pStyle w:val="BookText"/>
      </w:pPr>
      <w:r>
        <w:rPr>
          <w:rFonts w:ascii="IRNazanin" w:hAnsi="IRNazanin" w:eastAsia="IRNazanin" w:cs="IRNazanin"/>
          <w:lang w:bidi="fa-IR"/>
          <w:color w:val="111111"/>
          <w:sz w:val="28"/>
          <w:szCs w:val="28"/>
          <w:rtl/>
        </w:rPr>
        <w:t xml:space="preserve">اردبیلی، ابراهیم بن حسین</w:t>
      </w:r>
    </w:p>
    <w:p>
      <w:pPr>
        <w:pStyle w:val="BookText"/>
      </w:pPr>
      <w:r>
        <w:rPr>
          <w:rFonts w:ascii="Times New Roman" w:hAnsi="Times New Roman" w:eastAsia="Times New Roman" w:cs="Times New Roman"/>
          <w:lang w:val="en-US" w:bidi="en-US"/>
          <w:color w:val="111111"/>
          <w:sz w:val="28"/>
          <w:szCs w:val="28"/>
          <w:rtl/>
        </w:rPr>
        <w:t xml:space="preserve">ardabīlī, ebrāhīm ebn-e hoseyn</w:t>
      </w:r>
    </w:p>
    <w:p>
      <w:pPr>
        <w:pStyle w:val="BookText"/>
      </w:pPr>
      <w:r>
        <w:rPr>
          <w:rFonts w:ascii="IRNazanin" w:hAnsi="IRNazanin" w:eastAsia="IRNazanin" w:cs="IRNazanin"/>
          <w:lang w:bidi="fa-IR"/>
          <w:color w:val="111111"/>
          <w:sz w:val="28"/>
          <w:szCs w:val="28"/>
          <w:rtl/>
        </w:rPr>
        <w:t xml:space="preserve">چند مجموعه شعر متفاوت از وی.</w:t>
      </w:r>
    </w:p>
    <w:p>
      <w:pPr>
        <w:pStyle w:val="BookText"/>
      </w:pPr>
      <w:r>
        <w:rPr>
          <w:rFonts w:ascii="IRNazanin" w:hAnsi="IRNazanin" w:eastAsia="IRNazanin" w:cs="IRNazanin"/>
          <w:lang w:bidi="fa-IR"/>
          <w:color w:val="111111"/>
          <w:sz w:val="28"/>
          <w:szCs w:val="28"/>
          <w:rtl/>
        </w:rPr>
        <w:t xml:space="preserve">۱. تهران؛ مجلس؛ شماره نسخه: ۱۷۰۰۰ ض</w:t>
      </w:r>
    </w:p>
    <w:p>
      <w:pPr>
        <w:pStyle w:val="BookText"/>
      </w:pPr>
      <w:r>
        <w:rPr>
          <w:rFonts w:ascii="IRNazanin" w:hAnsi="IRNazanin" w:eastAsia="IRNazanin" w:cs="IRNazanin"/>
          <w:lang w:bidi="fa-IR"/>
          <w:color w:val="111111"/>
          <w:sz w:val="28"/>
          <w:szCs w:val="28"/>
          <w:rtl/>
        </w:rPr>
        <w:t xml:space="preserve">آغاز: چو عروس حسن تو شد برون *** ز سرادقات على على/ قبسات عشق تو شد فزون *** بتلألئات علی علی؛ انجام: تو می و تو ساغر می کشان *** بسبو کنی یم و حوت را / تو مراد و مقصـد  طالبان *** نكنم رهات على على.</w:t>
      </w:r>
    </w:p>
    <w:p>
      <w:pPr>
        <w:pStyle w:val="BookText"/>
      </w:pPr>
      <w:r>
        <w:rPr>
          <w:rFonts w:ascii="IRNazanin" w:hAnsi="IRNazanin" w:eastAsia="IRNazanin" w:cs="IRNazanin"/>
          <w:lang w:bidi="fa-IR"/>
          <w:color w:val="111111"/>
          <w:sz w:val="28"/>
          <w:szCs w:val="28"/>
          <w:rtl/>
        </w:rPr>
        <w:t xml:space="preserve">ترکیب بندی در مدح امیرالمؤمنین علی (علیه السّلام) در چهارده بند؛ خـط:نسخ و نستعلیق، كاتب = مؤلف، تا: 1315- 1322ق، جلد: چرم قهوه ای، ۲ ص (۲۰ -۲۱)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۴۷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مجلس؛ شماره نسخه: ۱۷۰۰۰ ض</w:t>
      </w:r>
    </w:p>
    <w:p>
      <w:pPr>
        <w:pStyle w:val="BookText"/>
      </w:pPr>
      <w:r>
        <w:rPr>
          <w:rFonts w:ascii="IRNazanin" w:hAnsi="IRNazanin" w:eastAsia="IRNazanin" w:cs="IRNazanin"/>
          <w:lang w:bidi="fa-IR"/>
          <w:color w:val="111111"/>
          <w:sz w:val="28"/>
          <w:szCs w:val="28"/>
          <w:rtl/>
        </w:rPr>
        <w:t xml:space="preserve">آغاز: یار بی پرده در سرای وجود *** از پس هفت خیمه جلوه نمود ؛انجام: که رخ یار از در و دیوار *** در تجلی است یا اولی الابصار.</w:t>
      </w:r>
    </w:p>
    <w:p>
      <w:pPr>
        <w:pStyle w:val="BookText"/>
      </w:pPr>
      <w:r>
        <w:rPr>
          <w:rFonts w:ascii="IRNazanin" w:hAnsi="IRNazanin" w:eastAsia="IRNazanin" w:cs="IRNazanin"/>
          <w:lang w:bidi="fa-IR"/>
          <w:color w:val="111111"/>
          <w:sz w:val="28"/>
          <w:szCs w:val="28"/>
          <w:rtl/>
        </w:rPr>
        <w:t xml:space="preserve">ترجیع بند در اختفای هاتف اصفهانی. خط: نسخ و نستعلیق، کاتب= مؤلف، تا: ۱۳۱۵ - ۱۳۲۲ق، جلد: چرم قهوه ای، ۵ص (۵۰-۵۴)،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۴۷ -]</w:t>
      </w:r>
    </w:p>
    <w:p>
      <w:pPr>
        <w:pStyle w:val="BookText"/>
      </w:pPr>
      <w:r>
        <w:rPr>
          <w:rFonts w:ascii="IRNazanin" w:hAnsi="IRNazanin" w:eastAsia="IRNazanin" w:cs="IRNazanin"/>
          <w:lang w:bidi="fa-IR"/>
          <w:color w:val="111111"/>
          <w:sz w:val="28"/>
          <w:szCs w:val="28"/>
          <w:rtl/>
        </w:rPr>
        <w:t xml:space="preserve">3.تهران؛ مجلس؛ شماره نسخه :۱۷۰۰۰ ض</w:t>
      </w:r>
    </w:p>
    <w:p>
      <w:pPr>
        <w:pStyle w:val="BookText"/>
      </w:pPr>
      <w:r>
        <w:rPr>
          <w:rFonts w:ascii="IRNazanin" w:hAnsi="IRNazanin" w:eastAsia="IRNazanin" w:cs="IRNazanin"/>
          <w:lang w:bidi="fa-IR"/>
          <w:color w:val="111111"/>
          <w:sz w:val="28"/>
          <w:szCs w:val="28"/>
          <w:rtl/>
        </w:rPr>
        <w:t xml:space="preserve">آغاز: مستان خرابات همه جلوه کنانند *** فارغ ز دو کونند و ز خود بیخبرانند؛</w:t>
      </w:r>
    </w:p>
    <w:p>
      <w:pPr>
        <w:pStyle w:val="BookText"/>
      </w:pPr>
      <w:r>
        <w:rPr>
          <w:rFonts w:ascii="IRNazanin" w:hAnsi="IRNazanin" w:eastAsia="IRNazanin" w:cs="IRNazanin"/>
          <w:lang w:bidi="fa-IR"/>
          <w:color w:val="111111"/>
          <w:sz w:val="28"/>
          <w:szCs w:val="28"/>
          <w:rtl/>
        </w:rPr>
        <w:t xml:space="preserve">تضمين غزل سعدی؛ خط: نسخ و نستعلیق، كاتب = مؤلف،تا: ۱۳۱۵ - ۱۳۲۲ق، جلد: چرم قهوه ای، ۲ ص (۵۵-۵۶)،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۴۷- ]</w:t>
      </w:r>
    </w:p>
    <w:p>
      <w:pPr>
        <w:pStyle w:val="BookText"/>
      </w:pPr>
      <w:r>
        <w:rPr>
          <w:rFonts w:ascii="IRNazanin" w:hAnsi="IRNazanin" w:eastAsia="IRNazanin" w:cs="IRNazanin"/>
          <w:lang w:bidi="fa-IR"/>
          <w:color w:val="111111"/>
          <w:sz w:val="28"/>
          <w:szCs w:val="28"/>
          <w:rtl/>
        </w:rPr>
        <w:t xml:space="preserve">۴. تهران؛ مجلس؛ شماره نسخه: ۱۷۰۰۰ ض</w:t>
      </w:r>
    </w:p>
    <w:p>
      <w:pPr>
        <w:pStyle w:val="BookText"/>
      </w:pPr>
      <w:r>
        <w:rPr>
          <w:rFonts w:ascii="IRNazanin" w:hAnsi="IRNazanin" w:eastAsia="IRNazanin" w:cs="IRNazanin"/>
          <w:lang w:bidi="fa-IR"/>
          <w:color w:val="111111"/>
          <w:sz w:val="28"/>
          <w:szCs w:val="28"/>
          <w:rtl/>
        </w:rPr>
        <w:t xml:space="preserve">ترجیع بند در مدح امیرالمؤمنین (۵۶-۵۷) فارسی با بند ترجیع عربی. بند ترجیع: «یا نور مصباح الهدا، مصباح مشكوه التقى، انت المنى انت المنى الغوث يا مولا علی»؛ خط: نسخ و نستعليق، كاتب= مؤلف، تا: ۱۳۱۵ - ۱۳۲۲ق، جلد: چرم قهوه ای، ۲ص (۵۶-۵۷)،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۴۷- ]</w:t>
      </w:r>
    </w:p>
    <w:p>
      <w:pPr>
        <w:pStyle w:val="Heading3"/>
      </w:pPr>
      <w:bookmarkStart w:id="2039" w:name="_Toc1561"/>
      <w:r>
        <w:t>اشعار (گردآوری) / شعر / فارسی</w:t>
      </w:r>
      <w:bookmarkEnd w:id="2039"/>
    </w:p>
    <w:p>
      <w:pPr>
        <w:pStyle w:val="BookText"/>
      </w:pPr>
      <w:r>
        <w:rPr>
          <w:rFonts w:ascii="Times New Roman" w:hAnsi="Times New Roman" w:eastAsia="Times New Roman" w:cs="Times New Roman"/>
          <w:lang w:val="en-US" w:bidi="en-US"/>
          <w:color w:val="111111"/>
          <w:sz w:val="28"/>
          <w:szCs w:val="28"/>
          <w:rtl/>
        </w:rPr>
        <w:t xml:space="preserve">(aš ār (gerdāvarī)</w:t>
      </w:r>
    </w:p>
    <w:p>
      <w:pPr>
        <w:pStyle w:val="BookText"/>
      </w:pPr>
      <w:r>
        <w:rPr>
          <w:rFonts w:ascii="IRNazanin" w:hAnsi="IRNazanin" w:eastAsia="IRNazanin" w:cs="IRNazanin"/>
          <w:lang w:bidi="fa-IR"/>
          <w:color w:val="111111"/>
          <w:sz w:val="28"/>
          <w:szCs w:val="28"/>
          <w:rtl/>
        </w:rPr>
        <w:t xml:space="preserve">دانش تبریزی، لطفعلی بن محمد کاظم،۱۲۶۸  - 1350 قمری</w:t>
      </w:r>
    </w:p>
    <w:p>
      <w:pPr>
        <w:pStyle w:val="BookText"/>
      </w:pPr>
      <w:r>
        <w:rPr>
          <w:rFonts w:ascii="Times New Roman" w:hAnsi="Times New Roman" w:eastAsia="Times New Roman" w:cs="Times New Roman"/>
          <w:lang w:val="en-US" w:bidi="en-US"/>
          <w:color w:val="111111"/>
          <w:sz w:val="28"/>
          <w:szCs w:val="28"/>
          <w:rtl/>
        </w:rPr>
        <w:t xml:space="preserve">dāneš-e tabrīzī, lotf-'alī ebn-e mohammad kāzem</w:t>
      </w:r>
    </w:p>
    <w:p>
      <w:pPr>
        <w:pStyle w:val="BookText"/>
      </w:pPr>
      <w:r>
        <w:rPr>
          <w:rFonts w:ascii="Times New Roman" w:hAnsi="Times New Roman" w:eastAsia="Times New Roman" w:cs="Times New Roman"/>
          <w:lang w:val="en-US" w:bidi="en-US"/>
          <w:color w:val="111111"/>
          <w:sz w:val="28"/>
          <w:szCs w:val="28"/>
          <w:rtl/>
        </w:rPr>
        <w:t xml:space="preserve">(1852 - 1932)</w:t>
      </w:r>
    </w:p>
    <w:p>
      <w:pPr>
        <w:pStyle w:val="BookText"/>
      </w:pPr>
      <w:r>
        <w:rPr>
          <w:rFonts w:ascii="IRNazanin" w:hAnsi="IRNazanin" w:eastAsia="IRNazanin" w:cs="IRNazanin"/>
          <w:lang w:bidi="fa-IR"/>
          <w:color w:val="111111"/>
          <w:sz w:val="28"/>
          <w:szCs w:val="28"/>
          <w:rtl/>
        </w:rPr>
        <w:t xml:space="preserve">اشعار و یادداشت هایی بدون ترتیب و نظم است دارای غزل و تضمینات، معمیات و ماده تاریخ که در پایان پاره ای از غزلیات و قطعات دیده می شود. از جمله عناوین اشعار مندرج در این جنگ: ماده تاریخ حاج سلطان علی شوشتری، ماده تاریخ جنت آباد پونه، در ضمن سرمشق جهت میرزا ابوالقاسم کاشانی، حسب الخواهش درة التاج شاهزاده قمر خانم صبيه نواب والا سیاوش میرزا به جهت اطراف دستمال، تاریخ کتاب لیلی و مجنون، جهت موتمن الوزاره، ماده تاریخ ملحد فال اسیری، تاریخ کتاب، شجاعة الحسینی از تألیفات میرزا ابوالحسن صدر الشعراء شیرازی متخلص به خرم.</w:t>
      </w:r>
    </w:p>
    <w:p>
      <w:pPr>
        <w:pStyle w:val="BookText"/>
      </w:pPr>
      <w:r>
        <w:rPr>
          <w:rFonts w:ascii="IRNazanin" w:hAnsi="IRNazanin" w:eastAsia="IRNazanin" w:cs="IRNazanin"/>
          <w:lang w:bidi="fa-IR"/>
          <w:color w:val="111111"/>
          <w:sz w:val="28"/>
          <w:szCs w:val="28"/>
          <w:rtl/>
        </w:rPr>
        <w:t xml:space="preserve">تهران؛ نوربخش ؛شماره نسخه: ۷۸۸</w:t>
      </w:r>
    </w:p>
    <w:p>
      <w:pPr>
        <w:pStyle w:val="BookText"/>
      </w:pPr>
      <w:r>
        <w:rPr>
          <w:rFonts w:ascii="IRNazanin" w:hAnsi="IRNazanin" w:eastAsia="IRNazanin" w:cs="IRNazanin"/>
          <w:lang w:bidi="fa-IR"/>
          <w:color w:val="111111"/>
          <w:sz w:val="28"/>
          <w:szCs w:val="28"/>
          <w:rtl/>
        </w:rPr>
        <w:t xml:space="preserve">آغاز: تا شد آن سرو روان از من بیگانه جدا *** بی خود از خویش جدا گشتم و دیوانه جدا/ گشته از هجر رخش با من بیدل توام *** غم جدا غصه جدا گوشه ویرانه جدا
</w:t>
      </w:r>
    </w:p>
    <w:p>
      <w:pPr>
        <w:sectPr>
          <w:footerReference w:type="default" r:id="rId1001"/>
          <w:footnotePr>
            <w:numStart w:val="1"/>
            <w:numRestart w:val="eachPage"/>
          </w:footnotePr>
          <w:pgSz w:orient="portrait" w:w="11905.511811023622" w:h="16837.79527559055"/>
          <w:pgMar w:top="1440" w:right="1440" w:bottom="1440" w:left="1440" w:header="720" w:footer="720" w:gutter="0"/>
          <w:cols w:num="1" w:space="720"/>
        </w:sectPr>
      </w:pPr>
    </w:p>
    <w:bookmarkStart w:id="448" w:name="pg20365_260937"/>
    <w:bookmarkEnd w:id="448"/>
    <w:p>
      <w:pPr>
        <w:pStyle w:val="BookText"/>
      </w:pPr>
      <w:r>
        <w:rPr>
          <w:rFonts w:ascii="IRNazanin" w:hAnsi="IRNazanin" w:eastAsia="IRNazanin" w:cs="IRNazanin"/>
          <w:lang w:bidi="fa-IR"/>
          <w:color w:val="111111"/>
          <w:sz w:val="28"/>
          <w:szCs w:val="28"/>
          <w:rtl/>
        </w:rPr>
        <w:t xml:space="preserve">خط: نستعليق، كاتب = مؤلف، بی تا؛ برخی از اشعار تاریخ 1323- 1331ق دارد، بر پشت برگ نخست یادداشتی است (گویا به خط شعاع) درباره این که نسخه به خط لطف الله دانش شیرازی است و نیز چند یادداشت دیگر، بر برگ آخر ستونی است برای تعـیین زمان دقیق نوروزدر چند سال قمری و ترکی، در داخل جلد راست و چپ نیز یادداشت ها و اشعاری نوشته و از آن جمله اسـت یک قطعه شعر بدون نقطه، در بسیاری از صفحات خط خوردگی و اصطلاحات دیده می شود؛ کاغذ: فرنگی ،جلد: مقوای قهوه ای با عطف پارچه ای سفید، ۴۲گ، مختلف السطر، قطع: خشتی، اندازه: ۱۶/۵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[نشریه: ۱۳ – ۱۶۷]</w:t>
      </w:r>
    </w:p>
    <w:p>
      <w:pPr>
        <w:pStyle w:val="Heading3"/>
      </w:pPr>
      <w:bookmarkStart w:id="2040" w:name="_Toc1562"/>
      <w:r>
        <w:t>اشعار (گردآوری) / شعر / عربی</w:t>
      </w:r>
      <w:bookmarkEnd w:id="2040"/>
    </w:p>
    <w:p>
      <w:pPr>
        <w:pStyle w:val="BookText"/>
      </w:pPr>
      <w:r>
        <w:rPr>
          <w:rFonts w:ascii="Times New Roman" w:hAnsi="Times New Roman" w:eastAsia="Times New Roman" w:cs="Times New Roman"/>
          <w:lang w:val="en-US" w:bidi="en-US"/>
          <w:color w:val="111111"/>
          <w:sz w:val="28"/>
          <w:szCs w:val="28"/>
          <w:rtl/>
        </w:rPr>
        <w:t xml:space="preserve">(aš‘ār (gerdāvarī)</w:t>
      </w:r>
    </w:p>
    <w:p>
      <w:pPr>
        <w:pStyle w:val="BookText"/>
      </w:pPr>
      <w:r>
        <w:rPr>
          <w:rFonts w:ascii="IRNazanin" w:hAnsi="IRNazanin" w:eastAsia="IRNazanin" w:cs="IRNazanin"/>
          <w:lang w:bidi="fa-IR"/>
          <w:color w:val="111111"/>
          <w:sz w:val="28"/>
          <w:szCs w:val="28"/>
          <w:rtl/>
        </w:rPr>
        <w:t xml:space="preserve">دشتی، عبدالرضا بن حسن، - ۱۳۵۶ قمری</w:t>
      </w:r>
    </w:p>
    <w:p>
      <w:pPr>
        <w:pStyle w:val="BookText"/>
      </w:pPr>
      <w:r>
        <w:rPr>
          <w:rFonts w:ascii="Times New Roman" w:hAnsi="Times New Roman" w:eastAsia="Times New Roman" w:cs="Times New Roman"/>
          <w:lang w:val="en-US" w:bidi="en-US"/>
          <w:color w:val="111111"/>
          <w:sz w:val="28"/>
          <w:szCs w:val="28"/>
          <w:rtl/>
        </w:rPr>
        <w:t xml:space="preserve">(daštī, ‘abd-or-rezā ben hasan (- 1937)</w:t>
      </w:r>
    </w:p>
    <w:p>
      <w:pPr>
        <w:pStyle w:val="BookText"/>
      </w:pPr>
      <w:r>
        <w:rPr>
          <w:rFonts w:ascii="IRNazanin" w:hAnsi="IRNazanin" w:eastAsia="IRNazanin" w:cs="IRNazanin"/>
          <w:lang w:bidi="fa-IR"/>
          <w:color w:val="111111"/>
          <w:sz w:val="28"/>
          <w:szCs w:val="28"/>
          <w:rtl/>
        </w:rPr>
        <w:t xml:space="preserve">در این مجموعه اشعار متفرقه ای بدون تنظیم خاص در سال هـای ۱۳۰۴-۱۳۰۳ گرد آورده شده است. بیشتر شعرها ازسید حميرى، شيخ بهاء الدین عاملی، ابن ابى الحديد معتزلی، ابوفراس حمدانی، ابوالفتح بستنی ،طغرائی، امرؤ القيس، شنفری ازدی می باشد.</w:t>
      </w:r>
    </w:p>
    <w:p>
      <w:pPr>
        <w:pStyle w:val="BookText"/>
      </w:pPr>
      <w:r>
        <w:rPr>
          <w:rFonts w:ascii="IRNazanin" w:hAnsi="IRNazanin" w:eastAsia="IRNazanin" w:cs="IRNazanin"/>
          <w:lang w:bidi="fa-IR"/>
          <w:color w:val="111111"/>
          <w:sz w:val="28"/>
          <w:szCs w:val="28"/>
          <w:rtl/>
        </w:rPr>
        <w:t xml:space="preserve">قم؛ مرکز احیاء ؛شماره نسخه: ۱۳۰۱</w:t>
      </w:r>
    </w:p>
    <w:p>
      <w:pPr>
        <w:pStyle w:val="BookText"/>
      </w:pPr>
      <w:r>
        <w:rPr>
          <w:rFonts w:ascii="IRNazanin" w:hAnsi="IRNazanin" w:eastAsia="IRNazanin" w:cs="IRNazanin"/>
          <w:lang w:bidi="fa-IR"/>
          <w:color w:val="111111"/>
          <w:sz w:val="28"/>
          <w:szCs w:val="28"/>
          <w:rtl/>
        </w:rPr>
        <w:t xml:space="preserve">خط: نسخ، کاتب = مؤلف، تا: ۱۳۰۳-۱۳۰۴ق، جلد: تیماج قـرمز بدون مقوا، ۸۰گ، مختلف السطر،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۱۸/۵سم [ف:4- 132]</w:t>
      </w:r>
    </w:p>
    <w:p>
      <w:pPr>
        <w:pStyle w:val="Heading3"/>
      </w:pPr>
      <w:bookmarkStart w:id="2041" w:name="_Toc1563"/>
      <w:r>
        <w:t>اشعار (گردآوری) / شعر / فارسی، عربی</w:t>
      </w:r>
      <w:bookmarkEnd w:id="2041"/>
    </w:p>
    <w:p>
      <w:pPr>
        <w:pStyle w:val="BookText"/>
      </w:pPr>
      <w:r>
        <w:rPr>
          <w:rFonts w:ascii="Times New Roman" w:hAnsi="Times New Roman" w:eastAsia="Times New Roman" w:cs="Times New Roman"/>
          <w:lang w:val="en-US" w:bidi="en-US"/>
          <w:color w:val="111111"/>
          <w:sz w:val="28"/>
          <w:szCs w:val="28"/>
          <w:rtl/>
        </w:rPr>
        <w:t xml:space="preserve">(aš‘ār (gerdāvarī)</w:t>
      </w:r>
    </w:p>
    <w:p>
      <w:pPr>
        <w:pStyle w:val="BookText"/>
      </w:pPr>
      <w:r>
        <w:rPr>
          <w:rFonts w:ascii="IRNazanin" w:hAnsi="IRNazanin" w:eastAsia="IRNazanin" w:cs="IRNazanin"/>
          <w:lang w:bidi="fa-IR"/>
          <w:color w:val="111111"/>
          <w:sz w:val="28"/>
          <w:szCs w:val="28"/>
          <w:rtl/>
        </w:rPr>
        <w:t xml:space="preserve">امیرخیزی، اسماعیل بن محمد تقی، ۱۳۴۴ شمسی</w:t>
      </w:r>
    </w:p>
    <w:p>
      <w:pPr>
        <w:pStyle w:val="BookText"/>
      </w:pPr>
      <w:r>
        <w:rPr>
          <w:rFonts w:ascii="Times New Roman" w:hAnsi="Times New Roman" w:eastAsia="Times New Roman" w:cs="Times New Roman"/>
          <w:lang w:val="en-US" w:bidi="en-US"/>
          <w:color w:val="111111"/>
          <w:sz w:val="28"/>
          <w:szCs w:val="28"/>
          <w:rtl/>
        </w:rPr>
        <w:t xml:space="preserve">(amīr-xīzī, esmā‘īl ebn-e mohammad taqī (1876 - 1965)</w:t>
      </w:r>
    </w:p>
    <w:p>
      <w:pPr>
        <w:pStyle w:val="BookText"/>
      </w:pPr>
      <w:r>
        <w:rPr>
          <w:rFonts w:ascii="IRNazanin" w:hAnsi="IRNazanin" w:eastAsia="IRNazanin" w:cs="IRNazanin"/>
          <w:lang w:bidi="fa-IR"/>
          <w:color w:val="111111"/>
          <w:sz w:val="28"/>
          <w:szCs w:val="28"/>
          <w:rtl/>
        </w:rPr>
        <w:t xml:space="preserve">مجموعه های مختلف شعری از وی.</w:t>
      </w:r>
    </w:p>
    <w:p>
      <w:pPr>
        <w:pStyle w:val="BookText"/>
      </w:pPr>
      <w:r>
        <w:rPr>
          <w:rFonts w:ascii="IRNazanin" w:hAnsi="IRNazanin" w:eastAsia="IRNazanin" w:cs="IRNazanin"/>
          <w:lang w:bidi="fa-IR"/>
          <w:color w:val="111111"/>
          <w:sz w:val="28"/>
          <w:szCs w:val="28"/>
          <w:rtl/>
        </w:rPr>
        <w:t xml:space="preserve">1.تهران؛ مجلس؛ شماره نسخه: ۹۸۸۵</w:t>
      </w:r>
    </w:p>
    <w:p>
      <w:pPr>
        <w:pStyle w:val="BookText"/>
      </w:pPr>
      <w:r>
        <w:rPr>
          <w:rFonts w:ascii="IRNazanin" w:hAnsi="IRNazanin" w:eastAsia="IRNazanin" w:cs="IRNazanin"/>
          <w:lang w:bidi="fa-IR"/>
          <w:color w:val="111111"/>
          <w:sz w:val="28"/>
          <w:szCs w:val="28"/>
          <w:rtl/>
        </w:rPr>
        <w:t xml:space="preserve">آغاز: عجب نبود گر از بیداد خسرو صورت شیرین *** زبان بگشاید و با کوه درد کوهکن گوید</w:t>
      </w:r>
    </w:p>
    <w:p>
      <w:pPr>
        <w:pStyle w:val="BookText"/>
      </w:pPr>
      <w:r>
        <w:rPr>
          <w:rFonts w:ascii="IRNazanin" w:hAnsi="IRNazanin" w:eastAsia="IRNazanin" w:cs="IRNazanin"/>
          <w:lang w:bidi="fa-IR"/>
          <w:color w:val="111111"/>
          <w:sz w:val="28"/>
          <w:szCs w:val="28"/>
          <w:rtl/>
        </w:rPr>
        <w:t xml:space="preserve">بخشی از این نسخه گزیده موضوعی از اشعار شعرای مختلف است و بخشی دیگر اشعار پراکنده از: خاقانی، بهار، ایرج و بخـشی دیگر اشعاری از میرزا رستم قندهاری ،سرمد، امیرخسرو ،حکیم شفایی، تقیای لاهیجی، قاضی نور، میر عطای حکیم، رسوی مهتدی، ملابنای گیلانی، ملاعامی نهاوندی، عبدالحی، مفیدای گیلانی، شاه طاهر دکنی ،ملافکاری، اصفی، قاسم ،کاهی، کلبی، میر محوی ،ملاوحشی گیلانی ،ملاولی دشت بیاضی، ممتاز شولستانی، محمد قلی بیگ سلیم، میرزا جانی عزلی، امیر شاهی، جامع، حیدر ملک ،فضلی ،فتوی، شیخ علی نقی کمره ای، بابا فغانی، میرزا نظام دست غیب، میرزا صادق دست غیب، بافزای خورده، میرزا ملک مشرقی، عرفی شیرازی، حسین بیک رفیع، ملااوجی، میرزا ابوالفتح سیستانی، میرزا بدیع تربتی، بدرای مازندرانی ،مشفقی، شیدای هندی ،الفتی، ملک حیدر صبحی، میرزا سلیمان غیرت کاشی، طالبای کلیم، حاجی ابوسعید تروانی، محمدباقرقری و نصیرای همدانی؛ خط: نستعليق، كاتب= مؤلف، تا: ۲۲ دی ۱۳۰۸ق؛ ۶۷گ، ۲۰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۳۱ - ۱۲۱]</w:t>
      </w:r>
    </w:p>
    <w:p>
      <w:pPr>
        <w:pStyle w:val="BookText"/>
      </w:pPr>
      <w:r>
        <w:rPr>
          <w:rFonts w:ascii="IRNazanin" w:hAnsi="IRNazanin" w:eastAsia="IRNazanin" w:cs="IRNazanin"/>
          <w:lang w:bidi="fa-IR"/>
          <w:color w:val="111111"/>
          <w:sz w:val="28"/>
          <w:szCs w:val="28"/>
          <w:rtl/>
        </w:rPr>
        <w:t xml:space="preserve">۲. تهران؛ مجلس؛ شماره نسخه: ۹۸۸۰</w:t>
      </w:r>
    </w:p>
    <w:p>
      <w:pPr>
        <w:pStyle w:val="BookText"/>
      </w:pPr>
      <w:r>
        <w:rPr>
          <w:rFonts w:ascii="IRNazanin" w:hAnsi="IRNazanin" w:eastAsia="IRNazanin" w:cs="IRNazanin"/>
          <w:lang w:bidi="fa-IR"/>
          <w:color w:val="111111"/>
          <w:sz w:val="28"/>
          <w:szCs w:val="28"/>
          <w:rtl/>
        </w:rPr>
        <w:t xml:space="preserve">خط: نستعلیق، کاتب = مؤلف، تا :دی ۱۳۰۹ق؛ جلد: تیماج فرنگی ،مشکی، ۷۰گ، مختلف السطر،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۳۱ – ۱۲۰]</w:t>
      </w:r>
    </w:p>
    <w:p>
      <w:pPr>
        <w:pStyle w:val="BookText"/>
      </w:pPr>
      <w:r>
        <w:rPr>
          <w:rFonts w:ascii="IRNazanin" w:hAnsi="IRNazanin" w:eastAsia="IRNazanin" w:cs="IRNazanin"/>
          <w:lang w:bidi="fa-IR"/>
          <w:color w:val="111111"/>
          <w:sz w:val="28"/>
          <w:szCs w:val="28"/>
          <w:rtl/>
        </w:rPr>
        <w:t xml:space="preserve">3.تهران؛ مجلس؛ شماره نسخه: ۹۸۸۱</w:t>
      </w:r>
    </w:p>
    <w:p>
      <w:pPr>
        <w:pStyle w:val="BookText"/>
      </w:pPr>
      <w:r>
        <w:rPr>
          <w:rFonts w:ascii="IRNazanin" w:hAnsi="IRNazanin" w:eastAsia="IRNazanin" w:cs="IRNazanin"/>
          <w:lang w:bidi="fa-IR"/>
          <w:color w:val="111111"/>
          <w:sz w:val="28"/>
          <w:szCs w:val="28"/>
          <w:rtl/>
        </w:rPr>
        <w:t xml:space="preserve">آغاز: پا بزنجیر جنون چون من کسی محکم نداشت *** سیر گاهی همچو هامون داشت مجنون غم نداشت.</w:t>
      </w:r>
    </w:p>
    <w:p>
      <w:pPr>
        <w:pStyle w:val="BookText"/>
      </w:pPr>
      <w:r>
        <w:rPr>
          <w:rFonts w:ascii="IRNazanin" w:hAnsi="IRNazanin" w:eastAsia="IRNazanin" w:cs="IRNazanin"/>
          <w:lang w:bidi="fa-IR"/>
          <w:color w:val="111111"/>
          <w:sz w:val="28"/>
          <w:szCs w:val="28"/>
          <w:rtl/>
        </w:rPr>
        <w:t xml:space="preserve">منتخب غزلیات شیخ علی نقی؛ خط: نستعليق، كاتب = مؤلف، تا: ۱۳۱۳/۸/۲۴؛ ۱۱گ، ۱۸ سطر، اندازه:۱۳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۳۱ - ۱۲۰]</w:t>
      </w:r>
    </w:p>
    <w:p>
      <w:pPr>
        <w:pStyle w:val="BookText"/>
      </w:pPr>
      <w:r>
        <w:rPr>
          <w:rFonts w:ascii="IRNazanin" w:hAnsi="IRNazanin" w:eastAsia="IRNazanin" w:cs="IRNazanin"/>
          <w:lang w:bidi="fa-IR"/>
          <w:color w:val="111111"/>
          <w:sz w:val="28"/>
          <w:szCs w:val="28"/>
          <w:rtl/>
        </w:rPr>
        <w:t xml:space="preserve">۴. تهران؛ مجلس؛ شماره نسخه: ۹۸۷۹</w:t>
      </w:r>
    </w:p>
    <w:p>
      <w:pPr>
        <w:pStyle w:val="BookText"/>
      </w:pPr>
      <w:r>
        <w:rPr>
          <w:rFonts w:ascii="IRNazanin" w:hAnsi="IRNazanin" w:eastAsia="IRNazanin" w:cs="IRNazanin"/>
          <w:lang w:bidi="fa-IR"/>
          <w:color w:val="111111"/>
          <w:sz w:val="28"/>
          <w:szCs w:val="28"/>
          <w:rtl/>
        </w:rPr>
        <w:t xml:space="preserve">آغاز: رهنمایی و نیکویی بر بدان. سعدی ره نمودن بخیر ناکس را *** پیش اعمی چراغ داشتن است</w:t>
      </w:r>
    </w:p>
    <w:p>
      <w:pPr>
        <w:pStyle w:val="BookText"/>
      </w:pPr>
      <w:r>
        <w:rPr>
          <w:rFonts w:ascii="IRNazanin" w:hAnsi="IRNazanin" w:eastAsia="IRNazanin" w:cs="IRNazanin"/>
          <w:lang w:bidi="fa-IR"/>
          <w:color w:val="111111"/>
          <w:sz w:val="28"/>
          <w:szCs w:val="28"/>
          <w:rtl/>
        </w:rPr>
        <w:t xml:space="preserve">دفتری است که در آن اشعار شعرای مختلف به ترتیب موضوعی گردآوری شده، بدین نحو که هر صفحه به یک موضوع اختصاص یافته و ذیل آن ابیات مناسب از شعرای مختلف درج شده است؛ خط: نستعلیق، كاتب = مؤلف، تا: قرن ۱۴؛ جلد: تیماج فرنگی ،مشکی، ۸۷گ، مختلف  السطر، اندازه: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[ف:31- 119]</w:t>
      </w:r>
    </w:p>
    <w:p>
      <w:pPr>
        <w:pStyle w:val="BookText"/>
      </w:pPr>
      <w:r>
        <w:rPr>
          <w:rFonts w:ascii="IRNazanin" w:hAnsi="IRNazanin" w:eastAsia="IRNazanin" w:cs="IRNazanin"/>
          <w:lang w:bidi="fa-IR"/>
          <w:color w:val="111111"/>
          <w:sz w:val="28"/>
          <w:szCs w:val="28"/>
          <w:rtl/>
        </w:rPr>
        <w:t xml:space="preserve">۵. تهران؛ مجلس؛ شماره نسخه: ۹۸۴۱</w:t>
      </w:r>
    </w:p>
    <w:p>
      <w:pPr>
        <w:pStyle w:val="BookText"/>
      </w:pPr>
      <w:r>
        <w:rPr>
          <w:rFonts w:ascii="IRNazanin" w:hAnsi="IRNazanin" w:eastAsia="IRNazanin" w:cs="IRNazanin"/>
          <w:lang w:bidi="fa-IR"/>
          <w:color w:val="111111"/>
          <w:sz w:val="28"/>
          <w:szCs w:val="28"/>
          <w:rtl/>
        </w:rPr>
        <w:t xml:space="preserve">آغاز: پیلان ترا رفتن با دست و تن کوه *** دندان نهنگ و دل و اندیشه کندا</w:t>
      </w:r>
    </w:p>
    <w:p>
      <w:pPr>
        <w:pStyle w:val="BookText"/>
      </w:pPr>
      <w:r>
        <w:rPr>
          <w:rFonts w:ascii="IRNazanin" w:hAnsi="IRNazanin" w:eastAsia="IRNazanin" w:cs="IRNazanin"/>
          <w:lang w:bidi="fa-IR"/>
          <w:color w:val="111111"/>
          <w:sz w:val="28"/>
          <w:szCs w:val="28"/>
          <w:rtl/>
        </w:rPr>
        <w:t xml:space="preserve">گزیده ای از اشعار شعرای مختلف است با یادداشت های پراکنده از امیر خیزی در نیمه دوم؛ خط: نستعلیق، کاتب =مؤلف، تا: قرن ۱۴؛ جلد: تیماج فرنگی ،مشکی، ۷۲گ، مختلف السطر،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۳۱ - ۱۰۹]</w:t>
      </w:r>
    </w:p>
    <w:p>
      <w:pPr>
        <w:pStyle w:val="BookText"/>
      </w:pPr>
      <w:r>
        <w:rPr>
          <w:rFonts w:ascii="IRNazanin" w:hAnsi="IRNazanin" w:eastAsia="IRNazanin" w:cs="IRNazanin"/>
          <w:lang w:bidi="fa-IR"/>
          <w:color w:val="111111"/>
          <w:sz w:val="28"/>
          <w:szCs w:val="28"/>
          <w:rtl/>
        </w:rPr>
        <w:t xml:space="preserve">۶ .تهران؛ مجلس؛ شماره نسخه: ۹۸۹۲</w:t>
      </w:r>
    </w:p>
    <w:p>
      <w:pPr>
        <w:pStyle w:val="BookText"/>
      </w:pPr>
      <w:r>
        <w:rPr>
          <w:rFonts w:ascii="IRNazanin" w:hAnsi="IRNazanin" w:eastAsia="IRNazanin" w:cs="IRNazanin"/>
          <w:lang w:bidi="fa-IR"/>
          <w:color w:val="111111"/>
          <w:sz w:val="28"/>
          <w:szCs w:val="28"/>
          <w:rtl/>
        </w:rPr>
        <w:t xml:space="preserve">خط: نستعليق، كاتب = مؤلف ،تا: قرن ۱۴؛ مجدول دو ستونی؛ جلد: تیماج فرنگی مشکی، ۱۲۷گ، مختلف السطر،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۲۲/۵سم [ف: ۳۱ - ۱۲۳]</w:t>
      </w:r>
    </w:p>
    <w:p>
      <w:pPr>
        <w:pStyle w:val="Heading3"/>
      </w:pPr>
      <w:bookmarkStart w:id="2042" w:name="_Toc1564"/>
      <w:r>
        <w:t>اشعار (گردآوری) / شعر / فارسی</w:t>
      </w:r>
      <w:bookmarkEnd w:id="2042"/>
    </w:p>
    <w:p>
      <w:pPr>
        <w:pStyle w:val="BookText"/>
      </w:pPr>
      <w:r>
        <w:rPr>
          <w:rFonts w:ascii="Times New Roman" w:hAnsi="Times New Roman" w:eastAsia="Times New Roman" w:cs="Times New Roman"/>
          <w:lang w:val="en-US" w:bidi="en-US"/>
          <w:color w:val="111111"/>
          <w:sz w:val="28"/>
          <w:szCs w:val="28"/>
          <w:rtl/>
        </w:rPr>
        <w:t xml:space="preserve">(aš ār (gerdāvarī)</w:t>
      </w:r>
    </w:p>
    <w:p>
      <w:pPr>
        <w:pStyle w:val="BookText"/>
      </w:pPr>
      <w:r>
        <w:rPr>
          <w:rFonts w:ascii="IRNazanin" w:hAnsi="IRNazanin" w:eastAsia="IRNazanin" w:cs="IRNazanin"/>
          <w:lang w:bidi="fa-IR"/>
          <w:color w:val="111111"/>
          <w:sz w:val="28"/>
          <w:szCs w:val="28"/>
          <w:rtl/>
        </w:rPr>
        <w:t xml:space="preserve">سديد السلطنه، محمد علی بن احمد، ۱۲۹۱ - ۱۳۶۲قمری
</w:t>
      </w:r>
    </w:p>
    <w:p>
      <w:pPr>
        <w:sectPr>
          <w:footerReference w:type="default" r:id="rId1002"/>
          <w:footnotePr>
            <w:numStart w:val="1"/>
            <w:numRestart w:val="eachPage"/>
          </w:footnotePr>
          <w:pgSz w:orient="portrait" w:w="11905.511811023622" w:h="16837.79527559055"/>
          <w:pgMar w:top="1440" w:right="1440" w:bottom="1440" w:left="1440" w:header="720" w:footer="720" w:gutter="0"/>
          <w:cols w:num="1" w:space="720"/>
        </w:sectPr>
      </w:pPr>
    </w:p>
    <w:bookmarkStart w:id="449" w:name="pg20365_260938"/>
    <w:bookmarkEnd w:id="449"/>
    <w:p>
      <w:pPr>
        <w:pStyle w:val="BookText"/>
      </w:pPr>
      <w:r>
        <w:rPr>
          <w:rFonts w:ascii="Times New Roman" w:hAnsi="Times New Roman" w:eastAsia="Times New Roman" w:cs="Times New Roman"/>
          <w:lang w:val="en-US" w:bidi="en-US"/>
          <w:color w:val="111111"/>
          <w:sz w:val="28"/>
          <w:szCs w:val="28"/>
          <w:rtl/>
        </w:rPr>
        <w:t xml:space="preserve">(sadīd-os-sāltane, mohammad ‘alī ebn-e ahmad (1874 -1943</w:t>
      </w:r>
    </w:p>
    <w:p>
      <w:pPr>
        <w:pStyle w:val="BookText"/>
      </w:pPr>
      <w:r>
        <w:rPr>
          <w:rFonts w:ascii="IRNazanin" w:hAnsi="IRNazanin" w:eastAsia="IRNazanin" w:cs="IRNazanin"/>
          <w:lang w:bidi="fa-IR"/>
          <w:color w:val="111111"/>
          <w:sz w:val="28"/>
          <w:szCs w:val="28"/>
          <w:rtl/>
        </w:rPr>
        <w:t xml:space="preserve">سروده های: پسر علی شاه پسر سید پیر محمد حزب الله شاه هندی، سید تقی شاه قند هاری گوهر نایب، میرزا احمد عـلی صاحب، مولوی بهاء الدین بھائی، محمد حسین صاحب عاجز، سید پیر محمد حزب الله شاه صاحب دستارمسکین، عاجلی، قاضی ابوالمعالی معالی، عبدالعزیز صاحب عزیز، احمد، غـلام، محمد شاه گیل، آقا سید علی آقای شوشتری جزایری، سید غـالم على تحسین، سیدلا، نصر الله خان شیرازی فدایی دولت یار جنگ، غافل سپس ساقی نامه، دیباچه حدیث کساء و سروده هـای خاقانی و انوری و خادم و اهملی و جامی، پراکنده های نظم ونثر و قصیده شوریده شیرازی و ستایش نظام السلطنة فرمان فرمـای فارس و ستایش دیوان حسین منصور حلاج و پراکنده ها، شـعر ملاحسن محمود در تاریخ مرگ سید صالح محرر که ماده تاریخ است آنگاه احوال بندر لنگه از «پرشن گلف» به انگلیسی با ترجمه فارسی و نیز پراکنده ها.</w:t>
      </w:r>
    </w:p>
    <w:p>
      <w:pPr>
        <w:pStyle w:val="BookText"/>
      </w:pPr>
      <w:r>
        <w:rPr>
          <w:rFonts w:ascii="IRNazanin" w:hAnsi="IRNazanin" w:eastAsia="IRNazanin" w:cs="IRNazanin"/>
          <w:lang w:bidi="fa-IR"/>
          <w:color w:val="111111"/>
          <w:sz w:val="28"/>
          <w:szCs w:val="28"/>
          <w:rtl/>
        </w:rPr>
        <w:t xml:space="preserve">تهران؛ دانشگاه؛ شماره نسخه: ۹۳۹۸</w:t>
      </w:r>
    </w:p>
    <w:p>
      <w:pPr>
        <w:pStyle w:val="BookText"/>
      </w:pPr>
      <w:r>
        <w:rPr>
          <w:rFonts w:ascii="IRNazanin" w:hAnsi="IRNazanin" w:eastAsia="IRNazanin" w:cs="IRNazanin"/>
          <w:lang w:bidi="fa-IR"/>
          <w:color w:val="111111"/>
          <w:sz w:val="28"/>
          <w:szCs w:val="28"/>
          <w:rtl/>
        </w:rPr>
        <w:t xml:space="preserve">خط: نستعلیق، بی کا، تا: قرن ۱۴؛ کاغذ: فرنگی ،جلد: مقوا، ۵۳گ (۱۲۱ ص)، ۱۷ سطر (7</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قطع:ربعی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 ف: 17- 363]</w:t>
      </w:r>
    </w:p>
    <w:p>
      <w:pPr>
        <w:pStyle w:val="Heading3"/>
      </w:pPr>
      <w:bookmarkStart w:id="2043" w:name="_Toc1565"/>
      <w:r>
        <w:t>اشعار = جنگ شعاع / شعر / فارسی</w:t>
      </w:r>
      <w:bookmarkEnd w:id="2043"/>
    </w:p>
    <w:p>
      <w:pPr>
        <w:pStyle w:val="BookText"/>
      </w:pPr>
      <w:r>
        <w:rPr>
          <w:rFonts w:ascii="Times New Roman" w:hAnsi="Times New Roman" w:eastAsia="Times New Roman" w:cs="Times New Roman"/>
          <w:lang w:val="en-US" w:bidi="en-US"/>
          <w:color w:val="111111"/>
          <w:sz w:val="28"/>
          <w:szCs w:val="28"/>
          <w:rtl/>
        </w:rPr>
        <w:t xml:space="preserve">aš‘ār = jang-e šo‘ā‘</w:t>
      </w:r>
    </w:p>
    <w:p>
      <w:pPr>
        <w:pStyle w:val="BookText"/>
      </w:pPr>
      <w:r>
        <w:rPr>
          <w:rFonts w:ascii="IRNazanin" w:hAnsi="IRNazanin" w:eastAsia="IRNazanin" w:cs="IRNazanin"/>
          <w:lang w:bidi="fa-IR"/>
          <w:color w:val="111111"/>
          <w:sz w:val="28"/>
          <w:szCs w:val="28"/>
          <w:rtl/>
        </w:rPr>
        <w:t xml:space="preserve">شعاع شیرازی، محمد حسین بن ابوالحسن، ۱۲۹۸ -۱۳۶۴ قمری</w:t>
      </w:r>
    </w:p>
    <w:p>
      <w:pPr>
        <w:pStyle w:val="BookText"/>
      </w:pPr>
      <w:r>
        <w:rPr>
          <w:rFonts w:ascii="Times New Roman" w:hAnsi="Times New Roman" w:eastAsia="Times New Roman" w:cs="Times New Roman"/>
          <w:lang w:val="en-US" w:bidi="en-US"/>
          <w:color w:val="111111"/>
          <w:sz w:val="28"/>
          <w:szCs w:val="28"/>
          <w:rtl/>
        </w:rPr>
        <w:t xml:space="preserve">(1945-1881)šo‘ā‘-e šīrāzī, mohammad hoseyn ebn-e ab-ol-hasan</w:t>
      </w:r>
    </w:p>
    <w:p>
      <w:pPr>
        <w:pStyle w:val="BookText"/>
      </w:pPr>
      <w:r>
        <w:rPr>
          <w:rFonts w:ascii="IRNazanin" w:hAnsi="IRNazanin" w:eastAsia="IRNazanin" w:cs="IRNazanin"/>
          <w:lang w:bidi="fa-IR"/>
          <w:color w:val="111111"/>
          <w:sz w:val="28"/>
          <w:szCs w:val="28"/>
          <w:rtl/>
        </w:rPr>
        <w:t xml:space="preserve">جگ شعری است که پس از نگارش تذکره شکرستان پارس مشغول به آن شده، شامل اشعاری از: اهلی  شیرازی، عاشق اصفهانی، عرفی شیرازی، اسرار سبزواری، ابوالقاسم فردوسی، نظامی گنجوی ،فضولی ،هاتفی، وحشی کرمانی، ظهیر فاریابی ،مخلص، داعی شیرازی ،صبوری، مجذوب تبریزی،ابوطالب كليم، حكيم  شفایی ،حالتی ،وجهی، فرصت شیرازی، سروش، میرزا محمد باقر شیرازی متخلص به غازی ،نظیری، جامی، فدایی کربلایی، طبیب ،رفیق، منعم شیرازی، میر مشتاق، قصاب، نیازی ،آذر ،خالص ،محتشم، تواریخ نقل از کتاب نظم ونثر چاپ  اروپا، نقلی از تذكره حديقة الشعراء ميرزا احمد دیوان بیگی و شمع انجمن و شکرستان پارس، بابا کوهی، ده نامه ابن عماد خراسانی شیرازی، فصیح الزمان رضوانی، زرگر اصفهانی.</w:t>
      </w:r>
    </w:p>
    <w:p>
      <w:pPr>
        <w:pStyle w:val="BookText"/>
      </w:pPr>
      <w:r>
        <w:rPr>
          <w:rFonts w:ascii="IRNazanin" w:hAnsi="IRNazanin" w:eastAsia="IRNazanin" w:cs="IRNazanin"/>
          <w:lang w:bidi="fa-IR"/>
          <w:color w:val="111111"/>
          <w:sz w:val="28"/>
          <w:szCs w:val="28"/>
          <w:rtl/>
        </w:rPr>
        <w:t xml:space="preserve">در این جنگ اشعاری در مدح صاحب منصبان همچـون مظفرالدین شاه قاجار و حکمرانان فارس نیز دیده می شود .</w:t>
      </w:r>
    </w:p>
    <w:p>
      <w:pPr>
        <w:pStyle w:val="BookText"/>
      </w:pPr>
      <w:r>
        <w:rPr>
          <w:rFonts w:ascii="IRNazanin" w:hAnsi="IRNazanin" w:eastAsia="IRNazanin" w:cs="IRNazanin"/>
          <w:lang w:bidi="fa-IR"/>
          <w:color w:val="111111"/>
          <w:sz w:val="28"/>
          <w:szCs w:val="28"/>
          <w:rtl/>
        </w:rPr>
        <w:t xml:space="preserve">تهران؛ مجلس؛ شماره نسخه: ۹۶۴۸</w:t>
      </w:r>
    </w:p>
    <w:p>
      <w:pPr>
        <w:pStyle w:val="BookText"/>
      </w:pPr>
      <w:r>
        <w:rPr>
          <w:rFonts w:ascii="IRNazanin" w:hAnsi="IRNazanin" w:eastAsia="IRNazanin" w:cs="IRNazanin"/>
          <w:lang w:bidi="fa-IR"/>
          <w:color w:val="111111"/>
          <w:sz w:val="28"/>
          <w:szCs w:val="28"/>
          <w:rtl/>
        </w:rPr>
        <w:t xml:space="preserve">آغاز: بسمله. مکشوف باد من بنده محمد حسين الشريف ابن الحاج ابوالحسن الشيرازى مؤلف تذكره شکرستان پارس که خاص از برای شعرای متقدمین و متوسطین و متاخرین و معاصرین آن بلد نوشته شده؛ انجام: طرفه گفتی که غمش چاره درمان نپذیرد ما خریدیم بجان درد و نخواهیم دوائی خط: نستعليق، كاتب = مؤلف، تا: ۱۳۱۲ق، بخشی به خط علی اکبر در ۱۳۱۲؛ رکابه دار؛ مهر: کتابخانه باقر ترقی؛ جلد: تیماج قهوه ای، ۲۲۳گ، ۱۲ سطر، اندازه: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۳۱ - ۳۱]</w:t>
      </w:r>
    </w:p>
    <w:p>
      <w:pPr>
        <w:pStyle w:val="Heading3"/>
      </w:pPr>
      <w:bookmarkStart w:id="2044" w:name="_Toc1566"/>
      <w:r>
        <w:t>اشعار (گردآوری) / شعر /عربی</w:t>
      </w:r>
      <w:bookmarkEnd w:id="2044"/>
    </w:p>
    <w:p>
      <w:pPr>
        <w:pStyle w:val="BookText"/>
      </w:pPr>
      <w:r>
        <w:rPr>
          <w:rFonts w:ascii="Times New Roman" w:hAnsi="Times New Roman" w:eastAsia="Times New Roman" w:cs="Times New Roman"/>
          <w:lang w:val="en-US" w:bidi="en-US"/>
          <w:color w:val="111111"/>
          <w:sz w:val="28"/>
          <w:szCs w:val="28"/>
          <w:rtl/>
        </w:rPr>
        <w:t xml:space="preserve">(aš ār (gerdāvarī)</w:t>
      </w:r>
    </w:p>
    <w:p>
      <w:pPr>
        <w:pStyle w:val="BookText"/>
      </w:pPr>
      <w:r>
        <w:rPr>
          <w:rFonts w:ascii="IRNazanin" w:hAnsi="IRNazanin" w:eastAsia="IRNazanin" w:cs="IRNazanin"/>
          <w:lang w:bidi="fa-IR"/>
          <w:color w:val="111111"/>
          <w:sz w:val="28"/>
          <w:szCs w:val="28"/>
          <w:rtl/>
        </w:rPr>
        <w:t xml:space="preserve">بدیع، امیر مهدی، ۱۲۹۴ - ۱۳۷۳ شمسی</w:t>
      </w:r>
    </w:p>
    <w:p>
      <w:pPr>
        <w:pStyle w:val="BookText"/>
      </w:pPr>
      <w:r>
        <w:rPr>
          <w:rFonts w:ascii="Times New Roman" w:hAnsi="Times New Roman" w:eastAsia="Times New Roman" w:cs="Times New Roman"/>
          <w:lang w:val="en-US" w:bidi="en-US"/>
          <w:color w:val="111111"/>
          <w:sz w:val="28"/>
          <w:szCs w:val="28"/>
          <w:rtl/>
        </w:rPr>
        <w:t xml:space="preserve">(badī‘, amīr mahdī (1915 - 1994)</w:t>
      </w:r>
    </w:p>
    <w:p>
      <w:pPr>
        <w:pStyle w:val="BookText"/>
      </w:pPr>
      <w:r>
        <w:rPr>
          <w:rFonts w:ascii="IRNazanin" w:hAnsi="IRNazanin" w:eastAsia="IRNazanin" w:cs="IRNazanin"/>
          <w:lang w:bidi="fa-IR"/>
          <w:color w:val="111111"/>
          <w:sz w:val="28"/>
          <w:szCs w:val="28"/>
          <w:rtl/>
        </w:rPr>
        <w:t xml:space="preserve">تعدادی از قصاید و غزلیات و فردیات و ابیات مختلف اشعار معروف عرب جمع آوری شده است. در آغاز هر شعر نام گوینده آن آمده و بیشتر آنها شاعران معروف عرب می باشند. در حاشیه پاره ای از صفحات اشعاری پارسی آمده و سراینده در زیر هر یک از این اشعار فارسی تاریخ سرودن و محل سرودن آنها را ذکر کرده است تاریخ اغلب آنها به سال ۱۳۰۱ق می باشد و محل سرودن آنها نقاط واقع بین سمنان و مشهد است به ظاهر سراینده این اشعار فارسی «بدیع» است و به احتمال اقرب به یقین جمع آوری کننده جنگ نیز هموست.</w:t>
      </w:r>
    </w:p>
    <w:p>
      <w:pPr>
        <w:pStyle w:val="BookText"/>
      </w:pPr>
      <w:r>
        <w:rPr>
          <w:rFonts w:ascii="IRNazanin" w:hAnsi="IRNazanin" w:eastAsia="IRNazanin" w:cs="IRNazanin"/>
          <w:lang w:bidi="fa-IR"/>
          <w:color w:val="111111"/>
          <w:sz w:val="28"/>
          <w:szCs w:val="28"/>
          <w:rtl/>
        </w:rPr>
        <w:t xml:space="preserve">تهران؛ ملی؛ شماره نسخه: ۷۷۸</w:t>
      </w:r>
    </w:p>
    <w:p>
      <w:pPr>
        <w:pStyle w:val="BookText"/>
      </w:pPr>
      <w:r>
        <w:rPr>
          <w:rFonts w:ascii="IRNazanin" w:hAnsi="IRNazanin" w:eastAsia="IRNazanin" w:cs="IRNazanin"/>
          <w:lang w:bidi="fa-IR"/>
          <w:color w:val="111111"/>
          <w:sz w:val="28"/>
          <w:szCs w:val="28"/>
          <w:rtl/>
        </w:rPr>
        <w:t xml:space="preserve">آغاز: هو الله سبحانه ،بسمله، تبارک و تعالى شانه، لبديع الزمان الهمدانی؛ انجام: او من هذه و ذاك</w:t>
      </w:r>
    </w:p>
    <w:p>
      <w:pPr>
        <w:pStyle w:val="BookText"/>
      </w:pPr>
      <w:r>
        <w:rPr>
          <w:rFonts w:ascii="IRNazanin" w:hAnsi="IRNazanin" w:eastAsia="IRNazanin" w:cs="IRNazanin"/>
          <w:lang w:bidi="fa-IR"/>
          <w:color w:val="111111"/>
          <w:sz w:val="28"/>
          <w:szCs w:val="28"/>
          <w:rtl/>
        </w:rPr>
        <w:t xml:space="preserve">خط: نسخ  خوش، بی کا، تا: اواخر قرن ۱۳؛ مجدول؛ كاغذ: فرنگی، جلد: تیماج  سبز ،دولایی، ۱۲۹گ، ۲۱ سطر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۱۸/۵)،اندازه: ۱۶/۵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۲۷سم [ف: ۸ - ۲۷۶]</w:t>
      </w:r>
    </w:p>
    <w:p>
      <w:pPr>
        <w:pStyle w:val="Heading3"/>
      </w:pPr>
      <w:bookmarkStart w:id="2045" w:name="_Toc1567"/>
      <w:r>
        <w:t>اشعار / شعر / فارسی</w:t>
      </w:r>
      <w:bookmarkEnd w:id="2045"/>
    </w:p>
    <w:p>
      <w:pPr>
        <w:pStyle w:val="BookText"/>
      </w:pPr>
      <w:r>
        <w:rPr>
          <w:rFonts w:ascii="Times New Roman" w:hAnsi="Times New Roman" w:eastAsia="Times New Roman" w:cs="Times New Roman"/>
          <w:lang w:val="en-US" w:bidi="en-US"/>
          <w:color w:val="111111"/>
          <w:sz w:val="28"/>
          <w:szCs w:val="28"/>
          <w:rtl/>
        </w:rPr>
        <w:t xml:space="preserve">aš‘ār</w:t>
      </w:r>
    </w:p>
    <w:p>
      <w:pPr>
        <w:pStyle w:val="BookText"/>
      </w:pPr>
      <w:r>
        <w:rPr>
          <w:rFonts w:ascii="IRNazanin" w:hAnsi="IRNazanin" w:eastAsia="IRNazanin" w:cs="IRNazanin"/>
          <w:lang w:bidi="fa-IR"/>
          <w:color w:val="111111"/>
          <w:sz w:val="28"/>
          <w:szCs w:val="28"/>
          <w:rtl/>
        </w:rPr>
        <w:t xml:space="preserve">انصاری، حسن، ق۱۴ قمری</w:t>
      </w:r>
    </w:p>
    <w:p>
      <w:pPr>
        <w:pStyle w:val="BookText"/>
      </w:pPr>
      <w:r>
        <w:rPr>
          <w:rFonts w:ascii="Times New Roman" w:hAnsi="Times New Roman" w:eastAsia="Times New Roman" w:cs="Times New Roman"/>
          <w:lang w:val="en-US" w:bidi="en-US"/>
          <w:color w:val="111111"/>
          <w:sz w:val="28"/>
          <w:szCs w:val="28"/>
          <w:rtl/>
        </w:rPr>
        <w:t xml:space="preserve">(ansārī, hasan (- 20c)</w:t>
      </w:r>
    </w:p>
    <w:p>
      <w:pPr>
        <w:pStyle w:val="BookText"/>
      </w:pPr>
      <w:r>
        <w:rPr>
          <w:rFonts w:ascii="IRNazanin" w:hAnsi="IRNazanin" w:eastAsia="IRNazanin" w:cs="IRNazanin"/>
          <w:lang w:bidi="fa-IR"/>
          <w:color w:val="111111"/>
          <w:sz w:val="28"/>
          <w:szCs w:val="28"/>
          <w:rtl/>
        </w:rPr>
        <w:t xml:space="preserve">اصفهان؛ جابری انصاری؛ شماره نسخه: ۵۲</w:t>
      </w:r>
    </w:p>
    <w:p>
      <w:pPr>
        <w:pStyle w:val="BookText"/>
      </w:pPr>
      <w:r>
        <w:rPr>
          <w:rFonts w:ascii="IRNazanin" w:hAnsi="IRNazanin" w:eastAsia="IRNazanin" w:cs="IRNazanin"/>
          <w:lang w:bidi="fa-IR"/>
          <w:color w:val="111111"/>
          <w:sz w:val="28"/>
          <w:szCs w:val="28"/>
          <w:rtl/>
        </w:rPr>
        <w:t xml:space="preserve">منتخبات اشعار در وصف اشیاء و حیوانات؛ بی کا، بی تا [نشریه:۶ - 597]</w:t>
      </w:r>
    </w:p>
    <w:p>
      <w:pPr>
        <w:pStyle w:val="Heading3"/>
      </w:pPr>
      <w:bookmarkStart w:id="2046" w:name="_Toc1568"/>
      <w:r>
        <w:t>اشعار (گردآوری) / شعر / فارسی</w:t>
      </w:r>
      <w:bookmarkEnd w:id="2046"/>
    </w:p>
    <w:p>
      <w:pPr>
        <w:pStyle w:val="BookText"/>
      </w:pPr>
      <w:r>
        <w:rPr>
          <w:rFonts w:ascii="Times New Roman" w:hAnsi="Times New Roman" w:eastAsia="Times New Roman" w:cs="Times New Roman"/>
          <w:lang w:val="en-US" w:bidi="en-US"/>
          <w:color w:val="111111"/>
          <w:sz w:val="28"/>
          <w:szCs w:val="28"/>
          <w:rtl/>
        </w:rPr>
        <w:t xml:space="preserve">aš‘ār (gerdāvarī)</w:t>
      </w:r>
    </w:p>
    <w:p>
      <w:pPr>
        <w:pStyle w:val="BookText"/>
      </w:pPr>
      <w:r>
        <w:rPr>
          <w:rFonts w:ascii="IRNazanin" w:hAnsi="IRNazanin" w:eastAsia="IRNazanin" w:cs="IRNazanin"/>
          <w:lang w:bidi="fa-IR"/>
          <w:color w:val="111111"/>
          <w:sz w:val="28"/>
          <w:szCs w:val="28"/>
          <w:rtl/>
        </w:rPr>
        <w:t xml:space="preserve">بهار، کاظم، ق۱۴ قمری
</w:t>
      </w:r>
    </w:p>
    <w:p>
      <w:pPr>
        <w:sectPr>
          <w:footerReference w:type="default" r:id="rId10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(bahār, kāzem (- 20c)</w:t>
      </w:r>
    </w:p>
    <w:p>
      <w:pPr>
        <w:pStyle w:val="BookText"/>
      </w:pPr>
      <w:r>
        <w:rPr>
          <w:rFonts w:ascii="IRNazanin" w:hAnsi="IRNazanin" w:eastAsia="IRNazanin" w:cs="IRNazanin"/>
          <w:lang w:bidi="fa-IR"/>
          <w:color w:val="111111"/>
          <w:sz w:val="28"/>
          <w:szCs w:val="28"/>
          <w:rtl/>
        </w:rPr>
        <w:t xml:space="preserve">این جنگ مجموعه ای است از رباعی هایی که بر حسب ترتیب حروف تهجی آخر قوافی از الف یا یاء مرتب شده اند و نام هر شاعر در بالای آن نوشته شده و علاوه بر آن هر حرف نیز در ابتدای هر رباعی آمده است. اسامی شاعران: حاجی شاه بـاقر کاشی، میرزا محمد تقی نصیری منشی دیوان، میرزا قاسم خلوت نشین زاهد، میرمومن ادانی  یزدی ،سراجای نقاش، محمد خـان مجرم بيات، محمد قلی سلیم ،ظهیرا، شیخ ابوسعید ابوالخیر،ملا سبحانی نجفی ،شهود ،میرزا محمد سعيد حكيم تنها، فدائى نور بخشی، میرزا رفیع واعظ  قزوینی، افضل کاشی، میر عبدالوحید گیلانی، حكيم مومن دارالشفا، خواجه مجد الدین شیرازی، میر  مغيب حوى، ملا محمد صوفی، شیخ نظامی، حکیم ظهوری خراسانی، ارفیع دستور، میرزا محمد صالح رضوی، ملا خواجه علی پیشنماز نعیم، عجم قلی بیک ذوالقدر، ملا محمد مومن حسین یزدی، میرزا ابوالحسن حامد، میرزا محمد شعر باف فکری،میرزا محمد نسابه، شیخ زین الدین خوافی، میر رضـی ارتیمانی ،ابوسعید، ملا نظر مشهدی، غنی کشمیری، عمر خیـام، میر نجات، ملا نظیری  نیشابوری، ابوطالب همدانی، ملا مظفرحسین، حکیم سنایی، ملا سبحانی نجفی، واعظ غنى كشميری، میرزا ابوالحسن کلانتر نیشابور بیگانه، میرزا محمد سعید حکـیم شهابی، شیخ اوحد الدین کرمانی، حافظ ملا عبدالرزاق فياض لاهیجی، میرزا محمد سعيد حكيم شمسای، میرعبدالباقی، آقا حسین خونساری، ،جامی، میرزا اشرف ،شيخ بهاء الدين، ميـرزا جلال الدین، مطیعای همدانی، ملا سینای بروجردی قاطع، تسـلیم قمی، میرزا جلال اسیر، میر محمد باقر داماد اشراق، کمال اسمعيل، سعیدائی لاهیجی، ملا ملک قمی، راسخ ،میرزا ابوالحسن وحی، رسوائی همدانی، میرزا حیدر رضوی، مولوی، میرزا خلیل، میرزا زین الدین قراجه داغی، ملا علیرضا تجلی، ملا محمد علی، شیخ علی نقی کمره، ملا امامقلی بک چکـنی وارسته، غیور، ميرزا محمد على تمكين تخلص، مولانا عبدالله بیانی، مولانا لطیف نیشابوری مشهور به مطالع، میر علی جرفادقانی ،سامی، عنایت خان  آشنا، اوحدی ،آهی، میرزا محـمد مجذوب تبریزی، میرزا رفیع  دستور، میر سید على جبل عاملی ،ناقلی ،شاکرای طهرانی، قاضی میر اسمعیل همدانی ،ناظر، میرزا محمد تقی نصیری منشی  دیوان، میرزا عرب نظام الملكي، فايـض هروی، میرزا محمد حسین نورس دماوندی، اثیر الدین اومانی،عبدالمولی، میر زین العابدین حبشی اصفهانی، شیخ مغربی ،ملا شکری ،عطار، ملا حسینعلی سبزواری معتقد، میرزا تقی پیرزاده مخلص خان، محمود لاری، قاسم کازرونی، میرزا ابراهیم ادهـم، شامی تکلو، شیخ زاده لاهیجی، حاجی محمد جان قدسی مشهدی، محمد امین خان بیات مجرم، فردوسی، طاهرای یزدی، میرزا محمد صالح الرضوی، تایب کرمانی، خاقانی، یقین جرفادقانی، محمد رضای اصفهانی، اسدی، سام میرزا ،میـرزا ابوالحسن فراهانی، قمری قزوینی، میرزا مهدی عالی، میرزا نصیر عتیقی نصرت، میر شریف حافظ، محمد ابراهیم فارغ، میرزا ابوسعید، عارف کاشی، میرزا معصوم صابر، ميرزا حيدر خلف میرزا غیاث پیشنماز،محسنای قلندر، شاهنظر  قمشه، میرزا ابراهیم واقعه نویس، حاجی اسد بیک ابن  یمین، وحيد ،خليفه سلطان، میرزا عرب ناصح تبریزی، شیخ محمد مازندرانی میرزا مهدی مستوفی موقوفات، سامی، طالب آملی، خالصاء استرآبادی، میرزا انوری هروی فتوی، میرزا عابد شیرازی، میر مومن ادائی یزدی، نجيبا، خواجه نصیر طوسی ،عبدالمولی، حاجی صادق صامت اصفهانی، ملا محمد نصیر مدرس ،قم، شیخ ابوالقاسم، سعدی، حكيم ركنا مسيح، نجفقلی بک والی، کلبعلی نادر، اظهری، میر شاهد، ملا نوعی خبوشانی، محمد علی کرباسی، میرزا محمود اوراجه نویس، حاجی حسینا، ملا محمد سلطان منصف، محمد ابراهیم نسلی شیرازی، میرزا جعفر گلستانه مرتاض، میر محمد  رضا قاضی بروجردی، قاسم بک حالتی، میرزا محمد کاظم كريم، شيخ نجم الدین  کبری، ملا ضمیری اصفهانی، میرزاحسینخان الفت، ملا شاه محمد شیرازی عارف، حسنخان شاملو، میرزا جعفر رونق، ملک حمزه خان سیستانی غافل، ملا محمد امین استرآبادی خادم، خواجه حسین، میرزا مقیم کتابدار، میردوست محمد کتابدار، آقا حسن وحدت، شفیعای اثر اصفهانی، میر سید علی مهری، ملا لطفی نیشابوری، میرزا فصیح برادر وحید، حلالای نائینی، میر ابو طالب  ترشیزی، میرزا تراب فطرت، میرزا رضی دانش، زایرای شوشتری، شیخ فخرالدین  عراقی، ظهیرای تفرشی، میرزا هاشم، رستم کیا، میرزا هدایت الله، میرزا حسن الله خان مشهور به صفرخان، حاجی ملا محمد علی، میر سالم حسینی کشمیری، آقا مرتضی قلی خان شاملو، سایر اردوبادی، ملا محمد علی مهابادی، محمد اکبر، خلیل بک گیلانی فیاض، امام قلی خان وحشت بختیاری، امیر خسرو دهلوی، حاجی محمد جان قدسی، میر شوقی محمد حسین، شیخ الله قلی، غیاثایی حلوائی، ملا رجبعلی تبریزی  واحد، چلبی بیک فارغ مشهور به علامه  تبریزی، محمد باقر بیلدار، كفری یزدی، میر کمال قمی، میرزا طاهر وزیر اعظم وحيد، مهدیقلى خان قرچقای خانی، شاه داعی، باعث همدانی، نوروز بیک، محمد رضای مسگر ،جانابیگم صبیه خان خانان، ملا عبدالله انصار، میر رحیم فراش، میرزا علی نایب، شیخ علی قمی، سیف الدین باخرزی، آقا باقی نهاوندی، میرزا نوری فتوی هروی، مولانا عهدى قراکوئی، ملا رحیم شیخ الاسلام، سعیدای نقشبند، ملا وحشى یزدی، محمد حسین بک معلوم، میرزا سعد الدين محمد راقم وزیر خراسان، ملا واثق  نیشابوری، میرزا معنی فطرت مشهور بموسوی خان، ملا محمد سعید اشرف، ملا محمد صادق شيخ الاسلام خواف، شیخ صفی اغور لوبیک شیرازی، ملا باقر سروش، میرزا همت گیلانی کراق یراق، ميرزا عبدالمجيد، دبیری ذوالقدر، میرزا ابراهیم متولی، محمد هادی کاشی رمزی،
</w:t>
      </w:r>
    </w:p>
    <w:p>
      <w:pPr>
        <w:sectPr>
          <w:footerReference w:type="default" r:id="rId1004"/>
          <w:footnotePr>
            <w:numStart w:val="1"/>
            <w:numRestart w:val="eachPage"/>
          </w:footnotePr>
          <w:pgSz w:orient="portrait" w:w="11905.511811023622" w:h="16837.79527559055"/>
          <w:pgMar w:top="1440" w:right="1440" w:bottom="1440" w:left="1440" w:header="720" w:footer="720" w:gutter="0"/>
          <w:cols w:num="1" w:space="720"/>
        </w:sectPr>
      </w:pPr>
    </w:p>
    <w:bookmarkStart w:id="450" w:name="pg20365_260940"/>
    <w:bookmarkEnd w:id="450"/>
    <w:p>
      <w:pPr>
        <w:pStyle w:val="BookText"/>
      </w:pPr>
      <w:r>
        <w:rPr>
          <w:rFonts w:ascii="IRNazanin" w:hAnsi="IRNazanin" w:eastAsia="IRNazanin" w:cs="IRNazanin"/>
          <w:lang w:bidi="fa-IR"/>
          <w:color w:val="111111"/>
          <w:sz w:val="28"/>
          <w:szCs w:val="28"/>
          <w:rtl/>
        </w:rPr>
        <w:t xml:space="preserve">مشعله دار باشی مشعله تخلص، آقا جعفر سارو خواجه، آقا میر منصور سمنانی، میر معزالدین ولد میرتونی، محمد باقر بیک وزیر جهرم، میرزا طالب ولد كمال، صحیفی شیرازی شیخ بـهاء الدين، محمد بیک زنگنه، کوثری خونساری، محمد تقی بیک نویسنده میرزا داود متولی، مستفید اورنگ، ملا عباس فاتح، پیمانی خراسانی، فضلی جرفادقانی، میرزا اسحق رضوی خاص خادم، اولیا باشی، شیخ ابوسعید کرمانی، میرزا قوام ولد میرزا مقیم، میرزا حسن وزیر نواب، آقا حسین بشیر، فریدون بک .</w:t>
      </w:r>
    </w:p>
    <w:p>
      <w:pPr>
        <w:pStyle w:val="BookText"/>
      </w:pPr>
      <w:r>
        <w:rPr>
          <w:rFonts w:ascii="IRNazanin" w:hAnsi="IRNazanin" w:eastAsia="IRNazanin" w:cs="IRNazanin"/>
          <w:lang w:bidi="fa-IR"/>
          <w:color w:val="111111"/>
          <w:sz w:val="28"/>
          <w:szCs w:val="28"/>
          <w:rtl/>
        </w:rPr>
        <w:t xml:space="preserve">تهران؛ ملی؛ شماره نسخه: ۱۹۴۰</w:t>
      </w:r>
    </w:p>
    <w:p>
      <w:pPr>
        <w:pStyle w:val="BookText"/>
      </w:pPr>
      <w:r>
        <w:rPr>
          <w:rFonts w:ascii="IRNazanin" w:hAnsi="IRNazanin" w:eastAsia="IRNazanin" w:cs="IRNazanin"/>
          <w:lang w:bidi="fa-IR"/>
          <w:color w:val="111111"/>
          <w:sz w:val="28"/>
          <w:szCs w:val="28"/>
          <w:rtl/>
        </w:rPr>
        <w:t xml:space="preserve">آغاز: آنرا که خدا بلافتی کرد ثنا *** مخلوق چگونه اش سر بسزا؛ انجام: اگر مجنون دل شوریدهای دانست *** دلیل لیلی از آن شوریده تر بی</w:t>
      </w:r>
    </w:p>
    <w:p>
      <w:pPr>
        <w:pStyle w:val="BookText"/>
      </w:pPr>
      <w:r>
        <w:rPr>
          <w:rFonts w:ascii="IRNazanin" w:hAnsi="IRNazanin" w:eastAsia="IRNazanin" w:cs="IRNazanin"/>
          <w:lang w:bidi="fa-IR"/>
          <w:color w:val="111111"/>
          <w:sz w:val="28"/>
          <w:szCs w:val="28"/>
          <w:rtl/>
        </w:rPr>
        <w:t xml:space="preserve">خط: شکسته نستعلیق، کاتب = مؤلف، تا: قرن ۱۴؛ اشعار در چـهار ستون ؛کاغذ: فرنگی ،جلد: ابره ،کاغذی، عطف و گوشه تیماج ماشی ،مقوایی، ۱۱۹گ، ۱۷ سطر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اندازه:۱۵/۵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۴ - ۳۹۹]</w:t>
      </w:r>
    </w:p>
    <w:p>
      <w:pPr>
        <w:pStyle w:val="Heading3"/>
      </w:pPr>
      <w:bookmarkStart w:id="2047" w:name="_Toc1569"/>
      <w:r>
        <w:t>اشعار (گردآوری) / شعر / فارسی</w:t>
      </w:r>
      <w:bookmarkEnd w:id="2047"/>
    </w:p>
    <w:p>
      <w:pPr>
        <w:pStyle w:val="BookText"/>
      </w:pPr>
      <w:r>
        <w:rPr>
          <w:rFonts w:ascii="Times New Roman" w:hAnsi="Times New Roman" w:eastAsia="Times New Roman" w:cs="Times New Roman"/>
          <w:lang w:val="en-US" w:bidi="en-US"/>
          <w:color w:val="111111"/>
          <w:sz w:val="28"/>
          <w:szCs w:val="28"/>
          <w:rtl/>
        </w:rPr>
        <w:t xml:space="preserve">(aš‘ār (gerdāvarī)</w:t>
      </w:r>
    </w:p>
    <w:p>
      <w:pPr>
        <w:pStyle w:val="BookText"/>
      </w:pPr>
      <w:r>
        <w:rPr>
          <w:rFonts w:ascii="IRNazanin" w:hAnsi="IRNazanin" w:eastAsia="IRNazanin" w:cs="IRNazanin"/>
          <w:lang w:bidi="fa-IR"/>
          <w:color w:val="111111"/>
          <w:sz w:val="28"/>
          <w:szCs w:val="28"/>
          <w:rtl/>
        </w:rPr>
        <w:t xml:space="preserve">حیرت حسینی،  محمد بن حسین</w:t>
      </w:r>
    </w:p>
    <w:p>
      <w:pPr>
        <w:pStyle w:val="BookText"/>
      </w:pPr>
      <w:r>
        <w:rPr>
          <w:rFonts w:ascii="Times New Roman" w:hAnsi="Times New Roman" w:eastAsia="Times New Roman" w:cs="Times New Roman"/>
          <w:lang w:val="en-US" w:bidi="en-US"/>
          <w:color w:val="111111"/>
          <w:sz w:val="28"/>
          <w:szCs w:val="28"/>
          <w:rtl/>
        </w:rPr>
        <w:t xml:space="preserve">heyrat-e hoseynī, mohammad ebn-e hoseyn</w:t>
      </w:r>
    </w:p>
    <w:p>
      <w:pPr>
        <w:pStyle w:val="BookText"/>
      </w:pPr>
      <w:r>
        <w:rPr>
          <w:rFonts w:ascii="IRNazanin" w:hAnsi="IRNazanin" w:eastAsia="IRNazanin" w:cs="IRNazanin"/>
          <w:lang w:bidi="fa-IR"/>
          <w:color w:val="111111"/>
          <w:sz w:val="28"/>
          <w:szCs w:val="28"/>
          <w:rtl/>
        </w:rPr>
        <w:t xml:space="preserve">فهرست نام برخی از شاعرانی که شعر آنها در این جنگ آمـده است: مهوی، قدرت قمی، ازل قمی، مخفی، میرزا عبدالرحـیم، جیحون ،فیضی ،جامی ،اقبال، جدای قمی، صبوحی شاطر عباس قمی، شیخ محمد حسین قمی، شیخ محمد علی، وفایی قمی، آقا میرزا سید علی قمی، شرر قمی، آذر قمی، فرهنگ قمـی، رضوانی قمی ،تمکین ،صفایی ،محیط، طالب، آقا علی مدرس، طرزی افشار ،وصال، بسحق شیرازی، مهدیقلی میرزای سـهام الملک، ضیاء سپاهانی، میرزا عبدالله، شيخ الرئيس ميرزا، راهـب، میرزا حسین حرامزاده، استاد غلامرضای شیشه گر، آقا محـمد رضای صهبای قمشه ای، شاه نعمة الله ،میر فندرسکی مشتاق، در دنبال شعر تمكين آمده «حرره محمد علی بن محمد حس الطهراني».</w:t>
      </w:r>
    </w:p>
    <w:p>
      <w:pPr>
        <w:pStyle w:val="BookText"/>
      </w:pPr>
      <w:r>
        <w:rPr>
          <w:rFonts w:ascii="IRNazanin" w:hAnsi="IRNazanin" w:eastAsia="IRNazanin" w:cs="IRNazanin"/>
          <w:lang w:bidi="fa-IR"/>
          <w:color w:val="111111"/>
          <w:sz w:val="28"/>
          <w:szCs w:val="28"/>
          <w:rtl/>
        </w:rPr>
        <w:t xml:space="preserve">تهران؛ دانشگاه؛ شماره نسخه: ۴۱۵۸</w:t>
      </w:r>
    </w:p>
    <w:p>
      <w:pPr>
        <w:pStyle w:val="BookText"/>
      </w:pPr>
      <w:r>
        <w:rPr>
          <w:rFonts w:ascii="IRNazanin" w:hAnsi="IRNazanin" w:eastAsia="IRNazanin" w:cs="IRNazanin"/>
          <w:lang w:bidi="fa-IR"/>
          <w:color w:val="111111"/>
          <w:sz w:val="28"/>
          <w:szCs w:val="28"/>
          <w:rtl/>
        </w:rPr>
        <w:t xml:space="preserve">خط: شکسته نستعلیق، بی کا، تا: قرن ۱۴؛ کاغذ: فرنگی، تیماج قهوه ای ،ضربی، ۹۲گ، سطور چلیپا (9</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۱۳ - ۳۱۲۹]</w:t>
      </w:r>
    </w:p>
    <w:p>
      <w:pPr>
        <w:pStyle w:val="Heading3"/>
      </w:pPr>
      <w:bookmarkStart w:id="2048" w:name="_Toc1570"/>
      <w:r>
        <w:t>اشعار گردآوری) / شعر / فارسی</w:t>
      </w:r>
      <w:bookmarkEnd w:id="2048"/>
    </w:p>
    <w:p>
      <w:pPr>
        <w:pStyle w:val="BookText"/>
      </w:pPr>
      <w:r>
        <w:rPr>
          <w:rFonts w:ascii="Times New Roman" w:hAnsi="Times New Roman" w:eastAsia="Times New Roman" w:cs="Times New Roman"/>
          <w:lang w:val="en-US" w:bidi="en-US"/>
          <w:color w:val="111111"/>
          <w:sz w:val="28"/>
          <w:szCs w:val="28"/>
          <w:rtl/>
        </w:rPr>
        <w:t xml:space="preserve">(aš‘ār (gerdāvarī)</w:t>
      </w:r>
    </w:p>
    <w:p>
      <w:pPr>
        <w:pStyle w:val="BookText"/>
      </w:pPr>
      <w:r>
        <w:rPr>
          <w:rFonts w:ascii="IRNazanin" w:hAnsi="IRNazanin" w:eastAsia="IRNazanin" w:cs="IRNazanin"/>
          <w:lang w:bidi="fa-IR"/>
          <w:color w:val="111111"/>
          <w:sz w:val="28"/>
          <w:szCs w:val="28"/>
          <w:rtl/>
        </w:rPr>
        <w:t xml:space="preserve">تیمورتاش ،سرر، ق ۱۴ قمری</w:t>
      </w:r>
    </w:p>
    <w:p>
      <w:pPr>
        <w:pStyle w:val="BookText"/>
      </w:pPr>
      <w:r>
        <w:rPr>
          <w:rFonts w:ascii="Times New Roman" w:hAnsi="Times New Roman" w:eastAsia="Times New Roman" w:cs="Times New Roman"/>
          <w:lang w:val="en-US" w:bidi="en-US"/>
          <w:color w:val="111111"/>
          <w:sz w:val="28"/>
          <w:szCs w:val="28"/>
          <w:rtl/>
        </w:rPr>
        <w:t xml:space="preserve">(teymūrtāš, sorar (- 20c)</w:t>
      </w:r>
    </w:p>
    <w:p>
      <w:pPr>
        <w:pStyle w:val="BookText"/>
      </w:pPr>
      <w:r>
        <w:rPr>
          <w:rFonts w:ascii="IRNazanin" w:hAnsi="IRNazanin" w:eastAsia="IRNazanin" w:cs="IRNazanin"/>
          <w:lang w:bidi="fa-IR"/>
          <w:color w:val="111111"/>
          <w:sz w:val="28"/>
          <w:szCs w:val="28"/>
          <w:rtl/>
        </w:rPr>
        <w:t xml:space="preserve">تهران؛ ملی؛ شماره نسخه: ۱۶۷۹۵</w:t>
      </w:r>
    </w:p>
    <w:p>
      <w:pPr>
        <w:pStyle w:val="BookText"/>
      </w:pPr>
      <w:r>
        <w:rPr>
          <w:rFonts w:ascii="IRNazanin" w:hAnsi="IRNazanin" w:eastAsia="IRNazanin" w:cs="IRNazanin"/>
          <w:lang w:bidi="fa-IR"/>
          <w:color w:val="111111"/>
          <w:sz w:val="28"/>
          <w:szCs w:val="28"/>
          <w:rtl/>
        </w:rPr>
        <w:t xml:space="preserve">بياض شعر ؛ كاتب = مؤلف، تا: ۱۳۲۹ق؛ انتقالی از کتابخانه پهلوی - مجموعه نوازی؛ ۴۴گ، اندازه:۱۰/۸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۲۰/۸سم [رایانه]</w:t>
      </w:r>
    </w:p>
    <w:p>
      <w:pPr>
        <w:pStyle w:val="Heading3"/>
      </w:pPr>
      <w:bookmarkStart w:id="2049" w:name="_Toc1571"/>
      <w:r>
        <w:t>اشعار (گردآوری) / شعر / فارسی</w:t>
      </w:r>
      <w:bookmarkEnd w:id="2049"/>
    </w:p>
    <w:p>
      <w:pPr>
        <w:pStyle w:val="BookText"/>
      </w:pPr>
      <w:r>
        <w:rPr>
          <w:rFonts w:ascii="Times New Roman" w:hAnsi="Times New Roman" w:eastAsia="Times New Roman" w:cs="Times New Roman"/>
          <w:lang w:val="en-US" w:bidi="en-US"/>
          <w:color w:val="111111"/>
          <w:sz w:val="28"/>
          <w:szCs w:val="28"/>
          <w:rtl/>
        </w:rPr>
        <w:t xml:space="preserve">(aš‘ār (gerdāvarī)</w:t>
      </w:r>
    </w:p>
    <w:p>
      <w:pPr>
        <w:pStyle w:val="BookText"/>
      </w:pPr>
      <w:r>
        <w:rPr>
          <w:rFonts w:ascii="IRNazanin" w:hAnsi="IRNazanin" w:eastAsia="IRNazanin" w:cs="IRNazanin"/>
          <w:lang w:bidi="fa-IR"/>
          <w:color w:val="111111"/>
          <w:sz w:val="28"/>
          <w:szCs w:val="28"/>
          <w:rtl/>
        </w:rPr>
        <w:t xml:space="preserve">حسینی، احمد بن ابراهیم، ق ۱۴ قمری</w:t>
      </w:r>
    </w:p>
    <w:p>
      <w:pPr>
        <w:pStyle w:val="BookText"/>
      </w:pPr>
      <w:r>
        <w:rPr>
          <w:rFonts w:ascii="Times New Roman" w:hAnsi="Times New Roman" w:eastAsia="Times New Roman" w:cs="Times New Roman"/>
          <w:lang w:val="en-US" w:bidi="en-US"/>
          <w:color w:val="111111"/>
          <w:sz w:val="28"/>
          <w:szCs w:val="28"/>
          <w:rtl/>
        </w:rPr>
        <w:t xml:space="preserve">(hoseynī, ahmad ebn-e ebrāhīm (- 20c)</w:t>
      </w:r>
    </w:p>
    <w:p>
      <w:pPr>
        <w:pStyle w:val="BookText"/>
      </w:pPr>
      <w:r>
        <w:rPr>
          <w:rFonts w:ascii="IRNazanin" w:hAnsi="IRNazanin" w:eastAsia="IRNazanin" w:cs="IRNazanin"/>
          <w:lang w:bidi="fa-IR"/>
          <w:color w:val="111111"/>
          <w:sz w:val="28"/>
          <w:szCs w:val="28"/>
          <w:rtl/>
        </w:rPr>
        <w:t xml:space="preserve">اهدا به: امین السلطان</w:t>
      </w:r>
    </w:p>
    <w:p>
      <w:pPr>
        <w:pStyle w:val="BookText"/>
      </w:pPr>
      <w:r>
        <w:rPr>
          <w:rFonts w:ascii="IRNazanin" w:hAnsi="IRNazanin" w:eastAsia="IRNazanin" w:cs="IRNazanin"/>
          <w:lang w:bidi="fa-IR"/>
          <w:color w:val="111111"/>
          <w:sz w:val="28"/>
          <w:szCs w:val="28"/>
          <w:rtl/>
        </w:rPr>
        <w:t xml:space="preserve">تاریخ تألیف: ۱۳۰۶ق</w:t>
      </w:r>
    </w:p>
    <w:p>
      <w:pPr>
        <w:pStyle w:val="BookText"/>
      </w:pPr>
      <w:r>
        <w:rPr>
          <w:rFonts w:ascii="IRNazanin" w:hAnsi="IRNazanin" w:eastAsia="IRNazanin" w:cs="IRNazanin"/>
          <w:lang w:bidi="fa-IR"/>
          <w:color w:val="111111"/>
          <w:sz w:val="28"/>
          <w:szCs w:val="28"/>
          <w:rtl/>
        </w:rPr>
        <w:t xml:space="preserve">اشعاری از: انوری، منوچهری، ناصر خسرو، ظهیر فاریابی، ارزقی، امیر معزی، مسعود سعد و رشید وطواط، اثیرالدین اخسیتکی، خاقانی شروانی، رودکی سمرقندی و عنصری.</w:t>
      </w:r>
    </w:p>
    <w:p>
      <w:pPr>
        <w:pStyle w:val="BookText"/>
      </w:pPr>
      <w:r>
        <w:rPr>
          <w:rFonts w:ascii="IRNazanin" w:hAnsi="IRNazanin" w:eastAsia="IRNazanin" w:cs="IRNazanin"/>
          <w:lang w:bidi="fa-IR"/>
          <w:color w:val="111111"/>
          <w:sz w:val="28"/>
          <w:szCs w:val="28"/>
          <w:rtl/>
        </w:rPr>
        <w:t xml:space="preserve">تهران؛ مجلس؛ شماره نسخه: ۱۱۶-فیروز</w:t>
      </w:r>
    </w:p>
    <w:p>
      <w:pPr>
        <w:pStyle w:val="BookText"/>
      </w:pPr>
      <w:r>
        <w:rPr>
          <w:rFonts w:ascii="IRNazanin" w:hAnsi="IRNazanin" w:eastAsia="IRNazanin" w:cs="IRNazanin"/>
          <w:lang w:bidi="fa-IR"/>
          <w:color w:val="111111"/>
          <w:sz w:val="28"/>
          <w:szCs w:val="28"/>
          <w:rtl/>
        </w:rPr>
        <w:t xml:space="preserve">خط: نستعليق، كاتب = مؤلف، بی تا، دارای ۲۹ سر سوره و جداول با آب طلا و لاجورد در همه صفحات؛ کاغذ: فرنگی آهار مهره، جلد: تیماج آستر و عطف و حاشیه تیماج سرمه ای، ۶۳ ص، ۱۰ سطر، قطع: خشتی،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۲۱ - ۲۴۴]</w:t>
      </w:r>
    </w:p>
    <w:p>
      <w:pPr>
        <w:pStyle w:val="Heading3"/>
      </w:pPr>
      <w:bookmarkStart w:id="2050" w:name="_Toc1572"/>
      <w:r>
        <w:t>اشعار (گردآوری) / شعر / فارسی</w:t>
      </w:r>
      <w:bookmarkEnd w:id="2050"/>
    </w:p>
    <w:p>
      <w:pPr>
        <w:pStyle w:val="BookText"/>
      </w:pPr>
      <w:r>
        <w:rPr>
          <w:rFonts w:ascii="Times New Roman" w:hAnsi="Times New Roman" w:eastAsia="Times New Roman" w:cs="Times New Roman"/>
          <w:lang w:val="en-US" w:bidi="en-US"/>
          <w:color w:val="111111"/>
          <w:sz w:val="28"/>
          <w:szCs w:val="28"/>
          <w:rtl/>
        </w:rPr>
        <w:t xml:space="preserve">(aš ār (gerdāvarī)</w:t>
      </w:r>
    </w:p>
    <w:p>
      <w:pPr>
        <w:pStyle w:val="BookText"/>
      </w:pPr>
      <w:r>
        <w:rPr>
          <w:rFonts w:ascii="IRNazanin" w:hAnsi="IRNazanin" w:eastAsia="IRNazanin" w:cs="IRNazanin"/>
          <w:lang w:bidi="fa-IR"/>
          <w:color w:val="111111"/>
          <w:sz w:val="28"/>
          <w:szCs w:val="28"/>
          <w:rtl/>
        </w:rPr>
        <w:t xml:space="preserve">حسینی علوی، علی بن محمد علی، ق ۱۴ قمری</w:t>
      </w:r>
    </w:p>
    <w:p>
      <w:pPr>
        <w:pStyle w:val="BookText"/>
      </w:pPr>
      <w:r>
        <w:rPr>
          <w:rFonts w:ascii="Times New Roman" w:hAnsi="Times New Roman" w:eastAsia="Times New Roman" w:cs="Times New Roman"/>
          <w:lang w:val="en-US" w:bidi="en-US"/>
          <w:color w:val="111111"/>
          <w:sz w:val="28"/>
          <w:szCs w:val="28"/>
          <w:rtl/>
        </w:rPr>
        <w:t xml:space="preserve">(hoseynī ‘alavī, ‘alī ebn-e mohammad ‘alī (- 20c)</w:t>
      </w:r>
    </w:p>
    <w:p>
      <w:pPr>
        <w:pStyle w:val="BookText"/>
      </w:pPr>
      <w:r>
        <w:rPr>
          <w:rFonts w:ascii="IRNazanin" w:hAnsi="IRNazanin" w:eastAsia="IRNazanin" w:cs="IRNazanin"/>
          <w:lang w:bidi="fa-IR"/>
          <w:color w:val="111111"/>
          <w:sz w:val="28"/>
          <w:szCs w:val="28"/>
          <w:rtl/>
        </w:rPr>
        <w:t xml:space="preserve">تاریخ تألیف: سه شنبه ۲۹ جمادی الثانی ۱۳۷۳ق؛ محل تأليف: مدرسه کاسه گران اصفهان</w:t>
      </w:r>
    </w:p>
    <w:p>
      <w:pPr>
        <w:pStyle w:val="BookText"/>
      </w:pPr>
      <w:r>
        <w:rPr>
          <w:rFonts w:ascii="IRNazanin" w:hAnsi="IRNazanin" w:eastAsia="IRNazanin" w:cs="IRNazanin"/>
          <w:lang w:bidi="fa-IR"/>
          <w:color w:val="111111"/>
          <w:sz w:val="28"/>
          <w:szCs w:val="28"/>
          <w:rtl/>
        </w:rPr>
        <w:t xml:space="preserve">گزیده ای از اشعار شاعران مختلف  است، مؤلف در مقدمه می گوید: «چون در ایام شباب طبع مایل به اشعار می بود و از جمله آنها آنچه در مواعظ و اخلاق و حكم و امثال آمده، از اقسام دیگر مرغوب تر ،فلهذا مصمم گردیدم که از اشعار شعرا شطری و از ابیات ادبا چند سطری در مجموعه ای گرد کرده و چون اختصار در همه جا مطلوبست، على هذا مقطعات و دو بیتی ها و موزون بحر خفيف «فاعلا تن مفاعلن فعلن» انتخاب و اختیار شد و به همین واسطه نامیدم آن را به «قطعات مختصره».</w:t>
      </w:r>
    </w:p>
    <w:p>
      <w:pPr>
        <w:pStyle w:val="BookText"/>
      </w:pPr>
      <w:r>
        <w:rPr>
          <w:rFonts w:ascii="IRNazanin" w:hAnsi="IRNazanin" w:eastAsia="IRNazanin" w:cs="IRNazanin"/>
          <w:lang w:bidi="fa-IR"/>
          <w:color w:val="111111"/>
          <w:sz w:val="28"/>
          <w:szCs w:val="28"/>
          <w:rtl/>
        </w:rPr>
        <w:t xml:space="preserve">مؤلف از سروده های خود نیز در جای های مختلف آورده است.</w:t>
      </w:r>
    </w:p>
    <w:p>
      <w:pPr>
        <w:pStyle w:val="BookText"/>
      </w:pPr>
      <w:r>
        <w:rPr>
          <w:rFonts w:ascii="IRNazanin" w:hAnsi="IRNazanin" w:eastAsia="IRNazanin" w:cs="IRNazanin"/>
          <w:lang w:bidi="fa-IR"/>
          <w:color w:val="111111"/>
          <w:sz w:val="28"/>
          <w:szCs w:val="28"/>
          <w:rtl/>
        </w:rPr>
        <w:t xml:space="preserve">تهران؛ عبد العظیم؛ شماره نسخه: ۶۵۰/۱</w:t>
      </w:r>
    </w:p>
    <w:p>
      <w:pPr>
        <w:pStyle w:val="BookText"/>
      </w:pPr>
      <w:r>
        <w:rPr>
          <w:rFonts w:ascii="IRNazanin" w:hAnsi="IRNazanin" w:eastAsia="IRNazanin" w:cs="IRNazanin"/>
          <w:lang w:bidi="fa-IR"/>
          <w:color w:val="111111"/>
          <w:sz w:val="28"/>
          <w:szCs w:val="28"/>
          <w:rtl/>
        </w:rPr>
        <w:t xml:space="preserve">آغاز: سپاس مرپروردگاری را سزاست که قطعات سبحات فیضش نباتات ریاض آفرینش را سیراب فرموده</w:t>
      </w:r>
    </w:p>
    <w:p>
      <w:pPr>
        <w:pStyle w:val="BookText"/>
      </w:pPr>
      <w:r>
        <w:rPr>
          <w:rFonts w:ascii="IRNazanin" w:hAnsi="IRNazanin" w:eastAsia="IRNazanin" w:cs="IRNazanin"/>
          <w:lang w:bidi="fa-IR"/>
          <w:color w:val="111111"/>
          <w:sz w:val="28"/>
          <w:szCs w:val="28"/>
          <w:rtl/>
        </w:rPr>
        <w:t xml:space="preserve">خط: نستعليق، كاتب = مؤلف، تا: پنج شنبه 25محرم 1390ق؛نسخه دوم  از کتاب است؛ مهر: مؤلف؛ ۶۱گ، ۱۷ سطر، اندازه:۱۱/۵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۱۸/۵سم [ف: ۱ – ۴۳۷]
</w:t>
      </w:r>
    </w:p>
    <w:p>
      <w:pPr>
        <w:sectPr>
          <w:footerReference w:type="default" r:id="rId1005"/>
          <w:footnotePr>
            <w:numStart w:val="1"/>
            <w:numRestart w:val="eachPage"/>
          </w:footnotePr>
          <w:pgSz w:orient="portrait" w:w="11905.511811023622" w:h="16837.79527559055"/>
          <w:pgMar w:top="1440" w:right="1440" w:bottom="1440" w:left="1440" w:header="720" w:footer="720" w:gutter="0"/>
          <w:cols w:num="1" w:space="720"/>
        </w:sectPr>
      </w:pPr>
    </w:p>
    <w:bookmarkStart w:id="451" w:name="pg20365_260941"/>
    <w:bookmarkEnd w:id="451"/>
    <w:p>
      <w:pPr>
        <w:pStyle w:val="Heading3"/>
      </w:pPr>
      <w:bookmarkStart w:id="2051" w:name="_Toc1573"/>
      <w:r>
        <w:t>اشعار (گردآوری) / شعر / فارسی</w:t>
      </w:r>
      <w:bookmarkEnd w:id="2051"/>
    </w:p>
    <w:p>
      <w:pPr>
        <w:pStyle w:val="BookText"/>
      </w:pPr>
      <w:r>
        <w:rPr>
          <w:rFonts w:ascii="Times New Roman" w:hAnsi="Times New Roman" w:eastAsia="Times New Roman" w:cs="Times New Roman"/>
          <w:lang w:val="en-US" w:bidi="en-US"/>
          <w:color w:val="111111"/>
          <w:sz w:val="28"/>
          <w:szCs w:val="28"/>
          <w:rtl/>
        </w:rPr>
        <w:t xml:space="preserve">(aš‘ār (gerdāvarī)</w:t>
      </w:r>
    </w:p>
    <w:p>
      <w:pPr>
        <w:pStyle w:val="BookText"/>
      </w:pPr>
      <w:r>
        <w:rPr>
          <w:rFonts w:ascii="IRNazanin" w:hAnsi="IRNazanin" w:eastAsia="IRNazanin" w:cs="IRNazanin"/>
          <w:lang w:bidi="fa-IR"/>
          <w:color w:val="111111"/>
          <w:sz w:val="28"/>
          <w:szCs w:val="28"/>
          <w:rtl/>
        </w:rPr>
        <w:t xml:space="preserve">دبیرخاقان، مهدی، ق ۱۴ قمری</w:t>
      </w:r>
    </w:p>
    <w:p>
      <w:pPr>
        <w:pStyle w:val="BookText"/>
      </w:pPr>
      <w:r>
        <w:rPr>
          <w:rFonts w:ascii="Times New Roman" w:hAnsi="Times New Roman" w:eastAsia="Times New Roman" w:cs="Times New Roman"/>
          <w:lang w:val="en-US" w:bidi="en-US"/>
          <w:color w:val="111111"/>
          <w:sz w:val="28"/>
          <w:szCs w:val="28"/>
          <w:rtl/>
        </w:rPr>
        <w:t xml:space="preserve">(dabīr xāqān, mahdī (- 20c)</w:t>
      </w:r>
    </w:p>
    <w:p>
      <w:pPr>
        <w:pStyle w:val="BookText"/>
      </w:pPr>
      <w:r>
        <w:rPr>
          <w:rFonts w:ascii="IRNazanin" w:hAnsi="IRNazanin" w:eastAsia="IRNazanin" w:cs="IRNazanin"/>
          <w:lang w:bidi="fa-IR"/>
          <w:color w:val="111111"/>
          <w:sz w:val="28"/>
          <w:szCs w:val="28"/>
          <w:rtl/>
        </w:rPr>
        <w:t xml:space="preserve">مشتمل است بر غزلیاتی از طلعت، زرگر اصفهانی، طوبی، فروغی ،جامی ،سعدی ،حافظ ،هاتف ،حیدر ،محیط، مجـمر اصفهانی، صفی علیشاه ،سنائی ،سرخوش ،قاآنی ،ثمر، ذکاء الملک، وصال شیرازی، همای شیرازی، نشاط، عاشق اصفهانی، سروش، هلالی ،جغتائی، شمس مغربی، انوری ،شیدا، نظامی، و مثنویات ورباعیاتی که ناظمش معلوم نشده است. در انتها منشأتی در گله از معشوق و جواب احوال پرسی، و عدم ارسال مراسله معشوق، در جواب ملاطفت نامه معشوق ،در فراموشکاری، اظهار اشتیاق، خدمت و دعوت معشوق، در مناجات از شداید عشق، در عرض ارادت خدمت ،معشوق در مراجعت معشوق از سفر ،در اظهار کمال اشتیاق خدمت معشـوق و همچنین غزلیاتی از مهدی منشی متخلص به نیرو ملقب به خاقان ضمیمه می باشد .</w:t>
      </w:r>
    </w:p>
    <w:p>
      <w:pPr>
        <w:pStyle w:val="BookText"/>
      </w:pPr>
      <w:r>
        <w:rPr>
          <w:rFonts w:ascii="IRNazanin" w:hAnsi="IRNazanin" w:eastAsia="IRNazanin" w:cs="IRNazanin"/>
          <w:lang w:bidi="fa-IR"/>
          <w:color w:val="111111"/>
          <w:sz w:val="28"/>
          <w:szCs w:val="28"/>
          <w:rtl/>
        </w:rPr>
        <w:t xml:space="preserve">مشهد؛ رضوی؛ شماره نسخه: ۱۶۳۵۰</w:t>
      </w:r>
    </w:p>
    <w:p>
      <w:pPr>
        <w:pStyle w:val="BookText"/>
      </w:pPr>
      <w:r>
        <w:rPr>
          <w:rFonts w:ascii="IRNazanin" w:hAnsi="IRNazanin" w:eastAsia="IRNazanin" w:cs="IRNazanin"/>
          <w:lang w:bidi="fa-IR"/>
          <w:color w:val="111111"/>
          <w:sz w:val="28"/>
          <w:szCs w:val="28"/>
          <w:rtl/>
        </w:rPr>
        <w:t xml:space="preserve">آغاز: هو المحبوب و المطلوب- نمي رود ز سرم گر درآورد غـمم از پا *** هوای شاهد شیرین و شور لعبت زیبا؛ انجام: اما شما آنچه از راه رسم وفا فرمودید تمام ادعا بود و ادعا بعرف عرفا بيجا و صاحب ادعا هنگام امتحان رو سیاه است قربانت</w:t>
      </w:r>
    </w:p>
    <w:p>
      <w:pPr>
        <w:pStyle w:val="BookText"/>
      </w:pPr>
      <w:r>
        <w:rPr>
          <w:rFonts w:ascii="IRNazanin" w:hAnsi="IRNazanin" w:eastAsia="IRNazanin" w:cs="IRNazanin"/>
          <w:lang w:bidi="fa-IR"/>
          <w:color w:val="111111"/>
          <w:sz w:val="28"/>
          <w:szCs w:val="28"/>
          <w:rtl/>
        </w:rPr>
        <w:t xml:space="preserve">خط: نستعليق، كاتب = مؤلف ،تا: رمضان۱۳۲۲ق؛ دارای سرلوح، مجدول و دارای کمند؛ واگذاری بنیاد مستضعفان در شهریور ۱۳۶۷؛ کاغذ: آبی فرنگی ،جلد: تیماج قهوه ای یک لا، ۸۴گ، 12سطر، اندازه 12/5</w:t>
      </w:r>
      <w:r>
        <w:rPr>
          <w:rFonts w:ascii="Times New Roman" w:hAnsi="Times New Roman" w:eastAsia="Times New Roman" w:cs="Times New Roman"/>
          <w:lang w:val="en-US" w:bidi="en-US"/>
          <w:color w:val="111111"/>
          <w:sz w:val="28"/>
          <w:szCs w:val="28"/>
          <w:rtl/>
        </w:rPr>
        <w:t xml:space="preserve">×20/7</w:t>
      </w:r>
      <w:r>
        <w:rPr>
          <w:rFonts w:ascii="IRNazanin" w:hAnsi="IRNazanin" w:eastAsia="IRNazanin" w:cs="IRNazanin"/>
          <w:lang w:bidi="fa-IR"/>
          <w:color w:val="111111"/>
          <w:sz w:val="28"/>
          <w:szCs w:val="28"/>
          <w:rtl/>
        </w:rPr>
        <w:t xml:space="preserve">سم [ف: ۱۷ - ۹۵]</w:t>
      </w:r>
    </w:p>
    <w:p>
      <w:pPr>
        <w:pStyle w:val="Heading3"/>
      </w:pPr>
      <w:bookmarkStart w:id="2052" w:name="_Toc1574"/>
      <w:r>
        <w:t>اشعار (گردآوری) / شعر / فارسی</w:t>
      </w:r>
      <w:bookmarkEnd w:id="2052"/>
    </w:p>
    <w:p>
      <w:pPr>
        <w:pStyle w:val="BookText"/>
      </w:pPr>
      <w:r>
        <w:rPr>
          <w:rFonts w:ascii="Times New Roman" w:hAnsi="Times New Roman" w:eastAsia="Times New Roman" w:cs="Times New Roman"/>
          <w:lang w:val="en-US" w:bidi="en-US"/>
          <w:color w:val="111111"/>
          <w:sz w:val="28"/>
          <w:szCs w:val="28"/>
          <w:rtl/>
        </w:rPr>
        <w:t xml:space="preserve">(aš‘ār (gerdāvarī)</w:t>
      </w:r>
    </w:p>
    <w:p>
      <w:pPr>
        <w:pStyle w:val="BookText"/>
      </w:pPr>
      <w:r>
        <w:rPr>
          <w:rFonts w:ascii="IRNazanin" w:hAnsi="IRNazanin" w:eastAsia="IRNazanin" w:cs="IRNazanin"/>
          <w:lang w:bidi="fa-IR"/>
          <w:color w:val="111111"/>
          <w:sz w:val="28"/>
          <w:szCs w:val="28"/>
          <w:rtl/>
        </w:rPr>
        <w:t xml:space="preserve">شاهرودی، محمد حسین، ق ۱۴ قمری</w:t>
      </w:r>
    </w:p>
    <w:p>
      <w:pPr>
        <w:pStyle w:val="BookText"/>
      </w:pPr>
      <w:r>
        <w:rPr>
          <w:rFonts w:ascii="Times New Roman" w:hAnsi="Times New Roman" w:eastAsia="Times New Roman" w:cs="Times New Roman"/>
          <w:lang w:val="en-US" w:bidi="en-US"/>
          <w:color w:val="111111"/>
          <w:sz w:val="28"/>
          <w:szCs w:val="28"/>
          <w:rtl/>
        </w:rPr>
        <w:t xml:space="preserve">(šāhrūdī, mohammad hoseyn (- 20c)</w:t>
      </w:r>
    </w:p>
    <w:p>
      <w:pPr>
        <w:pStyle w:val="BookText"/>
      </w:pPr>
      <w:r>
        <w:rPr>
          <w:rFonts w:ascii="IRNazanin" w:hAnsi="IRNazanin" w:eastAsia="IRNazanin" w:cs="IRNazanin"/>
          <w:lang w:bidi="fa-IR"/>
          <w:color w:val="111111"/>
          <w:sz w:val="28"/>
          <w:szCs w:val="28"/>
          <w:rtl/>
        </w:rPr>
        <w:t xml:space="preserve">مشهد؛ مدیر شانه چی؛ شماره نسخه: ۷</w:t>
      </w:r>
    </w:p>
    <w:p>
      <w:pPr>
        <w:pStyle w:val="BookText"/>
      </w:pPr>
      <w:r>
        <w:rPr>
          <w:rFonts w:ascii="IRNazanin" w:hAnsi="IRNazanin" w:eastAsia="IRNazanin" w:cs="IRNazanin"/>
          <w:lang w:bidi="fa-IR"/>
          <w:color w:val="111111"/>
          <w:sz w:val="28"/>
          <w:szCs w:val="28"/>
          <w:rtl/>
        </w:rPr>
        <w:t xml:space="preserve">جنگ اشعار فارسی است؛ خط: نستعلیق خوانا، كاتب =مؤلف، تا: قرن ۱۴ [ نشریه: ۵ - ۵۸۵]</w:t>
      </w:r>
    </w:p>
    <w:p>
      <w:pPr>
        <w:pStyle w:val="Heading3"/>
      </w:pPr>
      <w:bookmarkStart w:id="2053" w:name="_Toc1575"/>
      <w:r>
        <w:t>اشعار (گردآوری) / گوناگون / فارسی</w:t>
      </w:r>
      <w:bookmarkEnd w:id="2053"/>
    </w:p>
    <w:p>
      <w:pPr>
        <w:pStyle w:val="BookText"/>
      </w:pPr>
      <w:r>
        <w:rPr>
          <w:rFonts w:ascii="Times New Roman" w:hAnsi="Times New Roman" w:eastAsia="Times New Roman" w:cs="Times New Roman"/>
          <w:lang w:val="en-US" w:bidi="en-US"/>
          <w:color w:val="111111"/>
          <w:sz w:val="28"/>
          <w:szCs w:val="28"/>
          <w:rtl/>
        </w:rPr>
        <w:t xml:space="preserve">(aš‘ār (gerdāvarī)</w:t>
      </w:r>
    </w:p>
    <w:p>
      <w:pPr>
        <w:pStyle w:val="BookText"/>
      </w:pPr>
      <w:r>
        <w:rPr>
          <w:rFonts w:ascii="IRNazanin" w:hAnsi="IRNazanin" w:eastAsia="IRNazanin" w:cs="IRNazanin"/>
          <w:lang w:bidi="fa-IR"/>
          <w:color w:val="111111"/>
          <w:sz w:val="28"/>
          <w:szCs w:val="28"/>
          <w:rtl/>
        </w:rPr>
        <w:t xml:space="preserve">طالشی، جناب بن نورالله، ق۱۴ قمری</w:t>
      </w:r>
    </w:p>
    <w:p>
      <w:pPr>
        <w:pStyle w:val="BookText"/>
      </w:pPr>
      <w:r>
        <w:rPr>
          <w:rFonts w:ascii="Times New Roman" w:hAnsi="Times New Roman" w:eastAsia="Times New Roman" w:cs="Times New Roman"/>
          <w:lang w:val="en-US" w:bidi="en-US"/>
          <w:color w:val="111111"/>
          <w:sz w:val="28"/>
          <w:szCs w:val="28"/>
          <w:rtl/>
        </w:rPr>
        <w:t xml:space="preserve">(tālešī, jenāb ebn-e nūr-ol-lāh (- 20c)</w:t>
      </w:r>
    </w:p>
    <w:p>
      <w:pPr>
        <w:pStyle w:val="BookText"/>
      </w:pPr>
      <w:r>
        <w:rPr>
          <w:rFonts w:ascii="IRNazanin" w:hAnsi="IRNazanin" w:eastAsia="IRNazanin" w:cs="IRNazanin"/>
          <w:lang w:bidi="fa-IR"/>
          <w:color w:val="111111"/>
          <w:sz w:val="28"/>
          <w:szCs w:val="28"/>
          <w:rtl/>
        </w:rPr>
        <w:t xml:space="preserve">جنگ شعری است شامل غزلیات، رباعیات و فردیات از شعرای مختلف همچون: سعدی ،حافظ ،جامی ،عراقی خسرو دهلوی، صایب، هلالی ،جغتایی، مستوره کردستانی، عنصری، انوری، فرخی، نشاط، احمد شیخ الاسلام، الفت کردستانی، اسیری، والی کردستانی، محتشم، خسروخان والی، مجمر، هجری، حیران کردستانی، خموش  تهرانی، بیدل کاشانی، ذوقی بسطامی، رهی اصفهانی، رونق کرمانی، رامش شیرازی، داوری شیرازی، سرهنگ تبریزی، ساغر شیرازی ،شوکت شیرازی، کلیم همدانی، سید محمد علی خاکی، قریب اصفهانی، شباهنگ رازی ،راوی کروسی، شکوه شیرازی، صاحب مازندرانی، صفهانی اصفهانی، صبای کاشانی، صفائی نراقی، آقا محمود کرمانشاهی، مخلص شیرازی، مشتاق اصفهانی، مکنون کرجی، وصال شیرازی، ناطق اصفهانی، وقار شیرازی، واله اصفهانی، منصف قاجار، نصرت اردبیلی ،نوائی، نصرت طالشی، نثار تبریزی، واقف هندی، همای مروزی، همای شیرازی، هدایت طبرستانی، شاه غازی قلندری، قاضی عثمان قزوینی، یوسف خطائی، مجرم همدانی، جیب کاتبی، فغانی، منتخبات دیوان جامی، میرزا محمدتقی بن میرزا كاظم طبيب مظفر کرمانی، نورجهان بیگم، غبار رازی، فروغی اصفهانی، فرخ زند، فدای اردستانی، کوکب خراسانی، گلشن شیرازی، مجید طالقانی، مختم شیرازی، مایل اصفهانی، مطیع مازندرانی، محمد ساوری، میرزا محمد مازندرانی استر آبادی، میرزا محمد کوزه کنانی، منشی باشی طبرستانی، سلطانی مازندرانی، سلیم کردستانی، عاشق اصفهانی، گردآورنده جنگ خود را جناب بن نورالله طالشی معرفی می کند، گویا خود از شاعران بوده است. این جنگ را درشوال ۱۳۰۸ به انجام رسانده است.</w:t>
      </w:r>
    </w:p>
    <w:p>
      <w:pPr>
        <w:pStyle w:val="BookText"/>
      </w:pPr>
      <w:r>
        <w:rPr>
          <w:rFonts w:ascii="IRNazanin" w:hAnsi="IRNazanin" w:eastAsia="IRNazanin" w:cs="IRNazanin"/>
          <w:lang w:bidi="fa-IR"/>
          <w:color w:val="111111"/>
          <w:sz w:val="28"/>
          <w:szCs w:val="28"/>
          <w:rtl/>
        </w:rPr>
        <w:t xml:space="preserve">قم؛ گلپایگانی؛ شماره نسخه: ۶۶۰۱-۳۳/۱۵۱</w:t>
      </w:r>
    </w:p>
    <w:p>
      <w:pPr>
        <w:pStyle w:val="BookText"/>
      </w:pPr>
      <w:r>
        <w:rPr>
          <w:rFonts w:ascii="IRNazanin" w:hAnsi="IRNazanin" w:eastAsia="IRNazanin" w:cs="IRNazanin"/>
          <w:lang w:bidi="fa-IR"/>
          <w:color w:val="111111"/>
          <w:sz w:val="28"/>
          <w:szCs w:val="28"/>
          <w:rtl/>
        </w:rPr>
        <w:t xml:space="preserve">آغاز: بسمله چه دیدم درلب ساغر لب جانانه خود را *** پر از خوناب حسرت ساختم کاشانه خود را / اگر یکدم نمی بینم رخ جانانه خود را *** ز برق آه آتش می زنم کاشانه خود را؛ انجام: فرد: پادشاها درگهت دارالشفای رحمتست *** درد مندانیم زینجا بهر درمان آمدیم</w:t>
      </w:r>
    </w:p>
    <w:p>
      <w:pPr>
        <w:pStyle w:val="BookText"/>
      </w:pPr>
      <w:r>
        <w:rPr>
          <w:rFonts w:ascii="IRNazanin" w:hAnsi="IRNazanin" w:eastAsia="IRNazanin" w:cs="IRNazanin"/>
          <w:lang w:bidi="fa-IR"/>
          <w:color w:val="111111"/>
          <w:sz w:val="28"/>
          <w:szCs w:val="28"/>
          <w:rtl/>
        </w:rPr>
        <w:t xml:space="preserve">خط: شکسته، نستعلیق، کا: جناب بن نورالله طالشی (جامع جنگ)، تا: ۱۵ شوال ۱۳۰۸ق؛ جلد: تیماج قهوه ای مجدول با ترنج و سر ترنج، ۲۶۷گ، ۱۵ سطر، اندازه:9</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سم [ف: ۳ - ۱۲۲۹]</w:t>
      </w:r>
    </w:p>
    <w:p>
      <w:pPr>
        <w:pStyle w:val="Heading3"/>
      </w:pPr>
      <w:bookmarkStart w:id="2054" w:name="_Toc1576"/>
      <w:r>
        <w:t>اشعار (گردآوری) / شعر / فارسی</w:t>
      </w:r>
      <w:bookmarkEnd w:id="2054"/>
    </w:p>
    <w:p>
      <w:pPr>
        <w:pStyle w:val="BookText"/>
      </w:pPr>
      <w:r>
        <w:rPr>
          <w:rFonts w:ascii="Times New Roman" w:hAnsi="Times New Roman" w:eastAsia="Times New Roman" w:cs="Times New Roman"/>
          <w:lang w:val="en-US" w:bidi="en-US"/>
          <w:color w:val="111111"/>
          <w:sz w:val="28"/>
          <w:szCs w:val="28"/>
          <w:rtl/>
        </w:rPr>
        <w:t xml:space="preserve">(aš ār (gerdāvarī)</w:t>
      </w:r>
    </w:p>
    <w:p>
      <w:pPr>
        <w:pStyle w:val="BookText"/>
      </w:pPr>
      <w:r>
        <w:rPr>
          <w:rFonts w:ascii="IRNazanin" w:hAnsi="IRNazanin" w:eastAsia="IRNazanin" w:cs="IRNazanin"/>
          <w:lang w:bidi="fa-IR"/>
          <w:color w:val="111111"/>
          <w:sz w:val="28"/>
          <w:szCs w:val="28"/>
          <w:rtl/>
        </w:rPr>
        <w:t xml:space="preserve">ظریف، احمد بن عبدالکریم، ق ۱۴ قمری</w:t>
      </w:r>
    </w:p>
    <w:p>
      <w:pPr>
        <w:pStyle w:val="BookText"/>
      </w:pPr>
      <w:r>
        <w:rPr>
          <w:rFonts w:ascii="Times New Roman" w:hAnsi="Times New Roman" w:eastAsia="Times New Roman" w:cs="Times New Roman"/>
          <w:lang w:val="en-US" w:bidi="en-US"/>
          <w:color w:val="111111"/>
          <w:sz w:val="28"/>
          <w:szCs w:val="28"/>
          <w:rtl/>
        </w:rPr>
        <w:t xml:space="preserve">(zarīf, ahmad ebn-e ‘abd-ol-karīm (- 20c)</w:t>
      </w:r>
    </w:p>
    <w:p>
      <w:pPr>
        <w:pStyle w:val="BookText"/>
      </w:pPr>
      <w:r>
        <w:rPr>
          <w:rFonts w:ascii="IRNazanin" w:hAnsi="IRNazanin" w:eastAsia="IRNazanin" w:cs="IRNazanin"/>
          <w:lang w:bidi="fa-IR"/>
          <w:color w:val="111111"/>
          <w:sz w:val="28"/>
          <w:szCs w:val="28"/>
          <w:rtl/>
        </w:rPr>
        <w:t xml:space="preserve">جنگی در مدایح و مراثی حضرات معصومین (علیه السّلام)، از شعرای مختلف فارسی و بعضی از قصاید به عربی می باشد، و به نام این شاعران تصریح شده است: شریف مرتضی، میرزا محمود رئیس بقا على شاه، شیخ محمد صالح حائری طبری (علامه سمنانی)،
</w:t>
      </w:r>
    </w:p>
    <w:p>
      <w:pPr>
        <w:sectPr>
          <w:footerReference w:type="default" r:id="rId1006"/>
          <w:footnotePr>
            <w:numStart w:val="1"/>
            <w:numRestart w:val="eachPage"/>
          </w:footnotePr>
          <w:pgSz w:orient="portrait" w:w="11905.511811023622" w:h="16837.79527559055"/>
          <w:pgMar w:top="1440" w:right="1440" w:bottom="1440" w:left="1440" w:header="720" w:footer="720" w:gutter="0"/>
          <w:cols w:num="1" w:space="720"/>
        </w:sectPr>
      </w:pPr>
    </w:p>
    <w:bookmarkStart w:id="452" w:name="pg20365_260942"/>
    <w:bookmarkEnd w:id="452"/>
    <w:p>
      <w:pPr>
        <w:pStyle w:val="BookText"/>
      </w:pPr>
      <w:r>
        <w:rPr>
          <w:rFonts w:ascii="IRNazanin" w:hAnsi="IRNazanin" w:eastAsia="IRNazanin" w:cs="IRNazanin"/>
          <w:lang w:bidi="fa-IR"/>
          <w:color w:val="111111"/>
          <w:sz w:val="28"/>
          <w:szCs w:val="28"/>
          <w:rtl/>
        </w:rPr>
        <w:t xml:space="preserve">صفائی فرزند یغما (یغمای ثانی)، میرزا محمد صادق اصفهانی متخلص به روشن، یغما جندقی، میرزا عباس خان اعمی معرو به ادیب و متخلص به پریش ساکن ساری، مفتون ساروی ،خاوری، جیحون یزدی، آقا رسول بارفروشی متخلص به قانع، سید ابوالقاسم رشتی متخلص به بی نشان، آقا محمد ابراهیم سبحانی، ابوالعتاهيه، شيخ عبدالوهاب شعرانی، حیدر علی کمالی، حاجی شیخ اسدالله امين الواعظين.</w:t>
      </w:r>
    </w:p>
    <w:p>
      <w:pPr>
        <w:pStyle w:val="BookText"/>
      </w:pPr>
      <w:r>
        <w:rPr>
          <w:rFonts w:ascii="IRNazanin" w:hAnsi="IRNazanin" w:eastAsia="IRNazanin" w:cs="IRNazanin"/>
          <w:lang w:bidi="fa-IR"/>
          <w:color w:val="111111"/>
          <w:sz w:val="28"/>
          <w:szCs w:val="28"/>
          <w:rtl/>
        </w:rPr>
        <w:t xml:space="preserve">قم؛ مرکز احیاء؛ شماره نسخه: ۳۵۵</w:t>
      </w:r>
    </w:p>
    <w:p>
      <w:pPr>
        <w:pStyle w:val="BookText"/>
      </w:pPr>
      <w:r>
        <w:rPr>
          <w:rFonts w:ascii="IRNazanin" w:hAnsi="IRNazanin" w:eastAsia="IRNazanin" w:cs="IRNazanin"/>
          <w:lang w:bidi="fa-IR"/>
          <w:color w:val="111111"/>
          <w:sz w:val="28"/>
          <w:szCs w:val="28"/>
          <w:rtl/>
        </w:rPr>
        <w:t xml:space="preserve">خط: نسخ معرب و نستعليق، كاتب = مؤلف، تا: ۱۳۲۶ق؛ چند صفحه اواخر مجموعه به خط علامه سمنانی است با تاریخ 1329 در برگ ۲۴۴، سطرها چلیپا؛ جلد: تیماج قهوه ای، ۲۶۶ گ، مختلف السطر،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۱ - ۴۶۴]</w:t>
      </w:r>
    </w:p>
    <w:p>
      <w:pPr>
        <w:pStyle w:val="Heading3"/>
      </w:pPr>
      <w:bookmarkStart w:id="2055" w:name="_Toc1577"/>
      <w:r>
        <w:t>اشعار (گردآوری) / شعر / فارسی</w:t>
      </w:r>
      <w:bookmarkEnd w:id="2055"/>
    </w:p>
    <w:p>
      <w:pPr>
        <w:pStyle w:val="BookText"/>
      </w:pPr>
      <w:r>
        <w:rPr>
          <w:rFonts w:ascii="Times New Roman" w:hAnsi="Times New Roman" w:eastAsia="Times New Roman" w:cs="Times New Roman"/>
          <w:lang w:val="en-US" w:bidi="en-US"/>
          <w:color w:val="111111"/>
          <w:sz w:val="28"/>
          <w:szCs w:val="28"/>
          <w:rtl/>
        </w:rPr>
        <w:t xml:space="preserve">(aš‘ār (gerdāvarī)</w:t>
      </w:r>
    </w:p>
    <w:p>
      <w:pPr>
        <w:pStyle w:val="BookText"/>
      </w:pPr>
      <w:r>
        <w:rPr>
          <w:rFonts w:ascii="IRNazanin" w:hAnsi="IRNazanin" w:eastAsia="IRNazanin" w:cs="IRNazanin"/>
          <w:lang w:bidi="fa-IR"/>
          <w:color w:val="111111"/>
          <w:sz w:val="28"/>
          <w:szCs w:val="28"/>
          <w:rtl/>
        </w:rPr>
        <w:t xml:space="preserve">گلستانه، ابوالقاسم، ق۱۴ قمری</w:t>
      </w:r>
    </w:p>
    <w:p>
      <w:pPr>
        <w:pStyle w:val="BookText"/>
      </w:pPr>
      <w:r>
        <w:rPr>
          <w:rFonts w:ascii="Times New Roman" w:hAnsi="Times New Roman" w:eastAsia="Times New Roman" w:cs="Times New Roman"/>
          <w:lang w:val="en-US" w:bidi="en-US"/>
          <w:color w:val="111111"/>
          <w:sz w:val="28"/>
          <w:szCs w:val="28"/>
          <w:rtl/>
        </w:rPr>
        <w:t xml:space="preserve">(golestāne, ab-ol-qāsem (- 20c)</w:t>
      </w:r>
    </w:p>
    <w:p>
      <w:pPr>
        <w:pStyle w:val="BookText"/>
      </w:pPr>
      <w:r>
        <w:rPr>
          <w:rFonts w:ascii="IRNazanin" w:hAnsi="IRNazanin" w:eastAsia="IRNazanin" w:cs="IRNazanin"/>
          <w:lang w:bidi="fa-IR"/>
          <w:color w:val="111111"/>
          <w:sz w:val="28"/>
          <w:szCs w:val="28"/>
          <w:rtl/>
        </w:rPr>
        <w:t xml:space="preserve">منتخباتی است از اشعار شعرای قدیم و معاصر که بدون ترتب مخصوص گرد آورده شده، شاعران این مجموعه عبارتند از: هاتف اصفهانی، دودی اصفهانی، ناصر خسرو، میرزا عبدالوهاب، حسینعلی بیگ شرر، میرزا رحیم طبیب، میرزا عبدالحمید، حافظ شیرازی، سعدی شیرازی ،مکتبی، ملای رومی ،کشمیری، ابوالقاسم زیبا حیرت ،فردوسی، امان الله بستـی، جامی، نعمت الله ولی ،نامی ،عارض، شمس تبریزی، کمال الدین اصفهانی، امیر معزی ،عنصری ،سنائی، میرزا نصیر طبیب، ادیب صابر عاشق، اسدی ،شهدی ،ریاضی ،فنا ،فریدون، حمـزه، مونس، طوفان، دکتر سرور مقبل ،خیام، بینش، افسر خراسانی، بزرگ نیا، پروین اعتصامی ،فراهانی، یغما، جندقی، عارف قزوینی، منوچهر شیبانی، حسین حسینی، خوش بین تربتی، برهان، اسپهی، پهلوان زند ،انوری، قائم مقام ،عشقى، شيدا، سـینا، والد اصفهانی، مکرم اصفهانی، صفیر، عطار، ابوالفرج رونـی، زرگر</w:t>
      </w:r>
    </w:p>
    <w:p>
      <w:pPr>
        <w:pStyle w:val="BookText"/>
      </w:pPr>
      <w:r>
        <w:rPr>
          <w:rFonts w:ascii="IRNazanin" w:hAnsi="IRNazanin" w:eastAsia="IRNazanin" w:cs="IRNazanin"/>
          <w:lang w:bidi="fa-IR"/>
          <w:color w:val="111111"/>
          <w:sz w:val="28"/>
          <w:szCs w:val="28"/>
          <w:rtl/>
        </w:rPr>
        <w:t xml:space="preserve">قم؛ گلپایگانی؛ شماره نسخه: ۳۷۷۴-۱۹/۱۰۴</w:t>
      </w:r>
    </w:p>
    <w:p>
      <w:pPr>
        <w:pStyle w:val="BookText"/>
      </w:pPr>
      <w:r>
        <w:rPr>
          <w:rFonts w:ascii="IRNazanin" w:hAnsi="IRNazanin" w:eastAsia="IRNazanin" w:cs="IRNazanin"/>
          <w:lang w:bidi="fa-IR"/>
          <w:color w:val="111111"/>
          <w:sz w:val="28"/>
          <w:szCs w:val="28"/>
          <w:rtl/>
        </w:rPr>
        <w:t xml:space="preserve">آغاز: ای فدای تو هم دل و هم جان *** وی نثار رهت هم این و هم آن / دل فدای تو چون توئی دلبر*** جان نثار تو چون توئی جانان؛ انجام: جامی دل شده را جام دل آن روز شکست *** که در آمد به سر گوی تواش پای به سنگ</w:t>
      </w:r>
    </w:p>
    <w:p>
      <w:pPr>
        <w:pStyle w:val="BookText"/>
      </w:pPr>
      <w:r>
        <w:rPr>
          <w:rFonts w:ascii="IRNazanin" w:hAnsi="IRNazanin" w:eastAsia="IRNazanin" w:cs="IRNazanin"/>
          <w:lang w:bidi="fa-IR"/>
          <w:color w:val="111111"/>
          <w:sz w:val="28"/>
          <w:szCs w:val="28"/>
          <w:rtl/>
        </w:rPr>
        <w:t xml:space="preserve">خط: نستعليق، كاتب = مؤلف، تا: ۱۳۱۶ق؛ جلد: مقوایی عطف پارچه، ۷۴گ، 12- 16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۳ - 1270]</w:t>
      </w:r>
    </w:p>
    <w:p>
      <w:pPr>
        <w:pStyle w:val="Heading3"/>
      </w:pPr>
      <w:bookmarkStart w:id="2056" w:name="_Toc1578"/>
      <w:r>
        <w:t>اشعار (گردآوری) / شعر / فارسی</w:t>
      </w:r>
      <w:bookmarkEnd w:id="2056"/>
    </w:p>
    <w:p>
      <w:pPr>
        <w:pStyle w:val="BookText"/>
      </w:pPr>
      <w:r>
        <w:rPr>
          <w:rFonts w:ascii="Times New Roman" w:hAnsi="Times New Roman" w:eastAsia="Times New Roman" w:cs="Times New Roman"/>
          <w:lang w:val="en-US" w:bidi="en-US"/>
          <w:color w:val="111111"/>
          <w:sz w:val="28"/>
          <w:szCs w:val="28"/>
          <w:rtl/>
        </w:rPr>
        <w:t xml:space="preserve">(aš‘ār (gerdāvarī)</w:t>
      </w:r>
    </w:p>
    <w:p>
      <w:pPr>
        <w:pStyle w:val="BookText"/>
      </w:pPr>
      <w:r>
        <w:rPr>
          <w:rFonts w:ascii="IRNazanin" w:hAnsi="IRNazanin" w:eastAsia="IRNazanin" w:cs="IRNazanin"/>
          <w:lang w:bidi="fa-IR"/>
          <w:color w:val="111111"/>
          <w:sz w:val="28"/>
          <w:szCs w:val="28"/>
          <w:rtl/>
        </w:rPr>
        <w:t xml:space="preserve">مداح بروجردی، محمد صالح، ق ۱۴ قمری</w:t>
      </w:r>
    </w:p>
    <w:p>
      <w:pPr>
        <w:pStyle w:val="BookText"/>
      </w:pPr>
      <w:r>
        <w:rPr>
          <w:rFonts w:ascii="Times New Roman" w:hAnsi="Times New Roman" w:eastAsia="Times New Roman" w:cs="Times New Roman"/>
          <w:lang w:val="en-US" w:bidi="en-US"/>
          <w:color w:val="111111"/>
          <w:sz w:val="28"/>
          <w:szCs w:val="28"/>
          <w:rtl/>
        </w:rPr>
        <w:t xml:space="preserve">(maddāh borūjerdī, mollā-sāleh (- 20c)</w:t>
      </w:r>
    </w:p>
    <w:p>
      <w:pPr>
        <w:pStyle w:val="BookText"/>
      </w:pPr>
      <w:r>
        <w:rPr>
          <w:rFonts w:ascii="IRNazanin" w:hAnsi="IRNazanin" w:eastAsia="IRNazanin" w:cs="IRNazanin"/>
          <w:lang w:bidi="fa-IR"/>
          <w:color w:val="111111"/>
          <w:sz w:val="28"/>
          <w:szCs w:val="28"/>
          <w:rtl/>
        </w:rPr>
        <w:t xml:space="preserve">بیشتر اشعار این مجموعه از خود گردآورنده و در موضوعات دینی و مدایح و مراثی حضرات معصومین (علیه السّلام)می باشد که در سال های ۱۲۹۱ - ۱۳۱۲ انشا شده است. نام شاعران این مجموعه: جودی، صالحای شوشتری، نصرت خراسانی، اسماعیل خان سرباز، محمد علی روضه خوان بروجردی، کمال الدین اصفهانی، ملا احمد روضه خوان بروجردی، میرزا احمد یزدی، سیاح خراسانی، وفائی شوشتری ،سروش، پروین همدانی، ملا محمد خطا، ملا محمد صالح خرم آبادی، سیدعلی شباهنگ، ساغر اصفهانی، سعدی، وصال شیرازی، ملا علی اصغر بروجردی، عرب کاشی، میرزا عبدالمجید نوائی بروجردی، ملا قربان بیدل قزوینی، حاج محمد بیدل کرمانشاهی، ملا یوسف نهاوندی، میرزا نصر الله شهاب اصفهانی، استاد شریف خیاط طهرانی خموش، قهرمان خان ملایری، سالک، طوطی علی درویش، نظیری نیشابوری، تاراج اصفهانی.</w:t>
      </w:r>
    </w:p>
    <w:p>
      <w:pPr>
        <w:pStyle w:val="BookText"/>
      </w:pPr>
      <w:r>
        <w:rPr>
          <w:rFonts w:ascii="IRNazanin" w:hAnsi="IRNazanin" w:eastAsia="IRNazanin" w:cs="IRNazanin"/>
          <w:lang w:bidi="fa-IR"/>
          <w:color w:val="111111"/>
          <w:sz w:val="28"/>
          <w:szCs w:val="28"/>
          <w:rtl/>
        </w:rPr>
        <w:t xml:space="preserve">قم؛ مرعشی؛ شماره نسخه: ۸۶۸۴</w:t>
      </w:r>
    </w:p>
    <w:p>
      <w:pPr>
        <w:pStyle w:val="BookText"/>
      </w:pPr>
      <w:r>
        <w:rPr>
          <w:rFonts w:ascii="IRNazanin" w:hAnsi="IRNazanin" w:eastAsia="IRNazanin" w:cs="IRNazanin"/>
          <w:lang w:bidi="fa-IR"/>
          <w:color w:val="111111"/>
          <w:sz w:val="28"/>
          <w:szCs w:val="28"/>
          <w:rtl/>
        </w:rPr>
        <w:t xml:space="preserve">آغاز: انشاد حقیر صالح مداح است: ای شیعه پس از مدح شه خیبر کن *** از عالم ذر لبا بگشاییم بسخن</w:t>
      </w:r>
    </w:p>
    <w:p>
      <w:pPr>
        <w:pStyle w:val="BookText"/>
      </w:pPr>
      <w:r>
        <w:rPr>
          <w:rFonts w:ascii="IRNazanin" w:hAnsi="IRNazanin" w:eastAsia="IRNazanin" w:cs="IRNazanin"/>
          <w:lang w:bidi="fa-IR"/>
          <w:color w:val="111111"/>
          <w:sz w:val="28"/>
          <w:szCs w:val="28"/>
          <w:rtl/>
        </w:rPr>
        <w:t xml:space="preserve">خط: نستعليق، كاتب = مؤلف، بی تا؛ نسخه بیاضی است؛ جلد:تیماج، ۲۶۳گ، مختلف السطر، اندازه: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۱۶/۵سم [ف : ۲۲ - ۲۳۳]</w:t>
      </w:r>
    </w:p>
    <w:p>
      <w:pPr>
        <w:pStyle w:val="Heading3"/>
      </w:pPr>
      <w:bookmarkStart w:id="2057" w:name="_Toc1579"/>
      <w:r>
        <w:t>اشعار (گردآوری) / شعر / فارسی</w:t>
      </w:r>
      <w:bookmarkEnd w:id="2057"/>
    </w:p>
    <w:p>
      <w:pPr>
        <w:pStyle w:val="BookText"/>
      </w:pPr>
      <w:r>
        <w:rPr>
          <w:rFonts w:ascii="Times New Roman" w:hAnsi="Times New Roman" w:eastAsia="Times New Roman" w:cs="Times New Roman"/>
          <w:lang w:val="en-US" w:bidi="en-US"/>
          <w:color w:val="111111"/>
          <w:sz w:val="28"/>
          <w:szCs w:val="28"/>
          <w:rtl/>
        </w:rPr>
        <w:t xml:space="preserve">(aš'ār (gerdāvarī)</w:t>
      </w:r>
    </w:p>
    <w:p>
      <w:pPr>
        <w:pStyle w:val="BookText"/>
      </w:pPr>
      <w:r>
        <w:rPr>
          <w:rFonts w:ascii="IRNazanin" w:hAnsi="IRNazanin" w:eastAsia="IRNazanin" w:cs="IRNazanin"/>
          <w:lang w:bidi="fa-IR"/>
          <w:color w:val="111111"/>
          <w:sz w:val="28"/>
          <w:szCs w:val="28"/>
          <w:rtl/>
        </w:rPr>
        <w:t xml:space="preserve">موسوی عنایتی، حسین بن صادق، ق ۱۴ قمری</w:t>
      </w:r>
    </w:p>
    <w:p>
      <w:pPr>
        <w:pStyle w:val="BookText"/>
      </w:pPr>
      <w:r>
        <w:rPr>
          <w:rFonts w:ascii="Times New Roman" w:hAnsi="Times New Roman" w:eastAsia="Times New Roman" w:cs="Times New Roman"/>
          <w:lang w:val="en-US" w:bidi="en-US"/>
          <w:color w:val="111111"/>
          <w:sz w:val="28"/>
          <w:szCs w:val="28"/>
          <w:rtl/>
        </w:rPr>
        <w:t xml:space="preserve">(mūsavī ‘enāyatī, hoseyn ebn-e sādeq (- 20c)</w:t>
      </w:r>
    </w:p>
    <w:p>
      <w:pPr>
        <w:pStyle w:val="BookText"/>
      </w:pPr>
      <w:r>
        <w:rPr>
          <w:rFonts w:ascii="IRNazanin" w:hAnsi="IRNazanin" w:eastAsia="IRNazanin" w:cs="IRNazanin"/>
          <w:lang w:bidi="fa-IR"/>
          <w:color w:val="111111"/>
          <w:sz w:val="28"/>
          <w:szCs w:val="28"/>
          <w:rtl/>
        </w:rPr>
        <w:t xml:space="preserve">منتخباتی است نامرتب از شعر: حافظ شیرازی ،سعدی، اهلی شیرازی، فیض کاشانی ،مجذوب علیشاه، سعد الدين حموی، ،روشن، حکیم سنایی، وحشی، شاه قاسم انوار، فضولی بغدادی، حاجری ،فروغی، طلب اصفهانی ،نعیمی، بابا طاهر عریان، عطار نیشابوری.</w:t>
      </w:r>
    </w:p>
    <w:p>
      <w:pPr>
        <w:pStyle w:val="BookText"/>
      </w:pPr>
      <w:r>
        <w:rPr>
          <w:rFonts w:ascii="IRNazanin" w:hAnsi="IRNazanin" w:eastAsia="IRNazanin" w:cs="IRNazanin"/>
          <w:lang w:bidi="fa-IR"/>
          <w:color w:val="111111"/>
          <w:sz w:val="28"/>
          <w:szCs w:val="28"/>
          <w:rtl/>
        </w:rPr>
        <w:t xml:space="preserve">قم؛ مرعشی؛ شماره نسخه: ۱۰۸۲۵</w:t>
      </w:r>
    </w:p>
    <w:p>
      <w:pPr>
        <w:pStyle w:val="BookText"/>
      </w:pPr>
      <w:r>
        <w:rPr>
          <w:rFonts w:ascii="IRNazanin" w:hAnsi="IRNazanin" w:eastAsia="IRNazanin" w:cs="IRNazanin"/>
          <w:lang w:bidi="fa-IR"/>
          <w:color w:val="111111"/>
          <w:sz w:val="28"/>
          <w:szCs w:val="28"/>
          <w:rtl/>
        </w:rPr>
        <w:t xml:space="preserve">خط: نستعليق، كاتب = مؤلف، تا: ۱۸ جمادی الاول ۱۳۲۲ق، جلد: تیماج قهوه ای بدون مقوا،۹۸گ، مختلف السطر، اندازه:۱۰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۲۷ - ۲۴۷]</w:t>
      </w:r>
    </w:p>
    <w:p>
      <w:pPr>
        <w:pStyle w:val="Heading3"/>
      </w:pPr>
      <w:bookmarkStart w:id="2058" w:name="_Toc1580"/>
      <w:r>
        <w:t>اشعار (گردآوری) / شعر /عربی</w:t>
      </w:r>
      <w:bookmarkEnd w:id="2058"/>
    </w:p>
    <w:p>
      <w:pPr>
        <w:pStyle w:val="BookText"/>
      </w:pPr>
      <w:r>
        <w:rPr>
          <w:rFonts w:ascii="Times New Roman" w:hAnsi="Times New Roman" w:eastAsia="Times New Roman" w:cs="Times New Roman"/>
          <w:lang w:val="en-US" w:bidi="en-US"/>
          <w:color w:val="111111"/>
          <w:sz w:val="28"/>
          <w:szCs w:val="28"/>
          <w:rtl/>
        </w:rPr>
        <w:t xml:space="preserve">( aš‘ār (gerdāvarī)</w:t>
      </w:r>
    </w:p>
    <w:p>
      <w:pPr>
        <w:pStyle w:val="BookText"/>
      </w:pPr>
      <w:r>
        <w:rPr>
          <w:rFonts w:ascii="IRNazanin" w:hAnsi="IRNazanin" w:eastAsia="IRNazanin" w:cs="IRNazanin"/>
          <w:lang w:bidi="fa-IR"/>
          <w:color w:val="111111"/>
          <w:sz w:val="28"/>
          <w:szCs w:val="28"/>
          <w:rtl/>
        </w:rPr>
        <w:t xml:space="preserve">قزوینی، محمد مهدی بن محمد تقی</w:t>
      </w:r>
    </w:p>
    <w:p>
      <w:pPr>
        <w:pStyle w:val="BookText"/>
      </w:pPr>
      <w:r>
        <w:rPr>
          <w:rFonts w:ascii="Times New Roman" w:hAnsi="Times New Roman" w:eastAsia="Times New Roman" w:cs="Times New Roman"/>
          <w:lang w:val="en-US" w:bidi="en-US"/>
          <w:color w:val="111111"/>
          <w:sz w:val="28"/>
          <w:szCs w:val="28"/>
          <w:rtl/>
        </w:rPr>
        <w:t xml:space="preserve">aš ār (gerdāvarī)</w:t>
      </w:r>
    </w:p>
    <w:p>
      <w:pPr>
        <w:pStyle w:val="BookText"/>
      </w:pPr>
      <w:r>
        <w:rPr>
          <w:rFonts w:ascii="Times New Roman" w:hAnsi="Times New Roman" w:eastAsia="Times New Roman" w:cs="Times New Roman"/>
          <w:lang w:val="en-US" w:bidi="en-US"/>
          <w:color w:val="111111"/>
          <w:sz w:val="28"/>
          <w:szCs w:val="28"/>
          <w:rtl/>
        </w:rPr>
        <w:t xml:space="preserve">qazvīnī, mohammad mahdī ebn-e mohammad taqī
</w:t>
      </w:r>
    </w:p>
    <w:p>
      <w:pPr>
        <w:sectPr>
          <w:footerReference w:type="default" r:id="rId1007"/>
          <w:footnotePr>
            <w:numStart w:val="1"/>
            <w:numRestart w:val="eachPage"/>
          </w:footnotePr>
          <w:pgSz w:orient="portrait" w:w="11905.511811023622" w:h="16837.79527559055"/>
          <w:pgMar w:top="1440" w:right="1440" w:bottom="1440" w:left="1440" w:header="720" w:footer="720" w:gutter="0"/>
          <w:cols w:num="1" w:space="720"/>
        </w:sectPr>
      </w:pPr>
    </w:p>
    <w:bookmarkStart w:id="453" w:name="pg20365_260943"/>
    <w:bookmarkEnd w:id="453"/>
    <w:p>
      <w:pPr>
        <w:pStyle w:val="BookText"/>
      </w:pPr>
      <w:r>
        <w:rPr>
          <w:rFonts w:ascii="IRNazanin" w:hAnsi="IRNazanin" w:eastAsia="IRNazanin" w:cs="IRNazanin"/>
          <w:lang w:bidi="fa-IR"/>
          <w:color w:val="111111"/>
          <w:sz w:val="28"/>
          <w:szCs w:val="28"/>
          <w:rtl/>
        </w:rPr>
        <w:t xml:space="preserve">تشطیر سه قصیده است از قزوینی: ۱- قصيده رائيه ملا محـمد کاظم ازری در رثاء بدین سر آغاز: «هى المعالم ابلتها يد الغير*** فقطعت بالمنايا و هي في الغير / داهي الضراوة لم يقنع بضائرة*** و صارم الدهر لاينفك ذا اثر »؛ ۲- قصیده لامیه ابوطالب در مدح حضرت پیامبر اکرم (صلّی اللَّهِ علیه وَ آلِهِ وَ سَلَّمَ ) بدین سر آغاز: «و لما رأيت القوم لاود فيهم *** و للحب بل هم عن حبيب بغافل / و لما رأيت القـوم لاود فيهم *** و قد قطعوا كل العرى و الوسائل؛ ٣- قصيده ميـمیه در مدح حضرت پیامبر (صلّی اللَّهِ علیه وَ آلِهِ وَ سَلَّمَ ) بدین سر آغاز: «من لی ببشرای البشر في الحشم *** من لى بتبشيرها من بشير مبتسم / من لی بتذكير بشرى ذكر بشرته *** من لى بذكراى ذكر الحزم فی الهمم».</w:t>
      </w:r>
    </w:p>
    <w:p>
      <w:pPr>
        <w:pStyle w:val="BookText"/>
      </w:pPr>
      <w:r>
        <w:rPr>
          <w:rFonts w:ascii="IRNazanin" w:hAnsi="IRNazanin" w:eastAsia="IRNazanin" w:cs="IRNazanin"/>
          <w:lang w:bidi="fa-IR"/>
          <w:color w:val="111111"/>
          <w:sz w:val="28"/>
          <w:szCs w:val="28"/>
          <w:rtl/>
        </w:rPr>
        <w:t xml:space="preserve">مشهد؛ میبدی؛ شماره نسخه: ۲۶۰</w:t>
      </w:r>
    </w:p>
    <w:p>
      <w:pPr>
        <w:pStyle w:val="BookText"/>
      </w:pPr>
      <w:r>
        <w:rPr>
          <w:rFonts w:ascii="IRNazanin" w:hAnsi="IRNazanin" w:eastAsia="IRNazanin" w:cs="IRNazanin"/>
          <w:lang w:bidi="fa-IR"/>
          <w:color w:val="111111"/>
          <w:sz w:val="28"/>
          <w:szCs w:val="28"/>
          <w:rtl/>
        </w:rPr>
        <w:t xml:space="preserve">خط: نسخ، بی کا، تا: از قرن ۱۴؛ افتادگی: انجام ؛جلد: تیماج مشکی بدون مقوا، ۱۴گ، ۱۴ سطر، اندازه: ۱۷/۵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۲- 16]</w:t>
      </w:r>
    </w:p>
    <w:p>
      <w:pPr>
        <w:pStyle w:val="Heading3"/>
      </w:pPr>
      <w:bookmarkStart w:id="2059" w:name="_Toc1581"/>
      <w:r>
        <w:t>اشعار (گردآوری) / شعر / فارسی</w:t>
      </w:r>
      <w:bookmarkEnd w:id="2059"/>
    </w:p>
    <w:p>
      <w:pPr>
        <w:pStyle w:val="BookText"/>
      </w:pPr>
      <w:r>
        <w:rPr>
          <w:rFonts w:ascii="Times New Roman" w:hAnsi="Times New Roman" w:eastAsia="Times New Roman" w:cs="Times New Roman"/>
          <w:lang w:val="en-US" w:bidi="en-US"/>
          <w:color w:val="111111"/>
          <w:sz w:val="28"/>
          <w:szCs w:val="28"/>
          <w:rtl/>
        </w:rPr>
        <w:t xml:space="preserve">(aš‘ār (gerdāvarī)</w:t>
      </w:r>
    </w:p>
    <w:p>
      <w:pPr>
        <w:pStyle w:val="BookText"/>
      </w:pPr>
      <w:r>
        <w:rPr>
          <w:rFonts w:ascii="IRNazanin" w:hAnsi="IRNazanin" w:eastAsia="IRNazanin" w:cs="IRNazanin"/>
          <w:lang w:bidi="fa-IR"/>
          <w:color w:val="111111"/>
          <w:sz w:val="28"/>
          <w:szCs w:val="28"/>
          <w:rtl/>
        </w:rPr>
        <w:t xml:space="preserve">کرمانشاهی، شاطر رجبعلی</w:t>
      </w:r>
    </w:p>
    <w:p>
      <w:pPr>
        <w:pStyle w:val="BookText"/>
      </w:pPr>
      <w:r>
        <w:rPr>
          <w:rFonts w:ascii="Times New Roman" w:hAnsi="Times New Roman" w:eastAsia="Times New Roman" w:cs="Times New Roman"/>
          <w:lang w:val="en-US" w:bidi="en-US"/>
          <w:color w:val="111111"/>
          <w:sz w:val="28"/>
          <w:szCs w:val="28"/>
          <w:rtl/>
        </w:rPr>
        <w:t xml:space="preserve">kermānšāhī, šāter rajab-‘alī</w:t>
      </w:r>
    </w:p>
    <w:p>
      <w:pPr>
        <w:pStyle w:val="BookText"/>
      </w:pPr>
      <w:r>
        <w:rPr>
          <w:rFonts w:ascii="IRNazanin" w:hAnsi="IRNazanin" w:eastAsia="IRNazanin" w:cs="IRNazanin"/>
          <w:lang w:bidi="fa-IR"/>
          <w:color w:val="111111"/>
          <w:sz w:val="28"/>
          <w:szCs w:val="28"/>
          <w:rtl/>
        </w:rPr>
        <w:t xml:space="preserve">بیشتر این مجموعه درباره حضرات معصومین (علیه السّلام) می باشد و چند بحر طویل نیز دارد. اشعار از این شاعران است: گلشن، یحیی ،صغیر ،شکوهی ،اختر ،سلطانی ،صفا ،قانون شباب ذاکر، سنائی ،جواد ،شیدا ،کرکی، صابر، ناظم الشعراء، اعمى، صلصال، ناصر الدین شاه قاجار ،نوائی ،مشکین ،جیحون ،عبرت پروین، چاووش ،راقم ،راهب، صهبا ،شوکت ،وهاج، شاطر، نیر، شارق ،دیوان، مضطر، سید مجنون خسرو.</w:t>
      </w:r>
    </w:p>
    <w:p>
      <w:pPr>
        <w:pStyle w:val="BookText"/>
      </w:pPr>
      <w:r>
        <w:rPr>
          <w:rFonts w:ascii="IRNazanin" w:hAnsi="IRNazanin" w:eastAsia="IRNazanin" w:cs="IRNazanin"/>
          <w:lang w:bidi="fa-IR"/>
          <w:color w:val="111111"/>
          <w:sz w:val="28"/>
          <w:szCs w:val="28"/>
          <w:rtl/>
        </w:rPr>
        <w:t xml:space="preserve">مشهد؛ میبدی؛ شماره نسخه: ۲۳۷</w:t>
      </w:r>
    </w:p>
    <w:p>
      <w:pPr>
        <w:pStyle w:val="BookText"/>
      </w:pPr>
      <w:r>
        <w:rPr>
          <w:rFonts w:ascii="IRNazanin" w:hAnsi="IRNazanin" w:eastAsia="IRNazanin" w:cs="IRNazanin"/>
          <w:lang w:bidi="fa-IR"/>
          <w:color w:val="111111"/>
          <w:sz w:val="28"/>
          <w:szCs w:val="28"/>
          <w:rtl/>
        </w:rPr>
        <w:t xml:space="preserve">خط: نستعلیق، بی کا، تا: قرن ۱۴؛ بعضی از اشعار به خط آقا محمد رجعتی است، سطرها راسته و چلیپا،نسخه بیاضی و جلد ندارد؛ ۱۲۶گ، مختلف السطر،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۲۶سم [ف: ۱ - ۱۸۶]</w:t>
      </w:r>
    </w:p>
    <w:p>
      <w:pPr>
        <w:pStyle w:val="Heading3"/>
      </w:pPr>
      <w:bookmarkStart w:id="2060" w:name="_Toc1582"/>
      <w:r>
        <w:t>اشعار (گردآوری) / مراثی,شعر / فارسی</w:t>
      </w:r>
      <w:bookmarkEnd w:id="2060"/>
    </w:p>
    <w:p>
      <w:pPr>
        <w:pStyle w:val="BookText"/>
      </w:pPr>
      <w:r>
        <w:rPr>
          <w:rFonts w:ascii="Times New Roman" w:hAnsi="Times New Roman" w:eastAsia="Times New Roman" w:cs="Times New Roman"/>
          <w:lang w:val="en-US" w:bidi="en-US"/>
          <w:color w:val="111111"/>
          <w:sz w:val="28"/>
          <w:szCs w:val="28"/>
          <w:rtl/>
        </w:rPr>
        <w:t xml:space="preserve">(aš‘ār (gerdāvarī)</w:t>
      </w:r>
    </w:p>
    <w:p>
      <w:pPr>
        <w:pStyle w:val="BookText"/>
      </w:pPr>
      <w:r>
        <w:rPr>
          <w:rFonts w:ascii="IRNazanin" w:hAnsi="IRNazanin" w:eastAsia="IRNazanin" w:cs="IRNazanin"/>
          <w:lang w:bidi="fa-IR"/>
          <w:color w:val="111111"/>
          <w:sz w:val="28"/>
          <w:szCs w:val="28"/>
          <w:rtl/>
        </w:rPr>
        <w:t xml:space="preserve">واعظ زاده، مرتضی بن محمد، ق ۱۴ قمری</w:t>
      </w:r>
    </w:p>
    <w:p>
      <w:pPr>
        <w:pStyle w:val="BookText"/>
      </w:pPr>
      <w:r>
        <w:rPr>
          <w:rFonts w:ascii="Times New Roman" w:hAnsi="Times New Roman" w:eastAsia="Times New Roman" w:cs="Times New Roman"/>
          <w:lang w:val="en-US" w:bidi="en-US"/>
          <w:color w:val="111111"/>
          <w:sz w:val="28"/>
          <w:szCs w:val="28"/>
          <w:rtl/>
        </w:rPr>
        <w:t xml:space="preserve">(vā‘ez-zāde, morteza ebn-e mohammad (- 20c)</w:t>
      </w:r>
    </w:p>
    <w:p>
      <w:pPr>
        <w:pStyle w:val="BookText"/>
      </w:pPr>
      <w:r>
        <w:rPr>
          <w:rFonts w:ascii="IRNazanin" w:hAnsi="IRNazanin" w:eastAsia="IRNazanin" w:cs="IRNazanin"/>
          <w:lang w:bidi="fa-IR"/>
          <w:color w:val="111111"/>
          <w:sz w:val="28"/>
          <w:szCs w:val="28"/>
          <w:rtl/>
        </w:rPr>
        <w:t xml:space="preserve">مجموعه اشعاری است در مرثیه امام حسین و واقعه کربلا که مؤلف برای منابر خود در سال ۱۳۳۶ جمع آوری کرده است.</w:t>
      </w:r>
    </w:p>
    <w:p>
      <w:pPr>
        <w:pStyle w:val="BookText"/>
      </w:pPr>
      <w:r>
        <w:rPr>
          <w:rFonts w:ascii="IRNazanin" w:hAnsi="IRNazanin" w:eastAsia="IRNazanin" w:cs="IRNazanin"/>
          <w:lang w:bidi="fa-IR"/>
          <w:color w:val="111111"/>
          <w:sz w:val="28"/>
          <w:szCs w:val="28"/>
          <w:rtl/>
        </w:rPr>
        <w:t xml:space="preserve">مشهد؛ مرتضوی؛ شماره نسخه: بدون شماره</w:t>
      </w:r>
    </w:p>
    <w:p>
      <w:pPr>
        <w:pStyle w:val="BookText"/>
      </w:pPr>
      <w:r>
        <w:rPr>
          <w:rFonts w:ascii="IRNazanin" w:hAnsi="IRNazanin" w:eastAsia="IRNazanin" w:cs="IRNazanin"/>
          <w:lang w:bidi="fa-IR"/>
          <w:color w:val="111111"/>
          <w:sz w:val="28"/>
          <w:szCs w:val="28"/>
          <w:rtl/>
        </w:rPr>
        <w:t xml:space="preserve">كاتب = مؤلف، بی تا [ف: مخ - ۲۹]</w:t>
      </w:r>
    </w:p>
    <w:p>
      <w:pPr>
        <w:pStyle w:val="Heading3"/>
      </w:pPr>
      <w:bookmarkStart w:id="2061" w:name="_Toc1583"/>
      <w:r>
        <w:t>اشعار / شعر / عربی</w:t>
      </w:r>
      <w:bookmarkEnd w:id="2061"/>
    </w:p>
    <w:p>
      <w:pPr>
        <w:pStyle w:val="BookText"/>
      </w:pPr>
      <w:r>
        <w:rPr>
          <w:rFonts w:ascii="Times New Roman" w:hAnsi="Times New Roman" w:eastAsia="Times New Roman" w:cs="Times New Roman"/>
          <w:lang w:val="en-US" w:bidi="en-US"/>
          <w:color w:val="111111"/>
          <w:sz w:val="28"/>
          <w:szCs w:val="28"/>
          <w:rtl/>
        </w:rPr>
        <w:t xml:space="preserve">aš‘ār</w:t>
      </w:r>
    </w:p>
    <w:p>
      <w:pPr>
        <w:pStyle w:val="BookText"/>
      </w:pPr>
      <w:r>
        <w:rPr>
          <w:rFonts w:ascii="Amiri" w:hAnsi="Amiri" w:eastAsia="Amiri" w:cs="Amiri"/>
          <w:lang w:bidi="ar-SA"/>
          <w:color w:val="111111"/>
          <w:sz w:val="28"/>
          <w:szCs w:val="28"/>
          <w:rtl/>
        </w:rPr>
        <w:t xml:space="preserve">احمد بن السيرجي</w:t>
      </w:r>
    </w:p>
    <w:p>
      <w:pPr>
        <w:pStyle w:val="BookText"/>
      </w:pPr>
      <w:r>
        <w:rPr>
          <w:rFonts w:ascii="Times New Roman" w:hAnsi="Times New Roman" w:eastAsia="Times New Roman" w:cs="Times New Roman"/>
          <w:lang w:val="en-US" w:bidi="en-US"/>
          <w:color w:val="111111"/>
          <w:sz w:val="28"/>
          <w:szCs w:val="28"/>
          <w:rtl/>
        </w:rPr>
        <w:t xml:space="preserve">ahmad ebn-e seyrajī</w:t>
      </w:r>
    </w:p>
    <w:p>
      <w:pPr>
        <w:pStyle w:val="BookText"/>
      </w:pPr>
      <w:r>
        <w:rPr>
          <w:rFonts w:ascii="IRNazanin" w:hAnsi="IRNazanin" w:eastAsia="IRNazanin" w:cs="IRNazanin"/>
          <w:lang w:bidi="fa-IR"/>
          <w:color w:val="111111"/>
          <w:sz w:val="28"/>
          <w:szCs w:val="28"/>
          <w:rtl/>
        </w:rPr>
        <w:t xml:space="preserve">مجموعه ای است از سروده های خود او و دیگران.</w:t>
      </w:r>
    </w:p>
    <w:p>
      <w:pPr>
        <w:pStyle w:val="BookText"/>
      </w:pPr>
      <w:r>
        <w:rPr>
          <w:rFonts w:ascii="IRNazanin" w:hAnsi="IRNazanin" w:eastAsia="IRNazanin" w:cs="IRNazanin"/>
          <w:lang w:bidi="fa-IR"/>
          <w:color w:val="111111"/>
          <w:sz w:val="28"/>
          <w:szCs w:val="28"/>
          <w:rtl/>
        </w:rPr>
        <w:t xml:space="preserve">قم؛ مرعشی؛ شماره نسخه: ۱۲۵/۲ عکسی</w:t>
      </w:r>
    </w:p>
    <w:p>
      <w:pPr>
        <w:pStyle w:val="BookText"/>
      </w:pPr>
      <w:r>
        <w:rPr>
          <w:rFonts w:ascii="IRNazanin" w:hAnsi="IRNazanin" w:eastAsia="IRNazanin" w:cs="IRNazanin"/>
          <w:lang w:bidi="fa-IR"/>
          <w:color w:val="111111"/>
          <w:sz w:val="28"/>
          <w:szCs w:val="28"/>
          <w:rtl/>
        </w:rPr>
        <w:t xml:space="preserve">آغاز: قال رسول الله (صلى الله علیه و آله): ان من البيان لسحرا، و ان من الشعر لحكمة ؛ انجام: تقايا فى ... صاحبه يقينا</w:t>
      </w:r>
    </w:p>
    <w:p>
      <w:pPr>
        <w:pStyle w:val="BookText"/>
      </w:pPr>
      <w:r>
        <w:rPr>
          <w:rFonts w:ascii="IRNazanin" w:hAnsi="IRNazanin" w:eastAsia="IRNazanin" w:cs="IRNazanin"/>
          <w:lang w:bidi="fa-IR"/>
          <w:color w:val="111111"/>
          <w:sz w:val="28"/>
          <w:szCs w:val="28"/>
          <w:rtl/>
        </w:rPr>
        <w:t xml:space="preserve">نسخه اصل: اسكوريال – مادرید، ش ۱۷۹۰؛ خط: نسخ، كاتب= مؤلف، بی تا، ۵۵گ (۲۰۲-۲۵۷)، ۱۳) سطر [عکسی ف: ۱ - ۱۲۲]</w:t>
      </w:r>
    </w:p>
    <w:p>
      <w:pPr>
        <w:pStyle w:val="Heading3"/>
      </w:pPr>
      <w:bookmarkStart w:id="2062" w:name="_Toc1584"/>
      <w:r>
        <w:t>اشعار / شعر / عربی</w:t>
      </w:r>
      <w:bookmarkEnd w:id="2062"/>
    </w:p>
    <w:p>
      <w:pPr>
        <w:pStyle w:val="BookText"/>
      </w:pPr>
      <w:r>
        <w:rPr>
          <w:rFonts w:ascii="Times New Roman" w:hAnsi="Times New Roman" w:eastAsia="Times New Roman" w:cs="Times New Roman"/>
          <w:lang w:val="en-US" w:bidi="en-US"/>
          <w:color w:val="111111"/>
          <w:sz w:val="28"/>
          <w:szCs w:val="28"/>
          <w:rtl/>
        </w:rPr>
        <w:t xml:space="preserve">aš‘ār</w:t>
      </w:r>
    </w:p>
    <w:p>
      <w:pPr>
        <w:pStyle w:val="BookText"/>
      </w:pPr>
      <w:r>
        <w:rPr>
          <w:rFonts w:ascii="IRNazanin" w:hAnsi="IRNazanin" w:eastAsia="IRNazanin" w:cs="IRNazanin"/>
          <w:lang w:bidi="fa-IR"/>
          <w:color w:val="111111"/>
          <w:sz w:val="28"/>
          <w:szCs w:val="28"/>
          <w:rtl/>
        </w:rPr>
        <w:t xml:space="preserve">قاضی، جعفر</w:t>
      </w:r>
    </w:p>
    <w:p>
      <w:pPr>
        <w:pStyle w:val="BookText"/>
      </w:pPr>
      <w:r>
        <w:rPr>
          <w:rFonts w:ascii="Times New Roman" w:hAnsi="Times New Roman" w:eastAsia="Times New Roman" w:cs="Times New Roman"/>
          <w:lang w:val="en-US" w:bidi="en-US"/>
          <w:color w:val="111111"/>
          <w:sz w:val="28"/>
          <w:szCs w:val="28"/>
          <w:rtl/>
        </w:rPr>
        <w:t xml:space="preserve">qāzī, ja‘far</w:t>
      </w:r>
    </w:p>
    <w:p>
      <w:pPr>
        <w:pStyle w:val="BookText"/>
      </w:pPr>
      <w:r>
        <w:rPr>
          <w:rFonts w:ascii="IRNazanin" w:hAnsi="IRNazanin" w:eastAsia="IRNazanin" w:cs="IRNazanin"/>
          <w:lang w:bidi="fa-IR"/>
          <w:color w:val="111111"/>
          <w:sz w:val="28"/>
          <w:szCs w:val="28"/>
          <w:rtl/>
        </w:rPr>
        <w:t xml:space="preserve">تهران؛ مجلس؛ شماره نسخه: ۱۰۱۸۳/۱۴</w:t>
      </w:r>
    </w:p>
    <w:p>
      <w:pPr>
        <w:pStyle w:val="BookText"/>
      </w:pPr>
      <w:r>
        <w:rPr>
          <w:rFonts w:ascii="IRNazanin" w:hAnsi="IRNazanin" w:eastAsia="IRNazanin" w:cs="IRNazanin"/>
          <w:lang w:bidi="fa-IR"/>
          <w:color w:val="111111"/>
          <w:sz w:val="28"/>
          <w:szCs w:val="28"/>
          <w:rtl/>
        </w:rPr>
        <w:t xml:space="preserve">آغاز: باغادة من سكنت باليه*** احيت عظاما رمة باليه؛ انجام: لما رات ثم غرامى بها *** مالت صدودا و انثنت سالیه</w:t>
      </w:r>
    </w:p>
    <w:p>
      <w:pPr>
        <w:pStyle w:val="BookText"/>
      </w:pPr>
      <w:r>
        <w:rPr>
          <w:rFonts w:ascii="IRNazanin" w:hAnsi="IRNazanin" w:eastAsia="IRNazanin" w:cs="IRNazanin"/>
          <w:lang w:bidi="fa-IR"/>
          <w:color w:val="111111"/>
          <w:sz w:val="28"/>
          <w:szCs w:val="28"/>
          <w:rtl/>
        </w:rPr>
        <w:t xml:space="preserve">خط: نسخ و نستعلیق، بی کا، بی تا؛ مصحح؛ جلد: تیماج قرمز با عطف وحاشیه مشکی، ۹۵ ص، مختلف السطر، اندازه: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۱۸/۵سم [ف: ۳۲ - ۲۱۸]</w:t>
      </w:r>
    </w:p>
    <w:p>
      <w:pPr>
        <w:pStyle w:val="Heading3"/>
      </w:pPr>
      <w:bookmarkStart w:id="2063" w:name="_Toc1585"/>
      <w:r>
        <w:t>اشعار (گردآوری) / شعر /عربی</w:t>
      </w:r>
      <w:bookmarkEnd w:id="2063"/>
    </w:p>
    <w:p>
      <w:pPr>
        <w:pStyle w:val="BookText"/>
      </w:pPr>
      <w:r>
        <w:rPr>
          <w:rFonts w:ascii="Times New Roman" w:hAnsi="Times New Roman" w:eastAsia="Times New Roman" w:cs="Times New Roman"/>
          <w:lang w:val="en-US" w:bidi="en-US"/>
          <w:color w:val="111111"/>
          <w:sz w:val="28"/>
          <w:szCs w:val="28"/>
          <w:rtl/>
        </w:rPr>
        <w:t xml:space="preserve">(aš ār (gerdāvarī)</w:t>
      </w:r>
    </w:p>
    <w:p>
      <w:pPr>
        <w:pStyle w:val="BookText"/>
      </w:pPr>
      <w:r>
        <w:rPr>
          <w:rFonts w:ascii="IRNazanin" w:hAnsi="IRNazanin" w:eastAsia="IRNazanin" w:cs="IRNazanin"/>
          <w:lang w:bidi="fa-IR"/>
          <w:color w:val="111111"/>
          <w:sz w:val="28"/>
          <w:szCs w:val="28"/>
          <w:rtl/>
        </w:rPr>
        <w:t xml:space="preserve">جواهری بروجردی، علی بن احمد، - ۱۴۱۵ قمری</w:t>
      </w:r>
    </w:p>
    <w:p>
      <w:pPr>
        <w:pStyle w:val="BookText"/>
      </w:pPr>
      <w:r>
        <w:rPr>
          <w:rFonts w:ascii="Times New Roman" w:hAnsi="Times New Roman" w:eastAsia="Times New Roman" w:cs="Times New Roman"/>
          <w:lang w:val="en-US" w:bidi="en-US"/>
          <w:color w:val="111111"/>
          <w:sz w:val="28"/>
          <w:szCs w:val="28"/>
          <w:rtl/>
        </w:rPr>
        <w:t xml:space="preserve">( javāherī borūjerdī, ‘alī ebn-e ahmad (- 1995)</w:t>
      </w:r>
    </w:p>
    <w:p>
      <w:pPr>
        <w:pStyle w:val="BookText"/>
      </w:pPr>
      <w:r>
        <w:rPr>
          <w:rFonts w:ascii="IRNazanin" w:hAnsi="IRNazanin" w:eastAsia="IRNazanin" w:cs="IRNazanin"/>
          <w:lang w:bidi="fa-IR"/>
          <w:color w:val="111111"/>
          <w:sz w:val="28"/>
          <w:szCs w:val="28"/>
          <w:rtl/>
        </w:rPr>
        <w:t xml:space="preserve">تخمیس پانزده قصیده است در مراثی حضرت امام حسین (علیه السّلام) بر قصیده هایی از خود جواهری و سید جعفر حلی و سید محمد حسین قزوینی و شیخ صالح کواز و سید ابراهیم طباطبائی و شیخ عبد الحسین عاملی و سید رضا هندی. پس از این تخمیس ها اشعاری به زبان محلی عراقی افزوده شده است.</w:t>
      </w:r>
    </w:p>
    <w:p>
      <w:pPr>
        <w:pStyle w:val="BookText"/>
      </w:pPr>
      <w:r>
        <w:rPr>
          <w:rFonts w:ascii="IRNazanin" w:hAnsi="IRNazanin" w:eastAsia="IRNazanin" w:cs="IRNazanin"/>
          <w:lang w:bidi="fa-IR"/>
          <w:color w:val="111111"/>
          <w:sz w:val="28"/>
          <w:szCs w:val="28"/>
          <w:rtl/>
        </w:rPr>
        <w:t xml:space="preserve">۱. قم؛ مرکز احیاء؛ شماره نسخه: ۵۴۹</w:t>
      </w:r>
    </w:p>
    <w:p>
      <w:pPr>
        <w:pStyle w:val="BookText"/>
      </w:pPr>
      <w:r>
        <w:rPr>
          <w:rFonts w:ascii="IRNazanin" w:hAnsi="IRNazanin" w:eastAsia="IRNazanin" w:cs="IRNazanin"/>
          <w:lang w:bidi="fa-IR"/>
          <w:color w:val="111111"/>
          <w:sz w:val="28"/>
          <w:szCs w:val="28"/>
          <w:rtl/>
        </w:rPr>
        <w:t xml:space="preserve">خط: نسخ، كاتب = مؤلف، بی تا ،جلد: گالینگور قرمز، ۴۹گ، مختلف السطر ،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۲۲/۵سم [ف: ۲ - ۱۷۸]</w:t>
      </w:r>
    </w:p>
    <w:p>
      <w:pPr>
        <w:pStyle w:val="BookText"/>
      </w:pPr>
      <w:r>
        <w:rPr>
          <w:rFonts w:ascii="IRNazanin" w:hAnsi="IRNazanin" w:eastAsia="IRNazanin" w:cs="IRNazanin"/>
          <w:lang w:bidi="fa-IR"/>
          <w:color w:val="111111"/>
          <w:sz w:val="28"/>
          <w:szCs w:val="28"/>
          <w:rtl/>
        </w:rPr>
        <w:t xml:space="preserve">۲. قم؛ مرکز احیاء؛ شماره نسخه: ۵۴۷</w:t>
      </w:r>
    </w:p>
    <w:p>
      <w:pPr>
        <w:pStyle w:val="BookText"/>
      </w:pPr>
      <w:r>
        <w:rPr>
          <w:rFonts w:ascii="IRNazanin" w:hAnsi="IRNazanin" w:eastAsia="IRNazanin" w:cs="IRNazanin"/>
          <w:lang w:bidi="fa-IR"/>
          <w:color w:val="111111"/>
          <w:sz w:val="28"/>
          <w:szCs w:val="28"/>
          <w:rtl/>
        </w:rPr>
        <w:t xml:space="preserve">تخمیس قصائد است؛ خط: نسخ ،معرب ،کا: جواهری بروجردی، علی بن احمد، بی تا ،جلد: گالینگور قرمز، ۳۵گ، مختلف السطر، اندازه: ۱۸</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۲۳سم [ف: ۲ - ۱۷۷]
</w:t>
      </w:r>
    </w:p>
    <w:p>
      <w:pPr>
        <w:sectPr>
          <w:footerReference w:type="default" r:id="rId1008"/>
          <w:footnotePr>
            <w:numStart w:val="1"/>
            <w:numRestart w:val="eachPage"/>
          </w:footnotePr>
          <w:pgSz w:orient="portrait" w:w="11905.511811023622" w:h="16837.79527559055"/>
          <w:pgMar w:top="1440" w:right="1440" w:bottom="1440" w:left="1440" w:header="720" w:footer="720" w:gutter="0"/>
          <w:cols w:num="1" w:space="720"/>
        </w:sectPr>
      </w:pPr>
    </w:p>
    <w:bookmarkStart w:id="454" w:name="pg20365_260944"/>
    <w:bookmarkEnd w:id="454"/>
    <w:p>
      <w:pPr>
        <w:pStyle w:val="Heading3"/>
      </w:pPr>
      <w:bookmarkStart w:id="2064" w:name="_Toc1586"/>
      <w:r>
        <w:t>اشعار (گردآوری) / شعر / فارسی</w:t>
      </w:r>
      <w:bookmarkEnd w:id="2064"/>
    </w:p>
    <w:p>
      <w:pPr>
        <w:pStyle w:val="BookText"/>
      </w:pPr>
      <w:r>
        <w:rPr>
          <w:rFonts w:ascii="Times New Roman" w:hAnsi="Times New Roman" w:eastAsia="Times New Roman" w:cs="Times New Roman"/>
          <w:lang w:val="en-US" w:bidi="en-US"/>
          <w:color w:val="111111"/>
          <w:sz w:val="28"/>
          <w:szCs w:val="28"/>
          <w:rtl/>
        </w:rPr>
        <w:t xml:space="preserve">(aš‘ār (gerdāvarī)</w:t>
      </w:r>
    </w:p>
    <w:p>
      <w:pPr>
        <w:pStyle w:val="BookText"/>
      </w:pPr>
      <w:r>
        <w:rPr>
          <w:rFonts w:ascii="IRNazanin" w:hAnsi="IRNazanin" w:eastAsia="IRNazanin" w:cs="IRNazanin"/>
          <w:lang w:bidi="fa-IR"/>
          <w:color w:val="111111"/>
          <w:sz w:val="28"/>
          <w:szCs w:val="28"/>
          <w:rtl/>
        </w:rPr>
        <w:t xml:space="preserve">آقا میرزا بیک</w:t>
      </w:r>
    </w:p>
    <w:p>
      <w:pPr>
        <w:pStyle w:val="BookText"/>
      </w:pPr>
      <w:r>
        <w:rPr>
          <w:rFonts w:ascii="Times New Roman" w:hAnsi="Times New Roman" w:eastAsia="Times New Roman" w:cs="Times New Roman"/>
          <w:lang w:val="en-US" w:bidi="en-US"/>
          <w:color w:val="111111"/>
          <w:sz w:val="28"/>
          <w:szCs w:val="28"/>
          <w:rtl/>
        </w:rPr>
        <w:t xml:space="preserve">āqā mīrzā beyk</w:t>
      </w:r>
    </w:p>
    <w:p>
      <w:pPr>
        <w:pStyle w:val="BookText"/>
      </w:pPr>
      <w:r>
        <w:rPr>
          <w:rFonts w:ascii="IRNazanin" w:hAnsi="IRNazanin" w:eastAsia="IRNazanin" w:cs="IRNazanin"/>
          <w:lang w:bidi="fa-IR"/>
          <w:color w:val="111111"/>
          <w:sz w:val="28"/>
          <w:szCs w:val="28"/>
          <w:rtl/>
        </w:rPr>
        <w:t xml:space="preserve">جنگی است شامل اشعار مختلف از شعرای گوناگون بدین ترتيب: مقطعات ابن یمین، حکایت جوان عاشق در بغداد، اشعاری از ابوالحسن فراهانی، ظهیرالدین فاریابی و خواجه حس ثنایی؛ کلماتی از ابوتراب نخشبی، ابوالحسن خرقانی، عین القضاة همدانى، على رودباری ،شبلی، بهاء الدین نقشبند، سلطان العارفين، ابوالحسن قوشچی؛ اشعاری از سعدی که آقا میرزا بیک به درخواست خواجه محمد صحاف (صاحب جنگ) نوشته است؛ اشعار میرزا بیک به خط خودش؛ در لابه لای رسائل اشعاری از: مسعود سعد سلمان، شیخ عطار، سید حسن، مولانا ولی، مولا مؤمن حسین، رضی الدین نیشابوری ،انوری، شرف الدین سوده، خواجه حافظ، کمال اسماعیل، امینی، بابا فغانی، شاه نعمت الله ولی، خاقانی ،عرفی، رفیع الدین  ابهری، شهاب الدين مؤيد، عين القضاة همدانی ،شرف بافقی، ولی دشـت بیاضی، شاه غوری ،مولوی، ابو سعید ابوالخیر، عمعق بخاری، عمر خیام، صادقی بروجردی، عبید زاکانی، آقا عیسی یزدی، حكيم ركنا، سعدی، سعید هرمزی، امیر خسرو ،شکیبی، نعـره، اثیر الدین اخسیکتی ،نظامی ،محتشم ،قاضی نور، وحشی یزدی، اهلی  شیرازی ،امیدی، امینی شاملو، ملک قمی، مولانا حميری، میمون، مجیر بیلغانی، حسن دهلوی، مجیب جرفادقانی، غیرتـی ،عراقی، ملهمی تبریزی، رشید الدین وطواط، عزالدین شروانـی، ،سنایی، واعظ قزوینی ،ظهوری، طالب آملی ،جامی، فردوسی، ابوالقاسم کازرونی، ملا مشهدی، میرهاشم، محمد امین مستغنی، محمد بیک، میرزا جانی ،ملا نوعی، خواجه خسرو، نصیرای همدانی، امیر کبیر .احسنی.</w:t>
      </w:r>
    </w:p>
    <w:p>
      <w:pPr>
        <w:pStyle w:val="BookText"/>
      </w:pPr>
      <w:r>
        <w:rPr>
          <w:rFonts w:ascii="IRNazanin" w:hAnsi="IRNazanin" w:eastAsia="IRNazanin" w:cs="IRNazanin"/>
          <w:lang w:bidi="fa-IR"/>
          <w:color w:val="111111"/>
          <w:sz w:val="28"/>
          <w:szCs w:val="28"/>
          <w:rtl/>
        </w:rPr>
        <w:t xml:space="preserve">تهران؛ مجلس؛ شماره نسخه: ۱۴۱۹۹</w:t>
      </w:r>
    </w:p>
    <w:p>
      <w:pPr>
        <w:pStyle w:val="BookText"/>
      </w:pPr>
      <w:r>
        <w:rPr>
          <w:rFonts w:ascii="IRNazanin" w:hAnsi="IRNazanin" w:eastAsia="IRNazanin" w:cs="IRNazanin"/>
          <w:lang w:bidi="fa-IR"/>
          <w:color w:val="111111"/>
          <w:sz w:val="28"/>
          <w:szCs w:val="28"/>
          <w:rtl/>
        </w:rPr>
        <w:t xml:space="preserve">خط: شکسته نستعلیق، بی کا، بی تا ؛جلد: مقوایی، قهوه ای، عطف پارچه، ۱۳۱گ، مختلف السطر ، اندازه: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۲۴سم [ف: 38- 273]</w:t>
      </w:r>
    </w:p>
    <w:p>
      <w:pPr>
        <w:pStyle w:val="Heading3"/>
      </w:pPr>
      <w:bookmarkStart w:id="2065" w:name="_Toc1587"/>
      <w:r>
        <w:t>اشعار (گردآوری) / شعر / فارسی</w:t>
      </w:r>
      <w:bookmarkEnd w:id="2065"/>
    </w:p>
    <w:p>
      <w:pPr>
        <w:pStyle w:val="BookText"/>
      </w:pPr>
      <w:r>
        <w:rPr>
          <w:rFonts w:ascii="Times New Roman" w:hAnsi="Times New Roman" w:eastAsia="Times New Roman" w:cs="Times New Roman"/>
          <w:lang w:val="en-US" w:bidi="en-US"/>
          <w:color w:val="111111"/>
          <w:sz w:val="28"/>
          <w:szCs w:val="28"/>
          <w:rtl/>
        </w:rPr>
        <w:t xml:space="preserve">(aš‘ār (gerdāvarī)</w:t>
      </w:r>
    </w:p>
    <w:p>
      <w:pPr>
        <w:pStyle w:val="BookText"/>
      </w:pPr>
      <w:r>
        <w:rPr>
          <w:rFonts w:ascii="IRNazanin" w:hAnsi="IRNazanin" w:eastAsia="IRNazanin" w:cs="IRNazanin"/>
          <w:lang w:bidi="fa-IR"/>
          <w:color w:val="111111"/>
          <w:sz w:val="28"/>
          <w:szCs w:val="28"/>
          <w:rtl/>
        </w:rPr>
        <w:t xml:space="preserve">حسینی ،میبدی، محمد باقر بن جواد،</w:t>
      </w:r>
    </w:p>
    <w:p>
      <w:pPr>
        <w:pStyle w:val="BookText"/>
      </w:pPr>
      <w:r>
        <w:rPr>
          <w:rFonts w:ascii="Times New Roman" w:hAnsi="Times New Roman" w:eastAsia="Times New Roman" w:cs="Times New Roman"/>
          <w:lang w:val="en-US" w:bidi="en-US"/>
          <w:color w:val="111111"/>
          <w:sz w:val="28"/>
          <w:szCs w:val="28"/>
          <w:rtl/>
        </w:rPr>
        <w:t xml:space="preserve">hoseynī-ye meybodī, mohammad bāqer ebn-e javād</w:t>
      </w:r>
    </w:p>
    <w:p>
      <w:pPr>
        <w:pStyle w:val="BookText"/>
      </w:pPr>
      <w:r>
        <w:rPr>
          <w:rFonts w:ascii="IRNazanin" w:hAnsi="IRNazanin" w:eastAsia="IRNazanin" w:cs="IRNazanin"/>
          <w:lang w:bidi="fa-IR"/>
          <w:color w:val="111111"/>
          <w:sz w:val="28"/>
          <w:szCs w:val="28"/>
          <w:rtl/>
        </w:rPr>
        <w:t xml:space="preserve">دارای اشعاری است از گرد آورنده یا شاعران دیگر، بیشتر آ نها مربوط به مدایح و مراثی اهل بیت (علیهم السّلام).</w:t>
      </w:r>
    </w:p>
    <w:p>
      <w:pPr>
        <w:pStyle w:val="BookText"/>
      </w:pPr>
      <w:r>
        <w:rPr>
          <w:rFonts w:ascii="IRNazanin" w:hAnsi="IRNazanin" w:eastAsia="IRNazanin" w:cs="IRNazanin"/>
          <w:lang w:bidi="fa-IR"/>
          <w:color w:val="111111"/>
          <w:sz w:val="28"/>
          <w:szCs w:val="28"/>
          <w:rtl/>
        </w:rPr>
        <w:t xml:space="preserve">مشهد؛ میبدی؛ شماره نسخه: ۵۲</w:t>
      </w:r>
    </w:p>
    <w:p>
      <w:pPr>
        <w:pStyle w:val="BookText"/>
      </w:pPr>
      <w:r>
        <w:rPr>
          <w:rFonts w:ascii="IRNazanin" w:hAnsi="IRNazanin" w:eastAsia="IRNazanin" w:cs="IRNazanin"/>
          <w:lang w:bidi="fa-IR"/>
          <w:color w:val="111111"/>
          <w:sz w:val="28"/>
          <w:szCs w:val="28"/>
          <w:rtl/>
        </w:rPr>
        <w:t xml:space="preserve">خط: نستعليق، كاتب = مؤلف، بی تا؛ به خط گرد آورنده و دیگران، نسخه بیاضی است؛ جلد: تیماج قهوه ای، ۱۰۰گ، مختلف السطر،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۱ - ۶۸]</w:t>
      </w:r>
    </w:p>
    <w:p>
      <w:pPr>
        <w:pStyle w:val="Heading3"/>
      </w:pPr>
      <w:bookmarkStart w:id="2066" w:name="_Toc1588"/>
      <w:r>
        <w:t>اشعار (گردآوری) / شعر / فارسی</w:t>
      </w:r>
      <w:bookmarkEnd w:id="2066"/>
    </w:p>
    <w:p>
      <w:pPr>
        <w:pStyle w:val="BookText"/>
      </w:pPr>
      <w:r>
        <w:rPr>
          <w:rFonts w:ascii="Times New Roman" w:hAnsi="Times New Roman" w:eastAsia="Times New Roman" w:cs="Times New Roman"/>
          <w:lang w:val="en-US" w:bidi="en-US"/>
          <w:color w:val="111111"/>
          <w:sz w:val="28"/>
          <w:szCs w:val="28"/>
          <w:rtl/>
        </w:rPr>
        <w:t xml:space="preserve">(aš‘ār (gerdāvarī)</w:t>
      </w:r>
    </w:p>
    <w:p>
      <w:pPr>
        <w:pStyle w:val="BookText"/>
      </w:pPr>
      <w:r>
        <w:rPr>
          <w:rFonts w:ascii="IRNazanin" w:hAnsi="IRNazanin" w:eastAsia="IRNazanin" w:cs="IRNazanin"/>
          <w:lang w:bidi="fa-IR"/>
          <w:color w:val="111111"/>
          <w:sz w:val="28"/>
          <w:szCs w:val="28"/>
          <w:rtl/>
        </w:rPr>
        <w:t xml:space="preserve">زمردیان، احمد</w:t>
      </w:r>
    </w:p>
    <w:p>
      <w:pPr>
        <w:pStyle w:val="BookText"/>
      </w:pPr>
      <w:r>
        <w:rPr>
          <w:rFonts w:ascii="Times New Roman" w:hAnsi="Times New Roman" w:eastAsia="Times New Roman" w:cs="Times New Roman"/>
          <w:lang w:val="en-US" w:bidi="en-US"/>
          <w:color w:val="111111"/>
          <w:sz w:val="28"/>
          <w:szCs w:val="28"/>
          <w:rtl/>
        </w:rPr>
        <w:t xml:space="preserve">zomorrodīyān, ahmad</w:t>
      </w:r>
    </w:p>
    <w:p>
      <w:pPr>
        <w:pStyle w:val="BookText"/>
      </w:pPr>
      <w:r>
        <w:rPr>
          <w:rFonts w:ascii="IRNazanin" w:hAnsi="IRNazanin" w:eastAsia="IRNazanin" w:cs="IRNazanin"/>
          <w:lang w:bidi="fa-IR"/>
          <w:color w:val="111111"/>
          <w:sz w:val="28"/>
          <w:szCs w:val="28"/>
          <w:rtl/>
        </w:rPr>
        <w:t xml:space="preserve">تهران؛ ملی؛ شماره نسخه: ۱۶۸۷۱</w:t>
      </w:r>
    </w:p>
    <w:p>
      <w:pPr>
        <w:pStyle w:val="BookText"/>
      </w:pPr>
      <w:r>
        <w:rPr>
          <w:rFonts w:ascii="IRNazanin" w:hAnsi="IRNazanin" w:eastAsia="IRNazanin" w:cs="IRNazanin"/>
          <w:lang w:bidi="fa-IR"/>
          <w:color w:val="111111"/>
          <w:sz w:val="28"/>
          <w:szCs w:val="28"/>
          <w:rtl/>
        </w:rPr>
        <w:t xml:space="preserve">جنگ شعر؛ کاتب = مؤلف، بی تا؛ انتقالی از کتابخانه پهلوی- مجموعه نوازی؛ ۲۴۱گ، اندازه: ۱۳/۴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۲۰/۱سم [رایانه]</w:t>
      </w:r>
    </w:p>
    <w:p>
      <w:pPr>
        <w:pStyle w:val="Heading3"/>
      </w:pPr>
      <w:bookmarkStart w:id="2067" w:name="_Toc1589"/>
      <w:r>
        <w:t>اشعار (گردآوری) / شعر / فارسی</w:t>
      </w:r>
      <w:bookmarkEnd w:id="2067"/>
    </w:p>
    <w:p>
      <w:pPr>
        <w:pStyle w:val="BookText"/>
      </w:pPr>
      <w:r>
        <w:rPr>
          <w:rFonts w:ascii="Times New Roman" w:hAnsi="Times New Roman" w:eastAsia="Times New Roman" w:cs="Times New Roman"/>
          <w:lang w:val="en-US" w:bidi="en-US"/>
          <w:color w:val="111111"/>
          <w:sz w:val="28"/>
          <w:szCs w:val="28"/>
          <w:rtl/>
        </w:rPr>
        <w:t xml:space="preserve">(aš‘ār (gerdāvarī)</w:t>
      </w:r>
    </w:p>
    <w:p>
      <w:pPr>
        <w:pStyle w:val="BookText"/>
      </w:pPr>
      <w:r>
        <w:rPr>
          <w:rFonts w:ascii="IRNazanin" w:hAnsi="IRNazanin" w:eastAsia="IRNazanin" w:cs="IRNazanin"/>
          <w:lang w:bidi="fa-IR"/>
          <w:color w:val="111111"/>
          <w:sz w:val="28"/>
          <w:szCs w:val="28"/>
          <w:rtl/>
        </w:rPr>
        <w:t xml:space="preserve">گلچین معانی، احمد، ۱۲۹۵</w:t>
      </w:r>
    </w:p>
    <w:p>
      <w:pPr>
        <w:pStyle w:val="BookText"/>
      </w:pPr>
      <w:r>
        <w:rPr>
          <w:rFonts w:ascii="Times New Roman" w:hAnsi="Times New Roman" w:eastAsia="Times New Roman" w:cs="Times New Roman"/>
          <w:lang w:val="en-US" w:bidi="en-US"/>
          <w:color w:val="111111"/>
          <w:sz w:val="28"/>
          <w:szCs w:val="28"/>
          <w:rtl/>
        </w:rPr>
        <w:t xml:space="preserve">(-golčīn ma‘ānī, ahmad (1295 -)</w:t>
      </w:r>
    </w:p>
    <w:p>
      <w:pPr>
        <w:pStyle w:val="BookText"/>
      </w:pPr>
      <w:r>
        <w:rPr>
          <w:rFonts w:ascii="IRNazanin" w:hAnsi="IRNazanin" w:eastAsia="IRNazanin" w:cs="IRNazanin"/>
          <w:lang w:bidi="fa-IR"/>
          <w:color w:val="111111"/>
          <w:sz w:val="28"/>
          <w:szCs w:val="28"/>
          <w:rtl/>
        </w:rPr>
        <w:t xml:space="preserve">در حدود دویست و هشتاد بیت غزل، رباعیات و جز آنها می باشد که از خود و شاعران گذشته و حال به اشاره (صاحب کتاب)  دوست خود، عبدالحسین بیات، برگزیده و روز جمعه نهم مرداد ۱۳۳۲ خورشیدی به پایان آورده است و تقدیم وی نموده است. نام برخی از شاعران که شعرشان آمده چنین است: حکیم خاقانی ،مغربی ،سنائی ،لاادری، مصاحب نائینی، آذر بیگدلی، حسین خوانساری، فسونی تبریزی، جلال الدین بلخی، جمال اردستانی، مجدالدین همگر شیرازی، سید محمد نجفی، احمد جام، جامی ،امیرشاهی سبزواری، حکیم انوری، و جز اینان.</w:t>
      </w:r>
    </w:p>
    <w:p>
      <w:pPr>
        <w:pStyle w:val="BookText"/>
      </w:pPr>
      <w:r>
        <w:rPr>
          <w:rFonts w:ascii="IRNazanin" w:hAnsi="IRNazanin" w:eastAsia="IRNazanin" w:cs="IRNazanin"/>
          <w:lang w:bidi="fa-IR"/>
          <w:color w:val="111111"/>
          <w:sz w:val="28"/>
          <w:szCs w:val="28"/>
          <w:rtl/>
        </w:rPr>
        <w:t xml:space="preserve">قم؛ معصومیه؛ شماره نسخه: ۳۹۹/۲</w:t>
      </w:r>
    </w:p>
    <w:p>
      <w:pPr>
        <w:pStyle w:val="BookText"/>
      </w:pPr>
      <w:r>
        <w:rPr>
          <w:rFonts w:ascii="IRNazanin" w:hAnsi="IRNazanin" w:eastAsia="IRNazanin" w:cs="IRNazanin"/>
          <w:lang w:bidi="fa-IR"/>
          <w:color w:val="111111"/>
          <w:sz w:val="28"/>
          <w:szCs w:val="28"/>
          <w:rtl/>
        </w:rPr>
        <w:t xml:space="preserve">آغاز: چشم بر کار دولت دار چنان*** که غیوران بر اهل پرده خویش؛ انجام: اوفتاد اندر ترازوی قضا *** کاش می گفتند چند ارزید و رفت</w:t>
      </w:r>
    </w:p>
    <w:p>
      <w:pPr>
        <w:pStyle w:val="BookText"/>
      </w:pPr>
      <w:r>
        <w:rPr>
          <w:rFonts w:ascii="IRNazanin" w:hAnsi="IRNazanin" w:eastAsia="IRNazanin" w:cs="IRNazanin"/>
          <w:lang w:bidi="fa-IR"/>
          <w:color w:val="111111"/>
          <w:sz w:val="28"/>
          <w:szCs w:val="28"/>
          <w:rtl/>
        </w:rPr>
        <w:t xml:space="preserve">خط: نستعلیق خوب، بی کا، بی تا؛ گویا کاتب گرد آورنده باشد؛ جلد: تیماج قهوه ای روشن ضربی،بی مقوا، ۱۹گ (۸۷ر-۱۰۶پ)،  17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 - ۳۷۹]</w:t>
      </w:r>
    </w:p>
    <w:p>
      <w:pPr>
        <w:pStyle w:val="Heading3"/>
      </w:pPr>
      <w:bookmarkStart w:id="2068" w:name="_Toc1590"/>
      <w:r>
        <w:t>اشعار (گردآوری) / شعر / فارسی</w:t>
      </w:r>
      <w:bookmarkEnd w:id="2068"/>
    </w:p>
    <w:p>
      <w:pPr>
        <w:pStyle w:val="BookText"/>
      </w:pPr>
      <w:r>
        <w:rPr>
          <w:rFonts w:ascii="Times New Roman" w:hAnsi="Times New Roman" w:eastAsia="Times New Roman" w:cs="Times New Roman"/>
          <w:lang w:val="en-US" w:bidi="en-US"/>
          <w:color w:val="111111"/>
          <w:sz w:val="28"/>
          <w:szCs w:val="28"/>
          <w:rtl/>
        </w:rPr>
        <w:t xml:space="preserve">(aš‘ār (gerdāvarī)</w:t>
      </w:r>
    </w:p>
    <w:p>
      <w:pPr>
        <w:pStyle w:val="BookText"/>
      </w:pPr>
      <w:r>
        <w:rPr>
          <w:rFonts w:ascii="IRNazanin" w:hAnsi="IRNazanin" w:eastAsia="IRNazanin" w:cs="IRNazanin"/>
          <w:lang w:bidi="fa-IR"/>
          <w:color w:val="111111"/>
          <w:sz w:val="28"/>
          <w:szCs w:val="28"/>
          <w:rtl/>
        </w:rPr>
        <w:t xml:space="preserve">محمد باقر</w:t>
      </w:r>
    </w:p>
    <w:p>
      <w:pPr>
        <w:pStyle w:val="BookText"/>
      </w:pPr>
      <w:r>
        <w:rPr>
          <w:rFonts w:ascii="Times New Roman" w:hAnsi="Times New Roman" w:eastAsia="Times New Roman" w:cs="Times New Roman"/>
          <w:lang w:val="en-US" w:bidi="en-US"/>
          <w:color w:val="111111"/>
          <w:sz w:val="28"/>
          <w:szCs w:val="28"/>
          <w:rtl/>
        </w:rPr>
        <w:t xml:space="preserve">mohammad bāqer</w:t>
      </w:r>
    </w:p>
    <w:p>
      <w:pPr>
        <w:pStyle w:val="BookText"/>
      </w:pPr>
      <w:r>
        <w:rPr>
          <w:rFonts w:ascii="IRNazanin" w:hAnsi="IRNazanin" w:eastAsia="IRNazanin" w:cs="IRNazanin"/>
          <w:lang w:bidi="fa-IR"/>
          <w:color w:val="111111"/>
          <w:sz w:val="28"/>
          <w:szCs w:val="28"/>
          <w:rtl/>
        </w:rPr>
        <w:t xml:space="preserve">جنگی است فراهم آمده از اشعار شعرای مختلف، همچون: صائب ،افصحی، واعظ، شیخ علی نقی کمره، اسعدالدین محمد آصفی، شهرت، میر معصوم کاشی ،اعجاز، ذوقی، میررضی، ،والی ،وصالی، فرصت، محمد حسین بیک، نوایی، نظیری، سعدی، حافظ.</w:t>
      </w:r>
    </w:p>
    <w:p>
      <w:pPr>
        <w:pStyle w:val="BookText"/>
      </w:pPr>
      <w:r>
        <w:rPr>
          <w:rFonts w:ascii="IRNazanin" w:hAnsi="IRNazanin" w:eastAsia="IRNazanin" w:cs="IRNazanin"/>
          <w:lang w:bidi="fa-IR"/>
          <w:color w:val="111111"/>
          <w:sz w:val="28"/>
          <w:szCs w:val="28"/>
          <w:rtl/>
        </w:rPr>
        <w:t xml:space="preserve">تهران؛ مجلس؛ شماره نسخه: ۱۳۹۵۵
</w:t>
      </w:r>
    </w:p>
    <w:p>
      <w:pPr>
        <w:sectPr>
          <w:footerReference w:type="default" r:id="rId1009"/>
          <w:footnotePr>
            <w:numStart w:val="1"/>
            <w:numRestart w:val="eachPage"/>
          </w:footnotePr>
          <w:pgSz w:orient="portrait" w:w="11905.511811023622" w:h="16837.79527559055"/>
          <w:pgMar w:top="1440" w:right="1440" w:bottom="1440" w:left="1440" w:header="720" w:footer="720" w:gutter="0"/>
          <w:cols w:num="1" w:space="720"/>
        </w:sectPr>
      </w:pPr>
    </w:p>
    <w:bookmarkStart w:id="455" w:name="pg20365_260945"/>
    <w:bookmarkEnd w:id="455"/>
    <w:p>
      <w:pPr>
        <w:pStyle w:val="BookText"/>
      </w:pPr>
      <w:r>
        <w:rPr>
          <w:rFonts w:ascii="IRNazanin" w:hAnsi="IRNazanin" w:eastAsia="IRNazanin" w:cs="IRNazanin"/>
          <w:lang w:bidi="fa-IR"/>
          <w:color w:val="111111"/>
          <w:sz w:val="28"/>
          <w:szCs w:val="28"/>
          <w:rtl/>
        </w:rPr>
        <w:t xml:space="preserve">آغاز: کارم چو زلف دوست پریشان و درهم است*** صد بحر خفته در جگر و دیده بی نم است / یک دیده از برای تماشا کفایت است*** لیک از برای غم هزارار بود کم است؛ انجـام: چو بر در نهادم ... غرق شد *** مع القصه با ... گشت گم</w:t>
      </w:r>
    </w:p>
    <w:p>
      <w:pPr>
        <w:pStyle w:val="BookText"/>
      </w:pPr>
      <w:r>
        <w:rPr>
          <w:rFonts w:ascii="IRNazanin" w:hAnsi="IRNazanin" w:eastAsia="IRNazanin" w:cs="IRNazanin"/>
          <w:lang w:bidi="fa-IR"/>
          <w:color w:val="111111"/>
          <w:sz w:val="28"/>
          <w:szCs w:val="28"/>
          <w:rtl/>
        </w:rPr>
        <w:t xml:space="preserve">خط: شکسته نستعلیق، کاتب = مؤلف، بی تا؛ بعضی از صفحـات چلیپایی، ۲۵ برگ اول جدول زرین؛ جلد: تیماج مشکی، ۱۲۸گ، مختلف السطر، قطع: پالتویی، اندازه: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۱۴سم [ف: ۳۷ - ۵۵۳]</w:t>
      </w:r>
    </w:p>
    <w:p>
      <w:pPr>
        <w:pStyle w:val="Heading3"/>
      </w:pPr>
      <w:bookmarkStart w:id="2069" w:name="_Toc1591"/>
      <w:r>
        <w:t>اشعار (گردآوری) / شعر / فارسی</w:t>
      </w:r>
      <w:bookmarkEnd w:id="2069"/>
    </w:p>
    <w:p>
      <w:pPr>
        <w:pStyle w:val="BookText"/>
      </w:pPr>
      <w:r>
        <w:rPr>
          <w:rFonts w:ascii="Times New Roman" w:hAnsi="Times New Roman" w:eastAsia="Times New Roman" w:cs="Times New Roman"/>
          <w:lang w:val="en-US" w:bidi="en-US"/>
          <w:color w:val="111111"/>
          <w:sz w:val="28"/>
          <w:szCs w:val="28"/>
          <w:rtl/>
        </w:rPr>
        <w:t xml:space="preserve">(aš‘ār (gerdāvarī)</w:t>
      </w:r>
    </w:p>
    <w:p>
      <w:pPr>
        <w:pStyle w:val="BookText"/>
      </w:pPr>
      <w:r>
        <w:rPr>
          <w:rFonts w:ascii="IRNazanin" w:hAnsi="IRNazanin" w:eastAsia="IRNazanin" w:cs="IRNazanin"/>
          <w:lang w:bidi="fa-IR"/>
          <w:color w:val="111111"/>
          <w:sz w:val="28"/>
          <w:szCs w:val="28"/>
          <w:rtl/>
        </w:rPr>
        <w:t xml:space="preserve">مستوفی، خواجه میرک حسین</w:t>
      </w:r>
    </w:p>
    <w:p>
      <w:pPr>
        <w:pStyle w:val="BookText"/>
      </w:pPr>
      <w:r>
        <w:rPr>
          <w:rFonts w:ascii="Times New Roman" w:hAnsi="Times New Roman" w:eastAsia="Times New Roman" w:cs="Times New Roman"/>
          <w:lang w:val="en-US" w:bidi="en-US"/>
          <w:color w:val="111111"/>
          <w:sz w:val="28"/>
          <w:szCs w:val="28"/>
          <w:rtl/>
        </w:rPr>
        <w:t xml:space="preserve">mostawfī, xāje mīrak hoseyn</w:t>
      </w:r>
    </w:p>
    <w:p>
      <w:pPr>
        <w:pStyle w:val="BookText"/>
      </w:pPr>
      <w:r>
        <w:rPr>
          <w:rFonts w:ascii="IRNazanin" w:hAnsi="IRNazanin" w:eastAsia="IRNazanin" w:cs="IRNazanin"/>
          <w:lang w:bidi="fa-IR"/>
          <w:color w:val="111111"/>
          <w:sz w:val="28"/>
          <w:szCs w:val="28"/>
          <w:rtl/>
        </w:rPr>
        <w:t xml:space="preserve">جنگ اشعاری است که مؤلف از دیوان های شعرای متقدم  به ترتیب زمان حیات شاعران جمع آوری نموده است. در آغاز آن مقدمه ای توسط حیدر منشی دار السلطنه قندهار نوشته شده است.</w:t>
      </w:r>
    </w:p>
    <w:p>
      <w:pPr>
        <w:pStyle w:val="BookText"/>
      </w:pPr>
      <w:r>
        <w:rPr>
          <w:rFonts w:ascii="IRNazanin" w:hAnsi="IRNazanin" w:eastAsia="IRNazanin" w:cs="IRNazanin"/>
          <w:lang w:bidi="fa-IR"/>
          <w:color w:val="111111"/>
          <w:sz w:val="28"/>
          <w:szCs w:val="28"/>
          <w:rtl/>
        </w:rPr>
        <w:t xml:space="preserve">نام بسیاری از شاعران ذکر نشده آنچه از نام شاعران ذکر شـده عبارتند از: سیف الدین اسفرنگی، کمال اسمعيل، وحشی بافقـی، عبدالواسع جبلی، خواجه حسین شاهی، سلمان ساوجی، عبدالرحمن جامی، کاتبی ترشیزی ،مولانا امیدی، ولی دشـت بیاضی،مجیر بیلغانی، رشید وطوط، ادیب صابر، حکیم سنائـی، سید حسن غزنوی و ظهیر فاریابی</w:t>
      </w:r>
    </w:p>
    <w:p>
      <w:pPr>
        <w:pStyle w:val="BookText"/>
      </w:pPr>
      <w:r>
        <w:rPr>
          <w:rFonts w:ascii="IRNazanin" w:hAnsi="IRNazanin" w:eastAsia="IRNazanin" w:cs="IRNazanin"/>
          <w:lang w:bidi="fa-IR"/>
          <w:color w:val="111111"/>
          <w:sz w:val="28"/>
          <w:szCs w:val="28"/>
          <w:rtl/>
        </w:rPr>
        <w:t xml:space="preserve">تهران؛ مجلس؛ شماره نسخه: ۱۳۹۲۸</w:t>
      </w:r>
    </w:p>
    <w:p>
      <w:pPr>
        <w:pStyle w:val="BookText"/>
      </w:pPr>
      <w:r>
        <w:rPr>
          <w:rFonts w:ascii="IRNazanin" w:hAnsi="IRNazanin" w:eastAsia="IRNazanin" w:cs="IRNazanin"/>
          <w:lang w:bidi="fa-IR"/>
          <w:color w:val="111111"/>
          <w:sz w:val="28"/>
          <w:szCs w:val="28"/>
          <w:rtl/>
        </w:rPr>
        <w:t xml:space="preserve">آغاز: مکتب خانه ابداع سر تفکر در پیش انداخته و کافه انبیاء مرسل و کروبیان در سنجیدن نقطه از اوصاف ذات جلالش مستغرق دریای تعجب گشته ... آغاز نظم: سیف الدین اسفرنگی: کیست آن بحر آفتاب عطا </w:t>
      </w:r>
      <w:r>
        <w:rPr>
          <w:rFonts w:ascii="IRNazanin" w:hAnsi="IRNazanin" w:eastAsia="IRNazanin" w:cs="IRNazanin"/>
          <w:lang w:bidi="fa-IR"/>
          <w:color w:val="111111"/>
          <w:sz w:val="28"/>
          <w:szCs w:val="28"/>
          <w:b w:val="1"/>
          <w:bCs w:val="1"/>
          <w:i w:val="1"/>
          <w:iCs w:val="1"/>
          <w:rtl/>
        </w:rPr>
        <w:t xml:space="preserve">که از و رو شست آب بقا / خرم آبد عمر از و محکم *** نرگستان دل بدو بینا؛ انجام: گو میر شش گیر و بزن سخت و ببر رخت *** مستی که شبنگاه ز میخانه بر آید /ما گوشه نشينان خرابات الستيم</w:t>
      </w:r>
      <w:r>
        <w:rPr>
          <w:rFonts w:ascii="IRNazanin" w:hAnsi="IRNazanin" w:eastAsia="IRNazanin" w:cs="IRNazanin"/>
          <w:lang w:bidi="fa-IR"/>
          <w:color w:val="111111"/>
          <w:sz w:val="28"/>
          <w:szCs w:val="28"/>
          <w:rtl/>
        </w:rPr>
        <w:t xml:space="preserve"> تا بوی میی هست درین</w:t>
      </w:r>
    </w:p>
    <w:p>
      <w:pPr>
        <w:pStyle w:val="BookText"/>
      </w:pPr>
      <w:r>
        <w:rPr>
          <w:rFonts w:ascii="IRNazanin" w:hAnsi="IRNazanin" w:eastAsia="IRNazanin" w:cs="IRNazanin"/>
          <w:lang w:bidi="fa-IR"/>
          <w:color w:val="111111"/>
          <w:sz w:val="28"/>
          <w:szCs w:val="28"/>
          <w:rtl/>
        </w:rPr>
        <w:t xml:space="preserve">میکده مستیم</w:t>
      </w:r>
    </w:p>
    <w:p>
      <w:pPr>
        <w:pStyle w:val="BookText"/>
      </w:pPr>
      <w:r>
        <w:rPr>
          <w:rFonts w:ascii="IRNazanin" w:hAnsi="IRNazanin" w:eastAsia="IRNazanin" w:cs="IRNazanin"/>
          <w:lang w:bidi="fa-IR"/>
          <w:color w:val="111111"/>
          <w:sz w:val="28"/>
          <w:szCs w:val="28"/>
          <w:rtl/>
        </w:rPr>
        <w:t xml:space="preserve">خط: نستعلیق، بی کا، بی تا؛ افتادگی: آغاز؛ مجدول؛ جلد: تیماج قهوه ای ترنج با سر مجدول گرهی عطف گالینگور، ۲۸۲گ، 15سطر،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۲۳/۵سم [ف: ۳۷ - ۵۱۳]</w:t>
      </w:r>
    </w:p>
    <w:p>
      <w:pPr>
        <w:pStyle w:val="Heading3"/>
      </w:pPr>
      <w:bookmarkStart w:id="2070" w:name="_Toc1592"/>
      <w:r>
        <w:t>اشعار (گردآوری) / شعر / فارسی</w:t>
      </w:r>
      <w:bookmarkEnd w:id="2070"/>
    </w:p>
    <w:p>
      <w:pPr>
        <w:pStyle w:val="BookText"/>
      </w:pPr>
      <w:r>
        <w:rPr>
          <w:rFonts w:ascii="Times New Roman" w:hAnsi="Times New Roman" w:eastAsia="Times New Roman" w:cs="Times New Roman"/>
          <w:lang w:val="en-US" w:bidi="en-US"/>
          <w:color w:val="111111"/>
          <w:sz w:val="28"/>
          <w:szCs w:val="28"/>
          <w:rtl/>
        </w:rPr>
        <w:t xml:space="preserve">(aš‘ār (gerdāvarī)</w:t>
      </w:r>
    </w:p>
    <w:p>
      <w:pPr>
        <w:pStyle w:val="BookText"/>
      </w:pPr>
      <w:r>
        <w:rPr>
          <w:rFonts w:ascii="IRNazanin" w:hAnsi="IRNazanin" w:eastAsia="IRNazanin" w:cs="IRNazanin"/>
          <w:lang w:bidi="fa-IR"/>
          <w:color w:val="111111"/>
          <w:sz w:val="28"/>
          <w:szCs w:val="28"/>
          <w:rtl/>
        </w:rPr>
        <w:t xml:space="preserve">منشی، عبدالله</w:t>
      </w:r>
    </w:p>
    <w:p>
      <w:pPr>
        <w:pStyle w:val="BookText"/>
      </w:pPr>
      <w:r>
        <w:rPr>
          <w:rFonts w:ascii="Times New Roman" w:hAnsi="Times New Roman" w:eastAsia="Times New Roman" w:cs="Times New Roman"/>
          <w:lang w:val="en-US" w:bidi="en-US"/>
          <w:color w:val="111111"/>
          <w:sz w:val="28"/>
          <w:szCs w:val="28"/>
          <w:rtl/>
        </w:rPr>
        <w:t xml:space="preserve">monšī, ‘abd-ol-lāh</w:t>
      </w:r>
    </w:p>
    <w:p>
      <w:pPr>
        <w:pStyle w:val="BookText"/>
      </w:pPr>
      <w:r>
        <w:rPr>
          <w:rFonts w:ascii="IRNazanin" w:hAnsi="IRNazanin" w:eastAsia="IRNazanin" w:cs="IRNazanin"/>
          <w:lang w:bidi="fa-IR"/>
          <w:color w:val="111111"/>
          <w:sz w:val="28"/>
          <w:szCs w:val="28"/>
          <w:rtl/>
        </w:rPr>
        <w:t xml:space="preserve">در این جنگ اشعار و قطعه ها و رباعیاتی است انتخاب شده از شعر شاعران معروف قدیم و متأخر، بدون تنظیم و ترتیب مخصوص با تعزیت نامه ای و اثبات سیادت میرزا حسین و میـرزا حسن فرزند میرزا مؤمن ارباب به نثر .نام شاعران این مجموعه: عبدالله منشی (گرد آورنده مجموعه)، سعدی شیرازی، احسن، ملا محتشم، بهاء الدين محمد عاملی، محمد صوفی، شریفا، ،عاشق ،نظری ،طوفان ،رفیق ،هاتف ،مخفی، ابوسعید ابوالخیر ،جامی ،صائب تبریزی، میر مشتاق، لامعی، مجد هنگر، عطار نیشابوری،کسائی،مجیر الدین بیلقانی ،امیدی، ازرقی، اوحدی،خاقانی، سید حسن اشرف، ابوالفرج، اثیر الدین عبدالرزاق، عسجدی ،عمادی، ادیب صابر، ظهیر فاریابی، سید ذوالفقار، رودکی، مولوی رومی، کلیم.</w:t>
      </w:r>
    </w:p>
    <w:p>
      <w:pPr>
        <w:pStyle w:val="BookText"/>
      </w:pPr>
      <w:r>
        <w:rPr>
          <w:rFonts w:ascii="IRNazanin" w:hAnsi="IRNazanin" w:eastAsia="IRNazanin" w:cs="IRNazanin"/>
          <w:lang w:bidi="fa-IR"/>
          <w:color w:val="111111"/>
          <w:sz w:val="28"/>
          <w:szCs w:val="28"/>
          <w:rtl/>
        </w:rPr>
        <w:t xml:space="preserve">قم؛ مرکز احیاء؛ شماره نسخه: ۸۲۳</w:t>
      </w:r>
    </w:p>
    <w:p>
      <w:pPr>
        <w:pStyle w:val="BookText"/>
      </w:pPr>
      <w:r>
        <w:rPr>
          <w:rFonts w:ascii="IRNazanin" w:hAnsi="IRNazanin" w:eastAsia="IRNazanin" w:cs="IRNazanin"/>
          <w:lang w:bidi="fa-IR"/>
          <w:color w:val="111111"/>
          <w:sz w:val="28"/>
          <w:szCs w:val="28"/>
          <w:rtl/>
        </w:rPr>
        <w:t xml:space="preserve">خط: نستعليق، كاتب = مؤلف، بی تا؛ راسته و چلیپا؛ مهر: «افوض امرى الى الله عبده ابراهیم» ((مربع) ، «لا اله الا الله الملك الحق المبين» ((مربع) «ابراهیم» (بادامی) یا «امام حسین ادرکنی» (بیضی)؛ جلد: مقوایی عطف و گوشه ها تیماج مشکی، ۲۷گ، مختلف السطر،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۳ - ۳۰]</w:t>
      </w:r>
    </w:p>
    <w:p>
      <w:pPr>
        <w:pStyle w:val="Heading3"/>
      </w:pPr>
      <w:bookmarkStart w:id="2071" w:name="_Toc1593"/>
      <w:r>
        <w:t>اشعار (گردآوری) / شعر / عربی</w:t>
      </w:r>
      <w:bookmarkEnd w:id="2071"/>
    </w:p>
    <w:p>
      <w:pPr>
        <w:pStyle w:val="BookText"/>
      </w:pPr>
      <w:r>
        <w:rPr>
          <w:rFonts w:ascii="Times New Roman" w:hAnsi="Times New Roman" w:eastAsia="Times New Roman" w:cs="Times New Roman"/>
          <w:lang w:val="en-US" w:bidi="en-US"/>
          <w:color w:val="111111"/>
          <w:sz w:val="28"/>
          <w:szCs w:val="28"/>
          <w:rtl/>
        </w:rPr>
        <w:t xml:space="preserve">aš‘ār (gerdāvarī)</w:t>
      </w:r>
    </w:p>
    <w:p>
      <w:pPr>
        <w:pStyle w:val="BookText"/>
      </w:pPr>
      <w:r>
        <w:rPr>
          <w:rFonts w:ascii="IRNazanin" w:hAnsi="IRNazanin" w:eastAsia="IRNazanin" w:cs="IRNazanin"/>
          <w:lang w:bidi="fa-IR"/>
          <w:color w:val="111111"/>
          <w:sz w:val="28"/>
          <w:szCs w:val="28"/>
          <w:rtl/>
        </w:rPr>
        <w:t xml:space="preserve">نحوی نجفی، احمد</w:t>
      </w:r>
    </w:p>
    <w:p>
      <w:pPr>
        <w:pStyle w:val="BookText"/>
      </w:pPr>
      <w:r>
        <w:rPr>
          <w:rFonts w:ascii="Times New Roman" w:hAnsi="Times New Roman" w:eastAsia="Times New Roman" w:cs="Times New Roman"/>
          <w:lang w:val="en-US" w:bidi="en-US"/>
          <w:color w:val="111111"/>
          <w:sz w:val="28"/>
          <w:szCs w:val="28"/>
          <w:rtl/>
        </w:rPr>
        <w:t xml:space="preserve">nahvi najafi, ahmad</w:t>
      </w:r>
    </w:p>
    <w:p>
      <w:pPr>
        <w:pStyle w:val="BookText"/>
      </w:pPr>
      <w:r>
        <w:rPr>
          <w:rFonts w:ascii="IRNazanin" w:hAnsi="IRNazanin" w:eastAsia="IRNazanin" w:cs="IRNazanin"/>
          <w:lang w:bidi="fa-IR"/>
          <w:color w:val="111111"/>
          <w:sz w:val="28"/>
          <w:szCs w:val="28"/>
          <w:rtl/>
        </w:rPr>
        <w:t xml:space="preserve">قصاید و اشعار بزرگان شعراء عرب را انتخاب نموده و به ترتیب حروف قافیه ها تنظیم نموده است، به اضافه بابی در اشعاری که قافیه آنها ضمیرند و اشعار متفرقه، و در آخر انتخابی است از لطایف ادبی نثری.</w:t>
      </w:r>
    </w:p>
    <w:p>
      <w:pPr>
        <w:pStyle w:val="BookText"/>
      </w:pPr>
      <w:r>
        <w:rPr>
          <w:rFonts w:ascii="Amiri" w:hAnsi="Amiri" w:eastAsia="Amiri" w:cs="Amiri"/>
          <w:lang w:bidi="ar-SA"/>
          <w:color w:val="111111"/>
          <w:sz w:val="28"/>
          <w:szCs w:val="28"/>
          <w:rtl/>
        </w:rPr>
        <w:t xml:space="preserve">آغاز: لشمس الدين النواجي يمدح النبي صلى الله عليه و آله: يارعى الله جيرة الجرعاء *** و قبابا عهدتها بقباء / و سقى وادى العقيق غمام *** من دموع تربو على الانواء</w:t>
      </w:r>
    </w:p>
    <w:p>
      <w:pPr>
        <w:pStyle w:val="BookText"/>
      </w:pPr>
      <w:r>
        <w:rPr>
          <w:rFonts w:ascii="IRNazanin" w:hAnsi="IRNazanin" w:eastAsia="IRNazanin" w:cs="IRNazanin"/>
          <w:lang w:bidi="fa-IR"/>
          <w:color w:val="111111"/>
          <w:sz w:val="28"/>
          <w:szCs w:val="28"/>
          <w:rtl/>
        </w:rPr>
        <w:t xml:space="preserve">قم؛ مرعشی؛ شماره نسخه: ۱۷۷۲</w:t>
      </w:r>
    </w:p>
    <w:p>
      <w:pPr>
        <w:pStyle w:val="BookText"/>
      </w:pPr>
      <w:r>
        <w:rPr>
          <w:rFonts w:ascii="IRNazanin" w:hAnsi="IRNazanin" w:eastAsia="IRNazanin" w:cs="IRNazanin"/>
          <w:lang w:bidi="fa-IR"/>
          <w:color w:val="111111"/>
          <w:sz w:val="28"/>
          <w:szCs w:val="28"/>
          <w:rtl/>
        </w:rPr>
        <w:t xml:space="preserve">آغاز: برابر؛ انجام: قال رجل لابي نواس ولاک امیرالمؤمنین علی القردة والخنازير</w:t>
      </w:r>
    </w:p>
    <w:p>
      <w:pPr>
        <w:pStyle w:val="BookText"/>
      </w:pPr>
      <w:r>
        <w:rPr>
          <w:rFonts w:ascii="IRNazanin" w:hAnsi="IRNazanin" w:eastAsia="IRNazanin" w:cs="IRNazanin"/>
          <w:lang w:bidi="fa-IR"/>
          <w:color w:val="111111"/>
          <w:sz w:val="28"/>
          <w:szCs w:val="28"/>
          <w:rtl/>
        </w:rPr>
        <w:t xml:space="preserve">خط: نسخ معرب  زیبا، بی کا ،بی تا؛ افتادگی: وسط و انجام؛ نام مؤلف و نسبت مجموعه بر روی برگ اول آمده است؛ جلد: تیماج مشکی، ۲۲۳گ، ۱۷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۵ - ۱۵۲]</w:t>
      </w:r>
    </w:p>
    <w:p>
      <w:pPr>
        <w:pStyle w:val="BookText"/>
      </w:pPr>
      <w:r>
        <w:rPr>
          <w:rFonts w:ascii="IRNazanin" w:hAnsi="IRNazanin" w:eastAsia="IRNazanin" w:cs="IRNazanin"/>
          <w:lang w:bidi="fa-IR"/>
          <w:color w:val="111111"/>
          <w:sz w:val="28"/>
          <w:szCs w:val="28"/>
          <w:rtl/>
        </w:rPr>
        <w:t xml:space="preserve">قم ؛مرکز احیاء؛ شماره نسخه: ۶۹۳</w:t>
      </w:r>
    </w:p>
    <w:p>
      <w:pPr>
        <w:pStyle w:val="BookText"/>
      </w:pPr>
      <w:r>
        <w:rPr>
          <w:rFonts w:ascii="IRNazanin" w:hAnsi="IRNazanin" w:eastAsia="IRNazanin" w:cs="IRNazanin"/>
          <w:lang w:bidi="fa-IR"/>
          <w:color w:val="111111"/>
          <w:sz w:val="28"/>
          <w:szCs w:val="28"/>
          <w:rtl/>
        </w:rPr>
        <w:t xml:space="preserve">نسخه اصل: همان نسخه بالا [عکسی ف: ۲ - ۳۲۷]</w:t>
      </w:r>
    </w:p>
    <w:p>
      <w:pPr>
        <w:pStyle w:val="Heading3"/>
      </w:pPr>
      <w:bookmarkStart w:id="2072" w:name="_Toc1594"/>
      <w:r>
        <w:t>اشعار لطيفة تناسب المكاتبات ... / شعر / عربي</w:t>
      </w:r>
      <w:bookmarkEnd w:id="2072"/>
    </w:p>
    <w:p>
      <w:pPr>
        <w:pStyle w:val="BookText"/>
      </w:pPr>
      <w:r>
        <w:rPr>
          <w:rFonts w:ascii="Times New Roman" w:hAnsi="Times New Roman" w:eastAsia="Times New Roman" w:cs="Times New Roman"/>
          <w:lang w:val="en-US" w:bidi="en-US"/>
          <w:color w:val="111111"/>
          <w:sz w:val="28"/>
          <w:szCs w:val="28"/>
          <w:rtl/>
        </w:rPr>
        <w:t xml:space="preserve">aš‘ār-un laṭīfa tunāsib al-mukātibāt ...</w:t>
      </w:r>
    </w:p>
    <w:p>
      <w:pPr>
        <w:pStyle w:val="BookText"/>
      </w:pPr>
      <w:r>
        <w:rPr>
          <w:rFonts w:ascii="IRNazanin" w:hAnsi="IRNazanin" w:eastAsia="IRNazanin" w:cs="IRNazanin"/>
          <w:lang w:bidi="fa-IR"/>
          <w:color w:val="111111"/>
          <w:sz w:val="28"/>
          <w:szCs w:val="28"/>
          <w:rtl/>
        </w:rPr>
        <w:t xml:space="preserve">جرفادقانی، محمد بن علی اصغر، ق ۱۳ قمری</w:t>
      </w:r>
    </w:p>
    <w:p>
      <w:pPr>
        <w:pStyle w:val="BookText"/>
      </w:pPr>
      <w:r>
        <w:rPr>
          <w:rFonts w:ascii="Times New Roman" w:hAnsi="Times New Roman" w:eastAsia="Times New Roman" w:cs="Times New Roman"/>
          <w:lang w:val="en-US" w:bidi="en-US"/>
          <w:color w:val="111111"/>
          <w:sz w:val="28"/>
          <w:szCs w:val="28"/>
          <w:rtl/>
        </w:rPr>
        <w:t xml:space="preserve">(jorfādeqānī, mohammad ebn-e ‘alī asqar (- 19c)</w:t>
      </w:r>
    </w:p>
    <w:p>
      <w:pPr>
        <w:pStyle w:val="BookText"/>
      </w:pPr>
      <w:r>
        <w:rPr>
          <w:rFonts w:ascii="Amiri" w:hAnsi="Amiri" w:eastAsia="Amiri" w:cs="Amiri"/>
          <w:lang w:bidi="ar-SA"/>
          <w:color w:val="111111"/>
          <w:sz w:val="28"/>
          <w:szCs w:val="28"/>
          <w:rtl/>
        </w:rPr>
        <w:t xml:space="preserve">اشعار لطيفة تناسب المكاتبات و محاورات الاحبة
</w:t>
      </w:r>
    </w:p>
    <w:p>
      <w:pPr>
        <w:sectPr>
          <w:footerReference w:type="default" r:id="rId1010"/>
          <w:footnotePr>
            <w:numStart w:val="1"/>
            <w:numRestart w:val="eachPage"/>
          </w:footnotePr>
          <w:pgSz w:orient="portrait" w:w="11905.511811023622" w:h="16837.79527559055"/>
          <w:pgMar w:top="1440" w:right="1440" w:bottom="1440" w:left="1440" w:header="720" w:footer="720" w:gutter="0"/>
          <w:cols w:num="1" w:space="720"/>
        </w:sectPr>
      </w:pPr>
    </w:p>
    <w:bookmarkStart w:id="456" w:name="pg20365_260946"/>
    <w:bookmarkEnd w:id="456"/>
    <w:p>
      <w:pPr>
        <w:pStyle w:val="BookText"/>
      </w:pPr>
      <w:r>
        <w:rPr>
          <w:rFonts w:ascii="IRNazanin" w:hAnsi="IRNazanin" w:eastAsia="IRNazanin" w:cs="IRNazanin"/>
          <w:lang w:bidi="fa-IR"/>
          <w:color w:val="111111"/>
          <w:sz w:val="28"/>
          <w:szCs w:val="28"/>
          <w:rtl/>
        </w:rPr>
        <w:t xml:space="preserve">تهران؛ مجلس؛ شماره نسخه: ۱۴۷۲۹/۱۹</w:t>
      </w:r>
    </w:p>
    <w:p>
      <w:pPr>
        <w:pStyle w:val="BookText"/>
      </w:pPr>
      <w:r>
        <w:rPr>
          <w:rFonts w:ascii="IRNazanin" w:hAnsi="IRNazanin" w:eastAsia="IRNazanin" w:cs="IRNazanin"/>
          <w:lang w:bidi="fa-IR"/>
          <w:color w:val="111111"/>
          <w:sz w:val="28"/>
          <w:szCs w:val="28"/>
          <w:rtl/>
        </w:rPr>
        <w:t xml:space="preserve">خط: نسخ، کا: حبیب الدین محمد، تا: قرن ۱۳ ؛جلد: تیماج قهوه ای ضربی ترنج و سرترنج و گره دار، ۲گ (۱۵۶ر-۱۵۷ر)، اندازه: 17/7</w:t>
      </w:r>
      <w:r>
        <w:rPr>
          <w:rFonts w:ascii="Times New Roman" w:hAnsi="Times New Roman" w:eastAsia="Times New Roman" w:cs="Times New Roman"/>
          <w:lang w:val="en-US" w:bidi="en-US"/>
          <w:color w:val="111111"/>
          <w:sz w:val="28"/>
          <w:szCs w:val="28"/>
          <w:rtl/>
        </w:rPr>
        <w:t xml:space="preserve">×23</w:t>
      </w:r>
      <w:r>
        <w:rPr>
          <w:rFonts w:ascii="IRNazanin" w:hAnsi="IRNazanin" w:eastAsia="IRNazanin" w:cs="IRNazanin"/>
          <w:lang w:bidi="fa-IR"/>
          <w:color w:val="111111"/>
          <w:sz w:val="28"/>
          <w:szCs w:val="28"/>
          <w:rtl/>
        </w:rPr>
        <w:t xml:space="preserve">سم [ف: ۴۱ - ۱۸۵]</w:t>
      </w:r>
    </w:p>
    <w:p>
      <w:pPr>
        <w:pStyle w:val="Heading3"/>
      </w:pPr>
      <w:bookmarkStart w:id="2073" w:name="_Toc1595"/>
      <w:r>
        <w:t>اشعار مراسم شاهچراغ / گوناگون / فارسی</w:t>
      </w:r>
      <w:bookmarkEnd w:id="2073"/>
    </w:p>
    <w:p>
      <w:pPr>
        <w:pStyle w:val="BookText"/>
      </w:pPr>
      <w:r>
        <w:rPr>
          <w:rFonts w:ascii="Times New Roman" w:hAnsi="Times New Roman" w:eastAsia="Times New Roman" w:cs="Times New Roman"/>
          <w:lang w:val="en-US" w:bidi="en-US"/>
          <w:color w:val="111111"/>
          <w:sz w:val="28"/>
          <w:szCs w:val="28"/>
          <w:rtl/>
        </w:rPr>
        <w:t xml:space="preserve">aš‘ār-e marāsem-e šāhčerāq</w:t>
      </w:r>
    </w:p>
    <w:p>
      <w:pPr>
        <w:pStyle w:val="BookText"/>
      </w:pPr>
      <w:r>
        <w:rPr>
          <w:rFonts w:ascii="IRNazanin" w:hAnsi="IRNazanin" w:eastAsia="IRNazanin" w:cs="IRNazanin"/>
          <w:lang w:bidi="fa-IR"/>
          <w:color w:val="111111"/>
          <w:sz w:val="28"/>
          <w:szCs w:val="28"/>
          <w:rtl/>
        </w:rPr>
        <w:t xml:space="preserve">بیاضی است که در آن مطالب متفرقه به نظم و نثر جمع آوری شده؛ ولی قسمت عمده آن اشعاری است که شاعران مختلف برای مراسم خانقاه بقعه شاه چراغ شیراز (بقعه حضرت احمد بن موسی(علیه السّلام) سروده اند و در مراسم آن بقعه قرائت می شود. این اشعار به هفت قاپی، دوازده قدم و علامتی نامه، موسوم هستند و نسخه حاضر از جهت تاریخ آستانه شاهچراغ اهمیت دارد. اغلب شاعران این اشعار از پیروان سلسله ذهبیه هستند و در اشعار خـود مكرر نام حضرت احمد بن موسی (علیه السّلام) را آورده اند. فهرست مندرجات این جنگ عبارت است از : ۱. چند مناجات نامه به شـعر فارسی از جمله مناجات نامه بارانی؛ ۲. دوازده قدم. اثبات هفـده سلسله از ابن حسام مداح به نظم؛ ۳. هفت قاپی چراغ (مراسم داخل کردن چراغ یا شمع به مجلس عارفان)؛ ۴ .هفت قدم نـظم مولانا سائل بقال؛ ۵. علامتی نامه و مخمس آن و بعد از آن دوازده قدم؛ ۶. هفت قاپی ملا ذبیح الله، ۷. علامتی نامه جهـت خلوت نمودن و دوازده امام منظوم موسوم به علامتی نامه دواز امام؛ ۸. رباعیات مصنوع حاجی مقیم فارسی در مراثی کربلا؛9. دیوان خلیلی؛ ۱۰. احکام اختلاجات اعضا؛ ۱۱. رباعیات فارسی با ذکر خواصی برای هر رباعی؛ ۱۲. دستور عمل دعای ام داوود ؛۱۳. دعای هفت حصار؛ ۱۴. قصیده فارسی هلاکوکو؛ ۱۵.دو برگ از اختیارات ایام علامه مجلسی.</w:t>
      </w:r>
    </w:p>
    <w:p>
      <w:pPr>
        <w:pStyle w:val="BookText"/>
      </w:pPr>
      <w:r>
        <w:rPr>
          <w:rFonts w:ascii="IRNazanin" w:hAnsi="IRNazanin" w:eastAsia="IRNazanin" w:cs="IRNazanin"/>
          <w:lang w:bidi="fa-IR"/>
          <w:color w:val="111111"/>
          <w:sz w:val="28"/>
          <w:szCs w:val="28"/>
          <w:rtl/>
        </w:rPr>
        <w:t xml:space="preserve">قم؛ دار الحدیث؛ شماره نسخه: ۳۵۹</w:t>
      </w:r>
    </w:p>
    <w:p>
      <w:pPr>
        <w:pStyle w:val="BookText"/>
      </w:pPr>
      <w:r>
        <w:rPr>
          <w:rFonts w:ascii="IRNazanin" w:hAnsi="IRNazanin" w:eastAsia="IRNazanin" w:cs="IRNazanin"/>
          <w:lang w:bidi="fa-IR"/>
          <w:color w:val="111111"/>
          <w:sz w:val="28"/>
          <w:szCs w:val="28"/>
          <w:rtl/>
        </w:rPr>
        <w:t xml:space="preserve">آغاز: شنیدستم که موسی در مناجات *** زحق سبحانه در خواست حاجات / که یا رب از فضل الهی*** همی خواهم ز خاصانم نمایی؛ انجام: روز هشتم شایسته است برای هر حاجتی از خرید و فروش و هر که در این روز نزد پادشاهان رود حاجتش بر آورده شود و مکروه است در این روز.</w:t>
      </w:r>
    </w:p>
    <w:p>
      <w:pPr>
        <w:pStyle w:val="BookText"/>
      </w:pPr>
      <w:r>
        <w:rPr>
          <w:rFonts w:ascii="IRNazanin" w:hAnsi="IRNazanin" w:eastAsia="IRNazanin" w:cs="IRNazanin"/>
          <w:lang w:bidi="fa-IR"/>
          <w:color w:val="111111"/>
          <w:sz w:val="28"/>
          <w:szCs w:val="28"/>
          <w:rtl/>
        </w:rPr>
        <w:t xml:space="preserve">خط: نستعلیق و شکسته، بی کا، تا: قرن ۱۳؛ افتادگی: انجام؛ در واقع دو بیاض بوده که بعداً به به هم ضمیمه شده و بیاض اول از برگ ۱ تا ۱۲۵ و بیاض دوم از برگ ۱۲۶ و ۱۴۹ در این مجموعه قرار گرفته است و از جهت طول نیز با هم متفاوت هستند، طول بیاض اول ۲۰ و طول بیاض دوم ۱۷ سانتی متر است؛ ۱۴۹گ، 20سطر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 ۲۱۶]</w:t>
      </w:r>
    </w:p>
    <w:p>
      <w:pPr>
        <w:pStyle w:val="Heading3"/>
      </w:pPr>
      <w:bookmarkStart w:id="2074" w:name="_Toc1596"/>
      <w:r>
        <w:t>اشعار مسعودی (منتخب) / شعر / فارسی</w:t>
      </w:r>
      <w:bookmarkEnd w:id="2074"/>
    </w:p>
    <w:p>
      <w:pPr>
        <w:pStyle w:val="BookText"/>
      </w:pPr>
      <w:r>
        <w:rPr>
          <w:rFonts w:ascii="Times New Roman" w:hAnsi="Times New Roman" w:eastAsia="Times New Roman" w:cs="Times New Roman"/>
          <w:lang w:val="en-US" w:bidi="en-US"/>
          <w:color w:val="111111"/>
          <w:sz w:val="28"/>
          <w:szCs w:val="28"/>
          <w:rtl/>
        </w:rPr>
        <w:t xml:space="preserve">(aš‘ār-e mas‘ūdī (mn.)</w:t>
      </w:r>
    </w:p>
    <w:p>
      <w:pPr>
        <w:pStyle w:val="BookText"/>
      </w:pPr>
      <w:r>
        <w:rPr>
          <w:rFonts w:ascii="IRNazanin" w:hAnsi="IRNazanin" w:eastAsia="IRNazanin" w:cs="IRNazanin"/>
          <w:lang w:bidi="fa-IR"/>
          <w:color w:val="111111"/>
          <w:sz w:val="28"/>
          <w:szCs w:val="28"/>
          <w:rtl/>
        </w:rPr>
        <w:t xml:space="preserve">طغرل، على محمد، ق ۱۴ قمری</w:t>
      </w:r>
    </w:p>
    <w:p>
      <w:pPr>
        <w:pStyle w:val="BookText"/>
      </w:pPr>
      <w:r>
        <w:rPr>
          <w:rFonts w:ascii="Times New Roman" w:hAnsi="Times New Roman" w:eastAsia="Times New Roman" w:cs="Times New Roman"/>
          <w:lang w:val="en-US" w:bidi="en-US"/>
          <w:color w:val="111111"/>
          <w:sz w:val="28"/>
          <w:szCs w:val="28"/>
          <w:rtl/>
        </w:rPr>
        <w:t xml:space="preserve">(toqrol, ‘ali mohammad (- 20c)</w:t>
      </w:r>
    </w:p>
    <w:p>
      <w:pPr>
        <w:pStyle w:val="BookText"/>
      </w:pPr>
      <w:r>
        <w:rPr>
          <w:rFonts w:ascii="IRNazanin" w:hAnsi="IRNazanin" w:eastAsia="IRNazanin" w:cs="IRNazanin"/>
          <w:lang w:bidi="fa-IR"/>
          <w:color w:val="111111"/>
          <w:sz w:val="28"/>
          <w:szCs w:val="28"/>
          <w:rtl/>
        </w:rPr>
        <w:t xml:space="preserve">مجموعه ای که به وسیله علی محمد طغرل به دستور ظل السلطان انتخاب و ترتیب داده شده است، شامل: ۱- اشعاری از سعدی؛ ۲- اشعاری از حافظ؛ ۳ -غزلیات حکیم قاآنی؛ ۴- داستان رستم و اسفندیار شاهنامه؛ ۵ -حکایاتی از مثنوی؛ ۶- شرح حال بهرام گور؛ ۷- اشعاری از خمسه نظامی؛ ۸- قصیده ای از انوری.</w:t>
      </w:r>
    </w:p>
    <w:p>
      <w:pPr>
        <w:pStyle w:val="BookText"/>
      </w:pPr>
      <w:r>
        <w:rPr>
          <w:rFonts w:ascii="IRNazanin" w:hAnsi="IRNazanin" w:eastAsia="IRNazanin" w:cs="IRNazanin"/>
          <w:lang w:bidi="fa-IR"/>
          <w:color w:val="111111"/>
          <w:sz w:val="28"/>
          <w:szCs w:val="28"/>
          <w:rtl/>
        </w:rPr>
        <w:t xml:space="preserve">۱. اصفهان؛ صارم الدوله (کتابخانه فرهنگ اصفهان)؛ شماره نسخه: ۱۰۴۵</w:t>
      </w:r>
    </w:p>
    <w:p>
      <w:pPr>
        <w:pStyle w:val="BookText"/>
      </w:pPr>
      <w:r>
        <w:rPr>
          <w:rFonts w:ascii="IRNazanin" w:hAnsi="IRNazanin" w:eastAsia="IRNazanin" w:cs="IRNazanin"/>
          <w:lang w:bidi="fa-IR"/>
          <w:color w:val="111111"/>
          <w:sz w:val="28"/>
          <w:szCs w:val="28"/>
          <w:rtl/>
        </w:rPr>
        <w:t xml:space="preserve">آغاز: اگر تو فارغی از حال دوستان یارا *** فراغت از تو میسر نمیشود ما را؛ انجام: گر جماع این است کاین خر میکند *** بر ...ما میریند این شوهران</w:t>
      </w:r>
    </w:p>
    <w:p>
      <w:pPr>
        <w:pStyle w:val="BookText"/>
      </w:pPr>
      <w:r>
        <w:rPr>
          <w:rFonts w:ascii="IRNazanin" w:hAnsi="IRNazanin" w:eastAsia="IRNazanin" w:cs="IRNazanin"/>
          <w:lang w:bidi="fa-IR"/>
          <w:color w:val="111111"/>
          <w:sz w:val="28"/>
          <w:szCs w:val="28"/>
          <w:rtl/>
        </w:rPr>
        <w:t xml:space="preserve">خط: نستعلیق خوش، بی کا، تا: قرن ۱۴؛ دارای دو سرلوح مذهب، مجدول مذهب؛ کاغذ: فرنگی سفید، جلد: مقوایی با روکش مخمل سبز ،عطف میشن عنابی ،۵۶۴ ص ۱۱ سطر (9</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 ۱۴۸]</w:t>
      </w:r>
    </w:p>
    <w:p>
      <w:pPr>
        <w:pStyle w:val="BookText"/>
      </w:pPr>
      <w:r>
        <w:rPr>
          <w:rFonts w:ascii="IRNazanin" w:hAnsi="IRNazanin" w:eastAsia="IRNazanin" w:cs="IRNazanin"/>
          <w:lang w:bidi="fa-IR"/>
          <w:color w:val="111111"/>
          <w:sz w:val="28"/>
          <w:szCs w:val="28"/>
          <w:rtl/>
        </w:rPr>
        <w:t xml:space="preserve">۲. اصفهان؛ صارم الدوله (کتابخانه فرهنگ اصفهان)؛ شماره نسخه: ۱۰۳۲</w:t>
      </w:r>
    </w:p>
    <w:p>
      <w:pPr>
        <w:pStyle w:val="BookText"/>
      </w:pPr>
      <w:r>
        <w:rPr>
          <w:rFonts w:ascii="IRNazanin" w:hAnsi="IRNazanin" w:eastAsia="IRNazanin" w:cs="IRNazanin"/>
          <w:lang w:bidi="fa-IR"/>
          <w:color w:val="111111"/>
          <w:sz w:val="28"/>
          <w:szCs w:val="28"/>
          <w:rtl/>
        </w:rPr>
        <w:t xml:space="preserve">خط: نستعلیق خوش، کا: عبدالجواد حسینی  شهشهانی، تا: اواخر ذیقعده ۱۳۱۴ق؛ دارای دو سرلوح مجدول؛ کاغذ: فرنگی سفید،جلد: چرمی کوبیده مذهب  مشکی، ۳۶۷ ص ۱۷ 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۲۷سم [ف - ۱۳۸]</w:t>
      </w:r>
    </w:p>
    <w:p>
      <w:pPr>
        <w:pStyle w:val="BookText"/>
      </w:pPr>
      <w:r>
        <w:rPr>
          <w:rFonts w:ascii="IRNazanin" w:hAnsi="IRNazanin" w:eastAsia="IRNazanin" w:cs="IRNazanin"/>
          <w:lang w:bidi="fa-IR"/>
          <w:color w:val="111111"/>
          <w:sz w:val="28"/>
          <w:szCs w:val="28"/>
          <w:rtl/>
        </w:rPr>
        <w:t xml:space="preserve">3.اصفهان؛ صارم الدوله (کتابخانه فرهنگ (اصفهان)؛ شماره نسخه:۱۰۴۴</w:t>
      </w:r>
    </w:p>
    <w:p>
      <w:pPr>
        <w:pStyle w:val="BookText"/>
      </w:pPr>
      <w:r>
        <w:rPr>
          <w:rFonts w:ascii="IRNazanin" w:hAnsi="IRNazanin" w:eastAsia="IRNazanin" w:cs="IRNazanin"/>
          <w:lang w:bidi="fa-IR"/>
          <w:color w:val="111111"/>
          <w:sz w:val="28"/>
          <w:szCs w:val="28"/>
          <w:rtl/>
        </w:rPr>
        <w:t xml:space="preserve">آغاز: اگر تو فارغی از حال دوستان یارا *** فراغت از تو میسر نمی شود ما را؛ انجام: گر جماع این است کاین خر می کند ***بر کس ما میریند این شوهران</w:t>
      </w:r>
    </w:p>
    <w:p>
      <w:pPr>
        <w:pStyle w:val="BookText"/>
      </w:pPr>
      <w:r>
        <w:rPr>
          <w:rFonts w:ascii="IRNazanin" w:hAnsi="IRNazanin" w:eastAsia="IRNazanin" w:cs="IRNazanin"/>
          <w:lang w:bidi="fa-IR"/>
          <w:color w:val="111111"/>
          <w:sz w:val="28"/>
          <w:szCs w:val="28"/>
          <w:rtl/>
        </w:rPr>
        <w:t xml:space="preserve">خط: نستعليق، كا: فتحعلی آشتیانی، تا: ربیع الاول ۱۳۱۴ق؛ کاغذ: فرنگی گلدار  الوان ،جلد: مخمل  سبز، ۳۴۸ص، ۱۲ 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 ۱۴۷]</w:t>
      </w:r>
    </w:p>
    <w:p>
      <w:pPr>
        <w:pStyle w:val="BookText"/>
      </w:pPr>
      <w:r>
        <w:rPr>
          <w:rFonts w:ascii="IRNazanin" w:hAnsi="IRNazanin" w:eastAsia="IRNazanin" w:cs="IRNazanin"/>
          <w:lang w:bidi="fa-IR"/>
          <w:color w:val="111111"/>
          <w:sz w:val="28"/>
          <w:szCs w:val="28"/>
          <w:rtl/>
        </w:rPr>
        <w:t xml:space="preserve">«اشعار معتمد الدوله » ديوان فرهاد میرزا قاجار</w:t>
      </w:r>
    </w:p>
    <w:p>
      <w:pPr>
        <w:pStyle w:val="Heading3"/>
      </w:pPr>
      <w:bookmarkStart w:id="2075" w:name="_Toc1597"/>
      <w:r>
        <w:t>اشعار معمیات / معما، شعر / عربی</w:t>
      </w:r>
      <w:bookmarkEnd w:id="2075"/>
    </w:p>
    <w:p>
      <w:pPr>
        <w:pStyle w:val="BookText"/>
      </w:pPr>
      <w:r>
        <w:rPr>
          <w:rFonts w:ascii="Times New Roman" w:hAnsi="Times New Roman" w:eastAsia="Times New Roman" w:cs="Times New Roman"/>
          <w:lang w:val="en-US" w:bidi="en-US"/>
          <w:color w:val="111111"/>
          <w:sz w:val="28"/>
          <w:szCs w:val="28"/>
          <w:rtl/>
        </w:rPr>
        <w:t xml:space="preserve">aš‘ār-e mo‘ammīyāt</w:t>
      </w:r>
    </w:p>
    <w:p>
      <w:pPr>
        <w:pStyle w:val="BookText"/>
      </w:pPr>
      <w:r>
        <w:rPr>
          <w:rFonts w:ascii="IRNazanin" w:hAnsi="IRNazanin" w:eastAsia="IRNazanin" w:cs="IRNazanin"/>
          <w:lang w:bidi="fa-IR"/>
          <w:color w:val="111111"/>
          <w:sz w:val="28"/>
          <w:szCs w:val="28"/>
          <w:rtl/>
        </w:rPr>
        <w:t xml:space="preserve">قم؛ مرعشی؛ شماره نسخه: ۱۰۸۱۹/۱</w:t>
      </w:r>
    </w:p>
    <w:p>
      <w:pPr>
        <w:pStyle w:val="BookText"/>
      </w:pPr>
      <w:r>
        <w:rPr>
          <w:rFonts w:ascii="IRNazanin" w:hAnsi="IRNazanin" w:eastAsia="IRNazanin" w:cs="IRNazanin"/>
          <w:lang w:bidi="fa-IR"/>
          <w:color w:val="111111"/>
          <w:sz w:val="28"/>
          <w:szCs w:val="28"/>
          <w:rtl/>
        </w:rPr>
        <w:t xml:space="preserve">خط: نسخ و نستعلیق، کا: محمد بن محمد سلمان، تا: ۶رجب، ۱۱۰۴ق؛ مصحح؛ قطع: جانمازی [ میراث شهاب: س ۹ش ۲ - ۴۰]</w:t>
      </w:r>
    </w:p>
    <w:p>
      <w:pPr>
        <w:pStyle w:val="Heading3"/>
      </w:pPr>
      <w:bookmarkStart w:id="2076" w:name="_Toc1598"/>
      <w:r>
        <w:t>اشعار مقتل ابی مخنف / شعر, تاریخ / عربی</w:t>
      </w:r>
      <w:bookmarkEnd w:id="2076"/>
    </w:p>
    <w:p>
      <w:pPr>
        <w:pStyle w:val="BookText"/>
      </w:pPr>
      <w:r>
        <w:rPr>
          <w:rFonts w:ascii="Times New Roman" w:hAnsi="Times New Roman" w:eastAsia="Times New Roman" w:cs="Times New Roman"/>
          <w:lang w:val="en-US" w:bidi="en-US"/>
          <w:color w:val="111111"/>
          <w:sz w:val="28"/>
          <w:szCs w:val="28"/>
          <w:rtl/>
        </w:rPr>
        <w:t xml:space="preserve">ašar-e maqtal-e abi maxnaf</w:t>
      </w:r>
    </w:p>
    <w:p>
      <w:pPr>
        <w:pStyle w:val="BookText"/>
      </w:pPr>
      <w:r>
        <w:rPr>
          <w:rFonts w:ascii="IRNazanin" w:hAnsi="IRNazanin" w:eastAsia="IRNazanin" w:cs="IRNazanin"/>
          <w:lang w:bidi="fa-IR"/>
          <w:color w:val="111111"/>
          <w:sz w:val="28"/>
          <w:szCs w:val="28"/>
          <w:rtl/>
        </w:rPr>
        <w:t xml:space="preserve">گنجی بیگ، محمد باقر بن حافظ</w:t>
      </w:r>
    </w:p>
    <w:p>
      <w:pPr>
        <w:pStyle w:val="BookText"/>
      </w:pPr>
      <w:r>
        <w:rPr>
          <w:rFonts w:ascii="Times New Roman" w:hAnsi="Times New Roman" w:eastAsia="Times New Roman" w:cs="Times New Roman"/>
          <w:lang w:val="en-US" w:bidi="en-US"/>
          <w:color w:val="111111"/>
          <w:sz w:val="28"/>
          <w:szCs w:val="28"/>
          <w:rtl/>
        </w:rPr>
        <w:t xml:space="preserve">ganjī beyg, mohammad bāqer ebn-e hāfez</w:t>
      </w:r>
    </w:p>
    <w:p>
      <w:pPr>
        <w:pStyle w:val="BookText"/>
      </w:pPr>
      <w:r>
        <w:rPr>
          <w:rFonts w:ascii="IRNazanin" w:hAnsi="IRNazanin" w:eastAsia="IRNazanin" w:cs="IRNazanin"/>
          <w:lang w:bidi="fa-IR"/>
          <w:color w:val="111111"/>
          <w:sz w:val="28"/>
          <w:szCs w:val="28"/>
          <w:rtl/>
        </w:rPr>
        <w:t xml:space="preserve">وابسته به مقتل الحسين = مقتل ابی مخنف =مصرع الحسين و
</w:t>
      </w:r>
    </w:p>
    <w:p>
      <w:pPr>
        <w:sectPr>
          <w:footerReference w:type="default" r:id="rId1011"/>
          <w:footnotePr>
            <w:numStart w:val="1"/>
            <w:numRestart w:val="eachPage"/>
          </w:footnotePr>
          <w:pgSz w:orient="portrait" w:w="11905.511811023622" w:h="16837.79527559055"/>
          <w:pgMar w:top="1440" w:right="1440" w:bottom="1440" w:left="1440" w:header="720" w:footer="720" w:gutter="0"/>
          <w:cols w:num="1" w:space="720"/>
        </w:sectPr>
      </w:pPr>
    </w:p>
    <w:bookmarkStart w:id="457" w:name="pg20365_260947"/>
    <w:bookmarkEnd w:id="457"/>
    <w:p>
      <w:pPr>
        <w:pStyle w:val="BookText"/>
      </w:pPr>
      <w:r>
        <w:rPr>
          <w:rFonts w:ascii="Amiri" w:hAnsi="Amiri" w:eastAsia="Amiri" w:cs="Amiri"/>
          <w:lang w:bidi="ar-SA"/>
          <w:color w:val="111111"/>
          <w:sz w:val="28"/>
          <w:szCs w:val="28"/>
          <w:rtl/>
        </w:rPr>
        <w:t xml:space="preserve">ماجرى له و لاهل بيته؛ ابو مخنف لوط بن يحيى(-157)</w:t>
      </w:r>
    </w:p>
    <w:p>
      <w:pPr>
        <w:pStyle w:val="BookText"/>
      </w:pPr>
      <w:r>
        <w:rPr>
          <w:rFonts w:ascii="IRNazanin" w:hAnsi="IRNazanin" w:eastAsia="IRNazanin" w:cs="IRNazanin"/>
          <w:lang w:bidi="fa-IR"/>
          <w:color w:val="111111"/>
          <w:sz w:val="28"/>
          <w:szCs w:val="28"/>
          <w:rtl/>
        </w:rPr>
        <w:t xml:space="preserve">تلخیصی است از مقتل منسوب به ابو مخنف که بیشتر، اشـعار مورد نظرش بوده و از نثر به آن اندازه که ارتباط بین وقـایع حاصل شود اکتفا کرده است.</w:t>
      </w:r>
    </w:p>
    <w:p>
      <w:pPr>
        <w:pStyle w:val="BookText"/>
      </w:pPr>
      <w:r>
        <w:rPr>
          <w:rFonts w:ascii="IRNazanin" w:hAnsi="IRNazanin" w:eastAsia="IRNazanin" w:cs="IRNazanin"/>
          <w:lang w:bidi="fa-IR"/>
          <w:color w:val="111111"/>
          <w:sz w:val="28"/>
          <w:szCs w:val="28"/>
          <w:rtl/>
        </w:rPr>
        <w:t xml:space="preserve">قم؛ معصومیه؛ شماره نسخه: ۸۰/۲</w:t>
      </w:r>
    </w:p>
    <w:p>
      <w:pPr>
        <w:pStyle w:val="BookText"/>
      </w:pPr>
      <w:r>
        <w:rPr>
          <w:rFonts w:ascii="IRNazanin" w:hAnsi="IRNazanin" w:eastAsia="IRNazanin" w:cs="IRNazanin"/>
          <w:lang w:bidi="fa-IR"/>
          <w:color w:val="111111"/>
          <w:sz w:val="28"/>
          <w:szCs w:val="28"/>
          <w:rtl/>
        </w:rPr>
        <w:t xml:space="preserve">آغاز: هذا ما روى من الابيات فى كتاب مقتل الحسينبن طالب (كذا) (علیه السّلام) مسندا الى ابی مخنف لوط بن يحيى الازدی؛ انجام: و اما على رواية الكافى ( كذا ) ؟ فراس الحسين (رحمه الله) فی النجف الاشرف على مشرفها الف الف صلواة و سلام وصلى الله على الحسين و ...</w:t>
      </w:r>
    </w:p>
    <w:p>
      <w:pPr>
        <w:pStyle w:val="BookText"/>
      </w:pPr>
      <w:r>
        <w:rPr>
          <w:rFonts w:ascii="IRNazanin" w:hAnsi="IRNazanin" w:eastAsia="IRNazanin" w:cs="IRNazanin"/>
          <w:lang w:bidi="fa-IR"/>
          <w:color w:val="111111"/>
          <w:sz w:val="28"/>
          <w:szCs w:val="28"/>
          <w:rtl/>
        </w:rPr>
        <w:t xml:space="preserve">خط: نسخ و نستعلیق، کا: علی بن مشهدی رضا، تا: ۱۲۵۳ق؛ جـلد: تیماج مشکی بی  مقوا ،۹گ اندازه: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۱ - ۱۰۰  ]</w:t>
      </w:r>
    </w:p>
    <w:p>
      <w:pPr>
        <w:pStyle w:val="Heading3"/>
      </w:pPr>
      <w:bookmarkStart w:id="2077" w:name="_Toc1599"/>
      <w:r>
        <w:t>اشعار ملا صالحا / شعر / فارسی</w:t>
      </w:r>
      <w:bookmarkEnd w:id="2077"/>
    </w:p>
    <w:p>
      <w:pPr>
        <w:pStyle w:val="BookText"/>
      </w:pPr>
      <w:r>
        <w:rPr>
          <w:rFonts w:ascii="Times New Roman" w:hAnsi="Times New Roman" w:eastAsia="Times New Roman" w:cs="Times New Roman"/>
          <w:lang w:val="en-US" w:bidi="en-US"/>
          <w:color w:val="111111"/>
          <w:sz w:val="28"/>
          <w:szCs w:val="28"/>
          <w:rtl/>
        </w:rPr>
        <w:t xml:space="preserve">aš‘ār-e mollā sālehā</w:t>
      </w:r>
    </w:p>
    <w:p>
      <w:pPr>
        <w:pStyle w:val="BookText"/>
      </w:pPr>
      <w:r>
        <w:rPr>
          <w:rFonts w:ascii="IRNazanin" w:hAnsi="IRNazanin" w:eastAsia="IRNazanin" w:cs="IRNazanin"/>
          <w:lang w:bidi="fa-IR"/>
          <w:color w:val="111111"/>
          <w:sz w:val="28"/>
          <w:szCs w:val="28"/>
          <w:rtl/>
        </w:rPr>
        <w:t xml:space="preserve">اهواز؛ دانشگاه اهواز؛ شماره نسخه: بدون شماره</w:t>
      </w:r>
    </w:p>
    <w:p>
      <w:pPr>
        <w:pStyle w:val="BookText"/>
      </w:pPr>
      <w:r>
        <w:rPr>
          <w:rFonts w:ascii="IRNazanin" w:hAnsi="IRNazanin" w:eastAsia="IRNazanin" w:cs="IRNazanin"/>
          <w:lang w:bidi="fa-IR"/>
          <w:color w:val="111111"/>
          <w:sz w:val="28"/>
          <w:szCs w:val="28"/>
          <w:rtl/>
        </w:rPr>
        <w:t xml:space="preserve">به لهجه های خوزی و دزفولی و لری؛ بی کا، بی تا [میراث اسلامی : 5- 588]</w:t>
      </w:r>
    </w:p>
    <w:p>
      <w:pPr>
        <w:pStyle w:val="Heading3"/>
      </w:pPr>
      <w:bookmarkStart w:id="2078" w:name="_Toc1600"/>
      <w:r>
        <w:t>اشعار منتخب با ترجمه (منظوم) / شعر / عربی و فارسی</w:t>
      </w:r>
      <w:bookmarkEnd w:id="2078"/>
    </w:p>
    <w:p>
      <w:pPr>
        <w:pStyle w:val="BookText"/>
      </w:pPr>
      <w:r>
        <w:rPr>
          <w:rFonts w:ascii="Times New Roman" w:hAnsi="Times New Roman" w:eastAsia="Times New Roman" w:cs="Times New Roman"/>
          <w:lang w:val="en-US" w:bidi="en-US"/>
          <w:color w:val="111111"/>
          <w:sz w:val="28"/>
          <w:szCs w:val="28"/>
          <w:rtl/>
        </w:rPr>
        <w:t xml:space="preserve">aš‘ār (mn. bā t.-ye manzūm)</w:t>
      </w:r>
    </w:p>
    <w:p>
      <w:pPr>
        <w:pStyle w:val="BookText"/>
      </w:pPr>
      <w:r>
        <w:rPr>
          <w:rFonts w:ascii="IRNazanin" w:hAnsi="IRNazanin" w:eastAsia="IRNazanin" w:cs="IRNazanin"/>
          <w:lang w:bidi="fa-IR"/>
          <w:color w:val="111111"/>
          <w:sz w:val="28"/>
          <w:szCs w:val="28"/>
          <w:rtl/>
        </w:rPr>
        <w:t xml:space="preserve">محمد رضا بن محمد کاظم، ق۱۳ قمری</w:t>
      </w:r>
    </w:p>
    <w:p>
      <w:pPr>
        <w:pStyle w:val="BookText"/>
      </w:pPr>
      <w:r>
        <w:rPr>
          <w:rFonts w:ascii="Times New Roman" w:hAnsi="Times New Roman" w:eastAsia="Times New Roman" w:cs="Times New Roman"/>
          <w:lang w:val="en-US" w:bidi="en-US"/>
          <w:color w:val="111111"/>
          <w:sz w:val="28"/>
          <w:szCs w:val="28"/>
          <w:rtl/>
        </w:rPr>
        <w:t xml:space="preserve">(mohammad rezā ben mohammad kāzem (- 19c)</w:t>
      </w:r>
    </w:p>
    <w:p>
      <w:pPr>
        <w:pStyle w:val="BookText"/>
      </w:pPr>
      <w:r>
        <w:rPr>
          <w:rFonts w:ascii="IRNazanin" w:hAnsi="IRNazanin" w:eastAsia="IRNazanin" w:cs="IRNazanin"/>
          <w:lang w:bidi="fa-IR"/>
          <w:color w:val="111111"/>
          <w:sz w:val="28"/>
          <w:szCs w:val="28"/>
          <w:rtl/>
        </w:rPr>
        <w:t xml:space="preserve">گزیده ای از اشعار منسوب به امام علی (علیه السّلام) در رباعیات و قصـاید ایشان و اشعار دیگر عربی در موعظه و نصیحت انتخاب و ترجمه منظوم هر کدام در ابیات معادل فارسی نگاشته شده است.</w:t>
      </w:r>
    </w:p>
    <w:p>
      <w:pPr>
        <w:pStyle w:val="BookText"/>
      </w:pPr>
      <w:r>
        <w:rPr>
          <w:rFonts w:ascii="IRNazanin" w:hAnsi="IRNazanin" w:eastAsia="IRNazanin" w:cs="IRNazanin"/>
          <w:lang w:bidi="fa-IR"/>
          <w:color w:val="111111"/>
          <w:sz w:val="28"/>
          <w:szCs w:val="28"/>
          <w:rtl/>
        </w:rPr>
        <w:t xml:space="preserve">تهران؛ ملی؛ شماره نسخه: ۲۸۲۱/۱۱</w:t>
      </w:r>
    </w:p>
    <w:p>
      <w:pPr>
        <w:pStyle w:val="BookText"/>
      </w:pPr>
      <w:r>
        <w:rPr>
          <w:rFonts w:ascii="IRNazanin" w:hAnsi="IRNazanin" w:eastAsia="IRNazanin" w:cs="IRNazanin"/>
          <w:lang w:bidi="fa-IR"/>
          <w:color w:val="111111"/>
          <w:sz w:val="28"/>
          <w:szCs w:val="28"/>
          <w:rtl/>
        </w:rPr>
        <w:t xml:space="preserve">آغاز: حمد و سپاس معرا از لباس حد و قیاس و ثنا و ستایش مبرا از آلایش تشبیه و ... و اد زكوة الجاه و اعلم بانها *** كمثل زکوة المال ثم نصابها / و احسن الى الاحرار تملك قاربها *** فـخر تجارات الكريم اكتسابها / زكات عزت جاه خود ای عزیز بده*** که دین بر تو جمال است چون رسد بنصاب / به تابعان نکو ذات خود نکویی کن*** که اکتساب نکویی نکوست در هر باب؛</w:t>
      </w:r>
    </w:p>
    <w:p>
      <w:pPr>
        <w:pStyle w:val="BookText"/>
      </w:pPr>
      <w:r>
        <w:rPr>
          <w:rFonts w:ascii="IRNazanin" w:hAnsi="IRNazanin" w:eastAsia="IRNazanin" w:cs="IRNazanin"/>
          <w:lang w:bidi="fa-IR"/>
          <w:color w:val="111111"/>
          <w:sz w:val="28"/>
          <w:szCs w:val="28"/>
          <w:rtl/>
        </w:rPr>
        <w:t xml:space="preserve">انجام: اعظم المصائب فوت الوقت بلا فائدة ***ان اشد الغصـص فوت الفرص / دادم اوقات عزیز عمر بر باد فنا *** صعب تر بر آدمی نقصان جنس بی بهاست</w:t>
      </w:r>
    </w:p>
    <w:p>
      <w:pPr>
        <w:pStyle w:val="BookText"/>
      </w:pPr>
      <w:r>
        <w:rPr>
          <w:rFonts w:ascii="IRNazanin" w:hAnsi="IRNazanin" w:eastAsia="IRNazanin" w:cs="IRNazanin"/>
          <w:lang w:bidi="fa-IR"/>
          <w:color w:val="111111"/>
          <w:sz w:val="28"/>
          <w:szCs w:val="28"/>
          <w:rtl/>
        </w:rPr>
        <w:t xml:space="preserve">خط: نسخ و نستعلیق، بی کا، تا: ۱۲۹۳ق؛ ضمیمه: در برگ150 دعای آداب وضو بیان شده است. آغاز: ضمیمه: «در بیان دعـای آداب وضو ساختن، چون به خلا جا رود پای چپ پیش نهد وبگوید الهم انى اعوذ بك من الرجس». انجام: ضمیمه: «لاشريـک لک و استغفرك و اتوب الیک و اشهد ان محمداً عبدك و رسولک»؛ کاغذ: فرنگی  شکری، جلد: رنگ و روغن، بوم سبز زیتونی مجدول با ترنج و سرترنج سوخت با گل و بوته برجسته، عبارت «عمل محمد امین صحاف» در سرترنج مقوایی، ۷گ (۱۴۴-۱۳۷پ),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۲۴سم [ف: ۱۳ – ۳۲۲]</w:t>
      </w:r>
    </w:p>
    <w:p>
      <w:pPr>
        <w:pStyle w:val="Heading3"/>
      </w:pPr>
      <w:bookmarkStart w:id="2079" w:name="_Toc1601"/>
      <w:r>
        <w:t>اشعار مولانا ولی دشت بیاضی / شعر / فارسی</w:t>
      </w:r>
      <w:bookmarkEnd w:id="2079"/>
    </w:p>
    <w:p>
      <w:pPr>
        <w:pStyle w:val="BookText"/>
      </w:pPr>
      <w:r>
        <w:rPr>
          <w:rFonts w:ascii="Times New Roman" w:hAnsi="Times New Roman" w:eastAsia="Times New Roman" w:cs="Times New Roman"/>
          <w:lang w:val="en-US" w:bidi="en-US"/>
          <w:color w:val="111111"/>
          <w:sz w:val="28"/>
          <w:szCs w:val="28"/>
          <w:rtl/>
        </w:rPr>
        <w:t xml:space="preserve">aš ār-e mowlānā valī dašt bay āzī</w:t>
      </w:r>
    </w:p>
    <w:p>
      <w:pPr>
        <w:pStyle w:val="BookText"/>
      </w:pPr>
      <w:r>
        <w:rPr>
          <w:rFonts w:ascii="IRNazanin" w:hAnsi="IRNazanin" w:eastAsia="IRNazanin" w:cs="IRNazanin"/>
          <w:lang w:bidi="fa-IR"/>
          <w:color w:val="111111"/>
          <w:sz w:val="28"/>
          <w:szCs w:val="28"/>
          <w:rtl/>
        </w:rPr>
        <w:t xml:space="preserve">تهران؛ مجلس؛ شماره نسخه: ۹۰۸۷/۹</w:t>
      </w:r>
    </w:p>
    <w:p>
      <w:pPr>
        <w:pStyle w:val="BookText"/>
      </w:pPr>
      <w:r>
        <w:rPr>
          <w:rFonts w:ascii="IRNazanin" w:hAnsi="IRNazanin" w:eastAsia="IRNazanin" w:cs="IRNazanin"/>
          <w:lang w:bidi="fa-IR"/>
          <w:color w:val="111111"/>
          <w:sz w:val="28"/>
          <w:szCs w:val="28"/>
          <w:rtl/>
        </w:rPr>
        <w:t xml:space="preserve">بی کا، تا: با تاریخ قرن ۱۱؛ کاغذ: الوان آهار مهره، جلد: تیماج قهوه ای با ترنج و سرترنج و چهار لچکی، عطف گالینگور، ۲گ(١٩ ر - ۲۰پ) ، اندازه: ۱۵/۱۸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۲۸/۴سم [ف: ۲۹/۲ - ۷۳۰]</w:t>
      </w:r>
    </w:p>
    <w:p>
      <w:pPr>
        <w:pStyle w:val="Heading3"/>
      </w:pPr>
      <w:bookmarkStart w:id="2080" w:name="_Toc1602"/>
      <w:r>
        <w:t>اشعار نظیری / شعر - فارسی</w:t>
      </w:r>
      <w:bookmarkEnd w:id="2080"/>
    </w:p>
    <w:p>
      <w:pPr>
        <w:pStyle w:val="BookText"/>
      </w:pPr>
      <w:r>
        <w:rPr>
          <w:rFonts w:ascii="Times New Roman" w:hAnsi="Times New Roman" w:eastAsia="Times New Roman" w:cs="Times New Roman"/>
          <w:lang w:val="en-US" w:bidi="en-US"/>
          <w:color w:val="111111"/>
          <w:sz w:val="28"/>
          <w:szCs w:val="28"/>
          <w:rtl/>
        </w:rPr>
        <w:t xml:space="preserve">aš'ār-e nazīrī</w:t>
      </w:r>
    </w:p>
    <w:p>
      <w:pPr>
        <w:pStyle w:val="BookText"/>
      </w:pPr>
      <w:r>
        <w:rPr>
          <w:rFonts w:ascii="IRNazanin" w:hAnsi="IRNazanin" w:eastAsia="IRNazanin" w:cs="IRNazanin"/>
          <w:lang w:bidi="fa-IR"/>
          <w:color w:val="111111"/>
          <w:sz w:val="28"/>
          <w:szCs w:val="28"/>
          <w:rtl/>
        </w:rPr>
        <w:t xml:space="preserve">تهران؛ مجلس؛ شماره نسخه: ۹۰۸۷/۸</w:t>
      </w:r>
    </w:p>
    <w:p>
      <w:pPr>
        <w:pStyle w:val="BookText"/>
      </w:pPr>
      <w:r>
        <w:rPr>
          <w:rFonts w:ascii="IRNazanin" w:hAnsi="IRNazanin" w:eastAsia="IRNazanin" w:cs="IRNazanin"/>
          <w:lang w:bidi="fa-IR"/>
          <w:color w:val="111111"/>
          <w:sz w:val="28"/>
          <w:szCs w:val="28"/>
          <w:rtl/>
        </w:rPr>
        <w:t xml:space="preserve">بی کا، تا: با تاریخ قرن ۱۱؛ کاغذ: الوان آهار مهره، جلد: تیماج  قهوه ای با ترنج و سرترنج و چهار لچکی، عطف گالینگور، ۲گ (۱۷پ-۱۸پ)، اندازه: ۱۵/۱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۲۸/۴سم [ف: ۲۹/۲ - ۷۳۰]</w:t>
      </w:r>
    </w:p>
    <w:p>
      <w:pPr>
        <w:pStyle w:val="Heading3"/>
      </w:pPr>
      <w:bookmarkStart w:id="2081" w:name="_Toc1603"/>
      <w:r>
        <w:t>اشعار و احادیث / گوناگون / فارسی</w:t>
      </w:r>
      <w:bookmarkEnd w:id="2081"/>
    </w:p>
    <w:p>
      <w:pPr>
        <w:pStyle w:val="BookText"/>
      </w:pPr>
      <w:r>
        <w:rPr>
          <w:rFonts w:ascii="Times New Roman" w:hAnsi="Times New Roman" w:eastAsia="Times New Roman" w:cs="Times New Roman"/>
          <w:lang w:val="en-US" w:bidi="en-US"/>
          <w:color w:val="111111"/>
          <w:sz w:val="28"/>
          <w:szCs w:val="28"/>
          <w:rtl/>
        </w:rPr>
        <w:t xml:space="preserve">aš‘ār va ahādīs</w:t>
      </w:r>
    </w:p>
    <w:p>
      <w:pPr>
        <w:pStyle w:val="BookText"/>
      </w:pPr>
      <w:r>
        <w:rPr>
          <w:rFonts w:ascii="IRNazanin" w:hAnsi="IRNazanin" w:eastAsia="IRNazanin" w:cs="IRNazanin"/>
          <w:lang w:bidi="fa-IR"/>
          <w:color w:val="111111"/>
          <w:sz w:val="28"/>
          <w:szCs w:val="28"/>
          <w:rtl/>
        </w:rPr>
        <w:t xml:space="preserve">حسینی مؤذن، حسین، ق ۱۴ قمری</w:t>
      </w:r>
    </w:p>
    <w:p>
      <w:pPr>
        <w:pStyle w:val="BookText"/>
      </w:pPr>
      <w:r>
        <w:rPr>
          <w:rFonts w:ascii="Times New Roman" w:hAnsi="Times New Roman" w:eastAsia="Times New Roman" w:cs="Times New Roman"/>
          <w:lang w:val="en-US" w:bidi="en-US"/>
          <w:color w:val="111111"/>
          <w:sz w:val="28"/>
          <w:szCs w:val="28"/>
          <w:rtl/>
        </w:rPr>
        <w:t xml:space="preserve">(hoseyni mo❜azzen, hoseyn (- 20c)</w:t>
      </w:r>
    </w:p>
    <w:p>
      <w:pPr>
        <w:pStyle w:val="BookText"/>
      </w:pPr>
      <w:r>
        <w:rPr>
          <w:rFonts w:ascii="IRNazanin" w:hAnsi="IRNazanin" w:eastAsia="IRNazanin" w:cs="IRNazanin"/>
          <w:lang w:bidi="fa-IR"/>
          <w:color w:val="111111"/>
          <w:sz w:val="28"/>
          <w:szCs w:val="28"/>
          <w:rtl/>
        </w:rPr>
        <w:t xml:space="preserve">بیاضی است شامل احادیث مأثوره از ائمه اطهار (علیهم السّلام) و اشعاری در مراثی اهل بیت (علیهم السّلام) و مناجات نامه و توسل به حضرات</w:t>
      </w:r>
    </w:p>
    <w:p>
      <w:pPr>
        <w:pStyle w:val="BookText"/>
      </w:pPr>
      <w:r>
        <w:rPr>
          <w:rFonts w:ascii="IRNazanin" w:hAnsi="IRNazanin" w:eastAsia="IRNazanin" w:cs="IRNazanin"/>
          <w:lang w:bidi="fa-IR"/>
          <w:color w:val="111111"/>
          <w:sz w:val="28"/>
          <w:szCs w:val="28"/>
          <w:rtl/>
        </w:rPr>
        <w:t xml:space="preserve">معصومين (علیه السّلام).</w:t>
      </w:r>
    </w:p>
    <w:p>
      <w:pPr>
        <w:pStyle w:val="BookText"/>
      </w:pPr>
      <w:r>
        <w:rPr>
          <w:rFonts w:ascii="IRNazanin" w:hAnsi="IRNazanin" w:eastAsia="IRNazanin" w:cs="IRNazanin"/>
          <w:lang w:bidi="fa-IR"/>
          <w:color w:val="111111"/>
          <w:sz w:val="28"/>
          <w:szCs w:val="28"/>
          <w:rtl/>
        </w:rPr>
        <w:t xml:space="preserve">قم؛ طبسی؛ شماره نسخه: ۷۴۵</w:t>
      </w:r>
    </w:p>
    <w:p>
      <w:pPr>
        <w:pStyle w:val="BookText"/>
      </w:pPr>
      <w:r>
        <w:rPr>
          <w:rFonts w:ascii="IRNazanin" w:hAnsi="IRNazanin" w:eastAsia="IRNazanin" w:cs="IRNazanin"/>
          <w:lang w:bidi="fa-IR"/>
          <w:color w:val="111111"/>
          <w:sz w:val="28"/>
          <w:szCs w:val="28"/>
          <w:rtl/>
        </w:rPr>
        <w:t xml:space="preserve">آغاز: از برای حاجت اگر کسی را حاجتی باشد بعد از فریضه صبح هفتاد و یک مرتبه سوره توحید را بخوانند؛ انجام: ظالمان را از زمین از تیغ بران برفكن العجل يابن الحسن</w:t>
      </w:r>
    </w:p>
    <w:p>
      <w:pPr>
        <w:pStyle w:val="BookText"/>
      </w:pPr>
      <w:r>
        <w:rPr>
          <w:rFonts w:ascii="IRNazanin" w:hAnsi="IRNazanin" w:eastAsia="IRNazanin" w:cs="IRNazanin"/>
          <w:lang w:bidi="fa-IR"/>
          <w:color w:val="111111"/>
          <w:sz w:val="28"/>
          <w:szCs w:val="28"/>
          <w:rtl/>
        </w:rPr>
        <w:t xml:space="preserve">خط:نستعليق، كاتب = مؤلف، تا: ۱۳۶۴ و ۱۳۶۷ق؛ جلد: تیماج سرخ ضربی ،مجدول، ۱۲۹گ، مختلف السطر، اندازه:۱۱/۵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مخ: ۱- ۸۴]</w:t>
      </w:r>
    </w:p>
    <w:p>
      <w:pPr>
        <w:pStyle w:val="Heading3"/>
      </w:pPr>
      <w:bookmarkStart w:id="2082" w:name="_Toc1604"/>
      <w:r>
        <w:t>اشعار و احادیث / شعر، حدیث / عربی</w:t>
      </w:r>
      <w:bookmarkEnd w:id="2082"/>
    </w:p>
    <w:p>
      <w:pPr>
        <w:pStyle w:val="BookText"/>
      </w:pPr>
      <w:r>
        <w:rPr>
          <w:rFonts w:ascii="Times New Roman" w:hAnsi="Times New Roman" w:eastAsia="Times New Roman" w:cs="Times New Roman"/>
          <w:lang w:val="en-US" w:bidi="en-US"/>
          <w:color w:val="111111"/>
          <w:sz w:val="28"/>
          <w:szCs w:val="28"/>
          <w:rtl/>
        </w:rPr>
        <w:t xml:space="preserve">aš‘ār va ahādīs</w:t>
      </w:r>
    </w:p>
    <w:p>
      <w:pPr>
        <w:pStyle w:val="BookText"/>
      </w:pPr>
      <w:r>
        <w:rPr>
          <w:rFonts w:ascii="IRNazanin" w:hAnsi="IRNazanin" w:eastAsia="IRNazanin" w:cs="IRNazanin"/>
          <w:lang w:bidi="fa-IR"/>
          <w:color w:val="111111"/>
          <w:sz w:val="28"/>
          <w:szCs w:val="28"/>
          <w:rtl/>
        </w:rPr>
        <w:t xml:space="preserve">غیر همانند:</w:t>
      </w:r>
    </w:p>
    <w:p>
      <w:pPr>
        <w:pStyle w:val="BookText"/>
      </w:pPr>
      <w:r>
        <w:rPr>
          <w:rFonts w:ascii="IRNazanin" w:hAnsi="IRNazanin" w:eastAsia="IRNazanin" w:cs="IRNazanin"/>
          <w:lang w:bidi="fa-IR"/>
          <w:color w:val="111111"/>
          <w:sz w:val="28"/>
          <w:szCs w:val="28"/>
          <w:rtl/>
        </w:rPr>
        <w:t xml:space="preserve">١. مشهد؛ گوهر شاد؛ شماره نسخه: ۵۸۲/۲
</w:t>
      </w:r>
    </w:p>
    <w:p>
      <w:pPr>
        <w:sectPr>
          <w:footerReference w:type="default" r:id="rId1012"/>
          <w:footnotePr>
            <w:numStart w:val="1"/>
            <w:numRestart w:val="eachPage"/>
          </w:footnotePr>
          <w:pgSz w:orient="portrait" w:w="11905.511811023622" w:h="16837.79527559055"/>
          <w:pgMar w:top="1440" w:right="1440" w:bottom="1440" w:left="1440" w:header="720" w:footer="720" w:gutter="0"/>
          <w:cols w:num="1" w:space="720"/>
        </w:sectPr>
      </w:pPr>
    </w:p>
    <w:bookmarkStart w:id="458" w:name="pg20365_260948"/>
    <w:bookmarkEnd w:id="458"/>
    <w:p>
      <w:pPr>
        <w:pStyle w:val="BookText"/>
      </w:pPr>
      <w:r>
        <w:rPr>
          <w:rFonts w:ascii="IRNazanin" w:hAnsi="IRNazanin" w:eastAsia="IRNazanin" w:cs="IRNazanin"/>
          <w:lang w:bidi="fa-IR"/>
          <w:color w:val="111111"/>
          <w:sz w:val="28"/>
          <w:szCs w:val="28"/>
          <w:rtl/>
        </w:rPr>
        <w:t xml:space="preserve">روایاتی در فضیلت دعا و اشعاری چند در یک برگ به عربی؛</w:t>
      </w:r>
    </w:p>
    <w:p>
      <w:pPr>
        <w:pStyle w:val="BookText"/>
      </w:pPr>
      <w:r>
        <w:rPr>
          <w:rFonts w:ascii="IRNazanin" w:hAnsi="IRNazanin" w:eastAsia="IRNazanin" w:cs="IRNazanin"/>
          <w:lang w:bidi="fa-IR"/>
          <w:color w:val="111111"/>
          <w:sz w:val="28"/>
          <w:szCs w:val="28"/>
          <w:rtl/>
        </w:rPr>
        <w:t xml:space="preserve">خط: شکسته نستعلیق، کا: محمد بن محمد علی؛ تا: قرن ۱۰؛پست بدون نقطه، در پشت صفحه اول یادداشت بيع محمد تقى بن محمد باقر با مهر او؛ کاغذ: اصفهانی، جلد: مقوا با کاغذ ابـری عطف میشن سرخ، ۱گ (۷۶) ۳۳ سطر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۲ - ۶۹۷]</w:t>
      </w:r>
    </w:p>
    <w:p>
      <w:pPr>
        <w:pStyle w:val="BookText"/>
      </w:pPr>
      <w:r>
        <w:rPr>
          <w:rFonts w:ascii="IRNazanin" w:hAnsi="IRNazanin" w:eastAsia="IRNazanin" w:cs="IRNazanin"/>
          <w:lang w:bidi="fa-IR"/>
          <w:color w:val="111111"/>
          <w:sz w:val="28"/>
          <w:szCs w:val="28"/>
          <w:rtl/>
        </w:rPr>
        <w:t xml:space="preserve">۲. تهران مجلس؛ شماره نسخه: ۸۷۹/۱۳- طباطبائی</w:t>
      </w:r>
    </w:p>
    <w:p>
      <w:pPr>
        <w:pStyle w:val="BookText"/>
      </w:pPr>
      <w:r>
        <w:rPr>
          <w:rFonts w:ascii="IRNazanin" w:hAnsi="IRNazanin" w:eastAsia="IRNazanin" w:cs="IRNazanin"/>
          <w:lang w:bidi="fa-IR"/>
          <w:color w:val="111111"/>
          <w:sz w:val="28"/>
          <w:szCs w:val="28"/>
          <w:rtl/>
        </w:rPr>
        <w:t xml:space="preserve">نخست بخشی از سوانح بهائی و چند قطعه درباره خال.چند حدیث شریف و از آن جمله درباره حاجت خواستن از خداوند به نقل از جوامع الكلام والد مؤلف [درباره این که نام کتاب پدر مؤلف، جوامع الكلام و یا جوامع الکلم است در ذریعه بحثی آورده شده و علامه صاحب ذریعه، خود این نظر را که جوامع الكلم است ترجیح می دهند اما ضبط موجود در این نسخه را نیز نمی توان نادیده گرفت]؛ کا: محمد بن میرزا محمد حسینی، تا:قرن۱۱؛ کاغذ: اصفهانی رنگارنگ، جلد: تیماج عنابی دارای ترنج و نیم ترنج ،۳۲گ، قطع: رقعی،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 ف : 23- 169]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رشت؛ جمعیت نشر فرهنگ؛ شماره نسخه: ۳۰/۶ر</w:t>
      </w:r>
    </w:p>
    <w:p>
      <w:pPr>
        <w:pStyle w:val="BookText"/>
      </w:pPr>
      <w:r>
        <w:rPr>
          <w:rFonts w:ascii="IRNazanin" w:hAnsi="IRNazanin" w:eastAsia="IRNazanin" w:cs="IRNazanin"/>
          <w:lang w:bidi="fa-IR"/>
          <w:color w:val="111111"/>
          <w:sz w:val="28"/>
          <w:szCs w:val="28"/>
          <w:rtl/>
        </w:rPr>
        <w:t xml:space="preserve">گزیده ای از اشعار و احادیث؛ بی کا، بی تا؛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۱۷/۵سم[ رشت و همدان :ف - ۱۱۹۲]</w:t>
      </w:r>
    </w:p>
    <w:p>
      <w:pPr>
        <w:pStyle w:val="Heading3"/>
      </w:pPr>
      <w:bookmarkStart w:id="2083" w:name="_Toc1605"/>
      <w:r>
        <w:t>اشعار و احادیث / شعر, حدیث / عربی و فارسی</w:t>
      </w:r>
      <w:bookmarkEnd w:id="2083"/>
    </w:p>
    <w:p>
      <w:pPr>
        <w:pStyle w:val="BookText"/>
      </w:pPr>
      <w:r>
        <w:rPr>
          <w:rFonts w:ascii="Times New Roman" w:hAnsi="Times New Roman" w:eastAsia="Times New Roman" w:cs="Times New Roman"/>
          <w:lang w:val="en-US" w:bidi="en-US"/>
          <w:color w:val="111111"/>
          <w:sz w:val="28"/>
          <w:szCs w:val="28"/>
          <w:rtl/>
        </w:rPr>
        <w:t xml:space="preserve">aš‘ār va ahādīs</w:t>
      </w:r>
    </w:p>
    <w:p>
      <w:pPr>
        <w:pStyle w:val="BookText"/>
      </w:pPr>
      <w:r>
        <w:rPr>
          <w:rFonts w:ascii="IRNazanin" w:hAnsi="IRNazanin" w:eastAsia="IRNazanin" w:cs="IRNazanin"/>
          <w:lang w:bidi="fa-IR"/>
          <w:color w:val="111111"/>
          <w:sz w:val="28"/>
          <w:szCs w:val="28"/>
          <w:rtl/>
        </w:rPr>
        <w:t xml:space="preserve">غیر همانند: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گلپایگانی؛ شماره نسخه: ۱۰۶۸-۶/۱۵۸</w:t>
      </w:r>
    </w:p>
    <w:p>
      <w:pPr>
        <w:pStyle w:val="BookText"/>
      </w:pPr>
      <w:r>
        <w:rPr>
          <w:rFonts w:ascii="IRNazanin" w:hAnsi="IRNazanin" w:eastAsia="IRNazanin" w:cs="IRNazanin"/>
          <w:lang w:bidi="fa-IR"/>
          <w:color w:val="111111"/>
          <w:sz w:val="28"/>
          <w:szCs w:val="28"/>
          <w:rtl/>
        </w:rPr>
        <w:t xml:space="preserve">آغاز: آخر حدیث تحمل لحمی شنید *** وصف بیان موسی و هارون با صفا / ربع كلام خالق و الشمس و القمر *** پانصد حديث صاحب و النجم و الضحا؛ انجام: ولتعلمن اني كنت فی عزلة عنه الا أن تتجنى ما بدالك. والسلام لاهله.</w:t>
      </w:r>
    </w:p>
    <w:p>
      <w:pPr>
        <w:pStyle w:val="BookText"/>
      </w:pPr>
      <w:r>
        <w:rPr>
          <w:rFonts w:ascii="IRNazanin" w:hAnsi="IRNazanin" w:eastAsia="IRNazanin" w:cs="IRNazanin"/>
          <w:lang w:bidi="fa-IR"/>
          <w:color w:val="111111"/>
          <w:sz w:val="28"/>
          <w:szCs w:val="28"/>
          <w:rtl/>
        </w:rPr>
        <w:t xml:space="preserve">جنگی است کهنه به نظم و نثر که در آن انتخابی از اشعار شعرایی چون سنایی و عطار و جامی و شیخ محمود شبستری و دیگران؛و اشعار عربی و احادیث نبوی و علوی از کتب روایی همچون نـهج البلاغه، درج شده است. این جنگ ترتیب خاصی ندارد و مطالب به صورت نامنظم در آن یادداشت شده است؛ این جنگ باید توسط عالمی شیعی گردآوری شده باشد؛ بی کا، تا: قرن10؛ افتادگی: آغاز؛ در میان نسخه یادداشتی است با تاریخ ۹۳۱ق؛</w:t>
      </w:r>
    </w:p>
    <w:p>
      <w:pPr>
        <w:pStyle w:val="BookText"/>
      </w:pPr>
      <w:r>
        <w:rPr>
          <w:rFonts w:ascii="IRNazanin" w:hAnsi="IRNazanin" w:eastAsia="IRNazanin" w:cs="IRNazanin"/>
          <w:lang w:bidi="fa-IR"/>
          <w:color w:val="111111"/>
          <w:sz w:val="28"/>
          <w:szCs w:val="28"/>
          <w:rtl/>
        </w:rPr>
        <w:t xml:space="preserve">تملک: نظام الدین محمد بنده شاه دین، حبیب بن لطف الله ؛ جلد: تیماج قهوه ای، ۱۱۰گ، مختلف السطر، اندازه:۱۰/۵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۱۷/۵سم [ف: ۳ - ۱۲۶۲]</w:t>
      </w:r>
    </w:p>
    <w:p>
      <w:pPr>
        <w:pStyle w:val="BookText"/>
      </w:pPr>
      <w:r>
        <w:rPr>
          <w:rFonts w:ascii="IRNazanin" w:hAnsi="IRNazanin" w:eastAsia="IRNazanin" w:cs="IRNazanin"/>
          <w:lang w:bidi="fa-IR"/>
          <w:color w:val="111111"/>
          <w:sz w:val="28"/>
          <w:szCs w:val="28"/>
          <w:rtl/>
        </w:rPr>
        <w:t xml:space="preserve">۲. یزد؛ وزیری؛ شماره نسخه: ۹۶۸/۷</w:t>
      </w:r>
    </w:p>
    <w:p>
      <w:pPr>
        <w:pStyle w:val="BookText"/>
      </w:pPr>
      <w:r>
        <w:rPr>
          <w:rFonts w:ascii="IRNazanin" w:hAnsi="IRNazanin" w:eastAsia="IRNazanin" w:cs="IRNazanin"/>
          <w:lang w:bidi="fa-IR"/>
          <w:color w:val="111111"/>
          <w:sz w:val="28"/>
          <w:szCs w:val="28"/>
          <w:rtl/>
        </w:rPr>
        <w:t xml:space="preserve">آغاز: شیخ ابن بابويه عليه الرحمه و غیر او بسند معتبر روایت کرده اند که شخصی از حضرت امام على التقى(علیه السّلام) سؤال نمـود که؛ انجام: و عاقل در این واقعه چنین خواهد نمود.</w:t>
      </w:r>
    </w:p>
    <w:p>
      <w:pPr>
        <w:pStyle w:val="BookText"/>
      </w:pPr>
      <w:r>
        <w:rPr>
          <w:rFonts w:ascii="IRNazanin" w:hAnsi="IRNazanin" w:eastAsia="IRNazanin" w:cs="IRNazanin"/>
          <w:lang w:bidi="fa-IR"/>
          <w:color w:val="111111"/>
          <w:sz w:val="28"/>
          <w:szCs w:val="28"/>
          <w:rtl/>
        </w:rPr>
        <w:t xml:space="preserve">احادیث و اشعار متفرقه است ؛خط: نسخ، بی کا، تا: قرن ۱۳؛ واقف: غلامرضا توکلی ؛کاغذ: فرنگی، جلد: مقوایی با تیماج ماشی نرم ضربی، ۵۸گ، ۱۵ سطر(8</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 [ ف: ۲ - ۷۹۶]</w:t>
      </w:r>
    </w:p>
    <w:p>
      <w:pPr>
        <w:pStyle w:val="BookText"/>
      </w:pPr>
      <w:r>
        <w:rPr>
          <w:rFonts w:ascii="IRNazanin" w:hAnsi="IRNazanin" w:eastAsia="IRNazanin" w:cs="IRNazanin"/>
          <w:lang w:bidi="fa-IR"/>
          <w:color w:val="111111"/>
          <w:sz w:val="28"/>
          <w:szCs w:val="28"/>
          <w:rtl/>
        </w:rPr>
        <w:t xml:space="preserve">3.قم؛ گلپایگانی؛ شماره نسخه :7659- 39/39</w:t>
      </w:r>
    </w:p>
    <w:p>
      <w:pPr>
        <w:pStyle w:val="BookText"/>
      </w:pPr>
      <w:r>
        <w:rPr>
          <w:rFonts w:ascii="IRNazanin" w:hAnsi="IRNazanin" w:eastAsia="IRNazanin" w:cs="IRNazanin"/>
          <w:lang w:bidi="fa-IR"/>
          <w:color w:val="111111"/>
          <w:sz w:val="28"/>
          <w:szCs w:val="28"/>
          <w:rtl/>
        </w:rPr>
        <w:t xml:space="preserve">آغاز: ذکر توجه بهرام چوبین بحرب خسرو انهزام پرویز در . ...ذكر سلطنت خسرو پرویز در کامل التواریخ از معنی لفظ پرویز بمظفر تعبیر کرده اند؛ انجام: ذكر حال یعقوب اسرائيل الله على نبينا عليه السلام و حضرت یعقوب (علیه السّلام) از کبار انبیاء مرسل است ... بخواب رقت و در واقعه دید که در فضای هوا</w:t>
      </w:r>
    </w:p>
    <w:p>
      <w:pPr>
        <w:pStyle w:val="BookText"/>
      </w:pPr>
      <w:r>
        <w:rPr>
          <w:rFonts w:ascii="IRNazanin" w:hAnsi="IRNazanin" w:eastAsia="IRNazanin" w:cs="IRNazanin"/>
          <w:lang w:bidi="fa-IR"/>
          <w:color w:val="111111"/>
          <w:sz w:val="28"/>
          <w:szCs w:val="28"/>
          <w:rtl/>
        </w:rPr>
        <w:t xml:space="preserve">یاد داشت های پراکنده ای است در موضوعات مختلفی چون تاریخ ادب و حدیث، از جمله: داستان های پیامبران و سلاطین و اشعاری از نظیری و چند برگ از ترجمه قطب شاهی که ترجمه اربعین شیخ بهایی است؛ خط: نستعلیق، بی کا، بی تا؛ افتادگی: آغاز و انجام؛ جلد: گالینگور قهوه ای، ۱۰۰گ، ۱۶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۲۷سم [ف: ۳ - ۱۲۶۲]</w:t>
      </w:r>
    </w:p>
    <w:p>
      <w:pPr>
        <w:pStyle w:val="Heading3"/>
      </w:pPr>
      <w:bookmarkStart w:id="2084" w:name="_Toc1606"/>
      <w:r>
        <w:t>اشعار و ادعیه / متفرقه / فارسی</w:t>
      </w:r>
      <w:bookmarkEnd w:id="2084"/>
    </w:p>
    <w:p>
      <w:pPr>
        <w:pStyle w:val="BookText"/>
      </w:pPr>
      <w:r>
        <w:rPr>
          <w:rFonts w:ascii="Times New Roman" w:hAnsi="Times New Roman" w:eastAsia="Times New Roman" w:cs="Times New Roman"/>
          <w:lang w:val="en-US" w:bidi="en-US"/>
          <w:color w:val="111111"/>
          <w:sz w:val="28"/>
          <w:szCs w:val="28"/>
          <w:rtl/>
        </w:rPr>
        <w:t xml:space="preserve">aš‘ār va ad‘īye</w:t>
      </w:r>
    </w:p>
    <w:p>
      <w:pPr>
        <w:pStyle w:val="BookText"/>
      </w:pPr>
      <w:r>
        <w:rPr>
          <w:rFonts w:ascii="IRNazanin" w:hAnsi="IRNazanin" w:eastAsia="IRNazanin" w:cs="IRNazanin"/>
          <w:lang w:bidi="fa-IR"/>
          <w:color w:val="111111"/>
          <w:sz w:val="28"/>
          <w:szCs w:val="28"/>
          <w:rtl/>
        </w:rPr>
        <w:t xml:space="preserve">محمد بن حاجی محمود، ق۱۳ قمری</w:t>
      </w:r>
    </w:p>
    <w:p>
      <w:pPr>
        <w:pStyle w:val="BookText"/>
      </w:pPr>
      <w:r>
        <w:rPr>
          <w:rFonts w:ascii="Times New Roman" w:hAnsi="Times New Roman" w:eastAsia="Times New Roman" w:cs="Times New Roman"/>
          <w:lang w:val="en-US" w:bidi="en-US"/>
          <w:color w:val="111111"/>
          <w:sz w:val="28"/>
          <w:szCs w:val="28"/>
          <w:rtl/>
        </w:rPr>
        <w:t xml:space="preserve">(mohammad ebn-e hājī mahmūd (- 19c)</w:t>
      </w:r>
    </w:p>
    <w:p>
      <w:pPr>
        <w:pStyle w:val="BookText"/>
      </w:pPr>
      <w:r>
        <w:rPr>
          <w:rFonts w:ascii="IRNazanin" w:hAnsi="IRNazanin" w:eastAsia="IRNazanin" w:cs="IRNazanin"/>
          <w:lang w:bidi="fa-IR"/>
          <w:color w:val="111111"/>
          <w:sz w:val="28"/>
          <w:szCs w:val="28"/>
          <w:rtl/>
        </w:rPr>
        <w:t xml:space="preserve">اشعار، ادعیه و مطالب متفرقه ای است که بیشتر آن در سال های ۱۲۴۱-۱۲۴۰ نگاشته شده و تاریخ های ایاب و ذهابی مربوط بدین تاریخ را نیز ثبت کرده است.</w:t>
      </w:r>
    </w:p>
    <w:p>
      <w:pPr>
        <w:pStyle w:val="BookText"/>
      </w:pPr>
      <w:r>
        <w:rPr>
          <w:rFonts w:ascii="IRNazanin" w:hAnsi="IRNazanin" w:eastAsia="IRNazanin" w:cs="IRNazanin"/>
          <w:lang w:bidi="fa-IR"/>
          <w:color w:val="111111"/>
          <w:sz w:val="28"/>
          <w:szCs w:val="28"/>
          <w:rtl/>
        </w:rPr>
        <w:t xml:space="preserve">قم؛ ارگانی بهبهانی؛ شماره نسخه: ۹۹</w:t>
      </w:r>
    </w:p>
    <w:p>
      <w:pPr>
        <w:pStyle w:val="BookText"/>
      </w:pPr>
      <w:r>
        <w:rPr>
          <w:rFonts w:ascii="IRNazanin" w:hAnsi="IRNazanin" w:eastAsia="IRNazanin" w:cs="IRNazanin"/>
          <w:lang w:bidi="fa-IR"/>
          <w:color w:val="111111"/>
          <w:sz w:val="28"/>
          <w:szCs w:val="28"/>
          <w:rtl/>
        </w:rPr>
        <w:t xml:space="preserve">خط: نستعلیق، بی کا ،تا: قرن ۱۳؛ راسته و ،چلیپا، بعضی از مطالب نسخ زیبا و به خطوط دیگر غیر از مؤلف، نسخه بیاضی، در آغاز یادداشتی است بدین مضمون: «مادرسلیمان سبزواری غره ذوالقعد چهل یکقران برده سنه ،۱۲۸۶، سکینه خانم بیست قرآن برده غره شهر مذکور»؛ جلد: تیماج قهوه ای ضربی بدون مقوا، ۲۰۸گ، مختلف السطر، اندازه: 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۷۹]</w:t>
      </w:r>
    </w:p>
    <w:p>
      <w:pPr>
        <w:pStyle w:val="Heading3"/>
      </w:pPr>
      <w:bookmarkStart w:id="2085" w:name="_Toc1607"/>
      <w:r>
        <w:t>اشعار و ادعیه / شعر، دعا / عربی – فارسی</w:t>
      </w:r>
      <w:bookmarkEnd w:id="2085"/>
    </w:p>
    <w:p>
      <w:pPr>
        <w:pStyle w:val="BookText"/>
      </w:pPr>
      <w:r>
        <w:rPr>
          <w:rFonts w:ascii="Times New Roman" w:hAnsi="Times New Roman" w:eastAsia="Times New Roman" w:cs="Times New Roman"/>
          <w:lang w:val="en-US" w:bidi="en-US"/>
          <w:color w:val="111111"/>
          <w:sz w:val="28"/>
          <w:szCs w:val="28"/>
          <w:rtl/>
        </w:rPr>
        <w:t xml:space="preserve">aš‘ār va ad‘īye</w:t>
      </w:r>
    </w:p>
    <w:p>
      <w:pPr>
        <w:pStyle w:val="BookText"/>
      </w:pPr>
      <w:r>
        <w:rPr>
          <w:rFonts w:ascii="IRNazanin" w:hAnsi="IRNazanin" w:eastAsia="IRNazanin" w:cs="IRNazanin"/>
          <w:lang w:bidi="fa-IR"/>
          <w:color w:val="111111"/>
          <w:sz w:val="28"/>
          <w:szCs w:val="28"/>
          <w:rtl/>
        </w:rPr>
        <w:t xml:space="preserve">غیر همانند:</w:t>
      </w:r>
    </w:p>
    <w:p>
      <w:pPr>
        <w:pStyle w:val="BookText"/>
      </w:pPr>
      <w:r>
        <w:rPr>
          <w:rFonts w:ascii="IRNazanin" w:hAnsi="IRNazanin" w:eastAsia="IRNazanin" w:cs="IRNazanin"/>
          <w:lang w:bidi="fa-IR"/>
          <w:color w:val="111111"/>
          <w:sz w:val="28"/>
          <w:szCs w:val="28"/>
          <w:rtl/>
        </w:rPr>
        <w:t xml:space="preserve">۱. قم؛ گلپایگانی؛ شماره نسخه: ۵۰۹۹-۲۵/۱۸۹</w:t>
      </w:r>
    </w:p>
    <w:p>
      <w:pPr>
        <w:pStyle w:val="BookText"/>
      </w:pPr>
      <w:r>
        <w:rPr>
          <w:rFonts w:ascii="IRNazanin" w:hAnsi="IRNazanin" w:eastAsia="IRNazanin" w:cs="IRNazanin"/>
          <w:lang w:bidi="fa-IR"/>
          <w:color w:val="111111"/>
          <w:sz w:val="28"/>
          <w:szCs w:val="28"/>
          <w:rtl/>
        </w:rPr>
        <w:t xml:space="preserve">آغاز: بسی کوه خاور بشد آشکار *** برگردید غالب برآن شام تار / در فتنه شد باز روز دگر*** خبر دار سازم شما را زسر؛</w:t>
      </w:r>
    </w:p>
    <w:p>
      <w:pPr>
        <w:pStyle w:val="BookText"/>
      </w:pPr>
      <w:r>
        <w:rPr>
          <w:rFonts w:ascii="IRNazanin" w:hAnsi="IRNazanin" w:eastAsia="IRNazanin" w:cs="IRNazanin"/>
          <w:lang w:bidi="fa-IR"/>
          <w:color w:val="111111"/>
          <w:sz w:val="28"/>
          <w:szCs w:val="28"/>
          <w:rtl/>
        </w:rPr>
        <w:t xml:space="preserve">انجام: ای عزیزان چه بسازیم غم دوران با هم*** بدو قسمت بنماییم نه زیاد و نه کم</w:t>
      </w:r>
    </w:p>
    <w:p>
      <w:pPr>
        <w:pStyle w:val="BookText"/>
      </w:pPr>
      <w:r>
        <w:rPr>
          <w:rFonts w:ascii="IRNazanin" w:hAnsi="IRNazanin" w:eastAsia="IRNazanin" w:cs="IRNazanin"/>
          <w:lang w:bidi="fa-IR"/>
          <w:color w:val="111111"/>
          <w:sz w:val="28"/>
          <w:szCs w:val="28"/>
          <w:rtl/>
        </w:rPr>
        <w:t xml:space="preserve">مجموعه ای است شامل چند دعا و شعر با این عنوان ها: دعای عظیم
</w:t>
      </w:r>
    </w:p>
    <w:p>
      <w:pPr>
        <w:sectPr>
          <w:footerReference w:type="default" r:id="rId1013"/>
          <w:footnotePr>
            <w:numStart w:val="1"/>
            <w:numRestart w:val="eachPage"/>
          </w:footnotePr>
          <w:pgSz w:orient="portrait" w:w="11905.511811023622" w:h="16837.79527559055"/>
          <w:pgMar w:top="1440" w:right="1440" w:bottom="1440" w:left="1440" w:header="720" w:footer="720" w:gutter="0"/>
          <w:cols w:num="1" w:space="720"/>
        </w:sectPr>
      </w:pPr>
    </w:p>
    <w:bookmarkStart w:id="459" w:name="pg20365_260949"/>
    <w:bookmarkEnd w:id="459"/>
    <w:p>
      <w:pPr>
        <w:pStyle w:val="BookText"/>
      </w:pPr>
      <w:r>
        <w:rPr>
          <w:rFonts w:ascii="IRNazanin" w:hAnsi="IRNazanin" w:eastAsia="IRNazanin" w:cs="IRNazanin"/>
          <w:lang w:bidi="fa-IR"/>
          <w:color w:val="111111"/>
          <w:sz w:val="28"/>
          <w:szCs w:val="28"/>
          <w:rtl/>
        </w:rPr>
        <w:t xml:space="preserve">الشأن، نادعلى کبیر، دعای قدح، دعای جمیل، دعای نور، دعای فتح، دعای بزرگوار، وصیت نامه جناب پیغمبر (همان که به اسم شيخ احمد تکثیر شده است)، داستان قاضی بغداد، اشعاری به فارسی بدون ذکر نام شاعر ؛ خط: نسخ تحریری، بی کا،تا: ۱۲۶۹ق، جلد: کاغذی، ۴۴گ، مختلف السطر ،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  سم[ ف: ۳ - ۱۲۲۲]</w:t>
      </w:r>
    </w:p>
    <w:p>
      <w:pPr>
        <w:pStyle w:val="BookText"/>
      </w:pPr>
      <w:r>
        <w:rPr>
          <w:rFonts w:ascii="IRNazanin" w:hAnsi="IRNazanin" w:eastAsia="IRNazanin" w:cs="IRNazanin"/>
          <w:lang w:bidi="fa-IR"/>
          <w:color w:val="111111"/>
          <w:sz w:val="28"/>
          <w:szCs w:val="28"/>
          <w:rtl/>
        </w:rPr>
        <w:t xml:space="preserve">۲. قم؛ گلپایگانی؛ شماره نسخه: ۷۷۵۰-۳۹/۱۳۰</w:t>
      </w:r>
    </w:p>
    <w:p>
      <w:pPr>
        <w:pStyle w:val="BookText"/>
      </w:pPr>
      <w:r>
        <w:rPr>
          <w:rFonts w:ascii="IRNazanin" w:hAnsi="IRNazanin" w:eastAsia="IRNazanin" w:cs="IRNazanin"/>
          <w:lang w:bidi="fa-IR"/>
          <w:color w:val="111111"/>
          <w:sz w:val="28"/>
          <w:szCs w:val="28"/>
          <w:rtl/>
        </w:rPr>
        <w:t xml:space="preserve">آغاز: همچو من خطاکاری همچو او خطاپوشی *** بنگرد کجا چشمی بشنود کجا گوشی؛ انجام: ۳۰ وفات امام محمد تقی(علیه السّلام) سنه ۲۲۰ کشف امارت تفویض حضرت امام حسن (علیه السّلام) شد</w:t>
      </w:r>
    </w:p>
    <w:p>
      <w:pPr>
        <w:pStyle w:val="BookText"/>
      </w:pPr>
      <w:r>
        <w:rPr>
          <w:rFonts w:ascii="IRNazanin" w:hAnsi="IRNazanin" w:eastAsia="IRNazanin" w:cs="IRNazanin"/>
          <w:lang w:bidi="fa-IR"/>
          <w:color w:val="111111"/>
          <w:sz w:val="28"/>
          <w:szCs w:val="28"/>
          <w:rtl/>
        </w:rPr>
        <w:t xml:space="preserve">جنگی است شامل منتخب اشعار شاعران فارسی زبان همچـون نظیری نیشابوری ،انوری،امیر خسرو و دیگران و نیز ادعیه ای به نقل از صحیفه علویه با ترجمه فارسی دعاها از جمله دعـای کمیل و صفحاتی در معرفت موسیقی با دایره ای درباره موسیقات، و در پایان وقایع ایام سال را به ترتیب ماه های قمری آورده است</w:t>
      </w:r>
    </w:p>
    <w:p>
      <w:pPr>
        <w:pStyle w:val="BookText"/>
      </w:pPr>
      <w:r>
        <w:rPr>
          <w:rFonts w:ascii="IRNazanin" w:hAnsi="IRNazanin" w:eastAsia="IRNazanin" w:cs="IRNazanin"/>
          <w:lang w:bidi="fa-IR"/>
          <w:color w:val="111111"/>
          <w:sz w:val="28"/>
          <w:szCs w:val="28"/>
          <w:rtl/>
        </w:rPr>
        <w:t xml:space="preserve">از محرم تا ذیحجه؛ خط: نستعلیق، بی کا، تا: ۱۳۰۳ق، جلد: عطف گالینگور قهوه ای، ۶۴گ، ۲۰ ،سطر، اندازه: ۱۷/۵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 سم[ ف: ۳ - ۱۲۶۳]</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قم؛گلپایگانی؛ شماره نسخه: ۷۹۰۶-۳۹/۲۸۶</w:t>
      </w:r>
    </w:p>
    <w:p>
      <w:pPr>
        <w:pStyle w:val="BookText"/>
      </w:pPr>
      <w:r>
        <w:rPr>
          <w:rFonts w:ascii="IRNazanin" w:hAnsi="IRNazanin" w:eastAsia="IRNazanin" w:cs="IRNazanin"/>
          <w:lang w:bidi="fa-IR"/>
          <w:color w:val="111111"/>
          <w:sz w:val="28"/>
          <w:szCs w:val="28"/>
          <w:rtl/>
        </w:rPr>
        <w:t xml:space="preserve">آغاز: بک الی الله وقد مناك بين يدى حاجاتنا في الدنيا والاخرة يا وجيهاً عند الله اللهم ان هولاء ائمتى وسادتی؛ انجام: وا اسفاه علیک یابن امیرالمؤمنين والهفاه عليك يابن فاطمة الزهراء السـلام علیک یا علی بن الحسين الذبيح</w:t>
      </w:r>
    </w:p>
    <w:p>
      <w:pPr>
        <w:pStyle w:val="BookText"/>
      </w:pPr>
      <w:r>
        <w:rPr>
          <w:rFonts w:ascii="IRNazanin" w:hAnsi="IRNazanin" w:eastAsia="IRNazanin" w:cs="IRNazanin"/>
          <w:lang w:bidi="fa-IR"/>
          <w:color w:val="111111"/>
          <w:sz w:val="28"/>
          <w:szCs w:val="28"/>
          <w:rtl/>
        </w:rPr>
        <w:t xml:space="preserve">بیاضی است شامل ادعیه، زیارات و اشعاری در مراثی و غیر آن، از جمله: صلواتیه، دعای سحر مختصر زیارت سید الشهداء و زیارت ائمه سرمن رای، اعمال مسجد کوفه و سهله، سوره یس، چند نمونه از مراسلات و سند نویسی، فال نامه منظوم کلام الله مجيد، فال نامه منسوب به امیرالمؤمنين(علیه السّلام)، مدخل منظوم که به خواجه نصیر طوسی و خجندی نسبت داده اند و ....؛ خط: نسخ و نستعلیق، بی کا، تا: قرن ۱۲ و ۱۳؛ افتادگی: آغاز و انجام؛ جـلد :مقوا، عطف گالینگور قهوه ای ۹۰گ، ۱۶ سطر، اندازه: 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۱۶/۵سم [ف: ۳ - ۱۲۶۳]</w:t>
      </w:r>
    </w:p>
    <w:p>
      <w:pPr>
        <w:pStyle w:val="BookText"/>
      </w:pPr>
      <w:r>
        <w:rPr>
          <w:rFonts w:ascii="IRNazanin" w:hAnsi="IRNazanin" w:eastAsia="IRNazanin" w:cs="IRNazanin"/>
          <w:lang w:bidi="fa-IR"/>
          <w:color w:val="111111"/>
          <w:sz w:val="28"/>
          <w:szCs w:val="28"/>
          <w:rtl/>
        </w:rPr>
        <w:t xml:space="preserve">۴. تهران؛ ملی؛ شماره نسخه: ۲۱۳۴</w:t>
      </w:r>
    </w:p>
    <w:p>
      <w:pPr>
        <w:pStyle w:val="BookText"/>
      </w:pPr>
      <w:r>
        <w:rPr>
          <w:rFonts w:ascii="IRNazanin" w:hAnsi="IRNazanin" w:eastAsia="IRNazanin" w:cs="IRNazanin"/>
          <w:lang w:bidi="fa-IR"/>
          <w:color w:val="111111"/>
          <w:sz w:val="28"/>
          <w:szCs w:val="28"/>
          <w:rtl/>
        </w:rPr>
        <w:t xml:space="preserve">مطالب این جنگ عبارت است از: قطعه ای به شعر فارسی وحشی بافقی (ص (۱) خطبه علی بن ابیطالب به وقت ازدواج با فاطمه زهراء، مقدمه و قسمتی از دعای کمیل قطعاتی ازمیرزا رفيع واعظ قزوینی و میرزا علی رضای تجلی و حاجی میرزا محمد مؤمنا (۶-۲۸)، شجره نامه اقل السادات سید حسن که به تاریخ ۱۳۲۰ق در تهران کتابت شده (۳۰-۳۱)، یک نسـخه داروئی و یک دعا و چند قطعه شعر و یک یادگاری که در آن خانه ای معرفی شده است (۳۳-۳۹)، یک سلسله ادعیه به نام هـفت حصار (۴۸-۱۳۶) مختصری در علم رمل و مطالبی در معاد و چند قطعه شعر (۱۳۸ -۱۴۳) تعدادی ادعیه و حرز که مهمترین آنها دعای جوشن کبیر است و تاریخ کتابت آن سال ۱۰۷۸ق (کتابت نسخه در رشت به دست محمد قاسم بن محمد بن محمد</w:t>
      </w:r>
    </w:p>
    <w:p>
      <w:pPr>
        <w:pStyle w:val="BookText"/>
      </w:pPr>
      <w:r>
        <w:rPr>
          <w:rFonts w:ascii="IRNazanin" w:hAnsi="IRNazanin" w:eastAsia="IRNazanin" w:cs="IRNazanin"/>
          <w:lang w:bidi="fa-IR"/>
          <w:color w:val="111111"/>
          <w:sz w:val="28"/>
          <w:szCs w:val="28"/>
          <w:rtl/>
        </w:rPr>
        <w:t xml:space="preserve">رضا رشتی افتاده است)، از ۲۶۱ تا ۲۸۶ تواریخ زیر به نظر می آید :«1146» و «1166» و « 1158» و « 1163» و « 1170» 1171ق وهمگی تاریخ تولد فرزندان نویسنده،اند، در ۲۸۸ و ۲۸۹ یک دعا مسطور است؛ خط: نستعلیق و نسخ و شکسته نستعلیق، کا: محمد قاسم، تا قرن های ۱۱ و ۱۲ و ۱۴ق، جا: رشت؛ بعضی صفحات با خطوط حمایلی؛ کاغذ: اصفهانی و فرنگی، جلد: تیماج قرمز مقوایی، ۱۴۵گ، ۱۱ سطر (۴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9</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سم [ف: 5- 188]</w:t>
      </w:r>
    </w:p>
    <w:p>
      <w:pPr>
        <w:pStyle w:val="BookText"/>
      </w:pPr>
      <w:r>
        <w:rPr>
          <w:rFonts w:ascii="IRNazanin" w:hAnsi="IRNazanin" w:eastAsia="IRNazanin" w:cs="IRNazanin"/>
          <w:lang w:bidi="fa-IR"/>
          <w:color w:val="111111"/>
          <w:sz w:val="28"/>
          <w:szCs w:val="28"/>
          <w:rtl/>
        </w:rPr>
        <w:t xml:space="preserve">۵. یزد ؛کاظمینی؛ شماره نسخه: ۱۲۹</w:t>
      </w:r>
    </w:p>
    <w:p>
      <w:pPr>
        <w:pStyle w:val="BookText"/>
      </w:pPr>
      <w:r>
        <w:rPr>
          <w:rFonts w:ascii="IRNazanin" w:hAnsi="IRNazanin" w:eastAsia="IRNazanin" w:cs="IRNazanin"/>
          <w:lang w:bidi="fa-IR"/>
          <w:color w:val="111111"/>
          <w:sz w:val="28"/>
          <w:szCs w:val="28"/>
          <w:rtl/>
        </w:rPr>
        <w:t xml:space="preserve">در این بیاض مطالب ذیل آمده است: اشعاری در مراثی ائمه معصومین و وقایع کربلا به نظم و نثر، زیارت امین الله، زیارت عاشورا، دعای سحر، سوره یس، زیارت امام حسین (علیه السّلام)، اعمال ماه رمضان، ادعیه روزهای ماه مبارک رمضان؛ خط: نسخ، بی کا، تا: قرن ۱۳؛ جلد: تیماج مشکی بدون مقوا. پشت افتاده، ۱۵۷گ، مختلف السطر، اندازه: ۱۱/۵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۲۲سم[ف: ۱ - ۱۱۹]</w:t>
      </w:r>
    </w:p>
    <w:p>
      <w:pPr>
        <w:pStyle w:val="BookText"/>
      </w:pPr>
      <w:r>
        <w:rPr>
          <w:rFonts w:ascii="IRNazanin" w:hAnsi="IRNazanin" w:eastAsia="IRNazanin" w:cs="IRNazanin"/>
          <w:lang w:bidi="fa-IR"/>
          <w:color w:val="111111"/>
          <w:sz w:val="28"/>
          <w:szCs w:val="28"/>
          <w:rtl/>
        </w:rPr>
        <w:t xml:space="preserve">۶. تهران؛ سعید نفیسی؛ شماره نسخه: ۳۳</w:t>
      </w:r>
    </w:p>
    <w:p>
      <w:pPr>
        <w:pStyle w:val="BookText"/>
      </w:pPr>
      <w:r>
        <w:rPr>
          <w:rFonts w:ascii="IRNazanin" w:hAnsi="IRNazanin" w:eastAsia="IRNazanin" w:cs="IRNazanin"/>
          <w:lang w:bidi="fa-IR"/>
          <w:color w:val="111111"/>
          <w:sz w:val="28"/>
          <w:szCs w:val="28"/>
          <w:rtl/>
        </w:rPr>
        <w:t xml:space="preserve">بياض اشعار و ادعیه است؛ بی کا، بی تا [نشریه: ۷ - ۶۸۸]</w:t>
      </w:r>
    </w:p>
    <w:p>
      <w:pPr>
        <w:pStyle w:val="Heading3"/>
      </w:pPr>
      <w:bookmarkStart w:id="2086" w:name="_Toc1608"/>
      <w:r>
        <w:t>اشعار و اسناد صفویه / شعر ، اسناد / فارسی</w:t>
      </w:r>
      <w:bookmarkEnd w:id="2086"/>
    </w:p>
    <w:p>
      <w:pPr>
        <w:pStyle w:val="BookText"/>
      </w:pPr>
      <w:r>
        <w:rPr>
          <w:rFonts w:ascii="Times New Roman" w:hAnsi="Times New Roman" w:eastAsia="Times New Roman" w:cs="Times New Roman"/>
          <w:lang w:val="en-US" w:bidi="en-US"/>
          <w:color w:val="111111"/>
          <w:sz w:val="28"/>
          <w:szCs w:val="28"/>
          <w:rtl/>
        </w:rPr>
        <w:t xml:space="preserve">aš‘ār va asnād-e safavīye</w:t>
      </w:r>
    </w:p>
    <w:p>
      <w:pPr>
        <w:pStyle w:val="BookText"/>
      </w:pPr>
      <w:r>
        <w:rPr>
          <w:rFonts w:ascii="IRNazanin" w:hAnsi="IRNazanin" w:eastAsia="IRNazanin" w:cs="IRNazanin"/>
          <w:lang w:bidi="fa-IR"/>
          <w:color w:val="111111"/>
          <w:sz w:val="28"/>
          <w:szCs w:val="28"/>
          <w:rtl/>
        </w:rPr>
        <w:t xml:space="preserve">تهران؛ مجلس؛ شماره نسخه: ۱۵۰۸۰</w:t>
      </w:r>
    </w:p>
    <w:p>
      <w:pPr>
        <w:pStyle w:val="BookText"/>
      </w:pPr>
      <w:r>
        <w:rPr>
          <w:rFonts w:ascii="IRNazanin" w:hAnsi="IRNazanin" w:eastAsia="IRNazanin" w:cs="IRNazanin"/>
          <w:lang w:bidi="fa-IR"/>
          <w:color w:val="111111"/>
          <w:sz w:val="28"/>
          <w:szCs w:val="28"/>
          <w:rtl/>
        </w:rPr>
        <w:t xml:space="preserve">جنگ اشعار و اسناد صفویه است؛ خط: نستعلیق، بی کا، تا: قرن  ۱۱ - ۱۲ [مختصر: ف: - ۲۳۴]</w:t>
      </w:r>
    </w:p>
    <w:p>
      <w:pPr>
        <w:pStyle w:val="Heading3"/>
      </w:pPr>
      <w:bookmarkStart w:id="2087" w:name="_Toc1609"/>
      <w:r>
        <w:t>اشعار و امثال / ادبیات / عربی</w:t>
      </w:r>
      <w:bookmarkEnd w:id="2087"/>
    </w:p>
    <w:p>
      <w:pPr>
        <w:pStyle w:val="BookText"/>
      </w:pPr>
      <w:r>
        <w:rPr>
          <w:rFonts w:ascii="Times New Roman" w:hAnsi="Times New Roman" w:eastAsia="Times New Roman" w:cs="Times New Roman"/>
          <w:lang w:val="en-US" w:bidi="en-US"/>
          <w:color w:val="111111"/>
          <w:sz w:val="28"/>
          <w:szCs w:val="28"/>
          <w:rtl/>
        </w:rPr>
        <w:t xml:space="preserve">aš‘ār va amsāl</w:t>
      </w:r>
    </w:p>
    <w:p>
      <w:pPr>
        <w:pStyle w:val="BookText"/>
      </w:pPr>
      <w:r>
        <w:rPr>
          <w:rFonts w:ascii="IRNazanin" w:hAnsi="IRNazanin" w:eastAsia="IRNazanin" w:cs="IRNazanin"/>
          <w:lang w:bidi="fa-IR"/>
          <w:color w:val="111111"/>
          <w:sz w:val="28"/>
          <w:szCs w:val="28"/>
          <w:rtl/>
        </w:rPr>
        <w:t xml:space="preserve">غیر همانند: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ملی؛ شماره نسخه: ۱۷۷</w:t>
      </w:r>
    </w:p>
    <w:p>
      <w:pPr>
        <w:pStyle w:val="BookText"/>
      </w:pPr>
      <w:r>
        <w:rPr>
          <w:rFonts w:ascii="IRNazanin" w:hAnsi="IRNazanin" w:eastAsia="IRNazanin" w:cs="IRNazanin"/>
          <w:lang w:bidi="fa-IR"/>
          <w:color w:val="111111"/>
          <w:sz w:val="28"/>
          <w:szCs w:val="28"/>
          <w:rtl/>
        </w:rPr>
        <w:t xml:space="preserve">آغاز: عن علی بن ربیعه قال شهدت عليا رضى الله عنه؛ انجام: ان الشربا لشر يلحف و فرالی الله و حب احباه و احذر</w:t>
      </w:r>
    </w:p>
    <w:p>
      <w:pPr>
        <w:pStyle w:val="BookText"/>
      </w:pPr>
      <w:r>
        <w:rPr>
          <w:rFonts w:ascii="IRNazanin" w:hAnsi="IRNazanin" w:eastAsia="IRNazanin" w:cs="IRNazanin"/>
          <w:lang w:bidi="fa-IR"/>
          <w:color w:val="111111"/>
          <w:sz w:val="28"/>
          <w:szCs w:val="28"/>
          <w:rtl/>
        </w:rPr>
        <w:t xml:space="preserve">این رساله که مجموعه ای از اشعار و امثال عرب است چون مقدمه و موخره آن افتاده نام گردآورنده آن به دست نیامد. در آن هر مثل عربی که آورده می شود با مقدمه ای که حاکی از سلسله راویان آن است به همراه می باشد این ناقلان می گویند که این مثل از چه حکایتی ناشی شده و یا در مجلس چه بزرگی گفته شده است؛ خط: نسخ، بی کا، تا: قرن ۱۱؛ افتادگی: آغاز و انجام؛ کاغذ: اصفهانی ،جلد: تیماج سبز یک لا، ۱۲۰گ، ۲۳ 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۷ - ۱۵۴]</w:t>
      </w:r>
    </w:p>
    <w:p>
      <w:pPr>
        <w:pStyle w:val="BookText"/>
      </w:pPr>
      <w:r>
        <w:rPr>
          <w:rFonts w:ascii="IRNazanin" w:hAnsi="IRNazanin" w:eastAsia="IRNazanin" w:cs="IRNazanin"/>
          <w:lang w:bidi="fa-IR"/>
          <w:color w:val="111111"/>
          <w:sz w:val="28"/>
          <w:szCs w:val="28"/>
          <w:rtl/>
        </w:rPr>
        <w:t xml:space="preserve">۲ .تهران ؛ملک؛ شماره نسخه: ۵۲۱۲</w:t>
      </w:r>
    </w:p>
    <w:p>
      <w:pPr>
        <w:pStyle w:val="BookText"/>
      </w:pPr>
      <w:r>
        <w:rPr>
          <w:rFonts w:ascii="IRNazanin" w:hAnsi="IRNazanin" w:eastAsia="IRNazanin" w:cs="IRNazanin"/>
          <w:lang w:bidi="fa-IR"/>
          <w:color w:val="111111"/>
          <w:sz w:val="28"/>
          <w:szCs w:val="28"/>
          <w:rtl/>
        </w:rPr>
        <w:t xml:space="preserve">اشعار و امثال جنگ مانندی است. برخی توضیحات به خط کاتب
</w:t>
      </w:r>
    </w:p>
    <w:p>
      <w:pPr>
        <w:sectPr>
          <w:footerReference w:type="default" r:id="rId1014"/>
          <w:footnotePr>
            <w:numStart w:val="1"/>
            <w:numRestart w:val="eachPage"/>
          </w:footnotePr>
          <w:pgSz w:orient="portrait" w:w="11905.511811023622" w:h="16837.79527559055"/>
          <w:pgMar w:top="1440" w:right="1440" w:bottom="1440" w:left="1440" w:header="720" w:footer="720" w:gutter="0"/>
          <w:cols w:num="1" w:space="720"/>
        </w:sectPr>
      </w:pPr>
    </w:p>
    <w:bookmarkStart w:id="460" w:name="pg20365_260950"/>
    <w:bookmarkEnd w:id="460"/>
    <w:p>
      <w:pPr>
        <w:pStyle w:val="BookText"/>
      </w:pPr>
      <w:r>
        <w:rPr>
          <w:rFonts w:ascii="IRNazanin" w:hAnsi="IRNazanin" w:eastAsia="IRNazanin" w:cs="IRNazanin"/>
          <w:lang w:bidi="fa-IR"/>
          <w:color w:val="111111"/>
          <w:sz w:val="28"/>
          <w:szCs w:val="28"/>
          <w:rtl/>
        </w:rPr>
        <w:t xml:space="preserve">بفارسی است؛ خط: شکسته نستعلیق، بی کا، تا: ۱۲۸۲ق، راستـه و چلیپا ؛کاغذ: فرنگی آبی ،جلد: میشن لایی مغزی دار مجدول، ۸۰گ، مختلف السطر، اندازه: ۹/۸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۸ - ۲۴۷]</w:t>
      </w:r>
    </w:p>
    <w:p>
      <w:pPr>
        <w:pStyle w:val="BookText"/>
      </w:pPr>
      <w:r>
        <w:rPr>
          <w:rFonts w:ascii="IRNazanin" w:hAnsi="IRNazanin" w:eastAsia="IRNazanin" w:cs="IRNazanin"/>
          <w:lang w:bidi="fa-IR"/>
          <w:color w:val="111111"/>
          <w:sz w:val="28"/>
          <w:szCs w:val="28"/>
          <w:rtl/>
        </w:rPr>
        <w:t xml:space="preserve">تهران؛ ملی؛ شماره نسخه: ۱۶۹۶/۳</w:t>
      </w:r>
    </w:p>
    <w:p>
      <w:pPr>
        <w:pStyle w:val="BookText"/>
      </w:pPr>
      <w:r>
        <w:rPr>
          <w:rFonts w:ascii="IRNazanin" w:hAnsi="IRNazanin" w:eastAsia="IRNazanin" w:cs="IRNazanin"/>
          <w:lang w:bidi="fa-IR"/>
          <w:color w:val="111111"/>
          <w:sz w:val="28"/>
          <w:szCs w:val="28"/>
          <w:rtl/>
        </w:rPr>
        <w:t xml:space="preserve">آغاز: الخباء فغلب الاعرابى النوم فلما استثقل و ثب عليه؛ انجـام: اللهم اجعلنى من المعتبرين القائلين ربنا ما خلقت هذا باطلا ولا تجعلني في الامور الآخرة عاطلا و باطلا ... قد وقع الفراغ من جـمعه بتفرق البال وسوء الحال في ثلاث و عشرین خلت من آخر الربيعين سنه ثلاث و ثمانين و تسعمائة و هو بعيد عام جلوس سلالة السلاطين السلطان المراد</w:t>
      </w:r>
    </w:p>
    <w:p>
      <w:pPr>
        <w:pStyle w:val="BookText"/>
      </w:pPr>
      <w:r>
        <w:rPr>
          <w:rFonts w:ascii="IRNazanin" w:hAnsi="IRNazanin" w:eastAsia="IRNazanin" w:cs="IRNazanin"/>
          <w:lang w:bidi="fa-IR"/>
          <w:color w:val="111111"/>
          <w:sz w:val="28"/>
          <w:szCs w:val="28"/>
          <w:rtl/>
        </w:rPr>
        <w:t xml:space="preserve">مجموعه ای در اشعار و امثال است. زمان تأليف: ۹۸۳ق اهداء به: سلطان مرادخان بن سلطان سلیم عثمانی (محتملاً). این رساله که ابتدای آن افتاده جای تعدادی ابیات پند آمیز و امثال و حـکم عربی است که جامع آنها به شرح لغات و بیان خواص ادبی و صناعی آنها پرداخته است بر اثر افتادگی قسمت اول نسخه نام او به دست نیامد ولی از طرح کتاب به دست می آید که شاید رساله برای پادشاه عثمانی پرداخته شده است؛ بی کا، بی تا:افتادگی: آغاز؛ کاغذ: فرنگی ،جلد: میشن عنابی، ساده، ۶۹ص (۳۲۹-۲۶۰)، ۱۷ سطر (9/5</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10- 283]</w:t>
      </w:r>
    </w:p>
    <w:p>
      <w:pPr>
        <w:pStyle w:val="Heading3"/>
      </w:pPr>
      <w:bookmarkStart w:id="2088" w:name="_Toc1610"/>
      <w:r>
        <w:t>اشعار و تراجم (منتخب) / شعر, تراجم / فارسی</w:t>
      </w:r>
      <w:bookmarkEnd w:id="2088"/>
    </w:p>
    <w:p>
      <w:pPr>
        <w:pStyle w:val="BookText"/>
      </w:pPr>
      <w:r>
        <w:rPr>
          <w:rFonts w:ascii="Times New Roman" w:hAnsi="Times New Roman" w:eastAsia="Times New Roman" w:cs="Times New Roman"/>
          <w:lang w:val="en-US" w:bidi="en-US"/>
          <w:color w:val="111111"/>
          <w:sz w:val="28"/>
          <w:szCs w:val="28"/>
          <w:rtl/>
        </w:rPr>
        <w:t xml:space="preserve">(aš‘ār va tarājem (mn.)</w:t>
      </w:r>
    </w:p>
    <w:p>
      <w:pPr>
        <w:pStyle w:val="BookText"/>
      </w:pPr>
      <w:r>
        <w:rPr>
          <w:rFonts w:ascii="IRNazanin" w:hAnsi="IRNazanin" w:eastAsia="IRNazanin" w:cs="IRNazanin"/>
          <w:lang w:bidi="fa-IR"/>
          <w:color w:val="111111"/>
          <w:sz w:val="28"/>
          <w:szCs w:val="28"/>
          <w:rtl/>
        </w:rPr>
        <w:t xml:space="preserve">مشهد؛ رضوی؛ شماره نسخه: ۴۹۷۱/۱</w:t>
      </w:r>
    </w:p>
    <w:p>
      <w:pPr>
        <w:pStyle w:val="BookText"/>
      </w:pPr>
      <w:r>
        <w:rPr>
          <w:rFonts w:ascii="IRNazanin" w:hAnsi="IRNazanin" w:eastAsia="IRNazanin" w:cs="IRNazanin"/>
          <w:lang w:bidi="fa-IR"/>
          <w:color w:val="111111"/>
          <w:sz w:val="28"/>
          <w:szCs w:val="28"/>
          <w:rtl/>
        </w:rPr>
        <w:t xml:space="preserve">آغاز: خوشا باد سحر گاهی که بر گلبن گذر دارد ***که هر روزی و هر وقتی یکی حالی دگر دارد؛ انجام: بیتو بردامن گلزار نخفتم یکشب *** که نه در بادیه خار مغیلان بودم</w:t>
      </w:r>
    </w:p>
    <w:p>
      <w:pPr>
        <w:pStyle w:val="BookText"/>
      </w:pPr>
      <w:r>
        <w:rPr>
          <w:rFonts w:ascii="IRNazanin" w:hAnsi="IRNazanin" w:eastAsia="IRNazanin" w:cs="IRNazanin"/>
          <w:lang w:bidi="fa-IR"/>
          <w:color w:val="111111"/>
          <w:sz w:val="28"/>
          <w:szCs w:val="28"/>
          <w:rtl/>
        </w:rPr>
        <w:t xml:space="preserve">منتخبات اشعار و تراجم مختصر بعضی از شعرای متقدم است،از قبیل: عمعق بخاری، رودکی سمرقندی، منجیک ترمدی، شـهید بلخی، جنیدی  تربتی، ابوالفتح بستی، شاه ابوعلی رجای غزنوی، ابوحنیفه اسکافی، عماره مروزی، ابو سراقه بلخی عسجدی، بهرامی سرخسی، قابوس گرگانی، کیکاوس بن قابوس، دقيقی، فخرالدوله مسعود بن نصرت الدین، ابو زراعه گرگانی، کسایی مروزی: امیرابوالحسن علی آغاجی غضایری رازی،بندار رازی، ابو العلاء رازی، ابوالعلاء ششتری، منطقی رازی، علی اسد، قمری؛ خط: نستعلیق، بی کا، تا: قرن ۱۳؛ کاغذ: فرنگی شکری آهار مهره ،جلد: تیماج عنابی، ۶۴ ص (۱-۶۴)، ۱۴ سطر (۸/۵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۲۲/۳سم [ف: ۷ - ۷۷۷]</w:t>
      </w:r>
    </w:p>
    <w:p>
      <w:pPr>
        <w:pStyle w:val="Heading3"/>
      </w:pPr>
      <w:bookmarkStart w:id="2089" w:name="_Toc1611"/>
      <w:r>
        <w:t>اشعار و حالات / شعر / فارسی</w:t>
      </w:r>
      <w:bookmarkEnd w:id="2089"/>
    </w:p>
    <w:p>
      <w:pPr>
        <w:pStyle w:val="BookText"/>
      </w:pPr>
      <w:r>
        <w:rPr>
          <w:rFonts w:ascii="Times New Roman" w:hAnsi="Times New Roman" w:eastAsia="Times New Roman" w:cs="Times New Roman"/>
          <w:lang w:val="en-US" w:bidi="en-US"/>
          <w:color w:val="111111"/>
          <w:sz w:val="28"/>
          <w:szCs w:val="28"/>
          <w:rtl/>
        </w:rPr>
        <w:t xml:space="preserve">aš‘ār va hālāt</w:t>
      </w:r>
    </w:p>
    <w:p>
      <w:pPr>
        <w:pStyle w:val="BookText"/>
      </w:pPr>
      <w:r>
        <w:rPr>
          <w:rFonts w:ascii="IRNazanin" w:hAnsi="IRNazanin" w:eastAsia="IRNazanin" w:cs="IRNazanin"/>
          <w:lang w:bidi="fa-IR"/>
          <w:color w:val="111111"/>
          <w:sz w:val="28"/>
          <w:szCs w:val="28"/>
          <w:rtl/>
        </w:rPr>
        <w:t xml:space="preserve">میرزا قهرمان امین  لشکر، ق ۱۳ قمری</w:t>
      </w:r>
    </w:p>
    <w:p>
      <w:pPr>
        <w:pStyle w:val="BookText"/>
      </w:pPr>
      <w:r>
        <w:rPr>
          <w:rFonts w:ascii="Times New Roman" w:hAnsi="Times New Roman" w:eastAsia="Times New Roman" w:cs="Times New Roman"/>
          <w:lang w:val="en-US" w:bidi="en-US"/>
          <w:color w:val="111111"/>
          <w:sz w:val="28"/>
          <w:szCs w:val="28"/>
          <w:rtl/>
        </w:rPr>
        <w:t xml:space="preserve">(mīrzā qahramān amīn laškar (- 19c)</w:t>
      </w:r>
    </w:p>
    <w:p>
      <w:pPr>
        <w:pStyle w:val="BookText"/>
      </w:pPr>
      <w:r>
        <w:rPr>
          <w:rFonts w:ascii="IRNazanin" w:hAnsi="IRNazanin" w:eastAsia="IRNazanin" w:cs="IRNazanin"/>
          <w:lang w:bidi="fa-IR"/>
          <w:color w:val="111111"/>
          <w:sz w:val="28"/>
          <w:szCs w:val="28"/>
          <w:rtl/>
        </w:rPr>
        <w:t xml:space="preserve">تهران؛ مجلس؛ شماره نسخه: ۹۴۵۰/۲۸</w:t>
      </w:r>
    </w:p>
    <w:p>
      <w:pPr>
        <w:pStyle w:val="BookText"/>
      </w:pPr>
      <w:r>
        <w:rPr>
          <w:rFonts w:ascii="IRNazanin" w:hAnsi="IRNazanin" w:eastAsia="IRNazanin" w:cs="IRNazanin"/>
          <w:lang w:bidi="fa-IR"/>
          <w:color w:val="111111"/>
          <w:sz w:val="28"/>
          <w:szCs w:val="28"/>
          <w:rtl/>
        </w:rPr>
        <w:t xml:space="preserve">اشعار میرزا قهرمان امین لشکر و حالات او؛ خط: نسخ و نستعلیق، کا: میرزا محمد حسن طباطبائی خان منشی اسرار دولتی، تا: قرن ۱۳؛ ۲ ص( ۲۸۶-۲۸۷) [مختصر: ف: - ۶۷]</w:t>
      </w:r>
    </w:p>
    <w:p>
      <w:pPr>
        <w:pStyle w:val="Heading3"/>
      </w:pPr>
      <w:bookmarkStart w:id="2090" w:name="_Toc1612"/>
      <w:r>
        <w:t>اشعار و حکایات / شعر، داستان / فارسی</w:t>
      </w:r>
      <w:bookmarkEnd w:id="2090"/>
    </w:p>
    <w:p>
      <w:pPr>
        <w:pStyle w:val="BookText"/>
      </w:pPr>
      <w:r>
        <w:rPr>
          <w:rFonts w:ascii="Times New Roman" w:hAnsi="Times New Roman" w:eastAsia="Times New Roman" w:cs="Times New Roman"/>
          <w:lang w:val="en-US" w:bidi="en-US"/>
          <w:color w:val="111111"/>
          <w:sz w:val="28"/>
          <w:szCs w:val="28"/>
          <w:rtl/>
        </w:rPr>
        <w:t xml:space="preserve">aš ār va hekāyāt</w:t>
      </w:r>
    </w:p>
    <w:p>
      <w:pPr>
        <w:pStyle w:val="BookText"/>
      </w:pPr>
      <w:r>
        <w:rPr>
          <w:rFonts w:ascii="IRNazanin" w:hAnsi="IRNazanin" w:eastAsia="IRNazanin" w:cs="IRNazanin"/>
          <w:lang w:bidi="fa-IR"/>
          <w:color w:val="111111"/>
          <w:sz w:val="28"/>
          <w:szCs w:val="28"/>
          <w:rtl/>
        </w:rPr>
        <w:t xml:space="preserve">امیرخیزی، اسماعیل بن محمد تقی، ۱۲۵۵  - 1344 شمسی</w:t>
      </w:r>
    </w:p>
    <w:p>
      <w:pPr>
        <w:pStyle w:val="BookText"/>
      </w:pPr>
      <w:r>
        <w:rPr>
          <w:rFonts w:ascii="Times New Roman" w:hAnsi="Times New Roman" w:eastAsia="Times New Roman" w:cs="Times New Roman"/>
          <w:lang w:val="en-US" w:bidi="en-US"/>
          <w:color w:val="111111"/>
          <w:sz w:val="28"/>
          <w:szCs w:val="28"/>
          <w:rtl/>
        </w:rPr>
        <w:t xml:space="preserve">(amir-xizi, esmail ebn-e mohammad taqi (1876 - 1965)</w:t>
      </w:r>
    </w:p>
    <w:p>
      <w:pPr>
        <w:pStyle w:val="BookText"/>
      </w:pPr>
      <w:r>
        <w:rPr>
          <w:rFonts w:ascii="IRNazanin" w:hAnsi="IRNazanin" w:eastAsia="IRNazanin" w:cs="IRNazanin"/>
          <w:lang w:bidi="fa-IR"/>
          <w:color w:val="111111"/>
          <w:sz w:val="28"/>
          <w:szCs w:val="28"/>
          <w:rtl/>
        </w:rPr>
        <w:t xml:space="preserve">تهران؛ مجلس؛ شماره نسخه :۹۸۳۰</w:t>
      </w:r>
    </w:p>
    <w:p>
      <w:pPr>
        <w:pStyle w:val="BookText"/>
      </w:pPr>
      <w:r>
        <w:rPr>
          <w:rFonts w:ascii="IRNazanin" w:hAnsi="IRNazanin" w:eastAsia="IRNazanin" w:cs="IRNazanin"/>
          <w:lang w:bidi="fa-IR"/>
          <w:color w:val="111111"/>
          <w:sz w:val="28"/>
          <w:szCs w:val="28"/>
          <w:rtl/>
        </w:rPr>
        <w:t xml:space="preserve">آغاز: در ستایش یزدان بنام خداوند خورشید و ماه *** که دل را بنامش خرد داد راه</w:t>
      </w:r>
    </w:p>
    <w:p>
      <w:pPr>
        <w:pStyle w:val="BookText"/>
      </w:pPr>
      <w:r>
        <w:rPr>
          <w:rFonts w:ascii="IRNazanin" w:hAnsi="IRNazanin" w:eastAsia="IRNazanin" w:cs="IRNazanin"/>
          <w:lang w:bidi="fa-IR"/>
          <w:color w:val="111111"/>
          <w:sz w:val="28"/>
          <w:szCs w:val="28"/>
          <w:rtl/>
        </w:rPr>
        <w:t xml:space="preserve">مولف بنا داشته اشعار و حکایات از شعرا و کتب مختلف را به صورت موضوعی در این دفتر گرد آورد ولی صورت کنونی آن یادداشت های پراکنده ای است که نظم و ترتیبی ندارد؛ خط: نستعليق، كاتب = مؤلف، تا: قرن ۱۴؛ جلد: تیماج فرنگی مشکی، ۴۹گ، مختلف السطر ، اندازه: ۱۶/۵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۳۱ - ۱۰۶]</w:t>
      </w:r>
    </w:p>
    <w:p>
      <w:pPr>
        <w:pStyle w:val="Heading3"/>
      </w:pPr>
      <w:bookmarkStart w:id="2091" w:name="_Toc1613"/>
      <w:r>
        <w:t>اشعار و حکایات / شعر، داستان / عربی</w:t>
      </w:r>
      <w:bookmarkEnd w:id="2091"/>
    </w:p>
    <w:p>
      <w:pPr>
        <w:pStyle w:val="BookText"/>
      </w:pPr>
      <w:r>
        <w:rPr>
          <w:rFonts w:ascii="Times New Roman" w:hAnsi="Times New Roman" w:eastAsia="Times New Roman" w:cs="Times New Roman"/>
          <w:lang w:val="en-US" w:bidi="en-US"/>
          <w:color w:val="111111"/>
          <w:sz w:val="28"/>
          <w:szCs w:val="28"/>
          <w:rtl/>
        </w:rPr>
        <w:t xml:space="preserve">aš‘ār va hekāyāt</w:t>
      </w:r>
    </w:p>
    <w:p>
      <w:pPr>
        <w:pStyle w:val="BookText"/>
      </w:pPr>
      <w:r>
        <w:rPr>
          <w:rFonts w:ascii="IRNazanin" w:hAnsi="IRNazanin" w:eastAsia="IRNazanin" w:cs="IRNazanin"/>
          <w:lang w:bidi="fa-IR"/>
          <w:color w:val="111111"/>
          <w:sz w:val="28"/>
          <w:szCs w:val="28"/>
          <w:rtl/>
        </w:rPr>
        <w:t xml:space="preserve">غیر همانند:</w:t>
      </w:r>
    </w:p>
    <w:p>
      <w:pPr>
        <w:pStyle w:val="BookText"/>
      </w:pPr>
      <w:r>
        <w:rPr>
          <w:rFonts w:ascii="IRNazanin" w:hAnsi="IRNazanin" w:eastAsia="IRNazanin" w:cs="IRNazanin"/>
          <w:lang w:bidi="fa-IR"/>
          <w:color w:val="111111"/>
          <w:sz w:val="28"/>
          <w:szCs w:val="28"/>
          <w:rtl/>
        </w:rPr>
        <w:t xml:space="preserve">۱. تهران؛ ملی؛ شماره نسخه: ۱۴۹</w:t>
      </w:r>
    </w:p>
    <w:p>
      <w:pPr>
        <w:pStyle w:val="BookText"/>
      </w:pPr>
      <w:r>
        <w:rPr>
          <w:rFonts w:ascii="IRNazanin" w:hAnsi="IRNazanin" w:eastAsia="IRNazanin" w:cs="IRNazanin"/>
          <w:lang w:bidi="fa-IR"/>
          <w:color w:val="111111"/>
          <w:sz w:val="28"/>
          <w:szCs w:val="28"/>
          <w:rtl/>
        </w:rPr>
        <w:t xml:space="preserve">این جنگ حاوی اشعار شاعران عرب زبان است که نام پاره ای از آنها مشاهیر آنها بدین قرار است: صلاح الدين صفدی، معمار (شيخ بدر الدين بن الصاحب)، مهرهاذ القيراطي، ابن نباته، عماد الدين بن زیوف، ابن الصامت ،زمخشری، صفی الدین الحلى، امير منجیک، امیر عثمان منفلوطی، شیخ احمد البكرى، شيخ عز الدين موصلی، شمس الدين بن الصانع، ابن مجه، ابن ابیک، ابوزید العبدی، بدرالدین دمامینی ،تنوخی، مازدینی ،زهیر، ابن سنا الملک، شیخ شرف الدین شهیر به راجح الحلى، شيخ ابى اللطيف المقدسی، شهاب الدين المنصوري، جمال الدين يوسف صوفی، شيخ صدر الدين وكيل، ابن خلكان، ابى الحسن محمد التهامي، شمس الدين محمد التلمساني، محیی الدین عراقی، شیخ ابی بکر بن اسماعيل يوسف بن مسعود شیخ یوسف دمشقی، سیف الدین علی، ابن مطروح، امام  شافعی، امام علی (علیه السّلام)، ابن الخياط الدمشقی، شیخ علاء الدين بن مليك، عز الدين موصلی، صفی، دارج ركب، على وفا ،اصمعی، نوری. اشعار این جنگ پاره ای حاوی آهنگ ها و دستگاه هایی است که در موسیقی خوانده می شود و حکایات نیز شامل داستان هایی است که ازقول پاره ای از بزرگان نقل شده است؛ خط: نسخ، بی کا، تا :قرن ۱۲؛ مهر: ناصر الدین شاه؛ کاغذ: فرنگی جلد: تیماج مشکی مقوایی،
</w:t>
      </w:r>
    </w:p>
    <w:p>
      <w:pPr>
        <w:sectPr>
          <w:footerReference w:type="default" r:id="rId1015"/>
          <w:footnotePr>
            <w:numStart w:val="1"/>
            <w:numRestart w:val="eachPage"/>
          </w:footnotePr>
          <w:pgSz w:orient="portrait" w:w="11905.511811023622" w:h="16837.79527559055"/>
          <w:pgMar w:top="1440" w:right="1440" w:bottom="1440" w:left="1440" w:header="720" w:footer="720" w:gutter="0"/>
          <w:cols w:num="1" w:space="720"/>
        </w:sectPr>
      </w:pPr>
    </w:p>
    <w:bookmarkStart w:id="461" w:name="pg20365_260951"/>
    <w:bookmarkEnd w:id="461"/>
    <w:p>
      <w:pPr>
        <w:pStyle w:val="BookText"/>
      </w:pPr>
      <w:r>
        <w:rPr>
          <w:rFonts w:ascii="IRNazanin" w:hAnsi="IRNazanin" w:eastAsia="IRNazanin" w:cs="IRNazanin"/>
          <w:lang w:bidi="fa-IR"/>
          <w:color w:val="111111"/>
          <w:sz w:val="28"/>
          <w:szCs w:val="28"/>
          <w:rtl/>
        </w:rPr>
        <w:t xml:space="preserve">۸۲گ، ۲۳) سطر (8</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۷ - ۱۲۹]</w:t>
      </w:r>
    </w:p>
    <w:p>
      <w:pPr>
        <w:pStyle w:val="BookText"/>
      </w:pPr>
      <w:r>
        <w:rPr>
          <w:rFonts w:ascii="IRNazanin" w:hAnsi="IRNazanin" w:eastAsia="IRNazanin" w:cs="IRNazanin"/>
          <w:lang w:bidi="fa-IR"/>
          <w:color w:val="111111"/>
          <w:sz w:val="28"/>
          <w:szCs w:val="28"/>
          <w:rtl/>
        </w:rPr>
        <w:t xml:space="preserve">۲. قم؛ مرعشی؛ شماره نسخه: ۱۲۹۳/۵</w:t>
      </w:r>
    </w:p>
    <w:p>
      <w:pPr>
        <w:pStyle w:val="BookText"/>
      </w:pPr>
      <w:r>
        <w:rPr>
          <w:rFonts w:ascii="IRNazanin" w:hAnsi="IRNazanin" w:eastAsia="IRNazanin" w:cs="IRNazanin"/>
          <w:lang w:bidi="fa-IR"/>
          <w:color w:val="111111"/>
          <w:sz w:val="28"/>
          <w:szCs w:val="28"/>
          <w:rtl/>
        </w:rPr>
        <w:t xml:space="preserve">نسخه اصل: کتابخانه واتیکان در رم ایتالیا. حكايات و قصاید متعدد در برگ های پراکنده شبیه به کارهای ابوالحسن بکری است. در جایی نقلی از «مفتاح الفلاح» دارد. برخی حکایت غزوة تبوك للرسول (صلّی اللَّهِ علیه وَ آلِهِ وَ سَلَّمَ ) على الروم، قصة طوق بن الصباح، قـصة المقداد بن الاسود الكندى مع ابنة عمه، حديث اللص والقاضی.</w:t>
      </w:r>
    </w:p>
    <w:p>
      <w:pPr>
        <w:pStyle w:val="BookText"/>
      </w:pPr>
      <w:r>
        <w:rPr>
          <w:rFonts w:ascii="IRNazanin" w:hAnsi="IRNazanin" w:eastAsia="IRNazanin" w:cs="IRNazanin"/>
          <w:lang w:bidi="fa-IR"/>
          <w:color w:val="111111"/>
          <w:sz w:val="28"/>
          <w:szCs w:val="28"/>
          <w:rtl/>
        </w:rPr>
        <w:t xml:space="preserve">نام شاعران: شیخ ابراهیم بن عيسى حاریصی، قصیده ابن ابی الشمالى يمدح بها اميرالمؤمنين (علیه السّلام) ، مما قال الشيخ حسن مخمـساً، الابيات للوعيظى، قصيدة ابى الفراس الحمدانی، شیخ ابراهیم یحیی مخمساً قصيدة الكاتب البغدادى، مما قاله الشيخ ابراهیم یحیی مخمساً قصيدة السيد الرضى؛ خط: نسخ، بی کا، تا: قرن 11و 12؛۹۲ ص (۹۷-۱۸۸)، ۱۹ سطر [عکسی ف: ۳ - ۶۵۵]</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ملی؛ شماره نسخه: ۴۳۱/۳</w:t>
      </w:r>
    </w:p>
    <w:p>
      <w:pPr>
        <w:pStyle w:val="BookText"/>
      </w:pPr>
      <w:r>
        <w:rPr>
          <w:rFonts w:ascii="IRNazanin" w:hAnsi="IRNazanin" w:eastAsia="IRNazanin" w:cs="IRNazanin"/>
          <w:lang w:bidi="fa-IR"/>
          <w:color w:val="111111"/>
          <w:sz w:val="28"/>
          <w:szCs w:val="28"/>
          <w:rtl/>
        </w:rPr>
        <w:t xml:space="preserve">قصایدی است عربی با مختصات زیر: ۱- قصیده ای به قافیه تاء که به تاریخ ۹ ربیع الاول ۱۲۸۰ق سروده شده، ۲- قصیده ای از سید علی خان نام در مدح والدش «به قافیه راء» به تاریخ ۱۲۸۰ق،3- قصیده ای از علی بن الجهيم در مدح متوکل عباسی، ۴- قصیده که برخی آن را از سموئیل بن عادیا و گروهی از شریح و جمعی از عبدالملک بن عبدالرحیم حارثی و بعضی از جلاح الحارثی می دانند، ۵ -قصیده ای از عمر بن حصین عنبری در مرثیه اباحمزه، ۶ -قصیده ای از ابن نباته مصری. غیر از این قصائد داستان هـای فکاهی چندی از بزرگان عرب در حواشی این کتاب آمده است؛ خط: شکسته نستعلیق، بی کا، تا: سال های ۱۲۸۰ و ۱۲۸۱ق،جا: تهران؛ كاغذ: فرنگی الوان ،جلد: تیماج قرمز، مقوایی، رویه ساغری، ۱۳ ص (۷۹-۹۲)، ۱۵ سطر ،(9/5</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اندازه: ۱۶/۵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 - ۴۱۲]</w:t>
      </w:r>
    </w:p>
    <w:p>
      <w:pPr>
        <w:pStyle w:val="Heading3"/>
      </w:pPr>
      <w:bookmarkStart w:id="2092" w:name="_Toc1614"/>
      <w:r>
        <w:t>اشعار و حکایات / شعر، داستان / فارسی</w:t>
      </w:r>
      <w:bookmarkEnd w:id="2092"/>
    </w:p>
    <w:p>
      <w:pPr>
        <w:pStyle w:val="BookText"/>
      </w:pPr>
      <w:r>
        <w:rPr>
          <w:rFonts w:ascii="Times New Roman" w:hAnsi="Times New Roman" w:eastAsia="Times New Roman" w:cs="Times New Roman"/>
          <w:lang w:val="en-US" w:bidi="en-US"/>
          <w:color w:val="111111"/>
          <w:sz w:val="28"/>
          <w:szCs w:val="28"/>
          <w:rtl/>
        </w:rPr>
        <w:t xml:space="preserve">aš‘ār va hekāyāt</w:t>
      </w:r>
    </w:p>
    <w:p>
      <w:pPr>
        <w:pStyle w:val="BookText"/>
      </w:pPr>
      <w:r>
        <w:rPr>
          <w:rFonts w:ascii="IRNazanin" w:hAnsi="IRNazanin" w:eastAsia="IRNazanin" w:cs="IRNazanin"/>
          <w:lang w:bidi="fa-IR"/>
          <w:color w:val="111111"/>
          <w:sz w:val="28"/>
          <w:szCs w:val="28"/>
          <w:rtl/>
        </w:rPr>
        <w:t xml:space="preserve">غیر همانند:</w:t>
      </w:r>
    </w:p>
    <w:p>
      <w:pPr>
        <w:pStyle w:val="BookText"/>
      </w:pPr>
      <w:r>
        <w:rPr>
          <w:rFonts w:ascii="IRNazanin" w:hAnsi="IRNazanin" w:eastAsia="IRNazanin" w:cs="IRNazanin"/>
          <w:lang w:bidi="fa-IR"/>
          <w:color w:val="111111"/>
          <w:sz w:val="28"/>
          <w:szCs w:val="28"/>
          <w:rtl/>
        </w:rPr>
        <w:t xml:space="preserve">۱. تهران؛ مجلس؛ شماره نسخه: ۱۴۸۱۲</w:t>
      </w:r>
    </w:p>
    <w:p>
      <w:pPr>
        <w:pStyle w:val="BookText"/>
      </w:pPr>
      <w:r>
        <w:rPr>
          <w:rFonts w:ascii="IRNazanin" w:hAnsi="IRNazanin" w:eastAsia="IRNazanin" w:cs="IRNazanin"/>
          <w:lang w:bidi="fa-IR"/>
          <w:color w:val="111111"/>
          <w:sz w:val="28"/>
          <w:szCs w:val="28"/>
          <w:rtl/>
        </w:rPr>
        <w:t xml:space="preserve">آغاز: زهی خجسته بیاضی که هر که دیده رخش *** بهیچ وجه بدل نگذرانده یاد بهشت / بدین بیاض هر آنکس که دیده بگشاید *** بعینه بودش در نظر سواد بهشت؛ انجام: که تا همکاسه باشد عزيزت *** من همکاسه بهتر چه چیزت</w:t>
      </w:r>
    </w:p>
    <w:p>
      <w:pPr>
        <w:pStyle w:val="BookText"/>
      </w:pPr>
      <w:r>
        <w:rPr>
          <w:rFonts w:ascii="IRNazanin" w:hAnsi="IRNazanin" w:eastAsia="IRNazanin" w:cs="IRNazanin"/>
          <w:lang w:bidi="fa-IR"/>
          <w:color w:val="111111"/>
          <w:sz w:val="28"/>
          <w:szCs w:val="28"/>
          <w:rtl/>
        </w:rPr>
        <w:t xml:space="preserve">بیاض نظم و نثری است که مؤلف از ابتداء به قصد بیاض نگاشه، و در مقدمه در وصف بیاض و نیکو بودن این گردآوری، مطالبی، منثور و منظوم پرداخته است. از جمله اشعار این مجموعه منقولاتی است از: مقطعات ابن یمین، هلالی، مثنوی ملای رومی، سعدی. از جمله منثورات: بیام بر آمدن شیخ آفاق ابو علی دقاق از آخر روز و خطاب او از روی گریه به آفتاب عالم تاب، حکایت مجنون، حکایت زن صالحه که زوجه اش به حج رفته بود؛ خط: نستعلیق، چلیپا، بی کا، تا: قرن ۱۲؛ افتادگی: انجام؛ مجدول؛ جلد: تیماج قهوه ای ضربی بدون مقوا، ۱۲۵گ، ۱۷ سطر، اندازه: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۴۱ - ۲۲۶]</w:t>
      </w:r>
    </w:p>
    <w:p>
      <w:pPr>
        <w:pStyle w:val="BookText"/>
      </w:pPr>
      <w:r>
        <w:rPr>
          <w:rFonts w:ascii="IRNazanin" w:hAnsi="IRNazanin" w:eastAsia="IRNazanin" w:cs="IRNazanin"/>
          <w:lang w:bidi="fa-IR"/>
          <w:color w:val="111111"/>
          <w:sz w:val="28"/>
          <w:szCs w:val="28"/>
          <w:rtl/>
        </w:rPr>
        <w:t xml:space="preserve">۲. تهران؛ مجلس؛ شماره نسخه: ۱۶۵۵۳</w:t>
      </w:r>
    </w:p>
    <w:p>
      <w:pPr>
        <w:pStyle w:val="BookText"/>
      </w:pPr>
      <w:r>
        <w:rPr>
          <w:rFonts w:ascii="IRNazanin" w:hAnsi="IRNazanin" w:eastAsia="IRNazanin" w:cs="IRNazanin"/>
          <w:lang w:bidi="fa-IR"/>
          <w:color w:val="111111"/>
          <w:sz w:val="28"/>
          <w:szCs w:val="28"/>
          <w:rtl/>
        </w:rPr>
        <w:t xml:space="preserve">بی کا، تا: قرن ۱۳؛ افتادگی: آغاز و انجام؛ [د.ث.مجلس]</w:t>
      </w:r>
    </w:p>
    <w:p>
      <w:pPr>
        <w:pStyle w:val="BookText"/>
      </w:pPr>
      <w:r>
        <w:rPr>
          <w:rFonts w:ascii="IRNazanin" w:hAnsi="IRNazanin" w:eastAsia="IRNazanin" w:cs="IRNazanin"/>
          <w:lang w:bidi="fa-IR"/>
          <w:color w:val="111111"/>
          <w:sz w:val="28"/>
          <w:szCs w:val="28"/>
          <w:rtl/>
        </w:rPr>
        <w:t xml:space="preserve">3.قم؛ گلپایگانی؛ شماره نسخه: ۷۲۴-۵/۱۴</w:t>
      </w:r>
    </w:p>
    <w:p>
      <w:pPr>
        <w:pStyle w:val="BookText"/>
      </w:pPr>
      <w:r>
        <w:rPr>
          <w:rFonts w:ascii="IRNazanin" w:hAnsi="IRNazanin" w:eastAsia="IRNazanin" w:cs="IRNazanin"/>
          <w:lang w:bidi="fa-IR"/>
          <w:color w:val="111111"/>
          <w:sz w:val="28"/>
          <w:szCs w:val="28"/>
          <w:rtl/>
        </w:rPr>
        <w:t xml:space="preserve">آغاز: بسمله الحمد لله الذي خلق الانسان فسوى ولم يكن شيئاً مذكوراً وافاض عليه الاحساس فجعله سميعاً بصيراً ... اما بعد چون رقبه مسجونين عالم طبیعت و امكان ... لهذا بتأليف اين مجموعه و تجمیع این مألوفه اقبال اتفاق افتاد که هر کس بوفق سلیقه خود آزا و فیض یاب و بهره مند گردد صورت ترتیب باین کیفیت؛</w:t>
      </w:r>
    </w:p>
    <w:p>
      <w:pPr>
        <w:pStyle w:val="BookText"/>
      </w:pPr>
      <w:r>
        <w:rPr>
          <w:rFonts w:ascii="IRNazanin" w:hAnsi="IRNazanin" w:eastAsia="IRNazanin" w:cs="IRNazanin"/>
          <w:lang w:bidi="fa-IR"/>
          <w:color w:val="111111"/>
          <w:sz w:val="28"/>
          <w:szCs w:val="28"/>
          <w:rtl/>
        </w:rPr>
        <w:t xml:space="preserve">انجام: مخالف مضطرب از نکبتی نه از طربناکی ***موافق سرخ روی از نعمتی از نگون رایی</w:t>
      </w:r>
    </w:p>
    <w:p>
      <w:pPr>
        <w:pStyle w:val="BookText"/>
      </w:pPr>
      <w:r>
        <w:rPr>
          <w:rFonts w:ascii="IRNazanin" w:hAnsi="IRNazanin" w:eastAsia="IRNazanin" w:cs="IRNazanin"/>
          <w:lang w:bidi="fa-IR"/>
          <w:color w:val="111111"/>
          <w:sz w:val="28"/>
          <w:szCs w:val="28"/>
          <w:rtl/>
        </w:rPr>
        <w:t xml:space="preserve">جنگی است شامل اشعار و حکایات که به طرز بدیعی نگاشته شده بدین ترتیب که قصاید و غزلیات شعرای مختلف همچون حاجی سلیمان ،عرفی ،آذر محتشم و ... در متن قرار گرفته و در چهار جدول دیگر که در حاشیه هر صفحه است هر جدول به مطلب خاصی اختصاص داده شده: ۱- رباعیات از شعرای مختلف همچون حاجی سلیمان صباحی، آقا محمد تقی، عذری، مشتاق، غنی ،طبیب ،عاشق، رجایی، خواجه حبیب الله، خسرو و علوی، شیخ علی نقی و ...، ۲- قطعات و مراثی و مثنوی و ترجیعات همچون دوازده بند محتشم کاشانی در حماسه کربلا و یازده بند همو در رثای برادرش و مثنوی از میرزا نصیر و قطعات انوری، ۳- لطايف مطایبات و هزلیات، ۴- غرایب حكايات؛ خط: نستعلیق، بی کا، تا: قرن ۱۳؛ مجدول؛ جلد: تیماج قهوه ای، ۸۴گ، ۱۷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۲۹/۵ سم [ف: ۳ - ۱۲۶۴]</w:t>
      </w:r>
    </w:p>
    <w:p>
      <w:pPr>
        <w:pStyle w:val="BookText"/>
      </w:pPr>
      <w:r>
        <w:rPr>
          <w:rFonts w:ascii="IRNazanin" w:hAnsi="IRNazanin" w:eastAsia="IRNazanin" w:cs="IRNazanin"/>
          <w:lang w:bidi="fa-IR"/>
          <w:color w:val="111111"/>
          <w:sz w:val="28"/>
          <w:szCs w:val="28"/>
          <w:rtl/>
        </w:rPr>
        <w:t xml:space="preserve">۴. تهران؛ ملی؛ شماره نسخه: ۱۵۸۳۵</w:t>
      </w:r>
    </w:p>
    <w:p>
      <w:pPr>
        <w:pStyle w:val="BookText"/>
      </w:pPr>
      <w:r>
        <w:rPr>
          <w:rFonts w:ascii="IRNazanin" w:hAnsi="IRNazanin" w:eastAsia="IRNazanin" w:cs="IRNazanin"/>
          <w:lang w:bidi="fa-IR"/>
          <w:color w:val="111111"/>
          <w:sz w:val="28"/>
          <w:szCs w:val="28"/>
          <w:rtl/>
        </w:rPr>
        <w:t xml:space="preserve">آغاز: حکایت در فضیلت حلم و بردباری آورده اند که چون کار خلافت بسفاح که خلیفه اولی بنی است؛ انجام: فعال لما يريد و اگر از دانش می گویی هو الاول و الاخر</w:t>
      </w:r>
    </w:p>
    <w:p>
      <w:pPr>
        <w:pStyle w:val="BookText"/>
      </w:pPr>
      <w:r>
        <w:rPr>
          <w:rFonts w:ascii="IRNazanin" w:hAnsi="IRNazanin" w:eastAsia="IRNazanin" w:cs="IRNazanin"/>
          <w:lang w:bidi="fa-IR"/>
          <w:color w:val="111111"/>
          <w:sz w:val="28"/>
          <w:szCs w:val="28"/>
          <w:rtl/>
        </w:rPr>
        <w:t xml:space="preserve">مجموعه ای است از حکایات به نظم و نثر مشتمل بر حکایت در فضیلت حلم و بردباری حکایت خواجه نظام الملک طوسی و وصیت به فرزندش، سقراط حکایت به نقل از سلیمان بن وراق درباره ملک پرویز، الب ارسلان، عبدالله سلام، اسکندر، به نقل از خواجه محمد بن عبدالحمید و شیخ بهائی، حکایت در حقوق (از خواجه نظام الملک طوسی)، حکایت درباره نهر واله، از مطایبات حضرت امیرالمومنین، در باب توبه، در باب نیت های خیر و صحیح، درباره محمد بن مروان، حکایت منظوم در حقیقت فقر، توکل ،نصیحت، اخلاق و درباره اسکندر و اختتام در منقبت حضرت امیرالمومنین به نظم نوشته شده است؛ خط: شکسته نستعلیق، بی کا، بی تا؛ مجدول؛ در برگ ۱۳۳ تا ۱۳۴ مطلبی با
</w:t>
      </w:r>
    </w:p>
    <w:p>
      <w:pPr>
        <w:sectPr>
          <w:footerReference w:type="default" r:id="rId1016"/>
          <w:footnotePr>
            <w:numStart w:val="1"/>
            <w:numRestart w:val="eachPage"/>
          </w:footnotePr>
          <w:pgSz w:orient="portrait" w:w="11905.511811023622" w:h="16837.79527559055"/>
          <w:pgMar w:top="1440" w:right="1440" w:bottom="1440" w:left="1440" w:header="720" w:footer="720" w:gutter="0"/>
          <w:cols w:num="1" w:space="720"/>
        </w:sectPr>
      </w:pPr>
    </w:p>
    <w:bookmarkStart w:id="462" w:name="pg20365_260952"/>
    <w:bookmarkEnd w:id="462"/>
    <w:p>
      <w:pPr>
        <w:pStyle w:val="BookText"/>
      </w:pPr>
      <w:r>
        <w:rPr>
          <w:rFonts w:ascii="IRNazanin" w:hAnsi="IRNazanin" w:eastAsia="IRNazanin" w:cs="IRNazanin"/>
          <w:lang w:bidi="fa-IR"/>
          <w:color w:val="111111"/>
          <w:sz w:val="28"/>
          <w:szCs w:val="28"/>
          <w:rtl/>
        </w:rPr>
        <w:t xml:space="preserve">عنوان طريق غالب مغلوب و اشعاری با تاریخ ۱۲۱۶ نوشته؛ کاغذ: فرنگی الوان، جلد: تیماج عنابی یک لا مجدول، اندرون استر کاغذی، ۵۶گ (۷۶پ-۱۳۲)، مختلف السطر (7/5</w:t>
      </w:r>
      <w:r>
        <w:rPr>
          <w:rFonts w:ascii="Times New Roman" w:hAnsi="Times New Roman" w:eastAsia="Times New Roman" w:cs="Times New Roman"/>
          <w:lang w:val="en-US" w:bidi="en-US"/>
          <w:color w:val="111111"/>
          <w:sz w:val="28"/>
          <w:szCs w:val="28"/>
          <w:rtl/>
        </w:rPr>
        <w:t xml:space="preserve">×15/8) </w:t>
      </w:r>
      <w:r>
        <w:rPr>
          <w:rFonts w:ascii="IRNazanin" w:hAnsi="IRNazanin" w:eastAsia="IRNazanin" w:cs="IRNazanin"/>
          <w:lang w:bidi="fa-IR"/>
          <w:color w:val="111111"/>
          <w:sz w:val="28"/>
          <w:szCs w:val="28"/>
          <w:rtl/>
        </w:rPr>
        <w:t xml:space="preserve">،اندازه:۱۲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۲۱/۳سم [رایانه ]</w:t>
      </w:r>
    </w:p>
    <w:p>
      <w:pPr>
        <w:pStyle w:val="BookText"/>
      </w:pPr>
      <w:r>
        <w:rPr>
          <w:rFonts w:ascii="IRNazanin" w:hAnsi="IRNazanin" w:eastAsia="IRNazanin" w:cs="IRNazanin"/>
          <w:lang w:bidi="fa-IR"/>
          <w:color w:val="111111"/>
          <w:sz w:val="28"/>
          <w:szCs w:val="28"/>
          <w:rtl/>
        </w:rPr>
        <w:t xml:space="preserve">۵ .قم؛ گلپایگانی؛ شماره نسخه: ۴۵۱/۳-۳/۷۱</w:t>
      </w:r>
    </w:p>
    <w:p>
      <w:pPr>
        <w:pStyle w:val="BookText"/>
      </w:pPr>
      <w:r>
        <w:rPr>
          <w:rFonts w:ascii="IRNazanin" w:hAnsi="IRNazanin" w:eastAsia="IRNazanin" w:cs="IRNazanin"/>
          <w:lang w:bidi="fa-IR"/>
          <w:color w:val="111111"/>
          <w:sz w:val="28"/>
          <w:szCs w:val="28"/>
          <w:rtl/>
        </w:rPr>
        <w:t xml:space="preserve">آغاز: بسمه تعالی بیا بشنو این داستان كرای*** از این داستان دل بر آورز جای</w:t>
      </w:r>
    </w:p>
    <w:p>
      <w:pPr>
        <w:pStyle w:val="BookText"/>
      </w:pPr>
      <w:r>
        <w:rPr>
          <w:rFonts w:ascii="IRNazanin" w:hAnsi="IRNazanin" w:eastAsia="IRNazanin" w:cs="IRNazanin"/>
          <w:lang w:bidi="fa-IR"/>
          <w:color w:val="111111"/>
          <w:sz w:val="28"/>
          <w:szCs w:val="28"/>
          <w:rtl/>
        </w:rPr>
        <w:t xml:space="preserve">جنگی است شامل اشعار از ملا بمان علی در روزه گرفتن پنج تن آل عبا و غدیر خم و داستان جنگ خیبر و اشعاری از جوهری و حکایت سلیمان بن مهران اعمش معجزات حضرت امیر؛ خـط: نسخ، بی کا، بی تا؛ ۴۷گ، ۱۹ سطر [ف: ۳ - ۱۲۶۴]</w:t>
      </w:r>
    </w:p>
    <w:p>
      <w:pPr>
        <w:pStyle w:val="Heading3"/>
      </w:pPr>
      <w:bookmarkStart w:id="2093" w:name="_Toc1615"/>
      <w:r>
        <w:t>اشعار و خاطرات = جنگ یادداشت مانند / گوناگو ن / فارسی</w:t>
      </w:r>
      <w:bookmarkEnd w:id="2093"/>
    </w:p>
    <w:p>
      <w:pPr>
        <w:pStyle w:val="BookText"/>
      </w:pPr>
      <w:r>
        <w:rPr>
          <w:rFonts w:ascii="Times New Roman" w:hAnsi="Times New Roman" w:eastAsia="Times New Roman" w:cs="Times New Roman"/>
          <w:lang w:val="en-US" w:bidi="en-US"/>
          <w:color w:val="111111"/>
          <w:sz w:val="28"/>
          <w:szCs w:val="28"/>
          <w:rtl/>
        </w:rPr>
        <w:t xml:space="preserve">aš‘ār va xāterāt = jong-e yāddāšt mānand</w:t>
      </w:r>
    </w:p>
    <w:p>
      <w:pPr>
        <w:pStyle w:val="BookText"/>
      </w:pPr>
      <w:r>
        <w:rPr>
          <w:rFonts w:ascii="IRNazanin" w:hAnsi="IRNazanin" w:eastAsia="IRNazanin" w:cs="IRNazanin"/>
          <w:lang w:bidi="fa-IR"/>
          <w:color w:val="111111"/>
          <w:sz w:val="28"/>
          <w:szCs w:val="28"/>
          <w:rtl/>
        </w:rPr>
        <w:t xml:space="preserve">طباطبائی سنگلجی، محمد بن صادق، - ۱۳۳۰ قمری</w:t>
      </w:r>
    </w:p>
    <w:p>
      <w:pPr>
        <w:pStyle w:val="BookText"/>
      </w:pPr>
      <w:r>
        <w:rPr>
          <w:rFonts w:ascii="Times New Roman" w:hAnsi="Times New Roman" w:eastAsia="Times New Roman" w:cs="Times New Roman"/>
          <w:lang w:val="en-US" w:bidi="en-US"/>
          <w:color w:val="111111"/>
          <w:sz w:val="28"/>
          <w:szCs w:val="28"/>
          <w:rtl/>
        </w:rPr>
        <w:t xml:space="preserve">(tabātabā’ī sangelajī, mohammad ebn-e sādeq (- 1912)</w:t>
      </w:r>
    </w:p>
    <w:p>
      <w:pPr>
        <w:pStyle w:val="BookText"/>
      </w:pPr>
      <w:r>
        <w:rPr>
          <w:rFonts w:ascii="IRNazanin" w:hAnsi="IRNazanin" w:eastAsia="IRNazanin" w:cs="IRNazanin"/>
          <w:lang w:bidi="fa-IR"/>
          <w:color w:val="111111"/>
          <w:sz w:val="28"/>
          <w:szCs w:val="28"/>
          <w:rtl/>
        </w:rPr>
        <w:t xml:space="preserve">تهران؛ دانشگاه؛ شماره نسخه: ۹۵۸۴</w:t>
      </w:r>
    </w:p>
    <w:p>
      <w:pPr>
        <w:pStyle w:val="BookText"/>
      </w:pPr>
      <w:r>
        <w:rPr>
          <w:rFonts w:ascii="IRNazanin" w:hAnsi="IRNazanin" w:eastAsia="IRNazanin" w:cs="IRNazanin"/>
          <w:lang w:bidi="fa-IR"/>
          <w:color w:val="111111"/>
          <w:sz w:val="28"/>
          <w:szCs w:val="28"/>
          <w:rtl/>
        </w:rPr>
        <w:t xml:space="preserve">در آغاز فهرست کتاب ها است؛ خط: نستعلیق، کا: = مؤلف، بی تا؛ با امضای او در ۱۲ربیع الاول ۱۲۳۸  و ۲۰ جمادی الثانی 1329، تاریخ نظم و نثر هم دارد :کاغذ: فرنگی،جلد: مقوا عطف تیماج، قهوه ای ۵۶گ، ۱۴ سطر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 قطع: ربعی،اندازه:۱۶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۲۴سم [ف: ۱۷ - ۴۱۴]</w:t>
      </w:r>
    </w:p>
    <w:p>
      <w:pPr>
        <w:pStyle w:val="Heading3"/>
      </w:pPr>
      <w:bookmarkStart w:id="2094" w:name="_Toc1616"/>
      <w:r>
        <w:t>اشعار و شرح آن / ادبیات / عربی</w:t>
      </w:r>
      <w:bookmarkEnd w:id="2094"/>
    </w:p>
    <w:p>
      <w:pPr>
        <w:pStyle w:val="BookText"/>
      </w:pPr>
      <w:r>
        <w:rPr>
          <w:rFonts w:ascii="Times New Roman" w:hAnsi="Times New Roman" w:eastAsia="Times New Roman" w:cs="Times New Roman"/>
          <w:lang w:val="en-US" w:bidi="en-US"/>
          <w:color w:val="111111"/>
          <w:sz w:val="28"/>
          <w:szCs w:val="28"/>
          <w:rtl/>
        </w:rPr>
        <w:t xml:space="preserve">aš‘ār va š.-e ān</w:t>
      </w:r>
    </w:p>
    <w:p>
      <w:pPr>
        <w:pStyle w:val="BookText"/>
      </w:pPr>
      <w:r>
        <w:rPr>
          <w:rFonts w:ascii="IRNazanin" w:hAnsi="IRNazanin" w:eastAsia="IRNazanin" w:cs="IRNazanin"/>
          <w:lang w:bidi="fa-IR"/>
          <w:color w:val="111111"/>
          <w:sz w:val="28"/>
          <w:szCs w:val="28"/>
          <w:rtl/>
        </w:rPr>
        <w:t xml:space="preserve">عجلی، عبید بن عبدالله ،</w:t>
      </w:r>
    </w:p>
    <w:p>
      <w:pPr>
        <w:pStyle w:val="BookText"/>
      </w:pPr>
      <w:r>
        <w:rPr>
          <w:rFonts w:ascii="Times New Roman" w:hAnsi="Times New Roman" w:eastAsia="Times New Roman" w:cs="Times New Roman"/>
          <w:lang w:val="en-US" w:bidi="en-US"/>
          <w:color w:val="111111"/>
          <w:sz w:val="28"/>
          <w:szCs w:val="28"/>
          <w:rtl/>
        </w:rPr>
        <w:t xml:space="preserve">ajjalī, ‘obayd ebn-e ‘abd-ol-lāh</w:t>
      </w:r>
    </w:p>
    <w:p>
      <w:pPr>
        <w:pStyle w:val="BookText"/>
      </w:pPr>
      <w:r>
        <w:rPr>
          <w:rFonts w:ascii="IRNazanin" w:hAnsi="IRNazanin" w:eastAsia="IRNazanin" w:cs="IRNazanin"/>
          <w:lang w:bidi="fa-IR"/>
          <w:color w:val="111111"/>
          <w:sz w:val="28"/>
          <w:szCs w:val="28"/>
          <w:rtl/>
        </w:rPr>
        <w:t xml:space="preserve">تهران؛ ملک؛ شماره نسخه: ۶۰۴/۸۳</w:t>
      </w:r>
    </w:p>
    <w:p>
      <w:pPr>
        <w:pStyle w:val="BookText"/>
      </w:pPr>
      <w:r>
        <w:rPr>
          <w:rFonts w:ascii="IRNazanin" w:hAnsi="IRNazanin" w:eastAsia="IRNazanin" w:cs="IRNazanin"/>
          <w:lang w:bidi="fa-IR"/>
          <w:color w:val="111111"/>
          <w:sz w:val="28"/>
          <w:szCs w:val="28"/>
          <w:rtl/>
        </w:rPr>
        <w:t xml:space="preserve">خط: نسخ ،کا: شمس الدین محمد بن علی بن حسن جباعی،قرن ۹؛ ص ۳۲۰ [ف: ۵ - ۱۱۰]</w:t>
      </w:r>
    </w:p>
    <w:p>
      <w:pPr>
        <w:pStyle w:val="Heading3"/>
      </w:pPr>
      <w:bookmarkStart w:id="2095" w:name="_Toc1617"/>
      <w:r>
        <w:t>اشعار و عبارات عربی گلستان با ترجمه / ادبیات /  عربی</w:t>
      </w:r>
      <w:bookmarkEnd w:id="2095"/>
    </w:p>
    <w:p>
      <w:pPr>
        <w:pStyle w:val="BookText"/>
      </w:pPr>
      <w:r>
        <w:rPr>
          <w:rFonts w:ascii="Times New Roman" w:hAnsi="Times New Roman" w:eastAsia="Times New Roman" w:cs="Times New Roman"/>
          <w:lang w:val="en-US" w:bidi="en-US"/>
          <w:color w:val="111111"/>
          <w:sz w:val="28"/>
          <w:szCs w:val="28"/>
          <w:rtl/>
        </w:rPr>
        <w:t xml:space="preserve">(aš‘ār va ‘ebārāt-e ‘arabī-ye golestān (t.)</w:t>
      </w:r>
    </w:p>
    <w:p>
      <w:pPr>
        <w:pStyle w:val="BookText"/>
      </w:pPr>
      <w:r>
        <w:rPr>
          <w:rFonts w:ascii="IRNazanin" w:hAnsi="IRNazanin" w:eastAsia="IRNazanin" w:cs="IRNazanin"/>
          <w:lang w:bidi="fa-IR"/>
          <w:color w:val="111111"/>
          <w:sz w:val="28"/>
          <w:szCs w:val="28"/>
          <w:rtl/>
        </w:rPr>
        <w:t xml:space="preserve">حاجی گل، محمد عارف بن غلام سرور</w:t>
      </w:r>
    </w:p>
    <w:p>
      <w:pPr>
        <w:pStyle w:val="BookText"/>
      </w:pPr>
      <w:r>
        <w:rPr>
          <w:rFonts w:ascii="Times New Roman" w:hAnsi="Times New Roman" w:eastAsia="Times New Roman" w:cs="Times New Roman"/>
          <w:lang w:val="en-US" w:bidi="en-US"/>
          <w:color w:val="111111"/>
          <w:sz w:val="28"/>
          <w:szCs w:val="28"/>
          <w:rtl/>
        </w:rPr>
        <w:t xml:space="preserve">hājī gol, mohammad ‘āref ebn-e qolām sarvar</w:t>
      </w:r>
    </w:p>
    <w:p>
      <w:pPr>
        <w:pStyle w:val="BookText"/>
      </w:pPr>
      <w:r>
        <w:rPr>
          <w:rFonts w:ascii="IRNazanin" w:hAnsi="IRNazanin" w:eastAsia="IRNazanin" w:cs="IRNazanin"/>
          <w:lang w:bidi="fa-IR"/>
          <w:color w:val="111111"/>
          <w:sz w:val="28"/>
          <w:szCs w:val="28"/>
          <w:rtl/>
        </w:rPr>
        <w:t xml:space="preserve">وابسته به: گلستان سعدی؛ سعدی، مصلح بن عبدالله (-۶۹۱)</w:t>
      </w:r>
    </w:p>
    <w:p>
      <w:pPr>
        <w:pStyle w:val="BookText"/>
      </w:pPr>
      <w:r>
        <w:rPr>
          <w:rFonts w:ascii="IRNazanin" w:hAnsi="IRNazanin" w:eastAsia="IRNazanin" w:cs="IRNazanin"/>
          <w:lang w:bidi="fa-IR"/>
          <w:color w:val="111111"/>
          <w:sz w:val="28"/>
          <w:szCs w:val="28"/>
          <w:rtl/>
        </w:rPr>
        <w:t xml:space="preserve">در این اثر اشعار و عبارات عربی گلستان سعدی در هم کنار نوشته و در زیرسطور به خطی ریزتر و با مرکبی کم رنگ تر به فارسی ترجمه شده است.</w:t>
      </w:r>
    </w:p>
    <w:p>
      <w:pPr>
        <w:pStyle w:val="BookText"/>
      </w:pPr>
      <w:r>
        <w:rPr>
          <w:rFonts w:ascii="IRNazanin" w:hAnsi="IRNazanin" w:eastAsia="IRNazanin" w:cs="IRNazanin"/>
          <w:lang w:bidi="fa-IR"/>
          <w:color w:val="111111"/>
          <w:sz w:val="28"/>
          <w:szCs w:val="28"/>
          <w:rtl/>
        </w:rPr>
        <w:t xml:space="preserve">تهران؛ ملی؛ شماره نسخه: ۸۲۸۹</w:t>
      </w:r>
    </w:p>
    <w:p>
      <w:pPr>
        <w:pStyle w:val="BookText"/>
      </w:pPr>
      <w:r>
        <w:rPr>
          <w:rFonts w:ascii="IRNazanin" w:hAnsi="IRNazanin" w:eastAsia="IRNazanin" w:cs="IRNazanin"/>
          <w:lang w:bidi="fa-IR"/>
          <w:color w:val="111111"/>
          <w:sz w:val="28"/>
          <w:szCs w:val="28"/>
          <w:rtl/>
        </w:rPr>
        <w:t xml:space="preserve">آغاز: بسمله منت مر خدایی را که عز و جل که طاعتش موجب قربت ست و ...؛ انجام: دون العذاب الاكبر (سواء از عذاب بزرگ) كل اناء يترشح بما فيه</w:t>
      </w:r>
    </w:p>
    <w:p>
      <w:pPr>
        <w:pStyle w:val="BookText"/>
      </w:pPr>
      <w:r>
        <w:rPr>
          <w:rFonts w:ascii="IRNazanin" w:hAnsi="IRNazanin" w:eastAsia="IRNazanin" w:cs="IRNazanin"/>
          <w:lang w:bidi="fa-IR"/>
          <w:color w:val="111111"/>
          <w:sz w:val="28"/>
          <w:szCs w:val="28"/>
          <w:rtl/>
        </w:rPr>
        <w:t xml:space="preserve">حاشیه های اندکی در رابطه با متن دارد؛ خط: نسخ و نستعلیق، کاتب = مؤلف، بی تا؛ تملک: «حاجی عبدالمجید»؛ کاغذ: فرنگی نخودی ،جلد: مقوایی، با روکشی از کاغذ کادو نقشدار الوان، گوشه ها پارچه نقشدار الوان، ۱۰گ (12-3پ)، 13- 15 سطر (۱۴</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۳۳) - (۲۷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۳۴/۳سم [رایانه]</w:t>
      </w:r>
    </w:p>
    <w:p>
      <w:pPr>
        <w:pStyle w:val="Heading3"/>
      </w:pPr>
      <w:bookmarkStart w:id="2096" w:name="_Toc1618"/>
      <w:r>
        <w:t>اشعار و غزلیات سيد الحكماء لاریجانی / شعر / فارسی</w:t>
      </w:r>
      <w:bookmarkEnd w:id="2096"/>
    </w:p>
    <w:p>
      <w:pPr>
        <w:pStyle w:val="BookText"/>
      </w:pPr>
      <w:r>
        <w:rPr>
          <w:rFonts w:ascii="Times New Roman" w:hAnsi="Times New Roman" w:eastAsia="Times New Roman" w:cs="Times New Roman"/>
          <w:lang w:val="en-US" w:bidi="en-US"/>
          <w:color w:val="111111"/>
          <w:sz w:val="28"/>
          <w:szCs w:val="28"/>
          <w:rtl/>
        </w:rPr>
        <w:t xml:space="preserve">aš ār va qazalīyyat-e seyyed-ol-hokamā' lrjīānī</w:t>
      </w:r>
    </w:p>
    <w:p>
      <w:pPr>
        <w:pStyle w:val="BookText"/>
      </w:pPr>
      <w:r>
        <w:rPr>
          <w:rFonts w:ascii="IRNazanin" w:hAnsi="IRNazanin" w:eastAsia="IRNazanin" w:cs="IRNazanin"/>
          <w:lang w:bidi="fa-IR"/>
          <w:color w:val="111111"/>
          <w:sz w:val="28"/>
          <w:szCs w:val="28"/>
          <w:rtl/>
        </w:rPr>
        <w:t xml:space="preserve">حسینی ،بقائی، یحیی بن علی محمد، ق۱۴ قمری</w:t>
      </w:r>
    </w:p>
    <w:p>
      <w:pPr>
        <w:pStyle w:val="BookText"/>
      </w:pPr>
      <w:r>
        <w:rPr>
          <w:rFonts w:ascii="Times New Roman" w:hAnsi="Times New Roman" w:eastAsia="Times New Roman" w:cs="Times New Roman"/>
          <w:lang w:val="en-US" w:bidi="en-US"/>
          <w:color w:val="111111"/>
          <w:sz w:val="28"/>
          <w:szCs w:val="28"/>
          <w:rtl/>
        </w:rPr>
        <w:t xml:space="preserve">(hoseynī baqā’ī, yahyā ebn-e ‘alī mohammad (- 20c)</w:t>
      </w:r>
    </w:p>
    <w:p>
      <w:pPr>
        <w:pStyle w:val="BookText"/>
      </w:pPr>
      <w:r>
        <w:rPr>
          <w:rFonts w:ascii="IRNazanin" w:hAnsi="IRNazanin" w:eastAsia="IRNazanin" w:cs="IRNazanin"/>
          <w:lang w:bidi="fa-IR"/>
          <w:color w:val="111111"/>
          <w:sz w:val="28"/>
          <w:szCs w:val="28"/>
          <w:rtl/>
        </w:rPr>
        <w:t xml:space="preserve">مجموعه ای پراکنده از اشعار و غزلیات سيد الحكماء لاريجاني (كاتب ابن مجموعه) است که به تناوب ایام در باغ خواص (از روستاهای ورامین) احمد آباد، قره آغاج، پاچالک ورامین و همچنین محله سرچشمه طهران و باغ اختصاصی خود شاعر جنب امامزاده قاسم شمیران حدود سال های 1328- 1346ق سروده است. این اشعار به صورت پراکنده میان رسائل و قصاید دیگر شاعران آمده است از شرح احوال تفصیلی شاعر و کاتب این اثر یعنی سید الحكماء يحيى حسينى لاریجانی اطلاعی به دست نیامد جز آن که وی سال ها در اداره مالیه (دارایی) ورامین مشغول به کار بوده و بر اساس یادداشت ها و ابیاتش تا سال ۱۳۴۶ق برابر با ۱۳۰۶ ش نیز در قید حیات بوده است. این اثر منظوم برای کسانی که در زمینه تاریخ اجتماعی و سیاسی شهرهای تهران و ورامین پژوهش و تحقیق می کنند منبعی قابل بررسی و پژوهش است.</w:t>
      </w:r>
    </w:p>
    <w:p>
      <w:pPr>
        <w:pStyle w:val="BookText"/>
      </w:pPr>
      <w:r>
        <w:rPr>
          <w:rFonts w:ascii="IRNazanin" w:hAnsi="IRNazanin" w:eastAsia="IRNazanin" w:cs="IRNazanin"/>
          <w:lang w:bidi="fa-IR"/>
          <w:color w:val="111111"/>
          <w:sz w:val="28"/>
          <w:szCs w:val="28"/>
          <w:rtl/>
        </w:rPr>
        <w:t xml:space="preserve">قم؛ مرعشی؛ شماره نسخه :۱۳۸۰۵/۱۹</w:t>
      </w:r>
    </w:p>
    <w:p>
      <w:pPr>
        <w:pStyle w:val="BookText"/>
      </w:pPr>
      <w:r>
        <w:rPr>
          <w:rFonts w:ascii="IRNazanin" w:hAnsi="IRNazanin" w:eastAsia="IRNazanin" w:cs="IRNazanin"/>
          <w:lang w:bidi="fa-IR"/>
          <w:color w:val="111111"/>
          <w:sz w:val="28"/>
          <w:szCs w:val="28"/>
          <w:rtl/>
        </w:rPr>
        <w:t xml:space="preserve">آغاز: در ورامین سه عامل زورمند *** هر یک از جنس آدمی دورند/ صابری و مصدق آن دیگر *** هست پروانه و آن دو معذورند؛ انجام: ترک مستت گر ندارد قصد جان بیدلان *** ای کمان ابرو بگو آن جعبه پر تیر چیست؟</w:t>
      </w:r>
    </w:p>
    <w:p>
      <w:pPr>
        <w:pStyle w:val="BookText"/>
      </w:pPr>
      <w:r>
        <w:rPr>
          <w:rFonts w:ascii="IRNazanin" w:hAnsi="IRNazanin" w:eastAsia="IRNazanin" w:cs="IRNazanin"/>
          <w:lang w:bidi="fa-IR"/>
          <w:color w:val="111111"/>
          <w:sz w:val="28"/>
          <w:szCs w:val="28"/>
          <w:rtl/>
        </w:rPr>
        <w:t xml:space="preserve">خط: شکسته نستعلیق، کاتب = مؤلف، تا: سال های ۱۳۲۸-۱۳۴۶، جا: ورامین و تهران؛ این ابیات به صورتی کاملاً منفرد و پراکنده در میان رساله ها بین برگ های،1ر ،۷ر ،۵۹ر، ۶۹پ، ۷۸ر، ۷۸پ، ۸۲پ، ۸۳پ- ۸۶پ- ۸۷پ، ۹۹ر ، ۱۱۹ر آمده است در فواصل و لابه لای برگ های مجموعه خطی شماره ۷۲۹۷ همین کتابخانه که به خط همین سیدالحکماء لاریجانی است اشعار و ابیاتی آمده که ممکن است برخی از خود لاریجانی بوده باشند؛ کاغذ ،فرنگی،جلد: تیماج قهوه ای تیره با ،ترنج ،۱۲گ، سطور چلیپا، 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 [ف: ۳۵ - ۵۳]
</w:t>
      </w:r>
    </w:p>
    <w:p>
      <w:pPr>
        <w:sectPr>
          <w:footerReference w:type="default" r:id="rId1017"/>
          <w:footnotePr>
            <w:numStart w:val="1"/>
            <w:numRestart w:val="eachPage"/>
          </w:footnotePr>
          <w:pgSz w:orient="portrait" w:w="11905.511811023622" w:h="16837.79527559055"/>
          <w:pgMar w:top="1440" w:right="1440" w:bottom="1440" w:left="1440" w:header="720" w:footer="720" w:gutter="0"/>
          <w:cols w:num="1" w:space="720"/>
        </w:sectPr>
      </w:pPr>
    </w:p>
    <w:bookmarkStart w:id="463" w:name="pg20365_260953"/>
    <w:bookmarkEnd w:id="463"/>
    <w:p>
      <w:pPr>
        <w:pStyle w:val="Heading3"/>
      </w:pPr>
      <w:bookmarkStart w:id="2097" w:name="_Toc1619"/>
      <w:r>
        <w:t>اشعار و مراثی / شعر / فارسی</w:t>
      </w:r>
      <w:bookmarkEnd w:id="2097"/>
    </w:p>
    <w:p>
      <w:pPr>
        <w:pStyle w:val="BookText"/>
      </w:pPr>
      <w:r>
        <w:rPr>
          <w:rFonts w:ascii="Times New Roman" w:hAnsi="Times New Roman" w:eastAsia="Times New Roman" w:cs="Times New Roman"/>
          <w:lang w:val="en-US" w:bidi="en-US"/>
          <w:color w:val="111111"/>
          <w:sz w:val="28"/>
          <w:szCs w:val="28"/>
          <w:rtl/>
        </w:rPr>
        <w:t xml:space="preserve">aš‘ār va marāsī</w:t>
      </w:r>
    </w:p>
    <w:p>
      <w:pPr>
        <w:pStyle w:val="BookText"/>
      </w:pPr>
      <w:r>
        <w:rPr>
          <w:rFonts w:ascii="IRNazanin" w:hAnsi="IRNazanin" w:eastAsia="IRNazanin" w:cs="IRNazanin"/>
          <w:lang w:bidi="fa-IR"/>
          <w:color w:val="111111"/>
          <w:sz w:val="28"/>
          <w:szCs w:val="28"/>
          <w:rtl/>
        </w:rPr>
        <w:t xml:space="preserve">بروجردی، تقی، ق۱۳ قمری</w:t>
      </w:r>
    </w:p>
    <w:p>
      <w:pPr>
        <w:pStyle w:val="BookText"/>
      </w:pPr>
      <w:r>
        <w:rPr>
          <w:rFonts w:ascii="Times New Roman" w:hAnsi="Times New Roman" w:eastAsia="Times New Roman" w:cs="Times New Roman"/>
          <w:lang w:val="en-US" w:bidi="en-US"/>
          <w:color w:val="111111"/>
          <w:sz w:val="28"/>
          <w:szCs w:val="28"/>
          <w:rtl/>
        </w:rPr>
        <w:t xml:space="preserve">(borūjerdī, taqī (- 19c)</w:t>
      </w:r>
    </w:p>
    <w:p>
      <w:pPr>
        <w:pStyle w:val="BookText"/>
      </w:pPr>
      <w:r>
        <w:rPr>
          <w:rFonts w:ascii="IRNazanin" w:hAnsi="IRNazanin" w:eastAsia="IRNazanin" w:cs="IRNazanin"/>
          <w:lang w:bidi="fa-IR"/>
          <w:color w:val="111111"/>
          <w:sz w:val="28"/>
          <w:szCs w:val="28"/>
          <w:rtl/>
        </w:rPr>
        <w:t xml:space="preserve">شامل مراثی و ادعیه: نوحه علی اکبر، رساله در وصیت، دعای عهد و دیگر ادعیه، نوحه های سینه زنی، دوازده بند از میـرزا محمد صادق متخلص به گلچین، نوحه های سینه زنی، مثنوی مذهبی در واقعه کربلا.</w:t>
      </w:r>
    </w:p>
    <w:p>
      <w:pPr>
        <w:pStyle w:val="BookText"/>
      </w:pPr>
      <w:r>
        <w:rPr>
          <w:rFonts w:ascii="IRNazanin" w:hAnsi="IRNazanin" w:eastAsia="IRNazanin" w:cs="IRNazanin"/>
          <w:lang w:bidi="fa-IR"/>
          <w:color w:val="111111"/>
          <w:sz w:val="28"/>
          <w:szCs w:val="28"/>
          <w:rtl/>
        </w:rPr>
        <w:t xml:space="preserve">تهران؛ مجلس؛ شماره نسخه: ۱۶۹۱۲</w:t>
      </w:r>
    </w:p>
    <w:p>
      <w:pPr>
        <w:pStyle w:val="BookText"/>
      </w:pPr>
      <w:r>
        <w:rPr>
          <w:rFonts w:ascii="IRNazanin" w:hAnsi="IRNazanin" w:eastAsia="IRNazanin" w:cs="IRNazanin"/>
          <w:lang w:bidi="fa-IR"/>
          <w:color w:val="111111"/>
          <w:sz w:val="28"/>
          <w:szCs w:val="28"/>
          <w:rtl/>
        </w:rPr>
        <w:t xml:space="preserve">آغاز: خانه خاه در امامزاده علی اکبر خمار شمس محمد صادق پسر مرتضی قلی پاز کی؛ انجام: بسر رسید روایت ز راویان امین.</w:t>
      </w:r>
    </w:p>
    <w:p>
      <w:pPr>
        <w:pStyle w:val="BookText"/>
      </w:pPr>
      <w:r>
        <w:rPr>
          <w:rFonts w:ascii="IRNazanin" w:hAnsi="IRNazanin" w:eastAsia="IRNazanin" w:cs="IRNazanin"/>
          <w:lang w:bidi="fa-IR"/>
          <w:color w:val="111111"/>
          <w:sz w:val="28"/>
          <w:szCs w:val="28"/>
          <w:rtl/>
        </w:rPr>
        <w:t xml:space="preserve">خط: نسخ و نستعلیق، بی کا، تا: قرن ۱۳؛ گویا در زمان کتابت نسخه آقا محمد نقی بروجردی در قید حیات بوده، چرا که در صفحه ۱۶۹ دعای «سلمه الله تعالی» در حق او دیده می شود؛ جـلد: چرمی، ۲۱۸گ،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۴۷ -]</w:t>
      </w:r>
    </w:p>
    <w:p>
      <w:pPr>
        <w:pStyle w:val="Heading3"/>
      </w:pPr>
      <w:bookmarkStart w:id="2098" w:name="_Toc1620"/>
      <w:r>
        <w:t>اشعار و مطالب ادبی / ادبیات / فارسی و عربی</w:t>
      </w:r>
      <w:bookmarkEnd w:id="2098"/>
    </w:p>
    <w:p>
      <w:pPr>
        <w:pStyle w:val="BookText"/>
      </w:pPr>
      <w:r>
        <w:rPr>
          <w:rFonts w:ascii="Times New Roman" w:hAnsi="Times New Roman" w:eastAsia="Times New Roman" w:cs="Times New Roman"/>
          <w:lang w:val="en-US" w:bidi="en-US"/>
          <w:color w:val="111111"/>
          <w:sz w:val="28"/>
          <w:szCs w:val="28"/>
          <w:rtl/>
        </w:rPr>
        <w:t xml:space="preserve">aš‘ār va matāleb-e adabī</w:t>
      </w:r>
    </w:p>
    <w:p>
      <w:pPr>
        <w:pStyle w:val="BookText"/>
      </w:pPr>
      <w:r>
        <w:rPr>
          <w:rFonts w:ascii="IRNazanin" w:hAnsi="IRNazanin" w:eastAsia="IRNazanin" w:cs="IRNazanin"/>
          <w:lang w:bidi="fa-IR"/>
          <w:color w:val="111111"/>
          <w:sz w:val="28"/>
          <w:szCs w:val="28"/>
          <w:rtl/>
        </w:rPr>
        <w:t xml:space="preserve">همدان؛ مدرسه غرب؛ شماره نسخه: ۷۸۶/۶</w:t>
      </w:r>
    </w:p>
    <w:p>
      <w:pPr>
        <w:pStyle w:val="BookText"/>
      </w:pPr>
      <w:r>
        <w:rPr>
          <w:rFonts w:ascii="IRNazanin" w:hAnsi="IRNazanin" w:eastAsia="IRNazanin" w:cs="IRNazanin"/>
          <w:lang w:bidi="fa-IR"/>
          <w:color w:val="111111"/>
          <w:sz w:val="28"/>
          <w:szCs w:val="28"/>
          <w:rtl/>
        </w:rPr>
        <w:t xml:space="preserve">جنگ اشعار و مطالب ادبی است. دارای اشعار: ابن عینین بسلطان در حال مرض، اشعاری از حکمای دیگر، کلماتی قصار مشتمل برمواعظ، یک رباعی از ابوالفرج علی بن حسین بن هند، رباعی دیگر از ابیوردی، اشعاری از شیخ صفى الدين الحلي في شـاب وقعت عليه شمعة فاصابت شفتیه، دو رباعی از محقق طوسی، اشعاری از ابو نصر فارابی، بعض متفرقات تاریخی (۵ صفحه) ،نبذ من امثال العرب، اشعاری از امیر ابی الفتح الحاتمی و از مجنـون عامری و از ابوالعلاء المعری و از ابن الرومي، صورة كتـاب يعقوب به یوسف و جواب یوسف به حضرت یعقوب ،اشعاری دیگر از بعض حکما که قائل آنها نوشته شده، اشعاری از قطب الدین شیرازی (علامه) فايدة في تحقيق معنى نفس الامر (نقل از حاشیه سید شریف بر شرح مطالع) و مقالاتی از اشعث و غیره در طمع نفس؛ خط: نستعلیق خوش، بی کا، بی تا؛ ۱۶ ص( ۱۵۹-۷۵ )،قطع: ربعی[ رشت و همدان: ف: - ۱۴۴۹]</w:t>
      </w:r>
    </w:p>
    <w:p>
      <w:pPr>
        <w:pStyle w:val="Heading3"/>
      </w:pPr>
      <w:bookmarkStart w:id="2099" w:name="_Toc1621"/>
      <w:r>
        <w:t>اشعار و مطالب عرفانی / عرفان و تصوف، شعر / فارسی</w:t>
      </w:r>
      <w:bookmarkEnd w:id="2099"/>
    </w:p>
    <w:p>
      <w:pPr>
        <w:pStyle w:val="BookText"/>
      </w:pPr>
      <w:r>
        <w:rPr>
          <w:rFonts w:ascii="Times New Roman" w:hAnsi="Times New Roman" w:eastAsia="Times New Roman" w:cs="Times New Roman"/>
          <w:lang w:val="en-US" w:bidi="en-US"/>
          <w:color w:val="111111"/>
          <w:sz w:val="28"/>
          <w:szCs w:val="28"/>
          <w:rtl/>
        </w:rPr>
        <w:t xml:space="preserve">aš‘ār va matāleb-e ‘erfānī</w:t>
      </w:r>
    </w:p>
    <w:p>
      <w:pPr>
        <w:pStyle w:val="BookText"/>
      </w:pPr>
      <w:r>
        <w:rPr>
          <w:rFonts w:ascii="IRNazanin" w:hAnsi="IRNazanin" w:eastAsia="IRNazanin" w:cs="IRNazanin"/>
          <w:lang w:bidi="fa-IR"/>
          <w:color w:val="111111"/>
          <w:sz w:val="28"/>
          <w:szCs w:val="28"/>
          <w:rtl/>
        </w:rPr>
        <w:t xml:space="preserve">قم؛ گلپایگانی؛ شماره نسخه: ۷۷۸۶-۳۹/۱۶۶</w:t>
      </w:r>
    </w:p>
    <w:p>
      <w:pPr>
        <w:pStyle w:val="BookText"/>
      </w:pPr>
      <w:r>
        <w:rPr>
          <w:rFonts w:ascii="IRNazanin" w:hAnsi="IRNazanin" w:eastAsia="IRNazanin" w:cs="IRNazanin"/>
          <w:lang w:bidi="fa-IR"/>
          <w:color w:val="111111"/>
          <w:sz w:val="28"/>
          <w:szCs w:val="28"/>
          <w:rtl/>
        </w:rPr>
        <w:t xml:space="preserve">آغاز: نوشته اند بهروغن به چهره حبشی *** که این سیاه زمال مز عفر آزاد است / من آن نیم که ز حلوا عنان بگردانم *** که ترک صحبت شیرین نه کار فرهاد است؛ انجام: ز سخت گیری دوران چه باک قانع را *** ز فرط سال همایی نوا نخواهد شد / دراین زمانه چنان شهد زندگی بشکست*** که حق خنجر قاتل ادا نخواهد شد</w:t>
      </w:r>
    </w:p>
    <w:p>
      <w:pPr>
        <w:pStyle w:val="BookText"/>
      </w:pPr>
      <w:r>
        <w:rPr>
          <w:rFonts w:ascii="IRNazanin" w:hAnsi="IRNazanin" w:eastAsia="IRNazanin" w:cs="IRNazanin"/>
          <w:lang w:bidi="fa-IR"/>
          <w:color w:val="111111"/>
          <w:sz w:val="28"/>
          <w:szCs w:val="28"/>
          <w:rtl/>
        </w:rPr>
        <w:t xml:space="preserve">جنگی است شامل اشعار و مطالب عرفانی، از جمله اشعار فارسی از شاعرانی با تخلص «بسحاق» و «کلیم» و قطعه ای از «گلشن راز» شیخ محمود شبستری ،و بندی از کتابی در شرح حال عرفا به نظم نثر شامل مجلس های متعدد مباحث موجود از آن: مجلس بیستم شرح حال شیخ صنعان، مجلس بیست و یکم خواجه حسن، مجلس بیست و سوم ابن فارض، مجلس بیست و چهارم محیی الدین عربی؛ خط: نستعلیق، بی کا، بی تا؛ افتادگی: آغاز و انجام؛ جلد: مقوا، عطف گالینگور قهوه ای، ۳۷گ، ۱۵ سطر،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۳ - ۱۲۶۴]</w:t>
      </w:r>
    </w:p>
    <w:p>
      <w:pPr>
        <w:pStyle w:val="Heading3"/>
      </w:pPr>
      <w:bookmarkStart w:id="2100" w:name="_Toc1622"/>
      <w:r>
        <w:t>اشعار و منتخبات / گوناگون</w:t>
      </w:r>
      <w:bookmarkEnd w:id="2100"/>
    </w:p>
    <w:p>
      <w:pPr>
        <w:pStyle w:val="BookText"/>
      </w:pPr>
      <w:r>
        <w:rPr>
          <w:rFonts w:ascii="Times New Roman" w:hAnsi="Times New Roman" w:eastAsia="Times New Roman" w:cs="Times New Roman"/>
          <w:lang w:val="en-US" w:bidi="en-US"/>
          <w:color w:val="111111"/>
          <w:sz w:val="28"/>
          <w:szCs w:val="28"/>
          <w:rtl/>
        </w:rPr>
        <w:t xml:space="preserve">aš‘ār va montaxabāt</w:t>
      </w:r>
    </w:p>
    <w:p>
      <w:pPr>
        <w:pStyle w:val="BookText"/>
      </w:pPr>
      <w:r>
        <w:rPr>
          <w:rFonts w:ascii="IRNazanin" w:hAnsi="IRNazanin" w:eastAsia="IRNazanin" w:cs="IRNazanin"/>
          <w:lang w:bidi="fa-IR"/>
          <w:color w:val="111111"/>
          <w:sz w:val="28"/>
          <w:szCs w:val="28"/>
          <w:rtl/>
        </w:rPr>
        <w:t xml:space="preserve">تهران؛ ملی؛ شماره نسخه: ۱۳۰۹/۴</w:t>
      </w:r>
    </w:p>
    <w:p>
      <w:pPr>
        <w:pStyle w:val="BookText"/>
      </w:pPr>
      <w:r>
        <w:rPr>
          <w:rFonts w:ascii="IRNazanin" w:hAnsi="IRNazanin" w:eastAsia="IRNazanin" w:cs="IRNazanin"/>
          <w:lang w:bidi="fa-IR"/>
          <w:color w:val="111111"/>
          <w:sz w:val="28"/>
          <w:szCs w:val="28"/>
          <w:rtl/>
        </w:rPr>
        <w:t xml:space="preserve">این مجموعه حاوی اشعار عربی و منتخباتی از کتب بزرگان عرب زبان است بدین شرح: قصیده ای از ابوالفتح على بن محمد كاتب بستی، به مطلع: «زيادة المرء في ديناه نقصان»، نظریه ابومنصور ثعالبی است در یتیمه نسبت به بستی، منتخبی از «درر القلائد و غرر الفوائد» علم الهدی راجع به داستان های معمرین یعنی باب «فى ذكر شيىء من اخبار المعمرين و اشعار هم و مستحسن کلامهم» دو قصیده از عمر بن ابی ربیعه مخزو و یک قصیده از معین الدین طیطرائى؛ خط: نسخ خوش، کا: وصال، تا: قرن ۱۳، جا: شيراز؛ كاغذ: فرنگی ،جلد: تیماج سرخ، مقوایی، ۱۹ص (۲۸۴-۲۶۵)، ۲۵ 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۳-۳۷۳]</w:t>
      </w:r>
    </w:p>
    <w:p>
      <w:pPr>
        <w:pStyle w:val="Heading3"/>
      </w:pPr>
      <w:bookmarkStart w:id="2101" w:name="_Toc1623"/>
      <w:r>
        <w:t>اشعار و منشآت / ادبیات / عربی</w:t>
      </w:r>
      <w:bookmarkEnd w:id="2101"/>
    </w:p>
    <w:p>
      <w:pPr>
        <w:pStyle w:val="BookText"/>
      </w:pPr>
      <w:r>
        <w:rPr>
          <w:rFonts w:ascii="Times New Roman" w:hAnsi="Times New Roman" w:eastAsia="Times New Roman" w:cs="Times New Roman"/>
          <w:lang w:val="en-US" w:bidi="en-US"/>
          <w:color w:val="111111"/>
          <w:sz w:val="28"/>
          <w:szCs w:val="28"/>
          <w:rtl/>
        </w:rPr>
        <w:t xml:space="preserve">aš‘ār va monšaāt</w:t>
      </w:r>
    </w:p>
    <w:p>
      <w:pPr>
        <w:pStyle w:val="BookText"/>
      </w:pPr>
      <w:r>
        <w:rPr>
          <w:rFonts w:ascii="IRNazanin" w:hAnsi="IRNazanin" w:eastAsia="IRNazanin" w:cs="IRNazanin"/>
          <w:lang w:bidi="fa-IR"/>
          <w:color w:val="111111"/>
          <w:sz w:val="28"/>
          <w:szCs w:val="28"/>
          <w:rtl/>
        </w:rPr>
        <w:t xml:space="preserve">ابن ملا، ابراهيم بن احمد، ق ۱۰ قمری</w:t>
      </w:r>
    </w:p>
    <w:p>
      <w:pPr>
        <w:pStyle w:val="BookText"/>
      </w:pPr>
      <w:r>
        <w:rPr>
          <w:rFonts w:ascii="Times New Roman" w:hAnsi="Times New Roman" w:eastAsia="Times New Roman" w:cs="Times New Roman"/>
          <w:lang w:val="en-US" w:bidi="en-US"/>
          <w:color w:val="111111"/>
          <w:sz w:val="28"/>
          <w:szCs w:val="28"/>
          <w:rtl/>
        </w:rPr>
        <w:t xml:space="preserve">(ebn-e mollā, ebrāhīm ebn-e ahmad (- 16c)</w:t>
      </w:r>
    </w:p>
    <w:p>
      <w:pPr>
        <w:pStyle w:val="BookText"/>
      </w:pPr>
      <w:r>
        <w:rPr>
          <w:rFonts w:ascii="IRNazanin" w:hAnsi="IRNazanin" w:eastAsia="IRNazanin" w:cs="IRNazanin"/>
          <w:lang w:bidi="fa-IR"/>
          <w:color w:val="111111"/>
          <w:sz w:val="28"/>
          <w:szCs w:val="28"/>
          <w:rtl/>
        </w:rPr>
        <w:t xml:space="preserve">تهران؛ مجلس؛ شماره نسخه: ۹۳۶۷/۴</w:t>
      </w:r>
    </w:p>
    <w:p>
      <w:pPr>
        <w:pStyle w:val="BookText"/>
      </w:pPr>
      <w:r>
        <w:rPr>
          <w:rFonts w:ascii="IRNazanin" w:hAnsi="IRNazanin" w:eastAsia="IRNazanin" w:cs="IRNazanin"/>
          <w:lang w:bidi="fa-IR"/>
          <w:color w:val="111111"/>
          <w:sz w:val="28"/>
          <w:szCs w:val="28"/>
          <w:rtl/>
        </w:rPr>
        <w:t xml:space="preserve">خط: نسخ، كاتب = مؤلف، تا: قرن ۱۱؛ ۷۹گ (۳۱ ر-۱۱۰ر)  [مختصر: ف: ۶۸]</w:t>
      </w:r>
    </w:p>
    <w:p>
      <w:pPr>
        <w:pStyle w:val="Heading3"/>
      </w:pPr>
      <w:bookmarkStart w:id="2102" w:name="_Toc1624"/>
      <w:r>
        <w:t>اشعار و منشآت / ادبیات / فارسی</w:t>
      </w:r>
      <w:bookmarkEnd w:id="2102"/>
    </w:p>
    <w:p>
      <w:pPr>
        <w:pStyle w:val="BookText"/>
      </w:pPr>
      <w:r>
        <w:rPr>
          <w:rFonts w:ascii="Times New Roman" w:hAnsi="Times New Roman" w:eastAsia="Times New Roman" w:cs="Times New Roman"/>
          <w:lang w:val="en-US" w:bidi="en-US"/>
          <w:color w:val="111111"/>
          <w:sz w:val="28"/>
          <w:szCs w:val="28"/>
          <w:rtl/>
        </w:rPr>
        <w:t xml:space="preserve">aš ār va monšaāt</w:t>
      </w:r>
    </w:p>
    <w:p>
      <w:pPr>
        <w:pStyle w:val="BookText"/>
      </w:pPr>
      <w:r>
        <w:rPr>
          <w:rFonts w:ascii="IRNazanin" w:hAnsi="IRNazanin" w:eastAsia="IRNazanin" w:cs="IRNazanin"/>
          <w:lang w:bidi="fa-IR"/>
          <w:color w:val="111111"/>
          <w:sz w:val="28"/>
          <w:szCs w:val="28"/>
          <w:rtl/>
        </w:rPr>
        <w:t xml:space="preserve">اوحدی عراقی، میرزا موسی، - ۱۲۹۸ قمری</w:t>
      </w:r>
    </w:p>
    <w:p>
      <w:pPr>
        <w:pStyle w:val="BookText"/>
      </w:pPr>
      <w:r>
        <w:rPr>
          <w:rFonts w:ascii="Times New Roman" w:hAnsi="Times New Roman" w:eastAsia="Times New Roman" w:cs="Times New Roman"/>
          <w:lang w:val="en-US" w:bidi="en-US"/>
          <w:color w:val="111111"/>
          <w:sz w:val="28"/>
          <w:szCs w:val="28"/>
          <w:rtl/>
        </w:rPr>
        <w:t xml:space="preserve">(awhadī ‘arāqī, mīrzā mūsā (- 1881)</w:t>
      </w:r>
    </w:p>
    <w:p>
      <w:pPr>
        <w:pStyle w:val="BookText"/>
      </w:pPr>
      <w:r>
        <w:rPr>
          <w:rFonts w:ascii="IRNazanin" w:hAnsi="IRNazanin" w:eastAsia="IRNazanin" w:cs="IRNazanin"/>
          <w:lang w:bidi="fa-IR"/>
          <w:color w:val="111111"/>
          <w:sz w:val="28"/>
          <w:szCs w:val="28"/>
          <w:rtl/>
        </w:rPr>
        <w:t xml:space="preserve">مشتمل است بر دو قسمت از آثار میرزا موسی وزیر لشکر متخلص به اوحدی عراقی بدین شرح: ۱- منشآت ومراسلات
</w:t>
      </w:r>
    </w:p>
    <w:p>
      <w:pPr>
        <w:sectPr>
          <w:footerReference w:type="default" r:id="rId1018"/>
          <w:footnotePr>
            <w:numStart w:val="1"/>
            <w:numRestart w:val="eachPage"/>
          </w:footnotePr>
          <w:pgSz w:orient="portrait" w:w="11905.511811023622" w:h="16837.79527559055"/>
          <w:pgMar w:top="1440" w:right="1440" w:bottom="1440" w:left="1440" w:header="720" w:footer="720" w:gutter="0"/>
          <w:cols w:num="1" w:space="720"/>
        </w:sectPr>
      </w:pPr>
    </w:p>
    <w:bookmarkStart w:id="464" w:name="pg20365_260954"/>
    <w:bookmarkEnd w:id="464"/>
    <w:p>
      <w:pPr>
        <w:pStyle w:val="BookText"/>
      </w:pPr>
      <w:r>
        <w:rPr>
          <w:rFonts w:ascii="IRNazanin" w:hAnsi="IRNazanin" w:eastAsia="IRNazanin" w:cs="IRNazanin"/>
          <w:lang w:bidi="fa-IR"/>
          <w:color w:val="111111"/>
          <w:sz w:val="28"/>
          <w:szCs w:val="28"/>
          <w:rtl/>
        </w:rPr>
        <w:t xml:space="preserve">ناقص الاخر با دیباچه ای در احوال نویسنده به اجمال. انجام: «اگر شما از شر این خلق آسوده خاطر هستید باید معدلت و مرحمت سرکار کار و الاروحى فداه»؛2 - ترجیع بند و قصاید ناقص الاخر. آغاز: «هوس کعبه و آن منزل و آن جاست مرا*** آرزوی حرم مکه و بطحاست مرا».</w:t>
      </w:r>
    </w:p>
    <w:p>
      <w:pPr>
        <w:pStyle w:val="BookText"/>
      </w:pPr>
      <w:r>
        <w:rPr>
          <w:rFonts w:ascii="IRNazanin" w:hAnsi="IRNazanin" w:eastAsia="IRNazanin" w:cs="IRNazanin"/>
          <w:lang w:bidi="fa-IR"/>
          <w:color w:val="111111"/>
          <w:sz w:val="28"/>
          <w:szCs w:val="28"/>
          <w:rtl/>
        </w:rPr>
        <w:t xml:space="preserve">مشهد؛ رضوی؛ شماره نسخه: ۴۹۹۷</w:t>
      </w:r>
    </w:p>
    <w:p>
      <w:pPr>
        <w:pStyle w:val="BookText"/>
      </w:pPr>
      <w:r>
        <w:rPr>
          <w:rFonts w:ascii="IRNazanin" w:hAnsi="IRNazanin" w:eastAsia="IRNazanin" w:cs="IRNazanin"/>
          <w:lang w:bidi="fa-IR"/>
          <w:color w:val="111111"/>
          <w:sz w:val="28"/>
          <w:szCs w:val="28"/>
          <w:rtl/>
        </w:rPr>
        <w:t xml:space="preserve">آغاز: حمد بیحد خداوندی را عظمت قدرته و علت كلمته که زبان را با سخن آشنایی داد؛ انجام: گرم دور از تو یکساعت گذر بر حلقه یی افتد *** مرا در حلقه ها جویی و همچون حلقه بربایی</w:t>
      </w:r>
    </w:p>
    <w:p>
      <w:pPr>
        <w:pStyle w:val="BookText"/>
      </w:pPr>
      <w:r>
        <w:rPr>
          <w:rFonts w:ascii="IRNazanin" w:hAnsi="IRNazanin" w:eastAsia="IRNazanin" w:cs="IRNazanin"/>
          <w:lang w:bidi="fa-IR"/>
          <w:color w:val="111111"/>
          <w:sz w:val="28"/>
          <w:szCs w:val="28"/>
          <w:rtl/>
        </w:rPr>
        <w:t xml:space="preserve">خط: نسخ و نستعلیق تحریری، بی کا، تا: شوال ۱۳۰۰ق؛ واقف: نایینی؛ کاغذ: شکری فرنگی آهار مهره، جلد: پارچه ای، ۶۴گ، ۱۵ سطر (۸/۲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اندازه: ۱۶/۳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۷ - ۸۵۸]</w:t>
      </w:r>
    </w:p>
    <w:p>
      <w:pPr>
        <w:pStyle w:val="Heading3"/>
      </w:pPr>
      <w:bookmarkStart w:id="2103" w:name="_Toc1625"/>
      <w:r>
        <w:t>اشعار و منشآت / نامه نگاری, شعر / فارسی</w:t>
      </w:r>
      <w:bookmarkEnd w:id="2103"/>
    </w:p>
    <w:p>
      <w:pPr>
        <w:pStyle w:val="BookText"/>
      </w:pPr>
      <w:r>
        <w:rPr>
          <w:rFonts w:ascii="Times New Roman" w:hAnsi="Times New Roman" w:eastAsia="Times New Roman" w:cs="Times New Roman"/>
          <w:lang w:val="en-US" w:bidi="en-US"/>
          <w:color w:val="111111"/>
          <w:sz w:val="28"/>
          <w:szCs w:val="28"/>
          <w:rtl/>
        </w:rPr>
        <w:t xml:space="preserve">aš‘ār va monšaāt</w:t>
      </w:r>
    </w:p>
    <w:p>
      <w:pPr>
        <w:pStyle w:val="BookText"/>
      </w:pPr>
      <w:r>
        <w:rPr>
          <w:rFonts w:ascii="IRNazanin" w:hAnsi="IRNazanin" w:eastAsia="IRNazanin" w:cs="IRNazanin"/>
          <w:lang w:bidi="fa-IR"/>
          <w:color w:val="111111"/>
          <w:sz w:val="28"/>
          <w:szCs w:val="28"/>
          <w:rtl/>
        </w:rPr>
        <w:t xml:space="preserve">محمد باقر بن حاجی عبد الملک، ق ۱۳ قمری عبدالملک،</w:t>
      </w:r>
    </w:p>
    <w:p>
      <w:pPr>
        <w:pStyle w:val="BookText"/>
      </w:pPr>
      <w:r>
        <w:rPr>
          <w:rFonts w:ascii="Times New Roman" w:hAnsi="Times New Roman" w:eastAsia="Times New Roman" w:cs="Times New Roman"/>
          <w:lang w:val="en-US" w:bidi="en-US"/>
          <w:color w:val="111111"/>
          <w:sz w:val="28"/>
          <w:szCs w:val="28"/>
          <w:rtl/>
        </w:rPr>
        <w:t xml:space="preserve">(mohammad bāqer ebn-e hājī ‘abd-ol-malek (- 19c)</w:t>
      </w:r>
    </w:p>
    <w:p>
      <w:pPr>
        <w:pStyle w:val="BookText"/>
      </w:pPr>
      <w:r>
        <w:rPr>
          <w:rFonts w:ascii="IRNazanin" w:hAnsi="IRNazanin" w:eastAsia="IRNazanin" w:cs="IRNazanin"/>
          <w:lang w:bidi="fa-IR"/>
          <w:color w:val="111111"/>
          <w:sz w:val="28"/>
          <w:szCs w:val="28"/>
          <w:rtl/>
        </w:rPr>
        <w:t xml:space="preserve">مشتمل بر نامه هایی که مؤلف به دیگران نوشته و اشعاری از وی با تخلص «باقر» که آن را در چهار فصل تنظیم نموده است:1. سواد بعضی از رقعه جات و سواد فالنامه و معمیات مشروحه،2. اشعاری در دوازده مطلع در منقبت امیر مؤمنان (علیه السّلام) ، ٣ .مناجات منظوم و چند غزل و ماده تواریخ ۴. مراثی ابی عبدالله ((علیه السّلام).</w:t>
      </w:r>
    </w:p>
    <w:p>
      <w:pPr>
        <w:pStyle w:val="BookText"/>
      </w:pPr>
      <w:r>
        <w:rPr>
          <w:rFonts w:ascii="IRNazanin" w:hAnsi="IRNazanin" w:eastAsia="IRNazanin" w:cs="IRNazanin"/>
          <w:lang w:bidi="fa-IR"/>
          <w:color w:val="111111"/>
          <w:sz w:val="28"/>
          <w:szCs w:val="28"/>
          <w:rtl/>
        </w:rPr>
        <w:t xml:space="preserve">قم؛ مرکز احیاء؛ شماره نسخه: ۳۴۴۵/۱</w:t>
      </w:r>
    </w:p>
    <w:p>
      <w:pPr>
        <w:pStyle w:val="BookText"/>
      </w:pPr>
      <w:r>
        <w:rPr>
          <w:rFonts w:ascii="IRNazanin" w:hAnsi="IRNazanin" w:eastAsia="IRNazanin" w:cs="IRNazanin"/>
          <w:lang w:bidi="fa-IR"/>
          <w:color w:val="111111"/>
          <w:sz w:val="28"/>
          <w:szCs w:val="28"/>
          <w:rtl/>
        </w:rPr>
        <w:t xml:space="preserve">آغاز: سلالت اسالیب نظم و جودت تراکیب نثر دیباچه نویسان سفینه فصاحت منوط به افتتاح نام خجسته فرجام متکلم بی آلتی است؛ انجام: خاطر احباب بی غم در همه عالم که دید *** دیده ابرار بی نم اندرین ماتم که دید</w:t>
      </w:r>
    </w:p>
    <w:p>
      <w:pPr>
        <w:pStyle w:val="BookText"/>
      </w:pPr>
      <w:r>
        <w:rPr>
          <w:rFonts w:ascii="IRNazanin" w:hAnsi="IRNazanin" w:eastAsia="IRNazanin" w:cs="IRNazanin"/>
          <w:lang w:bidi="fa-IR"/>
          <w:color w:val="111111"/>
          <w:sz w:val="28"/>
          <w:szCs w:val="28"/>
          <w:rtl/>
        </w:rPr>
        <w:t xml:space="preserve">خط: نستعليق، كاتب = مؤلف، تا: قرن ۱۲ یا ۱۳؛ مصحح؛تملک: «شیخ آقا»؛ ۱۲گ (پ-۱۲پ)، ۱۳ سطر، 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سم[ محدث ارموی مخ: ۳ - ۱۵۶۰]</w:t>
      </w:r>
    </w:p>
    <w:p>
      <w:pPr>
        <w:pStyle w:val="Heading3"/>
      </w:pPr>
      <w:bookmarkStart w:id="2104" w:name="_Toc1626"/>
      <w:r>
        <w:t>اشعار و منشآت / ادبیات / فارسی</w:t>
      </w:r>
      <w:bookmarkEnd w:id="2104"/>
    </w:p>
    <w:p>
      <w:pPr>
        <w:pStyle w:val="BookText"/>
      </w:pPr>
      <w:r>
        <w:rPr>
          <w:rFonts w:ascii="Times New Roman" w:hAnsi="Times New Roman" w:eastAsia="Times New Roman" w:cs="Times New Roman"/>
          <w:lang w:val="en-US" w:bidi="en-US"/>
          <w:color w:val="111111"/>
          <w:sz w:val="28"/>
          <w:szCs w:val="28"/>
          <w:rtl/>
        </w:rPr>
        <w:t xml:space="preserve">aš‘ār va monšaāt</w:t>
      </w:r>
    </w:p>
    <w:p>
      <w:pPr>
        <w:pStyle w:val="BookText"/>
      </w:pPr>
      <w:r>
        <w:rPr>
          <w:rFonts w:ascii="IRNazanin" w:hAnsi="IRNazanin" w:eastAsia="IRNazanin" w:cs="IRNazanin"/>
          <w:lang w:bidi="fa-IR"/>
          <w:color w:val="111111"/>
          <w:sz w:val="28"/>
          <w:szCs w:val="28"/>
          <w:rtl/>
        </w:rPr>
        <w:t xml:space="preserve">فرهاد میرزا قاجار، ۱۲۳۳ - ۱۳۰۵ قمری</w:t>
      </w:r>
    </w:p>
    <w:p>
      <w:pPr>
        <w:pStyle w:val="BookText"/>
      </w:pPr>
      <w:r>
        <w:rPr>
          <w:rFonts w:ascii="Times New Roman" w:hAnsi="Times New Roman" w:eastAsia="Times New Roman" w:cs="Times New Roman"/>
          <w:lang w:val="en-US" w:bidi="en-US"/>
          <w:color w:val="111111"/>
          <w:sz w:val="28"/>
          <w:szCs w:val="28"/>
          <w:rtl/>
        </w:rPr>
        <w:t xml:space="preserve">(farhād mīrzā qājār (1818 - 1888)</w:t>
      </w:r>
    </w:p>
    <w:p>
      <w:pPr>
        <w:pStyle w:val="BookText"/>
      </w:pPr>
      <w:r>
        <w:rPr>
          <w:rFonts w:ascii="IRNazanin" w:hAnsi="IRNazanin" w:eastAsia="IRNazanin" w:cs="IRNazanin"/>
          <w:lang w:bidi="fa-IR"/>
          <w:color w:val="111111"/>
          <w:sz w:val="28"/>
          <w:szCs w:val="28"/>
          <w:rtl/>
        </w:rPr>
        <w:t xml:space="preserve">تعدادی از منشآت فرهاد میرزای معتمدالدوله آمده است که پاره ای از آنها خطاب به شاه وقت است و یا جواب دستخط شاه می باشد و پاره ای دیگر خطاب به بزرگان و برگزیدگان و عالمان و شاهزادگان قاجار است پس از منشآت غزلیات و قصائد و رباعیات و قطعات و مثنوی های اوست که در آنها نعت پیغمبر تا مدح بزرگان یافت می شود.</w:t>
      </w:r>
    </w:p>
    <w:p>
      <w:pPr>
        <w:pStyle w:val="BookText"/>
      </w:pPr>
      <w:r>
        <w:rPr>
          <w:rFonts w:ascii="IRNazanin" w:hAnsi="IRNazanin" w:eastAsia="IRNazanin" w:cs="IRNazanin"/>
          <w:lang w:bidi="fa-IR"/>
          <w:color w:val="111111"/>
          <w:sz w:val="28"/>
          <w:szCs w:val="28"/>
          <w:rtl/>
        </w:rPr>
        <w:t xml:space="preserve">تهران؛ ملی؛ شماره نسخه: ۲۱۷۹</w:t>
      </w:r>
    </w:p>
    <w:p>
      <w:pPr>
        <w:pStyle w:val="BookText"/>
      </w:pPr>
      <w:r>
        <w:rPr>
          <w:rFonts w:ascii="IRNazanin" w:hAnsi="IRNazanin" w:eastAsia="IRNazanin" w:cs="IRNazanin"/>
          <w:lang w:bidi="fa-IR"/>
          <w:color w:val="111111"/>
          <w:sz w:val="28"/>
          <w:szCs w:val="28"/>
          <w:rtl/>
        </w:rPr>
        <w:t xml:space="preserve">آغاز: بسمله، ستایش مر خدایی را سزا که از آب و خاک جان پاک آفریده؛ انجام: نه همین بلکه هر چه چونین است *** اینچنینش بود حساب و شمار</w:t>
      </w:r>
    </w:p>
    <w:p>
      <w:pPr>
        <w:pStyle w:val="BookText"/>
      </w:pPr>
      <w:r>
        <w:rPr>
          <w:rFonts w:ascii="IRNazanin" w:hAnsi="IRNazanin" w:eastAsia="IRNazanin" w:cs="IRNazanin"/>
          <w:lang w:bidi="fa-IR"/>
          <w:color w:val="111111"/>
          <w:sz w:val="28"/>
          <w:szCs w:val="28"/>
          <w:rtl/>
        </w:rPr>
        <w:t xml:space="preserve">خط: نستعلیق خوش، کا: محمود تفرشی، تا: ۱۳۰۲ق، جا: طهران؛ با سرلوح مذهب، مجدول؛ کاغذ: فرنگی، جلد: تیماج قرمز مقوایی، ۱۸۲گ، ۱۲ سطر (۷/۵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5- 257]</w:t>
      </w:r>
    </w:p>
    <w:p>
      <w:pPr>
        <w:pStyle w:val="Heading3"/>
      </w:pPr>
      <w:bookmarkStart w:id="2105" w:name="_Toc1627"/>
      <w:r>
        <w:t>اشعار و منشآت / گوناگون / ترکی، فارسی</w:t>
      </w:r>
      <w:bookmarkEnd w:id="2105"/>
    </w:p>
    <w:p>
      <w:pPr>
        <w:pStyle w:val="BookText"/>
      </w:pPr>
      <w:r>
        <w:rPr>
          <w:rFonts w:ascii="Times New Roman" w:hAnsi="Times New Roman" w:eastAsia="Times New Roman" w:cs="Times New Roman"/>
          <w:lang w:val="en-US" w:bidi="en-US"/>
          <w:color w:val="111111"/>
          <w:sz w:val="28"/>
          <w:szCs w:val="28"/>
          <w:rtl/>
        </w:rPr>
        <w:t xml:space="preserve">aš ār va monšaāt</w:t>
      </w:r>
    </w:p>
    <w:p>
      <w:pPr>
        <w:pStyle w:val="BookText"/>
      </w:pPr>
      <w:r>
        <w:rPr>
          <w:rFonts w:ascii="IRNazanin" w:hAnsi="IRNazanin" w:eastAsia="IRNazanin" w:cs="IRNazanin"/>
          <w:lang w:bidi="fa-IR"/>
          <w:color w:val="111111"/>
          <w:sz w:val="28"/>
          <w:szCs w:val="28"/>
          <w:rtl/>
        </w:rPr>
        <w:t xml:space="preserve">تهران؛ ملی؛ شماره نسخه: ۲۷۴۹۰</w:t>
      </w:r>
    </w:p>
    <w:p>
      <w:pPr>
        <w:pStyle w:val="BookText"/>
      </w:pPr>
      <w:r>
        <w:rPr>
          <w:rFonts w:ascii="IRNazanin" w:hAnsi="IRNazanin" w:eastAsia="IRNazanin" w:cs="IRNazanin"/>
          <w:lang w:bidi="fa-IR"/>
          <w:color w:val="111111"/>
          <w:sz w:val="28"/>
          <w:szCs w:val="28"/>
          <w:rtl/>
        </w:rPr>
        <w:t xml:space="preserve">بی کا ،بی تا [ رایانه ]</w:t>
      </w:r>
    </w:p>
    <w:p>
      <w:pPr>
        <w:pStyle w:val="Heading3"/>
      </w:pPr>
      <w:bookmarkStart w:id="2106" w:name="_Toc1628"/>
      <w:r>
        <w:t>اشعار و منشآت / ادبیات / عربی، فارسی</w:t>
      </w:r>
      <w:bookmarkEnd w:id="2106"/>
    </w:p>
    <w:p>
      <w:pPr>
        <w:pStyle w:val="BookText"/>
      </w:pPr>
      <w:r>
        <w:rPr>
          <w:rFonts w:ascii="Times New Roman" w:hAnsi="Times New Roman" w:eastAsia="Times New Roman" w:cs="Times New Roman"/>
          <w:lang w:val="en-US" w:bidi="en-US"/>
          <w:color w:val="111111"/>
          <w:sz w:val="28"/>
          <w:szCs w:val="28"/>
          <w:rtl/>
        </w:rPr>
        <w:t xml:space="preserve">aš'ār va monšaāt</w:t>
      </w:r>
    </w:p>
    <w:p>
      <w:pPr>
        <w:pStyle w:val="BookText"/>
      </w:pPr>
      <w:r>
        <w:rPr>
          <w:rFonts w:ascii="IRNazanin" w:hAnsi="IRNazanin" w:eastAsia="IRNazanin" w:cs="IRNazanin"/>
          <w:lang w:bidi="fa-IR"/>
          <w:color w:val="111111"/>
          <w:sz w:val="28"/>
          <w:szCs w:val="28"/>
          <w:rtl/>
        </w:rPr>
        <w:t xml:space="preserve">مجموعه اشعار و نامه های عربی و فارسی است. در این مجموعه آثاری به نظم و نثر از پنجاه شاعر و نویسنده آمده است قسمت آن عربی است و در زیر هر نثر ترجمه فارسی آن ذکر شده و اسامی شاعران آن عبارت است از: ابونواس بن هانی، شیخ الوفائى، البهازهير، شهاب الدین العمری به شیخ صلاح صفدی، جواب صفدی، شیخ عبدالهادی سودی، شیخ ابوالفضل بن وفائی مصری، شیخ عمر بن الفارض، عمر بن عبدالعزيز، ابوالفضل احمد بن الحسين بن یحیی بن سعید همدانی، محمد بن علی بن ابى الصغر، ابو الجراير الحسن بن على كاتب، يزيد بن معاويه ،لیلی مجنون عامری (در این قسمت داستان لیلی و مجنون بتفصیل آمده است)، شیخ عطار ،مولوی، فردوسی، سعدی، هاتفى، المعتمد بن عباد، ابوفراس الحرث بن سعيد، عنتر العبسي، شیخ حسن، ابن فضل الله ،زعفراینی، رضا الدين بن حسين، ابوالحسن الشريف طباطبائی، احمد الحلبی، سید مرتضی علم   الهدى، شهاب الدین احمد السمنانی الاصل مصرى الدار، فیروز بن ركن الدوله ابن عضدالدوله، ابونواس، كمال الدين اسماعيل، ابن النقيب، شيخ حسن البوريني، ابن سینا، شیخ نورالدین علی بن عراق، شیخ عبدالصمد، ابن المشرق المارديني، احنف عکبری ،ابو جمیل نیشابوری، شیخ بهائی، ابوالعباس عبدالله معتز عباسی، ابن سیرین، ابن المعز العباسي، ابن المشرف المارديني ،ابوبكر اللبانه، ابوظهير، ابو التمام الطائي.</w:t>
      </w:r>
    </w:p>
    <w:p>
      <w:pPr>
        <w:pStyle w:val="BookText"/>
      </w:pPr>
      <w:r>
        <w:rPr>
          <w:rFonts w:ascii="IRNazanin" w:hAnsi="IRNazanin" w:eastAsia="IRNazanin" w:cs="IRNazanin"/>
          <w:lang w:bidi="fa-IR"/>
          <w:color w:val="111111"/>
          <w:sz w:val="28"/>
          <w:szCs w:val="28"/>
          <w:rtl/>
        </w:rPr>
        <w:t xml:space="preserve">تهران؛ ملی؛ شماره نسخه: ۵۷۵</w:t>
      </w:r>
    </w:p>
    <w:p>
      <w:pPr>
        <w:pStyle w:val="BookText"/>
      </w:pPr>
      <w:r>
        <w:rPr>
          <w:rFonts w:ascii="IRNazanin" w:hAnsi="IRNazanin" w:eastAsia="IRNazanin" w:cs="IRNazanin"/>
          <w:lang w:bidi="fa-IR"/>
          <w:color w:val="111111"/>
          <w:sz w:val="28"/>
          <w:szCs w:val="28"/>
          <w:rtl/>
        </w:rPr>
        <w:t xml:space="preserve">خط: نسخ و نستعلیق، بی کا، تا: ۱۲۲۵ق، جا: محتملاً تهران؛کاغذ: فرنگی، شکری، جلد: تیماج سبز ،دولائی ۱۱۹گ، ۱۲ سطر (8</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۲ - ۷۲]
</w:t>
      </w:r>
    </w:p>
    <w:p>
      <w:pPr>
        <w:sectPr>
          <w:footerReference w:type="default" r:id="rId1019"/>
          <w:footnotePr>
            <w:numStart w:val="1"/>
            <w:numRestart w:val="eachPage"/>
          </w:footnotePr>
          <w:pgSz w:orient="portrait" w:w="11905.511811023622" w:h="16837.79527559055"/>
          <w:pgMar w:top="1440" w:right="1440" w:bottom="1440" w:left="1440" w:header="720" w:footer="720" w:gutter="0"/>
          <w:cols w:num="1" w:space="720"/>
        </w:sectPr>
      </w:pPr>
    </w:p>
    <w:bookmarkStart w:id="465" w:name="pg20365_260955"/>
    <w:bookmarkEnd w:id="465"/>
    <w:p>
      <w:pPr>
        <w:pStyle w:val="Heading3"/>
      </w:pPr>
      <w:bookmarkStart w:id="2107" w:name="_Toc1629"/>
      <w:r>
        <w:t>اشعار و منشآت / ادبیات / فارسی</w:t>
      </w:r>
      <w:bookmarkEnd w:id="2107"/>
    </w:p>
    <w:p>
      <w:pPr>
        <w:pStyle w:val="BookText"/>
      </w:pPr>
      <w:r>
        <w:rPr>
          <w:rFonts w:ascii="Times New Roman" w:hAnsi="Times New Roman" w:eastAsia="Times New Roman" w:cs="Times New Roman"/>
          <w:lang w:val="en-US" w:bidi="en-US"/>
          <w:color w:val="111111"/>
          <w:sz w:val="28"/>
          <w:szCs w:val="28"/>
          <w:rtl/>
        </w:rPr>
        <w:t xml:space="preserve">aš‘ār va monšaāt</w:t>
      </w:r>
    </w:p>
    <w:p>
      <w:pPr>
        <w:pStyle w:val="BookText"/>
      </w:pPr>
      <w:r>
        <w:rPr>
          <w:rFonts w:ascii="IRNazanin" w:hAnsi="IRNazanin" w:eastAsia="IRNazanin" w:cs="IRNazanin"/>
          <w:lang w:bidi="fa-IR"/>
          <w:color w:val="111111"/>
          <w:sz w:val="28"/>
          <w:szCs w:val="28"/>
          <w:rtl/>
        </w:rPr>
        <w:t xml:space="preserve">غیرهمانند:</w:t>
      </w:r>
    </w:p>
    <w:p>
      <w:pPr>
        <w:pStyle w:val="BookText"/>
      </w:pPr>
      <w:r>
        <w:rPr>
          <w:rFonts w:ascii="IRNazanin" w:hAnsi="IRNazanin" w:eastAsia="IRNazanin" w:cs="IRNazanin"/>
          <w:lang w:bidi="fa-IR"/>
          <w:color w:val="111111"/>
          <w:sz w:val="28"/>
          <w:szCs w:val="28"/>
          <w:rtl/>
        </w:rPr>
        <w:t xml:space="preserve">1.تهران؛ ملی؛ شماره نسخه: ۸۰۶</w:t>
      </w:r>
    </w:p>
    <w:p>
      <w:pPr>
        <w:pStyle w:val="BookText"/>
      </w:pPr>
      <w:r>
        <w:rPr>
          <w:rFonts w:ascii="IRNazanin" w:hAnsi="IRNazanin" w:eastAsia="IRNazanin" w:cs="IRNazanin"/>
          <w:lang w:bidi="fa-IR"/>
          <w:color w:val="111111"/>
          <w:sz w:val="28"/>
          <w:szCs w:val="28"/>
          <w:rtl/>
        </w:rPr>
        <w:t xml:space="preserve">اشعار و مکتوبات، شامل: بحث از کلمه «استخر» و «ستخر» و بعضی از امثال عرب و کلمه ارم (ص ۳-۱) چند قصیده از لامـعی (4-17) چند قصیده و یک مسمط از منوچهری (۱۷-50) قصیده معروف «ای ساربان منزل مکن جز در دیار یار من» از امیر معزی (۲۵-۵۶)، چند غزل از سعدی (۵۸-۶۰)، قصیده ای شوریده (۶۱-۶۴) ایضاً قصاید و مخمساتی از شوریده شیرازی (۱۲۱-۶۷)؛ خط: شکسته نستعلیق، بی کا، تا:قرن ۱۳؛ جا: محتـملاً تهران؛ مجدول؛ کاغذ: فرنگی الوان ،جلد: مخمل سبز مقوایی، ۶۱گ، ۱۲ سطر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۱۹/۵سم [ف: ۲ - ۳۴۳]</w:t>
      </w:r>
    </w:p>
    <w:p>
      <w:pPr>
        <w:pStyle w:val="BookText"/>
      </w:pPr>
      <w:r>
        <w:rPr>
          <w:rFonts w:ascii="IRNazanin" w:hAnsi="IRNazanin" w:eastAsia="IRNazanin" w:cs="IRNazanin"/>
          <w:lang w:bidi="fa-IR"/>
          <w:color w:val="111111"/>
          <w:sz w:val="28"/>
          <w:szCs w:val="28"/>
          <w:rtl/>
        </w:rPr>
        <w:t xml:space="preserve">۲. تهران؛ مجلس؛ شماره نسخه: ۹۴۰۷/۱</w:t>
      </w:r>
    </w:p>
    <w:p>
      <w:pPr>
        <w:pStyle w:val="BookText"/>
      </w:pPr>
      <w:r>
        <w:rPr>
          <w:rFonts w:ascii="IRNazanin" w:hAnsi="IRNazanin" w:eastAsia="IRNazanin" w:cs="IRNazanin"/>
          <w:lang w:bidi="fa-IR"/>
          <w:color w:val="111111"/>
          <w:sz w:val="28"/>
          <w:szCs w:val="28"/>
          <w:rtl/>
        </w:rPr>
        <w:t xml:space="preserve">جنگ مراسلات و اشعار است از جمله نامه خواجه نصیرالدین طوسی به صدر الشریعه و جواب وی به نظم، نامه محمد سـعید تاری به حاجی محمد صادق خان نوائی و اشعار متفرقه از جمله از میرداماد ،جامی ،آذر ،عصمت ،وحشی، ملهم تبریری و غیره؛ خط: نستعلیق، بی کا، تا: حدود ۱۲۰۰ق [مختصر: ف: - ۲۴۲]</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قم؛ گلپایگانی؛ شماره نسخه: ۲۹۱۶-۱۵/۱۵۶</w:t>
      </w:r>
    </w:p>
    <w:p>
      <w:pPr>
        <w:pStyle w:val="BookText"/>
      </w:pPr>
      <w:r>
        <w:rPr>
          <w:rFonts w:ascii="IRNazanin" w:hAnsi="IRNazanin" w:eastAsia="IRNazanin" w:cs="IRNazanin"/>
          <w:lang w:bidi="fa-IR"/>
          <w:color w:val="111111"/>
          <w:sz w:val="28"/>
          <w:szCs w:val="28"/>
          <w:rtl/>
        </w:rPr>
        <w:t xml:space="preserve">آغاز: این زرنگار قبه چه کز عکس بام و در *** اندوده است قبه افلاک را به زر/ این مرتفع بنا چه که صف نعل آن *** برصدر آسمان به حقارت کند نظر؛ انجام: حسرت که باش آچوب از اقيل *** كوز يا شله حیدری رضا قیل / تحریر مصائب بلا قيل *** بورتيه ده هیچ سوات ادلار</w:t>
      </w:r>
    </w:p>
    <w:p>
      <w:pPr>
        <w:pStyle w:val="BookText"/>
      </w:pPr>
      <w:r>
        <w:rPr>
          <w:rFonts w:ascii="IRNazanin" w:hAnsi="IRNazanin" w:eastAsia="IRNazanin" w:cs="IRNazanin"/>
          <w:lang w:bidi="fa-IR"/>
          <w:color w:val="111111"/>
          <w:sz w:val="28"/>
          <w:szCs w:val="28"/>
          <w:rtl/>
        </w:rPr>
        <w:t xml:space="preserve">جمع کننده این جنگ است که شاعر بوده و «سالک» تخلص می کرده، اصالتاً از ایران، ولی جو زمانه او را ساکن هند کرده است. در این جنگ اشعار شعرای فارسی زبان و یک مثنوی  وچندنامه از خود که به معاصرینش نوشته جمع آوری نموده است.</w:t>
      </w:r>
    </w:p>
    <w:p>
      <w:pPr>
        <w:pStyle w:val="BookText"/>
      </w:pPr>
      <w:r>
        <w:rPr>
          <w:rFonts w:ascii="IRNazanin" w:hAnsi="IRNazanin" w:eastAsia="IRNazanin" w:cs="IRNazanin"/>
          <w:lang w:bidi="fa-IR"/>
          <w:color w:val="111111"/>
          <w:sz w:val="28"/>
          <w:szCs w:val="28"/>
          <w:rtl/>
        </w:rPr>
        <w:t xml:space="preserve">فهرست مطالب جنگ چنین است: اشعاری از صباحی، صبا، فریدالدین احول اصفهانی ،عبدالرزاق، اوحدی مراغه ای، سلـمان ساوجی، ترجیع بند حرم، مثنوی از صاحب جنگ در شکایت از روزگار وی (در سه صفحه) در آن می گویند که زمانه وی را به هندوستان کشانید با تلخص «سالک» آنجا که گوید: «فروبند سالک لب از گفتگو *** که این آب هرگز نیاید به جو»، اشعاری از مهدی بیک شقاقی، ترجیع بند هاتف، شیر و شکر شیخ بهایی، اربعون سورة منتخب من تورات، خطبه روز عید غدیر، اشعاری از: لمان و جامی؛ خط:شکسته، نستعلیق، کا: سالک، تا: ۱۲۳۹ ق؛جلد: تيماج قهوه ای، ۷۷گ، مختلف السطر،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  سم[ ف: ۳ - ۱۲۶۶]</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قم؛ مرعشی؛ شماره نسخه: ۶۹۳۳</w:t>
      </w:r>
    </w:p>
    <w:p>
      <w:pPr>
        <w:pStyle w:val="BookText"/>
      </w:pPr>
      <w:r>
        <w:rPr>
          <w:rFonts w:ascii="IRNazanin" w:hAnsi="IRNazanin" w:eastAsia="IRNazanin" w:cs="IRNazanin"/>
          <w:lang w:bidi="fa-IR"/>
          <w:color w:val="111111"/>
          <w:sz w:val="28"/>
          <w:szCs w:val="28"/>
          <w:rtl/>
        </w:rPr>
        <w:t xml:space="preserve">آغاز: شکر و سپاس معبودی را جلت قدرته که آفریننده مخلوقات عالم و بین و بنات بنی آدم است؛ انجام: تا هست چرخ پیر بکام تو سر بسر *** تا هست روزگار مطیع تو شهریار</w:t>
      </w:r>
    </w:p>
    <w:p>
      <w:pPr>
        <w:pStyle w:val="BookText"/>
      </w:pPr>
      <w:r>
        <w:rPr>
          <w:rFonts w:ascii="IRNazanin" w:hAnsi="IRNazanin" w:eastAsia="IRNazanin" w:cs="IRNazanin"/>
          <w:lang w:bidi="fa-IR"/>
          <w:color w:val="111111"/>
          <w:sz w:val="28"/>
          <w:szCs w:val="28"/>
          <w:rtl/>
        </w:rPr>
        <w:t xml:space="preserve">نیمه اول این جنگ منشاتی است برای آموختن نامه نگاری و نیمه دوم اشعاری از شاعران بزرگ انتخاب شده که در نامه های گوناگون می توان نوشت. در صفحه اول نام «منتخب الاشعار» به این مجموعه داده شده است؛ خط: نستعلیق، كا: محمد كاظم بن محمد حسین ، تا: ۱۲۴۰ق؛ دارای دارای سرلوح، مجدول، مذهب؛ جلد: دو رو تیماج بدون مقوا رو سبز و پشت قهوه ای، ۱۲۰گ، ۱۲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۱۸ - ۱۲۱]</w:t>
      </w:r>
    </w:p>
    <w:p>
      <w:pPr>
        <w:pStyle w:val="BookText"/>
      </w:pPr>
      <w:r>
        <w:rPr>
          <w:rFonts w:ascii="IRNazanin" w:hAnsi="IRNazanin" w:eastAsia="IRNazanin" w:cs="IRNazanin"/>
          <w:lang w:bidi="fa-IR"/>
          <w:color w:val="111111"/>
          <w:sz w:val="28"/>
          <w:szCs w:val="28"/>
          <w:rtl/>
        </w:rPr>
        <w:t xml:space="preserve">۵. قم؛ گلپایگانی؛ شماره نسخه: ۵۹۲۵-۲۹/۲۶۵</w:t>
      </w:r>
    </w:p>
    <w:p>
      <w:pPr>
        <w:pStyle w:val="BookText"/>
      </w:pPr>
      <w:r>
        <w:rPr>
          <w:rFonts w:ascii="IRNazanin" w:hAnsi="IRNazanin" w:eastAsia="IRNazanin" w:cs="IRNazanin"/>
          <w:lang w:bidi="fa-IR"/>
          <w:color w:val="111111"/>
          <w:sz w:val="28"/>
          <w:szCs w:val="28"/>
          <w:rtl/>
        </w:rPr>
        <w:t xml:space="preserve">آغاز: به ناوک غم خسته اند پیوسته از دیار جاه و منزلت و جلال و مزید عمرو اقبال آن ... این سفر مبارک اثر به حضر مسرت ثمر مبدل گردد و ادارک سعادت خدمت و ملازمت که غایت؛</w:t>
      </w:r>
    </w:p>
    <w:p>
      <w:pPr>
        <w:pStyle w:val="BookText"/>
      </w:pPr>
      <w:r>
        <w:rPr>
          <w:rFonts w:ascii="IRNazanin" w:hAnsi="IRNazanin" w:eastAsia="IRNazanin" w:cs="IRNazanin"/>
          <w:lang w:bidi="fa-IR"/>
          <w:color w:val="111111"/>
          <w:sz w:val="28"/>
          <w:szCs w:val="28"/>
          <w:rtl/>
        </w:rPr>
        <w:t xml:space="preserve">انجام: صلوات الله عليهم هدیه کند ثوابش مضاعف می گردد وصلوات بر محمد وآل او بسیار باید فرستاد ... ايضا از آن حضرت منقول است که بهشت را هر سال از برای داخل شدن ماه رمضان</w:t>
      </w:r>
    </w:p>
    <w:p>
      <w:pPr>
        <w:pStyle w:val="BookText"/>
      </w:pPr>
      <w:r>
        <w:rPr>
          <w:rFonts w:ascii="IRNazanin" w:hAnsi="IRNazanin" w:eastAsia="IRNazanin" w:cs="IRNazanin"/>
          <w:lang w:bidi="fa-IR"/>
          <w:color w:val="111111"/>
          <w:sz w:val="28"/>
          <w:szCs w:val="28"/>
          <w:rtl/>
        </w:rPr>
        <w:t xml:space="preserve">شامل اشعاری از شاعران پارسی و منشآتی که برای یادگیری مبتدیان جمع شده است، ترتیب مطالب آن نامنظم است، در آن همچنین دو نامه ای که مولانا عبدالکریم و محمد امین وقاری نوشته و از قطع مواجب خود گله کرده اند مندرج است؛ خط: شکسته، نستعلیق، بی کا،تا: ۲۷ ربیع الثانی ۱۲۴۷ق؛ افتادگی: آغاز و انجام؛ جلد: مقوای کرمی، ۵۱گ، مختلف السطر، قطع: بياض رقعی، اندازه: 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۳ - ۱۲۸۱]</w:t>
      </w:r>
    </w:p>
    <w:p>
      <w:pPr>
        <w:pStyle w:val="BookText"/>
      </w:pPr>
      <w:r>
        <w:rPr>
          <w:rFonts w:ascii="IRNazanin" w:hAnsi="IRNazanin" w:eastAsia="IRNazanin" w:cs="IRNazanin"/>
          <w:lang w:bidi="fa-IR"/>
          <w:color w:val="111111"/>
          <w:sz w:val="28"/>
          <w:szCs w:val="28"/>
          <w:rtl/>
        </w:rPr>
        <w:t xml:space="preserve">۶. شیراز؛ خانقاه احمدیه؛ شماره نسخه: ۱۴۵</w:t>
      </w:r>
    </w:p>
    <w:p>
      <w:pPr>
        <w:pStyle w:val="BookText"/>
      </w:pPr>
      <w:r>
        <w:rPr>
          <w:rFonts w:ascii="IRNazanin" w:hAnsi="IRNazanin" w:eastAsia="IRNazanin" w:cs="IRNazanin"/>
          <w:lang w:bidi="fa-IR"/>
          <w:color w:val="111111"/>
          <w:sz w:val="28"/>
          <w:szCs w:val="28"/>
          <w:rtl/>
        </w:rPr>
        <w:t xml:space="preserve">خط: شکسته نستعلیق، کا: میرزا طغرل بن محمد تقی، تا: ۱۲۹۷ق[ نشریه: ۵ - ۲۱۱]</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تهران؛ ملی؛ شماره نسخه: ۱۵۹۸۵</w:t>
      </w:r>
    </w:p>
    <w:p>
      <w:pPr>
        <w:pStyle w:val="BookText"/>
      </w:pPr>
      <w:r>
        <w:rPr>
          <w:rFonts w:ascii="IRNazanin" w:hAnsi="IRNazanin" w:eastAsia="IRNazanin" w:cs="IRNazanin"/>
          <w:lang w:bidi="fa-IR"/>
          <w:color w:val="111111"/>
          <w:sz w:val="28"/>
          <w:szCs w:val="28"/>
          <w:rtl/>
        </w:rPr>
        <w:t xml:space="preserve">بی کا، بی تا؛ انتقالی از سازمان مدارک فرهنگی؛ اندازه: ۱۶/۳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۲۶سم [رایانه ]</w:t>
      </w:r>
    </w:p>
    <w:p>
      <w:pPr>
        <w:pStyle w:val="BookText"/>
      </w:pPr>
      <w:r>
        <w:rPr>
          <w:rFonts w:ascii="IRNazanin" w:hAnsi="IRNazanin" w:eastAsia="IRNazanin" w:cs="IRNazanin"/>
          <w:lang w:bidi="fa-IR"/>
          <w:color w:val="111111"/>
          <w:sz w:val="28"/>
          <w:szCs w:val="28"/>
          <w:rtl/>
        </w:rPr>
        <w:t xml:space="preserve">۸. قم؛ گلپایگانی؛ شماره نسخه: ۷۷۸۲-۳۹/۱۶۲</w:t>
      </w:r>
    </w:p>
    <w:p>
      <w:pPr>
        <w:pStyle w:val="BookText"/>
      </w:pPr>
      <w:r>
        <w:rPr>
          <w:rFonts w:ascii="IRNazanin" w:hAnsi="IRNazanin" w:eastAsia="IRNazanin" w:cs="IRNazanin"/>
          <w:lang w:bidi="fa-IR"/>
          <w:color w:val="111111"/>
          <w:sz w:val="28"/>
          <w:szCs w:val="28"/>
          <w:rtl/>
        </w:rPr>
        <w:t xml:space="preserve">آغاز: کنون کز بساط هوادر چمن *** طرب ریزد از خنده یاسمن/ کسی را مدد کرد بخت سعید*** که چون سایه افتاد در پای بید؛</w:t>
      </w:r>
    </w:p>
    <w:p>
      <w:pPr>
        <w:pStyle w:val="BookText"/>
      </w:pPr>
      <w:r>
        <w:rPr>
          <w:rFonts w:ascii="IRNazanin" w:hAnsi="IRNazanin" w:eastAsia="IRNazanin" w:cs="IRNazanin"/>
          <w:lang w:bidi="fa-IR"/>
          <w:color w:val="111111"/>
          <w:sz w:val="28"/>
          <w:szCs w:val="28"/>
          <w:rtl/>
        </w:rPr>
        <w:t xml:space="preserve">انجام: کونگاری که دل تنگ مرا بگشاید *** با ... که از آن قوت روح افزاید</w:t>
      </w:r>
    </w:p>
    <w:p>
      <w:pPr>
        <w:pStyle w:val="BookText"/>
      </w:pPr>
      <w:r>
        <w:rPr>
          <w:rFonts w:ascii="IRNazanin" w:hAnsi="IRNazanin" w:eastAsia="IRNazanin" w:cs="IRNazanin"/>
          <w:lang w:bidi="fa-IR"/>
          <w:color w:val="111111"/>
          <w:sz w:val="28"/>
          <w:szCs w:val="28"/>
          <w:rtl/>
        </w:rPr>
        <w:t xml:space="preserve">شامل چند قطعه از منشات ادبی و اشعاری از شعرایی چون شعله، مسیحا، ،جنونی ،حافظ ،عاشق، به خط کاتبان مختلف از قرن یازده هجری ؛خط: نستعلیق ،کا: محمد جعفر فراهانی و وجیهی، تا: 1080و 1086و 1079؛ مجدول؛ جلد: مقوای سفید عطف گالینگور قهوه ای، ۵۰گ، مختلف السطر چلیپایی،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۳ - ۱۲۶۵]</w:t>
      </w:r>
    </w:p>
    <w:p>
      <w:pPr>
        <w:pStyle w:val="BookText"/>
      </w:pPr>
      <w:r>
        <w:rPr>
          <w:rFonts w:ascii="IRNazanin" w:hAnsi="IRNazanin" w:eastAsia="IRNazanin" w:cs="IRNazanin"/>
          <w:lang w:bidi="fa-IR"/>
          <w:color w:val="111111"/>
          <w:sz w:val="28"/>
          <w:szCs w:val="28"/>
          <w:rtl/>
        </w:rPr>
        <w:t xml:space="preserve">۹. قم؛ گلپایگانی؛ شماره نسخه: ۳۴۵۳-۳۳۷/۲۱</w:t>
      </w:r>
    </w:p>
    <w:p>
      <w:pPr>
        <w:pStyle w:val="BookText"/>
      </w:pPr>
      <w:r>
        <w:rPr>
          <w:rFonts w:ascii="IRNazanin" w:hAnsi="IRNazanin" w:eastAsia="IRNazanin" w:cs="IRNazanin"/>
          <w:lang w:bidi="fa-IR"/>
          <w:color w:val="111111"/>
          <w:sz w:val="28"/>
          <w:szCs w:val="28"/>
          <w:rtl/>
        </w:rPr>
        <w:t xml:space="preserve">آغاز: ای صبا ای قاصد جانان من*** شوبسک بادا فدایت جان
</w:t>
      </w:r>
    </w:p>
    <w:p>
      <w:pPr>
        <w:sectPr>
          <w:footerReference w:type="default" r:id="rId1020"/>
          <w:footnotePr>
            <w:numStart w:val="1"/>
            <w:numRestart w:val="eachPage"/>
          </w:footnotePr>
          <w:pgSz w:orient="portrait" w:w="11905.511811023622" w:h="16837.79527559055"/>
          <w:pgMar w:top="1440" w:right="1440" w:bottom="1440" w:left="1440" w:header="720" w:footer="720" w:gutter="0"/>
          <w:cols w:num="1" w:space="720"/>
        </w:sectPr>
      </w:pPr>
    </w:p>
    <w:bookmarkStart w:id="466" w:name="pg20365_260956"/>
    <w:bookmarkEnd w:id="466"/>
    <w:p>
      <w:pPr>
        <w:pStyle w:val="BookText"/>
      </w:pPr>
      <w:r>
        <w:rPr>
          <w:rFonts w:ascii="IRNazanin" w:hAnsi="IRNazanin" w:eastAsia="IRNazanin" w:cs="IRNazanin"/>
          <w:lang w:bidi="fa-IR"/>
          <w:color w:val="111111"/>
          <w:sz w:val="28"/>
          <w:szCs w:val="28"/>
          <w:rtl/>
        </w:rPr>
        <w:t xml:space="preserve">من / از من مسکین سلام بی ریا ***بر به سوی یار از روی وفا ؛</w:t>
      </w:r>
    </w:p>
    <w:p>
      <w:pPr>
        <w:pStyle w:val="BookText"/>
      </w:pPr>
      <w:r>
        <w:rPr>
          <w:rFonts w:ascii="IRNazanin" w:hAnsi="IRNazanin" w:eastAsia="IRNazanin" w:cs="IRNazanin"/>
          <w:lang w:bidi="fa-IR"/>
          <w:color w:val="111111"/>
          <w:sz w:val="28"/>
          <w:szCs w:val="28"/>
          <w:rtl/>
        </w:rPr>
        <w:t xml:space="preserve">انجام: امید که آن قرة العين وثمرة الفواد و فلذة الكبد ازهر حادثه در پناه داور</w:t>
      </w:r>
    </w:p>
    <w:p>
      <w:pPr>
        <w:pStyle w:val="BookText"/>
      </w:pPr>
      <w:r>
        <w:rPr>
          <w:rFonts w:ascii="IRNazanin" w:hAnsi="IRNazanin" w:eastAsia="IRNazanin" w:cs="IRNazanin"/>
          <w:lang w:bidi="fa-IR"/>
          <w:color w:val="111111"/>
          <w:sz w:val="28"/>
          <w:szCs w:val="28"/>
          <w:rtl/>
        </w:rPr>
        <w:t xml:space="preserve">بیاضی است شامل منشاتی برای یادگیری ادبیان و منشیان اشعاری از: بیمار و طبیب شریف تبریزی ،اختلاجات  اعضا، نان و حلوا شیخ بهایی، سعدی ،مجمر،حافظ ،عرفی، یغما، نشاط، خاور، میرزا هلاک، فقیر؛ خط: شکسته، نستعلیق، بی کا،تا: ۱۲۵۸-۱۲۵۷، جا: اصفهان، مدرسه صدر؛ افتادگی: انجام؛ جـلد: تیماج مشکی مجدول، ۱۵۶گ، ۱۲-۱۴ سطر، قطع : بیاض رقعی، اندازه: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۳ - ۱۲۶۵]</w:t>
      </w:r>
    </w:p>
    <w:p>
      <w:pPr>
        <w:pStyle w:val="BookText"/>
      </w:pPr>
      <w:r>
        <w:rPr>
          <w:rFonts w:ascii="IRNazanin" w:hAnsi="IRNazanin" w:eastAsia="IRNazanin" w:cs="IRNazanin"/>
          <w:lang w:bidi="fa-IR"/>
          <w:color w:val="111111"/>
          <w:sz w:val="28"/>
          <w:szCs w:val="28"/>
          <w:rtl/>
        </w:rPr>
        <w:t xml:space="preserve">۱۰. قم؛ گلپایگانی؛ شماره نسخه: ۸۸۶۲/۵-۵۹/۸۲</w:t>
      </w:r>
    </w:p>
    <w:p>
      <w:pPr>
        <w:pStyle w:val="BookText"/>
      </w:pPr>
      <w:r>
        <w:rPr>
          <w:rFonts w:ascii="IRNazanin" w:hAnsi="IRNazanin" w:eastAsia="IRNazanin" w:cs="IRNazanin"/>
          <w:lang w:bidi="fa-IR"/>
          <w:color w:val="111111"/>
          <w:sz w:val="28"/>
          <w:szCs w:val="28"/>
          <w:rtl/>
        </w:rPr>
        <w:t xml:space="preserve">آغاز: ای نسیم صبا رجوت اليك *** قل لمحبوبى السلام عليک/ گر چه دورم بظاهر از برتو *** انما القلب و الفؤاد لديك</w:t>
      </w:r>
    </w:p>
    <w:p>
      <w:pPr>
        <w:pStyle w:val="BookText"/>
      </w:pPr>
      <w:r>
        <w:rPr>
          <w:rFonts w:ascii="IRNazanin" w:hAnsi="IRNazanin" w:eastAsia="IRNazanin" w:cs="IRNazanin"/>
          <w:lang w:bidi="fa-IR"/>
          <w:color w:val="111111"/>
          <w:sz w:val="28"/>
          <w:szCs w:val="28"/>
          <w:rtl/>
        </w:rPr>
        <w:t xml:space="preserve">اشعار و مکاتبات است؛ خط: نسخ، بی کا، بی تا؛ در چند برگ پایانی چند نامه عاشقانه تحریر شده، در حواشی اغلب برگ ها اشعاری به فارسی تحریر شده؛ ۳ گ(۷۲-۷۵) و حواشی برگ ها، مختلف السطر،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۱ - ۳۷۳]</w:t>
      </w:r>
    </w:p>
    <w:p>
      <w:pPr>
        <w:pStyle w:val="BookText"/>
      </w:pPr>
      <w:r>
        <w:rPr>
          <w:rFonts w:ascii="IRNazanin" w:hAnsi="IRNazanin" w:eastAsia="IRNazanin" w:cs="IRNazanin"/>
          <w:lang w:bidi="fa-IR"/>
          <w:color w:val="111111"/>
          <w:sz w:val="28"/>
          <w:szCs w:val="28"/>
          <w:rtl/>
        </w:rPr>
        <w:t xml:space="preserve">۱۱. تهران؛ ملی؛ شماره نسخه: ۱۵۸۴۶</w:t>
      </w:r>
    </w:p>
    <w:p>
      <w:pPr>
        <w:pStyle w:val="BookText"/>
      </w:pPr>
      <w:r>
        <w:rPr>
          <w:rFonts w:ascii="IRNazanin" w:hAnsi="IRNazanin" w:eastAsia="IRNazanin" w:cs="IRNazanin"/>
          <w:lang w:bidi="fa-IR"/>
          <w:color w:val="111111"/>
          <w:sz w:val="28"/>
          <w:szCs w:val="28"/>
          <w:rtl/>
        </w:rPr>
        <w:t xml:space="preserve">آغاز: ای خان فلکجاه ملک قدر که نبود اندر همه اصلاب فلـک چون تو سلاله؛ انجام: آنکه افزون ز وصف صد چو توئی اسـت شاهد كل ناقص ملعون</w:t>
      </w:r>
    </w:p>
    <w:p>
      <w:pPr>
        <w:pStyle w:val="BookText"/>
      </w:pPr>
      <w:r>
        <w:rPr>
          <w:rFonts w:ascii="IRNazanin" w:hAnsi="IRNazanin" w:eastAsia="IRNazanin" w:cs="IRNazanin"/>
          <w:lang w:bidi="fa-IR"/>
          <w:color w:val="111111"/>
          <w:sz w:val="28"/>
          <w:szCs w:val="28"/>
          <w:rtl/>
        </w:rPr>
        <w:t xml:space="preserve">مجموعه ای از نامه های مختلف و اشعاری در هجو میراسحاق و تاجر کرمانی و هجویات دیگر ؛خط: نستعلیق  تحریری، بی کا، بی تا؛ کاغذ: فرنگی نخودی ،جلد: ساغری قهوه ای  یک لا، اندرون جلد و عطف و سجاف میشن  مشکی، ۲۳گ (۲۱۱پ-۲۳۴)،  15 سطر (۷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[رایانه]</w:t>
      </w:r>
    </w:p>
    <w:p>
      <w:pPr>
        <w:pStyle w:val="BookText"/>
      </w:pPr>
      <w:r>
        <w:rPr>
          <w:rFonts w:ascii="IRNazanin" w:hAnsi="IRNazanin" w:eastAsia="IRNazanin" w:cs="IRNazanin"/>
          <w:lang w:bidi="fa-IR"/>
          <w:color w:val="111111"/>
          <w:sz w:val="28"/>
          <w:szCs w:val="28"/>
          <w:rtl/>
        </w:rPr>
        <w:t xml:space="preserve">۱۲. تهران؛ دانشگاه؛ شماره نسخه: ۱۲۳۶/۵۰ -ف و ۱۳۳۸/۵۰ -ف</w:t>
      </w:r>
    </w:p>
    <w:p>
      <w:pPr>
        <w:pStyle w:val="BookText"/>
      </w:pPr>
      <w:r>
        <w:rPr>
          <w:rFonts w:ascii="IRNazanin" w:hAnsi="IRNazanin" w:eastAsia="IRNazanin" w:cs="IRNazanin"/>
          <w:lang w:bidi="fa-IR"/>
          <w:color w:val="111111"/>
          <w:sz w:val="28"/>
          <w:szCs w:val="28"/>
          <w:rtl/>
        </w:rPr>
        <w:t xml:space="preserve">نسخه اصل: بادلیان 69 </w:t>
      </w:r>
      <w:r>
        <w:rPr>
          <w:rFonts w:ascii="Times New Roman" w:hAnsi="Times New Roman" w:eastAsia="Times New Roman" w:cs="Times New Roman"/>
          <w:lang w:val="en-US" w:bidi="en-US"/>
          <w:color w:val="111111"/>
          <w:sz w:val="28"/>
          <w:szCs w:val="28"/>
          <w:rtl/>
        </w:rPr>
        <w:t xml:space="preserve">Add </w:t>
      </w:r>
      <w:r>
        <w:rPr>
          <w:rFonts w:ascii="IRNazanin" w:hAnsi="IRNazanin" w:eastAsia="IRNazanin" w:cs="IRNazanin"/>
          <w:lang w:bidi="fa-IR"/>
          <w:color w:val="111111"/>
          <w:sz w:val="28"/>
          <w:szCs w:val="28"/>
          <w:rtl/>
        </w:rPr>
        <w:t xml:space="preserve">اوزلی (ش ۱۲۴۱) فارسی و هندوستانی مانند مخمس های بیضا (بر ضد نسخه طغرا) و مناجـات یکی از واعظ و قصیده ها یکی در مدح چهار یار و غزل های شاه عالم و مخمس و غزل یکتا و نوید و شاهد مخلص و حزین و امید و میرزا خاکسار و رباعی ها و فردها وغزل های کوتاه و مخمس که یکی از حاتم هندوستانی است و شعرهایی به زبان هندوستانی بکن از رفیع سودا و ترکیب بند حزین به زبان ریخته و واسخت وحشی؛ بی کا، بی تا [فیلمها: ۱- ۵۸۷]</w:t>
      </w:r>
    </w:p>
    <w:p>
      <w:pPr>
        <w:pStyle w:val="Heading3"/>
      </w:pPr>
      <w:bookmarkStart w:id="2108" w:name="_Toc1630"/>
      <w:r>
        <w:t>اشعار و مهملات = جنگ / گوناگون / فارسی</w:t>
      </w:r>
      <w:bookmarkEnd w:id="2108"/>
    </w:p>
    <w:p>
      <w:pPr>
        <w:pStyle w:val="BookText"/>
      </w:pPr>
      <w:r>
        <w:rPr>
          <w:rFonts w:ascii="Times New Roman" w:hAnsi="Times New Roman" w:eastAsia="Times New Roman" w:cs="Times New Roman"/>
          <w:lang w:val="en-US" w:bidi="en-US"/>
          <w:color w:val="111111"/>
          <w:sz w:val="28"/>
          <w:szCs w:val="28"/>
          <w:rtl/>
        </w:rPr>
        <w:t xml:space="preserve">aš‘ār va mohmalāt = jong</w:t>
      </w:r>
    </w:p>
    <w:p>
      <w:pPr>
        <w:pStyle w:val="BookText"/>
      </w:pPr>
      <w:r>
        <w:rPr>
          <w:rFonts w:ascii="IRNazanin" w:hAnsi="IRNazanin" w:eastAsia="IRNazanin" w:cs="IRNazanin"/>
          <w:lang w:bidi="fa-IR"/>
          <w:color w:val="111111"/>
          <w:sz w:val="28"/>
          <w:szCs w:val="28"/>
          <w:rtl/>
        </w:rPr>
        <w:t xml:space="preserve">فرهاد میرزا قاجار، ۱۲۳۳ - ۱۳۰۵ قمری</w:t>
      </w:r>
    </w:p>
    <w:p>
      <w:pPr>
        <w:pStyle w:val="BookText"/>
      </w:pPr>
      <w:r>
        <w:rPr>
          <w:rFonts w:ascii="Times New Roman" w:hAnsi="Times New Roman" w:eastAsia="Times New Roman" w:cs="Times New Roman"/>
          <w:lang w:val="en-US" w:bidi="en-US"/>
          <w:color w:val="111111"/>
          <w:sz w:val="28"/>
          <w:szCs w:val="28"/>
          <w:rtl/>
        </w:rPr>
        <w:t xml:space="preserve">(farhād mīrzā qājār (1818 - 1888)</w:t>
      </w:r>
    </w:p>
    <w:p>
      <w:pPr>
        <w:pStyle w:val="BookText"/>
      </w:pPr>
      <w:r>
        <w:rPr>
          <w:rFonts w:ascii="IRNazanin" w:hAnsi="IRNazanin" w:eastAsia="IRNazanin" w:cs="IRNazanin"/>
          <w:lang w:bidi="fa-IR"/>
          <w:color w:val="111111"/>
          <w:sz w:val="28"/>
          <w:szCs w:val="28"/>
          <w:rtl/>
        </w:rPr>
        <w:t xml:space="preserve">همان منشات مشهور فرهاد میرزا است که برخی مطالب اضـافه دارد این عناوین در کتاب حاضر دیده می شود: انشای وی بدون استفاده از لغات تازی تألیف شده در یک منزلی گنبد قابوس به سال ۱۲۵۲ق؛ حکایاتی بدون حرف الف و باء و تاء؛ کاغذی به امام جمعه تهران میرزا  ابوالقاسم، نامه ای به فریدون میرزا بعد از فتنه بابی به سال ۱۲۶۹ق؛ نامه به نصرت الدوله فیروز میرزا ؛در پشت کتاب دعائی که همیشه همراه آبدار است نوشته به سال ۱۲۷۶ق؛ نامه به احمد خان بن عبدالحسین خان به سال ۱۲۷۹ق؛ عریضه ای از قول سلیم سیاه به خاکپای مبارک؛ نامه ای به شعاع السلطنه به سال ۱۲۸۱ق؛ نامه ای به اعتضاد السلطنه؛ نامه به محسن میرزای امیر آخور؛ نامه به میرزا سعید خان وزیر امور خارجه؛ به اعتضاد السلطنه به سال ۱۲۸۱ق؛ به ملامحمود ترک ادیب ملاباشی؛ به اعتضاد السلطنه به سال ۱۲۸۲ق؛ رقمی از جانب مهد علیا ؛نامه ای به معاون الملک میرزا عباس خان به سال ۱۲۸۳ق؛ عریضه ای به شکارگاه جاجرود به اعلی حضرت به سال ۱۲۸۳ق؛ عریضه ای به اعلی حضرت به سال ۱۲۸۴ق؛ در جواب عریضه میرزا ابو طالب وزیر لرستان به سال ۱۲۸۴ق؛ نامه ای به مؤید الدوله به سال ۱۲۸۴ق؛ به حسام السلطنه در سال ۱۲۸۴ق؛ به حسنعلی خان وزیر مختار به سال ۱۲۸۴ق به اعتضاد السلطنه به سال ۱۲۸۴ق؛ به علی اکبرخان مباشر جوان رود؛ به اعتضاد السلطنه به سال ۱۲۸۵ق؛ به آقای مستوفی الممالک به سال ۱۲۸۵ق؛ به اعتضاد السلطنه به سال ۱۲۸۵ق؛ به همو در همان سال؛ به مهد علیا به سال ۱۲۸۶ق؛ به حسنعلی خان وزیر مختار به سال ۱۲۸۶ق؛ به میرزا رضای وکیل منشی باشی به سال ۱۲۸۶ ق؛ به حسنعلی خان وزیر مختار؛ به همو در سال ۱۲۸۷ق؛ به اعتضاد السلطنه به سال ۱۲۸۷ق؛ به حسنعلی خان سال ۱۲۸۷ق؛ به یکی از اعیان در مقام نصیحت؛ به حسنعلی خان سال ۱۲۸۸ق؛ به میرزا محمدحسین دبیر الملک؛ به حشمت الدوله به سال ۱۲۸۹ق؛ به دیوان خانه عدلیه؛ به شاهزاده خانم حاجی نگار خانم به سال ۱۲۹۱ق؛ به وزیر مختار از ینبع؛ به وزیر دفتر از مکه به سال ۱۲۹۲ق؛ اشعاری از مؤلف از سال ۱۲۵۱ - ۱۲۹۳. این کتاب در آغاز به خط مؤلف چنان نامیده شده که ذکر کردیم.</w:t>
      </w:r>
    </w:p>
    <w:p>
      <w:pPr>
        <w:pStyle w:val="BookText"/>
      </w:pPr>
      <w:r>
        <w:rPr>
          <w:rFonts w:ascii="IRNazanin" w:hAnsi="IRNazanin" w:eastAsia="IRNazanin" w:cs="IRNazanin"/>
          <w:lang w:bidi="fa-IR"/>
          <w:color w:val="111111"/>
          <w:sz w:val="28"/>
          <w:szCs w:val="28"/>
          <w:rtl/>
        </w:rPr>
        <w:t xml:space="preserve">[الذریعه ۳۵/۲۳؛ دنا ۱۰۲۶/۱]</w:t>
      </w:r>
    </w:p>
    <w:p>
      <w:pPr>
        <w:pStyle w:val="BookText"/>
      </w:pPr>
      <w:r>
        <w:rPr>
          <w:rFonts w:ascii="IRNazanin" w:hAnsi="IRNazanin" w:eastAsia="IRNazanin" w:cs="IRNazanin"/>
          <w:lang w:bidi="fa-IR"/>
          <w:color w:val="111111"/>
          <w:sz w:val="28"/>
          <w:szCs w:val="28"/>
          <w:rtl/>
        </w:rPr>
        <w:t xml:space="preserve">تهران؛ مجلس؛ شماره نسخه: ۸۶۳۵</w:t>
      </w:r>
    </w:p>
    <w:p>
      <w:pPr>
        <w:pStyle w:val="BookText"/>
      </w:pPr>
      <w:r>
        <w:rPr>
          <w:rFonts w:ascii="IRNazanin" w:hAnsi="IRNazanin" w:eastAsia="IRNazanin" w:cs="IRNazanin"/>
          <w:lang w:bidi="fa-IR"/>
          <w:color w:val="111111"/>
          <w:sz w:val="28"/>
          <w:szCs w:val="28"/>
          <w:rtl/>
        </w:rPr>
        <w:t xml:space="preserve">آغاز: ستایش مر خدائی را سزا که از آب و خاک جان پاک آفریده او را از همه آفریده گان برگزیده بر از جامه دانشش پوشانیده و می از جام بینشش نوشانیده است؛ انجام: به همین بلکه هر چه چوبین است*** این چنینش بود حساب و شمار</w:t>
      </w:r>
    </w:p>
    <w:p>
      <w:pPr>
        <w:pStyle w:val="BookText"/>
      </w:pPr>
      <w:r>
        <w:rPr>
          <w:rFonts w:ascii="IRNazanin" w:hAnsi="IRNazanin" w:eastAsia="IRNazanin" w:cs="IRNazanin"/>
          <w:lang w:bidi="fa-IR"/>
          <w:color w:val="111111"/>
          <w:sz w:val="28"/>
          <w:szCs w:val="28"/>
          <w:rtl/>
        </w:rPr>
        <w:t xml:space="preserve">خط: نسخ ممتاز، بی کا، تا: قرن ۱۳ و ۱۴؛ مجدول، مذهب، دارای حواشی در معنای برخی از لغات، روی برگ اول نام کتاب به خط مؤلف آمده است، مصحح ،جلد: تیماج قهوه ای مجدول ضربی، ۱۶۹گ، ۱۴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۲۲/۵سم [ف: ۲۸ - ۱۷۴]</w:t>
      </w:r>
    </w:p>
    <w:p>
      <w:pPr>
        <w:pStyle w:val="Heading3"/>
      </w:pPr>
      <w:bookmarkStart w:id="2109" w:name="_Toc1631"/>
      <w:r>
        <w:t>اشعار و یادداشت های پراکنده / ادبیات فارسی</w:t>
      </w:r>
      <w:bookmarkEnd w:id="2109"/>
    </w:p>
    <w:p>
      <w:pPr>
        <w:pStyle w:val="BookText"/>
      </w:pPr>
      <w:r>
        <w:rPr>
          <w:rFonts w:ascii="Times New Roman" w:hAnsi="Times New Roman" w:eastAsia="Times New Roman" w:cs="Times New Roman"/>
          <w:lang w:val="en-US" w:bidi="en-US"/>
          <w:color w:val="111111"/>
          <w:sz w:val="28"/>
          <w:szCs w:val="28"/>
          <w:rtl/>
        </w:rPr>
        <w:t xml:space="preserve">aš ār va yāddāšt-ha-ye parakande
</w:t>
      </w:r>
    </w:p>
    <w:p>
      <w:pPr>
        <w:sectPr>
          <w:footerReference w:type="default" r:id="rId1021"/>
          <w:footnotePr>
            <w:numStart w:val="1"/>
            <w:numRestart w:val="eachPage"/>
          </w:footnotePr>
          <w:pgSz w:orient="portrait" w:w="11905.511811023622" w:h="16837.79527559055"/>
          <w:pgMar w:top="1440" w:right="1440" w:bottom="1440" w:left="1440" w:header="720" w:footer="720" w:gutter="0"/>
          <w:cols w:num="1" w:space="720"/>
        </w:sectPr>
      </w:pPr>
    </w:p>
    <w:bookmarkStart w:id="467" w:name="pg20365_260957"/>
    <w:bookmarkEnd w:id="467"/>
    <w:p>
      <w:pPr>
        <w:pStyle w:val="BookText"/>
      </w:pPr>
      <w:r>
        <w:rPr>
          <w:rFonts w:ascii="IRNazanin" w:hAnsi="IRNazanin" w:eastAsia="IRNazanin" w:cs="IRNazanin"/>
          <w:lang w:bidi="fa-IR"/>
          <w:color w:val="111111"/>
          <w:sz w:val="28"/>
          <w:szCs w:val="28"/>
          <w:rtl/>
        </w:rPr>
        <w:t xml:space="preserve">امیرخیزی، اسماعیل بن محمد تقی، ۱۲۵۵ - 1344 شمسی</w:t>
      </w:r>
    </w:p>
    <w:p>
      <w:pPr>
        <w:pStyle w:val="BookText"/>
      </w:pPr>
      <w:r>
        <w:rPr>
          <w:rFonts w:ascii="Times New Roman" w:hAnsi="Times New Roman" w:eastAsia="Times New Roman" w:cs="Times New Roman"/>
          <w:lang w:val="en-US" w:bidi="en-US"/>
          <w:color w:val="111111"/>
          <w:sz w:val="28"/>
          <w:szCs w:val="28"/>
          <w:rtl/>
        </w:rPr>
        <w:t xml:space="preserve">(amīr-xīzī, esmā‘īl ebn-e mohammad taqī (1876 - 1965)</w:t>
      </w:r>
    </w:p>
    <w:p>
      <w:pPr>
        <w:pStyle w:val="BookText"/>
      </w:pPr>
      <w:r>
        <w:rPr>
          <w:rFonts w:ascii="IRNazanin" w:hAnsi="IRNazanin" w:eastAsia="IRNazanin" w:cs="IRNazanin"/>
          <w:lang w:bidi="fa-IR"/>
          <w:color w:val="111111"/>
          <w:sz w:val="28"/>
          <w:szCs w:val="28"/>
          <w:rtl/>
        </w:rPr>
        <w:t xml:space="preserve">گزیده هایی است از کتاب های مختلف همچون تذکره هفـت اقلیم و اشعار شعرای مختلف همچون  خواجو، واله داغستانی و...</w:t>
      </w:r>
    </w:p>
    <w:p>
      <w:pPr>
        <w:pStyle w:val="BookText"/>
      </w:pPr>
      <w:r>
        <w:rPr>
          <w:rFonts w:ascii="IRNazanin" w:hAnsi="IRNazanin" w:eastAsia="IRNazanin" w:cs="IRNazanin"/>
          <w:lang w:bidi="fa-IR"/>
          <w:color w:val="111111"/>
          <w:sz w:val="28"/>
          <w:szCs w:val="28"/>
          <w:rtl/>
        </w:rPr>
        <w:t xml:space="preserve">تهران؛ مجلس؛ شماره نسخه: ۹۸۵۴</w:t>
      </w:r>
    </w:p>
    <w:p>
      <w:pPr>
        <w:pStyle w:val="BookText"/>
      </w:pPr>
      <w:r>
        <w:rPr>
          <w:rFonts w:ascii="IRNazanin" w:hAnsi="IRNazanin" w:eastAsia="IRNazanin" w:cs="IRNazanin"/>
          <w:lang w:bidi="fa-IR"/>
          <w:color w:val="111111"/>
          <w:sz w:val="28"/>
          <w:szCs w:val="28"/>
          <w:rtl/>
        </w:rPr>
        <w:t xml:space="preserve">آغاز: تاریخ تذکره هفت اقلیم. این نسخه که هست همچو فردوس نكو</w:t>
      </w:r>
    </w:p>
    <w:p>
      <w:pPr>
        <w:pStyle w:val="BookText"/>
      </w:pPr>
      <w:r>
        <w:rPr>
          <w:rFonts w:ascii="IRNazanin" w:hAnsi="IRNazanin" w:eastAsia="IRNazanin" w:cs="IRNazanin"/>
          <w:lang w:bidi="fa-IR"/>
          <w:color w:val="111111"/>
          <w:sz w:val="28"/>
          <w:szCs w:val="28"/>
          <w:rtl/>
        </w:rPr>
        <w:t xml:space="preserve">خط: نستعلیق، کا: اسماعیل امیر خیزی، تا: قرن۱۴ ؛جلد: تیماج فرنگی مشکی، ۸۹گ، ۱۹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31- 113]</w:t>
      </w:r>
    </w:p>
    <w:p>
      <w:pPr>
        <w:pStyle w:val="Heading3"/>
      </w:pPr>
      <w:bookmarkStart w:id="2110" w:name="_Toc1632"/>
      <w:r>
        <w:t>اشعاری از بدخشی / شعر / فارسی</w:t>
      </w:r>
      <w:bookmarkEnd w:id="2110"/>
    </w:p>
    <w:p>
      <w:pPr>
        <w:pStyle w:val="BookText"/>
      </w:pPr>
      <w:r>
        <w:rPr>
          <w:rFonts w:ascii="Times New Roman" w:hAnsi="Times New Roman" w:eastAsia="Times New Roman" w:cs="Times New Roman"/>
          <w:lang w:val="en-US" w:bidi="en-US"/>
          <w:color w:val="111111"/>
          <w:sz w:val="28"/>
          <w:szCs w:val="28"/>
          <w:rtl/>
        </w:rPr>
        <w:t xml:space="preserve">aš‘ārī az badaxšī</w:t>
      </w:r>
    </w:p>
    <w:p>
      <w:pPr>
        <w:pStyle w:val="BookText"/>
      </w:pPr>
      <w:r>
        <w:rPr>
          <w:rFonts w:ascii="IRNazanin" w:hAnsi="IRNazanin" w:eastAsia="IRNazanin" w:cs="IRNazanin"/>
          <w:lang w:bidi="fa-IR"/>
          <w:color w:val="111111"/>
          <w:sz w:val="28"/>
          <w:szCs w:val="28"/>
          <w:rtl/>
        </w:rPr>
        <w:t xml:space="preserve">تهران؛ دانشگاه؛ شماره نسخه: ۱۰۹۵۸/۹</w:t>
      </w:r>
    </w:p>
    <w:p>
      <w:pPr>
        <w:pStyle w:val="BookText"/>
      </w:pPr>
      <w:r>
        <w:rPr>
          <w:rFonts w:ascii="IRNazanin" w:hAnsi="IRNazanin" w:eastAsia="IRNazanin" w:cs="IRNazanin"/>
          <w:lang w:bidi="fa-IR"/>
          <w:color w:val="111111"/>
          <w:sz w:val="28"/>
          <w:szCs w:val="28"/>
          <w:rtl/>
        </w:rPr>
        <w:t xml:space="preserve">آغاز: مشاطه ای که موی تراشانه ساخته *** ارباب عقل را هـمه دیوانه ساخته / تا آشنا شدم به سگ کوی او مرا *** از خویش و آشنا همه بیگانه ساخته</w:t>
      </w:r>
    </w:p>
    <w:p>
      <w:pPr>
        <w:pStyle w:val="BookText"/>
      </w:pPr>
      <w:r>
        <w:rPr>
          <w:rFonts w:ascii="IRNazanin" w:hAnsi="IRNazanin" w:eastAsia="IRNazanin" w:cs="IRNazanin"/>
          <w:lang w:bidi="fa-IR"/>
          <w:color w:val="111111"/>
          <w:sz w:val="28"/>
          <w:szCs w:val="28"/>
          <w:rtl/>
        </w:rPr>
        <w:t xml:space="preserve">شامل یک غزل، دو قطعه ۱۲ رباعی و «مطلعیات» اشعارش(12 مطلع)؛ خط: نستعلیق و شکسته، بی کا، تا: قرن ۱۳؛ ۲ گ (۴۰ر- ۴۱ ر) [ف ۲۰ - ۵۵۳]</w:t>
      </w:r>
    </w:p>
    <w:p>
      <w:pPr>
        <w:pStyle w:val="Heading3"/>
      </w:pPr>
      <w:bookmarkStart w:id="2111" w:name="_Toc1633"/>
      <w:r>
        <w:t>الاشعة البدرية فى اقتفاء انوار آثار الجعفرية / فقه  / عربی</w:t>
      </w:r>
      <w:bookmarkEnd w:id="2111"/>
    </w:p>
    <w:p>
      <w:pPr>
        <w:pStyle w:val="BookText"/>
      </w:pPr>
      <w:r>
        <w:rPr>
          <w:rFonts w:ascii="Times New Roman" w:hAnsi="Times New Roman" w:eastAsia="Times New Roman" w:cs="Times New Roman"/>
          <w:lang w:val="en-US" w:bidi="en-US"/>
          <w:color w:val="111111"/>
          <w:sz w:val="28"/>
          <w:szCs w:val="28"/>
          <w:rtl/>
        </w:rPr>
        <w:t xml:space="preserve">al-aši‘‘at-ul badrīyya fī ’iqtifā’-i anwār-i āṯār-il</w:t>
      </w:r>
    </w:p>
    <w:p>
      <w:pPr>
        <w:pStyle w:val="BookText"/>
      </w:pPr>
      <w:r>
        <w:rPr>
          <w:rFonts w:ascii="Times New Roman" w:hAnsi="Times New Roman" w:eastAsia="Times New Roman" w:cs="Times New Roman"/>
          <w:lang w:val="en-US" w:bidi="en-US"/>
          <w:color w:val="111111"/>
          <w:sz w:val="28"/>
          <w:szCs w:val="28"/>
          <w:rtl/>
        </w:rPr>
        <w:t xml:space="preserve">fariyya</w:t>
      </w:r>
    </w:p>
    <w:p>
      <w:pPr>
        <w:pStyle w:val="BookText"/>
      </w:pPr>
      <w:r>
        <w:rPr>
          <w:rFonts w:ascii="IRNazanin" w:hAnsi="IRNazanin" w:eastAsia="IRNazanin" w:cs="IRNazanin"/>
          <w:lang w:bidi="fa-IR"/>
          <w:color w:val="111111"/>
          <w:sz w:val="28"/>
          <w:szCs w:val="28"/>
          <w:rtl/>
        </w:rPr>
        <w:t xml:space="preserve">فدایی کزازی، ابوالشجاع محمد اسماعيل بن محمد هادى، - ۱۲۶۳ قمری</w:t>
      </w:r>
    </w:p>
    <w:p>
      <w:pPr>
        <w:pStyle w:val="BookText"/>
      </w:pPr>
      <w:r>
        <w:rPr>
          <w:rFonts w:ascii="Times New Roman" w:hAnsi="Times New Roman" w:eastAsia="Times New Roman" w:cs="Times New Roman"/>
          <w:lang w:val="en-US" w:bidi="en-US"/>
          <w:color w:val="111111"/>
          <w:sz w:val="28"/>
          <w:szCs w:val="28"/>
          <w:rtl/>
        </w:rPr>
        <w:t xml:space="preserve">fadā‘ī kazzāzī, ab-oš-šojā‘ mohammad esmā‘īl ebn-e</w:t>
      </w:r>
    </w:p>
    <w:p>
      <w:pPr>
        <w:pStyle w:val="BookText"/>
      </w:pPr>
      <w:r>
        <w:rPr>
          <w:rFonts w:ascii="Times New Roman" w:hAnsi="Times New Roman" w:eastAsia="Times New Roman" w:cs="Times New Roman"/>
          <w:lang w:val="en-US" w:bidi="en-US"/>
          <w:color w:val="111111"/>
          <w:sz w:val="28"/>
          <w:szCs w:val="28"/>
          <w:rtl/>
        </w:rPr>
        <w:t xml:space="preserve">(mohammad hādī (- 1847)</w:t>
      </w:r>
    </w:p>
    <w:p>
      <w:pPr>
        <w:pStyle w:val="BookText"/>
      </w:pPr>
      <w:r>
        <w:rPr>
          <w:rFonts w:ascii="IRNazanin" w:hAnsi="IRNazanin" w:eastAsia="IRNazanin" w:cs="IRNazanin"/>
          <w:lang w:bidi="fa-IR"/>
          <w:color w:val="111111"/>
          <w:sz w:val="28"/>
          <w:szCs w:val="28"/>
          <w:rtl/>
        </w:rPr>
        <w:t xml:space="preserve">وابسته به: الجعفرية = واجبات الصلاة؛ محقق کرکی، علی  بن حسین (890- 940ق)</w:t>
      </w:r>
    </w:p>
    <w:p>
      <w:pPr>
        <w:pStyle w:val="BookText"/>
      </w:pPr>
      <w:r>
        <w:rPr>
          <w:rFonts w:ascii="IRNazanin" w:hAnsi="IRNazanin" w:eastAsia="IRNazanin" w:cs="IRNazanin"/>
          <w:lang w:bidi="fa-IR"/>
          <w:color w:val="111111"/>
          <w:sz w:val="28"/>
          <w:szCs w:val="28"/>
          <w:rtl/>
        </w:rPr>
        <w:t xml:space="preserve">شرحی است بر كتاب «الجعفرية» محقق ثانی (۹۴۰ ق) این شـرح با عناوین «اقول - اقول» برگزار شده است. مؤلف در دیباچه کتاب از دو کتاب دیگر خود «كفاية الطالب» در اصول فقه و «حاشية مختصر ابن حاجب» یاد کرده است.</w:t>
      </w:r>
    </w:p>
    <w:p>
      <w:pPr>
        <w:pStyle w:val="BookText"/>
      </w:pPr>
      <w:r>
        <w:rPr>
          <w:rFonts w:ascii="Amiri" w:hAnsi="Amiri" w:eastAsia="Amiri" w:cs="Amiri"/>
          <w:lang w:bidi="ar-SA"/>
          <w:color w:val="111111"/>
          <w:sz w:val="28"/>
          <w:szCs w:val="28"/>
          <w:rtl/>
        </w:rPr>
        <w:t xml:space="preserve">آغاز: الحمد لله ذى الجلال والاكرام المنزه في عز جلاله عن مشابهة الاعيان ومشاكلة الاجسام القديم القايم فى قدمه بالقـوام الدائم المنفى فى تمادى ديموميته الدوام الذى [الذريعة ١٠٩/٢]</w:t>
      </w:r>
    </w:p>
    <w:p>
      <w:pPr>
        <w:pStyle w:val="BookText"/>
      </w:pPr>
      <w:r>
        <w:rPr>
          <w:rFonts w:ascii="IRNazanin" w:hAnsi="IRNazanin" w:eastAsia="IRNazanin" w:cs="IRNazanin"/>
          <w:lang w:bidi="fa-IR"/>
          <w:color w:val="111111"/>
          <w:sz w:val="28"/>
          <w:szCs w:val="28"/>
          <w:rtl/>
        </w:rPr>
        <w:t xml:space="preserve">۱. قم؛ مسجد اعظم؛ شماره نسخه: ۳</w:t>
      </w:r>
    </w:p>
    <w:p>
      <w:pPr>
        <w:pStyle w:val="BookText"/>
      </w:pPr>
      <w:r>
        <w:rPr>
          <w:rFonts w:ascii="Amiri" w:hAnsi="Amiri" w:eastAsia="Amiri" w:cs="Amiri"/>
          <w:lang w:bidi="ar-SA"/>
          <w:color w:val="111111"/>
          <w:sz w:val="28"/>
          <w:szCs w:val="28"/>
          <w:rtl/>
        </w:rPr>
        <w:t xml:space="preserve">آغاز: برابر؛ انجام: ولو نطق الزمان مناهجانا وان الذئب ياكل لحم ذنب ويا كل بعضنا بعضا عياناً لبسنا للخداع مسوح ضأن وويل للغريب اذا أتانا</w:t>
      </w:r>
    </w:p>
    <w:p>
      <w:pPr>
        <w:pStyle w:val="BookText"/>
      </w:pPr>
      <w:r>
        <w:rPr>
          <w:rFonts w:ascii="IRNazanin" w:hAnsi="IRNazanin" w:eastAsia="IRNazanin" w:cs="IRNazanin"/>
          <w:lang w:bidi="fa-IR"/>
          <w:color w:val="111111"/>
          <w:sz w:val="28"/>
          <w:szCs w:val="28"/>
          <w:rtl/>
        </w:rPr>
        <w:t xml:space="preserve">طهارت و صلاة را دارد :خط: نسخ، کا: محمد علی بن علی محمد بیات سرسختی، تا: یکشنبه ۲۶ رمضان ۱۲۳۲ق؛ در پایان نسخه شعری در رثای مؤلف دیده می شود و تاریخ وفات مؤلف را چنین ذکر کرده: «به سال واقعه اش کلک فکر زد شهپر *** نوشت صورت تاریخ:« ذوفنونی عراق»۱۲۶۳»؛ جلد: گالینگور عطف تیماج زرشکی ،مذهب، ۳۵۳گ، ۳۱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۳۱سم [ف مخ: ۱ - ۱۵۸]</w:t>
      </w:r>
    </w:p>
    <w:p>
      <w:pPr>
        <w:pStyle w:val="BookText"/>
      </w:pPr>
      <w:r>
        <w:rPr>
          <w:rFonts w:ascii="IRNazanin" w:hAnsi="IRNazanin" w:eastAsia="IRNazanin" w:cs="IRNazanin"/>
          <w:lang w:bidi="fa-IR"/>
          <w:color w:val="111111"/>
          <w:sz w:val="28"/>
          <w:szCs w:val="28"/>
          <w:rtl/>
        </w:rPr>
        <w:t xml:space="preserve">۲. قم؛ مسجد اعظم؛ شماره نسخه: ۵۹۳</w:t>
      </w:r>
    </w:p>
    <w:p>
      <w:pPr>
        <w:pStyle w:val="BookText"/>
      </w:pPr>
      <w:r>
        <w:rPr>
          <w:rFonts w:ascii="Amiri" w:hAnsi="Amiri" w:eastAsia="Amiri" w:cs="Amiri"/>
          <w:lang w:bidi="ar-SA"/>
          <w:color w:val="111111"/>
          <w:sz w:val="28"/>
          <w:szCs w:val="28"/>
          <w:rtl/>
        </w:rPr>
        <w:t xml:space="preserve">آغاز: برابر؛ انجام: و يمكن الجمع ايضا بحمل اخبار التحريم على التقيه لموافقتها مذهب العامه و اولوية الحمل على انتفاء الشرطين من الحمل عليه اول الكلام مع ان مخالفة العام ايضا مرجح و من هنا يظهر وجه اولوية فى الحمل الأول ايضا فتامل و الاستدلال بالايه لا يخلوا عن تكلف فليتدبر و ليفهم ولذا تركنا التمسك بها</w:t>
      </w:r>
    </w:p>
    <w:p>
      <w:pPr>
        <w:pStyle w:val="BookText"/>
      </w:pPr>
      <w:r>
        <w:rPr>
          <w:rFonts w:ascii="IRNazanin" w:hAnsi="IRNazanin" w:eastAsia="IRNazanin" w:cs="IRNazanin"/>
          <w:lang w:bidi="fa-IR"/>
          <w:color w:val="111111"/>
          <w:sz w:val="28"/>
          <w:szCs w:val="28"/>
          <w:rtl/>
        </w:rPr>
        <w:t xml:space="preserve">تا پایان حیض و نفاس از کتاب طهارت؛ خط: نسخ، بی کا، بی تا؛ :جلد: گالینگور سبز ،عطف تیماج زرشکی، ۲۲۹گ، ۲۲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مخ: ۱ – ۱۵۸]</w:t>
      </w:r>
    </w:p>
    <w:p>
      <w:pPr>
        <w:pStyle w:val="BookText"/>
      </w:pPr>
      <w:r>
        <w:rPr>
          <w:rFonts w:ascii="IRNazanin" w:hAnsi="IRNazanin" w:eastAsia="IRNazanin" w:cs="IRNazanin"/>
          <w:lang w:bidi="fa-IR"/>
          <w:color w:val="111111"/>
          <w:sz w:val="28"/>
          <w:szCs w:val="28"/>
          <w:rtl/>
        </w:rPr>
        <w:t xml:space="preserve">3.قم؛ مسجد اعظم؛ شماره نسخه: ۲۸۹</w:t>
      </w:r>
    </w:p>
    <w:p>
      <w:pPr>
        <w:pStyle w:val="BookText"/>
      </w:pPr>
      <w:r>
        <w:rPr>
          <w:rFonts w:ascii="IRNazanin" w:hAnsi="IRNazanin" w:eastAsia="IRNazanin" w:cs="IRNazanin"/>
          <w:lang w:bidi="fa-IR"/>
          <w:color w:val="111111"/>
          <w:sz w:val="28"/>
          <w:szCs w:val="28"/>
          <w:rtl/>
        </w:rPr>
        <w:t xml:space="preserve">آغاز: و من الاسباب الموجبة للغسل مس ميت الادمى مع تحقيق شرایطه و قد اشار اليه والى شرايطه المصنف (رحمه الله) فقال ومس الميت انما يوجب الغسل بعد برده بالموت و قیل تطهيره بالغسل على الوجه؛ انجام: و مقتضی الاصل و العمومات الصحة ونحو الكتف خارج بحكاية الاجماع على مامر الاشارة اليه وبه قال الشهيد الثانى (رحمه الله) فى المقاصد وجعل البطلان احتمالا</w:t>
      </w:r>
    </w:p>
    <w:p>
      <w:pPr>
        <w:pStyle w:val="BookText"/>
      </w:pPr>
      <w:r>
        <w:rPr>
          <w:rFonts w:ascii="IRNazanin" w:hAnsi="IRNazanin" w:eastAsia="IRNazanin" w:cs="IRNazanin"/>
          <w:lang w:bidi="fa-IR"/>
          <w:color w:val="111111"/>
          <w:sz w:val="28"/>
          <w:szCs w:val="28"/>
          <w:rtl/>
        </w:rPr>
        <w:t xml:space="preserve">جلد دوم (مس میت - خلل صلاة)؛ خط: نسخ، کا: فتح علی، بی تا؛ افتادگی: وسط؛ جلد: تیماج مشکی مجدول، ۳۱۱گ، ۲۲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مخ: ۱ - ۱۵۹]</w:t>
      </w:r>
    </w:p>
    <w:p>
      <w:pPr>
        <w:pStyle w:val="Heading3"/>
      </w:pPr>
      <w:bookmarkStart w:id="2112" w:name="_Toc1634"/>
      <w:r>
        <w:t>اشعة الشمس / اصول فقه / عربی</w:t>
      </w:r>
      <w:bookmarkEnd w:id="2112"/>
    </w:p>
    <w:p>
      <w:pPr>
        <w:pStyle w:val="BookText"/>
      </w:pPr>
      <w:r>
        <w:rPr>
          <w:rFonts w:ascii="Times New Roman" w:hAnsi="Times New Roman" w:eastAsia="Times New Roman" w:cs="Times New Roman"/>
          <w:lang w:val="en-US" w:bidi="en-US"/>
          <w:color w:val="111111"/>
          <w:sz w:val="28"/>
          <w:szCs w:val="28"/>
          <w:rtl/>
        </w:rPr>
        <w:t xml:space="preserve">aši‘‘at-uš šams</w:t>
      </w:r>
    </w:p>
    <w:p>
      <w:pPr>
        <w:pStyle w:val="BookText"/>
      </w:pPr>
      <w:r>
        <w:rPr>
          <w:rFonts w:ascii="IRNazanin" w:hAnsi="IRNazanin" w:eastAsia="IRNazanin" w:cs="IRNazanin"/>
          <w:lang w:bidi="fa-IR"/>
          <w:color w:val="111111"/>
          <w:sz w:val="28"/>
          <w:szCs w:val="28"/>
          <w:rtl/>
        </w:rPr>
        <w:t xml:space="preserve">بهبهانی، شمس الدين بن جمال الدین، - ۱۲۴۸ قمری</w:t>
      </w:r>
    </w:p>
    <w:p>
      <w:pPr>
        <w:pStyle w:val="BookText"/>
      </w:pPr>
      <w:r>
        <w:rPr>
          <w:rFonts w:ascii="Times New Roman" w:hAnsi="Times New Roman" w:eastAsia="Times New Roman" w:cs="Times New Roman"/>
          <w:lang w:val="en-US" w:bidi="en-US"/>
          <w:color w:val="111111"/>
          <w:sz w:val="28"/>
          <w:szCs w:val="28"/>
          <w:rtl/>
        </w:rPr>
        <w:t xml:space="preserve">(behbahānī, šams-od-dīn ebn-e jamāl-od-dīn (- 1833)</w:t>
      </w:r>
    </w:p>
    <w:p>
      <w:pPr>
        <w:pStyle w:val="BookText"/>
      </w:pPr>
      <w:r>
        <w:rPr>
          <w:rFonts w:ascii="IRNazanin" w:hAnsi="IRNazanin" w:eastAsia="IRNazanin" w:cs="IRNazanin"/>
          <w:lang w:bidi="fa-IR"/>
          <w:color w:val="111111"/>
          <w:sz w:val="28"/>
          <w:szCs w:val="28"/>
          <w:rtl/>
        </w:rPr>
        <w:t xml:space="preserve">رساله ای است در اصول فقه شامل «مقدمه» و چند «اشعه»، دارای «اشراق)»ها و «خاتمه» مؤلف می گوید فقیهی که اصول فقه را نداند دچار اشتباه می شود لذا در این رساله قانون های اصول را با عبارت موجز آورده است و آن را «اشعة الشمس» نامیده است.</w:t>
      </w:r>
    </w:p>
    <w:p>
      <w:pPr>
        <w:pStyle w:val="BookText"/>
      </w:pPr>
      <w:r>
        <w:rPr>
          <w:rFonts w:ascii="IRNazanin" w:hAnsi="IRNazanin" w:eastAsia="IRNazanin" w:cs="IRNazanin"/>
          <w:lang w:bidi="fa-IR"/>
          <w:color w:val="111111"/>
          <w:sz w:val="28"/>
          <w:szCs w:val="28"/>
          <w:rtl/>
        </w:rPr>
        <w:t xml:space="preserve">قم؛ گلپایگانی؛ شماره نسخه: ۶۹۲۸/۲-۳۵/۱۰۸</w:t>
      </w:r>
    </w:p>
    <w:p>
      <w:pPr>
        <w:pStyle w:val="BookText"/>
      </w:pPr>
      <w:r>
        <w:rPr>
          <w:rFonts w:ascii="Amiri" w:hAnsi="Amiri" w:eastAsia="Amiri" w:cs="Amiri"/>
          <w:lang w:bidi="ar-SA"/>
          <w:color w:val="111111"/>
          <w:sz w:val="28"/>
          <w:szCs w:val="28"/>
          <w:rtl/>
        </w:rPr>
        <w:t xml:space="preserve">آغاز: بسمله الحمد لله المتكلم من غير حروف واصوات الموفق وقوف عباده على احكام احكامه ... و بعد فان العلم الملقب باصول
</w:t>
      </w:r>
    </w:p>
    <w:p>
      <w:pPr>
        <w:sectPr>
          <w:footerReference w:type="default" r:id="rId1022"/>
          <w:footnotePr>
            <w:numStart w:val="1"/>
            <w:numRestart w:val="eachPage"/>
          </w:footnotePr>
          <w:pgSz w:orient="portrait" w:w="11905.511811023622" w:h="16837.79527559055"/>
          <w:pgMar w:top="1440" w:right="1440" w:bottom="1440" w:left="1440" w:header="720" w:footer="720" w:gutter="0"/>
          <w:cols w:num="1" w:space="720"/>
        </w:sectPr>
      </w:pPr>
    </w:p>
    <w:bookmarkStart w:id="468" w:name="pg20365_260958"/>
    <w:bookmarkEnd w:id="468"/>
    <w:p>
      <w:pPr>
        <w:pStyle w:val="BookText"/>
      </w:pPr>
      <w:r>
        <w:rPr>
          <w:rFonts w:ascii="Amiri" w:hAnsi="Amiri" w:eastAsia="Amiri" w:cs="Amiri"/>
          <w:lang w:bidi="ar-SA"/>
          <w:color w:val="111111"/>
          <w:sz w:val="28"/>
          <w:szCs w:val="28"/>
          <w:rtl/>
        </w:rPr>
        <w:t xml:space="preserve">الفقه من حيث انه اساس محاسن الشريعة وكافل باظهار الصواب عند اشتباه موارد الخطاب؛ انجام: عدم الجواز من غير معاوضة نص اخر اياه فلايكون هذا نظير معارضته الدلالة بالمقتضى</w:t>
      </w:r>
    </w:p>
    <w:p>
      <w:pPr>
        <w:pStyle w:val="BookText"/>
      </w:pPr>
      <w:r>
        <w:rPr>
          <w:rFonts w:ascii="IRNazanin" w:hAnsi="IRNazanin" w:eastAsia="IRNazanin" w:cs="IRNazanin"/>
          <w:lang w:bidi="fa-IR"/>
          <w:color w:val="111111"/>
          <w:sz w:val="28"/>
          <w:szCs w:val="28"/>
          <w:rtl/>
        </w:rPr>
        <w:t xml:space="preserve">خط: نسخ، بی کا، تا: قرن ۱۳؛ مصحح، محشی با «منه دام ظله» ؛جلد: مقواعطف تیماج، ۲۹گ، ۱۷-۲۲ سطر، اندازه:15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۱ - ۳۷۴]</w:t>
      </w:r>
    </w:p>
    <w:p>
      <w:pPr>
        <w:pStyle w:val="Heading3"/>
      </w:pPr>
      <w:bookmarkStart w:id="2113" w:name="_Toc1635"/>
      <w:r>
        <w:t>اشعة اللمعات = شرح لمعات = حقايق لمعات / عرفان و تصوف / فارسی</w:t>
      </w:r>
      <w:bookmarkEnd w:id="2113"/>
    </w:p>
    <w:p>
      <w:pPr>
        <w:pStyle w:val="BookText"/>
      </w:pPr>
      <w:r>
        <w:rPr>
          <w:rFonts w:ascii="Times New Roman" w:hAnsi="Times New Roman" w:eastAsia="Times New Roman" w:cs="Times New Roman"/>
          <w:lang w:val="en-US" w:bidi="en-US"/>
          <w:color w:val="111111"/>
          <w:sz w:val="28"/>
          <w:szCs w:val="28"/>
          <w:rtl/>
        </w:rPr>
        <w:t xml:space="preserve">aši‘‘at-ol loma‘āt = š.-e loma‘āt = haqāyeq-e loma‘āt</w:t>
      </w:r>
    </w:p>
    <w:p>
      <w:pPr>
        <w:pStyle w:val="BookText"/>
      </w:pPr>
      <w:r>
        <w:rPr>
          <w:rFonts w:ascii="IRNazanin" w:hAnsi="IRNazanin" w:eastAsia="IRNazanin" w:cs="IRNazanin"/>
          <w:lang w:bidi="fa-IR"/>
          <w:color w:val="111111"/>
          <w:sz w:val="28"/>
          <w:szCs w:val="28"/>
          <w:rtl/>
        </w:rPr>
        <w:t xml:space="preserve">جامی، عبدالرحمن بن احمد، ۸۱۷ - ۸۹۸ قمری</w:t>
      </w:r>
    </w:p>
    <w:p>
      <w:pPr>
        <w:pStyle w:val="BookText"/>
      </w:pPr>
      <w:r>
        <w:rPr>
          <w:rFonts w:ascii="Times New Roman" w:hAnsi="Times New Roman" w:eastAsia="Times New Roman" w:cs="Times New Roman"/>
          <w:lang w:val="en-US" w:bidi="en-US"/>
          <w:color w:val="111111"/>
          <w:sz w:val="28"/>
          <w:szCs w:val="28"/>
          <w:rtl/>
        </w:rPr>
        <w:t xml:space="preserve">(jāmī, ‘abd-or-rahmān ebn-e ahmad (1415 - 1493)</w:t>
      </w:r>
    </w:p>
    <w:p>
      <w:pPr>
        <w:pStyle w:val="BookText"/>
      </w:pPr>
      <w:r>
        <w:rPr>
          <w:rFonts w:ascii="IRNazanin" w:hAnsi="IRNazanin" w:eastAsia="IRNazanin" w:cs="IRNazanin"/>
          <w:lang w:bidi="fa-IR"/>
          <w:color w:val="111111"/>
          <w:sz w:val="28"/>
          <w:szCs w:val="28"/>
          <w:rtl/>
        </w:rPr>
        <w:t xml:space="preserve">وابسته به: لمعات؛ عراقی، ابراهیم بن بزرگمهر (۶۱۰-۶۸۸)</w:t>
      </w:r>
    </w:p>
    <w:p>
      <w:pPr>
        <w:pStyle w:val="BookText"/>
      </w:pPr>
      <w:r>
        <w:rPr>
          <w:rFonts w:ascii="IRNazanin" w:hAnsi="IRNazanin" w:eastAsia="IRNazanin" w:cs="IRNazanin"/>
          <w:lang w:bidi="fa-IR"/>
          <w:color w:val="111111"/>
          <w:sz w:val="28"/>
          <w:szCs w:val="28"/>
          <w:rtl/>
        </w:rPr>
        <w:t xml:space="preserve">اهدا به: میر علیشیر نوایی</w:t>
      </w:r>
    </w:p>
    <w:p>
      <w:pPr>
        <w:pStyle w:val="BookText"/>
      </w:pPr>
      <w:r>
        <w:rPr>
          <w:rFonts w:ascii="IRNazanin" w:hAnsi="IRNazanin" w:eastAsia="IRNazanin" w:cs="IRNazanin"/>
          <w:lang w:bidi="fa-IR"/>
          <w:color w:val="111111"/>
          <w:sz w:val="28"/>
          <w:szCs w:val="28"/>
          <w:rtl/>
        </w:rPr>
        <w:t xml:space="preserve">تاریخ تأليف: «اتممته» = ۸۸۹ق؛</w:t>
      </w:r>
    </w:p>
    <w:p>
      <w:pPr>
        <w:pStyle w:val="BookText"/>
      </w:pPr>
      <w:r>
        <w:rPr>
          <w:rFonts w:ascii="IRNazanin" w:hAnsi="IRNazanin" w:eastAsia="IRNazanin" w:cs="IRNazanin"/>
          <w:lang w:bidi="fa-IR"/>
          <w:color w:val="111111"/>
          <w:sz w:val="28"/>
          <w:szCs w:val="28"/>
          <w:rtl/>
        </w:rPr>
        <w:t xml:space="preserve">شرح مزجی مختصری است بر رساله «لمعات» عراقی، با استفـاده از گفته های بزرگان اهل تصوف و عرفان خصوص ابن العربي صدرالدین قونوی و اصحاب ایشان. نخست دیباچه است، سپـس «تمهید»ی بلند در نکات و اصطلاحات صوفیان، آن گاه گزارش ۲۸ «لمعه» متن به نثر آمیخته به  نظم، به همان ترتیب متن: لمعه1. مبداء عشق و معشوق و عاشق، اشتقاق عاشق و معشوق از عشـق ؛5. اختلاف مظهر در مراء و تفاوت ظهور ظاهر به حسب اختلا مظهر؛ ۱۰. ظهور دایم صفت محبوب؛ ۲۰. عشق سلطنت واستغناء، به معشوق داد مذلت  به عاشق؛ ۲۸. محبوب چـون خواهد که محب را بر کشد و به قرب و کمال رساند، لباس او برکشد و بدل آن، خلعت صفات خودش در پوشاند. «لمعات» عراقی چندین بار شرح شده است از آن جمله: شرح صاین الدين على ترکه اصفهانی( -۸۳۵) (ق) به نام «ضوء اللمعات»؛ شرح شیخ یار علی شیرازی (-۸۱۶ق) موسوم به «اللمحات فی شرح اللمعات»؛ شرح برهان الدین عبدالله ختلانی شاعر قرن نهم(-۸۹۳هـ ) که نسخه از آن در ایران معرفی نشده؛ شرح درویـش على بن يوسف کوکدی (قرن نهم)؛ و بالاخره همین شرح جامی است که معروفترین آن است.</w:t>
      </w:r>
    </w:p>
    <w:p>
      <w:pPr>
        <w:pStyle w:val="BookText"/>
      </w:pPr>
      <w:r>
        <w:rPr>
          <w:rFonts w:ascii="IRNazanin" w:hAnsi="IRNazanin" w:eastAsia="IRNazanin" w:cs="IRNazanin"/>
          <w:lang w:bidi="fa-IR"/>
          <w:color w:val="111111"/>
          <w:sz w:val="28"/>
          <w:szCs w:val="28"/>
          <w:rtl/>
        </w:rPr>
        <w:t xml:space="preserve">آغاز: لو لا لمعات برق نور القدم *** من نحو حمى الجود و حی السکر. پاکا خداوندی کهآینه حقیقت محمدی را مطرح اشعه لمعات ... اما بعد نموده می آید که در آن وقت که شیخ عالم...</w:t>
      </w:r>
    </w:p>
    <w:p>
      <w:pPr>
        <w:pStyle w:val="BookText"/>
      </w:pPr>
      <w:r>
        <w:rPr>
          <w:rFonts w:ascii="IRNazanin" w:hAnsi="IRNazanin" w:eastAsia="IRNazanin" w:cs="IRNazanin"/>
          <w:lang w:bidi="fa-IR"/>
          <w:color w:val="111111"/>
          <w:sz w:val="28"/>
          <w:szCs w:val="28"/>
          <w:rtl/>
        </w:rPr>
        <w:t xml:space="preserve">انجام: و اذ قال اتممته قد بدا *** بما قال تاریخ اتمامه</w:t>
      </w:r>
    </w:p>
    <w:p>
      <w:pPr>
        <w:pStyle w:val="BookText"/>
      </w:pPr>
      <w:r>
        <w:rPr>
          <w:rFonts w:ascii="IRNazanin" w:hAnsi="IRNazanin" w:eastAsia="IRNazanin" w:cs="IRNazanin"/>
          <w:lang w:bidi="fa-IR"/>
          <w:color w:val="111111"/>
          <w:sz w:val="28"/>
          <w:szCs w:val="28"/>
          <w:rtl/>
        </w:rPr>
        <w:t xml:space="preserve">چاپ: به کوشش حامد ربانی (تهران، علمیه: بی تا)؛ با حواشـی مربوطه به همراه مجموعه ای در سال ۱۳۰۳ ق ،تهران، چاپ سنگی</w:t>
      </w:r>
    </w:p>
    <w:p>
      <w:pPr>
        <w:pStyle w:val="BookText"/>
      </w:pPr>
      <w:r>
        <w:rPr>
          <w:rFonts w:ascii="IRNazanin" w:hAnsi="IRNazanin" w:eastAsia="IRNazanin" w:cs="IRNazanin"/>
          <w:lang w:bidi="fa-IR"/>
          <w:color w:val="111111"/>
          <w:sz w:val="28"/>
          <w:szCs w:val="28"/>
          <w:rtl/>
        </w:rPr>
        <w:t xml:space="preserve">[رک: مقدمه دیوان عراقی تصحیح سعید نفیسی. تهران ۱۳۳۵ش؛ تاریخ ادبیات در ایران ۳/۱۱۹۷. و نیز برای اطلاع بیشتر از محتوای عرفانی کتاب، به«جامی» از علی اصغر حکمت ص ۱۸۱ مراجعه شود؛ کشف الظنون 2/ 1563؛نسخه های منزوی ۱۰۳۲/۲ - ۱۰۳۳؛ الذريعه ۳۴۲/۱۸) «اللمعات» و این شرح آن؛ مشترک پاکستان ۱۸۴۵/۳ «اشعة اللمعات؛ شرح اللمعات» نشانی ۲۳ نسخه؛ مشار فارسی ۳۴۲/۱ «اشعة اللمعات» نشانی ۲چ؛ مكتبة اميرالمؤمنين ۶۲۹/۲ و ۴۳/۱؛ فهرستواره منزوی 7/ 80(33 نسخه داخلی)؛ دنا ۱۰۲۷/۱ (۴۴ نسخه)]</w:t>
      </w:r>
    </w:p>
    <w:p>
      <w:pPr>
        <w:pStyle w:val="BookText"/>
      </w:pPr>
      <w:r>
        <w:rPr>
          <w:rFonts w:ascii="IRNazanin" w:hAnsi="IRNazanin" w:eastAsia="IRNazanin" w:cs="IRNazanin"/>
          <w:lang w:bidi="fa-IR"/>
          <w:color w:val="111111"/>
          <w:sz w:val="28"/>
          <w:szCs w:val="28"/>
          <w:rtl/>
        </w:rPr>
        <w:t xml:space="preserve">۱. تهران؛ دانشگاه؛ شماره نسخه: ۴۴۱/۱-ف</w:t>
      </w:r>
    </w:p>
    <w:p>
      <w:pPr>
        <w:pStyle w:val="BookText"/>
      </w:pPr>
      <w:r>
        <w:rPr>
          <w:rFonts w:ascii="IRNazanin" w:hAnsi="IRNazanin" w:eastAsia="IRNazanin" w:cs="IRNazanin"/>
          <w:lang w:bidi="fa-IR"/>
          <w:color w:val="111111"/>
          <w:sz w:val="28"/>
          <w:szCs w:val="28"/>
          <w:rtl/>
        </w:rPr>
        <w:t xml:space="preserve">نسخه اصل: بایزید ولی الدین ش۱۸۱۹؛ بی کا، تا: قرن ۹؛ ۳۲گ (۳۳-۱) فیلمها: ۱ - ۴۷۳] [</w:t>
      </w:r>
    </w:p>
    <w:p>
      <w:pPr>
        <w:pStyle w:val="BookText"/>
      </w:pPr>
      <w:r>
        <w:rPr>
          <w:rFonts w:ascii="IRNazanin" w:hAnsi="IRNazanin" w:eastAsia="IRNazanin" w:cs="IRNazanin"/>
          <w:lang w:bidi="fa-IR"/>
          <w:color w:val="111111"/>
          <w:sz w:val="28"/>
          <w:szCs w:val="28"/>
          <w:rtl/>
        </w:rPr>
        <w:t xml:space="preserve">2.تهران؛ دانشگاه؛ شماره نسخه: ۱۱۵۹/۱۵-ف</w:t>
      </w:r>
    </w:p>
    <w:p>
      <w:pPr>
        <w:pStyle w:val="BookText"/>
      </w:pPr>
      <w:r>
        <w:rPr>
          <w:rFonts w:ascii="IRNazanin" w:hAnsi="IRNazanin" w:eastAsia="IRNazanin" w:cs="IRNazanin"/>
          <w:lang w:bidi="fa-IR"/>
          <w:color w:val="111111"/>
          <w:sz w:val="28"/>
          <w:szCs w:val="28"/>
          <w:rtl/>
        </w:rPr>
        <w:t xml:space="preserve">نسخه اصل: دهلی نوش ۵۰۴ (۱۸۱)؛ بی کا، تا: با تاریخ ۸۶۷ق [ فیلمها: ۱ - ۱۶۴]</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دانشگاه؛ شماره نسخه ۹۶/۱۰-ف</w:t>
      </w:r>
    </w:p>
    <w:p>
      <w:pPr>
        <w:pStyle w:val="BookText"/>
      </w:pPr>
      <w:r>
        <w:rPr>
          <w:rFonts w:ascii="IRNazanin" w:hAnsi="IRNazanin" w:eastAsia="IRNazanin" w:cs="IRNazanin"/>
          <w:lang w:bidi="fa-IR"/>
          <w:color w:val="111111"/>
          <w:sz w:val="28"/>
          <w:szCs w:val="28"/>
          <w:rtl/>
        </w:rPr>
        <w:t xml:space="preserve">نسخه اصل: ایاصوفیا ش ۴۲۰۷ ؛خط: نستعلیق، بی کا، تا: پنجشنبه ۲۲ شعبان ۸۷۷ق؛ جا: بغداد؛ ۳۱گ( ۳۶۳-۳۳۲)، ۳۰ سطر [ فیلمها:1- 161]</w:t>
      </w:r>
    </w:p>
    <w:p>
      <w:pPr>
        <w:pStyle w:val="BookText"/>
      </w:pPr>
      <w:r>
        <w:rPr>
          <w:rFonts w:ascii="IRNazanin" w:hAnsi="IRNazanin" w:eastAsia="IRNazanin" w:cs="IRNazanin"/>
          <w:lang w:bidi="fa-IR"/>
          <w:color w:val="111111"/>
          <w:sz w:val="28"/>
          <w:szCs w:val="28"/>
          <w:rtl/>
        </w:rPr>
        <w:t xml:space="preserve">۴. تهران؛ دانشگاه؛ شماره نسخه: ۹۷۰/۵-ف</w:t>
      </w:r>
    </w:p>
    <w:p>
      <w:pPr>
        <w:pStyle w:val="BookText"/>
      </w:pPr>
      <w:r>
        <w:rPr>
          <w:rFonts w:ascii="IRNazanin" w:hAnsi="IRNazanin" w:eastAsia="IRNazanin" w:cs="IRNazanin"/>
          <w:lang w:bidi="fa-IR"/>
          <w:color w:val="111111"/>
          <w:sz w:val="28"/>
          <w:szCs w:val="28"/>
          <w:rtl/>
        </w:rPr>
        <w:t xml:space="preserve">نسخه اصل: نسخه اصل: ایاصوفیا ش ۴۲۰۹؛ خط: نسخ، بی کا، تا: با تاریخ ۸۷۷ق، ۷۳گ (۷۲۵-۷۹۸)، ۲۷سطر [فیلمها: ۱ – ۱۶۱]</w:t>
      </w:r>
    </w:p>
    <w:p>
      <w:pPr>
        <w:pStyle w:val="BookText"/>
      </w:pPr>
      <w:r>
        <w:rPr>
          <w:rFonts w:ascii="IRNazanin" w:hAnsi="IRNazanin" w:eastAsia="IRNazanin" w:cs="IRNazanin"/>
          <w:lang w:bidi="fa-IR"/>
          <w:color w:val="111111"/>
          <w:sz w:val="28"/>
          <w:szCs w:val="28"/>
          <w:rtl/>
        </w:rPr>
        <w:t xml:space="preserve">۵. تهران؛ مجلس؛ شماره نسخه: ۶۴۴/۷</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در فهرست این رساله به نام «الحقایق لمعات» و از فخرالدین عراقی دانسته شده، ولی آغاز نسخه حاکی است که این رساله شرح جامی بر لمعات عراقی است خط، نسخ، بی کا، تا: ۸۸۶ق؛۲۷ سطر، قطع: رحلی، اندازه: ۲۰/۵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۲۹سم [ف: ۲ - ۴۱۱]</w:t>
      </w:r>
    </w:p>
    <w:p>
      <w:pPr>
        <w:pStyle w:val="BookText"/>
      </w:pPr>
      <w:r>
        <w:rPr>
          <w:rFonts w:ascii="IRNazanin" w:hAnsi="IRNazanin" w:eastAsia="IRNazanin" w:cs="IRNazanin"/>
          <w:lang w:bidi="fa-IR"/>
          <w:color w:val="111111"/>
          <w:sz w:val="28"/>
          <w:szCs w:val="28"/>
          <w:rtl/>
        </w:rPr>
        <w:t xml:space="preserve">تهران؛ دانشگاه؛ شماره نسخه ۲۳۱۴/۷-ف</w:t>
      </w:r>
    </w:p>
    <w:p>
      <w:pPr>
        <w:pStyle w:val="BookText"/>
      </w:pPr>
      <w:r>
        <w:rPr>
          <w:rFonts w:ascii="IRNazanin" w:hAnsi="IRNazanin" w:eastAsia="IRNazanin" w:cs="IRNazanin"/>
          <w:lang w:bidi="fa-IR"/>
          <w:color w:val="111111"/>
          <w:sz w:val="28"/>
          <w:szCs w:val="28"/>
          <w:rtl/>
        </w:rPr>
        <w:t xml:space="preserve">نسخه اصل: همان نسخه بالا [ فیلمها: ۱ – ۶۷۱]</w:t>
      </w:r>
    </w:p>
    <w:p>
      <w:pPr>
        <w:pStyle w:val="BookText"/>
      </w:pPr>
      <w:r>
        <w:rPr>
          <w:rFonts w:ascii="IRNazanin" w:hAnsi="IRNazanin" w:eastAsia="IRNazanin" w:cs="IRNazanin"/>
          <w:lang w:bidi="fa-IR"/>
          <w:color w:val="111111"/>
          <w:sz w:val="28"/>
          <w:szCs w:val="28"/>
          <w:rtl/>
        </w:rPr>
        <w:t xml:space="preserve">6.تهران؛ سپهسالار؛ شماره نسخه: ۲۸۴۴/۲</w:t>
      </w:r>
    </w:p>
    <w:p>
      <w:pPr>
        <w:pStyle w:val="BookText"/>
      </w:pPr>
      <w:r>
        <w:rPr>
          <w:rFonts w:ascii="IRNazanin" w:hAnsi="IRNazanin" w:eastAsia="IRNazanin" w:cs="IRNazanin"/>
          <w:lang w:bidi="fa-IR"/>
          <w:color w:val="111111"/>
          <w:sz w:val="28"/>
          <w:szCs w:val="28"/>
          <w:rtl/>
        </w:rPr>
        <w:t xml:space="preserve">بی کا، تا: ۸۸۶ق؛ در ۱ جمادى الثانى ۱۰۱۲ در شهر تته هند تصحیح شده؛ کاغذ: سپاهانی نخودی، جلد: تیماج سبزمقوایی، ۹۸ (۵۴ پ -۱۵۱ر)، ۲۰ ،سطر،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۳ - ۱۳۹]</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تهران؛ ملک؛ شماره نسخه: ۴۷۹۵/۴</w:t>
      </w:r>
    </w:p>
    <w:p>
      <w:pPr>
        <w:pStyle w:val="BookText"/>
      </w:pPr>
      <w:r>
        <w:rPr>
          <w:rFonts w:ascii="IRNazanin" w:hAnsi="IRNazanin" w:eastAsia="IRNazanin" w:cs="IRNazanin"/>
          <w:lang w:bidi="fa-IR"/>
          <w:color w:val="111111"/>
          <w:sz w:val="28"/>
          <w:szCs w:val="28"/>
          <w:rtl/>
        </w:rPr>
        <w:t xml:space="preserve">آغاز : برابر</w:t>
      </w:r>
    </w:p>
    <w:p>
      <w:pPr>
        <w:pStyle w:val="BookText"/>
      </w:pPr>
      <w:r>
        <w:rPr>
          <w:rFonts w:ascii="IRNazanin" w:hAnsi="IRNazanin" w:eastAsia="IRNazanin" w:cs="IRNazanin"/>
          <w:lang w:bidi="fa-IR"/>
          <w:color w:val="111111"/>
          <w:sz w:val="28"/>
          <w:szCs w:val="28"/>
          <w:rtl/>
        </w:rPr>
        <w:t xml:space="preserve">گویا نسخه کامل است؛ خط: نستعلیق، بی کا، تا: ۸۹۵ق کاغذ: نوعی ترمه، جلد: میشن قهوه ای روشن، ۳۲گ (۲۷۴پ-۳۰۶پ)،  ۳۱ سطر، اندازه: ۲۵/۲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۳۴سم [ف: ۸ - ۹۲]</w:t>
      </w:r>
    </w:p>
    <w:p>
      <w:pPr>
        <w:pStyle w:val="BookText"/>
      </w:pPr>
      <w:r>
        <w:rPr>
          <w:rFonts w:ascii="Amiri" w:hAnsi="Amiri" w:eastAsia="Amiri" w:cs="Amiri"/>
          <w:lang w:bidi="ar-SA"/>
          <w:color w:val="111111"/>
          <w:sz w:val="28"/>
          <w:szCs w:val="28"/>
          <w:rtl/>
        </w:rPr>
        <w:t xml:space="preserve">۸. تهران؛ دائرة المعارف؛ شماره نسخه: ۷۴۴/۱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تحریری، بی کا، تا: ۸۹۶ق؛ ۹۹گ (گ ۱پ-۹۹پ) [دائرة المعارف بزرگ: ف: ۲ - ۱۶]</w:t>
      </w:r>
    </w:p>
    <w:p>
      <w:pPr>
        <w:pStyle w:val="BookText"/>
      </w:pPr>
      <w:r>
        <w:rPr>
          <w:rFonts w:ascii="IRNazanin" w:hAnsi="IRNazanin" w:eastAsia="IRNazanin" w:cs="IRNazanin"/>
          <w:lang w:bidi="fa-IR"/>
          <w:color w:val="111111"/>
          <w:sz w:val="28"/>
          <w:szCs w:val="28"/>
          <w:rtl/>
        </w:rPr>
        <w:t xml:space="preserve">۹. یزد کاظمینی؛ شماره نسخه: ۱۰۰</w:t>
      </w:r>
    </w:p>
    <w:p>
      <w:pPr>
        <w:pStyle w:val="BookText"/>
      </w:pPr>
      <w:r>
        <w:rPr>
          <w:rFonts w:ascii="IRNazanin" w:hAnsi="IRNazanin" w:eastAsia="IRNazanin" w:cs="IRNazanin"/>
          <w:lang w:bidi="fa-IR"/>
          <w:color w:val="111111"/>
          <w:sz w:val="28"/>
          <w:szCs w:val="28"/>
          <w:rtl/>
        </w:rPr>
        <w:t xml:space="preserve">انجام: همچنان که بر هر جا از کره که انگشت نهی حاق وسط او باشد و نسبت آن به جمیع جوانب متساوی همچنین نظر به هر اسم</w:t>
      </w:r>
    </w:p>
    <w:p>
      <w:pPr>
        <w:pStyle w:val="BookText"/>
      </w:pPr>
      <w:r>
        <w:rPr>
          <w:rFonts w:ascii="IRNazanin" w:hAnsi="IRNazanin" w:eastAsia="IRNazanin" w:cs="IRNazanin"/>
          <w:lang w:bidi="fa-IR"/>
          <w:color w:val="111111"/>
          <w:sz w:val="28"/>
          <w:szCs w:val="28"/>
          <w:rtl/>
        </w:rPr>
        <w:t xml:space="preserve">می باشد
</w:t>
      </w:r>
    </w:p>
    <w:p>
      <w:pPr>
        <w:sectPr>
          <w:footerReference w:type="default" r:id="rId10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اواخر شرح لمعه پانزدهم را داراست ؛خط: نستعلیق، بی کا، تا: قرن ۱۰؛ افتادگی: انجام؛ مصحح، در برگ اول اشعاری به عر از احمد بن علوان  آمده، چند برگ آخر بازنویسی شده؛ جـلد: تیماج مشکی، ۵۶گ، ۱۷ سطر،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۱۷/۵سم [ف:1- 99]</w:t>
      </w:r>
    </w:p>
    <w:p>
      <w:pPr>
        <w:pStyle w:val="BookText"/>
      </w:pPr>
      <w:r>
        <w:rPr>
          <w:rFonts w:ascii="IRNazanin" w:hAnsi="IRNazanin" w:eastAsia="IRNazanin" w:cs="IRNazanin"/>
          <w:lang w:bidi="fa-IR"/>
          <w:color w:val="111111"/>
          <w:sz w:val="28"/>
          <w:szCs w:val="28"/>
          <w:rtl/>
        </w:rPr>
        <w:t xml:space="preserve">۱۰. مشهد؛ رضوی؛ شماره نسخه: ۳۵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احتمالاً قرن ۱۰؛ واقف: ابن خاتون، ۱۰۶۷ق؛ کاغذ: نخودی، جلد: میشن دارچینی، ۱۲۲گ، ۱۵ سطر،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۱ - ۴۲]</w:t>
      </w:r>
    </w:p>
    <w:p>
      <w:pPr>
        <w:pStyle w:val="BookText"/>
      </w:pPr>
      <w:r>
        <w:rPr>
          <w:rFonts w:ascii="IRNazanin" w:hAnsi="IRNazanin" w:eastAsia="IRNazanin" w:cs="IRNazanin"/>
          <w:lang w:bidi="fa-IR"/>
          <w:color w:val="111111"/>
          <w:sz w:val="28"/>
          <w:szCs w:val="28"/>
          <w:rtl/>
        </w:rPr>
        <w:t xml:space="preserve">۱۱. تهران؛ دانشگاه؛ شماره نسخه: ۲۸۹۹</w:t>
      </w:r>
    </w:p>
    <w:p>
      <w:pPr>
        <w:pStyle w:val="BookText"/>
      </w:pPr>
      <w:r>
        <w:rPr>
          <w:rFonts w:ascii="IRNazanin" w:hAnsi="IRNazanin" w:eastAsia="IRNazanin" w:cs="IRNazanin"/>
          <w:lang w:bidi="fa-IR"/>
          <w:color w:val="111111"/>
          <w:sz w:val="28"/>
          <w:szCs w:val="28"/>
          <w:rtl/>
        </w:rPr>
        <w:t xml:space="preserve">خط: نستعلیق ترک، بی کا، تا: قرن ۹ و ۱۰؛ کاغذ: سمرقندی ،جلد: مقوای، ۹۳ گ، ۱۵ سطر (8/5</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اندازه: 12/5</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۱۰ - ۱۷۴۷]</w:t>
      </w:r>
    </w:p>
    <w:p>
      <w:pPr>
        <w:pStyle w:val="BookText"/>
      </w:pPr>
      <w:r>
        <w:rPr>
          <w:rFonts w:ascii="IRNazanin" w:hAnsi="IRNazanin" w:eastAsia="IRNazanin" w:cs="IRNazanin"/>
          <w:lang w:bidi="fa-IR"/>
          <w:color w:val="111111"/>
          <w:sz w:val="28"/>
          <w:szCs w:val="28"/>
          <w:rtl/>
        </w:rPr>
        <w:t xml:space="preserve">۱۲. تهران؛ ملک؛ شماره نسخه: ۴۷۹۵/۴</w:t>
      </w:r>
    </w:p>
    <w:p>
      <w:pPr>
        <w:pStyle w:val="BookText"/>
      </w:pPr>
      <w:r>
        <w:rPr>
          <w:rFonts w:ascii="IRNazanin" w:hAnsi="IRNazanin" w:eastAsia="IRNazanin" w:cs="IRNazanin"/>
          <w:lang w:bidi="fa-IR"/>
          <w:color w:val="111111"/>
          <w:sz w:val="28"/>
          <w:szCs w:val="28"/>
          <w:rtl/>
        </w:rPr>
        <w:t xml:space="preserve">در ۲۹ لمعه ؛خط: نستعلیق، بی کا، تا: قرن ۱۰ ؛کاغذ: ترمه، جـلد: رویه میشن قهوه ای روشن، ۱۳۲گ (۱۷۴ پ- ۳۰۶پ)، ۳۱ سـطر، اندازه: ۲۵/۲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۳۴سم [ف: ۳ - ۶۳۱]</w:t>
      </w:r>
    </w:p>
    <w:p>
      <w:pPr>
        <w:pStyle w:val="BookText"/>
      </w:pPr>
      <w:r>
        <w:rPr>
          <w:rFonts w:ascii="IRNazanin" w:hAnsi="IRNazanin" w:eastAsia="IRNazanin" w:cs="IRNazanin"/>
          <w:lang w:bidi="fa-IR"/>
          <w:color w:val="111111"/>
          <w:sz w:val="28"/>
          <w:szCs w:val="28"/>
          <w:rtl/>
        </w:rPr>
        <w:t xml:space="preserve">تهران؛ دانشگاه؛ شماره نسخه: ۶۱۶۰-ف</w:t>
      </w:r>
    </w:p>
    <w:p>
      <w:pPr>
        <w:pStyle w:val="BookText"/>
      </w:pPr>
      <w:r>
        <w:rPr>
          <w:rFonts w:ascii="IRNazanin" w:hAnsi="IRNazanin" w:eastAsia="IRNazanin" w:cs="IRNazanin"/>
          <w:lang w:bidi="fa-IR"/>
          <w:color w:val="111111"/>
          <w:sz w:val="28"/>
          <w:szCs w:val="28"/>
          <w:rtl/>
        </w:rPr>
        <w:t xml:space="preserve">نسخه اصل: همان نسخه بالا [ فیلمها: ۳ - ۲۰۴]</w:t>
      </w:r>
    </w:p>
    <w:p>
      <w:pPr>
        <w:pStyle w:val="BookText"/>
      </w:pPr>
      <w:r>
        <w:rPr>
          <w:rFonts w:ascii="IRNazanin" w:hAnsi="IRNazanin" w:eastAsia="IRNazanin" w:cs="IRNazanin"/>
          <w:lang w:bidi="fa-IR"/>
          <w:color w:val="111111"/>
          <w:sz w:val="28"/>
          <w:szCs w:val="28"/>
          <w:rtl/>
        </w:rPr>
        <w:t xml:space="preserve">۱۳. تهران؛ ملک؛ شماره نسخه: ۵۹۹۷/۲</w:t>
      </w:r>
    </w:p>
    <w:p>
      <w:pPr>
        <w:pStyle w:val="BookText"/>
      </w:pPr>
      <w:r>
        <w:rPr>
          <w:rFonts w:ascii="IRNazanin" w:hAnsi="IRNazanin" w:eastAsia="IRNazanin" w:cs="IRNazanin"/>
          <w:lang w:bidi="fa-IR"/>
          <w:color w:val="111111"/>
          <w:sz w:val="28"/>
          <w:szCs w:val="28"/>
          <w:rtl/>
        </w:rPr>
        <w:t xml:space="preserve">خط: نستعلیق، بی کا، تا:قرن ۱۰ ؛کاغذ: ترمه ،جلد: میشن قهوه ای سیر ضربی پشت معرق، ۲۷ سطر [ف: ۳ - ۶۳۴]</w:t>
      </w:r>
    </w:p>
    <w:p>
      <w:pPr>
        <w:pStyle w:val="BookText"/>
      </w:pPr>
      <w:r>
        <w:rPr>
          <w:rFonts w:ascii="IRNazanin" w:hAnsi="IRNazanin" w:eastAsia="IRNazanin" w:cs="IRNazanin"/>
          <w:lang w:bidi="fa-IR"/>
          <w:color w:val="111111"/>
          <w:sz w:val="28"/>
          <w:szCs w:val="28"/>
          <w:rtl/>
        </w:rPr>
        <w:t xml:space="preserve">۱۴. تهران؛ سلطنتی؛ شماره نسخه: ۳۱۶/۸</w:t>
      </w:r>
    </w:p>
    <w:p>
      <w:pPr>
        <w:pStyle w:val="BookText"/>
      </w:pPr>
      <w:r>
        <w:rPr>
          <w:rFonts w:ascii="IRNazanin" w:hAnsi="IRNazanin" w:eastAsia="IRNazanin" w:cs="IRNazanin"/>
          <w:lang w:bidi="fa-IR"/>
          <w:color w:val="111111"/>
          <w:sz w:val="28"/>
          <w:szCs w:val="28"/>
          <w:rtl/>
        </w:rPr>
        <w:t xml:space="preserve">خط: نستعلیق، بی کا، تا: قرن ۱۰؛ کاغذ: بخارائی شکری رنگ ،جلد: مقوای روکش تیماج زیتونی، اندرون: کاغذ: گلی رنگ،25 سطر، قطع: رحلی،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۳۶/۵سم [ف: ۳ - ۲۴۴]</w:t>
      </w:r>
    </w:p>
    <w:p>
      <w:pPr>
        <w:pStyle w:val="BookText"/>
      </w:pPr>
      <w:r>
        <w:rPr>
          <w:rFonts w:ascii="IRNazanin" w:hAnsi="IRNazanin" w:eastAsia="IRNazanin" w:cs="IRNazanin"/>
          <w:lang w:bidi="fa-IR"/>
          <w:color w:val="111111"/>
          <w:sz w:val="28"/>
          <w:szCs w:val="28"/>
          <w:rtl/>
        </w:rPr>
        <w:t xml:space="preserve">۱۵. مشهد؛ رضوی؛ شماره نسخه: ۹۶۳۷/۲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چهارشنبه ۲۴ رمضان ۹۰۸ ق ، جا: قریه خداشاه جوین ؛کاغذ: آهاری نخودی، جلد: مقوا عطف تیماج مشکی،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 ۱۱ - ۳۰۴]</w:t>
      </w:r>
    </w:p>
    <w:p>
      <w:pPr>
        <w:pStyle w:val="BookText"/>
      </w:pPr>
      <w:r>
        <w:rPr>
          <w:rFonts w:ascii="IRNazanin" w:hAnsi="IRNazanin" w:eastAsia="IRNazanin" w:cs="IRNazanin"/>
          <w:lang w:bidi="fa-IR"/>
          <w:color w:val="111111"/>
          <w:sz w:val="28"/>
          <w:szCs w:val="28"/>
          <w:rtl/>
        </w:rPr>
        <w:t xml:space="preserve">۱۶. تهران؛ ملک؛ شماره نسخه: ۲۰۳۹</w:t>
      </w:r>
    </w:p>
    <w:p>
      <w:pPr>
        <w:pStyle w:val="BookText"/>
      </w:pPr>
      <w:r>
        <w:rPr>
          <w:rFonts w:ascii="IRNazanin" w:hAnsi="IRNazanin" w:eastAsia="IRNazanin" w:cs="IRNazanin"/>
          <w:lang w:bidi="fa-IR"/>
          <w:color w:val="111111"/>
          <w:sz w:val="28"/>
          <w:szCs w:val="28"/>
          <w:rtl/>
        </w:rPr>
        <w:t xml:space="preserve">خط: نستعلیق ،کا: محمد بیک یانچی، تا: محرم  ۹۰۹ق، در خدمت حكيم عين الملك؛ مهر: محمد بیک؛ کاغذ: کاغذ ترمه، جـلد:رویه کاغذ مغزی میشن سیاه، ۹۳ گ، ۱۵ سطر، اندازه: ۱۴/۱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۲ - ۲۹]</w:t>
      </w:r>
    </w:p>
    <w:p>
      <w:pPr>
        <w:pStyle w:val="BookText"/>
      </w:pPr>
      <w:r>
        <w:rPr>
          <w:rFonts w:ascii="IRNazanin" w:hAnsi="IRNazanin" w:eastAsia="IRNazanin" w:cs="IRNazanin"/>
          <w:lang w:bidi="fa-IR"/>
          <w:color w:val="111111"/>
          <w:sz w:val="28"/>
          <w:szCs w:val="28"/>
          <w:rtl/>
        </w:rPr>
        <w:t xml:space="preserve">۱۷. تهران؛ دانشگاه؛ شماره نسخه: ۸۲۵۳/۱۵</w:t>
      </w:r>
    </w:p>
    <w:p>
      <w:pPr>
        <w:pStyle w:val="BookText"/>
      </w:pPr>
      <w:r>
        <w:rPr>
          <w:rFonts w:ascii="IRNazanin" w:hAnsi="IRNazanin" w:eastAsia="IRNazanin" w:cs="IRNazanin"/>
          <w:lang w:bidi="fa-IR"/>
          <w:color w:val="111111"/>
          <w:sz w:val="28"/>
          <w:szCs w:val="28"/>
          <w:rtl/>
        </w:rPr>
        <w:t xml:space="preserve">خط: نسخ، كا: محمد بن حسن معرف هروی، تا: شوال ۹۰۹ق؛ کاغذ: سمرقندی، ۲۷ سطر (۲/۵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 اندازه: ۲۳/۵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۳۳/۵سم [ ف: 17- 90]</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تهران؛ مجلس؛ شماره نسخه: ۵۳۱۳/۲</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کا: آقا جان فرزند سیف، تا: پنج شنبه پایان محـرم ۹۵۰ ق؛ ۴۴گ( ۴۷پ-۹۱پ) [ف: ۱۶ - ۲۲۸]</w:t>
      </w:r>
    </w:p>
    <w:p>
      <w:pPr>
        <w:pStyle w:val="BookText"/>
      </w:pPr>
      <w:r>
        <w:rPr>
          <w:rFonts w:ascii="IRNazanin" w:hAnsi="IRNazanin" w:eastAsia="IRNazanin" w:cs="IRNazanin"/>
          <w:lang w:bidi="fa-IR"/>
          <w:color w:val="111111"/>
          <w:sz w:val="28"/>
          <w:szCs w:val="28"/>
          <w:rtl/>
        </w:rPr>
        <w:t xml:space="preserve">۱۹. تهران؛ ملی؛ شماره نسخه: ۲۴۰۳/۱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محتملاً قرن ۱۱؛ کاغذ: بخارائی، جلد: تیماج مشکی ترنج کوبیده مقوایی، ۸۳ ص (۱-۸۳)، ۱۴ سطر (7/5</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۱۸/۵سم [ف: ۵ - ۵۱۹]</w:t>
      </w:r>
    </w:p>
    <w:p>
      <w:pPr>
        <w:pStyle w:val="BookText"/>
      </w:pPr>
      <w:r>
        <w:rPr>
          <w:rFonts w:ascii="IRNazanin" w:hAnsi="IRNazanin" w:eastAsia="IRNazanin" w:cs="IRNazanin"/>
          <w:lang w:bidi="fa-IR"/>
          <w:color w:val="111111"/>
          <w:sz w:val="28"/>
          <w:szCs w:val="28"/>
          <w:rtl/>
        </w:rPr>
        <w:t xml:space="preserve">۲۰ . قم؛ مرعشی؛ شماره نسخه: ۶۷۴۴/۸</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قرن ۱۱؛ دارای لوحه ای است مختصر؛ جلد: مقوایی عطف گالینگور ور سبز، ۳۶گ (۴۵۵پ-۴۱۹پ)، ۲۵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۲۶سم [ ف : ۱۷ - ۲۹۵]</w:t>
      </w:r>
    </w:p>
    <w:p>
      <w:pPr>
        <w:pStyle w:val="BookText"/>
      </w:pPr>
      <w:r>
        <w:rPr>
          <w:rFonts w:ascii="IRNazanin" w:hAnsi="IRNazanin" w:eastAsia="IRNazanin" w:cs="IRNazanin"/>
          <w:lang w:bidi="fa-IR"/>
          <w:color w:val="111111"/>
          <w:sz w:val="28"/>
          <w:szCs w:val="28"/>
          <w:rtl/>
        </w:rPr>
        <w:t xml:space="preserve">۲۱. مشهد؛ رضوی؛ شماره نسخه: ۲۱۶۰۶</w:t>
      </w:r>
    </w:p>
    <w:p>
      <w:pPr>
        <w:pStyle w:val="BookText"/>
      </w:pPr>
      <w:r>
        <w:rPr>
          <w:rFonts w:ascii="Amiri" w:hAnsi="Amiri" w:eastAsia="Amiri" w:cs="Amiri"/>
          <w:lang w:bidi="ar-SA"/>
          <w:color w:val="111111"/>
          <w:sz w:val="28"/>
          <w:szCs w:val="28"/>
          <w:rtl/>
        </w:rPr>
        <w:t xml:space="preserve">آغاز: برابر؛ انجام: الغافرين امين رب العالمين تم بالخير والعافيه و الرشاد</w:t>
      </w:r>
    </w:p>
    <w:p>
      <w:pPr>
        <w:pStyle w:val="BookText"/>
      </w:pPr>
      <w:r>
        <w:rPr>
          <w:rFonts w:ascii="IRNazanin" w:hAnsi="IRNazanin" w:eastAsia="IRNazanin" w:cs="IRNazanin"/>
          <w:lang w:bidi="fa-IR"/>
          <w:color w:val="111111"/>
          <w:sz w:val="28"/>
          <w:szCs w:val="28"/>
          <w:rtl/>
        </w:rPr>
        <w:t xml:space="preserve">خط: نسخ، بی کا، تا: قرن ۱۱؛ اهدایی: رهبری، ۱۳۷۳ [رایانه]</w:t>
      </w:r>
    </w:p>
    <w:p>
      <w:pPr>
        <w:pStyle w:val="BookText"/>
      </w:pPr>
      <w:r>
        <w:rPr>
          <w:rFonts w:ascii="IRNazanin" w:hAnsi="IRNazanin" w:eastAsia="IRNazanin" w:cs="IRNazanin"/>
          <w:lang w:bidi="fa-IR"/>
          <w:color w:val="111111"/>
          <w:sz w:val="28"/>
          <w:szCs w:val="28"/>
          <w:rtl/>
        </w:rPr>
        <w:t xml:space="preserve">۲۲ .تهران؛ مجلس؛ شماره نسخه: ۱۰۵۵۷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روح الله بن خواجه مازندرانی (کاتب دوم)، تا: ۱۴ شوال ۱۰۴۲ق؛ از برگ ۶۶ به بعد توسطکاتب دوم نونویسی شده، قسمت اول در زمان مؤلف کتابت شده و حواشی با امضای «منه مدظله» در برگ های ،۱، ۱۳، ۱۸ ، ۲۸ و ۴۲ دیده می شود؛ مهر:«افوض امری الی الله عبده ابوطالب» (مربع)، كاتب دوم «عبده  روح الله» (مدور)؛ جلد: تیماج سرخ، ۸۱گ، ۱۹ سطر، اندازه:۱۳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۳۳/۱ - ۹۶]</w:t>
      </w:r>
    </w:p>
    <w:p>
      <w:pPr>
        <w:pStyle w:val="BookText"/>
      </w:pPr>
      <w:r>
        <w:rPr>
          <w:rFonts w:ascii="IRNazanin" w:hAnsi="IRNazanin" w:eastAsia="IRNazanin" w:cs="IRNazanin"/>
          <w:lang w:bidi="fa-IR"/>
          <w:color w:val="111111"/>
          <w:sz w:val="28"/>
          <w:szCs w:val="28"/>
          <w:rtl/>
        </w:rPr>
        <w:t xml:space="preserve">۲۳. تهران؛ سپهسالار؛ شماره نسخه: ۲۹۳۴/۱</w:t>
      </w:r>
    </w:p>
    <w:p>
      <w:pPr>
        <w:pStyle w:val="BookText"/>
      </w:pPr>
      <w:r>
        <w:rPr>
          <w:rFonts w:ascii="IRNazanin" w:hAnsi="IRNazanin" w:eastAsia="IRNazanin" w:cs="IRNazanin"/>
          <w:lang w:bidi="fa-IR"/>
          <w:color w:val="111111"/>
          <w:sz w:val="28"/>
          <w:szCs w:val="28"/>
          <w:rtl/>
        </w:rPr>
        <w:t xml:space="preserve">خط: نستعليق ،كا: محمد جعفر بن زین العابدین انصاری، تا: یک شنبه سلخ ربیع الثانی ۱۰۵۹ق؛ محشی با حاشیه «منه»؛ تملک: اعتضاد السلطنه، ۱۲۸۵ق؛ واقف: سپهسالار، ۱۲۹۷ق؛ کاغذ: فرنگی سفید، جلد: تیماج مشکی مقوایی، ۱۷۰گ (۲پ-۴۶ر)، ۱۷ سطر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۳ - ۱۳۹]</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قم؛ مرکز احیاء؛ شماره نسخه: ۱۳۷۱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محمد تویسرکانی، تا: جمعه ۲۹ صفر ۱۰۵۹ق؛ افتادگی: آغاز؛ جلد: تیماج مشکی ضربی، ۱۰۲گ، ۱۶ سطر،اندازه: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۲۰سم [ف: ۴ - ۱۹۸]</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تهران؛ مجلس شماره نسخه: ۵۱۱/۱۷- طباطبائی</w:t>
      </w:r>
    </w:p>
    <w:p>
      <w:pPr>
        <w:pStyle w:val="BookText"/>
      </w:pPr>
      <w:r>
        <w:rPr>
          <w:rFonts w:ascii="IRNazanin" w:hAnsi="IRNazanin" w:eastAsia="IRNazanin" w:cs="IRNazanin"/>
          <w:lang w:bidi="fa-IR"/>
          <w:color w:val="111111"/>
          <w:sz w:val="28"/>
          <w:szCs w:val="28"/>
          <w:rtl/>
        </w:rPr>
        <w:t xml:space="preserve">بی کا، تا: ۱۰۸۵ یا ۱۰۶۵ ؛کاغذ: اصفهانی آهار مهره نخودی،رنگ ،جلد: تیماج قهوه ای، ۵۷گ (۱۹۸-۲۵۵پ)، ۲۱ سطر، قطع: خشتی،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 ۲۲ - ۲۱۴]</w:t>
      </w:r>
    </w:p>
    <w:p>
      <w:pPr>
        <w:pStyle w:val="BookText"/>
      </w:pPr>
      <w:r>
        <w:rPr>
          <w:rFonts w:ascii="IRNazanin" w:hAnsi="IRNazanin" w:eastAsia="IRNazanin" w:cs="IRNazanin"/>
          <w:lang w:bidi="fa-IR"/>
          <w:color w:val="111111"/>
          <w:sz w:val="28"/>
          <w:szCs w:val="28"/>
          <w:rtl/>
        </w:rPr>
        <w:t xml:space="preserve">۲۶ .شیراز؛ ملی؛ شماره نسخه: ۹ -ر/۵۸۸/۵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حاجی محمد بن محمود، تا: ۱۰۶۶ق، جا: شیرزا، مدرسه منصوریه، کاغذ: دولت آبادی نخودی  شکری، جلد: مقوا
</w:t>
      </w:r>
    </w:p>
    <w:p>
      <w:pPr>
        <w:sectPr>
          <w:footerReference w:type="default" r:id="rId10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تیماج قهوه ای بازضربی ،۳۴گ ۲۲ سطر (5</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۱۸/۵سم [ف: ۲ - ۱۷۸]</w:t>
      </w:r>
    </w:p>
    <w:p>
      <w:pPr>
        <w:pStyle w:val="BookText"/>
      </w:pPr>
      <w:r>
        <w:rPr>
          <w:rFonts w:ascii="IRNazanin" w:hAnsi="IRNazanin" w:eastAsia="IRNazanin" w:cs="IRNazanin"/>
          <w:lang w:bidi="fa-IR"/>
          <w:color w:val="111111"/>
          <w:sz w:val="28"/>
          <w:szCs w:val="28"/>
          <w:rtl/>
        </w:rPr>
        <w:t xml:space="preserve">۲۷. قم؛ گلپایگانی؛ شماره نسخه: ۴۶۱۷/۱-۲۳/۱۳۷</w:t>
      </w:r>
    </w:p>
    <w:p>
      <w:pPr>
        <w:pStyle w:val="BookText"/>
      </w:pPr>
      <w:r>
        <w:rPr>
          <w:rFonts w:ascii="IRNazanin" w:hAnsi="IRNazanin" w:eastAsia="IRNazanin" w:cs="IRNazanin"/>
          <w:lang w:bidi="fa-IR"/>
          <w:color w:val="111111"/>
          <w:sz w:val="28"/>
          <w:szCs w:val="28"/>
          <w:rtl/>
        </w:rPr>
        <w:t xml:space="preserve">آغاز: عالم از آنم پدید نیست زیرا که مثلیت تقاضای مغایرت واثنینیت می کند ... مقدمه در اشارت به موضوع و محمولات مسائل علمی؛ انجام: قطعة فى التاريخ: به آثار هستی است جامی اسیر - محی الله ... بی فایده اعتقاد و انکار مکن. تم</w:t>
      </w:r>
    </w:p>
    <w:p>
      <w:pPr>
        <w:pStyle w:val="BookText"/>
      </w:pPr>
      <w:r>
        <w:rPr>
          <w:rFonts w:ascii="IRNazanin" w:hAnsi="IRNazanin" w:eastAsia="IRNazanin" w:cs="IRNazanin"/>
          <w:lang w:bidi="fa-IR"/>
          <w:color w:val="111111"/>
          <w:sz w:val="28"/>
          <w:szCs w:val="28"/>
          <w:rtl/>
        </w:rPr>
        <w:t xml:space="preserve">خط: تحریری، کا: محمدصادق خادم حسینی، تا: چهارشنبه21 ذیقعده ۱۰۶۷ق؛ افتادگی: آغاز؛ جلد: مقوای سرخ عطف پارچه، ۵۳ گ، ۱۷ سطر،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۱ - ۳۷۴]</w:t>
      </w:r>
    </w:p>
    <w:p>
      <w:pPr>
        <w:pStyle w:val="BookText"/>
      </w:pPr>
      <w:r>
        <w:rPr>
          <w:rFonts w:ascii="IRNazanin" w:hAnsi="IRNazanin" w:eastAsia="IRNazanin" w:cs="IRNazanin"/>
          <w:lang w:bidi="fa-IR"/>
          <w:color w:val="111111"/>
          <w:sz w:val="28"/>
          <w:szCs w:val="28"/>
          <w:rtl/>
        </w:rPr>
        <w:t xml:space="preserve">۲۸. تهران؛ نوربخش؛ شماره نسخه: ۵۱/۲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كا: على بن عبدالغالب، تا: ۱۰۷۹ق؛ در کنار صفحه نخسـتین یادداشتی در باره تفسیر و تاویل نام رساله با نشان «منه قدس سـره» آمده؛ جلد: تیماج سرخ مقوایی، ۱۲۵ ص (48- 173)، اندازه:۱۵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۲۳/۵سم [ف: ۱ - ۷۲]</w:t>
      </w:r>
    </w:p>
    <w:p>
      <w:pPr>
        <w:pStyle w:val="BookText"/>
      </w:pPr>
      <w:r>
        <w:rPr>
          <w:rFonts w:ascii="IRNazanin" w:hAnsi="IRNazanin" w:eastAsia="IRNazanin" w:cs="IRNazanin"/>
          <w:lang w:bidi="fa-IR"/>
          <w:color w:val="111111"/>
          <w:sz w:val="28"/>
          <w:szCs w:val="28"/>
          <w:rtl/>
        </w:rPr>
        <w:t xml:space="preserve">۲۹. تهران؛ دانشگاه؛ شماره نسخه: ۲۱۱۴/۲۲</w:t>
      </w:r>
    </w:p>
    <w:p>
      <w:pPr>
        <w:pStyle w:val="BookText"/>
      </w:pPr>
      <w:r>
        <w:rPr>
          <w:rFonts w:ascii="IRNazanin" w:hAnsi="IRNazanin" w:eastAsia="IRNazanin" w:cs="IRNazanin"/>
          <w:lang w:bidi="fa-IR"/>
          <w:color w:val="111111"/>
          <w:sz w:val="28"/>
          <w:szCs w:val="28"/>
          <w:rtl/>
        </w:rPr>
        <w:t xml:space="preserve">خط: نستعلیق، بی کا، تا: ۶ محرم ۱۰۸۰ق؛ حاشیه غفور دارد ؛کاغذ: سپاهانی، جلد: مقوا، (۱۱۴پ -۱۲۴)، ۱۶ سطر (5</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[ف: ۸ - ۷۵۲]</w:t>
      </w:r>
    </w:p>
    <w:p>
      <w:pPr>
        <w:pStyle w:val="BookText"/>
      </w:pPr>
      <w:r>
        <w:rPr>
          <w:rFonts w:ascii="IRNazanin" w:hAnsi="IRNazanin" w:eastAsia="IRNazanin" w:cs="IRNazanin"/>
          <w:lang w:bidi="fa-IR"/>
          <w:color w:val="111111"/>
          <w:sz w:val="28"/>
          <w:szCs w:val="28"/>
          <w:rtl/>
        </w:rPr>
        <w:t xml:space="preserve">30.تهران؛ دائرة المعارف؛ شماره نسخه: ۳۰۴/۱- عکسی</w:t>
      </w:r>
    </w:p>
    <w:p>
      <w:pPr>
        <w:pStyle w:val="BookText"/>
      </w:pPr>
      <w:r>
        <w:rPr>
          <w:rFonts w:ascii="IRNazanin" w:hAnsi="IRNazanin" w:eastAsia="IRNazanin" w:cs="IRNazanin"/>
          <w:lang w:bidi="fa-IR"/>
          <w:color w:val="111111"/>
          <w:sz w:val="28"/>
          <w:szCs w:val="28"/>
          <w:rtl/>
        </w:rPr>
        <w:t xml:space="preserve">اصل نسخه: گنج بخش ش ۸۷۶۷ (مشترک ۱۸۴۵/۳)؛ خط: نسخ پخته ،کا: عزیز الله بن حبیب غوریانی، تا: ذیحجه ۱۰۹۶ق؛ ۱۰۱گ (۱-۱۰۱) [ عکسی ف: ۲ - ۲۵]</w:t>
      </w:r>
    </w:p>
    <w:p>
      <w:pPr>
        <w:pStyle w:val="BookText"/>
      </w:pPr>
      <w:r>
        <w:rPr>
          <w:rFonts w:ascii="IRNazanin" w:hAnsi="IRNazanin" w:eastAsia="IRNazanin" w:cs="IRNazanin"/>
          <w:lang w:bidi="fa-IR"/>
          <w:color w:val="111111"/>
          <w:sz w:val="28"/>
          <w:szCs w:val="28"/>
          <w:rtl/>
        </w:rPr>
        <w:t xml:space="preserve">۳۱. تهران؛ دائرة المعارف؛ شماره نسخه: ۲۶۶/۱-عکسی</w:t>
      </w:r>
    </w:p>
    <w:p>
      <w:pPr>
        <w:pStyle w:val="BookText"/>
      </w:pPr>
      <w:r>
        <w:rPr>
          <w:rFonts w:ascii="IRNazanin" w:hAnsi="IRNazanin" w:eastAsia="IRNazanin" w:cs="IRNazanin"/>
          <w:lang w:bidi="fa-IR"/>
          <w:color w:val="111111"/>
          <w:sz w:val="28"/>
          <w:szCs w:val="28"/>
          <w:rtl/>
        </w:rPr>
        <w:t xml:space="preserve">اصل نسخه: گنج بخش ش ۳۵۱( گنج ۷۷۵/۲)؛ خط: نستعـلیق تحریری، کا: فقیر محمد پارسا نقشبندی حنفی پیشاوری، تا: رجب ۱۱۸۰ق؛ ۹۴گ (۱۵-۱۰۸) [ عکسی ف:۲ - ۲۵]</w:t>
      </w:r>
    </w:p>
    <w:p>
      <w:pPr>
        <w:pStyle w:val="BookText"/>
      </w:pPr>
      <w:r>
        <w:rPr>
          <w:rFonts w:ascii="IRNazanin" w:hAnsi="IRNazanin" w:eastAsia="IRNazanin" w:cs="IRNazanin"/>
          <w:lang w:bidi="fa-IR"/>
          <w:color w:val="111111"/>
          <w:sz w:val="28"/>
          <w:szCs w:val="28"/>
          <w:rtl/>
        </w:rPr>
        <w:t xml:space="preserve">۳۲. تهران؛ دانشگاه؛ شماره نسخه: ۱۰۷۶۸/۴</w:t>
      </w:r>
    </w:p>
    <w:p>
      <w:pPr>
        <w:pStyle w:val="BookText"/>
      </w:pPr>
      <w:r>
        <w:rPr>
          <w:rFonts w:ascii="IRNazanin" w:hAnsi="IRNazanin" w:eastAsia="IRNazanin" w:cs="IRNazanin"/>
          <w:lang w:bidi="fa-IR"/>
          <w:color w:val="111111"/>
          <w:sz w:val="28"/>
          <w:szCs w:val="28"/>
          <w:rtl/>
        </w:rPr>
        <w:t xml:space="preserve">آغاز: برابر؛ انجام: باید آن گاه لباس کثرت یعنی محبى و محبوبی از هر دو برکشد و هر دو را به رنگ خود</w:t>
      </w:r>
    </w:p>
    <w:p>
      <w:pPr>
        <w:pStyle w:val="BookText"/>
      </w:pPr>
      <w:r>
        <w:rPr>
          <w:rFonts w:ascii="IRNazanin" w:hAnsi="IRNazanin" w:eastAsia="IRNazanin" w:cs="IRNazanin"/>
          <w:lang w:bidi="fa-IR"/>
          <w:color w:val="111111"/>
          <w:sz w:val="28"/>
          <w:szCs w:val="28"/>
          <w:rtl/>
        </w:rPr>
        <w:t xml:space="preserve">خط: نستعلیق، بی کا، تا: قرن ۱۳؛ افتادگی: انجام ؛جلد: تیماج دورو، بیرون قهوه ای یک لا مجدول گرهی، درون ،مشکی، ۸۷گ (۷۱پ- ۱۵۷ پ)، ۱۷ سطر (7</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۱۹/۵سم [ف: 20- 307]</w:t>
      </w:r>
    </w:p>
    <w:p>
      <w:pPr>
        <w:pStyle w:val="BookText"/>
      </w:pPr>
      <w:r>
        <w:rPr>
          <w:rFonts w:ascii="IRNazanin" w:hAnsi="IRNazanin" w:eastAsia="IRNazanin" w:cs="IRNazanin"/>
          <w:lang w:bidi="fa-IR"/>
          <w:color w:val="111111"/>
          <w:sz w:val="28"/>
          <w:szCs w:val="28"/>
          <w:rtl/>
        </w:rPr>
        <w:t xml:space="preserve">۳۳ .تهران؛ ملی؛ شماره نسخه: ۷۸۲/۱</w:t>
      </w:r>
    </w:p>
    <w:p>
      <w:pPr>
        <w:pStyle w:val="BookText"/>
      </w:pPr>
      <w:r>
        <w:rPr>
          <w:rFonts w:ascii="IRNazanin" w:hAnsi="IRNazanin" w:eastAsia="IRNazanin" w:cs="IRNazanin"/>
          <w:lang w:bidi="fa-IR"/>
          <w:color w:val="111111"/>
          <w:sz w:val="28"/>
          <w:szCs w:val="28"/>
          <w:rtl/>
        </w:rPr>
        <w:t xml:space="preserve">آغاز: برابر؛ انجام: پایان نسخه: تمت الكتاب المسمى بالشـعة اللمعات جامى فى الرابع العاشر من شهر جمادى الثانى سنه 121 (كذا)</w:t>
      </w:r>
    </w:p>
    <w:p>
      <w:pPr>
        <w:pStyle w:val="BookText"/>
      </w:pPr>
      <w:r>
        <w:rPr>
          <w:rFonts w:ascii="IRNazanin" w:hAnsi="IRNazanin" w:eastAsia="IRNazanin" w:cs="IRNazanin"/>
          <w:lang w:bidi="fa-IR"/>
          <w:color w:val="111111"/>
          <w:sz w:val="28"/>
          <w:szCs w:val="28"/>
          <w:rtl/>
        </w:rPr>
        <w:t xml:space="preserve">خط: نسخ، بی کا، تا: ۱۲۰۱ق؛ کاغذ: فرنگی ،جلد:تیماج قـرمز اندرون و دور تیماج، سیاه دولایی، ۲۰۴ ص (۱-۲۰۴)، ۱۶ سـطر (۵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۲ - ۳۰۷]</w:t>
      </w:r>
    </w:p>
    <w:p>
      <w:pPr>
        <w:pStyle w:val="BookText"/>
      </w:pPr>
      <w:r>
        <w:rPr>
          <w:rFonts w:ascii="IRNazanin" w:hAnsi="IRNazanin" w:eastAsia="IRNazanin" w:cs="IRNazanin"/>
          <w:lang w:bidi="fa-IR"/>
          <w:color w:val="111111"/>
          <w:sz w:val="28"/>
          <w:szCs w:val="28"/>
          <w:rtl/>
        </w:rPr>
        <w:t xml:space="preserve">۳۴. تهران؛ دانشگاه؛ شماره نسخه: ۵۸۷۱/۱</w:t>
      </w:r>
    </w:p>
    <w:p>
      <w:pPr>
        <w:pStyle w:val="BookText"/>
      </w:pPr>
      <w:r>
        <w:rPr>
          <w:rFonts w:ascii="IRNazanin" w:hAnsi="IRNazanin" w:eastAsia="IRNazanin" w:cs="IRNazanin"/>
          <w:lang w:bidi="fa-IR"/>
          <w:color w:val="111111"/>
          <w:sz w:val="28"/>
          <w:szCs w:val="28"/>
          <w:rtl/>
        </w:rPr>
        <w:t xml:space="preserve">خط: نسخ، کا: ملک محمد بن علی کازرونی، تا: ۱۲۰۴ق؛ کاغذ: فرنگی، جلد: تیماج ضربی ترنجی مقوایی، ۲۱۰گ (۱-۲۱۱)، ۱۷سطر (۸/۵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قطع: ربعی،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۱۶ - ۱۱۵]</w:t>
      </w:r>
    </w:p>
    <w:p>
      <w:pPr>
        <w:pStyle w:val="BookText"/>
      </w:pPr>
      <w:r>
        <w:rPr>
          <w:rFonts w:ascii="IRNazanin" w:hAnsi="IRNazanin" w:eastAsia="IRNazanin" w:cs="IRNazanin"/>
          <w:lang w:bidi="fa-IR"/>
          <w:color w:val="111111"/>
          <w:sz w:val="28"/>
          <w:szCs w:val="28"/>
          <w:rtl/>
        </w:rPr>
        <w:t xml:space="preserve">۳۵. مشهد؛ رضوی؛ شماره نسخه: ۴۶۱۴/۴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نستعليق، كا: شكر الله اردلانی سنندجی، تا: ۱۲۳۱ق، برای میرزا معصوم  طبيب اصفهانی؛ کاغذ: سفید فرنگی آهار مهره، جلد: چرمی ضربی قهوه ای روشن، ابعاد متن: 11/5</w:t>
      </w:r>
      <w:r>
        <w:rPr>
          <w:rFonts w:ascii="Times New Roman" w:hAnsi="Times New Roman" w:eastAsia="Times New Roman" w:cs="Times New Roman"/>
          <w:lang w:val="en-US" w:bidi="en-US"/>
          <w:color w:val="111111"/>
          <w:sz w:val="28"/>
          <w:szCs w:val="28"/>
          <w:rtl/>
        </w:rPr>
        <w:t xml:space="preserve">×23</w:t>
      </w:r>
      <w:r>
        <w:rPr>
          <w:rFonts w:ascii="IRNazanin" w:hAnsi="IRNazanin" w:eastAsia="IRNazanin" w:cs="IRNazanin"/>
          <w:lang w:bidi="fa-IR"/>
          <w:color w:val="111111"/>
          <w:sz w:val="28"/>
          <w:szCs w:val="28"/>
          <w:rtl/>
        </w:rPr>
        <w:t xml:space="preserve">، اندازه: ۲۱/۵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۳۱/۲سم [ف: ۷ - ۶۷۱]</w:t>
      </w:r>
    </w:p>
    <w:p>
      <w:pPr>
        <w:pStyle w:val="BookText"/>
      </w:pPr>
      <w:r>
        <w:rPr>
          <w:rFonts w:ascii="IRNazanin" w:hAnsi="IRNazanin" w:eastAsia="IRNazanin" w:cs="IRNazanin"/>
          <w:lang w:bidi="fa-IR"/>
          <w:color w:val="111111"/>
          <w:sz w:val="28"/>
          <w:szCs w:val="28"/>
          <w:rtl/>
        </w:rPr>
        <w:t xml:space="preserve">36.اصفهان؛ دانشگاه؛ شماره نسخه: ۱۹۲/۲</w:t>
      </w:r>
    </w:p>
    <w:p>
      <w:pPr>
        <w:pStyle w:val="BookText"/>
      </w:pPr>
      <w:r>
        <w:rPr>
          <w:rFonts w:ascii="IRNazanin" w:hAnsi="IRNazanin" w:eastAsia="IRNazanin" w:cs="IRNazanin"/>
          <w:lang w:bidi="fa-IR"/>
          <w:color w:val="111111"/>
          <w:sz w:val="28"/>
          <w:szCs w:val="28"/>
          <w:rtl/>
        </w:rPr>
        <w:t xml:space="preserve">بی کا، بی تا؛ کاغذ: سپاهانی [نشریه: ۱۱ – ۹۳۱]</w:t>
      </w:r>
    </w:p>
    <w:p>
      <w:pPr>
        <w:pStyle w:val="BookText"/>
      </w:pPr>
      <w:r>
        <w:rPr>
          <w:rFonts w:ascii="IRNazanin" w:hAnsi="IRNazanin" w:eastAsia="IRNazanin" w:cs="IRNazanin"/>
          <w:lang w:bidi="fa-IR"/>
          <w:color w:val="111111"/>
          <w:sz w:val="28"/>
          <w:szCs w:val="28"/>
          <w:rtl/>
        </w:rPr>
        <w:t xml:space="preserve">۳۷. مشهد؛ رضوی؛ شماره نسخه: ۹۲۸۸</w:t>
      </w:r>
    </w:p>
    <w:p>
      <w:pPr>
        <w:pStyle w:val="BookText"/>
      </w:pPr>
      <w:r>
        <w:rPr>
          <w:rFonts w:ascii="IRNazanin" w:hAnsi="IRNazanin" w:eastAsia="IRNazanin" w:cs="IRNazanin"/>
          <w:lang w:bidi="fa-IR"/>
          <w:color w:val="111111"/>
          <w:sz w:val="28"/>
          <w:szCs w:val="28"/>
          <w:rtl/>
        </w:rPr>
        <w:t xml:space="preserve">آغاز :برابر؛ انجام: احراق الیقین است</w:t>
      </w:r>
    </w:p>
    <w:p>
      <w:pPr>
        <w:pStyle w:val="BookText"/>
      </w:pPr>
      <w:r>
        <w:rPr>
          <w:rFonts w:ascii="IRNazanin" w:hAnsi="IRNazanin" w:eastAsia="IRNazanin" w:cs="IRNazanin"/>
          <w:lang w:bidi="fa-IR"/>
          <w:color w:val="111111"/>
          <w:sz w:val="28"/>
          <w:szCs w:val="28"/>
          <w:rtl/>
        </w:rPr>
        <w:t xml:space="preserve">خط: مختلف، بی کا، بی تا؛ افتادگی: انجام [الفبائی: ۵۲]</w:t>
      </w:r>
    </w:p>
    <w:p>
      <w:pPr>
        <w:pStyle w:val="BookText"/>
      </w:pPr>
      <w:r>
        <w:rPr>
          <w:rFonts w:ascii="IRNazanin" w:hAnsi="IRNazanin" w:eastAsia="IRNazanin" w:cs="IRNazanin"/>
          <w:lang w:bidi="fa-IR"/>
          <w:color w:val="111111"/>
          <w:sz w:val="28"/>
          <w:szCs w:val="28"/>
          <w:rtl/>
        </w:rPr>
        <w:t xml:space="preserve">۳۸ . قم؛ مرکز احیاء؛ شماره نسخه: ۱۶۵۶/۲</w:t>
      </w:r>
    </w:p>
    <w:p>
      <w:pPr>
        <w:pStyle w:val="BookText"/>
      </w:pPr>
      <w:r>
        <w:rPr>
          <w:rFonts w:ascii="IRNazanin" w:hAnsi="IRNazanin" w:eastAsia="IRNazanin" w:cs="IRNazanin"/>
          <w:lang w:bidi="fa-IR"/>
          <w:color w:val="111111"/>
          <w:sz w:val="28"/>
          <w:szCs w:val="28"/>
          <w:rtl/>
        </w:rPr>
        <w:t xml:space="preserve">آغاز: فمن جملتها هر چیز که در خارج هست از لوازم هستی او آن است که آثار مختصه وی بر وی مترتب گردد</w:t>
      </w:r>
    </w:p>
    <w:p>
      <w:pPr>
        <w:pStyle w:val="BookText"/>
      </w:pPr>
      <w:r>
        <w:rPr>
          <w:rFonts w:ascii="IRNazanin" w:hAnsi="IRNazanin" w:eastAsia="IRNazanin" w:cs="IRNazanin"/>
          <w:lang w:bidi="fa-IR"/>
          <w:color w:val="111111"/>
          <w:sz w:val="28"/>
          <w:szCs w:val="28"/>
          <w:rtl/>
        </w:rPr>
        <w:t xml:space="preserve">نسخه اصل: کتابخانه سید مرتضی نجومی -کرمانشاه. در نسخه حاضر فقط مقداری از مقدمه کتاب در اصطلاحات صوفیه به انتخاب کاتب آمده است ؛خط: نستعلیق ،کا: ابو طالب بن محمد ابراهیم، بی تا ،مصحح، محشی؛ ۲۲ ص (۱۱-۳۳) [ عکسی ف: 5- 103]</w:t>
      </w:r>
    </w:p>
    <w:p>
      <w:pPr>
        <w:pStyle w:val="BookText"/>
      </w:pPr>
      <w:r>
        <w:rPr>
          <w:rFonts w:ascii="IRNazanin" w:hAnsi="IRNazanin" w:eastAsia="IRNazanin" w:cs="IRNazanin"/>
          <w:lang w:bidi="fa-IR"/>
          <w:color w:val="111111"/>
          <w:sz w:val="28"/>
          <w:szCs w:val="28"/>
          <w:rtl/>
        </w:rPr>
        <w:t xml:space="preserve">۳۹. تهران؛ مجلس؛ شماره نسخه: ۱۳۶۴۶/۴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بی تا؛ جلد: تیماج سرخ، ۵۱گ (۷۵پ - ۱۲۶ر)، ۲۳ سطر،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۲۴/۵سم [ف: ۳۷ – ۱۷۴]</w:t>
      </w:r>
    </w:p>
    <w:p>
      <w:pPr>
        <w:pStyle w:val="BookText"/>
      </w:pPr>
      <w:r>
        <w:rPr>
          <w:rFonts w:ascii="IRNazanin" w:hAnsi="IRNazanin" w:eastAsia="IRNazanin" w:cs="IRNazanin"/>
          <w:lang w:bidi="fa-IR"/>
          <w:color w:val="111111"/>
          <w:sz w:val="28"/>
          <w:szCs w:val="28"/>
          <w:rtl/>
        </w:rPr>
        <w:t xml:space="preserve">40.قم؛ معصومیه؛ شماره نسخه: ۳۹۴</w:t>
      </w:r>
    </w:p>
    <w:p>
      <w:pPr>
        <w:pStyle w:val="BookText"/>
      </w:pPr>
      <w:r>
        <w:rPr>
          <w:rFonts w:ascii="IRNazanin" w:hAnsi="IRNazanin" w:eastAsia="IRNazanin" w:cs="IRNazanin"/>
          <w:lang w:bidi="fa-IR"/>
          <w:color w:val="111111"/>
          <w:sz w:val="28"/>
          <w:szCs w:val="28"/>
          <w:rtl/>
        </w:rPr>
        <w:t xml:space="preserve">آغاز: و هم نقد گنج خانه وجود و لوای حمد به دست اوست، و مقام محمود جای نشست او؛ انجام :و هر که از حقایق عشق و دقایق جمال به زبان حال یا مقال سخن می گزارد.</w:t>
      </w:r>
    </w:p>
    <w:p>
      <w:pPr>
        <w:pStyle w:val="BookText"/>
      </w:pPr>
      <w:r>
        <w:rPr>
          <w:rFonts w:ascii="IRNazanin" w:hAnsi="IRNazanin" w:eastAsia="IRNazanin" w:cs="IRNazanin"/>
          <w:lang w:bidi="fa-IR"/>
          <w:color w:val="111111"/>
          <w:sz w:val="28"/>
          <w:szCs w:val="28"/>
          <w:rtl/>
        </w:rPr>
        <w:t xml:space="preserve">خط: نستعلیق زیبا، بی کا، بی تا؛ افتادگی: آغاز و انجام؛ مجدول در حاشیه کتاب دیوان منسوب به حضرت علی (علیه السّلام) و ترجمه آنها به نظم فارسی؛ جلد: تیماج سوخته  ضربی، ۱۵۵گ، ۱۲ 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۲۲/۵سم [ف: ۱ - ۳۷۱]</w:t>
      </w:r>
    </w:p>
    <w:p>
      <w:pPr>
        <w:pStyle w:val="BookText"/>
      </w:pPr>
      <w:r>
        <w:rPr>
          <w:rFonts w:ascii="IRNazanin" w:hAnsi="IRNazanin" w:eastAsia="IRNazanin" w:cs="IRNazanin"/>
          <w:lang w:bidi="fa-IR"/>
          <w:color w:val="111111"/>
          <w:sz w:val="28"/>
          <w:szCs w:val="28"/>
          <w:rtl/>
        </w:rPr>
        <w:t xml:space="preserve">۴۱. تهران؛ سلطنتی؛ شماره نسخه: ۳۱۴/۴</w:t>
      </w:r>
    </w:p>
    <w:p>
      <w:pPr>
        <w:pStyle w:val="BookText"/>
      </w:pPr>
      <w:r>
        <w:rPr>
          <w:rFonts w:ascii="IRNazanin" w:hAnsi="IRNazanin" w:eastAsia="IRNazanin" w:cs="IRNazanin"/>
          <w:lang w:bidi="fa-IR"/>
          <w:color w:val="111111"/>
          <w:sz w:val="28"/>
          <w:szCs w:val="28"/>
          <w:rtl/>
        </w:rPr>
        <w:t xml:space="preserve">خط: نستعلیق، کا: ظهوری، بی تا ؛کاغذ: بخارائی شکری رنگ ،جلد: مقوای روکش تیماج لاكى وسط ترنج دو سر ترنج و چهار لچک  منگنه  ای، اندرون کاغذ لیموئی رنگ، قطع: رحلی حجیم،اندازه: ۲۶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۳۶سم [ف: ۳ - ۲۴۸]</w:t>
      </w:r>
    </w:p>
    <w:p>
      <w:pPr>
        <w:pStyle w:val="BookText"/>
      </w:pPr>
      <w:r>
        <w:rPr>
          <w:rFonts w:ascii="IRNazanin" w:hAnsi="IRNazanin" w:eastAsia="IRNazanin" w:cs="IRNazanin"/>
          <w:lang w:bidi="fa-IR"/>
          <w:color w:val="111111"/>
          <w:sz w:val="28"/>
          <w:szCs w:val="28"/>
          <w:rtl/>
        </w:rPr>
        <w:t xml:space="preserve">۴۲. تهران؛ دانشگاه؛ شماره نسخه: ۱۱۱۵-ف</w:t>
      </w:r>
    </w:p>
    <w:p>
      <w:pPr>
        <w:pStyle w:val="BookText"/>
      </w:pPr>
      <w:r>
        <w:rPr>
          <w:rFonts w:ascii="IRNazanin" w:hAnsi="IRNazanin" w:eastAsia="IRNazanin" w:cs="IRNazanin"/>
          <w:lang w:bidi="fa-IR"/>
          <w:color w:val="111111"/>
          <w:sz w:val="28"/>
          <w:szCs w:val="28"/>
          <w:rtl/>
        </w:rPr>
        <w:t xml:space="preserve">نسخه اصل: موزه بریتانیا 16822 </w:t>
      </w:r>
      <w:r>
        <w:rPr>
          <w:rFonts w:ascii="Times New Roman" w:hAnsi="Times New Roman" w:eastAsia="Times New Roman" w:cs="Times New Roman"/>
          <w:lang w:val="en-US" w:bidi="en-US"/>
          <w:color w:val="111111"/>
          <w:sz w:val="28"/>
          <w:szCs w:val="28"/>
          <w:rtl/>
        </w:rPr>
        <w:t xml:space="preserve">Add</w:t>
      </w:r>
      <w:r>
        <w:rPr>
          <w:rFonts w:ascii="IRNazanin" w:hAnsi="IRNazanin" w:eastAsia="IRNazanin" w:cs="IRNazanin"/>
          <w:lang w:bidi="fa-IR"/>
          <w:color w:val="111111"/>
          <w:sz w:val="28"/>
          <w:szCs w:val="28"/>
          <w:rtl/>
        </w:rPr>
        <w:t xml:space="preserve">؛ خط: نستعلیق، کا: خسرو یعقوبی، بی تا؛ ۸۶گ، ۱۷ سطر [فیلمها: ۱ - ۱۳]</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تهران؛ ملی؛ شماره نسخه: ۱۷۳۹۸</w:t>
      </w:r>
    </w:p>
    <w:p>
      <w:pPr>
        <w:pStyle w:val="BookText"/>
      </w:pPr>
      <w:r>
        <w:rPr>
          <w:rFonts w:ascii="IRNazanin" w:hAnsi="IRNazanin" w:eastAsia="IRNazanin" w:cs="IRNazanin"/>
          <w:lang w:bidi="fa-IR"/>
          <w:color w:val="111111"/>
          <w:sz w:val="28"/>
          <w:szCs w:val="28"/>
          <w:rtl/>
        </w:rPr>
        <w:t xml:space="preserve">بی کا،بی تا؛ خریداری از مصطفی حسینی؛ ۸گ، اندازه:
</w:t>
      </w:r>
    </w:p>
    <w:p>
      <w:pPr>
        <w:sectPr>
          <w:footerReference w:type="default" r:id="rId1025"/>
          <w:footnotePr>
            <w:numStart w:val="1"/>
            <w:numRestart w:val="eachPage"/>
          </w:footnotePr>
          <w:pgSz w:orient="portrait" w:w="11905.511811023622" w:h="16837.79527559055"/>
          <w:pgMar w:top="1440" w:right="1440" w:bottom="1440" w:left="1440" w:header="720" w:footer="720" w:gutter="0"/>
          <w:cols w:num="1" w:space="720"/>
        </w:sectPr>
      </w:pPr>
    </w:p>
    <w:bookmarkStart w:id="469" w:name="pg20365_260961"/>
    <w:bookmarkEnd w:id="469"/>
    <w:p>
      <w:pPr>
        <w:pStyle w:val="BookText"/>
      </w:pPr>
      <w:r>
        <w:rPr>
          <w:rFonts w:ascii="IRNazanin" w:hAnsi="IRNazanin" w:eastAsia="IRNazanin" w:cs="IRNazanin"/>
          <w:lang w:bidi="fa-IR"/>
          <w:color w:val="111111"/>
          <w:sz w:val="28"/>
          <w:szCs w:val="28"/>
          <w:rtl/>
        </w:rPr>
        <w:t xml:space="preserve">۱۴/۱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۲۷/۷سم [رایانه ]</w:t>
      </w:r>
    </w:p>
    <w:p>
      <w:pPr>
        <w:pStyle w:val="BookText"/>
      </w:pPr>
      <w:r>
        <w:rPr>
          <w:rFonts w:ascii="IRNazanin" w:hAnsi="IRNazanin" w:eastAsia="IRNazanin" w:cs="IRNazanin"/>
          <w:lang w:bidi="fa-IR"/>
          <w:color w:val="111111"/>
          <w:sz w:val="28"/>
          <w:szCs w:val="28"/>
          <w:rtl/>
        </w:rPr>
        <w:t xml:space="preserve">۴۴. تهران؛ مجلس؛ شماره نسخه: ۱۵۹۸۲/۴۹</w:t>
      </w:r>
    </w:p>
    <w:p>
      <w:pPr>
        <w:pStyle w:val="BookText"/>
      </w:pPr>
      <w:r>
        <w:rPr>
          <w:rFonts w:ascii="IRNazanin" w:hAnsi="IRNazanin" w:eastAsia="IRNazanin" w:cs="IRNazanin"/>
          <w:lang w:bidi="fa-IR"/>
          <w:color w:val="111111"/>
          <w:sz w:val="28"/>
          <w:szCs w:val="28"/>
          <w:rtl/>
        </w:rPr>
        <w:t xml:space="preserve">آغاز: برابر؛ انجام: و صفاتی می توان داشت و چون این مقدار از مقدمات و اصطلاحات این طایفه مذکور شد بشرح موعود رجـوع نماییم.</w:t>
      </w:r>
    </w:p>
    <w:p>
      <w:pPr>
        <w:pStyle w:val="BookText"/>
      </w:pPr>
      <w:r>
        <w:rPr>
          <w:rFonts w:ascii="IRNazanin" w:hAnsi="IRNazanin" w:eastAsia="IRNazanin" w:cs="IRNazanin"/>
          <w:lang w:bidi="fa-IR"/>
          <w:color w:val="111111"/>
          <w:sz w:val="28"/>
          <w:szCs w:val="28"/>
          <w:rtl/>
        </w:rPr>
        <w:t xml:space="preserve">خط: نسخ و نستعلیق، بی کا، بی تا؛ جلد: تیماج فرنگی، ۲۳ص(۹۶۹-۹۴۷)،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۴۴ - ۱۷۷]</w:t>
      </w:r>
    </w:p>
    <w:p>
      <w:pPr>
        <w:pStyle w:val="BookText"/>
      </w:pPr>
      <w:r>
        <w:rPr>
          <w:rFonts w:ascii="IRNazanin" w:hAnsi="IRNazanin" w:eastAsia="IRNazanin" w:cs="IRNazanin"/>
          <w:lang w:bidi="fa-IR"/>
          <w:color w:val="111111"/>
          <w:sz w:val="28"/>
          <w:szCs w:val="28"/>
          <w:rtl/>
        </w:rPr>
        <w:t xml:space="preserve">۴۵. تهران؛ دانشگاه؛ شماره نسخه: ۲۰۱۶/۴۳-ف</w:t>
      </w:r>
    </w:p>
    <w:p>
      <w:pPr>
        <w:pStyle w:val="BookText"/>
      </w:pPr>
      <w:r>
        <w:rPr>
          <w:rFonts w:ascii="IRNazanin" w:hAnsi="IRNazanin" w:eastAsia="IRNazanin" w:cs="IRNazanin"/>
          <w:lang w:bidi="fa-IR"/>
          <w:color w:val="111111"/>
          <w:sz w:val="28"/>
          <w:szCs w:val="28"/>
          <w:rtl/>
        </w:rPr>
        <w:t xml:space="preserve">نسخه اصل: آغاز و انجام چند نسخه از کتابخانه های یوگسلاوی؛</w:t>
      </w:r>
    </w:p>
    <w:p>
      <w:pPr>
        <w:pStyle w:val="BookText"/>
      </w:pPr>
      <w:r>
        <w:rPr>
          <w:rFonts w:ascii="IRNazanin" w:hAnsi="IRNazanin" w:eastAsia="IRNazanin" w:cs="IRNazanin"/>
          <w:lang w:bidi="fa-IR"/>
          <w:color w:val="111111"/>
          <w:sz w:val="28"/>
          <w:szCs w:val="28"/>
          <w:rtl/>
        </w:rPr>
        <w:t xml:space="preserve">بی کا، بی تا [فیلمها: ۱ - ۶۳۹]</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تهران؛ مجلس؛ شماره نسخه: ۹۰۰۲/۲۰</w:t>
      </w:r>
    </w:p>
    <w:p>
      <w:pPr>
        <w:pStyle w:val="BookText"/>
      </w:pPr>
      <w:r>
        <w:rPr>
          <w:rFonts w:ascii="IRNazanin" w:hAnsi="IRNazanin" w:eastAsia="IRNazanin" w:cs="IRNazanin"/>
          <w:lang w:bidi="fa-IR"/>
          <w:color w:val="111111"/>
          <w:sz w:val="28"/>
          <w:szCs w:val="28"/>
          <w:rtl/>
        </w:rPr>
        <w:t xml:space="preserve">آغاز: برابر؛ انجام: در ایماء و الماع به بعضی حقایق و معارف و مصطلحات موقوف بر سماع که محتاج اليه و موقوف عليه شـرح مذكرست فمن جملتها.</w:t>
      </w:r>
    </w:p>
    <w:p>
      <w:pPr>
        <w:pStyle w:val="BookText"/>
      </w:pPr>
      <w:r>
        <w:rPr>
          <w:rFonts w:ascii="IRNazanin" w:hAnsi="IRNazanin" w:eastAsia="IRNazanin" w:cs="IRNazanin"/>
          <w:lang w:bidi="fa-IR"/>
          <w:color w:val="111111"/>
          <w:sz w:val="28"/>
          <w:szCs w:val="28"/>
          <w:rtl/>
        </w:rPr>
        <w:t xml:space="preserve">فقط مقدمه کتاب آمده؛ خط: نستعلیق، بی کا، بی تا؛ افتادگی: انجـام؛ تا؛ مصحح ؛کاغذ: نخودی آهار مهره، جلد: تیماج قهوه ای مجدول،2 گ (۲۲۷پ-۲۲۸ر) اندازه:۱۲/۵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۱۹/۴سم [ف: ۲۹/۲ - ۵۹۴]</w:t>
      </w:r>
    </w:p>
    <w:p>
      <w:pPr>
        <w:pStyle w:val="BookText"/>
      </w:pPr>
      <w:r>
        <w:rPr>
          <w:rFonts w:ascii="IRNazanin" w:hAnsi="IRNazanin" w:eastAsia="IRNazanin" w:cs="IRNazanin"/>
          <w:lang w:bidi="fa-IR"/>
          <w:color w:val="111111"/>
          <w:sz w:val="28"/>
          <w:szCs w:val="28"/>
          <w:rtl/>
        </w:rPr>
        <w:t xml:space="preserve">۴۷. تهران؛ ملی؛ شماره نسخه: ۱۹۹۹۶</w:t>
      </w:r>
    </w:p>
    <w:p>
      <w:pPr>
        <w:pStyle w:val="BookText"/>
      </w:pPr>
      <w:r>
        <w:rPr>
          <w:rFonts w:ascii="IRNazanin" w:hAnsi="IRNazanin" w:eastAsia="IRNazanin" w:cs="IRNazanin"/>
          <w:lang w:bidi="fa-IR"/>
          <w:color w:val="111111"/>
          <w:sz w:val="28"/>
          <w:szCs w:val="28"/>
          <w:rtl/>
        </w:rPr>
        <w:t xml:space="preserve">بی کا، بی تا؛ خریداری از محمد رضا فرید تنکابنی [رایانه]</w:t>
      </w:r>
    </w:p>
    <w:p>
      <w:pPr>
        <w:pStyle w:val="BookText"/>
      </w:pPr>
      <w:r>
        <w:rPr>
          <w:rFonts w:ascii="IRNazanin" w:hAnsi="IRNazanin" w:eastAsia="IRNazanin" w:cs="IRNazanin"/>
          <w:lang w:bidi="fa-IR"/>
          <w:color w:val="111111"/>
          <w:sz w:val="28"/>
          <w:szCs w:val="28"/>
          <w:rtl/>
        </w:rPr>
        <w:t xml:space="preserve">۴۸. تهران؛ انجمن اسلامی؛ شماره نسخه: ۳</w:t>
      </w:r>
    </w:p>
    <w:p>
      <w:pPr>
        <w:pStyle w:val="BookText"/>
      </w:pPr>
      <w:r>
        <w:rPr>
          <w:rFonts w:ascii="IRNazanin" w:hAnsi="IRNazanin" w:eastAsia="IRNazanin" w:cs="IRNazanin"/>
          <w:lang w:bidi="fa-IR"/>
          <w:color w:val="111111"/>
          <w:sz w:val="28"/>
          <w:szCs w:val="28"/>
          <w:rtl/>
        </w:rPr>
        <w:t xml:space="preserve">بی کا، بی تا [ نشریه: ۱۱ - ۱۰۲۴]</w:t>
      </w:r>
    </w:p>
    <w:p>
      <w:pPr>
        <w:pStyle w:val="Heading3"/>
      </w:pPr>
      <w:bookmarkStart w:id="2114" w:name="_Toc1636"/>
      <w:r>
        <w:t>اشعة اللمعات فى شرح المشكاة = شرح مشكاة المصابيح / شرح حدیث / فارسی و عربی</w:t>
      </w:r>
      <w:bookmarkEnd w:id="2114"/>
    </w:p>
    <w:p>
      <w:pPr>
        <w:pStyle w:val="BookText"/>
      </w:pPr>
      <w:r>
        <w:rPr>
          <w:rFonts w:ascii="Times New Roman" w:hAnsi="Times New Roman" w:eastAsia="Times New Roman" w:cs="Times New Roman"/>
          <w:lang w:val="en-US" w:bidi="en-US"/>
          <w:color w:val="111111"/>
          <w:sz w:val="28"/>
          <w:szCs w:val="28"/>
          <w:rtl/>
        </w:rPr>
        <w:t xml:space="preserve">aši‘‘at-ul luma‘āt fī š.-il miškāt = š.-u miškāt-il</w:t>
      </w:r>
    </w:p>
    <w:p>
      <w:pPr>
        <w:pStyle w:val="BookText"/>
      </w:pPr>
      <w:r>
        <w:rPr>
          <w:rFonts w:ascii="Times New Roman" w:hAnsi="Times New Roman" w:eastAsia="Times New Roman" w:cs="Times New Roman"/>
          <w:lang w:val="en-US" w:bidi="en-US"/>
          <w:color w:val="111111"/>
          <w:sz w:val="28"/>
          <w:szCs w:val="28"/>
          <w:rtl/>
        </w:rPr>
        <w:t xml:space="preserve">masabih</w:t>
      </w:r>
    </w:p>
    <w:p>
      <w:pPr>
        <w:pStyle w:val="BookText"/>
      </w:pPr>
      <w:r>
        <w:rPr>
          <w:rFonts w:ascii="IRNazanin" w:hAnsi="IRNazanin" w:eastAsia="IRNazanin" w:cs="IRNazanin"/>
          <w:lang w:bidi="fa-IR"/>
          <w:color w:val="111111"/>
          <w:sz w:val="28"/>
          <w:szCs w:val="28"/>
          <w:rtl/>
        </w:rPr>
        <w:t xml:space="preserve">عبدالحق دهلوی</w:t>
      </w:r>
      <w:r>
        <w:rPr>
          <w:rFonts w:ascii="Times New Roman" w:hAnsi="Times New Roman" w:eastAsia="Times New Roman" w:cs="Times New Roman"/>
          <w:lang w:val="en-US" w:bidi="en-US"/>
          <w:color w:val="111111"/>
          <w:sz w:val="28"/>
          <w:szCs w:val="28"/>
          <w:rtl/>
        </w:rPr>
        <w:t xml:space="preserve">T </w:t>
      </w:r>
      <w:r>
        <w:rPr>
          <w:rFonts w:ascii="IRNazanin" w:hAnsi="IRNazanin" w:eastAsia="IRNazanin" w:cs="IRNazanin"/>
          <w:lang w:bidi="fa-IR"/>
          <w:color w:val="111111"/>
          <w:sz w:val="28"/>
          <w:szCs w:val="28"/>
          <w:rtl/>
        </w:rPr>
        <w:t xml:space="preserve">عبدالحق بن سیف الدین، ۹۵۸- ۱۰۵۲ قمری</w:t>
      </w:r>
    </w:p>
    <w:p>
      <w:pPr>
        <w:pStyle w:val="BookText"/>
      </w:pPr>
      <w:r>
        <w:rPr>
          <w:rFonts w:ascii="Times New Roman" w:hAnsi="Times New Roman" w:eastAsia="Times New Roman" w:cs="Times New Roman"/>
          <w:lang w:val="en-US" w:bidi="en-US"/>
          <w:color w:val="111111"/>
          <w:sz w:val="28"/>
          <w:szCs w:val="28"/>
          <w:rtl/>
        </w:rPr>
        <w:t xml:space="preserve">(1643-1551)abd-ol-haqq-e dehlavī, ‘abd-ol-haqq ebn-e sayf-od-dīn</w:t>
      </w:r>
    </w:p>
    <w:p>
      <w:pPr>
        <w:pStyle w:val="BookText"/>
      </w:pPr>
      <w:r>
        <w:rPr>
          <w:rFonts w:ascii="IRNazanin" w:hAnsi="IRNazanin" w:eastAsia="IRNazanin" w:cs="IRNazanin"/>
          <w:lang w:bidi="fa-IR"/>
          <w:color w:val="111111"/>
          <w:sz w:val="28"/>
          <w:szCs w:val="28"/>
          <w:rtl/>
        </w:rPr>
        <w:t xml:space="preserve">وابسته به: مشكاة المصابيح ؛ خطيب عمری، محمد بن عبدالله (- 749)</w:t>
      </w:r>
    </w:p>
    <w:p>
      <w:pPr>
        <w:pStyle w:val="BookText"/>
      </w:pPr>
      <w:r>
        <w:rPr>
          <w:rFonts w:ascii="IRNazanin" w:hAnsi="IRNazanin" w:eastAsia="IRNazanin" w:cs="IRNazanin"/>
          <w:lang w:bidi="fa-IR"/>
          <w:color w:val="111111"/>
          <w:sz w:val="28"/>
          <w:szCs w:val="28"/>
          <w:rtl/>
        </w:rPr>
        <w:t xml:space="preserve">«مصابیح السنه» از حسین بن مسعود فراء بغوی کتابی است در علم حدیث که بر آن شروح فراوانی نوشته شده است یکی از این شروح کتاب «مشكاة المصابيح» خطیب عمری تبریزی است.</w:t>
      </w:r>
    </w:p>
    <w:p>
      <w:pPr>
        <w:pStyle w:val="BookText"/>
      </w:pPr>
      <w:r>
        <w:rPr>
          <w:rFonts w:ascii="IRNazanin" w:hAnsi="IRNazanin" w:eastAsia="IRNazanin" w:cs="IRNazanin"/>
          <w:lang w:bidi="fa-IR"/>
          <w:color w:val="111111"/>
          <w:sz w:val="28"/>
          <w:szCs w:val="28"/>
          <w:rtl/>
        </w:rPr>
        <w:t xml:space="preserve">این کتاب یکی از شروح کتاب «مشكاة  المصابيح» است،در مقدمه شارح توضیح می دهد پس از کسب اجازه روایت از مشایخ حرمین شریفین و بازگشت از آن دیار شروع به شرح کتاب «مشکات المصابیح» به عربی و فارسی نموده است. کتاب با مقدمه ای در بیان بعضی مصطلحات علم حدیث آغاز می شـود سپس به بیان احوال جماعتی از ائمه حدیث می پردازد. این کتاب به صورت مزجى ابتدا متن کتاب «مشكاة» را می آورد سپس به ترجمه و شرح آن می پردازد. کتاب در چهار جـلد نوشته شده است: ۱. کتاب الایمان تا كتاب الجنائز؛ ۲. كتاب الزكوة تا كتاب المناسك؛3 . كتاب البيع تا كتاب الطب؛ ۴. كتاب الآداب تا کتاب الفتن. هر کتاب بر اساساصل به چندین «باب» و هر باب به حداکثر تا سه «فصل» تقسیم شده است. آغاز :بسمله الحمد لله اكمل الحمد على كل حال وفى كل حين ... اما بعد بنده مسكين عبد الحق بن سيف الدين الدهلوى ... بعد از رجوع از حرمین شریفین</w:t>
      </w:r>
    </w:p>
    <w:p>
      <w:pPr>
        <w:pStyle w:val="BookText"/>
      </w:pPr>
      <w:r>
        <w:rPr>
          <w:rFonts w:ascii="IRNazanin" w:hAnsi="IRNazanin" w:eastAsia="IRNazanin" w:cs="IRNazanin"/>
          <w:lang w:bidi="fa-IR"/>
          <w:color w:val="111111"/>
          <w:sz w:val="28"/>
          <w:szCs w:val="28"/>
          <w:rtl/>
        </w:rPr>
        <w:t xml:space="preserve">[فهرست مشترک پاکستان ۳۵۴/۱۴؛ هدية العارفين ۵۰۳/۱؛ ايضاح ۸۸/۱؛ معجم المطبوعات ۶۲۷/۱؛ کشف الظنون ۱۶۹۹/۲؛ دنا ۱۰۲۸/۱ (۱۱ نسخه)]</w:t>
      </w:r>
    </w:p>
    <w:p>
      <w:pPr>
        <w:pStyle w:val="BookText"/>
      </w:pPr>
      <w:r>
        <w:rPr>
          <w:rFonts w:ascii="IRNazanin" w:hAnsi="IRNazanin" w:eastAsia="IRNazanin" w:cs="IRNazanin"/>
          <w:lang w:bidi="fa-IR"/>
          <w:color w:val="111111"/>
          <w:sz w:val="28"/>
          <w:szCs w:val="28"/>
          <w:rtl/>
        </w:rPr>
        <w:t xml:space="preserve">۱. تهران؛ مجلس؛ شماره نسخه: ۸۷۴۵</w:t>
      </w:r>
    </w:p>
    <w:p>
      <w:pPr>
        <w:pStyle w:val="BookText"/>
      </w:pPr>
      <w:r>
        <w:rPr>
          <w:rFonts w:ascii="IRNazanin" w:hAnsi="IRNazanin" w:eastAsia="IRNazanin" w:cs="IRNazanin"/>
          <w:lang w:bidi="fa-IR"/>
          <w:color w:val="111111"/>
          <w:sz w:val="28"/>
          <w:szCs w:val="28"/>
          <w:rtl/>
        </w:rPr>
        <w:t xml:space="preserve">آغاز: برابر؛ انجام: و فی رواية وقل عمرة و حجة مقصود بيان فضیلت نماز است در این بقعه شریفه که حکم عمره و حج دارد رواه البخاري.</w:t>
      </w:r>
    </w:p>
    <w:p>
      <w:pPr>
        <w:pStyle w:val="BookText"/>
      </w:pPr>
      <w:r>
        <w:rPr>
          <w:rFonts w:ascii="IRNazanin" w:hAnsi="IRNazanin" w:eastAsia="IRNazanin" w:cs="IRNazanin"/>
          <w:lang w:bidi="fa-IR"/>
          <w:color w:val="111111"/>
          <w:sz w:val="28"/>
          <w:szCs w:val="28"/>
          <w:rtl/>
        </w:rPr>
        <w:t xml:space="preserve">از آغاز جلد اول تا پایان کتاب المناسک؛ خط: نستعلیق، بی کا،تا: قرن ۱۱؛ مصحح، مجدول، دارای سرلوح و کتیبه مذهب سبک کشمیر؛ مهر: «امانت خان» (بیضوی)، «خواجه محمود خان» ((مربع) جلد: تیماج جگری مجدول زرین، ۶۹۳گ، ۲۷ سطر،اندازه: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۲۸ - ۲۴۱]</w:t>
      </w:r>
    </w:p>
    <w:p>
      <w:pPr>
        <w:pStyle w:val="BookText"/>
      </w:pPr>
      <w:r>
        <w:rPr>
          <w:rFonts w:ascii="IRNazanin" w:hAnsi="IRNazanin" w:eastAsia="IRNazanin" w:cs="IRNazanin"/>
          <w:lang w:bidi="fa-IR"/>
          <w:color w:val="111111"/>
          <w:sz w:val="28"/>
          <w:szCs w:val="28"/>
          <w:rtl/>
        </w:rPr>
        <w:t xml:space="preserve">۲. خوانسار ،فاضل؛ شماره نسخه :۳۱۳</w:t>
      </w:r>
    </w:p>
    <w:p>
      <w:pPr>
        <w:pStyle w:val="BookText"/>
      </w:pPr>
      <w:r>
        <w:rPr>
          <w:rFonts w:ascii="IRNazanin" w:hAnsi="IRNazanin" w:eastAsia="IRNazanin" w:cs="IRNazanin"/>
          <w:lang w:bidi="fa-IR"/>
          <w:color w:val="111111"/>
          <w:sz w:val="28"/>
          <w:szCs w:val="28"/>
          <w:rtl/>
        </w:rPr>
        <w:t xml:space="preserve">خط: نسخ و نستعلیق ،كا: كريم بن احمد، تا: قرن ۱۰ و ۱۱؛ مجدول، جلد: تيماج قهوه ای ضربی ترنج و سرترنج دار مجدول، ۴۶۳گ، ۲۳ سطر، اندازه: ۱۷/۵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۲۷سم [ف: ۲ - ۲۶]</w:t>
      </w:r>
    </w:p>
    <w:p>
      <w:pPr>
        <w:pStyle w:val="BookText"/>
      </w:pPr>
      <w:r>
        <w:rPr>
          <w:rFonts w:ascii="IRNazanin" w:hAnsi="IRNazanin" w:eastAsia="IRNazanin" w:cs="IRNazanin"/>
          <w:lang w:bidi="fa-IR"/>
          <w:color w:val="111111"/>
          <w:sz w:val="28"/>
          <w:szCs w:val="28"/>
          <w:rtl/>
        </w:rPr>
        <w:t xml:space="preserve">3.یزد؛ آصف پور؛ شماره نسخه: بدون شماره</w:t>
      </w:r>
    </w:p>
    <w:p>
      <w:pPr>
        <w:pStyle w:val="BookText"/>
      </w:pPr>
      <w:r>
        <w:rPr>
          <w:rFonts w:ascii="IRNazanin" w:hAnsi="IRNazanin" w:eastAsia="IRNazanin" w:cs="IRNazanin"/>
          <w:lang w:bidi="fa-IR"/>
          <w:color w:val="111111"/>
          <w:sz w:val="28"/>
          <w:szCs w:val="28"/>
          <w:rtl/>
        </w:rPr>
        <w:t xml:space="preserve">کا: عبدالرشيد بن سعد الله، تا: ۱۰۹۳ق :[ نشریه: ۷ - ۷۰۹]</w:t>
      </w:r>
    </w:p>
    <w:p>
      <w:pPr>
        <w:pStyle w:val="BookText"/>
      </w:pPr>
      <w:r>
        <w:rPr>
          <w:rFonts w:ascii="IRNazanin" w:hAnsi="IRNazanin" w:eastAsia="IRNazanin" w:cs="IRNazanin"/>
          <w:lang w:bidi="fa-IR"/>
          <w:color w:val="111111"/>
          <w:sz w:val="28"/>
          <w:szCs w:val="28"/>
          <w:rtl/>
        </w:rPr>
        <w:t xml:space="preserve">۴. یزد؛ وزیری؛ شماره نسخه: ۳۷۰۱</w:t>
      </w:r>
    </w:p>
    <w:p>
      <w:pPr>
        <w:pStyle w:val="BookText"/>
      </w:pPr>
      <w:r>
        <w:rPr>
          <w:rFonts w:ascii="IRNazanin" w:hAnsi="IRNazanin" w:eastAsia="IRNazanin" w:cs="IRNazanin"/>
          <w:lang w:bidi="fa-IR"/>
          <w:color w:val="111111"/>
          <w:sz w:val="28"/>
          <w:szCs w:val="28"/>
          <w:rtl/>
        </w:rPr>
        <w:t xml:space="preserve">آغاز: نیست رکن اخوت اسلام را؛ انجام: بحرمت نبی آخر الزمان صلى الله عليه و سلم و علی آله و اصحابه ذوى الفضل و الاحسان</w:t>
      </w:r>
    </w:p>
    <w:p>
      <w:pPr>
        <w:pStyle w:val="BookText"/>
      </w:pPr>
      <w:r>
        <w:rPr>
          <w:rFonts w:ascii="IRNazanin" w:hAnsi="IRNazanin" w:eastAsia="IRNazanin" w:cs="IRNazanin"/>
          <w:lang w:bidi="fa-IR"/>
          <w:color w:val="111111"/>
          <w:sz w:val="28"/>
          <w:szCs w:val="28"/>
          <w:rtl/>
        </w:rPr>
        <w:t xml:space="preserve">خط: نستعلیق  تحریری، کا: عبدالرشيد بن سعدالله، تا: جمادی الثانی ۱۰۹۳ق؛ افتادگی: آغاز ؛کاغذ: اصفهانی، جلد: مقوایی روکش کاغذ قرمز عطف و گوشه ها تیماج تریاکی، ۱۹۴گ، ۲۵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۳۱سم [ف: ۵ - ۱۷۵۴]</w:t>
      </w:r>
    </w:p>
    <w:p>
      <w:pPr>
        <w:pStyle w:val="BookText"/>
      </w:pPr>
      <w:r>
        <w:rPr>
          <w:rFonts w:ascii="IRNazanin" w:hAnsi="IRNazanin" w:eastAsia="IRNazanin" w:cs="IRNazanin"/>
          <w:lang w:bidi="fa-IR"/>
          <w:color w:val="111111"/>
          <w:sz w:val="28"/>
          <w:szCs w:val="28"/>
          <w:rtl/>
        </w:rPr>
        <w:t xml:space="preserve">5.مشهد؛ رضوی؛ شماره نسخه: ۸۸۰۰</w:t>
      </w:r>
    </w:p>
    <w:p>
      <w:pPr>
        <w:pStyle w:val="BookText"/>
      </w:pPr>
      <w:r>
        <w:rPr>
          <w:rFonts w:ascii="IRNazanin" w:hAnsi="IRNazanin" w:eastAsia="IRNazanin" w:cs="IRNazanin"/>
          <w:lang w:bidi="fa-IR"/>
          <w:color w:val="111111"/>
          <w:sz w:val="28"/>
          <w:szCs w:val="28"/>
          <w:rtl/>
        </w:rPr>
        <w:t xml:space="preserve">آغاز : بسازند صور ترافا صنع شجر و مالا روح فیه پس بساز صورة درختانرا؛ انجام: وحدیث سابق که ان الله تجاوز عن امتى لخطأ ونسیان نیز مناسب است برای اعتذار از آنچه واقع شده باشد. از خطا و سهو و نسیان</w:t>
      </w:r>
    </w:p>
    <w:p>
      <w:pPr>
        <w:pStyle w:val="BookText"/>
      </w:pPr>
      <w:r>
        <w:rPr>
          <w:rFonts w:ascii="IRNazanin" w:hAnsi="IRNazanin" w:eastAsia="IRNazanin" w:cs="IRNazanin"/>
          <w:lang w:bidi="fa-IR"/>
          <w:color w:val="111111"/>
          <w:sz w:val="28"/>
          <w:szCs w:val="28"/>
          <w:rtl/>
        </w:rPr>
        <w:t xml:space="preserve">از اواخر فصل اول از باب التصاویر تا پایان کتاب؛ خط: نسخ و نستعلیق، بی کا، تا: قرن ۱۲؛ افتادگی: آغاز؛ کاغذ: حنایی، جلد: تیماج قهوه ای ۵۸۵گ ۲۱ سطر، اندازه: ۱۶/۵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۲۴/۸سم [ف: ۱۴ - 75]</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تهران؛ ملی؛ شماره نسخه: ۱۶۳۳</w:t>
      </w:r>
    </w:p>
    <w:p>
      <w:pPr>
        <w:pStyle w:val="BookText"/>
      </w:pPr>
      <w:r>
        <w:rPr>
          <w:rFonts w:ascii="IRNazanin" w:hAnsi="IRNazanin" w:eastAsia="IRNazanin" w:cs="IRNazanin"/>
          <w:lang w:bidi="fa-IR"/>
          <w:color w:val="111111"/>
          <w:sz w:val="28"/>
          <w:szCs w:val="28"/>
          <w:rtl/>
        </w:rPr>
        <w:t xml:space="preserve">آغاز: برابر؛ انجام: درین بقعه شریفه که حکم عمره و حج را
</w:t>
      </w:r>
    </w:p>
    <w:p>
      <w:pPr>
        <w:sectPr>
          <w:footerReference w:type="default" r:id="rId1026"/>
          <w:footnotePr>
            <w:numStart w:val="1"/>
            <w:numRestart w:val="eachPage"/>
          </w:footnotePr>
          <w:pgSz w:orient="portrait" w:w="11905.511811023622" w:h="16837.79527559055"/>
          <w:pgMar w:top="1440" w:right="1440" w:bottom="1440" w:left="1440" w:header="720" w:footer="720" w:gutter="0"/>
          <w:cols w:num="1" w:space="720"/>
        </w:sectPr>
      </w:pPr>
    </w:p>
    <w:bookmarkStart w:id="470" w:name="pg20365_260962"/>
    <w:bookmarkEnd w:id="470"/>
    <w:p>
      <w:pPr>
        <w:pStyle w:val="BookText"/>
      </w:pPr>
      <w:r>
        <w:rPr>
          <w:rFonts w:ascii="Amiri" w:hAnsi="Amiri" w:eastAsia="Amiri" w:cs="Amiri"/>
          <w:lang w:bidi="ar-SA"/>
          <w:color w:val="111111"/>
          <w:sz w:val="28"/>
          <w:szCs w:val="28"/>
          <w:rtl/>
        </w:rPr>
        <w:t xml:space="preserve">دارد رواه البخارى تحت الكتاب المناسك ... توفيقه</w:t>
      </w:r>
    </w:p>
    <w:p>
      <w:pPr>
        <w:pStyle w:val="BookText"/>
      </w:pPr>
      <w:r>
        <w:rPr>
          <w:rFonts w:ascii="IRNazanin" w:hAnsi="IRNazanin" w:eastAsia="IRNazanin" w:cs="IRNazanin"/>
          <w:lang w:bidi="fa-IR"/>
          <w:color w:val="111111"/>
          <w:sz w:val="28"/>
          <w:szCs w:val="28"/>
          <w:rtl/>
        </w:rPr>
        <w:t xml:space="preserve">خط: نستعليق، كا: احمد بن حسين بن احمد، تا: ۱۱۲۲ق؛ مهر: ناصر الدین شاه؛ کاغذ: دولت آبادی ،جلد: تیماج قرمز با ترنج نیم ترنج منگنه کوبیده مقوایی، ۴۷۵گ، ۲۷ سطر (13</w:t>
      </w:r>
      <w:r>
        <w:rPr>
          <w:rFonts w:ascii="Times New Roman" w:hAnsi="Times New Roman" w:eastAsia="Times New Roman" w:cs="Times New Roman"/>
          <w:lang w:val="en-US" w:bidi="en-US"/>
          <w:color w:val="111111"/>
          <w:sz w:val="28"/>
          <w:szCs w:val="28"/>
          <w:rtl/>
        </w:rPr>
        <w:t xml:space="preserve">×22/5) </w:t>
      </w:r>
      <w:r>
        <w:rPr>
          <w:rFonts w:ascii="IRNazanin" w:hAnsi="IRNazanin" w:eastAsia="IRNazanin" w:cs="IRNazanin"/>
          <w:lang w:bidi="fa-IR"/>
          <w:color w:val="111111"/>
          <w:sz w:val="28"/>
          <w:szCs w:val="28"/>
          <w:rtl/>
        </w:rPr>
        <w:t xml:space="preserve">، اندازه: ۲۳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۳۵سم [ف: ۴ - ۱۱۵]</w:t>
      </w:r>
    </w:p>
    <w:p>
      <w:pPr>
        <w:pStyle w:val="BookText"/>
      </w:pPr>
      <w:r>
        <w:rPr>
          <w:rFonts w:ascii="IRNazanin" w:hAnsi="IRNazanin" w:eastAsia="IRNazanin" w:cs="IRNazanin"/>
          <w:lang w:bidi="fa-IR"/>
          <w:color w:val="111111"/>
          <w:sz w:val="28"/>
          <w:szCs w:val="28"/>
          <w:rtl/>
        </w:rPr>
        <w:t xml:space="preserve">۷. تهران؛ مجلس؛ شماره نسخه: ۱۴۷۰۴</w:t>
      </w:r>
    </w:p>
    <w:p>
      <w:pPr>
        <w:pStyle w:val="BookText"/>
      </w:pPr>
      <w:r>
        <w:rPr>
          <w:rFonts w:ascii="IRNazanin" w:hAnsi="IRNazanin" w:eastAsia="IRNazanin" w:cs="IRNazanin"/>
          <w:lang w:bidi="fa-IR"/>
          <w:color w:val="111111"/>
          <w:sz w:val="28"/>
          <w:szCs w:val="28"/>
          <w:rtl/>
        </w:rPr>
        <w:t xml:space="preserve">آغاز: کتاب البیوع بیع گاهی بمعنی عقد آیه که اثر آن بر آمدن مال است از ملک یکی؛ انجام: در سحرها به بیند که وقت سعادت و اجابت است رواه الترمذى و الدارمى.</w:t>
      </w:r>
    </w:p>
    <w:p>
      <w:pPr>
        <w:pStyle w:val="BookText"/>
      </w:pPr>
      <w:r>
        <w:rPr>
          <w:rFonts w:ascii="IRNazanin" w:hAnsi="IRNazanin" w:eastAsia="IRNazanin" w:cs="IRNazanin"/>
          <w:lang w:bidi="fa-IR"/>
          <w:color w:val="111111"/>
          <w:sz w:val="28"/>
          <w:szCs w:val="28"/>
          <w:rtl/>
        </w:rPr>
        <w:t xml:space="preserve">حلد: سوم؛خط: نستعلیق، بی کا، تا: پنج شنبه ۱۲ جمادی الثانی 46( احتمالا ۱۰۴۶ یا ۱۱۴۶ق)؛ مجدول، دارای سرلوح متوسط؛جلد: چرم مشکی ضربی ترنج و سرترنج و لچکی دار، ۲۹۶گ،  29 سطر، اندازه: ۲۱/۶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۳۲سم [ف: ۴۱ - ۱۶۸]</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تهران؛ مجلس؛ شماره نسخه: ۱۸۲۸۲ ض</w:t>
      </w:r>
    </w:p>
    <w:p>
      <w:pPr>
        <w:pStyle w:val="BookText"/>
      </w:pPr>
      <w:r>
        <w:rPr>
          <w:rFonts w:ascii="IRNazanin" w:hAnsi="IRNazanin" w:eastAsia="IRNazanin" w:cs="IRNazanin"/>
          <w:lang w:bidi="fa-IR"/>
          <w:color w:val="111111"/>
          <w:sz w:val="28"/>
          <w:szCs w:val="28"/>
          <w:rtl/>
        </w:rPr>
        <w:t xml:space="preserve">بی کا، تا: ۱۳۱۶ق [د.ث. مجلس ]</w:t>
      </w:r>
    </w:p>
    <w:p>
      <w:pPr>
        <w:pStyle w:val="BookText"/>
      </w:pPr>
      <w:r>
        <w:rPr>
          <w:rFonts w:ascii="IRNazanin" w:hAnsi="IRNazanin" w:eastAsia="IRNazanin" w:cs="IRNazanin"/>
          <w:lang w:bidi="fa-IR"/>
          <w:color w:val="111111"/>
          <w:sz w:val="28"/>
          <w:szCs w:val="28"/>
          <w:rtl/>
        </w:rPr>
        <w:t xml:space="preserve">۹. تهران؛ ملی؛ شماره نسخه: ۶۰۷۵</w:t>
      </w:r>
    </w:p>
    <w:p>
      <w:pPr>
        <w:pStyle w:val="BookText"/>
      </w:pPr>
      <w:r>
        <w:rPr>
          <w:rFonts w:ascii="IRNazanin" w:hAnsi="IRNazanin" w:eastAsia="IRNazanin" w:cs="IRNazanin"/>
          <w:lang w:bidi="fa-IR"/>
          <w:color w:val="111111"/>
          <w:sz w:val="28"/>
          <w:szCs w:val="28"/>
          <w:rtl/>
        </w:rPr>
        <w:t xml:space="preserve">آغاز: در کتب آمده با اختلاف الفاظ و نز [د] ما چهار رکعتست در وی نیز احادیث آمده از علی و عائشه و ما حبيبه و ترمذی گفته که بر اینست؛ انجام: و عن ابن عباس رضى الله عنهما قال عمر بن الخطاب رضی الله عنه سمعت رسول الله صلى الله علیه سلم گفت ابن عباس کع گفت عمر بن خطاب خط: نستعلیق، بی کا، بی تا؛ افتادگی: آغاز و انجام؛ مجدول، اوراق نسخه آشفته و جابه جا صحافی شده است، تاریخ ۱۳۴۸ ق در حاشیه ص ۴۰۱ دیده می شود؛ مهر: «بنده لطف محمد شريف»(بیضوی)، «بنده لطف محمد شریف بن مصطفى» ؛کاغذ: دولت آبادی ،جلد: گالینگور قرمز مقوایی مجدول، ۲۲۸گ، ۲۵ سـطر (9/8</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،اندازه: ۱۶/۵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۲۷/۵سم [رایانه]</w:t>
      </w:r>
    </w:p>
    <w:p>
      <w:pPr>
        <w:pStyle w:val="BookText"/>
      </w:pPr>
      <w:r>
        <w:rPr>
          <w:rFonts w:ascii="IRNazanin" w:hAnsi="IRNazanin" w:eastAsia="IRNazanin" w:cs="IRNazanin"/>
          <w:lang w:bidi="fa-IR"/>
          <w:color w:val="111111"/>
          <w:sz w:val="28"/>
          <w:szCs w:val="28"/>
          <w:rtl/>
        </w:rPr>
        <w:t xml:space="preserve">۱۰ . قم؛ گلپایگانی؛ شماره نسخه: ۷۲۲۴-۳۷/۱۴</w:t>
      </w:r>
    </w:p>
    <w:p>
      <w:pPr>
        <w:pStyle w:val="BookText"/>
      </w:pPr>
      <w:r>
        <w:rPr>
          <w:rFonts w:ascii="IRNazanin" w:hAnsi="IRNazanin" w:eastAsia="IRNazanin" w:cs="IRNazanin"/>
          <w:lang w:bidi="fa-IR"/>
          <w:color w:val="111111"/>
          <w:sz w:val="28"/>
          <w:szCs w:val="28"/>
          <w:rtl/>
        </w:rPr>
        <w:t xml:space="preserve">آغاز: برابر؛ انجام: بیان فضیلت نماز است در این بقعه شریفه  که حكم عمره و حج دارد، رواه البخاري، تم كتاب ... يتلوه كتـاب البيوع</w:t>
      </w:r>
    </w:p>
    <w:p>
      <w:pPr>
        <w:pStyle w:val="BookText"/>
      </w:pPr>
      <w:r>
        <w:rPr>
          <w:rFonts w:ascii="IRNazanin" w:hAnsi="IRNazanin" w:eastAsia="IRNazanin" w:cs="IRNazanin"/>
          <w:lang w:bidi="fa-IR"/>
          <w:color w:val="111111"/>
          <w:sz w:val="28"/>
          <w:szCs w:val="28"/>
          <w:rtl/>
        </w:rPr>
        <w:t xml:space="preserve">عبادات؛ خط: نستعلیق، بی کا،بی تا؛ مصحح، دارای علامت بلاغ؛جلد: تیماج قهوه ای، ۳۸۷گ، ۳۱ سطر، اندازه: ۲۱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۳۳سم [ف: ۱- 375]</w:t>
      </w:r>
    </w:p>
    <w:p>
      <w:pPr>
        <w:pStyle w:val="BookText"/>
      </w:pPr>
      <w:r>
        <w:rPr>
          <w:rFonts w:ascii="IRNazanin" w:hAnsi="IRNazanin" w:eastAsia="IRNazanin" w:cs="IRNazanin"/>
          <w:lang w:bidi="fa-IR"/>
          <w:color w:val="111111"/>
          <w:sz w:val="28"/>
          <w:szCs w:val="28"/>
          <w:rtl/>
        </w:rPr>
        <w:t xml:space="preserve">۱۱. قم؛ مرعشی؛ شماره نسخه: ۷۹۲۴</w:t>
      </w:r>
    </w:p>
    <w:p>
      <w:pPr>
        <w:pStyle w:val="BookText"/>
      </w:pPr>
      <w:r>
        <w:rPr>
          <w:rFonts w:ascii="IRNazanin" w:hAnsi="IRNazanin" w:eastAsia="IRNazanin" w:cs="IRNazanin"/>
          <w:lang w:bidi="fa-IR"/>
          <w:color w:val="111111"/>
          <w:sz w:val="28"/>
          <w:szCs w:val="28"/>
          <w:rtl/>
        </w:rPr>
        <w:t xml:space="preserve">آغاز: کتاب البیوع، بیع گاهی بمعنی عقد آید که اثر آن بر آمدن مال است از ملک یکی و در آمدن در ملک دیگری</w:t>
      </w:r>
    </w:p>
    <w:p>
      <w:pPr>
        <w:pStyle w:val="BookText"/>
      </w:pPr>
      <w:r>
        <w:rPr>
          <w:rFonts w:ascii="IRNazanin" w:hAnsi="IRNazanin" w:eastAsia="IRNazanin" w:cs="IRNazanin"/>
          <w:lang w:bidi="fa-IR"/>
          <w:color w:val="111111"/>
          <w:sz w:val="28"/>
          <w:szCs w:val="28"/>
          <w:rtl/>
        </w:rPr>
        <w:t xml:space="preserve">در فهرست با عنوان «شرح مشكاة المصابيح» و ناشناس ناشناس آمده.جلد سوم شرح و از کتاب بیوع می باشد؛ خط: نستعلیق، بی کا، تا:9 رمضان؛ جلد: تیماج قرمز، ۳۲۹گ، ۲۵ سطر، اندازه: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۳۱/۵ سم[ ف: ۲۰ - ۲۵۱]</w:t>
      </w:r>
    </w:p>
    <w:p>
      <w:pPr>
        <w:pStyle w:val="BookText"/>
      </w:pPr>
      <w:r>
        <w:rPr>
          <w:rFonts w:ascii="IRNazanin" w:hAnsi="IRNazanin" w:eastAsia="IRNazanin" w:cs="IRNazanin"/>
          <w:lang w:bidi="fa-IR"/>
          <w:color w:val="111111"/>
          <w:sz w:val="28"/>
          <w:szCs w:val="28"/>
          <w:rtl/>
        </w:rPr>
        <w:t xml:space="preserve">۱۲. یزد؛ وزیری؛ شماره نسخه: ۳۷۰۰</w:t>
      </w:r>
    </w:p>
    <w:p>
      <w:pPr>
        <w:pStyle w:val="BookText"/>
      </w:pPr>
      <w:r>
        <w:rPr>
          <w:rFonts w:ascii="IRNazanin" w:hAnsi="IRNazanin" w:eastAsia="IRNazanin" w:cs="IRNazanin"/>
          <w:lang w:bidi="fa-IR"/>
          <w:color w:val="111111"/>
          <w:sz w:val="28"/>
          <w:szCs w:val="28"/>
          <w:rtl/>
        </w:rPr>
        <w:t xml:space="preserve">آغاز: کتاب الآداب. طیبی گفته ادب اسمی است که واقع میشـود بر هر ریاضت محمود؛ انجام: فی الاسلام در دین مسلمانی یعنی</w:t>
      </w:r>
    </w:p>
    <w:p>
      <w:pPr>
        <w:pStyle w:val="BookText"/>
      </w:pPr>
      <w:r>
        <w:rPr>
          <w:rFonts w:ascii="IRNazanin" w:hAnsi="IRNazanin" w:eastAsia="IRNazanin" w:cs="IRNazanin"/>
          <w:lang w:bidi="fa-IR"/>
          <w:color w:val="111111"/>
          <w:sz w:val="28"/>
          <w:szCs w:val="28"/>
          <w:rtl/>
        </w:rPr>
        <w:t xml:space="preserve">خط: نستعليق تحریری، بی کا، بی تا؛ افتادگی: انجام؛ کاغذ: سمرقندی، جلد: مقوایی روکش کاغذ قرمز عطف و گوشه ها تیماج تریاکی، ۲۵۴گ، ۲۳ سطر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۲۴/۵)،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۳۱سم[ ف: ۵ - ۱۷۵۳]</w:t>
      </w:r>
    </w:p>
    <w:p>
      <w:pPr>
        <w:pStyle w:val="Heading3"/>
      </w:pPr>
      <w:bookmarkStart w:id="2115" w:name="_Toc1637"/>
      <w:r>
        <w:t>اشعة اللوايح / عرفان و تصوف / فارسی</w:t>
      </w:r>
      <w:bookmarkEnd w:id="2115"/>
    </w:p>
    <w:p>
      <w:pPr>
        <w:pStyle w:val="BookText"/>
      </w:pPr>
      <w:r>
        <w:rPr>
          <w:rFonts w:ascii="Times New Roman" w:hAnsi="Times New Roman" w:eastAsia="Times New Roman" w:cs="Times New Roman"/>
          <w:lang w:val="en-US" w:bidi="en-US"/>
          <w:color w:val="111111"/>
          <w:sz w:val="28"/>
          <w:szCs w:val="28"/>
          <w:rtl/>
        </w:rPr>
        <w:t xml:space="preserve">aši"at-ol lavāyeh</w:t>
      </w:r>
    </w:p>
    <w:p>
      <w:pPr>
        <w:pStyle w:val="BookText"/>
      </w:pPr>
      <w:r>
        <w:rPr>
          <w:rFonts w:ascii="IRNazanin" w:hAnsi="IRNazanin" w:eastAsia="IRNazanin" w:cs="IRNazanin"/>
          <w:lang w:bidi="fa-IR"/>
          <w:color w:val="111111"/>
          <w:sz w:val="28"/>
          <w:szCs w:val="28"/>
          <w:rtl/>
        </w:rPr>
        <w:t xml:space="preserve">امان انصاری، عبدالملک بن عبدالغفور، ق ۱۰ قمری</w:t>
      </w:r>
    </w:p>
    <w:p>
      <w:pPr>
        <w:pStyle w:val="BookText"/>
      </w:pPr>
      <w:r>
        <w:rPr>
          <w:rFonts w:ascii="Times New Roman" w:hAnsi="Times New Roman" w:eastAsia="Times New Roman" w:cs="Times New Roman"/>
          <w:lang w:val="en-US" w:bidi="en-US"/>
          <w:color w:val="111111"/>
          <w:sz w:val="28"/>
          <w:szCs w:val="28"/>
          <w:rtl/>
        </w:rPr>
        <w:t xml:space="preserve">(amān ansārī, ‘abd-ol-malek ebn-e ‘abd-ol-qafūr (- 16c)</w:t>
      </w:r>
    </w:p>
    <w:p>
      <w:pPr>
        <w:pStyle w:val="BookText"/>
      </w:pPr>
      <w:r>
        <w:rPr>
          <w:rFonts w:ascii="IRNazanin" w:hAnsi="IRNazanin" w:eastAsia="IRNazanin" w:cs="IRNazanin"/>
          <w:lang w:bidi="fa-IR"/>
          <w:color w:val="111111"/>
          <w:sz w:val="28"/>
          <w:szCs w:val="28"/>
          <w:rtl/>
        </w:rPr>
        <w:t xml:space="preserve">وابسته به: لوایح؛ جامی، عبدالرحمن بن احمد (817- 898ق) در شرح «لوایح» ،جامی، به نثر آمیخته به نظم و گسترده، در دیباچه می نویسد: «پس از مرگ استادم ابوحامد محمد بن حسن در 27رجب ۹۳۱ق و استاد دیگرم شمس الدين محمد مودود لاری در ۲۹ رمضان ۹۳۷ق، به نگارش این شرح پرداختم». پیش ازآغاز به کار «مقدمه» آورده در مسایل نظری عرفان، در چند «وصل»، بی شماره: وصل یکم در اثبات وحدانيت او، وصل، بدانکه حکما می گویند ....، وصل، بدانکه موجود عبارت از امری است که محقق بود ...، وصل وجود مطلق ليس مقيد ...</w:t>
      </w:r>
    </w:p>
    <w:p>
      <w:pPr>
        <w:pStyle w:val="BookText"/>
      </w:pPr>
      <w:r>
        <w:rPr>
          <w:rFonts w:ascii="IRNazanin" w:hAnsi="IRNazanin" w:eastAsia="IRNazanin" w:cs="IRNazanin"/>
          <w:lang w:bidi="fa-IR"/>
          <w:color w:val="111111"/>
          <w:sz w:val="28"/>
          <w:szCs w:val="28"/>
          <w:rtl/>
        </w:rPr>
        <w:t xml:space="preserve">آغاز: محامد بی قیاس حضرت پادشاهی را که منزه از تعینات ظلمانی است و نورانی</w:t>
      </w:r>
    </w:p>
    <w:p>
      <w:pPr>
        <w:pStyle w:val="BookText"/>
      </w:pPr>
      <w:r>
        <w:rPr>
          <w:rFonts w:ascii="IRNazanin" w:hAnsi="IRNazanin" w:eastAsia="IRNazanin" w:cs="IRNazanin"/>
          <w:lang w:bidi="fa-IR"/>
          <w:color w:val="111111"/>
          <w:sz w:val="28"/>
          <w:szCs w:val="28"/>
          <w:rtl/>
        </w:rPr>
        <w:t xml:space="preserve">انجام: فبلغ کل مرام برحمتك ... الطاهرين و الحمد لله رب العالمين</w:t>
      </w:r>
    </w:p>
    <w:p>
      <w:pPr>
        <w:pStyle w:val="BookText"/>
      </w:pPr>
      <w:r>
        <w:rPr>
          <w:rFonts w:ascii="IRNazanin" w:hAnsi="IRNazanin" w:eastAsia="IRNazanin" w:cs="IRNazanin"/>
          <w:lang w:bidi="fa-IR"/>
          <w:color w:val="111111"/>
          <w:sz w:val="28"/>
          <w:szCs w:val="28"/>
          <w:rtl/>
        </w:rPr>
        <w:t xml:space="preserve">[فهرستواره منزوی (۸۱/۷؛ دنا ۱۰۲۸/۱ ]</w:t>
      </w:r>
    </w:p>
    <w:p>
      <w:pPr>
        <w:pStyle w:val="BookText"/>
      </w:pPr>
      <w:r>
        <w:rPr>
          <w:rFonts w:ascii="IRNazanin" w:hAnsi="IRNazanin" w:eastAsia="IRNazanin" w:cs="IRNazanin"/>
          <w:lang w:bidi="fa-IR"/>
          <w:color w:val="111111"/>
          <w:sz w:val="28"/>
          <w:szCs w:val="28"/>
          <w:rtl/>
        </w:rPr>
        <w:t xml:space="preserve">تهران؛ ادبیات؛ شماره نسخه: ۳۱۸ حکمت</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ملا جمال غلام میرزا آقا شاه سکن قنوج، تا: ۷ ذیقعده ۱۰۱۷ق؛ مجدول؛ جلد: تیماج سبز مقوایی، ۲۹۲گ، قطع:وزیری [ف: ۲ - ۴]</w:t>
      </w:r>
    </w:p>
    <w:p>
      <w:pPr>
        <w:pStyle w:val="BookText"/>
      </w:pPr>
      <w:r>
        <w:rPr>
          <w:rFonts w:ascii="IRNazanin" w:hAnsi="IRNazanin" w:eastAsia="IRNazanin" w:cs="IRNazanin"/>
          <w:lang w:bidi="fa-IR"/>
          <w:color w:val="111111"/>
          <w:sz w:val="28"/>
          <w:szCs w:val="28"/>
          <w:rtl/>
        </w:rPr>
        <w:t xml:space="preserve">تهران؛ دائرة المعارف؛ شماره نسخه: ۲۹۳ عکسی</w:t>
      </w:r>
    </w:p>
    <w:p>
      <w:pPr>
        <w:pStyle w:val="BookText"/>
      </w:pPr>
      <w:r>
        <w:rPr>
          <w:rFonts w:ascii="IRNazanin" w:hAnsi="IRNazanin" w:eastAsia="IRNazanin" w:cs="IRNazanin"/>
          <w:lang w:bidi="fa-IR"/>
          <w:color w:val="111111"/>
          <w:sz w:val="28"/>
          <w:szCs w:val="28"/>
          <w:rtl/>
        </w:rPr>
        <w:t xml:space="preserve">اصل نسخه: همان نسخه بالا [ عکسی ف: ۲ - ۲۵]</w:t>
      </w:r>
    </w:p>
    <w:p>
      <w:pPr>
        <w:pStyle w:val="BookText"/>
      </w:pPr>
      <w:r>
        <w:rPr>
          <w:rFonts w:ascii="IRNazanin" w:hAnsi="IRNazanin" w:eastAsia="IRNazanin" w:cs="IRNazanin"/>
          <w:lang w:bidi="fa-IR"/>
          <w:color w:val="111111"/>
          <w:sz w:val="28"/>
          <w:szCs w:val="28"/>
          <w:rtl/>
        </w:rPr>
        <w:t xml:space="preserve">تهران؛ دانشگاه؛ شماره نسخه: ۶۰۹۷-ف</w:t>
      </w:r>
    </w:p>
    <w:p>
      <w:pPr>
        <w:pStyle w:val="BookText"/>
      </w:pPr>
      <w:r>
        <w:rPr>
          <w:rFonts w:ascii="IRNazanin" w:hAnsi="IRNazanin" w:eastAsia="IRNazanin" w:cs="IRNazanin"/>
          <w:lang w:bidi="fa-IR"/>
          <w:color w:val="111111"/>
          <w:sz w:val="28"/>
          <w:szCs w:val="28"/>
          <w:rtl/>
        </w:rPr>
        <w:t xml:space="preserve">نسخه اصل: همان نسخه بالا [ فیلمها: ۳ - ۱۹۸]</w:t>
      </w:r>
    </w:p>
    <w:p>
      <w:pPr>
        <w:pStyle w:val="Heading3"/>
      </w:pPr>
      <w:bookmarkStart w:id="2116" w:name="_Toc1638"/>
      <w:r>
        <w:t>اشعة المصابيح / فقه / عربي</w:t>
      </w:r>
      <w:bookmarkEnd w:id="2116"/>
    </w:p>
    <w:p>
      <w:pPr>
        <w:pStyle w:val="BookText"/>
      </w:pPr>
      <w:r>
        <w:rPr>
          <w:rFonts w:ascii="Times New Roman" w:hAnsi="Times New Roman" w:eastAsia="Times New Roman" w:cs="Times New Roman"/>
          <w:lang w:val="en-US" w:bidi="en-US"/>
          <w:color w:val="111111"/>
          <w:sz w:val="28"/>
          <w:szCs w:val="28"/>
          <w:rtl/>
        </w:rPr>
        <w:t xml:space="preserve">aši‘‘at-ul maṣābīh</w:t>
      </w:r>
    </w:p>
    <w:p>
      <w:pPr>
        <w:pStyle w:val="BookText"/>
      </w:pPr>
      <w:r>
        <w:rPr>
          <w:rFonts w:ascii="IRNazanin" w:hAnsi="IRNazanin" w:eastAsia="IRNazanin" w:cs="IRNazanin"/>
          <w:lang w:bidi="fa-IR"/>
          <w:color w:val="111111"/>
          <w:sz w:val="28"/>
          <w:szCs w:val="28"/>
          <w:rtl/>
        </w:rPr>
        <w:t xml:space="preserve">قمی، ملا عباس، ق۱۳ قمری</w:t>
      </w:r>
    </w:p>
    <w:p>
      <w:pPr>
        <w:pStyle w:val="BookText"/>
      </w:pPr>
      <w:r>
        <w:rPr>
          <w:rFonts w:ascii="Times New Roman" w:hAnsi="Times New Roman" w:eastAsia="Times New Roman" w:cs="Times New Roman"/>
          <w:lang w:val="en-US" w:bidi="en-US"/>
          <w:color w:val="111111"/>
          <w:sz w:val="28"/>
          <w:szCs w:val="28"/>
          <w:rtl/>
        </w:rPr>
        <w:t xml:space="preserve">(qomī, mollā ‘abbās (- 19c)</w:t>
      </w:r>
    </w:p>
    <w:p>
      <w:pPr>
        <w:pStyle w:val="BookText"/>
      </w:pPr>
      <w:r>
        <w:rPr>
          <w:rFonts w:ascii="IRNazanin" w:hAnsi="IRNazanin" w:eastAsia="IRNazanin" w:cs="IRNazanin"/>
          <w:lang w:bidi="fa-IR"/>
          <w:color w:val="111111"/>
          <w:sz w:val="28"/>
          <w:szCs w:val="28"/>
          <w:rtl/>
        </w:rPr>
        <w:t xml:space="preserve">رساله فقهی و استدلالی نسبتاً مفصلی است با عناوین «مصباح - مصباح» با نقل اقوال بزرگان فقهاء قدیم و متأخرين.</w:t>
      </w:r>
    </w:p>
    <w:p>
      <w:pPr>
        <w:pStyle w:val="BookText"/>
      </w:pPr>
      <w:r>
        <w:rPr>
          <w:rFonts w:ascii="IRNazanin" w:hAnsi="IRNazanin" w:eastAsia="IRNazanin" w:cs="IRNazanin"/>
          <w:lang w:bidi="fa-IR"/>
          <w:color w:val="111111"/>
          <w:sz w:val="28"/>
          <w:szCs w:val="28"/>
          <w:rtl/>
        </w:rPr>
        <w:t xml:space="preserve">قم؛ مرعشی؛ شماره نسخه: ۳۸۶۱</w:t>
      </w:r>
    </w:p>
    <w:p>
      <w:pPr>
        <w:pStyle w:val="BookText"/>
      </w:pPr>
      <w:r>
        <w:rPr>
          <w:rFonts w:ascii="IRNazanin" w:hAnsi="IRNazanin" w:eastAsia="IRNazanin" w:cs="IRNazanin"/>
          <w:lang w:bidi="fa-IR"/>
          <w:color w:val="111111"/>
          <w:sz w:val="28"/>
          <w:szCs w:val="28"/>
          <w:rtl/>
        </w:rPr>
        <w:t xml:space="preserve">آغاز: فی الصلوات المندوبات و قد مر جملة منها مفصلا فيما تقدم
</w:t>
      </w:r>
    </w:p>
    <w:p>
      <w:pPr>
        <w:sectPr>
          <w:footerReference w:type="default" r:id="rId1027"/>
          <w:footnotePr>
            <w:numStart w:val="1"/>
            <w:numRestart w:val="eachPage"/>
          </w:footnotePr>
          <w:pgSz w:orient="portrait" w:w="11905.511811023622" w:h="16837.79527559055"/>
          <w:pgMar w:top="1440" w:right="1440" w:bottom="1440" w:left="1440" w:header="720" w:footer="720" w:gutter="0"/>
          <w:cols w:num="1" w:space="720"/>
        </w:sectPr>
      </w:pPr>
    </w:p>
    <w:bookmarkStart w:id="471" w:name="pg20365_260963"/>
    <w:bookmarkEnd w:id="471"/>
    <w:p>
      <w:pPr>
        <w:pStyle w:val="BookText"/>
      </w:pPr>
      <w:r>
        <w:rPr>
          <w:rFonts w:ascii="IRNazanin" w:hAnsi="IRNazanin" w:eastAsia="IRNazanin" w:cs="IRNazanin"/>
          <w:lang w:bidi="fa-IR"/>
          <w:color w:val="111111"/>
          <w:sz w:val="28"/>
          <w:szCs w:val="28"/>
          <w:rtl/>
        </w:rPr>
        <w:t xml:space="preserve">و لنذكر جملة منها في المقام؛ انجام: و ان كان القول بذلك لا يخلو عن وجه نظراً الى قاعدة الاحتياط، و الله تعالى أعلم بأحكامه این جلد مشتمل بر کتاب صلاة می باشد ؛خط: نستعليق، كاتب= مؤلف، بی تا؛ افتادگی: آغاز؛ مصحح؛ در حاشیه صفحه اول وقف نامه کتاب به تاریخ جمادی الثانی ۱۳۱۶؛ در صفحه آخر اجازه ای است که ملا محمد جعفر شریعتمدار استرآبادی به جهـت مؤلف به تاریخ رجب ۱۲۵۳ نوشته؛ مهر: «محمد رضا بن على محمد جعفر» (بیضی)؛ جلد: تیماج قهوه ای بدون مقوا، ۱۶۵گ، مختلف السطر،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 ۱۰ - ۲۴۷]</w:t>
      </w:r>
    </w:p>
    <w:p>
      <w:pPr>
        <w:pStyle w:val="Heading3"/>
      </w:pPr>
      <w:bookmarkStart w:id="2117" w:name="_Toc1639"/>
      <w:r>
        <w:t>الاشعثيات = جعفريات / حدیث / عربی</w:t>
      </w:r>
      <w:bookmarkEnd w:id="2117"/>
    </w:p>
    <w:p>
      <w:pPr>
        <w:pStyle w:val="BookText"/>
      </w:pPr>
      <w:r>
        <w:rPr>
          <w:rFonts w:ascii="Times New Roman" w:hAnsi="Times New Roman" w:eastAsia="Times New Roman" w:cs="Times New Roman"/>
          <w:lang w:val="en-US" w:bidi="en-US"/>
          <w:color w:val="111111"/>
          <w:sz w:val="28"/>
          <w:szCs w:val="28"/>
          <w:rtl/>
        </w:rPr>
        <w:t xml:space="preserve">al-aš‘aṯīyāt = ja‘farīyāt</w:t>
      </w:r>
    </w:p>
    <w:p>
      <w:pPr>
        <w:pStyle w:val="BookText"/>
      </w:pPr>
      <w:r>
        <w:rPr>
          <w:rFonts w:ascii="IRNazanin" w:hAnsi="IRNazanin" w:eastAsia="IRNazanin" w:cs="IRNazanin"/>
          <w:lang w:bidi="fa-IR"/>
          <w:color w:val="111111"/>
          <w:sz w:val="28"/>
          <w:szCs w:val="28"/>
          <w:rtl/>
        </w:rPr>
        <w:t xml:space="preserve">ابن اشعث، محمد بن محمد، - ۳۱۴ ؟ قمری</w:t>
      </w:r>
    </w:p>
    <w:p>
      <w:pPr>
        <w:pStyle w:val="BookText"/>
      </w:pPr>
      <w:r>
        <w:rPr>
          <w:rFonts w:ascii="IRNazanin" w:hAnsi="IRNazanin" w:eastAsia="IRNazanin" w:cs="IRNazanin"/>
          <w:lang w:bidi="fa-IR"/>
          <w:color w:val="111111"/>
          <w:sz w:val="28"/>
          <w:szCs w:val="28"/>
          <w:rtl/>
        </w:rPr>
        <w:t xml:space="preserve">از کتب حدیثی قدیم و با اهمیت شیعه است که در آن1000 حدیث مسند به اسناد واحد جمع آوری شده که محمد بن محـمد اشعث کوفی آنها را از موسی بن اسماعيل بن موسى بن جعفر (علیه السّلام) از پدرش اسماعیل بن موسی روایت کرده است و از این رو به «اشعثیات» اشتهار یافته و به احترام امام جعفر صادق (علیه السّلام) به «جعفريات» نیز معروف است. این کتاب به ترتیب کتاب هـای فقهی است و دارای این «ابواب»: طهارة، صلاة، زكوة، صوم، حج، جنائز ، نکاح ،طلاق، حدود باب دعاء، سنن و آداب. این کتاب را برخی از معاصران به محمد بن اشعث کوفی نسب داده اند (مانند نسخه چاپی  ایران، همراه قرب الإسناد)؛ و برخی بر اساس سند کتاب که به این صورت بیان شده است: «حدیثا موسى بن اسماعیل بن موسی بی جعفر [عليهما السلام] قال حدثنى ابى بكتبه»، مؤلف کتاب را اسماعیل، فرزند حضرت امام موسى الكاظم معرفی نموده اند. در عین حال اگر کسی سؤال نماید که آیا محمد بن محمد بن اشعث، این کتاب را عیناً روایت کرده یا اینکه کتابی است که اساس کتاب هـای اسماعیل نهاده شده است، مستمسکی برای پاسخ دقیق وجـود ندارد. صاحب «جواهر الکلام» در رد وثاقت این کتاب تلاش نموده وآن را از درجه اعتبار ساقط کرده است، اما حاج میـرزا حسین نوری در خاتمه مستدرک، نهایت تلاش خود را تصحیح این کتاب به کار برده و آن را مانند یکی از اصـول معتبره قلمداد نموده است، ولی حق مطلب در روشن شدن دو امر نهفته است: ۱. آیا راویان کتاب اشعثیات که عبارتند از محمد و موسی و اسماعیل همگی مورد وثوق هستند یا خیر؟ 2.آیا می گویید این کتاب به دست شیخ حر عاملی (صاحب وسائل) و علامه مجلسی نرسیده است و بعد از صدها سال اگر نسخه ای یافت شود که بر او نوشته شده است «هذا کتاب الاشعثيات»، مانند کتب اربعه که با تواتر قولی و عملی تا عـصر حاضر پیوستگی دارد، یکسان است؟ و از کجا مشخص شود که این همان کتاب است و چگونه حجیت پیدا می کند؟ سرانجام گروهی نیز همچون صاحب جواهر اعتقاد دارند که شیخ حر و علامه مجلسی به این کتاب اعتنا نکردند و نه این که دسترسی نداشته اند و حق مطلب چنین است: محدث جليل القدر، شيخ محمد بن حسن حر عاملی، در پایان «وسائل الشیعة» پس از ذکر مأخذ و منابع نقل خود می گوید: «اکنون نسخه های بسیاری یافت می شود؛ لکن یا نسخه صحیح برخی از آنها به دست ما نرسیده، و یا این که ضعف کتاب و مؤلف آن نزد من به اثبات رسیده و برخی دیگر، مورد اعتماد بودن آنها نزد من ثابت نشده است.</w:t>
      </w:r>
    </w:p>
    <w:p>
      <w:pPr>
        <w:pStyle w:val="BookText"/>
      </w:pPr>
      <w:r>
        <w:rPr>
          <w:rFonts w:ascii="IRNazanin" w:hAnsi="IRNazanin" w:eastAsia="IRNazanin" w:cs="IRNazanin"/>
          <w:lang w:bidi="fa-IR"/>
          <w:color w:val="111111"/>
          <w:sz w:val="28"/>
          <w:szCs w:val="28"/>
          <w:rtl/>
        </w:rPr>
        <w:t xml:space="preserve">فلذا همه اینها را رها کرده ام». شیخ حر سپس نام کتاب هایی را که با واسطه از آنها نقل کرده، نام می برد،ولی نام کتاب اشعثیات در بین آنها دیده نمی شود .نکته قابل توجه در مورد کتاب هایی که به این صورت به دست ما می رسد حجیت یا عدم حجیت آن است از حیث مستند فتوی و عمل، و سرانجام نسخه مرحوم محدث نوری و نوری و دیگران، همه از یک نسخه استکتاب  نموده اند که آن نسخه از هند آمده بوده و چنانکه مرحوم محمد باقر بهاری در پایان نسخه (نه به عنوان کاتب بلکه به عنوان صاحب نظر) اظهار نظر نموده، نسخه مغشوش و غیر قابل اعتماد بوده است. محمد بن محمد جزری شافعی، صاحب «أسنى المطالب» و النشر» از کتاب «اشعثیات» استفاده نموده و به واسطه سلسله روایتی که از طریق مشایخ خود، چهل حدیث از این کتاب گرد آوری نموده و نام آن را «الاربعون الزاهرة المنسوب الى الأئمة الطاهرة» نهاده است.</w:t>
      </w:r>
    </w:p>
    <w:p>
      <w:pPr>
        <w:pStyle w:val="BookText"/>
      </w:pPr>
      <w:r>
        <w:rPr>
          <w:rFonts w:ascii="IRNazanin" w:hAnsi="IRNazanin" w:eastAsia="IRNazanin" w:cs="IRNazanin"/>
          <w:lang w:bidi="fa-IR"/>
          <w:color w:val="111111"/>
          <w:sz w:val="28"/>
          <w:szCs w:val="28"/>
          <w:rtl/>
        </w:rPr>
        <w:t xml:space="preserve">آغاز: بسمله، حمدله [و بعد فان من منن الله المفتاق الى ربه الغنى نصر الله قزويني ... هذه النسخة الشريفة الجليلة ...] اخبرنا القاضى امين القضاة ابو عبد الله محمد بن علی بن محمد قراءة عليه و انا حاضر اسمع ... قال قال رسول الله ((صلّی اللَّهِ علیه وَ آلِهِ وَ سَلَّمَ ) الماء يطهر ولا يطهر</w:t>
      </w:r>
    </w:p>
    <w:p>
      <w:pPr>
        <w:pStyle w:val="BookText"/>
      </w:pPr>
      <w:r>
        <w:rPr>
          <w:rFonts w:ascii="Amiri" w:hAnsi="Amiri" w:eastAsia="Amiri" w:cs="Amiri"/>
          <w:lang w:bidi="ar-SA"/>
          <w:color w:val="111111"/>
          <w:sz w:val="28"/>
          <w:szCs w:val="28"/>
          <w:rtl/>
        </w:rPr>
        <w:t xml:space="preserve">انجام : و قل يا ايها الكافرون و قل هو الله احد</w:t>
      </w:r>
    </w:p>
    <w:p>
      <w:pPr>
        <w:pStyle w:val="BookText"/>
      </w:pPr>
      <w:r>
        <w:rPr>
          <w:rFonts w:ascii="IRNazanin" w:hAnsi="IRNazanin" w:eastAsia="IRNazanin" w:cs="IRNazanin"/>
          <w:lang w:bidi="fa-IR"/>
          <w:color w:val="111111"/>
          <w:sz w:val="28"/>
          <w:szCs w:val="28"/>
          <w:rtl/>
        </w:rPr>
        <w:t xml:space="preserve">چاپ: برای اولین بار به ضمیمه کتاب «قرب الاسناد» حمیری به دستور حاج آقا حسین طباطبائی بروجردی، ۱۳۲۹ق؛ طهران، سنگی، ۱۳۷۰ق ،وزیری، ۹ ص (صص 1- 10)</w:t>
      </w:r>
    </w:p>
    <w:p>
      <w:pPr>
        <w:pStyle w:val="BookText"/>
      </w:pPr>
      <w:r>
        <w:rPr>
          <w:rFonts w:ascii="IRNazanin" w:hAnsi="IRNazanin" w:eastAsia="IRNazanin" w:cs="IRNazanin"/>
          <w:lang w:bidi="fa-IR"/>
          <w:color w:val="111111"/>
          <w:sz w:val="28"/>
          <w:szCs w:val="28"/>
          <w:rtl/>
        </w:rPr>
        <w:t xml:space="preserve">[الذريعه ۱۰۹/۲ و و ۱۱۲/۵؛ مشار عربی ۶۰؛ فوائد الرجاليه بحر العلوم ۱۱۷/۲؛ وسائل الشیعة ۴۶/۲۰ و ۴۷؛ جواهر الکلام ۳۹۷/۲۱؛ رجال ممقانی ۱۴۵؛ دنا  ۱۰۲۸/۱ (۱۳ نسخه]</w:t>
      </w:r>
    </w:p>
    <w:p>
      <w:pPr>
        <w:pStyle w:val="BookText"/>
      </w:pPr>
      <w:r>
        <w:rPr>
          <w:rFonts w:ascii="IRNazanin" w:hAnsi="IRNazanin" w:eastAsia="IRNazanin" w:cs="IRNazanin"/>
          <w:lang w:bidi="fa-IR"/>
          <w:color w:val="111111"/>
          <w:sz w:val="28"/>
          <w:szCs w:val="28"/>
          <w:rtl/>
        </w:rPr>
        <w:t xml:space="preserve">۱. تهران؛ مجلس؛ شماره نسخه: ۱۵۶۸۴/۱</w:t>
      </w:r>
    </w:p>
    <w:p>
      <w:pPr>
        <w:pStyle w:val="BookText"/>
      </w:pPr>
      <w:r>
        <w:rPr>
          <w:rFonts w:ascii="Amiri" w:hAnsi="Amiri" w:eastAsia="Amiri" w:cs="Amiri"/>
          <w:lang w:bidi="ar-SA"/>
          <w:color w:val="111111"/>
          <w:sz w:val="28"/>
          <w:szCs w:val="28"/>
          <w:rtl/>
        </w:rPr>
        <w:t xml:space="preserve">آغاز: برابر؛ انجام : و من كل عين لامة ... كلما ذكره الذاكرون و ما غفل عن ذكره الغافلون</w:t>
      </w:r>
    </w:p>
    <w:p>
      <w:pPr>
        <w:pStyle w:val="BookText"/>
      </w:pPr>
      <w:r>
        <w:rPr>
          <w:rFonts w:ascii="IRNazanin" w:hAnsi="IRNazanin" w:eastAsia="IRNazanin" w:cs="IRNazanin"/>
          <w:lang w:bidi="fa-IR"/>
          <w:color w:val="111111"/>
          <w:sz w:val="28"/>
          <w:szCs w:val="28"/>
          <w:rtl/>
        </w:rPr>
        <w:t xml:space="preserve">خط: نسخ، كا: محمد رفيع بن عبدالله شبستری تبریزی، تا: ۲۹ ذیحجه ۱۱۱۸ق؛ دو برگ پس از کتاب نیز (۱۵۹ر - ۱۶۰پ) در دعاء فرج؛ جلد: تیماج کرم قهوه ای ساده بدون مقوا، ۱۵۵گ (۳ پ - ۱۵۸پ)، ۱۷ سطر، اندازه: 15/2</w:t>
      </w:r>
      <w:r>
        <w:rPr>
          <w:rFonts w:ascii="Times New Roman" w:hAnsi="Times New Roman" w:eastAsia="Times New Roman" w:cs="Times New Roman"/>
          <w:lang w:val="en-US" w:bidi="en-US"/>
          <w:color w:val="111111"/>
          <w:sz w:val="28"/>
          <w:szCs w:val="28"/>
          <w:rtl/>
        </w:rPr>
        <w:t xml:space="preserve">×197</w:t>
      </w:r>
      <w:r>
        <w:rPr>
          <w:rFonts w:ascii="IRNazanin" w:hAnsi="IRNazanin" w:eastAsia="IRNazanin" w:cs="IRNazanin"/>
          <w:lang w:bidi="fa-IR"/>
          <w:color w:val="111111"/>
          <w:sz w:val="28"/>
          <w:szCs w:val="28"/>
          <w:rtl/>
        </w:rPr>
        <w:t xml:space="preserve">سم [ف: ۴۳ - ۲۳۹]</w:t>
      </w:r>
    </w:p>
    <w:p>
      <w:pPr>
        <w:pStyle w:val="BookText"/>
      </w:pPr>
      <w:r>
        <w:rPr>
          <w:rFonts w:ascii="IRNazanin" w:hAnsi="IRNazanin" w:eastAsia="IRNazanin" w:cs="IRNazanin"/>
          <w:lang w:bidi="fa-IR"/>
          <w:color w:val="111111"/>
          <w:sz w:val="28"/>
          <w:szCs w:val="28"/>
          <w:rtl/>
        </w:rPr>
        <w:t xml:space="preserve">۲ . مشهد؛ رضوی؛ شماره نسخه: ۲۰۷۴۹
</w:t>
      </w:r>
    </w:p>
    <w:p>
      <w:pPr>
        <w:sectPr>
          <w:footerReference w:type="default" r:id="rId1028"/>
          <w:footnotePr>
            <w:numStart w:val="1"/>
            <w:numRestart w:val="eachPage"/>
          </w:footnotePr>
          <w:pgSz w:orient="portrait" w:w="11905.511811023622" w:h="16837.79527559055"/>
          <w:pgMar w:top="1440" w:right="1440" w:bottom="1440" w:left="1440" w:header="720" w:footer="720" w:gutter="0"/>
          <w:cols w:num="1" w:space="720"/>
        </w:sectPr>
      </w:pPr>
    </w:p>
    <w:bookmarkStart w:id="472" w:name="pg20365_260964"/>
    <w:bookmarkEnd w:id="472"/>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۱۲۷۹ق؛ مصحح، مقابله شده، ذیل صفـحه آخر دستخط اجازه مرحوم آية الله العظمی سید شهاب الدین نجفی مرعشی برای میرزا محمد علی شریف رازی مورخ ۱۳۵۹ق؛ چهار برگ اول ترجمه الجعفريات و مولف، به قلم مرحوم سید مصطفی حسینی خوانساری در صفر ۱۴۰۰؛اهدایی : رهبری، خرداد ۱۳۷۳؛ کاغذ: نخودی، جلد: میشن عنابی، ۱۶۵ گ،۱۷ سطر، قطع: خشتی،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[اهدائی رهبر: اخبار ۱ - ۲۵۶]</w:t>
      </w:r>
    </w:p>
    <w:p>
      <w:pPr>
        <w:pStyle w:val="BookText"/>
      </w:pPr>
      <w:r>
        <w:rPr>
          <w:rFonts w:ascii="IRNazanin" w:hAnsi="IRNazanin" w:eastAsia="IRNazanin" w:cs="IRNazanin"/>
          <w:lang w:bidi="fa-IR"/>
          <w:color w:val="111111"/>
          <w:sz w:val="28"/>
          <w:szCs w:val="28"/>
          <w:rtl/>
        </w:rPr>
        <w:t xml:space="preserve">3.قم ؛مرکز احیاء؛ شماره نسخه: ۴۲۷۷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سه شنبه ۱۳ ربيع الثانى ۱۲۸۲ق؛ مصحـح؛ دارای تملکی بدون نام به سال ۱۲۹۴؛ جلد: تیماج قرمز، عطف تیماج قهوه ای، ۱۲۰گ، ۲۱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[محدث ارموی مخ: ۱ - ۱۳۷]</w:t>
      </w:r>
    </w:p>
    <w:p>
      <w:pPr>
        <w:pStyle w:val="BookText"/>
      </w:pPr>
      <w:r>
        <w:rPr>
          <w:rFonts w:ascii="IRNazanin" w:hAnsi="IRNazanin" w:eastAsia="IRNazanin" w:cs="IRNazanin"/>
          <w:lang w:bidi="fa-IR"/>
          <w:color w:val="111111"/>
          <w:sz w:val="28"/>
          <w:szCs w:val="28"/>
          <w:rtl/>
        </w:rPr>
        <w:t xml:space="preserve">۴. مشهد؛ رضوی؛ شماره نسخه: ۸۱۷۲</w:t>
      </w:r>
    </w:p>
    <w:p>
      <w:pPr>
        <w:pStyle w:val="BookText"/>
      </w:pPr>
      <w:r>
        <w:rPr>
          <w:rFonts w:ascii="IRNazanin" w:hAnsi="IRNazanin" w:eastAsia="IRNazanin" w:cs="IRNazanin"/>
          <w:lang w:bidi="fa-IR"/>
          <w:color w:val="111111"/>
          <w:sz w:val="28"/>
          <w:szCs w:val="28"/>
          <w:rtl/>
        </w:rPr>
        <w:t xml:space="preserve">آغاز: برابر؛ انجام: ان النبي صلعم كان يعوذ الحسن والحسین عليهما السلام ... من شر كل شيطان و هامه و من شر كل عين لامة.</w:t>
      </w:r>
    </w:p>
    <w:p>
      <w:pPr>
        <w:pStyle w:val="BookText"/>
      </w:pPr>
      <w:r>
        <w:rPr>
          <w:rFonts w:ascii="IRNazanin" w:hAnsi="IRNazanin" w:eastAsia="IRNazanin" w:cs="IRNazanin"/>
          <w:lang w:bidi="fa-IR"/>
          <w:color w:val="111111"/>
          <w:sz w:val="28"/>
          <w:szCs w:val="28"/>
          <w:rtl/>
        </w:rPr>
        <w:t xml:space="preserve">خط:نسخ، کا: محمد بن زین العابدین موسوی خونساری، تا:چهارشنبه ۲۲محرم 1283ق؛ مصحح، مقابله شده؛ کاغذ: شکـری آهاری مهره ،جلد: تیماج مشکی ضربی با ترنج و سرترنج، ۱۱۶گ، ۲۰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۱۴ - ۲۱۰]</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قم؛ مرعشی؛ شماره نسخه: ۱۲۳۶۷</w:t>
      </w:r>
    </w:p>
    <w:p>
      <w:pPr>
        <w:pStyle w:val="BookText"/>
      </w:pPr>
      <w:r>
        <w:rPr>
          <w:rFonts w:ascii="IRNazanin" w:hAnsi="IRNazanin" w:eastAsia="IRNazanin" w:cs="IRNazanin"/>
          <w:lang w:bidi="fa-IR"/>
          <w:color w:val="111111"/>
          <w:sz w:val="28"/>
          <w:szCs w:val="28"/>
          <w:rtl/>
        </w:rPr>
        <w:t xml:space="preserve">آغاز: برابر؛ انجام: و من شر كل عين لامة اخر كتاب السنن و الحمد لله رب العالمين اولاً وآخراً وصلى الله على رسوله النبی كلما ذكره الذاكرون و ما غفل عن ذكره الغافلون</w:t>
      </w:r>
    </w:p>
    <w:p>
      <w:pPr>
        <w:pStyle w:val="BookText"/>
      </w:pPr>
      <w:r>
        <w:rPr>
          <w:rFonts w:ascii="IRNazanin" w:hAnsi="IRNazanin" w:eastAsia="IRNazanin" w:cs="IRNazanin"/>
          <w:lang w:bidi="fa-IR"/>
          <w:color w:val="111111"/>
          <w:sz w:val="28"/>
          <w:szCs w:val="28"/>
          <w:rtl/>
        </w:rPr>
        <w:t xml:space="preserve">خط: نستعلیق تحریر،کا: محمد باقر بن محمد جعفر بهاری همدانی، تا: شب عید نوروز ۱۳۰۴ق، جا: نجف اشرف؛ کاتب نسخه که از علما و محققان قرن گذشته می باشد، در پایان ابراز داشته: «مورد استنساخ به حدی مغشوش بوده که قابل اعتـماد نیست، مگر بعد از مقابله با نسخه مصححه»، سپس می افزاید: «این نسخه را نوشتم که اگر نسخه صحیحی به دست رسید،کار تصحیح آسان باشد»، در پایان نسخه قبلی روایتی بوده است که کاتب آن را جدا از نسخه عنوان کرده و قدری از آنها استنسـاخ نموده و بقیه را رها کرده، ولی در نسخه چاپی موجود، یادداشت را جزء کتاب قلمداد کرده اند؛ کاغذ:فرنگی، جـلد: برون تیماج قرمز درون کاغذی اندازه، ۱۳۲گ، ۱۸ سـطر (6/5</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۳۱ - ۲۶۱]</w:t>
      </w:r>
    </w:p>
    <w:p>
      <w:pPr>
        <w:pStyle w:val="BookText"/>
      </w:pPr>
      <w:r>
        <w:rPr>
          <w:rFonts w:ascii="IRNazanin" w:hAnsi="IRNazanin" w:eastAsia="IRNazanin" w:cs="IRNazanin"/>
          <w:lang w:bidi="fa-IR"/>
          <w:color w:val="111111"/>
          <w:sz w:val="28"/>
          <w:szCs w:val="28"/>
          <w:rtl/>
        </w:rPr>
        <w:t xml:space="preserve">۶. مشهد؛ رضوی؛ شماره نسخه: ۳۴۸۷۴</w:t>
      </w:r>
    </w:p>
    <w:p>
      <w:pPr>
        <w:pStyle w:val="BookText"/>
      </w:pPr>
      <w:r>
        <w:rPr>
          <w:rFonts w:ascii="IRNazanin" w:hAnsi="IRNazanin" w:eastAsia="IRNazanin" w:cs="IRNazanin"/>
          <w:lang w:bidi="fa-IR"/>
          <w:color w:val="111111"/>
          <w:sz w:val="28"/>
          <w:szCs w:val="28"/>
          <w:rtl/>
        </w:rPr>
        <w:t xml:space="preserve">خط: نسخ، کا: محمدرضا بن حسین حسینی طباطبائی، ۱۳۰۵ق؛تا:مصحح، محشی؛ اهدایی: رهبری، اردیبهشت 1386 ، کاغذ: نخودی آهار مهره، جلد: میشن عنابی با عطف میشن آلبالویی، ۱۱۹گ، ۲۱ سطر، 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[اهدائی رهبر: 2 اخبار ۱ - ۲۵۶]</w:t>
      </w:r>
    </w:p>
    <w:p>
      <w:pPr>
        <w:pStyle w:val="BookText"/>
      </w:pPr>
      <w:r>
        <w:rPr>
          <w:rFonts w:ascii="IRNazanin" w:hAnsi="IRNazanin" w:eastAsia="IRNazanin" w:cs="IRNazanin"/>
          <w:lang w:bidi="fa-IR"/>
          <w:color w:val="111111"/>
          <w:sz w:val="28"/>
          <w:szCs w:val="28"/>
          <w:rtl/>
        </w:rPr>
        <w:t xml:space="preserve">7.تهران؛ نوربخش؛ شماره نسخه: ۴۱۳/۴</w:t>
      </w:r>
    </w:p>
    <w:p>
      <w:pPr>
        <w:pStyle w:val="BookText"/>
      </w:pPr>
      <w:r>
        <w:rPr>
          <w:rFonts w:ascii="Amiri" w:hAnsi="Amiri" w:eastAsia="Amiri" w:cs="Amiri"/>
          <w:lang w:bidi="ar-SA"/>
          <w:color w:val="111111"/>
          <w:sz w:val="28"/>
          <w:szCs w:val="28"/>
          <w:rtl/>
        </w:rPr>
        <w:t xml:space="preserve">آغاز: برابر؛ انجام: فهو للميت اذا جعل ذلك له تمت ... الطاهرين.</w:t>
      </w:r>
    </w:p>
    <w:p>
      <w:pPr>
        <w:pStyle w:val="BookText"/>
      </w:pPr>
      <w:r>
        <w:rPr>
          <w:rFonts w:ascii="IRNazanin" w:hAnsi="IRNazanin" w:eastAsia="IRNazanin" w:cs="IRNazanin"/>
          <w:lang w:bidi="fa-IR"/>
          <w:color w:val="111111"/>
          <w:sz w:val="28"/>
          <w:szCs w:val="28"/>
          <w:rtl/>
        </w:rPr>
        <w:t xml:space="preserve">خط: نسخ، کا: محمد مهدی، تا: روز مبعث ۱۳۰۸ق؛ کاغذ: فرنگی ،جلد: مقوایی، ۳۷ ص (۲۸۴-۳۲۰)، ۲۱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۲۳/۵سم [ف ۲ - ۱۲۰]</w:t>
      </w:r>
    </w:p>
    <w:p>
      <w:pPr>
        <w:pStyle w:val="BookText"/>
      </w:pPr>
      <w:r>
        <w:rPr>
          <w:rFonts w:ascii="IRNazanin" w:hAnsi="IRNazanin" w:eastAsia="IRNazanin" w:cs="IRNazanin"/>
          <w:lang w:bidi="fa-IR"/>
          <w:color w:val="111111"/>
          <w:sz w:val="28"/>
          <w:szCs w:val="28"/>
          <w:rtl/>
        </w:rPr>
        <w:t xml:space="preserve">۸. تهران؛ مجلس؛ شماره نسخه: ۱۶۴۳۴</w:t>
      </w:r>
    </w:p>
    <w:p>
      <w:pPr>
        <w:pStyle w:val="BookText"/>
      </w:pPr>
      <w:r>
        <w:rPr>
          <w:rFonts w:ascii="IRNazanin" w:hAnsi="IRNazanin" w:eastAsia="IRNazanin" w:cs="IRNazanin"/>
          <w:lang w:bidi="fa-IR"/>
          <w:color w:val="111111"/>
          <w:sz w:val="28"/>
          <w:szCs w:val="28"/>
          <w:rtl/>
        </w:rPr>
        <w:t xml:space="preserve">بی کا، تا: ۱۳۱۷ق، قطع : خشتی [د.ث. مجلس]</w:t>
      </w:r>
    </w:p>
    <w:p>
      <w:pPr>
        <w:pStyle w:val="BookText"/>
      </w:pPr>
      <w:r>
        <w:rPr>
          <w:rFonts w:ascii="IRNazanin" w:hAnsi="IRNazanin" w:eastAsia="IRNazanin" w:cs="IRNazanin"/>
          <w:lang w:bidi="fa-IR"/>
          <w:color w:val="111111"/>
          <w:sz w:val="28"/>
          <w:szCs w:val="28"/>
          <w:rtl/>
        </w:rPr>
        <w:t xml:space="preserve">9.مشهد؛ رضوی؛ شماره نسخه: ۲۰۸۷۴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نسخ،کا: احمد بن محمد رضا حسینی خوانساری، تا: دوشنبه   ۵ شوال ۱۳۲۸ق؛ مصدر است به ترجمه و تحقیق درباره مؤلف و الجعفریات؛ اهدایی: رهبری، خرداد ۱۳۷۳؛ کاغذ: شکری و حنائی آهار مهره ،جلد: میشن ،مشکی، ۸۲گ، ۲۲ سطر،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[اهدائی رهبر: ۲ اخبار ۱ - ۲۵۴]</w:t>
      </w:r>
    </w:p>
    <w:p>
      <w:pPr>
        <w:pStyle w:val="BookText"/>
      </w:pPr>
      <w:r>
        <w:rPr>
          <w:rFonts w:ascii="IRNazanin" w:hAnsi="IRNazanin" w:eastAsia="IRNazanin" w:cs="IRNazanin"/>
          <w:lang w:bidi="fa-IR"/>
          <w:color w:val="111111"/>
          <w:sz w:val="28"/>
          <w:szCs w:val="28"/>
          <w:rtl/>
        </w:rPr>
        <w:t xml:space="preserve">۱۰. تهران؛ مجلس؛ شماره نسخه: ۱۳۱۷۹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نستعليق ،كا: عبد الله بن محمد حسن هشترودی تبریزی، تا:۹  شوال ۱۳۳۶ق، جا: نجف اشرف؛ جلد: مقوا، عطف و گوشه تیماج قهوه ای ۱۰۹گ، ۲۲ سطر، اندازه: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۲۲سم [ف: ۳۶-۲۶۹]</w:t>
      </w:r>
    </w:p>
    <w:p>
      <w:pPr>
        <w:pStyle w:val="BookText"/>
      </w:pPr>
      <w:r>
        <w:rPr>
          <w:rFonts w:ascii="IRNazanin" w:hAnsi="IRNazanin" w:eastAsia="IRNazanin" w:cs="IRNazanin"/>
          <w:lang w:bidi="fa-IR"/>
          <w:color w:val="111111"/>
          <w:sz w:val="28"/>
          <w:szCs w:val="28"/>
          <w:rtl/>
        </w:rPr>
        <w:t xml:space="preserve">۱۱. مشهد؛ رضوی؛ شماره نسخه: ۷۵۵۰</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محمد حسين بن زين العابدین ارموی، تا: ۲۷ جمادی الاول ۱۳۴۸ق؛ نسخه مصدر است به یک صفحه درباره کتاب و مؤلف آن و مذیل است به یک حدیث درباره ولایت ائمه اطهار (علیهم السّلام) و استنساخ نسخه؛ کاغذ: مشقی، جلد: تیماج عنابی، ۱۵۳گ، ۱۷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۱۴ - ۲۰۹]</w:t>
      </w:r>
    </w:p>
    <w:p>
      <w:pPr>
        <w:pStyle w:val="BookText"/>
      </w:pPr>
      <w:r>
        <w:rPr>
          <w:rFonts w:ascii="IRNazanin" w:hAnsi="IRNazanin" w:eastAsia="IRNazanin" w:cs="IRNazanin"/>
          <w:lang w:bidi="fa-IR"/>
          <w:color w:val="111111"/>
          <w:sz w:val="28"/>
          <w:szCs w:val="28"/>
          <w:rtl/>
        </w:rPr>
        <w:t xml:space="preserve">۱۲. تهران؛ مجلس؛ شماره نسخه: ۱۲۵۹</w:t>
      </w:r>
    </w:p>
    <w:p>
      <w:pPr>
        <w:pStyle w:val="BookText"/>
      </w:pPr>
      <w:r>
        <w:rPr>
          <w:rFonts w:ascii="IRNazanin" w:hAnsi="IRNazanin" w:eastAsia="IRNazanin" w:cs="IRNazanin"/>
          <w:lang w:bidi="fa-IR"/>
          <w:color w:val="111111"/>
          <w:sz w:val="28"/>
          <w:szCs w:val="28"/>
          <w:rtl/>
        </w:rPr>
        <w:t xml:space="preserve">آغاز: برابر؛ انجام :و من شر کل شیطان و هامه و من شر كل عين لامه.</w:t>
      </w:r>
    </w:p>
    <w:p>
      <w:pPr>
        <w:pStyle w:val="BookText"/>
      </w:pPr>
      <w:r>
        <w:rPr>
          <w:rFonts w:ascii="IRNazanin" w:hAnsi="IRNazanin" w:eastAsia="IRNazanin" w:cs="IRNazanin"/>
          <w:lang w:bidi="fa-IR"/>
          <w:color w:val="111111"/>
          <w:sz w:val="28"/>
          <w:szCs w:val="28"/>
          <w:rtl/>
        </w:rPr>
        <w:t xml:space="preserve">خط: نسخ، بی کا، بی تا؛ کاغذ: ایرانی، جلد: تیماج قرمز، ۲۴۷ص، ۱۹ سطر، قطع: وزیری [ف: ۴ - ۳۹]</w:t>
      </w:r>
    </w:p>
    <w:p>
      <w:pPr>
        <w:pStyle w:val="BookText"/>
      </w:pPr>
      <w:r>
        <w:rPr>
          <w:rFonts w:ascii="IRNazanin" w:hAnsi="IRNazanin" w:eastAsia="IRNazanin" w:cs="IRNazanin"/>
          <w:lang w:bidi="fa-IR"/>
          <w:color w:val="111111"/>
          <w:sz w:val="28"/>
          <w:szCs w:val="28"/>
          <w:rtl/>
        </w:rPr>
        <w:t xml:space="preserve">۱۳ . قم؛ فیضیه؛ شماره نسخه: ۶۸/۱</w:t>
      </w:r>
    </w:p>
    <w:p>
      <w:pPr>
        <w:pStyle w:val="BookText"/>
      </w:pPr>
      <w:r>
        <w:rPr>
          <w:rFonts w:ascii="Amiri" w:hAnsi="Amiri" w:eastAsia="Amiri" w:cs="Amiri"/>
          <w:lang w:bidi="ar-SA"/>
          <w:color w:val="111111"/>
          <w:sz w:val="28"/>
          <w:szCs w:val="28"/>
          <w:rtl/>
        </w:rPr>
        <w:t xml:space="preserve">آغاز: برابر؛ انجام: تم الكتاب و الحمد لله رب العالمين وصلوته على سيدنا محمد و اله</w:t>
      </w:r>
    </w:p>
    <w:p>
      <w:pPr>
        <w:pStyle w:val="BookText"/>
      </w:pPr>
      <w:r>
        <w:rPr>
          <w:rFonts w:ascii="IRNazanin" w:hAnsi="IRNazanin" w:eastAsia="IRNazanin" w:cs="IRNazanin"/>
          <w:lang w:bidi="fa-IR"/>
          <w:color w:val="111111"/>
          <w:sz w:val="28"/>
          <w:szCs w:val="28"/>
          <w:rtl/>
        </w:rPr>
        <w:t xml:space="preserve">خط: نسخ، كا: نصر الله قزوینی، بی تا؛ با ده صفحه مقدمه به قلم مرحوم نصرالله قزوینی مبنی بر تصحیح کتاب؛ کاغذ: آهاری خاکستری رنگ، ۳۴۱ ص، ۱۹ سطر [فهرست عراقی: ۱ - ۳۵]</w:t>
      </w:r>
    </w:p>
    <w:p>
      <w:pPr>
        <w:pStyle w:val="BookText"/>
      </w:pPr>
      <w:r>
        <w:rPr>
          <w:rFonts w:ascii="IRNazanin" w:hAnsi="IRNazanin" w:eastAsia="IRNazanin" w:cs="IRNazanin"/>
          <w:lang w:bidi="fa-IR"/>
          <w:color w:val="111111"/>
          <w:sz w:val="28"/>
          <w:szCs w:val="28"/>
          <w:rtl/>
        </w:rPr>
        <w:t xml:space="preserve">۱۴. تهران؛ ملی؛ شماره نسخه: ۱۹۷۸۸</w:t>
      </w:r>
    </w:p>
    <w:p>
      <w:pPr>
        <w:pStyle w:val="BookText"/>
      </w:pPr>
      <w:r>
        <w:rPr>
          <w:rFonts w:ascii="IRNazanin" w:hAnsi="IRNazanin" w:eastAsia="IRNazanin" w:cs="IRNazanin"/>
          <w:lang w:bidi="fa-IR"/>
          <w:color w:val="111111"/>
          <w:sz w:val="28"/>
          <w:szCs w:val="28"/>
          <w:rtl/>
        </w:rPr>
        <w:t xml:space="preserve">بی کا، بی تا؛ خریداری از محمد حسین علوی [رایانه]</w:t>
      </w:r>
    </w:p>
    <w:p>
      <w:pPr>
        <w:pStyle w:val="Heading3"/>
      </w:pPr>
      <w:bookmarkStart w:id="2118" w:name="_Toc1640"/>
      <w:r>
        <w:t>الاشعثيات = الجعفريات (منتخب) / حدیث / عربی</w:t>
      </w:r>
      <w:bookmarkEnd w:id="2118"/>
    </w:p>
    <w:p>
      <w:pPr>
        <w:pStyle w:val="BookText"/>
      </w:pPr>
      <w:r>
        <w:rPr>
          <w:rFonts w:ascii="Amiri" w:hAnsi="Amiri" w:eastAsia="Amiri" w:cs="Amiri"/>
          <w:lang w:bidi="ar-SA"/>
          <w:color w:val="111111"/>
          <w:sz w:val="28"/>
          <w:szCs w:val="28"/>
          <w:rtl/>
        </w:rPr>
        <w:t xml:space="preserve">وابسته به: الاشعثيات = الجعفريات؛ ابن اشعث، محمد بن محمد
</w:t>
      </w:r>
    </w:p>
    <w:p>
      <w:pPr>
        <w:sectPr>
          <w:footerReference w:type="default" r:id="rId1029"/>
          <w:footnotePr>
            <w:numStart w:val="1"/>
            <w:numRestart w:val="eachPage"/>
          </w:footnotePr>
          <w:pgSz w:orient="portrait" w:w="11905.511811023622" w:h="16837.79527559055"/>
          <w:pgMar w:top="1440" w:right="1440" w:bottom="1440" w:left="1440" w:header="720" w:footer="720" w:gutter="0"/>
          <w:cols w:num="1" w:space="720"/>
        </w:sectPr>
      </w:pPr>
    </w:p>
    <w:bookmarkStart w:id="473" w:name="pg20365_260965"/>
    <w:bookmarkEnd w:id="473"/>
    <w:p>
      <w:pPr>
        <w:pStyle w:val="BookText"/>
      </w:pPr>
      <w:r>
        <w:rPr>
          <w:rFonts w:ascii="IRNazanin" w:hAnsi="IRNazanin" w:eastAsia="IRNazanin" w:cs="IRNazanin"/>
          <w:lang w:bidi="fa-IR"/>
          <w:color w:val="111111"/>
          <w:sz w:val="28"/>
          <w:szCs w:val="28"/>
          <w:rtl/>
        </w:rPr>
        <w:t xml:space="preserve">(-۳۱۴ ق)</w:t>
      </w:r>
    </w:p>
    <w:p>
      <w:pPr>
        <w:pStyle w:val="BookText"/>
      </w:pPr>
      <w:r>
        <w:rPr>
          <w:rFonts w:ascii="IRNazanin" w:hAnsi="IRNazanin" w:eastAsia="IRNazanin" w:cs="IRNazanin"/>
          <w:lang w:bidi="fa-IR"/>
          <w:color w:val="111111"/>
          <w:sz w:val="28"/>
          <w:szCs w:val="28"/>
          <w:rtl/>
        </w:rPr>
        <w:t xml:space="preserve">[فهرستگان حدیث، ج ۳، ص ۳۵۷-۳۵۸؛ دنا، ج ۱، ص ۱۰۲۸]</w:t>
      </w:r>
    </w:p>
    <w:p>
      <w:pPr>
        <w:pStyle w:val="BookText"/>
      </w:pPr>
      <w:r>
        <w:rPr>
          <w:rFonts w:ascii="IRNazanin" w:hAnsi="IRNazanin" w:eastAsia="IRNazanin" w:cs="IRNazanin"/>
          <w:lang w:bidi="fa-IR"/>
          <w:color w:val="111111"/>
          <w:sz w:val="28"/>
          <w:szCs w:val="28"/>
          <w:rtl/>
        </w:rPr>
        <w:t xml:space="preserve">تهران؛ مجلس؛ شماره نسخه: ۸۹۳۲/۲۱</w:t>
      </w:r>
    </w:p>
    <w:p>
      <w:pPr>
        <w:pStyle w:val="BookText"/>
      </w:pPr>
      <w:r>
        <w:rPr>
          <w:rFonts w:ascii="IRNazanin" w:hAnsi="IRNazanin" w:eastAsia="IRNazanin" w:cs="IRNazanin"/>
          <w:lang w:bidi="fa-IR"/>
          <w:color w:val="111111"/>
          <w:sz w:val="28"/>
          <w:szCs w:val="28"/>
          <w:rtl/>
        </w:rPr>
        <w:t xml:space="preserve">آغاز: من الجعفريات. رويها الشيخ عن رجاله الى النبي عليه الـسلم من طريق الكاظم عليه السلام عن ابيه عن ابائه عن رسول الله صـلی الله عليه و اله من تعلم فى شبابه كان بمنزله؛ انجام: وانها كرم علی الله منملك مقرب.</w:t>
      </w:r>
    </w:p>
    <w:p>
      <w:pPr>
        <w:pStyle w:val="BookText"/>
      </w:pPr>
      <w:r>
        <w:rPr>
          <w:rFonts w:ascii="IRNazanin" w:hAnsi="IRNazanin" w:eastAsia="IRNazanin" w:cs="IRNazanin"/>
          <w:lang w:bidi="fa-IR"/>
          <w:color w:val="111111"/>
          <w:sz w:val="28"/>
          <w:szCs w:val="28"/>
          <w:rtl/>
        </w:rPr>
        <w:t xml:space="preserve">خط: نسخ تحریری، کا: محمد بن علی بن حسن جباعی، تا: شـنبه ۱۸ شوال ۸۵۲ ق؛ قبل از آن سخن عبدالملک به خانواده اش بنی امیه (ص ۶۷)؛ کاغذ: نخودی آهار مهره، جلد: میشن بنفش، ۱ص ،(۶۸) اندازه: ۱۸/۲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۲۸سم [ف: ۲۹/۱ - ۳۸۴]</w:t>
      </w:r>
    </w:p>
    <w:p>
      <w:pPr>
        <w:pStyle w:val="BookText"/>
      </w:pPr>
      <w:r>
        <w:rPr>
          <w:rFonts w:ascii="Amiri" w:hAnsi="Amiri" w:eastAsia="Amiri" w:cs="Amiri"/>
          <w:lang w:bidi="ar-SA"/>
          <w:color w:val="111111"/>
          <w:sz w:val="28"/>
          <w:szCs w:val="28"/>
          <w:rtl/>
        </w:rPr>
        <w:t xml:space="preserve">« اشعه شعاعيه » تذكره شعاعيه</w:t>
      </w:r>
    </w:p>
    <w:p>
      <w:pPr>
        <w:pStyle w:val="Heading3"/>
      </w:pPr>
      <w:bookmarkStart w:id="2119" w:name="_Toc1641"/>
      <w:r>
        <w:t>اشعه کواکب / هیئت / فارسی</w:t>
      </w:r>
      <w:bookmarkEnd w:id="2119"/>
    </w:p>
    <w:p>
      <w:pPr>
        <w:pStyle w:val="BookText"/>
      </w:pPr>
      <w:r>
        <w:rPr>
          <w:rFonts w:ascii="Times New Roman" w:hAnsi="Times New Roman" w:eastAsia="Times New Roman" w:cs="Times New Roman"/>
          <w:lang w:val="en-US" w:bidi="en-US"/>
          <w:color w:val="111111"/>
          <w:sz w:val="28"/>
          <w:szCs w:val="28"/>
          <w:rtl/>
        </w:rPr>
        <w:t xml:space="preserve">aša‘‘e-ye kavākeb</w:t>
      </w:r>
    </w:p>
    <w:p>
      <w:pPr>
        <w:pStyle w:val="BookText"/>
      </w:pPr>
      <w:r>
        <w:rPr>
          <w:rFonts w:ascii="IRNazanin" w:hAnsi="IRNazanin" w:eastAsia="IRNazanin" w:cs="IRNazanin"/>
          <w:lang w:bidi="fa-IR"/>
          <w:color w:val="111111"/>
          <w:sz w:val="28"/>
          <w:szCs w:val="28"/>
          <w:rtl/>
        </w:rPr>
        <w:t xml:space="preserve">تهران؛ مجلس؛ شماره نسخه: ۶۱۲۰/۶</w:t>
      </w:r>
    </w:p>
    <w:p>
      <w:pPr>
        <w:pStyle w:val="BookText"/>
      </w:pPr>
      <w:r>
        <w:rPr>
          <w:rFonts w:ascii="IRNazanin" w:hAnsi="IRNazanin" w:eastAsia="IRNazanin" w:cs="IRNazanin"/>
          <w:lang w:bidi="fa-IR"/>
          <w:color w:val="111111"/>
          <w:sz w:val="28"/>
          <w:szCs w:val="28"/>
          <w:rtl/>
        </w:rPr>
        <w:t xml:space="preserve">دو جدول است که در بالای نخستین آنها چنین نوشته:«مطارح اشعه کواکب به زعم بطلیموس»، و بالای دیگری نوشته: «مطارح اشعه بر طریق احکامیان»؛ خط: نستعلیق، بی کا، تا: حدود ۱۲۳۲ ق؛کاغذ: فرنگی شکری ،جلد: تیماج قرمز، ۶۷۴ص، ۱۷ سطر، قطع: وزیری کوچک، اندازه: ۱۵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۲۳سم [ف: ۱۹ - ۱۰۹]</w:t>
      </w:r>
    </w:p>
    <w:p>
      <w:pPr>
        <w:pStyle w:val="Heading3"/>
      </w:pPr>
      <w:bookmarkStart w:id="2120" w:name="_Toc1642"/>
      <w:r>
        <w:t>الاشقرية / حديث / عربي</w:t>
      </w:r>
      <w:bookmarkEnd w:id="2120"/>
    </w:p>
    <w:p>
      <w:pPr>
        <w:pStyle w:val="BookText"/>
      </w:pPr>
      <w:r>
        <w:rPr>
          <w:rFonts w:ascii="Times New Roman" w:hAnsi="Times New Roman" w:eastAsia="Times New Roman" w:cs="Times New Roman"/>
          <w:lang w:val="en-US" w:bidi="en-US"/>
          <w:color w:val="111111"/>
          <w:sz w:val="28"/>
          <w:szCs w:val="28"/>
          <w:rtl/>
        </w:rPr>
        <w:t xml:space="preserve">al-ašqarīyya</w:t>
      </w:r>
    </w:p>
    <w:p>
      <w:pPr>
        <w:pStyle w:val="BookText"/>
      </w:pPr>
      <w:r>
        <w:rPr>
          <w:rFonts w:ascii="IRNazanin" w:hAnsi="IRNazanin" w:eastAsia="IRNazanin" w:cs="IRNazanin"/>
          <w:lang w:bidi="fa-IR"/>
          <w:color w:val="111111"/>
          <w:sz w:val="28"/>
          <w:szCs w:val="28"/>
          <w:rtl/>
        </w:rPr>
        <w:t xml:space="preserve">بخارائی اوچی، جلال الدین حسین بن كبيرالدین احمد، ۷۰۷ - ۷۸۵ قمری</w:t>
      </w:r>
    </w:p>
    <w:p>
      <w:pPr>
        <w:pStyle w:val="BookText"/>
      </w:pPr>
      <w:r>
        <w:rPr>
          <w:rFonts w:ascii="Times New Roman" w:hAnsi="Times New Roman" w:eastAsia="Times New Roman" w:cs="Times New Roman"/>
          <w:lang w:val="en-US" w:bidi="en-US"/>
          <w:color w:val="111111"/>
          <w:sz w:val="28"/>
          <w:szCs w:val="28"/>
          <w:rtl/>
        </w:rPr>
        <w:t xml:space="preserve">boxārāīī ūčy </w:t>
      </w:r>
      <w:r>
        <w:rPr>
          <w:rFonts w:ascii="IRNazanin" w:hAnsi="IRNazanin" w:eastAsia="IRNazanin" w:cs="IRNazanin"/>
          <w:lang w:bidi="fa-IR"/>
          <w:color w:val="111111"/>
          <w:sz w:val="28"/>
          <w:szCs w:val="28"/>
          <w:rtl/>
        </w:rPr>
        <w:t xml:space="preserve">،</w:t>
      </w:r>
      <w:r>
        <w:rPr>
          <w:rFonts w:ascii="Times New Roman" w:hAnsi="Times New Roman" w:eastAsia="Times New Roman" w:cs="Times New Roman"/>
          <w:lang w:val="en-US" w:bidi="en-US"/>
          <w:color w:val="111111"/>
          <w:sz w:val="28"/>
          <w:szCs w:val="28"/>
          <w:rtl/>
        </w:rPr>
        <w:t xml:space="preserve">jalāl-od dīn hoseyn bn-e kabyro-dīn</w:t>
      </w:r>
    </w:p>
    <w:p>
      <w:pPr>
        <w:pStyle w:val="BookText"/>
      </w:pPr>
      <w:r>
        <w:rPr>
          <w:rFonts w:ascii="Times New Roman" w:hAnsi="Times New Roman" w:eastAsia="Times New Roman" w:cs="Times New Roman"/>
          <w:lang w:val="en-US" w:bidi="en-US"/>
          <w:color w:val="111111"/>
          <w:sz w:val="28"/>
          <w:szCs w:val="28"/>
          <w:rtl/>
        </w:rPr>
        <w:t xml:space="preserve">(ahmad (1308 - 1384)</w:t>
      </w:r>
    </w:p>
    <w:p>
      <w:pPr>
        <w:pStyle w:val="BookText"/>
      </w:pPr>
      <w:r>
        <w:rPr>
          <w:rFonts w:ascii="IRNazanin" w:hAnsi="IRNazanin" w:eastAsia="IRNazanin" w:cs="IRNazanin"/>
          <w:lang w:bidi="fa-IR"/>
          <w:color w:val="111111"/>
          <w:sz w:val="28"/>
          <w:szCs w:val="28"/>
          <w:rtl/>
        </w:rPr>
        <w:t xml:space="preserve">رساله موجز روایی و اخلاقی است که روایات آن به طرق اهل سنت گردآوری شده و به جد یازدهم خود «سید علی اشقر بن جعفر كذاب بن على النقى (علیه السّلام) اهدا نموده. این رساله در پنج «فصل» تنظیم شده است: ۱. الاسلام .٢. القيام؛ ٣. المصافحة؛4. التقبيل ؛ ۵. المعانقة.</w:t>
      </w:r>
    </w:p>
    <w:p>
      <w:pPr>
        <w:pStyle w:val="BookText"/>
      </w:pPr>
      <w:r>
        <w:rPr>
          <w:rFonts w:ascii="IRNazanin" w:hAnsi="IRNazanin" w:eastAsia="IRNazanin" w:cs="IRNazanin"/>
          <w:lang w:bidi="fa-IR"/>
          <w:color w:val="111111"/>
          <w:sz w:val="28"/>
          <w:szCs w:val="28"/>
          <w:rtl/>
        </w:rPr>
        <w:t xml:space="preserve">مشهد ؛ رضوی؛ شماره نسخه: ۳۵۱۷۳/۱۳</w:t>
      </w:r>
    </w:p>
    <w:p>
      <w:pPr>
        <w:pStyle w:val="BookText"/>
      </w:pPr>
      <w:r>
        <w:rPr>
          <w:rFonts w:ascii="IRNazanin" w:hAnsi="IRNazanin" w:eastAsia="IRNazanin" w:cs="IRNazanin"/>
          <w:lang w:bidi="fa-IR"/>
          <w:color w:val="111111"/>
          <w:sz w:val="28"/>
          <w:szCs w:val="28"/>
          <w:rtl/>
        </w:rPr>
        <w:t xml:space="preserve">آغاز: بسمله. الحمد لله الذى انزل جبرئيل عليه السلام على محـمد صلى الله عليه و آله و سلم بالسلام؛ انجام: رواه بخاری و مسلم</w:t>
      </w:r>
    </w:p>
    <w:p>
      <w:pPr>
        <w:pStyle w:val="BookText"/>
      </w:pPr>
      <w:r>
        <w:rPr>
          <w:rFonts w:ascii="IRNazanin" w:hAnsi="IRNazanin" w:eastAsia="IRNazanin" w:cs="IRNazanin"/>
          <w:lang w:bidi="fa-IR"/>
          <w:color w:val="111111"/>
          <w:sz w:val="28"/>
          <w:szCs w:val="28"/>
          <w:rtl/>
        </w:rPr>
        <w:t xml:space="preserve">خط: نسخ خوش، بی کا، تا: قرن ۱۰؛ اهدایی: رهبری، اردیبهشت ۱۳۸۶؛ کاغذ: نخودی آهار مهره کشمیری، جلد: تیماج فرنگی با حاشیه زرکوب، 3ص (۴۹-۵۱)، ۱۹ سطر، اندازه: ۱۷/۵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۲۳/۵سم[اهدائی رهبر: ۲ اخبار ۱ - ۳۲۴]</w:t>
      </w:r>
    </w:p>
    <w:p>
      <w:pPr>
        <w:pStyle w:val="BookText"/>
      </w:pPr>
      <w:r>
        <w:rPr>
          <w:rFonts w:ascii="Amiri" w:hAnsi="Amiri" w:eastAsia="Amiri" w:cs="Amiri"/>
          <w:lang w:bidi="ar-SA"/>
          <w:color w:val="111111"/>
          <w:sz w:val="28"/>
          <w:szCs w:val="28"/>
          <w:rtl/>
        </w:rPr>
        <w:t xml:space="preserve">«اشكالات على قاعدة... » حاشية على قاعدة من قواعد الشهيد</w:t>
      </w:r>
    </w:p>
    <w:p>
      <w:pPr>
        <w:pStyle w:val="Heading3"/>
      </w:pPr>
      <w:bookmarkStart w:id="2121" w:name="_Toc1643"/>
      <w:r>
        <w:t>اشکال اربعة / منطق / فارسی</w:t>
      </w:r>
      <w:bookmarkEnd w:id="2121"/>
    </w:p>
    <w:p>
      <w:pPr>
        <w:pStyle w:val="BookText"/>
      </w:pPr>
      <w:r>
        <w:rPr>
          <w:rFonts w:ascii="Times New Roman" w:hAnsi="Times New Roman" w:eastAsia="Times New Roman" w:cs="Times New Roman"/>
          <w:lang w:val="en-US" w:bidi="en-US"/>
          <w:color w:val="111111"/>
          <w:sz w:val="28"/>
          <w:szCs w:val="28"/>
          <w:rtl/>
        </w:rPr>
        <w:t xml:space="preserve">aškāl-e arba ́e</w:t>
      </w:r>
    </w:p>
    <w:p>
      <w:pPr>
        <w:pStyle w:val="BookText"/>
      </w:pPr>
      <w:r>
        <w:rPr>
          <w:rFonts w:ascii="IRNazanin" w:hAnsi="IRNazanin" w:eastAsia="IRNazanin" w:cs="IRNazanin"/>
          <w:lang w:bidi="fa-IR"/>
          <w:color w:val="111111"/>
          <w:sz w:val="28"/>
          <w:szCs w:val="28"/>
          <w:rtl/>
        </w:rPr>
        <w:t xml:space="preserve">از برای هر یک از اشکال چهارگانه منطق ضرب هایی با مثال های آنها آورده است. شکل اول چهار دوم چهار ضرب وشكل سوم شش شرب و شکل چهارم هشت ضرب است.</w:t>
      </w:r>
    </w:p>
    <w:p>
      <w:pPr>
        <w:pStyle w:val="BookText"/>
      </w:pPr>
      <w:r>
        <w:rPr>
          <w:rFonts w:ascii="IRNazanin" w:hAnsi="IRNazanin" w:eastAsia="IRNazanin" w:cs="IRNazanin"/>
          <w:lang w:bidi="fa-IR"/>
          <w:color w:val="111111"/>
          <w:sz w:val="28"/>
          <w:szCs w:val="28"/>
          <w:rtl/>
        </w:rPr>
        <w:t xml:space="preserve">آغاز: بدانکه شکل اول چهار ضرب است ضرب اول موجبیتن كليتين</w:t>
      </w:r>
    </w:p>
    <w:p>
      <w:pPr>
        <w:pStyle w:val="BookText"/>
      </w:pPr>
      <w:r>
        <w:rPr>
          <w:rFonts w:ascii="Amiri" w:hAnsi="Amiri" w:eastAsia="Amiri" w:cs="Amiri"/>
          <w:lang w:bidi="ar-SA"/>
          <w:color w:val="111111"/>
          <w:sz w:val="28"/>
          <w:szCs w:val="28"/>
          <w:rtl/>
        </w:rPr>
        <w:t xml:space="preserve">انجام: مثل لا شيء من الانسان بحجر وبعض الحجر ليس بانسان.</w:t>
      </w:r>
    </w:p>
    <w:p>
      <w:pPr>
        <w:pStyle w:val="BookText"/>
      </w:pPr>
      <w:r>
        <w:rPr>
          <w:rFonts w:ascii="IRNazanin" w:hAnsi="IRNazanin" w:eastAsia="IRNazanin" w:cs="IRNazanin"/>
          <w:lang w:bidi="fa-IR"/>
          <w:color w:val="111111"/>
          <w:sz w:val="28"/>
          <w:szCs w:val="28"/>
          <w:rtl/>
        </w:rPr>
        <w:t xml:space="preserve">1.قم؛ مرعشی؛ شماره نسخه: ۶۵۲۵/۵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هاشم، تا: پنج شنبه از ذیحجه ۱۰۴۴ق، جلد: تیماج سبز ،1گ (۳۷پ-۳۸ر)، اندازه: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۱۷ - ۱۰۶]</w:t>
      </w:r>
    </w:p>
    <w:p>
      <w:pPr>
        <w:pStyle w:val="BookText"/>
      </w:pPr>
      <w:r>
        <w:rPr>
          <w:rFonts w:ascii="IRNazanin" w:hAnsi="IRNazanin" w:eastAsia="IRNazanin" w:cs="IRNazanin"/>
          <w:lang w:bidi="fa-IR"/>
          <w:color w:val="111111"/>
          <w:sz w:val="28"/>
          <w:szCs w:val="28"/>
          <w:rtl/>
        </w:rPr>
        <w:t xml:space="preserve">۲. قم؛ مرعشی؛ شماره نسخه: ۶۶۳۴/۱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خط:نسخ، کا: عبد الصمد بن حسین محلاتی، بی تا؛ جلد: تیماج  قهوه ای بدون مقوا، ۷گ (۲ پ-9ر)، ۱۵ سطر، اندازه: 12</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[ف: ۱۷ - ۲۰۲]</w:t>
      </w:r>
    </w:p>
    <w:p>
      <w:pPr>
        <w:pStyle w:val="Heading3"/>
      </w:pPr>
      <w:bookmarkStart w:id="2122" w:name="_Toc1644"/>
      <w:r>
        <w:t>الأشكال الاربعة / منطق / عربي</w:t>
      </w:r>
      <w:bookmarkEnd w:id="2122"/>
    </w:p>
    <w:p>
      <w:pPr>
        <w:pStyle w:val="BookText"/>
      </w:pPr>
      <w:r>
        <w:rPr>
          <w:rFonts w:ascii="Times New Roman" w:hAnsi="Times New Roman" w:eastAsia="Times New Roman" w:cs="Times New Roman"/>
          <w:lang w:val="en-US" w:bidi="en-US"/>
          <w:color w:val="111111"/>
          <w:sz w:val="28"/>
          <w:szCs w:val="28"/>
          <w:rtl/>
        </w:rPr>
        <w:t xml:space="preserve">al-aškāl-ul arba a</w:t>
      </w:r>
    </w:p>
    <w:p>
      <w:pPr>
        <w:pStyle w:val="BookText"/>
      </w:pPr>
      <w:r>
        <w:rPr>
          <w:rFonts w:ascii="IRNazanin" w:hAnsi="IRNazanin" w:eastAsia="IRNazanin" w:cs="IRNazanin"/>
          <w:lang w:bidi="fa-IR"/>
          <w:color w:val="111111"/>
          <w:sz w:val="28"/>
          <w:szCs w:val="28"/>
          <w:rtl/>
        </w:rPr>
        <w:t xml:space="preserve">رساله ای مختصر در بیان اشکال چهارده گانه منطقی و شرایط انتاج آنهاست که در هامش برگی نوشته شده است.</w:t>
      </w:r>
    </w:p>
    <w:p>
      <w:pPr>
        <w:pStyle w:val="BookText"/>
      </w:pPr>
      <w:r>
        <w:rPr>
          <w:rFonts w:ascii="IRNazanin" w:hAnsi="IRNazanin" w:eastAsia="IRNazanin" w:cs="IRNazanin"/>
          <w:lang w:bidi="fa-IR"/>
          <w:color w:val="111111"/>
          <w:sz w:val="28"/>
          <w:szCs w:val="28"/>
          <w:rtl/>
        </w:rPr>
        <w:t xml:space="preserve">تهران؛ مجلس؛ شماره نسخه: ۴۴۵/۷ کر</w:t>
      </w:r>
    </w:p>
    <w:p>
      <w:pPr>
        <w:pStyle w:val="BookText"/>
      </w:pPr>
      <w:r>
        <w:rPr>
          <w:rFonts w:ascii="Amiri" w:hAnsi="Amiri" w:eastAsia="Amiri" w:cs="Amiri"/>
          <w:lang w:bidi="ar-SA"/>
          <w:color w:val="111111"/>
          <w:sz w:val="28"/>
          <w:szCs w:val="28"/>
          <w:rtl/>
        </w:rPr>
        <w:t xml:space="preserve">آغاز: الشكل الأول و شرط انتاجه ايجاب الصغرى و كلية الكبرى و ضروبه؛ انجام: و السابع موجبة كلية صغرى سالبة جزئية كبرى ... ينتج سالبة جزئية</w:t>
      </w:r>
    </w:p>
    <w:p>
      <w:pPr>
        <w:pStyle w:val="BookText"/>
      </w:pPr>
      <w:r>
        <w:rPr>
          <w:rFonts w:ascii="IRNazanin" w:hAnsi="IRNazanin" w:eastAsia="IRNazanin" w:cs="IRNazanin"/>
          <w:lang w:bidi="fa-IR"/>
          <w:color w:val="111111"/>
          <w:sz w:val="28"/>
          <w:szCs w:val="28"/>
          <w:rtl/>
        </w:rPr>
        <w:t xml:space="preserve">بی کا، بی تا؛ این فایده در هامش فایده پراکنده دیگری آمده است که در بیان موضوع حصر جزئی و کلی و استقرایی می باشد، در حاشیه برگ ۱۳۸ پ یک فایده در «توقف الشيء على الشيء عند الحكماء» است؛ کاغذ: فرنگی نخودی ضخیم، 1گ (۱۳۸ر- ۱۳۸پ) در هامش [ف: ۴۰/۲ - ۱۸۳]</w:t>
      </w:r>
    </w:p>
    <w:p>
      <w:pPr>
        <w:pStyle w:val="Heading3"/>
      </w:pPr>
      <w:bookmarkStart w:id="2123" w:name="_Toc1645"/>
      <w:r>
        <w:t>اشکال بر علم تفصیلی ازلی / فلسفه / عربی</w:t>
      </w:r>
      <w:bookmarkEnd w:id="2123"/>
    </w:p>
    <w:p>
      <w:pPr>
        <w:pStyle w:val="BookText"/>
      </w:pPr>
      <w:r>
        <w:rPr>
          <w:rFonts w:ascii="Times New Roman" w:hAnsi="Times New Roman" w:eastAsia="Times New Roman" w:cs="Times New Roman"/>
          <w:lang w:val="en-US" w:bidi="en-US"/>
          <w:color w:val="111111"/>
          <w:sz w:val="28"/>
          <w:szCs w:val="28"/>
          <w:rtl/>
        </w:rPr>
        <w:t xml:space="preserve">eškāl bar ‘elm-e tafsīlī-ye azalī</w:t>
      </w:r>
    </w:p>
    <w:p>
      <w:pPr>
        <w:pStyle w:val="BookText"/>
      </w:pPr>
      <w:r>
        <w:rPr>
          <w:rFonts w:ascii="IRNazanin" w:hAnsi="IRNazanin" w:eastAsia="IRNazanin" w:cs="IRNazanin"/>
          <w:lang w:bidi="fa-IR"/>
          <w:color w:val="111111"/>
          <w:sz w:val="28"/>
          <w:szCs w:val="28"/>
          <w:rtl/>
        </w:rPr>
        <w:t xml:space="preserve">در این رساله وجوه اشکالی که بر رأی قائلان به علم تفصیلی الهی وجود دارد بیان می شود چه قائلان به علم تفصیلی الهی را
</w:t>
      </w:r>
    </w:p>
    <w:p>
      <w:pPr>
        <w:sectPr>
          <w:footerReference w:type="default" r:id="rId1030"/>
          <w:footnotePr>
            <w:numStart w:val="1"/>
            <w:numRestart w:val="eachPage"/>
          </w:footnotePr>
          <w:pgSz w:orient="portrait" w:w="11905.511811023622" w:h="16837.79527559055"/>
          <w:pgMar w:top="1440" w:right="1440" w:bottom="1440" w:left="1440" w:header="720" w:footer="720" w:gutter="0"/>
          <w:cols w:num="1" w:space="720"/>
        </w:sectPr>
      </w:pPr>
    </w:p>
    <w:bookmarkStart w:id="474" w:name="pg20365_260966"/>
    <w:bookmarkEnd w:id="474"/>
    <w:p>
      <w:pPr>
        <w:pStyle w:val="BookText"/>
      </w:pPr>
      <w:r>
        <w:rPr>
          <w:rFonts w:ascii="IRNazanin" w:hAnsi="IRNazanin" w:eastAsia="IRNazanin" w:cs="IRNazanin"/>
          <w:lang w:bidi="fa-IR"/>
          <w:color w:val="111111"/>
          <w:sz w:val="28"/>
          <w:szCs w:val="28"/>
          <w:rtl/>
        </w:rPr>
        <w:t xml:space="preserve">عقیدت بر آن است که ثابتات عالم به تفصیل در نزد خداوند ثابت و برقرارند ولی در این رساله ملاحظه می شود که چـنین رائی واجد چه اشکالها و تناقضاتی می باشد.</w:t>
      </w:r>
    </w:p>
    <w:p>
      <w:pPr>
        <w:pStyle w:val="BookText"/>
      </w:pPr>
      <w:r>
        <w:rPr>
          <w:rFonts w:ascii="IRNazanin" w:hAnsi="IRNazanin" w:eastAsia="IRNazanin" w:cs="IRNazanin"/>
          <w:lang w:bidi="fa-IR"/>
          <w:color w:val="111111"/>
          <w:sz w:val="28"/>
          <w:szCs w:val="28"/>
          <w:rtl/>
        </w:rPr>
        <w:t xml:space="preserve">تهران؛ ملی؛ شماره نسخه: ۱۳۹۰/۱۴</w:t>
      </w:r>
    </w:p>
    <w:p>
      <w:pPr>
        <w:pStyle w:val="BookText"/>
      </w:pPr>
      <w:r>
        <w:rPr>
          <w:rFonts w:ascii="IRNazanin" w:hAnsi="IRNazanin" w:eastAsia="IRNazanin" w:cs="IRNazanin"/>
          <w:lang w:bidi="fa-IR"/>
          <w:color w:val="111111"/>
          <w:sz w:val="28"/>
          <w:szCs w:val="28"/>
          <w:rtl/>
        </w:rPr>
        <w:t xml:space="preserve">آغاز: بسمله، اعلم انه يرد على القائلين بكون العلم التفصیل الازلی؛ انجام: من هذه الاقوال الفاسده وجوهاً آخر يخصها و الله الموفق.</w:t>
      </w:r>
    </w:p>
    <w:p>
      <w:pPr>
        <w:pStyle w:val="BookText"/>
      </w:pPr>
      <w:r>
        <w:rPr>
          <w:rFonts w:ascii="IRNazanin" w:hAnsi="IRNazanin" w:eastAsia="IRNazanin" w:cs="IRNazanin"/>
          <w:lang w:bidi="fa-IR"/>
          <w:color w:val="111111"/>
          <w:sz w:val="28"/>
          <w:szCs w:val="28"/>
          <w:rtl/>
        </w:rPr>
        <w:t xml:space="preserve">بی کا، تا: محتملاً قرن ۱۲ ؛کاغذ: ترمه اصفهانی، جلد: تیماج عنابی، ترنج و نیم ترنج زر، عطف تیماج قهوه ای، حاشیه منگنه زر، ۵ ص (۲۴۹-۲۵۴) ۲۱ سطر ،(7/5</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اندازه: ۱۲/۵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۱۹/۵ سم[ف: ۹ - ۴۰۸]</w:t>
      </w:r>
    </w:p>
    <w:p>
      <w:pPr>
        <w:pStyle w:val="Heading3"/>
      </w:pPr>
      <w:bookmarkStart w:id="2124" w:name="_Toc1646"/>
      <w:r>
        <w:t>اشکال بیضی / هندسه / فارسی</w:t>
      </w:r>
      <w:bookmarkEnd w:id="2124"/>
    </w:p>
    <w:p>
      <w:pPr>
        <w:pStyle w:val="BookText"/>
      </w:pPr>
      <w:r>
        <w:rPr>
          <w:rFonts w:ascii="Times New Roman" w:hAnsi="Times New Roman" w:eastAsia="Times New Roman" w:cs="Times New Roman"/>
          <w:lang w:val="en-US" w:bidi="en-US"/>
          <w:color w:val="111111"/>
          <w:sz w:val="28"/>
          <w:szCs w:val="28"/>
          <w:rtl/>
        </w:rPr>
        <w:t xml:space="preserve">aškāl-e beyzī</w:t>
      </w:r>
    </w:p>
    <w:p>
      <w:pPr>
        <w:pStyle w:val="BookText"/>
      </w:pPr>
      <w:r>
        <w:rPr>
          <w:rFonts w:ascii="IRNazanin" w:hAnsi="IRNazanin" w:eastAsia="IRNazanin" w:cs="IRNazanin"/>
          <w:lang w:bidi="fa-IR"/>
          <w:color w:val="111111"/>
          <w:sz w:val="28"/>
          <w:szCs w:val="28"/>
          <w:rtl/>
        </w:rPr>
        <w:t xml:space="preserve">بیات، حیدر قلی بن حسین قلی، ق ۱۴ قمری</w:t>
      </w:r>
    </w:p>
    <w:p>
      <w:pPr>
        <w:pStyle w:val="BookText"/>
      </w:pPr>
      <w:r>
        <w:rPr>
          <w:rFonts w:ascii="Times New Roman" w:hAnsi="Times New Roman" w:eastAsia="Times New Roman" w:cs="Times New Roman"/>
          <w:lang w:val="en-US" w:bidi="en-US"/>
          <w:color w:val="111111"/>
          <w:sz w:val="28"/>
          <w:szCs w:val="28"/>
          <w:rtl/>
        </w:rPr>
        <w:t xml:space="preserve">(bayāt, heydar qolī ebn-e hoseyn qolī (- 20c)</w:t>
      </w:r>
    </w:p>
    <w:p>
      <w:pPr>
        <w:pStyle w:val="BookText"/>
      </w:pPr>
      <w:r>
        <w:rPr>
          <w:rFonts w:ascii="IRNazanin" w:hAnsi="IRNazanin" w:eastAsia="IRNazanin" w:cs="IRNazanin"/>
          <w:lang w:bidi="fa-IR"/>
          <w:color w:val="111111"/>
          <w:sz w:val="28"/>
          <w:szCs w:val="28"/>
          <w:rtl/>
        </w:rPr>
        <w:t xml:space="preserve">تاریخ تأليف: ۱۳۰۱ق</w:t>
      </w:r>
    </w:p>
    <w:p>
      <w:pPr>
        <w:pStyle w:val="BookText"/>
      </w:pPr>
      <w:r>
        <w:rPr>
          <w:rFonts w:ascii="IRNazanin" w:hAnsi="IRNazanin" w:eastAsia="IRNazanin" w:cs="IRNazanin"/>
          <w:lang w:bidi="fa-IR"/>
          <w:color w:val="111111"/>
          <w:sz w:val="28"/>
          <w:szCs w:val="28"/>
          <w:rtl/>
        </w:rPr>
        <w:t xml:space="preserve">تهران؛ مجلس؛ شماره نسخه: ۱۵۴</w:t>
      </w:r>
    </w:p>
    <w:p>
      <w:pPr>
        <w:pStyle w:val="BookText"/>
      </w:pPr>
      <w:r>
        <w:rPr>
          <w:rFonts w:ascii="IRNazanin" w:hAnsi="IRNazanin" w:eastAsia="IRNazanin" w:cs="IRNazanin"/>
          <w:lang w:bidi="fa-IR"/>
          <w:color w:val="111111"/>
          <w:sz w:val="28"/>
          <w:szCs w:val="28"/>
          <w:rtl/>
        </w:rPr>
        <w:t xml:space="preserve">آغاز: بیضی مسطح سطحی است که احاطه کند آنرا یک خط منحنی چنانچه در آن دو قطر باشد</w:t>
      </w:r>
    </w:p>
    <w:p>
      <w:pPr>
        <w:pStyle w:val="BookText"/>
      </w:pPr>
      <w:r>
        <w:rPr>
          <w:rFonts w:ascii="IRNazanin" w:hAnsi="IRNazanin" w:eastAsia="IRNazanin" w:cs="IRNazanin"/>
          <w:lang w:bidi="fa-IR"/>
          <w:color w:val="111111"/>
          <w:sz w:val="28"/>
          <w:szCs w:val="28"/>
          <w:rtl/>
        </w:rPr>
        <w:t xml:space="preserve">خط: نستعلیق، بی کا، تا: ۱۳۰۱ق، ۷۰گ، ۱۱ سطر، قطع: ربعی،اندازه: ۶/۵</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۱۳سم [ف: ۲ - ۸۴]</w:t>
      </w:r>
    </w:p>
    <w:p>
      <w:pPr>
        <w:pStyle w:val="Heading3"/>
      </w:pPr>
      <w:bookmarkStart w:id="2125" w:name="_Toc1647"/>
      <w:r>
        <w:t>اشكال التأسيس / هندسه / عربي</w:t>
      </w:r>
      <w:bookmarkEnd w:id="2125"/>
    </w:p>
    <w:p>
      <w:pPr>
        <w:pStyle w:val="BookText"/>
      </w:pPr>
      <w:r>
        <w:rPr>
          <w:rFonts w:ascii="Times New Roman" w:hAnsi="Times New Roman" w:eastAsia="Times New Roman" w:cs="Times New Roman"/>
          <w:lang w:val="en-US" w:bidi="en-US"/>
          <w:color w:val="111111"/>
          <w:sz w:val="28"/>
          <w:szCs w:val="28"/>
          <w:rtl/>
        </w:rPr>
        <w:t xml:space="preserve">aškāl-ut-ta’sīs</w:t>
      </w:r>
    </w:p>
    <w:p>
      <w:pPr>
        <w:pStyle w:val="BookText"/>
      </w:pPr>
      <w:r>
        <w:rPr>
          <w:rFonts w:ascii="IRNazanin" w:hAnsi="IRNazanin" w:eastAsia="IRNazanin" w:cs="IRNazanin"/>
          <w:lang w:bidi="fa-IR"/>
          <w:color w:val="111111"/>
          <w:sz w:val="28"/>
          <w:szCs w:val="28"/>
          <w:rtl/>
        </w:rPr>
        <w:t xml:space="preserve">سمرقندی، محمد بن اشرف، - ۶۰۰ قمری</w:t>
      </w:r>
    </w:p>
    <w:p>
      <w:pPr>
        <w:pStyle w:val="BookText"/>
      </w:pPr>
      <w:r>
        <w:rPr>
          <w:rFonts w:ascii="Times New Roman" w:hAnsi="Times New Roman" w:eastAsia="Times New Roman" w:cs="Times New Roman"/>
          <w:lang w:val="en-US" w:bidi="en-US"/>
          <w:color w:val="111111"/>
          <w:sz w:val="28"/>
          <w:szCs w:val="28"/>
          <w:rtl/>
        </w:rPr>
        <w:t xml:space="preserve">(samarqandī, mohammad ebn-e ašraf (- 1204)</w:t>
      </w:r>
    </w:p>
    <w:p>
      <w:pPr>
        <w:pStyle w:val="BookText"/>
      </w:pPr>
      <w:r>
        <w:rPr>
          <w:rFonts w:ascii="IRNazanin" w:hAnsi="IRNazanin" w:eastAsia="IRNazanin" w:cs="IRNazanin"/>
          <w:lang w:bidi="fa-IR"/>
          <w:color w:val="111111"/>
          <w:sz w:val="28"/>
          <w:szCs w:val="28"/>
          <w:rtl/>
        </w:rPr>
        <w:t xml:space="preserve">سی و پنج شکل از اصول اقلیدس را توضیح داده است. قاضی زاده رومی این کتاب را شرح کرده، دارای یک «مقدمه» و35« شكل».</w:t>
      </w:r>
    </w:p>
    <w:p>
      <w:pPr>
        <w:pStyle w:val="BookText"/>
      </w:pPr>
      <w:r>
        <w:rPr>
          <w:rFonts w:ascii="Amiri" w:hAnsi="Amiri" w:eastAsia="Amiri" w:cs="Amiri"/>
          <w:lang w:bidi="ar-SA"/>
          <w:color w:val="111111"/>
          <w:sz w:val="28"/>
          <w:szCs w:val="28"/>
          <w:rtl/>
        </w:rPr>
        <w:t xml:space="preserve">آغاز: بسمله الحمد لله رب العالمين... و بعد فان جماعة من الفضلاء ... التمسوا منى رساله تكون مقدمه</w:t>
      </w:r>
    </w:p>
    <w:p>
      <w:pPr>
        <w:pStyle w:val="BookText"/>
      </w:pPr>
      <w:r>
        <w:rPr>
          <w:rFonts w:ascii="Amiri" w:hAnsi="Amiri" w:eastAsia="Amiri" w:cs="Amiri"/>
          <w:lang w:bidi="ar-SA"/>
          <w:color w:val="111111"/>
          <w:sz w:val="28"/>
          <w:szCs w:val="28"/>
          <w:rtl/>
        </w:rPr>
        <w:t xml:space="preserve">انجام: الذى هو مربع حب مساويا لح ز الذى هو مربع حء</w:t>
      </w:r>
    </w:p>
    <w:p>
      <w:pPr>
        <w:pStyle w:val="BookText"/>
      </w:pPr>
      <w:r>
        <w:rPr>
          <w:rFonts w:ascii="IRNazanin" w:hAnsi="IRNazanin" w:eastAsia="IRNazanin" w:cs="IRNazanin"/>
          <w:lang w:bidi="fa-IR"/>
          <w:color w:val="111111"/>
          <w:sz w:val="28"/>
          <w:szCs w:val="28"/>
          <w:rtl/>
        </w:rPr>
        <w:t xml:space="preserve">چاپ:تونس، محقق: محمد سویسی، میبعة القومية للنشر، ۹۸۴م.</w:t>
      </w:r>
    </w:p>
    <w:p>
      <w:pPr>
        <w:pStyle w:val="BookText"/>
      </w:pPr>
      <w:r>
        <w:rPr>
          <w:rFonts w:ascii="IRNazanin" w:hAnsi="IRNazanin" w:eastAsia="IRNazanin" w:cs="IRNazanin"/>
          <w:lang w:bidi="fa-IR"/>
          <w:color w:val="111111"/>
          <w:sz w:val="28"/>
          <w:szCs w:val="28"/>
          <w:rtl/>
        </w:rPr>
        <w:t xml:space="preserve">[ هدية العارفين 2/ 106؛ کشف الظنون 1/ 105؛ الاوقاف العامة الموصلى3/ ۱۸۵؛ دنا ۱۰۲۹/۱ (۲۰ نسخه)]</w:t>
      </w:r>
    </w:p>
    <w:p>
      <w:pPr>
        <w:pStyle w:val="BookText"/>
      </w:pPr>
      <w:r>
        <w:rPr>
          <w:rFonts w:ascii="IRNazanin" w:hAnsi="IRNazanin" w:eastAsia="IRNazanin" w:cs="IRNazanin"/>
          <w:lang w:bidi="fa-IR"/>
          <w:color w:val="111111"/>
          <w:sz w:val="28"/>
          <w:szCs w:val="28"/>
          <w:rtl/>
        </w:rPr>
        <w:t xml:space="preserve">شرح و حواشی: ١- شرح اشكال التأسيس؛ قاضی زاده رومی، موسی بن محمود (-  815)</w:t>
      </w:r>
    </w:p>
    <w:p>
      <w:pPr>
        <w:pStyle w:val="BookText"/>
      </w:pPr>
      <w:r>
        <w:rPr>
          <w:rFonts w:ascii="IRNazanin" w:hAnsi="IRNazanin" w:eastAsia="IRNazanin" w:cs="IRNazanin"/>
          <w:lang w:bidi="fa-IR"/>
          <w:color w:val="111111"/>
          <w:sz w:val="28"/>
          <w:szCs w:val="28"/>
          <w:rtl/>
        </w:rPr>
        <w:t xml:space="preserve">۲- فواید جمالي في اصول الهندسة = شرح اشكال التأسيس؛ قاضی والشتانی، محمود بن محمد (-۹)</w:t>
      </w:r>
    </w:p>
    <w:p>
      <w:pPr>
        <w:pStyle w:val="BookText"/>
      </w:pPr>
      <w:r>
        <w:rPr>
          <w:rFonts w:ascii="Amiri" w:hAnsi="Amiri" w:eastAsia="Amiri" w:cs="Amiri"/>
          <w:lang w:bidi="ar-SA"/>
          <w:color w:val="111111"/>
          <w:sz w:val="28"/>
          <w:szCs w:val="28"/>
          <w:rtl/>
        </w:rPr>
        <w:t xml:space="preserve">٣- شرح اشكال التأسيس؛ عماد، مسعود بن معتز (-۹)</w:t>
      </w:r>
    </w:p>
    <w:p>
      <w:pPr>
        <w:pStyle w:val="BookText"/>
      </w:pPr>
      <w:r>
        <w:rPr>
          <w:rFonts w:ascii="IRNazanin" w:hAnsi="IRNazanin" w:eastAsia="IRNazanin" w:cs="IRNazanin"/>
          <w:lang w:bidi="fa-IR"/>
          <w:color w:val="111111"/>
          <w:sz w:val="28"/>
          <w:szCs w:val="28"/>
          <w:rtl/>
        </w:rPr>
        <w:t xml:space="preserve">٤- حاشية شرح اشكال التأسيس؛ تاج السعيدی، محمد بن ابی سعید (- 950)</w:t>
      </w:r>
    </w:p>
    <w:p>
      <w:pPr>
        <w:pStyle w:val="BookText"/>
      </w:pPr>
      <w:r>
        <w:rPr>
          <w:rFonts w:ascii="Amiri" w:hAnsi="Amiri" w:eastAsia="Amiri" w:cs="Amiri"/>
          <w:lang w:bidi="ar-SA"/>
          <w:color w:val="111111"/>
          <w:sz w:val="28"/>
          <w:szCs w:val="28"/>
          <w:rtl/>
        </w:rPr>
        <w:t xml:space="preserve">5- عجاله على شرح اشكال التأسيس ؛ عطار ، حسنبن محمد (۱۱۹۰-  1250)</w:t>
      </w:r>
    </w:p>
    <w:p>
      <w:pPr>
        <w:pStyle w:val="BookText"/>
      </w:pPr>
      <w:r>
        <w:rPr>
          <w:rFonts w:ascii="Amiri" w:hAnsi="Amiri" w:eastAsia="Amiri" w:cs="Amiri"/>
          <w:lang w:bidi="ar-SA"/>
          <w:color w:val="111111"/>
          <w:sz w:val="28"/>
          <w:szCs w:val="28"/>
          <w:rtl/>
        </w:rPr>
        <w:t xml:space="preserve">٦- حاشية اشكال التأسيس؛ محمد</w:t>
      </w:r>
    </w:p>
    <w:p>
      <w:pPr>
        <w:pStyle w:val="BookText"/>
      </w:pPr>
      <w:r>
        <w:rPr>
          <w:rFonts w:ascii="IRNazanin" w:hAnsi="IRNazanin" w:eastAsia="IRNazanin" w:cs="IRNazanin"/>
          <w:lang w:bidi="fa-IR"/>
          <w:color w:val="111111"/>
          <w:sz w:val="28"/>
          <w:szCs w:val="28"/>
          <w:rtl/>
        </w:rPr>
        <w:t xml:space="preserve">٧- حاشية تحفة الرئيس؛ كردی، حیدر بن احمد</w:t>
      </w:r>
    </w:p>
    <w:p>
      <w:pPr>
        <w:pStyle w:val="BookText"/>
      </w:pPr>
      <w:r>
        <w:rPr>
          <w:rFonts w:ascii="IRNazanin" w:hAnsi="IRNazanin" w:eastAsia="IRNazanin" w:cs="IRNazanin"/>
          <w:lang w:bidi="fa-IR"/>
          <w:color w:val="111111"/>
          <w:sz w:val="28"/>
          <w:szCs w:val="28"/>
          <w:rtl/>
        </w:rPr>
        <w:t xml:space="preserve">۸- شرح اشكال التأسيس؛ ثقفی، احمد بن ابراهيم</w:t>
      </w:r>
    </w:p>
    <w:p>
      <w:pPr>
        <w:pStyle w:val="BookText"/>
      </w:pPr>
      <w:r>
        <w:rPr>
          <w:rFonts w:ascii="Amiri" w:hAnsi="Amiri" w:eastAsia="Amiri" w:cs="Amiri"/>
          <w:lang w:bidi="ar-SA"/>
          <w:color w:val="111111"/>
          <w:sz w:val="28"/>
          <w:szCs w:val="28"/>
          <w:rtl/>
        </w:rPr>
        <w:t xml:space="preserve">٩- اشكال التأسيس (مختصر) = مدعيات اشكال التأسيس</w:t>
      </w:r>
    </w:p>
    <w:p>
      <w:pPr>
        <w:pStyle w:val="BookText"/>
      </w:pPr>
      <w:r>
        <w:rPr>
          <w:rFonts w:ascii="Amiri" w:hAnsi="Amiri" w:eastAsia="Amiri" w:cs="Amiri"/>
          <w:lang w:bidi="ar-SA"/>
          <w:color w:val="111111"/>
          <w:sz w:val="28"/>
          <w:szCs w:val="28"/>
          <w:rtl/>
        </w:rPr>
        <w:t xml:space="preserve">١٠- شرح اشكال التاسيس</w:t>
      </w:r>
    </w:p>
    <w:p>
      <w:pPr>
        <w:pStyle w:val="BookText"/>
      </w:pPr>
      <w:r>
        <w:rPr>
          <w:rFonts w:ascii="Amiri" w:hAnsi="Amiri" w:eastAsia="Amiri" w:cs="Amiri"/>
          <w:lang w:bidi="ar-SA"/>
          <w:color w:val="111111"/>
          <w:sz w:val="28"/>
          <w:szCs w:val="28"/>
          <w:rtl/>
        </w:rPr>
        <w:t xml:space="preserve">١١ - حاشية شرح اشكال التأسيس</w:t>
      </w:r>
    </w:p>
    <w:p>
      <w:pPr>
        <w:pStyle w:val="BookText"/>
      </w:pPr>
      <w:r>
        <w:rPr>
          <w:rFonts w:ascii="IRNazanin" w:hAnsi="IRNazanin" w:eastAsia="IRNazanin" w:cs="IRNazanin"/>
          <w:lang w:bidi="fa-IR"/>
          <w:color w:val="111111"/>
          <w:sz w:val="28"/>
          <w:szCs w:val="28"/>
          <w:rtl/>
        </w:rPr>
        <w:t xml:space="preserve">۱. تهران؛ ملی؛ شماره نسخه: ۷۰۰۴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۶۰۰ ق؛ دارای شروح و توضیحات مربوط به متن در مواردی تصحیحات مربوط به متن دارد؛ کاغذ: فرنگی خنائی، جلد: تیماج یک لا ،قهوه ای رنگ، آستر کاغذی،۳۵گ، ۹ سطر (۵/۵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 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۱۶/۵سم [رایانه]</w:t>
      </w:r>
    </w:p>
    <w:p>
      <w:pPr>
        <w:pStyle w:val="BookText"/>
      </w:pPr>
      <w:r>
        <w:rPr>
          <w:rFonts w:ascii="IRNazanin" w:hAnsi="IRNazanin" w:eastAsia="IRNazanin" w:cs="IRNazanin"/>
          <w:lang w:bidi="fa-IR"/>
          <w:color w:val="111111"/>
          <w:sz w:val="28"/>
          <w:szCs w:val="28"/>
          <w:rtl/>
        </w:rPr>
        <w:t xml:space="preserve">۲ .قم؛ مرعشی؛ شماره نسخه: ۱۲۴۶۱/۵</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۷۷۴ق با اشکال هندسی کامل در متن و حاشیه و نشان تصحیح؛ کاغذ ،شرقی،7 گ (۹۰-۸۴)، ۲۷ سطر،  اندازه: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۱۶سم [ف: ۳۱ - ۴۶۳]</w:t>
      </w:r>
    </w:p>
    <w:p>
      <w:pPr>
        <w:pStyle w:val="BookText"/>
      </w:pPr>
      <w:r>
        <w:rPr>
          <w:rFonts w:ascii="IRNazanin" w:hAnsi="IRNazanin" w:eastAsia="IRNazanin" w:cs="IRNazanin"/>
          <w:lang w:bidi="fa-IR"/>
          <w:color w:val="111111"/>
          <w:sz w:val="28"/>
          <w:szCs w:val="28"/>
          <w:rtl/>
        </w:rPr>
        <w:t xml:space="preserve">3.تهران؛ فیاض؛ شماره نسخه: بی شماره</w:t>
      </w:r>
    </w:p>
    <w:p>
      <w:pPr>
        <w:pStyle w:val="BookText"/>
      </w:pPr>
      <w:r>
        <w:rPr>
          <w:rFonts w:ascii="IRNazanin" w:hAnsi="IRNazanin" w:eastAsia="IRNazanin" w:cs="IRNazanin"/>
          <w:lang w:bidi="fa-IR"/>
          <w:color w:val="111111"/>
          <w:sz w:val="28"/>
          <w:szCs w:val="28"/>
          <w:rtl/>
        </w:rPr>
        <w:t xml:space="preserve">خط: نسخ ،کا: احمد بن اسماعیل خرقی، تا: ۸۱۸ق :[ نشریه: ۷-۶۹۵]</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قم؛ مرعشی؛ شماره نسخه: ۳۳۵۳/۱</w:t>
      </w:r>
    </w:p>
    <w:p>
      <w:pPr>
        <w:pStyle w:val="BookText"/>
      </w:pPr>
      <w:r>
        <w:rPr>
          <w:rFonts w:ascii="IRNazanin" w:hAnsi="IRNazanin" w:eastAsia="IRNazanin" w:cs="IRNazanin"/>
          <w:lang w:bidi="fa-IR"/>
          <w:color w:val="111111"/>
          <w:sz w:val="28"/>
          <w:szCs w:val="28"/>
          <w:rtl/>
        </w:rPr>
        <w:t xml:space="preserve">خط: نستعليق ،كا: محمد بن محمد بن مهدی ابوالرضا استرابادی، تا: ۱۰ جمادی الاول ۸۴۳ق، جا: مشهد مقدس؛ دارای اشکال هندسی؛ مصحح ،جلد: مقوایی عطف پارچه مشکی، ۱۴گ (۲ پ -۱۶ر)، ۱۹ سطر، اندازه: 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۱۷/۵سم [ف: ۹ - ۱۳۰]</w:t>
      </w:r>
    </w:p>
    <w:p>
      <w:pPr>
        <w:pStyle w:val="BookText"/>
      </w:pPr>
      <w:r>
        <w:rPr>
          <w:rFonts w:ascii="IRNazanin" w:hAnsi="IRNazanin" w:eastAsia="IRNazanin" w:cs="IRNazanin"/>
          <w:lang w:bidi="fa-IR"/>
          <w:color w:val="111111"/>
          <w:sz w:val="28"/>
          <w:szCs w:val="28"/>
          <w:rtl/>
        </w:rPr>
        <w:t xml:space="preserve">5.قم؛ مرعشی؛ شماره نسخه: ۱۴۵۸۹/۱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شعبان ۸۸۸ق؛ مصحح، محشی با نشان «۱۲»؛ دارای اشکال هندسی، همراه یادداشت های متفرقه؛ مهر: «عبده الراجي على بن صادق» (بیضی)؛ کاغذ: شرقی، ۱۳گ (۱ پ - ۱۳پ) ۱۷ سطر، اندازه: 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۳۶ - ۶۵۶]</w:t>
      </w:r>
    </w:p>
    <w:p>
      <w:pPr>
        <w:pStyle w:val="BookText"/>
      </w:pPr>
      <w:r>
        <w:rPr>
          <w:rFonts w:ascii="IRNazanin" w:hAnsi="IRNazanin" w:eastAsia="IRNazanin" w:cs="IRNazanin"/>
          <w:lang w:bidi="fa-IR"/>
          <w:color w:val="111111"/>
          <w:sz w:val="28"/>
          <w:szCs w:val="28"/>
          <w:rtl/>
        </w:rPr>
        <w:t xml:space="preserve">۶. تهران؛ موزه ملی؛ شماره نسخه: ۴۳۳۰/۲</w:t>
      </w:r>
    </w:p>
    <w:p>
      <w:pPr>
        <w:pStyle w:val="BookText"/>
      </w:pPr>
      <w:r>
        <w:rPr>
          <w:rFonts w:ascii="IRNazanin" w:hAnsi="IRNazanin" w:eastAsia="IRNazanin" w:cs="IRNazanin"/>
          <w:lang w:bidi="fa-IR"/>
          <w:color w:val="111111"/>
          <w:sz w:val="28"/>
          <w:szCs w:val="28"/>
          <w:rtl/>
        </w:rPr>
        <w:t xml:space="preserve">خط: نسخ، کا: سمرقندی، تا: ۷ محرم ۹۱۵ق، جا: سلطانیه؛ کاغذ: دولت آبادی ،جلد: تیماج حنایی ضربی مقوایی با لولا، ۲۱ص (۶۲-۴۱)، اندازه: ۱۳/۲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۱۷/۳سم [ نشریه: ۲ - ۲۱۵]</w:t>
      </w:r>
    </w:p>
    <w:p>
      <w:pPr>
        <w:pStyle w:val="BookText"/>
      </w:pPr>
      <w:r>
        <w:rPr>
          <w:rFonts w:ascii="IRNazanin" w:hAnsi="IRNazanin" w:eastAsia="IRNazanin" w:cs="IRNazanin"/>
          <w:lang w:bidi="fa-IR"/>
          <w:color w:val="111111"/>
          <w:sz w:val="28"/>
          <w:szCs w:val="28"/>
          <w:rtl/>
        </w:rPr>
        <w:t xml:space="preserve">تهران؛ دانشگاه؛ شماره نسخه ۱۷۳۴/۲-ف</w:t>
      </w:r>
    </w:p>
    <w:p>
      <w:pPr>
        <w:pStyle w:val="BookText"/>
      </w:pPr>
      <w:r>
        <w:rPr>
          <w:rFonts w:ascii="IRNazanin" w:hAnsi="IRNazanin" w:eastAsia="IRNazanin" w:cs="IRNazanin"/>
          <w:lang w:bidi="fa-IR"/>
          <w:color w:val="111111"/>
          <w:sz w:val="28"/>
          <w:szCs w:val="28"/>
          <w:rtl/>
        </w:rPr>
        <w:t xml:space="preserve">نسخه اصل: همان نسخه بالا [ فیلمها: ۱ - ۶۲۷]</w:t>
      </w:r>
    </w:p>
    <w:p>
      <w:pPr>
        <w:pStyle w:val="BookText"/>
      </w:pPr>
      <w:r>
        <w:rPr>
          <w:rFonts w:ascii="IRNazanin" w:hAnsi="IRNazanin" w:eastAsia="IRNazanin" w:cs="IRNazanin"/>
          <w:lang w:bidi="fa-IR"/>
          <w:color w:val="111111"/>
          <w:sz w:val="28"/>
          <w:szCs w:val="28"/>
          <w:rtl/>
        </w:rPr>
        <w:t xml:space="preserve">۷. تهران؛ مجلس؛ شماره نسخه: 1/ 211
</w:t>
      </w:r>
    </w:p>
    <w:p>
      <w:pPr>
        <w:sectPr>
          <w:footerReference w:type="default" r:id="rId10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 نسخ کا: حسین بن عبدالصمد عاملی، تا: دوشنبه ۱۹ جمادی الثانى ،۹۴۳ق، جا: قاهره؛ کاغذ: سفید و زرد ،جلد: تیماج سـرخ ضربی مقوایی، ۱۸ص (۱-۱۸)، ۱۹ سطر (9</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[سنا: ف: ۱ - ۹۸]</w:t>
      </w:r>
    </w:p>
    <w:p>
      <w:pPr>
        <w:pStyle w:val="BookText"/>
      </w:pPr>
      <w:r>
        <w:rPr>
          <w:rFonts w:ascii="IRNazanin" w:hAnsi="IRNazanin" w:eastAsia="IRNazanin" w:cs="IRNazanin"/>
          <w:lang w:bidi="fa-IR"/>
          <w:color w:val="111111"/>
          <w:sz w:val="28"/>
          <w:szCs w:val="28"/>
          <w:rtl/>
        </w:rPr>
        <w:t xml:space="preserve">۸ .تهران؛ ملک؛ شماره نسخه: ۳۴۱۸/۶</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احمد بن ابراهيم بن محمد بن محمد بن مبارک معروف به ابی حمید شارح اشكال التأسيس، تا: چهارشنبه13 رمضان ۹۹۶ق؛ کاغذ: پسته ای ،جلد: میشن لایی  سیاه، ۸گ (۸۶پ- 93ر)، ۳۲ سطر، اندازه:۱۵/۶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۲۱/۱سم [ف: ۶ - ۴۰۳]</w:t>
      </w:r>
    </w:p>
    <w:p>
      <w:pPr>
        <w:pStyle w:val="BookText"/>
      </w:pPr>
      <w:r>
        <w:rPr>
          <w:rFonts w:ascii="IRNazanin" w:hAnsi="IRNazanin" w:eastAsia="IRNazanin" w:cs="IRNazanin"/>
          <w:lang w:bidi="fa-IR"/>
          <w:color w:val="111111"/>
          <w:sz w:val="28"/>
          <w:szCs w:val="28"/>
          <w:rtl/>
        </w:rPr>
        <w:t xml:space="preserve">۹. تهران؛ دانشگاه؛ شماره نسخه: ۲۰۹۴/۲</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بی  کا، تا: ۲۷ جمادی الاول ۱۰۶۸ق، جا: یزد؛ دارنده نسخه عـلی بن عبدالفتاح طبسی گیلکی است که این نسخه را در یزد در شبها نوشته؛ کاغذ: سپاهانی، جلد: تیماج قهوه ای ضربی مقوایی، ۱۳ص (۱۹- ۳۱) ،اندازه: 9</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 [ف: ۸ - ۷۲۰]</w:t>
      </w:r>
    </w:p>
    <w:p>
      <w:pPr>
        <w:pStyle w:val="BookText"/>
      </w:pPr>
      <w:r>
        <w:rPr>
          <w:rFonts w:ascii="IRNazanin" w:hAnsi="IRNazanin" w:eastAsia="IRNazanin" w:cs="IRNazanin"/>
          <w:lang w:bidi="fa-IR"/>
          <w:color w:val="111111"/>
          <w:sz w:val="28"/>
          <w:szCs w:val="28"/>
          <w:rtl/>
        </w:rPr>
        <w:t xml:space="preserve">۱۰. تهران؛ مجلس؛ شماره نسخه: ۶۸۷۸/۱</w:t>
      </w:r>
    </w:p>
    <w:p>
      <w:pPr>
        <w:pStyle w:val="BookText"/>
      </w:pPr>
      <w:r>
        <w:rPr>
          <w:rFonts w:ascii="IRNazanin" w:hAnsi="IRNazanin" w:eastAsia="IRNazanin" w:cs="IRNazanin"/>
          <w:lang w:bidi="fa-IR"/>
          <w:color w:val="111111"/>
          <w:sz w:val="28"/>
          <w:szCs w:val="28"/>
          <w:rtl/>
        </w:rPr>
        <w:t xml:space="preserve">فقط چند برگی از آغاز کتاب است؛ خط: نسخ زیبا، بی کا، تا: قرن ۱۱ یا ۱۲؛ مصحح، با اشکال هندسی بسیار دقیق؛ جلد: تیماج مشکی مجدول ضربی، ۶گ( ۱پ-۷پ)، ۲۱ سطر، اندازه: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۲۰ - ۳۱۶]</w:t>
      </w:r>
    </w:p>
    <w:p>
      <w:pPr>
        <w:pStyle w:val="BookText"/>
      </w:pPr>
      <w:r>
        <w:rPr>
          <w:rFonts w:ascii="IRNazanin" w:hAnsi="IRNazanin" w:eastAsia="IRNazanin" w:cs="IRNazanin"/>
          <w:lang w:bidi="fa-IR"/>
          <w:color w:val="111111"/>
          <w:sz w:val="28"/>
          <w:szCs w:val="28"/>
          <w:rtl/>
        </w:rPr>
        <w:t xml:space="preserve">۱۱. قم؛ مرعشی؛ شماره نسخه: ۶۱۱۰/۱</w:t>
      </w:r>
    </w:p>
    <w:p>
      <w:pPr>
        <w:pStyle w:val="BookText"/>
      </w:pPr>
      <w:r>
        <w:rPr>
          <w:rFonts w:ascii="IRNazanin" w:hAnsi="IRNazanin" w:eastAsia="IRNazanin" w:cs="IRNazanin"/>
          <w:lang w:bidi="fa-IR"/>
          <w:color w:val="111111"/>
          <w:sz w:val="28"/>
          <w:szCs w:val="28"/>
          <w:rtl/>
        </w:rPr>
        <w:t xml:space="preserve">خط: نستعليق ،كا:محمد زکی بن محمد مؤمن یزدی، تا: ربیع الاول ۱۱۷۲ق؛ جلد: مقوایی عطف تیماج قهوه ای، ۲۲گ (۱پ- ۲۲ر) ،۱۰ سطر، اندازه: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۱۹سم [ف: ۱۶ - ۱۱۳]</w:t>
      </w:r>
    </w:p>
    <w:p>
      <w:pPr>
        <w:pStyle w:val="BookText"/>
      </w:pPr>
      <w:r>
        <w:rPr>
          <w:rFonts w:ascii="IRNazanin" w:hAnsi="IRNazanin" w:eastAsia="IRNazanin" w:cs="IRNazanin"/>
          <w:lang w:bidi="fa-IR"/>
          <w:color w:val="111111"/>
          <w:sz w:val="28"/>
          <w:szCs w:val="28"/>
          <w:rtl/>
        </w:rPr>
        <w:t xml:space="preserve">۱۲. تهران؛ مجلس؛ شماره نسخه: ۳۲۸۰/۳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كا: عطاء الله بن محمد زکی اصفهانی، تا: اواسط محرم1173ق؛ نویسنده نسخه فقراتی از شرح قاضی زاده و حاشیه هایی از مولا با نشان «منه» و از خود به فارسی در حواشی نسخه آورده و در پایان شرح شکل ۶ که سمرقندی از شکل (زاویه) مامونی یاد می کند، کاتب در حاشیه شعر زیر را از ناصر خسرو نقل کرده است: «اگر دیدی مرا عاجز نگشتی *** در اقلیدس به پنجم شکل مأمون»، در گوشه رقم کاتب نوشته ای دیگر از او درباره مؤلف اشكال التأسيس و شرح قاضی زاده بر آن به چلیپا دیده می شود؛ کاغذ: اصفهانی ،جلد: تیماج مشکی بدون مقوا، ۱۵ ص (87- ١٠١)، قطع: رقعی،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۱۵/۵سم [ف: ۱۰ – ۸۸۹]</w:t>
      </w:r>
    </w:p>
    <w:p>
      <w:pPr>
        <w:pStyle w:val="BookText"/>
      </w:pPr>
      <w:r>
        <w:rPr>
          <w:rFonts w:ascii="IRNazanin" w:hAnsi="IRNazanin" w:eastAsia="IRNazanin" w:cs="IRNazanin"/>
          <w:lang w:bidi="fa-IR"/>
          <w:color w:val="111111"/>
          <w:sz w:val="28"/>
          <w:szCs w:val="28"/>
          <w:rtl/>
        </w:rPr>
        <w:t xml:space="preserve">۱۳. تهران؛ مجلس؛ شماره نسخه: ۸۰۹/۱۶- طباطبائی</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علی محمد، تا: قرن ۱۳؛ کاغذ: فرنگی ،جلد: مـقوا عطف چرم  قرمز، ۴ص (۹۵-۹۸)، ۳۰ سطر، قطع: رحلی، اندازه: ۲۴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۳۳/۵سم [ف: ۲۳ - ۱۰۱]</w:t>
      </w:r>
    </w:p>
    <w:p>
      <w:pPr>
        <w:pStyle w:val="BookText"/>
      </w:pPr>
      <w:r>
        <w:rPr>
          <w:rFonts w:ascii="IRNazanin" w:hAnsi="IRNazanin" w:eastAsia="IRNazanin" w:cs="IRNazanin"/>
          <w:lang w:bidi="fa-IR"/>
          <w:color w:val="111111"/>
          <w:sz w:val="28"/>
          <w:szCs w:val="28"/>
          <w:rtl/>
        </w:rPr>
        <w:t xml:space="preserve">۱۴ . مشهد؛ گوهر شاد؛ شماره نسخه: ۲۰۰۸/۳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و نستعلیق، كا: میر علی نقی بن میر کریم حسینی استر آبادی، تا: ۳ رجب ۱۲۸۵ق؛ واقف: آقای غیاثی، ۱۳۳۷؛ کاغذ: نخودی آهار مهره، جلد: مقوا، رویه گالینگور، عطف و گوشه تیماج قهوه ای، ۱۵ سطر، اندازه: ۱۴/۵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۲۰سم [ف: ۵ - ۳۹۰]</w:t>
      </w:r>
    </w:p>
    <w:p>
      <w:pPr>
        <w:pStyle w:val="BookText"/>
      </w:pPr>
      <w:r>
        <w:rPr>
          <w:rFonts w:ascii="IRNazanin" w:hAnsi="IRNazanin" w:eastAsia="IRNazanin" w:cs="IRNazanin"/>
          <w:lang w:bidi="fa-IR"/>
          <w:color w:val="111111"/>
          <w:sz w:val="28"/>
          <w:szCs w:val="28"/>
          <w:rtl/>
        </w:rPr>
        <w:t xml:space="preserve">15.تهران؛ ملی؛ شماره نسخه: ۲۷۳۶۰</w:t>
      </w:r>
    </w:p>
    <w:p>
      <w:pPr>
        <w:pStyle w:val="BookText"/>
      </w:pPr>
      <w:r>
        <w:rPr>
          <w:rFonts w:ascii="IRNazanin" w:hAnsi="IRNazanin" w:eastAsia="IRNazanin" w:cs="IRNazanin"/>
          <w:lang w:bidi="fa-IR"/>
          <w:color w:val="111111"/>
          <w:sz w:val="28"/>
          <w:szCs w:val="28"/>
          <w:rtl/>
        </w:rPr>
        <w:t xml:space="preserve">بی کا، تا: ۱۳۳۲ق، خریداری از رضا غیبی [رایانه]</w:t>
      </w:r>
    </w:p>
    <w:p>
      <w:pPr>
        <w:pStyle w:val="BookText"/>
      </w:pPr>
      <w:r>
        <w:rPr>
          <w:rFonts w:ascii="IRNazanin" w:hAnsi="IRNazanin" w:eastAsia="IRNazanin" w:cs="IRNazanin"/>
          <w:lang w:bidi="fa-IR"/>
          <w:color w:val="111111"/>
          <w:sz w:val="28"/>
          <w:szCs w:val="28"/>
          <w:rtl/>
        </w:rPr>
        <w:t xml:space="preserve">۱۶. تهران؛ مجلس؛ شماره نسخه: ۶۷۴۶/۱</w:t>
      </w:r>
    </w:p>
    <w:p>
      <w:pPr>
        <w:pStyle w:val="BookText"/>
      </w:pPr>
      <w:r>
        <w:rPr>
          <w:rFonts w:ascii="IRNazanin" w:hAnsi="IRNazanin" w:eastAsia="IRNazanin" w:cs="IRNazanin"/>
          <w:lang w:bidi="fa-IR"/>
          <w:color w:val="111111"/>
          <w:sz w:val="28"/>
          <w:szCs w:val="28"/>
          <w:rtl/>
        </w:rPr>
        <w:t xml:space="preserve">خط: نسخ، کا: محمد بن مرتضى بن محمود مشهور به محسن (فیض کاشانی)، بی تا؛ مصحح، محشی، روی برگ اول وقف نامه کتاب از ابوتراب بن نصير ... علم الهدى بن محمد محسن (نواده فیض کاشانی) آمده ؛جلد: تیماج مشکی، ۱۵گ (۱پ-۱۶پ)، ۱۳ سطر، اندازه: 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 ۲۰ - ۲۳۳]</w:t>
      </w:r>
    </w:p>
    <w:p>
      <w:pPr>
        <w:pStyle w:val="BookText"/>
      </w:pPr>
      <w:r>
        <w:rPr>
          <w:rFonts w:ascii="IRNazanin" w:hAnsi="IRNazanin" w:eastAsia="IRNazanin" w:cs="IRNazanin"/>
          <w:lang w:bidi="fa-IR"/>
          <w:color w:val="111111"/>
          <w:sz w:val="28"/>
          <w:szCs w:val="28"/>
          <w:rtl/>
        </w:rPr>
        <w:t xml:space="preserve">۱۷. تهران؛ سپهسالار؛ شماره نسخه: ۶۸۹/۷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بی کا، بی تا؛ کاغذ: سپاهانی  زرد، جلد: تیماج سرخ زرکوب مقوایی،7گ (۱۸۱ ر - ۱۸۷پ)، ۳۱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۲۶سم [ف: ۳ - ۱۳۹]</w:t>
      </w:r>
    </w:p>
    <w:p>
      <w:pPr>
        <w:pStyle w:val="BookText"/>
      </w:pPr>
      <w:r>
        <w:rPr>
          <w:rFonts w:ascii="IRNazanin" w:hAnsi="IRNazanin" w:eastAsia="IRNazanin" w:cs="IRNazanin"/>
          <w:lang w:bidi="fa-IR"/>
          <w:color w:val="111111"/>
          <w:sz w:val="28"/>
          <w:szCs w:val="28"/>
          <w:rtl/>
        </w:rPr>
        <w:t xml:space="preserve">۱۸. تهران؛ دانشکده الهیات تهران؛ شماره نسخه: ۵۵۵/۴</w:t>
      </w:r>
    </w:p>
    <w:p>
      <w:pPr>
        <w:pStyle w:val="BookText"/>
      </w:pPr>
      <w:r>
        <w:rPr>
          <w:rFonts w:ascii="IRNazanin" w:hAnsi="IRNazanin" w:eastAsia="IRNazanin" w:cs="IRNazanin"/>
          <w:lang w:bidi="fa-IR"/>
          <w:color w:val="111111"/>
          <w:sz w:val="28"/>
          <w:szCs w:val="28"/>
          <w:rtl/>
        </w:rPr>
        <w:t xml:space="preserve">در مقدمه و ۳۵ شکل در هندسه؛ خط: نسخ و نستعلیق، کا: محمود بن علی دیهشکی، بی تا؛ محشی با نشان «س»، در پایان چند سئوال به فارسی در سنجش هوش و بندی است در معرفت حساب جريبات؛ كاغذ: اصفهانی،جلد: تیماج سرخ مقوایی، ۱۲ سطر (۵/۵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۹/۵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۱۶/۵سم [ف: (۳۲۷]</w:t>
      </w:r>
    </w:p>
    <w:p>
      <w:pPr>
        <w:pStyle w:val="BookText"/>
      </w:pPr>
      <w:r>
        <w:rPr>
          <w:rFonts w:ascii="IRNazanin" w:hAnsi="IRNazanin" w:eastAsia="IRNazanin" w:cs="IRNazanin"/>
          <w:lang w:bidi="fa-IR"/>
          <w:color w:val="111111"/>
          <w:sz w:val="28"/>
          <w:szCs w:val="28"/>
          <w:rtl/>
        </w:rPr>
        <w:t xml:space="preserve">۱۹. تهران؛ ملک؛ شماره نسخه: ۳۴۳۶/۱</w:t>
      </w:r>
    </w:p>
    <w:p>
      <w:pPr>
        <w:pStyle w:val="BookText"/>
      </w:pPr>
      <w:r>
        <w:rPr>
          <w:rFonts w:ascii="IRNazanin" w:hAnsi="IRNazanin" w:eastAsia="IRNazanin" w:cs="IRNazanin"/>
          <w:lang w:bidi="fa-IR"/>
          <w:color w:val="111111"/>
          <w:sz w:val="28"/>
          <w:szCs w:val="28"/>
          <w:rtl/>
        </w:rPr>
        <w:t xml:space="preserve">خط: نسخ، کا: عمر بدلیسی فرزند شیخ محمد خویی، بی تا؛ کاغذ: پسته ای، جلد: رویه میشن قهوه ای  مجدول، ۵۰گ (۱پ-۵۰ر)، ۱۷ سطر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۲۲/۱سم [ف: ۶ - ۴۱۴]</w:t>
      </w:r>
    </w:p>
    <w:p>
      <w:pPr>
        <w:pStyle w:val="BookText"/>
      </w:pPr>
      <w:r>
        <w:rPr>
          <w:rFonts w:ascii="IRNazanin" w:hAnsi="IRNazanin" w:eastAsia="IRNazanin" w:cs="IRNazanin"/>
          <w:lang w:bidi="fa-IR"/>
          <w:color w:val="111111"/>
          <w:sz w:val="28"/>
          <w:szCs w:val="28"/>
          <w:rtl/>
        </w:rPr>
        <w:t xml:space="preserve">۲۰. قم؛ مرعشی؛ شماره نسخه: ۱۸۵/۱</w:t>
      </w:r>
    </w:p>
    <w:p>
      <w:pPr>
        <w:pStyle w:val="BookText"/>
      </w:pPr>
      <w:r>
        <w:rPr>
          <w:rFonts w:ascii="Amiri" w:hAnsi="Amiri" w:eastAsia="Amiri" w:cs="Amiri"/>
          <w:lang w:bidi="ar-SA"/>
          <w:color w:val="111111"/>
          <w:sz w:val="28"/>
          <w:szCs w:val="28"/>
          <w:rtl/>
        </w:rPr>
        <w:t xml:space="preserve">آغاز: بهداية الله تعالى نهجنا نهجاً خفيفاً وسلكنا مسلكاً لطيفاً؛</w:t>
      </w:r>
    </w:p>
    <w:p>
      <w:pPr>
        <w:pStyle w:val="BookText"/>
      </w:pPr>
      <w:r>
        <w:rPr>
          <w:rFonts w:ascii="IRNazanin" w:hAnsi="IRNazanin" w:eastAsia="IRNazanin" w:cs="IRNazanin"/>
          <w:lang w:bidi="fa-IR"/>
          <w:color w:val="111111"/>
          <w:sz w:val="28"/>
          <w:szCs w:val="28"/>
          <w:rtl/>
        </w:rPr>
        <w:t xml:space="preserve">انجام: برابر</w:t>
      </w:r>
    </w:p>
    <w:p>
      <w:pPr>
        <w:pStyle w:val="BookText"/>
      </w:pPr>
      <w:r>
        <w:rPr>
          <w:rFonts w:ascii="IRNazanin" w:hAnsi="IRNazanin" w:eastAsia="IRNazanin" w:cs="IRNazanin"/>
          <w:lang w:bidi="fa-IR"/>
          <w:color w:val="111111"/>
          <w:sz w:val="28"/>
          <w:szCs w:val="28"/>
          <w:rtl/>
        </w:rPr>
        <w:t xml:space="preserve">خط: نستعلیق، کا: محمد العانی، بی تا؛ افتادگی: آغاز؛ حدود سال ۱۲۵۰ کتاب را ملا مصطفى الهيروانی و سید ياسين الطرابيشي و سيد عمر الطرابیشی نزد شیخ ابوبکر کردی خوانده اند و شیخ عبد اللطیف هلالی نیز بیشتر درس ها را حاضر بوده است؛ جلد: مقوایی عطف تیماج  قرمز، ۹گ (2ر- 11ر)،اندازه: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۲۰/۵سم  [ ف: ۱ - ۲۰۰]</w:t>
      </w:r>
    </w:p>
    <w:p>
      <w:pPr>
        <w:pStyle w:val="BookText"/>
      </w:pPr>
      <w:r>
        <w:rPr>
          <w:rFonts w:ascii="IRNazanin" w:hAnsi="IRNazanin" w:eastAsia="IRNazanin" w:cs="IRNazanin"/>
          <w:lang w:bidi="fa-IR"/>
          <w:color w:val="111111"/>
          <w:sz w:val="28"/>
          <w:szCs w:val="28"/>
          <w:rtl/>
        </w:rPr>
        <w:t xml:space="preserve">۲۱. قم؛ مرعشی؛ شماره نسخه: ۷۳۰۱/۶</w:t>
      </w:r>
    </w:p>
    <w:p>
      <w:pPr>
        <w:pStyle w:val="BookText"/>
      </w:pPr>
      <w:r>
        <w:rPr>
          <w:rFonts w:ascii="IRNazanin" w:hAnsi="IRNazanin" w:eastAsia="IRNazanin" w:cs="IRNazanin"/>
          <w:lang w:bidi="fa-IR"/>
          <w:color w:val="111111"/>
          <w:sz w:val="28"/>
          <w:szCs w:val="28"/>
          <w:rtl/>
        </w:rPr>
        <w:t xml:space="preserve">خط: نستعلیق، بی کا، بی تا ؛جلد: تیماج نیلی بدون مقوا، (۱۷۶پ-۱۸۷ پ) ،اندازه: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۱۸سم [ف : ۱۹ - ۹۳]</w:t>
      </w:r>
    </w:p>
    <w:p>
      <w:pPr>
        <w:pStyle w:val="BookText"/>
      </w:pPr>
      <w:r>
        <w:rPr>
          <w:rFonts w:ascii="IRNazanin" w:hAnsi="IRNazanin" w:eastAsia="IRNazanin" w:cs="IRNazanin"/>
          <w:lang w:bidi="fa-IR"/>
          <w:color w:val="111111"/>
          <w:sz w:val="28"/>
          <w:szCs w:val="28"/>
          <w:rtl/>
        </w:rPr>
        <w:t xml:space="preserve">۲۲. تبریز؛ ثقة الاسلام؛ شماره نسخه: بدون شماره</w:t>
      </w:r>
    </w:p>
    <w:p>
      <w:pPr>
        <w:pStyle w:val="BookText"/>
      </w:pPr>
      <w:r>
        <w:rPr>
          <w:rFonts w:ascii="IRNazanin" w:hAnsi="IRNazanin" w:eastAsia="IRNazanin" w:cs="IRNazanin"/>
          <w:lang w:bidi="fa-IR"/>
          <w:color w:val="111111"/>
          <w:sz w:val="28"/>
          <w:szCs w:val="28"/>
          <w:rtl/>
        </w:rPr>
        <w:t xml:space="preserve">بی کا، بی تا [ نشریه: ۷-۵۳۱]</w:t>
      </w:r>
    </w:p>
    <w:p>
      <w:pPr>
        <w:pStyle w:val="BookText"/>
      </w:pPr>
      <w:r>
        <w:rPr>
          <w:rFonts w:ascii="IRNazanin" w:hAnsi="IRNazanin" w:eastAsia="IRNazanin" w:cs="IRNazanin"/>
          <w:lang w:bidi="fa-IR"/>
          <w:color w:val="111111"/>
          <w:sz w:val="28"/>
          <w:szCs w:val="28"/>
          <w:rtl/>
        </w:rPr>
        <w:t xml:space="preserve">۲۳. تهران؛ دانشگاه؛ شماره نسخه: ۲۷۹۸/۱</w:t>
      </w:r>
    </w:p>
    <w:p>
      <w:pPr>
        <w:pStyle w:val="BookText"/>
      </w:pPr>
      <w:r>
        <w:rPr>
          <w:rFonts w:ascii="IRNazanin" w:hAnsi="IRNazanin" w:eastAsia="IRNazanin" w:cs="IRNazanin"/>
          <w:lang w:bidi="fa-IR"/>
          <w:color w:val="111111"/>
          <w:sz w:val="28"/>
          <w:szCs w:val="28"/>
          <w:rtl/>
        </w:rPr>
        <w:t xml:space="preserve">خط: نسخ، کا: جلال بن سلمان محمود، بی تا؛ محشی؛ کاغذ:
</w:t>
      </w:r>
    </w:p>
    <w:p>
      <w:pPr>
        <w:sectPr>
          <w:footerReference w:type="default" r:id="rId1032"/>
          <w:footnotePr>
            <w:numStart w:val="1"/>
            <w:numRestart w:val="eachPage"/>
          </w:footnotePr>
          <w:pgSz w:orient="portrait" w:w="11905.511811023622" w:h="16837.79527559055"/>
          <w:pgMar w:top="1440" w:right="1440" w:bottom="1440" w:left="1440" w:header="720" w:footer="720" w:gutter="0"/>
          <w:cols w:num="1" w:space="720"/>
        </w:sectPr>
      </w:pPr>
    </w:p>
    <w:bookmarkStart w:id="475" w:name="pg20365_260968"/>
    <w:bookmarkEnd w:id="475"/>
    <w:p>
      <w:pPr>
        <w:pStyle w:val="BookText"/>
      </w:pPr>
      <w:r>
        <w:rPr>
          <w:rFonts w:ascii="IRNazanin" w:hAnsi="IRNazanin" w:eastAsia="IRNazanin" w:cs="IRNazanin"/>
          <w:lang w:bidi="fa-IR"/>
          <w:color w:val="111111"/>
          <w:sz w:val="28"/>
          <w:szCs w:val="28"/>
          <w:rtl/>
        </w:rPr>
        <w:t xml:space="preserve">سمرقندی، جلد: تیماج مشکی مقوایی درون گلدار، ۱۲  گ، (۲ پ- ۱۲پ) [ف: ۱۰ – ۱۶۴۶]</w:t>
      </w:r>
    </w:p>
    <w:p>
      <w:pPr>
        <w:pStyle w:val="Heading3"/>
      </w:pPr>
      <w:bookmarkStart w:id="2126" w:name="_Toc1648"/>
      <w:r>
        <w:t>اشكال التأسيس / رياضيات / عربي</w:t>
      </w:r>
      <w:bookmarkEnd w:id="2126"/>
    </w:p>
    <w:p>
      <w:pPr>
        <w:pStyle w:val="BookText"/>
      </w:pPr>
      <w:r>
        <w:rPr>
          <w:rFonts w:ascii="Times New Roman" w:hAnsi="Times New Roman" w:eastAsia="Times New Roman" w:cs="Times New Roman"/>
          <w:lang w:val="en-US" w:bidi="en-US"/>
          <w:color w:val="111111"/>
          <w:sz w:val="28"/>
          <w:szCs w:val="28"/>
          <w:rtl/>
        </w:rPr>
        <w:t xml:space="preserve">aškāl-ut-ta’sīs</w:t>
      </w:r>
    </w:p>
    <w:p>
      <w:pPr>
        <w:pStyle w:val="BookText"/>
      </w:pPr>
      <w:r>
        <w:rPr>
          <w:rFonts w:ascii="IRNazanin" w:hAnsi="IRNazanin" w:eastAsia="IRNazanin" w:cs="IRNazanin"/>
          <w:lang w:bidi="fa-IR"/>
          <w:color w:val="111111"/>
          <w:sz w:val="28"/>
          <w:szCs w:val="28"/>
          <w:rtl/>
        </w:rPr>
        <w:t xml:space="preserve">مشهد؛ رضوی؛ شماره نسخه: ض ۱۱۳۶۱</w:t>
      </w:r>
    </w:p>
    <w:p>
      <w:pPr>
        <w:pStyle w:val="BookText"/>
      </w:pPr>
      <w:r>
        <w:rPr>
          <w:rFonts w:ascii="IRNazanin" w:hAnsi="IRNazanin" w:eastAsia="IRNazanin" w:cs="IRNazanin"/>
          <w:lang w:bidi="fa-IR"/>
          <w:color w:val="111111"/>
          <w:sz w:val="28"/>
          <w:szCs w:val="28"/>
          <w:rtl/>
        </w:rPr>
        <w:t xml:space="preserve">آغاز: بسمله الحمد لله رب العالمین؛ انجام: تمت الرسالة الموسومه باشكال التاسيس ... فى مشهد الرضوی سنه ۱۹۶</w:t>
      </w:r>
    </w:p>
    <w:p>
      <w:pPr>
        <w:pStyle w:val="BookText"/>
      </w:pPr>
      <w:r>
        <w:rPr>
          <w:rFonts w:ascii="IRNazanin" w:hAnsi="IRNazanin" w:eastAsia="IRNazanin" w:cs="IRNazanin"/>
          <w:lang w:bidi="fa-IR"/>
          <w:color w:val="111111"/>
          <w:sz w:val="28"/>
          <w:szCs w:val="28"/>
          <w:rtl/>
        </w:rPr>
        <w:t xml:space="preserve">خط: نسخ، کا: محمد حویزی، تا: ۱۰۹۶ق، جا: مشهد؛ [الفبائی:  - 25]</w:t>
      </w:r>
    </w:p>
    <w:p>
      <w:pPr>
        <w:pStyle w:val="Heading3"/>
      </w:pPr>
      <w:bookmarkStart w:id="2127" w:name="_Toc1649"/>
      <w:r>
        <w:t>اشكال التأسيس (مختصر) = مدعیات اشکال التأسيس / هندسه / عربی</w:t>
      </w:r>
      <w:bookmarkEnd w:id="2127"/>
    </w:p>
    <w:p>
      <w:pPr>
        <w:pStyle w:val="BookText"/>
      </w:pPr>
      <w:r>
        <w:rPr>
          <w:rFonts w:ascii="Times New Roman" w:hAnsi="Times New Roman" w:eastAsia="Times New Roman" w:cs="Times New Roman"/>
          <w:lang w:val="en-US" w:bidi="en-US"/>
          <w:color w:val="111111"/>
          <w:sz w:val="28"/>
          <w:szCs w:val="28"/>
          <w:rtl/>
        </w:rPr>
        <w:t xml:space="preserve">aškāl-ut ta’sīs (muxtaṣar) = mudda‘īyat-u aškāl-it ta’sīs</w:t>
      </w:r>
    </w:p>
    <w:p>
      <w:pPr>
        <w:pStyle w:val="BookText"/>
      </w:pPr>
      <w:r>
        <w:rPr>
          <w:rFonts w:ascii="IRNazanin" w:hAnsi="IRNazanin" w:eastAsia="IRNazanin" w:cs="IRNazanin"/>
          <w:lang w:bidi="fa-IR"/>
          <w:color w:val="111111"/>
          <w:sz w:val="28"/>
          <w:szCs w:val="28"/>
          <w:rtl/>
        </w:rPr>
        <w:t xml:space="preserve">وابسته به: اشكال التأسيس ؛ سمرقندی، محمد بن اشرف(-60)</w:t>
      </w:r>
    </w:p>
    <w:p>
      <w:pPr>
        <w:pStyle w:val="BookText"/>
      </w:pPr>
      <w:r>
        <w:rPr>
          <w:rFonts w:ascii="IRNazanin" w:hAnsi="IRNazanin" w:eastAsia="IRNazanin" w:cs="IRNazanin"/>
          <w:lang w:bidi="fa-IR"/>
          <w:color w:val="111111"/>
          <w:sz w:val="28"/>
          <w:szCs w:val="28"/>
          <w:rtl/>
        </w:rPr>
        <w:t xml:space="preserve">این رساله گزیده ای است از کتاب اشكال التأسيس در هندسه، که فقط مثل ها حذف شده و در انجام به عنوان «مدعیات اشکال التأسیس» نامیده شده است.</w:t>
      </w:r>
    </w:p>
    <w:p>
      <w:pPr>
        <w:pStyle w:val="BookText"/>
      </w:pPr>
      <w:r>
        <w:rPr>
          <w:rFonts w:ascii="Amiri" w:hAnsi="Amiri" w:eastAsia="Amiri" w:cs="Amiri"/>
          <w:lang w:bidi="ar-SA"/>
          <w:color w:val="111111"/>
          <w:sz w:val="28"/>
          <w:szCs w:val="28"/>
          <w:rtl/>
        </w:rPr>
        <w:t xml:space="preserve">[كشف الظنون ۱۰۵/۱]</w:t>
      </w:r>
    </w:p>
    <w:p>
      <w:pPr>
        <w:pStyle w:val="BookText"/>
      </w:pPr>
      <w:r>
        <w:rPr>
          <w:rFonts w:ascii="IRNazanin" w:hAnsi="IRNazanin" w:eastAsia="IRNazanin" w:cs="IRNazanin"/>
          <w:lang w:bidi="fa-IR"/>
          <w:color w:val="111111"/>
          <w:sz w:val="28"/>
          <w:szCs w:val="28"/>
          <w:rtl/>
        </w:rPr>
        <w:t xml:space="preserve">قم؛ مرعشی؛ شماره نسخه: ۱۲۶۱۵/۴</w:t>
      </w:r>
    </w:p>
    <w:p>
      <w:pPr>
        <w:pStyle w:val="BookText"/>
      </w:pPr>
      <w:r>
        <w:rPr>
          <w:rFonts w:ascii="IRNazanin" w:hAnsi="IRNazanin" w:eastAsia="IRNazanin" w:cs="IRNazanin"/>
          <w:lang w:bidi="fa-IR"/>
          <w:color w:val="111111"/>
          <w:sz w:val="28"/>
          <w:szCs w:val="28"/>
          <w:rtl/>
        </w:rPr>
        <w:t xml:space="preserve">آغاز: اذ قام خط مستقیم علی آخر مستقيم فالزاويتان الحادثتان عن جنبتيهاما قائمتان او مساویتان لقائمتين؛ انجام: فمجموع الخط مع الزيادة في الزيادة و مربع النصف يساوى مربع النصف  مع الزيادة.</w:t>
      </w:r>
    </w:p>
    <w:p>
      <w:pPr>
        <w:pStyle w:val="BookText"/>
      </w:pPr>
      <w:r>
        <w:rPr>
          <w:rFonts w:ascii="IRNazanin" w:hAnsi="IRNazanin" w:eastAsia="IRNazanin" w:cs="IRNazanin"/>
          <w:lang w:bidi="fa-IR"/>
          <w:color w:val="111111"/>
          <w:sz w:val="28"/>
          <w:szCs w:val="28"/>
          <w:rtl/>
        </w:rPr>
        <w:t xml:space="preserve">خط: نستعلیق، بی کا، تا: قرن ۹ ،مصحح، یادداشت ابوالحسن بن احمد در آغاز آمده؛ کاغذ: شرقی، 3گ (۳۵-۳۷)، ۱۹ سـطر، اندازه: 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۳۲ - ۳۴]</w:t>
      </w:r>
    </w:p>
    <w:p>
      <w:pPr>
        <w:pStyle w:val="Heading3"/>
      </w:pPr>
      <w:bookmarkStart w:id="2128" w:name="_Toc1650"/>
      <w:r>
        <w:t>اشكال الرمل / ریاضیات / فارسی</w:t>
      </w:r>
      <w:bookmarkEnd w:id="2128"/>
    </w:p>
    <w:p>
      <w:pPr>
        <w:pStyle w:val="BookText"/>
      </w:pPr>
      <w:r>
        <w:rPr>
          <w:rFonts w:ascii="Times New Roman" w:hAnsi="Times New Roman" w:eastAsia="Times New Roman" w:cs="Times New Roman"/>
          <w:lang w:val="en-US" w:bidi="en-US"/>
          <w:color w:val="111111"/>
          <w:sz w:val="28"/>
          <w:szCs w:val="28"/>
          <w:rtl/>
        </w:rPr>
        <w:t xml:space="preserve">aškāl-ur raml</w:t>
      </w:r>
    </w:p>
    <w:p>
      <w:pPr>
        <w:pStyle w:val="BookText"/>
      </w:pPr>
      <w:r>
        <w:rPr>
          <w:rFonts w:ascii="IRNazanin" w:hAnsi="IRNazanin" w:eastAsia="IRNazanin" w:cs="IRNazanin"/>
          <w:lang w:bidi="fa-IR"/>
          <w:color w:val="111111"/>
          <w:sz w:val="28"/>
          <w:szCs w:val="28"/>
          <w:rtl/>
        </w:rPr>
        <w:t xml:space="preserve">مشهد؛ رضوی؛ شماره نسخه: ۱۵۸۳۴</w:t>
      </w:r>
    </w:p>
    <w:p>
      <w:pPr>
        <w:pStyle w:val="BookText"/>
      </w:pPr>
      <w:r>
        <w:rPr>
          <w:rFonts w:ascii="IRNazanin" w:hAnsi="IRNazanin" w:eastAsia="IRNazanin" w:cs="IRNazanin"/>
          <w:lang w:bidi="fa-IR"/>
          <w:color w:val="111111"/>
          <w:sz w:val="28"/>
          <w:szCs w:val="28"/>
          <w:rtl/>
        </w:rPr>
        <w:t xml:space="preserve">آغاز: پس از سه برگرد. قمر، زحل، مشتری، مریخ است بسم الرحمن الرحیم؛ انجام: عرض کردم آقا چرا گریه می کنید</w:t>
      </w:r>
    </w:p>
    <w:p>
      <w:pPr>
        <w:pStyle w:val="BookText"/>
      </w:pPr>
      <w:r>
        <w:rPr>
          <w:rFonts w:ascii="IRNazanin" w:hAnsi="IRNazanin" w:eastAsia="IRNazanin" w:cs="IRNazanin"/>
          <w:lang w:bidi="fa-IR"/>
          <w:color w:val="111111"/>
          <w:sz w:val="28"/>
          <w:szCs w:val="28"/>
          <w:rtl/>
        </w:rPr>
        <w:t xml:space="preserve">خط: نستعلیق، بی کا، تا: قرن ۱۲؛ افتادگی: انجام [رایانه]</w:t>
      </w:r>
    </w:p>
    <w:p>
      <w:pPr>
        <w:pStyle w:val="Heading3"/>
      </w:pPr>
      <w:bookmarkStart w:id="2129" w:name="_Toc1651"/>
      <w:r>
        <w:t>أشكال الرمل = رمل = شرح زبدة الرمل / رمل /  فارسی</w:t>
      </w:r>
      <w:bookmarkEnd w:id="2129"/>
    </w:p>
    <w:p>
      <w:pPr>
        <w:pStyle w:val="BookText"/>
      </w:pPr>
      <w:r>
        <w:rPr>
          <w:rFonts w:ascii="Times New Roman" w:hAnsi="Times New Roman" w:eastAsia="Times New Roman" w:cs="Times New Roman"/>
          <w:lang w:val="en-US" w:bidi="en-US"/>
          <w:color w:val="111111"/>
          <w:sz w:val="28"/>
          <w:szCs w:val="28"/>
          <w:rtl/>
        </w:rPr>
        <w:t xml:space="preserve">aškāl-or raml = raml = š.-e zobdat-ul raml</w:t>
      </w:r>
    </w:p>
    <w:p>
      <w:pPr>
        <w:pStyle w:val="BookText"/>
      </w:pPr>
      <w:r>
        <w:rPr>
          <w:rFonts w:ascii="IRNazanin" w:hAnsi="IRNazanin" w:eastAsia="IRNazanin" w:cs="IRNazanin"/>
          <w:lang w:bidi="fa-IR"/>
          <w:color w:val="111111"/>
          <w:sz w:val="28"/>
          <w:szCs w:val="28"/>
          <w:rtl/>
        </w:rPr>
        <w:t xml:space="preserve">وابسته به: زبدة الرمل = خلاصة البحرين = رمل منظوم؛ خاقانی، محمد بن نصر الله (-قرن ۸ق)</w:t>
      </w:r>
    </w:p>
    <w:p>
      <w:pPr>
        <w:pStyle w:val="BookText"/>
      </w:pPr>
      <w:r>
        <w:rPr>
          <w:rFonts w:ascii="IRNazanin" w:hAnsi="IRNazanin" w:eastAsia="IRNazanin" w:cs="IRNazanin"/>
          <w:lang w:bidi="fa-IR"/>
          <w:color w:val="111111"/>
          <w:sz w:val="28"/>
          <w:szCs w:val="28"/>
          <w:rtl/>
        </w:rPr>
        <w:t xml:space="preserve">کتابی است در علم رمل و در حقیقت، شرحی است بر مثنوی «زبدة الرمل» محمد معین خاقانی با عناوین «نکته، اگر پرسند، اگر سؤال کند»، از ابن سینا، صفی مغربی ،طرطوسی، طمطم هندی، ابوالقاسم بن عبدالصمد  رومی، امیر شمس الدين ابراهيم رمال ،ابوالقاسم رمال، زناتی و محمد عثمان بن زناتی، نقل کرده است. حضرت آیة الله مرعشی نجفی معتقد بودند این کتاب «أشكال الرمل» است و در یادداشت آغاز نسخه بدان اشاره فرموده اند.</w:t>
      </w:r>
    </w:p>
    <w:p>
      <w:pPr>
        <w:pStyle w:val="BookText"/>
      </w:pPr>
      <w:r>
        <w:rPr>
          <w:rFonts w:ascii="IRNazanin" w:hAnsi="IRNazanin" w:eastAsia="IRNazanin" w:cs="IRNazanin"/>
          <w:lang w:bidi="fa-IR"/>
          <w:color w:val="111111"/>
          <w:sz w:val="28"/>
          <w:szCs w:val="28"/>
          <w:rtl/>
        </w:rPr>
        <w:t xml:space="preserve">قم ؛مرعشی؛ شماره نسخه: ۱۵۲۰۱</w:t>
      </w:r>
    </w:p>
    <w:p>
      <w:pPr>
        <w:pStyle w:val="BookText"/>
      </w:pPr>
      <w:r>
        <w:rPr>
          <w:rFonts w:ascii="IRNazanin" w:hAnsi="IRNazanin" w:eastAsia="IRNazanin" w:cs="IRNazanin"/>
          <w:lang w:bidi="fa-IR"/>
          <w:color w:val="111111"/>
          <w:sz w:val="28"/>
          <w:szCs w:val="28"/>
          <w:rtl/>
        </w:rPr>
        <w:t xml:space="preserve">آغاز: هر دو زانوش در نهم کن حکم *** همه چون ساقرا زد هم / از ده و یک بدان تو کعب مدام ***وز قدم از ده و دو بگشت تمام ... نکته، اگر سؤال کند که دیو یار شده است و این دیو از کجاست. نکته. و در چه جا یار شده است از خانه چهارم؛ انجام: و بیاض اتصال است و ... شکل انفصال است شكل انفصال است و این در احکام بسیار کار آید، و الله اعلم.</w:t>
      </w:r>
    </w:p>
    <w:p>
      <w:pPr>
        <w:pStyle w:val="BookText"/>
      </w:pPr>
      <w:r>
        <w:rPr>
          <w:rFonts w:ascii="IRNazanin" w:hAnsi="IRNazanin" w:eastAsia="IRNazanin" w:cs="IRNazanin"/>
          <w:lang w:bidi="fa-IR"/>
          <w:color w:val="111111"/>
          <w:sz w:val="28"/>
          <w:szCs w:val="28"/>
          <w:rtl/>
        </w:rPr>
        <w:t xml:space="preserve">خط: نستعلیق، کا: غلام حسین، تا: چهارشنبه ۱۸ربیع الثانی ۱۲۶۲ق، محشی، در برگ نخست یادداشتی از آیت الله مرعشی نجفى: «كتاب أشكال الرمل اشتريته من استاذي في هذا العلم الشريف العلامة الميرزا ابى الحسن الهندى الاخبارى، حرره العبد شهاب الدين الحسينى المرعشي النجفى ۱۳۴۲»، ۲ برگ شامل مطالبی در علم رمل نیز در پایان؛ کاغذ: فرنگی، جلد: مشمع مشکی، عطف: تیماج مشکی، ۶۷گ ۱۶ سطر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اندازه: ۱۵/۵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۳۸ - ۵۹۷]</w:t>
      </w:r>
    </w:p>
    <w:p>
      <w:pPr>
        <w:pStyle w:val="Heading3"/>
      </w:pPr>
      <w:bookmarkStart w:id="2130" w:name="_Toc1652"/>
      <w:r>
        <w:t>اشکال صفحه ها از عدد اول الی ششم / متفرقه / فارسی</w:t>
      </w:r>
      <w:bookmarkEnd w:id="2130"/>
    </w:p>
    <w:p>
      <w:pPr>
        <w:pStyle w:val="BookText"/>
      </w:pPr>
      <w:r>
        <w:rPr>
          <w:rFonts w:ascii="Times New Roman" w:hAnsi="Times New Roman" w:eastAsia="Times New Roman" w:cs="Times New Roman"/>
          <w:lang w:val="en-US" w:bidi="en-US"/>
          <w:color w:val="111111"/>
          <w:sz w:val="28"/>
          <w:szCs w:val="28"/>
          <w:rtl/>
        </w:rPr>
        <w:t xml:space="preserve">aškāl-e safhe-ha az ‘adad-e avval elā šešom</w:t>
      </w:r>
    </w:p>
    <w:p>
      <w:pPr>
        <w:pStyle w:val="BookText"/>
      </w:pPr>
      <w:r>
        <w:rPr>
          <w:rFonts w:ascii="IRNazanin" w:hAnsi="IRNazanin" w:eastAsia="IRNazanin" w:cs="IRNazanin"/>
          <w:lang w:bidi="fa-IR"/>
          <w:color w:val="111111"/>
          <w:sz w:val="28"/>
          <w:szCs w:val="28"/>
          <w:rtl/>
        </w:rPr>
        <w:t xml:space="preserve">مترجم :آنتوان، ق۱۹ میلادی</w:t>
      </w:r>
    </w:p>
    <w:p>
      <w:pPr>
        <w:pStyle w:val="BookText"/>
      </w:pPr>
      <w:r>
        <w:rPr>
          <w:rFonts w:ascii="IRNazanin" w:hAnsi="IRNazanin" w:eastAsia="IRNazanin" w:cs="IRNazanin"/>
          <w:lang w:bidi="fa-IR"/>
          <w:color w:val="111111"/>
          <w:sz w:val="28"/>
          <w:szCs w:val="28"/>
          <w:rtl/>
        </w:rPr>
        <w:t xml:space="preserve">تاریخ تأليف: ۱۲۹۷ق</w:t>
      </w:r>
    </w:p>
    <w:p>
      <w:pPr>
        <w:pStyle w:val="BookText"/>
      </w:pPr>
      <w:r>
        <w:rPr>
          <w:rFonts w:ascii="IRNazanin" w:hAnsi="IRNazanin" w:eastAsia="IRNazanin" w:cs="IRNazanin"/>
          <w:lang w:bidi="fa-IR"/>
          <w:color w:val="111111"/>
          <w:sz w:val="28"/>
          <w:szCs w:val="28"/>
          <w:rtl/>
        </w:rPr>
        <w:t xml:space="preserve">در این رساله نویسنده، که مدت ده سال در آموختن علوم آثارقدیمه کوشش کرده است، آثار باستانی که از سال ۱۸۶۲م ۱۸۶۳م توسط باستان شناسان در مملکت ایکاتر نیوسلا و واقع در دست راست لب شاهرود و مینی اپرو در بیست و شش و رستی شهرنی کوپل کشف شده شرح می دهد که پاره ای از اطلاعات آن بسیار خواندنی است.</w:t>
      </w:r>
    </w:p>
    <w:p>
      <w:pPr>
        <w:pStyle w:val="BookText"/>
      </w:pPr>
      <w:r>
        <w:rPr>
          <w:rFonts w:ascii="IRNazanin" w:hAnsi="IRNazanin" w:eastAsia="IRNazanin" w:cs="IRNazanin"/>
          <w:lang w:bidi="fa-IR"/>
          <w:color w:val="111111"/>
          <w:sz w:val="28"/>
          <w:szCs w:val="28"/>
          <w:rtl/>
        </w:rPr>
        <w:t xml:space="preserve">تهران؛ ملی؛ شماره نسخه: ۴۲۳</w:t>
      </w:r>
    </w:p>
    <w:p>
      <w:pPr>
        <w:pStyle w:val="BookText"/>
      </w:pPr>
      <w:r>
        <w:rPr>
          <w:rFonts w:ascii="IRNazanin" w:hAnsi="IRNazanin" w:eastAsia="IRNazanin" w:cs="IRNazanin"/>
          <w:lang w:bidi="fa-IR"/>
          <w:color w:val="111111"/>
          <w:sz w:val="28"/>
          <w:szCs w:val="28"/>
          <w:rtl/>
        </w:rPr>
        <w:t xml:space="preserve">آغاز: در بیان اشکال صفحه ها از عدد اول الى ششم.بسمله.بر حسب حكم شاهنشاهی که مدت ده سال است در آموختن علوم آثار قدیم کوشش می شود؛ انجام: و آنکه نمره شانزدهم است دو تاجوز یافت شده و شکل گردن بند دارد و از نمره پانزدهم پانزده عدد پیدا شده است که سرکا کاسیاهی دارد</w:t>
      </w:r>
    </w:p>
    <w:p>
      <w:pPr>
        <w:pStyle w:val="BookText"/>
      </w:pPr>
      <w:r>
        <w:rPr>
          <w:rFonts w:ascii="IRNazanin" w:hAnsi="IRNazanin" w:eastAsia="IRNazanin" w:cs="IRNazanin"/>
          <w:lang w:bidi="fa-IR"/>
          <w:color w:val="111111"/>
          <w:sz w:val="28"/>
          <w:szCs w:val="28"/>
          <w:rtl/>
        </w:rPr>
        <w:t xml:space="preserve">خط: نستعليق، كاتب = مؤلف، تا: ۱۲۹۷ق، جا: تبریز؛ آخر نسخه: «ترجمه کمترین چاکران استان ملایک پاسبان انتوان سنه ۱۲۹۷ در دارالسلطنه تبریز»؛ کاغذ: فرنگی آبی، جلد: تیماج قرمز، یک لا، ۳۲گ، ۱۲ سطر (۱۳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۱۰)، اندازه: ۱۶/۴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۱ - ۴۰۴]
</w:t>
      </w:r>
    </w:p>
    <w:p>
      <w:pPr>
        <w:sectPr>
          <w:footerReference w:type="default" r:id="rId1033"/>
          <w:footnotePr>
            <w:numStart w:val="1"/>
            <w:numRestart w:val="eachPage"/>
          </w:footnotePr>
          <w:pgSz w:orient="portrait" w:w="11905.511811023622" w:h="16837.79527559055"/>
          <w:pgMar w:top="1440" w:right="1440" w:bottom="1440" w:left="1440" w:header="720" w:footer="720" w:gutter="0"/>
          <w:cols w:num="1" w:space="720"/>
        </w:sectPr>
      </w:pPr>
    </w:p>
    <w:bookmarkStart w:id="476" w:name="pg20365_260969"/>
    <w:bookmarkEnd w:id="476"/>
    <w:p>
      <w:pPr>
        <w:pStyle w:val="Heading3"/>
      </w:pPr>
      <w:bookmarkStart w:id="2131" w:name="_Toc1653"/>
      <w:r>
        <w:t>اشکال طلسمی / علوم غریبه / فارسی</w:t>
      </w:r>
      <w:bookmarkEnd w:id="2131"/>
    </w:p>
    <w:p>
      <w:pPr>
        <w:pStyle w:val="BookText"/>
      </w:pPr>
      <w:r>
        <w:rPr>
          <w:rFonts w:ascii="Times New Roman" w:hAnsi="Times New Roman" w:eastAsia="Times New Roman" w:cs="Times New Roman"/>
          <w:lang w:val="en-US" w:bidi="en-US"/>
          <w:color w:val="111111"/>
          <w:sz w:val="28"/>
          <w:szCs w:val="28"/>
          <w:rtl/>
        </w:rPr>
        <w:t xml:space="preserve">aškāl-e telesmī</w:t>
      </w:r>
    </w:p>
    <w:p>
      <w:pPr>
        <w:pStyle w:val="BookText"/>
      </w:pPr>
      <w:r>
        <w:rPr>
          <w:rFonts w:ascii="IRNazanin" w:hAnsi="IRNazanin" w:eastAsia="IRNazanin" w:cs="IRNazanin"/>
          <w:lang w:bidi="fa-IR"/>
          <w:color w:val="111111"/>
          <w:sz w:val="28"/>
          <w:szCs w:val="28"/>
          <w:rtl/>
        </w:rPr>
        <w:t xml:space="preserve">تهران؛ مجلس؛ شماره نسخه: ۶۰۷/۳۶</w:t>
      </w:r>
    </w:p>
    <w:p>
      <w:pPr>
        <w:pStyle w:val="BookText"/>
      </w:pPr>
      <w:r>
        <w:rPr>
          <w:rFonts w:ascii="IRNazanin" w:hAnsi="IRNazanin" w:eastAsia="IRNazanin" w:cs="IRNazanin"/>
          <w:lang w:bidi="fa-IR"/>
          <w:color w:val="111111"/>
          <w:sz w:val="28"/>
          <w:szCs w:val="28"/>
          <w:rtl/>
        </w:rPr>
        <w:t xml:space="preserve">خط: نستعلیق، بی کا، تا: ۱۶ ربیع الثاني ۱۳۱۲ق؛ كاغذ: سـفید سمرقندی، جلد: تیماج آلبالوئی ضربی مقوایی با ترنج، ۲۸ص (۷۳۷-۷۱۰) ، ابعاد متن: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اندازه: ۱۴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۲۰سم [ سنا : ف: ۱ - 395]</w:t>
      </w:r>
    </w:p>
    <w:p>
      <w:pPr>
        <w:pStyle w:val="Heading3"/>
      </w:pPr>
      <w:bookmarkStart w:id="2132" w:name="_Toc1654"/>
      <w:r>
        <w:t>اشکال العالم (ترجمه) / جغرافیا / فارسی</w:t>
      </w:r>
      <w:bookmarkEnd w:id="2132"/>
    </w:p>
    <w:p>
      <w:pPr>
        <w:pStyle w:val="BookText"/>
      </w:pPr>
      <w:r>
        <w:rPr>
          <w:rFonts w:ascii="Times New Roman" w:hAnsi="Times New Roman" w:eastAsia="Times New Roman" w:cs="Times New Roman"/>
          <w:lang w:val="en-US" w:bidi="en-US"/>
          <w:color w:val="111111"/>
          <w:sz w:val="28"/>
          <w:szCs w:val="28"/>
          <w:rtl/>
        </w:rPr>
        <w:t xml:space="preserve">(aškāl-ol-‘ālam (t.)</w:t>
      </w:r>
    </w:p>
    <w:p>
      <w:pPr>
        <w:pStyle w:val="BookText"/>
      </w:pPr>
      <w:r>
        <w:rPr>
          <w:rFonts w:ascii="IRNazanin" w:hAnsi="IRNazanin" w:eastAsia="IRNazanin" w:cs="IRNazanin"/>
          <w:lang w:bidi="fa-IR"/>
          <w:color w:val="111111"/>
          <w:sz w:val="28"/>
          <w:szCs w:val="28"/>
          <w:rtl/>
        </w:rPr>
        <w:t xml:space="preserve">كاتب، على بن عبدالسلام، ق ۷ قمری</w:t>
      </w:r>
    </w:p>
    <w:p>
      <w:pPr>
        <w:pStyle w:val="BookText"/>
      </w:pPr>
      <w:r>
        <w:rPr>
          <w:rFonts w:ascii="Times New Roman" w:hAnsi="Times New Roman" w:eastAsia="Times New Roman" w:cs="Times New Roman"/>
          <w:lang w:val="en-US" w:bidi="en-US"/>
          <w:color w:val="111111"/>
          <w:sz w:val="28"/>
          <w:szCs w:val="28"/>
          <w:rtl/>
        </w:rPr>
        <w:t xml:space="preserve">(kāteb, ‘alī ebn-e ‘abd-os-salām (- 13c)</w:t>
      </w:r>
    </w:p>
    <w:p>
      <w:pPr>
        <w:pStyle w:val="BookText"/>
      </w:pPr>
      <w:r>
        <w:rPr>
          <w:rFonts w:ascii="IRNazanin" w:hAnsi="IRNazanin" w:eastAsia="IRNazanin" w:cs="IRNazanin"/>
          <w:lang w:bidi="fa-IR"/>
          <w:color w:val="111111"/>
          <w:sz w:val="28"/>
          <w:szCs w:val="28"/>
          <w:rtl/>
        </w:rPr>
        <w:t xml:space="preserve">اهدا به: علی خواجه نصیر بن محمد ولی امیرالمومنین افتحار بخارا</w:t>
      </w:r>
    </w:p>
    <w:p>
      <w:pPr>
        <w:pStyle w:val="BookText"/>
      </w:pPr>
      <w:r>
        <w:rPr>
          <w:rFonts w:ascii="IRNazanin" w:hAnsi="IRNazanin" w:eastAsia="IRNazanin" w:cs="IRNazanin"/>
          <w:lang w:bidi="fa-IR"/>
          <w:color w:val="111111"/>
          <w:sz w:val="28"/>
          <w:szCs w:val="28"/>
          <w:rtl/>
        </w:rPr>
        <w:t xml:space="preserve">ترجمه فارسی است از «اشکال العالم» ابوالقاسم بن احـمد جیهانی، که خلاصه جغرافیای عالم است در ۲۰ اقلیم، با چندین نقشه. نسخه عربی «اشکال العالم» تاکنون به دست نیامده است.</w:t>
      </w:r>
    </w:p>
    <w:p>
      <w:pPr>
        <w:pStyle w:val="BookText"/>
      </w:pPr>
      <w:r>
        <w:rPr>
          <w:rFonts w:ascii="IRNazanin" w:hAnsi="IRNazanin" w:eastAsia="IRNazanin" w:cs="IRNazanin"/>
          <w:lang w:bidi="fa-IR"/>
          <w:color w:val="111111"/>
          <w:sz w:val="28"/>
          <w:szCs w:val="28"/>
          <w:rtl/>
        </w:rPr>
        <w:t xml:space="preserve">آغاز: هزاران هزار حمد و ثنا و شکر و سپاس خدای را تبارک و تعالی که ملک الملوک و رب الارباب است و روزی رساننده بندگان</w:t>
      </w:r>
    </w:p>
    <w:p>
      <w:pPr>
        <w:pStyle w:val="BookText"/>
      </w:pPr>
      <w:r>
        <w:rPr>
          <w:rFonts w:ascii="IRNazanin" w:hAnsi="IRNazanin" w:eastAsia="IRNazanin" w:cs="IRNazanin"/>
          <w:lang w:bidi="fa-IR"/>
          <w:color w:val="111111"/>
          <w:sz w:val="28"/>
          <w:szCs w:val="28"/>
          <w:rtl/>
        </w:rPr>
        <w:t xml:space="preserve">انجام: و اصلاح آن از راه کرم و لطف به جای آرند و تبدیل لفظ سقیم به دیگری مستقیم واجب و لازم شمرند. و الله تعالی في عون العبد مادام العبد في عون اخيه اعلم والسلام.</w:t>
      </w:r>
    </w:p>
    <w:p>
      <w:pPr>
        <w:pStyle w:val="BookText"/>
      </w:pPr>
      <w:r>
        <w:rPr>
          <w:rFonts w:ascii="IRNazanin" w:hAnsi="IRNazanin" w:eastAsia="IRNazanin" w:cs="IRNazanin"/>
          <w:lang w:bidi="fa-IR"/>
          <w:color w:val="111111"/>
          <w:sz w:val="28"/>
          <w:szCs w:val="28"/>
          <w:rtl/>
        </w:rPr>
        <w:t xml:space="preserve">چاپ: مشهد، به نشر انتشارات آستان قدس رضوی، ۱۳۶۸ش،با مقدمه و تعلیقات فیروز منصوری، ۳۲۴ص</w:t>
      </w:r>
    </w:p>
    <w:p>
      <w:pPr>
        <w:pStyle w:val="BookText"/>
      </w:pPr>
      <w:r>
        <w:rPr>
          <w:rFonts w:ascii="IRNazanin" w:hAnsi="IRNazanin" w:eastAsia="IRNazanin" w:cs="IRNazanin"/>
          <w:lang w:bidi="fa-IR"/>
          <w:color w:val="111111"/>
          <w:sz w:val="28"/>
          <w:szCs w:val="28"/>
          <w:rtl/>
        </w:rPr>
        <w:t xml:space="preserve">[ نسخه های منزوی ۲۹۳۲/۶ نشانی 1نسخه؛ مشترک ۱۲۳۱/۱۱ برای بیشتر؛ فهرستواره منزوی ۱۶۹/۲ «اشکال العالم، ترجمه»؛ افشار، مقالات ۱ 73، 570 گفتار نفیسی]</w:t>
      </w:r>
    </w:p>
    <w:p>
      <w:pPr>
        <w:pStyle w:val="BookText"/>
      </w:pPr>
      <w:r>
        <w:rPr>
          <w:rFonts w:ascii="IRNazanin" w:hAnsi="IRNazanin" w:eastAsia="IRNazanin" w:cs="IRNazanin"/>
          <w:lang w:bidi="fa-IR"/>
          <w:color w:val="111111"/>
          <w:sz w:val="28"/>
          <w:szCs w:val="28"/>
          <w:rtl/>
        </w:rPr>
        <w:t xml:space="preserve">۱. تهران؛ دانشگاه؛ شماره نسخه: ۱۴۶۵/۱-ف</w:t>
      </w:r>
    </w:p>
    <w:p>
      <w:pPr>
        <w:pStyle w:val="BookText"/>
      </w:pPr>
      <w:r>
        <w:rPr>
          <w:rFonts w:ascii="IRNazanin" w:hAnsi="IRNazanin" w:eastAsia="IRNazanin" w:cs="IRNazanin"/>
          <w:lang w:bidi="fa-IR"/>
          <w:color w:val="111111"/>
          <w:sz w:val="28"/>
          <w:szCs w:val="28"/>
          <w:rtl/>
        </w:rPr>
        <w:t xml:space="preserve">نسخه اصل: موزه بریتانیا ش 23542 .</w:t>
      </w:r>
      <w:r>
        <w:rPr>
          <w:rFonts w:ascii="Times New Roman" w:hAnsi="Times New Roman" w:eastAsia="Times New Roman" w:cs="Times New Roman"/>
          <w:lang w:val="en-US" w:bidi="en-US"/>
          <w:color w:val="111111"/>
          <w:sz w:val="28"/>
          <w:szCs w:val="28"/>
          <w:rtl/>
        </w:rPr>
        <w:t xml:space="preserve">Or </w:t>
      </w:r>
      <w:r>
        <w:rPr>
          <w:rFonts w:ascii="IRNazanin" w:hAnsi="IRNazanin" w:eastAsia="IRNazanin" w:cs="IRNazanin"/>
          <w:lang w:bidi="fa-IR"/>
          <w:color w:val="111111"/>
          <w:sz w:val="28"/>
          <w:szCs w:val="28"/>
          <w:rtl/>
        </w:rPr>
        <w:t xml:space="preserve">برای بالیوزبیک مسیحی.</w:t>
      </w:r>
    </w:p>
    <w:p>
      <w:pPr>
        <w:pStyle w:val="BookText"/>
      </w:pPr>
      <w:r>
        <w:rPr>
          <w:rFonts w:ascii="IRNazanin" w:hAnsi="IRNazanin" w:eastAsia="IRNazanin" w:cs="IRNazanin"/>
          <w:lang w:bidi="fa-IR"/>
          <w:color w:val="111111"/>
          <w:sz w:val="28"/>
          <w:szCs w:val="28"/>
          <w:rtl/>
        </w:rPr>
        <w:t xml:space="preserve">در فهرست بدون نام مترجم؛ خط: نستعلیق، بی کا، تا: ۱۴ رمضـان ۱۲۵۱ق؛ ۷۹گ (۱-۷۹)، سپس نقشه های جغرافی تا ص 135 [ فیلمها: ۱ - ۶۰۵]</w:t>
      </w:r>
    </w:p>
    <w:p>
      <w:pPr>
        <w:pStyle w:val="BookText"/>
      </w:pPr>
      <w:r>
        <w:rPr>
          <w:rFonts w:ascii="IRNazanin" w:hAnsi="IRNazanin" w:eastAsia="IRNazanin" w:cs="IRNazanin"/>
          <w:lang w:bidi="fa-IR"/>
          <w:color w:val="111111"/>
          <w:sz w:val="28"/>
          <w:szCs w:val="28"/>
          <w:rtl/>
        </w:rPr>
        <w:t xml:space="preserve">تهران؛ دائرة المعارف؛ شماره نسخه: ۱۲۲-عکسی و ۳۴۷/۱-عکسی</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اصل نسخه: همان نسخه بالا [عکسی ف: ۲ - ۲۵]</w:t>
      </w:r>
    </w:p>
    <w:p>
      <w:pPr>
        <w:pStyle w:val="BookText"/>
      </w:pPr>
      <w:r>
        <w:rPr>
          <w:rFonts w:ascii="IRNazanin" w:hAnsi="IRNazanin" w:eastAsia="IRNazanin" w:cs="IRNazanin"/>
          <w:lang w:bidi="fa-IR"/>
          <w:color w:val="111111"/>
          <w:sz w:val="28"/>
          <w:szCs w:val="28"/>
          <w:rtl/>
        </w:rPr>
        <w:t xml:space="preserve">2.تهران دانشگاه؛ شماره نسخه: ۱۰۸۹۱</w:t>
      </w:r>
    </w:p>
    <w:p>
      <w:pPr>
        <w:pStyle w:val="BookText"/>
      </w:pPr>
      <w:r>
        <w:rPr>
          <w:rFonts w:ascii="IRNazanin" w:hAnsi="IRNazanin" w:eastAsia="IRNazanin" w:cs="IRNazanin"/>
          <w:lang w:bidi="fa-IR"/>
          <w:color w:val="111111"/>
          <w:sz w:val="28"/>
          <w:szCs w:val="28"/>
          <w:rtl/>
        </w:rPr>
        <w:t xml:space="preserve">آغاز و انجام: برابر؛ انجامه:« فرغ من تحرير هذا الكتاب مترجمه العبد الاصغر على بن عبدالسلام الكاتب العبد الضعيف نحيـف حاجی خان ابن مرحومی مغفوری حاج محمد حسین قزوینی غفر ذنوبه و ستر عيوبه، تحریراًفی تاریخ شهر جمادی الثانی قلمی شد سنه ۱۸. تمت الكتاب بعون الملك الوهاب. روز جمعه ۸ جدی ۱۳۲۹ در شهر نو کابل حین توقف زمستانی سال اول وكالت من در دوره بشمه شورای ملی نقل شد»</w:t>
      </w:r>
    </w:p>
    <w:p>
      <w:pPr>
        <w:pStyle w:val="BookText"/>
      </w:pPr>
      <w:r>
        <w:rPr>
          <w:rFonts w:ascii="IRNazanin" w:hAnsi="IRNazanin" w:eastAsia="IRNazanin" w:cs="IRNazanin"/>
          <w:lang w:bidi="fa-IR"/>
          <w:color w:val="111111"/>
          <w:sz w:val="28"/>
          <w:szCs w:val="28"/>
          <w:rtl/>
        </w:rPr>
        <w:t xml:space="preserve">خط: نستعلیق، بی کا، تا: جمعه ۸ جدی ۱۳۲۹ق، جا: نوکابل؛ از روی نسخه خط حاجی خان بن محمد حسین قزوینی در جمادی الثانی ۱۰۰۸ یا ۱۰۱۸ق، ابتدای کتابت در صفحه اول «شهر نو کابل، اول قرش ۱۳۲۸» با یادداشت هایی در حاشیه، پشت طبله اول جلد و برگ سوم بخش هایی از مطالب کتاب که برای مرحوم نفیسی جالب توجه بوده با شماره صفحات نوشته شده است؛ اهدایی: ایرج افشار در اسفند ۱۳۷۷ با یادداشت او: «مرحوم سعید نفیسی مقاله ای درباره این کتاب نوشت و به من داد که در مجله راهنمای کتاب چاپ کردم و این نسخه را که خود نویسنده بود نیز به من داد که بلکه در مجله فرهنگ ایران زمین به چاپ برسانم و من مترصد آن بودم که در سفری به کابل بتوانم با نسخه آن جا مقابله کنم و از صحت استنساخ كاتب مختار مرحوم نفیسی آگاه شوم ولی هیچ یک ازین مقاصد عملی نشد.</w:t>
      </w:r>
    </w:p>
    <w:p>
      <w:pPr>
        <w:pStyle w:val="BookText"/>
      </w:pPr>
      <w:r>
        <w:rPr>
          <w:rFonts w:ascii="IRNazanin" w:hAnsi="IRNazanin" w:eastAsia="IRNazanin" w:cs="IRNazanin"/>
          <w:lang w:bidi="fa-IR"/>
          <w:color w:val="111111"/>
          <w:sz w:val="28"/>
          <w:szCs w:val="28"/>
          <w:rtl/>
        </w:rPr>
        <w:t xml:space="preserve">مشخص است نویسنده از وکلای مجلس افغانستان بوده وقطعاً دوست مرحوم نفیسی» و زیر آن: «چون مجموعه ای از کتابهای مرحوم سعید نفیسی در کتابخانه مرکزی و مرکز اسناد دانشگاه طهران محفوظ است این نسخه را برای نگاه داری بدانجا می سپارم»؛ جلد: گالینگور سبز، ۹۱گ، ۱۸ سطر (۱۳/۵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۱۶/۵)، اندازه: ۱۶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۲۰ - ۴۶۷]</w:t>
      </w:r>
    </w:p>
    <w:p>
      <w:pPr>
        <w:pStyle w:val="Heading3"/>
      </w:pPr>
      <w:bookmarkStart w:id="2133" w:name="_Toc1655"/>
      <w:r>
        <w:t>الاشكال الكرية / رياضيات / عربي</w:t>
      </w:r>
      <w:bookmarkEnd w:id="2133"/>
    </w:p>
    <w:p>
      <w:pPr>
        <w:pStyle w:val="BookText"/>
      </w:pPr>
      <w:r>
        <w:rPr>
          <w:rFonts w:ascii="Times New Roman" w:hAnsi="Times New Roman" w:eastAsia="Times New Roman" w:cs="Times New Roman"/>
          <w:lang w:val="en-US" w:bidi="en-US"/>
          <w:color w:val="111111"/>
          <w:sz w:val="28"/>
          <w:szCs w:val="28"/>
          <w:rtl/>
        </w:rPr>
        <w:t xml:space="preserve">al-aškal-ul-kurīyya</w:t>
      </w:r>
    </w:p>
    <w:p>
      <w:pPr>
        <w:pStyle w:val="BookText"/>
      </w:pPr>
      <w:r>
        <w:rPr>
          <w:rFonts w:ascii="IRNazanin" w:hAnsi="IRNazanin" w:eastAsia="IRNazanin" w:cs="IRNazanin"/>
          <w:lang w:bidi="fa-IR"/>
          <w:color w:val="111111"/>
          <w:sz w:val="28"/>
          <w:szCs w:val="28"/>
          <w:rtl/>
        </w:rPr>
        <w:t xml:space="preserve">«اکر» نام موضوعی است بر کتاب هایی که درباره شکل هندسی «کره» گفتگو می کند. این رساله در مثلثات و مجهول المولف است. ابن ابی الشکر مغربی، محيى الدين يحيى (د ۶۸۲ق/۱۲۸۳م) رساله ای درباره «اکر» دارد که بایستی همین باشد.</w:t>
      </w:r>
    </w:p>
    <w:p>
      <w:pPr>
        <w:pStyle w:val="BookText"/>
      </w:pPr>
      <w:r>
        <w:rPr>
          <w:rFonts w:ascii="Amiri" w:hAnsi="Amiri" w:eastAsia="Amiri" w:cs="Amiri"/>
          <w:lang w:bidi="ar-SA"/>
          <w:color w:val="111111"/>
          <w:sz w:val="28"/>
          <w:szCs w:val="28"/>
          <w:rtl/>
        </w:rPr>
        <w:t xml:space="preserve">آغاز: بسمله، الاشكال الكرية يعرف بما يعرف به المستقيمة الخطوط</w:t>
      </w:r>
    </w:p>
    <w:p>
      <w:pPr>
        <w:pStyle w:val="BookText"/>
      </w:pPr>
      <w:r>
        <w:rPr>
          <w:rFonts w:ascii="Amiri" w:hAnsi="Amiri" w:eastAsia="Amiri" w:cs="Amiri"/>
          <w:lang w:bidi="ar-SA"/>
          <w:color w:val="111111"/>
          <w:sz w:val="28"/>
          <w:szCs w:val="28"/>
          <w:rtl/>
        </w:rPr>
        <w:t xml:space="preserve">انجام: ونعيد المثلث مع القسمى المخرجة، و نقول ب ك ايضا اعظم من ه ر</w:t>
      </w:r>
    </w:p>
    <w:p>
      <w:pPr>
        <w:pStyle w:val="BookText"/>
      </w:pPr>
      <w:r>
        <w:rPr>
          <w:rFonts w:ascii="IRNazanin" w:hAnsi="IRNazanin" w:eastAsia="IRNazanin" w:cs="IRNazanin"/>
          <w:lang w:bidi="fa-IR"/>
          <w:color w:val="111111"/>
          <w:sz w:val="28"/>
          <w:szCs w:val="28"/>
          <w:rtl/>
        </w:rPr>
        <w:t xml:space="preserve">[دبا ۲/ ۶۶۵ واژه ابن ابی شکر «تحریر اکر»؛ زرکلی ۱۶۶/۸]</w:t>
      </w:r>
    </w:p>
    <w:p>
      <w:pPr>
        <w:pStyle w:val="BookText"/>
      </w:pPr>
      <w:r>
        <w:rPr>
          <w:rFonts w:ascii="IRNazanin" w:hAnsi="IRNazanin" w:eastAsia="IRNazanin" w:cs="IRNazanin"/>
          <w:lang w:bidi="fa-IR"/>
          <w:color w:val="111111"/>
          <w:sz w:val="28"/>
          <w:szCs w:val="28"/>
          <w:rtl/>
        </w:rPr>
        <w:t xml:space="preserve">مشهد؛ رضوی؛ شماره نسخه: ۱۲۲۲۷/۴</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 نسخ، کا: اسدالله بن حيدر هزار جریبی دودانگه مشهور به منجم، تا: ۱۳۱۰ق، جا: تهران؛ همراه است با «تسطیح» ابن ابی الشكر مغربی؛ کاغذ: حنایی آهار مهره، جلد: تیماج فرنگی عطف و گوشه چرمی، ۸ص (۷۵-۸۳) ، اندازه: ۱۴/۳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 ۱۰ - ۹۴]</w:t>
      </w:r>
    </w:p>
    <w:p>
      <w:pPr>
        <w:pStyle w:val="BookText"/>
      </w:pPr>
      <w:r>
        <w:rPr>
          <w:rFonts w:ascii="IRNazanin" w:hAnsi="IRNazanin" w:eastAsia="IRNazanin" w:cs="IRNazanin"/>
          <w:lang w:bidi="fa-IR"/>
          <w:color w:val="111111"/>
          <w:sz w:val="28"/>
          <w:szCs w:val="28"/>
          <w:rtl/>
        </w:rPr>
        <w:t xml:space="preserve">تهران؛ دائرة المعارف؛ شماره نسخه: ۴۵۰/۴- عکسی</w:t>
      </w:r>
    </w:p>
    <w:p>
      <w:pPr>
        <w:pStyle w:val="BookText"/>
      </w:pPr>
      <w:r>
        <w:rPr>
          <w:rFonts w:ascii="IRNazanin" w:hAnsi="IRNazanin" w:eastAsia="IRNazanin" w:cs="IRNazanin"/>
          <w:lang w:bidi="fa-IR"/>
          <w:color w:val="111111"/>
          <w:sz w:val="28"/>
          <w:szCs w:val="28"/>
          <w:rtl/>
        </w:rPr>
        <w:t xml:space="preserve">نسخه اصل: همان نسخه بالا [عکسی ف: ۲ - ۲۶]
</w:t>
      </w:r>
    </w:p>
    <w:p>
      <w:pPr>
        <w:sectPr>
          <w:footerReference w:type="default" r:id="rId1034"/>
          <w:footnotePr>
            <w:numStart w:val="1"/>
            <w:numRestart w:val="eachPage"/>
          </w:footnotePr>
          <w:pgSz w:orient="portrait" w:w="11905.511811023622" w:h="16837.79527559055"/>
          <w:pgMar w:top="1440" w:right="1440" w:bottom="1440" w:left="1440" w:header="720" w:footer="720" w:gutter="0"/>
          <w:cols w:num="1" w:space="720"/>
        </w:sectPr>
      </w:pPr>
    </w:p>
    <w:bookmarkStart w:id="477" w:name="pg20365_260970"/>
    <w:bookmarkEnd w:id="477"/>
    <w:p>
      <w:pPr>
        <w:pStyle w:val="Heading3"/>
      </w:pPr>
      <w:bookmarkStart w:id="2134" w:name="_Toc1656"/>
      <w:r>
        <w:t>اشکال ماه و نقصان و زیادت نور آن / هیئت / فارسی</w:t>
      </w:r>
      <w:bookmarkEnd w:id="2134"/>
    </w:p>
    <w:p>
      <w:pPr>
        <w:pStyle w:val="BookText"/>
      </w:pPr>
      <w:r>
        <w:rPr>
          <w:rFonts w:ascii="Times New Roman" w:hAnsi="Times New Roman" w:eastAsia="Times New Roman" w:cs="Times New Roman"/>
          <w:lang w:val="en-US" w:bidi="en-US"/>
          <w:color w:val="111111"/>
          <w:sz w:val="28"/>
          <w:szCs w:val="28"/>
          <w:rtl/>
        </w:rPr>
        <w:t xml:space="preserve">aškāl-e māh va noqsān va zīyādat-e nūr-e ān</w:t>
      </w:r>
    </w:p>
    <w:p>
      <w:pPr>
        <w:pStyle w:val="BookText"/>
      </w:pPr>
      <w:r>
        <w:rPr>
          <w:rFonts w:ascii="IRNazanin" w:hAnsi="IRNazanin" w:eastAsia="IRNazanin" w:cs="IRNazanin"/>
          <w:lang w:bidi="fa-IR"/>
          <w:color w:val="111111"/>
          <w:sz w:val="28"/>
          <w:szCs w:val="28"/>
          <w:rtl/>
        </w:rPr>
        <w:t xml:space="preserve">رساله مختصری است در سبب اختلاف شکل ظاهری ماه و عـلل نقصان و زیادت نور آن علت خسوف، نگاشته شده به امر مخدومی که حکم او نافذ بوده و در پایان مؤلف امید آن داشته که کتاب مفصلی جهت کتابخانه او بنویسد.</w:t>
      </w:r>
    </w:p>
    <w:p>
      <w:pPr>
        <w:pStyle w:val="BookText"/>
      </w:pPr>
      <w:r>
        <w:rPr>
          <w:rFonts w:ascii="IRNazanin" w:hAnsi="IRNazanin" w:eastAsia="IRNazanin" w:cs="IRNazanin"/>
          <w:lang w:bidi="fa-IR"/>
          <w:color w:val="111111"/>
          <w:sz w:val="28"/>
          <w:szCs w:val="28"/>
          <w:rtl/>
        </w:rPr>
        <w:t xml:space="preserve">تهران؛ مجلس؛ شماره نسخه: ۶۴۹۲/۱۰</w:t>
      </w:r>
    </w:p>
    <w:p>
      <w:pPr>
        <w:pStyle w:val="BookText"/>
      </w:pPr>
      <w:r>
        <w:rPr>
          <w:rFonts w:ascii="IRNazanin" w:hAnsi="IRNazanin" w:eastAsia="IRNazanin" w:cs="IRNazanin"/>
          <w:lang w:bidi="fa-IR"/>
          <w:color w:val="111111"/>
          <w:sz w:val="28"/>
          <w:szCs w:val="28"/>
          <w:rtl/>
        </w:rPr>
        <w:t xml:space="preserve">آغاز: الحمد لله كثيرا ... بحكم آنکه مخدومی بزرگوار که حکم او نافذ است از نویسنده این حرفها التماس بیان سبب اختلاف اشکال ماه و علت نقصان و زیادت نور او فرموده است؛ انجـام: فما بعد اگر تقدیر مساعدت کند کتابی تمام در علم هیئت یا در دیگر فنون حکمت به رسم کتابخانه همایون تحریر کرده شود.</w:t>
      </w:r>
    </w:p>
    <w:p>
      <w:pPr>
        <w:pStyle w:val="BookText"/>
      </w:pPr>
      <w:r>
        <w:rPr>
          <w:rFonts w:ascii="IRNazanin" w:hAnsi="IRNazanin" w:eastAsia="IRNazanin" w:cs="IRNazanin"/>
          <w:lang w:bidi="fa-IR"/>
          <w:color w:val="111111"/>
          <w:sz w:val="28"/>
          <w:szCs w:val="28"/>
          <w:rtl/>
        </w:rPr>
        <w:t xml:space="preserve">خط: نستعلیق ،بی کا، بی تا ،مصحح، برخی از برگ ها افتادگی دارد ؛جلد: تیماج قهوه ای ضربی ترنج وسرترنج دار ضربی عطف، ۳گ (۱۶۷ر-۱۷۰ر)،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۲۳/۵سم [ف : ۲۰ - ۷۲ ]</w:t>
      </w:r>
    </w:p>
    <w:p>
      <w:pPr>
        <w:pStyle w:val="Heading3"/>
      </w:pPr>
      <w:bookmarkStart w:id="2135" w:name="_Toc1657"/>
      <w:r>
        <w:t>الاشكال المجسمة التى يحيط بها كرة تنقسم الى قسمين / هیئت / عربی</w:t>
      </w:r>
      <w:bookmarkEnd w:id="2135"/>
    </w:p>
    <w:p>
      <w:pPr>
        <w:pStyle w:val="BookText"/>
      </w:pPr>
      <w:r>
        <w:rPr>
          <w:rFonts w:ascii="Times New Roman" w:hAnsi="Times New Roman" w:eastAsia="Times New Roman" w:cs="Times New Roman"/>
          <w:lang w:val="en-US" w:bidi="en-US"/>
          <w:color w:val="111111"/>
          <w:sz w:val="28"/>
          <w:szCs w:val="28"/>
          <w:rtl/>
        </w:rPr>
        <w:t xml:space="preserve">al-aškal-ul-mujassama allatī yuḥīṭ-u bihā kurat-un</w:t>
      </w:r>
    </w:p>
    <w:p>
      <w:pPr>
        <w:pStyle w:val="BookText"/>
      </w:pPr>
      <w:r>
        <w:rPr>
          <w:rFonts w:ascii="Times New Roman" w:hAnsi="Times New Roman" w:eastAsia="Times New Roman" w:cs="Times New Roman"/>
          <w:lang w:val="en-US" w:bidi="en-US"/>
          <w:color w:val="111111"/>
          <w:sz w:val="28"/>
          <w:szCs w:val="28"/>
          <w:rtl/>
        </w:rPr>
        <w:t xml:space="preserve">tanqasim ila qismayn</w:t>
      </w:r>
    </w:p>
    <w:p>
      <w:pPr>
        <w:pStyle w:val="BookText"/>
      </w:pPr>
      <w:r>
        <w:rPr>
          <w:rFonts w:ascii="IRNazanin" w:hAnsi="IRNazanin" w:eastAsia="IRNazanin" w:cs="IRNazanin"/>
          <w:lang w:bidi="fa-IR"/>
          <w:color w:val="111111"/>
          <w:sz w:val="28"/>
          <w:szCs w:val="28"/>
          <w:rtl/>
        </w:rPr>
        <w:t xml:space="preserve">[یادنامه خواجه طوسی ص ۱-۱۸]</w:t>
      </w:r>
    </w:p>
    <w:p>
      <w:pPr>
        <w:pStyle w:val="BookText"/>
      </w:pPr>
      <w:r>
        <w:rPr>
          <w:rFonts w:ascii="IRNazanin" w:hAnsi="IRNazanin" w:eastAsia="IRNazanin" w:cs="IRNazanin"/>
          <w:lang w:bidi="fa-IR"/>
          <w:color w:val="111111"/>
          <w:sz w:val="28"/>
          <w:szCs w:val="28"/>
          <w:rtl/>
        </w:rPr>
        <w:t xml:space="preserve">تهران؛ دانشگاه؛ شماره نسخه: ۶۷۰/۲۲-ف</w:t>
      </w:r>
    </w:p>
    <w:p>
      <w:pPr>
        <w:pStyle w:val="BookText"/>
      </w:pPr>
      <w:r>
        <w:rPr>
          <w:rFonts w:ascii="IRNazanin" w:hAnsi="IRNazanin" w:eastAsia="IRNazanin" w:cs="IRNazanin"/>
          <w:lang w:bidi="fa-IR"/>
          <w:color w:val="111111"/>
          <w:sz w:val="28"/>
          <w:szCs w:val="28"/>
          <w:rtl/>
        </w:rPr>
        <w:t xml:space="preserve">نسخه اصل: مانیسا گنل، ش ۱۷۰۶؛ خط: نسخ، بی کا، تا: 699ق؛ جا: تبریز؛ ۲گ (۲۶۷پ-۲۶۹پ)، ۱۸ سطر [فيلمها: ۱ - ۵۲۳]</w:t>
      </w:r>
    </w:p>
    <w:p>
      <w:pPr>
        <w:pStyle w:val="Heading3"/>
      </w:pPr>
      <w:bookmarkStart w:id="2136" w:name="_Toc1658"/>
      <w:r>
        <w:t>اشکال مهر نبوت / متفرقه / فارسی</w:t>
      </w:r>
      <w:bookmarkEnd w:id="2136"/>
    </w:p>
    <w:p>
      <w:pPr>
        <w:pStyle w:val="BookText"/>
      </w:pPr>
      <w:r>
        <w:rPr>
          <w:rFonts w:ascii="Times New Roman" w:hAnsi="Times New Roman" w:eastAsia="Times New Roman" w:cs="Times New Roman"/>
          <w:lang w:val="en-US" w:bidi="en-US"/>
          <w:color w:val="111111"/>
          <w:sz w:val="28"/>
          <w:szCs w:val="28"/>
          <w:rtl/>
        </w:rPr>
        <w:t xml:space="preserve">aškāl-e mohr-e nobovvat</w:t>
      </w:r>
    </w:p>
    <w:p>
      <w:pPr>
        <w:pStyle w:val="BookText"/>
      </w:pPr>
      <w:r>
        <w:rPr>
          <w:rFonts w:ascii="IRNazanin" w:hAnsi="IRNazanin" w:eastAsia="IRNazanin" w:cs="IRNazanin"/>
          <w:lang w:bidi="fa-IR"/>
          <w:color w:val="111111"/>
          <w:sz w:val="28"/>
          <w:szCs w:val="28"/>
          <w:rtl/>
        </w:rPr>
        <w:t xml:space="preserve">تهران؛ سلطنتی؛ شماره نسخه: ۲۰۳۳</w:t>
      </w:r>
    </w:p>
    <w:p>
      <w:pPr>
        <w:pStyle w:val="BookText"/>
      </w:pPr>
      <w:r>
        <w:rPr>
          <w:rFonts w:ascii="IRNazanin" w:hAnsi="IRNazanin" w:eastAsia="IRNazanin" w:cs="IRNazanin"/>
          <w:lang w:bidi="fa-IR"/>
          <w:color w:val="111111"/>
          <w:sz w:val="28"/>
          <w:szCs w:val="28"/>
          <w:rtl/>
        </w:rPr>
        <w:t xml:space="preserve">آغاز: اسناد مهر نبوت روایت نموده از حضرت امیرالمومنین (علیه السّلام) السلام از حضرت رسول صلى الله علیه و آله. شخصی که نظر بر مهر نبو بعد از نماز صبح نظر کند چنان باشد که پنجاه حج کرده است؛ انجام: از جمیع آفات و بلیات ایمن گردند. بسیار بود مختصر شد</w:t>
      </w:r>
    </w:p>
    <w:p>
      <w:pPr>
        <w:pStyle w:val="BookText"/>
      </w:pPr>
      <w:r>
        <w:rPr>
          <w:rFonts w:ascii="IRNazanin" w:hAnsi="IRNazanin" w:eastAsia="IRNazanin" w:cs="IRNazanin"/>
          <w:lang w:bidi="fa-IR"/>
          <w:color w:val="111111"/>
          <w:sz w:val="28"/>
          <w:szCs w:val="28"/>
          <w:rtl/>
        </w:rPr>
        <w:t xml:space="preserve">خط: نسخ و نستعلیق، بی کا، بی تا؛ مجدول، روایاتی راجع به اشکال مهر نبوت از حضرت علی ابن ابیطالب و ائمه اطهار نقل نموده اند؛ مهر:« مشير السلطنه - رضا الحسيني»، ناصر الدين شاه قاجار؛ کاغذ: اصفهانی متن و حاشیه، جلد: مقوای روکش پارچه زری. زمینه بنفش گلدار  الوان، حاشیه سجاف چرم عنابی، ۱۸ص، ۱۸ سطر، قطع: رقعی، اندازه: ۱۵/۲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۲۱/۴سم [ف: ۱ - ۵۶۱]</w:t>
      </w:r>
    </w:p>
    <w:p>
      <w:pPr>
        <w:pStyle w:val="Heading3"/>
      </w:pPr>
      <w:bookmarkStart w:id="2137" w:name="_Toc1659"/>
      <w:r>
        <w:t>اشكال الميزان / منطق / فارسی</w:t>
      </w:r>
      <w:bookmarkEnd w:id="2137"/>
    </w:p>
    <w:p>
      <w:pPr>
        <w:pStyle w:val="BookText"/>
      </w:pPr>
      <w:r>
        <w:rPr>
          <w:rFonts w:ascii="Times New Roman" w:hAnsi="Times New Roman" w:eastAsia="Times New Roman" w:cs="Times New Roman"/>
          <w:lang w:val="en-US" w:bidi="en-US"/>
          <w:color w:val="111111"/>
          <w:sz w:val="28"/>
          <w:szCs w:val="28"/>
          <w:rtl/>
        </w:rPr>
        <w:t xml:space="preserve">aškāl-ol-mīzān</w:t>
      </w:r>
    </w:p>
    <w:p>
      <w:pPr>
        <w:pStyle w:val="BookText"/>
      </w:pPr>
      <w:r>
        <w:rPr>
          <w:rFonts w:ascii="IRNazanin" w:hAnsi="IRNazanin" w:eastAsia="IRNazanin" w:cs="IRNazanin"/>
          <w:lang w:bidi="fa-IR"/>
          <w:color w:val="111111"/>
          <w:sz w:val="28"/>
          <w:szCs w:val="28"/>
          <w:rtl/>
        </w:rPr>
        <w:t xml:space="preserve">فرصت شیرازی، محمد نصیر بن جعفر، ۱۲۷۱ - ۱۳۳۹  قمری</w:t>
      </w:r>
    </w:p>
    <w:p>
      <w:pPr>
        <w:pStyle w:val="BookText"/>
      </w:pPr>
      <w:r>
        <w:rPr>
          <w:rFonts w:ascii="Times New Roman" w:hAnsi="Times New Roman" w:eastAsia="Times New Roman" w:cs="Times New Roman"/>
          <w:lang w:val="en-US" w:bidi="en-US"/>
          <w:color w:val="111111"/>
          <w:sz w:val="28"/>
          <w:szCs w:val="28"/>
          <w:rtl/>
        </w:rPr>
        <w:t xml:space="preserve">(forsat-e šīrāzī, mohammad nasīr ebn-e ja'far (1855 - 1921)</w:t>
      </w:r>
    </w:p>
    <w:p>
      <w:pPr>
        <w:pStyle w:val="BookText"/>
      </w:pPr>
      <w:r>
        <w:rPr>
          <w:rFonts w:ascii="IRNazanin" w:hAnsi="IRNazanin" w:eastAsia="IRNazanin" w:cs="IRNazanin"/>
          <w:lang w:bidi="fa-IR"/>
          <w:color w:val="111111"/>
          <w:sz w:val="28"/>
          <w:szCs w:val="28"/>
          <w:rtl/>
        </w:rPr>
        <w:t xml:space="preserve">تاريخ تألیف: ۱۳۰۳ق</w:t>
      </w:r>
    </w:p>
    <w:p>
      <w:pPr>
        <w:pStyle w:val="BookText"/>
      </w:pPr>
      <w:r>
        <w:rPr>
          <w:rFonts w:ascii="IRNazanin" w:hAnsi="IRNazanin" w:eastAsia="IRNazanin" w:cs="IRNazanin"/>
          <w:lang w:bidi="fa-IR"/>
          <w:color w:val="111111"/>
          <w:sz w:val="28"/>
          <w:szCs w:val="28"/>
          <w:rtl/>
        </w:rPr>
        <w:t xml:space="preserve">مؤلف که از ادبا و شعرای اوایل قرن ۱۴ است، این کتاب را در زمان ناصر الدین شاه قاجار و وزیرش میرزا علی اصغر خان برای یکی از شاگردان نوشته است در حساب، هیئت، منطق، ،اسطرلاب ،هندسه ،نحو، اشتقاق و دیگر علوم ادبی و همچنین فنون نقاشی و صورت گری دستی توانا داشته است او تمام مباحث تصور و تصدیق را با رسم جداول در اشکال اربعه آورده است.</w:t>
      </w:r>
    </w:p>
    <w:p>
      <w:pPr>
        <w:pStyle w:val="BookText"/>
      </w:pPr>
      <w:r>
        <w:rPr>
          <w:rFonts w:ascii="IRNazanin" w:hAnsi="IRNazanin" w:eastAsia="IRNazanin" w:cs="IRNazanin"/>
          <w:lang w:bidi="fa-IR"/>
          <w:color w:val="111111"/>
          <w:sz w:val="28"/>
          <w:szCs w:val="28"/>
          <w:rtl/>
        </w:rPr>
        <w:t xml:space="preserve">مشهد؛ رضوی؛ شماره نسخه: ۲۸۶۵۵</w:t>
      </w:r>
    </w:p>
    <w:p>
      <w:pPr>
        <w:pStyle w:val="BookText"/>
      </w:pPr>
      <w:r>
        <w:rPr>
          <w:rFonts w:ascii="IRNazanin" w:hAnsi="IRNazanin" w:eastAsia="IRNazanin" w:cs="IRNazanin"/>
          <w:lang w:bidi="fa-IR"/>
          <w:color w:val="111111"/>
          <w:sz w:val="28"/>
          <w:szCs w:val="28"/>
          <w:rtl/>
        </w:rPr>
        <w:t xml:space="preserve">آغاز: بسمله، اما بعد در این اوان سعادت نشان که عبارت است از سنه یکهزار و سیصد و سه هجری؛ انجام: ليس اما ان تكون الشمس طالعة و اما ان يكون النهار مو جودا متصلة شخصية.</w:t>
      </w:r>
    </w:p>
    <w:p>
      <w:pPr>
        <w:pStyle w:val="BookText"/>
      </w:pPr>
      <w:r>
        <w:rPr>
          <w:rFonts w:ascii="IRNazanin" w:hAnsi="IRNazanin" w:eastAsia="IRNazanin" w:cs="IRNazanin"/>
          <w:lang w:bidi="fa-IR"/>
          <w:color w:val="111111"/>
          <w:sz w:val="28"/>
          <w:szCs w:val="28"/>
          <w:rtl/>
        </w:rPr>
        <w:t xml:space="preserve">خط: نستعليق، كاتب = مؤلف (احتمالاً)، بی تا؛ نسخه مذیل به شواهد «شرح قطر» و اشعار باب اول مغنی از حرف لام به بعد است؛ اوراق دارای جدول و کمند؛ واقف: احمد شاهد، آبان ۱۳۸۱ ؛کاغذ: فرنگی خط دار [ف: ۲۴ - ۱۷]</w:t>
      </w:r>
    </w:p>
    <w:p>
      <w:pPr>
        <w:pStyle w:val="Heading3"/>
      </w:pPr>
      <w:bookmarkStart w:id="2138" w:name="_Toc1660"/>
      <w:r>
        <w:t>اشکال هیوی و فوائد متنوعه / هیئت / فارسی</w:t>
      </w:r>
      <w:bookmarkEnd w:id="2138"/>
    </w:p>
    <w:p>
      <w:pPr>
        <w:pStyle w:val="BookText"/>
      </w:pPr>
      <w:r>
        <w:rPr>
          <w:rFonts w:ascii="Times New Roman" w:hAnsi="Times New Roman" w:eastAsia="Times New Roman" w:cs="Times New Roman"/>
          <w:lang w:val="en-US" w:bidi="en-US"/>
          <w:color w:val="111111"/>
          <w:sz w:val="28"/>
          <w:szCs w:val="28"/>
          <w:rtl/>
        </w:rPr>
        <w:t xml:space="preserve">aškāl-e hīyavī va favā'ed-e motenavve'e</w:t>
      </w:r>
    </w:p>
    <w:p>
      <w:pPr>
        <w:pStyle w:val="BookText"/>
      </w:pPr>
      <w:r>
        <w:rPr>
          <w:rFonts w:ascii="IRNazanin" w:hAnsi="IRNazanin" w:eastAsia="IRNazanin" w:cs="IRNazanin"/>
          <w:lang w:bidi="fa-IR"/>
          <w:color w:val="111111"/>
          <w:sz w:val="28"/>
          <w:szCs w:val="28"/>
          <w:rtl/>
        </w:rPr>
        <w:t xml:space="preserve">مشهد؛ الهیات؛ شماره نسخه: ۵۷۴/۳۳</w:t>
      </w:r>
    </w:p>
    <w:p>
      <w:pPr>
        <w:pStyle w:val="BookText"/>
      </w:pPr>
      <w:r>
        <w:rPr>
          <w:rFonts w:ascii="IRNazanin" w:hAnsi="IRNazanin" w:eastAsia="IRNazanin" w:cs="IRNazanin"/>
          <w:lang w:bidi="fa-IR"/>
          <w:color w:val="111111"/>
          <w:sz w:val="28"/>
          <w:szCs w:val="28"/>
          <w:rtl/>
        </w:rPr>
        <w:t xml:space="preserve">خط: نستعلیق، بی کا، تا: ۱۲۵۵ق؛ جلد: تیماج عنابی، ۲۱ سطر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 اندازه: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۲۵سم [ف: ۱ - ۵۲۳]</w:t>
      </w:r>
    </w:p>
    <w:p>
      <w:pPr>
        <w:pStyle w:val="Heading3"/>
      </w:pPr>
      <w:bookmarkStart w:id="2139" w:name="_Toc1661"/>
      <w:r>
        <w:t>الاشکنوانیه / شعر / عربی</w:t>
      </w:r>
      <w:bookmarkEnd w:id="2139"/>
    </w:p>
    <w:p>
      <w:pPr>
        <w:pStyle w:val="BookText"/>
      </w:pPr>
      <w:r>
        <w:rPr>
          <w:rFonts w:ascii="Times New Roman" w:hAnsi="Times New Roman" w:eastAsia="Times New Roman" w:cs="Times New Roman"/>
          <w:lang w:val="en-US" w:bidi="en-US"/>
          <w:color w:val="111111"/>
          <w:sz w:val="28"/>
          <w:szCs w:val="28"/>
          <w:rtl/>
        </w:rPr>
        <w:t xml:space="preserve">al-iškanvānīyya</w:t>
      </w:r>
    </w:p>
    <w:p>
      <w:pPr>
        <w:pStyle w:val="BookText"/>
      </w:pPr>
      <w:r>
        <w:rPr>
          <w:rFonts w:ascii="IRNazanin" w:hAnsi="IRNazanin" w:eastAsia="IRNazanin" w:cs="IRNazanin"/>
          <w:lang w:bidi="fa-IR"/>
          <w:color w:val="111111"/>
          <w:sz w:val="28"/>
          <w:szCs w:val="28"/>
          <w:rtl/>
        </w:rPr>
        <w:t xml:space="preserve">جمال ابزری، حسین بن حسن، ق ۸ قمری</w:t>
      </w:r>
    </w:p>
    <w:p>
      <w:pPr>
        <w:pStyle w:val="BookText"/>
      </w:pPr>
      <w:r>
        <w:rPr>
          <w:rFonts w:ascii="Times New Roman" w:hAnsi="Times New Roman" w:eastAsia="Times New Roman" w:cs="Times New Roman"/>
          <w:lang w:val="en-US" w:bidi="en-US"/>
          <w:color w:val="111111"/>
          <w:sz w:val="28"/>
          <w:szCs w:val="28"/>
          <w:rtl/>
        </w:rPr>
        <w:t xml:space="preserve">(jamāl-e abzarī, hoseyn ebn-e hasan (- 14c)</w:t>
      </w:r>
    </w:p>
    <w:p>
      <w:pPr>
        <w:pStyle w:val="BookText"/>
      </w:pPr>
      <w:r>
        <w:rPr>
          <w:rFonts w:ascii="IRNazanin" w:hAnsi="IRNazanin" w:eastAsia="IRNazanin" w:cs="IRNazanin"/>
          <w:lang w:bidi="fa-IR"/>
          <w:color w:val="111111"/>
          <w:sz w:val="28"/>
          <w:szCs w:val="28"/>
          <w:rtl/>
        </w:rPr>
        <w:t xml:space="preserve">تهران؛ ملک؛ شماره نسخه: ۸۴۷/۸</w:t>
      </w:r>
    </w:p>
    <w:p>
      <w:pPr>
        <w:pStyle w:val="BookText"/>
      </w:pPr>
      <w:r>
        <w:rPr>
          <w:rFonts w:ascii="IRNazanin" w:hAnsi="IRNazanin" w:eastAsia="IRNazanin" w:cs="IRNazanin"/>
          <w:lang w:bidi="fa-IR"/>
          <w:color w:val="111111"/>
          <w:sz w:val="28"/>
          <w:szCs w:val="28"/>
          <w:rtl/>
        </w:rPr>
        <w:t xml:space="preserve">کا: کا: محمد سعید بن میرزا محمد نایینی ،تا: شب غدیر ۱۲۶۹ق، جا: قزوين؛ كاغذ: فرنگی آهار مهره، جلد: میشن قهوه ای لایی، 3گ (۸۹ر-۹۲پ) ۱۳ سطر، اندازه: ۱۱/۳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۱۸/۱سم [ف: ۵ - ۲۰۹]</w:t>
      </w:r>
    </w:p>
    <w:p>
      <w:pPr>
        <w:pStyle w:val="Heading3"/>
      </w:pPr>
      <w:bookmarkStart w:id="2140" w:name="_Toc1662"/>
      <w:r>
        <w:t>اشمام و روم و اسکان (فائده در بیان / فارسی</w:t>
      </w:r>
      <w:bookmarkEnd w:id="2140"/>
    </w:p>
    <w:p>
      <w:pPr>
        <w:pStyle w:val="BookText"/>
      </w:pPr>
      <w:r>
        <w:rPr>
          <w:rFonts w:ascii="Times New Roman" w:hAnsi="Times New Roman" w:eastAsia="Times New Roman" w:cs="Times New Roman"/>
          <w:lang w:val="en-US" w:bidi="en-US"/>
          <w:color w:val="111111"/>
          <w:sz w:val="28"/>
          <w:szCs w:val="28"/>
          <w:rtl/>
        </w:rPr>
        <w:t xml:space="preserve">(išmām va rūm va iskān (fā’ede dar bayān-e)
</w:t>
      </w:r>
    </w:p>
    <w:p>
      <w:pPr>
        <w:sectPr>
          <w:footerReference w:type="default" r:id="rId1035"/>
          <w:footnotePr>
            <w:numStart w:val="1"/>
            <w:numRestart w:val="eachPage"/>
          </w:footnotePr>
          <w:pgSz w:orient="portrait" w:w="11905.511811023622" w:h="16837.79527559055"/>
          <w:pgMar w:top="1440" w:right="1440" w:bottom="1440" w:left="1440" w:header="720" w:footer="720" w:gutter="0"/>
          <w:cols w:num="1" w:space="720"/>
        </w:sectPr>
      </w:pPr>
    </w:p>
    <w:bookmarkStart w:id="478" w:name="pg20365_260971"/>
    <w:bookmarkEnd w:id="478"/>
    <w:p>
      <w:pPr>
        <w:pStyle w:val="BookText"/>
      </w:pPr>
      <w:r>
        <w:rPr>
          <w:rFonts w:ascii="IRNazanin" w:hAnsi="IRNazanin" w:eastAsia="IRNazanin" w:cs="IRNazanin"/>
          <w:lang w:bidi="fa-IR"/>
          <w:color w:val="111111"/>
          <w:sz w:val="28"/>
          <w:szCs w:val="28"/>
          <w:rtl/>
        </w:rPr>
        <w:t xml:space="preserve">مشهد؛ رضوی؛ شماره نسخه: ۱۶۱۷۲/۲</w:t>
      </w:r>
    </w:p>
    <w:p>
      <w:pPr>
        <w:pStyle w:val="BookText"/>
      </w:pPr>
      <w:r>
        <w:rPr>
          <w:rFonts w:ascii="IRNazanin" w:hAnsi="IRNazanin" w:eastAsia="IRNazanin" w:cs="IRNazanin"/>
          <w:lang w:bidi="fa-IR"/>
          <w:color w:val="111111"/>
          <w:sz w:val="28"/>
          <w:szCs w:val="28"/>
          <w:rtl/>
        </w:rPr>
        <w:t xml:space="preserve">آغاز: تاء تانیثی که موقوفست به هاء روم و اشمام اندران نبود؛</w:t>
      </w:r>
    </w:p>
    <w:p>
      <w:pPr>
        <w:pStyle w:val="BookText"/>
      </w:pPr>
      <w:r>
        <w:rPr>
          <w:rFonts w:ascii="IRNazanin" w:hAnsi="IRNazanin" w:eastAsia="IRNazanin" w:cs="IRNazanin"/>
          <w:lang w:bidi="fa-IR"/>
          <w:color w:val="111111"/>
          <w:sz w:val="28"/>
          <w:szCs w:val="28"/>
          <w:rtl/>
        </w:rPr>
        <w:t xml:space="preserve">انجام: در حالت سکون صحیح است و دروی نیست بحثی والله اعلم بحقايق الامور</w:t>
      </w:r>
    </w:p>
    <w:p>
      <w:pPr>
        <w:pStyle w:val="BookText"/>
      </w:pPr>
      <w:r>
        <w:rPr>
          <w:rFonts w:ascii="IRNazanin" w:hAnsi="IRNazanin" w:eastAsia="IRNazanin" w:cs="IRNazanin"/>
          <w:lang w:bidi="fa-IR"/>
          <w:color w:val="111111"/>
          <w:sz w:val="28"/>
          <w:szCs w:val="28"/>
          <w:rtl/>
        </w:rPr>
        <w:t xml:space="preserve">خط: نسخ، بی کا، تا: شنبه منتصف ربیع الثانی ۱۰۵۵ق؛ واگذاری بنیاد جانبازان تهران در ۱۳۶۷ شمسی؛ کاغذ: نباتی و نخودی آهار مهره، جلد: تیماج ضربی خرمایی، ۲گ، ۱۶ سطر، اندازه: ۱۱/۷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۱۸/۴سم [ف : ۲۳ - ۱۲۳]</w:t>
      </w:r>
    </w:p>
    <w:p>
      <w:pPr>
        <w:pStyle w:val="Heading3"/>
      </w:pPr>
      <w:bookmarkStart w:id="2141" w:name="_Toc1663"/>
      <w:r>
        <w:t>الاشهاد في الطلاق / فقه / عربي</w:t>
      </w:r>
      <w:bookmarkEnd w:id="2141"/>
    </w:p>
    <w:p>
      <w:pPr>
        <w:pStyle w:val="BookText"/>
      </w:pPr>
      <w:r>
        <w:rPr>
          <w:rFonts w:ascii="Times New Roman" w:hAnsi="Times New Roman" w:eastAsia="Times New Roman" w:cs="Times New Roman"/>
          <w:lang w:val="en-US" w:bidi="en-US"/>
          <w:color w:val="111111"/>
          <w:sz w:val="28"/>
          <w:szCs w:val="28"/>
          <w:rtl/>
        </w:rPr>
        <w:t xml:space="preserve">al-išhād fi-ṭ-ṭalāq</w:t>
      </w:r>
    </w:p>
    <w:p>
      <w:pPr>
        <w:pStyle w:val="BookText"/>
      </w:pPr>
      <w:r>
        <w:rPr>
          <w:rFonts w:ascii="IRNazanin" w:hAnsi="IRNazanin" w:eastAsia="IRNazanin" w:cs="IRNazanin"/>
          <w:lang w:bidi="fa-IR"/>
          <w:color w:val="111111"/>
          <w:sz w:val="28"/>
          <w:szCs w:val="28"/>
          <w:rtl/>
        </w:rPr>
        <w:t xml:space="preserve">جزایری، عبدالنبی بن سعد، – ۱۰۲۱ قمری</w:t>
      </w:r>
    </w:p>
    <w:p>
      <w:pPr>
        <w:pStyle w:val="BookText"/>
      </w:pPr>
      <w:r>
        <w:rPr>
          <w:rFonts w:ascii="Times New Roman" w:hAnsi="Times New Roman" w:eastAsia="Times New Roman" w:cs="Times New Roman"/>
          <w:lang w:val="en-US" w:bidi="en-US"/>
          <w:color w:val="111111"/>
          <w:sz w:val="28"/>
          <w:szCs w:val="28"/>
          <w:rtl/>
        </w:rPr>
        <w:t xml:space="preserve">(jazāyerī, ‘abd-on-nabī-ye-bn-e sa‘d (- 1613)</w:t>
      </w:r>
    </w:p>
    <w:p>
      <w:pPr>
        <w:pStyle w:val="BookText"/>
      </w:pPr>
      <w:r>
        <w:rPr>
          <w:rFonts w:ascii="IRNazanin" w:hAnsi="IRNazanin" w:eastAsia="IRNazanin" w:cs="IRNazanin"/>
          <w:lang w:bidi="fa-IR"/>
          <w:color w:val="111111"/>
          <w:sz w:val="28"/>
          <w:szCs w:val="28"/>
          <w:rtl/>
        </w:rPr>
        <w:t xml:space="preserve">تحقیقی است استدلالی درباره وجوب شهادت دو شاهد عادل در صحت طلاق، دنباله حاشیه سید محمد عاملی بر این مسئله در مختصر نافع که ابن شدقم در آن گفتگو کرده و جزائری آن بحث ها را جرح و تعدیل می نماید</w:t>
      </w:r>
    </w:p>
    <w:p>
      <w:pPr>
        <w:pStyle w:val="BookText"/>
      </w:pPr>
      <w:r>
        <w:rPr>
          <w:rFonts w:ascii="IRNazanin" w:hAnsi="IRNazanin" w:eastAsia="IRNazanin" w:cs="IRNazanin"/>
          <w:lang w:bidi="fa-IR"/>
          <w:color w:val="111111"/>
          <w:sz w:val="28"/>
          <w:szCs w:val="28"/>
          <w:rtl/>
        </w:rPr>
        <w:t xml:space="preserve">آغاز: نحمدک محق الحق بكلماته و هو بالحمد حقيق ... وبعد فهذه نبذة في تحقيق بعض مسائل الطلاق</w:t>
      </w:r>
    </w:p>
    <w:p>
      <w:pPr>
        <w:pStyle w:val="BookText"/>
      </w:pPr>
      <w:r>
        <w:rPr>
          <w:rFonts w:ascii="Amiri" w:hAnsi="Amiri" w:eastAsia="Amiri" w:cs="Amiri"/>
          <w:lang w:bidi="ar-SA"/>
          <w:color w:val="111111"/>
          <w:sz w:val="28"/>
          <w:szCs w:val="28"/>
          <w:rtl/>
        </w:rPr>
        <w:t xml:space="preserve">انجام: و لم يتعرض للمطالقة و الامر فى ذلك سهل بعد العلم بالمقصود و الحمدلله وحده</w:t>
      </w:r>
    </w:p>
    <w:p>
      <w:pPr>
        <w:pStyle w:val="BookText"/>
      </w:pPr>
      <w:r>
        <w:rPr>
          <w:rFonts w:ascii="IRNazanin" w:hAnsi="IRNazanin" w:eastAsia="IRNazanin" w:cs="IRNazanin"/>
          <w:lang w:bidi="fa-IR"/>
          <w:color w:val="111111"/>
          <w:sz w:val="28"/>
          <w:szCs w:val="28"/>
          <w:rtl/>
        </w:rPr>
        <w:t xml:space="preserve">قم؛ مرعشی؛ شماره نسخه: ۶۶۶۲/۶</w:t>
      </w:r>
    </w:p>
    <w:p>
      <w:pPr>
        <w:pStyle w:val="BookText"/>
      </w:pPr>
      <w:r>
        <w:rPr>
          <w:rFonts w:ascii="IRNazanin" w:hAnsi="IRNazanin" w:eastAsia="IRNazanin" w:cs="IRNazanin"/>
          <w:lang w:bidi="fa-IR"/>
          <w:color w:val="111111"/>
          <w:sz w:val="28"/>
          <w:szCs w:val="28"/>
          <w:rtl/>
        </w:rPr>
        <w:t xml:space="preserve">آغاز: نحمدک محق الحق بكلماته و هو بالحمد حقيق...وبعد فهذه نبذة في تحقيق بعض مسائل الطلاق؛ انجام: و لم يتعرض للمطالقة و الامر فى ذلك سهل بعد العلم بالمقصود و الحمـدلله وحده</w:t>
      </w:r>
    </w:p>
    <w:p>
      <w:pPr>
        <w:pStyle w:val="BookText"/>
      </w:pPr>
      <w:r>
        <w:rPr>
          <w:rFonts w:ascii="IRNazanin" w:hAnsi="IRNazanin" w:eastAsia="IRNazanin" w:cs="IRNazanin"/>
          <w:lang w:bidi="fa-IR"/>
          <w:color w:val="111111"/>
          <w:sz w:val="28"/>
          <w:szCs w:val="28"/>
          <w:rtl/>
        </w:rPr>
        <w:t xml:space="preserve">خط: نسخ، بی کا، تا: قرن ۱۱؛ به خط ابن شدقم تصحيح شـده ؛جلد: تيماج قهوه ای، ۶گ (۱۷۷ر-۱۸۳پ)، ۱۹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 [ف : ۱۷ - ۲۲۷]</w:t>
      </w:r>
    </w:p>
    <w:p>
      <w:pPr>
        <w:pStyle w:val="Heading3"/>
      </w:pPr>
      <w:bookmarkStart w:id="2142" w:name="_Toc1664"/>
      <w:r>
        <w:t>اشهر اللغات / لغت / فارسی</w:t>
      </w:r>
      <w:bookmarkEnd w:id="2142"/>
    </w:p>
    <w:p>
      <w:pPr>
        <w:pStyle w:val="BookText"/>
      </w:pPr>
      <w:r>
        <w:rPr>
          <w:rFonts w:ascii="Times New Roman" w:hAnsi="Times New Roman" w:eastAsia="Times New Roman" w:cs="Times New Roman"/>
          <w:lang w:val="en-US" w:bidi="en-US"/>
          <w:color w:val="111111"/>
          <w:sz w:val="28"/>
          <w:szCs w:val="28"/>
          <w:rtl/>
        </w:rPr>
        <w:t xml:space="preserve">ašhar-ol-loqāt</w:t>
      </w:r>
    </w:p>
    <w:p>
      <w:pPr>
        <w:pStyle w:val="BookText"/>
      </w:pPr>
      <w:r>
        <w:rPr>
          <w:rFonts w:ascii="IRNazanin" w:hAnsi="IRNazanin" w:eastAsia="IRNazanin" w:cs="IRNazanin"/>
          <w:lang w:bidi="fa-IR"/>
          <w:color w:val="111111"/>
          <w:sz w:val="28"/>
          <w:szCs w:val="28"/>
          <w:rtl/>
        </w:rPr>
        <w:t xml:space="preserve">صدیقی، غلام الله بهیکهن، ق ۱۱ قمری</w:t>
      </w:r>
    </w:p>
    <w:p>
      <w:pPr>
        <w:pStyle w:val="BookText"/>
      </w:pPr>
      <w:r>
        <w:rPr>
          <w:rFonts w:ascii="Times New Roman" w:hAnsi="Times New Roman" w:eastAsia="Times New Roman" w:cs="Times New Roman"/>
          <w:lang w:val="en-US" w:bidi="en-US"/>
          <w:color w:val="111111"/>
          <w:sz w:val="28"/>
          <w:szCs w:val="28"/>
          <w:rtl/>
        </w:rPr>
        <w:t xml:space="preserve">(sadīqī, qolām-ol-lāh behīkohan (- 17c)</w:t>
      </w:r>
    </w:p>
    <w:p>
      <w:pPr>
        <w:pStyle w:val="BookText"/>
      </w:pPr>
      <w:r>
        <w:rPr>
          <w:rFonts w:ascii="IRNazanin" w:hAnsi="IRNazanin" w:eastAsia="IRNazanin" w:cs="IRNazanin"/>
          <w:lang w:bidi="fa-IR"/>
          <w:color w:val="111111"/>
          <w:sz w:val="28"/>
          <w:szCs w:val="28"/>
          <w:rtl/>
        </w:rPr>
        <w:t xml:space="preserve">اهداء به: ابو الظفر محمد اورنگ زیب بهادر</w:t>
      </w:r>
    </w:p>
    <w:p>
      <w:pPr>
        <w:pStyle w:val="BookText"/>
      </w:pPr>
      <w:r>
        <w:rPr>
          <w:rFonts w:ascii="IRNazanin" w:hAnsi="IRNazanin" w:eastAsia="IRNazanin" w:cs="IRNazanin"/>
          <w:lang w:bidi="fa-IR"/>
          <w:color w:val="111111"/>
          <w:sz w:val="28"/>
          <w:szCs w:val="28"/>
          <w:rtl/>
        </w:rPr>
        <w:t xml:space="preserve">تاریخ تأليف: = عجایب نسخه در ولالی» ۱۰۸۲ق</w:t>
      </w:r>
    </w:p>
    <w:p>
      <w:pPr>
        <w:pStyle w:val="BookText"/>
      </w:pPr>
      <w:r>
        <w:rPr>
          <w:rFonts w:ascii="IRNazanin" w:hAnsi="IRNazanin" w:eastAsia="IRNazanin" w:cs="IRNazanin"/>
          <w:lang w:bidi="fa-IR"/>
          <w:color w:val="111111"/>
          <w:sz w:val="28"/>
          <w:szCs w:val="28"/>
          <w:rtl/>
        </w:rPr>
        <w:t xml:space="preserve">فرهنگ لغات و اصطلاحاتی است که در شعر و نوشته ها به کار برده می شوند و در کتاب های لغت و شرح دواوین و جز اینها آمده و مؤلف نام آنها را در سر آغاز خود آورده است. ا ین کتاب به ترتیب آغاز لغات در ابواب با ملاحظه پایان آنها تنظیم شده است</w:t>
      </w:r>
    </w:p>
    <w:p>
      <w:pPr>
        <w:pStyle w:val="BookText"/>
      </w:pPr>
      <w:r>
        <w:rPr>
          <w:rFonts w:ascii="IRNazanin" w:hAnsi="IRNazanin" w:eastAsia="IRNazanin" w:cs="IRNazanin"/>
          <w:lang w:bidi="fa-IR"/>
          <w:color w:val="111111"/>
          <w:sz w:val="28"/>
          <w:szCs w:val="28"/>
          <w:rtl/>
        </w:rPr>
        <w:t xml:space="preserve">آغاز: حمد بیحد و ثناى بيعد مرخالق الخلقى راكه وجود بشر را از جمله موجودات مراتب اعلی</w:t>
      </w:r>
    </w:p>
    <w:p>
      <w:pPr>
        <w:pStyle w:val="BookText"/>
      </w:pPr>
      <w:r>
        <w:rPr>
          <w:rFonts w:ascii="IRNazanin" w:hAnsi="IRNazanin" w:eastAsia="IRNazanin" w:cs="IRNazanin"/>
          <w:lang w:bidi="fa-IR"/>
          <w:color w:val="111111"/>
          <w:sz w:val="28"/>
          <w:szCs w:val="28"/>
          <w:rtl/>
        </w:rPr>
        <w:t xml:space="preserve">قم؛ مرعشی؛ شماره نسخه: ۶۸۰۸</w:t>
      </w:r>
    </w:p>
    <w:p>
      <w:pPr>
        <w:pStyle w:val="BookText"/>
      </w:pPr>
      <w:r>
        <w:rPr>
          <w:rFonts w:ascii="IRNazanin" w:hAnsi="IRNazanin" w:eastAsia="IRNazanin" w:cs="IRNazanin"/>
          <w:lang w:bidi="fa-IR"/>
          <w:color w:val="111111"/>
          <w:sz w:val="28"/>
          <w:szCs w:val="28"/>
          <w:rtl/>
        </w:rPr>
        <w:t xml:space="preserve">آغاز: برابر؛ انجام: عهد و میثاق بمقتضاى غراى الكريم اذا وعد وفی</w:t>
      </w:r>
    </w:p>
    <w:p>
      <w:pPr>
        <w:pStyle w:val="BookText"/>
      </w:pPr>
      <w:r>
        <w:rPr>
          <w:rFonts w:ascii="IRNazanin" w:hAnsi="IRNazanin" w:eastAsia="IRNazanin" w:cs="IRNazanin"/>
          <w:lang w:bidi="fa-IR"/>
          <w:color w:val="111111"/>
          <w:sz w:val="28"/>
          <w:szCs w:val="28"/>
          <w:rtl/>
        </w:rPr>
        <w:t xml:space="preserve">خط: نستعلیق، بی کا، تا: دوشنبه ۱۶ جمادی الثانی ۱۱۴۹ق، مطابق نوزدهمین سال جلوس محمد شاه غازی؛ مجدول، روی برگ اول چند یادداشت به تاریخ ۱۲۸۰ و ۱۲۹۵؛ جلد: مقوایی عطف تیماج قهوه ای، ۵۵۶گ، ۲۵ سطر،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۳۲سم [ف : ۱۸ - ۸]</w:t>
      </w:r>
    </w:p>
    <w:p>
      <w:pPr>
        <w:pStyle w:val="BookText"/>
      </w:pPr>
      <w:r>
        <w:rPr>
          <w:rFonts w:ascii="Amiri" w:hAnsi="Amiri" w:eastAsia="Amiri" w:cs="Amiri"/>
          <w:lang w:bidi="ar-SA"/>
          <w:color w:val="111111"/>
          <w:sz w:val="28"/>
          <w:szCs w:val="28"/>
          <w:rtl/>
        </w:rPr>
        <w:t xml:space="preserve">« الاشياء » الاصل في الاشياء</w:t>
      </w:r>
    </w:p>
    <w:p>
      <w:pPr>
        <w:pStyle w:val="BookText"/>
      </w:pPr>
      <w:r>
        <w:rPr>
          <w:rFonts w:ascii="Amiri" w:hAnsi="Amiri" w:eastAsia="Amiri" w:cs="Amiri"/>
          <w:lang w:bidi="ar-SA"/>
          <w:color w:val="111111"/>
          <w:sz w:val="28"/>
          <w:szCs w:val="28"/>
          <w:rtl/>
        </w:rPr>
        <w:t xml:space="preserve">«الاشياء التي يحتاج قبل الفسفة كتاب في) » فيما ينبغي ان يقدم قبل تعلم الفلسفة</w:t>
      </w:r>
    </w:p>
    <w:p>
      <w:pPr>
        <w:pStyle w:val="Heading3"/>
      </w:pPr>
      <w:bookmarkStart w:id="2143" w:name="_Toc1665"/>
      <w:r>
        <w:t>الاشياء المقوية للشعر / طب / فارسی-عربی</w:t>
      </w:r>
      <w:bookmarkEnd w:id="2143"/>
    </w:p>
    <w:p>
      <w:pPr>
        <w:pStyle w:val="BookText"/>
      </w:pPr>
      <w:r>
        <w:rPr>
          <w:rFonts w:ascii="Times New Roman" w:hAnsi="Times New Roman" w:eastAsia="Times New Roman" w:cs="Times New Roman"/>
          <w:lang w:val="en-US" w:bidi="en-US"/>
          <w:color w:val="111111"/>
          <w:sz w:val="28"/>
          <w:szCs w:val="28"/>
          <w:rtl/>
        </w:rPr>
        <w:t xml:space="preserve">al-ašyā'-ul-muqawwīya li-š-ši'r</w:t>
      </w:r>
    </w:p>
    <w:p>
      <w:pPr>
        <w:pStyle w:val="BookText"/>
      </w:pPr>
      <w:r>
        <w:rPr>
          <w:rFonts w:ascii="IRNazanin" w:hAnsi="IRNazanin" w:eastAsia="IRNazanin" w:cs="IRNazanin"/>
          <w:lang w:bidi="fa-IR"/>
          <w:color w:val="111111"/>
          <w:sz w:val="28"/>
          <w:szCs w:val="28"/>
          <w:rtl/>
        </w:rPr>
        <w:t xml:space="preserve">تهران؛ ملک؛ شماره نسخه: ۴۷۸۴/۵</w:t>
      </w:r>
    </w:p>
    <w:p>
      <w:pPr>
        <w:pStyle w:val="BookText"/>
      </w:pPr>
      <w:r>
        <w:rPr>
          <w:rFonts w:ascii="IRNazanin" w:hAnsi="IRNazanin" w:eastAsia="IRNazanin" w:cs="IRNazanin"/>
          <w:lang w:bidi="fa-IR"/>
          <w:color w:val="111111"/>
          <w:sz w:val="28"/>
          <w:szCs w:val="28"/>
          <w:rtl/>
        </w:rPr>
        <w:t xml:space="preserve">خط: نسخ، کا: محمد بن شمس الدين بن حسن نجار استرآبادی، تا: ۱۲ صفر ۹۵۲ق، جا: دولت آباد ؛کاغذ: ترمه ،جلد: میشن قرمز ،ضربی ،3ص، ۲۳ سطر، اندازه: ۱۷/۸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۲۸/۸سم [ف: ۸ - ۸۹]</w:t>
      </w:r>
    </w:p>
    <w:p>
      <w:pPr>
        <w:pStyle w:val="Heading3"/>
      </w:pPr>
      <w:bookmarkStart w:id="2144" w:name="_Toc1666"/>
      <w:r>
        <w:t>اشیاء متفرقه (رساله در) / متفرقه / فارسی</w:t>
      </w:r>
      <w:bookmarkEnd w:id="2144"/>
    </w:p>
    <w:p>
      <w:pPr>
        <w:pStyle w:val="BookText"/>
      </w:pPr>
      <w:r>
        <w:rPr>
          <w:rFonts w:ascii="Times New Roman" w:hAnsi="Times New Roman" w:eastAsia="Times New Roman" w:cs="Times New Roman"/>
          <w:lang w:val="en-US" w:bidi="en-US"/>
          <w:color w:val="111111"/>
          <w:sz w:val="28"/>
          <w:szCs w:val="28"/>
          <w:rtl/>
        </w:rPr>
        <w:t xml:space="preserve">(ašyā'-e motefarreqe (r. dar)</w:t>
      </w:r>
    </w:p>
    <w:p>
      <w:pPr>
        <w:pStyle w:val="BookText"/>
      </w:pPr>
      <w:r>
        <w:rPr>
          <w:rFonts w:ascii="IRNazanin" w:hAnsi="IRNazanin" w:eastAsia="IRNazanin" w:cs="IRNazanin"/>
          <w:lang w:bidi="fa-IR"/>
          <w:color w:val="111111"/>
          <w:sz w:val="28"/>
          <w:szCs w:val="28"/>
          <w:rtl/>
        </w:rPr>
        <w:t xml:space="preserve">رساله مختصری است در برخی از فواید پراکنده در قلع آثار و راندن حيوانات موذی و .....</w:t>
      </w:r>
    </w:p>
    <w:p>
      <w:pPr>
        <w:pStyle w:val="BookText"/>
      </w:pPr>
      <w:r>
        <w:rPr>
          <w:rFonts w:ascii="IRNazanin" w:hAnsi="IRNazanin" w:eastAsia="IRNazanin" w:cs="IRNazanin"/>
          <w:lang w:bidi="fa-IR"/>
          <w:color w:val="111111"/>
          <w:sz w:val="28"/>
          <w:szCs w:val="28"/>
          <w:rtl/>
        </w:rPr>
        <w:t xml:space="preserve">تهران؛ مجلس؛ شماره نسخه: ۶۶۴۵/۲۹</w:t>
      </w:r>
    </w:p>
    <w:p>
      <w:pPr>
        <w:pStyle w:val="BookText"/>
      </w:pPr>
      <w:r>
        <w:rPr>
          <w:rFonts w:ascii="IRNazanin" w:hAnsi="IRNazanin" w:eastAsia="IRNazanin" w:cs="IRNazanin"/>
          <w:lang w:bidi="fa-IR"/>
          <w:color w:val="111111"/>
          <w:sz w:val="28"/>
          <w:szCs w:val="28"/>
          <w:rtl/>
        </w:rPr>
        <w:t xml:space="preserve">آغاز: الحمد لله رب العالمین ... اما بعد این رساله ای است که چیزهای متفرقه از هر باب جمع کرده شده و مرتب بر چند فصل گشته؛ انجام: شاهدانه هندی مقشر و در زمین پاشند و آب بروی ریزند و یک ساعت صبر کنند در حال بروید.</w:t>
      </w:r>
    </w:p>
    <w:p>
      <w:pPr>
        <w:pStyle w:val="BookText"/>
      </w:pPr>
      <w:r>
        <w:rPr>
          <w:rFonts w:ascii="IRNazanin" w:hAnsi="IRNazanin" w:eastAsia="IRNazanin" w:cs="IRNazanin"/>
          <w:lang w:bidi="fa-IR"/>
          <w:color w:val="111111"/>
          <w:sz w:val="28"/>
          <w:szCs w:val="28"/>
          <w:rtl/>
        </w:rPr>
        <w:t xml:space="preserve">خط: نستعلیق زیبا، بی کا، تا: قرن ۱۳ ،مجدول، در حاشیه به چلیپا ؛جلد: تیماج تریاکی ترنج و سر ترنج دار ضربی، ۴گ (۴۳۶-۴۴۰ حاشیه) ۱۸ سطر، اندازه: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 [ف : ۲۰ - ۱۷۵]
</w:t>
      </w:r>
    </w:p>
    <w:p>
      <w:pPr>
        <w:sectPr>
          <w:footerReference w:type="default" r:id="rId103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footer2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801</w:t>
    </w:r>
  </w:p>
</w:ftr>
</file>

<file path=word/footer2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802</w:t>
    </w:r>
  </w:p>
</w:ftr>
</file>

<file path=word/footer2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803</w:t>
    </w:r>
  </w:p>
</w:ftr>
</file>

<file path=word/footer2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804</w:t>
    </w:r>
  </w:p>
</w:ftr>
</file>

<file path=word/footer2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805</w:t>
    </w:r>
  </w:p>
</w:ftr>
</file>

<file path=word/footer2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806</w:t>
    </w:r>
  </w:p>
</w:ftr>
</file>

<file path=word/footer2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807</w:t>
    </w:r>
  </w:p>
</w:ftr>
</file>

<file path=word/footer2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808</w:t>
    </w:r>
  </w:p>
</w:ftr>
</file>

<file path=word/footer2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809</w:t>
    </w:r>
  </w:p>
</w:ftr>
</file>

<file path=word/footer2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810</w:t>
    </w:r>
  </w:p>
</w:ftr>
</file>

<file path=word/footer2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811</w:t>
    </w:r>
  </w:p>
</w:ftr>
</file>

<file path=word/footer2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812</w:t>
    </w:r>
  </w:p>
</w:ftr>
</file>

<file path=word/footer2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813</w:t>
    </w:r>
  </w:p>
</w:ftr>
</file>

<file path=word/footer2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814</w:t>
    </w:r>
  </w:p>
</w:ftr>
</file>

<file path=word/footer2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815</w:t>
    </w:r>
  </w:p>
</w:ftr>
</file>

<file path=word/footer2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816</w:t>
    </w:r>
  </w:p>
</w:ftr>
</file>

<file path=word/footer2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817</w:t>
    </w:r>
  </w:p>
</w:ftr>
</file>

<file path=word/footer2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818</w:t>
    </w:r>
  </w:p>
</w:ftr>
</file>

<file path=word/footer2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819</w:t>
    </w:r>
  </w:p>
</w:ftr>
</file>

<file path=word/footer2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820</w:t>
    </w:r>
  </w:p>
</w:ftr>
</file>

<file path=word/footer2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821</w:t>
    </w:r>
  </w:p>
</w:ftr>
</file>

<file path=word/footer2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822</w:t>
    </w:r>
  </w:p>
</w:ftr>
</file>

<file path=word/footer2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823</w:t>
    </w:r>
  </w:p>
</w:ftr>
</file>

<file path=word/footer2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824</w:t>
    </w:r>
  </w:p>
</w:ftr>
</file>

<file path=word/footer2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825</w:t>
    </w:r>
  </w:p>
</w:ftr>
</file>

<file path=word/footer2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826</w:t>
    </w:r>
  </w:p>
</w:ftr>
</file>

<file path=word/footer2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827</w:t>
    </w:r>
  </w:p>
</w:ftr>
</file>

<file path=word/footer2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828</w:t>
    </w:r>
  </w:p>
</w:ftr>
</file>

<file path=word/footer2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829</w:t>
    </w:r>
  </w:p>
</w:ftr>
</file>

<file path=word/footer2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830</w:t>
    </w:r>
  </w:p>
</w:ftr>
</file>

<file path=word/footer2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831</w:t>
    </w:r>
  </w:p>
</w:ftr>
</file>

<file path=word/footer2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832</w:t>
    </w:r>
  </w:p>
</w:ftr>
</file>

<file path=word/footer2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833</w:t>
    </w:r>
  </w:p>
</w:ftr>
</file>

<file path=word/footer2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834</w:t>
    </w:r>
  </w:p>
</w:ftr>
</file>

<file path=word/footer2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835</w:t>
    </w:r>
  </w:p>
</w:ftr>
</file>

<file path=word/footer25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836</w:t>
    </w:r>
  </w:p>
</w:ftr>
</file>

<file path=word/footer25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837</w:t>
    </w:r>
  </w:p>
</w:ftr>
</file>

<file path=word/footer25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838</w:t>
    </w:r>
  </w:p>
</w:ftr>
</file>

<file path=word/footer25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839</w:t>
    </w:r>
  </w:p>
</w:ftr>
</file>

<file path=word/footer25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840</w:t>
    </w:r>
  </w:p>
</w:ftr>
</file>

<file path=word/footer25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841</w:t>
    </w:r>
  </w:p>
</w:ftr>
</file>

<file path=word/footer25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842</w:t>
    </w:r>
  </w:p>
</w:ftr>
</file>

<file path=word/footer25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843</w:t>
    </w:r>
  </w:p>
</w:ftr>
</file>

<file path=word/footer25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844</w:t>
    </w:r>
  </w:p>
</w:ftr>
</file>

<file path=word/footer25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845</w:t>
    </w:r>
  </w:p>
</w:ftr>
</file>

<file path=word/footer25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846</w:t>
    </w:r>
  </w:p>
</w:ftr>
</file>

<file path=word/footer25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847</w:t>
    </w:r>
  </w:p>
</w:ftr>
</file>

<file path=word/footer25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848</w:t>
    </w:r>
  </w:p>
</w:ftr>
</file>

<file path=word/footer25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849</w:t>
    </w:r>
  </w:p>
</w:ftr>
</file>

<file path=word/footer25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850</w:t>
    </w:r>
  </w:p>
</w:ftr>
</file>

<file path=word/footer25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851</w:t>
    </w:r>
  </w:p>
</w:ftr>
</file>

<file path=word/footer25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852</w:t>
    </w:r>
  </w:p>
</w:ftr>
</file>

<file path=word/footer25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853</w:t>
    </w:r>
  </w:p>
</w:ftr>
</file>

<file path=word/footer25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854</w:t>
    </w:r>
  </w:p>
</w:ftr>
</file>

<file path=word/footer25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855</w:t>
    </w:r>
  </w:p>
</w:ftr>
</file>

<file path=word/footer25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856</w:t>
    </w:r>
  </w:p>
</w:ftr>
</file>

<file path=word/footer25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857</w:t>
    </w:r>
  </w:p>
</w:ftr>
</file>

<file path=word/footer25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858</w:t>
    </w:r>
  </w:p>
</w:ftr>
</file>

<file path=word/footer25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859</w:t>
    </w:r>
  </w:p>
</w:ftr>
</file>

<file path=word/footer25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860</w:t>
    </w:r>
  </w:p>
</w:ftr>
</file>

<file path=word/footer25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861</w:t>
    </w:r>
  </w:p>
</w:ftr>
</file>

<file path=word/footer25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862</w:t>
    </w:r>
  </w:p>
</w:ftr>
</file>

<file path=word/footer25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863</w:t>
    </w:r>
  </w:p>
</w:ftr>
</file>

<file path=word/footer25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864</w:t>
    </w:r>
  </w:p>
</w:ftr>
</file>

<file path=word/footer25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865</w:t>
    </w:r>
  </w:p>
</w:ftr>
</file>

<file path=word/footer26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866</w:t>
    </w:r>
  </w:p>
</w:ftr>
</file>

<file path=word/footer26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867</w:t>
    </w:r>
  </w:p>
</w:ftr>
</file>

<file path=word/footer26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868</w:t>
    </w:r>
  </w:p>
</w:ftr>
</file>

<file path=word/footer26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869</w:t>
    </w:r>
  </w:p>
</w:ftr>
</file>

<file path=word/footer26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870</w:t>
    </w:r>
  </w:p>
</w:ftr>
</file>

<file path=word/footer26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871</w:t>
    </w:r>
  </w:p>
</w:ftr>
</file>

<file path=word/footer26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872</w:t>
    </w:r>
  </w:p>
</w:ftr>
</file>

<file path=word/footer26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873</w:t>
    </w:r>
  </w:p>
</w:ftr>
</file>

<file path=word/footer26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874</w:t>
    </w:r>
  </w:p>
</w:ftr>
</file>

<file path=word/footer26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875</w:t>
    </w:r>
  </w:p>
</w:ftr>
</file>

<file path=word/footer26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876</w:t>
    </w:r>
  </w:p>
</w:ftr>
</file>

<file path=word/footer26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877</w:t>
    </w:r>
  </w:p>
</w:ftr>
</file>

<file path=word/footer26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878</w:t>
    </w:r>
  </w:p>
</w:ftr>
</file>

<file path=word/footer26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879</w:t>
    </w:r>
  </w:p>
</w:ftr>
</file>

<file path=word/footer26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880</w:t>
    </w:r>
  </w:p>
</w:ftr>
</file>

<file path=word/footer26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881</w:t>
    </w:r>
  </w:p>
</w:ftr>
</file>

<file path=word/footer26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882</w:t>
    </w:r>
  </w:p>
</w:ftr>
</file>

<file path=word/footer26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883</w:t>
    </w:r>
  </w:p>
</w:ftr>
</file>

<file path=word/footer26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884</w:t>
    </w:r>
  </w:p>
</w:ftr>
</file>

<file path=word/footer26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885</w:t>
    </w:r>
  </w:p>
</w:ftr>
</file>

<file path=word/footer26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886</w:t>
    </w:r>
  </w:p>
</w:ftr>
</file>

<file path=word/footer26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887</w:t>
    </w:r>
  </w:p>
</w:ftr>
</file>

<file path=word/footer26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888</w:t>
    </w:r>
  </w:p>
</w:ftr>
</file>

<file path=word/footer26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889</w:t>
    </w:r>
  </w:p>
</w:ftr>
</file>

<file path=word/footer26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890</w:t>
    </w:r>
  </w:p>
</w:ftr>
</file>

<file path=word/footer26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891</w:t>
    </w:r>
  </w:p>
</w:ftr>
</file>

<file path=word/footer26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892</w:t>
    </w:r>
  </w:p>
</w:ftr>
</file>

<file path=word/footer26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893</w:t>
    </w:r>
  </w:p>
</w:ftr>
</file>

<file path=word/footer26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894</w:t>
    </w:r>
  </w:p>
</w:ftr>
</file>

<file path=word/footer26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895</w:t>
    </w:r>
  </w:p>
</w:ftr>
</file>

<file path=word/footer26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896</w:t>
    </w:r>
  </w:p>
</w:ftr>
</file>

<file path=word/footer26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897</w:t>
    </w:r>
  </w:p>
</w:ftr>
</file>

<file path=word/footer26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898</w:t>
    </w:r>
  </w:p>
</w:ftr>
</file>

<file path=word/footer27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899</w:t>
    </w:r>
  </w:p>
</w:ftr>
</file>

<file path=word/footer27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900</w:t>
    </w:r>
  </w:p>
</w:ftr>
</file>

<file path=word/footer27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901</w:t>
    </w:r>
  </w:p>
</w:ftr>
</file>

<file path=word/footer27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902</w:t>
    </w:r>
  </w:p>
</w:ftr>
</file>

<file path=word/footer27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903</w:t>
    </w:r>
  </w:p>
</w:ftr>
</file>

<file path=word/footer27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904</w:t>
    </w:r>
  </w:p>
</w:ftr>
</file>

<file path=word/footer27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905</w:t>
    </w:r>
  </w:p>
</w:ftr>
</file>

<file path=word/footer27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906</w:t>
    </w:r>
  </w:p>
</w:ftr>
</file>

<file path=word/footer27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907</w:t>
    </w:r>
  </w:p>
</w:ftr>
</file>

<file path=word/footer27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908</w:t>
    </w:r>
  </w:p>
</w:ftr>
</file>

<file path=word/footer27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909</w:t>
    </w:r>
  </w:p>
</w:ftr>
</file>

<file path=word/footer27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910</w:t>
    </w:r>
  </w:p>
</w:ftr>
</file>

<file path=word/footer27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911</w:t>
    </w:r>
  </w:p>
</w:ftr>
</file>

<file path=word/footer27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912</w:t>
    </w:r>
  </w:p>
</w:ftr>
</file>

<file path=word/footer27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913</w:t>
    </w:r>
  </w:p>
</w:ftr>
</file>

<file path=word/footer27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914</w:t>
    </w:r>
  </w:p>
</w:ftr>
</file>

<file path=word/footer27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915</w:t>
    </w:r>
  </w:p>
</w:ftr>
</file>

<file path=word/footer27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916</w:t>
    </w:r>
  </w:p>
</w:ftr>
</file>

<file path=word/footer27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917</w:t>
    </w:r>
  </w:p>
</w:ftr>
</file>

<file path=word/footer27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918</w:t>
    </w:r>
  </w:p>
</w:ftr>
</file>

<file path=word/footer27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919</w:t>
    </w:r>
  </w:p>
</w:ftr>
</file>

<file path=word/footer27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920</w:t>
    </w:r>
  </w:p>
</w:ftr>
</file>

<file path=word/footer27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921</w:t>
    </w:r>
  </w:p>
</w:ftr>
</file>

<file path=word/footer27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922</w:t>
    </w:r>
  </w:p>
</w:ftr>
</file>

<file path=word/footer27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923</w:t>
    </w:r>
  </w:p>
</w:ftr>
</file>

<file path=word/footer27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924</w:t>
    </w:r>
  </w:p>
</w:ftr>
</file>

<file path=word/footer27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925</w:t>
    </w:r>
  </w:p>
</w:ftr>
</file>

<file path=word/footer27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926</w:t>
    </w:r>
  </w:p>
</w:ftr>
</file>

<file path=word/footer27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927</w:t>
    </w:r>
  </w:p>
</w:ftr>
</file>

<file path=word/footer27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928</w:t>
    </w:r>
  </w:p>
</w:ftr>
</file>

<file path=word/footer27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929</w:t>
    </w:r>
  </w:p>
</w:ftr>
</file>

<file path=word/footer27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930</w:t>
    </w:r>
  </w:p>
</w:ftr>
</file>

<file path=word/footer27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931</w:t>
    </w:r>
  </w:p>
</w:ftr>
</file>

<file path=word/footer28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932</w:t>
    </w:r>
  </w:p>
</w:ftr>
</file>

<file path=word/footer28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933</w:t>
    </w:r>
  </w:p>
</w:ftr>
</file>

<file path=word/footer28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934</w:t>
    </w:r>
  </w:p>
</w:ftr>
</file>

<file path=word/footer28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935</w:t>
    </w:r>
  </w:p>
</w:ftr>
</file>

<file path=word/footer28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936</w:t>
    </w:r>
  </w:p>
</w:ftr>
</file>

<file path=word/footer28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937</w:t>
    </w:r>
  </w:p>
</w:ftr>
</file>

<file path=word/footer28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938</w:t>
    </w:r>
  </w:p>
</w:ftr>
</file>

<file path=word/footer28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939</w:t>
    </w:r>
  </w:p>
</w:ftr>
</file>

<file path=word/footer28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940</w:t>
    </w:r>
  </w:p>
</w:ftr>
</file>

<file path=word/footer28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941</w:t>
    </w:r>
  </w:p>
</w:ftr>
</file>

<file path=word/footer28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942</w:t>
    </w:r>
  </w:p>
</w:ftr>
</file>

<file path=word/footer28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943</w:t>
    </w:r>
  </w:p>
</w:ftr>
</file>

<file path=word/footer28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944</w:t>
    </w:r>
  </w:p>
</w:ftr>
</file>

<file path=word/footer28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945</w:t>
    </w:r>
  </w:p>
</w:ftr>
</file>

<file path=word/footer28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946</w:t>
    </w:r>
  </w:p>
</w:ftr>
</file>

<file path=word/footer28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947</w:t>
    </w:r>
  </w:p>
</w:ftr>
</file>

<file path=word/footer28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948</w:t>
    </w:r>
  </w:p>
</w:ftr>
</file>

<file path=word/footer28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949</w:t>
    </w:r>
  </w:p>
</w:ftr>
</file>

<file path=word/footer28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950</w:t>
    </w:r>
  </w:p>
</w:ftr>
</file>

<file path=word/footer28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951</w:t>
    </w:r>
  </w:p>
</w:ftr>
</file>

<file path=word/footer28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952</w:t>
    </w:r>
  </w:p>
</w:ftr>
</file>

<file path=word/footer28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953</w:t>
    </w:r>
  </w:p>
</w:ftr>
</file>

<file path=word/footer28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954</w:t>
    </w:r>
  </w:p>
</w:ftr>
</file>

<file path=word/footer28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955</w:t>
    </w:r>
  </w:p>
</w:ftr>
</file>

<file path=word/footer28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956</w:t>
    </w:r>
  </w:p>
</w:ftr>
</file>

<file path=word/footer28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957</w:t>
    </w:r>
  </w:p>
</w:ftr>
</file>

<file path=word/footer28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958</w:t>
    </w:r>
  </w:p>
</w:ftr>
</file>

<file path=word/footer28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959</w:t>
    </w:r>
  </w:p>
</w:ftr>
</file>

<file path=word/footer28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960</w:t>
    </w:r>
  </w:p>
</w:ftr>
</file>

<file path=word/footer28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961</w:t>
    </w:r>
  </w:p>
</w:ftr>
</file>

<file path=word/footer28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962</w:t>
    </w:r>
  </w:p>
</w:ftr>
</file>

<file path=word/footer28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963</w:t>
    </w:r>
  </w:p>
</w:ftr>
</file>

<file path=word/footer28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964</w:t>
    </w:r>
  </w:p>
</w:ftr>
</file>

<file path=word/footer28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965</w:t>
    </w:r>
  </w:p>
</w:ftr>
</file>

<file path=word/footer29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966</w:t>
    </w:r>
  </w:p>
</w:ftr>
</file>

<file path=word/footer29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967</w:t>
    </w:r>
  </w:p>
</w:ftr>
</file>

<file path=word/footer29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968</w:t>
    </w:r>
  </w:p>
</w:ftr>
</file>

<file path=word/footer29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969</w:t>
    </w:r>
  </w:p>
</w:ftr>
</file>

<file path=word/footer29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970</w:t>
    </w:r>
  </w:p>
</w:ftr>
</file>

<file path=word/footer29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971</w:t>
    </w:r>
  </w:p>
</w:ftr>
</file>

<file path=word/footer29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972</w:t>
    </w:r>
  </w:p>
</w:ftr>
</file>

<file path=word/footer29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973</w:t>
    </w:r>
  </w:p>
</w:ftr>
</file>

<file path=word/footer29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974</w:t>
    </w:r>
  </w:p>
</w:ftr>
</file>

<file path=word/footer29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975</w:t>
    </w:r>
  </w:p>
</w:ftr>
</file>

<file path=word/footer29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976</w:t>
    </w:r>
  </w:p>
</w:ftr>
</file>

<file path=word/footer29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977</w:t>
    </w:r>
  </w:p>
</w:ftr>
</file>

<file path=word/footer29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978</w:t>
    </w:r>
  </w:p>
</w:ftr>
</file>

<file path=word/footer29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979</w:t>
    </w:r>
  </w:p>
</w:ftr>
</file>

<file path=word/footer29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980</w:t>
    </w:r>
  </w:p>
</w:ftr>
</file>

<file path=word/footer29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981</w:t>
    </w:r>
  </w:p>
</w:ftr>
</file>

<file path=word/footer29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982</w:t>
    </w:r>
  </w:p>
</w:ftr>
</file>

<file path=word/footer29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983</w:t>
    </w:r>
  </w:p>
</w:ftr>
</file>

<file path=word/footer29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984</w:t>
    </w:r>
  </w:p>
</w:ftr>
</file>

<file path=word/footer29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985</w:t>
    </w:r>
  </w:p>
</w:ftr>
</file>

<file path=word/footer29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986</w:t>
    </w:r>
  </w:p>
</w:ftr>
</file>

<file path=word/footer29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987</w:t>
    </w:r>
  </w:p>
</w:ftr>
</file>

<file path=word/footer29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988</w:t>
    </w:r>
  </w:p>
</w:ftr>
</file>

<file path=word/footer29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989</w:t>
    </w:r>
  </w:p>
</w:ftr>
</file>

<file path=word/footer29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990</w:t>
    </w:r>
  </w:p>
</w:ftr>
</file>

<file path=word/footer29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991</w:t>
    </w:r>
  </w:p>
</w:ftr>
</file>

<file path=word/footer29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992</w:t>
    </w:r>
  </w:p>
</w:ftr>
</file>

<file path=word/footer29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993</w:t>
    </w:r>
  </w:p>
</w:ftr>
</file>

<file path=word/footer29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994</w:t>
    </w:r>
  </w:p>
</w:ftr>
</file>

<file path=word/footer29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995</w:t>
    </w:r>
  </w:p>
</w:ftr>
</file>

<file path=word/footer29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996</w:t>
    </w:r>
  </w:p>
</w:ftr>
</file>

<file path=word/footer29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997</w:t>
    </w:r>
  </w:p>
</w:ftr>
</file>

<file path=word/footer29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998</w:t>
    </w:r>
  </w:p>
</w:ftr>
</file>

<file path=word/footer30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999</w:t>
    </w:r>
  </w:p>
</w:ftr>
</file>

<file path=word/footer30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1000</w:t>
    </w:r>
  </w:p>
</w:ftr>
</file>

<file path=word/footer30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1001</w:t>
    </w:r>
  </w:p>
</w:ftr>
</file>

<file path=word/footer30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1002</w:t>
    </w:r>
  </w:p>
</w:ftr>
</file>

<file path=word/footer30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1003</w:t>
    </w:r>
  </w:p>
</w:ftr>
</file>

<file path=word/footer30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1004</w:t>
    </w:r>
  </w:p>
</w:ftr>
</file>

<file path=word/footer30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1005</w:t>
    </w:r>
  </w:p>
</w:ftr>
</file>

<file path=word/footer30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1006</w:t>
    </w:r>
  </w:p>
</w:ftr>
</file>

<file path=word/footer30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1007</w:t>
    </w:r>
  </w:p>
</w:ftr>
</file>

<file path=word/footer30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1008</w:t>
    </w:r>
  </w:p>
</w:ftr>
</file>

<file path=word/footer30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1009</w:t>
    </w:r>
  </w:p>
</w:ftr>
</file>

<file path=word/footer30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1010</w:t>
    </w:r>
  </w:p>
</w:ftr>
</file>

<file path=word/footer30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1011</w:t>
    </w:r>
  </w:p>
</w:ftr>
</file>

<file path=word/footer30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1012</w:t>
    </w:r>
  </w:p>
</w:ftr>
</file>

<file path=word/footer30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1013</w:t>
    </w:r>
  </w:p>
</w:ftr>
</file>

<file path=word/footer30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1014</w:t>
    </w:r>
  </w:p>
</w:ftr>
</file>

<file path=word/footer30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1015</w:t>
    </w:r>
  </w:p>
</w:ftr>
</file>

<file path=word/footer30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1016</w:t>
    </w:r>
  </w:p>
</w:ftr>
</file>

<file path=word/footer30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1017</w:t>
    </w:r>
  </w:p>
</w:ftr>
</file>

<file path=word/footer30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1018</w:t>
    </w:r>
  </w:p>
</w:ftr>
</file>

<file path=word/footer30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1019</w:t>
    </w:r>
  </w:p>
</w:ftr>
</file>

<file path=word/footer30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1020</w:t>
    </w:r>
  </w:p>
</w:ftr>
</file>

<file path=word/footer30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1021</w:t>
    </w:r>
  </w:p>
</w:ftr>
</file>

<file path=word/footer30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1022</w:t>
    </w:r>
  </w:p>
</w:ftr>
</file>

<file path=word/footer30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1023</w:t>
    </w:r>
  </w:p>
</w:ftr>
</file>

<file path=word/footer30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1024</w:t>
    </w:r>
  </w:p>
</w:ftr>
</file>

<file path=word/footer30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1025</w:t>
    </w:r>
  </w:p>
</w:ftr>
</file>

<file path=word/footer30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1026</w:t>
    </w:r>
  </w:p>
</w:ftr>
</file>

<file path=word/footer30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1027</w:t>
    </w:r>
  </w:p>
</w:ftr>
</file>

<file path=word/footer30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13C776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 Id="rId769" Type="http://schemas.openxmlformats.org/officeDocument/2006/relationships/footer" Target="footer2287.xml"/><Relationship Id="rId770" Type="http://schemas.openxmlformats.org/officeDocument/2006/relationships/footer" Target="footer2290.xml"/><Relationship Id="rId771" Type="http://schemas.openxmlformats.org/officeDocument/2006/relationships/footer" Target="footer2293.xml"/><Relationship Id="rId772" Type="http://schemas.openxmlformats.org/officeDocument/2006/relationships/footer" Target="footer2296.xml"/><Relationship Id="rId773" Type="http://schemas.openxmlformats.org/officeDocument/2006/relationships/footer" Target="footer2299.xml"/><Relationship Id="rId774" Type="http://schemas.openxmlformats.org/officeDocument/2006/relationships/footer" Target="footer2302.xml"/><Relationship Id="rId775" Type="http://schemas.openxmlformats.org/officeDocument/2006/relationships/footer" Target="footer2305.xml"/><Relationship Id="rId776" Type="http://schemas.openxmlformats.org/officeDocument/2006/relationships/footer" Target="footer2308.xml"/><Relationship Id="rId777" Type="http://schemas.openxmlformats.org/officeDocument/2006/relationships/footer" Target="footer2311.xml"/><Relationship Id="rId778" Type="http://schemas.openxmlformats.org/officeDocument/2006/relationships/footer" Target="footer2314.xml"/><Relationship Id="rId779" Type="http://schemas.openxmlformats.org/officeDocument/2006/relationships/footer" Target="footer2317.xml"/><Relationship Id="rId780" Type="http://schemas.openxmlformats.org/officeDocument/2006/relationships/footer" Target="footer2320.xml"/><Relationship Id="rId781" Type="http://schemas.openxmlformats.org/officeDocument/2006/relationships/footer" Target="footer2323.xml"/><Relationship Id="rId782" Type="http://schemas.openxmlformats.org/officeDocument/2006/relationships/footer" Target="footer2326.xml"/><Relationship Id="rId783" Type="http://schemas.openxmlformats.org/officeDocument/2006/relationships/footer" Target="footer2329.xml"/><Relationship Id="rId784" Type="http://schemas.openxmlformats.org/officeDocument/2006/relationships/footer" Target="footer2332.xml"/><Relationship Id="rId785" Type="http://schemas.openxmlformats.org/officeDocument/2006/relationships/footer" Target="footer2335.xml"/><Relationship Id="rId786" Type="http://schemas.openxmlformats.org/officeDocument/2006/relationships/footer" Target="footer2338.xml"/><Relationship Id="rId787" Type="http://schemas.openxmlformats.org/officeDocument/2006/relationships/footer" Target="footer2341.xml"/><Relationship Id="rId788" Type="http://schemas.openxmlformats.org/officeDocument/2006/relationships/footer" Target="footer2344.xml"/><Relationship Id="rId789" Type="http://schemas.openxmlformats.org/officeDocument/2006/relationships/footer" Target="footer2347.xml"/><Relationship Id="rId790" Type="http://schemas.openxmlformats.org/officeDocument/2006/relationships/footer" Target="footer2350.xml"/><Relationship Id="rId791" Type="http://schemas.openxmlformats.org/officeDocument/2006/relationships/footer" Target="footer2353.xml"/><Relationship Id="rId792" Type="http://schemas.openxmlformats.org/officeDocument/2006/relationships/footer" Target="footer2356.xml"/><Relationship Id="rId793" Type="http://schemas.openxmlformats.org/officeDocument/2006/relationships/footer" Target="footer2359.xml"/><Relationship Id="rId794" Type="http://schemas.openxmlformats.org/officeDocument/2006/relationships/footer" Target="footer2362.xml"/><Relationship Id="rId795" Type="http://schemas.openxmlformats.org/officeDocument/2006/relationships/footer" Target="footer2365.xml"/><Relationship Id="rId796" Type="http://schemas.openxmlformats.org/officeDocument/2006/relationships/footer" Target="footer2368.xml"/><Relationship Id="rId797" Type="http://schemas.openxmlformats.org/officeDocument/2006/relationships/footer" Target="footer2371.xml"/><Relationship Id="rId798" Type="http://schemas.openxmlformats.org/officeDocument/2006/relationships/footer" Target="footer2374.xml"/><Relationship Id="rId799" Type="http://schemas.openxmlformats.org/officeDocument/2006/relationships/footer" Target="footer2377.xml"/><Relationship Id="rId800" Type="http://schemas.openxmlformats.org/officeDocument/2006/relationships/footer" Target="footer2380.xml"/><Relationship Id="rId801" Type="http://schemas.openxmlformats.org/officeDocument/2006/relationships/footer" Target="footer2383.xml"/><Relationship Id="rId802" Type="http://schemas.openxmlformats.org/officeDocument/2006/relationships/footer" Target="footer2386.xml"/><Relationship Id="rId803" Type="http://schemas.openxmlformats.org/officeDocument/2006/relationships/footer" Target="footer2389.xml"/><Relationship Id="rId804" Type="http://schemas.openxmlformats.org/officeDocument/2006/relationships/footer" Target="footer2392.xml"/><Relationship Id="rId805" Type="http://schemas.openxmlformats.org/officeDocument/2006/relationships/footer" Target="footer2395.xml"/><Relationship Id="rId806" Type="http://schemas.openxmlformats.org/officeDocument/2006/relationships/footer" Target="footer2398.xml"/><Relationship Id="rId807" Type="http://schemas.openxmlformats.org/officeDocument/2006/relationships/footer" Target="footer2401.xml"/><Relationship Id="rId808" Type="http://schemas.openxmlformats.org/officeDocument/2006/relationships/footer" Target="footer2404.xml"/><Relationship Id="rId809" Type="http://schemas.openxmlformats.org/officeDocument/2006/relationships/footer" Target="footer2407.xml"/><Relationship Id="rId810" Type="http://schemas.openxmlformats.org/officeDocument/2006/relationships/footer" Target="footer2410.xml"/><Relationship Id="rId811" Type="http://schemas.openxmlformats.org/officeDocument/2006/relationships/footer" Target="footer2413.xml"/><Relationship Id="rId812" Type="http://schemas.openxmlformats.org/officeDocument/2006/relationships/footer" Target="footer2416.xml"/><Relationship Id="rId813" Type="http://schemas.openxmlformats.org/officeDocument/2006/relationships/footer" Target="footer2419.xml"/><Relationship Id="rId814" Type="http://schemas.openxmlformats.org/officeDocument/2006/relationships/footer" Target="footer2422.xml"/><Relationship Id="rId815" Type="http://schemas.openxmlformats.org/officeDocument/2006/relationships/footer" Target="footer2425.xml"/><Relationship Id="rId816" Type="http://schemas.openxmlformats.org/officeDocument/2006/relationships/footer" Target="footer2428.xml"/><Relationship Id="rId817" Type="http://schemas.openxmlformats.org/officeDocument/2006/relationships/footer" Target="footer2431.xml"/><Relationship Id="rId818" Type="http://schemas.openxmlformats.org/officeDocument/2006/relationships/footer" Target="footer2434.xml"/><Relationship Id="rId819" Type="http://schemas.openxmlformats.org/officeDocument/2006/relationships/footer" Target="footer2437.xml"/><Relationship Id="rId820" Type="http://schemas.openxmlformats.org/officeDocument/2006/relationships/footer" Target="footer2440.xml"/><Relationship Id="rId821" Type="http://schemas.openxmlformats.org/officeDocument/2006/relationships/footer" Target="footer2443.xml"/><Relationship Id="rId822" Type="http://schemas.openxmlformats.org/officeDocument/2006/relationships/footer" Target="footer2446.xml"/><Relationship Id="rId823" Type="http://schemas.openxmlformats.org/officeDocument/2006/relationships/footer" Target="footer2449.xml"/><Relationship Id="rId824" Type="http://schemas.openxmlformats.org/officeDocument/2006/relationships/footer" Target="footer2452.xml"/><Relationship Id="rId825" Type="http://schemas.openxmlformats.org/officeDocument/2006/relationships/footer" Target="footer2455.xml"/><Relationship Id="rId826" Type="http://schemas.openxmlformats.org/officeDocument/2006/relationships/footer" Target="footer2458.xml"/><Relationship Id="rId827" Type="http://schemas.openxmlformats.org/officeDocument/2006/relationships/footer" Target="footer2461.xml"/><Relationship Id="rId828" Type="http://schemas.openxmlformats.org/officeDocument/2006/relationships/footer" Target="footer2464.xml"/><Relationship Id="rId829" Type="http://schemas.openxmlformats.org/officeDocument/2006/relationships/footer" Target="footer2467.xml"/><Relationship Id="rId830" Type="http://schemas.openxmlformats.org/officeDocument/2006/relationships/footer" Target="footer2470.xml"/><Relationship Id="rId831" Type="http://schemas.openxmlformats.org/officeDocument/2006/relationships/footer" Target="footer2473.xml"/><Relationship Id="rId832" Type="http://schemas.openxmlformats.org/officeDocument/2006/relationships/footer" Target="footer2476.xml"/><Relationship Id="rId833" Type="http://schemas.openxmlformats.org/officeDocument/2006/relationships/footer" Target="footer2479.xml"/><Relationship Id="rId834" Type="http://schemas.openxmlformats.org/officeDocument/2006/relationships/footer" Target="footer2482.xml"/><Relationship Id="rId835" Type="http://schemas.openxmlformats.org/officeDocument/2006/relationships/footer" Target="footer2485.xml"/><Relationship Id="rId836" Type="http://schemas.openxmlformats.org/officeDocument/2006/relationships/footer" Target="footer2488.xml"/><Relationship Id="rId837" Type="http://schemas.openxmlformats.org/officeDocument/2006/relationships/footer" Target="footer2491.xml"/><Relationship Id="rId838" Type="http://schemas.openxmlformats.org/officeDocument/2006/relationships/footer" Target="footer2494.xml"/><Relationship Id="rId839" Type="http://schemas.openxmlformats.org/officeDocument/2006/relationships/footer" Target="footer2497.xml"/><Relationship Id="rId840" Type="http://schemas.openxmlformats.org/officeDocument/2006/relationships/footer" Target="footer2500.xml"/><Relationship Id="rId841" Type="http://schemas.openxmlformats.org/officeDocument/2006/relationships/footer" Target="footer2503.xml"/><Relationship Id="rId842" Type="http://schemas.openxmlformats.org/officeDocument/2006/relationships/footer" Target="footer2506.xml"/><Relationship Id="rId843" Type="http://schemas.openxmlformats.org/officeDocument/2006/relationships/footer" Target="footer2509.xml"/><Relationship Id="rId844" Type="http://schemas.openxmlformats.org/officeDocument/2006/relationships/footer" Target="footer2512.xml"/><Relationship Id="rId845" Type="http://schemas.openxmlformats.org/officeDocument/2006/relationships/footer" Target="footer2515.xml"/><Relationship Id="rId846" Type="http://schemas.openxmlformats.org/officeDocument/2006/relationships/footer" Target="footer2518.xml"/><Relationship Id="rId847" Type="http://schemas.openxmlformats.org/officeDocument/2006/relationships/footer" Target="footer2521.xml"/><Relationship Id="rId848" Type="http://schemas.openxmlformats.org/officeDocument/2006/relationships/footer" Target="footer2524.xml"/><Relationship Id="rId849" Type="http://schemas.openxmlformats.org/officeDocument/2006/relationships/footer" Target="footer2527.xml"/><Relationship Id="rId850" Type="http://schemas.openxmlformats.org/officeDocument/2006/relationships/footer" Target="footer2530.xml"/><Relationship Id="rId851" Type="http://schemas.openxmlformats.org/officeDocument/2006/relationships/footer" Target="footer2533.xml"/><Relationship Id="rId852" Type="http://schemas.openxmlformats.org/officeDocument/2006/relationships/footer" Target="footer2536.xml"/><Relationship Id="rId853" Type="http://schemas.openxmlformats.org/officeDocument/2006/relationships/footer" Target="footer2539.xml"/><Relationship Id="rId854" Type="http://schemas.openxmlformats.org/officeDocument/2006/relationships/footer" Target="footer2542.xml"/><Relationship Id="rId855" Type="http://schemas.openxmlformats.org/officeDocument/2006/relationships/footer" Target="footer2545.xml"/><Relationship Id="rId856" Type="http://schemas.openxmlformats.org/officeDocument/2006/relationships/footer" Target="footer2548.xml"/><Relationship Id="rId857" Type="http://schemas.openxmlformats.org/officeDocument/2006/relationships/footer" Target="footer2551.xml"/><Relationship Id="rId858" Type="http://schemas.openxmlformats.org/officeDocument/2006/relationships/footer" Target="footer2554.xml"/><Relationship Id="rId859" Type="http://schemas.openxmlformats.org/officeDocument/2006/relationships/footer" Target="footer2557.xml"/><Relationship Id="rId860" Type="http://schemas.openxmlformats.org/officeDocument/2006/relationships/footer" Target="footer2560.xml"/><Relationship Id="rId861" Type="http://schemas.openxmlformats.org/officeDocument/2006/relationships/footer" Target="footer2563.xml"/><Relationship Id="rId862" Type="http://schemas.openxmlformats.org/officeDocument/2006/relationships/footer" Target="footer2566.xml"/><Relationship Id="rId863" Type="http://schemas.openxmlformats.org/officeDocument/2006/relationships/footer" Target="footer2569.xml"/><Relationship Id="rId864" Type="http://schemas.openxmlformats.org/officeDocument/2006/relationships/footer" Target="footer2572.xml"/><Relationship Id="rId865" Type="http://schemas.openxmlformats.org/officeDocument/2006/relationships/footer" Target="footer2575.xml"/><Relationship Id="rId866" Type="http://schemas.openxmlformats.org/officeDocument/2006/relationships/footer" Target="footer2578.xml"/><Relationship Id="rId867" Type="http://schemas.openxmlformats.org/officeDocument/2006/relationships/footer" Target="footer2581.xml"/><Relationship Id="rId868" Type="http://schemas.openxmlformats.org/officeDocument/2006/relationships/footer" Target="footer2584.xml"/><Relationship Id="rId869" Type="http://schemas.openxmlformats.org/officeDocument/2006/relationships/footer" Target="footer2587.xml"/><Relationship Id="rId870" Type="http://schemas.openxmlformats.org/officeDocument/2006/relationships/footer" Target="footer2590.xml"/><Relationship Id="rId871" Type="http://schemas.openxmlformats.org/officeDocument/2006/relationships/footer" Target="footer2593.xml"/><Relationship Id="rId872" Type="http://schemas.openxmlformats.org/officeDocument/2006/relationships/footer" Target="footer2596.xml"/><Relationship Id="rId873" Type="http://schemas.openxmlformats.org/officeDocument/2006/relationships/footer" Target="footer2599.xml"/><Relationship Id="rId874" Type="http://schemas.openxmlformats.org/officeDocument/2006/relationships/footer" Target="footer2602.xml"/><Relationship Id="rId875" Type="http://schemas.openxmlformats.org/officeDocument/2006/relationships/footer" Target="footer2605.xml"/><Relationship Id="rId876" Type="http://schemas.openxmlformats.org/officeDocument/2006/relationships/footer" Target="footer2608.xml"/><Relationship Id="rId877" Type="http://schemas.openxmlformats.org/officeDocument/2006/relationships/footer" Target="footer2611.xml"/><Relationship Id="rId878" Type="http://schemas.openxmlformats.org/officeDocument/2006/relationships/footer" Target="footer2614.xml"/><Relationship Id="rId879" Type="http://schemas.openxmlformats.org/officeDocument/2006/relationships/footer" Target="footer2617.xml"/><Relationship Id="rId880" Type="http://schemas.openxmlformats.org/officeDocument/2006/relationships/footer" Target="footer2620.xml"/><Relationship Id="rId881" Type="http://schemas.openxmlformats.org/officeDocument/2006/relationships/footer" Target="footer2623.xml"/><Relationship Id="rId882" Type="http://schemas.openxmlformats.org/officeDocument/2006/relationships/footer" Target="footer2626.xml"/><Relationship Id="rId883" Type="http://schemas.openxmlformats.org/officeDocument/2006/relationships/footer" Target="footer2629.xml"/><Relationship Id="rId884" Type="http://schemas.openxmlformats.org/officeDocument/2006/relationships/footer" Target="footer2632.xml"/><Relationship Id="rId885" Type="http://schemas.openxmlformats.org/officeDocument/2006/relationships/footer" Target="footer2635.xml"/><Relationship Id="rId886" Type="http://schemas.openxmlformats.org/officeDocument/2006/relationships/footer" Target="footer2638.xml"/><Relationship Id="rId887" Type="http://schemas.openxmlformats.org/officeDocument/2006/relationships/footer" Target="footer2641.xml"/><Relationship Id="rId888" Type="http://schemas.openxmlformats.org/officeDocument/2006/relationships/footer" Target="footer2644.xml"/><Relationship Id="rId889" Type="http://schemas.openxmlformats.org/officeDocument/2006/relationships/footer" Target="footer2647.xml"/><Relationship Id="rId890" Type="http://schemas.openxmlformats.org/officeDocument/2006/relationships/footer" Target="footer2650.xml"/><Relationship Id="rId891" Type="http://schemas.openxmlformats.org/officeDocument/2006/relationships/footer" Target="footer2653.xml"/><Relationship Id="rId892" Type="http://schemas.openxmlformats.org/officeDocument/2006/relationships/footer" Target="footer2656.xml"/><Relationship Id="rId893" Type="http://schemas.openxmlformats.org/officeDocument/2006/relationships/footer" Target="footer2659.xml"/><Relationship Id="rId894" Type="http://schemas.openxmlformats.org/officeDocument/2006/relationships/footer" Target="footer2662.xml"/><Relationship Id="rId895" Type="http://schemas.openxmlformats.org/officeDocument/2006/relationships/footer" Target="footer2665.xml"/><Relationship Id="rId896" Type="http://schemas.openxmlformats.org/officeDocument/2006/relationships/footer" Target="footer2668.xml"/><Relationship Id="rId897" Type="http://schemas.openxmlformats.org/officeDocument/2006/relationships/footer" Target="footer2671.xml"/><Relationship Id="rId898" Type="http://schemas.openxmlformats.org/officeDocument/2006/relationships/footer" Target="footer2674.xml"/><Relationship Id="rId899" Type="http://schemas.openxmlformats.org/officeDocument/2006/relationships/footer" Target="footer2677.xml"/><Relationship Id="rId900" Type="http://schemas.openxmlformats.org/officeDocument/2006/relationships/footer" Target="footer2680.xml"/><Relationship Id="rId901" Type="http://schemas.openxmlformats.org/officeDocument/2006/relationships/footer" Target="footer2683.xml"/><Relationship Id="rId902" Type="http://schemas.openxmlformats.org/officeDocument/2006/relationships/footer" Target="footer2686.xml"/><Relationship Id="rId903" Type="http://schemas.openxmlformats.org/officeDocument/2006/relationships/footer" Target="footer2689.xml"/><Relationship Id="rId904" Type="http://schemas.openxmlformats.org/officeDocument/2006/relationships/footer" Target="footer2692.xml"/><Relationship Id="rId905" Type="http://schemas.openxmlformats.org/officeDocument/2006/relationships/footer" Target="footer2695.xml"/><Relationship Id="rId906" Type="http://schemas.openxmlformats.org/officeDocument/2006/relationships/footer" Target="footer2698.xml"/><Relationship Id="rId907" Type="http://schemas.openxmlformats.org/officeDocument/2006/relationships/footer" Target="footer2701.xml"/><Relationship Id="rId908" Type="http://schemas.openxmlformats.org/officeDocument/2006/relationships/footer" Target="footer2704.xml"/><Relationship Id="rId909" Type="http://schemas.openxmlformats.org/officeDocument/2006/relationships/footer" Target="footer2707.xml"/><Relationship Id="rId910" Type="http://schemas.openxmlformats.org/officeDocument/2006/relationships/footer" Target="footer2710.xml"/><Relationship Id="rId911" Type="http://schemas.openxmlformats.org/officeDocument/2006/relationships/footer" Target="footer2713.xml"/><Relationship Id="rId912" Type="http://schemas.openxmlformats.org/officeDocument/2006/relationships/footer" Target="footer2716.xml"/><Relationship Id="rId913" Type="http://schemas.openxmlformats.org/officeDocument/2006/relationships/footer" Target="footer2719.xml"/><Relationship Id="rId914" Type="http://schemas.openxmlformats.org/officeDocument/2006/relationships/footer" Target="footer2722.xml"/><Relationship Id="rId915" Type="http://schemas.openxmlformats.org/officeDocument/2006/relationships/footer" Target="footer2725.xml"/><Relationship Id="rId916" Type="http://schemas.openxmlformats.org/officeDocument/2006/relationships/footer" Target="footer2728.xml"/><Relationship Id="rId917" Type="http://schemas.openxmlformats.org/officeDocument/2006/relationships/footer" Target="footer2731.xml"/><Relationship Id="rId918" Type="http://schemas.openxmlformats.org/officeDocument/2006/relationships/footer" Target="footer2734.xml"/><Relationship Id="rId919" Type="http://schemas.openxmlformats.org/officeDocument/2006/relationships/footer" Target="footer2737.xml"/><Relationship Id="rId920" Type="http://schemas.openxmlformats.org/officeDocument/2006/relationships/footer" Target="footer2740.xml"/><Relationship Id="rId921" Type="http://schemas.openxmlformats.org/officeDocument/2006/relationships/footer" Target="footer2743.xml"/><Relationship Id="rId922" Type="http://schemas.openxmlformats.org/officeDocument/2006/relationships/footer" Target="footer2746.xml"/><Relationship Id="rId923" Type="http://schemas.openxmlformats.org/officeDocument/2006/relationships/footer" Target="footer2749.xml"/><Relationship Id="rId924" Type="http://schemas.openxmlformats.org/officeDocument/2006/relationships/footer" Target="footer2752.xml"/><Relationship Id="rId925" Type="http://schemas.openxmlformats.org/officeDocument/2006/relationships/footer" Target="footer2755.xml"/><Relationship Id="rId926" Type="http://schemas.openxmlformats.org/officeDocument/2006/relationships/footer" Target="footer2758.xml"/><Relationship Id="rId927" Type="http://schemas.openxmlformats.org/officeDocument/2006/relationships/footer" Target="footer2761.xml"/><Relationship Id="rId928" Type="http://schemas.openxmlformats.org/officeDocument/2006/relationships/footer" Target="footer2764.xml"/><Relationship Id="rId929" Type="http://schemas.openxmlformats.org/officeDocument/2006/relationships/footer" Target="footer2767.xml"/><Relationship Id="rId930" Type="http://schemas.openxmlformats.org/officeDocument/2006/relationships/footer" Target="footer2770.xml"/><Relationship Id="rId931" Type="http://schemas.openxmlformats.org/officeDocument/2006/relationships/footer" Target="footer2773.xml"/><Relationship Id="rId932" Type="http://schemas.openxmlformats.org/officeDocument/2006/relationships/footer" Target="footer2776.xml"/><Relationship Id="rId933" Type="http://schemas.openxmlformats.org/officeDocument/2006/relationships/footer" Target="footer2779.xml"/><Relationship Id="rId934" Type="http://schemas.openxmlformats.org/officeDocument/2006/relationships/footer" Target="footer2782.xml"/><Relationship Id="rId935" Type="http://schemas.openxmlformats.org/officeDocument/2006/relationships/footer" Target="footer2785.xml"/><Relationship Id="rId936" Type="http://schemas.openxmlformats.org/officeDocument/2006/relationships/footer" Target="footer2788.xml"/><Relationship Id="rId937" Type="http://schemas.openxmlformats.org/officeDocument/2006/relationships/footer" Target="footer2791.xml"/><Relationship Id="rId938" Type="http://schemas.openxmlformats.org/officeDocument/2006/relationships/footer" Target="footer2794.xml"/><Relationship Id="rId939" Type="http://schemas.openxmlformats.org/officeDocument/2006/relationships/footer" Target="footer2797.xml"/><Relationship Id="rId940" Type="http://schemas.openxmlformats.org/officeDocument/2006/relationships/footer" Target="footer2800.xml"/><Relationship Id="rId941" Type="http://schemas.openxmlformats.org/officeDocument/2006/relationships/footer" Target="footer2803.xml"/><Relationship Id="rId942" Type="http://schemas.openxmlformats.org/officeDocument/2006/relationships/footer" Target="footer2806.xml"/><Relationship Id="rId943" Type="http://schemas.openxmlformats.org/officeDocument/2006/relationships/footer" Target="footer2809.xml"/><Relationship Id="rId944" Type="http://schemas.openxmlformats.org/officeDocument/2006/relationships/footer" Target="footer2812.xml"/><Relationship Id="rId945" Type="http://schemas.openxmlformats.org/officeDocument/2006/relationships/footer" Target="footer2815.xml"/><Relationship Id="rId946" Type="http://schemas.openxmlformats.org/officeDocument/2006/relationships/footer" Target="footer2818.xml"/><Relationship Id="rId947" Type="http://schemas.openxmlformats.org/officeDocument/2006/relationships/footer" Target="footer2821.xml"/><Relationship Id="rId948" Type="http://schemas.openxmlformats.org/officeDocument/2006/relationships/footer" Target="footer2824.xml"/><Relationship Id="rId949" Type="http://schemas.openxmlformats.org/officeDocument/2006/relationships/footer" Target="footer2827.xml"/><Relationship Id="rId950" Type="http://schemas.openxmlformats.org/officeDocument/2006/relationships/footer" Target="footer2830.xml"/><Relationship Id="rId951" Type="http://schemas.openxmlformats.org/officeDocument/2006/relationships/footer" Target="footer2833.xml"/><Relationship Id="rId952" Type="http://schemas.openxmlformats.org/officeDocument/2006/relationships/footer" Target="footer2836.xml"/><Relationship Id="rId953" Type="http://schemas.openxmlformats.org/officeDocument/2006/relationships/footer" Target="footer2839.xml"/><Relationship Id="rId954" Type="http://schemas.openxmlformats.org/officeDocument/2006/relationships/footer" Target="footer2842.xml"/><Relationship Id="rId955" Type="http://schemas.openxmlformats.org/officeDocument/2006/relationships/footer" Target="footer2845.xml"/><Relationship Id="rId956" Type="http://schemas.openxmlformats.org/officeDocument/2006/relationships/footer" Target="footer2848.xml"/><Relationship Id="rId957" Type="http://schemas.openxmlformats.org/officeDocument/2006/relationships/footer" Target="footer2851.xml"/><Relationship Id="rId958" Type="http://schemas.openxmlformats.org/officeDocument/2006/relationships/footer" Target="footer2854.xml"/><Relationship Id="rId959" Type="http://schemas.openxmlformats.org/officeDocument/2006/relationships/footer" Target="footer2857.xml"/><Relationship Id="rId960" Type="http://schemas.openxmlformats.org/officeDocument/2006/relationships/footer" Target="footer2860.xml"/><Relationship Id="rId961" Type="http://schemas.openxmlformats.org/officeDocument/2006/relationships/footer" Target="footer2863.xml"/><Relationship Id="rId962" Type="http://schemas.openxmlformats.org/officeDocument/2006/relationships/footer" Target="footer2866.xml"/><Relationship Id="rId963" Type="http://schemas.openxmlformats.org/officeDocument/2006/relationships/footer" Target="footer2869.xml"/><Relationship Id="rId964" Type="http://schemas.openxmlformats.org/officeDocument/2006/relationships/footer" Target="footer2872.xml"/><Relationship Id="rId965" Type="http://schemas.openxmlformats.org/officeDocument/2006/relationships/footer" Target="footer2875.xml"/><Relationship Id="rId966" Type="http://schemas.openxmlformats.org/officeDocument/2006/relationships/footer" Target="footer2878.xml"/><Relationship Id="rId967" Type="http://schemas.openxmlformats.org/officeDocument/2006/relationships/footer" Target="footer2881.xml"/><Relationship Id="rId968" Type="http://schemas.openxmlformats.org/officeDocument/2006/relationships/footer" Target="footer2884.xml"/><Relationship Id="rId969" Type="http://schemas.openxmlformats.org/officeDocument/2006/relationships/footer" Target="footer2887.xml"/><Relationship Id="rId970" Type="http://schemas.openxmlformats.org/officeDocument/2006/relationships/footer" Target="footer2890.xml"/><Relationship Id="rId971" Type="http://schemas.openxmlformats.org/officeDocument/2006/relationships/footer" Target="footer2893.xml"/><Relationship Id="rId972" Type="http://schemas.openxmlformats.org/officeDocument/2006/relationships/footer" Target="footer2896.xml"/><Relationship Id="rId973" Type="http://schemas.openxmlformats.org/officeDocument/2006/relationships/footer" Target="footer2899.xml"/><Relationship Id="rId974" Type="http://schemas.openxmlformats.org/officeDocument/2006/relationships/footer" Target="footer2902.xml"/><Relationship Id="rId975" Type="http://schemas.openxmlformats.org/officeDocument/2006/relationships/footer" Target="footer2905.xml"/><Relationship Id="rId976" Type="http://schemas.openxmlformats.org/officeDocument/2006/relationships/footer" Target="footer2908.xml"/><Relationship Id="rId977" Type="http://schemas.openxmlformats.org/officeDocument/2006/relationships/footer" Target="footer2911.xml"/><Relationship Id="rId978" Type="http://schemas.openxmlformats.org/officeDocument/2006/relationships/footer" Target="footer2914.xml"/><Relationship Id="rId979" Type="http://schemas.openxmlformats.org/officeDocument/2006/relationships/footer" Target="footer2917.xml"/><Relationship Id="rId980" Type="http://schemas.openxmlformats.org/officeDocument/2006/relationships/footer" Target="footer2920.xml"/><Relationship Id="rId981" Type="http://schemas.openxmlformats.org/officeDocument/2006/relationships/footer" Target="footer2923.xml"/><Relationship Id="rId982" Type="http://schemas.openxmlformats.org/officeDocument/2006/relationships/footer" Target="footer2926.xml"/><Relationship Id="rId983" Type="http://schemas.openxmlformats.org/officeDocument/2006/relationships/footer" Target="footer2929.xml"/><Relationship Id="rId984" Type="http://schemas.openxmlformats.org/officeDocument/2006/relationships/footer" Target="footer2932.xml"/><Relationship Id="rId985" Type="http://schemas.openxmlformats.org/officeDocument/2006/relationships/footer" Target="footer2935.xml"/><Relationship Id="rId986" Type="http://schemas.openxmlformats.org/officeDocument/2006/relationships/footer" Target="footer2938.xml"/><Relationship Id="rId987" Type="http://schemas.openxmlformats.org/officeDocument/2006/relationships/footer" Target="footer2941.xml"/><Relationship Id="rId988" Type="http://schemas.openxmlformats.org/officeDocument/2006/relationships/footer" Target="footer2944.xml"/><Relationship Id="rId989" Type="http://schemas.openxmlformats.org/officeDocument/2006/relationships/footer" Target="footer2947.xml"/><Relationship Id="rId990" Type="http://schemas.openxmlformats.org/officeDocument/2006/relationships/footer" Target="footer2950.xml"/><Relationship Id="rId991" Type="http://schemas.openxmlformats.org/officeDocument/2006/relationships/footer" Target="footer2953.xml"/><Relationship Id="rId992" Type="http://schemas.openxmlformats.org/officeDocument/2006/relationships/footer" Target="footer2956.xml"/><Relationship Id="rId993" Type="http://schemas.openxmlformats.org/officeDocument/2006/relationships/footer" Target="footer2959.xml"/><Relationship Id="rId994" Type="http://schemas.openxmlformats.org/officeDocument/2006/relationships/footer" Target="footer2962.xml"/><Relationship Id="rId995" Type="http://schemas.openxmlformats.org/officeDocument/2006/relationships/footer" Target="footer2965.xml"/><Relationship Id="rId996" Type="http://schemas.openxmlformats.org/officeDocument/2006/relationships/footer" Target="footer2968.xml"/><Relationship Id="rId997" Type="http://schemas.openxmlformats.org/officeDocument/2006/relationships/footer" Target="footer2971.xml"/><Relationship Id="rId998" Type="http://schemas.openxmlformats.org/officeDocument/2006/relationships/footer" Target="footer2974.xml"/><Relationship Id="rId999" Type="http://schemas.openxmlformats.org/officeDocument/2006/relationships/footer" Target="footer2977.xml"/><Relationship Id="rId1000" Type="http://schemas.openxmlformats.org/officeDocument/2006/relationships/footer" Target="footer2980.xml"/><Relationship Id="rId1001" Type="http://schemas.openxmlformats.org/officeDocument/2006/relationships/footer" Target="footer2983.xml"/><Relationship Id="rId1002" Type="http://schemas.openxmlformats.org/officeDocument/2006/relationships/footer" Target="footer2986.xml"/><Relationship Id="rId1003" Type="http://schemas.openxmlformats.org/officeDocument/2006/relationships/footer" Target="footer2989.xml"/><Relationship Id="rId1004" Type="http://schemas.openxmlformats.org/officeDocument/2006/relationships/footer" Target="footer2992.xml"/><Relationship Id="rId1005" Type="http://schemas.openxmlformats.org/officeDocument/2006/relationships/footer" Target="footer2995.xml"/><Relationship Id="rId1006" Type="http://schemas.openxmlformats.org/officeDocument/2006/relationships/footer" Target="footer2998.xml"/><Relationship Id="rId1007" Type="http://schemas.openxmlformats.org/officeDocument/2006/relationships/footer" Target="footer3001.xml"/><Relationship Id="rId1008" Type="http://schemas.openxmlformats.org/officeDocument/2006/relationships/footer" Target="footer3004.xml"/><Relationship Id="rId1009" Type="http://schemas.openxmlformats.org/officeDocument/2006/relationships/footer" Target="footer3007.xml"/><Relationship Id="rId1010" Type="http://schemas.openxmlformats.org/officeDocument/2006/relationships/footer" Target="footer3010.xml"/><Relationship Id="rId1011" Type="http://schemas.openxmlformats.org/officeDocument/2006/relationships/footer" Target="footer3013.xml"/><Relationship Id="rId1012" Type="http://schemas.openxmlformats.org/officeDocument/2006/relationships/footer" Target="footer3016.xml"/><Relationship Id="rId1013" Type="http://schemas.openxmlformats.org/officeDocument/2006/relationships/footer" Target="footer3019.xml"/><Relationship Id="rId1014" Type="http://schemas.openxmlformats.org/officeDocument/2006/relationships/footer" Target="footer3022.xml"/><Relationship Id="rId1015" Type="http://schemas.openxmlformats.org/officeDocument/2006/relationships/footer" Target="footer3025.xml"/><Relationship Id="rId1016" Type="http://schemas.openxmlformats.org/officeDocument/2006/relationships/footer" Target="footer3028.xml"/><Relationship Id="rId1017" Type="http://schemas.openxmlformats.org/officeDocument/2006/relationships/footer" Target="footer3031.xml"/><Relationship Id="rId1018" Type="http://schemas.openxmlformats.org/officeDocument/2006/relationships/footer" Target="footer3034.xml"/><Relationship Id="rId1019" Type="http://schemas.openxmlformats.org/officeDocument/2006/relationships/footer" Target="footer3037.xml"/><Relationship Id="rId1020" Type="http://schemas.openxmlformats.org/officeDocument/2006/relationships/footer" Target="footer3040.xml"/><Relationship Id="rId1021" Type="http://schemas.openxmlformats.org/officeDocument/2006/relationships/footer" Target="footer3043.xml"/><Relationship Id="rId1022" Type="http://schemas.openxmlformats.org/officeDocument/2006/relationships/footer" Target="footer3046.xml"/><Relationship Id="rId1023" Type="http://schemas.openxmlformats.org/officeDocument/2006/relationships/footer" Target="footer3049.xml"/><Relationship Id="rId1024" Type="http://schemas.openxmlformats.org/officeDocument/2006/relationships/footer" Target="footer3052.xml"/><Relationship Id="rId1025" Type="http://schemas.openxmlformats.org/officeDocument/2006/relationships/footer" Target="footer3055.xml"/><Relationship Id="rId1026" Type="http://schemas.openxmlformats.org/officeDocument/2006/relationships/footer" Target="footer3058.xml"/><Relationship Id="rId1027" Type="http://schemas.openxmlformats.org/officeDocument/2006/relationships/footer" Target="footer3061.xml"/><Relationship Id="rId1028" Type="http://schemas.openxmlformats.org/officeDocument/2006/relationships/footer" Target="footer3064.xml"/><Relationship Id="rId1029" Type="http://schemas.openxmlformats.org/officeDocument/2006/relationships/footer" Target="footer3067.xml"/><Relationship Id="rId1030" Type="http://schemas.openxmlformats.org/officeDocument/2006/relationships/footer" Target="footer3070.xml"/><Relationship Id="rId1031" Type="http://schemas.openxmlformats.org/officeDocument/2006/relationships/footer" Target="footer3073.xml"/><Relationship Id="rId1032" Type="http://schemas.openxmlformats.org/officeDocument/2006/relationships/footer" Target="footer3076.xml"/><Relationship Id="rId1033" Type="http://schemas.openxmlformats.org/officeDocument/2006/relationships/footer" Target="footer3079.xml"/><Relationship Id="rId1034" Type="http://schemas.openxmlformats.org/officeDocument/2006/relationships/footer" Target="footer3082.xml"/><Relationship Id="rId1035" Type="http://schemas.openxmlformats.org/officeDocument/2006/relationships/footer" Target="footer3085.xml"/><Relationship Id="rId1036" Type="http://schemas.openxmlformats.org/officeDocument/2006/relationships/footer" Target="footer308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فهرستگان نسخه های خطی ایران فنخا جلد 3 ارجاع- اشیاء</dc:title>
  <dc:description/>
  <dc:subject/>
  <cp:keywords/>
  <cp:category/>
  <cp:lastModifiedBy/>
  <dcterms:created xsi:type="dcterms:W3CDTF">2026-08-26T14:25:25+03:30</dcterms:created>
  <dcterms:modified xsi:type="dcterms:W3CDTF">2026-08-26T14:25:25+03:30</dcterms:modified>
</cp:coreProperties>
</file>

<file path=docProps/custom.xml><?xml version="1.0" encoding="utf-8"?>
<Properties xmlns="http://schemas.openxmlformats.org/officeDocument/2006/custom-properties" xmlns:vt="http://schemas.openxmlformats.org/officeDocument/2006/docPropsVTypes"/>
</file>